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52F05" w14:textId="1EE00B88" w:rsidR="00712390" w:rsidRDefault="00DA297B" w:rsidP="00DA297B">
      <w:pPr>
        <w:pStyle w:val="Pagedecouverture"/>
        <w:rPr>
          <w:noProof/>
        </w:rPr>
      </w:pPr>
      <w:bookmarkStart w:id="0" w:name="LW_BM_COVERPAGE"/>
      <w:r>
        <w:rPr>
          <w:noProof/>
        </w:rPr>
        <w:pict w14:anchorId="6DEF96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CFA41A0-6D23-464A-B5EC-83EF296A428B" style="width:455.25pt;height:521.25pt">
            <v:imagedata r:id="rId8" o:title=""/>
          </v:shape>
        </w:pict>
      </w:r>
    </w:p>
    <w:bookmarkEnd w:id="0"/>
    <w:p w14:paraId="34AFC561" w14:textId="55EE91EF" w:rsidR="00910B2C" w:rsidRPr="00910B2C" w:rsidRDefault="00910B2C" w:rsidP="00910B2C">
      <w:pPr>
        <w:pStyle w:val="Pagedecouverture"/>
        <w:rPr>
          <w:noProof/>
        </w:rPr>
        <w:sectPr w:rsidR="00910B2C" w:rsidRPr="00910B2C" w:rsidSect="00DA297B">
          <w:headerReference w:type="even" r:id="rId9"/>
          <w:headerReference w:type="default" r:id="rId10"/>
          <w:footerReference w:type="even" r:id="rId11"/>
          <w:footerReference w:type="default" r:id="rId12"/>
          <w:headerReference w:type="first" r:id="rId13"/>
          <w:footerReference w:type="first" r:id="rId14"/>
          <w:pgSz w:w="11910" w:h="16840"/>
          <w:pgMar w:top="1134" w:right="1417" w:bottom="1134" w:left="1417" w:header="709" w:footer="709" w:gutter="0"/>
          <w:pgNumType w:start="0"/>
          <w:cols w:space="720"/>
          <w:docGrid w:linePitch="326"/>
        </w:sectPr>
      </w:pPr>
    </w:p>
    <w:bookmarkStart w:id="1" w:name="_GoBack" w:displacedByCustomXml="next"/>
    <w:bookmarkEnd w:id="1" w:displacedByCustomXml="next"/>
    <w:sdt>
      <w:sdtPr>
        <w:rPr>
          <w:rFonts w:ascii="Times New Roman" w:eastAsia="Times New Roman" w:hAnsi="Times New Roman" w:cs="Times New Roman"/>
          <w:noProof/>
          <w:color w:val="auto"/>
          <w:sz w:val="22"/>
          <w:szCs w:val="22"/>
          <w:lang w:val="en-IE" w:eastAsia="en-IE"/>
        </w:rPr>
        <w:id w:val="-660082349"/>
        <w:docPartObj>
          <w:docPartGallery w:val="Table of Contents"/>
          <w:docPartUnique/>
        </w:docPartObj>
      </w:sdtPr>
      <w:sdtEndPr>
        <w:rPr>
          <w:b/>
          <w:bCs/>
          <w:sz w:val="24"/>
          <w:szCs w:val="24"/>
        </w:rPr>
      </w:sdtEndPr>
      <w:sdtContent>
        <w:p w14:paraId="20254FD2" w14:textId="77777777" w:rsidR="00B425E5" w:rsidRDefault="008906CD" w:rsidP="00D602F3">
          <w:pPr>
            <w:pStyle w:val="TOCHeading"/>
            <w:rPr>
              <w:noProof/>
            </w:rPr>
          </w:pPr>
          <w:r w:rsidRPr="00D71008">
            <w:rPr>
              <w:rFonts w:ascii="Times New Roman" w:eastAsia="Times New Roman" w:hAnsi="Times New Roman" w:cs="Times New Roman"/>
              <w:b/>
              <w:noProof/>
              <w:color w:val="auto"/>
              <w:spacing w:val="-2"/>
              <w:sz w:val="24"/>
              <w:szCs w:val="24"/>
            </w:rPr>
            <w:t>Table of Contents</w:t>
          </w:r>
          <w:r w:rsidRPr="00D71008">
            <w:rPr>
              <w:noProof/>
            </w:rPr>
            <w:fldChar w:fldCharType="begin"/>
          </w:r>
          <w:r w:rsidRPr="00D71008">
            <w:rPr>
              <w:noProof/>
            </w:rPr>
            <w:instrText xml:space="preserve"> TOC \o "1-3" \h \z \u </w:instrText>
          </w:r>
          <w:r w:rsidRPr="00D71008">
            <w:rPr>
              <w:noProof/>
            </w:rPr>
            <w:fldChar w:fldCharType="separate"/>
          </w:r>
        </w:p>
        <w:p w14:paraId="5273EFD9" w14:textId="65012BAB" w:rsidR="00B425E5" w:rsidRPr="00A36BD5" w:rsidRDefault="00DA297B" w:rsidP="00C20865">
          <w:pPr>
            <w:pStyle w:val="TOC2"/>
            <w:tabs>
              <w:tab w:val="right" w:leader="dot" w:pos="9317"/>
            </w:tabs>
            <w:ind w:left="0" w:firstLine="0"/>
            <w:rPr>
              <w:rFonts w:eastAsiaTheme="minorEastAsia"/>
              <w:noProof/>
              <w:kern w:val="2"/>
              <w:lang w:val="en-IE" w:eastAsia="en-IE"/>
              <w14:ligatures w14:val="standardContextual"/>
            </w:rPr>
          </w:pPr>
          <w:hyperlink w:anchor="_Toc223979933" w:history="1">
            <w:r w:rsidR="00B425E5" w:rsidRPr="00A36BD5">
              <w:rPr>
                <w:rStyle w:val="Hyperlink"/>
                <w:noProof/>
                <w:spacing w:val="-2"/>
              </w:rPr>
              <w:t>Glossary</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_Toc223979933 \h </w:instrText>
            </w:r>
            <w:r w:rsidR="00B425E5" w:rsidRPr="00A36BD5">
              <w:rPr>
                <w:noProof/>
                <w:webHidden/>
              </w:rPr>
            </w:r>
            <w:r w:rsidR="00B425E5" w:rsidRPr="00A36BD5">
              <w:rPr>
                <w:noProof/>
                <w:webHidden/>
              </w:rPr>
              <w:fldChar w:fldCharType="separate"/>
            </w:r>
            <w:r w:rsidR="0055391F">
              <w:rPr>
                <w:noProof/>
                <w:webHidden/>
              </w:rPr>
              <w:t>III</w:t>
            </w:r>
            <w:r w:rsidR="00B425E5" w:rsidRPr="00A36BD5">
              <w:rPr>
                <w:noProof/>
                <w:webHidden/>
              </w:rPr>
              <w:fldChar w:fldCharType="end"/>
            </w:r>
          </w:hyperlink>
        </w:p>
        <w:p w14:paraId="44C53964" w14:textId="51C40394" w:rsidR="00B425E5" w:rsidRPr="00A36BD5" w:rsidRDefault="00DA297B" w:rsidP="00C20865">
          <w:pPr>
            <w:pStyle w:val="TOC2"/>
            <w:tabs>
              <w:tab w:val="left" w:pos="426"/>
              <w:tab w:val="right" w:leader="dot" w:pos="9317"/>
            </w:tabs>
            <w:ind w:left="0" w:firstLine="0"/>
            <w:rPr>
              <w:rFonts w:eastAsiaTheme="minorEastAsia"/>
              <w:noProof/>
              <w:kern w:val="2"/>
              <w:lang w:val="en-IE" w:eastAsia="en-IE"/>
              <w14:ligatures w14:val="standardContextual"/>
            </w:rPr>
          </w:pPr>
          <w:hyperlink w:anchor="_Toc223979934" w:history="1">
            <w:r w:rsidR="00B425E5" w:rsidRPr="00A36BD5">
              <w:rPr>
                <w:rStyle w:val="Hyperlink"/>
                <w:smallCaps/>
                <w:noProof/>
              </w:rPr>
              <w:t>1.</w:t>
            </w:r>
            <w:r w:rsidR="00B425E5" w:rsidRPr="00A36BD5">
              <w:rPr>
                <w:rFonts w:eastAsiaTheme="minorEastAsia"/>
                <w:noProof/>
                <w:kern w:val="2"/>
                <w:lang w:val="en-IE" w:eastAsia="en-IE"/>
                <w14:ligatures w14:val="standardContextual"/>
              </w:rPr>
              <w:tab/>
            </w:r>
            <w:r w:rsidR="00B425E5" w:rsidRPr="00A36BD5">
              <w:rPr>
                <w:rStyle w:val="Hyperlink"/>
                <w:smallCaps/>
                <w:noProof/>
                <w:spacing w:val="-2"/>
              </w:rPr>
              <w:t>Introduction:</w:t>
            </w:r>
            <w:r w:rsidR="00B425E5" w:rsidRPr="00A36BD5">
              <w:rPr>
                <w:rStyle w:val="Hyperlink"/>
                <w:smallCaps/>
                <w:noProof/>
                <w:spacing w:val="-8"/>
              </w:rPr>
              <w:t xml:space="preserve"> </w:t>
            </w:r>
            <w:r w:rsidR="00B425E5" w:rsidRPr="00A36BD5">
              <w:rPr>
                <w:rStyle w:val="Hyperlink"/>
                <w:smallCaps/>
                <w:noProof/>
                <w:spacing w:val="-2"/>
              </w:rPr>
              <w:t>Political</w:t>
            </w:r>
            <w:r w:rsidR="00B425E5" w:rsidRPr="00A36BD5">
              <w:rPr>
                <w:rStyle w:val="Hyperlink"/>
                <w:smallCaps/>
                <w:noProof/>
                <w:spacing w:val="6"/>
              </w:rPr>
              <w:t xml:space="preserve"> </w:t>
            </w:r>
            <w:r w:rsidR="00B425E5" w:rsidRPr="00A36BD5">
              <w:rPr>
                <w:rStyle w:val="Hyperlink"/>
                <w:smallCaps/>
                <w:noProof/>
                <w:spacing w:val="-2"/>
              </w:rPr>
              <w:t>and</w:t>
            </w:r>
            <w:r w:rsidR="00B425E5" w:rsidRPr="00A36BD5">
              <w:rPr>
                <w:rStyle w:val="Hyperlink"/>
                <w:smallCaps/>
                <w:noProof/>
                <w:spacing w:val="4"/>
              </w:rPr>
              <w:t xml:space="preserve"> </w:t>
            </w:r>
            <w:r w:rsidR="00B425E5" w:rsidRPr="00A36BD5">
              <w:rPr>
                <w:rStyle w:val="Hyperlink"/>
                <w:smallCaps/>
                <w:noProof/>
                <w:spacing w:val="-2"/>
              </w:rPr>
              <w:t>legal</w:t>
            </w:r>
            <w:r w:rsidR="00B425E5" w:rsidRPr="00A36BD5">
              <w:rPr>
                <w:rStyle w:val="Hyperlink"/>
                <w:smallCaps/>
                <w:noProof/>
                <w:spacing w:val="5"/>
              </w:rPr>
              <w:t xml:space="preserve"> </w:t>
            </w:r>
            <w:r w:rsidR="00B425E5" w:rsidRPr="00A36BD5">
              <w:rPr>
                <w:rStyle w:val="Hyperlink"/>
                <w:smallCaps/>
                <w:noProof/>
                <w:spacing w:val="-2"/>
              </w:rPr>
              <w:t>context</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_Toc223979934 \h </w:instrText>
            </w:r>
            <w:r w:rsidR="00B425E5" w:rsidRPr="00A36BD5">
              <w:rPr>
                <w:noProof/>
                <w:webHidden/>
              </w:rPr>
            </w:r>
            <w:r w:rsidR="00B425E5" w:rsidRPr="00A36BD5">
              <w:rPr>
                <w:noProof/>
                <w:webHidden/>
              </w:rPr>
              <w:fldChar w:fldCharType="separate"/>
            </w:r>
            <w:r w:rsidR="0055391F">
              <w:rPr>
                <w:noProof/>
                <w:webHidden/>
              </w:rPr>
              <w:t>1</w:t>
            </w:r>
            <w:r w:rsidR="00B425E5" w:rsidRPr="00A36BD5">
              <w:rPr>
                <w:noProof/>
                <w:webHidden/>
              </w:rPr>
              <w:fldChar w:fldCharType="end"/>
            </w:r>
          </w:hyperlink>
        </w:p>
        <w:p w14:paraId="5D3777D6" w14:textId="52BF728E" w:rsidR="00B425E5" w:rsidRPr="00A36BD5" w:rsidRDefault="00DA297B" w:rsidP="00C20865">
          <w:pPr>
            <w:pStyle w:val="TOC2"/>
            <w:tabs>
              <w:tab w:val="right" w:leader="dot" w:pos="9317"/>
            </w:tabs>
            <w:ind w:left="993"/>
            <w:rPr>
              <w:rFonts w:eastAsiaTheme="minorEastAsia"/>
              <w:noProof/>
              <w:kern w:val="2"/>
              <w:lang w:val="en-IE" w:eastAsia="en-IE"/>
              <w14:ligatures w14:val="standardContextual"/>
            </w:rPr>
          </w:pPr>
          <w:hyperlink w:anchor="_Toc223979935" w:history="1">
            <w:r w:rsidR="00B425E5" w:rsidRPr="00A36BD5">
              <w:rPr>
                <w:rStyle w:val="Hyperlink"/>
                <w:noProof/>
              </w:rPr>
              <w:t>1.1.</w:t>
            </w:r>
            <w:r w:rsidR="00B425E5" w:rsidRPr="00A36BD5">
              <w:rPr>
                <w:rFonts w:eastAsiaTheme="minorEastAsia"/>
                <w:noProof/>
                <w:kern w:val="2"/>
                <w:lang w:val="en-IE" w:eastAsia="en-IE"/>
                <w14:ligatures w14:val="standardContextual"/>
              </w:rPr>
              <w:tab/>
            </w:r>
            <w:r w:rsidR="00B425E5" w:rsidRPr="00A36BD5">
              <w:rPr>
                <w:rStyle w:val="Hyperlink"/>
                <w:noProof/>
              </w:rPr>
              <w:t>Political context</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_Toc223979935 \h </w:instrText>
            </w:r>
            <w:r w:rsidR="00B425E5" w:rsidRPr="00A36BD5">
              <w:rPr>
                <w:noProof/>
                <w:webHidden/>
              </w:rPr>
            </w:r>
            <w:r w:rsidR="00B425E5" w:rsidRPr="00A36BD5">
              <w:rPr>
                <w:noProof/>
                <w:webHidden/>
              </w:rPr>
              <w:fldChar w:fldCharType="separate"/>
            </w:r>
            <w:r w:rsidR="0055391F">
              <w:rPr>
                <w:noProof/>
                <w:webHidden/>
              </w:rPr>
              <w:t>1</w:t>
            </w:r>
            <w:r w:rsidR="00B425E5" w:rsidRPr="00A36BD5">
              <w:rPr>
                <w:noProof/>
                <w:webHidden/>
              </w:rPr>
              <w:fldChar w:fldCharType="end"/>
            </w:r>
          </w:hyperlink>
        </w:p>
        <w:p w14:paraId="33FD23A9" w14:textId="643A0DE6" w:rsidR="00B425E5" w:rsidRPr="00A36BD5" w:rsidRDefault="00DA297B" w:rsidP="00C20865">
          <w:pPr>
            <w:pStyle w:val="TOC2"/>
            <w:tabs>
              <w:tab w:val="right" w:leader="dot" w:pos="9317"/>
            </w:tabs>
            <w:ind w:left="993"/>
            <w:rPr>
              <w:rFonts w:eastAsiaTheme="minorEastAsia"/>
              <w:noProof/>
              <w:kern w:val="2"/>
              <w:lang w:val="en-IE" w:eastAsia="en-IE"/>
              <w14:ligatures w14:val="standardContextual"/>
            </w:rPr>
          </w:pPr>
          <w:hyperlink w:anchor="_Toc223979936" w:history="1">
            <w:r w:rsidR="00B425E5" w:rsidRPr="00A36BD5">
              <w:rPr>
                <w:rStyle w:val="Hyperlink"/>
                <w:noProof/>
              </w:rPr>
              <w:t>1.2.</w:t>
            </w:r>
            <w:r w:rsidR="00B425E5" w:rsidRPr="00A36BD5">
              <w:rPr>
                <w:rFonts w:eastAsiaTheme="minorEastAsia"/>
                <w:noProof/>
                <w:kern w:val="2"/>
                <w:lang w:val="en-IE" w:eastAsia="en-IE"/>
                <w14:ligatures w14:val="standardContextual"/>
              </w:rPr>
              <w:tab/>
            </w:r>
            <w:r w:rsidR="00B425E5" w:rsidRPr="00A36BD5">
              <w:rPr>
                <w:rStyle w:val="Hyperlink"/>
                <w:noProof/>
              </w:rPr>
              <w:t>Legal context</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_Toc223979936 \h </w:instrText>
            </w:r>
            <w:r w:rsidR="00B425E5" w:rsidRPr="00A36BD5">
              <w:rPr>
                <w:noProof/>
                <w:webHidden/>
              </w:rPr>
            </w:r>
            <w:r w:rsidR="00B425E5" w:rsidRPr="00A36BD5">
              <w:rPr>
                <w:noProof/>
                <w:webHidden/>
              </w:rPr>
              <w:fldChar w:fldCharType="separate"/>
            </w:r>
            <w:r w:rsidR="0055391F">
              <w:rPr>
                <w:noProof/>
                <w:webHidden/>
              </w:rPr>
              <w:t>2</w:t>
            </w:r>
            <w:r w:rsidR="00B425E5" w:rsidRPr="00A36BD5">
              <w:rPr>
                <w:noProof/>
                <w:webHidden/>
              </w:rPr>
              <w:fldChar w:fldCharType="end"/>
            </w:r>
          </w:hyperlink>
        </w:p>
        <w:p w14:paraId="114DD8D9" w14:textId="435FA0C4" w:rsidR="00B425E5" w:rsidRPr="00A36BD5" w:rsidRDefault="00DA297B" w:rsidP="00C20865">
          <w:pPr>
            <w:pStyle w:val="TOC2"/>
            <w:tabs>
              <w:tab w:val="right" w:leader="dot" w:pos="9317"/>
            </w:tabs>
            <w:ind w:left="993"/>
            <w:rPr>
              <w:rFonts w:eastAsiaTheme="minorEastAsia"/>
              <w:noProof/>
              <w:kern w:val="2"/>
              <w:lang w:val="en-IE" w:eastAsia="en-IE"/>
              <w14:ligatures w14:val="standardContextual"/>
            </w:rPr>
          </w:pPr>
          <w:hyperlink w:anchor="_Toc223979937" w:history="1">
            <w:r w:rsidR="00B425E5" w:rsidRPr="00A36BD5">
              <w:rPr>
                <w:rStyle w:val="Hyperlink"/>
                <w:noProof/>
              </w:rPr>
              <w:t>1.3.</w:t>
            </w:r>
            <w:r w:rsidR="00B425E5" w:rsidRPr="00A36BD5">
              <w:rPr>
                <w:rFonts w:eastAsiaTheme="minorEastAsia"/>
                <w:noProof/>
                <w:kern w:val="2"/>
                <w:lang w:val="en-IE" w:eastAsia="en-IE"/>
                <w14:ligatures w14:val="standardContextual"/>
              </w:rPr>
              <w:tab/>
            </w:r>
            <w:r w:rsidR="00B425E5" w:rsidRPr="00A36BD5">
              <w:rPr>
                <w:rStyle w:val="Hyperlink"/>
                <w:noProof/>
              </w:rPr>
              <w:t>Synergies with other EU policy instruments</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_Toc223979937 \h </w:instrText>
            </w:r>
            <w:r w:rsidR="00B425E5" w:rsidRPr="00A36BD5">
              <w:rPr>
                <w:noProof/>
                <w:webHidden/>
              </w:rPr>
            </w:r>
            <w:r w:rsidR="00B425E5" w:rsidRPr="00A36BD5">
              <w:rPr>
                <w:noProof/>
                <w:webHidden/>
              </w:rPr>
              <w:fldChar w:fldCharType="separate"/>
            </w:r>
            <w:r w:rsidR="0055391F">
              <w:rPr>
                <w:noProof/>
                <w:webHidden/>
              </w:rPr>
              <w:t>3</w:t>
            </w:r>
            <w:r w:rsidR="00B425E5" w:rsidRPr="00A36BD5">
              <w:rPr>
                <w:noProof/>
                <w:webHidden/>
              </w:rPr>
              <w:fldChar w:fldCharType="end"/>
            </w:r>
          </w:hyperlink>
        </w:p>
        <w:p w14:paraId="7284B720" w14:textId="1D57A970" w:rsidR="00B425E5" w:rsidRPr="00A36BD5" w:rsidRDefault="00DA297B" w:rsidP="00C20865">
          <w:pPr>
            <w:pStyle w:val="TOC2"/>
            <w:tabs>
              <w:tab w:val="right" w:leader="dot" w:pos="9317"/>
            </w:tabs>
            <w:ind w:left="993"/>
            <w:rPr>
              <w:rFonts w:eastAsiaTheme="minorEastAsia"/>
              <w:noProof/>
              <w:kern w:val="2"/>
              <w:lang w:val="en-IE" w:eastAsia="en-IE"/>
              <w14:ligatures w14:val="standardContextual"/>
            </w:rPr>
          </w:pPr>
          <w:hyperlink w:anchor="_Toc223979938" w:history="1">
            <w:r w:rsidR="00B425E5" w:rsidRPr="00A36BD5">
              <w:rPr>
                <w:rStyle w:val="Hyperlink"/>
                <w:noProof/>
              </w:rPr>
              <w:t>1.4.</w:t>
            </w:r>
            <w:r w:rsidR="00B425E5" w:rsidRPr="00A36BD5">
              <w:rPr>
                <w:rFonts w:eastAsiaTheme="minorEastAsia"/>
                <w:noProof/>
                <w:kern w:val="2"/>
                <w:lang w:val="en-IE" w:eastAsia="en-IE"/>
                <w14:ligatures w14:val="standardContextual"/>
              </w:rPr>
              <w:tab/>
            </w:r>
            <w:r w:rsidR="00B425E5" w:rsidRPr="00A36BD5">
              <w:rPr>
                <w:rStyle w:val="Hyperlink"/>
                <w:noProof/>
              </w:rPr>
              <w:t>Evaluation of the Regulation on a Code of Conduct for CRS</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_Toc223979938 \h </w:instrText>
            </w:r>
            <w:r w:rsidR="00B425E5" w:rsidRPr="00A36BD5">
              <w:rPr>
                <w:noProof/>
                <w:webHidden/>
              </w:rPr>
            </w:r>
            <w:r w:rsidR="00B425E5" w:rsidRPr="00A36BD5">
              <w:rPr>
                <w:noProof/>
                <w:webHidden/>
              </w:rPr>
              <w:fldChar w:fldCharType="separate"/>
            </w:r>
            <w:r w:rsidR="0055391F">
              <w:rPr>
                <w:noProof/>
                <w:webHidden/>
              </w:rPr>
              <w:t>4</w:t>
            </w:r>
            <w:r w:rsidR="00B425E5" w:rsidRPr="00A36BD5">
              <w:rPr>
                <w:noProof/>
                <w:webHidden/>
              </w:rPr>
              <w:fldChar w:fldCharType="end"/>
            </w:r>
          </w:hyperlink>
        </w:p>
        <w:p w14:paraId="68722C9A" w14:textId="2F8765E3" w:rsidR="00B425E5" w:rsidRPr="00A36BD5" w:rsidRDefault="00DA297B" w:rsidP="00C20865">
          <w:pPr>
            <w:pStyle w:val="TOC2"/>
            <w:tabs>
              <w:tab w:val="left" w:pos="426"/>
              <w:tab w:val="right" w:leader="dot" w:pos="9317"/>
            </w:tabs>
            <w:ind w:left="0" w:firstLine="0"/>
            <w:rPr>
              <w:rFonts w:eastAsiaTheme="minorEastAsia"/>
              <w:noProof/>
              <w:kern w:val="2"/>
              <w:lang w:val="en-IE" w:eastAsia="en-IE"/>
              <w14:ligatures w14:val="standardContextual"/>
            </w:rPr>
          </w:pPr>
          <w:hyperlink w:anchor="_Toc223979939" w:history="1">
            <w:r w:rsidR="00B425E5" w:rsidRPr="00A36BD5">
              <w:rPr>
                <w:rStyle w:val="Hyperlink"/>
                <w:smallCaps/>
                <w:noProof/>
                <w:spacing w:val="-2"/>
              </w:rPr>
              <w:t>2.</w:t>
            </w:r>
            <w:r w:rsidR="00B425E5" w:rsidRPr="00A36BD5">
              <w:rPr>
                <w:rFonts w:eastAsiaTheme="minorEastAsia"/>
                <w:noProof/>
                <w:kern w:val="2"/>
                <w:lang w:val="en-IE" w:eastAsia="en-IE"/>
                <w14:ligatures w14:val="standardContextual"/>
              </w:rPr>
              <w:tab/>
            </w:r>
            <w:r w:rsidR="00B425E5" w:rsidRPr="00A36BD5">
              <w:rPr>
                <w:rStyle w:val="Hyperlink"/>
                <w:smallCaps/>
                <w:noProof/>
                <w:spacing w:val="-2"/>
              </w:rPr>
              <w:t>Problem definition</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_Toc223979939 \h </w:instrText>
            </w:r>
            <w:r w:rsidR="00B425E5" w:rsidRPr="00A36BD5">
              <w:rPr>
                <w:noProof/>
                <w:webHidden/>
              </w:rPr>
            </w:r>
            <w:r w:rsidR="00B425E5" w:rsidRPr="00A36BD5">
              <w:rPr>
                <w:noProof/>
                <w:webHidden/>
              </w:rPr>
              <w:fldChar w:fldCharType="separate"/>
            </w:r>
            <w:r w:rsidR="0055391F">
              <w:rPr>
                <w:noProof/>
                <w:webHidden/>
              </w:rPr>
              <w:t>5</w:t>
            </w:r>
            <w:r w:rsidR="00B425E5" w:rsidRPr="00A36BD5">
              <w:rPr>
                <w:noProof/>
                <w:webHidden/>
              </w:rPr>
              <w:fldChar w:fldCharType="end"/>
            </w:r>
          </w:hyperlink>
        </w:p>
        <w:p w14:paraId="7F25F206" w14:textId="0E2400DA"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40" w:history="1">
            <w:r w:rsidR="00B425E5" w:rsidRPr="00A36BD5">
              <w:rPr>
                <w:rStyle w:val="Hyperlink"/>
                <w:noProof/>
              </w:rPr>
              <w:t>2.1.</w:t>
            </w:r>
            <w:r w:rsidR="00B425E5" w:rsidRPr="00A36BD5">
              <w:rPr>
                <w:rFonts w:eastAsiaTheme="minorEastAsia"/>
                <w:noProof/>
                <w:kern w:val="2"/>
                <w:lang w:val="en-IE" w:eastAsia="en-IE"/>
                <w14:ligatures w14:val="standardContextual"/>
              </w:rPr>
              <w:tab/>
            </w:r>
            <w:r w:rsidR="00B425E5" w:rsidRPr="00A36BD5">
              <w:rPr>
                <w:rStyle w:val="Hyperlink"/>
                <w:noProof/>
              </w:rPr>
              <w:t>What are the problems?</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_Toc223979940 \h </w:instrText>
            </w:r>
            <w:r w:rsidR="00B425E5" w:rsidRPr="00A36BD5">
              <w:rPr>
                <w:noProof/>
                <w:webHidden/>
              </w:rPr>
            </w:r>
            <w:r w:rsidR="00B425E5" w:rsidRPr="00A36BD5">
              <w:rPr>
                <w:noProof/>
                <w:webHidden/>
              </w:rPr>
              <w:fldChar w:fldCharType="separate"/>
            </w:r>
            <w:r w:rsidR="0055391F">
              <w:rPr>
                <w:noProof/>
                <w:webHidden/>
              </w:rPr>
              <w:t>5</w:t>
            </w:r>
            <w:r w:rsidR="00B425E5" w:rsidRPr="00A36BD5">
              <w:rPr>
                <w:noProof/>
                <w:webHidden/>
              </w:rPr>
              <w:fldChar w:fldCharType="end"/>
            </w:r>
          </w:hyperlink>
        </w:p>
        <w:p w14:paraId="78054AE7" w14:textId="672FA341"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43" w:history="1">
            <w:r w:rsidR="00B425E5" w:rsidRPr="00A36BD5">
              <w:rPr>
                <w:rStyle w:val="Hyperlink"/>
                <w:noProof/>
              </w:rPr>
              <w:t>2.2.</w:t>
            </w:r>
            <w:r w:rsidR="00B425E5" w:rsidRPr="00A36BD5">
              <w:rPr>
                <w:rFonts w:eastAsiaTheme="minorEastAsia"/>
                <w:noProof/>
                <w:kern w:val="2"/>
                <w:lang w:val="en-IE" w:eastAsia="en-IE"/>
                <w14:ligatures w14:val="standardContextual"/>
              </w:rPr>
              <w:tab/>
            </w:r>
            <w:r w:rsidR="00B425E5" w:rsidRPr="00A36BD5">
              <w:rPr>
                <w:rStyle w:val="Hyperlink"/>
                <w:noProof/>
              </w:rPr>
              <w:t>What are the problem drivers?</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_Toc223979943 \h </w:instrText>
            </w:r>
            <w:r w:rsidR="00B425E5" w:rsidRPr="00A36BD5">
              <w:rPr>
                <w:noProof/>
                <w:webHidden/>
              </w:rPr>
            </w:r>
            <w:r w:rsidR="00B425E5" w:rsidRPr="00A36BD5">
              <w:rPr>
                <w:noProof/>
                <w:webHidden/>
              </w:rPr>
              <w:fldChar w:fldCharType="separate"/>
            </w:r>
            <w:r w:rsidR="0055391F">
              <w:rPr>
                <w:noProof/>
                <w:webHidden/>
              </w:rPr>
              <w:t>16</w:t>
            </w:r>
            <w:r w:rsidR="00B425E5" w:rsidRPr="00A36BD5">
              <w:rPr>
                <w:noProof/>
                <w:webHidden/>
              </w:rPr>
              <w:fldChar w:fldCharType="end"/>
            </w:r>
          </w:hyperlink>
        </w:p>
        <w:p w14:paraId="35356EF3" w14:textId="1D2F9F23"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48" w:history="1">
            <w:r w:rsidR="00B425E5" w:rsidRPr="00A36BD5">
              <w:rPr>
                <w:rStyle w:val="Hyperlink"/>
                <w:noProof/>
              </w:rPr>
              <w:t>2.3.</w:t>
            </w:r>
            <w:r w:rsidR="00B425E5" w:rsidRPr="00A36BD5">
              <w:rPr>
                <w:rFonts w:eastAsiaTheme="minorEastAsia"/>
                <w:noProof/>
                <w:kern w:val="2"/>
                <w:lang w:val="en-IE" w:eastAsia="en-IE"/>
                <w14:ligatures w14:val="standardContextual"/>
              </w:rPr>
              <w:tab/>
            </w:r>
            <w:r w:rsidR="00B425E5" w:rsidRPr="00A36BD5">
              <w:rPr>
                <w:rStyle w:val="Hyperlink"/>
                <w:noProof/>
              </w:rPr>
              <w:t>How likely is the problem to persist?</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_Toc223979948 \h </w:instrText>
            </w:r>
            <w:r w:rsidR="00B425E5" w:rsidRPr="00A36BD5">
              <w:rPr>
                <w:noProof/>
                <w:webHidden/>
              </w:rPr>
            </w:r>
            <w:r w:rsidR="00B425E5" w:rsidRPr="00A36BD5">
              <w:rPr>
                <w:noProof/>
                <w:webHidden/>
              </w:rPr>
              <w:fldChar w:fldCharType="separate"/>
            </w:r>
            <w:r w:rsidR="0055391F">
              <w:rPr>
                <w:noProof/>
                <w:webHidden/>
              </w:rPr>
              <w:t>23</w:t>
            </w:r>
            <w:r w:rsidR="00B425E5" w:rsidRPr="00A36BD5">
              <w:rPr>
                <w:noProof/>
                <w:webHidden/>
              </w:rPr>
              <w:fldChar w:fldCharType="end"/>
            </w:r>
          </w:hyperlink>
        </w:p>
        <w:p w14:paraId="158C15D8" w14:textId="516546C7" w:rsidR="00B425E5" w:rsidRPr="00A36BD5" w:rsidRDefault="00DA297B" w:rsidP="00C20865">
          <w:pPr>
            <w:pStyle w:val="TOC2"/>
            <w:tabs>
              <w:tab w:val="left" w:pos="426"/>
              <w:tab w:val="right" w:leader="dot" w:pos="9317"/>
            </w:tabs>
            <w:ind w:left="0" w:firstLine="0"/>
            <w:rPr>
              <w:rFonts w:eastAsiaTheme="minorEastAsia"/>
              <w:noProof/>
              <w:kern w:val="2"/>
              <w:lang w:val="en-IE" w:eastAsia="en-IE"/>
              <w14:ligatures w14:val="standardContextual"/>
            </w:rPr>
          </w:pPr>
          <w:hyperlink w:anchor="_Toc223979950" w:history="1">
            <w:r w:rsidR="00B425E5" w:rsidRPr="00A36BD5">
              <w:rPr>
                <w:rStyle w:val="Hyperlink"/>
                <w:smallCaps/>
                <w:noProof/>
                <w:spacing w:val="-2"/>
              </w:rPr>
              <w:t>3.</w:t>
            </w:r>
            <w:r w:rsidR="00B425E5" w:rsidRPr="00A36BD5">
              <w:rPr>
                <w:rFonts w:eastAsiaTheme="minorEastAsia"/>
                <w:noProof/>
                <w:kern w:val="2"/>
                <w:lang w:val="en-IE" w:eastAsia="en-IE"/>
                <w14:ligatures w14:val="standardContextual"/>
              </w:rPr>
              <w:tab/>
            </w:r>
            <w:r w:rsidR="00B425E5" w:rsidRPr="00A36BD5">
              <w:rPr>
                <w:rStyle w:val="Hyperlink"/>
                <w:smallCaps/>
                <w:noProof/>
                <w:spacing w:val="-2"/>
              </w:rPr>
              <w:t>Why should the EU act?</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_Toc223979950 \h </w:instrText>
            </w:r>
            <w:r w:rsidR="00B425E5" w:rsidRPr="00A36BD5">
              <w:rPr>
                <w:noProof/>
                <w:webHidden/>
              </w:rPr>
            </w:r>
            <w:r w:rsidR="00B425E5" w:rsidRPr="00A36BD5">
              <w:rPr>
                <w:noProof/>
                <w:webHidden/>
              </w:rPr>
              <w:fldChar w:fldCharType="separate"/>
            </w:r>
            <w:r w:rsidR="0055391F">
              <w:rPr>
                <w:noProof/>
                <w:webHidden/>
              </w:rPr>
              <w:t>24</w:t>
            </w:r>
            <w:r w:rsidR="00B425E5" w:rsidRPr="00A36BD5">
              <w:rPr>
                <w:noProof/>
                <w:webHidden/>
              </w:rPr>
              <w:fldChar w:fldCharType="end"/>
            </w:r>
          </w:hyperlink>
        </w:p>
        <w:p w14:paraId="3A2EB2B8" w14:textId="38408586"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51" w:history="1">
            <w:r w:rsidR="00B425E5" w:rsidRPr="00A36BD5">
              <w:rPr>
                <w:rStyle w:val="Hyperlink"/>
                <w:noProof/>
              </w:rPr>
              <w:t>3.1.</w:t>
            </w:r>
            <w:r w:rsidR="00B425E5" w:rsidRPr="00A36BD5">
              <w:rPr>
                <w:rFonts w:eastAsiaTheme="minorEastAsia"/>
                <w:noProof/>
                <w:kern w:val="2"/>
                <w:lang w:val="en-IE" w:eastAsia="en-IE"/>
                <w14:ligatures w14:val="standardContextual"/>
              </w:rPr>
              <w:tab/>
            </w:r>
            <w:r w:rsidR="00B425E5" w:rsidRPr="00A36BD5">
              <w:rPr>
                <w:rStyle w:val="Hyperlink"/>
                <w:noProof/>
              </w:rPr>
              <w:t>Legal basis</w:t>
            </w:r>
            <w:r w:rsidR="00B425E5" w:rsidRPr="00A36BD5">
              <w:rPr>
                <w:noProof/>
                <w:webHidden/>
              </w:rPr>
              <w:tab/>
            </w:r>
            <w:r w:rsidR="00C20865" w:rsidRPr="00A36BD5">
              <w:rPr>
                <w:noProof/>
                <w:webHidden/>
              </w:rPr>
              <w:tab/>
            </w:r>
            <w:r w:rsidR="00B425E5" w:rsidRPr="00A36BD5">
              <w:rPr>
                <w:noProof/>
                <w:webHidden/>
              </w:rPr>
              <w:fldChar w:fldCharType="begin"/>
            </w:r>
            <w:r w:rsidR="00B425E5" w:rsidRPr="00A36BD5">
              <w:rPr>
                <w:noProof/>
                <w:webHidden/>
              </w:rPr>
              <w:instrText xml:space="preserve"> PAGEREF _Toc223979951 \h </w:instrText>
            </w:r>
            <w:r w:rsidR="00B425E5" w:rsidRPr="00A36BD5">
              <w:rPr>
                <w:noProof/>
                <w:webHidden/>
              </w:rPr>
            </w:r>
            <w:r w:rsidR="00B425E5" w:rsidRPr="00A36BD5">
              <w:rPr>
                <w:noProof/>
                <w:webHidden/>
              </w:rPr>
              <w:fldChar w:fldCharType="separate"/>
            </w:r>
            <w:r w:rsidR="0055391F">
              <w:rPr>
                <w:noProof/>
                <w:webHidden/>
              </w:rPr>
              <w:t>24</w:t>
            </w:r>
            <w:r w:rsidR="00B425E5" w:rsidRPr="00A36BD5">
              <w:rPr>
                <w:noProof/>
                <w:webHidden/>
              </w:rPr>
              <w:fldChar w:fldCharType="end"/>
            </w:r>
          </w:hyperlink>
        </w:p>
        <w:p w14:paraId="2C8B1FFA" w14:textId="5D39D18B"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52" w:history="1">
            <w:r w:rsidR="00B425E5" w:rsidRPr="00A36BD5">
              <w:rPr>
                <w:rStyle w:val="Hyperlink"/>
                <w:noProof/>
              </w:rPr>
              <w:t>3.2.</w:t>
            </w:r>
            <w:r w:rsidR="00B425E5" w:rsidRPr="00A36BD5">
              <w:rPr>
                <w:rFonts w:eastAsiaTheme="minorEastAsia"/>
                <w:noProof/>
                <w:kern w:val="2"/>
                <w:lang w:val="en-IE" w:eastAsia="en-IE"/>
                <w14:ligatures w14:val="standardContextual"/>
              </w:rPr>
              <w:tab/>
            </w:r>
            <w:r w:rsidR="00B425E5" w:rsidRPr="00A36BD5">
              <w:rPr>
                <w:rStyle w:val="Hyperlink"/>
                <w:noProof/>
              </w:rPr>
              <w:t>Subsidiarity: Necessity of EU action</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_Toc223979952 \h </w:instrText>
            </w:r>
            <w:r w:rsidR="00B425E5" w:rsidRPr="00A36BD5">
              <w:rPr>
                <w:noProof/>
                <w:webHidden/>
              </w:rPr>
            </w:r>
            <w:r w:rsidR="00B425E5" w:rsidRPr="00A36BD5">
              <w:rPr>
                <w:noProof/>
                <w:webHidden/>
              </w:rPr>
              <w:fldChar w:fldCharType="separate"/>
            </w:r>
            <w:r w:rsidR="0055391F">
              <w:rPr>
                <w:noProof/>
                <w:webHidden/>
              </w:rPr>
              <w:t>24</w:t>
            </w:r>
            <w:r w:rsidR="00B425E5" w:rsidRPr="00A36BD5">
              <w:rPr>
                <w:noProof/>
                <w:webHidden/>
              </w:rPr>
              <w:fldChar w:fldCharType="end"/>
            </w:r>
          </w:hyperlink>
        </w:p>
        <w:p w14:paraId="70567935" w14:textId="4AA79834"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53" w:history="1">
            <w:r w:rsidR="00B425E5" w:rsidRPr="00A36BD5">
              <w:rPr>
                <w:rStyle w:val="Hyperlink"/>
                <w:noProof/>
              </w:rPr>
              <w:t>3.3.</w:t>
            </w:r>
            <w:r w:rsidR="00B425E5" w:rsidRPr="00A36BD5">
              <w:rPr>
                <w:rFonts w:eastAsiaTheme="minorEastAsia"/>
                <w:noProof/>
                <w:kern w:val="2"/>
                <w:lang w:val="en-IE" w:eastAsia="en-IE"/>
                <w14:ligatures w14:val="standardContextual"/>
              </w:rPr>
              <w:tab/>
            </w:r>
            <w:r w:rsidR="00B425E5" w:rsidRPr="00A36BD5">
              <w:rPr>
                <w:rStyle w:val="Hyperlink"/>
                <w:noProof/>
              </w:rPr>
              <w:t>Subsidiarity: Added value of EU action</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_Toc223979953 \h </w:instrText>
            </w:r>
            <w:r w:rsidR="00B425E5" w:rsidRPr="00A36BD5">
              <w:rPr>
                <w:noProof/>
                <w:webHidden/>
              </w:rPr>
            </w:r>
            <w:r w:rsidR="00B425E5" w:rsidRPr="00A36BD5">
              <w:rPr>
                <w:noProof/>
                <w:webHidden/>
              </w:rPr>
              <w:fldChar w:fldCharType="separate"/>
            </w:r>
            <w:r w:rsidR="0055391F">
              <w:rPr>
                <w:noProof/>
                <w:webHidden/>
              </w:rPr>
              <w:t>24</w:t>
            </w:r>
            <w:r w:rsidR="00B425E5" w:rsidRPr="00A36BD5">
              <w:rPr>
                <w:noProof/>
                <w:webHidden/>
              </w:rPr>
              <w:fldChar w:fldCharType="end"/>
            </w:r>
          </w:hyperlink>
        </w:p>
        <w:p w14:paraId="4074D9B8" w14:textId="40F758D1" w:rsidR="00B425E5" w:rsidRPr="00A36BD5" w:rsidRDefault="00DA297B" w:rsidP="00C20865">
          <w:pPr>
            <w:pStyle w:val="TOC2"/>
            <w:tabs>
              <w:tab w:val="left" w:pos="426"/>
              <w:tab w:val="right" w:leader="dot" w:pos="9317"/>
            </w:tabs>
            <w:ind w:left="0" w:firstLine="0"/>
            <w:rPr>
              <w:rFonts w:eastAsiaTheme="minorEastAsia"/>
              <w:noProof/>
              <w:kern w:val="2"/>
              <w:lang w:val="en-IE" w:eastAsia="en-IE"/>
              <w14:ligatures w14:val="standardContextual"/>
            </w:rPr>
          </w:pPr>
          <w:hyperlink w:anchor="_Toc223979954" w:history="1">
            <w:r w:rsidR="00B425E5" w:rsidRPr="00A36BD5">
              <w:rPr>
                <w:rStyle w:val="Hyperlink"/>
                <w:smallCaps/>
                <w:noProof/>
                <w:spacing w:val="-2"/>
              </w:rPr>
              <w:t>4.</w:t>
            </w:r>
            <w:r w:rsidR="00B425E5" w:rsidRPr="00A36BD5">
              <w:rPr>
                <w:rFonts w:eastAsiaTheme="minorEastAsia"/>
                <w:noProof/>
                <w:kern w:val="2"/>
                <w:lang w:val="en-IE" w:eastAsia="en-IE"/>
                <w14:ligatures w14:val="standardContextual"/>
              </w:rPr>
              <w:tab/>
            </w:r>
            <w:r w:rsidR="00B425E5" w:rsidRPr="00A36BD5">
              <w:rPr>
                <w:rStyle w:val="Hyperlink"/>
                <w:smallCaps/>
                <w:noProof/>
                <w:spacing w:val="-2"/>
              </w:rPr>
              <w:t>Objectives: What is to be achieved?</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_Toc223979954 \h </w:instrText>
            </w:r>
            <w:r w:rsidR="00B425E5" w:rsidRPr="00A36BD5">
              <w:rPr>
                <w:noProof/>
                <w:webHidden/>
              </w:rPr>
            </w:r>
            <w:r w:rsidR="00B425E5" w:rsidRPr="00A36BD5">
              <w:rPr>
                <w:noProof/>
                <w:webHidden/>
              </w:rPr>
              <w:fldChar w:fldCharType="separate"/>
            </w:r>
            <w:r w:rsidR="0055391F">
              <w:rPr>
                <w:noProof/>
                <w:webHidden/>
              </w:rPr>
              <w:t>25</w:t>
            </w:r>
            <w:r w:rsidR="00B425E5" w:rsidRPr="00A36BD5">
              <w:rPr>
                <w:noProof/>
                <w:webHidden/>
              </w:rPr>
              <w:fldChar w:fldCharType="end"/>
            </w:r>
          </w:hyperlink>
        </w:p>
        <w:p w14:paraId="5DD13E3C" w14:textId="4C7F4200"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55" w:history="1">
            <w:r w:rsidR="00B425E5" w:rsidRPr="00A36BD5">
              <w:rPr>
                <w:rStyle w:val="Hyperlink"/>
                <w:noProof/>
              </w:rPr>
              <w:t>4.1.</w:t>
            </w:r>
            <w:r w:rsidR="00B425E5" w:rsidRPr="00A36BD5">
              <w:rPr>
                <w:rFonts w:eastAsiaTheme="minorEastAsia"/>
                <w:noProof/>
                <w:kern w:val="2"/>
                <w:lang w:val="en-IE" w:eastAsia="en-IE"/>
                <w14:ligatures w14:val="standardContextual"/>
              </w:rPr>
              <w:tab/>
            </w:r>
            <w:r w:rsidR="00B425E5" w:rsidRPr="00A36BD5">
              <w:rPr>
                <w:rStyle w:val="Hyperlink"/>
                <w:noProof/>
              </w:rPr>
              <w:t>General objective</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_Toc223979955 \h </w:instrText>
            </w:r>
            <w:r w:rsidR="00B425E5" w:rsidRPr="00A36BD5">
              <w:rPr>
                <w:noProof/>
                <w:webHidden/>
              </w:rPr>
            </w:r>
            <w:r w:rsidR="00B425E5" w:rsidRPr="00A36BD5">
              <w:rPr>
                <w:noProof/>
                <w:webHidden/>
              </w:rPr>
              <w:fldChar w:fldCharType="separate"/>
            </w:r>
            <w:r w:rsidR="0055391F">
              <w:rPr>
                <w:noProof/>
                <w:webHidden/>
              </w:rPr>
              <w:t>25</w:t>
            </w:r>
            <w:r w:rsidR="00B425E5" w:rsidRPr="00A36BD5">
              <w:rPr>
                <w:noProof/>
                <w:webHidden/>
              </w:rPr>
              <w:fldChar w:fldCharType="end"/>
            </w:r>
          </w:hyperlink>
        </w:p>
        <w:p w14:paraId="3F4D6E32" w14:textId="16E6C579"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56" w:history="1">
            <w:r w:rsidR="00B425E5" w:rsidRPr="00A36BD5">
              <w:rPr>
                <w:rStyle w:val="Hyperlink"/>
                <w:noProof/>
              </w:rPr>
              <w:t>4.2.</w:t>
            </w:r>
            <w:r w:rsidR="00B425E5" w:rsidRPr="00A36BD5">
              <w:rPr>
                <w:rFonts w:eastAsiaTheme="minorEastAsia"/>
                <w:noProof/>
                <w:kern w:val="2"/>
                <w:lang w:val="en-IE" w:eastAsia="en-IE"/>
                <w14:ligatures w14:val="standardContextual"/>
              </w:rPr>
              <w:tab/>
            </w:r>
            <w:r w:rsidR="00B425E5" w:rsidRPr="00A36BD5">
              <w:rPr>
                <w:rStyle w:val="Hyperlink"/>
                <w:noProof/>
              </w:rPr>
              <w:t>Specific objectives</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_Toc223979956 \h </w:instrText>
            </w:r>
            <w:r w:rsidR="00B425E5" w:rsidRPr="00A36BD5">
              <w:rPr>
                <w:noProof/>
                <w:webHidden/>
              </w:rPr>
            </w:r>
            <w:r w:rsidR="00B425E5" w:rsidRPr="00A36BD5">
              <w:rPr>
                <w:noProof/>
                <w:webHidden/>
              </w:rPr>
              <w:fldChar w:fldCharType="separate"/>
            </w:r>
            <w:r w:rsidR="0055391F">
              <w:rPr>
                <w:noProof/>
                <w:webHidden/>
              </w:rPr>
              <w:t>25</w:t>
            </w:r>
            <w:r w:rsidR="00B425E5" w:rsidRPr="00A36BD5">
              <w:rPr>
                <w:noProof/>
                <w:webHidden/>
              </w:rPr>
              <w:fldChar w:fldCharType="end"/>
            </w:r>
          </w:hyperlink>
        </w:p>
        <w:p w14:paraId="18894B4F" w14:textId="5F93365B" w:rsidR="00B425E5" w:rsidRPr="00A36BD5" w:rsidRDefault="00DA297B" w:rsidP="00C20865">
          <w:pPr>
            <w:pStyle w:val="TOC2"/>
            <w:tabs>
              <w:tab w:val="left" w:pos="567"/>
              <w:tab w:val="right" w:leader="dot" w:pos="9317"/>
            </w:tabs>
            <w:ind w:left="0" w:firstLine="0"/>
            <w:rPr>
              <w:rFonts w:eastAsiaTheme="minorEastAsia"/>
              <w:noProof/>
              <w:kern w:val="2"/>
              <w:lang w:val="en-IE" w:eastAsia="en-IE"/>
              <w14:ligatures w14:val="standardContextual"/>
            </w:rPr>
          </w:pPr>
          <w:hyperlink w:anchor="_Toc223979957" w:history="1">
            <w:r w:rsidR="00B425E5" w:rsidRPr="00A36BD5">
              <w:rPr>
                <w:rStyle w:val="Hyperlink"/>
                <w:smallCaps/>
                <w:noProof/>
                <w:spacing w:val="-2"/>
              </w:rPr>
              <w:t>5.</w:t>
            </w:r>
            <w:r w:rsidR="00B425E5" w:rsidRPr="00A36BD5">
              <w:rPr>
                <w:rFonts w:eastAsiaTheme="minorEastAsia"/>
                <w:noProof/>
                <w:kern w:val="2"/>
                <w:lang w:val="en-IE" w:eastAsia="en-IE"/>
                <w14:ligatures w14:val="standardContextual"/>
              </w:rPr>
              <w:tab/>
            </w:r>
            <w:r w:rsidR="00B425E5" w:rsidRPr="00A36BD5">
              <w:rPr>
                <w:rStyle w:val="Hyperlink"/>
                <w:smallCaps/>
                <w:noProof/>
                <w:spacing w:val="-2"/>
              </w:rPr>
              <w:t>What are the available policy options?</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_Toc223979957 \h </w:instrText>
            </w:r>
            <w:r w:rsidR="00B425E5" w:rsidRPr="00A36BD5">
              <w:rPr>
                <w:noProof/>
                <w:webHidden/>
              </w:rPr>
            </w:r>
            <w:r w:rsidR="00B425E5" w:rsidRPr="00A36BD5">
              <w:rPr>
                <w:noProof/>
                <w:webHidden/>
              </w:rPr>
              <w:fldChar w:fldCharType="separate"/>
            </w:r>
            <w:r w:rsidR="0055391F">
              <w:rPr>
                <w:noProof/>
                <w:webHidden/>
              </w:rPr>
              <w:t>26</w:t>
            </w:r>
            <w:r w:rsidR="00B425E5" w:rsidRPr="00A36BD5">
              <w:rPr>
                <w:noProof/>
                <w:webHidden/>
              </w:rPr>
              <w:fldChar w:fldCharType="end"/>
            </w:r>
          </w:hyperlink>
        </w:p>
        <w:p w14:paraId="661AD2B0" w14:textId="67812604"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58" w:history="1">
            <w:r w:rsidR="00B425E5" w:rsidRPr="00A36BD5">
              <w:rPr>
                <w:rStyle w:val="Hyperlink"/>
                <w:noProof/>
              </w:rPr>
              <w:t>5.1.</w:t>
            </w:r>
            <w:r w:rsidR="00B425E5" w:rsidRPr="00A36BD5">
              <w:rPr>
                <w:rFonts w:eastAsiaTheme="minorEastAsia"/>
                <w:noProof/>
                <w:kern w:val="2"/>
                <w:lang w:val="en-IE" w:eastAsia="en-IE"/>
                <w14:ligatures w14:val="standardContextual"/>
              </w:rPr>
              <w:tab/>
            </w:r>
            <w:r w:rsidR="00B425E5" w:rsidRPr="00A36BD5">
              <w:rPr>
                <w:rStyle w:val="Hyperlink"/>
                <w:noProof/>
              </w:rPr>
              <w:t>What is the baseline from which options are assessed?</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_Toc223979958 \h </w:instrText>
            </w:r>
            <w:r w:rsidR="00B425E5" w:rsidRPr="00A36BD5">
              <w:rPr>
                <w:noProof/>
                <w:webHidden/>
              </w:rPr>
            </w:r>
            <w:r w:rsidR="00B425E5" w:rsidRPr="00A36BD5">
              <w:rPr>
                <w:noProof/>
                <w:webHidden/>
              </w:rPr>
              <w:fldChar w:fldCharType="separate"/>
            </w:r>
            <w:r w:rsidR="0055391F">
              <w:rPr>
                <w:noProof/>
                <w:webHidden/>
              </w:rPr>
              <w:t>26</w:t>
            </w:r>
            <w:r w:rsidR="00B425E5" w:rsidRPr="00A36BD5">
              <w:rPr>
                <w:noProof/>
                <w:webHidden/>
              </w:rPr>
              <w:fldChar w:fldCharType="end"/>
            </w:r>
          </w:hyperlink>
        </w:p>
        <w:p w14:paraId="2E11A499" w14:textId="67A3D358"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59" w:history="1">
            <w:r w:rsidR="00B425E5" w:rsidRPr="00A36BD5">
              <w:rPr>
                <w:rStyle w:val="Hyperlink"/>
                <w:noProof/>
              </w:rPr>
              <w:t>5.2.</w:t>
            </w:r>
            <w:r w:rsidR="00B425E5" w:rsidRPr="00A36BD5">
              <w:rPr>
                <w:rFonts w:eastAsiaTheme="minorEastAsia"/>
                <w:noProof/>
                <w:kern w:val="2"/>
                <w:lang w:val="en-IE" w:eastAsia="en-IE"/>
                <w14:ligatures w14:val="standardContextual"/>
              </w:rPr>
              <w:tab/>
            </w:r>
            <w:r w:rsidR="00B425E5" w:rsidRPr="00A36BD5">
              <w:rPr>
                <w:rStyle w:val="Hyperlink"/>
                <w:noProof/>
              </w:rPr>
              <w:t>Description of the policy measures and policy options</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_Toc223979959 \h </w:instrText>
            </w:r>
            <w:r w:rsidR="00B425E5" w:rsidRPr="00A36BD5">
              <w:rPr>
                <w:noProof/>
                <w:webHidden/>
              </w:rPr>
            </w:r>
            <w:r w:rsidR="00B425E5" w:rsidRPr="00A36BD5">
              <w:rPr>
                <w:noProof/>
                <w:webHidden/>
              </w:rPr>
              <w:fldChar w:fldCharType="separate"/>
            </w:r>
            <w:r w:rsidR="0055391F">
              <w:rPr>
                <w:noProof/>
                <w:webHidden/>
              </w:rPr>
              <w:t>28</w:t>
            </w:r>
            <w:r w:rsidR="00B425E5" w:rsidRPr="00A36BD5">
              <w:rPr>
                <w:noProof/>
                <w:webHidden/>
              </w:rPr>
              <w:fldChar w:fldCharType="end"/>
            </w:r>
          </w:hyperlink>
        </w:p>
        <w:p w14:paraId="243950A8" w14:textId="13B1A098" w:rsidR="00B425E5" w:rsidRPr="00A36BD5" w:rsidRDefault="00DA297B" w:rsidP="00C20865">
          <w:pPr>
            <w:pStyle w:val="TOC2"/>
            <w:tabs>
              <w:tab w:val="left" w:pos="426"/>
              <w:tab w:val="right" w:leader="dot" w:pos="9317"/>
            </w:tabs>
            <w:ind w:left="0" w:firstLine="0"/>
            <w:rPr>
              <w:rFonts w:eastAsiaTheme="minorEastAsia"/>
              <w:noProof/>
              <w:kern w:val="2"/>
              <w:lang w:val="en-IE" w:eastAsia="en-IE"/>
              <w14:ligatures w14:val="standardContextual"/>
            </w:rPr>
          </w:pPr>
          <w:hyperlink w:anchor="_Toc223979963" w:history="1">
            <w:r w:rsidR="00B425E5" w:rsidRPr="00A36BD5">
              <w:rPr>
                <w:rStyle w:val="Hyperlink"/>
                <w:smallCaps/>
                <w:noProof/>
                <w:spacing w:val="-2"/>
              </w:rPr>
              <w:t>6.</w:t>
            </w:r>
            <w:r w:rsidR="00B425E5" w:rsidRPr="00A36BD5">
              <w:rPr>
                <w:rFonts w:eastAsiaTheme="minorEastAsia"/>
                <w:noProof/>
                <w:kern w:val="2"/>
                <w:lang w:val="en-IE" w:eastAsia="en-IE"/>
                <w14:ligatures w14:val="standardContextual"/>
              </w:rPr>
              <w:tab/>
            </w:r>
            <w:r w:rsidR="00B425E5" w:rsidRPr="00A36BD5">
              <w:rPr>
                <w:rStyle w:val="Hyperlink"/>
                <w:smallCaps/>
                <w:noProof/>
                <w:spacing w:val="-2"/>
              </w:rPr>
              <w:t>What are the impacts of the policy options?</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_Toc223979963 \h </w:instrText>
            </w:r>
            <w:r w:rsidR="00B425E5" w:rsidRPr="00A36BD5">
              <w:rPr>
                <w:noProof/>
                <w:webHidden/>
              </w:rPr>
            </w:r>
            <w:r w:rsidR="00B425E5" w:rsidRPr="00A36BD5">
              <w:rPr>
                <w:noProof/>
                <w:webHidden/>
              </w:rPr>
              <w:fldChar w:fldCharType="separate"/>
            </w:r>
            <w:r w:rsidR="0055391F">
              <w:rPr>
                <w:noProof/>
                <w:webHidden/>
              </w:rPr>
              <w:t>35</w:t>
            </w:r>
            <w:r w:rsidR="00B425E5" w:rsidRPr="00A36BD5">
              <w:rPr>
                <w:noProof/>
                <w:webHidden/>
              </w:rPr>
              <w:fldChar w:fldCharType="end"/>
            </w:r>
          </w:hyperlink>
        </w:p>
        <w:p w14:paraId="45D7FB26" w14:textId="35D723AA"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64" w:history="1">
            <w:r w:rsidR="00B425E5" w:rsidRPr="00A36BD5">
              <w:rPr>
                <w:rStyle w:val="Hyperlink"/>
                <w:noProof/>
              </w:rPr>
              <w:t>6.1.</w:t>
            </w:r>
            <w:r w:rsidR="00B425E5" w:rsidRPr="00A36BD5">
              <w:rPr>
                <w:rFonts w:eastAsiaTheme="minorEastAsia"/>
                <w:noProof/>
                <w:kern w:val="2"/>
                <w:lang w:val="en-IE" w:eastAsia="en-IE"/>
                <w14:ligatures w14:val="standardContextual"/>
              </w:rPr>
              <w:tab/>
            </w:r>
            <w:r w:rsidR="00B425E5" w:rsidRPr="00A36BD5">
              <w:rPr>
                <w:rStyle w:val="Hyperlink"/>
                <w:noProof/>
              </w:rPr>
              <w:t>Economic impacts</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_Toc223979964 \h </w:instrText>
            </w:r>
            <w:r w:rsidR="00B425E5" w:rsidRPr="00A36BD5">
              <w:rPr>
                <w:noProof/>
                <w:webHidden/>
              </w:rPr>
            </w:r>
            <w:r w:rsidR="00B425E5" w:rsidRPr="00A36BD5">
              <w:rPr>
                <w:noProof/>
                <w:webHidden/>
              </w:rPr>
              <w:fldChar w:fldCharType="separate"/>
            </w:r>
            <w:r w:rsidR="0055391F">
              <w:rPr>
                <w:noProof/>
                <w:webHidden/>
              </w:rPr>
              <w:t>37</w:t>
            </w:r>
            <w:r w:rsidR="00B425E5" w:rsidRPr="00A36BD5">
              <w:rPr>
                <w:noProof/>
                <w:webHidden/>
              </w:rPr>
              <w:fldChar w:fldCharType="end"/>
            </w:r>
          </w:hyperlink>
        </w:p>
        <w:p w14:paraId="6AC62EA0" w14:textId="5D0A04F2"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77" w:history="1">
            <w:r w:rsidR="00B425E5" w:rsidRPr="00A36BD5">
              <w:rPr>
                <w:rStyle w:val="Hyperlink"/>
                <w:noProof/>
              </w:rPr>
              <w:t>6.2.</w:t>
            </w:r>
            <w:r w:rsidR="00B425E5" w:rsidRPr="00A36BD5">
              <w:rPr>
                <w:rFonts w:eastAsiaTheme="minorEastAsia"/>
                <w:noProof/>
                <w:kern w:val="2"/>
                <w:lang w:val="en-IE" w:eastAsia="en-IE"/>
                <w14:ligatures w14:val="standardContextual"/>
              </w:rPr>
              <w:tab/>
            </w:r>
            <w:r w:rsidR="00B425E5" w:rsidRPr="00A36BD5">
              <w:rPr>
                <w:rStyle w:val="Hyperlink"/>
                <w:noProof/>
              </w:rPr>
              <w:t>Social impacts</w:t>
            </w:r>
            <w:r w:rsidR="00B425E5" w:rsidRPr="00A36BD5">
              <w:rPr>
                <w:noProof/>
                <w:webHidden/>
              </w:rPr>
              <w:tab/>
            </w:r>
            <w:r w:rsidR="00C20865" w:rsidRPr="00A36BD5">
              <w:rPr>
                <w:noProof/>
                <w:webHidden/>
              </w:rPr>
              <w:tab/>
            </w:r>
            <w:r w:rsidR="00B425E5" w:rsidRPr="00A36BD5">
              <w:rPr>
                <w:noProof/>
                <w:webHidden/>
              </w:rPr>
              <w:fldChar w:fldCharType="begin"/>
            </w:r>
            <w:r w:rsidR="00B425E5" w:rsidRPr="00A36BD5">
              <w:rPr>
                <w:noProof/>
                <w:webHidden/>
              </w:rPr>
              <w:instrText xml:space="preserve"> PAGEREF _Toc223979977 \h </w:instrText>
            </w:r>
            <w:r w:rsidR="00B425E5" w:rsidRPr="00A36BD5">
              <w:rPr>
                <w:noProof/>
                <w:webHidden/>
              </w:rPr>
            </w:r>
            <w:r w:rsidR="00B425E5" w:rsidRPr="00A36BD5">
              <w:rPr>
                <w:noProof/>
                <w:webHidden/>
              </w:rPr>
              <w:fldChar w:fldCharType="separate"/>
            </w:r>
            <w:r w:rsidR="0055391F">
              <w:rPr>
                <w:noProof/>
                <w:webHidden/>
              </w:rPr>
              <w:t>54</w:t>
            </w:r>
            <w:r w:rsidR="00B425E5" w:rsidRPr="00A36BD5">
              <w:rPr>
                <w:noProof/>
                <w:webHidden/>
              </w:rPr>
              <w:fldChar w:fldCharType="end"/>
            </w:r>
          </w:hyperlink>
        </w:p>
        <w:p w14:paraId="62EFFA6E" w14:textId="37C980A0"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83" w:history="1">
            <w:r w:rsidR="00B425E5" w:rsidRPr="00A36BD5">
              <w:rPr>
                <w:rStyle w:val="Hyperlink"/>
                <w:noProof/>
              </w:rPr>
              <w:t>6.3.</w:t>
            </w:r>
            <w:r w:rsidR="00B425E5" w:rsidRPr="00A36BD5">
              <w:rPr>
                <w:rFonts w:eastAsiaTheme="minorEastAsia"/>
                <w:noProof/>
                <w:kern w:val="2"/>
                <w:lang w:val="en-IE" w:eastAsia="en-IE"/>
                <w14:ligatures w14:val="standardContextual"/>
              </w:rPr>
              <w:tab/>
            </w:r>
            <w:r w:rsidR="00B425E5" w:rsidRPr="00A36BD5">
              <w:rPr>
                <w:rStyle w:val="Hyperlink"/>
                <w:noProof/>
              </w:rPr>
              <w:t>Environmental impacts</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_Toc223979983 \h </w:instrText>
            </w:r>
            <w:r w:rsidR="00B425E5" w:rsidRPr="00A36BD5">
              <w:rPr>
                <w:noProof/>
                <w:webHidden/>
              </w:rPr>
            </w:r>
            <w:r w:rsidR="00B425E5" w:rsidRPr="00A36BD5">
              <w:rPr>
                <w:noProof/>
                <w:webHidden/>
              </w:rPr>
              <w:fldChar w:fldCharType="separate"/>
            </w:r>
            <w:r w:rsidR="0055391F">
              <w:rPr>
                <w:noProof/>
                <w:webHidden/>
              </w:rPr>
              <w:t>56</w:t>
            </w:r>
            <w:r w:rsidR="00B425E5" w:rsidRPr="00A36BD5">
              <w:rPr>
                <w:noProof/>
                <w:webHidden/>
              </w:rPr>
              <w:fldChar w:fldCharType="end"/>
            </w:r>
          </w:hyperlink>
        </w:p>
        <w:p w14:paraId="2B67325E" w14:textId="7F6BFE78"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84" w:history="1">
            <w:r w:rsidR="00B425E5" w:rsidRPr="00A36BD5">
              <w:rPr>
                <w:rStyle w:val="Hyperlink"/>
                <w:noProof/>
              </w:rPr>
              <w:t>6.4.</w:t>
            </w:r>
            <w:r w:rsidR="00B425E5" w:rsidRPr="00A36BD5">
              <w:rPr>
                <w:rFonts w:eastAsiaTheme="minorEastAsia"/>
                <w:noProof/>
                <w:kern w:val="2"/>
                <w:lang w:val="en-IE" w:eastAsia="en-IE"/>
                <w14:ligatures w14:val="standardContextual"/>
              </w:rPr>
              <w:tab/>
            </w:r>
            <w:r w:rsidR="00B425E5" w:rsidRPr="00A36BD5">
              <w:rPr>
                <w:rStyle w:val="Hyperlink"/>
                <w:noProof/>
              </w:rPr>
              <w:t>Summary of the economic, social and environmental impacts</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_Toc223979984 \h </w:instrText>
            </w:r>
            <w:r w:rsidR="00B425E5" w:rsidRPr="00A36BD5">
              <w:rPr>
                <w:noProof/>
                <w:webHidden/>
              </w:rPr>
            </w:r>
            <w:r w:rsidR="00B425E5" w:rsidRPr="00A36BD5">
              <w:rPr>
                <w:noProof/>
                <w:webHidden/>
              </w:rPr>
              <w:fldChar w:fldCharType="separate"/>
            </w:r>
            <w:r w:rsidR="0055391F">
              <w:rPr>
                <w:noProof/>
                <w:webHidden/>
              </w:rPr>
              <w:t>57</w:t>
            </w:r>
            <w:r w:rsidR="00B425E5" w:rsidRPr="00A36BD5">
              <w:rPr>
                <w:noProof/>
                <w:webHidden/>
              </w:rPr>
              <w:fldChar w:fldCharType="end"/>
            </w:r>
          </w:hyperlink>
        </w:p>
        <w:p w14:paraId="310402E9" w14:textId="554FD441" w:rsidR="00B425E5" w:rsidRPr="00A36BD5" w:rsidRDefault="00DA297B" w:rsidP="00C20865">
          <w:pPr>
            <w:pStyle w:val="TOC2"/>
            <w:tabs>
              <w:tab w:val="left" w:pos="426"/>
              <w:tab w:val="right" w:leader="dot" w:pos="9317"/>
            </w:tabs>
            <w:ind w:left="0" w:firstLine="0"/>
            <w:rPr>
              <w:rFonts w:eastAsiaTheme="minorEastAsia"/>
              <w:noProof/>
              <w:kern w:val="2"/>
              <w:lang w:val="en-IE" w:eastAsia="en-IE"/>
              <w14:ligatures w14:val="standardContextual"/>
            </w:rPr>
          </w:pPr>
          <w:hyperlink w:anchor="_Toc223979985" w:history="1">
            <w:r w:rsidR="00B425E5" w:rsidRPr="00A36BD5">
              <w:rPr>
                <w:rStyle w:val="Hyperlink"/>
                <w:smallCaps/>
                <w:noProof/>
                <w:spacing w:val="-2"/>
              </w:rPr>
              <w:t>7.</w:t>
            </w:r>
            <w:r w:rsidR="00B425E5" w:rsidRPr="00A36BD5">
              <w:rPr>
                <w:rFonts w:eastAsiaTheme="minorEastAsia"/>
                <w:noProof/>
                <w:kern w:val="2"/>
                <w:lang w:val="en-IE" w:eastAsia="en-IE"/>
                <w14:ligatures w14:val="standardContextual"/>
              </w:rPr>
              <w:tab/>
            </w:r>
            <w:r w:rsidR="00B425E5" w:rsidRPr="00A36BD5">
              <w:rPr>
                <w:rStyle w:val="Hyperlink"/>
                <w:smallCaps/>
                <w:noProof/>
                <w:spacing w:val="-2"/>
              </w:rPr>
              <w:t>How do the options compare?</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_Toc223979985 \h </w:instrText>
            </w:r>
            <w:r w:rsidR="00B425E5" w:rsidRPr="00A36BD5">
              <w:rPr>
                <w:noProof/>
                <w:webHidden/>
              </w:rPr>
            </w:r>
            <w:r w:rsidR="00B425E5" w:rsidRPr="00A36BD5">
              <w:rPr>
                <w:noProof/>
                <w:webHidden/>
              </w:rPr>
              <w:fldChar w:fldCharType="separate"/>
            </w:r>
            <w:r w:rsidR="0055391F">
              <w:rPr>
                <w:noProof/>
                <w:webHidden/>
              </w:rPr>
              <w:t>59</w:t>
            </w:r>
            <w:r w:rsidR="00B425E5" w:rsidRPr="00A36BD5">
              <w:rPr>
                <w:noProof/>
                <w:webHidden/>
              </w:rPr>
              <w:fldChar w:fldCharType="end"/>
            </w:r>
          </w:hyperlink>
        </w:p>
        <w:p w14:paraId="01F0786B" w14:textId="65922FEE"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86" w:history="1">
            <w:r w:rsidR="00B425E5" w:rsidRPr="00A36BD5">
              <w:rPr>
                <w:rStyle w:val="Hyperlink"/>
                <w:noProof/>
              </w:rPr>
              <w:t>7.1.</w:t>
            </w:r>
            <w:r w:rsidR="00B425E5" w:rsidRPr="00A36BD5">
              <w:rPr>
                <w:rFonts w:eastAsiaTheme="minorEastAsia"/>
                <w:noProof/>
                <w:kern w:val="2"/>
                <w:lang w:val="en-IE" w:eastAsia="en-IE"/>
                <w14:ligatures w14:val="standardContextual"/>
              </w:rPr>
              <w:tab/>
            </w:r>
            <w:r w:rsidR="00B425E5" w:rsidRPr="00A36BD5">
              <w:rPr>
                <w:rStyle w:val="Hyperlink"/>
                <w:noProof/>
              </w:rPr>
              <w:t>Effectiveness</w:t>
            </w:r>
            <w:r w:rsidR="00B425E5" w:rsidRPr="00A36BD5">
              <w:rPr>
                <w:noProof/>
                <w:webHidden/>
              </w:rPr>
              <w:tab/>
            </w:r>
            <w:r w:rsidR="00C20865" w:rsidRPr="00A36BD5">
              <w:rPr>
                <w:noProof/>
                <w:webHidden/>
              </w:rPr>
              <w:tab/>
            </w:r>
            <w:r w:rsidR="00B425E5" w:rsidRPr="00A36BD5">
              <w:rPr>
                <w:noProof/>
                <w:webHidden/>
              </w:rPr>
              <w:fldChar w:fldCharType="begin"/>
            </w:r>
            <w:r w:rsidR="00B425E5" w:rsidRPr="00A36BD5">
              <w:rPr>
                <w:noProof/>
                <w:webHidden/>
              </w:rPr>
              <w:instrText xml:space="preserve"> PAGEREF _Toc223979986 \h </w:instrText>
            </w:r>
            <w:r w:rsidR="00B425E5" w:rsidRPr="00A36BD5">
              <w:rPr>
                <w:noProof/>
                <w:webHidden/>
              </w:rPr>
            </w:r>
            <w:r w:rsidR="00B425E5" w:rsidRPr="00A36BD5">
              <w:rPr>
                <w:noProof/>
                <w:webHidden/>
              </w:rPr>
              <w:fldChar w:fldCharType="separate"/>
            </w:r>
            <w:r w:rsidR="0055391F">
              <w:rPr>
                <w:noProof/>
                <w:webHidden/>
              </w:rPr>
              <w:t>59</w:t>
            </w:r>
            <w:r w:rsidR="00B425E5" w:rsidRPr="00A36BD5">
              <w:rPr>
                <w:noProof/>
                <w:webHidden/>
              </w:rPr>
              <w:fldChar w:fldCharType="end"/>
            </w:r>
          </w:hyperlink>
        </w:p>
        <w:p w14:paraId="01485733" w14:textId="6E8AA278"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87" w:history="1">
            <w:r w:rsidR="00B425E5" w:rsidRPr="00A36BD5">
              <w:rPr>
                <w:rStyle w:val="Hyperlink"/>
                <w:noProof/>
              </w:rPr>
              <w:t>7.2.</w:t>
            </w:r>
            <w:r w:rsidR="00B425E5" w:rsidRPr="00A36BD5">
              <w:rPr>
                <w:rFonts w:eastAsiaTheme="minorEastAsia"/>
                <w:noProof/>
                <w:kern w:val="2"/>
                <w:lang w:val="en-IE" w:eastAsia="en-IE"/>
                <w14:ligatures w14:val="standardContextual"/>
              </w:rPr>
              <w:tab/>
            </w:r>
            <w:r w:rsidR="00B425E5" w:rsidRPr="00A36BD5">
              <w:rPr>
                <w:rStyle w:val="Hyperlink"/>
                <w:noProof/>
              </w:rPr>
              <w:t>Efficiency</w:t>
            </w:r>
            <w:r w:rsidR="00B425E5" w:rsidRPr="00A36BD5">
              <w:rPr>
                <w:noProof/>
                <w:webHidden/>
              </w:rPr>
              <w:tab/>
            </w:r>
            <w:r w:rsidR="00C20865" w:rsidRPr="00A36BD5">
              <w:rPr>
                <w:noProof/>
                <w:webHidden/>
              </w:rPr>
              <w:tab/>
            </w:r>
            <w:r w:rsidR="00B425E5" w:rsidRPr="00A36BD5">
              <w:rPr>
                <w:noProof/>
                <w:webHidden/>
              </w:rPr>
              <w:fldChar w:fldCharType="begin"/>
            </w:r>
            <w:r w:rsidR="00B425E5" w:rsidRPr="00A36BD5">
              <w:rPr>
                <w:noProof/>
                <w:webHidden/>
              </w:rPr>
              <w:instrText xml:space="preserve"> PAGEREF _Toc223979987 \h </w:instrText>
            </w:r>
            <w:r w:rsidR="00B425E5" w:rsidRPr="00A36BD5">
              <w:rPr>
                <w:noProof/>
                <w:webHidden/>
              </w:rPr>
            </w:r>
            <w:r w:rsidR="00B425E5" w:rsidRPr="00A36BD5">
              <w:rPr>
                <w:noProof/>
                <w:webHidden/>
              </w:rPr>
              <w:fldChar w:fldCharType="separate"/>
            </w:r>
            <w:r w:rsidR="0055391F">
              <w:rPr>
                <w:noProof/>
                <w:webHidden/>
              </w:rPr>
              <w:t>60</w:t>
            </w:r>
            <w:r w:rsidR="00B425E5" w:rsidRPr="00A36BD5">
              <w:rPr>
                <w:noProof/>
                <w:webHidden/>
              </w:rPr>
              <w:fldChar w:fldCharType="end"/>
            </w:r>
          </w:hyperlink>
        </w:p>
        <w:p w14:paraId="4F45E717" w14:textId="0CB537D0"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88" w:history="1">
            <w:r w:rsidR="00B425E5" w:rsidRPr="00A36BD5">
              <w:rPr>
                <w:rStyle w:val="Hyperlink"/>
                <w:noProof/>
              </w:rPr>
              <w:t>7.3.</w:t>
            </w:r>
            <w:r w:rsidR="00B425E5" w:rsidRPr="00A36BD5">
              <w:rPr>
                <w:rFonts w:eastAsiaTheme="minorEastAsia"/>
                <w:noProof/>
                <w:kern w:val="2"/>
                <w:lang w:val="en-IE" w:eastAsia="en-IE"/>
                <w14:ligatures w14:val="standardContextual"/>
              </w:rPr>
              <w:tab/>
            </w:r>
            <w:r w:rsidR="00B425E5" w:rsidRPr="00A36BD5">
              <w:rPr>
                <w:rStyle w:val="Hyperlink"/>
                <w:noProof/>
              </w:rPr>
              <w:t>Coherence</w:t>
            </w:r>
            <w:r w:rsidR="00B425E5" w:rsidRPr="00A36BD5">
              <w:rPr>
                <w:noProof/>
                <w:webHidden/>
              </w:rPr>
              <w:tab/>
            </w:r>
            <w:r w:rsidR="00C20865" w:rsidRPr="00A36BD5">
              <w:rPr>
                <w:noProof/>
                <w:webHidden/>
              </w:rPr>
              <w:tab/>
            </w:r>
            <w:r w:rsidR="00B425E5" w:rsidRPr="00A36BD5">
              <w:rPr>
                <w:noProof/>
                <w:webHidden/>
              </w:rPr>
              <w:fldChar w:fldCharType="begin"/>
            </w:r>
            <w:r w:rsidR="00B425E5" w:rsidRPr="00A36BD5">
              <w:rPr>
                <w:noProof/>
                <w:webHidden/>
              </w:rPr>
              <w:instrText xml:space="preserve"> PAGEREF _Toc223979988 \h </w:instrText>
            </w:r>
            <w:r w:rsidR="00B425E5" w:rsidRPr="00A36BD5">
              <w:rPr>
                <w:noProof/>
                <w:webHidden/>
              </w:rPr>
            </w:r>
            <w:r w:rsidR="00B425E5" w:rsidRPr="00A36BD5">
              <w:rPr>
                <w:noProof/>
                <w:webHidden/>
              </w:rPr>
              <w:fldChar w:fldCharType="separate"/>
            </w:r>
            <w:r w:rsidR="0055391F">
              <w:rPr>
                <w:noProof/>
                <w:webHidden/>
              </w:rPr>
              <w:t>63</w:t>
            </w:r>
            <w:r w:rsidR="00B425E5" w:rsidRPr="00A36BD5">
              <w:rPr>
                <w:noProof/>
                <w:webHidden/>
              </w:rPr>
              <w:fldChar w:fldCharType="end"/>
            </w:r>
          </w:hyperlink>
        </w:p>
        <w:p w14:paraId="47BF4A98" w14:textId="4CD2C296"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89" w:history="1">
            <w:r w:rsidR="00B425E5" w:rsidRPr="00A36BD5">
              <w:rPr>
                <w:rStyle w:val="Hyperlink"/>
                <w:noProof/>
              </w:rPr>
              <w:t>7.4.</w:t>
            </w:r>
            <w:r w:rsidR="00B425E5" w:rsidRPr="00A36BD5">
              <w:rPr>
                <w:rFonts w:eastAsiaTheme="minorEastAsia"/>
                <w:noProof/>
                <w:kern w:val="2"/>
                <w:lang w:val="en-IE" w:eastAsia="en-IE"/>
                <w14:ligatures w14:val="standardContextual"/>
              </w:rPr>
              <w:tab/>
            </w:r>
            <w:r w:rsidR="00B425E5" w:rsidRPr="00A36BD5">
              <w:rPr>
                <w:rStyle w:val="Hyperlink"/>
                <w:noProof/>
              </w:rPr>
              <w:t>Subsidiarity and proportionality</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_Toc223979989 \h </w:instrText>
            </w:r>
            <w:r w:rsidR="00B425E5" w:rsidRPr="00A36BD5">
              <w:rPr>
                <w:noProof/>
                <w:webHidden/>
              </w:rPr>
            </w:r>
            <w:r w:rsidR="00B425E5" w:rsidRPr="00A36BD5">
              <w:rPr>
                <w:noProof/>
                <w:webHidden/>
              </w:rPr>
              <w:fldChar w:fldCharType="separate"/>
            </w:r>
            <w:r w:rsidR="0055391F">
              <w:rPr>
                <w:noProof/>
                <w:webHidden/>
              </w:rPr>
              <w:t>64</w:t>
            </w:r>
            <w:r w:rsidR="00B425E5" w:rsidRPr="00A36BD5">
              <w:rPr>
                <w:noProof/>
                <w:webHidden/>
              </w:rPr>
              <w:fldChar w:fldCharType="end"/>
            </w:r>
          </w:hyperlink>
        </w:p>
        <w:p w14:paraId="109D8FE0" w14:textId="5D049118"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90" w:history="1">
            <w:r w:rsidR="00B425E5" w:rsidRPr="00A36BD5">
              <w:rPr>
                <w:rStyle w:val="Hyperlink"/>
                <w:noProof/>
              </w:rPr>
              <w:t>7.5.</w:t>
            </w:r>
            <w:r w:rsidR="00B425E5" w:rsidRPr="00A36BD5">
              <w:rPr>
                <w:rFonts w:eastAsiaTheme="minorEastAsia"/>
                <w:noProof/>
                <w:kern w:val="2"/>
                <w:lang w:val="en-IE" w:eastAsia="en-IE"/>
                <w14:ligatures w14:val="standardContextual"/>
              </w:rPr>
              <w:tab/>
            </w:r>
            <w:r w:rsidR="00B425E5" w:rsidRPr="00A36BD5">
              <w:rPr>
                <w:rStyle w:val="Hyperlink"/>
                <w:noProof/>
              </w:rPr>
              <w:t>Summary of the effectiveness, efficiency, coherence, subsidiarity and proportionality</w:t>
            </w:r>
            <w:r w:rsidR="00B425E5" w:rsidRPr="00A36BD5">
              <w:rPr>
                <w:noProof/>
                <w:webHidden/>
              </w:rPr>
              <w:tab/>
            </w:r>
            <w:r w:rsidR="00C20865" w:rsidRPr="00A36BD5">
              <w:rPr>
                <w:noProof/>
                <w:webHidden/>
              </w:rPr>
              <w:tab/>
            </w:r>
            <w:r w:rsidR="00C20865" w:rsidRPr="00A36BD5">
              <w:rPr>
                <w:noProof/>
                <w:webHidden/>
              </w:rPr>
              <w:tab/>
            </w:r>
            <w:r w:rsidR="00B425E5" w:rsidRPr="00A36BD5">
              <w:rPr>
                <w:noProof/>
                <w:webHidden/>
              </w:rPr>
              <w:fldChar w:fldCharType="begin"/>
            </w:r>
            <w:r w:rsidR="00B425E5" w:rsidRPr="00A36BD5">
              <w:rPr>
                <w:noProof/>
                <w:webHidden/>
              </w:rPr>
              <w:instrText xml:space="preserve"> PAGEREF _Toc223979990 \h </w:instrText>
            </w:r>
            <w:r w:rsidR="00B425E5" w:rsidRPr="00A36BD5">
              <w:rPr>
                <w:noProof/>
                <w:webHidden/>
              </w:rPr>
            </w:r>
            <w:r w:rsidR="00B425E5" w:rsidRPr="00A36BD5">
              <w:rPr>
                <w:noProof/>
                <w:webHidden/>
              </w:rPr>
              <w:fldChar w:fldCharType="separate"/>
            </w:r>
            <w:r w:rsidR="0055391F">
              <w:rPr>
                <w:noProof/>
                <w:webHidden/>
              </w:rPr>
              <w:t>65</w:t>
            </w:r>
            <w:r w:rsidR="00B425E5" w:rsidRPr="00A36BD5">
              <w:rPr>
                <w:noProof/>
                <w:webHidden/>
              </w:rPr>
              <w:fldChar w:fldCharType="end"/>
            </w:r>
          </w:hyperlink>
        </w:p>
        <w:p w14:paraId="07A53203" w14:textId="7A034797"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91" w:history="1">
            <w:r w:rsidR="00B425E5" w:rsidRPr="00A36BD5">
              <w:rPr>
                <w:rStyle w:val="Hyperlink"/>
                <w:noProof/>
              </w:rPr>
              <w:t>7.6.</w:t>
            </w:r>
            <w:r w:rsidR="00B425E5" w:rsidRPr="00A36BD5">
              <w:rPr>
                <w:rFonts w:eastAsiaTheme="minorEastAsia"/>
                <w:noProof/>
                <w:kern w:val="2"/>
                <w:lang w:val="en-IE" w:eastAsia="en-IE"/>
                <w14:ligatures w14:val="standardContextual"/>
              </w:rPr>
              <w:tab/>
            </w:r>
            <w:r w:rsidR="00B425E5" w:rsidRPr="00A36BD5">
              <w:rPr>
                <w:rStyle w:val="Hyperlink"/>
                <w:noProof/>
              </w:rPr>
              <w:t>Sensitivity analysis</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_Toc223979991 \h </w:instrText>
            </w:r>
            <w:r w:rsidR="00B425E5" w:rsidRPr="00A36BD5">
              <w:rPr>
                <w:noProof/>
                <w:webHidden/>
              </w:rPr>
            </w:r>
            <w:r w:rsidR="00B425E5" w:rsidRPr="00A36BD5">
              <w:rPr>
                <w:noProof/>
                <w:webHidden/>
              </w:rPr>
              <w:fldChar w:fldCharType="separate"/>
            </w:r>
            <w:r w:rsidR="0055391F">
              <w:rPr>
                <w:noProof/>
                <w:webHidden/>
              </w:rPr>
              <w:t>66</w:t>
            </w:r>
            <w:r w:rsidR="00B425E5" w:rsidRPr="00A36BD5">
              <w:rPr>
                <w:noProof/>
                <w:webHidden/>
              </w:rPr>
              <w:fldChar w:fldCharType="end"/>
            </w:r>
          </w:hyperlink>
        </w:p>
        <w:p w14:paraId="677C41F4" w14:textId="6F3B0BEB" w:rsidR="00B425E5" w:rsidRPr="00A36BD5" w:rsidRDefault="00DA297B" w:rsidP="00C20865">
          <w:pPr>
            <w:pStyle w:val="TOC2"/>
            <w:tabs>
              <w:tab w:val="left" w:pos="426"/>
              <w:tab w:val="right" w:leader="dot" w:pos="9317"/>
            </w:tabs>
            <w:ind w:left="0" w:firstLine="0"/>
            <w:rPr>
              <w:rFonts w:eastAsiaTheme="minorEastAsia"/>
              <w:noProof/>
              <w:kern w:val="2"/>
              <w:lang w:val="en-IE" w:eastAsia="en-IE"/>
              <w14:ligatures w14:val="standardContextual"/>
            </w:rPr>
          </w:pPr>
          <w:hyperlink w:anchor="_Toc223979992" w:history="1">
            <w:r w:rsidR="00B425E5" w:rsidRPr="00A36BD5">
              <w:rPr>
                <w:rStyle w:val="Hyperlink"/>
                <w:smallCaps/>
                <w:noProof/>
                <w:spacing w:val="-2"/>
              </w:rPr>
              <w:t>8.</w:t>
            </w:r>
            <w:r w:rsidR="00B425E5" w:rsidRPr="00A36BD5">
              <w:rPr>
                <w:rFonts w:eastAsiaTheme="minorEastAsia"/>
                <w:noProof/>
                <w:kern w:val="2"/>
                <w:lang w:val="en-IE" w:eastAsia="en-IE"/>
                <w14:ligatures w14:val="standardContextual"/>
              </w:rPr>
              <w:tab/>
            </w:r>
            <w:r w:rsidR="00B425E5" w:rsidRPr="00A36BD5">
              <w:rPr>
                <w:rStyle w:val="Hyperlink"/>
                <w:smallCaps/>
                <w:noProof/>
                <w:spacing w:val="-2"/>
              </w:rPr>
              <w:t>Preferred option</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_Toc223979992 \h </w:instrText>
            </w:r>
            <w:r w:rsidR="00B425E5" w:rsidRPr="00A36BD5">
              <w:rPr>
                <w:noProof/>
                <w:webHidden/>
              </w:rPr>
            </w:r>
            <w:r w:rsidR="00B425E5" w:rsidRPr="00A36BD5">
              <w:rPr>
                <w:noProof/>
                <w:webHidden/>
              </w:rPr>
              <w:fldChar w:fldCharType="separate"/>
            </w:r>
            <w:r w:rsidR="0055391F">
              <w:rPr>
                <w:noProof/>
                <w:webHidden/>
              </w:rPr>
              <w:t>69</w:t>
            </w:r>
            <w:r w:rsidR="00B425E5" w:rsidRPr="00A36BD5">
              <w:rPr>
                <w:noProof/>
                <w:webHidden/>
              </w:rPr>
              <w:fldChar w:fldCharType="end"/>
            </w:r>
          </w:hyperlink>
        </w:p>
        <w:p w14:paraId="24FB1591" w14:textId="44378391"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93" w:history="1">
            <w:r w:rsidR="00B425E5" w:rsidRPr="00A36BD5">
              <w:rPr>
                <w:rStyle w:val="Hyperlink"/>
                <w:noProof/>
              </w:rPr>
              <w:t>8.1.</w:t>
            </w:r>
            <w:r w:rsidR="00B425E5" w:rsidRPr="00A36BD5">
              <w:rPr>
                <w:rFonts w:eastAsiaTheme="minorEastAsia"/>
                <w:noProof/>
                <w:kern w:val="2"/>
                <w:lang w:val="en-IE" w:eastAsia="en-IE"/>
                <w14:ligatures w14:val="standardContextual"/>
              </w:rPr>
              <w:tab/>
            </w:r>
            <w:r w:rsidR="00B425E5" w:rsidRPr="00A36BD5">
              <w:rPr>
                <w:rStyle w:val="Hyperlink"/>
                <w:noProof/>
              </w:rPr>
              <w:t>Identification of the preferred policy option and stakeholder views</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_Toc223979993 \h </w:instrText>
            </w:r>
            <w:r w:rsidR="00B425E5" w:rsidRPr="00A36BD5">
              <w:rPr>
                <w:noProof/>
                <w:webHidden/>
              </w:rPr>
            </w:r>
            <w:r w:rsidR="00B425E5" w:rsidRPr="00A36BD5">
              <w:rPr>
                <w:noProof/>
                <w:webHidden/>
              </w:rPr>
              <w:fldChar w:fldCharType="separate"/>
            </w:r>
            <w:r w:rsidR="0055391F">
              <w:rPr>
                <w:noProof/>
                <w:webHidden/>
              </w:rPr>
              <w:t>69</w:t>
            </w:r>
            <w:r w:rsidR="00B425E5" w:rsidRPr="00A36BD5">
              <w:rPr>
                <w:noProof/>
                <w:webHidden/>
              </w:rPr>
              <w:fldChar w:fldCharType="end"/>
            </w:r>
          </w:hyperlink>
        </w:p>
        <w:p w14:paraId="4F77330B" w14:textId="5DFB7AE5"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94" w:history="1">
            <w:r w:rsidR="00B425E5" w:rsidRPr="00A36BD5">
              <w:rPr>
                <w:rStyle w:val="Hyperlink"/>
                <w:noProof/>
              </w:rPr>
              <w:t>8.2.</w:t>
            </w:r>
            <w:r w:rsidR="00B425E5" w:rsidRPr="00A36BD5">
              <w:rPr>
                <w:rFonts w:eastAsiaTheme="minorEastAsia"/>
                <w:noProof/>
                <w:kern w:val="2"/>
                <w:lang w:val="en-IE" w:eastAsia="en-IE"/>
                <w14:ligatures w14:val="standardContextual"/>
              </w:rPr>
              <w:tab/>
            </w:r>
            <w:r w:rsidR="00B425E5" w:rsidRPr="00A36BD5">
              <w:rPr>
                <w:rStyle w:val="Hyperlink"/>
                <w:noProof/>
              </w:rPr>
              <w:t>REFIT (simplification and improved efficiency)</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_Toc223979994 \h </w:instrText>
            </w:r>
            <w:r w:rsidR="00B425E5" w:rsidRPr="00A36BD5">
              <w:rPr>
                <w:noProof/>
                <w:webHidden/>
              </w:rPr>
            </w:r>
            <w:r w:rsidR="00B425E5" w:rsidRPr="00A36BD5">
              <w:rPr>
                <w:noProof/>
                <w:webHidden/>
              </w:rPr>
              <w:fldChar w:fldCharType="separate"/>
            </w:r>
            <w:r w:rsidR="0055391F">
              <w:rPr>
                <w:noProof/>
                <w:webHidden/>
              </w:rPr>
              <w:t>70</w:t>
            </w:r>
            <w:r w:rsidR="00B425E5" w:rsidRPr="00A36BD5">
              <w:rPr>
                <w:noProof/>
                <w:webHidden/>
              </w:rPr>
              <w:fldChar w:fldCharType="end"/>
            </w:r>
          </w:hyperlink>
        </w:p>
        <w:p w14:paraId="2AEDFEE5" w14:textId="77B52F71" w:rsidR="00B425E5" w:rsidRPr="00A36BD5" w:rsidRDefault="00DA297B" w:rsidP="00C20865">
          <w:pPr>
            <w:pStyle w:val="TOC2"/>
            <w:tabs>
              <w:tab w:val="left" w:pos="2426"/>
              <w:tab w:val="right" w:leader="dot" w:pos="9317"/>
            </w:tabs>
            <w:ind w:left="993"/>
            <w:rPr>
              <w:rFonts w:eastAsiaTheme="minorEastAsia"/>
              <w:noProof/>
              <w:kern w:val="2"/>
              <w:lang w:val="en-IE" w:eastAsia="en-IE"/>
              <w14:ligatures w14:val="standardContextual"/>
            </w:rPr>
          </w:pPr>
          <w:hyperlink w:anchor="_Toc223979995" w:history="1">
            <w:r w:rsidR="00B425E5" w:rsidRPr="00A36BD5">
              <w:rPr>
                <w:rStyle w:val="Hyperlink"/>
                <w:noProof/>
              </w:rPr>
              <w:t>8.3.</w:t>
            </w:r>
            <w:r w:rsidR="00B425E5" w:rsidRPr="00A36BD5">
              <w:rPr>
                <w:rFonts w:eastAsiaTheme="minorEastAsia"/>
                <w:noProof/>
                <w:kern w:val="2"/>
                <w:lang w:val="en-IE" w:eastAsia="en-IE"/>
                <w14:ligatures w14:val="standardContextual"/>
              </w:rPr>
              <w:tab/>
            </w:r>
            <w:r w:rsidR="00B425E5" w:rsidRPr="00A36BD5">
              <w:rPr>
                <w:rStyle w:val="Hyperlink"/>
                <w:noProof/>
              </w:rPr>
              <w:t>Application of the ‘one in, one out’ approach</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_Toc223979995 \h </w:instrText>
            </w:r>
            <w:r w:rsidR="00B425E5" w:rsidRPr="00A36BD5">
              <w:rPr>
                <w:noProof/>
                <w:webHidden/>
              </w:rPr>
            </w:r>
            <w:r w:rsidR="00B425E5" w:rsidRPr="00A36BD5">
              <w:rPr>
                <w:noProof/>
                <w:webHidden/>
              </w:rPr>
              <w:fldChar w:fldCharType="separate"/>
            </w:r>
            <w:r w:rsidR="0055391F">
              <w:rPr>
                <w:noProof/>
                <w:webHidden/>
              </w:rPr>
              <w:t>70</w:t>
            </w:r>
            <w:r w:rsidR="00B425E5" w:rsidRPr="00A36BD5">
              <w:rPr>
                <w:noProof/>
                <w:webHidden/>
              </w:rPr>
              <w:fldChar w:fldCharType="end"/>
            </w:r>
          </w:hyperlink>
        </w:p>
        <w:p w14:paraId="07585F20" w14:textId="3828EC27" w:rsidR="00B425E5" w:rsidRPr="00A36BD5" w:rsidRDefault="00DA297B" w:rsidP="00C20865">
          <w:pPr>
            <w:pStyle w:val="TOC2"/>
            <w:tabs>
              <w:tab w:val="left" w:pos="426"/>
              <w:tab w:val="right" w:leader="dot" w:pos="9317"/>
            </w:tabs>
            <w:ind w:left="0" w:firstLine="0"/>
            <w:rPr>
              <w:rFonts w:eastAsiaTheme="minorEastAsia"/>
              <w:noProof/>
              <w:kern w:val="2"/>
              <w:lang w:val="en-IE" w:eastAsia="en-IE"/>
              <w14:ligatures w14:val="standardContextual"/>
            </w:rPr>
          </w:pPr>
          <w:hyperlink w:anchor="_Toc223979996" w:history="1">
            <w:r w:rsidR="00B425E5" w:rsidRPr="00A36BD5">
              <w:rPr>
                <w:rStyle w:val="Hyperlink"/>
                <w:smallCaps/>
                <w:noProof/>
                <w:spacing w:val="-2"/>
              </w:rPr>
              <w:t>9.</w:t>
            </w:r>
            <w:r w:rsidR="00B425E5" w:rsidRPr="00A36BD5">
              <w:rPr>
                <w:rFonts w:eastAsiaTheme="minorEastAsia"/>
                <w:noProof/>
                <w:kern w:val="2"/>
                <w:lang w:val="en-IE" w:eastAsia="en-IE"/>
                <w14:ligatures w14:val="standardContextual"/>
              </w:rPr>
              <w:tab/>
            </w:r>
            <w:r w:rsidR="00B425E5" w:rsidRPr="00A36BD5">
              <w:rPr>
                <w:rStyle w:val="Hyperlink"/>
                <w:smallCaps/>
                <w:noProof/>
                <w:spacing w:val="-2"/>
              </w:rPr>
              <w:t>How will actual impacts be monitored and evaluated</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_Toc223979996 \h </w:instrText>
            </w:r>
            <w:r w:rsidR="00B425E5" w:rsidRPr="00A36BD5">
              <w:rPr>
                <w:noProof/>
                <w:webHidden/>
              </w:rPr>
            </w:r>
            <w:r w:rsidR="00B425E5" w:rsidRPr="00A36BD5">
              <w:rPr>
                <w:noProof/>
                <w:webHidden/>
              </w:rPr>
              <w:fldChar w:fldCharType="separate"/>
            </w:r>
            <w:r w:rsidR="0055391F">
              <w:rPr>
                <w:noProof/>
                <w:webHidden/>
              </w:rPr>
              <w:t>71</w:t>
            </w:r>
            <w:r w:rsidR="00B425E5" w:rsidRPr="00A36BD5">
              <w:rPr>
                <w:noProof/>
                <w:webHidden/>
              </w:rPr>
              <w:fldChar w:fldCharType="end"/>
            </w:r>
          </w:hyperlink>
        </w:p>
        <w:p w14:paraId="6446107C" w14:textId="17622E44" w:rsidR="00B425E5" w:rsidRPr="00A36BD5" w:rsidRDefault="00DA297B" w:rsidP="00C20865">
          <w:pPr>
            <w:pStyle w:val="TOC1"/>
            <w:tabs>
              <w:tab w:val="right" w:leader="dot" w:pos="9317"/>
            </w:tabs>
            <w:rPr>
              <w:rFonts w:eastAsiaTheme="minorEastAsia"/>
              <w:noProof/>
              <w:kern w:val="2"/>
              <w:lang w:val="en-IE" w:eastAsia="en-IE"/>
              <w14:ligatures w14:val="standardContextual"/>
            </w:rPr>
          </w:pPr>
          <w:hyperlink w:anchor="_Toc223979997" w:history="1">
            <w:r w:rsidR="00B425E5" w:rsidRPr="00A36BD5">
              <w:rPr>
                <w:rStyle w:val="Hyperlink"/>
                <w:smallCaps/>
                <w:noProof/>
              </w:rPr>
              <w:t>Annex</w:t>
            </w:r>
            <w:r w:rsidR="00B425E5" w:rsidRPr="00A36BD5">
              <w:rPr>
                <w:rStyle w:val="Hyperlink"/>
                <w:smallCaps/>
                <w:noProof/>
                <w:spacing w:val="-14"/>
              </w:rPr>
              <w:t xml:space="preserve"> </w:t>
            </w:r>
            <w:r w:rsidR="00B425E5" w:rsidRPr="00A36BD5">
              <w:rPr>
                <w:rStyle w:val="Hyperlink"/>
                <w:smallCaps/>
                <w:noProof/>
              </w:rPr>
              <w:t>1:</w:t>
            </w:r>
            <w:r w:rsidR="00B425E5" w:rsidRPr="00A36BD5">
              <w:rPr>
                <w:rStyle w:val="Hyperlink"/>
                <w:smallCaps/>
                <w:noProof/>
                <w:spacing w:val="-15"/>
              </w:rPr>
              <w:t xml:space="preserve"> </w:t>
            </w:r>
            <w:r w:rsidR="00B425E5" w:rsidRPr="00A36BD5">
              <w:rPr>
                <w:rStyle w:val="Hyperlink"/>
                <w:smallCaps/>
                <w:noProof/>
              </w:rPr>
              <w:t>Procedural</w:t>
            </w:r>
            <w:r w:rsidR="00B425E5" w:rsidRPr="00A36BD5">
              <w:rPr>
                <w:rStyle w:val="Hyperlink"/>
                <w:smallCaps/>
                <w:noProof/>
                <w:spacing w:val="-7"/>
              </w:rPr>
              <w:t xml:space="preserve"> </w:t>
            </w:r>
            <w:r w:rsidR="00B425E5" w:rsidRPr="00A36BD5">
              <w:rPr>
                <w:rStyle w:val="Hyperlink"/>
                <w:smallCaps/>
                <w:noProof/>
                <w:spacing w:val="-2"/>
              </w:rPr>
              <w:t>information</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_Toc223979997 \h </w:instrText>
            </w:r>
            <w:r w:rsidR="00B425E5" w:rsidRPr="00A36BD5">
              <w:rPr>
                <w:noProof/>
                <w:webHidden/>
              </w:rPr>
            </w:r>
            <w:r w:rsidR="00B425E5" w:rsidRPr="00A36BD5">
              <w:rPr>
                <w:noProof/>
                <w:webHidden/>
              </w:rPr>
              <w:fldChar w:fldCharType="separate"/>
            </w:r>
            <w:r w:rsidR="0055391F">
              <w:rPr>
                <w:noProof/>
                <w:webHidden/>
              </w:rPr>
              <w:t>73</w:t>
            </w:r>
            <w:r w:rsidR="00B425E5" w:rsidRPr="00A36BD5">
              <w:rPr>
                <w:noProof/>
                <w:webHidden/>
              </w:rPr>
              <w:fldChar w:fldCharType="end"/>
            </w:r>
          </w:hyperlink>
        </w:p>
        <w:p w14:paraId="5E5B9700" w14:textId="05004917" w:rsidR="00B425E5" w:rsidRPr="00A36BD5" w:rsidRDefault="00DA297B" w:rsidP="00C20865">
          <w:pPr>
            <w:pStyle w:val="TOC1"/>
            <w:tabs>
              <w:tab w:val="right" w:leader="dot" w:pos="9317"/>
            </w:tabs>
            <w:rPr>
              <w:rFonts w:eastAsiaTheme="minorEastAsia"/>
              <w:noProof/>
              <w:kern w:val="2"/>
              <w:lang w:val="en-IE" w:eastAsia="en-IE"/>
              <w14:ligatures w14:val="standardContextual"/>
            </w:rPr>
          </w:pPr>
          <w:hyperlink w:anchor="_Toc223980002" w:history="1">
            <w:r w:rsidR="00B425E5" w:rsidRPr="00A36BD5">
              <w:rPr>
                <w:rStyle w:val="Hyperlink"/>
                <w:smallCaps/>
                <w:noProof/>
              </w:rPr>
              <w:t>Annex 2: Stakeholder consultation (Synopsis report)</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_Toc223980002 \h </w:instrText>
            </w:r>
            <w:r w:rsidR="00B425E5" w:rsidRPr="00A36BD5">
              <w:rPr>
                <w:noProof/>
                <w:webHidden/>
              </w:rPr>
            </w:r>
            <w:r w:rsidR="00B425E5" w:rsidRPr="00A36BD5">
              <w:rPr>
                <w:noProof/>
                <w:webHidden/>
              </w:rPr>
              <w:fldChar w:fldCharType="separate"/>
            </w:r>
            <w:r w:rsidR="0055391F">
              <w:rPr>
                <w:noProof/>
                <w:webHidden/>
              </w:rPr>
              <w:t>85</w:t>
            </w:r>
            <w:r w:rsidR="00B425E5" w:rsidRPr="00A36BD5">
              <w:rPr>
                <w:noProof/>
                <w:webHidden/>
              </w:rPr>
              <w:fldChar w:fldCharType="end"/>
            </w:r>
          </w:hyperlink>
        </w:p>
        <w:p w14:paraId="0A1BC6AE" w14:textId="6F9AFF91" w:rsidR="00B425E5" w:rsidRPr="00A36BD5" w:rsidRDefault="00DA297B" w:rsidP="00C20865">
          <w:pPr>
            <w:pStyle w:val="TOC1"/>
            <w:tabs>
              <w:tab w:val="right" w:leader="dot" w:pos="9317"/>
            </w:tabs>
            <w:rPr>
              <w:rFonts w:eastAsiaTheme="minorEastAsia"/>
              <w:noProof/>
              <w:kern w:val="2"/>
              <w:lang w:val="en-IE" w:eastAsia="en-IE"/>
              <w14:ligatures w14:val="standardContextual"/>
            </w:rPr>
          </w:pPr>
          <w:hyperlink w:anchor="_Toc223980006" w:history="1">
            <w:r w:rsidR="00B425E5" w:rsidRPr="00A36BD5">
              <w:rPr>
                <w:rStyle w:val="Hyperlink"/>
                <w:smallCaps/>
                <w:noProof/>
              </w:rPr>
              <w:t>Annex</w:t>
            </w:r>
            <w:r w:rsidR="00B425E5" w:rsidRPr="00A36BD5">
              <w:rPr>
                <w:rStyle w:val="Hyperlink"/>
                <w:smallCaps/>
                <w:noProof/>
                <w:spacing w:val="-8"/>
              </w:rPr>
              <w:t xml:space="preserve"> </w:t>
            </w:r>
            <w:r w:rsidR="00B425E5" w:rsidRPr="00A36BD5">
              <w:rPr>
                <w:rStyle w:val="Hyperlink"/>
                <w:smallCaps/>
                <w:noProof/>
              </w:rPr>
              <w:t>3:</w:t>
            </w:r>
            <w:r w:rsidR="00B425E5" w:rsidRPr="00A36BD5">
              <w:rPr>
                <w:rStyle w:val="Hyperlink"/>
                <w:smallCaps/>
                <w:noProof/>
                <w:spacing w:val="-15"/>
              </w:rPr>
              <w:t xml:space="preserve"> </w:t>
            </w:r>
            <w:r w:rsidR="00B425E5" w:rsidRPr="00A36BD5">
              <w:rPr>
                <w:rStyle w:val="Hyperlink"/>
                <w:smallCaps/>
                <w:noProof/>
              </w:rPr>
              <w:t>Who</w:t>
            </w:r>
            <w:r w:rsidR="00B425E5" w:rsidRPr="00A36BD5">
              <w:rPr>
                <w:rStyle w:val="Hyperlink"/>
                <w:smallCaps/>
                <w:noProof/>
                <w:spacing w:val="-3"/>
              </w:rPr>
              <w:t xml:space="preserve"> </w:t>
            </w:r>
            <w:r w:rsidR="00B425E5" w:rsidRPr="00A36BD5">
              <w:rPr>
                <w:rStyle w:val="Hyperlink"/>
                <w:smallCaps/>
                <w:noProof/>
              </w:rPr>
              <w:t>is</w:t>
            </w:r>
            <w:r w:rsidR="00B425E5" w:rsidRPr="00A36BD5">
              <w:rPr>
                <w:rStyle w:val="Hyperlink"/>
                <w:smallCaps/>
                <w:noProof/>
                <w:spacing w:val="-3"/>
              </w:rPr>
              <w:t xml:space="preserve"> </w:t>
            </w:r>
            <w:r w:rsidR="00B425E5" w:rsidRPr="00A36BD5">
              <w:rPr>
                <w:rStyle w:val="Hyperlink"/>
                <w:smallCaps/>
                <w:noProof/>
              </w:rPr>
              <w:t>affected</w:t>
            </w:r>
            <w:r w:rsidR="00B425E5" w:rsidRPr="00A36BD5">
              <w:rPr>
                <w:rStyle w:val="Hyperlink"/>
                <w:smallCaps/>
                <w:noProof/>
                <w:spacing w:val="-5"/>
              </w:rPr>
              <w:t xml:space="preserve"> </w:t>
            </w:r>
            <w:r w:rsidR="00B425E5" w:rsidRPr="00A36BD5">
              <w:rPr>
                <w:rStyle w:val="Hyperlink"/>
                <w:smallCaps/>
                <w:noProof/>
              </w:rPr>
              <w:t>and</w:t>
            </w:r>
            <w:r w:rsidR="00B425E5" w:rsidRPr="00A36BD5">
              <w:rPr>
                <w:rStyle w:val="Hyperlink"/>
                <w:smallCaps/>
                <w:noProof/>
                <w:spacing w:val="-4"/>
              </w:rPr>
              <w:t xml:space="preserve"> how?</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_Toc223980006 \h </w:instrText>
            </w:r>
            <w:r w:rsidR="00B425E5" w:rsidRPr="00A36BD5">
              <w:rPr>
                <w:noProof/>
                <w:webHidden/>
              </w:rPr>
            </w:r>
            <w:r w:rsidR="00B425E5" w:rsidRPr="00A36BD5">
              <w:rPr>
                <w:noProof/>
                <w:webHidden/>
              </w:rPr>
              <w:fldChar w:fldCharType="separate"/>
            </w:r>
            <w:r w:rsidR="0055391F">
              <w:rPr>
                <w:noProof/>
                <w:webHidden/>
              </w:rPr>
              <w:t>102</w:t>
            </w:r>
            <w:r w:rsidR="00B425E5" w:rsidRPr="00A36BD5">
              <w:rPr>
                <w:noProof/>
                <w:webHidden/>
              </w:rPr>
              <w:fldChar w:fldCharType="end"/>
            </w:r>
          </w:hyperlink>
        </w:p>
        <w:p w14:paraId="1CF12F93" w14:textId="6B0A78C3" w:rsidR="00B425E5" w:rsidRPr="00A36BD5" w:rsidRDefault="00DA297B" w:rsidP="00C20865">
          <w:pPr>
            <w:pStyle w:val="TOC1"/>
            <w:tabs>
              <w:tab w:val="right" w:leader="dot" w:pos="9317"/>
            </w:tabs>
            <w:rPr>
              <w:rFonts w:eastAsiaTheme="minorEastAsia"/>
              <w:noProof/>
              <w:kern w:val="2"/>
              <w:lang w:val="en-IE" w:eastAsia="en-IE"/>
              <w14:ligatures w14:val="standardContextual"/>
            </w:rPr>
          </w:pPr>
          <w:hyperlink w:anchor="_Toc223980010" w:history="1">
            <w:r w:rsidR="00B425E5" w:rsidRPr="00A36BD5">
              <w:rPr>
                <w:rStyle w:val="Hyperlink"/>
                <w:smallCaps/>
                <w:noProof/>
              </w:rPr>
              <w:t>Annex 4: Analytical methods</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_Toc223980010 \h </w:instrText>
            </w:r>
            <w:r w:rsidR="00B425E5" w:rsidRPr="00A36BD5">
              <w:rPr>
                <w:noProof/>
                <w:webHidden/>
              </w:rPr>
            </w:r>
            <w:r w:rsidR="00B425E5" w:rsidRPr="00A36BD5">
              <w:rPr>
                <w:noProof/>
                <w:webHidden/>
              </w:rPr>
              <w:fldChar w:fldCharType="separate"/>
            </w:r>
            <w:r w:rsidR="0055391F">
              <w:rPr>
                <w:noProof/>
                <w:webHidden/>
              </w:rPr>
              <w:t>107</w:t>
            </w:r>
            <w:r w:rsidR="00B425E5" w:rsidRPr="00A36BD5">
              <w:rPr>
                <w:noProof/>
                <w:webHidden/>
              </w:rPr>
              <w:fldChar w:fldCharType="end"/>
            </w:r>
          </w:hyperlink>
        </w:p>
        <w:p w14:paraId="48B37F5A" w14:textId="0B7A8705" w:rsidR="00B425E5" w:rsidRPr="00A36BD5" w:rsidRDefault="00DA297B" w:rsidP="00C20865">
          <w:pPr>
            <w:pStyle w:val="TOC1"/>
            <w:tabs>
              <w:tab w:val="right" w:leader="dot" w:pos="9317"/>
            </w:tabs>
            <w:rPr>
              <w:rFonts w:eastAsiaTheme="minorEastAsia"/>
              <w:noProof/>
              <w:kern w:val="2"/>
              <w:lang w:val="en-IE" w:eastAsia="en-IE"/>
              <w14:ligatures w14:val="standardContextual"/>
            </w:rPr>
          </w:pPr>
          <w:hyperlink w:anchor="_Toc223981687" w:history="1">
            <w:r w:rsidR="00B425E5" w:rsidRPr="00A36BD5">
              <w:rPr>
                <w:rStyle w:val="Hyperlink"/>
                <w:smallCaps/>
                <w:noProof/>
              </w:rPr>
              <w:t>Annex</w:t>
            </w:r>
            <w:r w:rsidR="00B425E5" w:rsidRPr="00A36BD5">
              <w:rPr>
                <w:rStyle w:val="Hyperlink"/>
                <w:smallCaps/>
                <w:noProof/>
                <w:spacing w:val="-8"/>
              </w:rPr>
              <w:t xml:space="preserve"> </w:t>
            </w:r>
            <w:r w:rsidR="00B425E5" w:rsidRPr="00A36BD5">
              <w:rPr>
                <w:rStyle w:val="Hyperlink"/>
                <w:smallCaps/>
                <w:noProof/>
              </w:rPr>
              <w:t>5:</w:t>
            </w:r>
            <w:r w:rsidR="00B425E5" w:rsidRPr="00A36BD5">
              <w:rPr>
                <w:rStyle w:val="Hyperlink"/>
                <w:smallCaps/>
                <w:noProof/>
                <w:spacing w:val="-15"/>
              </w:rPr>
              <w:t xml:space="preserve"> </w:t>
            </w:r>
            <w:r w:rsidR="00B425E5" w:rsidRPr="00A36BD5">
              <w:rPr>
                <w:rStyle w:val="Hyperlink"/>
                <w:smallCaps/>
                <w:noProof/>
              </w:rPr>
              <w:t>Competitiveness check</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_Toc223981687 \h </w:instrText>
            </w:r>
            <w:r w:rsidR="00B425E5" w:rsidRPr="00A36BD5">
              <w:rPr>
                <w:noProof/>
                <w:webHidden/>
              </w:rPr>
            </w:r>
            <w:r w:rsidR="00B425E5" w:rsidRPr="00A36BD5">
              <w:rPr>
                <w:noProof/>
                <w:webHidden/>
              </w:rPr>
              <w:fldChar w:fldCharType="separate"/>
            </w:r>
            <w:r w:rsidR="0055391F">
              <w:rPr>
                <w:noProof/>
                <w:webHidden/>
              </w:rPr>
              <w:t>214</w:t>
            </w:r>
            <w:r w:rsidR="00B425E5" w:rsidRPr="00A36BD5">
              <w:rPr>
                <w:noProof/>
                <w:webHidden/>
              </w:rPr>
              <w:fldChar w:fldCharType="end"/>
            </w:r>
          </w:hyperlink>
        </w:p>
        <w:p w14:paraId="292979E9" w14:textId="20F16927" w:rsidR="00B425E5" w:rsidRPr="00A36BD5" w:rsidRDefault="00DA297B" w:rsidP="00C20865">
          <w:pPr>
            <w:pStyle w:val="TOC1"/>
            <w:tabs>
              <w:tab w:val="right" w:leader="dot" w:pos="9317"/>
            </w:tabs>
            <w:rPr>
              <w:rFonts w:eastAsiaTheme="minorEastAsia"/>
              <w:noProof/>
              <w:kern w:val="2"/>
              <w:lang w:val="en-IE" w:eastAsia="en-IE"/>
              <w14:ligatures w14:val="standardContextual"/>
            </w:rPr>
          </w:pPr>
          <w:hyperlink w:anchor="_Toc223981688" w:history="1">
            <w:r w:rsidR="00B425E5" w:rsidRPr="00A36BD5">
              <w:rPr>
                <w:rStyle w:val="Hyperlink"/>
                <w:smallCaps/>
                <w:noProof/>
              </w:rPr>
              <w:t>Annex</w:t>
            </w:r>
            <w:r w:rsidR="00B425E5" w:rsidRPr="00A36BD5">
              <w:rPr>
                <w:rStyle w:val="Hyperlink"/>
                <w:smallCaps/>
                <w:noProof/>
                <w:spacing w:val="-8"/>
              </w:rPr>
              <w:t xml:space="preserve"> </w:t>
            </w:r>
            <w:r w:rsidR="00B425E5" w:rsidRPr="00A36BD5">
              <w:rPr>
                <w:rStyle w:val="Hyperlink"/>
                <w:smallCaps/>
                <w:noProof/>
              </w:rPr>
              <w:t>6:</w:t>
            </w:r>
            <w:r w:rsidR="00B425E5" w:rsidRPr="00A36BD5">
              <w:rPr>
                <w:rStyle w:val="Hyperlink"/>
                <w:smallCaps/>
                <w:noProof/>
                <w:spacing w:val="-15"/>
              </w:rPr>
              <w:t xml:space="preserve"> </w:t>
            </w:r>
            <w:r w:rsidR="00B425E5" w:rsidRPr="00A36BD5">
              <w:rPr>
                <w:rStyle w:val="Hyperlink"/>
                <w:smallCaps/>
                <w:noProof/>
              </w:rPr>
              <w:t>SME Check</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_Toc223981688 \h </w:instrText>
            </w:r>
            <w:r w:rsidR="00B425E5" w:rsidRPr="00A36BD5">
              <w:rPr>
                <w:noProof/>
                <w:webHidden/>
              </w:rPr>
            </w:r>
            <w:r w:rsidR="00B425E5" w:rsidRPr="00A36BD5">
              <w:rPr>
                <w:noProof/>
                <w:webHidden/>
              </w:rPr>
              <w:fldChar w:fldCharType="separate"/>
            </w:r>
            <w:r w:rsidR="0055391F">
              <w:rPr>
                <w:noProof/>
                <w:webHidden/>
              </w:rPr>
              <w:t>218</w:t>
            </w:r>
            <w:r w:rsidR="00B425E5" w:rsidRPr="00A36BD5">
              <w:rPr>
                <w:noProof/>
                <w:webHidden/>
              </w:rPr>
              <w:fldChar w:fldCharType="end"/>
            </w:r>
          </w:hyperlink>
        </w:p>
        <w:p w14:paraId="3736ADCC" w14:textId="21D0AD64" w:rsidR="00B425E5" w:rsidRPr="00A36BD5" w:rsidRDefault="00DA297B" w:rsidP="00C20865">
          <w:pPr>
            <w:pStyle w:val="TOC1"/>
            <w:tabs>
              <w:tab w:val="right" w:leader="dot" w:pos="9317"/>
            </w:tabs>
            <w:rPr>
              <w:rFonts w:eastAsiaTheme="minorEastAsia"/>
              <w:noProof/>
              <w:kern w:val="2"/>
              <w:lang w:val="en-IE" w:eastAsia="en-IE"/>
              <w14:ligatures w14:val="standardContextual"/>
            </w:rPr>
          </w:pPr>
          <w:hyperlink w:anchor="_Toc223981689" w:history="1">
            <w:r w:rsidR="00B425E5" w:rsidRPr="00A36BD5">
              <w:rPr>
                <w:rStyle w:val="Hyperlink"/>
                <w:smallCaps/>
                <w:noProof/>
              </w:rPr>
              <w:t>Annex</w:t>
            </w:r>
            <w:r w:rsidR="00B425E5" w:rsidRPr="00A36BD5">
              <w:rPr>
                <w:rStyle w:val="Hyperlink"/>
                <w:smallCaps/>
                <w:noProof/>
                <w:spacing w:val="-9"/>
              </w:rPr>
              <w:t xml:space="preserve"> </w:t>
            </w:r>
            <w:r w:rsidR="00B425E5" w:rsidRPr="00A36BD5">
              <w:rPr>
                <w:rStyle w:val="Hyperlink"/>
                <w:smallCaps/>
                <w:noProof/>
              </w:rPr>
              <w:t>7:</w:t>
            </w:r>
            <w:r w:rsidR="00B425E5" w:rsidRPr="00A36BD5">
              <w:rPr>
                <w:rStyle w:val="Hyperlink"/>
                <w:smallCaps/>
                <w:noProof/>
                <w:spacing w:val="-15"/>
              </w:rPr>
              <w:t xml:space="preserve"> </w:t>
            </w:r>
            <w:r w:rsidR="00B425E5" w:rsidRPr="00A36BD5">
              <w:rPr>
                <w:rStyle w:val="Hyperlink"/>
                <w:smallCaps/>
                <w:noProof/>
              </w:rPr>
              <w:t>Discarded</w:t>
            </w:r>
            <w:r w:rsidR="00B425E5" w:rsidRPr="00A36BD5">
              <w:rPr>
                <w:rStyle w:val="Hyperlink"/>
                <w:smallCaps/>
                <w:noProof/>
                <w:spacing w:val="-5"/>
              </w:rPr>
              <w:t xml:space="preserve"> </w:t>
            </w:r>
            <w:r w:rsidR="00B425E5" w:rsidRPr="00A36BD5">
              <w:rPr>
                <w:rStyle w:val="Hyperlink"/>
                <w:smallCaps/>
                <w:noProof/>
              </w:rPr>
              <w:t>policy</w:t>
            </w:r>
            <w:r w:rsidR="00B425E5" w:rsidRPr="00A36BD5">
              <w:rPr>
                <w:rStyle w:val="Hyperlink"/>
                <w:smallCaps/>
                <w:noProof/>
                <w:spacing w:val="-5"/>
              </w:rPr>
              <w:t xml:space="preserve"> </w:t>
            </w:r>
            <w:r w:rsidR="00B425E5" w:rsidRPr="00A36BD5">
              <w:rPr>
                <w:rStyle w:val="Hyperlink"/>
                <w:smallCaps/>
                <w:noProof/>
                <w:spacing w:val="-2"/>
              </w:rPr>
              <w:t>measures</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_Toc223981689 \h </w:instrText>
            </w:r>
            <w:r w:rsidR="00B425E5" w:rsidRPr="00A36BD5">
              <w:rPr>
                <w:noProof/>
                <w:webHidden/>
              </w:rPr>
            </w:r>
            <w:r w:rsidR="00B425E5" w:rsidRPr="00A36BD5">
              <w:rPr>
                <w:noProof/>
                <w:webHidden/>
              </w:rPr>
              <w:fldChar w:fldCharType="separate"/>
            </w:r>
            <w:r w:rsidR="0055391F">
              <w:rPr>
                <w:noProof/>
                <w:webHidden/>
              </w:rPr>
              <w:t>222</w:t>
            </w:r>
            <w:r w:rsidR="00B425E5" w:rsidRPr="00A36BD5">
              <w:rPr>
                <w:noProof/>
                <w:webHidden/>
              </w:rPr>
              <w:fldChar w:fldCharType="end"/>
            </w:r>
          </w:hyperlink>
        </w:p>
        <w:p w14:paraId="47B62FE5" w14:textId="40C20D21" w:rsidR="00B425E5" w:rsidRPr="00A36BD5" w:rsidRDefault="00DA297B" w:rsidP="00C20865">
          <w:pPr>
            <w:pStyle w:val="TOC1"/>
            <w:tabs>
              <w:tab w:val="right" w:leader="dot" w:pos="9317"/>
            </w:tabs>
            <w:rPr>
              <w:rFonts w:eastAsiaTheme="minorEastAsia"/>
              <w:noProof/>
              <w:kern w:val="2"/>
              <w:lang w:val="en-IE" w:eastAsia="en-IE"/>
              <w14:ligatures w14:val="standardContextual"/>
            </w:rPr>
          </w:pPr>
          <w:hyperlink w:anchor="_Toc223981690" w:history="1">
            <w:r w:rsidR="00B425E5" w:rsidRPr="00A36BD5">
              <w:rPr>
                <w:rStyle w:val="Hyperlink"/>
                <w:smallCaps/>
                <w:noProof/>
              </w:rPr>
              <w:t>Annex</w:t>
            </w:r>
            <w:r w:rsidR="00B425E5" w:rsidRPr="00A36BD5">
              <w:rPr>
                <w:rStyle w:val="Hyperlink"/>
                <w:smallCaps/>
                <w:noProof/>
                <w:spacing w:val="-9"/>
              </w:rPr>
              <w:t xml:space="preserve"> </w:t>
            </w:r>
            <w:r w:rsidR="00B425E5" w:rsidRPr="00A36BD5">
              <w:rPr>
                <w:rStyle w:val="Hyperlink"/>
                <w:smallCaps/>
                <w:noProof/>
              </w:rPr>
              <w:t>8:</w:t>
            </w:r>
            <w:r w:rsidR="00B425E5" w:rsidRPr="00A36BD5">
              <w:rPr>
                <w:rStyle w:val="Hyperlink"/>
                <w:smallCaps/>
                <w:noProof/>
                <w:spacing w:val="-15"/>
              </w:rPr>
              <w:t xml:space="preserve"> </w:t>
            </w:r>
            <w:r w:rsidR="00B425E5" w:rsidRPr="00A36BD5">
              <w:rPr>
                <w:rStyle w:val="Hyperlink"/>
                <w:smallCaps/>
                <w:noProof/>
              </w:rPr>
              <w:t>Retained</w:t>
            </w:r>
            <w:r w:rsidR="00B425E5" w:rsidRPr="00A36BD5">
              <w:rPr>
                <w:rStyle w:val="Hyperlink"/>
                <w:smallCaps/>
                <w:noProof/>
                <w:spacing w:val="-3"/>
              </w:rPr>
              <w:t xml:space="preserve"> </w:t>
            </w:r>
            <w:r w:rsidR="00B425E5" w:rsidRPr="00A36BD5">
              <w:rPr>
                <w:rStyle w:val="Hyperlink"/>
                <w:smallCaps/>
                <w:noProof/>
              </w:rPr>
              <w:t>policy</w:t>
            </w:r>
            <w:r w:rsidR="00B425E5" w:rsidRPr="00A36BD5">
              <w:rPr>
                <w:rStyle w:val="Hyperlink"/>
                <w:smallCaps/>
                <w:noProof/>
                <w:spacing w:val="-5"/>
              </w:rPr>
              <w:t xml:space="preserve"> </w:t>
            </w:r>
            <w:r w:rsidR="00B425E5" w:rsidRPr="00A36BD5">
              <w:rPr>
                <w:rStyle w:val="Hyperlink"/>
                <w:smallCaps/>
                <w:noProof/>
                <w:spacing w:val="-2"/>
              </w:rPr>
              <w:t>measures</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_Toc223981690 \h </w:instrText>
            </w:r>
            <w:r w:rsidR="00B425E5" w:rsidRPr="00A36BD5">
              <w:rPr>
                <w:noProof/>
                <w:webHidden/>
              </w:rPr>
            </w:r>
            <w:r w:rsidR="00B425E5" w:rsidRPr="00A36BD5">
              <w:rPr>
                <w:noProof/>
                <w:webHidden/>
              </w:rPr>
              <w:fldChar w:fldCharType="separate"/>
            </w:r>
            <w:r w:rsidR="0055391F">
              <w:rPr>
                <w:noProof/>
                <w:webHidden/>
              </w:rPr>
              <w:t>225</w:t>
            </w:r>
            <w:r w:rsidR="00B425E5" w:rsidRPr="00A36BD5">
              <w:rPr>
                <w:noProof/>
                <w:webHidden/>
              </w:rPr>
              <w:fldChar w:fldCharType="end"/>
            </w:r>
          </w:hyperlink>
        </w:p>
        <w:p w14:paraId="3358344A" w14:textId="610E6977" w:rsidR="00B425E5" w:rsidRPr="00A36BD5" w:rsidRDefault="00DA297B" w:rsidP="00C20865">
          <w:pPr>
            <w:pStyle w:val="TOC1"/>
            <w:tabs>
              <w:tab w:val="right" w:leader="dot" w:pos="9317"/>
            </w:tabs>
            <w:jc w:val="left"/>
            <w:rPr>
              <w:rFonts w:eastAsiaTheme="minorEastAsia"/>
              <w:noProof/>
              <w:kern w:val="2"/>
              <w:lang w:val="en-IE" w:eastAsia="en-IE"/>
              <w14:ligatures w14:val="standardContextual"/>
            </w:rPr>
          </w:pPr>
          <w:hyperlink w:anchor="_Toc223981691" w:history="1">
            <w:r w:rsidR="00B425E5" w:rsidRPr="00A36BD5">
              <w:rPr>
                <w:rStyle w:val="Hyperlink"/>
                <w:smallCaps/>
                <w:noProof/>
              </w:rPr>
              <w:t>Annex</w:t>
            </w:r>
            <w:r w:rsidR="00B425E5" w:rsidRPr="00A36BD5">
              <w:rPr>
                <w:rStyle w:val="Hyperlink"/>
                <w:smallCaps/>
                <w:noProof/>
                <w:spacing w:val="-4"/>
              </w:rPr>
              <w:t xml:space="preserve"> </w:t>
            </w:r>
            <w:r w:rsidR="00B425E5" w:rsidRPr="00A36BD5">
              <w:rPr>
                <w:rStyle w:val="Hyperlink"/>
                <w:smallCaps/>
                <w:noProof/>
              </w:rPr>
              <w:t>9:</w:t>
            </w:r>
            <w:r w:rsidR="00B425E5" w:rsidRPr="00A36BD5">
              <w:rPr>
                <w:rStyle w:val="Hyperlink"/>
                <w:smallCaps/>
                <w:noProof/>
                <w:spacing w:val="-15"/>
              </w:rPr>
              <w:t xml:space="preserve"> </w:t>
            </w:r>
            <w:r w:rsidR="00B425E5" w:rsidRPr="00A36BD5">
              <w:rPr>
                <w:rStyle w:val="Hyperlink"/>
                <w:smallCaps/>
                <w:noProof/>
              </w:rPr>
              <w:t>Background</w:t>
            </w:r>
            <w:r w:rsidR="00B425E5" w:rsidRPr="00A36BD5">
              <w:rPr>
                <w:rStyle w:val="Hyperlink"/>
                <w:smallCaps/>
                <w:noProof/>
                <w:spacing w:val="-3"/>
              </w:rPr>
              <w:t xml:space="preserve"> </w:t>
            </w:r>
            <w:r w:rsidR="00B425E5" w:rsidRPr="00A36BD5">
              <w:rPr>
                <w:rStyle w:val="Hyperlink"/>
                <w:smallCaps/>
                <w:noProof/>
              </w:rPr>
              <w:t>on</w:t>
            </w:r>
            <w:r w:rsidR="00B425E5" w:rsidRPr="00A36BD5">
              <w:rPr>
                <w:rStyle w:val="Hyperlink"/>
                <w:smallCaps/>
                <w:noProof/>
                <w:spacing w:val="-3"/>
              </w:rPr>
              <w:t xml:space="preserve"> </w:t>
            </w:r>
            <w:r w:rsidR="00B425E5" w:rsidRPr="00A36BD5">
              <w:rPr>
                <w:rStyle w:val="Hyperlink"/>
                <w:smallCaps/>
                <w:noProof/>
              </w:rPr>
              <w:t>the</w:t>
            </w:r>
            <w:r w:rsidR="00B425E5" w:rsidRPr="00A36BD5">
              <w:rPr>
                <w:rStyle w:val="Hyperlink"/>
                <w:smallCaps/>
                <w:noProof/>
                <w:spacing w:val="-2"/>
              </w:rPr>
              <w:t xml:space="preserve"> </w:t>
            </w:r>
            <w:r w:rsidR="00B425E5" w:rsidRPr="00A36BD5">
              <w:rPr>
                <w:rStyle w:val="Hyperlink"/>
                <w:smallCaps/>
                <w:noProof/>
              </w:rPr>
              <w:t>Code</w:t>
            </w:r>
            <w:r w:rsidR="00B425E5" w:rsidRPr="00A36BD5">
              <w:rPr>
                <w:rStyle w:val="Hyperlink"/>
                <w:smallCaps/>
                <w:noProof/>
                <w:spacing w:val="-3"/>
              </w:rPr>
              <w:t xml:space="preserve"> </w:t>
            </w:r>
            <w:r w:rsidR="00B425E5" w:rsidRPr="00A36BD5">
              <w:rPr>
                <w:rStyle w:val="Hyperlink"/>
                <w:smallCaps/>
                <w:noProof/>
              </w:rPr>
              <w:t>of Conduct</w:t>
            </w:r>
            <w:r w:rsidR="00B425E5" w:rsidRPr="00A36BD5">
              <w:rPr>
                <w:rStyle w:val="Hyperlink"/>
                <w:smallCaps/>
                <w:noProof/>
                <w:spacing w:val="-2"/>
              </w:rPr>
              <w:t xml:space="preserve"> </w:t>
            </w:r>
            <w:r w:rsidR="00B425E5" w:rsidRPr="00A36BD5">
              <w:rPr>
                <w:rStyle w:val="Hyperlink"/>
                <w:smallCaps/>
                <w:noProof/>
              </w:rPr>
              <w:t>on</w:t>
            </w:r>
            <w:r w:rsidR="00B425E5" w:rsidRPr="00A36BD5">
              <w:rPr>
                <w:rStyle w:val="Hyperlink"/>
                <w:smallCaps/>
                <w:noProof/>
                <w:spacing w:val="-3"/>
              </w:rPr>
              <w:t xml:space="preserve"> </w:t>
            </w:r>
            <w:r w:rsidR="00B425E5" w:rsidRPr="00A36BD5">
              <w:rPr>
                <w:rStyle w:val="Hyperlink"/>
                <w:smallCaps/>
                <w:noProof/>
              </w:rPr>
              <w:t>Computerised Reservation Systems and air market</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_Toc223981691 \h </w:instrText>
            </w:r>
            <w:r w:rsidR="00B425E5" w:rsidRPr="00A36BD5">
              <w:rPr>
                <w:noProof/>
                <w:webHidden/>
              </w:rPr>
            </w:r>
            <w:r w:rsidR="00B425E5" w:rsidRPr="00A36BD5">
              <w:rPr>
                <w:noProof/>
                <w:webHidden/>
              </w:rPr>
              <w:fldChar w:fldCharType="separate"/>
            </w:r>
            <w:r w:rsidR="0055391F">
              <w:rPr>
                <w:noProof/>
                <w:webHidden/>
              </w:rPr>
              <w:t>232</w:t>
            </w:r>
            <w:r w:rsidR="00B425E5" w:rsidRPr="00A36BD5">
              <w:rPr>
                <w:noProof/>
                <w:webHidden/>
              </w:rPr>
              <w:fldChar w:fldCharType="end"/>
            </w:r>
          </w:hyperlink>
        </w:p>
        <w:p w14:paraId="59DADB64" w14:textId="3534E37C" w:rsidR="00B425E5" w:rsidRPr="00A36BD5" w:rsidRDefault="00DA297B" w:rsidP="00C20865">
          <w:pPr>
            <w:pStyle w:val="TOC1"/>
            <w:tabs>
              <w:tab w:val="right" w:leader="dot" w:pos="9317"/>
            </w:tabs>
            <w:jc w:val="left"/>
            <w:rPr>
              <w:rFonts w:eastAsiaTheme="minorEastAsia"/>
              <w:noProof/>
              <w:kern w:val="2"/>
              <w:lang w:val="en-IE" w:eastAsia="en-IE"/>
              <w14:ligatures w14:val="standardContextual"/>
            </w:rPr>
          </w:pPr>
          <w:hyperlink w:anchor="_Toc223981692" w:history="1">
            <w:r w:rsidR="00B425E5" w:rsidRPr="00A36BD5">
              <w:rPr>
                <w:rStyle w:val="Hyperlink"/>
                <w:smallCaps/>
                <w:noProof/>
              </w:rPr>
              <w:t>Annex</w:t>
            </w:r>
            <w:r w:rsidR="00B425E5" w:rsidRPr="00A36BD5">
              <w:rPr>
                <w:rStyle w:val="Hyperlink"/>
                <w:smallCaps/>
                <w:noProof/>
                <w:spacing w:val="-1"/>
              </w:rPr>
              <w:t xml:space="preserve"> </w:t>
            </w:r>
            <w:r w:rsidR="00B425E5" w:rsidRPr="00A36BD5">
              <w:rPr>
                <w:rStyle w:val="Hyperlink"/>
                <w:smallCaps/>
                <w:noProof/>
              </w:rPr>
              <w:t>10:</w:t>
            </w:r>
            <w:r w:rsidR="00B425E5" w:rsidRPr="00A36BD5">
              <w:rPr>
                <w:rStyle w:val="Hyperlink"/>
                <w:smallCaps/>
                <w:noProof/>
                <w:spacing w:val="-15"/>
              </w:rPr>
              <w:t xml:space="preserve"> </w:t>
            </w:r>
            <w:r w:rsidR="00B425E5" w:rsidRPr="00A36BD5">
              <w:rPr>
                <w:rStyle w:val="Hyperlink"/>
                <w:smallCaps/>
                <w:noProof/>
              </w:rPr>
              <w:t>Links</w:t>
            </w:r>
            <w:r w:rsidR="00B425E5" w:rsidRPr="00A36BD5">
              <w:rPr>
                <w:rStyle w:val="Hyperlink"/>
                <w:smallCaps/>
                <w:noProof/>
                <w:spacing w:val="-3"/>
              </w:rPr>
              <w:t xml:space="preserve"> </w:t>
            </w:r>
            <w:r w:rsidR="00B425E5" w:rsidRPr="00A36BD5">
              <w:rPr>
                <w:rStyle w:val="Hyperlink"/>
                <w:smallCaps/>
                <w:noProof/>
              </w:rPr>
              <w:t>between</w:t>
            </w:r>
            <w:r w:rsidR="00B425E5" w:rsidRPr="00A36BD5">
              <w:rPr>
                <w:rStyle w:val="Hyperlink"/>
                <w:smallCaps/>
                <w:noProof/>
                <w:spacing w:val="-1"/>
              </w:rPr>
              <w:t xml:space="preserve"> </w:t>
            </w:r>
            <w:r w:rsidR="00B425E5" w:rsidRPr="00A36BD5">
              <w:rPr>
                <w:rStyle w:val="Hyperlink"/>
                <w:smallCaps/>
                <w:noProof/>
              </w:rPr>
              <w:t>conclusions of the</w:t>
            </w:r>
            <w:r w:rsidR="00B425E5" w:rsidRPr="00A36BD5">
              <w:rPr>
                <w:rStyle w:val="Hyperlink"/>
                <w:smallCaps/>
                <w:noProof/>
                <w:spacing w:val="-1"/>
              </w:rPr>
              <w:t xml:space="preserve"> </w:t>
            </w:r>
            <w:r w:rsidR="00B425E5" w:rsidRPr="00A36BD5">
              <w:rPr>
                <w:rStyle w:val="Hyperlink"/>
                <w:smallCaps/>
                <w:noProof/>
              </w:rPr>
              <w:t>ex-post</w:t>
            </w:r>
            <w:r w:rsidR="00B425E5" w:rsidRPr="00A36BD5">
              <w:rPr>
                <w:rStyle w:val="Hyperlink"/>
                <w:smallCaps/>
                <w:noProof/>
                <w:spacing w:val="-1"/>
              </w:rPr>
              <w:t xml:space="preserve"> </w:t>
            </w:r>
            <w:r w:rsidR="00B425E5" w:rsidRPr="00A36BD5">
              <w:rPr>
                <w:rStyle w:val="Hyperlink"/>
                <w:smallCaps/>
                <w:noProof/>
              </w:rPr>
              <w:t>evaluation</w:t>
            </w:r>
            <w:r w:rsidR="00B425E5" w:rsidRPr="00A36BD5">
              <w:rPr>
                <w:rStyle w:val="Hyperlink"/>
                <w:smallCaps/>
                <w:noProof/>
                <w:spacing w:val="-1"/>
              </w:rPr>
              <w:t xml:space="preserve"> </w:t>
            </w:r>
            <w:r w:rsidR="00B425E5" w:rsidRPr="00A36BD5">
              <w:rPr>
                <w:rStyle w:val="Hyperlink"/>
                <w:smallCaps/>
                <w:noProof/>
              </w:rPr>
              <w:t>of the CRS</w:t>
            </w:r>
            <w:r w:rsidR="00B425E5" w:rsidRPr="00A36BD5">
              <w:rPr>
                <w:rStyle w:val="Hyperlink"/>
                <w:smallCaps/>
                <w:noProof/>
                <w:spacing w:val="-15"/>
              </w:rPr>
              <w:t xml:space="preserve"> </w:t>
            </w:r>
            <w:r w:rsidR="00B425E5" w:rsidRPr="00A36BD5">
              <w:rPr>
                <w:rStyle w:val="Hyperlink"/>
                <w:smallCaps/>
                <w:noProof/>
              </w:rPr>
              <w:t>Code</w:t>
            </w:r>
            <w:r w:rsidR="00B425E5" w:rsidRPr="00A36BD5">
              <w:rPr>
                <w:rStyle w:val="Hyperlink"/>
                <w:smallCaps/>
                <w:noProof/>
                <w:spacing w:val="-1"/>
              </w:rPr>
              <w:t xml:space="preserve"> </w:t>
            </w:r>
            <w:r w:rsidR="00B425E5" w:rsidRPr="00A36BD5">
              <w:rPr>
                <w:rStyle w:val="Hyperlink"/>
                <w:smallCaps/>
                <w:noProof/>
              </w:rPr>
              <w:t>of Conduct</w:t>
            </w:r>
            <w:r w:rsidR="00B425E5" w:rsidRPr="00A36BD5">
              <w:rPr>
                <w:rStyle w:val="Hyperlink"/>
                <w:smallCaps/>
                <w:noProof/>
                <w:spacing w:val="-1"/>
              </w:rPr>
              <w:t xml:space="preserve"> </w:t>
            </w:r>
            <w:r w:rsidR="00B425E5" w:rsidRPr="00A36BD5">
              <w:rPr>
                <w:rStyle w:val="Hyperlink"/>
                <w:smallCaps/>
                <w:noProof/>
              </w:rPr>
              <w:t>and</w:t>
            </w:r>
            <w:r w:rsidR="00B425E5" w:rsidRPr="00A36BD5">
              <w:rPr>
                <w:rStyle w:val="Hyperlink"/>
                <w:smallCaps/>
                <w:noProof/>
                <w:spacing w:val="-1"/>
              </w:rPr>
              <w:t xml:space="preserve"> </w:t>
            </w:r>
            <w:r w:rsidR="00B425E5" w:rsidRPr="00A36BD5">
              <w:rPr>
                <w:rStyle w:val="Hyperlink"/>
                <w:smallCaps/>
                <w:noProof/>
              </w:rPr>
              <w:t>the impact assessment</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_Toc223981692 \h </w:instrText>
            </w:r>
            <w:r w:rsidR="00B425E5" w:rsidRPr="00A36BD5">
              <w:rPr>
                <w:noProof/>
                <w:webHidden/>
              </w:rPr>
            </w:r>
            <w:r w:rsidR="00B425E5" w:rsidRPr="00A36BD5">
              <w:rPr>
                <w:noProof/>
                <w:webHidden/>
              </w:rPr>
              <w:fldChar w:fldCharType="separate"/>
            </w:r>
            <w:r w:rsidR="0055391F">
              <w:rPr>
                <w:noProof/>
                <w:webHidden/>
              </w:rPr>
              <w:t>237</w:t>
            </w:r>
            <w:r w:rsidR="00B425E5" w:rsidRPr="00A36BD5">
              <w:rPr>
                <w:noProof/>
                <w:webHidden/>
              </w:rPr>
              <w:fldChar w:fldCharType="end"/>
            </w:r>
          </w:hyperlink>
        </w:p>
        <w:p w14:paraId="3C1F635F" w14:textId="4C0E750A" w:rsidR="00B425E5" w:rsidRPr="00A36BD5" w:rsidRDefault="00DA297B" w:rsidP="00C20865">
          <w:pPr>
            <w:pStyle w:val="TOC1"/>
            <w:tabs>
              <w:tab w:val="right" w:leader="dot" w:pos="9317"/>
            </w:tabs>
            <w:jc w:val="left"/>
            <w:rPr>
              <w:rFonts w:eastAsiaTheme="minorEastAsia"/>
              <w:noProof/>
              <w:kern w:val="2"/>
              <w:lang w:val="en-IE" w:eastAsia="en-IE"/>
              <w14:ligatures w14:val="standardContextual"/>
            </w:rPr>
          </w:pPr>
          <w:hyperlink w:anchor="_Toc223981693" w:history="1">
            <w:r w:rsidR="00B425E5" w:rsidRPr="00A36BD5">
              <w:rPr>
                <w:rStyle w:val="Hyperlink"/>
                <w:smallCaps/>
                <w:noProof/>
              </w:rPr>
              <w:t>Annex 11: Decisions and rulings concerning anti-competitive practices on rail ticket distribution</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_Toc223981693 \h </w:instrText>
            </w:r>
            <w:r w:rsidR="00B425E5" w:rsidRPr="00A36BD5">
              <w:rPr>
                <w:noProof/>
                <w:webHidden/>
              </w:rPr>
            </w:r>
            <w:r w:rsidR="00B425E5" w:rsidRPr="00A36BD5">
              <w:rPr>
                <w:noProof/>
                <w:webHidden/>
              </w:rPr>
              <w:fldChar w:fldCharType="separate"/>
            </w:r>
            <w:r w:rsidR="0055391F">
              <w:rPr>
                <w:noProof/>
                <w:webHidden/>
              </w:rPr>
              <w:t>241</w:t>
            </w:r>
            <w:r w:rsidR="00B425E5" w:rsidRPr="00A36BD5">
              <w:rPr>
                <w:noProof/>
                <w:webHidden/>
              </w:rPr>
              <w:fldChar w:fldCharType="end"/>
            </w:r>
          </w:hyperlink>
        </w:p>
        <w:p w14:paraId="1B33F766" w14:textId="3EF2C961" w:rsidR="00B425E5" w:rsidRPr="00A36BD5" w:rsidRDefault="00DA297B" w:rsidP="00C20865">
          <w:pPr>
            <w:pStyle w:val="TOC1"/>
            <w:tabs>
              <w:tab w:val="right" w:leader="dot" w:pos="9317"/>
            </w:tabs>
            <w:rPr>
              <w:rFonts w:eastAsiaTheme="minorEastAsia"/>
              <w:noProof/>
              <w:kern w:val="2"/>
              <w:lang w:val="en-IE" w:eastAsia="en-IE"/>
              <w14:ligatures w14:val="standardContextual"/>
            </w:rPr>
          </w:pPr>
          <w:hyperlink w:anchor="_Toc223981694" w:history="1">
            <w:r w:rsidR="00B425E5" w:rsidRPr="00A36BD5">
              <w:rPr>
                <w:rStyle w:val="Hyperlink"/>
                <w:smallCaps/>
                <w:noProof/>
              </w:rPr>
              <w:t>Annex</w:t>
            </w:r>
            <w:r w:rsidR="00B425E5" w:rsidRPr="00A36BD5">
              <w:rPr>
                <w:rStyle w:val="Hyperlink"/>
                <w:smallCaps/>
                <w:noProof/>
                <w:spacing w:val="-4"/>
              </w:rPr>
              <w:t xml:space="preserve"> </w:t>
            </w:r>
            <w:r w:rsidR="00B425E5" w:rsidRPr="00A36BD5">
              <w:rPr>
                <w:rStyle w:val="Hyperlink"/>
                <w:smallCaps/>
                <w:noProof/>
              </w:rPr>
              <w:t>12:</w:t>
            </w:r>
            <w:r w:rsidR="00B425E5" w:rsidRPr="00A36BD5">
              <w:rPr>
                <w:rStyle w:val="Hyperlink"/>
                <w:smallCaps/>
                <w:noProof/>
                <w:spacing w:val="-15"/>
              </w:rPr>
              <w:t xml:space="preserve"> </w:t>
            </w:r>
            <w:r w:rsidR="00B425E5" w:rsidRPr="00A36BD5">
              <w:rPr>
                <w:rStyle w:val="Hyperlink"/>
                <w:smallCaps/>
                <w:noProof/>
              </w:rPr>
              <w:t>Monitoring and evaluation</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_Toc223981694 \h </w:instrText>
            </w:r>
            <w:r w:rsidR="00B425E5" w:rsidRPr="00A36BD5">
              <w:rPr>
                <w:noProof/>
                <w:webHidden/>
              </w:rPr>
            </w:r>
            <w:r w:rsidR="00B425E5" w:rsidRPr="00A36BD5">
              <w:rPr>
                <w:noProof/>
                <w:webHidden/>
              </w:rPr>
              <w:fldChar w:fldCharType="separate"/>
            </w:r>
            <w:r w:rsidR="0055391F">
              <w:rPr>
                <w:noProof/>
                <w:webHidden/>
              </w:rPr>
              <w:t>244</w:t>
            </w:r>
            <w:r w:rsidR="00B425E5" w:rsidRPr="00A36BD5">
              <w:rPr>
                <w:noProof/>
                <w:webHidden/>
              </w:rPr>
              <w:fldChar w:fldCharType="end"/>
            </w:r>
          </w:hyperlink>
        </w:p>
        <w:p w14:paraId="33A6CD43" w14:textId="2751F216" w:rsidR="00B425E5" w:rsidRPr="00A36BD5" w:rsidRDefault="00DA297B" w:rsidP="00C20865">
          <w:pPr>
            <w:pStyle w:val="TOC1"/>
            <w:tabs>
              <w:tab w:val="right" w:leader="dot" w:pos="9317"/>
            </w:tabs>
            <w:rPr>
              <w:rFonts w:eastAsiaTheme="minorEastAsia"/>
              <w:noProof/>
              <w:kern w:val="2"/>
              <w:lang w:val="en-IE" w:eastAsia="en-IE"/>
              <w14:ligatures w14:val="standardContextual"/>
            </w:rPr>
          </w:pPr>
          <w:hyperlink w:anchor="_Toc223981695" w:history="1">
            <w:r w:rsidR="00B425E5" w:rsidRPr="00A36BD5">
              <w:rPr>
                <w:rStyle w:val="Hyperlink"/>
                <w:smallCaps/>
                <w:noProof/>
              </w:rPr>
              <w:t>Annex</w:t>
            </w:r>
            <w:r w:rsidR="00B425E5" w:rsidRPr="00A36BD5">
              <w:rPr>
                <w:rStyle w:val="Hyperlink"/>
                <w:smallCaps/>
                <w:noProof/>
                <w:spacing w:val="-4"/>
              </w:rPr>
              <w:t xml:space="preserve"> </w:t>
            </w:r>
            <w:r w:rsidR="00B425E5" w:rsidRPr="00A36BD5">
              <w:rPr>
                <w:rStyle w:val="Hyperlink"/>
                <w:smallCaps/>
                <w:noProof/>
              </w:rPr>
              <w:t>13:</w:t>
            </w:r>
            <w:r w:rsidR="00B425E5" w:rsidRPr="00A36BD5">
              <w:rPr>
                <w:rStyle w:val="Hyperlink"/>
                <w:smallCaps/>
                <w:noProof/>
                <w:spacing w:val="-15"/>
              </w:rPr>
              <w:t xml:space="preserve"> Detailed assessment of impact on competition</w:t>
            </w:r>
            <w:r w:rsidR="00B425E5" w:rsidRPr="00A36BD5">
              <w:rPr>
                <w:noProof/>
                <w:webHidden/>
              </w:rPr>
              <w:tab/>
            </w:r>
            <w:r w:rsidR="00B425E5" w:rsidRPr="00A36BD5">
              <w:rPr>
                <w:noProof/>
                <w:webHidden/>
              </w:rPr>
              <w:fldChar w:fldCharType="begin"/>
            </w:r>
            <w:r w:rsidR="00B425E5" w:rsidRPr="00A36BD5">
              <w:rPr>
                <w:noProof/>
                <w:webHidden/>
              </w:rPr>
              <w:instrText xml:space="preserve"> PAGEREF _Toc223981695 \h </w:instrText>
            </w:r>
            <w:r w:rsidR="00B425E5" w:rsidRPr="00A36BD5">
              <w:rPr>
                <w:noProof/>
                <w:webHidden/>
              </w:rPr>
            </w:r>
            <w:r w:rsidR="00B425E5" w:rsidRPr="00A36BD5">
              <w:rPr>
                <w:noProof/>
                <w:webHidden/>
              </w:rPr>
              <w:fldChar w:fldCharType="separate"/>
            </w:r>
            <w:r w:rsidR="0055391F">
              <w:rPr>
                <w:noProof/>
                <w:webHidden/>
              </w:rPr>
              <w:t>246</w:t>
            </w:r>
            <w:r w:rsidR="00B425E5" w:rsidRPr="00A36BD5">
              <w:rPr>
                <w:noProof/>
                <w:webHidden/>
              </w:rPr>
              <w:fldChar w:fldCharType="end"/>
            </w:r>
          </w:hyperlink>
        </w:p>
        <w:p w14:paraId="6098C632" w14:textId="1805A4F1" w:rsidR="008906CD" w:rsidRPr="00D71008" w:rsidRDefault="008906CD">
          <w:pPr>
            <w:rPr>
              <w:noProof/>
            </w:rPr>
          </w:pPr>
          <w:r w:rsidRPr="00D71008">
            <w:rPr>
              <w:b/>
              <w:bCs/>
              <w:noProof/>
            </w:rPr>
            <w:fldChar w:fldCharType="end"/>
          </w:r>
        </w:p>
      </w:sdtContent>
    </w:sdt>
    <w:p w14:paraId="3A1A05F8" w14:textId="77777777" w:rsidR="00124451" w:rsidRPr="00D71008" w:rsidRDefault="00124451" w:rsidP="00124451">
      <w:pPr>
        <w:rPr>
          <w:noProof/>
        </w:rPr>
      </w:pPr>
    </w:p>
    <w:p w14:paraId="23720611" w14:textId="77777777" w:rsidR="00712390" w:rsidRPr="00D71008" w:rsidRDefault="00712390" w:rsidP="009A27C5">
      <w:pPr>
        <w:rPr>
          <w:noProof/>
        </w:rPr>
        <w:sectPr w:rsidR="00712390" w:rsidRPr="00D71008" w:rsidSect="004F6320">
          <w:headerReference w:type="even" r:id="rId15"/>
          <w:headerReference w:type="default" r:id="rId16"/>
          <w:footerReference w:type="even" r:id="rId17"/>
          <w:footerReference w:type="default" r:id="rId18"/>
          <w:headerReference w:type="first" r:id="rId19"/>
          <w:footerReference w:type="first" r:id="rId20"/>
          <w:type w:val="nextColumn"/>
          <w:pgSz w:w="11910" w:h="16840"/>
          <w:pgMar w:top="1021" w:right="995" w:bottom="1021" w:left="1588" w:header="720" w:footer="720" w:gutter="0"/>
          <w:pgNumType w:fmt="upperRoman" w:start="1"/>
          <w:cols w:space="720"/>
        </w:sectPr>
      </w:pPr>
    </w:p>
    <w:p w14:paraId="7D7206DF" w14:textId="77777777" w:rsidR="00712390" w:rsidRPr="00D71008" w:rsidRDefault="003C4819" w:rsidP="00CE7EE4">
      <w:pPr>
        <w:pStyle w:val="Heading2"/>
        <w:spacing w:before="60"/>
        <w:ind w:left="2426" w:right="2722" w:hanging="2426"/>
        <w:jc w:val="left"/>
        <w:rPr>
          <w:noProof/>
          <w:spacing w:val="-2"/>
        </w:rPr>
      </w:pPr>
      <w:bookmarkStart w:id="2" w:name="_Toc222313444"/>
      <w:bookmarkStart w:id="3" w:name="_Toc222748960"/>
      <w:bookmarkStart w:id="4" w:name="_Toc223979933"/>
      <w:r w:rsidRPr="00D71008">
        <w:rPr>
          <w:noProof/>
          <w:spacing w:val="-2"/>
        </w:rPr>
        <w:t>Glossary</w:t>
      </w:r>
      <w:bookmarkEnd w:id="2"/>
      <w:bookmarkEnd w:id="3"/>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980"/>
        <w:gridCol w:w="6688"/>
      </w:tblGrid>
      <w:tr w:rsidR="002A1183" w:rsidRPr="00D71008" w14:paraId="28220045" w14:textId="77777777" w:rsidTr="009B2B37">
        <w:tc>
          <w:tcPr>
            <w:tcW w:w="1980" w:type="dxa"/>
            <w:shd w:val="clear" w:color="auto" w:fill="F2F2F2" w:themeFill="background1" w:themeFillShade="F2"/>
            <w:vAlign w:val="center"/>
          </w:tcPr>
          <w:p w14:paraId="761530FB" w14:textId="4F07E6D7" w:rsidR="002A1183" w:rsidRPr="00D71008" w:rsidRDefault="002A1183">
            <w:pPr>
              <w:spacing w:before="120" w:after="120"/>
              <w:rPr>
                <w:noProof/>
              </w:rPr>
            </w:pPr>
            <w:r w:rsidRPr="00D71008">
              <w:rPr>
                <w:noProof/>
              </w:rPr>
              <w:t>Term or acronym</w:t>
            </w:r>
          </w:p>
        </w:tc>
        <w:tc>
          <w:tcPr>
            <w:tcW w:w="6688" w:type="dxa"/>
            <w:shd w:val="clear" w:color="auto" w:fill="F2F2F2" w:themeFill="background1" w:themeFillShade="F2"/>
            <w:vAlign w:val="center"/>
          </w:tcPr>
          <w:p w14:paraId="2604FB1B" w14:textId="77777777" w:rsidR="002A1183" w:rsidRPr="00D71008" w:rsidRDefault="002A1183">
            <w:pPr>
              <w:spacing w:before="120" w:after="120"/>
              <w:rPr>
                <w:noProof/>
              </w:rPr>
            </w:pPr>
            <w:r w:rsidRPr="00D71008">
              <w:rPr>
                <w:noProof/>
              </w:rPr>
              <w:t>Meaning or definition</w:t>
            </w:r>
          </w:p>
        </w:tc>
      </w:tr>
      <w:tr w:rsidR="00EE0C2D" w:rsidRPr="00D71008" w14:paraId="2A1AEDCC" w14:textId="77777777" w:rsidTr="009B2B37">
        <w:tc>
          <w:tcPr>
            <w:tcW w:w="1980" w:type="dxa"/>
            <w:tcMar>
              <w:top w:w="85" w:type="dxa"/>
              <w:left w:w="57" w:type="dxa"/>
              <w:bottom w:w="85" w:type="dxa"/>
              <w:right w:w="57" w:type="dxa"/>
            </w:tcMar>
          </w:tcPr>
          <w:p w14:paraId="136B4007" w14:textId="238E3251" w:rsidR="00EE0C2D" w:rsidRPr="00D71008" w:rsidRDefault="00EE0C2D" w:rsidP="006B3979">
            <w:pPr>
              <w:rPr>
                <w:noProof/>
                <w:spacing w:val="-5"/>
              </w:rPr>
            </w:pPr>
            <w:r>
              <w:rPr>
                <w:noProof/>
                <w:spacing w:val="-5"/>
              </w:rPr>
              <w:t>API</w:t>
            </w:r>
          </w:p>
        </w:tc>
        <w:tc>
          <w:tcPr>
            <w:tcW w:w="6688" w:type="dxa"/>
            <w:tcMar>
              <w:top w:w="85" w:type="dxa"/>
              <w:left w:w="57" w:type="dxa"/>
              <w:bottom w:w="85" w:type="dxa"/>
              <w:right w:w="57" w:type="dxa"/>
            </w:tcMar>
          </w:tcPr>
          <w:p w14:paraId="148414B4" w14:textId="1C72C2A8" w:rsidR="00EE0C2D" w:rsidRPr="00D71008" w:rsidRDefault="00207519" w:rsidP="006B3979">
            <w:pPr>
              <w:rPr>
                <w:noProof/>
                <w:spacing w:val="-2"/>
              </w:rPr>
            </w:pPr>
            <w:r>
              <w:rPr>
                <w:noProof/>
                <w:spacing w:val="-2"/>
              </w:rPr>
              <w:t>Application Programming Interface</w:t>
            </w:r>
          </w:p>
        </w:tc>
      </w:tr>
      <w:tr w:rsidR="006B3979" w:rsidRPr="00D71008" w14:paraId="0AB61BB2" w14:textId="77777777" w:rsidTr="009B2B37">
        <w:tc>
          <w:tcPr>
            <w:tcW w:w="1980" w:type="dxa"/>
            <w:tcMar>
              <w:top w:w="85" w:type="dxa"/>
              <w:left w:w="57" w:type="dxa"/>
              <w:bottom w:w="85" w:type="dxa"/>
              <w:right w:w="57" w:type="dxa"/>
            </w:tcMar>
          </w:tcPr>
          <w:p w14:paraId="3B711927" w14:textId="4C5AAB83" w:rsidR="006B3979" w:rsidRPr="00D71008" w:rsidRDefault="006B3979" w:rsidP="006B3979">
            <w:pPr>
              <w:rPr>
                <w:noProof/>
              </w:rPr>
            </w:pPr>
            <w:r w:rsidRPr="00D71008">
              <w:rPr>
                <w:noProof/>
                <w:spacing w:val="-5"/>
              </w:rPr>
              <w:t>B2B</w:t>
            </w:r>
          </w:p>
        </w:tc>
        <w:tc>
          <w:tcPr>
            <w:tcW w:w="6688" w:type="dxa"/>
            <w:tcMar>
              <w:top w:w="85" w:type="dxa"/>
              <w:left w:w="57" w:type="dxa"/>
              <w:bottom w:w="85" w:type="dxa"/>
              <w:right w:w="57" w:type="dxa"/>
            </w:tcMar>
          </w:tcPr>
          <w:p w14:paraId="7CDECEF2" w14:textId="4D72A5D1" w:rsidR="006B3979" w:rsidRPr="00D71008" w:rsidRDefault="006B3979" w:rsidP="006B3979">
            <w:pPr>
              <w:rPr>
                <w:noProof/>
              </w:rPr>
            </w:pPr>
            <w:r w:rsidRPr="00D71008">
              <w:rPr>
                <w:noProof/>
                <w:spacing w:val="-2"/>
              </w:rPr>
              <w:t>Business-to-Business</w:t>
            </w:r>
          </w:p>
        </w:tc>
      </w:tr>
      <w:tr w:rsidR="00EE68E6" w:rsidRPr="00D71008" w14:paraId="041FC273" w14:textId="77777777" w:rsidTr="009B2B37">
        <w:tc>
          <w:tcPr>
            <w:tcW w:w="1980" w:type="dxa"/>
            <w:tcMar>
              <w:top w:w="85" w:type="dxa"/>
              <w:left w:w="57" w:type="dxa"/>
              <w:bottom w:w="85" w:type="dxa"/>
              <w:right w:w="57" w:type="dxa"/>
            </w:tcMar>
          </w:tcPr>
          <w:p w14:paraId="07511FDC" w14:textId="0FC54C70" w:rsidR="00EE68E6" w:rsidRPr="00D71008" w:rsidRDefault="00EE68E6" w:rsidP="00EE68E6">
            <w:pPr>
              <w:rPr>
                <w:noProof/>
              </w:rPr>
            </w:pPr>
            <w:r w:rsidRPr="00D71008">
              <w:rPr>
                <w:noProof/>
                <w:spacing w:val="-5"/>
              </w:rPr>
              <w:t>B2C</w:t>
            </w:r>
          </w:p>
        </w:tc>
        <w:tc>
          <w:tcPr>
            <w:tcW w:w="6688" w:type="dxa"/>
            <w:tcMar>
              <w:top w:w="85" w:type="dxa"/>
              <w:left w:w="57" w:type="dxa"/>
              <w:bottom w:w="85" w:type="dxa"/>
              <w:right w:w="57" w:type="dxa"/>
            </w:tcMar>
          </w:tcPr>
          <w:p w14:paraId="4E3FE422" w14:textId="1F122188" w:rsidR="00EE68E6" w:rsidRPr="00D71008" w:rsidRDefault="00EE68E6" w:rsidP="00EE68E6">
            <w:pPr>
              <w:rPr>
                <w:noProof/>
              </w:rPr>
            </w:pPr>
            <w:r w:rsidRPr="00D71008">
              <w:rPr>
                <w:noProof/>
                <w:spacing w:val="-2"/>
              </w:rPr>
              <w:t>Business-to-Consumer</w:t>
            </w:r>
          </w:p>
        </w:tc>
      </w:tr>
      <w:tr w:rsidR="00EE68E6" w:rsidRPr="00D71008" w14:paraId="3F1DB86B" w14:textId="77777777" w:rsidTr="009B2B37">
        <w:tc>
          <w:tcPr>
            <w:tcW w:w="1980" w:type="dxa"/>
            <w:tcMar>
              <w:top w:w="85" w:type="dxa"/>
              <w:left w:w="57" w:type="dxa"/>
              <w:bottom w:w="85" w:type="dxa"/>
              <w:right w:w="57" w:type="dxa"/>
            </w:tcMar>
          </w:tcPr>
          <w:p w14:paraId="51735DF0" w14:textId="7AA8C2F7" w:rsidR="00EE68E6" w:rsidRPr="00D71008" w:rsidRDefault="00EE68E6" w:rsidP="00EE68E6">
            <w:pPr>
              <w:jc w:val="both"/>
              <w:rPr>
                <w:noProof/>
              </w:rPr>
            </w:pPr>
            <w:r w:rsidRPr="00D71008">
              <w:rPr>
                <w:noProof/>
                <w:spacing w:val="-5"/>
              </w:rPr>
              <w:t>CRS</w:t>
            </w:r>
          </w:p>
        </w:tc>
        <w:tc>
          <w:tcPr>
            <w:tcW w:w="6688" w:type="dxa"/>
            <w:tcMar>
              <w:top w:w="85" w:type="dxa"/>
              <w:left w:w="57" w:type="dxa"/>
              <w:bottom w:w="85" w:type="dxa"/>
              <w:right w:w="57" w:type="dxa"/>
            </w:tcMar>
          </w:tcPr>
          <w:p w14:paraId="51E7A7D0" w14:textId="7632B446" w:rsidR="00EE68E6" w:rsidRPr="00D71008" w:rsidRDefault="00EE68E6" w:rsidP="00EE68E6">
            <w:pPr>
              <w:jc w:val="both"/>
              <w:rPr>
                <w:noProof/>
              </w:rPr>
            </w:pPr>
            <w:r w:rsidRPr="00D71008">
              <w:rPr>
                <w:noProof/>
              </w:rPr>
              <w:t>Computerised Reservation Systems</w:t>
            </w:r>
          </w:p>
        </w:tc>
      </w:tr>
      <w:tr w:rsidR="00EE68E6" w:rsidRPr="00D71008" w14:paraId="5D5CAB4E" w14:textId="77777777" w:rsidTr="009B2B37">
        <w:tc>
          <w:tcPr>
            <w:tcW w:w="1980" w:type="dxa"/>
            <w:tcMar>
              <w:top w:w="85" w:type="dxa"/>
              <w:left w:w="57" w:type="dxa"/>
              <w:bottom w:w="85" w:type="dxa"/>
              <w:right w:w="57" w:type="dxa"/>
            </w:tcMar>
          </w:tcPr>
          <w:p w14:paraId="7238C340" w14:textId="4E5416DF" w:rsidR="00EE68E6" w:rsidRPr="00D71008" w:rsidRDefault="00EE68E6" w:rsidP="00EE68E6">
            <w:pPr>
              <w:rPr>
                <w:noProof/>
              </w:rPr>
            </w:pPr>
            <w:r w:rsidRPr="00D71008">
              <w:rPr>
                <w:noProof/>
              </w:rPr>
              <w:t>DC</w:t>
            </w:r>
            <w:r w:rsidRPr="00D71008">
              <w:rPr>
                <w:noProof/>
                <w:spacing w:val="-5"/>
              </w:rPr>
              <w:t xml:space="preserve"> </w:t>
            </w:r>
            <w:r w:rsidRPr="00D71008">
              <w:rPr>
                <w:noProof/>
                <w:spacing w:val="-2"/>
              </w:rPr>
              <w:t>system</w:t>
            </w:r>
          </w:p>
        </w:tc>
        <w:tc>
          <w:tcPr>
            <w:tcW w:w="6688" w:type="dxa"/>
            <w:tcMar>
              <w:top w:w="85" w:type="dxa"/>
              <w:left w:w="57" w:type="dxa"/>
              <w:bottom w:w="85" w:type="dxa"/>
              <w:right w:w="57" w:type="dxa"/>
            </w:tcMar>
          </w:tcPr>
          <w:p w14:paraId="06A75B0D" w14:textId="0AFE53A3" w:rsidR="00EE68E6" w:rsidRPr="00D71008" w:rsidRDefault="00EE68E6" w:rsidP="00EE68E6">
            <w:pPr>
              <w:rPr>
                <w:noProof/>
              </w:rPr>
            </w:pPr>
            <w:r w:rsidRPr="00D71008">
              <w:rPr>
                <w:noProof/>
              </w:rPr>
              <w:t>Direct</w:t>
            </w:r>
            <w:r w:rsidRPr="00D71008">
              <w:rPr>
                <w:noProof/>
                <w:spacing w:val="-4"/>
              </w:rPr>
              <w:t xml:space="preserve"> </w:t>
            </w:r>
            <w:r w:rsidRPr="00D71008">
              <w:rPr>
                <w:noProof/>
              </w:rPr>
              <w:t>Connect</w:t>
            </w:r>
            <w:r w:rsidRPr="00D71008">
              <w:rPr>
                <w:noProof/>
                <w:spacing w:val="-3"/>
              </w:rPr>
              <w:t xml:space="preserve"> </w:t>
            </w:r>
            <w:r w:rsidRPr="00D71008">
              <w:rPr>
                <w:noProof/>
                <w:spacing w:val="-2"/>
              </w:rPr>
              <w:t>system</w:t>
            </w:r>
          </w:p>
        </w:tc>
      </w:tr>
      <w:tr w:rsidR="00EE68E6" w:rsidRPr="00D71008" w14:paraId="203C42D5" w14:textId="77777777" w:rsidTr="009B2B37">
        <w:tc>
          <w:tcPr>
            <w:tcW w:w="1980" w:type="dxa"/>
            <w:tcMar>
              <w:top w:w="85" w:type="dxa"/>
              <w:left w:w="57" w:type="dxa"/>
              <w:bottom w:w="85" w:type="dxa"/>
              <w:right w:w="57" w:type="dxa"/>
            </w:tcMar>
          </w:tcPr>
          <w:p w14:paraId="4724C845" w14:textId="07A653A3" w:rsidR="00EE68E6" w:rsidRPr="00D71008" w:rsidRDefault="00EE68E6" w:rsidP="00EE68E6">
            <w:pPr>
              <w:rPr>
                <w:noProof/>
              </w:rPr>
            </w:pPr>
            <w:r w:rsidRPr="00D71008">
              <w:rPr>
                <w:noProof/>
              </w:rPr>
              <w:t>DMA</w:t>
            </w:r>
          </w:p>
        </w:tc>
        <w:tc>
          <w:tcPr>
            <w:tcW w:w="6688" w:type="dxa"/>
            <w:tcMar>
              <w:top w:w="85" w:type="dxa"/>
              <w:left w:w="57" w:type="dxa"/>
              <w:bottom w:w="85" w:type="dxa"/>
              <w:right w:w="57" w:type="dxa"/>
            </w:tcMar>
          </w:tcPr>
          <w:p w14:paraId="6923DF59" w14:textId="12E33902" w:rsidR="00EE68E6" w:rsidRPr="00D71008" w:rsidRDefault="00EE68E6" w:rsidP="00EE68E6">
            <w:pPr>
              <w:rPr>
                <w:noProof/>
              </w:rPr>
            </w:pPr>
            <w:r w:rsidRPr="00D71008">
              <w:rPr>
                <w:noProof/>
              </w:rPr>
              <w:t>Digital Markets Act</w:t>
            </w:r>
          </w:p>
        </w:tc>
      </w:tr>
      <w:tr w:rsidR="00EE68E6" w:rsidRPr="00D71008" w14:paraId="6DE615D6" w14:textId="77777777" w:rsidTr="009B2B37">
        <w:tc>
          <w:tcPr>
            <w:tcW w:w="1980" w:type="dxa"/>
            <w:tcMar>
              <w:top w:w="85" w:type="dxa"/>
              <w:left w:w="57" w:type="dxa"/>
              <w:bottom w:w="85" w:type="dxa"/>
              <w:right w:w="57" w:type="dxa"/>
            </w:tcMar>
          </w:tcPr>
          <w:p w14:paraId="42DCB5A1" w14:textId="320EBC52" w:rsidR="00EE68E6" w:rsidRPr="00D71008" w:rsidRDefault="00EE68E6" w:rsidP="00EE68E6">
            <w:pPr>
              <w:rPr>
                <w:noProof/>
              </w:rPr>
            </w:pPr>
            <w:r w:rsidRPr="00D71008">
              <w:rPr>
                <w:noProof/>
              </w:rPr>
              <w:t>DSA</w:t>
            </w:r>
          </w:p>
        </w:tc>
        <w:tc>
          <w:tcPr>
            <w:tcW w:w="6688" w:type="dxa"/>
            <w:tcMar>
              <w:top w:w="85" w:type="dxa"/>
              <w:left w:w="57" w:type="dxa"/>
              <w:bottom w:w="85" w:type="dxa"/>
              <w:right w:w="57" w:type="dxa"/>
            </w:tcMar>
          </w:tcPr>
          <w:p w14:paraId="2830A992" w14:textId="7A5B7146" w:rsidR="00EE68E6" w:rsidRPr="00D71008" w:rsidRDefault="00EE68E6" w:rsidP="00EE68E6">
            <w:pPr>
              <w:rPr>
                <w:noProof/>
              </w:rPr>
            </w:pPr>
            <w:r w:rsidRPr="00D71008">
              <w:rPr>
                <w:noProof/>
              </w:rPr>
              <w:t>Digital Services Act</w:t>
            </w:r>
          </w:p>
        </w:tc>
      </w:tr>
      <w:tr w:rsidR="002E0B85" w:rsidRPr="00D71008" w14:paraId="2ECA2302" w14:textId="77777777">
        <w:tc>
          <w:tcPr>
            <w:tcW w:w="1980" w:type="dxa"/>
            <w:tcMar>
              <w:top w:w="85" w:type="dxa"/>
              <w:left w:w="57" w:type="dxa"/>
              <w:bottom w:w="85" w:type="dxa"/>
              <w:right w:w="57" w:type="dxa"/>
            </w:tcMar>
          </w:tcPr>
          <w:p w14:paraId="0152E939" w14:textId="1D8F496F" w:rsidR="002E0B85" w:rsidRPr="00D71008" w:rsidRDefault="002E0B85">
            <w:pPr>
              <w:rPr>
                <w:noProof/>
              </w:rPr>
            </w:pPr>
            <w:r>
              <w:rPr>
                <w:noProof/>
              </w:rPr>
              <w:t>EC</w:t>
            </w:r>
          </w:p>
        </w:tc>
        <w:tc>
          <w:tcPr>
            <w:tcW w:w="6688" w:type="dxa"/>
            <w:tcMar>
              <w:top w:w="85" w:type="dxa"/>
              <w:left w:w="57" w:type="dxa"/>
              <w:bottom w:w="85" w:type="dxa"/>
              <w:right w:w="57" w:type="dxa"/>
            </w:tcMar>
          </w:tcPr>
          <w:p w14:paraId="64C9DA57" w14:textId="7021F2D8" w:rsidR="002E0B85" w:rsidRPr="00D71008" w:rsidRDefault="002E0B85">
            <w:pPr>
              <w:jc w:val="both"/>
              <w:rPr>
                <w:noProof/>
              </w:rPr>
            </w:pPr>
            <w:r>
              <w:rPr>
                <w:noProof/>
              </w:rPr>
              <w:t>European Commission</w:t>
            </w:r>
          </w:p>
        </w:tc>
      </w:tr>
      <w:tr w:rsidR="00903C9A" w:rsidRPr="00D71008" w14:paraId="4BC60381" w14:textId="77777777">
        <w:tc>
          <w:tcPr>
            <w:tcW w:w="1980" w:type="dxa"/>
            <w:tcMar>
              <w:top w:w="85" w:type="dxa"/>
              <w:left w:w="57" w:type="dxa"/>
              <w:bottom w:w="85" w:type="dxa"/>
              <w:right w:w="57" w:type="dxa"/>
            </w:tcMar>
          </w:tcPr>
          <w:p w14:paraId="6F3B99F3" w14:textId="77777777" w:rsidR="00903C9A" w:rsidRPr="00D71008" w:rsidRDefault="00903C9A">
            <w:pPr>
              <w:rPr>
                <w:noProof/>
              </w:rPr>
            </w:pPr>
            <w:r w:rsidRPr="00D71008">
              <w:rPr>
                <w:noProof/>
              </w:rPr>
              <w:t>EDIFACT</w:t>
            </w:r>
          </w:p>
        </w:tc>
        <w:tc>
          <w:tcPr>
            <w:tcW w:w="6688" w:type="dxa"/>
            <w:tcMar>
              <w:top w:w="85" w:type="dxa"/>
              <w:left w:w="57" w:type="dxa"/>
              <w:bottom w:w="85" w:type="dxa"/>
              <w:right w:w="57" w:type="dxa"/>
            </w:tcMar>
          </w:tcPr>
          <w:p w14:paraId="5C8DECE5" w14:textId="77777777" w:rsidR="00903C9A" w:rsidRPr="00D71008" w:rsidRDefault="00903C9A">
            <w:pPr>
              <w:jc w:val="both"/>
              <w:rPr>
                <w:noProof/>
              </w:rPr>
            </w:pPr>
            <w:r w:rsidRPr="00D71008">
              <w:rPr>
                <w:noProof/>
              </w:rPr>
              <w:t>Electronic Data Interchange for Administration, Commerce and Transport</w:t>
            </w:r>
          </w:p>
        </w:tc>
      </w:tr>
      <w:tr w:rsidR="008327D2" w:rsidRPr="00D71008" w14:paraId="2BC1D675" w14:textId="77777777">
        <w:tc>
          <w:tcPr>
            <w:tcW w:w="1980" w:type="dxa"/>
            <w:tcMar>
              <w:top w:w="85" w:type="dxa"/>
              <w:left w:w="57" w:type="dxa"/>
              <w:bottom w:w="85" w:type="dxa"/>
              <w:right w:w="57" w:type="dxa"/>
            </w:tcMar>
          </w:tcPr>
          <w:p w14:paraId="4182B0E3" w14:textId="77777777" w:rsidR="008327D2" w:rsidRPr="00D71008" w:rsidRDefault="008327D2">
            <w:pPr>
              <w:rPr>
                <w:noProof/>
              </w:rPr>
            </w:pPr>
            <w:r>
              <w:rPr>
                <w:noProof/>
              </w:rPr>
              <w:t>EEA</w:t>
            </w:r>
          </w:p>
        </w:tc>
        <w:tc>
          <w:tcPr>
            <w:tcW w:w="6688" w:type="dxa"/>
            <w:tcMar>
              <w:top w:w="85" w:type="dxa"/>
              <w:left w:w="57" w:type="dxa"/>
              <w:bottom w:w="85" w:type="dxa"/>
              <w:right w:w="57" w:type="dxa"/>
            </w:tcMar>
          </w:tcPr>
          <w:p w14:paraId="4DC8CF34" w14:textId="77777777" w:rsidR="008327D2" w:rsidRPr="00D71008" w:rsidRDefault="008327D2">
            <w:pPr>
              <w:rPr>
                <w:noProof/>
              </w:rPr>
            </w:pPr>
            <w:r w:rsidRPr="00903C9A">
              <w:rPr>
                <w:noProof/>
              </w:rPr>
              <w:t>European Economic Area</w:t>
            </w:r>
          </w:p>
        </w:tc>
      </w:tr>
      <w:tr w:rsidR="00EE68E6" w:rsidRPr="00D71008" w14:paraId="5D14A7D3" w14:textId="77777777" w:rsidTr="009B2B37">
        <w:tc>
          <w:tcPr>
            <w:tcW w:w="1980" w:type="dxa"/>
            <w:tcMar>
              <w:top w:w="85" w:type="dxa"/>
              <w:left w:w="57" w:type="dxa"/>
              <w:bottom w:w="85" w:type="dxa"/>
              <w:right w:w="57" w:type="dxa"/>
            </w:tcMar>
          </w:tcPr>
          <w:p w14:paraId="2EE09DBE" w14:textId="21158251" w:rsidR="00EE68E6" w:rsidRPr="00D71008" w:rsidRDefault="00EE68E6" w:rsidP="00EE68E6">
            <w:pPr>
              <w:rPr>
                <w:noProof/>
              </w:rPr>
            </w:pPr>
            <w:r w:rsidRPr="00D71008">
              <w:rPr>
                <w:noProof/>
              </w:rPr>
              <w:t>FRAND</w:t>
            </w:r>
          </w:p>
        </w:tc>
        <w:tc>
          <w:tcPr>
            <w:tcW w:w="6688" w:type="dxa"/>
            <w:tcMar>
              <w:top w:w="85" w:type="dxa"/>
              <w:left w:w="57" w:type="dxa"/>
              <w:bottom w:w="85" w:type="dxa"/>
              <w:right w:w="57" w:type="dxa"/>
            </w:tcMar>
          </w:tcPr>
          <w:p w14:paraId="7A10442F" w14:textId="513528E1" w:rsidR="00EE68E6" w:rsidRPr="00D71008" w:rsidRDefault="00EE68E6" w:rsidP="00EE68E6">
            <w:pPr>
              <w:rPr>
                <w:noProof/>
              </w:rPr>
            </w:pPr>
            <w:r w:rsidRPr="00D71008">
              <w:rPr>
                <w:noProof/>
              </w:rPr>
              <w:t>Fair, Reasonable and Non-Discriminatory</w:t>
            </w:r>
          </w:p>
        </w:tc>
      </w:tr>
      <w:tr w:rsidR="009C0E2D" w:rsidRPr="00D71008" w14:paraId="5F9A7228" w14:textId="77777777" w:rsidTr="009B2B37">
        <w:tc>
          <w:tcPr>
            <w:tcW w:w="1980" w:type="dxa"/>
            <w:tcMar>
              <w:top w:w="85" w:type="dxa"/>
              <w:left w:w="57" w:type="dxa"/>
              <w:bottom w:w="85" w:type="dxa"/>
              <w:right w:w="57" w:type="dxa"/>
            </w:tcMar>
          </w:tcPr>
          <w:p w14:paraId="58EF4719" w14:textId="16A0000C" w:rsidR="009C0E2D" w:rsidRPr="00D71008" w:rsidRDefault="009C0E2D" w:rsidP="00EE68E6">
            <w:pPr>
              <w:rPr>
                <w:noProof/>
              </w:rPr>
            </w:pPr>
            <w:r>
              <w:rPr>
                <w:noProof/>
              </w:rPr>
              <w:t>GDP</w:t>
            </w:r>
          </w:p>
        </w:tc>
        <w:tc>
          <w:tcPr>
            <w:tcW w:w="6688" w:type="dxa"/>
            <w:tcMar>
              <w:top w:w="85" w:type="dxa"/>
              <w:left w:w="57" w:type="dxa"/>
              <w:bottom w:w="85" w:type="dxa"/>
              <w:right w:w="57" w:type="dxa"/>
            </w:tcMar>
          </w:tcPr>
          <w:p w14:paraId="6E878231" w14:textId="529747A6" w:rsidR="009C0E2D" w:rsidRPr="00D71008" w:rsidRDefault="009C0E2D" w:rsidP="00EE68E6">
            <w:pPr>
              <w:rPr>
                <w:noProof/>
              </w:rPr>
            </w:pPr>
            <w:r>
              <w:rPr>
                <w:noProof/>
              </w:rPr>
              <w:t>Gross Domestic Product</w:t>
            </w:r>
          </w:p>
        </w:tc>
      </w:tr>
      <w:tr w:rsidR="00EE68E6" w:rsidRPr="00D71008" w14:paraId="2CC83474" w14:textId="77777777" w:rsidTr="009B2B37">
        <w:tc>
          <w:tcPr>
            <w:tcW w:w="1980" w:type="dxa"/>
            <w:tcMar>
              <w:top w:w="85" w:type="dxa"/>
              <w:left w:w="57" w:type="dxa"/>
              <w:bottom w:w="85" w:type="dxa"/>
              <w:right w:w="57" w:type="dxa"/>
            </w:tcMar>
          </w:tcPr>
          <w:p w14:paraId="7C772117" w14:textId="7F6E1634" w:rsidR="00EE68E6" w:rsidRPr="00D71008" w:rsidRDefault="00EE68E6" w:rsidP="00EE68E6">
            <w:pPr>
              <w:rPr>
                <w:noProof/>
              </w:rPr>
            </w:pPr>
            <w:r w:rsidRPr="00D71008">
              <w:rPr>
                <w:noProof/>
              </w:rPr>
              <w:t>GDS</w:t>
            </w:r>
          </w:p>
        </w:tc>
        <w:tc>
          <w:tcPr>
            <w:tcW w:w="6688" w:type="dxa"/>
            <w:tcMar>
              <w:top w:w="85" w:type="dxa"/>
              <w:left w:w="57" w:type="dxa"/>
              <w:bottom w:w="85" w:type="dxa"/>
              <w:right w:w="57" w:type="dxa"/>
            </w:tcMar>
          </w:tcPr>
          <w:p w14:paraId="013D6E96" w14:textId="1412C22A" w:rsidR="00EE68E6" w:rsidRPr="00D71008" w:rsidRDefault="00EE68E6" w:rsidP="00EE68E6">
            <w:pPr>
              <w:rPr>
                <w:noProof/>
              </w:rPr>
            </w:pPr>
            <w:r w:rsidRPr="00D71008">
              <w:rPr>
                <w:noProof/>
              </w:rPr>
              <w:t xml:space="preserve">CRS </w:t>
            </w:r>
            <w:r w:rsidR="001C3293">
              <w:rPr>
                <w:noProof/>
              </w:rPr>
              <w:t>is</w:t>
            </w:r>
            <w:r w:rsidRPr="00D71008">
              <w:rPr>
                <w:noProof/>
              </w:rPr>
              <w:t xml:space="preserve"> also known as Global Distribution System</w:t>
            </w:r>
          </w:p>
        </w:tc>
      </w:tr>
      <w:tr w:rsidR="00EE68E6" w:rsidRPr="00D71008" w14:paraId="2EE5D834" w14:textId="77777777" w:rsidTr="009B2B37">
        <w:tc>
          <w:tcPr>
            <w:tcW w:w="1980" w:type="dxa"/>
            <w:tcMar>
              <w:top w:w="85" w:type="dxa"/>
              <w:left w:w="57" w:type="dxa"/>
              <w:bottom w:w="85" w:type="dxa"/>
              <w:right w:w="57" w:type="dxa"/>
            </w:tcMar>
          </w:tcPr>
          <w:p w14:paraId="17911651" w14:textId="43344912" w:rsidR="00EE68E6" w:rsidRPr="00D71008" w:rsidRDefault="00EE68E6" w:rsidP="00EE68E6">
            <w:pPr>
              <w:rPr>
                <w:noProof/>
              </w:rPr>
            </w:pPr>
            <w:r w:rsidRPr="00D71008">
              <w:rPr>
                <w:noProof/>
              </w:rPr>
              <w:t>LCC</w:t>
            </w:r>
          </w:p>
        </w:tc>
        <w:tc>
          <w:tcPr>
            <w:tcW w:w="6688" w:type="dxa"/>
            <w:tcMar>
              <w:top w:w="85" w:type="dxa"/>
              <w:left w:w="57" w:type="dxa"/>
              <w:bottom w:w="85" w:type="dxa"/>
              <w:right w:w="57" w:type="dxa"/>
            </w:tcMar>
          </w:tcPr>
          <w:p w14:paraId="3411EE0A" w14:textId="47E4223D" w:rsidR="00EE68E6" w:rsidRPr="00D71008" w:rsidRDefault="00EE68E6" w:rsidP="00EE68E6">
            <w:pPr>
              <w:rPr>
                <w:noProof/>
              </w:rPr>
            </w:pPr>
            <w:r w:rsidRPr="00D71008">
              <w:rPr>
                <w:noProof/>
              </w:rPr>
              <w:t>Low-Cost Carrier</w:t>
            </w:r>
          </w:p>
        </w:tc>
      </w:tr>
      <w:tr w:rsidR="00EE68E6" w:rsidRPr="00D71008" w14:paraId="517967CE" w14:textId="77777777" w:rsidTr="009B2B37">
        <w:tc>
          <w:tcPr>
            <w:tcW w:w="1980" w:type="dxa"/>
            <w:tcMar>
              <w:top w:w="85" w:type="dxa"/>
              <w:left w:w="57" w:type="dxa"/>
              <w:bottom w:w="85" w:type="dxa"/>
              <w:right w:w="57" w:type="dxa"/>
            </w:tcMar>
          </w:tcPr>
          <w:p w14:paraId="20A24F31" w14:textId="2205DB94" w:rsidR="00EE68E6" w:rsidRPr="00D71008" w:rsidRDefault="00EE68E6" w:rsidP="00EE68E6">
            <w:pPr>
              <w:rPr>
                <w:noProof/>
              </w:rPr>
            </w:pPr>
            <w:r w:rsidRPr="00D71008">
              <w:rPr>
                <w:noProof/>
              </w:rPr>
              <w:t>MaaS</w:t>
            </w:r>
          </w:p>
        </w:tc>
        <w:tc>
          <w:tcPr>
            <w:tcW w:w="6688" w:type="dxa"/>
            <w:tcMar>
              <w:top w:w="85" w:type="dxa"/>
              <w:left w:w="57" w:type="dxa"/>
              <w:bottom w:w="85" w:type="dxa"/>
              <w:right w:w="57" w:type="dxa"/>
            </w:tcMar>
          </w:tcPr>
          <w:p w14:paraId="0DC4C9AB" w14:textId="55C592A2" w:rsidR="00EE68E6" w:rsidRPr="00D71008" w:rsidRDefault="00EE68E6" w:rsidP="00EE68E6">
            <w:pPr>
              <w:rPr>
                <w:noProof/>
              </w:rPr>
            </w:pPr>
            <w:r w:rsidRPr="00D71008">
              <w:rPr>
                <w:noProof/>
              </w:rPr>
              <w:t>Mobility as a Service</w:t>
            </w:r>
          </w:p>
        </w:tc>
      </w:tr>
      <w:tr w:rsidR="00EE68E6" w:rsidRPr="00D71008" w14:paraId="0A6217C1" w14:textId="77777777" w:rsidTr="009B2B37">
        <w:tc>
          <w:tcPr>
            <w:tcW w:w="1980" w:type="dxa"/>
            <w:tcMar>
              <w:top w:w="85" w:type="dxa"/>
              <w:left w:w="57" w:type="dxa"/>
              <w:bottom w:w="85" w:type="dxa"/>
              <w:right w:w="57" w:type="dxa"/>
            </w:tcMar>
          </w:tcPr>
          <w:p w14:paraId="39903D00" w14:textId="179730D6" w:rsidR="00EE68E6" w:rsidRPr="00D71008" w:rsidRDefault="00EE68E6" w:rsidP="00EE68E6">
            <w:pPr>
              <w:rPr>
                <w:noProof/>
              </w:rPr>
            </w:pPr>
            <w:r w:rsidRPr="00D71008">
              <w:rPr>
                <w:noProof/>
              </w:rPr>
              <w:t>MIDT</w:t>
            </w:r>
          </w:p>
        </w:tc>
        <w:tc>
          <w:tcPr>
            <w:tcW w:w="6688" w:type="dxa"/>
            <w:tcMar>
              <w:top w:w="85" w:type="dxa"/>
              <w:left w:w="57" w:type="dxa"/>
              <w:bottom w:w="85" w:type="dxa"/>
              <w:right w:w="57" w:type="dxa"/>
            </w:tcMar>
          </w:tcPr>
          <w:p w14:paraId="6D8109CE" w14:textId="1A688053" w:rsidR="00EE68E6" w:rsidRPr="00D71008" w:rsidRDefault="00EE68E6" w:rsidP="00EE68E6">
            <w:pPr>
              <w:rPr>
                <w:noProof/>
              </w:rPr>
            </w:pPr>
            <w:r w:rsidRPr="00D71008">
              <w:rPr>
                <w:noProof/>
              </w:rPr>
              <w:t xml:space="preserve">Market Information Data Tapes </w:t>
            </w:r>
            <w:r w:rsidR="00666443">
              <w:rPr>
                <w:noProof/>
              </w:rPr>
              <w:t>(</w:t>
            </w:r>
            <w:r w:rsidRPr="00D71008">
              <w:rPr>
                <w:noProof/>
              </w:rPr>
              <w:t>from airline booking systems</w:t>
            </w:r>
            <w:r w:rsidR="00666443">
              <w:rPr>
                <w:noProof/>
              </w:rPr>
              <w:t>)</w:t>
            </w:r>
          </w:p>
        </w:tc>
      </w:tr>
      <w:tr w:rsidR="00EE68E6" w:rsidRPr="00D71008" w14:paraId="33E0C895" w14:textId="77777777" w:rsidTr="009B2B37">
        <w:tc>
          <w:tcPr>
            <w:tcW w:w="1980" w:type="dxa"/>
            <w:tcMar>
              <w:top w:w="85" w:type="dxa"/>
              <w:left w:w="57" w:type="dxa"/>
              <w:bottom w:w="85" w:type="dxa"/>
              <w:right w:w="57" w:type="dxa"/>
            </w:tcMar>
          </w:tcPr>
          <w:p w14:paraId="7035FA96" w14:textId="17A6A9E2" w:rsidR="00EE68E6" w:rsidRPr="00D71008" w:rsidRDefault="00EE68E6" w:rsidP="00EE68E6">
            <w:pPr>
              <w:rPr>
                <w:noProof/>
              </w:rPr>
            </w:pPr>
            <w:r w:rsidRPr="00D71008">
              <w:rPr>
                <w:noProof/>
              </w:rPr>
              <w:t>MSE</w:t>
            </w:r>
          </w:p>
        </w:tc>
        <w:tc>
          <w:tcPr>
            <w:tcW w:w="6688" w:type="dxa"/>
            <w:tcMar>
              <w:top w:w="85" w:type="dxa"/>
              <w:left w:w="57" w:type="dxa"/>
              <w:bottom w:w="85" w:type="dxa"/>
              <w:right w:w="57" w:type="dxa"/>
            </w:tcMar>
          </w:tcPr>
          <w:p w14:paraId="61DB4487" w14:textId="6FD009AE" w:rsidR="00EE68E6" w:rsidRPr="00D71008" w:rsidRDefault="00EE68E6" w:rsidP="00EE68E6">
            <w:pPr>
              <w:rPr>
                <w:noProof/>
              </w:rPr>
            </w:pPr>
            <w:r w:rsidRPr="00D71008">
              <w:rPr>
                <w:noProof/>
              </w:rPr>
              <w:t>Meta-Search Engine</w:t>
            </w:r>
          </w:p>
        </w:tc>
      </w:tr>
      <w:tr w:rsidR="00EE68E6" w:rsidRPr="00D71008" w14:paraId="13967735" w14:textId="77777777" w:rsidTr="009B2B37">
        <w:tc>
          <w:tcPr>
            <w:tcW w:w="1980" w:type="dxa"/>
            <w:tcMar>
              <w:top w:w="85" w:type="dxa"/>
              <w:left w:w="57" w:type="dxa"/>
              <w:bottom w:w="85" w:type="dxa"/>
              <w:right w:w="57" w:type="dxa"/>
            </w:tcMar>
          </w:tcPr>
          <w:p w14:paraId="517BD84A" w14:textId="1B105C76" w:rsidR="00EE68E6" w:rsidRPr="00D71008" w:rsidRDefault="00EE68E6" w:rsidP="00EE68E6">
            <w:pPr>
              <w:rPr>
                <w:noProof/>
              </w:rPr>
            </w:pPr>
            <w:r w:rsidRPr="00D71008">
              <w:rPr>
                <w:noProof/>
              </w:rPr>
              <w:t>MDMS</w:t>
            </w:r>
          </w:p>
        </w:tc>
        <w:tc>
          <w:tcPr>
            <w:tcW w:w="6688" w:type="dxa"/>
            <w:tcMar>
              <w:top w:w="85" w:type="dxa"/>
              <w:left w:w="57" w:type="dxa"/>
              <w:bottom w:w="85" w:type="dxa"/>
              <w:right w:w="57" w:type="dxa"/>
            </w:tcMar>
          </w:tcPr>
          <w:p w14:paraId="172578C2" w14:textId="5DB7E545" w:rsidR="00EE68E6" w:rsidRPr="00D71008" w:rsidRDefault="00EE68E6" w:rsidP="00EE68E6">
            <w:pPr>
              <w:rPr>
                <w:noProof/>
              </w:rPr>
            </w:pPr>
            <w:r w:rsidRPr="00D71008">
              <w:rPr>
                <w:noProof/>
              </w:rPr>
              <w:t>Multimodal Digital Mobility Services</w:t>
            </w:r>
          </w:p>
        </w:tc>
      </w:tr>
      <w:tr w:rsidR="00EE68E6" w:rsidRPr="00D71008" w14:paraId="691545B2" w14:textId="77777777" w:rsidTr="009B2B37">
        <w:tc>
          <w:tcPr>
            <w:tcW w:w="1980" w:type="dxa"/>
            <w:tcMar>
              <w:top w:w="85" w:type="dxa"/>
              <w:left w:w="57" w:type="dxa"/>
              <w:bottom w:w="85" w:type="dxa"/>
              <w:right w:w="57" w:type="dxa"/>
            </w:tcMar>
          </w:tcPr>
          <w:p w14:paraId="0E67DFBC" w14:textId="72E37010" w:rsidR="00EE68E6" w:rsidRPr="00D71008" w:rsidRDefault="00EE68E6" w:rsidP="00EE68E6">
            <w:pPr>
              <w:rPr>
                <w:noProof/>
              </w:rPr>
            </w:pPr>
            <w:r w:rsidRPr="00D71008">
              <w:rPr>
                <w:noProof/>
              </w:rPr>
              <w:t>MMTIS</w:t>
            </w:r>
          </w:p>
        </w:tc>
        <w:tc>
          <w:tcPr>
            <w:tcW w:w="6688" w:type="dxa"/>
            <w:tcMar>
              <w:top w:w="85" w:type="dxa"/>
              <w:left w:w="57" w:type="dxa"/>
              <w:bottom w:w="85" w:type="dxa"/>
              <w:right w:w="57" w:type="dxa"/>
            </w:tcMar>
          </w:tcPr>
          <w:p w14:paraId="41FEDA9B" w14:textId="1A4F1A83" w:rsidR="00EE68E6" w:rsidRPr="00D71008" w:rsidRDefault="00EE68E6" w:rsidP="00EE68E6">
            <w:pPr>
              <w:rPr>
                <w:noProof/>
              </w:rPr>
            </w:pPr>
            <w:r w:rsidRPr="00D71008">
              <w:rPr>
                <w:noProof/>
              </w:rPr>
              <w:t>Multimodal Travel Information Services</w:t>
            </w:r>
          </w:p>
        </w:tc>
      </w:tr>
      <w:tr w:rsidR="002439B9" w:rsidRPr="00D71008" w14:paraId="07ED6934" w14:textId="77777777" w:rsidTr="009B2B37">
        <w:tc>
          <w:tcPr>
            <w:tcW w:w="1980" w:type="dxa"/>
            <w:tcMar>
              <w:top w:w="85" w:type="dxa"/>
              <w:left w:w="57" w:type="dxa"/>
              <w:bottom w:w="85" w:type="dxa"/>
              <w:right w:w="57" w:type="dxa"/>
            </w:tcMar>
          </w:tcPr>
          <w:p w14:paraId="701FB240" w14:textId="252EDDC6" w:rsidR="002439B9" w:rsidRPr="00D71008" w:rsidRDefault="002439B9" w:rsidP="002439B9">
            <w:pPr>
              <w:rPr>
                <w:noProof/>
              </w:rPr>
            </w:pPr>
            <w:r w:rsidRPr="00D71008">
              <w:rPr>
                <w:noProof/>
              </w:rPr>
              <w:t>NAP</w:t>
            </w:r>
          </w:p>
        </w:tc>
        <w:tc>
          <w:tcPr>
            <w:tcW w:w="6688" w:type="dxa"/>
            <w:tcMar>
              <w:top w:w="85" w:type="dxa"/>
              <w:left w:w="57" w:type="dxa"/>
              <w:bottom w:w="85" w:type="dxa"/>
              <w:right w:w="57" w:type="dxa"/>
            </w:tcMar>
          </w:tcPr>
          <w:p w14:paraId="0B06335F" w14:textId="11FEB1E3" w:rsidR="002439B9" w:rsidRPr="00D71008" w:rsidRDefault="002439B9" w:rsidP="002439B9">
            <w:pPr>
              <w:rPr>
                <w:noProof/>
              </w:rPr>
            </w:pPr>
            <w:r w:rsidRPr="00D71008">
              <w:rPr>
                <w:noProof/>
              </w:rPr>
              <w:t>National Access Point</w:t>
            </w:r>
          </w:p>
        </w:tc>
      </w:tr>
      <w:tr w:rsidR="005A218E" w:rsidRPr="00D71008" w14:paraId="59C342F9" w14:textId="77777777" w:rsidTr="009B2B37">
        <w:tc>
          <w:tcPr>
            <w:tcW w:w="1980" w:type="dxa"/>
            <w:tcMar>
              <w:top w:w="85" w:type="dxa"/>
              <w:left w:w="57" w:type="dxa"/>
              <w:bottom w:w="85" w:type="dxa"/>
              <w:right w:w="57" w:type="dxa"/>
            </w:tcMar>
          </w:tcPr>
          <w:p w14:paraId="00916A8C" w14:textId="2F09836A" w:rsidR="005A218E" w:rsidRPr="00D71008" w:rsidRDefault="005A218E" w:rsidP="002439B9">
            <w:pPr>
              <w:rPr>
                <w:noProof/>
              </w:rPr>
            </w:pPr>
            <w:r>
              <w:rPr>
                <w:noProof/>
              </w:rPr>
              <w:t>NEB</w:t>
            </w:r>
          </w:p>
        </w:tc>
        <w:tc>
          <w:tcPr>
            <w:tcW w:w="6688" w:type="dxa"/>
            <w:tcMar>
              <w:top w:w="85" w:type="dxa"/>
              <w:left w:w="57" w:type="dxa"/>
              <w:bottom w:w="85" w:type="dxa"/>
              <w:right w:w="57" w:type="dxa"/>
            </w:tcMar>
          </w:tcPr>
          <w:p w14:paraId="65B13175" w14:textId="05E358E3" w:rsidR="005A218E" w:rsidRPr="00D71008" w:rsidRDefault="00743A7A" w:rsidP="002439B9">
            <w:pPr>
              <w:rPr>
                <w:noProof/>
              </w:rPr>
            </w:pPr>
            <w:r>
              <w:rPr>
                <w:noProof/>
              </w:rPr>
              <w:t>National Enforcement Body</w:t>
            </w:r>
          </w:p>
        </w:tc>
      </w:tr>
      <w:tr w:rsidR="001B6870" w:rsidRPr="00D71008" w14:paraId="396B7C30" w14:textId="77777777" w:rsidTr="009B2B37">
        <w:tc>
          <w:tcPr>
            <w:tcW w:w="1980" w:type="dxa"/>
            <w:tcMar>
              <w:top w:w="85" w:type="dxa"/>
              <w:left w:w="57" w:type="dxa"/>
              <w:bottom w:w="85" w:type="dxa"/>
              <w:right w:w="57" w:type="dxa"/>
            </w:tcMar>
          </w:tcPr>
          <w:p w14:paraId="5DBBFC9B" w14:textId="1AAD086D" w:rsidR="001B6870" w:rsidRPr="00D71008" w:rsidRDefault="001B6870" w:rsidP="002439B9">
            <w:pPr>
              <w:rPr>
                <w:noProof/>
              </w:rPr>
            </w:pPr>
            <w:r w:rsidRPr="00D71008">
              <w:rPr>
                <w:noProof/>
              </w:rPr>
              <w:t>NCA</w:t>
            </w:r>
          </w:p>
        </w:tc>
        <w:tc>
          <w:tcPr>
            <w:tcW w:w="6688" w:type="dxa"/>
            <w:tcMar>
              <w:top w:w="85" w:type="dxa"/>
              <w:left w:w="57" w:type="dxa"/>
              <w:bottom w:w="85" w:type="dxa"/>
              <w:right w:w="57" w:type="dxa"/>
            </w:tcMar>
          </w:tcPr>
          <w:p w14:paraId="0FD6AB04" w14:textId="2C22442D" w:rsidR="001B6870" w:rsidRPr="00D71008" w:rsidRDefault="001B6870" w:rsidP="002439B9">
            <w:pPr>
              <w:rPr>
                <w:noProof/>
              </w:rPr>
            </w:pPr>
            <w:r w:rsidRPr="00D71008">
              <w:rPr>
                <w:noProof/>
              </w:rPr>
              <w:t>New Content Aggregator</w:t>
            </w:r>
          </w:p>
        </w:tc>
      </w:tr>
      <w:tr w:rsidR="002439B9" w:rsidRPr="00D71008" w14:paraId="65F5794D" w14:textId="77777777" w:rsidTr="009B2B37">
        <w:tc>
          <w:tcPr>
            <w:tcW w:w="1980" w:type="dxa"/>
            <w:tcMar>
              <w:top w:w="85" w:type="dxa"/>
              <w:left w:w="57" w:type="dxa"/>
              <w:bottom w:w="85" w:type="dxa"/>
              <w:right w:w="57" w:type="dxa"/>
            </w:tcMar>
          </w:tcPr>
          <w:p w14:paraId="33873F38" w14:textId="72FB0F17" w:rsidR="002439B9" w:rsidRPr="00D71008" w:rsidRDefault="002439B9" w:rsidP="002439B9">
            <w:pPr>
              <w:rPr>
                <w:noProof/>
              </w:rPr>
            </w:pPr>
            <w:r w:rsidRPr="00D71008">
              <w:rPr>
                <w:noProof/>
              </w:rPr>
              <w:t>NDC</w:t>
            </w:r>
          </w:p>
        </w:tc>
        <w:tc>
          <w:tcPr>
            <w:tcW w:w="6688" w:type="dxa"/>
            <w:tcMar>
              <w:top w:w="85" w:type="dxa"/>
              <w:left w:w="57" w:type="dxa"/>
              <w:bottom w:w="85" w:type="dxa"/>
              <w:right w:w="57" w:type="dxa"/>
            </w:tcMar>
          </w:tcPr>
          <w:p w14:paraId="66910EE6" w14:textId="74E0836E" w:rsidR="002439B9" w:rsidRPr="00D71008" w:rsidRDefault="002439B9" w:rsidP="002439B9">
            <w:pPr>
              <w:rPr>
                <w:noProof/>
              </w:rPr>
            </w:pPr>
            <w:r w:rsidRPr="00D71008">
              <w:rPr>
                <w:noProof/>
              </w:rPr>
              <w:t>New Distribution Capability</w:t>
            </w:r>
          </w:p>
        </w:tc>
      </w:tr>
      <w:tr w:rsidR="002439B9" w:rsidRPr="00D71008" w14:paraId="5AA65C5F" w14:textId="77777777" w:rsidTr="009B2B37">
        <w:tc>
          <w:tcPr>
            <w:tcW w:w="1980" w:type="dxa"/>
            <w:tcMar>
              <w:top w:w="85" w:type="dxa"/>
              <w:left w:w="57" w:type="dxa"/>
              <w:bottom w:w="85" w:type="dxa"/>
              <w:right w:w="57" w:type="dxa"/>
            </w:tcMar>
          </w:tcPr>
          <w:p w14:paraId="6FB0A244" w14:textId="32A56752" w:rsidR="002439B9" w:rsidRPr="00D71008" w:rsidRDefault="002439B9" w:rsidP="002439B9">
            <w:pPr>
              <w:rPr>
                <w:noProof/>
              </w:rPr>
            </w:pPr>
            <w:r w:rsidRPr="00D71008">
              <w:rPr>
                <w:noProof/>
              </w:rPr>
              <w:t>OPC</w:t>
            </w:r>
          </w:p>
        </w:tc>
        <w:tc>
          <w:tcPr>
            <w:tcW w:w="6688" w:type="dxa"/>
            <w:tcMar>
              <w:top w:w="85" w:type="dxa"/>
              <w:left w:w="57" w:type="dxa"/>
              <w:bottom w:w="85" w:type="dxa"/>
              <w:right w:w="57" w:type="dxa"/>
            </w:tcMar>
          </w:tcPr>
          <w:p w14:paraId="664E086E" w14:textId="0E797FB9" w:rsidR="002439B9" w:rsidRPr="00D71008" w:rsidRDefault="002439B9" w:rsidP="002439B9">
            <w:pPr>
              <w:rPr>
                <w:noProof/>
              </w:rPr>
            </w:pPr>
            <w:r w:rsidRPr="00D71008">
              <w:rPr>
                <w:noProof/>
              </w:rPr>
              <w:t>Open Public Consultation</w:t>
            </w:r>
          </w:p>
        </w:tc>
      </w:tr>
      <w:tr w:rsidR="005F3DDC" w:rsidRPr="00D71008" w14:paraId="70901F54" w14:textId="77777777" w:rsidTr="009B2B37">
        <w:tc>
          <w:tcPr>
            <w:tcW w:w="1980" w:type="dxa"/>
            <w:tcMar>
              <w:top w:w="85" w:type="dxa"/>
              <w:left w:w="57" w:type="dxa"/>
              <w:bottom w:w="85" w:type="dxa"/>
              <w:right w:w="57" w:type="dxa"/>
            </w:tcMar>
          </w:tcPr>
          <w:p w14:paraId="4DB8F46E" w14:textId="33366430" w:rsidR="005F3DDC" w:rsidRPr="00D71008" w:rsidRDefault="005F3DDC" w:rsidP="005F3DDC">
            <w:pPr>
              <w:rPr>
                <w:noProof/>
              </w:rPr>
            </w:pPr>
            <w:r w:rsidRPr="00D71008">
              <w:rPr>
                <w:noProof/>
              </w:rPr>
              <w:t>OTA</w:t>
            </w:r>
          </w:p>
        </w:tc>
        <w:tc>
          <w:tcPr>
            <w:tcW w:w="6688" w:type="dxa"/>
            <w:tcMar>
              <w:top w:w="85" w:type="dxa"/>
              <w:left w:w="57" w:type="dxa"/>
              <w:bottom w:w="85" w:type="dxa"/>
              <w:right w:w="57" w:type="dxa"/>
            </w:tcMar>
          </w:tcPr>
          <w:p w14:paraId="4B860C3B" w14:textId="48AE4341" w:rsidR="005F3DDC" w:rsidRPr="00D71008" w:rsidRDefault="005F3DDC" w:rsidP="005F3DDC">
            <w:pPr>
              <w:rPr>
                <w:noProof/>
              </w:rPr>
            </w:pPr>
            <w:r w:rsidRPr="00D71008">
              <w:rPr>
                <w:noProof/>
              </w:rPr>
              <w:t>Online Travel Agent</w:t>
            </w:r>
          </w:p>
        </w:tc>
      </w:tr>
      <w:tr w:rsidR="005F3DDC" w:rsidRPr="00D71008" w14:paraId="13D49183" w14:textId="77777777" w:rsidTr="009B2B37">
        <w:tc>
          <w:tcPr>
            <w:tcW w:w="1980" w:type="dxa"/>
            <w:tcMar>
              <w:top w:w="85" w:type="dxa"/>
              <w:left w:w="57" w:type="dxa"/>
              <w:bottom w:w="85" w:type="dxa"/>
              <w:right w:w="57" w:type="dxa"/>
            </w:tcMar>
          </w:tcPr>
          <w:p w14:paraId="183A0282" w14:textId="6056E8D5" w:rsidR="005F3DDC" w:rsidRPr="00D71008" w:rsidRDefault="005F3DDC" w:rsidP="005F3DDC">
            <w:pPr>
              <w:rPr>
                <w:noProof/>
              </w:rPr>
            </w:pPr>
            <w:r w:rsidRPr="00D71008">
              <w:rPr>
                <w:noProof/>
              </w:rPr>
              <w:t>PM</w:t>
            </w:r>
          </w:p>
        </w:tc>
        <w:tc>
          <w:tcPr>
            <w:tcW w:w="6688" w:type="dxa"/>
            <w:tcMar>
              <w:top w:w="85" w:type="dxa"/>
              <w:left w:w="57" w:type="dxa"/>
              <w:bottom w:w="85" w:type="dxa"/>
              <w:right w:w="57" w:type="dxa"/>
            </w:tcMar>
          </w:tcPr>
          <w:p w14:paraId="047EE99B" w14:textId="012F1384" w:rsidR="005F3DDC" w:rsidRPr="00D71008" w:rsidRDefault="005F3DDC" w:rsidP="005F3DDC">
            <w:pPr>
              <w:rPr>
                <w:noProof/>
              </w:rPr>
            </w:pPr>
            <w:r w:rsidRPr="00D71008">
              <w:rPr>
                <w:noProof/>
              </w:rPr>
              <w:t>Policy Measure</w:t>
            </w:r>
          </w:p>
        </w:tc>
      </w:tr>
      <w:tr w:rsidR="005F3DDC" w:rsidRPr="00D71008" w14:paraId="1A19DA90" w14:textId="77777777" w:rsidTr="009B2B37">
        <w:tc>
          <w:tcPr>
            <w:tcW w:w="1980" w:type="dxa"/>
            <w:tcMar>
              <w:top w:w="85" w:type="dxa"/>
              <w:left w:w="57" w:type="dxa"/>
              <w:bottom w:w="85" w:type="dxa"/>
              <w:right w:w="57" w:type="dxa"/>
            </w:tcMar>
          </w:tcPr>
          <w:p w14:paraId="25BFD5F9" w14:textId="060C6428" w:rsidR="005F3DDC" w:rsidRPr="00D71008" w:rsidRDefault="005F3DDC" w:rsidP="005F3DDC">
            <w:pPr>
              <w:rPr>
                <w:noProof/>
              </w:rPr>
            </w:pPr>
            <w:r w:rsidRPr="00D71008">
              <w:rPr>
                <w:noProof/>
              </w:rPr>
              <w:t>PO</w:t>
            </w:r>
          </w:p>
        </w:tc>
        <w:tc>
          <w:tcPr>
            <w:tcW w:w="6688" w:type="dxa"/>
            <w:tcMar>
              <w:top w:w="85" w:type="dxa"/>
              <w:left w:w="57" w:type="dxa"/>
              <w:bottom w:w="85" w:type="dxa"/>
              <w:right w:w="57" w:type="dxa"/>
            </w:tcMar>
          </w:tcPr>
          <w:p w14:paraId="4B80751E" w14:textId="246B04A9" w:rsidR="005F3DDC" w:rsidRPr="00D71008" w:rsidRDefault="005F3DDC" w:rsidP="005F3DDC">
            <w:pPr>
              <w:rPr>
                <w:noProof/>
              </w:rPr>
            </w:pPr>
            <w:r w:rsidRPr="00D71008">
              <w:rPr>
                <w:noProof/>
              </w:rPr>
              <w:t>Policy Option</w:t>
            </w:r>
          </w:p>
        </w:tc>
      </w:tr>
      <w:tr w:rsidR="002439B9" w:rsidRPr="00D71008" w14:paraId="254CD065" w14:textId="77777777" w:rsidTr="009B2B37">
        <w:tc>
          <w:tcPr>
            <w:tcW w:w="1980" w:type="dxa"/>
            <w:tcMar>
              <w:top w:w="85" w:type="dxa"/>
              <w:left w:w="57" w:type="dxa"/>
              <w:bottom w:w="85" w:type="dxa"/>
              <w:right w:w="57" w:type="dxa"/>
            </w:tcMar>
          </w:tcPr>
          <w:p w14:paraId="4B5F856A" w14:textId="0F367C8D" w:rsidR="002439B9" w:rsidRPr="00D71008" w:rsidRDefault="001C63DF" w:rsidP="002439B9">
            <w:pPr>
              <w:rPr>
                <w:noProof/>
              </w:rPr>
            </w:pPr>
            <w:r w:rsidRPr="00D71008">
              <w:rPr>
                <w:noProof/>
              </w:rPr>
              <w:t>PSO</w:t>
            </w:r>
          </w:p>
        </w:tc>
        <w:tc>
          <w:tcPr>
            <w:tcW w:w="6688" w:type="dxa"/>
            <w:tcMar>
              <w:top w:w="85" w:type="dxa"/>
              <w:left w:w="57" w:type="dxa"/>
              <w:bottom w:w="85" w:type="dxa"/>
              <w:right w:w="57" w:type="dxa"/>
            </w:tcMar>
          </w:tcPr>
          <w:p w14:paraId="2A8E046F" w14:textId="21902DB9" w:rsidR="002439B9" w:rsidRPr="00D71008" w:rsidRDefault="001C63DF" w:rsidP="002439B9">
            <w:pPr>
              <w:rPr>
                <w:noProof/>
              </w:rPr>
            </w:pPr>
            <w:r w:rsidRPr="00D71008">
              <w:rPr>
                <w:noProof/>
              </w:rPr>
              <w:t>Public Service Obligation</w:t>
            </w:r>
          </w:p>
        </w:tc>
      </w:tr>
      <w:tr w:rsidR="0021173D" w:rsidRPr="00D71008" w14:paraId="0440F3B7" w14:textId="77777777" w:rsidTr="009B2B37">
        <w:tc>
          <w:tcPr>
            <w:tcW w:w="1980" w:type="dxa"/>
            <w:tcMar>
              <w:top w:w="85" w:type="dxa"/>
              <w:left w:w="57" w:type="dxa"/>
              <w:bottom w:w="85" w:type="dxa"/>
              <w:right w:w="57" w:type="dxa"/>
            </w:tcMar>
          </w:tcPr>
          <w:p w14:paraId="32D3C009" w14:textId="402E668E" w:rsidR="0021173D" w:rsidRPr="00D71008" w:rsidRDefault="0021173D" w:rsidP="002439B9">
            <w:pPr>
              <w:rPr>
                <w:noProof/>
              </w:rPr>
            </w:pPr>
            <w:r>
              <w:rPr>
                <w:noProof/>
              </w:rPr>
              <w:t>RU</w:t>
            </w:r>
          </w:p>
        </w:tc>
        <w:tc>
          <w:tcPr>
            <w:tcW w:w="6688" w:type="dxa"/>
            <w:tcMar>
              <w:top w:w="85" w:type="dxa"/>
              <w:left w:w="57" w:type="dxa"/>
              <w:bottom w:w="85" w:type="dxa"/>
              <w:right w:w="57" w:type="dxa"/>
            </w:tcMar>
          </w:tcPr>
          <w:p w14:paraId="007ADB6F" w14:textId="51294914" w:rsidR="0021173D" w:rsidRPr="00D71008" w:rsidRDefault="001358ED" w:rsidP="002439B9">
            <w:pPr>
              <w:rPr>
                <w:noProof/>
              </w:rPr>
            </w:pPr>
            <w:r>
              <w:rPr>
                <w:noProof/>
              </w:rPr>
              <w:t>R</w:t>
            </w:r>
            <w:r w:rsidR="0050089A">
              <w:rPr>
                <w:noProof/>
              </w:rPr>
              <w:t>ailway Undertaking</w:t>
            </w:r>
          </w:p>
        </w:tc>
      </w:tr>
      <w:tr w:rsidR="001C63DF" w:rsidRPr="00D71008" w14:paraId="118AE175" w14:textId="77777777" w:rsidTr="009B2B37">
        <w:tc>
          <w:tcPr>
            <w:tcW w:w="1980" w:type="dxa"/>
            <w:tcMar>
              <w:top w:w="85" w:type="dxa"/>
              <w:left w:w="57" w:type="dxa"/>
              <w:bottom w:w="85" w:type="dxa"/>
              <w:right w:w="57" w:type="dxa"/>
            </w:tcMar>
          </w:tcPr>
          <w:p w14:paraId="75850091" w14:textId="2CD48319" w:rsidR="001C63DF" w:rsidRPr="00D71008" w:rsidRDefault="001C63DF" w:rsidP="002439B9">
            <w:pPr>
              <w:rPr>
                <w:noProof/>
              </w:rPr>
            </w:pPr>
            <w:r w:rsidRPr="00D71008">
              <w:rPr>
                <w:noProof/>
              </w:rPr>
              <w:t>SERA</w:t>
            </w:r>
          </w:p>
        </w:tc>
        <w:tc>
          <w:tcPr>
            <w:tcW w:w="6688" w:type="dxa"/>
            <w:tcMar>
              <w:top w:w="85" w:type="dxa"/>
              <w:left w:w="57" w:type="dxa"/>
              <w:bottom w:w="85" w:type="dxa"/>
              <w:right w:w="57" w:type="dxa"/>
            </w:tcMar>
          </w:tcPr>
          <w:p w14:paraId="0A73A4ED" w14:textId="7716E848" w:rsidR="001C63DF" w:rsidRPr="00D71008" w:rsidRDefault="001C63DF" w:rsidP="002439B9">
            <w:pPr>
              <w:rPr>
                <w:noProof/>
              </w:rPr>
            </w:pPr>
            <w:r w:rsidRPr="00D71008">
              <w:rPr>
                <w:noProof/>
              </w:rPr>
              <w:t>Single European Rail Area</w:t>
            </w:r>
          </w:p>
        </w:tc>
      </w:tr>
      <w:tr w:rsidR="001C63DF" w:rsidRPr="00D71008" w14:paraId="63B3A7FA" w14:textId="77777777" w:rsidTr="009B2B37">
        <w:tc>
          <w:tcPr>
            <w:tcW w:w="1980" w:type="dxa"/>
            <w:tcMar>
              <w:top w:w="85" w:type="dxa"/>
              <w:left w:w="57" w:type="dxa"/>
              <w:bottom w:w="85" w:type="dxa"/>
              <w:right w:w="57" w:type="dxa"/>
            </w:tcMar>
          </w:tcPr>
          <w:p w14:paraId="6AD65F59" w14:textId="6FF0FAAF" w:rsidR="001C63DF" w:rsidRPr="00D71008" w:rsidRDefault="001C63DF" w:rsidP="002439B9">
            <w:pPr>
              <w:rPr>
                <w:noProof/>
              </w:rPr>
            </w:pPr>
            <w:r w:rsidRPr="00D71008">
              <w:rPr>
                <w:noProof/>
              </w:rPr>
              <w:t>SMP</w:t>
            </w:r>
          </w:p>
        </w:tc>
        <w:tc>
          <w:tcPr>
            <w:tcW w:w="6688" w:type="dxa"/>
            <w:tcMar>
              <w:top w:w="85" w:type="dxa"/>
              <w:left w:w="57" w:type="dxa"/>
              <w:bottom w:w="85" w:type="dxa"/>
              <w:right w:w="57" w:type="dxa"/>
            </w:tcMar>
          </w:tcPr>
          <w:p w14:paraId="3D14D81D" w14:textId="57B75629" w:rsidR="001C63DF" w:rsidRPr="00D71008" w:rsidRDefault="001C63DF" w:rsidP="002439B9">
            <w:pPr>
              <w:rPr>
                <w:noProof/>
              </w:rPr>
            </w:pPr>
            <w:r w:rsidRPr="00D71008">
              <w:rPr>
                <w:noProof/>
              </w:rPr>
              <w:t>Significant Market Presence</w:t>
            </w:r>
          </w:p>
        </w:tc>
      </w:tr>
      <w:tr w:rsidR="00737D78" w:rsidRPr="00D71008" w14:paraId="5283BFCB" w14:textId="77777777" w:rsidTr="009B2B37">
        <w:tc>
          <w:tcPr>
            <w:tcW w:w="1980" w:type="dxa"/>
            <w:tcMar>
              <w:top w:w="85" w:type="dxa"/>
              <w:left w:w="57" w:type="dxa"/>
              <w:bottom w:w="85" w:type="dxa"/>
              <w:right w:w="57" w:type="dxa"/>
            </w:tcMar>
          </w:tcPr>
          <w:p w14:paraId="53559CF3" w14:textId="31D7172D" w:rsidR="00737D78" w:rsidRPr="00D71008" w:rsidRDefault="00737D78" w:rsidP="002439B9">
            <w:pPr>
              <w:rPr>
                <w:noProof/>
              </w:rPr>
            </w:pPr>
            <w:r>
              <w:rPr>
                <w:noProof/>
              </w:rPr>
              <w:t>SSMS</w:t>
            </w:r>
          </w:p>
        </w:tc>
        <w:tc>
          <w:tcPr>
            <w:tcW w:w="6688" w:type="dxa"/>
            <w:tcMar>
              <w:top w:w="85" w:type="dxa"/>
              <w:left w:w="57" w:type="dxa"/>
              <w:bottom w:w="85" w:type="dxa"/>
              <w:right w:w="57" w:type="dxa"/>
            </w:tcMar>
          </w:tcPr>
          <w:p w14:paraId="1672F092" w14:textId="6531EEE7" w:rsidR="00737D78" w:rsidRPr="00D71008" w:rsidRDefault="00737D78" w:rsidP="002439B9">
            <w:pPr>
              <w:rPr>
                <w:noProof/>
              </w:rPr>
            </w:pPr>
            <w:r w:rsidRPr="00737D78">
              <w:rPr>
                <w:noProof/>
              </w:rPr>
              <w:t>Sustainable and Smart Mobility Strategy</w:t>
            </w:r>
          </w:p>
        </w:tc>
      </w:tr>
      <w:tr w:rsidR="001C63DF" w:rsidRPr="00D71008" w14:paraId="605A9571" w14:textId="77777777" w:rsidTr="009B2B37">
        <w:tc>
          <w:tcPr>
            <w:tcW w:w="1980" w:type="dxa"/>
            <w:tcMar>
              <w:top w:w="85" w:type="dxa"/>
              <w:left w:w="57" w:type="dxa"/>
              <w:bottom w:w="85" w:type="dxa"/>
              <w:right w:w="57" w:type="dxa"/>
            </w:tcMar>
          </w:tcPr>
          <w:p w14:paraId="3522EF63" w14:textId="1EC340F9" w:rsidR="001C63DF" w:rsidRPr="00D71008" w:rsidRDefault="001C63DF" w:rsidP="002439B9">
            <w:pPr>
              <w:rPr>
                <w:noProof/>
              </w:rPr>
            </w:pPr>
            <w:r w:rsidRPr="00D71008">
              <w:rPr>
                <w:noProof/>
              </w:rPr>
              <w:t>TMC</w:t>
            </w:r>
          </w:p>
        </w:tc>
        <w:tc>
          <w:tcPr>
            <w:tcW w:w="6688" w:type="dxa"/>
            <w:tcMar>
              <w:top w:w="85" w:type="dxa"/>
              <w:left w:w="57" w:type="dxa"/>
              <w:bottom w:w="85" w:type="dxa"/>
              <w:right w:w="57" w:type="dxa"/>
            </w:tcMar>
          </w:tcPr>
          <w:p w14:paraId="184669EE" w14:textId="05044C63" w:rsidR="001C63DF" w:rsidRPr="00D71008" w:rsidRDefault="001C63DF" w:rsidP="002439B9">
            <w:pPr>
              <w:rPr>
                <w:noProof/>
              </w:rPr>
            </w:pPr>
            <w:r w:rsidRPr="00D71008">
              <w:rPr>
                <w:noProof/>
              </w:rPr>
              <w:t>Travel Management Company</w:t>
            </w:r>
          </w:p>
        </w:tc>
      </w:tr>
    </w:tbl>
    <w:p w14:paraId="41FD9D19" w14:textId="77777777" w:rsidR="00712390" w:rsidRPr="00D71008" w:rsidRDefault="00712390" w:rsidP="007C484D">
      <w:pPr>
        <w:pStyle w:val="BodyText"/>
        <w:ind w:left="0" w:right="2721"/>
        <w:rPr>
          <w:noProof/>
        </w:rPr>
        <w:sectPr w:rsidR="00712390" w:rsidRPr="00D71008" w:rsidSect="00124451">
          <w:headerReference w:type="default" r:id="rId21"/>
          <w:footerReference w:type="default" r:id="rId22"/>
          <w:type w:val="nextColumn"/>
          <w:pgSz w:w="11910" w:h="16840"/>
          <w:pgMar w:top="1021" w:right="709" w:bottom="1021" w:left="1588" w:header="720" w:footer="720" w:gutter="0"/>
          <w:pgNumType w:fmt="upperRoman"/>
          <w:cols w:space="720"/>
        </w:sectPr>
      </w:pPr>
    </w:p>
    <w:p w14:paraId="39809AA7" w14:textId="1222E0F9" w:rsidR="00712390" w:rsidRPr="00D71008" w:rsidRDefault="003C4819" w:rsidP="007B2D8E">
      <w:pPr>
        <w:pStyle w:val="Heading2"/>
        <w:numPr>
          <w:ilvl w:val="0"/>
          <w:numId w:val="11"/>
        </w:numPr>
        <w:tabs>
          <w:tab w:val="left" w:pos="1134"/>
        </w:tabs>
        <w:spacing w:before="240" w:after="240"/>
        <w:ind w:left="426" w:hanging="426"/>
        <w:rPr>
          <w:smallCaps/>
          <w:noProof/>
        </w:rPr>
      </w:pPr>
      <w:bookmarkStart w:id="5" w:name="1_Introduction:_Political_and_legal_cont"/>
      <w:bookmarkStart w:id="6" w:name="_Toc223979934"/>
      <w:bookmarkEnd w:id="5"/>
      <w:r w:rsidRPr="00D71008">
        <w:rPr>
          <w:smallCaps/>
          <w:noProof/>
          <w:spacing w:val="-2"/>
        </w:rPr>
        <w:t>Introduction:</w:t>
      </w:r>
      <w:r w:rsidRPr="00D71008">
        <w:rPr>
          <w:smallCaps/>
          <w:noProof/>
          <w:spacing w:val="-8"/>
        </w:rPr>
        <w:t xml:space="preserve"> </w:t>
      </w:r>
      <w:r w:rsidRPr="00D71008">
        <w:rPr>
          <w:smallCaps/>
          <w:noProof/>
          <w:spacing w:val="-2"/>
        </w:rPr>
        <w:t>Political</w:t>
      </w:r>
      <w:r w:rsidRPr="00D71008">
        <w:rPr>
          <w:smallCaps/>
          <w:noProof/>
          <w:spacing w:val="6"/>
        </w:rPr>
        <w:t xml:space="preserve"> </w:t>
      </w:r>
      <w:r w:rsidRPr="00D71008">
        <w:rPr>
          <w:smallCaps/>
          <w:noProof/>
          <w:spacing w:val="-2"/>
        </w:rPr>
        <w:t>and</w:t>
      </w:r>
      <w:r w:rsidRPr="00D71008">
        <w:rPr>
          <w:smallCaps/>
          <w:noProof/>
          <w:spacing w:val="4"/>
        </w:rPr>
        <w:t xml:space="preserve"> </w:t>
      </w:r>
      <w:r w:rsidRPr="00D71008">
        <w:rPr>
          <w:smallCaps/>
          <w:noProof/>
          <w:spacing w:val="-2"/>
        </w:rPr>
        <w:t>legal</w:t>
      </w:r>
      <w:r w:rsidRPr="00D71008">
        <w:rPr>
          <w:smallCaps/>
          <w:noProof/>
          <w:spacing w:val="5"/>
        </w:rPr>
        <w:t xml:space="preserve"> </w:t>
      </w:r>
      <w:r w:rsidRPr="00D71008">
        <w:rPr>
          <w:smallCaps/>
          <w:noProof/>
          <w:spacing w:val="-2"/>
        </w:rPr>
        <w:t>context</w:t>
      </w:r>
      <w:bookmarkEnd w:id="6"/>
    </w:p>
    <w:p w14:paraId="326F9F59" w14:textId="61D993B3" w:rsidR="00A440BE" w:rsidRDefault="7DFD59C6" w:rsidP="006F5951">
      <w:pPr>
        <w:pStyle w:val="BodyText"/>
        <w:tabs>
          <w:tab w:val="left" w:pos="1134"/>
        </w:tabs>
        <w:spacing w:after="240"/>
        <w:ind w:left="0"/>
        <w:rPr>
          <w:noProof/>
          <w:spacing w:val="-8"/>
        </w:rPr>
      </w:pPr>
      <w:r w:rsidRPr="00660E3C">
        <w:rPr>
          <w:noProof/>
          <w:spacing w:val="-8"/>
        </w:rPr>
        <w:t xml:space="preserve">This Impact Assessment </w:t>
      </w:r>
      <w:r w:rsidR="00AE5533">
        <w:rPr>
          <w:noProof/>
          <w:spacing w:val="-8"/>
        </w:rPr>
        <w:t xml:space="preserve">(IA) </w:t>
      </w:r>
      <w:r w:rsidRPr="00660E3C">
        <w:rPr>
          <w:noProof/>
          <w:spacing w:val="-8"/>
        </w:rPr>
        <w:t>accompanies two new legislative proposals</w:t>
      </w:r>
      <w:r w:rsidR="006575D7" w:rsidRPr="00660E3C">
        <w:rPr>
          <w:noProof/>
          <w:spacing w:val="-8"/>
        </w:rPr>
        <w:t xml:space="preserve"> </w:t>
      </w:r>
      <w:r w:rsidR="00EE29F6" w:rsidRPr="00660E3C">
        <w:rPr>
          <w:rFonts w:eastAsia="Calibri"/>
          <w:noProof/>
          <w:spacing w:val="-8"/>
        </w:rPr>
        <w:t>seek</w:t>
      </w:r>
      <w:r w:rsidR="00EE29F6" w:rsidRPr="00660E3C">
        <w:rPr>
          <w:noProof/>
          <w:spacing w:val="-8"/>
        </w:rPr>
        <w:t>ing</w:t>
      </w:r>
      <w:r w:rsidR="00EE29F6" w:rsidRPr="00660E3C">
        <w:rPr>
          <w:rFonts w:eastAsia="Calibri"/>
          <w:noProof/>
          <w:spacing w:val="-8"/>
        </w:rPr>
        <w:t xml:space="preserve"> to improve the functioning of the online ticket distribution market</w:t>
      </w:r>
      <w:r w:rsidR="00C759F0" w:rsidRPr="00660E3C">
        <w:rPr>
          <w:noProof/>
          <w:spacing w:val="-8"/>
        </w:rPr>
        <w:t xml:space="preserve"> </w:t>
      </w:r>
      <w:r w:rsidR="00601EAA">
        <w:rPr>
          <w:noProof/>
          <w:spacing w:val="-8"/>
        </w:rPr>
        <w:t>for</w:t>
      </w:r>
      <w:r w:rsidR="00C759F0" w:rsidRPr="00660E3C">
        <w:rPr>
          <w:noProof/>
          <w:spacing w:val="-8"/>
        </w:rPr>
        <w:t xml:space="preserve"> </w:t>
      </w:r>
      <w:r w:rsidR="00FB23B5" w:rsidRPr="00660E3C">
        <w:rPr>
          <w:noProof/>
          <w:spacing w:val="-8"/>
        </w:rPr>
        <w:t xml:space="preserve">passenger </w:t>
      </w:r>
      <w:r w:rsidR="00C759F0" w:rsidRPr="00660E3C">
        <w:rPr>
          <w:noProof/>
          <w:spacing w:val="-8"/>
        </w:rPr>
        <w:t>transport in the EU</w:t>
      </w:r>
      <w:r w:rsidR="00A8649A">
        <w:rPr>
          <w:noProof/>
          <w:spacing w:val="-8"/>
        </w:rPr>
        <w:t xml:space="preserve"> </w:t>
      </w:r>
      <w:r w:rsidR="00643430">
        <w:rPr>
          <w:noProof/>
          <w:spacing w:val="-8"/>
        </w:rPr>
        <w:t xml:space="preserve">and </w:t>
      </w:r>
      <w:r w:rsidR="00C80BF1">
        <w:rPr>
          <w:noProof/>
          <w:spacing w:val="-8"/>
        </w:rPr>
        <w:t xml:space="preserve">foster </w:t>
      </w:r>
      <w:r w:rsidR="0089018A">
        <w:rPr>
          <w:noProof/>
          <w:spacing w:val="-8"/>
        </w:rPr>
        <w:t xml:space="preserve">the </w:t>
      </w:r>
      <w:r w:rsidR="009968B8">
        <w:rPr>
          <w:noProof/>
          <w:spacing w:val="-8"/>
        </w:rPr>
        <w:t xml:space="preserve">availability </w:t>
      </w:r>
      <w:r w:rsidR="0089018A">
        <w:rPr>
          <w:noProof/>
          <w:spacing w:val="-8"/>
        </w:rPr>
        <w:t>of single tickets</w:t>
      </w:r>
      <w:r w:rsidR="0067392B">
        <w:rPr>
          <w:noProof/>
          <w:spacing w:val="-8"/>
        </w:rPr>
        <w:t xml:space="preserve"> in rail</w:t>
      </w:r>
      <w:r w:rsidR="00EA59D0" w:rsidRPr="00660E3C">
        <w:rPr>
          <w:noProof/>
          <w:spacing w:val="-8"/>
        </w:rPr>
        <w:t xml:space="preserve">. </w:t>
      </w:r>
    </w:p>
    <w:tbl>
      <w:tblPr>
        <w:tblStyle w:val="TableGrid"/>
        <w:tblW w:w="0" w:type="auto"/>
        <w:tblLayout w:type="fixed"/>
        <w:tblCellMar>
          <w:left w:w="0" w:type="dxa"/>
          <w:right w:w="0" w:type="dxa"/>
        </w:tblCellMar>
        <w:tblLook w:val="04A0" w:firstRow="1" w:lastRow="0" w:firstColumn="1" w:lastColumn="0" w:noHBand="0" w:noVBand="1"/>
      </w:tblPr>
      <w:tblGrid>
        <w:gridCol w:w="5500"/>
        <w:gridCol w:w="284"/>
        <w:gridCol w:w="3856"/>
      </w:tblGrid>
      <w:tr w:rsidR="00862750" w14:paraId="50118041" w14:textId="77777777" w:rsidTr="0079601C">
        <w:tc>
          <w:tcPr>
            <w:tcW w:w="5500" w:type="dxa"/>
          </w:tcPr>
          <w:p w14:paraId="6105C2EC" w14:textId="2633B37C" w:rsidR="00862750" w:rsidRDefault="00862750" w:rsidP="006F5951">
            <w:pPr>
              <w:pStyle w:val="BodyText"/>
              <w:tabs>
                <w:tab w:val="left" w:pos="1134"/>
              </w:tabs>
              <w:spacing w:after="240"/>
              <w:ind w:left="0"/>
              <w:rPr>
                <w:noProof/>
                <w:spacing w:val="-8"/>
              </w:rPr>
            </w:pPr>
            <w:r w:rsidRPr="005D2D60">
              <w:rPr>
                <w:noProof/>
                <w:spacing w:val="-8"/>
              </w:rPr>
              <w:t xml:space="preserve">The </w:t>
            </w:r>
            <w:r w:rsidRPr="005D2D60">
              <w:rPr>
                <w:b/>
                <w:noProof/>
                <w:spacing w:val="-8"/>
              </w:rPr>
              <w:t xml:space="preserve">Regulation </w:t>
            </w:r>
            <w:r w:rsidR="0098272D">
              <w:rPr>
                <w:b/>
                <w:noProof/>
                <w:spacing w:val="-8"/>
              </w:rPr>
              <w:t>on Multimodal Booking</w:t>
            </w:r>
            <w:r w:rsidRPr="005D2D60">
              <w:rPr>
                <w:b/>
                <w:noProof/>
                <w:spacing w:val="-8"/>
              </w:rPr>
              <w:t xml:space="preserve"> </w:t>
            </w:r>
            <w:r w:rsidRPr="005D2D60">
              <w:rPr>
                <w:noProof/>
                <w:spacing w:val="-8"/>
              </w:rPr>
              <w:t>(</w:t>
            </w:r>
            <w:r w:rsidR="0098272D">
              <w:rPr>
                <w:noProof/>
                <w:spacing w:val="-8"/>
              </w:rPr>
              <w:t>RMB</w:t>
            </w:r>
            <w:r w:rsidRPr="005D2D60">
              <w:rPr>
                <w:noProof/>
                <w:spacing w:val="-8"/>
              </w:rPr>
              <w:t xml:space="preserve">) targets all </w:t>
            </w:r>
            <w:r w:rsidR="00642C2C" w:rsidRPr="005D2D60">
              <w:rPr>
                <w:noProof/>
                <w:spacing w:val="-8"/>
              </w:rPr>
              <w:t xml:space="preserve">ticketing </w:t>
            </w:r>
            <w:r w:rsidRPr="005D2D60">
              <w:rPr>
                <w:noProof/>
                <w:spacing w:val="-8"/>
              </w:rPr>
              <w:t xml:space="preserve">platforms for passenger transport in </w:t>
            </w:r>
            <w:r w:rsidR="0071118E" w:rsidRPr="005D2D60">
              <w:rPr>
                <w:b/>
                <w:noProof/>
                <w:spacing w:val="-8"/>
              </w:rPr>
              <w:t xml:space="preserve">waterborne, </w:t>
            </w:r>
            <w:r w:rsidRPr="005D2D60">
              <w:rPr>
                <w:b/>
                <w:noProof/>
                <w:spacing w:val="-8"/>
              </w:rPr>
              <w:t xml:space="preserve">air, rail, </w:t>
            </w:r>
            <w:r w:rsidR="0071118E" w:rsidRPr="005D2D60">
              <w:rPr>
                <w:b/>
                <w:noProof/>
                <w:spacing w:val="-8"/>
              </w:rPr>
              <w:t xml:space="preserve">and </w:t>
            </w:r>
            <w:r w:rsidRPr="005D2D60">
              <w:rPr>
                <w:b/>
                <w:noProof/>
                <w:spacing w:val="-8"/>
              </w:rPr>
              <w:t xml:space="preserve">road </w:t>
            </w:r>
            <w:r w:rsidRPr="005D2D60">
              <w:rPr>
                <w:noProof/>
                <w:spacing w:val="-8"/>
              </w:rPr>
              <w:t>and will set rules to establish a level playing field across all actors in the distribution chain, and to ensure fair cooperation with transport operators.</w:t>
            </w:r>
          </w:p>
        </w:tc>
        <w:tc>
          <w:tcPr>
            <w:tcW w:w="284" w:type="dxa"/>
          </w:tcPr>
          <w:p w14:paraId="5D5C281C" w14:textId="77777777" w:rsidR="00862750" w:rsidRPr="000F7379" w:rsidRDefault="00862750" w:rsidP="000F7379">
            <w:pPr>
              <w:pStyle w:val="BodyText"/>
              <w:ind w:left="0"/>
              <w:rPr>
                <w:noProof/>
                <w:spacing w:val="-8"/>
              </w:rPr>
            </w:pPr>
          </w:p>
        </w:tc>
        <w:tc>
          <w:tcPr>
            <w:tcW w:w="3856" w:type="dxa"/>
          </w:tcPr>
          <w:p w14:paraId="3513B4F2" w14:textId="524869B4" w:rsidR="00862750" w:rsidRDefault="00862750" w:rsidP="00943EEE">
            <w:pPr>
              <w:pStyle w:val="BodyText"/>
              <w:ind w:left="0"/>
              <w:rPr>
                <w:noProof/>
                <w:spacing w:val="-8"/>
              </w:rPr>
            </w:pPr>
            <w:r w:rsidRPr="000F7379">
              <w:rPr>
                <w:noProof/>
                <w:spacing w:val="-8"/>
              </w:rPr>
              <w:t xml:space="preserve">The </w:t>
            </w:r>
            <w:r w:rsidR="000E6AC7">
              <w:rPr>
                <w:b/>
                <w:noProof/>
                <w:spacing w:val="-8"/>
              </w:rPr>
              <w:t>Rail</w:t>
            </w:r>
            <w:r w:rsidRPr="000F7379">
              <w:rPr>
                <w:b/>
                <w:noProof/>
                <w:spacing w:val="-8"/>
              </w:rPr>
              <w:t xml:space="preserve"> Ticketing Regulation </w:t>
            </w:r>
            <w:r w:rsidRPr="000F7379">
              <w:rPr>
                <w:noProof/>
                <w:spacing w:val="-8"/>
              </w:rPr>
              <w:t>(</w:t>
            </w:r>
            <w:r w:rsidR="000E6AC7">
              <w:rPr>
                <w:noProof/>
                <w:spacing w:val="-8"/>
              </w:rPr>
              <w:t>R</w:t>
            </w:r>
            <w:r w:rsidRPr="000F7379">
              <w:rPr>
                <w:noProof/>
                <w:spacing w:val="-8"/>
              </w:rPr>
              <w:t xml:space="preserve">TR) </w:t>
            </w:r>
            <w:r>
              <w:rPr>
                <w:noProof/>
                <w:spacing w:val="-8"/>
              </w:rPr>
              <w:t xml:space="preserve">targets railway undertakings </w:t>
            </w:r>
            <w:r w:rsidR="00B5278D">
              <w:rPr>
                <w:noProof/>
                <w:spacing w:val="-8"/>
              </w:rPr>
              <w:t xml:space="preserve">(RU) </w:t>
            </w:r>
            <w:r>
              <w:rPr>
                <w:noProof/>
                <w:spacing w:val="-8"/>
              </w:rPr>
              <w:t xml:space="preserve">and will set </w:t>
            </w:r>
            <w:r w:rsidRPr="000F7379">
              <w:rPr>
                <w:noProof/>
                <w:spacing w:val="-8"/>
              </w:rPr>
              <w:t xml:space="preserve">rules on access to </w:t>
            </w:r>
            <w:r w:rsidRPr="000F7379">
              <w:rPr>
                <w:b/>
                <w:bCs/>
                <w:noProof/>
                <w:spacing w:val="-8"/>
              </w:rPr>
              <w:t xml:space="preserve">rail </w:t>
            </w:r>
            <w:r w:rsidRPr="000F7379">
              <w:rPr>
                <w:noProof/>
                <w:spacing w:val="-8"/>
              </w:rPr>
              <w:t>tickets</w:t>
            </w:r>
            <w:r w:rsidR="00B5278D" w:rsidRPr="000F7379">
              <w:rPr>
                <w:noProof/>
                <w:spacing w:val="-8"/>
              </w:rPr>
              <w:t xml:space="preserve"> </w:t>
            </w:r>
            <w:r w:rsidR="00B5278D">
              <w:rPr>
                <w:noProof/>
                <w:spacing w:val="-8"/>
              </w:rPr>
              <w:t xml:space="preserve">as well as </w:t>
            </w:r>
            <w:r w:rsidRPr="000F7379">
              <w:rPr>
                <w:noProof/>
                <w:spacing w:val="-8"/>
              </w:rPr>
              <w:t xml:space="preserve">access </w:t>
            </w:r>
            <w:r w:rsidR="00326C55">
              <w:rPr>
                <w:noProof/>
                <w:spacing w:val="-8"/>
              </w:rPr>
              <w:t xml:space="preserve">for </w:t>
            </w:r>
            <w:r w:rsidR="00DB0758">
              <w:rPr>
                <w:noProof/>
                <w:spacing w:val="-8"/>
              </w:rPr>
              <w:t xml:space="preserve">RUs </w:t>
            </w:r>
            <w:r w:rsidRPr="000F7379">
              <w:rPr>
                <w:noProof/>
                <w:spacing w:val="-8"/>
              </w:rPr>
              <w:t>to rail ticketing platforms.</w:t>
            </w:r>
          </w:p>
        </w:tc>
      </w:tr>
    </w:tbl>
    <w:p w14:paraId="64292BF5" w14:textId="493061C0" w:rsidR="00122817" w:rsidRDefault="00122817" w:rsidP="002350ED">
      <w:pPr>
        <w:pStyle w:val="BodyText"/>
        <w:tabs>
          <w:tab w:val="left" w:pos="1134"/>
        </w:tabs>
        <w:spacing w:after="240"/>
        <w:ind w:left="0"/>
        <w:rPr>
          <w:rFonts w:eastAsia="Calibri"/>
          <w:noProof/>
          <w:spacing w:val="-8"/>
        </w:rPr>
      </w:pPr>
      <w:r w:rsidRPr="005D2D60">
        <w:rPr>
          <w:rFonts w:eastAsia="Calibri"/>
          <w:noProof/>
          <w:spacing w:val="-8"/>
        </w:rPr>
        <w:t>The</w:t>
      </w:r>
      <w:r w:rsidRPr="005D2D60" w:rsidDel="00DC56C3">
        <w:rPr>
          <w:rFonts w:eastAsia="Calibri"/>
          <w:noProof/>
          <w:spacing w:val="-8"/>
        </w:rPr>
        <w:t xml:space="preserve"> </w:t>
      </w:r>
      <w:r w:rsidR="00DC56C3">
        <w:rPr>
          <w:rFonts w:eastAsia="Calibri"/>
          <w:noProof/>
          <w:spacing w:val="-8"/>
        </w:rPr>
        <w:t>RMB</w:t>
      </w:r>
      <w:r w:rsidRPr="005D2D60">
        <w:rPr>
          <w:rFonts w:eastAsia="Calibri"/>
          <w:noProof/>
          <w:spacing w:val="-8"/>
        </w:rPr>
        <w:t xml:space="preserve"> </w:t>
      </w:r>
      <w:r w:rsidR="00332E14" w:rsidRPr="005D2D60">
        <w:rPr>
          <w:rFonts w:eastAsia="Calibri"/>
          <w:noProof/>
          <w:spacing w:val="-8"/>
        </w:rPr>
        <w:t xml:space="preserve">proposal </w:t>
      </w:r>
      <w:r w:rsidRPr="005D2D60">
        <w:rPr>
          <w:rFonts w:eastAsia="Calibri"/>
          <w:noProof/>
          <w:spacing w:val="-8"/>
        </w:rPr>
        <w:t>includ</w:t>
      </w:r>
      <w:r w:rsidR="00332E14" w:rsidRPr="005D2D60">
        <w:rPr>
          <w:rFonts w:eastAsia="Calibri"/>
          <w:noProof/>
          <w:spacing w:val="-8"/>
        </w:rPr>
        <w:t>es</w:t>
      </w:r>
      <w:r w:rsidRPr="005D2D60">
        <w:rPr>
          <w:rFonts w:eastAsia="Calibri"/>
          <w:noProof/>
          <w:spacing w:val="-8"/>
        </w:rPr>
        <w:t xml:space="preserve"> the repeal of</w:t>
      </w:r>
      <w:r w:rsidRPr="005D2D60">
        <w:rPr>
          <w:rFonts w:eastAsia="Calibri"/>
          <w:b/>
          <w:noProof/>
          <w:spacing w:val="-8"/>
        </w:rPr>
        <w:t xml:space="preserve"> Regulation (EC) No 80/2009 on a Code of Conduct for Computerised Reservation Systems </w:t>
      </w:r>
      <w:r w:rsidRPr="005D2D60">
        <w:rPr>
          <w:rFonts w:eastAsia="Calibri"/>
          <w:noProof/>
          <w:spacing w:val="-8"/>
        </w:rPr>
        <w:t>(‘CRS Code of Conduct’</w:t>
      </w:r>
      <w:r w:rsidRPr="005D2D60">
        <w:rPr>
          <w:rFonts w:eastAsia="Calibri"/>
          <w:noProof/>
          <w:spacing w:val="-8"/>
          <w:vertAlign w:val="superscript"/>
        </w:rPr>
        <w:footnoteReference w:id="2"/>
      </w:r>
      <w:r w:rsidR="006112EC" w:rsidRPr="005D2D60">
        <w:rPr>
          <w:rFonts w:eastAsia="Calibri"/>
          <w:noProof/>
          <w:spacing w:val="-8"/>
        </w:rPr>
        <w:t>)</w:t>
      </w:r>
      <w:r w:rsidR="00332E14" w:rsidRPr="005D2D60">
        <w:rPr>
          <w:rFonts w:eastAsia="Calibri"/>
          <w:noProof/>
          <w:spacing w:val="-8"/>
        </w:rPr>
        <w:t xml:space="preserve"> </w:t>
      </w:r>
      <w:r w:rsidR="00A6036E" w:rsidRPr="005D2D60">
        <w:rPr>
          <w:rFonts w:eastAsia="Calibri"/>
          <w:noProof/>
          <w:spacing w:val="-8"/>
        </w:rPr>
        <w:t>whilst updating</w:t>
      </w:r>
      <w:r w:rsidR="0098624D" w:rsidRPr="005D2D60">
        <w:rPr>
          <w:rFonts w:eastAsia="Calibri"/>
          <w:noProof/>
          <w:spacing w:val="-8"/>
        </w:rPr>
        <w:t xml:space="preserve"> and</w:t>
      </w:r>
      <w:r w:rsidR="00332E14" w:rsidRPr="005D2D60">
        <w:rPr>
          <w:rFonts w:eastAsia="Calibri"/>
          <w:noProof/>
          <w:spacing w:val="-8"/>
        </w:rPr>
        <w:t xml:space="preserve"> integrat</w:t>
      </w:r>
      <w:r w:rsidR="00A6036E" w:rsidRPr="005D2D60">
        <w:rPr>
          <w:rFonts w:eastAsia="Calibri"/>
          <w:noProof/>
          <w:spacing w:val="-8"/>
        </w:rPr>
        <w:t>ing</w:t>
      </w:r>
      <w:r w:rsidR="00332E14" w:rsidRPr="005D2D60">
        <w:rPr>
          <w:rFonts w:eastAsia="Calibri"/>
          <w:noProof/>
          <w:spacing w:val="-8"/>
        </w:rPr>
        <w:t xml:space="preserve"> the provisions t</w:t>
      </w:r>
      <w:r w:rsidR="002074B0" w:rsidRPr="005D2D60">
        <w:rPr>
          <w:rFonts w:eastAsia="Calibri"/>
          <w:noProof/>
          <w:spacing w:val="-8"/>
        </w:rPr>
        <w:t>hat remain relevant.</w:t>
      </w:r>
    </w:p>
    <w:p w14:paraId="6E1E297E" w14:textId="6DC1AAA9" w:rsidR="00B0109E" w:rsidRPr="00D351CB" w:rsidRDefault="007A05D6" w:rsidP="002350ED">
      <w:pPr>
        <w:pStyle w:val="BodyText"/>
        <w:tabs>
          <w:tab w:val="left" w:pos="1134"/>
        </w:tabs>
        <w:spacing w:after="240"/>
        <w:ind w:left="0"/>
        <w:rPr>
          <w:noProof/>
        </w:rPr>
      </w:pPr>
      <w:r w:rsidRPr="00660E3C">
        <w:rPr>
          <w:rFonts w:eastAsia="Calibri"/>
          <w:noProof/>
          <w:spacing w:val="-8"/>
        </w:rPr>
        <w:t>Th</w:t>
      </w:r>
      <w:r w:rsidR="00D64265" w:rsidRPr="00660E3C">
        <w:rPr>
          <w:rFonts w:eastAsia="Calibri"/>
          <w:noProof/>
          <w:spacing w:val="-8"/>
        </w:rPr>
        <w:t xml:space="preserve">ese initiatives are </w:t>
      </w:r>
      <w:r w:rsidR="003F2DBE" w:rsidRPr="00660E3C">
        <w:rPr>
          <w:rFonts w:eastAsia="Calibri"/>
          <w:noProof/>
          <w:spacing w:val="-8"/>
        </w:rPr>
        <w:t xml:space="preserve">needed </w:t>
      </w:r>
      <w:r w:rsidR="00AF0B4E">
        <w:rPr>
          <w:rFonts w:eastAsia="Calibri"/>
          <w:noProof/>
          <w:spacing w:val="-8"/>
        </w:rPr>
        <w:t>because</w:t>
      </w:r>
      <w:r w:rsidR="008F583C">
        <w:rPr>
          <w:rFonts w:eastAsia="Calibri"/>
          <w:noProof/>
          <w:spacing w:val="-8"/>
        </w:rPr>
        <w:t xml:space="preserve">, as </w:t>
      </w:r>
      <w:r w:rsidR="008F583C" w:rsidRPr="00660E3C">
        <w:rPr>
          <w:rFonts w:eastAsia="Calibri"/>
          <w:noProof/>
          <w:spacing w:val="-8"/>
        </w:rPr>
        <w:t xml:space="preserve">highlighted in the </w:t>
      </w:r>
      <w:r w:rsidR="008F583C" w:rsidRPr="00660E3C">
        <w:rPr>
          <w:rFonts w:eastAsia="Calibri"/>
          <w:b/>
          <w:noProof/>
          <w:spacing w:val="-8"/>
        </w:rPr>
        <w:t>political guidelines for the European Commission 2024−2029</w:t>
      </w:r>
      <w:r w:rsidR="008F583C" w:rsidRPr="009D56AA">
        <w:rPr>
          <w:rFonts w:eastAsia="Calibri"/>
          <w:b/>
          <w:noProof/>
          <w:spacing w:val="-8"/>
          <w:vertAlign w:val="superscript"/>
        </w:rPr>
        <w:footnoteReference w:id="3"/>
      </w:r>
      <w:r w:rsidR="008F583C" w:rsidRPr="00660E3C">
        <w:rPr>
          <w:rFonts w:eastAsia="Calibri"/>
          <w:noProof/>
          <w:spacing w:val="-8"/>
        </w:rPr>
        <w:t xml:space="preserve">, </w:t>
      </w:r>
      <w:r w:rsidR="003F2DBE" w:rsidRPr="00660E3C">
        <w:rPr>
          <w:rFonts w:eastAsia="Calibri"/>
          <w:noProof/>
          <w:spacing w:val="-8"/>
        </w:rPr>
        <w:t xml:space="preserve">it is currently </w:t>
      </w:r>
      <w:r w:rsidR="004024C9" w:rsidRPr="00660E3C">
        <w:rPr>
          <w:rFonts w:eastAsia="Calibri"/>
          <w:noProof/>
          <w:spacing w:val="-8"/>
        </w:rPr>
        <w:t>diffic</w:t>
      </w:r>
      <w:r w:rsidR="008A2903" w:rsidRPr="00660E3C">
        <w:rPr>
          <w:rFonts w:eastAsia="Calibri"/>
          <w:noProof/>
          <w:spacing w:val="-8"/>
        </w:rPr>
        <w:t>ult</w:t>
      </w:r>
      <w:r w:rsidR="00970423" w:rsidRPr="00660E3C">
        <w:rPr>
          <w:rFonts w:eastAsia="Calibri"/>
          <w:noProof/>
          <w:spacing w:val="-8"/>
        </w:rPr>
        <w:t xml:space="preserve"> </w:t>
      </w:r>
      <w:r w:rsidR="00CB74A6" w:rsidRPr="00660E3C">
        <w:rPr>
          <w:rFonts w:eastAsia="Calibri"/>
          <w:noProof/>
          <w:spacing w:val="-8"/>
        </w:rPr>
        <w:t>for trave</w:t>
      </w:r>
      <w:r w:rsidR="001F0830" w:rsidRPr="00660E3C">
        <w:rPr>
          <w:rFonts w:eastAsia="Calibri"/>
          <w:noProof/>
          <w:spacing w:val="-8"/>
        </w:rPr>
        <w:t>l</w:t>
      </w:r>
      <w:r w:rsidR="00CB74A6" w:rsidRPr="00660E3C">
        <w:rPr>
          <w:rFonts w:eastAsia="Calibri"/>
          <w:noProof/>
          <w:spacing w:val="-8"/>
        </w:rPr>
        <w:t xml:space="preserve">lers </w:t>
      </w:r>
      <w:r w:rsidR="008A2903" w:rsidRPr="00660E3C">
        <w:rPr>
          <w:rFonts w:eastAsia="Calibri"/>
          <w:noProof/>
          <w:spacing w:val="-8"/>
        </w:rPr>
        <w:t xml:space="preserve">to </w:t>
      </w:r>
      <w:r w:rsidR="001857C5" w:rsidRPr="00660E3C">
        <w:rPr>
          <w:rFonts w:eastAsia="Calibri"/>
          <w:noProof/>
          <w:spacing w:val="-8"/>
        </w:rPr>
        <w:t>find</w:t>
      </w:r>
      <w:r w:rsidRPr="00660E3C">
        <w:rPr>
          <w:rFonts w:eastAsia="Calibri"/>
          <w:noProof/>
          <w:spacing w:val="-8"/>
        </w:rPr>
        <w:t xml:space="preserve">, compare, </w:t>
      </w:r>
      <w:r w:rsidR="009254C8">
        <w:rPr>
          <w:rFonts w:eastAsia="Calibri"/>
          <w:noProof/>
          <w:spacing w:val="-8"/>
        </w:rPr>
        <w:t xml:space="preserve">combine </w:t>
      </w:r>
      <w:r w:rsidRPr="00660E3C">
        <w:rPr>
          <w:rFonts w:eastAsia="Calibri"/>
          <w:noProof/>
          <w:spacing w:val="-8"/>
        </w:rPr>
        <w:t xml:space="preserve">and book </w:t>
      </w:r>
      <w:r w:rsidR="003348EE">
        <w:rPr>
          <w:rFonts w:eastAsia="Calibri"/>
          <w:noProof/>
          <w:spacing w:val="-8"/>
        </w:rPr>
        <w:t xml:space="preserve">tickets for </w:t>
      </w:r>
      <w:r w:rsidRPr="00660E3C">
        <w:rPr>
          <w:rFonts w:eastAsia="Calibri"/>
          <w:noProof/>
          <w:spacing w:val="-8"/>
        </w:rPr>
        <w:t xml:space="preserve">regional and long-distance </w:t>
      </w:r>
      <w:r w:rsidR="00B31E09">
        <w:rPr>
          <w:rFonts w:eastAsia="Calibri"/>
          <w:noProof/>
          <w:spacing w:val="-8"/>
        </w:rPr>
        <w:t>journeys</w:t>
      </w:r>
      <w:r w:rsidRPr="00660E3C">
        <w:rPr>
          <w:rFonts w:eastAsia="Calibri"/>
          <w:noProof/>
          <w:spacing w:val="-8"/>
        </w:rPr>
        <w:t xml:space="preserve"> in the EU</w:t>
      </w:r>
      <w:r w:rsidRPr="00660E3C">
        <w:rPr>
          <w:noProof/>
          <w:spacing w:val="-8"/>
          <w:vertAlign w:val="superscript"/>
        </w:rPr>
        <w:footnoteReference w:id="4"/>
      </w:r>
      <w:r w:rsidRPr="00660E3C">
        <w:rPr>
          <w:rFonts w:eastAsia="Calibri"/>
          <w:noProof/>
          <w:spacing w:val="-8"/>
        </w:rPr>
        <w:t xml:space="preserve">. </w:t>
      </w:r>
      <w:r w:rsidR="00CB74A6" w:rsidRPr="00660E3C">
        <w:rPr>
          <w:rFonts w:eastAsia="Calibri"/>
          <w:noProof/>
          <w:spacing w:val="-8"/>
        </w:rPr>
        <w:t>T</w:t>
      </w:r>
      <w:r w:rsidRPr="00660E3C">
        <w:rPr>
          <w:rFonts w:eastAsia="Calibri"/>
          <w:noProof/>
          <w:spacing w:val="-8"/>
        </w:rPr>
        <w:t xml:space="preserve">his </w:t>
      </w:r>
      <w:r w:rsidR="00CE64C1" w:rsidRPr="00660E3C">
        <w:rPr>
          <w:rFonts w:eastAsia="Calibri"/>
          <w:noProof/>
          <w:spacing w:val="-8"/>
        </w:rPr>
        <w:t xml:space="preserve">becomes significantly more difficult </w:t>
      </w:r>
      <w:r w:rsidR="00C7080E" w:rsidRPr="00660E3C">
        <w:rPr>
          <w:rFonts w:eastAsia="Calibri"/>
          <w:noProof/>
          <w:spacing w:val="-8"/>
        </w:rPr>
        <w:t xml:space="preserve">when combining </w:t>
      </w:r>
      <w:r w:rsidR="00F2485A">
        <w:rPr>
          <w:rFonts w:eastAsia="Calibri"/>
          <w:noProof/>
          <w:spacing w:val="-8"/>
        </w:rPr>
        <w:t>offers</w:t>
      </w:r>
      <w:r w:rsidR="00C7080E" w:rsidRPr="00660E3C">
        <w:rPr>
          <w:rFonts w:eastAsia="Calibri"/>
          <w:noProof/>
          <w:spacing w:val="-8"/>
        </w:rPr>
        <w:t xml:space="preserve"> from multiple operators</w:t>
      </w:r>
      <w:r w:rsidR="00C91292">
        <w:rPr>
          <w:rFonts w:eastAsia="Calibri"/>
          <w:noProof/>
          <w:spacing w:val="-8"/>
        </w:rPr>
        <w:t xml:space="preserve"> and </w:t>
      </w:r>
      <w:r w:rsidR="00AD5B91" w:rsidRPr="00660E3C">
        <w:rPr>
          <w:rFonts w:eastAsia="Calibri"/>
          <w:noProof/>
          <w:spacing w:val="-8"/>
        </w:rPr>
        <w:t xml:space="preserve">is </w:t>
      </w:r>
      <w:r w:rsidR="00797F1F" w:rsidRPr="00660E3C">
        <w:rPr>
          <w:rFonts w:eastAsia="Calibri"/>
          <w:noProof/>
          <w:spacing w:val="-8"/>
        </w:rPr>
        <w:t>particularly</w:t>
      </w:r>
      <w:r w:rsidR="00624BB3" w:rsidRPr="00660E3C">
        <w:rPr>
          <w:rFonts w:eastAsia="Calibri"/>
          <w:noProof/>
          <w:spacing w:val="-8"/>
        </w:rPr>
        <w:t xml:space="preserve"> </w:t>
      </w:r>
      <w:r w:rsidRPr="00660E3C">
        <w:rPr>
          <w:rFonts w:eastAsia="Calibri"/>
          <w:noProof/>
          <w:spacing w:val="-8"/>
        </w:rPr>
        <w:t xml:space="preserve">challenging in the </w:t>
      </w:r>
      <w:r w:rsidR="00C0621D" w:rsidRPr="00660E3C">
        <w:rPr>
          <w:rFonts w:eastAsia="Calibri"/>
          <w:noProof/>
          <w:spacing w:val="-8"/>
        </w:rPr>
        <w:t>case of cross</w:t>
      </w:r>
      <w:r w:rsidR="00BD5DD2" w:rsidRPr="00660E3C">
        <w:rPr>
          <w:rFonts w:eastAsia="Calibri"/>
          <w:noProof/>
          <w:spacing w:val="-8"/>
        </w:rPr>
        <w:t>-</w:t>
      </w:r>
      <w:r w:rsidR="00C0621D" w:rsidRPr="00660E3C">
        <w:rPr>
          <w:rFonts w:eastAsia="Calibri"/>
          <w:noProof/>
          <w:spacing w:val="-8"/>
        </w:rPr>
        <w:t xml:space="preserve">border </w:t>
      </w:r>
      <w:r w:rsidR="00BD5DD2" w:rsidRPr="00660E3C">
        <w:rPr>
          <w:rFonts w:eastAsia="Calibri"/>
          <w:noProof/>
          <w:spacing w:val="-8"/>
        </w:rPr>
        <w:t xml:space="preserve">train </w:t>
      </w:r>
      <w:r w:rsidR="00C0621D" w:rsidRPr="00660E3C">
        <w:rPr>
          <w:rFonts w:eastAsia="Calibri"/>
          <w:noProof/>
          <w:spacing w:val="-8"/>
        </w:rPr>
        <w:t>travel</w:t>
      </w:r>
      <w:r w:rsidR="00356CE9">
        <w:rPr>
          <w:rFonts w:eastAsia="Calibri"/>
          <w:noProof/>
          <w:spacing w:val="-8"/>
        </w:rPr>
        <w:t>,</w:t>
      </w:r>
      <w:r w:rsidR="006365A9">
        <w:rPr>
          <w:rFonts w:eastAsia="Calibri"/>
          <w:noProof/>
          <w:spacing w:val="-8"/>
        </w:rPr>
        <w:t xml:space="preserve"> </w:t>
      </w:r>
      <w:r w:rsidR="00356CE9">
        <w:rPr>
          <w:rFonts w:eastAsia="Calibri"/>
          <w:noProof/>
          <w:spacing w:val="-8"/>
        </w:rPr>
        <w:t xml:space="preserve">which </w:t>
      </w:r>
      <w:r w:rsidR="006365A9">
        <w:rPr>
          <w:rFonts w:eastAsia="Calibri"/>
          <w:noProof/>
          <w:spacing w:val="-8"/>
        </w:rPr>
        <w:t>limits the attractiveness of rail for such journeys</w:t>
      </w:r>
      <w:r w:rsidR="00640DD9" w:rsidRPr="00660E3C">
        <w:rPr>
          <w:rFonts w:eastAsia="Calibri"/>
          <w:noProof/>
          <w:spacing w:val="-8"/>
        </w:rPr>
        <w:t>.</w:t>
      </w:r>
      <w:r w:rsidR="00D37178" w:rsidRPr="00660E3C">
        <w:rPr>
          <w:noProof/>
          <w:spacing w:val="-8"/>
        </w:rPr>
        <w:t xml:space="preserve"> </w:t>
      </w:r>
      <w:r w:rsidR="002C5B24" w:rsidRPr="00660E3C">
        <w:rPr>
          <w:noProof/>
          <w:spacing w:val="-8"/>
        </w:rPr>
        <w:t>A</w:t>
      </w:r>
      <w:r w:rsidR="00721650" w:rsidRPr="00721650">
        <w:rPr>
          <w:noProof/>
          <w:spacing w:val="-8"/>
        </w:rPr>
        <w:t xml:space="preserve"> </w:t>
      </w:r>
      <w:r w:rsidR="00721650" w:rsidRPr="00721650">
        <w:rPr>
          <w:b/>
          <w:noProof/>
          <w:spacing w:val="-8"/>
        </w:rPr>
        <w:t xml:space="preserve">2024 Eurobarometer survey on </w:t>
      </w:r>
      <w:r w:rsidR="005A3B91" w:rsidRPr="00660E3C">
        <w:rPr>
          <w:b/>
          <w:noProof/>
          <w:spacing w:val="-8"/>
        </w:rPr>
        <w:t>ticketing</w:t>
      </w:r>
      <w:r w:rsidR="00E52B2D" w:rsidRPr="00660E3C">
        <w:rPr>
          <w:rStyle w:val="FootnoteReference"/>
          <w:noProof/>
          <w:spacing w:val="-8"/>
        </w:rPr>
        <w:footnoteReference w:id="5"/>
      </w:r>
      <w:r w:rsidR="005A3B91" w:rsidRPr="00660E3C">
        <w:rPr>
          <w:noProof/>
          <w:spacing w:val="-8"/>
        </w:rPr>
        <w:t xml:space="preserve"> </w:t>
      </w:r>
      <w:r w:rsidR="00721650" w:rsidRPr="00721650">
        <w:rPr>
          <w:noProof/>
          <w:spacing w:val="-8"/>
        </w:rPr>
        <w:t xml:space="preserve">showed that </w:t>
      </w:r>
      <w:r w:rsidR="00073F34" w:rsidRPr="00660E3C">
        <w:rPr>
          <w:noProof/>
          <w:spacing w:val="-8"/>
        </w:rPr>
        <w:t xml:space="preserve">a third </w:t>
      </w:r>
      <w:r w:rsidR="00073F34" w:rsidRPr="00721650">
        <w:rPr>
          <w:noProof/>
          <w:spacing w:val="-8"/>
        </w:rPr>
        <w:t xml:space="preserve">of all respondents have never booked </w:t>
      </w:r>
      <w:r w:rsidR="00073F34" w:rsidRPr="00660E3C">
        <w:rPr>
          <w:noProof/>
          <w:spacing w:val="-8"/>
        </w:rPr>
        <w:t xml:space="preserve">a </w:t>
      </w:r>
      <w:r w:rsidR="00073F34" w:rsidRPr="00721650">
        <w:rPr>
          <w:noProof/>
          <w:spacing w:val="-8"/>
        </w:rPr>
        <w:t xml:space="preserve">multimodal journey (e.g. combining trains, planes or coaches), </w:t>
      </w:r>
      <w:r w:rsidR="00073F34" w:rsidRPr="00660E3C">
        <w:rPr>
          <w:noProof/>
          <w:spacing w:val="-8"/>
        </w:rPr>
        <w:t xml:space="preserve">and </w:t>
      </w:r>
      <w:r w:rsidR="00E95FFE" w:rsidRPr="00660E3C">
        <w:rPr>
          <w:noProof/>
          <w:spacing w:val="-8"/>
        </w:rPr>
        <w:t>o</w:t>
      </w:r>
      <w:r w:rsidR="00721650" w:rsidRPr="00721650">
        <w:rPr>
          <w:noProof/>
          <w:spacing w:val="-8"/>
        </w:rPr>
        <w:t>ver a third of respondents who book</w:t>
      </w:r>
      <w:r w:rsidR="00C12B90" w:rsidRPr="00660E3C">
        <w:rPr>
          <w:noProof/>
          <w:spacing w:val="-8"/>
        </w:rPr>
        <w:t>ed such journeys</w:t>
      </w:r>
      <w:r w:rsidR="00721650" w:rsidRPr="00721650">
        <w:rPr>
          <w:noProof/>
          <w:spacing w:val="-8"/>
        </w:rPr>
        <w:t xml:space="preserve"> report</w:t>
      </w:r>
      <w:r w:rsidR="005D2C8B" w:rsidRPr="00660E3C">
        <w:rPr>
          <w:noProof/>
          <w:spacing w:val="-8"/>
        </w:rPr>
        <w:t>ed</w:t>
      </w:r>
      <w:r w:rsidR="00721650" w:rsidRPr="00721650">
        <w:rPr>
          <w:noProof/>
          <w:spacing w:val="-8"/>
        </w:rPr>
        <w:t xml:space="preserve"> difficult</w:t>
      </w:r>
      <w:r w:rsidR="00C12B90" w:rsidRPr="00660E3C">
        <w:rPr>
          <w:noProof/>
          <w:spacing w:val="-8"/>
        </w:rPr>
        <w:t>ies in doing so</w:t>
      </w:r>
      <w:r w:rsidR="00721650" w:rsidRPr="00721650">
        <w:rPr>
          <w:noProof/>
          <w:spacing w:val="-8"/>
        </w:rPr>
        <w:t xml:space="preserve">. </w:t>
      </w:r>
      <w:r w:rsidR="00BD639A" w:rsidRPr="00660E3C">
        <w:rPr>
          <w:noProof/>
          <w:spacing w:val="-8"/>
        </w:rPr>
        <w:t xml:space="preserve">Barriers included the inability to </w:t>
      </w:r>
      <w:r w:rsidR="00721650" w:rsidRPr="00721650">
        <w:rPr>
          <w:noProof/>
          <w:spacing w:val="-8"/>
        </w:rPr>
        <w:t>find a suitable combination</w:t>
      </w:r>
      <w:r w:rsidR="00721650" w:rsidRPr="00660E3C">
        <w:rPr>
          <w:noProof/>
          <w:spacing w:val="-8"/>
        </w:rPr>
        <w:t xml:space="preserve">, </w:t>
      </w:r>
      <w:r w:rsidR="00721650" w:rsidRPr="00721650">
        <w:rPr>
          <w:noProof/>
          <w:spacing w:val="-8"/>
        </w:rPr>
        <w:t>lack</w:t>
      </w:r>
      <w:r w:rsidR="00BD639A" w:rsidRPr="00660E3C">
        <w:rPr>
          <w:noProof/>
          <w:spacing w:val="-8"/>
        </w:rPr>
        <w:t xml:space="preserve"> of</w:t>
      </w:r>
      <w:r w:rsidR="00721650" w:rsidRPr="00721650">
        <w:rPr>
          <w:noProof/>
          <w:spacing w:val="-8"/>
        </w:rPr>
        <w:t xml:space="preserve"> information</w:t>
      </w:r>
      <w:r w:rsidR="00A64F68">
        <w:rPr>
          <w:noProof/>
          <w:spacing w:val="-8"/>
        </w:rPr>
        <w:t xml:space="preserve"> on where to search </w:t>
      </w:r>
      <w:r w:rsidR="00210C5B">
        <w:rPr>
          <w:noProof/>
          <w:spacing w:val="-8"/>
        </w:rPr>
        <w:t>for such offers</w:t>
      </w:r>
      <w:r w:rsidR="00721650" w:rsidRPr="00721650">
        <w:rPr>
          <w:noProof/>
          <w:spacing w:val="-8"/>
        </w:rPr>
        <w:t xml:space="preserve"> and not </w:t>
      </w:r>
      <w:r w:rsidR="00BD639A" w:rsidRPr="00660E3C">
        <w:rPr>
          <w:noProof/>
          <w:spacing w:val="-8"/>
        </w:rPr>
        <w:t xml:space="preserve">being able to </w:t>
      </w:r>
      <w:r w:rsidR="00721650" w:rsidRPr="00721650">
        <w:rPr>
          <w:noProof/>
          <w:spacing w:val="-8"/>
        </w:rPr>
        <w:t xml:space="preserve">buy all the tickets in one place. </w:t>
      </w:r>
      <w:r w:rsidR="005C7FEC" w:rsidRPr="00660E3C">
        <w:rPr>
          <w:noProof/>
          <w:spacing w:val="-8"/>
        </w:rPr>
        <w:t>According to the survey t</w:t>
      </w:r>
      <w:r w:rsidR="00721650" w:rsidRPr="00721650">
        <w:rPr>
          <w:noProof/>
          <w:spacing w:val="-8"/>
        </w:rPr>
        <w:t xml:space="preserve">hese barriers </w:t>
      </w:r>
      <w:r w:rsidR="00C05B98" w:rsidRPr="00660E3C">
        <w:rPr>
          <w:noProof/>
          <w:spacing w:val="-8"/>
        </w:rPr>
        <w:t>we</w:t>
      </w:r>
      <w:r w:rsidR="00721650" w:rsidRPr="00721650">
        <w:rPr>
          <w:noProof/>
          <w:spacing w:val="-8"/>
        </w:rPr>
        <w:t>re higher for journeys involving multiple</w:t>
      </w:r>
      <w:r w:rsidR="00721650">
        <w:rPr>
          <w:noProof/>
        </w:rPr>
        <w:t xml:space="preserve"> </w:t>
      </w:r>
      <w:r w:rsidR="270153C2">
        <w:rPr>
          <w:noProof/>
        </w:rPr>
        <w:t>railway undertakings</w:t>
      </w:r>
      <w:r w:rsidR="005C7FEC" w:rsidRPr="00660E3C">
        <w:rPr>
          <w:noProof/>
          <w:spacing w:val="-8"/>
        </w:rPr>
        <w:t>.</w:t>
      </w:r>
      <w:r w:rsidR="0082161A">
        <w:rPr>
          <w:noProof/>
          <w:spacing w:val="-8"/>
        </w:rPr>
        <w:t xml:space="preserve"> </w:t>
      </w:r>
      <w:r w:rsidR="005203FD" w:rsidRPr="005D2D60">
        <w:rPr>
          <w:noProof/>
          <w:spacing w:val="-8"/>
        </w:rPr>
        <w:t xml:space="preserve">Another major concern for </w:t>
      </w:r>
      <w:r w:rsidR="00935168" w:rsidRPr="005D2D60">
        <w:rPr>
          <w:noProof/>
          <w:spacing w:val="-8"/>
        </w:rPr>
        <w:t xml:space="preserve">rail </w:t>
      </w:r>
      <w:r w:rsidR="005203FD" w:rsidRPr="005D2D60">
        <w:rPr>
          <w:noProof/>
          <w:spacing w:val="-8"/>
        </w:rPr>
        <w:t xml:space="preserve">passengers </w:t>
      </w:r>
      <w:r w:rsidR="00E504C7" w:rsidRPr="005D2D60">
        <w:rPr>
          <w:noProof/>
          <w:spacing w:val="-8"/>
        </w:rPr>
        <w:t xml:space="preserve">is that they </w:t>
      </w:r>
      <w:r w:rsidR="00895062" w:rsidRPr="005D2D60">
        <w:rPr>
          <w:noProof/>
          <w:spacing w:val="-8"/>
        </w:rPr>
        <w:t xml:space="preserve">often do </w:t>
      </w:r>
      <w:r w:rsidR="00E504C7" w:rsidRPr="005D2D60">
        <w:rPr>
          <w:noProof/>
          <w:spacing w:val="-8"/>
        </w:rPr>
        <w:t xml:space="preserve">not </w:t>
      </w:r>
      <w:r w:rsidR="00E40407" w:rsidRPr="005D2D60">
        <w:rPr>
          <w:noProof/>
          <w:spacing w:val="-8"/>
        </w:rPr>
        <w:t xml:space="preserve">enjoy </w:t>
      </w:r>
      <w:r w:rsidR="00E504C7" w:rsidRPr="005D2D60">
        <w:rPr>
          <w:noProof/>
          <w:spacing w:val="-8"/>
        </w:rPr>
        <w:t xml:space="preserve">passenger rights when </w:t>
      </w:r>
      <w:r w:rsidR="006E4730" w:rsidRPr="005D2D60">
        <w:rPr>
          <w:noProof/>
          <w:spacing w:val="-8"/>
        </w:rPr>
        <w:t xml:space="preserve">their journey involves </w:t>
      </w:r>
      <w:r w:rsidR="00E504C7" w:rsidRPr="005D2D60">
        <w:rPr>
          <w:noProof/>
          <w:spacing w:val="-8"/>
        </w:rPr>
        <w:t xml:space="preserve">different RUs. </w:t>
      </w:r>
      <w:r w:rsidR="00AE5533" w:rsidRPr="005D2D60">
        <w:rPr>
          <w:noProof/>
          <w:spacing w:val="-8"/>
        </w:rPr>
        <w:t>While the passenger rights dimension falls outside the scope of this IA,</w:t>
      </w:r>
      <w:r w:rsidR="00BA76D6" w:rsidRPr="005D2D60">
        <w:rPr>
          <w:noProof/>
          <w:spacing w:val="-8"/>
        </w:rPr>
        <w:t xml:space="preserve"> </w:t>
      </w:r>
      <w:r w:rsidR="008238C7" w:rsidRPr="005D2D60">
        <w:rPr>
          <w:noProof/>
          <w:spacing w:val="-8"/>
        </w:rPr>
        <w:t xml:space="preserve">since it does not concern ticket distribution and </w:t>
      </w:r>
      <w:r w:rsidR="00031DE8" w:rsidRPr="005D2D60">
        <w:rPr>
          <w:noProof/>
          <w:spacing w:val="-8"/>
        </w:rPr>
        <w:t xml:space="preserve">is </w:t>
      </w:r>
      <w:r w:rsidR="003F0C34" w:rsidRPr="005D2D60">
        <w:rPr>
          <w:noProof/>
          <w:spacing w:val="-8"/>
        </w:rPr>
        <w:t xml:space="preserve">addressed </w:t>
      </w:r>
      <w:r w:rsidR="00146899" w:rsidRPr="005D2D60">
        <w:rPr>
          <w:noProof/>
          <w:spacing w:val="-8"/>
        </w:rPr>
        <w:t>through</w:t>
      </w:r>
      <w:r w:rsidR="003F0C34" w:rsidRPr="005D2D60">
        <w:rPr>
          <w:noProof/>
          <w:spacing w:val="-8"/>
        </w:rPr>
        <w:t xml:space="preserve"> </w:t>
      </w:r>
      <w:r w:rsidR="00B0109E" w:rsidRPr="005D2D60">
        <w:rPr>
          <w:noProof/>
          <w:spacing w:val="-8"/>
        </w:rPr>
        <w:t>a</w:t>
      </w:r>
      <w:r w:rsidR="003F0C34" w:rsidRPr="005D2D60">
        <w:rPr>
          <w:noProof/>
          <w:spacing w:val="-8"/>
        </w:rPr>
        <w:t xml:space="preserve"> </w:t>
      </w:r>
      <w:r w:rsidR="00B0109E" w:rsidRPr="005D2D60">
        <w:rPr>
          <w:noProof/>
          <w:spacing w:val="-8"/>
        </w:rPr>
        <w:t>t</w:t>
      </w:r>
      <w:r w:rsidR="00B914C5" w:rsidRPr="005D2D60">
        <w:rPr>
          <w:noProof/>
          <w:spacing w:val="-8"/>
        </w:rPr>
        <w:t xml:space="preserve">argeted revision of </w:t>
      </w:r>
      <w:r w:rsidR="00B0591A" w:rsidRPr="005D2D60">
        <w:rPr>
          <w:noProof/>
          <w:spacing w:val="-8"/>
        </w:rPr>
        <w:t xml:space="preserve">the </w:t>
      </w:r>
      <w:r w:rsidR="00B0591A" w:rsidRPr="005D2D60">
        <w:rPr>
          <w:b/>
          <w:noProof/>
          <w:spacing w:val="-8"/>
        </w:rPr>
        <w:t>R</w:t>
      </w:r>
      <w:r w:rsidR="00B914C5" w:rsidRPr="005D2D60">
        <w:rPr>
          <w:b/>
          <w:noProof/>
          <w:spacing w:val="-8"/>
        </w:rPr>
        <w:t xml:space="preserve">ail </w:t>
      </w:r>
      <w:r w:rsidR="00B0591A" w:rsidRPr="005D2D60">
        <w:rPr>
          <w:b/>
          <w:noProof/>
          <w:spacing w:val="-8"/>
        </w:rPr>
        <w:t>P</w:t>
      </w:r>
      <w:r w:rsidR="00B914C5" w:rsidRPr="005D2D60">
        <w:rPr>
          <w:b/>
          <w:noProof/>
          <w:spacing w:val="-8"/>
        </w:rPr>
        <w:t xml:space="preserve">assenger </w:t>
      </w:r>
      <w:r w:rsidR="00B0591A" w:rsidRPr="005D2D60">
        <w:rPr>
          <w:b/>
          <w:noProof/>
          <w:spacing w:val="-8"/>
        </w:rPr>
        <w:t>Ri</w:t>
      </w:r>
      <w:r w:rsidR="00B914C5" w:rsidRPr="005D2D60">
        <w:rPr>
          <w:b/>
          <w:noProof/>
          <w:spacing w:val="-8"/>
        </w:rPr>
        <w:t xml:space="preserve">ghts </w:t>
      </w:r>
      <w:r w:rsidR="00B0591A" w:rsidRPr="005D2D60">
        <w:rPr>
          <w:b/>
          <w:noProof/>
          <w:spacing w:val="-8"/>
        </w:rPr>
        <w:t>R</w:t>
      </w:r>
      <w:r w:rsidR="00B0109E" w:rsidRPr="005D2D60">
        <w:rPr>
          <w:b/>
          <w:noProof/>
          <w:spacing w:val="-8"/>
        </w:rPr>
        <w:t>egulation</w:t>
      </w:r>
      <w:r w:rsidR="006F45B5" w:rsidRPr="005D2D60">
        <w:rPr>
          <w:noProof/>
          <w:spacing w:val="-8"/>
        </w:rPr>
        <w:t xml:space="preserve">, which will </w:t>
      </w:r>
      <w:r w:rsidR="00146899" w:rsidRPr="005D2D60">
        <w:rPr>
          <w:noProof/>
          <w:spacing w:val="-8"/>
        </w:rPr>
        <w:t>ensure that</w:t>
      </w:r>
      <w:r w:rsidR="006F45B5" w:rsidRPr="005D2D60">
        <w:rPr>
          <w:noProof/>
          <w:spacing w:val="-8"/>
        </w:rPr>
        <w:t xml:space="preserve"> tickets </w:t>
      </w:r>
      <w:r w:rsidR="00146899" w:rsidRPr="005D2D60">
        <w:rPr>
          <w:noProof/>
          <w:spacing w:val="-8"/>
        </w:rPr>
        <w:t>purchased</w:t>
      </w:r>
      <w:r w:rsidR="006F45B5" w:rsidRPr="005D2D60">
        <w:rPr>
          <w:noProof/>
          <w:spacing w:val="-8"/>
        </w:rPr>
        <w:t xml:space="preserve"> in a single transaction on one platform</w:t>
      </w:r>
      <w:r w:rsidR="00DD148C" w:rsidRPr="005D2D60">
        <w:rPr>
          <w:noProof/>
          <w:spacing w:val="-8"/>
        </w:rPr>
        <w:t xml:space="preserve"> </w:t>
      </w:r>
      <w:r w:rsidR="00146899" w:rsidRPr="005D2D60">
        <w:rPr>
          <w:noProof/>
          <w:spacing w:val="-8"/>
        </w:rPr>
        <w:t>are treated as “single tickets</w:t>
      </w:r>
      <w:r w:rsidR="00D351CB" w:rsidRPr="005D2D60">
        <w:rPr>
          <w:noProof/>
          <w:spacing w:val="-8"/>
        </w:rPr>
        <w:t>”,</w:t>
      </w:r>
      <w:r w:rsidR="00146899" w:rsidRPr="005D2D60">
        <w:rPr>
          <w:noProof/>
          <w:spacing w:val="-8"/>
        </w:rPr>
        <w:t xml:space="preserve"> thereby granting passengers full rights for the entire journey.</w:t>
      </w:r>
      <w:r w:rsidR="00D351CB" w:rsidRPr="005D2D60">
        <w:rPr>
          <w:noProof/>
          <w:spacing w:val="-8"/>
        </w:rPr>
        <w:t xml:space="preserve"> </w:t>
      </w:r>
      <w:r w:rsidR="00750494" w:rsidRPr="00750494">
        <w:rPr>
          <w:noProof/>
          <w:lang w:val="en-IE"/>
        </w:rPr>
        <w:t>This targeted revision is supported by</w:t>
      </w:r>
      <w:r w:rsidR="00154941">
        <w:rPr>
          <w:noProof/>
          <w:lang w:val="en-IE"/>
        </w:rPr>
        <w:t xml:space="preserve"> </w:t>
      </w:r>
      <w:r w:rsidR="4F6B9A05">
        <w:rPr>
          <w:noProof/>
        </w:rPr>
        <w:t>an analytical Staff Working Doc</w:t>
      </w:r>
      <w:r w:rsidR="20DD18C8">
        <w:rPr>
          <w:noProof/>
        </w:rPr>
        <w:t>u</w:t>
      </w:r>
      <w:r w:rsidR="4F6B9A05">
        <w:rPr>
          <w:noProof/>
        </w:rPr>
        <w:t xml:space="preserve">ment </w:t>
      </w:r>
      <w:r w:rsidR="00857A8C">
        <w:rPr>
          <w:noProof/>
        </w:rPr>
        <w:t>which</w:t>
      </w:r>
      <w:r w:rsidR="4F6B9A05">
        <w:rPr>
          <w:noProof/>
        </w:rPr>
        <w:t xml:space="preserve"> update</w:t>
      </w:r>
      <w:r w:rsidR="00857A8C">
        <w:rPr>
          <w:noProof/>
        </w:rPr>
        <w:t>s</w:t>
      </w:r>
      <w:r w:rsidR="4F6B9A05">
        <w:rPr>
          <w:noProof/>
        </w:rPr>
        <w:t xml:space="preserve"> the assessment of impacts </w:t>
      </w:r>
      <w:r w:rsidR="00B03B7B">
        <w:rPr>
          <w:noProof/>
        </w:rPr>
        <w:t xml:space="preserve">from 2017 </w:t>
      </w:r>
      <w:r w:rsidR="4F6B9A05">
        <w:rPr>
          <w:noProof/>
        </w:rPr>
        <w:t xml:space="preserve">of the </w:t>
      </w:r>
      <w:r w:rsidR="5B0210D7">
        <w:rPr>
          <w:noProof/>
        </w:rPr>
        <w:t xml:space="preserve">related </w:t>
      </w:r>
      <w:r w:rsidR="4F6B9A05">
        <w:rPr>
          <w:noProof/>
        </w:rPr>
        <w:t>policy measure</w:t>
      </w:r>
      <w:r w:rsidR="2334526F">
        <w:rPr>
          <w:noProof/>
        </w:rPr>
        <w:t>.</w:t>
      </w:r>
      <w:r w:rsidR="4F6B9A05">
        <w:rPr>
          <w:noProof/>
        </w:rPr>
        <w:t xml:space="preserve"> </w:t>
      </w:r>
      <w:r w:rsidR="0097273E" w:rsidRPr="005D2D60">
        <w:rPr>
          <w:noProof/>
          <w:spacing w:val="-8"/>
        </w:rPr>
        <w:t xml:space="preserve">To maximise </w:t>
      </w:r>
      <w:r w:rsidR="0BBBDCD6" w:rsidRPr="005D2D60">
        <w:rPr>
          <w:noProof/>
        </w:rPr>
        <w:t>the effectiven</w:t>
      </w:r>
      <w:r w:rsidR="294F5E58" w:rsidRPr="005D2D60">
        <w:rPr>
          <w:noProof/>
        </w:rPr>
        <w:t>e</w:t>
      </w:r>
      <w:r w:rsidR="0BBBDCD6" w:rsidRPr="005D2D60">
        <w:rPr>
          <w:noProof/>
        </w:rPr>
        <w:t>ss of both</w:t>
      </w:r>
      <w:r w:rsidR="0097273E" w:rsidRPr="005D2D60">
        <w:rPr>
          <w:noProof/>
        </w:rPr>
        <w:t xml:space="preserve"> initi</w:t>
      </w:r>
      <w:r w:rsidR="0026280B" w:rsidRPr="005D2D60">
        <w:rPr>
          <w:noProof/>
        </w:rPr>
        <w:t>atives</w:t>
      </w:r>
      <w:r w:rsidR="001A54BF" w:rsidRPr="005D2D60">
        <w:rPr>
          <w:noProof/>
        </w:rPr>
        <w:t>,</w:t>
      </w:r>
      <w:r w:rsidR="0026280B" w:rsidRPr="005D2D60">
        <w:rPr>
          <w:noProof/>
        </w:rPr>
        <w:t xml:space="preserve"> </w:t>
      </w:r>
      <w:r w:rsidR="007F02F4" w:rsidRPr="005D2D60">
        <w:rPr>
          <w:noProof/>
        </w:rPr>
        <w:t>SDBTR</w:t>
      </w:r>
      <w:r w:rsidR="00784266" w:rsidRPr="005D2D60">
        <w:rPr>
          <w:noProof/>
        </w:rPr>
        <w:t xml:space="preserve"> will </w:t>
      </w:r>
      <w:r w:rsidR="007F02F4" w:rsidRPr="005D2D60">
        <w:rPr>
          <w:noProof/>
        </w:rPr>
        <w:t xml:space="preserve">ensure that RUs </w:t>
      </w:r>
      <w:r w:rsidR="0026280B" w:rsidRPr="005D2D60">
        <w:rPr>
          <w:noProof/>
        </w:rPr>
        <w:t>can</w:t>
      </w:r>
      <w:r w:rsidR="007F02F4" w:rsidRPr="005D2D60">
        <w:rPr>
          <w:noProof/>
        </w:rPr>
        <w:t xml:space="preserve">not </w:t>
      </w:r>
      <w:r w:rsidR="00B571FC" w:rsidRPr="005D2D60">
        <w:rPr>
          <w:noProof/>
        </w:rPr>
        <w:t>withhold</w:t>
      </w:r>
      <w:r w:rsidR="2F807120" w:rsidRPr="005D2D60">
        <w:rPr>
          <w:noProof/>
        </w:rPr>
        <w:t xml:space="preserve"> platforms </w:t>
      </w:r>
      <w:r w:rsidR="000B61D0" w:rsidRPr="005D2D60">
        <w:rPr>
          <w:noProof/>
        </w:rPr>
        <w:t xml:space="preserve">from </w:t>
      </w:r>
      <w:r w:rsidR="007F02F4" w:rsidRPr="005D2D60">
        <w:rPr>
          <w:noProof/>
        </w:rPr>
        <w:t>combin</w:t>
      </w:r>
      <w:r w:rsidR="00B571FC" w:rsidRPr="005D2D60">
        <w:rPr>
          <w:noProof/>
        </w:rPr>
        <w:t>ing</w:t>
      </w:r>
      <w:r w:rsidR="007F02F4" w:rsidRPr="005D2D60">
        <w:rPr>
          <w:noProof/>
          <w:spacing w:val="-8"/>
        </w:rPr>
        <w:t xml:space="preserve"> </w:t>
      </w:r>
      <w:r w:rsidR="009E6640" w:rsidRPr="005D2D60">
        <w:rPr>
          <w:noProof/>
          <w:spacing w:val="-8"/>
        </w:rPr>
        <w:t xml:space="preserve">their tickets </w:t>
      </w:r>
      <w:r w:rsidR="007F02F4" w:rsidRPr="005D2D60">
        <w:rPr>
          <w:noProof/>
          <w:spacing w:val="-8"/>
        </w:rPr>
        <w:t>into “single tickets”</w:t>
      </w:r>
      <w:r w:rsidR="00A56826" w:rsidRPr="005D2D60">
        <w:rPr>
          <w:noProof/>
          <w:spacing w:val="-8"/>
        </w:rPr>
        <w:t xml:space="preserve">. </w:t>
      </w:r>
      <w:r w:rsidR="00B65858" w:rsidRPr="005D2D60">
        <w:rPr>
          <w:noProof/>
          <w:spacing w:val="-8"/>
        </w:rPr>
        <w:t>T</w:t>
      </w:r>
      <w:r w:rsidR="00A56826" w:rsidRPr="005D2D60">
        <w:rPr>
          <w:noProof/>
          <w:spacing w:val="-8"/>
        </w:rPr>
        <w:t xml:space="preserve">hese complementary </w:t>
      </w:r>
      <w:r w:rsidR="00B65858" w:rsidRPr="005D2D60">
        <w:rPr>
          <w:noProof/>
          <w:spacing w:val="-8"/>
        </w:rPr>
        <w:t>ini</w:t>
      </w:r>
      <w:r w:rsidR="00010A48" w:rsidRPr="005D2D60">
        <w:rPr>
          <w:noProof/>
          <w:spacing w:val="-8"/>
        </w:rPr>
        <w:t xml:space="preserve">tiatives are all expected to </w:t>
      </w:r>
      <w:r w:rsidR="00A56826" w:rsidRPr="005D2D60">
        <w:rPr>
          <w:noProof/>
          <w:spacing w:val="-8"/>
        </w:rPr>
        <w:t xml:space="preserve">strengthen passenger confidence and help </w:t>
      </w:r>
      <w:r w:rsidR="007F02F4" w:rsidRPr="005D2D60">
        <w:rPr>
          <w:noProof/>
          <w:spacing w:val="-8"/>
        </w:rPr>
        <w:t>unlock the potential for a modal shift towards rail</w:t>
      </w:r>
      <w:r w:rsidR="007C1882" w:rsidRPr="005D2D60">
        <w:rPr>
          <w:noProof/>
          <w:spacing w:val="-8"/>
        </w:rPr>
        <w:t>.</w:t>
      </w:r>
    </w:p>
    <w:p w14:paraId="20104007" w14:textId="48C53304" w:rsidR="004F321B" w:rsidRPr="00D71008" w:rsidRDefault="244632EE" w:rsidP="007B2D8E">
      <w:pPr>
        <w:pStyle w:val="Heading2"/>
        <w:keepNext/>
        <w:numPr>
          <w:ilvl w:val="1"/>
          <w:numId w:val="11"/>
        </w:numPr>
        <w:tabs>
          <w:tab w:val="left" w:pos="709"/>
        </w:tabs>
        <w:spacing w:before="240" w:after="240"/>
        <w:ind w:left="1134" w:hanging="708"/>
        <w:rPr>
          <w:noProof/>
        </w:rPr>
      </w:pPr>
      <w:bookmarkStart w:id="7" w:name="_Toc220667470"/>
      <w:bookmarkStart w:id="8" w:name="_Toc223979935"/>
      <w:r w:rsidRPr="00D71008">
        <w:rPr>
          <w:noProof/>
        </w:rPr>
        <w:t>Political context</w:t>
      </w:r>
      <w:bookmarkEnd w:id="7"/>
      <w:bookmarkEnd w:id="8"/>
    </w:p>
    <w:p w14:paraId="34208504" w14:textId="4B268DBB" w:rsidR="005043BA" w:rsidRPr="00142BF3" w:rsidRDefault="004634F8" w:rsidP="25D82EA4">
      <w:pPr>
        <w:pStyle w:val="BodyText"/>
        <w:spacing w:after="240"/>
        <w:ind w:left="0"/>
        <w:rPr>
          <w:b/>
          <w:bCs/>
          <w:noProof/>
        </w:rPr>
      </w:pPr>
      <w:r w:rsidRPr="0077501A">
        <w:rPr>
          <w:noProof/>
          <w:spacing w:val="-8"/>
        </w:rPr>
        <w:t>The</w:t>
      </w:r>
      <w:r w:rsidR="009151A5">
        <w:rPr>
          <w:noProof/>
          <w:spacing w:val="-8"/>
        </w:rPr>
        <w:t>se initiatives</w:t>
      </w:r>
      <w:r w:rsidR="007679E7">
        <w:rPr>
          <w:noProof/>
          <w:spacing w:val="-8"/>
        </w:rPr>
        <w:t xml:space="preserve"> </w:t>
      </w:r>
      <w:r w:rsidR="00145823">
        <w:rPr>
          <w:noProof/>
          <w:spacing w:val="-8"/>
        </w:rPr>
        <w:t xml:space="preserve">aim to </w:t>
      </w:r>
      <w:r w:rsidR="00145823" w:rsidRPr="0077501A">
        <w:rPr>
          <w:noProof/>
          <w:spacing w:val="-8"/>
        </w:rPr>
        <w:t>promo</w:t>
      </w:r>
      <w:r w:rsidR="00145823">
        <w:rPr>
          <w:noProof/>
          <w:spacing w:val="-8"/>
        </w:rPr>
        <w:t>te</w:t>
      </w:r>
      <w:r w:rsidR="00145823" w:rsidRPr="0077501A">
        <w:rPr>
          <w:noProof/>
          <w:spacing w:val="-8"/>
        </w:rPr>
        <w:t xml:space="preserve"> a more multimodal and sustainable transport</w:t>
      </w:r>
      <w:r w:rsidR="00EF4B47">
        <w:rPr>
          <w:noProof/>
          <w:spacing w:val="-8"/>
        </w:rPr>
        <w:t xml:space="preserve"> system</w:t>
      </w:r>
      <w:r w:rsidR="003948C0">
        <w:rPr>
          <w:noProof/>
          <w:spacing w:val="-8"/>
        </w:rPr>
        <w:t xml:space="preserve"> and </w:t>
      </w:r>
      <w:r w:rsidR="003948C0" w:rsidRPr="003948C0">
        <w:rPr>
          <w:noProof/>
          <w:spacing w:val="-8"/>
        </w:rPr>
        <w:t xml:space="preserve">contribute to </w:t>
      </w:r>
      <w:r w:rsidR="003948C0" w:rsidRPr="003948C0">
        <w:rPr>
          <w:b/>
          <w:noProof/>
          <w:spacing w:val="-8"/>
        </w:rPr>
        <w:t>Sustainable Development Goal</w:t>
      </w:r>
      <w:r w:rsidR="00E00C98">
        <w:rPr>
          <w:b/>
          <w:noProof/>
          <w:spacing w:val="-8"/>
        </w:rPr>
        <w:t xml:space="preserve">s </w:t>
      </w:r>
      <w:r w:rsidR="001F41C9" w:rsidRPr="003948C0">
        <w:rPr>
          <w:noProof/>
          <w:spacing w:val="-8"/>
        </w:rPr>
        <w:t>SDG#3 (“</w:t>
      </w:r>
      <w:r w:rsidR="001F41C9" w:rsidRPr="001F41C9">
        <w:rPr>
          <w:noProof/>
          <w:spacing w:val="-8"/>
        </w:rPr>
        <w:t>Ensure healthy lives and promote wellbeing for all at all ages</w:t>
      </w:r>
      <w:r w:rsidR="001F41C9" w:rsidRPr="003948C0">
        <w:rPr>
          <w:noProof/>
          <w:spacing w:val="-8"/>
        </w:rPr>
        <w:t>”)</w:t>
      </w:r>
      <w:r w:rsidR="001F41C9">
        <w:rPr>
          <w:noProof/>
          <w:spacing w:val="-8"/>
        </w:rPr>
        <w:t xml:space="preserve">, </w:t>
      </w:r>
      <w:r w:rsidR="001F41C9" w:rsidRPr="003948C0">
        <w:rPr>
          <w:noProof/>
          <w:spacing w:val="-8"/>
        </w:rPr>
        <w:t>SDG#</w:t>
      </w:r>
      <w:r w:rsidR="001F41C9">
        <w:rPr>
          <w:noProof/>
          <w:spacing w:val="-8"/>
        </w:rPr>
        <w:t>9</w:t>
      </w:r>
      <w:r w:rsidR="001F41C9" w:rsidRPr="003948C0">
        <w:rPr>
          <w:noProof/>
          <w:spacing w:val="-8"/>
        </w:rPr>
        <w:t xml:space="preserve"> (“</w:t>
      </w:r>
      <w:r w:rsidR="001F41C9" w:rsidRPr="005D2D60">
        <w:rPr>
          <w:noProof/>
          <w:spacing w:val="-8"/>
        </w:rPr>
        <w:t>Make cities and human settlements inclusive, safe, resilient and sustainable</w:t>
      </w:r>
      <w:r w:rsidR="001F41C9" w:rsidRPr="003948C0">
        <w:rPr>
          <w:noProof/>
          <w:spacing w:val="-8"/>
        </w:rPr>
        <w:t>”)</w:t>
      </w:r>
      <w:r w:rsidR="001F41C9">
        <w:rPr>
          <w:noProof/>
          <w:spacing w:val="-8"/>
        </w:rPr>
        <w:t xml:space="preserve">, </w:t>
      </w:r>
      <w:r w:rsidR="003948C0" w:rsidRPr="003948C0">
        <w:rPr>
          <w:noProof/>
          <w:spacing w:val="-8"/>
        </w:rPr>
        <w:t>SDG#13 (“Climate Action”).</w:t>
      </w:r>
      <w:r w:rsidR="003948C0">
        <w:rPr>
          <w:noProof/>
          <w:spacing w:val="-8"/>
        </w:rPr>
        <w:t xml:space="preserve"> </w:t>
      </w:r>
      <w:r w:rsidRPr="0077501A">
        <w:rPr>
          <w:noProof/>
          <w:spacing w:val="-8"/>
        </w:rPr>
        <w:t xml:space="preserve">The </w:t>
      </w:r>
      <w:r w:rsidRPr="0077501A">
        <w:rPr>
          <w:b/>
          <w:noProof/>
          <w:spacing w:val="-8"/>
        </w:rPr>
        <w:t>European Green Deal</w:t>
      </w:r>
      <w:r w:rsidRPr="0077501A">
        <w:rPr>
          <w:rStyle w:val="FootnoteReference"/>
          <w:b/>
          <w:noProof/>
          <w:spacing w:val="-8"/>
        </w:rPr>
        <w:footnoteReference w:id="6"/>
      </w:r>
      <w:r w:rsidRPr="0077501A">
        <w:rPr>
          <w:noProof/>
          <w:spacing w:val="-8"/>
        </w:rPr>
        <w:t xml:space="preserve"> set</w:t>
      </w:r>
      <w:r w:rsidR="002579FD">
        <w:rPr>
          <w:noProof/>
          <w:spacing w:val="-8"/>
        </w:rPr>
        <w:t>s</w:t>
      </w:r>
      <w:r w:rsidRPr="0077501A">
        <w:rPr>
          <w:noProof/>
          <w:spacing w:val="-8"/>
        </w:rPr>
        <w:t xml:space="preserve"> a goal of reducing transport-related greenhouse gas </w:t>
      </w:r>
      <w:r w:rsidRPr="0077501A" w:rsidDel="001F2506">
        <w:rPr>
          <w:noProof/>
          <w:spacing w:val="-8"/>
        </w:rPr>
        <w:t>emissions by 90%</w:t>
      </w:r>
      <w:r w:rsidRPr="0077501A">
        <w:rPr>
          <w:noProof/>
          <w:spacing w:val="-8"/>
        </w:rPr>
        <w:t xml:space="preserve"> by 2050</w:t>
      </w:r>
      <w:r w:rsidRPr="0077501A" w:rsidDel="003C4819">
        <w:rPr>
          <w:noProof/>
          <w:spacing w:val="-8"/>
        </w:rPr>
        <w:t>, compared to 1990 levels</w:t>
      </w:r>
      <w:r w:rsidR="00CE2ED7">
        <w:rPr>
          <w:noProof/>
          <w:spacing w:val="-8"/>
        </w:rPr>
        <w:t>,</w:t>
      </w:r>
      <w:r w:rsidR="00886A77" w:rsidRPr="0077501A">
        <w:rPr>
          <w:noProof/>
          <w:spacing w:val="-8"/>
        </w:rPr>
        <w:t xml:space="preserve"> and</w:t>
      </w:r>
      <w:r w:rsidRPr="0077501A">
        <w:rPr>
          <w:noProof/>
          <w:spacing w:val="-8"/>
        </w:rPr>
        <w:t xml:space="preserve"> </w:t>
      </w:r>
      <w:r w:rsidR="00886A77" w:rsidRPr="0077501A">
        <w:rPr>
          <w:noProof/>
          <w:spacing w:val="-8"/>
        </w:rPr>
        <w:t>t</w:t>
      </w:r>
      <w:r w:rsidRPr="0077501A">
        <w:rPr>
          <w:noProof/>
          <w:spacing w:val="-8"/>
        </w:rPr>
        <w:t xml:space="preserve">he </w:t>
      </w:r>
      <w:r w:rsidRPr="0077501A">
        <w:rPr>
          <w:b/>
          <w:noProof/>
          <w:spacing w:val="-8"/>
        </w:rPr>
        <w:t>Sustainable and</w:t>
      </w:r>
      <w:r w:rsidRPr="0077501A">
        <w:rPr>
          <w:noProof/>
          <w:spacing w:val="-8"/>
        </w:rPr>
        <w:t xml:space="preserve"> </w:t>
      </w:r>
      <w:r w:rsidRPr="0077501A">
        <w:rPr>
          <w:b/>
          <w:noProof/>
          <w:spacing w:val="-8"/>
        </w:rPr>
        <w:t>Smart Mobility Strategy (SSMS)</w:t>
      </w:r>
      <w:r w:rsidRPr="0077501A">
        <w:rPr>
          <w:noProof/>
          <w:spacing w:val="-8"/>
        </w:rPr>
        <w:t xml:space="preserve"> </w:t>
      </w:r>
      <w:r w:rsidR="009C1719" w:rsidRPr="0077501A">
        <w:rPr>
          <w:noProof/>
          <w:spacing w:val="-8"/>
        </w:rPr>
        <w:t>refer</w:t>
      </w:r>
      <w:r w:rsidR="009C1719">
        <w:rPr>
          <w:noProof/>
          <w:spacing w:val="-8"/>
        </w:rPr>
        <w:t>s</w:t>
      </w:r>
      <w:r w:rsidR="009C1719" w:rsidRPr="0077501A">
        <w:rPr>
          <w:noProof/>
          <w:spacing w:val="-8"/>
        </w:rPr>
        <w:t xml:space="preserve"> </w:t>
      </w:r>
      <w:r w:rsidRPr="0077501A">
        <w:rPr>
          <w:noProof/>
          <w:spacing w:val="-8"/>
        </w:rPr>
        <w:t xml:space="preserve">to simpler multimodal ticketing and possible regulatory action on </w:t>
      </w:r>
      <w:r w:rsidR="00DC56C3">
        <w:rPr>
          <w:noProof/>
          <w:spacing w:val="-8"/>
        </w:rPr>
        <w:t>multimodal digital mobility services (</w:t>
      </w:r>
      <w:r w:rsidRPr="0077501A">
        <w:rPr>
          <w:noProof/>
          <w:spacing w:val="-8"/>
        </w:rPr>
        <w:t>MDMS</w:t>
      </w:r>
      <w:r w:rsidR="00DC56C3">
        <w:rPr>
          <w:noProof/>
          <w:spacing w:val="-8"/>
        </w:rPr>
        <w:t>)</w:t>
      </w:r>
      <w:r w:rsidR="004F5509" w:rsidRPr="0077501A">
        <w:rPr>
          <w:noProof/>
          <w:spacing w:val="-8"/>
        </w:rPr>
        <w:t xml:space="preserve">, </w:t>
      </w:r>
      <w:r w:rsidR="001E6D99" w:rsidRPr="0077501A">
        <w:rPr>
          <w:noProof/>
          <w:spacing w:val="-8"/>
        </w:rPr>
        <w:t xml:space="preserve">together with an </w:t>
      </w:r>
      <w:r w:rsidR="00951B2D" w:rsidRPr="0077501A">
        <w:rPr>
          <w:noProof/>
          <w:spacing w:val="-8"/>
        </w:rPr>
        <w:t>initiative on ticketing, including rail ticketing</w:t>
      </w:r>
      <w:r w:rsidRPr="0077501A">
        <w:rPr>
          <w:noProof/>
          <w:spacing w:val="-8"/>
        </w:rPr>
        <w:t xml:space="preserve"> (Action 37) as supporting actions</w:t>
      </w:r>
      <w:r w:rsidR="00F27898" w:rsidRPr="0077501A">
        <w:rPr>
          <w:noProof/>
          <w:spacing w:val="-8"/>
        </w:rPr>
        <w:t xml:space="preserve"> to achieve this ambition</w:t>
      </w:r>
      <w:r w:rsidR="00BD4A2F" w:rsidRPr="00BD4A2F">
        <w:rPr>
          <w:b/>
          <w:noProof/>
          <w:spacing w:val="-8"/>
          <w:vertAlign w:val="superscript"/>
          <w:lang w:val="en-IE"/>
        </w:rPr>
        <w:footnoteReference w:id="7"/>
      </w:r>
      <w:r w:rsidR="00DC05B6">
        <w:rPr>
          <w:noProof/>
          <w:spacing w:val="-8"/>
        </w:rPr>
        <w:t>.</w:t>
      </w:r>
    </w:p>
    <w:p w14:paraId="0A96E5E8" w14:textId="20A57C77" w:rsidR="1406472A" w:rsidRPr="003F2156" w:rsidRDefault="61E8B97F" w:rsidP="3F868DAE">
      <w:pPr>
        <w:pStyle w:val="BodyText"/>
        <w:tabs>
          <w:tab w:val="left" w:pos="1134"/>
        </w:tabs>
        <w:spacing w:after="240"/>
        <w:ind w:left="0"/>
        <w:rPr>
          <w:b/>
          <w:bCs/>
          <w:noProof/>
          <w:spacing w:val="-8"/>
        </w:rPr>
      </w:pPr>
      <w:r w:rsidRPr="003F2156">
        <w:rPr>
          <w:b/>
          <w:bCs/>
          <w:noProof/>
          <w:spacing w:val="-8"/>
        </w:rPr>
        <w:t xml:space="preserve">After four legislative </w:t>
      </w:r>
      <w:r w:rsidR="46907FA3" w:rsidRPr="003F2156">
        <w:rPr>
          <w:b/>
          <w:bCs/>
          <w:noProof/>
          <w:spacing w:val="-8"/>
        </w:rPr>
        <w:t xml:space="preserve">railway </w:t>
      </w:r>
      <w:r w:rsidRPr="003F2156">
        <w:rPr>
          <w:b/>
          <w:bCs/>
          <w:noProof/>
          <w:spacing w:val="-8"/>
        </w:rPr>
        <w:t>packages, the Single European Rail Area has been opened to competi</w:t>
      </w:r>
      <w:r w:rsidR="55AB2790" w:rsidRPr="003F2156">
        <w:rPr>
          <w:b/>
          <w:bCs/>
          <w:noProof/>
          <w:spacing w:val="-8"/>
        </w:rPr>
        <w:t>ti</w:t>
      </w:r>
      <w:r w:rsidRPr="003F2156">
        <w:rPr>
          <w:b/>
          <w:bCs/>
          <w:noProof/>
          <w:spacing w:val="-8"/>
        </w:rPr>
        <w:t>on</w:t>
      </w:r>
      <w:r w:rsidR="00A34B3A" w:rsidRPr="003F2156">
        <w:rPr>
          <w:noProof/>
          <w:spacing w:val="-8"/>
        </w:rPr>
        <w:t>,</w:t>
      </w:r>
      <w:r w:rsidR="724CF1E3" w:rsidRPr="003F2156">
        <w:rPr>
          <w:noProof/>
          <w:spacing w:val="-8"/>
        </w:rPr>
        <w:t xml:space="preserve"> </w:t>
      </w:r>
      <w:r w:rsidR="00A34B3A" w:rsidRPr="003F2156">
        <w:rPr>
          <w:noProof/>
          <w:spacing w:val="-8"/>
        </w:rPr>
        <w:t>resulting</w:t>
      </w:r>
      <w:r w:rsidR="724CF1E3" w:rsidRPr="003F2156">
        <w:rPr>
          <w:noProof/>
          <w:spacing w:val="-8"/>
        </w:rPr>
        <w:t xml:space="preserve"> in a</w:t>
      </w:r>
      <w:r w:rsidR="75D7BBED" w:rsidRPr="003F2156">
        <w:rPr>
          <w:noProof/>
          <w:spacing w:val="-8"/>
        </w:rPr>
        <w:t xml:space="preserve"> more diverse</w:t>
      </w:r>
      <w:r w:rsidR="1BB24D67" w:rsidRPr="003F2156">
        <w:rPr>
          <w:noProof/>
          <w:spacing w:val="-8"/>
        </w:rPr>
        <w:t xml:space="preserve">, </w:t>
      </w:r>
      <w:r w:rsidR="724CF1E3" w:rsidRPr="003F2156">
        <w:rPr>
          <w:noProof/>
          <w:spacing w:val="-8"/>
        </w:rPr>
        <w:t xml:space="preserve">improved </w:t>
      </w:r>
      <w:r w:rsidR="6A9E3EB4" w:rsidRPr="003F2156">
        <w:rPr>
          <w:noProof/>
          <w:spacing w:val="-8"/>
        </w:rPr>
        <w:t>and more affordable</w:t>
      </w:r>
      <w:r w:rsidR="724CF1E3" w:rsidRPr="003F2156">
        <w:rPr>
          <w:noProof/>
          <w:spacing w:val="-8"/>
        </w:rPr>
        <w:t xml:space="preserve"> offer to passengers</w:t>
      </w:r>
      <w:r w:rsidR="4A333F34" w:rsidRPr="003F2156">
        <w:rPr>
          <w:noProof/>
          <w:spacing w:val="-8"/>
          <w:vertAlign w:val="superscript"/>
        </w:rPr>
        <w:footnoteReference w:id="8"/>
      </w:r>
      <w:r w:rsidR="002304B0">
        <w:rPr>
          <w:noProof/>
          <w:spacing w:val="-8"/>
        </w:rPr>
        <w:t>.</w:t>
      </w:r>
      <w:r w:rsidR="061ABA4F" w:rsidRPr="003F2156">
        <w:rPr>
          <w:noProof/>
          <w:spacing w:val="-8"/>
        </w:rPr>
        <w:t xml:space="preserve"> </w:t>
      </w:r>
      <w:r w:rsidR="03A06C1B" w:rsidRPr="003F2156">
        <w:rPr>
          <w:noProof/>
          <w:spacing w:val="-8"/>
        </w:rPr>
        <w:t>In 2024, passenger rail km gre</w:t>
      </w:r>
      <w:r w:rsidR="687C3192" w:rsidRPr="003F2156">
        <w:rPr>
          <w:noProof/>
          <w:spacing w:val="-8"/>
        </w:rPr>
        <w:t>w</w:t>
      </w:r>
      <w:r w:rsidR="03A06C1B" w:rsidRPr="003F2156">
        <w:rPr>
          <w:noProof/>
          <w:spacing w:val="-8"/>
        </w:rPr>
        <w:t xml:space="preserve"> by 5.8%, driven by strong consumer demand and the launch of new services, inc</w:t>
      </w:r>
      <w:r w:rsidR="06365AD7" w:rsidRPr="003F2156">
        <w:rPr>
          <w:noProof/>
          <w:spacing w:val="-8"/>
        </w:rPr>
        <w:t xml:space="preserve">luding by new entrants. </w:t>
      </w:r>
      <w:r w:rsidR="59C66E33" w:rsidRPr="003F2156">
        <w:rPr>
          <w:noProof/>
          <w:spacing w:val="-8"/>
        </w:rPr>
        <w:t>However, w</w:t>
      </w:r>
      <w:r w:rsidR="11C335D2" w:rsidRPr="003F2156">
        <w:rPr>
          <w:noProof/>
          <w:spacing w:val="-8"/>
        </w:rPr>
        <w:t>hilst</w:t>
      </w:r>
      <w:r w:rsidR="7902A591" w:rsidRPr="003F2156">
        <w:rPr>
          <w:noProof/>
          <w:spacing w:val="-8"/>
        </w:rPr>
        <w:t xml:space="preserve"> significant progress has been made on other </w:t>
      </w:r>
      <w:r w:rsidR="7643B78D" w:rsidRPr="003F2156">
        <w:rPr>
          <w:noProof/>
          <w:spacing w:val="-8"/>
        </w:rPr>
        <w:t>fundamental</w:t>
      </w:r>
      <w:r w:rsidR="7902A591" w:rsidRPr="003F2156">
        <w:rPr>
          <w:noProof/>
          <w:spacing w:val="-8"/>
        </w:rPr>
        <w:t xml:space="preserve"> elements of the Single European Railway</w:t>
      </w:r>
      <w:r w:rsidR="7C5236B9" w:rsidRPr="003F2156">
        <w:rPr>
          <w:noProof/>
          <w:spacing w:val="-8"/>
        </w:rPr>
        <w:t xml:space="preserve"> Area, such as common infrastructure development, i</w:t>
      </w:r>
      <w:r w:rsidR="244133F8" w:rsidRPr="003F2156">
        <w:rPr>
          <w:noProof/>
          <w:spacing w:val="-8"/>
        </w:rPr>
        <w:t xml:space="preserve">mproved </w:t>
      </w:r>
      <w:r w:rsidR="7C5236B9" w:rsidRPr="003F2156">
        <w:rPr>
          <w:noProof/>
          <w:spacing w:val="-8"/>
        </w:rPr>
        <w:t>interoperability</w:t>
      </w:r>
      <w:r w:rsidR="3DC50265" w:rsidRPr="003F2156">
        <w:rPr>
          <w:noProof/>
          <w:spacing w:val="-8"/>
        </w:rPr>
        <w:t xml:space="preserve"> and capacity management</w:t>
      </w:r>
      <w:r w:rsidR="022BC0DC" w:rsidRPr="003F2156">
        <w:rPr>
          <w:noProof/>
          <w:spacing w:val="-8"/>
        </w:rPr>
        <w:t xml:space="preserve">, </w:t>
      </w:r>
      <w:r w:rsidR="3E2AF247" w:rsidRPr="003F2156">
        <w:rPr>
          <w:noProof/>
          <w:spacing w:val="-8"/>
        </w:rPr>
        <w:t xml:space="preserve">rail </w:t>
      </w:r>
      <w:r w:rsidR="022BC0DC" w:rsidRPr="003F2156">
        <w:rPr>
          <w:noProof/>
          <w:spacing w:val="-8"/>
        </w:rPr>
        <w:t>ticketing remains a significant structural weaknes</w:t>
      </w:r>
      <w:r w:rsidR="022BC0DC" w:rsidRPr="003F2156">
        <w:rPr>
          <w:noProof/>
          <w:color w:val="000000" w:themeColor="text1"/>
          <w:spacing w:val="-8"/>
        </w:rPr>
        <w:t>s.</w:t>
      </w:r>
      <w:r w:rsidR="7902A591" w:rsidRPr="003F2156">
        <w:rPr>
          <w:noProof/>
          <w:spacing w:val="-8"/>
        </w:rPr>
        <w:t xml:space="preserve"> </w:t>
      </w:r>
      <w:r w:rsidR="132B23A0" w:rsidRPr="003F2156">
        <w:rPr>
          <w:noProof/>
          <w:spacing w:val="-8"/>
        </w:rPr>
        <w:t xml:space="preserve">The digital revolution in retail, experienced in other sectors (hotels, flights) has not materialised for rail. </w:t>
      </w:r>
      <w:r w:rsidR="4DD96BD7" w:rsidRPr="003F2156">
        <w:rPr>
          <w:noProof/>
          <w:spacing w:val="-8"/>
        </w:rPr>
        <w:t>I</w:t>
      </w:r>
      <w:r w:rsidR="50A1C48A" w:rsidRPr="003F2156">
        <w:rPr>
          <w:noProof/>
          <w:color w:val="000000" w:themeColor="text1"/>
          <w:spacing w:val="-8"/>
        </w:rPr>
        <w:t>ncumbent</w:t>
      </w:r>
      <w:r w:rsidR="5CFEC48F" w:rsidRPr="003F2156">
        <w:rPr>
          <w:noProof/>
          <w:color w:val="000000" w:themeColor="text1"/>
          <w:spacing w:val="-8"/>
        </w:rPr>
        <w:t xml:space="preserve"> companies</w:t>
      </w:r>
      <w:r w:rsidR="5C7B1118" w:rsidRPr="003F2156">
        <w:rPr>
          <w:noProof/>
          <w:color w:val="000000" w:themeColor="text1"/>
          <w:spacing w:val="-8"/>
        </w:rPr>
        <w:t xml:space="preserve"> act as gatekeepers</w:t>
      </w:r>
      <w:r w:rsidR="33C47D82" w:rsidRPr="003F2156">
        <w:rPr>
          <w:noProof/>
          <w:color w:val="000000" w:themeColor="text1"/>
          <w:spacing w:val="-8"/>
        </w:rPr>
        <w:t>, who</w:t>
      </w:r>
      <w:r w:rsidR="5CFEC48F" w:rsidRPr="003F2156">
        <w:rPr>
          <w:noProof/>
          <w:color w:val="000000" w:themeColor="text1"/>
          <w:spacing w:val="-8"/>
        </w:rPr>
        <w:t xml:space="preserve"> operate the vast majority of services</w:t>
      </w:r>
      <w:r w:rsidR="2F0E8277" w:rsidRPr="003F2156">
        <w:rPr>
          <w:noProof/>
          <w:color w:val="000000" w:themeColor="text1"/>
          <w:spacing w:val="-8"/>
        </w:rPr>
        <w:t xml:space="preserve"> while</w:t>
      </w:r>
      <w:r w:rsidR="5CFEC48F" w:rsidRPr="003F2156">
        <w:rPr>
          <w:noProof/>
          <w:color w:val="000000" w:themeColor="text1"/>
          <w:spacing w:val="-8"/>
        </w:rPr>
        <w:t xml:space="preserve"> also own</w:t>
      </w:r>
      <w:r w:rsidR="6C2BC674" w:rsidRPr="003F2156">
        <w:rPr>
          <w:noProof/>
          <w:color w:val="000000" w:themeColor="text1"/>
          <w:spacing w:val="-8"/>
        </w:rPr>
        <w:t>ing</w:t>
      </w:r>
      <w:r w:rsidR="5CFEC48F" w:rsidRPr="003F2156">
        <w:rPr>
          <w:noProof/>
          <w:color w:val="000000" w:themeColor="text1"/>
          <w:spacing w:val="-8"/>
        </w:rPr>
        <w:t xml:space="preserve"> the established ticket platforms</w:t>
      </w:r>
      <w:r w:rsidR="1587BF3C" w:rsidRPr="003F2156">
        <w:rPr>
          <w:noProof/>
          <w:color w:val="000000" w:themeColor="text1"/>
          <w:spacing w:val="-8"/>
        </w:rPr>
        <w:t>. They</w:t>
      </w:r>
      <w:r w:rsidR="4F875C90" w:rsidRPr="003F2156" w:rsidDel="5BF5CFA4">
        <w:rPr>
          <w:noProof/>
          <w:color w:val="000000" w:themeColor="text1"/>
          <w:spacing w:val="-8"/>
        </w:rPr>
        <w:t xml:space="preserve"> </w:t>
      </w:r>
      <w:r w:rsidR="5BF5CFA4" w:rsidRPr="003F2156">
        <w:rPr>
          <w:noProof/>
          <w:color w:val="000000" w:themeColor="text1"/>
          <w:spacing w:val="-8"/>
        </w:rPr>
        <w:t xml:space="preserve">can </w:t>
      </w:r>
      <w:r w:rsidR="6FD8EF4A" w:rsidRPr="003F2156">
        <w:rPr>
          <w:noProof/>
          <w:color w:val="000000" w:themeColor="text1"/>
          <w:spacing w:val="-8"/>
        </w:rPr>
        <w:t>leverage incumbency to</w:t>
      </w:r>
      <w:r w:rsidR="5BF5CFA4" w:rsidRPr="003F2156">
        <w:rPr>
          <w:noProof/>
          <w:color w:val="000000" w:themeColor="text1"/>
          <w:spacing w:val="-8"/>
        </w:rPr>
        <w:t xml:space="preserve"> disadvantage competing platforms by</w:t>
      </w:r>
      <w:r w:rsidR="4CB1C31D" w:rsidRPr="003F2156">
        <w:rPr>
          <w:noProof/>
          <w:color w:val="000000" w:themeColor="text1"/>
          <w:spacing w:val="-8"/>
        </w:rPr>
        <w:t xml:space="preserve"> sharing data and offers</w:t>
      </w:r>
      <w:r w:rsidR="7FC7C1B0" w:rsidRPr="003F2156">
        <w:rPr>
          <w:noProof/>
          <w:color w:val="000000" w:themeColor="text1"/>
          <w:spacing w:val="-8"/>
        </w:rPr>
        <w:t xml:space="preserve"> selectively and </w:t>
      </w:r>
      <w:r w:rsidR="0077601E" w:rsidRPr="003F2156">
        <w:rPr>
          <w:noProof/>
          <w:color w:val="000000" w:themeColor="text1"/>
          <w:spacing w:val="-8"/>
        </w:rPr>
        <w:t xml:space="preserve">exclude </w:t>
      </w:r>
      <w:r w:rsidR="7FC7C1B0" w:rsidRPr="003F2156">
        <w:rPr>
          <w:noProof/>
          <w:color w:val="000000" w:themeColor="text1"/>
          <w:spacing w:val="-8"/>
        </w:rPr>
        <w:t xml:space="preserve">competing operators by refusing to sell their tickets on </w:t>
      </w:r>
      <w:r w:rsidR="561C471C" w:rsidRPr="003F2156">
        <w:rPr>
          <w:noProof/>
          <w:color w:val="000000" w:themeColor="text1"/>
          <w:spacing w:val="-8"/>
        </w:rPr>
        <w:t>the m</w:t>
      </w:r>
      <w:r w:rsidR="227E53EA" w:rsidRPr="003F2156">
        <w:rPr>
          <w:noProof/>
          <w:color w:val="000000" w:themeColor="text1"/>
          <w:spacing w:val="-8"/>
        </w:rPr>
        <w:t>ain</w:t>
      </w:r>
      <w:r w:rsidR="7FC7C1B0" w:rsidRPr="003F2156">
        <w:rPr>
          <w:noProof/>
          <w:color w:val="000000" w:themeColor="text1"/>
          <w:spacing w:val="-8"/>
        </w:rPr>
        <w:t xml:space="preserve"> platform. </w:t>
      </w:r>
      <w:r w:rsidR="42B989CD" w:rsidRPr="003F2156">
        <w:rPr>
          <w:noProof/>
          <w:color w:val="000000" w:themeColor="text1"/>
          <w:spacing w:val="-8"/>
        </w:rPr>
        <w:t xml:space="preserve">This situation </w:t>
      </w:r>
      <w:r w:rsidR="334F291F" w:rsidRPr="003F2156">
        <w:rPr>
          <w:noProof/>
          <w:color w:val="000000" w:themeColor="text1"/>
          <w:spacing w:val="-8"/>
        </w:rPr>
        <w:t>limits</w:t>
      </w:r>
      <w:r w:rsidR="4CB1C31D" w:rsidRPr="003F2156">
        <w:rPr>
          <w:noProof/>
          <w:color w:val="000000" w:themeColor="text1"/>
          <w:spacing w:val="-8"/>
        </w:rPr>
        <w:t xml:space="preserve"> price transparency </w:t>
      </w:r>
      <w:r w:rsidR="0D08E425" w:rsidRPr="003F2156">
        <w:rPr>
          <w:noProof/>
          <w:color w:val="000000" w:themeColor="text1"/>
          <w:spacing w:val="-8"/>
        </w:rPr>
        <w:t xml:space="preserve">and </w:t>
      </w:r>
      <w:r w:rsidR="435AA29C" w:rsidRPr="003F2156">
        <w:rPr>
          <w:noProof/>
          <w:color w:val="000000" w:themeColor="text1"/>
          <w:spacing w:val="-8"/>
        </w:rPr>
        <w:t xml:space="preserve">makes </w:t>
      </w:r>
      <w:r w:rsidR="4C807A06" w:rsidRPr="003F2156">
        <w:rPr>
          <w:noProof/>
          <w:color w:val="000000" w:themeColor="text1"/>
          <w:spacing w:val="-8"/>
        </w:rPr>
        <w:t>new operators</w:t>
      </w:r>
      <w:r w:rsidR="435AA29C" w:rsidRPr="003F2156">
        <w:rPr>
          <w:noProof/>
          <w:color w:val="000000" w:themeColor="text1"/>
          <w:spacing w:val="-8"/>
        </w:rPr>
        <w:t xml:space="preserve"> commercially invisible, </w:t>
      </w:r>
      <w:r w:rsidR="435AA29C" w:rsidRPr="003F2156">
        <w:rPr>
          <w:noProof/>
          <w:spacing w:val="-8"/>
        </w:rPr>
        <w:t>undermining the business case for new rail services that would drive affordability and induce a modal shift.</w:t>
      </w:r>
      <w:r w:rsidR="00C56DCB" w:rsidRPr="003F2156">
        <w:rPr>
          <w:noProof/>
          <w:spacing w:val="-8"/>
        </w:rPr>
        <w:t xml:space="preserve"> </w:t>
      </w:r>
      <w:r w:rsidR="41E771D9" w:rsidRPr="003F2156">
        <w:rPr>
          <w:noProof/>
          <w:color w:val="000000" w:themeColor="text1"/>
          <w:spacing w:val="-8"/>
        </w:rPr>
        <w:t>For new operators, ticket distribution is key to reaching customers.</w:t>
      </w:r>
    </w:p>
    <w:p w14:paraId="47D8362D" w14:textId="29327C39" w:rsidR="1406472A" w:rsidRPr="003F2156" w:rsidRDefault="7B6455D0" w:rsidP="0D8A4858">
      <w:pPr>
        <w:pStyle w:val="BodyText"/>
        <w:tabs>
          <w:tab w:val="left" w:pos="1134"/>
        </w:tabs>
        <w:spacing w:after="240"/>
        <w:ind w:left="0"/>
        <w:rPr>
          <w:b/>
          <w:noProof/>
          <w:spacing w:val="-8"/>
        </w:rPr>
      </w:pPr>
      <w:r w:rsidRPr="003F2156">
        <w:rPr>
          <w:noProof/>
          <w:spacing w:val="-8"/>
        </w:rPr>
        <w:t>Directive 2012/34/EU</w:t>
      </w:r>
      <w:r w:rsidR="61E8B97F" w:rsidRPr="003F2156">
        <w:rPr>
          <w:noProof/>
          <w:spacing w:val="-8"/>
          <w:vertAlign w:val="superscript"/>
        </w:rPr>
        <w:footnoteReference w:id="9"/>
      </w:r>
      <w:r w:rsidRPr="003F2156">
        <w:rPr>
          <w:noProof/>
          <w:spacing w:val="-8"/>
        </w:rPr>
        <w:t xml:space="preserve"> recognised the importance of market-developed common information and through-ticketing systems</w:t>
      </w:r>
      <w:r w:rsidR="61E8B97F" w:rsidRPr="003F2156">
        <w:rPr>
          <w:rStyle w:val="FootnoteReference"/>
          <w:noProof/>
          <w:spacing w:val="-8"/>
        </w:rPr>
        <w:footnoteReference w:id="10"/>
      </w:r>
      <w:r w:rsidRPr="003F2156">
        <w:rPr>
          <w:noProof/>
          <w:spacing w:val="-8"/>
        </w:rPr>
        <w:t xml:space="preserve"> , which should be interoperable and non-discriminatory and enable passengers to plan journeys and book tickets across the EU.</w:t>
      </w:r>
      <w:r w:rsidR="00492F8C" w:rsidRPr="003F2156">
        <w:rPr>
          <w:noProof/>
          <w:spacing w:val="-8"/>
        </w:rPr>
        <w:t xml:space="preserve"> </w:t>
      </w:r>
      <w:r w:rsidR="4A333F34" w:rsidRPr="003F2156">
        <w:rPr>
          <w:noProof/>
          <w:spacing w:val="-8"/>
        </w:rPr>
        <w:t xml:space="preserve">Improving rail ticketing is also highlighted </w:t>
      </w:r>
      <w:r w:rsidR="35E08988" w:rsidRPr="003F2156">
        <w:rPr>
          <w:noProof/>
          <w:spacing w:val="-8"/>
        </w:rPr>
        <w:t>as a priority</w:t>
      </w:r>
      <w:r w:rsidR="4A333F34" w:rsidRPr="003F2156">
        <w:rPr>
          <w:noProof/>
          <w:spacing w:val="-8"/>
        </w:rPr>
        <w:t xml:space="preserve"> in the </w:t>
      </w:r>
      <w:r w:rsidR="4A333F34" w:rsidRPr="003F2156">
        <w:rPr>
          <w:b/>
          <w:bCs/>
          <w:noProof/>
          <w:spacing w:val="-8"/>
        </w:rPr>
        <w:t>Communication on connecting Europe through high-speed rail</w:t>
      </w:r>
      <w:r w:rsidR="1406472A" w:rsidRPr="003F2156">
        <w:rPr>
          <w:b/>
          <w:bCs/>
          <w:noProof/>
          <w:spacing w:val="-8"/>
          <w:vertAlign w:val="superscript"/>
        </w:rPr>
        <w:footnoteReference w:id="11"/>
      </w:r>
      <w:r w:rsidR="4A333F34" w:rsidRPr="003F2156">
        <w:rPr>
          <w:noProof/>
          <w:spacing w:val="-8"/>
        </w:rPr>
        <w:t xml:space="preserve"> and the </w:t>
      </w:r>
      <w:r w:rsidR="4A333F34" w:rsidRPr="003F2156">
        <w:rPr>
          <w:b/>
          <w:bCs/>
          <w:noProof/>
          <w:spacing w:val="-8"/>
        </w:rPr>
        <w:t>Action plan to boost long-distance and cross-border passenger rail</w:t>
      </w:r>
      <w:r w:rsidR="1406472A" w:rsidRPr="003F2156">
        <w:rPr>
          <w:b/>
          <w:bCs/>
          <w:noProof/>
          <w:spacing w:val="-8"/>
          <w:vertAlign w:val="superscript"/>
        </w:rPr>
        <w:footnoteReference w:id="12"/>
      </w:r>
      <w:r w:rsidR="4A333F34" w:rsidRPr="003F2156">
        <w:rPr>
          <w:noProof/>
          <w:spacing w:val="-8"/>
        </w:rPr>
        <w:t>.</w:t>
      </w:r>
    </w:p>
    <w:p w14:paraId="034A1777" w14:textId="75B9DD70" w:rsidR="00EB652F" w:rsidRPr="0077501A" w:rsidRDefault="008071A5" w:rsidP="00EB652F">
      <w:pPr>
        <w:pStyle w:val="BodyText"/>
        <w:spacing w:after="240"/>
        <w:ind w:left="0"/>
        <w:rPr>
          <w:noProof/>
          <w:spacing w:val="-8"/>
        </w:rPr>
      </w:pPr>
      <w:r>
        <w:rPr>
          <w:noProof/>
          <w:spacing w:val="-8"/>
        </w:rPr>
        <w:t>T</w:t>
      </w:r>
      <w:r w:rsidR="00247767" w:rsidRPr="0077501A">
        <w:rPr>
          <w:noProof/>
          <w:spacing w:val="-8"/>
        </w:rPr>
        <w:t xml:space="preserve">he Council </w:t>
      </w:r>
      <w:r w:rsidR="009E412A">
        <w:rPr>
          <w:noProof/>
          <w:spacing w:val="-8"/>
        </w:rPr>
        <w:t xml:space="preserve">also </w:t>
      </w:r>
      <w:r w:rsidR="00247767" w:rsidRPr="0077501A">
        <w:rPr>
          <w:noProof/>
          <w:spacing w:val="-8"/>
        </w:rPr>
        <w:t>underline</w:t>
      </w:r>
      <w:r w:rsidR="009C1719">
        <w:rPr>
          <w:noProof/>
          <w:spacing w:val="-8"/>
        </w:rPr>
        <w:t>s</w:t>
      </w:r>
      <w:r w:rsidR="00247767" w:rsidRPr="0077501A">
        <w:rPr>
          <w:noProof/>
          <w:spacing w:val="-8"/>
        </w:rPr>
        <w:t xml:space="preserve"> digitalisation as a key driving force to EU transport competitiveness and stresse</w:t>
      </w:r>
      <w:r w:rsidR="009C1719">
        <w:rPr>
          <w:noProof/>
          <w:spacing w:val="-8"/>
        </w:rPr>
        <w:t>s</w:t>
      </w:r>
      <w:r w:rsidR="00247767" w:rsidRPr="0077501A">
        <w:rPr>
          <w:noProof/>
          <w:spacing w:val="-8"/>
        </w:rPr>
        <w:t xml:space="preserve"> that multimodality depends on interoperable travel information, ticketing and payment systems</w:t>
      </w:r>
      <w:r w:rsidRPr="008071A5">
        <w:rPr>
          <w:noProof/>
          <w:spacing w:val="-8"/>
          <w:vertAlign w:val="superscript"/>
        </w:rPr>
        <w:footnoteReference w:id="13"/>
      </w:r>
      <w:r w:rsidR="004A3EF3">
        <w:rPr>
          <w:noProof/>
          <w:spacing w:val="-8"/>
        </w:rPr>
        <w:t>.</w:t>
      </w:r>
      <w:r w:rsidR="00247767" w:rsidRPr="0077501A">
        <w:rPr>
          <w:noProof/>
          <w:spacing w:val="-8"/>
        </w:rPr>
        <w:t xml:space="preserve"> </w:t>
      </w:r>
      <w:r w:rsidR="00055671">
        <w:rPr>
          <w:noProof/>
          <w:spacing w:val="-8"/>
        </w:rPr>
        <w:t>T</w:t>
      </w:r>
      <w:r w:rsidR="00884E87">
        <w:rPr>
          <w:noProof/>
          <w:spacing w:val="-8"/>
        </w:rPr>
        <w:t>he</w:t>
      </w:r>
      <w:r w:rsidR="00EB652F" w:rsidRPr="0077501A">
        <w:rPr>
          <w:noProof/>
          <w:spacing w:val="-8"/>
        </w:rPr>
        <w:t xml:space="preserve"> </w:t>
      </w:r>
      <w:r w:rsidR="00EB652F" w:rsidRPr="0077501A">
        <w:rPr>
          <w:b/>
          <w:noProof/>
          <w:spacing w:val="-8"/>
        </w:rPr>
        <w:t>Letta Report on the Future of the Single Market</w:t>
      </w:r>
      <w:r w:rsidR="00EB652F" w:rsidRPr="0077501A">
        <w:rPr>
          <w:rStyle w:val="FootnoteReference"/>
          <w:noProof/>
          <w:spacing w:val="-8"/>
        </w:rPr>
        <w:footnoteReference w:id="14"/>
      </w:r>
      <w:r w:rsidR="00EB652F" w:rsidRPr="0077501A">
        <w:rPr>
          <w:noProof/>
          <w:spacing w:val="-8"/>
        </w:rPr>
        <w:t xml:space="preserve"> highlights that </w:t>
      </w:r>
      <w:r w:rsidR="00EE6816">
        <w:rPr>
          <w:noProof/>
          <w:spacing w:val="-8"/>
        </w:rPr>
        <w:t>“</w:t>
      </w:r>
      <w:r w:rsidR="00EB652F" w:rsidRPr="0077501A">
        <w:rPr>
          <w:i/>
          <w:noProof/>
          <w:spacing w:val="-8"/>
        </w:rPr>
        <w:t>to facilitate new entrants' access to service facilities and ensure fair competition in the railway sector, especially in relation to ticket vending, there is a pressing need for an EU-wide, integrated, multimodal information, ticketing, and payment services framework. In that field, significant advancements in developing interoperable and non-discriminatory sector-led initiatives are still ongoing, while a conducive regulatory environment for such services is still lacking</w:t>
      </w:r>
      <w:r w:rsidR="00EE6816">
        <w:rPr>
          <w:i/>
          <w:noProof/>
          <w:spacing w:val="-8"/>
        </w:rPr>
        <w:t>”</w:t>
      </w:r>
      <w:r w:rsidR="00EB652F" w:rsidRPr="0077501A">
        <w:rPr>
          <w:noProof/>
          <w:spacing w:val="-8"/>
        </w:rPr>
        <w:t xml:space="preserve">. The </w:t>
      </w:r>
      <w:r w:rsidR="00EB652F" w:rsidRPr="0077501A">
        <w:rPr>
          <w:b/>
          <w:noProof/>
          <w:spacing w:val="-8"/>
        </w:rPr>
        <w:t>Draghi Report on the Future of European Competitiveness</w:t>
      </w:r>
      <w:r w:rsidR="00EB652F" w:rsidRPr="0077501A">
        <w:rPr>
          <w:rStyle w:val="FootnoteReference"/>
          <w:noProof/>
          <w:spacing w:val="-8"/>
        </w:rPr>
        <w:footnoteReference w:id="15"/>
      </w:r>
      <w:r w:rsidR="00EB652F" w:rsidRPr="0077501A">
        <w:rPr>
          <w:noProof/>
          <w:spacing w:val="-8"/>
        </w:rPr>
        <w:t xml:space="preserve"> </w:t>
      </w:r>
      <w:r w:rsidR="002579FD">
        <w:rPr>
          <w:noProof/>
          <w:spacing w:val="-8"/>
        </w:rPr>
        <w:t>also</w:t>
      </w:r>
      <w:r w:rsidR="00EB652F" w:rsidRPr="0077501A">
        <w:rPr>
          <w:noProof/>
          <w:spacing w:val="-8"/>
        </w:rPr>
        <w:t xml:space="preserve"> states that </w:t>
      </w:r>
      <w:r w:rsidR="00DE1DBE">
        <w:rPr>
          <w:noProof/>
          <w:spacing w:val="-8"/>
        </w:rPr>
        <w:t>“</w:t>
      </w:r>
      <w:r w:rsidR="00EB652F" w:rsidRPr="0077501A">
        <w:rPr>
          <w:i/>
          <w:noProof/>
          <w:spacing w:val="-8"/>
        </w:rPr>
        <w:t>market barriers remain for new entrants who in some cases face high track access charges and difficulties in accessing equipment and ticketing systems. This weakens the ability of providers to scale up and operate across borders</w:t>
      </w:r>
      <w:r w:rsidR="00DE1DBE">
        <w:rPr>
          <w:i/>
          <w:noProof/>
          <w:spacing w:val="-8"/>
        </w:rPr>
        <w:t>”</w:t>
      </w:r>
      <w:r w:rsidR="00EB652F" w:rsidRPr="0077501A">
        <w:rPr>
          <w:noProof/>
          <w:spacing w:val="-8"/>
        </w:rPr>
        <w:t>.</w:t>
      </w:r>
    </w:p>
    <w:p w14:paraId="76F2F137" w14:textId="4637CB51" w:rsidR="00712390" w:rsidRPr="00D71008" w:rsidRDefault="2471901C" w:rsidP="007B2D8E">
      <w:pPr>
        <w:pStyle w:val="Heading2"/>
        <w:keepNext/>
        <w:numPr>
          <w:ilvl w:val="1"/>
          <w:numId w:val="11"/>
        </w:numPr>
        <w:tabs>
          <w:tab w:val="left" w:pos="709"/>
        </w:tabs>
        <w:spacing w:before="240" w:after="240"/>
        <w:ind w:left="1134" w:hanging="708"/>
        <w:rPr>
          <w:noProof/>
        </w:rPr>
      </w:pPr>
      <w:bookmarkStart w:id="9" w:name="1.2_Legal_context"/>
      <w:bookmarkStart w:id="10" w:name="_Toc220667471"/>
      <w:bookmarkStart w:id="11" w:name="_Toc223979936"/>
      <w:bookmarkEnd w:id="9"/>
      <w:r w:rsidRPr="00D71008">
        <w:rPr>
          <w:noProof/>
        </w:rPr>
        <w:t>Legal context</w:t>
      </w:r>
      <w:bookmarkEnd w:id="10"/>
      <w:bookmarkEnd w:id="11"/>
    </w:p>
    <w:p w14:paraId="57956F02" w14:textId="6F9F9986" w:rsidR="00E0337E" w:rsidRDefault="002641BE" w:rsidP="00D42CC9">
      <w:pPr>
        <w:pStyle w:val="BodyText"/>
        <w:spacing w:after="240"/>
        <w:ind w:left="0"/>
        <w:rPr>
          <w:noProof/>
          <w:spacing w:val="-8"/>
        </w:rPr>
      </w:pPr>
      <w:r w:rsidRPr="0077501A">
        <w:rPr>
          <w:b/>
          <w:noProof/>
          <w:spacing w:val="-8"/>
        </w:rPr>
        <w:t>Article 102 of the Treaty on the Functioning of the European Union (TFEU)</w:t>
      </w:r>
      <w:r w:rsidRPr="0077501A">
        <w:rPr>
          <w:noProof/>
          <w:spacing w:val="-8"/>
        </w:rPr>
        <w:t xml:space="preserve"> prohibits abuse of dominan</w:t>
      </w:r>
      <w:r>
        <w:rPr>
          <w:noProof/>
          <w:spacing w:val="-8"/>
        </w:rPr>
        <w:t>ce</w:t>
      </w:r>
      <w:r w:rsidRPr="0077501A">
        <w:rPr>
          <w:noProof/>
          <w:spacing w:val="-8"/>
        </w:rPr>
        <w:t>. In line with this</w:t>
      </w:r>
      <w:r>
        <w:rPr>
          <w:noProof/>
          <w:spacing w:val="-8"/>
        </w:rPr>
        <w:t xml:space="preserve"> provision</w:t>
      </w:r>
      <w:r w:rsidRPr="0077501A">
        <w:rPr>
          <w:noProof/>
          <w:spacing w:val="-8"/>
        </w:rPr>
        <w:t>, the Commission, as well as national courts and competition authorities across the EU, have investigated online ticket distribution practices, in particular in the rail sector, such as</w:t>
      </w:r>
      <w:r w:rsidRPr="0077501A" w:rsidDel="00BB265C">
        <w:rPr>
          <w:noProof/>
          <w:spacing w:val="-8"/>
        </w:rPr>
        <w:t xml:space="preserve"> </w:t>
      </w:r>
      <w:r w:rsidRPr="0077501A">
        <w:rPr>
          <w:noProof/>
          <w:spacing w:val="-8"/>
        </w:rPr>
        <w:t xml:space="preserve">restricting access to ticketing data, and imposing unreasonable fees and technical requirements to third-party platforms. </w:t>
      </w:r>
      <w:r>
        <w:rPr>
          <w:noProof/>
          <w:spacing w:val="-8"/>
        </w:rPr>
        <w:t xml:space="preserve">The large number of cases shows that the issue is systemic and </w:t>
      </w:r>
      <w:r w:rsidRPr="005F1B36">
        <w:rPr>
          <w:noProof/>
          <w:spacing w:val="-8"/>
        </w:rPr>
        <w:t>further</w:t>
      </w:r>
      <w:r>
        <w:rPr>
          <w:noProof/>
          <w:spacing w:val="-8"/>
        </w:rPr>
        <w:t xml:space="preserve"> outlines the necessity of an EU-wide regulatory intervention.</w:t>
      </w:r>
      <w:r w:rsidR="2471901C" w:rsidRPr="0077501A">
        <w:rPr>
          <w:noProof/>
          <w:spacing w:val="-8"/>
        </w:rPr>
        <w:t xml:space="preserve"> Member States have </w:t>
      </w:r>
      <w:r w:rsidR="004517B1">
        <w:rPr>
          <w:noProof/>
          <w:spacing w:val="-8"/>
        </w:rPr>
        <w:t>also adopted</w:t>
      </w:r>
      <w:r w:rsidR="2471901C" w:rsidRPr="0077501A">
        <w:rPr>
          <w:noProof/>
          <w:spacing w:val="-8"/>
        </w:rPr>
        <w:t xml:space="preserve"> legislation to support the development of MDMS</w:t>
      </w:r>
      <w:r w:rsidR="00E56505" w:rsidRPr="0077501A">
        <w:rPr>
          <w:noProof/>
          <w:spacing w:val="-8"/>
        </w:rPr>
        <w:t>.</w:t>
      </w:r>
    </w:p>
    <w:p w14:paraId="64A46D56" w14:textId="318601CB" w:rsidR="005A31A2" w:rsidRPr="0077501A" w:rsidRDefault="00C85613" w:rsidP="00E0337E">
      <w:pPr>
        <w:pStyle w:val="BodyText"/>
        <w:pBdr>
          <w:top w:val="single" w:sz="4" w:space="1" w:color="auto"/>
          <w:left w:val="single" w:sz="4" w:space="4" w:color="auto"/>
          <w:bottom w:val="single" w:sz="4" w:space="1" w:color="auto"/>
          <w:right w:val="single" w:sz="4" w:space="4" w:color="auto"/>
        </w:pBdr>
        <w:spacing w:after="240"/>
        <w:ind w:left="0"/>
        <w:rPr>
          <w:noProof/>
        </w:rPr>
      </w:pPr>
      <w:r>
        <w:rPr>
          <w:noProof/>
          <w:spacing w:val="-8"/>
        </w:rPr>
        <w:t xml:space="preserve">In </w:t>
      </w:r>
      <w:r w:rsidR="2471901C" w:rsidRPr="0077501A">
        <w:rPr>
          <w:noProof/>
          <w:spacing w:val="-8"/>
        </w:rPr>
        <w:t>France</w:t>
      </w:r>
      <w:r w:rsidR="008F19CD">
        <w:rPr>
          <w:noProof/>
          <w:spacing w:val="-8"/>
        </w:rPr>
        <w:t>,</w:t>
      </w:r>
      <w:r w:rsidR="008A5364" w:rsidRPr="0077501A">
        <w:rPr>
          <w:noProof/>
          <w:spacing w:val="-8"/>
        </w:rPr>
        <w:t xml:space="preserve"> </w:t>
      </w:r>
      <w:r w:rsidR="25A0D609" w:rsidRPr="0077501A">
        <w:rPr>
          <w:noProof/>
          <w:spacing w:val="-8"/>
        </w:rPr>
        <w:t xml:space="preserve">transport </w:t>
      </w:r>
      <w:r w:rsidR="008A5364" w:rsidRPr="0077501A">
        <w:rPr>
          <w:noProof/>
          <w:spacing w:val="-8"/>
        </w:rPr>
        <w:t>service</w:t>
      </w:r>
      <w:r w:rsidR="0062685B">
        <w:rPr>
          <w:noProof/>
          <w:spacing w:val="-8"/>
        </w:rPr>
        <w:t xml:space="preserve"> operator</w:t>
      </w:r>
      <w:r w:rsidR="005B4C48">
        <w:rPr>
          <w:noProof/>
          <w:spacing w:val="-8"/>
        </w:rPr>
        <w:t>s</w:t>
      </w:r>
      <w:r w:rsidR="003A7749" w:rsidRPr="005D2D60">
        <w:rPr>
          <w:noProof/>
          <w:spacing w:val="-8"/>
          <w:vertAlign w:val="superscript"/>
        </w:rPr>
        <w:footnoteReference w:id="16"/>
      </w:r>
      <w:r w:rsidR="008A5364" w:rsidRPr="0077501A">
        <w:rPr>
          <w:noProof/>
          <w:spacing w:val="-8"/>
        </w:rPr>
        <w:t xml:space="preserve"> must grant </w:t>
      </w:r>
      <w:r w:rsidR="25A0D609" w:rsidRPr="0077501A">
        <w:rPr>
          <w:noProof/>
          <w:spacing w:val="-8"/>
        </w:rPr>
        <w:t xml:space="preserve">access </w:t>
      </w:r>
      <w:r w:rsidR="008A5364" w:rsidRPr="0077501A">
        <w:rPr>
          <w:noProof/>
          <w:spacing w:val="-8"/>
        </w:rPr>
        <w:t>to their</w:t>
      </w:r>
      <w:r w:rsidR="25A0D609" w:rsidRPr="0077501A">
        <w:rPr>
          <w:noProof/>
          <w:spacing w:val="-8"/>
        </w:rPr>
        <w:t xml:space="preserve"> digital sales </w:t>
      </w:r>
      <w:r w:rsidR="008A5364" w:rsidRPr="0077501A">
        <w:rPr>
          <w:noProof/>
          <w:spacing w:val="-8"/>
        </w:rPr>
        <w:t xml:space="preserve">channels, </w:t>
      </w:r>
      <w:r w:rsidR="008E131A" w:rsidRPr="0077501A">
        <w:rPr>
          <w:noProof/>
          <w:spacing w:val="-8"/>
        </w:rPr>
        <w:t>to</w:t>
      </w:r>
      <w:r w:rsidR="008A5364" w:rsidRPr="0077501A">
        <w:rPr>
          <w:noProof/>
          <w:spacing w:val="-8"/>
        </w:rPr>
        <w:t xml:space="preserve"> allow the distribution of their tickets</w:t>
      </w:r>
      <w:r w:rsidR="0000348A" w:rsidRPr="005D2D60">
        <w:rPr>
          <w:noProof/>
          <w:spacing w:val="-8"/>
          <w:vertAlign w:val="superscript"/>
        </w:rPr>
        <w:footnoteReference w:id="17"/>
      </w:r>
      <w:r w:rsidR="00A94F4A">
        <w:rPr>
          <w:noProof/>
          <w:spacing w:val="-8"/>
        </w:rPr>
        <w:t>.</w:t>
      </w:r>
      <w:r w:rsidR="00EF6D13" w:rsidRPr="0077501A">
        <w:rPr>
          <w:noProof/>
          <w:spacing w:val="-8"/>
        </w:rPr>
        <w:t xml:space="preserve"> </w:t>
      </w:r>
      <w:r w:rsidR="25A0D609" w:rsidRPr="0077501A">
        <w:rPr>
          <w:noProof/>
          <w:spacing w:val="-8"/>
        </w:rPr>
        <w:t>In Finland</w:t>
      </w:r>
      <w:r w:rsidR="42FEFFD4" w:rsidRPr="0077501A">
        <w:rPr>
          <w:noProof/>
          <w:spacing w:val="-8"/>
        </w:rPr>
        <w:t>,</w:t>
      </w:r>
      <w:r w:rsidR="25A0D609" w:rsidRPr="0077501A">
        <w:rPr>
          <w:noProof/>
          <w:spacing w:val="-8"/>
        </w:rPr>
        <w:t xml:space="preserve"> </w:t>
      </w:r>
      <w:r w:rsidR="00AA6A5B" w:rsidRPr="0077501A">
        <w:rPr>
          <w:noProof/>
          <w:spacing w:val="-8"/>
        </w:rPr>
        <w:t xml:space="preserve">the </w:t>
      </w:r>
      <w:r w:rsidR="25A0D609" w:rsidRPr="0077501A">
        <w:rPr>
          <w:noProof/>
          <w:spacing w:val="-8"/>
        </w:rPr>
        <w:t>2018 “</w:t>
      </w:r>
      <w:r w:rsidR="25A0D609" w:rsidRPr="0077501A">
        <w:rPr>
          <w:b/>
          <w:noProof/>
          <w:spacing w:val="-8"/>
        </w:rPr>
        <w:t>Act on Transport Services</w:t>
      </w:r>
      <w:r w:rsidR="25A0D609" w:rsidRPr="0077501A">
        <w:rPr>
          <w:noProof/>
          <w:spacing w:val="-8"/>
        </w:rPr>
        <w:t>”</w:t>
      </w:r>
      <w:r w:rsidR="006D291B" w:rsidRPr="0077501A">
        <w:rPr>
          <w:rStyle w:val="FootnoteReference"/>
          <w:noProof/>
          <w:spacing w:val="-8"/>
        </w:rPr>
        <w:footnoteReference w:id="18"/>
      </w:r>
      <w:r w:rsidR="25A0D609" w:rsidRPr="0077501A">
        <w:rPr>
          <w:noProof/>
          <w:spacing w:val="-8"/>
        </w:rPr>
        <w:t xml:space="preserve"> also requires transport authorities and operators to </w:t>
      </w:r>
      <w:r w:rsidR="00C94B56">
        <w:rPr>
          <w:noProof/>
          <w:spacing w:val="-8"/>
        </w:rPr>
        <w:t>make their</w:t>
      </w:r>
      <w:r w:rsidR="1464C2C3" w:rsidRPr="0077501A">
        <w:rPr>
          <w:noProof/>
          <w:spacing w:val="-8"/>
        </w:rPr>
        <w:t xml:space="preserve"> tickets</w:t>
      </w:r>
      <w:r w:rsidR="25A0D609" w:rsidRPr="0077501A">
        <w:rPr>
          <w:noProof/>
          <w:spacing w:val="-8"/>
        </w:rPr>
        <w:t xml:space="preserve"> </w:t>
      </w:r>
      <w:r w:rsidR="00C94B56">
        <w:rPr>
          <w:noProof/>
          <w:spacing w:val="-8"/>
        </w:rPr>
        <w:t>available</w:t>
      </w:r>
      <w:r w:rsidR="25A0D609" w:rsidRPr="0077501A">
        <w:rPr>
          <w:noProof/>
          <w:spacing w:val="-8"/>
        </w:rPr>
        <w:t xml:space="preserve"> </w:t>
      </w:r>
      <w:r w:rsidR="00043446">
        <w:rPr>
          <w:noProof/>
          <w:spacing w:val="-8"/>
        </w:rPr>
        <w:t>on</w:t>
      </w:r>
      <w:r w:rsidR="00043446" w:rsidRPr="0077501A">
        <w:rPr>
          <w:noProof/>
          <w:spacing w:val="-8"/>
        </w:rPr>
        <w:t xml:space="preserve"> </w:t>
      </w:r>
      <w:r w:rsidR="25A0D609" w:rsidRPr="0077501A">
        <w:rPr>
          <w:noProof/>
          <w:spacing w:val="-8"/>
        </w:rPr>
        <w:t xml:space="preserve">MDMS </w:t>
      </w:r>
      <w:r w:rsidR="2DF0FD1B" w:rsidRPr="0077501A">
        <w:rPr>
          <w:noProof/>
          <w:spacing w:val="-8"/>
        </w:rPr>
        <w:t>platforms</w:t>
      </w:r>
      <w:r w:rsidR="00F95790" w:rsidRPr="0077501A">
        <w:rPr>
          <w:rStyle w:val="FootnoteReference"/>
          <w:noProof/>
          <w:spacing w:val="-8"/>
        </w:rPr>
        <w:footnoteReference w:id="19"/>
      </w:r>
      <w:r w:rsidR="25A0D609" w:rsidRPr="0077501A">
        <w:rPr>
          <w:noProof/>
          <w:spacing w:val="-8"/>
        </w:rPr>
        <w:t xml:space="preserve">. In 2017, the Dutch Ministry of Infrastructure and Water Management and the interested Regional Authorities launched </w:t>
      </w:r>
      <w:r w:rsidR="25A0D609" w:rsidRPr="0077501A">
        <w:rPr>
          <w:b/>
          <w:noProof/>
          <w:spacing w:val="-8"/>
        </w:rPr>
        <w:t>seven pilot projects for regional MDMS</w:t>
      </w:r>
      <w:r w:rsidR="00DD2AB5" w:rsidRPr="0077501A">
        <w:rPr>
          <w:rStyle w:val="FootnoteReference"/>
          <w:noProof/>
          <w:spacing w:val="-8"/>
        </w:rPr>
        <w:footnoteReference w:id="20"/>
      </w:r>
      <w:r w:rsidR="280B5074" w:rsidRPr="0077501A">
        <w:rPr>
          <w:b/>
          <w:noProof/>
          <w:spacing w:val="-8"/>
        </w:rPr>
        <w:t xml:space="preserve"> </w:t>
      </w:r>
      <w:r w:rsidR="00E512DE" w:rsidRPr="0077501A">
        <w:rPr>
          <w:noProof/>
          <w:spacing w:val="-8"/>
        </w:rPr>
        <w:t>requiring compliance</w:t>
      </w:r>
      <w:r w:rsidR="25A0D609" w:rsidRPr="0077501A">
        <w:rPr>
          <w:noProof/>
          <w:spacing w:val="-8"/>
        </w:rPr>
        <w:t xml:space="preserve"> with</w:t>
      </w:r>
      <w:r w:rsidR="25A0D609" w:rsidRPr="0077501A" w:rsidDel="003C4819">
        <w:rPr>
          <w:noProof/>
          <w:spacing w:val="-8"/>
        </w:rPr>
        <w:t xml:space="preserve"> common rules</w:t>
      </w:r>
      <w:r w:rsidR="00E512DE" w:rsidRPr="0077501A">
        <w:rPr>
          <w:noProof/>
          <w:spacing w:val="-8"/>
        </w:rPr>
        <w:t xml:space="preserve"> and</w:t>
      </w:r>
      <w:r w:rsidR="25A0D609" w:rsidRPr="0077501A" w:rsidDel="003C4819">
        <w:rPr>
          <w:noProof/>
          <w:spacing w:val="-8"/>
        </w:rPr>
        <w:t xml:space="preserve"> transparent conditions. </w:t>
      </w:r>
      <w:r w:rsidR="005378E1" w:rsidRPr="0077501A">
        <w:rPr>
          <w:noProof/>
          <w:spacing w:val="-8"/>
        </w:rPr>
        <w:t>In Spain,</w:t>
      </w:r>
      <w:r w:rsidR="000C3859" w:rsidRPr="0077501A">
        <w:rPr>
          <w:noProof/>
          <w:spacing w:val="-8"/>
        </w:rPr>
        <w:t xml:space="preserve"> the </w:t>
      </w:r>
      <w:r w:rsidR="00C75F3E" w:rsidRPr="0077501A">
        <w:rPr>
          <w:noProof/>
          <w:spacing w:val="-8"/>
        </w:rPr>
        <w:t>2025</w:t>
      </w:r>
      <w:r w:rsidR="00895895" w:rsidRPr="0077501A">
        <w:rPr>
          <w:noProof/>
          <w:spacing w:val="-8"/>
        </w:rPr>
        <w:t xml:space="preserve"> “</w:t>
      </w:r>
      <w:r w:rsidR="0078021B" w:rsidRPr="0077501A">
        <w:rPr>
          <w:b/>
          <w:noProof/>
          <w:spacing w:val="-8"/>
        </w:rPr>
        <w:t>Sustainable Mobility l</w:t>
      </w:r>
      <w:r w:rsidR="00111AE7" w:rsidRPr="0077501A">
        <w:rPr>
          <w:b/>
          <w:noProof/>
          <w:spacing w:val="-8"/>
        </w:rPr>
        <w:t>aw</w:t>
      </w:r>
      <w:r w:rsidR="00111AE7" w:rsidRPr="0077501A">
        <w:rPr>
          <w:noProof/>
          <w:spacing w:val="-8"/>
        </w:rPr>
        <w:t>”</w:t>
      </w:r>
      <w:r w:rsidR="00111AE7" w:rsidRPr="0077501A">
        <w:rPr>
          <w:rStyle w:val="FootnoteReference"/>
          <w:noProof/>
          <w:spacing w:val="-8"/>
        </w:rPr>
        <w:footnoteReference w:id="21"/>
      </w:r>
      <w:r w:rsidR="00BD20A8" w:rsidRPr="0077501A">
        <w:rPr>
          <w:noProof/>
          <w:spacing w:val="-8"/>
        </w:rPr>
        <w:t xml:space="preserve"> establishes </w:t>
      </w:r>
      <w:r w:rsidR="00055CE1" w:rsidRPr="0077501A">
        <w:rPr>
          <w:noProof/>
          <w:spacing w:val="-8"/>
        </w:rPr>
        <w:t xml:space="preserve">rules for distribution agreements between </w:t>
      </w:r>
      <w:r w:rsidR="000107D5">
        <w:rPr>
          <w:noProof/>
          <w:spacing w:val="-8"/>
        </w:rPr>
        <w:t>transport operators</w:t>
      </w:r>
      <w:r w:rsidR="000107D5" w:rsidRPr="0077501A">
        <w:rPr>
          <w:noProof/>
          <w:spacing w:val="-8"/>
        </w:rPr>
        <w:t xml:space="preserve"> </w:t>
      </w:r>
      <w:r w:rsidR="00055CE1" w:rsidRPr="0077501A">
        <w:rPr>
          <w:noProof/>
          <w:spacing w:val="-8"/>
        </w:rPr>
        <w:t xml:space="preserve">and </w:t>
      </w:r>
      <w:r w:rsidR="00070707">
        <w:rPr>
          <w:noProof/>
          <w:spacing w:val="-8"/>
        </w:rPr>
        <w:t>multimodal</w:t>
      </w:r>
      <w:r w:rsidR="008767C1">
        <w:rPr>
          <w:noProof/>
          <w:spacing w:val="-8"/>
        </w:rPr>
        <w:t xml:space="preserve"> </w:t>
      </w:r>
      <w:r w:rsidR="008767C1" w:rsidRPr="005D2D60">
        <w:rPr>
          <w:noProof/>
          <w:spacing w:val="-8"/>
        </w:rPr>
        <w:t xml:space="preserve">ticketing </w:t>
      </w:r>
      <w:r w:rsidR="000107D5">
        <w:rPr>
          <w:noProof/>
          <w:spacing w:val="-8"/>
        </w:rPr>
        <w:t>platforms</w:t>
      </w:r>
      <w:r w:rsidR="00055CE1" w:rsidRPr="0077501A">
        <w:rPr>
          <w:noProof/>
          <w:spacing w:val="-8"/>
        </w:rPr>
        <w:t>.</w:t>
      </w:r>
      <w:r w:rsidR="25A0D609" w:rsidRPr="0077501A" w:rsidDel="003C4819">
        <w:rPr>
          <w:noProof/>
          <w:spacing w:val="-8"/>
        </w:rPr>
        <w:t xml:space="preserve"> </w:t>
      </w:r>
      <w:r w:rsidR="008B6398" w:rsidRPr="0077501A">
        <w:rPr>
          <w:noProof/>
          <w:spacing w:val="-8"/>
        </w:rPr>
        <w:t xml:space="preserve">In Sweden, regional authorities are progressively moving toward a </w:t>
      </w:r>
      <w:r w:rsidR="008B6398" w:rsidRPr="0077501A">
        <w:rPr>
          <w:b/>
          <w:noProof/>
          <w:spacing w:val="-8"/>
        </w:rPr>
        <w:t>unified digital ticketing system</w:t>
      </w:r>
      <w:r w:rsidR="00733131">
        <w:rPr>
          <w:rStyle w:val="FootnoteReference"/>
          <w:b/>
          <w:noProof/>
          <w:spacing w:val="-8"/>
        </w:rPr>
        <w:footnoteReference w:id="22"/>
      </w:r>
      <w:r w:rsidR="008B6398" w:rsidRPr="0077501A">
        <w:rPr>
          <w:noProof/>
          <w:spacing w:val="-8"/>
        </w:rPr>
        <w:t>, with initiatives to integrate local</w:t>
      </w:r>
      <w:r w:rsidR="00FD5071" w:rsidRPr="0077501A">
        <w:rPr>
          <w:noProof/>
          <w:spacing w:val="-8"/>
        </w:rPr>
        <w:t xml:space="preserve"> and</w:t>
      </w:r>
      <w:r w:rsidR="008B6398" w:rsidRPr="0077501A">
        <w:rPr>
          <w:noProof/>
          <w:spacing w:val="-8"/>
        </w:rPr>
        <w:t xml:space="preserve"> regional</w:t>
      </w:r>
      <w:r w:rsidR="00FD5071" w:rsidRPr="0077501A">
        <w:rPr>
          <w:noProof/>
          <w:spacing w:val="-8"/>
        </w:rPr>
        <w:t xml:space="preserve"> </w:t>
      </w:r>
      <w:r w:rsidR="008B6398" w:rsidRPr="0077501A">
        <w:rPr>
          <w:noProof/>
          <w:spacing w:val="-8"/>
        </w:rPr>
        <w:t>tickets into single platforms accessible via mobile apps or smart cards.</w:t>
      </w:r>
    </w:p>
    <w:p w14:paraId="50809314" w14:textId="28A76D1B" w:rsidR="00712390" w:rsidRPr="00D71008" w:rsidRDefault="003C4819" w:rsidP="007B2D8E">
      <w:pPr>
        <w:pStyle w:val="Heading2"/>
        <w:keepNext/>
        <w:numPr>
          <w:ilvl w:val="1"/>
          <w:numId w:val="11"/>
        </w:numPr>
        <w:tabs>
          <w:tab w:val="left" w:pos="709"/>
        </w:tabs>
        <w:spacing w:before="240" w:after="240"/>
        <w:ind w:left="1134" w:hanging="708"/>
        <w:rPr>
          <w:noProof/>
        </w:rPr>
      </w:pPr>
      <w:bookmarkStart w:id="12" w:name="_Toc220667472"/>
      <w:bookmarkStart w:id="13" w:name="_Ref223106851"/>
      <w:bookmarkStart w:id="14" w:name="_Toc223979937"/>
      <w:r w:rsidRPr="00D71008">
        <w:rPr>
          <w:noProof/>
        </w:rPr>
        <w:t>Synergies with other EU policy instruments</w:t>
      </w:r>
      <w:bookmarkEnd w:id="12"/>
      <w:bookmarkEnd w:id="13"/>
      <w:bookmarkEnd w:id="14"/>
    </w:p>
    <w:p w14:paraId="12B2FD63" w14:textId="64B67E1A" w:rsidR="00712390" w:rsidRPr="0077501A" w:rsidRDefault="2471901C" w:rsidP="00E242B4">
      <w:pPr>
        <w:pStyle w:val="BodyText"/>
        <w:tabs>
          <w:tab w:val="left" w:pos="1134"/>
        </w:tabs>
        <w:spacing w:after="240"/>
        <w:ind w:left="0"/>
        <w:rPr>
          <w:noProof/>
          <w:spacing w:val="-8"/>
          <w:u w:val="single"/>
        </w:rPr>
      </w:pPr>
      <w:r w:rsidRPr="0077501A">
        <w:rPr>
          <w:noProof/>
          <w:spacing w:val="-8"/>
          <w:u w:val="single"/>
        </w:rPr>
        <w:t>Digital Transport policies:</w:t>
      </w:r>
      <w:r w:rsidR="006C272D" w:rsidRPr="0077501A">
        <w:rPr>
          <w:noProof/>
          <w:spacing w:val="-8"/>
        </w:rPr>
        <w:t xml:space="preserve"> </w:t>
      </w:r>
      <w:r w:rsidR="6A215C74" w:rsidRPr="0077501A">
        <w:rPr>
          <w:noProof/>
          <w:spacing w:val="-8"/>
        </w:rPr>
        <w:t xml:space="preserve">The </w:t>
      </w:r>
      <w:r w:rsidR="6A215C74" w:rsidRPr="0077501A">
        <w:rPr>
          <w:b/>
          <w:noProof/>
          <w:spacing w:val="-8"/>
        </w:rPr>
        <w:t>ITS Directive</w:t>
      </w:r>
      <w:r w:rsidR="00AA57DD" w:rsidRPr="0077501A">
        <w:rPr>
          <w:rStyle w:val="FootnoteReference"/>
          <w:b/>
          <w:noProof/>
          <w:spacing w:val="-8"/>
        </w:rPr>
        <w:footnoteReference w:id="23"/>
      </w:r>
      <w:r w:rsidR="6A215C74" w:rsidRPr="0077501A">
        <w:rPr>
          <w:b/>
          <w:noProof/>
          <w:spacing w:val="-8"/>
        </w:rPr>
        <w:t xml:space="preserve"> </w:t>
      </w:r>
      <w:r w:rsidR="6A215C74" w:rsidRPr="0077501A">
        <w:rPr>
          <w:noProof/>
          <w:spacing w:val="-8"/>
        </w:rPr>
        <w:t xml:space="preserve">establishes a framework </w:t>
      </w:r>
      <w:r w:rsidR="00FD2AB1" w:rsidRPr="0077501A">
        <w:rPr>
          <w:noProof/>
          <w:spacing w:val="-8"/>
        </w:rPr>
        <w:t>for the</w:t>
      </w:r>
      <w:r w:rsidR="6A215C74" w:rsidRPr="0077501A">
        <w:rPr>
          <w:noProof/>
          <w:spacing w:val="-8"/>
        </w:rPr>
        <w:t xml:space="preserve"> deployment</w:t>
      </w:r>
      <w:r w:rsidR="00346D2E" w:rsidRPr="0077501A">
        <w:rPr>
          <w:noProof/>
          <w:spacing w:val="-8"/>
        </w:rPr>
        <w:t xml:space="preserve"> </w:t>
      </w:r>
      <w:r w:rsidR="6A215C74" w:rsidRPr="0077501A">
        <w:rPr>
          <w:noProof/>
          <w:spacing w:val="-8"/>
        </w:rPr>
        <w:t xml:space="preserve">of Intelligent Transport Systems in the road sector and its interfaces with other modes of transport. </w:t>
      </w:r>
      <w:r w:rsidR="751A045C">
        <w:rPr>
          <w:noProof/>
        </w:rPr>
        <w:t xml:space="preserve">Under the </w:t>
      </w:r>
      <w:r w:rsidR="0048301F" w:rsidRPr="00142BF3">
        <w:rPr>
          <w:bCs/>
          <w:noProof/>
          <w:spacing w:val="-8"/>
        </w:rPr>
        <w:t xml:space="preserve">Delegated Regulation </w:t>
      </w:r>
      <w:r w:rsidR="00987559">
        <w:rPr>
          <w:bCs/>
          <w:noProof/>
          <w:spacing w:val="-8"/>
        </w:rPr>
        <w:t>on</w:t>
      </w:r>
      <w:r w:rsidR="0048301F" w:rsidRPr="0077501A">
        <w:rPr>
          <w:b/>
          <w:noProof/>
          <w:spacing w:val="-8"/>
        </w:rPr>
        <w:t xml:space="preserve"> multimodal travel information services</w:t>
      </w:r>
      <w:r w:rsidR="6A215C74" w:rsidRPr="0077501A">
        <w:rPr>
          <w:b/>
          <w:noProof/>
          <w:spacing w:val="-8"/>
        </w:rPr>
        <w:t xml:space="preserve"> (MMTIS)</w:t>
      </w:r>
      <w:r w:rsidR="00C32FE8" w:rsidRPr="0077501A">
        <w:rPr>
          <w:rStyle w:val="FootnoteReference"/>
          <w:b/>
          <w:noProof/>
          <w:spacing w:val="-8"/>
        </w:rPr>
        <w:footnoteReference w:id="24"/>
      </w:r>
      <w:r w:rsidR="00071794" w:rsidRPr="0077501A">
        <w:rPr>
          <w:noProof/>
          <w:spacing w:val="-8"/>
        </w:rPr>
        <w:t xml:space="preserve"> </w:t>
      </w:r>
      <w:r w:rsidR="6A215C74" w:rsidRPr="0077501A">
        <w:rPr>
          <w:noProof/>
          <w:spacing w:val="-8"/>
        </w:rPr>
        <w:t>Member</w:t>
      </w:r>
      <w:r w:rsidR="00071794" w:rsidRPr="0077501A">
        <w:rPr>
          <w:noProof/>
          <w:spacing w:val="-8"/>
        </w:rPr>
        <w:t> </w:t>
      </w:r>
      <w:r w:rsidR="00E12F42" w:rsidRPr="0077501A">
        <w:rPr>
          <w:noProof/>
          <w:spacing w:val="-8"/>
        </w:rPr>
        <w:t xml:space="preserve">States </w:t>
      </w:r>
      <w:r w:rsidR="0877C7C8">
        <w:rPr>
          <w:noProof/>
        </w:rPr>
        <w:t>must</w:t>
      </w:r>
      <w:r w:rsidR="00071794" w:rsidRPr="0077501A">
        <w:rPr>
          <w:noProof/>
          <w:spacing w:val="-8"/>
        </w:rPr>
        <w:t> </w:t>
      </w:r>
      <w:r w:rsidR="00E12F42" w:rsidRPr="0077501A">
        <w:rPr>
          <w:noProof/>
          <w:spacing w:val="-8"/>
        </w:rPr>
        <w:t>establish</w:t>
      </w:r>
      <w:r w:rsidR="00071794" w:rsidRPr="0077501A">
        <w:rPr>
          <w:noProof/>
          <w:spacing w:val="-8"/>
        </w:rPr>
        <w:t> </w:t>
      </w:r>
      <w:r w:rsidR="6A215C74" w:rsidRPr="0077501A">
        <w:rPr>
          <w:noProof/>
          <w:spacing w:val="-8"/>
        </w:rPr>
        <w:t>national access</w:t>
      </w:r>
      <w:r w:rsidR="00071794" w:rsidRPr="0077501A">
        <w:rPr>
          <w:noProof/>
          <w:spacing w:val="-8"/>
        </w:rPr>
        <w:t> </w:t>
      </w:r>
      <w:r w:rsidR="00E12F42" w:rsidRPr="0077501A">
        <w:rPr>
          <w:noProof/>
          <w:spacing w:val="-8"/>
        </w:rPr>
        <w:t xml:space="preserve">points </w:t>
      </w:r>
      <w:r w:rsidR="00F00A46" w:rsidRPr="0077501A">
        <w:rPr>
          <w:noProof/>
          <w:spacing w:val="-8"/>
        </w:rPr>
        <w:t>constitut</w:t>
      </w:r>
      <w:r w:rsidR="1DE23E61">
        <w:rPr>
          <w:noProof/>
        </w:rPr>
        <w:t>ing</w:t>
      </w:r>
      <w:r w:rsidR="00F00A46" w:rsidRPr="0077501A">
        <w:rPr>
          <w:noProof/>
          <w:spacing w:val="-8"/>
        </w:rPr>
        <w:t xml:space="preserve"> a single point of access for data users to the static, historic, observed and dynamic travel and traffic data of different transport modes</w:t>
      </w:r>
      <w:r w:rsidR="00CD091F">
        <w:rPr>
          <w:noProof/>
          <w:spacing w:val="-8"/>
        </w:rPr>
        <w:t>,</w:t>
      </w:r>
      <w:r w:rsidR="00B65A86" w:rsidRPr="0077501A">
        <w:rPr>
          <w:noProof/>
          <w:spacing w:val="-8"/>
        </w:rPr>
        <w:t xml:space="preserve"> </w:t>
      </w:r>
      <w:r w:rsidR="005D3807" w:rsidRPr="0077501A">
        <w:rPr>
          <w:noProof/>
          <w:spacing w:val="-8"/>
        </w:rPr>
        <w:t>for the</w:t>
      </w:r>
      <w:r w:rsidR="00B65A86" w:rsidRPr="0077501A">
        <w:rPr>
          <w:noProof/>
          <w:spacing w:val="-8"/>
        </w:rPr>
        <w:t xml:space="preserve"> purpose</w:t>
      </w:r>
      <w:r w:rsidR="005D3807" w:rsidRPr="0077501A">
        <w:rPr>
          <w:noProof/>
          <w:spacing w:val="-8"/>
        </w:rPr>
        <w:t xml:space="preserve"> of pr</w:t>
      </w:r>
      <w:r w:rsidR="00A64468" w:rsidRPr="0077501A">
        <w:rPr>
          <w:noProof/>
          <w:spacing w:val="-8"/>
        </w:rPr>
        <w:t xml:space="preserve">oviding </w:t>
      </w:r>
      <w:r w:rsidR="005F22ED" w:rsidRPr="0077501A">
        <w:rPr>
          <w:noProof/>
          <w:spacing w:val="-8"/>
        </w:rPr>
        <w:t>multimodal travel information services</w:t>
      </w:r>
      <w:r w:rsidR="00B65A86" w:rsidRPr="0077501A">
        <w:rPr>
          <w:noProof/>
          <w:spacing w:val="-8"/>
        </w:rPr>
        <w:t>.</w:t>
      </w:r>
      <w:r w:rsidR="00071794" w:rsidRPr="0077501A">
        <w:rPr>
          <w:noProof/>
          <w:spacing w:val="-8"/>
        </w:rPr>
        <w:t> </w:t>
      </w:r>
      <w:r w:rsidR="00B65A86" w:rsidRPr="0077501A">
        <w:rPr>
          <w:noProof/>
          <w:spacing w:val="-8"/>
        </w:rPr>
        <w:t xml:space="preserve">Developing MDMS </w:t>
      </w:r>
      <w:r w:rsidR="00AA6A5B" w:rsidRPr="0077501A">
        <w:rPr>
          <w:noProof/>
          <w:spacing w:val="-8"/>
        </w:rPr>
        <w:t xml:space="preserve">platforms </w:t>
      </w:r>
      <w:r w:rsidR="00B65A86" w:rsidRPr="0077501A">
        <w:rPr>
          <w:noProof/>
          <w:spacing w:val="-8"/>
        </w:rPr>
        <w:t xml:space="preserve">capable of reservations, bookings, or ticketing </w:t>
      </w:r>
      <w:r w:rsidR="00520AEF">
        <w:rPr>
          <w:noProof/>
          <w:spacing w:val="-8"/>
        </w:rPr>
        <w:t xml:space="preserve">however </w:t>
      </w:r>
      <w:r w:rsidR="00B65A86" w:rsidRPr="0077501A">
        <w:rPr>
          <w:noProof/>
          <w:spacing w:val="-8"/>
        </w:rPr>
        <w:t>requires</w:t>
      </w:r>
      <w:r w:rsidR="00071794" w:rsidRPr="0077501A">
        <w:rPr>
          <w:noProof/>
          <w:spacing w:val="-8"/>
        </w:rPr>
        <w:t> </w:t>
      </w:r>
      <w:r w:rsidR="00B65A86" w:rsidRPr="0077501A">
        <w:rPr>
          <w:noProof/>
          <w:spacing w:val="-8"/>
        </w:rPr>
        <w:t>additional</w:t>
      </w:r>
      <w:r w:rsidR="00071794" w:rsidRPr="0077501A">
        <w:rPr>
          <w:noProof/>
          <w:spacing w:val="-8"/>
        </w:rPr>
        <w:t> </w:t>
      </w:r>
      <w:r w:rsidR="00B65A86" w:rsidRPr="0077501A">
        <w:rPr>
          <w:noProof/>
          <w:spacing w:val="-8"/>
        </w:rPr>
        <w:t>data (e.g. real-time fares)</w:t>
      </w:r>
      <w:r w:rsidR="00071794" w:rsidRPr="0077501A">
        <w:rPr>
          <w:noProof/>
          <w:spacing w:val="-8"/>
        </w:rPr>
        <w:t xml:space="preserve">. </w:t>
      </w:r>
    </w:p>
    <w:p w14:paraId="1179B41A" w14:textId="09A8D85A" w:rsidR="65DC3ED0" w:rsidRPr="00DC05B6" w:rsidRDefault="003162C6" w:rsidP="00E242B4">
      <w:pPr>
        <w:pStyle w:val="BodyText"/>
        <w:tabs>
          <w:tab w:val="left" w:pos="1134"/>
        </w:tabs>
        <w:spacing w:after="240"/>
        <w:ind w:left="0"/>
        <w:rPr>
          <w:noProof/>
          <w:spacing w:val="-8"/>
        </w:rPr>
      </w:pPr>
      <w:r w:rsidRPr="0077501A">
        <w:rPr>
          <w:noProof/>
          <w:spacing w:val="-8"/>
        </w:rPr>
        <w:t>Under</w:t>
      </w:r>
      <w:r w:rsidR="49F6389F" w:rsidRPr="0077501A">
        <w:rPr>
          <w:noProof/>
          <w:spacing w:val="-8"/>
        </w:rPr>
        <w:t xml:space="preserve"> the rail interoperability Directive (EU) 2016/</w:t>
      </w:r>
      <w:r w:rsidR="69526B2A" w:rsidRPr="0077501A">
        <w:rPr>
          <w:noProof/>
          <w:spacing w:val="-8"/>
        </w:rPr>
        <w:t>797</w:t>
      </w:r>
      <w:r w:rsidR="0069576A" w:rsidRPr="0077501A">
        <w:rPr>
          <w:rStyle w:val="FootnoteReference"/>
          <w:noProof/>
          <w:spacing w:val="-8"/>
        </w:rPr>
        <w:footnoteReference w:id="25"/>
      </w:r>
      <w:r w:rsidR="69526B2A" w:rsidRPr="0077501A">
        <w:rPr>
          <w:noProof/>
          <w:spacing w:val="-8"/>
        </w:rPr>
        <w:t xml:space="preserve">, </w:t>
      </w:r>
      <w:r w:rsidR="00470B4F" w:rsidRPr="0077501A">
        <w:rPr>
          <w:noProof/>
          <w:spacing w:val="-8"/>
        </w:rPr>
        <w:t>the Commission developed</w:t>
      </w:r>
      <w:r w:rsidR="00470B4F" w:rsidRPr="0077501A">
        <w:rPr>
          <w:b/>
          <w:noProof/>
          <w:spacing w:val="-8"/>
        </w:rPr>
        <w:t xml:space="preserve"> </w:t>
      </w:r>
      <w:r w:rsidR="69526B2A" w:rsidRPr="0077501A">
        <w:rPr>
          <w:b/>
          <w:noProof/>
          <w:spacing w:val="-8"/>
        </w:rPr>
        <w:t>functional</w:t>
      </w:r>
      <w:r w:rsidR="49F6389F" w:rsidRPr="0077501A">
        <w:rPr>
          <w:b/>
          <w:noProof/>
          <w:spacing w:val="-8"/>
        </w:rPr>
        <w:t xml:space="preserve"> and technical specifications for telematics applications</w:t>
      </w:r>
      <w:r w:rsidR="135F293E" w:rsidRPr="0077501A">
        <w:rPr>
          <w:b/>
          <w:noProof/>
          <w:spacing w:val="-8"/>
        </w:rPr>
        <w:t xml:space="preserve"> (</w:t>
      </w:r>
      <w:r w:rsidR="00B13563" w:rsidRPr="005D2D60">
        <w:rPr>
          <w:b/>
          <w:noProof/>
          <w:spacing w:val="-8"/>
        </w:rPr>
        <w:t>T</w:t>
      </w:r>
      <w:r w:rsidR="00B13563">
        <w:rPr>
          <w:b/>
          <w:noProof/>
          <w:spacing w:val="-8"/>
        </w:rPr>
        <w:t>EL</w:t>
      </w:r>
      <w:r w:rsidR="00B13563" w:rsidRPr="005D2D60">
        <w:rPr>
          <w:b/>
          <w:noProof/>
          <w:spacing w:val="-8"/>
        </w:rPr>
        <w:t xml:space="preserve"> </w:t>
      </w:r>
      <w:r w:rsidR="135F293E" w:rsidRPr="005D2D60">
        <w:rPr>
          <w:b/>
          <w:noProof/>
          <w:spacing w:val="-8"/>
        </w:rPr>
        <w:t>TSI)</w:t>
      </w:r>
      <w:r w:rsidR="00A0774C" w:rsidRPr="0077501A">
        <w:rPr>
          <w:rStyle w:val="FootnoteReference"/>
          <w:b/>
          <w:noProof/>
          <w:spacing w:val="-8"/>
        </w:rPr>
        <w:footnoteReference w:id="26"/>
      </w:r>
      <w:r w:rsidR="005F622B" w:rsidRPr="0077501A">
        <w:rPr>
          <w:b/>
          <w:noProof/>
          <w:spacing w:val="-8"/>
        </w:rPr>
        <w:t xml:space="preserve"> </w:t>
      </w:r>
      <w:r w:rsidR="49F6389F" w:rsidRPr="0077501A">
        <w:rPr>
          <w:noProof/>
          <w:spacing w:val="-8"/>
        </w:rPr>
        <w:t xml:space="preserve">supporting the interoperability of data sharing in rail transport. </w:t>
      </w:r>
    </w:p>
    <w:p w14:paraId="7369E82A" w14:textId="76E8BE4F" w:rsidR="00712390" w:rsidRPr="0077501A" w:rsidRDefault="003C4819" w:rsidP="2BA0D296">
      <w:pPr>
        <w:pStyle w:val="BodyText"/>
        <w:tabs>
          <w:tab w:val="left" w:pos="1134"/>
        </w:tabs>
        <w:spacing w:after="240" w:line="259" w:lineRule="auto"/>
        <w:ind w:left="0"/>
        <w:rPr>
          <w:noProof/>
        </w:rPr>
      </w:pPr>
      <w:r w:rsidRPr="0077501A">
        <w:rPr>
          <w:noProof/>
          <w:spacing w:val="-8"/>
          <w:u w:val="single"/>
        </w:rPr>
        <w:t>Horizontal data policies</w:t>
      </w:r>
      <w:r w:rsidRPr="0077501A">
        <w:rPr>
          <w:noProof/>
          <w:spacing w:val="-8"/>
        </w:rPr>
        <w:t>:</w:t>
      </w:r>
      <w:r w:rsidR="006C272D" w:rsidRPr="0077501A">
        <w:rPr>
          <w:noProof/>
          <w:spacing w:val="-8"/>
        </w:rPr>
        <w:t xml:space="preserve"> </w:t>
      </w:r>
      <w:r w:rsidR="00E83E83" w:rsidRPr="005D2D60">
        <w:rPr>
          <w:noProof/>
          <w:spacing w:val="-8"/>
        </w:rPr>
        <w:t xml:space="preserve">To complement the general principles of the </w:t>
      </w:r>
      <w:r w:rsidR="00E83E83" w:rsidRPr="0077501A">
        <w:rPr>
          <w:b/>
          <w:noProof/>
          <w:spacing w:val="-8"/>
        </w:rPr>
        <w:t>Digital Markets Act</w:t>
      </w:r>
      <w:r w:rsidR="00E83E83" w:rsidRPr="0077501A">
        <w:rPr>
          <w:rStyle w:val="FootnoteReference"/>
          <w:b/>
          <w:noProof/>
          <w:spacing w:val="-8"/>
        </w:rPr>
        <w:footnoteReference w:id="27"/>
      </w:r>
      <w:r w:rsidR="00E83E83" w:rsidRPr="005D2D60">
        <w:rPr>
          <w:noProof/>
          <w:spacing w:val="-8"/>
        </w:rPr>
        <w:t xml:space="preserve"> in relation to MDMS platforms</w:t>
      </w:r>
      <w:r w:rsidR="3B02829A" w:rsidRPr="0077501A">
        <w:rPr>
          <w:noProof/>
          <w:spacing w:val="-8"/>
        </w:rPr>
        <w:t xml:space="preserve">, </w:t>
      </w:r>
      <w:r w:rsidR="5460ED75" w:rsidRPr="0077501A">
        <w:rPr>
          <w:noProof/>
          <w:spacing w:val="-8"/>
        </w:rPr>
        <w:t>sectorial measures are</w:t>
      </w:r>
      <w:r w:rsidR="51E82FCD" w:rsidRPr="0077501A" w:rsidDel="681B734B">
        <w:rPr>
          <w:noProof/>
          <w:spacing w:val="-8"/>
        </w:rPr>
        <w:t xml:space="preserve"> </w:t>
      </w:r>
      <w:r w:rsidR="5460ED75" w:rsidRPr="0077501A">
        <w:rPr>
          <w:noProof/>
          <w:spacing w:val="-8"/>
        </w:rPr>
        <w:t xml:space="preserve">considered in </w:t>
      </w:r>
      <w:r w:rsidR="007600F6" w:rsidRPr="0077501A">
        <w:rPr>
          <w:noProof/>
          <w:spacing w:val="-8"/>
        </w:rPr>
        <w:t>th</w:t>
      </w:r>
      <w:r w:rsidR="007600F6">
        <w:rPr>
          <w:noProof/>
          <w:spacing w:val="-8"/>
        </w:rPr>
        <w:t xml:space="preserve">e </w:t>
      </w:r>
      <w:r w:rsidR="003C7F29">
        <w:rPr>
          <w:noProof/>
          <w:spacing w:val="-8"/>
        </w:rPr>
        <w:t>RMB</w:t>
      </w:r>
      <w:r w:rsidR="003C7F29" w:rsidRPr="009A0E7E">
        <w:rPr>
          <w:noProof/>
          <w:spacing w:val="-8"/>
        </w:rPr>
        <w:t xml:space="preserve"> </w:t>
      </w:r>
      <w:r w:rsidR="077C1BA7" w:rsidRPr="0077501A">
        <w:rPr>
          <w:noProof/>
          <w:spacing w:val="-8"/>
        </w:rPr>
        <w:t>proposal</w:t>
      </w:r>
      <w:r w:rsidR="000C780A" w:rsidRPr="00DC05B6">
        <w:rPr>
          <w:noProof/>
          <w:spacing w:val="-8"/>
        </w:rPr>
        <w:t xml:space="preserve">. </w:t>
      </w:r>
      <w:r w:rsidR="007F6964">
        <w:rPr>
          <w:noProof/>
          <w:spacing w:val="-8"/>
        </w:rPr>
        <w:t>These</w:t>
      </w:r>
      <w:r w:rsidR="00C84719" w:rsidRPr="00DC05B6">
        <w:rPr>
          <w:noProof/>
          <w:spacing w:val="-8"/>
        </w:rPr>
        <w:t xml:space="preserve"> ensure</w:t>
      </w:r>
      <w:r w:rsidR="00CE4A3C" w:rsidRPr="00DC05B6">
        <w:rPr>
          <w:noProof/>
          <w:spacing w:val="-8"/>
        </w:rPr>
        <w:t xml:space="preserve"> that they do not impose general conditions</w:t>
      </w:r>
      <w:r w:rsidR="000C794B" w:rsidRPr="00DC05B6">
        <w:rPr>
          <w:noProof/>
          <w:spacing w:val="-8"/>
        </w:rPr>
        <w:t xml:space="preserve"> </w:t>
      </w:r>
      <w:r w:rsidR="00CE4A3C" w:rsidRPr="00DC05B6">
        <w:rPr>
          <w:noProof/>
          <w:spacing w:val="-8"/>
        </w:rPr>
        <w:t>that would be unfair or lead to discrimination</w:t>
      </w:r>
      <w:r w:rsidR="42B748C6" w:rsidRPr="00DC05B6">
        <w:rPr>
          <w:noProof/>
          <w:spacing w:val="-8"/>
        </w:rPr>
        <w:t>.</w:t>
      </w:r>
      <w:r w:rsidR="00CE6F05" w:rsidRPr="00DC05B6">
        <w:rPr>
          <w:noProof/>
          <w:spacing w:val="-8"/>
        </w:rPr>
        <w:t xml:space="preserve"> </w:t>
      </w:r>
      <w:r w:rsidR="007F6964">
        <w:rPr>
          <w:noProof/>
          <w:spacing w:val="-8"/>
        </w:rPr>
        <w:t>They</w:t>
      </w:r>
      <w:r w:rsidR="00DC096B" w:rsidRPr="00DC05B6">
        <w:rPr>
          <w:noProof/>
          <w:spacing w:val="-8"/>
        </w:rPr>
        <w:t xml:space="preserve"> complement the </w:t>
      </w:r>
      <w:r w:rsidR="00E5561C" w:rsidRPr="00DC05B6">
        <w:rPr>
          <w:noProof/>
          <w:spacing w:val="-8"/>
        </w:rPr>
        <w:t>rules</w:t>
      </w:r>
      <w:r w:rsidR="00DC096B" w:rsidRPr="00DC05B6">
        <w:rPr>
          <w:noProof/>
          <w:spacing w:val="-8"/>
        </w:rPr>
        <w:t xml:space="preserve"> of the DMA</w:t>
      </w:r>
      <w:r w:rsidR="00E5561C" w:rsidRPr="00DC05B6">
        <w:rPr>
          <w:noProof/>
          <w:spacing w:val="-8"/>
        </w:rPr>
        <w:t xml:space="preserve"> applying to gatekeepers as MDMS platforms fall below the DMA’s </w:t>
      </w:r>
      <w:r w:rsidR="624EEE6A" w:rsidRPr="00DC05B6">
        <w:rPr>
          <w:noProof/>
          <w:spacing w:val="-8"/>
        </w:rPr>
        <w:t>thresholds</w:t>
      </w:r>
      <w:r w:rsidR="42B748C6" w:rsidRPr="00DC05B6">
        <w:rPr>
          <w:noProof/>
          <w:spacing w:val="-8"/>
        </w:rPr>
        <w:t>.</w:t>
      </w:r>
      <w:r w:rsidR="5460ED75" w:rsidRPr="00DC05B6">
        <w:rPr>
          <w:noProof/>
          <w:spacing w:val="-8"/>
        </w:rPr>
        <w:t xml:space="preserve"> The</w:t>
      </w:r>
      <w:r w:rsidR="14D2F335" w:rsidRPr="00DC05B6" w:rsidDel="003C7F29">
        <w:rPr>
          <w:noProof/>
          <w:spacing w:val="-8"/>
        </w:rPr>
        <w:t xml:space="preserve"> </w:t>
      </w:r>
      <w:r w:rsidR="003C7F29">
        <w:rPr>
          <w:noProof/>
          <w:spacing w:val="-8"/>
        </w:rPr>
        <w:t>RMB</w:t>
      </w:r>
      <w:r w:rsidR="14D2F335" w:rsidRPr="00DC05B6">
        <w:rPr>
          <w:noProof/>
          <w:spacing w:val="-8"/>
        </w:rPr>
        <w:t xml:space="preserve"> proposal is </w:t>
      </w:r>
      <w:r w:rsidR="00646993" w:rsidRPr="00DC05B6">
        <w:rPr>
          <w:noProof/>
          <w:spacing w:val="-8"/>
        </w:rPr>
        <w:t>also</w:t>
      </w:r>
      <w:r w:rsidR="14D2F335" w:rsidRPr="00DC05B6">
        <w:rPr>
          <w:noProof/>
          <w:spacing w:val="-8"/>
        </w:rPr>
        <w:t xml:space="preserve"> complementary to </w:t>
      </w:r>
      <w:r w:rsidR="0092057B" w:rsidRPr="00DC05B6">
        <w:rPr>
          <w:noProof/>
          <w:spacing w:val="-8"/>
        </w:rPr>
        <w:t xml:space="preserve">the </w:t>
      </w:r>
      <w:r w:rsidR="0092057B" w:rsidRPr="00DC05B6">
        <w:rPr>
          <w:b/>
          <w:noProof/>
          <w:spacing w:val="-8"/>
        </w:rPr>
        <w:t>Digital Services Act</w:t>
      </w:r>
      <w:r w:rsidR="0092057B" w:rsidRPr="00DC05B6">
        <w:rPr>
          <w:rStyle w:val="FootnoteReference"/>
          <w:b/>
          <w:noProof/>
          <w:spacing w:val="-8"/>
        </w:rPr>
        <w:footnoteReference w:id="28"/>
      </w:r>
      <w:r w:rsidR="0092057B" w:rsidRPr="00DC05B6">
        <w:rPr>
          <w:b/>
          <w:noProof/>
          <w:spacing w:val="-8"/>
        </w:rPr>
        <w:t xml:space="preserve"> (DSA) </w:t>
      </w:r>
      <w:r w:rsidR="5460ED75" w:rsidRPr="00DC05B6">
        <w:rPr>
          <w:noProof/>
          <w:spacing w:val="-8"/>
        </w:rPr>
        <w:t xml:space="preserve">provisions </w:t>
      </w:r>
      <w:r w:rsidR="00C610B6" w:rsidRPr="00DC05B6">
        <w:rPr>
          <w:noProof/>
          <w:spacing w:val="-8"/>
        </w:rPr>
        <w:t>as it also supports</w:t>
      </w:r>
      <w:r w:rsidR="5460ED75" w:rsidRPr="00DC05B6">
        <w:rPr>
          <w:noProof/>
          <w:spacing w:val="-8"/>
        </w:rPr>
        <w:t xml:space="preserve"> a safe, predictable, and trusted online environment</w:t>
      </w:r>
      <w:r w:rsidR="009A0E7E" w:rsidRPr="00DC05B6">
        <w:rPr>
          <w:noProof/>
          <w:spacing w:val="-8"/>
        </w:rPr>
        <w:t>.</w:t>
      </w:r>
      <w:r w:rsidR="5460ED75" w:rsidRPr="00DC05B6">
        <w:rPr>
          <w:noProof/>
          <w:spacing w:val="-8"/>
        </w:rPr>
        <w:t xml:space="preserve"> </w:t>
      </w:r>
      <w:r w:rsidR="5460ED75" w:rsidRPr="00DC05B6">
        <w:rPr>
          <w:b/>
          <w:noProof/>
          <w:spacing w:val="-8"/>
        </w:rPr>
        <w:t xml:space="preserve">The </w:t>
      </w:r>
      <w:r w:rsidR="000870F7" w:rsidRPr="00DC05B6">
        <w:rPr>
          <w:b/>
          <w:noProof/>
          <w:spacing w:val="-8"/>
        </w:rPr>
        <w:t>Data Act</w:t>
      </w:r>
      <w:r w:rsidR="003924B3" w:rsidRPr="00DC05B6">
        <w:rPr>
          <w:rStyle w:val="FootnoteReference"/>
          <w:b/>
          <w:noProof/>
          <w:spacing w:val="-8"/>
        </w:rPr>
        <w:footnoteReference w:id="29"/>
      </w:r>
      <w:r w:rsidR="000870F7" w:rsidRPr="00DC05B6">
        <w:rPr>
          <w:b/>
          <w:noProof/>
          <w:spacing w:val="-8"/>
        </w:rPr>
        <w:t xml:space="preserve"> (</w:t>
      </w:r>
      <w:r w:rsidR="000D1087" w:rsidRPr="00DC05B6">
        <w:rPr>
          <w:b/>
          <w:noProof/>
          <w:spacing w:val="-8"/>
        </w:rPr>
        <w:t>DA</w:t>
      </w:r>
      <w:r w:rsidR="000870F7" w:rsidRPr="00DC05B6">
        <w:rPr>
          <w:b/>
          <w:noProof/>
          <w:spacing w:val="-8"/>
        </w:rPr>
        <w:t>)</w:t>
      </w:r>
      <w:r w:rsidR="5460ED75" w:rsidRPr="00DC05B6">
        <w:rPr>
          <w:b/>
          <w:noProof/>
          <w:spacing w:val="-8"/>
        </w:rPr>
        <w:t xml:space="preserve"> </w:t>
      </w:r>
      <w:r w:rsidR="00CD37DA" w:rsidRPr="00DC05B6">
        <w:rPr>
          <w:noProof/>
          <w:spacing w:val="-8"/>
        </w:rPr>
        <w:t>has</w:t>
      </w:r>
      <w:r w:rsidR="00CD37DA" w:rsidRPr="00DC05B6">
        <w:rPr>
          <w:b/>
          <w:noProof/>
          <w:spacing w:val="-8"/>
        </w:rPr>
        <w:t xml:space="preserve"> </w:t>
      </w:r>
      <w:r w:rsidR="00C34A62" w:rsidRPr="00DC05B6">
        <w:rPr>
          <w:noProof/>
          <w:spacing w:val="-8"/>
        </w:rPr>
        <w:t>synergies with</w:t>
      </w:r>
      <w:r w:rsidR="00CD37DA" w:rsidRPr="00DC05B6">
        <w:rPr>
          <w:noProof/>
          <w:spacing w:val="-8"/>
        </w:rPr>
        <w:t xml:space="preserve"> the </w:t>
      </w:r>
      <w:r w:rsidR="003C7F29">
        <w:rPr>
          <w:noProof/>
          <w:spacing w:val="-8"/>
        </w:rPr>
        <w:t>RMB</w:t>
      </w:r>
      <w:r w:rsidR="003C7F29" w:rsidRPr="00DC05B6">
        <w:rPr>
          <w:noProof/>
          <w:spacing w:val="-8"/>
        </w:rPr>
        <w:t xml:space="preserve"> </w:t>
      </w:r>
      <w:r w:rsidR="00CD37DA" w:rsidRPr="00DC05B6">
        <w:rPr>
          <w:noProof/>
          <w:spacing w:val="-8"/>
        </w:rPr>
        <w:t>proposal, through</w:t>
      </w:r>
      <w:r w:rsidR="5460ED75" w:rsidRPr="00DC05B6">
        <w:rPr>
          <w:noProof/>
          <w:spacing w:val="-8"/>
        </w:rPr>
        <w:t xml:space="preserve"> harmonised rules on data sharing </w:t>
      </w:r>
      <w:r w:rsidR="00F90E54" w:rsidRPr="00DC05B6">
        <w:rPr>
          <w:noProof/>
          <w:spacing w:val="-8"/>
        </w:rPr>
        <w:t>including</w:t>
      </w:r>
      <w:r w:rsidR="5460ED75" w:rsidRPr="00DC05B6">
        <w:rPr>
          <w:noProof/>
          <w:spacing w:val="-8"/>
        </w:rPr>
        <w:t xml:space="preserve"> rules on Business to Government (B2G) data sharing and rules on unfair contractual agreement terms.</w:t>
      </w:r>
      <w:r w:rsidR="320BFA21" w:rsidRPr="00DC05B6">
        <w:rPr>
          <w:noProof/>
          <w:spacing w:val="-8"/>
        </w:rPr>
        <w:t xml:space="preserve"> </w:t>
      </w:r>
      <w:r w:rsidR="3E686BB3" w:rsidRPr="00DC05B6">
        <w:rPr>
          <w:noProof/>
          <w:spacing w:val="-8"/>
        </w:rPr>
        <w:t>In addition,</w:t>
      </w:r>
      <w:r w:rsidR="320BFA21" w:rsidRPr="00DC05B6">
        <w:rPr>
          <w:noProof/>
          <w:spacing w:val="-8"/>
        </w:rPr>
        <w:t xml:space="preserve"> the </w:t>
      </w:r>
      <w:r w:rsidR="000E2678" w:rsidRPr="00DC05B6">
        <w:rPr>
          <w:noProof/>
          <w:spacing w:val="-8"/>
        </w:rPr>
        <w:t>rules on Artificial Intelligence</w:t>
      </w:r>
      <w:r w:rsidR="00CD291F" w:rsidRPr="00DC05B6">
        <w:rPr>
          <w:rStyle w:val="FootnoteReference"/>
          <w:noProof/>
          <w:spacing w:val="-8"/>
        </w:rPr>
        <w:footnoteReference w:id="30"/>
      </w:r>
      <w:r w:rsidR="35F6E77E" w:rsidRPr="00DC05B6">
        <w:rPr>
          <w:noProof/>
          <w:spacing w:val="-8"/>
        </w:rPr>
        <w:t xml:space="preserve">complement </w:t>
      </w:r>
      <w:r w:rsidR="18B64478" w:rsidRPr="00DC05B6">
        <w:rPr>
          <w:noProof/>
          <w:spacing w:val="-8"/>
        </w:rPr>
        <w:t xml:space="preserve">the </w:t>
      </w:r>
      <w:r w:rsidR="003C7F29">
        <w:rPr>
          <w:noProof/>
          <w:spacing w:val="-8"/>
        </w:rPr>
        <w:t>RMB</w:t>
      </w:r>
      <w:r w:rsidR="18B64478" w:rsidRPr="00DC05B6">
        <w:rPr>
          <w:noProof/>
          <w:spacing w:val="-8"/>
        </w:rPr>
        <w:t xml:space="preserve"> proposal by </w:t>
      </w:r>
      <w:r w:rsidR="000E2678" w:rsidRPr="00DC05B6">
        <w:rPr>
          <w:noProof/>
          <w:spacing w:val="-8"/>
        </w:rPr>
        <w:t>establishing</w:t>
      </w:r>
      <w:r w:rsidR="633DBB09" w:rsidRPr="00DC05B6">
        <w:rPr>
          <w:noProof/>
          <w:spacing w:val="-8"/>
        </w:rPr>
        <w:t xml:space="preserve"> rules on AI systems used by MDMS platforms, ensuring safety, transparency, and respect </w:t>
      </w:r>
      <w:r w:rsidR="000E2678" w:rsidRPr="00DC05B6">
        <w:rPr>
          <w:noProof/>
          <w:spacing w:val="-8"/>
        </w:rPr>
        <w:t>of</w:t>
      </w:r>
      <w:r w:rsidR="633DBB09" w:rsidRPr="00DC05B6">
        <w:rPr>
          <w:noProof/>
          <w:spacing w:val="-8"/>
        </w:rPr>
        <w:t xml:space="preserve"> fundamental rights.</w:t>
      </w:r>
      <w:r w:rsidR="633DBB09">
        <w:rPr>
          <w:noProof/>
        </w:rPr>
        <w:t xml:space="preserve"> </w:t>
      </w:r>
    </w:p>
    <w:p w14:paraId="7CF95779" w14:textId="047BE8D4" w:rsidR="00563C46" w:rsidRPr="0077501A" w:rsidRDefault="003C4819" w:rsidP="00E242B4">
      <w:pPr>
        <w:pStyle w:val="BodyText"/>
        <w:tabs>
          <w:tab w:val="left" w:pos="1134"/>
        </w:tabs>
        <w:spacing w:after="240"/>
        <w:ind w:left="0"/>
        <w:rPr>
          <w:noProof/>
        </w:rPr>
      </w:pPr>
      <w:r w:rsidRPr="0077501A">
        <w:rPr>
          <w:noProof/>
          <w:spacing w:val="-8"/>
          <w:u w:val="single"/>
        </w:rPr>
        <w:t>Commercial practices policies</w:t>
      </w:r>
      <w:r w:rsidRPr="0077501A">
        <w:rPr>
          <w:noProof/>
          <w:spacing w:val="-8"/>
        </w:rPr>
        <w:t>:</w:t>
      </w:r>
      <w:r w:rsidR="006C272D" w:rsidRPr="0077501A">
        <w:rPr>
          <w:noProof/>
          <w:spacing w:val="-8"/>
        </w:rPr>
        <w:t xml:space="preserve"> </w:t>
      </w:r>
      <w:r w:rsidR="260F08D9" w:rsidRPr="0077501A">
        <w:rPr>
          <w:noProof/>
          <w:spacing w:val="-8"/>
        </w:rPr>
        <w:t xml:space="preserve">The </w:t>
      </w:r>
      <w:r w:rsidR="00F64487">
        <w:rPr>
          <w:noProof/>
        </w:rPr>
        <w:t>revised</w:t>
      </w:r>
      <w:r w:rsidR="260F08D9">
        <w:rPr>
          <w:noProof/>
        </w:rPr>
        <w:t xml:space="preserve"> </w:t>
      </w:r>
      <w:r w:rsidR="260F08D9" w:rsidRPr="0077501A">
        <w:rPr>
          <w:b/>
          <w:noProof/>
          <w:spacing w:val="-8"/>
        </w:rPr>
        <w:t xml:space="preserve">Directive on Unfair Commercial Practices </w:t>
      </w:r>
      <w:r w:rsidR="260F08D9" w:rsidRPr="0077501A">
        <w:rPr>
          <w:noProof/>
          <w:spacing w:val="-8"/>
        </w:rPr>
        <w:t>prohibit</w:t>
      </w:r>
      <w:r w:rsidR="002C57CB" w:rsidRPr="0077501A">
        <w:rPr>
          <w:noProof/>
          <w:spacing w:val="-8"/>
        </w:rPr>
        <w:t>s</w:t>
      </w:r>
      <w:r w:rsidR="260F08D9" w:rsidRPr="0077501A">
        <w:rPr>
          <w:noProof/>
          <w:spacing w:val="-8"/>
        </w:rPr>
        <w:t xml:space="preserve"> undisclosed advertising and paid promotion for higher ranking of products within search results</w:t>
      </w:r>
      <w:r w:rsidR="008F6444" w:rsidRPr="0077501A">
        <w:rPr>
          <w:noProof/>
          <w:spacing w:val="-8"/>
        </w:rPr>
        <w:t xml:space="preserve"> on MDMS</w:t>
      </w:r>
      <w:r w:rsidR="0096126F" w:rsidRPr="005D2D60">
        <w:rPr>
          <w:noProof/>
          <w:spacing w:val="-8"/>
          <w:vertAlign w:val="superscript"/>
        </w:rPr>
        <w:footnoteReference w:id="31"/>
      </w:r>
      <w:r w:rsidR="00AE6BBF">
        <w:rPr>
          <w:noProof/>
          <w:spacing w:val="-8"/>
        </w:rPr>
        <w:t>.</w:t>
      </w:r>
      <w:r w:rsidR="260F08D9" w:rsidRPr="0077501A">
        <w:rPr>
          <w:noProof/>
          <w:spacing w:val="-8"/>
        </w:rPr>
        <w:t xml:space="preserve"> The</w:t>
      </w:r>
      <w:r w:rsidR="260F08D9" w:rsidRPr="0077501A" w:rsidDel="003C7F29">
        <w:rPr>
          <w:noProof/>
          <w:spacing w:val="-8"/>
        </w:rPr>
        <w:t xml:space="preserve"> </w:t>
      </w:r>
      <w:r w:rsidR="003C7F29">
        <w:rPr>
          <w:noProof/>
          <w:spacing w:val="-8"/>
        </w:rPr>
        <w:t>RMB</w:t>
      </w:r>
      <w:r w:rsidR="260F08D9" w:rsidRPr="0077501A">
        <w:rPr>
          <w:noProof/>
          <w:spacing w:val="-8"/>
        </w:rPr>
        <w:t xml:space="preserve"> proposal complement</w:t>
      </w:r>
      <w:r w:rsidR="00082AA7" w:rsidRPr="0077501A">
        <w:rPr>
          <w:noProof/>
          <w:spacing w:val="-8"/>
        </w:rPr>
        <w:t>s</w:t>
      </w:r>
      <w:r w:rsidR="260F08D9" w:rsidRPr="0077501A">
        <w:rPr>
          <w:noProof/>
          <w:spacing w:val="-8"/>
        </w:rPr>
        <w:t xml:space="preserve"> these acts </w:t>
      </w:r>
      <w:r w:rsidR="009B5164" w:rsidRPr="0077501A">
        <w:rPr>
          <w:noProof/>
          <w:spacing w:val="-8"/>
        </w:rPr>
        <w:t>with</w:t>
      </w:r>
      <w:r w:rsidR="00BA124B" w:rsidRPr="0077501A">
        <w:rPr>
          <w:noProof/>
          <w:spacing w:val="-8"/>
        </w:rPr>
        <w:t xml:space="preserve"> </w:t>
      </w:r>
      <w:r w:rsidR="0EC1945C" w:rsidRPr="0077501A">
        <w:rPr>
          <w:noProof/>
          <w:spacing w:val="-8"/>
        </w:rPr>
        <w:t xml:space="preserve">measures </w:t>
      </w:r>
      <w:r w:rsidR="00BA124B" w:rsidRPr="0077501A">
        <w:rPr>
          <w:noProof/>
          <w:spacing w:val="-8"/>
        </w:rPr>
        <w:t>that</w:t>
      </w:r>
      <w:r w:rsidR="0EC1945C" w:rsidRPr="0077501A">
        <w:rPr>
          <w:noProof/>
          <w:spacing w:val="-8"/>
        </w:rPr>
        <w:t xml:space="preserve"> ensure</w:t>
      </w:r>
      <w:r w:rsidR="18886CAB" w:rsidRPr="0077501A" w:rsidDel="5F6539E4">
        <w:rPr>
          <w:noProof/>
          <w:spacing w:val="-8"/>
        </w:rPr>
        <w:t xml:space="preserve"> </w:t>
      </w:r>
      <w:r w:rsidR="006D0C5D" w:rsidRPr="0077501A">
        <w:rPr>
          <w:noProof/>
          <w:spacing w:val="-8"/>
        </w:rPr>
        <w:t xml:space="preserve">that </w:t>
      </w:r>
      <w:r w:rsidR="3C79476C" w:rsidRPr="0077501A">
        <w:rPr>
          <w:noProof/>
          <w:spacing w:val="-8"/>
        </w:rPr>
        <w:t xml:space="preserve">search results </w:t>
      </w:r>
      <w:r w:rsidR="7E140C71" w:rsidRPr="0077501A">
        <w:rPr>
          <w:noProof/>
          <w:spacing w:val="-8"/>
        </w:rPr>
        <w:t xml:space="preserve">on MDMS platforms </w:t>
      </w:r>
      <w:r w:rsidR="415BD0A6" w:rsidRPr="0077501A">
        <w:rPr>
          <w:noProof/>
          <w:spacing w:val="-8"/>
        </w:rPr>
        <w:t xml:space="preserve">are displayed in a </w:t>
      </w:r>
      <w:r w:rsidR="260F08D9" w:rsidRPr="0077501A">
        <w:rPr>
          <w:noProof/>
          <w:spacing w:val="-8"/>
        </w:rPr>
        <w:t xml:space="preserve">neutral </w:t>
      </w:r>
      <w:r w:rsidR="014C6691" w:rsidRPr="0077501A">
        <w:rPr>
          <w:noProof/>
          <w:spacing w:val="-8"/>
        </w:rPr>
        <w:t>way</w:t>
      </w:r>
      <w:r w:rsidR="00065CCE" w:rsidRPr="0077501A">
        <w:rPr>
          <w:noProof/>
          <w:spacing w:val="-8"/>
        </w:rPr>
        <w:t xml:space="preserve"> (</w:t>
      </w:r>
      <w:r w:rsidR="006A17D5" w:rsidRPr="0077501A">
        <w:rPr>
          <w:noProof/>
          <w:spacing w:val="-8"/>
        </w:rPr>
        <w:t>setting out a list of mandatory ranking criteria</w:t>
      </w:r>
      <w:r w:rsidR="003E7B71" w:rsidRPr="0077501A">
        <w:rPr>
          <w:noProof/>
          <w:spacing w:val="-8"/>
        </w:rPr>
        <w:t xml:space="preserve"> and indicating which criterion was used for display</w:t>
      </w:r>
      <w:r w:rsidR="00065CCE" w:rsidRPr="0077501A">
        <w:rPr>
          <w:noProof/>
          <w:spacing w:val="-8"/>
        </w:rPr>
        <w:t>),</w:t>
      </w:r>
      <w:r w:rsidR="006A17D5" w:rsidRPr="0077501A">
        <w:rPr>
          <w:noProof/>
          <w:spacing w:val="-8"/>
        </w:rPr>
        <w:t xml:space="preserve"> </w:t>
      </w:r>
      <w:r w:rsidR="260F08D9" w:rsidRPr="0077501A">
        <w:rPr>
          <w:noProof/>
          <w:spacing w:val="-8"/>
        </w:rPr>
        <w:t>prohibit self-preferencing</w:t>
      </w:r>
      <w:r w:rsidR="00482FD7" w:rsidRPr="0077501A">
        <w:rPr>
          <w:noProof/>
          <w:spacing w:val="-8"/>
        </w:rPr>
        <w:t xml:space="preserve"> and paid</w:t>
      </w:r>
      <w:r w:rsidR="007C484D" w:rsidRPr="0077501A">
        <w:rPr>
          <w:noProof/>
          <w:spacing w:val="-8"/>
        </w:rPr>
        <w:t xml:space="preserve"> </w:t>
      </w:r>
      <w:r w:rsidR="00482FD7" w:rsidRPr="0077501A">
        <w:rPr>
          <w:noProof/>
          <w:spacing w:val="-8"/>
        </w:rPr>
        <w:t>prominence</w:t>
      </w:r>
      <w:r w:rsidR="25DBB67A" w:rsidRPr="0077501A">
        <w:rPr>
          <w:noProof/>
          <w:spacing w:val="-8"/>
        </w:rPr>
        <w:t>,</w:t>
      </w:r>
      <w:r w:rsidR="1DECF9D6" w:rsidRPr="0077501A">
        <w:rPr>
          <w:noProof/>
          <w:spacing w:val="-8"/>
        </w:rPr>
        <w:t xml:space="preserve"> </w:t>
      </w:r>
      <w:r w:rsidR="260F08D9" w:rsidRPr="0077501A">
        <w:rPr>
          <w:noProof/>
          <w:spacing w:val="-8"/>
        </w:rPr>
        <w:t>allow</w:t>
      </w:r>
      <w:r w:rsidR="00482FD7" w:rsidRPr="0077501A">
        <w:rPr>
          <w:noProof/>
          <w:spacing w:val="-8"/>
        </w:rPr>
        <w:t>ing</w:t>
      </w:r>
      <w:r w:rsidR="260F08D9" w:rsidRPr="0077501A">
        <w:rPr>
          <w:noProof/>
          <w:spacing w:val="-8"/>
        </w:rPr>
        <w:t xml:space="preserve"> advertised content </w:t>
      </w:r>
      <w:r w:rsidR="00C45AAA" w:rsidRPr="0077501A">
        <w:rPr>
          <w:noProof/>
          <w:spacing w:val="-8"/>
        </w:rPr>
        <w:t>only</w:t>
      </w:r>
      <w:r w:rsidR="260F08D9" w:rsidRPr="0077501A">
        <w:rPr>
          <w:noProof/>
          <w:spacing w:val="-8"/>
        </w:rPr>
        <w:t xml:space="preserve"> </w:t>
      </w:r>
      <w:r w:rsidR="23016470" w:rsidRPr="0077501A">
        <w:rPr>
          <w:noProof/>
          <w:spacing w:val="-8"/>
        </w:rPr>
        <w:t>under</w:t>
      </w:r>
      <w:r w:rsidR="260F08D9" w:rsidRPr="0077501A">
        <w:rPr>
          <w:noProof/>
          <w:spacing w:val="-8"/>
        </w:rPr>
        <w:t xml:space="preserve"> certain conditions.</w:t>
      </w:r>
    </w:p>
    <w:p w14:paraId="275FB1C6" w14:textId="6FEEEEAD" w:rsidR="00712390" w:rsidRPr="0077501A" w:rsidRDefault="003C4819" w:rsidP="00E242B4">
      <w:pPr>
        <w:pStyle w:val="BodyText"/>
        <w:tabs>
          <w:tab w:val="left" w:pos="1134"/>
        </w:tabs>
        <w:spacing w:after="240"/>
        <w:ind w:left="0"/>
        <w:rPr>
          <w:noProof/>
          <w:spacing w:val="-8"/>
        </w:rPr>
      </w:pPr>
      <w:r w:rsidRPr="0077501A">
        <w:rPr>
          <w:noProof/>
          <w:spacing w:val="-8"/>
          <w:u w:val="single"/>
        </w:rPr>
        <w:t>Passenger rights policy:</w:t>
      </w:r>
      <w:r w:rsidR="006C272D" w:rsidRPr="0077501A">
        <w:rPr>
          <w:noProof/>
          <w:spacing w:val="-8"/>
        </w:rPr>
        <w:t xml:space="preserve"> </w:t>
      </w:r>
      <w:r w:rsidR="005C51DF" w:rsidRPr="0077501A">
        <w:rPr>
          <w:noProof/>
          <w:spacing w:val="-8"/>
        </w:rPr>
        <w:t>The recast Regulation on rail passengers’ rights and obligations</w:t>
      </w:r>
      <w:r w:rsidR="005C51DF" w:rsidRPr="009142F3">
        <w:rPr>
          <w:noProof/>
          <w:spacing w:val="-8"/>
          <w:vertAlign w:val="superscript"/>
        </w:rPr>
        <w:footnoteReference w:id="32"/>
      </w:r>
      <w:r w:rsidR="005C51DF" w:rsidRPr="0077501A">
        <w:rPr>
          <w:b/>
          <w:noProof/>
          <w:spacing w:val="-8"/>
        </w:rPr>
        <w:t xml:space="preserve"> </w:t>
      </w:r>
      <w:r w:rsidR="005C51DF" w:rsidRPr="0077501A" w:rsidDel="6F7B9AC6">
        <w:rPr>
          <w:noProof/>
          <w:spacing w:val="-8"/>
        </w:rPr>
        <w:t xml:space="preserve">entered into force in June 2021 and applies from June 2023. </w:t>
      </w:r>
      <w:r w:rsidR="005C51DF" w:rsidRPr="0077501A">
        <w:rPr>
          <w:noProof/>
          <w:spacing w:val="-8"/>
        </w:rPr>
        <w:t xml:space="preserve">It replaces the initial EU rules in the domain that applied since 2009. </w:t>
      </w:r>
      <w:r w:rsidR="27220ED1" w:rsidRPr="0077501A">
        <w:rPr>
          <w:noProof/>
          <w:spacing w:val="-8"/>
        </w:rPr>
        <w:t>T</w:t>
      </w:r>
      <w:r w:rsidR="005C51DF" w:rsidRPr="0077501A">
        <w:rPr>
          <w:noProof/>
          <w:spacing w:val="-8"/>
        </w:rPr>
        <w:t>he Regulation</w:t>
      </w:r>
      <w:r w:rsidR="001270A6" w:rsidRPr="0077501A">
        <w:rPr>
          <w:noProof/>
          <w:spacing w:val="-8"/>
        </w:rPr>
        <w:t xml:space="preserve"> improves</w:t>
      </w:r>
      <w:r w:rsidR="6A215C74" w:rsidRPr="0077501A">
        <w:rPr>
          <w:noProof/>
          <w:spacing w:val="-8"/>
        </w:rPr>
        <w:t xml:space="preserve"> real-time travel information, </w:t>
      </w:r>
      <w:r w:rsidR="001270A6" w:rsidRPr="0077501A">
        <w:rPr>
          <w:noProof/>
          <w:spacing w:val="-8"/>
        </w:rPr>
        <w:t xml:space="preserve">introduces </w:t>
      </w:r>
      <w:r w:rsidR="6A215C74" w:rsidRPr="0077501A">
        <w:rPr>
          <w:noProof/>
          <w:spacing w:val="-8"/>
        </w:rPr>
        <w:t>data</w:t>
      </w:r>
      <w:r w:rsidR="001270A6" w:rsidRPr="0077501A">
        <w:rPr>
          <w:noProof/>
          <w:spacing w:val="-8"/>
        </w:rPr>
        <w:t>-</w:t>
      </w:r>
      <w:r w:rsidR="6A215C74" w:rsidRPr="0077501A">
        <w:rPr>
          <w:noProof/>
          <w:spacing w:val="-8"/>
        </w:rPr>
        <w:t xml:space="preserve">sharing </w:t>
      </w:r>
      <w:r w:rsidR="001270A6" w:rsidRPr="0077501A">
        <w:rPr>
          <w:noProof/>
          <w:spacing w:val="-8"/>
        </w:rPr>
        <w:t xml:space="preserve">rules for </w:t>
      </w:r>
      <w:r w:rsidR="6A215C74" w:rsidRPr="0077501A">
        <w:rPr>
          <w:noProof/>
          <w:spacing w:val="-8"/>
        </w:rPr>
        <w:t xml:space="preserve">operators and </w:t>
      </w:r>
      <w:r w:rsidR="005C51DF" w:rsidRPr="0077501A">
        <w:rPr>
          <w:noProof/>
          <w:spacing w:val="-8"/>
        </w:rPr>
        <w:t xml:space="preserve">third parties (including ticket vendors and other </w:t>
      </w:r>
      <w:r w:rsidR="003C6961">
        <w:rPr>
          <w:noProof/>
          <w:spacing w:val="-8"/>
        </w:rPr>
        <w:t>RU</w:t>
      </w:r>
      <w:r w:rsidR="005C51DF" w:rsidRPr="0077501A">
        <w:rPr>
          <w:noProof/>
          <w:spacing w:val="-8"/>
        </w:rPr>
        <w:t>)</w:t>
      </w:r>
      <w:r w:rsidR="047CCD80" w:rsidRPr="0077501A">
        <w:rPr>
          <w:noProof/>
          <w:spacing w:val="-8"/>
        </w:rPr>
        <w:t xml:space="preserve"> </w:t>
      </w:r>
      <w:r w:rsidR="6A215C74" w:rsidRPr="0077501A">
        <w:rPr>
          <w:noProof/>
          <w:spacing w:val="-8"/>
        </w:rPr>
        <w:t xml:space="preserve">when they have an agreement, </w:t>
      </w:r>
      <w:r w:rsidR="001270A6" w:rsidRPr="0077501A">
        <w:rPr>
          <w:noProof/>
          <w:spacing w:val="-8"/>
        </w:rPr>
        <w:t xml:space="preserve">adds a </w:t>
      </w:r>
      <w:r w:rsidR="6A215C74" w:rsidRPr="0077501A">
        <w:rPr>
          <w:noProof/>
          <w:spacing w:val="-8"/>
        </w:rPr>
        <w:t>self-rerouting</w:t>
      </w:r>
      <w:r w:rsidR="001270A6" w:rsidRPr="0077501A">
        <w:rPr>
          <w:noProof/>
          <w:spacing w:val="-8"/>
        </w:rPr>
        <w:t xml:space="preserve"> right, and requires</w:t>
      </w:r>
      <w:r w:rsidR="6A215C74" w:rsidRPr="0077501A">
        <w:rPr>
          <w:noProof/>
          <w:spacing w:val="-8"/>
        </w:rPr>
        <w:t xml:space="preserve"> </w:t>
      </w:r>
      <w:r w:rsidR="003C6961">
        <w:rPr>
          <w:noProof/>
          <w:spacing w:val="-8"/>
        </w:rPr>
        <w:t>RU</w:t>
      </w:r>
      <w:r w:rsidR="6A215C74" w:rsidRPr="0077501A">
        <w:rPr>
          <w:noProof/>
          <w:spacing w:val="-8"/>
        </w:rPr>
        <w:t xml:space="preserve"> under the same ownership to offer through-tickets. </w:t>
      </w:r>
      <w:r w:rsidR="01438FDF" w:rsidRPr="0077501A">
        <w:rPr>
          <w:noProof/>
          <w:spacing w:val="-8"/>
        </w:rPr>
        <w:t xml:space="preserve">A targeted revision of </w:t>
      </w:r>
      <w:r w:rsidR="005C51DF" w:rsidRPr="0077501A">
        <w:rPr>
          <w:noProof/>
          <w:spacing w:val="-8"/>
        </w:rPr>
        <w:t>this Regulation</w:t>
      </w:r>
      <w:r w:rsidR="659BA2F6" w:rsidRPr="0077501A">
        <w:rPr>
          <w:noProof/>
          <w:spacing w:val="-8"/>
        </w:rPr>
        <w:t xml:space="preserve"> </w:t>
      </w:r>
      <w:r w:rsidR="1B60CEBE" w:rsidRPr="0077501A">
        <w:rPr>
          <w:noProof/>
          <w:spacing w:val="-8"/>
        </w:rPr>
        <w:t>is</w:t>
      </w:r>
      <w:r w:rsidR="01438FDF" w:rsidRPr="0077501A">
        <w:rPr>
          <w:noProof/>
          <w:spacing w:val="-8"/>
        </w:rPr>
        <w:t xml:space="preserve"> </w:t>
      </w:r>
      <w:r w:rsidR="2C9BC3E4" w:rsidRPr="0077501A">
        <w:rPr>
          <w:noProof/>
          <w:spacing w:val="-8"/>
        </w:rPr>
        <w:t xml:space="preserve">being </w:t>
      </w:r>
      <w:r w:rsidR="703406D9" w:rsidRPr="0077501A">
        <w:rPr>
          <w:noProof/>
          <w:spacing w:val="-8"/>
        </w:rPr>
        <w:t xml:space="preserve">undertaken in parallel to this initiative </w:t>
      </w:r>
      <w:r w:rsidR="5EDEFF76" w:rsidRPr="0077501A">
        <w:rPr>
          <w:noProof/>
          <w:spacing w:val="-8"/>
        </w:rPr>
        <w:t xml:space="preserve">to </w:t>
      </w:r>
      <w:r w:rsidR="4A44328F" w:rsidRPr="0077501A">
        <w:rPr>
          <w:noProof/>
          <w:spacing w:val="-8"/>
        </w:rPr>
        <w:t xml:space="preserve">increase </w:t>
      </w:r>
      <w:r w:rsidR="005C51DF" w:rsidRPr="0077501A">
        <w:rPr>
          <w:noProof/>
          <w:spacing w:val="-8"/>
        </w:rPr>
        <w:t xml:space="preserve">rights for rail passengers </w:t>
      </w:r>
      <w:r w:rsidR="004633AF">
        <w:rPr>
          <w:noProof/>
          <w:spacing w:val="-8"/>
        </w:rPr>
        <w:t>holding</w:t>
      </w:r>
      <w:r w:rsidR="005C51DF" w:rsidRPr="0077501A">
        <w:rPr>
          <w:noProof/>
          <w:spacing w:val="-8"/>
        </w:rPr>
        <w:t xml:space="preserve"> a single ticket for a single journey with</w:t>
      </w:r>
      <w:r w:rsidR="4A44328F" w:rsidRPr="0077501A">
        <w:rPr>
          <w:noProof/>
          <w:spacing w:val="-8"/>
        </w:rPr>
        <w:t xml:space="preserve"> multiple </w:t>
      </w:r>
      <w:r w:rsidR="003C6961">
        <w:rPr>
          <w:noProof/>
          <w:spacing w:val="-8"/>
        </w:rPr>
        <w:t>RU</w:t>
      </w:r>
      <w:r w:rsidR="34B4AE5D">
        <w:rPr>
          <w:noProof/>
        </w:rPr>
        <w:t>s</w:t>
      </w:r>
      <w:r w:rsidR="005C51DF" w:rsidRPr="0077501A">
        <w:rPr>
          <w:noProof/>
          <w:spacing w:val="-8"/>
        </w:rPr>
        <w:t>,</w:t>
      </w:r>
      <w:r w:rsidR="4A44328F" w:rsidRPr="0077501A">
        <w:rPr>
          <w:noProof/>
          <w:spacing w:val="-8"/>
        </w:rPr>
        <w:t xml:space="preserve"> booked on a single platform </w:t>
      </w:r>
      <w:r w:rsidR="005C51DF" w:rsidRPr="0077501A">
        <w:rPr>
          <w:noProof/>
          <w:spacing w:val="-8"/>
        </w:rPr>
        <w:t>in</w:t>
      </w:r>
      <w:r w:rsidR="4A44328F" w:rsidRPr="0077501A">
        <w:rPr>
          <w:noProof/>
          <w:spacing w:val="-8"/>
        </w:rPr>
        <w:t xml:space="preserve"> a single transaction</w:t>
      </w:r>
      <w:r w:rsidR="5BEA2DCE" w:rsidRPr="0077501A">
        <w:rPr>
          <w:noProof/>
          <w:spacing w:val="-8"/>
        </w:rPr>
        <w:t xml:space="preserve">. </w:t>
      </w:r>
      <w:r w:rsidR="74186423" w:rsidRPr="0077501A">
        <w:rPr>
          <w:noProof/>
          <w:spacing w:val="-8"/>
        </w:rPr>
        <w:t xml:space="preserve">SDBTR complements </w:t>
      </w:r>
      <w:r w:rsidR="005C51DF" w:rsidRPr="0077501A">
        <w:rPr>
          <w:noProof/>
          <w:spacing w:val="-8"/>
        </w:rPr>
        <w:t xml:space="preserve">this revision </w:t>
      </w:r>
      <w:r w:rsidR="74186423" w:rsidRPr="0077501A">
        <w:rPr>
          <w:noProof/>
          <w:spacing w:val="-8"/>
        </w:rPr>
        <w:t xml:space="preserve">by </w:t>
      </w:r>
      <w:r w:rsidR="577EE3E1" w:rsidRPr="0077501A">
        <w:rPr>
          <w:noProof/>
          <w:spacing w:val="-8"/>
        </w:rPr>
        <w:t xml:space="preserve">creating the conditions for rail </w:t>
      </w:r>
      <w:r w:rsidR="00703A84" w:rsidRPr="0077501A">
        <w:rPr>
          <w:noProof/>
          <w:spacing w:val="-8"/>
        </w:rPr>
        <w:t>travellers</w:t>
      </w:r>
      <w:r w:rsidR="577EE3E1" w:rsidRPr="0077501A">
        <w:rPr>
          <w:noProof/>
          <w:spacing w:val="-8"/>
        </w:rPr>
        <w:t xml:space="preserve"> to book </w:t>
      </w:r>
      <w:r w:rsidR="005C51DF" w:rsidRPr="0077501A">
        <w:rPr>
          <w:noProof/>
          <w:spacing w:val="-8"/>
        </w:rPr>
        <w:t xml:space="preserve">these single </w:t>
      </w:r>
      <w:r w:rsidR="577EE3E1" w:rsidRPr="0077501A">
        <w:rPr>
          <w:noProof/>
          <w:spacing w:val="-8"/>
        </w:rPr>
        <w:t>tickets</w:t>
      </w:r>
      <w:r w:rsidR="005C51DF" w:rsidRPr="0077501A">
        <w:rPr>
          <w:noProof/>
          <w:spacing w:val="-8"/>
        </w:rPr>
        <w:t xml:space="preserve">. </w:t>
      </w:r>
      <w:r w:rsidR="00530350">
        <w:rPr>
          <w:noProof/>
          <w:spacing w:val="-8"/>
        </w:rPr>
        <w:t>T</w:t>
      </w:r>
      <w:r w:rsidR="005C51DF" w:rsidRPr="0077501A">
        <w:rPr>
          <w:noProof/>
          <w:spacing w:val="-8"/>
        </w:rPr>
        <w:t>he Commission adopted</w:t>
      </w:r>
      <w:r w:rsidR="577EE3E1" w:rsidRPr="0077501A">
        <w:rPr>
          <w:noProof/>
          <w:spacing w:val="-8"/>
        </w:rPr>
        <w:t xml:space="preserve"> a </w:t>
      </w:r>
      <w:r w:rsidR="005C51DF" w:rsidRPr="0077501A">
        <w:rPr>
          <w:noProof/>
          <w:spacing w:val="-8"/>
        </w:rPr>
        <w:t>proposal in 2023 for passenger rights in the context of multimodal journeys</w:t>
      </w:r>
      <w:r w:rsidR="005C51DF" w:rsidRPr="0077501A">
        <w:rPr>
          <w:noProof/>
          <w:spacing w:val="-8"/>
          <w:vertAlign w:val="superscript"/>
        </w:rPr>
        <w:footnoteReference w:id="33"/>
      </w:r>
      <w:r w:rsidR="005C51DF" w:rsidRPr="0077501A">
        <w:rPr>
          <w:noProof/>
          <w:spacing w:val="-8"/>
        </w:rPr>
        <w:t xml:space="preserve"> that</w:t>
      </w:r>
      <w:r w:rsidR="005C51DF">
        <w:rPr>
          <w:noProof/>
        </w:rPr>
        <w:t xml:space="preserve"> </w:t>
      </w:r>
      <w:r w:rsidR="3C322C47">
        <w:rPr>
          <w:noProof/>
        </w:rPr>
        <w:t xml:space="preserve">puts forward </w:t>
      </w:r>
      <w:r w:rsidR="005C51DF" w:rsidRPr="0077501A">
        <w:rPr>
          <w:noProof/>
          <w:spacing w:val="-8"/>
        </w:rPr>
        <w:t xml:space="preserve">rules to ensure the protection of passengers when switching between different transport modes. </w:t>
      </w:r>
      <w:r w:rsidR="2EDAE791" w:rsidRPr="0077501A">
        <w:rPr>
          <w:noProof/>
          <w:spacing w:val="-8"/>
        </w:rPr>
        <w:t>I</w:t>
      </w:r>
      <w:r w:rsidR="005C51DF" w:rsidRPr="0077501A">
        <w:rPr>
          <w:noProof/>
          <w:spacing w:val="-8"/>
        </w:rPr>
        <w:t xml:space="preserve">t proposes that passengers with single contracts for a multimodal journey should be assisted in the event of travel </w:t>
      </w:r>
      <w:r w:rsidR="004367F9" w:rsidRPr="0077501A">
        <w:rPr>
          <w:noProof/>
          <w:spacing w:val="-8"/>
        </w:rPr>
        <w:t>disruptions and</w:t>
      </w:r>
      <w:r w:rsidR="005C51DF" w:rsidRPr="0077501A">
        <w:rPr>
          <w:noProof/>
          <w:spacing w:val="-8"/>
        </w:rPr>
        <w:t xml:space="preserve"> suggests a specific liability regime for intermediaries who combine separate tickets into a multimodal journey that the passenger buys from them in</w:t>
      </w:r>
      <w:r w:rsidR="22BE45F7" w:rsidRPr="0077501A">
        <w:rPr>
          <w:noProof/>
          <w:spacing w:val="-8"/>
        </w:rPr>
        <w:t xml:space="preserve"> a single </w:t>
      </w:r>
      <w:r w:rsidR="10B5BEA0" w:rsidRPr="0077501A">
        <w:rPr>
          <w:noProof/>
          <w:spacing w:val="-8"/>
        </w:rPr>
        <w:t>transaction.</w:t>
      </w:r>
    </w:p>
    <w:p w14:paraId="5940B875" w14:textId="262CBE84" w:rsidR="009B1FD7" w:rsidRPr="0077501A" w:rsidRDefault="2471901C" w:rsidP="00E242B4">
      <w:pPr>
        <w:pStyle w:val="BodyText"/>
        <w:tabs>
          <w:tab w:val="left" w:pos="1134"/>
        </w:tabs>
        <w:spacing w:after="240"/>
        <w:ind w:left="0"/>
        <w:rPr>
          <w:noProof/>
          <w:spacing w:val="-8"/>
        </w:rPr>
      </w:pPr>
      <w:r w:rsidRPr="0077501A">
        <w:rPr>
          <w:noProof/>
          <w:spacing w:val="-8"/>
          <w:u w:val="single"/>
        </w:rPr>
        <w:t>Other initiatives</w:t>
      </w:r>
      <w:r w:rsidRPr="0077501A">
        <w:rPr>
          <w:noProof/>
          <w:spacing w:val="-8"/>
        </w:rPr>
        <w:t>:</w:t>
      </w:r>
      <w:r w:rsidR="006C272D" w:rsidRPr="0077501A">
        <w:rPr>
          <w:noProof/>
          <w:spacing w:val="-8"/>
        </w:rPr>
        <w:t xml:space="preserve"> </w:t>
      </w:r>
      <w:r w:rsidR="03B84A0B" w:rsidRPr="0077501A">
        <w:rPr>
          <w:noProof/>
          <w:spacing w:val="-8"/>
        </w:rPr>
        <w:t xml:space="preserve">The </w:t>
      </w:r>
      <w:r w:rsidR="03B84A0B" w:rsidRPr="0077501A">
        <w:rPr>
          <w:b/>
          <w:noProof/>
          <w:spacing w:val="-8"/>
        </w:rPr>
        <w:t>CountEmissions</w:t>
      </w:r>
      <w:r w:rsidR="00B76EB0" w:rsidRPr="0077501A">
        <w:rPr>
          <w:b/>
          <w:noProof/>
          <w:spacing w:val="-8"/>
        </w:rPr>
        <w:t xml:space="preserve"> </w:t>
      </w:r>
      <w:r w:rsidR="03B84A0B" w:rsidRPr="0077501A">
        <w:rPr>
          <w:b/>
          <w:noProof/>
          <w:spacing w:val="-8"/>
        </w:rPr>
        <w:t>EU</w:t>
      </w:r>
      <w:r w:rsidR="005870B6" w:rsidRPr="0077501A">
        <w:rPr>
          <w:rStyle w:val="FootnoteReference"/>
          <w:b/>
          <w:noProof/>
          <w:spacing w:val="-8"/>
        </w:rPr>
        <w:footnoteReference w:id="34"/>
      </w:r>
      <w:r w:rsidR="03B84A0B" w:rsidRPr="0077501A">
        <w:rPr>
          <w:noProof/>
          <w:spacing w:val="-8"/>
        </w:rPr>
        <w:t xml:space="preserve"> </w:t>
      </w:r>
      <w:r w:rsidR="10E5CDE9" w:rsidRPr="0077501A">
        <w:rPr>
          <w:noProof/>
          <w:spacing w:val="-8"/>
        </w:rPr>
        <w:t xml:space="preserve">and </w:t>
      </w:r>
      <w:r w:rsidR="3F0209DF" w:rsidRPr="0077501A">
        <w:rPr>
          <w:b/>
          <w:noProof/>
          <w:spacing w:val="-8"/>
        </w:rPr>
        <w:t>Flight Emission Label</w:t>
      </w:r>
      <w:r w:rsidR="00AD4029" w:rsidRPr="0077501A">
        <w:rPr>
          <w:rStyle w:val="FootnoteReference"/>
          <w:b/>
          <w:noProof/>
          <w:spacing w:val="-8"/>
        </w:rPr>
        <w:footnoteReference w:id="35"/>
      </w:r>
      <w:r w:rsidR="3F0209DF" w:rsidRPr="0077501A">
        <w:rPr>
          <w:noProof/>
          <w:spacing w:val="-8"/>
        </w:rPr>
        <w:t xml:space="preserve"> </w:t>
      </w:r>
      <w:r w:rsidR="03B84A0B" w:rsidRPr="0077501A">
        <w:rPr>
          <w:noProof/>
          <w:spacing w:val="-8"/>
        </w:rPr>
        <w:t>initiative</w:t>
      </w:r>
      <w:r w:rsidR="5498EF5C" w:rsidRPr="0077501A">
        <w:rPr>
          <w:noProof/>
          <w:spacing w:val="-8"/>
        </w:rPr>
        <w:t>s</w:t>
      </w:r>
      <w:r w:rsidR="03B84A0B" w:rsidRPr="0077501A">
        <w:rPr>
          <w:noProof/>
          <w:spacing w:val="-8"/>
        </w:rPr>
        <w:t xml:space="preserve"> set out a common framework to calculate and report transport-related greenhouse gas emissions. Transparent information applied across modes will enable passengers to choose the most sustainable options for their trips.</w:t>
      </w:r>
      <w:r w:rsidR="0B5B1B53" w:rsidRPr="0077501A">
        <w:rPr>
          <w:noProof/>
          <w:spacing w:val="-8"/>
        </w:rPr>
        <w:t xml:space="preserve"> </w:t>
      </w:r>
      <w:r w:rsidR="50422F29" w:rsidRPr="0077501A">
        <w:rPr>
          <w:noProof/>
          <w:spacing w:val="-8"/>
        </w:rPr>
        <w:t xml:space="preserve">The </w:t>
      </w:r>
      <w:r w:rsidR="05C5F2BD" w:rsidRPr="0077501A">
        <w:rPr>
          <w:b/>
          <w:noProof/>
          <w:spacing w:val="-8"/>
        </w:rPr>
        <w:t>Transition Pathway for Tourism</w:t>
      </w:r>
      <w:r w:rsidR="00744667" w:rsidRPr="0077501A">
        <w:rPr>
          <w:rStyle w:val="FootnoteReference"/>
          <w:b/>
          <w:noProof/>
          <w:spacing w:val="-8"/>
        </w:rPr>
        <w:footnoteReference w:id="36"/>
      </w:r>
      <w:r w:rsidR="05C5F2BD" w:rsidRPr="0077501A">
        <w:rPr>
          <w:noProof/>
          <w:spacing w:val="-8"/>
        </w:rPr>
        <w:t xml:space="preserve"> set</w:t>
      </w:r>
      <w:r w:rsidR="00640F64" w:rsidRPr="0077501A">
        <w:rPr>
          <w:noProof/>
          <w:spacing w:val="-8"/>
        </w:rPr>
        <w:t>s</w:t>
      </w:r>
      <w:r w:rsidR="05C5F2BD" w:rsidRPr="0077501A">
        <w:rPr>
          <w:noProof/>
          <w:spacing w:val="-8"/>
        </w:rPr>
        <w:t xml:space="preserve"> up a common European data space for tourism with the objectives to facilitate stakeholder cooperation and to encourage the active sharing of tourism-related data including mobility data.</w:t>
      </w:r>
      <w:bookmarkStart w:id="15" w:name="1.4_Evaluation_of_the_existing_Regulatio"/>
      <w:bookmarkEnd w:id="15"/>
      <w:r w:rsidR="00476BC9" w:rsidRPr="0077501A">
        <w:rPr>
          <w:noProof/>
          <w:spacing w:val="-8"/>
        </w:rPr>
        <w:t xml:space="preserve"> </w:t>
      </w:r>
      <w:r w:rsidR="00A638D7" w:rsidRPr="0077501A">
        <w:rPr>
          <w:noProof/>
          <w:spacing w:val="-8"/>
        </w:rPr>
        <w:t xml:space="preserve">The </w:t>
      </w:r>
      <w:r w:rsidR="00CD4B71" w:rsidRPr="0077501A">
        <w:rPr>
          <w:b/>
          <w:noProof/>
          <w:spacing w:val="-8"/>
        </w:rPr>
        <w:t>Report from the Commission to the Council on the implementation of the European Tourism Agenda 2030</w:t>
      </w:r>
      <w:r w:rsidR="00CD4B71" w:rsidRPr="0077501A">
        <w:rPr>
          <w:rStyle w:val="FootnoteReference"/>
          <w:noProof/>
          <w:spacing w:val="-8"/>
        </w:rPr>
        <w:footnoteReference w:id="37"/>
      </w:r>
      <w:r w:rsidR="00A638D7" w:rsidRPr="0077501A">
        <w:rPr>
          <w:b/>
          <w:noProof/>
          <w:spacing w:val="-8"/>
        </w:rPr>
        <w:t xml:space="preserve"> </w:t>
      </w:r>
      <w:r w:rsidR="00A638D7" w:rsidRPr="0077501A">
        <w:rPr>
          <w:noProof/>
          <w:spacing w:val="-8"/>
        </w:rPr>
        <w:t>mentions multimodality as a key enabler</w:t>
      </w:r>
      <w:r w:rsidR="00A638D7" w:rsidRPr="0077501A">
        <w:rPr>
          <w:b/>
          <w:noProof/>
          <w:spacing w:val="-8"/>
        </w:rPr>
        <w:t xml:space="preserve"> </w:t>
      </w:r>
      <w:r w:rsidR="00A638D7" w:rsidRPr="0077501A">
        <w:rPr>
          <w:noProof/>
          <w:spacing w:val="-8"/>
        </w:rPr>
        <w:t>of competitiveness in the sector.</w:t>
      </w:r>
    </w:p>
    <w:p w14:paraId="04F85F01" w14:textId="1348C1A7" w:rsidR="00712390" w:rsidRPr="00D71008" w:rsidRDefault="003C4819" w:rsidP="007B2D8E">
      <w:pPr>
        <w:pStyle w:val="Heading2"/>
        <w:keepNext/>
        <w:numPr>
          <w:ilvl w:val="1"/>
          <w:numId w:val="11"/>
        </w:numPr>
        <w:tabs>
          <w:tab w:val="left" w:pos="709"/>
        </w:tabs>
        <w:spacing w:before="240" w:after="240"/>
        <w:ind w:left="1134" w:hanging="708"/>
        <w:rPr>
          <w:noProof/>
        </w:rPr>
      </w:pPr>
      <w:bookmarkStart w:id="16" w:name="_Toc220667473"/>
      <w:bookmarkStart w:id="17" w:name="_Toc223979938"/>
      <w:r w:rsidRPr="00D71008">
        <w:rPr>
          <w:noProof/>
        </w:rPr>
        <w:t>Evaluation of the Regulation on a Code of Conduct for CRS</w:t>
      </w:r>
      <w:bookmarkEnd w:id="16"/>
      <w:bookmarkEnd w:id="17"/>
    </w:p>
    <w:p w14:paraId="37EDAB39" w14:textId="54B72D46" w:rsidR="0055215B" w:rsidRPr="0077501A" w:rsidRDefault="00C466CE" w:rsidP="00E40108">
      <w:pPr>
        <w:pStyle w:val="BodyText"/>
        <w:spacing w:after="240"/>
        <w:ind w:left="0"/>
        <w:rPr>
          <w:noProof/>
          <w:spacing w:val="-8"/>
        </w:rPr>
      </w:pPr>
      <w:r w:rsidRPr="005D2D60">
        <w:rPr>
          <w:noProof/>
          <w:spacing w:val="-8"/>
        </w:rPr>
        <w:t>A particular type of MDMS, active in the</w:t>
      </w:r>
      <w:r w:rsidR="004851A6">
        <w:rPr>
          <w:noProof/>
          <w:spacing w:val="-8"/>
        </w:rPr>
        <w:t xml:space="preserve"> </w:t>
      </w:r>
      <w:r w:rsidR="003635B3">
        <w:rPr>
          <w:noProof/>
          <w:spacing w:val="-8"/>
        </w:rPr>
        <w:t>b</w:t>
      </w:r>
      <w:r w:rsidR="004851A6" w:rsidRPr="004851A6">
        <w:rPr>
          <w:noProof/>
          <w:spacing w:val="-8"/>
        </w:rPr>
        <w:t>usiness-to-</w:t>
      </w:r>
      <w:r w:rsidR="003635B3">
        <w:rPr>
          <w:noProof/>
          <w:spacing w:val="-8"/>
        </w:rPr>
        <w:t>b</w:t>
      </w:r>
      <w:r w:rsidR="004851A6" w:rsidRPr="004851A6">
        <w:rPr>
          <w:noProof/>
          <w:spacing w:val="-8"/>
        </w:rPr>
        <w:t>usiness</w:t>
      </w:r>
      <w:r w:rsidRPr="005D2D60">
        <w:rPr>
          <w:noProof/>
          <w:spacing w:val="-8"/>
        </w:rPr>
        <w:t xml:space="preserve"> </w:t>
      </w:r>
      <w:r w:rsidR="004851A6">
        <w:rPr>
          <w:noProof/>
          <w:spacing w:val="-8"/>
        </w:rPr>
        <w:t>(</w:t>
      </w:r>
      <w:r w:rsidRPr="005D2D60">
        <w:rPr>
          <w:noProof/>
          <w:spacing w:val="-8"/>
        </w:rPr>
        <w:t>B2B</w:t>
      </w:r>
      <w:r w:rsidR="004851A6">
        <w:rPr>
          <w:noProof/>
          <w:spacing w:val="-8"/>
        </w:rPr>
        <w:t>)</w:t>
      </w:r>
      <w:r w:rsidRPr="005D2D60">
        <w:rPr>
          <w:noProof/>
          <w:spacing w:val="-8"/>
        </w:rPr>
        <w:t xml:space="preserve"> segment, are the </w:t>
      </w:r>
      <w:r w:rsidR="00CF3CDF" w:rsidRPr="00CF3CDF">
        <w:rPr>
          <w:noProof/>
          <w:spacing w:val="-8"/>
        </w:rPr>
        <w:t xml:space="preserve">Computerised Reservation Systems </w:t>
      </w:r>
      <w:r w:rsidR="00CF3CDF">
        <w:rPr>
          <w:noProof/>
          <w:spacing w:val="-8"/>
        </w:rPr>
        <w:t>(</w:t>
      </w:r>
      <w:r w:rsidR="00F85081" w:rsidRPr="005D2032">
        <w:rPr>
          <w:noProof/>
          <w:spacing w:val="-8"/>
        </w:rPr>
        <w:t>CRSs</w:t>
      </w:r>
      <w:r w:rsidR="00CF3CDF">
        <w:rPr>
          <w:noProof/>
          <w:spacing w:val="-8"/>
        </w:rPr>
        <w:t>)</w:t>
      </w:r>
      <w:r w:rsidR="006B5419">
        <w:rPr>
          <w:rStyle w:val="FootnoteReference"/>
          <w:noProof/>
          <w:spacing w:val="-8"/>
        </w:rPr>
        <w:footnoteReference w:id="38"/>
      </w:r>
      <w:r w:rsidRPr="005D2032">
        <w:rPr>
          <w:noProof/>
          <w:spacing w:val="-8"/>
        </w:rPr>
        <w:t>. These</w:t>
      </w:r>
      <w:r w:rsidR="00F85081" w:rsidRPr="0077501A">
        <w:rPr>
          <w:noProof/>
          <w:spacing w:val="-8"/>
        </w:rPr>
        <w:t xml:space="preserve"> were created by airlines in the 1960s, to grant </w:t>
      </w:r>
      <w:r w:rsidR="001B0E8D" w:rsidRPr="005D2D60">
        <w:rPr>
          <w:noProof/>
          <w:spacing w:val="-8"/>
        </w:rPr>
        <w:t xml:space="preserve">travel agents </w:t>
      </w:r>
      <w:r w:rsidR="00F85081" w:rsidRPr="0077501A">
        <w:rPr>
          <w:noProof/>
          <w:spacing w:val="-8"/>
        </w:rPr>
        <w:t xml:space="preserve">access </w:t>
      </w:r>
      <w:r w:rsidR="00F85081">
        <w:rPr>
          <w:noProof/>
          <w:spacing w:val="-8"/>
        </w:rPr>
        <w:t>to air offers</w:t>
      </w:r>
      <w:r w:rsidR="00F85081" w:rsidRPr="0077501A">
        <w:rPr>
          <w:noProof/>
          <w:spacing w:val="-8"/>
        </w:rPr>
        <w:t>. Specific rules were adopted in 1989</w:t>
      </w:r>
      <w:r w:rsidR="00F85081" w:rsidRPr="0077501A">
        <w:rPr>
          <w:rStyle w:val="FootnoteReference"/>
          <w:noProof/>
          <w:spacing w:val="-8"/>
        </w:rPr>
        <w:footnoteReference w:id="39"/>
      </w:r>
      <w:r w:rsidR="00F85081" w:rsidRPr="0077501A">
        <w:rPr>
          <w:noProof/>
          <w:spacing w:val="-8"/>
        </w:rPr>
        <w:t xml:space="preserve"> to avoid risks of </w:t>
      </w:r>
      <w:r w:rsidR="00F85081">
        <w:rPr>
          <w:noProof/>
          <w:spacing w:val="-8"/>
        </w:rPr>
        <w:t>anti-</w:t>
      </w:r>
      <w:r w:rsidR="00F85081" w:rsidRPr="0077501A">
        <w:rPr>
          <w:noProof/>
          <w:spacing w:val="-8"/>
        </w:rPr>
        <w:t xml:space="preserve">competitive </w:t>
      </w:r>
      <w:r w:rsidR="00F85081">
        <w:rPr>
          <w:noProof/>
          <w:spacing w:val="-8"/>
        </w:rPr>
        <w:t xml:space="preserve">behaviour </w:t>
      </w:r>
      <w:r w:rsidR="00F85081" w:rsidRPr="0077501A">
        <w:rPr>
          <w:noProof/>
          <w:spacing w:val="-8"/>
        </w:rPr>
        <w:t>by CRS</w:t>
      </w:r>
      <w:r w:rsidR="00F85081">
        <w:rPr>
          <w:noProof/>
          <w:spacing w:val="-8"/>
        </w:rPr>
        <w:t>s</w:t>
      </w:r>
      <w:r w:rsidR="00F85081" w:rsidRPr="0077501A">
        <w:rPr>
          <w:noProof/>
          <w:spacing w:val="-8"/>
        </w:rPr>
        <w:t>. These were later revised in 2009</w:t>
      </w:r>
      <w:r w:rsidR="00F85081" w:rsidRPr="0077501A">
        <w:rPr>
          <w:rStyle w:val="FootnoteReference"/>
          <w:noProof/>
          <w:spacing w:val="-8"/>
        </w:rPr>
        <w:footnoteReference w:id="40"/>
      </w:r>
      <w:r w:rsidR="00F85081" w:rsidRPr="0077501A">
        <w:rPr>
          <w:noProof/>
          <w:spacing w:val="-8"/>
        </w:rPr>
        <w:t xml:space="preserve"> to regulate the business-to-business transactions between the providers of CRSs and air and rail carriers, and travel agents. </w:t>
      </w:r>
      <w:r w:rsidR="03B84A0B" w:rsidRPr="0077501A">
        <w:rPr>
          <w:noProof/>
          <w:spacing w:val="-8"/>
        </w:rPr>
        <w:t xml:space="preserve">The </w:t>
      </w:r>
      <w:r w:rsidR="03B84A0B" w:rsidRPr="0077501A">
        <w:rPr>
          <w:b/>
          <w:noProof/>
          <w:spacing w:val="-8"/>
        </w:rPr>
        <w:t>CRS Code of Conduct was evaluated in 2020</w:t>
      </w:r>
      <w:r w:rsidR="007F14F4" w:rsidRPr="0077501A">
        <w:rPr>
          <w:rStyle w:val="FootnoteReference"/>
          <w:b/>
          <w:noProof/>
          <w:spacing w:val="-8"/>
        </w:rPr>
        <w:footnoteReference w:id="41"/>
      </w:r>
      <w:r w:rsidR="00892505" w:rsidRPr="0077501A">
        <w:rPr>
          <w:noProof/>
          <w:spacing w:val="-8"/>
        </w:rPr>
        <w:t xml:space="preserve"> to assess</w:t>
      </w:r>
      <w:r w:rsidR="03B84A0B" w:rsidRPr="0077501A">
        <w:rPr>
          <w:noProof/>
          <w:spacing w:val="-8"/>
        </w:rPr>
        <w:t xml:space="preserve"> whether, in light of market and technological changes in air </w:t>
      </w:r>
      <w:r w:rsidR="000806E9">
        <w:rPr>
          <w:noProof/>
          <w:spacing w:val="-8"/>
        </w:rPr>
        <w:t>B2B</w:t>
      </w:r>
      <w:r w:rsidR="000806E9" w:rsidRPr="0077501A">
        <w:rPr>
          <w:noProof/>
          <w:spacing w:val="-8"/>
        </w:rPr>
        <w:t xml:space="preserve"> </w:t>
      </w:r>
      <w:r w:rsidR="03B84A0B" w:rsidRPr="0077501A">
        <w:rPr>
          <w:noProof/>
          <w:spacing w:val="-8"/>
        </w:rPr>
        <w:t xml:space="preserve">ticket distribution, </w:t>
      </w:r>
      <w:r w:rsidR="00892505" w:rsidRPr="0077501A">
        <w:rPr>
          <w:noProof/>
          <w:spacing w:val="-8"/>
        </w:rPr>
        <w:t>it</w:t>
      </w:r>
      <w:r w:rsidR="03B84A0B" w:rsidRPr="0077501A">
        <w:rPr>
          <w:noProof/>
          <w:spacing w:val="-8"/>
        </w:rPr>
        <w:t xml:space="preserve"> is still relevant in achieving the objectives of (i) preventing distortion of competition between CRSs owned by parent carriers, and (ii) ensuring fair and effective competition between carriers; and, whether </w:t>
      </w:r>
      <w:r w:rsidR="00350A95" w:rsidRPr="0077501A">
        <w:rPr>
          <w:noProof/>
          <w:spacing w:val="-8"/>
        </w:rPr>
        <w:t>it remains</w:t>
      </w:r>
      <w:r w:rsidR="03B84A0B" w:rsidRPr="0077501A">
        <w:rPr>
          <w:noProof/>
          <w:spacing w:val="-8"/>
        </w:rPr>
        <w:t xml:space="preserve"> fit for purpose</w:t>
      </w:r>
      <w:r w:rsidR="00350A95" w:rsidRPr="0077501A">
        <w:rPr>
          <w:noProof/>
          <w:spacing w:val="-8"/>
        </w:rPr>
        <w:t xml:space="preserve"> given broader</w:t>
      </w:r>
      <w:r w:rsidR="03B84A0B" w:rsidRPr="0077501A">
        <w:rPr>
          <w:noProof/>
          <w:spacing w:val="-8"/>
        </w:rPr>
        <w:t xml:space="preserve"> horizontal legislation. </w:t>
      </w:r>
      <w:r w:rsidR="003C4819" w:rsidRPr="00FA03A2">
        <w:rPr>
          <w:noProof/>
          <w:spacing w:val="-8"/>
        </w:rPr>
        <w:t xml:space="preserve">The evaluation concluded that </w:t>
      </w:r>
      <w:r w:rsidR="003C4819" w:rsidRPr="00FA03A2">
        <w:rPr>
          <w:b/>
          <w:noProof/>
          <w:spacing w:val="-8"/>
        </w:rPr>
        <w:t xml:space="preserve">the Code </w:t>
      </w:r>
      <w:r w:rsidR="001B25EC" w:rsidRPr="00FA03A2">
        <w:rPr>
          <w:b/>
          <w:noProof/>
          <w:spacing w:val="-8"/>
        </w:rPr>
        <w:t>has</w:t>
      </w:r>
      <w:r w:rsidR="003C4819" w:rsidRPr="00FA03A2">
        <w:rPr>
          <w:b/>
          <w:noProof/>
          <w:spacing w:val="-8"/>
        </w:rPr>
        <w:t xml:space="preserve"> not fully </w:t>
      </w:r>
      <w:r w:rsidR="001B25EC" w:rsidRPr="00FA03A2">
        <w:rPr>
          <w:b/>
          <w:noProof/>
          <w:spacing w:val="-8"/>
        </w:rPr>
        <w:t>ensured</w:t>
      </w:r>
      <w:r w:rsidR="003C4819" w:rsidRPr="00FA03A2">
        <w:rPr>
          <w:b/>
          <w:noProof/>
          <w:spacing w:val="-8"/>
        </w:rPr>
        <w:t xml:space="preserve"> a level playing field for all participating carriers, as regards access to, and use of CRS services, </w:t>
      </w:r>
      <w:r w:rsidR="003C4819" w:rsidRPr="00FA03A2">
        <w:rPr>
          <w:noProof/>
          <w:spacing w:val="-8"/>
        </w:rPr>
        <w:t>since it did not lead to better balancing of the bargaining power of different-sized air</w:t>
      </w:r>
      <w:r w:rsidR="003C4819" w:rsidRPr="0077501A">
        <w:rPr>
          <w:noProof/>
          <w:spacing w:val="-8"/>
        </w:rPr>
        <w:t xml:space="preserve"> carriers vis-à-vis CRSs.</w:t>
      </w:r>
      <w:r w:rsidR="003C4819" w:rsidRPr="0077501A">
        <w:rPr>
          <w:b/>
          <w:noProof/>
          <w:spacing w:val="-8"/>
        </w:rPr>
        <w:t xml:space="preserve"> </w:t>
      </w:r>
      <w:r w:rsidR="001C63DF" w:rsidRPr="0077501A">
        <w:rPr>
          <w:noProof/>
          <w:spacing w:val="-8"/>
        </w:rPr>
        <w:t>Some</w:t>
      </w:r>
      <w:r w:rsidR="003C4819" w:rsidRPr="0077501A">
        <w:rPr>
          <w:noProof/>
          <w:spacing w:val="-8"/>
        </w:rPr>
        <w:t xml:space="preserve"> carriers expressed concerns about specific clauses in their contracts with CRS providers, reducing the ability of airlines to use alternative booking systems or technology.</w:t>
      </w:r>
      <w:r w:rsidR="003C4819" w:rsidRPr="0077501A">
        <w:rPr>
          <w:b/>
          <w:noProof/>
          <w:spacing w:val="-8"/>
        </w:rPr>
        <w:t xml:space="preserve"> </w:t>
      </w:r>
      <w:r w:rsidR="003C4819" w:rsidRPr="0077501A">
        <w:rPr>
          <w:noProof/>
          <w:spacing w:val="-8"/>
        </w:rPr>
        <w:t>Moreover</w:t>
      </w:r>
      <w:r w:rsidR="003C4819" w:rsidRPr="0077501A">
        <w:rPr>
          <w:b/>
          <w:noProof/>
          <w:spacing w:val="-8"/>
        </w:rPr>
        <w:t xml:space="preserve">, </w:t>
      </w:r>
      <w:r w:rsidR="003C4819" w:rsidRPr="0077501A">
        <w:rPr>
          <w:noProof/>
          <w:spacing w:val="-8"/>
        </w:rPr>
        <w:t>the evaluation concluded that</w:t>
      </w:r>
      <w:r w:rsidR="003C4819" w:rsidRPr="0077501A">
        <w:rPr>
          <w:b/>
          <w:noProof/>
          <w:spacing w:val="-8"/>
        </w:rPr>
        <w:t xml:space="preserve"> the transparency requirements</w:t>
      </w:r>
      <w:r w:rsidR="00524241" w:rsidRPr="0077501A">
        <w:rPr>
          <w:b/>
          <w:noProof/>
          <w:spacing w:val="-8"/>
        </w:rPr>
        <w:t>,</w:t>
      </w:r>
      <w:r w:rsidR="003C4819" w:rsidRPr="0077501A">
        <w:rPr>
          <w:b/>
          <w:noProof/>
          <w:spacing w:val="-8"/>
        </w:rPr>
        <w:t xml:space="preserve"> in the form of the neutral display</w:t>
      </w:r>
      <w:r w:rsidR="00524241" w:rsidRPr="0077501A">
        <w:rPr>
          <w:b/>
          <w:noProof/>
          <w:spacing w:val="-8"/>
        </w:rPr>
        <w:t>,</w:t>
      </w:r>
      <w:r w:rsidR="003C4819" w:rsidRPr="0077501A">
        <w:rPr>
          <w:b/>
          <w:noProof/>
          <w:spacing w:val="-8"/>
        </w:rPr>
        <w:t xml:space="preserve"> remain important</w:t>
      </w:r>
      <w:r w:rsidR="00524241" w:rsidRPr="0077501A">
        <w:rPr>
          <w:b/>
          <w:noProof/>
          <w:spacing w:val="-8"/>
        </w:rPr>
        <w:t xml:space="preserve">, </w:t>
      </w:r>
      <w:r w:rsidR="00524241" w:rsidRPr="0077501A">
        <w:rPr>
          <w:noProof/>
          <w:spacing w:val="-8"/>
        </w:rPr>
        <w:t>since</w:t>
      </w:r>
      <w:r w:rsidR="003C4819" w:rsidRPr="0077501A">
        <w:rPr>
          <w:noProof/>
          <w:spacing w:val="-8"/>
        </w:rPr>
        <w:t xml:space="preserve"> travel agents, both offline and online, and travel management companies still </w:t>
      </w:r>
      <w:r w:rsidR="002C7E5E" w:rsidRPr="0077501A">
        <w:rPr>
          <w:noProof/>
          <w:spacing w:val="-8"/>
        </w:rPr>
        <w:t xml:space="preserve">heavily </w:t>
      </w:r>
      <w:r w:rsidR="003C4819" w:rsidRPr="0077501A">
        <w:rPr>
          <w:noProof/>
          <w:spacing w:val="-8"/>
        </w:rPr>
        <w:t xml:space="preserve">rely on </w:t>
      </w:r>
      <w:r w:rsidR="002C7E5E" w:rsidRPr="0077501A">
        <w:rPr>
          <w:noProof/>
          <w:spacing w:val="-8"/>
        </w:rPr>
        <w:t>CRS</w:t>
      </w:r>
      <w:r w:rsidR="003C4819" w:rsidRPr="0077501A">
        <w:rPr>
          <w:noProof/>
          <w:spacing w:val="-8"/>
        </w:rPr>
        <w:t xml:space="preserve"> data </w:t>
      </w:r>
      <w:r w:rsidR="002C7E5E" w:rsidRPr="0077501A">
        <w:rPr>
          <w:noProof/>
          <w:spacing w:val="-8"/>
        </w:rPr>
        <w:t>especially</w:t>
      </w:r>
      <w:r w:rsidR="003C4819" w:rsidRPr="0077501A">
        <w:rPr>
          <w:noProof/>
          <w:spacing w:val="-8"/>
        </w:rPr>
        <w:t xml:space="preserve"> for business </w:t>
      </w:r>
      <w:r w:rsidR="003C4819" w:rsidRPr="00B56970">
        <w:rPr>
          <w:noProof/>
          <w:spacing w:val="-8"/>
        </w:rPr>
        <w:t>travel.</w:t>
      </w:r>
      <w:r w:rsidR="00245DCB" w:rsidRPr="0077501A">
        <w:rPr>
          <w:noProof/>
          <w:spacing w:val="-8"/>
        </w:rPr>
        <w:t xml:space="preserve"> </w:t>
      </w:r>
      <w:r w:rsidR="003C4819" w:rsidRPr="0077501A">
        <w:rPr>
          <w:noProof/>
          <w:spacing w:val="-8"/>
        </w:rPr>
        <w:t>The evaluation also concluded that</w:t>
      </w:r>
      <w:r w:rsidR="003C4819" w:rsidRPr="0077501A">
        <w:rPr>
          <w:b/>
          <w:noProof/>
          <w:spacing w:val="-8"/>
        </w:rPr>
        <w:t xml:space="preserve"> specific sectoral treatment of traditional CRS </w:t>
      </w:r>
      <w:r w:rsidR="00521C7C">
        <w:rPr>
          <w:b/>
          <w:noProof/>
          <w:spacing w:val="-8"/>
        </w:rPr>
        <w:t>providers</w:t>
      </w:r>
      <w:r w:rsidR="003C4819" w:rsidRPr="0077501A">
        <w:rPr>
          <w:b/>
          <w:noProof/>
          <w:spacing w:val="-8"/>
        </w:rPr>
        <w:t xml:space="preserve"> may no longer be justified in view of market and technological developments in air ticket distribution </w:t>
      </w:r>
      <w:r w:rsidR="003C4819" w:rsidRPr="0077501A">
        <w:rPr>
          <w:noProof/>
          <w:spacing w:val="-8"/>
        </w:rPr>
        <w:t>(increased internet penetration, the rise of other channels and divestment of airlines from CRSs).</w:t>
      </w:r>
      <w:r w:rsidR="00E40108">
        <w:rPr>
          <w:noProof/>
          <w:spacing w:val="-8"/>
        </w:rPr>
        <w:t xml:space="preserve"> </w:t>
      </w:r>
      <w:r w:rsidR="002A716C" w:rsidRPr="005D2D60">
        <w:rPr>
          <w:noProof/>
          <w:spacing w:val="-8"/>
        </w:rPr>
        <w:t xml:space="preserve">More details on </w:t>
      </w:r>
      <w:r w:rsidR="0076387D" w:rsidRPr="005D2D60">
        <w:rPr>
          <w:noProof/>
          <w:spacing w:val="-8"/>
        </w:rPr>
        <w:t xml:space="preserve">the evaluation, and </w:t>
      </w:r>
      <w:r w:rsidR="002A716C" w:rsidRPr="005D2D60">
        <w:rPr>
          <w:noProof/>
          <w:spacing w:val="-8"/>
        </w:rPr>
        <w:t xml:space="preserve">its </w:t>
      </w:r>
      <w:r w:rsidR="0076387D" w:rsidRPr="005D2D60">
        <w:rPr>
          <w:noProof/>
          <w:spacing w:val="-8"/>
        </w:rPr>
        <w:t>links with this impact assessment, are presented in Annex 10</w:t>
      </w:r>
      <w:r w:rsidR="00D21E8F" w:rsidRPr="005D2D60">
        <w:rPr>
          <w:noProof/>
          <w:spacing w:val="-8"/>
        </w:rPr>
        <w:t>.</w:t>
      </w:r>
    </w:p>
    <w:p w14:paraId="783CFB05" w14:textId="0CAA7A4F" w:rsidR="00712390" w:rsidRPr="00D71008" w:rsidRDefault="003C4819" w:rsidP="007B2D8E">
      <w:pPr>
        <w:pStyle w:val="Heading2"/>
        <w:numPr>
          <w:ilvl w:val="0"/>
          <w:numId w:val="11"/>
        </w:numPr>
        <w:tabs>
          <w:tab w:val="left" w:pos="1134"/>
        </w:tabs>
        <w:spacing w:before="240" w:after="240"/>
        <w:ind w:left="426" w:hanging="426"/>
        <w:rPr>
          <w:smallCaps/>
          <w:noProof/>
          <w:spacing w:val="-2"/>
        </w:rPr>
      </w:pPr>
      <w:bookmarkStart w:id="18" w:name="2_Problem_definition"/>
      <w:bookmarkStart w:id="19" w:name="_Toc223979939"/>
      <w:bookmarkEnd w:id="18"/>
      <w:r w:rsidRPr="00D71008">
        <w:rPr>
          <w:smallCaps/>
          <w:noProof/>
          <w:spacing w:val="-2"/>
        </w:rPr>
        <w:t>Problem definition</w:t>
      </w:r>
      <w:bookmarkEnd w:id="19"/>
    </w:p>
    <w:p w14:paraId="5676EBB9" w14:textId="44872513" w:rsidR="00712390" w:rsidRPr="00D71008" w:rsidRDefault="003C4819" w:rsidP="007B2D8E">
      <w:pPr>
        <w:pStyle w:val="Heading2"/>
        <w:keepNext/>
        <w:numPr>
          <w:ilvl w:val="1"/>
          <w:numId w:val="11"/>
        </w:numPr>
        <w:tabs>
          <w:tab w:val="left" w:pos="709"/>
        </w:tabs>
        <w:spacing w:before="240" w:after="240"/>
        <w:ind w:left="1134" w:hanging="708"/>
        <w:rPr>
          <w:noProof/>
        </w:rPr>
      </w:pPr>
      <w:bookmarkStart w:id="20" w:name="2.1_What_are_the_problems?"/>
      <w:bookmarkStart w:id="21" w:name="_Toc220667475"/>
      <w:bookmarkStart w:id="22" w:name="_Toc223979940"/>
      <w:bookmarkEnd w:id="20"/>
      <w:r w:rsidRPr="00D71008">
        <w:rPr>
          <w:noProof/>
        </w:rPr>
        <w:t>What are the problems?</w:t>
      </w:r>
      <w:bookmarkEnd w:id="21"/>
      <w:bookmarkEnd w:id="22"/>
    </w:p>
    <w:p w14:paraId="09B0A068" w14:textId="69BF7857" w:rsidR="0002702F" w:rsidRPr="004365E1" w:rsidRDefault="0002702F" w:rsidP="0002702F">
      <w:pPr>
        <w:pStyle w:val="BodyText"/>
        <w:spacing w:after="240"/>
        <w:ind w:left="0"/>
        <w:rPr>
          <w:noProof/>
          <w:spacing w:val="-8"/>
        </w:rPr>
      </w:pPr>
      <w:r w:rsidRPr="004365E1">
        <w:rPr>
          <w:noProof/>
          <w:spacing w:val="-8"/>
        </w:rPr>
        <w:t xml:space="preserve">The problems, problem drivers and consequences </w:t>
      </w:r>
      <w:r w:rsidR="00EE7D96">
        <w:rPr>
          <w:noProof/>
          <w:spacing w:val="-8"/>
        </w:rPr>
        <w:t>identified</w:t>
      </w:r>
      <w:r w:rsidRPr="004365E1">
        <w:rPr>
          <w:noProof/>
          <w:spacing w:val="-8"/>
        </w:rPr>
        <w:t xml:space="preserve"> are presented in</w:t>
      </w:r>
      <w:r w:rsidR="00D044E2" w:rsidRPr="004365E1">
        <w:rPr>
          <w:noProof/>
          <w:spacing w:val="-8"/>
        </w:rPr>
        <w:t xml:space="preserve"> </w:t>
      </w:r>
      <w:r w:rsidR="00D044E2" w:rsidRPr="004365E1">
        <w:rPr>
          <w:noProof/>
          <w:spacing w:val="-8"/>
        </w:rPr>
        <w:fldChar w:fldCharType="begin"/>
      </w:r>
      <w:r w:rsidR="00D044E2" w:rsidRPr="004365E1">
        <w:rPr>
          <w:noProof/>
          <w:spacing w:val="-8"/>
        </w:rPr>
        <w:instrText xml:space="preserve"> REF _Ref223092449 \h </w:instrText>
      </w:r>
      <w:r w:rsidR="004365E1" w:rsidRPr="004365E1">
        <w:rPr>
          <w:noProof/>
          <w:spacing w:val="-8"/>
        </w:rPr>
        <w:instrText xml:space="preserve"> \* MERGEFORMAT </w:instrText>
      </w:r>
      <w:r w:rsidR="00D044E2" w:rsidRPr="004365E1">
        <w:rPr>
          <w:noProof/>
          <w:spacing w:val="-8"/>
        </w:rPr>
      </w:r>
      <w:r w:rsidR="00D044E2" w:rsidRPr="004365E1">
        <w:rPr>
          <w:noProof/>
          <w:spacing w:val="-8"/>
        </w:rPr>
        <w:fldChar w:fldCharType="separate"/>
      </w:r>
      <w:r>
        <w:rPr>
          <w:noProof/>
          <w:spacing w:val="-8"/>
        </w:rPr>
        <w:t>Figure 1</w:t>
      </w:r>
      <w:r w:rsidR="00D044E2" w:rsidRPr="004365E1">
        <w:rPr>
          <w:noProof/>
          <w:spacing w:val="-8"/>
        </w:rPr>
        <w:fldChar w:fldCharType="end"/>
      </w:r>
      <w:r w:rsidRPr="004365E1">
        <w:rPr>
          <w:noProof/>
          <w:spacing w:val="-8"/>
        </w:rPr>
        <w:t>.</w:t>
      </w:r>
    </w:p>
    <w:p w14:paraId="744EC8DA" w14:textId="06249C36" w:rsidR="00F04B61" w:rsidRPr="000A1E9B" w:rsidRDefault="00F04B61" w:rsidP="000A1E9B">
      <w:pPr>
        <w:pStyle w:val="Caption"/>
        <w:spacing w:after="120"/>
        <w:rPr>
          <w:noProof/>
          <w:color w:val="auto"/>
          <w:sz w:val="22"/>
          <w:szCs w:val="22"/>
        </w:rPr>
      </w:pPr>
      <w:bookmarkStart w:id="23" w:name="_Ref223092449"/>
      <w:r w:rsidRPr="000A1E9B">
        <w:rPr>
          <w:noProof/>
          <w:color w:val="auto"/>
          <w:sz w:val="22"/>
          <w:szCs w:val="22"/>
        </w:rPr>
        <w:t xml:space="preserve">Figure </w:t>
      </w:r>
      <w:r w:rsidR="00980256">
        <w:rPr>
          <w:noProof/>
          <w:color w:val="auto"/>
          <w:sz w:val="22"/>
          <w:szCs w:val="22"/>
        </w:rPr>
        <w:fldChar w:fldCharType="begin"/>
      </w:r>
      <w:r w:rsidR="00980256">
        <w:rPr>
          <w:noProof/>
          <w:color w:val="auto"/>
          <w:sz w:val="22"/>
          <w:szCs w:val="22"/>
        </w:rPr>
        <w:instrText xml:space="preserve"> SEQ Figure \* ARABIC </w:instrText>
      </w:r>
      <w:r w:rsidR="00980256">
        <w:rPr>
          <w:noProof/>
          <w:color w:val="auto"/>
          <w:sz w:val="22"/>
          <w:szCs w:val="22"/>
        </w:rPr>
        <w:fldChar w:fldCharType="separate"/>
      </w:r>
      <w:r w:rsidR="0055391F">
        <w:rPr>
          <w:noProof/>
          <w:color w:val="auto"/>
          <w:sz w:val="22"/>
          <w:szCs w:val="22"/>
        </w:rPr>
        <w:t>1</w:t>
      </w:r>
      <w:r w:rsidR="00980256">
        <w:rPr>
          <w:noProof/>
          <w:color w:val="auto"/>
          <w:sz w:val="22"/>
          <w:szCs w:val="22"/>
        </w:rPr>
        <w:fldChar w:fldCharType="end"/>
      </w:r>
      <w:bookmarkStart w:id="24" w:name="_bookmark8"/>
      <w:bookmarkEnd w:id="23"/>
      <w:bookmarkEnd w:id="24"/>
      <w:r w:rsidRPr="000A1E9B">
        <w:rPr>
          <w:noProof/>
          <w:color w:val="auto"/>
          <w:sz w:val="22"/>
          <w:szCs w:val="22"/>
        </w:rPr>
        <w:t>: Problem tree</w:t>
      </w:r>
    </w:p>
    <w:p w14:paraId="00C9E9C7" w14:textId="2703D4EC" w:rsidR="002C0A21" w:rsidRDefault="0024463C" w:rsidP="00CD47A2">
      <w:pPr>
        <w:pStyle w:val="BodyText"/>
        <w:keepNext/>
        <w:spacing w:after="240"/>
        <w:ind w:left="0" w:right="108"/>
        <w:rPr>
          <w:noProof/>
        </w:rPr>
      </w:pPr>
      <w:r w:rsidRPr="005D2D60">
        <w:rPr>
          <w:noProof/>
          <w:lang w:eastAsia="en-GB"/>
          <w14:ligatures w14:val="standardContextual"/>
        </w:rPr>
        <mc:AlternateContent>
          <mc:Choice Requires="wpg">
            <w:drawing>
              <wp:inline distT="0" distB="0" distL="0" distR="0" wp14:anchorId="5E786103" wp14:editId="14A4C19D">
                <wp:extent cx="6064250" cy="3448048"/>
                <wp:effectExtent l="0" t="0" r="12700" b="19685"/>
                <wp:docPr id="370853239" name="Group 9"/>
                <wp:cNvGraphicFramePr/>
                <a:graphic xmlns:a="http://schemas.openxmlformats.org/drawingml/2006/main">
                  <a:graphicData uri="http://schemas.microsoft.com/office/word/2010/wordprocessingGroup">
                    <wpg:wgp>
                      <wpg:cNvGrpSpPr/>
                      <wpg:grpSpPr>
                        <a:xfrm>
                          <a:off x="0" y="0"/>
                          <a:ext cx="6064250" cy="3448048"/>
                          <a:chOff x="-17436" y="-1"/>
                          <a:chExt cx="6406471" cy="2044838"/>
                        </a:xfrm>
                      </wpg:grpSpPr>
                      <wps:wsp>
                        <wps:cNvPr id="1065223925" name="Text Box 1"/>
                        <wps:cNvSpPr txBox="1"/>
                        <wps:spPr>
                          <a:xfrm>
                            <a:off x="-16786" y="-1"/>
                            <a:ext cx="2512002" cy="177558"/>
                          </a:xfrm>
                          <a:prstGeom prst="rect">
                            <a:avLst/>
                          </a:prstGeom>
                          <a:solidFill>
                            <a:srgbClr val="4F81BD">
                              <a:lumMod val="20000"/>
                              <a:lumOff val="80000"/>
                            </a:srgbClr>
                          </a:solidFill>
                          <a:ln w="6350">
                            <a:solidFill>
                              <a:prstClr val="black"/>
                            </a:solidFill>
                          </a:ln>
                        </wps:spPr>
                        <wps:txbx>
                          <w:txbxContent>
                            <w:p w14:paraId="4AD2D727" w14:textId="77777777" w:rsidR="0024463C" w:rsidRPr="00D71008" w:rsidRDefault="0024463C" w:rsidP="0024463C">
                              <w:pPr>
                                <w:jc w:val="center"/>
                              </w:pPr>
                              <w:r w:rsidRPr="00D71008">
                                <w:rPr>
                                  <w:b/>
                                  <w:bCs/>
                                </w:rPr>
                                <w:t>Problem Drivers (PD)</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wps:wsp>
                        <wps:cNvPr id="1777353090" name="Text Box 1"/>
                        <wps:cNvSpPr txBox="1"/>
                        <wps:spPr>
                          <a:xfrm>
                            <a:off x="2947087" y="0"/>
                            <a:ext cx="1332123" cy="177558"/>
                          </a:xfrm>
                          <a:prstGeom prst="rect">
                            <a:avLst/>
                          </a:prstGeom>
                          <a:solidFill>
                            <a:srgbClr val="C0504D">
                              <a:lumMod val="20000"/>
                              <a:lumOff val="80000"/>
                            </a:srgbClr>
                          </a:solidFill>
                          <a:ln w="6350">
                            <a:solidFill>
                              <a:prstClr val="black"/>
                            </a:solidFill>
                          </a:ln>
                        </wps:spPr>
                        <wps:txbx>
                          <w:txbxContent>
                            <w:p w14:paraId="0A38C401" w14:textId="77777777" w:rsidR="0024463C" w:rsidRPr="00D71008" w:rsidRDefault="0024463C" w:rsidP="0024463C">
                              <w:pPr>
                                <w:jc w:val="center"/>
                              </w:pPr>
                              <w:r w:rsidRPr="006F410F">
                                <w:rPr>
                                  <w:b/>
                                  <w:bCs/>
                                  <w:color w:val="000000"/>
                                </w:rPr>
                                <w:t>Problems (PB)</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wps:wsp>
                        <wps:cNvPr id="507239118" name="Text Box 1"/>
                        <wps:cNvSpPr txBox="1"/>
                        <wps:spPr>
                          <a:xfrm>
                            <a:off x="-16968" y="272321"/>
                            <a:ext cx="2512004" cy="391055"/>
                          </a:xfrm>
                          <a:prstGeom prst="rect">
                            <a:avLst/>
                          </a:prstGeom>
                          <a:solidFill>
                            <a:srgbClr val="4F81BD">
                              <a:lumMod val="20000"/>
                              <a:lumOff val="80000"/>
                            </a:srgbClr>
                          </a:solidFill>
                          <a:ln w="6350">
                            <a:solidFill>
                              <a:prstClr val="black"/>
                            </a:solidFill>
                          </a:ln>
                        </wps:spPr>
                        <wps:txbx>
                          <w:txbxContent>
                            <w:p w14:paraId="019BCB0F" w14:textId="77777777" w:rsidR="0024463C" w:rsidRPr="00D71008" w:rsidRDefault="0024463C" w:rsidP="0024463C">
                              <w:pPr>
                                <w:jc w:val="both"/>
                              </w:pPr>
                              <w:r w:rsidRPr="00D71008">
                                <w:rPr>
                                  <w:b/>
                                  <w:spacing w:val="-4"/>
                                </w:rPr>
                                <w:t>PD</w:t>
                              </w:r>
                              <w:r>
                                <w:rPr>
                                  <w:b/>
                                  <w:spacing w:val="-4"/>
                                </w:rPr>
                                <w:t>1</w:t>
                              </w:r>
                              <w:r w:rsidRPr="00D71008">
                                <w:rPr>
                                  <w:spacing w:val="-4"/>
                                </w:rPr>
                                <w:t>: Regulatory framework no longer fit for purpose due to market and technological changes in ticket distribution</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wps:wsp>
                        <wps:cNvPr id="190167308" name="Straight Arrow Connector 3"/>
                        <wps:cNvCnPr>
                          <a:stCxn id="2045328402" idx="3"/>
                          <a:endCxn id="2013229978" idx="1"/>
                        </wps:cNvCnPr>
                        <wps:spPr>
                          <a:xfrm flipV="1">
                            <a:off x="2501256" y="1745089"/>
                            <a:ext cx="445831" cy="62093"/>
                          </a:xfrm>
                          <a:prstGeom prst="straightConnector1">
                            <a:avLst/>
                          </a:prstGeom>
                          <a:noFill/>
                          <a:ln w="9525" cap="flat" cmpd="sng" algn="ctr">
                            <a:solidFill>
                              <a:srgbClr val="4F81BD">
                                <a:shade val="95000"/>
                                <a:satMod val="105000"/>
                              </a:srgbClr>
                            </a:solidFill>
                            <a:prstDash val="solid"/>
                            <a:tailEnd type="triangle" w="sm" len="med"/>
                          </a:ln>
                          <a:effectLst/>
                        </wps:spPr>
                        <wps:bodyPr/>
                      </wps:wsp>
                      <wps:wsp>
                        <wps:cNvPr id="2070134338" name="Text Box 1"/>
                        <wps:cNvSpPr txBox="1"/>
                        <wps:spPr>
                          <a:xfrm>
                            <a:off x="-17436" y="1121174"/>
                            <a:ext cx="2512003" cy="391055"/>
                          </a:xfrm>
                          <a:prstGeom prst="rect">
                            <a:avLst/>
                          </a:prstGeom>
                          <a:solidFill>
                            <a:srgbClr val="4F81BD">
                              <a:lumMod val="20000"/>
                              <a:lumOff val="80000"/>
                            </a:srgbClr>
                          </a:solidFill>
                          <a:ln w="6350">
                            <a:solidFill>
                              <a:prstClr val="black"/>
                            </a:solidFill>
                          </a:ln>
                        </wps:spPr>
                        <wps:txbx>
                          <w:txbxContent>
                            <w:p w14:paraId="63F26BD2" w14:textId="77777777" w:rsidR="0024463C" w:rsidRPr="00095A43" w:rsidRDefault="0024463C" w:rsidP="0024463C">
                              <w:pPr>
                                <w:jc w:val="both"/>
                                <w:rPr>
                                  <w:bCs/>
                                  <w:spacing w:val="-4"/>
                                </w:rPr>
                              </w:pPr>
                              <w:r w:rsidRPr="00095A43">
                                <w:rPr>
                                  <w:b/>
                                  <w:spacing w:val="-4"/>
                                </w:rPr>
                                <w:t>PD</w:t>
                              </w:r>
                              <w:r>
                                <w:rPr>
                                  <w:b/>
                                  <w:spacing w:val="-4"/>
                                </w:rPr>
                                <w:t>3</w:t>
                              </w:r>
                              <w:r w:rsidRPr="00095A43">
                                <w:rPr>
                                  <w:b/>
                                  <w:spacing w:val="-4"/>
                                </w:rPr>
                                <w:t xml:space="preserve">: </w:t>
                              </w:r>
                              <w:r w:rsidRPr="00095A43">
                                <w:rPr>
                                  <w:bCs/>
                                  <w:spacing w:val="-4"/>
                                </w:rPr>
                                <w:t xml:space="preserve">Imbalanced commercial relations </w:t>
                              </w:r>
                              <w:r>
                                <w:rPr>
                                  <w:bCs/>
                                  <w:spacing w:val="-4"/>
                                </w:rPr>
                                <w:t xml:space="preserve">of </w:t>
                              </w:r>
                              <w:r w:rsidRPr="00095A43">
                                <w:rPr>
                                  <w:bCs/>
                                  <w:spacing w:val="-4"/>
                                </w:rPr>
                                <w:t>indispensable MDMS platforms and transport operators</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wps:wsp>
                        <wps:cNvPr id="1322610240" name="Text Box 1"/>
                        <wps:cNvSpPr txBox="1"/>
                        <wps:spPr>
                          <a:xfrm>
                            <a:off x="2947087" y="514047"/>
                            <a:ext cx="1332122" cy="757582"/>
                          </a:xfrm>
                          <a:prstGeom prst="rect">
                            <a:avLst/>
                          </a:prstGeom>
                          <a:solidFill>
                            <a:srgbClr val="C0504D">
                              <a:lumMod val="20000"/>
                              <a:lumOff val="80000"/>
                            </a:srgbClr>
                          </a:solidFill>
                          <a:ln w="6350">
                            <a:solidFill>
                              <a:prstClr val="black"/>
                            </a:solidFill>
                          </a:ln>
                        </wps:spPr>
                        <wps:txbx>
                          <w:txbxContent>
                            <w:p w14:paraId="5A4FBB3F" w14:textId="77777777" w:rsidR="0024463C" w:rsidRPr="00D71008" w:rsidRDefault="0024463C" w:rsidP="0024463C">
                              <w:pPr>
                                <w:jc w:val="both"/>
                              </w:pPr>
                              <w:r w:rsidRPr="00D71008">
                                <w:rPr>
                                  <w:b/>
                                  <w:spacing w:val="-4"/>
                                </w:rPr>
                                <w:t>Problem 1:</w:t>
                              </w:r>
                              <w:r w:rsidRPr="00D71008">
                                <w:rPr>
                                  <w:spacing w:val="-4"/>
                                </w:rPr>
                                <w:t xml:space="preserve"> </w:t>
                              </w:r>
                              <w:r>
                                <w:rPr>
                                  <w:spacing w:val="-4"/>
                                </w:rPr>
                                <w:t>L</w:t>
                              </w:r>
                              <w:r w:rsidRPr="000178A3">
                                <w:rPr>
                                  <w:spacing w:val="-4"/>
                                </w:rPr>
                                <w:t>ack of transparency</w:t>
                              </w:r>
                              <w:r>
                                <w:rPr>
                                  <w:spacing w:val="-4"/>
                                </w:rPr>
                                <w:t>,</w:t>
                              </w:r>
                              <w:r w:rsidRPr="000178A3">
                                <w:rPr>
                                  <w:spacing w:val="-4"/>
                                </w:rPr>
                                <w:t xml:space="preserve"> unfair conditions</w:t>
                              </w:r>
                              <w:r>
                                <w:rPr>
                                  <w:spacing w:val="-4"/>
                                </w:rPr>
                                <w:t>,</w:t>
                              </w:r>
                              <w:r w:rsidRPr="000178A3">
                                <w:rPr>
                                  <w:spacing w:val="-4"/>
                                </w:rPr>
                                <w:t xml:space="preserve"> </w:t>
                              </w:r>
                              <w:r>
                                <w:rPr>
                                  <w:spacing w:val="-4"/>
                                </w:rPr>
                                <w:t xml:space="preserve">and uneven playing field </w:t>
                              </w:r>
                              <w:r w:rsidRPr="000178A3">
                                <w:rPr>
                                  <w:spacing w:val="-4"/>
                                </w:rPr>
                                <w:t>in the online ticketing marke</w:t>
                              </w:r>
                              <w:r>
                                <w:rPr>
                                  <w:spacing w:val="-4"/>
                                </w:rPr>
                                <w:t>t</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wps:wsp>
                        <wps:cNvPr id="1114249143" name="Straight Arrow Connector 5"/>
                        <wps:cNvCnPr>
                          <a:stCxn id="507239118" idx="3"/>
                          <a:endCxn id="1322610240" idx="1"/>
                        </wps:cNvCnPr>
                        <wps:spPr>
                          <a:xfrm>
                            <a:off x="2495037" y="467848"/>
                            <a:ext cx="452050" cy="424990"/>
                          </a:xfrm>
                          <a:prstGeom prst="straightConnector1">
                            <a:avLst/>
                          </a:prstGeom>
                          <a:noFill/>
                          <a:ln w="9525" cap="flat" cmpd="sng" algn="ctr">
                            <a:solidFill>
                              <a:srgbClr val="4F81BD">
                                <a:shade val="95000"/>
                                <a:satMod val="105000"/>
                              </a:srgbClr>
                            </a:solidFill>
                            <a:prstDash val="solid"/>
                            <a:tailEnd type="triangle" w="sm" len="med"/>
                          </a:ln>
                          <a:effectLst/>
                        </wps:spPr>
                        <wps:bodyPr/>
                      </wps:wsp>
                      <wps:wsp>
                        <wps:cNvPr id="2045328402" name="Text Box 1"/>
                        <wps:cNvSpPr txBox="1"/>
                        <wps:spPr>
                          <a:xfrm>
                            <a:off x="-10748" y="1569528"/>
                            <a:ext cx="2512003" cy="475306"/>
                          </a:xfrm>
                          <a:prstGeom prst="rect">
                            <a:avLst/>
                          </a:prstGeom>
                          <a:solidFill>
                            <a:srgbClr val="4F81BD">
                              <a:lumMod val="20000"/>
                              <a:lumOff val="80000"/>
                            </a:srgbClr>
                          </a:solidFill>
                          <a:ln w="6350">
                            <a:solidFill>
                              <a:prstClr val="black"/>
                            </a:solidFill>
                          </a:ln>
                        </wps:spPr>
                        <wps:txbx>
                          <w:txbxContent>
                            <w:p w14:paraId="0F7B5CFE" w14:textId="1BCB5673" w:rsidR="0024463C" w:rsidRPr="00074630" w:rsidRDefault="0024463C" w:rsidP="0024463C">
                              <w:pPr>
                                <w:jc w:val="both"/>
                                <w:rPr>
                                  <w:bCs/>
                                  <w:spacing w:val="-4"/>
                                </w:rPr>
                              </w:pPr>
                              <w:r w:rsidRPr="00095A43">
                                <w:rPr>
                                  <w:b/>
                                  <w:spacing w:val="-4"/>
                                </w:rPr>
                                <w:t>PD</w:t>
                              </w:r>
                              <w:r>
                                <w:rPr>
                                  <w:b/>
                                  <w:spacing w:val="-4"/>
                                </w:rPr>
                                <w:t>4</w:t>
                              </w:r>
                              <w:r w:rsidRPr="00095A43">
                                <w:rPr>
                                  <w:b/>
                                  <w:spacing w:val="-4"/>
                                </w:rPr>
                                <w:t xml:space="preserve">: </w:t>
                              </w:r>
                              <w:r>
                                <w:rPr>
                                  <w:bCs/>
                                  <w:spacing w:val="-4"/>
                                </w:rPr>
                                <w:t xml:space="preserve">Vertical integration of railway undertakings and rail ticketing platforms </w:t>
                              </w:r>
                              <w:r w:rsidR="00E85B17" w:rsidRPr="008F0491">
                                <w:rPr>
                                  <w:spacing w:val="-4"/>
                                </w:rPr>
                                <w:t>hinders</w:t>
                              </w:r>
                              <w:r w:rsidR="004926CA" w:rsidRPr="008F0491">
                                <w:rPr>
                                  <w:spacing w:val="-4"/>
                                </w:rPr>
                                <w:t xml:space="preserve"> </w:t>
                              </w:r>
                              <w:r w:rsidR="00983557" w:rsidRPr="008F0491">
                                <w:rPr>
                                  <w:spacing w:val="-4"/>
                                </w:rPr>
                                <w:t xml:space="preserve">wider </w:t>
                              </w:r>
                              <w:r w:rsidRPr="008F0491">
                                <w:rPr>
                                  <w:spacing w:val="-4"/>
                                </w:rPr>
                                <w:t>ticket distribution</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wps:wsp>
                        <wps:cNvPr id="919808520" name="Text Box 1"/>
                        <wps:cNvSpPr txBox="1"/>
                        <wps:spPr>
                          <a:xfrm>
                            <a:off x="-17436" y="697256"/>
                            <a:ext cx="2512005" cy="391055"/>
                          </a:xfrm>
                          <a:prstGeom prst="rect">
                            <a:avLst/>
                          </a:prstGeom>
                          <a:solidFill>
                            <a:srgbClr val="4F81BD">
                              <a:lumMod val="20000"/>
                              <a:lumOff val="80000"/>
                            </a:srgbClr>
                          </a:solidFill>
                          <a:ln w="6350">
                            <a:solidFill>
                              <a:prstClr val="black"/>
                            </a:solidFill>
                          </a:ln>
                        </wps:spPr>
                        <wps:txbx>
                          <w:txbxContent>
                            <w:p w14:paraId="62B89CEA" w14:textId="77777777" w:rsidR="0024463C" w:rsidRPr="00D71008" w:rsidRDefault="0024463C" w:rsidP="0024463C">
                              <w:r w:rsidRPr="00D71008">
                                <w:rPr>
                                  <w:b/>
                                  <w:spacing w:val="-4"/>
                                </w:rPr>
                                <w:t>PD</w:t>
                              </w:r>
                              <w:r>
                                <w:rPr>
                                  <w:b/>
                                  <w:spacing w:val="-4"/>
                                </w:rPr>
                                <w:t>2</w:t>
                              </w:r>
                              <w:r w:rsidRPr="00D71008">
                                <w:rPr>
                                  <w:spacing w:val="-4"/>
                                </w:rPr>
                                <w:t xml:space="preserve">: Commercial incentives of MDMS platforms to promote </w:t>
                              </w:r>
                              <w:r w:rsidRPr="00D71008">
                                <w:t>ce</w:t>
                              </w:r>
                              <w:r w:rsidRPr="00D71008">
                                <w:rPr>
                                  <w:spacing w:val="-4"/>
                                </w:rPr>
                                <w:t>rtain operators or products</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wps:wsp>
                        <wps:cNvPr id="2013229978" name="Text Box 1"/>
                        <wps:cNvSpPr txBox="1"/>
                        <wps:spPr>
                          <a:xfrm>
                            <a:off x="2947087" y="1445340"/>
                            <a:ext cx="1332122" cy="599497"/>
                          </a:xfrm>
                          <a:prstGeom prst="rect">
                            <a:avLst/>
                          </a:prstGeom>
                          <a:solidFill>
                            <a:srgbClr val="C0504D">
                              <a:lumMod val="20000"/>
                              <a:lumOff val="80000"/>
                            </a:srgbClr>
                          </a:solidFill>
                          <a:ln w="6350">
                            <a:solidFill>
                              <a:prstClr val="black"/>
                            </a:solidFill>
                          </a:ln>
                        </wps:spPr>
                        <wps:txbx>
                          <w:txbxContent>
                            <w:p w14:paraId="4C725D5B" w14:textId="77777777" w:rsidR="0024463C" w:rsidRPr="00D71008" w:rsidRDefault="0024463C" w:rsidP="0024463C">
                              <w:r w:rsidRPr="00D71008">
                                <w:rPr>
                                  <w:b/>
                                  <w:spacing w:val="-4"/>
                                </w:rPr>
                                <w:t>Problem 2:</w:t>
                              </w:r>
                              <w:r w:rsidRPr="00D71008">
                                <w:rPr>
                                  <w:spacing w:val="-4"/>
                                </w:rPr>
                                <w:t xml:space="preserve"> </w:t>
                              </w:r>
                              <w:r>
                                <w:rPr>
                                  <w:spacing w:val="-4"/>
                                </w:rPr>
                                <w:t>Incomplete offer of rail tickets on (rail) platforms</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wps:wsp>
                        <wps:cNvPr id="1793375824" name="Straight Arrow Connector 5"/>
                        <wps:cNvCnPr>
                          <a:stCxn id="919808520" idx="3"/>
                          <a:endCxn id="1322610240" idx="1"/>
                        </wps:cNvCnPr>
                        <wps:spPr>
                          <a:xfrm>
                            <a:off x="2494569" y="892783"/>
                            <a:ext cx="452519" cy="55"/>
                          </a:xfrm>
                          <a:prstGeom prst="straightConnector1">
                            <a:avLst/>
                          </a:prstGeom>
                          <a:noFill/>
                          <a:ln w="9525" cap="flat" cmpd="sng" algn="ctr">
                            <a:solidFill>
                              <a:srgbClr val="4F81BD">
                                <a:shade val="95000"/>
                                <a:satMod val="105000"/>
                              </a:srgbClr>
                            </a:solidFill>
                            <a:prstDash val="solid"/>
                            <a:tailEnd type="triangle" w="sm" len="med"/>
                          </a:ln>
                          <a:effectLst/>
                        </wps:spPr>
                        <wps:bodyPr/>
                      </wps:wsp>
                      <wps:wsp>
                        <wps:cNvPr id="266177927" name="Text Box 1"/>
                        <wps:cNvSpPr txBox="1"/>
                        <wps:spPr>
                          <a:xfrm>
                            <a:off x="4714368" y="-1"/>
                            <a:ext cx="1674667" cy="177558"/>
                          </a:xfrm>
                          <a:prstGeom prst="rect">
                            <a:avLst/>
                          </a:prstGeom>
                          <a:solidFill>
                            <a:srgbClr val="9BBB59">
                              <a:lumMod val="20000"/>
                              <a:lumOff val="80000"/>
                            </a:srgbClr>
                          </a:solidFill>
                          <a:ln w="6350">
                            <a:solidFill>
                              <a:prstClr val="black"/>
                            </a:solidFill>
                          </a:ln>
                        </wps:spPr>
                        <wps:txbx>
                          <w:txbxContent>
                            <w:p w14:paraId="3848CA22" w14:textId="77777777" w:rsidR="0024463C" w:rsidRPr="00D71008" w:rsidRDefault="0024463C" w:rsidP="0024463C">
                              <w:pPr>
                                <w:jc w:val="center"/>
                                <w:rPr>
                                  <w:b/>
                                  <w:spacing w:val="-4"/>
                                </w:rPr>
                              </w:pPr>
                              <w:r w:rsidRPr="00D71008">
                                <w:rPr>
                                  <w:b/>
                                  <w:spacing w:val="-4"/>
                                </w:rPr>
                                <w:t>Consequences</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wps:wsp>
                        <wps:cNvPr id="982076747" name="Text Box 1"/>
                        <wps:cNvSpPr txBox="1"/>
                        <wps:spPr>
                          <a:xfrm>
                            <a:off x="4714203" y="452761"/>
                            <a:ext cx="1674668" cy="879874"/>
                          </a:xfrm>
                          <a:prstGeom prst="rect">
                            <a:avLst/>
                          </a:prstGeom>
                          <a:solidFill>
                            <a:srgbClr val="9BBB59">
                              <a:lumMod val="20000"/>
                              <a:lumOff val="80000"/>
                            </a:srgbClr>
                          </a:solidFill>
                          <a:ln w="6350">
                            <a:solidFill>
                              <a:prstClr val="black"/>
                            </a:solidFill>
                          </a:ln>
                        </wps:spPr>
                        <wps:txbx>
                          <w:txbxContent>
                            <w:p w14:paraId="3FF5C027" w14:textId="77777777" w:rsidR="0024463C" w:rsidRPr="00D71008" w:rsidRDefault="0024463C" w:rsidP="0024463C">
                              <w:pPr>
                                <w:jc w:val="both"/>
                              </w:pPr>
                              <w:r w:rsidRPr="00D71008">
                                <w:rPr>
                                  <w:b/>
                                  <w:spacing w:val="-4"/>
                                </w:rPr>
                                <w:t xml:space="preserve">For the consumer: </w:t>
                              </w:r>
                              <w:r w:rsidRPr="00D71008">
                                <w:rPr>
                                  <w:spacing w:val="-4"/>
                                </w:rPr>
                                <w:t>limited ability to compare and combine travel options and fares</w:t>
                              </w:r>
                              <w:r w:rsidRPr="00D71008">
                                <w:t>, including the ability to compare the environmental impact of the travel choice.</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wps:wsp>
                        <wps:cNvPr id="995622791" name="Text Box 1"/>
                        <wps:cNvSpPr txBox="1"/>
                        <wps:spPr>
                          <a:xfrm>
                            <a:off x="4714203" y="1362486"/>
                            <a:ext cx="1674668" cy="671055"/>
                          </a:xfrm>
                          <a:prstGeom prst="rect">
                            <a:avLst/>
                          </a:prstGeom>
                          <a:solidFill>
                            <a:srgbClr val="9BBB59">
                              <a:lumMod val="20000"/>
                              <a:lumOff val="80000"/>
                            </a:srgbClr>
                          </a:solidFill>
                          <a:ln w="6350">
                            <a:solidFill>
                              <a:prstClr val="black"/>
                            </a:solidFill>
                          </a:ln>
                        </wps:spPr>
                        <wps:txbx>
                          <w:txbxContent>
                            <w:p w14:paraId="1D876D72" w14:textId="77777777" w:rsidR="0024463C" w:rsidRPr="00DC19A1" w:rsidRDefault="0024463C" w:rsidP="0024463C">
                              <w:pPr>
                                <w:jc w:val="both"/>
                                <w:rPr>
                                  <w:b/>
                                  <w:spacing w:val="-4"/>
                                </w:rPr>
                              </w:pPr>
                              <w:r w:rsidRPr="00D71008">
                                <w:rPr>
                                  <w:b/>
                                  <w:spacing w:val="-4"/>
                                </w:rPr>
                                <w:t>For the rail sector:</w:t>
                              </w:r>
                              <w:r w:rsidRPr="00DC19A1">
                                <w:rPr>
                                  <w:bCs/>
                                  <w:spacing w:val="-4"/>
                                </w:rPr>
                                <w:t xml:space="preserve"> o</w:t>
                              </w:r>
                              <w:r w:rsidRPr="00D71008">
                                <w:rPr>
                                  <w:spacing w:val="-4"/>
                                </w:rPr>
                                <w:t>bstacles to market entry,</w:t>
                              </w:r>
                              <w:r>
                                <w:rPr>
                                  <w:spacing w:val="-4"/>
                                </w:rPr>
                                <w:t xml:space="preserve"> reduced competition,</w:t>
                              </w:r>
                              <w:r w:rsidRPr="00D71008">
                                <w:rPr>
                                  <w:spacing w:val="-4"/>
                                </w:rPr>
                                <w:t xml:space="preserve"> lower demand for rail services, and suboptimal return on public investment</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wps:wsp>
                        <wps:cNvPr id="750835019" name="Straight Arrow Connector 5"/>
                        <wps:cNvCnPr>
                          <a:stCxn id="1322610240" idx="3"/>
                          <a:endCxn id="982076747" idx="1"/>
                        </wps:cNvCnPr>
                        <wps:spPr>
                          <a:xfrm flipV="1">
                            <a:off x="4279210" y="892698"/>
                            <a:ext cx="434993" cy="141"/>
                          </a:xfrm>
                          <a:prstGeom prst="straightConnector1">
                            <a:avLst/>
                          </a:prstGeom>
                          <a:noFill/>
                          <a:ln w="9525" cap="flat" cmpd="sng" algn="ctr">
                            <a:solidFill>
                              <a:srgbClr val="4F81BD">
                                <a:shade val="95000"/>
                                <a:satMod val="105000"/>
                              </a:srgbClr>
                            </a:solidFill>
                            <a:prstDash val="solid"/>
                            <a:tailEnd type="triangle" w="sm" len="med"/>
                          </a:ln>
                          <a:effectLst/>
                        </wps:spPr>
                        <wps:bodyPr/>
                      </wps:wsp>
                      <wps:wsp>
                        <wps:cNvPr id="2102361498" name="Straight Arrow Connector 5"/>
                        <wps:cNvCnPr>
                          <a:stCxn id="2013229978" idx="3"/>
                          <a:endCxn id="982076747" idx="1"/>
                        </wps:cNvCnPr>
                        <wps:spPr>
                          <a:xfrm flipV="1">
                            <a:off x="4279209" y="892698"/>
                            <a:ext cx="434993" cy="852390"/>
                          </a:xfrm>
                          <a:prstGeom prst="straightConnector1">
                            <a:avLst/>
                          </a:prstGeom>
                          <a:noFill/>
                          <a:ln w="9525" cap="flat" cmpd="sng" algn="ctr">
                            <a:solidFill>
                              <a:srgbClr val="4F81BD">
                                <a:shade val="95000"/>
                                <a:satMod val="105000"/>
                              </a:srgbClr>
                            </a:solidFill>
                            <a:prstDash val="solid"/>
                            <a:tailEnd type="triangle" w="sm" len="med"/>
                          </a:ln>
                          <a:effectLst/>
                        </wps:spPr>
                        <wps:bodyPr/>
                      </wps:wsp>
                      <wps:wsp>
                        <wps:cNvPr id="1460327040" name="Straight Arrow Connector 5"/>
                        <wps:cNvCnPr>
                          <a:stCxn id="2013229978" idx="3"/>
                          <a:endCxn id="995622791" idx="1"/>
                        </wps:cNvCnPr>
                        <wps:spPr>
                          <a:xfrm flipV="1">
                            <a:off x="4279209" y="1698014"/>
                            <a:ext cx="434993" cy="47075"/>
                          </a:xfrm>
                          <a:prstGeom prst="straightConnector1">
                            <a:avLst/>
                          </a:prstGeom>
                          <a:noFill/>
                          <a:ln w="9525" cap="flat" cmpd="sng" algn="ctr">
                            <a:solidFill>
                              <a:srgbClr val="4F81BD">
                                <a:shade val="95000"/>
                                <a:satMod val="105000"/>
                              </a:srgbClr>
                            </a:solidFill>
                            <a:prstDash val="solid"/>
                            <a:tailEnd type="triangle" w="sm" len="med"/>
                          </a:ln>
                          <a:effectLst/>
                        </wps:spPr>
                        <wps:bodyPr/>
                      </wps:wsp>
                      <wps:wsp>
                        <wps:cNvPr id="2074594594" name="Straight Arrow Connector 5"/>
                        <wps:cNvCnPr>
                          <a:stCxn id="2070134338" idx="3"/>
                          <a:endCxn id="1322610240" idx="1"/>
                        </wps:cNvCnPr>
                        <wps:spPr>
                          <a:xfrm flipV="1">
                            <a:off x="2494567" y="892838"/>
                            <a:ext cx="452520" cy="423864"/>
                          </a:xfrm>
                          <a:prstGeom prst="straightConnector1">
                            <a:avLst/>
                          </a:prstGeom>
                          <a:noFill/>
                          <a:ln w="9525" cap="flat" cmpd="sng" algn="ctr">
                            <a:solidFill>
                              <a:srgbClr val="4F81BD">
                                <a:shade val="95000"/>
                                <a:satMod val="105000"/>
                              </a:srgbClr>
                            </a:solidFill>
                            <a:prstDash val="solid"/>
                            <a:tailEnd type="triangle" w="sm" len="med"/>
                          </a:ln>
                          <a:effectLst/>
                        </wps:spPr>
                        <wps:bodyPr/>
                      </wps:wsp>
                    </wpg:wgp>
                  </a:graphicData>
                </a:graphic>
              </wp:inline>
            </w:drawing>
          </mc:Choice>
          <mc:Fallback>
            <w:pict>
              <v:group w14:anchorId="5E786103" id="Group 9" o:spid="_x0000_s1026" style="width:477.5pt;height:271.5pt;mso-position-horizontal-relative:char;mso-position-vertical-relative:line" coordorigin="-174" coordsize="64064,20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">
                <v:shapetype id="_x0000_t202" coordsize="21600,21600" o:spt="202" path="m,l,21600r21600,l21600,xe">
                  <v:stroke joinstyle="miter"/>
                  <v:path gradientshapeok="t" o:connecttype="rect"/>
                </v:shapetype>
                <v:shape id="Text Box 1" o:spid="_x0000_s1027" type="#_x0000_t202" style="position:absolute;left:-167;width:25119;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" fillcolor="#dce6f2" strokeweight=".5pt">
                  <v:textbox inset=".5mm,.5mm,.5mm,.5mm">
                    <w:txbxContent>
                      <w:p w14:paraId="4AD2D727" w14:textId="77777777" w:rsidR="0024463C" w:rsidRPr="00D71008" w:rsidRDefault="0024463C" w:rsidP="0024463C">
                        <w:pPr>
                          <w:jc w:val="center"/>
                        </w:pPr>
                        <w:r w:rsidRPr="00D71008">
                          <w:rPr>
                            <w:b/>
                            <w:bCs/>
                          </w:rPr>
                          <w:t>Problem Drivers (PD)</w:t>
                        </w:r>
                      </w:p>
                    </w:txbxContent>
                  </v:textbox>
                </v:shape>
                <v:shape id="Text Box 1" o:spid="_x0000_s1028" type="#_x0000_t202" style="position:absolute;left:29470;width:13322;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" fillcolor="#f2dcdb" strokeweight=".5pt">
                  <v:textbox inset=".5mm,.5mm,.5mm,.5mm">
                    <w:txbxContent>
                      <w:p w14:paraId="0A38C401" w14:textId="77777777" w:rsidR="0024463C" w:rsidRPr="00D71008" w:rsidRDefault="0024463C" w:rsidP="0024463C">
                        <w:pPr>
                          <w:jc w:val="center"/>
                        </w:pPr>
                        <w:r w:rsidRPr="006F410F">
                          <w:rPr>
                            <w:b/>
                            <w:bCs/>
                            <w:color w:val="000000"/>
                          </w:rPr>
                          <w:t>Problems (PB)</w:t>
                        </w:r>
                      </w:p>
                    </w:txbxContent>
                  </v:textbox>
                </v:shape>
                <v:shape id="Text Box 1" o:spid="_x0000_s1029" type="#_x0000_t202" style="position:absolute;left:-169;top:2723;width:25119;height:3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" fillcolor="#dce6f2" strokeweight=".5pt">
                  <v:textbox inset=".5mm,.5mm,.5mm,.5mm">
                    <w:txbxContent>
                      <w:p w14:paraId="019BCB0F" w14:textId="77777777" w:rsidR="0024463C" w:rsidRPr="00D71008" w:rsidRDefault="0024463C" w:rsidP="0024463C">
                        <w:pPr>
                          <w:jc w:val="both"/>
                        </w:pPr>
                        <w:r w:rsidRPr="00D71008">
                          <w:rPr>
                            <w:b/>
                            <w:spacing w:val="-4"/>
                          </w:rPr>
                          <w:t>PD</w:t>
                        </w:r>
                        <w:r>
                          <w:rPr>
                            <w:b/>
                            <w:spacing w:val="-4"/>
                          </w:rPr>
                          <w:t>1</w:t>
                        </w:r>
                        <w:r w:rsidRPr="00D71008">
                          <w:rPr>
                            <w:spacing w:val="-4"/>
                          </w:rPr>
                          <w:t>: Regulatory framework no longer fit for purpose due to market and technological changes in ticket distribution</w:t>
                        </w:r>
                      </w:p>
                    </w:txbxContent>
                  </v:textbox>
                </v:shape>
                <v:shapetype id="_x0000_t32" coordsize="21600,21600" o:spt="32" o:oned="t" path="m,l21600,21600e" filled="f">
                  <v:path arrowok="t" fillok="f" o:connecttype="none"/>
                  <o:lock v:ext="edit" shapetype="t"/>
                </v:shapetype>
                <v:shape id="Straight Arrow Connector 3" o:spid="_x0000_s1030" type="#_x0000_t32" style="position:absolute;left:25012;top:17450;width:4458;height:6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" strokecolor="#4a7ebb">
                  <v:stroke endarrow="block" endarrowwidth="narrow"/>
                </v:shape>
                <v:shape id="Text Box 1" o:spid="_x0000_s1031" type="#_x0000_t202" style="position:absolute;left:-174;top:11211;width:25119;height:39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" fillcolor="#dce6f2" strokeweight=".5pt">
                  <v:textbox inset=".5mm,.5mm,.5mm,.5mm">
                    <w:txbxContent>
                      <w:p w14:paraId="63F26BD2" w14:textId="77777777" w:rsidR="0024463C" w:rsidRPr="00095A43" w:rsidRDefault="0024463C" w:rsidP="0024463C">
                        <w:pPr>
                          <w:jc w:val="both"/>
                          <w:rPr>
                            <w:bCs/>
                            <w:spacing w:val="-4"/>
                          </w:rPr>
                        </w:pPr>
                        <w:r w:rsidRPr="00095A43">
                          <w:rPr>
                            <w:b/>
                            <w:spacing w:val="-4"/>
                          </w:rPr>
                          <w:t>PD</w:t>
                        </w:r>
                        <w:r>
                          <w:rPr>
                            <w:b/>
                            <w:spacing w:val="-4"/>
                          </w:rPr>
                          <w:t>3</w:t>
                        </w:r>
                        <w:r w:rsidRPr="00095A43">
                          <w:rPr>
                            <w:b/>
                            <w:spacing w:val="-4"/>
                          </w:rPr>
                          <w:t xml:space="preserve">: </w:t>
                        </w:r>
                        <w:r w:rsidRPr="00095A43">
                          <w:rPr>
                            <w:bCs/>
                            <w:spacing w:val="-4"/>
                          </w:rPr>
                          <w:t xml:space="preserve">Imbalanced commercial relations </w:t>
                        </w:r>
                        <w:r>
                          <w:rPr>
                            <w:bCs/>
                            <w:spacing w:val="-4"/>
                          </w:rPr>
                          <w:t xml:space="preserve">of </w:t>
                        </w:r>
                        <w:r w:rsidRPr="00095A43">
                          <w:rPr>
                            <w:bCs/>
                            <w:spacing w:val="-4"/>
                          </w:rPr>
                          <w:t>indispensable MDMS platforms and transport operators</w:t>
                        </w:r>
                      </w:p>
                    </w:txbxContent>
                  </v:textbox>
                </v:shape>
                <v:shape id="Text Box 1" o:spid="_x0000_s1032" type="#_x0000_t202" style="position:absolute;left:29470;top:5140;width:13322;height:7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" fillcolor="#f2dcdb" strokeweight=".5pt">
                  <v:textbox inset=".5mm,.5mm,.5mm,.5mm">
                    <w:txbxContent>
                      <w:p w14:paraId="5A4FBB3F" w14:textId="77777777" w:rsidR="0024463C" w:rsidRPr="00D71008" w:rsidRDefault="0024463C" w:rsidP="0024463C">
                        <w:pPr>
                          <w:jc w:val="both"/>
                        </w:pPr>
                        <w:r w:rsidRPr="00D71008">
                          <w:rPr>
                            <w:b/>
                            <w:spacing w:val="-4"/>
                          </w:rPr>
                          <w:t>Problem 1:</w:t>
                        </w:r>
                        <w:r w:rsidRPr="00D71008">
                          <w:rPr>
                            <w:spacing w:val="-4"/>
                          </w:rPr>
                          <w:t xml:space="preserve"> </w:t>
                        </w:r>
                        <w:r>
                          <w:rPr>
                            <w:spacing w:val="-4"/>
                          </w:rPr>
                          <w:t>L</w:t>
                        </w:r>
                        <w:r w:rsidRPr="000178A3">
                          <w:rPr>
                            <w:spacing w:val="-4"/>
                          </w:rPr>
                          <w:t>ack of transparency</w:t>
                        </w:r>
                        <w:r>
                          <w:rPr>
                            <w:spacing w:val="-4"/>
                          </w:rPr>
                          <w:t>,</w:t>
                        </w:r>
                        <w:r w:rsidRPr="000178A3">
                          <w:rPr>
                            <w:spacing w:val="-4"/>
                          </w:rPr>
                          <w:t xml:space="preserve"> unfair conditions</w:t>
                        </w:r>
                        <w:r>
                          <w:rPr>
                            <w:spacing w:val="-4"/>
                          </w:rPr>
                          <w:t>,</w:t>
                        </w:r>
                        <w:r w:rsidRPr="000178A3">
                          <w:rPr>
                            <w:spacing w:val="-4"/>
                          </w:rPr>
                          <w:t xml:space="preserve"> </w:t>
                        </w:r>
                        <w:r>
                          <w:rPr>
                            <w:spacing w:val="-4"/>
                          </w:rPr>
                          <w:t xml:space="preserve">and uneven playing field </w:t>
                        </w:r>
                        <w:r w:rsidRPr="000178A3">
                          <w:rPr>
                            <w:spacing w:val="-4"/>
                          </w:rPr>
                          <w:t>in the online ticketing marke</w:t>
                        </w:r>
                        <w:r>
                          <w:rPr>
                            <w:spacing w:val="-4"/>
                          </w:rPr>
                          <w:t>t</w:t>
                        </w:r>
                      </w:p>
                    </w:txbxContent>
                  </v:textbox>
                </v:shape>
                <v:shape id="Straight Arrow Connector 5" o:spid="_x0000_s1033" type="#_x0000_t32" style="position:absolute;left:24950;top:4678;width:4520;height:42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" strokecolor="#4a7ebb">
                  <v:stroke endarrow="block" endarrowwidth="narrow"/>
                </v:shape>
                <v:shape id="Text Box 1" o:spid="_x0000_s1034" type="#_x0000_t202" style="position:absolute;left:-107;top:15695;width:25119;height:4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" fillcolor="#dce6f2" strokeweight=".5pt">
                  <v:textbox inset=".5mm,.5mm,.5mm,.5mm">
                    <w:txbxContent>
                      <w:p w14:paraId="0F7B5CFE" w14:textId="1BCB5673" w:rsidR="0024463C" w:rsidRPr="00074630" w:rsidRDefault="0024463C" w:rsidP="0024463C">
                        <w:pPr>
                          <w:jc w:val="both"/>
                          <w:rPr>
                            <w:bCs/>
                            <w:spacing w:val="-4"/>
                          </w:rPr>
                        </w:pPr>
                        <w:r w:rsidRPr="00095A43">
                          <w:rPr>
                            <w:b/>
                            <w:spacing w:val="-4"/>
                          </w:rPr>
                          <w:t>PD</w:t>
                        </w:r>
                        <w:r>
                          <w:rPr>
                            <w:b/>
                            <w:spacing w:val="-4"/>
                          </w:rPr>
                          <w:t>4</w:t>
                        </w:r>
                        <w:r w:rsidRPr="00095A43">
                          <w:rPr>
                            <w:b/>
                            <w:spacing w:val="-4"/>
                          </w:rPr>
                          <w:t xml:space="preserve">: </w:t>
                        </w:r>
                        <w:r>
                          <w:rPr>
                            <w:bCs/>
                            <w:spacing w:val="-4"/>
                          </w:rPr>
                          <w:t xml:space="preserve">Vertical integration of railway undertakings and rail ticketing platforms </w:t>
                        </w:r>
                        <w:r w:rsidR="00E85B17" w:rsidRPr="008F0491">
                          <w:rPr>
                            <w:spacing w:val="-4"/>
                          </w:rPr>
                          <w:t>hinders</w:t>
                        </w:r>
                        <w:r w:rsidR="004926CA" w:rsidRPr="008F0491">
                          <w:rPr>
                            <w:spacing w:val="-4"/>
                          </w:rPr>
                          <w:t xml:space="preserve"> </w:t>
                        </w:r>
                        <w:r w:rsidR="00983557" w:rsidRPr="008F0491">
                          <w:rPr>
                            <w:spacing w:val="-4"/>
                          </w:rPr>
                          <w:t xml:space="preserve">wider </w:t>
                        </w:r>
                        <w:r w:rsidRPr="008F0491">
                          <w:rPr>
                            <w:spacing w:val="-4"/>
                          </w:rPr>
                          <w:t>ticket distribution</w:t>
                        </w:r>
                      </w:p>
                    </w:txbxContent>
                  </v:textbox>
                </v:shape>
                <v:shape id="Text Box 1" o:spid="_x0000_s1035" type="#_x0000_t202" style="position:absolute;left:-174;top:6972;width:25119;height:39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" fillcolor="#dce6f2" strokeweight=".5pt">
                  <v:textbox inset=".5mm,.5mm,.5mm,.5mm">
                    <w:txbxContent>
                      <w:p w14:paraId="62B89CEA" w14:textId="77777777" w:rsidR="0024463C" w:rsidRPr="00D71008" w:rsidRDefault="0024463C" w:rsidP="0024463C">
                        <w:r w:rsidRPr="00D71008">
                          <w:rPr>
                            <w:b/>
                            <w:spacing w:val="-4"/>
                          </w:rPr>
                          <w:t>PD</w:t>
                        </w:r>
                        <w:r>
                          <w:rPr>
                            <w:b/>
                            <w:spacing w:val="-4"/>
                          </w:rPr>
                          <w:t>2</w:t>
                        </w:r>
                        <w:r w:rsidRPr="00D71008">
                          <w:rPr>
                            <w:spacing w:val="-4"/>
                          </w:rPr>
                          <w:t xml:space="preserve">: Commercial incentives of MDMS platforms to promote </w:t>
                        </w:r>
                        <w:r w:rsidRPr="00D71008">
                          <w:t>ce</w:t>
                        </w:r>
                        <w:r w:rsidRPr="00D71008">
                          <w:rPr>
                            <w:spacing w:val="-4"/>
                          </w:rPr>
                          <w:t>rtain operators or products</w:t>
                        </w:r>
                      </w:p>
                    </w:txbxContent>
                  </v:textbox>
                </v:shape>
                <v:shape id="Text Box 1" o:spid="_x0000_s1036" type="#_x0000_t202" style="position:absolute;left:29470;top:14453;width:13322;height:5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" fillcolor="#f2dcdb" strokeweight=".5pt">
                  <v:textbox inset=".5mm,.5mm,.5mm,.5mm">
                    <w:txbxContent>
                      <w:p w14:paraId="4C725D5B" w14:textId="77777777" w:rsidR="0024463C" w:rsidRPr="00D71008" w:rsidRDefault="0024463C" w:rsidP="0024463C">
                        <w:r w:rsidRPr="00D71008">
                          <w:rPr>
                            <w:b/>
                            <w:spacing w:val="-4"/>
                          </w:rPr>
                          <w:t>Problem 2:</w:t>
                        </w:r>
                        <w:r w:rsidRPr="00D71008">
                          <w:rPr>
                            <w:spacing w:val="-4"/>
                          </w:rPr>
                          <w:t xml:space="preserve"> </w:t>
                        </w:r>
                        <w:r>
                          <w:rPr>
                            <w:spacing w:val="-4"/>
                          </w:rPr>
                          <w:t>Incomplete offer of rail tickets on (rail) platforms</w:t>
                        </w:r>
                      </w:p>
                    </w:txbxContent>
                  </v:textbox>
                </v:shape>
                <v:shape id="Straight Arrow Connector 5" o:spid="_x0000_s1037" type="#_x0000_t32" style="position:absolute;left:24945;top:8927;width:452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" strokecolor="#4a7ebb">
                  <v:stroke endarrow="block" endarrowwidth="narrow"/>
                </v:shape>
                <v:shape id="Text Box 1" o:spid="_x0000_s1038" type="#_x0000_t202" style="position:absolute;left:47143;width:16747;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" fillcolor="#ebf1de" strokeweight=".5pt">
                  <v:textbox inset=".5mm,.5mm,.5mm,.5mm">
                    <w:txbxContent>
                      <w:p w14:paraId="3848CA22" w14:textId="77777777" w:rsidR="0024463C" w:rsidRPr="00D71008" w:rsidRDefault="0024463C" w:rsidP="0024463C">
                        <w:pPr>
                          <w:jc w:val="center"/>
                          <w:rPr>
                            <w:b/>
                            <w:spacing w:val="-4"/>
                          </w:rPr>
                        </w:pPr>
                        <w:r w:rsidRPr="00D71008">
                          <w:rPr>
                            <w:b/>
                            <w:spacing w:val="-4"/>
                          </w:rPr>
                          <w:t>Consequences</w:t>
                        </w:r>
                      </w:p>
                    </w:txbxContent>
                  </v:textbox>
                </v:shape>
                <v:shape id="Text Box 1" o:spid="_x0000_s1039" type="#_x0000_t202" style="position:absolute;left:47142;top:4527;width:16746;height:8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" fillcolor="#ebf1de" strokeweight=".5pt">
                  <v:textbox inset=".5mm,.5mm,.5mm,.5mm">
                    <w:txbxContent>
                      <w:p w14:paraId="3FF5C027" w14:textId="77777777" w:rsidR="0024463C" w:rsidRPr="00D71008" w:rsidRDefault="0024463C" w:rsidP="0024463C">
                        <w:pPr>
                          <w:jc w:val="both"/>
                        </w:pPr>
                        <w:r w:rsidRPr="00D71008">
                          <w:rPr>
                            <w:b/>
                            <w:spacing w:val="-4"/>
                          </w:rPr>
                          <w:t xml:space="preserve">For the consumer: </w:t>
                        </w:r>
                        <w:r w:rsidRPr="00D71008">
                          <w:rPr>
                            <w:spacing w:val="-4"/>
                          </w:rPr>
                          <w:t>limited ability to compare and combine travel options and fares</w:t>
                        </w:r>
                        <w:r w:rsidRPr="00D71008">
                          <w:t>, including the ability to compare the environmental impact of the travel choice.</w:t>
                        </w:r>
                      </w:p>
                    </w:txbxContent>
                  </v:textbox>
                </v:shape>
                <v:shape id="Text Box 1" o:spid="_x0000_s1040" type="#_x0000_t202" style="position:absolute;left:47142;top:13624;width:16746;height:6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" fillcolor="#ebf1de" strokeweight=".5pt">
                  <v:textbox inset=".5mm,.5mm,.5mm,.5mm">
                    <w:txbxContent>
                      <w:p w14:paraId="1D876D72" w14:textId="77777777" w:rsidR="0024463C" w:rsidRPr="00DC19A1" w:rsidRDefault="0024463C" w:rsidP="0024463C">
                        <w:pPr>
                          <w:jc w:val="both"/>
                          <w:rPr>
                            <w:b/>
                            <w:spacing w:val="-4"/>
                          </w:rPr>
                        </w:pPr>
                        <w:r w:rsidRPr="00D71008">
                          <w:rPr>
                            <w:b/>
                            <w:spacing w:val="-4"/>
                          </w:rPr>
                          <w:t>For the rail sector:</w:t>
                        </w:r>
                        <w:r w:rsidRPr="00DC19A1">
                          <w:rPr>
                            <w:bCs/>
                            <w:spacing w:val="-4"/>
                          </w:rPr>
                          <w:t xml:space="preserve"> o</w:t>
                        </w:r>
                        <w:r w:rsidRPr="00D71008">
                          <w:rPr>
                            <w:spacing w:val="-4"/>
                          </w:rPr>
                          <w:t>bstacles to market entry,</w:t>
                        </w:r>
                        <w:r>
                          <w:rPr>
                            <w:spacing w:val="-4"/>
                          </w:rPr>
                          <w:t xml:space="preserve"> reduced competition,</w:t>
                        </w:r>
                        <w:r w:rsidRPr="00D71008">
                          <w:rPr>
                            <w:spacing w:val="-4"/>
                          </w:rPr>
                          <w:t xml:space="preserve"> lower demand for rail services, and suboptimal return on public investment</w:t>
                        </w:r>
                      </w:p>
                    </w:txbxContent>
                  </v:textbox>
                </v:shape>
                <v:shape id="Straight Arrow Connector 5" o:spid="_x0000_s1041" type="#_x0000_t32" style="position:absolute;left:42792;top:8926;width:4350;height: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" strokecolor="#4a7ebb">
                  <v:stroke endarrow="block" endarrowwidth="narrow"/>
                </v:shape>
                <v:shape id="Straight Arrow Connector 5" o:spid="_x0000_s1042" type="#_x0000_t32" style="position:absolute;left:42792;top:8926;width:4350;height:85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" strokecolor="#4a7ebb">
                  <v:stroke endarrow="block" endarrowwidth="narrow"/>
                </v:shape>
                <v:shape id="Straight Arrow Connector 5" o:spid="_x0000_s1043" type="#_x0000_t32" style="position:absolute;left:42792;top:16980;width:4350;height:4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" strokecolor="#4a7ebb">
                  <v:stroke endarrow="block" endarrowwidth="narrow"/>
                </v:shape>
                <v:shape id="Straight Arrow Connector 5" o:spid="_x0000_s1044" type="#_x0000_t32" style="position:absolute;left:24945;top:8928;width:4525;height:42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" strokecolor="#4a7ebb">
                  <v:stroke endarrow="block" endarrowwidth="narrow"/>
                </v:shape>
                <w10:anchorlock/>
              </v:group>
            </w:pict>
          </mc:Fallback>
        </mc:AlternateContent>
      </w:r>
    </w:p>
    <w:p w14:paraId="398FED41" w14:textId="734B3820" w:rsidR="007B2D8E" w:rsidRPr="00947224" w:rsidRDefault="00033DC6" w:rsidP="009379D3">
      <w:pPr>
        <w:tabs>
          <w:tab w:val="left" w:pos="1849"/>
        </w:tabs>
        <w:spacing w:after="120"/>
        <w:jc w:val="both"/>
        <w:rPr>
          <w:noProof/>
          <w:spacing w:val="-8"/>
        </w:rPr>
      </w:pPr>
      <w:bookmarkStart w:id="25" w:name="_Toc220667476"/>
      <w:r w:rsidRPr="00947224">
        <w:rPr>
          <w:noProof/>
          <w:spacing w:val="-8"/>
        </w:rPr>
        <w:t xml:space="preserve">This initiative </w:t>
      </w:r>
      <w:r w:rsidR="00F21317" w:rsidRPr="00947224">
        <w:rPr>
          <w:noProof/>
          <w:spacing w:val="-8"/>
        </w:rPr>
        <w:t>identifies 4 problem drivers and</w:t>
      </w:r>
      <w:r w:rsidRPr="00947224">
        <w:rPr>
          <w:noProof/>
          <w:spacing w:val="-8"/>
        </w:rPr>
        <w:t xml:space="preserve"> addresses</w:t>
      </w:r>
      <w:r w:rsidR="00BE6CC5" w:rsidRPr="00947224">
        <w:rPr>
          <w:noProof/>
          <w:spacing w:val="-8"/>
        </w:rPr>
        <w:t xml:space="preserve"> </w:t>
      </w:r>
      <w:r w:rsidR="00191DC9" w:rsidRPr="00947224">
        <w:rPr>
          <w:noProof/>
          <w:spacing w:val="-8"/>
        </w:rPr>
        <w:t>two</w:t>
      </w:r>
      <w:r w:rsidR="00BE6CC5" w:rsidRPr="00947224">
        <w:rPr>
          <w:noProof/>
          <w:spacing w:val="-8"/>
        </w:rPr>
        <w:t xml:space="preserve"> market failures </w:t>
      </w:r>
      <w:r w:rsidR="00191DC9" w:rsidRPr="00947224">
        <w:rPr>
          <w:noProof/>
          <w:spacing w:val="-8"/>
        </w:rPr>
        <w:t>in online ticket distribution</w:t>
      </w:r>
      <w:r w:rsidR="0097678D" w:rsidRPr="00947224">
        <w:rPr>
          <w:noProof/>
          <w:spacing w:val="-8"/>
        </w:rPr>
        <w:t>,</w:t>
      </w:r>
      <w:r w:rsidR="00BE6CC5" w:rsidRPr="00947224">
        <w:rPr>
          <w:noProof/>
          <w:spacing w:val="-8"/>
        </w:rPr>
        <w:t xml:space="preserve"> which are </w:t>
      </w:r>
      <w:r w:rsidR="000D3C94" w:rsidRPr="00947224">
        <w:rPr>
          <w:noProof/>
          <w:spacing w:val="-8"/>
        </w:rPr>
        <w:t xml:space="preserve">described in more detail in </w:t>
      </w:r>
      <w:r w:rsidR="000D3C94" w:rsidRPr="00947224">
        <w:rPr>
          <w:noProof/>
          <w:spacing w:val="-8"/>
        </w:rPr>
        <w:fldChar w:fldCharType="begin"/>
      </w:r>
      <w:r w:rsidR="000D3C94" w:rsidRPr="00947224">
        <w:rPr>
          <w:noProof/>
          <w:spacing w:val="-8"/>
        </w:rPr>
        <w:instrText xml:space="preserve"> REF _Ref223867113 \h </w:instrText>
      </w:r>
      <w:r w:rsidR="00947224">
        <w:rPr>
          <w:noProof/>
          <w:spacing w:val="-8"/>
        </w:rPr>
        <w:instrText xml:space="preserve"> \* MERGEFORMAT </w:instrText>
      </w:r>
      <w:r w:rsidR="000D3C94" w:rsidRPr="00947224">
        <w:rPr>
          <w:noProof/>
          <w:spacing w:val="-8"/>
        </w:rPr>
      </w:r>
      <w:r w:rsidR="000D3C94" w:rsidRPr="00947224">
        <w:rPr>
          <w:noProof/>
          <w:spacing w:val="-8"/>
        </w:rPr>
        <w:fldChar w:fldCharType="separate"/>
      </w:r>
      <w:r>
        <w:rPr>
          <w:i/>
          <w:noProof/>
          <w:spacing w:val="-8"/>
        </w:rPr>
        <w:t>Problem 1: Lack of transparency, unfair conditions, and uneven playing field in the online ticketing market</w:t>
      </w:r>
      <w:r w:rsidR="000D3C94" w:rsidRPr="00947224">
        <w:rPr>
          <w:noProof/>
          <w:spacing w:val="-8"/>
        </w:rPr>
        <w:fldChar w:fldCharType="end"/>
      </w:r>
      <w:r w:rsidR="000D3C94" w:rsidRPr="00947224">
        <w:rPr>
          <w:noProof/>
          <w:spacing w:val="-8"/>
        </w:rPr>
        <w:t xml:space="preserve"> and </w:t>
      </w:r>
      <w:r w:rsidR="000D3C94" w:rsidRPr="00947224">
        <w:rPr>
          <w:noProof/>
          <w:spacing w:val="-8"/>
        </w:rPr>
        <w:fldChar w:fldCharType="begin"/>
      </w:r>
      <w:r w:rsidR="000D3C94" w:rsidRPr="00947224">
        <w:rPr>
          <w:noProof/>
          <w:spacing w:val="-8"/>
        </w:rPr>
        <w:instrText xml:space="preserve"> REF _Ref223819361 \h </w:instrText>
      </w:r>
      <w:r w:rsidR="00947224">
        <w:rPr>
          <w:noProof/>
          <w:spacing w:val="-8"/>
        </w:rPr>
        <w:instrText xml:space="preserve"> \* MERGEFORMAT </w:instrText>
      </w:r>
      <w:r w:rsidR="000D3C94" w:rsidRPr="00947224">
        <w:rPr>
          <w:noProof/>
          <w:spacing w:val="-8"/>
        </w:rPr>
      </w:r>
      <w:r w:rsidR="000D3C94" w:rsidRPr="00947224">
        <w:rPr>
          <w:noProof/>
          <w:spacing w:val="-8"/>
        </w:rPr>
        <w:fldChar w:fldCharType="separate"/>
      </w:r>
      <w:r>
        <w:rPr>
          <w:i/>
          <w:noProof/>
          <w:spacing w:val="-8"/>
        </w:rPr>
        <w:t>Problem 2: Incomplete offer of rail tickets on (rail) platforms</w:t>
      </w:r>
      <w:r w:rsidR="000D3C94" w:rsidRPr="00947224">
        <w:rPr>
          <w:noProof/>
          <w:spacing w:val="-8"/>
        </w:rPr>
        <w:fldChar w:fldCharType="end"/>
      </w:r>
      <w:r w:rsidR="00A2044C" w:rsidRPr="00947224">
        <w:rPr>
          <w:noProof/>
          <w:spacing w:val="-8"/>
        </w:rPr>
        <w:t>.</w:t>
      </w:r>
      <w:r w:rsidR="00674427" w:rsidRPr="00947224">
        <w:rPr>
          <w:noProof/>
          <w:spacing w:val="-8"/>
        </w:rPr>
        <w:t xml:space="preserve"> </w:t>
      </w:r>
      <w:r w:rsidR="00171971" w:rsidRPr="00947224">
        <w:rPr>
          <w:noProof/>
          <w:spacing w:val="-8"/>
        </w:rPr>
        <w:t xml:space="preserve">These </w:t>
      </w:r>
      <w:r w:rsidR="00254425" w:rsidRPr="00947224">
        <w:rPr>
          <w:noProof/>
          <w:spacing w:val="-8"/>
        </w:rPr>
        <w:t xml:space="preserve">problems </w:t>
      </w:r>
      <w:r w:rsidR="00A602D9" w:rsidRPr="00947224">
        <w:rPr>
          <w:noProof/>
          <w:spacing w:val="-8"/>
        </w:rPr>
        <w:t>have consequences in the operation</w:t>
      </w:r>
      <w:r w:rsidR="00142ED2" w:rsidRPr="00947224">
        <w:rPr>
          <w:noProof/>
          <w:spacing w:val="-8"/>
        </w:rPr>
        <w:t>al</w:t>
      </w:r>
      <w:r w:rsidR="00A602D9" w:rsidRPr="00947224">
        <w:rPr>
          <w:noProof/>
          <w:spacing w:val="-8"/>
        </w:rPr>
        <w:t xml:space="preserve"> rail service market </w:t>
      </w:r>
      <w:r w:rsidR="009A48A2" w:rsidRPr="00947224">
        <w:rPr>
          <w:noProof/>
          <w:spacing w:val="-8"/>
        </w:rPr>
        <w:t>and means c</w:t>
      </w:r>
      <w:r w:rsidR="00B32A29" w:rsidRPr="00947224">
        <w:rPr>
          <w:noProof/>
          <w:spacing w:val="-8"/>
        </w:rPr>
        <w:t>onsumers do not find all travel choices on online platforms</w:t>
      </w:r>
      <w:r w:rsidR="00D32FF4" w:rsidRPr="00947224">
        <w:rPr>
          <w:noProof/>
          <w:spacing w:val="-8"/>
        </w:rPr>
        <w:t>. The latter</w:t>
      </w:r>
      <w:r w:rsidR="00B32A29" w:rsidRPr="00947224">
        <w:rPr>
          <w:noProof/>
          <w:spacing w:val="-8"/>
        </w:rPr>
        <w:t xml:space="preserve"> limit</w:t>
      </w:r>
      <w:r w:rsidR="00D32FF4" w:rsidRPr="00947224">
        <w:rPr>
          <w:noProof/>
          <w:spacing w:val="-8"/>
        </w:rPr>
        <w:t>s</w:t>
      </w:r>
      <w:r w:rsidR="00B32A29" w:rsidRPr="00947224">
        <w:rPr>
          <w:noProof/>
          <w:spacing w:val="-8"/>
        </w:rPr>
        <w:t xml:space="preserve"> their ability to compare and combine travel options and fares, including on their environmental impact. </w:t>
      </w:r>
      <w:r w:rsidR="00C3101A" w:rsidRPr="00947224">
        <w:rPr>
          <w:noProof/>
          <w:spacing w:val="-8"/>
        </w:rPr>
        <w:t xml:space="preserve">To better understand </w:t>
      </w:r>
      <w:r w:rsidR="00516496" w:rsidRPr="00947224">
        <w:rPr>
          <w:noProof/>
          <w:spacing w:val="-8"/>
        </w:rPr>
        <w:t xml:space="preserve">the magnitude of the </w:t>
      </w:r>
      <w:r w:rsidR="00030EDC" w:rsidRPr="00947224">
        <w:rPr>
          <w:noProof/>
          <w:spacing w:val="-8"/>
        </w:rPr>
        <w:t>consequences on consumers</w:t>
      </w:r>
      <w:r w:rsidR="00574DD4" w:rsidRPr="00947224">
        <w:rPr>
          <w:noProof/>
          <w:spacing w:val="-8"/>
        </w:rPr>
        <w:t>,</w:t>
      </w:r>
      <w:r w:rsidR="0039070E" w:rsidRPr="00947224">
        <w:rPr>
          <w:noProof/>
          <w:spacing w:val="-8"/>
        </w:rPr>
        <w:t xml:space="preserve"> </w:t>
      </w:r>
      <w:r w:rsidR="002C2EC8" w:rsidRPr="00947224">
        <w:rPr>
          <w:noProof/>
          <w:spacing w:val="-8"/>
        </w:rPr>
        <w:t xml:space="preserve">including </w:t>
      </w:r>
      <w:r w:rsidR="000F7FC9" w:rsidRPr="00947224">
        <w:rPr>
          <w:noProof/>
          <w:spacing w:val="-8"/>
        </w:rPr>
        <w:t xml:space="preserve">the potential for behavioural change and </w:t>
      </w:r>
      <w:r w:rsidR="002C2EC8" w:rsidRPr="00947224">
        <w:rPr>
          <w:noProof/>
          <w:spacing w:val="-8"/>
        </w:rPr>
        <w:t xml:space="preserve">their ability to make more sustainable travel choices, </w:t>
      </w:r>
      <w:r w:rsidR="001E3BAE" w:rsidRPr="00947224">
        <w:rPr>
          <w:noProof/>
          <w:spacing w:val="-8"/>
        </w:rPr>
        <w:t xml:space="preserve">several questions </w:t>
      </w:r>
      <w:r w:rsidR="000701D2" w:rsidRPr="00947224">
        <w:rPr>
          <w:noProof/>
          <w:spacing w:val="-8"/>
        </w:rPr>
        <w:t>must be considered</w:t>
      </w:r>
      <w:r w:rsidR="000B65E3" w:rsidRPr="00947224">
        <w:rPr>
          <w:noProof/>
          <w:spacing w:val="-8"/>
        </w:rPr>
        <w:t>:</w:t>
      </w:r>
    </w:p>
    <w:p w14:paraId="645723DC" w14:textId="7AB03973" w:rsidR="00CF2CE6" w:rsidRPr="00947224" w:rsidRDefault="00FF5355" w:rsidP="001979E4">
      <w:pPr>
        <w:pStyle w:val="ListParagraph"/>
        <w:numPr>
          <w:ilvl w:val="0"/>
          <w:numId w:val="41"/>
        </w:numPr>
        <w:tabs>
          <w:tab w:val="left" w:pos="1849"/>
        </w:tabs>
        <w:spacing w:before="120" w:after="120"/>
        <w:ind w:left="714" w:hanging="357"/>
        <w:jc w:val="both"/>
        <w:rPr>
          <w:noProof/>
          <w:spacing w:val="-8"/>
          <w:sz w:val="24"/>
          <w:szCs w:val="24"/>
        </w:rPr>
      </w:pPr>
      <w:r w:rsidRPr="00947224">
        <w:rPr>
          <w:noProof/>
          <w:spacing w:val="-8"/>
          <w:sz w:val="24"/>
          <w:szCs w:val="24"/>
        </w:rPr>
        <w:t xml:space="preserve">Do </w:t>
      </w:r>
      <w:r w:rsidR="00CF2CE6" w:rsidRPr="00947224">
        <w:rPr>
          <w:noProof/>
          <w:spacing w:val="-8"/>
          <w:sz w:val="24"/>
          <w:szCs w:val="24"/>
        </w:rPr>
        <w:t xml:space="preserve">alternative travel options </w:t>
      </w:r>
      <w:r w:rsidRPr="00947224">
        <w:rPr>
          <w:noProof/>
          <w:spacing w:val="-8"/>
          <w:sz w:val="24"/>
          <w:szCs w:val="24"/>
        </w:rPr>
        <w:t>exist</w:t>
      </w:r>
      <w:r w:rsidR="00CF2CE6" w:rsidRPr="00947224">
        <w:rPr>
          <w:noProof/>
          <w:spacing w:val="-8"/>
          <w:sz w:val="24"/>
          <w:szCs w:val="24"/>
        </w:rPr>
        <w:t>?</w:t>
      </w:r>
    </w:p>
    <w:p w14:paraId="7859663F" w14:textId="0C2C5ED6" w:rsidR="007B2D8E" w:rsidRPr="00947224" w:rsidRDefault="00CF2CE6" w:rsidP="001979E4">
      <w:pPr>
        <w:pStyle w:val="ListParagraph"/>
        <w:numPr>
          <w:ilvl w:val="0"/>
          <w:numId w:val="41"/>
        </w:numPr>
        <w:tabs>
          <w:tab w:val="left" w:pos="1849"/>
        </w:tabs>
        <w:spacing w:before="120" w:after="120"/>
        <w:ind w:left="714" w:hanging="357"/>
        <w:jc w:val="both"/>
        <w:rPr>
          <w:noProof/>
          <w:spacing w:val="-8"/>
          <w:sz w:val="24"/>
          <w:szCs w:val="24"/>
        </w:rPr>
      </w:pPr>
      <w:r w:rsidRPr="00947224">
        <w:rPr>
          <w:noProof/>
          <w:spacing w:val="-8"/>
          <w:sz w:val="24"/>
          <w:szCs w:val="24"/>
        </w:rPr>
        <w:t xml:space="preserve">Are </w:t>
      </w:r>
      <w:r w:rsidR="00922F08" w:rsidRPr="00947224">
        <w:rPr>
          <w:noProof/>
          <w:spacing w:val="-8"/>
          <w:sz w:val="24"/>
          <w:szCs w:val="24"/>
        </w:rPr>
        <w:t xml:space="preserve">travellers </w:t>
      </w:r>
      <w:r w:rsidRPr="00947224">
        <w:rPr>
          <w:noProof/>
          <w:spacing w:val="-8"/>
          <w:sz w:val="24"/>
          <w:szCs w:val="24"/>
        </w:rPr>
        <w:t xml:space="preserve">willing to </w:t>
      </w:r>
      <w:r w:rsidR="00BC4E1E" w:rsidRPr="00947224">
        <w:rPr>
          <w:noProof/>
          <w:spacing w:val="-8"/>
          <w:sz w:val="24"/>
          <w:szCs w:val="24"/>
        </w:rPr>
        <w:t>changes their habits?</w:t>
      </w:r>
    </w:p>
    <w:p w14:paraId="0B274F0C" w14:textId="2BA4B956" w:rsidR="00BC4E1E" w:rsidRPr="00947224" w:rsidRDefault="00BD7F26" w:rsidP="001979E4">
      <w:pPr>
        <w:pStyle w:val="ListParagraph"/>
        <w:numPr>
          <w:ilvl w:val="0"/>
          <w:numId w:val="41"/>
        </w:numPr>
        <w:tabs>
          <w:tab w:val="left" w:pos="1849"/>
        </w:tabs>
        <w:spacing w:before="120" w:after="240"/>
        <w:ind w:left="714" w:hanging="357"/>
        <w:jc w:val="both"/>
        <w:rPr>
          <w:noProof/>
          <w:spacing w:val="-8"/>
          <w:sz w:val="24"/>
          <w:szCs w:val="24"/>
        </w:rPr>
      </w:pPr>
      <w:r w:rsidRPr="00947224">
        <w:rPr>
          <w:noProof/>
          <w:spacing w:val="-8"/>
          <w:sz w:val="24"/>
          <w:szCs w:val="24"/>
        </w:rPr>
        <w:t>Is</w:t>
      </w:r>
      <w:r w:rsidR="00BC4E1E" w:rsidRPr="00947224">
        <w:rPr>
          <w:noProof/>
          <w:spacing w:val="-8"/>
          <w:sz w:val="24"/>
          <w:szCs w:val="24"/>
        </w:rPr>
        <w:t xml:space="preserve"> </w:t>
      </w:r>
      <w:r w:rsidR="00197DC2" w:rsidRPr="00947224">
        <w:rPr>
          <w:noProof/>
          <w:spacing w:val="-8"/>
          <w:sz w:val="24"/>
          <w:szCs w:val="24"/>
        </w:rPr>
        <w:t xml:space="preserve">travellers’ </w:t>
      </w:r>
      <w:r w:rsidR="00E4012E" w:rsidRPr="00947224">
        <w:rPr>
          <w:noProof/>
          <w:spacing w:val="-8"/>
          <w:sz w:val="24"/>
          <w:szCs w:val="24"/>
        </w:rPr>
        <w:t xml:space="preserve">ability </w:t>
      </w:r>
      <w:r w:rsidR="00197DC2" w:rsidRPr="00947224">
        <w:rPr>
          <w:noProof/>
          <w:spacing w:val="-8"/>
          <w:sz w:val="24"/>
          <w:szCs w:val="24"/>
        </w:rPr>
        <w:t>to make alternative choices</w:t>
      </w:r>
      <w:r w:rsidRPr="00947224">
        <w:rPr>
          <w:noProof/>
          <w:spacing w:val="-8"/>
          <w:sz w:val="24"/>
          <w:szCs w:val="24"/>
        </w:rPr>
        <w:t xml:space="preserve"> impaired</w:t>
      </w:r>
      <w:r w:rsidR="00197DC2" w:rsidRPr="00947224">
        <w:rPr>
          <w:noProof/>
          <w:spacing w:val="-8"/>
          <w:sz w:val="24"/>
          <w:szCs w:val="24"/>
        </w:rPr>
        <w:t>?</w:t>
      </w:r>
    </w:p>
    <w:p w14:paraId="09712118" w14:textId="0FB3D1A0" w:rsidR="00D91CAE" w:rsidRDefault="00D000D7" w:rsidP="00D91CAE">
      <w:pPr>
        <w:tabs>
          <w:tab w:val="left" w:pos="1849"/>
        </w:tabs>
        <w:spacing w:after="240"/>
        <w:jc w:val="both"/>
        <w:rPr>
          <w:noProof/>
        </w:rPr>
      </w:pPr>
      <w:r w:rsidRPr="00CD4558">
        <w:rPr>
          <w:noProof/>
          <w:spacing w:val="-8"/>
          <w:lang w:val="en-GB" w:eastAsia="en-GB"/>
        </w:rPr>
        <mc:AlternateContent>
          <mc:Choice Requires="wpg">
            <w:drawing>
              <wp:anchor distT="0" distB="0" distL="114300" distR="114300" simplePos="0" relativeHeight="251658240" behindDoc="0" locked="0" layoutInCell="1" allowOverlap="1" wp14:anchorId="1326C0E6" wp14:editId="5DF52908">
                <wp:simplePos x="0" y="0"/>
                <wp:positionH relativeFrom="column">
                  <wp:posOffset>2987675</wp:posOffset>
                </wp:positionH>
                <wp:positionV relativeFrom="paragraph">
                  <wp:posOffset>126365</wp:posOffset>
                </wp:positionV>
                <wp:extent cx="3039110" cy="2248535"/>
                <wp:effectExtent l="0" t="0" r="8890" b="0"/>
                <wp:wrapSquare wrapText="bothSides"/>
                <wp:docPr id="1311724920" name="Group 1"/>
                <wp:cNvGraphicFramePr/>
                <a:graphic xmlns:a="http://schemas.openxmlformats.org/drawingml/2006/main">
                  <a:graphicData uri="http://schemas.microsoft.com/office/word/2010/wordprocessingGroup">
                    <wpg:wgp>
                      <wpg:cNvGrpSpPr/>
                      <wpg:grpSpPr>
                        <a:xfrm>
                          <a:off x="0" y="0"/>
                          <a:ext cx="3039110" cy="2248535"/>
                          <a:chOff x="0" y="0"/>
                          <a:chExt cx="3039110" cy="2249060"/>
                        </a:xfrm>
                      </wpg:grpSpPr>
                      <pic:pic xmlns:pic="http://schemas.openxmlformats.org/drawingml/2006/picture">
                        <pic:nvPicPr>
                          <pic:cNvPr id="171710234" name="Picture 2"/>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95140"/>
                            <a:ext cx="3039110" cy="2153920"/>
                          </a:xfrm>
                          <a:prstGeom prst="rect">
                            <a:avLst/>
                          </a:prstGeom>
                          <a:noFill/>
                        </pic:spPr>
                      </pic:pic>
                      <wps:wsp>
                        <wps:cNvPr id="302427442" name="Text Box 1"/>
                        <wps:cNvSpPr txBox="1"/>
                        <wps:spPr>
                          <a:xfrm>
                            <a:off x="0" y="0"/>
                            <a:ext cx="3039110" cy="285750"/>
                          </a:xfrm>
                          <a:prstGeom prst="rect">
                            <a:avLst/>
                          </a:prstGeom>
                          <a:solidFill>
                            <a:prstClr val="white"/>
                          </a:solidFill>
                          <a:ln>
                            <a:noFill/>
                          </a:ln>
                        </wps:spPr>
                        <wps:txbx>
                          <w:txbxContent>
                            <w:p w14:paraId="7EE612D4" w14:textId="718131AE" w:rsidR="00D91CAE" w:rsidRPr="00D044E2" w:rsidRDefault="00D91CAE" w:rsidP="00D91CAE">
                              <w:pPr>
                                <w:pStyle w:val="Caption"/>
                                <w:rPr>
                                  <w:color w:val="auto"/>
                                  <w:spacing w:val="-8"/>
                                  <w:sz w:val="22"/>
                                  <w:szCs w:val="22"/>
                                </w:rPr>
                              </w:pPr>
                              <w:r w:rsidRPr="007A05AC">
                                <w:rPr>
                                  <w:color w:val="auto"/>
                                  <w:sz w:val="22"/>
                                  <w:szCs w:val="22"/>
                                </w:rPr>
                                <w:t xml:space="preserve">Figure </w:t>
                              </w:r>
                              <w:r w:rsidR="00D87D3A">
                                <w:rPr>
                                  <w:color w:val="auto"/>
                                  <w:sz w:val="22"/>
                                  <w:szCs w:val="22"/>
                                </w:rPr>
                                <w:fldChar w:fldCharType="begin"/>
                              </w:r>
                              <w:r w:rsidR="00D87D3A">
                                <w:rPr>
                                  <w:color w:val="auto"/>
                                  <w:sz w:val="22"/>
                                  <w:szCs w:val="22"/>
                                </w:rPr>
                                <w:instrText xml:space="preserve"> SEQ Figure \* ARABIC </w:instrText>
                              </w:r>
                              <w:r w:rsidR="00D87D3A">
                                <w:rPr>
                                  <w:color w:val="auto"/>
                                  <w:sz w:val="22"/>
                                  <w:szCs w:val="22"/>
                                </w:rPr>
                                <w:fldChar w:fldCharType="separate"/>
                              </w:r>
                              <w:r w:rsidR="0055391F">
                                <w:rPr>
                                  <w:noProof/>
                                  <w:color w:val="auto"/>
                                  <w:sz w:val="22"/>
                                  <w:szCs w:val="22"/>
                                </w:rPr>
                                <w:t>2</w:t>
                              </w:r>
                              <w:r w:rsidR="00D87D3A">
                                <w:rPr>
                                  <w:color w:val="auto"/>
                                  <w:sz w:val="22"/>
                                  <w:szCs w:val="22"/>
                                </w:rPr>
                                <w:fldChar w:fldCharType="end"/>
                              </w:r>
                              <w:r w:rsidRPr="007A05AC">
                                <w:rPr>
                                  <w:color w:val="auto"/>
                                  <w:sz w:val="22"/>
                                  <w:szCs w:val="22"/>
                                </w:rPr>
                                <w:t>: 100 origin-destination pairs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326C0E6" id="Group 1" o:spid="_x0000_s1045" style="position:absolute;left:0;text-align:left;margin-left:235.25pt;margin-top:9.95pt;width:239.3pt;height:177.05pt;z-index:251658240;mso-position-horizontal-relative:text;mso-position-vertical-relative:text" coordsize="30391,224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">
                <v:shape id="Picture 2" o:spid="_x0000_s1046" type="#_x0000_t75" style="position:absolute;top:951;width:30391;height:21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">
                  <v:imagedata r:id="rId24" o:title=""/>
                  <v:path arrowok="t"/>
                </v:shape>
                <v:shape id="Text Box 1" o:spid="_x0000_s1047" type="#_x0000_t202" style="position:absolute;width:3039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" stroked="f">
                  <v:textbox inset="0,0,0,0">
                    <w:txbxContent>
                      <w:p w14:paraId="7EE612D4" w14:textId="718131AE" w:rsidR="00D91CAE" w:rsidRPr="00D044E2" w:rsidRDefault="00D91CAE" w:rsidP="00D91CAE">
                        <w:pPr>
                          <w:pStyle w:val="Caption"/>
                          <w:rPr>
                            <w:color w:val="auto"/>
                            <w:spacing w:val="-8"/>
                            <w:sz w:val="22"/>
                            <w:szCs w:val="22"/>
                          </w:rPr>
                        </w:pPr>
                        <w:r w:rsidRPr="007A05AC">
                          <w:rPr>
                            <w:color w:val="auto"/>
                            <w:sz w:val="22"/>
                            <w:szCs w:val="22"/>
                          </w:rPr>
                          <w:t xml:space="preserve">Figure </w:t>
                        </w:r>
                        <w:r w:rsidR="00D87D3A">
                          <w:rPr>
                            <w:color w:val="auto"/>
                            <w:sz w:val="22"/>
                            <w:szCs w:val="22"/>
                          </w:rPr>
                          <w:fldChar w:fldCharType="begin"/>
                        </w:r>
                        <w:r w:rsidR="00D87D3A">
                          <w:rPr>
                            <w:color w:val="auto"/>
                            <w:sz w:val="22"/>
                            <w:szCs w:val="22"/>
                          </w:rPr>
                          <w:instrText xml:space="preserve"> SEQ Figure \* ARABIC </w:instrText>
                        </w:r>
                        <w:r w:rsidR="00D87D3A">
                          <w:rPr>
                            <w:color w:val="auto"/>
                            <w:sz w:val="22"/>
                            <w:szCs w:val="22"/>
                          </w:rPr>
                          <w:fldChar w:fldCharType="separate"/>
                        </w:r>
                        <w:r w:rsidR="0055391F">
                          <w:rPr>
                            <w:noProof/>
                            <w:color w:val="auto"/>
                            <w:sz w:val="22"/>
                            <w:szCs w:val="22"/>
                          </w:rPr>
                          <w:t>2</w:t>
                        </w:r>
                        <w:r w:rsidR="00D87D3A">
                          <w:rPr>
                            <w:color w:val="auto"/>
                            <w:sz w:val="22"/>
                            <w:szCs w:val="22"/>
                          </w:rPr>
                          <w:fldChar w:fldCharType="end"/>
                        </w:r>
                        <w:r w:rsidRPr="007A05AC">
                          <w:rPr>
                            <w:color w:val="auto"/>
                            <w:sz w:val="22"/>
                            <w:szCs w:val="22"/>
                          </w:rPr>
                          <w:t>: 100 origin-destination pairs</w:t>
                        </w:r>
                      </w:p>
                    </w:txbxContent>
                  </v:textbox>
                </v:shape>
                <w10:wrap type="square"/>
              </v:group>
            </w:pict>
          </mc:Fallback>
        </mc:AlternateContent>
      </w:r>
      <w:r w:rsidR="006E55DC" w:rsidRPr="00CD4558">
        <w:rPr>
          <w:noProof/>
          <w:spacing w:val="-8"/>
        </w:rPr>
        <w:t xml:space="preserve">To answer the first question </w:t>
      </w:r>
      <w:r w:rsidR="006E55DC" w:rsidRPr="00504010">
        <w:rPr>
          <w:b/>
          <w:noProof/>
          <w:spacing w:val="-8"/>
        </w:rPr>
        <w:t>a</w:t>
      </w:r>
      <w:r w:rsidR="00D91CAE" w:rsidRPr="00504010">
        <w:rPr>
          <w:b/>
          <w:noProof/>
          <w:spacing w:val="-8"/>
        </w:rPr>
        <w:t>n EU-wide analysis of 100 origin-destination routes</w:t>
      </w:r>
      <w:r w:rsidR="00D91CAE" w:rsidRPr="00CD4558">
        <w:rPr>
          <w:noProof/>
          <w:spacing w:val="-8"/>
        </w:rPr>
        <w:t xml:space="preserve"> </w:t>
      </w:r>
      <w:r w:rsidR="004D0B6B" w:rsidRPr="00CD4558">
        <w:rPr>
          <w:noProof/>
          <w:spacing w:val="-8"/>
        </w:rPr>
        <w:t>(</w:t>
      </w:r>
      <w:r w:rsidR="00D91CAE" w:rsidRPr="00CD4558">
        <w:rPr>
          <w:noProof/>
          <w:spacing w:val="-8"/>
        </w:rPr>
        <w:t>performed in the context of the impact assessment support study</w:t>
      </w:r>
      <w:r w:rsidR="008D5596">
        <w:rPr>
          <w:rStyle w:val="FootnoteReference"/>
          <w:noProof/>
          <w:spacing w:val="-8"/>
        </w:rPr>
        <w:footnoteReference w:id="42"/>
      </w:r>
      <w:r w:rsidR="004D0B6B" w:rsidRPr="00CD4558">
        <w:rPr>
          <w:noProof/>
          <w:spacing w:val="-8"/>
        </w:rPr>
        <w:t>)</w:t>
      </w:r>
      <w:r w:rsidR="00D91CAE" w:rsidRPr="00CD4558">
        <w:rPr>
          <w:noProof/>
          <w:spacing w:val="-8"/>
        </w:rPr>
        <w:t xml:space="preserve"> assessed the level of completeness of information and tickets on B2C MDMS platforms across modes. The routes were selected to represent different levels of (1) attractiveness</w:t>
      </w:r>
      <w:r w:rsidR="00D91CAE" w:rsidRPr="00CD4558">
        <w:rPr>
          <w:rStyle w:val="FootnoteReference"/>
          <w:noProof/>
          <w:spacing w:val="-8"/>
        </w:rPr>
        <w:footnoteReference w:id="43"/>
      </w:r>
      <w:r w:rsidR="00D91CAE" w:rsidRPr="00CD4558">
        <w:rPr>
          <w:noProof/>
          <w:spacing w:val="-8"/>
        </w:rPr>
        <w:t>, (2) traffic</w:t>
      </w:r>
      <w:r w:rsidR="00A031C0" w:rsidRPr="00CD4558">
        <w:rPr>
          <w:noProof/>
          <w:spacing w:val="-8"/>
        </w:rPr>
        <w:t xml:space="preserve"> intensity</w:t>
      </w:r>
      <w:r w:rsidR="0052527D" w:rsidRPr="00CD4558">
        <w:rPr>
          <w:noProof/>
          <w:spacing w:val="-8"/>
        </w:rPr>
        <w:t xml:space="preserve"> and</w:t>
      </w:r>
      <w:r w:rsidR="00D91CAE" w:rsidRPr="00CD4558">
        <w:rPr>
          <w:noProof/>
          <w:spacing w:val="-8"/>
        </w:rPr>
        <w:t xml:space="preserve"> (3) distance, and </w:t>
      </w:r>
      <w:r w:rsidR="003705F5" w:rsidRPr="00CD4558">
        <w:rPr>
          <w:noProof/>
          <w:spacing w:val="-8"/>
        </w:rPr>
        <w:t>ensur</w:t>
      </w:r>
      <w:r w:rsidR="00E760FE" w:rsidRPr="00CD4558">
        <w:rPr>
          <w:noProof/>
          <w:spacing w:val="-8"/>
        </w:rPr>
        <w:t>e</w:t>
      </w:r>
      <w:r w:rsidR="003705F5" w:rsidRPr="00CD4558">
        <w:rPr>
          <w:noProof/>
          <w:spacing w:val="-8"/>
        </w:rPr>
        <w:t xml:space="preserve"> </w:t>
      </w:r>
      <w:r w:rsidR="00D91CAE" w:rsidRPr="00CD4558">
        <w:rPr>
          <w:noProof/>
          <w:spacing w:val="-8"/>
        </w:rPr>
        <w:t xml:space="preserve">(4) </w:t>
      </w:r>
      <w:r w:rsidR="003705F5" w:rsidRPr="00CD4558">
        <w:rPr>
          <w:noProof/>
          <w:spacing w:val="-8"/>
        </w:rPr>
        <w:t xml:space="preserve">good geographical balance and (5) matching </w:t>
      </w:r>
      <w:r w:rsidR="00935826" w:rsidRPr="00CD4558">
        <w:rPr>
          <w:noProof/>
          <w:spacing w:val="-8"/>
        </w:rPr>
        <w:t xml:space="preserve">availability of transport modes with </w:t>
      </w:r>
      <w:r w:rsidR="00D91CAE" w:rsidRPr="00CD4558">
        <w:rPr>
          <w:noProof/>
          <w:spacing w:val="-8"/>
        </w:rPr>
        <w:t>mod</w:t>
      </w:r>
      <w:r w:rsidR="003705F5" w:rsidRPr="00CD4558">
        <w:rPr>
          <w:noProof/>
          <w:spacing w:val="-8"/>
        </w:rPr>
        <w:t xml:space="preserve">al split </w:t>
      </w:r>
      <w:r w:rsidR="0009020C" w:rsidRPr="00CD4558">
        <w:rPr>
          <w:noProof/>
          <w:spacing w:val="-8"/>
        </w:rPr>
        <w:t xml:space="preserve">data on </w:t>
      </w:r>
      <w:r w:rsidR="00BD2CE4" w:rsidRPr="00CD4558">
        <w:rPr>
          <w:noProof/>
          <w:spacing w:val="-8"/>
        </w:rPr>
        <w:t>EU passenger traffic</w:t>
      </w:r>
      <w:r w:rsidR="00F63479" w:rsidRPr="00CD4558">
        <w:rPr>
          <w:noProof/>
          <w:spacing w:val="-8"/>
        </w:rPr>
        <w:t xml:space="preserve"> from Eurostat</w:t>
      </w:r>
      <w:r w:rsidR="00D91CAE" w:rsidRPr="00CD4558">
        <w:rPr>
          <w:noProof/>
          <w:spacing w:val="-8"/>
        </w:rPr>
        <w:t>. The analysis compared the options shown on Omio</w:t>
      </w:r>
      <w:r w:rsidR="00D91CAE" w:rsidRPr="00CD4558">
        <w:rPr>
          <w:noProof/>
          <w:spacing w:val="-8"/>
          <w:vertAlign w:val="superscript"/>
        </w:rPr>
        <w:footnoteReference w:id="44"/>
      </w:r>
      <w:r w:rsidR="00D91CAE" w:rsidRPr="00CD4558">
        <w:rPr>
          <w:noProof/>
          <w:spacing w:val="-8"/>
        </w:rPr>
        <w:t xml:space="preserve"> with a fuller set of possibilities identified through Google Maps (for land and sea) and Google Flight (for air)</w:t>
      </w:r>
      <w:r w:rsidR="00D91CAE" w:rsidRPr="00CD4558">
        <w:rPr>
          <w:noProof/>
          <w:spacing w:val="-8"/>
          <w:vertAlign w:val="superscript"/>
        </w:rPr>
        <w:footnoteReference w:id="45"/>
      </w:r>
      <w:r w:rsidR="00D91CAE" w:rsidRPr="00CD4558">
        <w:rPr>
          <w:noProof/>
          <w:spacing w:val="-8"/>
        </w:rPr>
        <w:t>, and found that multimodal options were available on 76% of the routes</w:t>
      </w:r>
      <w:r w:rsidR="00A81E9E" w:rsidRPr="00CD4558">
        <w:rPr>
          <w:noProof/>
          <w:spacing w:val="-8"/>
        </w:rPr>
        <w:t xml:space="preserve">, yet </w:t>
      </w:r>
      <w:r w:rsidR="00B5759F" w:rsidRPr="00CD4558">
        <w:rPr>
          <w:noProof/>
          <w:spacing w:val="-8"/>
        </w:rPr>
        <w:t xml:space="preserve">today, </w:t>
      </w:r>
      <w:r w:rsidR="00177CED" w:rsidRPr="00CD4558">
        <w:rPr>
          <w:noProof/>
          <w:spacing w:val="-8"/>
        </w:rPr>
        <w:t xml:space="preserve">even though </w:t>
      </w:r>
      <w:r w:rsidR="00B5759F" w:rsidRPr="00CD4558">
        <w:rPr>
          <w:noProof/>
          <w:spacing w:val="-8"/>
        </w:rPr>
        <w:t xml:space="preserve">some </w:t>
      </w:r>
      <w:r w:rsidR="00A81E9E" w:rsidRPr="00CD4558">
        <w:rPr>
          <w:noProof/>
          <w:spacing w:val="-8"/>
        </w:rPr>
        <w:t xml:space="preserve">MDMS platforms show options in different </w:t>
      </w:r>
      <w:r w:rsidR="00177CED" w:rsidRPr="00CD4558">
        <w:rPr>
          <w:noProof/>
          <w:spacing w:val="-8"/>
        </w:rPr>
        <w:t>modes</w:t>
      </w:r>
      <w:r w:rsidR="00051695" w:rsidRPr="00CD4558">
        <w:rPr>
          <w:noProof/>
          <w:spacing w:val="-8"/>
        </w:rPr>
        <w:t xml:space="preserve">, these are </w:t>
      </w:r>
      <w:r w:rsidR="00E002B3" w:rsidRPr="00CD4558">
        <w:rPr>
          <w:noProof/>
          <w:spacing w:val="-8"/>
        </w:rPr>
        <w:t xml:space="preserve">rarely combined. </w:t>
      </w:r>
      <w:r w:rsidR="001D30FF" w:rsidRPr="00CD4558">
        <w:rPr>
          <w:noProof/>
          <w:spacing w:val="-8"/>
        </w:rPr>
        <w:t xml:space="preserve">In fact, in </w:t>
      </w:r>
      <w:r w:rsidR="00D91CAE" w:rsidRPr="00CD4558">
        <w:rPr>
          <w:noProof/>
          <w:spacing w:val="-8"/>
        </w:rPr>
        <w:t xml:space="preserve">the analysis 39% of </w:t>
      </w:r>
      <w:r w:rsidR="005C5782" w:rsidRPr="00CD4558">
        <w:rPr>
          <w:noProof/>
          <w:spacing w:val="-8"/>
        </w:rPr>
        <w:t xml:space="preserve">possible </w:t>
      </w:r>
      <w:r w:rsidR="00D91CAE" w:rsidRPr="00CD4558">
        <w:rPr>
          <w:noProof/>
          <w:spacing w:val="-8"/>
        </w:rPr>
        <w:t>rail or coach connections</w:t>
      </w:r>
      <w:r w:rsidR="006F3811" w:rsidRPr="00CD4558">
        <w:rPr>
          <w:noProof/>
          <w:spacing w:val="-8"/>
        </w:rPr>
        <w:t xml:space="preserve"> were </w:t>
      </w:r>
      <w:r w:rsidR="006866C2" w:rsidRPr="00CD4558">
        <w:rPr>
          <w:noProof/>
          <w:spacing w:val="-8"/>
        </w:rPr>
        <w:t>not visible on the MDMS</w:t>
      </w:r>
      <w:r w:rsidR="781CF292" w:rsidRPr="00CD4558">
        <w:rPr>
          <w:noProof/>
          <w:spacing w:val="-8"/>
        </w:rPr>
        <w:t xml:space="preserve"> platform</w:t>
      </w:r>
      <w:r w:rsidR="006F3811" w:rsidRPr="00CD4558">
        <w:rPr>
          <w:noProof/>
          <w:spacing w:val="-8"/>
        </w:rPr>
        <w:t>, let alone</w:t>
      </w:r>
      <w:r w:rsidR="00A545B9" w:rsidRPr="00CD4558">
        <w:rPr>
          <w:noProof/>
          <w:spacing w:val="-8"/>
        </w:rPr>
        <w:t xml:space="preserve"> being combined. </w:t>
      </w:r>
      <w:r w:rsidR="005D7AC9" w:rsidRPr="00CD4558">
        <w:rPr>
          <w:noProof/>
          <w:spacing w:val="-8"/>
        </w:rPr>
        <w:t>Thi</w:t>
      </w:r>
      <w:r w:rsidR="00BC2BE5" w:rsidRPr="00CD4558">
        <w:rPr>
          <w:noProof/>
          <w:spacing w:val="-8"/>
        </w:rPr>
        <w:t xml:space="preserve">s is worse for </w:t>
      </w:r>
      <w:r w:rsidR="00D91CAE" w:rsidRPr="00CD4558">
        <w:rPr>
          <w:noProof/>
          <w:spacing w:val="-8"/>
        </w:rPr>
        <w:t>rail options</w:t>
      </w:r>
      <w:r w:rsidR="00C71839" w:rsidRPr="00CD4558">
        <w:rPr>
          <w:noProof/>
          <w:spacing w:val="-8"/>
        </w:rPr>
        <w:t xml:space="preserve">, which </w:t>
      </w:r>
      <w:r w:rsidR="00D91CAE" w:rsidRPr="00CD4558">
        <w:rPr>
          <w:noProof/>
          <w:spacing w:val="-8"/>
        </w:rPr>
        <w:t xml:space="preserve">were </w:t>
      </w:r>
      <w:r w:rsidR="00183381" w:rsidRPr="00CD4558">
        <w:rPr>
          <w:noProof/>
          <w:spacing w:val="-8"/>
        </w:rPr>
        <w:t xml:space="preserve">entirely </w:t>
      </w:r>
      <w:r w:rsidR="00D91CAE" w:rsidRPr="00CD4558">
        <w:rPr>
          <w:noProof/>
          <w:spacing w:val="-8"/>
        </w:rPr>
        <w:t xml:space="preserve">absent from the MDMS </w:t>
      </w:r>
      <w:r w:rsidR="4BFC1FA7" w:rsidRPr="00CD4558">
        <w:rPr>
          <w:noProof/>
          <w:spacing w:val="-8"/>
        </w:rPr>
        <w:t xml:space="preserve">platform </w:t>
      </w:r>
      <w:r w:rsidR="006866C2" w:rsidRPr="00CD4558">
        <w:rPr>
          <w:noProof/>
          <w:spacing w:val="-8"/>
        </w:rPr>
        <w:t xml:space="preserve">in 29% of cases, </w:t>
      </w:r>
      <w:r w:rsidR="00D91CAE" w:rsidRPr="00CD4558">
        <w:rPr>
          <w:noProof/>
          <w:spacing w:val="-8"/>
        </w:rPr>
        <w:t xml:space="preserve">but visible on at least one rail platform. </w:t>
      </w:r>
      <w:r w:rsidR="00BF221D" w:rsidRPr="00CD4558">
        <w:rPr>
          <w:noProof/>
          <w:spacing w:val="-8"/>
        </w:rPr>
        <w:t>Looking at</w:t>
      </w:r>
      <w:r w:rsidR="00BF221D" w:rsidRPr="00CD4558" w:rsidDel="00002D1E">
        <w:rPr>
          <w:noProof/>
          <w:spacing w:val="-8"/>
        </w:rPr>
        <w:t xml:space="preserve"> </w:t>
      </w:r>
      <w:r w:rsidR="00BF221D" w:rsidRPr="00CD4558">
        <w:rPr>
          <w:noProof/>
          <w:spacing w:val="-8"/>
        </w:rPr>
        <w:t xml:space="preserve">coach </w:t>
      </w:r>
      <w:r w:rsidR="00D91CAE" w:rsidRPr="00CD4558">
        <w:rPr>
          <w:noProof/>
          <w:spacing w:val="-8"/>
        </w:rPr>
        <w:t xml:space="preserve">only 7% of routes </w:t>
      </w:r>
      <w:r w:rsidR="005B1FAF" w:rsidRPr="00CD4558">
        <w:rPr>
          <w:noProof/>
          <w:spacing w:val="-8"/>
        </w:rPr>
        <w:t>had missing connections</w:t>
      </w:r>
      <w:r w:rsidR="00D91CAE" w:rsidRPr="00CD4558">
        <w:rPr>
          <w:noProof/>
          <w:spacing w:val="-8"/>
        </w:rPr>
        <w:t xml:space="preserve">. </w:t>
      </w:r>
      <w:r w:rsidR="005D7AC9" w:rsidRPr="00CD4558">
        <w:rPr>
          <w:noProof/>
          <w:spacing w:val="-8"/>
        </w:rPr>
        <w:t>Furthermore, for 17% of the routes faster connections exist</w:t>
      </w:r>
      <w:r w:rsidR="00560762" w:rsidRPr="00CD4558">
        <w:rPr>
          <w:noProof/>
          <w:spacing w:val="-8"/>
        </w:rPr>
        <w:t>ed</w:t>
      </w:r>
      <w:r w:rsidR="005D7AC9" w:rsidRPr="00CD4558">
        <w:rPr>
          <w:noProof/>
          <w:spacing w:val="-8"/>
        </w:rPr>
        <w:t xml:space="preserve"> on operators’ platforms</w:t>
      </w:r>
      <w:r w:rsidR="00AA4986" w:rsidRPr="00CD4558">
        <w:rPr>
          <w:noProof/>
          <w:spacing w:val="-8"/>
        </w:rPr>
        <w:t xml:space="preserve"> and in 34% of the routes</w:t>
      </w:r>
      <w:r w:rsidR="00D41C2B" w:rsidRPr="00CD4558">
        <w:rPr>
          <w:noProof/>
          <w:spacing w:val="-8"/>
        </w:rPr>
        <w:t>,</w:t>
      </w:r>
      <w:r w:rsidR="00AA4986" w:rsidRPr="00CD4558">
        <w:rPr>
          <w:noProof/>
          <w:spacing w:val="-8"/>
        </w:rPr>
        <w:t xml:space="preserve"> cheaper connections </w:t>
      </w:r>
      <w:r w:rsidR="00AD3D44" w:rsidRPr="00CD4558">
        <w:rPr>
          <w:noProof/>
          <w:spacing w:val="-8"/>
        </w:rPr>
        <w:t>were available on operator websites</w:t>
      </w:r>
      <w:r w:rsidR="00E0576E" w:rsidRPr="00CD4558">
        <w:rPr>
          <w:noProof/>
          <w:spacing w:val="-8"/>
        </w:rPr>
        <w:t xml:space="preserve">, though the latter finding was not </w:t>
      </w:r>
      <w:r w:rsidR="00665FAD" w:rsidRPr="00CD4558">
        <w:rPr>
          <w:noProof/>
          <w:spacing w:val="-8"/>
        </w:rPr>
        <w:t xml:space="preserve">sufficiently robust to </w:t>
      </w:r>
      <w:r w:rsidR="00CD6E2E" w:rsidRPr="00CD4558">
        <w:rPr>
          <w:noProof/>
          <w:spacing w:val="-8"/>
        </w:rPr>
        <w:t xml:space="preserve">include in the quantitative analysis </w:t>
      </w:r>
      <w:r w:rsidR="00E4260E" w:rsidRPr="00CD4558">
        <w:rPr>
          <w:noProof/>
          <w:spacing w:val="-8"/>
        </w:rPr>
        <w:t>as a possible cost saving</w:t>
      </w:r>
      <w:r w:rsidR="00665FAD" w:rsidRPr="00CD4558">
        <w:rPr>
          <w:noProof/>
          <w:spacing w:val="-8"/>
          <w:vertAlign w:val="superscript"/>
        </w:rPr>
        <w:t xml:space="preserve"> </w:t>
      </w:r>
      <w:r w:rsidR="00665FAD" w:rsidRPr="00CD4558">
        <w:rPr>
          <w:noProof/>
          <w:spacing w:val="-8"/>
          <w:vertAlign w:val="superscript"/>
        </w:rPr>
        <w:footnoteReference w:id="46"/>
      </w:r>
      <w:r w:rsidR="008E1CB5" w:rsidRPr="00CD4558">
        <w:rPr>
          <w:noProof/>
          <w:spacing w:val="-8"/>
        </w:rPr>
        <w:t xml:space="preserve">. </w:t>
      </w:r>
      <w:r w:rsidR="00D91CAE" w:rsidRPr="00CD4558">
        <w:rPr>
          <w:noProof/>
          <w:spacing w:val="-8"/>
        </w:rPr>
        <w:t xml:space="preserve">The 100 origin-destination analysis </w:t>
      </w:r>
      <w:r w:rsidR="00F90F32" w:rsidRPr="00CD4558">
        <w:rPr>
          <w:noProof/>
          <w:spacing w:val="-8"/>
        </w:rPr>
        <w:t xml:space="preserve">illustrates </w:t>
      </w:r>
      <w:r w:rsidR="00D91CAE" w:rsidRPr="00CD4558">
        <w:rPr>
          <w:noProof/>
          <w:spacing w:val="-8"/>
        </w:rPr>
        <w:t xml:space="preserve">that </w:t>
      </w:r>
      <w:r w:rsidR="008D065F" w:rsidRPr="00CD4558">
        <w:rPr>
          <w:noProof/>
          <w:spacing w:val="-8"/>
        </w:rPr>
        <w:t>alternative travel options</w:t>
      </w:r>
      <w:r w:rsidR="00B20EC0" w:rsidRPr="00CD4558">
        <w:rPr>
          <w:noProof/>
          <w:spacing w:val="-8"/>
        </w:rPr>
        <w:t>, including multimodal ones,</w:t>
      </w:r>
      <w:r w:rsidR="008D065F" w:rsidRPr="00CD4558">
        <w:rPr>
          <w:noProof/>
          <w:spacing w:val="-8"/>
        </w:rPr>
        <w:t xml:space="preserve"> exist</w:t>
      </w:r>
      <w:r w:rsidR="002E4ED7" w:rsidRPr="00CD4558">
        <w:rPr>
          <w:noProof/>
          <w:spacing w:val="-8"/>
        </w:rPr>
        <w:t>, yet these options are neither displayed no</w:t>
      </w:r>
      <w:r w:rsidR="007C3B2F" w:rsidRPr="00CD4558">
        <w:rPr>
          <w:noProof/>
          <w:spacing w:val="-8"/>
        </w:rPr>
        <w:t>r</w:t>
      </w:r>
      <w:r w:rsidR="002E4ED7" w:rsidRPr="00CD4558">
        <w:rPr>
          <w:noProof/>
          <w:spacing w:val="-8"/>
        </w:rPr>
        <w:t xml:space="preserve"> </w:t>
      </w:r>
      <w:r w:rsidR="00AB6773" w:rsidRPr="00CD4558">
        <w:rPr>
          <w:noProof/>
          <w:spacing w:val="-8"/>
        </w:rPr>
        <w:t>combined</w:t>
      </w:r>
      <w:r w:rsidR="002E4ED7" w:rsidRPr="00CD4558">
        <w:rPr>
          <w:noProof/>
          <w:spacing w:val="-8"/>
        </w:rPr>
        <w:t xml:space="preserve"> </w:t>
      </w:r>
      <w:r w:rsidR="00AB6773" w:rsidRPr="00CD4558">
        <w:rPr>
          <w:noProof/>
          <w:spacing w:val="-8"/>
        </w:rPr>
        <w:t xml:space="preserve">by MDMS </w:t>
      </w:r>
      <w:r w:rsidR="00DE05D0" w:rsidRPr="00CD4558">
        <w:rPr>
          <w:noProof/>
          <w:spacing w:val="-8"/>
        </w:rPr>
        <w:t>platforms. The</w:t>
      </w:r>
      <w:r w:rsidR="00D11B86" w:rsidRPr="00CD4558">
        <w:rPr>
          <w:noProof/>
          <w:spacing w:val="-8"/>
        </w:rPr>
        <w:t xml:space="preserve"> problem </w:t>
      </w:r>
      <w:r w:rsidR="0072794D" w:rsidRPr="00CD4558">
        <w:rPr>
          <w:noProof/>
          <w:spacing w:val="-8"/>
        </w:rPr>
        <w:t xml:space="preserve">is bigger when </w:t>
      </w:r>
      <w:r w:rsidR="00593F2C" w:rsidRPr="00CD4558">
        <w:rPr>
          <w:noProof/>
          <w:spacing w:val="-8"/>
        </w:rPr>
        <w:t xml:space="preserve">looking for options that include more than one </w:t>
      </w:r>
      <w:r w:rsidR="00374755" w:rsidRPr="00CD4558">
        <w:rPr>
          <w:noProof/>
          <w:spacing w:val="-8"/>
        </w:rPr>
        <w:t>RU</w:t>
      </w:r>
      <w:r w:rsidR="001279AE">
        <w:rPr>
          <w:noProof/>
        </w:rPr>
        <w:t>.</w:t>
      </w:r>
    </w:p>
    <w:p w14:paraId="26249F5A" w14:textId="6B87CC65" w:rsidR="00456F1A" w:rsidRDefault="005A49EE" w:rsidP="00717B4B">
      <w:pPr>
        <w:widowControl w:val="0"/>
        <w:pBdr>
          <w:top w:val="single" w:sz="4" w:space="0" w:color="auto"/>
          <w:left w:val="single" w:sz="4" w:space="4" w:color="auto"/>
          <w:bottom w:val="single" w:sz="4" w:space="1" w:color="auto"/>
          <w:right w:val="single" w:sz="4" w:space="4" w:color="auto"/>
        </w:pBdr>
        <w:tabs>
          <w:tab w:val="left" w:pos="1849"/>
        </w:tabs>
        <w:spacing w:after="120"/>
        <w:jc w:val="both"/>
        <w:rPr>
          <w:i/>
          <w:iCs/>
          <w:noProof/>
          <w:spacing w:val="-8"/>
        </w:rPr>
      </w:pPr>
      <w:r w:rsidRPr="00371EA8">
        <w:rPr>
          <w:i/>
          <w:iCs/>
          <w:noProof/>
          <w:spacing w:val="-8"/>
        </w:rPr>
        <w:t>“</w:t>
      </w:r>
      <w:r>
        <w:rPr>
          <w:i/>
          <w:iCs/>
          <w:noProof/>
          <w:spacing w:val="-8"/>
        </w:rPr>
        <w:t>One concrete example is with the Polish operator PKP. To travel with PKP between Warsaw and Gdansk, you need to buy your ticket on PKP. Third party platforms (Trainline, Omio, RailEurope) don’t have access to the data to provide those tickets to travellers</w:t>
      </w:r>
      <w:r w:rsidR="00077844" w:rsidRPr="00371EA8">
        <w:rPr>
          <w:noProof/>
          <w:spacing w:val="-8"/>
        </w:rPr>
        <w:t xml:space="preserve">.” </w:t>
      </w:r>
      <w:r w:rsidRPr="00504010">
        <w:rPr>
          <w:noProof/>
          <w:spacing w:val="-8"/>
        </w:rPr>
        <w:t>T&amp;E</w:t>
      </w:r>
    </w:p>
    <w:p w14:paraId="3303034A" w14:textId="65C087BF" w:rsidR="00371EA8" w:rsidRPr="00371EA8" w:rsidRDefault="00371EA8" w:rsidP="00717B4B">
      <w:pPr>
        <w:pBdr>
          <w:top w:val="single" w:sz="4" w:space="0" w:color="auto"/>
          <w:left w:val="single" w:sz="4" w:space="4" w:color="auto"/>
          <w:bottom w:val="single" w:sz="4" w:space="1" w:color="auto"/>
          <w:right w:val="single" w:sz="4" w:space="4" w:color="auto"/>
        </w:pBdr>
        <w:tabs>
          <w:tab w:val="left" w:pos="1849"/>
        </w:tabs>
        <w:spacing w:after="120"/>
        <w:jc w:val="both"/>
        <w:rPr>
          <w:noProof/>
        </w:rPr>
      </w:pPr>
      <w:r w:rsidRPr="00371EA8">
        <w:rPr>
          <w:i/>
          <w:iCs/>
          <w:noProof/>
          <w:spacing w:val="-8"/>
        </w:rPr>
        <w:t xml:space="preserve">“To understand everything that is wrong with European train ticketing, the perfect test case is Nice to Milan. A route which should be competitive with road and air, but there are no through trains, no through tickets, no timetable co-ordination, you must buy a Nice-Ventimiglia ticket on the French Railways website then a Ventimiglia to Milan ticket on the Trenitalia website, two tickets </w:t>
      </w:r>
      <w:r w:rsidR="00E16B9C" w:rsidRPr="00371EA8">
        <w:rPr>
          <w:i/>
          <w:iCs/>
          <w:noProof/>
          <w:spacing w:val="-8"/>
        </w:rPr>
        <w:t>mean</w:t>
      </w:r>
      <w:r w:rsidRPr="00371EA8">
        <w:rPr>
          <w:i/>
          <w:iCs/>
          <w:noProof/>
          <w:spacing w:val="-8"/>
        </w:rPr>
        <w:t xml:space="preserve"> zero passenger rights in the event of a missed connection. It can be sold as one journey, but still without passenger rights, at Raileurope.com or Thetrainline.com</w:t>
      </w:r>
      <w:r w:rsidR="29E2E27F" w:rsidRPr="7EF8091D">
        <w:rPr>
          <w:i/>
          <w:iCs/>
          <w:noProof/>
          <w:spacing w:val="-8"/>
        </w:rPr>
        <w:t xml:space="preserve">. </w:t>
      </w:r>
      <w:r w:rsidRPr="53F3E5D1">
        <w:rPr>
          <w:i/>
          <w:iCs/>
          <w:noProof/>
          <w:spacing w:val="-8"/>
        </w:rPr>
        <w:t>I</w:t>
      </w:r>
      <w:r w:rsidR="255E4DA6" w:rsidRPr="53F3E5D1">
        <w:rPr>
          <w:i/>
          <w:iCs/>
          <w:noProof/>
          <w:spacing w:val="-8"/>
        </w:rPr>
        <w:t>f</w:t>
      </w:r>
      <w:r w:rsidRPr="00371EA8">
        <w:rPr>
          <w:i/>
          <w:iCs/>
          <w:noProof/>
          <w:spacing w:val="-8"/>
        </w:rPr>
        <w:t xml:space="preserve"> you know where to look, and only with an added booking fee</w:t>
      </w:r>
      <w:r w:rsidRPr="00371EA8">
        <w:rPr>
          <w:noProof/>
          <w:spacing w:val="-8"/>
        </w:rPr>
        <w:t>.” The Man in the Seat 61</w:t>
      </w:r>
    </w:p>
    <w:p w14:paraId="475D565A" w14:textId="020B423F" w:rsidR="00371EA8" w:rsidRDefault="00371EA8" w:rsidP="003A55B3">
      <w:pPr>
        <w:pBdr>
          <w:top w:val="single" w:sz="4" w:space="0" w:color="auto"/>
          <w:left w:val="single" w:sz="4" w:space="4" w:color="auto"/>
          <w:bottom w:val="single" w:sz="4" w:space="1" w:color="auto"/>
          <w:right w:val="single" w:sz="4" w:space="4" w:color="auto"/>
        </w:pBdr>
        <w:tabs>
          <w:tab w:val="left" w:pos="1849"/>
        </w:tabs>
        <w:spacing w:after="240"/>
        <w:jc w:val="both"/>
        <w:rPr>
          <w:noProof/>
        </w:rPr>
      </w:pPr>
      <w:r w:rsidRPr="00371EA8">
        <w:rPr>
          <w:noProof/>
          <w:spacing w:val="-8"/>
        </w:rPr>
        <w:t>“</w:t>
      </w:r>
      <w:r w:rsidRPr="00371EA8">
        <w:rPr>
          <w:i/>
          <w:iCs/>
          <w:noProof/>
          <w:spacing w:val="-8"/>
        </w:rPr>
        <w:t xml:space="preserve">When we look at independent platforms like Trainline, all railway companies are technically integrated, but not all services are fully accessible. For instance, there was a situation where Trainline users could book </w:t>
      </w:r>
      <w:r w:rsidRPr="241396D4">
        <w:rPr>
          <w:i/>
          <w:iCs/>
          <w:noProof/>
          <w:spacing w:val="-8"/>
        </w:rPr>
        <w:t>D</w:t>
      </w:r>
      <w:r w:rsidR="5C32089F" w:rsidRPr="241396D4">
        <w:rPr>
          <w:i/>
          <w:iCs/>
          <w:noProof/>
          <w:spacing w:val="-8"/>
        </w:rPr>
        <w:t>eutsche</w:t>
      </w:r>
      <w:r w:rsidR="73C5B646" w:rsidRPr="241396D4">
        <w:rPr>
          <w:i/>
          <w:iCs/>
          <w:noProof/>
          <w:spacing w:val="-8"/>
        </w:rPr>
        <w:t xml:space="preserve"> </w:t>
      </w:r>
      <w:r w:rsidRPr="241396D4">
        <w:rPr>
          <w:i/>
          <w:iCs/>
          <w:noProof/>
          <w:spacing w:val="-8"/>
        </w:rPr>
        <w:t>B</w:t>
      </w:r>
      <w:r w:rsidR="215A47E3" w:rsidRPr="241396D4">
        <w:rPr>
          <w:i/>
          <w:iCs/>
          <w:noProof/>
          <w:spacing w:val="-8"/>
        </w:rPr>
        <w:t>ahn</w:t>
      </w:r>
      <w:r w:rsidRPr="00371EA8">
        <w:rPr>
          <w:i/>
          <w:iCs/>
          <w:noProof/>
          <w:spacing w:val="-8"/>
        </w:rPr>
        <w:t xml:space="preserve"> tickets, but they couldn't use the </w:t>
      </w:r>
      <w:r w:rsidRPr="241396D4">
        <w:rPr>
          <w:i/>
          <w:iCs/>
          <w:noProof/>
          <w:spacing w:val="-8"/>
        </w:rPr>
        <w:t>D</w:t>
      </w:r>
      <w:r w:rsidR="2C0ED6DA" w:rsidRPr="241396D4">
        <w:rPr>
          <w:i/>
          <w:iCs/>
          <w:noProof/>
          <w:spacing w:val="-8"/>
        </w:rPr>
        <w:t>eutsche</w:t>
      </w:r>
      <w:r w:rsidR="3A99FE1D" w:rsidRPr="241396D4">
        <w:rPr>
          <w:i/>
          <w:iCs/>
          <w:noProof/>
          <w:spacing w:val="-8"/>
        </w:rPr>
        <w:t xml:space="preserve"> </w:t>
      </w:r>
      <w:r w:rsidRPr="241396D4">
        <w:rPr>
          <w:i/>
          <w:iCs/>
          <w:noProof/>
          <w:spacing w:val="-8"/>
        </w:rPr>
        <w:t>B</w:t>
      </w:r>
      <w:r w:rsidR="0E3BD764" w:rsidRPr="241396D4">
        <w:rPr>
          <w:i/>
          <w:iCs/>
          <w:noProof/>
          <w:spacing w:val="-8"/>
        </w:rPr>
        <w:t>ahn</w:t>
      </w:r>
      <w:r w:rsidRPr="00371EA8">
        <w:rPr>
          <w:i/>
          <w:iCs/>
          <w:noProof/>
          <w:spacing w:val="-8"/>
        </w:rPr>
        <w:t xml:space="preserve"> discount card on Trainline</w:t>
      </w:r>
      <w:r w:rsidRPr="00371EA8">
        <w:rPr>
          <w:noProof/>
          <w:spacing w:val="-8"/>
        </w:rPr>
        <w:t xml:space="preserve">.” National </w:t>
      </w:r>
      <w:r w:rsidR="51DA6BE9" w:rsidRPr="00371EA8">
        <w:rPr>
          <w:noProof/>
          <w:spacing w:val="-8"/>
        </w:rPr>
        <w:t xml:space="preserve">(German) </w:t>
      </w:r>
      <w:r w:rsidRPr="00371EA8">
        <w:rPr>
          <w:noProof/>
          <w:spacing w:val="-8"/>
        </w:rPr>
        <w:t>Consumer organization</w:t>
      </w:r>
    </w:p>
    <w:p w14:paraId="0633F4C7" w14:textId="48B3E605" w:rsidR="00A66080" w:rsidRPr="00DC152B" w:rsidRDefault="00A87DFA" w:rsidP="00A66080">
      <w:pPr>
        <w:tabs>
          <w:tab w:val="left" w:pos="1849"/>
        </w:tabs>
        <w:spacing w:after="240"/>
        <w:jc w:val="both"/>
        <w:rPr>
          <w:noProof/>
          <w:spacing w:val="-8"/>
        </w:rPr>
      </w:pPr>
      <w:r w:rsidRPr="00DC152B">
        <w:rPr>
          <w:noProof/>
          <w:spacing w:val="-8"/>
        </w:rPr>
        <w:t xml:space="preserve">The </w:t>
      </w:r>
      <w:r w:rsidR="00EE5519" w:rsidRPr="00DC152B">
        <w:rPr>
          <w:noProof/>
          <w:spacing w:val="-8"/>
        </w:rPr>
        <w:t xml:space="preserve">best way to </w:t>
      </w:r>
      <w:r w:rsidR="00E8184F" w:rsidRPr="00DC152B">
        <w:rPr>
          <w:noProof/>
          <w:spacing w:val="-8"/>
        </w:rPr>
        <w:t xml:space="preserve">answer the </w:t>
      </w:r>
      <w:r w:rsidRPr="00DC152B">
        <w:rPr>
          <w:noProof/>
          <w:spacing w:val="-8"/>
        </w:rPr>
        <w:t xml:space="preserve">two </w:t>
      </w:r>
      <w:r w:rsidR="00E8184F" w:rsidRPr="00DC152B">
        <w:rPr>
          <w:noProof/>
          <w:spacing w:val="-8"/>
        </w:rPr>
        <w:t xml:space="preserve">remaining </w:t>
      </w:r>
      <w:r w:rsidRPr="00DC152B">
        <w:rPr>
          <w:noProof/>
          <w:spacing w:val="-8"/>
        </w:rPr>
        <w:t>questions</w:t>
      </w:r>
      <w:r w:rsidR="00E8184F" w:rsidRPr="00DC152B">
        <w:rPr>
          <w:noProof/>
          <w:spacing w:val="-8"/>
        </w:rPr>
        <w:t xml:space="preserve"> </w:t>
      </w:r>
      <w:r w:rsidR="00EE5519" w:rsidRPr="00DC152B">
        <w:rPr>
          <w:noProof/>
          <w:spacing w:val="-8"/>
        </w:rPr>
        <w:t>is to ask travellers directly</w:t>
      </w:r>
      <w:r w:rsidR="00157A5A" w:rsidRPr="00DC152B">
        <w:rPr>
          <w:noProof/>
          <w:spacing w:val="-8"/>
        </w:rPr>
        <w:t>: a</w:t>
      </w:r>
      <w:r w:rsidR="00D91CAE" w:rsidRPr="00DC152B">
        <w:rPr>
          <w:noProof/>
          <w:spacing w:val="-8"/>
        </w:rPr>
        <w:t xml:space="preserve"> </w:t>
      </w:r>
      <w:r w:rsidR="00D91CAE" w:rsidRPr="00577BFE">
        <w:rPr>
          <w:b/>
          <w:noProof/>
          <w:spacing w:val="-8"/>
        </w:rPr>
        <w:t>2024 Eurobarometer survey on Multimodal Digital Mobility Services</w:t>
      </w:r>
      <w:r w:rsidR="00D91CAE" w:rsidRPr="00DC152B">
        <w:rPr>
          <w:noProof/>
          <w:spacing w:val="-8"/>
        </w:rPr>
        <w:t xml:space="preserve"> </w:t>
      </w:r>
      <w:r w:rsidR="00840D7F" w:rsidRPr="00DC152B">
        <w:rPr>
          <w:noProof/>
          <w:spacing w:val="-8"/>
        </w:rPr>
        <w:t xml:space="preserve">asked </w:t>
      </w:r>
      <w:r w:rsidR="00BB232F" w:rsidRPr="00DC152B">
        <w:rPr>
          <w:noProof/>
          <w:spacing w:val="-8"/>
        </w:rPr>
        <w:t>almost</w:t>
      </w:r>
      <w:r w:rsidR="001433B2" w:rsidRPr="00DC152B">
        <w:rPr>
          <w:noProof/>
          <w:spacing w:val="-8"/>
        </w:rPr>
        <w:t xml:space="preserve"> 26</w:t>
      </w:r>
      <w:r w:rsidR="00CE4DFD" w:rsidRPr="00DC152B">
        <w:rPr>
          <w:noProof/>
          <w:spacing w:val="-8"/>
        </w:rPr>
        <w:t>,</w:t>
      </w:r>
      <w:r w:rsidR="001433B2" w:rsidRPr="00DC152B">
        <w:rPr>
          <w:noProof/>
          <w:spacing w:val="-8"/>
        </w:rPr>
        <w:t>000 citizens</w:t>
      </w:r>
      <w:r w:rsidR="00840D7F" w:rsidRPr="00DC152B">
        <w:rPr>
          <w:noProof/>
          <w:spacing w:val="-8"/>
        </w:rPr>
        <w:t xml:space="preserve"> about their online booking experiences</w:t>
      </w:r>
      <w:r w:rsidR="00D91CAE" w:rsidRPr="00DC152B">
        <w:rPr>
          <w:rStyle w:val="FootnoteReference"/>
          <w:noProof/>
          <w:spacing w:val="-8"/>
        </w:rPr>
        <w:footnoteReference w:id="47"/>
      </w:r>
      <w:r w:rsidR="00D91CAE" w:rsidRPr="00DC152B">
        <w:rPr>
          <w:noProof/>
          <w:spacing w:val="-8"/>
        </w:rPr>
        <w:t xml:space="preserve">. </w:t>
      </w:r>
      <w:r w:rsidR="5FBCFFE2" w:rsidRPr="00DC152B">
        <w:rPr>
          <w:noProof/>
          <w:spacing w:val="-8"/>
        </w:rPr>
        <w:t>The Eurobarometer survey was</w:t>
      </w:r>
      <w:r w:rsidR="00D91CAE" w:rsidRPr="00DC152B">
        <w:rPr>
          <w:noProof/>
          <w:spacing w:val="-8"/>
        </w:rPr>
        <w:t xml:space="preserve"> </w:t>
      </w:r>
      <w:r w:rsidR="00A90322" w:rsidRPr="00DC152B">
        <w:rPr>
          <w:noProof/>
          <w:spacing w:val="-8"/>
        </w:rPr>
        <w:t xml:space="preserve">designed </w:t>
      </w:r>
      <w:r w:rsidR="003C4EA1" w:rsidRPr="00DC152B">
        <w:rPr>
          <w:noProof/>
          <w:spacing w:val="-8"/>
        </w:rPr>
        <w:t>to be</w:t>
      </w:r>
      <w:r w:rsidR="5FBCFFE2" w:rsidRPr="00DC152B">
        <w:rPr>
          <w:noProof/>
          <w:spacing w:val="-8"/>
        </w:rPr>
        <w:t xml:space="preserve"> representative for the EU population. </w:t>
      </w:r>
      <w:r w:rsidR="00F07841" w:rsidRPr="00DC152B">
        <w:rPr>
          <w:noProof/>
          <w:spacing w:val="-8"/>
        </w:rPr>
        <w:t>M</w:t>
      </w:r>
      <w:r w:rsidR="00AE23D6" w:rsidRPr="00DC152B">
        <w:rPr>
          <w:noProof/>
          <w:spacing w:val="-8"/>
        </w:rPr>
        <w:t>ore than three-quarters of respondents reply that environmental impact is important to them when planning a regional or long-distance journey. Nonetheless, while 21% of respondents report that this means they adapt their journey accordingly, 22% find it difficult to change their habits, and another 22% find it difficult to find sustainable alternatives.</w:t>
      </w:r>
      <w:r w:rsidR="00451D95" w:rsidRPr="00DC152B">
        <w:rPr>
          <w:noProof/>
          <w:spacing w:val="-8"/>
        </w:rPr>
        <w:t xml:space="preserve"> </w:t>
      </w:r>
      <w:r w:rsidR="00525D97" w:rsidRPr="00DC152B">
        <w:rPr>
          <w:noProof/>
          <w:spacing w:val="-8"/>
        </w:rPr>
        <w:t>More specifically, o</w:t>
      </w:r>
      <w:r w:rsidR="009F1172" w:rsidRPr="00DC152B">
        <w:rPr>
          <w:noProof/>
          <w:spacing w:val="-8"/>
        </w:rPr>
        <w:t>ver a third</w:t>
      </w:r>
      <w:r w:rsidR="00D91CAE" w:rsidRPr="00DC152B">
        <w:rPr>
          <w:noProof/>
          <w:spacing w:val="-8"/>
        </w:rPr>
        <w:t xml:space="preserve"> of respondents who have experience with booking multimodal journeys (e.g. combining trains, planes</w:t>
      </w:r>
      <w:r w:rsidR="009F1172" w:rsidRPr="00DC152B">
        <w:rPr>
          <w:noProof/>
          <w:spacing w:val="-8"/>
        </w:rPr>
        <w:t xml:space="preserve"> or coaches), report that these journeys are difficult to book</w:t>
      </w:r>
      <w:r w:rsidR="009F1172" w:rsidRPr="00DC152B">
        <w:rPr>
          <w:rStyle w:val="FootnoteReference"/>
          <w:noProof/>
          <w:spacing w:val="-8"/>
        </w:rPr>
        <w:footnoteReference w:id="48"/>
      </w:r>
      <w:r w:rsidR="009F1172" w:rsidRPr="00DC152B">
        <w:rPr>
          <w:noProof/>
          <w:spacing w:val="-8"/>
        </w:rPr>
        <w:t xml:space="preserve"> and 31% of all respondents have never booked such journeys. The same holds for journeys combining different operators in one mode: more than a third of respondents who intended to book such journeys found them difficult to book</w:t>
      </w:r>
      <w:r w:rsidR="00D91CAE" w:rsidRPr="00DC152B">
        <w:rPr>
          <w:rStyle w:val="FootnoteReference"/>
          <w:noProof/>
          <w:spacing w:val="-8"/>
        </w:rPr>
        <w:footnoteReference w:id="49"/>
      </w:r>
      <w:r w:rsidR="00D91CAE" w:rsidRPr="00DC152B">
        <w:rPr>
          <w:noProof/>
          <w:spacing w:val="-8"/>
        </w:rPr>
        <w:t xml:space="preserve"> and 36% of all respondents have never booked such journeys. When asked why they had never or rarely booked combined journeys, 17% of respondents said they couldn’t find a suitable combination, 5% lacked information, and another 5% could not buy all the tickets in one place. </w:t>
      </w:r>
      <w:r w:rsidR="009352A9" w:rsidRPr="00DC152B">
        <w:rPr>
          <w:noProof/>
          <w:spacing w:val="-8"/>
        </w:rPr>
        <w:t>Confirming these results, i</w:t>
      </w:r>
      <w:r w:rsidR="00A66080" w:rsidRPr="00DC152B">
        <w:rPr>
          <w:noProof/>
          <w:spacing w:val="-8"/>
        </w:rPr>
        <w:t>n the open public consultation (OPC) for this impact assessment, 174 of the 226 respondents highlighted that they had difficulties booking and purchasing tickets combining different modes. The most common issue identified was that they had to visit multiple sites to find the information needed.</w:t>
      </w:r>
    </w:p>
    <w:p w14:paraId="6916B1C4" w14:textId="12BC1D23" w:rsidR="007B654C" w:rsidRPr="004D50DA" w:rsidRDefault="006F1F15" w:rsidP="00D91CAE">
      <w:pPr>
        <w:tabs>
          <w:tab w:val="left" w:pos="1849"/>
        </w:tabs>
        <w:spacing w:after="240"/>
        <w:jc w:val="both"/>
        <w:rPr>
          <w:noProof/>
          <w:spacing w:val="-8"/>
        </w:rPr>
      </w:pPr>
      <w:r w:rsidRPr="004D50DA">
        <w:rPr>
          <w:noProof/>
          <w:spacing w:val="-8"/>
        </w:rPr>
        <w:t xml:space="preserve">Concluding, travellers </w:t>
      </w:r>
      <w:r w:rsidR="00E26ACB" w:rsidRPr="004D50DA">
        <w:rPr>
          <w:noProof/>
          <w:spacing w:val="-8"/>
        </w:rPr>
        <w:t>care about</w:t>
      </w:r>
      <w:r w:rsidR="00134BFF" w:rsidRPr="004D50DA">
        <w:rPr>
          <w:noProof/>
          <w:spacing w:val="-8"/>
        </w:rPr>
        <w:t xml:space="preserve"> the environmental impact of their journeys and </w:t>
      </w:r>
      <w:r w:rsidR="0083412A" w:rsidRPr="004D50DA">
        <w:rPr>
          <w:noProof/>
          <w:spacing w:val="-8"/>
        </w:rPr>
        <w:t xml:space="preserve">while </w:t>
      </w:r>
      <w:r w:rsidR="005D6E0C" w:rsidRPr="004D50DA">
        <w:rPr>
          <w:noProof/>
          <w:spacing w:val="-8"/>
        </w:rPr>
        <w:t>one fifth already changes their habits today, another fifth finds it difficult to find</w:t>
      </w:r>
      <w:r w:rsidR="0079218F" w:rsidRPr="004D50DA">
        <w:rPr>
          <w:noProof/>
          <w:spacing w:val="-8"/>
        </w:rPr>
        <w:t>,</w:t>
      </w:r>
      <w:r w:rsidR="005D6E0C" w:rsidRPr="004D50DA">
        <w:rPr>
          <w:noProof/>
          <w:spacing w:val="-8"/>
        </w:rPr>
        <w:t xml:space="preserve"> </w:t>
      </w:r>
      <w:r w:rsidR="0079218F" w:rsidRPr="004D50DA">
        <w:rPr>
          <w:noProof/>
          <w:spacing w:val="-8"/>
        </w:rPr>
        <w:t xml:space="preserve">or buy, </w:t>
      </w:r>
      <w:r w:rsidR="005D6E0C" w:rsidRPr="004D50DA">
        <w:rPr>
          <w:noProof/>
          <w:spacing w:val="-8"/>
        </w:rPr>
        <w:t xml:space="preserve">sustainable alternatives. </w:t>
      </w:r>
      <w:r w:rsidR="00D256C3" w:rsidRPr="004D50DA">
        <w:rPr>
          <w:noProof/>
          <w:spacing w:val="-8"/>
        </w:rPr>
        <w:t>So</w:t>
      </w:r>
      <w:r w:rsidR="00715047" w:rsidRPr="004D50DA">
        <w:rPr>
          <w:noProof/>
          <w:spacing w:val="-8"/>
        </w:rPr>
        <w:t>,</w:t>
      </w:r>
      <w:r w:rsidR="00D256C3" w:rsidRPr="004D50DA">
        <w:rPr>
          <w:noProof/>
          <w:spacing w:val="-8"/>
        </w:rPr>
        <w:t xml:space="preserve"> what if </w:t>
      </w:r>
      <w:r w:rsidR="003157CA" w:rsidRPr="004D50DA">
        <w:rPr>
          <w:noProof/>
          <w:spacing w:val="-8"/>
        </w:rPr>
        <w:t xml:space="preserve">travellers </w:t>
      </w:r>
      <w:r w:rsidR="00715047" w:rsidRPr="004D50DA">
        <w:rPr>
          <w:noProof/>
          <w:spacing w:val="-8"/>
        </w:rPr>
        <w:t xml:space="preserve">had </w:t>
      </w:r>
      <w:r w:rsidR="00D91CAE" w:rsidRPr="004D50DA">
        <w:rPr>
          <w:noProof/>
          <w:spacing w:val="-8"/>
        </w:rPr>
        <w:t xml:space="preserve">the ability to see all </w:t>
      </w:r>
      <w:r w:rsidR="00A85642" w:rsidRPr="004D50DA">
        <w:rPr>
          <w:noProof/>
          <w:spacing w:val="-8"/>
        </w:rPr>
        <w:t>(</w:t>
      </w:r>
      <w:r w:rsidR="00D91CAE" w:rsidRPr="004D50DA">
        <w:rPr>
          <w:noProof/>
          <w:spacing w:val="-8"/>
        </w:rPr>
        <w:t>rail</w:t>
      </w:r>
      <w:r w:rsidR="00A85642" w:rsidRPr="004D50DA">
        <w:rPr>
          <w:noProof/>
          <w:spacing w:val="-8"/>
        </w:rPr>
        <w:t>)</w:t>
      </w:r>
      <w:r w:rsidR="00D91CAE" w:rsidRPr="004D50DA">
        <w:rPr>
          <w:noProof/>
          <w:spacing w:val="-8"/>
        </w:rPr>
        <w:t xml:space="preserve"> offerings on MDMS platforms and </w:t>
      </w:r>
      <w:r w:rsidR="00E00A57" w:rsidRPr="004D50DA">
        <w:rPr>
          <w:noProof/>
          <w:spacing w:val="-8"/>
        </w:rPr>
        <w:t>could</w:t>
      </w:r>
      <w:r w:rsidR="00D91CAE" w:rsidRPr="004D50DA">
        <w:rPr>
          <w:noProof/>
          <w:spacing w:val="-8"/>
        </w:rPr>
        <w:t xml:space="preserve"> book all </w:t>
      </w:r>
      <w:r w:rsidR="005E7E7D" w:rsidRPr="004D50DA">
        <w:rPr>
          <w:noProof/>
          <w:spacing w:val="-8"/>
        </w:rPr>
        <w:t xml:space="preserve">legs of </w:t>
      </w:r>
      <w:r w:rsidR="00B832E0" w:rsidRPr="004D50DA">
        <w:rPr>
          <w:noProof/>
          <w:spacing w:val="-8"/>
        </w:rPr>
        <w:t>th</w:t>
      </w:r>
      <w:r w:rsidR="0079770F" w:rsidRPr="004D50DA">
        <w:rPr>
          <w:noProof/>
          <w:spacing w:val="-8"/>
        </w:rPr>
        <w:t>ei</w:t>
      </w:r>
      <w:r w:rsidR="00B832E0" w:rsidRPr="004D50DA">
        <w:rPr>
          <w:noProof/>
          <w:spacing w:val="-8"/>
        </w:rPr>
        <w:t>r journeys</w:t>
      </w:r>
      <w:r w:rsidR="00D91CAE" w:rsidRPr="004D50DA">
        <w:rPr>
          <w:noProof/>
          <w:spacing w:val="-8"/>
        </w:rPr>
        <w:t xml:space="preserve"> on </w:t>
      </w:r>
      <w:r w:rsidR="009A66AA" w:rsidRPr="004D50DA">
        <w:rPr>
          <w:noProof/>
          <w:spacing w:val="-8"/>
        </w:rPr>
        <w:t xml:space="preserve">a single </w:t>
      </w:r>
      <w:r w:rsidR="00D91CAE" w:rsidRPr="004D50DA">
        <w:rPr>
          <w:noProof/>
          <w:spacing w:val="-8"/>
        </w:rPr>
        <w:t>MDMS platform</w:t>
      </w:r>
      <w:r w:rsidR="009A66AA" w:rsidRPr="004D50DA">
        <w:rPr>
          <w:noProof/>
          <w:spacing w:val="-8"/>
        </w:rPr>
        <w:t xml:space="preserve">? </w:t>
      </w:r>
      <w:r w:rsidR="00491BE4" w:rsidRPr="004D50DA">
        <w:rPr>
          <w:noProof/>
          <w:spacing w:val="-8"/>
        </w:rPr>
        <w:t>Based on the answers from the Eurobarometer</w:t>
      </w:r>
      <w:r w:rsidR="005869C2" w:rsidRPr="004D50DA">
        <w:rPr>
          <w:noProof/>
          <w:spacing w:val="-8"/>
        </w:rPr>
        <w:t xml:space="preserve"> </w:t>
      </w:r>
      <w:r w:rsidR="005D5666" w:rsidRPr="004D50DA">
        <w:rPr>
          <w:noProof/>
          <w:spacing w:val="-8"/>
        </w:rPr>
        <w:t xml:space="preserve">related to travellers’ ability or difficulties in booking tickets, </w:t>
      </w:r>
      <w:r w:rsidR="005869C2" w:rsidRPr="004D50DA">
        <w:rPr>
          <w:noProof/>
          <w:spacing w:val="-8"/>
        </w:rPr>
        <w:t xml:space="preserve">we can </w:t>
      </w:r>
      <w:r w:rsidR="00D91CAE" w:rsidRPr="004D50DA">
        <w:rPr>
          <w:noProof/>
          <w:spacing w:val="-8"/>
        </w:rPr>
        <w:t>estimat</w:t>
      </w:r>
      <w:r w:rsidR="005869C2" w:rsidRPr="004D50DA">
        <w:rPr>
          <w:noProof/>
          <w:spacing w:val="-8"/>
        </w:rPr>
        <w:t>e</w:t>
      </w:r>
      <w:r w:rsidR="009A66AA" w:rsidRPr="004D50DA">
        <w:rPr>
          <w:noProof/>
          <w:spacing w:val="-8"/>
        </w:rPr>
        <w:t xml:space="preserve"> the </w:t>
      </w:r>
      <w:r w:rsidR="000A698C" w:rsidRPr="004D50DA">
        <w:rPr>
          <w:noProof/>
          <w:spacing w:val="-8"/>
        </w:rPr>
        <w:t>magnitude of the consequences for consumers</w:t>
      </w:r>
      <w:r w:rsidR="00D91CAE" w:rsidRPr="004D50DA">
        <w:rPr>
          <w:noProof/>
          <w:spacing w:val="-8"/>
        </w:rPr>
        <w:t xml:space="preserve">. </w:t>
      </w:r>
      <w:r w:rsidR="00C84886" w:rsidRPr="004D50DA">
        <w:rPr>
          <w:noProof/>
          <w:spacing w:val="-8"/>
        </w:rPr>
        <w:t xml:space="preserve">We start by </w:t>
      </w:r>
      <w:r w:rsidR="00E3115D" w:rsidRPr="004D50DA">
        <w:rPr>
          <w:noProof/>
          <w:spacing w:val="-8"/>
        </w:rPr>
        <w:t>look</w:t>
      </w:r>
      <w:r w:rsidR="00C84886" w:rsidRPr="004D50DA">
        <w:rPr>
          <w:noProof/>
          <w:spacing w:val="-8"/>
        </w:rPr>
        <w:t>ing only</w:t>
      </w:r>
      <w:r w:rsidR="00E3115D" w:rsidRPr="004D50DA">
        <w:rPr>
          <w:noProof/>
          <w:spacing w:val="-8"/>
        </w:rPr>
        <w:t xml:space="preserve"> at </w:t>
      </w:r>
      <w:r w:rsidR="001E65CE" w:rsidRPr="004D50DA">
        <w:rPr>
          <w:noProof/>
          <w:spacing w:val="-8"/>
        </w:rPr>
        <w:t xml:space="preserve">respondents </w:t>
      </w:r>
      <w:r w:rsidR="0098059A" w:rsidRPr="004D50DA">
        <w:rPr>
          <w:noProof/>
          <w:spacing w:val="-8"/>
        </w:rPr>
        <w:t>which</w:t>
      </w:r>
      <w:r w:rsidR="001E65CE" w:rsidRPr="004D50DA">
        <w:rPr>
          <w:noProof/>
          <w:spacing w:val="-8"/>
        </w:rPr>
        <w:t>,</w:t>
      </w:r>
      <w:r w:rsidR="0098059A" w:rsidRPr="004D50DA">
        <w:rPr>
          <w:noProof/>
          <w:spacing w:val="-8"/>
        </w:rPr>
        <w:t xml:space="preserve"> </w:t>
      </w:r>
      <w:r w:rsidR="00435C34" w:rsidRPr="004D50DA">
        <w:rPr>
          <w:noProof/>
          <w:spacing w:val="-8"/>
        </w:rPr>
        <w:t xml:space="preserve">despite travelling by train </w:t>
      </w:r>
      <w:r w:rsidR="00D51D1E" w:rsidRPr="004D50DA">
        <w:rPr>
          <w:noProof/>
          <w:spacing w:val="-8"/>
        </w:rPr>
        <w:t xml:space="preserve">in the last two years, </w:t>
      </w:r>
      <w:r w:rsidR="00E3115D" w:rsidRPr="004D50DA">
        <w:rPr>
          <w:noProof/>
          <w:spacing w:val="-8"/>
        </w:rPr>
        <w:t xml:space="preserve">indicated </w:t>
      </w:r>
      <w:r w:rsidR="00A6738D" w:rsidRPr="004D50DA">
        <w:rPr>
          <w:noProof/>
          <w:spacing w:val="-8"/>
        </w:rPr>
        <w:t xml:space="preserve">they </w:t>
      </w:r>
      <w:r w:rsidR="00011C1F" w:rsidRPr="004D50DA">
        <w:rPr>
          <w:noProof/>
          <w:spacing w:val="-8"/>
        </w:rPr>
        <w:t xml:space="preserve">rarely </w:t>
      </w:r>
      <w:r w:rsidR="00424BB9" w:rsidRPr="004D50DA">
        <w:rPr>
          <w:noProof/>
          <w:spacing w:val="-8"/>
        </w:rPr>
        <w:t>(</w:t>
      </w:r>
      <w:r w:rsidR="00524511" w:rsidRPr="004D50DA">
        <w:rPr>
          <w:noProof/>
          <w:spacing w:val="-8"/>
        </w:rPr>
        <w:t>13.2%</w:t>
      </w:r>
      <w:r w:rsidR="00424BB9" w:rsidRPr="004D50DA">
        <w:rPr>
          <w:noProof/>
          <w:spacing w:val="-8"/>
        </w:rPr>
        <w:t xml:space="preserve">) </w:t>
      </w:r>
      <w:r w:rsidR="00011C1F" w:rsidRPr="004D50DA">
        <w:rPr>
          <w:noProof/>
          <w:spacing w:val="-8"/>
        </w:rPr>
        <w:t>or never</w:t>
      </w:r>
      <w:r w:rsidR="002813DF" w:rsidRPr="004D50DA">
        <w:rPr>
          <w:noProof/>
          <w:spacing w:val="-8"/>
        </w:rPr>
        <w:t xml:space="preserve"> </w:t>
      </w:r>
      <w:r w:rsidR="00524511" w:rsidRPr="004D50DA">
        <w:rPr>
          <w:noProof/>
          <w:spacing w:val="-8"/>
        </w:rPr>
        <w:t xml:space="preserve">(16.9%) </w:t>
      </w:r>
      <w:r w:rsidR="00A6738D" w:rsidRPr="004D50DA">
        <w:rPr>
          <w:noProof/>
          <w:spacing w:val="-8"/>
        </w:rPr>
        <w:t xml:space="preserve">combined </w:t>
      </w:r>
      <w:r w:rsidR="007326C5" w:rsidRPr="004D50DA">
        <w:rPr>
          <w:noProof/>
          <w:spacing w:val="-8"/>
        </w:rPr>
        <w:t xml:space="preserve">in </w:t>
      </w:r>
      <w:r w:rsidR="00570F0A" w:rsidRPr="004D50DA">
        <w:rPr>
          <w:noProof/>
          <w:spacing w:val="-8"/>
        </w:rPr>
        <w:t xml:space="preserve">one single journey </w:t>
      </w:r>
      <w:r w:rsidR="00A6738D" w:rsidRPr="004D50DA">
        <w:rPr>
          <w:noProof/>
          <w:spacing w:val="-8"/>
        </w:rPr>
        <w:t>two or more rail legs (connecting trains), operated by different rail operators</w:t>
      </w:r>
      <w:r w:rsidR="006D7600" w:rsidRPr="004D50DA">
        <w:rPr>
          <w:noProof/>
          <w:spacing w:val="-8"/>
        </w:rPr>
        <w:t xml:space="preserve">. </w:t>
      </w:r>
      <w:r w:rsidR="00AD38B3" w:rsidRPr="004D50DA">
        <w:rPr>
          <w:noProof/>
          <w:spacing w:val="-8"/>
        </w:rPr>
        <w:t>Next</w:t>
      </w:r>
      <w:r w:rsidR="00050DED" w:rsidRPr="004D50DA">
        <w:rPr>
          <w:noProof/>
          <w:spacing w:val="-8"/>
        </w:rPr>
        <w:t>,</w:t>
      </w:r>
      <w:r w:rsidR="00AD38B3" w:rsidRPr="004D50DA">
        <w:rPr>
          <w:noProof/>
          <w:spacing w:val="-8"/>
        </w:rPr>
        <w:t xml:space="preserve"> we eliminate from that group </w:t>
      </w:r>
      <w:r w:rsidR="00A04C75" w:rsidRPr="004D50DA">
        <w:rPr>
          <w:noProof/>
          <w:spacing w:val="-8"/>
        </w:rPr>
        <w:t xml:space="preserve">(30.1% of citizens) </w:t>
      </w:r>
      <w:r w:rsidR="00AD38B3" w:rsidRPr="004D50DA">
        <w:rPr>
          <w:noProof/>
          <w:spacing w:val="-8"/>
        </w:rPr>
        <w:t xml:space="preserve">all those </w:t>
      </w:r>
      <w:r w:rsidR="00DB44DB" w:rsidRPr="004D50DA">
        <w:rPr>
          <w:noProof/>
          <w:spacing w:val="-8"/>
        </w:rPr>
        <w:t xml:space="preserve">that </w:t>
      </w:r>
      <w:r w:rsidR="00DD2199" w:rsidRPr="004D50DA">
        <w:rPr>
          <w:noProof/>
          <w:spacing w:val="-8"/>
        </w:rPr>
        <w:t xml:space="preserve">indicated they </w:t>
      </w:r>
      <w:r w:rsidR="00A33633" w:rsidRPr="004D50DA">
        <w:rPr>
          <w:noProof/>
          <w:spacing w:val="-8"/>
        </w:rPr>
        <w:t xml:space="preserve">simply </w:t>
      </w:r>
      <w:r w:rsidR="00DD2199" w:rsidRPr="004D50DA">
        <w:rPr>
          <w:noProof/>
          <w:spacing w:val="-8"/>
        </w:rPr>
        <w:t xml:space="preserve">did not need </w:t>
      </w:r>
      <w:r w:rsidR="00FD7523" w:rsidRPr="004D50DA">
        <w:rPr>
          <w:noProof/>
          <w:spacing w:val="-8"/>
        </w:rPr>
        <w:t>to combine two operators on their journey(s)</w:t>
      </w:r>
      <w:r w:rsidR="00FD2B66" w:rsidRPr="004D50DA">
        <w:rPr>
          <w:noProof/>
          <w:spacing w:val="-8"/>
        </w:rPr>
        <w:t>, leaving us with 17.3% of citizens</w:t>
      </w:r>
      <w:r w:rsidR="00FD7523" w:rsidRPr="004D50DA">
        <w:rPr>
          <w:noProof/>
          <w:spacing w:val="-8"/>
        </w:rPr>
        <w:t>.</w:t>
      </w:r>
      <w:r w:rsidR="00D247C5" w:rsidRPr="004D50DA">
        <w:rPr>
          <w:noProof/>
          <w:spacing w:val="-8"/>
        </w:rPr>
        <w:t xml:space="preserve"> </w:t>
      </w:r>
      <w:r w:rsidR="00CA3892" w:rsidRPr="004D50DA">
        <w:rPr>
          <w:noProof/>
          <w:spacing w:val="-8"/>
        </w:rPr>
        <w:t xml:space="preserve">Within that group </w:t>
      </w:r>
      <w:r w:rsidR="007416E6" w:rsidRPr="004D50DA">
        <w:rPr>
          <w:noProof/>
          <w:spacing w:val="-8"/>
        </w:rPr>
        <w:t xml:space="preserve">we </w:t>
      </w:r>
      <w:r w:rsidR="00054019" w:rsidRPr="004D50DA">
        <w:rPr>
          <w:noProof/>
          <w:spacing w:val="-8"/>
        </w:rPr>
        <w:t xml:space="preserve">look at which reasons </w:t>
      </w:r>
      <w:r w:rsidR="00C52F3B" w:rsidRPr="004D50DA">
        <w:rPr>
          <w:noProof/>
          <w:spacing w:val="-8"/>
        </w:rPr>
        <w:t>were given</w:t>
      </w:r>
      <w:r w:rsidR="00054019" w:rsidRPr="004D50DA">
        <w:rPr>
          <w:noProof/>
          <w:spacing w:val="-8"/>
        </w:rPr>
        <w:t xml:space="preserve"> for not </w:t>
      </w:r>
      <w:r w:rsidR="00217958" w:rsidRPr="004D50DA">
        <w:rPr>
          <w:noProof/>
          <w:spacing w:val="-8"/>
        </w:rPr>
        <w:t>combining two rail operators</w:t>
      </w:r>
      <w:r w:rsidR="00762B5B" w:rsidRPr="004D50DA">
        <w:rPr>
          <w:noProof/>
          <w:spacing w:val="-8"/>
        </w:rPr>
        <w:t xml:space="preserve"> and find that 8% of citizens </w:t>
      </w:r>
      <w:r w:rsidR="001F6ED4" w:rsidRPr="004D50DA">
        <w:rPr>
          <w:noProof/>
          <w:spacing w:val="-8"/>
        </w:rPr>
        <w:t xml:space="preserve">either did not know it was possible, did not know where to </w:t>
      </w:r>
      <w:r w:rsidR="004C5017" w:rsidRPr="004D50DA">
        <w:rPr>
          <w:noProof/>
          <w:spacing w:val="-8"/>
        </w:rPr>
        <w:t xml:space="preserve">search </w:t>
      </w:r>
      <w:r w:rsidR="001F6ED4" w:rsidRPr="004D50DA">
        <w:rPr>
          <w:noProof/>
          <w:spacing w:val="-8"/>
        </w:rPr>
        <w:t xml:space="preserve">for </w:t>
      </w:r>
      <w:r w:rsidR="004C5017" w:rsidRPr="004D50DA">
        <w:rPr>
          <w:noProof/>
          <w:spacing w:val="-8"/>
        </w:rPr>
        <w:t xml:space="preserve">such travel </w:t>
      </w:r>
      <w:r w:rsidR="001F6ED4" w:rsidRPr="004D50DA">
        <w:rPr>
          <w:noProof/>
          <w:spacing w:val="-8"/>
        </w:rPr>
        <w:t>information, could not find a suitable combination or could not buy all tickets</w:t>
      </w:r>
      <w:r w:rsidR="00D04074" w:rsidRPr="004D50DA">
        <w:rPr>
          <w:noProof/>
          <w:spacing w:val="-8"/>
        </w:rPr>
        <w:t xml:space="preserve"> they needed</w:t>
      </w:r>
      <w:r w:rsidR="001F6ED4" w:rsidRPr="004D50DA">
        <w:rPr>
          <w:noProof/>
          <w:spacing w:val="-8"/>
        </w:rPr>
        <w:t xml:space="preserve"> in one place. </w:t>
      </w:r>
    </w:p>
    <w:p w14:paraId="4060D8FF" w14:textId="4BBC3CDC" w:rsidR="006C3345" w:rsidRPr="004D50DA" w:rsidRDefault="00EF7F8B" w:rsidP="00D91CAE">
      <w:pPr>
        <w:tabs>
          <w:tab w:val="left" w:pos="1849"/>
        </w:tabs>
        <w:spacing w:after="240"/>
        <w:jc w:val="both"/>
        <w:rPr>
          <w:noProof/>
          <w:spacing w:val="-8"/>
          <w:highlight w:val="yellow"/>
        </w:rPr>
      </w:pPr>
      <w:r w:rsidRPr="004D50DA">
        <w:rPr>
          <w:noProof/>
          <w:spacing w:val="-8"/>
        </w:rPr>
        <w:t>This</w:t>
      </w:r>
      <w:r w:rsidR="00D04074" w:rsidRPr="004D50DA">
        <w:rPr>
          <w:noProof/>
          <w:spacing w:val="-8"/>
        </w:rPr>
        <w:t xml:space="preserve"> means that</w:t>
      </w:r>
      <w:r w:rsidR="0065347A" w:rsidRPr="004D50DA">
        <w:rPr>
          <w:noProof/>
          <w:spacing w:val="-8"/>
        </w:rPr>
        <w:t xml:space="preserve"> </w:t>
      </w:r>
      <w:r w:rsidR="001B1D09" w:rsidRPr="004D50DA">
        <w:rPr>
          <w:noProof/>
          <w:spacing w:val="-8"/>
        </w:rPr>
        <w:t xml:space="preserve">up to </w:t>
      </w:r>
      <w:r w:rsidR="006E6003" w:rsidRPr="004D50DA">
        <w:rPr>
          <w:noProof/>
          <w:spacing w:val="-8"/>
        </w:rPr>
        <w:t xml:space="preserve">8% of people </w:t>
      </w:r>
      <w:r w:rsidR="009E18B1" w:rsidRPr="004D50DA">
        <w:rPr>
          <w:noProof/>
          <w:spacing w:val="-8"/>
        </w:rPr>
        <w:t xml:space="preserve">experience ticketing issues </w:t>
      </w:r>
      <w:r w:rsidR="006E6003" w:rsidRPr="004D50DA">
        <w:rPr>
          <w:noProof/>
          <w:spacing w:val="-8"/>
        </w:rPr>
        <w:t xml:space="preserve">when </w:t>
      </w:r>
      <w:r w:rsidR="002D7E45" w:rsidRPr="004D50DA">
        <w:rPr>
          <w:noProof/>
          <w:spacing w:val="-8"/>
        </w:rPr>
        <w:t xml:space="preserve">trying to book </w:t>
      </w:r>
      <w:r w:rsidR="003922D5" w:rsidRPr="004D50DA">
        <w:rPr>
          <w:noProof/>
          <w:spacing w:val="-8"/>
        </w:rPr>
        <w:t>multi-operator</w:t>
      </w:r>
      <w:r w:rsidR="002D7E45" w:rsidRPr="004D50DA">
        <w:rPr>
          <w:noProof/>
          <w:spacing w:val="-8"/>
        </w:rPr>
        <w:t xml:space="preserve"> rail journeys</w:t>
      </w:r>
      <w:r w:rsidR="004041FF" w:rsidRPr="004D50DA">
        <w:rPr>
          <w:noProof/>
          <w:spacing w:val="-8"/>
        </w:rPr>
        <w:t xml:space="preserve"> in a single ticket</w:t>
      </w:r>
      <w:r w:rsidR="002D7E45" w:rsidRPr="004D50DA">
        <w:rPr>
          <w:noProof/>
          <w:spacing w:val="-8"/>
        </w:rPr>
        <w:t xml:space="preserve">. </w:t>
      </w:r>
      <w:r w:rsidR="001F020A" w:rsidRPr="004D50DA">
        <w:rPr>
          <w:noProof/>
          <w:spacing w:val="-8"/>
        </w:rPr>
        <w:t xml:space="preserve">This however does not mean that </w:t>
      </w:r>
      <w:r w:rsidR="00F07FDD" w:rsidRPr="004D50DA">
        <w:rPr>
          <w:noProof/>
          <w:spacing w:val="-8"/>
        </w:rPr>
        <w:t xml:space="preserve">if </w:t>
      </w:r>
      <w:r w:rsidR="004C2A86" w:rsidRPr="004D50DA">
        <w:rPr>
          <w:noProof/>
          <w:spacing w:val="-8"/>
        </w:rPr>
        <w:t>all</w:t>
      </w:r>
      <w:r w:rsidR="00F07FDD" w:rsidRPr="004D50DA">
        <w:rPr>
          <w:noProof/>
          <w:spacing w:val="-8"/>
        </w:rPr>
        <w:t xml:space="preserve"> ticketing issues </w:t>
      </w:r>
      <w:r w:rsidR="00C1244F" w:rsidRPr="004D50DA">
        <w:rPr>
          <w:noProof/>
          <w:spacing w:val="-8"/>
        </w:rPr>
        <w:t>we</w:t>
      </w:r>
      <w:r w:rsidR="00F07FDD" w:rsidRPr="004D50DA">
        <w:rPr>
          <w:noProof/>
          <w:spacing w:val="-8"/>
        </w:rPr>
        <w:t xml:space="preserve">re resolved and single tickets </w:t>
      </w:r>
      <w:r w:rsidR="00C1244F" w:rsidRPr="004D50DA">
        <w:rPr>
          <w:noProof/>
          <w:spacing w:val="-8"/>
        </w:rPr>
        <w:t>we</w:t>
      </w:r>
      <w:r w:rsidR="00F07FDD" w:rsidRPr="004D50DA">
        <w:rPr>
          <w:noProof/>
          <w:spacing w:val="-8"/>
        </w:rPr>
        <w:t xml:space="preserve">re </w:t>
      </w:r>
      <w:r w:rsidR="00F60522" w:rsidRPr="004D50DA">
        <w:rPr>
          <w:noProof/>
          <w:spacing w:val="-8"/>
        </w:rPr>
        <w:t>widely</w:t>
      </w:r>
      <w:r w:rsidR="00F07FDD" w:rsidRPr="004D50DA">
        <w:rPr>
          <w:noProof/>
          <w:spacing w:val="-8"/>
        </w:rPr>
        <w:t xml:space="preserve"> available, </w:t>
      </w:r>
      <w:r w:rsidR="001F020A" w:rsidRPr="004D50DA">
        <w:rPr>
          <w:noProof/>
          <w:spacing w:val="-8"/>
        </w:rPr>
        <w:t xml:space="preserve">all </w:t>
      </w:r>
      <w:r w:rsidR="001D3A7F" w:rsidRPr="004D50DA">
        <w:rPr>
          <w:noProof/>
          <w:spacing w:val="-8"/>
        </w:rPr>
        <w:t xml:space="preserve">travellers </w:t>
      </w:r>
      <w:r w:rsidR="008F418F" w:rsidRPr="004D50DA">
        <w:rPr>
          <w:noProof/>
          <w:spacing w:val="-8"/>
        </w:rPr>
        <w:t>experiencing those issues</w:t>
      </w:r>
      <w:r w:rsidR="001D3A7F" w:rsidRPr="004D50DA">
        <w:rPr>
          <w:noProof/>
          <w:spacing w:val="-8"/>
        </w:rPr>
        <w:t xml:space="preserve"> </w:t>
      </w:r>
      <w:r w:rsidR="00683AE3" w:rsidRPr="004D50DA">
        <w:rPr>
          <w:noProof/>
          <w:spacing w:val="-8"/>
        </w:rPr>
        <w:t xml:space="preserve">would </w:t>
      </w:r>
      <w:r w:rsidR="008F418F" w:rsidRPr="004D50DA">
        <w:rPr>
          <w:noProof/>
          <w:spacing w:val="-8"/>
        </w:rPr>
        <w:t>change their habits and</w:t>
      </w:r>
      <w:r w:rsidR="00683AE3" w:rsidRPr="004D50DA">
        <w:rPr>
          <w:noProof/>
          <w:spacing w:val="-8"/>
        </w:rPr>
        <w:t xml:space="preserve"> </w:t>
      </w:r>
      <w:r w:rsidR="001D3A7F" w:rsidRPr="004D50DA">
        <w:rPr>
          <w:noProof/>
          <w:spacing w:val="-8"/>
        </w:rPr>
        <w:t xml:space="preserve">purchase </w:t>
      </w:r>
      <w:r w:rsidR="000D4018" w:rsidRPr="004D50DA">
        <w:rPr>
          <w:noProof/>
          <w:spacing w:val="-8"/>
        </w:rPr>
        <w:t>those single tickets.</w:t>
      </w:r>
      <w:r w:rsidR="001D3A7F" w:rsidRPr="004D50DA">
        <w:rPr>
          <w:noProof/>
          <w:spacing w:val="-8"/>
        </w:rPr>
        <w:t xml:space="preserve"> </w:t>
      </w:r>
      <w:r w:rsidR="000D4018" w:rsidRPr="004D50DA">
        <w:rPr>
          <w:noProof/>
          <w:spacing w:val="-8"/>
        </w:rPr>
        <w:t>T</w:t>
      </w:r>
      <w:r w:rsidR="001D3A7F" w:rsidRPr="004D50DA">
        <w:rPr>
          <w:noProof/>
          <w:spacing w:val="-8"/>
        </w:rPr>
        <w:t xml:space="preserve">hey may still </w:t>
      </w:r>
      <w:r w:rsidR="00F07FDD" w:rsidRPr="004D50DA">
        <w:rPr>
          <w:noProof/>
          <w:spacing w:val="-8"/>
        </w:rPr>
        <w:t>opt for other modes of transport, such as the car.</w:t>
      </w:r>
      <w:r w:rsidR="002D7E45" w:rsidRPr="004D50DA">
        <w:rPr>
          <w:noProof/>
          <w:spacing w:val="-8"/>
        </w:rPr>
        <w:t xml:space="preserve"> </w:t>
      </w:r>
      <w:r w:rsidR="009575EB" w:rsidRPr="004D50DA">
        <w:rPr>
          <w:noProof/>
          <w:spacing w:val="-8"/>
        </w:rPr>
        <w:t>Therefor</w:t>
      </w:r>
      <w:r w:rsidR="00C6606C" w:rsidRPr="004D50DA">
        <w:rPr>
          <w:noProof/>
          <w:spacing w:val="-8"/>
        </w:rPr>
        <w:t>e</w:t>
      </w:r>
      <w:r w:rsidR="00F07FDD" w:rsidRPr="004D50DA">
        <w:rPr>
          <w:noProof/>
          <w:spacing w:val="-8"/>
        </w:rPr>
        <w:t>,</w:t>
      </w:r>
      <w:r w:rsidR="009575EB" w:rsidRPr="004D50DA">
        <w:rPr>
          <w:noProof/>
          <w:spacing w:val="-8"/>
        </w:rPr>
        <w:t xml:space="preserve"> we</w:t>
      </w:r>
      <w:r w:rsidR="0085598A" w:rsidRPr="004D50DA">
        <w:rPr>
          <w:noProof/>
          <w:spacing w:val="-8"/>
        </w:rPr>
        <w:t xml:space="preserve"> </w:t>
      </w:r>
      <w:r w:rsidR="00690F57" w:rsidRPr="004D50DA">
        <w:rPr>
          <w:noProof/>
          <w:spacing w:val="-8"/>
        </w:rPr>
        <w:t>only</w:t>
      </w:r>
      <w:r w:rsidR="0085598A" w:rsidRPr="004D50DA">
        <w:rPr>
          <w:noProof/>
          <w:spacing w:val="-8"/>
        </w:rPr>
        <w:t xml:space="preserve"> </w:t>
      </w:r>
      <w:r w:rsidR="00693435" w:rsidRPr="004D50DA">
        <w:rPr>
          <w:noProof/>
          <w:spacing w:val="-8"/>
        </w:rPr>
        <w:t xml:space="preserve">consider </w:t>
      </w:r>
      <w:r w:rsidR="0085598A" w:rsidRPr="004D50DA">
        <w:rPr>
          <w:noProof/>
          <w:spacing w:val="-8"/>
        </w:rPr>
        <w:t xml:space="preserve">respondents </w:t>
      </w:r>
      <w:r w:rsidR="00AF2908" w:rsidRPr="004D50DA">
        <w:rPr>
          <w:noProof/>
          <w:spacing w:val="-8"/>
        </w:rPr>
        <w:t xml:space="preserve">that </w:t>
      </w:r>
      <w:r w:rsidR="0085598A" w:rsidRPr="004D50DA">
        <w:rPr>
          <w:noProof/>
          <w:spacing w:val="-8"/>
        </w:rPr>
        <w:t>indicated they could not buy all tickets they needed in one place</w:t>
      </w:r>
      <w:r w:rsidR="00705F2E" w:rsidRPr="004D50DA">
        <w:rPr>
          <w:noProof/>
          <w:spacing w:val="-8"/>
        </w:rPr>
        <w:t xml:space="preserve"> (1.7%)</w:t>
      </w:r>
      <w:r w:rsidR="00DD5827" w:rsidRPr="004D50DA">
        <w:rPr>
          <w:noProof/>
          <w:spacing w:val="-8"/>
        </w:rPr>
        <w:t xml:space="preserve">. </w:t>
      </w:r>
      <w:r w:rsidR="00C05D66" w:rsidRPr="004D50DA">
        <w:rPr>
          <w:noProof/>
          <w:spacing w:val="-8"/>
        </w:rPr>
        <w:t>This group most clearly represents travellers who already</w:t>
      </w:r>
      <w:r w:rsidR="0009242D" w:rsidRPr="004D50DA">
        <w:rPr>
          <w:noProof/>
          <w:spacing w:val="-8"/>
        </w:rPr>
        <w:t xml:space="preserve"> knew which tickets they needed</w:t>
      </w:r>
      <w:r w:rsidR="00CB388E" w:rsidRPr="004D50DA">
        <w:rPr>
          <w:noProof/>
          <w:spacing w:val="-8"/>
        </w:rPr>
        <w:t>,</w:t>
      </w:r>
      <w:r w:rsidR="00277DC2" w:rsidRPr="004D50DA">
        <w:rPr>
          <w:noProof/>
          <w:spacing w:val="-8"/>
        </w:rPr>
        <w:t xml:space="preserve"> and </w:t>
      </w:r>
      <w:r w:rsidR="0050064E" w:rsidRPr="004D50DA">
        <w:rPr>
          <w:noProof/>
          <w:spacing w:val="-8"/>
        </w:rPr>
        <w:t xml:space="preserve">intended to buy </w:t>
      </w:r>
      <w:r w:rsidR="00017CB6" w:rsidRPr="004D50DA">
        <w:rPr>
          <w:noProof/>
          <w:spacing w:val="-8"/>
        </w:rPr>
        <w:t>them</w:t>
      </w:r>
      <w:r w:rsidR="00D83360" w:rsidRPr="004D50DA">
        <w:rPr>
          <w:noProof/>
          <w:spacing w:val="-8"/>
        </w:rPr>
        <w:t>,</w:t>
      </w:r>
      <w:r w:rsidR="00017CB6" w:rsidRPr="004D50DA">
        <w:rPr>
          <w:noProof/>
          <w:spacing w:val="-8"/>
        </w:rPr>
        <w:t xml:space="preserve"> but</w:t>
      </w:r>
      <w:r w:rsidR="00C7569C" w:rsidRPr="004D50DA">
        <w:rPr>
          <w:noProof/>
          <w:spacing w:val="-8"/>
        </w:rPr>
        <w:t xml:space="preserve"> were prevented from doing so by ticketing barriers</w:t>
      </w:r>
      <w:r w:rsidR="00277DC2" w:rsidRPr="004D50DA">
        <w:rPr>
          <w:noProof/>
          <w:spacing w:val="-8"/>
        </w:rPr>
        <w:t xml:space="preserve">. </w:t>
      </w:r>
      <w:r w:rsidR="00270A7C" w:rsidRPr="004D50DA">
        <w:rPr>
          <w:noProof/>
          <w:spacing w:val="-8"/>
        </w:rPr>
        <w:t xml:space="preserve">Though </w:t>
      </w:r>
      <w:r w:rsidR="00863A81" w:rsidRPr="004D50DA">
        <w:rPr>
          <w:noProof/>
          <w:spacing w:val="-8"/>
        </w:rPr>
        <w:t>not all of them would</w:t>
      </w:r>
      <w:r w:rsidR="00D41767" w:rsidRPr="004D50DA">
        <w:rPr>
          <w:noProof/>
          <w:spacing w:val="-8"/>
        </w:rPr>
        <w:t xml:space="preserve"> necessarily complete the purchase</w:t>
      </w:r>
      <w:r w:rsidR="003C4ABD" w:rsidRPr="004D50DA">
        <w:rPr>
          <w:noProof/>
          <w:spacing w:val="-8"/>
        </w:rPr>
        <w:t xml:space="preserve"> if the barriers were removed</w:t>
      </w:r>
      <w:r w:rsidR="00863A81" w:rsidRPr="004D50DA">
        <w:rPr>
          <w:noProof/>
          <w:spacing w:val="-8"/>
        </w:rPr>
        <w:t xml:space="preserve">, </w:t>
      </w:r>
      <w:r w:rsidR="00270A7C" w:rsidRPr="004D50DA">
        <w:rPr>
          <w:noProof/>
          <w:spacing w:val="-8"/>
        </w:rPr>
        <w:t xml:space="preserve">it </w:t>
      </w:r>
      <w:r w:rsidR="000D35D9" w:rsidRPr="004D50DA">
        <w:rPr>
          <w:noProof/>
          <w:spacing w:val="-8"/>
        </w:rPr>
        <w:t xml:space="preserve">is </w:t>
      </w:r>
      <w:r w:rsidR="003C4ABD" w:rsidRPr="004D50DA">
        <w:rPr>
          <w:noProof/>
          <w:spacing w:val="-8"/>
        </w:rPr>
        <w:t xml:space="preserve">also </w:t>
      </w:r>
      <w:r w:rsidR="000D35D9" w:rsidRPr="004D50DA">
        <w:rPr>
          <w:noProof/>
          <w:spacing w:val="-8"/>
        </w:rPr>
        <w:t xml:space="preserve">reasonable to assume </w:t>
      </w:r>
      <w:r w:rsidR="00B53837" w:rsidRPr="004D50DA">
        <w:rPr>
          <w:noProof/>
          <w:spacing w:val="-8"/>
        </w:rPr>
        <w:t xml:space="preserve">that </w:t>
      </w:r>
      <w:r w:rsidR="00017CB6" w:rsidRPr="004D50DA">
        <w:rPr>
          <w:noProof/>
          <w:spacing w:val="-8"/>
        </w:rPr>
        <w:t xml:space="preserve">some </w:t>
      </w:r>
      <w:r w:rsidR="00AE6688" w:rsidRPr="004D50DA">
        <w:rPr>
          <w:noProof/>
          <w:spacing w:val="-8"/>
        </w:rPr>
        <w:t xml:space="preserve">respondents in the larger group of 8% </w:t>
      </w:r>
      <w:r w:rsidR="00F42DC1" w:rsidRPr="004D50DA">
        <w:rPr>
          <w:noProof/>
          <w:spacing w:val="-8"/>
        </w:rPr>
        <w:t>which experience</w:t>
      </w:r>
      <w:r w:rsidR="00CF1B71" w:rsidRPr="004D50DA">
        <w:rPr>
          <w:noProof/>
          <w:spacing w:val="-8"/>
        </w:rPr>
        <w:t>d</w:t>
      </w:r>
      <w:r w:rsidR="00F42DC1" w:rsidRPr="004D50DA">
        <w:rPr>
          <w:noProof/>
          <w:spacing w:val="-8"/>
        </w:rPr>
        <w:t xml:space="preserve"> ticketing barriers would</w:t>
      </w:r>
      <w:r w:rsidR="00E22DE0" w:rsidRPr="004D50DA">
        <w:rPr>
          <w:noProof/>
          <w:spacing w:val="-8"/>
        </w:rPr>
        <w:t xml:space="preserve"> </w:t>
      </w:r>
      <w:r w:rsidR="006C3345" w:rsidRPr="004D50DA">
        <w:rPr>
          <w:noProof/>
          <w:spacing w:val="-8"/>
        </w:rPr>
        <w:t xml:space="preserve">also </w:t>
      </w:r>
      <w:r w:rsidR="00E22DE0" w:rsidRPr="004D50DA">
        <w:rPr>
          <w:noProof/>
          <w:spacing w:val="-8"/>
        </w:rPr>
        <w:t xml:space="preserve">buy single tickets </w:t>
      </w:r>
      <w:r w:rsidR="00B53837" w:rsidRPr="004D50DA">
        <w:rPr>
          <w:noProof/>
          <w:spacing w:val="-8"/>
        </w:rPr>
        <w:t>if these barriers were removed</w:t>
      </w:r>
      <w:r w:rsidR="00E42664" w:rsidRPr="004D50DA">
        <w:rPr>
          <w:noProof/>
          <w:spacing w:val="-8"/>
        </w:rPr>
        <w:t>.</w:t>
      </w:r>
    </w:p>
    <w:p w14:paraId="37632B65" w14:textId="3BA832F7" w:rsidR="004F11A5" w:rsidRPr="004D50DA" w:rsidRDefault="002508BB" w:rsidP="00DB350A">
      <w:pPr>
        <w:pBdr>
          <w:top w:val="single" w:sz="4" w:space="1" w:color="auto"/>
          <w:left w:val="single" w:sz="4" w:space="4" w:color="auto"/>
          <w:bottom w:val="single" w:sz="4" w:space="1" w:color="auto"/>
          <w:right w:val="single" w:sz="4" w:space="4" w:color="auto"/>
        </w:pBdr>
        <w:tabs>
          <w:tab w:val="left" w:pos="1849"/>
        </w:tabs>
        <w:spacing w:after="240"/>
        <w:jc w:val="both"/>
        <w:rPr>
          <w:noProof/>
          <w:spacing w:val="-8"/>
        </w:rPr>
      </w:pPr>
      <w:r w:rsidRPr="004D50DA">
        <w:rPr>
          <w:noProof/>
          <w:spacing w:val="-8"/>
        </w:rPr>
        <w:t xml:space="preserve">In conclusion, </w:t>
      </w:r>
      <w:r w:rsidR="00D533CC" w:rsidRPr="004D50DA">
        <w:rPr>
          <w:noProof/>
          <w:spacing w:val="-8"/>
        </w:rPr>
        <w:t xml:space="preserve">based on the Eurobarometer results, we </w:t>
      </w:r>
      <w:r w:rsidR="009F59A0" w:rsidRPr="004D50DA">
        <w:rPr>
          <w:noProof/>
          <w:spacing w:val="-8"/>
        </w:rPr>
        <w:t xml:space="preserve">estimate </w:t>
      </w:r>
      <w:r w:rsidR="00D91CAE" w:rsidRPr="004D50DA">
        <w:rPr>
          <w:noProof/>
          <w:spacing w:val="-8"/>
        </w:rPr>
        <w:t xml:space="preserve">the </w:t>
      </w:r>
      <w:r w:rsidR="009A6DF2" w:rsidRPr="004D50DA">
        <w:rPr>
          <w:noProof/>
          <w:spacing w:val="-8"/>
        </w:rPr>
        <w:t xml:space="preserve">magnitude of the </w:t>
      </w:r>
      <w:r w:rsidR="00C77053" w:rsidRPr="004D50DA">
        <w:rPr>
          <w:noProof/>
          <w:spacing w:val="-8"/>
        </w:rPr>
        <w:t>consequences</w:t>
      </w:r>
      <w:r w:rsidR="009A6DF2" w:rsidRPr="004D50DA">
        <w:rPr>
          <w:noProof/>
          <w:spacing w:val="-8"/>
        </w:rPr>
        <w:t xml:space="preserve"> </w:t>
      </w:r>
      <w:r w:rsidR="003F127D" w:rsidRPr="004D50DA">
        <w:rPr>
          <w:noProof/>
          <w:spacing w:val="-8"/>
        </w:rPr>
        <w:t xml:space="preserve">for </w:t>
      </w:r>
      <w:r w:rsidR="009A6DF2" w:rsidRPr="004D50DA">
        <w:rPr>
          <w:noProof/>
          <w:spacing w:val="-8"/>
        </w:rPr>
        <w:t xml:space="preserve">consumers </w:t>
      </w:r>
      <w:r w:rsidR="00054E01" w:rsidRPr="004D50DA">
        <w:rPr>
          <w:noProof/>
          <w:spacing w:val="-8"/>
        </w:rPr>
        <w:t xml:space="preserve">of </w:t>
      </w:r>
      <w:r w:rsidR="006E3F40" w:rsidRPr="004D50DA">
        <w:rPr>
          <w:noProof/>
          <w:spacing w:val="-8"/>
        </w:rPr>
        <w:t>limited ability to compare and combine travel options and fares, including the ability to compare the environmental impact of the travel choice</w:t>
      </w:r>
      <w:r w:rsidR="00054E01" w:rsidRPr="004D50DA">
        <w:rPr>
          <w:noProof/>
          <w:spacing w:val="-8"/>
        </w:rPr>
        <w:t>,</w:t>
      </w:r>
      <w:r w:rsidR="009A6DF2" w:rsidRPr="004D50DA">
        <w:rPr>
          <w:noProof/>
          <w:spacing w:val="-8"/>
        </w:rPr>
        <w:t xml:space="preserve"> </w:t>
      </w:r>
      <w:r w:rsidR="008A4622" w:rsidRPr="004D50DA">
        <w:rPr>
          <w:noProof/>
          <w:spacing w:val="-8"/>
        </w:rPr>
        <w:t>as</w:t>
      </w:r>
      <w:r w:rsidR="00C77053" w:rsidRPr="004D50DA">
        <w:rPr>
          <w:noProof/>
          <w:spacing w:val="-8"/>
        </w:rPr>
        <w:t xml:space="preserve"> the</w:t>
      </w:r>
      <w:r w:rsidR="009A6DF2" w:rsidRPr="004D50DA">
        <w:rPr>
          <w:noProof/>
          <w:spacing w:val="-8"/>
        </w:rPr>
        <w:t xml:space="preserve"> </w:t>
      </w:r>
      <w:r w:rsidR="00D91CAE" w:rsidRPr="004D50DA">
        <w:rPr>
          <w:noProof/>
          <w:spacing w:val="-8"/>
        </w:rPr>
        <w:t xml:space="preserve">maximum potential increase in journeys using </w:t>
      </w:r>
      <w:r w:rsidR="00692180" w:rsidRPr="004D50DA">
        <w:rPr>
          <w:noProof/>
          <w:spacing w:val="-8"/>
        </w:rPr>
        <w:t>railway services</w:t>
      </w:r>
      <w:r w:rsidR="00D91CAE" w:rsidRPr="004D50DA">
        <w:rPr>
          <w:noProof/>
          <w:spacing w:val="-8"/>
        </w:rPr>
        <w:t>, and a corresponding decrease in journeys using less sustainable modes</w:t>
      </w:r>
      <w:r w:rsidR="00D91CAE" w:rsidRPr="004D50DA">
        <w:rPr>
          <w:rStyle w:val="FootnoteReference"/>
          <w:noProof/>
          <w:spacing w:val="-8"/>
        </w:rPr>
        <w:footnoteReference w:id="50"/>
      </w:r>
      <w:r w:rsidR="009F59A0" w:rsidRPr="004D50DA">
        <w:rPr>
          <w:noProof/>
          <w:spacing w:val="-8"/>
        </w:rPr>
        <w:t xml:space="preserve"> at 1.7%</w:t>
      </w:r>
      <w:r w:rsidR="00D91CAE" w:rsidRPr="004D50DA">
        <w:rPr>
          <w:noProof/>
          <w:spacing w:val="-8"/>
        </w:rPr>
        <w:t>.</w:t>
      </w:r>
      <w:r w:rsidR="00D52B12" w:rsidRPr="004D50DA">
        <w:rPr>
          <w:noProof/>
          <w:spacing w:val="-8"/>
        </w:rPr>
        <w:t xml:space="preserve"> </w:t>
      </w:r>
      <w:r w:rsidR="00054E01" w:rsidRPr="004D50DA">
        <w:rPr>
          <w:noProof/>
          <w:spacing w:val="-8"/>
        </w:rPr>
        <w:t xml:space="preserve">This illustrates the dimension </w:t>
      </w:r>
      <w:r w:rsidR="00B311DD" w:rsidRPr="004D50DA">
        <w:rPr>
          <w:noProof/>
          <w:spacing w:val="-8"/>
        </w:rPr>
        <w:t xml:space="preserve">and size </w:t>
      </w:r>
      <w:r w:rsidR="00054E01" w:rsidRPr="004D50DA">
        <w:rPr>
          <w:noProof/>
          <w:spacing w:val="-8"/>
        </w:rPr>
        <w:t xml:space="preserve">of </w:t>
      </w:r>
      <w:r w:rsidR="00170FD1" w:rsidRPr="004D50DA">
        <w:rPr>
          <w:noProof/>
          <w:spacing w:val="-8"/>
        </w:rPr>
        <w:t xml:space="preserve">the </w:t>
      </w:r>
      <w:r w:rsidR="0048188C" w:rsidRPr="004D50DA">
        <w:rPr>
          <w:noProof/>
          <w:spacing w:val="-8"/>
        </w:rPr>
        <w:t xml:space="preserve">underlying </w:t>
      </w:r>
      <w:r w:rsidR="00170FD1" w:rsidRPr="004D50DA">
        <w:rPr>
          <w:noProof/>
          <w:spacing w:val="-8"/>
        </w:rPr>
        <w:t xml:space="preserve">problems 1 and 2. </w:t>
      </w:r>
    </w:p>
    <w:p w14:paraId="6ECE66F4" w14:textId="2D7A8732" w:rsidR="004F34B9" w:rsidRPr="000C54C0" w:rsidRDefault="004F34B9" w:rsidP="007B2D8E">
      <w:pPr>
        <w:pStyle w:val="Heading2"/>
        <w:keepNext/>
        <w:keepLines/>
        <w:numPr>
          <w:ilvl w:val="2"/>
          <w:numId w:val="11"/>
        </w:numPr>
        <w:tabs>
          <w:tab w:val="left" w:pos="709"/>
        </w:tabs>
        <w:spacing w:before="0" w:after="240"/>
        <w:ind w:left="1134" w:hanging="709"/>
        <w:rPr>
          <w:b w:val="0"/>
          <w:i/>
          <w:noProof/>
        </w:rPr>
      </w:pPr>
      <w:bookmarkStart w:id="26" w:name="_Toc222313452"/>
      <w:bookmarkStart w:id="27" w:name="_Toc222748968"/>
      <w:bookmarkStart w:id="28" w:name="_Ref223867113"/>
      <w:bookmarkStart w:id="29" w:name="_Ref223914033"/>
      <w:bookmarkStart w:id="30" w:name="_Ref223915490"/>
      <w:bookmarkStart w:id="31" w:name="_Toc223979941"/>
      <w:r w:rsidRPr="000C54C0">
        <w:rPr>
          <w:b w:val="0"/>
          <w:i/>
          <w:noProof/>
        </w:rPr>
        <w:t>Problem</w:t>
      </w:r>
      <w:r w:rsidRPr="005930DA">
        <w:rPr>
          <w:b w:val="0"/>
          <w:i/>
          <w:noProof/>
        </w:rPr>
        <w:t xml:space="preserve"> </w:t>
      </w:r>
      <w:r w:rsidRPr="000C54C0">
        <w:rPr>
          <w:b w:val="0"/>
          <w:i/>
          <w:noProof/>
        </w:rPr>
        <w:t xml:space="preserve">1: </w:t>
      </w:r>
      <w:r w:rsidR="004B5959" w:rsidRPr="004B5959">
        <w:rPr>
          <w:b w:val="0"/>
          <w:i/>
          <w:noProof/>
        </w:rPr>
        <w:t>Lack of transparency, unfair conditions, and uneven playing field in the online ticketing market</w:t>
      </w:r>
      <w:bookmarkEnd w:id="26"/>
      <w:bookmarkEnd w:id="27"/>
      <w:bookmarkEnd w:id="28"/>
      <w:bookmarkEnd w:id="29"/>
      <w:bookmarkEnd w:id="30"/>
      <w:bookmarkEnd w:id="31"/>
    </w:p>
    <w:p w14:paraId="5A665E20" w14:textId="12AB51E6" w:rsidR="006D0BBC" w:rsidRPr="00DC05B6" w:rsidRDefault="00225269" w:rsidP="52187DF3">
      <w:pPr>
        <w:spacing w:after="240" w:line="259" w:lineRule="auto"/>
        <w:jc w:val="both"/>
        <w:rPr>
          <w:noProof/>
          <w:spacing w:val="-8"/>
        </w:rPr>
      </w:pPr>
      <w:r w:rsidRPr="001431EF">
        <w:rPr>
          <w:noProof/>
          <w:spacing w:val="-8"/>
        </w:rPr>
        <w:t>T</w:t>
      </w:r>
      <w:r w:rsidR="00AC75DF" w:rsidRPr="001431EF">
        <w:rPr>
          <w:noProof/>
          <w:spacing w:val="-8"/>
        </w:rPr>
        <w:t xml:space="preserve">he </w:t>
      </w:r>
      <w:r w:rsidR="00544EDD" w:rsidRPr="001431EF">
        <w:rPr>
          <w:noProof/>
          <w:spacing w:val="-8"/>
        </w:rPr>
        <w:t>growing</w:t>
      </w:r>
      <w:r w:rsidR="004A3767" w:rsidRPr="001431EF">
        <w:rPr>
          <w:noProof/>
          <w:spacing w:val="-8"/>
        </w:rPr>
        <w:t xml:space="preserve"> digitalisation and </w:t>
      </w:r>
      <w:r w:rsidR="004863B8" w:rsidRPr="001431EF">
        <w:rPr>
          <w:noProof/>
          <w:spacing w:val="-8"/>
        </w:rPr>
        <w:t xml:space="preserve">broad </w:t>
      </w:r>
      <w:r w:rsidR="004A3767" w:rsidRPr="001431EF">
        <w:rPr>
          <w:noProof/>
          <w:spacing w:val="-8"/>
        </w:rPr>
        <w:t xml:space="preserve">access to </w:t>
      </w:r>
      <w:r w:rsidR="004863B8" w:rsidRPr="001431EF">
        <w:rPr>
          <w:noProof/>
          <w:spacing w:val="-8"/>
        </w:rPr>
        <w:t xml:space="preserve">internet has </w:t>
      </w:r>
      <w:r w:rsidR="00B61F30" w:rsidRPr="001431EF">
        <w:rPr>
          <w:noProof/>
          <w:spacing w:val="-8"/>
        </w:rPr>
        <w:t xml:space="preserve">changed the </w:t>
      </w:r>
      <w:r w:rsidR="00AC75DF" w:rsidRPr="001431EF">
        <w:rPr>
          <w:noProof/>
          <w:spacing w:val="-8"/>
        </w:rPr>
        <w:t>online ticketing market</w:t>
      </w:r>
      <w:r w:rsidR="1DEC6807" w:rsidRPr="001431EF">
        <w:rPr>
          <w:noProof/>
          <w:spacing w:val="-8"/>
        </w:rPr>
        <w:t xml:space="preserve"> for transport services</w:t>
      </w:r>
      <w:r w:rsidR="00B61F30" w:rsidRPr="001431EF">
        <w:rPr>
          <w:noProof/>
          <w:spacing w:val="-8"/>
        </w:rPr>
        <w:t>, which is becoming increasingly diversified and includes a wider than ever range of stake</w:t>
      </w:r>
      <w:r w:rsidR="00692FA0" w:rsidRPr="001431EF">
        <w:rPr>
          <w:noProof/>
          <w:spacing w:val="-8"/>
        </w:rPr>
        <w:t>holders, in both the B2C and B2B domains (see</w:t>
      </w:r>
      <w:r w:rsidR="00FB015A" w:rsidRPr="001431EF">
        <w:rPr>
          <w:noProof/>
          <w:spacing w:val="-8"/>
        </w:rPr>
        <w:t xml:space="preserve"> </w:t>
      </w:r>
      <w:r w:rsidR="00FB015A" w:rsidRPr="00D24F01">
        <w:rPr>
          <w:noProof/>
          <w:spacing w:val="-8"/>
        </w:rPr>
        <w:fldChar w:fldCharType="begin"/>
      </w:r>
      <w:r w:rsidR="00FB015A" w:rsidRPr="00D24F01">
        <w:rPr>
          <w:noProof/>
          <w:spacing w:val="-8"/>
        </w:rPr>
        <w:instrText xml:space="preserve"> REF _Ref223981702 \h  \* MERGEFORMAT </w:instrText>
      </w:r>
      <w:r w:rsidR="00FB015A" w:rsidRPr="00D24F01">
        <w:rPr>
          <w:noProof/>
          <w:spacing w:val="-8"/>
        </w:rPr>
      </w:r>
      <w:r w:rsidR="00FB015A" w:rsidRPr="00D24F01">
        <w:rPr>
          <w:noProof/>
          <w:spacing w:val="-8"/>
        </w:rPr>
        <w:fldChar w:fldCharType="separate"/>
      </w:r>
      <w:r>
        <w:rPr>
          <w:noProof/>
          <w:spacing w:val="-8"/>
        </w:rPr>
        <w:t>Figure 3</w:t>
      </w:r>
      <w:r w:rsidR="00FB015A" w:rsidRPr="00D24F01">
        <w:rPr>
          <w:noProof/>
          <w:spacing w:val="-8"/>
        </w:rPr>
        <w:fldChar w:fldCharType="end"/>
      </w:r>
      <w:r w:rsidR="00692FA0" w:rsidRPr="00D24F01">
        <w:rPr>
          <w:noProof/>
          <w:spacing w:val="-8"/>
        </w:rPr>
        <w:t>).</w:t>
      </w:r>
      <w:r w:rsidR="00754C6A" w:rsidRPr="00D24F01">
        <w:rPr>
          <w:noProof/>
          <w:spacing w:val="-8"/>
        </w:rPr>
        <w:t xml:space="preserve"> </w:t>
      </w:r>
      <w:r w:rsidR="009E511A" w:rsidRPr="00D24F01">
        <w:rPr>
          <w:noProof/>
          <w:spacing w:val="-8"/>
        </w:rPr>
        <w:t>Multimodal Digital Mobility Services</w:t>
      </w:r>
      <w:r w:rsidR="009E511A" w:rsidRPr="00D24F01">
        <w:rPr>
          <w:b/>
          <w:noProof/>
          <w:spacing w:val="-8"/>
        </w:rPr>
        <w:t xml:space="preserve"> (MDMS) </w:t>
      </w:r>
      <w:r w:rsidR="009E511A" w:rsidRPr="00D24F01">
        <w:rPr>
          <w:noProof/>
          <w:spacing w:val="-8"/>
        </w:rPr>
        <w:t>are platforms providing traffic and travel information (e.g., schedules, tariffs and availability of services) and enabling the distribution of tickets, directly or via re-linking, for two or more transport operators, operating in one or more transport modes.</w:t>
      </w:r>
      <w:r w:rsidR="009167C3" w:rsidRPr="00D24F01">
        <w:rPr>
          <w:noProof/>
          <w:spacing w:val="-8"/>
        </w:rPr>
        <w:t xml:space="preserve"> Online distribution channels of transport operators – used exclusively for the distribution of </w:t>
      </w:r>
      <w:r w:rsidR="00462406" w:rsidRPr="00D24F01">
        <w:rPr>
          <w:noProof/>
          <w:spacing w:val="-8"/>
        </w:rPr>
        <w:t xml:space="preserve">their </w:t>
      </w:r>
      <w:r w:rsidR="009167C3" w:rsidRPr="00D24F01">
        <w:rPr>
          <w:noProof/>
          <w:spacing w:val="-8"/>
        </w:rPr>
        <w:t>own transport services</w:t>
      </w:r>
      <w:r w:rsidR="009167C3" w:rsidRPr="00D24F01">
        <w:rPr>
          <w:noProof/>
          <w:spacing w:val="-8"/>
          <w:vertAlign w:val="superscript"/>
        </w:rPr>
        <w:footnoteReference w:id="51"/>
      </w:r>
      <w:r w:rsidR="009167C3" w:rsidRPr="00D24F01">
        <w:rPr>
          <w:noProof/>
          <w:spacing w:val="-8"/>
        </w:rPr>
        <w:t xml:space="preserve"> without offering third party tickets – are not considered to be in the ‘platform market’ and do not qualify as MDMS within the meaning of this initiative, therefore falling out of its scope.</w:t>
      </w:r>
      <w:r w:rsidR="00047E26" w:rsidRPr="00DC05B6">
        <w:rPr>
          <w:noProof/>
          <w:spacing w:val="-8"/>
        </w:rPr>
        <w:t xml:space="preserve"> </w:t>
      </w:r>
      <w:r w:rsidR="005302F5" w:rsidRPr="00DC05B6">
        <w:rPr>
          <w:noProof/>
          <w:spacing w:val="-8"/>
        </w:rPr>
        <w:t>Similarly, onl</w:t>
      </w:r>
      <w:r w:rsidR="00ED5B18" w:rsidRPr="00DC05B6">
        <w:rPr>
          <w:noProof/>
          <w:spacing w:val="-8"/>
        </w:rPr>
        <w:t xml:space="preserve">ine search engines </w:t>
      </w:r>
      <w:r w:rsidR="00AE11B4" w:rsidRPr="00DC05B6">
        <w:rPr>
          <w:noProof/>
          <w:spacing w:val="-8"/>
        </w:rPr>
        <w:t xml:space="preserve">that direct end-users to different types of websites, including </w:t>
      </w:r>
      <w:r w:rsidR="002C24FA" w:rsidRPr="00DC05B6">
        <w:rPr>
          <w:noProof/>
          <w:spacing w:val="-8"/>
        </w:rPr>
        <w:t>but not</w:t>
      </w:r>
      <w:r w:rsidR="00BF798E" w:rsidRPr="00DC05B6">
        <w:rPr>
          <w:noProof/>
          <w:spacing w:val="-8"/>
        </w:rPr>
        <w:t xml:space="preserve"> limited to websites w</w:t>
      </w:r>
      <w:r w:rsidR="3E0046AB" w:rsidRPr="00DC05B6">
        <w:rPr>
          <w:noProof/>
          <w:spacing w:val="-8"/>
        </w:rPr>
        <w:t>h</w:t>
      </w:r>
      <w:r w:rsidR="00BF798E" w:rsidRPr="00DC05B6">
        <w:rPr>
          <w:noProof/>
          <w:spacing w:val="-8"/>
        </w:rPr>
        <w:t>ere transport products are sold</w:t>
      </w:r>
      <w:r w:rsidR="001410B2" w:rsidRPr="00DC05B6">
        <w:rPr>
          <w:noProof/>
          <w:spacing w:val="-8"/>
        </w:rPr>
        <w:t>,</w:t>
      </w:r>
      <w:r w:rsidR="00BF798E" w:rsidRPr="00DC05B6">
        <w:rPr>
          <w:noProof/>
          <w:spacing w:val="-8"/>
        </w:rPr>
        <w:t xml:space="preserve"> do not qualify as MDMS</w:t>
      </w:r>
      <w:r w:rsidR="001410B2" w:rsidRPr="00DC05B6">
        <w:rPr>
          <w:noProof/>
          <w:spacing w:val="-8"/>
        </w:rPr>
        <w:t>, therefore also falling out of its scope.</w:t>
      </w:r>
      <w:r w:rsidR="12E4EC54" w:rsidRPr="00DC05B6">
        <w:rPr>
          <w:noProof/>
          <w:spacing w:val="-8"/>
        </w:rPr>
        <w:t xml:space="preserve"> </w:t>
      </w:r>
      <w:r w:rsidR="34BB2FCB" w:rsidRPr="00DC05B6">
        <w:rPr>
          <w:noProof/>
          <w:spacing w:val="-8"/>
        </w:rPr>
        <w:t>Finally, mul</w:t>
      </w:r>
      <w:r w:rsidR="50B41705" w:rsidRPr="00DC05B6">
        <w:rPr>
          <w:noProof/>
          <w:spacing w:val="-8"/>
        </w:rPr>
        <w:t>ti</w:t>
      </w:r>
      <w:r w:rsidR="34BB2FCB" w:rsidRPr="00DC05B6">
        <w:rPr>
          <w:noProof/>
          <w:spacing w:val="-8"/>
        </w:rPr>
        <w:t>modal travel information service</w:t>
      </w:r>
      <w:r w:rsidR="7A9F11B4" w:rsidRPr="00DC05B6">
        <w:rPr>
          <w:noProof/>
          <w:spacing w:val="-8"/>
        </w:rPr>
        <w:t xml:space="preserve">s </w:t>
      </w:r>
      <w:r w:rsidR="2DC85F2D" w:rsidRPr="00DC05B6">
        <w:rPr>
          <w:noProof/>
          <w:spacing w:val="-8"/>
        </w:rPr>
        <w:t xml:space="preserve">that </w:t>
      </w:r>
      <w:r w:rsidR="7A9F11B4" w:rsidRPr="00DC05B6">
        <w:rPr>
          <w:noProof/>
          <w:spacing w:val="-8"/>
        </w:rPr>
        <w:t>provid</w:t>
      </w:r>
      <w:r w:rsidR="721B01BB" w:rsidRPr="00DC05B6">
        <w:rPr>
          <w:noProof/>
          <w:spacing w:val="-8"/>
        </w:rPr>
        <w:t>e</w:t>
      </w:r>
      <w:r w:rsidR="7A9F11B4" w:rsidRPr="00DC05B6">
        <w:rPr>
          <w:noProof/>
          <w:spacing w:val="-8"/>
        </w:rPr>
        <w:t xml:space="preserve"> </w:t>
      </w:r>
      <w:r w:rsidR="3C2DB777" w:rsidRPr="00DC05B6">
        <w:rPr>
          <w:noProof/>
          <w:spacing w:val="-8"/>
        </w:rPr>
        <w:t>journey planning</w:t>
      </w:r>
      <w:r w:rsidR="7A9F11B4" w:rsidRPr="00DC05B6">
        <w:rPr>
          <w:noProof/>
          <w:spacing w:val="-8"/>
        </w:rPr>
        <w:t xml:space="preserve"> to end users, but </w:t>
      </w:r>
      <w:r w:rsidR="4ED332D3" w:rsidRPr="00DC05B6">
        <w:rPr>
          <w:noProof/>
          <w:spacing w:val="-8"/>
        </w:rPr>
        <w:t xml:space="preserve">do not facilitate </w:t>
      </w:r>
      <w:r w:rsidR="554D8F69" w:rsidRPr="00DC05B6">
        <w:rPr>
          <w:noProof/>
          <w:spacing w:val="-8"/>
        </w:rPr>
        <w:t>book</w:t>
      </w:r>
      <w:r w:rsidR="142C9AD6" w:rsidRPr="00DC05B6">
        <w:rPr>
          <w:noProof/>
          <w:spacing w:val="-8"/>
        </w:rPr>
        <w:t>ing, whether</w:t>
      </w:r>
      <w:r w:rsidR="554D8F69" w:rsidRPr="00DC05B6">
        <w:rPr>
          <w:noProof/>
          <w:spacing w:val="-8"/>
        </w:rPr>
        <w:t xml:space="preserve"> directly or </w:t>
      </w:r>
      <w:r w:rsidR="66A154CB" w:rsidRPr="00DC05B6">
        <w:rPr>
          <w:noProof/>
          <w:spacing w:val="-8"/>
        </w:rPr>
        <w:t xml:space="preserve">via </w:t>
      </w:r>
      <w:r w:rsidR="554D8F69" w:rsidRPr="00DC05B6">
        <w:rPr>
          <w:noProof/>
          <w:spacing w:val="-8"/>
        </w:rPr>
        <w:t>re-linking</w:t>
      </w:r>
      <w:r w:rsidR="5B5A1CCB" w:rsidRPr="00DC05B6">
        <w:rPr>
          <w:noProof/>
          <w:spacing w:val="-8"/>
        </w:rPr>
        <w:t xml:space="preserve"> (e.g. Google Maps, City Mappers)</w:t>
      </w:r>
      <w:r w:rsidR="554D8F69" w:rsidRPr="00DC05B6">
        <w:rPr>
          <w:noProof/>
          <w:spacing w:val="-8"/>
        </w:rPr>
        <w:t xml:space="preserve">, do not qualify as MDMS. </w:t>
      </w:r>
    </w:p>
    <w:p w14:paraId="56489432" w14:textId="0546E596" w:rsidR="00980256" w:rsidRPr="00980256" w:rsidRDefault="00980256" w:rsidP="00980256">
      <w:pPr>
        <w:pStyle w:val="Caption"/>
        <w:keepNext/>
        <w:jc w:val="both"/>
        <w:rPr>
          <w:noProof/>
          <w:color w:val="auto"/>
          <w:sz w:val="22"/>
          <w:szCs w:val="22"/>
        </w:rPr>
      </w:pPr>
      <w:bookmarkStart w:id="32" w:name="_Ref223981702"/>
      <w:r w:rsidRPr="00980256">
        <w:rPr>
          <w:noProof/>
          <w:color w:val="auto"/>
          <w:sz w:val="22"/>
          <w:szCs w:val="22"/>
        </w:rPr>
        <w:t xml:space="preserve">Figure </w:t>
      </w:r>
      <w:r w:rsidRPr="00980256">
        <w:rPr>
          <w:noProof/>
          <w:color w:val="auto"/>
          <w:sz w:val="22"/>
          <w:szCs w:val="22"/>
        </w:rPr>
        <w:fldChar w:fldCharType="begin"/>
      </w:r>
      <w:r w:rsidRPr="00980256">
        <w:rPr>
          <w:noProof/>
          <w:color w:val="auto"/>
          <w:sz w:val="22"/>
          <w:szCs w:val="22"/>
        </w:rPr>
        <w:instrText xml:space="preserve"> SEQ Figure \* ARABIC </w:instrText>
      </w:r>
      <w:r w:rsidRPr="00980256">
        <w:rPr>
          <w:noProof/>
          <w:color w:val="auto"/>
          <w:sz w:val="22"/>
          <w:szCs w:val="22"/>
        </w:rPr>
        <w:fldChar w:fldCharType="separate"/>
      </w:r>
      <w:r w:rsidR="0055391F">
        <w:rPr>
          <w:noProof/>
          <w:color w:val="auto"/>
          <w:sz w:val="22"/>
          <w:szCs w:val="22"/>
        </w:rPr>
        <w:t>3</w:t>
      </w:r>
      <w:r w:rsidRPr="00980256">
        <w:rPr>
          <w:noProof/>
          <w:color w:val="auto"/>
          <w:sz w:val="22"/>
          <w:szCs w:val="22"/>
        </w:rPr>
        <w:fldChar w:fldCharType="end"/>
      </w:r>
      <w:bookmarkEnd w:id="32"/>
      <w:r w:rsidRPr="00980256">
        <w:rPr>
          <w:noProof/>
          <w:color w:val="auto"/>
          <w:sz w:val="22"/>
          <w:szCs w:val="22"/>
        </w:rPr>
        <w:t>: The online ticketing landscape</w:t>
      </w:r>
      <w:r w:rsidR="00E522BA">
        <w:rPr>
          <w:rStyle w:val="FootnoteReference"/>
          <w:noProof/>
          <w:color w:val="auto"/>
          <w:sz w:val="22"/>
          <w:szCs w:val="22"/>
        </w:rPr>
        <w:footnoteReference w:id="52"/>
      </w:r>
    </w:p>
    <w:p w14:paraId="62D1B899" w14:textId="151D651D" w:rsidR="00692FA0" w:rsidRDefault="00814425" w:rsidP="00692FA0">
      <w:pPr>
        <w:keepNext/>
        <w:spacing w:after="240"/>
        <w:jc w:val="both"/>
        <w:rPr>
          <w:noProof/>
        </w:rPr>
      </w:pPr>
      <w:r>
        <w:rPr>
          <w:noProof/>
          <w:lang w:val="en-GB" w:eastAsia="en-GB"/>
        </w:rPr>
        <w:drawing>
          <wp:inline distT="0" distB="0" distL="0" distR="0" wp14:anchorId="0DC37450" wp14:editId="299C7CCE">
            <wp:extent cx="6121001" cy="2455391"/>
            <wp:effectExtent l="0" t="0" r="0" b="2540"/>
            <wp:docPr id="12859268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61673" cy="2471706"/>
                    </a:xfrm>
                    <a:prstGeom prst="rect">
                      <a:avLst/>
                    </a:prstGeom>
                    <a:noFill/>
                  </pic:spPr>
                </pic:pic>
              </a:graphicData>
            </a:graphic>
          </wp:inline>
        </w:drawing>
      </w:r>
    </w:p>
    <w:p w14:paraId="107C121A" w14:textId="62380519" w:rsidR="00EF5BCE" w:rsidRPr="00DC05B6" w:rsidRDefault="005E7E7D" w:rsidP="00683CB0">
      <w:pPr>
        <w:spacing w:after="240"/>
        <w:jc w:val="both"/>
        <w:rPr>
          <w:noProof/>
          <w:spacing w:val="-8"/>
        </w:rPr>
      </w:pPr>
      <w:r w:rsidRPr="00E737C3">
        <w:rPr>
          <w:noProof/>
          <w:spacing w:val="-8"/>
        </w:rPr>
        <w:t xml:space="preserve">This </w:t>
      </w:r>
      <w:r w:rsidR="00BD1C85" w:rsidRPr="00E737C3">
        <w:rPr>
          <w:noProof/>
          <w:spacing w:val="-8"/>
        </w:rPr>
        <w:t>diversification</w:t>
      </w:r>
      <w:r w:rsidRPr="00E737C3">
        <w:rPr>
          <w:noProof/>
          <w:spacing w:val="-8"/>
        </w:rPr>
        <w:t xml:space="preserve"> creates opportunities to offer better and more tailored services to consumers but also raises issues when a level playing field between all actors is not ensured. The evaluation of the CRS Code of Conduct found that the rise of indirect distribution channels, such as N</w:t>
      </w:r>
      <w:r w:rsidR="65E1A7EF" w:rsidRPr="00E737C3">
        <w:rPr>
          <w:noProof/>
          <w:spacing w:val="-8"/>
        </w:rPr>
        <w:t>ew Content Aggregators (</w:t>
      </w:r>
      <w:r w:rsidRPr="00E737C3">
        <w:rPr>
          <w:noProof/>
          <w:spacing w:val="-8"/>
        </w:rPr>
        <w:t>NCAs</w:t>
      </w:r>
      <w:r w:rsidR="006E5D85" w:rsidRPr="00E737C3">
        <w:rPr>
          <w:noProof/>
          <w:spacing w:val="-8"/>
        </w:rPr>
        <w:t>)</w:t>
      </w:r>
      <w:r w:rsidRPr="00E737C3">
        <w:rPr>
          <w:noProof/>
          <w:spacing w:val="-8"/>
        </w:rPr>
        <w:t xml:space="preserve"> that offer similar services as CRSs to travel agents, but without being subject to similar rules, presents a risk of distortion of competition between B2B MDMS platforms</w:t>
      </w:r>
      <w:r w:rsidR="151FBF02" w:rsidRPr="00D24F01">
        <w:rPr>
          <w:noProof/>
          <w:spacing w:val="-8"/>
        </w:rPr>
        <w:t>. In addition, the platform market has significantly changed and diversified over-time, with a wide range of</w:t>
      </w:r>
      <w:r w:rsidR="49B8AC22" w:rsidRPr="00D24F01">
        <w:rPr>
          <w:noProof/>
          <w:spacing w:val="-8"/>
        </w:rPr>
        <w:t xml:space="preserve"> new type of</w:t>
      </w:r>
      <w:r w:rsidR="151FBF02" w:rsidRPr="00D24F01">
        <w:rPr>
          <w:noProof/>
          <w:spacing w:val="-8"/>
        </w:rPr>
        <w:t xml:space="preserve"> B2C platforms</w:t>
      </w:r>
      <w:r w:rsidR="056D310A" w:rsidRPr="00D24F01">
        <w:rPr>
          <w:noProof/>
          <w:spacing w:val="-8"/>
        </w:rPr>
        <w:t xml:space="preserve"> (see Figure</w:t>
      </w:r>
      <w:r w:rsidR="4FEB429C" w:rsidRPr="00DC05B6">
        <w:rPr>
          <w:noProof/>
          <w:spacing w:val="-8"/>
        </w:rPr>
        <w:t xml:space="preserve"> above</w:t>
      </w:r>
      <w:r w:rsidR="056D310A" w:rsidRPr="00D24F01">
        <w:rPr>
          <w:noProof/>
          <w:spacing w:val="-8"/>
        </w:rPr>
        <w:t>)</w:t>
      </w:r>
      <w:r w:rsidR="151FBF02" w:rsidRPr="00D24F01">
        <w:rPr>
          <w:noProof/>
          <w:spacing w:val="-8"/>
        </w:rPr>
        <w:t xml:space="preserve"> </w:t>
      </w:r>
      <w:r w:rsidR="6EFD6942" w:rsidRPr="00D24F01">
        <w:rPr>
          <w:noProof/>
          <w:spacing w:val="-8"/>
        </w:rPr>
        <w:t xml:space="preserve">that currently </w:t>
      </w:r>
      <w:r w:rsidRPr="00E737C3">
        <w:rPr>
          <w:noProof/>
          <w:spacing w:val="-8"/>
        </w:rPr>
        <w:t>do not have to comply with neutral display requirements nor fair treatment of transport operators. These market developments, combined with the blurring boundaries between B2B and B2C distribution, drive the need to (i) update the relevant provisions of the CRS Code of Conduct, and (ii) extend them to alternative business models</w:t>
      </w:r>
      <w:r w:rsidR="00984E95" w:rsidRPr="00E737C3">
        <w:rPr>
          <w:noProof/>
          <w:spacing w:val="-8"/>
        </w:rPr>
        <w:t xml:space="preserve"> in all modes</w:t>
      </w:r>
      <w:r w:rsidRPr="00E737C3">
        <w:rPr>
          <w:noProof/>
          <w:spacing w:val="-8"/>
        </w:rPr>
        <w:t xml:space="preserve">. </w:t>
      </w:r>
    </w:p>
    <w:p w14:paraId="61D070A1" w14:textId="0F7B63E2" w:rsidR="00683CB0" w:rsidRPr="00E737C3" w:rsidDel="00643E39" w:rsidRDefault="00683CB0" w:rsidP="6EBF5AC8">
      <w:pPr>
        <w:spacing w:after="240" w:line="259" w:lineRule="auto"/>
        <w:jc w:val="both"/>
        <w:rPr>
          <w:noProof/>
        </w:rPr>
      </w:pPr>
      <w:r w:rsidRPr="00E737C3">
        <w:rPr>
          <w:noProof/>
          <w:spacing w:val="-8"/>
        </w:rPr>
        <w:t xml:space="preserve">In the interviews </w:t>
      </w:r>
      <w:r w:rsidR="0091338C">
        <w:rPr>
          <w:noProof/>
        </w:rPr>
        <w:t xml:space="preserve">and targeted survey </w:t>
      </w:r>
      <w:r w:rsidRPr="00E737C3">
        <w:rPr>
          <w:noProof/>
          <w:spacing w:val="-8"/>
        </w:rPr>
        <w:t>conducted in</w:t>
      </w:r>
      <w:r w:rsidR="00BD0E10">
        <w:rPr>
          <w:noProof/>
        </w:rPr>
        <w:t xml:space="preserve"> 2025</w:t>
      </w:r>
      <w:r>
        <w:rPr>
          <w:noProof/>
        </w:rPr>
        <w:t xml:space="preserve"> in</w:t>
      </w:r>
      <w:r w:rsidRPr="00E737C3">
        <w:rPr>
          <w:noProof/>
          <w:spacing w:val="-8"/>
        </w:rPr>
        <w:t xml:space="preserve"> the context of the impact assessment support study,</w:t>
      </w:r>
      <w:r w:rsidRPr="00E737C3">
        <w:rPr>
          <w:noProof/>
          <w:color w:val="242828"/>
          <w:spacing w:val="-8"/>
          <w:shd w:val="clear" w:color="auto" w:fill="FFFFFF"/>
        </w:rPr>
        <w:t xml:space="preserve"> o</w:t>
      </w:r>
      <w:r w:rsidRPr="00E737C3">
        <w:rPr>
          <w:noProof/>
          <w:spacing w:val="-8"/>
        </w:rPr>
        <w:t>ne MDMS, four airlines / airline associations including A4E, one region and three CRS providers raised concerns about uneven regulatory treatment of B2B air ticket intermediation services and its potential risks of distortion of competition</w:t>
      </w:r>
      <w:r w:rsidR="009E1FFB" w:rsidRPr="00E737C3">
        <w:rPr>
          <w:noProof/>
          <w:spacing w:val="-8"/>
        </w:rPr>
        <w:t xml:space="preserve">. </w:t>
      </w:r>
      <w:r w:rsidRPr="00E737C3">
        <w:rPr>
          <w:noProof/>
          <w:spacing w:val="-8"/>
        </w:rPr>
        <w:t>Six airlines and the three</w:t>
      </w:r>
      <w:r w:rsidRPr="00E737C3" w:rsidDel="00075853">
        <w:rPr>
          <w:noProof/>
          <w:spacing w:val="-8"/>
        </w:rPr>
        <w:t xml:space="preserve"> </w:t>
      </w:r>
      <w:r w:rsidRPr="00E737C3">
        <w:rPr>
          <w:noProof/>
          <w:spacing w:val="-8"/>
        </w:rPr>
        <w:t>CRSs, indicated that, while the Code is still relevant for traditional CRSs, it no longer reflects current market realities, including the growing role of other MDMS platforms</w:t>
      </w:r>
      <w:r w:rsidR="6495844E" w:rsidRPr="00DC05B6">
        <w:rPr>
          <w:noProof/>
          <w:spacing w:val="-8"/>
        </w:rPr>
        <w:t xml:space="preserve"> (</w:t>
      </w:r>
      <w:r w:rsidR="467CBA38" w:rsidRPr="00DC05B6">
        <w:rPr>
          <w:noProof/>
          <w:spacing w:val="-8"/>
        </w:rPr>
        <w:t xml:space="preserve">where </w:t>
      </w:r>
      <w:r w:rsidR="664C251D" w:rsidRPr="00DC05B6">
        <w:rPr>
          <w:noProof/>
          <w:spacing w:val="-8"/>
        </w:rPr>
        <w:t xml:space="preserve">transport tickets </w:t>
      </w:r>
      <w:r w:rsidR="1FCD988E" w:rsidRPr="00DC05B6">
        <w:rPr>
          <w:noProof/>
          <w:spacing w:val="-8"/>
        </w:rPr>
        <w:t>can be booked directly or via a re-linking feature</w:t>
      </w:r>
      <w:r w:rsidR="6495844E" w:rsidRPr="00DC05B6">
        <w:rPr>
          <w:noProof/>
          <w:spacing w:val="-8"/>
        </w:rPr>
        <w:t>)</w:t>
      </w:r>
      <w:r w:rsidR="77420E11" w:rsidRPr="00E737C3">
        <w:rPr>
          <w:noProof/>
          <w:spacing w:val="-8"/>
        </w:rPr>
        <w:t xml:space="preserve">, not subject </w:t>
      </w:r>
      <w:r w:rsidR="01BB059D" w:rsidRPr="00E737C3">
        <w:rPr>
          <w:noProof/>
          <w:spacing w:val="-8"/>
        </w:rPr>
        <w:t xml:space="preserve">to </w:t>
      </w:r>
      <w:r w:rsidR="77420E11" w:rsidRPr="00E737C3">
        <w:rPr>
          <w:noProof/>
          <w:spacing w:val="-8"/>
        </w:rPr>
        <w:t>neutral display rules</w:t>
      </w:r>
      <w:r w:rsidRPr="00E737C3">
        <w:rPr>
          <w:rStyle w:val="FootnoteReference"/>
          <w:noProof/>
          <w:spacing w:val="-8"/>
        </w:rPr>
        <w:footnoteReference w:id="53"/>
      </w:r>
      <w:r w:rsidR="071A6819">
        <w:rPr>
          <w:noProof/>
          <w:spacing w:val="-8"/>
        </w:rPr>
        <w:t>.</w:t>
      </w:r>
      <w:r w:rsidR="003A5CE0" w:rsidRPr="00E737C3">
        <w:rPr>
          <w:noProof/>
          <w:spacing w:val="-8"/>
        </w:rPr>
        <w:t xml:space="preserve"> </w:t>
      </w:r>
      <w:r w:rsidRPr="00E737C3">
        <w:rPr>
          <w:noProof/>
          <w:spacing w:val="-8"/>
        </w:rPr>
        <w:t>Across all stakeholder groups, 36 of 74 respondents to the targeted survey agreed with the problem as stated</w:t>
      </w:r>
      <w:r w:rsidR="00E84E26">
        <w:rPr>
          <w:rStyle w:val="FootnoteReference"/>
          <w:noProof/>
          <w:spacing w:val="-8"/>
        </w:rPr>
        <w:footnoteReference w:id="54"/>
      </w:r>
      <w:r w:rsidRPr="00E737C3">
        <w:rPr>
          <w:noProof/>
          <w:spacing w:val="-8"/>
        </w:rPr>
        <w:t xml:space="preserve">, whereas 7 disagreed. The remaining 31 neither agreed nor disagreed (7) or did not know (24). Among MDMS platforms, 13 of 19 respondents agreed (6 </w:t>
      </w:r>
      <w:r w:rsidR="0062468B">
        <w:rPr>
          <w:noProof/>
        </w:rPr>
        <w:t>Online Travel Agents (</w:t>
      </w:r>
      <w:r w:rsidRPr="00E737C3">
        <w:rPr>
          <w:noProof/>
          <w:spacing w:val="-8"/>
        </w:rPr>
        <w:t>OTAs</w:t>
      </w:r>
      <w:r w:rsidR="0062468B">
        <w:rPr>
          <w:noProof/>
        </w:rPr>
        <w:t>)</w:t>
      </w:r>
      <w:r w:rsidRPr="00E737C3">
        <w:rPr>
          <w:noProof/>
          <w:spacing w:val="-8"/>
        </w:rPr>
        <w:t xml:space="preserve">, 2 CRSs, 2 NCAs and others MDMS providers), while 4 disagreed (2 OTAs, 1 rail platform and 1 </w:t>
      </w:r>
      <w:r w:rsidR="00571A53">
        <w:rPr>
          <w:noProof/>
        </w:rPr>
        <w:t>Meta search engine (</w:t>
      </w:r>
      <w:r w:rsidRPr="00E737C3">
        <w:rPr>
          <w:noProof/>
          <w:spacing w:val="-8"/>
        </w:rPr>
        <w:t>MSE</w:t>
      </w:r>
      <w:r w:rsidR="00571A53">
        <w:rPr>
          <w:noProof/>
        </w:rPr>
        <w:t>)</w:t>
      </w:r>
      <w:r w:rsidRPr="00E737C3">
        <w:rPr>
          <w:noProof/>
          <w:spacing w:val="-8"/>
        </w:rPr>
        <w:t>) and 4 did not know (rail platforms).</w:t>
      </w:r>
      <w:r w:rsidRPr="00E737C3">
        <w:rPr>
          <w:noProof/>
          <w:color w:val="242828"/>
          <w:spacing w:val="-8"/>
          <w:shd w:val="clear" w:color="auto" w:fill="FFFFFF"/>
        </w:rPr>
        <w:t xml:space="preserve"> </w:t>
      </w:r>
      <w:r w:rsidRPr="00E737C3">
        <w:rPr>
          <w:noProof/>
          <w:spacing w:val="-8"/>
        </w:rPr>
        <w:t xml:space="preserve">CRS providers agreed, stressing that </w:t>
      </w:r>
      <w:r w:rsidR="00037EB1" w:rsidRPr="00E737C3">
        <w:rPr>
          <w:noProof/>
          <w:spacing w:val="-8"/>
        </w:rPr>
        <w:t xml:space="preserve">they </w:t>
      </w:r>
      <w:r w:rsidRPr="00E737C3">
        <w:rPr>
          <w:noProof/>
          <w:spacing w:val="-8"/>
        </w:rPr>
        <w:t>face stricter rules despite handling a declining share of ticket sales, while views among NCAs were mixed</w:t>
      </w:r>
      <w:r w:rsidRPr="00E737C3">
        <w:rPr>
          <w:rStyle w:val="FootnoteReference"/>
          <w:noProof/>
          <w:spacing w:val="-8"/>
        </w:rPr>
        <w:footnoteReference w:id="55"/>
      </w:r>
      <w:r w:rsidRPr="00E737C3">
        <w:rPr>
          <w:noProof/>
          <w:spacing w:val="-8"/>
        </w:rPr>
        <w:t>. Among transport operators, 11 of 31 agreed, while three partially disagreed. Four airlines, including airline associations, called for an update of the Code of Conduct, noting that it predates the rise of NCAs and airline websites</w:t>
      </w:r>
      <w:r w:rsidR="004F1087" w:rsidRPr="00E737C3">
        <w:rPr>
          <w:noProof/>
          <w:spacing w:val="-8"/>
        </w:rPr>
        <w:t xml:space="preserve"> and highlighting that OTAs, MSEs and other MDMS platforms playing a role in distribution are not subject to comparable rules</w:t>
      </w:r>
      <w:r w:rsidR="00DF40F6" w:rsidRPr="00E737C3">
        <w:rPr>
          <w:noProof/>
          <w:spacing w:val="-8"/>
        </w:rPr>
        <w:t>.</w:t>
      </w:r>
      <w:r w:rsidR="004F1087" w:rsidRPr="00E737C3">
        <w:rPr>
          <w:noProof/>
          <w:spacing w:val="-8"/>
        </w:rPr>
        <w:t xml:space="preserve"> </w:t>
      </w:r>
      <w:r w:rsidR="00DF40F6" w:rsidRPr="00E737C3">
        <w:rPr>
          <w:noProof/>
          <w:spacing w:val="-8"/>
        </w:rPr>
        <w:t>O</w:t>
      </w:r>
      <w:r w:rsidR="004F1087" w:rsidRPr="00E737C3">
        <w:rPr>
          <w:noProof/>
          <w:spacing w:val="-8"/>
        </w:rPr>
        <w:t xml:space="preserve">ne operator suggested extending core principles </w:t>
      </w:r>
      <w:r w:rsidR="00AC7D8A" w:rsidRPr="00E737C3">
        <w:rPr>
          <w:noProof/>
          <w:spacing w:val="-8"/>
        </w:rPr>
        <w:t>–</w:t>
      </w:r>
      <w:r w:rsidR="004F1087" w:rsidRPr="00E737C3">
        <w:rPr>
          <w:noProof/>
          <w:spacing w:val="-8"/>
        </w:rPr>
        <w:t xml:space="preserve"> transparency, equal access and fairness </w:t>
      </w:r>
      <w:r w:rsidR="00AC7D8A" w:rsidRPr="00E737C3">
        <w:rPr>
          <w:noProof/>
          <w:spacing w:val="-8"/>
        </w:rPr>
        <w:t>–</w:t>
      </w:r>
      <w:r w:rsidR="004F1087" w:rsidRPr="00E737C3">
        <w:rPr>
          <w:noProof/>
          <w:spacing w:val="-8"/>
        </w:rPr>
        <w:t xml:space="preserve"> to all MDMS platforms.</w:t>
      </w:r>
      <w:r w:rsidRPr="00E737C3">
        <w:rPr>
          <w:noProof/>
          <w:spacing w:val="-8"/>
        </w:rPr>
        <w:t xml:space="preserve"> Among national authorities, 6 of 13 agreed, 1 disagreed, and 6 were neutral or did not know. </w:t>
      </w:r>
      <w:r w:rsidR="000E1329">
        <w:rPr>
          <w:noProof/>
        </w:rPr>
        <w:t>Other</w:t>
      </w:r>
      <w:r w:rsidDel="00404F61">
        <w:rPr>
          <w:noProof/>
        </w:rPr>
        <w:t xml:space="preserve"> </w:t>
      </w:r>
      <w:r w:rsidR="005565D1">
        <w:rPr>
          <w:noProof/>
        </w:rPr>
        <w:t xml:space="preserve">responding </w:t>
      </w:r>
      <w:r w:rsidR="00404F61">
        <w:rPr>
          <w:noProof/>
        </w:rPr>
        <w:t xml:space="preserve">stakeholders </w:t>
      </w:r>
      <w:r w:rsidRPr="00E737C3">
        <w:rPr>
          <w:noProof/>
          <w:spacing w:val="-8"/>
        </w:rPr>
        <w:t>mostly agreed with the problem</w:t>
      </w:r>
      <w:r w:rsidR="00F7755B" w:rsidRPr="00E737C3">
        <w:rPr>
          <w:noProof/>
          <w:spacing w:val="-8"/>
        </w:rPr>
        <w:t xml:space="preserve"> and A4E </w:t>
      </w:r>
      <w:r w:rsidR="00135A96">
        <w:rPr>
          <w:noProof/>
        </w:rPr>
        <w:t xml:space="preserve">found that the </w:t>
      </w:r>
      <w:r w:rsidR="002B011B" w:rsidRPr="00E737C3">
        <w:rPr>
          <w:noProof/>
          <w:spacing w:val="-8"/>
        </w:rPr>
        <w:t xml:space="preserve">regulation should </w:t>
      </w:r>
      <w:r w:rsidR="00F7755B" w:rsidRPr="00E737C3">
        <w:rPr>
          <w:noProof/>
          <w:spacing w:val="-8"/>
        </w:rPr>
        <w:t>reflect technological developments and ensure transparent, unbiased consumer access across all transport modes</w:t>
      </w:r>
      <w:r w:rsidRPr="00E737C3">
        <w:rPr>
          <w:noProof/>
          <w:spacing w:val="-8"/>
        </w:rPr>
        <w:t>.</w:t>
      </w:r>
    </w:p>
    <w:p w14:paraId="5E3D7752" w14:textId="3BB1F8CC" w:rsidR="00683CB0" w:rsidRPr="00E737C3" w:rsidDel="00643E39" w:rsidRDefault="00683CB0" w:rsidP="00683CB0">
      <w:pPr>
        <w:pBdr>
          <w:top w:val="single" w:sz="4" w:space="1" w:color="auto"/>
          <w:left w:val="single" w:sz="4" w:space="4" w:color="auto"/>
          <w:bottom w:val="single" w:sz="4" w:space="1" w:color="auto"/>
          <w:right w:val="single" w:sz="4" w:space="4" w:color="auto"/>
        </w:pBdr>
        <w:spacing w:after="240"/>
        <w:jc w:val="both"/>
        <w:rPr>
          <w:noProof/>
          <w:spacing w:val="-8"/>
        </w:rPr>
      </w:pPr>
      <w:r w:rsidRPr="00E737C3">
        <w:rPr>
          <w:noProof/>
          <w:spacing w:val="-8"/>
        </w:rPr>
        <w:t>“</w:t>
      </w:r>
      <w:r w:rsidRPr="00E737C3">
        <w:rPr>
          <w:i/>
          <w:iCs/>
          <w:noProof/>
          <w:spacing w:val="-8"/>
        </w:rPr>
        <w:t>The Code of Conduct for Computer Reservation Systems (CRS)</w:t>
      </w:r>
      <w:r w:rsidR="00200756" w:rsidRPr="00E737C3">
        <w:rPr>
          <w:i/>
          <w:iCs/>
          <w:noProof/>
          <w:spacing w:val="-8"/>
        </w:rPr>
        <w:t xml:space="preserve"> </w:t>
      </w:r>
      <w:r w:rsidRPr="00E737C3">
        <w:rPr>
          <w:i/>
          <w:iCs/>
          <w:noProof/>
          <w:spacing w:val="-8"/>
        </w:rPr>
        <w:t>contributes to a distorted and outdated airline distribution system. This code mandates how air content (e.g., prices, schedules) must be displayed, but it only applies to regulated CRS platforms, not to many newer B2B and B2C digital solutions. As a result, significant portions of the distribution landscape operate outside its scope, leading to inconsistencies and reduced flexibility for airlines, particularly in Europe</w:t>
      </w:r>
      <w:r w:rsidRPr="00E737C3">
        <w:rPr>
          <w:noProof/>
          <w:spacing w:val="-8"/>
        </w:rPr>
        <w:t xml:space="preserve">.” </w:t>
      </w:r>
      <w:r w:rsidR="4C836A59" w:rsidRPr="00E737C3">
        <w:rPr>
          <w:noProof/>
          <w:spacing w:val="-8"/>
        </w:rPr>
        <w:t xml:space="preserve">a </w:t>
      </w:r>
      <w:r w:rsidR="007A5AA1" w:rsidRPr="00E737C3">
        <w:rPr>
          <w:noProof/>
          <w:spacing w:val="-8"/>
        </w:rPr>
        <w:t>B2B MDMS</w:t>
      </w:r>
      <w:r w:rsidR="000C2078" w:rsidRPr="00E737C3">
        <w:rPr>
          <w:noProof/>
          <w:spacing w:val="-8"/>
        </w:rPr>
        <w:t xml:space="preserve"> in an interview</w:t>
      </w:r>
    </w:p>
    <w:p w14:paraId="44554579" w14:textId="5DE6213D" w:rsidR="008B7FDC" w:rsidRPr="0075374E" w:rsidRDefault="00BB0492" w:rsidP="00544F43">
      <w:pPr>
        <w:spacing w:after="240"/>
        <w:jc w:val="both"/>
        <w:rPr>
          <w:noProof/>
          <w:spacing w:val="-8"/>
        </w:rPr>
      </w:pPr>
      <w:r w:rsidRPr="00E737C3">
        <w:rPr>
          <w:bCs/>
          <w:noProof/>
          <w:spacing w:val="-8"/>
        </w:rPr>
        <w:t xml:space="preserve">Indeed, </w:t>
      </w:r>
      <w:r w:rsidR="005949FE" w:rsidRPr="00E737C3">
        <w:rPr>
          <w:bCs/>
          <w:noProof/>
          <w:spacing w:val="-8"/>
        </w:rPr>
        <w:t>MDMS platforms may design search algorithms to prioritise certain transport services and relegat</w:t>
      </w:r>
      <w:r w:rsidR="00F64F05" w:rsidRPr="00E737C3">
        <w:rPr>
          <w:bCs/>
          <w:noProof/>
          <w:spacing w:val="-8"/>
        </w:rPr>
        <w:t>e</w:t>
      </w:r>
      <w:r w:rsidR="005949FE" w:rsidRPr="00E737C3">
        <w:rPr>
          <w:bCs/>
          <w:noProof/>
          <w:spacing w:val="-8"/>
        </w:rPr>
        <w:t xml:space="preserve"> competing services to less visible positions, display journey times or prices in a way that makes some services appear more attractive or exclude travel options to promote services </w:t>
      </w:r>
      <w:r w:rsidR="3CC67E07" w:rsidRPr="00E737C3">
        <w:rPr>
          <w:noProof/>
          <w:spacing w:val="-8"/>
        </w:rPr>
        <w:t xml:space="preserve">for which </w:t>
      </w:r>
      <w:r w:rsidR="00BB1FCD" w:rsidRPr="00E737C3">
        <w:rPr>
          <w:bCs/>
          <w:noProof/>
          <w:spacing w:val="-8"/>
        </w:rPr>
        <w:t>they receive</w:t>
      </w:r>
      <w:r w:rsidR="00E4550C" w:rsidRPr="00E737C3">
        <w:rPr>
          <w:bCs/>
          <w:noProof/>
          <w:spacing w:val="-8"/>
        </w:rPr>
        <w:t xml:space="preserve"> </w:t>
      </w:r>
      <w:r w:rsidR="00EC2932" w:rsidRPr="00E737C3">
        <w:rPr>
          <w:bCs/>
          <w:noProof/>
          <w:spacing w:val="-8"/>
        </w:rPr>
        <w:t>financial incentives</w:t>
      </w:r>
      <w:r w:rsidR="002E03EF" w:rsidRPr="00E737C3">
        <w:rPr>
          <w:bCs/>
          <w:noProof/>
          <w:spacing w:val="-8"/>
        </w:rPr>
        <w:t>,</w:t>
      </w:r>
      <w:r w:rsidR="00BB1FCD" w:rsidRPr="00E737C3">
        <w:rPr>
          <w:bCs/>
          <w:noProof/>
          <w:spacing w:val="-8"/>
        </w:rPr>
        <w:t xml:space="preserve"> </w:t>
      </w:r>
      <w:r w:rsidR="00C50F53" w:rsidRPr="00E737C3">
        <w:rPr>
          <w:bCs/>
          <w:noProof/>
          <w:spacing w:val="-8"/>
        </w:rPr>
        <w:t xml:space="preserve">or which are </w:t>
      </w:r>
      <w:r w:rsidR="00E74790" w:rsidRPr="00E737C3">
        <w:rPr>
          <w:bCs/>
          <w:noProof/>
          <w:spacing w:val="-8"/>
        </w:rPr>
        <w:t xml:space="preserve">sold </w:t>
      </w:r>
      <w:r w:rsidR="005949FE" w:rsidRPr="00E737C3">
        <w:rPr>
          <w:bCs/>
          <w:noProof/>
          <w:spacing w:val="-8"/>
        </w:rPr>
        <w:t xml:space="preserve">by their parent company. </w:t>
      </w:r>
      <w:r w:rsidR="00544F43" w:rsidRPr="00E737C3">
        <w:rPr>
          <w:bCs/>
          <w:noProof/>
          <w:spacing w:val="-8"/>
        </w:rPr>
        <w:t>During an interview, an association of airlines expressed concern that OTAs and MSEs</w:t>
      </w:r>
      <w:r w:rsidR="39BDD29F" w:rsidRPr="0C663A8F">
        <w:rPr>
          <w:noProof/>
          <w:spacing w:val="-8"/>
        </w:rPr>
        <w:t xml:space="preserve"> (</w:t>
      </w:r>
      <w:r w:rsidR="53367461" w:rsidRPr="0C663A8F">
        <w:rPr>
          <w:noProof/>
          <w:spacing w:val="-8"/>
        </w:rPr>
        <w:t>whose business consist of displaying travel information and pric</w:t>
      </w:r>
      <w:r w:rsidR="712672B8" w:rsidRPr="0C663A8F">
        <w:rPr>
          <w:noProof/>
          <w:spacing w:val="-8"/>
        </w:rPr>
        <w:t xml:space="preserve">e of several transport operators </w:t>
      </w:r>
      <w:r w:rsidR="53367461" w:rsidRPr="0C663A8F">
        <w:rPr>
          <w:noProof/>
          <w:spacing w:val="-8"/>
        </w:rPr>
        <w:t xml:space="preserve">to </w:t>
      </w:r>
      <w:r w:rsidR="0AAE4988" w:rsidRPr="0C663A8F">
        <w:rPr>
          <w:noProof/>
          <w:spacing w:val="-8"/>
        </w:rPr>
        <w:t xml:space="preserve">end-users, </w:t>
      </w:r>
      <w:r w:rsidR="53367461" w:rsidRPr="0C663A8F">
        <w:rPr>
          <w:noProof/>
          <w:spacing w:val="-8"/>
        </w:rPr>
        <w:t xml:space="preserve">re-linking </w:t>
      </w:r>
      <w:r w:rsidR="23B685A6" w:rsidRPr="0C663A8F">
        <w:rPr>
          <w:noProof/>
          <w:spacing w:val="-8"/>
        </w:rPr>
        <w:t>them</w:t>
      </w:r>
      <w:r w:rsidR="53367461" w:rsidRPr="0C663A8F">
        <w:rPr>
          <w:noProof/>
          <w:spacing w:val="-8"/>
        </w:rPr>
        <w:t xml:space="preserve"> to</w:t>
      </w:r>
      <w:r w:rsidR="66C74B1D" w:rsidRPr="0C663A8F">
        <w:rPr>
          <w:noProof/>
          <w:spacing w:val="-8"/>
        </w:rPr>
        <w:t xml:space="preserve"> the websites where they would be able to book their journey</w:t>
      </w:r>
      <w:r w:rsidR="7A60BD80" w:rsidRPr="0C663A8F">
        <w:rPr>
          <w:noProof/>
          <w:spacing w:val="-8"/>
        </w:rPr>
        <w:t xml:space="preserve">) </w:t>
      </w:r>
      <w:r w:rsidR="00544F43" w:rsidRPr="00E737C3">
        <w:rPr>
          <w:bCs/>
          <w:noProof/>
          <w:spacing w:val="-8"/>
        </w:rPr>
        <w:t xml:space="preserve">tend to promote operators or products based on commercial interests rather than objective consumer value. </w:t>
      </w:r>
      <w:r w:rsidR="005949FE" w:rsidRPr="00E737C3">
        <w:rPr>
          <w:bCs/>
          <w:noProof/>
          <w:spacing w:val="-8"/>
        </w:rPr>
        <w:t xml:space="preserve">Similarly, MDMS platforms </w:t>
      </w:r>
      <w:r w:rsidR="61AF8006" w:rsidRPr="0C663A8F">
        <w:rPr>
          <w:noProof/>
          <w:spacing w:val="-8"/>
        </w:rPr>
        <w:t xml:space="preserve">(both OTAs and MSEs) </w:t>
      </w:r>
      <w:r w:rsidR="005949FE" w:rsidRPr="00E737C3">
        <w:rPr>
          <w:bCs/>
          <w:noProof/>
          <w:spacing w:val="-8"/>
        </w:rPr>
        <w:t>do not always display available information on GHG emissions, which would allow users to compare the environmental impact of their travel choice.</w:t>
      </w:r>
      <w:r w:rsidR="00C0313A" w:rsidRPr="00E737C3">
        <w:rPr>
          <w:bCs/>
          <w:noProof/>
          <w:spacing w:val="-8"/>
        </w:rPr>
        <w:t xml:space="preserve"> </w:t>
      </w:r>
    </w:p>
    <w:p w14:paraId="7D31E24D" w14:textId="356521B1" w:rsidR="00D10596" w:rsidRPr="00E737C3" w:rsidRDefault="00C0313A" w:rsidP="00544F43">
      <w:pPr>
        <w:spacing w:after="240"/>
        <w:jc w:val="both"/>
        <w:rPr>
          <w:bCs/>
          <w:noProof/>
          <w:spacing w:val="-8"/>
        </w:rPr>
      </w:pPr>
      <w:r w:rsidRPr="00E737C3">
        <w:rPr>
          <w:bCs/>
          <w:noProof/>
          <w:spacing w:val="-8"/>
        </w:rPr>
        <w:t xml:space="preserve">In the </w:t>
      </w:r>
      <w:r w:rsidR="00147398" w:rsidRPr="00E737C3">
        <w:rPr>
          <w:bCs/>
          <w:noProof/>
          <w:spacing w:val="-8"/>
        </w:rPr>
        <w:t>targeted</w:t>
      </w:r>
      <w:r w:rsidRPr="00E737C3">
        <w:rPr>
          <w:bCs/>
          <w:noProof/>
          <w:spacing w:val="-8"/>
        </w:rPr>
        <w:t xml:space="preserve"> survey, two medium-sized airline operators raised concerns about major OTAs selectively promoting certain operators or adding non-transparent fees, which misleads consumers and distorts competition. The European Regions Airline Association mentioned that regional airlines in particular struggle to compete fairly due to limited economies of scale and the </w:t>
      </w:r>
      <w:r w:rsidRPr="00E737C3">
        <w:rPr>
          <w:noProof/>
          <w:spacing w:val="-8"/>
        </w:rPr>
        <w:t>prioritisation of major carriers by gatekeeping platforms, reducing consumer choice especially for connectivity to peripheral areas in Europe.</w:t>
      </w:r>
      <w:r w:rsidRPr="00E737C3">
        <w:rPr>
          <w:bCs/>
          <w:noProof/>
          <w:spacing w:val="-8"/>
        </w:rPr>
        <w:t xml:space="preserve"> In this sense, eight stakeholders</w:t>
      </w:r>
      <w:r w:rsidRPr="00E737C3">
        <w:rPr>
          <w:rStyle w:val="FootnoteReference"/>
          <w:bCs/>
          <w:noProof/>
          <w:spacing w:val="-8"/>
        </w:rPr>
        <w:footnoteReference w:id="56"/>
      </w:r>
      <w:r w:rsidRPr="00E737C3">
        <w:rPr>
          <w:bCs/>
          <w:noProof/>
          <w:spacing w:val="-8"/>
        </w:rPr>
        <w:t xml:space="preserve"> called for stronger regulation to ensure neutral display obligations, prevent discrimination and mandate transparency in how content is presented on MDMS platforms.</w:t>
      </w:r>
      <w:r w:rsidR="008B7FDC" w:rsidRPr="00E737C3">
        <w:rPr>
          <w:bCs/>
          <w:noProof/>
          <w:spacing w:val="-8"/>
        </w:rPr>
        <w:t xml:space="preserve"> Conversely, MDMS platforms detailing their views in the survey pointed out to unfair practices from transport operators leading to distorted information on platforms. A</w:t>
      </w:r>
      <w:r w:rsidR="009724C7" w:rsidRPr="00E737C3">
        <w:rPr>
          <w:bCs/>
          <w:noProof/>
          <w:spacing w:val="-8"/>
        </w:rPr>
        <w:t>n</w:t>
      </w:r>
      <w:r w:rsidR="00695AA3" w:rsidRPr="00E737C3">
        <w:rPr>
          <w:bCs/>
          <w:noProof/>
          <w:spacing w:val="-8"/>
        </w:rPr>
        <w:t xml:space="preserve"> OTA stated that certain airlines “limit the comparability, availability and attractiveness of their services on indirect distribution channels”</w:t>
      </w:r>
      <w:r w:rsidR="00165EDB">
        <w:rPr>
          <w:bCs/>
          <w:noProof/>
          <w:spacing w:val="-8"/>
        </w:rPr>
        <w:t>,</w:t>
      </w:r>
      <w:r w:rsidR="00695AA3" w:rsidRPr="00E737C3">
        <w:rPr>
          <w:bCs/>
          <w:noProof/>
          <w:spacing w:val="-8"/>
        </w:rPr>
        <w:t xml:space="preserve"> which “harms consumer choice and competition.” Another OTA reported that “some operators restrict the information that can be shown on MDMS platforms creating barriers to providing accurate and comprehensive content"</w:t>
      </w:r>
      <w:r w:rsidR="0091615B">
        <w:rPr>
          <w:bCs/>
          <w:noProof/>
          <w:spacing w:val="-8"/>
        </w:rPr>
        <w:t>.</w:t>
      </w:r>
    </w:p>
    <w:p w14:paraId="11BDE63F" w14:textId="5ADB0BF8" w:rsidR="00F74FBE" w:rsidRPr="00E737C3" w:rsidRDefault="00D643D5" w:rsidP="00D2606D">
      <w:pPr>
        <w:pStyle w:val="BodyText"/>
        <w:pBdr>
          <w:top w:val="single" w:sz="4" w:space="1" w:color="auto"/>
          <w:left w:val="single" w:sz="4" w:space="4" w:color="auto"/>
          <w:bottom w:val="single" w:sz="4" w:space="1" w:color="auto"/>
          <w:right w:val="single" w:sz="4" w:space="4" w:color="auto"/>
        </w:pBdr>
        <w:ind w:left="0"/>
        <w:rPr>
          <w:bCs/>
          <w:noProof/>
          <w:spacing w:val="-8"/>
        </w:rPr>
      </w:pPr>
      <w:r w:rsidRPr="00E737C3">
        <w:rPr>
          <w:i/>
          <w:iCs/>
          <w:noProof/>
          <w:spacing w:val="-8"/>
        </w:rPr>
        <w:t>The Frankfurt am Main Higher Regional Court (Oberlandesgericht Frankfurt am Main) published a decision on 2 October 2023</w:t>
      </w:r>
      <w:r w:rsidRPr="00E737C3">
        <w:rPr>
          <w:rStyle w:val="FootnoteReference"/>
          <w:noProof/>
          <w:spacing w:val="-8"/>
        </w:rPr>
        <w:footnoteReference w:id="57"/>
      </w:r>
      <w:r w:rsidRPr="00E737C3">
        <w:rPr>
          <w:i/>
          <w:iCs/>
          <w:noProof/>
          <w:spacing w:val="-8"/>
        </w:rPr>
        <w:t xml:space="preserve"> prohibiting DB’s ticketing platform DB Navigator to offer a “show fastest connection” search filter. This filter was found to mislead consumers by not displaying all possible connections that were fast. The filter, preset by default, prioritised DB's own services even if alternative options existed that were faster but had different departure or arrival times. This algorithm thus deprived competitors of the opportunity to compete fairly and influenced consumer choices towards DB products. The court deemed this practice to be a form of anti-competitive behaviour, as it manipulated search results in DB’s favour. This competition case has been cited by three new entrant railway undertakings and one passenger organization during interviews, as a clear example of abuse of dominance of indispensable RU and the inability for new entrants to compete fairly. </w:t>
      </w:r>
    </w:p>
    <w:p w14:paraId="4C7C8F45" w14:textId="3A617966" w:rsidR="004F34B9" w:rsidRPr="00E737C3" w:rsidRDefault="005C4988" w:rsidP="006C4334">
      <w:pPr>
        <w:pStyle w:val="BodyText"/>
        <w:spacing w:before="240" w:after="240"/>
        <w:ind w:left="0"/>
        <w:rPr>
          <w:noProof/>
          <w:spacing w:val="-8"/>
        </w:rPr>
      </w:pPr>
      <w:r w:rsidRPr="00E737C3">
        <w:rPr>
          <w:noProof/>
          <w:spacing w:val="-8"/>
        </w:rPr>
        <w:t xml:space="preserve">Finally, </w:t>
      </w:r>
      <w:r w:rsidR="00A34828" w:rsidRPr="00E737C3">
        <w:rPr>
          <w:noProof/>
          <w:spacing w:val="-8"/>
        </w:rPr>
        <w:t xml:space="preserve">MDMS </w:t>
      </w:r>
      <w:r w:rsidR="004F34B9" w:rsidRPr="00E737C3">
        <w:rPr>
          <w:noProof/>
          <w:spacing w:val="-8"/>
        </w:rPr>
        <w:t>platforms</w:t>
      </w:r>
      <w:r w:rsidR="00875176" w:rsidRPr="00E737C3">
        <w:rPr>
          <w:noProof/>
          <w:spacing w:val="-8"/>
        </w:rPr>
        <w:t xml:space="preserve">, </w:t>
      </w:r>
      <w:r w:rsidR="00C97AA0" w:rsidRPr="00E737C3">
        <w:rPr>
          <w:noProof/>
          <w:spacing w:val="-8"/>
        </w:rPr>
        <w:t xml:space="preserve">can </w:t>
      </w:r>
      <w:r w:rsidR="00417E64" w:rsidRPr="00E737C3">
        <w:rPr>
          <w:noProof/>
          <w:spacing w:val="-8"/>
        </w:rPr>
        <w:t xml:space="preserve">have </w:t>
      </w:r>
      <w:r w:rsidR="005E1F1C" w:rsidRPr="00E737C3">
        <w:rPr>
          <w:noProof/>
          <w:spacing w:val="-8"/>
        </w:rPr>
        <w:t xml:space="preserve">such </w:t>
      </w:r>
      <w:r w:rsidR="001C419A" w:rsidRPr="00E737C3">
        <w:rPr>
          <w:noProof/>
          <w:spacing w:val="-8"/>
        </w:rPr>
        <w:t>Significant M</w:t>
      </w:r>
      <w:r w:rsidR="00417E64" w:rsidRPr="00E737C3">
        <w:rPr>
          <w:noProof/>
          <w:spacing w:val="-8"/>
        </w:rPr>
        <w:t xml:space="preserve">arket </w:t>
      </w:r>
      <w:r w:rsidR="001C419A" w:rsidRPr="00E737C3">
        <w:rPr>
          <w:noProof/>
          <w:spacing w:val="-8"/>
        </w:rPr>
        <w:t xml:space="preserve">Presence (SMP) </w:t>
      </w:r>
      <w:r w:rsidR="00AD7FC1" w:rsidRPr="00E737C3">
        <w:rPr>
          <w:noProof/>
          <w:spacing w:val="-8"/>
        </w:rPr>
        <w:t xml:space="preserve">or strategic position </w:t>
      </w:r>
      <w:r w:rsidR="00417E64" w:rsidRPr="00E737C3">
        <w:rPr>
          <w:noProof/>
          <w:spacing w:val="-8"/>
        </w:rPr>
        <w:t xml:space="preserve">that </w:t>
      </w:r>
      <w:r w:rsidR="00EE2906" w:rsidRPr="00E737C3">
        <w:rPr>
          <w:noProof/>
          <w:spacing w:val="-8"/>
        </w:rPr>
        <w:t xml:space="preserve">they </w:t>
      </w:r>
      <w:r w:rsidR="00C97AA0" w:rsidRPr="00E737C3">
        <w:rPr>
          <w:noProof/>
          <w:spacing w:val="-8"/>
        </w:rPr>
        <w:t xml:space="preserve">become </w:t>
      </w:r>
      <w:r w:rsidR="004F34B9" w:rsidRPr="00E737C3">
        <w:rPr>
          <w:noProof/>
          <w:spacing w:val="-8"/>
        </w:rPr>
        <w:t>essential gateways to consumers</w:t>
      </w:r>
      <w:r w:rsidR="00FA3772" w:rsidRPr="00E737C3">
        <w:rPr>
          <w:noProof/>
          <w:spacing w:val="-8"/>
        </w:rPr>
        <w:t>.</w:t>
      </w:r>
      <w:r w:rsidR="004F34B9" w:rsidRPr="00E737C3">
        <w:rPr>
          <w:noProof/>
          <w:spacing w:val="-8"/>
        </w:rPr>
        <w:t xml:space="preserve"> </w:t>
      </w:r>
      <w:r w:rsidR="00FA3772" w:rsidRPr="00E737C3">
        <w:rPr>
          <w:noProof/>
          <w:spacing w:val="-8"/>
        </w:rPr>
        <w:t>A</w:t>
      </w:r>
      <w:r w:rsidR="004F34B9" w:rsidRPr="00E737C3">
        <w:rPr>
          <w:noProof/>
          <w:spacing w:val="-8"/>
        </w:rPr>
        <w:t xml:space="preserve">ccess to </w:t>
      </w:r>
      <w:r w:rsidR="00400E61" w:rsidRPr="00E737C3">
        <w:rPr>
          <w:noProof/>
          <w:spacing w:val="-8"/>
        </w:rPr>
        <w:t xml:space="preserve">such </w:t>
      </w:r>
      <w:r w:rsidR="00FA3772" w:rsidRPr="00E737C3">
        <w:rPr>
          <w:noProof/>
          <w:spacing w:val="-8"/>
        </w:rPr>
        <w:t>p</w:t>
      </w:r>
      <w:r w:rsidR="00FD25BD" w:rsidRPr="00E737C3">
        <w:rPr>
          <w:noProof/>
          <w:spacing w:val="-8"/>
        </w:rPr>
        <w:t>latforms</w:t>
      </w:r>
      <w:r w:rsidR="004F34B9" w:rsidRPr="00E737C3">
        <w:rPr>
          <w:noProof/>
          <w:spacing w:val="-8"/>
        </w:rPr>
        <w:t xml:space="preserve"> is thus crucial for transport operators. </w:t>
      </w:r>
      <w:r w:rsidR="00CE77E2" w:rsidRPr="00E737C3">
        <w:rPr>
          <w:noProof/>
          <w:spacing w:val="-8"/>
        </w:rPr>
        <w:t>When two transport operators compete with similar services (e.g. connections between the same two airports / train stations) and one of them does not have</w:t>
      </w:r>
      <w:r w:rsidR="00F1271E" w:rsidRPr="00E737C3">
        <w:rPr>
          <w:noProof/>
          <w:spacing w:val="-8"/>
        </w:rPr>
        <w:t xml:space="preserve"> access </w:t>
      </w:r>
      <w:r w:rsidR="00CE77E2" w:rsidRPr="00E737C3">
        <w:rPr>
          <w:noProof/>
          <w:spacing w:val="-8"/>
        </w:rPr>
        <w:t xml:space="preserve">to the dominant platform for the distribution of such services, then </w:t>
      </w:r>
      <w:r w:rsidR="004951A9" w:rsidRPr="00E737C3">
        <w:rPr>
          <w:noProof/>
          <w:spacing w:val="-8"/>
        </w:rPr>
        <w:t>its</w:t>
      </w:r>
      <w:r w:rsidR="00CE77E2" w:rsidRPr="00E737C3">
        <w:rPr>
          <w:noProof/>
          <w:spacing w:val="-8"/>
        </w:rPr>
        <w:t xml:space="preserve"> access to the service market </w:t>
      </w:r>
      <w:r w:rsidR="00F1271E" w:rsidRPr="00E737C3">
        <w:rPr>
          <w:noProof/>
          <w:spacing w:val="-8"/>
        </w:rPr>
        <w:t>is</w:t>
      </w:r>
      <w:r w:rsidR="00E65582" w:rsidRPr="00E737C3">
        <w:rPr>
          <w:noProof/>
          <w:spacing w:val="-8"/>
        </w:rPr>
        <w:t xml:space="preserve"> </w:t>
      </w:r>
      <w:r w:rsidR="00CE77E2" w:rsidRPr="00E737C3">
        <w:rPr>
          <w:noProof/>
          <w:spacing w:val="-8"/>
        </w:rPr>
        <w:t xml:space="preserve">also </w:t>
      </w:r>
      <w:r w:rsidR="00F1271E" w:rsidRPr="00E737C3">
        <w:rPr>
          <w:noProof/>
          <w:spacing w:val="-8"/>
        </w:rPr>
        <w:t>restricted</w:t>
      </w:r>
      <w:r w:rsidR="00CE77E2" w:rsidRPr="00E737C3">
        <w:rPr>
          <w:noProof/>
          <w:spacing w:val="-8"/>
        </w:rPr>
        <w:t xml:space="preserve">. </w:t>
      </w:r>
      <w:r w:rsidR="004F34B9" w:rsidRPr="00E737C3">
        <w:rPr>
          <w:noProof/>
          <w:spacing w:val="-8"/>
        </w:rPr>
        <w:t>Transport operators, and in particular different sized air carriers, enjoy</w:t>
      </w:r>
      <w:r w:rsidR="004F34B9" w:rsidRPr="00E737C3" w:rsidDel="004243EB">
        <w:rPr>
          <w:noProof/>
          <w:spacing w:val="-8"/>
        </w:rPr>
        <w:t xml:space="preserve"> uneven </w:t>
      </w:r>
      <w:r w:rsidR="004F34B9" w:rsidRPr="00E737C3">
        <w:rPr>
          <w:noProof/>
          <w:spacing w:val="-8"/>
        </w:rPr>
        <w:t>access to and use of CRSs.</w:t>
      </w:r>
      <w:r w:rsidR="00B34BF7" w:rsidRPr="00E737C3">
        <w:rPr>
          <w:noProof/>
          <w:spacing w:val="-8"/>
        </w:rPr>
        <w:t xml:space="preserve"> </w:t>
      </w:r>
      <w:r w:rsidR="004F34B9" w:rsidRPr="00E737C3">
        <w:rPr>
          <w:noProof/>
          <w:spacing w:val="-8"/>
        </w:rPr>
        <w:t xml:space="preserve">Despite the decline in the share of total tickets sold in the EU air ticket market through CRSs </w:t>
      </w:r>
      <w:r w:rsidR="00D10E82" w:rsidRPr="00E737C3">
        <w:rPr>
          <w:noProof/>
          <w:spacing w:val="-8"/>
        </w:rPr>
        <w:t>- selling</w:t>
      </w:r>
      <w:r w:rsidR="004F34B9" w:rsidRPr="00E737C3">
        <w:rPr>
          <w:noProof/>
          <w:spacing w:val="-8"/>
        </w:rPr>
        <w:t xml:space="preserve"> approximately </w:t>
      </w:r>
      <w:r w:rsidR="00AA3BD7" w:rsidRPr="00E737C3">
        <w:rPr>
          <w:noProof/>
          <w:spacing w:val="-8"/>
        </w:rPr>
        <w:t>22</w:t>
      </w:r>
      <w:r w:rsidR="004F34B9" w:rsidRPr="00E737C3">
        <w:rPr>
          <w:noProof/>
          <w:spacing w:val="-8"/>
        </w:rPr>
        <w:t xml:space="preserve">% </w:t>
      </w:r>
      <w:r w:rsidR="00D10E82" w:rsidRPr="00E737C3">
        <w:rPr>
          <w:noProof/>
          <w:spacing w:val="-8"/>
        </w:rPr>
        <w:t>of those tickets</w:t>
      </w:r>
      <w:r w:rsidR="004F34B9" w:rsidRPr="00E737C3">
        <w:rPr>
          <w:noProof/>
          <w:spacing w:val="-8"/>
        </w:rPr>
        <w:t xml:space="preserve"> in 2024</w:t>
      </w:r>
      <w:r w:rsidR="004F34B9" w:rsidRPr="00E737C3">
        <w:rPr>
          <w:noProof/>
          <w:spacing w:val="-8"/>
          <w:vertAlign w:val="superscript"/>
        </w:rPr>
        <w:footnoteReference w:id="58"/>
      </w:r>
      <w:r w:rsidR="004F34B9" w:rsidRPr="00E737C3">
        <w:rPr>
          <w:noProof/>
          <w:spacing w:val="-8"/>
        </w:rPr>
        <w:t>, CRSs still hold a strategic position in the air ticket distribution market thanks to the symbiotic relationship between CRSs and traditional travel agents and dynamics such as single homing</w:t>
      </w:r>
      <w:r w:rsidR="004F34B9" w:rsidRPr="00E737C3">
        <w:rPr>
          <w:noProof/>
          <w:spacing w:val="-8"/>
          <w:vertAlign w:val="superscript"/>
        </w:rPr>
        <w:footnoteReference w:id="59"/>
      </w:r>
      <w:r w:rsidR="004F34B9" w:rsidRPr="00E737C3">
        <w:rPr>
          <w:noProof/>
          <w:spacing w:val="-8"/>
        </w:rPr>
        <w:t xml:space="preserve"> of travel agents. Partially compensating for the decline in market share from CRSs, sales through non-CRS </w:t>
      </w:r>
      <w:r w:rsidR="00D772C6" w:rsidRPr="00E737C3">
        <w:rPr>
          <w:noProof/>
          <w:spacing w:val="-8"/>
        </w:rPr>
        <w:t xml:space="preserve">B2B </w:t>
      </w:r>
      <w:r w:rsidR="004F34B9" w:rsidRPr="00E737C3">
        <w:rPr>
          <w:noProof/>
          <w:spacing w:val="-8"/>
        </w:rPr>
        <w:t xml:space="preserve">channels increased from </w:t>
      </w:r>
      <w:r w:rsidR="00987362">
        <w:rPr>
          <w:noProof/>
          <w:spacing w:val="-8"/>
        </w:rPr>
        <w:t>5</w:t>
      </w:r>
      <w:r w:rsidR="004F34B9" w:rsidRPr="00E737C3">
        <w:rPr>
          <w:noProof/>
          <w:spacing w:val="-8"/>
        </w:rPr>
        <w:t xml:space="preserve">% to 9% </w:t>
      </w:r>
      <w:r w:rsidR="004F34B9" w:rsidRPr="00E737C3" w:rsidDel="00117A3C">
        <w:rPr>
          <w:noProof/>
          <w:spacing w:val="-8"/>
        </w:rPr>
        <w:t>between 2019 and 2024</w:t>
      </w:r>
      <w:r w:rsidR="004F34B9" w:rsidRPr="00E737C3">
        <w:rPr>
          <w:noProof/>
          <w:spacing w:val="-8"/>
        </w:rPr>
        <w:t>. As a result, in 2024 B2B MDMS distribution remains relevant</w:t>
      </w:r>
      <w:r w:rsidR="00D772C6" w:rsidRPr="00E737C3">
        <w:rPr>
          <w:noProof/>
          <w:spacing w:val="-8"/>
        </w:rPr>
        <w:t xml:space="preserve"> at </w:t>
      </w:r>
      <w:r w:rsidR="004F34B9" w:rsidRPr="00E737C3">
        <w:rPr>
          <w:noProof/>
          <w:spacing w:val="-8"/>
        </w:rPr>
        <w:t xml:space="preserve">approximately </w:t>
      </w:r>
      <w:r w:rsidR="00B47778" w:rsidRPr="00E737C3">
        <w:rPr>
          <w:noProof/>
          <w:spacing w:val="-8"/>
        </w:rPr>
        <w:t>31</w:t>
      </w:r>
      <w:r w:rsidR="004F34B9" w:rsidRPr="00E737C3">
        <w:rPr>
          <w:noProof/>
          <w:spacing w:val="-8"/>
        </w:rPr>
        <w:t>% of the overall air tickets sold in the EU.</w:t>
      </w:r>
      <w:r w:rsidR="004F34B9" w:rsidRPr="00E737C3">
        <w:rPr>
          <w:b/>
          <w:noProof/>
          <w:spacing w:val="-8"/>
        </w:rPr>
        <w:t xml:space="preserve"> </w:t>
      </w:r>
      <w:r w:rsidR="004F34B9" w:rsidRPr="00E737C3">
        <w:rPr>
          <w:noProof/>
          <w:spacing w:val="-8"/>
        </w:rPr>
        <w:t>At the same time, 7</w:t>
      </w:r>
      <w:r w:rsidR="0038253A" w:rsidRPr="00E737C3">
        <w:rPr>
          <w:noProof/>
          <w:spacing w:val="-8"/>
        </w:rPr>
        <w:t>3</w:t>
      </w:r>
      <w:r w:rsidR="004F34B9" w:rsidRPr="00E737C3">
        <w:rPr>
          <w:noProof/>
          <w:spacing w:val="-8"/>
        </w:rPr>
        <w:t>% of all ticket selling channels are connected through a CRS</w:t>
      </w:r>
      <w:r w:rsidR="004F34B9" w:rsidRPr="00E737C3">
        <w:rPr>
          <w:noProof/>
          <w:spacing w:val="-8"/>
          <w:vertAlign w:val="superscript"/>
        </w:rPr>
        <w:footnoteReference w:id="60"/>
      </w:r>
      <w:r w:rsidR="004F34B9" w:rsidRPr="00E737C3">
        <w:rPr>
          <w:noProof/>
          <w:spacing w:val="-8"/>
        </w:rPr>
        <w:t>,</w:t>
      </w:r>
      <w:r w:rsidR="004F34B9" w:rsidRPr="00E737C3">
        <w:rPr>
          <w:b/>
          <w:noProof/>
          <w:spacing w:val="-8"/>
        </w:rPr>
        <w:t xml:space="preserve"> </w:t>
      </w:r>
      <w:r w:rsidR="004F34B9" w:rsidRPr="00E737C3">
        <w:rPr>
          <w:noProof/>
          <w:spacing w:val="-8"/>
        </w:rPr>
        <w:t>which</w:t>
      </w:r>
      <w:r w:rsidR="004F34B9" w:rsidRPr="00E737C3">
        <w:rPr>
          <w:b/>
          <w:noProof/>
          <w:spacing w:val="-8"/>
        </w:rPr>
        <w:t xml:space="preserve"> </w:t>
      </w:r>
      <w:r w:rsidR="004F34B9" w:rsidRPr="00E737C3">
        <w:rPr>
          <w:noProof/>
          <w:spacing w:val="-8"/>
        </w:rPr>
        <w:t xml:space="preserve">thus continue to </w:t>
      </w:r>
      <w:r w:rsidR="00DC7F61" w:rsidRPr="00E737C3">
        <w:rPr>
          <w:noProof/>
          <w:spacing w:val="-8"/>
        </w:rPr>
        <w:t>occupy a unique position</w:t>
      </w:r>
      <w:r w:rsidR="004F34B9" w:rsidRPr="00E737C3">
        <w:rPr>
          <w:noProof/>
          <w:spacing w:val="-8"/>
        </w:rPr>
        <w:t xml:space="preserve">, particularly for small and medium sized airlines which rely on CRSs to effectively reach </w:t>
      </w:r>
      <w:r w:rsidR="009E7568" w:rsidRPr="00E737C3">
        <w:rPr>
          <w:noProof/>
          <w:spacing w:val="-8"/>
        </w:rPr>
        <w:t xml:space="preserve">large </w:t>
      </w:r>
      <w:r w:rsidR="004F34B9" w:rsidRPr="00E737C3">
        <w:rPr>
          <w:noProof/>
          <w:spacing w:val="-8"/>
        </w:rPr>
        <w:t xml:space="preserve">travel agents’ networks and be visible for consumers. </w:t>
      </w:r>
      <w:r w:rsidR="005932D2" w:rsidRPr="00E737C3">
        <w:rPr>
          <w:noProof/>
          <w:spacing w:val="-8"/>
        </w:rPr>
        <w:t>Between 2019 and 2024, the average CRS’s booking fee reached around EUR 8.4 per flight segment</w:t>
      </w:r>
      <w:r w:rsidR="005932D2" w:rsidRPr="00E737C3">
        <w:rPr>
          <w:noProof/>
          <w:spacing w:val="-8"/>
          <w:vertAlign w:val="superscript"/>
        </w:rPr>
        <w:footnoteReference w:id="61"/>
      </w:r>
      <w:r w:rsidR="005932D2" w:rsidRPr="00E737C3">
        <w:rPr>
          <w:noProof/>
          <w:spacing w:val="-8"/>
        </w:rPr>
        <w:t xml:space="preserve"> and airlines argue they should be able to withhold certain fares (notably cheapest fares) from these channels when distribution costs exceed the benefits</w:t>
      </w:r>
      <w:r w:rsidR="005932D2" w:rsidRPr="00E737C3">
        <w:rPr>
          <w:noProof/>
          <w:spacing w:val="-8"/>
          <w:vertAlign w:val="superscript"/>
        </w:rPr>
        <w:footnoteReference w:id="62"/>
      </w:r>
      <w:r w:rsidR="005932D2" w:rsidRPr="00E737C3">
        <w:rPr>
          <w:noProof/>
          <w:spacing w:val="-8"/>
        </w:rPr>
        <w:t xml:space="preserve">. </w:t>
      </w:r>
      <w:r w:rsidR="00377674" w:rsidRPr="00E737C3">
        <w:rPr>
          <w:noProof/>
          <w:spacing w:val="-8"/>
        </w:rPr>
        <w:t>However, the</w:t>
      </w:r>
      <w:r w:rsidR="004F34B9" w:rsidRPr="00E737C3">
        <w:rPr>
          <w:noProof/>
          <w:spacing w:val="-8"/>
        </w:rPr>
        <w:t xml:space="preserve"> strategic position </w:t>
      </w:r>
      <w:r w:rsidR="004F34B9" w:rsidRPr="00E737C3" w:rsidDel="004E61D0">
        <w:rPr>
          <w:noProof/>
          <w:spacing w:val="-8"/>
        </w:rPr>
        <w:t>could allow</w:t>
      </w:r>
      <w:r w:rsidR="004F34B9" w:rsidRPr="00E737C3">
        <w:rPr>
          <w:noProof/>
          <w:spacing w:val="-8"/>
        </w:rPr>
        <w:t xml:space="preserve"> CRSs to (i) impose highly restrictive terms and conditions (such as full content parity clauses</w:t>
      </w:r>
      <w:r w:rsidR="004F34B9" w:rsidRPr="00E737C3">
        <w:rPr>
          <w:noProof/>
          <w:spacing w:val="-8"/>
          <w:vertAlign w:val="superscript"/>
        </w:rPr>
        <w:footnoteReference w:id="63"/>
      </w:r>
      <w:r w:rsidR="004F34B9" w:rsidRPr="00E737C3">
        <w:rPr>
          <w:noProof/>
          <w:spacing w:val="-8"/>
        </w:rPr>
        <w:t>) in exchange for lower fees</w:t>
      </w:r>
      <w:r w:rsidR="004F34B9" w:rsidRPr="00E737C3">
        <w:rPr>
          <w:noProof/>
          <w:spacing w:val="-8"/>
          <w:vertAlign w:val="superscript"/>
        </w:rPr>
        <w:footnoteReference w:id="64"/>
      </w:r>
      <w:r w:rsidR="004F34B9" w:rsidRPr="00E737C3" w:rsidDel="008F7F85">
        <w:rPr>
          <w:noProof/>
          <w:spacing w:val="-8"/>
        </w:rPr>
        <w:t xml:space="preserve">; </w:t>
      </w:r>
      <w:r w:rsidR="004F34B9" w:rsidRPr="00E737C3">
        <w:rPr>
          <w:noProof/>
          <w:spacing w:val="-8"/>
        </w:rPr>
        <w:t xml:space="preserve">(ii) </w:t>
      </w:r>
      <w:r w:rsidR="00FC20F7" w:rsidRPr="00E737C3">
        <w:rPr>
          <w:noProof/>
          <w:spacing w:val="-8"/>
        </w:rPr>
        <w:t xml:space="preserve">and </w:t>
      </w:r>
      <w:r w:rsidR="004F34B9" w:rsidRPr="00E737C3">
        <w:rPr>
          <w:noProof/>
          <w:spacing w:val="-8"/>
        </w:rPr>
        <w:t>apply biased display practices, if the current legislation on CRSs were to be repealed</w:t>
      </w:r>
      <w:r w:rsidR="004F34B9" w:rsidRPr="00E737C3">
        <w:rPr>
          <w:b/>
          <w:noProof/>
          <w:spacing w:val="-8"/>
        </w:rPr>
        <w:t xml:space="preserve">. </w:t>
      </w:r>
      <w:r w:rsidR="004F34B9" w:rsidRPr="00E737C3">
        <w:rPr>
          <w:noProof/>
          <w:spacing w:val="-8"/>
        </w:rPr>
        <w:t xml:space="preserve">Small airlines are directly and most severely affected by the problem as they </w:t>
      </w:r>
      <w:r w:rsidR="00925F2A" w:rsidRPr="00E737C3">
        <w:rPr>
          <w:noProof/>
          <w:spacing w:val="-8"/>
        </w:rPr>
        <w:t xml:space="preserve">do not </w:t>
      </w:r>
      <w:r w:rsidR="004F34B9" w:rsidRPr="00E737C3">
        <w:rPr>
          <w:noProof/>
          <w:spacing w:val="-8"/>
        </w:rPr>
        <w:t>have the financial ability to develop Direct Connect systems</w:t>
      </w:r>
      <w:r w:rsidR="004F34B9" w:rsidRPr="00E737C3">
        <w:rPr>
          <w:noProof/>
          <w:spacing w:val="-8"/>
          <w:vertAlign w:val="superscript"/>
        </w:rPr>
        <w:footnoteReference w:id="65"/>
      </w:r>
      <w:r w:rsidR="004F34B9" w:rsidRPr="00E737C3">
        <w:rPr>
          <w:noProof/>
          <w:spacing w:val="-8"/>
        </w:rPr>
        <w:t xml:space="preserve"> </w:t>
      </w:r>
      <w:r w:rsidR="00FC444A" w:rsidRPr="00E737C3">
        <w:rPr>
          <w:noProof/>
          <w:spacing w:val="-8"/>
        </w:rPr>
        <w:t>or</w:t>
      </w:r>
      <w:r w:rsidR="004F34B9" w:rsidRPr="00E737C3" w:rsidDel="008D28B0">
        <w:rPr>
          <w:noProof/>
          <w:spacing w:val="-8"/>
        </w:rPr>
        <w:t xml:space="preserve"> </w:t>
      </w:r>
      <w:r w:rsidR="00970C89" w:rsidRPr="00E737C3">
        <w:rPr>
          <w:noProof/>
          <w:spacing w:val="-8"/>
        </w:rPr>
        <w:t>set-up</w:t>
      </w:r>
      <w:r w:rsidR="00F36A9D" w:rsidRPr="00E737C3">
        <w:rPr>
          <w:noProof/>
          <w:spacing w:val="-8"/>
        </w:rPr>
        <w:t xml:space="preserve"> </w:t>
      </w:r>
      <w:r w:rsidR="006C3D97" w:rsidRPr="00E737C3">
        <w:rPr>
          <w:noProof/>
          <w:spacing w:val="-8"/>
        </w:rPr>
        <w:t xml:space="preserve">alternative </w:t>
      </w:r>
      <w:r w:rsidR="00B52CCF" w:rsidRPr="00E737C3">
        <w:rPr>
          <w:noProof/>
          <w:spacing w:val="-8"/>
        </w:rPr>
        <w:t xml:space="preserve">distribution </w:t>
      </w:r>
      <w:r w:rsidR="006C3D97" w:rsidRPr="00E737C3">
        <w:rPr>
          <w:noProof/>
          <w:spacing w:val="-8"/>
        </w:rPr>
        <w:t xml:space="preserve">channels </w:t>
      </w:r>
      <w:r w:rsidR="00B52CCF" w:rsidRPr="00E737C3">
        <w:rPr>
          <w:noProof/>
          <w:spacing w:val="-8"/>
        </w:rPr>
        <w:t xml:space="preserve">through </w:t>
      </w:r>
      <w:r w:rsidR="004F34B9" w:rsidRPr="00E737C3">
        <w:rPr>
          <w:noProof/>
          <w:spacing w:val="-8"/>
        </w:rPr>
        <w:t>new content aggregators. Th</w:t>
      </w:r>
      <w:r w:rsidR="00B52CCF" w:rsidRPr="00E737C3">
        <w:rPr>
          <w:noProof/>
          <w:spacing w:val="-8"/>
        </w:rPr>
        <w:t>is</w:t>
      </w:r>
      <w:r w:rsidR="004F34B9" w:rsidRPr="00E737C3">
        <w:rPr>
          <w:noProof/>
          <w:spacing w:val="-8"/>
        </w:rPr>
        <w:t xml:space="preserve"> ability, combined with the CRSs’ need to provide a comprehensive offer</w:t>
      </w:r>
      <w:r w:rsidR="004F34B9" w:rsidRPr="00E737C3" w:rsidDel="007149E5">
        <w:rPr>
          <w:noProof/>
          <w:spacing w:val="-8"/>
        </w:rPr>
        <w:t xml:space="preserve"> </w:t>
      </w:r>
      <w:r w:rsidR="004F34B9" w:rsidRPr="00E737C3">
        <w:rPr>
          <w:noProof/>
          <w:spacing w:val="-8"/>
        </w:rPr>
        <w:t>to remain an attractive partner for travel agents, allows large airlines to negotiate better conditions</w:t>
      </w:r>
      <w:r w:rsidR="000D27BE" w:rsidRPr="00E737C3">
        <w:rPr>
          <w:noProof/>
          <w:spacing w:val="-8"/>
        </w:rPr>
        <w:t>.</w:t>
      </w:r>
      <w:r w:rsidR="004F34B9" w:rsidRPr="00E737C3">
        <w:rPr>
          <w:noProof/>
          <w:spacing w:val="-8"/>
        </w:rPr>
        <w:t xml:space="preserve"> </w:t>
      </w:r>
      <w:r w:rsidR="0075018C" w:rsidRPr="00E737C3">
        <w:rPr>
          <w:noProof/>
          <w:spacing w:val="-8"/>
        </w:rPr>
        <w:t xml:space="preserve">Despite that, </w:t>
      </w:r>
      <w:r w:rsidR="004F34B9" w:rsidRPr="00E737C3">
        <w:rPr>
          <w:noProof/>
          <w:spacing w:val="-8"/>
        </w:rPr>
        <w:t>CRSs</w:t>
      </w:r>
      <w:r w:rsidR="00901B7F" w:rsidRPr="00E737C3">
        <w:rPr>
          <w:noProof/>
          <w:spacing w:val="-8"/>
        </w:rPr>
        <w:t xml:space="preserve"> hold a</w:t>
      </w:r>
      <w:r w:rsidR="004F34B9" w:rsidRPr="00E737C3">
        <w:rPr>
          <w:noProof/>
          <w:spacing w:val="-8"/>
        </w:rPr>
        <w:t xml:space="preserve"> strong position in the business travel segment</w:t>
      </w:r>
      <w:r w:rsidR="004F34B9" w:rsidRPr="00E737C3">
        <w:rPr>
          <w:noProof/>
          <w:spacing w:val="-8"/>
          <w:vertAlign w:val="superscript"/>
        </w:rPr>
        <w:footnoteReference w:id="66"/>
      </w:r>
      <w:r w:rsidR="004F34B9" w:rsidRPr="00E737C3">
        <w:rPr>
          <w:noProof/>
          <w:spacing w:val="-8"/>
        </w:rPr>
        <w:t xml:space="preserve"> and in the long-haul leisure travel segment in </w:t>
      </w:r>
      <w:r w:rsidR="00D515E0" w:rsidRPr="00E737C3">
        <w:rPr>
          <w:noProof/>
          <w:spacing w:val="-8"/>
        </w:rPr>
        <w:t xml:space="preserve">EU markets </w:t>
      </w:r>
      <w:r w:rsidR="0035635B" w:rsidRPr="00E737C3">
        <w:rPr>
          <w:noProof/>
          <w:spacing w:val="-8"/>
        </w:rPr>
        <w:t xml:space="preserve">outside the </w:t>
      </w:r>
      <w:r w:rsidR="00E025E2" w:rsidRPr="00E737C3">
        <w:rPr>
          <w:noProof/>
          <w:spacing w:val="-8"/>
        </w:rPr>
        <w:t>operators’</w:t>
      </w:r>
      <w:r w:rsidR="00E301BA" w:rsidRPr="00E737C3">
        <w:rPr>
          <w:noProof/>
          <w:spacing w:val="-8"/>
        </w:rPr>
        <w:t xml:space="preserve"> </w:t>
      </w:r>
      <w:r w:rsidR="0035635B" w:rsidRPr="00E737C3">
        <w:rPr>
          <w:noProof/>
          <w:spacing w:val="-8"/>
        </w:rPr>
        <w:t>home market</w:t>
      </w:r>
      <w:r w:rsidR="005D54AE" w:rsidRPr="00E737C3">
        <w:rPr>
          <w:noProof/>
          <w:spacing w:val="-8"/>
        </w:rPr>
        <w:t>,</w:t>
      </w:r>
      <w:r w:rsidR="00D3736F" w:rsidRPr="00E737C3">
        <w:rPr>
          <w:noProof/>
          <w:spacing w:val="-8"/>
        </w:rPr>
        <w:t xml:space="preserve"> </w:t>
      </w:r>
      <w:r w:rsidR="005D54AE" w:rsidRPr="00E737C3">
        <w:rPr>
          <w:noProof/>
          <w:spacing w:val="-8"/>
        </w:rPr>
        <w:t xml:space="preserve">as well as </w:t>
      </w:r>
      <w:r w:rsidR="00D3736F" w:rsidRPr="00E737C3">
        <w:rPr>
          <w:noProof/>
          <w:spacing w:val="-8"/>
        </w:rPr>
        <w:t>extra EU markets</w:t>
      </w:r>
      <w:r w:rsidR="000D27BE" w:rsidRPr="00E737C3">
        <w:rPr>
          <w:noProof/>
          <w:spacing w:val="-8"/>
        </w:rPr>
        <w:t xml:space="preserve"> which makes all airlines still </w:t>
      </w:r>
      <w:r w:rsidR="0075018C" w:rsidRPr="00E737C3">
        <w:rPr>
          <w:noProof/>
          <w:spacing w:val="-8"/>
        </w:rPr>
        <w:t>dependent from CRS in these segments</w:t>
      </w:r>
      <w:r w:rsidR="004F34B9" w:rsidRPr="00E737C3">
        <w:rPr>
          <w:noProof/>
          <w:spacing w:val="-8"/>
        </w:rPr>
        <w:t>.</w:t>
      </w:r>
    </w:p>
    <w:p w14:paraId="00AA746B" w14:textId="06BCF03C" w:rsidR="00AB7159" w:rsidRPr="00E737C3" w:rsidRDefault="004F34B9" w:rsidP="00BF6C1E">
      <w:pPr>
        <w:spacing w:after="240"/>
        <w:jc w:val="both"/>
        <w:rPr>
          <w:noProof/>
          <w:spacing w:val="-8"/>
        </w:rPr>
      </w:pPr>
      <w:r w:rsidRPr="00E737C3">
        <w:rPr>
          <w:rFonts w:cs="Arial"/>
          <w:noProof/>
          <w:spacing w:val="-8"/>
        </w:rPr>
        <w:t xml:space="preserve">In the targeted survey, the surveyed transport operators agreeing with </w:t>
      </w:r>
      <w:r w:rsidR="00C76B13" w:rsidRPr="00E737C3">
        <w:rPr>
          <w:rFonts w:cs="Arial"/>
          <w:i/>
          <w:iCs/>
          <w:noProof/>
          <w:spacing w:val="-8"/>
        </w:rPr>
        <w:t>the potential distortion of competition between CRSs and non-regulated B2B platforms performing similar functions to CRSs</w:t>
      </w:r>
      <w:r w:rsidR="00C76B13" w:rsidRPr="00E737C3">
        <w:rPr>
          <w:rFonts w:cs="Arial"/>
          <w:noProof/>
          <w:spacing w:val="-8"/>
        </w:rPr>
        <w:t xml:space="preserve"> </w:t>
      </w:r>
      <w:r w:rsidRPr="00E737C3">
        <w:rPr>
          <w:rFonts w:cs="Arial"/>
          <w:noProof/>
          <w:spacing w:val="-8"/>
        </w:rPr>
        <w:t>included 11 airlines / airline associations</w:t>
      </w:r>
      <w:r w:rsidRPr="00E737C3">
        <w:rPr>
          <w:noProof/>
          <w:spacing w:val="-8"/>
        </w:rPr>
        <w:t xml:space="preserve">, </w:t>
      </w:r>
      <w:r w:rsidR="00AB5269" w:rsidRPr="00E737C3">
        <w:rPr>
          <w:noProof/>
          <w:spacing w:val="-8"/>
        </w:rPr>
        <w:t xml:space="preserve">alleging </w:t>
      </w:r>
      <w:r w:rsidRPr="00E737C3">
        <w:rPr>
          <w:noProof/>
          <w:spacing w:val="-8"/>
        </w:rPr>
        <w:t>“the exploitative practices by dominant CRS providers</w:t>
      </w:r>
      <w:r w:rsidR="00EF7576">
        <w:rPr>
          <w:noProof/>
          <w:spacing w:val="-8"/>
        </w:rPr>
        <w:t>”</w:t>
      </w:r>
      <w:r w:rsidRPr="00E737C3">
        <w:rPr>
          <w:rFonts w:eastAsiaTheme="majorEastAsia" w:cs="Arial"/>
          <w:noProof/>
          <w:spacing w:val="-8"/>
          <w:vertAlign w:val="superscript"/>
        </w:rPr>
        <w:footnoteReference w:id="67"/>
      </w:r>
      <w:r w:rsidR="00FF0495">
        <w:rPr>
          <w:noProof/>
          <w:spacing w:val="-8"/>
        </w:rPr>
        <w:t>.</w:t>
      </w:r>
      <w:r w:rsidRPr="00E737C3">
        <w:rPr>
          <w:noProof/>
          <w:spacing w:val="-8"/>
        </w:rPr>
        <w:t xml:space="preserve"> One airline’s association and eight airlines argue that removing safeguard provisions such as fair treatment could expose airlines, in particular smaller ones, to discriminatory practices. One operator mentioned that regional airlines in particular struggle to compete fairly, due to the prioritisation of major carriers by </w:t>
      </w:r>
      <w:r w:rsidR="00610FFA" w:rsidRPr="00E737C3">
        <w:rPr>
          <w:noProof/>
          <w:spacing w:val="-8"/>
        </w:rPr>
        <w:t>MDMS</w:t>
      </w:r>
      <w:r w:rsidRPr="00E737C3">
        <w:rPr>
          <w:noProof/>
          <w:spacing w:val="-8"/>
        </w:rPr>
        <w:t xml:space="preserve">, reducing consumer choice especially for connectivity to peripheral areas in Europe. One airline association, eight airlines out of 11 and BEUC </w:t>
      </w:r>
      <w:r w:rsidR="7B24B33C" w:rsidRPr="00E737C3">
        <w:rPr>
          <w:noProof/>
          <w:spacing w:val="-8"/>
        </w:rPr>
        <w:t>(the European Consumer Organisation)</w:t>
      </w:r>
      <w:r w:rsidRPr="00E737C3">
        <w:rPr>
          <w:noProof/>
          <w:spacing w:val="-8"/>
        </w:rPr>
        <w:t xml:space="preserve"> raised concerns over full content </w:t>
      </w:r>
      <w:r w:rsidR="006F2F45" w:rsidRPr="00E737C3">
        <w:rPr>
          <w:noProof/>
          <w:spacing w:val="-8"/>
        </w:rPr>
        <w:t>parity clauses</w:t>
      </w:r>
      <w:r w:rsidR="0094188B" w:rsidRPr="00E737C3">
        <w:rPr>
          <w:noProof/>
          <w:spacing w:val="-8"/>
          <w:vertAlign w:val="superscript"/>
        </w:rPr>
        <w:footnoteReference w:id="68"/>
      </w:r>
      <w:r w:rsidRPr="00E737C3">
        <w:rPr>
          <w:noProof/>
          <w:spacing w:val="-8"/>
        </w:rPr>
        <w:t xml:space="preserve">, which </w:t>
      </w:r>
      <w:r w:rsidR="006625F3" w:rsidRPr="00E737C3">
        <w:rPr>
          <w:noProof/>
          <w:spacing w:val="-8"/>
        </w:rPr>
        <w:t>may</w:t>
      </w:r>
      <w:r w:rsidRPr="00E737C3">
        <w:rPr>
          <w:noProof/>
          <w:spacing w:val="-8"/>
        </w:rPr>
        <w:t xml:space="preserve"> reinforce the market </w:t>
      </w:r>
      <w:r w:rsidR="00AB5269" w:rsidRPr="00E737C3">
        <w:rPr>
          <w:noProof/>
          <w:spacing w:val="-8"/>
        </w:rPr>
        <w:t>power</w:t>
      </w:r>
      <w:r w:rsidR="00634EC1" w:rsidRPr="00E737C3">
        <w:rPr>
          <w:noProof/>
          <w:spacing w:val="-8"/>
        </w:rPr>
        <w:t xml:space="preserve"> </w:t>
      </w:r>
      <w:r w:rsidRPr="00E737C3">
        <w:rPr>
          <w:noProof/>
          <w:spacing w:val="-8"/>
        </w:rPr>
        <w:t xml:space="preserve">of </w:t>
      </w:r>
      <w:r w:rsidR="00293397" w:rsidRPr="00E737C3">
        <w:rPr>
          <w:noProof/>
          <w:spacing w:val="-8"/>
        </w:rPr>
        <w:t xml:space="preserve">established </w:t>
      </w:r>
      <w:r w:rsidR="00786223" w:rsidRPr="00E737C3">
        <w:rPr>
          <w:noProof/>
          <w:spacing w:val="-8"/>
        </w:rPr>
        <w:t xml:space="preserve">CRS and </w:t>
      </w:r>
      <w:r w:rsidR="00293397" w:rsidRPr="00E737C3">
        <w:rPr>
          <w:noProof/>
          <w:spacing w:val="-8"/>
        </w:rPr>
        <w:t>MDMS</w:t>
      </w:r>
      <w:r w:rsidR="00634EC1" w:rsidRPr="00E737C3">
        <w:rPr>
          <w:noProof/>
          <w:spacing w:val="-8"/>
        </w:rPr>
        <w:t xml:space="preserve"> platforms</w:t>
      </w:r>
      <w:r w:rsidRPr="00E737C3">
        <w:rPr>
          <w:noProof/>
          <w:spacing w:val="-8"/>
        </w:rPr>
        <w:t xml:space="preserve">. On the contrary, the three main CRS providers disagreed with </w:t>
      </w:r>
      <w:r w:rsidR="008761EE" w:rsidRPr="00E737C3">
        <w:rPr>
          <w:noProof/>
          <w:spacing w:val="-8"/>
        </w:rPr>
        <w:t>P</w:t>
      </w:r>
      <w:r w:rsidRPr="00E737C3">
        <w:rPr>
          <w:noProof/>
          <w:spacing w:val="-8"/>
        </w:rPr>
        <w:t xml:space="preserve">roblem </w:t>
      </w:r>
      <w:r w:rsidR="008761EE" w:rsidRPr="00E737C3">
        <w:rPr>
          <w:noProof/>
          <w:spacing w:val="-8"/>
        </w:rPr>
        <w:t>1</w:t>
      </w:r>
      <w:r w:rsidRPr="00E737C3">
        <w:rPr>
          <w:noProof/>
          <w:spacing w:val="-8"/>
        </w:rPr>
        <w:t xml:space="preserve"> outlining that they viewed access decisions as commercially rational rather than discriminatory</w:t>
      </w:r>
      <w:r w:rsidR="0094188B" w:rsidRPr="00E737C3">
        <w:rPr>
          <w:noProof/>
          <w:spacing w:val="-8"/>
          <w:vertAlign w:val="superscript"/>
        </w:rPr>
        <w:footnoteReference w:id="69"/>
      </w:r>
      <w:r w:rsidRPr="00E737C3">
        <w:rPr>
          <w:noProof/>
          <w:spacing w:val="-8"/>
        </w:rPr>
        <w:t>, with difficulties arising from operator behaviour withholding content or market structure rather than MDMS practices. One MDMS provider added that if it costs too much to connect or there isn’t enough customer demand, they may not add a transport offer. 9 out</w:t>
      </w:r>
      <w:r w:rsidR="00294AC4" w:rsidRPr="00E737C3">
        <w:rPr>
          <w:noProof/>
          <w:spacing w:val="-8"/>
        </w:rPr>
        <w:t xml:space="preserve"> of</w:t>
      </w:r>
      <w:r w:rsidRPr="00E737C3">
        <w:rPr>
          <w:noProof/>
          <w:spacing w:val="-8"/>
        </w:rPr>
        <w:t xml:space="preserve"> 20 MDMS providers, including two associations, highlighted that the real challenge lies in gaining access to operator information.</w:t>
      </w:r>
    </w:p>
    <w:p w14:paraId="220743DB" w14:textId="3ECBA359" w:rsidR="0058120E" w:rsidRPr="00736C84" w:rsidRDefault="003C4819" w:rsidP="007B2D8E">
      <w:pPr>
        <w:pStyle w:val="Heading2"/>
        <w:keepNext/>
        <w:keepLines/>
        <w:numPr>
          <w:ilvl w:val="2"/>
          <w:numId w:val="11"/>
        </w:numPr>
        <w:tabs>
          <w:tab w:val="left" w:pos="709"/>
        </w:tabs>
        <w:spacing w:before="0" w:after="240"/>
        <w:ind w:left="1134" w:hanging="709"/>
        <w:rPr>
          <w:b w:val="0"/>
          <w:i/>
          <w:noProof/>
        </w:rPr>
      </w:pPr>
      <w:bookmarkStart w:id="33" w:name="_Toc222313453"/>
      <w:bookmarkStart w:id="34" w:name="_Toc222748969"/>
      <w:bookmarkStart w:id="35" w:name="_Ref223819361"/>
      <w:bookmarkStart w:id="36" w:name="_Toc223979942"/>
      <w:r w:rsidRPr="00D71008">
        <w:rPr>
          <w:b w:val="0"/>
          <w:i/>
          <w:noProof/>
        </w:rPr>
        <w:t xml:space="preserve">Problem </w:t>
      </w:r>
      <w:r w:rsidR="00742826">
        <w:rPr>
          <w:b w:val="0"/>
          <w:i/>
          <w:noProof/>
        </w:rPr>
        <w:t>2</w:t>
      </w:r>
      <w:r w:rsidRPr="00D71008">
        <w:rPr>
          <w:b w:val="0"/>
          <w:i/>
          <w:noProof/>
        </w:rPr>
        <w:t xml:space="preserve">: </w:t>
      </w:r>
      <w:bookmarkEnd w:id="25"/>
      <w:bookmarkEnd w:id="33"/>
      <w:bookmarkEnd w:id="34"/>
      <w:r w:rsidR="00705FAE" w:rsidRPr="00705FAE">
        <w:rPr>
          <w:b w:val="0"/>
          <w:i/>
          <w:noProof/>
        </w:rPr>
        <w:t>Incomplete offer of rail tickets on (rail) platforms</w:t>
      </w:r>
      <w:bookmarkEnd w:id="35"/>
      <w:bookmarkEnd w:id="36"/>
    </w:p>
    <w:p w14:paraId="36C9F9B7" w14:textId="731CA712" w:rsidR="004E4359" w:rsidRPr="004E4359" w:rsidRDefault="004E4359" w:rsidP="00840881">
      <w:pPr>
        <w:pStyle w:val="Caption"/>
        <w:keepNext/>
        <w:spacing w:after="0"/>
        <w:jc w:val="both"/>
        <w:rPr>
          <w:i w:val="0"/>
          <w:iCs w:val="0"/>
          <w:noProof/>
          <w:color w:val="auto"/>
          <w:sz w:val="24"/>
          <w:szCs w:val="24"/>
        </w:rPr>
      </w:pPr>
      <w:bookmarkStart w:id="37" w:name="_Ref223113070"/>
      <w:bookmarkStart w:id="38" w:name="_Ref223819268"/>
      <w:bookmarkStart w:id="39" w:name="_Ref223227368"/>
      <w:bookmarkStart w:id="40" w:name="_Ref223822432"/>
      <w:r w:rsidRPr="004E4359">
        <w:rPr>
          <w:i w:val="0"/>
          <w:iCs w:val="0"/>
          <w:noProof/>
          <w:color w:val="auto"/>
          <w:spacing w:val="-8"/>
          <w:sz w:val="24"/>
          <w:szCs w:val="24"/>
        </w:rPr>
        <w:t xml:space="preserve">All incumbent RUs (except in PL, see </w:t>
      </w:r>
      <w:r w:rsidRPr="004E4359">
        <w:rPr>
          <w:i w:val="0"/>
          <w:iCs w:val="0"/>
          <w:noProof/>
          <w:color w:val="auto"/>
          <w:spacing w:val="-8"/>
          <w:sz w:val="24"/>
          <w:szCs w:val="24"/>
        </w:rPr>
        <w:fldChar w:fldCharType="begin"/>
      </w:r>
      <w:r w:rsidRPr="004E4359">
        <w:rPr>
          <w:i w:val="0"/>
          <w:iCs w:val="0"/>
          <w:noProof/>
          <w:color w:val="auto"/>
          <w:spacing w:val="-8"/>
          <w:sz w:val="24"/>
          <w:szCs w:val="24"/>
        </w:rPr>
        <w:instrText xml:space="preserve"> REF _Ref223819268 \h  \* MERGEFORMAT </w:instrText>
      </w:r>
      <w:r w:rsidRPr="004E4359">
        <w:rPr>
          <w:i w:val="0"/>
          <w:iCs w:val="0"/>
          <w:noProof/>
          <w:color w:val="auto"/>
          <w:spacing w:val="-8"/>
          <w:sz w:val="24"/>
          <w:szCs w:val="24"/>
        </w:rPr>
      </w:r>
      <w:r w:rsidRPr="004E4359">
        <w:rPr>
          <w:i w:val="0"/>
          <w:iCs w:val="0"/>
          <w:noProof/>
          <w:color w:val="auto"/>
          <w:spacing w:val="-8"/>
          <w:sz w:val="24"/>
          <w:szCs w:val="24"/>
        </w:rPr>
        <w:fldChar w:fldCharType="separate"/>
      </w:r>
      <w:r w:rsidR="0055391F">
        <w:rPr>
          <w:b/>
          <w:bCs/>
          <w:i w:val="0"/>
          <w:iCs w:val="0"/>
          <w:noProof/>
          <w:color w:val="auto"/>
          <w:spacing w:val="-8"/>
          <w:sz w:val="24"/>
          <w:szCs w:val="24"/>
          <w:lang w:val="en-US"/>
        </w:rPr>
        <w:t>Error! Not a valid bookmark self-reference.</w:t>
      </w:r>
      <w:r w:rsidRPr="004E4359">
        <w:rPr>
          <w:i w:val="0"/>
          <w:iCs w:val="0"/>
          <w:noProof/>
          <w:color w:val="auto"/>
          <w:spacing w:val="-8"/>
          <w:sz w:val="24"/>
          <w:szCs w:val="24"/>
        </w:rPr>
        <w:fldChar w:fldCharType="end"/>
      </w:r>
      <w:r w:rsidRPr="004E4359">
        <w:rPr>
          <w:i w:val="0"/>
          <w:iCs w:val="0"/>
          <w:noProof/>
          <w:color w:val="auto"/>
          <w:spacing w:val="-8"/>
          <w:sz w:val="24"/>
          <w:szCs w:val="24"/>
        </w:rPr>
        <w:t>) have Significant Market Presence (SMP) in the national transport service market, i.e. a market share above 50% in terms of passenger kilometres. All of them also have one or more digital ticket sales channels, 19 of which are MDMS platforms as they also sell tickets of other RUs or operators in other modes, while only 6 sell their own tickets and are greyed out in the chart. The platforms owned by incumbent RUs have a very large customer base and are the standard reference for rail ticket customers. National competition authorities and economic studies consistently show that the vast majority of consumer searches and online ticket sales are concentrated on the RUs with SMP’s proprietary digital channels (websites and mobile applications), while third-party ticketing platforms account for only a limited share of transactions</w:t>
      </w:r>
      <w:bookmarkStart w:id="41" w:name="_Ref223956037"/>
      <w:r w:rsidRPr="004E4359">
        <w:rPr>
          <w:rStyle w:val="FootnoteReference"/>
          <w:i w:val="0"/>
          <w:iCs w:val="0"/>
          <w:noProof/>
          <w:color w:val="auto"/>
          <w:spacing w:val="-8"/>
          <w:sz w:val="24"/>
          <w:szCs w:val="24"/>
        </w:rPr>
        <w:footnoteReference w:id="70"/>
      </w:r>
      <w:bookmarkEnd w:id="41"/>
      <w:r w:rsidRPr="004E4359">
        <w:rPr>
          <w:i w:val="0"/>
          <w:iCs w:val="0"/>
          <w:noProof/>
          <w:color w:val="auto"/>
          <w:spacing w:val="-8"/>
          <w:sz w:val="24"/>
          <w:szCs w:val="24"/>
        </w:rPr>
        <w:t>. For example, the 2021 report of the Monopolkommission</w:t>
      </w:r>
      <w:r w:rsidRPr="004E4359">
        <w:rPr>
          <w:i w:val="0"/>
          <w:iCs w:val="0"/>
          <w:noProof/>
          <w:color w:val="auto"/>
          <w:spacing w:val="-8"/>
          <w:sz w:val="24"/>
          <w:szCs w:val="24"/>
          <w:vertAlign w:val="superscript"/>
        </w:rPr>
        <w:footnoteReference w:id="71"/>
      </w:r>
      <w:r w:rsidRPr="004E4359">
        <w:rPr>
          <w:i w:val="0"/>
          <w:iCs w:val="0"/>
          <w:noProof/>
          <w:color w:val="auto"/>
          <w:spacing w:val="-8"/>
          <w:sz w:val="24"/>
          <w:szCs w:val="24"/>
          <w:vertAlign w:val="superscript"/>
        </w:rPr>
        <w:t xml:space="preserve"> </w:t>
      </w:r>
      <w:r w:rsidRPr="004E4359">
        <w:rPr>
          <w:i w:val="0"/>
          <w:iCs w:val="0"/>
          <w:noProof/>
          <w:color w:val="auto"/>
          <w:spacing w:val="-8"/>
          <w:sz w:val="24"/>
          <w:szCs w:val="24"/>
        </w:rPr>
        <w:t>shows that among major online platforms for long-distance rail tickets in Germany, about 90% of website visits go to Bahn.de, indicating DB’s dominant position in online distribution markets</w:t>
      </w:r>
      <w:r w:rsidRPr="004E4359">
        <w:rPr>
          <w:i w:val="0"/>
          <w:iCs w:val="0"/>
          <w:noProof/>
          <w:color w:val="auto"/>
          <w:spacing w:val="-8"/>
          <w:sz w:val="24"/>
          <w:szCs w:val="24"/>
          <w:vertAlign w:val="superscript"/>
        </w:rPr>
        <w:footnoteReference w:id="72"/>
      </w:r>
      <w:r w:rsidRPr="004E4359">
        <w:rPr>
          <w:i w:val="0"/>
          <w:iCs w:val="0"/>
          <w:noProof/>
          <w:color w:val="auto"/>
          <w:spacing w:val="-8"/>
          <w:sz w:val="24"/>
          <w:szCs w:val="24"/>
        </w:rPr>
        <w:t>. This renders the incumbent platforms an indispensable distribution channel for any rail operator offering transport services in the respective national market. This is particularly the case of platforms that sell tickets of multiple RUs, as customers may not realise that their offer is incomplete and are thus less likely to make alternative searches. On the other hand, when it is clear for customers that they must look elsewhere to access tickets of competing RUs, they are more likely to use competitors’ or independent platforms. Accordingly, in the rest of this document, the ticketing platforms owned by incumbent RUs (the 19 in blue in Figure 4) are referred to as ‘indispensable RU platforms’, but not when they do not sell third party tickets (the 6 in grey in Figure 4).</w:t>
      </w:r>
    </w:p>
    <w:p w14:paraId="512BB09E" w14:textId="77777777" w:rsidR="004E4359" w:rsidRPr="004E4359" w:rsidRDefault="004E4359" w:rsidP="004E4359">
      <w:pPr>
        <w:rPr>
          <w:noProof/>
          <w:lang w:val="en-GB" w:eastAsia="en-US"/>
        </w:rPr>
      </w:pPr>
    </w:p>
    <w:p w14:paraId="209FD22A" w14:textId="4DFCB4B5" w:rsidR="00E3688D" w:rsidRPr="007E278F" w:rsidRDefault="00E3688D" w:rsidP="00840881">
      <w:pPr>
        <w:pStyle w:val="Caption"/>
        <w:keepNext/>
        <w:spacing w:after="0"/>
        <w:jc w:val="both"/>
        <w:rPr>
          <w:noProof/>
          <w:color w:val="auto"/>
          <w:sz w:val="22"/>
          <w:szCs w:val="22"/>
        </w:rPr>
      </w:pPr>
      <w:r w:rsidRPr="007E278F">
        <w:rPr>
          <w:noProof/>
          <w:color w:val="auto"/>
          <w:sz w:val="22"/>
          <w:szCs w:val="22"/>
        </w:rPr>
        <w:t xml:space="preserve">Figure </w:t>
      </w:r>
      <w:r w:rsidR="00980256">
        <w:rPr>
          <w:noProof/>
          <w:color w:val="auto"/>
          <w:sz w:val="22"/>
          <w:szCs w:val="22"/>
        </w:rPr>
        <w:fldChar w:fldCharType="begin"/>
      </w:r>
      <w:r w:rsidR="00980256">
        <w:rPr>
          <w:noProof/>
          <w:color w:val="auto"/>
          <w:sz w:val="22"/>
          <w:szCs w:val="22"/>
        </w:rPr>
        <w:instrText xml:space="preserve"> SEQ Figure \* ARABIC </w:instrText>
      </w:r>
      <w:r w:rsidR="00980256">
        <w:rPr>
          <w:noProof/>
          <w:color w:val="auto"/>
          <w:sz w:val="22"/>
          <w:szCs w:val="22"/>
        </w:rPr>
        <w:fldChar w:fldCharType="separate"/>
      </w:r>
      <w:r w:rsidR="0055391F">
        <w:rPr>
          <w:noProof/>
          <w:color w:val="auto"/>
          <w:sz w:val="22"/>
          <w:szCs w:val="22"/>
        </w:rPr>
        <w:t>4</w:t>
      </w:r>
      <w:r w:rsidR="00980256">
        <w:rPr>
          <w:noProof/>
          <w:color w:val="auto"/>
          <w:sz w:val="22"/>
          <w:szCs w:val="22"/>
        </w:rPr>
        <w:fldChar w:fldCharType="end"/>
      </w:r>
      <w:bookmarkEnd w:id="37"/>
      <w:bookmarkEnd w:id="38"/>
      <w:r w:rsidRPr="007E278F">
        <w:rPr>
          <w:noProof/>
          <w:color w:val="auto"/>
          <w:sz w:val="22"/>
          <w:szCs w:val="22"/>
        </w:rPr>
        <w:t xml:space="preserve">: Incumbent market share </w:t>
      </w:r>
      <w:r>
        <w:rPr>
          <w:noProof/>
          <w:color w:val="auto"/>
          <w:sz w:val="22"/>
          <w:szCs w:val="22"/>
        </w:rPr>
        <w:t>(</w:t>
      </w:r>
      <w:r w:rsidRPr="00BB4D3C">
        <w:rPr>
          <w:noProof/>
          <w:color w:val="auto"/>
          <w:sz w:val="22"/>
          <w:szCs w:val="22"/>
        </w:rPr>
        <w:t>in terms of pkm)</w:t>
      </w:r>
      <w:r>
        <w:rPr>
          <w:noProof/>
          <w:color w:val="auto"/>
          <w:sz w:val="22"/>
          <w:szCs w:val="22"/>
        </w:rPr>
        <w:t xml:space="preserve"> in the passenger service market </w:t>
      </w:r>
      <w:r w:rsidRPr="007E278F">
        <w:rPr>
          <w:noProof/>
          <w:color w:val="auto"/>
          <w:sz w:val="22"/>
          <w:szCs w:val="22"/>
        </w:rPr>
        <w:t>per Member State (2022</w:t>
      </w:r>
      <w:r>
        <w:rPr>
          <w:noProof/>
          <w:color w:val="auto"/>
          <w:sz w:val="22"/>
          <w:szCs w:val="22"/>
        </w:rPr>
        <w:t>)</w:t>
      </w:r>
      <w:bookmarkEnd w:id="39"/>
      <w:bookmarkEnd w:id="40"/>
      <w:r w:rsidRPr="007E278F">
        <w:rPr>
          <w:noProof/>
          <w:color w:val="auto"/>
          <w:sz w:val="22"/>
          <w:szCs w:val="22"/>
        </w:rPr>
        <w:t xml:space="preserve"> </w:t>
      </w:r>
    </w:p>
    <w:p w14:paraId="2E4E53AD" w14:textId="77777777" w:rsidR="00E3688D" w:rsidRDefault="00E3688D" w:rsidP="00840881">
      <w:pPr>
        <w:tabs>
          <w:tab w:val="left" w:pos="1134"/>
        </w:tabs>
        <w:spacing w:before="120" w:after="240"/>
        <w:jc w:val="both"/>
        <w:rPr>
          <w:i/>
          <w:noProof/>
          <w:sz w:val="20"/>
          <w:szCs w:val="20"/>
        </w:rPr>
      </w:pPr>
      <w:r>
        <w:rPr>
          <w:noProof/>
          <w:lang w:val="en-GB" w:eastAsia="en-GB"/>
        </w:rPr>
        <w:drawing>
          <wp:inline distT="0" distB="0" distL="0" distR="0" wp14:anchorId="0B0144E1" wp14:editId="341DEC44">
            <wp:extent cx="6086475" cy="1409700"/>
            <wp:effectExtent l="0" t="0" r="9525" b="0"/>
            <wp:docPr id="1437118663" name="Picture 1" descr="A graph with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118663" name="Picture 1" descr="A graph with blue bars&#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86475" cy="1409700"/>
                    </a:xfrm>
                    <a:prstGeom prst="rect">
                      <a:avLst/>
                    </a:prstGeom>
                    <a:noFill/>
                  </pic:spPr>
                </pic:pic>
              </a:graphicData>
            </a:graphic>
          </wp:inline>
        </w:drawing>
      </w:r>
      <w:r w:rsidRPr="00840881">
        <w:rPr>
          <w:i/>
          <w:noProof/>
          <w:sz w:val="20"/>
          <w:szCs w:val="20"/>
        </w:rPr>
        <w:t>Source: Rail market monitoring (RMMS), July 2025</w:t>
      </w:r>
    </w:p>
    <w:p w14:paraId="731EA7FE" w14:textId="1FDBD472" w:rsidR="00371438" w:rsidRPr="00840881" w:rsidRDefault="00371438" w:rsidP="00840881">
      <w:pPr>
        <w:tabs>
          <w:tab w:val="left" w:pos="1134"/>
        </w:tabs>
        <w:spacing w:before="120" w:after="240"/>
        <w:jc w:val="both"/>
        <w:rPr>
          <w:i/>
          <w:noProof/>
          <w:sz w:val="20"/>
          <w:szCs w:val="20"/>
        </w:rPr>
      </w:pPr>
      <w:r w:rsidRPr="00F13353">
        <w:rPr>
          <w:noProof/>
          <w:spacing w:val="-8"/>
        </w:rPr>
        <w:t>Indispensable RU platforms often display only the offer of certain train services, excluding competing offers despite those services being cheaper or more convenient for passengers. The exclusion of competing RUs or other transport operators may also arise due to stringent integration requirements or high service fees</w:t>
      </w:r>
      <w:r w:rsidRPr="00F13353">
        <w:rPr>
          <w:noProof/>
          <w:spacing w:val="-8"/>
          <w:vertAlign w:val="superscript"/>
        </w:rPr>
        <w:footnoteReference w:id="73"/>
      </w:r>
      <w:r w:rsidRPr="00F13353">
        <w:rPr>
          <w:noProof/>
          <w:spacing w:val="-8"/>
        </w:rPr>
        <w:t>. Evidence supports the concern of uneven access: the French transport authority (ART) found</w:t>
      </w:r>
      <w:r w:rsidRPr="00F13353">
        <w:rPr>
          <w:noProof/>
          <w:spacing w:val="-8"/>
          <w:vertAlign w:val="superscript"/>
        </w:rPr>
        <w:footnoteReference w:id="74"/>
      </w:r>
      <w:r w:rsidRPr="00F13353">
        <w:rPr>
          <w:noProof/>
          <w:spacing w:val="-8"/>
          <w:vertAlign w:val="superscript"/>
        </w:rPr>
        <w:t xml:space="preserve"> </w:t>
      </w:r>
      <w:r w:rsidRPr="00F13353">
        <w:rPr>
          <w:noProof/>
          <w:spacing w:val="-8"/>
        </w:rPr>
        <w:t>that new entrants receive no visibility on incumbent rail platforms, which mainly display the incumbent’s own services and those of its partners. For example, SNCF Connect does not display the offers of Trenitalia France. Similar issues have been identified in Sweden in 2019, the Swedish Competition Authority examined allegations that Statens Järnvägar (SJ) abused its dominant position in ticketing by excluding competitors’ tickets and altering search visibility (see Annex 11). The large customer base, incomplete offer and lack of transparency of indispensable RU platforms leads to many consumers not being aware of relevant offers: the 2025 FNAUT Opinion Way survey</w:t>
      </w:r>
      <w:r w:rsidRPr="00F13353">
        <w:rPr>
          <w:rStyle w:val="FootnoteReference"/>
          <w:noProof/>
          <w:spacing w:val="-8"/>
        </w:rPr>
        <w:footnoteReference w:id="75"/>
      </w:r>
      <w:r w:rsidRPr="00F13353">
        <w:rPr>
          <w:noProof/>
          <w:spacing w:val="-8"/>
        </w:rPr>
        <w:t xml:space="preserve"> shows that in France, despite over four years of operations, 55% of respondents have never heard of Trenitalia and only 15% of respondents know it well. Similarly, 68% of respondents have never heard of Renfe and just 11% know it well.</w:t>
      </w:r>
    </w:p>
    <w:p w14:paraId="168E05B4" w14:textId="25009E29" w:rsidR="00B911F5" w:rsidRPr="005D2D60" w:rsidRDefault="00842287" w:rsidP="00B911F5">
      <w:pPr>
        <w:pBdr>
          <w:top w:val="single" w:sz="4" w:space="4" w:color="auto"/>
          <w:left w:val="single" w:sz="4" w:space="4" w:color="auto"/>
          <w:bottom w:val="single" w:sz="4" w:space="4" w:color="auto"/>
          <w:right w:val="single" w:sz="4" w:space="4" w:color="auto"/>
        </w:pBdr>
        <w:spacing w:after="120"/>
        <w:rPr>
          <w:rFonts w:eastAsia="Calibri"/>
          <w:noProof/>
        </w:rPr>
      </w:pPr>
      <w:r>
        <w:rPr>
          <w:noProof/>
        </w:rPr>
        <w:t xml:space="preserve">Example: </w:t>
      </w:r>
      <w:r w:rsidR="00B911F5" w:rsidRPr="005D2D60">
        <w:rPr>
          <w:noProof/>
        </w:rPr>
        <w:t xml:space="preserve">On the ÖBB website, competing </w:t>
      </w:r>
      <w:r w:rsidR="00687A9C" w:rsidRPr="005D2D60">
        <w:rPr>
          <w:noProof/>
        </w:rPr>
        <w:t>Westbahn</w:t>
      </w:r>
      <w:r w:rsidR="00B911F5" w:rsidRPr="005D2D60">
        <w:rPr>
          <w:rFonts w:eastAsia="Calibri"/>
          <w:noProof/>
        </w:rPr>
        <w:t xml:space="preserve"> services</w:t>
      </w:r>
      <w:r w:rsidR="00B911F5" w:rsidRPr="005D2D60">
        <w:rPr>
          <w:noProof/>
        </w:rPr>
        <w:t xml:space="preserve"> are only displayed</w:t>
      </w:r>
      <w:r w:rsidR="00B911F5" w:rsidRPr="005D2D60">
        <w:rPr>
          <w:rFonts w:eastAsia="Calibri"/>
          <w:noProof/>
        </w:rPr>
        <w:t xml:space="preserve"> in the trip planner, without price, and without the possibility to buy tickets (and not at all in the booking section). </w:t>
      </w:r>
    </w:p>
    <w:p w14:paraId="617D7759" w14:textId="77777777" w:rsidR="00B911F5" w:rsidRDefault="00B911F5" w:rsidP="00B911F5">
      <w:pPr>
        <w:pBdr>
          <w:top w:val="single" w:sz="4" w:space="4" w:color="auto"/>
          <w:left w:val="single" w:sz="4" w:space="4" w:color="auto"/>
          <w:bottom w:val="single" w:sz="4" w:space="4" w:color="auto"/>
          <w:right w:val="single" w:sz="4" w:space="4" w:color="auto"/>
        </w:pBdr>
        <w:rPr>
          <w:noProof/>
        </w:rPr>
      </w:pPr>
      <w:r w:rsidRPr="005D2D60">
        <w:rPr>
          <w:rFonts w:eastAsia="Calibri"/>
          <w:noProof/>
          <w:lang w:val="en-GB" w:eastAsia="en-GB"/>
        </w:rPr>
        <w:drawing>
          <wp:inline distT="0" distB="0" distL="0" distR="0" wp14:anchorId="25586A93" wp14:editId="4BFD49B1">
            <wp:extent cx="6104255" cy="1176020"/>
            <wp:effectExtent l="0" t="0" r="0" b="5080"/>
            <wp:docPr id="186916481" name="Picture 1" descr="A blue and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34591" name="Picture 1" descr="A blue and red line&#10;&#10;AI-generated content may be incorrect."/>
                    <pic:cNvPicPr/>
                  </pic:nvPicPr>
                  <pic:blipFill>
                    <a:blip r:embed="rId27"/>
                    <a:stretch>
                      <a:fillRect/>
                    </a:stretch>
                  </pic:blipFill>
                  <pic:spPr>
                    <a:xfrm>
                      <a:off x="0" y="0"/>
                      <a:ext cx="6104255" cy="1176020"/>
                    </a:xfrm>
                    <a:prstGeom prst="rect">
                      <a:avLst/>
                    </a:prstGeom>
                  </pic:spPr>
                </pic:pic>
              </a:graphicData>
            </a:graphic>
          </wp:inline>
        </w:drawing>
      </w:r>
    </w:p>
    <w:p w14:paraId="516AD885" w14:textId="78355C6F" w:rsidR="00E3688D" w:rsidRPr="00F13353" w:rsidRDefault="00006733" w:rsidP="00371438">
      <w:pPr>
        <w:tabs>
          <w:tab w:val="left" w:pos="1849"/>
        </w:tabs>
        <w:spacing w:before="240" w:after="240"/>
        <w:jc w:val="both"/>
        <w:rPr>
          <w:noProof/>
          <w:spacing w:val="-8"/>
        </w:rPr>
      </w:pPr>
      <w:r>
        <w:rPr>
          <w:noProof/>
          <w:spacing w:val="-8"/>
        </w:rPr>
        <w:t>The</w:t>
      </w:r>
      <w:r w:rsidRPr="00F13353">
        <w:rPr>
          <w:noProof/>
          <w:spacing w:val="-8"/>
        </w:rPr>
        <w:t xml:space="preserve"> </w:t>
      </w:r>
      <w:r w:rsidR="00E3688D" w:rsidRPr="00F13353">
        <w:rPr>
          <w:noProof/>
          <w:spacing w:val="-8"/>
        </w:rPr>
        <w:t>targeted survey conducted in 2025, in the context of the impact assessment support study, revealed opposing views between independent MDMS platforms and indispensable RU platforms, and other stakeholders</w:t>
      </w:r>
      <w:r w:rsidR="00320CFF" w:rsidRPr="00F13353">
        <w:rPr>
          <w:noProof/>
          <w:spacing w:val="-8"/>
        </w:rPr>
        <w:t xml:space="preserve"> on whether</w:t>
      </w:r>
      <w:r w:rsidR="00C8429B" w:rsidRPr="00F13353">
        <w:rPr>
          <w:noProof/>
          <w:spacing w:val="-8"/>
        </w:rPr>
        <w:t xml:space="preserve"> they agree with problem 2</w:t>
      </w:r>
      <w:r w:rsidR="00F26A5F">
        <w:rPr>
          <w:rStyle w:val="FootnoteReference"/>
          <w:noProof/>
          <w:spacing w:val="-8"/>
        </w:rPr>
        <w:footnoteReference w:id="76"/>
      </w:r>
      <w:r w:rsidR="00E3688D" w:rsidRPr="00F13353">
        <w:rPr>
          <w:noProof/>
          <w:spacing w:val="-8"/>
        </w:rPr>
        <w:t xml:space="preserve">. Most independent MDMS platforms that responded to the survey (14 of 20) disagreed </w:t>
      </w:r>
      <w:r w:rsidR="00E3688D" w:rsidRPr="00F13353">
        <w:rPr>
          <w:rFonts w:eastAsiaTheme="minorEastAsia"/>
          <w:noProof/>
          <w:spacing w:val="-8"/>
        </w:rPr>
        <w:t xml:space="preserve">with problem </w:t>
      </w:r>
      <w:r w:rsidR="00C8429B" w:rsidRPr="00F13353">
        <w:rPr>
          <w:rFonts w:eastAsiaTheme="minorEastAsia"/>
          <w:noProof/>
          <w:spacing w:val="-8"/>
        </w:rPr>
        <w:t>2</w:t>
      </w:r>
      <w:r w:rsidR="00E3688D" w:rsidRPr="00F13353">
        <w:rPr>
          <w:rFonts w:eastAsiaTheme="minorEastAsia"/>
          <w:noProof/>
          <w:spacing w:val="-8"/>
        </w:rPr>
        <w:t xml:space="preserve">, as did most </w:t>
      </w:r>
      <w:r w:rsidR="00E3688D" w:rsidRPr="00F13353">
        <w:rPr>
          <w:noProof/>
          <w:spacing w:val="-8"/>
        </w:rPr>
        <w:t>indispensable RU platforms that replied (4 of 5)</w:t>
      </w:r>
      <w:r w:rsidR="00E3688D" w:rsidRPr="00F13353">
        <w:rPr>
          <w:noProof/>
          <w:spacing w:val="-8"/>
          <w:vertAlign w:val="superscript"/>
        </w:rPr>
        <w:footnoteReference w:id="77"/>
      </w:r>
      <w:r w:rsidR="00E3688D" w:rsidRPr="00F13353">
        <w:rPr>
          <w:noProof/>
          <w:spacing w:val="-8"/>
        </w:rPr>
        <w:t xml:space="preserve">, outlining that their business model relies on offering a broad range of content and that any absence of operators results from restrictive or economically unviable contractual terms imposed by those operators, or, in rare cases, concerns about service quality. By contrast, only 8 of 31 transport operators – of which 4 own an indispensable RU platform – disagreed with Problem </w:t>
      </w:r>
      <w:r w:rsidR="00E32DEE" w:rsidRPr="00F13353">
        <w:rPr>
          <w:noProof/>
          <w:spacing w:val="-8"/>
        </w:rPr>
        <w:t>2</w:t>
      </w:r>
      <w:r w:rsidR="00E3688D" w:rsidRPr="00F13353">
        <w:rPr>
          <w:rFonts w:eastAsiaTheme="majorEastAsia"/>
          <w:noProof/>
          <w:spacing w:val="-8"/>
          <w:vertAlign w:val="superscript"/>
        </w:rPr>
        <w:footnoteReference w:id="78"/>
      </w:r>
      <w:r w:rsidR="00E3688D" w:rsidRPr="00F13353">
        <w:rPr>
          <w:noProof/>
          <w:spacing w:val="-8"/>
        </w:rPr>
        <w:t xml:space="preserve"> in the targeted survey, while 16 agreed</w:t>
      </w:r>
      <w:r w:rsidR="00E3688D" w:rsidRPr="00F13353">
        <w:rPr>
          <w:noProof/>
          <w:spacing w:val="-8"/>
          <w:vertAlign w:val="superscript"/>
        </w:rPr>
        <w:footnoteReference w:id="79"/>
      </w:r>
      <w:r w:rsidR="00E3688D" w:rsidRPr="00F13353">
        <w:rPr>
          <w:noProof/>
          <w:spacing w:val="-8"/>
        </w:rPr>
        <w:t>. In addition, 8 out of 13 national authorities that replied confirmed that some transport operators face uneven access to platforms. Similarly, 7 out of 11 NGOs and consumer organisations surveyed agreed, noting that platforms owned by railway incumbents dominate national markets and often restrict competitor access</w:t>
      </w:r>
      <w:r w:rsidR="00E3688D" w:rsidRPr="00F13353">
        <w:rPr>
          <w:noProof/>
          <w:spacing w:val="-8"/>
          <w:vertAlign w:val="superscript"/>
        </w:rPr>
        <w:footnoteReference w:id="80"/>
      </w:r>
      <w:r w:rsidR="00E3688D" w:rsidRPr="00F13353">
        <w:rPr>
          <w:noProof/>
          <w:spacing w:val="-8"/>
        </w:rPr>
        <w:t>.</w:t>
      </w:r>
    </w:p>
    <w:p w14:paraId="7EEFABF2" w14:textId="7DB25F93" w:rsidR="00DB6D56" w:rsidRPr="00836BFB" w:rsidRDefault="00C335ED" w:rsidP="00C35A76">
      <w:pPr>
        <w:tabs>
          <w:tab w:val="left" w:pos="1134"/>
        </w:tabs>
        <w:spacing w:after="240"/>
        <w:jc w:val="both"/>
        <w:rPr>
          <w:i/>
          <w:noProof/>
          <w:spacing w:val="-8"/>
        </w:rPr>
      </w:pPr>
      <w:r w:rsidRPr="00836BFB">
        <w:rPr>
          <w:i/>
          <w:noProof/>
          <w:spacing w:val="-8"/>
        </w:rPr>
        <w:t xml:space="preserve">MDMS platforms willing to </w:t>
      </w:r>
      <w:r w:rsidR="00A0207F" w:rsidRPr="00836BFB">
        <w:rPr>
          <w:i/>
          <w:noProof/>
          <w:spacing w:val="-8"/>
        </w:rPr>
        <w:t>sell</w:t>
      </w:r>
      <w:r w:rsidR="007F2169" w:rsidRPr="00836BFB">
        <w:rPr>
          <w:i/>
          <w:noProof/>
          <w:spacing w:val="-8"/>
        </w:rPr>
        <w:t xml:space="preserve"> </w:t>
      </w:r>
      <w:r w:rsidRPr="00836BFB">
        <w:rPr>
          <w:i/>
          <w:noProof/>
          <w:spacing w:val="-8"/>
        </w:rPr>
        <w:t xml:space="preserve">do not have access to </w:t>
      </w:r>
      <w:r w:rsidR="00DC317E" w:rsidRPr="00836BFB">
        <w:rPr>
          <w:i/>
          <w:noProof/>
          <w:spacing w:val="-8"/>
        </w:rPr>
        <w:t>all</w:t>
      </w:r>
      <w:r w:rsidRPr="00836BFB">
        <w:rPr>
          <w:i/>
          <w:noProof/>
          <w:spacing w:val="-8"/>
        </w:rPr>
        <w:t xml:space="preserve"> </w:t>
      </w:r>
      <w:r w:rsidR="00DD578D">
        <w:rPr>
          <w:i/>
          <w:noProof/>
          <w:spacing w:val="-8"/>
        </w:rPr>
        <w:t>(</w:t>
      </w:r>
      <w:r w:rsidR="00DD578D" w:rsidRPr="00DD578D">
        <w:rPr>
          <w:i/>
          <w:noProof/>
          <w:spacing w:val="-8"/>
        </w:rPr>
        <w:t>rail</w:t>
      </w:r>
      <w:r w:rsidR="00DD578D">
        <w:rPr>
          <w:i/>
          <w:noProof/>
          <w:spacing w:val="-8"/>
        </w:rPr>
        <w:t xml:space="preserve">) </w:t>
      </w:r>
      <w:r w:rsidR="002D668D" w:rsidRPr="00836BFB">
        <w:rPr>
          <w:i/>
          <w:noProof/>
          <w:spacing w:val="-8"/>
        </w:rPr>
        <w:t>offers</w:t>
      </w:r>
    </w:p>
    <w:p w14:paraId="2790A9C8" w14:textId="3CE5414C" w:rsidR="00C0530C" w:rsidRPr="00F13353" w:rsidRDefault="00FB2F13" w:rsidP="00C0530C">
      <w:pPr>
        <w:tabs>
          <w:tab w:val="left" w:pos="1134"/>
        </w:tabs>
        <w:spacing w:after="240"/>
        <w:jc w:val="both"/>
        <w:rPr>
          <w:noProof/>
          <w:spacing w:val="-8"/>
        </w:rPr>
      </w:pPr>
      <w:r w:rsidRPr="00F13353">
        <w:rPr>
          <w:noProof/>
          <w:spacing w:val="-8"/>
        </w:rPr>
        <w:t>Passengers struggle to find and compare alternatives offered by RUs and are often unable to book their entire journey through a single platform.</w:t>
      </w:r>
      <w:r w:rsidR="00E35AC9" w:rsidRPr="00F13353">
        <w:rPr>
          <w:noProof/>
          <w:spacing w:val="-8"/>
        </w:rPr>
        <w:t xml:space="preserve"> </w:t>
      </w:r>
      <w:r w:rsidR="00C0530C" w:rsidRPr="00F13353">
        <w:rPr>
          <w:noProof/>
          <w:spacing w:val="-8"/>
        </w:rPr>
        <w:t>The 2024 Eurobarometer survey on Multimodal Digital Mobility Services shows that ticketing barriers are higher for rail journeys involving multiple RUs: 23% of respondents could not find a suitable combination, 11% did not know how to find information and 9% could not buy all tickets in one place. The higher barriers to finding single ticket journeys involving different RUs makes rail less accessible and attractive for passengers and limits its potential to contribute to a more sustainable and multimodal transport system. It is therefore essential that platforms have access to tickets that RUs might not have an interest in sharing, but that are necessary to establish a critical mass of travel offers, in view of the number and scope of these connections and/or the lack of alternatives. This is the case of rail tickets for services provided by a RU that has a very large market share in a geographical area (see</w:t>
      </w:r>
      <w:r w:rsidR="005B38C3" w:rsidRPr="00F13353">
        <w:rPr>
          <w:noProof/>
          <w:spacing w:val="-8"/>
        </w:rPr>
        <w:t xml:space="preserve"> </w:t>
      </w:r>
      <w:r w:rsidR="005B38C3" w:rsidRPr="00F13353">
        <w:rPr>
          <w:noProof/>
          <w:spacing w:val="-8"/>
        </w:rPr>
        <w:fldChar w:fldCharType="begin"/>
      </w:r>
      <w:r w:rsidR="005B38C3" w:rsidRPr="00F13353">
        <w:rPr>
          <w:noProof/>
          <w:spacing w:val="-8"/>
        </w:rPr>
        <w:instrText xml:space="preserve"> REF _Ref223984190 \h </w:instrText>
      </w:r>
      <w:r w:rsidR="00F13353" w:rsidRPr="00F13353">
        <w:rPr>
          <w:noProof/>
          <w:spacing w:val="-8"/>
        </w:rPr>
        <w:instrText xml:space="preserve"> \* MERGEFORMAT </w:instrText>
      </w:r>
      <w:r w:rsidR="005B38C3" w:rsidRPr="00F13353">
        <w:rPr>
          <w:noProof/>
          <w:spacing w:val="-8"/>
        </w:rPr>
      </w:r>
      <w:r w:rsidR="005B38C3" w:rsidRPr="00F13353">
        <w:rPr>
          <w:noProof/>
          <w:spacing w:val="-8"/>
        </w:rPr>
        <w:fldChar w:fldCharType="separate"/>
      </w:r>
      <w:r>
        <w:rPr>
          <w:noProof/>
          <w:spacing w:val="-8"/>
        </w:rPr>
        <w:t>Figure 5</w:t>
      </w:r>
      <w:r w:rsidR="005B38C3" w:rsidRPr="00F13353">
        <w:rPr>
          <w:noProof/>
          <w:spacing w:val="-8"/>
        </w:rPr>
        <w:fldChar w:fldCharType="end"/>
      </w:r>
      <w:r w:rsidR="00C0530C" w:rsidRPr="00F13353">
        <w:rPr>
          <w:noProof/>
          <w:spacing w:val="-8"/>
        </w:rPr>
        <w:t>)</w:t>
      </w:r>
      <w:r w:rsidR="00C0530C" w:rsidRPr="00F13353">
        <w:rPr>
          <w:noProof/>
          <w:spacing w:val="-8"/>
          <w:vertAlign w:val="superscript"/>
        </w:rPr>
        <w:footnoteReference w:id="81"/>
      </w:r>
      <w:r w:rsidR="00C0530C" w:rsidRPr="00F13353">
        <w:rPr>
          <w:noProof/>
          <w:spacing w:val="-8"/>
        </w:rPr>
        <w:t xml:space="preserve"> or under a Public Service Obligation (PSO) contract</w:t>
      </w:r>
      <w:r w:rsidR="00C0530C" w:rsidRPr="00F13353">
        <w:rPr>
          <w:noProof/>
          <w:spacing w:val="-8"/>
          <w:vertAlign w:val="superscript"/>
        </w:rPr>
        <w:footnoteReference w:id="82"/>
      </w:r>
      <w:r w:rsidR="00C0530C" w:rsidRPr="00F13353">
        <w:rPr>
          <w:noProof/>
          <w:spacing w:val="-8"/>
        </w:rPr>
        <w:t xml:space="preserve"> as well as in the case of cross-border services</w:t>
      </w:r>
      <w:r w:rsidR="00C0530C" w:rsidRPr="00F13353">
        <w:rPr>
          <w:noProof/>
          <w:spacing w:val="-8"/>
          <w:vertAlign w:val="superscript"/>
        </w:rPr>
        <w:footnoteReference w:id="83"/>
      </w:r>
      <w:r w:rsidR="00C0530C" w:rsidRPr="00F13353">
        <w:rPr>
          <w:noProof/>
          <w:spacing w:val="-8"/>
        </w:rPr>
        <w:t>. Accordingly, in the rest of this document, operators of these services are referred to as “indispensable RUs”.</w:t>
      </w:r>
    </w:p>
    <w:p w14:paraId="62B488C9" w14:textId="627EA1C3" w:rsidR="005D6D65" w:rsidRPr="005D6D65" w:rsidRDefault="005D6D65" w:rsidP="00FB2F13">
      <w:pPr>
        <w:pStyle w:val="Caption"/>
        <w:keepNext/>
        <w:spacing w:after="120"/>
        <w:rPr>
          <w:noProof/>
          <w:color w:val="auto"/>
          <w:spacing w:val="-8"/>
          <w:sz w:val="22"/>
          <w:szCs w:val="22"/>
        </w:rPr>
      </w:pPr>
      <w:bookmarkStart w:id="42" w:name="_Ref223984190"/>
      <w:r w:rsidRPr="005D6D65">
        <w:rPr>
          <w:noProof/>
          <w:color w:val="auto"/>
          <w:sz w:val="22"/>
          <w:szCs w:val="22"/>
        </w:rPr>
        <w:t xml:space="preserve">Figure </w:t>
      </w:r>
      <w:r w:rsidR="00980256">
        <w:rPr>
          <w:noProof/>
          <w:color w:val="auto"/>
          <w:sz w:val="22"/>
          <w:szCs w:val="22"/>
        </w:rPr>
        <w:fldChar w:fldCharType="begin"/>
      </w:r>
      <w:r w:rsidR="00980256">
        <w:rPr>
          <w:noProof/>
          <w:color w:val="auto"/>
          <w:sz w:val="22"/>
          <w:szCs w:val="22"/>
        </w:rPr>
        <w:instrText xml:space="preserve"> SEQ Figure \* ARABIC </w:instrText>
      </w:r>
      <w:r w:rsidR="00980256">
        <w:rPr>
          <w:noProof/>
          <w:color w:val="auto"/>
          <w:sz w:val="22"/>
          <w:szCs w:val="22"/>
        </w:rPr>
        <w:fldChar w:fldCharType="separate"/>
      </w:r>
      <w:r w:rsidR="0055391F">
        <w:rPr>
          <w:noProof/>
          <w:color w:val="auto"/>
          <w:sz w:val="22"/>
          <w:szCs w:val="22"/>
        </w:rPr>
        <w:t>5</w:t>
      </w:r>
      <w:r w:rsidR="00980256">
        <w:rPr>
          <w:noProof/>
          <w:color w:val="auto"/>
          <w:sz w:val="22"/>
          <w:szCs w:val="22"/>
        </w:rPr>
        <w:fldChar w:fldCharType="end"/>
      </w:r>
      <w:bookmarkEnd w:id="42"/>
      <w:r w:rsidRPr="005D6D65">
        <w:rPr>
          <w:noProof/>
          <w:color w:val="auto"/>
          <w:sz w:val="22"/>
          <w:szCs w:val="22"/>
        </w:rPr>
        <w:t xml:space="preserve">: </w:t>
      </w:r>
      <w:r w:rsidR="00E25E40">
        <w:rPr>
          <w:noProof/>
          <w:color w:val="auto"/>
          <w:sz w:val="22"/>
          <w:szCs w:val="22"/>
        </w:rPr>
        <w:t>Market share of rail operators in 2022</w:t>
      </w:r>
    </w:p>
    <w:p w14:paraId="60DCA85F" w14:textId="20A5743F" w:rsidR="00C50D59" w:rsidRPr="001B7F76" w:rsidRDefault="003E543A" w:rsidP="006C7BC7">
      <w:pPr>
        <w:widowControl w:val="0"/>
        <w:tabs>
          <w:tab w:val="left" w:pos="1134"/>
        </w:tabs>
        <w:spacing w:before="240" w:after="240"/>
        <w:jc w:val="both"/>
        <w:rPr>
          <w:i/>
          <w:noProof/>
          <w:sz w:val="20"/>
          <w:szCs w:val="20"/>
        </w:rPr>
      </w:pPr>
      <w:r>
        <w:rPr>
          <w:noProof/>
          <w:lang w:val="en-GB" w:eastAsia="en-GB"/>
        </w:rPr>
        <w:drawing>
          <wp:anchor distT="0" distB="0" distL="114300" distR="114300" simplePos="0" relativeHeight="251658241" behindDoc="0" locked="0" layoutInCell="1" allowOverlap="1" wp14:anchorId="32F98001" wp14:editId="12BAA420">
            <wp:simplePos x="0" y="0"/>
            <wp:positionH relativeFrom="column">
              <wp:posOffset>149</wp:posOffset>
            </wp:positionH>
            <wp:positionV relativeFrom="paragraph">
              <wp:posOffset>784</wp:posOffset>
            </wp:positionV>
            <wp:extent cx="6079778" cy="2330827"/>
            <wp:effectExtent l="0" t="0" r="0" b="0"/>
            <wp:wrapTopAndBottom/>
            <wp:docPr id="1707212569"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a:stretch>
                      <a:fillRect/>
                    </a:stretch>
                  </pic:blipFill>
                  <pic:spPr bwMode="auto">
                    <a:xfrm>
                      <a:off x="0" y="0"/>
                      <a:ext cx="6079778" cy="233082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0D59" w:rsidRPr="001B7F76">
        <w:rPr>
          <w:i/>
          <w:noProof/>
          <w:sz w:val="20"/>
          <w:szCs w:val="20"/>
        </w:rPr>
        <w:t>Source: Rail market monitoring (RMMS), July 2025</w:t>
      </w:r>
    </w:p>
    <w:p w14:paraId="116AB3F4" w14:textId="436C760C" w:rsidR="00043A21" w:rsidRPr="00F13353" w:rsidRDefault="004B48D6" w:rsidP="00A253E4">
      <w:pPr>
        <w:tabs>
          <w:tab w:val="left" w:pos="1134"/>
        </w:tabs>
        <w:spacing w:after="240"/>
        <w:jc w:val="both"/>
        <w:rPr>
          <w:noProof/>
          <w:spacing w:val="-8"/>
        </w:rPr>
      </w:pPr>
      <w:r w:rsidRPr="00F13353">
        <w:rPr>
          <w:noProof/>
          <w:spacing w:val="-8"/>
        </w:rPr>
        <w:t>A 2021 study conducted by St. Pölten University of Applied Sciences</w:t>
      </w:r>
      <w:r w:rsidRPr="00F13353">
        <w:rPr>
          <w:noProof/>
          <w:spacing w:val="-8"/>
          <w:vertAlign w:val="superscript"/>
        </w:rPr>
        <w:footnoteReference w:id="84"/>
      </w:r>
      <w:r w:rsidRPr="00F13353">
        <w:rPr>
          <w:noProof/>
          <w:spacing w:val="-8"/>
        </w:rPr>
        <w:t xml:space="preserve"> examined the bookability of international rail journeys and found that approximately one third of customers fail to successfully purchase international train tickets. The study involved 76 participants who attempted 46 European routes on 20 ticketing platforms. Rail bookings failed ten times more often than flights and generally took 15-30 minutes to complete, compared to 5-10 minutes for flights.</w:t>
      </w:r>
    </w:p>
    <w:p w14:paraId="70354BA7" w14:textId="4E852FC0" w:rsidR="005A0D5E" w:rsidRPr="00F13353" w:rsidRDefault="00A253E4" w:rsidP="00A253E4">
      <w:pPr>
        <w:tabs>
          <w:tab w:val="left" w:pos="1134"/>
        </w:tabs>
        <w:spacing w:after="240"/>
        <w:jc w:val="both"/>
        <w:rPr>
          <w:noProof/>
          <w:spacing w:val="-8"/>
        </w:rPr>
      </w:pPr>
      <w:r w:rsidRPr="00F13353">
        <w:rPr>
          <w:noProof/>
          <w:spacing w:val="-8"/>
        </w:rPr>
        <w:t>In 2024, UFC Que Choisir compared train ticket offers on seven booking platforms in France</w:t>
      </w:r>
      <w:r w:rsidRPr="00F13353">
        <w:rPr>
          <w:noProof/>
          <w:spacing w:val="-8"/>
          <w:vertAlign w:val="superscript"/>
        </w:rPr>
        <w:footnoteReference w:id="85"/>
      </w:r>
      <w:r w:rsidRPr="00F13353">
        <w:rPr>
          <w:noProof/>
          <w:spacing w:val="-8"/>
        </w:rPr>
        <w:t xml:space="preserve"> and eleven </w:t>
      </w:r>
      <w:r w:rsidR="0C513FBD" w:rsidRPr="00F13353">
        <w:rPr>
          <w:noProof/>
          <w:spacing w:val="-8"/>
        </w:rPr>
        <w:t>RU</w:t>
      </w:r>
      <w:r w:rsidRPr="00F13353">
        <w:rPr>
          <w:noProof/>
          <w:spacing w:val="-8"/>
        </w:rPr>
        <w:t xml:space="preserve"> platforms across the EU</w:t>
      </w:r>
      <w:r w:rsidRPr="00F13353">
        <w:rPr>
          <w:noProof/>
          <w:spacing w:val="-8"/>
          <w:vertAlign w:val="superscript"/>
        </w:rPr>
        <w:footnoteReference w:id="86"/>
      </w:r>
      <w:r w:rsidRPr="00F13353">
        <w:rPr>
          <w:noProof/>
          <w:spacing w:val="-8"/>
        </w:rPr>
        <w:t>, analysing 24 routes</w:t>
      </w:r>
      <w:r w:rsidRPr="00F13353">
        <w:rPr>
          <w:noProof/>
          <w:spacing w:val="-8"/>
          <w:vertAlign w:val="superscript"/>
        </w:rPr>
        <w:footnoteReference w:id="87"/>
      </w:r>
      <w:r w:rsidRPr="00F13353">
        <w:rPr>
          <w:noProof/>
          <w:spacing w:val="-8"/>
        </w:rPr>
        <w:t>.</w:t>
      </w:r>
      <w:r w:rsidRPr="00F13353" w:rsidDel="0DB495F5">
        <w:rPr>
          <w:noProof/>
          <w:spacing w:val="-8"/>
        </w:rPr>
        <w:t xml:space="preserve"> </w:t>
      </w:r>
      <w:r w:rsidRPr="00F13353">
        <w:rPr>
          <w:noProof/>
          <w:spacing w:val="-8"/>
        </w:rPr>
        <w:t>No platform</w:t>
      </w:r>
      <w:r w:rsidRPr="00F13353" w:rsidDel="0DB495F5">
        <w:rPr>
          <w:noProof/>
          <w:spacing w:val="-8"/>
        </w:rPr>
        <w:t xml:space="preserve"> </w:t>
      </w:r>
      <w:r w:rsidRPr="00F13353">
        <w:rPr>
          <w:noProof/>
          <w:spacing w:val="-8"/>
        </w:rPr>
        <w:t xml:space="preserve">showed all available train options. Even the most complete platforms, such as SNCF Connect and Trainline, lacked key international alternatives such as Trenitalia and ÖBB night trains. Availability, prices, and key details such as class differences or discounts varied widely and were often unclear until late in the booking process. Price differences for the same journey could exceed 85%, and </w:t>
      </w:r>
      <w:r w:rsidRPr="00F13353" w:rsidDel="0DB495F5">
        <w:rPr>
          <w:noProof/>
          <w:spacing w:val="-8"/>
        </w:rPr>
        <w:t>inconsistencies</w:t>
      </w:r>
      <w:r w:rsidRPr="00F13353">
        <w:rPr>
          <w:noProof/>
          <w:spacing w:val="-8"/>
        </w:rPr>
        <w:t xml:space="preserve"> were also observed between </w:t>
      </w:r>
      <w:r w:rsidR="10129FCC" w:rsidRPr="00F13353">
        <w:rPr>
          <w:noProof/>
          <w:spacing w:val="-8"/>
        </w:rPr>
        <w:t>platforms</w:t>
      </w:r>
      <w:r w:rsidRPr="00F13353">
        <w:rPr>
          <w:noProof/>
          <w:spacing w:val="-8"/>
        </w:rPr>
        <w:t xml:space="preserve"> of partner </w:t>
      </w:r>
      <w:r w:rsidR="32A1871B" w:rsidRPr="00F13353">
        <w:rPr>
          <w:noProof/>
          <w:spacing w:val="-8"/>
        </w:rPr>
        <w:t>RUs</w:t>
      </w:r>
      <w:r w:rsidRPr="00F13353">
        <w:rPr>
          <w:noProof/>
          <w:spacing w:val="-8"/>
        </w:rPr>
        <w:t xml:space="preserve">, such as SNCF and Deutsche Bahn on the Paris-Frankfurt line. </w:t>
      </w:r>
    </w:p>
    <w:p w14:paraId="431589A3" w14:textId="77777777" w:rsidR="006760C3" w:rsidRPr="00F13353" w:rsidRDefault="006760C3" w:rsidP="006760C3">
      <w:pPr>
        <w:tabs>
          <w:tab w:val="left" w:pos="1134"/>
        </w:tabs>
        <w:spacing w:after="240"/>
        <w:jc w:val="both"/>
        <w:rPr>
          <w:bCs/>
          <w:noProof/>
          <w:spacing w:val="-8"/>
        </w:rPr>
      </w:pPr>
      <w:r w:rsidRPr="00F13353">
        <w:rPr>
          <w:bCs/>
          <w:noProof/>
          <w:spacing w:val="-8"/>
        </w:rPr>
        <w:t>A T&amp;E study from 2025 compared special rail fares offered by RUs platforms and those available on independent MDMS platforms in four Member States. It showed that operator-specific promotional fares are often not accessible on third-party platforms, resulting in significantly higher prices for passengers who book outside the operators’ own websites. The analysis covered routes in the Netherlands, Belgium, Denmark and Italy and found substantial price differences. In the Netherlands and Belgium, tickets purchased via independent platforms were on average 1.7 to 1.9 times more expensive than the special fares available directly from the railway undertakings. In Denmark, the difference was even more pronounced, with platform prices reaching up to six times the operator’s promotional fare. In Italy, where one special fare was partially available on some platforms, prices were still around 16% higher on platforms that did not provide access to the discounted offer.</w:t>
      </w:r>
    </w:p>
    <w:p w14:paraId="140C88CA" w14:textId="55C74FC0" w:rsidR="00A253E4" w:rsidRPr="00F13353" w:rsidRDefault="00A253E4" w:rsidP="00A253E4">
      <w:pPr>
        <w:tabs>
          <w:tab w:val="left" w:pos="1134"/>
        </w:tabs>
        <w:spacing w:after="240"/>
        <w:jc w:val="both"/>
        <w:rPr>
          <w:noProof/>
          <w:spacing w:val="-8"/>
        </w:rPr>
      </w:pPr>
      <w:r w:rsidRPr="00F13353">
        <w:rPr>
          <w:noProof/>
          <w:spacing w:val="-8"/>
        </w:rPr>
        <w:t>A poll conducted by YouGov for the NGO Transport and Environment</w:t>
      </w:r>
      <w:r w:rsidRPr="00F13353">
        <w:rPr>
          <w:noProof/>
          <w:spacing w:val="-8"/>
          <w:vertAlign w:val="superscript"/>
        </w:rPr>
        <w:footnoteReference w:id="88"/>
      </w:r>
      <w:r w:rsidRPr="00F13353">
        <w:rPr>
          <w:noProof/>
          <w:spacing w:val="-8"/>
        </w:rPr>
        <w:t xml:space="preserve"> outlines similar results. The study surveyed 10,514 adults across seven European countries</w:t>
      </w:r>
      <w:r w:rsidRPr="00F13353">
        <w:rPr>
          <w:noProof/>
          <w:spacing w:val="-8"/>
          <w:vertAlign w:val="superscript"/>
        </w:rPr>
        <w:footnoteReference w:id="89"/>
      </w:r>
      <w:r w:rsidRPr="00F13353">
        <w:rPr>
          <w:noProof/>
          <w:spacing w:val="-8"/>
        </w:rPr>
        <w:t>. Overall, 61% of long-distance rail users surveyed faced difficulties while booking tickets. In total, 42% of participants wish to access more travel options on booking platforms, and 45.6% of respondents wish to be able to book a trip easily and combine tickets of different RUs on a single website. In addition, 43% of long-distance rail passengers surveyed state that they would book more rail travel if ticket booking was easier.</w:t>
      </w:r>
    </w:p>
    <w:p w14:paraId="27950381" w14:textId="2B481431" w:rsidR="00061185" w:rsidRPr="00F13353" w:rsidRDefault="00312C03" w:rsidP="00A253E4">
      <w:pPr>
        <w:tabs>
          <w:tab w:val="left" w:pos="1134"/>
        </w:tabs>
        <w:spacing w:after="240"/>
        <w:jc w:val="both"/>
        <w:rPr>
          <w:noProof/>
          <w:spacing w:val="-8"/>
        </w:rPr>
      </w:pPr>
      <w:r w:rsidRPr="00F13353">
        <w:rPr>
          <w:bCs/>
          <w:noProof/>
          <w:spacing w:val="-8"/>
        </w:rPr>
        <w:t xml:space="preserve">In </w:t>
      </w:r>
      <w:r w:rsidR="00061185" w:rsidRPr="00F13353">
        <w:rPr>
          <w:bCs/>
          <w:noProof/>
          <w:spacing w:val="-8"/>
        </w:rPr>
        <w:t xml:space="preserve">the targeted survey, there was a distinct split in views, with incumbent RUs participating in the survey mostly disagreeing with </w:t>
      </w:r>
      <w:r w:rsidR="00B537F5">
        <w:rPr>
          <w:bCs/>
          <w:noProof/>
          <w:spacing w:val="-8"/>
        </w:rPr>
        <w:t>the above-mentioned p</w:t>
      </w:r>
      <w:r w:rsidR="00061185" w:rsidRPr="00F13353">
        <w:rPr>
          <w:bCs/>
          <w:noProof/>
          <w:spacing w:val="-8"/>
        </w:rPr>
        <w:t>roblem while there was broad support from respondents in other stakeholder groups</w:t>
      </w:r>
      <w:r w:rsidR="00B537F5">
        <w:rPr>
          <w:rStyle w:val="FootnoteReference"/>
          <w:bCs/>
          <w:noProof/>
          <w:spacing w:val="-8"/>
        </w:rPr>
        <w:footnoteReference w:id="90"/>
      </w:r>
      <w:r w:rsidR="00061185" w:rsidRPr="00F13353">
        <w:rPr>
          <w:bCs/>
          <w:noProof/>
          <w:spacing w:val="-8"/>
        </w:rPr>
        <w:t xml:space="preserve">. </w:t>
      </w:r>
      <w:r w:rsidR="00FB75E1" w:rsidRPr="00F13353">
        <w:rPr>
          <w:bCs/>
          <w:noProof/>
          <w:spacing w:val="-8"/>
        </w:rPr>
        <w:t>Only six transport operators out of 30 participating in the survey agreed with Problem 2, mostly new entrant RUs</w:t>
      </w:r>
      <w:r w:rsidR="00CC7F35" w:rsidRPr="00F13353">
        <w:rPr>
          <w:bCs/>
          <w:noProof/>
          <w:spacing w:val="-8"/>
        </w:rPr>
        <w:t>, while</w:t>
      </w:r>
      <w:r w:rsidR="00061185" w:rsidRPr="00F13353">
        <w:rPr>
          <w:bCs/>
          <w:noProof/>
          <w:spacing w:val="-8"/>
        </w:rPr>
        <w:t xml:space="preserve"> one large national RU argued that offers should be displayed only if they provide for a positive business case. On the other hand, all 20 independent MDMS platforms responding to the survey agreed with Problem 2 as did all 11 ‘other’ stakeholders (including consumer organisations, NGOs, individual experts). </w:t>
      </w:r>
      <w:r w:rsidR="005C6414" w:rsidRPr="00F13353">
        <w:rPr>
          <w:bCs/>
          <w:noProof/>
          <w:spacing w:val="-8"/>
        </w:rPr>
        <w:t>Consumer groups BEUC and EPF</w:t>
      </w:r>
      <w:r w:rsidR="4B76EDEA" w:rsidRPr="00F13353">
        <w:rPr>
          <w:noProof/>
          <w:spacing w:val="-8"/>
        </w:rPr>
        <w:t xml:space="preserve"> (European Passengers’ Federation)</w:t>
      </w:r>
      <w:r w:rsidR="005C6414" w:rsidRPr="00F13353">
        <w:rPr>
          <w:bCs/>
          <w:noProof/>
          <w:spacing w:val="-8"/>
        </w:rPr>
        <w:t xml:space="preserve"> highlighted issues </w:t>
      </w:r>
      <w:r w:rsidR="00221911" w:rsidRPr="00F13353">
        <w:rPr>
          <w:bCs/>
          <w:noProof/>
          <w:spacing w:val="-8"/>
        </w:rPr>
        <w:t xml:space="preserve">in </w:t>
      </w:r>
      <w:r w:rsidR="005C6414" w:rsidRPr="00F13353">
        <w:rPr>
          <w:bCs/>
          <w:noProof/>
          <w:spacing w:val="-8"/>
        </w:rPr>
        <w:t xml:space="preserve">international rail travel, as it involves multiple national RUs with different booking systems, data standards, ticketing rules, refund policies, and real-time information protocols. </w:t>
      </w:r>
      <w:r w:rsidR="00061185" w:rsidRPr="00F13353">
        <w:rPr>
          <w:bCs/>
          <w:noProof/>
          <w:spacing w:val="-8"/>
        </w:rPr>
        <w:t>Among national authorities, 10 out of 13 responding to the survey agreed with the problem.</w:t>
      </w:r>
    </w:p>
    <w:p w14:paraId="49B2C336" w14:textId="2B42E9F3" w:rsidR="00C06AE4" w:rsidRDefault="2471901C" w:rsidP="007B2D8E">
      <w:pPr>
        <w:pStyle w:val="Heading2"/>
        <w:keepNext/>
        <w:numPr>
          <w:ilvl w:val="1"/>
          <w:numId w:val="11"/>
        </w:numPr>
        <w:tabs>
          <w:tab w:val="left" w:pos="709"/>
        </w:tabs>
        <w:spacing w:before="240" w:after="240"/>
        <w:ind w:left="1134" w:hanging="708"/>
        <w:rPr>
          <w:noProof/>
        </w:rPr>
      </w:pPr>
      <w:bookmarkStart w:id="43" w:name="_Toc220667479"/>
      <w:bookmarkStart w:id="44" w:name="_Toc223979943"/>
      <w:r w:rsidRPr="00D71008">
        <w:rPr>
          <w:noProof/>
        </w:rPr>
        <w:t>What are the problem drivers?</w:t>
      </w:r>
      <w:bookmarkEnd w:id="43"/>
      <w:bookmarkEnd w:id="44"/>
    </w:p>
    <w:p w14:paraId="61B39F36" w14:textId="1C576F6D" w:rsidR="00E22112" w:rsidRPr="00B13563" w:rsidRDefault="00BE6B1A" w:rsidP="003E3358">
      <w:pPr>
        <w:tabs>
          <w:tab w:val="left" w:pos="1134"/>
        </w:tabs>
        <w:spacing w:before="120" w:after="240"/>
        <w:jc w:val="both"/>
        <w:rPr>
          <w:noProof/>
          <w:spacing w:val="-8"/>
          <w:lang w:val="en-GB"/>
        </w:rPr>
      </w:pPr>
      <w:r w:rsidRPr="003E3358">
        <w:rPr>
          <w:noProof/>
          <w:spacing w:val="-8"/>
        </w:rPr>
        <w:t xml:space="preserve">Four </w:t>
      </w:r>
      <w:r>
        <w:rPr>
          <w:noProof/>
          <w:spacing w:val="-8"/>
        </w:rPr>
        <w:t xml:space="preserve">problem drivers were identified which </w:t>
      </w:r>
      <w:r w:rsidR="00553233">
        <w:rPr>
          <w:noProof/>
          <w:spacing w:val="-8"/>
        </w:rPr>
        <w:t>are considered exhaustive</w:t>
      </w:r>
      <w:r w:rsidR="006D7CAB">
        <w:rPr>
          <w:noProof/>
          <w:spacing w:val="-8"/>
        </w:rPr>
        <w:t xml:space="preserve"> </w:t>
      </w:r>
      <w:r w:rsidR="003B2AF9">
        <w:rPr>
          <w:noProof/>
          <w:spacing w:val="-8"/>
        </w:rPr>
        <w:t>–</w:t>
      </w:r>
      <w:r w:rsidR="006D7CAB">
        <w:rPr>
          <w:noProof/>
          <w:spacing w:val="-8"/>
        </w:rPr>
        <w:t xml:space="preserve"> </w:t>
      </w:r>
      <w:r w:rsidR="00DE408F">
        <w:rPr>
          <w:noProof/>
          <w:spacing w:val="-8"/>
        </w:rPr>
        <w:t xml:space="preserve">addressing them is expected to </w:t>
      </w:r>
      <w:r w:rsidR="00EE5F43">
        <w:rPr>
          <w:noProof/>
          <w:spacing w:val="-8"/>
        </w:rPr>
        <w:t xml:space="preserve">tackle problems related to competition in the online ticket distribution market and foster </w:t>
      </w:r>
      <w:r w:rsidR="00DE1262">
        <w:rPr>
          <w:noProof/>
          <w:spacing w:val="-8"/>
        </w:rPr>
        <w:t xml:space="preserve">completeness of the </w:t>
      </w:r>
      <w:r w:rsidR="00622818">
        <w:rPr>
          <w:noProof/>
        </w:rPr>
        <w:t xml:space="preserve">rail </w:t>
      </w:r>
      <w:r w:rsidR="00DE1262">
        <w:rPr>
          <w:noProof/>
          <w:spacing w:val="-8"/>
        </w:rPr>
        <w:t>offer on MDMS platforms.</w:t>
      </w:r>
      <w:r w:rsidR="00333BC1" w:rsidRPr="00333BC1">
        <w:rPr>
          <w:noProof/>
        </w:rPr>
        <w:t xml:space="preserve"> </w:t>
      </w:r>
      <w:r w:rsidR="00333BC1" w:rsidRPr="0075374E">
        <w:rPr>
          <w:noProof/>
          <w:spacing w:val="-8"/>
        </w:rPr>
        <w:t>Nevertheless, it</w:t>
      </w:r>
      <w:r w:rsidR="003B46B6" w:rsidRPr="0075374E">
        <w:rPr>
          <w:noProof/>
          <w:spacing w:val="-8"/>
        </w:rPr>
        <w:t xml:space="preserve"> should be acknowledge</w:t>
      </w:r>
      <w:r w:rsidR="0014601D" w:rsidRPr="0075374E">
        <w:rPr>
          <w:noProof/>
          <w:spacing w:val="-8"/>
        </w:rPr>
        <w:t xml:space="preserve">d that the </w:t>
      </w:r>
      <w:r w:rsidR="00333BC1" w:rsidRPr="0075374E">
        <w:rPr>
          <w:noProof/>
          <w:spacing w:val="-8"/>
        </w:rPr>
        <w:t xml:space="preserve">objectives of </w:t>
      </w:r>
      <w:r w:rsidR="00BE4E88" w:rsidRPr="0075374E">
        <w:rPr>
          <w:noProof/>
          <w:spacing w:val="-8"/>
        </w:rPr>
        <w:t xml:space="preserve">promoting </w:t>
      </w:r>
      <w:r w:rsidR="0014601D" w:rsidRPr="0075374E">
        <w:rPr>
          <w:noProof/>
          <w:spacing w:val="-8"/>
        </w:rPr>
        <w:t>multimodality and modal shift are</w:t>
      </w:r>
      <w:r w:rsidR="00412143" w:rsidRPr="0075374E">
        <w:rPr>
          <w:noProof/>
          <w:spacing w:val="-8"/>
        </w:rPr>
        <w:t xml:space="preserve"> </w:t>
      </w:r>
      <w:r w:rsidR="00333BC1" w:rsidRPr="0075374E">
        <w:rPr>
          <w:noProof/>
          <w:spacing w:val="-8"/>
        </w:rPr>
        <w:t xml:space="preserve">also </w:t>
      </w:r>
      <w:r w:rsidR="00412143" w:rsidRPr="0075374E">
        <w:rPr>
          <w:noProof/>
          <w:spacing w:val="-8"/>
        </w:rPr>
        <w:t xml:space="preserve">linked to other challenges, </w:t>
      </w:r>
      <w:r w:rsidR="00333BC1" w:rsidRPr="0075374E">
        <w:rPr>
          <w:noProof/>
          <w:spacing w:val="-8"/>
        </w:rPr>
        <w:t>particularly those concerning</w:t>
      </w:r>
      <w:r w:rsidR="00412143" w:rsidRPr="0075374E">
        <w:rPr>
          <w:noProof/>
          <w:spacing w:val="-8"/>
        </w:rPr>
        <w:t xml:space="preserve"> infrastructure </w:t>
      </w:r>
      <w:r w:rsidR="00A74E9A" w:rsidRPr="0075374E">
        <w:rPr>
          <w:noProof/>
          <w:spacing w:val="-8"/>
        </w:rPr>
        <w:t xml:space="preserve">use and </w:t>
      </w:r>
      <w:r w:rsidR="00412143" w:rsidRPr="0075374E">
        <w:rPr>
          <w:noProof/>
          <w:spacing w:val="-8"/>
        </w:rPr>
        <w:t>development</w:t>
      </w:r>
      <w:r w:rsidR="00333BC1" w:rsidRPr="0075374E">
        <w:rPr>
          <w:noProof/>
          <w:spacing w:val="-8"/>
        </w:rPr>
        <w:t xml:space="preserve">, </w:t>
      </w:r>
      <w:r w:rsidR="004457C8" w:rsidRPr="0075374E">
        <w:rPr>
          <w:noProof/>
          <w:spacing w:val="-8"/>
        </w:rPr>
        <w:t xml:space="preserve">interoperability, </w:t>
      </w:r>
      <w:r w:rsidR="00333BC1" w:rsidRPr="0075374E">
        <w:rPr>
          <w:noProof/>
          <w:spacing w:val="-8"/>
        </w:rPr>
        <w:t>as well as</w:t>
      </w:r>
      <w:r w:rsidR="00412143" w:rsidRPr="0075374E">
        <w:rPr>
          <w:noProof/>
          <w:spacing w:val="-8"/>
        </w:rPr>
        <w:t xml:space="preserve"> passenger rights. </w:t>
      </w:r>
      <w:r w:rsidR="00333BC1" w:rsidRPr="0075374E">
        <w:rPr>
          <w:noProof/>
          <w:spacing w:val="-8"/>
        </w:rPr>
        <w:t xml:space="preserve">These issues </w:t>
      </w:r>
      <w:r w:rsidR="00412143" w:rsidRPr="0075374E">
        <w:rPr>
          <w:noProof/>
          <w:spacing w:val="-8"/>
        </w:rPr>
        <w:t xml:space="preserve">are </w:t>
      </w:r>
      <w:r w:rsidR="00333BC1" w:rsidRPr="0075374E">
        <w:rPr>
          <w:noProof/>
          <w:spacing w:val="-8"/>
        </w:rPr>
        <w:t xml:space="preserve">being </w:t>
      </w:r>
      <w:r w:rsidR="00412143" w:rsidRPr="0075374E">
        <w:rPr>
          <w:noProof/>
          <w:spacing w:val="-8"/>
        </w:rPr>
        <w:t xml:space="preserve">addressed </w:t>
      </w:r>
      <w:r w:rsidR="00333BC1" w:rsidRPr="0075374E">
        <w:rPr>
          <w:noProof/>
          <w:spacing w:val="-8"/>
        </w:rPr>
        <w:t>through</w:t>
      </w:r>
      <w:r w:rsidR="00412143" w:rsidRPr="0075374E">
        <w:rPr>
          <w:noProof/>
          <w:spacing w:val="-8"/>
        </w:rPr>
        <w:t xml:space="preserve"> other </w:t>
      </w:r>
      <w:r w:rsidR="00333BC1" w:rsidRPr="0075374E">
        <w:rPr>
          <w:noProof/>
          <w:spacing w:val="-8"/>
        </w:rPr>
        <w:t>initiatives, for example,</w:t>
      </w:r>
      <w:r w:rsidR="00E21CF7" w:rsidRPr="0075374E">
        <w:rPr>
          <w:noProof/>
          <w:spacing w:val="-8"/>
        </w:rPr>
        <w:t xml:space="preserve"> the 2023 proposal</w:t>
      </w:r>
      <w:r w:rsidR="00333BC1" w:rsidRPr="0075374E">
        <w:rPr>
          <w:noProof/>
          <w:spacing w:val="-8"/>
        </w:rPr>
        <w:t xml:space="preserve"> </w:t>
      </w:r>
      <w:r w:rsidR="00D75884" w:rsidRPr="0075374E">
        <w:rPr>
          <w:noProof/>
          <w:spacing w:val="-8"/>
        </w:rPr>
        <w:t>on the use of railway infrastructure capacity in the SERA</w:t>
      </w:r>
      <w:r w:rsidR="00D75884">
        <w:rPr>
          <w:rStyle w:val="FootnoteReference"/>
          <w:noProof/>
          <w:spacing w:val="-8"/>
        </w:rPr>
        <w:footnoteReference w:id="91"/>
      </w:r>
      <w:r w:rsidR="003B4E5E" w:rsidRPr="0075374E">
        <w:rPr>
          <w:noProof/>
          <w:spacing w:val="-8"/>
        </w:rPr>
        <w:t xml:space="preserve">, </w:t>
      </w:r>
      <w:r w:rsidR="00333BC1" w:rsidRPr="0075374E">
        <w:rPr>
          <w:noProof/>
          <w:spacing w:val="-8"/>
        </w:rPr>
        <w:t xml:space="preserve">and </w:t>
      </w:r>
      <w:r w:rsidR="00E21CF7" w:rsidRPr="0075374E">
        <w:rPr>
          <w:noProof/>
          <w:spacing w:val="-8"/>
        </w:rPr>
        <w:t xml:space="preserve">infrastructure development </w:t>
      </w:r>
      <w:r w:rsidR="00333BC1" w:rsidRPr="0075374E">
        <w:rPr>
          <w:noProof/>
          <w:spacing w:val="-8"/>
        </w:rPr>
        <w:t>under</w:t>
      </w:r>
      <w:r w:rsidR="00E21CF7" w:rsidRPr="0075374E">
        <w:rPr>
          <w:noProof/>
          <w:spacing w:val="-8"/>
        </w:rPr>
        <w:t xml:space="preserve"> TEN-T</w:t>
      </w:r>
      <w:r w:rsidR="00630279">
        <w:rPr>
          <w:rStyle w:val="FootnoteReference"/>
          <w:noProof/>
          <w:spacing w:val="-8"/>
        </w:rPr>
        <w:footnoteReference w:id="92"/>
      </w:r>
      <w:r w:rsidR="00034285" w:rsidRPr="0075374E">
        <w:rPr>
          <w:noProof/>
          <w:spacing w:val="-8"/>
        </w:rPr>
        <w:t xml:space="preserve">, while </w:t>
      </w:r>
      <w:r w:rsidR="00E21CF7" w:rsidRPr="0075374E">
        <w:rPr>
          <w:noProof/>
          <w:spacing w:val="-8"/>
        </w:rPr>
        <w:t xml:space="preserve">data exchange and standardisation have been addressed </w:t>
      </w:r>
      <w:r w:rsidR="00333BC1" w:rsidRPr="0075374E">
        <w:rPr>
          <w:noProof/>
          <w:spacing w:val="-8"/>
        </w:rPr>
        <w:t>through</w:t>
      </w:r>
      <w:r w:rsidR="00E21CF7" w:rsidRPr="0075374E">
        <w:rPr>
          <w:noProof/>
          <w:spacing w:val="-8"/>
        </w:rPr>
        <w:t xml:space="preserve"> the </w:t>
      </w:r>
      <w:r w:rsidR="00B13563" w:rsidRPr="0075374E">
        <w:rPr>
          <w:noProof/>
          <w:spacing w:val="-8"/>
        </w:rPr>
        <w:t>functional and technical specifications for telematics applications (TEL TSI)</w:t>
      </w:r>
      <w:r w:rsidR="00B13563" w:rsidRPr="00B13563">
        <w:rPr>
          <w:bCs/>
          <w:noProof/>
          <w:spacing w:val="-8"/>
          <w:vertAlign w:val="superscript"/>
          <w:lang w:val="en-GB"/>
        </w:rPr>
        <w:footnoteReference w:id="93"/>
      </w:r>
      <w:r w:rsidR="00B13563" w:rsidRPr="0075374E">
        <w:rPr>
          <w:noProof/>
          <w:spacing w:val="-8"/>
        </w:rPr>
        <w:t>.</w:t>
      </w:r>
    </w:p>
    <w:p w14:paraId="639F9CFB" w14:textId="6984677D" w:rsidR="005F6C44" w:rsidRPr="00237A70" w:rsidRDefault="005F6C44" w:rsidP="005F6C44">
      <w:pPr>
        <w:pStyle w:val="Heading2"/>
        <w:keepNext/>
        <w:keepLines/>
        <w:numPr>
          <w:ilvl w:val="2"/>
          <w:numId w:val="11"/>
        </w:numPr>
        <w:tabs>
          <w:tab w:val="left" w:pos="709"/>
        </w:tabs>
        <w:spacing w:before="240" w:after="240"/>
        <w:rPr>
          <w:b w:val="0"/>
          <w:i/>
          <w:noProof/>
        </w:rPr>
      </w:pPr>
      <w:bookmarkStart w:id="45" w:name="_Toc223979944"/>
      <w:bookmarkStart w:id="46" w:name="_Toc222748972"/>
      <w:r w:rsidRPr="00D71008">
        <w:rPr>
          <w:b w:val="0"/>
          <w:i/>
          <w:noProof/>
        </w:rPr>
        <w:t xml:space="preserve">Problem Driver </w:t>
      </w:r>
      <w:r>
        <w:rPr>
          <w:b w:val="0"/>
          <w:i/>
          <w:noProof/>
        </w:rPr>
        <w:t>1</w:t>
      </w:r>
      <w:r w:rsidRPr="00D71008">
        <w:rPr>
          <w:b w:val="0"/>
          <w:i/>
          <w:noProof/>
        </w:rPr>
        <w:t>: Regulatory framework no longer fit for purpose due to market and technological changes in air ticket distribution</w:t>
      </w:r>
      <w:bookmarkEnd w:id="45"/>
      <w:r w:rsidR="00F12D17">
        <w:rPr>
          <w:b w:val="0"/>
          <w:i/>
          <w:noProof/>
        </w:rPr>
        <w:t xml:space="preserve"> (PD1) </w:t>
      </w:r>
    </w:p>
    <w:p w14:paraId="7D5644E3" w14:textId="2A647F1C" w:rsidR="005F6C44" w:rsidRPr="00780992" w:rsidRDefault="005F6C44" w:rsidP="005F6C44">
      <w:pPr>
        <w:tabs>
          <w:tab w:val="left" w:pos="1134"/>
        </w:tabs>
        <w:spacing w:after="240"/>
        <w:jc w:val="both"/>
        <w:rPr>
          <w:noProof/>
        </w:rPr>
      </w:pPr>
      <w:r w:rsidRPr="00780992">
        <w:rPr>
          <w:noProof/>
          <w:spacing w:val="-8"/>
        </w:rPr>
        <w:t xml:space="preserve">This problem driver links to Problem </w:t>
      </w:r>
      <w:r w:rsidR="00377674">
        <w:rPr>
          <w:noProof/>
          <w:spacing w:val="-8"/>
        </w:rPr>
        <w:t>1</w:t>
      </w:r>
      <w:r w:rsidR="00377674" w:rsidRPr="00780992">
        <w:rPr>
          <w:noProof/>
          <w:spacing w:val="-8"/>
        </w:rPr>
        <w:t xml:space="preserve"> </w:t>
      </w:r>
      <w:r w:rsidRPr="00780992">
        <w:rPr>
          <w:noProof/>
          <w:spacing w:val="-8"/>
        </w:rPr>
        <w:t xml:space="preserve">and reflects </w:t>
      </w:r>
      <w:r w:rsidRPr="003C6952">
        <w:rPr>
          <w:noProof/>
          <w:spacing w:val="-8"/>
        </w:rPr>
        <w:t xml:space="preserve">market and technological developments in air ticket distribution </w:t>
      </w:r>
      <w:r w:rsidRPr="004357AD">
        <w:rPr>
          <w:noProof/>
          <w:spacing w:val="-8"/>
        </w:rPr>
        <w:t>since the 1980s, when the first Code of Conduct was adopted.</w:t>
      </w:r>
      <w:r w:rsidRPr="003C6952">
        <w:rPr>
          <w:noProof/>
          <w:spacing w:val="-8"/>
        </w:rPr>
        <w:t xml:space="preserve"> </w:t>
      </w:r>
      <w:r w:rsidRPr="00780992">
        <w:rPr>
          <w:noProof/>
          <w:spacing w:val="-8"/>
        </w:rPr>
        <w:t xml:space="preserve">At the time, air ticket distribution was dominated by CRSs, whereas today it is a multi-pronged sector. The rise of sales through direct distribution channels (by </w:t>
      </w:r>
      <w:r>
        <w:rPr>
          <w:noProof/>
          <w:spacing w:val="-8"/>
        </w:rPr>
        <w:t>4 percentage points</w:t>
      </w:r>
      <w:r w:rsidRPr="00780992">
        <w:rPr>
          <w:noProof/>
          <w:spacing w:val="-8"/>
        </w:rPr>
        <w:t xml:space="preserve"> from 2019 to 2024) is driven by increased internet penetration, enabling EU consumers to book more easily via airline websites</w:t>
      </w:r>
      <w:r w:rsidRPr="00780992">
        <w:rPr>
          <w:rStyle w:val="FootnoteReference"/>
          <w:noProof/>
          <w:spacing w:val="-8"/>
        </w:rPr>
        <w:footnoteReference w:id="94"/>
      </w:r>
      <w:r w:rsidRPr="00780992">
        <w:rPr>
          <w:noProof/>
          <w:spacing w:val="-8"/>
        </w:rPr>
        <w:t xml:space="preserve"> and indirectly through MSEs or OTAs. The rise of </w:t>
      </w:r>
      <w:r w:rsidR="00E23383">
        <w:rPr>
          <w:noProof/>
          <w:spacing w:val="-8"/>
        </w:rPr>
        <w:t>d</w:t>
      </w:r>
      <w:r w:rsidR="00717B8A" w:rsidRPr="00717B8A">
        <w:rPr>
          <w:noProof/>
          <w:spacing w:val="-8"/>
        </w:rPr>
        <w:t xml:space="preserve">irect </w:t>
      </w:r>
      <w:r w:rsidR="00E23383">
        <w:rPr>
          <w:noProof/>
          <w:spacing w:val="-8"/>
        </w:rPr>
        <w:t>c</w:t>
      </w:r>
      <w:r w:rsidR="00717B8A" w:rsidRPr="00717B8A">
        <w:rPr>
          <w:noProof/>
          <w:spacing w:val="-8"/>
        </w:rPr>
        <w:t>onnect system</w:t>
      </w:r>
      <w:r w:rsidR="00717B8A">
        <w:rPr>
          <w:noProof/>
          <w:spacing w:val="-8"/>
        </w:rPr>
        <w:t>s</w:t>
      </w:r>
      <w:r w:rsidR="00717B8A" w:rsidRPr="00717B8A">
        <w:rPr>
          <w:noProof/>
          <w:spacing w:val="-8"/>
        </w:rPr>
        <w:t xml:space="preserve"> </w:t>
      </w:r>
      <w:r w:rsidR="00717B8A">
        <w:rPr>
          <w:noProof/>
          <w:spacing w:val="-8"/>
        </w:rPr>
        <w:t>(</w:t>
      </w:r>
      <w:r w:rsidRPr="00780992">
        <w:rPr>
          <w:noProof/>
          <w:spacing w:val="-8"/>
        </w:rPr>
        <w:t>DCs</w:t>
      </w:r>
      <w:r w:rsidR="00717B8A">
        <w:rPr>
          <w:noProof/>
          <w:spacing w:val="-8"/>
        </w:rPr>
        <w:t>)</w:t>
      </w:r>
      <w:r w:rsidRPr="00780992">
        <w:rPr>
          <w:noProof/>
          <w:spacing w:val="-8"/>
        </w:rPr>
        <w:t xml:space="preserve"> </w:t>
      </w:r>
      <w:r w:rsidR="00433DD0">
        <w:rPr>
          <w:noProof/>
          <w:spacing w:val="-8"/>
        </w:rPr>
        <w:t xml:space="preserve">and </w:t>
      </w:r>
      <w:r w:rsidR="00433DD0" w:rsidRPr="00433DD0">
        <w:rPr>
          <w:noProof/>
          <w:spacing w:val="-8"/>
        </w:rPr>
        <w:t xml:space="preserve">NCAs </w:t>
      </w:r>
      <w:r w:rsidRPr="00780992">
        <w:rPr>
          <w:noProof/>
          <w:spacing w:val="-8"/>
        </w:rPr>
        <w:t>is due to other technological and market developments</w:t>
      </w:r>
      <w:r w:rsidRPr="002E4D84">
        <w:rPr>
          <w:noProof/>
          <w:spacing w:val="-8"/>
          <w:vertAlign w:val="superscript"/>
          <w:lang w:val="en-GB"/>
        </w:rPr>
        <w:footnoteReference w:id="95"/>
      </w:r>
      <w:r w:rsidRPr="00780992">
        <w:rPr>
          <w:noProof/>
          <w:spacing w:val="-8"/>
        </w:rPr>
        <w:t xml:space="preserve"> (see Annex 9</w:t>
      </w:r>
      <w:r w:rsidR="001C329A" w:rsidRPr="001C329A">
        <w:rPr>
          <w:noProof/>
          <w:spacing w:val="-8"/>
        </w:rPr>
        <w:t>)</w:t>
      </w:r>
      <w:r w:rsidR="00014352">
        <w:rPr>
          <w:noProof/>
          <w:spacing w:val="-8"/>
        </w:rPr>
        <w:t>.</w:t>
      </w:r>
    </w:p>
    <w:p w14:paraId="719DB465" w14:textId="2E27EBA3" w:rsidR="005F6C44" w:rsidRPr="00780992" w:rsidRDefault="005F6C44" w:rsidP="005F6C44">
      <w:pPr>
        <w:tabs>
          <w:tab w:val="left" w:pos="1134"/>
        </w:tabs>
        <w:spacing w:after="240"/>
        <w:jc w:val="both"/>
        <w:rPr>
          <w:noProof/>
        </w:rPr>
      </w:pPr>
      <w:r w:rsidRPr="00885008">
        <w:rPr>
          <w:noProof/>
          <w:spacing w:val="-8"/>
        </w:rPr>
        <w:t>Concerns arising from airline ownership of CRS providers was the original driving force behind the first CRS Code of Conduct.</w:t>
      </w:r>
      <w:r w:rsidRPr="00780992">
        <w:rPr>
          <w:noProof/>
          <w:spacing w:val="-8"/>
        </w:rPr>
        <w:t xml:space="preserve"> In the current market situation, with no airlines having a control</w:t>
      </w:r>
      <w:r w:rsidR="00577276">
        <w:rPr>
          <w:noProof/>
          <w:spacing w:val="-8"/>
        </w:rPr>
        <w:t>ling</w:t>
      </w:r>
      <w:r w:rsidRPr="00780992">
        <w:rPr>
          <w:noProof/>
          <w:spacing w:val="-8"/>
        </w:rPr>
        <w:t xml:space="preserve"> right in B2B MDMSs, </w:t>
      </w:r>
      <w:r w:rsidRPr="003C6952">
        <w:rPr>
          <w:noProof/>
          <w:spacing w:val="-8"/>
        </w:rPr>
        <w:t>provisions of the Code of Conduct relating to parent carriers are no longer relevant.</w:t>
      </w:r>
      <w:r w:rsidRPr="00780992">
        <w:rPr>
          <w:noProof/>
          <w:spacing w:val="-8"/>
        </w:rPr>
        <w:t xml:space="preserve"> </w:t>
      </w:r>
      <w:r w:rsidRPr="00702881">
        <w:rPr>
          <w:noProof/>
          <w:spacing w:val="-8"/>
        </w:rPr>
        <w:t>The cross-sectoral EU acquis in other areas has also changed the legal landscape.</w:t>
      </w:r>
      <w:r w:rsidRPr="00780992">
        <w:rPr>
          <w:noProof/>
          <w:spacing w:val="-8"/>
        </w:rPr>
        <w:t xml:space="preserve"> New regulatory horizontal frameworks of the digital economy have been introduced across the EU rendering some of the provisions of the CRS Code of Conduct redundant and/or creating problems of coherence. These include Platform to Business Regulation (P2B)</w:t>
      </w:r>
      <w:r w:rsidRPr="00780992">
        <w:rPr>
          <w:noProof/>
          <w:spacing w:val="-8"/>
          <w:vertAlign w:val="superscript"/>
        </w:rPr>
        <w:footnoteReference w:id="96"/>
      </w:r>
      <w:r w:rsidRPr="00780992">
        <w:rPr>
          <w:noProof/>
          <w:spacing w:val="-8"/>
          <w:vertAlign w:val="superscript"/>
        </w:rPr>
        <w:t xml:space="preserve"> </w:t>
      </w:r>
      <w:r w:rsidRPr="00780992">
        <w:rPr>
          <w:noProof/>
          <w:spacing w:val="-8"/>
        </w:rPr>
        <w:t>(and related guidelines) and changes to EU competition law (e.g. the revision of Vertical Agreements Block Exemption Regulation and Vertical Guidelines</w:t>
      </w:r>
      <w:r w:rsidRPr="00780992">
        <w:rPr>
          <w:rStyle w:val="FootnoteReference"/>
          <w:noProof/>
          <w:spacing w:val="-8"/>
        </w:rPr>
        <w:footnoteReference w:id="97"/>
      </w:r>
      <w:r w:rsidRPr="00780992">
        <w:rPr>
          <w:noProof/>
          <w:spacing w:val="-8"/>
        </w:rPr>
        <w:t>). As regards the processing, access and storage of personal data, the GDPR</w:t>
      </w:r>
      <w:r w:rsidRPr="00780992">
        <w:rPr>
          <w:rStyle w:val="FootnoteReference"/>
          <w:noProof/>
          <w:spacing w:val="-8"/>
        </w:rPr>
        <w:footnoteReference w:id="98"/>
      </w:r>
      <w:r w:rsidRPr="00780992">
        <w:rPr>
          <w:noProof/>
          <w:spacing w:val="-8"/>
        </w:rPr>
        <w:t xml:space="preserve"> is directly applicable and covers most of the issues currently regulated in Article 11 of the Code</w:t>
      </w:r>
      <w:r w:rsidRPr="00780992">
        <w:rPr>
          <w:rStyle w:val="FootnoteReference"/>
          <w:noProof/>
          <w:spacing w:val="-8"/>
        </w:rPr>
        <w:footnoteReference w:id="99"/>
      </w:r>
      <w:r w:rsidRPr="00780992">
        <w:rPr>
          <w:noProof/>
          <w:spacing w:val="-8"/>
        </w:rPr>
        <w:t>. Beyond this, the legislation on P2B contains an obligation for OTAs to be transparent about the parameters they use to rank offers. This applies in all situations, whereas under the Code,</w:t>
      </w:r>
      <w:r>
        <w:rPr>
          <w:noProof/>
          <w:spacing w:val="-8"/>
        </w:rPr>
        <w:t xml:space="preserve"> </w:t>
      </w:r>
      <w:r w:rsidRPr="00780992">
        <w:rPr>
          <w:noProof/>
          <w:spacing w:val="-8"/>
        </w:rPr>
        <w:t>travel agents are obliged to use a neutral display, which goes beyond the P2B transparency obligations</w:t>
      </w:r>
      <w:r w:rsidRPr="00780992">
        <w:rPr>
          <w:rStyle w:val="FootnoteReference"/>
          <w:noProof/>
          <w:spacing w:val="-8"/>
        </w:rPr>
        <w:footnoteReference w:id="100"/>
      </w:r>
      <w:r w:rsidRPr="00780992">
        <w:rPr>
          <w:noProof/>
          <w:spacing w:val="-8"/>
        </w:rPr>
        <w:t xml:space="preserve">. </w:t>
      </w:r>
    </w:p>
    <w:p w14:paraId="4A1E7150" w14:textId="3F189ECC" w:rsidR="005F6C44" w:rsidRPr="00780992" w:rsidRDefault="005F6C44" w:rsidP="005F6C44">
      <w:pPr>
        <w:tabs>
          <w:tab w:val="left" w:pos="1134"/>
        </w:tabs>
        <w:spacing w:after="240"/>
        <w:jc w:val="both"/>
        <w:rPr>
          <w:noProof/>
        </w:rPr>
      </w:pPr>
      <w:r w:rsidRPr="00780992">
        <w:rPr>
          <w:noProof/>
          <w:spacing w:val="-8"/>
        </w:rPr>
        <w:t xml:space="preserve">At the same time, </w:t>
      </w:r>
      <w:r w:rsidRPr="003C6952">
        <w:rPr>
          <w:noProof/>
          <w:spacing w:val="-8"/>
        </w:rPr>
        <w:t>technological and market developments</w:t>
      </w:r>
      <w:r w:rsidRPr="00780992">
        <w:rPr>
          <w:noProof/>
          <w:spacing w:val="-8"/>
        </w:rPr>
        <w:t xml:space="preserve"> have led to the emergence of new and alternative business models both in B2B and B2C sectors. In the B2B sector, NCAs are taking an increasingly important place in the market. Their growth can be explained in part by the technology they use, which gives airlines greater flexibility compared to CRS</w:t>
      </w:r>
      <w:r w:rsidRPr="00780992">
        <w:rPr>
          <w:rStyle w:val="FootnoteReference"/>
          <w:noProof/>
          <w:spacing w:val="-8"/>
        </w:rPr>
        <w:footnoteReference w:id="101"/>
      </w:r>
      <w:r w:rsidRPr="00780992">
        <w:rPr>
          <w:noProof/>
          <w:spacing w:val="-8"/>
        </w:rPr>
        <w:t xml:space="preserve"> and by the restrictive nature of CRS arrangements (such as parity clauses)</w:t>
      </w:r>
      <w:r w:rsidR="001A3BD1">
        <w:rPr>
          <w:rStyle w:val="FootnoteReference"/>
          <w:noProof/>
          <w:spacing w:val="-8"/>
        </w:rPr>
        <w:footnoteReference w:id="102"/>
      </w:r>
      <w:r w:rsidRPr="00780992">
        <w:rPr>
          <w:noProof/>
          <w:spacing w:val="-8"/>
        </w:rPr>
        <w:t>. This has led to the emergence of platforms that perform similar functionalities but are not subject to the Code of Conduct</w:t>
      </w:r>
      <w:r>
        <w:rPr>
          <w:noProof/>
          <w:spacing w:val="-8"/>
        </w:rPr>
        <w:t xml:space="preserve">, including </w:t>
      </w:r>
      <w:r w:rsidRPr="00780992">
        <w:rPr>
          <w:noProof/>
          <w:spacing w:val="-8"/>
        </w:rPr>
        <w:t>on neutral display obligations and related rules and thus benefit from fewer compliance burdens. This uneven playing field may discourage investment in technological advancement among CRS providers and hinder their ability to compete on equal terms. On the other hand</w:t>
      </w:r>
      <w:r w:rsidRPr="00780992" w:rsidDel="00A73DCD">
        <w:rPr>
          <w:noProof/>
          <w:spacing w:val="-8"/>
        </w:rPr>
        <w:t xml:space="preserve">, travel agents and </w:t>
      </w:r>
      <w:r w:rsidR="001E35C5" w:rsidRPr="001E35C5">
        <w:rPr>
          <w:noProof/>
          <w:spacing w:val="-8"/>
        </w:rPr>
        <w:t>Travel Management Company</w:t>
      </w:r>
      <w:r w:rsidR="001E35C5" w:rsidRPr="001E35C5" w:rsidDel="00A73DCD">
        <w:rPr>
          <w:noProof/>
          <w:spacing w:val="-8"/>
        </w:rPr>
        <w:t xml:space="preserve"> </w:t>
      </w:r>
      <w:r w:rsidR="001E35C5">
        <w:rPr>
          <w:noProof/>
          <w:spacing w:val="-8"/>
        </w:rPr>
        <w:t>(</w:t>
      </w:r>
      <w:r w:rsidRPr="00780992" w:rsidDel="00A73DCD">
        <w:rPr>
          <w:noProof/>
          <w:spacing w:val="-8"/>
        </w:rPr>
        <w:t>TMCs</w:t>
      </w:r>
      <w:r w:rsidR="001E35C5">
        <w:rPr>
          <w:noProof/>
          <w:spacing w:val="-8"/>
        </w:rPr>
        <w:t>)</w:t>
      </w:r>
      <w:r w:rsidRPr="00780992" w:rsidDel="00A73DCD">
        <w:rPr>
          <w:noProof/>
          <w:spacing w:val="-8"/>
        </w:rPr>
        <w:t xml:space="preserve"> may be disincentivised from innovating their distribution tools if this would result in the loss of incentives</w:t>
      </w:r>
      <w:r w:rsidRPr="00780992">
        <w:rPr>
          <w:noProof/>
          <w:spacing w:val="-8"/>
        </w:rPr>
        <w:t>.</w:t>
      </w:r>
      <w:r w:rsidRPr="00780992" w:rsidDel="00A73DCD">
        <w:rPr>
          <w:noProof/>
          <w:spacing w:val="-8"/>
        </w:rPr>
        <w:t xml:space="preserve"> This </w:t>
      </w:r>
      <w:r w:rsidRPr="00780992" w:rsidDel="00A43FF2">
        <w:rPr>
          <w:noProof/>
          <w:spacing w:val="-8"/>
        </w:rPr>
        <w:t>diverging regulatory environment may reduce incentives to modernise distribution and delay the emergence of innovations.</w:t>
      </w:r>
    </w:p>
    <w:p w14:paraId="0CEDF630" w14:textId="28A682D5" w:rsidR="005F6C44" w:rsidRPr="00D71008" w:rsidRDefault="005F6C44" w:rsidP="00966D26">
      <w:pPr>
        <w:widowControl w:val="0"/>
        <w:tabs>
          <w:tab w:val="left" w:pos="1134"/>
        </w:tabs>
        <w:spacing w:after="240"/>
        <w:jc w:val="both"/>
        <w:rPr>
          <w:noProof/>
        </w:rPr>
      </w:pPr>
      <w:r w:rsidRPr="00780992">
        <w:rPr>
          <w:noProof/>
          <w:spacing w:val="-8"/>
        </w:rPr>
        <w:t xml:space="preserve">In the </w:t>
      </w:r>
      <w:r>
        <w:rPr>
          <w:noProof/>
          <w:spacing w:val="-8"/>
        </w:rPr>
        <w:t xml:space="preserve">targeted </w:t>
      </w:r>
      <w:r w:rsidRPr="00780992">
        <w:rPr>
          <w:noProof/>
          <w:spacing w:val="-8"/>
        </w:rPr>
        <w:t>survey</w:t>
      </w:r>
      <w:r>
        <w:rPr>
          <w:noProof/>
          <w:spacing w:val="-8"/>
        </w:rPr>
        <w:t>,</w:t>
      </w:r>
      <w:r w:rsidRPr="00780992">
        <w:rPr>
          <w:noProof/>
          <w:spacing w:val="-8"/>
        </w:rPr>
        <w:t xml:space="preserve"> in which stakeholders have been asked to indicate to which extent </w:t>
      </w:r>
      <w:r w:rsidR="00C4676D">
        <w:rPr>
          <w:noProof/>
          <w:spacing w:val="-8"/>
        </w:rPr>
        <w:t>this</w:t>
      </w:r>
      <w:r w:rsidRPr="00780992">
        <w:rPr>
          <w:noProof/>
          <w:spacing w:val="-8"/>
        </w:rPr>
        <w:t xml:space="preserve"> </w:t>
      </w:r>
      <w:r>
        <w:rPr>
          <w:noProof/>
          <w:spacing w:val="-8"/>
        </w:rPr>
        <w:t>p</w:t>
      </w:r>
      <w:r w:rsidRPr="00780992">
        <w:rPr>
          <w:noProof/>
          <w:spacing w:val="-8"/>
        </w:rPr>
        <w:t xml:space="preserve">roblem </w:t>
      </w:r>
      <w:r>
        <w:rPr>
          <w:noProof/>
          <w:spacing w:val="-8"/>
        </w:rPr>
        <w:t>d</w:t>
      </w:r>
      <w:r w:rsidRPr="00780992">
        <w:rPr>
          <w:noProof/>
          <w:spacing w:val="-8"/>
        </w:rPr>
        <w:t xml:space="preserve">river sufficiently identifies the causes of </w:t>
      </w:r>
      <w:r>
        <w:rPr>
          <w:noProof/>
          <w:spacing w:val="-8"/>
        </w:rPr>
        <w:t>P</w:t>
      </w:r>
      <w:r w:rsidRPr="00780992">
        <w:rPr>
          <w:noProof/>
          <w:spacing w:val="-8"/>
        </w:rPr>
        <w:t xml:space="preserve">roblem </w:t>
      </w:r>
      <w:r>
        <w:rPr>
          <w:noProof/>
          <w:spacing w:val="-8"/>
        </w:rPr>
        <w:t>1</w:t>
      </w:r>
      <w:r w:rsidR="00954806">
        <w:rPr>
          <w:rStyle w:val="FootnoteReference"/>
          <w:noProof/>
          <w:spacing w:val="-8"/>
        </w:rPr>
        <w:footnoteReference w:id="103"/>
      </w:r>
      <w:r w:rsidRPr="00780992">
        <w:rPr>
          <w:noProof/>
          <w:spacing w:val="-8"/>
        </w:rPr>
        <w:t>,</w:t>
      </w:r>
      <w:r w:rsidRPr="003C6952">
        <w:rPr>
          <w:noProof/>
          <w:spacing w:val="-8"/>
        </w:rPr>
        <w:t xml:space="preserve"> 26 of 65 agreed, 11 stakeholders </w:t>
      </w:r>
      <w:r>
        <w:rPr>
          <w:noProof/>
          <w:spacing w:val="-8"/>
        </w:rPr>
        <w:t xml:space="preserve">partially </w:t>
      </w:r>
      <w:r w:rsidRPr="003C6952">
        <w:rPr>
          <w:noProof/>
          <w:spacing w:val="-8"/>
        </w:rPr>
        <w:t>disagreed and 28 stakeholders neither agreed nor disagreed (3) or did not know (25)</w:t>
      </w:r>
      <w:r w:rsidRPr="00780992">
        <w:rPr>
          <w:noProof/>
          <w:spacing w:val="-8"/>
        </w:rPr>
        <w:t>. 13 of 18 MDMS platforms surveyed agreed, while 5 did not know. In relation to transport operators expressing a view</w:t>
      </w:r>
      <w:r w:rsidR="007643DA">
        <w:rPr>
          <w:noProof/>
          <w:spacing w:val="-8"/>
        </w:rPr>
        <w:t>,</w:t>
      </w:r>
      <w:r w:rsidRPr="00780992">
        <w:rPr>
          <w:noProof/>
          <w:spacing w:val="-8"/>
        </w:rPr>
        <w:t xml:space="preserve"> 11 out of 27 partially disagreed with </w:t>
      </w:r>
      <w:r w:rsidR="007643DA">
        <w:rPr>
          <w:noProof/>
          <w:spacing w:val="-8"/>
        </w:rPr>
        <w:t>problem driver 1</w:t>
      </w:r>
      <w:r w:rsidR="007643DA" w:rsidRPr="00780992">
        <w:rPr>
          <w:noProof/>
          <w:spacing w:val="-8"/>
        </w:rPr>
        <w:t xml:space="preserve"> </w:t>
      </w:r>
      <w:r w:rsidRPr="00780992">
        <w:rPr>
          <w:noProof/>
          <w:spacing w:val="-8"/>
        </w:rPr>
        <w:t xml:space="preserve">identifying the causes of </w:t>
      </w:r>
      <w:r>
        <w:rPr>
          <w:noProof/>
          <w:spacing w:val="-8"/>
        </w:rPr>
        <w:t>P</w:t>
      </w:r>
      <w:r w:rsidRPr="00780992">
        <w:rPr>
          <w:noProof/>
          <w:spacing w:val="-8"/>
        </w:rPr>
        <w:t xml:space="preserve">roblem </w:t>
      </w:r>
      <w:r>
        <w:rPr>
          <w:noProof/>
          <w:spacing w:val="-8"/>
        </w:rPr>
        <w:t>1</w:t>
      </w:r>
      <w:r w:rsidRPr="00780992">
        <w:rPr>
          <w:noProof/>
          <w:spacing w:val="-8"/>
        </w:rPr>
        <w:t>, while 2 out of 27 agreed. Moreover, 14 out of 27 transport operators surveyed neither agreed nor disagreed (1) or did not know (13). The large number of ‘don’t know’ can be explained by many transport operators expressing a view not being in the air sector. 7 airlines and 3 airlines associations recognise</w:t>
      </w:r>
      <w:r w:rsidR="001A4E93">
        <w:rPr>
          <w:noProof/>
          <w:spacing w:val="-8"/>
        </w:rPr>
        <w:t>d</w:t>
      </w:r>
      <w:r w:rsidRPr="00780992">
        <w:rPr>
          <w:noProof/>
          <w:spacing w:val="-8"/>
        </w:rPr>
        <w:t xml:space="preserve"> the importance of the CRS Code of Conduct, stating this plays a vital role in protecting airlines from discriminatory practices by CRSs. Many stakeholders surveyed nonetheless stated that the Code of Conduct needs to be revised to extend it further to reflect recent technological developments in distribution</w:t>
      </w:r>
      <w:r w:rsidRPr="00780992">
        <w:rPr>
          <w:rStyle w:val="FootnoteReference"/>
          <w:noProof/>
          <w:spacing w:val="-8"/>
        </w:rPr>
        <w:footnoteReference w:id="104"/>
      </w:r>
      <w:r w:rsidRPr="00780992">
        <w:rPr>
          <w:noProof/>
          <w:spacing w:val="-8"/>
        </w:rPr>
        <w:t>.</w:t>
      </w:r>
      <w:r w:rsidRPr="00D71008">
        <w:rPr>
          <w:noProof/>
        </w:rPr>
        <w:t xml:space="preserve"> </w:t>
      </w:r>
    </w:p>
    <w:p w14:paraId="4E91AA34" w14:textId="14259C9D" w:rsidR="000D4F3A" w:rsidRPr="003868CE" w:rsidRDefault="000D4F3A" w:rsidP="009904DB">
      <w:pPr>
        <w:pBdr>
          <w:top w:val="single" w:sz="4" w:space="1" w:color="auto"/>
          <w:left w:val="single" w:sz="4" w:space="4" w:color="auto"/>
          <w:bottom w:val="single" w:sz="4" w:space="1" w:color="auto"/>
          <w:right w:val="single" w:sz="4" w:space="4" w:color="auto"/>
        </w:pBdr>
        <w:tabs>
          <w:tab w:val="left" w:pos="1134"/>
        </w:tabs>
        <w:spacing w:after="240"/>
        <w:jc w:val="both"/>
        <w:rPr>
          <w:noProof/>
          <w:spacing w:val="-8"/>
        </w:rPr>
      </w:pPr>
      <w:r w:rsidRPr="003868CE">
        <w:rPr>
          <w:noProof/>
          <w:spacing w:val="-8"/>
        </w:rPr>
        <w:t>"</w:t>
      </w:r>
      <w:r w:rsidRPr="003868CE">
        <w:rPr>
          <w:i/>
          <w:noProof/>
          <w:spacing w:val="-8"/>
        </w:rPr>
        <w:t>Regarding the CRS regulation, [the air carrier</w:t>
      </w:r>
      <w:r w:rsidR="009904DB" w:rsidRPr="003868CE">
        <w:rPr>
          <w:i/>
          <w:iCs/>
          <w:noProof/>
          <w:spacing w:val="-8"/>
        </w:rPr>
        <w:t xml:space="preserve"> organization</w:t>
      </w:r>
      <w:r w:rsidRPr="003868CE">
        <w:rPr>
          <w:i/>
          <w:noProof/>
          <w:spacing w:val="-8"/>
        </w:rPr>
        <w:t xml:space="preserve">] agrees it is a good framework but considers it outdated and too narrow in scope. They propose repealing and replacing it with a broader regulation that covers not only </w:t>
      </w:r>
      <w:r w:rsidR="00443AC7">
        <w:rPr>
          <w:i/>
          <w:noProof/>
          <w:spacing w:val="-8"/>
        </w:rPr>
        <w:t>CRS</w:t>
      </w:r>
      <w:r w:rsidRPr="003868CE">
        <w:rPr>
          <w:i/>
          <w:noProof/>
          <w:spacing w:val="-8"/>
        </w:rPr>
        <w:t xml:space="preserve"> but also new aggregators like Travelfusion and OTAs</w:t>
      </w:r>
      <w:r w:rsidRPr="003868CE">
        <w:rPr>
          <w:noProof/>
          <w:spacing w:val="-8"/>
        </w:rPr>
        <w:t xml:space="preserve">." </w:t>
      </w:r>
      <w:r w:rsidR="009904DB" w:rsidRPr="003868CE">
        <w:rPr>
          <w:noProof/>
          <w:spacing w:val="-8"/>
        </w:rPr>
        <w:t>An air carrier organization in interviews</w:t>
      </w:r>
    </w:p>
    <w:p w14:paraId="200A4709" w14:textId="0C1F0089" w:rsidR="005F6C44" w:rsidRPr="00D71008" w:rsidRDefault="005F6C44" w:rsidP="00837540">
      <w:pPr>
        <w:pStyle w:val="Heading2"/>
        <w:keepNext/>
        <w:keepLines/>
        <w:numPr>
          <w:ilvl w:val="2"/>
          <w:numId w:val="11"/>
        </w:numPr>
        <w:tabs>
          <w:tab w:val="left" w:pos="709"/>
        </w:tabs>
        <w:spacing w:before="240" w:after="240"/>
        <w:ind w:left="1134" w:hanging="709"/>
        <w:rPr>
          <w:b w:val="0"/>
          <w:i/>
          <w:noProof/>
        </w:rPr>
      </w:pPr>
      <w:bookmarkStart w:id="47" w:name="_Toc223979945"/>
      <w:r w:rsidRPr="00D71008">
        <w:rPr>
          <w:b w:val="0"/>
          <w:i/>
          <w:noProof/>
        </w:rPr>
        <w:t xml:space="preserve">Problem Driver </w:t>
      </w:r>
      <w:r>
        <w:rPr>
          <w:b w:val="0"/>
          <w:i/>
          <w:noProof/>
        </w:rPr>
        <w:t>2</w:t>
      </w:r>
      <w:r w:rsidRPr="00D71008">
        <w:rPr>
          <w:b w:val="0"/>
          <w:i/>
          <w:noProof/>
        </w:rPr>
        <w:t>: Commercial incentives of MDMS platforms to promote certain operators or products</w:t>
      </w:r>
      <w:bookmarkEnd w:id="47"/>
      <w:r w:rsidR="00F12D17">
        <w:rPr>
          <w:b w:val="0"/>
          <w:i/>
          <w:noProof/>
        </w:rPr>
        <w:t xml:space="preserve"> </w:t>
      </w:r>
      <w:r w:rsidR="00C71BBE">
        <w:rPr>
          <w:b w:val="0"/>
          <w:i/>
          <w:noProof/>
        </w:rPr>
        <w:t>(PD2)</w:t>
      </w:r>
    </w:p>
    <w:p w14:paraId="4553F591" w14:textId="28C8D039" w:rsidR="005F6C44" w:rsidRPr="00450B26" w:rsidRDefault="005F6C44" w:rsidP="005F6C44">
      <w:pPr>
        <w:tabs>
          <w:tab w:val="left" w:pos="1134"/>
        </w:tabs>
        <w:spacing w:after="240"/>
        <w:jc w:val="both"/>
        <w:rPr>
          <w:noProof/>
        </w:rPr>
      </w:pPr>
      <w:r w:rsidRPr="00450B26">
        <w:rPr>
          <w:noProof/>
          <w:spacing w:val="-8"/>
        </w:rPr>
        <w:t xml:space="preserve">This problem driver links to Problem </w:t>
      </w:r>
      <w:r w:rsidR="009551C4" w:rsidRPr="00450B26">
        <w:rPr>
          <w:noProof/>
          <w:spacing w:val="-8"/>
        </w:rPr>
        <w:t>1</w:t>
      </w:r>
      <w:r w:rsidRPr="00450B26">
        <w:rPr>
          <w:noProof/>
          <w:spacing w:val="-8"/>
        </w:rPr>
        <w:t xml:space="preserve">. MDMS platforms do not always act as neutral intermediaries, and their display is often influenced by commercial agreements in which operators pay for prominence. This is the case not only for indispensable MDMS platforms but also for smaller ones like for NCAs and B2C MDMS platforms </w:t>
      </w:r>
      <w:r w:rsidR="7EC63772" w:rsidRPr="00450B26">
        <w:rPr>
          <w:noProof/>
          <w:spacing w:val="-8"/>
        </w:rPr>
        <w:t xml:space="preserve">(such as OTAs and MSEs) </w:t>
      </w:r>
      <w:r w:rsidRPr="00450B26">
        <w:rPr>
          <w:noProof/>
          <w:spacing w:val="-8"/>
        </w:rPr>
        <w:t xml:space="preserve">which are not currently subject to the CRS Code of Conduct or to similar requirements to offers displaying in an unbiased manner. </w:t>
      </w:r>
    </w:p>
    <w:p w14:paraId="41009896" w14:textId="560ABC0F" w:rsidR="005F6C44" w:rsidRPr="0075374E" w:rsidRDefault="005F6C44" w:rsidP="00966D26">
      <w:pPr>
        <w:pStyle w:val="BodyText"/>
        <w:tabs>
          <w:tab w:val="left" w:pos="1134"/>
        </w:tabs>
        <w:spacing w:after="240"/>
        <w:ind w:left="0"/>
        <w:rPr>
          <w:noProof/>
          <w:spacing w:val="-8"/>
        </w:rPr>
      </w:pPr>
      <w:r w:rsidRPr="00450B26">
        <w:rPr>
          <w:noProof/>
          <w:spacing w:val="-8"/>
        </w:rPr>
        <w:t>Firstly, these platforms tend to favour high-volume operators, creating more profitable partnerships, reducing technical complexity and boosting revenues. As one-stop shops for searching, comparing, and booking travel (especially flights) they can influence consumer choices. With no rules governing how results are displayed, information may be incomplete or ranking algorithms biased, giving an advantage to operators who pay higher commissions or have preferential agreements, despite rules on unfair commercial practices (as outlined in section 1.2). Cheaper, more convenient, or complex options may be ranked lower or excluded, potentially misleading consumers into thinking the displayed options are the best available when alternatives exist.</w:t>
      </w:r>
      <w:r w:rsidRPr="00A75B38">
        <w:rPr>
          <w:noProof/>
          <w:spacing w:val="-8"/>
        </w:rPr>
        <w:t xml:space="preserve"> </w:t>
      </w:r>
      <w:r w:rsidR="1F118AA3" w:rsidRPr="0075374E">
        <w:rPr>
          <w:noProof/>
          <w:spacing w:val="-8"/>
        </w:rPr>
        <w:t xml:space="preserve">This risk has further </w:t>
      </w:r>
      <w:r w:rsidR="1E95E19C" w:rsidRPr="0075374E">
        <w:rPr>
          <w:noProof/>
          <w:spacing w:val="-8"/>
        </w:rPr>
        <w:t xml:space="preserve">developed </w:t>
      </w:r>
      <w:r w:rsidR="1F118AA3" w:rsidRPr="0075374E">
        <w:rPr>
          <w:noProof/>
          <w:spacing w:val="-8"/>
        </w:rPr>
        <w:t xml:space="preserve">with the increasing use of AI, as algorithmic bias could </w:t>
      </w:r>
      <w:r w:rsidR="33277ACD" w:rsidRPr="0075374E">
        <w:rPr>
          <w:noProof/>
          <w:spacing w:val="-8"/>
        </w:rPr>
        <w:t xml:space="preserve">further </w:t>
      </w:r>
      <w:r w:rsidR="1F118AA3" w:rsidRPr="0075374E">
        <w:rPr>
          <w:noProof/>
          <w:spacing w:val="-8"/>
        </w:rPr>
        <w:t xml:space="preserve">skew results toward certain transport modes or operators, </w:t>
      </w:r>
      <w:r w:rsidR="6889DC2F" w:rsidRPr="0075374E">
        <w:rPr>
          <w:noProof/>
          <w:spacing w:val="-8"/>
        </w:rPr>
        <w:t xml:space="preserve">and the </w:t>
      </w:r>
      <w:r w:rsidR="1F118AA3" w:rsidRPr="0075374E">
        <w:rPr>
          <w:noProof/>
          <w:spacing w:val="-8"/>
        </w:rPr>
        <w:t>lack of transparency in AI-driven rankings may undermine consumer trust, particularly if commercial partnerships influence outcomes</w:t>
      </w:r>
      <w:r w:rsidR="0CD4E408" w:rsidRPr="0075374E">
        <w:rPr>
          <w:noProof/>
          <w:spacing w:val="-8"/>
        </w:rPr>
        <w:t>, with dynamic pricing and personalised offers that risk exploiting users through opaque or discriminatory fare structures.</w:t>
      </w:r>
      <w:r w:rsidR="28EA83DC" w:rsidRPr="0075374E">
        <w:rPr>
          <w:noProof/>
          <w:spacing w:val="-8"/>
        </w:rPr>
        <w:t xml:space="preserve"> </w:t>
      </w:r>
      <w:r w:rsidRPr="00450B26">
        <w:rPr>
          <w:noProof/>
          <w:spacing w:val="-8"/>
        </w:rPr>
        <w:t>In the context of the study supporting the evaluation of the CRS Code of Conduct</w:t>
      </w:r>
      <w:r w:rsidRPr="00450B26">
        <w:rPr>
          <w:rStyle w:val="FootnoteReference"/>
          <w:noProof/>
          <w:spacing w:val="-8"/>
        </w:rPr>
        <w:footnoteReference w:id="105"/>
      </w:r>
      <w:r w:rsidRPr="00450B26">
        <w:rPr>
          <w:noProof/>
          <w:spacing w:val="-8"/>
        </w:rPr>
        <w:t>, some stakeholders have reported concerns about MSE engaging in unfair competition</w:t>
      </w:r>
      <w:r w:rsidR="6A51FE62" w:rsidRPr="00633DCE">
        <w:rPr>
          <w:noProof/>
          <w:spacing w:val="-8"/>
        </w:rPr>
        <w:t xml:space="preserve"> </w:t>
      </w:r>
      <w:r w:rsidR="00D43F33">
        <w:rPr>
          <w:noProof/>
          <w:spacing w:val="-8"/>
        </w:rPr>
        <w:t>and promoting</w:t>
      </w:r>
      <w:r w:rsidR="414AEB0D" w:rsidRPr="00633DCE">
        <w:rPr>
          <w:noProof/>
          <w:spacing w:val="-8"/>
        </w:rPr>
        <w:t xml:space="preserve"> </w:t>
      </w:r>
      <w:r w:rsidR="2927D762" w:rsidRPr="00633DCE">
        <w:rPr>
          <w:noProof/>
          <w:spacing w:val="-8"/>
        </w:rPr>
        <w:t>options</w:t>
      </w:r>
      <w:r w:rsidR="6A51FE62" w:rsidRPr="00633DCE">
        <w:rPr>
          <w:noProof/>
          <w:spacing w:val="-8"/>
        </w:rPr>
        <w:t xml:space="preserve"> to certain websites and carriers to the detriment of others</w:t>
      </w:r>
      <w:r w:rsidR="4C9ED82D" w:rsidRPr="00450B26">
        <w:rPr>
          <w:noProof/>
          <w:spacing w:val="-8"/>
        </w:rPr>
        <w:t>.</w:t>
      </w:r>
      <w:r w:rsidRPr="00450B26">
        <w:rPr>
          <w:noProof/>
          <w:spacing w:val="-8"/>
        </w:rPr>
        <w:t xml:space="preserve"> A key issue is the perceived bias stemming </w:t>
      </w:r>
      <w:r w:rsidR="000820A3">
        <w:rPr>
          <w:noProof/>
          <w:spacing w:val="-8"/>
        </w:rPr>
        <w:t xml:space="preserve">from </w:t>
      </w:r>
      <w:r w:rsidRPr="00450B26">
        <w:rPr>
          <w:noProof/>
          <w:spacing w:val="-8"/>
        </w:rPr>
        <w:t>paid prominence or from their affiliation with controlling OTAs, which may distort fair market conditions</w:t>
      </w:r>
      <w:r w:rsidRPr="00450B26">
        <w:rPr>
          <w:rStyle w:val="FootnoteReference"/>
          <w:noProof/>
          <w:spacing w:val="-8"/>
        </w:rPr>
        <w:footnoteReference w:id="106"/>
      </w:r>
      <w:r w:rsidRPr="00450B26">
        <w:rPr>
          <w:noProof/>
          <w:spacing w:val="-8"/>
        </w:rPr>
        <w:t xml:space="preserve">. </w:t>
      </w:r>
    </w:p>
    <w:p w14:paraId="255F66A2" w14:textId="296775A1" w:rsidR="00156185" w:rsidRPr="00450B26" w:rsidRDefault="005F6C44" w:rsidP="00966D26">
      <w:pPr>
        <w:pStyle w:val="BodyText"/>
        <w:tabs>
          <w:tab w:val="left" w:pos="1134"/>
        </w:tabs>
        <w:spacing w:after="240"/>
        <w:ind w:left="0"/>
        <w:rPr>
          <w:noProof/>
          <w:spacing w:val="-8"/>
        </w:rPr>
      </w:pPr>
      <w:r w:rsidRPr="00450B26">
        <w:rPr>
          <w:noProof/>
          <w:spacing w:val="-8"/>
        </w:rPr>
        <w:t xml:space="preserve">Most stakeholders who participated in the </w:t>
      </w:r>
      <w:r w:rsidR="003E09A3">
        <w:rPr>
          <w:noProof/>
          <w:spacing w:val="-8"/>
        </w:rPr>
        <w:t xml:space="preserve">targeted </w:t>
      </w:r>
      <w:r w:rsidRPr="00450B26">
        <w:rPr>
          <w:noProof/>
          <w:spacing w:val="-8"/>
        </w:rPr>
        <w:t xml:space="preserve">survey agreed problem driver 2 sufficiently identifies </w:t>
      </w:r>
      <w:r w:rsidR="00F46661" w:rsidRPr="00450B26">
        <w:rPr>
          <w:noProof/>
          <w:spacing w:val="-8"/>
        </w:rPr>
        <w:t xml:space="preserve">the </w:t>
      </w:r>
      <w:r w:rsidRPr="00450B26">
        <w:rPr>
          <w:noProof/>
          <w:spacing w:val="-8"/>
        </w:rPr>
        <w:t xml:space="preserve">causes </w:t>
      </w:r>
      <w:r w:rsidR="00F46661" w:rsidRPr="00450B26">
        <w:rPr>
          <w:noProof/>
          <w:spacing w:val="-8"/>
        </w:rPr>
        <w:t>linked to the</w:t>
      </w:r>
      <w:r w:rsidRPr="00450B26">
        <w:rPr>
          <w:noProof/>
          <w:spacing w:val="-8"/>
        </w:rPr>
        <w:t xml:space="preserve"> </w:t>
      </w:r>
      <w:r w:rsidR="00E32588">
        <w:rPr>
          <w:noProof/>
          <w:spacing w:val="-8"/>
        </w:rPr>
        <w:t>problems identified</w:t>
      </w:r>
      <w:r w:rsidRPr="00450B26">
        <w:rPr>
          <w:rStyle w:val="FootnoteReference"/>
          <w:noProof/>
          <w:spacing w:val="-8"/>
        </w:rPr>
        <w:footnoteReference w:id="107"/>
      </w:r>
      <w:r w:rsidRPr="00450B26">
        <w:rPr>
          <w:noProof/>
          <w:spacing w:val="-8"/>
        </w:rPr>
        <w:t>, including 18 of 3</w:t>
      </w:r>
      <w:r w:rsidR="00F1049D" w:rsidRPr="00450B26">
        <w:rPr>
          <w:noProof/>
          <w:spacing w:val="-8"/>
        </w:rPr>
        <w:t>1</w:t>
      </w:r>
      <w:r w:rsidRPr="00450B26">
        <w:rPr>
          <w:noProof/>
          <w:spacing w:val="-8"/>
        </w:rPr>
        <w:t xml:space="preserve"> transport operators</w:t>
      </w:r>
      <w:r w:rsidRPr="00450B26">
        <w:rPr>
          <w:rStyle w:val="FootnoteReference"/>
          <w:noProof/>
          <w:spacing w:val="-8"/>
        </w:rPr>
        <w:footnoteReference w:id="108"/>
      </w:r>
      <w:r w:rsidRPr="00450B26">
        <w:rPr>
          <w:noProof/>
          <w:spacing w:val="-8"/>
        </w:rPr>
        <w:t>. Surveyed MDMS platforms and RUs with SMP expressed stronger levels of disagreement</w:t>
      </w:r>
      <w:r w:rsidRPr="00450B26">
        <w:rPr>
          <w:rStyle w:val="FootnoteReference"/>
          <w:noProof/>
          <w:spacing w:val="-8"/>
        </w:rPr>
        <w:footnoteReference w:id="109"/>
      </w:r>
      <w:r w:rsidRPr="00450B26">
        <w:rPr>
          <w:noProof/>
          <w:spacing w:val="-8"/>
        </w:rPr>
        <w:t>. 9 out of 11 national authorities and 8 out of 1</w:t>
      </w:r>
      <w:r w:rsidR="009F2207" w:rsidRPr="00450B26">
        <w:rPr>
          <w:noProof/>
          <w:spacing w:val="-8"/>
        </w:rPr>
        <w:t>1</w:t>
      </w:r>
      <w:r w:rsidRPr="00450B26">
        <w:rPr>
          <w:noProof/>
          <w:spacing w:val="-8"/>
        </w:rPr>
        <w:t xml:space="preserve"> ‘</w:t>
      </w:r>
      <w:r w:rsidR="005A406C">
        <w:rPr>
          <w:noProof/>
          <w:spacing w:val="-8"/>
        </w:rPr>
        <w:t>o</w:t>
      </w:r>
      <w:r w:rsidR="005A406C" w:rsidRPr="00450B26">
        <w:rPr>
          <w:noProof/>
          <w:spacing w:val="-8"/>
        </w:rPr>
        <w:t xml:space="preserve">ther’ </w:t>
      </w:r>
      <w:r w:rsidRPr="00450B26">
        <w:rPr>
          <w:noProof/>
          <w:spacing w:val="-8"/>
        </w:rPr>
        <w:t xml:space="preserve">stakeholders who participated in the survey also viewed problem driver 2 as significant. However, the consumer organisation EPF stressed that the real </w:t>
      </w:r>
      <w:r w:rsidR="00C55A4E">
        <w:rPr>
          <w:noProof/>
          <w:spacing w:val="-8"/>
        </w:rPr>
        <w:t>issue</w:t>
      </w:r>
      <w:r w:rsidR="00C55A4E" w:rsidRPr="00450B26">
        <w:rPr>
          <w:noProof/>
          <w:spacing w:val="-8"/>
        </w:rPr>
        <w:t xml:space="preserve"> </w:t>
      </w:r>
      <w:r w:rsidRPr="00450B26">
        <w:rPr>
          <w:noProof/>
          <w:spacing w:val="-8"/>
        </w:rPr>
        <w:t xml:space="preserve">lies in operator </w:t>
      </w:r>
      <w:r w:rsidR="491E6775" w:rsidRPr="00450B26">
        <w:rPr>
          <w:noProof/>
          <w:spacing w:val="-8"/>
        </w:rPr>
        <w:t>SMP</w:t>
      </w:r>
      <w:r w:rsidRPr="00450B26">
        <w:rPr>
          <w:noProof/>
          <w:spacing w:val="-8"/>
        </w:rPr>
        <w:t xml:space="preserve"> and the restrictions they impose in contractual agreements rather than in commercial bias of independent MDMS platforms. 13 MDMS platforms stated that problem driver 2 was an issue that mainly arises in the context of </w:t>
      </w:r>
      <w:r w:rsidR="0D4C3EC4" w:rsidRPr="00450B26">
        <w:rPr>
          <w:noProof/>
          <w:spacing w:val="-8"/>
        </w:rPr>
        <w:t>vertically integrated</w:t>
      </w:r>
      <w:r w:rsidRPr="00450B26">
        <w:rPr>
          <w:noProof/>
          <w:spacing w:val="-8"/>
        </w:rPr>
        <w:t xml:space="preserve"> platforms, where there is a clear incentive for self-preferencing, linking back to problem driver 4</w:t>
      </w:r>
      <w:r w:rsidRPr="00450B26">
        <w:rPr>
          <w:rStyle w:val="FootnoteReference"/>
          <w:noProof/>
          <w:spacing w:val="-8"/>
        </w:rPr>
        <w:footnoteReference w:id="110"/>
      </w:r>
      <w:r w:rsidRPr="00450B26">
        <w:rPr>
          <w:noProof/>
          <w:spacing w:val="-8"/>
        </w:rPr>
        <w:t xml:space="preserve">. </w:t>
      </w:r>
    </w:p>
    <w:p w14:paraId="186F5B09" w14:textId="17D4EE05" w:rsidR="005F6C44" w:rsidRDefault="005F6C44" w:rsidP="00966D26">
      <w:pPr>
        <w:pStyle w:val="BodyText"/>
        <w:tabs>
          <w:tab w:val="left" w:pos="1134"/>
        </w:tabs>
        <w:spacing w:after="240"/>
        <w:ind w:left="0"/>
        <w:rPr>
          <w:rFonts w:eastAsiaTheme="minorEastAsia"/>
          <w:noProof/>
          <w:spacing w:val="-8"/>
        </w:rPr>
      </w:pPr>
      <w:r w:rsidRPr="00450B26">
        <w:rPr>
          <w:noProof/>
          <w:spacing w:val="-8"/>
        </w:rPr>
        <w:t>The second aspect of the problem driver involves the difficulties associated with sharing data with public authorities and the display of GHG emissions on MDMS platforms. Many MDMS platforms consider that sharing data with public authorities is sensitive due to perceived competition (when public authorities have set up their own MDMS platforms), and data privacy issues. In addition, MDMS platforms may lack commercial incentives to show GHG emissions, as those might disadvantage higher-emission options of carriers with whom they have good commercial relationships. This represents a missed opportunity for transport planners and infrastructure management authorities to use already existing data to improve the overall performance of the transport system.</w:t>
      </w:r>
      <w:r w:rsidRPr="00450B26">
        <w:rPr>
          <w:rFonts w:eastAsiaTheme="minorEastAsia"/>
          <w:noProof/>
          <w:spacing w:val="-8"/>
        </w:rPr>
        <w:t xml:space="preserve"> </w:t>
      </w:r>
      <w:r w:rsidR="008B15EB" w:rsidRPr="00450B26">
        <w:rPr>
          <w:rFonts w:eastAsiaTheme="minorEastAsia"/>
          <w:noProof/>
          <w:spacing w:val="-8"/>
        </w:rPr>
        <w:t>In interviews, most stakeholders underscored the importance of raising passenger awareness regarding the environmental impact of their travel choices.</w:t>
      </w:r>
      <w:r w:rsidR="00873CDA" w:rsidRPr="00450B26">
        <w:rPr>
          <w:rFonts w:eastAsiaTheme="minorEastAsia"/>
          <w:noProof/>
          <w:spacing w:val="-8"/>
        </w:rPr>
        <w:t xml:space="preserve"> </w:t>
      </w:r>
      <w:r w:rsidR="001972F9" w:rsidRPr="00450B26">
        <w:rPr>
          <w:rFonts w:eastAsiaTheme="minorEastAsia"/>
          <w:noProof/>
          <w:spacing w:val="-8"/>
        </w:rPr>
        <w:t xml:space="preserve">MDMS platforms mostly </w:t>
      </w:r>
      <w:r w:rsidR="007A2CDA" w:rsidRPr="00450B26">
        <w:rPr>
          <w:rFonts w:eastAsiaTheme="minorEastAsia"/>
          <w:noProof/>
          <w:spacing w:val="-8"/>
        </w:rPr>
        <w:t>highlighted barriers in displaying GHG emissions</w:t>
      </w:r>
      <w:r w:rsidR="003F305C" w:rsidRPr="00450B26">
        <w:rPr>
          <w:rFonts w:eastAsiaTheme="minorEastAsia"/>
          <w:noProof/>
          <w:spacing w:val="-8"/>
        </w:rPr>
        <w:t xml:space="preserve"> linked to barriers in obtaining accurate and homogenized data</w:t>
      </w:r>
      <w:r w:rsidR="003F305C" w:rsidRPr="00450B26">
        <w:rPr>
          <w:rStyle w:val="FootnoteReference"/>
          <w:rFonts w:eastAsiaTheme="minorEastAsia"/>
          <w:noProof/>
          <w:spacing w:val="-8"/>
        </w:rPr>
        <w:footnoteReference w:id="111"/>
      </w:r>
      <w:r w:rsidR="007A2CDA" w:rsidRPr="00450B26">
        <w:rPr>
          <w:rFonts w:eastAsiaTheme="minorEastAsia"/>
          <w:noProof/>
          <w:spacing w:val="-8"/>
        </w:rPr>
        <w:t>.</w:t>
      </w:r>
      <w:r w:rsidR="007A2CDA" w:rsidRPr="005D2D60">
        <w:rPr>
          <w:rFonts w:eastAsiaTheme="minorEastAsia"/>
          <w:noProof/>
          <w:spacing w:val="-8"/>
        </w:rPr>
        <w:t xml:space="preserve"> </w:t>
      </w:r>
      <w:r w:rsidR="001972F9" w:rsidRPr="005D2D60">
        <w:rPr>
          <w:rFonts w:eastAsiaTheme="minorEastAsia"/>
          <w:noProof/>
          <w:spacing w:val="-8"/>
        </w:rPr>
        <w:t>Counterbalancing this</w:t>
      </w:r>
      <w:r w:rsidR="00F11D96">
        <w:rPr>
          <w:rFonts w:eastAsiaTheme="minorEastAsia"/>
          <w:noProof/>
          <w:spacing w:val="-8"/>
        </w:rPr>
        <w:t>,</w:t>
      </w:r>
      <w:r w:rsidR="001972F9" w:rsidRPr="005D2D60">
        <w:rPr>
          <w:rFonts w:eastAsiaTheme="minorEastAsia"/>
          <w:noProof/>
          <w:spacing w:val="-8"/>
        </w:rPr>
        <w:t xml:space="preserve"> rail operators have increasingly sought to demonstrate their environmental efficiency, yet CER </w:t>
      </w:r>
      <w:r w:rsidR="00B21C61" w:rsidRPr="005D2D60">
        <w:rPr>
          <w:rFonts w:eastAsiaTheme="minorEastAsia"/>
          <w:noProof/>
          <w:spacing w:val="-8"/>
        </w:rPr>
        <w:t xml:space="preserve">stressed how </w:t>
      </w:r>
      <w:r w:rsidR="001972F9" w:rsidRPr="005D2D60">
        <w:rPr>
          <w:rFonts w:eastAsiaTheme="minorEastAsia"/>
          <w:noProof/>
          <w:spacing w:val="-8"/>
        </w:rPr>
        <w:t>this effectiveness is dependent on presenting emissions in a broader multimodal context, thereby allowing passengers to weigh options appropriately.</w:t>
      </w:r>
    </w:p>
    <w:p w14:paraId="481ACE82" w14:textId="30E35360" w:rsidR="00B44914" w:rsidRPr="00780992" w:rsidRDefault="005F6C44" w:rsidP="005F6C44">
      <w:pPr>
        <w:pStyle w:val="BodyText"/>
        <w:pBdr>
          <w:top w:val="single" w:sz="4" w:space="1" w:color="auto"/>
          <w:left w:val="single" w:sz="4" w:space="4" w:color="auto"/>
          <w:bottom w:val="single" w:sz="4" w:space="1" w:color="auto"/>
          <w:right w:val="single" w:sz="4" w:space="4" w:color="auto"/>
        </w:pBdr>
        <w:tabs>
          <w:tab w:val="left" w:pos="1134"/>
        </w:tabs>
        <w:spacing w:after="240"/>
        <w:ind w:left="0"/>
        <w:rPr>
          <w:rFonts w:eastAsiaTheme="minorEastAsia"/>
          <w:noProof/>
          <w:spacing w:val="-8"/>
        </w:rPr>
      </w:pPr>
      <w:r>
        <w:rPr>
          <w:rFonts w:eastAsiaTheme="minorEastAsia"/>
          <w:noProof/>
          <w:spacing w:val="-8"/>
        </w:rPr>
        <w:t>“</w:t>
      </w:r>
      <w:r w:rsidRPr="00290911">
        <w:rPr>
          <w:rFonts w:eastAsiaTheme="minorEastAsia"/>
          <w:i/>
          <w:iCs/>
          <w:noProof/>
          <w:spacing w:val="-8"/>
        </w:rPr>
        <w:t>Yes, some MDMS platforms might cherry-pick high-margin services and exclude others, and this is a significant issue. We advocate for regulations requiring platforms to display the full range of relevant services without discrimination, ensuring customer choices are based solely on their preferences, not commercial interests</w:t>
      </w:r>
      <w:r>
        <w:rPr>
          <w:rFonts w:eastAsiaTheme="minorEastAsia"/>
          <w:noProof/>
          <w:spacing w:val="-8"/>
        </w:rPr>
        <w:t>”</w:t>
      </w:r>
      <w:r w:rsidRPr="008027D7">
        <w:rPr>
          <w:rFonts w:eastAsiaTheme="minorEastAsia"/>
          <w:noProof/>
          <w:spacing w:val="-8"/>
        </w:rPr>
        <w:t>.</w:t>
      </w:r>
      <w:r>
        <w:rPr>
          <w:rFonts w:eastAsiaTheme="minorEastAsia"/>
          <w:noProof/>
          <w:spacing w:val="-8"/>
        </w:rPr>
        <w:t xml:space="preserve"> New entrant RU in an interview</w:t>
      </w:r>
    </w:p>
    <w:p w14:paraId="0C804CDD" w14:textId="7993FEE1" w:rsidR="007B5C32" w:rsidRPr="00FE1B3D" w:rsidRDefault="007B5C32" w:rsidP="005F6C44">
      <w:pPr>
        <w:pStyle w:val="BodyText"/>
        <w:pBdr>
          <w:top w:val="single" w:sz="4" w:space="1" w:color="auto"/>
          <w:left w:val="single" w:sz="4" w:space="4" w:color="auto"/>
          <w:bottom w:val="single" w:sz="4" w:space="1" w:color="auto"/>
          <w:right w:val="single" w:sz="4" w:space="4" w:color="auto"/>
        </w:pBdr>
        <w:tabs>
          <w:tab w:val="left" w:pos="1134"/>
        </w:tabs>
        <w:spacing w:after="240"/>
        <w:ind w:left="0"/>
        <w:rPr>
          <w:rFonts w:eastAsiaTheme="minorEastAsia"/>
          <w:noProof/>
          <w:spacing w:val="-8"/>
          <w:lang w:val="en-US"/>
        </w:rPr>
      </w:pPr>
      <w:r w:rsidRPr="00450B26">
        <w:rPr>
          <w:rFonts w:eastAsiaTheme="minorEastAsia"/>
          <w:i/>
          <w:iCs/>
          <w:noProof/>
          <w:spacing w:val="-8"/>
        </w:rPr>
        <w:t xml:space="preserve">“The </w:t>
      </w:r>
      <w:r w:rsidR="003010BD" w:rsidRPr="00450B26">
        <w:rPr>
          <w:rFonts w:eastAsiaTheme="minorEastAsia"/>
          <w:i/>
          <w:iCs/>
          <w:noProof/>
          <w:spacing w:val="-8"/>
        </w:rPr>
        <w:t xml:space="preserve">SNCF Connect App and vending machines </w:t>
      </w:r>
      <w:r w:rsidR="00087051" w:rsidRPr="00450B26">
        <w:rPr>
          <w:rFonts w:eastAsiaTheme="minorEastAsia"/>
          <w:i/>
          <w:iCs/>
          <w:noProof/>
          <w:spacing w:val="-8"/>
          <w:lang w:val="en-US"/>
        </w:rPr>
        <w:t>usually only propose high speed TGV services</w:t>
      </w:r>
      <w:r w:rsidR="002876CC" w:rsidRPr="00450B26">
        <w:rPr>
          <w:rFonts w:eastAsiaTheme="minorEastAsia"/>
          <w:i/>
          <w:iCs/>
          <w:noProof/>
          <w:spacing w:val="-8"/>
          <w:lang w:val="en-US"/>
        </w:rPr>
        <w:t xml:space="preserve"> and ‘forget’ to mention alternative itineraries by intercity trains. One example </w:t>
      </w:r>
      <w:r w:rsidR="00C26229" w:rsidRPr="00450B26">
        <w:rPr>
          <w:rFonts w:eastAsiaTheme="minorEastAsia"/>
          <w:i/>
          <w:iCs/>
          <w:noProof/>
          <w:spacing w:val="-8"/>
          <w:lang w:val="en-US"/>
        </w:rPr>
        <w:t>is the trip from Nantes to Bordeaux: the SNCF systematically proposes a TGV ticket Nantes-Paris</w:t>
      </w:r>
      <w:r w:rsidR="009A7FF5" w:rsidRPr="00450B26">
        <w:rPr>
          <w:rFonts w:eastAsiaTheme="minorEastAsia"/>
          <w:i/>
          <w:iCs/>
          <w:noProof/>
          <w:spacing w:val="-8"/>
          <w:lang w:val="en-US"/>
        </w:rPr>
        <w:t>-Bordeaux, while there is a better alternative in terms of duration and price with the intercity line Nantes-Bordeaux</w:t>
      </w:r>
      <w:r w:rsidR="009A7FF5" w:rsidRPr="00450B26">
        <w:rPr>
          <w:rFonts w:eastAsiaTheme="minorEastAsia"/>
          <w:i/>
          <w:iCs/>
          <w:noProof/>
          <w:spacing w:val="-8"/>
        </w:rPr>
        <w:t>”.</w:t>
      </w:r>
      <w:r w:rsidR="009A7FF5">
        <w:rPr>
          <w:rFonts w:eastAsiaTheme="minorEastAsia"/>
          <w:noProof/>
          <w:spacing w:val="-8"/>
        </w:rPr>
        <w:t xml:space="preserve"> European Passenger Federation (E</w:t>
      </w:r>
      <w:r w:rsidR="0065737F">
        <w:rPr>
          <w:rFonts w:eastAsiaTheme="minorEastAsia"/>
          <w:noProof/>
          <w:spacing w:val="-8"/>
        </w:rPr>
        <w:t>PF</w:t>
      </w:r>
      <w:r w:rsidR="009A7FF5">
        <w:rPr>
          <w:rFonts w:eastAsiaTheme="minorEastAsia"/>
          <w:noProof/>
          <w:spacing w:val="-8"/>
        </w:rPr>
        <w:t>)</w:t>
      </w:r>
    </w:p>
    <w:p w14:paraId="1F37C21D" w14:textId="2A14614D" w:rsidR="004C517A" w:rsidRPr="006B5E76" w:rsidRDefault="004C517A" w:rsidP="007B2D8E">
      <w:pPr>
        <w:pStyle w:val="Heading2"/>
        <w:keepNext/>
        <w:keepLines/>
        <w:numPr>
          <w:ilvl w:val="2"/>
          <w:numId w:val="11"/>
        </w:numPr>
        <w:tabs>
          <w:tab w:val="left" w:pos="709"/>
        </w:tabs>
        <w:spacing w:before="0" w:after="240"/>
        <w:ind w:left="1134" w:hanging="709"/>
        <w:rPr>
          <w:b w:val="0"/>
          <w:i/>
          <w:noProof/>
          <w:spacing w:val="-8"/>
        </w:rPr>
      </w:pPr>
      <w:bookmarkStart w:id="48" w:name="_Toc223979946"/>
      <w:r w:rsidRPr="000454C5">
        <w:rPr>
          <w:b w:val="0"/>
          <w:i/>
          <w:noProof/>
        </w:rPr>
        <w:t xml:space="preserve">Problem Driver </w:t>
      </w:r>
      <w:r w:rsidR="00B7402A">
        <w:rPr>
          <w:b w:val="0"/>
          <w:i/>
          <w:noProof/>
          <w:spacing w:val="-8"/>
        </w:rPr>
        <w:t>3</w:t>
      </w:r>
      <w:r w:rsidRPr="006B5E76">
        <w:rPr>
          <w:b w:val="0"/>
          <w:i/>
          <w:noProof/>
          <w:spacing w:val="-8"/>
        </w:rPr>
        <w:t>: Imbalanced commercial relationships between indispensable MDMS and transport operators</w:t>
      </w:r>
      <w:bookmarkEnd w:id="46"/>
      <w:bookmarkEnd w:id="48"/>
      <w:r w:rsidR="00C71BBE">
        <w:rPr>
          <w:b w:val="0"/>
          <w:i/>
          <w:noProof/>
          <w:spacing w:val="-8"/>
        </w:rPr>
        <w:t xml:space="preserve"> (PD3)</w:t>
      </w:r>
    </w:p>
    <w:p w14:paraId="391E869C" w14:textId="30CDFC3B" w:rsidR="004C517A" w:rsidRPr="009E2B08" w:rsidRDefault="004C517A" w:rsidP="0018014D">
      <w:pPr>
        <w:tabs>
          <w:tab w:val="left" w:pos="1134"/>
        </w:tabs>
        <w:spacing w:before="120"/>
        <w:jc w:val="both"/>
        <w:rPr>
          <w:noProof/>
          <w:spacing w:val="-8"/>
        </w:rPr>
      </w:pPr>
      <w:r w:rsidRPr="009E2B08">
        <w:rPr>
          <w:noProof/>
          <w:spacing w:val="-8"/>
        </w:rPr>
        <w:t>This problem driver</w:t>
      </w:r>
      <w:r w:rsidRPr="009E2B08" w:rsidDel="2471901C">
        <w:rPr>
          <w:noProof/>
          <w:spacing w:val="-8"/>
        </w:rPr>
        <w:t xml:space="preserve"> </w:t>
      </w:r>
      <w:r w:rsidRPr="009E2B08">
        <w:rPr>
          <w:noProof/>
          <w:spacing w:val="-8"/>
        </w:rPr>
        <w:t xml:space="preserve">links to Problem </w:t>
      </w:r>
      <w:r w:rsidR="00D16F73" w:rsidRPr="009E2B08">
        <w:rPr>
          <w:noProof/>
          <w:spacing w:val="-8"/>
        </w:rPr>
        <w:t>1</w:t>
      </w:r>
      <w:r w:rsidRPr="009E2B08">
        <w:rPr>
          <w:noProof/>
          <w:spacing w:val="-8"/>
        </w:rPr>
        <w:t>.</w:t>
      </w:r>
      <w:r w:rsidRPr="009E2B08" w:rsidDel="00E812C6">
        <w:rPr>
          <w:noProof/>
          <w:spacing w:val="-8"/>
        </w:rPr>
        <w:t xml:space="preserve"> </w:t>
      </w:r>
      <w:r w:rsidRPr="009E2B08">
        <w:rPr>
          <w:noProof/>
          <w:spacing w:val="-8"/>
        </w:rPr>
        <w:t>MDMS platforms with a strategic position or significant presence in a distribution market can impose restrictive commercial terms harming competition and limit</w:t>
      </w:r>
      <w:r w:rsidR="00D13758" w:rsidRPr="009E2B08">
        <w:rPr>
          <w:noProof/>
          <w:spacing w:val="-8"/>
        </w:rPr>
        <w:t>ing</w:t>
      </w:r>
      <w:r w:rsidRPr="009E2B08">
        <w:rPr>
          <w:noProof/>
          <w:spacing w:val="-8"/>
        </w:rPr>
        <w:t xml:space="preserve"> transport operators’ ability to access and use indispensable MDMS platforms.</w:t>
      </w:r>
    </w:p>
    <w:p w14:paraId="631EF1BA" w14:textId="5EA09532" w:rsidR="004C517A" w:rsidRPr="009E2B08" w:rsidRDefault="002D54CE" w:rsidP="0018014D">
      <w:pPr>
        <w:tabs>
          <w:tab w:val="left" w:pos="1134"/>
        </w:tabs>
        <w:spacing w:before="120"/>
        <w:jc w:val="both"/>
        <w:rPr>
          <w:noProof/>
          <w:spacing w:val="-8"/>
        </w:rPr>
      </w:pPr>
      <w:r w:rsidRPr="009E2B08">
        <w:rPr>
          <w:noProof/>
          <w:spacing w:val="-8"/>
        </w:rPr>
        <w:t xml:space="preserve">Among MDMS, </w:t>
      </w:r>
      <w:r w:rsidR="004C517A" w:rsidRPr="009E2B08">
        <w:rPr>
          <w:noProof/>
          <w:spacing w:val="-8"/>
        </w:rPr>
        <w:t xml:space="preserve">CRSs are </w:t>
      </w:r>
      <w:r w:rsidR="001B14D0" w:rsidRPr="009E2B08">
        <w:rPr>
          <w:noProof/>
          <w:spacing w:val="-8"/>
        </w:rPr>
        <w:t>intermediaries</w:t>
      </w:r>
      <w:r w:rsidR="004C517A" w:rsidRPr="009E2B08">
        <w:rPr>
          <w:noProof/>
          <w:spacing w:val="-8"/>
        </w:rPr>
        <w:t xml:space="preserve"> connecting airlines with hundreds of thousands of travel agents, TMCs and OTAs worldwide. CRS providers offer financial incentives, proprietary technology, and free training to their subscribers (travel agents), which strongly encourages travel agents to remain loyal to </w:t>
      </w:r>
      <w:r w:rsidR="00626F62" w:rsidRPr="009E2B08">
        <w:rPr>
          <w:noProof/>
          <w:spacing w:val="-8"/>
        </w:rPr>
        <w:t>the</w:t>
      </w:r>
      <w:r w:rsidR="004C517A" w:rsidRPr="009E2B08">
        <w:rPr>
          <w:noProof/>
          <w:spacing w:val="-8"/>
        </w:rPr>
        <w:t xml:space="preserve"> CRS</w:t>
      </w:r>
      <w:r w:rsidR="00D67748" w:rsidRPr="009E2B08">
        <w:rPr>
          <w:noProof/>
          <w:spacing w:val="-8"/>
        </w:rPr>
        <w:t xml:space="preserve"> (single homing)</w:t>
      </w:r>
      <w:r w:rsidR="004C517A" w:rsidRPr="009E2B08">
        <w:rPr>
          <w:noProof/>
          <w:spacing w:val="-8"/>
        </w:rPr>
        <w:t>.</w:t>
      </w:r>
      <w:r w:rsidR="004723E5" w:rsidRPr="00824446">
        <w:rPr>
          <w:noProof/>
          <w:spacing w:val="-8"/>
          <w:vertAlign w:val="superscript"/>
        </w:rPr>
        <w:t xml:space="preserve"> </w:t>
      </w:r>
      <w:r w:rsidR="00824446" w:rsidRPr="00824446">
        <w:rPr>
          <w:noProof/>
          <w:spacing w:val="-8"/>
          <w:vertAlign w:val="superscript"/>
        </w:rPr>
        <w:footnoteReference w:id="112"/>
      </w:r>
      <w:r w:rsidR="004723E5">
        <w:rPr>
          <w:noProof/>
          <w:spacing w:val="-8"/>
        </w:rPr>
        <w:t xml:space="preserve"> </w:t>
      </w:r>
      <w:r w:rsidR="004C517A" w:rsidRPr="009E2B08" w:rsidDel="00673669">
        <w:rPr>
          <w:noProof/>
          <w:spacing w:val="-8"/>
        </w:rPr>
        <w:t>S</w:t>
      </w:r>
      <w:r w:rsidR="004C517A" w:rsidRPr="009E2B08">
        <w:rPr>
          <w:noProof/>
          <w:spacing w:val="-8"/>
        </w:rPr>
        <w:t>witching to another CRS would be costly, technically complex, and offer little benefit since all CRSs typically offer the same content due to parity clauses</w:t>
      </w:r>
      <w:r w:rsidR="004C517A" w:rsidRPr="009E2B08">
        <w:rPr>
          <w:noProof/>
          <w:spacing w:val="-8"/>
          <w:vertAlign w:val="superscript"/>
        </w:rPr>
        <w:footnoteReference w:id="113"/>
      </w:r>
      <w:r w:rsidR="004C517A" w:rsidRPr="009E2B08">
        <w:rPr>
          <w:noProof/>
          <w:spacing w:val="-8"/>
        </w:rPr>
        <w:t xml:space="preserve">. </w:t>
      </w:r>
      <w:r w:rsidR="002B0815" w:rsidRPr="009E2B08">
        <w:rPr>
          <w:noProof/>
          <w:spacing w:val="-8"/>
        </w:rPr>
        <w:t>S</w:t>
      </w:r>
      <w:r w:rsidR="004C517A" w:rsidRPr="009E2B08">
        <w:rPr>
          <w:noProof/>
          <w:spacing w:val="-8"/>
        </w:rPr>
        <w:t>witching to new content aggregators would be even more cumbersome as it would imply losing these benefits</w:t>
      </w:r>
      <w:r w:rsidR="004B2DA9" w:rsidRPr="009E2B08">
        <w:rPr>
          <w:noProof/>
          <w:spacing w:val="-8"/>
        </w:rPr>
        <w:t xml:space="preserve"> and </w:t>
      </w:r>
      <w:r w:rsidR="00AB2F8A" w:rsidRPr="009E2B08">
        <w:rPr>
          <w:noProof/>
          <w:spacing w:val="-8"/>
        </w:rPr>
        <w:t xml:space="preserve">incur </w:t>
      </w:r>
      <w:r w:rsidR="00B62EDD" w:rsidRPr="009E2B08">
        <w:rPr>
          <w:noProof/>
          <w:spacing w:val="-8"/>
        </w:rPr>
        <w:t xml:space="preserve">the </w:t>
      </w:r>
      <w:r w:rsidR="00AB2F8A" w:rsidRPr="009E2B08">
        <w:rPr>
          <w:noProof/>
          <w:spacing w:val="-8"/>
        </w:rPr>
        <w:t xml:space="preserve">costs </w:t>
      </w:r>
      <w:r w:rsidR="00B62EDD" w:rsidRPr="009E2B08">
        <w:rPr>
          <w:noProof/>
          <w:spacing w:val="-8"/>
        </w:rPr>
        <w:t xml:space="preserve">of </w:t>
      </w:r>
      <w:r w:rsidR="004B2DA9" w:rsidRPr="009E2B08">
        <w:rPr>
          <w:noProof/>
          <w:spacing w:val="-8"/>
        </w:rPr>
        <w:t xml:space="preserve">switching to a new </w:t>
      </w:r>
      <w:r w:rsidR="00BD4284" w:rsidRPr="009E2B08">
        <w:rPr>
          <w:noProof/>
          <w:spacing w:val="-8"/>
        </w:rPr>
        <w:t xml:space="preserve">technical </w:t>
      </w:r>
      <w:r w:rsidR="004B2DA9" w:rsidRPr="009E2B08">
        <w:rPr>
          <w:noProof/>
          <w:spacing w:val="-8"/>
        </w:rPr>
        <w:t>standard</w:t>
      </w:r>
      <w:r w:rsidR="004C517A" w:rsidRPr="009E2B08">
        <w:rPr>
          <w:noProof/>
          <w:spacing w:val="-8"/>
        </w:rPr>
        <w:t>. This ecosystem makes CRSs an unavoidable commercial partner for all air carriers, travel agents and TMCs and in practice, airlines are often forced to conclude agreements with every major CRS to tap into their large networks (see Annex 9 for further details).</w:t>
      </w:r>
    </w:p>
    <w:p w14:paraId="352C4B5B" w14:textId="2F6B0933" w:rsidR="004C517A" w:rsidRPr="009E2B08" w:rsidRDefault="004C6C96" w:rsidP="0018014D">
      <w:pPr>
        <w:tabs>
          <w:tab w:val="left" w:pos="1134"/>
        </w:tabs>
        <w:spacing w:before="120"/>
        <w:jc w:val="both"/>
        <w:rPr>
          <w:noProof/>
          <w:spacing w:val="-8"/>
        </w:rPr>
      </w:pPr>
      <w:r w:rsidRPr="009E2B08">
        <w:rPr>
          <w:noProof/>
          <w:spacing w:val="-8"/>
        </w:rPr>
        <w:t>B</w:t>
      </w:r>
      <w:r w:rsidR="004C517A" w:rsidRPr="009E2B08">
        <w:rPr>
          <w:noProof/>
          <w:spacing w:val="-8"/>
        </w:rPr>
        <w:t xml:space="preserve">etween 2019 and 2024, travel agents </w:t>
      </w:r>
      <w:r w:rsidR="00C50708" w:rsidRPr="009E2B08">
        <w:rPr>
          <w:noProof/>
          <w:spacing w:val="-8"/>
        </w:rPr>
        <w:t>(including</w:t>
      </w:r>
      <w:r w:rsidR="004C517A" w:rsidRPr="009E2B08">
        <w:rPr>
          <w:noProof/>
          <w:spacing w:val="-8"/>
        </w:rPr>
        <w:t xml:space="preserve"> OTAs</w:t>
      </w:r>
      <w:r w:rsidR="00C50708" w:rsidRPr="009E2B08">
        <w:rPr>
          <w:noProof/>
          <w:spacing w:val="-8"/>
        </w:rPr>
        <w:t>)</w:t>
      </w:r>
      <w:r w:rsidR="004C517A" w:rsidRPr="009E2B08">
        <w:rPr>
          <w:noProof/>
          <w:spacing w:val="-8"/>
        </w:rPr>
        <w:t xml:space="preserve"> utilising CRS platforms accounted for 45% of the total revenues for air trips inside the </w:t>
      </w:r>
      <w:r w:rsidR="00631568" w:rsidRPr="009E2B08">
        <w:rPr>
          <w:noProof/>
          <w:spacing w:val="-8"/>
        </w:rPr>
        <w:t>European Economic Area (</w:t>
      </w:r>
      <w:r w:rsidR="004C517A" w:rsidRPr="009E2B08">
        <w:rPr>
          <w:noProof/>
          <w:spacing w:val="-8"/>
        </w:rPr>
        <w:t>EEA</w:t>
      </w:r>
      <w:r w:rsidR="00631568" w:rsidRPr="009E2B08">
        <w:rPr>
          <w:noProof/>
          <w:spacing w:val="-8"/>
        </w:rPr>
        <w:t>)</w:t>
      </w:r>
      <w:r w:rsidR="004C517A" w:rsidRPr="009E2B08">
        <w:rPr>
          <w:noProof/>
          <w:spacing w:val="-8"/>
        </w:rPr>
        <w:t>, 70% for trips with one leg departing from or arriving in the EEA and 85% for trips outside the EEA, respectively</w:t>
      </w:r>
      <w:r w:rsidR="004C517A" w:rsidRPr="009E2B08">
        <w:rPr>
          <w:noProof/>
          <w:spacing w:val="-8"/>
          <w:vertAlign w:val="superscript"/>
        </w:rPr>
        <w:footnoteReference w:id="114"/>
      </w:r>
      <w:r w:rsidR="004C517A" w:rsidRPr="009E2B08">
        <w:rPr>
          <w:noProof/>
          <w:spacing w:val="-8"/>
        </w:rPr>
        <w:t xml:space="preserve">. While the limited integration </w:t>
      </w:r>
      <w:r w:rsidR="00B0386C" w:rsidRPr="009E2B08">
        <w:rPr>
          <w:noProof/>
          <w:spacing w:val="-8"/>
        </w:rPr>
        <w:t>of</w:t>
      </w:r>
      <w:r w:rsidR="004C517A" w:rsidRPr="009E2B08">
        <w:rPr>
          <w:noProof/>
          <w:spacing w:val="-8"/>
        </w:rPr>
        <w:t xml:space="preserve"> new B2B content aggregators, such as AirGateway, Duffel, Hitchhiker, Travelfusion, Verteil with TMC systems currently constrains their reach, they </w:t>
      </w:r>
      <w:r w:rsidR="00EF5972" w:rsidRPr="009E2B08">
        <w:rPr>
          <w:noProof/>
          <w:spacing w:val="-8"/>
        </w:rPr>
        <w:t>are already</w:t>
      </w:r>
      <w:r w:rsidR="003A5AC2" w:rsidRPr="009E2B08">
        <w:rPr>
          <w:noProof/>
          <w:spacing w:val="-8"/>
        </w:rPr>
        <w:t xml:space="preserve"> </w:t>
      </w:r>
      <w:r w:rsidR="00B941E2" w:rsidRPr="009E2B08">
        <w:rPr>
          <w:noProof/>
          <w:spacing w:val="-8"/>
        </w:rPr>
        <w:t xml:space="preserve">connecting more airlines using </w:t>
      </w:r>
      <w:r w:rsidR="003A5AC2" w:rsidRPr="009E2B08">
        <w:rPr>
          <w:noProof/>
          <w:spacing w:val="-8"/>
        </w:rPr>
        <w:t xml:space="preserve">a new </w:t>
      </w:r>
      <w:r w:rsidR="004C517A" w:rsidRPr="009E2B08">
        <w:rPr>
          <w:noProof/>
          <w:spacing w:val="-8"/>
        </w:rPr>
        <w:t>connectivity</w:t>
      </w:r>
      <w:r w:rsidR="000313D9" w:rsidRPr="009E2B08">
        <w:rPr>
          <w:noProof/>
          <w:spacing w:val="-8"/>
        </w:rPr>
        <w:t xml:space="preserve"> standard</w:t>
      </w:r>
      <w:r w:rsidR="004C517A" w:rsidRPr="009E2B08">
        <w:rPr>
          <w:noProof/>
          <w:spacing w:val="-8"/>
          <w:vertAlign w:val="superscript"/>
        </w:rPr>
        <w:footnoteReference w:id="115"/>
      </w:r>
      <w:r w:rsidR="004C517A" w:rsidRPr="009E2B08">
        <w:rPr>
          <w:noProof/>
          <w:spacing w:val="-8"/>
        </w:rPr>
        <w:t xml:space="preserve">, </w:t>
      </w:r>
      <w:r w:rsidR="00EF5972" w:rsidRPr="009E2B08">
        <w:rPr>
          <w:noProof/>
          <w:spacing w:val="-8"/>
        </w:rPr>
        <w:t xml:space="preserve">are </w:t>
      </w:r>
      <w:r w:rsidR="007976C7" w:rsidRPr="009E2B08">
        <w:rPr>
          <w:noProof/>
          <w:spacing w:val="-8"/>
        </w:rPr>
        <w:t>increasing their market share</w:t>
      </w:r>
      <w:r w:rsidR="004C517A" w:rsidRPr="009E2B08">
        <w:rPr>
          <w:noProof/>
          <w:spacing w:val="-8"/>
        </w:rPr>
        <w:t xml:space="preserve"> and are emerging as competitive alternatives to CRSs</w:t>
      </w:r>
      <w:r w:rsidR="00464E52" w:rsidRPr="009E2B08">
        <w:rPr>
          <w:noProof/>
          <w:spacing w:val="-8"/>
        </w:rPr>
        <w:t>,</w:t>
      </w:r>
      <w:r w:rsidR="00EF5972" w:rsidRPr="009E2B08">
        <w:rPr>
          <w:noProof/>
          <w:spacing w:val="-8"/>
        </w:rPr>
        <w:t xml:space="preserve"> </w:t>
      </w:r>
      <w:r w:rsidR="00B468A2" w:rsidRPr="009E2B08">
        <w:rPr>
          <w:noProof/>
          <w:spacing w:val="-8"/>
        </w:rPr>
        <w:t xml:space="preserve">which </w:t>
      </w:r>
      <w:r w:rsidR="00F02BFC" w:rsidRPr="009E2B08">
        <w:rPr>
          <w:noProof/>
          <w:spacing w:val="-8"/>
        </w:rPr>
        <w:t>calls to extend</w:t>
      </w:r>
      <w:r w:rsidR="001B1776" w:rsidRPr="009E2B08">
        <w:rPr>
          <w:noProof/>
          <w:spacing w:val="-8"/>
        </w:rPr>
        <w:t xml:space="preserve"> to them</w:t>
      </w:r>
      <w:r w:rsidR="00F02BFC" w:rsidRPr="009E2B08">
        <w:rPr>
          <w:noProof/>
          <w:spacing w:val="-8"/>
        </w:rPr>
        <w:t xml:space="preserve"> the retained rules from the CRS Code of Conduct</w:t>
      </w:r>
      <w:r w:rsidR="001B1776" w:rsidRPr="009E2B08">
        <w:rPr>
          <w:noProof/>
          <w:spacing w:val="-8"/>
        </w:rPr>
        <w:t>, despite their market share. These NCAs</w:t>
      </w:r>
      <w:r w:rsidR="004E6747" w:rsidRPr="009E2B08">
        <w:rPr>
          <w:noProof/>
          <w:spacing w:val="-8"/>
        </w:rPr>
        <w:t xml:space="preserve"> are the new gateways to travel agents and ultimately to consumers, </w:t>
      </w:r>
      <w:r w:rsidR="00464E52" w:rsidRPr="009E2B08">
        <w:rPr>
          <w:noProof/>
          <w:spacing w:val="-8"/>
        </w:rPr>
        <w:t>thus creating</w:t>
      </w:r>
      <w:r w:rsidR="004C517A" w:rsidRPr="009E2B08">
        <w:rPr>
          <w:noProof/>
          <w:spacing w:val="-8"/>
        </w:rPr>
        <w:t xml:space="preserve"> a strategic market position that may allow them to restrict access to transport operators, in particular smaller transport operators.</w:t>
      </w:r>
    </w:p>
    <w:p w14:paraId="7F53B347" w14:textId="4B5C29F3" w:rsidR="004C517A" w:rsidRPr="009E2B08" w:rsidRDefault="004C517A" w:rsidP="0018014D">
      <w:pPr>
        <w:tabs>
          <w:tab w:val="left" w:pos="1134"/>
        </w:tabs>
        <w:spacing w:before="120"/>
        <w:jc w:val="both"/>
        <w:rPr>
          <w:noProof/>
          <w:spacing w:val="-8"/>
        </w:rPr>
      </w:pPr>
      <w:r w:rsidRPr="009E2B08">
        <w:rPr>
          <w:noProof/>
          <w:spacing w:val="-8"/>
        </w:rPr>
        <w:t>In the B2C sector, MDMS platforms with SMP are also essential gateways to travellers.</w:t>
      </w:r>
      <w:r w:rsidRPr="009E2B08" w:rsidDel="00F568C2">
        <w:rPr>
          <w:noProof/>
          <w:spacing w:val="-8"/>
        </w:rPr>
        <w:t xml:space="preserve"> </w:t>
      </w:r>
      <w:r w:rsidRPr="009E2B08">
        <w:rPr>
          <w:noProof/>
          <w:spacing w:val="-8"/>
        </w:rPr>
        <w:t xml:space="preserve">This is </w:t>
      </w:r>
      <w:r w:rsidR="00B27927" w:rsidRPr="009E2B08">
        <w:rPr>
          <w:noProof/>
          <w:spacing w:val="-8"/>
        </w:rPr>
        <w:t>most obvious</w:t>
      </w:r>
      <w:r w:rsidRPr="009E2B08">
        <w:rPr>
          <w:noProof/>
          <w:spacing w:val="-8"/>
        </w:rPr>
        <w:t xml:space="preserve"> in the rail sector with </w:t>
      </w:r>
      <w:r w:rsidR="00BB5DD1" w:rsidRPr="009E2B08">
        <w:rPr>
          <w:noProof/>
          <w:spacing w:val="-8"/>
        </w:rPr>
        <w:t>indispensable RU</w:t>
      </w:r>
      <w:r w:rsidRPr="009E2B08">
        <w:rPr>
          <w:noProof/>
          <w:spacing w:val="-8"/>
        </w:rPr>
        <w:t xml:space="preserve"> platforms who have inherited quasi-monopolistic positions in the operational sector with strong brand recognition for distribution. </w:t>
      </w:r>
      <w:r w:rsidR="0045170C" w:rsidRPr="009E2B08">
        <w:rPr>
          <w:noProof/>
          <w:spacing w:val="-8"/>
        </w:rPr>
        <w:t>Such</w:t>
      </w:r>
      <w:r w:rsidR="000F6203" w:rsidRPr="009E2B08">
        <w:rPr>
          <w:noProof/>
          <w:spacing w:val="-8"/>
        </w:rPr>
        <w:t xml:space="preserve"> practices lead to limited rail booking possibilities: the 2025 T&amp;E study</w:t>
      </w:r>
      <w:r w:rsidR="000F6203" w:rsidRPr="009E2B08">
        <w:rPr>
          <w:noProof/>
          <w:spacing w:val="-8"/>
          <w:vertAlign w:val="superscript"/>
        </w:rPr>
        <w:footnoteReference w:id="116"/>
      </w:r>
      <w:r w:rsidR="000F6203" w:rsidRPr="009E2B08">
        <w:rPr>
          <w:noProof/>
          <w:spacing w:val="-8"/>
        </w:rPr>
        <w:t xml:space="preserve"> shows that on the EU’s 30 busiest aviation routes under 1500 </w:t>
      </w:r>
      <w:r w:rsidR="000F6203" w:rsidRPr="0078338D">
        <w:rPr>
          <w:noProof/>
          <w:spacing w:val="-8"/>
        </w:rPr>
        <w:t>km</w:t>
      </w:r>
      <w:r w:rsidR="000F6203" w:rsidRPr="009E2B08">
        <w:rPr>
          <w:noProof/>
          <w:spacing w:val="-8"/>
        </w:rPr>
        <w:t>, the rail alternative is in 20% of cases not bookable at all and in 27% of cases bookable only on one RU platform.</w:t>
      </w:r>
      <w:r w:rsidR="001B4976" w:rsidRPr="009E2B08">
        <w:rPr>
          <w:noProof/>
          <w:spacing w:val="-8"/>
        </w:rPr>
        <w:t xml:space="preserve"> </w:t>
      </w:r>
    </w:p>
    <w:p w14:paraId="4911A719" w14:textId="52B62EB5" w:rsidR="004C517A" w:rsidRDefault="004C517A" w:rsidP="0018014D">
      <w:pPr>
        <w:tabs>
          <w:tab w:val="left" w:pos="1134"/>
        </w:tabs>
        <w:spacing w:before="120" w:after="240"/>
        <w:jc w:val="both"/>
        <w:rPr>
          <w:noProof/>
          <w:spacing w:val="-8"/>
        </w:rPr>
      </w:pPr>
      <w:r w:rsidRPr="009E2B08">
        <w:rPr>
          <w:noProof/>
          <w:spacing w:val="-8"/>
        </w:rPr>
        <w:t xml:space="preserve">During the targeted survey across stakeholders participating, 36 out of 72 agreed </w:t>
      </w:r>
      <w:r w:rsidR="00593F63" w:rsidRPr="009E2B08">
        <w:rPr>
          <w:noProof/>
          <w:spacing w:val="-8"/>
        </w:rPr>
        <w:t>that</w:t>
      </w:r>
      <w:r w:rsidRPr="009E2B08">
        <w:rPr>
          <w:noProof/>
          <w:spacing w:val="-8"/>
        </w:rPr>
        <w:t xml:space="preserve"> problem driver</w:t>
      </w:r>
      <w:r w:rsidR="000B1FD8" w:rsidRPr="009E2B08">
        <w:rPr>
          <w:noProof/>
          <w:spacing w:val="-8"/>
        </w:rPr>
        <w:t xml:space="preserve"> 3</w:t>
      </w:r>
      <w:r w:rsidR="00593F63" w:rsidRPr="009E2B08">
        <w:rPr>
          <w:noProof/>
          <w:spacing w:val="-8"/>
        </w:rPr>
        <w:t xml:space="preserve"> </w:t>
      </w:r>
      <w:r w:rsidR="00CE3A1D" w:rsidRPr="009E2B08">
        <w:rPr>
          <w:i/>
          <w:iCs/>
          <w:noProof/>
          <w:spacing w:val="-8"/>
        </w:rPr>
        <w:t>leads to uneven access of operators on indispensable MDMS platforms</w:t>
      </w:r>
      <w:r w:rsidR="006279E6">
        <w:rPr>
          <w:rStyle w:val="FootnoteReference"/>
          <w:i/>
          <w:iCs/>
          <w:noProof/>
          <w:spacing w:val="-8"/>
        </w:rPr>
        <w:footnoteReference w:id="117"/>
      </w:r>
      <w:r w:rsidRPr="009E2B08">
        <w:rPr>
          <w:i/>
          <w:iCs/>
          <w:noProof/>
          <w:spacing w:val="-8"/>
        </w:rPr>
        <w:t>,</w:t>
      </w:r>
      <w:r w:rsidRPr="009E2B08">
        <w:rPr>
          <w:noProof/>
          <w:spacing w:val="-8"/>
        </w:rPr>
        <w:t xml:space="preserve"> 23 disagreed. Six were neutral and seven did not know. Most stakeholder groups surveyed </w:t>
      </w:r>
      <w:r w:rsidR="004912E8" w:rsidRPr="009E2B08">
        <w:rPr>
          <w:noProof/>
          <w:spacing w:val="-8"/>
        </w:rPr>
        <w:t xml:space="preserve">agreed with </w:t>
      </w:r>
      <w:r w:rsidRPr="009E2B08">
        <w:rPr>
          <w:noProof/>
          <w:spacing w:val="-8"/>
        </w:rPr>
        <w:t xml:space="preserve">problem driver </w:t>
      </w:r>
      <w:r w:rsidR="00B7402A" w:rsidRPr="009E2B08">
        <w:rPr>
          <w:noProof/>
          <w:spacing w:val="-8"/>
        </w:rPr>
        <w:t>3</w:t>
      </w:r>
      <w:r w:rsidRPr="009E2B08">
        <w:rPr>
          <w:noProof/>
          <w:spacing w:val="-8"/>
        </w:rPr>
        <w:t>, except MDMS platforms expressing a view, where 13 of 20 disagreed. Among transport operators surveyed, 17 out of 30 agree</w:t>
      </w:r>
      <w:r w:rsidR="004655E5" w:rsidRPr="009E2B08">
        <w:rPr>
          <w:noProof/>
          <w:spacing w:val="-8"/>
        </w:rPr>
        <w:t>d</w:t>
      </w:r>
      <w:r w:rsidRPr="009E2B08">
        <w:rPr>
          <w:noProof/>
          <w:spacing w:val="-8"/>
        </w:rPr>
        <w:t xml:space="preserve"> and six disagreed. 9 out of 12 national authorities surveyed and 5 out of 10 ‘</w:t>
      </w:r>
      <w:r w:rsidR="0047035F" w:rsidRPr="009E2B08">
        <w:rPr>
          <w:noProof/>
          <w:spacing w:val="-8"/>
        </w:rPr>
        <w:t xml:space="preserve">other’ </w:t>
      </w:r>
      <w:r w:rsidRPr="009E2B08">
        <w:rPr>
          <w:noProof/>
          <w:spacing w:val="-8"/>
        </w:rPr>
        <w:t xml:space="preserve">stakeholders surveyed agreed. MDMS platforms expressing a view </w:t>
      </w:r>
      <w:r w:rsidR="0080495A">
        <w:rPr>
          <w:noProof/>
          <w:spacing w:val="-8"/>
        </w:rPr>
        <w:t>tend to</w:t>
      </w:r>
      <w:r w:rsidRPr="004C517A">
        <w:rPr>
          <w:noProof/>
          <w:spacing w:val="-8"/>
        </w:rPr>
        <w:t xml:space="preserve"> reject</w:t>
      </w:r>
      <w:r w:rsidRPr="009E2B08">
        <w:rPr>
          <w:noProof/>
          <w:spacing w:val="-8"/>
        </w:rPr>
        <w:t xml:space="preserve"> problem driver </w:t>
      </w:r>
      <w:r w:rsidR="00B7402A" w:rsidRPr="009E2B08">
        <w:rPr>
          <w:noProof/>
          <w:spacing w:val="-8"/>
        </w:rPr>
        <w:t>3</w:t>
      </w:r>
      <w:r w:rsidR="001767B0" w:rsidRPr="009E2B08">
        <w:rPr>
          <w:noProof/>
          <w:spacing w:val="-8"/>
        </w:rPr>
        <w:t>, expressing disagreement in both the survey and during interviews</w:t>
      </w:r>
      <w:r w:rsidRPr="009E2B08">
        <w:rPr>
          <w:noProof/>
          <w:spacing w:val="-8"/>
          <w:vertAlign w:val="superscript"/>
        </w:rPr>
        <w:footnoteReference w:id="118"/>
      </w:r>
      <w:r w:rsidRPr="009E2B08">
        <w:rPr>
          <w:noProof/>
          <w:spacing w:val="-8"/>
        </w:rPr>
        <w:t>.</w:t>
      </w:r>
      <w:r w:rsidR="00373390" w:rsidRPr="009E2B08">
        <w:rPr>
          <w:noProof/>
          <w:spacing w:val="-8"/>
        </w:rPr>
        <w:t xml:space="preserve"> Nonetheless </w:t>
      </w:r>
      <w:r w:rsidR="005723C3" w:rsidRPr="009E2B08">
        <w:rPr>
          <w:noProof/>
          <w:spacing w:val="-8"/>
        </w:rPr>
        <w:t xml:space="preserve">a majority of stakeholders from all stakeholder groups agreed that problem driver 3 leads </w:t>
      </w:r>
      <w:r w:rsidR="005723C3" w:rsidRPr="009E2B08">
        <w:rPr>
          <w:i/>
          <w:noProof/>
          <w:spacing w:val="-8"/>
        </w:rPr>
        <w:t>to limited and distorted information on MDMS platforms</w:t>
      </w:r>
      <w:r w:rsidR="00FF6C4D">
        <w:rPr>
          <w:rStyle w:val="FootnoteReference"/>
          <w:i/>
          <w:noProof/>
          <w:spacing w:val="-8"/>
        </w:rPr>
        <w:footnoteReference w:id="119"/>
      </w:r>
      <w:r w:rsidR="005723C3" w:rsidRPr="009E2B08">
        <w:rPr>
          <w:noProof/>
          <w:spacing w:val="-8"/>
        </w:rPr>
        <w:t xml:space="preserve">. </w:t>
      </w:r>
      <w:r w:rsidR="00272D31" w:rsidRPr="009E2B08">
        <w:rPr>
          <w:noProof/>
          <w:spacing w:val="-8"/>
        </w:rPr>
        <w:t xml:space="preserve">Indeed, 13 of 19 MDMS agreed, </w:t>
      </w:r>
      <w:r w:rsidR="005D49FB" w:rsidRPr="009E2B08">
        <w:rPr>
          <w:noProof/>
          <w:spacing w:val="-8"/>
        </w:rPr>
        <w:t xml:space="preserve">as well as 16 of 31 transport operators, 9 of 11 national </w:t>
      </w:r>
      <w:r w:rsidR="00174F60" w:rsidRPr="009E2B08">
        <w:rPr>
          <w:noProof/>
          <w:spacing w:val="-8"/>
        </w:rPr>
        <w:t>authorities and 8 of 11 ‘</w:t>
      </w:r>
      <w:r w:rsidR="00266896" w:rsidRPr="009E2B08">
        <w:rPr>
          <w:noProof/>
          <w:spacing w:val="-8"/>
        </w:rPr>
        <w:t>others’</w:t>
      </w:r>
      <w:r w:rsidR="00174F60" w:rsidRPr="009E2B08">
        <w:rPr>
          <w:noProof/>
          <w:spacing w:val="-8"/>
        </w:rPr>
        <w:t>.</w:t>
      </w:r>
      <w:r w:rsidR="00174F60">
        <w:rPr>
          <w:noProof/>
          <w:spacing w:val="-8"/>
        </w:rPr>
        <w:t xml:space="preserve"> </w:t>
      </w:r>
    </w:p>
    <w:p w14:paraId="3531194B" w14:textId="4AA6D056" w:rsidR="00326F6D" w:rsidRPr="009E095E" w:rsidDel="0000576B" w:rsidRDefault="008E6720" w:rsidP="00326F6D">
      <w:pPr>
        <w:pBdr>
          <w:top w:val="single" w:sz="4" w:space="1" w:color="auto"/>
          <w:left w:val="single" w:sz="4" w:space="4" w:color="auto"/>
          <w:bottom w:val="single" w:sz="4" w:space="1" w:color="auto"/>
          <w:right w:val="single" w:sz="4" w:space="4" w:color="auto"/>
        </w:pBdr>
        <w:tabs>
          <w:tab w:val="left" w:pos="1134"/>
        </w:tabs>
        <w:spacing w:before="120" w:after="240"/>
        <w:jc w:val="both"/>
        <w:rPr>
          <w:i/>
          <w:noProof/>
          <w:spacing w:val="-8"/>
        </w:rPr>
      </w:pPr>
      <w:r>
        <w:rPr>
          <w:i/>
          <w:noProof/>
          <w:spacing w:val="-8"/>
        </w:rPr>
        <w:t>“</w:t>
      </w:r>
      <w:r w:rsidR="00112785" w:rsidRPr="00112785">
        <w:rPr>
          <w:i/>
          <w:iCs/>
          <w:noProof/>
          <w:spacing w:val="-8"/>
        </w:rPr>
        <w:t>It is important to bear in mind that regional airlines do not benefit from the economies of scale that major carriers enjoy, which makes it increasingly difficult for them to assert themselves in a distribution market dominated by the major OTAs and meta-search engines. Many of these platforms operate as gatekeepers, prioritising certain airlines based on commercial agreements and often to the detriment of smaller carriers. This limits consumer choice and creates an uneven playing field, where regional airlines struggle to gain visibility despite offering connectivity to peripheral, insular and remote regions across Europe</w:t>
      </w:r>
      <w:r>
        <w:rPr>
          <w:i/>
          <w:iCs/>
          <w:noProof/>
          <w:spacing w:val="-8"/>
        </w:rPr>
        <w:t>”</w:t>
      </w:r>
      <w:r w:rsidR="00112785" w:rsidRPr="00112785">
        <w:rPr>
          <w:i/>
          <w:iCs/>
          <w:noProof/>
          <w:spacing w:val="-8"/>
        </w:rPr>
        <w:t>.</w:t>
      </w:r>
      <w:r w:rsidR="00EE7101">
        <w:rPr>
          <w:i/>
          <w:iCs/>
          <w:noProof/>
          <w:spacing w:val="-8"/>
        </w:rPr>
        <w:t xml:space="preserve"> </w:t>
      </w:r>
      <w:r w:rsidR="00EE7101" w:rsidRPr="00DD72DB">
        <w:rPr>
          <w:noProof/>
          <w:spacing w:val="-8"/>
        </w:rPr>
        <w:t>ERA in the targeted survey</w:t>
      </w:r>
      <w:r w:rsidR="00EE7101">
        <w:rPr>
          <w:i/>
          <w:iCs/>
          <w:noProof/>
          <w:spacing w:val="-8"/>
        </w:rPr>
        <w:t xml:space="preserve"> </w:t>
      </w:r>
    </w:p>
    <w:p w14:paraId="4B187832" w14:textId="565C9A7F" w:rsidR="00A50B60" w:rsidRPr="00237A70" w:rsidDel="00A22070" w:rsidRDefault="00A50B60" w:rsidP="007B2D8E">
      <w:pPr>
        <w:pStyle w:val="Heading2"/>
        <w:keepNext/>
        <w:keepLines/>
        <w:numPr>
          <w:ilvl w:val="2"/>
          <w:numId w:val="11"/>
        </w:numPr>
        <w:tabs>
          <w:tab w:val="left" w:pos="709"/>
        </w:tabs>
        <w:spacing w:before="0" w:after="240"/>
        <w:ind w:left="1134" w:hanging="709"/>
        <w:rPr>
          <w:b w:val="0"/>
          <w:i/>
          <w:noProof/>
        </w:rPr>
      </w:pPr>
      <w:bookmarkStart w:id="49" w:name="2.2.1_Problem_Driver_1:_Limited_willingn"/>
      <w:bookmarkStart w:id="50" w:name="_Toc220667480"/>
      <w:bookmarkStart w:id="51" w:name="_Toc222313456"/>
      <w:bookmarkStart w:id="52" w:name="_Toc222748973"/>
      <w:bookmarkStart w:id="53" w:name="_Ref223313010"/>
      <w:bookmarkStart w:id="54" w:name="_Toc223979947"/>
      <w:bookmarkEnd w:id="49"/>
      <w:r w:rsidRPr="00D71008">
        <w:rPr>
          <w:b w:val="0"/>
          <w:i/>
          <w:noProof/>
        </w:rPr>
        <w:t xml:space="preserve">Problem Driver </w:t>
      </w:r>
      <w:r w:rsidR="009A69A4">
        <w:rPr>
          <w:b w:val="0"/>
          <w:i/>
          <w:noProof/>
        </w:rPr>
        <w:t>4</w:t>
      </w:r>
      <w:r w:rsidRPr="00D71008">
        <w:rPr>
          <w:b w:val="0"/>
          <w:i/>
          <w:noProof/>
        </w:rPr>
        <w:t xml:space="preserve">: </w:t>
      </w:r>
      <w:r w:rsidR="007C1094" w:rsidRPr="002C3617">
        <w:rPr>
          <w:b w:val="0"/>
          <w:i/>
          <w:noProof/>
        </w:rPr>
        <w:t xml:space="preserve">Vertical integration of railway </w:t>
      </w:r>
      <w:r w:rsidR="002C3617" w:rsidRPr="002C3617">
        <w:rPr>
          <w:b w:val="0"/>
          <w:i/>
          <w:noProof/>
        </w:rPr>
        <w:t>undertakings</w:t>
      </w:r>
      <w:r w:rsidR="007C1094" w:rsidRPr="002C3617">
        <w:rPr>
          <w:b w:val="0"/>
          <w:i/>
          <w:noProof/>
        </w:rPr>
        <w:t xml:space="preserve"> and rail ticketing platforms </w:t>
      </w:r>
      <w:r w:rsidR="00084F95">
        <w:rPr>
          <w:b w:val="0"/>
          <w:i/>
          <w:noProof/>
        </w:rPr>
        <w:t>hinders</w:t>
      </w:r>
      <w:r w:rsidR="00084F95" w:rsidRPr="002C3617">
        <w:rPr>
          <w:b w:val="0"/>
          <w:i/>
          <w:noProof/>
        </w:rPr>
        <w:t xml:space="preserve"> </w:t>
      </w:r>
      <w:r w:rsidR="007C1094" w:rsidRPr="002C3617">
        <w:rPr>
          <w:b w:val="0"/>
          <w:i/>
          <w:noProof/>
        </w:rPr>
        <w:t>wide</w:t>
      </w:r>
      <w:r w:rsidR="00084F95">
        <w:rPr>
          <w:b w:val="0"/>
          <w:i/>
          <w:noProof/>
        </w:rPr>
        <w:t>r</w:t>
      </w:r>
      <w:r w:rsidR="007C1094" w:rsidRPr="002C3617">
        <w:rPr>
          <w:b w:val="0"/>
          <w:i/>
          <w:noProof/>
        </w:rPr>
        <w:t xml:space="preserve"> </w:t>
      </w:r>
      <w:bookmarkEnd w:id="50"/>
      <w:bookmarkEnd w:id="51"/>
      <w:bookmarkEnd w:id="52"/>
      <w:bookmarkEnd w:id="53"/>
      <w:r w:rsidR="002C3617" w:rsidRPr="002C3617">
        <w:rPr>
          <w:b w:val="0"/>
          <w:i/>
          <w:noProof/>
        </w:rPr>
        <w:t>ticket distribution</w:t>
      </w:r>
      <w:bookmarkEnd w:id="54"/>
      <w:r w:rsidR="00C71BBE">
        <w:rPr>
          <w:b w:val="0"/>
          <w:i/>
          <w:noProof/>
        </w:rPr>
        <w:t xml:space="preserve"> (PD4)</w:t>
      </w:r>
    </w:p>
    <w:p w14:paraId="396423CA" w14:textId="3A2A91EE" w:rsidR="00C2193E" w:rsidRPr="00E42F98" w:rsidRDefault="005C5069" w:rsidP="002713B1">
      <w:pPr>
        <w:tabs>
          <w:tab w:val="left" w:pos="1134"/>
        </w:tabs>
        <w:spacing w:after="240"/>
        <w:jc w:val="both"/>
        <w:rPr>
          <w:noProof/>
          <w:spacing w:val="-8"/>
        </w:rPr>
      </w:pPr>
      <w:r w:rsidRPr="00E42F98">
        <w:rPr>
          <w:noProof/>
          <w:spacing w:val="-8"/>
        </w:rPr>
        <w:t xml:space="preserve">This problem driver </w:t>
      </w:r>
      <w:r w:rsidR="0044388C" w:rsidRPr="00E42F98">
        <w:rPr>
          <w:noProof/>
          <w:spacing w:val="-8"/>
        </w:rPr>
        <w:t>is specific to the rail sector</w:t>
      </w:r>
      <w:r w:rsidR="00EE6085" w:rsidRPr="00E42F98">
        <w:rPr>
          <w:noProof/>
          <w:spacing w:val="-8"/>
        </w:rPr>
        <w:t xml:space="preserve"> and</w:t>
      </w:r>
      <w:r w:rsidRPr="00E42F98">
        <w:rPr>
          <w:noProof/>
          <w:spacing w:val="-8"/>
        </w:rPr>
        <w:t xml:space="preserve"> </w:t>
      </w:r>
      <w:r w:rsidR="002B0D6E" w:rsidRPr="00E42F98">
        <w:rPr>
          <w:noProof/>
          <w:spacing w:val="-8"/>
        </w:rPr>
        <w:t>is the cause of Problem 2</w:t>
      </w:r>
      <w:r w:rsidR="00AD5B49" w:rsidRPr="00E42F98">
        <w:rPr>
          <w:noProof/>
          <w:spacing w:val="-8"/>
        </w:rPr>
        <w:t xml:space="preserve">, that is </w:t>
      </w:r>
      <w:r w:rsidR="00525143" w:rsidRPr="00E42F98">
        <w:rPr>
          <w:noProof/>
          <w:spacing w:val="-8"/>
        </w:rPr>
        <w:t>the lack of a complete</w:t>
      </w:r>
      <w:r w:rsidR="00CB7312" w:rsidRPr="00E42F98">
        <w:rPr>
          <w:noProof/>
          <w:spacing w:val="-8"/>
        </w:rPr>
        <w:t xml:space="preserve"> offer of rail tickets on rail</w:t>
      </w:r>
      <w:r w:rsidR="00F97854" w:rsidRPr="00E42F98">
        <w:rPr>
          <w:noProof/>
          <w:spacing w:val="-8"/>
        </w:rPr>
        <w:t xml:space="preserve"> platf</w:t>
      </w:r>
      <w:r w:rsidR="000D3867" w:rsidRPr="00E42F98">
        <w:rPr>
          <w:noProof/>
          <w:spacing w:val="-8"/>
        </w:rPr>
        <w:t xml:space="preserve">orms and </w:t>
      </w:r>
      <w:r w:rsidR="007A4D3A" w:rsidRPr="00E42F98">
        <w:rPr>
          <w:noProof/>
          <w:spacing w:val="-8"/>
        </w:rPr>
        <w:t xml:space="preserve">on </w:t>
      </w:r>
      <w:r w:rsidR="000D3867" w:rsidRPr="00E42F98">
        <w:rPr>
          <w:noProof/>
          <w:spacing w:val="-8"/>
        </w:rPr>
        <w:t>MDMS in general</w:t>
      </w:r>
      <w:r w:rsidRPr="00E42F98">
        <w:rPr>
          <w:noProof/>
          <w:spacing w:val="-8"/>
        </w:rPr>
        <w:t>.</w:t>
      </w:r>
      <w:r w:rsidR="0054393F" w:rsidRPr="00E42F98">
        <w:rPr>
          <w:noProof/>
          <w:spacing w:val="-8"/>
        </w:rPr>
        <w:t xml:space="preserve"> </w:t>
      </w:r>
      <w:r w:rsidR="00B1675D" w:rsidRPr="00E42F98">
        <w:rPr>
          <w:noProof/>
          <w:spacing w:val="-8"/>
        </w:rPr>
        <w:t xml:space="preserve">Most incumbent </w:t>
      </w:r>
      <w:r w:rsidR="001358ED" w:rsidRPr="00E42F98">
        <w:rPr>
          <w:noProof/>
          <w:spacing w:val="-8"/>
        </w:rPr>
        <w:t>RU</w:t>
      </w:r>
      <w:r w:rsidR="00B1675D" w:rsidRPr="00E42F98">
        <w:rPr>
          <w:noProof/>
          <w:spacing w:val="-8"/>
        </w:rPr>
        <w:t>s have inherited SMP in both the transport service and the ticket distribution market and can leverage their strength in one market to maintain a strong position in the other</w:t>
      </w:r>
      <w:r w:rsidR="00B008BC" w:rsidRPr="00E42F98">
        <w:rPr>
          <w:noProof/>
          <w:spacing w:val="-8"/>
          <w:vertAlign w:val="superscript"/>
        </w:rPr>
        <w:footnoteReference w:id="120"/>
      </w:r>
      <w:r w:rsidR="00B1675D" w:rsidRPr="00E42F98">
        <w:rPr>
          <w:noProof/>
          <w:spacing w:val="-8"/>
        </w:rPr>
        <w:t xml:space="preserve">. In other words, they can weaken the position of competing platforms by denying them access to their transport offer and can harm competitors in the transport market by denying them presence on their ticketing platform. </w:t>
      </w:r>
      <w:r w:rsidR="00F94D49" w:rsidRPr="00E42F98">
        <w:rPr>
          <w:noProof/>
          <w:spacing w:val="-8"/>
        </w:rPr>
        <w:t xml:space="preserve">With progressive market opening, new-entrant </w:t>
      </w:r>
      <w:r w:rsidR="001358ED" w:rsidRPr="00E42F98">
        <w:rPr>
          <w:noProof/>
          <w:spacing w:val="-8"/>
        </w:rPr>
        <w:t>RU</w:t>
      </w:r>
      <w:r w:rsidR="00F94D49" w:rsidRPr="00E42F98">
        <w:rPr>
          <w:noProof/>
          <w:spacing w:val="-8"/>
        </w:rPr>
        <w:t xml:space="preserve">s are expanding their offer in the Union but lack fair access to </w:t>
      </w:r>
      <w:r w:rsidR="00BB5DD1" w:rsidRPr="00E42F98">
        <w:rPr>
          <w:noProof/>
          <w:spacing w:val="-8"/>
        </w:rPr>
        <w:t>indispensable RU</w:t>
      </w:r>
      <w:r w:rsidR="00F94D49" w:rsidRPr="00E42F98">
        <w:rPr>
          <w:noProof/>
          <w:spacing w:val="-8"/>
        </w:rPr>
        <w:t xml:space="preserve"> platforms</w:t>
      </w:r>
      <w:r w:rsidR="00F94D49" w:rsidRPr="00E42F98">
        <w:rPr>
          <w:rStyle w:val="FootnoteReference"/>
          <w:noProof/>
          <w:spacing w:val="-8"/>
        </w:rPr>
        <w:footnoteReference w:id="121"/>
      </w:r>
      <w:r w:rsidR="00F94D49" w:rsidRPr="00E42F98">
        <w:rPr>
          <w:noProof/>
          <w:spacing w:val="-8"/>
        </w:rPr>
        <w:t xml:space="preserve">. For the reasons explained above, the latter do not necessarily behave like independent platforms seeking to provide the broadest range of travel offers but often have an interest in not giving visibility to their direct competitors in the transport services market, thereby forcing new entrants to rely on alternative channels, incur higher entry costs and creating a significant barrier for smaller and new </w:t>
      </w:r>
      <w:r w:rsidR="001358ED" w:rsidRPr="00E42F98">
        <w:rPr>
          <w:noProof/>
          <w:spacing w:val="-8"/>
        </w:rPr>
        <w:t>RU</w:t>
      </w:r>
      <w:r w:rsidR="00F94D49" w:rsidRPr="00E42F98">
        <w:rPr>
          <w:noProof/>
          <w:spacing w:val="-8"/>
        </w:rPr>
        <w:t>s</w:t>
      </w:r>
      <w:r w:rsidR="00F94D49" w:rsidRPr="00E42F98">
        <w:rPr>
          <w:noProof/>
          <w:spacing w:val="-8"/>
          <w:vertAlign w:val="superscript"/>
        </w:rPr>
        <w:footnoteReference w:id="122"/>
      </w:r>
      <w:r w:rsidR="00C2193E" w:rsidRPr="00E42F98">
        <w:rPr>
          <w:noProof/>
          <w:spacing w:val="-8"/>
        </w:rPr>
        <w:t xml:space="preserve">. </w:t>
      </w:r>
      <w:r w:rsidR="00B1675D" w:rsidRPr="00E42F98">
        <w:rPr>
          <w:noProof/>
          <w:spacing w:val="-8"/>
        </w:rPr>
        <w:t>The</w:t>
      </w:r>
      <w:r w:rsidR="0BA3DAEE" w:rsidRPr="00E42F98">
        <w:rPr>
          <w:noProof/>
          <w:spacing w:val="-8"/>
        </w:rPr>
        <w:t xml:space="preserve"> refusal of</w:t>
      </w:r>
      <w:r w:rsidR="00B1675D" w:rsidRPr="00E42F98">
        <w:rPr>
          <w:noProof/>
          <w:spacing w:val="-8"/>
        </w:rPr>
        <w:t xml:space="preserve"> vertical</w:t>
      </w:r>
      <w:r w:rsidR="170078ED" w:rsidRPr="00E42F98">
        <w:rPr>
          <w:noProof/>
          <w:spacing w:val="-8"/>
        </w:rPr>
        <w:t>ly</w:t>
      </w:r>
      <w:r w:rsidR="00B1675D" w:rsidRPr="00E42F98">
        <w:rPr>
          <w:noProof/>
          <w:spacing w:val="-8"/>
        </w:rPr>
        <w:t xml:space="preserve"> integrat</w:t>
      </w:r>
      <w:r w:rsidR="709E189C" w:rsidRPr="00E42F98">
        <w:rPr>
          <w:noProof/>
          <w:spacing w:val="-8"/>
        </w:rPr>
        <w:t>ed platform</w:t>
      </w:r>
      <w:r w:rsidR="000D37FC" w:rsidRPr="00E42F98">
        <w:rPr>
          <w:noProof/>
          <w:spacing w:val="-8"/>
        </w:rPr>
        <w:t>s</w:t>
      </w:r>
      <w:r w:rsidR="709E189C" w:rsidRPr="00E42F98">
        <w:rPr>
          <w:noProof/>
          <w:spacing w:val="-8"/>
        </w:rPr>
        <w:t xml:space="preserve"> to grant access to new </w:t>
      </w:r>
      <w:r w:rsidR="008E465D" w:rsidRPr="00E42F98">
        <w:rPr>
          <w:noProof/>
          <w:spacing w:val="-8"/>
        </w:rPr>
        <w:t>RUs</w:t>
      </w:r>
      <w:r w:rsidR="000D37FC" w:rsidRPr="00E42F98">
        <w:rPr>
          <w:noProof/>
          <w:spacing w:val="-8"/>
        </w:rPr>
        <w:t>,</w:t>
      </w:r>
      <w:r w:rsidR="00B1675D" w:rsidRPr="00E42F98">
        <w:rPr>
          <w:noProof/>
          <w:spacing w:val="-8"/>
        </w:rPr>
        <w:t xml:space="preserve"> </w:t>
      </w:r>
      <w:r w:rsidR="000B2414" w:rsidRPr="00E42F98">
        <w:rPr>
          <w:noProof/>
          <w:spacing w:val="-8"/>
        </w:rPr>
        <w:t xml:space="preserve">coupled with the refusal of </w:t>
      </w:r>
      <w:r w:rsidR="00206ACF" w:rsidRPr="00E42F98">
        <w:rPr>
          <w:noProof/>
          <w:spacing w:val="-8"/>
        </w:rPr>
        <w:t>incumbent</w:t>
      </w:r>
      <w:r w:rsidR="00B1675D" w:rsidRPr="00E42F98">
        <w:rPr>
          <w:noProof/>
          <w:spacing w:val="-8"/>
        </w:rPr>
        <w:t xml:space="preserve"> </w:t>
      </w:r>
      <w:r w:rsidR="000D37FC" w:rsidRPr="00E42F98">
        <w:rPr>
          <w:noProof/>
          <w:spacing w:val="-8"/>
        </w:rPr>
        <w:t xml:space="preserve">RUs to share their full offer with independent platforms, </w:t>
      </w:r>
      <w:r w:rsidR="00B1675D" w:rsidRPr="00E42F98">
        <w:rPr>
          <w:noProof/>
          <w:spacing w:val="-8"/>
        </w:rPr>
        <w:t xml:space="preserve">is </w:t>
      </w:r>
      <w:r w:rsidR="00C2193E" w:rsidRPr="00E42F98">
        <w:rPr>
          <w:noProof/>
          <w:spacing w:val="-8"/>
        </w:rPr>
        <w:t xml:space="preserve">thus </w:t>
      </w:r>
      <w:r w:rsidR="00B1675D" w:rsidRPr="00E42F98">
        <w:rPr>
          <w:noProof/>
          <w:spacing w:val="-8"/>
        </w:rPr>
        <w:t>the key driver limiting the development of the ticketing market in rail. Th</w:t>
      </w:r>
      <w:r w:rsidR="00026ABB" w:rsidRPr="00E42F98">
        <w:rPr>
          <w:noProof/>
          <w:spacing w:val="-8"/>
        </w:rPr>
        <w:t xml:space="preserve">e existence of this </w:t>
      </w:r>
      <w:r w:rsidR="00162ADF" w:rsidRPr="00E42F98">
        <w:rPr>
          <w:noProof/>
          <w:spacing w:val="-8"/>
        </w:rPr>
        <w:t xml:space="preserve">problem driver is </w:t>
      </w:r>
      <w:r w:rsidR="00B1675D" w:rsidRPr="00E42F98">
        <w:rPr>
          <w:noProof/>
          <w:spacing w:val="-8"/>
        </w:rPr>
        <w:t xml:space="preserve">evidenced by the competition cases </w:t>
      </w:r>
      <w:r w:rsidR="00E32E7E" w:rsidRPr="00E42F98">
        <w:rPr>
          <w:noProof/>
          <w:spacing w:val="-8"/>
        </w:rPr>
        <w:t>listed in Annex 11</w:t>
      </w:r>
      <w:r w:rsidR="00B1675D" w:rsidRPr="00E42F98">
        <w:rPr>
          <w:noProof/>
          <w:spacing w:val="-8"/>
        </w:rPr>
        <w:t>.</w:t>
      </w:r>
    </w:p>
    <w:p w14:paraId="04DA56CE" w14:textId="78FCFBD4" w:rsidR="48C863DC" w:rsidRPr="00E42F98" w:rsidRDefault="48C863DC" w:rsidP="00E11A5B">
      <w:pPr>
        <w:keepNext/>
        <w:tabs>
          <w:tab w:val="left" w:pos="1134"/>
        </w:tabs>
        <w:spacing w:before="120"/>
        <w:ind w:right="108"/>
        <w:jc w:val="both"/>
        <w:rPr>
          <w:i/>
          <w:noProof/>
          <w:spacing w:val="-8"/>
        </w:rPr>
      </w:pPr>
      <w:r w:rsidRPr="00E42F98">
        <w:rPr>
          <w:i/>
          <w:noProof/>
          <w:spacing w:val="-8"/>
        </w:rPr>
        <w:t xml:space="preserve">Limited willingness of indispensable </w:t>
      </w:r>
      <w:r w:rsidR="001358ED" w:rsidRPr="00E42F98">
        <w:rPr>
          <w:i/>
          <w:noProof/>
          <w:spacing w:val="-8"/>
        </w:rPr>
        <w:t>RU</w:t>
      </w:r>
      <w:r w:rsidRPr="00E42F98">
        <w:rPr>
          <w:i/>
          <w:noProof/>
          <w:spacing w:val="-8"/>
        </w:rPr>
        <w:t>s to provide their full offer on fair terms to MDMS platforms</w:t>
      </w:r>
    </w:p>
    <w:p w14:paraId="718D1B91" w14:textId="1CA4CB14" w:rsidR="535D6551" w:rsidRPr="00E42F98" w:rsidRDefault="00920D4D" w:rsidP="008C223D">
      <w:pPr>
        <w:tabs>
          <w:tab w:val="left" w:pos="1134"/>
        </w:tabs>
        <w:spacing w:before="120" w:after="240"/>
        <w:jc w:val="both"/>
        <w:rPr>
          <w:noProof/>
          <w:spacing w:val="-8"/>
        </w:rPr>
      </w:pPr>
      <w:r w:rsidRPr="00E42F98">
        <w:rPr>
          <w:noProof/>
          <w:spacing w:val="-8"/>
        </w:rPr>
        <w:t xml:space="preserve">In many cases, </w:t>
      </w:r>
      <w:r w:rsidR="007379A7" w:rsidRPr="00E42F98">
        <w:rPr>
          <w:noProof/>
          <w:spacing w:val="-8"/>
        </w:rPr>
        <w:t>in</w:t>
      </w:r>
      <w:r w:rsidR="00DE6C0E" w:rsidRPr="00E42F98">
        <w:rPr>
          <w:noProof/>
          <w:spacing w:val="-8"/>
        </w:rPr>
        <w:t>cumbent</w:t>
      </w:r>
      <w:r w:rsidRPr="00E42F98">
        <w:rPr>
          <w:noProof/>
          <w:spacing w:val="-8"/>
        </w:rPr>
        <w:t xml:space="preserve"> RUs have their own vertically integrated platform (e.g. DB Navigator and SNCF Connect) which </w:t>
      </w:r>
      <w:r w:rsidR="004641C8" w:rsidRPr="00E42F98">
        <w:rPr>
          <w:noProof/>
          <w:spacing w:val="-8"/>
        </w:rPr>
        <w:t xml:space="preserve">already </w:t>
      </w:r>
      <w:r w:rsidR="00D75763" w:rsidRPr="00E42F98">
        <w:rPr>
          <w:noProof/>
          <w:spacing w:val="-8"/>
        </w:rPr>
        <w:t xml:space="preserve">provides </w:t>
      </w:r>
      <w:r w:rsidR="004641C8" w:rsidRPr="00E42F98">
        <w:rPr>
          <w:noProof/>
          <w:spacing w:val="-8"/>
        </w:rPr>
        <w:t>a very large customer base</w:t>
      </w:r>
      <w:r w:rsidR="0073409E" w:rsidRPr="00E42F98">
        <w:rPr>
          <w:noProof/>
          <w:spacing w:val="-8"/>
        </w:rPr>
        <w:t xml:space="preserve"> </w:t>
      </w:r>
      <w:r w:rsidR="00614296" w:rsidRPr="00E42F98">
        <w:rPr>
          <w:noProof/>
          <w:spacing w:val="-8"/>
        </w:rPr>
        <w:t>and</w:t>
      </w:r>
      <w:r w:rsidR="0073409E" w:rsidRPr="00E42F98">
        <w:rPr>
          <w:noProof/>
          <w:spacing w:val="-8"/>
        </w:rPr>
        <w:t xml:space="preserve"> </w:t>
      </w:r>
      <w:r w:rsidRPr="00E42F98">
        <w:rPr>
          <w:noProof/>
          <w:spacing w:val="-8"/>
        </w:rPr>
        <w:t xml:space="preserve">competes with third-party platforms. </w:t>
      </w:r>
      <w:r w:rsidR="00F93B27" w:rsidRPr="00E42F98">
        <w:rPr>
          <w:noProof/>
          <w:spacing w:val="-8"/>
        </w:rPr>
        <w:t xml:space="preserve">For RUs with SMP, avoiding direct comparison with emerging competitors, on any platform, also helps them to retain a strong position in the transport market. </w:t>
      </w:r>
      <w:r w:rsidR="0071253B" w:rsidRPr="00E42F98">
        <w:rPr>
          <w:noProof/>
          <w:spacing w:val="-8"/>
        </w:rPr>
        <w:t>As a result, incumbent RUs have little interest in</w:t>
      </w:r>
      <w:r w:rsidR="00C135A0" w:rsidRPr="00E42F98">
        <w:rPr>
          <w:noProof/>
          <w:spacing w:val="-8"/>
        </w:rPr>
        <w:t xml:space="preserve"> providing </w:t>
      </w:r>
      <w:r w:rsidR="0062163C" w:rsidRPr="00E42F98">
        <w:rPr>
          <w:noProof/>
          <w:spacing w:val="-8"/>
        </w:rPr>
        <w:t xml:space="preserve">their full offer to </w:t>
      </w:r>
      <w:r w:rsidR="00AD51B9" w:rsidRPr="00E42F98">
        <w:rPr>
          <w:noProof/>
          <w:spacing w:val="-8"/>
        </w:rPr>
        <w:t>other distribution channels, since they have little to gain in term</w:t>
      </w:r>
      <w:r w:rsidR="00C27F54" w:rsidRPr="00E42F98">
        <w:rPr>
          <w:noProof/>
          <w:spacing w:val="-8"/>
        </w:rPr>
        <w:t xml:space="preserve">s of additional customer base and </w:t>
      </w:r>
      <w:r w:rsidR="00F44908" w:rsidRPr="00E42F98">
        <w:rPr>
          <w:noProof/>
          <w:spacing w:val="-8"/>
        </w:rPr>
        <w:t xml:space="preserve">much to lose </w:t>
      </w:r>
      <w:r w:rsidR="00A541C9" w:rsidRPr="00E42F98">
        <w:rPr>
          <w:noProof/>
          <w:spacing w:val="-8"/>
        </w:rPr>
        <w:t>in</w:t>
      </w:r>
      <w:r w:rsidR="00F44908" w:rsidRPr="00E42F98">
        <w:rPr>
          <w:noProof/>
          <w:spacing w:val="-8"/>
        </w:rPr>
        <w:t xml:space="preserve"> strengthening a </w:t>
      </w:r>
      <w:r w:rsidR="0062163C" w:rsidRPr="00E42F98">
        <w:rPr>
          <w:noProof/>
          <w:spacing w:val="-8"/>
        </w:rPr>
        <w:t>competing platform</w:t>
      </w:r>
      <w:r w:rsidRPr="00E42F98">
        <w:rPr>
          <w:noProof/>
          <w:spacing w:val="-8"/>
        </w:rPr>
        <w:t xml:space="preserve">. </w:t>
      </w:r>
      <w:r w:rsidR="535D6551" w:rsidRPr="00E42F98">
        <w:rPr>
          <w:noProof/>
          <w:spacing w:val="-8"/>
        </w:rPr>
        <w:t xml:space="preserve">For </w:t>
      </w:r>
      <w:r w:rsidR="008A3A1F" w:rsidRPr="00E42F98">
        <w:rPr>
          <w:noProof/>
          <w:spacing w:val="-8"/>
        </w:rPr>
        <w:t>P</w:t>
      </w:r>
      <w:r w:rsidR="009622A6" w:rsidRPr="00E42F98">
        <w:rPr>
          <w:noProof/>
          <w:spacing w:val="-8"/>
        </w:rPr>
        <w:t>ublic Service Obligation (</w:t>
      </w:r>
      <w:r w:rsidR="535D6551" w:rsidRPr="00E42F98">
        <w:rPr>
          <w:noProof/>
          <w:spacing w:val="-8"/>
        </w:rPr>
        <w:t>PSO</w:t>
      </w:r>
      <w:r w:rsidR="009622A6" w:rsidRPr="00E42F98">
        <w:rPr>
          <w:noProof/>
          <w:spacing w:val="-8"/>
        </w:rPr>
        <w:t>)</w:t>
      </w:r>
      <w:r w:rsidR="002541D5" w:rsidRPr="00E42F98">
        <w:rPr>
          <w:noProof/>
          <w:spacing w:val="-8"/>
          <w:vertAlign w:val="superscript"/>
        </w:rPr>
        <w:footnoteReference w:id="123"/>
      </w:r>
      <w:r w:rsidR="535D6551" w:rsidRPr="00E42F98">
        <w:rPr>
          <w:noProof/>
          <w:spacing w:val="-8"/>
        </w:rPr>
        <w:t xml:space="preserve"> operators</w:t>
      </w:r>
      <w:r w:rsidR="009622A6" w:rsidRPr="00E42F98">
        <w:rPr>
          <w:noProof/>
          <w:spacing w:val="-8"/>
        </w:rPr>
        <w:t>,</w:t>
      </w:r>
      <w:r w:rsidR="008A3A1F" w:rsidRPr="00E42F98">
        <w:rPr>
          <w:noProof/>
          <w:spacing w:val="-8"/>
        </w:rPr>
        <w:t xml:space="preserve"> who</w:t>
      </w:r>
      <w:r w:rsidR="00EA2267" w:rsidRPr="00E42F98">
        <w:rPr>
          <w:noProof/>
          <w:spacing w:val="-8"/>
        </w:rPr>
        <w:t xml:space="preserve">, depending </w:t>
      </w:r>
      <w:r w:rsidR="0096789A" w:rsidRPr="00E42F98">
        <w:rPr>
          <w:noProof/>
          <w:spacing w:val="-8"/>
        </w:rPr>
        <w:t>on</w:t>
      </w:r>
      <w:r w:rsidR="00EA2267" w:rsidRPr="00E42F98">
        <w:rPr>
          <w:noProof/>
          <w:spacing w:val="-8"/>
        </w:rPr>
        <w:t xml:space="preserve"> the</w:t>
      </w:r>
      <w:r w:rsidR="00733410" w:rsidRPr="00E42F98">
        <w:rPr>
          <w:noProof/>
          <w:spacing w:val="-8"/>
        </w:rPr>
        <w:t xml:space="preserve"> contract structure,</w:t>
      </w:r>
      <w:r w:rsidR="008A3A1F" w:rsidRPr="00E42F98">
        <w:rPr>
          <w:noProof/>
          <w:spacing w:val="-8"/>
        </w:rPr>
        <w:t xml:space="preserve"> are less sensitive to market demands</w:t>
      </w:r>
      <w:r w:rsidR="535D6551" w:rsidRPr="00E42F98">
        <w:rPr>
          <w:noProof/>
          <w:spacing w:val="-8"/>
        </w:rPr>
        <w:t xml:space="preserve">, there is </w:t>
      </w:r>
      <w:r w:rsidR="00045F0C" w:rsidRPr="00E42F98">
        <w:rPr>
          <w:noProof/>
          <w:spacing w:val="-8"/>
        </w:rPr>
        <w:t xml:space="preserve">also </w:t>
      </w:r>
      <w:r w:rsidR="008A3A1F" w:rsidRPr="00E42F98">
        <w:rPr>
          <w:noProof/>
          <w:spacing w:val="-8"/>
        </w:rPr>
        <w:t>less</w:t>
      </w:r>
      <w:r w:rsidR="535D6551" w:rsidRPr="00E42F98">
        <w:rPr>
          <w:noProof/>
          <w:spacing w:val="-8"/>
        </w:rPr>
        <w:t xml:space="preserve"> incentive to have their tickets displayed and sold on third-party MDMS platforms</w:t>
      </w:r>
      <w:r w:rsidR="00BC75A0" w:rsidRPr="00E42F98">
        <w:rPr>
          <w:noProof/>
          <w:spacing w:val="-8"/>
        </w:rPr>
        <w:t>.</w:t>
      </w:r>
      <w:r w:rsidR="008A3A1F" w:rsidRPr="00E42F98">
        <w:rPr>
          <w:noProof/>
          <w:spacing w:val="-8"/>
        </w:rPr>
        <w:t xml:space="preserve"> </w:t>
      </w:r>
      <w:r w:rsidR="00E371D0" w:rsidRPr="00E42F98">
        <w:rPr>
          <w:noProof/>
          <w:spacing w:val="-8"/>
        </w:rPr>
        <w:t>Finally</w:t>
      </w:r>
      <w:r w:rsidR="00666661" w:rsidRPr="00E42F98">
        <w:rPr>
          <w:noProof/>
          <w:spacing w:val="-8"/>
        </w:rPr>
        <w:t xml:space="preserve">, </w:t>
      </w:r>
      <w:r w:rsidR="00524DA6" w:rsidRPr="00E42F98">
        <w:rPr>
          <w:noProof/>
          <w:spacing w:val="-8"/>
        </w:rPr>
        <w:t xml:space="preserve">it is observed that </w:t>
      </w:r>
      <w:r w:rsidR="00B8223D" w:rsidRPr="00E42F98">
        <w:rPr>
          <w:noProof/>
          <w:spacing w:val="-8"/>
        </w:rPr>
        <w:t>some R</w:t>
      </w:r>
      <w:r w:rsidR="00F029EC" w:rsidRPr="00E42F98">
        <w:rPr>
          <w:noProof/>
          <w:spacing w:val="-8"/>
        </w:rPr>
        <w:t>U</w:t>
      </w:r>
      <w:r w:rsidR="00B8223D" w:rsidRPr="00E42F98">
        <w:rPr>
          <w:noProof/>
          <w:spacing w:val="-8"/>
        </w:rPr>
        <w:t xml:space="preserve">s </w:t>
      </w:r>
      <w:r w:rsidR="00DD23DC" w:rsidRPr="00E42F98">
        <w:rPr>
          <w:noProof/>
          <w:spacing w:val="-8"/>
        </w:rPr>
        <w:t xml:space="preserve">running cross-border services </w:t>
      </w:r>
      <w:r w:rsidR="008F5F30" w:rsidRPr="00E42F98">
        <w:rPr>
          <w:noProof/>
          <w:spacing w:val="-8"/>
        </w:rPr>
        <w:t xml:space="preserve">(e.g. Paris – Brussels) </w:t>
      </w:r>
      <w:r w:rsidR="00004A53" w:rsidRPr="00E42F98">
        <w:rPr>
          <w:noProof/>
          <w:spacing w:val="-8"/>
        </w:rPr>
        <w:t xml:space="preserve">share with third-party platforms </w:t>
      </w:r>
      <w:r w:rsidR="008F5F30" w:rsidRPr="00E42F98">
        <w:rPr>
          <w:noProof/>
          <w:spacing w:val="-8"/>
        </w:rPr>
        <w:t xml:space="preserve">only </w:t>
      </w:r>
      <w:r w:rsidR="00004A53" w:rsidRPr="00E42F98">
        <w:rPr>
          <w:noProof/>
          <w:spacing w:val="-8"/>
        </w:rPr>
        <w:t xml:space="preserve">high-value tickets </w:t>
      </w:r>
      <w:r w:rsidR="00437B43" w:rsidRPr="00E42F98">
        <w:rPr>
          <w:noProof/>
          <w:spacing w:val="-8"/>
        </w:rPr>
        <w:t>for th</w:t>
      </w:r>
      <w:r w:rsidR="008F5F30" w:rsidRPr="00E42F98">
        <w:rPr>
          <w:noProof/>
          <w:spacing w:val="-8"/>
        </w:rPr>
        <w:t>ose services</w:t>
      </w:r>
      <w:r w:rsidR="00437B43" w:rsidRPr="00E42F98">
        <w:rPr>
          <w:noProof/>
          <w:spacing w:val="-8"/>
        </w:rPr>
        <w:t>, since p</w:t>
      </w:r>
      <w:r w:rsidR="00004899" w:rsidRPr="00E42F98">
        <w:rPr>
          <w:noProof/>
          <w:spacing w:val="-8"/>
        </w:rPr>
        <w:t>assenger</w:t>
      </w:r>
      <w:r w:rsidR="00BC75A0" w:rsidRPr="00E42F98">
        <w:rPr>
          <w:noProof/>
          <w:spacing w:val="-8"/>
        </w:rPr>
        <w:t xml:space="preserve"> segments</w:t>
      </w:r>
      <w:r w:rsidR="535D6551" w:rsidRPr="00E42F98">
        <w:rPr>
          <w:noProof/>
          <w:spacing w:val="-8"/>
        </w:rPr>
        <w:t xml:space="preserve"> that </w:t>
      </w:r>
      <w:r w:rsidR="00BC75A0" w:rsidRPr="00E42F98">
        <w:rPr>
          <w:noProof/>
          <w:spacing w:val="-8"/>
        </w:rPr>
        <w:t>are not</w:t>
      </w:r>
      <w:r w:rsidR="535D6551" w:rsidRPr="00E42F98">
        <w:rPr>
          <w:noProof/>
          <w:spacing w:val="-8"/>
        </w:rPr>
        <w:t xml:space="preserve"> reached through their own </w:t>
      </w:r>
      <w:r w:rsidR="00BC75A0" w:rsidRPr="00E42F98">
        <w:rPr>
          <w:noProof/>
          <w:spacing w:val="-8"/>
        </w:rPr>
        <w:t>distribution channels</w:t>
      </w:r>
      <w:r w:rsidR="535D6551" w:rsidRPr="00E42F98">
        <w:rPr>
          <w:noProof/>
          <w:spacing w:val="-8"/>
        </w:rPr>
        <w:t xml:space="preserve">, such as </w:t>
      </w:r>
      <w:r w:rsidR="00BC75A0" w:rsidRPr="00E42F98">
        <w:rPr>
          <w:noProof/>
          <w:spacing w:val="-8"/>
        </w:rPr>
        <w:t>international travel</w:t>
      </w:r>
      <w:r w:rsidR="00BB32FD" w:rsidRPr="00E42F98">
        <w:rPr>
          <w:noProof/>
          <w:spacing w:val="-8"/>
        </w:rPr>
        <w:t>l</w:t>
      </w:r>
      <w:r w:rsidR="00BC75A0" w:rsidRPr="00E42F98">
        <w:rPr>
          <w:noProof/>
          <w:spacing w:val="-8"/>
        </w:rPr>
        <w:t>ers, are typically expected</w:t>
      </w:r>
      <w:r w:rsidR="008A3A1F" w:rsidRPr="00E42F98">
        <w:rPr>
          <w:noProof/>
          <w:spacing w:val="-8"/>
        </w:rPr>
        <w:t xml:space="preserve"> to </w:t>
      </w:r>
      <w:r w:rsidR="535D6551" w:rsidRPr="00E42F98">
        <w:rPr>
          <w:noProof/>
          <w:spacing w:val="-8"/>
        </w:rPr>
        <w:t xml:space="preserve">generate </w:t>
      </w:r>
      <w:r w:rsidR="00BC75A0" w:rsidRPr="00E42F98">
        <w:rPr>
          <w:noProof/>
          <w:spacing w:val="-8"/>
        </w:rPr>
        <w:t>only marginal</w:t>
      </w:r>
      <w:r w:rsidR="535D6551" w:rsidRPr="00E42F98">
        <w:rPr>
          <w:noProof/>
          <w:spacing w:val="-8"/>
        </w:rPr>
        <w:t xml:space="preserve"> additional sales.</w:t>
      </w:r>
    </w:p>
    <w:p w14:paraId="6797D0E3" w14:textId="72B89AEC" w:rsidR="40F90197" w:rsidRPr="00E42F98" w:rsidRDefault="40F90197" w:rsidP="008C223D">
      <w:pPr>
        <w:tabs>
          <w:tab w:val="left" w:pos="1134"/>
        </w:tabs>
        <w:spacing w:after="240"/>
        <w:jc w:val="both"/>
        <w:rPr>
          <w:noProof/>
          <w:spacing w:val="-8"/>
        </w:rPr>
      </w:pPr>
      <w:r w:rsidRPr="00E42F98">
        <w:rPr>
          <w:noProof/>
          <w:spacing w:val="-8"/>
        </w:rPr>
        <w:t xml:space="preserve">This reluctance to share </w:t>
      </w:r>
      <w:r w:rsidR="00AE4B29" w:rsidRPr="00E42F98">
        <w:rPr>
          <w:noProof/>
          <w:spacing w:val="-8"/>
        </w:rPr>
        <w:t>rail</w:t>
      </w:r>
      <w:r w:rsidRPr="00E42F98">
        <w:rPr>
          <w:noProof/>
          <w:spacing w:val="-8"/>
        </w:rPr>
        <w:t xml:space="preserve"> ticketing content</w:t>
      </w:r>
      <w:r w:rsidR="00FA4AF7" w:rsidRPr="00E42F98">
        <w:rPr>
          <w:noProof/>
          <w:spacing w:val="-8"/>
        </w:rPr>
        <w:t>,</w:t>
      </w:r>
      <w:r w:rsidRPr="00E42F98">
        <w:rPr>
          <w:noProof/>
          <w:spacing w:val="-8"/>
        </w:rPr>
        <w:t xml:space="preserve"> or to share it on fair terms</w:t>
      </w:r>
      <w:r w:rsidR="00FA4AF7" w:rsidRPr="00E42F98">
        <w:rPr>
          <w:noProof/>
          <w:spacing w:val="-8"/>
        </w:rPr>
        <w:t>,</w:t>
      </w:r>
      <w:r w:rsidRPr="00E42F98">
        <w:rPr>
          <w:noProof/>
          <w:spacing w:val="-8"/>
        </w:rPr>
        <w:t xml:space="preserve"> has triggered competition law enforcement at both EU and national level. In June 2023, the German competition authority found that Deutsche Bahn had abused its market power vis-à-vis mobility platforms and ordered it to provide </w:t>
      </w:r>
      <w:r w:rsidR="00B91829" w:rsidRPr="00E42F98">
        <w:rPr>
          <w:noProof/>
          <w:spacing w:val="-8"/>
        </w:rPr>
        <w:t>platforms</w:t>
      </w:r>
      <w:r w:rsidRPr="00E42F98">
        <w:rPr>
          <w:noProof/>
          <w:spacing w:val="-8"/>
        </w:rPr>
        <w:t xml:space="preserve"> real-time passenger service data, remove restrictive contractual clauses, and ensure fair compensation for third-party ticket sales, subject to further legal proceedings.</w:t>
      </w:r>
      <w:r w:rsidR="00B50866" w:rsidRPr="00E42F98">
        <w:rPr>
          <w:noProof/>
          <w:spacing w:val="-8"/>
        </w:rPr>
        <w:t xml:space="preserve"> </w:t>
      </w:r>
    </w:p>
    <w:p w14:paraId="6DA49B6B" w14:textId="2AC92E61" w:rsidR="00CB4A41" w:rsidRPr="00E42F98" w:rsidRDefault="00FB550B" w:rsidP="00E95DFB">
      <w:pPr>
        <w:tabs>
          <w:tab w:val="left" w:pos="1134"/>
        </w:tabs>
        <w:spacing w:before="120" w:after="240"/>
        <w:jc w:val="both"/>
        <w:rPr>
          <w:noProof/>
          <w:spacing w:val="-8"/>
        </w:rPr>
      </w:pPr>
      <w:r w:rsidRPr="00E42F98">
        <w:rPr>
          <w:noProof/>
          <w:spacing w:val="-8"/>
        </w:rPr>
        <w:t xml:space="preserve">The </w:t>
      </w:r>
      <w:r w:rsidR="00EB2088" w:rsidRPr="00E42F98">
        <w:rPr>
          <w:noProof/>
          <w:spacing w:val="-8"/>
        </w:rPr>
        <w:t>targeted</w:t>
      </w:r>
      <w:r w:rsidRPr="00E42F98">
        <w:rPr>
          <w:noProof/>
          <w:spacing w:val="-8"/>
        </w:rPr>
        <w:t xml:space="preserve"> survey confirmed the relevance of the limited willingness of</w:t>
      </w:r>
      <w:r w:rsidRPr="00E42F98" w:rsidDel="002305BC">
        <w:rPr>
          <w:noProof/>
          <w:spacing w:val="-8"/>
        </w:rPr>
        <w:t xml:space="preserve"> </w:t>
      </w:r>
      <w:r w:rsidR="002305BC" w:rsidRPr="00E42F98">
        <w:rPr>
          <w:noProof/>
          <w:spacing w:val="-8"/>
        </w:rPr>
        <w:t>incumbent</w:t>
      </w:r>
      <w:r w:rsidRPr="00E42F98">
        <w:rPr>
          <w:noProof/>
          <w:spacing w:val="-8"/>
        </w:rPr>
        <w:t xml:space="preserve"> </w:t>
      </w:r>
      <w:r w:rsidR="001358ED" w:rsidRPr="00E42F98">
        <w:rPr>
          <w:noProof/>
          <w:spacing w:val="-8"/>
        </w:rPr>
        <w:t>RU</w:t>
      </w:r>
      <w:r w:rsidRPr="00E42F98">
        <w:rPr>
          <w:noProof/>
          <w:spacing w:val="-8"/>
        </w:rPr>
        <w:t>s to provide their full offer on fair terms to MDMS platforms</w:t>
      </w:r>
      <w:r w:rsidR="00E56F49" w:rsidRPr="00E42F98">
        <w:rPr>
          <w:noProof/>
          <w:spacing w:val="-8"/>
        </w:rPr>
        <w:t>,</w:t>
      </w:r>
      <w:r w:rsidR="005F35D4" w:rsidRPr="00E42F98">
        <w:rPr>
          <w:noProof/>
          <w:spacing w:val="-8"/>
        </w:rPr>
        <w:t xml:space="preserve"> </w:t>
      </w:r>
      <w:r w:rsidR="002E5B7E" w:rsidRPr="00E42F98">
        <w:rPr>
          <w:noProof/>
          <w:spacing w:val="-8"/>
        </w:rPr>
        <w:t>as</w:t>
      </w:r>
      <w:r w:rsidR="005F35D4" w:rsidRPr="00E42F98">
        <w:rPr>
          <w:noProof/>
          <w:spacing w:val="-8"/>
        </w:rPr>
        <w:t xml:space="preserve"> a</w:t>
      </w:r>
      <w:r w:rsidRPr="00E42F98">
        <w:rPr>
          <w:noProof/>
          <w:spacing w:val="-8"/>
        </w:rPr>
        <w:t xml:space="preserve"> majority of stakeholders </w:t>
      </w:r>
      <w:r w:rsidR="003A52CF" w:rsidRPr="00E42F98">
        <w:rPr>
          <w:noProof/>
          <w:spacing w:val="-8"/>
        </w:rPr>
        <w:t xml:space="preserve">surveyed </w:t>
      </w:r>
      <w:r w:rsidRPr="00E42F98">
        <w:rPr>
          <w:noProof/>
          <w:spacing w:val="-8"/>
        </w:rPr>
        <w:t>agreed (3</w:t>
      </w:r>
      <w:r w:rsidR="00CE7785" w:rsidRPr="00E42F98">
        <w:rPr>
          <w:noProof/>
          <w:spacing w:val="-8"/>
        </w:rPr>
        <w:t>9</w:t>
      </w:r>
      <w:r w:rsidRPr="00E42F98">
        <w:rPr>
          <w:noProof/>
          <w:spacing w:val="-8"/>
        </w:rPr>
        <w:t xml:space="preserve"> of </w:t>
      </w:r>
      <w:r w:rsidR="009F4615" w:rsidRPr="00E42F98">
        <w:rPr>
          <w:noProof/>
          <w:spacing w:val="-8"/>
        </w:rPr>
        <w:t>74</w:t>
      </w:r>
      <w:r w:rsidRPr="00E42F98">
        <w:rPr>
          <w:noProof/>
          <w:spacing w:val="-8"/>
        </w:rPr>
        <w:t>)</w:t>
      </w:r>
      <w:r w:rsidRPr="00E42F98">
        <w:rPr>
          <w:noProof/>
          <w:spacing w:val="-8"/>
          <w:vertAlign w:val="superscript"/>
        </w:rPr>
        <w:footnoteReference w:id="124"/>
      </w:r>
      <w:r w:rsidRPr="00E42F98">
        <w:rPr>
          <w:noProof/>
          <w:spacing w:val="-8"/>
        </w:rPr>
        <w:t xml:space="preserve">. By contrast, only 4 of 31 transport operators </w:t>
      </w:r>
      <w:r w:rsidR="005C0F52" w:rsidRPr="00E42F98">
        <w:rPr>
          <w:noProof/>
          <w:spacing w:val="-8"/>
        </w:rPr>
        <w:t>participating in the survey</w:t>
      </w:r>
      <w:r w:rsidRPr="00E42F98">
        <w:rPr>
          <w:noProof/>
          <w:spacing w:val="-8"/>
        </w:rPr>
        <w:t xml:space="preserve"> agreed, mainly new entrant </w:t>
      </w:r>
      <w:r w:rsidR="001358ED" w:rsidRPr="00E42F98">
        <w:rPr>
          <w:noProof/>
          <w:spacing w:val="-8"/>
        </w:rPr>
        <w:t>RU</w:t>
      </w:r>
      <w:r w:rsidRPr="00E42F98">
        <w:rPr>
          <w:noProof/>
          <w:spacing w:val="-8"/>
        </w:rPr>
        <w:t xml:space="preserve">s, while all large </w:t>
      </w:r>
      <w:r w:rsidR="001358ED" w:rsidRPr="00E42F98">
        <w:rPr>
          <w:noProof/>
          <w:spacing w:val="-8"/>
        </w:rPr>
        <w:t>RU</w:t>
      </w:r>
      <w:r w:rsidRPr="00E42F98">
        <w:rPr>
          <w:noProof/>
          <w:spacing w:val="-8"/>
        </w:rPr>
        <w:t xml:space="preserve">s with significant market </w:t>
      </w:r>
      <w:r w:rsidR="002E4F8A" w:rsidRPr="00E42F98">
        <w:rPr>
          <w:noProof/>
          <w:spacing w:val="-8"/>
        </w:rPr>
        <w:t>presence</w:t>
      </w:r>
      <w:r w:rsidRPr="00E42F98">
        <w:rPr>
          <w:noProof/>
          <w:spacing w:val="-8"/>
        </w:rPr>
        <w:t xml:space="preserve"> ‘fully’ disagreed</w:t>
      </w:r>
      <w:r w:rsidRPr="00E42F98">
        <w:rPr>
          <w:noProof/>
          <w:spacing w:val="-8"/>
          <w:vertAlign w:val="superscript"/>
        </w:rPr>
        <w:footnoteReference w:id="125"/>
      </w:r>
      <w:r w:rsidRPr="00E42F98">
        <w:rPr>
          <w:noProof/>
          <w:spacing w:val="-8"/>
        </w:rPr>
        <w:t xml:space="preserve">. </w:t>
      </w:r>
      <w:r w:rsidR="005E423D" w:rsidRPr="00E42F98">
        <w:rPr>
          <w:noProof/>
          <w:spacing w:val="-8"/>
        </w:rPr>
        <w:t>Of the</w:t>
      </w:r>
      <w:r w:rsidRPr="00E42F98">
        <w:rPr>
          <w:noProof/>
          <w:spacing w:val="-8"/>
        </w:rPr>
        <w:t xml:space="preserve"> respondents in the ‘</w:t>
      </w:r>
      <w:r w:rsidR="009A4680">
        <w:rPr>
          <w:noProof/>
          <w:spacing w:val="-8"/>
        </w:rPr>
        <w:t>o</w:t>
      </w:r>
      <w:r w:rsidR="009A4680" w:rsidRPr="00E42F98">
        <w:rPr>
          <w:noProof/>
          <w:spacing w:val="-8"/>
        </w:rPr>
        <w:t xml:space="preserve">thers’ </w:t>
      </w:r>
      <w:r w:rsidRPr="00E42F98">
        <w:rPr>
          <w:noProof/>
          <w:spacing w:val="-8"/>
        </w:rPr>
        <w:t xml:space="preserve">category (including consumer organisations, NGOs and independent experts) </w:t>
      </w:r>
      <w:r w:rsidR="005E423D" w:rsidRPr="00E42F98">
        <w:rPr>
          <w:noProof/>
          <w:spacing w:val="-8"/>
        </w:rPr>
        <w:t xml:space="preserve">10 of 11 </w:t>
      </w:r>
      <w:r w:rsidRPr="00E42F98">
        <w:rPr>
          <w:noProof/>
          <w:spacing w:val="-8"/>
        </w:rPr>
        <w:t>agreed</w:t>
      </w:r>
      <w:r w:rsidRPr="00E42F98">
        <w:rPr>
          <w:noProof/>
          <w:spacing w:val="-8"/>
          <w:vertAlign w:val="superscript"/>
        </w:rPr>
        <w:footnoteReference w:id="126"/>
      </w:r>
      <w:r w:rsidR="00167473" w:rsidRPr="00E42F98">
        <w:rPr>
          <w:noProof/>
          <w:spacing w:val="-8"/>
        </w:rPr>
        <w:t xml:space="preserve"> as well as </w:t>
      </w:r>
      <w:r w:rsidR="0066208C" w:rsidRPr="00E42F98">
        <w:rPr>
          <w:noProof/>
          <w:spacing w:val="-8"/>
        </w:rPr>
        <w:t>8 of 12 national authorities</w:t>
      </w:r>
      <w:r w:rsidRPr="00E42F98">
        <w:rPr>
          <w:noProof/>
          <w:spacing w:val="-8"/>
        </w:rPr>
        <w:t>. Among independent MDMS platforms, 17 of 20 respondents agreed. 13 independent MDMS platforms and their industry associations</w:t>
      </w:r>
      <w:r w:rsidRPr="00E42F98">
        <w:rPr>
          <w:noProof/>
          <w:spacing w:val="-8"/>
          <w:vertAlign w:val="superscript"/>
        </w:rPr>
        <w:footnoteReference w:id="127"/>
      </w:r>
      <w:r w:rsidRPr="00E42F98">
        <w:rPr>
          <w:noProof/>
          <w:spacing w:val="-8"/>
        </w:rPr>
        <w:t xml:space="preserve"> stressed that dominant or incumbent transport operators often restrict access to full content or impose unfair terms, citing practices such as withholding low fares, applying penalties linked to look-to-book ratios, or offering very low commissions. In addition, five MDMS platforms and associations noted that both dominant </w:t>
      </w:r>
      <w:r w:rsidR="001358ED" w:rsidRPr="00E42F98">
        <w:rPr>
          <w:noProof/>
          <w:spacing w:val="-8"/>
        </w:rPr>
        <w:t>RU</w:t>
      </w:r>
      <w:r w:rsidRPr="00E42F98">
        <w:rPr>
          <w:noProof/>
          <w:spacing w:val="-8"/>
        </w:rPr>
        <w:t>s and major air carriers actively shape ticket distribution markets to favour direct sales.</w:t>
      </w:r>
    </w:p>
    <w:p w14:paraId="47D2184C" w14:textId="184934AB" w:rsidR="00C64B13" w:rsidRPr="0037267B" w:rsidRDefault="00C64B13" w:rsidP="00CB4A41">
      <w:pPr>
        <w:pStyle w:val="BodyText"/>
        <w:pBdr>
          <w:top w:val="single" w:sz="4" w:space="1" w:color="auto"/>
          <w:left w:val="single" w:sz="4" w:space="4" w:color="auto"/>
          <w:bottom w:val="single" w:sz="4" w:space="1" w:color="auto"/>
          <w:right w:val="single" w:sz="4" w:space="4" w:color="auto"/>
        </w:pBdr>
        <w:ind w:left="0"/>
        <w:rPr>
          <w:i/>
          <w:iCs/>
          <w:noProof/>
          <w:spacing w:val="-8"/>
        </w:rPr>
      </w:pPr>
      <w:r w:rsidRPr="0037267B">
        <w:rPr>
          <w:i/>
          <w:iCs/>
          <w:noProof/>
          <w:spacing w:val="-8"/>
        </w:rPr>
        <w:t>A Court of Appeal case found that the latest SNCF agreements with ticket platforms for the 2023-2027 period established a progressively decreasing fee, beginning at 3% from January 2023, then decreasing to 2.9% until the end of 2024, 2.8% for 2025–2026, and 2.7% in 2027 for all SNCF products. This declining commission policy appears designed to favour large sales volumes and may advantage SNCF’s own distribution subsidiary (SNCF Connect). Furthermore, distributors individually negotiate variable commissions and may receive discounts on the additional costs to access the SNCF offer portal; the access costs to the SNCF offer portal are likely not borne equally among travel agencies, with some benefiting from volume-based rebates.</w:t>
      </w:r>
    </w:p>
    <w:p w14:paraId="3567E2EA" w14:textId="77777777" w:rsidR="00C64B13" w:rsidRPr="0037267B" w:rsidRDefault="00C64B13" w:rsidP="00CB4A41">
      <w:pPr>
        <w:pStyle w:val="BodyText"/>
        <w:pBdr>
          <w:top w:val="single" w:sz="4" w:space="1" w:color="auto"/>
          <w:left w:val="single" w:sz="4" w:space="4" w:color="auto"/>
          <w:bottom w:val="single" w:sz="4" w:space="1" w:color="auto"/>
          <w:right w:val="single" w:sz="4" w:space="4" w:color="auto"/>
        </w:pBdr>
        <w:ind w:left="0"/>
        <w:rPr>
          <w:i/>
          <w:iCs/>
          <w:noProof/>
          <w:spacing w:val="-8"/>
        </w:rPr>
      </w:pPr>
    </w:p>
    <w:p w14:paraId="7F283106" w14:textId="20EB25CD" w:rsidR="00CB4A41" w:rsidRPr="0037267B" w:rsidRDefault="00CB4A41" w:rsidP="00CB4A41">
      <w:pPr>
        <w:pStyle w:val="BodyText"/>
        <w:pBdr>
          <w:top w:val="single" w:sz="4" w:space="1" w:color="auto"/>
          <w:left w:val="single" w:sz="4" w:space="4" w:color="auto"/>
          <w:bottom w:val="single" w:sz="4" w:space="1" w:color="auto"/>
          <w:right w:val="single" w:sz="4" w:space="4" w:color="auto"/>
        </w:pBdr>
        <w:ind w:left="0"/>
        <w:rPr>
          <w:i/>
          <w:iCs/>
          <w:noProof/>
          <w:spacing w:val="-8"/>
        </w:rPr>
      </w:pPr>
      <w:r w:rsidRPr="0037267B">
        <w:rPr>
          <w:i/>
          <w:iCs/>
          <w:noProof/>
          <w:spacing w:val="-8"/>
        </w:rPr>
        <w:t xml:space="preserve">In Spain, the European Commission opened a formal investigation on 28 April 2023 assessing whether Renfe abused its dominant position in the Spanish passenger rail transport market. </w:t>
      </w:r>
      <w:r w:rsidR="00056AF9" w:rsidRPr="0037267B">
        <w:rPr>
          <w:i/>
          <w:iCs/>
          <w:noProof/>
          <w:spacing w:val="-8"/>
        </w:rPr>
        <w:t>T</w:t>
      </w:r>
      <w:r w:rsidRPr="0037267B">
        <w:rPr>
          <w:i/>
          <w:iCs/>
          <w:noProof/>
          <w:spacing w:val="-8"/>
        </w:rPr>
        <w:t xml:space="preserve">he investigation found that </w:t>
      </w:r>
      <w:r w:rsidRPr="0037267B">
        <w:rPr>
          <w:i/>
          <w:noProof/>
          <w:spacing w:val="-8"/>
        </w:rPr>
        <w:t>Renfe’s revenues from its tickets sold through Renfe’s direct channels accounted for 80-90% of its total online sales, while revenues from the indirect online sales through Third-party Ticketing Platforms accounted for the remaining 10-20</w:t>
      </w:r>
      <w:r w:rsidR="00CD116F">
        <w:rPr>
          <w:i/>
          <w:noProof/>
          <w:spacing w:val="-8"/>
        </w:rPr>
        <w:t>%</w:t>
      </w:r>
      <w:r w:rsidR="00515200" w:rsidRPr="0037267B">
        <w:rPr>
          <w:rStyle w:val="FootnoteReference"/>
          <w:i/>
          <w:noProof/>
          <w:spacing w:val="-8"/>
        </w:rPr>
        <w:footnoteReference w:id="128"/>
      </w:r>
      <w:r w:rsidRPr="0037267B">
        <w:rPr>
          <w:i/>
          <w:noProof/>
          <w:spacing w:val="-8"/>
        </w:rPr>
        <w:t xml:space="preserve">. </w:t>
      </w:r>
      <w:r w:rsidR="007033AD" w:rsidRPr="0037267B">
        <w:rPr>
          <w:i/>
          <w:noProof/>
          <w:spacing w:val="-8"/>
        </w:rPr>
        <w:t xml:space="preserve">In </w:t>
      </w:r>
      <w:r w:rsidR="002805DF" w:rsidRPr="0037267B">
        <w:rPr>
          <w:i/>
          <w:noProof/>
          <w:spacing w:val="-8"/>
        </w:rPr>
        <w:t xml:space="preserve">addition, </w:t>
      </w:r>
      <w:r w:rsidR="007033AD" w:rsidRPr="0037267B">
        <w:rPr>
          <w:i/>
          <w:noProof/>
          <w:spacing w:val="-8"/>
        </w:rPr>
        <w:t>the Commission expressed preliminary concerns that Renfe refu</w:t>
      </w:r>
      <w:r w:rsidR="00164086" w:rsidRPr="0037267B">
        <w:rPr>
          <w:i/>
          <w:noProof/>
          <w:spacing w:val="-8"/>
        </w:rPr>
        <w:t>se</w:t>
      </w:r>
      <w:r w:rsidR="00A30F60" w:rsidRPr="0037267B">
        <w:rPr>
          <w:i/>
          <w:noProof/>
          <w:spacing w:val="-8"/>
        </w:rPr>
        <w:t>s</w:t>
      </w:r>
      <w:r w:rsidR="00164086" w:rsidRPr="0037267B">
        <w:rPr>
          <w:i/>
          <w:noProof/>
          <w:spacing w:val="-8"/>
        </w:rPr>
        <w:t xml:space="preserve"> </w:t>
      </w:r>
      <w:r w:rsidR="007033AD" w:rsidRPr="0037267B">
        <w:rPr>
          <w:i/>
          <w:noProof/>
          <w:spacing w:val="-8"/>
        </w:rPr>
        <w:t xml:space="preserve">to supply its full Content </w:t>
      </w:r>
      <w:r w:rsidR="003415F5" w:rsidRPr="0037267B">
        <w:rPr>
          <w:i/>
          <w:noProof/>
          <w:spacing w:val="-8"/>
        </w:rPr>
        <w:t xml:space="preserve">(e.g. special fares) </w:t>
      </w:r>
      <w:r w:rsidR="007033AD" w:rsidRPr="0037267B">
        <w:rPr>
          <w:i/>
          <w:noProof/>
          <w:spacing w:val="-8"/>
        </w:rPr>
        <w:t xml:space="preserve">and </w:t>
      </w:r>
      <w:r w:rsidR="00FE3ACA" w:rsidRPr="0037267B">
        <w:rPr>
          <w:i/>
          <w:noProof/>
          <w:spacing w:val="-8"/>
        </w:rPr>
        <w:t>real-time data</w:t>
      </w:r>
      <w:r w:rsidR="007033AD" w:rsidRPr="0037267B">
        <w:rPr>
          <w:i/>
          <w:noProof/>
          <w:spacing w:val="-8"/>
        </w:rPr>
        <w:t xml:space="preserve"> to </w:t>
      </w:r>
      <w:r w:rsidR="000A4708" w:rsidRPr="0037267B">
        <w:rPr>
          <w:i/>
          <w:noProof/>
          <w:spacing w:val="-8"/>
        </w:rPr>
        <w:t>t</w:t>
      </w:r>
      <w:r w:rsidR="007033AD" w:rsidRPr="0037267B">
        <w:rPr>
          <w:i/>
          <w:noProof/>
          <w:spacing w:val="-8"/>
        </w:rPr>
        <w:t xml:space="preserve">hird-party </w:t>
      </w:r>
      <w:r w:rsidR="000A4708" w:rsidRPr="0037267B">
        <w:rPr>
          <w:i/>
          <w:noProof/>
          <w:spacing w:val="-8"/>
        </w:rPr>
        <w:t>t</w:t>
      </w:r>
      <w:r w:rsidR="007033AD" w:rsidRPr="0037267B">
        <w:rPr>
          <w:i/>
          <w:noProof/>
          <w:spacing w:val="-8"/>
        </w:rPr>
        <w:t xml:space="preserve">icketing </w:t>
      </w:r>
      <w:r w:rsidR="000A4708" w:rsidRPr="0037267B">
        <w:rPr>
          <w:i/>
          <w:noProof/>
          <w:spacing w:val="-8"/>
        </w:rPr>
        <w:t>p</w:t>
      </w:r>
      <w:r w:rsidR="007033AD" w:rsidRPr="0037267B">
        <w:rPr>
          <w:i/>
          <w:noProof/>
          <w:spacing w:val="-8"/>
        </w:rPr>
        <w:t>latforms and that such refusal to supply may constitute an abuse of Renfe’s dominant position prohibited by Article 102 TFEU.</w:t>
      </w:r>
    </w:p>
    <w:p w14:paraId="51983443" w14:textId="0C7E255B" w:rsidR="0B1C64EA" w:rsidRPr="00D71008" w:rsidRDefault="0B1C64EA" w:rsidP="00E679E8">
      <w:pPr>
        <w:keepNext/>
        <w:tabs>
          <w:tab w:val="left" w:pos="1134"/>
        </w:tabs>
        <w:spacing w:before="240"/>
        <w:jc w:val="both"/>
        <w:rPr>
          <w:i/>
          <w:noProof/>
        </w:rPr>
      </w:pPr>
      <w:r w:rsidRPr="00D71008">
        <w:rPr>
          <w:i/>
          <w:noProof/>
        </w:rPr>
        <w:t>Limited willingness of in</w:t>
      </w:r>
      <w:r w:rsidR="00ED0463">
        <w:rPr>
          <w:i/>
          <w:noProof/>
        </w:rPr>
        <w:t xml:space="preserve">cumbent </w:t>
      </w:r>
      <w:r w:rsidR="001358ED">
        <w:rPr>
          <w:i/>
          <w:noProof/>
        </w:rPr>
        <w:t>RU</w:t>
      </w:r>
      <w:r w:rsidRPr="00D71008">
        <w:rPr>
          <w:i/>
          <w:noProof/>
        </w:rPr>
        <w:t xml:space="preserve">s to </w:t>
      </w:r>
      <w:r w:rsidR="005629CE">
        <w:rPr>
          <w:i/>
          <w:noProof/>
        </w:rPr>
        <w:t xml:space="preserve">host </w:t>
      </w:r>
      <w:r w:rsidRPr="00D71008">
        <w:rPr>
          <w:i/>
          <w:noProof/>
        </w:rPr>
        <w:t>their competitors’ offer on their platforms</w:t>
      </w:r>
    </w:p>
    <w:p w14:paraId="21DDCA1A" w14:textId="274D09BC" w:rsidR="535D6551" w:rsidRPr="0077501A" w:rsidRDefault="00FC27A9" w:rsidP="008C223D">
      <w:pPr>
        <w:tabs>
          <w:tab w:val="left" w:pos="1134"/>
        </w:tabs>
        <w:spacing w:before="120" w:after="240"/>
        <w:jc w:val="both"/>
        <w:rPr>
          <w:noProof/>
        </w:rPr>
      </w:pPr>
      <w:r w:rsidRPr="0077501A">
        <w:rPr>
          <w:noProof/>
          <w:spacing w:val="-8"/>
        </w:rPr>
        <w:t xml:space="preserve">Vertical integration also allows </w:t>
      </w:r>
      <w:r w:rsidR="001358ED">
        <w:rPr>
          <w:noProof/>
          <w:spacing w:val="-8"/>
        </w:rPr>
        <w:t>RU</w:t>
      </w:r>
      <w:r w:rsidRPr="0077501A">
        <w:rPr>
          <w:noProof/>
          <w:spacing w:val="-8"/>
        </w:rPr>
        <w:t xml:space="preserve">s to protect their position in the market for rail transport services by refusing competing </w:t>
      </w:r>
      <w:r w:rsidR="001358ED">
        <w:rPr>
          <w:noProof/>
          <w:spacing w:val="-8"/>
        </w:rPr>
        <w:t>RU</w:t>
      </w:r>
      <w:r w:rsidRPr="0077501A">
        <w:rPr>
          <w:noProof/>
          <w:spacing w:val="-8"/>
        </w:rPr>
        <w:t>s access to the indispensable ticketing platform they own. They may also choose to include only competitor’s services they consider complementary to their own and exclude directly competing service offerings.</w:t>
      </w:r>
      <w:r w:rsidR="0066153B" w:rsidRPr="0077501A">
        <w:rPr>
          <w:noProof/>
          <w:spacing w:val="-8"/>
        </w:rPr>
        <w:t xml:space="preserve"> </w:t>
      </w:r>
      <w:r w:rsidR="535D6551" w:rsidRPr="0077501A">
        <w:rPr>
          <w:noProof/>
          <w:spacing w:val="-8"/>
        </w:rPr>
        <w:t xml:space="preserve">This is evidenced by the competition cases quoted in </w:t>
      </w:r>
      <w:r w:rsidR="00E44543">
        <w:rPr>
          <w:noProof/>
          <w:spacing w:val="-8"/>
        </w:rPr>
        <w:t>Annex 11</w:t>
      </w:r>
      <w:r w:rsidR="535D6551" w:rsidRPr="0077501A">
        <w:rPr>
          <w:noProof/>
          <w:spacing w:val="-8"/>
        </w:rPr>
        <w:t>.</w:t>
      </w:r>
    </w:p>
    <w:p w14:paraId="31EAF2F6" w14:textId="0EB63891" w:rsidR="008B270E" w:rsidRDefault="008C36E9" w:rsidP="008C223D">
      <w:pPr>
        <w:tabs>
          <w:tab w:val="left" w:pos="1134"/>
        </w:tabs>
        <w:spacing w:after="240"/>
        <w:jc w:val="both"/>
        <w:rPr>
          <w:noProof/>
          <w:spacing w:val="-8"/>
        </w:rPr>
      </w:pPr>
      <w:r>
        <w:rPr>
          <w:noProof/>
          <w:spacing w:val="-8"/>
        </w:rPr>
        <w:t>During interviews</w:t>
      </w:r>
      <w:r w:rsidR="00745841">
        <w:rPr>
          <w:noProof/>
          <w:spacing w:val="-8"/>
        </w:rPr>
        <w:t xml:space="preserve"> in the context of the impact assessment support study</w:t>
      </w:r>
      <w:r>
        <w:rPr>
          <w:noProof/>
          <w:spacing w:val="-8"/>
        </w:rPr>
        <w:t>, i</w:t>
      </w:r>
      <w:r w:rsidR="5E461E67" w:rsidRPr="0077501A">
        <w:rPr>
          <w:noProof/>
          <w:spacing w:val="-8"/>
        </w:rPr>
        <w:t xml:space="preserve">ndependent MDMS providers, new entrant </w:t>
      </w:r>
      <w:r w:rsidR="001358ED">
        <w:rPr>
          <w:noProof/>
          <w:spacing w:val="-8"/>
        </w:rPr>
        <w:t>RU</w:t>
      </w:r>
      <w:r w:rsidR="5E461E67" w:rsidRPr="0077501A">
        <w:rPr>
          <w:noProof/>
          <w:spacing w:val="-8"/>
        </w:rPr>
        <w:t>s, national authorities, consumer organisations and NGOS</w:t>
      </w:r>
      <w:r w:rsidR="5E461E67" w:rsidRPr="0077501A">
        <w:rPr>
          <w:rStyle w:val="FootnoteReference"/>
          <w:noProof/>
          <w:spacing w:val="-8"/>
        </w:rPr>
        <w:footnoteReference w:id="129"/>
      </w:r>
      <w:r w:rsidR="5E461E67" w:rsidRPr="0077501A">
        <w:rPr>
          <w:noProof/>
          <w:spacing w:val="-8"/>
        </w:rPr>
        <w:t xml:space="preserve"> largely agree </w:t>
      </w:r>
      <w:r w:rsidR="008B270E" w:rsidRPr="0077501A">
        <w:rPr>
          <w:noProof/>
          <w:spacing w:val="-8"/>
        </w:rPr>
        <w:t xml:space="preserve">with </w:t>
      </w:r>
      <w:r w:rsidR="00714496" w:rsidRPr="0077501A">
        <w:rPr>
          <w:noProof/>
          <w:spacing w:val="-8"/>
        </w:rPr>
        <w:t xml:space="preserve">the limited willingness of indispensable </w:t>
      </w:r>
      <w:r w:rsidR="001358ED">
        <w:rPr>
          <w:noProof/>
          <w:spacing w:val="-8"/>
        </w:rPr>
        <w:t>RU</w:t>
      </w:r>
      <w:r w:rsidR="00714496" w:rsidRPr="0077501A">
        <w:rPr>
          <w:noProof/>
          <w:spacing w:val="-8"/>
        </w:rPr>
        <w:t xml:space="preserve"> platforms to </w:t>
      </w:r>
      <w:r w:rsidR="00BC059A">
        <w:rPr>
          <w:noProof/>
          <w:spacing w:val="-8"/>
        </w:rPr>
        <w:t xml:space="preserve">host </w:t>
      </w:r>
      <w:r w:rsidR="00714496" w:rsidRPr="0077501A">
        <w:rPr>
          <w:noProof/>
          <w:spacing w:val="-8"/>
        </w:rPr>
        <w:t>their competitors’ offer</w:t>
      </w:r>
      <w:r w:rsidR="008B270E" w:rsidRPr="0077501A">
        <w:rPr>
          <w:noProof/>
          <w:spacing w:val="-8"/>
        </w:rPr>
        <w:t>. Two industry associations and one NGO</w:t>
      </w:r>
      <w:r w:rsidR="008B270E" w:rsidRPr="0077501A">
        <w:rPr>
          <w:rStyle w:val="FootnoteReference"/>
          <w:noProof/>
          <w:spacing w:val="-8"/>
        </w:rPr>
        <w:footnoteReference w:id="130"/>
      </w:r>
      <w:r w:rsidR="008B270E" w:rsidRPr="0077501A">
        <w:rPr>
          <w:noProof/>
          <w:spacing w:val="-8"/>
        </w:rPr>
        <w:t xml:space="preserve"> confirmed that this situation creates great barriers to entry for competitors on the rail market</w:t>
      </w:r>
      <w:r w:rsidR="00CB761E" w:rsidRPr="0077501A">
        <w:rPr>
          <w:noProof/>
          <w:spacing w:val="-8"/>
        </w:rPr>
        <w:t xml:space="preserve">, and the EPF qualified </w:t>
      </w:r>
      <w:r w:rsidR="008D26B5" w:rsidRPr="0077501A">
        <w:rPr>
          <w:noProof/>
          <w:spacing w:val="-8"/>
        </w:rPr>
        <w:t>in interview this behaviour as protectionist and anti-co</w:t>
      </w:r>
      <w:r w:rsidR="00167F5D" w:rsidRPr="0077501A">
        <w:rPr>
          <w:noProof/>
          <w:spacing w:val="-8"/>
        </w:rPr>
        <w:t>nsumer</w:t>
      </w:r>
      <w:r w:rsidR="008B270E" w:rsidRPr="0077501A">
        <w:rPr>
          <w:noProof/>
          <w:spacing w:val="-8"/>
        </w:rPr>
        <w:t xml:space="preserve">. On the other hand, four of five </w:t>
      </w:r>
      <w:r w:rsidR="001358ED">
        <w:rPr>
          <w:noProof/>
          <w:spacing w:val="-8"/>
        </w:rPr>
        <w:t>RU</w:t>
      </w:r>
      <w:r w:rsidR="008B270E" w:rsidRPr="0077501A">
        <w:rPr>
          <w:noProof/>
          <w:spacing w:val="-8"/>
        </w:rPr>
        <w:t xml:space="preserve">s with SMP, including their industry association, disagreed with </w:t>
      </w:r>
      <w:r w:rsidR="008D1F92" w:rsidRPr="0077501A">
        <w:rPr>
          <w:noProof/>
          <w:spacing w:val="-8"/>
        </w:rPr>
        <w:t>this</w:t>
      </w:r>
      <w:r w:rsidR="008D1F92">
        <w:rPr>
          <w:noProof/>
          <w:spacing w:val="-8"/>
        </w:rPr>
        <w:t xml:space="preserve"> driver, and stressed the importance</w:t>
      </w:r>
      <w:r w:rsidR="00F337F9" w:rsidRPr="0077501A">
        <w:rPr>
          <w:noProof/>
          <w:spacing w:val="-8"/>
        </w:rPr>
        <w:t xml:space="preserve"> of </w:t>
      </w:r>
      <w:r w:rsidR="008D1F92">
        <w:rPr>
          <w:noProof/>
          <w:spacing w:val="-8"/>
        </w:rPr>
        <w:t xml:space="preserve">keeping their </w:t>
      </w:r>
      <w:r w:rsidR="008D1F92" w:rsidRPr="008D1F92">
        <w:rPr>
          <w:noProof/>
          <w:spacing w:val="-8"/>
        </w:rPr>
        <w:t xml:space="preserve">freedom to make their own commercial agreements, </w:t>
      </w:r>
      <w:r w:rsidR="008D1F92">
        <w:rPr>
          <w:noProof/>
          <w:spacing w:val="-8"/>
        </w:rPr>
        <w:t>to</w:t>
      </w:r>
      <w:r w:rsidR="008D1F92" w:rsidRPr="008D1F92">
        <w:rPr>
          <w:noProof/>
          <w:spacing w:val="-8"/>
        </w:rPr>
        <w:t xml:space="preserve"> help ensure good service</w:t>
      </w:r>
      <w:r w:rsidR="008D1F92">
        <w:rPr>
          <w:noProof/>
          <w:spacing w:val="-8"/>
        </w:rPr>
        <w:t xml:space="preserve"> on their </w:t>
      </w:r>
      <w:r w:rsidR="00C57C7B">
        <w:rPr>
          <w:noProof/>
          <w:spacing w:val="-8"/>
        </w:rPr>
        <w:t>platforms</w:t>
      </w:r>
      <w:r w:rsidR="00F337F9" w:rsidRPr="0077501A">
        <w:rPr>
          <w:noProof/>
          <w:spacing w:val="-8"/>
        </w:rPr>
        <w:t xml:space="preserve"> </w:t>
      </w:r>
      <w:r w:rsidR="008D1F92" w:rsidRPr="008D1F92">
        <w:rPr>
          <w:noProof/>
          <w:spacing w:val="-8"/>
        </w:rPr>
        <w:t>and clear responsibilities</w:t>
      </w:r>
      <w:r w:rsidR="008B270E" w:rsidRPr="0077501A">
        <w:rPr>
          <w:noProof/>
          <w:spacing w:val="-8"/>
        </w:rPr>
        <w:t xml:space="preserve">. Three </w:t>
      </w:r>
      <w:r w:rsidR="001358ED">
        <w:rPr>
          <w:noProof/>
          <w:spacing w:val="-8"/>
        </w:rPr>
        <w:t>RU</w:t>
      </w:r>
      <w:r w:rsidR="008B270E" w:rsidRPr="0077501A">
        <w:rPr>
          <w:noProof/>
          <w:spacing w:val="-8"/>
        </w:rPr>
        <w:t>s with SMP, including their industry association</w:t>
      </w:r>
      <w:r w:rsidR="008B270E" w:rsidRPr="0077501A">
        <w:rPr>
          <w:rStyle w:val="FootnoteReference"/>
          <w:noProof/>
          <w:spacing w:val="-8"/>
        </w:rPr>
        <w:footnoteReference w:id="131"/>
      </w:r>
      <w:r w:rsidR="008B270E" w:rsidRPr="0077501A">
        <w:rPr>
          <w:noProof/>
          <w:spacing w:val="-8"/>
        </w:rPr>
        <w:t xml:space="preserve"> denied limited willingness to fairly display competitors’ offers and assured that they aim to show all options fairly.</w:t>
      </w:r>
      <w:r w:rsidR="00EF3A93">
        <w:rPr>
          <w:noProof/>
          <w:spacing w:val="-8"/>
        </w:rPr>
        <w:t xml:space="preserve"> Overall</w:t>
      </w:r>
      <w:r w:rsidR="00455530">
        <w:rPr>
          <w:noProof/>
          <w:spacing w:val="-8"/>
        </w:rPr>
        <w:t>,</w:t>
      </w:r>
      <w:r w:rsidR="00EF3A93">
        <w:rPr>
          <w:noProof/>
          <w:spacing w:val="-8"/>
        </w:rPr>
        <w:t xml:space="preserve"> in the targeted survey, 38 of 70 stakeholders </w:t>
      </w:r>
      <w:r w:rsidR="004F069F">
        <w:rPr>
          <w:noProof/>
          <w:spacing w:val="-8"/>
        </w:rPr>
        <w:t>agreed th</w:t>
      </w:r>
      <w:r w:rsidR="0053784F">
        <w:rPr>
          <w:noProof/>
          <w:spacing w:val="-8"/>
        </w:rPr>
        <w:t>at</w:t>
      </w:r>
      <w:r w:rsidR="004F069F">
        <w:rPr>
          <w:noProof/>
          <w:spacing w:val="-8"/>
        </w:rPr>
        <w:t xml:space="preserve"> this driver</w:t>
      </w:r>
      <w:r w:rsidR="0053784F">
        <w:rPr>
          <w:noProof/>
          <w:spacing w:val="-8"/>
        </w:rPr>
        <w:t xml:space="preserve"> leads to </w:t>
      </w:r>
      <w:r w:rsidR="00C9678A">
        <w:rPr>
          <w:noProof/>
          <w:spacing w:val="-8"/>
        </w:rPr>
        <w:t>limited and distorted information</w:t>
      </w:r>
      <w:r w:rsidR="008E4AF0">
        <w:rPr>
          <w:noProof/>
          <w:spacing w:val="-8"/>
        </w:rPr>
        <w:t xml:space="preserve">. Transport operators </w:t>
      </w:r>
      <w:r w:rsidR="002F26D7">
        <w:rPr>
          <w:noProof/>
          <w:spacing w:val="-8"/>
        </w:rPr>
        <w:t>are</w:t>
      </w:r>
      <w:r w:rsidR="008E4AF0">
        <w:rPr>
          <w:noProof/>
          <w:spacing w:val="-8"/>
        </w:rPr>
        <w:t xml:space="preserve"> the only stakeholder group </w:t>
      </w:r>
      <w:r w:rsidR="00F12CD0">
        <w:rPr>
          <w:noProof/>
          <w:spacing w:val="-8"/>
        </w:rPr>
        <w:t>with a majority of respondents</w:t>
      </w:r>
      <w:r w:rsidR="008E4AF0">
        <w:rPr>
          <w:noProof/>
          <w:spacing w:val="-8"/>
        </w:rPr>
        <w:t xml:space="preserve"> opposing this driver with 17 of 30 disagreeing</w:t>
      </w:r>
      <w:r w:rsidR="00455530">
        <w:rPr>
          <w:noProof/>
          <w:spacing w:val="-8"/>
        </w:rPr>
        <w:t>, although all three new entrant RUs interviewed agreed</w:t>
      </w:r>
      <w:r w:rsidR="00AF568D">
        <w:rPr>
          <w:noProof/>
          <w:spacing w:val="-8"/>
        </w:rPr>
        <w:t>, expressing concerns regarding their lack of access to</w:t>
      </w:r>
      <w:r w:rsidR="008E4AF0">
        <w:rPr>
          <w:noProof/>
          <w:spacing w:val="-8"/>
        </w:rPr>
        <w:t xml:space="preserve"> </w:t>
      </w:r>
      <w:r w:rsidR="007B30C8">
        <w:rPr>
          <w:noProof/>
          <w:spacing w:val="-8"/>
        </w:rPr>
        <w:t>indispensable RUs</w:t>
      </w:r>
      <w:r w:rsidR="007B30C8" w:rsidRPr="0077501A">
        <w:rPr>
          <w:rStyle w:val="FootnoteReference"/>
          <w:noProof/>
          <w:spacing w:val="-8"/>
        </w:rPr>
        <w:footnoteReference w:id="132"/>
      </w:r>
      <w:r w:rsidR="007B30C8" w:rsidRPr="0077501A">
        <w:rPr>
          <w:noProof/>
          <w:spacing w:val="-8"/>
        </w:rPr>
        <w:t>.</w:t>
      </w:r>
      <w:r w:rsidR="007B30C8">
        <w:rPr>
          <w:noProof/>
          <w:spacing w:val="-8"/>
        </w:rPr>
        <w:t xml:space="preserve"> </w:t>
      </w:r>
    </w:p>
    <w:p w14:paraId="2D95F8C0" w14:textId="15B380A5" w:rsidR="00D643D5" w:rsidRPr="0037267B" w:rsidRDefault="00D643D5" w:rsidP="00A30F60">
      <w:pPr>
        <w:pStyle w:val="BodyText"/>
        <w:pBdr>
          <w:top w:val="single" w:sz="4" w:space="1" w:color="auto"/>
          <w:left w:val="single" w:sz="4" w:space="4" w:color="auto"/>
          <w:bottom w:val="single" w:sz="4" w:space="1" w:color="auto"/>
          <w:right w:val="single" w:sz="4" w:space="4" w:color="auto"/>
        </w:pBdr>
        <w:ind w:left="0"/>
        <w:rPr>
          <w:i/>
          <w:iCs/>
          <w:noProof/>
          <w:spacing w:val="-8"/>
        </w:rPr>
      </w:pPr>
      <w:r w:rsidRPr="0037267B">
        <w:rPr>
          <w:i/>
          <w:noProof/>
          <w:spacing w:val="-8"/>
        </w:rPr>
        <w:t>In 2019, the Swedish competition authority (Konkurrensverket) issued a decision and wrote a letter to the Swedish Ministry of Infrastructure in relation to the dominance in ticketing of Statens Järnvägar (SJ), the Swedish state-owned passenger incumbent RU. SJ was investigated by the Swedish Competition Authority (SCA) over allegations of abusing its market position, specifically by refusing to sell competitors’ tickets on its platform. In the investigation, the SCA noted that SJ’s strategy was not business neutral.</w:t>
      </w:r>
    </w:p>
    <w:p w14:paraId="068193E8" w14:textId="1CDCEC23" w:rsidR="00712390" w:rsidRPr="00D71008" w:rsidRDefault="003C4819" w:rsidP="005F6C44">
      <w:pPr>
        <w:pStyle w:val="Heading2"/>
        <w:keepNext/>
        <w:numPr>
          <w:ilvl w:val="1"/>
          <w:numId w:val="11"/>
        </w:numPr>
        <w:tabs>
          <w:tab w:val="left" w:pos="709"/>
        </w:tabs>
        <w:spacing w:before="240" w:after="240"/>
        <w:ind w:left="1134" w:hanging="708"/>
        <w:rPr>
          <w:noProof/>
        </w:rPr>
      </w:pPr>
      <w:bookmarkStart w:id="55" w:name="2.2.3_Problem_Driver_3:_Lack_of_commerci"/>
      <w:bookmarkStart w:id="56" w:name="2.2.4_Problem_Driver_4:_Regulatory_frame"/>
      <w:bookmarkStart w:id="57" w:name="2.3_How_likely_is_the_problem_to_persist"/>
      <w:bookmarkStart w:id="58" w:name="_Toc220667484"/>
      <w:bookmarkStart w:id="59" w:name="_Toc223979948"/>
      <w:bookmarkEnd w:id="55"/>
      <w:bookmarkEnd w:id="56"/>
      <w:bookmarkEnd w:id="57"/>
      <w:r w:rsidRPr="00D71008">
        <w:rPr>
          <w:noProof/>
        </w:rPr>
        <w:t>How likely is the problem to persist?</w:t>
      </w:r>
      <w:bookmarkEnd w:id="58"/>
      <w:bookmarkEnd w:id="59"/>
    </w:p>
    <w:p w14:paraId="72DAFDC4" w14:textId="2E0AB92E" w:rsidR="00241CBE" w:rsidRPr="000C54C0" w:rsidRDefault="00DF7934" w:rsidP="005F6C44">
      <w:pPr>
        <w:pStyle w:val="Heading2"/>
        <w:keepNext/>
        <w:keepLines/>
        <w:numPr>
          <w:ilvl w:val="2"/>
          <w:numId w:val="11"/>
        </w:numPr>
        <w:tabs>
          <w:tab w:val="left" w:pos="709"/>
        </w:tabs>
        <w:spacing w:before="0" w:after="240"/>
        <w:rPr>
          <w:b w:val="0"/>
          <w:i/>
          <w:noProof/>
        </w:rPr>
      </w:pPr>
      <w:bookmarkStart w:id="60" w:name="2.3.1_Problem_1:_Limited_development_of_"/>
      <w:bookmarkStart w:id="61" w:name="_Toc222313460"/>
      <w:bookmarkStart w:id="62" w:name="_Toc222748977"/>
      <w:bookmarkStart w:id="63" w:name="_Toc223979949"/>
      <w:bookmarkEnd w:id="60"/>
      <w:r w:rsidRPr="00650052">
        <w:rPr>
          <w:b w:val="0"/>
          <w:i/>
          <w:noProof/>
        </w:rPr>
        <w:t xml:space="preserve">Problem 1: </w:t>
      </w:r>
      <w:r w:rsidR="0081414A" w:rsidRPr="005D2D60">
        <w:rPr>
          <w:b w:val="0"/>
          <w:i/>
          <w:noProof/>
        </w:rPr>
        <w:t xml:space="preserve">Lack of transparency, unfair conditions, and uneven playing field in the online ticketing </w:t>
      </w:r>
      <w:bookmarkEnd w:id="61"/>
      <w:bookmarkEnd w:id="62"/>
      <w:r w:rsidR="0081414A" w:rsidRPr="005D2D60">
        <w:rPr>
          <w:b w:val="0"/>
          <w:i/>
          <w:noProof/>
        </w:rPr>
        <w:t>market</w:t>
      </w:r>
      <w:bookmarkEnd w:id="63"/>
    </w:p>
    <w:p w14:paraId="4A6BE8F1" w14:textId="6D7B8F48" w:rsidR="00A11650" w:rsidRDefault="00E1063E" w:rsidP="00A11650">
      <w:pPr>
        <w:pStyle w:val="BodyText"/>
        <w:spacing w:after="240"/>
        <w:ind w:left="0"/>
        <w:rPr>
          <w:noProof/>
          <w:spacing w:val="-8"/>
        </w:rPr>
      </w:pPr>
      <w:r>
        <w:rPr>
          <w:noProof/>
          <w:spacing w:val="-8"/>
        </w:rPr>
        <w:t>An u</w:t>
      </w:r>
      <w:r w:rsidR="00241CBE" w:rsidRPr="00780992">
        <w:rPr>
          <w:noProof/>
          <w:spacing w:val="-8"/>
        </w:rPr>
        <w:t xml:space="preserve">neven </w:t>
      </w:r>
      <w:r w:rsidRPr="00E1063E">
        <w:rPr>
          <w:noProof/>
          <w:spacing w:val="-8"/>
        </w:rPr>
        <w:t>playing field in the online ticketing market</w:t>
      </w:r>
      <w:r w:rsidR="00241CBE" w:rsidRPr="00780992">
        <w:rPr>
          <w:noProof/>
          <w:spacing w:val="-8"/>
        </w:rPr>
        <w:t xml:space="preserve"> is expected to persist. This is also the view of 42 of 66 stakeholders surveyed, who believed problem </w:t>
      </w:r>
      <w:r w:rsidR="008C0C72">
        <w:rPr>
          <w:noProof/>
          <w:spacing w:val="-8"/>
        </w:rPr>
        <w:t>1</w:t>
      </w:r>
      <w:r w:rsidR="00241CBE" w:rsidRPr="00780992">
        <w:rPr>
          <w:noProof/>
          <w:spacing w:val="-8"/>
        </w:rPr>
        <w:t xml:space="preserve"> to either remain (16) or deteriorate (26) over time. While some Member States have introduced rules to regulate how transport operators integrate into MDMS platforms, these frameworks differ significantly, leading to regulatory fragmentation. As a result, inconsistent or missing national frameworks will continue to limit EU-wide service coverage and make it harder for MDMS providers to enter the market. Without specific safeguards against abuses of market power, particularly in the rail sector, access </w:t>
      </w:r>
      <w:r w:rsidR="00031B85">
        <w:rPr>
          <w:noProof/>
          <w:spacing w:val="-8"/>
        </w:rPr>
        <w:t xml:space="preserve">conditions </w:t>
      </w:r>
      <w:r w:rsidR="00241CBE" w:rsidRPr="00780992">
        <w:rPr>
          <w:noProof/>
          <w:spacing w:val="-8"/>
        </w:rPr>
        <w:t xml:space="preserve">to indispensable platforms </w:t>
      </w:r>
      <w:r w:rsidR="00031B85">
        <w:rPr>
          <w:noProof/>
          <w:spacing w:val="-8"/>
        </w:rPr>
        <w:t>are</w:t>
      </w:r>
      <w:r w:rsidR="00241CBE" w:rsidRPr="00780992">
        <w:rPr>
          <w:noProof/>
          <w:spacing w:val="-8"/>
        </w:rPr>
        <w:t xml:space="preserve"> unlikely to improve. In B2B distribution, CRSs are expected to remain indispensable, especially in air transport, and uneven access is likely to continue. Despite growing use of alternative channels, airlines and travel agents still rely heavily on CRSs. Smaller carriers may continue to face competitive disadvantages with no clear indication that access conditions will improve for them without further regulatory action</w:t>
      </w:r>
      <w:r w:rsidR="00241CBE" w:rsidRPr="00780992">
        <w:rPr>
          <w:rStyle w:val="FootnoteReference"/>
          <w:noProof/>
          <w:spacing w:val="-8"/>
        </w:rPr>
        <w:footnoteReference w:id="133"/>
      </w:r>
      <w:r w:rsidR="00241CBE" w:rsidRPr="00780992">
        <w:rPr>
          <w:noProof/>
          <w:spacing w:val="-8"/>
        </w:rPr>
        <w:t xml:space="preserve">. </w:t>
      </w:r>
      <w:r w:rsidR="00A3094B">
        <w:rPr>
          <w:noProof/>
          <w:spacing w:val="-8"/>
        </w:rPr>
        <w:t>W</w:t>
      </w:r>
      <w:r w:rsidR="009908C9" w:rsidRPr="00780992">
        <w:rPr>
          <w:noProof/>
          <w:spacing w:val="-8"/>
        </w:rPr>
        <w:t>ithout further EU level intervention, distortion of competition between regulated and non-regulated B2B channels is likely to persist. This view was shared by 29 of 66 stakeholders</w:t>
      </w:r>
      <w:r w:rsidR="00947312">
        <w:rPr>
          <w:noProof/>
          <w:spacing w:val="-8"/>
        </w:rPr>
        <w:t xml:space="preserve"> in the targeted survey</w:t>
      </w:r>
      <w:r w:rsidR="009908C9" w:rsidRPr="00780992">
        <w:rPr>
          <w:noProof/>
          <w:spacing w:val="-8"/>
        </w:rPr>
        <w:t>, who either believe the problem to remain (7) or deteriorate (22) over time. There is no strong indication that the gradual shift toward non-CRS ticket distribution, including NCAs, will reverse.</w:t>
      </w:r>
      <w:r w:rsidR="009908C9" w:rsidRPr="00780992">
        <w:rPr>
          <w:b/>
          <w:noProof/>
          <w:spacing w:val="-8"/>
        </w:rPr>
        <w:t xml:space="preserve"> </w:t>
      </w:r>
      <w:r w:rsidR="009908C9" w:rsidRPr="00780992">
        <w:rPr>
          <w:noProof/>
          <w:spacing w:val="-8"/>
        </w:rPr>
        <w:t>Large airline groups are expected to continue promoting direct bookings</w:t>
      </w:r>
      <w:r w:rsidR="008632D9">
        <w:rPr>
          <w:noProof/>
          <w:spacing w:val="-8"/>
        </w:rPr>
        <w:t xml:space="preserve"> and non-CRS aggregators</w:t>
      </w:r>
      <w:r w:rsidR="009908C9" w:rsidRPr="00780992">
        <w:rPr>
          <w:noProof/>
          <w:spacing w:val="-8"/>
        </w:rPr>
        <w:t>, potentially further reducing the share of bookings covered by the CRS Code of Conduct.</w:t>
      </w:r>
      <w:r w:rsidR="009908C9" w:rsidRPr="00780992">
        <w:rPr>
          <w:noProof/>
          <w:spacing w:val="-8"/>
          <w:sz w:val="22"/>
          <w:szCs w:val="22"/>
        </w:rPr>
        <w:t xml:space="preserve"> </w:t>
      </w:r>
      <w:r w:rsidR="009908C9" w:rsidRPr="00780992">
        <w:rPr>
          <w:noProof/>
          <w:spacing w:val="-8"/>
        </w:rPr>
        <w:t>Nonetheless, for smaller carriers, CRSs will remain an important tool to achieve visibility and compete with the larger carriers. For large airline groups, CRSs will remain important to reach the corporate segments and leisure travellers in markets where the airline’s brand is not well known.</w:t>
      </w:r>
      <w:r w:rsidR="00C745F2">
        <w:rPr>
          <w:noProof/>
          <w:spacing w:val="-8"/>
        </w:rPr>
        <w:t xml:space="preserve"> </w:t>
      </w:r>
    </w:p>
    <w:p w14:paraId="219DDFBD" w14:textId="332C6D5A" w:rsidR="00F84AD8" w:rsidRPr="000C54C0" w:rsidRDefault="00DF7934" w:rsidP="00151680">
      <w:pPr>
        <w:pStyle w:val="Heading2"/>
        <w:keepNext/>
        <w:keepLines/>
        <w:numPr>
          <w:ilvl w:val="2"/>
          <w:numId w:val="11"/>
        </w:numPr>
        <w:tabs>
          <w:tab w:val="left" w:pos="709"/>
        </w:tabs>
        <w:spacing w:before="0" w:after="240"/>
        <w:rPr>
          <w:b w:val="0"/>
          <w:i/>
          <w:noProof/>
        </w:rPr>
      </w:pPr>
      <w:bookmarkStart w:id="64" w:name="2.3.2_Problem_2:_Uneven_treatment_of_ind"/>
      <w:bookmarkStart w:id="65" w:name="_Toc222313461"/>
      <w:bookmarkStart w:id="66" w:name="_Toc222748978"/>
      <w:bookmarkEnd w:id="64"/>
      <w:r w:rsidRPr="00151680">
        <w:rPr>
          <w:b w:val="0"/>
          <w:i/>
          <w:noProof/>
        </w:rPr>
        <w:t xml:space="preserve">Problem </w:t>
      </w:r>
      <w:r w:rsidR="000E42EF" w:rsidRPr="00151680">
        <w:rPr>
          <w:b w:val="0"/>
          <w:i/>
          <w:noProof/>
        </w:rPr>
        <w:t>2</w:t>
      </w:r>
      <w:r w:rsidRPr="00151680">
        <w:rPr>
          <w:b w:val="0"/>
          <w:i/>
          <w:noProof/>
        </w:rPr>
        <w:t xml:space="preserve">: </w:t>
      </w:r>
      <w:r w:rsidR="0081414A" w:rsidRPr="00151680">
        <w:rPr>
          <w:b w:val="0"/>
          <w:i/>
          <w:noProof/>
        </w:rPr>
        <w:t>Incomplete offer of rail tickets on (rail) platforms</w:t>
      </w:r>
      <w:bookmarkEnd w:id="65"/>
      <w:bookmarkEnd w:id="66"/>
    </w:p>
    <w:p w14:paraId="664BC5CE" w14:textId="6E26463C" w:rsidR="00B84EB7" w:rsidRPr="00780992" w:rsidRDefault="00364F78" w:rsidP="00E70F62">
      <w:pPr>
        <w:tabs>
          <w:tab w:val="left" w:pos="1134"/>
          <w:tab w:val="left" w:pos="1843"/>
        </w:tabs>
        <w:spacing w:after="240"/>
        <w:jc w:val="both"/>
        <w:rPr>
          <w:noProof/>
          <w:spacing w:val="-8"/>
        </w:rPr>
      </w:pPr>
      <w:r w:rsidRPr="00780992">
        <w:rPr>
          <w:noProof/>
          <w:spacing w:val="-8"/>
        </w:rPr>
        <w:t xml:space="preserve">Without EU </w:t>
      </w:r>
      <w:r w:rsidR="0068371B" w:rsidRPr="00780992">
        <w:rPr>
          <w:noProof/>
          <w:spacing w:val="-8"/>
        </w:rPr>
        <w:t>level</w:t>
      </w:r>
      <w:r w:rsidRPr="00780992">
        <w:rPr>
          <w:noProof/>
          <w:spacing w:val="-8"/>
        </w:rPr>
        <w:t xml:space="preserve"> </w:t>
      </w:r>
      <w:r w:rsidR="00CB60DF">
        <w:rPr>
          <w:noProof/>
          <w:spacing w:val="-8"/>
        </w:rPr>
        <w:t>action</w:t>
      </w:r>
      <w:r w:rsidRPr="00780992">
        <w:rPr>
          <w:noProof/>
          <w:spacing w:val="-8"/>
        </w:rPr>
        <w:t xml:space="preserve"> addressing the underlying drivers, the problem is expected to persist</w:t>
      </w:r>
      <w:r w:rsidR="1DBCF6A4" w:rsidRPr="00780992">
        <w:rPr>
          <w:noProof/>
          <w:spacing w:val="-8"/>
        </w:rPr>
        <w:t>.</w:t>
      </w:r>
      <w:r w:rsidR="00A07016" w:rsidRPr="00780992">
        <w:rPr>
          <w:noProof/>
          <w:spacing w:val="-8"/>
        </w:rPr>
        <w:t xml:space="preserve"> </w:t>
      </w:r>
      <w:r w:rsidR="00592138" w:rsidRPr="00780992">
        <w:rPr>
          <w:noProof/>
          <w:spacing w:val="-8"/>
        </w:rPr>
        <w:t>Overall, in the</w:t>
      </w:r>
      <w:r w:rsidR="00592138" w:rsidRPr="00780992" w:rsidDel="003E3E55">
        <w:rPr>
          <w:noProof/>
          <w:spacing w:val="-8"/>
        </w:rPr>
        <w:t xml:space="preserve"> </w:t>
      </w:r>
      <w:r w:rsidR="00E93077">
        <w:rPr>
          <w:noProof/>
          <w:spacing w:val="-8"/>
        </w:rPr>
        <w:t>targeted</w:t>
      </w:r>
      <w:r w:rsidR="00592138" w:rsidRPr="00780992">
        <w:rPr>
          <w:noProof/>
          <w:spacing w:val="-8"/>
        </w:rPr>
        <w:t xml:space="preserve"> survey, 44 of 67 </w:t>
      </w:r>
      <w:r w:rsidR="00AB0E05" w:rsidRPr="00780992">
        <w:rPr>
          <w:noProof/>
          <w:spacing w:val="-8"/>
        </w:rPr>
        <w:t>stakeholders</w:t>
      </w:r>
      <w:r w:rsidR="00592138" w:rsidRPr="00780992">
        <w:rPr>
          <w:noProof/>
          <w:spacing w:val="-8"/>
        </w:rPr>
        <w:t xml:space="preserve"> expect </w:t>
      </w:r>
      <w:r w:rsidR="00102D01">
        <w:rPr>
          <w:noProof/>
          <w:spacing w:val="-8"/>
        </w:rPr>
        <w:t>P</w:t>
      </w:r>
      <w:r w:rsidR="00592138" w:rsidRPr="00780992">
        <w:rPr>
          <w:noProof/>
          <w:spacing w:val="-8"/>
        </w:rPr>
        <w:t xml:space="preserve">roblem </w:t>
      </w:r>
      <w:r w:rsidR="00F4280C">
        <w:rPr>
          <w:noProof/>
          <w:spacing w:val="-8"/>
        </w:rPr>
        <w:t>2</w:t>
      </w:r>
      <w:r w:rsidR="00592138" w:rsidRPr="00780992">
        <w:rPr>
          <w:noProof/>
          <w:spacing w:val="-8"/>
        </w:rPr>
        <w:t xml:space="preserve"> to remain (20) or deteriorate (24) over time. </w:t>
      </w:r>
      <w:r w:rsidR="00385629" w:rsidRPr="00780992">
        <w:rPr>
          <w:noProof/>
          <w:spacing w:val="-8"/>
        </w:rPr>
        <w:t>Some MDMS platforms may expand their coverage,</w:t>
      </w:r>
      <w:r w:rsidR="00A009AE" w:rsidRPr="00780992">
        <w:rPr>
          <w:noProof/>
          <w:spacing w:val="-8"/>
        </w:rPr>
        <w:t xml:space="preserve"> but only when clear business opportunities exist</w:t>
      </w:r>
      <w:r w:rsidR="00F739D6" w:rsidRPr="00780992">
        <w:rPr>
          <w:noProof/>
          <w:spacing w:val="-8"/>
        </w:rPr>
        <w:t xml:space="preserve"> </w:t>
      </w:r>
      <w:r w:rsidR="00883D36" w:rsidRPr="00780992">
        <w:rPr>
          <w:noProof/>
          <w:spacing w:val="-8"/>
        </w:rPr>
        <w:t xml:space="preserve">and </w:t>
      </w:r>
      <w:r w:rsidR="3E015E83" w:rsidRPr="00780992">
        <w:rPr>
          <w:noProof/>
          <w:spacing w:val="-8"/>
        </w:rPr>
        <w:t xml:space="preserve">if </w:t>
      </w:r>
      <w:r w:rsidR="00883D36" w:rsidRPr="00780992">
        <w:rPr>
          <w:noProof/>
          <w:spacing w:val="-8"/>
        </w:rPr>
        <w:t>transport operators</w:t>
      </w:r>
      <w:r w:rsidR="006A076F" w:rsidRPr="00780992">
        <w:rPr>
          <w:noProof/>
          <w:spacing w:val="-8"/>
        </w:rPr>
        <w:t xml:space="preserve"> are</w:t>
      </w:r>
      <w:r w:rsidR="00883D36" w:rsidRPr="00780992">
        <w:rPr>
          <w:noProof/>
          <w:spacing w:val="-8"/>
        </w:rPr>
        <w:t xml:space="preserve"> </w:t>
      </w:r>
      <w:r w:rsidR="00176F46" w:rsidRPr="00780992">
        <w:rPr>
          <w:noProof/>
          <w:spacing w:val="-8"/>
        </w:rPr>
        <w:t xml:space="preserve">willing to </w:t>
      </w:r>
      <w:r w:rsidR="00C962EF" w:rsidRPr="00780992">
        <w:rPr>
          <w:noProof/>
          <w:spacing w:val="-8"/>
        </w:rPr>
        <w:t>cooperate</w:t>
      </w:r>
      <w:r w:rsidR="00176F46" w:rsidRPr="00780992">
        <w:rPr>
          <w:noProof/>
          <w:spacing w:val="-8"/>
        </w:rPr>
        <w:t xml:space="preserve">. </w:t>
      </w:r>
      <w:r w:rsidR="001358ED">
        <w:rPr>
          <w:noProof/>
          <w:spacing w:val="-8"/>
        </w:rPr>
        <w:t>RU</w:t>
      </w:r>
      <w:r w:rsidR="3F1EAA3F" w:rsidRPr="00780992">
        <w:rPr>
          <w:noProof/>
          <w:spacing w:val="-8"/>
        </w:rPr>
        <w:t xml:space="preserve">s with SMP </w:t>
      </w:r>
      <w:r w:rsidR="007C5D54" w:rsidRPr="00780992">
        <w:rPr>
          <w:noProof/>
          <w:spacing w:val="-8"/>
        </w:rPr>
        <w:t xml:space="preserve">dominate operations and distribution </w:t>
      </w:r>
      <w:r w:rsidR="00A00795" w:rsidRPr="00780992">
        <w:rPr>
          <w:noProof/>
          <w:spacing w:val="-8"/>
        </w:rPr>
        <w:t xml:space="preserve">and </w:t>
      </w:r>
      <w:r w:rsidR="007C5D54" w:rsidRPr="00780992">
        <w:rPr>
          <w:noProof/>
          <w:spacing w:val="-8"/>
        </w:rPr>
        <w:t>have little incentive to open their platforms to competi</w:t>
      </w:r>
      <w:r w:rsidR="3C8F5DF5" w:rsidRPr="00780992">
        <w:rPr>
          <w:noProof/>
          <w:spacing w:val="-8"/>
        </w:rPr>
        <w:t>ng transport opera</w:t>
      </w:r>
      <w:r w:rsidR="007C5D54" w:rsidRPr="00780992">
        <w:rPr>
          <w:noProof/>
          <w:spacing w:val="-8"/>
        </w:rPr>
        <w:t>tors</w:t>
      </w:r>
      <w:r w:rsidR="36A43134" w:rsidRPr="00780992">
        <w:rPr>
          <w:noProof/>
          <w:spacing w:val="-8"/>
        </w:rPr>
        <w:t xml:space="preserve"> and supply </w:t>
      </w:r>
      <w:r w:rsidR="0373BD56" w:rsidRPr="00780992">
        <w:rPr>
          <w:noProof/>
          <w:spacing w:val="-8"/>
        </w:rPr>
        <w:t>their ticketing offer to competing platforms</w:t>
      </w:r>
      <w:r w:rsidR="007C5D54" w:rsidRPr="00780992">
        <w:rPr>
          <w:noProof/>
          <w:spacing w:val="-8"/>
        </w:rPr>
        <w:t>.</w:t>
      </w:r>
      <w:r w:rsidR="707A514D" w:rsidRPr="00780992">
        <w:rPr>
          <w:noProof/>
          <w:spacing w:val="-8"/>
        </w:rPr>
        <w:t xml:space="preserve"> This is unlikely to change in the medium term</w:t>
      </w:r>
      <w:r w:rsidR="664A3755" w:rsidRPr="00780992">
        <w:rPr>
          <w:noProof/>
          <w:spacing w:val="-8"/>
        </w:rPr>
        <w:t xml:space="preserve">, given the observed pace of market development since the </w:t>
      </w:r>
      <w:r w:rsidR="7E3604FF" w:rsidRPr="00780992">
        <w:rPr>
          <w:noProof/>
          <w:spacing w:val="-8"/>
        </w:rPr>
        <w:t>introduction of competition in domestic rail markets</w:t>
      </w:r>
      <w:r w:rsidR="00C52B1E" w:rsidRPr="00C52B1E">
        <w:rPr>
          <w:noProof/>
          <w:spacing w:val="-8"/>
          <w:vertAlign w:val="superscript"/>
        </w:rPr>
        <w:footnoteReference w:id="134"/>
      </w:r>
      <w:r w:rsidR="707A514D" w:rsidRPr="00780992">
        <w:rPr>
          <w:noProof/>
          <w:spacing w:val="-8"/>
        </w:rPr>
        <w:t>.</w:t>
      </w:r>
      <w:r w:rsidR="00F84AD8" w:rsidRPr="00780992">
        <w:rPr>
          <w:noProof/>
          <w:spacing w:val="-8"/>
        </w:rPr>
        <w:t xml:space="preserve"> </w:t>
      </w:r>
      <w:r w:rsidR="267CE7AC" w:rsidRPr="00780992">
        <w:rPr>
          <w:noProof/>
          <w:spacing w:val="-8"/>
        </w:rPr>
        <w:t xml:space="preserve">As a result, </w:t>
      </w:r>
      <w:r w:rsidR="00BB5DD1">
        <w:rPr>
          <w:noProof/>
          <w:spacing w:val="-8"/>
        </w:rPr>
        <w:t>indispensable RU</w:t>
      </w:r>
      <w:r w:rsidR="267CE7AC" w:rsidRPr="00780992">
        <w:rPr>
          <w:noProof/>
          <w:spacing w:val="-8"/>
        </w:rPr>
        <w:t xml:space="preserve"> platforms </w:t>
      </w:r>
      <w:r w:rsidR="00976713" w:rsidRPr="00780992">
        <w:rPr>
          <w:noProof/>
          <w:spacing w:val="-8"/>
        </w:rPr>
        <w:t>are unlikely to provide</w:t>
      </w:r>
      <w:r w:rsidR="267CE7AC" w:rsidRPr="00780992">
        <w:rPr>
          <w:noProof/>
          <w:spacing w:val="-8"/>
        </w:rPr>
        <w:t xml:space="preserve"> consumers a comprehensive overview of rail journeys. </w:t>
      </w:r>
      <w:r w:rsidR="00A80CEE" w:rsidRPr="00780992">
        <w:rPr>
          <w:noProof/>
          <w:spacing w:val="-8"/>
        </w:rPr>
        <w:t>While some</w:t>
      </w:r>
      <w:r w:rsidR="00F84AD8" w:rsidRPr="00780992">
        <w:rPr>
          <w:noProof/>
          <w:spacing w:val="-8"/>
        </w:rPr>
        <w:t xml:space="preserve"> long-distance rail services </w:t>
      </w:r>
      <w:r w:rsidR="00381FCA" w:rsidRPr="00780992">
        <w:rPr>
          <w:noProof/>
          <w:spacing w:val="-8"/>
        </w:rPr>
        <w:t xml:space="preserve">may gradually appear on </w:t>
      </w:r>
      <w:r w:rsidR="000F4290" w:rsidRPr="00780992">
        <w:rPr>
          <w:noProof/>
          <w:spacing w:val="-8"/>
        </w:rPr>
        <w:t xml:space="preserve">independent </w:t>
      </w:r>
      <w:r w:rsidR="6A9448F3" w:rsidRPr="00780992">
        <w:rPr>
          <w:noProof/>
          <w:spacing w:val="-8"/>
        </w:rPr>
        <w:t>MDMS</w:t>
      </w:r>
      <w:r w:rsidR="484915D4" w:rsidRPr="00780992">
        <w:rPr>
          <w:noProof/>
          <w:spacing w:val="-8"/>
        </w:rPr>
        <w:t xml:space="preserve"> platforms</w:t>
      </w:r>
      <w:r w:rsidR="00600173" w:rsidRPr="00780992">
        <w:rPr>
          <w:noProof/>
          <w:spacing w:val="-8"/>
        </w:rPr>
        <w:t>,</w:t>
      </w:r>
      <w:r w:rsidR="6A9448F3" w:rsidRPr="00780992">
        <w:rPr>
          <w:noProof/>
          <w:spacing w:val="-8"/>
        </w:rPr>
        <w:t xml:space="preserve"> </w:t>
      </w:r>
      <w:r w:rsidR="008E227A" w:rsidRPr="00780992">
        <w:rPr>
          <w:noProof/>
          <w:spacing w:val="-8"/>
        </w:rPr>
        <w:t xml:space="preserve">this will not </w:t>
      </w:r>
      <w:r w:rsidR="00FF4C8D" w:rsidRPr="00780992">
        <w:rPr>
          <w:noProof/>
          <w:spacing w:val="-8"/>
        </w:rPr>
        <w:t>address</w:t>
      </w:r>
      <w:r w:rsidR="00AD7294" w:rsidRPr="00780992">
        <w:rPr>
          <w:noProof/>
          <w:spacing w:val="-8"/>
        </w:rPr>
        <w:t xml:space="preserve"> </w:t>
      </w:r>
      <w:r w:rsidR="00187C81" w:rsidRPr="00780992">
        <w:rPr>
          <w:noProof/>
          <w:spacing w:val="-8"/>
        </w:rPr>
        <w:t xml:space="preserve">Problem </w:t>
      </w:r>
      <w:r w:rsidR="003C466C">
        <w:rPr>
          <w:noProof/>
          <w:spacing w:val="-8"/>
        </w:rPr>
        <w:t>2</w:t>
      </w:r>
      <w:r w:rsidR="11FABDED" w:rsidRPr="00780992">
        <w:rPr>
          <w:noProof/>
          <w:spacing w:val="-8"/>
        </w:rPr>
        <w:t xml:space="preserve"> </w:t>
      </w:r>
      <w:r w:rsidR="00D75E7E" w:rsidRPr="00780992">
        <w:rPr>
          <w:noProof/>
          <w:spacing w:val="-8"/>
        </w:rPr>
        <w:t>until these</w:t>
      </w:r>
      <w:r w:rsidR="11FABDED" w:rsidRPr="00780992">
        <w:rPr>
          <w:noProof/>
          <w:spacing w:val="-8"/>
        </w:rPr>
        <w:t xml:space="preserve"> platforms </w:t>
      </w:r>
      <w:r w:rsidR="00D75E7E" w:rsidRPr="00780992">
        <w:rPr>
          <w:noProof/>
          <w:spacing w:val="-8"/>
        </w:rPr>
        <w:t>reach a significant market share</w:t>
      </w:r>
      <w:r w:rsidR="00520E2E" w:rsidRPr="00780992">
        <w:rPr>
          <w:noProof/>
          <w:spacing w:val="-8"/>
        </w:rPr>
        <w:t>,</w:t>
      </w:r>
      <w:r w:rsidR="32886502" w:rsidRPr="00780992">
        <w:rPr>
          <w:noProof/>
          <w:spacing w:val="-8"/>
        </w:rPr>
        <w:t xml:space="preserve"> which is</w:t>
      </w:r>
      <w:r w:rsidR="712C89BE" w:rsidRPr="00780992">
        <w:rPr>
          <w:noProof/>
          <w:spacing w:val="-8"/>
        </w:rPr>
        <w:t xml:space="preserve"> also</w:t>
      </w:r>
      <w:r w:rsidR="32886502" w:rsidRPr="00780992">
        <w:rPr>
          <w:noProof/>
          <w:spacing w:val="-8"/>
        </w:rPr>
        <w:t xml:space="preserve"> </w:t>
      </w:r>
      <w:r w:rsidR="00520E2E" w:rsidRPr="00780992">
        <w:rPr>
          <w:noProof/>
          <w:spacing w:val="-8"/>
        </w:rPr>
        <w:t>unlikely</w:t>
      </w:r>
      <w:r w:rsidR="32886502" w:rsidRPr="00780992">
        <w:rPr>
          <w:noProof/>
          <w:spacing w:val="-8"/>
        </w:rPr>
        <w:t xml:space="preserve"> </w:t>
      </w:r>
      <w:r w:rsidR="1955B517" w:rsidRPr="00780992">
        <w:rPr>
          <w:noProof/>
          <w:spacing w:val="-8"/>
        </w:rPr>
        <w:t xml:space="preserve">in </w:t>
      </w:r>
      <w:r w:rsidR="62CA3974" w:rsidRPr="00780992">
        <w:rPr>
          <w:noProof/>
          <w:spacing w:val="-8"/>
        </w:rPr>
        <w:t>the medium term</w:t>
      </w:r>
      <w:r w:rsidR="0044074C" w:rsidRPr="00780992">
        <w:rPr>
          <w:rStyle w:val="FootnoteReference"/>
          <w:noProof/>
          <w:spacing w:val="-8"/>
        </w:rPr>
        <w:footnoteReference w:id="135"/>
      </w:r>
      <w:r w:rsidR="008D1FAF" w:rsidRPr="00780992">
        <w:rPr>
          <w:noProof/>
          <w:spacing w:val="-8"/>
        </w:rPr>
        <w:t>.</w:t>
      </w:r>
      <w:r w:rsidR="0015167B" w:rsidRPr="00780992">
        <w:rPr>
          <w:noProof/>
          <w:spacing w:val="-8"/>
        </w:rPr>
        <w:t xml:space="preserve"> </w:t>
      </w:r>
      <w:r w:rsidR="00600173" w:rsidRPr="00780992">
        <w:rPr>
          <w:noProof/>
          <w:spacing w:val="-8"/>
        </w:rPr>
        <w:t>Until that happens, new entrants that rely on those platforms will face limited visibility and sales.</w:t>
      </w:r>
    </w:p>
    <w:p w14:paraId="64BBC992" w14:textId="45F87962" w:rsidR="00712390" w:rsidRPr="00D71008" w:rsidRDefault="003C4819" w:rsidP="006E3FA1">
      <w:pPr>
        <w:pStyle w:val="Heading2"/>
        <w:keepNext/>
        <w:numPr>
          <w:ilvl w:val="0"/>
          <w:numId w:val="11"/>
        </w:numPr>
        <w:tabs>
          <w:tab w:val="left" w:pos="1134"/>
        </w:tabs>
        <w:spacing w:before="240" w:after="240"/>
        <w:ind w:left="425" w:hanging="425"/>
        <w:rPr>
          <w:smallCaps/>
          <w:noProof/>
          <w:spacing w:val="-2"/>
        </w:rPr>
      </w:pPr>
      <w:bookmarkStart w:id="67" w:name="_Toc223979950"/>
      <w:r w:rsidRPr="00D71008">
        <w:rPr>
          <w:smallCaps/>
          <w:noProof/>
          <w:spacing w:val="-2"/>
        </w:rPr>
        <w:t>Why should the EU act?</w:t>
      </w:r>
      <w:bookmarkEnd w:id="67"/>
    </w:p>
    <w:p w14:paraId="1330C31A" w14:textId="77777777" w:rsidR="00712390" w:rsidRPr="00D71008" w:rsidRDefault="003C4819" w:rsidP="006E3FA1">
      <w:pPr>
        <w:pStyle w:val="Heading2"/>
        <w:keepNext/>
        <w:numPr>
          <w:ilvl w:val="1"/>
          <w:numId w:val="11"/>
        </w:numPr>
        <w:tabs>
          <w:tab w:val="left" w:pos="709"/>
        </w:tabs>
        <w:spacing w:before="240" w:after="240"/>
        <w:ind w:left="1134" w:hanging="708"/>
        <w:rPr>
          <w:noProof/>
        </w:rPr>
      </w:pPr>
      <w:bookmarkStart w:id="68" w:name="3.1_Legal_basis"/>
      <w:bookmarkStart w:id="69" w:name="_Toc220667486"/>
      <w:bookmarkStart w:id="70" w:name="_Toc223979951"/>
      <w:bookmarkEnd w:id="68"/>
      <w:r w:rsidRPr="00D71008">
        <w:rPr>
          <w:noProof/>
        </w:rPr>
        <w:t>Legal basis</w:t>
      </w:r>
      <w:bookmarkEnd w:id="69"/>
      <w:bookmarkEnd w:id="70"/>
    </w:p>
    <w:p w14:paraId="72318C59" w14:textId="15EE0DEB" w:rsidR="00150887" w:rsidRPr="00780992" w:rsidRDefault="2471901C" w:rsidP="0000572D">
      <w:pPr>
        <w:pStyle w:val="BodyText"/>
        <w:spacing w:after="120"/>
        <w:ind w:left="0"/>
        <w:rPr>
          <w:noProof/>
          <w:spacing w:val="-8"/>
        </w:rPr>
      </w:pPr>
      <w:r w:rsidRPr="00780992">
        <w:rPr>
          <w:noProof/>
          <w:spacing w:val="-8"/>
        </w:rPr>
        <w:t>Title VI (Articles 90-100) of the TFEU establishes the EU’s prerogative to make provisions for the Common Transport Policy.</w:t>
      </w:r>
      <w:bookmarkStart w:id="71" w:name="3.2_Subsidiarity:_Necessity_of_EU_action"/>
      <w:bookmarkEnd w:id="71"/>
    </w:p>
    <w:p w14:paraId="78771AD4" w14:textId="77777777" w:rsidR="00712390" w:rsidRPr="00D71008" w:rsidRDefault="003C4819" w:rsidP="006E3FA1">
      <w:pPr>
        <w:pStyle w:val="Heading2"/>
        <w:keepNext/>
        <w:numPr>
          <w:ilvl w:val="1"/>
          <w:numId w:val="11"/>
        </w:numPr>
        <w:tabs>
          <w:tab w:val="left" w:pos="709"/>
        </w:tabs>
        <w:spacing w:before="240" w:after="240"/>
        <w:ind w:left="1134" w:hanging="708"/>
        <w:rPr>
          <w:noProof/>
        </w:rPr>
      </w:pPr>
      <w:bookmarkStart w:id="72" w:name="_Toc220667487"/>
      <w:bookmarkStart w:id="73" w:name="_Toc223979952"/>
      <w:r w:rsidRPr="00D71008">
        <w:rPr>
          <w:noProof/>
        </w:rPr>
        <w:t>Subsidiarity: Necessity of EU action</w:t>
      </w:r>
      <w:bookmarkEnd w:id="72"/>
      <w:bookmarkEnd w:id="73"/>
    </w:p>
    <w:p w14:paraId="113D657A" w14:textId="1154FC0B" w:rsidR="002D7882" w:rsidRPr="00780992" w:rsidRDefault="00BD1BD5" w:rsidP="00037D03">
      <w:pPr>
        <w:pStyle w:val="BodyText"/>
        <w:spacing w:after="240"/>
        <w:ind w:left="0"/>
        <w:rPr>
          <w:noProof/>
          <w:spacing w:val="-8"/>
        </w:rPr>
      </w:pPr>
      <w:r w:rsidRPr="00780992">
        <w:rPr>
          <w:noProof/>
          <w:spacing w:val="-8"/>
        </w:rPr>
        <w:t>Although</w:t>
      </w:r>
      <w:r w:rsidR="4E8E3DDB" w:rsidRPr="00780992" w:rsidDel="003C4819">
        <w:rPr>
          <w:noProof/>
          <w:spacing w:val="-8"/>
        </w:rPr>
        <w:t xml:space="preserve"> some challenges </w:t>
      </w:r>
      <w:r w:rsidRPr="00780992">
        <w:rPr>
          <w:noProof/>
          <w:spacing w:val="-8"/>
        </w:rPr>
        <w:t>in</w:t>
      </w:r>
      <w:r w:rsidR="00A9539E" w:rsidRPr="00780992">
        <w:rPr>
          <w:noProof/>
          <w:spacing w:val="-8"/>
        </w:rPr>
        <w:t xml:space="preserve"> online ticket distribution and </w:t>
      </w:r>
      <w:r w:rsidRPr="00780992">
        <w:rPr>
          <w:noProof/>
          <w:spacing w:val="-8"/>
        </w:rPr>
        <w:t>digital access</w:t>
      </w:r>
      <w:r w:rsidR="4E8E3DDB" w:rsidRPr="00780992" w:rsidDel="003C4819">
        <w:rPr>
          <w:noProof/>
          <w:spacing w:val="-8"/>
        </w:rPr>
        <w:t xml:space="preserve"> to </w:t>
      </w:r>
      <w:r w:rsidR="00A9539E" w:rsidRPr="00780992">
        <w:rPr>
          <w:noProof/>
          <w:spacing w:val="-8"/>
        </w:rPr>
        <w:t>rail tickets</w:t>
      </w:r>
      <w:r w:rsidR="4E8E3DDB" w:rsidRPr="00780992" w:rsidDel="003C4819">
        <w:rPr>
          <w:noProof/>
          <w:spacing w:val="-8"/>
        </w:rPr>
        <w:t xml:space="preserve"> are being </w:t>
      </w:r>
      <w:r w:rsidRPr="00780992">
        <w:rPr>
          <w:noProof/>
          <w:spacing w:val="-8"/>
        </w:rPr>
        <w:t>addressed nationally</w:t>
      </w:r>
      <w:r w:rsidR="4E8E3DDB" w:rsidRPr="00780992" w:rsidDel="003C4819">
        <w:rPr>
          <w:noProof/>
          <w:spacing w:val="-8"/>
        </w:rPr>
        <w:t xml:space="preserve"> or </w:t>
      </w:r>
      <w:r w:rsidRPr="00780992">
        <w:rPr>
          <w:noProof/>
          <w:spacing w:val="-8"/>
        </w:rPr>
        <w:t>regionally</w:t>
      </w:r>
      <w:r w:rsidR="4E8E3DDB" w:rsidRPr="00780992" w:rsidDel="003C4819">
        <w:rPr>
          <w:noProof/>
          <w:spacing w:val="-8"/>
        </w:rPr>
        <w:t xml:space="preserve">, their cross-border </w:t>
      </w:r>
      <w:r w:rsidRPr="00780992">
        <w:rPr>
          <w:noProof/>
          <w:spacing w:val="-8"/>
        </w:rPr>
        <w:t>impact on</w:t>
      </w:r>
      <w:r w:rsidR="42ADCA7B" w:rsidRPr="00780992" w:rsidDel="003C4819">
        <w:rPr>
          <w:noProof/>
          <w:spacing w:val="-8"/>
        </w:rPr>
        <w:t xml:space="preserve"> long-distance intra-EU travel </w:t>
      </w:r>
      <w:r w:rsidRPr="00780992">
        <w:rPr>
          <w:noProof/>
          <w:spacing w:val="-8"/>
        </w:rPr>
        <w:t>requires</w:t>
      </w:r>
      <w:r w:rsidR="4E8E3DDB" w:rsidRPr="00780992" w:rsidDel="003C4819">
        <w:rPr>
          <w:noProof/>
          <w:spacing w:val="-8"/>
        </w:rPr>
        <w:t xml:space="preserve"> an EU-wide approach to ensure the </w:t>
      </w:r>
      <w:r w:rsidRPr="00780992">
        <w:rPr>
          <w:noProof/>
          <w:spacing w:val="-8"/>
        </w:rPr>
        <w:t>smooth operation</w:t>
      </w:r>
      <w:r w:rsidR="4E8E3DDB" w:rsidRPr="00780992" w:rsidDel="003C4819">
        <w:rPr>
          <w:noProof/>
          <w:spacing w:val="-8"/>
        </w:rPr>
        <w:t xml:space="preserve"> of the European transport system</w:t>
      </w:r>
      <w:r w:rsidR="5DF85C1B" w:rsidRPr="00780992">
        <w:rPr>
          <w:noProof/>
          <w:spacing w:val="-8"/>
        </w:rPr>
        <w:t>.</w:t>
      </w:r>
      <w:r w:rsidR="2471901C" w:rsidRPr="00780992">
        <w:rPr>
          <w:noProof/>
          <w:spacing w:val="-8"/>
        </w:rPr>
        <w:t xml:space="preserve"> Discrepancies between Member States </w:t>
      </w:r>
      <w:r w:rsidR="00FC1141" w:rsidRPr="00780992">
        <w:rPr>
          <w:noProof/>
          <w:spacing w:val="-8"/>
        </w:rPr>
        <w:t>in implementing</w:t>
      </w:r>
      <w:r w:rsidR="2471901C" w:rsidRPr="00780992">
        <w:rPr>
          <w:noProof/>
          <w:spacing w:val="-8"/>
        </w:rPr>
        <w:t xml:space="preserve"> </w:t>
      </w:r>
      <w:r w:rsidR="027A95B0" w:rsidRPr="00780992">
        <w:rPr>
          <w:noProof/>
          <w:spacing w:val="-8"/>
        </w:rPr>
        <w:t xml:space="preserve">new rules </w:t>
      </w:r>
      <w:r w:rsidR="002603F1" w:rsidRPr="00780992">
        <w:rPr>
          <w:noProof/>
          <w:spacing w:val="-8"/>
        </w:rPr>
        <w:t xml:space="preserve">for </w:t>
      </w:r>
      <w:r w:rsidR="00A11CFB" w:rsidRPr="00780992">
        <w:rPr>
          <w:noProof/>
          <w:spacing w:val="-8"/>
        </w:rPr>
        <w:t>online ticket distribution</w:t>
      </w:r>
      <w:r w:rsidR="003C4819" w:rsidRPr="00780992" w:rsidDel="2471901C">
        <w:rPr>
          <w:noProof/>
          <w:spacing w:val="-8"/>
        </w:rPr>
        <w:t xml:space="preserve"> </w:t>
      </w:r>
      <w:r w:rsidR="2471901C" w:rsidRPr="00780992">
        <w:rPr>
          <w:noProof/>
          <w:spacing w:val="-8"/>
        </w:rPr>
        <w:t xml:space="preserve">could </w:t>
      </w:r>
      <w:r w:rsidR="34A9602A" w:rsidRPr="00780992">
        <w:rPr>
          <w:noProof/>
          <w:spacing w:val="-8"/>
        </w:rPr>
        <w:t xml:space="preserve">further </w:t>
      </w:r>
      <w:r w:rsidR="00FC1141" w:rsidRPr="00780992">
        <w:rPr>
          <w:noProof/>
          <w:spacing w:val="-8"/>
        </w:rPr>
        <w:t xml:space="preserve">fragment the market, </w:t>
      </w:r>
      <w:r w:rsidR="00DE47AE" w:rsidRPr="00780992">
        <w:rPr>
          <w:noProof/>
          <w:spacing w:val="-8"/>
        </w:rPr>
        <w:t>rais</w:t>
      </w:r>
      <w:r w:rsidR="00DE47AE">
        <w:rPr>
          <w:noProof/>
          <w:spacing w:val="-8"/>
        </w:rPr>
        <w:t>e</w:t>
      </w:r>
      <w:r w:rsidR="00DE47AE" w:rsidRPr="00780992">
        <w:rPr>
          <w:noProof/>
          <w:spacing w:val="-8"/>
        </w:rPr>
        <w:t xml:space="preserve"> </w:t>
      </w:r>
      <w:r w:rsidR="2471901C" w:rsidRPr="00780992">
        <w:rPr>
          <w:noProof/>
          <w:spacing w:val="-8"/>
        </w:rPr>
        <w:t xml:space="preserve">costs and </w:t>
      </w:r>
      <w:r w:rsidR="00DE47AE" w:rsidRPr="00780992">
        <w:rPr>
          <w:noProof/>
          <w:spacing w:val="-8"/>
        </w:rPr>
        <w:t>reduc</w:t>
      </w:r>
      <w:r w:rsidR="00DE47AE">
        <w:rPr>
          <w:noProof/>
          <w:spacing w:val="-8"/>
        </w:rPr>
        <w:t>e</w:t>
      </w:r>
      <w:r w:rsidR="00DE47AE" w:rsidRPr="00780992">
        <w:rPr>
          <w:noProof/>
          <w:spacing w:val="-8"/>
        </w:rPr>
        <w:t xml:space="preserve"> </w:t>
      </w:r>
      <w:r w:rsidR="2471901C" w:rsidRPr="00780992">
        <w:rPr>
          <w:noProof/>
          <w:spacing w:val="-8"/>
        </w:rPr>
        <w:t xml:space="preserve">benefits for </w:t>
      </w:r>
      <w:r w:rsidR="3EC1C6F0" w:rsidRPr="00780992">
        <w:rPr>
          <w:noProof/>
          <w:spacing w:val="-8"/>
        </w:rPr>
        <w:t xml:space="preserve">MDMS </w:t>
      </w:r>
      <w:r w:rsidR="0061108E">
        <w:rPr>
          <w:noProof/>
          <w:spacing w:val="-8"/>
        </w:rPr>
        <w:t>platforms</w:t>
      </w:r>
      <w:r w:rsidR="2471901C" w:rsidRPr="00780992">
        <w:rPr>
          <w:noProof/>
          <w:spacing w:val="-8"/>
        </w:rPr>
        <w:t>, authorities</w:t>
      </w:r>
      <w:r w:rsidR="00FC1141" w:rsidRPr="00780992">
        <w:rPr>
          <w:noProof/>
          <w:spacing w:val="-8"/>
        </w:rPr>
        <w:t>,</w:t>
      </w:r>
      <w:r w:rsidR="2471901C" w:rsidRPr="00780992">
        <w:rPr>
          <w:noProof/>
          <w:spacing w:val="-8"/>
        </w:rPr>
        <w:t xml:space="preserve"> </w:t>
      </w:r>
      <w:r w:rsidR="0072442F" w:rsidRPr="00780992">
        <w:rPr>
          <w:noProof/>
          <w:spacing w:val="-8"/>
        </w:rPr>
        <w:t>operators</w:t>
      </w:r>
      <w:r w:rsidR="2471901C" w:rsidRPr="00780992">
        <w:rPr>
          <w:noProof/>
          <w:spacing w:val="-8"/>
        </w:rPr>
        <w:t xml:space="preserve"> and transport users. EU-level intervention is </w:t>
      </w:r>
      <w:r w:rsidR="00FC1141" w:rsidRPr="00780992">
        <w:rPr>
          <w:noProof/>
          <w:spacing w:val="-8"/>
        </w:rPr>
        <w:t>needed to prevent</w:t>
      </w:r>
      <w:r w:rsidR="2471901C" w:rsidRPr="00780992">
        <w:rPr>
          <w:noProof/>
          <w:spacing w:val="-8"/>
        </w:rPr>
        <w:t xml:space="preserve"> divergent strategies with unintended effects.</w:t>
      </w:r>
      <w:bookmarkStart w:id="74" w:name="3.3_Subsidiarity:_Added_value_of_EU_acti"/>
      <w:bookmarkEnd w:id="74"/>
    </w:p>
    <w:p w14:paraId="09F8A956" w14:textId="77777777" w:rsidR="00712390" w:rsidRPr="00D71008" w:rsidRDefault="003C4819" w:rsidP="006E3FA1">
      <w:pPr>
        <w:pStyle w:val="Heading2"/>
        <w:keepNext/>
        <w:numPr>
          <w:ilvl w:val="1"/>
          <w:numId w:val="11"/>
        </w:numPr>
        <w:tabs>
          <w:tab w:val="left" w:pos="709"/>
        </w:tabs>
        <w:spacing w:before="240" w:after="240"/>
        <w:ind w:left="1134" w:hanging="708"/>
        <w:rPr>
          <w:noProof/>
        </w:rPr>
      </w:pPr>
      <w:bookmarkStart w:id="75" w:name="_Toc220667488"/>
      <w:bookmarkStart w:id="76" w:name="_Toc223979953"/>
      <w:r w:rsidRPr="00D71008">
        <w:rPr>
          <w:noProof/>
        </w:rPr>
        <w:t>Subsidiarity: Added value of EU action</w:t>
      </w:r>
      <w:bookmarkEnd w:id="75"/>
      <w:bookmarkEnd w:id="76"/>
    </w:p>
    <w:p w14:paraId="6B666F74" w14:textId="73A66DBA" w:rsidR="2471901C" w:rsidRPr="00780992" w:rsidRDefault="2471901C" w:rsidP="00037D03">
      <w:pPr>
        <w:pStyle w:val="BodyText"/>
        <w:spacing w:after="240"/>
        <w:ind w:left="0"/>
        <w:rPr>
          <w:noProof/>
          <w:spacing w:val="-8"/>
        </w:rPr>
      </w:pPr>
      <w:r w:rsidRPr="00780992">
        <w:rPr>
          <w:noProof/>
          <w:spacing w:val="-8"/>
        </w:rPr>
        <w:t>This initiative w</w:t>
      </w:r>
      <w:r w:rsidR="0086267D" w:rsidRPr="00780992">
        <w:rPr>
          <w:noProof/>
          <w:spacing w:val="-8"/>
        </w:rPr>
        <w:t>ill</w:t>
      </w:r>
      <w:r w:rsidRPr="00780992">
        <w:rPr>
          <w:noProof/>
          <w:spacing w:val="-8"/>
        </w:rPr>
        <w:t xml:space="preserve"> enable end</w:t>
      </w:r>
      <w:r w:rsidR="003C4819" w:rsidRPr="00780992">
        <w:rPr>
          <w:noProof/>
          <w:spacing w:val="-8"/>
        </w:rPr>
        <w:t xml:space="preserve"> </w:t>
      </w:r>
      <w:r w:rsidRPr="00780992">
        <w:rPr>
          <w:noProof/>
          <w:spacing w:val="-8"/>
        </w:rPr>
        <w:t>users and</w:t>
      </w:r>
      <w:r w:rsidR="14D9F65D" w:rsidRPr="00780992">
        <w:rPr>
          <w:noProof/>
          <w:spacing w:val="-8"/>
        </w:rPr>
        <w:t>, in</w:t>
      </w:r>
      <w:r w:rsidR="707A2164" w:rsidRPr="00780992">
        <w:rPr>
          <w:noProof/>
          <w:spacing w:val="-8"/>
        </w:rPr>
        <w:t xml:space="preserve"> the</w:t>
      </w:r>
      <w:r w:rsidR="14D9F65D" w:rsidRPr="00780992">
        <w:rPr>
          <w:noProof/>
          <w:spacing w:val="-8"/>
        </w:rPr>
        <w:t xml:space="preserve"> case of B2B services,</w:t>
      </w:r>
      <w:r w:rsidRPr="00780992">
        <w:rPr>
          <w:noProof/>
          <w:spacing w:val="-8"/>
        </w:rPr>
        <w:t xml:space="preserve"> subscribers</w:t>
      </w:r>
      <w:r w:rsidR="242B5890" w:rsidRPr="00780992">
        <w:rPr>
          <w:noProof/>
          <w:spacing w:val="-8"/>
        </w:rPr>
        <w:t xml:space="preserve"> </w:t>
      </w:r>
      <w:r w:rsidRPr="00780992">
        <w:rPr>
          <w:noProof/>
          <w:spacing w:val="-8"/>
        </w:rPr>
        <w:t xml:space="preserve">to benefit from </w:t>
      </w:r>
      <w:r w:rsidR="60249DCE" w:rsidRPr="00780992">
        <w:rPr>
          <w:noProof/>
          <w:spacing w:val="-8"/>
        </w:rPr>
        <w:t>a greater</w:t>
      </w:r>
      <w:r w:rsidR="2A061A33" w:rsidRPr="00780992">
        <w:rPr>
          <w:noProof/>
          <w:spacing w:val="-8"/>
        </w:rPr>
        <w:t xml:space="preserve"> choice of tickets</w:t>
      </w:r>
      <w:r w:rsidR="49A2293A" w:rsidRPr="00780992">
        <w:rPr>
          <w:noProof/>
          <w:spacing w:val="-8"/>
        </w:rPr>
        <w:t>, displayed in a fair and transparent way,</w:t>
      </w:r>
      <w:r w:rsidR="2A061A33" w:rsidRPr="00780992">
        <w:rPr>
          <w:noProof/>
          <w:spacing w:val="-8"/>
        </w:rPr>
        <w:t xml:space="preserve"> across </w:t>
      </w:r>
      <w:r w:rsidR="51192624" w:rsidRPr="00780992">
        <w:rPr>
          <w:noProof/>
          <w:spacing w:val="-8"/>
        </w:rPr>
        <w:t>transport operators</w:t>
      </w:r>
      <w:r w:rsidR="2A061A33" w:rsidRPr="00780992">
        <w:rPr>
          <w:noProof/>
          <w:spacing w:val="-8"/>
        </w:rPr>
        <w:t xml:space="preserve"> and modes, </w:t>
      </w:r>
      <w:bookmarkStart w:id="77" w:name="_Int_6iIzd7o8"/>
      <w:r w:rsidR="2A061A33" w:rsidRPr="00780992">
        <w:rPr>
          <w:noProof/>
          <w:spacing w:val="-8"/>
        </w:rPr>
        <w:t xml:space="preserve">in particular </w:t>
      </w:r>
      <w:r w:rsidR="3E6069D2" w:rsidRPr="00780992">
        <w:rPr>
          <w:noProof/>
          <w:spacing w:val="-8"/>
        </w:rPr>
        <w:t>for</w:t>
      </w:r>
      <w:bookmarkEnd w:id="77"/>
      <w:r w:rsidR="3E6069D2" w:rsidRPr="00780992">
        <w:rPr>
          <w:noProof/>
          <w:spacing w:val="-8"/>
        </w:rPr>
        <w:t xml:space="preserve"> </w:t>
      </w:r>
      <w:r w:rsidR="2A061A33" w:rsidRPr="00780992">
        <w:rPr>
          <w:noProof/>
          <w:spacing w:val="-8"/>
        </w:rPr>
        <w:t>rail</w:t>
      </w:r>
      <w:r w:rsidR="1A5779C9" w:rsidRPr="00780992">
        <w:rPr>
          <w:noProof/>
          <w:spacing w:val="-8"/>
        </w:rPr>
        <w:t>.</w:t>
      </w:r>
      <w:r w:rsidR="6524EDB6" w:rsidRPr="00780992">
        <w:rPr>
          <w:noProof/>
          <w:spacing w:val="-8"/>
        </w:rPr>
        <w:t xml:space="preserve"> </w:t>
      </w:r>
      <w:r w:rsidR="1A5779C9" w:rsidRPr="00780992">
        <w:rPr>
          <w:noProof/>
          <w:spacing w:val="-8"/>
        </w:rPr>
        <w:t xml:space="preserve">This should in turn improve the functioning of the internal market, through a smoother and more coherent booking experience for passengers, and support the EU's objective of economic, social and territorial cohesion. Action at EU level </w:t>
      </w:r>
      <w:r w:rsidR="4F4C6051" w:rsidRPr="00780992">
        <w:rPr>
          <w:noProof/>
          <w:spacing w:val="-8"/>
        </w:rPr>
        <w:t>with</w:t>
      </w:r>
      <w:r w:rsidR="1A5779C9" w:rsidRPr="00780992">
        <w:rPr>
          <w:noProof/>
          <w:spacing w:val="-8"/>
        </w:rPr>
        <w:t xml:space="preserve"> horizontal rules </w:t>
      </w:r>
      <w:r w:rsidR="1C602462" w:rsidRPr="00780992">
        <w:rPr>
          <w:noProof/>
          <w:spacing w:val="-8"/>
        </w:rPr>
        <w:t xml:space="preserve">would </w:t>
      </w:r>
      <w:r w:rsidR="1A5779C9" w:rsidRPr="00780992">
        <w:rPr>
          <w:noProof/>
          <w:spacing w:val="-8"/>
        </w:rPr>
        <w:t xml:space="preserve">support a better functioning of the </w:t>
      </w:r>
      <w:r w:rsidR="00AD7563" w:rsidRPr="00780992">
        <w:rPr>
          <w:noProof/>
          <w:spacing w:val="-8"/>
        </w:rPr>
        <w:t>online ticket distribution</w:t>
      </w:r>
      <w:r w:rsidR="1A5779C9" w:rsidRPr="00780992">
        <w:rPr>
          <w:noProof/>
          <w:spacing w:val="-8"/>
        </w:rPr>
        <w:t xml:space="preserve"> market</w:t>
      </w:r>
      <w:r w:rsidR="00176D9E" w:rsidRPr="00780992">
        <w:rPr>
          <w:noProof/>
          <w:spacing w:val="-8"/>
        </w:rPr>
        <w:t>, removing obstacles for operators</w:t>
      </w:r>
      <w:r w:rsidR="1A5779C9" w:rsidRPr="00780992">
        <w:rPr>
          <w:noProof/>
          <w:spacing w:val="-8"/>
        </w:rPr>
        <w:t xml:space="preserve"> and </w:t>
      </w:r>
      <w:r w:rsidR="00176D9E" w:rsidRPr="00780992">
        <w:rPr>
          <w:noProof/>
          <w:spacing w:val="-8"/>
        </w:rPr>
        <w:t>platforms,</w:t>
      </w:r>
      <w:r w:rsidR="1A5779C9" w:rsidRPr="00780992">
        <w:rPr>
          <w:noProof/>
          <w:spacing w:val="-8"/>
        </w:rPr>
        <w:t xml:space="preserve"> and </w:t>
      </w:r>
      <w:r w:rsidR="00176D9E" w:rsidRPr="00780992">
        <w:rPr>
          <w:noProof/>
          <w:spacing w:val="-8"/>
        </w:rPr>
        <w:t>enhancing</w:t>
      </w:r>
      <w:r w:rsidR="1A5779C9" w:rsidRPr="00780992">
        <w:rPr>
          <w:noProof/>
          <w:spacing w:val="-8"/>
        </w:rPr>
        <w:t xml:space="preserve"> the attractiveness of rail</w:t>
      </w:r>
      <w:r w:rsidR="3D152FC2" w:rsidRPr="00780992">
        <w:rPr>
          <w:noProof/>
          <w:spacing w:val="-8"/>
        </w:rPr>
        <w:t xml:space="preserve"> which in turn would support EU level objectives</w:t>
      </w:r>
      <w:r w:rsidR="4DC62308" w:rsidRPr="00780992">
        <w:rPr>
          <w:noProof/>
          <w:spacing w:val="-8"/>
        </w:rPr>
        <w:t xml:space="preserve"> of </w:t>
      </w:r>
      <w:r w:rsidR="6D75068A" w:rsidRPr="00780992">
        <w:rPr>
          <w:noProof/>
          <w:spacing w:val="-8"/>
        </w:rPr>
        <w:t>greening</w:t>
      </w:r>
      <w:r w:rsidR="75A963B1" w:rsidRPr="00780992">
        <w:rPr>
          <w:noProof/>
          <w:spacing w:val="-8"/>
        </w:rPr>
        <w:t xml:space="preserve"> the transport sector.</w:t>
      </w:r>
    </w:p>
    <w:p w14:paraId="11C5ED5C" w14:textId="2A6CC03A" w:rsidR="00454CBE" w:rsidRPr="00780992" w:rsidRDefault="2471901C" w:rsidP="00037D03">
      <w:pPr>
        <w:spacing w:after="240"/>
        <w:jc w:val="both"/>
        <w:rPr>
          <w:noProof/>
          <w:spacing w:val="-8"/>
        </w:rPr>
      </w:pPr>
      <w:r w:rsidRPr="0021644B">
        <w:rPr>
          <w:noProof/>
          <w:spacing w:val="-8"/>
        </w:rPr>
        <w:t xml:space="preserve">EU level action for </w:t>
      </w:r>
      <w:r w:rsidR="5FEE5BAB" w:rsidRPr="0021644B">
        <w:rPr>
          <w:noProof/>
          <w:spacing w:val="-8"/>
        </w:rPr>
        <w:t xml:space="preserve">B2B </w:t>
      </w:r>
      <w:r w:rsidRPr="0021644B">
        <w:rPr>
          <w:noProof/>
          <w:spacing w:val="-8"/>
        </w:rPr>
        <w:t xml:space="preserve">ticket distribution would continue to promote a level playing field in the sector. </w:t>
      </w:r>
      <w:r w:rsidRPr="00780992">
        <w:rPr>
          <w:noProof/>
          <w:spacing w:val="-8"/>
        </w:rPr>
        <w:t xml:space="preserve">The 2020 ex-post evaluation </w:t>
      </w:r>
      <w:r w:rsidR="3272DF43" w:rsidRPr="00780992">
        <w:rPr>
          <w:noProof/>
          <w:spacing w:val="-8"/>
        </w:rPr>
        <w:t xml:space="preserve">of the CRS Code of Conduct </w:t>
      </w:r>
      <w:r w:rsidRPr="00780992">
        <w:rPr>
          <w:noProof/>
          <w:spacing w:val="-8"/>
        </w:rPr>
        <w:t>concluded that the EU level is the right level for such intervention, compared to national and internationa</w:t>
      </w:r>
      <w:r w:rsidR="5FEE5BAB" w:rsidRPr="00780992">
        <w:rPr>
          <w:noProof/>
          <w:spacing w:val="-8"/>
        </w:rPr>
        <w:t>l</w:t>
      </w:r>
      <w:r w:rsidR="7BC8F753" w:rsidRPr="00780992">
        <w:rPr>
          <w:noProof/>
          <w:spacing w:val="-8"/>
        </w:rPr>
        <w:t xml:space="preserve"> intervention. This is due to the multi-national nature of both CRS providers and aviation services. If regulated at the national level, CRS providers would need to adapt to a multitude of regulatory regimes with negative impacts on efficiency. In addition, the risk of “rule shopping” would result in fragmentation of the EU single market. At the international level, the International Civil Aviation Organisation (ICAO) has adopted a non-binding CRS Code of Conduct. However, the EU CRS Code of Conduct is binding, making it more effective and adding value compared to the Member States adopting the ICAO code</w:t>
      </w:r>
      <w:r w:rsidR="5FEE5BAB" w:rsidRPr="00780992">
        <w:rPr>
          <w:noProof/>
          <w:spacing w:val="-8"/>
        </w:rPr>
        <w:t>.</w:t>
      </w:r>
      <w:bookmarkStart w:id="78" w:name="4_Objectives:_What_is_to_be_achieved?"/>
      <w:bookmarkEnd w:id="78"/>
    </w:p>
    <w:p w14:paraId="5711448A" w14:textId="3060CFB3" w:rsidR="00712390" w:rsidRPr="00D71008" w:rsidRDefault="003C4819" w:rsidP="006E3FA1">
      <w:pPr>
        <w:pStyle w:val="Heading2"/>
        <w:numPr>
          <w:ilvl w:val="0"/>
          <w:numId w:val="11"/>
        </w:numPr>
        <w:tabs>
          <w:tab w:val="left" w:pos="1134"/>
        </w:tabs>
        <w:spacing w:before="240" w:after="240"/>
        <w:ind w:left="426" w:hanging="426"/>
        <w:rPr>
          <w:smallCaps/>
          <w:noProof/>
          <w:spacing w:val="-2"/>
        </w:rPr>
      </w:pPr>
      <w:bookmarkStart w:id="79" w:name="_Toc223979954"/>
      <w:r w:rsidRPr="00D71008">
        <w:rPr>
          <w:smallCaps/>
          <w:noProof/>
          <w:spacing w:val="-2"/>
        </w:rPr>
        <w:t>Objectives: What is to be achieved?</w:t>
      </w:r>
      <w:bookmarkEnd w:id="79"/>
    </w:p>
    <w:p w14:paraId="4C7F476F" w14:textId="54BB33C6" w:rsidR="00712390" w:rsidRPr="00D71008" w:rsidRDefault="003C4819" w:rsidP="006E3FA1">
      <w:pPr>
        <w:pStyle w:val="Heading2"/>
        <w:keepNext/>
        <w:numPr>
          <w:ilvl w:val="1"/>
          <w:numId w:val="11"/>
        </w:numPr>
        <w:tabs>
          <w:tab w:val="left" w:pos="709"/>
        </w:tabs>
        <w:spacing w:before="240" w:after="240"/>
        <w:ind w:left="1134" w:hanging="708"/>
        <w:rPr>
          <w:noProof/>
        </w:rPr>
      </w:pPr>
      <w:bookmarkStart w:id="80" w:name="4.1_General_objective"/>
      <w:bookmarkStart w:id="81" w:name="_Toc220667490"/>
      <w:bookmarkStart w:id="82" w:name="_Toc223979955"/>
      <w:bookmarkEnd w:id="80"/>
      <w:r w:rsidRPr="00D71008">
        <w:rPr>
          <w:noProof/>
        </w:rPr>
        <w:t>General objective</w:t>
      </w:r>
      <w:bookmarkEnd w:id="81"/>
      <w:bookmarkEnd w:id="82"/>
    </w:p>
    <w:p w14:paraId="66A1CBC7" w14:textId="0470A737" w:rsidR="00B41A9E" w:rsidRPr="00D23F8F" w:rsidRDefault="3331BC91" w:rsidP="007B4E6E">
      <w:pPr>
        <w:pStyle w:val="BodyText"/>
        <w:spacing w:after="240"/>
        <w:ind w:left="0"/>
        <w:rPr>
          <w:noProof/>
          <w:spacing w:val="-8"/>
        </w:rPr>
      </w:pPr>
      <w:r w:rsidRPr="00D23F8F">
        <w:rPr>
          <w:noProof/>
          <w:spacing w:val="-8"/>
        </w:rPr>
        <w:t xml:space="preserve">The </w:t>
      </w:r>
      <w:r w:rsidR="004C2A13" w:rsidRPr="00D23F8F">
        <w:rPr>
          <w:noProof/>
          <w:spacing w:val="-8"/>
        </w:rPr>
        <w:t xml:space="preserve">first </w:t>
      </w:r>
      <w:r w:rsidRPr="00D23F8F">
        <w:rPr>
          <w:noProof/>
          <w:spacing w:val="-8"/>
        </w:rPr>
        <w:t>general objective</w:t>
      </w:r>
      <w:r w:rsidR="18AB6464" w:rsidRPr="00D23F8F">
        <w:rPr>
          <w:noProof/>
          <w:spacing w:val="-8"/>
        </w:rPr>
        <w:t xml:space="preserve"> is to enhance the attractiveness of rail</w:t>
      </w:r>
      <w:r w:rsidR="4ADB3A32" w:rsidRPr="00D23F8F">
        <w:rPr>
          <w:noProof/>
          <w:spacing w:val="-8"/>
        </w:rPr>
        <w:t xml:space="preserve">, by making more of the existing </w:t>
      </w:r>
      <w:r w:rsidR="00FB3212" w:rsidRPr="00D23F8F">
        <w:rPr>
          <w:noProof/>
          <w:spacing w:val="-8"/>
        </w:rPr>
        <w:t>offers</w:t>
      </w:r>
      <w:r w:rsidR="00EF79AF" w:rsidRPr="00D23F8F">
        <w:rPr>
          <w:noProof/>
          <w:spacing w:val="-8"/>
        </w:rPr>
        <w:t xml:space="preserve"> </w:t>
      </w:r>
      <w:r w:rsidR="4ADB3A32" w:rsidRPr="00D23F8F">
        <w:rPr>
          <w:noProof/>
          <w:spacing w:val="-8"/>
        </w:rPr>
        <w:t xml:space="preserve">easily available </w:t>
      </w:r>
      <w:r w:rsidR="006245AB" w:rsidRPr="00D23F8F">
        <w:rPr>
          <w:noProof/>
          <w:spacing w:val="-8"/>
        </w:rPr>
        <w:t xml:space="preserve">on </w:t>
      </w:r>
      <w:r w:rsidR="4ADB3A32" w:rsidRPr="00D23F8F" w:rsidDel="00C60447">
        <w:rPr>
          <w:noProof/>
          <w:spacing w:val="-8"/>
        </w:rPr>
        <w:t>online</w:t>
      </w:r>
      <w:r w:rsidR="18AB6464" w:rsidRPr="00D23F8F" w:rsidDel="00C60447">
        <w:rPr>
          <w:noProof/>
          <w:spacing w:val="-8"/>
        </w:rPr>
        <w:t xml:space="preserve"> </w:t>
      </w:r>
      <w:r w:rsidR="006245AB" w:rsidRPr="00D23F8F">
        <w:rPr>
          <w:noProof/>
          <w:spacing w:val="-8"/>
        </w:rPr>
        <w:t xml:space="preserve">ticketing platforms </w:t>
      </w:r>
      <w:r w:rsidR="47C7F937" w:rsidRPr="00D23F8F">
        <w:rPr>
          <w:noProof/>
          <w:spacing w:val="-8"/>
        </w:rPr>
        <w:t>and</w:t>
      </w:r>
      <w:r w:rsidR="18AB6464" w:rsidRPr="00D23F8F">
        <w:rPr>
          <w:noProof/>
          <w:spacing w:val="-8"/>
        </w:rPr>
        <w:t xml:space="preserve"> </w:t>
      </w:r>
      <w:r w:rsidR="00765343" w:rsidRPr="00D23F8F">
        <w:rPr>
          <w:noProof/>
          <w:spacing w:val="-8"/>
        </w:rPr>
        <w:t>fostering combinations</w:t>
      </w:r>
      <w:r w:rsidR="001A5D0A" w:rsidRPr="00D23F8F">
        <w:rPr>
          <w:noProof/>
          <w:spacing w:val="-8"/>
        </w:rPr>
        <w:t xml:space="preserve"> of those products</w:t>
      </w:r>
      <w:r w:rsidR="00D971D7" w:rsidRPr="00D23F8F">
        <w:rPr>
          <w:noProof/>
          <w:spacing w:val="-8"/>
        </w:rPr>
        <w:t xml:space="preserve">, also </w:t>
      </w:r>
      <w:r w:rsidR="005225A3" w:rsidRPr="00D23F8F">
        <w:rPr>
          <w:noProof/>
          <w:spacing w:val="-8"/>
        </w:rPr>
        <w:t xml:space="preserve">for </w:t>
      </w:r>
      <w:r w:rsidR="00D971D7" w:rsidRPr="00D23F8F">
        <w:rPr>
          <w:noProof/>
          <w:spacing w:val="-8"/>
        </w:rPr>
        <w:t xml:space="preserve">multi-operator </w:t>
      </w:r>
      <w:r w:rsidR="005225A3" w:rsidRPr="00D23F8F">
        <w:rPr>
          <w:noProof/>
          <w:spacing w:val="-8"/>
        </w:rPr>
        <w:t>journeys,</w:t>
      </w:r>
      <w:r w:rsidR="00765343" w:rsidRPr="00D23F8F">
        <w:rPr>
          <w:noProof/>
          <w:spacing w:val="-8"/>
        </w:rPr>
        <w:t xml:space="preserve"> into single tickets. This is expected to </w:t>
      </w:r>
      <w:r w:rsidR="3045AC81" w:rsidRPr="00D23F8F">
        <w:rPr>
          <w:noProof/>
          <w:spacing w:val="-8"/>
        </w:rPr>
        <w:t>encourage</w:t>
      </w:r>
      <w:r w:rsidR="7B04FBE3" w:rsidRPr="00D23F8F">
        <w:rPr>
          <w:noProof/>
          <w:spacing w:val="-8"/>
        </w:rPr>
        <w:t xml:space="preserve"> </w:t>
      </w:r>
      <w:r w:rsidR="19C4EBBD" w:rsidRPr="00D23F8F">
        <w:rPr>
          <w:noProof/>
          <w:spacing w:val="-8"/>
        </w:rPr>
        <w:t xml:space="preserve">modal shift </w:t>
      </w:r>
      <w:r w:rsidR="0045106D" w:rsidRPr="00D23F8F">
        <w:rPr>
          <w:noProof/>
          <w:spacing w:val="-8"/>
        </w:rPr>
        <w:t xml:space="preserve">and </w:t>
      </w:r>
      <w:r w:rsidR="18AB6464" w:rsidRPr="00D23F8F">
        <w:rPr>
          <w:noProof/>
          <w:spacing w:val="-8"/>
        </w:rPr>
        <w:t>thereby contribut</w:t>
      </w:r>
      <w:r w:rsidR="00907AFC" w:rsidRPr="00D23F8F">
        <w:rPr>
          <w:noProof/>
          <w:spacing w:val="-8"/>
        </w:rPr>
        <w:t>e</w:t>
      </w:r>
      <w:r w:rsidR="18AB6464" w:rsidRPr="00D23F8F">
        <w:rPr>
          <w:noProof/>
          <w:spacing w:val="-8"/>
        </w:rPr>
        <w:t xml:space="preserve"> to the Green Deal objectives.</w:t>
      </w:r>
      <w:r w:rsidR="2471901C" w:rsidRPr="00D23F8F">
        <w:rPr>
          <w:noProof/>
          <w:color w:val="265898" w:themeColor="text2" w:themeTint="E6"/>
          <w:spacing w:val="-8"/>
          <w:lang w:eastAsia="en-IE"/>
        </w:rPr>
        <w:t xml:space="preserve"> </w:t>
      </w:r>
      <w:r w:rsidR="00BA3798" w:rsidRPr="00D23F8F">
        <w:rPr>
          <w:noProof/>
          <w:spacing w:val="-8"/>
        </w:rPr>
        <w:t xml:space="preserve">The </w:t>
      </w:r>
      <w:r w:rsidR="00DA7B60" w:rsidRPr="00D23F8F">
        <w:rPr>
          <w:noProof/>
          <w:spacing w:val="-8"/>
        </w:rPr>
        <w:t xml:space="preserve">second </w:t>
      </w:r>
      <w:r w:rsidR="00BA3798" w:rsidRPr="00D23F8F">
        <w:rPr>
          <w:noProof/>
          <w:spacing w:val="-8"/>
        </w:rPr>
        <w:t xml:space="preserve">general objective of these initiatives is to support a better functioning of the </w:t>
      </w:r>
      <w:r w:rsidR="00BA3798" w:rsidRPr="00D23F8F" w:rsidDel="001259D1">
        <w:rPr>
          <w:noProof/>
          <w:spacing w:val="-8"/>
        </w:rPr>
        <w:t xml:space="preserve">online </w:t>
      </w:r>
      <w:r w:rsidR="00BA3798" w:rsidRPr="00D23F8F">
        <w:rPr>
          <w:noProof/>
          <w:spacing w:val="-8"/>
        </w:rPr>
        <w:t xml:space="preserve">ticket distribution market (both B2B and B2C), contributing to the competitiveness and functioning of the transport services market. This would in turn enhance the ability of passengers to compare, access, and book tickets within and across modes, promoting collective transport and promoting multimodal trips. </w:t>
      </w:r>
      <w:r w:rsidR="00500C46" w:rsidRPr="00D23F8F">
        <w:rPr>
          <w:noProof/>
          <w:spacing w:val="-8"/>
        </w:rPr>
        <w:t>The initiatives</w:t>
      </w:r>
      <w:r w:rsidR="2471901C" w:rsidRPr="00D23F8F">
        <w:rPr>
          <w:noProof/>
          <w:spacing w:val="-8"/>
        </w:rPr>
        <w:t xml:space="preserve"> </w:t>
      </w:r>
      <w:r w:rsidR="1BC297D8" w:rsidRPr="00D23F8F">
        <w:rPr>
          <w:noProof/>
          <w:spacing w:val="-8"/>
        </w:rPr>
        <w:t xml:space="preserve">also </w:t>
      </w:r>
      <w:r w:rsidR="3EA09471" w:rsidRPr="00D23F8F">
        <w:rPr>
          <w:noProof/>
          <w:spacing w:val="-8"/>
        </w:rPr>
        <w:t>support</w:t>
      </w:r>
      <w:r w:rsidR="2471901C" w:rsidRPr="00D23F8F">
        <w:rPr>
          <w:noProof/>
          <w:spacing w:val="-8"/>
        </w:rPr>
        <w:t xml:space="preserve"> the two key priorities for the transport system described in the Sustainable and Smart Mobility Strategy: decarbonisation and digitalisation of the EU transport sector. </w:t>
      </w:r>
      <w:bookmarkStart w:id="83" w:name="4.2_Specific_objectives"/>
      <w:bookmarkEnd w:id="83"/>
      <w:r w:rsidR="00EC58D0" w:rsidRPr="00D23F8F">
        <w:rPr>
          <w:noProof/>
          <w:spacing w:val="-8"/>
        </w:rPr>
        <w:t>They</w:t>
      </w:r>
      <w:r w:rsidR="2471901C" w:rsidRPr="00D23F8F">
        <w:rPr>
          <w:noProof/>
          <w:spacing w:val="-8"/>
        </w:rPr>
        <w:t xml:space="preserve"> contribute</w:t>
      </w:r>
      <w:r w:rsidR="008477FC" w:rsidRPr="00D23F8F">
        <w:rPr>
          <w:noProof/>
          <w:spacing w:val="-8"/>
        </w:rPr>
        <w:t xml:space="preserve"> </w:t>
      </w:r>
      <w:r w:rsidR="00C50E6E" w:rsidRPr="00D23F8F">
        <w:rPr>
          <w:noProof/>
          <w:spacing w:val="-8"/>
        </w:rPr>
        <w:t xml:space="preserve">towards </w:t>
      </w:r>
      <w:r w:rsidR="00A91C10" w:rsidRPr="00D23F8F">
        <w:rPr>
          <w:noProof/>
          <w:spacing w:val="-8"/>
        </w:rPr>
        <w:t xml:space="preserve">SDG#3 (“Ensure healthy lives and promote wellbeing for all at all ages”), SDG#9 (“Make cities and human settlements inclusive, safe, resilient and sustainable”) and </w:t>
      </w:r>
      <w:r w:rsidR="00A57367" w:rsidRPr="00D23F8F">
        <w:rPr>
          <w:noProof/>
          <w:spacing w:val="-8"/>
        </w:rPr>
        <w:t>SDG#13 (“Climate Action”) by promoting a more multimodal and sustainable transport system</w:t>
      </w:r>
      <w:r w:rsidR="0A899C3B" w:rsidRPr="00D23F8F">
        <w:rPr>
          <w:noProof/>
          <w:spacing w:val="-8"/>
        </w:rPr>
        <w:t>.</w:t>
      </w:r>
    </w:p>
    <w:p w14:paraId="58DDC1A6" w14:textId="77777777" w:rsidR="00712390" w:rsidRPr="00D71008" w:rsidRDefault="003C4819" w:rsidP="006E3FA1">
      <w:pPr>
        <w:pStyle w:val="Heading2"/>
        <w:keepNext/>
        <w:numPr>
          <w:ilvl w:val="1"/>
          <w:numId w:val="11"/>
        </w:numPr>
        <w:tabs>
          <w:tab w:val="left" w:pos="709"/>
        </w:tabs>
        <w:spacing w:before="240" w:after="240"/>
        <w:ind w:left="1134" w:hanging="708"/>
        <w:rPr>
          <w:noProof/>
        </w:rPr>
      </w:pPr>
      <w:bookmarkStart w:id="84" w:name="_Toc220667491"/>
      <w:bookmarkStart w:id="85" w:name="_Toc223979956"/>
      <w:r w:rsidRPr="00D71008">
        <w:rPr>
          <w:noProof/>
        </w:rPr>
        <w:t>Specific objectives</w:t>
      </w:r>
      <w:bookmarkEnd w:id="84"/>
      <w:bookmarkEnd w:id="85"/>
    </w:p>
    <w:p w14:paraId="5B32FF68" w14:textId="757ECEBC" w:rsidR="00C937C0" w:rsidRPr="00D23F8F" w:rsidRDefault="2471901C" w:rsidP="00C937C0">
      <w:pPr>
        <w:spacing w:after="240"/>
        <w:jc w:val="both"/>
        <w:rPr>
          <w:b/>
          <w:i/>
          <w:noProof/>
          <w:spacing w:val="-8"/>
        </w:rPr>
      </w:pPr>
      <w:r w:rsidRPr="00D23F8F">
        <w:rPr>
          <w:noProof/>
          <w:spacing w:val="-8"/>
        </w:rPr>
        <w:t>The</w:t>
      </w:r>
      <w:r w:rsidRPr="00D23F8F" w:rsidDel="00F43020">
        <w:rPr>
          <w:noProof/>
          <w:spacing w:val="-8"/>
        </w:rPr>
        <w:t xml:space="preserve"> </w:t>
      </w:r>
      <w:r w:rsidR="00F43020" w:rsidRPr="00D23F8F">
        <w:rPr>
          <w:noProof/>
          <w:spacing w:val="-8"/>
        </w:rPr>
        <w:t>two</w:t>
      </w:r>
      <w:r w:rsidRPr="00D23F8F">
        <w:rPr>
          <w:noProof/>
          <w:spacing w:val="-8"/>
        </w:rPr>
        <w:t xml:space="preserve"> specific objectives (SOs) and their correspondence with the problem drivers</w:t>
      </w:r>
      <w:r w:rsidR="003B7759" w:rsidRPr="00D23F8F">
        <w:rPr>
          <w:noProof/>
          <w:spacing w:val="-8"/>
        </w:rPr>
        <w:t>, as well as the general objectives,</w:t>
      </w:r>
      <w:r w:rsidRPr="00D23F8F">
        <w:rPr>
          <w:noProof/>
          <w:spacing w:val="-8"/>
        </w:rPr>
        <w:t xml:space="preserve"> are presented in </w:t>
      </w:r>
      <w:r w:rsidR="00D044E2" w:rsidRPr="00D23F8F">
        <w:rPr>
          <w:noProof/>
          <w:spacing w:val="-8"/>
        </w:rPr>
        <w:fldChar w:fldCharType="begin"/>
      </w:r>
      <w:r w:rsidR="00D044E2" w:rsidRPr="00D23F8F">
        <w:rPr>
          <w:noProof/>
          <w:spacing w:val="-8"/>
        </w:rPr>
        <w:instrText xml:space="preserve"> REF _Ref223092405 \h </w:instrText>
      </w:r>
      <w:r w:rsidR="00D23F8F" w:rsidRPr="00D23F8F">
        <w:rPr>
          <w:noProof/>
          <w:spacing w:val="-8"/>
        </w:rPr>
        <w:instrText xml:space="preserve"> \* MERGEFORMAT </w:instrText>
      </w:r>
      <w:r w:rsidR="00D044E2" w:rsidRPr="00D23F8F">
        <w:rPr>
          <w:noProof/>
          <w:spacing w:val="-8"/>
        </w:rPr>
      </w:r>
      <w:r w:rsidR="00D044E2" w:rsidRPr="00D23F8F">
        <w:rPr>
          <w:noProof/>
          <w:spacing w:val="-8"/>
        </w:rPr>
        <w:fldChar w:fldCharType="separate"/>
      </w:r>
      <w:r>
        <w:rPr>
          <w:noProof/>
          <w:spacing w:val="-8"/>
        </w:rPr>
        <w:t>Figure 6</w:t>
      </w:r>
      <w:r w:rsidR="00D044E2" w:rsidRPr="00D23F8F">
        <w:rPr>
          <w:noProof/>
          <w:spacing w:val="-8"/>
        </w:rPr>
        <w:fldChar w:fldCharType="end"/>
      </w:r>
      <w:hyperlink w:anchor="_bookmark18">
        <w:r w:rsidRPr="00D23F8F">
          <w:rPr>
            <w:noProof/>
            <w:spacing w:val="-8"/>
          </w:rPr>
          <w:t>.</w:t>
        </w:r>
      </w:hyperlink>
      <w:r w:rsidR="00C937C0" w:rsidRPr="00D23F8F">
        <w:rPr>
          <w:b/>
          <w:i/>
          <w:noProof/>
          <w:spacing w:val="-8"/>
        </w:rPr>
        <w:t xml:space="preserve"> </w:t>
      </w:r>
    </w:p>
    <w:p w14:paraId="6C3C1853" w14:textId="330869DC" w:rsidR="00D044E2" w:rsidRDefault="00D044E2" w:rsidP="00D044E2">
      <w:pPr>
        <w:pStyle w:val="Caption"/>
        <w:keepNext/>
        <w:rPr>
          <w:noProof/>
          <w:color w:val="auto"/>
          <w:sz w:val="22"/>
          <w:szCs w:val="22"/>
        </w:rPr>
      </w:pPr>
      <w:bookmarkStart w:id="86" w:name="_Ref223092405"/>
      <w:bookmarkStart w:id="87" w:name="_Ref223092400"/>
      <w:r w:rsidRPr="00D044E2">
        <w:rPr>
          <w:noProof/>
          <w:color w:val="auto"/>
          <w:sz w:val="22"/>
          <w:szCs w:val="22"/>
        </w:rPr>
        <w:t xml:space="preserve">Figure </w:t>
      </w:r>
      <w:r w:rsidR="00980256">
        <w:rPr>
          <w:noProof/>
          <w:color w:val="auto"/>
          <w:sz w:val="22"/>
          <w:szCs w:val="22"/>
        </w:rPr>
        <w:fldChar w:fldCharType="begin"/>
      </w:r>
      <w:r w:rsidR="00980256">
        <w:rPr>
          <w:noProof/>
          <w:color w:val="auto"/>
          <w:sz w:val="22"/>
          <w:szCs w:val="22"/>
        </w:rPr>
        <w:instrText xml:space="preserve"> SEQ Figure \* ARABIC </w:instrText>
      </w:r>
      <w:r w:rsidR="00980256">
        <w:rPr>
          <w:noProof/>
          <w:color w:val="auto"/>
          <w:sz w:val="22"/>
          <w:szCs w:val="22"/>
        </w:rPr>
        <w:fldChar w:fldCharType="separate"/>
      </w:r>
      <w:r w:rsidR="0055391F">
        <w:rPr>
          <w:noProof/>
          <w:color w:val="auto"/>
          <w:sz w:val="22"/>
          <w:szCs w:val="22"/>
        </w:rPr>
        <w:t>6</w:t>
      </w:r>
      <w:r w:rsidR="00980256">
        <w:rPr>
          <w:noProof/>
          <w:color w:val="auto"/>
          <w:sz w:val="22"/>
          <w:szCs w:val="22"/>
        </w:rPr>
        <w:fldChar w:fldCharType="end"/>
      </w:r>
      <w:bookmarkEnd w:id="86"/>
      <w:r w:rsidRPr="00D044E2">
        <w:rPr>
          <w:noProof/>
          <w:color w:val="auto"/>
          <w:sz w:val="22"/>
          <w:szCs w:val="22"/>
        </w:rPr>
        <w:t>: Correspondence between the specific objectives and the problem drivers</w:t>
      </w:r>
      <w:bookmarkEnd w:id="87"/>
    </w:p>
    <w:p w14:paraId="257F6582" w14:textId="5AA7D0BB" w:rsidR="00B76505" w:rsidRPr="005D2D60" w:rsidRDefault="00B76505" w:rsidP="0063128B">
      <w:pPr>
        <w:spacing w:after="240"/>
        <w:rPr>
          <w:noProof/>
          <w:lang w:eastAsia="en-US"/>
        </w:rPr>
      </w:pPr>
      <w:r w:rsidRPr="00B76505">
        <w:rPr>
          <w:noProof/>
          <w:lang w:val="en-GB" w:eastAsia="en-GB"/>
          <w14:ligatures w14:val="standardContextual"/>
        </w:rPr>
        <mc:AlternateContent>
          <mc:Choice Requires="wpg">
            <w:drawing>
              <wp:inline distT="0" distB="0" distL="0" distR="0" wp14:anchorId="36EB4DE8" wp14:editId="37845E00">
                <wp:extent cx="6104360" cy="2731123"/>
                <wp:effectExtent l="0" t="0" r="10795" b="12700"/>
                <wp:docPr id="1761782962" name="Group 9"/>
                <wp:cNvGraphicFramePr/>
                <a:graphic xmlns:a="http://schemas.openxmlformats.org/drawingml/2006/main">
                  <a:graphicData uri="http://schemas.microsoft.com/office/word/2010/wordprocessingGroup">
                    <wpg:wgp>
                      <wpg:cNvGrpSpPr/>
                      <wpg:grpSpPr>
                        <a:xfrm>
                          <a:off x="0" y="0"/>
                          <a:ext cx="6104360" cy="2731123"/>
                          <a:chOff x="-17436" y="-1"/>
                          <a:chExt cx="6823226" cy="1960204"/>
                        </a:xfrm>
                      </wpg:grpSpPr>
                      <wps:wsp>
                        <wps:cNvPr id="862859322" name="Text Box 1"/>
                        <wps:cNvSpPr txBox="1"/>
                        <wps:spPr>
                          <a:xfrm>
                            <a:off x="-16786" y="-1"/>
                            <a:ext cx="2512002" cy="177558"/>
                          </a:xfrm>
                          <a:prstGeom prst="rect">
                            <a:avLst/>
                          </a:prstGeom>
                          <a:solidFill>
                            <a:srgbClr val="4F81BD">
                              <a:lumMod val="20000"/>
                              <a:lumOff val="80000"/>
                            </a:srgbClr>
                          </a:solidFill>
                          <a:ln w="6350">
                            <a:solidFill>
                              <a:prstClr val="black"/>
                            </a:solidFill>
                          </a:ln>
                        </wps:spPr>
                        <wps:txbx>
                          <w:txbxContent>
                            <w:p w14:paraId="0CF2A347" w14:textId="77777777" w:rsidR="00B76505" w:rsidRPr="00CA142A" w:rsidRDefault="00B76505" w:rsidP="00B76505">
                              <w:pPr>
                                <w:jc w:val="center"/>
                                <w:rPr>
                                  <w:sz w:val="22"/>
                                  <w:szCs w:val="22"/>
                                </w:rPr>
                              </w:pPr>
                              <w:r w:rsidRPr="00CA142A">
                                <w:rPr>
                                  <w:b/>
                                  <w:bCs/>
                                  <w:sz w:val="22"/>
                                  <w:szCs w:val="22"/>
                                </w:rPr>
                                <w:t>Problem Drivers (PD)</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wps:wsp>
                        <wps:cNvPr id="1129383093" name="Text Box 1"/>
                        <wps:cNvSpPr txBox="1"/>
                        <wps:spPr>
                          <a:xfrm>
                            <a:off x="2947086" y="0"/>
                            <a:ext cx="1810776" cy="177558"/>
                          </a:xfrm>
                          <a:prstGeom prst="rect">
                            <a:avLst/>
                          </a:prstGeom>
                          <a:solidFill>
                            <a:srgbClr val="C0504D">
                              <a:lumMod val="20000"/>
                              <a:lumOff val="80000"/>
                            </a:srgbClr>
                          </a:solidFill>
                          <a:ln w="6350">
                            <a:solidFill>
                              <a:prstClr val="black"/>
                            </a:solidFill>
                          </a:ln>
                        </wps:spPr>
                        <wps:txbx>
                          <w:txbxContent>
                            <w:p w14:paraId="53631E17" w14:textId="269DB33C" w:rsidR="00B76505" w:rsidRPr="00CA142A" w:rsidRDefault="00B76505" w:rsidP="00B76505">
                              <w:pPr>
                                <w:jc w:val="center"/>
                                <w:rPr>
                                  <w:sz w:val="22"/>
                                  <w:szCs w:val="22"/>
                                </w:rPr>
                              </w:pPr>
                              <w:r w:rsidRPr="00262CD4">
                                <w:rPr>
                                  <w:b/>
                                  <w:bCs/>
                                  <w:color w:val="000000"/>
                                  <w:sz w:val="22"/>
                                  <w:szCs w:val="22"/>
                                </w:rPr>
                                <w:t>Specific Objectives (SO)</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wps:wsp>
                        <wps:cNvPr id="1522064051" name="Text Box 1"/>
                        <wps:cNvSpPr txBox="1"/>
                        <wps:spPr>
                          <a:xfrm>
                            <a:off x="-16968" y="272321"/>
                            <a:ext cx="2512004" cy="391055"/>
                          </a:xfrm>
                          <a:prstGeom prst="rect">
                            <a:avLst/>
                          </a:prstGeom>
                          <a:solidFill>
                            <a:srgbClr val="4F81BD">
                              <a:lumMod val="20000"/>
                              <a:lumOff val="80000"/>
                            </a:srgbClr>
                          </a:solidFill>
                          <a:ln w="6350">
                            <a:solidFill>
                              <a:prstClr val="black"/>
                            </a:solidFill>
                          </a:ln>
                        </wps:spPr>
                        <wps:txbx>
                          <w:txbxContent>
                            <w:p w14:paraId="1C864381" w14:textId="77777777" w:rsidR="00B76505" w:rsidRPr="00CA142A" w:rsidRDefault="00B76505" w:rsidP="00B76505">
                              <w:pPr>
                                <w:jc w:val="both"/>
                                <w:rPr>
                                  <w:sz w:val="22"/>
                                  <w:szCs w:val="22"/>
                                </w:rPr>
                              </w:pPr>
                              <w:r w:rsidRPr="00CA142A">
                                <w:rPr>
                                  <w:b/>
                                  <w:spacing w:val="-4"/>
                                  <w:sz w:val="22"/>
                                  <w:szCs w:val="22"/>
                                </w:rPr>
                                <w:t>PD1</w:t>
                              </w:r>
                              <w:r w:rsidRPr="00CA142A">
                                <w:rPr>
                                  <w:spacing w:val="-4"/>
                                  <w:sz w:val="22"/>
                                  <w:szCs w:val="22"/>
                                </w:rPr>
                                <w:t>: Regulatory framework no longer fit for purpose due to market and technological changes in ticket distribution</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wps:wsp>
                        <wps:cNvPr id="1054173708" name="Straight Arrow Connector 3"/>
                        <wps:cNvCnPr>
                          <a:stCxn id="34110438" idx="3"/>
                          <a:endCxn id="352312732" idx="1"/>
                        </wps:cNvCnPr>
                        <wps:spPr>
                          <a:xfrm flipV="1">
                            <a:off x="2501254" y="1714641"/>
                            <a:ext cx="445586" cy="38857"/>
                          </a:xfrm>
                          <a:prstGeom prst="straightConnector1">
                            <a:avLst/>
                          </a:prstGeom>
                          <a:noFill/>
                          <a:ln w="9525" cap="flat" cmpd="sng" algn="ctr">
                            <a:solidFill>
                              <a:srgbClr val="4F81BD">
                                <a:shade val="95000"/>
                                <a:satMod val="105000"/>
                              </a:srgbClr>
                            </a:solidFill>
                            <a:prstDash val="solid"/>
                            <a:tailEnd type="triangle" w="sm" len="med"/>
                          </a:ln>
                          <a:effectLst/>
                        </wps:spPr>
                        <wps:bodyPr/>
                      </wps:wsp>
                      <wps:wsp>
                        <wps:cNvPr id="135979768" name="Text Box 1"/>
                        <wps:cNvSpPr txBox="1"/>
                        <wps:spPr>
                          <a:xfrm>
                            <a:off x="-17436" y="1121629"/>
                            <a:ext cx="2512003" cy="391055"/>
                          </a:xfrm>
                          <a:prstGeom prst="rect">
                            <a:avLst/>
                          </a:prstGeom>
                          <a:solidFill>
                            <a:srgbClr val="4F81BD">
                              <a:lumMod val="20000"/>
                              <a:lumOff val="80000"/>
                            </a:srgbClr>
                          </a:solidFill>
                          <a:ln w="6350">
                            <a:solidFill>
                              <a:prstClr val="black"/>
                            </a:solidFill>
                          </a:ln>
                        </wps:spPr>
                        <wps:txbx>
                          <w:txbxContent>
                            <w:p w14:paraId="65D87BF6" w14:textId="77777777" w:rsidR="00B76505" w:rsidRPr="00CA142A" w:rsidRDefault="00B76505" w:rsidP="00B76505">
                              <w:pPr>
                                <w:jc w:val="both"/>
                                <w:rPr>
                                  <w:bCs/>
                                  <w:spacing w:val="-4"/>
                                  <w:sz w:val="22"/>
                                  <w:szCs w:val="22"/>
                                </w:rPr>
                              </w:pPr>
                              <w:r w:rsidRPr="00CA142A">
                                <w:rPr>
                                  <w:b/>
                                  <w:spacing w:val="-4"/>
                                  <w:sz w:val="22"/>
                                  <w:szCs w:val="22"/>
                                </w:rPr>
                                <w:t xml:space="preserve">PD3: </w:t>
                              </w:r>
                              <w:r w:rsidRPr="00CA142A">
                                <w:rPr>
                                  <w:bCs/>
                                  <w:spacing w:val="-4"/>
                                  <w:sz w:val="22"/>
                                  <w:szCs w:val="22"/>
                                </w:rPr>
                                <w:t>Imbalanced commercial relations of indispensable MDMS platforms and transport operators</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wps:wsp>
                        <wps:cNvPr id="1288516811" name="Text Box 1"/>
                        <wps:cNvSpPr txBox="1"/>
                        <wps:spPr>
                          <a:xfrm>
                            <a:off x="2947086" y="582193"/>
                            <a:ext cx="1810776" cy="620117"/>
                          </a:xfrm>
                          <a:prstGeom prst="rect">
                            <a:avLst/>
                          </a:prstGeom>
                          <a:solidFill>
                            <a:srgbClr val="C0504D">
                              <a:lumMod val="20000"/>
                              <a:lumOff val="80000"/>
                            </a:srgbClr>
                          </a:solidFill>
                          <a:ln w="6350">
                            <a:solidFill>
                              <a:prstClr val="black"/>
                            </a:solidFill>
                          </a:ln>
                        </wps:spPr>
                        <wps:txbx>
                          <w:txbxContent>
                            <w:p w14:paraId="6D15A56A" w14:textId="09B2A367" w:rsidR="00B76505" w:rsidRPr="00CA142A" w:rsidRDefault="00B76505" w:rsidP="00B76505">
                              <w:pPr>
                                <w:jc w:val="both"/>
                                <w:rPr>
                                  <w:bCs/>
                                  <w:sz w:val="22"/>
                                  <w:szCs w:val="22"/>
                                </w:rPr>
                              </w:pPr>
                              <w:r w:rsidRPr="00262CD4">
                                <w:rPr>
                                  <w:b/>
                                  <w:spacing w:val="-4"/>
                                  <w:sz w:val="22"/>
                                  <w:szCs w:val="22"/>
                                </w:rPr>
                                <w:t>SO</w:t>
                              </w:r>
                              <w:r w:rsidRPr="00CA142A">
                                <w:rPr>
                                  <w:b/>
                                  <w:spacing w:val="-4"/>
                                  <w:sz w:val="22"/>
                                  <w:szCs w:val="22"/>
                                </w:rPr>
                                <w:t>1</w:t>
                              </w:r>
                              <w:r w:rsidRPr="00262CD4">
                                <w:rPr>
                                  <w:b/>
                                  <w:spacing w:val="-4"/>
                                  <w:sz w:val="22"/>
                                  <w:szCs w:val="22"/>
                                </w:rPr>
                                <w:t>:</w:t>
                              </w:r>
                              <w:r w:rsidRPr="00262CD4">
                                <w:rPr>
                                  <w:bCs/>
                                  <w:spacing w:val="-4"/>
                                  <w:sz w:val="22"/>
                                  <w:szCs w:val="22"/>
                                </w:rPr>
                                <w:t xml:space="preserve"> Improve transparency </w:t>
                              </w:r>
                              <w:r w:rsidRPr="00CA142A">
                                <w:rPr>
                                  <w:bCs/>
                                  <w:spacing w:val="-4"/>
                                  <w:sz w:val="22"/>
                                  <w:szCs w:val="22"/>
                                </w:rPr>
                                <w:t>and establish a level playing field for transport operators in terms of access and use of indispensable MDMS</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wps:wsp>
                        <wps:cNvPr id="1362776054" name="Straight Arrow Connector 5"/>
                        <wps:cNvCnPr>
                          <a:stCxn id="1522064051" idx="3"/>
                          <a:endCxn id="1288516811" idx="1"/>
                        </wps:cNvCnPr>
                        <wps:spPr>
                          <a:xfrm>
                            <a:off x="2495036" y="467849"/>
                            <a:ext cx="452050" cy="424403"/>
                          </a:xfrm>
                          <a:prstGeom prst="straightConnector1">
                            <a:avLst/>
                          </a:prstGeom>
                          <a:noFill/>
                          <a:ln w="9525" cap="flat" cmpd="sng" algn="ctr">
                            <a:solidFill>
                              <a:srgbClr val="4F81BD">
                                <a:shade val="95000"/>
                                <a:satMod val="105000"/>
                              </a:srgbClr>
                            </a:solidFill>
                            <a:prstDash val="solid"/>
                            <a:tailEnd type="triangle" w="sm" len="med"/>
                          </a:ln>
                          <a:effectLst/>
                        </wps:spPr>
                        <wps:bodyPr/>
                      </wps:wsp>
                      <wps:wsp>
                        <wps:cNvPr id="34110438" name="Text Box 1"/>
                        <wps:cNvSpPr txBox="1"/>
                        <wps:spPr>
                          <a:xfrm>
                            <a:off x="-10748" y="1546792"/>
                            <a:ext cx="2512003" cy="413411"/>
                          </a:xfrm>
                          <a:prstGeom prst="rect">
                            <a:avLst/>
                          </a:prstGeom>
                          <a:solidFill>
                            <a:srgbClr val="4F81BD">
                              <a:lumMod val="20000"/>
                              <a:lumOff val="80000"/>
                            </a:srgbClr>
                          </a:solidFill>
                          <a:ln w="6350">
                            <a:solidFill>
                              <a:prstClr val="black"/>
                            </a:solidFill>
                          </a:ln>
                        </wps:spPr>
                        <wps:txbx>
                          <w:txbxContent>
                            <w:p w14:paraId="76B784D4" w14:textId="70E1B569" w:rsidR="00B76505" w:rsidRPr="00CA142A" w:rsidRDefault="00B76505" w:rsidP="00B76505">
                              <w:pPr>
                                <w:jc w:val="both"/>
                                <w:rPr>
                                  <w:bCs/>
                                  <w:spacing w:val="-4"/>
                                  <w:sz w:val="22"/>
                                  <w:szCs w:val="22"/>
                                </w:rPr>
                              </w:pPr>
                              <w:r w:rsidRPr="00CA142A">
                                <w:rPr>
                                  <w:b/>
                                  <w:spacing w:val="-4"/>
                                  <w:sz w:val="22"/>
                                  <w:szCs w:val="22"/>
                                </w:rPr>
                                <w:t xml:space="preserve">PD4: </w:t>
                              </w:r>
                              <w:r w:rsidRPr="00CA142A">
                                <w:rPr>
                                  <w:bCs/>
                                  <w:spacing w:val="-4"/>
                                  <w:sz w:val="22"/>
                                  <w:szCs w:val="22"/>
                                </w:rPr>
                                <w:t xml:space="preserve">Vertical integration of railway undertakings and rail ticketing platforms </w:t>
                              </w:r>
                              <w:r w:rsidR="00F60B6B" w:rsidRPr="00EA39A0">
                                <w:rPr>
                                  <w:spacing w:val="-4"/>
                                </w:rPr>
                                <w:t>hinders wide</w:t>
                              </w:r>
                              <w:r w:rsidR="004F65B9" w:rsidRPr="00EA39A0">
                                <w:rPr>
                                  <w:spacing w:val="-4"/>
                                </w:rPr>
                                <w:t>r</w:t>
                              </w:r>
                              <w:r w:rsidR="00F60B6B" w:rsidRPr="00EA39A0">
                                <w:rPr>
                                  <w:spacing w:val="-4"/>
                                </w:rPr>
                                <w:t xml:space="preserve"> </w:t>
                              </w:r>
                              <w:r w:rsidR="00F60B6B" w:rsidRPr="00CA142A">
                                <w:rPr>
                                  <w:spacing w:val="-4"/>
                                  <w:sz w:val="22"/>
                                  <w:szCs w:val="22"/>
                                </w:rPr>
                                <w:t>ticket distribution</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wps:wsp>
                        <wps:cNvPr id="1589546837" name="Text Box 1"/>
                        <wps:cNvSpPr txBox="1"/>
                        <wps:spPr>
                          <a:xfrm>
                            <a:off x="-17436" y="697255"/>
                            <a:ext cx="2512004" cy="391055"/>
                          </a:xfrm>
                          <a:prstGeom prst="rect">
                            <a:avLst/>
                          </a:prstGeom>
                          <a:solidFill>
                            <a:srgbClr val="4F81BD">
                              <a:lumMod val="20000"/>
                              <a:lumOff val="80000"/>
                            </a:srgbClr>
                          </a:solidFill>
                          <a:ln w="6350">
                            <a:solidFill>
                              <a:prstClr val="black"/>
                            </a:solidFill>
                          </a:ln>
                        </wps:spPr>
                        <wps:txbx>
                          <w:txbxContent>
                            <w:p w14:paraId="796FB29F" w14:textId="77777777" w:rsidR="00B76505" w:rsidRPr="00CA142A" w:rsidRDefault="00B76505" w:rsidP="00B76505">
                              <w:pPr>
                                <w:rPr>
                                  <w:sz w:val="22"/>
                                  <w:szCs w:val="22"/>
                                </w:rPr>
                              </w:pPr>
                              <w:r w:rsidRPr="00CA142A">
                                <w:rPr>
                                  <w:b/>
                                  <w:spacing w:val="-4"/>
                                  <w:sz w:val="22"/>
                                  <w:szCs w:val="22"/>
                                </w:rPr>
                                <w:t>PD2</w:t>
                              </w:r>
                              <w:r w:rsidRPr="00CA142A">
                                <w:rPr>
                                  <w:spacing w:val="-4"/>
                                  <w:sz w:val="22"/>
                                  <w:szCs w:val="22"/>
                                </w:rPr>
                                <w:t xml:space="preserve">: Commercial incentives of MDMS platforms to promote </w:t>
                              </w:r>
                              <w:r w:rsidRPr="00CA142A">
                                <w:rPr>
                                  <w:sz w:val="22"/>
                                  <w:szCs w:val="22"/>
                                </w:rPr>
                                <w:t>ce</w:t>
                              </w:r>
                              <w:r w:rsidRPr="00CA142A">
                                <w:rPr>
                                  <w:spacing w:val="-4"/>
                                  <w:sz w:val="22"/>
                                  <w:szCs w:val="22"/>
                                </w:rPr>
                                <w:t>rtain operators or products</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wps:wsp>
                        <wps:cNvPr id="352312732" name="Text Box 1"/>
                        <wps:cNvSpPr txBox="1"/>
                        <wps:spPr>
                          <a:xfrm>
                            <a:off x="2946841" y="1469178"/>
                            <a:ext cx="1810776" cy="490926"/>
                          </a:xfrm>
                          <a:prstGeom prst="rect">
                            <a:avLst/>
                          </a:prstGeom>
                          <a:solidFill>
                            <a:srgbClr val="C0504D">
                              <a:lumMod val="20000"/>
                              <a:lumOff val="80000"/>
                            </a:srgbClr>
                          </a:solidFill>
                          <a:ln w="6350">
                            <a:solidFill>
                              <a:prstClr val="black"/>
                            </a:solidFill>
                          </a:ln>
                        </wps:spPr>
                        <wps:txbx>
                          <w:txbxContent>
                            <w:p w14:paraId="4D247679" w14:textId="77777777" w:rsidR="00B76505" w:rsidRPr="00CA142A" w:rsidRDefault="00B76505" w:rsidP="00B76505">
                              <w:pPr>
                                <w:rPr>
                                  <w:spacing w:val="-4"/>
                                  <w:sz w:val="22"/>
                                  <w:szCs w:val="22"/>
                                </w:rPr>
                              </w:pPr>
                              <w:r w:rsidRPr="00CA142A">
                                <w:rPr>
                                  <w:b/>
                                  <w:spacing w:val="-4"/>
                                  <w:sz w:val="22"/>
                                  <w:szCs w:val="22"/>
                                </w:rPr>
                                <w:t>SO2:</w:t>
                              </w:r>
                              <w:r w:rsidRPr="00CA142A">
                                <w:rPr>
                                  <w:spacing w:val="-4"/>
                                  <w:sz w:val="22"/>
                                  <w:szCs w:val="22"/>
                                </w:rPr>
                                <w:t xml:space="preserve"> Improve completeness of rail offer on MDMS platforms, including indispensable RU platforms</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wps:wsp>
                        <wps:cNvPr id="1372115373" name="Straight Arrow Connector 5"/>
                        <wps:cNvCnPr>
                          <a:stCxn id="1589546837" idx="3"/>
                          <a:endCxn id="1288516811" idx="1"/>
                        </wps:cNvCnPr>
                        <wps:spPr>
                          <a:xfrm flipV="1">
                            <a:off x="2494568" y="892251"/>
                            <a:ext cx="452518" cy="531"/>
                          </a:xfrm>
                          <a:prstGeom prst="straightConnector1">
                            <a:avLst/>
                          </a:prstGeom>
                          <a:noFill/>
                          <a:ln w="9525" cap="flat" cmpd="sng" algn="ctr">
                            <a:solidFill>
                              <a:srgbClr val="4F81BD">
                                <a:shade val="95000"/>
                                <a:satMod val="105000"/>
                              </a:srgbClr>
                            </a:solidFill>
                            <a:prstDash val="solid"/>
                            <a:tailEnd type="triangle" w="sm" len="med"/>
                          </a:ln>
                          <a:effectLst/>
                        </wps:spPr>
                        <wps:bodyPr/>
                      </wps:wsp>
                      <wps:wsp>
                        <wps:cNvPr id="1743369376" name="Text Box 1"/>
                        <wps:cNvSpPr txBox="1"/>
                        <wps:spPr>
                          <a:xfrm>
                            <a:off x="5035254" y="51"/>
                            <a:ext cx="1770536" cy="177558"/>
                          </a:xfrm>
                          <a:prstGeom prst="rect">
                            <a:avLst/>
                          </a:prstGeom>
                          <a:solidFill>
                            <a:srgbClr val="9BBB59">
                              <a:lumMod val="20000"/>
                              <a:lumOff val="80000"/>
                            </a:srgbClr>
                          </a:solidFill>
                          <a:ln w="6350">
                            <a:solidFill>
                              <a:prstClr val="black"/>
                            </a:solidFill>
                          </a:ln>
                        </wps:spPr>
                        <wps:txbx>
                          <w:txbxContent>
                            <w:p w14:paraId="1345519D" w14:textId="33BB15BB" w:rsidR="00B76505" w:rsidRPr="00CA142A" w:rsidRDefault="00B76505" w:rsidP="00B76505">
                              <w:pPr>
                                <w:jc w:val="center"/>
                                <w:rPr>
                                  <w:b/>
                                  <w:spacing w:val="-4"/>
                                  <w:sz w:val="22"/>
                                  <w:szCs w:val="22"/>
                                </w:rPr>
                              </w:pPr>
                              <w:r w:rsidRPr="00262CD4">
                                <w:rPr>
                                  <w:b/>
                                  <w:spacing w:val="-4"/>
                                  <w:sz w:val="22"/>
                                  <w:szCs w:val="22"/>
                                </w:rPr>
                                <w:t>General Objectives (GO)</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wps:wsp>
                        <wps:cNvPr id="1190507898" name="Text Box 1"/>
                        <wps:cNvSpPr txBox="1"/>
                        <wps:spPr>
                          <a:xfrm>
                            <a:off x="5034694" y="272321"/>
                            <a:ext cx="1770536" cy="826823"/>
                          </a:xfrm>
                          <a:prstGeom prst="rect">
                            <a:avLst/>
                          </a:prstGeom>
                          <a:solidFill>
                            <a:srgbClr val="9BBB59">
                              <a:lumMod val="20000"/>
                              <a:lumOff val="80000"/>
                            </a:srgbClr>
                          </a:solidFill>
                          <a:ln w="6350">
                            <a:solidFill>
                              <a:prstClr val="black"/>
                            </a:solidFill>
                          </a:ln>
                        </wps:spPr>
                        <wps:txbx>
                          <w:txbxContent>
                            <w:p w14:paraId="18A5B5A8" w14:textId="354F9CE2" w:rsidR="00B76505" w:rsidRPr="00CA142A" w:rsidRDefault="00B76505" w:rsidP="00B76505">
                              <w:pPr>
                                <w:jc w:val="both"/>
                                <w:rPr>
                                  <w:bCs/>
                                  <w:sz w:val="22"/>
                                  <w:szCs w:val="22"/>
                                </w:rPr>
                              </w:pPr>
                              <w:r w:rsidRPr="00262CD4">
                                <w:rPr>
                                  <w:b/>
                                  <w:spacing w:val="-4"/>
                                  <w:sz w:val="22"/>
                                  <w:szCs w:val="22"/>
                                </w:rPr>
                                <w:t>GO1:</w:t>
                              </w:r>
                              <w:r w:rsidRPr="00262CD4">
                                <w:rPr>
                                  <w:bCs/>
                                  <w:spacing w:val="-4"/>
                                  <w:sz w:val="22"/>
                                  <w:szCs w:val="22"/>
                                </w:rPr>
                                <w:t xml:space="preserve"> Promote rail single ticketing for multi-operator journeys and thereby enhance attractiveness of rail to increase sustainability of the transport system and support modal shift</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wps:wsp>
                        <wps:cNvPr id="1760870290" name="Text Box 1"/>
                        <wps:cNvSpPr txBox="1"/>
                        <wps:spPr>
                          <a:xfrm>
                            <a:off x="5033472" y="1236663"/>
                            <a:ext cx="1770536" cy="723470"/>
                          </a:xfrm>
                          <a:prstGeom prst="rect">
                            <a:avLst/>
                          </a:prstGeom>
                          <a:solidFill>
                            <a:srgbClr val="9BBB59">
                              <a:lumMod val="20000"/>
                              <a:lumOff val="80000"/>
                            </a:srgbClr>
                          </a:solidFill>
                          <a:ln w="6350">
                            <a:solidFill>
                              <a:prstClr val="black"/>
                            </a:solidFill>
                          </a:ln>
                        </wps:spPr>
                        <wps:txbx>
                          <w:txbxContent>
                            <w:p w14:paraId="545A38D4" w14:textId="37FC4DCF" w:rsidR="00B76505" w:rsidRPr="00CA142A" w:rsidRDefault="00B76505" w:rsidP="00B76505">
                              <w:pPr>
                                <w:jc w:val="both"/>
                                <w:rPr>
                                  <w:bCs/>
                                  <w:spacing w:val="-4"/>
                                  <w:sz w:val="22"/>
                                  <w:szCs w:val="22"/>
                                </w:rPr>
                              </w:pPr>
                              <w:r w:rsidRPr="00262CD4">
                                <w:rPr>
                                  <w:b/>
                                  <w:spacing w:val="-4"/>
                                  <w:sz w:val="22"/>
                                  <w:szCs w:val="22"/>
                                </w:rPr>
                                <w:t>GO2:</w:t>
                              </w:r>
                              <w:r w:rsidRPr="00262CD4">
                                <w:rPr>
                                  <w:bCs/>
                                  <w:spacing w:val="-4"/>
                                  <w:sz w:val="22"/>
                                  <w:szCs w:val="22"/>
                                </w:rPr>
                                <w:t xml:space="preserve"> Better functioning of the online ticket distribution market, contributing to the competitiveness and functioning of the transport services market</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wps:wsp>
                        <wps:cNvPr id="164237884" name="Straight Arrow Connector 5"/>
                        <wps:cNvCnPr>
                          <a:stCxn id="135979768" idx="3"/>
                          <a:endCxn id="1288516811" idx="1"/>
                        </wps:cNvCnPr>
                        <wps:spPr>
                          <a:xfrm flipV="1">
                            <a:off x="2494567" y="892251"/>
                            <a:ext cx="452520" cy="424905"/>
                          </a:xfrm>
                          <a:prstGeom prst="straightConnector1">
                            <a:avLst/>
                          </a:prstGeom>
                          <a:noFill/>
                          <a:ln w="9525" cap="flat" cmpd="sng" algn="ctr">
                            <a:solidFill>
                              <a:srgbClr val="4F81BD">
                                <a:shade val="95000"/>
                                <a:satMod val="105000"/>
                              </a:srgbClr>
                            </a:solidFill>
                            <a:prstDash val="solid"/>
                            <a:tailEnd type="triangle" w="sm" len="med"/>
                          </a:ln>
                          <a:effectLst/>
                        </wps:spPr>
                        <wps:bodyPr/>
                      </wps:wsp>
                    </wpg:wgp>
                  </a:graphicData>
                </a:graphic>
              </wp:inline>
            </w:drawing>
          </mc:Choice>
          <mc:Fallback>
            <w:pict>
              <v:group w14:anchorId="36EB4DE8" id="_x0000_s1048" style="width:480.65pt;height:215.05pt;mso-position-horizontal-relative:char;mso-position-vertical-relative:line" coordorigin="-174" coordsize="68232,19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">
                <v:shape id="Text Box 1" o:spid="_x0000_s1049" type="#_x0000_t202" style="position:absolute;left:-167;width:25119;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" fillcolor="#dce6f2" strokeweight=".5pt">
                  <v:textbox inset=".5mm,.5mm,.5mm,.5mm">
                    <w:txbxContent>
                      <w:p w14:paraId="0CF2A347" w14:textId="77777777" w:rsidR="00B76505" w:rsidRPr="00CA142A" w:rsidRDefault="00B76505" w:rsidP="00B76505">
                        <w:pPr>
                          <w:jc w:val="center"/>
                          <w:rPr>
                            <w:sz w:val="22"/>
                            <w:szCs w:val="22"/>
                          </w:rPr>
                        </w:pPr>
                        <w:r w:rsidRPr="00CA142A">
                          <w:rPr>
                            <w:b/>
                            <w:bCs/>
                            <w:sz w:val="22"/>
                            <w:szCs w:val="22"/>
                          </w:rPr>
                          <w:t>Problem Drivers (PD)</w:t>
                        </w:r>
                      </w:p>
                    </w:txbxContent>
                  </v:textbox>
                </v:shape>
                <v:shape id="Text Box 1" o:spid="_x0000_s1050" type="#_x0000_t202" style="position:absolute;left:29470;width:18108;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" fillcolor="#f2dcdb" strokeweight=".5pt">
                  <v:textbox inset=".5mm,.5mm,.5mm,.5mm">
                    <w:txbxContent>
                      <w:p w14:paraId="53631E17" w14:textId="269DB33C" w:rsidR="00B76505" w:rsidRPr="00CA142A" w:rsidRDefault="00B76505" w:rsidP="00B76505">
                        <w:pPr>
                          <w:jc w:val="center"/>
                          <w:rPr>
                            <w:sz w:val="22"/>
                            <w:szCs w:val="22"/>
                          </w:rPr>
                        </w:pPr>
                        <w:r w:rsidRPr="00262CD4">
                          <w:rPr>
                            <w:b/>
                            <w:bCs/>
                            <w:color w:val="000000"/>
                            <w:sz w:val="22"/>
                            <w:szCs w:val="22"/>
                          </w:rPr>
                          <w:t>Specific Objectives (SO)</w:t>
                        </w:r>
                      </w:p>
                    </w:txbxContent>
                  </v:textbox>
                </v:shape>
                <v:shape id="Text Box 1" o:spid="_x0000_s1051" type="#_x0000_t202" style="position:absolute;left:-169;top:2723;width:25119;height:3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" fillcolor="#dce6f2" strokeweight=".5pt">
                  <v:textbox inset=".5mm,.5mm,.5mm,.5mm">
                    <w:txbxContent>
                      <w:p w14:paraId="1C864381" w14:textId="77777777" w:rsidR="00B76505" w:rsidRPr="00CA142A" w:rsidRDefault="00B76505" w:rsidP="00B76505">
                        <w:pPr>
                          <w:jc w:val="both"/>
                          <w:rPr>
                            <w:sz w:val="22"/>
                            <w:szCs w:val="22"/>
                          </w:rPr>
                        </w:pPr>
                        <w:r w:rsidRPr="00CA142A">
                          <w:rPr>
                            <w:b/>
                            <w:spacing w:val="-4"/>
                            <w:sz w:val="22"/>
                            <w:szCs w:val="22"/>
                          </w:rPr>
                          <w:t>PD1</w:t>
                        </w:r>
                        <w:r w:rsidRPr="00CA142A">
                          <w:rPr>
                            <w:spacing w:val="-4"/>
                            <w:sz w:val="22"/>
                            <w:szCs w:val="22"/>
                          </w:rPr>
                          <w:t>: Regulatory framework no longer fit for purpose due to market and technological changes in ticket distribution</w:t>
                        </w:r>
                      </w:p>
                    </w:txbxContent>
                  </v:textbox>
                </v:shape>
                <v:shape id="Straight Arrow Connector 3" o:spid="_x0000_s1052" type="#_x0000_t32" style="position:absolute;left:25012;top:17146;width:4456;height:3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" strokecolor="#4a7ebb">
                  <v:stroke endarrow="block" endarrowwidth="narrow"/>
                </v:shape>
                <v:shape id="Text Box 1" o:spid="_x0000_s1053" type="#_x0000_t202" style="position:absolute;left:-174;top:11216;width:25119;height:3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" fillcolor="#dce6f2" strokeweight=".5pt">
                  <v:textbox inset=".5mm,.5mm,.5mm,.5mm">
                    <w:txbxContent>
                      <w:p w14:paraId="65D87BF6" w14:textId="77777777" w:rsidR="00B76505" w:rsidRPr="00CA142A" w:rsidRDefault="00B76505" w:rsidP="00B76505">
                        <w:pPr>
                          <w:jc w:val="both"/>
                          <w:rPr>
                            <w:bCs/>
                            <w:spacing w:val="-4"/>
                            <w:sz w:val="22"/>
                            <w:szCs w:val="22"/>
                          </w:rPr>
                        </w:pPr>
                        <w:r w:rsidRPr="00CA142A">
                          <w:rPr>
                            <w:b/>
                            <w:spacing w:val="-4"/>
                            <w:sz w:val="22"/>
                            <w:szCs w:val="22"/>
                          </w:rPr>
                          <w:t xml:space="preserve">PD3: </w:t>
                        </w:r>
                        <w:r w:rsidRPr="00CA142A">
                          <w:rPr>
                            <w:bCs/>
                            <w:spacing w:val="-4"/>
                            <w:sz w:val="22"/>
                            <w:szCs w:val="22"/>
                          </w:rPr>
                          <w:t>Imbalanced commercial relations of indispensable MDMS platforms and transport operators</w:t>
                        </w:r>
                      </w:p>
                    </w:txbxContent>
                  </v:textbox>
                </v:shape>
                <v:shape id="Text Box 1" o:spid="_x0000_s1054" type="#_x0000_t202" style="position:absolute;left:29470;top:5821;width:18108;height: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" fillcolor="#f2dcdb" strokeweight=".5pt">
                  <v:textbox inset=".5mm,.5mm,.5mm,.5mm">
                    <w:txbxContent>
                      <w:p w14:paraId="6D15A56A" w14:textId="09B2A367" w:rsidR="00B76505" w:rsidRPr="00CA142A" w:rsidRDefault="00B76505" w:rsidP="00B76505">
                        <w:pPr>
                          <w:jc w:val="both"/>
                          <w:rPr>
                            <w:bCs/>
                            <w:sz w:val="22"/>
                            <w:szCs w:val="22"/>
                          </w:rPr>
                        </w:pPr>
                        <w:r w:rsidRPr="00262CD4">
                          <w:rPr>
                            <w:b/>
                            <w:spacing w:val="-4"/>
                            <w:sz w:val="22"/>
                            <w:szCs w:val="22"/>
                          </w:rPr>
                          <w:t>SO</w:t>
                        </w:r>
                        <w:r w:rsidRPr="00CA142A">
                          <w:rPr>
                            <w:b/>
                            <w:spacing w:val="-4"/>
                            <w:sz w:val="22"/>
                            <w:szCs w:val="22"/>
                          </w:rPr>
                          <w:t>1</w:t>
                        </w:r>
                        <w:r w:rsidRPr="00262CD4">
                          <w:rPr>
                            <w:b/>
                            <w:spacing w:val="-4"/>
                            <w:sz w:val="22"/>
                            <w:szCs w:val="22"/>
                          </w:rPr>
                          <w:t>:</w:t>
                        </w:r>
                        <w:r w:rsidRPr="00262CD4">
                          <w:rPr>
                            <w:bCs/>
                            <w:spacing w:val="-4"/>
                            <w:sz w:val="22"/>
                            <w:szCs w:val="22"/>
                          </w:rPr>
                          <w:t xml:space="preserve"> Improve transparency </w:t>
                        </w:r>
                        <w:r w:rsidRPr="00CA142A">
                          <w:rPr>
                            <w:bCs/>
                            <w:spacing w:val="-4"/>
                            <w:sz w:val="22"/>
                            <w:szCs w:val="22"/>
                          </w:rPr>
                          <w:t>and establish a level playing field for transport operators in terms of access and use of indispensable MDMS</w:t>
                        </w:r>
                      </w:p>
                    </w:txbxContent>
                  </v:textbox>
                </v:shape>
                <v:shape id="Straight Arrow Connector 5" o:spid="_x0000_s1055" type="#_x0000_t32" style="position:absolute;left:24950;top:4678;width:4520;height:42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" strokecolor="#4a7ebb">
                  <v:stroke endarrow="block" endarrowwidth="narrow"/>
                </v:shape>
                <v:shape id="Text Box 1" o:spid="_x0000_s1056" type="#_x0000_t202" style="position:absolute;left:-107;top:15467;width:25119;height:4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" fillcolor="#dce6f2" strokeweight=".5pt">
                  <v:textbox inset=".5mm,.5mm,.5mm,.5mm">
                    <w:txbxContent>
                      <w:p w14:paraId="76B784D4" w14:textId="70E1B569" w:rsidR="00B76505" w:rsidRPr="00CA142A" w:rsidRDefault="00B76505" w:rsidP="00B76505">
                        <w:pPr>
                          <w:jc w:val="both"/>
                          <w:rPr>
                            <w:bCs/>
                            <w:spacing w:val="-4"/>
                            <w:sz w:val="22"/>
                            <w:szCs w:val="22"/>
                          </w:rPr>
                        </w:pPr>
                        <w:r w:rsidRPr="00CA142A">
                          <w:rPr>
                            <w:b/>
                            <w:spacing w:val="-4"/>
                            <w:sz w:val="22"/>
                            <w:szCs w:val="22"/>
                          </w:rPr>
                          <w:t xml:space="preserve">PD4: </w:t>
                        </w:r>
                        <w:r w:rsidRPr="00CA142A">
                          <w:rPr>
                            <w:bCs/>
                            <w:spacing w:val="-4"/>
                            <w:sz w:val="22"/>
                            <w:szCs w:val="22"/>
                          </w:rPr>
                          <w:t xml:space="preserve">Vertical integration of railway undertakings and rail ticketing platforms </w:t>
                        </w:r>
                        <w:r w:rsidR="00F60B6B" w:rsidRPr="00EA39A0">
                          <w:rPr>
                            <w:spacing w:val="-4"/>
                          </w:rPr>
                          <w:t>hinders wide</w:t>
                        </w:r>
                        <w:r w:rsidR="004F65B9" w:rsidRPr="00EA39A0">
                          <w:rPr>
                            <w:spacing w:val="-4"/>
                          </w:rPr>
                          <w:t>r</w:t>
                        </w:r>
                        <w:r w:rsidR="00F60B6B" w:rsidRPr="00EA39A0">
                          <w:rPr>
                            <w:spacing w:val="-4"/>
                          </w:rPr>
                          <w:t xml:space="preserve"> </w:t>
                        </w:r>
                        <w:r w:rsidR="00F60B6B" w:rsidRPr="00CA142A">
                          <w:rPr>
                            <w:spacing w:val="-4"/>
                            <w:sz w:val="22"/>
                            <w:szCs w:val="22"/>
                          </w:rPr>
                          <w:t>ticket distribution</w:t>
                        </w:r>
                      </w:p>
                    </w:txbxContent>
                  </v:textbox>
                </v:shape>
                <v:shape id="Text Box 1" o:spid="_x0000_s1057" type="#_x0000_t202" style="position:absolute;left:-174;top:6972;width:25119;height:39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" fillcolor="#dce6f2" strokeweight=".5pt">
                  <v:textbox inset=".5mm,.5mm,.5mm,.5mm">
                    <w:txbxContent>
                      <w:p w14:paraId="796FB29F" w14:textId="77777777" w:rsidR="00B76505" w:rsidRPr="00CA142A" w:rsidRDefault="00B76505" w:rsidP="00B76505">
                        <w:pPr>
                          <w:rPr>
                            <w:sz w:val="22"/>
                            <w:szCs w:val="22"/>
                          </w:rPr>
                        </w:pPr>
                        <w:r w:rsidRPr="00CA142A">
                          <w:rPr>
                            <w:b/>
                            <w:spacing w:val="-4"/>
                            <w:sz w:val="22"/>
                            <w:szCs w:val="22"/>
                          </w:rPr>
                          <w:t>PD2</w:t>
                        </w:r>
                        <w:r w:rsidRPr="00CA142A">
                          <w:rPr>
                            <w:spacing w:val="-4"/>
                            <w:sz w:val="22"/>
                            <w:szCs w:val="22"/>
                          </w:rPr>
                          <w:t xml:space="preserve">: Commercial incentives of MDMS platforms to promote </w:t>
                        </w:r>
                        <w:r w:rsidRPr="00CA142A">
                          <w:rPr>
                            <w:sz w:val="22"/>
                            <w:szCs w:val="22"/>
                          </w:rPr>
                          <w:t>ce</w:t>
                        </w:r>
                        <w:r w:rsidRPr="00CA142A">
                          <w:rPr>
                            <w:spacing w:val="-4"/>
                            <w:sz w:val="22"/>
                            <w:szCs w:val="22"/>
                          </w:rPr>
                          <w:t>rtain operators or products</w:t>
                        </w:r>
                      </w:p>
                    </w:txbxContent>
                  </v:textbox>
                </v:shape>
                <v:shape id="Text Box 1" o:spid="_x0000_s1058" type="#_x0000_t202" style="position:absolute;left:29468;top:14691;width:18108;height:4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" fillcolor="#f2dcdb" strokeweight=".5pt">
                  <v:textbox inset=".5mm,.5mm,.5mm,.5mm">
                    <w:txbxContent>
                      <w:p w14:paraId="4D247679" w14:textId="77777777" w:rsidR="00B76505" w:rsidRPr="00CA142A" w:rsidRDefault="00B76505" w:rsidP="00B76505">
                        <w:pPr>
                          <w:rPr>
                            <w:spacing w:val="-4"/>
                            <w:sz w:val="22"/>
                            <w:szCs w:val="22"/>
                          </w:rPr>
                        </w:pPr>
                        <w:r w:rsidRPr="00CA142A">
                          <w:rPr>
                            <w:b/>
                            <w:spacing w:val="-4"/>
                            <w:sz w:val="22"/>
                            <w:szCs w:val="22"/>
                          </w:rPr>
                          <w:t>SO2:</w:t>
                        </w:r>
                        <w:r w:rsidRPr="00CA142A">
                          <w:rPr>
                            <w:spacing w:val="-4"/>
                            <w:sz w:val="22"/>
                            <w:szCs w:val="22"/>
                          </w:rPr>
                          <w:t xml:space="preserve"> Improve completeness of rail offer on MDMS platforms, including indispensable RU platforms</w:t>
                        </w:r>
                      </w:p>
                    </w:txbxContent>
                  </v:textbox>
                </v:shape>
                <v:shape id="Straight Arrow Connector 5" o:spid="_x0000_s1059" type="#_x0000_t32" style="position:absolute;left:24945;top:8922;width:4525;height: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" strokecolor="#4a7ebb">
                  <v:stroke endarrow="block" endarrowwidth="narrow"/>
                </v:shape>
                <v:shape id="Text Box 1" o:spid="_x0000_s1060" type="#_x0000_t202" style="position:absolute;left:50352;width:17705;height:1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" fillcolor="#ebf1de" strokeweight=".5pt">
                  <v:textbox inset=".5mm,.5mm,.5mm,.5mm">
                    <w:txbxContent>
                      <w:p w14:paraId="1345519D" w14:textId="33BB15BB" w:rsidR="00B76505" w:rsidRPr="00CA142A" w:rsidRDefault="00B76505" w:rsidP="00B76505">
                        <w:pPr>
                          <w:jc w:val="center"/>
                          <w:rPr>
                            <w:b/>
                            <w:spacing w:val="-4"/>
                            <w:sz w:val="22"/>
                            <w:szCs w:val="22"/>
                          </w:rPr>
                        </w:pPr>
                        <w:r w:rsidRPr="00262CD4">
                          <w:rPr>
                            <w:b/>
                            <w:spacing w:val="-4"/>
                            <w:sz w:val="22"/>
                            <w:szCs w:val="22"/>
                          </w:rPr>
                          <w:t>General Objectives (GO)</w:t>
                        </w:r>
                      </w:p>
                    </w:txbxContent>
                  </v:textbox>
                </v:shape>
                <v:shape id="Text Box 1" o:spid="_x0000_s1061" type="#_x0000_t202" style="position:absolute;left:50346;top:2723;width:17706;height:8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" fillcolor="#ebf1de" strokeweight=".5pt">
                  <v:textbox inset=".5mm,.5mm,.5mm,.5mm">
                    <w:txbxContent>
                      <w:p w14:paraId="18A5B5A8" w14:textId="354F9CE2" w:rsidR="00B76505" w:rsidRPr="00CA142A" w:rsidRDefault="00B76505" w:rsidP="00B76505">
                        <w:pPr>
                          <w:jc w:val="both"/>
                          <w:rPr>
                            <w:bCs/>
                            <w:sz w:val="22"/>
                            <w:szCs w:val="22"/>
                          </w:rPr>
                        </w:pPr>
                        <w:r w:rsidRPr="00262CD4">
                          <w:rPr>
                            <w:b/>
                            <w:spacing w:val="-4"/>
                            <w:sz w:val="22"/>
                            <w:szCs w:val="22"/>
                          </w:rPr>
                          <w:t>GO1:</w:t>
                        </w:r>
                        <w:r w:rsidRPr="00262CD4">
                          <w:rPr>
                            <w:bCs/>
                            <w:spacing w:val="-4"/>
                            <w:sz w:val="22"/>
                            <w:szCs w:val="22"/>
                          </w:rPr>
                          <w:t xml:space="preserve"> Promote rail single ticketing for multi-operator journeys and thereby enhance attractiveness of rail to increase sustainability of the transport system and support modal shift</w:t>
                        </w:r>
                      </w:p>
                    </w:txbxContent>
                  </v:textbox>
                </v:shape>
                <v:shape id="Text Box 1" o:spid="_x0000_s1062" type="#_x0000_t202" style="position:absolute;left:50334;top:12366;width:17706;height:7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" fillcolor="#ebf1de" strokeweight=".5pt">
                  <v:textbox inset=".5mm,.5mm,.5mm,.5mm">
                    <w:txbxContent>
                      <w:p w14:paraId="545A38D4" w14:textId="37FC4DCF" w:rsidR="00B76505" w:rsidRPr="00CA142A" w:rsidRDefault="00B76505" w:rsidP="00B76505">
                        <w:pPr>
                          <w:jc w:val="both"/>
                          <w:rPr>
                            <w:bCs/>
                            <w:spacing w:val="-4"/>
                            <w:sz w:val="22"/>
                            <w:szCs w:val="22"/>
                          </w:rPr>
                        </w:pPr>
                        <w:r w:rsidRPr="00262CD4">
                          <w:rPr>
                            <w:b/>
                            <w:spacing w:val="-4"/>
                            <w:sz w:val="22"/>
                            <w:szCs w:val="22"/>
                          </w:rPr>
                          <w:t>GO2:</w:t>
                        </w:r>
                        <w:r w:rsidRPr="00262CD4">
                          <w:rPr>
                            <w:bCs/>
                            <w:spacing w:val="-4"/>
                            <w:sz w:val="22"/>
                            <w:szCs w:val="22"/>
                          </w:rPr>
                          <w:t xml:space="preserve"> Better functioning of the online ticket distribution market, contributing to the competitiveness and functioning of the transport services market</w:t>
                        </w:r>
                      </w:p>
                    </w:txbxContent>
                  </v:textbox>
                </v:shape>
                <v:shape id="Straight Arrow Connector 5" o:spid="_x0000_s1063" type="#_x0000_t32" style="position:absolute;left:24945;top:8922;width:4525;height:42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" strokecolor="#4a7ebb">
                  <v:stroke endarrow="block" endarrowwidth="narrow"/>
                </v:shape>
                <w10:anchorlock/>
              </v:group>
            </w:pict>
          </mc:Fallback>
        </mc:AlternateContent>
      </w:r>
    </w:p>
    <w:p w14:paraId="646BE586" w14:textId="77777777" w:rsidR="0056307C" w:rsidRPr="0021644B" w:rsidRDefault="0056307C" w:rsidP="0056307C">
      <w:pPr>
        <w:spacing w:after="240"/>
        <w:jc w:val="both"/>
        <w:rPr>
          <w:noProof/>
          <w:spacing w:val="-8"/>
        </w:rPr>
      </w:pPr>
      <w:r w:rsidRPr="00AE34D8">
        <w:rPr>
          <w:b/>
          <w:i/>
          <w:noProof/>
          <w:spacing w:val="-8"/>
        </w:rPr>
        <w:t xml:space="preserve">SO1: </w:t>
      </w:r>
      <w:r w:rsidRPr="00571695">
        <w:rPr>
          <w:b/>
          <w:bCs/>
          <w:i/>
          <w:noProof/>
          <w:spacing w:val="-8"/>
        </w:rPr>
        <w:t>Improve transparency and establish a level playing field for transport operators in terms of access and use of indispensable MDMS</w:t>
      </w:r>
      <w:r w:rsidRPr="00AE34D8">
        <w:rPr>
          <w:b/>
          <w:i/>
          <w:noProof/>
          <w:spacing w:val="-8"/>
        </w:rPr>
        <w:t xml:space="preserve">. </w:t>
      </w:r>
      <w:r w:rsidRPr="00A85769">
        <w:rPr>
          <w:noProof/>
          <w:spacing w:val="-8"/>
        </w:rPr>
        <w:t>This specific objective links to problem drivers 1</w:t>
      </w:r>
      <w:r>
        <w:rPr>
          <w:noProof/>
          <w:spacing w:val="-8"/>
        </w:rPr>
        <w:t xml:space="preserve">, </w:t>
      </w:r>
      <w:r w:rsidRPr="00A85769">
        <w:rPr>
          <w:noProof/>
          <w:spacing w:val="-8"/>
        </w:rPr>
        <w:t xml:space="preserve">2 and </w:t>
      </w:r>
      <w:r>
        <w:rPr>
          <w:noProof/>
          <w:spacing w:val="-8"/>
        </w:rPr>
        <w:t>3</w:t>
      </w:r>
      <w:r w:rsidRPr="00A85769">
        <w:rPr>
          <w:noProof/>
          <w:spacing w:val="-8"/>
        </w:rPr>
        <w:t>. This initiative aims to ensure that indispensable MDMS</w:t>
      </w:r>
      <w:r>
        <w:rPr>
          <w:noProof/>
          <w:spacing w:val="-8"/>
        </w:rPr>
        <w:t>, which serve as key gateways for ticket sale,</w:t>
      </w:r>
      <w:r w:rsidRPr="00A85769">
        <w:rPr>
          <w:noProof/>
          <w:spacing w:val="-8"/>
        </w:rPr>
        <w:t xml:space="preserve"> do not</w:t>
      </w:r>
      <w:r>
        <w:rPr>
          <w:noProof/>
          <w:spacing w:val="-8"/>
        </w:rPr>
        <w:t xml:space="preserve"> create</w:t>
      </w:r>
      <w:r w:rsidRPr="00A85769">
        <w:rPr>
          <w:noProof/>
          <w:spacing w:val="-8"/>
        </w:rPr>
        <w:t xml:space="preserve"> </w:t>
      </w:r>
      <w:r>
        <w:rPr>
          <w:noProof/>
          <w:spacing w:val="-8"/>
        </w:rPr>
        <w:t xml:space="preserve">bias or </w:t>
      </w:r>
      <w:r w:rsidRPr="00A85769">
        <w:rPr>
          <w:noProof/>
          <w:spacing w:val="-8"/>
        </w:rPr>
        <w:t xml:space="preserve">restrict access to transport operators </w:t>
      </w:r>
      <w:r>
        <w:rPr>
          <w:noProof/>
          <w:spacing w:val="-8"/>
        </w:rPr>
        <w:t>(in all modes)</w:t>
      </w:r>
      <w:r w:rsidRPr="00A85769">
        <w:rPr>
          <w:noProof/>
          <w:spacing w:val="-8"/>
        </w:rPr>
        <w:t xml:space="preserve"> by imposing unfair conditions. I</w:t>
      </w:r>
      <w:r>
        <w:rPr>
          <w:noProof/>
          <w:spacing w:val="-8"/>
        </w:rPr>
        <w:t xml:space="preserve">n doing so, it </w:t>
      </w:r>
      <w:r w:rsidRPr="00A85769">
        <w:rPr>
          <w:noProof/>
          <w:spacing w:val="-8"/>
        </w:rPr>
        <w:t xml:space="preserve">seeks to create a level playing field where </w:t>
      </w:r>
      <w:r w:rsidRPr="00D23F8F">
        <w:rPr>
          <w:noProof/>
          <w:spacing w:val="-8"/>
        </w:rPr>
        <w:t xml:space="preserve">transport </w:t>
      </w:r>
      <w:r w:rsidRPr="00A85769">
        <w:rPr>
          <w:noProof/>
          <w:spacing w:val="-8"/>
        </w:rPr>
        <w:t xml:space="preserve">operators can compete fairly in the national, EU and international markets. Moreover, the objective is </w:t>
      </w:r>
      <w:r>
        <w:rPr>
          <w:noProof/>
          <w:spacing w:val="-8"/>
        </w:rPr>
        <w:t xml:space="preserve">for MDMS platforms </w:t>
      </w:r>
      <w:r w:rsidRPr="00350050">
        <w:rPr>
          <w:noProof/>
          <w:spacing w:val="-8"/>
        </w:rPr>
        <w:t>to offer clear, accurate, and unbiased information on available routes, fares, and ticketing conditions across the EU</w:t>
      </w:r>
      <w:r>
        <w:rPr>
          <w:noProof/>
          <w:spacing w:val="-8"/>
        </w:rPr>
        <w:t>,</w:t>
      </w:r>
      <w:r w:rsidRPr="00350050">
        <w:rPr>
          <w:noProof/>
          <w:spacing w:val="-8"/>
        </w:rPr>
        <w:t xml:space="preserve"> </w:t>
      </w:r>
      <w:r w:rsidRPr="00A85769">
        <w:rPr>
          <w:noProof/>
          <w:spacing w:val="-8"/>
        </w:rPr>
        <w:t>enabl</w:t>
      </w:r>
      <w:r>
        <w:rPr>
          <w:noProof/>
          <w:spacing w:val="-8"/>
        </w:rPr>
        <w:t>ing</w:t>
      </w:r>
      <w:r w:rsidRPr="00A85769">
        <w:rPr>
          <w:noProof/>
          <w:spacing w:val="-8"/>
        </w:rPr>
        <w:t xml:space="preserve"> end-users to easily find and compare various travel options when planning and booking multimodal or multi-operator journeys</w:t>
      </w:r>
      <w:r w:rsidRPr="003B7759">
        <w:rPr>
          <w:noProof/>
          <w:spacing w:val="-8"/>
        </w:rPr>
        <w:t xml:space="preserve">. </w:t>
      </w:r>
      <w:r w:rsidRPr="00A85769">
        <w:rPr>
          <w:noProof/>
          <w:spacing w:val="-8"/>
        </w:rPr>
        <w:t>This objective is aligned with the SSMS goals to improve the competitiveness of the EU transport sector and on “making connected and automated multimodal mobility a reality”.</w:t>
      </w:r>
      <w:r w:rsidRPr="00D23F8F">
        <w:rPr>
          <w:noProof/>
          <w:color w:val="265898" w:themeColor="text2" w:themeTint="E6"/>
          <w:spacing w:val="-8"/>
        </w:rPr>
        <w:t xml:space="preserve"> </w:t>
      </w:r>
      <w:r w:rsidRPr="00635E9B">
        <w:rPr>
          <w:noProof/>
          <w:spacing w:val="-8"/>
        </w:rPr>
        <w:t>Success will be defined by</w:t>
      </w:r>
      <w:r w:rsidDel="008B7149">
        <w:rPr>
          <w:noProof/>
          <w:spacing w:val="-8"/>
        </w:rPr>
        <w:t xml:space="preserve"> </w:t>
      </w:r>
      <w:r>
        <w:rPr>
          <w:noProof/>
          <w:spacing w:val="-8"/>
        </w:rPr>
        <w:t xml:space="preserve">a measurable increase in number of agreements between transport operators and MDMS platforms </w:t>
      </w:r>
      <w:r w:rsidRPr="00690FFE">
        <w:rPr>
          <w:noProof/>
          <w:spacing w:val="-8"/>
        </w:rPr>
        <w:t>indicating a better functioning of the distribution markets (B2B and B2C)</w:t>
      </w:r>
      <w:r>
        <w:rPr>
          <w:noProof/>
          <w:spacing w:val="-8"/>
        </w:rPr>
        <w:t>. Moreover, success will also be defined as a decrease of the</w:t>
      </w:r>
      <w:r w:rsidRPr="00690FFE">
        <w:rPr>
          <w:noProof/>
          <w:spacing w:val="-8"/>
        </w:rPr>
        <w:t xml:space="preserve"> average expenditure per person for interurban mobility, </w:t>
      </w:r>
      <w:r>
        <w:rPr>
          <w:noProof/>
          <w:spacing w:val="-8"/>
        </w:rPr>
        <w:t>due to an</w:t>
      </w:r>
      <w:r w:rsidRPr="00690FFE">
        <w:rPr>
          <w:noProof/>
          <w:spacing w:val="-8"/>
        </w:rPr>
        <w:t xml:space="preserve"> increase in competition resulting from better access and use of indispensable MDMS for transport operators</w:t>
      </w:r>
      <w:r>
        <w:rPr>
          <w:noProof/>
          <w:spacing w:val="-8"/>
        </w:rPr>
        <w:t>.</w:t>
      </w:r>
    </w:p>
    <w:p w14:paraId="41D4CEA8" w14:textId="02166AB1" w:rsidR="00826604" w:rsidRPr="005D2D60" w:rsidRDefault="003B7759" w:rsidP="00826604">
      <w:pPr>
        <w:pStyle w:val="BodyText"/>
        <w:spacing w:after="240"/>
        <w:ind w:left="0"/>
        <w:rPr>
          <w:noProof/>
          <w:spacing w:val="-8"/>
        </w:rPr>
      </w:pPr>
      <w:r w:rsidRPr="003B7759">
        <w:rPr>
          <w:b/>
          <w:i/>
          <w:noProof/>
          <w:spacing w:val="-8"/>
        </w:rPr>
        <w:t xml:space="preserve">SO2: </w:t>
      </w:r>
      <w:r w:rsidRPr="005D2D60">
        <w:rPr>
          <w:b/>
          <w:i/>
          <w:noProof/>
          <w:spacing w:val="-8"/>
        </w:rPr>
        <w:t xml:space="preserve">Improve completeness </w:t>
      </w:r>
      <w:r w:rsidR="005953B0" w:rsidRPr="005D2D60">
        <w:rPr>
          <w:b/>
          <w:i/>
          <w:noProof/>
          <w:spacing w:val="-8"/>
        </w:rPr>
        <w:t>of rail offer on MDMS platforms, including indispensable RU platforms</w:t>
      </w:r>
      <w:r w:rsidRPr="003B7759">
        <w:rPr>
          <w:b/>
          <w:noProof/>
          <w:spacing w:val="-8"/>
        </w:rPr>
        <w:t xml:space="preserve">. </w:t>
      </w:r>
      <w:r w:rsidRPr="003B7759">
        <w:rPr>
          <w:noProof/>
          <w:spacing w:val="-8"/>
        </w:rPr>
        <w:t xml:space="preserve">This specific objective links to problem driver </w:t>
      </w:r>
      <w:r w:rsidR="005953B0">
        <w:rPr>
          <w:noProof/>
          <w:spacing w:val="-8"/>
        </w:rPr>
        <w:t>4</w:t>
      </w:r>
      <w:r w:rsidRPr="003B7759">
        <w:rPr>
          <w:noProof/>
          <w:spacing w:val="-8"/>
        </w:rPr>
        <w:t xml:space="preserve">. </w:t>
      </w:r>
      <w:r w:rsidR="001873F3">
        <w:rPr>
          <w:noProof/>
          <w:spacing w:val="-8"/>
        </w:rPr>
        <w:t xml:space="preserve">This initiative aims to ensure that rail offers </w:t>
      </w:r>
      <w:r w:rsidR="00E147A4">
        <w:rPr>
          <w:noProof/>
          <w:spacing w:val="-8"/>
        </w:rPr>
        <w:t>are fully and fairly displayed on MDMS platforms</w:t>
      </w:r>
      <w:r w:rsidR="007C1A9E">
        <w:rPr>
          <w:noProof/>
          <w:spacing w:val="-8"/>
        </w:rPr>
        <w:t xml:space="preserve">, including </w:t>
      </w:r>
      <w:r w:rsidR="681A64E6">
        <w:rPr>
          <w:noProof/>
        </w:rPr>
        <w:t xml:space="preserve">on </w:t>
      </w:r>
      <w:r w:rsidR="007C1A9E">
        <w:rPr>
          <w:noProof/>
          <w:spacing w:val="-8"/>
        </w:rPr>
        <w:t>indispensable RU platforms.</w:t>
      </w:r>
      <w:r w:rsidR="001873F3">
        <w:rPr>
          <w:noProof/>
          <w:spacing w:val="-8"/>
        </w:rPr>
        <w:t xml:space="preserve"> </w:t>
      </w:r>
      <w:r w:rsidR="00037DBA">
        <w:rPr>
          <w:noProof/>
          <w:spacing w:val="-8"/>
        </w:rPr>
        <w:t xml:space="preserve">To achieve </w:t>
      </w:r>
      <w:r w:rsidR="0005203F">
        <w:rPr>
          <w:noProof/>
          <w:spacing w:val="-8"/>
        </w:rPr>
        <w:t>that, it</w:t>
      </w:r>
      <w:r w:rsidR="00D9506E">
        <w:rPr>
          <w:noProof/>
          <w:spacing w:val="-8"/>
        </w:rPr>
        <w:t xml:space="preserve"> aims to </w:t>
      </w:r>
      <w:r w:rsidR="00A0357F">
        <w:rPr>
          <w:noProof/>
          <w:spacing w:val="-8"/>
        </w:rPr>
        <w:t>remove practices</w:t>
      </w:r>
      <w:r w:rsidR="00F84367">
        <w:rPr>
          <w:noProof/>
          <w:spacing w:val="-8"/>
        </w:rPr>
        <w:t xml:space="preserve"> where indispensable RU platforms exclude, deprioritise or apply discriminatory</w:t>
      </w:r>
      <w:r w:rsidR="00D9506E">
        <w:rPr>
          <w:noProof/>
          <w:spacing w:val="-8"/>
        </w:rPr>
        <w:t xml:space="preserve"> </w:t>
      </w:r>
      <w:r w:rsidR="00577F49">
        <w:rPr>
          <w:noProof/>
          <w:spacing w:val="-8"/>
        </w:rPr>
        <w:t>conditions to rail services</w:t>
      </w:r>
      <w:r w:rsidR="00AF34BA">
        <w:rPr>
          <w:noProof/>
          <w:spacing w:val="-8"/>
        </w:rPr>
        <w:t xml:space="preserve"> not operated by the RU that owns them</w:t>
      </w:r>
      <w:r w:rsidR="00577F49">
        <w:rPr>
          <w:noProof/>
          <w:spacing w:val="-8"/>
        </w:rPr>
        <w:t xml:space="preserve">, even when such alternatives may offer better prices, faster connections, or greater convenience for passengers. By </w:t>
      </w:r>
      <w:r w:rsidR="006B495A">
        <w:rPr>
          <w:noProof/>
          <w:spacing w:val="-8"/>
        </w:rPr>
        <w:t xml:space="preserve">doing so, </w:t>
      </w:r>
      <w:r w:rsidR="004B421E">
        <w:rPr>
          <w:noProof/>
          <w:spacing w:val="-8"/>
        </w:rPr>
        <w:t>the in</w:t>
      </w:r>
      <w:r w:rsidR="00EB16C5">
        <w:rPr>
          <w:noProof/>
          <w:spacing w:val="-8"/>
        </w:rPr>
        <w:t>i</w:t>
      </w:r>
      <w:r w:rsidR="004B421E">
        <w:rPr>
          <w:noProof/>
          <w:spacing w:val="-8"/>
        </w:rPr>
        <w:t>tiative intends to remove market distortion</w:t>
      </w:r>
      <w:r w:rsidR="00C41B56">
        <w:rPr>
          <w:noProof/>
          <w:spacing w:val="-8"/>
        </w:rPr>
        <w:t xml:space="preserve"> and</w:t>
      </w:r>
      <w:r w:rsidR="004B421E">
        <w:rPr>
          <w:noProof/>
          <w:spacing w:val="-8"/>
        </w:rPr>
        <w:t xml:space="preserve"> enhance fair competition</w:t>
      </w:r>
      <w:r w:rsidR="001E5165">
        <w:rPr>
          <w:noProof/>
          <w:spacing w:val="-8"/>
        </w:rPr>
        <w:t xml:space="preserve"> in the rail</w:t>
      </w:r>
      <w:r w:rsidR="3A4A56E1">
        <w:rPr>
          <w:noProof/>
        </w:rPr>
        <w:t>way</w:t>
      </w:r>
      <w:r w:rsidR="001E5165">
        <w:rPr>
          <w:noProof/>
          <w:spacing w:val="-8"/>
        </w:rPr>
        <w:t xml:space="preserve"> service</w:t>
      </w:r>
      <w:r w:rsidR="5EDA7F7B">
        <w:rPr>
          <w:noProof/>
        </w:rPr>
        <w:t>s</w:t>
      </w:r>
      <w:r w:rsidR="001E5165">
        <w:rPr>
          <w:noProof/>
          <w:spacing w:val="-8"/>
        </w:rPr>
        <w:t xml:space="preserve"> market</w:t>
      </w:r>
      <w:r w:rsidR="003F42C1">
        <w:rPr>
          <w:noProof/>
          <w:spacing w:val="-8"/>
        </w:rPr>
        <w:t xml:space="preserve"> and </w:t>
      </w:r>
      <w:r w:rsidR="00C41B56">
        <w:rPr>
          <w:noProof/>
          <w:spacing w:val="-8"/>
        </w:rPr>
        <w:t>thereby facilitating seamless access to multi-operator and cross-border rail jou</w:t>
      </w:r>
      <w:r w:rsidR="005E5A7E">
        <w:rPr>
          <w:noProof/>
          <w:spacing w:val="-8"/>
        </w:rPr>
        <w:t xml:space="preserve">rney options for end-users. </w:t>
      </w:r>
      <w:r w:rsidR="000A0924">
        <w:rPr>
          <w:noProof/>
          <w:spacing w:val="-8"/>
        </w:rPr>
        <w:t>The initiative also a</w:t>
      </w:r>
      <w:r w:rsidR="00D53DB0">
        <w:rPr>
          <w:noProof/>
          <w:spacing w:val="-8"/>
        </w:rPr>
        <w:t xml:space="preserve">ims to ensure RU </w:t>
      </w:r>
      <w:r w:rsidR="005A4E06">
        <w:rPr>
          <w:noProof/>
          <w:spacing w:val="-8"/>
        </w:rPr>
        <w:t xml:space="preserve">do not withhold their </w:t>
      </w:r>
      <w:r w:rsidR="00B73D3C">
        <w:rPr>
          <w:noProof/>
          <w:spacing w:val="-8"/>
        </w:rPr>
        <w:t>offer from MDMS platforms</w:t>
      </w:r>
      <w:r w:rsidR="00E15A62">
        <w:rPr>
          <w:noProof/>
          <w:spacing w:val="-8"/>
        </w:rPr>
        <w:t xml:space="preserve"> to maintain the dominant position of their in-house ticket distribution </w:t>
      </w:r>
      <w:r w:rsidR="00B75914">
        <w:rPr>
          <w:noProof/>
          <w:spacing w:val="-8"/>
        </w:rPr>
        <w:t>platform</w:t>
      </w:r>
      <w:r w:rsidR="00262516">
        <w:rPr>
          <w:noProof/>
          <w:spacing w:val="-8"/>
        </w:rPr>
        <w:t>.</w:t>
      </w:r>
      <w:r w:rsidR="00B75914">
        <w:rPr>
          <w:noProof/>
          <w:spacing w:val="-8"/>
        </w:rPr>
        <w:t xml:space="preserve"> </w:t>
      </w:r>
      <w:r w:rsidR="005E5A7E" w:rsidRPr="005D2D60">
        <w:rPr>
          <w:noProof/>
          <w:spacing w:val="-8"/>
        </w:rPr>
        <w:t>Success will be defined by</w:t>
      </w:r>
      <w:r w:rsidR="005E5A7E" w:rsidRPr="005D2D60" w:rsidDel="008B7149">
        <w:rPr>
          <w:noProof/>
          <w:spacing w:val="-8"/>
        </w:rPr>
        <w:t xml:space="preserve"> </w:t>
      </w:r>
      <w:r w:rsidR="005E5A7E" w:rsidRPr="005D2D60">
        <w:rPr>
          <w:noProof/>
          <w:spacing w:val="-8"/>
        </w:rPr>
        <w:t xml:space="preserve">a measurable increase in the </w:t>
      </w:r>
      <w:r w:rsidR="00E83151" w:rsidRPr="00E83151">
        <w:rPr>
          <w:noProof/>
          <w:spacing w:val="-8"/>
        </w:rPr>
        <w:t>transport activity by rail due to better visibility and access to these services</w:t>
      </w:r>
      <w:r w:rsidR="008B2E49">
        <w:rPr>
          <w:noProof/>
          <w:spacing w:val="-8"/>
        </w:rPr>
        <w:t>. This is</w:t>
      </w:r>
      <w:r w:rsidR="00184456">
        <w:rPr>
          <w:noProof/>
          <w:spacing w:val="-8"/>
        </w:rPr>
        <w:t xml:space="preserve"> a meaningful indicator</w:t>
      </w:r>
      <w:r w:rsidR="00184456" w:rsidRPr="00C56906">
        <w:rPr>
          <w:noProof/>
          <w:spacing w:val="-8"/>
        </w:rPr>
        <w:t xml:space="preserve"> of passengers’ ability to find, compare, and purchase </w:t>
      </w:r>
      <w:r w:rsidR="00184456">
        <w:rPr>
          <w:noProof/>
          <w:spacing w:val="-8"/>
        </w:rPr>
        <w:t xml:space="preserve">rail </w:t>
      </w:r>
      <w:r w:rsidR="00184456" w:rsidRPr="00C56906">
        <w:rPr>
          <w:noProof/>
          <w:spacing w:val="-8"/>
        </w:rPr>
        <w:t>tickets</w:t>
      </w:r>
      <w:r w:rsidR="00C83748">
        <w:rPr>
          <w:noProof/>
          <w:spacing w:val="-8"/>
        </w:rPr>
        <w:t xml:space="preserve">. </w:t>
      </w:r>
    </w:p>
    <w:p w14:paraId="0B4870FC" w14:textId="77777777" w:rsidR="00712390" w:rsidRPr="00D71008" w:rsidRDefault="003C4819" w:rsidP="006E3FA1">
      <w:pPr>
        <w:pStyle w:val="Heading2"/>
        <w:keepNext/>
        <w:numPr>
          <w:ilvl w:val="0"/>
          <w:numId w:val="11"/>
        </w:numPr>
        <w:tabs>
          <w:tab w:val="left" w:pos="1134"/>
        </w:tabs>
        <w:spacing w:before="240" w:after="240"/>
        <w:ind w:left="425" w:hanging="425"/>
        <w:rPr>
          <w:smallCaps/>
          <w:noProof/>
          <w:spacing w:val="-2"/>
        </w:rPr>
      </w:pPr>
      <w:bookmarkStart w:id="88" w:name="5_What_are_the_available_policy_options?"/>
      <w:bookmarkStart w:id="89" w:name="_Toc223979957"/>
      <w:bookmarkEnd w:id="88"/>
      <w:r w:rsidRPr="00D71008">
        <w:rPr>
          <w:smallCaps/>
          <w:noProof/>
          <w:spacing w:val="-2"/>
        </w:rPr>
        <w:t>What are the available policy options?</w:t>
      </w:r>
      <w:bookmarkEnd w:id="89"/>
    </w:p>
    <w:p w14:paraId="5FF92137" w14:textId="77777777" w:rsidR="00712390" w:rsidRPr="00D71008" w:rsidRDefault="003C4819" w:rsidP="006E3FA1">
      <w:pPr>
        <w:pStyle w:val="Heading2"/>
        <w:keepNext/>
        <w:numPr>
          <w:ilvl w:val="1"/>
          <w:numId w:val="11"/>
        </w:numPr>
        <w:tabs>
          <w:tab w:val="left" w:pos="709"/>
        </w:tabs>
        <w:spacing w:before="240" w:after="240"/>
        <w:ind w:left="1134" w:hanging="708"/>
        <w:rPr>
          <w:noProof/>
        </w:rPr>
      </w:pPr>
      <w:bookmarkStart w:id="90" w:name="5.1_What_is_the_baseline_from_which_opti"/>
      <w:bookmarkStart w:id="91" w:name="_Toc220667493"/>
      <w:bookmarkStart w:id="92" w:name="_Toc223979958"/>
      <w:bookmarkEnd w:id="90"/>
      <w:r w:rsidRPr="00D71008">
        <w:rPr>
          <w:noProof/>
        </w:rPr>
        <w:t>What is the baseline from which options are assessed?</w:t>
      </w:r>
      <w:bookmarkEnd w:id="91"/>
      <w:bookmarkEnd w:id="92"/>
    </w:p>
    <w:p w14:paraId="3623893B" w14:textId="44DC3822" w:rsidR="009745A8" w:rsidRPr="004657BF" w:rsidRDefault="009745A8" w:rsidP="001F1DD7">
      <w:pPr>
        <w:spacing w:after="240"/>
        <w:jc w:val="both"/>
        <w:rPr>
          <w:rFonts w:eastAsia="Calibri"/>
          <w:noProof/>
          <w:color w:val="000000"/>
          <w:spacing w:val="-8"/>
        </w:rPr>
      </w:pPr>
      <w:r w:rsidRPr="004657BF">
        <w:rPr>
          <w:rFonts w:eastAsia="Calibri"/>
          <w:noProof/>
          <w:spacing w:val="-8"/>
        </w:rPr>
        <w:t>In line with the Better Regulation toolbox (Tool #60), the baseline has been designed to include the initiatives of the ‘Fit for 55’ package</w:t>
      </w:r>
      <w:r w:rsidRPr="004657BF">
        <w:rPr>
          <w:noProof/>
          <w:spacing w:val="-8"/>
          <w:vertAlign w:val="superscript"/>
        </w:rPr>
        <w:footnoteReference w:id="136"/>
      </w:r>
      <w:r w:rsidRPr="004657BF">
        <w:rPr>
          <w:rFonts w:eastAsia="Calibri"/>
          <w:noProof/>
          <w:spacing w:val="-8"/>
        </w:rPr>
        <w:t xml:space="preserve"> and the</w:t>
      </w:r>
      <w:r w:rsidRPr="004657BF" w:rsidDel="00F0163C">
        <w:rPr>
          <w:rFonts w:eastAsia="Calibri"/>
          <w:noProof/>
          <w:spacing w:val="-8"/>
        </w:rPr>
        <w:t xml:space="preserve"> </w:t>
      </w:r>
      <w:r w:rsidRPr="004657BF">
        <w:rPr>
          <w:rFonts w:eastAsia="Calibri"/>
          <w:noProof/>
          <w:spacing w:val="-8"/>
        </w:rPr>
        <w:t xml:space="preserve">amendment of the European Climate Law to include a </w:t>
      </w:r>
      <w:r w:rsidRPr="004657BF">
        <w:rPr>
          <w:rStyle w:val="eop"/>
          <w:noProof/>
          <w:color w:val="000000" w:themeColor="text1"/>
          <w:spacing w:val="-8"/>
        </w:rPr>
        <w:t>2040 climate target for the EU</w:t>
      </w:r>
      <w:r w:rsidRPr="004657BF">
        <w:rPr>
          <w:rStyle w:val="FootnoteReference"/>
          <w:rFonts w:eastAsia="Calibri"/>
          <w:noProof/>
          <w:spacing w:val="-8"/>
        </w:rPr>
        <w:footnoteReference w:id="137"/>
      </w:r>
      <w:r w:rsidRPr="004657BF">
        <w:rPr>
          <w:rStyle w:val="eop"/>
          <w:noProof/>
          <w:color w:val="000000" w:themeColor="text1"/>
          <w:spacing w:val="-8"/>
        </w:rPr>
        <w:t>, of reducing the EU's net greenhouse gas emissions by 90% by 2040 relative to 1990, with a limited contribution towards the 2040 target of high-quality international credits.</w:t>
      </w:r>
      <w:r w:rsidRPr="004657BF">
        <w:rPr>
          <w:rFonts w:eastAsia="Calibri"/>
          <w:noProof/>
          <w:spacing w:val="-8"/>
        </w:rPr>
        <w:t xml:space="preserve"> It also reflects the </w:t>
      </w:r>
      <w:r w:rsidRPr="004657BF">
        <w:rPr>
          <w:noProof/>
          <w:spacing w:val="-8"/>
        </w:rPr>
        <w:t>CO</w:t>
      </w:r>
      <w:r w:rsidRPr="004657BF">
        <w:rPr>
          <w:noProof/>
          <w:spacing w:val="-8"/>
          <w:vertAlign w:val="subscript"/>
        </w:rPr>
        <w:t>2</w:t>
      </w:r>
      <w:r w:rsidRPr="004657BF">
        <w:rPr>
          <w:noProof/>
          <w:spacing w:val="-8"/>
        </w:rPr>
        <w:t xml:space="preserve"> emission performance standards for heavy-duty vehicles</w:t>
      </w:r>
      <w:r w:rsidRPr="004657BF">
        <w:rPr>
          <w:rStyle w:val="FootnoteReference"/>
          <w:noProof/>
          <w:spacing w:val="-8"/>
        </w:rPr>
        <w:footnoteReference w:id="138"/>
      </w:r>
      <w:r w:rsidRPr="004657BF">
        <w:rPr>
          <w:noProof/>
          <w:spacing w:val="-8"/>
        </w:rPr>
        <w:t>, the Euro 7 standards</w:t>
      </w:r>
      <w:r w:rsidRPr="004657BF">
        <w:rPr>
          <w:rStyle w:val="FootnoteReference"/>
          <w:noProof/>
          <w:spacing w:val="-8"/>
        </w:rPr>
        <w:footnoteReference w:id="139"/>
      </w:r>
      <w:r w:rsidRPr="004657BF">
        <w:rPr>
          <w:noProof/>
          <w:spacing w:val="-8"/>
        </w:rPr>
        <w:t xml:space="preserve">, the </w:t>
      </w:r>
      <w:r w:rsidRPr="004657BF">
        <w:rPr>
          <w:rFonts w:eastAsia="Calibri"/>
          <w:noProof/>
          <w:spacing w:val="-8"/>
        </w:rPr>
        <w:t>revised TEN-T Regulation</w:t>
      </w:r>
      <w:r w:rsidRPr="004657BF">
        <w:rPr>
          <w:rStyle w:val="FootnoteReference"/>
          <w:rFonts w:eastAsia="Calibri"/>
          <w:noProof/>
          <w:spacing w:val="-8"/>
        </w:rPr>
        <w:footnoteReference w:id="140"/>
      </w:r>
      <w:r w:rsidRPr="004657BF">
        <w:rPr>
          <w:rFonts w:eastAsia="Calibri"/>
          <w:noProof/>
          <w:spacing w:val="-8"/>
        </w:rPr>
        <w:t xml:space="preserve">, as well as </w:t>
      </w:r>
      <w:r w:rsidRPr="004657BF">
        <w:rPr>
          <w:noProof/>
          <w:spacing w:val="-8"/>
        </w:rPr>
        <w:t xml:space="preserve">the initiatives part of the </w:t>
      </w:r>
      <w:r w:rsidRPr="004657BF">
        <w:rPr>
          <w:rStyle w:val="Hyperlink"/>
          <w:noProof/>
          <w:color w:val="auto"/>
          <w:spacing w:val="-8"/>
          <w:u w:val="none"/>
        </w:rPr>
        <w:t>Greening Freight package</w:t>
      </w:r>
      <w:r w:rsidRPr="004657BF">
        <w:rPr>
          <w:rStyle w:val="FootnoteReference"/>
          <w:noProof/>
          <w:spacing w:val="-8"/>
        </w:rPr>
        <w:footnoteReference w:id="141"/>
      </w:r>
      <w:r w:rsidRPr="004657BF">
        <w:rPr>
          <w:rStyle w:val="Hyperlink"/>
          <w:noProof/>
          <w:color w:val="auto"/>
          <w:spacing w:val="-8"/>
          <w:u w:val="none"/>
        </w:rPr>
        <w:t xml:space="preserve"> and Roadworthiness package</w:t>
      </w:r>
      <w:r w:rsidRPr="004657BF">
        <w:rPr>
          <w:rStyle w:val="FootnoteReference"/>
          <w:noProof/>
          <w:spacing w:val="-8"/>
        </w:rPr>
        <w:footnoteReference w:id="142"/>
      </w:r>
      <w:r w:rsidRPr="004657BF">
        <w:rPr>
          <w:rFonts w:eastAsia="Calibri"/>
          <w:noProof/>
          <w:spacing w:val="-8"/>
        </w:rPr>
        <w:t xml:space="preserve">. It also reflects the National Energy and Climate Plans prepared by the Member States under the Regulation 2018/1999 on the Governance of the Energy Union and Climate Action and submitted to the Commission during 2024-2025. The baseline scenario assumes no further EU level intervention beyond the </w:t>
      </w:r>
      <w:r w:rsidR="001F1DD7" w:rsidRPr="004657BF">
        <w:rPr>
          <w:noProof/>
          <w:spacing w:val="-8"/>
        </w:rPr>
        <w:t>ITS Directive</w:t>
      </w:r>
      <w:r w:rsidR="001F1DD7" w:rsidRPr="004657BF">
        <w:rPr>
          <w:rStyle w:val="FootnoteReference"/>
          <w:noProof/>
          <w:spacing w:val="-8"/>
        </w:rPr>
        <w:footnoteReference w:id="143"/>
      </w:r>
      <w:r w:rsidR="001F1DD7" w:rsidRPr="004657BF">
        <w:rPr>
          <w:noProof/>
          <w:spacing w:val="-8"/>
        </w:rPr>
        <w:t xml:space="preserve"> and the Delegated Regulation on multimodal travel information services (MMTIS)</w:t>
      </w:r>
      <w:r w:rsidR="001F1DD7" w:rsidRPr="004657BF">
        <w:rPr>
          <w:rStyle w:val="FootnoteReference"/>
          <w:noProof/>
          <w:spacing w:val="-8"/>
        </w:rPr>
        <w:footnoteReference w:id="144"/>
      </w:r>
      <w:r w:rsidR="001F1DD7" w:rsidRPr="004657BF">
        <w:rPr>
          <w:noProof/>
          <w:spacing w:val="-8"/>
        </w:rPr>
        <w:t>. The CRS Code of Conduct</w:t>
      </w:r>
      <w:r w:rsidR="001F1DD7" w:rsidRPr="004657BF">
        <w:rPr>
          <w:rStyle w:val="FootnoteReference"/>
          <w:noProof/>
          <w:spacing w:val="-8"/>
        </w:rPr>
        <w:footnoteReference w:id="145"/>
      </w:r>
      <w:r w:rsidR="001F1DD7" w:rsidRPr="004657BF">
        <w:rPr>
          <w:noProof/>
          <w:spacing w:val="-8"/>
        </w:rPr>
        <w:t xml:space="preserve"> would continue to apply. </w:t>
      </w:r>
      <w:r w:rsidRPr="004657BF">
        <w:rPr>
          <w:noProof/>
          <w:spacing w:val="-8"/>
        </w:rPr>
        <w:t>More details on the baseline scenario assumptions and results are provided in Annex 4 (section 2).</w:t>
      </w:r>
      <w:r w:rsidR="000E64F7" w:rsidRPr="004657BF">
        <w:rPr>
          <w:noProof/>
          <w:spacing w:val="-8"/>
        </w:rPr>
        <w:t xml:space="preserve"> </w:t>
      </w:r>
      <w:r w:rsidRPr="004657BF">
        <w:rPr>
          <w:rFonts w:eastAsia="Arial Unicode MS"/>
          <w:noProof/>
          <w:spacing w:val="-8"/>
        </w:rPr>
        <w:t>The baseline also incorporates perspectives on potential future developments captured in the 2022 Strategic Foresight Report</w:t>
      </w:r>
      <w:r w:rsidRPr="004657BF">
        <w:rPr>
          <w:rFonts w:eastAsia="Arial Unicode MS"/>
          <w:noProof/>
          <w:spacing w:val="-8"/>
          <w:bdr w:val="nil"/>
          <w:vertAlign w:val="superscript"/>
        </w:rPr>
        <w:footnoteReference w:id="146"/>
      </w:r>
      <w:r w:rsidRPr="004657BF">
        <w:rPr>
          <w:rFonts w:eastAsia="Arial Unicode MS"/>
          <w:noProof/>
          <w:spacing w:val="-8"/>
        </w:rPr>
        <w:t xml:space="preserve"> and during a foresight workshop organised by DG MOVE and JRC on 10 February 2025, analysing the impacts of the megatrends and drivers of change on the EU transport sector</w:t>
      </w:r>
      <w:r w:rsidRPr="004657BF">
        <w:rPr>
          <w:rFonts w:eastAsia="Arial Unicode MS"/>
          <w:noProof/>
          <w:spacing w:val="-8"/>
          <w:bdr w:val="nil"/>
          <w:vertAlign w:val="superscript"/>
        </w:rPr>
        <w:footnoteReference w:id="147"/>
      </w:r>
      <w:r w:rsidRPr="004657BF">
        <w:rPr>
          <w:rFonts w:eastAsia="Arial Unicode MS"/>
          <w:noProof/>
          <w:spacing w:val="-8"/>
        </w:rPr>
        <w:t xml:space="preserve">. </w:t>
      </w:r>
      <w:r w:rsidRPr="004657BF">
        <w:rPr>
          <w:rFonts w:eastAsia="Calibri"/>
          <w:noProof/>
          <w:color w:val="000000" w:themeColor="text1"/>
          <w:spacing w:val="-8"/>
        </w:rPr>
        <w:t xml:space="preserve">In particular, the projected transport activity draws on the long-term population projections from Eurostat and GDP growth from the </w:t>
      </w:r>
      <w:r w:rsidRPr="004657BF">
        <w:rPr>
          <w:rFonts w:eastAsia="Calibri"/>
          <w:i/>
          <w:noProof/>
          <w:spacing w:val="-8"/>
        </w:rPr>
        <w:t>Ageing Report 2024</w:t>
      </w:r>
      <w:r w:rsidRPr="004657BF">
        <w:rPr>
          <w:rFonts w:eastAsia="Calibri"/>
          <w:i/>
          <w:noProof/>
          <w:spacing w:val="-8"/>
          <w:vertAlign w:val="superscript"/>
        </w:rPr>
        <w:footnoteReference w:id="148"/>
      </w:r>
      <w:r w:rsidRPr="004657BF">
        <w:rPr>
          <w:rFonts w:eastAsia="Calibri"/>
          <w:noProof/>
          <w:color w:val="000000" w:themeColor="text1"/>
          <w:spacing w:val="-8"/>
        </w:rPr>
        <w:t>.</w:t>
      </w:r>
      <w:r w:rsidR="00B54F40" w:rsidRPr="004657BF">
        <w:rPr>
          <w:rFonts w:eastAsia="Calibri"/>
          <w:noProof/>
          <w:color w:val="000000" w:themeColor="text1"/>
          <w:spacing w:val="-8"/>
        </w:rPr>
        <w:t xml:space="preserve"> An increasingly connected world with high levels of access to digital products and services and in which new services, business models, life and work patterns emerge is the background against which the initiative is assessed.</w:t>
      </w:r>
    </w:p>
    <w:p w14:paraId="75601321" w14:textId="38993CF4" w:rsidR="00F07DA7" w:rsidRPr="004657BF" w:rsidRDefault="00444C77" w:rsidP="00582286">
      <w:pPr>
        <w:spacing w:after="240"/>
        <w:jc w:val="both"/>
        <w:rPr>
          <w:noProof/>
          <w:spacing w:val="-8"/>
        </w:rPr>
      </w:pPr>
      <w:r w:rsidRPr="004657BF">
        <w:rPr>
          <w:noProof/>
          <w:spacing w:val="-8"/>
        </w:rPr>
        <w:t xml:space="preserve">The total number of passengers in the EU travelling by air, coach (excluding local and suburban public transport), rail and waterborne transport is projected to grow from 12.9 billion in 2019 to 14 billion in 2028, 15.4 billion in 2030 and 17.8 billion in 2050 (19% increase for 2019-2030 and 38.1% increase for 2019-2050), following the recovery from the COVID pandemic. </w:t>
      </w:r>
      <w:r w:rsidR="00F07DA7" w:rsidRPr="004657BF">
        <w:rPr>
          <w:noProof/>
          <w:spacing w:val="-8"/>
        </w:rPr>
        <w:t xml:space="preserve">The number of multimodal passengers is projected to increase from 91 million in 2019 to 91.6 million in 2028, reaching 94.4 million in 2030 and 130.8 million in 2050 in the baseline scenario. The air-rail passengers represent over 60% of the total multimodal passengers, air-coach passengers above 30%, while the share of rail-coach passengers is limited to around 1% of the total number of multimodal passengers. </w:t>
      </w:r>
    </w:p>
    <w:p w14:paraId="7DDF44AD" w14:textId="182360AC" w:rsidR="00D25D2F" w:rsidRPr="004657BF" w:rsidRDefault="008D3177" w:rsidP="00D25D2F">
      <w:pPr>
        <w:spacing w:after="240"/>
        <w:jc w:val="both"/>
        <w:rPr>
          <w:noProof/>
          <w:spacing w:val="-8"/>
        </w:rPr>
      </w:pPr>
      <w:r w:rsidRPr="004657BF">
        <w:rPr>
          <w:noProof/>
          <w:spacing w:val="-8"/>
        </w:rPr>
        <w:t>The growing digitalisation of transport services and the emergence of new business models for ticket distribution is expected to lead to an increase in the number of MDMS platforms over time. The number of MDMS platforms is projected to increase from 364 in 2025 to 369 in 2030</w:t>
      </w:r>
      <w:r w:rsidR="00183C74" w:rsidRPr="004657BF">
        <w:rPr>
          <w:noProof/>
          <w:spacing w:val="-8"/>
        </w:rPr>
        <w:t>,</w:t>
      </w:r>
      <w:r w:rsidRPr="004657BF">
        <w:rPr>
          <w:noProof/>
          <w:spacing w:val="-8"/>
        </w:rPr>
        <w:t xml:space="preserve"> and 421 in 2050 in the baseline scenario.</w:t>
      </w:r>
      <w:r w:rsidR="008E4C32" w:rsidRPr="004657BF">
        <w:rPr>
          <w:noProof/>
          <w:spacing w:val="-8"/>
        </w:rPr>
        <w:t xml:space="preserve"> The number of agreements between MDMS platforms and transport operators is also expected to increase, from 48,624 in 2025 to 49,321 in 2030, and 56,295 in 2050.</w:t>
      </w:r>
      <w:r w:rsidR="009E4694" w:rsidRPr="004657BF">
        <w:rPr>
          <w:noProof/>
          <w:spacing w:val="-8"/>
        </w:rPr>
        <w:t xml:space="preserve"> </w:t>
      </w:r>
      <w:r w:rsidR="00D25D2F" w:rsidRPr="004657BF">
        <w:rPr>
          <w:noProof/>
          <w:spacing w:val="-8"/>
        </w:rPr>
        <w:t xml:space="preserve">The total number of passenger tickets sold via MDMS platforms is projected to increase from </w:t>
      </w:r>
      <w:r>
        <w:rPr>
          <w:noProof/>
          <w:spacing w:val="-8"/>
        </w:rPr>
        <w:t xml:space="preserve">433 </w:t>
      </w:r>
      <w:r w:rsidR="00D25D2F" w:rsidRPr="004657BF">
        <w:rPr>
          <w:noProof/>
          <w:spacing w:val="-8"/>
        </w:rPr>
        <w:t xml:space="preserve">million in 2019 to </w:t>
      </w:r>
      <w:r w:rsidR="00A77D9F" w:rsidRPr="004657BF">
        <w:rPr>
          <w:noProof/>
          <w:spacing w:val="-8"/>
        </w:rPr>
        <w:t>520</w:t>
      </w:r>
      <w:r w:rsidR="009F5EE9" w:rsidRPr="004657BF">
        <w:rPr>
          <w:noProof/>
          <w:spacing w:val="-8"/>
        </w:rPr>
        <w:t xml:space="preserve"> </w:t>
      </w:r>
      <w:r w:rsidR="00D25D2F" w:rsidRPr="004657BF">
        <w:rPr>
          <w:noProof/>
          <w:spacing w:val="-8"/>
        </w:rPr>
        <w:t xml:space="preserve">million in 2030 and </w:t>
      </w:r>
      <w:r w:rsidR="00A77D9F" w:rsidRPr="004657BF">
        <w:rPr>
          <w:noProof/>
          <w:spacing w:val="-8"/>
        </w:rPr>
        <w:t>854</w:t>
      </w:r>
      <w:r w:rsidR="009F5EE9" w:rsidRPr="004657BF">
        <w:rPr>
          <w:noProof/>
          <w:spacing w:val="-8"/>
        </w:rPr>
        <w:t xml:space="preserve"> </w:t>
      </w:r>
      <w:r w:rsidR="00D25D2F" w:rsidRPr="004657BF">
        <w:rPr>
          <w:noProof/>
          <w:spacing w:val="-8"/>
        </w:rPr>
        <w:t>million by 2050. However, their share in the total number of tickets sold is projected to remain limited in the baseline scenario (</w:t>
      </w:r>
      <w:r w:rsidR="00A77D9F" w:rsidRPr="004657BF">
        <w:rPr>
          <w:noProof/>
          <w:spacing w:val="-8"/>
        </w:rPr>
        <w:t>7</w:t>
      </w:r>
      <w:r>
        <w:rPr>
          <w:noProof/>
          <w:spacing w:val="-8"/>
        </w:rPr>
        <w:t>.1</w:t>
      </w:r>
      <w:r w:rsidR="00D25D2F" w:rsidRPr="004657BF">
        <w:rPr>
          <w:noProof/>
          <w:spacing w:val="-8"/>
        </w:rPr>
        <w:t xml:space="preserve">% in 2030 and </w:t>
      </w:r>
      <w:r w:rsidR="00A77D9F" w:rsidRPr="004657BF">
        <w:rPr>
          <w:noProof/>
          <w:spacing w:val="-8"/>
        </w:rPr>
        <w:t>10</w:t>
      </w:r>
      <w:r>
        <w:rPr>
          <w:noProof/>
          <w:spacing w:val="-8"/>
        </w:rPr>
        <w:t>.1</w:t>
      </w:r>
      <w:r w:rsidR="00D25D2F" w:rsidRPr="004657BF">
        <w:rPr>
          <w:noProof/>
          <w:spacing w:val="-8"/>
        </w:rPr>
        <w:t xml:space="preserve">% in 2050). The share of rail tickets sold via </w:t>
      </w:r>
      <w:r w:rsidR="00F0678A" w:rsidRPr="004657BF">
        <w:rPr>
          <w:noProof/>
          <w:spacing w:val="-8"/>
        </w:rPr>
        <w:t>independent</w:t>
      </w:r>
      <w:r w:rsidR="00CA4A24" w:rsidRPr="004657BF">
        <w:rPr>
          <w:noProof/>
          <w:spacing w:val="-8"/>
        </w:rPr>
        <w:t xml:space="preserve"> </w:t>
      </w:r>
      <w:r w:rsidR="00D25D2F" w:rsidRPr="004657BF">
        <w:rPr>
          <w:noProof/>
          <w:spacing w:val="-8"/>
        </w:rPr>
        <w:t>MDMS platforms was estimated at around 3% of the total rail tickets sold in 2019 at EU level. In the baseline scenario, this is projected to go up to 4</w:t>
      </w:r>
      <w:r w:rsidR="008A264F" w:rsidRPr="004657BF">
        <w:rPr>
          <w:noProof/>
          <w:spacing w:val="-8"/>
        </w:rPr>
        <w:t>.1</w:t>
      </w:r>
      <w:r w:rsidR="00D25D2F" w:rsidRPr="004657BF">
        <w:rPr>
          <w:noProof/>
          <w:spacing w:val="-8"/>
        </w:rPr>
        <w:t>% in 2030 and 7.</w:t>
      </w:r>
      <w:r w:rsidR="002739E2" w:rsidRPr="004657BF">
        <w:rPr>
          <w:noProof/>
          <w:spacing w:val="-8"/>
        </w:rPr>
        <w:t>3</w:t>
      </w:r>
      <w:r w:rsidR="00D25D2F" w:rsidRPr="004657BF">
        <w:rPr>
          <w:noProof/>
          <w:spacing w:val="-8"/>
        </w:rPr>
        <w:t xml:space="preserve">% in 2050. This corresponds to around 65 million rail tickets sold via MDMS platforms in 2019, increasing to 111 million in 2030 and 230 million in 2050 due the increase in the MDMS market share and of the total number of rail tickets sold. </w:t>
      </w:r>
    </w:p>
    <w:p w14:paraId="34693694" w14:textId="6558B29C" w:rsidR="00687C28" w:rsidRDefault="00D25D2F" w:rsidP="00D25D2F">
      <w:pPr>
        <w:spacing w:after="240"/>
        <w:jc w:val="both"/>
        <w:rPr>
          <w:noProof/>
          <w:spacing w:val="-8"/>
        </w:rPr>
      </w:pPr>
      <w:r w:rsidRPr="004657BF">
        <w:rPr>
          <w:noProof/>
          <w:spacing w:val="-8"/>
        </w:rPr>
        <w:t>B</w:t>
      </w:r>
      <w:r w:rsidRPr="004657BF">
        <w:rPr>
          <w:rFonts w:cs="Arial"/>
          <w:noProof/>
          <w:spacing w:val="-8"/>
        </w:rPr>
        <w:t xml:space="preserve">uilding on evidence collected from stakeholders, different trends are identified for air tickets sold via B2B platforms and for those sold via B2C platforms. </w:t>
      </w:r>
      <w:r w:rsidR="005B1B4D" w:rsidRPr="004657BF">
        <w:rPr>
          <w:noProof/>
          <w:spacing w:val="-8"/>
        </w:rPr>
        <w:t>A</w:t>
      </w:r>
      <w:r w:rsidRPr="004657BF">
        <w:rPr>
          <w:noProof/>
          <w:spacing w:val="-8"/>
        </w:rPr>
        <w:t xml:space="preserve"> larger share of tickets </w:t>
      </w:r>
      <w:r w:rsidR="0084574F" w:rsidRPr="004657BF">
        <w:rPr>
          <w:noProof/>
          <w:spacing w:val="-8"/>
        </w:rPr>
        <w:t>will be</w:t>
      </w:r>
      <w:r w:rsidRPr="004657BF">
        <w:rPr>
          <w:noProof/>
          <w:spacing w:val="-8"/>
        </w:rPr>
        <w:t xml:space="preserve"> sold through</w:t>
      </w:r>
      <w:r w:rsidRPr="004657BF" w:rsidDel="002062CC">
        <w:rPr>
          <w:noProof/>
          <w:spacing w:val="-8"/>
        </w:rPr>
        <w:t xml:space="preserve"> </w:t>
      </w:r>
      <w:r w:rsidR="002062CC" w:rsidRPr="004657BF">
        <w:rPr>
          <w:noProof/>
          <w:spacing w:val="-8"/>
        </w:rPr>
        <w:t>B2C MDMS</w:t>
      </w:r>
      <w:r w:rsidR="00FE2A5C" w:rsidRPr="004657BF">
        <w:rPr>
          <w:noProof/>
          <w:spacing w:val="-8"/>
        </w:rPr>
        <w:t>,</w:t>
      </w:r>
      <w:r w:rsidRPr="004657BF">
        <w:rPr>
          <w:noProof/>
          <w:spacing w:val="-8"/>
        </w:rPr>
        <w:t xml:space="preserve"> and </w:t>
      </w:r>
      <w:r w:rsidR="00FE2E9E" w:rsidRPr="004657BF">
        <w:rPr>
          <w:noProof/>
          <w:spacing w:val="-8"/>
        </w:rPr>
        <w:t>B</w:t>
      </w:r>
      <w:r w:rsidR="00C25AA4" w:rsidRPr="004657BF">
        <w:rPr>
          <w:noProof/>
          <w:spacing w:val="-8"/>
        </w:rPr>
        <w:t>2B new content aggregators</w:t>
      </w:r>
      <w:r w:rsidR="00DE6A19" w:rsidRPr="004657BF">
        <w:rPr>
          <w:noProof/>
          <w:spacing w:val="-8"/>
        </w:rPr>
        <w:t xml:space="preserve"> </w:t>
      </w:r>
      <w:r w:rsidR="000F4CFB" w:rsidRPr="004657BF">
        <w:rPr>
          <w:noProof/>
          <w:spacing w:val="-8"/>
        </w:rPr>
        <w:t>and</w:t>
      </w:r>
      <w:r w:rsidRPr="004657BF">
        <w:rPr>
          <w:noProof/>
          <w:spacing w:val="-8"/>
        </w:rPr>
        <w:t xml:space="preserve"> </w:t>
      </w:r>
      <w:r w:rsidR="000F4CFB" w:rsidRPr="004657BF">
        <w:rPr>
          <w:noProof/>
          <w:spacing w:val="-8"/>
        </w:rPr>
        <w:t>t</w:t>
      </w:r>
      <w:r w:rsidRPr="004657BF">
        <w:rPr>
          <w:noProof/>
          <w:spacing w:val="-8"/>
        </w:rPr>
        <w:t>he market share of low-cost carriers</w:t>
      </w:r>
      <w:r w:rsidR="00C021D2" w:rsidRPr="004657BF">
        <w:rPr>
          <w:noProof/>
          <w:spacing w:val="-8"/>
        </w:rPr>
        <w:t>, which rely less on CRSs,</w:t>
      </w:r>
      <w:r w:rsidR="000F4CFB" w:rsidRPr="004657BF">
        <w:rPr>
          <w:noProof/>
          <w:spacing w:val="-8"/>
        </w:rPr>
        <w:t xml:space="preserve"> </w:t>
      </w:r>
      <w:r w:rsidR="00AB2DA0" w:rsidRPr="004657BF">
        <w:rPr>
          <w:noProof/>
          <w:spacing w:val="-8"/>
        </w:rPr>
        <w:t>is expected to</w:t>
      </w:r>
      <w:r w:rsidR="000F4CFB" w:rsidRPr="004657BF">
        <w:rPr>
          <w:noProof/>
          <w:spacing w:val="-8"/>
        </w:rPr>
        <w:t xml:space="preserve"> continue increasing</w:t>
      </w:r>
      <w:r w:rsidR="00C021D2" w:rsidRPr="004657BF">
        <w:rPr>
          <w:noProof/>
          <w:spacing w:val="-8"/>
        </w:rPr>
        <w:t>.</w:t>
      </w:r>
      <w:r w:rsidRPr="004657BF">
        <w:rPr>
          <w:noProof/>
          <w:spacing w:val="-8"/>
        </w:rPr>
        <w:t xml:space="preserve"> </w:t>
      </w:r>
      <w:r w:rsidR="009F55F2" w:rsidRPr="004657BF">
        <w:rPr>
          <w:noProof/>
          <w:spacing w:val="-8"/>
        </w:rPr>
        <w:t>T</w:t>
      </w:r>
      <w:r w:rsidR="00C021D2" w:rsidRPr="004657BF">
        <w:rPr>
          <w:noProof/>
          <w:spacing w:val="-8"/>
        </w:rPr>
        <w:t>his</w:t>
      </w:r>
      <w:r w:rsidRPr="004657BF">
        <w:rPr>
          <w:noProof/>
          <w:spacing w:val="-8"/>
        </w:rPr>
        <w:t xml:space="preserve"> is expected to further erode the share of CRSs in ticket distribution</w:t>
      </w:r>
      <w:r w:rsidR="0046330C" w:rsidRPr="004657BF">
        <w:rPr>
          <w:noProof/>
          <w:spacing w:val="-8"/>
        </w:rPr>
        <w:t xml:space="preserve">, despite the growing number of </w:t>
      </w:r>
      <w:r w:rsidR="00BC28B4" w:rsidRPr="004657BF">
        <w:rPr>
          <w:noProof/>
          <w:spacing w:val="-8"/>
        </w:rPr>
        <w:t>passengers travelling by air</w:t>
      </w:r>
      <w:r w:rsidR="00476C50" w:rsidRPr="004657BF">
        <w:rPr>
          <w:noProof/>
          <w:spacing w:val="-8"/>
        </w:rPr>
        <w:t>,</w:t>
      </w:r>
      <w:r w:rsidRPr="004657BF">
        <w:rPr>
          <w:noProof/>
          <w:spacing w:val="-8"/>
        </w:rPr>
        <w:t xml:space="preserve"> decreas</w:t>
      </w:r>
      <w:r w:rsidR="00476C50" w:rsidRPr="004657BF">
        <w:rPr>
          <w:noProof/>
          <w:spacing w:val="-8"/>
        </w:rPr>
        <w:t>ing</w:t>
      </w:r>
      <w:r w:rsidRPr="004657BF">
        <w:rPr>
          <w:noProof/>
          <w:spacing w:val="-8"/>
        </w:rPr>
        <w:t xml:space="preserve"> from 3</w:t>
      </w:r>
      <w:r>
        <w:rPr>
          <w:noProof/>
          <w:spacing w:val="-8"/>
        </w:rPr>
        <w:t>0</w:t>
      </w:r>
      <w:r w:rsidRPr="004657BF">
        <w:rPr>
          <w:noProof/>
          <w:spacing w:val="-8"/>
        </w:rPr>
        <w:t>.</w:t>
      </w:r>
      <w:r>
        <w:rPr>
          <w:noProof/>
          <w:spacing w:val="-8"/>
        </w:rPr>
        <w:t>1</w:t>
      </w:r>
      <w:r w:rsidRPr="004657BF">
        <w:rPr>
          <w:noProof/>
          <w:spacing w:val="-8"/>
        </w:rPr>
        <w:t xml:space="preserve">% in 2019 to </w:t>
      </w:r>
      <w:r w:rsidR="0018113F" w:rsidRPr="004657BF">
        <w:rPr>
          <w:noProof/>
          <w:spacing w:val="-8"/>
        </w:rPr>
        <w:t>1</w:t>
      </w:r>
      <w:r w:rsidR="00235147" w:rsidRPr="004657BF">
        <w:rPr>
          <w:noProof/>
          <w:spacing w:val="-8"/>
        </w:rPr>
        <w:t>6</w:t>
      </w:r>
      <w:r w:rsidRPr="004657BF">
        <w:rPr>
          <w:noProof/>
          <w:spacing w:val="-8"/>
        </w:rPr>
        <w:t>.</w:t>
      </w:r>
      <w:r w:rsidR="00235147" w:rsidRPr="004657BF">
        <w:rPr>
          <w:noProof/>
          <w:spacing w:val="-8"/>
        </w:rPr>
        <w:t>8</w:t>
      </w:r>
      <w:r w:rsidRPr="004657BF">
        <w:rPr>
          <w:noProof/>
          <w:spacing w:val="-8"/>
        </w:rPr>
        <w:t xml:space="preserve">% in 2030 and </w:t>
      </w:r>
      <w:r w:rsidR="0060331B" w:rsidRPr="004657BF">
        <w:rPr>
          <w:noProof/>
          <w:spacing w:val="-8"/>
        </w:rPr>
        <w:t xml:space="preserve">remaining </w:t>
      </w:r>
      <w:r w:rsidR="000F5390" w:rsidRPr="004657BF">
        <w:rPr>
          <w:noProof/>
          <w:spacing w:val="-8"/>
        </w:rPr>
        <w:t xml:space="preserve">stable </w:t>
      </w:r>
      <w:r w:rsidR="0060331B" w:rsidRPr="004657BF">
        <w:rPr>
          <w:noProof/>
          <w:spacing w:val="-8"/>
        </w:rPr>
        <w:t xml:space="preserve">at </w:t>
      </w:r>
      <w:r w:rsidR="00DA4ADD" w:rsidRPr="004657BF">
        <w:rPr>
          <w:noProof/>
          <w:spacing w:val="-8"/>
        </w:rPr>
        <w:t>that level afterwards</w:t>
      </w:r>
      <w:r w:rsidRPr="004657BF">
        <w:rPr>
          <w:noProof/>
          <w:spacing w:val="-8"/>
        </w:rPr>
        <w:t xml:space="preserve">. This corresponds to </w:t>
      </w:r>
      <w:r w:rsidR="00077688" w:rsidRPr="004657BF">
        <w:rPr>
          <w:noProof/>
          <w:spacing w:val="-8"/>
        </w:rPr>
        <w:t>1</w:t>
      </w:r>
      <w:r>
        <w:rPr>
          <w:noProof/>
          <w:spacing w:val="-8"/>
        </w:rPr>
        <w:t>55</w:t>
      </w:r>
      <w:r w:rsidRPr="004657BF">
        <w:rPr>
          <w:noProof/>
          <w:spacing w:val="-8"/>
        </w:rPr>
        <w:t xml:space="preserve"> million air tickets sold via </w:t>
      </w:r>
      <w:r w:rsidR="00473CAD" w:rsidRPr="004657BF">
        <w:rPr>
          <w:noProof/>
          <w:spacing w:val="-8"/>
        </w:rPr>
        <w:t>CRS</w:t>
      </w:r>
      <w:r w:rsidRPr="004657BF">
        <w:rPr>
          <w:noProof/>
          <w:spacing w:val="-8"/>
        </w:rPr>
        <w:t xml:space="preserve"> platforms in 2019, going down to roughly </w:t>
      </w:r>
      <w:r w:rsidR="0005666F" w:rsidRPr="004657BF">
        <w:rPr>
          <w:noProof/>
          <w:spacing w:val="-8"/>
        </w:rPr>
        <w:t>91</w:t>
      </w:r>
      <w:r w:rsidRPr="004657BF">
        <w:rPr>
          <w:noProof/>
          <w:spacing w:val="-8"/>
        </w:rPr>
        <w:t xml:space="preserve"> million in 2030 and </w:t>
      </w:r>
      <w:r w:rsidR="00077688" w:rsidRPr="004657BF">
        <w:rPr>
          <w:noProof/>
          <w:spacing w:val="-8"/>
        </w:rPr>
        <w:t xml:space="preserve">increasing to </w:t>
      </w:r>
      <w:r w:rsidR="00AD2DC2" w:rsidRPr="004657BF">
        <w:rPr>
          <w:noProof/>
          <w:spacing w:val="-8"/>
        </w:rPr>
        <w:t>108</w:t>
      </w:r>
      <w:r w:rsidR="00AD2DC2" w:rsidRPr="004657BF" w:rsidDel="00AD2DC2">
        <w:rPr>
          <w:noProof/>
          <w:spacing w:val="-8"/>
        </w:rPr>
        <w:t xml:space="preserve"> </w:t>
      </w:r>
      <w:r w:rsidRPr="004657BF">
        <w:rPr>
          <w:noProof/>
          <w:spacing w:val="-8"/>
        </w:rPr>
        <w:t>million in 2050</w:t>
      </w:r>
      <w:r w:rsidR="00BA2F7B" w:rsidRPr="004657BF">
        <w:rPr>
          <w:noProof/>
          <w:spacing w:val="-8"/>
        </w:rPr>
        <w:t xml:space="preserve"> due to the growing number of passengers travelling by air</w:t>
      </w:r>
      <w:r w:rsidRPr="004657BF">
        <w:rPr>
          <w:noProof/>
          <w:spacing w:val="-8"/>
        </w:rPr>
        <w:t xml:space="preserve">. </w:t>
      </w:r>
    </w:p>
    <w:p w14:paraId="6D11F2B1" w14:textId="07FA8F7E" w:rsidR="00687C28" w:rsidRDefault="002C3BC8" w:rsidP="00D25D2F">
      <w:pPr>
        <w:spacing w:after="240"/>
        <w:jc w:val="both"/>
        <w:rPr>
          <w:noProof/>
          <w:spacing w:val="-8"/>
        </w:rPr>
      </w:pPr>
      <w:r w:rsidRPr="004657BF">
        <w:rPr>
          <w:noProof/>
          <w:spacing w:val="-8"/>
        </w:rPr>
        <w:t xml:space="preserve">The share of tickets sold </w:t>
      </w:r>
      <w:r w:rsidR="00961012" w:rsidRPr="004657BF">
        <w:rPr>
          <w:noProof/>
          <w:spacing w:val="-8"/>
        </w:rPr>
        <w:t xml:space="preserve">through </w:t>
      </w:r>
      <w:r w:rsidR="0011420B" w:rsidRPr="004657BF">
        <w:rPr>
          <w:noProof/>
          <w:spacing w:val="-8"/>
        </w:rPr>
        <w:t xml:space="preserve">B2B new content aggregators </w:t>
      </w:r>
      <w:r w:rsidR="006F5B8C" w:rsidRPr="004657BF">
        <w:rPr>
          <w:noProof/>
          <w:spacing w:val="-8"/>
        </w:rPr>
        <w:t>is projected to</w:t>
      </w:r>
      <w:r w:rsidR="0011420B" w:rsidRPr="004657BF">
        <w:rPr>
          <w:noProof/>
          <w:spacing w:val="-8"/>
        </w:rPr>
        <w:t xml:space="preserve"> increase</w:t>
      </w:r>
      <w:r w:rsidR="00043D5B" w:rsidRPr="004657BF">
        <w:rPr>
          <w:noProof/>
          <w:spacing w:val="-8"/>
        </w:rPr>
        <w:t xml:space="preserve"> from 5</w:t>
      </w:r>
      <w:r w:rsidR="005D5814" w:rsidRPr="004657BF">
        <w:rPr>
          <w:noProof/>
          <w:spacing w:val="-8"/>
        </w:rPr>
        <w:t>% in 2019 to 13.</w:t>
      </w:r>
      <w:r w:rsidR="00B445AB" w:rsidRPr="004657BF">
        <w:rPr>
          <w:noProof/>
          <w:spacing w:val="-8"/>
        </w:rPr>
        <w:t>4</w:t>
      </w:r>
      <w:r w:rsidR="005A2DCA" w:rsidRPr="004657BF">
        <w:rPr>
          <w:noProof/>
          <w:spacing w:val="-8"/>
        </w:rPr>
        <w:t>%</w:t>
      </w:r>
      <w:r w:rsidR="005D5814" w:rsidRPr="004657BF">
        <w:rPr>
          <w:noProof/>
          <w:spacing w:val="-8"/>
        </w:rPr>
        <w:t xml:space="preserve"> in </w:t>
      </w:r>
      <w:r w:rsidR="00FD283C" w:rsidRPr="004657BF">
        <w:rPr>
          <w:noProof/>
          <w:spacing w:val="-8"/>
        </w:rPr>
        <w:t>2030 and</w:t>
      </w:r>
      <w:r w:rsidR="00A2004F" w:rsidRPr="004657BF">
        <w:rPr>
          <w:noProof/>
          <w:spacing w:val="-8"/>
        </w:rPr>
        <w:t xml:space="preserve"> remaining stable</w:t>
      </w:r>
      <w:r w:rsidR="00E934F4" w:rsidRPr="004657BF">
        <w:rPr>
          <w:noProof/>
          <w:spacing w:val="-8"/>
        </w:rPr>
        <w:t xml:space="preserve"> at that level afterwards</w:t>
      </w:r>
      <w:r w:rsidR="00FD283C" w:rsidRPr="004657BF">
        <w:rPr>
          <w:noProof/>
          <w:spacing w:val="-8"/>
        </w:rPr>
        <w:t>,</w:t>
      </w:r>
      <w:r w:rsidR="00E934F4" w:rsidRPr="004657BF">
        <w:rPr>
          <w:noProof/>
          <w:spacing w:val="-8"/>
        </w:rPr>
        <w:t xml:space="preserve"> partially offsetting the decrease in </w:t>
      </w:r>
      <w:r w:rsidR="00B03A1B" w:rsidRPr="004657BF">
        <w:rPr>
          <w:noProof/>
          <w:spacing w:val="-8"/>
        </w:rPr>
        <w:t xml:space="preserve">the </w:t>
      </w:r>
      <w:r w:rsidR="00961012" w:rsidRPr="004657BF">
        <w:rPr>
          <w:noProof/>
          <w:spacing w:val="-8"/>
        </w:rPr>
        <w:t xml:space="preserve">share </w:t>
      </w:r>
      <w:r w:rsidR="00A2004F" w:rsidRPr="004657BF">
        <w:rPr>
          <w:noProof/>
          <w:spacing w:val="-8"/>
        </w:rPr>
        <w:t xml:space="preserve">of </w:t>
      </w:r>
      <w:r w:rsidR="00961012" w:rsidRPr="004657BF">
        <w:rPr>
          <w:noProof/>
          <w:spacing w:val="-8"/>
        </w:rPr>
        <w:t xml:space="preserve">tickets sold through </w:t>
      </w:r>
      <w:r w:rsidR="00A2004F" w:rsidRPr="004657BF">
        <w:rPr>
          <w:noProof/>
          <w:spacing w:val="-8"/>
        </w:rPr>
        <w:t>CRSs</w:t>
      </w:r>
      <w:r w:rsidR="00E934F4" w:rsidRPr="004657BF">
        <w:rPr>
          <w:noProof/>
          <w:spacing w:val="-8"/>
        </w:rPr>
        <w:t xml:space="preserve">. </w:t>
      </w:r>
      <w:r w:rsidR="0051326E" w:rsidRPr="004657BF">
        <w:rPr>
          <w:noProof/>
          <w:spacing w:val="-8"/>
        </w:rPr>
        <w:t>This corresponds to 2</w:t>
      </w:r>
      <w:r>
        <w:rPr>
          <w:noProof/>
          <w:spacing w:val="-8"/>
        </w:rPr>
        <w:t>6</w:t>
      </w:r>
      <w:r w:rsidR="0051326E" w:rsidRPr="004657BF">
        <w:rPr>
          <w:noProof/>
          <w:spacing w:val="-8"/>
        </w:rPr>
        <w:t xml:space="preserve"> million air tickets sold via non-CRS content aggregators in 2019, </w:t>
      </w:r>
      <w:r w:rsidR="0035769F" w:rsidRPr="004657BF">
        <w:rPr>
          <w:noProof/>
          <w:spacing w:val="-8"/>
        </w:rPr>
        <w:t xml:space="preserve">going up </w:t>
      </w:r>
      <w:r w:rsidR="0051326E" w:rsidRPr="004657BF">
        <w:rPr>
          <w:noProof/>
          <w:spacing w:val="-8"/>
        </w:rPr>
        <w:t xml:space="preserve">to </w:t>
      </w:r>
      <w:r w:rsidR="00BB65E9" w:rsidRPr="004657BF">
        <w:rPr>
          <w:noProof/>
          <w:spacing w:val="-8"/>
        </w:rPr>
        <w:t xml:space="preserve">73 </w:t>
      </w:r>
      <w:r w:rsidR="0051326E" w:rsidRPr="004657BF">
        <w:rPr>
          <w:noProof/>
          <w:spacing w:val="-8"/>
        </w:rPr>
        <w:t>million in 2030 and 8</w:t>
      </w:r>
      <w:r w:rsidR="004C334B" w:rsidRPr="004657BF">
        <w:rPr>
          <w:noProof/>
          <w:spacing w:val="-8"/>
        </w:rPr>
        <w:t>6</w:t>
      </w:r>
      <w:r w:rsidR="0051326E" w:rsidRPr="004657BF" w:rsidDel="00AD2DC2">
        <w:rPr>
          <w:noProof/>
          <w:spacing w:val="-8"/>
        </w:rPr>
        <w:t xml:space="preserve"> </w:t>
      </w:r>
      <w:r w:rsidR="0051326E" w:rsidRPr="004657BF">
        <w:rPr>
          <w:noProof/>
          <w:spacing w:val="-8"/>
        </w:rPr>
        <w:t>million in 2050</w:t>
      </w:r>
      <w:r w:rsidR="004C334B" w:rsidRPr="004657BF">
        <w:rPr>
          <w:noProof/>
          <w:spacing w:val="-8"/>
        </w:rPr>
        <w:t xml:space="preserve">. </w:t>
      </w:r>
      <w:r w:rsidR="00B17AC9" w:rsidRPr="004657BF">
        <w:rPr>
          <w:noProof/>
          <w:spacing w:val="-8"/>
        </w:rPr>
        <w:t>Thus, t</w:t>
      </w:r>
      <w:r w:rsidR="00FD283C" w:rsidRPr="004657BF">
        <w:rPr>
          <w:noProof/>
          <w:spacing w:val="-8"/>
        </w:rPr>
        <w:t xml:space="preserve">he </w:t>
      </w:r>
      <w:r w:rsidR="00B17AC9" w:rsidRPr="004657BF">
        <w:rPr>
          <w:noProof/>
          <w:spacing w:val="-8"/>
        </w:rPr>
        <w:t xml:space="preserve">total </w:t>
      </w:r>
      <w:r w:rsidR="00FD283C" w:rsidRPr="004657BF">
        <w:rPr>
          <w:noProof/>
          <w:spacing w:val="-8"/>
        </w:rPr>
        <w:t xml:space="preserve">share </w:t>
      </w:r>
      <w:r w:rsidR="007D48E4" w:rsidRPr="004657BF">
        <w:rPr>
          <w:noProof/>
          <w:spacing w:val="-8"/>
        </w:rPr>
        <w:t>of ticket sold through</w:t>
      </w:r>
      <w:r w:rsidR="00FB2FA4" w:rsidRPr="004657BF">
        <w:rPr>
          <w:noProof/>
          <w:spacing w:val="-8"/>
        </w:rPr>
        <w:t xml:space="preserve"> </w:t>
      </w:r>
      <w:r w:rsidR="00FD283C" w:rsidRPr="004657BF">
        <w:rPr>
          <w:noProof/>
          <w:spacing w:val="-8"/>
        </w:rPr>
        <w:t xml:space="preserve">B2B </w:t>
      </w:r>
      <w:r w:rsidR="006C2978" w:rsidRPr="004657BF">
        <w:rPr>
          <w:noProof/>
          <w:spacing w:val="-8"/>
        </w:rPr>
        <w:t>platforms</w:t>
      </w:r>
      <w:r w:rsidR="00B17AC9" w:rsidRPr="004657BF">
        <w:rPr>
          <w:noProof/>
          <w:spacing w:val="-8"/>
        </w:rPr>
        <w:t xml:space="preserve"> (CRSs and new content aggregators)</w:t>
      </w:r>
      <w:r w:rsidR="00FD283C" w:rsidRPr="004657BF">
        <w:rPr>
          <w:noProof/>
          <w:spacing w:val="-8"/>
        </w:rPr>
        <w:t xml:space="preserve"> </w:t>
      </w:r>
      <w:r w:rsidR="006C2978" w:rsidRPr="004657BF">
        <w:rPr>
          <w:noProof/>
          <w:spacing w:val="-8"/>
        </w:rPr>
        <w:t>is projected to</w:t>
      </w:r>
      <w:r w:rsidR="00FD283C" w:rsidRPr="004657BF">
        <w:rPr>
          <w:noProof/>
          <w:spacing w:val="-8"/>
        </w:rPr>
        <w:t xml:space="preserve"> decrease from</w:t>
      </w:r>
      <w:r w:rsidR="009E262D" w:rsidRPr="004657BF">
        <w:rPr>
          <w:noProof/>
          <w:spacing w:val="-8"/>
        </w:rPr>
        <w:t xml:space="preserve"> 3</w:t>
      </w:r>
      <w:r>
        <w:rPr>
          <w:noProof/>
          <w:spacing w:val="-8"/>
        </w:rPr>
        <w:t>5</w:t>
      </w:r>
      <w:r w:rsidR="009E262D" w:rsidRPr="004657BF">
        <w:rPr>
          <w:noProof/>
          <w:spacing w:val="-8"/>
        </w:rPr>
        <w:t>.</w:t>
      </w:r>
      <w:r>
        <w:rPr>
          <w:noProof/>
          <w:spacing w:val="-8"/>
        </w:rPr>
        <w:t>1</w:t>
      </w:r>
      <w:r w:rsidR="009E262D" w:rsidRPr="004657BF">
        <w:rPr>
          <w:noProof/>
          <w:spacing w:val="-8"/>
        </w:rPr>
        <w:t>% in 2019 to</w:t>
      </w:r>
      <w:r w:rsidR="00FD283C" w:rsidRPr="004657BF">
        <w:rPr>
          <w:noProof/>
          <w:spacing w:val="-8"/>
        </w:rPr>
        <w:t xml:space="preserve"> </w:t>
      </w:r>
      <w:r w:rsidR="0000329F" w:rsidRPr="004657BF">
        <w:rPr>
          <w:noProof/>
          <w:spacing w:val="-8"/>
        </w:rPr>
        <w:t>3</w:t>
      </w:r>
      <w:r w:rsidR="00017ABC" w:rsidRPr="004657BF">
        <w:rPr>
          <w:noProof/>
          <w:spacing w:val="-8"/>
        </w:rPr>
        <w:t>1</w:t>
      </w:r>
      <w:r w:rsidR="0000329F" w:rsidRPr="004657BF">
        <w:rPr>
          <w:noProof/>
          <w:spacing w:val="-8"/>
        </w:rPr>
        <w:t>.</w:t>
      </w:r>
      <w:r w:rsidR="00017ABC" w:rsidRPr="004657BF">
        <w:rPr>
          <w:noProof/>
          <w:spacing w:val="-8"/>
        </w:rPr>
        <w:t>1</w:t>
      </w:r>
      <w:r w:rsidR="00DD71B5" w:rsidRPr="004657BF">
        <w:rPr>
          <w:noProof/>
          <w:spacing w:val="-8"/>
        </w:rPr>
        <w:t>%</w:t>
      </w:r>
      <w:r w:rsidR="0000329F" w:rsidRPr="004657BF">
        <w:rPr>
          <w:noProof/>
          <w:spacing w:val="-8"/>
        </w:rPr>
        <w:t xml:space="preserve"> in 20</w:t>
      </w:r>
      <w:r w:rsidR="00D472CF" w:rsidRPr="004657BF">
        <w:rPr>
          <w:noProof/>
          <w:spacing w:val="-8"/>
        </w:rPr>
        <w:t>24</w:t>
      </w:r>
      <w:r w:rsidR="00E934F4" w:rsidRPr="004657BF">
        <w:rPr>
          <w:noProof/>
          <w:spacing w:val="-8"/>
        </w:rPr>
        <w:t xml:space="preserve"> </w:t>
      </w:r>
      <w:r w:rsidR="009E262D" w:rsidRPr="004657BF">
        <w:rPr>
          <w:noProof/>
          <w:spacing w:val="-8"/>
        </w:rPr>
        <w:t xml:space="preserve">and </w:t>
      </w:r>
      <w:r w:rsidR="0098363B" w:rsidRPr="004657BF">
        <w:rPr>
          <w:noProof/>
          <w:spacing w:val="-8"/>
        </w:rPr>
        <w:t>30.</w:t>
      </w:r>
      <w:r w:rsidR="00B445AB" w:rsidRPr="004657BF">
        <w:rPr>
          <w:noProof/>
          <w:spacing w:val="-8"/>
        </w:rPr>
        <w:t>2</w:t>
      </w:r>
      <w:r w:rsidR="009E262D" w:rsidRPr="004657BF">
        <w:rPr>
          <w:noProof/>
          <w:spacing w:val="-8"/>
        </w:rPr>
        <w:t>%</w:t>
      </w:r>
      <w:r w:rsidR="0098363B" w:rsidRPr="004657BF">
        <w:rPr>
          <w:noProof/>
          <w:spacing w:val="-8"/>
        </w:rPr>
        <w:t xml:space="preserve"> in 2030 and remaining stable afterwards.</w:t>
      </w:r>
      <w:r w:rsidR="00B17AC9" w:rsidRPr="004657BF">
        <w:rPr>
          <w:noProof/>
          <w:spacing w:val="-8"/>
        </w:rPr>
        <w:t xml:space="preserve"> Th</w:t>
      </w:r>
      <w:r w:rsidR="00D16C5E" w:rsidRPr="004657BF">
        <w:rPr>
          <w:noProof/>
          <w:spacing w:val="-8"/>
        </w:rPr>
        <w:t xml:space="preserve">is corresponds to </w:t>
      </w:r>
      <w:r w:rsidR="007E3AF8" w:rsidRPr="004657BF">
        <w:rPr>
          <w:noProof/>
          <w:spacing w:val="-8"/>
        </w:rPr>
        <w:t>18</w:t>
      </w:r>
      <w:r>
        <w:rPr>
          <w:noProof/>
          <w:spacing w:val="-8"/>
        </w:rPr>
        <w:t>1</w:t>
      </w:r>
      <w:r w:rsidR="007E3AF8" w:rsidRPr="004657BF">
        <w:rPr>
          <w:noProof/>
          <w:spacing w:val="-8"/>
        </w:rPr>
        <w:t xml:space="preserve"> million tickets sold via MDMS platforms in 2019, </w:t>
      </w:r>
      <w:r w:rsidR="008C023A" w:rsidRPr="004657BF">
        <w:rPr>
          <w:noProof/>
          <w:spacing w:val="-8"/>
        </w:rPr>
        <w:t>164 million in 2030 and 194 million in 2050.</w:t>
      </w:r>
      <w:r w:rsidR="0051326E" w:rsidRPr="004657BF">
        <w:rPr>
          <w:noProof/>
          <w:spacing w:val="-8"/>
        </w:rPr>
        <w:t xml:space="preserve"> </w:t>
      </w:r>
    </w:p>
    <w:p w14:paraId="2559FC0A" w14:textId="4A4C52D1" w:rsidR="00D25D2F" w:rsidRPr="004657BF" w:rsidRDefault="00D25D2F" w:rsidP="00D25D2F">
      <w:pPr>
        <w:spacing w:after="240"/>
        <w:jc w:val="both"/>
        <w:rPr>
          <w:noProof/>
          <w:spacing w:val="-8"/>
        </w:rPr>
      </w:pPr>
      <w:r w:rsidRPr="004657BF">
        <w:rPr>
          <w:noProof/>
          <w:spacing w:val="-8"/>
        </w:rPr>
        <w:t xml:space="preserve">On the other hand, the share of air tickets sold via B2C platforms is projected to </w:t>
      </w:r>
      <w:r w:rsidR="0098363B" w:rsidRPr="004657BF">
        <w:rPr>
          <w:noProof/>
          <w:spacing w:val="-8"/>
        </w:rPr>
        <w:t xml:space="preserve">slightly increase </w:t>
      </w:r>
      <w:r w:rsidR="00185791" w:rsidRPr="004657BF">
        <w:rPr>
          <w:noProof/>
          <w:spacing w:val="-8"/>
        </w:rPr>
        <w:t xml:space="preserve">from 18% in 2019 to 18.9% in 2030 of the total air tickets sold and </w:t>
      </w:r>
      <w:r w:rsidRPr="004657BF">
        <w:rPr>
          <w:noProof/>
          <w:spacing w:val="-8"/>
        </w:rPr>
        <w:t xml:space="preserve">remain stable over time. The number of air tickets sold via B2C platforms is projected to increase from </w:t>
      </w:r>
      <w:r w:rsidR="00403E20" w:rsidRPr="004657BF">
        <w:rPr>
          <w:noProof/>
          <w:spacing w:val="-8"/>
        </w:rPr>
        <w:t>around</w:t>
      </w:r>
      <w:r w:rsidRPr="004657BF">
        <w:rPr>
          <w:noProof/>
          <w:spacing w:val="-8"/>
        </w:rPr>
        <w:t xml:space="preserve"> </w:t>
      </w:r>
      <w:r w:rsidR="00403E20" w:rsidRPr="004657BF">
        <w:rPr>
          <w:noProof/>
          <w:spacing w:val="-8"/>
        </w:rPr>
        <w:t>93</w:t>
      </w:r>
      <w:r w:rsidRPr="004657BF">
        <w:rPr>
          <w:noProof/>
          <w:spacing w:val="-8"/>
        </w:rPr>
        <w:t xml:space="preserve"> million in 2019, to </w:t>
      </w:r>
      <w:r w:rsidR="00F41F1A" w:rsidRPr="004657BF">
        <w:rPr>
          <w:noProof/>
          <w:spacing w:val="-8"/>
        </w:rPr>
        <w:t>103</w:t>
      </w:r>
      <w:r w:rsidRPr="004657BF">
        <w:rPr>
          <w:noProof/>
          <w:spacing w:val="-8"/>
        </w:rPr>
        <w:t xml:space="preserve"> million in 2030 and </w:t>
      </w:r>
      <w:r w:rsidR="00403E20" w:rsidRPr="004657BF">
        <w:rPr>
          <w:noProof/>
          <w:spacing w:val="-8"/>
        </w:rPr>
        <w:t>1</w:t>
      </w:r>
      <w:r w:rsidR="00151D2A" w:rsidRPr="004657BF">
        <w:rPr>
          <w:noProof/>
          <w:spacing w:val="-8"/>
        </w:rPr>
        <w:t>22</w:t>
      </w:r>
      <w:r w:rsidRPr="004657BF">
        <w:rPr>
          <w:noProof/>
          <w:spacing w:val="-8"/>
        </w:rPr>
        <w:t xml:space="preserve"> million by 2050. The share of coach tickets sold via MDMS platforms was </w:t>
      </w:r>
      <w:r w:rsidR="00D07477" w:rsidRPr="004657BF">
        <w:rPr>
          <w:noProof/>
          <w:spacing w:val="-8"/>
        </w:rPr>
        <w:t>2.5</w:t>
      </w:r>
      <w:r w:rsidRPr="004657BF">
        <w:rPr>
          <w:noProof/>
          <w:spacing w:val="-8"/>
        </w:rPr>
        <w:t xml:space="preserve">% in 2019 at EU level. The share is projected to go up to 3.5% in 2030 and 6.6% in 2050 indicating a somewhat slower ramp up compared to that of rail transport. The number of coach tickets sold via MDMS platforms in 2019 was estimated at around </w:t>
      </w:r>
      <w:r w:rsidR="00D07477" w:rsidRPr="004657BF">
        <w:rPr>
          <w:noProof/>
          <w:spacing w:val="-8"/>
        </w:rPr>
        <w:t>84</w:t>
      </w:r>
      <w:r w:rsidRPr="004657BF">
        <w:rPr>
          <w:noProof/>
          <w:spacing w:val="-8"/>
        </w:rPr>
        <w:t xml:space="preserve"> million, increasing to 126 million in 2030 and 273 million in 2050 due the increase in the MDMS market share and of the total number of coach tickets sold. The share of waterborne tickets sold via MDMS platforms was about 2.5% in 2019, with a projected increase to 3.4% by 2030 and 6.7% in 2050 at EU level. This corresponds to around 11 million tickets sold via MDMS platforms in 2019, increasing to 16 million in 2030 and 35 million in 2050.</w:t>
      </w:r>
    </w:p>
    <w:p w14:paraId="1EA0B681" w14:textId="3A83D3F6" w:rsidR="00D13129" w:rsidRPr="004657BF" w:rsidRDefault="008D3177" w:rsidP="00582286">
      <w:pPr>
        <w:spacing w:after="240"/>
        <w:jc w:val="both"/>
        <w:rPr>
          <w:noProof/>
          <w:spacing w:val="-8"/>
        </w:rPr>
      </w:pPr>
      <w:r w:rsidRPr="004657BF">
        <w:rPr>
          <w:noProof/>
          <w:spacing w:val="-8"/>
        </w:rPr>
        <w:t>Road congestion costs in the baseline scenario would increase by about 18% by 2030 and 34% by 2050, relative to 2015. On the inter-urban network this would be the result of growing transport activity along specific corridors, in particular where these corridors cross urban areas with heavy local traffic.</w:t>
      </w:r>
      <w:r w:rsidR="00AC2C71" w:rsidRPr="004657BF">
        <w:rPr>
          <w:noProof/>
          <w:spacing w:val="-8"/>
        </w:rPr>
        <w:t xml:space="preserve"> </w:t>
      </w:r>
      <w:r w:rsidR="005A4DEC" w:rsidRPr="004657BF">
        <w:rPr>
          <w:noProof/>
          <w:spacing w:val="-8"/>
        </w:rPr>
        <w:t>On the other hand, d</w:t>
      </w:r>
      <w:r w:rsidR="0096714D" w:rsidRPr="004657BF">
        <w:rPr>
          <w:noProof/>
          <w:spacing w:val="-8"/>
        </w:rPr>
        <w:t xml:space="preserve">riven by policy </w:t>
      </w:r>
      <w:r w:rsidR="00F63C9A" w:rsidRPr="004657BF">
        <w:rPr>
          <w:noProof/>
          <w:spacing w:val="-8"/>
        </w:rPr>
        <w:t xml:space="preserve">in place and the assumed implementation of the Roadworthiness package, </w:t>
      </w:r>
      <w:r w:rsidR="00B41336" w:rsidRPr="004657BF">
        <w:rPr>
          <w:noProof/>
          <w:spacing w:val="-8"/>
        </w:rPr>
        <w:t>t</w:t>
      </w:r>
      <w:r w:rsidR="00AC2C71" w:rsidRPr="004657BF">
        <w:rPr>
          <w:noProof/>
          <w:spacing w:val="-8"/>
        </w:rPr>
        <w:t xml:space="preserve">he number of fatalities is expected to </w:t>
      </w:r>
      <w:r w:rsidR="00B41336" w:rsidRPr="004657BF">
        <w:rPr>
          <w:noProof/>
          <w:spacing w:val="-8"/>
        </w:rPr>
        <w:t>decrease</w:t>
      </w:r>
      <w:r w:rsidR="00AC2C71" w:rsidRPr="004657BF">
        <w:rPr>
          <w:noProof/>
          <w:spacing w:val="-8"/>
        </w:rPr>
        <w:t xml:space="preserve"> by 25% by 2030</w:t>
      </w:r>
      <w:r w:rsidR="00887FBE" w:rsidRPr="004657BF">
        <w:rPr>
          <w:noProof/>
          <w:spacing w:val="-8"/>
        </w:rPr>
        <w:t>, relative to 2015</w:t>
      </w:r>
      <w:r w:rsidR="00161EAF" w:rsidRPr="004657BF">
        <w:rPr>
          <w:noProof/>
          <w:spacing w:val="-8"/>
        </w:rPr>
        <w:t xml:space="preserve"> (</w:t>
      </w:r>
      <w:r w:rsidR="00AC2C71" w:rsidRPr="004657BF">
        <w:rPr>
          <w:noProof/>
          <w:spacing w:val="-8"/>
        </w:rPr>
        <w:t xml:space="preserve">36% </w:t>
      </w:r>
      <w:r w:rsidR="00161EAF" w:rsidRPr="004657BF">
        <w:rPr>
          <w:noProof/>
          <w:spacing w:val="-8"/>
        </w:rPr>
        <w:t xml:space="preserve">decrease </w:t>
      </w:r>
      <w:r w:rsidR="00AC2C71" w:rsidRPr="004657BF">
        <w:rPr>
          <w:noProof/>
          <w:spacing w:val="-8"/>
        </w:rPr>
        <w:t>by 2050</w:t>
      </w:r>
      <w:r w:rsidR="00161EAF" w:rsidRPr="004657BF">
        <w:rPr>
          <w:noProof/>
          <w:spacing w:val="-8"/>
        </w:rPr>
        <w:t>)</w:t>
      </w:r>
      <w:r w:rsidR="00891DF9" w:rsidRPr="004657BF">
        <w:rPr>
          <w:noProof/>
          <w:spacing w:val="-8"/>
        </w:rPr>
        <w:t xml:space="preserve"> and t</w:t>
      </w:r>
      <w:r w:rsidR="001E7837" w:rsidRPr="004657BF">
        <w:rPr>
          <w:noProof/>
          <w:spacing w:val="-8"/>
        </w:rPr>
        <w:t>he</w:t>
      </w:r>
      <w:r w:rsidR="00AC2C71" w:rsidRPr="004657BF">
        <w:rPr>
          <w:noProof/>
          <w:spacing w:val="-8"/>
        </w:rPr>
        <w:t xml:space="preserve"> number of injuries </w:t>
      </w:r>
      <w:r w:rsidR="00EE0126" w:rsidRPr="004657BF">
        <w:rPr>
          <w:noProof/>
          <w:spacing w:val="-8"/>
        </w:rPr>
        <w:t xml:space="preserve">by 23% by 2030 </w:t>
      </w:r>
      <w:r w:rsidR="00891DF9" w:rsidRPr="004657BF">
        <w:rPr>
          <w:noProof/>
          <w:spacing w:val="-8"/>
        </w:rPr>
        <w:t>(</w:t>
      </w:r>
      <w:r w:rsidR="00EA01DD" w:rsidRPr="004657BF">
        <w:rPr>
          <w:noProof/>
          <w:spacing w:val="-8"/>
        </w:rPr>
        <w:t xml:space="preserve">32% </w:t>
      </w:r>
      <w:r w:rsidR="00891DF9" w:rsidRPr="004657BF">
        <w:rPr>
          <w:noProof/>
          <w:spacing w:val="-8"/>
        </w:rPr>
        <w:t>reduction for 2015-</w:t>
      </w:r>
      <w:r w:rsidR="00EA01DD" w:rsidRPr="004657BF">
        <w:rPr>
          <w:noProof/>
          <w:spacing w:val="-8"/>
        </w:rPr>
        <w:t>2050</w:t>
      </w:r>
      <w:r w:rsidR="00891DF9" w:rsidRPr="004657BF">
        <w:rPr>
          <w:noProof/>
          <w:spacing w:val="-8"/>
        </w:rPr>
        <w:t>)</w:t>
      </w:r>
      <w:r w:rsidR="00EA01DD" w:rsidRPr="004657BF">
        <w:rPr>
          <w:noProof/>
          <w:spacing w:val="-8"/>
        </w:rPr>
        <w:t xml:space="preserve">. </w:t>
      </w:r>
      <w:r w:rsidRPr="004657BF">
        <w:rPr>
          <w:noProof/>
          <w:spacing w:val="-8"/>
          <w:lang w:eastAsia="en-GB"/>
        </w:rPr>
        <w:t>CO</w:t>
      </w:r>
      <w:r w:rsidRPr="004657BF">
        <w:rPr>
          <w:noProof/>
          <w:spacing w:val="-8"/>
          <w:vertAlign w:val="subscript"/>
          <w:lang w:eastAsia="en-GB"/>
        </w:rPr>
        <w:t>2</w:t>
      </w:r>
      <w:r w:rsidRPr="004657BF">
        <w:rPr>
          <w:noProof/>
          <w:spacing w:val="-8"/>
          <w:lang w:eastAsia="en-GB"/>
        </w:rPr>
        <w:t xml:space="preserve"> emissions from passenger transport are projected to be 27% lower by 2030 compared to 2015, and 96% lower by 2050. The baseline scenario shows that the emission reductions from the passenger transport sector would contribute towards the ambition of at least 55% emission reductions by 2030 and climate neutrality by 2050, while relying to a significant extent on technological solutions (i.e., the uptake of low- and zero-emission vehicles and of renewable and low carbon fuels) and carbon pricing. </w:t>
      </w:r>
      <w:r w:rsidRPr="004657BF">
        <w:rPr>
          <w:noProof/>
          <w:spacing w:val="-8"/>
        </w:rPr>
        <w:t>NOx emissions are projected to go down by 56% between 2015 and 2030 (94% by 2050), mainly driven by the electrification of the road transport. The decline in particulate matter (PM2.5) would be slightly lower by 2030 at 34% relative to 2015 (89% by 2050).</w:t>
      </w:r>
    </w:p>
    <w:p w14:paraId="1807360D" w14:textId="77777777" w:rsidR="00712390" w:rsidRPr="00D71008" w:rsidRDefault="003C4819" w:rsidP="006E3FA1">
      <w:pPr>
        <w:pStyle w:val="Heading2"/>
        <w:keepNext/>
        <w:numPr>
          <w:ilvl w:val="1"/>
          <w:numId w:val="11"/>
        </w:numPr>
        <w:tabs>
          <w:tab w:val="left" w:pos="709"/>
        </w:tabs>
        <w:spacing w:before="240" w:after="240"/>
        <w:ind w:left="1134" w:hanging="708"/>
        <w:rPr>
          <w:noProof/>
        </w:rPr>
      </w:pPr>
      <w:bookmarkStart w:id="93" w:name="5.2_Description_of_the_policy_measures_a"/>
      <w:bookmarkStart w:id="94" w:name="_Toc220667494"/>
      <w:bookmarkStart w:id="95" w:name="_Toc223979959"/>
      <w:bookmarkEnd w:id="93"/>
      <w:r w:rsidRPr="00D71008">
        <w:rPr>
          <w:noProof/>
        </w:rPr>
        <w:t>Description of the policy measures and policy options</w:t>
      </w:r>
      <w:bookmarkEnd w:id="94"/>
      <w:bookmarkEnd w:id="95"/>
    </w:p>
    <w:p w14:paraId="67B15FEB" w14:textId="13908548" w:rsidR="00712390" w:rsidRPr="00780992" w:rsidRDefault="003C4819" w:rsidP="0086193D">
      <w:pPr>
        <w:pStyle w:val="BodyText"/>
        <w:spacing w:after="240"/>
        <w:ind w:left="0"/>
        <w:rPr>
          <w:noProof/>
          <w:spacing w:val="-8"/>
        </w:rPr>
      </w:pPr>
      <w:r w:rsidRPr="00780992">
        <w:rPr>
          <w:noProof/>
          <w:spacing w:val="-8"/>
        </w:rPr>
        <w:t>A comprehensive list of policy measures was established after extensive consultations with stakeholders, expert meetings, independent research and the Commission’s own analysis. This list was screened based on the likely effectiveness, efficiency and proportionality of the proposed measures in relation to the objectives, as well as their legal and technical feasibility.</w:t>
      </w:r>
    </w:p>
    <w:p w14:paraId="1AB9BA5A" w14:textId="77777777" w:rsidR="00712390" w:rsidRPr="00237A70" w:rsidRDefault="003C4819" w:rsidP="006E3FA1">
      <w:pPr>
        <w:pStyle w:val="Heading2"/>
        <w:keepNext/>
        <w:numPr>
          <w:ilvl w:val="2"/>
          <w:numId w:val="11"/>
        </w:numPr>
        <w:tabs>
          <w:tab w:val="left" w:pos="709"/>
        </w:tabs>
        <w:spacing w:before="0" w:after="240"/>
        <w:ind w:left="1134" w:hanging="708"/>
        <w:rPr>
          <w:b w:val="0"/>
          <w:i/>
          <w:noProof/>
        </w:rPr>
      </w:pPr>
      <w:bookmarkStart w:id="96" w:name="5.2.1_Discarded_policy_measures"/>
      <w:bookmarkStart w:id="97" w:name="_Toc220667495"/>
      <w:bookmarkStart w:id="98" w:name="_Toc222313473"/>
      <w:bookmarkStart w:id="99" w:name="_Toc222748990"/>
      <w:bookmarkStart w:id="100" w:name="_Toc223979960"/>
      <w:bookmarkEnd w:id="96"/>
      <w:r w:rsidRPr="00D71008">
        <w:rPr>
          <w:b w:val="0"/>
          <w:bCs w:val="0"/>
          <w:i/>
          <w:iCs/>
          <w:noProof/>
        </w:rPr>
        <w:t>Discarded policy measures</w:t>
      </w:r>
      <w:bookmarkEnd w:id="97"/>
      <w:bookmarkEnd w:id="98"/>
      <w:bookmarkEnd w:id="99"/>
      <w:bookmarkEnd w:id="100"/>
    </w:p>
    <w:p w14:paraId="6FEC63D3" w14:textId="46C1F7D4" w:rsidR="0046787B" w:rsidRPr="00780992" w:rsidRDefault="2471901C" w:rsidP="0086193D">
      <w:pPr>
        <w:pStyle w:val="BodyText"/>
        <w:spacing w:after="240"/>
        <w:ind w:left="0"/>
        <w:rPr>
          <w:noProof/>
          <w:spacing w:val="-8"/>
        </w:rPr>
      </w:pPr>
      <w:r w:rsidRPr="00780992">
        <w:rPr>
          <w:noProof/>
          <w:spacing w:val="-8"/>
        </w:rPr>
        <w:t xml:space="preserve">Several policy measures that were considered during the </w:t>
      </w:r>
      <w:r w:rsidR="65EB5988" w:rsidRPr="00780992">
        <w:rPr>
          <w:noProof/>
          <w:spacing w:val="-8"/>
        </w:rPr>
        <w:t>IA</w:t>
      </w:r>
      <w:r w:rsidRPr="00780992">
        <w:rPr>
          <w:noProof/>
          <w:spacing w:val="-8"/>
        </w:rPr>
        <w:t xml:space="preserve"> process were discarded. </w:t>
      </w:r>
      <w:r w:rsidR="001716BE" w:rsidRPr="00780992">
        <w:rPr>
          <w:noProof/>
          <w:spacing w:val="-8"/>
        </w:rPr>
        <w:t>Mo</w:t>
      </w:r>
      <w:r w:rsidRPr="00780992">
        <w:rPr>
          <w:noProof/>
          <w:spacing w:val="-8"/>
        </w:rPr>
        <w:t>r</w:t>
      </w:r>
      <w:r w:rsidR="001716BE" w:rsidRPr="00780992">
        <w:rPr>
          <w:noProof/>
          <w:spacing w:val="-8"/>
        </w:rPr>
        <w:t>e</w:t>
      </w:r>
      <w:r w:rsidRPr="00780992">
        <w:rPr>
          <w:noProof/>
          <w:spacing w:val="-8"/>
        </w:rPr>
        <w:t xml:space="preserve"> details on the discarded policy measures and the reasons for discarding them are set out in Annex </w:t>
      </w:r>
      <w:r w:rsidR="00CD04BE" w:rsidRPr="00780992">
        <w:rPr>
          <w:noProof/>
          <w:spacing w:val="-8"/>
        </w:rPr>
        <w:t>7</w:t>
      </w:r>
      <w:r w:rsidRPr="00780992">
        <w:rPr>
          <w:noProof/>
          <w:spacing w:val="-8"/>
        </w:rPr>
        <w:t>.</w:t>
      </w:r>
    </w:p>
    <w:p w14:paraId="3840539F" w14:textId="3BF29143" w:rsidR="00712390" w:rsidRPr="00D71008" w:rsidRDefault="003C4819" w:rsidP="006E3FA1">
      <w:pPr>
        <w:pStyle w:val="Heading2"/>
        <w:keepNext/>
        <w:numPr>
          <w:ilvl w:val="2"/>
          <w:numId w:val="11"/>
        </w:numPr>
        <w:tabs>
          <w:tab w:val="left" w:pos="709"/>
        </w:tabs>
        <w:spacing w:before="0" w:after="240"/>
        <w:ind w:left="1134" w:hanging="708"/>
        <w:rPr>
          <w:b w:val="0"/>
          <w:i/>
          <w:noProof/>
        </w:rPr>
      </w:pPr>
      <w:bookmarkStart w:id="101" w:name="5.2.2_Retained_policy_measures_and_polic"/>
      <w:bookmarkStart w:id="102" w:name="_Toc223979961"/>
      <w:bookmarkStart w:id="103" w:name="_Toc220667496"/>
      <w:bookmarkStart w:id="104" w:name="_Toc222313474"/>
      <w:bookmarkStart w:id="105" w:name="_Toc222748991"/>
      <w:bookmarkEnd w:id="101"/>
      <w:r w:rsidRPr="00D71008">
        <w:rPr>
          <w:b w:val="0"/>
          <w:bCs w:val="0"/>
          <w:i/>
          <w:iCs/>
          <w:noProof/>
        </w:rPr>
        <w:t>Retained policy measures</w:t>
      </w:r>
      <w:bookmarkEnd w:id="102"/>
      <w:r w:rsidRPr="00D71008">
        <w:rPr>
          <w:b w:val="0"/>
          <w:bCs w:val="0"/>
          <w:i/>
          <w:iCs/>
          <w:noProof/>
        </w:rPr>
        <w:t xml:space="preserve"> </w:t>
      </w:r>
      <w:bookmarkEnd w:id="103"/>
      <w:bookmarkEnd w:id="104"/>
      <w:bookmarkEnd w:id="105"/>
    </w:p>
    <w:p w14:paraId="6D25AF48" w14:textId="6067B08E" w:rsidR="00C64FC9" w:rsidRPr="004657BF" w:rsidRDefault="00CD1CAB" w:rsidP="006A3DD3">
      <w:pPr>
        <w:pStyle w:val="BodyText"/>
        <w:spacing w:after="240"/>
        <w:ind w:left="0"/>
        <w:rPr>
          <w:noProof/>
          <w:spacing w:val="-8"/>
        </w:rPr>
      </w:pPr>
      <w:r w:rsidRPr="004657BF">
        <w:rPr>
          <w:noProof/>
          <w:spacing w:val="-8"/>
        </w:rPr>
        <w:t>T</w:t>
      </w:r>
      <w:r w:rsidR="002D1020" w:rsidRPr="004657BF">
        <w:rPr>
          <w:noProof/>
          <w:spacing w:val="-8"/>
        </w:rPr>
        <w:t>o understand the scope of t</w:t>
      </w:r>
      <w:r w:rsidRPr="004657BF">
        <w:rPr>
          <w:noProof/>
          <w:spacing w:val="-8"/>
        </w:rPr>
        <w:t>he m</w:t>
      </w:r>
      <w:r w:rsidR="003E251E" w:rsidRPr="004657BF">
        <w:rPr>
          <w:noProof/>
          <w:spacing w:val="-8"/>
        </w:rPr>
        <w:t xml:space="preserve">ost </w:t>
      </w:r>
      <w:r w:rsidRPr="004657BF">
        <w:rPr>
          <w:noProof/>
          <w:spacing w:val="-8"/>
        </w:rPr>
        <w:t xml:space="preserve">stringent </w:t>
      </w:r>
      <w:r w:rsidR="003E251E" w:rsidRPr="004657BF">
        <w:rPr>
          <w:noProof/>
          <w:spacing w:val="-8"/>
        </w:rPr>
        <w:t>policy measures</w:t>
      </w:r>
      <w:r w:rsidR="00A74A83" w:rsidRPr="004657BF">
        <w:rPr>
          <w:noProof/>
          <w:spacing w:val="-8"/>
        </w:rPr>
        <w:t>,</w:t>
      </w:r>
      <w:r w:rsidR="003E251E" w:rsidRPr="004657BF">
        <w:rPr>
          <w:noProof/>
          <w:spacing w:val="-8"/>
        </w:rPr>
        <w:t xml:space="preserve"> </w:t>
      </w:r>
      <w:r w:rsidR="00FB3EC0" w:rsidRPr="004657BF">
        <w:rPr>
          <w:noProof/>
          <w:spacing w:val="-8"/>
        </w:rPr>
        <w:t xml:space="preserve">the </w:t>
      </w:r>
      <w:r w:rsidR="00697D22" w:rsidRPr="004657BF">
        <w:rPr>
          <w:noProof/>
          <w:spacing w:val="-8"/>
        </w:rPr>
        <w:t xml:space="preserve">identification of </w:t>
      </w:r>
      <w:r w:rsidR="00C169ED" w:rsidRPr="004657BF">
        <w:rPr>
          <w:noProof/>
          <w:spacing w:val="-8"/>
        </w:rPr>
        <w:t>indispensable MDMS platforms and indispensable RUs</w:t>
      </w:r>
      <w:r w:rsidR="004F2964" w:rsidRPr="004657BF">
        <w:rPr>
          <w:noProof/>
          <w:spacing w:val="-8"/>
        </w:rPr>
        <w:t xml:space="preserve"> </w:t>
      </w:r>
      <w:r w:rsidR="00697D22" w:rsidRPr="004657BF">
        <w:rPr>
          <w:noProof/>
          <w:spacing w:val="-8"/>
        </w:rPr>
        <w:t>is described below</w:t>
      </w:r>
      <w:r w:rsidR="003C4819" w:rsidRPr="004657BF">
        <w:rPr>
          <w:noProof/>
          <w:spacing w:val="-8"/>
        </w:rPr>
        <w:t>.</w:t>
      </w:r>
    </w:p>
    <w:p w14:paraId="69805DE8" w14:textId="778F2767" w:rsidR="00867A37" w:rsidRPr="004657BF" w:rsidRDefault="006009F2" w:rsidP="009C2B4B">
      <w:pPr>
        <w:pStyle w:val="BodyText"/>
        <w:spacing w:after="240"/>
        <w:ind w:left="0"/>
        <w:rPr>
          <w:noProof/>
          <w:spacing w:val="-8"/>
        </w:rPr>
      </w:pPr>
      <w:r w:rsidRPr="004657BF">
        <w:rPr>
          <w:i/>
          <w:noProof/>
          <w:spacing w:val="-8"/>
        </w:rPr>
        <w:t xml:space="preserve">Indispensable </w:t>
      </w:r>
      <w:r w:rsidR="001358ED" w:rsidRPr="004657BF">
        <w:rPr>
          <w:i/>
          <w:noProof/>
          <w:spacing w:val="-8"/>
        </w:rPr>
        <w:t>RU</w:t>
      </w:r>
      <w:r w:rsidR="00867A37" w:rsidRPr="004657BF">
        <w:rPr>
          <w:i/>
          <w:noProof/>
          <w:spacing w:val="-8"/>
        </w:rPr>
        <w:t>s</w:t>
      </w:r>
      <w:r w:rsidR="007250B7" w:rsidRPr="004657BF">
        <w:rPr>
          <w:noProof/>
          <w:spacing w:val="-8"/>
        </w:rPr>
        <w:t xml:space="preserve"> </w:t>
      </w:r>
      <w:r w:rsidR="546FD33D" w:rsidRPr="004657BF">
        <w:rPr>
          <w:noProof/>
          <w:spacing w:val="-8"/>
        </w:rPr>
        <w:t xml:space="preserve">are </w:t>
      </w:r>
      <w:r w:rsidR="00B01ED9" w:rsidRPr="004657BF">
        <w:rPr>
          <w:noProof/>
          <w:spacing w:val="-8"/>
        </w:rPr>
        <w:t>RUs</w:t>
      </w:r>
      <w:r w:rsidR="546FD33D" w:rsidRPr="004657BF">
        <w:rPr>
          <w:noProof/>
          <w:spacing w:val="-8"/>
        </w:rPr>
        <w:t xml:space="preserve"> that </w:t>
      </w:r>
      <w:r w:rsidR="00867A37" w:rsidRPr="004657BF">
        <w:rPr>
          <w:noProof/>
          <w:spacing w:val="-8"/>
        </w:rPr>
        <w:t>operat</w:t>
      </w:r>
      <w:r w:rsidR="00643C66" w:rsidRPr="004657BF">
        <w:rPr>
          <w:noProof/>
          <w:spacing w:val="-8"/>
        </w:rPr>
        <w:t>e</w:t>
      </w:r>
      <w:r w:rsidR="438E7B46" w:rsidRPr="004657BF">
        <w:rPr>
          <w:noProof/>
          <w:spacing w:val="-8"/>
        </w:rPr>
        <w:t>: 1)</w:t>
      </w:r>
      <w:r w:rsidR="00867A37" w:rsidRPr="004657BF">
        <w:rPr>
          <w:noProof/>
          <w:spacing w:val="-8"/>
        </w:rPr>
        <w:t xml:space="preserve"> </w:t>
      </w:r>
      <w:r w:rsidR="00D42F67" w:rsidRPr="004657BF">
        <w:rPr>
          <w:noProof/>
          <w:spacing w:val="-8"/>
        </w:rPr>
        <w:t>PSO</w:t>
      </w:r>
      <w:r w:rsidR="00B4741C" w:rsidRPr="004657BF">
        <w:rPr>
          <w:noProof/>
          <w:spacing w:val="-8"/>
        </w:rPr>
        <w:t xml:space="preserve"> </w:t>
      </w:r>
      <w:r w:rsidR="0963C1D5" w:rsidRPr="004657BF">
        <w:rPr>
          <w:noProof/>
          <w:spacing w:val="-8"/>
        </w:rPr>
        <w:t>services, 2)</w:t>
      </w:r>
      <w:r w:rsidR="00D42F67" w:rsidRPr="004657BF">
        <w:rPr>
          <w:noProof/>
          <w:spacing w:val="-8"/>
        </w:rPr>
        <w:t xml:space="preserve"> cross-border </w:t>
      </w:r>
      <w:r w:rsidR="00B4741C" w:rsidRPr="004657BF">
        <w:rPr>
          <w:noProof/>
          <w:spacing w:val="-8"/>
        </w:rPr>
        <w:t>services</w:t>
      </w:r>
      <w:r w:rsidR="00E55B37" w:rsidRPr="004657BF">
        <w:rPr>
          <w:noProof/>
          <w:spacing w:val="-8"/>
        </w:rPr>
        <w:t>,</w:t>
      </w:r>
      <w:r w:rsidR="00D42F67" w:rsidRPr="004657BF">
        <w:rPr>
          <w:noProof/>
          <w:spacing w:val="-8"/>
        </w:rPr>
        <w:t xml:space="preserve"> or</w:t>
      </w:r>
      <w:r w:rsidR="4A9E1DD9" w:rsidRPr="004657BF">
        <w:rPr>
          <w:noProof/>
          <w:spacing w:val="-8"/>
        </w:rPr>
        <w:t xml:space="preserve"> 3)</w:t>
      </w:r>
      <w:r w:rsidR="00867A37" w:rsidRPr="004657BF">
        <w:rPr>
          <w:noProof/>
          <w:spacing w:val="-8"/>
        </w:rPr>
        <w:t xml:space="preserve"> more</w:t>
      </w:r>
      <w:r w:rsidR="00867A37" w:rsidRPr="004657BF" w:rsidDel="00413D80">
        <w:rPr>
          <w:noProof/>
          <w:spacing w:val="-8"/>
        </w:rPr>
        <w:t xml:space="preserve"> </w:t>
      </w:r>
      <w:r w:rsidR="00413D80" w:rsidRPr="004657BF">
        <w:rPr>
          <w:noProof/>
          <w:spacing w:val="-8"/>
        </w:rPr>
        <w:t>than</w:t>
      </w:r>
      <w:r w:rsidR="008047F3" w:rsidRPr="004657BF">
        <w:rPr>
          <w:noProof/>
          <w:spacing w:val="-8"/>
        </w:rPr>
        <w:t xml:space="preserve"> </w:t>
      </w:r>
      <w:r w:rsidR="00867A37" w:rsidRPr="004657BF">
        <w:rPr>
          <w:noProof/>
          <w:spacing w:val="-8"/>
        </w:rPr>
        <w:t xml:space="preserve">50% of total rail services in a Member State, measured in annual passenger-kilometres, including both domestic and cross-border services. </w:t>
      </w:r>
      <w:r w:rsidR="002D29D5" w:rsidRPr="004657BF">
        <w:rPr>
          <w:noProof/>
          <w:spacing w:val="-8"/>
        </w:rPr>
        <w:t>I</w:t>
      </w:r>
      <w:r w:rsidR="00867A37" w:rsidRPr="004657BF">
        <w:rPr>
          <w:noProof/>
          <w:spacing w:val="-8"/>
        </w:rPr>
        <w:t xml:space="preserve">n Commission's practice on </w:t>
      </w:r>
      <w:r w:rsidR="001B29BD" w:rsidRPr="004657BF">
        <w:rPr>
          <w:noProof/>
          <w:spacing w:val="-8"/>
        </w:rPr>
        <w:t xml:space="preserve">assessment of </w:t>
      </w:r>
      <w:r w:rsidR="00867A37" w:rsidRPr="004657BF">
        <w:rPr>
          <w:noProof/>
          <w:spacing w:val="-8"/>
        </w:rPr>
        <w:t>significant market power</w:t>
      </w:r>
      <w:r w:rsidR="00BA6650" w:rsidRPr="004657BF">
        <w:rPr>
          <w:noProof/>
          <w:spacing w:val="-8"/>
        </w:rPr>
        <w:t xml:space="preserve"> for the </w:t>
      </w:r>
      <w:r w:rsidR="003E0F91" w:rsidRPr="004657BF">
        <w:rPr>
          <w:noProof/>
          <w:spacing w:val="-8"/>
        </w:rPr>
        <w:t xml:space="preserve">purposes of </w:t>
      </w:r>
      <w:r w:rsidR="003E0F91" w:rsidRPr="004657BF">
        <w:rPr>
          <w:i/>
          <w:noProof/>
          <w:spacing w:val="-8"/>
        </w:rPr>
        <w:t>ex ante</w:t>
      </w:r>
      <w:r w:rsidR="003E0F91" w:rsidRPr="004657BF">
        <w:rPr>
          <w:noProof/>
          <w:spacing w:val="-8"/>
        </w:rPr>
        <w:t xml:space="preserve"> regulation</w:t>
      </w:r>
      <w:r w:rsidR="003E0F91" w:rsidRPr="004657BF">
        <w:rPr>
          <w:noProof/>
          <w:spacing w:val="-8"/>
          <w:vertAlign w:val="superscript"/>
        </w:rPr>
        <w:footnoteReference w:id="149"/>
      </w:r>
      <w:r w:rsidR="003E0F91" w:rsidRPr="004657BF">
        <w:rPr>
          <w:noProof/>
          <w:spacing w:val="-8"/>
        </w:rPr>
        <w:t>,</w:t>
      </w:r>
      <w:r w:rsidR="003E0F91" w:rsidRPr="004657BF" w:rsidDel="00BC2098">
        <w:rPr>
          <w:noProof/>
          <w:spacing w:val="-8"/>
        </w:rPr>
        <w:t xml:space="preserve"> </w:t>
      </w:r>
      <w:r w:rsidR="003E0F91" w:rsidRPr="004657BF">
        <w:rPr>
          <w:noProof/>
          <w:spacing w:val="-8"/>
        </w:rPr>
        <w:t>and by analogy with the case law concerning dominance</w:t>
      </w:r>
      <w:r w:rsidR="003E0F91" w:rsidRPr="004657BF">
        <w:rPr>
          <w:noProof/>
          <w:spacing w:val="-8"/>
          <w:vertAlign w:val="superscript"/>
        </w:rPr>
        <w:footnoteReference w:id="150"/>
      </w:r>
      <w:r w:rsidR="003E0F91" w:rsidRPr="004657BF">
        <w:rPr>
          <w:noProof/>
          <w:spacing w:val="-8"/>
        </w:rPr>
        <w:t>, it has been considered that</w:t>
      </w:r>
      <w:r w:rsidR="006B4E8A" w:rsidRPr="004657BF">
        <w:rPr>
          <w:noProof/>
          <w:spacing w:val="-8"/>
        </w:rPr>
        <w:t xml:space="preserve"> </w:t>
      </w:r>
      <w:r w:rsidR="00867A37" w:rsidRPr="004657BF" w:rsidDel="00BC2098">
        <w:rPr>
          <w:noProof/>
          <w:spacing w:val="-8"/>
        </w:rPr>
        <w:t xml:space="preserve">a very large market share held by an undertaking for some time </w:t>
      </w:r>
      <w:r w:rsidR="00867A37" w:rsidRPr="004657BF">
        <w:rPr>
          <w:noProof/>
          <w:spacing w:val="-8"/>
        </w:rPr>
        <w:t>–</w:t>
      </w:r>
      <w:r w:rsidR="00867A37" w:rsidRPr="004657BF" w:rsidDel="00BC2098">
        <w:rPr>
          <w:noProof/>
          <w:spacing w:val="-8"/>
        </w:rPr>
        <w:t xml:space="preserve"> </w:t>
      </w:r>
      <w:r w:rsidR="003A4FFA" w:rsidRPr="004657BF" w:rsidDel="00BC2098">
        <w:rPr>
          <w:noProof/>
          <w:spacing w:val="-8"/>
        </w:rPr>
        <w:t>more than</w:t>
      </w:r>
      <w:r w:rsidR="00867A37" w:rsidRPr="004657BF" w:rsidDel="00BC2098">
        <w:rPr>
          <w:noProof/>
          <w:spacing w:val="-8"/>
        </w:rPr>
        <w:t xml:space="preserve"> 50</w:t>
      </w:r>
      <w:r w:rsidR="00867A37" w:rsidRPr="004657BF">
        <w:rPr>
          <w:noProof/>
          <w:spacing w:val="-8"/>
        </w:rPr>
        <w:t xml:space="preserve">% </w:t>
      </w:r>
      <w:r w:rsidR="00B05294" w:rsidRPr="004657BF">
        <w:rPr>
          <w:noProof/>
          <w:spacing w:val="-8"/>
        </w:rPr>
        <w:t>–</w:t>
      </w:r>
      <w:r w:rsidR="00867A37" w:rsidRPr="004657BF" w:rsidDel="00BC2098">
        <w:rPr>
          <w:noProof/>
          <w:spacing w:val="-8"/>
        </w:rPr>
        <w:t xml:space="preserve"> is in itself, save in exceptional circumstances, evidence of the existence of a dominant position. </w:t>
      </w:r>
      <w:r w:rsidR="00867A37" w:rsidRPr="004657BF">
        <w:rPr>
          <w:noProof/>
          <w:spacing w:val="-8"/>
        </w:rPr>
        <w:t>The higher the market share and the longer the period over which it is held, the more likely it is that it constitutes an important preliminary indication of significant market presence</w:t>
      </w:r>
      <w:r w:rsidR="006B6D0A" w:rsidRPr="004657BF">
        <w:rPr>
          <w:noProof/>
          <w:spacing w:val="-8"/>
        </w:rPr>
        <w:t xml:space="preserve"> (SMP)</w:t>
      </w:r>
      <w:r w:rsidR="00867A37" w:rsidRPr="004657BF">
        <w:rPr>
          <w:rStyle w:val="FootnoteReference"/>
          <w:noProof/>
          <w:spacing w:val="-8"/>
        </w:rPr>
        <w:footnoteReference w:id="151"/>
      </w:r>
      <w:r w:rsidR="00867A37" w:rsidRPr="004657BF">
        <w:rPr>
          <w:noProof/>
          <w:spacing w:val="-8"/>
        </w:rPr>
        <w:t>.</w:t>
      </w:r>
    </w:p>
    <w:p w14:paraId="51C61295" w14:textId="77777777" w:rsidR="0055391F" w:rsidRPr="004E4359" w:rsidRDefault="007250B7" w:rsidP="0055391F">
      <w:pPr>
        <w:pStyle w:val="BodyText"/>
        <w:spacing w:after="240"/>
        <w:rPr>
          <w:i/>
          <w:iCs/>
          <w:noProof/>
        </w:rPr>
      </w:pPr>
      <w:r w:rsidRPr="004657BF">
        <w:rPr>
          <w:i/>
          <w:noProof/>
          <w:spacing w:val="-8"/>
        </w:rPr>
        <w:t>Indispensable RU platforms</w:t>
      </w:r>
      <w:r w:rsidRPr="004657BF">
        <w:rPr>
          <w:noProof/>
          <w:spacing w:val="-8"/>
        </w:rPr>
        <w:t xml:space="preserve"> are </w:t>
      </w:r>
      <w:r w:rsidR="00DB4FD9" w:rsidRPr="004657BF">
        <w:rPr>
          <w:noProof/>
          <w:spacing w:val="-8"/>
        </w:rPr>
        <w:t xml:space="preserve">the main sales channel for most rail customers </w:t>
      </w:r>
      <w:r w:rsidR="003B1508" w:rsidRPr="004657BF">
        <w:rPr>
          <w:noProof/>
          <w:spacing w:val="-8"/>
        </w:rPr>
        <w:t xml:space="preserve">and </w:t>
      </w:r>
      <w:r w:rsidRPr="004657BF">
        <w:rPr>
          <w:noProof/>
          <w:spacing w:val="-8"/>
        </w:rPr>
        <w:t xml:space="preserve">account for a large share of rail ticket distribution. </w:t>
      </w:r>
      <w:r w:rsidR="00410664" w:rsidRPr="004657BF">
        <w:rPr>
          <w:noProof/>
          <w:spacing w:val="-8"/>
        </w:rPr>
        <w:t>A</w:t>
      </w:r>
      <w:r w:rsidRPr="004657BF">
        <w:rPr>
          <w:noProof/>
          <w:spacing w:val="-8"/>
        </w:rPr>
        <w:t xml:space="preserve"> RU platform is considered indispensable </w:t>
      </w:r>
      <w:r w:rsidR="00AD5103" w:rsidRPr="004657BF">
        <w:rPr>
          <w:noProof/>
          <w:spacing w:val="-8"/>
        </w:rPr>
        <w:t xml:space="preserve">if </w:t>
      </w:r>
      <w:r w:rsidRPr="004657BF">
        <w:rPr>
          <w:noProof/>
          <w:spacing w:val="-8"/>
        </w:rPr>
        <w:t>it is owned by a</w:t>
      </w:r>
      <w:r w:rsidR="0057322E" w:rsidRPr="004657BF">
        <w:rPr>
          <w:noProof/>
          <w:spacing w:val="-8"/>
        </w:rPr>
        <w:t xml:space="preserve"> </w:t>
      </w:r>
      <w:r w:rsidR="009E1ABF" w:rsidRPr="004657BF">
        <w:rPr>
          <w:noProof/>
          <w:spacing w:val="-8"/>
        </w:rPr>
        <w:t xml:space="preserve">RU </w:t>
      </w:r>
      <w:r w:rsidR="006424FC" w:rsidRPr="004657BF">
        <w:rPr>
          <w:noProof/>
          <w:spacing w:val="-8"/>
        </w:rPr>
        <w:t xml:space="preserve">which </w:t>
      </w:r>
      <w:r w:rsidR="00AD5103" w:rsidRPr="004657BF">
        <w:rPr>
          <w:noProof/>
          <w:spacing w:val="-8"/>
        </w:rPr>
        <w:t xml:space="preserve">(i) </w:t>
      </w:r>
      <w:r w:rsidR="006424FC" w:rsidRPr="004657BF">
        <w:rPr>
          <w:noProof/>
          <w:spacing w:val="-8"/>
        </w:rPr>
        <w:t>operates more than 50% of total rail services</w:t>
      </w:r>
      <w:r w:rsidR="009E1ABF" w:rsidRPr="004657BF">
        <w:rPr>
          <w:noProof/>
          <w:spacing w:val="-8"/>
        </w:rPr>
        <w:t xml:space="preserve"> </w:t>
      </w:r>
      <w:r w:rsidR="00915C68" w:rsidRPr="004657BF">
        <w:rPr>
          <w:noProof/>
          <w:spacing w:val="-8"/>
        </w:rPr>
        <w:t>in a Member State</w:t>
      </w:r>
      <w:r w:rsidR="001D5FC4" w:rsidRPr="004657BF">
        <w:rPr>
          <w:noProof/>
          <w:spacing w:val="-8"/>
        </w:rPr>
        <w:t xml:space="preserve">, </w:t>
      </w:r>
      <w:r w:rsidR="00011089" w:rsidRPr="004657BF">
        <w:rPr>
          <w:noProof/>
          <w:spacing w:val="-8"/>
        </w:rPr>
        <w:t>as a structural link exist</w:t>
      </w:r>
      <w:r w:rsidR="008B1F72" w:rsidRPr="004657BF">
        <w:rPr>
          <w:noProof/>
          <w:spacing w:val="-8"/>
        </w:rPr>
        <w:t>s</w:t>
      </w:r>
      <w:r w:rsidR="00011089" w:rsidRPr="004657BF">
        <w:rPr>
          <w:noProof/>
          <w:spacing w:val="-8"/>
        </w:rPr>
        <w:t xml:space="preserve"> between </w:t>
      </w:r>
      <w:r w:rsidR="008B1F72" w:rsidRPr="004657BF">
        <w:rPr>
          <w:noProof/>
          <w:spacing w:val="-8"/>
        </w:rPr>
        <w:t>the</w:t>
      </w:r>
      <w:r w:rsidR="00011089" w:rsidRPr="004657BF">
        <w:rPr>
          <w:noProof/>
          <w:spacing w:val="-8"/>
        </w:rPr>
        <w:t xml:space="preserve"> </w:t>
      </w:r>
      <w:r w:rsidR="001358ED" w:rsidRPr="004657BF">
        <w:rPr>
          <w:noProof/>
          <w:spacing w:val="-8"/>
        </w:rPr>
        <w:t>RU</w:t>
      </w:r>
      <w:r w:rsidR="00011089" w:rsidRPr="004657BF">
        <w:rPr>
          <w:noProof/>
          <w:spacing w:val="-8"/>
        </w:rPr>
        <w:t xml:space="preserve">’s strong positions in passenger rail transport and </w:t>
      </w:r>
      <w:r w:rsidR="008B1F72" w:rsidRPr="004657BF">
        <w:rPr>
          <w:noProof/>
          <w:spacing w:val="-8"/>
        </w:rPr>
        <w:t xml:space="preserve">its </w:t>
      </w:r>
      <w:r w:rsidR="00011089" w:rsidRPr="004657BF">
        <w:rPr>
          <w:noProof/>
          <w:spacing w:val="-8"/>
        </w:rPr>
        <w:t>ability to leverage this position into the downstream market for online rail ticket distribution</w:t>
      </w:r>
      <w:r w:rsidR="00E94BF4" w:rsidRPr="004657BF">
        <w:rPr>
          <w:noProof/>
          <w:spacing w:val="-8"/>
        </w:rPr>
        <w:t xml:space="preserve">, making </w:t>
      </w:r>
      <w:r w:rsidR="00004D5C" w:rsidRPr="004657BF">
        <w:rPr>
          <w:noProof/>
          <w:spacing w:val="-8"/>
        </w:rPr>
        <w:t>the platform</w:t>
      </w:r>
      <w:r w:rsidR="00E94BF4" w:rsidRPr="004657BF">
        <w:rPr>
          <w:noProof/>
          <w:spacing w:val="-8"/>
        </w:rPr>
        <w:t xml:space="preserve"> an essential </w:t>
      </w:r>
      <w:r w:rsidR="00004D5C" w:rsidRPr="004657BF">
        <w:rPr>
          <w:noProof/>
          <w:spacing w:val="-8"/>
        </w:rPr>
        <w:t>gateway</w:t>
      </w:r>
      <w:r w:rsidR="00E94BF4" w:rsidRPr="004657BF">
        <w:rPr>
          <w:noProof/>
          <w:spacing w:val="-8"/>
        </w:rPr>
        <w:t xml:space="preserve"> for consumers and other RUs</w:t>
      </w:r>
      <w:r w:rsidR="00011089" w:rsidRPr="004657BF">
        <w:rPr>
          <w:noProof/>
          <w:spacing w:val="-8"/>
        </w:rPr>
        <w:t xml:space="preserve"> </w:t>
      </w:r>
      <w:r w:rsidRPr="004657BF">
        <w:rPr>
          <w:noProof/>
          <w:spacing w:val="-8"/>
        </w:rPr>
        <w:t xml:space="preserve">and </w:t>
      </w:r>
      <w:r w:rsidR="008B1F72" w:rsidRPr="004657BF">
        <w:rPr>
          <w:noProof/>
          <w:spacing w:val="-8"/>
        </w:rPr>
        <w:t xml:space="preserve">(ii) </w:t>
      </w:r>
      <w:r w:rsidR="00435EE9" w:rsidRPr="004657BF">
        <w:rPr>
          <w:noProof/>
          <w:spacing w:val="-8"/>
        </w:rPr>
        <w:t>it</w:t>
      </w:r>
      <w:r w:rsidRPr="004657BF">
        <w:rPr>
          <w:noProof/>
          <w:spacing w:val="-8"/>
        </w:rPr>
        <w:t xml:space="preserve"> already </w:t>
      </w:r>
      <w:r w:rsidR="00A96AFF" w:rsidRPr="004657BF">
        <w:rPr>
          <w:noProof/>
          <w:spacing w:val="-8"/>
        </w:rPr>
        <w:t xml:space="preserve">distributes tickets of at least one </w:t>
      </w:r>
      <w:r w:rsidRPr="004657BF">
        <w:rPr>
          <w:noProof/>
          <w:spacing w:val="-8"/>
        </w:rPr>
        <w:t xml:space="preserve">other </w:t>
      </w:r>
      <w:r w:rsidR="001358ED" w:rsidRPr="004657BF">
        <w:rPr>
          <w:noProof/>
          <w:spacing w:val="-8"/>
        </w:rPr>
        <w:t>RU</w:t>
      </w:r>
      <w:r w:rsidR="00F7116D" w:rsidRPr="004657BF">
        <w:rPr>
          <w:noProof/>
          <w:spacing w:val="-8"/>
        </w:rPr>
        <w:t xml:space="preserve"> (as </w:t>
      </w:r>
      <w:r w:rsidR="00807A44" w:rsidRPr="004657BF">
        <w:rPr>
          <w:noProof/>
          <w:spacing w:val="-8"/>
        </w:rPr>
        <w:t xml:space="preserve">explained in </w:t>
      </w:r>
      <w:r w:rsidR="00807A44" w:rsidRPr="004657BF">
        <w:rPr>
          <w:noProof/>
          <w:spacing w:val="-8"/>
        </w:rPr>
        <w:fldChar w:fldCharType="begin"/>
      </w:r>
      <w:r w:rsidR="00807A44" w:rsidRPr="004657BF">
        <w:rPr>
          <w:noProof/>
          <w:spacing w:val="-8"/>
        </w:rPr>
        <w:instrText xml:space="preserve"> REF _Ref223819361 \r \h </w:instrText>
      </w:r>
      <w:r w:rsidR="00FB015A" w:rsidRPr="004657BF">
        <w:rPr>
          <w:noProof/>
          <w:spacing w:val="-8"/>
        </w:rPr>
        <w:instrText xml:space="preserve"> \* MERGEFORMAT </w:instrText>
      </w:r>
      <w:r w:rsidR="00807A44" w:rsidRPr="004657BF">
        <w:rPr>
          <w:noProof/>
          <w:spacing w:val="-8"/>
        </w:rPr>
      </w:r>
      <w:r w:rsidR="00807A44" w:rsidRPr="004657BF">
        <w:rPr>
          <w:noProof/>
          <w:spacing w:val="-8"/>
        </w:rPr>
        <w:fldChar w:fldCharType="separate"/>
      </w:r>
      <w:r w:rsidR="0055391F">
        <w:rPr>
          <w:noProof/>
          <w:spacing w:val="-8"/>
        </w:rPr>
        <w:t>2.1.2</w:t>
      </w:r>
      <w:r w:rsidR="00807A44" w:rsidRPr="004657BF">
        <w:rPr>
          <w:noProof/>
          <w:spacing w:val="-8"/>
        </w:rPr>
        <w:fldChar w:fldCharType="end"/>
      </w:r>
      <w:r w:rsidR="00807A44" w:rsidRPr="004657BF">
        <w:rPr>
          <w:noProof/>
          <w:spacing w:val="-8"/>
        </w:rPr>
        <w:t xml:space="preserve"> and </w:t>
      </w:r>
      <w:r w:rsidR="00F7116D" w:rsidRPr="004657BF">
        <w:rPr>
          <w:noProof/>
          <w:spacing w:val="-8"/>
        </w:rPr>
        <w:t xml:space="preserve">illustrated in </w:t>
      </w:r>
      <w:r w:rsidR="00A50995" w:rsidRPr="004657BF">
        <w:rPr>
          <w:noProof/>
          <w:spacing w:val="-8"/>
        </w:rPr>
        <w:fldChar w:fldCharType="begin"/>
      </w:r>
      <w:r w:rsidR="00A50995" w:rsidRPr="004657BF">
        <w:rPr>
          <w:noProof/>
          <w:spacing w:val="-8"/>
        </w:rPr>
        <w:instrText xml:space="preserve"> REF _Ref223819268 \h </w:instrText>
      </w:r>
      <w:r w:rsidR="00FB015A" w:rsidRPr="004657BF">
        <w:rPr>
          <w:noProof/>
          <w:spacing w:val="-8"/>
        </w:rPr>
        <w:instrText xml:space="preserve"> \* MERGEFORMAT </w:instrText>
      </w:r>
      <w:r w:rsidR="00A50995" w:rsidRPr="004657BF">
        <w:rPr>
          <w:noProof/>
          <w:spacing w:val="-8"/>
        </w:rPr>
      </w:r>
      <w:r w:rsidR="00A50995" w:rsidRPr="004657BF">
        <w:rPr>
          <w:noProof/>
          <w:spacing w:val="-8"/>
        </w:rPr>
        <w:fldChar w:fldCharType="separate"/>
      </w:r>
      <w:r>
        <w:rPr>
          <w:noProof/>
          <w:spacing w:val="-8"/>
        </w:rPr>
        <w:t xml:space="preserve">All incumbent RUs (except in PL, see </w:t>
      </w:r>
      <w:r>
        <w:rPr>
          <w:b/>
          <w:bCs/>
          <w:i/>
          <w:iCs/>
          <w:noProof/>
          <w:spacing w:val="-8"/>
          <w:lang w:val="en-US"/>
        </w:rPr>
        <w:t>Error! Not a valid bookmark self-reference.</w:t>
      </w:r>
      <w:r>
        <w:rPr>
          <w:noProof/>
          <w:spacing w:val="-8"/>
        </w:rPr>
        <w:t>) have Significant Market Presence (SMP) in the national transport service market, i.e. a market share above 50% in terms of passenger kilometres. All of them also have one or more digital ticket sales channels, 19 of which are MDMS platforms as they also sell tickets of other RUs or operators in other modes, while only 6 sell their own tickets and are greyed out in the chart. The platforms owned by incumbent RUs have a very large customer base and are the standard reference for rail ticket customers. National competition authorities and economic studies consistently show that the vast majority of consumer searches and online ticket sales are concentrated on the RUs with SMP’s proprietary digital channels (websites and mobile applications), while third-party ticketing platforms account for only a limited share of transactions. For example, the 2021 report of the Monopolkommission</w:t>
      </w:r>
      <w:r>
        <w:rPr>
          <w:noProof/>
          <w:spacing w:val="-8"/>
          <w:vertAlign w:val="superscript"/>
        </w:rPr>
        <w:t xml:space="preserve"> </w:t>
      </w:r>
      <w:r>
        <w:rPr>
          <w:noProof/>
          <w:spacing w:val="-8"/>
        </w:rPr>
        <w:t>shows that among major online platforms for long-distance rail tickets in Germany, about 90% of website visits go to Bahn.de, indicating DB’s dominant position in online distribution markets. This renders the incumbent platforms an indispensable distribution channel for any rail operator offering transport services in the respective national market. This is particularly the case of platforms that sell tickets of multiple RUs, as customers may not realise that their offer is incomplete and are thus less likely to make alternative searches. On the other hand, when it is clear for customers that they must look elsewhere to access tickets of competing RUs, they are more likely to use competitors’ or independent platforms. Accordingly, in the rest of this document, the ticketing platforms owned by incumbent RUs (the 19 in blue in Figure 4) are referred to as ‘indispensable RU platforms’, but not when they do not sell third party tickets (the 6 in grey in Figure 4).</w:t>
      </w:r>
    </w:p>
    <w:p w14:paraId="36C3C60E" w14:textId="77777777" w:rsidR="0055391F" w:rsidRPr="004E4359" w:rsidRDefault="0055391F" w:rsidP="004E4359">
      <w:pPr>
        <w:rPr>
          <w:noProof/>
          <w:lang w:val="en-GB" w:eastAsia="en-US"/>
        </w:rPr>
      </w:pPr>
    </w:p>
    <w:p w14:paraId="0D508212" w14:textId="0F91DE75" w:rsidR="002347A3" w:rsidRDefault="0055391F" w:rsidP="0055391F">
      <w:pPr>
        <w:pStyle w:val="BodyText"/>
        <w:spacing w:after="240"/>
        <w:ind w:left="0"/>
        <w:rPr>
          <w:i/>
          <w:noProof/>
          <w:spacing w:val="-8"/>
        </w:rPr>
      </w:pPr>
      <w:r>
        <w:rPr>
          <w:noProof/>
          <w:sz w:val="22"/>
          <w:szCs w:val="22"/>
        </w:rPr>
        <w:t>Figure 4</w:t>
      </w:r>
      <w:r w:rsidR="00A50995" w:rsidRPr="004657BF">
        <w:rPr>
          <w:noProof/>
          <w:spacing w:val="-8"/>
        </w:rPr>
        <w:fldChar w:fldCharType="end"/>
      </w:r>
      <w:r w:rsidR="00A50995" w:rsidRPr="004657BF">
        <w:rPr>
          <w:noProof/>
          <w:spacing w:val="-8"/>
        </w:rPr>
        <w:t>)</w:t>
      </w:r>
      <w:r w:rsidR="007250B7" w:rsidRPr="004657BF">
        <w:rPr>
          <w:noProof/>
          <w:spacing w:val="-8"/>
        </w:rPr>
        <w:t>.</w:t>
      </w:r>
      <w:r w:rsidR="00780ECF" w:rsidRPr="004657BF">
        <w:rPr>
          <w:noProof/>
          <w:spacing w:val="-8"/>
        </w:rPr>
        <w:t xml:space="preserve"> Indispensable RU platforms are </w:t>
      </w:r>
      <w:r w:rsidR="00D404DC" w:rsidRPr="004657BF">
        <w:rPr>
          <w:noProof/>
          <w:spacing w:val="-8"/>
        </w:rPr>
        <w:t xml:space="preserve">thus </w:t>
      </w:r>
      <w:r w:rsidR="00780ECF" w:rsidRPr="004657BF">
        <w:rPr>
          <w:noProof/>
          <w:spacing w:val="-8"/>
        </w:rPr>
        <w:t xml:space="preserve">a </w:t>
      </w:r>
      <w:r w:rsidR="00851C82" w:rsidRPr="004657BF">
        <w:rPr>
          <w:noProof/>
          <w:spacing w:val="-8"/>
        </w:rPr>
        <w:t>sub-category</w:t>
      </w:r>
      <w:r w:rsidR="008E6450" w:rsidRPr="004657BF">
        <w:rPr>
          <w:noProof/>
          <w:spacing w:val="-8"/>
        </w:rPr>
        <w:t xml:space="preserve"> of indispensable</w:t>
      </w:r>
      <w:r w:rsidR="00C30E96" w:rsidRPr="004657BF">
        <w:rPr>
          <w:noProof/>
          <w:spacing w:val="-8"/>
        </w:rPr>
        <w:t xml:space="preserve"> </w:t>
      </w:r>
      <w:r w:rsidR="008E6450" w:rsidRPr="004657BF">
        <w:rPr>
          <w:noProof/>
          <w:spacing w:val="-8"/>
        </w:rPr>
        <w:t>MDMS platforms</w:t>
      </w:r>
      <w:r w:rsidR="00764D63" w:rsidRPr="004657BF">
        <w:rPr>
          <w:noProof/>
          <w:spacing w:val="-8"/>
        </w:rPr>
        <w:t>.</w:t>
      </w:r>
      <w:r w:rsidR="008E6450" w:rsidRPr="004657BF">
        <w:rPr>
          <w:noProof/>
          <w:spacing w:val="-8"/>
        </w:rPr>
        <w:t xml:space="preserve"> </w:t>
      </w:r>
      <w:r w:rsidR="00764D63" w:rsidRPr="004657BF">
        <w:rPr>
          <w:noProof/>
          <w:spacing w:val="-8"/>
        </w:rPr>
        <w:t>G</w:t>
      </w:r>
      <w:r w:rsidR="00C30E96" w:rsidRPr="004657BF">
        <w:rPr>
          <w:noProof/>
          <w:spacing w:val="-8"/>
        </w:rPr>
        <w:t>iven their vertical integration</w:t>
      </w:r>
      <w:r w:rsidR="008E6450" w:rsidRPr="004657BF">
        <w:rPr>
          <w:noProof/>
          <w:spacing w:val="-8"/>
        </w:rPr>
        <w:t xml:space="preserve"> with </w:t>
      </w:r>
      <w:r w:rsidR="00764D63" w:rsidRPr="004657BF">
        <w:rPr>
          <w:noProof/>
          <w:spacing w:val="-8"/>
        </w:rPr>
        <w:t xml:space="preserve">a </w:t>
      </w:r>
      <w:r w:rsidR="00851C82" w:rsidRPr="004657BF">
        <w:rPr>
          <w:noProof/>
          <w:spacing w:val="-8"/>
        </w:rPr>
        <w:t>R</w:t>
      </w:r>
      <w:r w:rsidR="008E6450" w:rsidRPr="004657BF">
        <w:rPr>
          <w:noProof/>
          <w:spacing w:val="-8"/>
        </w:rPr>
        <w:t>U</w:t>
      </w:r>
      <w:r w:rsidR="00851C82" w:rsidRPr="004657BF">
        <w:rPr>
          <w:noProof/>
          <w:spacing w:val="-8"/>
        </w:rPr>
        <w:t xml:space="preserve"> with SMP</w:t>
      </w:r>
      <w:r w:rsidR="008E6450" w:rsidRPr="004657BF">
        <w:rPr>
          <w:noProof/>
          <w:spacing w:val="-8"/>
        </w:rPr>
        <w:t>, their identification can be simplified</w:t>
      </w:r>
      <w:r w:rsidR="006E2EC1" w:rsidRPr="004657BF">
        <w:rPr>
          <w:noProof/>
          <w:spacing w:val="-8"/>
        </w:rPr>
        <w:t>,</w:t>
      </w:r>
      <w:r w:rsidR="008E6450" w:rsidRPr="004657BF">
        <w:rPr>
          <w:noProof/>
          <w:spacing w:val="-8"/>
        </w:rPr>
        <w:t xml:space="preserve"> re</w:t>
      </w:r>
      <w:r w:rsidR="005D66A7" w:rsidRPr="004657BF">
        <w:rPr>
          <w:noProof/>
          <w:spacing w:val="-8"/>
        </w:rPr>
        <w:t>ducing</w:t>
      </w:r>
      <w:r w:rsidR="008E6450" w:rsidRPr="004657BF">
        <w:rPr>
          <w:noProof/>
          <w:spacing w:val="-8"/>
        </w:rPr>
        <w:t xml:space="preserve"> administrative burden on RUs. As they are </w:t>
      </w:r>
      <w:r w:rsidR="00F125AC" w:rsidRPr="004657BF">
        <w:rPr>
          <w:noProof/>
          <w:spacing w:val="-8"/>
        </w:rPr>
        <w:t>also</w:t>
      </w:r>
      <w:r w:rsidR="008E6450" w:rsidRPr="004657BF">
        <w:rPr>
          <w:noProof/>
          <w:spacing w:val="-8"/>
        </w:rPr>
        <w:t xml:space="preserve"> subject to </w:t>
      </w:r>
      <w:r w:rsidR="00654410" w:rsidRPr="004657BF">
        <w:rPr>
          <w:noProof/>
          <w:spacing w:val="-8"/>
        </w:rPr>
        <w:t>specific obligations, they are presented as a separate category.</w:t>
      </w:r>
      <w:r w:rsidR="00FB5F8F" w:rsidRPr="00FB5F8F">
        <w:rPr>
          <w:i/>
          <w:noProof/>
          <w:spacing w:val="-8"/>
        </w:rPr>
        <w:t xml:space="preserve"> </w:t>
      </w:r>
    </w:p>
    <w:p w14:paraId="507582A2" w14:textId="79508815" w:rsidR="00D87D3A" w:rsidRPr="00D87D3A" w:rsidRDefault="00D87D3A" w:rsidP="00D87D3A">
      <w:pPr>
        <w:pStyle w:val="Caption"/>
        <w:keepNext/>
        <w:jc w:val="both"/>
        <w:rPr>
          <w:noProof/>
          <w:color w:val="auto"/>
          <w:sz w:val="22"/>
          <w:szCs w:val="22"/>
        </w:rPr>
      </w:pPr>
      <w:r w:rsidRPr="00D87D3A">
        <w:rPr>
          <w:noProof/>
          <w:color w:val="auto"/>
          <w:sz w:val="22"/>
          <w:szCs w:val="22"/>
        </w:rPr>
        <w:t xml:space="preserve">Figure </w:t>
      </w:r>
      <w:r w:rsidRPr="00D87D3A">
        <w:rPr>
          <w:noProof/>
          <w:color w:val="auto"/>
          <w:sz w:val="22"/>
          <w:szCs w:val="22"/>
        </w:rPr>
        <w:fldChar w:fldCharType="begin"/>
      </w:r>
      <w:r w:rsidRPr="00D87D3A">
        <w:rPr>
          <w:noProof/>
          <w:color w:val="auto"/>
          <w:sz w:val="22"/>
          <w:szCs w:val="22"/>
        </w:rPr>
        <w:instrText xml:space="preserve"> SEQ Figure \* ARABIC </w:instrText>
      </w:r>
      <w:r w:rsidRPr="00D87D3A">
        <w:rPr>
          <w:noProof/>
          <w:color w:val="auto"/>
          <w:sz w:val="22"/>
          <w:szCs w:val="22"/>
        </w:rPr>
        <w:fldChar w:fldCharType="separate"/>
      </w:r>
      <w:r w:rsidR="0055391F">
        <w:rPr>
          <w:noProof/>
          <w:color w:val="auto"/>
          <w:sz w:val="22"/>
          <w:szCs w:val="22"/>
        </w:rPr>
        <w:t>7</w:t>
      </w:r>
      <w:r w:rsidRPr="00D87D3A">
        <w:rPr>
          <w:noProof/>
          <w:color w:val="auto"/>
          <w:sz w:val="22"/>
          <w:szCs w:val="22"/>
        </w:rPr>
        <w:fldChar w:fldCharType="end"/>
      </w:r>
      <w:r w:rsidRPr="00D87D3A">
        <w:rPr>
          <w:noProof/>
          <w:color w:val="auto"/>
          <w:sz w:val="22"/>
          <w:szCs w:val="22"/>
        </w:rPr>
        <w:t>: Overview of indispensable MDMS platforms</w:t>
      </w:r>
    </w:p>
    <w:p w14:paraId="777F74E3" w14:textId="048E4124" w:rsidR="00912214" w:rsidRDefault="00912214" w:rsidP="00912214">
      <w:pPr>
        <w:spacing w:before="240" w:after="240"/>
        <w:jc w:val="both"/>
        <w:rPr>
          <w:noProof/>
        </w:rPr>
      </w:pPr>
      <w:r>
        <w:rPr>
          <w:noProof/>
          <w:lang w:val="en-GB" w:eastAsia="en-GB"/>
        </w:rPr>
        <w:drawing>
          <wp:inline distT="0" distB="0" distL="0" distR="0" wp14:anchorId="745C064F" wp14:editId="4DFD744D">
            <wp:extent cx="6104255" cy="2448553"/>
            <wp:effectExtent l="0" t="0" r="0" b="9525"/>
            <wp:docPr id="780599622" name="Picture 4"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599622" name="Picture 4" descr="A close-up of a sign&#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04255" cy="2448553"/>
                    </a:xfrm>
                    <a:prstGeom prst="rect">
                      <a:avLst/>
                    </a:prstGeom>
                    <a:noFill/>
                  </pic:spPr>
                </pic:pic>
              </a:graphicData>
            </a:graphic>
          </wp:inline>
        </w:drawing>
      </w:r>
    </w:p>
    <w:p w14:paraId="7B2CCBFF" w14:textId="0DB33B3A" w:rsidR="00934E41" w:rsidRPr="00862B59" w:rsidRDefault="00934E41" w:rsidP="00934E41">
      <w:pPr>
        <w:pStyle w:val="BodyText"/>
        <w:spacing w:after="240"/>
        <w:ind w:left="0"/>
        <w:rPr>
          <w:noProof/>
          <w:spacing w:val="-8"/>
        </w:rPr>
      </w:pPr>
      <w:r w:rsidRPr="00862B59">
        <w:rPr>
          <w:i/>
          <w:noProof/>
          <w:spacing w:val="-8"/>
        </w:rPr>
        <w:t>Indispensable MDMS platforms</w:t>
      </w:r>
      <w:r w:rsidRPr="00862B59">
        <w:rPr>
          <w:noProof/>
          <w:spacing w:val="-8"/>
        </w:rPr>
        <w:t xml:space="preserve"> include (i) B2C MDMS with Significant Market Presence (SMP) and (ii) B2B MDMS, including CRSs and NCAs, which are all essential gateways to (travel agents and ultimately to) consumers. In the B2C distribution market, an MDMS platform is considered as having SMP if it controls at least 10% of the EU market or 30% of a national market, based on either the total value or volume of tickets sold in any one transport mode. For MSE, they are considered as having SMP if they have a share of 10% or more of EU traffic. In selecting the thresholds, an assessment identified which platforms might be affected by different policy options. The EU-level threshold measures a platform's influence across various Member States, reflecting national market diversity. This is complemented by national thresholds which reflects significant influence within a single Member State, indicating a capacity to impact consumer choice in that country. Finally, the application of thresholds based on the total value and number of tickets sold enables the identification of platforms with varying market dynamics, capturing both platforms selling large volumes of tickets and generating substantial revenues. Overall, this method ensures a balanced assessment of platforms' influence, aligning with regulatory standards and facilitating targeted policy measures across diverse transport modes. It also allows for an objective and easy measurement of indispensability</w:t>
      </w:r>
      <w:r w:rsidRPr="00862B59" w:rsidDel="00CB6F25">
        <w:rPr>
          <w:noProof/>
          <w:spacing w:val="-8"/>
        </w:rPr>
        <w:t>.</w:t>
      </w:r>
    </w:p>
    <w:p w14:paraId="02650476" w14:textId="6B35088D" w:rsidR="00277491" w:rsidRPr="005D2D60" w:rsidRDefault="005C2624" w:rsidP="003D4368">
      <w:pPr>
        <w:spacing w:before="240" w:after="240"/>
        <w:jc w:val="both"/>
        <w:rPr>
          <w:b/>
          <w:noProof/>
        </w:rPr>
      </w:pPr>
      <w:r w:rsidRPr="00862B59">
        <w:rPr>
          <w:noProof/>
          <w:spacing w:val="-8"/>
        </w:rPr>
        <w:t>A</w:t>
      </w:r>
      <w:r w:rsidR="00DB7C10" w:rsidRPr="00862B59">
        <w:rPr>
          <w:noProof/>
          <w:spacing w:val="-8"/>
        </w:rPr>
        <w:t xml:space="preserve"> </w:t>
      </w:r>
      <w:r w:rsidR="00863EE0" w:rsidRPr="00862B59">
        <w:rPr>
          <w:noProof/>
          <w:spacing w:val="-8"/>
        </w:rPr>
        <w:t xml:space="preserve">more </w:t>
      </w:r>
      <w:r w:rsidR="000A5798" w:rsidRPr="00862B59">
        <w:rPr>
          <w:noProof/>
          <w:spacing w:val="-8"/>
        </w:rPr>
        <w:t>detailed description of the policy measures</w:t>
      </w:r>
      <w:r w:rsidR="00DB7C10" w:rsidRPr="00862B59">
        <w:rPr>
          <w:noProof/>
          <w:spacing w:val="-8"/>
        </w:rPr>
        <w:t xml:space="preserve"> in </w:t>
      </w:r>
      <w:r w:rsidR="00863EE0" w:rsidRPr="00862B59">
        <w:rPr>
          <w:noProof/>
          <w:spacing w:val="-8"/>
        </w:rPr>
        <w:fldChar w:fldCharType="begin"/>
      </w:r>
      <w:r w:rsidR="00863EE0" w:rsidRPr="00862B59">
        <w:rPr>
          <w:noProof/>
          <w:spacing w:val="-8"/>
        </w:rPr>
        <w:instrText xml:space="preserve"> REF _Ref222127674 \h </w:instrText>
      </w:r>
      <w:r w:rsidR="00F90793" w:rsidRPr="00862B59">
        <w:rPr>
          <w:noProof/>
          <w:spacing w:val="-8"/>
        </w:rPr>
        <w:instrText xml:space="preserve"> \* MERGEFORMAT </w:instrText>
      </w:r>
      <w:r w:rsidR="00863EE0" w:rsidRPr="00862B59">
        <w:rPr>
          <w:noProof/>
          <w:spacing w:val="-8"/>
        </w:rPr>
      </w:r>
      <w:r w:rsidR="00863EE0" w:rsidRPr="00862B59">
        <w:rPr>
          <w:noProof/>
          <w:spacing w:val="-8"/>
        </w:rPr>
        <w:fldChar w:fldCharType="separate"/>
      </w:r>
      <w:r>
        <w:rPr>
          <w:noProof/>
          <w:spacing w:val="-8"/>
        </w:rPr>
        <w:t>Table 1</w:t>
      </w:r>
      <w:r w:rsidR="00863EE0" w:rsidRPr="00862B59">
        <w:rPr>
          <w:noProof/>
          <w:spacing w:val="-8"/>
        </w:rPr>
        <w:fldChar w:fldCharType="end"/>
      </w:r>
      <w:r w:rsidR="000A5798" w:rsidRPr="00862B59">
        <w:rPr>
          <w:noProof/>
          <w:spacing w:val="-8"/>
        </w:rPr>
        <w:t xml:space="preserve"> is provided in Annex 8.</w:t>
      </w:r>
      <w:r w:rsidR="0025227F" w:rsidRPr="00862B59">
        <w:rPr>
          <w:b/>
          <w:noProof/>
          <w:spacing w:val="-8"/>
        </w:rPr>
        <w:t xml:space="preserve"> </w:t>
      </w:r>
      <w:r w:rsidR="0025227F" w:rsidRPr="00862B59">
        <w:rPr>
          <w:noProof/>
          <w:spacing w:val="-8"/>
        </w:rPr>
        <w:t xml:space="preserve">SMEs are not subject to any of the </w:t>
      </w:r>
      <w:r w:rsidR="00261876" w:rsidRPr="00862B59">
        <w:rPr>
          <w:noProof/>
          <w:spacing w:val="-8"/>
        </w:rPr>
        <w:t>p</w:t>
      </w:r>
      <w:r w:rsidR="0025227F" w:rsidRPr="00862B59">
        <w:rPr>
          <w:noProof/>
          <w:spacing w:val="-8"/>
        </w:rPr>
        <w:t xml:space="preserve">olicy </w:t>
      </w:r>
      <w:r w:rsidR="00261876" w:rsidRPr="00862B59">
        <w:rPr>
          <w:noProof/>
          <w:spacing w:val="-8"/>
        </w:rPr>
        <w:t xml:space="preserve">measures </w:t>
      </w:r>
      <w:r w:rsidR="0025227F" w:rsidRPr="00862B59">
        <w:rPr>
          <w:noProof/>
          <w:spacing w:val="-8"/>
        </w:rPr>
        <w:t>listed below.</w:t>
      </w:r>
      <w:r w:rsidR="0025227F" w:rsidRPr="005D2D60">
        <w:rPr>
          <w:b/>
          <w:noProof/>
        </w:rPr>
        <w:t xml:space="preserve"> </w:t>
      </w:r>
    </w:p>
    <w:p w14:paraId="18C463B6" w14:textId="732A3D72" w:rsidR="000775E5" w:rsidRPr="00BD353A" w:rsidRDefault="000775E5" w:rsidP="00466706">
      <w:pPr>
        <w:pStyle w:val="Caption"/>
        <w:keepNext/>
        <w:spacing w:after="0"/>
        <w:rPr>
          <w:noProof/>
          <w:color w:val="auto"/>
          <w:sz w:val="22"/>
          <w:szCs w:val="22"/>
        </w:rPr>
      </w:pPr>
      <w:bookmarkStart w:id="106" w:name="_Ref222127674"/>
      <w:bookmarkStart w:id="107" w:name="_Ref222127668"/>
      <w:r w:rsidRPr="00BD353A">
        <w:rPr>
          <w:noProof/>
          <w:color w:val="auto"/>
          <w:sz w:val="22"/>
          <w:szCs w:val="22"/>
        </w:rPr>
        <w:t xml:space="preserve">Table </w:t>
      </w:r>
      <w:r w:rsidRPr="00BD353A">
        <w:rPr>
          <w:noProof/>
          <w:color w:val="auto"/>
          <w:sz w:val="22"/>
          <w:szCs w:val="22"/>
        </w:rPr>
        <w:fldChar w:fldCharType="begin"/>
      </w:r>
      <w:r w:rsidRPr="00BD353A">
        <w:rPr>
          <w:noProof/>
          <w:color w:val="auto"/>
          <w:sz w:val="22"/>
          <w:szCs w:val="22"/>
        </w:rPr>
        <w:instrText xml:space="preserve"> SEQ Table \* ARABIC </w:instrText>
      </w:r>
      <w:r w:rsidRPr="00BD353A">
        <w:rPr>
          <w:noProof/>
          <w:color w:val="auto"/>
          <w:sz w:val="22"/>
          <w:szCs w:val="22"/>
        </w:rPr>
        <w:fldChar w:fldCharType="separate"/>
      </w:r>
      <w:r w:rsidR="0055391F">
        <w:rPr>
          <w:noProof/>
          <w:color w:val="auto"/>
          <w:sz w:val="22"/>
          <w:szCs w:val="22"/>
        </w:rPr>
        <w:t>1</w:t>
      </w:r>
      <w:r w:rsidRPr="00BD353A">
        <w:rPr>
          <w:noProof/>
          <w:color w:val="auto"/>
          <w:sz w:val="22"/>
          <w:szCs w:val="22"/>
        </w:rPr>
        <w:fldChar w:fldCharType="end"/>
      </w:r>
      <w:bookmarkEnd w:id="106"/>
      <w:r w:rsidRPr="00BD353A">
        <w:rPr>
          <w:noProof/>
          <w:color w:val="auto"/>
          <w:sz w:val="22"/>
          <w:szCs w:val="22"/>
        </w:rPr>
        <w:t>: Retained policy measures</w:t>
      </w:r>
      <w:bookmarkEnd w:id="1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652"/>
        <w:gridCol w:w="628"/>
        <w:gridCol w:w="8323"/>
      </w:tblGrid>
      <w:tr w:rsidR="00B836D0" w:rsidRPr="00AA4733" w14:paraId="6FD044A2" w14:textId="77777777">
        <w:trPr>
          <w:tblHeader/>
        </w:trPr>
        <w:tc>
          <w:tcPr>
            <w:tcW w:w="0" w:type="auto"/>
            <w:shd w:val="clear" w:color="auto" w:fill="0070C0"/>
            <w:vAlign w:val="center"/>
          </w:tcPr>
          <w:p w14:paraId="3D286D8B" w14:textId="0DC68645" w:rsidR="009E38C9" w:rsidRPr="005D2D60" w:rsidRDefault="0047097A" w:rsidP="00F24E96">
            <w:pPr>
              <w:pStyle w:val="TableParagraph"/>
              <w:jc w:val="center"/>
              <w:rPr>
                <w:b/>
                <w:noProof/>
                <w:color w:val="FFFFFF" w:themeColor="background1"/>
              </w:rPr>
            </w:pPr>
            <w:r w:rsidRPr="009E38C9">
              <w:rPr>
                <w:b/>
                <w:bCs/>
                <w:noProof/>
                <w:color w:val="FFFFFF" w:themeColor="background1"/>
              </w:rPr>
              <w:t>PM</w:t>
            </w:r>
            <w:r w:rsidR="00103D06">
              <w:rPr>
                <w:b/>
                <w:bCs/>
                <w:noProof/>
                <w:color w:val="FFFFFF" w:themeColor="background1"/>
              </w:rPr>
              <w:t>*</w:t>
            </w:r>
          </w:p>
        </w:tc>
        <w:tc>
          <w:tcPr>
            <w:tcW w:w="0" w:type="auto"/>
            <w:shd w:val="clear" w:color="auto" w:fill="0070C0"/>
            <w:vAlign w:val="center"/>
          </w:tcPr>
          <w:p w14:paraId="1F176F49" w14:textId="3E896119" w:rsidR="0047097A" w:rsidRPr="005D2D60" w:rsidRDefault="0047097A" w:rsidP="0047097A">
            <w:pPr>
              <w:pStyle w:val="TableParagraph"/>
              <w:jc w:val="center"/>
              <w:rPr>
                <w:b/>
                <w:noProof/>
                <w:color w:val="FFFFFF" w:themeColor="background1"/>
              </w:rPr>
            </w:pPr>
            <w:r w:rsidRPr="005D2D60">
              <w:rPr>
                <w:b/>
                <w:noProof/>
                <w:color w:val="FFFFFF" w:themeColor="background1"/>
              </w:rPr>
              <w:t>PD</w:t>
            </w:r>
            <w:r w:rsidR="00103D06">
              <w:rPr>
                <w:b/>
                <w:noProof/>
                <w:color w:val="FFFFFF" w:themeColor="background1"/>
              </w:rPr>
              <w:t>**</w:t>
            </w:r>
          </w:p>
        </w:tc>
        <w:tc>
          <w:tcPr>
            <w:tcW w:w="0" w:type="auto"/>
            <w:shd w:val="clear" w:color="auto" w:fill="0070C0"/>
            <w:vAlign w:val="center"/>
          </w:tcPr>
          <w:p w14:paraId="7564F3C8" w14:textId="4A06EF0C" w:rsidR="00B836D0" w:rsidRPr="00AA4733" w:rsidRDefault="00B836D0" w:rsidP="00277E3F">
            <w:pPr>
              <w:pStyle w:val="TableParagraph"/>
              <w:jc w:val="both"/>
              <w:rPr>
                <w:b/>
                <w:bCs/>
                <w:noProof/>
                <w:color w:val="FFFFFF" w:themeColor="background1"/>
              </w:rPr>
            </w:pPr>
            <w:r w:rsidRPr="005D2D60">
              <w:rPr>
                <w:b/>
                <w:noProof/>
                <w:color w:val="FFFFFF" w:themeColor="background1"/>
              </w:rPr>
              <w:t>POLICY MEASURE</w:t>
            </w:r>
          </w:p>
        </w:tc>
      </w:tr>
      <w:tr w:rsidR="00B836D0" w:rsidRPr="00D71008" w14:paraId="05EB6F47" w14:textId="77777777" w:rsidTr="00D8145B">
        <w:tc>
          <w:tcPr>
            <w:tcW w:w="0" w:type="auto"/>
            <w:vAlign w:val="center"/>
          </w:tcPr>
          <w:p w14:paraId="478B4AC2" w14:textId="45B7A1CB" w:rsidR="00B836D0" w:rsidRPr="002D28FD" w:rsidRDefault="00B836D0" w:rsidP="00277E3F">
            <w:pPr>
              <w:pStyle w:val="TableParagraph"/>
              <w:jc w:val="center"/>
              <w:rPr>
                <w:noProof/>
              </w:rPr>
            </w:pPr>
            <w:r w:rsidRPr="002D28FD">
              <w:rPr>
                <w:noProof/>
                <w:spacing w:val="-10"/>
              </w:rPr>
              <w:t>PM1</w:t>
            </w:r>
          </w:p>
        </w:tc>
        <w:tc>
          <w:tcPr>
            <w:tcW w:w="0" w:type="auto"/>
            <w:vAlign w:val="center"/>
          </w:tcPr>
          <w:p w14:paraId="7EA99C71" w14:textId="3148528B" w:rsidR="009E38C9" w:rsidRPr="00D71008" w:rsidRDefault="000D1A2A" w:rsidP="00277E3F">
            <w:pPr>
              <w:pStyle w:val="TableParagraph"/>
              <w:jc w:val="both"/>
              <w:rPr>
                <w:noProof/>
              </w:rPr>
            </w:pPr>
            <w:r>
              <w:rPr>
                <w:noProof/>
              </w:rPr>
              <w:t>PD2</w:t>
            </w:r>
          </w:p>
        </w:tc>
        <w:tc>
          <w:tcPr>
            <w:tcW w:w="0" w:type="auto"/>
            <w:vAlign w:val="center"/>
          </w:tcPr>
          <w:p w14:paraId="45BFDFC6" w14:textId="35DF4377" w:rsidR="00B836D0" w:rsidRPr="00D71008" w:rsidRDefault="00B836D0" w:rsidP="00277E3F">
            <w:pPr>
              <w:pStyle w:val="TableParagraph"/>
              <w:jc w:val="both"/>
              <w:rPr>
                <w:noProof/>
              </w:rPr>
            </w:pPr>
            <w:r w:rsidRPr="00D71008">
              <w:rPr>
                <w:noProof/>
              </w:rPr>
              <w:t xml:space="preserve">Obligation for </w:t>
            </w:r>
            <w:r w:rsidRPr="00B83E60">
              <w:rPr>
                <w:b/>
                <w:noProof/>
              </w:rPr>
              <w:t>all MDMS platforms</w:t>
            </w:r>
            <w:r w:rsidRPr="00D71008">
              <w:rPr>
                <w:noProof/>
              </w:rPr>
              <w:t xml:space="preserve"> to apply neutral display obligations</w:t>
            </w:r>
            <w:r>
              <w:rPr>
                <w:noProof/>
              </w:rPr>
              <w:t xml:space="preserve"> and </w:t>
            </w:r>
            <w:r w:rsidRPr="00856CC9">
              <w:rPr>
                <w:b/>
                <w:bCs/>
                <w:noProof/>
              </w:rPr>
              <w:t>for</w:t>
            </w:r>
            <w:r w:rsidRPr="0088090E">
              <w:rPr>
                <w:b/>
                <w:noProof/>
              </w:rPr>
              <w:t xml:space="preserve"> </w:t>
            </w:r>
            <w:r w:rsidRPr="00856CC9">
              <w:rPr>
                <w:b/>
                <w:noProof/>
              </w:rPr>
              <w:t>transport</w:t>
            </w:r>
            <w:r w:rsidRPr="0088090E">
              <w:rPr>
                <w:b/>
                <w:noProof/>
              </w:rPr>
              <w:t xml:space="preserve"> </w:t>
            </w:r>
            <w:r w:rsidRPr="00856CC9">
              <w:rPr>
                <w:b/>
                <w:noProof/>
              </w:rPr>
              <w:t>operators</w:t>
            </w:r>
            <w:r w:rsidRPr="0088090E">
              <w:rPr>
                <w:b/>
                <w:noProof/>
              </w:rPr>
              <w:t xml:space="preserve"> </w:t>
            </w:r>
            <w:r w:rsidRPr="00856CC9">
              <w:rPr>
                <w:b/>
                <w:noProof/>
              </w:rPr>
              <w:t>(in</w:t>
            </w:r>
            <w:r w:rsidRPr="0088090E">
              <w:rPr>
                <w:b/>
                <w:noProof/>
              </w:rPr>
              <w:t xml:space="preserve"> </w:t>
            </w:r>
            <w:r w:rsidRPr="00856CC9">
              <w:rPr>
                <w:b/>
                <w:noProof/>
              </w:rPr>
              <w:t>all</w:t>
            </w:r>
            <w:r w:rsidRPr="0088090E">
              <w:rPr>
                <w:b/>
                <w:noProof/>
              </w:rPr>
              <w:t xml:space="preserve"> modes)</w:t>
            </w:r>
            <w:r w:rsidRPr="0088090E">
              <w:rPr>
                <w:noProof/>
              </w:rPr>
              <w:t xml:space="preserve"> </w:t>
            </w:r>
            <w:r w:rsidRPr="00D71008">
              <w:rPr>
                <w:noProof/>
              </w:rPr>
              <w:t>to</w:t>
            </w:r>
            <w:r w:rsidRPr="0088090E">
              <w:rPr>
                <w:noProof/>
              </w:rPr>
              <w:t xml:space="preserve"> ensure that the </w:t>
            </w:r>
            <w:r w:rsidRPr="00D71008">
              <w:rPr>
                <w:noProof/>
              </w:rPr>
              <w:t>data</w:t>
            </w:r>
            <w:r w:rsidRPr="0088090E">
              <w:rPr>
                <w:noProof/>
              </w:rPr>
              <w:t xml:space="preserve"> they submit are accurate</w:t>
            </w:r>
          </w:p>
        </w:tc>
      </w:tr>
      <w:tr w:rsidR="00B836D0" w:rsidRPr="00D71008" w14:paraId="034ABEC8" w14:textId="77777777" w:rsidTr="00D8145B">
        <w:tc>
          <w:tcPr>
            <w:tcW w:w="0" w:type="auto"/>
            <w:shd w:val="clear" w:color="auto" w:fill="F2F2F2" w:themeFill="background1" w:themeFillShade="F2"/>
            <w:vAlign w:val="center"/>
          </w:tcPr>
          <w:p w14:paraId="5BB7C54E" w14:textId="58294C3A" w:rsidR="00B836D0" w:rsidRPr="002D28FD" w:rsidRDefault="00B836D0" w:rsidP="00277E3F">
            <w:pPr>
              <w:pStyle w:val="TableParagraph"/>
              <w:jc w:val="center"/>
              <w:rPr>
                <w:noProof/>
              </w:rPr>
            </w:pPr>
            <w:r w:rsidRPr="002D28FD">
              <w:rPr>
                <w:noProof/>
                <w:spacing w:val="-10"/>
              </w:rPr>
              <w:t>PM2</w:t>
            </w:r>
          </w:p>
        </w:tc>
        <w:tc>
          <w:tcPr>
            <w:tcW w:w="0" w:type="auto"/>
            <w:shd w:val="clear" w:color="auto" w:fill="F2F2F2" w:themeFill="background1" w:themeFillShade="F2"/>
            <w:vAlign w:val="center"/>
          </w:tcPr>
          <w:p w14:paraId="66D782E3" w14:textId="7092ACEA" w:rsidR="009E38C9" w:rsidRPr="00D71008" w:rsidRDefault="000D1A2A" w:rsidP="00277E3F">
            <w:pPr>
              <w:pStyle w:val="TableParagraph"/>
              <w:jc w:val="both"/>
              <w:rPr>
                <w:noProof/>
              </w:rPr>
            </w:pPr>
            <w:r>
              <w:rPr>
                <w:noProof/>
              </w:rPr>
              <w:t>PD2</w:t>
            </w:r>
          </w:p>
        </w:tc>
        <w:tc>
          <w:tcPr>
            <w:tcW w:w="0" w:type="auto"/>
            <w:shd w:val="clear" w:color="auto" w:fill="F2F2F2" w:themeFill="background1" w:themeFillShade="F2"/>
            <w:vAlign w:val="center"/>
          </w:tcPr>
          <w:p w14:paraId="34192956" w14:textId="722DE225" w:rsidR="00B836D0" w:rsidRPr="00D71008" w:rsidRDefault="00B836D0" w:rsidP="00277E3F">
            <w:pPr>
              <w:pStyle w:val="TableParagraph"/>
              <w:jc w:val="both"/>
              <w:rPr>
                <w:noProof/>
              </w:rPr>
            </w:pPr>
            <w:r w:rsidRPr="00D71008">
              <w:rPr>
                <w:noProof/>
              </w:rPr>
              <w:t>Obligation</w:t>
            </w:r>
            <w:r w:rsidRPr="00D71008">
              <w:rPr>
                <w:noProof/>
                <w:spacing w:val="6"/>
              </w:rPr>
              <w:t xml:space="preserve"> </w:t>
            </w:r>
            <w:r w:rsidRPr="00D71008">
              <w:rPr>
                <w:noProof/>
              </w:rPr>
              <w:t>for</w:t>
            </w:r>
            <w:r w:rsidRPr="00D71008">
              <w:rPr>
                <w:noProof/>
                <w:spacing w:val="13"/>
              </w:rPr>
              <w:t xml:space="preserve"> </w:t>
            </w:r>
            <w:r w:rsidRPr="00CE63EF">
              <w:rPr>
                <w:b/>
                <w:noProof/>
              </w:rPr>
              <w:t>all</w:t>
            </w:r>
            <w:r w:rsidRPr="00CE63EF">
              <w:rPr>
                <w:b/>
                <w:noProof/>
                <w:spacing w:val="10"/>
              </w:rPr>
              <w:t xml:space="preserve"> </w:t>
            </w:r>
            <w:r w:rsidRPr="00CE63EF">
              <w:rPr>
                <w:b/>
                <w:noProof/>
              </w:rPr>
              <w:t>MDMS platforms</w:t>
            </w:r>
            <w:r w:rsidRPr="00D71008">
              <w:rPr>
                <w:noProof/>
                <w:spacing w:val="8"/>
              </w:rPr>
              <w:t xml:space="preserve"> </w:t>
            </w:r>
            <w:r w:rsidRPr="00D71008">
              <w:rPr>
                <w:noProof/>
              </w:rPr>
              <w:t>to</w:t>
            </w:r>
            <w:r w:rsidRPr="00D71008">
              <w:rPr>
                <w:noProof/>
                <w:spacing w:val="12"/>
              </w:rPr>
              <w:t xml:space="preserve"> </w:t>
            </w:r>
            <w:r w:rsidRPr="00D71008">
              <w:rPr>
                <w:noProof/>
              </w:rPr>
              <w:t>load</w:t>
            </w:r>
            <w:r w:rsidRPr="00D71008">
              <w:rPr>
                <w:noProof/>
                <w:spacing w:val="-1"/>
              </w:rPr>
              <w:t xml:space="preserve"> </w:t>
            </w:r>
            <w:r w:rsidRPr="00D71008">
              <w:rPr>
                <w:noProof/>
              </w:rPr>
              <w:t xml:space="preserve">and process data </w:t>
            </w:r>
            <w:r>
              <w:rPr>
                <w:noProof/>
              </w:rPr>
              <w:t>of operators</w:t>
            </w:r>
            <w:r w:rsidRPr="00D71008">
              <w:rPr>
                <w:noProof/>
              </w:rPr>
              <w:t xml:space="preserve"> with equal care and timeliness</w:t>
            </w:r>
          </w:p>
        </w:tc>
      </w:tr>
      <w:tr w:rsidR="00B836D0" w:rsidRPr="00D71008" w14:paraId="547232C9" w14:textId="77777777" w:rsidTr="00D8145B">
        <w:tc>
          <w:tcPr>
            <w:tcW w:w="0" w:type="auto"/>
            <w:vAlign w:val="center"/>
          </w:tcPr>
          <w:p w14:paraId="11785301" w14:textId="0D582611" w:rsidR="00B836D0" w:rsidRPr="002D28FD" w:rsidRDefault="00B836D0" w:rsidP="00277E3F">
            <w:pPr>
              <w:pStyle w:val="TableParagraph"/>
              <w:jc w:val="center"/>
              <w:rPr>
                <w:noProof/>
              </w:rPr>
            </w:pPr>
            <w:r w:rsidRPr="002D28FD">
              <w:rPr>
                <w:noProof/>
                <w:spacing w:val="-10"/>
              </w:rPr>
              <w:t>PM3</w:t>
            </w:r>
          </w:p>
        </w:tc>
        <w:tc>
          <w:tcPr>
            <w:tcW w:w="0" w:type="auto"/>
            <w:vAlign w:val="center"/>
          </w:tcPr>
          <w:p w14:paraId="26498295" w14:textId="76F94B4D" w:rsidR="009E38C9" w:rsidRPr="00D71008" w:rsidRDefault="005D1DBB" w:rsidP="00277E3F">
            <w:pPr>
              <w:pStyle w:val="TableParagraph"/>
              <w:jc w:val="both"/>
              <w:rPr>
                <w:noProof/>
              </w:rPr>
            </w:pPr>
            <w:r>
              <w:rPr>
                <w:noProof/>
              </w:rPr>
              <w:t>PD3</w:t>
            </w:r>
          </w:p>
        </w:tc>
        <w:tc>
          <w:tcPr>
            <w:tcW w:w="0" w:type="auto"/>
            <w:vAlign w:val="center"/>
          </w:tcPr>
          <w:p w14:paraId="501519A4" w14:textId="3EE34A6A" w:rsidR="00B836D0" w:rsidRPr="00D71008" w:rsidRDefault="00B836D0" w:rsidP="00277E3F">
            <w:pPr>
              <w:pStyle w:val="TableParagraph"/>
              <w:jc w:val="both"/>
              <w:rPr>
                <w:noProof/>
              </w:rPr>
            </w:pPr>
            <w:r w:rsidRPr="00D71008">
              <w:rPr>
                <w:noProof/>
              </w:rPr>
              <w:t>Obligation</w:t>
            </w:r>
            <w:r w:rsidRPr="005427EA">
              <w:rPr>
                <w:noProof/>
              </w:rPr>
              <w:t xml:space="preserve"> </w:t>
            </w:r>
            <w:r w:rsidRPr="00D71008">
              <w:rPr>
                <w:noProof/>
              </w:rPr>
              <w:t>for</w:t>
            </w:r>
            <w:r w:rsidRPr="005427EA">
              <w:rPr>
                <w:noProof/>
              </w:rPr>
              <w:t xml:space="preserve"> </w:t>
            </w:r>
            <w:r w:rsidRPr="00A13F88">
              <w:rPr>
                <w:b/>
                <w:noProof/>
              </w:rPr>
              <w:t>all</w:t>
            </w:r>
            <w:r w:rsidRPr="005427EA">
              <w:rPr>
                <w:b/>
                <w:noProof/>
              </w:rPr>
              <w:t xml:space="preserve"> </w:t>
            </w:r>
            <w:r w:rsidRPr="00A13F88">
              <w:rPr>
                <w:b/>
                <w:noProof/>
              </w:rPr>
              <w:t>MDMS platforms</w:t>
            </w:r>
            <w:r w:rsidRPr="005427EA">
              <w:rPr>
                <w:noProof/>
              </w:rPr>
              <w:t xml:space="preserve"> </w:t>
            </w:r>
            <w:r w:rsidRPr="00D71008">
              <w:rPr>
                <w:noProof/>
              </w:rPr>
              <w:t>to</w:t>
            </w:r>
            <w:r w:rsidRPr="005427EA">
              <w:rPr>
                <w:noProof/>
              </w:rPr>
              <w:t xml:space="preserve"> </w:t>
            </w:r>
            <w:r>
              <w:rPr>
                <w:noProof/>
              </w:rPr>
              <w:t>share</w:t>
            </w:r>
            <w:r w:rsidRPr="005427EA">
              <w:rPr>
                <w:noProof/>
              </w:rPr>
              <w:t xml:space="preserve"> </w:t>
            </w:r>
            <w:r w:rsidRPr="00D71008">
              <w:rPr>
                <w:noProof/>
              </w:rPr>
              <w:t>marketing</w:t>
            </w:r>
            <w:r>
              <w:rPr>
                <w:noProof/>
              </w:rPr>
              <w:t xml:space="preserve"> </w:t>
            </w:r>
            <w:r w:rsidRPr="00D71008">
              <w:rPr>
                <w:noProof/>
              </w:rPr>
              <w:t>and</w:t>
            </w:r>
            <w:r w:rsidRPr="005427EA">
              <w:rPr>
                <w:noProof/>
              </w:rPr>
              <w:t xml:space="preserve"> </w:t>
            </w:r>
            <w:r w:rsidRPr="00D71008">
              <w:rPr>
                <w:noProof/>
              </w:rPr>
              <w:t>booking</w:t>
            </w:r>
            <w:r>
              <w:rPr>
                <w:noProof/>
              </w:rPr>
              <w:t xml:space="preserve"> data </w:t>
            </w:r>
            <w:r w:rsidRPr="005427EA">
              <w:rPr>
                <w:noProof/>
              </w:rPr>
              <w:t xml:space="preserve">in a fair way, </w:t>
            </w:r>
            <w:r>
              <w:rPr>
                <w:noProof/>
              </w:rPr>
              <w:t xml:space="preserve">when requested by </w:t>
            </w:r>
            <w:r w:rsidRPr="005427EA">
              <w:rPr>
                <w:noProof/>
              </w:rPr>
              <w:t>transport operators</w:t>
            </w:r>
            <w:r w:rsidR="00057F23">
              <w:rPr>
                <w:noProof/>
              </w:rPr>
              <w:t xml:space="preserve"> and authorities</w:t>
            </w:r>
          </w:p>
        </w:tc>
      </w:tr>
      <w:tr w:rsidR="00B836D0" w:rsidRPr="00D71008" w14:paraId="3EE7D625" w14:textId="77777777" w:rsidTr="00D8145B">
        <w:tc>
          <w:tcPr>
            <w:tcW w:w="0" w:type="auto"/>
            <w:shd w:val="clear" w:color="auto" w:fill="F2F2F2" w:themeFill="background1" w:themeFillShade="F2"/>
            <w:vAlign w:val="center"/>
          </w:tcPr>
          <w:p w14:paraId="2790A6E4" w14:textId="452372DA" w:rsidR="00B836D0" w:rsidRPr="002D28FD" w:rsidRDefault="00B836D0" w:rsidP="00277E3F">
            <w:pPr>
              <w:pStyle w:val="TableParagraph"/>
              <w:jc w:val="center"/>
              <w:rPr>
                <w:noProof/>
              </w:rPr>
            </w:pPr>
            <w:r w:rsidRPr="002D28FD">
              <w:rPr>
                <w:noProof/>
                <w:spacing w:val="-10"/>
              </w:rPr>
              <w:t>PM4</w:t>
            </w:r>
          </w:p>
        </w:tc>
        <w:tc>
          <w:tcPr>
            <w:tcW w:w="0" w:type="auto"/>
            <w:shd w:val="clear" w:color="auto" w:fill="F2F2F2" w:themeFill="background1" w:themeFillShade="F2"/>
            <w:vAlign w:val="center"/>
          </w:tcPr>
          <w:p w14:paraId="53218260" w14:textId="663505D8" w:rsidR="009E38C9" w:rsidRPr="004E336D" w:rsidRDefault="005D1DBB" w:rsidP="00277E3F">
            <w:pPr>
              <w:pStyle w:val="TableParagraph"/>
              <w:jc w:val="both"/>
              <w:rPr>
                <w:noProof/>
              </w:rPr>
            </w:pPr>
            <w:r>
              <w:rPr>
                <w:noProof/>
              </w:rPr>
              <w:t>PD1</w:t>
            </w:r>
          </w:p>
        </w:tc>
        <w:tc>
          <w:tcPr>
            <w:tcW w:w="0" w:type="auto"/>
            <w:shd w:val="clear" w:color="auto" w:fill="F2F2F2" w:themeFill="background1" w:themeFillShade="F2"/>
            <w:vAlign w:val="center"/>
          </w:tcPr>
          <w:p w14:paraId="735F36F1" w14:textId="4D2EF4FA" w:rsidR="00B836D0" w:rsidRPr="004E336D" w:rsidRDefault="00B836D0" w:rsidP="00277E3F">
            <w:pPr>
              <w:pStyle w:val="TableParagraph"/>
              <w:jc w:val="both"/>
              <w:rPr>
                <w:b/>
                <w:noProof/>
              </w:rPr>
            </w:pPr>
            <w:r w:rsidRPr="004E336D">
              <w:rPr>
                <w:noProof/>
              </w:rPr>
              <w:t xml:space="preserve">Obligation for </w:t>
            </w:r>
            <w:r w:rsidRPr="004E336D">
              <w:rPr>
                <w:b/>
                <w:noProof/>
              </w:rPr>
              <w:t>all B2B MDMS platforms to treat subscribers fairly and</w:t>
            </w:r>
            <w:r w:rsidRPr="004E336D">
              <w:rPr>
                <w:noProof/>
              </w:rPr>
              <w:t xml:space="preserve"> clearly identify in their display banned airlines. Obligation for third countries B2B MDMS to ensure equal treatment of EU air carriers</w:t>
            </w:r>
          </w:p>
        </w:tc>
      </w:tr>
      <w:tr w:rsidR="00B836D0" w:rsidRPr="00D71008" w14:paraId="4678B382" w14:textId="77777777" w:rsidTr="00D8145B">
        <w:tc>
          <w:tcPr>
            <w:tcW w:w="0" w:type="auto"/>
            <w:vAlign w:val="center"/>
          </w:tcPr>
          <w:p w14:paraId="01180F75" w14:textId="78D1AB91" w:rsidR="00B836D0" w:rsidRPr="002D28FD" w:rsidRDefault="00B836D0" w:rsidP="00277E3F">
            <w:pPr>
              <w:pStyle w:val="TableParagraph"/>
              <w:jc w:val="center"/>
              <w:rPr>
                <w:noProof/>
              </w:rPr>
            </w:pPr>
            <w:r w:rsidRPr="002D28FD">
              <w:rPr>
                <w:noProof/>
                <w:spacing w:val="-10"/>
              </w:rPr>
              <w:t>PM5</w:t>
            </w:r>
          </w:p>
        </w:tc>
        <w:tc>
          <w:tcPr>
            <w:tcW w:w="0" w:type="auto"/>
            <w:vAlign w:val="center"/>
          </w:tcPr>
          <w:p w14:paraId="32C2728A" w14:textId="6F327E1F" w:rsidR="009E38C9" w:rsidRPr="00D71008" w:rsidRDefault="005D1DBB" w:rsidP="00277E3F">
            <w:pPr>
              <w:pStyle w:val="TableParagraph"/>
              <w:jc w:val="both"/>
              <w:rPr>
                <w:noProof/>
              </w:rPr>
            </w:pPr>
            <w:r>
              <w:rPr>
                <w:noProof/>
              </w:rPr>
              <w:t>PD1</w:t>
            </w:r>
          </w:p>
        </w:tc>
        <w:tc>
          <w:tcPr>
            <w:tcW w:w="0" w:type="auto"/>
            <w:vAlign w:val="center"/>
          </w:tcPr>
          <w:p w14:paraId="1315A2EB" w14:textId="2B1B7E95" w:rsidR="00B836D0" w:rsidRPr="00D71008" w:rsidRDefault="00B836D0" w:rsidP="00277E3F">
            <w:pPr>
              <w:pStyle w:val="TableParagraph"/>
              <w:jc w:val="both"/>
              <w:rPr>
                <w:noProof/>
              </w:rPr>
            </w:pPr>
            <w:r w:rsidRPr="00D71008">
              <w:rPr>
                <w:noProof/>
              </w:rPr>
              <w:t>Remov</w:t>
            </w:r>
            <w:r>
              <w:rPr>
                <w:noProof/>
              </w:rPr>
              <w:t>e provisions on data protection from CRS Code of Conduct</w:t>
            </w:r>
            <w:r w:rsidRPr="00D71008">
              <w:rPr>
                <w:noProof/>
                <w:spacing w:val="59"/>
                <w:w w:val="150"/>
              </w:rPr>
              <w:t xml:space="preserve"> </w:t>
            </w:r>
          </w:p>
        </w:tc>
      </w:tr>
      <w:tr w:rsidR="00B836D0" w:rsidRPr="00D71008" w14:paraId="7B3AA1EF" w14:textId="77777777" w:rsidTr="00D8145B">
        <w:tc>
          <w:tcPr>
            <w:tcW w:w="0" w:type="auto"/>
            <w:shd w:val="clear" w:color="auto" w:fill="F2F2F2" w:themeFill="background1" w:themeFillShade="F2"/>
            <w:vAlign w:val="center"/>
          </w:tcPr>
          <w:p w14:paraId="0B8F8A21" w14:textId="4521F346" w:rsidR="00B836D0" w:rsidRPr="002D28FD" w:rsidRDefault="00B836D0">
            <w:pPr>
              <w:pStyle w:val="TableParagraph"/>
              <w:jc w:val="center"/>
              <w:rPr>
                <w:noProof/>
              </w:rPr>
            </w:pPr>
            <w:r w:rsidRPr="002D28FD">
              <w:rPr>
                <w:noProof/>
                <w:spacing w:val="-10"/>
              </w:rPr>
              <w:t>PM6</w:t>
            </w:r>
          </w:p>
        </w:tc>
        <w:tc>
          <w:tcPr>
            <w:tcW w:w="0" w:type="auto"/>
            <w:shd w:val="clear" w:color="auto" w:fill="F2F2F2" w:themeFill="background1" w:themeFillShade="F2"/>
            <w:vAlign w:val="center"/>
          </w:tcPr>
          <w:p w14:paraId="44D436E7" w14:textId="77777777" w:rsidR="009E38C9" w:rsidRDefault="008775A4">
            <w:pPr>
              <w:pStyle w:val="TableParagraph"/>
              <w:jc w:val="both"/>
              <w:rPr>
                <w:noProof/>
              </w:rPr>
            </w:pPr>
            <w:r>
              <w:rPr>
                <w:noProof/>
              </w:rPr>
              <w:t>PD3</w:t>
            </w:r>
          </w:p>
          <w:p w14:paraId="18ABEB9F" w14:textId="5FF9224B" w:rsidR="009E38C9" w:rsidRPr="00D71008" w:rsidRDefault="008775A4">
            <w:pPr>
              <w:pStyle w:val="TableParagraph"/>
              <w:jc w:val="both"/>
              <w:rPr>
                <w:noProof/>
              </w:rPr>
            </w:pPr>
            <w:r>
              <w:rPr>
                <w:noProof/>
              </w:rPr>
              <w:t>PD4</w:t>
            </w:r>
          </w:p>
        </w:tc>
        <w:tc>
          <w:tcPr>
            <w:tcW w:w="0" w:type="auto"/>
            <w:shd w:val="clear" w:color="auto" w:fill="F2F2F2" w:themeFill="background1" w:themeFillShade="F2"/>
            <w:vAlign w:val="center"/>
          </w:tcPr>
          <w:p w14:paraId="1CB2CA9D" w14:textId="2937E67B" w:rsidR="00B836D0" w:rsidRPr="00D71008" w:rsidRDefault="00B836D0">
            <w:pPr>
              <w:pStyle w:val="TableParagraph"/>
              <w:jc w:val="both"/>
              <w:rPr>
                <w:noProof/>
              </w:rPr>
            </w:pPr>
            <w:r w:rsidRPr="00D71008">
              <w:rPr>
                <w:noProof/>
              </w:rPr>
              <w:t xml:space="preserve">Obligation for </w:t>
            </w:r>
            <w:r w:rsidRPr="00C10C19">
              <w:rPr>
                <w:b/>
                <w:noProof/>
              </w:rPr>
              <w:t>Member States</w:t>
            </w:r>
            <w:r w:rsidRPr="00A4628D">
              <w:rPr>
                <w:b/>
                <w:noProof/>
              </w:rPr>
              <w:t xml:space="preserve"> </w:t>
            </w:r>
            <w:r w:rsidRPr="00D71008">
              <w:rPr>
                <w:noProof/>
              </w:rPr>
              <w:t>to appoint a national authority to settle disputes between parties</w:t>
            </w:r>
            <w:r w:rsidRPr="00A4628D">
              <w:rPr>
                <w:noProof/>
              </w:rPr>
              <w:t>,</w:t>
            </w:r>
            <w:r>
              <w:rPr>
                <w:noProof/>
              </w:rPr>
              <w:t xml:space="preserve"> and establish an EU</w:t>
            </w:r>
            <w:r w:rsidRPr="00A4628D">
              <w:rPr>
                <w:noProof/>
              </w:rPr>
              <w:t xml:space="preserve"> </w:t>
            </w:r>
            <w:r w:rsidRPr="00D71008">
              <w:rPr>
                <w:noProof/>
              </w:rPr>
              <w:t>enforcement</w:t>
            </w:r>
            <w:r w:rsidRPr="00A4628D">
              <w:rPr>
                <w:noProof/>
              </w:rPr>
              <w:t xml:space="preserve"> </w:t>
            </w:r>
            <w:r w:rsidRPr="00D71008">
              <w:rPr>
                <w:noProof/>
              </w:rPr>
              <w:t>network</w:t>
            </w:r>
            <w:r w:rsidRPr="00A4628D">
              <w:rPr>
                <w:noProof/>
              </w:rPr>
              <w:t xml:space="preserve"> for coordination</w:t>
            </w:r>
            <w:r w:rsidR="66AEFD42">
              <w:rPr>
                <w:noProof/>
              </w:rPr>
              <w:t xml:space="preserve"> of enforcement and implementation work, ensuring consistency throughout the EU.</w:t>
            </w:r>
          </w:p>
        </w:tc>
      </w:tr>
      <w:tr w:rsidR="00B836D0" w:rsidRPr="00D71008" w14:paraId="65190A28" w14:textId="77777777" w:rsidTr="00D8145B">
        <w:tc>
          <w:tcPr>
            <w:tcW w:w="0" w:type="auto"/>
            <w:vAlign w:val="center"/>
          </w:tcPr>
          <w:p w14:paraId="6444EDD2" w14:textId="66728370" w:rsidR="00B836D0" w:rsidRPr="002D28FD" w:rsidRDefault="00B836D0" w:rsidP="00277E3F">
            <w:pPr>
              <w:pStyle w:val="TableParagraph"/>
              <w:jc w:val="center"/>
              <w:rPr>
                <w:noProof/>
              </w:rPr>
            </w:pPr>
            <w:r w:rsidRPr="002D28FD">
              <w:rPr>
                <w:noProof/>
              </w:rPr>
              <w:t>PM7</w:t>
            </w:r>
          </w:p>
        </w:tc>
        <w:tc>
          <w:tcPr>
            <w:tcW w:w="0" w:type="auto"/>
            <w:vAlign w:val="center"/>
          </w:tcPr>
          <w:p w14:paraId="1B3C6C9A" w14:textId="12761C29" w:rsidR="009E38C9" w:rsidRPr="00D71008" w:rsidRDefault="008775A4" w:rsidP="00277E3F">
            <w:pPr>
              <w:pStyle w:val="TableParagraph"/>
              <w:jc w:val="both"/>
              <w:rPr>
                <w:noProof/>
              </w:rPr>
            </w:pPr>
            <w:r>
              <w:rPr>
                <w:noProof/>
              </w:rPr>
              <w:t>PD2</w:t>
            </w:r>
          </w:p>
        </w:tc>
        <w:tc>
          <w:tcPr>
            <w:tcW w:w="0" w:type="auto"/>
            <w:vAlign w:val="center"/>
          </w:tcPr>
          <w:p w14:paraId="436489C6" w14:textId="747AB973" w:rsidR="00B836D0" w:rsidRPr="00D71008" w:rsidRDefault="00B836D0" w:rsidP="00277E3F">
            <w:pPr>
              <w:pStyle w:val="TableParagraph"/>
              <w:jc w:val="both"/>
              <w:rPr>
                <w:noProof/>
              </w:rPr>
            </w:pPr>
            <w:r w:rsidRPr="00D71008">
              <w:rPr>
                <w:noProof/>
              </w:rPr>
              <w:t xml:space="preserve">Obligation for </w:t>
            </w:r>
            <w:r w:rsidRPr="00A64D6E">
              <w:rPr>
                <w:b/>
                <w:noProof/>
              </w:rPr>
              <w:t>all B2C MDMS platforms</w:t>
            </w:r>
            <w:r w:rsidRPr="00D71008">
              <w:rPr>
                <w:noProof/>
              </w:rPr>
              <w:t xml:space="preserve"> to share data for mobility management </w:t>
            </w:r>
          </w:p>
        </w:tc>
      </w:tr>
      <w:tr w:rsidR="00B836D0" w:rsidRPr="00D71008" w14:paraId="5A306B83" w14:textId="77777777" w:rsidTr="00D8145B">
        <w:tc>
          <w:tcPr>
            <w:tcW w:w="0" w:type="auto"/>
            <w:shd w:val="clear" w:color="auto" w:fill="F2F2F2" w:themeFill="background1" w:themeFillShade="F2"/>
            <w:vAlign w:val="center"/>
          </w:tcPr>
          <w:p w14:paraId="1EB92683" w14:textId="2C3B3621" w:rsidR="00B836D0" w:rsidRPr="002D28FD" w:rsidRDefault="00B836D0" w:rsidP="00277E3F">
            <w:pPr>
              <w:pStyle w:val="TableParagraph"/>
              <w:jc w:val="center"/>
              <w:rPr>
                <w:noProof/>
              </w:rPr>
            </w:pPr>
            <w:r w:rsidRPr="002D28FD">
              <w:rPr>
                <w:noProof/>
              </w:rPr>
              <w:t>PM8</w:t>
            </w:r>
          </w:p>
        </w:tc>
        <w:tc>
          <w:tcPr>
            <w:tcW w:w="0" w:type="auto"/>
            <w:shd w:val="clear" w:color="auto" w:fill="F2F2F2" w:themeFill="background1" w:themeFillShade="F2"/>
            <w:vAlign w:val="center"/>
          </w:tcPr>
          <w:p w14:paraId="3CE18329" w14:textId="34926B8D" w:rsidR="009E38C9" w:rsidRPr="00D71008" w:rsidRDefault="005C5348" w:rsidP="00277E3F">
            <w:pPr>
              <w:pStyle w:val="TableParagraph"/>
              <w:jc w:val="both"/>
              <w:rPr>
                <w:noProof/>
              </w:rPr>
            </w:pPr>
            <w:r>
              <w:rPr>
                <w:noProof/>
              </w:rPr>
              <w:t>PD2</w:t>
            </w:r>
          </w:p>
        </w:tc>
        <w:tc>
          <w:tcPr>
            <w:tcW w:w="0" w:type="auto"/>
            <w:shd w:val="clear" w:color="auto" w:fill="F2F2F2" w:themeFill="background1" w:themeFillShade="F2"/>
            <w:vAlign w:val="center"/>
          </w:tcPr>
          <w:p w14:paraId="4007314D" w14:textId="74F9107A" w:rsidR="00B836D0" w:rsidRPr="00D71008" w:rsidRDefault="00B836D0" w:rsidP="00277E3F">
            <w:pPr>
              <w:pStyle w:val="TableParagraph"/>
              <w:jc w:val="both"/>
              <w:rPr>
                <w:noProof/>
              </w:rPr>
            </w:pPr>
            <w:r w:rsidRPr="00D71008">
              <w:rPr>
                <w:noProof/>
              </w:rPr>
              <w:t xml:space="preserve">Obligation for </w:t>
            </w:r>
            <w:r w:rsidRPr="00FB19CE">
              <w:rPr>
                <w:b/>
                <w:noProof/>
              </w:rPr>
              <w:t>all B2B and B2C MDMS platforms</w:t>
            </w:r>
            <w:r w:rsidRPr="00D71008">
              <w:rPr>
                <w:noProof/>
              </w:rPr>
              <w:t xml:space="preserve"> to display information on GHG or CO2 emissions of trips </w:t>
            </w:r>
            <w:r>
              <w:rPr>
                <w:noProof/>
              </w:rPr>
              <w:t>(</w:t>
            </w:r>
            <w:r w:rsidRPr="00D71008">
              <w:rPr>
                <w:noProof/>
              </w:rPr>
              <w:t>whe</w:t>
            </w:r>
            <w:r>
              <w:rPr>
                <w:noProof/>
              </w:rPr>
              <w:t>n</w:t>
            </w:r>
            <w:r w:rsidRPr="00D71008">
              <w:rPr>
                <w:noProof/>
              </w:rPr>
              <w:t xml:space="preserve"> these data are provided by the operators in line with and Count Emissions EU and Flight Emission Label</w:t>
            </w:r>
            <w:r>
              <w:rPr>
                <w:noProof/>
              </w:rPr>
              <w:t>)</w:t>
            </w:r>
          </w:p>
        </w:tc>
      </w:tr>
      <w:tr w:rsidR="00B836D0" w:rsidRPr="00D71008" w14:paraId="79252C2B" w14:textId="77777777" w:rsidTr="00D8145B">
        <w:tblPrEx>
          <w:jc w:val="center"/>
        </w:tblPrEx>
        <w:trPr>
          <w:jc w:val="center"/>
        </w:trPr>
        <w:tc>
          <w:tcPr>
            <w:tcW w:w="0" w:type="auto"/>
            <w:vAlign w:val="center"/>
          </w:tcPr>
          <w:p w14:paraId="5E1E0E75" w14:textId="2A873F90" w:rsidR="00B836D0" w:rsidRPr="002D28FD" w:rsidRDefault="00B836D0" w:rsidP="00277E3F">
            <w:pPr>
              <w:pStyle w:val="TableParagraph"/>
              <w:jc w:val="center"/>
              <w:rPr>
                <w:noProof/>
              </w:rPr>
            </w:pPr>
            <w:r w:rsidRPr="002D28FD">
              <w:rPr>
                <w:noProof/>
              </w:rPr>
              <w:t>PM9</w:t>
            </w:r>
          </w:p>
        </w:tc>
        <w:tc>
          <w:tcPr>
            <w:tcW w:w="0" w:type="auto"/>
            <w:vAlign w:val="center"/>
          </w:tcPr>
          <w:p w14:paraId="2050C897" w14:textId="77777777" w:rsidR="009E38C9" w:rsidRDefault="003C304D" w:rsidP="00277E3F">
            <w:pPr>
              <w:pStyle w:val="TableParagraph"/>
              <w:tabs>
                <w:tab w:val="left" w:pos="5132"/>
              </w:tabs>
              <w:jc w:val="both"/>
              <w:rPr>
                <w:noProof/>
              </w:rPr>
            </w:pPr>
            <w:r>
              <w:rPr>
                <w:noProof/>
              </w:rPr>
              <w:t>PD3</w:t>
            </w:r>
          </w:p>
          <w:p w14:paraId="36CA96DF" w14:textId="08445AE8" w:rsidR="009E38C9" w:rsidRDefault="003C304D" w:rsidP="00277E3F">
            <w:pPr>
              <w:pStyle w:val="TableParagraph"/>
              <w:tabs>
                <w:tab w:val="left" w:pos="5132"/>
              </w:tabs>
              <w:jc w:val="both"/>
              <w:rPr>
                <w:noProof/>
              </w:rPr>
            </w:pPr>
            <w:r>
              <w:rPr>
                <w:noProof/>
              </w:rPr>
              <w:t>PD4</w:t>
            </w:r>
          </w:p>
        </w:tc>
        <w:tc>
          <w:tcPr>
            <w:tcW w:w="0" w:type="auto"/>
            <w:vAlign w:val="center"/>
          </w:tcPr>
          <w:p w14:paraId="421D8BE6" w14:textId="3AD61F17" w:rsidR="00B836D0" w:rsidRPr="00D71008" w:rsidRDefault="00B836D0" w:rsidP="00277E3F">
            <w:pPr>
              <w:pStyle w:val="TableParagraph"/>
              <w:tabs>
                <w:tab w:val="left" w:pos="5132"/>
              </w:tabs>
              <w:jc w:val="both"/>
              <w:rPr>
                <w:noProof/>
              </w:rPr>
            </w:pPr>
            <w:r>
              <w:rPr>
                <w:noProof/>
              </w:rPr>
              <w:t>Thresholds</w:t>
            </w:r>
            <w:r w:rsidRPr="00D71008">
              <w:rPr>
                <w:noProof/>
              </w:rPr>
              <w:t xml:space="preserve"> to identify </w:t>
            </w:r>
            <w:r>
              <w:rPr>
                <w:noProof/>
              </w:rPr>
              <w:t xml:space="preserve">B2C </w:t>
            </w:r>
            <w:r w:rsidRPr="00D71008">
              <w:rPr>
                <w:noProof/>
              </w:rPr>
              <w:t xml:space="preserve">MDMS platforms and </w:t>
            </w:r>
            <w:r>
              <w:rPr>
                <w:noProof/>
              </w:rPr>
              <w:t>RU</w:t>
            </w:r>
            <w:r w:rsidRPr="00D71008">
              <w:rPr>
                <w:noProof/>
              </w:rPr>
              <w:t>s with SMP:</w:t>
            </w:r>
          </w:p>
          <w:p w14:paraId="028CD7E4" w14:textId="5ACB1869" w:rsidR="00B836D0" w:rsidRPr="00D71008" w:rsidRDefault="00B836D0" w:rsidP="007B2D8E">
            <w:pPr>
              <w:pStyle w:val="TableParagraph"/>
              <w:numPr>
                <w:ilvl w:val="0"/>
                <w:numId w:val="5"/>
              </w:numPr>
              <w:tabs>
                <w:tab w:val="left" w:pos="223"/>
              </w:tabs>
              <w:ind w:left="0" w:firstLine="0"/>
              <w:jc w:val="both"/>
              <w:rPr>
                <w:noProof/>
              </w:rPr>
            </w:pPr>
            <w:r w:rsidRPr="00673D9A">
              <w:rPr>
                <w:b/>
                <w:noProof/>
              </w:rPr>
              <w:t xml:space="preserve">for </w:t>
            </w:r>
            <w:r>
              <w:rPr>
                <w:b/>
                <w:noProof/>
              </w:rPr>
              <w:t>RU</w:t>
            </w:r>
            <w:r w:rsidRPr="00D71008">
              <w:rPr>
                <w:b/>
                <w:noProof/>
              </w:rPr>
              <w:t>s with SMP</w:t>
            </w:r>
            <w:r w:rsidRPr="00D71008">
              <w:rPr>
                <w:noProof/>
              </w:rPr>
              <w:t xml:space="preserve">: within one calendar year, 50% or </w:t>
            </w:r>
            <w:r>
              <w:rPr>
                <w:noProof/>
              </w:rPr>
              <w:t>more</w:t>
            </w:r>
            <w:r w:rsidRPr="00D71008">
              <w:rPr>
                <w:noProof/>
              </w:rPr>
              <w:t xml:space="preserve"> of the total </w:t>
            </w:r>
            <w:r w:rsidR="00311955">
              <w:rPr>
                <w:noProof/>
              </w:rPr>
              <w:t xml:space="preserve">passenger </w:t>
            </w:r>
            <w:r w:rsidRPr="00D71008">
              <w:rPr>
                <w:noProof/>
              </w:rPr>
              <w:t>rail services operated in a Member State (including domestic and EU cross-border services to/from that Member State), expressed in yearly passenger kilometres</w:t>
            </w:r>
          </w:p>
          <w:p w14:paraId="7042F76E" w14:textId="66DF886D" w:rsidR="00B836D0" w:rsidRPr="00D71008" w:rsidRDefault="00B836D0" w:rsidP="007B2D8E">
            <w:pPr>
              <w:pStyle w:val="TableParagraph"/>
              <w:numPr>
                <w:ilvl w:val="0"/>
                <w:numId w:val="5"/>
              </w:numPr>
              <w:tabs>
                <w:tab w:val="left" w:pos="182"/>
              </w:tabs>
              <w:ind w:left="0" w:firstLine="0"/>
              <w:jc w:val="both"/>
              <w:rPr>
                <w:noProof/>
              </w:rPr>
            </w:pPr>
            <w:r w:rsidRPr="00D71008">
              <w:rPr>
                <w:b/>
                <w:noProof/>
              </w:rPr>
              <w:t>for B2C MDMS with SMP</w:t>
            </w:r>
            <w:r w:rsidRPr="00D71008">
              <w:rPr>
                <w:noProof/>
              </w:rPr>
              <w:t xml:space="preserve">: </w:t>
            </w:r>
            <w:r>
              <w:rPr>
                <w:noProof/>
              </w:rPr>
              <w:t xml:space="preserve">for OTAs and TMCs </w:t>
            </w:r>
            <w:r w:rsidRPr="00D71008">
              <w:rPr>
                <w:noProof/>
              </w:rPr>
              <w:t>evaluated at EU and national level, via two proxies: total number of ticket sold and/or the total value of tickets</w:t>
            </w:r>
            <w:r>
              <w:rPr>
                <w:noProof/>
              </w:rPr>
              <w:t>; for MSE evaluated at EU level based on traffic</w:t>
            </w:r>
          </w:p>
        </w:tc>
      </w:tr>
      <w:tr w:rsidR="00B836D0" w:rsidRPr="00D71008" w14:paraId="0F293455" w14:textId="77777777" w:rsidTr="00D8145B">
        <w:tblPrEx>
          <w:jc w:val="center"/>
        </w:tblPrEx>
        <w:trPr>
          <w:jc w:val="center"/>
        </w:trPr>
        <w:tc>
          <w:tcPr>
            <w:tcW w:w="0" w:type="auto"/>
            <w:shd w:val="clear" w:color="auto" w:fill="F2F2F2" w:themeFill="background1" w:themeFillShade="F2"/>
            <w:vAlign w:val="center"/>
          </w:tcPr>
          <w:p w14:paraId="5507C745" w14:textId="27D6B707" w:rsidR="00B836D0" w:rsidRPr="002D28FD" w:rsidRDefault="00B836D0" w:rsidP="00277E3F">
            <w:pPr>
              <w:pStyle w:val="TableParagraph"/>
              <w:jc w:val="center"/>
              <w:rPr>
                <w:noProof/>
              </w:rPr>
            </w:pPr>
            <w:r w:rsidRPr="002D28FD">
              <w:rPr>
                <w:noProof/>
                <w:spacing w:val="-5"/>
              </w:rPr>
              <w:t>PM10</w:t>
            </w:r>
          </w:p>
        </w:tc>
        <w:tc>
          <w:tcPr>
            <w:tcW w:w="0" w:type="auto"/>
            <w:shd w:val="clear" w:color="auto" w:fill="F2F2F2" w:themeFill="background1" w:themeFillShade="F2"/>
            <w:vAlign w:val="center"/>
          </w:tcPr>
          <w:p w14:paraId="5C39B0ED" w14:textId="77777777" w:rsidR="009E38C9" w:rsidRPr="004402BC" w:rsidRDefault="001F24EB" w:rsidP="00277E3F">
            <w:pPr>
              <w:pStyle w:val="TableParagraph"/>
              <w:jc w:val="both"/>
              <w:rPr>
                <w:bCs/>
                <w:noProof/>
              </w:rPr>
            </w:pPr>
            <w:r w:rsidRPr="004402BC">
              <w:rPr>
                <w:bCs/>
                <w:noProof/>
              </w:rPr>
              <w:t>PD</w:t>
            </w:r>
            <w:r w:rsidR="004402BC" w:rsidRPr="004402BC">
              <w:rPr>
                <w:bCs/>
                <w:noProof/>
              </w:rPr>
              <w:t>3</w:t>
            </w:r>
          </w:p>
          <w:p w14:paraId="20DF1C4B" w14:textId="49435816" w:rsidR="009E38C9" w:rsidRPr="004402BC" w:rsidRDefault="004402BC" w:rsidP="00277E3F">
            <w:pPr>
              <w:pStyle w:val="TableParagraph"/>
              <w:jc w:val="both"/>
              <w:rPr>
                <w:noProof/>
              </w:rPr>
            </w:pPr>
            <w:r w:rsidRPr="004402BC">
              <w:rPr>
                <w:bCs/>
                <w:noProof/>
              </w:rPr>
              <w:t>PD4</w:t>
            </w:r>
          </w:p>
        </w:tc>
        <w:tc>
          <w:tcPr>
            <w:tcW w:w="0" w:type="auto"/>
            <w:shd w:val="clear" w:color="auto" w:fill="F2F2F2" w:themeFill="background1" w:themeFillShade="F2"/>
            <w:vAlign w:val="center"/>
          </w:tcPr>
          <w:p w14:paraId="2674789C" w14:textId="3BADB97C" w:rsidR="00B836D0" w:rsidRPr="004E336D" w:rsidRDefault="00B836D0" w:rsidP="00277E3F">
            <w:pPr>
              <w:pStyle w:val="TableParagraph"/>
              <w:jc w:val="both"/>
              <w:rPr>
                <w:noProof/>
              </w:rPr>
            </w:pPr>
            <w:r w:rsidRPr="004E336D">
              <w:rPr>
                <w:b/>
                <w:noProof/>
              </w:rPr>
              <w:t xml:space="preserve">B2C MDMS platforms with SMP: </w:t>
            </w:r>
            <w:r w:rsidRPr="004E336D">
              <w:rPr>
                <w:noProof/>
              </w:rPr>
              <w:t>must notify national authorities or the EC about their market presence. National authorities designate B2C MDMS platform, RUs with SMP and indispensable RU platforms at national level, while the EC designates B2C MDMS platforms with SMP at EU level. The EC publishes a list of MDMS platforms (including indispensable RU platforms) and RUs with SMP at both national and EU level</w:t>
            </w:r>
            <w:r w:rsidRPr="004E336D" w:rsidDel="003B05F3">
              <w:rPr>
                <w:noProof/>
              </w:rPr>
              <w:t>.</w:t>
            </w:r>
          </w:p>
        </w:tc>
      </w:tr>
      <w:tr w:rsidR="00B836D0" w:rsidRPr="00D71008" w14:paraId="416E9923" w14:textId="77777777" w:rsidTr="00D8145B">
        <w:tblPrEx>
          <w:jc w:val="center"/>
        </w:tblPrEx>
        <w:trPr>
          <w:jc w:val="center"/>
        </w:trPr>
        <w:tc>
          <w:tcPr>
            <w:tcW w:w="0" w:type="auto"/>
            <w:vAlign w:val="center"/>
          </w:tcPr>
          <w:p w14:paraId="645A1071" w14:textId="25408F4D" w:rsidR="00B836D0" w:rsidRPr="002D28FD" w:rsidRDefault="00B836D0" w:rsidP="00277E3F">
            <w:pPr>
              <w:pStyle w:val="TableParagraph"/>
              <w:jc w:val="center"/>
              <w:rPr>
                <w:noProof/>
              </w:rPr>
            </w:pPr>
            <w:r w:rsidRPr="002D28FD">
              <w:rPr>
                <w:noProof/>
                <w:spacing w:val="-5"/>
              </w:rPr>
              <w:t>PM11</w:t>
            </w:r>
          </w:p>
        </w:tc>
        <w:tc>
          <w:tcPr>
            <w:tcW w:w="0" w:type="auto"/>
            <w:vAlign w:val="center"/>
          </w:tcPr>
          <w:p w14:paraId="41AF8A71" w14:textId="72690EDB" w:rsidR="009E38C9" w:rsidRPr="00F96AF3" w:rsidRDefault="00F96AF3" w:rsidP="00277E3F">
            <w:pPr>
              <w:pStyle w:val="TableParagraph"/>
              <w:jc w:val="both"/>
              <w:rPr>
                <w:noProof/>
              </w:rPr>
            </w:pPr>
            <w:r w:rsidRPr="00F96AF3">
              <w:rPr>
                <w:bCs/>
                <w:noProof/>
              </w:rPr>
              <w:t>PD3</w:t>
            </w:r>
          </w:p>
        </w:tc>
        <w:tc>
          <w:tcPr>
            <w:tcW w:w="0" w:type="auto"/>
            <w:vAlign w:val="center"/>
          </w:tcPr>
          <w:p w14:paraId="6E35B775" w14:textId="350A266A" w:rsidR="00B836D0" w:rsidRPr="00D71008" w:rsidRDefault="00B836D0" w:rsidP="00277E3F">
            <w:pPr>
              <w:pStyle w:val="TableParagraph"/>
              <w:jc w:val="both"/>
              <w:rPr>
                <w:noProof/>
              </w:rPr>
            </w:pPr>
            <w:r w:rsidRPr="004E336D">
              <w:rPr>
                <w:b/>
                <w:noProof/>
              </w:rPr>
              <w:t>B2C MDMS platforms with SMP, indispensable RU platforms and B2B MDMS</w:t>
            </w:r>
            <w:r w:rsidRPr="00D71008">
              <w:rPr>
                <w:noProof/>
              </w:rPr>
              <w:t xml:space="preserve">: </w:t>
            </w:r>
            <w:r>
              <w:rPr>
                <w:noProof/>
              </w:rPr>
              <w:t xml:space="preserve">must </w:t>
            </w:r>
            <w:r w:rsidRPr="00D71008">
              <w:rPr>
                <w:noProof/>
              </w:rPr>
              <w:t>respect principles on distribution fees and cannot impose highly restrictive clauses (exclusivity clauses, unfair and unjustified conditions, marketing clauses and other technical</w:t>
            </w:r>
            <w:r w:rsidRPr="00D71008">
              <w:rPr>
                <w:noProof/>
                <w:spacing w:val="63"/>
              </w:rPr>
              <w:t xml:space="preserve"> </w:t>
            </w:r>
            <w:r w:rsidRPr="00D71008">
              <w:rPr>
                <w:noProof/>
              </w:rPr>
              <w:t>restrictions)</w:t>
            </w:r>
            <w:r w:rsidRPr="00D71008">
              <w:rPr>
                <w:noProof/>
                <w:spacing w:val="63"/>
              </w:rPr>
              <w:t xml:space="preserve"> </w:t>
            </w:r>
            <w:r w:rsidRPr="00D71008">
              <w:rPr>
                <w:noProof/>
              </w:rPr>
              <w:t>when</w:t>
            </w:r>
            <w:r w:rsidRPr="00D71008">
              <w:rPr>
                <w:noProof/>
                <w:spacing w:val="63"/>
              </w:rPr>
              <w:t xml:space="preserve"> </w:t>
            </w:r>
            <w:r w:rsidRPr="00D71008">
              <w:rPr>
                <w:noProof/>
              </w:rPr>
              <w:t>entering</w:t>
            </w:r>
            <w:r w:rsidRPr="00D71008">
              <w:rPr>
                <w:noProof/>
                <w:spacing w:val="63"/>
              </w:rPr>
              <w:t xml:space="preserve"> </w:t>
            </w:r>
            <w:r w:rsidRPr="00D71008">
              <w:rPr>
                <w:noProof/>
              </w:rPr>
              <w:t>into</w:t>
            </w:r>
            <w:r w:rsidRPr="00D71008">
              <w:rPr>
                <w:noProof/>
                <w:spacing w:val="63"/>
              </w:rPr>
              <w:t xml:space="preserve"> </w:t>
            </w:r>
            <w:r w:rsidRPr="00D71008">
              <w:rPr>
                <w:noProof/>
                <w:spacing w:val="-2"/>
              </w:rPr>
              <w:t xml:space="preserve">commercial </w:t>
            </w:r>
            <w:r w:rsidRPr="00D71008">
              <w:rPr>
                <w:noProof/>
              </w:rPr>
              <w:t>agreements</w:t>
            </w:r>
            <w:r w:rsidRPr="00D71008">
              <w:rPr>
                <w:noProof/>
                <w:spacing w:val="-5"/>
              </w:rPr>
              <w:t xml:space="preserve"> </w:t>
            </w:r>
            <w:r w:rsidRPr="00D71008">
              <w:rPr>
                <w:noProof/>
              </w:rPr>
              <w:t>with</w:t>
            </w:r>
            <w:r w:rsidRPr="00D71008">
              <w:rPr>
                <w:noProof/>
                <w:spacing w:val="-4"/>
              </w:rPr>
              <w:t xml:space="preserve"> </w:t>
            </w:r>
            <w:r w:rsidRPr="00D71008">
              <w:rPr>
                <w:noProof/>
              </w:rPr>
              <w:t>transport</w:t>
            </w:r>
            <w:r w:rsidRPr="00D71008">
              <w:rPr>
                <w:noProof/>
                <w:spacing w:val="-3"/>
              </w:rPr>
              <w:t xml:space="preserve"> </w:t>
            </w:r>
            <w:r w:rsidRPr="00D71008">
              <w:rPr>
                <w:noProof/>
                <w:spacing w:val="-2"/>
              </w:rPr>
              <w:t>operators</w:t>
            </w:r>
          </w:p>
        </w:tc>
      </w:tr>
      <w:tr w:rsidR="00B836D0" w:rsidRPr="00D71008" w14:paraId="2D311928" w14:textId="77777777" w:rsidTr="00D8145B">
        <w:tblPrEx>
          <w:jc w:val="center"/>
        </w:tblPrEx>
        <w:trPr>
          <w:jc w:val="center"/>
        </w:trPr>
        <w:tc>
          <w:tcPr>
            <w:tcW w:w="0" w:type="auto"/>
            <w:shd w:val="clear" w:color="auto" w:fill="F2F2F2" w:themeFill="background1" w:themeFillShade="F2"/>
            <w:vAlign w:val="center"/>
          </w:tcPr>
          <w:p w14:paraId="7C9101B4" w14:textId="0B079212" w:rsidR="00B836D0" w:rsidRPr="002D28FD" w:rsidRDefault="00B836D0" w:rsidP="00277E3F">
            <w:pPr>
              <w:pStyle w:val="TableParagraph"/>
              <w:jc w:val="center"/>
              <w:rPr>
                <w:noProof/>
              </w:rPr>
            </w:pPr>
            <w:r w:rsidRPr="002D28FD">
              <w:rPr>
                <w:noProof/>
              </w:rPr>
              <w:t>PM12</w:t>
            </w:r>
          </w:p>
        </w:tc>
        <w:tc>
          <w:tcPr>
            <w:tcW w:w="0" w:type="auto"/>
            <w:shd w:val="clear" w:color="auto" w:fill="F2F2F2" w:themeFill="background1" w:themeFillShade="F2"/>
            <w:vAlign w:val="center"/>
          </w:tcPr>
          <w:p w14:paraId="62E93209" w14:textId="6C55B468" w:rsidR="009E38C9" w:rsidRPr="003816A2" w:rsidRDefault="003816A2" w:rsidP="00277E3F">
            <w:pPr>
              <w:pStyle w:val="TableParagraph"/>
              <w:jc w:val="both"/>
              <w:rPr>
                <w:noProof/>
                <w:color w:val="000000" w:themeColor="text1"/>
                <w:lang w:eastAsia="en-IE"/>
              </w:rPr>
            </w:pPr>
            <w:r w:rsidRPr="003816A2">
              <w:rPr>
                <w:bCs/>
                <w:noProof/>
                <w:color w:val="000000" w:themeColor="text1"/>
                <w:lang w:eastAsia="en-IE"/>
              </w:rPr>
              <w:t>PD4</w:t>
            </w:r>
          </w:p>
        </w:tc>
        <w:tc>
          <w:tcPr>
            <w:tcW w:w="0" w:type="auto"/>
            <w:shd w:val="clear" w:color="auto" w:fill="F2F2F2" w:themeFill="background1" w:themeFillShade="F2"/>
            <w:vAlign w:val="center"/>
          </w:tcPr>
          <w:p w14:paraId="61FB62A8" w14:textId="4A2831A5" w:rsidR="00B836D0" w:rsidRPr="00D71008" w:rsidRDefault="00B836D0" w:rsidP="00277E3F">
            <w:pPr>
              <w:pStyle w:val="TableParagraph"/>
              <w:jc w:val="both"/>
              <w:rPr>
                <w:noProof/>
              </w:rPr>
            </w:pPr>
            <w:r>
              <w:rPr>
                <w:b/>
                <w:noProof/>
                <w:color w:val="000000" w:themeColor="text1"/>
                <w:lang w:eastAsia="en-IE"/>
              </w:rPr>
              <w:t>I</w:t>
            </w:r>
            <w:r w:rsidRPr="00D71008">
              <w:rPr>
                <w:b/>
                <w:noProof/>
                <w:color w:val="000000" w:themeColor="text1"/>
                <w:lang w:eastAsia="en-IE"/>
              </w:rPr>
              <w:t xml:space="preserve">ndispensable </w:t>
            </w:r>
            <w:r w:rsidR="00F11DCC">
              <w:rPr>
                <w:b/>
                <w:noProof/>
                <w:color w:val="000000" w:themeColor="text1"/>
                <w:lang w:eastAsia="en-IE"/>
              </w:rPr>
              <w:t>RU</w:t>
            </w:r>
            <w:r w:rsidR="004D5506">
              <w:rPr>
                <w:b/>
                <w:noProof/>
                <w:color w:val="000000" w:themeColor="text1"/>
                <w:lang w:eastAsia="en-IE"/>
              </w:rPr>
              <w:t>s</w:t>
            </w:r>
            <w:r w:rsidRPr="00D71008">
              <w:rPr>
                <w:b/>
                <w:noProof/>
                <w:color w:val="000000" w:themeColor="text1"/>
                <w:lang w:eastAsia="en-IE"/>
              </w:rPr>
              <w:t xml:space="preserve"> (with SMP and </w:t>
            </w:r>
            <w:r>
              <w:rPr>
                <w:b/>
                <w:noProof/>
                <w:color w:val="000000" w:themeColor="text1"/>
                <w:lang w:eastAsia="en-IE"/>
              </w:rPr>
              <w:t>operating</w:t>
            </w:r>
            <w:r w:rsidRPr="00D71008">
              <w:rPr>
                <w:b/>
                <w:noProof/>
                <w:color w:val="000000" w:themeColor="text1"/>
                <w:lang w:eastAsia="en-IE"/>
              </w:rPr>
              <w:t xml:space="preserve"> PSO and cross- border services)</w:t>
            </w:r>
            <w:r w:rsidRPr="00D71008">
              <w:rPr>
                <w:noProof/>
                <w:color w:val="000000" w:themeColor="text1"/>
                <w:lang w:eastAsia="en-IE"/>
              </w:rPr>
              <w:t>:</w:t>
            </w:r>
            <w:r w:rsidRPr="00D71008">
              <w:rPr>
                <w:noProof/>
              </w:rPr>
              <w:t xml:space="preserve"> </w:t>
            </w:r>
            <w:r>
              <w:rPr>
                <w:noProof/>
              </w:rPr>
              <w:t xml:space="preserve">must </w:t>
            </w:r>
            <w:r w:rsidRPr="00D71008">
              <w:rPr>
                <w:noProof/>
              </w:rPr>
              <w:t>respect principles on distribution fees without imposing restrictive clauses (exclusivity clauses, marketing clauses and other technical restrictions) when entering into commercial agreements with MDMS platforms</w:t>
            </w:r>
          </w:p>
        </w:tc>
      </w:tr>
      <w:tr w:rsidR="00B836D0" w:rsidRPr="00D71008" w14:paraId="112C192E" w14:textId="77777777" w:rsidTr="00D8145B">
        <w:tblPrEx>
          <w:jc w:val="center"/>
        </w:tblPrEx>
        <w:trPr>
          <w:jc w:val="center"/>
        </w:trPr>
        <w:tc>
          <w:tcPr>
            <w:tcW w:w="0" w:type="auto"/>
            <w:vAlign w:val="center"/>
          </w:tcPr>
          <w:p w14:paraId="2B909D07" w14:textId="09EE908A" w:rsidR="00B836D0" w:rsidRPr="002D28FD" w:rsidRDefault="00B836D0" w:rsidP="00277E3F">
            <w:pPr>
              <w:pStyle w:val="TableParagraph"/>
              <w:jc w:val="center"/>
              <w:rPr>
                <w:strike/>
                <w:noProof/>
              </w:rPr>
            </w:pPr>
            <w:r w:rsidRPr="002D28FD">
              <w:rPr>
                <w:noProof/>
              </w:rPr>
              <w:t>PM13</w:t>
            </w:r>
          </w:p>
        </w:tc>
        <w:tc>
          <w:tcPr>
            <w:tcW w:w="0" w:type="auto"/>
            <w:vAlign w:val="center"/>
          </w:tcPr>
          <w:p w14:paraId="797E535C" w14:textId="2ACE3F0B" w:rsidR="009E38C9" w:rsidRPr="005D2D60" w:rsidRDefault="003816A2" w:rsidP="00277E3F">
            <w:pPr>
              <w:pStyle w:val="TableParagraph"/>
              <w:jc w:val="both"/>
              <w:rPr>
                <w:noProof/>
              </w:rPr>
            </w:pPr>
            <w:r w:rsidRPr="005D2D60">
              <w:rPr>
                <w:noProof/>
              </w:rPr>
              <w:t>PD4</w:t>
            </w:r>
          </w:p>
        </w:tc>
        <w:tc>
          <w:tcPr>
            <w:tcW w:w="0" w:type="auto"/>
            <w:vAlign w:val="center"/>
          </w:tcPr>
          <w:p w14:paraId="65E4E677" w14:textId="4B49ED9A" w:rsidR="00B836D0" w:rsidRPr="00D71008" w:rsidRDefault="00B836D0" w:rsidP="00277E3F">
            <w:pPr>
              <w:pStyle w:val="TableParagraph"/>
              <w:jc w:val="both"/>
              <w:rPr>
                <w:noProof/>
              </w:rPr>
            </w:pPr>
            <w:r w:rsidRPr="48873EF7">
              <w:rPr>
                <w:b/>
                <w:bCs/>
                <w:noProof/>
              </w:rPr>
              <w:t xml:space="preserve">Indispensable </w:t>
            </w:r>
            <w:r w:rsidR="00F11DCC" w:rsidRPr="29769FEA">
              <w:rPr>
                <w:b/>
                <w:bCs/>
                <w:noProof/>
              </w:rPr>
              <w:t>RU</w:t>
            </w:r>
            <w:r w:rsidR="76E23413" w:rsidRPr="29769FEA">
              <w:rPr>
                <w:b/>
                <w:bCs/>
                <w:noProof/>
              </w:rPr>
              <w:t xml:space="preserve">s </w:t>
            </w:r>
            <w:r w:rsidR="00B00915" w:rsidRPr="57113ADD">
              <w:rPr>
                <w:noProof/>
                <w:color w:val="000000" w:themeColor="text1"/>
                <w:lang w:eastAsia="en-IE"/>
              </w:rPr>
              <w:t>(</w:t>
            </w:r>
            <w:r w:rsidRPr="48873EF7">
              <w:rPr>
                <w:b/>
                <w:bCs/>
                <w:noProof/>
                <w:color w:val="000000" w:themeColor="text1"/>
                <w:lang w:eastAsia="en-IE"/>
              </w:rPr>
              <w:t>with SMP and operating PSO and cross- border services</w:t>
            </w:r>
            <w:r w:rsidRPr="00D22DF0">
              <w:rPr>
                <w:noProof/>
                <w:color w:val="000000" w:themeColor="text1"/>
                <w:lang w:eastAsia="en-IE"/>
              </w:rPr>
              <w:t>)</w:t>
            </w:r>
            <w:r w:rsidRPr="00D71008">
              <w:rPr>
                <w:noProof/>
                <w:color w:val="000000" w:themeColor="text1"/>
                <w:lang w:eastAsia="en-IE"/>
              </w:rPr>
              <w:t>:</w:t>
            </w:r>
            <w:r w:rsidRPr="48873EF7">
              <w:rPr>
                <w:b/>
                <w:bCs/>
                <w:noProof/>
              </w:rPr>
              <w:t xml:space="preserve"> </w:t>
            </w:r>
            <w:r>
              <w:rPr>
                <w:noProof/>
              </w:rPr>
              <w:t>must</w:t>
            </w:r>
            <w:r w:rsidRPr="00D71008">
              <w:rPr>
                <w:noProof/>
              </w:rPr>
              <w:t xml:space="preserve"> enter into commercial agreements with </w:t>
            </w:r>
            <w:r w:rsidR="006E5FD1">
              <w:rPr>
                <w:noProof/>
              </w:rPr>
              <w:t xml:space="preserve">requesting </w:t>
            </w:r>
            <w:r w:rsidRPr="00D71008">
              <w:rPr>
                <w:noProof/>
              </w:rPr>
              <w:t>MDMS platforms to enable the re-linking, resale and/or distribution of t</w:t>
            </w:r>
            <w:r>
              <w:rPr>
                <w:noProof/>
              </w:rPr>
              <w:t xml:space="preserve">heir </w:t>
            </w:r>
            <w:r w:rsidRPr="00D71008">
              <w:rPr>
                <w:noProof/>
              </w:rPr>
              <w:t>tickets</w:t>
            </w:r>
            <w:r w:rsidR="2DD97714">
              <w:rPr>
                <w:noProof/>
              </w:rPr>
              <w:t xml:space="preserve"> </w:t>
            </w:r>
            <w:r w:rsidR="00FF1028">
              <w:rPr>
                <w:noProof/>
              </w:rPr>
              <w:t xml:space="preserve">via those platforms </w:t>
            </w:r>
            <w:r w:rsidR="2DD97714">
              <w:rPr>
                <w:noProof/>
              </w:rPr>
              <w:t>for the</w:t>
            </w:r>
            <w:r w:rsidR="00D50435">
              <w:rPr>
                <w:noProof/>
              </w:rPr>
              <w:t xml:space="preserve"> </w:t>
            </w:r>
            <w:r w:rsidR="2DD97714">
              <w:rPr>
                <w:noProof/>
              </w:rPr>
              <w:t>s</w:t>
            </w:r>
            <w:r w:rsidR="00D50435">
              <w:rPr>
                <w:noProof/>
              </w:rPr>
              <w:t>p</w:t>
            </w:r>
            <w:r w:rsidR="2DD97714">
              <w:rPr>
                <w:noProof/>
              </w:rPr>
              <w:t>e</w:t>
            </w:r>
            <w:r w:rsidR="00D50435">
              <w:rPr>
                <w:noProof/>
              </w:rPr>
              <w:t>cified</w:t>
            </w:r>
            <w:r w:rsidR="2DD97714">
              <w:rPr>
                <w:noProof/>
              </w:rPr>
              <w:t xml:space="preserve"> services</w:t>
            </w:r>
            <w:r w:rsidR="00D50435">
              <w:rPr>
                <w:noProof/>
              </w:rPr>
              <w:t xml:space="preserve"> (‘sharing obligation’)</w:t>
            </w:r>
          </w:p>
        </w:tc>
      </w:tr>
      <w:tr w:rsidR="00B836D0" w:rsidRPr="00D71008" w14:paraId="6FEB80EA" w14:textId="77777777" w:rsidTr="00D8145B">
        <w:tblPrEx>
          <w:jc w:val="center"/>
        </w:tblPrEx>
        <w:trPr>
          <w:jc w:val="center"/>
        </w:trPr>
        <w:tc>
          <w:tcPr>
            <w:tcW w:w="0" w:type="auto"/>
            <w:shd w:val="clear" w:color="auto" w:fill="F2F2F2" w:themeFill="background1" w:themeFillShade="F2"/>
            <w:vAlign w:val="center"/>
          </w:tcPr>
          <w:p w14:paraId="56935AF4" w14:textId="6C3E596C" w:rsidR="00B836D0" w:rsidRPr="002D28FD" w:rsidRDefault="00B836D0" w:rsidP="00277E3F">
            <w:pPr>
              <w:pStyle w:val="TableParagraph"/>
              <w:jc w:val="center"/>
              <w:rPr>
                <w:noProof/>
              </w:rPr>
            </w:pPr>
            <w:r w:rsidRPr="002D28FD">
              <w:rPr>
                <w:noProof/>
              </w:rPr>
              <w:t>PM14</w:t>
            </w:r>
          </w:p>
        </w:tc>
        <w:tc>
          <w:tcPr>
            <w:tcW w:w="0" w:type="auto"/>
            <w:shd w:val="clear" w:color="auto" w:fill="F2F2F2" w:themeFill="background1" w:themeFillShade="F2"/>
            <w:vAlign w:val="center"/>
          </w:tcPr>
          <w:p w14:paraId="7CC0B39E" w14:textId="441EBD61" w:rsidR="009E38C9" w:rsidRPr="005D2D60" w:rsidRDefault="003816A2" w:rsidP="00277E3F">
            <w:pPr>
              <w:pStyle w:val="TableParagraph"/>
              <w:jc w:val="both"/>
              <w:rPr>
                <w:noProof/>
              </w:rPr>
            </w:pPr>
            <w:r w:rsidRPr="005D2D60">
              <w:rPr>
                <w:noProof/>
              </w:rPr>
              <w:t>PD4</w:t>
            </w:r>
          </w:p>
        </w:tc>
        <w:tc>
          <w:tcPr>
            <w:tcW w:w="0" w:type="auto"/>
            <w:shd w:val="clear" w:color="auto" w:fill="F2F2F2" w:themeFill="background1" w:themeFillShade="F2"/>
            <w:vAlign w:val="center"/>
          </w:tcPr>
          <w:p w14:paraId="6E152060" w14:textId="61C11000" w:rsidR="00B836D0" w:rsidRPr="00D71008" w:rsidRDefault="00B836D0" w:rsidP="00277E3F">
            <w:pPr>
              <w:pStyle w:val="TableParagraph"/>
              <w:jc w:val="both"/>
              <w:rPr>
                <w:noProof/>
                <w:highlight w:val="yellow"/>
              </w:rPr>
            </w:pPr>
            <w:r>
              <w:rPr>
                <w:b/>
                <w:noProof/>
              </w:rPr>
              <w:t>I</w:t>
            </w:r>
            <w:r w:rsidRPr="00D71008">
              <w:rPr>
                <w:b/>
                <w:noProof/>
              </w:rPr>
              <w:t xml:space="preserve">ndispensable </w:t>
            </w:r>
            <w:r>
              <w:rPr>
                <w:b/>
                <w:noProof/>
              </w:rPr>
              <w:t>RU</w:t>
            </w:r>
            <w:r w:rsidRPr="00D71008">
              <w:rPr>
                <w:b/>
                <w:noProof/>
              </w:rPr>
              <w:t xml:space="preserve"> platforms:</w:t>
            </w:r>
            <w:r w:rsidRPr="00D71008">
              <w:rPr>
                <w:noProof/>
              </w:rPr>
              <w:t xml:space="preserve"> </w:t>
            </w:r>
            <w:r>
              <w:rPr>
                <w:noProof/>
              </w:rPr>
              <w:t>must</w:t>
            </w:r>
            <w:r w:rsidRPr="00D71008">
              <w:rPr>
                <w:noProof/>
              </w:rPr>
              <w:t xml:space="preserve"> enter into commercial agreements with </w:t>
            </w:r>
            <w:r w:rsidR="006E5FD1">
              <w:rPr>
                <w:noProof/>
              </w:rPr>
              <w:t xml:space="preserve">requesting </w:t>
            </w:r>
            <w:r>
              <w:rPr>
                <w:noProof/>
              </w:rPr>
              <w:t>RU</w:t>
            </w:r>
            <w:r w:rsidRPr="00D71008">
              <w:rPr>
                <w:noProof/>
              </w:rPr>
              <w:t xml:space="preserve">s (operating </w:t>
            </w:r>
            <w:r>
              <w:rPr>
                <w:noProof/>
              </w:rPr>
              <w:t>with</w:t>
            </w:r>
            <w:r w:rsidRPr="00D71008">
              <w:rPr>
                <w:noProof/>
              </w:rPr>
              <w:t xml:space="preserve">in the same geographical area in which the </w:t>
            </w:r>
            <w:r>
              <w:rPr>
                <w:noProof/>
              </w:rPr>
              <w:t>RU</w:t>
            </w:r>
            <w:r w:rsidRPr="00D71008">
              <w:rPr>
                <w:noProof/>
              </w:rPr>
              <w:t xml:space="preserve"> owning the </w:t>
            </w:r>
            <w:r>
              <w:rPr>
                <w:noProof/>
              </w:rPr>
              <w:t>indispensable RU</w:t>
            </w:r>
            <w:r w:rsidRPr="00D71008">
              <w:rPr>
                <w:noProof/>
              </w:rPr>
              <w:t xml:space="preserve"> platform has SMP) to enable the distribution of </w:t>
            </w:r>
            <w:r w:rsidR="00D84C23">
              <w:rPr>
                <w:noProof/>
              </w:rPr>
              <w:t xml:space="preserve">their </w:t>
            </w:r>
            <w:r w:rsidR="00B00915" w:rsidRPr="00D71008">
              <w:rPr>
                <w:noProof/>
              </w:rPr>
              <w:t>tickets</w:t>
            </w:r>
            <w:r w:rsidR="00136DD4">
              <w:rPr>
                <w:noProof/>
              </w:rPr>
              <w:t xml:space="preserve"> (</w:t>
            </w:r>
            <w:r w:rsidR="00C81A4D">
              <w:rPr>
                <w:noProof/>
              </w:rPr>
              <w:t xml:space="preserve">‘hosting </w:t>
            </w:r>
            <w:r w:rsidR="00136DD4">
              <w:rPr>
                <w:noProof/>
              </w:rPr>
              <w:t>obligation</w:t>
            </w:r>
            <w:r w:rsidR="00C81A4D">
              <w:rPr>
                <w:noProof/>
              </w:rPr>
              <w:t>’)</w:t>
            </w:r>
          </w:p>
        </w:tc>
      </w:tr>
      <w:tr w:rsidR="00B836D0" w:rsidRPr="00D71008" w14:paraId="2BC3800A" w14:textId="77777777" w:rsidTr="00D8145B">
        <w:tblPrEx>
          <w:jc w:val="center"/>
        </w:tblPrEx>
        <w:trPr>
          <w:jc w:val="center"/>
        </w:trPr>
        <w:tc>
          <w:tcPr>
            <w:tcW w:w="0" w:type="auto"/>
            <w:vAlign w:val="center"/>
          </w:tcPr>
          <w:p w14:paraId="4EA9E70B" w14:textId="2A5A8223" w:rsidR="00B836D0" w:rsidRPr="002D28FD" w:rsidRDefault="00B836D0" w:rsidP="00277E3F">
            <w:pPr>
              <w:pStyle w:val="TableParagraph"/>
              <w:jc w:val="center"/>
              <w:rPr>
                <w:noProof/>
              </w:rPr>
            </w:pPr>
            <w:r w:rsidRPr="002D28FD">
              <w:rPr>
                <w:noProof/>
              </w:rPr>
              <w:t>PM15</w:t>
            </w:r>
          </w:p>
        </w:tc>
        <w:tc>
          <w:tcPr>
            <w:tcW w:w="0" w:type="auto"/>
            <w:vAlign w:val="center"/>
          </w:tcPr>
          <w:p w14:paraId="4F5C45B0" w14:textId="6FB7710F" w:rsidR="009E38C9" w:rsidRPr="005D2D60" w:rsidRDefault="003816A2" w:rsidP="00277E3F">
            <w:pPr>
              <w:pStyle w:val="TableParagraph"/>
              <w:jc w:val="both"/>
              <w:rPr>
                <w:noProof/>
              </w:rPr>
            </w:pPr>
            <w:r w:rsidRPr="005D2D60">
              <w:rPr>
                <w:noProof/>
              </w:rPr>
              <w:t>PD4</w:t>
            </w:r>
          </w:p>
        </w:tc>
        <w:tc>
          <w:tcPr>
            <w:tcW w:w="0" w:type="auto"/>
            <w:vAlign w:val="center"/>
          </w:tcPr>
          <w:p w14:paraId="67116DFB" w14:textId="4F1C5602" w:rsidR="00B836D0" w:rsidRPr="00D71008" w:rsidRDefault="00B836D0" w:rsidP="00277E3F">
            <w:pPr>
              <w:pStyle w:val="TableParagraph"/>
              <w:jc w:val="both"/>
              <w:rPr>
                <w:b/>
                <w:noProof/>
              </w:rPr>
            </w:pPr>
            <w:r>
              <w:rPr>
                <w:b/>
                <w:noProof/>
              </w:rPr>
              <w:t>I</w:t>
            </w:r>
            <w:r w:rsidRPr="00D71008">
              <w:rPr>
                <w:b/>
                <w:noProof/>
              </w:rPr>
              <w:t xml:space="preserve">ndispensable </w:t>
            </w:r>
            <w:r>
              <w:rPr>
                <w:b/>
                <w:noProof/>
              </w:rPr>
              <w:t>RU</w:t>
            </w:r>
            <w:r w:rsidRPr="00D71008">
              <w:rPr>
                <w:b/>
                <w:noProof/>
              </w:rPr>
              <w:t xml:space="preserve"> platforms:</w:t>
            </w:r>
            <w:r w:rsidRPr="00D71008">
              <w:rPr>
                <w:noProof/>
              </w:rPr>
              <w:t xml:space="preserve"> </w:t>
            </w:r>
            <w:r>
              <w:rPr>
                <w:noProof/>
              </w:rPr>
              <w:t>must</w:t>
            </w:r>
            <w:r w:rsidRPr="00D71008">
              <w:rPr>
                <w:noProof/>
              </w:rPr>
              <w:t xml:space="preserve"> unbundle its distribution system from the systems of its parent operator</w:t>
            </w:r>
          </w:p>
        </w:tc>
      </w:tr>
    </w:tbl>
    <w:p w14:paraId="265A7B6D" w14:textId="330F1FD7" w:rsidR="00103D06" w:rsidRPr="009077E0" w:rsidRDefault="00103D06" w:rsidP="009077E0">
      <w:pPr>
        <w:spacing w:after="240"/>
        <w:jc w:val="both"/>
        <w:rPr>
          <w:i/>
          <w:noProof/>
          <w:spacing w:val="-8"/>
          <w:sz w:val="20"/>
          <w:szCs w:val="20"/>
        </w:rPr>
      </w:pPr>
      <w:bookmarkStart w:id="108" w:name="_Toc223979962"/>
      <w:r w:rsidRPr="009077E0">
        <w:rPr>
          <w:i/>
          <w:noProof/>
          <w:spacing w:val="-8"/>
          <w:sz w:val="20"/>
          <w:szCs w:val="20"/>
        </w:rPr>
        <w:t xml:space="preserve">Note: * PM stands for </w:t>
      </w:r>
      <w:r w:rsidR="003240F1">
        <w:rPr>
          <w:i/>
          <w:iCs/>
          <w:noProof/>
          <w:spacing w:val="-8"/>
          <w:sz w:val="20"/>
          <w:szCs w:val="20"/>
        </w:rPr>
        <w:t xml:space="preserve">the number of the </w:t>
      </w:r>
      <w:r w:rsidRPr="009077E0">
        <w:rPr>
          <w:i/>
          <w:noProof/>
          <w:spacing w:val="-8"/>
          <w:sz w:val="20"/>
          <w:szCs w:val="20"/>
        </w:rPr>
        <w:t xml:space="preserve">policy measure; </w:t>
      </w:r>
      <w:r w:rsidR="000D257A" w:rsidRPr="009077E0">
        <w:rPr>
          <w:i/>
          <w:noProof/>
          <w:spacing w:val="-8"/>
          <w:sz w:val="20"/>
          <w:szCs w:val="20"/>
        </w:rPr>
        <w:t>** PD stands for</w:t>
      </w:r>
      <w:r w:rsidR="0061442F">
        <w:rPr>
          <w:i/>
          <w:iCs/>
          <w:noProof/>
          <w:spacing w:val="-8"/>
          <w:sz w:val="20"/>
          <w:szCs w:val="20"/>
        </w:rPr>
        <w:t xml:space="preserve"> the</w:t>
      </w:r>
      <w:r w:rsidR="000D257A" w:rsidRPr="009077E0">
        <w:rPr>
          <w:i/>
          <w:noProof/>
          <w:spacing w:val="-8"/>
          <w:sz w:val="20"/>
          <w:szCs w:val="20"/>
        </w:rPr>
        <w:t xml:space="preserve"> problem driver</w:t>
      </w:r>
      <w:r w:rsidR="002E47D0">
        <w:rPr>
          <w:i/>
          <w:iCs/>
          <w:noProof/>
          <w:spacing w:val="-8"/>
          <w:sz w:val="20"/>
          <w:szCs w:val="20"/>
        </w:rPr>
        <w:t xml:space="preserve"> that the policy measure addresses. </w:t>
      </w:r>
    </w:p>
    <w:p w14:paraId="3107A2D4" w14:textId="77777777" w:rsidR="00263235" w:rsidRPr="00263235" w:rsidRDefault="00263235" w:rsidP="006E3FA1">
      <w:pPr>
        <w:pStyle w:val="Heading2"/>
        <w:keepNext/>
        <w:numPr>
          <w:ilvl w:val="2"/>
          <w:numId w:val="11"/>
        </w:numPr>
        <w:tabs>
          <w:tab w:val="left" w:pos="709"/>
        </w:tabs>
        <w:spacing w:before="240" w:after="240"/>
        <w:ind w:left="1134" w:hanging="709"/>
        <w:rPr>
          <w:b w:val="0"/>
          <w:bCs w:val="0"/>
          <w:i/>
          <w:iCs/>
          <w:noProof/>
        </w:rPr>
      </w:pPr>
      <w:r w:rsidRPr="00D71008">
        <w:rPr>
          <w:b w:val="0"/>
          <w:bCs w:val="0"/>
          <w:i/>
          <w:iCs/>
          <w:noProof/>
        </w:rPr>
        <w:t>Description of the policy options</w:t>
      </w:r>
      <w:bookmarkEnd w:id="108"/>
    </w:p>
    <w:p w14:paraId="4F8A6C78" w14:textId="2D7633F3" w:rsidR="00BF6FBE" w:rsidRPr="00175A20" w:rsidRDefault="003C5923" w:rsidP="00F66A05">
      <w:pPr>
        <w:pStyle w:val="BodyText"/>
        <w:spacing w:before="240" w:after="240"/>
        <w:ind w:left="0"/>
        <w:rPr>
          <w:noProof/>
          <w:spacing w:val="-8"/>
        </w:rPr>
      </w:pPr>
      <w:r w:rsidRPr="006050FB">
        <w:rPr>
          <w:bCs/>
          <w:noProof/>
          <w:spacing w:val="-8"/>
        </w:rPr>
        <w:t xml:space="preserve">The </w:t>
      </w:r>
      <w:r w:rsidR="006050FB" w:rsidRPr="006050FB">
        <w:rPr>
          <w:bCs/>
          <w:noProof/>
          <w:spacing w:val="-8"/>
        </w:rPr>
        <w:t>15</w:t>
      </w:r>
      <w:r w:rsidR="006050FB">
        <w:rPr>
          <w:b/>
          <w:noProof/>
          <w:spacing w:val="-8"/>
        </w:rPr>
        <w:t xml:space="preserve"> p</w:t>
      </w:r>
      <w:r w:rsidR="006234CE" w:rsidRPr="000F2045">
        <w:rPr>
          <w:b/>
          <w:noProof/>
          <w:spacing w:val="-8"/>
        </w:rPr>
        <w:t>olicy</w:t>
      </w:r>
      <w:r w:rsidR="006234CE" w:rsidRPr="00175A20">
        <w:rPr>
          <w:b/>
          <w:noProof/>
          <w:spacing w:val="-8"/>
        </w:rPr>
        <w:t xml:space="preserve"> measures were grouped into four policy options</w:t>
      </w:r>
      <w:r w:rsidR="006234CE" w:rsidRPr="00175A20">
        <w:rPr>
          <w:noProof/>
          <w:spacing w:val="-8"/>
        </w:rPr>
        <w:t xml:space="preserve">. </w:t>
      </w:r>
      <w:r w:rsidR="008F283E" w:rsidRPr="00175A20">
        <w:rPr>
          <w:noProof/>
          <w:spacing w:val="-8"/>
        </w:rPr>
        <w:t>PM1 to PM12 are common to all options</w:t>
      </w:r>
      <w:r w:rsidR="00020B7F" w:rsidRPr="00175A20">
        <w:rPr>
          <w:noProof/>
          <w:spacing w:val="-8"/>
        </w:rPr>
        <w:t xml:space="preserve"> </w:t>
      </w:r>
      <w:r w:rsidR="00DA15EF" w:rsidRPr="00175A20">
        <w:rPr>
          <w:noProof/>
          <w:spacing w:val="-8"/>
        </w:rPr>
        <w:t xml:space="preserve">and </w:t>
      </w:r>
      <w:r w:rsidR="008F283E" w:rsidRPr="00175A20">
        <w:rPr>
          <w:noProof/>
          <w:spacing w:val="-8"/>
        </w:rPr>
        <w:t>focus on requirements ensuring fair treatment of information and data on MDMS platforms, alongside rules for commercial agreements between indispensable MDMS and transport operators.</w:t>
      </w:r>
      <w:r w:rsidR="004F71DA" w:rsidRPr="00175A20">
        <w:rPr>
          <w:noProof/>
          <w:spacing w:val="-8"/>
        </w:rPr>
        <w:t xml:space="preserve"> The more stringent rules, notably the obligation to share, host or unbundle </w:t>
      </w:r>
      <w:r w:rsidR="00832B60">
        <w:rPr>
          <w:noProof/>
          <w:spacing w:val="-8"/>
        </w:rPr>
        <w:t>drive the ambition level of</w:t>
      </w:r>
      <w:r w:rsidR="003B5284" w:rsidRPr="00175A20">
        <w:rPr>
          <w:noProof/>
          <w:spacing w:val="-8"/>
        </w:rPr>
        <w:t xml:space="preserve"> the policy options </w:t>
      </w:r>
      <w:r w:rsidR="00832B60">
        <w:rPr>
          <w:noProof/>
          <w:spacing w:val="-8"/>
        </w:rPr>
        <w:t xml:space="preserve">and set them </w:t>
      </w:r>
      <w:r w:rsidR="003B5284" w:rsidRPr="00175A20">
        <w:rPr>
          <w:noProof/>
          <w:spacing w:val="-8"/>
        </w:rPr>
        <w:t>apart</w:t>
      </w:r>
      <w:r w:rsidR="005F177D" w:rsidRPr="00175A20">
        <w:rPr>
          <w:noProof/>
          <w:spacing w:val="-8"/>
        </w:rPr>
        <w:t xml:space="preserve"> (see </w:t>
      </w:r>
      <w:r w:rsidR="005F177D" w:rsidRPr="00175A20">
        <w:rPr>
          <w:noProof/>
          <w:spacing w:val="-8"/>
        </w:rPr>
        <w:fldChar w:fldCharType="begin"/>
      </w:r>
      <w:r w:rsidR="005F177D" w:rsidRPr="00175A20">
        <w:rPr>
          <w:noProof/>
          <w:spacing w:val="-8"/>
        </w:rPr>
        <w:instrText xml:space="preserve"> REF _Ref222227488 \h </w:instrText>
      </w:r>
      <w:r w:rsidR="00175A20" w:rsidRPr="00175A20">
        <w:rPr>
          <w:noProof/>
          <w:spacing w:val="-8"/>
        </w:rPr>
        <w:instrText xml:space="preserve"> \* MERGEFORMAT </w:instrText>
      </w:r>
      <w:r w:rsidR="005F177D" w:rsidRPr="00175A20">
        <w:rPr>
          <w:noProof/>
          <w:spacing w:val="-8"/>
        </w:rPr>
      </w:r>
      <w:r w:rsidR="005F177D" w:rsidRPr="00175A20">
        <w:rPr>
          <w:noProof/>
          <w:spacing w:val="-8"/>
        </w:rPr>
        <w:fldChar w:fldCharType="separate"/>
      </w:r>
      <w:r>
        <w:rPr>
          <w:noProof/>
          <w:spacing w:val="-8"/>
        </w:rPr>
        <w:t>Table 2</w:t>
      </w:r>
      <w:r w:rsidR="005F177D" w:rsidRPr="00175A20">
        <w:rPr>
          <w:noProof/>
          <w:spacing w:val="-8"/>
        </w:rPr>
        <w:fldChar w:fldCharType="end"/>
      </w:r>
      <w:r w:rsidR="005F177D" w:rsidRPr="00175A20">
        <w:rPr>
          <w:noProof/>
          <w:spacing w:val="-8"/>
        </w:rPr>
        <w:t>)</w:t>
      </w:r>
      <w:r w:rsidR="003B5284" w:rsidRPr="00175A20">
        <w:rPr>
          <w:noProof/>
          <w:spacing w:val="-8"/>
        </w:rPr>
        <w:t>.</w:t>
      </w:r>
    </w:p>
    <w:p w14:paraId="28BDA040" w14:textId="5E94A254" w:rsidR="00573D87" w:rsidRDefault="00573D87" w:rsidP="00072A10">
      <w:pPr>
        <w:pStyle w:val="Caption"/>
        <w:keepNext/>
        <w:spacing w:after="0"/>
        <w:rPr>
          <w:noProof/>
          <w:color w:val="auto"/>
          <w:sz w:val="22"/>
          <w:szCs w:val="22"/>
        </w:rPr>
      </w:pPr>
      <w:bookmarkStart w:id="109" w:name="_Ref222227488"/>
      <w:r w:rsidRPr="00B942F1">
        <w:rPr>
          <w:noProof/>
          <w:color w:val="auto"/>
          <w:sz w:val="22"/>
          <w:szCs w:val="22"/>
        </w:rPr>
        <w:t xml:space="preserve">Table </w:t>
      </w:r>
      <w:r w:rsidRPr="00B942F1">
        <w:rPr>
          <w:noProof/>
          <w:color w:val="auto"/>
          <w:sz w:val="22"/>
          <w:szCs w:val="22"/>
        </w:rPr>
        <w:fldChar w:fldCharType="begin"/>
      </w:r>
      <w:r w:rsidRPr="00B942F1">
        <w:rPr>
          <w:noProof/>
          <w:color w:val="auto"/>
          <w:sz w:val="22"/>
          <w:szCs w:val="22"/>
        </w:rPr>
        <w:instrText xml:space="preserve"> SEQ Table \* ARABIC </w:instrText>
      </w:r>
      <w:r w:rsidRPr="00B942F1">
        <w:rPr>
          <w:noProof/>
          <w:color w:val="auto"/>
          <w:sz w:val="22"/>
          <w:szCs w:val="22"/>
        </w:rPr>
        <w:fldChar w:fldCharType="separate"/>
      </w:r>
      <w:r w:rsidR="0055391F">
        <w:rPr>
          <w:noProof/>
          <w:color w:val="auto"/>
          <w:sz w:val="22"/>
          <w:szCs w:val="22"/>
        </w:rPr>
        <w:t>2</w:t>
      </w:r>
      <w:r w:rsidRPr="00B942F1">
        <w:rPr>
          <w:noProof/>
          <w:color w:val="auto"/>
          <w:sz w:val="22"/>
          <w:szCs w:val="22"/>
        </w:rPr>
        <w:fldChar w:fldCharType="end"/>
      </w:r>
      <w:bookmarkEnd w:id="109"/>
      <w:r w:rsidRPr="00B942F1">
        <w:rPr>
          <w:noProof/>
          <w:color w:val="auto"/>
          <w:sz w:val="22"/>
          <w:szCs w:val="22"/>
        </w:rPr>
        <w:t>: Overview of the policy options</w:t>
      </w:r>
      <w:r w:rsidR="00775DD3">
        <w:rPr>
          <w:noProof/>
          <w:color w:val="auto"/>
          <w:sz w:val="22"/>
          <w:szCs w:val="22"/>
        </w:rPr>
        <w:t xml:space="preserve"> and their links with the specific objectives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815"/>
        <w:gridCol w:w="912"/>
        <w:gridCol w:w="478"/>
        <w:gridCol w:w="478"/>
        <w:gridCol w:w="478"/>
        <w:gridCol w:w="478"/>
      </w:tblGrid>
      <w:tr w:rsidR="009A5E82" w:rsidRPr="007137AC" w14:paraId="2546CD0D" w14:textId="77777777" w:rsidTr="00ED40B1">
        <w:trPr>
          <w:cantSplit/>
          <w:tblHeader/>
        </w:trPr>
        <w:tc>
          <w:tcPr>
            <w:tcW w:w="0" w:type="auto"/>
            <w:shd w:val="clear" w:color="auto" w:fill="0070C0"/>
            <w:vAlign w:val="center"/>
          </w:tcPr>
          <w:p w14:paraId="5AEF2C0B" w14:textId="77777777" w:rsidR="00512347" w:rsidRPr="007137AC" w:rsidRDefault="00512347">
            <w:pPr>
              <w:keepNext/>
              <w:jc w:val="center"/>
              <w:rPr>
                <w:noProof/>
                <w:color w:val="FFFFFF" w:themeColor="background1"/>
                <w:sz w:val="22"/>
                <w:szCs w:val="22"/>
              </w:rPr>
            </w:pPr>
          </w:p>
        </w:tc>
        <w:tc>
          <w:tcPr>
            <w:tcW w:w="0" w:type="auto"/>
            <w:shd w:val="clear" w:color="auto" w:fill="0070C0"/>
            <w:vAlign w:val="center"/>
          </w:tcPr>
          <w:p w14:paraId="24798FEB" w14:textId="77777777" w:rsidR="00512347" w:rsidRPr="007137AC" w:rsidRDefault="00512347">
            <w:pPr>
              <w:keepNext/>
              <w:jc w:val="center"/>
              <w:rPr>
                <w:noProof/>
                <w:color w:val="FFFFFF" w:themeColor="background1"/>
                <w:sz w:val="22"/>
                <w:szCs w:val="22"/>
              </w:rPr>
            </w:pPr>
            <w:r w:rsidRPr="007137AC">
              <w:rPr>
                <w:b/>
                <w:noProof/>
                <w:color w:val="FFFFFF" w:themeColor="background1"/>
                <w:sz w:val="22"/>
                <w:szCs w:val="22"/>
              </w:rPr>
              <w:t>SO</w:t>
            </w:r>
          </w:p>
        </w:tc>
        <w:tc>
          <w:tcPr>
            <w:tcW w:w="0" w:type="auto"/>
            <w:shd w:val="clear" w:color="auto" w:fill="0070C0"/>
            <w:vAlign w:val="center"/>
          </w:tcPr>
          <w:p w14:paraId="6692EFC1" w14:textId="77777777" w:rsidR="00512347" w:rsidRPr="007137AC" w:rsidRDefault="00512347">
            <w:pPr>
              <w:keepNext/>
              <w:jc w:val="center"/>
              <w:rPr>
                <w:b/>
                <w:noProof/>
                <w:color w:val="FFFFFF" w:themeColor="background1"/>
                <w:sz w:val="22"/>
                <w:szCs w:val="22"/>
              </w:rPr>
            </w:pPr>
            <w:r w:rsidRPr="007137AC">
              <w:rPr>
                <w:b/>
                <w:noProof/>
                <w:color w:val="FFFFFF" w:themeColor="background1"/>
                <w:sz w:val="22"/>
                <w:szCs w:val="22"/>
              </w:rPr>
              <w:t>PO1</w:t>
            </w:r>
          </w:p>
        </w:tc>
        <w:tc>
          <w:tcPr>
            <w:tcW w:w="0" w:type="auto"/>
            <w:shd w:val="clear" w:color="auto" w:fill="0070C0"/>
            <w:vAlign w:val="center"/>
          </w:tcPr>
          <w:p w14:paraId="2E04A099" w14:textId="77777777" w:rsidR="00512347" w:rsidRPr="007137AC" w:rsidRDefault="00512347">
            <w:pPr>
              <w:keepNext/>
              <w:jc w:val="center"/>
              <w:rPr>
                <w:noProof/>
                <w:color w:val="FFFFFF" w:themeColor="background1"/>
                <w:sz w:val="22"/>
                <w:szCs w:val="22"/>
              </w:rPr>
            </w:pPr>
            <w:r w:rsidRPr="007137AC">
              <w:rPr>
                <w:b/>
                <w:noProof/>
                <w:color w:val="FFFFFF" w:themeColor="background1"/>
                <w:sz w:val="22"/>
                <w:szCs w:val="22"/>
              </w:rPr>
              <w:t>PO2</w:t>
            </w:r>
          </w:p>
        </w:tc>
        <w:tc>
          <w:tcPr>
            <w:tcW w:w="0" w:type="auto"/>
            <w:shd w:val="clear" w:color="auto" w:fill="0070C0"/>
            <w:vAlign w:val="center"/>
          </w:tcPr>
          <w:p w14:paraId="0291CD20" w14:textId="77777777" w:rsidR="00512347" w:rsidRPr="007137AC" w:rsidRDefault="00512347">
            <w:pPr>
              <w:keepNext/>
              <w:jc w:val="center"/>
              <w:rPr>
                <w:noProof/>
                <w:color w:val="FFFFFF" w:themeColor="background1"/>
                <w:sz w:val="22"/>
                <w:szCs w:val="22"/>
              </w:rPr>
            </w:pPr>
            <w:r w:rsidRPr="007137AC">
              <w:rPr>
                <w:b/>
                <w:noProof/>
                <w:color w:val="FFFFFF" w:themeColor="background1"/>
                <w:sz w:val="22"/>
                <w:szCs w:val="22"/>
              </w:rPr>
              <w:t>PO3</w:t>
            </w:r>
          </w:p>
        </w:tc>
        <w:tc>
          <w:tcPr>
            <w:tcW w:w="0" w:type="auto"/>
            <w:shd w:val="clear" w:color="auto" w:fill="0070C0"/>
            <w:vAlign w:val="center"/>
          </w:tcPr>
          <w:p w14:paraId="2E76F94D" w14:textId="77777777" w:rsidR="00512347" w:rsidRPr="007137AC" w:rsidRDefault="00512347">
            <w:pPr>
              <w:keepNext/>
              <w:jc w:val="center"/>
              <w:rPr>
                <w:noProof/>
                <w:color w:val="FFFFFF" w:themeColor="background1"/>
                <w:sz w:val="22"/>
                <w:szCs w:val="22"/>
              </w:rPr>
            </w:pPr>
            <w:r w:rsidRPr="007137AC">
              <w:rPr>
                <w:b/>
                <w:noProof/>
                <w:color w:val="FFFFFF" w:themeColor="background1"/>
                <w:sz w:val="22"/>
                <w:szCs w:val="22"/>
              </w:rPr>
              <w:t>PO4</w:t>
            </w:r>
          </w:p>
        </w:tc>
      </w:tr>
      <w:tr w:rsidR="0078217E" w:rsidRPr="007137AC" w14:paraId="49AC105F" w14:textId="77777777" w:rsidTr="00ED40B1">
        <w:trPr>
          <w:cantSplit/>
        </w:trPr>
        <w:tc>
          <w:tcPr>
            <w:tcW w:w="0" w:type="auto"/>
            <w:vAlign w:val="center"/>
          </w:tcPr>
          <w:p w14:paraId="2835408B" w14:textId="4B18D02F" w:rsidR="00512347" w:rsidRPr="007137AC" w:rsidRDefault="00512347" w:rsidP="00F85CCC">
            <w:pPr>
              <w:rPr>
                <w:noProof/>
                <w:sz w:val="22"/>
                <w:szCs w:val="22"/>
              </w:rPr>
            </w:pPr>
            <w:r w:rsidRPr="007137AC">
              <w:rPr>
                <w:noProof/>
                <w:sz w:val="22"/>
                <w:szCs w:val="22"/>
              </w:rPr>
              <w:t xml:space="preserve">Update and extension of the CRS Code of Conduct's rules (PM1 to </w:t>
            </w:r>
            <w:r w:rsidR="00472310">
              <w:rPr>
                <w:noProof/>
                <w:sz w:val="22"/>
                <w:szCs w:val="22"/>
              </w:rPr>
              <w:t>PM</w:t>
            </w:r>
            <w:r w:rsidRPr="007137AC">
              <w:rPr>
                <w:noProof/>
                <w:sz w:val="22"/>
                <w:szCs w:val="22"/>
              </w:rPr>
              <w:t>5)</w:t>
            </w:r>
          </w:p>
          <w:p w14:paraId="1DF9DFA7" w14:textId="70661BE8" w:rsidR="00512347" w:rsidRPr="007137AC" w:rsidRDefault="00512347" w:rsidP="00F85CCC">
            <w:pPr>
              <w:rPr>
                <w:noProof/>
                <w:sz w:val="22"/>
                <w:szCs w:val="22"/>
              </w:rPr>
            </w:pPr>
            <w:r w:rsidRPr="007137AC">
              <w:rPr>
                <w:noProof/>
                <w:sz w:val="22"/>
                <w:szCs w:val="22"/>
              </w:rPr>
              <w:t>Promotion of sustainable modes of transport (PM7-</w:t>
            </w:r>
            <w:r w:rsidR="00472310">
              <w:rPr>
                <w:noProof/>
                <w:sz w:val="22"/>
                <w:szCs w:val="22"/>
              </w:rPr>
              <w:t>PM</w:t>
            </w:r>
            <w:r w:rsidRPr="007137AC">
              <w:rPr>
                <w:noProof/>
                <w:sz w:val="22"/>
                <w:szCs w:val="22"/>
              </w:rPr>
              <w:t>8)</w:t>
            </w:r>
          </w:p>
        </w:tc>
        <w:tc>
          <w:tcPr>
            <w:tcW w:w="0" w:type="auto"/>
            <w:vAlign w:val="center"/>
          </w:tcPr>
          <w:p w14:paraId="1605C444" w14:textId="77777777" w:rsidR="00512347" w:rsidRPr="007137AC" w:rsidRDefault="00512347">
            <w:pPr>
              <w:jc w:val="center"/>
              <w:rPr>
                <w:noProof/>
                <w:sz w:val="22"/>
                <w:szCs w:val="22"/>
              </w:rPr>
            </w:pPr>
            <w:r w:rsidRPr="007137AC">
              <w:rPr>
                <w:noProof/>
                <w:sz w:val="22"/>
                <w:szCs w:val="22"/>
              </w:rPr>
              <w:t>SO1</w:t>
            </w:r>
          </w:p>
        </w:tc>
        <w:tc>
          <w:tcPr>
            <w:tcW w:w="0" w:type="auto"/>
            <w:vAlign w:val="center"/>
          </w:tcPr>
          <w:p w14:paraId="764719D3" w14:textId="77777777" w:rsidR="00512347" w:rsidRPr="007137AC" w:rsidRDefault="00512347">
            <w:pPr>
              <w:jc w:val="center"/>
              <w:rPr>
                <w:noProof/>
                <w:sz w:val="22"/>
                <w:szCs w:val="22"/>
              </w:rPr>
            </w:pPr>
            <w:r w:rsidRPr="007137AC">
              <w:rPr>
                <w:rFonts w:ascii="Wingdings 2" w:eastAsia="Wingdings 2" w:hAnsi="Wingdings 2" w:cs="Wingdings 2"/>
                <w:noProof/>
                <w:sz w:val="22"/>
                <w:szCs w:val="22"/>
              </w:rPr>
              <w:t></w:t>
            </w:r>
          </w:p>
        </w:tc>
        <w:tc>
          <w:tcPr>
            <w:tcW w:w="0" w:type="auto"/>
            <w:vAlign w:val="center"/>
          </w:tcPr>
          <w:p w14:paraId="20B6AB8A" w14:textId="77777777" w:rsidR="00512347" w:rsidRPr="007137AC" w:rsidRDefault="00512347">
            <w:pPr>
              <w:jc w:val="center"/>
              <w:rPr>
                <w:noProof/>
                <w:sz w:val="22"/>
                <w:szCs w:val="22"/>
              </w:rPr>
            </w:pPr>
            <w:r w:rsidRPr="007137AC">
              <w:rPr>
                <w:rFonts w:ascii="Wingdings 2" w:eastAsia="Wingdings 2" w:hAnsi="Wingdings 2" w:cs="Wingdings 2"/>
                <w:noProof/>
                <w:sz w:val="22"/>
                <w:szCs w:val="22"/>
              </w:rPr>
              <w:t></w:t>
            </w:r>
          </w:p>
        </w:tc>
        <w:tc>
          <w:tcPr>
            <w:tcW w:w="0" w:type="auto"/>
            <w:vAlign w:val="center"/>
          </w:tcPr>
          <w:p w14:paraId="1ADF9897" w14:textId="77777777" w:rsidR="00512347" w:rsidRPr="007137AC" w:rsidRDefault="00512347">
            <w:pPr>
              <w:jc w:val="center"/>
              <w:rPr>
                <w:noProof/>
                <w:sz w:val="22"/>
                <w:szCs w:val="22"/>
              </w:rPr>
            </w:pPr>
            <w:r w:rsidRPr="007137AC">
              <w:rPr>
                <w:rFonts w:ascii="Wingdings 2" w:eastAsia="Wingdings 2" w:hAnsi="Wingdings 2" w:cs="Wingdings 2"/>
                <w:noProof/>
                <w:sz w:val="22"/>
                <w:szCs w:val="22"/>
              </w:rPr>
              <w:t></w:t>
            </w:r>
          </w:p>
        </w:tc>
        <w:tc>
          <w:tcPr>
            <w:tcW w:w="0" w:type="auto"/>
            <w:vAlign w:val="center"/>
          </w:tcPr>
          <w:p w14:paraId="0EED88F6" w14:textId="77777777" w:rsidR="00512347" w:rsidRPr="007137AC" w:rsidRDefault="00512347">
            <w:pPr>
              <w:jc w:val="center"/>
              <w:rPr>
                <w:noProof/>
                <w:sz w:val="22"/>
                <w:szCs w:val="22"/>
              </w:rPr>
            </w:pPr>
            <w:r w:rsidRPr="007137AC">
              <w:rPr>
                <w:rFonts w:ascii="Wingdings 2" w:eastAsia="Wingdings 2" w:hAnsi="Wingdings 2" w:cs="Wingdings 2"/>
                <w:noProof/>
                <w:sz w:val="22"/>
                <w:szCs w:val="22"/>
              </w:rPr>
              <w:t></w:t>
            </w:r>
          </w:p>
        </w:tc>
      </w:tr>
      <w:tr w:rsidR="009A5E82" w:rsidRPr="007137AC" w14:paraId="29BDA32B" w14:textId="77777777" w:rsidTr="00ED40B1">
        <w:trPr>
          <w:cantSplit/>
        </w:trPr>
        <w:tc>
          <w:tcPr>
            <w:tcW w:w="0" w:type="auto"/>
            <w:shd w:val="clear" w:color="auto" w:fill="F2F2F2" w:themeFill="background1" w:themeFillShade="F2"/>
            <w:vAlign w:val="center"/>
          </w:tcPr>
          <w:p w14:paraId="68FCDF88" w14:textId="77777777" w:rsidR="00512347" w:rsidRDefault="00512347" w:rsidP="00F85CCC">
            <w:pPr>
              <w:rPr>
                <w:noProof/>
                <w:sz w:val="22"/>
                <w:szCs w:val="22"/>
              </w:rPr>
            </w:pPr>
            <w:r w:rsidRPr="007137AC">
              <w:rPr>
                <w:noProof/>
                <w:sz w:val="22"/>
                <w:szCs w:val="22"/>
              </w:rPr>
              <w:t>Enforcement (PM6</w:t>
            </w:r>
            <w:r>
              <w:rPr>
                <w:noProof/>
                <w:sz w:val="22"/>
                <w:szCs w:val="22"/>
              </w:rPr>
              <w:t>)</w:t>
            </w:r>
          </w:p>
          <w:p w14:paraId="48184823" w14:textId="7F005DB6" w:rsidR="00512347" w:rsidRPr="007137AC" w:rsidRDefault="00512347" w:rsidP="00F85CCC">
            <w:pPr>
              <w:rPr>
                <w:noProof/>
                <w:sz w:val="22"/>
                <w:szCs w:val="22"/>
              </w:rPr>
            </w:pPr>
            <w:r w:rsidRPr="007137AC">
              <w:rPr>
                <w:noProof/>
                <w:sz w:val="22"/>
                <w:szCs w:val="22"/>
              </w:rPr>
              <w:t xml:space="preserve">Identification and designation of indispensable MDMS </w:t>
            </w:r>
            <w:r w:rsidR="0078217E">
              <w:rPr>
                <w:noProof/>
                <w:sz w:val="22"/>
                <w:szCs w:val="22"/>
              </w:rPr>
              <w:t xml:space="preserve">&amp; </w:t>
            </w:r>
            <w:r w:rsidRPr="007137AC">
              <w:rPr>
                <w:noProof/>
                <w:sz w:val="22"/>
                <w:szCs w:val="22"/>
              </w:rPr>
              <w:t>RU (PM9-</w:t>
            </w:r>
            <w:r w:rsidR="00472310">
              <w:rPr>
                <w:noProof/>
                <w:sz w:val="22"/>
                <w:szCs w:val="22"/>
              </w:rPr>
              <w:t>PM</w:t>
            </w:r>
            <w:r w:rsidRPr="007137AC">
              <w:rPr>
                <w:noProof/>
                <w:sz w:val="22"/>
                <w:szCs w:val="22"/>
              </w:rPr>
              <w:t>10)</w:t>
            </w:r>
          </w:p>
          <w:p w14:paraId="6694377C" w14:textId="12E68A6E" w:rsidR="00512347" w:rsidRPr="007137AC" w:rsidRDefault="00512347" w:rsidP="00F85CCC">
            <w:pPr>
              <w:rPr>
                <w:noProof/>
                <w:sz w:val="22"/>
                <w:szCs w:val="22"/>
              </w:rPr>
            </w:pPr>
            <w:r w:rsidRPr="007137AC">
              <w:rPr>
                <w:noProof/>
                <w:sz w:val="22"/>
                <w:szCs w:val="22"/>
              </w:rPr>
              <w:t>Commercial agreement rules (PM11-</w:t>
            </w:r>
            <w:r w:rsidR="00472310">
              <w:rPr>
                <w:noProof/>
                <w:sz w:val="22"/>
                <w:szCs w:val="22"/>
              </w:rPr>
              <w:t>PM</w:t>
            </w:r>
            <w:r w:rsidRPr="007137AC">
              <w:rPr>
                <w:noProof/>
                <w:sz w:val="22"/>
                <w:szCs w:val="22"/>
              </w:rPr>
              <w:t>12)</w:t>
            </w:r>
          </w:p>
        </w:tc>
        <w:tc>
          <w:tcPr>
            <w:tcW w:w="0" w:type="auto"/>
            <w:shd w:val="clear" w:color="auto" w:fill="F2F2F2" w:themeFill="background1" w:themeFillShade="F2"/>
            <w:vAlign w:val="center"/>
          </w:tcPr>
          <w:p w14:paraId="5F2188E8" w14:textId="6AE5390A" w:rsidR="00512347" w:rsidRPr="007137AC" w:rsidRDefault="00512347">
            <w:pPr>
              <w:jc w:val="center"/>
              <w:rPr>
                <w:noProof/>
                <w:sz w:val="22"/>
                <w:szCs w:val="22"/>
              </w:rPr>
            </w:pPr>
            <w:r w:rsidRPr="007137AC">
              <w:rPr>
                <w:noProof/>
                <w:sz w:val="22"/>
                <w:szCs w:val="22"/>
              </w:rPr>
              <w:t>SO1/SO2</w:t>
            </w:r>
          </w:p>
        </w:tc>
        <w:tc>
          <w:tcPr>
            <w:tcW w:w="0" w:type="auto"/>
            <w:shd w:val="clear" w:color="auto" w:fill="F2F2F2" w:themeFill="background1" w:themeFillShade="F2"/>
            <w:vAlign w:val="center"/>
          </w:tcPr>
          <w:p w14:paraId="248E0599" w14:textId="77777777" w:rsidR="00512347" w:rsidRPr="007137AC" w:rsidRDefault="00512347">
            <w:pPr>
              <w:jc w:val="center"/>
              <w:rPr>
                <w:noProof/>
                <w:sz w:val="22"/>
                <w:szCs w:val="22"/>
              </w:rPr>
            </w:pPr>
            <w:r w:rsidRPr="007137AC">
              <w:rPr>
                <w:rFonts w:ascii="Wingdings 2" w:eastAsia="Wingdings 2" w:hAnsi="Wingdings 2" w:cs="Wingdings 2"/>
                <w:noProof/>
                <w:sz w:val="22"/>
                <w:szCs w:val="22"/>
              </w:rPr>
              <w:t></w:t>
            </w:r>
          </w:p>
        </w:tc>
        <w:tc>
          <w:tcPr>
            <w:tcW w:w="0" w:type="auto"/>
            <w:shd w:val="clear" w:color="auto" w:fill="F2F2F2" w:themeFill="background1" w:themeFillShade="F2"/>
            <w:vAlign w:val="center"/>
          </w:tcPr>
          <w:p w14:paraId="777985D6" w14:textId="77777777" w:rsidR="00512347" w:rsidRPr="007137AC" w:rsidRDefault="00512347">
            <w:pPr>
              <w:jc w:val="center"/>
              <w:rPr>
                <w:noProof/>
                <w:sz w:val="22"/>
                <w:szCs w:val="22"/>
              </w:rPr>
            </w:pPr>
            <w:r w:rsidRPr="007137AC">
              <w:rPr>
                <w:rFonts w:ascii="Wingdings 2" w:eastAsia="Wingdings 2" w:hAnsi="Wingdings 2" w:cs="Wingdings 2"/>
                <w:noProof/>
                <w:sz w:val="22"/>
                <w:szCs w:val="22"/>
              </w:rPr>
              <w:t></w:t>
            </w:r>
          </w:p>
        </w:tc>
        <w:tc>
          <w:tcPr>
            <w:tcW w:w="0" w:type="auto"/>
            <w:shd w:val="clear" w:color="auto" w:fill="F2F2F2" w:themeFill="background1" w:themeFillShade="F2"/>
            <w:vAlign w:val="center"/>
          </w:tcPr>
          <w:p w14:paraId="0C1058FC" w14:textId="77777777" w:rsidR="00512347" w:rsidRPr="007137AC" w:rsidRDefault="00512347">
            <w:pPr>
              <w:jc w:val="center"/>
              <w:rPr>
                <w:noProof/>
                <w:sz w:val="22"/>
                <w:szCs w:val="22"/>
              </w:rPr>
            </w:pPr>
            <w:r w:rsidRPr="007137AC">
              <w:rPr>
                <w:rFonts w:ascii="Wingdings 2" w:eastAsia="Wingdings 2" w:hAnsi="Wingdings 2" w:cs="Wingdings 2"/>
                <w:noProof/>
                <w:sz w:val="22"/>
                <w:szCs w:val="22"/>
              </w:rPr>
              <w:t></w:t>
            </w:r>
          </w:p>
        </w:tc>
        <w:tc>
          <w:tcPr>
            <w:tcW w:w="0" w:type="auto"/>
            <w:shd w:val="clear" w:color="auto" w:fill="F2F2F2" w:themeFill="background1" w:themeFillShade="F2"/>
            <w:vAlign w:val="center"/>
          </w:tcPr>
          <w:p w14:paraId="6A3260EF" w14:textId="77777777" w:rsidR="00512347" w:rsidRPr="007137AC" w:rsidRDefault="00512347">
            <w:pPr>
              <w:jc w:val="center"/>
              <w:rPr>
                <w:noProof/>
                <w:sz w:val="22"/>
                <w:szCs w:val="22"/>
              </w:rPr>
            </w:pPr>
            <w:r w:rsidRPr="007137AC">
              <w:rPr>
                <w:rFonts w:ascii="Wingdings 2" w:eastAsia="Wingdings 2" w:hAnsi="Wingdings 2" w:cs="Wingdings 2"/>
                <w:noProof/>
                <w:sz w:val="22"/>
                <w:szCs w:val="22"/>
              </w:rPr>
              <w:t></w:t>
            </w:r>
          </w:p>
        </w:tc>
      </w:tr>
      <w:tr w:rsidR="00512347" w:rsidRPr="007137AC" w14:paraId="344CE535" w14:textId="77777777" w:rsidTr="00ED40B1">
        <w:trPr>
          <w:cantSplit/>
        </w:trPr>
        <w:tc>
          <w:tcPr>
            <w:tcW w:w="0" w:type="auto"/>
            <w:vAlign w:val="center"/>
          </w:tcPr>
          <w:p w14:paraId="6B296323" w14:textId="77777777" w:rsidR="00512347" w:rsidRPr="007137AC" w:rsidRDefault="00512347" w:rsidP="00F85CCC">
            <w:pPr>
              <w:rPr>
                <w:noProof/>
                <w:sz w:val="22"/>
                <w:szCs w:val="22"/>
              </w:rPr>
            </w:pPr>
            <w:r w:rsidRPr="007137AC">
              <w:rPr>
                <w:noProof/>
                <w:sz w:val="22"/>
                <w:szCs w:val="22"/>
              </w:rPr>
              <w:t>Obligation to share (PM13)</w:t>
            </w:r>
          </w:p>
        </w:tc>
        <w:tc>
          <w:tcPr>
            <w:tcW w:w="0" w:type="auto"/>
            <w:vAlign w:val="center"/>
          </w:tcPr>
          <w:p w14:paraId="2DCD3099" w14:textId="77777777" w:rsidR="00512347" w:rsidRPr="007137AC" w:rsidRDefault="00512347">
            <w:pPr>
              <w:jc w:val="center"/>
              <w:rPr>
                <w:noProof/>
                <w:sz w:val="22"/>
                <w:szCs w:val="22"/>
              </w:rPr>
            </w:pPr>
            <w:r w:rsidRPr="007137AC">
              <w:rPr>
                <w:noProof/>
                <w:sz w:val="22"/>
                <w:szCs w:val="22"/>
              </w:rPr>
              <w:t>SO2</w:t>
            </w:r>
          </w:p>
        </w:tc>
        <w:tc>
          <w:tcPr>
            <w:tcW w:w="0" w:type="auto"/>
            <w:vAlign w:val="center"/>
          </w:tcPr>
          <w:p w14:paraId="33CE333A" w14:textId="77777777" w:rsidR="00512347" w:rsidRPr="007137AC" w:rsidRDefault="00512347">
            <w:pPr>
              <w:jc w:val="center"/>
              <w:rPr>
                <w:noProof/>
                <w:sz w:val="22"/>
                <w:szCs w:val="22"/>
              </w:rPr>
            </w:pPr>
          </w:p>
        </w:tc>
        <w:tc>
          <w:tcPr>
            <w:tcW w:w="0" w:type="auto"/>
            <w:vAlign w:val="center"/>
          </w:tcPr>
          <w:p w14:paraId="08900327" w14:textId="77777777" w:rsidR="00512347" w:rsidRPr="007137AC" w:rsidRDefault="00512347">
            <w:pPr>
              <w:jc w:val="center"/>
              <w:rPr>
                <w:noProof/>
                <w:sz w:val="22"/>
                <w:szCs w:val="22"/>
              </w:rPr>
            </w:pPr>
            <w:r w:rsidRPr="007137AC">
              <w:rPr>
                <w:rFonts w:ascii="Wingdings 2" w:eastAsia="Wingdings 2" w:hAnsi="Wingdings 2" w:cs="Wingdings 2"/>
                <w:noProof/>
                <w:sz w:val="22"/>
                <w:szCs w:val="22"/>
              </w:rPr>
              <w:t></w:t>
            </w:r>
          </w:p>
        </w:tc>
        <w:tc>
          <w:tcPr>
            <w:tcW w:w="0" w:type="auto"/>
            <w:vAlign w:val="center"/>
          </w:tcPr>
          <w:p w14:paraId="17D5A2CC" w14:textId="77777777" w:rsidR="00512347" w:rsidRPr="007137AC" w:rsidRDefault="00512347">
            <w:pPr>
              <w:jc w:val="center"/>
              <w:rPr>
                <w:noProof/>
                <w:sz w:val="22"/>
                <w:szCs w:val="22"/>
              </w:rPr>
            </w:pPr>
            <w:r w:rsidRPr="007137AC">
              <w:rPr>
                <w:rFonts w:ascii="Wingdings 2" w:eastAsia="Wingdings 2" w:hAnsi="Wingdings 2" w:cs="Wingdings 2"/>
                <w:noProof/>
                <w:sz w:val="22"/>
                <w:szCs w:val="22"/>
              </w:rPr>
              <w:t></w:t>
            </w:r>
          </w:p>
        </w:tc>
        <w:tc>
          <w:tcPr>
            <w:tcW w:w="0" w:type="auto"/>
            <w:vAlign w:val="center"/>
          </w:tcPr>
          <w:p w14:paraId="79D3255A" w14:textId="77777777" w:rsidR="00512347" w:rsidRPr="007137AC" w:rsidRDefault="00512347">
            <w:pPr>
              <w:jc w:val="center"/>
              <w:rPr>
                <w:noProof/>
                <w:sz w:val="22"/>
                <w:szCs w:val="22"/>
              </w:rPr>
            </w:pPr>
            <w:r w:rsidRPr="007137AC">
              <w:rPr>
                <w:rFonts w:ascii="Wingdings 2" w:eastAsia="Wingdings 2" w:hAnsi="Wingdings 2" w:cs="Wingdings 2"/>
                <w:noProof/>
                <w:sz w:val="22"/>
                <w:szCs w:val="22"/>
              </w:rPr>
              <w:t></w:t>
            </w:r>
          </w:p>
        </w:tc>
      </w:tr>
      <w:tr w:rsidR="009A5E82" w:rsidRPr="007137AC" w14:paraId="22A41059" w14:textId="77777777" w:rsidTr="00ED40B1">
        <w:trPr>
          <w:cantSplit/>
        </w:trPr>
        <w:tc>
          <w:tcPr>
            <w:tcW w:w="0" w:type="auto"/>
            <w:shd w:val="clear" w:color="auto" w:fill="F2F2F2" w:themeFill="background1" w:themeFillShade="F2"/>
            <w:vAlign w:val="center"/>
          </w:tcPr>
          <w:p w14:paraId="0501F14F" w14:textId="77777777" w:rsidR="00512347" w:rsidRPr="007137AC" w:rsidRDefault="00512347" w:rsidP="00F85CCC">
            <w:pPr>
              <w:rPr>
                <w:noProof/>
                <w:sz w:val="22"/>
                <w:szCs w:val="22"/>
              </w:rPr>
            </w:pPr>
            <w:r w:rsidRPr="007137AC">
              <w:rPr>
                <w:noProof/>
                <w:sz w:val="22"/>
                <w:szCs w:val="22"/>
              </w:rPr>
              <w:t>Obligation to host (PM14)</w:t>
            </w:r>
          </w:p>
        </w:tc>
        <w:tc>
          <w:tcPr>
            <w:tcW w:w="0" w:type="auto"/>
            <w:shd w:val="clear" w:color="auto" w:fill="F2F2F2" w:themeFill="background1" w:themeFillShade="F2"/>
            <w:vAlign w:val="center"/>
          </w:tcPr>
          <w:p w14:paraId="36930904" w14:textId="77777777" w:rsidR="00512347" w:rsidRPr="007137AC" w:rsidRDefault="00512347">
            <w:pPr>
              <w:jc w:val="center"/>
              <w:rPr>
                <w:noProof/>
                <w:sz w:val="22"/>
                <w:szCs w:val="22"/>
              </w:rPr>
            </w:pPr>
            <w:r w:rsidRPr="007137AC">
              <w:rPr>
                <w:noProof/>
                <w:sz w:val="22"/>
                <w:szCs w:val="22"/>
              </w:rPr>
              <w:t>SO2</w:t>
            </w:r>
          </w:p>
        </w:tc>
        <w:tc>
          <w:tcPr>
            <w:tcW w:w="0" w:type="auto"/>
            <w:shd w:val="clear" w:color="auto" w:fill="F2F2F2" w:themeFill="background1" w:themeFillShade="F2"/>
            <w:vAlign w:val="center"/>
          </w:tcPr>
          <w:p w14:paraId="41CDA376" w14:textId="77777777" w:rsidR="00512347" w:rsidRPr="007137AC" w:rsidRDefault="00512347">
            <w:pPr>
              <w:jc w:val="center"/>
              <w:rPr>
                <w:noProof/>
                <w:sz w:val="22"/>
                <w:szCs w:val="22"/>
              </w:rPr>
            </w:pPr>
          </w:p>
        </w:tc>
        <w:tc>
          <w:tcPr>
            <w:tcW w:w="0" w:type="auto"/>
            <w:shd w:val="clear" w:color="auto" w:fill="F2F2F2" w:themeFill="background1" w:themeFillShade="F2"/>
            <w:vAlign w:val="center"/>
          </w:tcPr>
          <w:p w14:paraId="0904CAE0" w14:textId="77777777" w:rsidR="00512347" w:rsidRPr="007137AC" w:rsidRDefault="00512347">
            <w:pPr>
              <w:jc w:val="center"/>
              <w:rPr>
                <w:noProof/>
                <w:sz w:val="22"/>
                <w:szCs w:val="22"/>
              </w:rPr>
            </w:pPr>
          </w:p>
        </w:tc>
        <w:tc>
          <w:tcPr>
            <w:tcW w:w="0" w:type="auto"/>
            <w:shd w:val="clear" w:color="auto" w:fill="F2F2F2" w:themeFill="background1" w:themeFillShade="F2"/>
            <w:vAlign w:val="center"/>
          </w:tcPr>
          <w:p w14:paraId="17E7A129" w14:textId="77777777" w:rsidR="00512347" w:rsidRPr="007137AC" w:rsidRDefault="00512347">
            <w:pPr>
              <w:jc w:val="center"/>
              <w:rPr>
                <w:noProof/>
                <w:sz w:val="22"/>
                <w:szCs w:val="22"/>
              </w:rPr>
            </w:pPr>
            <w:r w:rsidRPr="007137AC">
              <w:rPr>
                <w:rFonts w:ascii="Wingdings 2" w:eastAsia="Wingdings 2" w:hAnsi="Wingdings 2" w:cs="Wingdings 2"/>
                <w:noProof/>
                <w:sz w:val="22"/>
                <w:szCs w:val="22"/>
              </w:rPr>
              <w:t></w:t>
            </w:r>
          </w:p>
        </w:tc>
        <w:tc>
          <w:tcPr>
            <w:tcW w:w="0" w:type="auto"/>
            <w:shd w:val="clear" w:color="auto" w:fill="F2F2F2" w:themeFill="background1" w:themeFillShade="F2"/>
            <w:vAlign w:val="center"/>
          </w:tcPr>
          <w:p w14:paraId="2C1E54B3" w14:textId="77777777" w:rsidR="00512347" w:rsidRPr="007137AC" w:rsidRDefault="00512347">
            <w:pPr>
              <w:jc w:val="center"/>
              <w:rPr>
                <w:noProof/>
                <w:sz w:val="22"/>
                <w:szCs w:val="22"/>
              </w:rPr>
            </w:pPr>
          </w:p>
        </w:tc>
      </w:tr>
      <w:tr w:rsidR="00512347" w:rsidRPr="007137AC" w14:paraId="18E988FE" w14:textId="77777777" w:rsidTr="00ED40B1">
        <w:trPr>
          <w:cantSplit/>
        </w:trPr>
        <w:tc>
          <w:tcPr>
            <w:tcW w:w="0" w:type="auto"/>
            <w:vAlign w:val="center"/>
          </w:tcPr>
          <w:p w14:paraId="0B13FE74" w14:textId="77777777" w:rsidR="00512347" w:rsidRPr="007137AC" w:rsidRDefault="00512347" w:rsidP="00F85CCC">
            <w:pPr>
              <w:rPr>
                <w:noProof/>
                <w:sz w:val="22"/>
                <w:szCs w:val="22"/>
              </w:rPr>
            </w:pPr>
            <w:r w:rsidRPr="007137AC">
              <w:rPr>
                <w:noProof/>
                <w:sz w:val="22"/>
                <w:szCs w:val="22"/>
              </w:rPr>
              <w:t>Obligation to unbundle (PM15)</w:t>
            </w:r>
          </w:p>
        </w:tc>
        <w:tc>
          <w:tcPr>
            <w:tcW w:w="0" w:type="auto"/>
            <w:vAlign w:val="center"/>
          </w:tcPr>
          <w:p w14:paraId="19154CA2" w14:textId="58D5C7AB" w:rsidR="00512347" w:rsidRPr="007137AC" w:rsidRDefault="00512347">
            <w:pPr>
              <w:jc w:val="center"/>
              <w:rPr>
                <w:noProof/>
                <w:sz w:val="22"/>
                <w:szCs w:val="22"/>
              </w:rPr>
            </w:pPr>
            <w:r w:rsidRPr="007137AC">
              <w:rPr>
                <w:noProof/>
                <w:sz w:val="22"/>
                <w:szCs w:val="22"/>
              </w:rPr>
              <w:t>SO1/SO2</w:t>
            </w:r>
          </w:p>
        </w:tc>
        <w:tc>
          <w:tcPr>
            <w:tcW w:w="0" w:type="auto"/>
            <w:vAlign w:val="center"/>
          </w:tcPr>
          <w:p w14:paraId="6129A7EF" w14:textId="77777777" w:rsidR="00512347" w:rsidRPr="007137AC" w:rsidRDefault="00512347">
            <w:pPr>
              <w:jc w:val="center"/>
              <w:rPr>
                <w:noProof/>
                <w:sz w:val="22"/>
                <w:szCs w:val="22"/>
              </w:rPr>
            </w:pPr>
          </w:p>
        </w:tc>
        <w:tc>
          <w:tcPr>
            <w:tcW w:w="0" w:type="auto"/>
            <w:vAlign w:val="center"/>
          </w:tcPr>
          <w:p w14:paraId="161C67CC" w14:textId="77777777" w:rsidR="00512347" w:rsidRPr="007137AC" w:rsidRDefault="00512347">
            <w:pPr>
              <w:jc w:val="center"/>
              <w:rPr>
                <w:noProof/>
                <w:sz w:val="22"/>
                <w:szCs w:val="22"/>
              </w:rPr>
            </w:pPr>
          </w:p>
        </w:tc>
        <w:tc>
          <w:tcPr>
            <w:tcW w:w="0" w:type="auto"/>
            <w:vAlign w:val="center"/>
          </w:tcPr>
          <w:p w14:paraId="5AC6CD22" w14:textId="77777777" w:rsidR="00512347" w:rsidRPr="007137AC" w:rsidRDefault="00512347">
            <w:pPr>
              <w:jc w:val="center"/>
              <w:rPr>
                <w:noProof/>
                <w:sz w:val="22"/>
                <w:szCs w:val="22"/>
              </w:rPr>
            </w:pPr>
          </w:p>
        </w:tc>
        <w:tc>
          <w:tcPr>
            <w:tcW w:w="0" w:type="auto"/>
            <w:vAlign w:val="center"/>
          </w:tcPr>
          <w:p w14:paraId="17B86AE5" w14:textId="77777777" w:rsidR="00512347" w:rsidRPr="007137AC" w:rsidRDefault="00512347">
            <w:pPr>
              <w:jc w:val="center"/>
              <w:rPr>
                <w:noProof/>
                <w:sz w:val="22"/>
                <w:szCs w:val="22"/>
              </w:rPr>
            </w:pPr>
            <w:r w:rsidRPr="007137AC">
              <w:rPr>
                <w:rFonts w:ascii="Wingdings 2" w:eastAsia="Wingdings 2" w:hAnsi="Wingdings 2" w:cs="Wingdings 2"/>
                <w:noProof/>
                <w:sz w:val="22"/>
                <w:szCs w:val="22"/>
              </w:rPr>
              <w:t></w:t>
            </w:r>
          </w:p>
        </w:tc>
      </w:tr>
    </w:tbl>
    <w:p w14:paraId="34193FC1" w14:textId="4B021AC6" w:rsidR="00712390" w:rsidRPr="00744C66" w:rsidRDefault="2471901C" w:rsidP="00485782">
      <w:pPr>
        <w:pStyle w:val="BodyText"/>
        <w:keepNext/>
        <w:spacing w:before="240" w:after="240"/>
        <w:ind w:left="0"/>
        <w:rPr>
          <w:b/>
          <w:bCs/>
          <w:i/>
          <w:iCs/>
          <w:noProof/>
          <w:spacing w:val="-8"/>
        </w:rPr>
      </w:pPr>
      <w:bookmarkStart w:id="110" w:name="5.2.3_Description_of_the_policy_options"/>
      <w:bookmarkStart w:id="111" w:name="_Toc220667498"/>
      <w:bookmarkEnd w:id="110"/>
      <w:r w:rsidRPr="00744C66">
        <w:rPr>
          <w:b/>
          <w:bCs/>
          <w:i/>
          <w:iCs/>
          <w:noProof/>
          <w:spacing w:val="-8"/>
        </w:rPr>
        <w:t>Policy option 1 – Facilitating integration</w:t>
      </w:r>
      <w:bookmarkEnd w:id="111"/>
    </w:p>
    <w:p w14:paraId="47AFA3DB" w14:textId="71156702" w:rsidR="00712390" w:rsidRPr="00273F62" w:rsidRDefault="004F6A6E" w:rsidP="006A3DD3">
      <w:pPr>
        <w:pStyle w:val="BodyText"/>
        <w:spacing w:after="240"/>
        <w:ind w:left="0"/>
        <w:rPr>
          <w:noProof/>
          <w:spacing w:val="-8"/>
        </w:rPr>
      </w:pPr>
      <w:r w:rsidRPr="00273F62">
        <w:rPr>
          <w:noProof/>
          <w:spacing w:val="-8"/>
        </w:rPr>
        <w:t>P</w:t>
      </w:r>
      <w:r w:rsidR="2471901C" w:rsidRPr="00273F62">
        <w:rPr>
          <w:noProof/>
          <w:spacing w:val="-8"/>
        </w:rPr>
        <w:t xml:space="preserve">O1 </w:t>
      </w:r>
      <w:r w:rsidR="00AE06F7" w:rsidRPr="00273F62">
        <w:rPr>
          <w:noProof/>
          <w:spacing w:val="-8"/>
        </w:rPr>
        <w:t>is</w:t>
      </w:r>
      <w:r w:rsidR="2471901C" w:rsidRPr="00273F62">
        <w:rPr>
          <w:noProof/>
          <w:spacing w:val="-8"/>
        </w:rPr>
        <w:t xml:space="preserve"> a </w:t>
      </w:r>
      <w:r w:rsidR="001F3698" w:rsidRPr="00273F62">
        <w:rPr>
          <w:noProof/>
          <w:spacing w:val="-8"/>
        </w:rPr>
        <w:t>minimalistic</w:t>
      </w:r>
      <w:r w:rsidR="2471901C" w:rsidRPr="00273F62">
        <w:rPr>
          <w:noProof/>
          <w:spacing w:val="-8"/>
        </w:rPr>
        <w:t xml:space="preserve"> approach t</w:t>
      </w:r>
      <w:r w:rsidR="003874B4" w:rsidRPr="00273F62">
        <w:rPr>
          <w:noProof/>
          <w:spacing w:val="-8"/>
        </w:rPr>
        <w:t xml:space="preserve">hat </w:t>
      </w:r>
      <w:r w:rsidR="008F2DC8" w:rsidRPr="00273F62">
        <w:rPr>
          <w:noProof/>
          <w:spacing w:val="-8"/>
        </w:rPr>
        <w:t>targets</w:t>
      </w:r>
      <w:r w:rsidR="48335ADF" w:rsidRPr="00273F62">
        <w:rPr>
          <w:noProof/>
          <w:spacing w:val="-8"/>
        </w:rPr>
        <w:t xml:space="preserve"> </w:t>
      </w:r>
      <w:r w:rsidR="00F2301F">
        <w:rPr>
          <w:noProof/>
          <w:spacing w:val="-8"/>
        </w:rPr>
        <w:t>both</w:t>
      </w:r>
      <w:r w:rsidR="00F2301F" w:rsidRPr="00273F62">
        <w:rPr>
          <w:noProof/>
          <w:spacing w:val="-8"/>
        </w:rPr>
        <w:t xml:space="preserve"> </w:t>
      </w:r>
      <w:r w:rsidR="2471901C" w:rsidRPr="00273F62">
        <w:rPr>
          <w:noProof/>
          <w:spacing w:val="-8"/>
        </w:rPr>
        <w:t xml:space="preserve">specific objectives. </w:t>
      </w:r>
      <w:r w:rsidR="00462BDE" w:rsidRPr="00273F62">
        <w:rPr>
          <w:noProof/>
          <w:spacing w:val="-8"/>
        </w:rPr>
        <w:t xml:space="preserve">A </w:t>
      </w:r>
      <w:r w:rsidR="006E2261" w:rsidRPr="00273F62">
        <w:rPr>
          <w:noProof/>
          <w:spacing w:val="-8"/>
        </w:rPr>
        <w:t xml:space="preserve">first </w:t>
      </w:r>
      <w:r w:rsidR="003C213E" w:rsidRPr="00273F62">
        <w:rPr>
          <w:noProof/>
          <w:spacing w:val="-8"/>
        </w:rPr>
        <w:t>set of</w:t>
      </w:r>
      <w:r w:rsidR="2471901C" w:rsidRPr="00273F62">
        <w:rPr>
          <w:noProof/>
          <w:spacing w:val="-8"/>
        </w:rPr>
        <w:t xml:space="preserve"> policy measures that are common to all </w:t>
      </w:r>
      <w:r w:rsidR="288EBCF1" w:rsidRPr="00273F62">
        <w:rPr>
          <w:noProof/>
          <w:spacing w:val="-8"/>
        </w:rPr>
        <w:t xml:space="preserve">four </w:t>
      </w:r>
      <w:r w:rsidR="2471901C" w:rsidRPr="00273F62">
        <w:rPr>
          <w:noProof/>
          <w:spacing w:val="-8"/>
        </w:rPr>
        <w:t xml:space="preserve">policy options (PM1 to </w:t>
      </w:r>
      <w:r w:rsidR="288EBCF1" w:rsidRPr="00273F62">
        <w:rPr>
          <w:noProof/>
          <w:spacing w:val="-8"/>
        </w:rPr>
        <w:t>PM8</w:t>
      </w:r>
      <w:r w:rsidR="2471901C" w:rsidRPr="00273F62">
        <w:rPr>
          <w:noProof/>
          <w:spacing w:val="-8"/>
        </w:rPr>
        <w:t>), include</w:t>
      </w:r>
      <w:r w:rsidR="000943B8" w:rsidRPr="00273F62">
        <w:rPr>
          <w:noProof/>
          <w:spacing w:val="-8"/>
        </w:rPr>
        <w:t xml:space="preserve">s measures </w:t>
      </w:r>
      <w:r w:rsidR="00D71CD9" w:rsidRPr="00273F62">
        <w:rPr>
          <w:noProof/>
          <w:spacing w:val="-8"/>
        </w:rPr>
        <w:t>tha</w:t>
      </w:r>
      <w:r w:rsidR="00D10ABA" w:rsidRPr="00273F62">
        <w:rPr>
          <w:noProof/>
          <w:spacing w:val="-8"/>
        </w:rPr>
        <w:t>t</w:t>
      </w:r>
      <w:r w:rsidR="2471901C" w:rsidRPr="00273F62">
        <w:rPr>
          <w:noProof/>
          <w:spacing w:val="-8"/>
        </w:rPr>
        <w:t xml:space="preserve"> establish</w:t>
      </w:r>
      <w:r w:rsidR="009F1950" w:rsidRPr="00273F62">
        <w:rPr>
          <w:noProof/>
          <w:spacing w:val="-8"/>
        </w:rPr>
        <w:t xml:space="preserve"> </w:t>
      </w:r>
      <w:r w:rsidR="00205B03" w:rsidRPr="00273F62">
        <w:rPr>
          <w:noProof/>
          <w:spacing w:val="-8"/>
        </w:rPr>
        <w:t>minimal requirements ensuring fair treatment of information and data on MDMS platforms</w:t>
      </w:r>
      <w:r w:rsidR="5DF7D096" w:rsidRPr="00273F62">
        <w:rPr>
          <w:noProof/>
          <w:spacing w:val="-8"/>
        </w:rPr>
        <w:t>.</w:t>
      </w:r>
      <w:r w:rsidR="21D98C16" w:rsidRPr="00273F62">
        <w:rPr>
          <w:noProof/>
          <w:spacing w:val="-8"/>
        </w:rPr>
        <w:t xml:space="preserve"> </w:t>
      </w:r>
      <w:r w:rsidR="00DF04D4" w:rsidRPr="00273F62">
        <w:rPr>
          <w:noProof/>
          <w:spacing w:val="-8"/>
        </w:rPr>
        <w:t>I</w:t>
      </w:r>
      <w:r w:rsidR="00F65E75" w:rsidRPr="00273F62">
        <w:rPr>
          <w:noProof/>
          <w:spacing w:val="-8"/>
        </w:rPr>
        <w:t>t</w:t>
      </w:r>
      <w:r w:rsidR="636D3B85" w:rsidRPr="00273F62">
        <w:rPr>
          <w:noProof/>
          <w:spacing w:val="-8"/>
        </w:rPr>
        <w:t xml:space="preserve"> </w:t>
      </w:r>
      <w:r w:rsidR="00DF04D4" w:rsidRPr="00273F62">
        <w:rPr>
          <w:noProof/>
          <w:spacing w:val="-8"/>
        </w:rPr>
        <w:t xml:space="preserve">also </w:t>
      </w:r>
      <w:r w:rsidR="636D3B85" w:rsidRPr="00273F62">
        <w:rPr>
          <w:noProof/>
          <w:spacing w:val="-8"/>
        </w:rPr>
        <w:t xml:space="preserve">sets out </w:t>
      </w:r>
      <w:r w:rsidR="00C03275" w:rsidRPr="00273F62">
        <w:rPr>
          <w:noProof/>
          <w:spacing w:val="-8"/>
        </w:rPr>
        <w:t>key</w:t>
      </w:r>
      <w:r w:rsidR="636D3B85" w:rsidRPr="00273F62">
        <w:rPr>
          <w:noProof/>
          <w:spacing w:val="-8"/>
        </w:rPr>
        <w:t xml:space="preserve"> principles </w:t>
      </w:r>
      <w:r w:rsidR="00E03787" w:rsidRPr="00273F62">
        <w:rPr>
          <w:noProof/>
          <w:spacing w:val="-8"/>
        </w:rPr>
        <w:t xml:space="preserve">framing </w:t>
      </w:r>
      <w:r w:rsidR="00214AAD" w:rsidRPr="00273F62">
        <w:rPr>
          <w:noProof/>
          <w:spacing w:val="-8"/>
        </w:rPr>
        <w:t xml:space="preserve">all </w:t>
      </w:r>
      <w:r w:rsidR="636D3B85" w:rsidRPr="00273F62">
        <w:rPr>
          <w:noProof/>
          <w:spacing w:val="-8"/>
        </w:rPr>
        <w:t xml:space="preserve">commercial agreements between </w:t>
      </w:r>
      <w:r w:rsidR="2922B63A" w:rsidRPr="00273F62">
        <w:rPr>
          <w:i/>
          <w:noProof/>
          <w:spacing w:val="-8"/>
        </w:rPr>
        <w:t>indispensable MDMS</w:t>
      </w:r>
      <w:r w:rsidR="09A55718" w:rsidRPr="00273F62">
        <w:rPr>
          <w:i/>
          <w:noProof/>
          <w:spacing w:val="-8"/>
        </w:rPr>
        <w:t xml:space="preserve"> </w:t>
      </w:r>
      <w:r w:rsidR="007157ED" w:rsidRPr="00273F62">
        <w:rPr>
          <w:i/>
          <w:noProof/>
          <w:spacing w:val="-8"/>
        </w:rPr>
        <w:t>platforms</w:t>
      </w:r>
      <w:r w:rsidR="007157ED" w:rsidRPr="00273F62">
        <w:rPr>
          <w:noProof/>
          <w:spacing w:val="-8"/>
        </w:rPr>
        <w:t xml:space="preserve"> </w:t>
      </w:r>
      <w:r w:rsidR="1AB556A5" w:rsidRPr="00273F62">
        <w:rPr>
          <w:noProof/>
          <w:spacing w:val="-8"/>
        </w:rPr>
        <w:t>and</w:t>
      </w:r>
      <w:r w:rsidR="636D3B85" w:rsidRPr="00273F62">
        <w:rPr>
          <w:noProof/>
          <w:spacing w:val="-8"/>
        </w:rPr>
        <w:t xml:space="preserve"> transport operators</w:t>
      </w:r>
      <w:r w:rsidR="00AB23E9" w:rsidRPr="00273F62">
        <w:rPr>
          <w:noProof/>
          <w:spacing w:val="-8"/>
        </w:rPr>
        <w:t xml:space="preserve">, as well as </w:t>
      </w:r>
      <w:r w:rsidR="636D3B85" w:rsidRPr="00273F62">
        <w:rPr>
          <w:noProof/>
          <w:spacing w:val="-8"/>
        </w:rPr>
        <w:t xml:space="preserve">between </w:t>
      </w:r>
      <w:r w:rsidR="2922B63A" w:rsidRPr="00273F62">
        <w:rPr>
          <w:i/>
          <w:noProof/>
          <w:spacing w:val="-8"/>
        </w:rPr>
        <w:t>indispensable</w:t>
      </w:r>
      <w:r w:rsidR="636D3B85" w:rsidRPr="00273F62">
        <w:rPr>
          <w:i/>
          <w:noProof/>
          <w:spacing w:val="-8"/>
        </w:rPr>
        <w:t xml:space="preserve"> </w:t>
      </w:r>
      <w:r w:rsidR="001358ED" w:rsidRPr="00273F62">
        <w:rPr>
          <w:i/>
          <w:noProof/>
          <w:spacing w:val="-8"/>
        </w:rPr>
        <w:t>RU</w:t>
      </w:r>
      <w:r w:rsidR="636D3B85" w:rsidRPr="00273F62">
        <w:rPr>
          <w:i/>
          <w:noProof/>
          <w:spacing w:val="-8"/>
        </w:rPr>
        <w:t>s</w:t>
      </w:r>
      <w:r w:rsidR="636D3B85" w:rsidRPr="00273F62">
        <w:rPr>
          <w:noProof/>
          <w:spacing w:val="-8"/>
        </w:rPr>
        <w:t xml:space="preserve"> and MDMS</w:t>
      </w:r>
      <w:r w:rsidR="00063AD4" w:rsidRPr="00273F62">
        <w:rPr>
          <w:noProof/>
          <w:spacing w:val="-8"/>
        </w:rPr>
        <w:t xml:space="preserve"> platforms</w:t>
      </w:r>
      <w:r w:rsidR="636D3B85" w:rsidRPr="00273F62">
        <w:rPr>
          <w:noProof/>
          <w:spacing w:val="-8"/>
        </w:rPr>
        <w:t>.</w:t>
      </w:r>
    </w:p>
    <w:p w14:paraId="382DF31C" w14:textId="72E70C00" w:rsidR="00712390" w:rsidRPr="0075374E" w:rsidRDefault="00FB318C" w:rsidP="00CB7B68">
      <w:pPr>
        <w:pStyle w:val="BodyText"/>
        <w:spacing w:after="240"/>
        <w:ind w:left="0"/>
        <w:rPr>
          <w:noProof/>
          <w:spacing w:val="-8"/>
        </w:rPr>
      </w:pPr>
      <w:r w:rsidRPr="00273F62">
        <w:rPr>
          <w:noProof/>
          <w:spacing w:val="-8"/>
        </w:rPr>
        <w:t xml:space="preserve">This option </w:t>
      </w:r>
      <w:r w:rsidR="00C255AC" w:rsidRPr="00273F62">
        <w:rPr>
          <w:noProof/>
          <w:spacing w:val="-8"/>
        </w:rPr>
        <w:t>fully</w:t>
      </w:r>
      <w:r w:rsidR="2471901C" w:rsidRPr="00273F62">
        <w:rPr>
          <w:noProof/>
          <w:spacing w:val="-8"/>
        </w:rPr>
        <w:t xml:space="preserve"> </w:t>
      </w:r>
      <w:r w:rsidR="00E46422">
        <w:rPr>
          <w:noProof/>
          <w:spacing w:val="-8"/>
        </w:rPr>
        <w:t>addresses</w:t>
      </w:r>
      <w:r w:rsidR="00E46422" w:rsidRPr="00273F62">
        <w:rPr>
          <w:noProof/>
          <w:spacing w:val="-8"/>
        </w:rPr>
        <w:t xml:space="preserve"> </w:t>
      </w:r>
      <w:r w:rsidR="2471901C" w:rsidRPr="00273F62">
        <w:rPr>
          <w:noProof/>
          <w:spacing w:val="-8"/>
        </w:rPr>
        <w:t>S</w:t>
      </w:r>
      <w:r w:rsidR="34D2D128" w:rsidRPr="00273F62">
        <w:rPr>
          <w:noProof/>
          <w:spacing w:val="-8"/>
        </w:rPr>
        <w:t>O1</w:t>
      </w:r>
      <w:r w:rsidR="2471901C" w:rsidRPr="00273F62">
        <w:rPr>
          <w:noProof/>
          <w:spacing w:val="-8"/>
        </w:rPr>
        <w:t xml:space="preserve">, </w:t>
      </w:r>
      <w:r w:rsidRPr="00273F62">
        <w:rPr>
          <w:noProof/>
          <w:spacing w:val="-8"/>
        </w:rPr>
        <w:t xml:space="preserve">by </w:t>
      </w:r>
      <w:r w:rsidR="00E85502" w:rsidRPr="00273F62">
        <w:rPr>
          <w:noProof/>
          <w:spacing w:val="-8"/>
        </w:rPr>
        <w:t>establishing a</w:t>
      </w:r>
      <w:r w:rsidR="2471901C" w:rsidRPr="00273F62">
        <w:rPr>
          <w:noProof/>
          <w:spacing w:val="-8"/>
        </w:rPr>
        <w:t xml:space="preserve"> level playing field </w:t>
      </w:r>
      <w:r w:rsidR="00BC636D" w:rsidRPr="00273F62">
        <w:rPr>
          <w:noProof/>
          <w:spacing w:val="-8"/>
        </w:rPr>
        <w:t xml:space="preserve">for </w:t>
      </w:r>
      <w:r w:rsidR="000F4FCC" w:rsidRPr="00273F62">
        <w:rPr>
          <w:noProof/>
          <w:spacing w:val="-8"/>
        </w:rPr>
        <w:t xml:space="preserve">MDMS and </w:t>
      </w:r>
      <w:r w:rsidR="2471901C" w:rsidRPr="00273F62">
        <w:rPr>
          <w:noProof/>
          <w:spacing w:val="-8"/>
        </w:rPr>
        <w:t>transport operators</w:t>
      </w:r>
      <w:r w:rsidR="007D11E0" w:rsidRPr="00273F62">
        <w:rPr>
          <w:noProof/>
          <w:spacing w:val="-8"/>
        </w:rPr>
        <w:t xml:space="preserve"> </w:t>
      </w:r>
      <w:r w:rsidR="00CB25ED" w:rsidRPr="00273F62">
        <w:rPr>
          <w:noProof/>
          <w:spacing w:val="-8"/>
        </w:rPr>
        <w:t xml:space="preserve">through the </w:t>
      </w:r>
      <w:r w:rsidR="007D11E0" w:rsidRPr="00273F62">
        <w:rPr>
          <w:noProof/>
          <w:spacing w:val="-8"/>
        </w:rPr>
        <w:t>exten</w:t>
      </w:r>
      <w:r w:rsidR="00CB25ED" w:rsidRPr="00273F62">
        <w:rPr>
          <w:noProof/>
          <w:spacing w:val="-8"/>
        </w:rPr>
        <w:t>sion of</w:t>
      </w:r>
      <w:r w:rsidR="007D11E0" w:rsidRPr="00273F62">
        <w:rPr>
          <w:noProof/>
          <w:spacing w:val="-8"/>
        </w:rPr>
        <w:t xml:space="preserve"> the CRS Code of Conduct’s rules to all MDMS providers (PM1, PM2, PM3, PM4 and PM</w:t>
      </w:r>
      <w:r w:rsidR="00A126AF" w:rsidRPr="00273F62">
        <w:rPr>
          <w:noProof/>
          <w:spacing w:val="-8"/>
        </w:rPr>
        <w:t>5</w:t>
      </w:r>
      <w:r w:rsidR="007D11E0" w:rsidRPr="00273F62">
        <w:rPr>
          <w:noProof/>
          <w:spacing w:val="-8"/>
        </w:rPr>
        <w:t>)</w:t>
      </w:r>
      <w:r w:rsidR="00D731A2" w:rsidRPr="00273F62">
        <w:rPr>
          <w:noProof/>
          <w:spacing w:val="-8"/>
        </w:rPr>
        <w:t>.</w:t>
      </w:r>
      <w:r w:rsidR="007D11E0" w:rsidRPr="00273F62">
        <w:rPr>
          <w:noProof/>
          <w:spacing w:val="-8"/>
        </w:rPr>
        <w:t xml:space="preserve"> </w:t>
      </w:r>
      <w:r w:rsidR="4CA8939D" w:rsidRPr="00B53DFD">
        <w:rPr>
          <w:noProof/>
          <w:spacing w:val="-8"/>
        </w:rPr>
        <w:t>With all MDMS platforms (</w:t>
      </w:r>
      <w:r w:rsidR="444452C3" w:rsidRPr="00B53DFD">
        <w:rPr>
          <w:noProof/>
          <w:spacing w:val="-8"/>
        </w:rPr>
        <w:t xml:space="preserve">from </w:t>
      </w:r>
      <w:r w:rsidR="4CA8939D" w:rsidRPr="00B53DFD">
        <w:rPr>
          <w:noProof/>
          <w:spacing w:val="-8"/>
        </w:rPr>
        <w:t xml:space="preserve">both B2B and B2C sectors) subject to these rules, the initiative </w:t>
      </w:r>
      <w:r w:rsidR="1B809F7E" w:rsidRPr="00B53DFD">
        <w:rPr>
          <w:noProof/>
          <w:spacing w:val="-8"/>
        </w:rPr>
        <w:t>ensures that transport operators can compete fairly on all platforms and pro</w:t>
      </w:r>
      <w:r w:rsidR="4190816C" w:rsidRPr="00B53DFD">
        <w:rPr>
          <w:noProof/>
          <w:spacing w:val="-8"/>
        </w:rPr>
        <w:t>tects their data from being misused.</w:t>
      </w:r>
      <w:r w:rsidR="4CA8939D" w:rsidRPr="00B53DFD">
        <w:rPr>
          <w:noProof/>
          <w:spacing w:val="-8"/>
        </w:rPr>
        <w:t xml:space="preserve"> </w:t>
      </w:r>
      <w:r w:rsidR="005A67A3" w:rsidRPr="00D24F01">
        <w:rPr>
          <w:noProof/>
          <w:spacing w:val="-8"/>
        </w:rPr>
        <w:t xml:space="preserve">PM9 sets thresholds to identify MDMS platforms and </w:t>
      </w:r>
      <w:r w:rsidR="001358ED" w:rsidRPr="00D24F01">
        <w:rPr>
          <w:noProof/>
          <w:spacing w:val="-8"/>
        </w:rPr>
        <w:t>RU</w:t>
      </w:r>
      <w:r w:rsidR="005A67A3" w:rsidRPr="00D24F01">
        <w:rPr>
          <w:noProof/>
          <w:spacing w:val="-8"/>
        </w:rPr>
        <w:t xml:space="preserve">s with </w:t>
      </w:r>
      <w:r w:rsidR="00E43716" w:rsidRPr="00D24F01">
        <w:rPr>
          <w:noProof/>
          <w:spacing w:val="-8"/>
        </w:rPr>
        <w:t>SMP</w:t>
      </w:r>
      <w:r w:rsidR="005A67A3" w:rsidRPr="00D24F01">
        <w:rPr>
          <w:noProof/>
          <w:spacing w:val="-8"/>
        </w:rPr>
        <w:t xml:space="preserve">, which would be designated by national enforcement bodies or the </w:t>
      </w:r>
      <w:r w:rsidR="005B6BC0" w:rsidRPr="00D24F01">
        <w:rPr>
          <w:noProof/>
          <w:spacing w:val="-8"/>
        </w:rPr>
        <w:t>European Commission (</w:t>
      </w:r>
      <w:r w:rsidR="005A67A3" w:rsidRPr="00D24F01">
        <w:rPr>
          <w:noProof/>
          <w:spacing w:val="-8"/>
        </w:rPr>
        <w:t>EC</w:t>
      </w:r>
      <w:r w:rsidR="005B6BC0" w:rsidRPr="00D24F01">
        <w:rPr>
          <w:noProof/>
          <w:spacing w:val="-8"/>
        </w:rPr>
        <w:t>)</w:t>
      </w:r>
      <w:r w:rsidR="005A67A3" w:rsidRPr="00D24F01">
        <w:rPr>
          <w:noProof/>
          <w:spacing w:val="-8"/>
        </w:rPr>
        <w:t xml:space="preserve"> depending on the market in which they have SMP (PM10). These are needed for</w:t>
      </w:r>
      <w:r w:rsidR="00A32C59" w:rsidRPr="00D24F01">
        <w:rPr>
          <w:noProof/>
          <w:spacing w:val="-8"/>
        </w:rPr>
        <w:t xml:space="preserve"> </w:t>
      </w:r>
      <w:r w:rsidR="06C02407" w:rsidRPr="00D24F01">
        <w:rPr>
          <w:noProof/>
          <w:spacing w:val="-8"/>
        </w:rPr>
        <w:t>PM1</w:t>
      </w:r>
      <w:r w:rsidR="00375257" w:rsidRPr="00D24F01">
        <w:rPr>
          <w:noProof/>
          <w:spacing w:val="-8"/>
        </w:rPr>
        <w:t>1</w:t>
      </w:r>
      <w:r w:rsidR="005A67A3" w:rsidRPr="00D24F01">
        <w:rPr>
          <w:noProof/>
          <w:spacing w:val="-8"/>
        </w:rPr>
        <w:t>, which</w:t>
      </w:r>
      <w:r w:rsidR="06C02407" w:rsidRPr="00D24F01">
        <w:rPr>
          <w:noProof/>
          <w:spacing w:val="-8"/>
        </w:rPr>
        <w:t xml:space="preserve"> </w:t>
      </w:r>
      <w:r w:rsidR="004C1245" w:rsidRPr="00D24F01">
        <w:rPr>
          <w:noProof/>
          <w:spacing w:val="-8"/>
        </w:rPr>
        <w:t xml:space="preserve">sets </w:t>
      </w:r>
      <w:r w:rsidR="4738D979" w:rsidRPr="00D24F01">
        <w:rPr>
          <w:noProof/>
          <w:spacing w:val="-8"/>
        </w:rPr>
        <w:t xml:space="preserve">rules that </w:t>
      </w:r>
      <w:r w:rsidR="00873F7F" w:rsidRPr="00D24F01">
        <w:rPr>
          <w:noProof/>
          <w:spacing w:val="-8"/>
        </w:rPr>
        <w:t xml:space="preserve">protects </w:t>
      </w:r>
      <w:r w:rsidR="00CA6E8F" w:rsidRPr="00D24F01">
        <w:rPr>
          <w:noProof/>
          <w:spacing w:val="-8"/>
        </w:rPr>
        <w:t xml:space="preserve">transport operators </w:t>
      </w:r>
      <w:r w:rsidR="00873F7F" w:rsidRPr="00D24F01">
        <w:rPr>
          <w:noProof/>
          <w:spacing w:val="-8"/>
        </w:rPr>
        <w:t xml:space="preserve">in </w:t>
      </w:r>
      <w:r w:rsidR="4738D979" w:rsidRPr="00D24F01">
        <w:rPr>
          <w:noProof/>
          <w:spacing w:val="-8"/>
        </w:rPr>
        <w:t xml:space="preserve">their commercial agreements </w:t>
      </w:r>
      <w:r w:rsidR="18877A6C" w:rsidRPr="00D24F01">
        <w:rPr>
          <w:noProof/>
          <w:spacing w:val="-8"/>
        </w:rPr>
        <w:t>with</w:t>
      </w:r>
      <w:r w:rsidR="4738D979" w:rsidRPr="00D24F01">
        <w:rPr>
          <w:noProof/>
          <w:spacing w:val="-8"/>
        </w:rPr>
        <w:t xml:space="preserve"> </w:t>
      </w:r>
      <w:r w:rsidR="00F37332" w:rsidRPr="00D24F01">
        <w:rPr>
          <w:noProof/>
          <w:spacing w:val="-8"/>
        </w:rPr>
        <w:t>indispensable MDMS platforms</w:t>
      </w:r>
      <w:r w:rsidR="00DD6C82" w:rsidRPr="00D24F01">
        <w:rPr>
          <w:noProof/>
          <w:spacing w:val="-8"/>
        </w:rPr>
        <w:t>, including</w:t>
      </w:r>
      <w:r w:rsidR="00CB7B68" w:rsidRPr="00D24F01">
        <w:rPr>
          <w:noProof/>
          <w:spacing w:val="-8"/>
        </w:rPr>
        <w:t xml:space="preserve"> provisions that </w:t>
      </w:r>
      <w:r w:rsidR="004F1EEA" w:rsidRPr="00D24F01">
        <w:rPr>
          <w:noProof/>
          <w:spacing w:val="-8"/>
        </w:rPr>
        <w:t xml:space="preserve">(1) </w:t>
      </w:r>
      <w:r w:rsidR="00CB7B68" w:rsidRPr="00D24F01">
        <w:rPr>
          <w:noProof/>
          <w:spacing w:val="-8"/>
        </w:rPr>
        <w:t>safeguard commercially sensitive data</w:t>
      </w:r>
      <w:r w:rsidR="00941A32" w:rsidRPr="00D24F01">
        <w:rPr>
          <w:noProof/>
          <w:spacing w:val="-8"/>
        </w:rPr>
        <w:t xml:space="preserve"> of operators</w:t>
      </w:r>
      <w:r w:rsidR="003B761E" w:rsidRPr="00D24F01">
        <w:rPr>
          <w:noProof/>
          <w:spacing w:val="-8"/>
        </w:rPr>
        <w:t xml:space="preserve">, </w:t>
      </w:r>
      <w:r w:rsidR="004F1EEA" w:rsidRPr="00D24F01">
        <w:rPr>
          <w:noProof/>
          <w:spacing w:val="-8"/>
        </w:rPr>
        <w:t>(2)</w:t>
      </w:r>
      <w:r w:rsidR="003B761E" w:rsidRPr="00D24F01">
        <w:rPr>
          <w:noProof/>
          <w:spacing w:val="-8"/>
        </w:rPr>
        <w:t xml:space="preserve"> prohibit the inclusion of</w:t>
      </w:r>
      <w:r w:rsidR="00E74F00" w:rsidRPr="00D24F01">
        <w:rPr>
          <w:noProof/>
          <w:spacing w:val="-8"/>
        </w:rPr>
        <w:t xml:space="preserve"> unjustified or unnecessary contract conditions that could prevent the conclusion of the agreement, </w:t>
      </w:r>
      <w:r w:rsidR="006109D4" w:rsidRPr="00D24F01">
        <w:rPr>
          <w:noProof/>
          <w:spacing w:val="-8"/>
        </w:rPr>
        <w:t xml:space="preserve">and </w:t>
      </w:r>
      <w:r w:rsidR="00E74F00" w:rsidRPr="00D24F01">
        <w:rPr>
          <w:noProof/>
          <w:spacing w:val="-8"/>
        </w:rPr>
        <w:t xml:space="preserve">(3) </w:t>
      </w:r>
      <w:r w:rsidR="00D2520F" w:rsidRPr="00D24F01">
        <w:rPr>
          <w:noProof/>
          <w:spacing w:val="-8"/>
        </w:rPr>
        <w:t>ensure</w:t>
      </w:r>
      <w:r w:rsidR="00E74F00" w:rsidRPr="00D24F01">
        <w:rPr>
          <w:noProof/>
          <w:spacing w:val="-8"/>
        </w:rPr>
        <w:t xml:space="preserve"> remuneration</w:t>
      </w:r>
      <w:r w:rsidR="00EA2491" w:rsidRPr="00D24F01">
        <w:rPr>
          <w:noProof/>
          <w:spacing w:val="-8"/>
        </w:rPr>
        <w:t xml:space="preserve"> of platforms </w:t>
      </w:r>
      <w:r w:rsidR="004923E6" w:rsidRPr="00D24F01">
        <w:rPr>
          <w:noProof/>
          <w:spacing w:val="-8"/>
        </w:rPr>
        <w:t xml:space="preserve">is </w:t>
      </w:r>
      <w:r w:rsidR="00E74F00" w:rsidRPr="00D24F01">
        <w:rPr>
          <w:noProof/>
          <w:spacing w:val="-8"/>
        </w:rPr>
        <w:t xml:space="preserve">based on objective and transparent criteria (such as quality and level of services, annual volume of transport products distributed, look-to-book ratios, etc). These criteria </w:t>
      </w:r>
      <w:r w:rsidR="00196308" w:rsidRPr="00D24F01">
        <w:rPr>
          <w:noProof/>
          <w:spacing w:val="-8"/>
        </w:rPr>
        <w:t>should</w:t>
      </w:r>
      <w:r w:rsidR="00E74F00" w:rsidRPr="00D24F01">
        <w:rPr>
          <w:noProof/>
          <w:spacing w:val="-8"/>
        </w:rPr>
        <w:t xml:space="preserve"> be transparently</w:t>
      </w:r>
      <w:r w:rsidR="00CB7B68" w:rsidRPr="00D24F01">
        <w:rPr>
          <w:noProof/>
          <w:spacing w:val="-8"/>
        </w:rPr>
        <w:t xml:space="preserve"> shared </w:t>
      </w:r>
      <w:r w:rsidR="00E74F00" w:rsidRPr="00D24F01">
        <w:rPr>
          <w:noProof/>
          <w:spacing w:val="-8"/>
        </w:rPr>
        <w:t xml:space="preserve">with the operator or the </w:t>
      </w:r>
      <w:r w:rsidR="000808CF" w:rsidRPr="00D24F01">
        <w:rPr>
          <w:noProof/>
          <w:spacing w:val="-8"/>
        </w:rPr>
        <w:t>National Enforcement Body (</w:t>
      </w:r>
      <w:r w:rsidR="00E74F00" w:rsidRPr="00D24F01">
        <w:rPr>
          <w:noProof/>
          <w:spacing w:val="-8"/>
        </w:rPr>
        <w:t>NEB</w:t>
      </w:r>
      <w:r w:rsidR="000808CF" w:rsidRPr="00D24F01">
        <w:rPr>
          <w:noProof/>
          <w:spacing w:val="-8"/>
        </w:rPr>
        <w:t>)</w:t>
      </w:r>
      <w:r w:rsidR="00E74F00" w:rsidRPr="00D24F01">
        <w:rPr>
          <w:noProof/>
          <w:spacing w:val="-8"/>
        </w:rPr>
        <w:t xml:space="preserve"> </w:t>
      </w:r>
      <w:r w:rsidR="007C01E5" w:rsidRPr="00D24F01">
        <w:rPr>
          <w:noProof/>
          <w:spacing w:val="-8"/>
        </w:rPr>
        <w:t>upon</w:t>
      </w:r>
      <w:r w:rsidR="003F6974" w:rsidRPr="00D24F01">
        <w:rPr>
          <w:noProof/>
          <w:spacing w:val="-8"/>
        </w:rPr>
        <w:t xml:space="preserve"> </w:t>
      </w:r>
      <w:r w:rsidR="00E74F00" w:rsidRPr="00D24F01">
        <w:rPr>
          <w:noProof/>
          <w:spacing w:val="-8"/>
        </w:rPr>
        <w:t>request.</w:t>
      </w:r>
      <w:r w:rsidR="00EC38F6" w:rsidRPr="00D24F01">
        <w:rPr>
          <w:noProof/>
          <w:spacing w:val="-8"/>
        </w:rPr>
        <w:t xml:space="preserve"> </w:t>
      </w:r>
      <w:r w:rsidR="4A022D2B" w:rsidRPr="00D24F01">
        <w:rPr>
          <w:noProof/>
          <w:spacing w:val="-8"/>
        </w:rPr>
        <w:t>Member States would be required to appoint a national authority to settle dispute</w:t>
      </w:r>
      <w:r w:rsidR="71D2D8C7" w:rsidRPr="00D24F01">
        <w:rPr>
          <w:noProof/>
          <w:spacing w:val="-8"/>
        </w:rPr>
        <w:t>s</w:t>
      </w:r>
      <w:r w:rsidR="4A022D2B" w:rsidRPr="00D24F01">
        <w:rPr>
          <w:noProof/>
          <w:spacing w:val="-8"/>
        </w:rPr>
        <w:t xml:space="preserve"> that could arise between parties (PM</w:t>
      </w:r>
      <w:r w:rsidR="4E5A31A3" w:rsidRPr="00D24F01">
        <w:rPr>
          <w:noProof/>
          <w:spacing w:val="-8"/>
        </w:rPr>
        <w:t>6)</w:t>
      </w:r>
      <w:r w:rsidR="007E478C" w:rsidRPr="00D24F01">
        <w:rPr>
          <w:noProof/>
          <w:spacing w:val="-8"/>
        </w:rPr>
        <w:t xml:space="preserve"> and</w:t>
      </w:r>
      <w:r w:rsidR="4E5A31A3" w:rsidRPr="00D24F01">
        <w:rPr>
          <w:noProof/>
          <w:spacing w:val="-8"/>
        </w:rPr>
        <w:t xml:space="preserve"> </w:t>
      </w:r>
      <w:r w:rsidR="007E478C" w:rsidRPr="00D24F01">
        <w:rPr>
          <w:noProof/>
          <w:spacing w:val="-8"/>
        </w:rPr>
        <w:t xml:space="preserve">an </w:t>
      </w:r>
      <w:r w:rsidR="4E5A31A3" w:rsidRPr="00D24F01">
        <w:rPr>
          <w:noProof/>
          <w:spacing w:val="-8"/>
        </w:rPr>
        <w:t>EU enf</w:t>
      </w:r>
      <w:r w:rsidR="58C7F054" w:rsidRPr="00D24F01">
        <w:rPr>
          <w:noProof/>
          <w:spacing w:val="-8"/>
        </w:rPr>
        <w:t>or</w:t>
      </w:r>
      <w:r w:rsidR="4E5A31A3" w:rsidRPr="00D24F01">
        <w:rPr>
          <w:noProof/>
          <w:spacing w:val="-8"/>
        </w:rPr>
        <w:t>cement netwo</w:t>
      </w:r>
      <w:r w:rsidR="58C7F054" w:rsidRPr="00D24F01">
        <w:rPr>
          <w:noProof/>
          <w:spacing w:val="-8"/>
        </w:rPr>
        <w:t>rk</w:t>
      </w:r>
      <w:r w:rsidR="79EA4F57" w:rsidRPr="00D24F01">
        <w:rPr>
          <w:noProof/>
          <w:spacing w:val="-8"/>
        </w:rPr>
        <w:t xml:space="preserve"> </w:t>
      </w:r>
      <w:r w:rsidR="50B6929A" w:rsidRPr="00D24F01">
        <w:rPr>
          <w:noProof/>
          <w:spacing w:val="-8"/>
        </w:rPr>
        <w:t xml:space="preserve">of </w:t>
      </w:r>
      <w:r w:rsidR="007E478C" w:rsidRPr="00D24F01">
        <w:rPr>
          <w:noProof/>
          <w:spacing w:val="-8"/>
        </w:rPr>
        <w:t xml:space="preserve">such </w:t>
      </w:r>
      <w:r w:rsidR="50B6929A" w:rsidRPr="00D24F01">
        <w:rPr>
          <w:noProof/>
          <w:spacing w:val="-8"/>
        </w:rPr>
        <w:t>authorities</w:t>
      </w:r>
      <w:r w:rsidR="79EA4F57" w:rsidRPr="00D24F01">
        <w:rPr>
          <w:noProof/>
          <w:spacing w:val="-8"/>
        </w:rPr>
        <w:t xml:space="preserve"> w</w:t>
      </w:r>
      <w:r w:rsidR="79284289" w:rsidRPr="00D24F01">
        <w:rPr>
          <w:noProof/>
          <w:spacing w:val="-8"/>
        </w:rPr>
        <w:t>ould</w:t>
      </w:r>
      <w:r w:rsidR="11A1D276" w:rsidRPr="00B53DFD">
        <w:rPr>
          <w:noProof/>
          <w:spacing w:val="-8"/>
        </w:rPr>
        <w:t xml:space="preserve"> convene each year to </w:t>
      </w:r>
      <w:r w:rsidR="79EA4F57" w:rsidRPr="00D24F01">
        <w:rPr>
          <w:noProof/>
          <w:spacing w:val="-8"/>
        </w:rPr>
        <w:t>ensure consistent enforcement across the EU</w:t>
      </w:r>
      <w:r w:rsidR="27B004F8" w:rsidRPr="00D24F01">
        <w:rPr>
          <w:noProof/>
          <w:spacing w:val="-8"/>
        </w:rPr>
        <w:t>.</w:t>
      </w:r>
      <w:r w:rsidR="601CDE3E" w:rsidRPr="00D24F01">
        <w:rPr>
          <w:noProof/>
          <w:spacing w:val="-8"/>
        </w:rPr>
        <w:t xml:space="preserve"> </w:t>
      </w:r>
      <w:r w:rsidR="60A42F50" w:rsidRPr="00B53DFD">
        <w:rPr>
          <w:noProof/>
          <w:spacing w:val="-8"/>
        </w:rPr>
        <w:t>Specifically</w:t>
      </w:r>
      <w:r w:rsidR="6DCCBDF7" w:rsidRPr="00B53DFD">
        <w:rPr>
          <w:noProof/>
          <w:spacing w:val="-8"/>
        </w:rPr>
        <w:t>, this EU enforcement network</w:t>
      </w:r>
      <w:r w:rsidR="332D1564" w:rsidRPr="00B53DFD">
        <w:rPr>
          <w:noProof/>
          <w:spacing w:val="-8"/>
        </w:rPr>
        <w:t xml:space="preserve"> will</w:t>
      </w:r>
      <w:r w:rsidR="6DCCBDF7" w:rsidRPr="00B53DFD">
        <w:rPr>
          <w:noProof/>
          <w:spacing w:val="-8"/>
        </w:rPr>
        <w:t xml:space="preserve"> allow NEB</w:t>
      </w:r>
      <w:r w:rsidR="0B10DAA7" w:rsidRPr="00B53DFD">
        <w:rPr>
          <w:noProof/>
          <w:spacing w:val="-8"/>
        </w:rPr>
        <w:t>s</w:t>
      </w:r>
      <w:r w:rsidR="6DCCBDF7" w:rsidRPr="00B53DFD">
        <w:rPr>
          <w:noProof/>
          <w:spacing w:val="-8"/>
        </w:rPr>
        <w:t xml:space="preserve"> to exchange information on their (i) monitoring, enforcement and implementation work, (ii) decision-making principles, and (iii) administrative practices. The Commission </w:t>
      </w:r>
      <w:r w:rsidR="5F3868C5" w:rsidRPr="00B53DFD">
        <w:rPr>
          <w:noProof/>
          <w:spacing w:val="-8"/>
        </w:rPr>
        <w:t xml:space="preserve">will </w:t>
      </w:r>
      <w:r w:rsidR="6DCCBDF7" w:rsidRPr="00B53DFD">
        <w:rPr>
          <w:noProof/>
          <w:spacing w:val="-8"/>
        </w:rPr>
        <w:t>participate in discussions</w:t>
      </w:r>
      <w:r w:rsidR="5C76E99C" w:rsidRPr="00B53DFD">
        <w:rPr>
          <w:noProof/>
          <w:spacing w:val="-8"/>
        </w:rPr>
        <w:t xml:space="preserve">, </w:t>
      </w:r>
      <w:r w:rsidR="6DCCBDF7" w:rsidRPr="00B53DFD">
        <w:rPr>
          <w:noProof/>
          <w:spacing w:val="-8"/>
        </w:rPr>
        <w:t xml:space="preserve">coordinate and support cooperation on matters of common interest and exchange of best practice. </w:t>
      </w:r>
      <w:r w:rsidR="00F638EC" w:rsidRPr="00273F62">
        <w:rPr>
          <w:noProof/>
          <w:spacing w:val="-8"/>
        </w:rPr>
        <w:t>PM8 would oblige MDMS platforms to display information on greenhouse gas emissions, when that information is shared by the transport operator, and PM7 obliges B2C MDMS platforms to share data for mobility management with public authorities.</w:t>
      </w:r>
    </w:p>
    <w:p w14:paraId="3271E86A" w14:textId="3E30F7AA" w:rsidR="005769DB" w:rsidRPr="00273F62" w:rsidRDefault="453CE2D7" w:rsidP="006A3DD3">
      <w:pPr>
        <w:spacing w:after="240"/>
        <w:jc w:val="both"/>
        <w:rPr>
          <w:noProof/>
          <w:spacing w:val="-8"/>
        </w:rPr>
      </w:pPr>
      <w:r w:rsidRPr="00273F62">
        <w:rPr>
          <w:noProof/>
          <w:spacing w:val="-8"/>
        </w:rPr>
        <w:t>To</w:t>
      </w:r>
      <w:r w:rsidR="2471901C" w:rsidRPr="00273F62" w:rsidDel="00E46422">
        <w:rPr>
          <w:noProof/>
          <w:spacing w:val="-8"/>
        </w:rPr>
        <w:t xml:space="preserve"> </w:t>
      </w:r>
      <w:r w:rsidR="00E46422">
        <w:rPr>
          <w:noProof/>
          <w:spacing w:val="-8"/>
        </w:rPr>
        <w:t>address</w:t>
      </w:r>
      <w:r w:rsidR="00E46422" w:rsidRPr="00273F62">
        <w:rPr>
          <w:noProof/>
          <w:spacing w:val="-8"/>
        </w:rPr>
        <w:t xml:space="preserve"> </w:t>
      </w:r>
      <w:r w:rsidR="2471901C" w:rsidRPr="00273F62">
        <w:rPr>
          <w:noProof/>
          <w:spacing w:val="-8"/>
        </w:rPr>
        <w:t>S</w:t>
      </w:r>
      <w:r w:rsidR="46D71D76" w:rsidRPr="00273F62">
        <w:rPr>
          <w:noProof/>
          <w:spacing w:val="-8"/>
        </w:rPr>
        <w:t>O2</w:t>
      </w:r>
      <w:r w:rsidR="2471901C" w:rsidRPr="00273F62">
        <w:rPr>
          <w:noProof/>
          <w:spacing w:val="-8"/>
        </w:rPr>
        <w:t xml:space="preserve">, </w:t>
      </w:r>
      <w:bookmarkStart w:id="112" w:name="_Hlk219972466"/>
      <w:r w:rsidR="006E5A70" w:rsidRPr="00273F62">
        <w:rPr>
          <w:noProof/>
          <w:spacing w:val="-8"/>
        </w:rPr>
        <w:t xml:space="preserve">PM12 protects MDMS providers in their commercial agreements with indispensable </w:t>
      </w:r>
      <w:r w:rsidR="009E00FF" w:rsidRPr="00273F62">
        <w:rPr>
          <w:noProof/>
          <w:spacing w:val="-8"/>
        </w:rPr>
        <w:t>RU</w:t>
      </w:r>
      <w:r w:rsidR="006E5A70" w:rsidRPr="00273F62">
        <w:rPr>
          <w:noProof/>
          <w:spacing w:val="-8"/>
        </w:rPr>
        <w:t xml:space="preserve"> by setting rules </w:t>
      </w:r>
      <w:r w:rsidR="354749FF" w:rsidRPr="00273F62">
        <w:rPr>
          <w:noProof/>
          <w:spacing w:val="-8"/>
        </w:rPr>
        <w:t xml:space="preserve">on distribution fees and </w:t>
      </w:r>
      <w:r w:rsidR="00F55842" w:rsidRPr="00273F62">
        <w:rPr>
          <w:noProof/>
          <w:spacing w:val="-8"/>
        </w:rPr>
        <w:t xml:space="preserve">prohibiting </w:t>
      </w:r>
      <w:r w:rsidR="354749FF" w:rsidRPr="00273F62">
        <w:rPr>
          <w:noProof/>
          <w:spacing w:val="-8"/>
        </w:rPr>
        <w:t>restrictive clauses in contracts (exclusivity clauses, unfair and unjustified conditions, marketing clauses and other technical restrictions)</w:t>
      </w:r>
      <w:r w:rsidR="00D62FA3" w:rsidRPr="00273F62">
        <w:rPr>
          <w:noProof/>
          <w:spacing w:val="-8"/>
        </w:rPr>
        <w:t xml:space="preserve"> allowing to address the imbalances in barga</w:t>
      </w:r>
      <w:r w:rsidR="429E1415" w:rsidRPr="00273F62">
        <w:rPr>
          <w:noProof/>
          <w:spacing w:val="-8"/>
        </w:rPr>
        <w:t>i</w:t>
      </w:r>
      <w:r w:rsidR="00D62FA3" w:rsidRPr="00273F62">
        <w:rPr>
          <w:noProof/>
          <w:spacing w:val="-8"/>
        </w:rPr>
        <w:t xml:space="preserve">ning power when negotiating </w:t>
      </w:r>
      <w:r w:rsidR="001415C2" w:rsidRPr="00273F62">
        <w:rPr>
          <w:noProof/>
          <w:spacing w:val="-8"/>
        </w:rPr>
        <w:t>commercial agreements</w:t>
      </w:r>
      <w:r w:rsidR="354749FF" w:rsidRPr="00273F62">
        <w:rPr>
          <w:noProof/>
          <w:spacing w:val="-8"/>
        </w:rPr>
        <w:t>.</w:t>
      </w:r>
      <w:bookmarkEnd w:id="112"/>
      <w:r w:rsidR="006D4AFC" w:rsidRPr="00273F62">
        <w:rPr>
          <w:noProof/>
          <w:spacing w:val="-8"/>
        </w:rPr>
        <w:t xml:space="preserve"> </w:t>
      </w:r>
    </w:p>
    <w:p w14:paraId="39077424" w14:textId="34E08FCB" w:rsidR="008A4D15" w:rsidRDefault="003D3B5F" w:rsidP="00256468">
      <w:pPr>
        <w:spacing w:after="240"/>
        <w:jc w:val="both"/>
        <w:rPr>
          <w:rFonts w:eastAsiaTheme="minorEastAsia"/>
          <w:noProof/>
          <w:spacing w:val="-8"/>
        </w:rPr>
      </w:pPr>
      <w:r w:rsidRPr="00273F62">
        <w:rPr>
          <w:noProof/>
          <w:spacing w:val="-8"/>
        </w:rPr>
        <w:t xml:space="preserve">Feedback was received on stakeholder’s positions on </w:t>
      </w:r>
      <w:r w:rsidR="001D4AEA" w:rsidRPr="00273F62">
        <w:rPr>
          <w:noProof/>
          <w:spacing w:val="-8"/>
        </w:rPr>
        <w:t>all</w:t>
      </w:r>
      <w:r w:rsidRPr="00273F62">
        <w:rPr>
          <w:noProof/>
          <w:spacing w:val="-8"/>
        </w:rPr>
        <w:t xml:space="preserve"> policy measures</w:t>
      </w:r>
      <w:r w:rsidR="00555AA0" w:rsidRPr="00273F62">
        <w:rPr>
          <w:noProof/>
          <w:spacing w:val="-8"/>
        </w:rPr>
        <w:t xml:space="preserve"> and</w:t>
      </w:r>
      <w:r w:rsidRPr="00273F62">
        <w:rPr>
          <w:noProof/>
          <w:spacing w:val="-8"/>
        </w:rPr>
        <w:t xml:space="preserve"> views on PMs common to all </w:t>
      </w:r>
      <w:r w:rsidR="002F13E6">
        <w:rPr>
          <w:noProof/>
          <w:spacing w:val="-8"/>
        </w:rPr>
        <w:t>policy options</w:t>
      </w:r>
      <w:r w:rsidR="002F13E6" w:rsidRPr="00273F62">
        <w:rPr>
          <w:noProof/>
          <w:spacing w:val="-8"/>
        </w:rPr>
        <w:t xml:space="preserve"> </w:t>
      </w:r>
      <w:r w:rsidRPr="00273F62">
        <w:rPr>
          <w:noProof/>
          <w:spacing w:val="-8"/>
        </w:rPr>
        <w:t>(</w:t>
      </w:r>
      <w:r w:rsidRPr="00256468">
        <w:rPr>
          <w:noProof/>
          <w:spacing w:val="-8"/>
        </w:rPr>
        <w:t>PM1</w:t>
      </w:r>
      <w:r w:rsidRPr="00273F62">
        <w:rPr>
          <w:noProof/>
          <w:spacing w:val="-8"/>
        </w:rPr>
        <w:t xml:space="preserve"> to </w:t>
      </w:r>
      <w:r w:rsidR="002F13E6">
        <w:rPr>
          <w:noProof/>
          <w:spacing w:val="-8"/>
        </w:rPr>
        <w:t>PM</w:t>
      </w:r>
      <w:r w:rsidRPr="00273F62">
        <w:rPr>
          <w:noProof/>
          <w:spacing w:val="-8"/>
        </w:rPr>
        <w:t>1</w:t>
      </w:r>
      <w:r w:rsidR="009B3467" w:rsidRPr="00273F62">
        <w:rPr>
          <w:noProof/>
          <w:spacing w:val="-8"/>
        </w:rPr>
        <w:t>2</w:t>
      </w:r>
      <w:r w:rsidRPr="00273F62">
        <w:rPr>
          <w:noProof/>
          <w:spacing w:val="-8"/>
        </w:rPr>
        <w:t xml:space="preserve">) </w:t>
      </w:r>
      <w:r w:rsidR="00273E44" w:rsidRPr="00273F62">
        <w:rPr>
          <w:noProof/>
          <w:spacing w:val="-8"/>
        </w:rPr>
        <w:t>are</w:t>
      </w:r>
      <w:r w:rsidR="00273E44" w:rsidRPr="00273F62">
        <w:rPr>
          <w:rFonts w:eastAsiaTheme="minorEastAsia"/>
          <w:noProof/>
          <w:spacing w:val="-8"/>
        </w:rPr>
        <w:t xml:space="preserve"> only</w:t>
      </w:r>
      <w:r w:rsidRPr="00273F62">
        <w:rPr>
          <w:rFonts w:eastAsiaTheme="minorEastAsia"/>
          <w:noProof/>
          <w:spacing w:val="-8"/>
        </w:rPr>
        <w:t xml:space="preserve"> presented under PO1. In the </w:t>
      </w:r>
      <w:r w:rsidR="007B1914">
        <w:rPr>
          <w:rFonts w:eastAsiaTheme="minorEastAsia"/>
          <w:noProof/>
          <w:spacing w:val="-8"/>
        </w:rPr>
        <w:t xml:space="preserve">targeted </w:t>
      </w:r>
      <w:r w:rsidRPr="00273F62">
        <w:rPr>
          <w:rFonts w:eastAsiaTheme="minorEastAsia"/>
          <w:noProof/>
          <w:spacing w:val="-8"/>
        </w:rPr>
        <w:t xml:space="preserve">survey, stakeholders </w:t>
      </w:r>
      <w:r w:rsidR="006D13EF" w:rsidRPr="00273F62">
        <w:rPr>
          <w:rFonts w:eastAsiaTheme="minorEastAsia"/>
          <w:noProof/>
          <w:spacing w:val="-8"/>
        </w:rPr>
        <w:t>had</w:t>
      </w:r>
      <w:r w:rsidRPr="00273F62">
        <w:rPr>
          <w:rFonts w:eastAsiaTheme="minorEastAsia"/>
          <w:noProof/>
          <w:spacing w:val="-8"/>
        </w:rPr>
        <w:t xml:space="preserve"> mixed views, expecting measures </w:t>
      </w:r>
      <w:r w:rsidR="008672AF" w:rsidRPr="00273F62">
        <w:rPr>
          <w:rFonts w:eastAsiaTheme="minorEastAsia"/>
          <w:noProof/>
          <w:spacing w:val="-8"/>
        </w:rPr>
        <w:t xml:space="preserve">linked </w:t>
      </w:r>
      <w:r w:rsidRPr="00273F62">
        <w:rPr>
          <w:rFonts w:eastAsiaTheme="minorEastAsia"/>
          <w:noProof/>
          <w:spacing w:val="-8"/>
        </w:rPr>
        <w:t xml:space="preserve">to </w:t>
      </w:r>
      <w:r w:rsidR="008672AF" w:rsidRPr="00273F62">
        <w:rPr>
          <w:rFonts w:eastAsiaTheme="minorEastAsia"/>
          <w:noProof/>
          <w:spacing w:val="-8"/>
        </w:rPr>
        <w:t xml:space="preserve">neutral display </w:t>
      </w:r>
      <w:r w:rsidRPr="00273F62">
        <w:rPr>
          <w:rFonts w:eastAsiaTheme="minorEastAsia"/>
          <w:noProof/>
          <w:spacing w:val="-8"/>
        </w:rPr>
        <w:t xml:space="preserve">and </w:t>
      </w:r>
      <w:r w:rsidR="008672AF" w:rsidRPr="00273F62">
        <w:rPr>
          <w:rFonts w:eastAsiaTheme="minorEastAsia"/>
          <w:noProof/>
          <w:spacing w:val="-8"/>
        </w:rPr>
        <w:t>fair processing of data as mostly positive</w:t>
      </w:r>
      <w:r w:rsidR="00B7433D">
        <w:rPr>
          <w:rFonts w:eastAsiaTheme="minorEastAsia"/>
          <w:noProof/>
          <w:spacing w:val="-8"/>
        </w:rPr>
        <w:t xml:space="preserve"> </w:t>
      </w:r>
      <w:r w:rsidR="008672AF" w:rsidRPr="00273F62">
        <w:rPr>
          <w:rFonts w:eastAsiaTheme="minorEastAsia"/>
          <w:noProof/>
          <w:spacing w:val="-8"/>
        </w:rPr>
        <w:t>/ neutral.</w:t>
      </w:r>
      <w:r w:rsidRPr="00273F62">
        <w:rPr>
          <w:rFonts w:eastAsiaTheme="minorEastAsia"/>
          <w:noProof/>
          <w:spacing w:val="-8"/>
        </w:rPr>
        <w:t xml:space="preserve"> MDMS platforms </w:t>
      </w:r>
      <w:r w:rsidR="00CC53F3" w:rsidRPr="00273F62">
        <w:rPr>
          <w:rFonts w:eastAsiaTheme="minorEastAsia"/>
          <w:noProof/>
          <w:spacing w:val="-8"/>
        </w:rPr>
        <w:t>surveyed</w:t>
      </w:r>
      <w:r w:rsidRPr="00273F62">
        <w:rPr>
          <w:rFonts w:eastAsiaTheme="minorEastAsia"/>
          <w:noProof/>
          <w:spacing w:val="-8"/>
        </w:rPr>
        <w:t xml:space="preserve"> appeared to be the most sceptical group, while </w:t>
      </w:r>
      <w:r w:rsidR="00F94AB4">
        <w:rPr>
          <w:rFonts w:eastAsiaTheme="minorEastAsia"/>
          <w:noProof/>
          <w:spacing w:val="-8"/>
        </w:rPr>
        <w:t>most</w:t>
      </w:r>
      <w:r w:rsidR="00372703" w:rsidRPr="00273F62">
        <w:rPr>
          <w:rFonts w:eastAsiaTheme="minorEastAsia"/>
          <w:noProof/>
          <w:spacing w:val="-8"/>
        </w:rPr>
        <w:t xml:space="preserve"> </w:t>
      </w:r>
      <w:r w:rsidRPr="00273F62">
        <w:rPr>
          <w:rFonts w:eastAsiaTheme="minorEastAsia"/>
          <w:noProof/>
          <w:spacing w:val="-8"/>
        </w:rPr>
        <w:t>national authorities and the ‘</w:t>
      </w:r>
      <w:r w:rsidR="00564ABC">
        <w:rPr>
          <w:rFonts w:eastAsiaTheme="minorEastAsia"/>
          <w:noProof/>
          <w:spacing w:val="-8"/>
        </w:rPr>
        <w:t>o</w:t>
      </w:r>
      <w:r w:rsidRPr="00273F62">
        <w:rPr>
          <w:rFonts w:eastAsiaTheme="minorEastAsia"/>
          <w:noProof/>
          <w:spacing w:val="-8"/>
        </w:rPr>
        <w:t xml:space="preserve">ther’ category </w:t>
      </w:r>
      <w:r w:rsidR="00374EDA" w:rsidRPr="00273F62">
        <w:rPr>
          <w:rFonts w:eastAsiaTheme="minorEastAsia"/>
          <w:noProof/>
          <w:spacing w:val="-8"/>
        </w:rPr>
        <w:t xml:space="preserve">participating in the survey </w:t>
      </w:r>
      <w:r w:rsidRPr="00273F62">
        <w:rPr>
          <w:rFonts w:eastAsiaTheme="minorEastAsia"/>
          <w:noProof/>
          <w:spacing w:val="-8"/>
        </w:rPr>
        <w:t xml:space="preserve">find those measures </w:t>
      </w:r>
      <w:r w:rsidR="00583CED">
        <w:rPr>
          <w:rFonts w:eastAsiaTheme="minorEastAsia"/>
          <w:noProof/>
          <w:spacing w:val="-8"/>
        </w:rPr>
        <w:t>effective</w:t>
      </w:r>
      <w:r w:rsidRPr="00273F62">
        <w:rPr>
          <w:rFonts w:eastAsiaTheme="minorEastAsia"/>
          <w:noProof/>
          <w:spacing w:val="-8"/>
        </w:rPr>
        <w:t xml:space="preserve">. Transport operators </w:t>
      </w:r>
      <w:r w:rsidR="009B406B" w:rsidRPr="00273F62">
        <w:rPr>
          <w:rFonts w:eastAsiaTheme="minorEastAsia"/>
          <w:noProof/>
          <w:spacing w:val="-8"/>
        </w:rPr>
        <w:t>surveyed</w:t>
      </w:r>
      <w:r w:rsidRPr="00273F62">
        <w:rPr>
          <w:rFonts w:eastAsiaTheme="minorEastAsia"/>
          <w:noProof/>
          <w:spacing w:val="-8"/>
        </w:rPr>
        <w:t xml:space="preserve"> did not provide homogenous answers for those PMs.</w:t>
      </w:r>
      <w:r w:rsidR="00832046" w:rsidRPr="00273F62">
        <w:rPr>
          <w:rFonts w:eastAsiaTheme="minorEastAsia"/>
          <w:b/>
          <w:noProof/>
          <w:spacing w:val="-8"/>
        </w:rPr>
        <w:t xml:space="preserve"> </w:t>
      </w:r>
      <w:r w:rsidR="009453C7" w:rsidRPr="00273F62">
        <w:rPr>
          <w:rFonts w:eastAsiaTheme="minorEastAsia"/>
          <w:noProof/>
          <w:spacing w:val="-8"/>
        </w:rPr>
        <w:t>S</w:t>
      </w:r>
      <w:r w:rsidR="00CD0FEB" w:rsidRPr="00273F62">
        <w:rPr>
          <w:rFonts w:eastAsiaTheme="minorEastAsia"/>
          <w:noProof/>
          <w:spacing w:val="-8"/>
        </w:rPr>
        <w:t>takeholders</w:t>
      </w:r>
      <w:r w:rsidR="003958BC" w:rsidRPr="00273F62">
        <w:rPr>
          <w:rFonts w:eastAsiaTheme="minorEastAsia"/>
          <w:noProof/>
          <w:spacing w:val="-8"/>
        </w:rPr>
        <w:t xml:space="preserve"> </w:t>
      </w:r>
      <w:r w:rsidR="00E35673" w:rsidRPr="00273F62">
        <w:rPr>
          <w:rFonts w:eastAsiaTheme="minorEastAsia"/>
          <w:noProof/>
          <w:spacing w:val="-8"/>
        </w:rPr>
        <w:t xml:space="preserve">participating in the </w:t>
      </w:r>
      <w:r w:rsidR="00AB3B93">
        <w:rPr>
          <w:rFonts w:eastAsiaTheme="minorEastAsia"/>
          <w:noProof/>
          <w:spacing w:val="-8"/>
        </w:rPr>
        <w:t xml:space="preserve">targeted </w:t>
      </w:r>
      <w:r w:rsidR="00E35673" w:rsidRPr="00273F62">
        <w:rPr>
          <w:rFonts w:eastAsiaTheme="minorEastAsia"/>
          <w:noProof/>
          <w:spacing w:val="-8"/>
        </w:rPr>
        <w:t>survey</w:t>
      </w:r>
      <w:r w:rsidR="003958BC" w:rsidRPr="00273F62">
        <w:rPr>
          <w:rFonts w:eastAsiaTheme="minorEastAsia"/>
          <w:noProof/>
          <w:spacing w:val="-8"/>
        </w:rPr>
        <w:t xml:space="preserve"> </w:t>
      </w:r>
      <w:r w:rsidR="00A92337" w:rsidRPr="00273F62">
        <w:rPr>
          <w:rFonts w:eastAsiaTheme="minorEastAsia"/>
          <w:noProof/>
          <w:spacing w:val="-8"/>
        </w:rPr>
        <w:t>comment</w:t>
      </w:r>
      <w:r w:rsidR="00CD0FEB" w:rsidRPr="00273F62">
        <w:rPr>
          <w:rFonts w:eastAsiaTheme="minorEastAsia"/>
          <w:noProof/>
          <w:spacing w:val="-8"/>
        </w:rPr>
        <w:t>ed mostly</w:t>
      </w:r>
      <w:r w:rsidR="009453C7" w:rsidRPr="00273F62">
        <w:rPr>
          <w:rFonts w:eastAsiaTheme="minorEastAsia"/>
          <w:noProof/>
          <w:spacing w:val="-8"/>
        </w:rPr>
        <w:t xml:space="preserve"> on</w:t>
      </w:r>
      <w:r w:rsidR="00CD0FEB" w:rsidRPr="00273F62">
        <w:rPr>
          <w:rFonts w:eastAsiaTheme="minorEastAsia"/>
          <w:noProof/>
          <w:spacing w:val="-8"/>
        </w:rPr>
        <w:t xml:space="preserve"> </w:t>
      </w:r>
      <w:r w:rsidR="00CA4CBF">
        <w:rPr>
          <w:rFonts w:eastAsiaTheme="minorEastAsia"/>
          <w:noProof/>
          <w:spacing w:val="-8"/>
        </w:rPr>
        <w:t xml:space="preserve">the </w:t>
      </w:r>
      <w:r w:rsidR="00CD0FEB" w:rsidRPr="00273F62">
        <w:rPr>
          <w:rFonts w:eastAsiaTheme="minorEastAsia"/>
          <w:noProof/>
          <w:spacing w:val="-8"/>
        </w:rPr>
        <w:t>requirements</w:t>
      </w:r>
      <w:r w:rsidR="00A92337" w:rsidRPr="00273F62">
        <w:rPr>
          <w:rFonts w:eastAsiaTheme="minorEastAsia"/>
          <w:noProof/>
          <w:spacing w:val="-8"/>
        </w:rPr>
        <w:t xml:space="preserve"> </w:t>
      </w:r>
      <w:r w:rsidR="009453C7" w:rsidRPr="00273F62">
        <w:rPr>
          <w:rFonts w:eastAsiaTheme="minorEastAsia"/>
          <w:noProof/>
          <w:spacing w:val="-8"/>
        </w:rPr>
        <w:t>regarding</w:t>
      </w:r>
      <w:r w:rsidR="003958BC" w:rsidRPr="00273F62">
        <w:rPr>
          <w:rFonts w:eastAsiaTheme="minorEastAsia"/>
          <w:noProof/>
          <w:spacing w:val="-8"/>
        </w:rPr>
        <w:t xml:space="preserve"> </w:t>
      </w:r>
      <w:r w:rsidRPr="00273F62">
        <w:rPr>
          <w:rFonts w:eastAsiaTheme="minorEastAsia"/>
          <w:noProof/>
          <w:spacing w:val="-8"/>
        </w:rPr>
        <w:t>neutral display (PM1)</w:t>
      </w:r>
      <w:r w:rsidRPr="00273F62">
        <w:rPr>
          <w:rStyle w:val="FootnoteReference"/>
          <w:rFonts w:eastAsiaTheme="minorEastAsia"/>
          <w:noProof/>
          <w:spacing w:val="-8"/>
        </w:rPr>
        <w:footnoteReference w:id="152"/>
      </w:r>
      <w:r w:rsidR="00903668" w:rsidRPr="00273F62">
        <w:rPr>
          <w:rFonts w:eastAsiaTheme="minorEastAsia"/>
          <w:noProof/>
          <w:spacing w:val="-8"/>
        </w:rPr>
        <w:t xml:space="preserve"> </w:t>
      </w:r>
      <w:r w:rsidRPr="00273F62">
        <w:rPr>
          <w:rFonts w:eastAsiaTheme="minorEastAsia"/>
          <w:noProof/>
          <w:spacing w:val="-8"/>
        </w:rPr>
        <w:t xml:space="preserve">and </w:t>
      </w:r>
      <w:r w:rsidR="00CA4CBF">
        <w:rPr>
          <w:rFonts w:eastAsiaTheme="minorEastAsia"/>
          <w:noProof/>
          <w:spacing w:val="-8"/>
        </w:rPr>
        <w:t xml:space="preserve">on the </w:t>
      </w:r>
      <w:r w:rsidR="008713A2" w:rsidRPr="00273F62">
        <w:rPr>
          <w:rFonts w:eastAsiaTheme="minorEastAsia"/>
          <w:noProof/>
          <w:spacing w:val="-8"/>
        </w:rPr>
        <w:t xml:space="preserve">requirements on </w:t>
      </w:r>
      <w:r w:rsidRPr="00273F62">
        <w:rPr>
          <w:rFonts w:eastAsiaTheme="minorEastAsia"/>
          <w:noProof/>
          <w:spacing w:val="-8"/>
        </w:rPr>
        <w:t>GHG emissions (PM8)</w:t>
      </w:r>
      <w:r w:rsidRPr="00273F62">
        <w:rPr>
          <w:rStyle w:val="FootnoteReference"/>
          <w:rFonts w:eastAsiaTheme="minorEastAsia"/>
          <w:noProof/>
          <w:spacing w:val="-8"/>
        </w:rPr>
        <w:footnoteReference w:id="153"/>
      </w:r>
      <w:r w:rsidRPr="00273F62">
        <w:rPr>
          <w:rFonts w:eastAsiaTheme="minorEastAsia"/>
          <w:noProof/>
          <w:spacing w:val="-8"/>
        </w:rPr>
        <w:t xml:space="preserve">. </w:t>
      </w:r>
      <w:r w:rsidR="00156428" w:rsidRPr="00273F62">
        <w:rPr>
          <w:rFonts w:eastAsiaTheme="minorEastAsia"/>
          <w:noProof/>
          <w:spacing w:val="-8"/>
        </w:rPr>
        <w:t xml:space="preserve">These measures </w:t>
      </w:r>
      <w:r w:rsidR="005F4845" w:rsidRPr="00273F62">
        <w:rPr>
          <w:rFonts w:eastAsiaTheme="minorEastAsia"/>
          <w:noProof/>
          <w:spacing w:val="-8"/>
        </w:rPr>
        <w:t>were</w:t>
      </w:r>
      <w:r w:rsidR="005F4845" w:rsidRPr="00844374">
        <w:rPr>
          <w:rFonts w:eastAsiaTheme="minorEastAsia"/>
          <w:noProof/>
          <w:spacing w:val="-8"/>
        </w:rPr>
        <w:t xml:space="preserve"> </w:t>
      </w:r>
      <w:r w:rsidR="00EB658C">
        <w:rPr>
          <w:rFonts w:eastAsiaTheme="minorEastAsia"/>
          <w:noProof/>
          <w:spacing w:val="-8"/>
        </w:rPr>
        <w:t>strongly</w:t>
      </w:r>
      <w:r w:rsidR="005F4845" w:rsidRPr="00273F62">
        <w:rPr>
          <w:rFonts w:eastAsiaTheme="minorEastAsia"/>
          <w:noProof/>
          <w:spacing w:val="-8"/>
        </w:rPr>
        <w:t xml:space="preserve"> supported by n</w:t>
      </w:r>
      <w:r w:rsidR="008713A2" w:rsidRPr="00273F62">
        <w:rPr>
          <w:rFonts w:eastAsiaTheme="minorEastAsia"/>
          <w:noProof/>
          <w:spacing w:val="-8"/>
        </w:rPr>
        <w:t>ational</w:t>
      </w:r>
      <w:r w:rsidRPr="00273F62">
        <w:rPr>
          <w:rFonts w:eastAsiaTheme="minorEastAsia"/>
          <w:noProof/>
          <w:spacing w:val="-8"/>
        </w:rPr>
        <w:t xml:space="preserve"> authorities and the ‘</w:t>
      </w:r>
      <w:r w:rsidR="00643139">
        <w:rPr>
          <w:rFonts w:eastAsiaTheme="minorEastAsia"/>
          <w:noProof/>
          <w:spacing w:val="-8"/>
        </w:rPr>
        <w:t>o</w:t>
      </w:r>
      <w:r w:rsidR="00643139" w:rsidRPr="00273F62">
        <w:rPr>
          <w:rFonts w:eastAsiaTheme="minorEastAsia"/>
          <w:noProof/>
          <w:spacing w:val="-8"/>
        </w:rPr>
        <w:t xml:space="preserve">ther’ </w:t>
      </w:r>
      <w:r w:rsidRPr="00273F62">
        <w:rPr>
          <w:rFonts w:eastAsiaTheme="minorEastAsia"/>
          <w:noProof/>
          <w:spacing w:val="-8"/>
        </w:rPr>
        <w:t>category</w:t>
      </w:r>
      <w:r w:rsidR="00285E4F" w:rsidRPr="00273F62">
        <w:rPr>
          <w:rFonts w:eastAsiaTheme="minorEastAsia"/>
          <w:noProof/>
          <w:spacing w:val="-8"/>
        </w:rPr>
        <w:t xml:space="preserve"> surveyed</w:t>
      </w:r>
      <w:r w:rsidR="005F4845" w:rsidRPr="00273F62">
        <w:rPr>
          <w:rFonts w:eastAsiaTheme="minorEastAsia"/>
          <w:noProof/>
          <w:spacing w:val="-8"/>
        </w:rPr>
        <w:t>,</w:t>
      </w:r>
      <w:r w:rsidRPr="00273F62">
        <w:rPr>
          <w:rFonts w:eastAsiaTheme="minorEastAsia"/>
          <w:noProof/>
          <w:spacing w:val="-8"/>
        </w:rPr>
        <w:t xml:space="preserve"> </w:t>
      </w:r>
      <w:r w:rsidR="005F4845" w:rsidRPr="00273F62">
        <w:rPr>
          <w:rFonts w:eastAsiaTheme="minorEastAsia"/>
          <w:noProof/>
          <w:spacing w:val="-8"/>
        </w:rPr>
        <w:t>percei</w:t>
      </w:r>
      <w:r w:rsidR="0015710C" w:rsidRPr="00273F62">
        <w:rPr>
          <w:rFonts w:eastAsiaTheme="minorEastAsia"/>
          <w:noProof/>
          <w:spacing w:val="-8"/>
        </w:rPr>
        <w:t>ved</w:t>
      </w:r>
      <w:r w:rsidR="005F4845" w:rsidRPr="00273F62">
        <w:rPr>
          <w:rFonts w:eastAsiaTheme="minorEastAsia"/>
          <w:noProof/>
          <w:spacing w:val="-8"/>
        </w:rPr>
        <w:t xml:space="preserve"> as </w:t>
      </w:r>
      <w:r w:rsidRPr="00273F62">
        <w:rPr>
          <w:rFonts w:eastAsiaTheme="minorEastAsia"/>
          <w:noProof/>
          <w:spacing w:val="-8"/>
        </w:rPr>
        <w:t xml:space="preserve">effective in promoting fair competition, enhancing consumer choice, and improving transparency within the transport sector while </w:t>
      </w:r>
      <w:r w:rsidR="0015710C" w:rsidRPr="00273F62">
        <w:rPr>
          <w:rFonts w:eastAsiaTheme="minorEastAsia"/>
          <w:noProof/>
          <w:spacing w:val="-8"/>
        </w:rPr>
        <w:t xml:space="preserve">sometimes </w:t>
      </w:r>
      <w:r w:rsidR="00DC6BE0" w:rsidRPr="00273F62">
        <w:rPr>
          <w:rFonts w:eastAsiaTheme="minorEastAsia"/>
          <w:noProof/>
          <w:spacing w:val="-8"/>
        </w:rPr>
        <w:t>advocating for</w:t>
      </w:r>
      <w:r w:rsidRPr="00273F62">
        <w:rPr>
          <w:rFonts w:eastAsiaTheme="minorEastAsia"/>
          <w:noProof/>
          <w:spacing w:val="-8"/>
        </w:rPr>
        <w:t xml:space="preserve"> more stringent rules</w:t>
      </w:r>
      <w:r w:rsidR="008144DF" w:rsidRPr="00273F62">
        <w:rPr>
          <w:rFonts w:eastAsiaTheme="minorEastAsia"/>
          <w:noProof/>
          <w:spacing w:val="-8"/>
        </w:rPr>
        <w:t xml:space="preserve"> (</w:t>
      </w:r>
      <w:r w:rsidR="0015710C" w:rsidRPr="00273F62">
        <w:rPr>
          <w:rFonts w:eastAsiaTheme="minorEastAsia"/>
          <w:noProof/>
          <w:spacing w:val="-8"/>
        </w:rPr>
        <w:t xml:space="preserve">the </w:t>
      </w:r>
      <w:r w:rsidRPr="00273F62">
        <w:rPr>
          <w:rFonts w:eastAsiaTheme="minorEastAsia"/>
          <w:noProof/>
          <w:spacing w:val="-8"/>
        </w:rPr>
        <w:t xml:space="preserve">NGO T&amp;E called for </w:t>
      </w:r>
      <w:r w:rsidR="00D525A6" w:rsidRPr="00273F62">
        <w:rPr>
          <w:rFonts w:eastAsiaTheme="minorEastAsia"/>
          <w:noProof/>
          <w:spacing w:val="-8"/>
        </w:rPr>
        <w:t>mandat</w:t>
      </w:r>
      <w:r w:rsidR="008144DF" w:rsidRPr="00273F62">
        <w:rPr>
          <w:rFonts w:eastAsiaTheme="minorEastAsia"/>
          <w:noProof/>
          <w:spacing w:val="-8"/>
        </w:rPr>
        <w:t>ory</w:t>
      </w:r>
      <w:r w:rsidRPr="00273F62">
        <w:rPr>
          <w:rFonts w:eastAsiaTheme="minorEastAsia"/>
          <w:noProof/>
          <w:spacing w:val="-8"/>
        </w:rPr>
        <w:t xml:space="preserve"> display of GHG emissions on platforms, even when data is not shared by operator</w:t>
      </w:r>
      <w:r w:rsidR="00EA01AE" w:rsidRPr="00273F62">
        <w:rPr>
          <w:rFonts w:eastAsiaTheme="minorEastAsia"/>
          <w:noProof/>
          <w:spacing w:val="-8"/>
        </w:rPr>
        <w:t>s</w:t>
      </w:r>
      <w:r w:rsidR="008144DF" w:rsidRPr="00273F62">
        <w:rPr>
          <w:rFonts w:eastAsiaTheme="minorEastAsia"/>
          <w:noProof/>
          <w:spacing w:val="-8"/>
        </w:rPr>
        <w:t>)</w:t>
      </w:r>
      <w:r w:rsidRPr="00273F62">
        <w:rPr>
          <w:rFonts w:eastAsiaTheme="minorEastAsia"/>
          <w:noProof/>
          <w:spacing w:val="-8"/>
        </w:rPr>
        <w:t xml:space="preserve">. </w:t>
      </w:r>
      <w:r w:rsidR="001358ED" w:rsidRPr="00273F62">
        <w:rPr>
          <w:noProof/>
          <w:spacing w:val="-8"/>
        </w:rPr>
        <w:t>RU</w:t>
      </w:r>
      <w:r w:rsidR="002C07B8" w:rsidRPr="00273F62">
        <w:rPr>
          <w:rFonts w:eastAsiaTheme="minorEastAsia"/>
          <w:noProof/>
          <w:spacing w:val="-8"/>
        </w:rPr>
        <w:t>s</w:t>
      </w:r>
      <w:r w:rsidR="00F155A8" w:rsidRPr="00273F62">
        <w:rPr>
          <w:rFonts w:eastAsiaTheme="minorEastAsia"/>
          <w:noProof/>
          <w:spacing w:val="-8"/>
        </w:rPr>
        <w:t xml:space="preserve"> </w:t>
      </w:r>
      <w:r w:rsidR="001F0A86" w:rsidRPr="00273F62">
        <w:rPr>
          <w:rFonts w:eastAsiaTheme="minorEastAsia"/>
          <w:noProof/>
          <w:spacing w:val="-8"/>
        </w:rPr>
        <w:t>and MDMS platforms</w:t>
      </w:r>
      <w:r w:rsidR="002C07B8" w:rsidRPr="00273F62">
        <w:rPr>
          <w:rFonts w:eastAsiaTheme="minorEastAsia"/>
          <w:noProof/>
          <w:spacing w:val="-8"/>
        </w:rPr>
        <w:t xml:space="preserve"> </w:t>
      </w:r>
      <w:r w:rsidR="00CD089B" w:rsidRPr="00273F62">
        <w:rPr>
          <w:rFonts w:eastAsiaTheme="minorEastAsia"/>
          <w:noProof/>
          <w:spacing w:val="-8"/>
        </w:rPr>
        <w:t>active in rail</w:t>
      </w:r>
      <w:r w:rsidR="000E5807" w:rsidRPr="00273F62">
        <w:rPr>
          <w:rFonts w:eastAsiaTheme="minorEastAsia"/>
          <w:noProof/>
          <w:spacing w:val="-8"/>
        </w:rPr>
        <w:t>, t</w:t>
      </w:r>
      <w:r w:rsidR="00A60F1B" w:rsidRPr="00273F62">
        <w:rPr>
          <w:rFonts w:eastAsiaTheme="minorEastAsia"/>
          <w:noProof/>
          <w:spacing w:val="-8"/>
        </w:rPr>
        <w:t>aking</w:t>
      </w:r>
      <w:r w:rsidR="000E5807" w:rsidRPr="00273F62">
        <w:rPr>
          <w:rFonts w:eastAsiaTheme="minorEastAsia"/>
          <w:noProof/>
          <w:spacing w:val="-8"/>
        </w:rPr>
        <w:t xml:space="preserve"> part in the survey</w:t>
      </w:r>
      <w:r w:rsidR="0085497D">
        <w:rPr>
          <w:rFonts w:eastAsiaTheme="minorEastAsia"/>
          <w:noProof/>
          <w:spacing w:val="-8"/>
        </w:rPr>
        <w:t xml:space="preserve"> and interviews</w:t>
      </w:r>
      <w:r w:rsidR="000E5807" w:rsidRPr="00273F62">
        <w:rPr>
          <w:rFonts w:eastAsiaTheme="minorEastAsia"/>
          <w:noProof/>
          <w:spacing w:val="-8"/>
        </w:rPr>
        <w:t>,</w:t>
      </w:r>
      <w:r w:rsidR="00CD089B" w:rsidRPr="00273F62">
        <w:rPr>
          <w:rFonts w:eastAsiaTheme="minorEastAsia"/>
          <w:noProof/>
          <w:spacing w:val="-8"/>
        </w:rPr>
        <w:t xml:space="preserve"> </w:t>
      </w:r>
      <w:r w:rsidR="0044612D" w:rsidRPr="00273F62">
        <w:rPr>
          <w:rFonts w:eastAsiaTheme="minorEastAsia"/>
          <w:noProof/>
          <w:spacing w:val="-8"/>
        </w:rPr>
        <w:t xml:space="preserve">also </w:t>
      </w:r>
      <w:r w:rsidR="005A19EB" w:rsidRPr="00273F62">
        <w:rPr>
          <w:rFonts w:eastAsiaTheme="minorEastAsia"/>
          <w:noProof/>
          <w:spacing w:val="-8"/>
        </w:rPr>
        <w:t xml:space="preserve">supported the introduction of GHG </w:t>
      </w:r>
      <w:r w:rsidR="00F155A8" w:rsidRPr="00273F62">
        <w:rPr>
          <w:rFonts w:eastAsiaTheme="minorEastAsia"/>
          <w:noProof/>
          <w:spacing w:val="-8"/>
        </w:rPr>
        <w:t>requirements</w:t>
      </w:r>
      <w:r w:rsidR="0044612D" w:rsidRPr="00273F62">
        <w:rPr>
          <w:rStyle w:val="FootnoteReference"/>
          <w:rFonts w:eastAsiaTheme="minorEastAsia"/>
          <w:noProof/>
          <w:spacing w:val="-8"/>
        </w:rPr>
        <w:footnoteReference w:id="154"/>
      </w:r>
      <w:r w:rsidR="00F155A8" w:rsidRPr="00273F62">
        <w:rPr>
          <w:rFonts w:eastAsiaTheme="minorEastAsia"/>
          <w:noProof/>
          <w:spacing w:val="-8"/>
        </w:rPr>
        <w:t>, provided</w:t>
      </w:r>
      <w:r w:rsidR="00B86CC8" w:rsidRPr="00273F62">
        <w:rPr>
          <w:rFonts w:eastAsiaTheme="minorEastAsia"/>
          <w:noProof/>
          <w:spacing w:val="-8"/>
        </w:rPr>
        <w:t xml:space="preserve"> that </w:t>
      </w:r>
      <w:r w:rsidR="000151C8" w:rsidRPr="00273F62">
        <w:rPr>
          <w:rFonts w:eastAsiaTheme="minorEastAsia"/>
          <w:noProof/>
          <w:spacing w:val="-8"/>
        </w:rPr>
        <w:t>the data are easily comparable</w:t>
      </w:r>
      <w:r w:rsidR="00427259" w:rsidRPr="00273F62">
        <w:rPr>
          <w:rStyle w:val="FootnoteReference"/>
          <w:rFonts w:eastAsiaTheme="minorEastAsia"/>
          <w:noProof/>
          <w:spacing w:val="-8"/>
        </w:rPr>
        <w:footnoteReference w:id="155"/>
      </w:r>
      <w:r w:rsidR="00427259" w:rsidRPr="00273F62">
        <w:rPr>
          <w:rFonts w:eastAsiaTheme="minorEastAsia"/>
          <w:noProof/>
          <w:spacing w:val="-8"/>
        </w:rPr>
        <w:t>.</w:t>
      </w:r>
      <w:r w:rsidR="00CE25E7" w:rsidRPr="00273F62">
        <w:rPr>
          <w:rFonts w:eastAsiaTheme="minorEastAsia"/>
          <w:noProof/>
          <w:spacing w:val="-8"/>
        </w:rPr>
        <w:t xml:space="preserve"> </w:t>
      </w:r>
      <w:r w:rsidR="00D35E6E" w:rsidRPr="00273F62">
        <w:rPr>
          <w:rFonts w:eastAsiaTheme="minorEastAsia"/>
          <w:noProof/>
          <w:spacing w:val="-8"/>
        </w:rPr>
        <w:t xml:space="preserve">Three </w:t>
      </w:r>
      <w:r w:rsidR="00CE25E7" w:rsidRPr="00273F62">
        <w:rPr>
          <w:rFonts w:eastAsiaTheme="minorEastAsia"/>
          <w:noProof/>
          <w:spacing w:val="-8"/>
        </w:rPr>
        <w:t>MDMS platforms added that</w:t>
      </w:r>
      <w:r w:rsidR="006453C8" w:rsidRPr="00273F62">
        <w:rPr>
          <w:rFonts w:eastAsiaTheme="minorEastAsia"/>
          <w:noProof/>
          <w:spacing w:val="-8"/>
        </w:rPr>
        <w:t>,</w:t>
      </w:r>
      <w:r w:rsidR="00CE25E7" w:rsidRPr="00273F62">
        <w:rPr>
          <w:rFonts w:eastAsiaTheme="minorEastAsia"/>
          <w:noProof/>
          <w:spacing w:val="-8"/>
        </w:rPr>
        <w:t xml:space="preserve"> to be </w:t>
      </w:r>
      <w:r w:rsidR="0061203D">
        <w:rPr>
          <w:rFonts w:eastAsiaTheme="minorEastAsia"/>
          <w:noProof/>
          <w:spacing w:val="-8"/>
        </w:rPr>
        <w:t>effective</w:t>
      </w:r>
      <w:r w:rsidR="00CE25E7" w:rsidRPr="00273F62">
        <w:rPr>
          <w:rFonts w:eastAsiaTheme="minorEastAsia"/>
          <w:noProof/>
          <w:spacing w:val="-8"/>
        </w:rPr>
        <w:t>, the data must be shared by operators</w:t>
      </w:r>
      <w:r w:rsidR="001A5EC8" w:rsidRPr="00273F62">
        <w:rPr>
          <w:rFonts w:eastAsiaTheme="minorEastAsia"/>
          <w:noProof/>
          <w:spacing w:val="-8"/>
        </w:rPr>
        <w:t xml:space="preserve"> consistently</w:t>
      </w:r>
      <w:r w:rsidR="00CE25E7" w:rsidRPr="00273F62">
        <w:rPr>
          <w:rFonts w:eastAsiaTheme="minorEastAsia"/>
          <w:noProof/>
          <w:spacing w:val="-8"/>
        </w:rPr>
        <w:t xml:space="preserve">, </w:t>
      </w:r>
      <w:r w:rsidR="00D35F01" w:rsidRPr="00273F62">
        <w:rPr>
          <w:rFonts w:eastAsiaTheme="minorEastAsia"/>
          <w:noProof/>
          <w:spacing w:val="-8"/>
        </w:rPr>
        <w:t xml:space="preserve">which remains a challenge. </w:t>
      </w:r>
      <w:r w:rsidR="009B6E95" w:rsidRPr="00273F62">
        <w:rPr>
          <w:rFonts w:eastAsiaTheme="minorEastAsia"/>
          <w:noProof/>
          <w:spacing w:val="-8"/>
        </w:rPr>
        <w:t xml:space="preserve">Three national authorities also believed consumers might show limited interest in GHG emissions when making booking decision. </w:t>
      </w:r>
    </w:p>
    <w:p w14:paraId="473B9E15" w14:textId="47906939" w:rsidR="00FA10A0" w:rsidRPr="00273F62" w:rsidRDefault="00D45BC4" w:rsidP="003D3B5F">
      <w:pPr>
        <w:pStyle w:val="BodyText"/>
        <w:spacing w:after="240"/>
        <w:ind w:left="0"/>
        <w:rPr>
          <w:rFonts w:eastAsiaTheme="minorEastAsia"/>
          <w:noProof/>
          <w:spacing w:val="-8"/>
        </w:rPr>
      </w:pPr>
      <w:r w:rsidRPr="00273F62">
        <w:rPr>
          <w:rFonts w:eastAsiaTheme="minorEastAsia"/>
          <w:noProof/>
          <w:spacing w:val="-8"/>
        </w:rPr>
        <w:t xml:space="preserve">In addition, </w:t>
      </w:r>
      <w:r w:rsidR="004810FB" w:rsidRPr="00273F62">
        <w:rPr>
          <w:noProof/>
          <w:spacing w:val="-8"/>
        </w:rPr>
        <w:t>p</w:t>
      </w:r>
      <w:r w:rsidRPr="00273F62">
        <w:rPr>
          <w:noProof/>
          <w:spacing w:val="-8"/>
        </w:rPr>
        <w:t>articipants of the OPC for MDMS were asked how important different measures are in their opinion to ensure fair access for all operators to relevant multimodal digital mobility services platforms. The outcome is far more favourable than the</w:t>
      </w:r>
      <w:r w:rsidR="008C1A31" w:rsidRPr="00273F62">
        <w:rPr>
          <w:noProof/>
          <w:spacing w:val="-8"/>
        </w:rPr>
        <w:t xml:space="preserve"> stakeholder</w:t>
      </w:r>
      <w:r w:rsidRPr="00273F62">
        <w:rPr>
          <w:noProof/>
          <w:spacing w:val="-8"/>
        </w:rPr>
        <w:t xml:space="preserve"> survey</w:t>
      </w:r>
      <w:r w:rsidR="005C410E">
        <w:rPr>
          <w:noProof/>
          <w:spacing w:val="-8"/>
        </w:rPr>
        <w:t xml:space="preserve"> results</w:t>
      </w:r>
      <w:r w:rsidRPr="00273F62">
        <w:rPr>
          <w:noProof/>
          <w:spacing w:val="-8"/>
        </w:rPr>
        <w:t>,</w:t>
      </w:r>
      <w:r w:rsidR="00147169" w:rsidRPr="00273F62">
        <w:rPr>
          <w:noProof/>
          <w:spacing w:val="-8"/>
        </w:rPr>
        <w:t xml:space="preserve"> especially regarding neutral display</w:t>
      </w:r>
      <w:r w:rsidRPr="00273F62">
        <w:rPr>
          <w:noProof/>
          <w:spacing w:val="-8"/>
        </w:rPr>
        <w:t xml:space="preserve"> with 149 out of 169 respondents indicating tha</w:t>
      </w:r>
      <w:r w:rsidR="003D3D50" w:rsidRPr="00273F62">
        <w:rPr>
          <w:noProof/>
          <w:spacing w:val="-8"/>
        </w:rPr>
        <w:t xml:space="preserve">t this </w:t>
      </w:r>
      <w:r w:rsidRPr="00273F62">
        <w:rPr>
          <w:noProof/>
          <w:spacing w:val="-8"/>
        </w:rPr>
        <w:t xml:space="preserve">policy measure is important to ensure fair access for operators. Only 13 respondents found it not important. Moreover, 70 out of 80 respondents from industry </w:t>
      </w:r>
      <w:r w:rsidRPr="00844374">
        <w:rPr>
          <w:noProof/>
          <w:spacing w:val="-8"/>
        </w:rPr>
        <w:t xml:space="preserve">indicated it to be important versus only 7 who found it not important. </w:t>
      </w:r>
      <w:r w:rsidR="008A4D15">
        <w:rPr>
          <w:rFonts w:eastAsiaTheme="minorEastAsia"/>
          <w:noProof/>
          <w:spacing w:val="-8"/>
        </w:rPr>
        <w:t>During interviews</w:t>
      </w:r>
      <w:r w:rsidR="008A4D15" w:rsidRPr="00BE4605">
        <w:rPr>
          <w:rFonts w:eastAsiaTheme="minorEastAsia"/>
          <w:noProof/>
          <w:spacing w:val="-8"/>
        </w:rPr>
        <w:t>, the update of the Code of Conduct neutral display rules has been positively perceived by a majority of airlines</w:t>
      </w:r>
      <w:r w:rsidR="008A4D15">
        <w:rPr>
          <w:rFonts w:eastAsiaTheme="minorEastAsia"/>
          <w:noProof/>
          <w:spacing w:val="-8"/>
        </w:rPr>
        <w:t xml:space="preserve"> interviewed</w:t>
      </w:r>
      <w:r w:rsidR="008A4D15" w:rsidRPr="00BE4605">
        <w:rPr>
          <w:rFonts w:eastAsiaTheme="minorEastAsia"/>
          <w:noProof/>
          <w:spacing w:val="-8"/>
        </w:rPr>
        <w:t xml:space="preserve">, Westbahn and EPF, who viewed it as an </w:t>
      </w:r>
      <w:r w:rsidR="008A4D15">
        <w:rPr>
          <w:rFonts w:eastAsiaTheme="minorEastAsia"/>
          <w:noProof/>
          <w:spacing w:val="-8"/>
        </w:rPr>
        <w:t>effective</w:t>
      </w:r>
      <w:r w:rsidR="008A4D15" w:rsidRPr="00273F62">
        <w:rPr>
          <w:rFonts w:eastAsiaTheme="minorEastAsia"/>
          <w:noProof/>
          <w:spacing w:val="-8"/>
        </w:rPr>
        <w:t xml:space="preserve"> </w:t>
      </w:r>
      <w:r w:rsidR="008A4D15" w:rsidRPr="00BE4605">
        <w:rPr>
          <w:rFonts w:eastAsiaTheme="minorEastAsia"/>
          <w:noProof/>
          <w:spacing w:val="-8"/>
        </w:rPr>
        <w:t>way to ensure a level playing field and avoid the distortion of information on platforms</w:t>
      </w:r>
      <w:r w:rsidR="008A4D15" w:rsidRPr="00BE4605">
        <w:rPr>
          <w:rStyle w:val="FootnoteReference"/>
          <w:rFonts w:eastAsiaTheme="minorEastAsia"/>
          <w:noProof/>
          <w:spacing w:val="-8"/>
        </w:rPr>
        <w:footnoteReference w:id="156"/>
      </w:r>
      <w:r w:rsidR="008A4D15" w:rsidRPr="00BE4605">
        <w:rPr>
          <w:rFonts w:eastAsiaTheme="minorEastAsia"/>
          <w:noProof/>
          <w:spacing w:val="-8"/>
        </w:rPr>
        <w:t>. By contrast, one airline and one OTA raised in interviews concerns about the relevance and enforceability for B2C platforms</w:t>
      </w:r>
      <w:r w:rsidR="008A4D15">
        <w:rPr>
          <w:rFonts w:eastAsiaTheme="minorEastAsia"/>
          <w:noProof/>
          <w:spacing w:val="-8"/>
        </w:rPr>
        <w:t xml:space="preserve">, and that </w:t>
      </w:r>
      <w:r w:rsidR="008A4D15" w:rsidRPr="00273F62">
        <w:rPr>
          <w:rFonts w:eastAsiaTheme="minorEastAsia"/>
          <w:noProof/>
          <w:spacing w:val="-8"/>
        </w:rPr>
        <w:t>imposing neutral display requirements could paradoxically reduce competition by homogenising offerings and eroding the ability of such platforms to differentiate</w:t>
      </w:r>
      <w:r w:rsidR="008A4D15" w:rsidRPr="00BE4605">
        <w:rPr>
          <w:rFonts w:eastAsiaTheme="minorEastAsia"/>
          <w:noProof/>
          <w:spacing w:val="-8"/>
        </w:rPr>
        <w:t xml:space="preserve">. </w:t>
      </w:r>
      <w:r w:rsidR="00955FA1" w:rsidRPr="00273F62">
        <w:rPr>
          <w:rFonts w:eastAsiaTheme="minorEastAsia"/>
          <w:noProof/>
          <w:spacing w:val="-8"/>
        </w:rPr>
        <w:t>T</w:t>
      </w:r>
      <w:r w:rsidR="00E75A00" w:rsidRPr="00273F62">
        <w:rPr>
          <w:rFonts w:eastAsiaTheme="minorEastAsia"/>
          <w:noProof/>
          <w:spacing w:val="-8"/>
        </w:rPr>
        <w:t xml:space="preserve">he prospect of establishing a neutral body to oversee aspects of the MDMS ecosystem </w:t>
      </w:r>
      <w:r w:rsidR="00371FE3" w:rsidRPr="00273F62">
        <w:rPr>
          <w:rFonts w:eastAsiaTheme="minorEastAsia"/>
          <w:noProof/>
          <w:spacing w:val="-8"/>
        </w:rPr>
        <w:t xml:space="preserve">(the national body </w:t>
      </w:r>
      <w:r w:rsidR="00A32E34" w:rsidRPr="00273F62">
        <w:rPr>
          <w:rFonts w:eastAsiaTheme="minorEastAsia"/>
          <w:noProof/>
          <w:spacing w:val="-8"/>
        </w:rPr>
        <w:t>to be appointed under PM6)</w:t>
      </w:r>
      <w:r w:rsidR="00E75A00" w:rsidRPr="00273F62">
        <w:rPr>
          <w:rFonts w:eastAsiaTheme="minorEastAsia"/>
          <w:noProof/>
          <w:spacing w:val="-8"/>
        </w:rPr>
        <w:t xml:space="preserve"> </w:t>
      </w:r>
      <w:r w:rsidR="00D76B66" w:rsidRPr="00273F62">
        <w:rPr>
          <w:rFonts w:eastAsiaTheme="minorEastAsia"/>
          <w:noProof/>
          <w:spacing w:val="-8"/>
        </w:rPr>
        <w:t>was supported by stakeholders</w:t>
      </w:r>
      <w:r w:rsidR="00DA79B8" w:rsidRPr="00273F62">
        <w:rPr>
          <w:rFonts w:eastAsiaTheme="minorEastAsia"/>
          <w:noProof/>
          <w:spacing w:val="-8"/>
        </w:rPr>
        <w:t xml:space="preserve"> surveyed</w:t>
      </w:r>
      <w:r w:rsidR="00D76B66" w:rsidRPr="00273F62">
        <w:rPr>
          <w:rFonts w:eastAsiaTheme="minorEastAsia"/>
          <w:noProof/>
          <w:spacing w:val="-8"/>
        </w:rPr>
        <w:t>, with 36 of 71 finding PM6 effective</w:t>
      </w:r>
      <w:r w:rsidR="004402B7">
        <w:rPr>
          <w:rStyle w:val="FootnoteReference"/>
          <w:rFonts w:eastAsiaTheme="minorEastAsia"/>
          <w:noProof/>
          <w:spacing w:val="-8"/>
        </w:rPr>
        <w:footnoteReference w:id="157"/>
      </w:r>
      <w:r w:rsidR="00654433">
        <w:rPr>
          <w:rFonts w:eastAsiaTheme="minorEastAsia"/>
          <w:noProof/>
          <w:spacing w:val="-8"/>
        </w:rPr>
        <w:t xml:space="preserve"> in the targeted survey</w:t>
      </w:r>
      <w:r w:rsidR="00383B4A" w:rsidRPr="00273F62">
        <w:rPr>
          <w:rFonts w:eastAsiaTheme="minorEastAsia"/>
          <w:noProof/>
          <w:spacing w:val="-8"/>
        </w:rPr>
        <w:t>.</w:t>
      </w:r>
      <w:r w:rsidR="007A7DBA" w:rsidRPr="00273F62">
        <w:rPr>
          <w:rFonts w:eastAsiaTheme="minorEastAsia"/>
          <w:noProof/>
          <w:spacing w:val="-8"/>
        </w:rPr>
        <w:t xml:space="preserve"> </w:t>
      </w:r>
      <w:r w:rsidR="000A5CD5">
        <w:rPr>
          <w:rFonts w:eastAsiaTheme="minorEastAsia"/>
          <w:noProof/>
          <w:spacing w:val="-8"/>
        </w:rPr>
        <w:t>Transport operators appeared to be the most supportive</w:t>
      </w:r>
      <w:r w:rsidR="005723B7">
        <w:rPr>
          <w:rFonts w:eastAsiaTheme="minorEastAsia"/>
          <w:noProof/>
          <w:spacing w:val="-8"/>
        </w:rPr>
        <w:t xml:space="preserve"> group</w:t>
      </w:r>
      <w:r w:rsidR="000A5CD5">
        <w:rPr>
          <w:rFonts w:eastAsiaTheme="minorEastAsia"/>
          <w:noProof/>
          <w:spacing w:val="-8"/>
        </w:rPr>
        <w:t xml:space="preserve">, with </w:t>
      </w:r>
      <w:r w:rsidR="005723B7">
        <w:rPr>
          <w:rFonts w:eastAsiaTheme="minorEastAsia"/>
          <w:noProof/>
          <w:spacing w:val="-8"/>
        </w:rPr>
        <w:t xml:space="preserve">19 of 29 finding it effective and none finding it ineffective. </w:t>
      </w:r>
      <w:r w:rsidR="006C76AA" w:rsidRPr="00273F62">
        <w:rPr>
          <w:rFonts w:eastAsiaTheme="minorEastAsia"/>
          <w:noProof/>
          <w:spacing w:val="-8"/>
        </w:rPr>
        <w:t xml:space="preserve">During interviews, </w:t>
      </w:r>
      <w:r w:rsidR="00063F7B" w:rsidRPr="00273F62">
        <w:rPr>
          <w:rFonts w:eastAsiaTheme="minorEastAsia"/>
          <w:noProof/>
          <w:spacing w:val="-8"/>
        </w:rPr>
        <w:t xml:space="preserve">some </w:t>
      </w:r>
      <w:r w:rsidR="006C76AA" w:rsidRPr="00273F62">
        <w:rPr>
          <w:rFonts w:eastAsiaTheme="minorEastAsia"/>
          <w:noProof/>
          <w:spacing w:val="-8"/>
        </w:rPr>
        <w:t xml:space="preserve">stakeholders from all </w:t>
      </w:r>
      <w:r w:rsidR="00EF0984" w:rsidRPr="00273F62">
        <w:rPr>
          <w:rFonts w:eastAsiaTheme="minorEastAsia"/>
          <w:noProof/>
          <w:spacing w:val="-8"/>
        </w:rPr>
        <w:t>stakeholder groups supported the creation of such an entity</w:t>
      </w:r>
      <w:r w:rsidR="003A4AFA" w:rsidRPr="00273F62">
        <w:rPr>
          <w:rFonts w:eastAsiaTheme="minorEastAsia"/>
          <w:noProof/>
          <w:spacing w:val="-8"/>
        </w:rPr>
        <w:t> emphasi</w:t>
      </w:r>
      <w:r w:rsidR="00713530" w:rsidRPr="00273F62">
        <w:rPr>
          <w:rFonts w:eastAsiaTheme="minorEastAsia"/>
          <w:noProof/>
          <w:spacing w:val="-8"/>
        </w:rPr>
        <w:t>zing</w:t>
      </w:r>
      <w:r w:rsidR="003A4AFA" w:rsidRPr="00273F62">
        <w:rPr>
          <w:rFonts w:eastAsiaTheme="minorEastAsia"/>
          <w:noProof/>
          <w:spacing w:val="-8"/>
        </w:rPr>
        <w:t xml:space="preserve"> its potential to ensure market fairness, resolve disputes efficiently, and foster cross-border consistency in enforcement and governance</w:t>
      </w:r>
      <w:r w:rsidR="005A5C26" w:rsidRPr="00273F62">
        <w:rPr>
          <w:rFonts w:eastAsiaTheme="minorEastAsia"/>
          <w:noProof/>
          <w:spacing w:val="-8"/>
          <w:vertAlign w:val="superscript"/>
        </w:rPr>
        <w:footnoteReference w:id="158"/>
      </w:r>
      <w:r w:rsidR="00A63B6F">
        <w:rPr>
          <w:rFonts w:eastAsiaTheme="minorEastAsia"/>
          <w:noProof/>
          <w:spacing w:val="-8"/>
        </w:rPr>
        <w:t>.</w:t>
      </w:r>
      <w:r w:rsidR="00A45B7C" w:rsidRPr="00273F62">
        <w:rPr>
          <w:rFonts w:eastAsiaTheme="minorEastAsia"/>
          <w:noProof/>
          <w:spacing w:val="-8"/>
        </w:rPr>
        <w:t xml:space="preserve"> </w:t>
      </w:r>
      <w:r w:rsidR="00FF2D73" w:rsidRPr="00273F62">
        <w:rPr>
          <w:rFonts w:eastAsiaTheme="minorEastAsia"/>
          <w:noProof/>
          <w:spacing w:val="-8"/>
        </w:rPr>
        <w:t>More critical</w:t>
      </w:r>
      <w:r w:rsidR="00990E2F" w:rsidRPr="00273F62">
        <w:rPr>
          <w:rFonts w:eastAsiaTheme="minorEastAsia"/>
          <w:noProof/>
          <w:spacing w:val="-8"/>
        </w:rPr>
        <w:t>ly</w:t>
      </w:r>
      <w:r w:rsidR="00FF2D73" w:rsidRPr="00273F62">
        <w:rPr>
          <w:rFonts w:eastAsiaTheme="minorEastAsia"/>
          <w:noProof/>
          <w:spacing w:val="-8"/>
        </w:rPr>
        <w:t xml:space="preserve">, </w:t>
      </w:r>
      <w:r w:rsidR="00FE2F4A">
        <w:rPr>
          <w:rFonts w:eastAsiaTheme="minorEastAsia"/>
          <w:noProof/>
          <w:spacing w:val="-8"/>
        </w:rPr>
        <w:t>some indispensable RUs</w:t>
      </w:r>
      <w:r w:rsidR="00FF2D73" w:rsidRPr="00273F62">
        <w:rPr>
          <w:rFonts w:eastAsiaTheme="minorEastAsia"/>
          <w:noProof/>
          <w:spacing w:val="-8"/>
        </w:rPr>
        <w:t xml:space="preserve"> and </w:t>
      </w:r>
      <w:r w:rsidR="00FE2F4A">
        <w:rPr>
          <w:rFonts w:eastAsiaTheme="minorEastAsia"/>
          <w:noProof/>
          <w:spacing w:val="-8"/>
        </w:rPr>
        <w:t>MDMS platforms</w:t>
      </w:r>
      <w:r w:rsidR="002D0213" w:rsidRPr="00273F62">
        <w:rPr>
          <w:rFonts w:eastAsiaTheme="minorEastAsia"/>
          <w:noProof/>
          <w:spacing w:val="-8"/>
        </w:rPr>
        <w:t xml:space="preserve"> </w:t>
      </w:r>
      <w:r w:rsidR="005B62BF" w:rsidRPr="00273F62">
        <w:rPr>
          <w:rFonts w:eastAsiaTheme="minorEastAsia"/>
          <w:noProof/>
          <w:spacing w:val="-8"/>
        </w:rPr>
        <w:t>questioned the</w:t>
      </w:r>
      <w:r w:rsidR="001D7773" w:rsidRPr="00273F62">
        <w:rPr>
          <w:rFonts w:eastAsiaTheme="minorEastAsia"/>
          <w:noProof/>
          <w:spacing w:val="-8"/>
        </w:rPr>
        <w:t xml:space="preserve"> </w:t>
      </w:r>
      <w:r w:rsidR="000B5A2D" w:rsidRPr="00BE4605">
        <w:rPr>
          <w:rFonts w:eastAsiaTheme="minorEastAsia"/>
          <w:noProof/>
          <w:spacing w:val="-8"/>
        </w:rPr>
        <w:t xml:space="preserve">effectiveness </w:t>
      </w:r>
      <w:r w:rsidR="00FE2F4A">
        <w:rPr>
          <w:rFonts w:eastAsiaTheme="minorEastAsia"/>
          <w:noProof/>
          <w:spacing w:val="-8"/>
        </w:rPr>
        <w:t xml:space="preserve">or </w:t>
      </w:r>
      <w:r w:rsidR="001D7773" w:rsidRPr="00273F62">
        <w:rPr>
          <w:rFonts w:eastAsiaTheme="minorEastAsia"/>
          <w:noProof/>
          <w:spacing w:val="-8"/>
        </w:rPr>
        <w:t xml:space="preserve">practical utility </w:t>
      </w:r>
      <w:r w:rsidR="000B5A2D" w:rsidRPr="00273F62">
        <w:rPr>
          <w:rFonts w:eastAsiaTheme="minorEastAsia"/>
          <w:noProof/>
          <w:spacing w:val="-8"/>
        </w:rPr>
        <w:t>of such an institution</w:t>
      </w:r>
      <w:r w:rsidR="00B44779" w:rsidRPr="00273F62">
        <w:rPr>
          <w:rStyle w:val="FootnoteReference"/>
          <w:rFonts w:eastAsiaTheme="minorEastAsia"/>
          <w:noProof/>
          <w:spacing w:val="-8"/>
        </w:rPr>
        <w:footnoteReference w:id="159"/>
      </w:r>
      <w:r w:rsidR="000B5A2D" w:rsidRPr="00273F62">
        <w:rPr>
          <w:rFonts w:eastAsiaTheme="minorEastAsia"/>
          <w:noProof/>
          <w:spacing w:val="-8"/>
        </w:rPr>
        <w:t>. </w:t>
      </w:r>
      <w:r w:rsidR="006A3A72" w:rsidRPr="00BE4605">
        <w:rPr>
          <w:rFonts w:eastAsiaTheme="minorEastAsia"/>
          <w:noProof/>
          <w:spacing w:val="-8"/>
        </w:rPr>
        <w:t xml:space="preserve"> </w:t>
      </w:r>
    </w:p>
    <w:p w14:paraId="7D436B2A" w14:textId="3FFD10C7" w:rsidR="003D3B5F" w:rsidRPr="00273F62" w:rsidRDefault="007A7DBA" w:rsidP="003D3B5F">
      <w:pPr>
        <w:pStyle w:val="BodyText"/>
        <w:spacing w:after="240"/>
        <w:ind w:left="0"/>
        <w:rPr>
          <w:rFonts w:eastAsiaTheme="minorEastAsia"/>
          <w:noProof/>
          <w:spacing w:val="-8"/>
        </w:rPr>
      </w:pPr>
      <w:r w:rsidRPr="00273F62">
        <w:rPr>
          <w:rFonts w:eastAsiaTheme="minorEastAsia"/>
          <w:noProof/>
          <w:spacing w:val="-8"/>
        </w:rPr>
        <w:t>Finally</w:t>
      </w:r>
      <w:r w:rsidR="003D3B5F" w:rsidRPr="00273F62">
        <w:rPr>
          <w:rFonts w:eastAsiaTheme="minorEastAsia"/>
          <w:noProof/>
          <w:spacing w:val="-8"/>
        </w:rPr>
        <w:t xml:space="preserve">, 31 out of 69 stakeholders </w:t>
      </w:r>
      <w:r w:rsidR="008C3B49" w:rsidRPr="00273F62">
        <w:rPr>
          <w:rFonts w:eastAsiaTheme="minorEastAsia"/>
          <w:noProof/>
          <w:spacing w:val="-8"/>
        </w:rPr>
        <w:t>surveyed</w:t>
      </w:r>
      <w:r w:rsidR="003D3B5F" w:rsidRPr="00273F62">
        <w:rPr>
          <w:rFonts w:eastAsiaTheme="minorEastAsia"/>
          <w:noProof/>
          <w:spacing w:val="-8"/>
        </w:rPr>
        <w:t xml:space="preserve"> expected PM11 to be effective and 36 expected PM1</w:t>
      </w:r>
      <w:r w:rsidR="005705BE" w:rsidRPr="00273F62">
        <w:rPr>
          <w:rFonts w:eastAsiaTheme="minorEastAsia"/>
          <w:noProof/>
          <w:spacing w:val="-8"/>
        </w:rPr>
        <w:t>2</w:t>
      </w:r>
      <w:r w:rsidR="003D3B5F" w:rsidRPr="00273F62">
        <w:rPr>
          <w:rFonts w:eastAsiaTheme="minorEastAsia"/>
          <w:noProof/>
          <w:spacing w:val="-8"/>
        </w:rPr>
        <w:t xml:space="preserve"> </w:t>
      </w:r>
      <w:r w:rsidR="00091CF8">
        <w:rPr>
          <w:rFonts w:eastAsiaTheme="minorEastAsia"/>
          <w:noProof/>
          <w:spacing w:val="-8"/>
        </w:rPr>
        <w:t>have a neutral effect</w:t>
      </w:r>
      <w:r w:rsidR="003D3B5F" w:rsidRPr="00BE4605">
        <w:rPr>
          <w:rFonts w:eastAsiaTheme="minorEastAsia"/>
          <w:noProof/>
          <w:spacing w:val="-8"/>
        </w:rPr>
        <w:t>.</w:t>
      </w:r>
      <w:r w:rsidR="003D3B5F" w:rsidRPr="00273F62">
        <w:rPr>
          <w:rFonts w:eastAsiaTheme="minorEastAsia"/>
          <w:noProof/>
          <w:spacing w:val="-8"/>
        </w:rPr>
        <w:t xml:space="preserve"> Overall, MDMS platforms surveyed appeared more sceptical towards PM11</w:t>
      </w:r>
      <w:r w:rsidR="003D3B5F" w:rsidRPr="00273F62">
        <w:rPr>
          <w:rStyle w:val="FootnoteReference"/>
          <w:rFonts w:eastAsiaTheme="minorEastAsia"/>
          <w:noProof/>
          <w:spacing w:val="-8"/>
        </w:rPr>
        <w:footnoteReference w:id="160"/>
      </w:r>
      <w:r w:rsidR="003D3B5F" w:rsidRPr="00273F62">
        <w:rPr>
          <w:rFonts w:eastAsiaTheme="minorEastAsia"/>
          <w:noProof/>
          <w:spacing w:val="-8"/>
        </w:rPr>
        <w:t xml:space="preserve"> whereas transport operators expressing a view questioned rather PM1</w:t>
      </w:r>
      <w:r w:rsidR="005705BE" w:rsidRPr="00273F62">
        <w:rPr>
          <w:rFonts w:eastAsiaTheme="minorEastAsia"/>
          <w:noProof/>
          <w:spacing w:val="-8"/>
        </w:rPr>
        <w:t>2</w:t>
      </w:r>
      <w:r w:rsidR="003D3B5F" w:rsidRPr="00273F62">
        <w:rPr>
          <w:rStyle w:val="FootnoteReference"/>
          <w:rFonts w:eastAsiaTheme="minorEastAsia"/>
          <w:noProof/>
          <w:spacing w:val="-8"/>
        </w:rPr>
        <w:footnoteReference w:id="161"/>
      </w:r>
      <w:r w:rsidR="003D3B5F" w:rsidRPr="00273F62">
        <w:rPr>
          <w:rFonts w:eastAsiaTheme="minorEastAsia"/>
          <w:noProof/>
          <w:spacing w:val="-8"/>
        </w:rPr>
        <w:t xml:space="preserve">. Indeed, MDMS platforms participating in the survey tend to question the effectiveness of imposing principles on distribution fees and rules forbidding highly restrictive clauses on them, as they </w:t>
      </w:r>
      <w:r w:rsidR="00B4592D">
        <w:rPr>
          <w:rFonts w:eastAsiaTheme="minorEastAsia"/>
          <w:noProof/>
          <w:spacing w:val="-8"/>
        </w:rPr>
        <w:t>argue</w:t>
      </w:r>
      <w:r w:rsidR="00B4592D" w:rsidRPr="00273F62">
        <w:rPr>
          <w:rFonts w:eastAsiaTheme="minorEastAsia"/>
          <w:noProof/>
          <w:spacing w:val="-8"/>
        </w:rPr>
        <w:t xml:space="preserve"> </w:t>
      </w:r>
      <w:r w:rsidR="003D3B5F" w:rsidRPr="00273F62">
        <w:rPr>
          <w:rFonts w:eastAsiaTheme="minorEastAsia"/>
          <w:noProof/>
          <w:spacing w:val="-8"/>
        </w:rPr>
        <w:t xml:space="preserve">they would have no incentive to block access to their platform. </w:t>
      </w:r>
      <w:r w:rsidR="00CC7CCB" w:rsidRPr="00273F62">
        <w:rPr>
          <w:rFonts w:eastAsiaTheme="minorEastAsia"/>
          <w:noProof/>
          <w:spacing w:val="-8"/>
        </w:rPr>
        <w:t>However, they stressed their main concerns is big operators’ unwillingness to share information with them on fair terms</w:t>
      </w:r>
      <w:r w:rsidR="003D3B5F" w:rsidRPr="00273F62">
        <w:rPr>
          <w:rStyle w:val="FootnoteReference"/>
          <w:rFonts w:eastAsiaTheme="minorEastAsia"/>
          <w:noProof/>
          <w:spacing w:val="-8"/>
        </w:rPr>
        <w:footnoteReference w:id="162"/>
      </w:r>
      <w:r w:rsidR="003D3B5F" w:rsidRPr="00273F62">
        <w:rPr>
          <w:rFonts w:eastAsiaTheme="minorEastAsia"/>
          <w:noProof/>
          <w:spacing w:val="-8"/>
        </w:rPr>
        <w:t xml:space="preserve">. </w:t>
      </w:r>
      <w:r w:rsidR="0086648B" w:rsidRPr="00273F62">
        <w:rPr>
          <w:rFonts w:eastAsiaTheme="minorEastAsia"/>
          <w:noProof/>
          <w:spacing w:val="-8"/>
        </w:rPr>
        <w:t xml:space="preserve">On PM11, 15 of 27 of </w:t>
      </w:r>
      <w:r w:rsidR="003D3B5F" w:rsidRPr="00273F62">
        <w:rPr>
          <w:rFonts w:eastAsiaTheme="minorEastAsia"/>
          <w:noProof/>
          <w:spacing w:val="-8"/>
        </w:rPr>
        <w:t>transport operators</w:t>
      </w:r>
      <w:r w:rsidR="0086648B" w:rsidRPr="00273F62">
        <w:rPr>
          <w:rFonts w:eastAsiaTheme="minorEastAsia"/>
          <w:noProof/>
          <w:spacing w:val="-8"/>
        </w:rPr>
        <w:t xml:space="preserve"> </w:t>
      </w:r>
      <w:r w:rsidR="005F5FE7" w:rsidRPr="00273F62">
        <w:rPr>
          <w:rFonts w:eastAsiaTheme="minorEastAsia"/>
          <w:noProof/>
          <w:spacing w:val="-8"/>
        </w:rPr>
        <w:t>surveyed</w:t>
      </w:r>
      <w:r w:rsidR="0086648B" w:rsidRPr="00273F62">
        <w:rPr>
          <w:rFonts w:eastAsiaTheme="minorEastAsia"/>
          <w:noProof/>
          <w:spacing w:val="-8"/>
        </w:rPr>
        <w:t xml:space="preserve"> expected the measure to be effective</w:t>
      </w:r>
      <w:r w:rsidR="00EA44B2" w:rsidRPr="00273F62">
        <w:rPr>
          <w:rFonts w:eastAsiaTheme="minorEastAsia"/>
          <w:noProof/>
          <w:spacing w:val="-8"/>
        </w:rPr>
        <w:t xml:space="preserve"> in addressing Problem </w:t>
      </w:r>
      <w:r w:rsidR="00561398" w:rsidRPr="00273F62">
        <w:rPr>
          <w:rFonts w:eastAsiaTheme="minorEastAsia"/>
          <w:noProof/>
          <w:spacing w:val="-8"/>
        </w:rPr>
        <w:t>1</w:t>
      </w:r>
      <w:r w:rsidR="0086648B" w:rsidRPr="00273F62">
        <w:rPr>
          <w:rFonts w:eastAsiaTheme="minorEastAsia"/>
          <w:noProof/>
          <w:spacing w:val="-8"/>
        </w:rPr>
        <w:t xml:space="preserve">, while </w:t>
      </w:r>
      <w:r w:rsidR="00B416BC">
        <w:rPr>
          <w:rFonts w:eastAsiaTheme="minorEastAsia"/>
          <w:noProof/>
          <w:spacing w:val="-8"/>
        </w:rPr>
        <w:t>2</w:t>
      </w:r>
      <w:r w:rsidR="00F15946">
        <w:rPr>
          <w:rFonts w:eastAsiaTheme="minorEastAsia"/>
          <w:noProof/>
          <w:spacing w:val="-8"/>
        </w:rPr>
        <w:t xml:space="preserve"> of 29</w:t>
      </w:r>
      <w:r w:rsidR="0086648B" w:rsidRPr="00273F62">
        <w:rPr>
          <w:rFonts w:eastAsiaTheme="minorEastAsia"/>
          <w:noProof/>
          <w:spacing w:val="-8"/>
        </w:rPr>
        <w:t xml:space="preserve"> expected </w:t>
      </w:r>
      <w:r w:rsidR="00F15946">
        <w:rPr>
          <w:rFonts w:eastAsiaTheme="minorEastAsia"/>
          <w:noProof/>
          <w:spacing w:val="-8"/>
        </w:rPr>
        <w:t>PM12</w:t>
      </w:r>
      <w:r w:rsidR="0086648B" w:rsidRPr="00273F62">
        <w:rPr>
          <w:rFonts w:eastAsiaTheme="minorEastAsia"/>
          <w:noProof/>
          <w:spacing w:val="-8"/>
        </w:rPr>
        <w:t xml:space="preserve"> to be ineffective.</w:t>
      </w:r>
      <w:r w:rsidR="0086648B" w:rsidRPr="00273F62">
        <w:rPr>
          <w:rFonts w:eastAsiaTheme="minorEastAsia"/>
          <w:b/>
          <w:noProof/>
          <w:spacing w:val="-8"/>
        </w:rPr>
        <w:t xml:space="preserve"> </w:t>
      </w:r>
      <w:r w:rsidR="0063164C" w:rsidRPr="00FB64B6">
        <w:rPr>
          <w:rFonts w:eastAsiaTheme="minorEastAsia"/>
          <w:noProof/>
          <w:spacing w:val="-8"/>
        </w:rPr>
        <w:t>A majority (21 of 29</w:t>
      </w:r>
      <w:r w:rsidR="00F828A8">
        <w:rPr>
          <w:rFonts w:eastAsiaTheme="minorEastAsia"/>
          <w:bCs/>
          <w:noProof/>
          <w:spacing w:val="-8"/>
        </w:rPr>
        <w:t>)</w:t>
      </w:r>
      <w:r w:rsidR="0063164C" w:rsidRPr="00FB64B6">
        <w:rPr>
          <w:rFonts w:eastAsiaTheme="minorEastAsia"/>
          <w:noProof/>
          <w:spacing w:val="-8"/>
        </w:rPr>
        <w:t xml:space="preserve"> were neutral/did not </w:t>
      </w:r>
      <w:r w:rsidR="0063164C" w:rsidRPr="00FB64B6">
        <w:rPr>
          <w:rFonts w:eastAsiaTheme="minorEastAsia"/>
          <w:bCs/>
          <w:noProof/>
          <w:spacing w:val="-8"/>
        </w:rPr>
        <w:t>know</w:t>
      </w:r>
      <w:r w:rsidR="00FB64B6" w:rsidRPr="00FB64B6">
        <w:rPr>
          <w:rFonts w:eastAsiaTheme="minorEastAsia"/>
          <w:bCs/>
          <w:noProof/>
          <w:spacing w:val="-8"/>
        </w:rPr>
        <w:t xml:space="preserve"> the effect of PM12. </w:t>
      </w:r>
      <w:r w:rsidR="005F5FE7" w:rsidRPr="00053D3B">
        <w:rPr>
          <w:rFonts w:eastAsiaTheme="minorEastAsia"/>
          <w:noProof/>
          <w:spacing w:val="-8"/>
        </w:rPr>
        <w:t>In</w:t>
      </w:r>
      <w:r w:rsidR="005F5FE7" w:rsidRPr="00273F62">
        <w:rPr>
          <w:rFonts w:eastAsiaTheme="minorEastAsia"/>
          <w:noProof/>
          <w:spacing w:val="-8"/>
        </w:rPr>
        <w:t xml:space="preserve"> the survey</w:t>
      </w:r>
      <w:r w:rsidR="005F5FE7" w:rsidRPr="00273F62">
        <w:rPr>
          <w:rFonts w:eastAsiaTheme="minorEastAsia"/>
          <w:b/>
          <w:noProof/>
          <w:spacing w:val="-8"/>
        </w:rPr>
        <w:t xml:space="preserve"> </w:t>
      </w:r>
      <w:r w:rsidR="005F5FE7" w:rsidRPr="00273F62">
        <w:rPr>
          <w:noProof/>
          <w:spacing w:val="-8"/>
        </w:rPr>
        <w:t>s</w:t>
      </w:r>
      <w:r w:rsidR="003D3B5F" w:rsidRPr="00273F62">
        <w:rPr>
          <w:noProof/>
          <w:spacing w:val="-8"/>
        </w:rPr>
        <w:t xml:space="preserve">everal </w:t>
      </w:r>
      <w:r w:rsidR="001358ED" w:rsidRPr="00273F62">
        <w:rPr>
          <w:noProof/>
          <w:spacing w:val="-8"/>
        </w:rPr>
        <w:t>RU</w:t>
      </w:r>
      <w:r w:rsidR="003D3B5F" w:rsidRPr="00273F62">
        <w:rPr>
          <w:noProof/>
          <w:spacing w:val="-8"/>
        </w:rPr>
        <w:t>s with SMP</w:t>
      </w:r>
      <w:r w:rsidR="003D3B5F" w:rsidRPr="00273F62">
        <w:rPr>
          <w:rStyle w:val="FootnoteReference"/>
          <w:noProof/>
          <w:spacing w:val="-8"/>
        </w:rPr>
        <w:footnoteReference w:id="163"/>
      </w:r>
      <w:r w:rsidR="003D3B5F" w:rsidRPr="00273F62">
        <w:rPr>
          <w:noProof/>
          <w:spacing w:val="-8"/>
        </w:rPr>
        <w:t xml:space="preserve"> including CER </w:t>
      </w:r>
      <w:r w:rsidR="0046678B" w:rsidRPr="00273F62">
        <w:rPr>
          <w:noProof/>
          <w:spacing w:val="-8"/>
        </w:rPr>
        <w:t>members</w:t>
      </w:r>
      <w:r w:rsidR="003D3B5F" w:rsidRPr="00273F62">
        <w:rPr>
          <w:noProof/>
          <w:spacing w:val="-8"/>
        </w:rPr>
        <w:t xml:space="preserve"> expressed concerns over the introduction of enhanced FRAND principles, especially regarding the regulation of distribution fees. They emphasize that imposing levels of fees defined by regulation could distort the true value of services rendered and overlook the internal costs borne by providers.</w:t>
      </w:r>
      <w:r w:rsidR="003D3B5F" w:rsidRPr="00273F62">
        <w:rPr>
          <w:rFonts w:eastAsiaTheme="minorEastAsia"/>
          <w:noProof/>
          <w:spacing w:val="-8"/>
        </w:rPr>
        <w:t xml:space="preserve"> While </w:t>
      </w:r>
      <w:r w:rsidR="00947FD2" w:rsidRPr="00273F62">
        <w:rPr>
          <w:rFonts w:eastAsiaTheme="minorEastAsia"/>
          <w:noProof/>
          <w:spacing w:val="-8"/>
        </w:rPr>
        <w:t>these views are</w:t>
      </w:r>
      <w:r w:rsidR="003D3B5F" w:rsidRPr="00273F62">
        <w:rPr>
          <w:rFonts w:eastAsiaTheme="minorEastAsia"/>
          <w:noProof/>
          <w:spacing w:val="-8"/>
        </w:rPr>
        <w:t xml:space="preserve"> acknowledged, it is important to note that PM11 and PM1</w:t>
      </w:r>
      <w:r w:rsidR="005705BE" w:rsidRPr="00273F62">
        <w:rPr>
          <w:rFonts w:eastAsiaTheme="minorEastAsia"/>
          <w:noProof/>
          <w:spacing w:val="-8"/>
        </w:rPr>
        <w:t>2</w:t>
      </w:r>
      <w:r w:rsidR="003D3B5F" w:rsidRPr="00273F62">
        <w:rPr>
          <w:rFonts w:eastAsiaTheme="minorEastAsia"/>
          <w:noProof/>
          <w:spacing w:val="-8"/>
        </w:rPr>
        <w:t xml:space="preserve"> do not impose directly levels of fees but rather ensure that the level of fees agreed upon in a commercial agreement are justified</w:t>
      </w:r>
      <w:r w:rsidR="004A513F" w:rsidRPr="00273F62">
        <w:rPr>
          <w:rFonts w:eastAsiaTheme="minorEastAsia"/>
          <w:noProof/>
          <w:spacing w:val="-8"/>
        </w:rPr>
        <w:t xml:space="preserve"> and</w:t>
      </w:r>
      <w:r w:rsidR="003D3B5F" w:rsidRPr="00273F62">
        <w:rPr>
          <w:rFonts w:eastAsiaTheme="minorEastAsia"/>
          <w:noProof/>
          <w:spacing w:val="-8"/>
        </w:rPr>
        <w:t xml:space="preserve"> transparent.</w:t>
      </w:r>
      <w:r w:rsidR="00290FD4" w:rsidRPr="00273F62">
        <w:rPr>
          <w:rFonts w:eastAsiaTheme="minorEastAsia"/>
          <w:noProof/>
          <w:spacing w:val="-8"/>
        </w:rPr>
        <w:t xml:space="preserve"> </w:t>
      </w:r>
      <w:r w:rsidR="00883EB4" w:rsidRPr="00273F62">
        <w:rPr>
          <w:rFonts w:eastAsiaTheme="minorEastAsia"/>
          <w:noProof/>
          <w:spacing w:val="-8"/>
        </w:rPr>
        <w:t>E</w:t>
      </w:r>
      <w:r w:rsidR="00DB6A34" w:rsidRPr="00273F62">
        <w:rPr>
          <w:noProof/>
          <w:spacing w:val="-8"/>
        </w:rPr>
        <w:t xml:space="preserve">ight </w:t>
      </w:r>
      <w:r w:rsidR="00290FD4" w:rsidRPr="00273F62">
        <w:rPr>
          <w:noProof/>
          <w:spacing w:val="-8"/>
        </w:rPr>
        <w:t>MDMS platforms</w:t>
      </w:r>
      <w:r w:rsidR="00DB6A34" w:rsidRPr="00273F62">
        <w:rPr>
          <w:noProof/>
          <w:spacing w:val="-8"/>
        </w:rPr>
        <w:t>/ MDMS industry association</w:t>
      </w:r>
      <w:r w:rsidR="00290FD4" w:rsidRPr="00273F62">
        <w:rPr>
          <w:noProof/>
          <w:spacing w:val="-8"/>
        </w:rPr>
        <w:t xml:space="preserve"> and</w:t>
      </w:r>
      <w:r w:rsidR="00B40E90" w:rsidRPr="00273F62">
        <w:rPr>
          <w:noProof/>
          <w:spacing w:val="-8"/>
        </w:rPr>
        <w:t xml:space="preserve"> 14</w:t>
      </w:r>
      <w:r w:rsidR="00290FD4" w:rsidRPr="00273F62">
        <w:rPr>
          <w:noProof/>
          <w:spacing w:val="-8"/>
        </w:rPr>
        <w:t xml:space="preserve"> transport operators participated in 2022 to the Multimodal Passenger Mobility Forum </w:t>
      </w:r>
      <w:r w:rsidR="00C81746" w:rsidRPr="00273F62">
        <w:rPr>
          <w:noProof/>
          <w:spacing w:val="-8"/>
        </w:rPr>
        <w:t xml:space="preserve">(MPMF) </w:t>
      </w:r>
      <w:r w:rsidR="00CE6A73" w:rsidRPr="00273F62">
        <w:rPr>
          <w:noProof/>
          <w:spacing w:val="-8"/>
        </w:rPr>
        <w:t>to support the Commission in it</w:t>
      </w:r>
      <w:r w:rsidR="004926DA" w:rsidRPr="00273F62">
        <w:rPr>
          <w:noProof/>
          <w:spacing w:val="-8"/>
        </w:rPr>
        <w:t xml:space="preserve">s </w:t>
      </w:r>
      <w:r w:rsidR="00AD6798" w:rsidRPr="00273F62">
        <w:rPr>
          <w:noProof/>
          <w:spacing w:val="-8"/>
        </w:rPr>
        <w:t xml:space="preserve">preparatory </w:t>
      </w:r>
      <w:r w:rsidR="004926DA" w:rsidRPr="00273F62">
        <w:rPr>
          <w:noProof/>
          <w:spacing w:val="-8"/>
        </w:rPr>
        <w:t xml:space="preserve">work </w:t>
      </w:r>
      <w:r w:rsidR="00AD6798" w:rsidRPr="00273F62">
        <w:rPr>
          <w:noProof/>
          <w:spacing w:val="-8"/>
        </w:rPr>
        <w:t>for</w:t>
      </w:r>
      <w:r w:rsidR="00E0288E" w:rsidRPr="00273F62">
        <w:rPr>
          <w:noProof/>
          <w:spacing w:val="-8"/>
        </w:rPr>
        <w:t xml:space="preserve"> th</w:t>
      </w:r>
      <w:r w:rsidR="00AD6798" w:rsidRPr="00273F62">
        <w:rPr>
          <w:noProof/>
          <w:spacing w:val="-8"/>
        </w:rPr>
        <w:t>is</w:t>
      </w:r>
      <w:r w:rsidR="00E0288E" w:rsidRPr="00273F62">
        <w:rPr>
          <w:noProof/>
          <w:spacing w:val="-8"/>
        </w:rPr>
        <w:t xml:space="preserve"> initiative. </w:t>
      </w:r>
      <w:r w:rsidR="00AC2134" w:rsidRPr="00273F62">
        <w:rPr>
          <w:noProof/>
          <w:spacing w:val="-8"/>
        </w:rPr>
        <w:t>I</w:t>
      </w:r>
      <w:r w:rsidR="00290FD4" w:rsidRPr="00273F62">
        <w:rPr>
          <w:noProof/>
          <w:spacing w:val="-8"/>
        </w:rPr>
        <w:t xml:space="preserve">n </w:t>
      </w:r>
      <w:r w:rsidR="006A474C" w:rsidRPr="00273F62">
        <w:rPr>
          <w:noProof/>
          <w:spacing w:val="-8"/>
        </w:rPr>
        <w:t>the</w:t>
      </w:r>
      <w:r w:rsidR="00C81746" w:rsidRPr="00273F62">
        <w:rPr>
          <w:noProof/>
          <w:spacing w:val="-8"/>
        </w:rPr>
        <w:t xml:space="preserve"> MPMF</w:t>
      </w:r>
      <w:r w:rsidR="00290FD4" w:rsidRPr="00273F62">
        <w:rPr>
          <w:noProof/>
          <w:spacing w:val="-8"/>
        </w:rPr>
        <w:t xml:space="preserve"> final report</w:t>
      </w:r>
      <w:r w:rsidR="00AC2134" w:rsidRPr="00273F62">
        <w:rPr>
          <w:noProof/>
          <w:spacing w:val="-8"/>
        </w:rPr>
        <w:t xml:space="preserve">, </w:t>
      </w:r>
      <w:r w:rsidR="00290FD4" w:rsidRPr="00273F62">
        <w:rPr>
          <w:noProof/>
          <w:spacing w:val="-8"/>
        </w:rPr>
        <w:t>the need to “feature FRAND as a core standard </w:t>
      </w:r>
      <w:r w:rsidR="00290FD4" w:rsidRPr="00273F62">
        <w:rPr>
          <w:rStyle w:val="FootnoteReference"/>
          <w:noProof/>
          <w:spacing w:val="-8"/>
        </w:rPr>
        <w:footnoteReference w:id="164"/>
      </w:r>
      <w:r w:rsidR="00290FD4" w:rsidRPr="00273F62">
        <w:rPr>
          <w:noProof/>
          <w:spacing w:val="-8"/>
        </w:rPr>
        <w:t>” for the contractual provisions between MDMS platforms and transport operators</w:t>
      </w:r>
      <w:r w:rsidR="006A474C" w:rsidRPr="00273F62">
        <w:rPr>
          <w:noProof/>
          <w:spacing w:val="-8"/>
        </w:rPr>
        <w:t xml:space="preserve"> is </w:t>
      </w:r>
      <w:r w:rsidR="00DB6A34" w:rsidRPr="00273F62">
        <w:rPr>
          <w:noProof/>
          <w:spacing w:val="-8"/>
        </w:rPr>
        <w:t>outlined</w:t>
      </w:r>
      <w:r w:rsidR="00902A2E" w:rsidRPr="00273F62">
        <w:rPr>
          <w:noProof/>
          <w:spacing w:val="-8"/>
        </w:rPr>
        <w:t xml:space="preserve">. In </w:t>
      </w:r>
      <w:r w:rsidR="00CD4D42" w:rsidRPr="00273F62">
        <w:rPr>
          <w:noProof/>
          <w:spacing w:val="-8"/>
        </w:rPr>
        <w:t>particular</w:t>
      </w:r>
      <w:r w:rsidR="00902A2E" w:rsidRPr="00273F62">
        <w:rPr>
          <w:noProof/>
          <w:spacing w:val="-8"/>
        </w:rPr>
        <w:t xml:space="preserve">, the </w:t>
      </w:r>
      <w:r w:rsidR="00CD4D42" w:rsidRPr="00273F62">
        <w:rPr>
          <w:noProof/>
          <w:spacing w:val="-8"/>
        </w:rPr>
        <w:t xml:space="preserve">use of FRAND is </w:t>
      </w:r>
      <w:r w:rsidR="004E4E01" w:rsidRPr="00273F62">
        <w:rPr>
          <w:noProof/>
          <w:spacing w:val="-8"/>
        </w:rPr>
        <w:t>mentioned</w:t>
      </w:r>
      <w:r w:rsidR="006A474C" w:rsidRPr="00273F62">
        <w:rPr>
          <w:noProof/>
          <w:spacing w:val="-8"/>
        </w:rPr>
        <w:t xml:space="preserve"> as </w:t>
      </w:r>
      <w:r w:rsidR="00CD4D42" w:rsidRPr="00273F62">
        <w:rPr>
          <w:noProof/>
          <w:spacing w:val="-8"/>
        </w:rPr>
        <w:t>a</w:t>
      </w:r>
      <w:r w:rsidR="000B3209" w:rsidRPr="00273F62">
        <w:rPr>
          <w:noProof/>
          <w:spacing w:val="-8"/>
        </w:rPr>
        <w:t xml:space="preserve"> principle</w:t>
      </w:r>
      <w:r w:rsidR="006A474C" w:rsidRPr="00273F62">
        <w:rPr>
          <w:noProof/>
          <w:spacing w:val="-8"/>
        </w:rPr>
        <w:t xml:space="preserve"> that </w:t>
      </w:r>
      <w:r w:rsidR="000B3209" w:rsidRPr="00273F62">
        <w:rPr>
          <w:noProof/>
          <w:spacing w:val="-8"/>
        </w:rPr>
        <w:t>could “</w:t>
      </w:r>
      <w:r w:rsidR="00CD4D42" w:rsidRPr="00273F62">
        <w:rPr>
          <w:noProof/>
          <w:spacing w:val="-8"/>
        </w:rPr>
        <w:t>guide points</w:t>
      </w:r>
      <w:r w:rsidR="006A474C" w:rsidRPr="00273F62">
        <w:rPr>
          <w:noProof/>
          <w:spacing w:val="-8"/>
        </w:rPr>
        <w:t xml:space="preserve"> to </w:t>
      </w:r>
      <w:r w:rsidR="0035641A" w:rsidRPr="00273F62">
        <w:rPr>
          <w:noProof/>
          <w:spacing w:val="-8"/>
        </w:rPr>
        <w:t>calculate</w:t>
      </w:r>
      <w:r w:rsidR="00CD4D42" w:rsidRPr="00273F62">
        <w:rPr>
          <w:noProof/>
          <w:spacing w:val="-8"/>
        </w:rPr>
        <w:t xml:space="preserve"> compens</w:t>
      </w:r>
      <w:r w:rsidR="000B3209" w:rsidRPr="00273F62">
        <w:rPr>
          <w:noProof/>
          <w:spacing w:val="-8"/>
        </w:rPr>
        <w:t>ation (…)</w:t>
      </w:r>
      <w:r w:rsidR="0065666D" w:rsidRPr="00273F62">
        <w:rPr>
          <w:noProof/>
          <w:spacing w:val="-8"/>
        </w:rPr>
        <w:t xml:space="preserve">, access to data, </w:t>
      </w:r>
      <w:r w:rsidR="004E4E01" w:rsidRPr="00273F62">
        <w:rPr>
          <w:noProof/>
          <w:spacing w:val="-8"/>
        </w:rPr>
        <w:t>(…)</w:t>
      </w:r>
      <w:r w:rsidR="00F24B29" w:rsidRPr="00273F62">
        <w:rPr>
          <w:noProof/>
          <w:spacing w:val="-8"/>
        </w:rPr>
        <w:t xml:space="preserve"> look</w:t>
      </w:r>
      <w:r w:rsidR="009E590E">
        <w:rPr>
          <w:noProof/>
          <w:spacing w:val="-8"/>
        </w:rPr>
        <w:t>-</w:t>
      </w:r>
      <w:r w:rsidR="00F24B29" w:rsidRPr="00273F62">
        <w:rPr>
          <w:noProof/>
          <w:spacing w:val="-8"/>
        </w:rPr>
        <w:t>to</w:t>
      </w:r>
      <w:r w:rsidR="009E590E">
        <w:rPr>
          <w:noProof/>
          <w:spacing w:val="-8"/>
        </w:rPr>
        <w:t>-</w:t>
      </w:r>
      <w:r w:rsidR="00F24B29" w:rsidRPr="00273F62">
        <w:rPr>
          <w:noProof/>
          <w:spacing w:val="-8"/>
        </w:rPr>
        <w:t xml:space="preserve">book </w:t>
      </w:r>
      <w:r w:rsidR="00F24B29" w:rsidRPr="00844374">
        <w:rPr>
          <w:noProof/>
          <w:spacing w:val="-8"/>
        </w:rPr>
        <w:t>ratio</w:t>
      </w:r>
      <w:r w:rsidR="00F24B29" w:rsidRPr="00273F62">
        <w:rPr>
          <w:noProof/>
          <w:spacing w:val="-8"/>
        </w:rPr>
        <w:t xml:space="preserve"> and marketing restrictions; transparency on terms and conditions</w:t>
      </w:r>
      <w:r w:rsidR="00F24B29" w:rsidRPr="00273F62">
        <w:rPr>
          <w:rStyle w:val="FootnoteReference"/>
          <w:noProof/>
          <w:spacing w:val="-8"/>
        </w:rPr>
        <w:footnoteReference w:id="165"/>
      </w:r>
      <w:r w:rsidR="00F24B29" w:rsidRPr="00273F62">
        <w:rPr>
          <w:noProof/>
          <w:spacing w:val="-8"/>
        </w:rPr>
        <w:t>.”</w:t>
      </w:r>
    </w:p>
    <w:p w14:paraId="0414687A" w14:textId="2EE4D6F6" w:rsidR="0008583B" w:rsidRPr="002008AA" w:rsidRDefault="0008583B" w:rsidP="002008AA">
      <w:pPr>
        <w:pStyle w:val="BodyText"/>
        <w:spacing w:after="240"/>
        <w:ind w:left="0"/>
        <w:rPr>
          <w:b/>
          <w:bCs/>
          <w:i/>
          <w:iCs/>
          <w:noProof/>
          <w:spacing w:val="-8"/>
        </w:rPr>
      </w:pPr>
      <w:bookmarkStart w:id="113" w:name="_Toc220667499"/>
      <w:r w:rsidRPr="002008AA">
        <w:rPr>
          <w:b/>
          <w:bCs/>
          <w:i/>
          <w:iCs/>
          <w:noProof/>
          <w:spacing w:val="-8"/>
        </w:rPr>
        <w:t xml:space="preserve">Policy option </w:t>
      </w:r>
      <w:r w:rsidR="004E1CC5" w:rsidRPr="002008AA">
        <w:rPr>
          <w:b/>
          <w:bCs/>
          <w:i/>
          <w:iCs/>
          <w:noProof/>
          <w:spacing w:val="-8"/>
        </w:rPr>
        <w:t>2</w:t>
      </w:r>
      <w:r w:rsidRPr="002008AA">
        <w:rPr>
          <w:b/>
          <w:bCs/>
          <w:i/>
          <w:iCs/>
          <w:noProof/>
          <w:spacing w:val="-8"/>
        </w:rPr>
        <w:t xml:space="preserve"> (PO</w:t>
      </w:r>
      <w:r w:rsidR="004E1CC5" w:rsidRPr="002008AA">
        <w:rPr>
          <w:b/>
          <w:bCs/>
          <w:i/>
          <w:iCs/>
          <w:noProof/>
          <w:spacing w:val="-8"/>
        </w:rPr>
        <w:t>2</w:t>
      </w:r>
      <w:r w:rsidRPr="002008AA">
        <w:rPr>
          <w:b/>
          <w:bCs/>
          <w:i/>
          <w:iCs/>
          <w:noProof/>
          <w:spacing w:val="-8"/>
        </w:rPr>
        <w:t xml:space="preserve">) – </w:t>
      </w:r>
      <w:r w:rsidR="00E435E5">
        <w:rPr>
          <w:b/>
          <w:bCs/>
          <w:i/>
          <w:iCs/>
          <w:noProof/>
          <w:spacing w:val="-8"/>
        </w:rPr>
        <w:t xml:space="preserve">empowering </w:t>
      </w:r>
      <w:r w:rsidR="009A76B2">
        <w:rPr>
          <w:b/>
          <w:bCs/>
          <w:i/>
          <w:iCs/>
          <w:noProof/>
          <w:spacing w:val="-8"/>
        </w:rPr>
        <w:t>requesting</w:t>
      </w:r>
      <w:r w:rsidR="009A76B2" w:rsidRPr="002008AA">
        <w:rPr>
          <w:b/>
          <w:bCs/>
          <w:i/>
          <w:iCs/>
          <w:noProof/>
          <w:spacing w:val="-8"/>
        </w:rPr>
        <w:t xml:space="preserve"> </w:t>
      </w:r>
      <w:r w:rsidRPr="002008AA">
        <w:rPr>
          <w:b/>
          <w:bCs/>
          <w:i/>
          <w:iCs/>
          <w:noProof/>
          <w:spacing w:val="-8"/>
        </w:rPr>
        <w:t>MDMS platforms</w:t>
      </w:r>
      <w:bookmarkEnd w:id="113"/>
      <w:r w:rsidR="00076A24">
        <w:rPr>
          <w:b/>
          <w:bCs/>
          <w:i/>
          <w:iCs/>
          <w:noProof/>
          <w:spacing w:val="-8"/>
        </w:rPr>
        <w:t xml:space="preserve"> to offer single tickets in rail</w:t>
      </w:r>
    </w:p>
    <w:p w14:paraId="28BCFC36" w14:textId="1BD57983" w:rsidR="00DA474A" w:rsidRPr="00BE4605" w:rsidRDefault="00D72178" w:rsidP="008A7887">
      <w:pPr>
        <w:pStyle w:val="BodyText"/>
        <w:spacing w:after="120"/>
        <w:ind w:left="0"/>
        <w:rPr>
          <w:noProof/>
          <w:spacing w:val="-8"/>
        </w:rPr>
      </w:pPr>
      <w:r w:rsidRPr="00BE4605">
        <w:rPr>
          <w:noProof/>
          <w:spacing w:val="-8"/>
        </w:rPr>
        <w:t>PO</w:t>
      </w:r>
      <w:r>
        <w:rPr>
          <w:noProof/>
          <w:spacing w:val="-8"/>
        </w:rPr>
        <w:t>2</w:t>
      </w:r>
      <w:r w:rsidR="00DB2E08" w:rsidRPr="00DB2E08" w:rsidDel="007D6AD6">
        <w:rPr>
          <w:noProof/>
          <w:spacing w:val="-8"/>
        </w:rPr>
        <w:t xml:space="preserve"> </w:t>
      </w:r>
      <w:r w:rsidR="007D6AD6">
        <w:rPr>
          <w:noProof/>
          <w:spacing w:val="-8"/>
        </w:rPr>
        <w:t>addresses</w:t>
      </w:r>
      <w:r w:rsidR="007D6AD6" w:rsidRPr="00DB2E08">
        <w:rPr>
          <w:noProof/>
          <w:spacing w:val="-8"/>
        </w:rPr>
        <w:t xml:space="preserve"> </w:t>
      </w:r>
      <w:r w:rsidR="00DB2E08" w:rsidRPr="00DB2E08">
        <w:rPr>
          <w:noProof/>
          <w:spacing w:val="-8"/>
        </w:rPr>
        <w:t>SO</w:t>
      </w:r>
      <w:r w:rsidR="00D516AA">
        <w:rPr>
          <w:noProof/>
          <w:spacing w:val="-8"/>
        </w:rPr>
        <w:t>1</w:t>
      </w:r>
      <w:r w:rsidR="00DB2E08" w:rsidRPr="00DB2E08">
        <w:rPr>
          <w:noProof/>
          <w:spacing w:val="-8"/>
        </w:rPr>
        <w:t xml:space="preserve"> in the same manner as PO1</w:t>
      </w:r>
      <w:r w:rsidR="00015F6B">
        <w:rPr>
          <w:noProof/>
          <w:spacing w:val="-8"/>
        </w:rPr>
        <w:t xml:space="preserve"> but</w:t>
      </w:r>
      <w:r w:rsidRPr="00BE4605">
        <w:rPr>
          <w:noProof/>
          <w:spacing w:val="-8"/>
        </w:rPr>
        <w:t xml:space="preserve"> </w:t>
      </w:r>
      <w:r w:rsidR="007D6AD6">
        <w:rPr>
          <w:noProof/>
          <w:spacing w:val="-8"/>
        </w:rPr>
        <w:t>further addresses</w:t>
      </w:r>
      <w:r w:rsidRPr="00BE4605">
        <w:rPr>
          <w:noProof/>
          <w:spacing w:val="-8"/>
        </w:rPr>
        <w:t xml:space="preserve"> </w:t>
      </w:r>
      <w:r w:rsidR="00226AA7">
        <w:rPr>
          <w:noProof/>
          <w:spacing w:val="-8"/>
        </w:rPr>
        <w:t xml:space="preserve">SO2 by </w:t>
      </w:r>
      <w:r w:rsidR="00D87F9F" w:rsidRPr="00BE4605">
        <w:rPr>
          <w:noProof/>
          <w:spacing w:val="-8"/>
        </w:rPr>
        <w:t xml:space="preserve">mandating that indispensable </w:t>
      </w:r>
      <w:r w:rsidR="001358ED">
        <w:rPr>
          <w:noProof/>
          <w:spacing w:val="-8"/>
        </w:rPr>
        <w:t>RU</w:t>
      </w:r>
      <w:r w:rsidR="00D87F9F" w:rsidRPr="00BE4605">
        <w:rPr>
          <w:noProof/>
          <w:spacing w:val="-8"/>
        </w:rPr>
        <w:t xml:space="preserve">s </w:t>
      </w:r>
      <w:r w:rsidR="000019E9" w:rsidRPr="00BE4605">
        <w:rPr>
          <w:noProof/>
          <w:spacing w:val="-8"/>
        </w:rPr>
        <w:t xml:space="preserve">enter into commercial agreements </w:t>
      </w:r>
      <w:r w:rsidR="00D87F9F" w:rsidRPr="00BE4605">
        <w:rPr>
          <w:noProof/>
          <w:spacing w:val="-8"/>
        </w:rPr>
        <w:t xml:space="preserve">with </w:t>
      </w:r>
      <w:r w:rsidR="0010214A">
        <w:rPr>
          <w:noProof/>
          <w:spacing w:val="-8"/>
        </w:rPr>
        <w:t xml:space="preserve">requesting </w:t>
      </w:r>
      <w:r w:rsidR="001E1EB6">
        <w:rPr>
          <w:noProof/>
          <w:spacing w:val="-8"/>
        </w:rPr>
        <w:t>ticketing</w:t>
      </w:r>
      <w:r w:rsidR="00D87F9F" w:rsidRPr="00BE4605">
        <w:rPr>
          <w:noProof/>
          <w:spacing w:val="-8"/>
        </w:rPr>
        <w:t xml:space="preserve"> platforms to enable the sale of </w:t>
      </w:r>
      <w:r w:rsidR="00B12610" w:rsidRPr="005D2D60">
        <w:rPr>
          <w:noProof/>
          <w:spacing w:val="-8"/>
        </w:rPr>
        <w:t xml:space="preserve">all their </w:t>
      </w:r>
      <w:r w:rsidR="00E40021" w:rsidRPr="005D2D60">
        <w:rPr>
          <w:noProof/>
          <w:spacing w:val="-8"/>
        </w:rPr>
        <w:t>tickets</w:t>
      </w:r>
      <w:r w:rsidR="00A33A95">
        <w:rPr>
          <w:noProof/>
          <w:spacing w:val="-8"/>
        </w:rPr>
        <w:t xml:space="preserve">, </w:t>
      </w:r>
      <w:r w:rsidR="00A33A95" w:rsidRPr="005D2D60">
        <w:rPr>
          <w:noProof/>
          <w:spacing w:val="-8"/>
        </w:rPr>
        <w:t xml:space="preserve">provided </w:t>
      </w:r>
      <w:r w:rsidR="00EA53CC" w:rsidRPr="005D2D60">
        <w:rPr>
          <w:noProof/>
          <w:spacing w:val="-8"/>
        </w:rPr>
        <w:t xml:space="preserve">that </w:t>
      </w:r>
      <w:r w:rsidR="00A33A95" w:rsidRPr="005D2D60">
        <w:rPr>
          <w:noProof/>
          <w:spacing w:val="-8"/>
        </w:rPr>
        <w:t>th</w:t>
      </w:r>
      <w:r w:rsidR="00A33A95">
        <w:rPr>
          <w:noProof/>
          <w:spacing w:val="-8"/>
        </w:rPr>
        <w:t>ose</w:t>
      </w:r>
      <w:r w:rsidR="00A33A95" w:rsidRPr="005D2D60">
        <w:rPr>
          <w:noProof/>
          <w:spacing w:val="-8"/>
        </w:rPr>
        <w:t xml:space="preserve"> </w:t>
      </w:r>
      <w:r w:rsidR="00A33A95">
        <w:rPr>
          <w:noProof/>
          <w:spacing w:val="-8"/>
        </w:rPr>
        <w:t xml:space="preserve">platforms </w:t>
      </w:r>
      <w:r w:rsidR="00A33A95" w:rsidRPr="005D2D60">
        <w:rPr>
          <w:noProof/>
          <w:spacing w:val="-8"/>
        </w:rPr>
        <w:t xml:space="preserve">fulfil minimum requirements </w:t>
      </w:r>
      <w:r w:rsidR="00A33A95">
        <w:rPr>
          <w:noProof/>
          <w:spacing w:val="-8"/>
        </w:rPr>
        <w:t>(</w:t>
      </w:r>
      <w:r w:rsidR="00A33A95" w:rsidRPr="005D2D60">
        <w:rPr>
          <w:noProof/>
          <w:spacing w:val="-8"/>
        </w:rPr>
        <w:t>PM13)</w:t>
      </w:r>
      <w:r w:rsidR="00A33A95">
        <w:rPr>
          <w:noProof/>
          <w:spacing w:val="-8"/>
        </w:rPr>
        <w:t>. The scope of this ‘sharing obligation’</w:t>
      </w:r>
      <w:r w:rsidR="00A33A95" w:rsidDel="00F8624D">
        <w:rPr>
          <w:noProof/>
          <w:spacing w:val="-8"/>
        </w:rPr>
        <w:t xml:space="preserve"> </w:t>
      </w:r>
      <w:r w:rsidR="00F8624D">
        <w:rPr>
          <w:noProof/>
          <w:spacing w:val="-8"/>
        </w:rPr>
        <w:t xml:space="preserve">is </w:t>
      </w:r>
      <w:r w:rsidR="002D0096">
        <w:rPr>
          <w:noProof/>
          <w:spacing w:val="-8"/>
        </w:rPr>
        <w:t>all</w:t>
      </w:r>
      <w:r w:rsidR="00A33A95">
        <w:rPr>
          <w:noProof/>
          <w:spacing w:val="-8"/>
        </w:rPr>
        <w:t xml:space="preserve"> </w:t>
      </w:r>
      <w:r w:rsidR="00B12610" w:rsidRPr="005D2D60">
        <w:rPr>
          <w:noProof/>
          <w:spacing w:val="-8"/>
        </w:rPr>
        <w:t xml:space="preserve">rail tickets and fares </w:t>
      </w:r>
      <w:r w:rsidR="0030432C" w:rsidRPr="005D2D60">
        <w:rPr>
          <w:noProof/>
          <w:spacing w:val="-8"/>
        </w:rPr>
        <w:t xml:space="preserve">for: </w:t>
      </w:r>
      <w:r w:rsidR="00D87F9F" w:rsidRPr="00BE4605">
        <w:rPr>
          <w:noProof/>
          <w:spacing w:val="-8"/>
        </w:rPr>
        <w:t xml:space="preserve">i) rail services </w:t>
      </w:r>
      <w:r w:rsidR="004748E6">
        <w:rPr>
          <w:noProof/>
          <w:spacing w:val="-8"/>
        </w:rPr>
        <w:t xml:space="preserve">provided by operators with SMP </w:t>
      </w:r>
      <w:r w:rsidR="00B81D15">
        <w:rPr>
          <w:noProof/>
          <w:spacing w:val="-8"/>
        </w:rPr>
        <w:t>in</w:t>
      </w:r>
      <w:r w:rsidR="00B81D15" w:rsidRPr="00BE4605">
        <w:rPr>
          <w:noProof/>
          <w:spacing w:val="-8"/>
        </w:rPr>
        <w:t xml:space="preserve"> </w:t>
      </w:r>
      <w:r w:rsidR="00D87F9F" w:rsidRPr="00BE4605">
        <w:rPr>
          <w:noProof/>
          <w:spacing w:val="-8"/>
        </w:rPr>
        <w:t xml:space="preserve">the Member State in which they hold significant market presence, ii) </w:t>
      </w:r>
      <w:r w:rsidR="00FD61A8">
        <w:rPr>
          <w:noProof/>
          <w:spacing w:val="-8"/>
        </w:rPr>
        <w:t>rail services provided under public service contract (</w:t>
      </w:r>
      <w:r w:rsidR="00D87F9F" w:rsidRPr="00BE4605">
        <w:rPr>
          <w:noProof/>
          <w:spacing w:val="-8"/>
        </w:rPr>
        <w:t xml:space="preserve">PSO </w:t>
      </w:r>
      <w:r w:rsidR="00FD61A8">
        <w:rPr>
          <w:noProof/>
          <w:spacing w:val="-8"/>
        </w:rPr>
        <w:t>services</w:t>
      </w:r>
      <w:r w:rsidR="00D85B12">
        <w:rPr>
          <w:noProof/>
          <w:spacing w:val="-8"/>
        </w:rPr>
        <w:t xml:space="preserve">); </w:t>
      </w:r>
      <w:r w:rsidR="00D87F9F" w:rsidRPr="00BE4605">
        <w:rPr>
          <w:noProof/>
          <w:spacing w:val="-8"/>
        </w:rPr>
        <w:t xml:space="preserve">and iii) cross-border </w:t>
      </w:r>
      <w:r w:rsidR="00E348E4">
        <w:rPr>
          <w:noProof/>
          <w:spacing w:val="-8"/>
        </w:rPr>
        <w:t xml:space="preserve">rail </w:t>
      </w:r>
      <w:r w:rsidR="00D87F9F" w:rsidRPr="00BE4605">
        <w:rPr>
          <w:noProof/>
          <w:spacing w:val="-8"/>
        </w:rPr>
        <w:t>services. The commercial agreements</w:t>
      </w:r>
      <w:r w:rsidR="00197926" w:rsidRPr="00BE4605">
        <w:rPr>
          <w:noProof/>
          <w:spacing w:val="-8"/>
        </w:rPr>
        <w:t xml:space="preserve"> between indispensable </w:t>
      </w:r>
      <w:r w:rsidR="001358ED">
        <w:rPr>
          <w:noProof/>
          <w:spacing w:val="-8"/>
        </w:rPr>
        <w:t>RU</w:t>
      </w:r>
      <w:r w:rsidR="00197926" w:rsidRPr="00BE4605">
        <w:rPr>
          <w:noProof/>
          <w:spacing w:val="-8"/>
        </w:rPr>
        <w:t>s and</w:t>
      </w:r>
      <w:r w:rsidR="00D87F9F" w:rsidRPr="00BE4605">
        <w:rPr>
          <w:noProof/>
          <w:spacing w:val="-8"/>
        </w:rPr>
        <w:t xml:space="preserve"> </w:t>
      </w:r>
      <w:r w:rsidR="00197926" w:rsidRPr="00BE4605">
        <w:rPr>
          <w:noProof/>
          <w:spacing w:val="-8"/>
        </w:rPr>
        <w:t xml:space="preserve">MDMS platforms </w:t>
      </w:r>
      <w:r w:rsidR="00D87F9F" w:rsidRPr="00BE4605">
        <w:rPr>
          <w:noProof/>
          <w:spacing w:val="-8"/>
        </w:rPr>
        <w:t xml:space="preserve">would have </w:t>
      </w:r>
      <w:r w:rsidR="00197926" w:rsidRPr="00BE4605">
        <w:rPr>
          <w:noProof/>
          <w:spacing w:val="-8"/>
        </w:rPr>
        <w:t>to</w:t>
      </w:r>
      <w:r w:rsidR="00D87F9F" w:rsidRPr="00BE4605">
        <w:rPr>
          <w:noProof/>
          <w:spacing w:val="-8"/>
        </w:rPr>
        <w:t xml:space="preserve"> follow fair and reasonable conditions, </w:t>
      </w:r>
      <w:r w:rsidR="00D87F9F" w:rsidRPr="009E029E">
        <w:rPr>
          <w:noProof/>
          <w:spacing w:val="-8"/>
        </w:rPr>
        <w:t xml:space="preserve">as laid down in </w:t>
      </w:r>
      <w:r w:rsidR="00433345" w:rsidRPr="009E029E">
        <w:rPr>
          <w:noProof/>
          <w:spacing w:val="-8"/>
        </w:rPr>
        <w:t>PM1</w:t>
      </w:r>
      <w:r w:rsidR="00433345" w:rsidRPr="00B64EDC">
        <w:rPr>
          <w:noProof/>
          <w:spacing w:val="-8"/>
        </w:rPr>
        <w:t>2</w:t>
      </w:r>
      <w:r w:rsidR="00D87F9F" w:rsidRPr="00BE4605">
        <w:rPr>
          <w:noProof/>
          <w:spacing w:val="-8"/>
        </w:rPr>
        <w:t xml:space="preserve">. </w:t>
      </w:r>
      <w:r w:rsidR="00453B5E" w:rsidRPr="00BE4605">
        <w:rPr>
          <w:noProof/>
          <w:spacing w:val="-8"/>
        </w:rPr>
        <w:t>In particular, indispensable</w:t>
      </w:r>
      <w:r w:rsidR="00A024A1" w:rsidRPr="00BE4605">
        <w:rPr>
          <w:noProof/>
          <w:spacing w:val="-8"/>
        </w:rPr>
        <w:t xml:space="preserve"> </w:t>
      </w:r>
      <w:r w:rsidR="001358ED">
        <w:rPr>
          <w:noProof/>
          <w:spacing w:val="-8"/>
        </w:rPr>
        <w:t>RU</w:t>
      </w:r>
      <w:r w:rsidR="00A024A1" w:rsidRPr="00BE4605">
        <w:rPr>
          <w:noProof/>
          <w:spacing w:val="-8"/>
        </w:rPr>
        <w:t xml:space="preserve">s cannot </w:t>
      </w:r>
      <w:r w:rsidR="00D12064" w:rsidRPr="00BE4605">
        <w:rPr>
          <w:noProof/>
          <w:spacing w:val="-8"/>
        </w:rPr>
        <w:t xml:space="preserve">prevent their tickets from being combined with tickets from other </w:t>
      </w:r>
      <w:r w:rsidR="00F55054" w:rsidRPr="00BE4605">
        <w:rPr>
          <w:noProof/>
          <w:spacing w:val="-8"/>
        </w:rPr>
        <w:t>operators</w:t>
      </w:r>
      <w:r w:rsidR="008D091D" w:rsidRPr="00BE4605">
        <w:rPr>
          <w:noProof/>
          <w:spacing w:val="-8"/>
        </w:rPr>
        <w:t>,</w:t>
      </w:r>
      <w:r w:rsidR="00F55054" w:rsidRPr="00BE4605">
        <w:rPr>
          <w:noProof/>
          <w:spacing w:val="-8"/>
        </w:rPr>
        <w:t xml:space="preserve"> </w:t>
      </w:r>
      <w:r w:rsidR="00564E6E" w:rsidRPr="00BE4605">
        <w:rPr>
          <w:noProof/>
          <w:spacing w:val="-8"/>
        </w:rPr>
        <w:t xml:space="preserve">allowing </w:t>
      </w:r>
      <w:r w:rsidR="00A3014D" w:rsidRPr="00BE4605">
        <w:rPr>
          <w:noProof/>
          <w:spacing w:val="-8"/>
        </w:rPr>
        <w:t>platforms to sell them</w:t>
      </w:r>
      <w:r w:rsidR="00F55054" w:rsidRPr="00BE4605">
        <w:rPr>
          <w:noProof/>
          <w:spacing w:val="-8"/>
        </w:rPr>
        <w:t xml:space="preserve"> as single tickets. </w:t>
      </w:r>
      <w:r w:rsidR="007158E5">
        <w:rPr>
          <w:noProof/>
          <w:spacing w:val="-8"/>
        </w:rPr>
        <w:t xml:space="preserve">Under PO2, </w:t>
      </w:r>
      <w:r w:rsidR="005A420D">
        <w:rPr>
          <w:noProof/>
          <w:spacing w:val="-8"/>
        </w:rPr>
        <w:t xml:space="preserve">MDMS </w:t>
      </w:r>
      <w:r w:rsidR="006F70B9" w:rsidRPr="006F70B9">
        <w:rPr>
          <w:noProof/>
          <w:spacing w:val="-8"/>
        </w:rPr>
        <w:t xml:space="preserve">platforms </w:t>
      </w:r>
      <w:r w:rsidR="005A420D">
        <w:rPr>
          <w:noProof/>
          <w:spacing w:val="-8"/>
        </w:rPr>
        <w:t xml:space="preserve">(in particular independent ones) </w:t>
      </w:r>
      <w:r w:rsidR="006F70B9" w:rsidRPr="006F70B9">
        <w:rPr>
          <w:noProof/>
          <w:spacing w:val="-8"/>
        </w:rPr>
        <w:t xml:space="preserve">would be capable of </w:t>
      </w:r>
      <w:r w:rsidR="00114EB3">
        <w:rPr>
          <w:noProof/>
          <w:spacing w:val="-8"/>
        </w:rPr>
        <w:t xml:space="preserve">expanding </w:t>
      </w:r>
      <w:r w:rsidR="00EF1760">
        <w:rPr>
          <w:noProof/>
          <w:spacing w:val="-8"/>
        </w:rPr>
        <w:t>their offers</w:t>
      </w:r>
      <w:r w:rsidR="00114EB3">
        <w:rPr>
          <w:noProof/>
          <w:spacing w:val="-8"/>
        </w:rPr>
        <w:t xml:space="preserve"> and </w:t>
      </w:r>
      <w:r w:rsidR="00E1549F">
        <w:rPr>
          <w:noProof/>
          <w:spacing w:val="-8"/>
        </w:rPr>
        <w:t xml:space="preserve">ultimately </w:t>
      </w:r>
      <w:r w:rsidR="006F70B9" w:rsidRPr="006F70B9">
        <w:rPr>
          <w:noProof/>
          <w:spacing w:val="-8"/>
        </w:rPr>
        <w:t>provid</w:t>
      </w:r>
      <w:r w:rsidR="00E1549F">
        <w:rPr>
          <w:noProof/>
          <w:spacing w:val="-8"/>
        </w:rPr>
        <w:t>e</w:t>
      </w:r>
      <w:r w:rsidR="006F70B9" w:rsidRPr="006F70B9">
        <w:rPr>
          <w:noProof/>
          <w:spacing w:val="-8"/>
        </w:rPr>
        <w:t xml:space="preserve"> a complete offer.</w:t>
      </w:r>
    </w:p>
    <w:p w14:paraId="3E9C0AD0" w14:textId="170C4194" w:rsidR="00DE7CCB" w:rsidRPr="00BE4605" w:rsidRDefault="00DE7CCB" w:rsidP="00D87F9F">
      <w:pPr>
        <w:pStyle w:val="BodyText"/>
        <w:spacing w:after="240"/>
        <w:ind w:left="0"/>
        <w:rPr>
          <w:noProof/>
          <w:spacing w:val="-8"/>
        </w:rPr>
      </w:pPr>
      <w:r w:rsidRPr="00BE4605">
        <w:rPr>
          <w:noProof/>
          <w:spacing w:val="-8"/>
        </w:rPr>
        <w:t xml:space="preserve">In the </w:t>
      </w:r>
      <w:r w:rsidR="00D132F1">
        <w:rPr>
          <w:noProof/>
          <w:spacing w:val="-8"/>
        </w:rPr>
        <w:t xml:space="preserve">targeted </w:t>
      </w:r>
      <w:r w:rsidRPr="00BE4605">
        <w:rPr>
          <w:noProof/>
          <w:spacing w:val="-8"/>
        </w:rPr>
        <w:t xml:space="preserve">survey, </w:t>
      </w:r>
      <w:r w:rsidR="00E35C5B" w:rsidRPr="00BE4605">
        <w:rPr>
          <w:noProof/>
          <w:spacing w:val="-8"/>
        </w:rPr>
        <w:t xml:space="preserve">the </w:t>
      </w:r>
      <w:r w:rsidR="002C0949">
        <w:rPr>
          <w:noProof/>
          <w:spacing w:val="-8"/>
        </w:rPr>
        <w:t>sharing</w:t>
      </w:r>
      <w:r w:rsidR="00E35C5B" w:rsidRPr="00BE4605">
        <w:rPr>
          <w:noProof/>
          <w:spacing w:val="-8"/>
        </w:rPr>
        <w:t xml:space="preserve"> obligation (PM1</w:t>
      </w:r>
      <w:r w:rsidR="00E95199" w:rsidRPr="00BE4605">
        <w:rPr>
          <w:noProof/>
          <w:spacing w:val="-8"/>
        </w:rPr>
        <w:t>3</w:t>
      </w:r>
      <w:r w:rsidR="00E35C5B" w:rsidRPr="00BE4605">
        <w:rPr>
          <w:noProof/>
          <w:spacing w:val="-8"/>
        </w:rPr>
        <w:t>) introduced in PO</w:t>
      </w:r>
      <w:r w:rsidR="007009DD" w:rsidRPr="00BE4605">
        <w:rPr>
          <w:noProof/>
          <w:spacing w:val="-8"/>
        </w:rPr>
        <w:t>2</w:t>
      </w:r>
      <w:r w:rsidR="00E35C5B" w:rsidRPr="00BE4605">
        <w:rPr>
          <w:noProof/>
          <w:spacing w:val="-8"/>
        </w:rPr>
        <w:t xml:space="preserve"> gathered </w:t>
      </w:r>
      <w:r w:rsidR="00B86304" w:rsidRPr="00BE4605">
        <w:rPr>
          <w:noProof/>
          <w:spacing w:val="-8"/>
        </w:rPr>
        <w:t xml:space="preserve">support </w:t>
      </w:r>
      <w:r w:rsidR="00DC137C" w:rsidRPr="00BE4605">
        <w:rPr>
          <w:noProof/>
          <w:spacing w:val="-8"/>
        </w:rPr>
        <w:t xml:space="preserve">from </w:t>
      </w:r>
      <w:r w:rsidR="006A37EF" w:rsidRPr="00BE4605">
        <w:rPr>
          <w:noProof/>
          <w:spacing w:val="-8"/>
        </w:rPr>
        <w:t>national authorities</w:t>
      </w:r>
      <w:r w:rsidR="00D63EEC" w:rsidRPr="00BE4605">
        <w:rPr>
          <w:noProof/>
          <w:spacing w:val="-8"/>
        </w:rPr>
        <w:t xml:space="preserve"> and</w:t>
      </w:r>
      <w:r w:rsidR="006A37EF" w:rsidRPr="00BE4605">
        <w:rPr>
          <w:noProof/>
          <w:spacing w:val="-8"/>
        </w:rPr>
        <w:t xml:space="preserve"> </w:t>
      </w:r>
      <w:r w:rsidR="003B47CF" w:rsidRPr="00BE4605">
        <w:rPr>
          <w:noProof/>
          <w:spacing w:val="-8"/>
        </w:rPr>
        <w:t xml:space="preserve">the </w:t>
      </w:r>
      <w:r w:rsidR="00A47F0D">
        <w:rPr>
          <w:noProof/>
          <w:spacing w:val="-8"/>
        </w:rPr>
        <w:t xml:space="preserve">stakeholders surveyed in </w:t>
      </w:r>
      <w:r w:rsidR="003B47CF" w:rsidRPr="00BE4605">
        <w:rPr>
          <w:noProof/>
          <w:spacing w:val="-8"/>
        </w:rPr>
        <w:t>‘</w:t>
      </w:r>
      <w:r w:rsidR="00584D0B">
        <w:rPr>
          <w:noProof/>
          <w:spacing w:val="-8"/>
        </w:rPr>
        <w:t>o</w:t>
      </w:r>
      <w:r w:rsidR="00584D0B" w:rsidRPr="00BE4605">
        <w:rPr>
          <w:noProof/>
          <w:spacing w:val="-8"/>
        </w:rPr>
        <w:t xml:space="preserve">ther’ </w:t>
      </w:r>
      <w:r w:rsidR="003B47CF" w:rsidRPr="00BE4605">
        <w:rPr>
          <w:noProof/>
          <w:spacing w:val="-8"/>
        </w:rPr>
        <w:t>category</w:t>
      </w:r>
      <w:r w:rsidR="00D63EEC" w:rsidRPr="00BE4605">
        <w:rPr>
          <w:rStyle w:val="FootnoteReference"/>
          <w:noProof/>
          <w:spacing w:val="-8"/>
        </w:rPr>
        <w:footnoteReference w:id="166"/>
      </w:r>
      <w:r w:rsidR="003B47CF" w:rsidRPr="00BE4605">
        <w:rPr>
          <w:noProof/>
          <w:spacing w:val="-8"/>
        </w:rPr>
        <w:t>, moderate support from MDMS platforms</w:t>
      </w:r>
      <w:r w:rsidR="005A173E" w:rsidRPr="00BE4605">
        <w:rPr>
          <w:rStyle w:val="FootnoteReference"/>
          <w:noProof/>
          <w:spacing w:val="-8"/>
        </w:rPr>
        <w:footnoteReference w:id="167"/>
      </w:r>
      <w:r w:rsidR="003B47CF" w:rsidRPr="00BE4605">
        <w:rPr>
          <w:noProof/>
          <w:spacing w:val="-8"/>
        </w:rPr>
        <w:t xml:space="preserve">, </w:t>
      </w:r>
      <w:r w:rsidR="008D7D51" w:rsidRPr="00BE4605">
        <w:rPr>
          <w:noProof/>
          <w:spacing w:val="-8"/>
        </w:rPr>
        <w:t xml:space="preserve">and </w:t>
      </w:r>
      <w:r w:rsidR="00D63EEC" w:rsidRPr="00BE4605">
        <w:rPr>
          <w:noProof/>
          <w:spacing w:val="-8"/>
        </w:rPr>
        <w:t>very limited support from transport operators</w:t>
      </w:r>
      <w:r w:rsidR="007B0057">
        <w:rPr>
          <w:noProof/>
          <w:spacing w:val="-8"/>
        </w:rPr>
        <w:t xml:space="preserve"> surveyed</w:t>
      </w:r>
      <w:r w:rsidR="00997A47" w:rsidRPr="00BE4605">
        <w:rPr>
          <w:rStyle w:val="FootnoteReference"/>
          <w:noProof/>
          <w:spacing w:val="-8"/>
        </w:rPr>
        <w:footnoteReference w:id="168"/>
      </w:r>
      <w:r w:rsidR="00D63EEC" w:rsidRPr="00BE4605">
        <w:rPr>
          <w:noProof/>
          <w:spacing w:val="-8"/>
        </w:rPr>
        <w:t xml:space="preserve">. </w:t>
      </w:r>
      <w:r w:rsidR="00CC759A">
        <w:rPr>
          <w:noProof/>
          <w:spacing w:val="-8"/>
        </w:rPr>
        <w:t>Especially,</w:t>
      </w:r>
      <w:r w:rsidR="00152E60" w:rsidRPr="00BE4605">
        <w:rPr>
          <w:noProof/>
          <w:spacing w:val="-8"/>
        </w:rPr>
        <w:t xml:space="preserve"> </w:t>
      </w:r>
      <w:r w:rsidR="00F96B11" w:rsidRPr="00BE4605">
        <w:rPr>
          <w:noProof/>
          <w:spacing w:val="-8"/>
        </w:rPr>
        <w:t xml:space="preserve">incumbent </w:t>
      </w:r>
      <w:r w:rsidR="001358ED">
        <w:rPr>
          <w:noProof/>
          <w:spacing w:val="-8"/>
        </w:rPr>
        <w:t>RU</w:t>
      </w:r>
      <w:r w:rsidR="00152E60" w:rsidRPr="00BE4605">
        <w:rPr>
          <w:noProof/>
          <w:spacing w:val="-8"/>
        </w:rPr>
        <w:t>s</w:t>
      </w:r>
      <w:r w:rsidRPr="00BE4605">
        <w:rPr>
          <w:noProof/>
          <w:spacing w:val="-8"/>
        </w:rPr>
        <w:t xml:space="preserve"> </w:t>
      </w:r>
      <w:r w:rsidR="00F14D1E">
        <w:rPr>
          <w:noProof/>
          <w:spacing w:val="-8"/>
        </w:rPr>
        <w:t xml:space="preserve">participating in the </w:t>
      </w:r>
      <w:r w:rsidR="00740F9E">
        <w:rPr>
          <w:noProof/>
          <w:spacing w:val="-8"/>
        </w:rPr>
        <w:t xml:space="preserve">targeted </w:t>
      </w:r>
      <w:r w:rsidR="00F14D1E">
        <w:rPr>
          <w:noProof/>
          <w:spacing w:val="-8"/>
        </w:rPr>
        <w:t>survey</w:t>
      </w:r>
      <w:r w:rsidRPr="00BE4605" w:rsidDel="00561FCC">
        <w:rPr>
          <w:noProof/>
          <w:spacing w:val="-8"/>
        </w:rPr>
        <w:t xml:space="preserve"> </w:t>
      </w:r>
      <w:r w:rsidR="00561FCC">
        <w:rPr>
          <w:noProof/>
          <w:spacing w:val="-8"/>
        </w:rPr>
        <w:t>argued</w:t>
      </w:r>
      <w:r w:rsidR="00561FCC" w:rsidRPr="00BE4605">
        <w:rPr>
          <w:noProof/>
          <w:spacing w:val="-8"/>
        </w:rPr>
        <w:t xml:space="preserve"> </w:t>
      </w:r>
      <w:r w:rsidRPr="00BE4605">
        <w:rPr>
          <w:noProof/>
          <w:spacing w:val="-8"/>
        </w:rPr>
        <w:t>that mutual commercial interest should guide collaboration in distribution rather than mandated access</w:t>
      </w:r>
      <w:r w:rsidRPr="00BE4605">
        <w:rPr>
          <w:rStyle w:val="FootnoteReference"/>
          <w:noProof/>
          <w:spacing w:val="-8"/>
        </w:rPr>
        <w:footnoteReference w:id="169"/>
      </w:r>
      <w:r w:rsidRPr="00BE4605">
        <w:rPr>
          <w:noProof/>
          <w:spacing w:val="-8"/>
        </w:rPr>
        <w:t xml:space="preserve">. </w:t>
      </w:r>
      <w:r w:rsidR="00B211DB" w:rsidRPr="00BE4605">
        <w:rPr>
          <w:noProof/>
          <w:spacing w:val="-8"/>
        </w:rPr>
        <w:t xml:space="preserve">DB and SJ AB </w:t>
      </w:r>
      <w:r w:rsidR="001F402F" w:rsidRPr="00BE4605">
        <w:rPr>
          <w:noProof/>
          <w:spacing w:val="-8"/>
        </w:rPr>
        <w:t xml:space="preserve">went further, </w:t>
      </w:r>
      <w:r w:rsidR="00B775AE" w:rsidRPr="00BE4605">
        <w:rPr>
          <w:noProof/>
          <w:spacing w:val="-8"/>
        </w:rPr>
        <w:t>arguing</w:t>
      </w:r>
      <w:r w:rsidR="001F402F" w:rsidRPr="00BE4605">
        <w:rPr>
          <w:noProof/>
          <w:spacing w:val="-8"/>
        </w:rPr>
        <w:t xml:space="preserve"> that this measure might create administrative burden and </w:t>
      </w:r>
      <w:r w:rsidR="00B775AE" w:rsidRPr="00BE4605">
        <w:rPr>
          <w:noProof/>
          <w:spacing w:val="-8"/>
        </w:rPr>
        <w:t>potentially increase ticket price</w:t>
      </w:r>
      <w:r w:rsidR="002E2667">
        <w:rPr>
          <w:noProof/>
          <w:spacing w:val="-8"/>
        </w:rPr>
        <w:t>s</w:t>
      </w:r>
      <w:r w:rsidR="00B775AE" w:rsidRPr="00BE4605">
        <w:rPr>
          <w:noProof/>
          <w:spacing w:val="-8"/>
        </w:rPr>
        <w:t xml:space="preserve">. </w:t>
      </w:r>
      <w:r w:rsidR="00CD441F" w:rsidRPr="00BE4605">
        <w:rPr>
          <w:noProof/>
          <w:spacing w:val="-8"/>
        </w:rPr>
        <w:t xml:space="preserve">On the other hand, ALL Rail argued that </w:t>
      </w:r>
      <w:r w:rsidR="00686D3F" w:rsidRPr="00BE4605">
        <w:rPr>
          <w:noProof/>
          <w:spacing w:val="-8"/>
        </w:rPr>
        <w:t>a fair market requires both sides to be regulated</w:t>
      </w:r>
      <w:r w:rsidR="00591698">
        <w:rPr>
          <w:noProof/>
          <w:spacing w:val="-8"/>
        </w:rPr>
        <w:t>:</w:t>
      </w:r>
      <w:r w:rsidR="00591698" w:rsidRPr="00BE4605">
        <w:rPr>
          <w:noProof/>
          <w:spacing w:val="-8"/>
        </w:rPr>
        <w:t xml:space="preserve"> </w:t>
      </w:r>
      <w:r w:rsidR="001358ED">
        <w:rPr>
          <w:noProof/>
          <w:spacing w:val="-8"/>
        </w:rPr>
        <w:t>RU</w:t>
      </w:r>
      <w:r w:rsidR="00686D3F" w:rsidRPr="00BE4605">
        <w:rPr>
          <w:noProof/>
          <w:spacing w:val="-8"/>
        </w:rPr>
        <w:t xml:space="preserve">s must share their data, and ticket vendors must sell all </w:t>
      </w:r>
      <w:r w:rsidR="001358ED">
        <w:rPr>
          <w:noProof/>
          <w:spacing w:val="-8"/>
        </w:rPr>
        <w:t>RU</w:t>
      </w:r>
      <w:r w:rsidR="00686D3F" w:rsidRPr="00BE4605">
        <w:rPr>
          <w:noProof/>
          <w:spacing w:val="-8"/>
        </w:rPr>
        <w:t xml:space="preserve">s’ tickets. </w:t>
      </w:r>
      <w:r w:rsidR="005118F5" w:rsidRPr="00844374">
        <w:rPr>
          <w:noProof/>
          <w:spacing w:val="-8"/>
        </w:rPr>
        <w:t>Air France-KLM and Finnair</w:t>
      </w:r>
      <w:r w:rsidRPr="00BE4605">
        <w:rPr>
          <w:noProof/>
          <w:spacing w:val="-8"/>
        </w:rPr>
        <w:t xml:space="preserve"> stressed that this measure should not be applied to the air sector, as the air market is already competitive and well-functioning</w:t>
      </w:r>
      <w:r w:rsidR="00D9460B" w:rsidRPr="00BE4605">
        <w:rPr>
          <w:noProof/>
          <w:spacing w:val="-8"/>
        </w:rPr>
        <w:t>.</w:t>
      </w:r>
      <w:r w:rsidR="00C86247" w:rsidRPr="00BE4605">
        <w:rPr>
          <w:noProof/>
          <w:spacing w:val="-8"/>
        </w:rPr>
        <w:t xml:space="preserve"> Finally, </w:t>
      </w:r>
      <w:r w:rsidR="0000557F">
        <w:rPr>
          <w:noProof/>
          <w:spacing w:val="-8"/>
        </w:rPr>
        <w:t>2</w:t>
      </w:r>
      <w:r w:rsidR="00C86247" w:rsidRPr="00BE4605">
        <w:rPr>
          <w:noProof/>
          <w:spacing w:val="-8"/>
        </w:rPr>
        <w:t xml:space="preserve"> MDMS platforms </w:t>
      </w:r>
      <w:r w:rsidR="007E11BB">
        <w:rPr>
          <w:noProof/>
          <w:spacing w:val="-8"/>
        </w:rPr>
        <w:t>(</w:t>
      </w:r>
      <w:r w:rsidR="007E11BB" w:rsidRPr="00844374">
        <w:rPr>
          <w:noProof/>
          <w:spacing w:val="-8"/>
        </w:rPr>
        <w:t>Skyscanner and EUTT</w:t>
      </w:r>
      <w:r w:rsidR="007E11BB">
        <w:rPr>
          <w:noProof/>
          <w:spacing w:val="-8"/>
        </w:rPr>
        <w:t>)</w:t>
      </w:r>
      <w:r w:rsidR="00C86247" w:rsidRPr="00BE4605">
        <w:rPr>
          <w:noProof/>
          <w:spacing w:val="-8"/>
        </w:rPr>
        <w:t xml:space="preserve"> outlined the need to extend the </w:t>
      </w:r>
      <w:r w:rsidR="002C0949">
        <w:rPr>
          <w:noProof/>
          <w:spacing w:val="-8"/>
        </w:rPr>
        <w:t>sharing obligation</w:t>
      </w:r>
      <w:r w:rsidR="00C86247" w:rsidRPr="00BE4605">
        <w:rPr>
          <w:noProof/>
          <w:spacing w:val="-8"/>
        </w:rPr>
        <w:t xml:space="preserve"> to air carriers as well.</w:t>
      </w:r>
    </w:p>
    <w:p w14:paraId="369B600F" w14:textId="0BFA9FD5" w:rsidR="00FE6A01" w:rsidRPr="002008AA" w:rsidRDefault="2471901C" w:rsidP="0089077C">
      <w:pPr>
        <w:pStyle w:val="BodyText"/>
        <w:keepNext/>
        <w:spacing w:after="240"/>
        <w:ind w:left="0"/>
        <w:rPr>
          <w:b/>
          <w:bCs/>
          <w:i/>
          <w:iCs/>
          <w:noProof/>
          <w:spacing w:val="-8"/>
        </w:rPr>
      </w:pPr>
      <w:bookmarkStart w:id="114" w:name="_Toc220667500"/>
      <w:r w:rsidRPr="002008AA">
        <w:rPr>
          <w:b/>
          <w:bCs/>
          <w:i/>
          <w:iCs/>
          <w:noProof/>
          <w:spacing w:val="-8"/>
        </w:rPr>
        <w:t xml:space="preserve">Policy option </w:t>
      </w:r>
      <w:r w:rsidR="004E1CC5" w:rsidRPr="002008AA">
        <w:rPr>
          <w:b/>
          <w:bCs/>
          <w:i/>
          <w:iCs/>
          <w:noProof/>
          <w:spacing w:val="-8"/>
        </w:rPr>
        <w:t>3</w:t>
      </w:r>
      <w:r w:rsidRPr="002008AA">
        <w:rPr>
          <w:b/>
          <w:bCs/>
          <w:i/>
          <w:iCs/>
          <w:noProof/>
          <w:spacing w:val="-8"/>
        </w:rPr>
        <w:t xml:space="preserve"> (PO</w:t>
      </w:r>
      <w:r w:rsidR="004E1CC5" w:rsidRPr="002008AA">
        <w:rPr>
          <w:b/>
          <w:bCs/>
          <w:i/>
          <w:iCs/>
          <w:noProof/>
          <w:spacing w:val="-8"/>
        </w:rPr>
        <w:t>3</w:t>
      </w:r>
      <w:r w:rsidRPr="002008AA">
        <w:rPr>
          <w:b/>
          <w:bCs/>
          <w:i/>
          <w:iCs/>
          <w:noProof/>
          <w:spacing w:val="-8"/>
        </w:rPr>
        <w:t xml:space="preserve">) – </w:t>
      </w:r>
      <w:bookmarkEnd w:id="114"/>
      <w:r w:rsidR="000B3EBE" w:rsidRPr="000B3EBE">
        <w:rPr>
          <w:b/>
          <w:bCs/>
          <w:i/>
          <w:iCs/>
          <w:noProof/>
          <w:spacing w:val="-8"/>
        </w:rPr>
        <w:t xml:space="preserve">empowering </w:t>
      </w:r>
      <w:r w:rsidR="00DF69B2">
        <w:rPr>
          <w:b/>
          <w:bCs/>
          <w:i/>
          <w:iCs/>
          <w:noProof/>
          <w:spacing w:val="-8"/>
        </w:rPr>
        <w:t>requesting</w:t>
      </w:r>
      <w:r w:rsidR="00DF69B2" w:rsidRPr="000B3EBE">
        <w:rPr>
          <w:b/>
          <w:bCs/>
          <w:i/>
          <w:iCs/>
          <w:noProof/>
          <w:spacing w:val="-8"/>
        </w:rPr>
        <w:t xml:space="preserve"> </w:t>
      </w:r>
      <w:r w:rsidR="000B3EBE">
        <w:rPr>
          <w:b/>
          <w:bCs/>
          <w:i/>
          <w:iCs/>
          <w:noProof/>
          <w:spacing w:val="-8"/>
        </w:rPr>
        <w:t>RU</w:t>
      </w:r>
      <w:r w:rsidR="00E53867">
        <w:rPr>
          <w:b/>
          <w:bCs/>
          <w:i/>
          <w:iCs/>
          <w:noProof/>
          <w:spacing w:val="-8"/>
        </w:rPr>
        <w:t xml:space="preserve"> </w:t>
      </w:r>
      <w:r w:rsidR="007A6CB7">
        <w:rPr>
          <w:b/>
          <w:bCs/>
          <w:i/>
          <w:iCs/>
          <w:noProof/>
          <w:spacing w:val="-8"/>
        </w:rPr>
        <w:t xml:space="preserve">to </w:t>
      </w:r>
      <w:r w:rsidR="00634630">
        <w:rPr>
          <w:b/>
          <w:bCs/>
          <w:i/>
          <w:iCs/>
          <w:noProof/>
          <w:spacing w:val="-8"/>
        </w:rPr>
        <w:t xml:space="preserve">be offered </w:t>
      </w:r>
      <w:r w:rsidR="007A6CB7">
        <w:rPr>
          <w:b/>
          <w:bCs/>
          <w:i/>
          <w:iCs/>
          <w:noProof/>
          <w:spacing w:val="-8"/>
        </w:rPr>
        <w:t xml:space="preserve">on </w:t>
      </w:r>
      <w:r w:rsidR="0069635E">
        <w:rPr>
          <w:b/>
          <w:bCs/>
          <w:i/>
          <w:iCs/>
          <w:noProof/>
          <w:spacing w:val="-8"/>
        </w:rPr>
        <w:t xml:space="preserve">indispensable </w:t>
      </w:r>
      <w:r w:rsidR="00D327F9">
        <w:rPr>
          <w:b/>
          <w:bCs/>
          <w:i/>
          <w:iCs/>
          <w:noProof/>
          <w:spacing w:val="-8"/>
        </w:rPr>
        <w:t xml:space="preserve">RU </w:t>
      </w:r>
      <w:r w:rsidR="0069635E">
        <w:rPr>
          <w:b/>
          <w:bCs/>
          <w:i/>
          <w:iCs/>
          <w:noProof/>
          <w:spacing w:val="-8"/>
        </w:rPr>
        <w:t>platforms</w:t>
      </w:r>
    </w:p>
    <w:p w14:paraId="38DE68A4" w14:textId="4237BA28" w:rsidR="00963413" w:rsidRPr="00273F62" w:rsidRDefault="386D27B1" w:rsidP="000F7EB8">
      <w:pPr>
        <w:pStyle w:val="BodyText"/>
        <w:spacing w:after="240"/>
        <w:ind w:left="0"/>
        <w:rPr>
          <w:noProof/>
          <w:spacing w:val="-8"/>
        </w:rPr>
      </w:pPr>
      <w:r w:rsidRPr="00273F62">
        <w:rPr>
          <w:noProof/>
          <w:spacing w:val="-8"/>
        </w:rPr>
        <w:t>PO</w:t>
      </w:r>
      <w:r w:rsidR="001349B5" w:rsidRPr="00273F62">
        <w:rPr>
          <w:noProof/>
          <w:spacing w:val="-8"/>
        </w:rPr>
        <w:t>3</w:t>
      </w:r>
      <w:r w:rsidR="005709F7" w:rsidRPr="00273F62" w:rsidDel="0015112B">
        <w:rPr>
          <w:noProof/>
          <w:spacing w:val="-8"/>
        </w:rPr>
        <w:t xml:space="preserve"> </w:t>
      </w:r>
      <w:r w:rsidR="0015112B">
        <w:rPr>
          <w:noProof/>
          <w:spacing w:val="-8"/>
        </w:rPr>
        <w:t>addresses</w:t>
      </w:r>
      <w:r w:rsidR="0015112B" w:rsidRPr="00273F62">
        <w:rPr>
          <w:noProof/>
          <w:spacing w:val="-8"/>
        </w:rPr>
        <w:t xml:space="preserve"> </w:t>
      </w:r>
      <w:r w:rsidR="005709F7" w:rsidRPr="00273F62">
        <w:rPr>
          <w:noProof/>
          <w:spacing w:val="-8"/>
        </w:rPr>
        <w:t xml:space="preserve">SO1 in the same manner as </w:t>
      </w:r>
      <w:r w:rsidR="00D5563E" w:rsidRPr="00273F62">
        <w:rPr>
          <w:noProof/>
          <w:spacing w:val="-8"/>
        </w:rPr>
        <w:t xml:space="preserve">PO1 and </w:t>
      </w:r>
      <w:r w:rsidR="005709F7" w:rsidRPr="00273F62">
        <w:rPr>
          <w:noProof/>
          <w:spacing w:val="-8"/>
        </w:rPr>
        <w:t>PO2</w:t>
      </w:r>
      <w:r w:rsidR="00D10919">
        <w:rPr>
          <w:noProof/>
          <w:spacing w:val="-8"/>
        </w:rPr>
        <w:t>,</w:t>
      </w:r>
      <w:r w:rsidR="005709F7" w:rsidRPr="00273F62">
        <w:rPr>
          <w:noProof/>
          <w:spacing w:val="-8"/>
        </w:rPr>
        <w:t xml:space="preserve"> but</w:t>
      </w:r>
      <w:r w:rsidRPr="00273F62">
        <w:rPr>
          <w:noProof/>
          <w:spacing w:val="-8"/>
        </w:rPr>
        <w:t xml:space="preserve"> </w:t>
      </w:r>
      <w:r w:rsidR="00DA7B62">
        <w:rPr>
          <w:noProof/>
          <w:spacing w:val="-8"/>
        </w:rPr>
        <w:t>it further addresses</w:t>
      </w:r>
      <w:r w:rsidR="0028026C" w:rsidRPr="00273F62">
        <w:rPr>
          <w:noProof/>
          <w:spacing w:val="-8"/>
        </w:rPr>
        <w:t xml:space="preserve"> SO2 by </w:t>
      </w:r>
      <w:r w:rsidR="5720DDAE" w:rsidRPr="00273F62">
        <w:rPr>
          <w:noProof/>
          <w:spacing w:val="-8"/>
        </w:rPr>
        <w:t xml:space="preserve">mandating that </w:t>
      </w:r>
      <w:r w:rsidR="0025399F" w:rsidRPr="00273F62">
        <w:rPr>
          <w:noProof/>
          <w:spacing w:val="-8"/>
        </w:rPr>
        <w:t>indispensable</w:t>
      </w:r>
      <w:r w:rsidR="7395865B" w:rsidRPr="00273F62">
        <w:rPr>
          <w:noProof/>
          <w:spacing w:val="-8"/>
        </w:rPr>
        <w:t xml:space="preserve"> </w:t>
      </w:r>
      <w:r w:rsidR="00BB5DD1" w:rsidRPr="00273F62">
        <w:rPr>
          <w:noProof/>
          <w:spacing w:val="-8"/>
        </w:rPr>
        <w:t>RU</w:t>
      </w:r>
      <w:r w:rsidR="00C57F71" w:rsidRPr="00273F62">
        <w:rPr>
          <w:noProof/>
          <w:spacing w:val="-8"/>
        </w:rPr>
        <w:t xml:space="preserve"> platforms</w:t>
      </w:r>
      <w:r w:rsidR="7395865B" w:rsidRPr="00273F62">
        <w:rPr>
          <w:noProof/>
          <w:spacing w:val="-8"/>
        </w:rPr>
        <w:t xml:space="preserve"> </w:t>
      </w:r>
      <w:r w:rsidR="00EB289E" w:rsidRPr="00273F62">
        <w:rPr>
          <w:noProof/>
          <w:spacing w:val="-8"/>
        </w:rPr>
        <w:t xml:space="preserve">shall </w:t>
      </w:r>
      <w:r w:rsidR="30A35F8F" w:rsidRPr="00273F62">
        <w:rPr>
          <w:noProof/>
          <w:spacing w:val="-8"/>
        </w:rPr>
        <w:t xml:space="preserve">enter into agreements with </w:t>
      </w:r>
      <w:r w:rsidR="00F17CE4" w:rsidRPr="00273F62">
        <w:rPr>
          <w:noProof/>
          <w:spacing w:val="-8"/>
        </w:rPr>
        <w:t xml:space="preserve">requesting </w:t>
      </w:r>
      <w:r w:rsidR="00EB289E" w:rsidRPr="00273F62">
        <w:rPr>
          <w:noProof/>
          <w:spacing w:val="-8"/>
        </w:rPr>
        <w:t xml:space="preserve">RUs in order </w:t>
      </w:r>
      <w:r w:rsidR="00C57F71" w:rsidRPr="00273F62">
        <w:rPr>
          <w:noProof/>
          <w:spacing w:val="-8"/>
        </w:rPr>
        <w:t xml:space="preserve">to </w:t>
      </w:r>
      <w:r w:rsidR="00EB289E" w:rsidRPr="00273F62">
        <w:rPr>
          <w:noProof/>
          <w:spacing w:val="-8"/>
        </w:rPr>
        <w:t>distribute</w:t>
      </w:r>
      <w:r w:rsidR="30A35F8F" w:rsidRPr="00273F62">
        <w:rPr>
          <w:noProof/>
          <w:spacing w:val="-8"/>
        </w:rPr>
        <w:t xml:space="preserve"> tickets</w:t>
      </w:r>
      <w:r w:rsidR="00EB289E" w:rsidRPr="00273F62">
        <w:rPr>
          <w:noProof/>
          <w:spacing w:val="-8"/>
        </w:rPr>
        <w:t>,</w:t>
      </w:r>
      <w:r w:rsidR="69957B2E" w:rsidRPr="00273F62">
        <w:rPr>
          <w:noProof/>
          <w:spacing w:val="-8"/>
        </w:rPr>
        <w:t xml:space="preserve"> offered </w:t>
      </w:r>
      <w:r w:rsidR="00EB289E" w:rsidRPr="00273F62">
        <w:rPr>
          <w:noProof/>
          <w:spacing w:val="-8"/>
        </w:rPr>
        <w:t>within the same geographical area</w:t>
      </w:r>
      <w:r w:rsidR="00DF372B" w:rsidRPr="00273F62">
        <w:rPr>
          <w:noProof/>
          <w:spacing w:val="-8"/>
        </w:rPr>
        <w:t xml:space="preserve"> </w:t>
      </w:r>
      <w:r w:rsidR="00C1182C" w:rsidRPr="00273F62">
        <w:rPr>
          <w:noProof/>
          <w:spacing w:val="-8"/>
        </w:rPr>
        <w:t xml:space="preserve">in which </w:t>
      </w:r>
      <w:r w:rsidR="001615BC" w:rsidRPr="00273F62">
        <w:rPr>
          <w:noProof/>
          <w:spacing w:val="-8"/>
        </w:rPr>
        <w:t xml:space="preserve">the </w:t>
      </w:r>
      <w:r w:rsidR="761311BE" w:rsidRPr="00273F62">
        <w:rPr>
          <w:noProof/>
          <w:spacing w:val="-8"/>
        </w:rPr>
        <w:t xml:space="preserve">indispensable </w:t>
      </w:r>
      <w:r w:rsidR="00676963" w:rsidRPr="00273F62">
        <w:rPr>
          <w:noProof/>
          <w:spacing w:val="-8"/>
        </w:rPr>
        <w:t xml:space="preserve">RU </w:t>
      </w:r>
      <w:r w:rsidR="00EB289E" w:rsidRPr="00273F62">
        <w:rPr>
          <w:noProof/>
          <w:spacing w:val="-8"/>
        </w:rPr>
        <w:t>platform is active</w:t>
      </w:r>
      <w:r w:rsidR="7D7CA291" w:rsidRPr="00273F62">
        <w:rPr>
          <w:noProof/>
          <w:spacing w:val="-8"/>
        </w:rPr>
        <w:t>, including</w:t>
      </w:r>
      <w:r w:rsidR="00612F66" w:rsidRPr="00273F62">
        <w:rPr>
          <w:noProof/>
          <w:spacing w:val="-8"/>
        </w:rPr>
        <w:t xml:space="preserve"> cross-border services</w:t>
      </w:r>
      <w:r w:rsidR="122F4148" w:rsidRPr="00273F62">
        <w:rPr>
          <w:noProof/>
          <w:spacing w:val="-8"/>
        </w:rPr>
        <w:t xml:space="preserve"> to </w:t>
      </w:r>
      <w:r w:rsidR="00EB289E" w:rsidRPr="00273F62">
        <w:rPr>
          <w:noProof/>
          <w:spacing w:val="-8"/>
        </w:rPr>
        <w:t>and</w:t>
      </w:r>
      <w:r w:rsidR="122F4148" w:rsidRPr="00273F62">
        <w:rPr>
          <w:noProof/>
          <w:spacing w:val="-8"/>
        </w:rPr>
        <w:t xml:space="preserve"> from the Member State </w:t>
      </w:r>
      <w:r w:rsidR="00552814" w:rsidRPr="00273F62">
        <w:rPr>
          <w:noProof/>
          <w:spacing w:val="-8"/>
        </w:rPr>
        <w:t>(PM14)</w:t>
      </w:r>
      <w:r w:rsidR="00EB289E" w:rsidRPr="00273F62">
        <w:rPr>
          <w:noProof/>
          <w:spacing w:val="-8"/>
        </w:rPr>
        <w:t>. They must apply non-discriminatory and reasonable contract conditions as described in PM11.</w:t>
      </w:r>
      <w:r w:rsidR="008A7887" w:rsidRPr="00273F62">
        <w:rPr>
          <w:noProof/>
          <w:spacing w:val="-8"/>
        </w:rPr>
        <w:t xml:space="preserve"> </w:t>
      </w:r>
      <w:r w:rsidR="00DC708E" w:rsidRPr="00273F62">
        <w:rPr>
          <w:noProof/>
          <w:spacing w:val="-8"/>
        </w:rPr>
        <w:t>PO3 would thus foster the comple</w:t>
      </w:r>
      <w:r w:rsidR="00921904" w:rsidRPr="00273F62">
        <w:rPr>
          <w:noProof/>
          <w:spacing w:val="-8"/>
        </w:rPr>
        <w:t xml:space="preserve">teness of the offer on </w:t>
      </w:r>
      <w:r w:rsidR="00E80480" w:rsidRPr="00273F62">
        <w:rPr>
          <w:noProof/>
          <w:spacing w:val="-8"/>
        </w:rPr>
        <w:t xml:space="preserve">both </w:t>
      </w:r>
      <w:r w:rsidR="00E9212A" w:rsidRPr="00273F62">
        <w:rPr>
          <w:noProof/>
          <w:spacing w:val="-8"/>
        </w:rPr>
        <w:t xml:space="preserve">independent MDMS and </w:t>
      </w:r>
      <w:r w:rsidR="00E80480" w:rsidRPr="00273F62">
        <w:rPr>
          <w:noProof/>
          <w:spacing w:val="-8"/>
        </w:rPr>
        <w:t>ind</w:t>
      </w:r>
      <w:r w:rsidR="00893490" w:rsidRPr="00273F62">
        <w:rPr>
          <w:noProof/>
          <w:spacing w:val="-8"/>
        </w:rPr>
        <w:t xml:space="preserve">ispensable RU platforms, providing the traveller ample choice on </w:t>
      </w:r>
      <w:r w:rsidR="00A57A9D" w:rsidRPr="00273F62">
        <w:rPr>
          <w:noProof/>
          <w:spacing w:val="-8"/>
        </w:rPr>
        <w:t xml:space="preserve">all platforms, including the ones he uses most. This is expected to </w:t>
      </w:r>
      <w:r w:rsidR="00862E7C" w:rsidRPr="00273F62">
        <w:rPr>
          <w:noProof/>
          <w:spacing w:val="-8"/>
        </w:rPr>
        <w:t>address SO2</w:t>
      </w:r>
      <w:r w:rsidR="00FA07CB" w:rsidRPr="00273F62">
        <w:rPr>
          <w:noProof/>
          <w:spacing w:val="-8"/>
        </w:rPr>
        <w:t xml:space="preserve"> quicker than other policy options</w:t>
      </w:r>
      <w:r w:rsidR="004A0B53" w:rsidRPr="00273F62">
        <w:rPr>
          <w:noProof/>
          <w:spacing w:val="-8"/>
        </w:rPr>
        <w:t xml:space="preserve">. </w:t>
      </w:r>
      <w:r w:rsidR="00F72D1D" w:rsidRPr="00273F62">
        <w:rPr>
          <w:noProof/>
          <w:spacing w:val="-8"/>
        </w:rPr>
        <w:t>This obligation w</w:t>
      </w:r>
      <w:r w:rsidR="1649161A" w:rsidRPr="00273F62">
        <w:rPr>
          <w:noProof/>
          <w:spacing w:val="-8"/>
        </w:rPr>
        <w:t>ould not apply to incumbents</w:t>
      </w:r>
      <w:r w:rsidR="3A9C1A71" w:rsidRPr="00273F62">
        <w:rPr>
          <w:noProof/>
          <w:spacing w:val="-8"/>
        </w:rPr>
        <w:t>’</w:t>
      </w:r>
      <w:r w:rsidR="1649161A" w:rsidRPr="00273F62">
        <w:rPr>
          <w:noProof/>
          <w:spacing w:val="-8"/>
        </w:rPr>
        <w:t xml:space="preserve"> sales channels </w:t>
      </w:r>
      <w:r w:rsidR="5CF72002" w:rsidRPr="00273F62">
        <w:rPr>
          <w:noProof/>
          <w:spacing w:val="-8"/>
        </w:rPr>
        <w:t>that only sell tick</w:t>
      </w:r>
      <w:r w:rsidR="242441D2" w:rsidRPr="00273F62">
        <w:rPr>
          <w:noProof/>
          <w:spacing w:val="-8"/>
        </w:rPr>
        <w:t>e</w:t>
      </w:r>
      <w:r w:rsidR="5CF72002" w:rsidRPr="00273F62">
        <w:rPr>
          <w:noProof/>
          <w:spacing w:val="-8"/>
        </w:rPr>
        <w:t xml:space="preserve">ts </w:t>
      </w:r>
      <w:r w:rsidR="242441D2" w:rsidRPr="00273F62">
        <w:rPr>
          <w:noProof/>
          <w:spacing w:val="-8"/>
        </w:rPr>
        <w:t>of services that they operate directly</w:t>
      </w:r>
      <w:r w:rsidR="1D5617C7" w:rsidRPr="00273F62">
        <w:rPr>
          <w:noProof/>
          <w:spacing w:val="-8"/>
        </w:rPr>
        <w:t>, as</w:t>
      </w:r>
      <w:r w:rsidR="5B4A1EA5" w:rsidRPr="00273F62">
        <w:rPr>
          <w:noProof/>
          <w:spacing w:val="-8"/>
        </w:rPr>
        <w:t xml:space="preserve"> th</w:t>
      </w:r>
      <w:r w:rsidR="3DA16934" w:rsidRPr="00273F62">
        <w:rPr>
          <w:noProof/>
          <w:spacing w:val="-8"/>
        </w:rPr>
        <w:t>ese</w:t>
      </w:r>
      <w:r w:rsidR="1D5617C7" w:rsidRPr="00273F62">
        <w:rPr>
          <w:noProof/>
          <w:spacing w:val="-8"/>
        </w:rPr>
        <w:t xml:space="preserve"> </w:t>
      </w:r>
      <w:r w:rsidR="0B826E69" w:rsidRPr="00273F62">
        <w:rPr>
          <w:noProof/>
          <w:spacing w:val="-8"/>
        </w:rPr>
        <w:t>sales channels</w:t>
      </w:r>
      <w:r w:rsidR="3DA16934" w:rsidRPr="00273F62">
        <w:rPr>
          <w:noProof/>
          <w:spacing w:val="-8"/>
        </w:rPr>
        <w:t xml:space="preserve"> </w:t>
      </w:r>
      <w:r w:rsidR="31AC8E3D" w:rsidRPr="00273F62">
        <w:rPr>
          <w:noProof/>
          <w:spacing w:val="-8"/>
        </w:rPr>
        <w:t xml:space="preserve">do not </w:t>
      </w:r>
      <w:r w:rsidR="154BD490" w:rsidRPr="00273F62">
        <w:rPr>
          <w:noProof/>
          <w:spacing w:val="-8"/>
        </w:rPr>
        <w:t xml:space="preserve">raise </w:t>
      </w:r>
      <w:r w:rsidR="00394266" w:rsidRPr="00273F62">
        <w:rPr>
          <w:noProof/>
          <w:spacing w:val="-8"/>
        </w:rPr>
        <w:t xml:space="preserve">the same user expectations </w:t>
      </w:r>
      <w:r w:rsidR="59B3367D" w:rsidRPr="00273F62">
        <w:rPr>
          <w:noProof/>
          <w:spacing w:val="-8"/>
        </w:rPr>
        <w:t xml:space="preserve">(see </w:t>
      </w:r>
      <w:r w:rsidR="14874E65" w:rsidRPr="00273F62">
        <w:rPr>
          <w:noProof/>
          <w:spacing w:val="-8"/>
        </w:rPr>
        <w:t xml:space="preserve">section </w:t>
      </w:r>
      <w:r w:rsidR="3F6EAD02" w:rsidRPr="00273F62">
        <w:rPr>
          <w:noProof/>
          <w:spacing w:val="-8"/>
        </w:rPr>
        <w:t>2.</w:t>
      </w:r>
      <w:r w:rsidR="00FD716C" w:rsidRPr="00273F62">
        <w:rPr>
          <w:noProof/>
          <w:spacing w:val="-8"/>
        </w:rPr>
        <w:t>1</w:t>
      </w:r>
      <w:r w:rsidR="3F6EAD02" w:rsidRPr="00273F62">
        <w:rPr>
          <w:noProof/>
          <w:spacing w:val="-8"/>
        </w:rPr>
        <w:t>.</w:t>
      </w:r>
      <w:r w:rsidR="00B86C7E">
        <w:rPr>
          <w:noProof/>
          <w:spacing w:val="-8"/>
        </w:rPr>
        <w:t>2</w:t>
      </w:r>
      <w:r w:rsidR="3F6EAD02" w:rsidRPr="00BE4605">
        <w:rPr>
          <w:noProof/>
          <w:spacing w:val="-8"/>
        </w:rPr>
        <w:t>)</w:t>
      </w:r>
      <w:r w:rsidR="0B826E69" w:rsidRPr="00BE4605">
        <w:rPr>
          <w:noProof/>
          <w:spacing w:val="-8"/>
        </w:rPr>
        <w:t xml:space="preserve">. </w:t>
      </w:r>
      <w:r w:rsidR="0B826E69" w:rsidRPr="00273F62">
        <w:rPr>
          <w:noProof/>
          <w:spacing w:val="-8"/>
        </w:rPr>
        <w:t>Requiring such</w:t>
      </w:r>
      <w:r w:rsidR="657DE355" w:rsidRPr="00273F62">
        <w:rPr>
          <w:noProof/>
          <w:spacing w:val="-8"/>
        </w:rPr>
        <w:t xml:space="preserve"> operators</w:t>
      </w:r>
      <w:r w:rsidR="17BD945B" w:rsidRPr="00273F62">
        <w:rPr>
          <w:noProof/>
          <w:spacing w:val="-8"/>
        </w:rPr>
        <w:t xml:space="preserve"> to make </w:t>
      </w:r>
      <w:r w:rsidR="2E4161ED" w:rsidRPr="00273F62">
        <w:rPr>
          <w:noProof/>
          <w:spacing w:val="-8"/>
        </w:rPr>
        <w:t xml:space="preserve">the necessary IT </w:t>
      </w:r>
      <w:r w:rsidR="17BD945B" w:rsidRPr="00273F62">
        <w:rPr>
          <w:noProof/>
          <w:spacing w:val="-8"/>
        </w:rPr>
        <w:t>investment</w:t>
      </w:r>
      <w:r w:rsidR="1BCFCB96" w:rsidRPr="00273F62">
        <w:rPr>
          <w:noProof/>
          <w:spacing w:val="-8"/>
        </w:rPr>
        <w:t>s</w:t>
      </w:r>
      <w:r w:rsidR="17BD945B" w:rsidRPr="00273F62">
        <w:rPr>
          <w:noProof/>
          <w:spacing w:val="-8"/>
        </w:rPr>
        <w:t xml:space="preserve"> and enter </w:t>
      </w:r>
      <w:r w:rsidR="6E07CBB5" w:rsidRPr="00273F62">
        <w:rPr>
          <w:noProof/>
          <w:spacing w:val="-8"/>
        </w:rPr>
        <w:t>the MDMS market</w:t>
      </w:r>
      <w:r w:rsidR="62E07BBE" w:rsidRPr="00273F62">
        <w:rPr>
          <w:noProof/>
          <w:spacing w:val="-8"/>
        </w:rPr>
        <w:t xml:space="preserve"> would be unnecessary and disproportionate</w:t>
      </w:r>
      <w:r w:rsidR="04688A8D" w:rsidRPr="00273F62">
        <w:rPr>
          <w:noProof/>
          <w:spacing w:val="-8"/>
        </w:rPr>
        <w:t>.</w:t>
      </w:r>
    </w:p>
    <w:p w14:paraId="5D1A82C6" w14:textId="238E0C8F" w:rsidR="5B364265" w:rsidRPr="00273F62" w:rsidRDefault="00FA6514" w:rsidP="00984E53">
      <w:pPr>
        <w:pStyle w:val="BodyText"/>
        <w:spacing w:after="240"/>
        <w:ind w:left="0"/>
        <w:rPr>
          <w:noProof/>
          <w:spacing w:val="-8"/>
        </w:rPr>
      </w:pPr>
      <w:r w:rsidRPr="00273F62">
        <w:rPr>
          <w:noProof/>
          <w:spacing w:val="-8"/>
        </w:rPr>
        <w:t>The</w:t>
      </w:r>
      <w:r w:rsidR="007009DD" w:rsidRPr="00273F62">
        <w:rPr>
          <w:noProof/>
          <w:spacing w:val="-8"/>
        </w:rPr>
        <w:t xml:space="preserve"> additional</w:t>
      </w:r>
      <w:r w:rsidRPr="00273F62">
        <w:rPr>
          <w:noProof/>
          <w:spacing w:val="-8"/>
        </w:rPr>
        <w:t xml:space="preserve"> obligation for indispensable </w:t>
      </w:r>
      <w:r w:rsidR="001358ED" w:rsidRPr="00273F62">
        <w:rPr>
          <w:noProof/>
          <w:spacing w:val="-8"/>
        </w:rPr>
        <w:t>RU</w:t>
      </w:r>
      <w:r w:rsidR="00E83437" w:rsidRPr="00273F62">
        <w:rPr>
          <w:noProof/>
          <w:spacing w:val="-8"/>
        </w:rPr>
        <w:t xml:space="preserve"> platforms</w:t>
      </w:r>
      <w:r w:rsidRPr="00273F62">
        <w:rPr>
          <w:noProof/>
          <w:spacing w:val="-8"/>
        </w:rPr>
        <w:t xml:space="preserve"> to host </w:t>
      </w:r>
      <w:r w:rsidR="00DE1994" w:rsidRPr="00273F62">
        <w:rPr>
          <w:noProof/>
          <w:spacing w:val="-8"/>
        </w:rPr>
        <w:t>requesting</w:t>
      </w:r>
      <w:r w:rsidRPr="00273F62">
        <w:rPr>
          <w:noProof/>
          <w:spacing w:val="-8"/>
        </w:rPr>
        <w:t xml:space="preserve"> competitors (</w:t>
      </w:r>
      <w:r w:rsidR="006E7C43" w:rsidRPr="00273F62">
        <w:rPr>
          <w:noProof/>
          <w:spacing w:val="-8"/>
        </w:rPr>
        <w:t>PM14</w:t>
      </w:r>
      <w:r w:rsidRPr="00273F62">
        <w:rPr>
          <w:noProof/>
          <w:spacing w:val="-8"/>
        </w:rPr>
        <w:t>)</w:t>
      </w:r>
      <w:r w:rsidR="007009DD" w:rsidRPr="00273F62">
        <w:rPr>
          <w:noProof/>
          <w:spacing w:val="-8"/>
        </w:rPr>
        <w:t>, as added in PO3,</w:t>
      </w:r>
      <w:r w:rsidR="00D03F32" w:rsidRPr="00273F62">
        <w:rPr>
          <w:noProof/>
          <w:spacing w:val="-8"/>
        </w:rPr>
        <w:t xml:space="preserve"> </w:t>
      </w:r>
      <w:r w:rsidR="0F97F8B9" w:rsidRPr="00273F62">
        <w:rPr>
          <w:noProof/>
          <w:spacing w:val="-8"/>
        </w:rPr>
        <w:t xml:space="preserve">is </w:t>
      </w:r>
      <w:r w:rsidR="00860D5C" w:rsidRPr="00273F62">
        <w:rPr>
          <w:noProof/>
          <w:spacing w:val="-8"/>
        </w:rPr>
        <w:t xml:space="preserve">not consensual amongst stakeholders. </w:t>
      </w:r>
      <w:r w:rsidR="003E05DF" w:rsidRPr="00273F62">
        <w:rPr>
          <w:noProof/>
          <w:spacing w:val="-8"/>
        </w:rPr>
        <w:t xml:space="preserve">In interviews, 12 of 15 </w:t>
      </w:r>
      <w:r w:rsidR="00E509BB" w:rsidRPr="00273F62">
        <w:rPr>
          <w:noProof/>
          <w:spacing w:val="-8"/>
        </w:rPr>
        <w:t xml:space="preserve">stakeholders </w:t>
      </w:r>
      <w:r w:rsidR="0084659E" w:rsidRPr="00273F62">
        <w:rPr>
          <w:noProof/>
          <w:spacing w:val="-8"/>
        </w:rPr>
        <w:t xml:space="preserve">who provided their views on </w:t>
      </w:r>
      <w:r w:rsidR="001A567B" w:rsidRPr="00273F62">
        <w:rPr>
          <w:noProof/>
          <w:spacing w:val="-8"/>
        </w:rPr>
        <w:t>PM1</w:t>
      </w:r>
      <w:r w:rsidR="00C80C45" w:rsidRPr="00273F62">
        <w:rPr>
          <w:noProof/>
          <w:spacing w:val="-8"/>
        </w:rPr>
        <w:t>4</w:t>
      </w:r>
      <w:r w:rsidR="003B3774" w:rsidRPr="00273F62">
        <w:rPr>
          <w:noProof/>
          <w:spacing w:val="-8"/>
        </w:rPr>
        <w:t xml:space="preserve"> </w:t>
      </w:r>
      <w:r w:rsidR="0088405D" w:rsidRPr="00273F62">
        <w:rPr>
          <w:noProof/>
          <w:spacing w:val="-8"/>
        </w:rPr>
        <w:t xml:space="preserve">viewed that </w:t>
      </w:r>
      <w:r w:rsidR="005960BA" w:rsidRPr="00273F62">
        <w:rPr>
          <w:noProof/>
          <w:spacing w:val="-8"/>
        </w:rPr>
        <w:t>a more cooperative, commercially driven approach is preferable to outright regulatory imposition</w:t>
      </w:r>
      <w:r w:rsidR="00243683" w:rsidRPr="00273F62">
        <w:rPr>
          <w:noProof/>
          <w:spacing w:val="-8"/>
          <w:vertAlign w:val="superscript"/>
        </w:rPr>
        <w:footnoteReference w:id="170"/>
      </w:r>
      <w:r w:rsidR="00CE685C">
        <w:rPr>
          <w:noProof/>
          <w:spacing w:val="-8"/>
        </w:rPr>
        <w:t>.</w:t>
      </w:r>
      <w:r w:rsidR="005960BA" w:rsidRPr="00273F62">
        <w:rPr>
          <w:noProof/>
          <w:spacing w:val="-8"/>
        </w:rPr>
        <w:t xml:space="preserve"> </w:t>
      </w:r>
      <w:r w:rsidR="00D97626" w:rsidRPr="00273F62">
        <w:rPr>
          <w:noProof/>
          <w:spacing w:val="-8"/>
        </w:rPr>
        <w:t>T</w:t>
      </w:r>
      <w:r w:rsidR="00860D5C" w:rsidRPr="00273F62">
        <w:rPr>
          <w:noProof/>
          <w:spacing w:val="-8"/>
        </w:rPr>
        <w:t xml:space="preserve">wo </w:t>
      </w:r>
      <w:r w:rsidR="003F57CA" w:rsidRPr="00273F62">
        <w:rPr>
          <w:noProof/>
          <w:spacing w:val="-8"/>
        </w:rPr>
        <w:t xml:space="preserve">incumbents and their industry </w:t>
      </w:r>
      <w:r w:rsidR="007379ED" w:rsidRPr="00273F62">
        <w:rPr>
          <w:noProof/>
          <w:spacing w:val="-8"/>
        </w:rPr>
        <w:t xml:space="preserve">association, </w:t>
      </w:r>
      <w:r w:rsidR="00223C69" w:rsidRPr="00273F62">
        <w:rPr>
          <w:noProof/>
          <w:spacing w:val="-8"/>
        </w:rPr>
        <w:t>a</w:t>
      </w:r>
      <w:r w:rsidR="008424F7" w:rsidRPr="00273F62">
        <w:rPr>
          <w:noProof/>
          <w:spacing w:val="-8"/>
        </w:rPr>
        <w:t>longside</w:t>
      </w:r>
      <w:r w:rsidR="00223C69" w:rsidRPr="00273F62">
        <w:rPr>
          <w:noProof/>
          <w:spacing w:val="-8"/>
        </w:rPr>
        <w:t xml:space="preserve"> a</w:t>
      </w:r>
      <w:r w:rsidR="00C078EE" w:rsidRPr="00273F62">
        <w:rPr>
          <w:noProof/>
          <w:spacing w:val="-8"/>
        </w:rPr>
        <w:t>n</w:t>
      </w:r>
      <w:r w:rsidR="00223C69" w:rsidRPr="00273F62">
        <w:rPr>
          <w:noProof/>
          <w:spacing w:val="-8"/>
        </w:rPr>
        <w:t xml:space="preserve"> </w:t>
      </w:r>
      <w:r w:rsidR="00860D5C" w:rsidRPr="00273F62">
        <w:rPr>
          <w:noProof/>
          <w:spacing w:val="-8"/>
        </w:rPr>
        <w:t>MDMS</w:t>
      </w:r>
      <w:r w:rsidR="009C6FD5" w:rsidRPr="00273F62">
        <w:rPr>
          <w:noProof/>
          <w:spacing w:val="-8"/>
        </w:rPr>
        <w:t xml:space="preserve"> </w:t>
      </w:r>
      <w:r w:rsidR="00860D5C" w:rsidRPr="00273F62">
        <w:rPr>
          <w:noProof/>
          <w:spacing w:val="-8"/>
        </w:rPr>
        <w:t xml:space="preserve">express </w:t>
      </w:r>
      <w:r w:rsidR="00943013" w:rsidRPr="00273F62">
        <w:rPr>
          <w:noProof/>
          <w:spacing w:val="-8"/>
        </w:rPr>
        <w:t xml:space="preserve">fear that </w:t>
      </w:r>
      <w:r w:rsidR="0062442E" w:rsidRPr="00273F62">
        <w:rPr>
          <w:noProof/>
          <w:spacing w:val="-8"/>
        </w:rPr>
        <w:t>PM1</w:t>
      </w:r>
      <w:r w:rsidR="00263185" w:rsidRPr="00273F62">
        <w:rPr>
          <w:noProof/>
          <w:spacing w:val="-8"/>
        </w:rPr>
        <w:t>4</w:t>
      </w:r>
      <w:r w:rsidR="0062442E" w:rsidRPr="00273F62">
        <w:rPr>
          <w:noProof/>
          <w:spacing w:val="-8"/>
        </w:rPr>
        <w:t xml:space="preserve"> w</w:t>
      </w:r>
      <w:r w:rsidR="00263185" w:rsidRPr="00273F62">
        <w:rPr>
          <w:noProof/>
          <w:spacing w:val="-8"/>
        </w:rPr>
        <w:t>ould</w:t>
      </w:r>
      <w:r w:rsidR="0062442E" w:rsidRPr="00273F62">
        <w:rPr>
          <w:noProof/>
          <w:spacing w:val="-8"/>
        </w:rPr>
        <w:t xml:space="preserve"> </w:t>
      </w:r>
      <w:r w:rsidR="002C6075" w:rsidRPr="00273F62">
        <w:rPr>
          <w:noProof/>
          <w:spacing w:val="-8"/>
        </w:rPr>
        <w:t>increase</w:t>
      </w:r>
      <w:r w:rsidR="0062442E" w:rsidRPr="00273F62">
        <w:rPr>
          <w:noProof/>
          <w:spacing w:val="-8"/>
        </w:rPr>
        <w:t xml:space="preserve"> market </w:t>
      </w:r>
      <w:r w:rsidR="002C6075" w:rsidRPr="00273F62">
        <w:rPr>
          <w:noProof/>
          <w:spacing w:val="-8"/>
        </w:rPr>
        <w:t>concentration</w:t>
      </w:r>
      <w:r w:rsidR="005257F9" w:rsidRPr="00273F62">
        <w:rPr>
          <w:rStyle w:val="FootnoteReference"/>
          <w:noProof/>
          <w:spacing w:val="-8"/>
        </w:rPr>
        <w:footnoteReference w:id="171"/>
      </w:r>
      <w:r w:rsidR="00DC1A54" w:rsidRPr="00273F62">
        <w:rPr>
          <w:noProof/>
          <w:spacing w:val="-8"/>
        </w:rPr>
        <w:t xml:space="preserve">, and the </w:t>
      </w:r>
      <w:r w:rsidR="00675175" w:rsidRPr="00273F62">
        <w:rPr>
          <w:noProof/>
          <w:spacing w:val="-8"/>
        </w:rPr>
        <w:t>MDMS industry association ADN Mobilités</w:t>
      </w:r>
      <w:r w:rsidR="006252CA" w:rsidRPr="00273F62">
        <w:rPr>
          <w:noProof/>
          <w:spacing w:val="-8"/>
        </w:rPr>
        <w:t xml:space="preserve"> </w:t>
      </w:r>
      <w:r w:rsidR="009427B7" w:rsidRPr="00273F62">
        <w:rPr>
          <w:noProof/>
          <w:spacing w:val="-8"/>
        </w:rPr>
        <w:t>stated in an interview</w:t>
      </w:r>
      <w:r w:rsidR="006252CA" w:rsidRPr="00273F62">
        <w:rPr>
          <w:noProof/>
          <w:spacing w:val="-8"/>
        </w:rPr>
        <w:t xml:space="preserve"> that full integration of competitors on those platfor</w:t>
      </w:r>
      <w:r w:rsidR="004729AC" w:rsidRPr="00273F62">
        <w:rPr>
          <w:noProof/>
          <w:spacing w:val="-8"/>
        </w:rPr>
        <w:t>m</w:t>
      </w:r>
      <w:r w:rsidR="006252CA" w:rsidRPr="00273F62">
        <w:rPr>
          <w:noProof/>
          <w:spacing w:val="-8"/>
        </w:rPr>
        <w:t>s w</w:t>
      </w:r>
      <w:r w:rsidR="002335C8" w:rsidRPr="00273F62">
        <w:rPr>
          <w:noProof/>
          <w:spacing w:val="-8"/>
        </w:rPr>
        <w:t>ould</w:t>
      </w:r>
      <w:r w:rsidR="006252CA" w:rsidRPr="00273F62">
        <w:rPr>
          <w:noProof/>
          <w:spacing w:val="-8"/>
        </w:rPr>
        <w:t xml:space="preserve"> “take years”</w:t>
      </w:r>
      <w:r w:rsidR="002C6075" w:rsidRPr="00273F62">
        <w:rPr>
          <w:noProof/>
          <w:spacing w:val="-8"/>
        </w:rPr>
        <w:t>.</w:t>
      </w:r>
      <w:r w:rsidR="4C7A2B32" w:rsidRPr="00273F62">
        <w:rPr>
          <w:noProof/>
          <w:spacing w:val="-8"/>
        </w:rPr>
        <w:t xml:space="preserve"> </w:t>
      </w:r>
      <w:r w:rsidR="00FA37D8" w:rsidRPr="00273F62">
        <w:rPr>
          <w:noProof/>
          <w:spacing w:val="-8"/>
        </w:rPr>
        <w:t xml:space="preserve">On the contrary, the new entrant </w:t>
      </w:r>
      <w:r w:rsidR="0069366F" w:rsidRPr="00273F62">
        <w:rPr>
          <w:noProof/>
          <w:spacing w:val="-8"/>
        </w:rPr>
        <w:t>industry association All Rail</w:t>
      </w:r>
      <w:r w:rsidR="15D3575F" w:rsidRPr="00273F62">
        <w:rPr>
          <w:noProof/>
          <w:spacing w:val="-8"/>
        </w:rPr>
        <w:t xml:space="preserve"> </w:t>
      </w:r>
      <w:r w:rsidR="00E94D2B" w:rsidRPr="00273F62">
        <w:rPr>
          <w:noProof/>
          <w:spacing w:val="-8"/>
        </w:rPr>
        <w:t>views</w:t>
      </w:r>
      <w:r w:rsidR="000D588C" w:rsidRPr="00273F62">
        <w:rPr>
          <w:noProof/>
          <w:spacing w:val="-8"/>
        </w:rPr>
        <w:t xml:space="preserve"> </w:t>
      </w:r>
      <w:r w:rsidR="00E94D2B" w:rsidRPr="00273F62">
        <w:rPr>
          <w:noProof/>
          <w:spacing w:val="-8"/>
        </w:rPr>
        <w:t>PM1</w:t>
      </w:r>
      <w:r w:rsidR="00A51A00" w:rsidRPr="00273F62">
        <w:rPr>
          <w:noProof/>
          <w:spacing w:val="-8"/>
        </w:rPr>
        <w:t>4</w:t>
      </w:r>
      <w:r w:rsidR="4C7A2B32" w:rsidRPr="00273F62">
        <w:rPr>
          <w:noProof/>
          <w:spacing w:val="-8"/>
        </w:rPr>
        <w:t xml:space="preserve"> as </w:t>
      </w:r>
      <w:r w:rsidR="00B30990" w:rsidRPr="00273F62">
        <w:rPr>
          <w:noProof/>
          <w:spacing w:val="-8"/>
        </w:rPr>
        <w:t xml:space="preserve">a </w:t>
      </w:r>
      <w:r w:rsidR="003051F8" w:rsidRPr="00273F62">
        <w:rPr>
          <w:noProof/>
          <w:spacing w:val="-8"/>
        </w:rPr>
        <w:t>“game changer”</w:t>
      </w:r>
      <w:r w:rsidR="4C7A2B32" w:rsidRPr="00273F62">
        <w:rPr>
          <w:noProof/>
          <w:spacing w:val="-8"/>
        </w:rPr>
        <w:t xml:space="preserve"> to improve effectiveness and enhance the visibility of new entrant </w:t>
      </w:r>
      <w:r w:rsidR="001358ED" w:rsidRPr="00273F62">
        <w:rPr>
          <w:noProof/>
          <w:spacing w:val="-8"/>
        </w:rPr>
        <w:t>RU</w:t>
      </w:r>
      <w:r w:rsidR="003051F8" w:rsidRPr="00273F62">
        <w:rPr>
          <w:noProof/>
          <w:spacing w:val="-8"/>
        </w:rPr>
        <w:t>s</w:t>
      </w:r>
      <w:r w:rsidR="4C7A2B32" w:rsidRPr="00273F62">
        <w:rPr>
          <w:noProof/>
          <w:spacing w:val="-8"/>
        </w:rPr>
        <w:t xml:space="preserve"> in the EU</w:t>
      </w:r>
      <w:r w:rsidR="00B30990" w:rsidRPr="00273F62">
        <w:rPr>
          <w:noProof/>
          <w:spacing w:val="-8"/>
        </w:rPr>
        <w:t xml:space="preserve"> and</w:t>
      </w:r>
      <w:r w:rsidR="00A84D55" w:rsidRPr="00273F62">
        <w:rPr>
          <w:noProof/>
          <w:spacing w:val="-8"/>
        </w:rPr>
        <w:t xml:space="preserve"> potentially “doubling the modal shift </w:t>
      </w:r>
      <w:r w:rsidR="00B23275" w:rsidRPr="00273F62">
        <w:rPr>
          <w:noProof/>
          <w:spacing w:val="-8"/>
        </w:rPr>
        <w:t xml:space="preserve">of rail for </w:t>
      </w:r>
      <w:r w:rsidR="00B30990" w:rsidRPr="00273F62">
        <w:rPr>
          <w:noProof/>
          <w:spacing w:val="-8"/>
        </w:rPr>
        <w:t>long</w:t>
      </w:r>
      <w:r w:rsidR="00B23275" w:rsidRPr="00273F62">
        <w:rPr>
          <w:noProof/>
          <w:spacing w:val="-8"/>
        </w:rPr>
        <w:t>-distance</w:t>
      </w:r>
      <w:r w:rsidR="00B30990" w:rsidRPr="00273F62">
        <w:rPr>
          <w:noProof/>
          <w:spacing w:val="-8"/>
        </w:rPr>
        <w:t xml:space="preserve"> travels”</w:t>
      </w:r>
      <w:r w:rsidR="28278E16" w:rsidRPr="00273F62">
        <w:rPr>
          <w:noProof/>
          <w:spacing w:val="-8"/>
        </w:rPr>
        <w:t xml:space="preserve">. </w:t>
      </w:r>
      <w:r w:rsidR="00986F9C" w:rsidRPr="00273F62">
        <w:rPr>
          <w:noProof/>
          <w:spacing w:val="-8"/>
        </w:rPr>
        <w:t>Air France-KLM and Finnair</w:t>
      </w:r>
      <w:r w:rsidR="00FA37D8" w:rsidRPr="00273F62">
        <w:rPr>
          <w:noProof/>
          <w:spacing w:val="-8"/>
        </w:rPr>
        <w:t xml:space="preserve"> stressed that this measure should not be applied to the air sector, as the air market is already competitive and well-functioning. </w:t>
      </w:r>
      <w:r w:rsidR="00301E78" w:rsidRPr="00273F62">
        <w:rPr>
          <w:noProof/>
          <w:spacing w:val="-8"/>
        </w:rPr>
        <w:t>I</w:t>
      </w:r>
      <w:r w:rsidR="000E1BE8" w:rsidRPr="00273F62">
        <w:rPr>
          <w:noProof/>
          <w:spacing w:val="-8"/>
        </w:rPr>
        <w:t>n</w:t>
      </w:r>
      <w:r w:rsidR="00233B6C" w:rsidRPr="00273F62">
        <w:rPr>
          <w:noProof/>
          <w:spacing w:val="-8"/>
        </w:rPr>
        <w:t xml:space="preserve"> the </w:t>
      </w:r>
      <w:r w:rsidR="00C2423B">
        <w:rPr>
          <w:noProof/>
          <w:spacing w:val="-8"/>
        </w:rPr>
        <w:t xml:space="preserve">targeted </w:t>
      </w:r>
      <w:r w:rsidR="003F7F1A" w:rsidRPr="00273F62">
        <w:rPr>
          <w:noProof/>
          <w:spacing w:val="-8"/>
        </w:rPr>
        <w:t>survey</w:t>
      </w:r>
      <w:r w:rsidR="00AA62EB" w:rsidRPr="00273F62">
        <w:rPr>
          <w:noProof/>
          <w:spacing w:val="-8"/>
        </w:rPr>
        <w:t>,</w:t>
      </w:r>
      <w:r w:rsidR="003F7F1A" w:rsidRPr="00273F62">
        <w:rPr>
          <w:noProof/>
          <w:spacing w:val="-8"/>
        </w:rPr>
        <w:t xml:space="preserve"> </w:t>
      </w:r>
      <w:r w:rsidR="00233B6C" w:rsidRPr="00273F62">
        <w:rPr>
          <w:noProof/>
          <w:spacing w:val="-8"/>
        </w:rPr>
        <w:t xml:space="preserve">stakeholders also </w:t>
      </w:r>
      <w:r w:rsidR="00AA62EB" w:rsidRPr="00273F62">
        <w:rPr>
          <w:noProof/>
          <w:spacing w:val="-8"/>
        </w:rPr>
        <w:t>expressed</w:t>
      </w:r>
      <w:r w:rsidR="00233B6C" w:rsidRPr="00273F62">
        <w:rPr>
          <w:noProof/>
          <w:spacing w:val="-8"/>
        </w:rPr>
        <w:t xml:space="preserve"> diverging views. In total, 22 out of 68 stakeholders surveyed expected it to be very (10) or somewhat effective (12). Furthermore, 20 stakeholders surveyed expected it to be very ineffective (19) or somewhat ineffective (1). Finally, 26 stakeholders </w:t>
      </w:r>
      <w:r w:rsidR="00796BD6" w:rsidRPr="00273F62">
        <w:rPr>
          <w:noProof/>
          <w:spacing w:val="-8"/>
        </w:rPr>
        <w:t>surveyed</w:t>
      </w:r>
      <w:r w:rsidR="00233B6C" w:rsidRPr="00273F62">
        <w:rPr>
          <w:noProof/>
          <w:spacing w:val="-8"/>
        </w:rPr>
        <w:t xml:space="preserve"> expressed a neutral view (17) or did not know (9). 15 out of 27 transport operators surveyed believed this obligation would be very ineffective while </w:t>
      </w:r>
      <w:r w:rsidR="001A6015">
        <w:rPr>
          <w:noProof/>
          <w:spacing w:val="-8"/>
        </w:rPr>
        <w:t>the</w:t>
      </w:r>
      <w:r w:rsidR="00233B6C" w:rsidRPr="00273F62">
        <w:rPr>
          <w:noProof/>
          <w:spacing w:val="-8"/>
        </w:rPr>
        <w:t xml:space="preserve"> MDMS platforms surveyed thought the effect of </w:t>
      </w:r>
      <w:r w:rsidR="00233B6C" w:rsidRPr="001B51AE">
        <w:rPr>
          <w:noProof/>
          <w:spacing w:val="-8"/>
        </w:rPr>
        <w:t>PM1</w:t>
      </w:r>
      <w:r w:rsidR="003339CF">
        <w:rPr>
          <w:noProof/>
          <w:spacing w:val="-8"/>
        </w:rPr>
        <w:t>4</w:t>
      </w:r>
      <w:r w:rsidR="00233B6C" w:rsidRPr="00273F62">
        <w:rPr>
          <w:noProof/>
          <w:spacing w:val="-8"/>
        </w:rPr>
        <w:t xml:space="preserve"> would be either neutral (7 out of 20) or ‘very’ ineffective (</w:t>
      </w:r>
      <w:r w:rsidR="52E87D8D" w:rsidRPr="00273F62">
        <w:rPr>
          <w:noProof/>
          <w:spacing w:val="-8"/>
        </w:rPr>
        <w:t>5 out of 20, of which 2 vertically integrated MDMS</w:t>
      </w:r>
      <w:r w:rsidR="00233B6C" w:rsidRPr="00273F62">
        <w:rPr>
          <w:noProof/>
          <w:spacing w:val="-8"/>
        </w:rPr>
        <w:t xml:space="preserve">). </w:t>
      </w:r>
      <w:r w:rsidR="00E44EF7" w:rsidRPr="00273F62">
        <w:rPr>
          <w:noProof/>
          <w:spacing w:val="-8"/>
        </w:rPr>
        <w:t>By contrast</w:t>
      </w:r>
      <w:r w:rsidR="00233B6C" w:rsidRPr="00273F62">
        <w:rPr>
          <w:noProof/>
          <w:spacing w:val="-8"/>
        </w:rPr>
        <w:t xml:space="preserve">, </w:t>
      </w:r>
      <w:r w:rsidR="00E44EF7" w:rsidRPr="00273F62">
        <w:rPr>
          <w:noProof/>
          <w:spacing w:val="-8"/>
        </w:rPr>
        <w:t>6 out of 11</w:t>
      </w:r>
      <w:r w:rsidR="00233B6C" w:rsidRPr="00273F62">
        <w:rPr>
          <w:noProof/>
          <w:spacing w:val="-8"/>
        </w:rPr>
        <w:t xml:space="preserve"> national authorities surveyed and </w:t>
      </w:r>
      <w:r w:rsidR="00E44EF7" w:rsidRPr="00273F62">
        <w:rPr>
          <w:noProof/>
          <w:spacing w:val="-8"/>
        </w:rPr>
        <w:t>6 out of 10</w:t>
      </w:r>
      <w:r w:rsidR="00233B6C" w:rsidRPr="00273F62">
        <w:rPr>
          <w:noProof/>
          <w:spacing w:val="-8"/>
        </w:rPr>
        <w:t xml:space="preserve"> ‘other’ stakeholders surveyed </w:t>
      </w:r>
      <w:r w:rsidR="0039046B" w:rsidRPr="00273F62">
        <w:rPr>
          <w:noProof/>
          <w:spacing w:val="-8"/>
        </w:rPr>
        <w:t>found</w:t>
      </w:r>
      <w:r w:rsidR="00233B6C" w:rsidRPr="00273F62">
        <w:rPr>
          <w:noProof/>
          <w:spacing w:val="-8"/>
        </w:rPr>
        <w:t xml:space="preserve"> PM14 </w:t>
      </w:r>
      <w:r w:rsidR="0039046B" w:rsidRPr="00273F62">
        <w:rPr>
          <w:noProof/>
          <w:spacing w:val="-8"/>
        </w:rPr>
        <w:t>to</w:t>
      </w:r>
      <w:r w:rsidR="00233B6C" w:rsidRPr="00273F62">
        <w:rPr>
          <w:noProof/>
          <w:spacing w:val="-8"/>
        </w:rPr>
        <w:t xml:space="preserve"> be effective, therefore counterbalancing the position of </w:t>
      </w:r>
      <w:r w:rsidR="008715C7" w:rsidRPr="00273F62">
        <w:rPr>
          <w:noProof/>
          <w:spacing w:val="-8"/>
        </w:rPr>
        <w:t xml:space="preserve">vertically integrated </w:t>
      </w:r>
      <w:r w:rsidR="00233B6C" w:rsidRPr="00273F62">
        <w:rPr>
          <w:noProof/>
          <w:spacing w:val="-8"/>
        </w:rPr>
        <w:t xml:space="preserve">platforms and operators. </w:t>
      </w:r>
      <w:r w:rsidR="00280743" w:rsidRPr="00273F62">
        <w:rPr>
          <w:rFonts w:eastAsiaTheme="minorEastAsia"/>
          <w:noProof/>
          <w:spacing w:val="-8"/>
        </w:rPr>
        <w:t>OPC participants were asked whether they support an obligation for the integration, on the basis of reasonable terms, of operators willing to be part of an MDMS platform. This corresponds to PM14, but the OPC question was not restricted to indispensable rail platforms and referred to all types of MDMS platforms. In the OPC, 152 out of 168 respondents who expressed an opinion found it important while 6 did not. 77 out of 80 stakeholders from industry expressing a view found it important versus 2 who did not.</w:t>
      </w:r>
    </w:p>
    <w:p w14:paraId="50D9A387" w14:textId="217D566F" w:rsidR="00DF17D0" w:rsidRPr="002008AA" w:rsidRDefault="00DF17D0" w:rsidP="007854D6">
      <w:pPr>
        <w:pStyle w:val="BodyText"/>
        <w:keepNext/>
        <w:spacing w:after="240"/>
        <w:ind w:left="0"/>
        <w:rPr>
          <w:b/>
          <w:bCs/>
          <w:i/>
          <w:iCs/>
          <w:noProof/>
          <w:spacing w:val="-8"/>
        </w:rPr>
      </w:pPr>
      <w:bookmarkStart w:id="115" w:name="_Toc220667501"/>
      <w:r w:rsidRPr="002008AA">
        <w:rPr>
          <w:b/>
          <w:bCs/>
          <w:i/>
          <w:iCs/>
          <w:noProof/>
          <w:spacing w:val="-8"/>
        </w:rPr>
        <w:t>Policy option 4</w:t>
      </w:r>
      <w:r w:rsidRPr="002008AA" w:rsidDel="000A39FC">
        <w:rPr>
          <w:b/>
          <w:bCs/>
          <w:i/>
          <w:iCs/>
          <w:noProof/>
          <w:spacing w:val="-8"/>
        </w:rPr>
        <w:t xml:space="preserve"> </w:t>
      </w:r>
      <w:r w:rsidRPr="002008AA">
        <w:rPr>
          <w:b/>
          <w:bCs/>
          <w:i/>
          <w:iCs/>
          <w:noProof/>
          <w:spacing w:val="-8"/>
        </w:rPr>
        <w:t xml:space="preserve">(PO4) – unbundling </w:t>
      </w:r>
      <w:r w:rsidR="00BB5DD1" w:rsidRPr="002008AA">
        <w:rPr>
          <w:b/>
          <w:bCs/>
          <w:i/>
          <w:iCs/>
          <w:noProof/>
          <w:spacing w:val="-8"/>
        </w:rPr>
        <w:t>indispensable RU</w:t>
      </w:r>
      <w:r w:rsidRPr="002008AA">
        <w:rPr>
          <w:b/>
          <w:bCs/>
          <w:i/>
          <w:iCs/>
          <w:noProof/>
          <w:spacing w:val="-8"/>
        </w:rPr>
        <w:t xml:space="preserve"> </w:t>
      </w:r>
      <w:r w:rsidR="0069635E">
        <w:rPr>
          <w:b/>
          <w:bCs/>
          <w:i/>
          <w:iCs/>
          <w:noProof/>
          <w:spacing w:val="-8"/>
        </w:rPr>
        <w:t xml:space="preserve">operators and </w:t>
      </w:r>
      <w:r w:rsidRPr="002008AA">
        <w:rPr>
          <w:b/>
          <w:bCs/>
          <w:i/>
          <w:iCs/>
          <w:noProof/>
          <w:spacing w:val="-8"/>
        </w:rPr>
        <w:t>platforms</w:t>
      </w:r>
      <w:bookmarkEnd w:id="115"/>
    </w:p>
    <w:p w14:paraId="255463E9" w14:textId="37A173EC" w:rsidR="00DF17D0" w:rsidRPr="00BE4605" w:rsidRDefault="00DF17D0" w:rsidP="00DF17D0">
      <w:pPr>
        <w:pStyle w:val="BodyText"/>
        <w:spacing w:after="240"/>
        <w:ind w:left="0"/>
        <w:rPr>
          <w:noProof/>
          <w:spacing w:val="-8"/>
        </w:rPr>
      </w:pPr>
      <w:r w:rsidRPr="00BE4605">
        <w:rPr>
          <w:noProof/>
          <w:spacing w:val="-8"/>
        </w:rPr>
        <w:t>PO4</w:t>
      </w:r>
      <w:r w:rsidR="00FE5ECD" w:rsidRPr="00EF3553" w:rsidDel="000B0618">
        <w:rPr>
          <w:noProof/>
          <w:spacing w:val="-8"/>
        </w:rPr>
        <w:t xml:space="preserve"> </w:t>
      </w:r>
      <w:r w:rsidR="000B0618">
        <w:rPr>
          <w:noProof/>
          <w:spacing w:val="-8"/>
        </w:rPr>
        <w:t xml:space="preserve">addresses </w:t>
      </w:r>
      <w:r w:rsidR="00FE5ECD" w:rsidRPr="00EF3553">
        <w:rPr>
          <w:noProof/>
          <w:spacing w:val="-8"/>
        </w:rPr>
        <w:t>SO</w:t>
      </w:r>
      <w:r w:rsidR="00FE5ECD" w:rsidRPr="00FE5ECD">
        <w:rPr>
          <w:noProof/>
          <w:spacing w:val="-8"/>
        </w:rPr>
        <w:t>1</w:t>
      </w:r>
      <w:r w:rsidR="00FE5ECD" w:rsidRPr="00EF3553">
        <w:rPr>
          <w:noProof/>
          <w:spacing w:val="-8"/>
        </w:rPr>
        <w:t xml:space="preserve"> </w:t>
      </w:r>
      <w:r w:rsidR="00862004">
        <w:rPr>
          <w:noProof/>
          <w:spacing w:val="-8"/>
        </w:rPr>
        <w:t xml:space="preserve">in the same way as PO2 but further addresses </w:t>
      </w:r>
      <w:r w:rsidRPr="005D2D60" w:rsidDel="00862004">
        <w:rPr>
          <w:noProof/>
          <w:spacing w:val="-8"/>
        </w:rPr>
        <w:t>SO2</w:t>
      </w:r>
      <w:r w:rsidR="007050A7" w:rsidRPr="005D2D60" w:rsidDel="00862004">
        <w:rPr>
          <w:noProof/>
          <w:spacing w:val="-8"/>
        </w:rPr>
        <w:t xml:space="preserve"> </w:t>
      </w:r>
      <w:r w:rsidR="007050A7" w:rsidRPr="005D2D60">
        <w:rPr>
          <w:noProof/>
          <w:spacing w:val="-8"/>
        </w:rPr>
        <w:t xml:space="preserve">by </w:t>
      </w:r>
      <w:r w:rsidR="00A46419">
        <w:rPr>
          <w:noProof/>
          <w:spacing w:val="-8"/>
        </w:rPr>
        <w:t>mandating</w:t>
      </w:r>
      <w:r w:rsidRPr="00BE4605">
        <w:rPr>
          <w:noProof/>
          <w:spacing w:val="-8"/>
        </w:rPr>
        <w:t xml:space="preserve"> </w:t>
      </w:r>
      <w:r w:rsidR="00BB5DD1">
        <w:rPr>
          <w:noProof/>
          <w:spacing w:val="-8"/>
        </w:rPr>
        <w:t>indispensable RU</w:t>
      </w:r>
      <w:r w:rsidRPr="00BE4605">
        <w:rPr>
          <w:noProof/>
          <w:spacing w:val="-8"/>
        </w:rPr>
        <w:t xml:space="preserve"> platforms </w:t>
      </w:r>
      <w:r w:rsidR="0090633C">
        <w:rPr>
          <w:noProof/>
          <w:spacing w:val="-8"/>
        </w:rPr>
        <w:t xml:space="preserve">to </w:t>
      </w:r>
      <w:r w:rsidRPr="00BE4605">
        <w:rPr>
          <w:noProof/>
          <w:spacing w:val="-8"/>
        </w:rPr>
        <w:t>unbundle their distribution services from the parent company’s transport activities (i.e. divesting) (PM1</w:t>
      </w:r>
      <w:r w:rsidR="003508FB" w:rsidRPr="00BE4605">
        <w:rPr>
          <w:noProof/>
          <w:spacing w:val="-8"/>
        </w:rPr>
        <w:t>5</w:t>
      </w:r>
      <w:r w:rsidRPr="00BE4605">
        <w:rPr>
          <w:noProof/>
          <w:spacing w:val="-8"/>
        </w:rPr>
        <w:t xml:space="preserve">). </w:t>
      </w:r>
      <w:r w:rsidR="009B1B79">
        <w:rPr>
          <w:noProof/>
          <w:spacing w:val="-8"/>
        </w:rPr>
        <w:t xml:space="preserve">Removing </w:t>
      </w:r>
      <w:r w:rsidR="008F509A">
        <w:rPr>
          <w:noProof/>
          <w:spacing w:val="-8"/>
        </w:rPr>
        <w:t>the vertical integration of the service and ticketing branches</w:t>
      </w:r>
      <w:r w:rsidR="00CC424F">
        <w:rPr>
          <w:noProof/>
          <w:spacing w:val="-8"/>
        </w:rPr>
        <w:t xml:space="preserve"> would </w:t>
      </w:r>
      <w:r w:rsidR="008F509A">
        <w:rPr>
          <w:noProof/>
          <w:spacing w:val="-8"/>
        </w:rPr>
        <w:t xml:space="preserve">also </w:t>
      </w:r>
      <w:r w:rsidR="00CC424F">
        <w:rPr>
          <w:noProof/>
          <w:spacing w:val="-8"/>
        </w:rPr>
        <w:t>remove the</w:t>
      </w:r>
      <w:r w:rsidR="008F509A">
        <w:rPr>
          <w:noProof/>
          <w:spacing w:val="-8"/>
        </w:rPr>
        <w:t>ir</w:t>
      </w:r>
      <w:r w:rsidR="00CC424F">
        <w:rPr>
          <w:noProof/>
          <w:spacing w:val="-8"/>
        </w:rPr>
        <w:t xml:space="preserve"> </w:t>
      </w:r>
      <w:r w:rsidR="00E143F8">
        <w:rPr>
          <w:noProof/>
          <w:spacing w:val="-8"/>
        </w:rPr>
        <w:t xml:space="preserve">mutual incentive </w:t>
      </w:r>
      <w:r w:rsidR="001276CE">
        <w:rPr>
          <w:noProof/>
          <w:spacing w:val="-8"/>
        </w:rPr>
        <w:t xml:space="preserve">to protect </w:t>
      </w:r>
      <w:r w:rsidR="007A717B" w:rsidRPr="005D2D60">
        <w:rPr>
          <w:noProof/>
          <w:spacing w:val="-8"/>
        </w:rPr>
        <w:t>the strong position of incumbent RUs in the upstream passenger rail market</w:t>
      </w:r>
      <w:r w:rsidR="00FB0B9D">
        <w:rPr>
          <w:noProof/>
          <w:spacing w:val="-8"/>
        </w:rPr>
        <w:t>.</w:t>
      </w:r>
      <w:r w:rsidR="001B091D">
        <w:rPr>
          <w:noProof/>
          <w:spacing w:val="-8"/>
        </w:rPr>
        <w:t xml:space="preserve"> </w:t>
      </w:r>
    </w:p>
    <w:p w14:paraId="1D68999B" w14:textId="65A68449" w:rsidR="00DF17D0" w:rsidRPr="00556F73" w:rsidRDefault="0035397A" w:rsidP="00DF17D0">
      <w:pPr>
        <w:pStyle w:val="BodyText"/>
        <w:spacing w:after="240"/>
        <w:ind w:left="0"/>
        <w:rPr>
          <w:rFonts w:eastAsiaTheme="minorEastAsia"/>
          <w:noProof/>
          <w:spacing w:val="-8"/>
        </w:rPr>
      </w:pPr>
      <w:r>
        <w:rPr>
          <w:noProof/>
          <w:spacing w:val="-8"/>
        </w:rPr>
        <w:t>S</w:t>
      </w:r>
      <w:r w:rsidR="00DF17D0" w:rsidRPr="00BE4605">
        <w:rPr>
          <w:noProof/>
          <w:spacing w:val="-8"/>
        </w:rPr>
        <w:t xml:space="preserve">takeholders participating in the </w:t>
      </w:r>
      <w:r w:rsidR="00B719E7">
        <w:rPr>
          <w:noProof/>
          <w:spacing w:val="-8"/>
        </w:rPr>
        <w:t xml:space="preserve">targeted </w:t>
      </w:r>
      <w:r w:rsidR="00DF17D0" w:rsidRPr="00BE4605">
        <w:rPr>
          <w:noProof/>
          <w:spacing w:val="-8"/>
        </w:rPr>
        <w:t xml:space="preserve">survey appeared to be divided </w:t>
      </w:r>
      <w:r w:rsidR="00E55F7C" w:rsidRPr="00BE4605">
        <w:rPr>
          <w:noProof/>
          <w:spacing w:val="-8"/>
        </w:rPr>
        <w:t xml:space="preserve">regarding </w:t>
      </w:r>
      <w:r w:rsidR="003F21AF" w:rsidRPr="00BE4605">
        <w:rPr>
          <w:noProof/>
          <w:spacing w:val="-8"/>
        </w:rPr>
        <w:t xml:space="preserve">the benefits of </w:t>
      </w:r>
      <w:r w:rsidR="00E55F7C" w:rsidRPr="00BE4605">
        <w:rPr>
          <w:noProof/>
          <w:spacing w:val="-8"/>
        </w:rPr>
        <w:t>unbundling</w:t>
      </w:r>
      <w:r w:rsidR="00DF17D0" w:rsidRPr="00BE4605">
        <w:rPr>
          <w:noProof/>
          <w:spacing w:val="-8"/>
        </w:rPr>
        <w:t>, as 22 out of 69 expected it to be effective</w:t>
      </w:r>
      <w:r w:rsidR="00DF17D0" w:rsidRPr="00BE4605">
        <w:rPr>
          <w:rStyle w:val="FootnoteReference"/>
          <w:noProof/>
          <w:spacing w:val="-8"/>
        </w:rPr>
        <w:footnoteReference w:id="172"/>
      </w:r>
      <w:r w:rsidR="006953AC">
        <w:rPr>
          <w:noProof/>
          <w:spacing w:val="-8"/>
        </w:rPr>
        <w:t>,</w:t>
      </w:r>
      <w:r w:rsidR="00DF17D0" w:rsidRPr="00BE4605">
        <w:rPr>
          <w:noProof/>
          <w:spacing w:val="-8"/>
        </w:rPr>
        <w:t xml:space="preserve"> 20 ineffective</w:t>
      </w:r>
      <w:r w:rsidR="00DF17D0" w:rsidRPr="00BE4605">
        <w:rPr>
          <w:rStyle w:val="FootnoteReference"/>
          <w:noProof/>
          <w:spacing w:val="-8"/>
        </w:rPr>
        <w:footnoteReference w:id="173"/>
      </w:r>
      <w:r w:rsidR="00DF17D0" w:rsidRPr="00BE4605">
        <w:rPr>
          <w:noProof/>
          <w:spacing w:val="-8"/>
        </w:rPr>
        <w:t xml:space="preserve"> and 26 were neutral</w:t>
      </w:r>
      <w:r w:rsidR="00B83636">
        <w:rPr>
          <w:noProof/>
          <w:spacing w:val="-8"/>
        </w:rPr>
        <w:t>/did not know</w:t>
      </w:r>
      <w:r w:rsidR="00DF17D0" w:rsidRPr="00BE4605">
        <w:rPr>
          <w:rStyle w:val="FootnoteReference"/>
          <w:noProof/>
          <w:spacing w:val="-8"/>
        </w:rPr>
        <w:footnoteReference w:id="174"/>
      </w:r>
      <w:r w:rsidR="00DF17D0" w:rsidRPr="00BE4605">
        <w:rPr>
          <w:noProof/>
          <w:spacing w:val="-8"/>
        </w:rPr>
        <w:t xml:space="preserve">. </w:t>
      </w:r>
      <w:r w:rsidR="00E9151A">
        <w:rPr>
          <w:noProof/>
          <w:spacing w:val="-8"/>
        </w:rPr>
        <w:t>Half</w:t>
      </w:r>
      <w:r w:rsidR="00DF17D0" w:rsidRPr="00BE4605">
        <w:rPr>
          <w:noProof/>
          <w:spacing w:val="-8"/>
        </w:rPr>
        <w:t xml:space="preserve"> of transport operators surveyed (15 out of 28) found the measure to be very ineffective, with the notable exception of new entrant </w:t>
      </w:r>
      <w:r w:rsidR="001358ED">
        <w:rPr>
          <w:noProof/>
          <w:spacing w:val="-8"/>
        </w:rPr>
        <w:t>RU</w:t>
      </w:r>
      <w:r w:rsidR="00DF17D0" w:rsidRPr="00BE4605">
        <w:rPr>
          <w:noProof/>
          <w:spacing w:val="-8"/>
        </w:rPr>
        <w:t>s</w:t>
      </w:r>
      <w:r w:rsidR="00F75B92">
        <w:rPr>
          <w:noProof/>
          <w:spacing w:val="-8"/>
        </w:rPr>
        <w:t>.</w:t>
      </w:r>
      <w:r w:rsidR="006C1A7A" w:rsidRPr="00BE4605">
        <w:rPr>
          <w:rFonts w:eastAsiaTheme="minorEastAsia"/>
          <w:noProof/>
          <w:spacing w:val="-8"/>
        </w:rPr>
        <w:t xml:space="preserve"> </w:t>
      </w:r>
      <w:r w:rsidR="001358ED">
        <w:rPr>
          <w:noProof/>
          <w:spacing w:val="-8"/>
        </w:rPr>
        <w:t>RU</w:t>
      </w:r>
      <w:r w:rsidR="00DF17D0" w:rsidRPr="00BE4605">
        <w:rPr>
          <w:rFonts w:eastAsiaTheme="minorEastAsia"/>
          <w:noProof/>
          <w:spacing w:val="-8"/>
        </w:rPr>
        <w:t xml:space="preserve">s with SMP responding </w:t>
      </w:r>
      <w:r w:rsidR="00890AC1">
        <w:rPr>
          <w:rFonts w:eastAsiaTheme="minorEastAsia"/>
          <w:noProof/>
          <w:spacing w:val="-8"/>
        </w:rPr>
        <w:t>(</w:t>
      </w:r>
      <w:r w:rsidR="00890AC1" w:rsidRPr="00844374">
        <w:rPr>
          <w:noProof/>
          <w:spacing w:val="-8"/>
        </w:rPr>
        <w:t>DB and CER</w:t>
      </w:r>
      <w:r w:rsidR="00890AC1">
        <w:rPr>
          <w:rFonts w:eastAsiaTheme="minorEastAsia"/>
          <w:noProof/>
          <w:spacing w:val="-8"/>
        </w:rPr>
        <w:t>)</w:t>
      </w:r>
      <w:r w:rsidR="00DF17D0" w:rsidRPr="00BE4605">
        <w:rPr>
          <w:rFonts w:eastAsiaTheme="minorEastAsia"/>
          <w:noProof/>
          <w:spacing w:val="-8"/>
        </w:rPr>
        <w:t xml:space="preserve"> claimed that unbundling is disruptive and would not bring added value to consumers</w:t>
      </w:r>
      <w:r w:rsidR="002277E5">
        <w:rPr>
          <w:rFonts w:eastAsiaTheme="minorEastAsia"/>
          <w:noProof/>
          <w:spacing w:val="-8"/>
        </w:rPr>
        <w:t xml:space="preserve"> and</w:t>
      </w:r>
      <w:r w:rsidR="00DF17D0" w:rsidRPr="00BE4605">
        <w:rPr>
          <w:rFonts w:eastAsiaTheme="minorEastAsia"/>
          <w:noProof/>
          <w:spacing w:val="-8"/>
        </w:rPr>
        <w:t xml:space="preserve"> would harm functioning of rail services as ticket revenues directly fund </w:t>
      </w:r>
      <w:r w:rsidR="00C215E6">
        <w:rPr>
          <w:rFonts w:eastAsiaTheme="minorEastAsia"/>
          <w:noProof/>
          <w:spacing w:val="-8"/>
        </w:rPr>
        <w:t>them</w:t>
      </w:r>
      <w:r w:rsidR="00DF17D0" w:rsidRPr="00BE4605">
        <w:rPr>
          <w:rFonts w:eastAsiaTheme="minorEastAsia"/>
          <w:noProof/>
          <w:spacing w:val="-8"/>
        </w:rPr>
        <w:t xml:space="preserve">. On the contrary, new entrant </w:t>
      </w:r>
      <w:r w:rsidR="001358ED">
        <w:rPr>
          <w:noProof/>
          <w:spacing w:val="-8"/>
        </w:rPr>
        <w:t>RU</w:t>
      </w:r>
      <w:r w:rsidR="00DF17D0" w:rsidRPr="00BE4605">
        <w:rPr>
          <w:rFonts w:eastAsiaTheme="minorEastAsia"/>
          <w:noProof/>
          <w:spacing w:val="-8"/>
        </w:rPr>
        <w:t xml:space="preserve">s surveyed expressed support for this PM, seen as an </w:t>
      </w:r>
      <w:r w:rsidR="007C34C9">
        <w:rPr>
          <w:rFonts w:eastAsiaTheme="minorEastAsia"/>
          <w:noProof/>
          <w:spacing w:val="-8"/>
        </w:rPr>
        <w:t>effective</w:t>
      </w:r>
      <w:r w:rsidR="007C34C9" w:rsidRPr="00BE4605">
        <w:rPr>
          <w:rFonts w:eastAsiaTheme="minorEastAsia"/>
          <w:noProof/>
          <w:spacing w:val="-8"/>
        </w:rPr>
        <w:t xml:space="preserve"> </w:t>
      </w:r>
      <w:r w:rsidR="00DF17D0" w:rsidRPr="00BE4605">
        <w:rPr>
          <w:rFonts w:eastAsiaTheme="minorEastAsia"/>
          <w:noProof/>
          <w:spacing w:val="-8"/>
        </w:rPr>
        <w:t xml:space="preserve">way to ensure </w:t>
      </w:r>
      <w:r w:rsidR="00182B64">
        <w:rPr>
          <w:rFonts w:eastAsiaTheme="minorEastAsia"/>
          <w:noProof/>
          <w:spacing w:val="-8"/>
        </w:rPr>
        <w:t xml:space="preserve">that </w:t>
      </w:r>
      <w:r w:rsidR="00DF17D0" w:rsidRPr="00BE4605">
        <w:rPr>
          <w:rFonts w:eastAsiaTheme="minorEastAsia"/>
          <w:noProof/>
          <w:spacing w:val="-8"/>
        </w:rPr>
        <w:t xml:space="preserve">passengers can see all rail options for their journeys, citing </w:t>
      </w:r>
      <w:r w:rsidR="000B5FE5" w:rsidRPr="000B5FE5">
        <w:rPr>
          <w:rFonts w:eastAsiaTheme="minorEastAsia"/>
          <w:noProof/>
          <w:spacing w:val="-8"/>
        </w:rPr>
        <w:t xml:space="preserve">positive </w:t>
      </w:r>
      <w:r w:rsidR="00DF17D0" w:rsidRPr="00BE4605">
        <w:rPr>
          <w:rFonts w:eastAsiaTheme="minorEastAsia"/>
          <w:noProof/>
          <w:spacing w:val="-8"/>
        </w:rPr>
        <w:t xml:space="preserve">examples of countries were unbundling in rail is already mandatory. A new entrant also outlined that while unbundling is in theory a very </w:t>
      </w:r>
      <w:r w:rsidR="00B51E19">
        <w:rPr>
          <w:rFonts w:eastAsiaTheme="minorEastAsia"/>
          <w:noProof/>
          <w:spacing w:val="-8"/>
        </w:rPr>
        <w:t>effective</w:t>
      </w:r>
      <w:r w:rsidR="00B51E19" w:rsidRPr="00BE4605">
        <w:rPr>
          <w:rFonts w:eastAsiaTheme="minorEastAsia"/>
          <w:noProof/>
          <w:spacing w:val="-8"/>
        </w:rPr>
        <w:t xml:space="preserve"> </w:t>
      </w:r>
      <w:r w:rsidR="00DF17D0" w:rsidRPr="00BE4605">
        <w:rPr>
          <w:rFonts w:eastAsiaTheme="minorEastAsia"/>
          <w:noProof/>
          <w:spacing w:val="-8"/>
        </w:rPr>
        <w:t>measure, it might be complex to implement.</w:t>
      </w:r>
      <w:r w:rsidR="006557F8">
        <w:rPr>
          <w:rFonts w:eastAsiaTheme="minorEastAsia"/>
          <w:noProof/>
          <w:spacing w:val="-8"/>
        </w:rPr>
        <w:t xml:space="preserve"> </w:t>
      </w:r>
      <w:r w:rsidR="006557F8" w:rsidRPr="006557F8">
        <w:rPr>
          <w:rFonts w:eastAsiaTheme="minorEastAsia"/>
          <w:noProof/>
          <w:spacing w:val="-8"/>
        </w:rPr>
        <w:t>Independent MDMS platforms expressed a more nuanced view, 6 out of 20 finding the measure effective, 10 to have a neutral effect</w:t>
      </w:r>
      <w:r w:rsidR="001324BE">
        <w:rPr>
          <w:rFonts w:eastAsiaTheme="minorEastAsia"/>
          <w:noProof/>
          <w:spacing w:val="-8"/>
        </w:rPr>
        <w:t>/ or did not know</w:t>
      </w:r>
      <w:r w:rsidR="006557F8" w:rsidRPr="006557F8">
        <w:rPr>
          <w:rFonts w:eastAsiaTheme="minorEastAsia"/>
          <w:noProof/>
          <w:spacing w:val="-8"/>
          <w:vertAlign w:val="superscript"/>
        </w:rPr>
        <w:footnoteReference w:id="175"/>
      </w:r>
      <w:r w:rsidR="006557F8" w:rsidRPr="006557F8">
        <w:rPr>
          <w:rFonts w:eastAsiaTheme="minorEastAsia"/>
          <w:noProof/>
          <w:spacing w:val="-8"/>
        </w:rPr>
        <w:t xml:space="preserve"> and 4 ineffective</w:t>
      </w:r>
      <w:r w:rsidR="006557F8" w:rsidRPr="006557F8">
        <w:rPr>
          <w:rFonts w:eastAsiaTheme="minorEastAsia"/>
          <w:noProof/>
          <w:spacing w:val="-8"/>
          <w:vertAlign w:val="superscript"/>
        </w:rPr>
        <w:footnoteReference w:id="176"/>
      </w:r>
      <w:r w:rsidR="006557F8" w:rsidRPr="006557F8">
        <w:rPr>
          <w:rFonts w:eastAsiaTheme="minorEastAsia"/>
          <w:noProof/>
          <w:spacing w:val="-8"/>
        </w:rPr>
        <w:t>.</w:t>
      </w:r>
      <w:r w:rsidR="00214591">
        <w:rPr>
          <w:rFonts w:eastAsiaTheme="minorEastAsia"/>
          <w:noProof/>
          <w:spacing w:val="-8"/>
        </w:rPr>
        <w:t xml:space="preserve"> </w:t>
      </w:r>
    </w:p>
    <w:p w14:paraId="1AF6A020" w14:textId="4197E040" w:rsidR="04A847BC" w:rsidRPr="00D71008" w:rsidRDefault="2471901C" w:rsidP="006E3FA1">
      <w:pPr>
        <w:pStyle w:val="Heading2"/>
        <w:keepNext/>
        <w:numPr>
          <w:ilvl w:val="0"/>
          <w:numId w:val="11"/>
        </w:numPr>
        <w:tabs>
          <w:tab w:val="left" w:pos="1134"/>
        </w:tabs>
        <w:spacing w:before="240" w:after="240"/>
        <w:ind w:left="425" w:hanging="425"/>
        <w:rPr>
          <w:smallCaps/>
          <w:noProof/>
          <w:spacing w:val="-2"/>
        </w:rPr>
      </w:pPr>
      <w:bookmarkStart w:id="116" w:name="_Toc222313226"/>
      <w:bookmarkStart w:id="117" w:name="_Toc222313379"/>
      <w:bookmarkStart w:id="118" w:name="_Toc222313476"/>
      <w:bookmarkStart w:id="119" w:name="6_What_are_the_impacts_of_the_policy_opt"/>
      <w:bookmarkStart w:id="120" w:name="_Toc223979963"/>
      <w:bookmarkEnd w:id="116"/>
      <w:bookmarkEnd w:id="117"/>
      <w:bookmarkEnd w:id="118"/>
      <w:bookmarkEnd w:id="119"/>
      <w:r w:rsidRPr="00D71008">
        <w:rPr>
          <w:smallCaps/>
          <w:noProof/>
          <w:spacing w:val="-2"/>
        </w:rPr>
        <w:t>What are the impacts of the policy options?</w:t>
      </w:r>
      <w:bookmarkEnd w:id="120"/>
    </w:p>
    <w:p w14:paraId="0D01BB62" w14:textId="2E0FAAF4" w:rsidR="00C0044D" w:rsidRPr="00312AB9" w:rsidRDefault="00C0044D" w:rsidP="00312AB9">
      <w:pPr>
        <w:spacing w:after="240"/>
        <w:jc w:val="both"/>
        <w:rPr>
          <w:noProof/>
          <w:spacing w:val="-8"/>
        </w:rPr>
      </w:pPr>
      <w:r w:rsidRPr="00312AB9">
        <w:rPr>
          <w:noProof/>
          <w:spacing w:val="-8"/>
        </w:rPr>
        <w:t>This section summarises the main expected economic, social and environmental impacts of each policy option. The assessment of impacts draws on multiple data sources, including the targeted stakeholders’ consultation and open public consultation, findings from desk research, a</w:t>
      </w:r>
      <w:r w:rsidRPr="00312AB9">
        <w:rPr>
          <w:b/>
          <w:bCs/>
          <w:noProof/>
          <w:spacing w:val="-8"/>
        </w:rPr>
        <w:t xml:space="preserve"> 2024 Eurobarometer survey on ticketing</w:t>
      </w:r>
      <w:r w:rsidRPr="001A29F7">
        <w:rPr>
          <w:rStyle w:val="FootnoteReference"/>
          <w:noProof/>
          <w:spacing w:val="-8"/>
        </w:rPr>
        <w:footnoteReference w:id="177"/>
      </w:r>
      <w:r w:rsidRPr="00312AB9">
        <w:rPr>
          <w:b/>
          <w:bCs/>
          <w:noProof/>
          <w:spacing w:val="-8"/>
        </w:rPr>
        <w:t>,</w:t>
      </w:r>
      <w:r w:rsidRPr="00312AB9">
        <w:rPr>
          <w:noProof/>
          <w:spacing w:val="-8"/>
        </w:rPr>
        <w:t xml:space="preserve"> and the impact assessment support study (including an</w:t>
      </w:r>
      <w:r w:rsidRPr="00312AB9">
        <w:rPr>
          <w:b/>
          <w:bCs/>
          <w:noProof/>
          <w:spacing w:val="-8"/>
        </w:rPr>
        <w:t xml:space="preserve"> in-depth analysis of 100 origin-destination (OD) routes</w:t>
      </w:r>
      <w:r w:rsidRPr="00E76C3C">
        <w:rPr>
          <w:rStyle w:val="FootnoteReference"/>
          <w:noProof/>
          <w:spacing w:val="-8"/>
          <w:vertAlign w:val="baseline"/>
        </w:rPr>
        <w:t>)</w:t>
      </w:r>
      <w:r w:rsidRPr="001A29F7">
        <w:rPr>
          <w:rStyle w:val="FootnoteReference"/>
          <w:noProof/>
          <w:spacing w:val="-8"/>
        </w:rPr>
        <w:footnoteReference w:id="178"/>
      </w:r>
      <w:r w:rsidRPr="00312AB9">
        <w:rPr>
          <w:noProof/>
          <w:spacing w:val="-8"/>
        </w:rPr>
        <w:t>. It builds on the ASTRA model and a Cost Benefit Analysis (CBA) module that is used to calculate the costs and/or benefits of policy measures, aggregate them into options, and compare the costs and benefits of the policy options. The ASTRA model is a well-established model that has been used for numerous impact assessments in the energy, transport and climate action fields for the past 15 years</w:t>
      </w:r>
      <w:r w:rsidRPr="001A29F7">
        <w:rPr>
          <w:rStyle w:val="FootnoteReference"/>
          <w:noProof/>
          <w:spacing w:val="-8"/>
        </w:rPr>
        <w:footnoteReference w:id="179"/>
      </w:r>
      <w:r w:rsidRPr="00312AB9">
        <w:rPr>
          <w:noProof/>
          <w:spacing w:val="-8"/>
        </w:rPr>
        <w:t>. The ASTRA model is used to estimate the impacts of the policy options on transport activity, CO</w:t>
      </w:r>
      <w:r w:rsidRPr="00312AB9">
        <w:rPr>
          <w:noProof/>
          <w:spacing w:val="-8"/>
          <w:vertAlign w:val="subscript"/>
        </w:rPr>
        <w:t>2</w:t>
      </w:r>
      <w:r w:rsidRPr="00312AB9">
        <w:rPr>
          <w:noProof/>
          <w:spacing w:val="-8"/>
        </w:rPr>
        <w:t xml:space="preserve"> emissions, air pollutant emissions and other external costs of transport, as well as the impacts on user costs</w:t>
      </w:r>
      <w:r w:rsidRPr="00420335">
        <w:rPr>
          <w:rStyle w:val="FootnoteReference"/>
          <w:noProof/>
          <w:spacing w:val="-8"/>
        </w:rPr>
        <w:footnoteReference w:id="180"/>
      </w:r>
      <w:r w:rsidRPr="00312AB9">
        <w:rPr>
          <w:noProof/>
          <w:spacing w:val="-8"/>
        </w:rPr>
        <w:t xml:space="preserve">. </w:t>
      </w:r>
    </w:p>
    <w:p w14:paraId="6B40D6BE" w14:textId="77777777" w:rsidR="00365E47" w:rsidRPr="001A29F7" w:rsidRDefault="00365E47" w:rsidP="00365E47">
      <w:pPr>
        <w:spacing w:after="240"/>
        <w:jc w:val="both"/>
        <w:rPr>
          <w:bCs/>
          <w:noProof/>
          <w:spacing w:val="-8"/>
        </w:rPr>
      </w:pPr>
      <w:r w:rsidRPr="00420335">
        <w:rPr>
          <w:bCs/>
          <w:noProof/>
          <w:spacing w:val="-8"/>
        </w:rPr>
        <w:t>The policy measures included in all policy options are expected to improve both the completeness and ability to book alternative transport offerings displayed on MDMS platforms. In all policy options, platforms will be required to present available transport options in a fair, transparent, and unbiased manner and incorporate information on GHG emissions for trips where such data are available. Moreover, the range of transport services displayed on MDMS platforms is expected to expand as transport operators will benefit from fairer contractual conditions when negotiating with indispensable MDMS platforms. The availability of rail offers is expected to expand more significantly in PO2, PO3 and PO4, as indispensable RUs that previously shared their services almost exclusively through their platforms will now be visible on third‑party platforms. The visibility and comparability of rail services are expected to improve further with PO3, as additional RUs will acquire a better access to indispensable RUs platforms, considered as key intermediaries for RUs in expanding their consumer reach. Similar to PO3, PO4 will enhance citizens ability to find and book rail offers, as indispensable RUs platforms’ newly acquired independence will allow new entrant RUs to get better access to key rail platforms. As a result, the policy options are expected to enhance the completeness and the ability to book alternative transport offerings displayed on MDMS platforms to varying degrees.</w:t>
      </w:r>
      <w:r w:rsidRPr="001A29F7">
        <w:rPr>
          <w:bCs/>
          <w:noProof/>
          <w:spacing w:val="-8"/>
        </w:rPr>
        <w:t xml:space="preserve"> </w:t>
      </w:r>
    </w:p>
    <w:p w14:paraId="7745567D" w14:textId="74648533" w:rsidR="00EB3A74" w:rsidRDefault="00365E47" w:rsidP="00B53DFD">
      <w:pPr>
        <w:spacing w:after="240"/>
        <w:jc w:val="both"/>
        <w:rPr>
          <w:noProof/>
          <w:spacing w:val="-8"/>
        </w:rPr>
      </w:pPr>
      <w:r w:rsidRPr="001A29F7">
        <w:rPr>
          <w:bCs/>
          <w:noProof/>
          <w:spacing w:val="-8"/>
        </w:rPr>
        <w:t xml:space="preserve">The completeness and the ability to book service offerings is expected in turn to have an impact on modal shift and journey time. In the first step, the maximum potential modal shift and maximum reduction in the journey time that can be achieved due to the completeness and the ability to book service offerings has been determined based on the </w:t>
      </w:r>
      <w:r w:rsidRPr="001A29F7">
        <w:rPr>
          <w:noProof/>
          <w:spacing w:val="-8"/>
        </w:rPr>
        <w:t xml:space="preserve">2024 Eurobarometer survey on ticketing and the in-depth analysis of 100 origin-destination (OD) routes and have been discussed in an expert workshop and an additional stakeholders’ workshop organised in the context of the impact assessment support </w:t>
      </w:r>
      <w:r w:rsidRPr="00BC1009">
        <w:rPr>
          <w:noProof/>
          <w:spacing w:val="-8"/>
        </w:rPr>
        <w:t xml:space="preserve">study. </w:t>
      </w:r>
      <w:r w:rsidR="6338EEBD" w:rsidRPr="00BC1009">
        <w:rPr>
          <w:noProof/>
          <w:spacing w:val="-8"/>
        </w:rPr>
        <w:t xml:space="preserve">In particular, the maximum potential modal shift was derived from </w:t>
      </w:r>
      <w:r w:rsidR="75002C45" w:rsidRPr="00BC1009">
        <w:rPr>
          <w:noProof/>
          <w:spacing w:val="-8"/>
        </w:rPr>
        <w:t>answers to</w:t>
      </w:r>
      <w:r w:rsidR="7AD16D7D" w:rsidRPr="00BC1009">
        <w:rPr>
          <w:noProof/>
          <w:spacing w:val="-8"/>
        </w:rPr>
        <w:t xml:space="preserve"> Q11 of</w:t>
      </w:r>
      <w:r w:rsidR="6338EEBD" w:rsidRPr="00BC1009">
        <w:rPr>
          <w:noProof/>
          <w:spacing w:val="-8"/>
        </w:rPr>
        <w:t xml:space="preserve"> the Eurobarometer</w:t>
      </w:r>
      <w:r w:rsidR="78A2B6C8" w:rsidRPr="00BC1009">
        <w:rPr>
          <w:noProof/>
          <w:spacing w:val="-8"/>
        </w:rPr>
        <w:t xml:space="preserve"> survey</w:t>
      </w:r>
      <w:r w:rsidR="6338EEBD" w:rsidRPr="00BC1009">
        <w:rPr>
          <w:noProof/>
          <w:spacing w:val="-8"/>
        </w:rPr>
        <w:t xml:space="preserve">, </w:t>
      </w:r>
      <w:r w:rsidR="7CBD7CFB" w:rsidRPr="0075374E">
        <w:rPr>
          <w:rFonts w:eastAsia="Aptos"/>
          <w:noProof/>
          <w:spacing w:val="-8"/>
        </w:rPr>
        <w:t xml:space="preserve">capturing </w:t>
      </w:r>
      <w:r w:rsidR="00AE2BFE" w:rsidRPr="0075374E">
        <w:rPr>
          <w:rFonts w:eastAsia="Aptos"/>
          <w:noProof/>
          <w:spacing w:val="-8"/>
        </w:rPr>
        <w:t xml:space="preserve">stated preferences on </w:t>
      </w:r>
      <w:r w:rsidR="7CBD7CFB" w:rsidRPr="0075374E">
        <w:rPr>
          <w:rFonts w:eastAsia="Aptos"/>
          <w:noProof/>
          <w:spacing w:val="-8"/>
        </w:rPr>
        <w:t xml:space="preserve">change in behaviour among </w:t>
      </w:r>
      <w:r w:rsidR="554A4AED" w:rsidRPr="0075374E">
        <w:rPr>
          <w:noProof/>
          <w:spacing w:val="-8"/>
        </w:rPr>
        <w:t xml:space="preserve">a </w:t>
      </w:r>
      <w:r w:rsidR="00C14A9F" w:rsidRPr="0075374E">
        <w:rPr>
          <w:noProof/>
          <w:spacing w:val="-8"/>
        </w:rPr>
        <w:t>very large and</w:t>
      </w:r>
      <w:r w:rsidR="554A4AED" w:rsidRPr="0075374E">
        <w:rPr>
          <w:noProof/>
          <w:spacing w:val="-8"/>
        </w:rPr>
        <w:t xml:space="preserve"> representative sample of </w:t>
      </w:r>
      <w:r w:rsidR="74EBB939" w:rsidRPr="0075374E">
        <w:rPr>
          <w:noProof/>
          <w:spacing w:val="-8"/>
        </w:rPr>
        <w:t>citizens</w:t>
      </w:r>
      <w:r w:rsidR="7CBD7CFB" w:rsidRPr="0075374E">
        <w:rPr>
          <w:rFonts w:eastAsia="Aptos"/>
          <w:noProof/>
          <w:spacing w:val="-8"/>
        </w:rPr>
        <w:t xml:space="preserve"> who currently never or rarely combine different operators/ modes of transport due to their inability to purchase all tickets in one place. </w:t>
      </w:r>
      <w:r w:rsidR="00833612" w:rsidRPr="0075374E">
        <w:rPr>
          <w:rFonts w:eastAsia="Aptos"/>
          <w:noProof/>
          <w:spacing w:val="-8"/>
        </w:rPr>
        <w:t>Since the Eurobarometer w</w:t>
      </w:r>
      <w:r w:rsidR="00DF1D62" w:rsidRPr="0075374E">
        <w:rPr>
          <w:rFonts w:eastAsia="Aptos"/>
          <w:noProof/>
          <w:spacing w:val="-8"/>
        </w:rPr>
        <w:t>as cond</w:t>
      </w:r>
      <w:r w:rsidR="002251CC" w:rsidRPr="0075374E">
        <w:rPr>
          <w:rFonts w:eastAsia="Aptos"/>
          <w:noProof/>
          <w:spacing w:val="-8"/>
        </w:rPr>
        <w:t>u</w:t>
      </w:r>
      <w:r w:rsidR="00DF1D62" w:rsidRPr="0075374E">
        <w:rPr>
          <w:rFonts w:eastAsia="Aptos"/>
          <w:noProof/>
          <w:spacing w:val="-8"/>
        </w:rPr>
        <w:t>cted on a statistically representative sample, its result</w:t>
      </w:r>
      <w:r w:rsidR="002251CC" w:rsidRPr="0075374E">
        <w:rPr>
          <w:rFonts w:eastAsia="Aptos"/>
          <w:noProof/>
          <w:spacing w:val="-8"/>
        </w:rPr>
        <w:t>s</w:t>
      </w:r>
      <w:r w:rsidR="00DF1D62" w:rsidRPr="0075374E">
        <w:rPr>
          <w:rFonts w:eastAsia="Aptos"/>
          <w:noProof/>
          <w:spacing w:val="-8"/>
        </w:rPr>
        <w:t xml:space="preserve"> are valid for the whole EU population and therefore </w:t>
      </w:r>
      <w:r w:rsidR="004130E4" w:rsidRPr="0075374E">
        <w:rPr>
          <w:rFonts w:eastAsia="Aptos"/>
          <w:noProof/>
          <w:spacing w:val="-8"/>
        </w:rPr>
        <w:t>is a relatively robust basis.</w:t>
      </w:r>
      <w:r w:rsidR="00DF1D62" w:rsidRPr="0075374E">
        <w:rPr>
          <w:rFonts w:eastAsia="Aptos"/>
          <w:noProof/>
          <w:spacing w:val="-8"/>
        </w:rPr>
        <w:t xml:space="preserve"> </w:t>
      </w:r>
      <w:r w:rsidR="00E61E6C">
        <w:rPr>
          <w:rFonts w:eastAsia="Aptos"/>
          <w:noProof/>
          <w:spacing w:val="-8"/>
        </w:rPr>
        <w:t>Assumptions</w:t>
      </w:r>
      <w:r w:rsidR="00954696">
        <w:rPr>
          <w:rFonts w:eastAsia="Aptos"/>
          <w:noProof/>
          <w:spacing w:val="-8"/>
        </w:rPr>
        <w:t xml:space="preserve"> based on </w:t>
      </w:r>
      <w:r w:rsidR="00954696">
        <w:rPr>
          <w:noProof/>
          <w:spacing w:val="-8"/>
        </w:rPr>
        <w:t>s</w:t>
      </w:r>
      <w:r w:rsidR="00954696" w:rsidRPr="00B53DFD">
        <w:rPr>
          <w:noProof/>
          <w:spacing w:val="-8"/>
        </w:rPr>
        <w:t xml:space="preserve">tated </w:t>
      </w:r>
      <w:r w:rsidR="00442429" w:rsidRPr="00B53DFD">
        <w:rPr>
          <w:noProof/>
          <w:spacing w:val="-8"/>
        </w:rPr>
        <w:t>preference</w:t>
      </w:r>
      <w:r w:rsidR="00E61E6C">
        <w:rPr>
          <w:noProof/>
          <w:spacing w:val="-8"/>
        </w:rPr>
        <w:t>s</w:t>
      </w:r>
      <w:r w:rsidR="00442429" w:rsidRPr="00B53DFD">
        <w:rPr>
          <w:noProof/>
          <w:spacing w:val="-8"/>
        </w:rPr>
        <w:t xml:space="preserve"> </w:t>
      </w:r>
      <w:r w:rsidR="000C36B8">
        <w:rPr>
          <w:noProof/>
          <w:spacing w:val="-8"/>
        </w:rPr>
        <w:t>represent</w:t>
      </w:r>
      <w:r w:rsidR="00442429" w:rsidRPr="00B53DFD">
        <w:rPr>
          <w:noProof/>
          <w:spacing w:val="-8"/>
        </w:rPr>
        <w:t xml:space="preserve"> a scientifically sound method to capture expected modal shift</w:t>
      </w:r>
      <w:r w:rsidR="00312628">
        <w:rPr>
          <w:noProof/>
          <w:spacing w:val="-8"/>
        </w:rPr>
        <w:t>,</w:t>
      </w:r>
      <w:r w:rsidR="00442429" w:rsidRPr="00B53DFD">
        <w:rPr>
          <w:noProof/>
          <w:spacing w:val="-8"/>
        </w:rPr>
        <w:t xml:space="preserve"> especially when no real-life </w:t>
      </w:r>
      <w:r w:rsidR="000126F9">
        <w:rPr>
          <w:noProof/>
          <w:spacing w:val="-8"/>
        </w:rPr>
        <w:t>evidence is available</w:t>
      </w:r>
      <w:r w:rsidR="00997D8E">
        <w:rPr>
          <w:noProof/>
          <w:spacing w:val="-8"/>
        </w:rPr>
        <w:t xml:space="preserve"> based on historical data</w:t>
      </w:r>
      <w:r w:rsidR="00442429" w:rsidRPr="00B53DFD">
        <w:rPr>
          <w:noProof/>
          <w:spacing w:val="-8"/>
        </w:rPr>
        <w:t xml:space="preserve">. </w:t>
      </w:r>
      <w:r w:rsidR="007B6CAA">
        <w:rPr>
          <w:noProof/>
          <w:spacing w:val="-8"/>
        </w:rPr>
        <w:t>The</w:t>
      </w:r>
      <w:r w:rsidR="5A1C94DE" w:rsidRPr="0075374E">
        <w:rPr>
          <w:noProof/>
          <w:spacing w:val="-8"/>
        </w:rPr>
        <w:t xml:space="preserve"> maximum potential modal shift is considered to be a conservative estimate, as i</w:t>
      </w:r>
      <w:r w:rsidR="74EBB939" w:rsidRPr="0075374E">
        <w:rPr>
          <w:noProof/>
          <w:spacing w:val="-8"/>
        </w:rPr>
        <w:t>t</w:t>
      </w:r>
      <w:r w:rsidR="7CBD7CFB" w:rsidRPr="0075374E">
        <w:rPr>
          <w:rFonts w:eastAsia="Aptos"/>
          <w:noProof/>
          <w:spacing w:val="-8"/>
        </w:rPr>
        <w:t xml:space="preserve"> does not </w:t>
      </w:r>
      <w:r w:rsidR="6FAFC3D9" w:rsidRPr="0075374E">
        <w:rPr>
          <w:noProof/>
          <w:spacing w:val="-8"/>
        </w:rPr>
        <w:t xml:space="preserve">capture </w:t>
      </w:r>
      <w:r w:rsidR="00AE2BFE" w:rsidRPr="0075374E">
        <w:rPr>
          <w:noProof/>
          <w:spacing w:val="-8"/>
        </w:rPr>
        <w:t xml:space="preserve">stated preferences </w:t>
      </w:r>
      <w:r w:rsidR="000505F0" w:rsidRPr="0075374E">
        <w:rPr>
          <w:noProof/>
          <w:spacing w:val="-8"/>
        </w:rPr>
        <w:t>on</w:t>
      </w:r>
      <w:r w:rsidR="6FAFC3D9" w:rsidRPr="0075374E">
        <w:rPr>
          <w:noProof/>
          <w:spacing w:val="-8"/>
        </w:rPr>
        <w:t xml:space="preserve"> </w:t>
      </w:r>
      <w:r w:rsidR="74EBB939" w:rsidRPr="0075374E">
        <w:rPr>
          <w:noProof/>
          <w:spacing w:val="-8"/>
        </w:rPr>
        <w:t>change</w:t>
      </w:r>
      <w:r w:rsidR="7CBD7CFB" w:rsidRPr="0075374E">
        <w:rPr>
          <w:rFonts w:eastAsia="Aptos"/>
          <w:noProof/>
          <w:spacing w:val="-8"/>
        </w:rPr>
        <w:t xml:space="preserve"> in behaviour among individuals who already book such journeys but might do so more frequently in the future, due to the improvement of the ticketing system. In addition, the </w:t>
      </w:r>
      <w:r w:rsidR="00215F78">
        <w:rPr>
          <w:rFonts w:eastAsia="Aptos"/>
          <w:noProof/>
          <w:spacing w:val="-8"/>
        </w:rPr>
        <w:t>modal shift</w:t>
      </w:r>
      <w:r w:rsidR="7CBD7CFB" w:rsidRPr="00B53DFD">
        <w:rPr>
          <w:rFonts w:eastAsia="Aptos"/>
          <w:noProof/>
          <w:spacing w:val="-8"/>
        </w:rPr>
        <w:t xml:space="preserve"> linked to the introduction of full passenger rights for rail single tickets </w:t>
      </w:r>
      <w:r w:rsidR="00B05737">
        <w:rPr>
          <w:rFonts w:eastAsia="Aptos"/>
          <w:noProof/>
          <w:spacing w:val="-8"/>
        </w:rPr>
        <w:t>is</w:t>
      </w:r>
      <w:r w:rsidR="7CBD7CFB" w:rsidRPr="0075374E">
        <w:rPr>
          <w:rFonts w:eastAsia="Aptos"/>
          <w:noProof/>
          <w:spacing w:val="-8"/>
        </w:rPr>
        <w:t xml:space="preserve"> not accounted for in this IA. </w:t>
      </w:r>
      <w:r w:rsidR="60A25988" w:rsidRPr="0075374E">
        <w:rPr>
          <w:noProof/>
          <w:spacing w:val="-8"/>
        </w:rPr>
        <w:t>As a result, the actual impact on modal shift of the proposed measure</w:t>
      </w:r>
      <w:r w:rsidR="7CBD7CFB" w:rsidRPr="0075374E">
        <w:rPr>
          <w:rFonts w:eastAsia="Aptos"/>
          <w:noProof/>
          <w:spacing w:val="-8"/>
        </w:rPr>
        <w:t xml:space="preserve"> </w:t>
      </w:r>
      <w:r w:rsidR="60A25988" w:rsidRPr="0075374E">
        <w:rPr>
          <w:noProof/>
          <w:spacing w:val="-8"/>
        </w:rPr>
        <w:t xml:space="preserve">may outperform what is currently </w:t>
      </w:r>
      <w:r w:rsidR="00BA035C" w:rsidRPr="0075374E">
        <w:rPr>
          <w:noProof/>
          <w:spacing w:val="-8"/>
        </w:rPr>
        <w:t>estimated</w:t>
      </w:r>
      <w:r w:rsidR="60A25988" w:rsidRPr="0075374E">
        <w:rPr>
          <w:noProof/>
          <w:spacing w:val="-8"/>
        </w:rPr>
        <w:t>.</w:t>
      </w:r>
      <w:r w:rsidR="7CBD7CFB" w:rsidRPr="00BC1009">
        <w:rPr>
          <w:noProof/>
          <w:spacing w:val="-8"/>
        </w:rPr>
        <w:t xml:space="preserve"> </w:t>
      </w:r>
    </w:p>
    <w:p w14:paraId="317B1762" w14:textId="624E7758" w:rsidR="00365E47" w:rsidRPr="00BC1009" w:rsidRDefault="00365E47" w:rsidP="0095571A">
      <w:pPr>
        <w:tabs>
          <w:tab w:val="left" w:pos="2302"/>
        </w:tabs>
        <w:spacing w:after="240"/>
        <w:jc w:val="both"/>
        <w:rPr>
          <w:noProof/>
        </w:rPr>
      </w:pPr>
      <w:r w:rsidRPr="00BC1009">
        <w:rPr>
          <w:noProof/>
          <w:spacing w:val="-8"/>
        </w:rPr>
        <w:t>In the second step, a suite of ad-hoc tools have been developed in the context of the impact assessment support study, as explained in</w:t>
      </w:r>
      <w:r w:rsidRPr="001A29F7">
        <w:rPr>
          <w:noProof/>
          <w:spacing w:val="-8"/>
        </w:rPr>
        <w:t xml:space="preserve"> Annex 4 (section 1.3), to translate the degree to which the </w:t>
      </w:r>
      <w:r w:rsidRPr="001A29F7">
        <w:rPr>
          <w:bCs/>
          <w:noProof/>
          <w:spacing w:val="-8"/>
        </w:rPr>
        <w:t xml:space="preserve">policy options are expected to contribute towards the maximum potential modal shift and maximum potential reduction in travel time due to the enhanced completeness and the ability to book alternative transport offerings displayed on MDMS platforms. Both these inputs are further feed into the ASTRA model to derive the overall impacts of the policy options on </w:t>
      </w:r>
      <w:r w:rsidRPr="001A29F7">
        <w:rPr>
          <w:noProof/>
          <w:spacing w:val="-8"/>
        </w:rPr>
        <w:t>transport activity, CO</w:t>
      </w:r>
      <w:r w:rsidRPr="001A29F7">
        <w:rPr>
          <w:noProof/>
          <w:spacing w:val="-8"/>
          <w:vertAlign w:val="subscript"/>
        </w:rPr>
        <w:t>2</w:t>
      </w:r>
      <w:r w:rsidRPr="001A29F7">
        <w:rPr>
          <w:noProof/>
          <w:spacing w:val="-8"/>
        </w:rPr>
        <w:t xml:space="preserve"> emissions, air pollutant emissions and other external costs of transport, as well as the impacts on user </w:t>
      </w:r>
      <w:r w:rsidRPr="00BC1009">
        <w:rPr>
          <w:noProof/>
          <w:spacing w:val="-8"/>
        </w:rPr>
        <w:t>costs. The stakeholders’ workshop was used to validate the inputs used for the policy options in the ASTRA model. Detailed explanations on all the steps</w:t>
      </w:r>
      <w:r w:rsidRPr="00BC1009" w:rsidDel="00547CD0">
        <w:rPr>
          <w:noProof/>
          <w:spacing w:val="-8"/>
        </w:rPr>
        <w:t xml:space="preserve"> </w:t>
      </w:r>
      <w:r w:rsidR="00547CD0">
        <w:rPr>
          <w:noProof/>
          <w:spacing w:val="-8"/>
        </w:rPr>
        <w:t xml:space="preserve">of the approach used </w:t>
      </w:r>
      <w:r w:rsidRPr="00BC1009">
        <w:rPr>
          <w:noProof/>
          <w:spacing w:val="-8"/>
        </w:rPr>
        <w:t xml:space="preserve">are provided in Annex 4 (section 1.3). </w:t>
      </w:r>
    </w:p>
    <w:p w14:paraId="7F74CCFC" w14:textId="77777777" w:rsidR="00487DF1" w:rsidRDefault="00365E47" w:rsidP="00365E47">
      <w:pPr>
        <w:spacing w:after="240"/>
        <w:jc w:val="both"/>
        <w:rPr>
          <w:bCs/>
          <w:noProof/>
          <w:spacing w:val="-8"/>
        </w:rPr>
      </w:pPr>
      <w:r w:rsidRPr="001A29F7">
        <w:rPr>
          <w:noProof/>
          <w:spacing w:val="-8"/>
        </w:rPr>
        <w:t xml:space="preserve">It should however be acknowledged that during the expert workshop and the stakeholders’ workshop, participants indicated the difficulty to derive a modal shift potential linked to the ability to see all offerings on an MDMS platform and the ability to book all visible travel options on an MDMS platform, since there have been little relevant applications of similar initiatives that could allow to deduct lessons. Acknowledging the uncertainty, sensitivity analysis has been performed with regard to the maximum modal shift potential due to the </w:t>
      </w:r>
      <w:r w:rsidRPr="001A29F7">
        <w:rPr>
          <w:bCs/>
          <w:noProof/>
          <w:spacing w:val="-8"/>
        </w:rPr>
        <w:t>completeness and the ability to book service offerings, which is presented in section 7.6</w:t>
      </w:r>
      <w:r w:rsidR="006275C7">
        <w:rPr>
          <w:bCs/>
          <w:noProof/>
          <w:spacing w:val="-8"/>
        </w:rPr>
        <w:t xml:space="preserve">. </w:t>
      </w:r>
    </w:p>
    <w:p w14:paraId="5A3CD4DB" w14:textId="78A954C1" w:rsidR="00365E47" w:rsidRPr="001A29F7" w:rsidRDefault="00487DF1" w:rsidP="00365E47">
      <w:pPr>
        <w:spacing w:after="240"/>
        <w:jc w:val="both"/>
        <w:rPr>
          <w:noProof/>
          <w:spacing w:val="-8"/>
        </w:rPr>
      </w:pPr>
      <w:r>
        <w:rPr>
          <w:noProof/>
          <w:spacing w:val="-8"/>
        </w:rPr>
        <w:t>T</w:t>
      </w:r>
      <w:r w:rsidR="006275C7">
        <w:rPr>
          <w:noProof/>
          <w:spacing w:val="-8"/>
        </w:rPr>
        <w:t xml:space="preserve">he changes in transport activity estimated in the policy options </w:t>
      </w:r>
      <w:r w:rsidR="00FD667C">
        <w:rPr>
          <w:noProof/>
          <w:spacing w:val="-8"/>
        </w:rPr>
        <w:t xml:space="preserve">are </w:t>
      </w:r>
      <w:r w:rsidR="00901247">
        <w:rPr>
          <w:noProof/>
          <w:spacing w:val="-8"/>
        </w:rPr>
        <w:t xml:space="preserve">driven by </w:t>
      </w:r>
      <w:r w:rsidR="006275C7" w:rsidRPr="001A29F7">
        <w:rPr>
          <w:bCs/>
          <w:noProof/>
          <w:spacing w:val="-8"/>
        </w:rPr>
        <w:t>the completeness and the ability to book service offerings</w:t>
      </w:r>
      <w:r w:rsidR="00EA0065">
        <w:rPr>
          <w:bCs/>
          <w:noProof/>
          <w:spacing w:val="-8"/>
        </w:rPr>
        <w:t xml:space="preserve"> </w:t>
      </w:r>
      <w:r w:rsidR="00EA0065" w:rsidRPr="00420335">
        <w:rPr>
          <w:bCs/>
          <w:noProof/>
          <w:spacing w:val="-8"/>
        </w:rPr>
        <w:t>displayed on MDMS platforms</w:t>
      </w:r>
      <w:r w:rsidR="006246D2">
        <w:rPr>
          <w:bCs/>
          <w:noProof/>
          <w:spacing w:val="-8"/>
        </w:rPr>
        <w:t>.</w:t>
      </w:r>
      <w:r w:rsidR="003B5B5E">
        <w:rPr>
          <w:bCs/>
          <w:noProof/>
          <w:spacing w:val="-8"/>
        </w:rPr>
        <w:t xml:space="preserve"> </w:t>
      </w:r>
      <w:r w:rsidR="00415732">
        <w:rPr>
          <w:bCs/>
          <w:noProof/>
          <w:spacing w:val="-8"/>
        </w:rPr>
        <w:t>T</w:t>
      </w:r>
      <w:r w:rsidR="007060D7" w:rsidRPr="007060D7">
        <w:rPr>
          <w:bCs/>
          <w:noProof/>
          <w:spacing w:val="-8"/>
        </w:rPr>
        <w:t xml:space="preserve">he passenger rights dimension falls outside the scope </w:t>
      </w:r>
      <w:r w:rsidR="007060D7">
        <w:rPr>
          <w:bCs/>
          <w:noProof/>
          <w:spacing w:val="-8"/>
        </w:rPr>
        <w:t xml:space="preserve">of the analysis, </w:t>
      </w:r>
      <w:r w:rsidR="00415732">
        <w:rPr>
          <w:bCs/>
          <w:noProof/>
          <w:spacing w:val="-8"/>
        </w:rPr>
        <w:t xml:space="preserve">but </w:t>
      </w:r>
      <w:r w:rsidR="00A11DA7">
        <w:rPr>
          <w:bCs/>
          <w:noProof/>
          <w:spacing w:val="-8"/>
        </w:rPr>
        <w:t xml:space="preserve">it is acknowledged that </w:t>
      </w:r>
      <w:r w:rsidR="00482635" w:rsidRPr="00482635">
        <w:rPr>
          <w:bCs/>
          <w:noProof/>
          <w:spacing w:val="-8"/>
        </w:rPr>
        <w:t>strengthen</w:t>
      </w:r>
      <w:r w:rsidR="007265F0">
        <w:rPr>
          <w:bCs/>
          <w:noProof/>
          <w:spacing w:val="-8"/>
        </w:rPr>
        <w:t>ed</w:t>
      </w:r>
      <w:r w:rsidR="00482635" w:rsidRPr="00482635">
        <w:rPr>
          <w:bCs/>
          <w:noProof/>
          <w:spacing w:val="-8"/>
        </w:rPr>
        <w:t xml:space="preserve"> passenger confidence </w:t>
      </w:r>
      <w:r w:rsidR="006A57CE">
        <w:rPr>
          <w:bCs/>
          <w:noProof/>
          <w:spacing w:val="-8"/>
        </w:rPr>
        <w:t>could</w:t>
      </w:r>
      <w:r w:rsidR="00482635" w:rsidRPr="00482635">
        <w:rPr>
          <w:bCs/>
          <w:noProof/>
          <w:spacing w:val="-8"/>
        </w:rPr>
        <w:t xml:space="preserve"> </w:t>
      </w:r>
      <w:r w:rsidR="00CD4C5B">
        <w:rPr>
          <w:bCs/>
          <w:noProof/>
          <w:spacing w:val="-8"/>
        </w:rPr>
        <w:t>support the</w:t>
      </w:r>
      <w:r w:rsidR="00482635" w:rsidRPr="00482635">
        <w:rPr>
          <w:bCs/>
          <w:noProof/>
          <w:spacing w:val="-8"/>
        </w:rPr>
        <w:t xml:space="preserve"> modal shift towards rail</w:t>
      </w:r>
      <w:r w:rsidR="00A11DA7">
        <w:rPr>
          <w:bCs/>
          <w:noProof/>
          <w:spacing w:val="-8"/>
        </w:rPr>
        <w:t>.</w:t>
      </w:r>
      <w:r w:rsidR="008B2DDD" w:rsidRPr="001D2E12">
        <w:rPr>
          <w:noProof/>
          <w:spacing w:val="-8"/>
        </w:rPr>
        <w:t xml:space="preserve"> </w:t>
      </w:r>
      <w:r w:rsidR="00A03EB4" w:rsidRPr="001D2E12">
        <w:rPr>
          <w:noProof/>
          <w:spacing w:val="-8"/>
        </w:rPr>
        <w:t>The</w:t>
      </w:r>
      <w:r w:rsidR="008B2DDD" w:rsidRPr="001D2E12">
        <w:rPr>
          <w:noProof/>
          <w:spacing w:val="-8"/>
        </w:rPr>
        <w:t xml:space="preserve"> targeted revision </w:t>
      </w:r>
      <w:r w:rsidR="007D7251" w:rsidRPr="001D2E12">
        <w:rPr>
          <w:noProof/>
          <w:spacing w:val="-8"/>
        </w:rPr>
        <w:t>of</w:t>
      </w:r>
      <w:r w:rsidR="008B2DDD" w:rsidRPr="001D2E12">
        <w:rPr>
          <w:noProof/>
          <w:spacing w:val="-8"/>
        </w:rPr>
        <w:t xml:space="preserve"> rail passenger rights </w:t>
      </w:r>
      <w:r w:rsidR="00A03EB4" w:rsidRPr="001D2E12">
        <w:rPr>
          <w:noProof/>
          <w:spacing w:val="-8"/>
        </w:rPr>
        <w:t xml:space="preserve">is supported by </w:t>
      </w:r>
      <w:r w:rsidR="008B2DDD" w:rsidRPr="001D2E12">
        <w:rPr>
          <w:noProof/>
          <w:spacing w:val="-8"/>
        </w:rPr>
        <w:t xml:space="preserve">an analytical Staff Working Document </w:t>
      </w:r>
      <w:r w:rsidR="00B262E7" w:rsidRPr="001D2E12">
        <w:rPr>
          <w:noProof/>
          <w:spacing w:val="-8"/>
        </w:rPr>
        <w:t>which</w:t>
      </w:r>
      <w:r w:rsidR="008B2DDD" w:rsidRPr="001D2E12">
        <w:rPr>
          <w:noProof/>
          <w:spacing w:val="-8"/>
        </w:rPr>
        <w:t xml:space="preserve"> update</w:t>
      </w:r>
      <w:r w:rsidR="00B262E7" w:rsidRPr="001D2E12">
        <w:rPr>
          <w:noProof/>
          <w:spacing w:val="-8"/>
        </w:rPr>
        <w:t>s</w:t>
      </w:r>
      <w:r w:rsidR="008B2DDD" w:rsidRPr="001D2E12">
        <w:rPr>
          <w:noProof/>
          <w:spacing w:val="-8"/>
        </w:rPr>
        <w:t xml:space="preserve"> the assessment of impacts of the related policy measure.</w:t>
      </w:r>
    </w:p>
    <w:p w14:paraId="793187C6" w14:textId="306E35CD" w:rsidR="00EB65EA" w:rsidRPr="00365E47" w:rsidRDefault="00365E47" w:rsidP="00365E47">
      <w:pPr>
        <w:spacing w:after="240"/>
        <w:jc w:val="both"/>
        <w:rPr>
          <w:noProof/>
          <w:spacing w:val="-8"/>
        </w:rPr>
      </w:pPr>
      <w:r w:rsidRPr="001A29F7">
        <w:rPr>
          <w:noProof/>
          <w:spacing w:val="-8"/>
        </w:rPr>
        <w:t xml:space="preserve">The proposed options are assumed to be implemented from 2028 onwards, so the assessment has been undertaken for the 2028-2050 period and covers the EU Member States. Costs and benefits are expressed as present value over the 2028- 2050 period, using a 3% discount rate. All costs and benefits are expressed in 2024 prices. Further details on the methodological approach, together with </w:t>
      </w:r>
      <w:r w:rsidR="006C7B12">
        <w:rPr>
          <w:noProof/>
          <w:spacing w:val="-8"/>
        </w:rPr>
        <w:t xml:space="preserve">costs and costs savings </w:t>
      </w:r>
      <w:r w:rsidRPr="001A29F7">
        <w:rPr>
          <w:noProof/>
          <w:spacing w:val="-8"/>
        </w:rPr>
        <w:t>results by stakeholder group for specific years and by Member State</w:t>
      </w:r>
      <w:r w:rsidR="00891BA3">
        <w:rPr>
          <w:noProof/>
          <w:spacing w:val="-8"/>
        </w:rPr>
        <w:t xml:space="preserve"> (</w:t>
      </w:r>
      <w:r w:rsidRPr="001A29F7">
        <w:rPr>
          <w:noProof/>
          <w:spacing w:val="-8"/>
        </w:rPr>
        <w:t>where relevant</w:t>
      </w:r>
      <w:r w:rsidR="00891BA3">
        <w:rPr>
          <w:noProof/>
          <w:spacing w:val="-8"/>
        </w:rPr>
        <w:t>)</w:t>
      </w:r>
      <w:r w:rsidRPr="001A29F7" w:rsidDel="00891BA3">
        <w:rPr>
          <w:noProof/>
          <w:spacing w:val="-8"/>
        </w:rPr>
        <w:t>,</w:t>
      </w:r>
      <w:r w:rsidRPr="001A29F7">
        <w:rPr>
          <w:noProof/>
          <w:spacing w:val="-8"/>
        </w:rPr>
        <w:t xml:space="preserve"> are provided in Annex 4.</w:t>
      </w:r>
    </w:p>
    <w:p w14:paraId="430080C3" w14:textId="26CA6CE1" w:rsidR="277282C1" w:rsidRPr="002F5484" w:rsidRDefault="00F7295E" w:rsidP="006E3FA1">
      <w:pPr>
        <w:pStyle w:val="Heading2"/>
        <w:keepNext/>
        <w:numPr>
          <w:ilvl w:val="1"/>
          <w:numId w:val="11"/>
        </w:numPr>
        <w:tabs>
          <w:tab w:val="left" w:pos="709"/>
        </w:tabs>
        <w:spacing w:before="240" w:after="240"/>
        <w:ind w:left="1134" w:hanging="708"/>
        <w:rPr>
          <w:noProof/>
        </w:rPr>
      </w:pPr>
      <w:bookmarkStart w:id="121" w:name="_Toc223979964"/>
      <w:r w:rsidRPr="00D06D9F">
        <w:rPr>
          <w:noProof/>
        </w:rPr>
        <w:t>Economic impacts</w:t>
      </w:r>
      <w:bookmarkEnd w:id="121"/>
    </w:p>
    <w:p w14:paraId="0C3D4402" w14:textId="05D947B4" w:rsidR="00964863" w:rsidRPr="00BC5391" w:rsidRDefault="00964863" w:rsidP="00B52FA6">
      <w:pPr>
        <w:spacing w:after="240"/>
        <w:jc w:val="both"/>
        <w:rPr>
          <w:noProof/>
          <w:spacing w:val="-8"/>
        </w:rPr>
      </w:pPr>
      <w:r w:rsidRPr="00BC5391">
        <w:rPr>
          <w:noProof/>
          <w:spacing w:val="-8"/>
        </w:rPr>
        <w:t xml:space="preserve">This section provides the economic impacts of the policy options on </w:t>
      </w:r>
      <w:r w:rsidR="008B1700" w:rsidRPr="00BC5391">
        <w:rPr>
          <w:noProof/>
          <w:spacing w:val="-8"/>
        </w:rPr>
        <w:t>MDMS platform</w:t>
      </w:r>
      <w:r w:rsidRPr="00BC5391">
        <w:rPr>
          <w:noProof/>
          <w:spacing w:val="-8"/>
        </w:rPr>
        <w:t xml:space="preserve">s, </w:t>
      </w:r>
      <w:r w:rsidR="009C7100" w:rsidRPr="00BC5391">
        <w:rPr>
          <w:noProof/>
          <w:spacing w:val="-8"/>
        </w:rPr>
        <w:t xml:space="preserve">transport operators, </w:t>
      </w:r>
      <w:r w:rsidR="000C382B" w:rsidRPr="00BC5391">
        <w:rPr>
          <w:noProof/>
          <w:spacing w:val="-8"/>
        </w:rPr>
        <w:t xml:space="preserve">national </w:t>
      </w:r>
      <w:r w:rsidR="003B57A2" w:rsidRPr="00BC5391">
        <w:rPr>
          <w:noProof/>
          <w:spacing w:val="-8"/>
        </w:rPr>
        <w:t>authorities</w:t>
      </w:r>
      <w:r w:rsidR="002805EB" w:rsidRPr="00BC5391">
        <w:rPr>
          <w:noProof/>
          <w:spacing w:val="-8"/>
        </w:rPr>
        <w:t xml:space="preserve"> and the European Commission</w:t>
      </w:r>
      <w:r w:rsidRPr="00BC5391">
        <w:rPr>
          <w:noProof/>
          <w:spacing w:val="-8"/>
        </w:rPr>
        <w:t xml:space="preserve">. </w:t>
      </w:r>
      <w:r w:rsidR="006E5A41" w:rsidRPr="00BC5391">
        <w:rPr>
          <w:noProof/>
          <w:spacing w:val="-8"/>
        </w:rPr>
        <w:t xml:space="preserve">It also provides an assessment of impacts on small and medium enterprises (SMEs), user costs and congestion, competitiveness, functioning of the internal market and competition, innovation, </w:t>
      </w:r>
      <w:r w:rsidR="00F340E8" w:rsidRPr="00BC5391">
        <w:rPr>
          <w:noProof/>
          <w:spacing w:val="-8"/>
        </w:rPr>
        <w:t>digital by default</w:t>
      </w:r>
      <w:r w:rsidR="00595FF4" w:rsidRPr="00BC5391">
        <w:rPr>
          <w:noProof/>
          <w:spacing w:val="-8"/>
        </w:rPr>
        <w:t>, tourism and</w:t>
      </w:r>
      <w:r w:rsidR="00AF187A" w:rsidRPr="00BC5391">
        <w:rPr>
          <w:noProof/>
          <w:spacing w:val="-8"/>
        </w:rPr>
        <w:t xml:space="preserve"> </w:t>
      </w:r>
      <w:r w:rsidR="006E5A41" w:rsidRPr="00BC5391">
        <w:rPr>
          <w:noProof/>
          <w:spacing w:val="-8"/>
        </w:rPr>
        <w:t>territorial impacts</w:t>
      </w:r>
      <w:r w:rsidR="00595FF4" w:rsidRPr="00BC5391">
        <w:rPr>
          <w:noProof/>
          <w:spacing w:val="-8"/>
        </w:rPr>
        <w:t>.</w:t>
      </w:r>
      <w:r w:rsidR="00C80802" w:rsidRPr="00BC5391">
        <w:rPr>
          <w:noProof/>
          <w:spacing w:val="-8"/>
        </w:rPr>
        <w:t xml:space="preserve"> Details on the </w:t>
      </w:r>
      <w:r w:rsidR="005626D9" w:rsidRPr="00BC5391">
        <w:rPr>
          <w:noProof/>
          <w:spacing w:val="-8"/>
        </w:rPr>
        <w:t xml:space="preserve">calculation of costs by policy measure and policy </w:t>
      </w:r>
      <w:r w:rsidR="00B52FA6" w:rsidRPr="00BC5391">
        <w:rPr>
          <w:noProof/>
          <w:spacing w:val="-8"/>
        </w:rPr>
        <w:t>option, by stakeholder group and Member State</w:t>
      </w:r>
      <w:r w:rsidR="00E75522" w:rsidRPr="00BC5391">
        <w:rPr>
          <w:rStyle w:val="FootnoteReference"/>
          <w:noProof/>
          <w:spacing w:val="-8"/>
        </w:rPr>
        <w:footnoteReference w:id="181"/>
      </w:r>
      <w:r w:rsidR="00B52FA6" w:rsidRPr="00BC5391">
        <w:rPr>
          <w:noProof/>
          <w:spacing w:val="-8"/>
        </w:rPr>
        <w:t xml:space="preserve"> </w:t>
      </w:r>
      <w:r w:rsidR="00C80802" w:rsidRPr="00BC5391">
        <w:rPr>
          <w:noProof/>
          <w:spacing w:val="-8"/>
        </w:rPr>
        <w:t>are provided in Annex 4</w:t>
      </w:r>
      <w:r w:rsidR="00B52FA6" w:rsidRPr="00BC5391">
        <w:rPr>
          <w:noProof/>
          <w:spacing w:val="-8"/>
        </w:rPr>
        <w:t xml:space="preserve"> (section 3)</w:t>
      </w:r>
      <w:r w:rsidR="00C80802" w:rsidRPr="00BC5391">
        <w:rPr>
          <w:noProof/>
          <w:spacing w:val="-8"/>
        </w:rPr>
        <w:t>.</w:t>
      </w:r>
    </w:p>
    <w:p w14:paraId="724846F0" w14:textId="7C24F721" w:rsidR="00C571CE" w:rsidRDefault="001745C4" w:rsidP="006E3FA1">
      <w:pPr>
        <w:pStyle w:val="Heading2"/>
        <w:keepNext/>
        <w:numPr>
          <w:ilvl w:val="2"/>
          <w:numId w:val="11"/>
        </w:numPr>
        <w:tabs>
          <w:tab w:val="left" w:pos="709"/>
        </w:tabs>
        <w:spacing w:before="0" w:after="240"/>
        <w:ind w:left="1134" w:hanging="708"/>
        <w:rPr>
          <w:b w:val="0"/>
          <w:i/>
          <w:noProof/>
        </w:rPr>
      </w:pPr>
      <w:bookmarkStart w:id="122" w:name="_Toc222313480"/>
      <w:bookmarkStart w:id="123" w:name="_Toc222748995"/>
      <w:bookmarkStart w:id="124" w:name="_Toc223979965"/>
      <w:r w:rsidRPr="00D71008">
        <w:rPr>
          <w:b w:val="0"/>
          <w:i/>
          <w:noProof/>
        </w:rPr>
        <w:t>Impact</w:t>
      </w:r>
      <w:r w:rsidR="00F9450A">
        <w:rPr>
          <w:b w:val="0"/>
          <w:i/>
          <w:noProof/>
        </w:rPr>
        <w:t>s</w:t>
      </w:r>
      <w:r w:rsidRPr="00D71008">
        <w:rPr>
          <w:b w:val="0"/>
          <w:i/>
          <w:noProof/>
        </w:rPr>
        <w:t xml:space="preserve"> </w:t>
      </w:r>
      <w:bookmarkEnd w:id="122"/>
      <w:r w:rsidR="00302ADF">
        <w:rPr>
          <w:b w:val="0"/>
          <w:i/>
          <w:noProof/>
        </w:rPr>
        <w:t xml:space="preserve">on </w:t>
      </w:r>
      <w:r w:rsidR="00566435">
        <w:rPr>
          <w:b w:val="0"/>
          <w:i/>
          <w:noProof/>
        </w:rPr>
        <w:t>MDMS platforms</w:t>
      </w:r>
      <w:bookmarkEnd w:id="123"/>
      <w:bookmarkEnd w:id="124"/>
    </w:p>
    <w:p w14:paraId="22674A25" w14:textId="220C17D5" w:rsidR="00FF3391" w:rsidRPr="0011121C" w:rsidRDefault="00807A95" w:rsidP="001D326A">
      <w:pPr>
        <w:pStyle w:val="BodyText"/>
        <w:spacing w:after="240"/>
        <w:ind w:left="0"/>
        <w:rPr>
          <w:noProof/>
          <w:spacing w:val="-8"/>
        </w:rPr>
      </w:pPr>
      <w:r w:rsidRPr="001D326A">
        <w:rPr>
          <w:b/>
          <w:bCs/>
          <w:i/>
          <w:iCs/>
          <w:noProof/>
          <w:spacing w:val="-8"/>
        </w:rPr>
        <w:t>One-off and recurrent adjustment costs for MDMS platforms.</w:t>
      </w:r>
      <w:r w:rsidR="00B4242D" w:rsidRPr="001D326A">
        <w:rPr>
          <w:b/>
          <w:bCs/>
          <w:i/>
          <w:iCs/>
          <w:noProof/>
          <w:spacing w:val="-8"/>
        </w:rPr>
        <w:t xml:space="preserve"> </w:t>
      </w:r>
      <w:r w:rsidR="00B4242D" w:rsidRPr="001D326A">
        <w:rPr>
          <w:noProof/>
          <w:spacing w:val="-8"/>
        </w:rPr>
        <w:t xml:space="preserve">All four policy options </w:t>
      </w:r>
      <w:r w:rsidR="00B833EC" w:rsidRPr="001D326A">
        <w:rPr>
          <w:noProof/>
          <w:spacing w:val="-8"/>
        </w:rPr>
        <w:t xml:space="preserve">are expected to lead to </w:t>
      </w:r>
      <w:r w:rsidR="00347212" w:rsidRPr="001D326A">
        <w:rPr>
          <w:noProof/>
          <w:spacing w:val="-8"/>
        </w:rPr>
        <w:t xml:space="preserve">one-off and recurrent </w:t>
      </w:r>
      <w:r w:rsidR="00B833EC" w:rsidRPr="001D326A">
        <w:rPr>
          <w:noProof/>
          <w:spacing w:val="-8"/>
        </w:rPr>
        <w:t xml:space="preserve">adjustment costs </w:t>
      </w:r>
      <w:r w:rsidR="009B57AE" w:rsidRPr="001D326A">
        <w:rPr>
          <w:noProof/>
          <w:spacing w:val="-8"/>
        </w:rPr>
        <w:t xml:space="preserve">for MDMS platforms relative to the </w:t>
      </w:r>
      <w:r w:rsidR="009B57AE" w:rsidRPr="0011121C">
        <w:rPr>
          <w:noProof/>
          <w:spacing w:val="-8"/>
        </w:rPr>
        <w:t>baseline</w:t>
      </w:r>
      <w:r w:rsidR="00AB4F0F" w:rsidRPr="0011121C">
        <w:rPr>
          <w:noProof/>
          <w:spacing w:val="-8"/>
        </w:rPr>
        <w:t xml:space="preserve"> (see </w:t>
      </w:r>
      <w:r w:rsidR="009D2E16" w:rsidRPr="0011121C">
        <w:rPr>
          <w:noProof/>
          <w:spacing w:val="-8"/>
        </w:rPr>
        <w:fldChar w:fldCharType="begin"/>
      </w:r>
      <w:r w:rsidR="009D2E16" w:rsidRPr="0011121C">
        <w:rPr>
          <w:noProof/>
          <w:spacing w:val="-8"/>
        </w:rPr>
        <w:instrText xml:space="preserve"> REF _Ref140694771 \h </w:instrText>
      </w:r>
      <w:r w:rsidR="00904E67" w:rsidRPr="0011121C">
        <w:rPr>
          <w:noProof/>
          <w:spacing w:val="-8"/>
        </w:rPr>
        <w:instrText xml:space="preserve"> \* MERGEFORMAT </w:instrText>
      </w:r>
      <w:r w:rsidR="009D2E16" w:rsidRPr="0011121C">
        <w:rPr>
          <w:noProof/>
          <w:spacing w:val="-8"/>
        </w:rPr>
      </w:r>
      <w:r w:rsidR="009D2E16" w:rsidRPr="0011121C">
        <w:rPr>
          <w:noProof/>
          <w:spacing w:val="-8"/>
        </w:rPr>
        <w:fldChar w:fldCharType="separate"/>
      </w:r>
      <w:r>
        <w:rPr>
          <w:noProof/>
          <w:spacing w:val="-8"/>
        </w:rPr>
        <w:t xml:space="preserve">Table </w:t>
      </w:r>
      <w:r>
        <w:rPr>
          <w:noProof/>
        </w:rPr>
        <w:t>3</w:t>
      </w:r>
      <w:r w:rsidR="009D2E16" w:rsidRPr="0011121C">
        <w:rPr>
          <w:noProof/>
          <w:spacing w:val="-8"/>
        </w:rPr>
        <w:fldChar w:fldCharType="end"/>
      </w:r>
      <w:r w:rsidR="00AB4F0F" w:rsidRPr="0011121C">
        <w:rPr>
          <w:noProof/>
          <w:spacing w:val="-8"/>
        </w:rPr>
        <w:t xml:space="preserve"> and </w:t>
      </w:r>
      <w:r w:rsidR="00904E67" w:rsidRPr="0011121C">
        <w:rPr>
          <w:noProof/>
          <w:spacing w:val="-8"/>
        </w:rPr>
        <w:fldChar w:fldCharType="begin"/>
      </w:r>
      <w:r w:rsidR="00904E67" w:rsidRPr="0011121C">
        <w:rPr>
          <w:noProof/>
          <w:spacing w:val="-8"/>
        </w:rPr>
        <w:instrText xml:space="preserve"> REF _Ref222927405 \h  \* MERGEFORMAT </w:instrText>
      </w:r>
      <w:r w:rsidR="00904E67" w:rsidRPr="0011121C">
        <w:rPr>
          <w:noProof/>
          <w:spacing w:val="-8"/>
        </w:rPr>
      </w:r>
      <w:r w:rsidR="00904E67" w:rsidRPr="0011121C">
        <w:rPr>
          <w:noProof/>
          <w:spacing w:val="-8"/>
        </w:rPr>
        <w:fldChar w:fldCharType="separate"/>
      </w:r>
      <w:r>
        <w:rPr>
          <w:noProof/>
          <w:spacing w:val="-8"/>
        </w:rPr>
        <w:t xml:space="preserve">Table </w:t>
      </w:r>
      <w:r>
        <w:rPr>
          <w:noProof/>
        </w:rPr>
        <w:t>4</w:t>
      </w:r>
      <w:r w:rsidR="00904E67" w:rsidRPr="0011121C">
        <w:rPr>
          <w:noProof/>
          <w:spacing w:val="-8"/>
        </w:rPr>
        <w:fldChar w:fldCharType="end"/>
      </w:r>
      <w:r w:rsidR="00904E67" w:rsidRPr="0011121C">
        <w:rPr>
          <w:noProof/>
          <w:spacing w:val="-8"/>
        </w:rPr>
        <w:t xml:space="preserve"> </w:t>
      </w:r>
      <w:r w:rsidR="00AB4F0F" w:rsidRPr="0011121C">
        <w:rPr>
          <w:noProof/>
          <w:spacing w:val="-8"/>
        </w:rPr>
        <w:t>below)</w:t>
      </w:r>
      <w:r w:rsidR="0057061A" w:rsidRPr="0011121C">
        <w:rPr>
          <w:noProof/>
          <w:spacing w:val="-8"/>
        </w:rPr>
        <w:t xml:space="preserve">. </w:t>
      </w:r>
      <w:r w:rsidR="00A01670" w:rsidRPr="0011121C">
        <w:rPr>
          <w:noProof/>
          <w:spacing w:val="-8"/>
        </w:rPr>
        <w:t>PM1</w:t>
      </w:r>
      <w:r w:rsidR="009264EC" w:rsidRPr="0011121C">
        <w:rPr>
          <w:noProof/>
          <w:spacing w:val="-8"/>
        </w:rPr>
        <w:t xml:space="preserve"> (neutral display), PM</w:t>
      </w:r>
      <w:r w:rsidR="007502B7" w:rsidRPr="0011121C">
        <w:rPr>
          <w:noProof/>
          <w:spacing w:val="-8"/>
        </w:rPr>
        <w:t>2</w:t>
      </w:r>
      <w:r w:rsidR="009264EC" w:rsidRPr="0011121C">
        <w:rPr>
          <w:noProof/>
          <w:spacing w:val="-8"/>
        </w:rPr>
        <w:t xml:space="preserve"> (equal care for data), PM</w:t>
      </w:r>
      <w:r w:rsidR="007502B7" w:rsidRPr="0011121C">
        <w:rPr>
          <w:noProof/>
          <w:spacing w:val="-8"/>
        </w:rPr>
        <w:t>3</w:t>
      </w:r>
      <w:r w:rsidR="009264EC" w:rsidRPr="0011121C">
        <w:rPr>
          <w:noProof/>
          <w:spacing w:val="-8"/>
        </w:rPr>
        <w:t xml:space="preserve"> (marketing</w:t>
      </w:r>
      <w:r w:rsidR="007502B7" w:rsidRPr="0011121C">
        <w:rPr>
          <w:noProof/>
          <w:spacing w:val="-8"/>
        </w:rPr>
        <w:t xml:space="preserve"> and </w:t>
      </w:r>
      <w:r w:rsidR="009264EC" w:rsidRPr="0011121C">
        <w:rPr>
          <w:noProof/>
          <w:spacing w:val="-8"/>
        </w:rPr>
        <w:t>booking data sharing), PM7 (data for mobility management) and PM</w:t>
      </w:r>
      <w:r w:rsidR="007502B7" w:rsidRPr="0011121C">
        <w:rPr>
          <w:noProof/>
          <w:spacing w:val="-8"/>
        </w:rPr>
        <w:t>8</w:t>
      </w:r>
      <w:r w:rsidR="009264EC" w:rsidRPr="0011121C">
        <w:rPr>
          <w:noProof/>
          <w:spacing w:val="-8"/>
        </w:rPr>
        <w:t xml:space="preserve"> (GHG emission data)</w:t>
      </w:r>
      <w:r w:rsidR="007502B7" w:rsidRPr="0011121C">
        <w:rPr>
          <w:noProof/>
          <w:spacing w:val="-8"/>
        </w:rPr>
        <w:t xml:space="preserve"> are common to all P</w:t>
      </w:r>
      <w:r w:rsidR="00A22759" w:rsidRPr="0011121C">
        <w:rPr>
          <w:noProof/>
          <w:spacing w:val="-8"/>
        </w:rPr>
        <w:t>O</w:t>
      </w:r>
      <w:r w:rsidR="00B521B8" w:rsidRPr="0011121C">
        <w:rPr>
          <w:noProof/>
          <w:spacing w:val="-8"/>
        </w:rPr>
        <w:t>s</w:t>
      </w:r>
      <w:r w:rsidR="004E36B3" w:rsidRPr="0011121C">
        <w:rPr>
          <w:noProof/>
          <w:spacing w:val="-8"/>
        </w:rPr>
        <w:t>.</w:t>
      </w:r>
      <w:r w:rsidR="00C326F2" w:rsidRPr="0011121C">
        <w:rPr>
          <w:noProof/>
          <w:spacing w:val="-8"/>
        </w:rPr>
        <w:t xml:space="preserve"> </w:t>
      </w:r>
      <w:r w:rsidR="004E36B3" w:rsidRPr="0011121C">
        <w:rPr>
          <w:noProof/>
          <w:spacing w:val="-8"/>
        </w:rPr>
        <w:t>T</w:t>
      </w:r>
      <w:r w:rsidR="00C758C6" w:rsidRPr="0011121C">
        <w:rPr>
          <w:noProof/>
          <w:spacing w:val="-8"/>
        </w:rPr>
        <w:t xml:space="preserve">heir costs </w:t>
      </w:r>
      <w:r w:rsidR="001464CD" w:rsidRPr="0011121C">
        <w:rPr>
          <w:noProof/>
          <w:spacing w:val="-8"/>
        </w:rPr>
        <w:t>are</w:t>
      </w:r>
      <w:r w:rsidR="00DC1FEC" w:rsidRPr="0011121C">
        <w:rPr>
          <w:noProof/>
          <w:spacing w:val="-8"/>
        </w:rPr>
        <w:t xml:space="preserve"> </w:t>
      </w:r>
      <w:r w:rsidR="001464CD" w:rsidRPr="0011121C">
        <w:rPr>
          <w:noProof/>
          <w:spacing w:val="-8"/>
        </w:rPr>
        <w:t>driven by</w:t>
      </w:r>
      <w:r w:rsidR="002E2D35" w:rsidRPr="0011121C">
        <w:rPr>
          <w:noProof/>
          <w:spacing w:val="-8"/>
        </w:rPr>
        <w:t xml:space="preserve"> the number of projected MDMS platforms in each </w:t>
      </w:r>
      <w:r w:rsidR="0086249C" w:rsidRPr="0011121C">
        <w:rPr>
          <w:noProof/>
          <w:spacing w:val="-8"/>
        </w:rPr>
        <w:t>PO</w:t>
      </w:r>
      <w:r w:rsidR="002C2082" w:rsidRPr="0011121C">
        <w:rPr>
          <w:noProof/>
          <w:spacing w:val="-8"/>
        </w:rPr>
        <w:t xml:space="preserve"> (see </w:t>
      </w:r>
      <w:r w:rsidR="002A6279" w:rsidRPr="0011121C">
        <w:rPr>
          <w:noProof/>
          <w:spacing w:val="-8"/>
        </w:rPr>
        <w:fldChar w:fldCharType="begin"/>
      </w:r>
      <w:r w:rsidR="002A6279" w:rsidRPr="0011121C">
        <w:rPr>
          <w:noProof/>
          <w:spacing w:val="-8"/>
        </w:rPr>
        <w:instrText xml:space="preserve"> REF _Ref140610625 \h  \* MERGEFORMAT </w:instrText>
      </w:r>
      <w:r w:rsidR="002A6279" w:rsidRPr="0011121C">
        <w:rPr>
          <w:noProof/>
          <w:spacing w:val="-8"/>
        </w:rPr>
      </w:r>
      <w:r w:rsidR="002A6279" w:rsidRPr="0011121C">
        <w:rPr>
          <w:noProof/>
          <w:spacing w:val="-8"/>
        </w:rPr>
        <w:fldChar w:fldCharType="separate"/>
      </w:r>
      <w:r>
        <w:rPr>
          <w:noProof/>
        </w:rPr>
        <w:t>Table 5</w:t>
      </w:r>
      <w:r w:rsidR="002A6279" w:rsidRPr="0011121C">
        <w:rPr>
          <w:noProof/>
          <w:spacing w:val="-8"/>
        </w:rPr>
        <w:fldChar w:fldCharType="end"/>
      </w:r>
      <w:r w:rsidR="002A6279" w:rsidRPr="0011121C">
        <w:rPr>
          <w:noProof/>
          <w:spacing w:val="-8"/>
        </w:rPr>
        <w:t>)</w:t>
      </w:r>
      <w:r w:rsidR="00C42B2C" w:rsidRPr="0011121C">
        <w:rPr>
          <w:noProof/>
          <w:spacing w:val="-8"/>
        </w:rPr>
        <w:t>,</w:t>
      </w:r>
      <w:r w:rsidR="00EF2105" w:rsidRPr="0011121C">
        <w:rPr>
          <w:noProof/>
          <w:spacing w:val="-8"/>
        </w:rPr>
        <w:t xml:space="preserve"> the one-off cost per platform for </w:t>
      </w:r>
      <w:r w:rsidR="00E81541" w:rsidRPr="0011121C">
        <w:rPr>
          <w:noProof/>
          <w:spacing w:val="-8"/>
        </w:rPr>
        <w:t xml:space="preserve">IT development </w:t>
      </w:r>
      <w:r w:rsidR="0086249C" w:rsidRPr="0011121C">
        <w:rPr>
          <w:noProof/>
          <w:spacing w:val="-8"/>
        </w:rPr>
        <w:t xml:space="preserve">(in PM1 to PM3 and PM8) </w:t>
      </w:r>
      <w:r w:rsidR="000A68A4" w:rsidRPr="0011121C">
        <w:rPr>
          <w:noProof/>
          <w:spacing w:val="-8"/>
        </w:rPr>
        <w:t>and</w:t>
      </w:r>
      <w:r w:rsidR="003E2486" w:rsidRPr="0011121C">
        <w:rPr>
          <w:noProof/>
          <w:spacing w:val="-8"/>
        </w:rPr>
        <w:t xml:space="preserve"> </w:t>
      </w:r>
      <w:r w:rsidR="00E4172B" w:rsidRPr="0011121C">
        <w:rPr>
          <w:noProof/>
          <w:spacing w:val="-8"/>
        </w:rPr>
        <w:t xml:space="preserve">for </w:t>
      </w:r>
      <w:r w:rsidR="003E2486" w:rsidRPr="0011121C">
        <w:rPr>
          <w:noProof/>
          <w:spacing w:val="-8"/>
        </w:rPr>
        <w:t xml:space="preserve">setting up </w:t>
      </w:r>
      <w:r w:rsidR="0086249C" w:rsidRPr="0011121C">
        <w:rPr>
          <w:noProof/>
          <w:spacing w:val="-8"/>
        </w:rPr>
        <w:t xml:space="preserve">an </w:t>
      </w:r>
      <w:r w:rsidR="003E2486" w:rsidRPr="0011121C">
        <w:rPr>
          <w:noProof/>
          <w:spacing w:val="-8"/>
        </w:rPr>
        <w:t xml:space="preserve">Application Programming Interface </w:t>
      </w:r>
      <w:r w:rsidR="008577D5" w:rsidRPr="0011121C">
        <w:rPr>
          <w:noProof/>
          <w:spacing w:val="-8"/>
        </w:rPr>
        <w:t xml:space="preserve">(API) </w:t>
      </w:r>
      <w:r w:rsidR="003E2486" w:rsidRPr="0011121C">
        <w:rPr>
          <w:noProof/>
          <w:spacing w:val="-8"/>
        </w:rPr>
        <w:t>(</w:t>
      </w:r>
      <w:r w:rsidR="007E200D" w:rsidRPr="0011121C">
        <w:rPr>
          <w:noProof/>
          <w:spacing w:val="-8"/>
        </w:rPr>
        <w:t>in PM7</w:t>
      </w:r>
      <w:r w:rsidR="003E2486" w:rsidRPr="0011121C">
        <w:rPr>
          <w:noProof/>
          <w:spacing w:val="-8"/>
        </w:rPr>
        <w:t>)</w:t>
      </w:r>
      <w:r w:rsidR="009461D9" w:rsidRPr="0011121C">
        <w:rPr>
          <w:noProof/>
          <w:spacing w:val="-8"/>
        </w:rPr>
        <w:t>,</w:t>
      </w:r>
      <w:r w:rsidR="003E2486" w:rsidRPr="0011121C">
        <w:rPr>
          <w:noProof/>
          <w:spacing w:val="-8"/>
        </w:rPr>
        <w:t xml:space="preserve"> </w:t>
      </w:r>
      <w:r w:rsidR="00E4172B" w:rsidRPr="0011121C">
        <w:rPr>
          <w:noProof/>
          <w:spacing w:val="-8"/>
        </w:rPr>
        <w:t xml:space="preserve">and the </w:t>
      </w:r>
      <w:r w:rsidR="001152AB" w:rsidRPr="0011121C">
        <w:rPr>
          <w:noProof/>
          <w:spacing w:val="-8"/>
        </w:rPr>
        <w:t xml:space="preserve">recurrent cost per platform for maintaining </w:t>
      </w:r>
      <w:r w:rsidR="009461D9" w:rsidRPr="0011121C">
        <w:rPr>
          <w:noProof/>
          <w:spacing w:val="-8"/>
        </w:rPr>
        <w:t xml:space="preserve">the </w:t>
      </w:r>
      <w:r w:rsidR="003F62F8" w:rsidRPr="0011121C">
        <w:rPr>
          <w:noProof/>
          <w:spacing w:val="-8"/>
        </w:rPr>
        <w:t xml:space="preserve">IT system, including </w:t>
      </w:r>
      <w:r w:rsidR="009461D9" w:rsidRPr="0011121C">
        <w:rPr>
          <w:noProof/>
          <w:spacing w:val="-8"/>
        </w:rPr>
        <w:t xml:space="preserve">display criteria </w:t>
      </w:r>
      <w:r w:rsidR="00211746" w:rsidRPr="0011121C">
        <w:rPr>
          <w:noProof/>
          <w:spacing w:val="-8"/>
        </w:rPr>
        <w:t>and the</w:t>
      </w:r>
      <w:r w:rsidR="000F2718" w:rsidRPr="0011121C">
        <w:rPr>
          <w:noProof/>
          <w:spacing w:val="-8"/>
        </w:rPr>
        <w:t xml:space="preserve"> API</w:t>
      </w:r>
      <w:r w:rsidR="002E2D35" w:rsidRPr="0011121C">
        <w:rPr>
          <w:noProof/>
          <w:spacing w:val="-8"/>
        </w:rPr>
        <w:t>.</w:t>
      </w:r>
      <w:r w:rsidR="007502B7" w:rsidRPr="0011121C">
        <w:rPr>
          <w:noProof/>
          <w:spacing w:val="-8"/>
        </w:rPr>
        <w:t xml:space="preserve"> </w:t>
      </w:r>
    </w:p>
    <w:p w14:paraId="46CC3C0A" w14:textId="1B078E89" w:rsidR="00A801A0" w:rsidRDefault="00435172" w:rsidP="001D326A">
      <w:pPr>
        <w:pStyle w:val="BodyText"/>
        <w:spacing w:after="240"/>
        <w:ind w:left="0"/>
        <w:rPr>
          <w:noProof/>
          <w:spacing w:val="-8"/>
        </w:rPr>
      </w:pPr>
      <w:r w:rsidRPr="00117904">
        <w:rPr>
          <w:noProof/>
          <w:spacing w:val="-8"/>
        </w:rPr>
        <w:t>Among</w:t>
      </w:r>
      <w:r w:rsidR="00C758C6" w:rsidRPr="00117904">
        <w:rPr>
          <w:noProof/>
          <w:spacing w:val="-8"/>
        </w:rPr>
        <w:t xml:space="preserve"> the common measures </w:t>
      </w:r>
      <w:r w:rsidRPr="001D326A">
        <w:rPr>
          <w:noProof/>
          <w:spacing w:val="-8"/>
        </w:rPr>
        <w:t>t</w:t>
      </w:r>
      <w:r w:rsidR="0057061A" w:rsidRPr="001D326A">
        <w:rPr>
          <w:noProof/>
          <w:spacing w:val="-8"/>
        </w:rPr>
        <w:t>he</w:t>
      </w:r>
      <w:r w:rsidR="007502B7" w:rsidRPr="001D326A">
        <w:rPr>
          <w:noProof/>
          <w:spacing w:val="-8"/>
        </w:rPr>
        <w:t xml:space="preserve"> biggest</w:t>
      </w:r>
      <w:r w:rsidR="00E93ABE" w:rsidRPr="001D326A">
        <w:rPr>
          <w:noProof/>
          <w:spacing w:val="-8"/>
        </w:rPr>
        <w:t xml:space="preserve"> costs </w:t>
      </w:r>
      <w:r w:rsidR="004F1D24" w:rsidRPr="001D326A">
        <w:rPr>
          <w:noProof/>
          <w:spacing w:val="-8"/>
        </w:rPr>
        <w:t>stem</w:t>
      </w:r>
      <w:r w:rsidR="00585787" w:rsidRPr="001D326A">
        <w:rPr>
          <w:noProof/>
          <w:spacing w:val="-8"/>
        </w:rPr>
        <w:t xml:space="preserve"> from</w:t>
      </w:r>
      <w:r w:rsidR="002F4CC6" w:rsidRPr="001D326A">
        <w:rPr>
          <w:noProof/>
          <w:spacing w:val="-8"/>
        </w:rPr>
        <w:t xml:space="preserve"> </w:t>
      </w:r>
      <w:r w:rsidR="00FD7421" w:rsidRPr="001D326A">
        <w:rPr>
          <w:noProof/>
          <w:spacing w:val="-8"/>
        </w:rPr>
        <w:t xml:space="preserve">the obligation </w:t>
      </w:r>
      <w:r w:rsidR="00B76EDB" w:rsidRPr="001D326A">
        <w:rPr>
          <w:noProof/>
          <w:spacing w:val="-8"/>
        </w:rPr>
        <w:t>for B2C MDMS to share non-personal data for mobility management with public authorities (PM7</w:t>
      </w:r>
      <w:r w:rsidR="00FA1344" w:rsidRPr="001D326A">
        <w:rPr>
          <w:noProof/>
          <w:spacing w:val="-8"/>
        </w:rPr>
        <w:t>)</w:t>
      </w:r>
      <w:r w:rsidR="000C0258" w:rsidRPr="001D326A">
        <w:rPr>
          <w:noProof/>
          <w:spacing w:val="-8"/>
        </w:rPr>
        <w:t xml:space="preserve"> </w:t>
      </w:r>
      <w:r w:rsidR="0002441B" w:rsidRPr="001D326A">
        <w:rPr>
          <w:noProof/>
          <w:spacing w:val="-8"/>
        </w:rPr>
        <w:t xml:space="preserve">and </w:t>
      </w:r>
      <w:r w:rsidR="00DB0BDF" w:rsidRPr="001D326A">
        <w:rPr>
          <w:noProof/>
          <w:spacing w:val="-8"/>
        </w:rPr>
        <w:t>come from the set-up</w:t>
      </w:r>
      <w:r w:rsidR="007B2781" w:rsidRPr="001D326A">
        <w:rPr>
          <w:noProof/>
          <w:spacing w:val="-8"/>
        </w:rPr>
        <w:t xml:space="preserve"> </w:t>
      </w:r>
      <w:r w:rsidR="007B7D12" w:rsidRPr="001D326A">
        <w:rPr>
          <w:noProof/>
          <w:spacing w:val="-8"/>
        </w:rPr>
        <w:t xml:space="preserve">and </w:t>
      </w:r>
      <w:r w:rsidR="00B86DBD" w:rsidRPr="001D326A">
        <w:rPr>
          <w:noProof/>
          <w:spacing w:val="-8"/>
        </w:rPr>
        <w:t>maintenance</w:t>
      </w:r>
      <w:r w:rsidR="007B7D12" w:rsidRPr="001D326A">
        <w:rPr>
          <w:noProof/>
          <w:spacing w:val="-8"/>
        </w:rPr>
        <w:t xml:space="preserve"> </w:t>
      </w:r>
      <w:r w:rsidR="00B86DBD" w:rsidRPr="001D326A">
        <w:rPr>
          <w:noProof/>
          <w:spacing w:val="-8"/>
        </w:rPr>
        <w:t>of</w:t>
      </w:r>
      <w:r w:rsidR="007B7D12" w:rsidRPr="001D326A">
        <w:rPr>
          <w:noProof/>
          <w:spacing w:val="-8"/>
        </w:rPr>
        <w:t xml:space="preserve"> an</w:t>
      </w:r>
      <w:r w:rsidR="002A4552" w:rsidRPr="001D326A">
        <w:rPr>
          <w:noProof/>
          <w:spacing w:val="-8"/>
        </w:rPr>
        <w:t xml:space="preserve"> </w:t>
      </w:r>
      <w:r w:rsidR="007B7D12" w:rsidRPr="001D326A">
        <w:rPr>
          <w:noProof/>
          <w:spacing w:val="-8"/>
        </w:rPr>
        <w:t>API</w:t>
      </w:r>
      <w:r w:rsidR="00F20208" w:rsidRPr="001D326A">
        <w:rPr>
          <w:rStyle w:val="FootnoteReference"/>
          <w:noProof/>
          <w:spacing w:val="-8"/>
        </w:rPr>
        <w:footnoteReference w:id="182"/>
      </w:r>
      <w:r w:rsidR="00BB4650" w:rsidRPr="001D326A">
        <w:rPr>
          <w:noProof/>
          <w:spacing w:val="-8"/>
        </w:rPr>
        <w:t>.</w:t>
      </w:r>
      <w:r w:rsidR="001F4550" w:rsidRPr="001D326A">
        <w:rPr>
          <w:noProof/>
          <w:spacing w:val="-8"/>
        </w:rPr>
        <w:t xml:space="preserve"> The </w:t>
      </w:r>
      <w:r w:rsidR="00E83B76" w:rsidRPr="001D326A">
        <w:rPr>
          <w:noProof/>
          <w:spacing w:val="-8"/>
        </w:rPr>
        <w:t xml:space="preserve">total </w:t>
      </w:r>
      <w:r w:rsidR="001F4550" w:rsidRPr="001D326A">
        <w:rPr>
          <w:noProof/>
          <w:spacing w:val="-8"/>
        </w:rPr>
        <w:t xml:space="preserve">one-off and recurrent costs </w:t>
      </w:r>
      <w:r w:rsidR="00505DB1" w:rsidRPr="001D326A">
        <w:rPr>
          <w:noProof/>
          <w:spacing w:val="-8"/>
        </w:rPr>
        <w:t>for</w:t>
      </w:r>
      <w:r w:rsidR="001F4550" w:rsidRPr="001D326A">
        <w:rPr>
          <w:noProof/>
          <w:spacing w:val="-8"/>
        </w:rPr>
        <w:t xml:space="preserve"> PM7 are estimated </w:t>
      </w:r>
      <w:r w:rsidR="0009146C" w:rsidRPr="001D326A">
        <w:rPr>
          <w:noProof/>
          <w:spacing w:val="-8"/>
        </w:rPr>
        <w:t xml:space="preserve">to be highest in </w:t>
      </w:r>
      <w:r w:rsidR="00FB1B64">
        <w:rPr>
          <w:noProof/>
        </w:rPr>
        <w:t xml:space="preserve">PO2 </w:t>
      </w:r>
      <w:r w:rsidR="0009146C" w:rsidRPr="001D326A">
        <w:rPr>
          <w:noProof/>
          <w:spacing w:val="-8"/>
        </w:rPr>
        <w:t>(</w:t>
      </w:r>
      <w:r w:rsidR="003F78C3" w:rsidRPr="001D326A">
        <w:rPr>
          <w:noProof/>
          <w:spacing w:val="-8"/>
        </w:rPr>
        <w:t xml:space="preserve">EUR </w:t>
      </w:r>
      <w:r w:rsidR="00C34086" w:rsidRPr="00C34086">
        <w:rPr>
          <w:noProof/>
          <w:spacing w:val="-8"/>
        </w:rPr>
        <w:t>72.6</w:t>
      </w:r>
      <w:r w:rsidR="00C34086" w:rsidRPr="00C34086" w:rsidDel="00C34086">
        <w:rPr>
          <w:noProof/>
          <w:spacing w:val="-8"/>
        </w:rPr>
        <w:t xml:space="preserve"> </w:t>
      </w:r>
      <w:r w:rsidR="0009146C" w:rsidRPr="001D326A">
        <w:rPr>
          <w:noProof/>
          <w:spacing w:val="-8"/>
        </w:rPr>
        <w:t xml:space="preserve">million, expressed as present value over 2028-2050 relative to the baseline, of which </w:t>
      </w:r>
      <w:r w:rsidR="003F78C3" w:rsidRPr="001D326A">
        <w:rPr>
          <w:noProof/>
          <w:spacing w:val="-8"/>
        </w:rPr>
        <w:t xml:space="preserve">EUR </w:t>
      </w:r>
      <w:r w:rsidR="00C34086" w:rsidRPr="00C34086">
        <w:rPr>
          <w:noProof/>
          <w:spacing w:val="-8"/>
        </w:rPr>
        <w:t>30</w:t>
      </w:r>
      <w:r w:rsidR="003F78C3" w:rsidRPr="001D326A">
        <w:rPr>
          <w:noProof/>
          <w:spacing w:val="-8"/>
        </w:rPr>
        <w:t xml:space="preserve"> million one-off costs)</w:t>
      </w:r>
      <w:r w:rsidR="009774BA" w:rsidRPr="001D326A">
        <w:rPr>
          <w:noProof/>
          <w:spacing w:val="-8"/>
        </w:rPr>
        <w:t xml:space="preserve"> </w:t>
      </w:r>
      <w:r w:rsidR="00B134C8" w:rsidRPr="001D326A">
        <w:rPr>
          <w:noProof/>
          <w:spacing w:val="-8"/>
        </w:rPr>
        <w:t>due to</w:t>
      </w:r>
      <w:r w:rsidR="009774BA" w:rsidRPr="001D326A">
        <w:rPr>
          <w:noProof/>
          <w:spacing w:val="-8"/>
        </w:rPr>
        <w:t xml:space="preserve"> the </w:t>
      </w:r>
      <w:r w:rsidR="00B134C8" w:rsidRPr="001D326A">
        <w:rPr>
          <w:noProof/>
          <w:spacing w:val="-8"/>
        </w:rPr>
        <w:t>highe</w:t>
      </w:r>
      <w:r w:rsidR="009E2C01" w:rsidRPr="001D326A">
        <w:rPr>
          <w:noProof/>
          <w:spacing w:val="-8"/>
        </w:rPr>
        <w:t>st</w:t>
      </w:r>
      <w:r w:rsidR="00B134C8" w:rsidRPr="001D326A">
        <w:rPr>
          <w:noProof/>
          <w:spacing w:val="-8"/>
        </w:rPr>
        <w:t xml:space="preserve"> </w:t>
      </w:r>
      <w:r w:rsidR="00E53DE5" w:rsidRPr="001D326A">
        <w:rPr>
          <w:noProof/>
          <w:spacing w:val="-8"/>
        </w:rPr>
        <w:t>number of platforms project</w:t>
      </w:r>
      <w:r w:rsidR="00175E1E" w:rsidRPr="001D326A">
        <w:rPr>
          <w:noProof/>
          <w:spacing w:val="-8"/>
        </w:rPr>
        <w:t>ed</w:t>
      </w:r>
      <w:r w:rsidR="00E53DE5" w:rsidRPr="001D326A">
        <w:rPr>
          <w:noProof/>
          <w:spacing w:val="-8"/>
        </w:rPr>
        <w:t xml:space="preserve"> in this PO, followed by PO</w:t>
      </w:r>
      <w:r w:rsidR="00F94535" w:rsidRPr="001D326A">
        <w:rPr>
          <w:noProof/>
          <w:spacing w:val="-8"/>
        </w:rPr>
        <w:t>4</w:t>
      </w:r>
      <w:r w:rsidR="00D47217" w:rsidRPr="001D326A">
        <w:rPr>
          <w:noProof/>
          <w:spacing w:val="-8"/>
        </w:rPr>
        <w:t xml:space="preserve"> (EUR </w:t>
      </w:r>
      <w:r w:rsidR="00756E4E" w:rsidRPr="00756E4E">
        <w:rPr>
          <w:noProof/>
          <w:spacing w:val="-8"/>
        </w:rPr>
        <w:t>70.8</w:t>
      </w:r>
      <w:r w:rsidR="00D47217" w:rsidRPr="001D326A">
        <w:rPr>
          <w:noProof/>
          <w:spacing w:val="-8"/>
        </w:rPr>
        <w:t xml:space="preserve"> million</w:t>
      </w:r>
      <w:r w:rsidR="00DE1426" w:rsidRPr="001D326A">
        <w:rPr>
          <w:noProof/>
          <w:spacing w:val="-8"/>
        </w:rPr>
        <w:t xml:space="preserve">, of which </w:t>
      </w:r>
      <w:r w:rsidR="0091275A" w:rsidRPr="001D326A">
        <w:rPr>
          <w:noProof/>
          <w:spacing w:val="-8"/>
        </w:rPr>
        <w:t xml:space="preserve">EUR </w:t>
      </w:r>
      <w:r w:rsidR="00756E4E" w:rsidRPr="00756E4E">
        <w:rPr>
          <w:noProof/>
          <w:spacing w:val="-8"/>
        </w:rPr>
        <w:t>29.1</w:t>
      </w:r>
      <w:r w:rsidR="0091275A" w:rsidRPr="001D326A">
        <w:rPr>
          <w:noProof/>
          <w:spacing w:val="-8"/>
        </w:rPr>
        <w:t xml:space="preserve"> million one-off costs)</w:t>
      </w:r>
      <w:r w:rsidR="00F94535" w:rsidRPr="001D326A">
        <w:rPr>
          <w:noProof/>
          <w:spacing w:val="-8"/>
        </w:rPr>
        <w:t xml:space="preserve">, </w:t>
      </w:r>
      <w:r w:rsidR="00005E5F">
        <w:rPr>
          <w:noProof/>
        </w:rPr>
        <w:t xml:space="preserve">PO3 </w:t>
      </w:r>
      <w:r w:rsidR="00F94535" w:rsidRPr="001D326A">
        <w:rPr>
          <w:noProof/>
          <w:spacing w:val="-8"/>
        </w:rPr>
        <w:t xml:space="preserve">(EUR </w:t>
      </w:r>
      <w:r w:rsidR="00A5183D">
        <w:rPr>
          <w:noProof/>
        </w:rPr>
        <w:t>69.4</w:t>
      </w:r>
      <w:r w:rsidR="00F94535" w:rsidRPr="001D326A">
        <w:rPr>
          <w:noProof/>
          <w:spacing w:val="-8"/>
        </w:rPr>
        <w:t xml:space="preserve"> million, of which EUR </w:t>
      </w:r>
      <w:r w:rsidR="00330A22">
        <w:rPr>
          <w:noProof/>
        </w:rPr>
        <w:t>28.3</w:t>
      </w:r>
      <w:r w:rsidR="00150DCC" w:rsidRPr="001D326A">
        <w:rPr>
          <w:noProof/>
          <w:spacing w:val="-8"/>
        </w:rPr>
        <w:t xml:space="preserve"> </w:t>
      </w:r>
      <w:r w:rsidR="00F94535" w:rsidRPr="001D326A">
        <w:rPr>
          <w:noProof/>
          <w:spacing w:val="-8"/>
        </w:rPr>
        <w:t>million one-off costs)</w:t>
      </w:r>
      <w:r w:rsidR="003F7E46" w:rsidRPr="001D326A">
        <w:rPr>
          <w:noProof/>
          <w:spacing w:val="-8"/>
        </w:rPr>
        <w:t xml:space="preserve"> and PO1 (EUR 52.9 million, of which EUR </w:t>
      </w:r>
      <w:r w:rsidR="00EA66D5" w:rsidRPr="001D326A">
        <w:rPr>
          <w:noProof/>
          <w:spacing w:val="-8"/>
        </w:rPr>
        <w:t>20.8</w:t>
      </w:r>
      <w:r w:rsidR="003F7E46" w:rsidRPr="001D326A">
        <w:rPr>
          <w:noProof/>
          <w:spacing w:val="-8"/>
        </w:rPr>
        <w:t xml:space="preserve"> million one-off costs). </w:t>
      </w:r>
      <w:r w:rsidR="00FF0FBB" w:rsidRPr="001D326A">
        <w:rPr>
          <w:noProof/>
          <w:spacing w:val="-8"/>
        </w:rPr>
        <w:t>O</w:t>
      </w:r>
      <w:r w:rsidR="00FF3D5E" w:rsidRPr="001D326A">
        <w:rPr>
          <w:noProof/>
          <w:spacing w:val="-8"/>
        </w:rPr>
        <w:t>ther important adjustment cost</w:t>
      </w:r>
      <w:r w:rsidR="00FF0FBB" w:rsidRPr="001D326A">
        <w:rPr>
          <w:noProof/>
          <w:spacing w:val="-8"/>
        </w:rPr>
        <w:t>s</w:t>
      </w:r>
      <w:r w:rsidR="001B4FB3" w:rsidRPr="001D326A">
        <w:rPr>
          <w:noProof/>
          <w:spacing w:val="-8"/>
        </w:rPr>
        <w:t xml:space="preserve"> </w:t>
      </w:r>
      <w:r w:rsidR="009A66EE" w:rsidRPr="001D326A">
        <w:rPr>
          <w:noProof/>
          <w:spacing w:val="-8"/>
        </w:rPr>
        <w:t>common to all POs</w:t>
      </w:r>
      <w:r w:rsidR="00AF4277" w:rsidRPr="001D326A">
        <w:rPr>
          <w:noProof/>
          <w:spacing w:val="-8"/>
        </w:rPr>
        <w:t xml:space="preserve"> are</w:t>
      </w:r>
      <w:r w:rsidR="00FF3D5E" w:rsidRPr="001D326A">
        <w:rPr>
          <w:noProof/>
          <w:spacing w:val="-8"/>
        </w:rPr>
        <w:t xml:space="preserve"> linked to the neutral display obligations (PM1) and </w:t>
      </w:r>
      <w:r w:rsidR="00566A6D" w:rsidRPr="001D326A">
        <w:rPr>
          <w:noProof/>
          <w:spacing w:val="-8"/>
        </w:rPr>
        <w:t xml:space="preserve">the </w:t>
      </w:r>
      <w:r w:rsidR="00AF4277" w:rsidRPr="001D326A">
        <w:rPr>
          <w:noProof/>
          <w:spacing w:val="-8"/>
        </w:rPr>
        <w:t>obligation</w:t>
      </w:r>
      <w:r w:rsidR="00300179" w:rsidRPr="001D326A">
        <w:rPr>
          <w:noProof/>
          <w:spacing w:val="-8"/>
        </w:rPr>
        <w:t xml:space="preserve"> to </w:t>
      </w:r>
      <w:r w:rsidR="00FF0FBB" w:rsidRPr="001D326A">
        <w:rPr>
          <w:noProof/>
          <w:spacing w:val="-8"/>
        </w:rPr>
        <w:t>display GHG</w:t>
      </w:r>
      <w:r w:rsidR="00AA4AA9">
        <w:rPr>
          <w:noProof/>
          <w:spacing w:val="-8"/>
        </w:rPr>
        <w:t>/CO2</w:t>
      </w:r>
      <w:r w:rsidR="00FF0FBB" w:rsidRPr="001D326A">
        <w:rPr>
          <w:noProof/>
          <w:spacing w:val="-8"/>
        </w:rPr>
        <w:t xml:space="preserve"> emissions when provided by transport operators (PM8). </w:t>
      </w:r>
      <w:r w:rsidR="002B4173" w:rsidRPr="001D326A">
        <w:rPr>
          <w:noProof/>
          <w:spacing w:val="-8"/>
        </w:rPr>
        <w:t xml:space="preserve">Each of the </w:t>
      </w:r>
      <w:r w:rsidR="008C2894" w:rsidRPr="001D326A">
        <w:rPr>
          <w:noProof/>
          <w:spacing w:val="-8"/>
        </w:rPr>
        <w:t xml:space="preserve">two </w:t>
      </w:r>
      <w:r w:rsidR="00AE4B3C" w:rsidRPr="001D326A">
        <w:rPr>
          <w:noProof/>
          <w:spacing w:val="-8"/>
        </w:rPr>
        <w:t xml:space="preserve">measures will result in </w:t>
      </w:r>
      <w:r w:rsidR="005E1EEB" w:rsidRPr="001D326A">
        <w:rPr>
          <w:noProof/>
          <w:spacing w:val="-8"/>
        </w:rPr>
        <w:t xml:space="preserve">one-off </w:t>
      </w:r>
      <w:r w:rsidR="00484528" w:rsidRPr="001D326A">
        <w:rPr>
          <w:noProof/>
          <w:spacing w:val="-8"/>
        </w:rPr>
        <w:t xml:space="preserve">and recurrent </w:t>
      </w:r>
      <w:r w:rsidR="00AE4B3C" w:rsidRPr="001D326A">
        <w:rPr>
          <w:noProof/>
          <w:spacing w:val="-8"/>
        </w:rPr>
        <w:t>adjustment costs</w:t>
      </w:r>
      <w:r w:rsidR="00803E74" w:rsidRPr="001D326A">
        <w:rPr>
          <w:noProof/>
          <w:spacing w:val="-8"/>
        </w:rPr>
        <w:t xml:space="preserve"> </w:t>
      </w:r>
      <w:r w:rsidR="00360ADF" w:rsidRPr="001D326A">
        <w:rPr>
          <w:noProof/>
          <w:spacing w:val="-8"/>
        </w:rPr>
        <w:t>for MDMS platforms</w:t>
      </w:r>
      <w:r w:rsidR="000F347A" w:rsidRPr="001D326A">
        <w:rPr>
          <w:noProof/>
          <w:spacing w:val="-8"/>
        </w:rPr>
        <w:t>, related to the IT development to adjust display criteria and their maintenance,</w:t>
      </w:r>
      <w:r w:rsidR="00360ADF" w:rsidRPr="001D326A">
        <w:rPr>
          <w:noProof/>
          <w:spacing w:val="-8"/>
        </w:rPr>
        <w:t xml:space="preserve"> </w:t>
      </w:r>
      <w:r w:rsidR="00CB1E01" w:rsidRPr="001D326A">
        <w:rPr>
          <w:noProof/>
          <w:spacing w:val="-8"/>
        </w:rPr>
        <w:t xml:space="preserve">of </w:t>
      </w:r>
      <w:r w:rsidR="00345063" w:rsidRPr="001D326A" w:rsidDel="00507022">
        <w:rPr>
          <w:noProof/>
          <w:spacing w:val="-8"/>
        </w:rPr>
        <w:t xml:space="preserve">around </w:t>
      </w:r>
      <w:r w:rsidR="00096D46" w:rsidRPr="001D326A">
        <w:rPr>
          <w:noProof/>
          <w:spacing w:val="-8"/>
        </w:rPr>
        <w:t>EUR</w:t>
      </w:r>
      <w:r w:rsidR="00096D46" w:rsidRPr="001D326A" w:rsidDel="002B4173">
        <w:rPr>
          <w:noProof/>
          <w:spacing w:val="-8"/>
        </w:rPr>
        <w:t xml:space="preserve"> </w:t>
      </w:r>
      <w:r w:rsidR="00212D63" w:rsidRPr="001D326A">
        <w:rPr>
          <w:noProof/>
          <w:spacing w:val="-8"/>
        </w:rPr>
        <w:t>16</w:t>
      </w:r>
      <w:r w:rsidR="002B4173" w:rsidRPr="001D326A">
        <w:rPr>
          <w:noProof/>
          <w:spacing w:val="-8"/>
        </w:rPr>
        <w:t xml:space="preserve"> </w:t>
      </w:r>
      <w:r w:rsidR="00D57D9B">
        <w:rPr>
          <w:noProof/>
          <w:spacing w:val="-8"/>
        </w:rPr>
        <w:t xml:space="preserve">to 17 </w:t>
      </w:r>
      <w:r w:rsidR="00096D46" w:rsidRPr="001D326A">
        <w:rPr>
          <w:noProof/>
          <w:spacing w:val="-8"/>
        </w:rPr>
        <w:t xml:space="preserve">million </w:t>
      </w:r>
      <w:r w:rsidR="002B4173" w:rsidRPr="001D326A">
        <w:rPr>
          <w:noProof/>
          <w:spacing w:val="-8"/>
        </w:rPr>
        <w:t xml:space="preserve">in </w:t>
      </w:r>
      <w:r w:rsidR="00494783">
        <w:rPr>
          <w:noProof/>
        </w:rPr>
        <w:t>PO2</w:t>
      </w:r>
      <w:r w:rsidR="00930F43">
        <w:rPr>
          <w:noProof/>
        </w:rPr>
        <w:t>, PO3</w:t>
      </w:r>
      <w:r w:rsidR="00494783">
        <w:rPr>
          <w:noProof/>
        </w:rPr>
        <w:t xml:space="preserve"> and PO4 </w:t>
      </w:r>
      <w:r w:rsidR="00212D63" w:rsidRPr="001D326A">
        <w:rPr>
          <w:noProof/>
          <w:spacing w:val="-8"/>
        </w:rPr>
        <w:t xml:space="preserve">(of which </w:t>
      </w:r>
      <w:r w:rsidR="003F41AB" w:rsidRPr="001D326A">
        <w:rPr>
          <w:noProof/>
          <w:spacing w:val="-8"/>
        </w:rPr>
        <w:t xml:space="preserve">EUR </w:t>
      </w:r>
      <w:r w:rsidR="00E65507">
        <w:rPr>
          <w:noProof/>
        </w:rPr>
        <w:t xml:space="preserve">6.4 to </w:t>
      </w:r>
      <w:r w:rsidR="005B0CC0">
        <w:rPr>
          <w:noProof/>
        </w:rPr>
        <w:t>6.9</w:t>
      </w:r>
      <w:r w:rsidR="003F41AB">
        <w:rPr>
          <w:noProof/>
        </w:rPr>
        <w:t xml:space="preserve"> </w:t>
      </w:r>
      <w:r w:rsidR="003F41AB" w:rsidRPr="001D326A">
        <w:rPr>
          <w:noProof/>
          <w:spacing w:val="-8"/>
        </w:rPr>
        <w:t>million one-off costs)</w:t>
      </w:r>
      <w:r w:rsidR="002B4173" w:rsidRPr="001D326A">
        <w:rPr>
          <w:noProof/>
          <w:spacing w:val="-8"/>
        </w:rPr>
        <w:t xml:space="preserve">, and </w:t>
      </w:r>
      <w:r w:rsidR="009D4CCF" w:rsidRPr="001D326A">
        <w:rPr>
          <w:noProof/>
          <w:spacing w:val="-8"/>
        </w:rPr>
        <w:t xml:space="preserve">EUR 12 million in PO1 (of which </w:t>
      </w:r>
      <w:r w:rsidR="00790D55" w:rsidRPr="001D326A">
        <w:rPr>
          <w:noProof/>
          <w:spacing w:val="-8"/>
        </w:rPr>
        <w:t xml:space="preserve">close to </w:t>
      </w:r>
      <w:r w:rsidR="007F7B6F" w:rsidRPr="001D326A">
        <w:rPr>
          <w:noProof/>
          <w:spacing w:val="-8"/>
        </w:rPr>
        <w:t xml:space="preserve">EUR 5 million </w:t>
      </w:r>
      <w:r w:rsidR="009D4CCF" w:rsidRPr="001D326A">
        <w:rPr>
          <w:noProof/>
          <w:spacing w:val="-8"/>
        </w:rPr>
        <w:t>one-off costs)</w:t>
      </w:r>
      <w:r w:rsidR="00A4511E" w:rsidRPr="001D326A">
        <w:rPr>
          <w:noProof/>
          <w:spacing w:val="-8"/>
        </w:rPr>
        <w:t>.</w:t>
      </w:r>
      <w:r w:rsidR="00301BD1" w:rsidRPr="001D326A">
        <w:rPr>
          <w:noProof/>
          <w:spacing w:val="-8"/>
        </w:rPr>
        <w:t xml:space="preserve"> </w:t>
      </w:r>
      <w:r w:rsidR="00A5768B" w:rsidRPr="001D326A">
        <w:rPr>
          <w:noProof/>
          <w:spacing w:val="-8"/>
        </w:rPr>
        <w:t>The</w:t>
      </w:r>
      <w:r w:rsidR="00301BD1" w:rsidRPr="001D326A">
        <w:rPr>
          <w:noProof/>
          <w:spacing w:val="-8"/>
        </w:rPr>
        <w:t xml:space="preserve"> costs </w:t>
      </w:r>
      <w:r w:rsidR="007523C3" w:rsidRPr="001D326A">
        <w:rPr>
          <w:noProof/>
          <w:spacing w:val="-8"/>
        </w:rPr>
        <w:t>associated with</w:t>
      </w:r>
      <w:r w:rsidR="00301BD1" w:rsidRPr="001D326A">
        <w:rPr>
          <w:noProof/>
          <w:spacing w:val="-8"/>
        </w:rPr>
        <w:t xml:space="preserve"> PM1 are </w:t>
      </w:r>
      <w:r w:rsidR="00A801A0" w:rsidRPr="001D326A">
        <w:rPr>
          <w:noProof/>
          <w:spacing w:val="-8"/>
        </w:rPr>
        <w:t xml:space="preserve">lower </w:t>
      </w:r>
      <w:r w:rsidR="00397425">
        <w:rPr>
          <w:noProof/>
          <w:spacing w:val="-8"/>
        </w:rPr>
        <w:t>for CRS than other MDMS as they</w:t>
      </w:r>
      <w:r w:rsidR="00A801A0" w:rsidRPr="001D326A">
        <w:rPr>
          <w:noProof/>
          <w:spacing w:val="-8"/>
        </w:rPr>
        <w:t xml:space="preserve"> </w:t>
      </w:r>
      <w:r w:rsidR="001D17DC" w:rsidRPr="001D326A">
        <w:rPr>
          <w:noProof/>
          <w:spacing w:val="-8"/>
        </w:rPr>
        <w:t xml:space="preserve">must already comply with </w:t>
      </w:r>
      <w:r w:rsidR="00EB4B4E" w:rsidRPr="00117904">
        <w:rPr>
          <w:noProof/>
          <w:spacing w:val="-8"/>
        </w:rPr>
        <w:t>si</w:t>
      </w:r>
      <w:r w:rsidR="007532F9" w:rsidRPr="00117904">
        <w:rPr>
          <w:noProof/>
          <w:spacing w:val="-8"/>
        </w:rPr>
        <w:t>milar</w:t>
      </w:r>
      <w:r w:rsidR="00F50E92" w:rsidRPr="00117904">
        <w:rPr>
          <w:noProof/>
          <w:spacing w:val="-8"/>
        </w:rPr>
        <w:t xml:space="preserve"> </w:t>
      </w:r>
      <w:r w:rsidR="001D17DC" w:rsidRPr="001D326A">
        <w:rPr>
          <w:noProof/>
          <w:spacing w:val="-8"/>
        </w:rPr>
        <w:t xml:space="preserve">neutral display requirements </w:t>
      </w:r>
      <w:r w:rsidR="007532F9" w:rsidRPr="001D326A">
        <w:rPr>
          <w:noProof/>
          <w:spacing w:val="-8"/>
        </w:rPr>
        <w:t xml:space="preserve">from </w:t>
      </w:r>
      <w:r w:rsidR="007532F9" w:rsidRPr="00117904">
        <w:rPr>
          <w:noProof/>
          <w:spacing w:val="-8"/>
        </w:rPr>
        <w:t>the Code of Conduct</w:t>
      </w:r>
      <w:r w:rsidR="007A1D9E" w:rsidRPr="00117904">
        <w:rPr>
          <w:noProof/>
          <w:spacing w:val="-8"/>
        </w:rPr>
        <w:t xml:space="preserve"> </w:t>
      </w:r>
      <w:r w:rsidR="00446FF0" w:rsidRPr="00117904">
        <w:rPr>
          <w:noProof/>
          <w:spacing w:val="-8"/>
        </w:rPr>
        <w:t>in the baseline</w:t>
      </w:r>
      <w:r w:rsidR="00A370B8" w:rsidRPr="001D326A">
        <w:rPr>
          <w:rStyle w:val="FootnoteReference"/>
          <w:noProof/>
          <w:spacing w:val="-8"/>
        </w:rPr>
        <w:footnoteReference w:id="183"/>
      </w:r>
      <w:r w:rsidR="0076100B" w:rsidRPr="001D326A">
        <w:rPr>
          <w:noProof/>
          <w:spacing w:val="-8"/>
        </w:rPr>
        <w:t>.</w:t>
      </w:r>
      <w:r w:rsidR="001D17DC" w:rsidRPr="001D326A" w:rsidDel="00F50E92">
        <w:rPr>
          <w:noProof/>
          <w:spacing w:val="-8"/>
        </w:rPr>
        <w:t xml:space="preserve"> </w:t>
      </w:r>
    </w:p>
    <w:p w14:paraId="11640E57" w14:textId="4B7BD5CE" w:rsidR="00807A95" w:rsidRPr="001D326A" w:rsidRDefault="004E2A85" w:rsidP="001D326A">
      <w:pPr>
        <w:pStyle w:val="BodyText"/>
        <w:spacing w:after="240"/>
        <w:ind w:left="0"/>
        <w:rPr>
          <w:noProof/>
          <w:spacing w:val="-8"/>
        </w:rPr>
      </w:pPr>
      <w:r w:rsidRPr="001D326A">
        <w:rPr>
          <w:noProof/>
          <w:spacing w:val="-8"/>
        </w:rPr>
        <w:t xml:space="preserve">PO3 additionally </w:t>
      </w:r>
      <w:r w:rsidR="00147272" w:rsidRPr="001D326A">
        <w:rPr>
          <w:noProof/>
          <w:spacing w:val="-8"/>
        </w:rPr>
        <w:t>includes</w:t>
      </w:r>
      <w:r w:rsidRPr="001D326A">
        <w:rPr>
          <w:noProof/>
          <w:spacing w:val="-8"/>
        </w:rPr>
        <w:t xml:space="preserve"> one-off adjustment costs for indispensable RU platforms to enter into commercial agreements with willing RUs (PM14), to enable the distribution of tickets, estimated at EUR 0.4 million expressed as present value over 2028-2050 relative to the baseline. </w:t>
      </w:r>
      <w:r w:rsidR="00231122" w:rsidRPr="001D326A">
        <w:rPr>
          <w:noProof/>
          <w:spacing w:val="-8"/>
        </w:rPr>
        <w:t>These cover the cost</w:t>
      </w:r>
      <w:r w:rsidR="00A6323C" w:rsidRPr="001D326A">
        <w:rPr>
          <w:noProof/>
          <w:spacing w:val="-8"/>
        </w:rPr>
        <w:t>s</w:t>
      </w:r>
      <w:r w:rsidR="00231122" w:rsidRPr="001D326A">
        <w:rPr>
          <w:noProof/>
          <w:spacing w:val="-8"/>
        </w:rPr>
        <w:t xml:space="preserve"> of negotiating new agreements</w:t>
      </w:r>
      <w:r w:rsidR="00074D1D" w:rsidRPr="001D326A">
        <w:rPr>
          <w:rStyle w:val="FootnoteReference"/>
          <w:noProof/>
          <w:spacing w:val="-8"/>
        </w:rPr>
        <w:footnoteReference w:id="184"/>
      </w:r>
      <w:r w:rsidR="00231122" w:rsidRPr="001D326A">
        <w:rPr>
          <w:noProof/>
          <w:spacing w:val="-8"/>
        </w:rPr>
        <w:t>.</w:t>
      </w:r>
      <w:r w:rsidR="00985422" w:rsidRPr="001D326A">
        <w:rPr>
          <w:noProof/>
          <w:spacing w:val="-8"/>
        </w:rPr>
        <w:t xml:space="preserve"> </w:t>
      </w:r>
      <w:r w:rsidR="00A8211D" w:rsidRPr="001D326A">
        <w:rPr>
          <w:noProof/>
          <w:spacing w:val="-8"/>
        </w:rPr>
        <w:t>PO4</w:t>
      </w:r>
      <w:r w:rsidR="00D4205A" w:rsidRPr="001D326A">
        <w:rPr>
          <w:noProof/>
          <w:spacing w:val="-8"/>
        </w:rPr>
        <w:t xml:space="preserve"> </w:t>
      </w:r>
      <w:r w:rsidR="00504AB6" w:rsidRPr="001D326A">
        <w:rPr>
          <w:noProof/>
          <w:spacing w:val="-8"/>
        </w:rPr>
        <w:t xml:space="preserve">leads to </w:t>
      </w:r>
      <w:r w:rsidR="00D4205A" w:rsidRPr="001D326A">
        <w:rPr>
          <w:noProof/>
          <w:spacing w:val="-8"/>
        </w:rPr>
        <w:t>significantly higher</w:t>
      </w:r>
      <w:r w:rsidR="004E02C3" w:rsidRPr="001D326A">
        <w:rPr>
          <w:noProof/>
          <w:spacing w:val="-8"/>
        </w:rPr>
        <w:t xml:space="preserve"> on</w:t>
      </w:r>
      <w:r w:rsidR="003A730E" w:rsidRPr="001D326A">
        <w:rPr>
          <w:noProof/>
          <w:spacing w:val="-8"/>
        </w:rPr>
        <w:t>e-off</w:t>
      </w:r>
      <w:r w:rsidR="00D4205A" w:rsidRPr="001D326A">
        <w:rPr>
          <w:noProof/>
          <w:spacing w:val="-8"/>
        </w:rPr>
        <w:t xml:space="preserve"> adjustment costs </w:t>
      </w:r>
      <w:r w:rsidR="007F1AAF" w:rsidRPr="001D326A">
        <w:rPr>
          <w:noProof/>
          <w:spacing w:val="-8"/>
        </w:rPr>
        <w:t xml:space="preserve">due to the </w:t>
      </w:r>
      <w:r w:rsidR="00DF6186" w:rsidRPr="001D326A">
        <w:rPr>
          <w:noProof/>
          <w:spacing w:val="-8"/>
        </w:rPr>
        <w:t>unbundling obligation (PM15)</w:t>
      </w:r>
      <w:r w:rsidR="003D7646" w:rsidRPr="001D326A">
        <w:rPr>
          <w:noProof/>
          <w:spacing w:val="-8"/>
        </w:rPr>
        <w:t>, requiring</w:t>
      </w:r>
      <w:r w:rsidR="00B52937" w:rsidRPr="001D326A">
        <w:rPr>
          <w:noProof/>
          <w:spacing w:val="-8"/>
        </w:rPr>
        <w:t xml:space="preserve"> 19</w:t>
      </w:r>
      <w:r w:rsidR="00CA295C" w:rsidRPr="001D326A">
        <w:rPr>
          <w:noProof/>
          <w:spacing w:val="-8"/>
        </w:rPr>
        <w:t xml:space="preserve"> </w:t>
      </w:r>
      <w:r w:rsidR="00E827D4" w:rsidRPr="001D326A">
        <w:rPr>
          <w:noProof/>
          <w:spacing w:val="-8"/>
        </w:rPr>
        <w:t>indispensable RU</w:t>
      </w:r>
      <w:r w:rsidR="00CA295C" w:rsidRPr="001D326A">
        <w:rPr>
          <w:noProof/>
          <w:spacing w:val="-8"/>
        </w:rPr>
        <w:t xml:space="preserve"> platforms</w:t>
      </w:r>
      <w:r w:rsidR="00B52937" w:rsidRPr="001D326A">
        <w:rPr>
          <w:noProof/>
          <w:spacing w:val="-8"/>
        </w:rPr>
        <w:t xml:space="preserve"> </w:t>
      </w:r>
      <w:r w:rsidR="00C40C2B" w:rsidRPr="001D326A">
        <w:rPr>
          <w:noProof/>
          <w:spacing w:val="-8"/>
        </w:rPr>
        <w:t>to undertake</w:t>
      </w:r>
      <w:r w:rsidR="00CA295C" w:rsidRPr="001D326A">
        <w:rPr>
          <w:noProof/>
          <w:spacing w:val="-8"/>
        </w:rPr>
        <w:t xml:space="preserve"> </w:t>
      </w:r>
      <w:r w:rsidR="002463E0" w:rsidRPr="001D326A">
        <w:rPr>
          <w:noProof/>
          <w:spacing w:val="-8"/>
        </w:rPr>
        <w:t xml:space="preserve">an </w:t>
      </w:r>
      <w:r w:rsidR="0005263E" w:rsidRPr="001D326A">
        <w:rPr>
          <w:noProof/>
          <w:spacing w:val="-8"/>
        </w:rPr>
        <w:t xml:space="preserve">important </w:t>
      </w:r>
      <w:r w:rsidR="00210AFC" w:rsidRPr="001D326A">
        <w:rPr>
          <w:noProof/>
          <w:spacing w:val="-8"/>
        </w:rPr>
        <w:t>legal and administrative reorganisation</w:t>
      </w:r>
      <w:r w:rsidR="005D435C" w:rsidRPr="001D326A">
        <w:rPr>
          <w:noProof/>
          <w:spacing w:val="-8"/>
        </w:rPr>
        <w:t xml:space="preserve"> estimated at EUR 157</w:t>
      </w:r>
      <w:r w:rsidR="0039485E" w:rsidRPr="001D326A">
        <w:rPr>
          <w:noProof/>
          <w:spacing w:val="-8"/>
        </w:rPr>
        <w:t>.7</w:t>
      </w:r>
      <w:r w:rsidR="005D435C" w:rsidRPr="001D326A">
        <w:rPr>
          <w:noProof/>
          <w:spacing w:val="-8"/>
        </w:rPr>
        <w:t xml:space="preserve"> million</w:t>
      </w:r>
      <w:r w:rsidR="00C40C2B" w:rsidRPr="001D326A">
        <w:rPr>
          <w:noProof/>
          <w:spacing w:val="-8"/>
        </w:rPr>
        <w:t xml:space="preserve">. </w:t>
      </w:r>
    </w:p>
    <w:p w14:paraId="706F7002" w14:textId="512A66A7" w:rsidR="00B44D35" w:rsidRPr="001D326A" w:rsidRDefault="00B44D35" w:rsidP="001D326A">
      <w:pPr>
        <w:pStyle w:val="BodyText"/>
        <w:spacing w:after="240"/>
        <w:ind w:left="0"/>
        <w:rPr>
          <w:noProof/>
          <w:spacing w:val="-8"/>
        </w:rPr>
      </w:pPr>
      <w:r w:rsidRPr="001D326A">
        <w:rPr>
          <w:noProof/>
          <w:spacing w:val="-8"/>
        </w:rPr>
        <w:t xml:space="preserve">The total </w:t>
      </w:r>
      <w:r w:rsidR="00B54AFC" w:rsidRPr="001D326A">
        <w:rPr>
          <w:noProof/>
          <w:spacing w:val="-8"/>
        </w:rPr>
        <w:t>one-off and recurrent adjustment costs</w:t>
      </w:r>
      <w:r w:rsidR="002F418F" w:rsidRPr="001D326A">
        <w:rPr>
          <w:noProof/>
          <w:spacing w:val="-8"/>
        </w:rPr>
        <w:t>, expressed as present value over 2028-2050 relative to the baseline,</w:t>
      </w:r>
      <w:r w:rsidR="00B54AFC" w:rsidRPr="001D326A">
        <w:rPr>
          <w:noProof/>
          <w:spacing w:val="-8"/>
        </w:rPr>
        <w:t xml:space="preserve"> are thus estimated to be highest in </w:t>
      </w:r>
      <w:r w:rsidR="00B54AFC" w:rsidRPr="00CC10B2">
        <w:rPr>
          <w:noProof/>
          <w:spacing w:val="-8"/>
        </w:rPr>
        <w:t xml:space="preserve">PO4 </w:t>
      </w:r>
      <w:r w:rsidR="0062739E" w:rsidRPr="00CC10B2">
        <w:rPr>
          <w:noProof/>
          <w:spacing w:val="-8"/>
        </w:rPr>
        <w:t xml:space="preserve">(EUR </w:t>
      </w:r>
      <w:r w:rsidR="007F35A9" w:rsidRPr="003E0E3C">
        <w:rPr>
          <w:noProof/>
          <w:spacing w:val="-8"/>
        </w:rPr>
        <w:t>282.3</w:t>
      </w:r>
      <w:r w:rsidR="007F35A9" w:rsidRPr="003E0E3C" w:rsidDel="003E0E3C">
        <w:rPr>
          <w:noProof/>
          <w:spacing w:val="-8"/>
        </w:rPr>
        <w:t xml:space="preserve"> </w:t>
      </w:r>
      <w:r w:rsidR="007F35A9" w:rsidRPr="00CC10B2">
        <w:rPr>
          <w:noProof/>
          <w:spacing w:val="-8"/>
        </w:rPr>
        <w:t>million</w:t>
      </w:r>
      <w:r w:rsidR="0062739E" w:rsidRPr="00CC10B2">
        <w:rPr>
          <w:noProof/>
          <w:spacing w:val="-8"/>
        </w:rPr>
        <w:t>)</w:t>
      </w:r>
      <w:r w:rsidR="0062739E" w:rsidRPr="001D326A">
        <w:rPr>
          <w:noProof/>
          <w:spacing w:val="-8"/>
        </w:rPr>
        <w:t xml:space="preserve">, followed by </w:t>
      </w:r>
      <w:r w:rsidR="00C52CD2">
        <w:rPr>
          <w:noProof/>
          <w:spacing w:val="-8"/>
        </w:rPr>
        <w:t>PO2</w:t>
      </w:r>
      <w:r w:rsidR="00C52CD2" w:rsidRPr="001D326A">
        <w:rPr>
          <w:noProof/>
          <w:spacing w:val="-8"/>
        </w:rPr>
        <w:t xml:space="preserve"> </w:t>
      </w:r>
      <w:r w:rsidR="007E35B6" w:rsidRPr="001D326A">
        <w:rPr>
          <w:noProof/>
          <w:spacing w:val="-8"/>
        </w:rPr>
        <w:t xml:space="preserve">(EUR </w:t>
      </w:r>
      <w:r w:rsidR="007A6B84" w:rsidRPr="007A6B84">
        <w:rPr>
          <w:noProof/>
          <w:spacing w:val="-8"/>
        </w:rPr>
        <w:t>127.7</w:t>
      </w:r>
      <w:r w:rsidR="007E35B6" w:rsidRPr="001D326A">
        <w:rPr>
          <w:noProof/>
          <w:spacing w:val="-8"/>
        </w:rPr>
        <w:t xml:space="preserve"> million), </w:t>
      </w:r>
      <w:r w:rsidR="007D5152">
        <w:rPr>
          <w:noProof/>
          <w:spacing w:val="-8"/>
        </w:rPr>
        <w:t>PO3</w:t>
      </w:r>
      <w:r w:rsidR="007D5152" w:rsidRPr="001D326A">
        <w:rPr>
          <w:noProof/>
          <w:spacing w:val="-8"/>
        </w:rPr>
        <w:t xml:space="preserve"> </w:t>
      </w:r>
      <w:r w:rsidR="007E35B6" w:rsidRPr="001D326A">
        <w:rPr>
          <w:noProof/>
          <w:spacing w:val="-8"/>
        </w:rPr>
        <w:t xml:space="preserve">(EUR </w:t>
      </w:r>
      <w:r w:rsidR="007D5152" w:rsidRPr="007D5152">
        <w:rPr>
          <w:noProof/>
          <w:spacing w:val="-8"/>
        </w:rPr>
        <w:t>122.3</w:t>
      </w:r>
      <w:r w:rsidR="007E6B0D" w:rsidRPr="001D326A">
        <w:rPr>
          <w:noProof/>
          <w:spacing w:val="-8"/>
        </w:rPr>
        <w:t xml:space="preserve"> million) and PO1 (EUR 92.9 million). </w:t>
      </w:r>
      <w:r w:rsidR="00CA5D45" w:rsidRPr="001D326A">
        <w:rPr>
          <w:noProof/>
          <w:spacing w:val="-8"/>
        </w:rPr>
        <w:t xml:space="preserve">The one-off adjustment costs due to the unbundling obligation (PM15) represent </w:t>
      </w:r>
      <w:r w:rsidR="00ED74ED">
        <w:rPr>
          <w:noProof/>
          <w:spacing w:val="-8"/>
        </w:rPr>
        <w:t>56</w:t>
      </w:r>
      <w:r w:rsidR="00CA5D45" w:rsidRPr="001D326A">
        <w:rPr>
          <w:noProof/>
          <w:spacing w:val="-8"/>
        </w:rPr>
        <w:t xml:space="preserve">% of the total </w:t>
      </w:r>
      <w:r w:rsidR="005A5766" w:rsidRPr="001D326A">
        <w:rPr>
          <w:noProof/>
          <w:spacing w:val="-8"/>
        </w:rPr>
        <w:t>adjustment costs in PO4, while the one-off and recurrent adjustment costs for the set-up and maintenance of the API</w:t>
      </w:r>
      <w:r w:rsidR="00442CFA">
        <w:rPr>
          <w:noProof/>
          <w:spacing w:val="-8"/>
        </w:rPr>
        <w:t xml:space="preserve"> to</w:t>
      </w:r>
      <w:r w:rsidR="00C65134">
        <w:rPr>
          <w:noProof/>
          <w:spacing w:val="-8"/>
        </w:rPr>
        <w:t xml:space="preserve"> </w:t>
      </w:r>
      <w:r w:rsidR="00C65134" w:rsidRPr="00C65134">
        <w:rPr>
          <w:noProof/>
          <w:spacing w:val="-8"/>
        </w:rPr>
        <w:t xml:space="preserve">share non-personal data for mobility management with public authorities </w:t>
      </w:r>
      <w:r w:rsidR="00C65134">
        <w:rPr>
          <w:noProof/>
          <w:spacing w:val="-8"/>
        </w:rPr>
        <w:t>(PM7)</w:t>
      </w:r>
      <w:r w:rsidR="005A5766" w:rsidRPr="001D326A">
        <w:rPr>
          <w:noProof/>
          <w:spacing w:val="-8"/>
        </w:rPr>
        <w:t xml:space="preserve"> represent 57% of the total adjustment costs in PO1, PO2 and PO3 and </w:t>
      </w:r>
      <w:r w:rsidR="00214EFE">
        <w:rPr>
          <w:noProof/>
          <w:spacing w:val="-8"/>
        </w:rPr>
        <w:t>25</w:t>
      </w:r>
      <w:r w:rsidR="005A5766" w:rsidRPr="001D326A">
        <w:rPr>
          <w:noProof/>
          <w:spacing w:val="-8"/>
        </w:rPr>
        <w:t>% of the total adjustment costs in PO4.</w:t>
      </w:r>
    </w:p>
    <w:p w14:paraId="00DA5F6C" w14:textId="1D5BEDAD" w:rsidR="00AC15D1" w:rsidRPr="009A6203" w:rsidRDefault="00AC15D1" w:rsidP="00D82848">
      <w:pPr>
        <w:pStyle w:val="BodyText"/>
        <w:spacing w:after="240"/>
        <w:ind w:left="0"/>
        <w:rPr>
          <w:noProof/>
          <w:spacing w:val="-8"/>
        </w:rPr>
      </w:pPr>
      <w:r w:rsidRPr="00807A95">
        <w:rPr>
          <w:b/>
          <w:bCs/>
          <w:i/>
          <w:iCs/>
          <w:noProof/>
          <w:spacing w:val="-8"/>
        </w:rPr>
        <w:t xml:space="preserve">One-off </w:t>
      </w:r>
      <w:r>
        <w:rPr>
          <w:b/>
          <w:bCs/>
          <w:i/>
          <w:iCs/>
          <w:noProof/>
          <w:spacing w:val="-8"/>
        </w:rPr>
        <w:t xml:space="preserve">administrative </w:t>
      </w:r>
      <w:r w:rsidRPr="00807A95">
        <w:rPr>
          <w:b/>
          <w:bCs/>
          <w:i/>
          <w:iCs/>
          <w:noProof/>
          <w:spacing w:val="-8"/>
        </w:rPr>
        <w:t>costs for MDMS platforms.</w:t>
      </w:r>
      <w:r w:rsidR="000B2553">
        <w:rPr>
          <w:b/>
          <w:bCs/>
          <w:i/>
          <w:iCs/>
          <w:noProof/>
          <w:spacing w:val="-8"/>
        </w:rPr>
        <w:t xml:space="preserve"> </w:t>
      </w:r>
      <w:r w:rsidR="00674BB6">
        <w:rPr>
          <w:noProof/>
          <w:spacing w:val="-8"/>
        </w:rPr>
        <w:t>In</w:t>
      </w:r>
      <w:r w:rsidR="008E0051">
        <w:rPr>
          <w:noProof/>
          <w:spacing w:val="-8"/>
        </w:rPr>
        <w:t xml:space="preserve"> all</w:t>
      </w:r>
      <w:r w:rsidR="00EA5E0F">
        <w:rPr>
          <w:noProof/>
          <w:spacing w:val="-8"/>
        </w:rPr>
        <w:t xml:space="preserve"> POs, </w:t>
      </w:r>
      <w:r w:rsidR="00E354B7">
        <w:rPr>
          <w:noProof/>
          <w:spacing w:val="-8"/>
        </w:rPr>
        <w:t xml:space="preserve">MDMS platforms </w:t>
      </w:r>
      <w:r w:rsidR="00080B2E">
        <w:rPr>
          <w:noProof/>
          <w:spacing w:val="-8"/>
        </w:rPr>
        <w:t>need</w:t>
      </w:r>
      <w:r w:rsidR="000B2553">
        <w:rPr>
          <w:noProof/>
          <w:spacing w:val="-8"/>
        </w:rPr>
        <w:t xml:space="preserve"> to </w:t>
      </w:r>
      <w:r w:rsidR="0054565C">
        <w:rPr>
          <w:noProof/>
          <w:spacing w:val="-8"/>
        </w:rPr>
        <w:t xml:space="preserve">notify national authorities </w:t>
      </w:r>
      <w:r w:rsidR="006B0068">
        <w:rPr>
          <w:noProof/>
          <w:spacing w:val="-8"/>
        </w:rPr>
        <w:t xml:space="preserve">and/or the Commission </w:t>
      </w:r>
      <w:r w:rsidR="00711127">
        <w:rPr>
          <w:noProof/>
          <w:spacing w:val="-8"/>
        </w:rPr>
        <w:t>upon</w:t>
      </w:r>
      <w:r w:rsidR="00D833BA">
        <w:rPr>
          <w:noProof/>
          <w:spacing w:val="-8"/>
        </w:rPr>
        <w:t xml:space="preserve"> reach</w:t>
      </w:r>
      <w:r w:rsidR="00711127">
        <w:rPr>
          <w:noProof/>
          <w:spacing w:val="-8"/>
        </w:rPr>
        <w:t>ing</w:t>
      </w:r>
      <w:r w:rsidR="00D833BA">
        <w:rPr>
          <w:noProof/>
          <w:spacing w:val="-8"/>
        </w:rPr>
        <w:t xml:space="preserve"> the </w:t>
      </w:r>
      <w:r w:rsidR="00080B2E" w:rsidRPr="00117904">
        <w:rPr>
          <w:noProof/>
          <w:spacing w:val="-8"/>
        </w:rPr>
        <w:t xml:space="preserve">SMP </w:t>
      </w:r>
      <w:r w:rsidR="00D833BA">
        <w:rPr>
          <w:noProof/>
          <w:spacing w:val="-8"/>
        </w:rPr>
        <w:t xml:space="preserve">thresholds </w:t>
      </w:r>
      <w:r w:rsidR="00080B2E" w:rsidRPr="00117904">
        <w:rPr>
          <w:noProof/>
          <w:spacing w:val="-8"/>
        </w:rPr>
        <w:t>(PM10).</w:t>
      </w:r>
      <w:r w:rsidR="00F775C4">
        <w:rPr>
          <w:noProof/>
          <w:spacing w:val="-8"/>
        </w:rPr>
        <w:t xml:space="preserve"> This </w:t>
      </w:r>
      <w:r w:rsidR="00666C9C" w:rsidRPr="00117904">
        <w:rPr>
          <w:noProof/>
          <w:spacing w:val="-8"/>
        </w:rPr>
        <w:t xml:space="preserve">results in </w:t>
      </w:r>
      <w:r w:rsidR="00CB5228" w:rsidRPr="00117904">
        <w:rPr>
          <w:noProof/>
          <w:spacing w:val="-8"/>
        </w:rPr>
        <w:t>one-off</w:t>
      </w:r>
      <w:r w:rsidR="00666C9C" w:rsidRPr="00117904" w:rsidDel="00425427">
        <w:rPr>
          <w:noProof/>
          <w:spacing w:val="-8"/>
        </w:rPr>
        <w:t xml:space="preserve"> </w:t>
      </w:r>
      <w:r w:rsidR="00425427" w:rsidRPr="00117904">
        <w:rPr>
          <w:noProof/>
          <w:spacing w:val="-8"/>
        </w:rPr>
        <w:t xml:space="preserve">administrative </w:t>
      </w:r>
      <w:r w:rsidR="00F775C4" w:rsidRPr="00117904">
        <w:rPr>
          <w:noProof/>
          <w:spacing w:val="-8"/>
        </w:rPr>
        <w:t>cost</w:t>
      </w:r>
      <w:r w:rsidR="00425427" w:rsidRPr="00117904">
        <w:rPr>
          <w:noProof/>
          <w:spacing w:val="-8"/>
        </w:rPr>
        <w:t>s</w:t>
      </w:r>
      <w:r w:rsidR="00F775C4" w:rsidRPr="009A6203">
        <w:rPr>
          <w:noProof/>
          <w:spacing w:val="-8"/>
        </w:rPr>
        <w:t xml:space="preserve"> </w:t>
      </w:r>
      <w:r w:rsidR="009D7996">
        <w:rPr>
          <w:noProof/>
          <w:spacing w:val="-8"/>
        </w:rPr>
        <w:t>borne</w:t>
      </w:r>
      <w:r w:rsidR="003C3713">
        <w:rPr>
          <w:noProof/>
          <w:spacing w:val="-8"/>
        </w:rPr>
        <w:t xml:space="preserve"> </w:t>
      </w:r>
      <w:r w:rsidR="003C3713" w:rsidRPr="004B0057">
        <w:rPr>
          <w:noProof/>
          <w:spacing w:val="-8"/>
        </w:rPr>
        <w:t xml:space="preserve">by MDMS platforms </w:t>
      </w:r>
      <w:r w:rsidR="00363D75" w:rsidRPr="004B0057">
        <w:rPr>
          <w:noProof/>
          <w:spacing w:val="-8"/>
        </w:rPr>
        <w:t>reach</w:t>
      </w:r>
      <w:r w:rsidR="00BE3CE5">
        <w:rPr>
          <w:noProof/>
          <w:spacing w:val="-8"/>
        </w:rPr>
        <w:t>ing</w:t>
      </w:r>
      <w:r w:rsidR="003C3713" w:rsidRPr="004B0057">
        <w:rPr>
          <w:noProof/>
          <w:spacing w:val="-8"/>
        </w:rPr>
        <w:t xml:space="preserve"> </w:t>
      </w:r>
      <w:r w:rsidR="00BB651B">
        <w:rPr>
          <w:noProof/>
          <w:spacing w:val="-8"/>
        </w:rPr>
        <w:t>the SMP</w:t>
      </w:r>
      <w:r w:rsidR="0029459E" w:rsidRPr="004B0057">
        <w:rPr>
          <w:noProof/>
          <w:spacing w:val="-8"/>
        </w:rPr>
        <w:t xml:space="preserve"> threshold</w:t>
      </w:r>
      <w:r w:rsidR="00BB651B">
        <w:rPr>
          <w:noProof/>
          <w:spacing w:val="-8"/>
        </w:rPr>
        <w:t>s</w:t>
      </w:r>
      <w:r w:rsidR="0029459E" w:rsidRPr="004B0057">
        <w:rPr>
          <w:noProof/>
          <w:spacing w:val="-8"/>
        </w:rPr>
        <w:t>.</w:t>
      </w:r>
      <w:r w:rsidR="00AD12B6">
        <w:rPr>
          <w:noProof/>
          <w:spacing w:val="-8"/>
        </w:rPr>
        <w:t xml:space="preserve"> </w:t>
      </w:r>
      <w:r w:rsidR="00776668" w:rsidRPr="003A40BD">
        <w:rPr>
          <w:noProof/>
          <w:spacing w:val="-8"/>
        </w:rPr>
        <w:t>Building</w:t>
      </w:r>
      <w:r w:rsidR="003A40BD" w:rsidRPr="003A40BD">
        <w:rPr>
          <w:noProof/>
          <w:spacing w:val="-8"/>
        </w:rPr>
        <w:t xml:space="preserve"> on the Impact Assessment of the DMA</w:t>
      </w:r>
      <w:r w:rsidR="003A40BD">
        <w:rPr>
          <w:rStyle w:val="FootnoteReference"/>
          <w:noProof/>
          <w:spacing w:val="-8"/>
        </w:rPr>
        <w:footnoteReference w:id="185"/>
      </w:r>
      <w:r w:rsidR="003A40BD" w:rsidRPr="003A40BD">
        <w:rPr>
          <w:noProof/>
          <w:spacing w:val="-8"/>
        </w:rPr>
        <w:t>, the assumption retained for calculat</w:t>
      </w:r>
      <w:r w:rsidR="003D0035">
        <w:rPr>
          <w:noProof/>
          <w:spacing w:val="-8"/>
        </w:rPr>
        <w:t>ing</w:t>
      </w:r>
      <w:r w:rsidR="003A40BD" w:rsidRPr="003A40BD">
        <w:rPr>
          <w:noProof/>
          <w:spacing w:val="-8"/>
        </w:rPr>
        <w:t xml:space="preserve"> the cost incurred on </w:t>
      </w:r>
      <w:r w:rsidR="00D2562D">
        <w:rPr>
          <w:noProof/>
          <w:spacing w:val="-8"/>
        </w:rPr>
        <w:t>MDMS platforms</w:t>
      </w:r>
      <w:r w:rsidR="003A40BD" w:rsidRPr="003A40BD">
        <w:rPr>
          <w:noProof/>
          <w:spacing w:val="-8"/>
        </w:rPr>
        <w:t xml:space="preserve"> is that only two </w:t>
      </w:r>
      <w:r w:rsidR="00966D32" w:rsidRPr="00966D32">
        <w:rPr>
          <w:noProof/>
          <w:spacing w:val="-8"/>
        </w:rPr>
        <w:t>full time equivalent</w:t>
      </w:r>
      <w:r w:rsidR="00966D32">
        <w:rPr>
          <w:noProof/>
          <w:spacing w:val="-8"/>
        </w:rPr>
        <w:t>s</w:t>
      </w:r>
      <w:r w:rsidR="00966D32" w:rsidRPr="00966D32">
        <w:rPr>
          <w:noProof/>
          <w:spacing w:val="-8"/>
        </w:rPr>
        <w:t xml:space="preserve"> </w:t>
      </w:r>
      <w:r w:rsidR="00966D32">
        <w:rPr>
          <w:noProof/>
          <w:spacing w:val="-8"/>
        </w:rPr>
        <w:t>(</w:t>
      </w:r>
      <w:r w:rsidR="003A40BD" w:rsidRPr="003A40BD">
        <w:rPr>
          <w:noProof/>
          <w:spacing w:val="-8"/>
        </w:rPr>
        <w:t>FTE</w:t>
      </w:r>
      <w:r w:rsidR="005408EC">
        <w:rPr>
          <w:noProof/>
          <w:spacing w:val="-8"/>
        </w:rPr>
        <w:t>s</w:t>
      </w:r>
      <w:r w:rsidR="00966D32">
        <w:rPr>
          <w:noProof/>
          <w:spacing w:val="-8"/>
        </w:rPr>
        <w:t>)</w:t>
      </w:r>
      <w:r w:rsidR="003A40BD" w:rsidRPr="003A40BD">
        <w:rPr>
          <w:noProof/>
          <w:spacing w:val="-8"/>
        </w:rPr>
        <w:t xml:space="preserve"> would be needed to comply with the requirement</w:t>
      </w:r>
      <w:r w:rsidR="00D2562D">
        <w:rPr>
          <w:noProof/>
          <w:spacing w:val="-8"/>
        </w:rPr>
        <w:t>.</w:t>
      </w:r>
      <w:r w:rsidR="003A40BD" w:rsidRPr="003A40BD">
        <w:rPr>
          <w:noProof/>
          <w:spacing w:val="-8"/>
        </w:rPr>
        <w:t xml:space="preserve"> </w:t>
      </w:r>
      <w:r w:rsidR="00D2562D">
        <w:rPr>
          <w:noProof/>
          <w:spacing w:val="-8"/>
        </w:rPr>
        <w:t>This is because only</w:t>
      </w:r>
      <w:r w:rsidR="003A40BD" w:rsidRPr="003A40BD">
        <w:rPr>
          <w:noProof/>
          <w:spacing w:val="-8"/>
        </w:rPr>
        <w:t xml:space="preserve"> one quantitative indicator is requested, and no further qualitative information is </w:t>
      </w:r>
      <w:r w:rsidR="00D2562D">
        <w:rPr>
          <w:noProof/>
          <w:spacing w:val="-8"/>
        </w:rPr>
        <w:t>asked</w:t>
      </w:r>
      <w:r w:rsidR="003A40BD" w:rsidRPr="003A40BD">
        <w:rPr>
          <w:noProof/>
          <w:spacing w:val="-8"/>
        </w:rPr>
        <w:t xml:space="preserve"> to support the decision. </w:t>
      </w:r>
      <w:r w:rsidR="000579F9">
        <w:rPr>
          <w:noProof/>
          <w:spacing w:val="-8"/>
        </w:rPr>
        <w:t>The administrative burden is kept to the minimum since the designation process</w:t>
      </w:r>
      <w:r w:rsidR="00CB5E69">
        <w:rPr>
          <w:noProof/>
          <w:spacing w:val="-8"/>
        </w:rPr>
        <w:t xml:space="preserve"> </w:t>
      </w:r>
      <w:r w:rsidR="00403BAF">
        <w:rPr>
          <w:noProof/>
          <w:spacing w:val="-8"/>
        </w:rPr>
        <w:t>leverages on information already submitted through the</w:t>
      </w:r>
      <w:r w:rsidR="00F40F03" w:rsidRPr="00F40F03">
        <w:rPr>
          <w:rFonts w:cs="Arial"/>
          <w:noProof/>
          <w:spacing w:val="-8"/>
          <w:lang w:val="en-IE" w:eastAsia="en-IE"/>
        </w:rPr>
        <w:t xml:space="preserve"> </w:t>
      </w:r>
      <w:r w:rsidR="00F40F03" w:rsidRPr="00F40F03">
        <w:rPr>
          <w:noProof/>
          <w:spacing w:val="-8"/>
          <w:lang w:val="en-IE"/>
        </w:rPr>
        <w:t xml:space="preserve">Rail Market Monitoring Scheme. </w:t>
      </w:r>
      <w:r w:rsidR="00CB5E69">
        <w:rPr>
          <w:noProof/>
          <w:spacing w:val="-8"/>
        </w:rPr>
        <w:t>In this context</w:t>
      </w:r>
      <w:r w:rsidR="00A73FEF" w:rsidRPr="00A73FEF">
        <w:rPr>
          <w:noProof/>
          <w:spacing w:val="-8"/>
        </w:rPr>
        <w:t xml:space="preserve">, </w:t>
      </w:r>
      <w:r w:rsidR="00CB5E69">
        <w:rPr>
          <w:noProof/>
          <w:spacing w:val="-8"/>
        </w:rPr>
        <w:t>RU</w:t>
      </w:r>
      <w:r w:rsidR="00A73FEF" w:rsidRPr="00A73FEF">
        <w:rPr>
          <w:noProof/>
          <w:spacing w:val="-8"/>
        </w:rPr>
        <w:t>s must provide</w:t>
      </w:r>
      <w:r w:rsidR="00CB5E69">
        <w:rPr>
          <w:noProof/>
          <w:spacing w:val="-8"/>
        </w:rPr>
        <w:t xml:space="preserve"> information that can support the designation process</w:t>
      </w:r>
      <w:r w:rsidR="00B144DE">
        <w:rPr>
          <w:noProof/>
          <w:spacing w:val="-8"/>
        </w:rPr>
        <w:t xml:space="preserve"> as MDMS platforms with SMP.</w:t>
      </w:r>
      <w:r w:rsidR="00471E80">
        <w:rPr>
          <w:noProof/>
          <w:spacing w:val="-8"/>
        </w:rPr>
        <w:t xml:space="preserve"> Four </w:t>
      </w:r>
      <w:r w:rsidR="00471E80" w:rsidRPr="009A6203">
        <w:rPr>
          <w:noProof/>
          <w:spacing w:val="-8"/>
        </w:rPr>
        <w:t>MDMS platforms</w:t>
      </w:r>
      <w:r w:rsidR="00471E80">
        <w:rPr>
          <w:noProof/>
          <w:spacing w:val="-8"/>
        </w:rPr>
        <w:t xml:space="preserve"> are</w:t>
      </w:r>
      <w:r w:rsidR="00471E80" w:rsidRPr="009A6203">
        <w:rPr>
          <w:noProof/>
          <w:spacing w:val="-8"/>
        </w:rPr>
        <w:t xml:space="preserve"> expected to reach </w:t>
      </w:r>
      <w:r w:rsidR="00471E80">
        <w:rPr>
          <w:noProof/>
          <w:spacing w:val="-8"/>
        </w:rPr>
        <w:t xml:space="preserve">the </w:t>
      </w:r>
      <w:r w:rsidR="00471E80" w:rsidRPr="009A6203">
        <w:rPr>
          <w:noProof/>
          <w:spacing w:val="-8"/>
        </w:rPr>
        <w:t>SMP</w:t>
      </w:r>
      <w:r w:rsidR="00471E80">
        <w:rPr>
          <w:noProof/>
          <w:spacing w:val="-8"/>
        </w:rPr>
        <w:t xml:space="preserve"> thresholds in 2028 (the assumed year of implementation) and the one-off cost per platform is estimated at EUR </w:t>
      </w:r>
      <w:r w:rsidR="00471E80" w:rsidRPr="004E7065">
        <w:rPr>
          <w:noProof/>
          <w:spacing w:val="-8"/>
        </w:rPr>
        <w:t>113,053</w:t>
      </w:r>
      <w:r w:rsidR="00471E80">
        <w:rPr>
          <w:noProof/>
          <w:spacing w:val="-8"/>
        </w:rPr>
        <w:t xml:space="preserve">. Thus, </w:t>
      </w:r>
      <w:r w:rsidR="00471E80" w:rsidRPr="000D56F2">
        <w:rPr>
          <w:i/>
          <w:noProof/>
          <w:spacing w:val="-8"/>
        </w:rPr>
        <w:t>for the purpose of ‘one in, one out’ approach and the Calculator of Administrative Costs (AC) &amp; Administrative Burdens (AB)</w:t>
      </w:r>
      <w:r w:rsidR="00471E80">
        <w:rPr>
          <w:noProof/>
          <w:spacing w:val="-8"/>
        </w:rPr>
        <w:t>, the total one-off administrative costs for MDMS platforms are estimated</w:t>
      </w:r>
      <w:r w:rsidR="00471E80" w:rsidDel="001039E2">
        <w:rPr>
          <w:noProof/>
          <w:spacing w:val="-8"/>
        </w:rPr>
        <w:t xml:space="preserve"> at </w:t>
      </w:r>
      <w:r w:rsidR="00471E80" w:rsidRPr="009A6203">
        <w:rPr>
          <w:noProof/>
          <w:spacing w:val="-8"/>
        </w:rPr>
        <w:t>EUR 0.5 million relative to the baseline.</w:t>
      </w:r>
    </w:p>
    <w:p w14:paraId="6C5FE0A2" w14:textId="13501210" w:rsidR="00AC44E4" w:rsidRPr="00835715" w:rsidRDefault="00AC44E4" w:rsidP="00D82848">
      <w:pPr>
        <w:pStyle w:val="BodyText"/>
        <w:spacing w:after="240"/>
        <w:ind w:left="0"/>
        <w:rPr>
          <w:noProof/>
        </w:rPr>
      </w:pPr>
      <w:r>
        <w:rPr>
          <w:b/>
          <w:bCs/>
          <w:i/>
          <w:iCs/>
          <w:noProof/>
          <w:spacing w:val="-8"/>
        </w:rPr>
        <w:t xml:space="preserve">Adjustment </w:t>
      </w:r>
      <w:r w:rsidRPr="00807A95">
        <w:rPr>
          <w:b/>
          <w:bCs/>
          <w:i/>
          <w:iCs/>
          <w:noProof/>
          <w:spacing w:val="-8"/>
        </w:rPr>
        <w:t>costs</w:t>
      </w:r>
      <w:r>
        <w:rPr>
          <w:b/>
          <w:bCs/>
          <w:i/>
          <w:iCs/>
          <w:noProof/>
          <w:spacing w:val="-8"/>
        </w:rPr>
        <w:t xml:space="preserve"> savings</w:t>
      </w:r>
      <w:r w:rsidRPr="00807A95">
        <w:rPr>
          <w:b/>
          <w:bCs/>
          <w:i/>
          <w:iCs/>
          <w:noProof/>
          <w:spacing w:val="-8"/>
        </w:rPr>
        <w:t xml:space="preserve"> for MDMS platforms.</w:t>
      </w:r>
      <w:r w:rsidR="00D65AAF">
        <w:rPr>
          <w:b/>
          <w:bCs/>
          <w:i/>
          <w:iCs/>
          <w:noProof/>
          <w:spacing w:val="-8"/>
        </w:rPr>
        <w:t xml:space="preserve"> </w:t>
      </w:r>
      <w:r w:rsidR="00255529">
        <w:rPr>
          <w:noProof/>
          <w:spacing w:val="-8"/>
        </w:rPr>
        <w:t>In</w:t>
      </w:r>
      <w:r w:rsidR="00614707">
        <w:rPr>
          <w:noProof/>
          <w:spacing w:val="-8"/>
        </w:rPr>
        <w:t xml:space="preserve"> all</w:t>
      </w:r>
      <w:r w:rsidR="00EF78C8">
        <w:rPr>
          <w:noProof/>
          <w:spacing w:val="-8"/>
        </w:rPr>
        <w:t xml:space="preserve"> POs, the introduction of commercial agreement rules for indispensable </w:t>
      </w:r>
      <w:r w:rsidR="004013D8">
        <w:rPr>
          <w:noProof/>
          <w:spacing w:val="-8"/>
        </w:rPr>
        <w:t>MDMS platforms</w:t>
      </w:r>
      <w:r w:rsidR="00F772BE">
        <w:rPr>
          <w:noProof/>
          <w:spacing w:val="-8"/>
        </w:rPr>
        <w:t xml:space="preserve"> (PM11)</w:t>
      </w:r>
      <w:r w:rsidR="0024568A">
        <w:rPr>
          <w:noProof/>
          <w:spacing w:val="-8"/>
        </w:rPr>
        <w:t xml:space="preserve"> </w:t>
      </w:r>
      <w:r w:rsidR="00EF78C8">
        <w:rPr>
          <w:noProof/>
          <w:spacing w:val="-8"/>
        </w:rPr>
        <w:t xml:space="preserve">and </w:t>
      </w:r>
      <w:r w:rsidR="004013D8">
        <w:rPr>
          <w:noProof/>
          <w:spacing w:val="-8"/>
        </w:rPr>
        <w:t xml:space="preserve">indispensable </w:t>
      </w:r>
      <w:r w:rsidR="00BD3C1A">
        <w:rPr>
          <w:noProof/>
          <w:spacing w:val="-8"/>
        </w:rPr>
        <w:t>RUs</w:t>
      </w:r>
      <w:r w:rsidR="006040AE">
        <w:rPr>
          <w:noProof/>
          <w:spacing w:val="-8"/>
        </w:rPr>
        <w:t xml:space="preserve"> (</w:t>
      </w:r>
      <w:r w:rsidR="00B37369">
        <w:rPr>
          <w:noProof/>
          <w:spacing w:val="-8"/>
        </w:rPr>
        <w:t>PM</w:t>
      </w:r>
      <w:r w:rsidR="006040AE">
        <w:rPr>
          <w:noProof/>
          <w:spacing w:val="-8"/>
        </w:rPr>
        <w:t>12)</w:t>
      </w:r>
      <w:r w:rsidR="00BD3C1A">
        <w:rPr>
          <w:noProof/>
          <w:spacing w:val="-8"/>
        </w:rPr>
        <w:t xml:space="preserve"> </w:t>
      </w:r>
      <w:r w:rsidR="0024568A">
        <w:rPr>
          <w:noProof/>
          <w:spacing w:val="-8"/>
        </w:rPr>
        <w:t>with third parties</w:t>
      </w:r>
      <w:r w:rsidR="004013D8">
        <w:rPr>
          <w:noProof/>
          <w:spacing w:val="-8"/>
        </w:rPr>
        <w:t xml:space="preserve"> is </w:t>
      </w:r>
      <w:r w:rsidR="00DB670E">
        <w:rPr>
          <w:noProof/>
          <w:spacing w:val="-8"/>
        </w:rPr>
        <w:t xml:space="preserve">expected </w:t>
      </w:r>
      <w:r w:rsidR="004013D8">
        <w:rPr>
          <w:noProof/>
          <w:spacing w:val="-8"/>
        </w:rPr>
        <w:t xml:space="preserve">to </w:t>
      </w:r>
      <w:r w:rsidR="007443EE">
        <w:rPr>
          <w:noProof/>
          <w:spacing w:val="-8"/>
        </w:rPr>
        <w:t>result in</w:t>
      </w:r>
      <w:r w:rsidR="00D553C0">
        <w:rPr>
          <w:noProof/>
          <w:spacing w:val="-8"/>
        </w:rPr>
        <w:t xml:space="preserve"> </w:t>
      </w:r>
      <w:r w:rsidR="00F7197D">
        <w:rPr>
          <w:noProof/>
          <w:spacing w:val="-8"/>
        </w:rPr>
        <w:t xml:space="preserve">recurrent </w:t>
      </w:r>
      <w:r w:rsidR="00DB670E">
        <w:rPr>
          <w:noProof/>
          <w:spacing w:val="-8"/>
        </w:rPr>
        <w:t xml:space="preserve">adjustment </w:t>
      </w:r>
      <w:r w:rsidR="00D553C0">
        <w:rPr>
          <w:noProof/>
          <w:spacing w:val="-8"/>
        </w:rPr>
        <w:t>cost savings for MDMS platforms</w:t>
      </w:r>
      <w:r w:rsidR="00B56262">
        <w:rPr>
          <w:noProof/>
          <w:spacing w:val="-8"/>
        </w:rPr>
        <w:t xml:space="preserve"> as</w:t>
      </w:r>
      <w:r w:rsidR="004013D8">
        <w:rPr>
          <w:noProof/>
          <w:spacing w:val="-8"/>
        </w:rPr>
        <w:t xml:space="preserve"> </w:t>
      </w:r>
      <w:r w:rsidR="00B56262">
        <w:rPr>
          <w:noProof/>
          <w:spacing w:val="-8"/>
        </w:rPr>
        <w:t>t</w:t>
      </w:r>
      <w:r w:rsidR="007632EF">
        <w:rPr>
          <w:noProof/>
          <w:spacing w:val="-8"/>
        </w:rPr>
        <w:t>hese measures</w:t>
      </w:r>
      <w:r w:rsidR="009044AE">
        <w:rPr>
          <w:noProof/>
          <w:spacing w:val="-8"/>
        </w:rPr>
        <w:t xml:space="preserve"> </w:t>
      </w:r>
      <w:r w:rsidR="005B01A1">
        <w:rPr>
          <w:noProof/>
          <w:spacing w:val="-8"/>
        </w:rPr>
        <w:t xml:space="preserve">are expected to </w:t>
      </w:r>
      <w:r w:rsidR="009044AE">
        <w:rPr>
          <w:noProof/>
          <w:spacing w:val="-8"/>
        </w:rPr>
        <w:t xml:space="preserve">streamline </w:t>
      </w:r>
      <w:r w:rsidR="00756481">
        <w:rPr>
          <w:noProof/>
          <w:spacing w:val="-8"/>
        </w:rPr>
        <w:t xml:space="preserve">the </w:t>
      </w:r>
      <w:r w:rsidR="009044AE">
        <w:rPr>
          <w:noProof/>
          <w:spacing w:val="-8"/>
        </w:rPr>
        <w:t>negotiation processes</w:t>
      </w:r>
      <w:r w:rsidR="0074793C">
        <w:rPr>
          <w:rStyle w:val="FootnoteReference"/>
          <w:noProof/>
          <w:spacing w:val="-8"/>
        </w:rPr>
        <w:footnoteReference w:id="186"/>
      </w:r>
      <w:r w:rsidR="00210AA8">
        <w:rPr>
          <w:noProof/>
          <w:spacing w:val="-8"/>
        </w:rPr>
        <w:t>.</w:t>
      </w:r>
      <w:r w:rsidR="00FA6E3D">
        <w:rPr>
          <w:noProof/>
          <w:spacing w:val="-8"/>
        </w:rPr>
        <w:t xml:space="preserve"> </w:t>
      </w:r>
      <w:r w:rsidR="00C46CB5">
        <w:rPr>
          <w:noProof/>
          <w:spacing w:val="-8"/>
        </w:rPr>
        <w:t>Although</w:t>
      </w:r>
      <w:r w:rsidR="006040AE">
        <w:rPr>
          <w:noProof/>
          <w:spacing w:val="-8"/>
        </w:rPr>
        <w:t xml:space="preserve"> PM</w:t>
      </w:r>
      <w:r w:rsidR="00C46CB5">
        <w:rPr>
          <w:noProof/>
          <w:spacing w:val="-8"/>
        </w:rPr>
        <w:t>11</w:t>
      </w:r>
      <w:r w:rsidR="00F7103B">
        <w:rPr>
          <w:noProof/>
          <w:spacing w:val="-8"/>
        </w:rPr>
        <w:t xml:space="preserve"> and PM</w:t>
      </w:r>
      <w:r w:rsidR="00C46CB5">
        <w:rPr>
          <w:noProof/>
          <w:spacing w:val="-8"/>
        </w:rPr>
        <w:t xml:space="preserve">12 </w:t>
      </w:r>
      <w:r w:rsidR="004B764D">
        <w:rPr>
          <w:noProof/>
          <w:spacing w:val="-8"/>
        </w:rPr>
        <w:t>are</w:t>
      </w:r>
      <w:r w:rsidR="001F446F">
        <w:rPr>
          <w:noProof/>
          <w:spacing w:val="-8"/>
        </w:rPr>
        <w:t xml:space="preserve"> included</w:t>
      </w:r>
      <w:r w:rsidR="004B764D">
        <w:rPr>
          <w:noProof/>
          <w:spacing w:val="-8"/>
        </w:rPr>
        <w:t xml:space="preserve"> in all </w:t>
      </w:r>
      <w:r w:rsidR="006E565F">
        <w:rPr>
          <w:noProof/>
          <w:spacing w:val="-8"/>
        </w:rPr>
        <w:t>policy options</w:t>
      </w:r>
      <w:r w:rsidR="004B764D">
        <w:rPr>
          <w:noProof/>
          <w:spacing w:val="-8"/>
        </w:rPr>
        <w:t xml:space="preserve">, </w:t>
      </w:r>
      <w:r w:rsidR="006E565F" w:rsidRPr="006E565F">
        <w:rPr>
          <w:noProof/>
          <w:spacing w:val="-8"/>
        </w:rPr>
        <w:t xml:space="preserve">the cost savings vary significantly between </w:t>
      </w:r>
      <w:r w:rsidR="005441EF">
        <w:rPr>
          <w:noProof/>
          <w:spacing w:val="-8"/>
        </w:rPr>
        <w:t>options</w:t>
      </w:r>
      <w:r w:rsidR="006E565F" w:rsidRPr="006E565F">
        <w:rPr>
          <w:noProof/>
          <w:spacing w:val="-8"/>
        </w:rPr>
        <w:t xml:space="preserve"> since </w:t>
      </w:r>
      <w:r w:rsidR="005441EF">
        <w:rPr>
          <w:noProof/>
          <w:spacing w:val="-8"/>
        </w:rPr>
        <w:t>they</w:t>
      </w:r>
      <w:r w:rsidR="006E565F" w:rsidRPr="006E565F">
        <w:rPr>
          <w:noProof/>
          <w:spacing w:val="-8"/>
        </w:rPr>
        <w:t xml:space="preserve"> are calculated based on the </w:t>
      </w:r>
      <w:r w:rsidR="00155510">
        <w:rPr>
          <w:noProof/>
          <w:spacing w:val="-8"/>
        </w:rPr>
        <w:t>changes in the</w:t>
      </w:r>
      <w:r w:rsidR="00155510" w:rsidRPr="006E565F">
        <w:rPr>
          <w:noProof/>
          <w:spacing w:val="-8"/>
        </w:rPr>
        <w:t xml:space="preserve"> </w:t>
      </w:r>
      <w:r w:rsidR="006E565F" w:rsidRPr="006E565F">
        <w:rPr>
          <w:noProof/>
          <w:spacing w:val="-8"/>
        </w:rPr>
        <w:t xml:space="preserve">number of new </w:t>
      </w:r>
      <w:r w:rsidR="00D50947">
        <w:rPr>
          <w:noProof/>
          <w:spacing w:val="-8"/>
        </w:rPr>
        <w:t xml:space="preserve">and </w:t>
      </w:r>
      <w:r w:rsidR="00D6587B">
        <w:rPr>
          <w:noProof/>
          <w:spacing w:val="-8"/>
        </w:rPr>
        <w:t>renegotiated</w:t>
      </w:r>
      <w:r w:rsidR="003D27EF">
        <w:rPr>
          <w:noProof/>
          <w:spacing w:val="-8"/>
        </w:rPr>
        <w:t xml:space="preserve"> </w:t>
      </w:r>
      <w:r w:rsidR="006E565F" w:rsidRPr="006E565F">
        <w:rPr>
          <w:noProof/>
          <w:spacing w:val="-8"/>
        </w:rPr>
        <w:t>commercial agreements compared to the baseline.</w:t>
      </w:r>
      <w:r w:rsidR="00F529AB">
        <w:rPr>
          <w:noProof/>
          <w:spacing w:val="-8"/>
        </w:rPr>
        <w:t xml:space="preserve"> The number of new and renegotiated commercial agreements in each PO </w:t>
      </w:r>
      <w:r w:rsidR="00573F07">
        <w:rPr>
          <w:noProof/>
          <w:spacing w:val="-8"/>
        </w:rPr>
        <w:t xml:space="preserve">depends in turn </w:t>
      </w:r>
      <w:r w:rsidR="00D154A1">
        <w:rPr>
          <w:noProof/>
          <w:spacing w:val="-8"/>
        </w:rPr>
        <w:t>on other policy measures included in each option.</w:t>
      </w:r>
      <w:r w:rsidR="00DB4E29">
        <w:rPr>
          <w:noProof/>
          <w:spacing w:val="-8"/>
        </w:rPr>
        <w:t xml:space="preserve"> </w:t>
      </w:r>
      <w:r w:rsidR="008A3ACD">
        <w:rPr>
          <w:noProof/>
          <w:spacing w:val="-8"/>
        </w:rPr>
        <w:t>F</w:t>
      </w:r>
      <w:r w:rsidR="003D20F1">
        <w:rPr>
          <w:noProof/>
          <w:spacing w:val="-8"/>
        </w:rPr>
        <w:t xml:space="preserve">or </w:t>
      </w:r>
      <w:r w:rsidR="00717E1E">
        <w:rPr>
          <w:noProof/>
          <w:spacing w:val="-8"/>
        </w:rPr>
        <w:t>PO1</w:t>
      </w:r>
      <w:r w:rsidR="00E045F5">
        <w:rPr>
          <w:noProof/>
          <w:spacing w:val="-8"/>
        </w:rPr>
        <w:t xml:space="preserve"> </w:t>
      </w:r>
      <w:r w:rsidR="003D20F1">
        <w:rPr>
          <w:noProof/>
          <w:spacing w:val="-8"/>
        </w:rPr>
        <w:t>cost savings are estimated at</w:t>
      </w:r>
      <w:r w:rsidR="00E462B4">
        <w:rPr>
          <w:noProof/>
          <w:spacing w:val="-8"/>
        </w:rPr>
        <w:t xml:space="preserve"> </w:t>
      </w:r>
      <w:r w:rsidR="007F3F24">
        <w:rPr>
          <w:noProof/>
          <w:spacing w:val="-8"/>
        </w:rPr>
        <w:t>EUR 13 million (</w:t>
      </w:r>
      <w:r w:rsidR="00E352BB">
        <w:rPr>
          <w:noProof/>
          <w:spacing w:val="-8"/>
        </w:rPr>
        <w:t>EUR</w:t>
      </w:r>
      <w:r w:rsidR="00E352BB" w:rsidDel="002963D2">
        <w:rPr>
          <w:noProof/>
          <w:spacing w:val="-8"/>
        </w:rPr>
        <w:t xml:space="preserve"> </w:t>
      </w:r>
      <w:r w:rsidR="002963D2">
        <w:rPr>
          <w:noProof/>
          <w:spacing w:val="-8"/>
        </w:rPr>
        <w:t xml:space="preserve">12 </w:t>
      </w:r>
      <w:r w:rsidR="00E352BB">
        <w:rPr>
          <w:noProof/>
          <w:spacing w:val="-8"/>
        </w:rPr>
        <w:t>million</w:t>
      </w:r>
      <w:r w:rsidR="002963D2">
        <w:rPr>
          <w:noProof/>
          <w:spacing w:val="-8"/>
        </w:rPr>
        <w:t xml:space="preserve"> </w:t>
      </w:r>
      <w:r w:rsidR="00581094">
        <w:rPr>
          <w:noProof/>
          <w:spacing w:val="-8"/>
        </w:rPr>
        <w:t>due to</w:t>
      </w:r>
      <w:r w:rsidR="002963D2">
        <w:rPr>
          <w:noProof/>
          <w:spacing w:val="-8"/>
        </w:rPr>
        <w:t xml:space="preserve"> PM11 and EUR 1 million </w:t>
      </w:r>
      <w:r w:rsidR="00581094">
        <w:rPr>
          <w:noProof/>
          <w:spacing w:val="-8"/>
        </w:rPr>
        <w:t>due to</w:t>
      </w:r>
      <w:r w:rsidR="002963D2">
        <w:rPr>
          <w:noProof/>
          <w:spacing w:val="-8"/>
        </w:rPr>
        <w:t xml:space="preserve"> PM12</w:t>
      </w:r>
      <w:r w:rsidR="007F3F24">
        <w:rPr>
          <w:noProof/>
          <w:spacing w:val="-8"/>
        </w:rPr>
        <w:t>)</w:t>
      </w:r>
      <w:r w:rsidR="00581094">
        <w:rPr>
          <w:noProof/>
          <w:spacing w:val="-8"/>
        </w:rPr>
        <w:t>, expressed as present value over 2028-2050</w:t>
      </w:r>
      <w:r w:rsidR="00E352BB">
        <w:rPr>
          <w:noProof/>
          <w:spacing w:val="-8"/>
        </w:rPr>
        <w:t xml:space="preserve"> relative to the baseline</w:t>
      </w:r>
      <w:r w:rsidR="00D37807">
        <w:rPr>
          <w:noProof/>
          <w:spacing w:val="-8"/>
        </w:rPr>
        <w:t xml:space="preserve">, as this PO does not introduce </w:t>
      </w:r>
      <w:r w:rsidR="002D3E48">
        <w:rPr>
          <w:noProof/>
          <w:spacing w:val="-8"/>
        </w:rPr>
        <w:t xml:space="preserve">strong </w:t>
      </w:r>
      <w:r w:rsidR="00D37807">
        <w:rPr>
          <w:noProof/>
          <w:spacing w:val="-8"/>
        </w:rPr>
        <w:t>incent</w:t>
      </w:r>
      <w:r w:rsidR="00CC4EC6">
        <w:rPr>
          <w:noProof/>
          <w:spacing w:val="-8"/>
        </w:rPr>
        <w:t>iv</w:t>
      </w:r>
      <w:r w:rsidR="000E6527">
        <w:rPr>
          <w:noProof/>
          <w:spacing w:val="-8"/>
        </w:rPr>
        <w:t>es for</w:t>
      </w:r>
      <w:r w:rsidR="00CC4EC6">
        <w:rPr>
          <w:noProof/>
          <w:spacing w:val="-8"/>
        </w:rPr>
        <w:t xml:space="preserve"> the conclusion of </w:t>
      </w:r>
      <w:r w:rsidR="00CD0296">
        <w:rPr>
          <w:noProof/>
          <w:spacing w:val="-8"/>
        </w:rPr>
        <w:t xml:space="preserve">new </w:t>
      </w:r>
      <w:r w:rsidR="00CC4EC6">
        <w:rPr>
          <w:noProof/>
          <w:spacing w:val="-8"/>
        </w:rPr>
        <w:t>agreement</w:t>
      </w:r>
      <w:r w:rsidR="000E6527">
        <w:rPr>
          <w:noProof/>
          <w:spacing w:val="-8"/>
        </w:rPr>
        <w:t>s</w:t>
      </w:r>
      <w:r w:rsidR="00CD0296">
        <w:rPr>
          <w:noProof/>
          <w:spacing w:val="-8"/>
        </w:rPr>
        <w:t xml:space="preserve"> or </w:t>
      </w:r>
      <w:r w:rsidR="002D3E48">
        <w:rPr>
          <w:noProof/>
          <w:spacing w:val="-8"/>
        </w:rPr>
        <w:t xml:space="preserve">for the </w:t>
      </w:r>
      <w:r w:rsidR="00A06728">
        <w:rPr>
          <w:noProof/>
          <w:spacing w:val="-8"/>
        </w:rPr>
        <w:t>renegotiation</w:t>
      </w:r>
      <w:r w:rsidR="002D3E48">
        <w:rPr>
          <w:noProof/>
          <w:spacing w:val="-8"/>
        </w:rPr>
        <w:t xml:space="preserve"> of</w:t>
      </w:r>
      <w:r w:rsidR="00CD0296">
        <w:rPr>
          <w:noProof/>
          <w:spacing w:val="-8"/>
        </w:rPr>
        <w:t xml:space="preserve"> agreements</w:t>
      </w:r>
      <w:r w:rsidR="007A34B3">
        <w:rPr>
          <w:noProof/>
          <w:spacing w:val="-8"/>
        </w:rPr>
        <w:t xml:space="preserve"> relative to the baseline</w:t>
      </w:r>
      <w:r w:rsidR="00CC4EC6">
        <w:rPr>
          <w:noProof/>
          <w:spacing w:val="-8"/>
        </w:rPr>
        <w:t xml:space="preserve">. </w:t>
      </w:r>
      <w:r w:rsidR="00675D8C">
        <w:rPr>
          <w:noProof/>
          <w:spacing w:val="-8"/>
        </w:rPr>
        <w:t xml:space="preserve">Conversely, </w:t>
      </w:r>
      <w:r w:rsidR="009F19CA">
        <w:rPr>
          <w:noProof/>
          <w:spacing w:val="-8"/>
        </w:rPr>
        <w:t>PO2 introduces</w:t>
      </w:r>
      <w:r w:rsidR="00D81CCD">
        <w:rPr>
          <w:noProof/>
          <w:spacing w:val="-8"/>
        </w:rPr>
        <w:t xml:space="preserve"> a sharing obligation </w:t>
      </w:r>
      <w:r w:rsidR="00FA62C9">
        <w:rPr>
          <w:noProof/>
          <w:spacing w:val="-8"/>
        </w:rPr>
        <w:t>(PM13)</w:t>
      </w:r>
      <w:r w:rsidR="00DB5136">
        <w:rPr>
          <w:noProof/>
          <w:spacing w:val="-8"/>
        </w:rPr>
        <w:t>,</w:t>
      </w:r>
      <w:r w:rsidR="00FA62C9">
        <w:rPr>
          <w:noProof/>
          <w:spacing w:val="-8"/>
        </w:rPr>
        <w:t xml:space="preserve"> significantly increas</w:t>
      </w:r>
      <w:r w:rsidR="00DB5136">
        <w:rPr>
          <w:noProof/>
          <w:spacing w:val="-8"/>
        </w:rPr>
        <w:t>ing</w:t>
      </w:r>
      <w:r w:rsidR="00FA62C9">
        <w:rPr>
          <w:noProof/>
          <w:spacing w:val="-8"/>
        </w:rPr>
        <w:t xml:space="preserve"> the number of commercial agreement</w:t>
      </w:r>
      <w:r w:rsidR="005006B4">
        <w:rPr>
          <w:noProof/>
          <w:spacing w:val="-8"/>
        </w:rPr>
        <w:t>s</w:t>
      </w:r>
      <w:r w:rsidR="006B3B93">
        <w:rPr>
          <w:noProof/>
          <w:spacing w:val="-8"/>
        </w:rPr>
        <w:t xml:space="preserve"> between </w:t>
      </w:r>
      <w:r w:rsidR="00943FF0">
        <w:rPr>
          <w:noProof/>
          <w:spacing w:val="-8"/>
        </w:rPr>
        <w:t>indispensable RUs and MDMS platforms</w:t>
      </w:r>
      <w:r w:rsidR="005006B4">
        <w:rPr>
          <w:noProof/>
          <w:spacing w:val="-8"/>
        </w:rPr>
        <w:t xml:space="preserve">, resulting in </w:t>
      </w:r>
      <w:r w:rsidR="004B2596">
        <w:rPr>
          <w:noProof/>
          <w:spacing w:val="-8"/>
        </w:rPr>
        <w:t xml:space="preserve">the highest </w:t>
      </w:r>
      <w:r w:rsidR="005006B4">
        <w:rPr>
          <w:noProof/>
          <w:spacing w:val="-8"/>
        </w:rPr>
        <w:t>cost</w:t>
      </w:r>
      <w:r w:rsidR="00A84FD8">
        <w:rPr>
          <w:noProof/>
          <w:spacing w:val="-8"/>
        </w:rPr>
        <w:t>s</w:t>
      </w:r>
      <w:r w:rsidR="005006B4">
        <w:rPr>
          <w:noProof/>
          <w:spacing w:val="-8"/>
        </w:rPr>
        <w:t xml:space="preserve"> savings for MDMS platforms</w:t>
      </w:r>
      <w:r w:rsidR="0013552B">
        <w:rPr>
          <w:noProof/>
          <w:spacing w:val="-8"/>
        </w:rPr>
        <w:t xml:space="preserve">, </w:t>
      </w:r>
      <w:r w:rsidR="00DB5136">
        <w:rPr>
          <w:noProof/>
          <w:spacing w:val="-8"/>
        </w:rPr>
        <w:t>projected</w:t>
      </w:r>
      <w:r w:rsidR="0013552B">
        <w:rPr>
          <w:noProof/>
          <w:spacing w:val="-8"/>
        </w:rPr>
        <w:t xml:space="preserve"> at EUR </w:t>
      </w:r>
      <w:r w:rsidR="00BF7251">
        <w:rPr>
          <w:noProof/>
        </w:rPr>
        <w:t>149</w:t>
      </w:r>
      <w:r w:rsidR="00D32BAF">
        <w:rPr>
          <w:noProof/>
          <w:spacing w:val="-8"/>
        </w:rPr>
        <w:t xml:space="preserve"> </w:t>
      </w:r>
      <w:r w:rsidR="0013552B">
        <w:rPr>
          <w:noProof/>
          <w:spacing w:val="-8"/>
        </w:rPr>
        <w:t>million</w:t>
      </w:r>
      <w:r w:rsidR="00A16C73">
        <w:rPr>
          <w:noProof/>
          <w:spacing w:val="-8"/>
        </w:rPr>
        <w:t xml:space="preserve"> </w:t>
      </w:r>
      <w:r w:rsidR="00D32BAF">
        <w:rPr>
          <w:noProof/>
          <w:spacing w:val="-8"/>
        </w:rPr>
        <w:t xml:space="preserve">(EUR </w:t>
      </w:r>
      <w:r w:rsidR="00BF7251">
        <w:rPr>
          <w:noProof/>
        </w:rPr>
        <w:t>136.1</w:t>
      </w:r>
      <w:r w:rsidR="00D32BAF">
        <w:rPr>
          <w:noProof/>
          <w:spacing w:val="-8"/>
        </w:rPr>
        <w:t xml:space="preserve"> million due to PM11 and EUR </w:t>
      </w:r>
      <w:r w:rsidR="00906705">
        <w:rPr>
          <w:noProof/>
        </w:rPr>
        <w:t xml:space="preserve">12.9 </w:t>
      </w:r>
      <w:r w:rsidR="00D32BAF">
        <w:rPr>
          <w:noProof/>
          <w:spacing w:val="-8"/>
        </w:rPr>
        <w:t xml:space="preserve">million due to PM12) </w:t>
      </w:r>
      <w:r w:rsidR="00A16C73">
        <w:rPr>
          <w:noProof/>
          <w:spacing w:val="-8"/>
        </w:rPr>
        <w:t>relative to the baseline</w:t>
      </w:r>
      <w:r w:rsidR="000550F9">
        <w:rPr>
          <w:noProof/>
          <w:spacing w:val="-8"/>
        </w:rPr>
        <w:t xml:space="preserve">. </w:t>
      </w:r>
      <w:r w:rsidR="00DB5136">
        <w:rPr>
          <w:noProof/>
          <w:spacing w:val="-8"/>
        </w:rPr>
        <w:t>PO3</w:t>
      </w:r>
      <w:r w:rsidR="00D97557">
        <w:rPr>
          <w:noProof/>
        </w:rPr>
        <w:t xml:space="preserve">, which </w:t>
      </w:r>
      <w:r w:rsidR="00FE5D5A">
        <w:rPr>
          <w:noProof/>
        </w:rPr>
        <w:t>additionally</w:t>
      </w:r>
      <w:r w:rsidR="00DB5136">
        <w:rPr>
          <w:noProof/>
          <w:spacing w:val="-8"/>
        </w:rPr>
        <w:t xml:space="preserve"> </w:t>
      </w:r>
      <w:r w:rsidR="00C81A70">
        <w:rPr>
          <w:noProof/>
        </w:rPr>
        <w:t xml:space="preserve">includes </w:t>
      </w:r>
      <w:r w:rsidR="00DB5136">
        <w:rPr>
          <w:noProof/>
          <w:spacing w:val="-8"/>
        </w:rPr>
        <w:t>a</w:t>
      </w:r>
      <w:r w:rsidR="003058C8">
        <w:rPr>
          <w:noProof/>
          <w:spacing w:val="-8"/>
        </w:rPr>
        <w:t xml:space="preserve"> hosting </w:t>
      </w:r>
      <w:r w:rsidR="00A16C73">
        <w:rPr>
          <w:noProof/>
          <w:spacing w:val="-8"/>
        </w:rPr>
        <w:t xml:space="preserve">obligation (PM14) </w:t>
      </w:r>
      <w:r w:rsidR="00EE5EA1">
        <w:rPr>
          <w:noProof/>
        </w:rPr>
        <w:t>result</w:t>
      </w:r>
      <w:r w:rsidR="00C81A70">
        <w:rPr>
          <w:noProof/>
        </w:rPr>
        <w:t xml:space="preserve"> in</w:t>
      </w:r>
      <w:r w:rsidR="004957EE">
        <w:rPr>
          <w:noProof/>
          <w:spacing w:val="-8"/>
        </w:rPr>
        <w:t xml:space="preserve"> adjustment</w:t>
      </w:r>
      <w:r w:rsidR="00A16C73">
        <w:rPr>
          <w:noProof/>
          <w:spacing w:val="-8"/>
        </w:rPr>
        <w:t xml:space="preserve"> cost savings </w:t>
      </w:r>
      <w:r w:rsidR="00FE5D5A">
        <w:rPr>
          <w:noProof/>
        </w:rPr>
        <w:t>of</w:t>
      </w:r>
      <w:r w:rsidR="00401B2F">
        <w:rPr>
          <w:noProof/>
          <w:spacing w:val="-8"/>
        </w:rPr>
        <w:t xml:space="preserve"> EUR </w:t>
      </w:r>
      <w:r w:rsidR="00765A4C">
        <w:rPr>
          <w:noProof/>
        </w:rPr>
        <w:t>134</w:t>
      </w:r>
      <w:r w:rsidR="00401B2F">
        <w:rPr>
          <w:noProof/>
          <w:spacing w:val="-8"/>
        </w:rPr>
        <w:t xml:space="preserve"> million </w:t>
      </w:r>
      <w:r w:rsidR="00671DB6">
        <w:rPr>
          <w:noProof/>
          <w:spacing w:val="-8"/>
        </w:rPr>
        <w:t xml:space="preserve">(EUR </w:t>
      </w:r>
      <w:r w:rsidR="00EC01AC">
        <w:rPr>
          <w:noProof/>
        </w:rPr>
        <w:t>122.</w:t>
      </w:r>
      <w:r w:rsidR="00F722EE">
        <w:rPr>
          <w:noProof/>
        </w:rPr>
        <w:t>3</w:t>
      </w:r>
      <w:r w:rsidR="00671DB6">
        <w:rPr>
          <w:noProof/>
          <w:spacing w:val="-8"/>
        </w:rPr>
        <w:t xml:space="preserve"> million due to PM11 and EUR </w:t>
      </w:r>
      <w:r w:rsidR="00EC01AC">
        <w:rPr>
          <w:noProof/>
        </w:rPr>
        <w:t>11.7</w:t>
      </w:r>
      <w:r w:rsidR="00671DB6">
        <w:rPr>
          <w:noProof/>
          <w:spacing w:val="-8"/>
        </w:rPr>
        <w:t xml:space="preserve"> million due to PM12) </w:t>
      </w:r>
      <w:r w:rsidR="00496019">
        <w:rPr>
          <w:noProof/>
          <w:spacing w:val="-8"/>
        </w:rPr>
        <w:t xml:space="preserve">relative to the baseline. </w:t>
      </w:r>
      <w:r w:rsidR="00A96C8B" w:rsidRPr="00A96C8B">
        <w:rPr>
          <w:noProof/>
          <w:spacing w:val="-8"/>
        </w:rPr>
        <w:t>The lower costs savings in PO3 are due to the lower number of new and renegotiated agreements</w:t>
      </w:r>
      <w:r w:rsidR="009F0A01">
        <w:rPr>
          <w:noProof/>
          <w:spacing w:val="-8"/>
        </w:rPr>
        <w:t xml:space="preserve"> relative to PO2</w:t>
      </w:r>
      <w:r w:rsidR="00A96C8B" w:rsidRPr="00A96C8B">
        <w:rPr>
          <w:noProof/>
          <w:spacing w:val="-8"/>
        </w:rPr>
        <w:t>.</w:t>
      </w:r>
      <w:r w:rsidR="00A96C8B">
        <w:rPr>
          <w:noProof/>
          <w:spacing w:val="-8"/>
        </w:rPr>
        <w:t xml:space="preserve"> </w:t>
      </w:r>
      <w:r w:rsidR="00496019">
        <w:rPr>
          <w:noProof/>
          <w:spacing w:val="-8"/>
        </w:rPr>
        <w:t>Finally, while the unbundling requirement</w:t>
      </w:r>
      <w:r w:rsidR="00D47C60">
        <w:rPr>
          <w:noProof/>
          <w:spacing w:val="-8"/>
        </w:rPr>
        <w:t xml:space="preserve"> (PM15)</w:t>
      </w:r>
      <w:r w:rsidR="00496019">
        <w:rPr>
          <w:noProof/>
          <w:spacing w:val="-8"/>
        </w:rPr>
        <w:t xml:space="preserve"> in PO4 </w:t>
      </w:r>
      <w:r w:rsidR="00CD292B">
        <w:rPr>
          <w:noProof/>
          <w:spacing w:val="-8"/>
        </w:rPr>
        <w:t>does not mandate commercial agreement</w:t>
      </w:r>
      <w:r w:rsidR="002453E9">
        <w:rPr>
          <w:noProof/>
          <w:spacing w:val="-8"/>
        </w:rPr>
        <w:t>s</w:t>
      </w:r>
      <w:r w:rsidR="00CD292B">
        <w:rPr>
          <w:noProof/>
          <w:spacing w:val="-8"/>
        </w:rPr>
        <w:t xml:space="preserve">, </w:t>
      </w:r>
      <w:r w:rsidR="002A637C">
        <w:rPr>
          <w:noProof/>
          <w:spacing w:val="-8"/>
        </w:rPr>
        <w:t xml:space="preserve">the neutrality </w:t>
      </w:r>
      <w:r w:rsidR="002453E9">
        <w:rPr>
          <w:noProof/>
          <w:spacing w:val="-8"/>
        </w:rPr>
        <w:t xml:space="preserve">it fosters </w:t>
      </w:r>
      <w:r w:rsidR="00BE6469">
        <w:rPr>
          <w:noProof/>
          <w:spacing w:val="-8"/>
        </w:rPr>
        <w:t>on</w:t>
      </w:r>
      <w:r w:rsidR="002453E9">
        <w:rPr>
          <w:noProof/>
          <w:spacing w:val="-8"/>
        </w:rPr>
        <w:t xml:space="preserve"> indispensable </w:t>
      </w:r>
      <w:r w:rsidR="002453E9" w:rsidDel="00BC287B">
        <w:rPr>
          <w:noProof/>
          <w:spacing w:val="-8"/>
        </w:rPr>
        <w:t>rail</w:t>
      </w:r>
      <w:r w:rsidR="002A637C" w:rsidDel="00BC287B">
        <w:rPr>
          <w:noProof/>
          <w:spacing w:val="-8"/>
        </w:rPr>
        <w:t xml:space="preserve"> </w:t>
      </w:r>
      <w:r w:rsidR="002A637C">
        <w:rPr>
          <w:noProof/>
          <w:spacing w:val="-8"/>
        </w:rPr>
        <w:t xml:space="preserve">platforms </w:t>
      </w:r>
      <w:r w:rsidR="00F85E71">
        <w:rPr>
          <w:noProof/>
          <w:spacing w:val="-8"/>
        </w:rPr>
        <w:t>facilitate</w:t>
      </w:r>
      <w:r w:rsidR="004B1E9A">
        <w:rPr>
          <w:noProof/>
        </w:rPr>
        <w:t>s</w:t>
      </w:r>
      <w:r w:rsidR="000E43C0">
        <w:rPr>
          <w:noProof/>
          <w:spacing w:val="-8"/>
        </w:rPr>
        <w:t xml:space="preserve"> </w:t>
      </w:r>
      <w:r w:rsidR="004C3C32">
        <w:rPr>
          <w:noProof/>
          <w:spacing w:val="-8"/>
        </w:rPr>
        <w:t>additional</w:t>
      </w:r>
      <w:r w:rsidR="000E43C0">
        <w:rPr>
          <w:noProof/>
          <w:spacing w:val="-8"/>
        </w:rPr>
        <w:t xml:space="preserve"> agreements</w:t>
      </w:r>
      <w:r w:rsidR="004B1E9A">
        <w:rPr>
          <w:noProof/>
        </w:rPr>
        <w:t xml:space="preserve"> relative </w:t>
      </w:r>
      <w:r w:rsidR="00F25F54">
        <w:rPr>
          <w:noProof/>
        </w:rPr>
        <w:t xml:space="preserve">to </w:t>
      </w:r>
      <w:r w:rsidR="00040A8E">
        <w:rPr>
          <w:noProof/>
        </w:rPr>
        <w:t>PO3</w:t>
      </w:r>
      <w:r w:rsidR="004D601C">
        <w:rPr>
          <w:noProof/>
          <w:spacing w:val="-8"/>
        </w:rPr>
        <w:t xml:space="preserve">, with </w:t>
      </w:r>
      <w:r w:rsidR="004C3C32">
        <w:rPr>
          <w:noProof/>
          <w:spacing w:val="-8"/>
        </w:rPr>
        <w:t xml:space="preserve">cost savings </w:t>
      </w:r>
      <w:r w:rsidR="00064FCB">
        <w:rPr>
          <w:noProof/>
          <w:spacing w:val="-8"/>
        </w:rPr>
        <w:t>projected</w:t>
      </w:r>
      <w:r w:rsidR="004C3C32">
        <w:rPr>
          <w:noProof/>
          <w:spacing w:val="-8"/>
        </w:rPr>
        <w:t xml:space="preserve"> to reach EUR </w:t>
      </w:r>
      <w:r w:rsidR="00BF7251">
        <w:rPr>
          <w:noProof/>
        </w:rPr>
        <w:t>142.7</w:t>
      </w:r>
      <w:r w:rsidR="004C3C32">
        <w:rPr>
          <w:noProof/>
          <w:spacing w:val="-8"/>
        </w:rPr>
        <w:t xml:space="preserve"> million</w:t>
      </w:r>
      <w:r w:rsidR="00AF51F8">
        <w:rPr>
          <w:noProof/>
          <w:spacing w:val="-8"/>
        </w:rPr>
        <w:t xml:space="preserve"> (EUR </w:t>
      </w:r>
      <w:r w:rsidR="0013018D">
        <w:rPr>
          <w:noProof/>
        </w:rPr>
        <w:t>130.4</w:t>
      </w:r>
      <w:r w:rsidR="00AF51F8">
        <w:rPr>
          <w:noProof/>
          <w:spacing w:val="-8"/>
        </w:rPr>
        <w:t xml:space="preserve"> million due to PM11 and EUR </w:t>
      </w:r>
      <w:r w:rsidR="005B4B95">
        <w:rPr>
          <w:noProof/>
        </w:rPr>
        <w:t>12.3</w:t>
      </w:r>
      <w:r w:rsidR="00AF51F8">
        <w:rPr>
          <w:noProof/>
          <w:spacing w:val="-8"/>
        </w:rPr>
        <w:t xml:space="preserve"> million due to PM12)</w:t>
      </w:r>
      <w:r w:rsidR="004C3C32">
        <w:rPr>
          <w:noProof/>
          <w:spacing w:val="-8"/>
        </w:rPr>
        <w:t xml:space="preserve"> relative to the baseline.</w:t>
      </w:r>
    </w:p>
    <w:p w14:paraId="48CFE8E2" w14:textId="4982AE3D" w:rsidR="00812384" w:rsidRPr="00117904" w:rsidRDefault="00812384" w:rsidP="00D82848">
      <w:pPr>
        <w:pStyle w:val="BodyText"/>
        <w:spacing w:after="240"/>
        <w:ind w:left="0"/>
        <w:rPr>
          <w:noProof/>
          <w:spacing w:val="-8"/>
        </w:rPr>
      </w:pPr>
      <w:r>
        <w:rPr>
          <w:b/>
          <w:bCs/>
          <w:i/>
          <w:iCs/>
          <w:noProof/>
          <w:spacing w:val="-8"/>
        </w:rPr>
        <w:t xml:space="preserve">Net costs/benefits </w:t>
      </w:r>
      <w:r w:rsidRPr="00807A95">
        <w:rPr>
          <w:b/>
          <w:bCs/>
          <w:i/>
          <w:iCs/>
          <w:noProof/>
          <w:spacing w:val="-8"/>
        </w:rPr>
        <w:t>for MDMS platforms.</w:t>
      </w:r>
      <w:r w:rsidR="00980D4D">
        <w:rPr>
          <w:noProof/>
          <w:spacing w:val="-8"/>
        </w:rPr>
        <w:t xml:space="preserve"> </w:t>
      </w:r>
      <w:r w:rsidR="00980D4D" w:rsidRPr="00117904">
        <w:rPr>
          <w:noProof/>
          <w:spacing w:val="-8"/>
        </w:rPr>
        <w:t xml:space="preserve">Overall, </w:t>
      </w:r>
      <w:r w:rsidR="00812403" w:rsidRPr="00117904">
        <w:rPr>
          <w:noProof/>
          <w:spacing w:val="-8"/>
        </w:rPr>
        <w:t>PO1 and PO4 are expected to</w:t>
      </w:r>
      <w:r w:rsidR="00F96844" w:rsidRPr="00117904" w:rsidDel="00F076ED">
        <w:rPr>
          <w:noProof/>
          <w:spacing w:val="-8"/>
        </w:rPr>
        <w:t xml:space="preserve"> </w:t>
      </w:r>
      <w:r w:rsidR="00F076ED" w:rsidRPr="00117904">
        <w:rPr>
          <w:noProof/>
          <w:spacing w:val="-8"/>
        </w:rPr>
        <w:t xml:space="preserve">lead to </w:t>
      </w:r>
      <w:r w:rsidR="00F96844" w:rsidRPr="00117904">
        <w:rPr>
          <w:noProof/>
          <w:spacing w:val="-8"/>
        </w:rPr>
        <w:t xml:space="preserve">net costs, although </w:t>
      </w:r>
      <w:r w:rsidR="007958E7" w:rsidRPr="00117904">
        <w:rPr>
          <w:noProof/>
          <w:spacing w:val="-8"/>
        </w:rPr>
        <w:t>at varying degrees</w:t>
      </w:r>
      <w:r w:rsidR="002C3D07" w:rsidRPr="00117904">
        <w:rPr>
          <w:noProof/>
          <w:spacing w:val="-8"/>
        </w:rPr>
        <w:t xml:space="preserve">, </w:t>
      </w:r>
      <w:r w:rsidR="007958E7" w:rsidRPr="00117904">
        <w:rPr>
          <w:noProof/>
          <w:spacing w:val="-8"/>
        </w:rPr>
        <w:t>while</w:t>
      </w:r>
      <w:r w:rsidR="002C3D07" w:rsidRPr="00117904">
        <w:rPr>
          <w:noProof/>
          <w:spacing w:val="-8"/>
        </w:rPr>
        <w:t xml:space="preserve"> </w:t>
      </w:r>
      <w:r w:rsidR="006E4570" w:rsidRPr="00117904">
        <w:rPr>
          <w:noProof/>
          <w:spacing w:val="-8"/>
        </w:rPr>
        <w:t xml:space="preserve">PO2 and </w:t>
      </w:r>
      <w:r w:rsidR="002C3D07" w:rsidRPr="00117904">
        <w:rPr>
          <w:noProof/>
          <w:spacing w:val="-8"/>
        </w:rPr>
        <w:t xml:space="preserve">PO3 </w:t>
      </w:r>
      <w:r w:rsidR="006E4570" w:rsidRPr="00117904">
        <w:rPr>
          <w:noProof/>
          <w:spacing w:val="-8"/>
        </w:rPr>
        <w:t>are</w:t>
      </w:r>
      <w:r w:rsidR="002C3D07" w:rsidRPr="00117904">
        <w:rPr>
          <w:noProof/>
          <w:spacing w:val="-8"/>
        </w:rPr>
        <w:t xml:space="preserve"> expected to </w:t>
      </w:r>
      <w:r w:rsidR="007958E7" w:rsidRPr="00117904">
        <w:rPr>
          <w:noProof/>
          <w:spacing w:val="-8"/>
        </w:rPr>
        <w:t>d</w:t>
      </w:r>
      <w:r w:rsidR="003E7A95" w:rsidRPr="00117904">
        <w:rPr>
          <w:noProof/>
          <w:spacing w:val="-8"/>
        </w:rPr>
        <w:t>el</w:t>
      </w:r>
      <w:r w:rsidR="007958E7" w:rsidRPr="00117904">
        <w:rPr>
          <w:noProof/>
          <w:spacing w:val="-8"/>
        </w:rPr>
        <w:t>iver</w:t>
      </w:r>
      <w:r w:rsidR="002C3D07" w:rsidRPr="00117904">
        <w:rPr>
          <w:noProof/>
          <w:spacing w:val="-8"/>
        </w:rPr>
        <w:t xml:space="preserve"> net benefits. </w:t>
      </w:r>
      <w:r w:rsidR="003269E3" w:rsidRPr="00117904">
        <w:rPr>
          <w:noProof/>
          <w:spacing w:val="-8"/>
        </w:rPr>
        <w:t xml:space="preserve">PO4 </w:t>
      </w:r>
      <w:r w:rsidR="007F3817" w:rsidRPr="00117904">
        <w:rPr>
          <w:noProof/>
          <w:spacing w:val="-8"/>
        </w:rPr>
        <w:t>shows</w:t>
      </w:r>
      <w:r w:rsidR="003269E3" w:rsidRPr="00117904">
        <w:rPr>
          <w:noProof/>
          <w:spacing w:val="-8"/>
        </w:rPr>
        <w:t xml:space="preserve"> the </w:t>
      </w:r>
      <w:r w:rsidR="00B545DD" w:rsidRPr="00117904">
        <w:rPr>
          <w:noProof/>
          <w:spacing w:val="-8"/>
        </w:rPr>
        <w:t>highest</w:t>
      </w:r>
      <w:r w:rsidR="003269E3" w:rsidRPr="00117904">
        <w:rPr>
          <w:noProof/>
          <w:spacing w:val="-8"/>
        </w:rPr>
        <w:t xml:space="preserve"> net </w:t>
      </w:r>
      <w:r w:rsidR="00E67493" w:rsidRPr="00117904">
        <w:rPr>
          <w:noProof/>
          <w:spacing w:val="-8"/>
        </w:rPr>
        <w:t xml:space="preserve">costs, </w:t>
      </w:r>
      <w:r w:rsidR="00B545DD" w:rsidRPr="00117904">
        <w:rPr>
          <w:noProof/>
          <w:spacing w:val="-8"/>
        </w:rPr>
        <w:t>amounting</w:t>
      </w:r>
      <w:r w:rsidR="00E67493" w:rsidRPr="00117904">
        <w:rPr>
          <w:noProof/>
          <w:spacing w:val="-8"/>
        </w:rPr>
        <w:t xml:space="preserve"> </w:t>
      </w:r>
      <w:r w:rsidR="0038495E" w:rsidRPr="00117904">
        <w:rPr>
          <w:noProof/>
          <w:spacing w:val="-8"/>
        </w:rPr>
        <w:t>to</w:t>
      </w:r>
      <w:r w:rsidR="00E67493" w:rsidRPr="00117904">
        <w:rPr>
          <w:noProof/>
          <w:spacing w:val="-8"/>
        </w:rPr>
        <w:t xml:space="preserve"> EUR </w:t>
      </w:r>
      <w:r w:rsidR="00D648F3">
        <w:rPr>
          <w:noProof/>
          <w:spacing w:val="-8"/>
        </w:rPr>
        <w:t>140</w:t>
      </w:r>
      <w:r w:rsidR="00E67493" w:rsidRPr="00117904">
        <w:rPr>
          <w:noProof/>
          <w:spacing w:val="-8"/>
        </w:rPr>
        <w:t xml:space="preserve"> million</w:t>
      </w:r>
      <w:r w:rsidR="004A3D69" w:rsidRPr="00117904">
        <w:rPr>
          <w:noProof/>
          <w:spacing w:val="-8"/>
        </w:rPr>
        <w:t>, expressed as present value over 2028-2050</w:t>
      </w:r>
      <w:r w:rsidR="00E67493" w:rsidRPr="00117904">
        <w:rPr>
          <w:noProof/>
          <w:spacing w:val="-8"/>
        </w:rPr>
        <w:t xml:space="preserve"> </w:t>
      </w:r>
      <w:r w:rsidR="004A3D69" w:rsidRPr="00117904">
        <w:rPr>
          <w:noProof/>
          <w:spacing w:val="-8"/>
        </w:rPr>
        <w:t xml:space="preserve">relative </w:t>
      </w:r>
      <w:r w:rsidR="00E67493" w:rsidRPr="00117904">
        <w:rPr>
          <w:noProof/>
          <w:spacing w:val="-8"/>
        </w:rPr>
        <w:t>to the baseline</w:t>
      </w:r>
      <w:r w:rsidR="00BD5E5E" w:rsidRPr="00117904">
        <w:rPr>
          <w:noProof/>
          <w:spacing w:val="-8"/>
        </w:rPr>
        <w:t xml:space="preserve">, </w:t>
      </w:r>
      <w:r w:rsidR="001B0901" w:rsidRPr="00117904">
        <w:rPr>
          <w:noProof/>
          <w:spacing w:val="-8"/>
        </w:rPr>
        <w:t>primar</w:t>
      </w:r>
      <w:r w:rsidR="00164217" w:rsidRPr="00117904">
        <w:rPr>
          <w:noProof/>
          <w:spacing w:val="-8"/>
        </w:rPr>
        <w:t>ily</w:t>
      </w:r>
      <w:r w:rsidR="00BD5E5E" w:rsidRPr="00117904">
        <w:rPr>
          <w:noProof/>
          <w:spacing w:val="-8"/>
        </w:rPr>
        <w:t xml:space="preserve"> due to the significant adjustment costs linked to the unbundling requirement, as </w:t>
      </w:r>
      <w:r w:rsidR="00164217" w:rsidRPr="00117904">
        <w:rPr>
          <w:noProof/>
          <w:spacing w:val="-8"/>
        </w:rPr>
        <w:t>outlined previously</w:t>
      </w:r>
      <w:r w:rsidR="00E67493" w:rsidRPr="00117904">
        <w:rPr>
          <w:noProof/>
          <w:spacing w:val="-8"/>
        </w:rPr>
        <w:t xml:space="preserve">. </w:t>
      </w:r>
      <w:r w:rsidR="00D04359" w:rsidRPr="00117904">
        <w:rPr>
          <w:noProof/>
          <w:spacing w:val="-8"/>
        </w:rPr>
        <w:t>In PO1</w:t>
      </w:r>
      <w:r w:rsidR="00612B14" w:rsidRPr="00117904">
        <w:rPr>
          <w:noProof/>
          <w:spacing w:val="-8"/>
        </w:rPr>
        <w:t>,</w:t>
      </w:r>
      <w:r w:rsidR="00817D1C" w:rsidRPr="00117904">
        <w:rPr>
          <w:noProof/>
          <w:spacing w:val="-8"/>
        </w:rPr>
        <w:t xml:space="preserve"> </w:t>
      </w:r>
      <w:r w:rsidR="002B0809" w:rsidRPr="00117904">
        <w:rPr>
          <w:noProof/>
          <w:spacing w:val="-8"/>
        </w:rPr>
        <w:t xml:space="preserve">the adjustment cost savings are not sufficient to offset </w:t>
      </w:r>
      <w:r w:rsidR="00817D1C" w:rsidRPr="00117904">
        <w:rPr>
          <w:noProof/>
          <w:spacing w:val="-8"/>
        </w:rPr>
        <w:t xml:space="preserve">the </w:t>
      </w:r>
      <w:r w:rsidR="00A861FE" w:rsidRPr="00117904">
        <w:rPr>
          <w:noProof/>
          <w:spacing w:val="-8"/>
        </w:rPr>
        <w:t>adjustment and administrative</w:t>
      </w:r>
      <w:r w:rsidR="00817D1C" w:rsidRPr="00117904">
        <w:rPr>
          <w:noProof/>
          <w:spacing w:val="-8"/>
        </w:rPr>
        <w:t xml:space="preserve"> costs</w:t>
      </w:r>
      <w:r w:rsidR="00A861FE" w:rsidRPr="00117904">
        <w:rPr>
          <w:noProof/>
          <w:spacing w:val="-8"/>
        </w:rPr>
        <w:t xml:space="preserve">, leading to </w:t>
      </w:r>
      <w:r w:rsidR="00B954BA" w:rsidRPr="00117904">
        <w:rPr>
          <w:noProof/>
          <w:spacing w:val="-8"/>
        </w:rPr>
        <w:t xml:space="preserve">net costs of EUR 80.4 million relative to the baseline. </w:t>
      </w:r>
      <w:r w:rsidR="00C63BD8" w:rsidRPr="00117904">
        <w:rPr>
          <w:noProof/>
          <w:spacing w:val="-8"/>
        </w:rPr>
        <w:t xml:space="preserve">In </w:t>
      </w:r>
      <w:r w:rsidR="00EE37DA" w:rsidRPr="00117904">
        <w:rPr>
          <w:noProof/>
          <w:spacing w:val="-8"/>
        </w:rPr>
        <w:t xml:space="preserve">PO2, the introduction of a </w:t>
      </w:r>
      <w:r w:rsidR="002C0949">
        <w:rPr>
          <w:noProof/>
          <w:spacing w:val="-8"/>
        </w:rPr>
        <w:t>sharing</w:t>
      </w:r>
      <w:r w:rsidR="00EE37DA" w:rsidRPr="00117904">
        <w:rPr>
          <w:noProof/>
          <w:spacing w:val="-8"/>
        </w:rPr>
        <w:t xml:space="preserve"> obligation (PM13) </w:t>
      </w:r>
      <w:r w:rsidR="00C66161" w:rsidRPr="00117904">
        <w:rPr>
          <w:noProof/>
          <w:spacing w:val="-8"/>
        </w:rPr>
        <w:t xml:space="preserve">leads to </w:t>
      </w:r>
      <w:r w:rsidR="00D02691">
        <w:rPr>
          <w:noProof/>
          <w:spacing w:val="-8"/>
        </w:rPr>
        <w:t>the highest</w:t>
      </w:r>
      <w:r w:rsidR="00C66161" w:rsidRPr="00117904">
        <w:rPr>
          <w:noProof/>
          <w:spacing w:val="-8"/>
        </w:rPr>
        <w:t xml:space="preserve"> </w:t>
      </w:r>
      <w:r w:rsidR="00EE37DA" w:rsidRPr="00117904">
        <w:rPr>
          <w:noProof/>
          <w:spacing w:val="-8"/>
        </w:rPr>
        <w:t xml:space="preserve">adjustment </w:t>
      </w:r>
      <w:r w:rsidR="00611A46" w:rsidRPr="00117904">
        <w:rPr>
          <w:noProof/>
          <w:spacing w:val="-8"/>
        </w:rPr>
        <w:t xml:space="preserve">cost savings </w:t>
      </w:r>
      <w:r w:rsidR="00DE4585" w:rsidRPr="00117904">
        <w:rPr>
          <w:noProof/>
          <w:spacing w:val="-8"/>
        </w:rPr>
        <w:t>related</w:t>
      </w:r>
      <w:r w:rsidR="00461BA9" w:rsidRPr="00117904">
        <w:rPr>
          <w:noProof/>
          <w:spacing w:val="-8"/>
        </w:rPr>
        <w:t xml:space="preserve"> to </w:t>
      </w:r>
      <w:r w:rsidR="005D1707">
        <w:rPr>
          <w:noProof/>
          <w:spacing w:val="-8"/>
        </w:rPr>
        <w:t>streamlined negotiation processes</w:t>
      </w:r>
      <w:r w:rsidR="00867D1D" w:rsidRPr="00117904">
        <w:rPr>
          <w:noProof/>
          <w:spacing w:val="-8"/>
        </w:rPr>
        <w:t xml:space="preserve"> (PM11</w:t>
      </w:r>
      <w:r w:rsidR="005F45A0" w:rsidRPr="00117904">
        <w:rPr>
          <w:noProof/>
          <w:spacing w:val="-8"/>
        </w:rPr>
        <w:t xml:space="preserve"> and PM</w:t>
      </w:r>
      <w:r w:rsidR="00867D1D" w:rsidRPr="00117904">
        <w:rPr>
          <w:noProof/>
          <w:spacing w:val="-8"/>
        </w:rPr>
        <w:t>12)</w:t>
      </w:r>
      <w:r w:rsidR="00A72669" w:rsidRPr="00117904">
        <w:rPr>
          <w:noProof/>
          <w:spacing w:val="-8"/>
        </w:rPr>
        <w:t>,</w:t>
      </w:r>
      <w:r w:rsidR="005052D6" w:rsidRPr="00117904">
        <w:rPr>
          <w:noProof/>
          <w:spacing w:val="-8"/>
        </w:rPr>
        <w:t xml:space="preserve"> </w:t>
      </w:r>
      <w:r w:rsidR="00F22FF9" w:rsidRPr="00117904">
        <w:rPr>
          <w:noProof/>
          <w:spacing w:val="-8"/>
        </w:rPr>
        <w:t xml:space="preserve">resulting in net </w:t>
      </w:r>
      <w:r w:rsidR="00374F18" w:rsidRPr="00117904">
        <w:rPr>
          <w:noProof/>
          <w:spacing w:val="-8"/>
        </w:rPr>
        <w:t>benefits</w:t>
      </w:r>
      <w:r w:rsidR="00F22FF9" w:rsidRPr="00117904">
        <w:rPr>
          <w:noProof/>
          <w:spacing w:val="-8"/>
        </w:rPr>
        <w:t xml:space="preserve"> </w:t>
      </w:r>
      <w:r w:rsidR="00374F18" w:rsidRPr="00117904">
        <w:rPr>
          <w:noProof/>
          <w:spacing w:val="-8"/>
        </w:rPr>
        <w:t>of</w:t>
      </w:r>
      <w:r w:rsidR="00BD6D5B" w:rsidRPr="00117904">
        <w:rPr>
          <w:noProof/>
          <w:spacing w:val="-8"/>
        </w:rPr>
        <w:t xml:space="preserve"> EUR </w:t>
      </w:r>
      <w:r w:rsidR="00D648F3">
        <w:rPr>
          <w:noProof/>
          <w:spacing w:val="-8"/>
        </w:rPr>
        <w:t>20.9</w:t>
      </w:r>
      <w:r w:rsidR="00EA1F63" w:rsidRPr="00117904">
        <w:rPr>
          <w:noProof/>
          <w:spacing w:val="-8"/>
        </w:rPr>
        <w:t xml:space="preserve"> </w:t>
      </w:r>
      <w:r w:rsidR="00BD6D5B" w:rsidRPr="00117904">
        <w:rPr>
          <w:noProof/>
          <w:spacing w:val="-8"/>
        </w:rPr>
        <w:t xml:space="preserve">million relative to the baseline. </w:t>
      </w:r>
      <w:r w:rsidR="003D63FD" w:rsidRPr="00117904">
        <w:rPr>
          <w:noProof/>
          <w:spacing w:val="-8"/>
        </w:rPr>
        <w:t xml:space="preserve">PO3 </w:t>
      </w:r>
      <w:r w:rsidR="00A558F4">
        <w:rPr>
          <w:noProof/>
          <w:spacing w:val="-8"/>
        </w:rPr>
        <w:t>also</w:t>
      </w:r>
      <w:r w:rsidR="003D63FD" w:rsidRPr="00117904">
        <w:rPr>
          <w:noProof/>
          <w:spacing w:val="-8"/>
        </w:rPr>
        <w:t xml:space="preserve"> </w:t>
      </w:r>
      <w:r w:rsidR="005174D5" w:rsidRPr="00117904">
        <w:rPr>
          <w:noProof/>
          <w:spacing w:val="-8"/>
        </w:rPr>
        <w:t xml:space="preserve">results in </w:t>
      </w:r>
      <w:r w:rsidR="003D63FD" w:rsidRPr="00117904">
        <w:rPr>
          <w:noProof/>
          <w:spacing w:val="-8"/>
        </w:rPr>
        <w:t>net benefits</w:t>
      </w:r>
      <w:r w:rsidR="00996B51" w:rsidRPr="00117904">
        <w:rPr>
          <w:noProof/>
          <w:spacing w:val="-8"/>
        </w:rPr>
        <w:t xml:space="preserve">, estimated at EUR </w:t>
      </w:r>
      <w:r w:rsidR="00A558F4">
        <w:rPr>
          <w:noProof/>
          <w:spacing w:val="-8"/>
        </w:rPr>
        <w:t>11.3</w:t>
      </w:r>
      <w:r w:rsidR="00996B51" w:rsidRPr="00117904">
        <w:rPr>
          <w:noProof/>
          <w:spacing w:val="-8"/>
        </w:rPr>
        <w:t xml:space="preserve"> million relative to the baseline</w:t>
      </w:r>
      <w:r w:rsidR="003D63FD" w:rsidRPr="00117904">
        <w:rPr>
          <w:noProof/>
          <w:spacing w:val="-8"/>
        </w:rPr>
        <w:t xml:space="preserve">. </w:t>
      </w:r>
    </w:p>
    <w:p w14:paraId="222D4B90" w14:textId="011C84A1" w:rsidR="00465A9C" w:rsidRDefault="00465A9C" w:rsidP="00C328A6">
      <w:pPr>
        <w:pStyle w:val="Text2"/>
        <w:spacing w:after="0"/>
        <w:ind w:left="0"/>
        <w:rPr>
          <w:rFonts w:cs="Times New Roman"/>
          <w:i/>
          <w:noProof/>
          <w:sz w:val="22"/>
          <w:szCs w:val="22"/>
        </w:rPr>
      </w:pPr>
      <w:bookmarkStart w:id="125" w:name="_Ref140694771"/>
      <w:bookmarkStart w:id="126" w:name="_Ref222927273"/>
      <w:r w:rsidRPr="006333F0">
        <w:rPr>
          <w:rFonts w:cs="Times New Roman"/>
          <w:i/>
          <w:noProof/>
          <w:sz w:val="22"/>
          <w:szCs w:val="22"/>
        </w:rPr>
        <w:t xml:space="preserve">Table </w:t>
      </w:r>
      <w:r w:rsidRPr="00222181">
        <w:rPr>
          <w:i/>
          <w:noProof/>
          <w:sz w:val="22"/>
          <w:szCs w:val="22"/>
        </w:rPr>
        <w:fldChar w:fldCharType="begin"/>
      </w:r>
      <w:r w:rsidRPr="006333F0">
        <w:rPr>
          <w:rFonts w:cs="Times New Roman"/>
          <w:i/>
          <w:iCs/>
          <w:noProof/>
          <w:sz w:val="22"/>
          <w:szCs w:val="22"/>
        </w:rPr>
        <w:instrText xml:space="preserve"> SEQ Table \* ARABIC </w:instrText>
      </w:r>
      <w:r w:rsidRPr="00222181">
        <w:rPr>
          <w:i/>
          <w:noProof/>
          <w:sz w:val="22"/>
          <w:szCs w:val="22"/>
        </w:rPr>
        <w:fldChar w:fldCharType="separate"/>
      </w:r>
      <w:r w:rsidR="0055391F">
        <w:rPr>
          <w:rFonts w:cs="Times New Roman"/>
          <w:i/>
          <w:iCs/>
          <w:noProof/>
          <w:sz w:val="22"/>
          <w:szCs w:val="22"/>
        </w:rPr>
        <w:t>3</w:t>
      </w:r>
      <w:r w:rsidRPr="00222181">
        <w:rPr>
          <w:i/>
          <w:noProof/>
          <w:sz w:val="22"/>
          <w:szCs w:val="22"/>
        </w:rPr>
        <w:fldChar w:fldCharType="end"/>
      </w:r>
      <w:bookmarkEnd w:id="125"/>
      <w:r w:rsidRPr="006333F0">
        <w:rPr>
          <w:rFonts w:cs="Times New Roman"/>
          <w:i/>
          <w:noProof/>
          <w:sz w:val="22"/>
          <w:szCs w:val="22"/>
        </w:rPr>
        <w:t>: One-off and recurrent costs</w:t>
      </w:r>
      <w:r w:rsidR="001D6301">
        <w:rPr>
          <w:rFonts w:cs="Times New Roman"/>
          <w:i/>
          <w:noProof/>
          <w:sz w:val="22"/>
          <w:szCs w:val="22"/>
        </w:rPr>
        <w:t>, and costs savings</w:t>
      </w:r>
      <w:r w:rsidRPr="006333F0">
        <w:rPr>
          <w:rFonts w:cs="Times New Roman"/>
          <w:i/>
          <w:noProof/>
          <w:sz w:val="22"/>
          <w:szCs w:val="22"/>
        </w:rPr>
        <w:t xml:space="preserve"> for MDMS </w:t>
      </w:r>
      <w:r w:rsidR="00A1558C">
        <w:rPr>
          <w:rFonts w:cs="Times New Roman"/>
          <w:i/>
          <w:noProof/>
          <w:sz w:val="22"/>
          <w:szCs w:val="22"/>
        </w:rPr>
        <w:t>platforms</w:t>
      </w:r>
      <w:r w:rsidRPr="006333F0">
        <w:rPr>
          <w:rFonts w:cs="Times New Roman"/>
          <w:i/>
          <w:noProof/>
          <w:sz w:val="22"/>
          <w:szCs w:val="22"/>
        </w:rPr>
        <w:t xml:space="preserve"> in the POs relative to the baseline (EU27),</w:t>
      </w:r>
      <w:r w:rsidR="00A1558C">
        <w:rPr>
          <w:rFonts w:cs="Times New Roman"/>
          <w:i/>
          <w:noProof/>
          <w:sz w:val="22"/>
          <w:szCs w:val="22"/>
        </w:rPr>
        <w:t xml:space="preserve"> expressed as present value over 2028-2050,</w:t>
      </w:r>
      <w:r w:rsidRPr="006333F0">
        <w:rPr>
          <w:rFonts w:cs="Times New Roman"/>
          <w:i/>
          <w:noProof/>
          <w:sz w:val="22"/>
          <w:szCs w:val="22"/>
        </w:rPr>
        <w:t xml:space="preserve"> in </w:t>
      </w:r>
      <w:r w:rsidR="00A1558C" w:rsidRPr="006333F0">
        <w:rPr>
          <w:rFonts w:cs="Times New Roman"/>
          <w:i/>
          <w:noProof/>
          <w:sz w:val="22"/>
          <w:szCs w:val="22"/>
        </w:rPr>
        <w:t>million</w:t>
      </w:r>
      <w:r w:rsidRPr="006333F0">
        <w:rPr>
          <w:rFonts w:cs="Times New Roman"/>
          <w:i/>
          <w:noProof/>
          <w:sz w:val="22"/>
          <w:szCs w:val="22"/>
        </w:rPr>
        <w:t xml:space="preserve"> EUR (202</w:t>
      </w:r>
      <w:r w:rsidR="00A1558C">
        <w:rPr>
          <w:rFonts w:cs="Times New Roman"/>
          <w:i/>
          <w:noProof/>
          <w:sz w:val="22"/>
          <w:szCs w:val="22"/>
        </w:rPr>
        <w:t>4</w:t>
      </w:r>
      <w:r w:rsidRPr="006333F0">
        <w:rPr>
          <w:rFonts w:cs="Times New Roman"/>
          <w:i/>
          <w:noProof/>
          <w:sz w:val="22"/>
          <w:szCs w:val="22"/>
        </w:rPr>
        <w:t xml:space="preserve"> prices)</w:t>
      </w:r>
      <w:bookmarkEnd w:id="126"/>
    </w:p>
    <w:tbl>
      <w:tblPr>
        <w:tblW w:w="5000" w:type="pct"/>
        <w:tblLook w:val="04A0" w:firstRow="1" w:lastRow="0" w:firstColumn="1" w:lastColumn="0" w:noHBand="0" w:noVBand="1"/>
      </w:tblPr>
      <w:tblGrid>
        <w:gridCol w:w="5713"/>
        <w:gridCol w:w="972"/>
        <w:gridCol w:w="972"/>
        <w:gridCol w:w="972"/>
        <w:gridCol w:w="974"/>
      </w:tblGrid>
      <w:tr w:rsidR="005E265C" w14:paraId="759B49FC" w14:textId="77777777" w:rsidTr="00F43617">
        <w:trPr>
          <w:trHeight w:val="282"/>
          <w:tblHeader/>
        </w:trPr>
        <w:tc>
          <w:tcPr>
            <w:tcW w:w="2975" w:type="pct"/>
            <w:vMerge w:val="restart"/>
            <w:tcBorders>
              <w:top w:val="single" w:sz="4" w:space="0" w:color="auto"/>
              <w:left w:val="single" w:sz="4" w:space="0" w:color="auto"/>
              <w:bottom w:val="single" w:sz="4" w:space="0" w:color="000000"/>
              <w:right w:val="single" w:sz="4" w:space="0" w:color="auto"/>
            </w:tcBorders>
            <w:shd w:val="clear" w:color="000000" w:fill="0070C0"/>
            <w:hideMark/>
          </w:tcPr>
          <w:p w14:paraId="129C0BFA" w14:textId="77777777" w:rsidR="005E265C" w:rsidRDefault="005E265C" w:rsidP="00C328A6">
            <w:pPr>
              <w:keepNext/>
              <w:jc w:val="center"/>
              <w:rPr>
                <w:b/>
                <w:bCs/>
                <w:noProof/>
                <w:color w:val="FFFFFF"/>
                <w:sz w:val="20"/>
                <w:szCs w:val="20"/>
              </w:rPr>
            </w:pPr>
            <w:r>
              <w:rPr>
                <w:b/>
                <w:bCs/>
                <w:noProof/>
                <w:color w:val="FFFFFF"/>
                <w:sz w:val="20"/>
                <w:szCs w:val="20"/>
              </w:rPr>
              <w:t> </w:t>
            </w:r>
          </w:p>
        </w:tc>
        <w:tc>
          <w:tcPr>
            <w:tcW w:w="2025" w:type="pct"/>
            <w:gridSpan w:val="4"/>
            <w:tcBorders>
              <w:top w:val="single" w:sz="4" w:space="0" w:color="auto"/>
              <w:left w:val="nil"/>
              <w:bottom w:val="single" w:sz="4" w:space="0" w:color="auto"/>
              <w:right w:val="single" w:sz="4" w:space="0" w:color="000000"/>
            </w:tcBorders>
            <w:shd w:val="clear" w:color="000000" w:fill="0070C0"/>
            <w:hideMark/>
          </w:tcPr>
          <w:p w14:paraId="078432BE" w14:textId="77777777" w:rsidR="005E265C" w:rsidRDefault="005E265C" w:rsidP="00C328A6">
            <w:pPr>
              <w:keepNext/>
              <w:jc w:val="center"/>
              <w:rPr>
                <w:b/>
                <w:bCs/>
                <w:noProof/>
                <w:color w:val="FFFFFF"/>
                <w:sz w:val="20"/>
                <w:szCs w:val="20"/>
              </w:rPr>
            </w:pPr>
            <w:r>
              <w:rPr>
                <w:b/>
                <w:bCs/>
                <w:noProof/>
                <w:color w:val="FFFFFF"/>
                <w:sz w:val="20"/>
                <w:szCs w:val="20"/>
              </w:rPr>
              <w:t>Difference to baseline</w:t>
            </w:r>
          </w:p>
        </w:tc>
      </w:tr>
      <w:tr w:rsidR="00807EE8" w14:paraId="676ACC19" w14:textId="77777777" w:rsidTr="00F43617">
        <w:trPr>
          <w:trHeight w:val="282"/>
          <w:tblHeader/>
        </w:trPr>
        <w:tc>
          <w:tcPr>
            <w:tcW w:w="2975" w:type="pct"/>
            <w:vMerge/>
            <w:tcBorders>
              <w:top w:val="single" w:sz="4" w:space="0" w:color="auto"/>
              <w:left w:val="single" w:sz="4" w:space="0" w:color="auto"/>
              <w:bottom w:val="single" w:sz="4" w:space="0" w:color="000000"/>
              <w:right w:val="single" w:sz="4" w:space="0" w:color="auto"/>
            </w:tcBorders>
            <w:hideMark/>
          </w:tcPr>
          <w:p w14:paraId="617233C4" w14:textId="77777777" w:rsidR="005E265C" w:rsidRDefault="005E265C" w:rsidP="00C328A6">
            <w:pPr>
              <w:keepNext/>
              <w:rPr>
                <w:b/>
                <w:bCs/>
                <w:noProof/>
                <w:color w:val="FFFFFF"/>
                <w:sz w:val="20"/>
                <w:szCs w:val="20"/>
              </w:rPr>
            </w:pPr>
          </w:p>
        </w:tc>
        <w:tc>
          <w:tcPr>
            <w:tcW w:w="506" w:type="pct"/>
            <w:tcBorders>
              <w:top w:val="nil"/>
              <w:left w:val="nil"/>
              <w:bottom w:val="single" w:sz="4" w:space="0" w:color="auto"/>
              <w:right w:val="single" w:sz="4" w:space="0" w:color="auto"/>
            </w:tcBorders>
            <w:shd w:val="clear" w:color="000000" w:fill="0070C0"/>
            <w:hideMark/>
          </w:tcPr>
          <w:p w14:paraId="7538E3B5" w14:textId="77777777" w:rsidR="005E265C" w:rsidRDefault="005E265C" w:rsidP="00C328A6">
            <w:pPr>
              <w:keepNext/>
              <w:jc w:val="center"/>
              <w:rPr>
                <w:b/>
                <w:bCs/>
                <w:noProof/>
                <w:color w:val="FFFFFF"/>
                <w:sz w:val="20"/>
                <w:szCs w:val="20"/>
              </w:rPr>
            </w:pPr>
            <w:r>
              <w:rPr>
                <w:b/>
                <w:bCs/>
                <w:noProof/>
                <w:color w:val="FFFFFF"/>
                <w:sz w:val="20"/>
                <w:szCs w:val="20"/>
              </w:rPr>
              <w:t>PO1</w:t>
            </w:r>
          </w:p>
        </w:tc>
        <w:tc>
          <w:tcPr>
            <w:tcW w:w="506" w:type="pct"/>
            <w:tcBorders>
              <w:top w:val="nil"/>
              <w:left w:val="nil"/>
              <w:bottom w:val="single" w:sz="4" w:space="0" w:color="auto"/>
              <w:right w:val="single" w:sz="4" w:space="0" w:color="auto"/>
            </w:tcBorders>
            <w:shd w:val="clear" w:color="000000" w:fill="0070C0"/>
            <w:hideMark/>
          </w:tcPr>
          <w:p w14:paraId="22847A1C" w14:textId="77777777" w:rsidR="005E265C" w:rsidRDefault="005E265C" w:rsidP="00C328A6">
            <w:pPr>
              <w:keepNext/>
              <w:jc w:val="center"/>
              <w:rPr>
                <w:b/>
                <w:bCs/>
                <w:noProof/>
                <w:color w:val="FFFFFF"/>
                <w:sz w:val="20"/>
                <w:szCs w:val="20"/>
              </w:rPr>
            </w:pPr>
            <w:r>
              <w:rPr>
                <w:b/>
                <w:bCs/>
                <w:noProof/>
                <w:color w:val="FFFFFF"/>
                <w:sz w:val="20"/>
                <w:szCs w:val="20"/>
              </w:rPr>
              <w:t>PO2</w:t>
            </w:r>
          </w:p>
        </w:tc>
        <w:tc>
          <w:tcPr>
            <w:tcW w:w="506" w:type="pct"/>
            <w:tcBorders>
              <w:top w:val="nil"/>
              <w:left w:val="nil"/>
              <w:bottom w:val="single" w:sz="4" w:space="0" w:color="auto"/>
              <w:right w:val="single" w:sz="4" w:space="0" w:color="auto"/>
            </w:tcBorders>
            <w:shd w:val="clear" w:color="000000" w:fill="0070C0"/>
            <w:hideMark/>
          </w:tcPr>
          <w:p w14:paraId="4F4D589E" w14:textId="77777777" w:rsidR="005E265C" w:rsidRDefault="005E265C" w:rsidP="00C328A6">
            <w:pPr>
              <w:keepNext/>
              <w:jc w:val="center"/>
              <w:rPr>
                <w:b/>
                <w:bCs/>
                <w:noProof/>
                <w:color w:val="FFFFFF"/>
                <w:sz w:val="20"/>
                <w:szCs w:val="20"/>
              </w:rPr>
            </w:pPr>
            <w:r>
              <w:rPr>
                <w:b/>
                <w:bCs/>
                <w:noProof/>
                <w:color w:val="FFFFFF"/>
                <w:sz w:val="20"/>
                <w:szCs w:val="20"/>
              </w:rPr>
              <w:t>PO3</w:t>
            </w:r>
          </w:p>
        </w:tc>
        <w:tc>
          <w:tcPr>
            <w:tcW w:w="506" w:type="pct"/>
            <w:tcBorders>
              <w:top w:val="nil"/>
              <w:left w:val="nil"/>
              <w:bottom w:val="single" w:sz="4" w:space="0" w:color="auto"/>
              <w:right w:val="single" w:sz="4" w:space="0" w:color="auto"/>
            </w:tcBorders>
            <w:shd w:val="clear" w:color="000000" w:fill="0070C0"/>
            <w:hideMark/>
          </w:tcPr>
          <w:p w14:paraId="654D7412" w14:textId="77777777" w:rsidR="005E265C" w:rsidRDefault="005E265C" w:rsidP="00C328A6">
            <w:pPr>
              <w:keepNext/>
              <w:jc w:val="center"/>
              <w:rPr>
                <w:b/>
                <w:bCs/>
                <w:noProof/>
                <w:color w:val="FFFFFF"/>
                <w:sz w:val="20"/>
                <w:szCs w:val="20"/>
              </w:rPr>
            </w:pPr>
            <w:r>
              <w:rPr>
                <w:b/>
                <w:bCs/>
                <w:noProof/>
                <w:color w:val="FFFFFF"/>
                <w:sz w:val="20"/>
                <w:szCs w:val="20"/>
              </w:rPr>
              <w:t>PO4</w:t>
            </w:r>
          </w:p>
        </w:tc>
      </w:tr>
      <w:tr w:rsidR="00807EE8" w14:paraId="46EFCADE" w14:textId="77777777" w:rsidTr="00807EE8">
        <w:trPr>
          <w:trHeight w:val="282"/>
        </w:trPr>
        <w:tc>
          <w:tcPr>
            <w:tcW w:w="2975" w:type="pct"/>
            <w:tcBorders>
              <w:top w:val="nil"/>
              <w:left w:val="single" w:sz="4" w:space="0" w:color="auto"/>
              <w:bottom w:val="single" w:sz="4" w:space="0" w:color="auto"/>
              <w:right w:val="single" w:sz="4" w:space="0" w:color="auto"/>
            </w:tcBorders>
            <w:shd w:val="clear" w:color="000000" w:fill="BDE3FF"/>
            <w:hideMark/>
          </w:tcPr>
          <w:p w14:paraId="0724DB10" w14:textId="77777777" w:rsidR="005E265C" w:rsidRDefault="005E265C">
            <w:pPr>
              <w:rPr>
                <w:b/>
                <w:bCs/>
                <w:noProof/>
                <w:sz w:val="20"/>
                <w:szCs w:val="20"/>
              </w:rPr>
            </w:pPr>
            <w:r>
              <w:rPr>
                <w:b/>
                <w:bCs/>
                <w:noProof/>
                <w:sz w:val="20"/>
                <w:szCs w:val="20"/>
              </w:rPr>
              <w:t>Adjustment costs</w:t>
            </w:r>
          </w:p>
        </w:tc>
        <w:tc>
          <w:tcPr>
            <w:tcW w:w="506" w:type="pct"/>
            <w:tcBorders>
              <w:top w:val="nil"/>
              <w:left w:val="nil"/>
              <w:bottom w:val="single" w:sz="4" w:space="0" w:color="auto"/>
              <w:right w:val="single" w:sz="4" w:space="0" w:color="auto"/>
            </w:tcBorders>
            <w:shd w:val="clear" w:color="000000" w:fill="BDE3FF"/>
            <w:hideMark/>
          </w:tcPr>
          <w:p w14:paraId="2BF4B195" w14:textId="77777777" w:rsidR="005E265C" w:rsidRDefault="005E265C">
            <w:pPr>
              <w:jc w:val="right"/>
              <w:rPr>
                <w:b/>
                <w:bCs/>
                <w:noProof/>
                <w:sz w:val="20"/>
                <w:szCs w:val="20"/>
              </w:rPr>
            </w:pPr>
            <w:r>
              <w:rPr>
                <w:b/>
                <w:bCs/>
                <w:noProof/>
                <w:sz w:val="20"/>
                <w:szCs w:val="20"/>
              </w:rPr>
              <w:t>92.9</w:t>
            </w:r>
          </w:p>
        </w:tc>
        <w:tc>
          <w:tcPr>
            <w:tcW w:w="506" w:type="pct"/>
            <w:tcBorders>
              <w:top w:val="nil"/>
              <w:left w:val="nil"/>
              <w:bottom w:val="single" w:sz="4" w:space="0" w:color="auto"/>
              <w:right w:val="single" w:sz="4" w:space="0" w:color="auto"/>
            </w:tcBorders>
            <w:shd w:val="clear" w:color="000000" w:fill="BDE3FF"/>
            <w:hideMark/>
          </w:tcPr>
          <w:p w14:paraId="654D6084" w14:textId="77777777" w:rsidR="005E265C" w:rsidRDefault="005E265C">
            <w:pPr>
              <w:jc w:val="right"/>
              <w:rPr>
                <w:b/>
                <w:bCs/>
                <w:noProof/>
                <w:sz w:val="20"/>
                <w:szCs w:val="20"/>
              </w:rPr>
            </w:pPr>
            <w:r>
              <w:rPr>
                <w:b/>
                <w:bCs/>
                <w:noProof/>
                <w:sz w:val="20"/>
                <w:szCs w:val="20"/>
              </w:rPr>
              <w:t>127.7</w:t>
            </w:r>
          </w:p>
        </w:tc>
        <w:tc>
          <w:tcPr>
            <w:tcW w:w="506" w:type="pct"/>
            <w:tcBorders>
              <w:top w:val="nil"/>
              <w:left w:val="nil"/>
              <w:bottom w:val="single" w:sz="4" w:space="0" w:color="auto"/>
              <w:right w:val="single" w:sz="4" w:space="0" w:color="auto"/>
            </w:tcBorders>
            <w:shd w:val="clear" w:color="000000" w:fill="BDE3FF"/>
            <w:hideMark/>
          </w:tcPr>
          <w:p w14:paraId="647C9B6A" w14:textId="77777777" w:rsidR="005E265C" w:rsidRDefault="005E265C">
            <w:pPr>
              <w:jc w:val="right"/>
              <w:rPr>
                <w:b/>
                <w:bCs/>
                <w:noProof/>
                <w:sz w:val="20"/>
                <w:szCs w:val="20"/>
              </w:rPr>
            </w:pPr>
            <w:r>
              <w:rPr>
                <w:b/>
                <w:bCs/>
                <w:noProof/>
                <w:sz w:val="20"/>
                <w:szCs w:val="20"/>
              </w:rPr>
              <w:t>122.3</w:t>
            </w:r>
          </w:p>
        </w:tc>
        <w:tc>
          <w:tcPr>
            <w:tcW w:w="506" w:type="pct"/>
            <w:tcBorders>
              <w:top w:val="nil"/>
              <w:left w:val="nil"/>
              <w:bottom w:val="single" w:sz="4" w:space="0" w:color="auto"/>
              <w:right w:val="single" w:sz="4" w:space="0" w:color="auto"/>
            </w:tcBorders>
            <w:shd w:val="clear" w:color="000000" w:fill="BDE3FF"/>
            <w:hideMark/>
          </w:tcPr>
          <w:p w14:paraId="1B632E31" w14:textId="77777777" w:rsidR="005E265C" w:rsidRDefault="005E265C">
            <w:pPr>
              <w:jc w:val="right"/>
              <w:rPr>
                <w:b/>
                <w:bCs/>
                <w:noProof/>
                <w:sz w:val="20"/>
                <w:szCs w:val="20"/>
              </w:rPr>
            </w:pPr>
            <w:r>
              <w:rPr>
                <w:b/>
                <w:bCs/>
                <w:noProof/>
                <w:sz w:val="20"/>
                <w:szCs w:val="20"/>
              </w:rPr>
              <w:t>282.3</w:t>
            </w:r>
          </w:p>
        </w:tc>
      </w:tr>
      <w:tr w:rsidR="00807EE8" w14:paraId="71D5FC26" w14:textId="77777777" w:rsidTr="00807EE8">
        <w:trPr>
          <w:trHeight w:val="282"/>
        </w:trPr>
        <w:tc>
          <w:tcPr>
            <w:tcW w:w="2975" w:type="pct"/>
            <w:tcBorders>
              <w:top w:val="nil"/>
              <w:left w:val="single" w:sz="4" w:space="0" w:color="auto"/>
              <w:bottom w:val="single" w:sz="4" w:space="0" w:color="auto"/>
              <w:right w:val="single" w:sz="4" w:space="0" w:color="auto"/>
            </w:tcBorders>
            <w:shd w:val="clear" w:color="000000" w:fill="FFFFFF"/>
            <w:noWrap/>
            <w:hideMark/>
          </w:tcPr>
          <w:p w14:paraId="784681E8" w14:textId="77777777" w:rsidR="005E265C" w:rsidRDefault="005E265C">
            <w:pPr>
              <w:rPr>
                <w:noProof/>
                <w:color w:val="000000"/>
                <w:sz w:val="20"/>
                <w:szCs w:val="20"/>
              </w:rPr>
            </w:pPr>
            <w:r>
              <w:rPr>
                <w:noProof/>
                <w:color w:val="000000"/>
                <w:sz w:val="20"/>
                <w:szCs w:val="20"/>
              </w:rPr>
              <w:t>PM1 (Neutral display)</w:t>
            </w:r>
          </w:p>
        </w:tc>
        <w:tc>
          <w:tcPr>
            <w:tcW w:w="506" w:type="pct"/>
            <w:tcBorders>
              <w:top w:val="nil"/>
              <w:left w:val="nil"/>
              <w:bottom w:val="single" w:sz="4" w:space="0" w:color="auto"/>
              <w:right w:val="single" w:sz="4" w:space="0" w:color="auto"/>
            </w:tcBorders>
            <w:shd w:val="clear" w:color="000000" w:fill="FFFFFF"/>
            <w:noWrap/>
            <w:hideMark/>
          </w:tcPr>
          <w:p w14:paraId="43F2AAA0" w14:textId="77777777" w:rsidR="005E265C" w:rsidRDefault="005E265C">
            <w:pPr>
              <w:jc w:val="right"/>
              <w:rPr>
                <w:noProof/>
                <w:color w:val="000000"/>
                <w:sz w:val="20"/>
                <w:szCs w:val="20"/>
              </w:rPr>
            </w:pPr>
            <w:r>
              <w:rPr>
                <w:noProof/>
                <w:color w:val="000000"/>
                <w:sz w:val="20"/>
                <w:szCs w:val="20"/>
              </w:rPr>
              <w:t>12.0</w:t>
            </w:r>
          </w:p>
        </w:tc>
        <w:tc>
          <w:tcPr>
            <w:tcW w:w="506" w:type="pct"/>
            <w:tcBorders>
              <w:top w:val="nil"/>
              <w:left w:val="nil"/>
              <w:bottom w:val="single" w:sz="4" w:space="0" w:color="auto"/>
              <w:right w:val="single" w:sz="4" w:space="0" w:color="auto"/>
            </w:tcBorders>
            <w:shd w:val="clear" w:color="000000" w:fill="FFFFFF"/>
            <w:noWrap/>
            <w:hideMark/>
          </w:tcPr>
          <w:p w14:paraId="4F889404" w14:textId="77777777" w:rsidR="005E265C" w:rsidRDefault="005E265C">
            <w:pPr>
              <w:jc w:val="right"/>
              <w:rPr>
                <w:noProof/>
                <w:color w:val="000000"/>
                <w:sz w:val="20"/>
                <w:szCs w:val="20"/>
              </w:rPr>
            </w:pPr>
            <w:r>
              <w:rPr>
                <w:noProof/>
                <w:color w:val="000000"/>
                <w:sz w:val="20"/>
                <w:szCs w:val="20"/>
              </w:rPr>
              <w:t>16.5</w:t>
            </w:r>
          </w:p>
        </w:tc>
        <w:tc>
          <w:tcPr>
            <w:tcW w:w="506" w:type="pct"/>
            <w:tcBorders>
              <w:top w:val="nil"/>
              <w:left w:val="nil"/>
              <w:bottom w:val="single" w:sz="4" w:space="0" w:color="auto"/>
              <w:right w:val="single" w:sz="4" w:space="0" w:color="auto"/>
            </w:tcBorders>
            <w:shd w:val="clear" w:color="000000" w:fill="FFFFFF"/>
            <w:noWrap/>
            <w:hideMark/>
          </w:tcPr>
          <w:p w14:paraId="45A339C4" w14:textId="77777777" w:rsidR="005E265C" w:rsidRDefault="005E265C">
            <w:pPr>
              <w:jc w:val="right"/>
              <w:rPr>
                <w:noProof/>
                <w:color w:val="000000"/>
                <w:sz w:val="20"/>
                <w:szCs w:val="20"/>
              </w:rPr>
            </w:pPr>
            <w:r>
              <w:rPr>
                <w:noProof/>
                <w:color w:val="000000"/>
                <w:sz w:val="20"/>
                <w:szCs w:val="20"/>
              </w:rPr>
              <w:t>15.8</w:t>
            </w:r>
          </w:p>
        </w:tc>
        <w:tc>
          <w:tcPr>
            <w:tcW w:w="506" w:type="pct"/>
            <w:tcBorders>
              <w:top w:val="nil"/>
              <w:left w:val="nil"/>
              <w:bottom w:val="single" w:sz="4" w:space="0" w:color="auto"/>
              <w:right w:val="single" w:sz="4" w:space="0" w:color="auto"/>
            </w:tcBorders>
            <w:shd w:val="clear" w:color="000000" w:fill="FFFFFF"/>
            <w:noWrap/>
            <w:hideMark/>
          </w:tcPr>
          <w:p w14:paraId="21EBE5A7" w14:textId="77777777" w:rsidR="005E265C" w:rsidRDefault="005E265C">
            <w:pPr>
              <w:jc w:val="right"/>
              <w:rPr>
                <w:noProof/>
                <w:color w:val="000000"/>
                <w:sz w:val="20"/>
                <w:szCs w:val="20"/>
              </w:rPr>
            </w:pPr>
            <w:r>
              <w:rPr>
                <w:noProof/>
                <w:color w:val="000000"/>
                <w:sz w:val="20"/>
                <w:szCs w:val="20"/>
              </w:rPr>
              <w:t>16.1</w:t>
            </w:r>
          </w:p>
        </w:tc>
      </w:tr>
      <w:tr w:rsidR="00807EE8" w14:paraId="6905494A" w14:textId="77777777" w:rsidTr="00807EE8">
        <w:trPr>
          <w:trHeight w:val="282"/>
        </w:trPr>
        <w:tc>
          <w:tcPr>
            <w:tcW w:w="2975" w:type="pct"/>
            <w:tcBorders>
              <w:top w:val="nil"/>
              <w:left w:val="single" w:sz="4" w:space="0" w:color="auto"/>
              <w:bottom w:val="single" w:sz="4" w:space="0" w:color="auto"/>
              <w:right w:val="single" w:sz="4" w:space="0" w:color="auto"/>
            </w:tcBorders>
            <w:shd w:val="clear" w:color="000000" w:fill="FFFFFF"/>
            <w:noWrap/>
            <w:hideMark/>
          </w:tcPr>
          <w:p w14:paraId="39373EC2" w14:textId="77777777" w:rsidR="005E265C" w:rsidRDefault="005E265C">
            <w:pPr>
              <w:rPr>
                <w:noProof/>
                <w:color w:val="000000"/>
                <w:sz w:val="20"/>
                <w:szCs w:val="20"/>
              </w:rPr>
            </w:pPr>
            <w:r>
              <w:rPr>
                <w:noProof/>
                <w:color w:val="000000"/>
                <w:sz w:val="20"/>
                <w:szCs w:val="20"/>
              </w:rPr>
              <w:t>PM2 (Equal care for data)</w:t>
            </w:r>
          </w:p>
        </w:tc>
        <w:tc>
          <w:tcPr>
            <w:tcW w:w="506" w:type="pct"/>
            <w:tcBorders>
              <w:top w:val="nil"/>
              <w:left w:val="nil"/>
              <w:bottom w:val="single" w:sz="4" w:space="0" w:color="auto"/>
              <w:right w:val="single" w:sz="4" w:space="0" w:color="auto"/>
            </w:tcBorders>
            <w:shd w:val="clear" w:color="000000" w:fill="FFFFFF"/>
            <w:noWrap/>
            <w:hideMark/>
          </w:tcPr>
          <w:p w14:paraId="176F632F" w14:textId="77777777" w:rsidR="005E265C" w:rsidRDefault="005E265C">
            <w:pPr>
              <w:jc w:val="right"/>
              <w:rPr>
                <w:noProof/>
                <w:color w:val="000000"/>
                <w:sz w:val="20"/>
                <w:szCs w:val="20"/>
              </w:rPr>
            </w:pPr>
            <w:r>
              <w:rPr>
                <w:noProof/>
                <w:color w:val="000000"/>
                <w:sz w:val="20"/>
                <w:szCs w:val="20"/>
              </w:rPr>
              <w:t>9.0</w:t>
            </w:r>
          </w:p>
        </w:tc>
        <w:tc>
          <w:tcPr>
            <w:tcW w:w="506" w:type="pct"/>
            <w:tcBorders>
              <w:top w:val="nil"/>
              <w:left w:val="nil"/>
              <w:bottom w:val="single" w:sz="4" w:space="0" w:color="auto"/>
              <w:right w:val="single" w:sz="4" w:space="0" w:color="auto"/>
            </w:tcBorders>
            <w:shd w:val="clear" w:color="000000" w:fill="FFFFFF"/>
            <w:noWrap/>
            <w:hideMark/>
          </w:tcPr>
          <w:p w14:paraId="273CB939" w14:textId="77777777" w:rsidR="005E265C" w:rsidRDefault="005E265C">
            <w:pPr>
              <w:jc w:val="right"/>
              <w:rPr>
                <w:noProof/>
                <w:color w:val="000000"/>
                <w:sz w:val="20"/>
                <w:szCs w:val="20"/>
              </w:rPr>
            </w:pPr>
            <w:r>
              <w:rPr>
                <w:noProof/>
                <w:color w:val="000000"/>
                <w:sz w:val="20"/>
                <w:szCs w:val="20"/>
              </w:rPr>
              <w:t>12.4</w:t>
            </w:r>
          </w:p>
        </w:tc>
        <w:tc>
          <w:tcPr>
            <w:tcW w:w="506" w:type="pct"/>
            <w:tcBorders>
              <w:top w:val="nil"/>
              <w:left w:val="nil"/>
              <w:bottom w:val="single" w:sz="4" w:space="0" w:color="auto"/>
              <w:right w:val="single" w:sz="4" w:space="0" w:color="auto"/>
            </w:tcBorders>
            <w:shd w:val="clear" w:color="000000" w:fill="FFFFFF"/>
            <w:noWrap/>
            <w:hideMark/>
          </w:tcPr>
          <w:p w14:paraId="5F9A8D8E" w14:textId="77777777" w:rsidR="005E265C" w:rsidRDefault="005E265C">
            <w:pPr>
              <w:jc w:val="right"/>
              <w:rPr>
                <w:noProof/>
                <w:color w:val="000000"/>
                <w:sz w:val="20"/>
                <w:szCs w:val="20"/>
              </w:rPr>
            </w:pPr>
            <w:r>
              <w:rPr>
                <w:noProof/>
                <w:color w:val="000000"/>
                <w:sz w:val="20"/>
                <w:szCs w:val="20"/>
              </w:rPr>
              <w:t>11.8</w:t>
            </w:r>
          </w:p>
        </w:tc>
        <w:tc>
          <w:tcPr>
            <w:tcW w:w="506" w:type="pct"/>
            <w:tcBorders>
              <w:top w:val="nil"/>
              <w:left w:val="nil"/>
              <w:bottom w:val="single" w:sz="4" w:space="0" w:color="auto"/>
              <w:right w:val="single" w:sz="4" w:space="0" w:color="auto"/>
            </w:tcBorders>
            <w:shd w:val="clear" w:color="000000" w:fill="FFFFFF"/>
            <w:noWrap/>
            <w:hideMark/>
          </w:tcPr>
          <w:p w14:paraId="47357639" w14:textId="77777777" w:rsidR="005E265C" w:rsidRDefault="005E265C">
            <w:pPr>
              <w:jc w:val="right"/>
              <w:rPr>
                <w:noProof/>
                <w:color w:val="000000"/>
                <w:sz w:val="20"/>
                <w:szCs w:val="20"/>
              </w:rPr>
            </w:pPr>
            <w:r>
              <w:rPr>
                <w:noProof/>
                <w:color w:val="000000"/>
                <w:sz w:val="20"/>
                <w:szCs w:val="20"/>
              </w:rPr>
              <w:t>12.1</w:t>
            </w:r>
          </w:p>
        </w:tc>
      </w:tr>
      <w:tr w:rsidR="00807EE8" w14:paraId="1B6FD5D2" w14:textId="77777777" w:rsidTr="00807EE8">
        <w:trPr>
          <w:trHeight w:val="282"/>
        </w:trPr>
        <w:tc>
          <w:tcPr>
            <w:tcW w:w="2975" w:type="pct"/>
            <w:tcBorders>
              <w:top w:val="nil"/>
              <w:left w:val="single" w:sz="4" w:space="0" w:color="auto"/>
              <w:bottom w:val="single" w:sz="4" w:space="0" w:color="auto"/>
              <w:right w:val="single" w:sz="4" w:space="0" w:color="auto"/>
            </w:tcBorders>
            <w:shd w:val="clear" w:color="000000" w:fill="FFFFFF"/>
            <w:noWrap/>
            <w:hideMark/>
          </w:tcPr>
          <w:p w14:paraId="0AD97AE5" w14:textId="77777777" w:rsidR="005E265C" w:rsidRDefault="005E265C">
            <w:pPr>
              <w:rPr>
                <w:noProof/>
                <w:color w:val="000000"/>
                <w:sz w:val="20"/>
                <w:szCs w:val="20"/>
              </w:rPr>
            </w:pPr>
            <w:r>
              <w:rPr>
                <w:noProof/>
                <w:color w:val="000000"/>
                <w:sz w:val="20"/>
                <w:szCs w:val="20"/>
              </w:rPr>
              <w:t>PM3 (Marketing and booking data sharing)</w:t>
            </w:r>
          </w:p>
        </w:tc>
        <w:tc>
          <w:tcPr>
            <w:tcW w:w="506" w:type="pct"/>
            <w:tcBorders>
              <w:top w:val="nil"/>
              <w:left w:val="nil"/>
              <w:bottom w:val="single" w:sz="4" w:space="0" w:color="auto"/>
              <w:right w:val="single" w:sz="4" w:space="0" w:color="auto"/>
            </w:tcBorders>
            <w:shd w:val="clear" w:color="000000" w:fill="FFFFFF"/>
            <w:noWrap/>
            <w:hideMark/>
          </w:tcPr>
          <w:p w14:paraId="544C62F4" w14:textId="77777777" w:rsidR="005E265C" w:rsidRDefault="005E265C">
            <w:pPr>
              <w:jc w:val="right"/>
              <w:rPr>
                <w:noProof/>
                <w:color w:val="000000"/>
                <w:sz w:val="20"/>
                <w:szCs w:val="20"/>
              </w:rPr>
            </w:pPr>
            <w:r>
              <w:rPr>
                <w:noProof/>
                <w:color w:val="000000"/>
                <w:sz w:val="20"/>
                <w:szCs w:val="20"/>
              </w:rPr>
              <w:t>6.9</w:t>
            </w:r>
          </w:p>
        </w:tc>
        <w:tc>
          <w:tcPr>
            <w:tcW w:w="506" w:type="pct"/>
            <w:tcBorders>
              <w:top w:val="nil"/>
              <w:left w:val="nil"/>
              <w:bottom w:val="single" w:sz="4" w:space="0" w:color="auto"/>
              <w:right w:val="single" w:sz="4" w:space="0" w:color="auto"/>
            </w:tcBorders>
            <w:shd w:val="clear" w:color="000000" w:fill="FFFFFF"/>
            <w:noWrap/>
            <w:hideMark/>
          </w:tcPr>
          <w:p w14:paraId="117D1A96" w14:textId="77777777" w:rsidR="005E265C" w:rsidRDefault="005E265C">
            <w:pPr>
              <w:jc w:val="right"/>
              <w:rPr>
                <w:noProof/>
                <w:color w:val="000000"/>
                <w:sz w:val="20"/>
                <w:szCs w:val="20"/>
              </w:rPr>
            </w:pPr>
            <w:r>
              <w:rPr>
                <w:noProof/>
                <w:color w:val="000000"/>
                <w:sz w:val="20"/>
                <w:szCs w:val="20"/>
              </w:rPr>
              <w:t>9.5</w:t>
            </w:r>
          </w:p>
        </w:tc>
        <w:tc>
          <w:tcPr>
            <w:tcW w:w="506" w:type="pct"/>
            <w:tcBorders>
              <w:top w:val="nil"/>
              <w:left w:val="nil"/>
              <w:bottom w:val="single" w:sz="4" w:space="0" w:color="auto"/>
              <w:right w:val="single" w:sz="4" w:space="0" w:color="auto"/>
            </w:tcBorders>
            <w:shd w:val="clear" w:color="000000" w:fill="FFFFFF"/>
            <w:noWrap/>
            <w:hideMark/>
          </w:tcPr>
          <w:p w14:paraId="0771AE35" w14:textId="77777777" w:rsidR="005E265C" w:rsidRDefault="005E265C">
            <w:pPr>
              <w:jc w:val="right"/>
              <w:rPr>
                <w:noProof/>
                <w:color w:val="000000"/>
                <w:sz w:val="20"/>
                <w:szCs w:val="20"/>
              </w:rPr>
            </w:pPr>
            <w:r>
              <w:rPr>
                <w:noProof/>
                <w:color w:val="000000"/>
                <w:sz w:val="20"/>
                <w:szCs w:val="20"/>
              </w:rPr>
              <w:t>9.1</w:t>
            </w:r>
          </w:p>
        </w:tc>
        <w:tc>
          <w:tcPr>
            <w:tcW w:w="506" w:type="pct"/>
            <w:tcBorders>
              <w:top w:val="nil"/>
              <w:left w:val="nil"/>
              <w:bottom w:val="single" w:sz="4" w:space="0" w:color="auto"/>
              <w:right w:val="single" w:sz="4" w:space="0" w:color="auto"/>
            </w:tcBorders>
            <w:shd w:val="clear" w:color="000000" w:fill="FFFFFF"/>
            <w:noWrap/>
            <w:hideMark/>
          </w:tcPr>
          <w:p w14:paraId="2F34E632" w14:textId="77777777" w:rsidR="005E265C" w:rsidRDefault="005E265C">
            <w:pPr>
              <w:jc w:val="right"/>
              <w:rPr>
                <w:noProof/>
                <w:color w:val="000000"/>
                <w:sz w:val="20"/>
                <w:szCs w:val="20"/>
              </w:rPr>
            </w:pPr>
            <w:r>
              <w:rPr>
                <w:noProof/>
                <w:color w:val="000000"/>
                <w:sz w:val="20"/>
                <w:szCs w:val="20"/>
              </w:rPr>
              <w:t>9.3</w:t>
            </w:r>
          </w:p>
        </w:tc>
      </w:tr>
      <w:tr w:rsidR="001047A3" w14:paraId="35A42CFB" w14:textId="77777777" w:rsidTr="00807EE8">
        <w:trPr>
          <w:trHeight w:val="282"/>
        </w:trPr>
        <w:tc>
          <w:tcPr>
            <w:tcW w:w="2975" w:type="pct"/>
            <w:tcBorders>
              <w:top w:val="nil"/>
              <w:left w:val="single" w:sz="4" w:space="0" w:color="auto"/>
              <w:bottom w:val="single" w:sz="4" w:space="0" w:color="auto"/>
              <w:right w:val="single" w:sz="4" w:space="0" w:color="auto"/>
            </w:tcBorders>
            <w:noWrap/>
            <w:hideMark/>
          </w:tcPr>
          <w:p w14:paraId="2C6AA1F9" w14:textId="77777777" w:rsidR="005E265C" w:rsidRDefault="005E265C">
            <w:pPr>
              <w:rPr>
                <w:noProof/>
                <w:color w:val="000000"/>
                <w:sz w:val="20"/>
                <w:szCs w:val="20"/>
              </w:rPr>
            </w:pPr>
            <w:r>
              <w:rPr>
                <w:noProof/>
                <w:color w:val="000000"/>
                <w:sz w:val="20"/>
                <w:szCs w:val="20"/>
              </w:rPr>
              <w:t>PM7 (Data for mobility management)</w:t>
            </w:r>
          </w:p>
        </w:tc>
        <w:tc>
          <w:tcPr>
            <w:tcW w:w="506" w:type="pct"/>
            <w:tcBorders>
              <w:top w:val="nil"/>
              <w:left w:val="nil"/>
              <w:bottom w:val="single" w:sz="4" w:space="0" w:color="auto"/>
              <w:right w:val="single" w:sz="4" w:space="0" w:color="auto"/>
            </w:tcBorders>
            <w:shd w:val="clear" w:color="000000" w:fill="FFFFFF"/>
            <w:noWrap/>
            <w:hideMark/>
          </w:tcPr>
          <w:p w14:paraId="11D48847" w14:textId="77777777" w:rsidR="005E265C" w:rsidRDefault="005E265C">
            <w:pPr>
              <w:jc w:val="right"/>
              <w:rPr>
                <w:noProof/>
                <w:color w:val="000000"/>
                <w:sz w:val="20"/>
                <w:szCs w:val="20"/>
              </w:rPr>
            </w:pPr>
            <w:r>
              <w:rPr>
                <w:noProof/>
                <w:color w:val="000000"/>
                <w:sz w:val="20"/>
                <w:szCs w:val="20"/>
              </w:rPr>
              <w:t>52.9</w:t>
            </w:r>
          </w:p>
        </w:tc>
        <w:tc>
          <w:tcPr>
            <w:tcW w:w="506" w:type="pct"/>
            <w:tcBorders>
              <w:top w:val="nil"/>
              <w:left w:val="nil"/>
              <w:bottom w:val="single" w:sz="4" w:space="0" w:color="auto"/>
              <w:right w:val="single" w:sz="4" w:space="0" w:color="auto"/>
            </w:tcBorders>
            <w:shd w:val="clear" w:color="000000" w:fill="FFFFFF"/>
            <w:noWrap/>
            <w:hideMark/>
          </w:tcPr>
          <w:p w14:paraId="217CD5D3" w14:textId="77777777" w:rsidR="005E265C" w:rsidRDefault="005E265C">
            <w:pPr>
              <w:jc w:val="right"/>
              <w:rPr>
                <w:noProof/>
                <w:color w:val="000000"/>
                <w:sz w:val="20"/>
                <w:szCs w:val="20"/>
              </w:rPr>
            </w:pPr>
            <w:r>
              <w:rPr>
                <w:noProof/>
                <w:color w:val="000000"/>
                <w:sz w:val="20"/>
                <w:szCs w:val="20"/>
              </w:rPr>
              <w:t>72.6</w:t>
            </w:r>
          </w:p>
        </w:tc>
        <w:tc>
          <w:tcPr>
            <w:tcW w:w="506" w:type="pct"/>
            <w:tcBorders>
              <w:top w:val="nil"/>
              <w:left w:val="nil"/>
              <w:bottom w:val="single" w:sz="4" w:space="0" w:color="auto"/>
              <w:right w:val="single" w:sz="4" w:space="0" w:color="auto"/>
            </w:tcBorders>
            <w:shd w:val="clear" w:color="000000" w:fill="FFFFFF"/>
            <w:noWrap/>
            <w:hideMark/>
          </w:tcPr>
          <w:p w14:paraId="4D23C4D0" w14:textId="77777777" w:rsidR="005E265C" w:rsidRDefault="005E265C">
            <w:pPr>
              <w:jc w:val="right"/>
              <w:rPr>
                <w:noProof/>
                <w:color w:val="000000"/>
                <w:sz w:val="20"/>
                <w:szCs w:val="20"/>
              </w:rPr>
            </w:pPr>
            <w:r>
              <w:rPr>
                <w:noProof/>
                <w:color w:val="000000"/>
                <w:sz w:val="20"/>
                <w:szCs w:val="20"/>
              </w:rPr>
              <w:t>69.4</w:t>
            </w:r>
          </w:p>
        </w:tc>
        <w:tc>
          <w:tcPr>
            <w:tcW w:w="506" w:type="pct"/>
            <w:tcBorders>
              <w:top w:val="nil"/>
              <w:left w:val="nil"/>
              <w:bottom w:val="single" w:sz="4" w:space="0" w:color="auto"/>
              <w:right w:val="single" w:sz="4" w:space="0" w:color="auto"/>
            </w:tcBorders>
            <w:shd w:val="clear" w:color="000000" w:fill="FFFFFF"/>
            <w:noWrap/>
            <w:hideMark/>
          </w:tcPr>
          <w:p w14:paraId="70422C23" w14:textId="77777777" w:rsidR="005E265C" w:rsidRDefault="005E265C">
            <w:pPr>
              <w:jc w:val="right"/>
              <w:rPr>
                <w:noProof/>
                <w:color w:val="000000"/>
                <w:sz w:val="20"/>
                <w:szCs w:val="20"/>
              </w:rPr>
            </w:pPr>
            <w:r>
              <w:rPr>
                <w:noProof/>
                <w:color w:val="000000"/>
                <w:sz w:val="20"/>
                <w:szCs w:val="20"/>
              </w:rPr>
              <w:t>70.8</w:t>
            </w:r>
          </w:p>
        </w:tc>
      </w:tr>
      <w:tr w:rsidR="00807EE8" w14:paraId="14255F60" w14:textId="77777777" w:rsidTr="00807EE8">
        <w:trPr>
          <w:trHeight w:val="282"/>
        </w:trPr>
        <w:tc>
          <w:tcPr>
            <w:tcW w:w="2975" w:type="pct"/>
            <w:tcBorders>
              <w:top w:val="nil"/>
              <w:left w:val="single" w:sz="4" w:space="0" w:color="auto"/>
              <w:bottom w:val="single" w:sz="4" w:space="0" w:color="auto"/>
              <w:right w:val="single" w:sz="4" w:space="0" w:color="auto"/>
            </w:tcBorders>
            <w:hideMark/>
          </w:tcPr>
          <w:p w14:paraId="765E732B" w14:textId="77777777" w:rsidR="005E265C" w:rsidRDefault="005E265C">
            <w:pPr>
              <w:rPr>
                <w:noProof/>
                <w:color w:val="000000"/>
                <w:sz w:val="20"/>
                <w:szCs w:val="20"/>
              </w:rPr>
            </w:pPr>
            <w:r>
              <w:rPr>
                <w:noProof/>
                <w:color w:val="000000"/>
                <w:sz w:val="20"/>
                <w:szCs w:val="20"/>
              </w:rPr>
              <w:t>PM8 (GHG emission data)</w:t>
            </w:r>
          </w:p>
        </w:tc>
        <w:tc>
          <w:tcPr>
            <w:tcW w:w="506" w:type="pct"/>
            <w:tcBorders>
              <w:top w:val="nil"/>
              <w:left w:val="nil"/>
              <w:bottom w:val="single" w:sz="4" w:space="0" w:color="auto"/>
              <w:right w:val="single" w:sz="4" w:space="0" w:color="auto"/>
            </w:tcBorders>
            <w:shd w:val="clear" w:color="000000" w:fill="FFFFFF"/>
            <w:noWrap/>
            <w:hideMark/>
          </w:tcPr>
          <w:p w14:paraId="20753E98" w14:textId="77777777" w:rsidR="005E265C" w:rsidRDefault="005E265C">
            <w:pPr>
              <w:jc w:val="right"/>
              <w:rPr>
                <w:noProof/>
                <w:color w:val="000000"/>
                <w:sz w:val="20"/>
                <w:szCs w:val="20"/>
              </w:rPr>
            </w:pPr>
            <w:r>
              <w:rPr>
                <w:noProof/>
                <w:color w:val="000000"/>
                <w:sz w:val="20"/>
                <w:szCs w:val="20"/>
              </w:rPr>
              <w:t>12.1</w:t>
            </w:r>
          </w:p>
        </w:tc>
        <w:tc>
          <w:tcPr>
            <w:tcW w:w="506" w:type="pct"/>
            <w:tcBorders>
              <w:top w:val="nil"/>
              <w:left w:val="nil"/>
              <w:bottom w:val="single" w:sz="4" w:space="0" w:color="auto"/>
              <w:right w:val="single" w:sz="4" w:space="0" w:color="auto"/>
            </w:tcBorders>
            <w:shd w:val="clear" w:color="000000" w:fill="FFFFFF"/>
            <w:noWrap/>
            <w:hideMark/>
          </w:tcPr>
          <w:p w14:paraId="4CEF1E5E" w14:textId="77777777" w:rsidR="005E265C" w:rsidRDefault="005E265C">
            <w:pPr>
              <w:jc w:val="right"/>
              <w:rPr>
                <w:noProof/>
                <w:color w:val="000000"/>
                <w:sz w:val="20"/>
                <w:szCs w:val="20"/>
              </w:rPr>
            </w:pPr>
            <w:r>
              <w:rPr>
                <w:noProof/>
                <w:color w:val="000000"/>
                <w:sz w:val="20"/>
                <w:szCs w:val="20"/>
              </w:rPr>
              <w:t>16.7</w:t>
            </w:r>
          </w:p>
        </w:tc>
        <w:tc>
          <w:tcPr>
            <w:tcW w:w="506" w:type="pct"/>
            <w:tcBorders>
              <w:top w:val="nil"/>
              <w:left w:val="nil"/>
              <w:bottom w:val="single" w:sz="4" w:space="0" w:color="auto"/>
              <w:right w:val="single" w:sz="4" w:space="0" w:color="auto"/>
            </w:tcBorders>
            <w:shd w:val="clear" w:color="000000" w:fill="FFFFFF"/>
            <w:noWrap/>
            <w:hideMark/>
          </w:tcPr>
          <w:p w14:paraId="0C6CCB20" w14:textId="77777777" w:rsidR="005E265C" w:rsidRDefault="005E265C">
            <w:pPr>
              <w:jc w:val="right"/>
              <w:rPr>
                <w:noProof/>
                <w:color w:val="000000"/>
                <w:sz w:val="20"/>
                <w:szCs w:val="20"/>
              </w:rPr>
            </w:pPr>
            <w:r>
              <w:rPr>
                <w:noProof/>
                <w:color w:val="000000"/>
                <w:sz w:val="20"/>
                <w:szCs w:val="20"/>
              </w:rPr>
              <w:t>15.9</w:t>
            </w:r>
          </w:p>
        </w:tc>
        <w:tc>
          <w:tcPr>
            <w:tcW w:w="506" w:type="pct"/>
            <w:tcBorders>
              <w:top w:val="nil"/>
              <w:left w:val="nil"/>
              <w:bottom w:val="single" w:sz="4" w:space="0" w:color="auto"/>
              <w:right w:val="single" w:sz="4" w:space="0" w:color="auto"/>
            </w:tcBorders>
            <w:shd w:val="clear" w:color="000000" w:fill="FFFFFF"/>
            <w:noWrap/>
            <w:hideMark/>
          </w:tcPr>
          <w:p w14:paraId="44B94F56" w14:textId="77777777" w:rsidR="005E265C" w:rsidRDefault="005E265C">
            <w:pPr>
              <w:jc w:val="right"/>
              <w:rPr>
                <w:noProof/>
                <w:color w:val="000000"/>
                <w:sz w:val="20"/>
                <w:szCs w:val="20"/>
              </w:rPr>
            </w:pPr>
            <w:r>
              <w:rPr>
                <w:noProof/>
                <w:color w:val="000000"/>
                <w:sz w:val="20"/>
                <w:szCs w:val="20"/>
              </w:rPr>
              <w:t>16.3</w:t>
            </w:r>
          </w:p>
        </w:tc>
      </w:tr>
      <w:tr w:rsidR="00807EE8" w14:paraId="55000800" w14:textId="77777777" w:rsidTr="00807EE8">
        <w:trPr>
          <w:trHeight w:val="282"/>
        </w:trPr>
        <w:tc>
          <w:tcPr>
            <w:tcW w:w="2975" w:type="pct"/>
            <w:tcBorders>
              <w:top w:val="nil"/>
              <w:left w:val="single" w:sz="4" w:space="0" w:color="auto"/>
              <w:bottom w:val="single" w:sz="4" w:space="0" w:color="auto"/>
              <w:right w:val="single" w:sz="4" w:space="0" w:color="auto"/>
            </w:tcBorders>
            <w:shd w:val="clear" w:color="000000" w:fill="FFFFFF"/>
            <w:noWrap/>
            <w:hideMark/>
          </w:tcPr>
          <w:p w14:paraId="78C8A423" w14:textId="77777777" w:rsidR="005E265C" w:rsidRDefault="005E265C">
            <w:pPr>
              <w:rPr>
                <w:noProof/>
                <w:color w:val="000000"/>
                <w:sz w:val="20"/>
                <w:szCs w:val="20"/>
              </w:rPr>
            </w:pPr>
            <w:r>
              <w:rPr>
                <w:noProof/>
                <w:color w:val="000000"/>
                <w:sz w:val="20"/>
                <w:szCs w:val="20"/>
              </w:rPr>
              <w:t>PM14 (Obligation to host)</w:t>
            </w:r>
          </w:p>
        </w:tc>
        <w:tc>
          <w:tcPr>
            <w:tcW w:w="506" w:type="pct"/>
            <w:tcBorders>
              <w:top w:val="nil"/>
              <w:left w:val="nil"/>
              <w:bottom w:val="single" w:sz="4" w:space="0" w:color="auto"/>
              <w:right w:val="single" w:sz="4" w:space="0" w:color="auto"/>
            </w:tcBorders>
            <w:shd w:val="clear" w:color="000000" w:fill="FFFFFF"/>
            <w:noWrap/>
            <w:hideMark/>
          </w:tcPr>
          <w:p w14:paraId="444DD0BF" w14:textId="77777777" w:rsidR="005E265C" w:rsidRDefault="005E265C">
            <w:pPr>
              <w:jc w:val="right"/>
              <w:rPr>
                <w:noProof/>
                <w:color w:val="000000"/>
                <w:sz w:val="20"/>
                <w:szCs w:val="20"/>
              </w:rPr>
            </w:pPr>
            <w:r>
              <w:rPr>
                <w:noProof/>
                <w:color w:val="000000"/>
                <w:sz w:val="20"/>
                <w:szCs w:val="20"/>
              </w:rPr>
              <w:t>0.0</w:t>
            </w:r>
          </w:p>
        </w:tc>
        <w:tc>
          <w:tcPr>
            <w:tcW w:w="506" w:type="pct"/>
            <w:tcBorders>
              <w:top w:val="nil"/>
              <w:left w:val="nil"/>
              <w:bottom w:val="single" w:sz="4" w:space="0" w:color="auto"/>
              <w:right w:val="single" w:sz="4" w:space="0" w:color="auto"/>
            </w:tcBorders>
            <w:shd w:val="clear" w:color="000000" w:fill="FFFFFF"/>
            <w:noWrap/>
            <w:hideMark/>
          </w:tcPr>
          <w:p w14:paraId="784DF6F1" w14:textId="77777777" w:rsidR="005E265C" w:rsidRDefault="005E265C">
            <w:pPr>
              <w:jc w:val="right"/>
              <w:rPr>
                <w:noProof/>
                <w:color w:val="000000"/>
                <w:sz w:val="20"/>
                <w:szCs w:val="20"/>
              </w:rPr>
            </w:pPr>
            <w:r>
              <w:rPr>
                <w:noProof/>
                <w:color w:val="000000"/>
                <w:sz w:val="20"/>
                <w:szCs w:val="20"/>
              </w:rPr>
              <w:t>0.0</w:t>
            </w:r>
          </w:p>
        </w:tc>
        <w:tc>
          <w:tcPr>
            <w:tcW w:w="506" w:type="pct"/>
            <w:tcBorders>
              <w:top w:val="nil"/>
              <w:left w:val="nil"/>
              <w:bottom w:val="single" w:sz="4" w:space="0" w:color="auto"/>
              <w:right w:val="single" w:sz="4" w:space="0" w:color="auto"/>
            </w:tcBorders>
            <w:shd w:val="clear" w:color="000000" w:fill="FFFFFF"/>
            <w:noWrap/>
            <w:hideMark/>
          </w:tcPr>
          <w:p w14:paraId="6207674C" w14:textId="77777777" w:rsidR="005E265C" w:rsidRDefault="005E265C">
            <w:pPr>
              <w:jc w:val="right"/>
              <w:rPr>
                <w:noProof/>
                <w:color w:val="000000"/>
                <w:sz w:val="20"/>
                <w:szCs w:val="20"/>
              </w:rPr>
            </w:pPr>
            <w:r>
              <w:rPr>
                <w:noProof/>
                <w:color w:val="000000"/>
                <w:sz w:val="20"/>
                <w:szCs w:val="20"/>
              </w:rPr>
              <w:t>0.4</w:t>
            </w:r>
          </w:p>
        </w:tc>
        <w:tc>
          <w:tcPr>
            <w:tcW w:w="506" w:type="pct"/>
            <w:tcBorders>
              <w:top w:val="nil"/>
              <w:left w:val="nil"/>
              <w:bottom w:val="single" w:sz="4" w:space="0" w:color="auto"/>
              <w:right w:val="single" w:sz="4" w:space="0" w:color="auto"/>
            </w:tcBorders>
            <w:shd w:val="clear" w:color="000000" w:fill="FFFFFF"/>
            <w:noWrap/>
            <w:hideMark/>
          </w:tcPr>
          <w:p w14:paraId="5112B03D" w14:textId="77777777" w:rsidR="005E265C" w:rsidRDefault="005E265C">
            <w:pPr>
              <w:jc w:val="right"/>
              <w:rPr>
                <w:noProof/>
                <w:color w:val="000000"/>
                <w:sz w:val="20"/>
                <w:szCs w:val="20"/>
              </w:rPr>
            </w:pPr>
            <w:r>
              <w:rPr>
                <w:noProof/>
                <w:color w:val="000000"/>
                <w:sz w:val="20"/>
                <w:szCs w:val="20"/>
              </w:rPr>
              <w:t>0.0</w:t>
            </w:r>
          </w:p>
        </w:tc>
      </w:tr>
      <w:tr w:rsidR="00807EE8" w14:paraId="6551BBD7" w14:textId="77777777" w:rsidTr="00807EE8">
        <w:trPr>
          <w:trHeight w:val="282"/>
        </w:trPr>
        <w:tc>
          <w:tcPr>
            <w:tcW w:w="2975" w:type="pct"/>
            <w:tcBorders>
              <w:top w:val="nil"/>
              <w:left w:val="single" w:sz="4" w:space="0" w:color="auto"/>
              <w:bottom w:val="single" w:sz="4" w:space="0" w:color="auto"/>
              <w:right w:val="single" w:sz="4" w:space="0" w:color="auto"/>
            </w:tcBorders>
            <w:hideMark/>
          </w:tcPr>
          <w:p w14:paraId="7D3FBACB" w14:textId="77777777" w:rsidR="005E265C" w:rsidRDefault="005E265C">
            <w:pPr>
              <w:rPr>
                <w:noProof/>
                <w:color w:val="000000"/>
                <w:sz w:val="20"/>
                <w:szCs w:val="20"/>
              </w:rPr>
            </w:pPr>
            <w:r>
              <w:rPr>
                <w:noProof/>
                <w:color w:val="000000"/>
                <w:sz w:val="20"/>
                <w:szCs w:val="20"/>
              </w:rPr>
              <w:t>PM15 (Obligation to unbundle)</w:t>
            </w:r>
          </w:p>
        </w:tc>
        <w:tc>
          <w:tcPr>
            <w:tcW w:w="506" w:type="pct"/>
            <w:tcBorders>
              <w:top w:val="nil"/>
              <w:left w:val="nil"/>
              <w:bottom w:val="single" w:sz="4" w:space="0" w:color="auto"/>
              <w:right w:val="single" w:sz="4" w:space="0" w:color="auto"/>
            </w:tcBorders>
            <w:shd w:val="clear" w:color="000000" w:fill="FFFFFF"/>
            <w:noWrap/>
            <w:hideMark/>
          </w:tcPr>
          <w:p w14:paraId="10EDF2F0" w14:textId="77777777" w:rsidR="005E265C" w:rsidRDefault="005E265C">
            <w:pPr>
              <w:jc w:val="right"/>
              <w:rPr>
                <w:noProof/>
                <w:color w:val="000000"/>
                <w:sz w:val="20"/>
                <w:szCs w:val="20"/>
              </w:rPr>
            </w:pPr>
            <w:r>
              <w:rPr>
                <w:noProof/>
                <w:color w:val="000000"/>
                <w:sz w:val="20"/>
                <w:szCs w:val="20"/>
              </w:rPr>
              <w:t>0.0</w:t>
            </w:r>
          </w:p>
        </w:tc>
        <w:tc>
          <w:tcPr>
            <w:tcW w:w="506" w:type="pct"/>
            <w:tcBorders>
              <w:top w:val="nil"/>
              <w:left w:val="nil"/>
              <w:bottom w:val="single" w:sz="4" w:space="0" w:color="auto"/>
              <w:right w:val="single" w:sz="4" w:space="0" w:color="auto"/>
            </w:tcBorders>
            <w:shd w:val="clear" w:color="000000" w:fill="FFFFFF"/>
            <w:noWrap/>
            <w:hideMark/>
          </w:tcPr>
          <w:p w14:paraId="138D97F7" w14:textId="77777777" w:rsidR="005E265C" w:rsidRDefault="005E265C">
            <w:pPr>
              <w:jc w:val="right"/>
              <w:rPr>
                <w:noProof/>
                <w:color w:val="000000"/>
                <w:sz w:val="20"/>
                <w:szCs w:val="20"/>
              </w:rPr>
            </w:pPr>
            <w:r>
              <w:rPr>
                <w:noProof/>
                <w:color w:val="000000"/>
                <w:sz w:val="20"/>
                <w:szCs w:val="20"/>
              </w:rPr>
              <w:t>0.0</w:t>
            </w:r>
          </w:p>
        </w:tc>
        <w:tc>
          <w:tcPr>
            <w:tcW w:w="506" w:type="pct"/>
            <w:tcBorders>
              <w:top w:val="nil"/>
              <w:left w:val="nil"/>
              <w:bottom w:val="single" w:sz="4" w:space="0" w:color="auto"/>
              <w:right w:val="single" w:sz="4" w:space="0" w:color="auto"/>
            </w:tcBorders>
            <w:shd w:val="clear" w:color="000000" w:fill="FFFFFF"/>
            <w:noWrap/>
            <w:hideMark/>
          </w:tcPr>
          <w:p w14:paraId="3A0B89BD" w14:textId="77777777" w:rsidR="005E265C" w:rsidRDefault="005E265C">
            <w:pPr>
              <w:jc w:val="right"/>
              <w:rPr>
                <w:noProof/>
                <w:color w:val="000000"/>
                <w:sz w:val="20"/>
                <w:szCs w:val="20"/>
              </w:rPr>
            </w:pPr>
            <w:r>
              <w:rPr>
                <w:noProof/>
                <w:color w:val="000000"/>
                <w:sz w:val="20"/>
                <w:szCs w:val="20"/>
              </w:rPr>
              <w:t>0.0</w:t>
            </w:r>
          </w:p>
        </w:tc>
        <w:tc>
          <w:tcPr>
            <w:tcW w:w="506" w:type="pct"/>
            <w:tcBorders>
              <w:top w:val="nil"/>
              <w:left w:val="nil"/>
              <w:bottom w:val="single" w:sz="4" w:space="0" w:color="auto"/>
              <w:right w:val="single" w:sz="4" w:space="0" w:color="auto"/>
            </w:tcBorders>
            <w:shd w:val="clear" w:color="000000" w:fill="FFFFFF"/>
            <w:noWrap/>
            <w:hideMark/>
          </w:tcPr>
          <w:p w14:paraId="67AFFB8A" w14:textId="77777777" w:rsidR="005E265C" w:rsidRDefault="005E265C">
            <w:pPr>
              <w:jc w:val="right"/>
              <w:rPr>
                <w:noProof/>
                <w:color w:val="000000"/>
                <w:sz w:val="20"/>
                <w:szCs w:val="20"/>
              </w:rPr>
            </w:pPr>
            <w:r>
              <w:rPr>
                <w:noProof/>
                <w:color w:val="000000"/>
                <w:sz w:val="20"/>
                <w:szCs w:val="20"/>
              </w:rPr>
              <w:t>157.7</w:t>
            </w:r>
          </w:p>
        </w:tc>
      </w:tr>
      <w:tr w:rsidR="00807EE8" w14:paraId="311A009A" w14:textId="77777777" w:rsidTr="00807EE8">
        <w:trPr>
          <w:trHeight w:val="282"/>
        </w:trPr>
        <w:tc>
          <w:tcPr>
            <w:tcW w:w="2975" w:type="pct"/>
            <w:tcBorders>
              <w:top w:val="nil"/>
              <w:left w:val="single" w:sz="4" w:space="0" w:color="auto"/>
              <w:bottom w:val="single" w:sz="4" w:space="0" w:color="auto"/>
              <w:right w:val="single" w:sz="4" w:space="0" w:color="auto"/>
            </w:tcBorders>
            <w:shd w:val="clear" w:color="000000" w:fill="BDE3FF"/>
            <w:hideMark/>
          </w:tcPr>
          <w:p w14:paraId="0BA017BA" w14:textId="77777777" w:rsidR="005E265C" w:rsidRDefault="005E265C">
            <w:pPr>
              <w:rPr>
                <w:b/>
                <w:bCs/>
                <w:noProof/>
                <w:sz w:val="20"/>
                <w:szCs w:val="20"/>
              </w:rPr>
            </w:pPr>
            <w:r>
              <w:rPr>
                <w:b/>
                <w:bCs/>
                <w:noProof/>
                <w:sz w:val="20"/>
                <w:szCs w:val="20"/>
              </w:rPr>
              <w:t>Administrative costs</w:t>
            </w:r>
          </w:p>
        </w:tc>
        <w:tc>
          <w:tcPr>
            <w:tcW w:w="506" w:type="pct"/>
            <w:tcBorders>
              <w:top w:val="nil"/>
              <w:left w:val="nil"/>
              <w:bottom w:val="single" w:sz="4" w:space="0" w:color="auto"/>
              <w:right w:val="single" w:sz="4" w:space="0" w:color="auto"/>
            </w:tcBorders>
            <w:shd w:val="clear" w:color="000000" w:fill="BDE3FF"/>
            <w:hideMark/>
          </w:tcPr>
          <w:p w14:paraId="17BAEE46" w14:textId="77777777" w:rsidR="005E265C" w:rsidRDefault="005E265C">
            <w:pPr>
              <w:jc w:val="right"/>
              <w:rPr>
                <w:b/>
                <w:bCs/>
                <w:noProof/>
                <w:sz w:val="20"/>
                <w:szCs w:val="20"/>
              </w:rPr>
            </w:pPr>
            <w:r>
              <w:rPr>
                <w:b/>
                <w:bCs/>
                <w:noProof/>
                <w:sz w:val="20"/>
                <w:szCs w:val="20"/>
              </w:rPr>
              <w:t>0.5</w:t>
            </w:r>
          </w:p>
        </w:tc>
        <w:tc>
          <w:tcPr>
            <w:tcW w:w="506" w:type="pct"/>
            <w:tcBorders>
              <w:top w:val="nil"/>
              <w:left w:val="nil"/>
              <w:bottom w:val="single" w:sz="4" w:space="0" w:color="auto"/>
              <w:right w:val="single" w:sz="4" w:space="0" w:color="auto"/>
            </w:tcBorders>
            <w:shd w:val="clear" w:color="000000" w:fill="BDE3FF"/>
            <w:hideMark/>
          </w:tcPr>
          <w:p w14:paraId="7953B3A4" w14:textId="77777777" w:rsidR="005E265C" w:rsidRDefault="005E265C">
            <w:pPr>
              <w:jc w:val="right"/>
              <w:rPr>
                <w:b/>
                <w:bCs/>
                <w:noProof/>
                <w:sz w:val="20"/>
                <w:szCs w:val="20"/>
              </w:rPr>
            </w:pPr>
            <w:r>
              <w:rPr>
                <w:b/>
                <w:bCs/>
                <w:noProof/>
                <w:sz w:val="20"/>
                <w:szCs w:val="20"/>
              </w:rPr>
              <w:t>0.5</w:t>
            </w:r>
          </w:p>
        </w:tc>
        <w:tc>
          <w:tcPr>
            <w:tcW w:w="506" w:type="pct"/>
            <w:tcBorders>
              <w:top w:val="nil"/>
              <w:left w:val="nil"/>
              <w:bottom w:val="single" w:sz="4" w:space="0" w:color="auto"/>
              <w:right w:val="single" w:sz="4" w:space="0" w:color="auto"/>
            </w:tcBorders>
            <w:shd w:val="clear" w:color="000000" w:fill="BDE3FF"/>
            <w:hideMark/>
          </w:tcPr>
          <w:p w14:paraId="1B1F8DF8" w14:textId="77777777" w:rsidR="005E265C" w:rsidRDefault="005E265C">
            <w:pPr>
              <w:jc w:val="right"/>
              <w:rPr>
                <w:b/>
                <w:bCs/>
                <w:noProof/>
                <w:sz w:val="20"/>
                <w:szCs w:val="20"/>
              </w:rPr>
            </w:pPr>
            <w:r>
              <w:rPr>
                <w:b/>
                <w:bCs/>
                <w:noProof/>
                <w:sz w:val="20"/>
                <w:szCs w:val="20"/>
              </w:rPr>
              <w:t>0.5</w:t>
            </w:r>
          </w:p>
        </w:tc>
        <w:tc>
          <w:tcPr>
            <w:tcW w:w="506" w:type="pct"/>
            <w:tcBorders>
              <w:top w:val="nil"/>
              <w:left w:val="nil"/>
              <w:bottom w:val="single" w:sz="4" w:space="0" w:color="auto"/>
              <w:right w:val="single" w:sz="4" w:space="0" w:color="auto"/>
            </w:tcBorders>
            <w:shd w:val="clear" w:color="000000" w:fill="BDE3FF"/>
            <w:hideMark/>
          </w:tcPr>
          <w:p w14:paraId="24963272" w14:textId="77777777" w:rsidR="005E265C" w:rsidRDefault="005E265C">
            <w:pPr>
              <w:jc w:val="right"/>
              <w:rPr>
                <w:b/>
                <w:bCs/>
                <w:noProof/>
                <w:sz w:val="20"/>
                <w:szCs w:val="20"/>
              </w:rPr>
            </w:pPr>
            <w:r>
              <w:rPr>
                <w:b/>
                <w:bCs/>
                <w:noProof/>
                <w:sz w:val="20"/>
                <w:szCs w:val="20"/>
              </w:rPr>
              <w:t>0.5</w:t>
            </w:r>
          </w:p>
        </w:tc>
      </w:tr>
      <w:tr w:rsidR="00807EE8" w14:paraId="68FE5CC6" w14:textId="77777777" w:rsidTr="00807EE8">
        <w:trPr>
          <w:trHeight w:val="282"/>
        </w:trPr>
        <w:tc>
          <w:tcPr>
            <w:tcW w:w="2975" w:type="pct"/>
            <w:tcBorders>
              <w:top w:val="nil"/>
              <w:left w:val="single" w:sz="4" w:space="0" w:color="auto"/>
              <w:bottom w:val="single" w:sz="4" w:space="0" w:color="auto"/>
              <w:right w:val="single" w:sz="4" w:space="0" w:color="auto"/>
            </w:tcBorders>
            <w:hideMark/>
          </w:tcPr>
          <w:p w14:paraId="4D95EED5" w14:textId="77777777" w:rsidR="005E265C" w:rsidRDefault="005E265C">
            <w:pPr>
              <w:rPr>
                <w:noProof/>
                <w:color w:val="000000"/>
                <w:sz w:val="20"/>
                <w:szCs w:val="20"/>
              </w:rPr>
            </w:pPr>
            <w:r>
              <w:rPr>
                <w:noProof/>
                <w:color w:val="000000"/>
                <w:sz w:val="20"/>
                <w:szCs w:val="20"/>
              </w:rPr>
              <w:t>PM10 (Designation of indispensable MDMS and RUs)</w:t>
            </w:r>
          </w:p>
        </w:tc>
        <w:tc>
          <w:tcPr>
            <w:tcW w:w="506" w:type="pct"/>
            <w:tcBorders>
              <w:top w:val="nil"/>
              <w:left w:val="nil"/>
              <w:bottom w:val="single" w:sz="4" w:space="0" w:color="auto"/>
              <w:right w:val="single" w:sz="4" w:space="0" w:color="auto"/>
            </w:tcBorders>
            <w:shd w:val="clear" w:color="000000" w:fill="FFFFFF"/>
            <w:noWrap/>
            <w:hideMark/>
          </w:tcPr>
          <w:p w14:paraId="0BF847E2" w14:textId="77777777" w:rsidR="005E265C" w:rsidRDefault="005E265C">
            <w:pPr>
              <w:jc w:val="right"/>
              <w:rPr>
                <w:noProof/>
                <w:color w:val="000000"/>
                <w:sz w:val="20"/>
                <w:szCs w:val="20"/>
              </w:rPr>
            </w:pPr>
            <w:r>
              <w:rPr>
                <w:noProof/>
                <w:color w:val="000000"/>
                <w:sz w:val="20"/>
                <w:szCs w:val="20"/>
              </w:rPr>
              <w:t>0.5</w:t>
            </w:r>
          </w:p>
        </w:tc>
        <w:tc>
          <w:tcPr>
            <w:tcW w:w="506" w:type="pct"/>
            <w:tcBorders>
              <w:top w:val="nil"/>
              <w:left w:val="nil"/>
              <w:bottom w:val="single" w:sz="4" w:space="0" w:color="auto"/>
              <w:right w:val="single" w:sz="4" w:space="0" w:color="auto"/>
            </w:tcBorders>
            <w:shd w:val="clear" w:color="000000" w:fill="FFFFFF"/>
            <w:noWrap/>
            <w:hideMark/>
          </w:tcPr>
          <w:p w14:paraId="4EEA6F29" w14:textId="77777777" w:rsidR="005E265C" w:rsidRDefault="005E265C">
            <w:pPr>
              <w:jc w:val="right"/>
              <w:rPr>
                <w:noProof/>
                <w:color w:val="000000"/>
                <w:sz w:val="20"/>
                <w:szCs w:val="20"/>
              </w:rPr>
            </w:pPr>
            <w:r>
              <w:rPr>
                <w:noProof/>
                <w:color w:val="000000"/>
                <w:sz w:val="20"/>
                <w:szCs w:val="20"/>
              </w:rPr>
              <w:t>0.5</w:t>
            </w:r>
          </w:p>
        </w:tc>
        <w:tc>
          <w:tcPr>
            <w:tcW w:w="506" w:type="pct"/>
            <w:tcBorders>
              <w:top w:val="nil"/>
              <w:left w:val="nil"/>
              <w:bottom w:val="single" w:sz="4" w:space="0" w:color="auto"/>
              <w:right w:val="single" w:sz="4" w:space="0" w:color="auto"/>
            </w:tcBorders>
            <w:shd w:val="clear" w:color="000000" w:fill="FFFFFF"/>
            <w:noWrap/>
            <w:hideMark/>
          </w:tcPr>
          <w:p w14:paraId="12B74B5E" w14:textId="77777777" w:rsidR="005E265C" w:rsidRDefault="005E265C">
            <w:pPr>
              <w:jc w:val="right"/>
              <w:rPr>
                <w:noProof/>
                <w:color w:val="000000"/>
                <w:sz w:val="20"/>
                <w:szCs w:val="20"/>
              </w:rPr>
            </w:pPr>
            <w:r>
              <w:rPr>
                <w:noProof/>
                <w:color w:val="000000"/>
                <w:sz w:val="20"/>
                <w:szCs w:val="20"/>
              </w:rPr>
              <w:t>0.5</w:t>
            </w:r>
          </w:p>
        </w:tc>
        <w:tc>
          <w:tcPr>
            <w:tcW w:w="506" w:type="pct"/>
            <w:tcBorders>
              <w:top w:val="nil"/>
              <w:left w:val="nil"/>
              <w:bottom w:val="single" w:sz="4" w:space="0" w:color="auto"/>
              <w:right w:val="single" w:sz="4" w:space="0" w:color="auto"/>
            </w:tcBorders>
            <w:shd w:val="clear" w:color="000000" w:fill="FFFFFF"/>
            <w:noWrap/>
            <w:hideMark/>
          </w:tcPr>
          <w:p w14:paraId="1CD315F7" w14:textId="77777777" w:rsidR="005E265C" w:rsidRDefault="005E265C">
            <w:pPr>
              <w:jc w:val="right"/>
              <w:rPr>
                <w:noProof/>
                <w:color w:val="000000"/>
                <w:sz w:val="20"/>
                <w:szCs w:val="20"/>
              </w:rPr>
            </w:pPr>
            <w:r>
              <w:rPr>
                <w:noProof/>
                <w:color w:val="000000"/>
                <w:sz w:val="20"/>
                <w:szCs w:val="20"/>
              </w:rPr>
              <w:t>0.5</w:t>
            </w:r>
          </w:p>
        </w:tc>
      </w:tr>
      <w:tr w:rsidR="00807EE8" w14:paraId="1707FD1A" w14:textId="77777777" w:rsidTr="00807EE8">
        <w:trPr>
          <w:trHeight w:val="282"/>
        </w:trPr>
        <w:tc>
          <w:tcPr>
            <w:tcW w:w="2975" w:type="pct"/>
            <w:tcBorders>
              <w:top w:val="nil"/>
              <w:left w:val="single" w:sz="4" w:space="0" w:color="auto"/>
              <w:bottom w:val="single" w:sz="4" w:space="0" w:color="auto"/>
              <w:right w:val="single" w:sz="4" w:space="0" w:color="auto"/>
            </w:tcBorders>
            <w:shd w:val="clear" w:color="000000" w:fill="BDE3FF"/>
            <w:hideMark/>
          </w:tcPr>
          <w:p w14:paraId="013A130B" w14:textId="77777777" w:rsidR="005E265C" w:rsidRDefault="005E265C">
            <w:pPr>
              <w:rPr>
                <w:b/>
                <w:bCs/>
                <w:noProof/>
                <w:sz w:val="20"/>
                <w:szCs w:val="20"/>
              </w:rPr>
            </w:pPr>
            <w:r>
              <w:rPr>
                <w:b/>
                <w:bCs/>
                <w:noProof/>
                <w:sz w:val="20"/>
                <w:szCs w:val="20"/>
              </w:rPr>
              <w:t>Adjustment cost savings</w:t>
            </w:r>
          </w:p>
        </w:tc>
        <w:tc>
          <w:tcPr>
            <w:tcW w:w="506" w:type="pct"/>
            <w:tcBorders>
              <w:top w:val="nil"/>
              <w:left w:val="nil"/>
              <w:bottom w:val="single" w:sz="4" w:space="0" w:color="auto"/>
              <w:right w:val="single" w:sz="4" w:space="0" w:color="auto"/>
            </w:tcBorders>
            <w:shd w:val="clear" w:color="000000" w:fill="BDE3FF"/>
            <w:hideMark/>
          </w:tcPr>
          <w:p w14:paraId="2BF92AD2" w14:textId="77777777" w:rsidR="005E265C" w:rsidRDefault="005E265C">
            <w:pPr>
              <w:jc w:val="right"/>
              <w:rPr>
                <w:b/>
                <w:bCs/>
                <w:noProof/>
                <w:sz w:val="20"/>
                <w:szCs w:val="20"/>
              </w:rPr>
            </w:pPr>
            <w:r>
              <w:rPr>
                <w:b/>
                <w:bCs/>
                <w:noProof/>
                <w:sz w:val="20"/>
                <w:szCs w:val="20"/>
              </w:rPr>
              <w:t>13.0</w:t>
            </w:r>
          </w:p>
        </w:tc>
        <w:tc>
          <w:tcPr>
            <w:tcW w:w="506" w:type="pct"/>
            <w:tcBorders>
              <w:top w:val="nil"/>
              <w:left w:val="nil"/>
              <w:bottom w:val="single" w:sz="4" w:space="0" w:color="auto"/>
              <w:right w:val="single" w:sz="4" w:space="0" w:color="auto"/>
            </w:tcBorders>
            <w:shd w:val="clear" w:color="000000" w:fill="BDE3FF"/>
            <w:hideMark/>
          </w:tcPr>
          <w:p w14:paraId="10EC7902" w14:textId="77777777" w:rsidR="005E265C" w:rsidRDefault="005E265C">
            <w:pPr>
              <w:jc w:val="right"/>
              <w:rPr>
                <w:b/>
                <w:bCs/>
                <w:noProof/>
                <w:sz w:val="20"/>
                <w:szCs w:val="20"/>
              </w:rPr>
            </w:pPr>
            <w:r>
              <w:rPr>
                <w:b/>
                <w:bCs/>
                <w:noProof/>
                <w:sz w:val="20"/>
                <w:szCs w:val="20"/>
              </w:rPr>
              <w:t>149.0</w:t>
            </w:r>
          </w:p>
        </w:tc>
        <w:tc>
          <w:tcPr>
            <w:tcW w:w="506" w:type="pct"/>
            <w:tcBorders>
              <w:top w:val="nil"/>
              <w:left w:val="nil"/>
              <w:bottom w:val="single" w:sz="4" w:space="0" w:color="auto"/>
              <w:right w:val="single" w:sz="4" w:space="0" w:color="auto"/>
            </w:tcBorders>
            <w:shd w:val="clear" w:color="000000" w:fill="BDE3FF"/>
            <w:hideMark/>
          </w:tcPr>
          <w:p w14:paraId="5AEB01FA" w14:textId="77777777" w:rsidR="005E265C" w:rsidRDefault="005E265C">
            <w:pPr>
              <w:jc w:val="right"/>
              <w:rPr>
                <w:b/>
                <w:bCs/>
                <w:noProof/>
                <w:sz w:val="20"/>
                <w:szCs w:val="20"/>
              </w:rPr>
            </w:pPr>
            <w:r>
              <w:rPr>
                <w:b/>
                <w:bCs/>
                <w:noProof/>
                <w:sz w:val="20"/>
                <w:szCs w:val="20"/>
              </w:rPr>
              <w:t>134.0</w:t>
            </w:r>
          </w:p>
        </w:tc>
        <w:tc>
          <w:tcPr>
            <w:tcW w:w="506" w:type="pct"/>
            <w:tcBorders>
              <w:top w:val="nil"/>
              <w:left w:val="nil"/>
              <w:bottom w:val="single" w:sz="4" w:space="0" w:color="auto"/>
              <w:right w:val="single" w:sz="4" w:space="0" w:color="auto"/>
            </w:tcBorders>
            <w:shd w:val="clear" w:color="000000" w:fill="BDE3FF"/>
            <w:hideMark/>
          </w:tcPr>
          <w:p w14:paraId="04B7B784" w14:textId="77777777" w:rsidR="005E265C" w:rsidRDefault="005E265C">
            <w:pPr>
              <w:jc w:val="right"/>
              <w:rPr>
                <w:b/>
                <w:bCs/>
                <w:noProof/>
                <w:sz w:val="20"/>
                <w:szCs w:val="20"/>
              </w:rPr>
            </w:pPr>
            <w:r>
              <w:rPr>
                <w:b/>
                <w:bCs/>
                <w:noProof/>
                <w:sz w:val="20"/>
                <w:szCs w:val="20"/>
              </w:rPr>
              <w:t>142.7</w:t>
            </w:r>
          </w:p>
        </w:tc>
      </w:tr>
      <w:tr w:rsidR="00807EE8" w14:paraId="78E907EA" w14:textId="77777777" w:rsidTr="00807EE8">
        <w:trPr>
          <w:trHeight w:val="284"/>
        </w:trPr>
        <w:tc>
          <w:tcPr>
            <w:tcW w:w="2975" w:type="pct"/>
            <w:tcBorders>
              <w:top w:val="nil"/>
              <w:left w:val="single" w:sz="4" w:space="0" w:color="auto"/>
              <w:bottom w:val="single" w:sz="4" w:space="0" w:color="auto"/>
              <w:right w:val="single" w:sz="4" w:space="0" w:color="auto"/>
            </w:tcBorders>
            <w:hideMark/>
          </w:tcPr>
          <w:p w14:paraId="28858020" w14:textId="77777777" w:rsidR="005E265C" w:rsidRDefault="005E265C">
            <w:pPr>
              <w:rPr>
                <w:noProof/>
                <w:color w:val="000000"/>
                <w:sz w:val="20"/>
                <w:szCs w:val="20"/>
              </w:rPr>
            </w:pPr>
            <w:r>
              <w:rPr>
                <w:noProof/>
                <w:color w:val="000000"/>
                <w:sz w:val="20"/>
                <w:szCs w:val="20"/>
              </w:rPr>
              <w:t>PM11 (Commercial agreement rules indispensable MDMS)</w:t>
            </w:r>
          </w:p>
        </w:tc>
        <w:tc>
          <w:tcPr>
            <w:tcW w:w="506" w:type="pct"/>
            <w:tcBorders>
              <w:top w:val="nil"/>
              <w:left w:val="nil"/>
              <w:bottom w:val="single" w:sz="4" w:space="0" w:color="auto"/>
              <w:right w:val="single" w:sz="4" w:space="0" w:color="auto"/>
            </w:tcBorders>
            <w:shd w:val="clear" w:color="000000" w:fill="FFFFFF"/>
            <w:noWrap/>
            <w:hideMark/>
          </w:tcPr>
          <w:p w14:paraId="24910F83" w14:textId="77777777" w:rsidR="005E265C" w:rsidRDefault="005E265C">
            <w:pPr>
              <w:jc w:val="right"/>
              <w:rPr>
                <w:noProof/>
                <w:color w:val="000000"/>
                <w:sz w:val="20"/>
                <w:szCs w:val="20"/>
              </w:rPr>
            </w:pPr>
            <w:r>
              <w:rPr>
                <w:noProof/>
                <w:color w:val="000000"/>
                <w:sz w:val="20"/>
                <w:szCs w:val="20"/>
              </w:rPr>
              <w:t>12.0</w:t>
            </w:r>
          </w:p>
        </w:tc>
        <w:tc>
          <w:tcPr>
            <w:tcW w:w="506" w:type="pct"/>
            <w:tcBorders>
              <w:top w:val="nil"/>
              <w:left w:val="nil"/>
              <w:bottom w:val="single" w:sz="4" w:space="0" w:color="auto"/>
              <w:right w:val="single" w:sz="4" w:space="0" w:color="auto"/>
            </w:tcBorders>
            <w:shd w:val="clear" w:color="000000" w:fill="FFFFFF"/>
            <w:noWrap/>
            <w:hideMark/>
          </w:tcPr>
          <w:p w14:paraId="6C0CDDCB" w14:textId="77777777" w:rsidR="005E265C" w:rsidRDefault="005E265C">
            <w:pPr>
              <w:jc w:val="right"/>
              <w:rPr>
                <w:noProof/>
                <w:color w:val="000000"/>
                <w:sz w:val="20"/>
                <w:szCs w:val="20"/>
              </w:rPr>
            </w:pPr>
            <w:r>
              <w:rPr>
                <w:noProof/>
                <w:color w:val="000000"/>
                <w:sz w:val="20"/>
                <w:szCs w:val="20"/>
              </w:rPr>
              <w:t>136.1</w:t>
            </w:r>
          </w:p>
        </w:tc>
        <w:tc>
          <w:tcPr>
            <w:tcW w:w="506" w:type="pct"/>
            <w:tcBorders>
              <w:top w:val="nil"/>
              <w:left w:val="nil"/>
              <w:bottom w:val="single" w:sz="4" w:space="0" w:color="auto"/>
              <w:right w:val="single" w:sz="4" w:space="0" w:color="auto"/>
            </w:tcBorders>
            <w:shd w:val="clear" w:color="000000" w:fill="FFFFFF"/>
            <w:noWrap/>
            <w:hideMark/>
          </w:tcPr>
          <w:p w14:paraId="44A5A058" w14:textId="77777777" w:rsidR="005E265C" w:rsidRDefault="005E265C">
            <w:pPr>
              <w:jc w:val="right"/>
              <w:rPr>
                <w:noProof/>
                <w:color w:val="000000"/>
                <w:sz w:val="20"/>
                <w:szCs w:val="20"/>
              </w:rPr>
            </w:pPr>
            <w:r>
              <w:rPr>
                <w:noProof/>
                <w:color w:val="000000"/>
                <w:sz w:val="20"/>
                <w:szCs w:val="20"/>
              </w:rPr>
              <w:t>122.3</w:t>
            </w:r>
          </w:p>
        </w:tc>
        <w:tc>
          <w:tcPr>
            <w:tcW w:w="506" w:type="pct"/>
            <w:tcBorders>
              <w:top w:val="nil"/>
              <w:left w:val="nil"/>
              <w:bottom w:val="single" w:sz="4" w:space="0" w:color="auto"/>
              <w:right w:val="single" w:sz="4" w:space="0" w:color="auto"/>
            </w:tcBorders>
            <w:shd w:val="clear" w:color="000000" w:fill="FFFFFF"/>
            <w:noWrap/>
            <w:hideMark/>
          </w:tcPr>
          <w:p w14:paraId="21052384" w14:textId="77777777" w:rsidR="005E265C" w:rsidRDefault="005E265C">
            <w:pPr>
              <w:jc w:val="right"/>
              <w:rPr>
                <w:noProof/>
                <w:color w:val="000000"/>
                <w:sz w:val="20"/>
                <w:szCs w:val="20"/>
              </w:rPr>
            </w:pPr>
            <w:r>
              <w:rPr>
                <w:noProof/>
                <w:color w:val="000000"/>
                <w:sz w:val="20"/>
                <w:szCs w:val="20"/>
              </w:rPr>
              <w:t>130.4</w:t>
            </w:r>
          </w:p>
        </w:tc>
      </w:tr>
      <w:tr w:rsidR="00807EE8" w14:paraId="149EBEEC" w14:textId="77777777" w:rsidTr="00807EE8">
        <w:trPr>
          <w:trHeight w:val="282"/>
        </w:trPr>
        <w:tc>
          <w:tcPr>
            <w:tcW w:w="2975" w:type="pct"/>
            <w:tcBorders>
              <w:top w:val="nil"/>
              <w:left w:val="single" w:sz="4" w:space="0" w:color="auto"/>
              <w:bottom w:val="single" w:sz="4" w:space="0" w:color="auto"/>
              <w:right w:val="single" w:sz="4" w:space="0" w:color="auto"/>
            </w:tcBorders>
            <w:hideMark/>
          </w:tcPr>
          <w:p w14:paraId="20167496" w14:textId="77777777" w:rsidR="005E265C" w:rsidRDefault="005E265C">
            <w:pPr>
              <w:rPr>
                <w:noProof/>
                <w:color w:val="000000"/>
                <w:sz w:val="20"/>
                <w:szCs w:val="20"/>
              </w:rPr>
            </w:pPr>
            <w:r>
              <w:rPr>
                <w:noProof/>
                <w:color w:val="000000"/>
                <w:sz w:val="20"/>
                <w:szCs w:val="20"/>
              </w:rPr>
              <w:t>PM12 (Commercial agreement rules indispensable RUs)</w:t>
            </w:r>
          </w:p>
        </w:tc>
        <w:tc>
          <w:tcPr>
            <w:tcW w:w="506" w:type="pct"/>
            <w:tcBorders>
              <w:top w:val="nil"/>
              <w:left w:val="nil"/>
              <w:bottom w:val="single" w:sz="4" w:space="0" w:color="auto"/>
              <w:right w:val="single" w:sz="4" w:space="0" w:color="auto"/>
            </w:tcBorders>
            <w:shd w:val="clear" w:color="000000" w:fill="FFFFFF"/>
            <w:noWrap/>
            <w:hideMark/>
          </w:tcPr>
          <w:p w14:paraId="1883739D" w14:textId="77777777" w:rsidR="005E265C" w:rsidRDefault="005E265C">
            <w:pPr>
              <w:jc w:val="right"/>
              <w:rPr>
                <w:noProof/>
                <w:color w:val="000000"/>
                <w:sz w:val="20"/>
                <w:szCs w:val="20"/>
              </w:rPr>
            </w:pPr>
            <w:r>
              <w:rPr>
                <w:noProof/>
                <w:color w:val="000000"/>
                <w:sz w:val="20"/>
                <w:szCs w:val="20"/>
              </w:rPr>
              <w:t>1.0</w:t>
            </w:r>
          </w:p>
        </w:tc>
        <w:tc>
          <w:tcPr>
            <w:tcW w:w="506" w:type="pct"/>
            <w:tcBorders>
              <w:top w:val="nil"/>
              <w:left w:val="nil"/>
              <w:bottom w:val="single" w:sz="4" w:space="0" w:color="auto"/>
              <w:right w:val="single" w:sz="4" w:space="0" w:color="auto"/>
            </w:tcBorders>
            <w:shd w:val="clear" w:color="000000" w:fill="FFFFFF"/>
            <w:noWrap/>
            <w:hideMark/>
          </w:tcPr>
          <w:p w14:paraId="05F70EB4" w14:textId="77777777" w:rsidR="005E265C" w:rsidRDefault="005E265C">
            <w:pPr>
              <w:jc w:val="right"/>
              <w:rPr>
                <w:noProof/>
                <w:color w:val="000000"/>
                <w:sz w:val="20"/>
                <w:szCs w:val="20"/>
              </w:rPr>
            </w:pPr>
            <w:r>
              <w:rPr>
                <w:noProof/>
                <w:color w:val="000000"/>
                <w:sz w:val="20"/>
                <w:szCs w:val="20"/>
              </w:rPr>
              <w:t>12.9</w:t>
            </w:r>
          </w:p>
        </w:tc>
        <w:tc>
          <w:tcPr>
            <w:tcW w:w="506" w:type="pct"/>
            <w:tcBorders>
              <w:top w:val="nil"/>
              <w:left w:val="nil"/>
              <w:bottom w:val="single" w:sz="4" w:space="0" w:color="auto"/>
              <w:right w:val="single" w:sz="4" w:space="0" w:color="auto"/>
            </w:tcBorders>
            <w:shd w:val="clear" w:color="000000" w:fill="FFFFFF"/>
            <w:noWrap/>
            <w:hideMark/>
          </w:tcPr>
          <w:p w14:paraId="71FBB97F" w14:textId="77777777" w:rsidR="005E265C" w:rsidRDefault="005E265C">
            <w:pPr>
              <w:jc w:val="right"/>
              <w:rPr>
                <w:noProof/>
                <w:color w:val="000000"/>
                <w:sz w:val="20"/>
                <w:szCs w:val="20"/>
              </w:rPr>
            </w:pPr>
            <w:r>
              <w:rPr>
                <w:noProof/>
                <w:color w:val="000000"/>
                <w:sz w:val="20"/>
                <w:szCs w:val="20"/>
              </w:rPr>
              <w:t>11.7</w:t>
            </w:r>
          </w:p>
        </w:tc>
        <w:tc>
          <w:tcPr>
            <w:tcW w:w="506" w:type="pct"/>
            <w:tcBorders>
              <w:top w:val="nil"/>
              <w:left w:val="nil"/>
              <w:bottom w:val="single" w:sz="4" w:space="0" w:color="auto"/>
              <w:right w:val="single" w:sz="4" w:space="0" w:color="auto"/>
            </w:tcBorders>
            <w:shd w:val="clear" w:color="000000" w:fill="FFFFFF"/>
            <w:noWrap/>
            <w:hideMark/>
          </w:tcPr>
          <w:p w14:paraId="6108407C" w14:textId="77777777" w:rsidR="005E265C" w:rsidRDefault="005E265C">
            <w:pPr>
              <w:jc w:val="right"/>
              <w:rPr>
                <w:noProof/>
                <w:color w:val="000000"/>
                <w:sz w:val="20"/>
                <w:szCs w:val="20"/>
              </w:rPr>
            </w:pPr>
            <w:r>
              <w:rPr>
                <w:noProof/>
                <w:color w:val="000000"/>
                <w:sz w:val="20"/>
                <w:szCs w:val="20"/>
              </w:rPr>
              <w:t>12.3</w:t>
            </w:r>
          </w:p>
        </w:tc>
      </w:tr>
      <w:tr w:rsidR="00807EE8" w14:paraId="40B22D78" w14:textId="77777777" w:rsidTr="00807EE8">
        <w:trPr>
          <w:trHeight w:val="282"/>
        </w:trPr>
        <w:tc>
          <w:tcPr>
            <w:tcW w:w="2975" w:type="pct"/>
            <w:tcBorders>
              <w:top w:val="nil"/>
              <w:left w:val="single" w:sz="4" w:space="0" w:color="auto"/>
              <w:bottom w:val="single" w:sz="4" w:space="0" w:color="auto"/>
              <w:right w:val="single" w:sz="4" w:space="0" w:color="auto"/>
            </w:tcBorders>
            <w:shd w:val="clear" w:color="000000" w:fill="F2F2F2"/>
            <w:noWrap/>
            <w:hideMark/>
          </w:tcPr>
          <w:p w14:paraId="290F3076" w14:textId="77777777" w:rsidR="005E265C" w:rsidRDefault="005E265C">
            <w:pPr>
              <w:rPr>
                <w:b/>
                <w:bCs/>
                <w:noProof/>
                <w:color w:val="000000"/>
                <w:sz w:val="20"/>
                <w:szCs w:val="20"/>
              </w:rPr>
            </w:pPr>
            <w:r>
              <w:rPr>
                <w:b/>
                <w:bCs/>
                <w:noProof/>
                <w:color w:val="000000"/>
                <w:sz w:val="20"/>
                <w:szCs w:val="20"/>
              </w:rPr>
              <w:t>Net costs (-) or net benefits (+)</w:t>
            </w:r>
          </w:p>
        </w:tc>
        <w:tc>
          <w:tcPr>
            <w:tcW w:w="506" w:type="pct"/>
            <w:tcBorders>
              <w:top w:val="nil"/>
              <w:left w:val="nil"/>
              <w:bottom w:val="single" w:sz="4" w:space="0" w:color="auto"/>
              <w:right w:val="single" w:sz="4" w:space="0" w:color="auto"/>
            </w:tcBorders>
            <w:shd w:val="clear" w:color="000000" w:fill="F2F2F2"/>
            <w:noWrap/>
            <w:hideMark/>
          </w:tcPr>
          <w:p w14:paraId="46C2F8B5" w14:textId="77777777" w:rsidR="005E265C" w:rsidRDefault="005E265C">
            <w:pPr>
              <w:jc w:val="right"/>
              <w:rPr>
                <w:b/>
                <w:bCs/>
                <w:noProof/>
                <w:color w:val="000000"/>
                <w:sz w:val="20"/>
                <w:szCs w:val="20"/>
              </w:rPr>
            </w:pPr>
            <w:r>
              <w:rPr>
                <w:b/>
                <w:bCs/>
                <w:noProof/>
                <w:color w:val="000000"/>
                <w:sz w:val="20"/>
                <w:szCs w:val="20"/>
              </w:rPr>
              <w:t>-80.4</w:t>
            </w:r>
          </w:p>
        </w:tc>
        <w:tc>
          <w:tcPr>
            <w:tcW w:w="506" w:type="pct"/>
            <w:tcBorders>
              <w:top w:val="nil"/>
              <w:left w:val="nil"/>
              <w:bottom w:val="single" w:sz="4" w:space="0" w:color="auto"/>
              <w:right w:val="single" w:sz="4" w:space="0" w:color="auto"/>
            </w:tcBorders>
            <w:shd w:val="clear" w:color="000000" w:fill="F2F2F2"/>
            <w:noWrap/>
            <w:hideMark/>
          </w:tcPr>
          <w:p w14:paraId="40CC096D" w14:textId="77777777" w:rsidR="005E265C" w:rsidRDefault="005E265C">
            <w:pPr>
              <w:jc w:val="right"/>
              <w:rPr>
                <w:b/>
                <w:bCs/>
                <w:noProof/>
                <w:color w:val="000000"/>
                <w:sz w:val="20"/>
                <w:szCs w:val="20"/>
              </w:rPr>
            </w:pPr>
            <w:r>
              <w:rPr>
                <w:b/>
                <w:bCs/>
                <w:noProof/>
                <w:color w:val="000000"/>
                <w:sz w:val="20"/>
                <w:szCs w:val="20"/>
              </w:rPr>
              <w:t>20.9</w:t>
            </w:r>
          </w:p>
        </w:tc>
        <w:tc>
          <w:tcPr>
            <w:tcW w:w="506" w:type="pct"/>
            <w:tcBorders>
              <w:top w:val="nil"/>
              <w:left w:val="nil"/>
              <w:bottom w:val="single" w:sz="4" w:space="0" w:color="auto"/>
              <w:right w:val="single" w:sz="4" w:space="0" w:color="auto"/>
            </w:tcBorders>
            <w:shd w:val="clear" w:color="000000" w:fill="F2F2F2"/>
            <w:noWrap/>
            <w:hideMark/>
          </w:tcPr>
          <w:p w14:paraId="6E9273FC" w14:textId="77777777" w:rsidR="005E265C" w:rsidRDefault="005E265C">
            <w:pPr>
              <w:jc w:val="right"/>
              <w:rPr>
                <w:b/>
                <w:bCs/>
                <w:noProof/>
                <w:color w:val="000000"/>
                <w:sz w:val="20"/>
                <w:szCs w:val="20"/>
              </w:rPr>
            </w:pPr>
            <w:r>
              <w:rPr>
                <w:b/>
                <w:bCs/>
                <w:noProof/>
                <w:color w:val="000000"/>
                <w:sz w:val="20"/>
                <w:szCs w:val="20"/>
              </w:rPr>
              <w:t>11.3</w:t>
            </w:r>
          </w:p>
        </w:tc>
        <w:tc>
          <w:tcPr>
            <w:tcW w:w="506" w:type="pct"/>
            <w:tcBorders>
              <w:top w:val="nil"/>
              <w:left w:val="nil"/>
              <w:bottom w:val="single" w:sz="4" w:space="0" w:color="auto"/>
              <w:right w:val="single" w:sz="4" w:space="0" w:color="auto"/>
            </w:tcBorders>
            <w:shd w:val="clear" w:color="000000" w:fill="F2F2F2"/>
            <w:noWrap/>
            <w:hideMark/>
          </w:tcPr>
          <w:p w14:paraId="03787F24" w14:textId="77777777" w:rsidR="005E265C" w:rsidRDefault="005E265C">
            <w:pPr>
              <w:jc w:val="right"/>
              <w:rPr>
                <w:b/>
                <w:bCs/>
                <w:noProof/>
                <w:color w:val="000000"/>
                <w:sz w:val="20"/>
                <w:szCs w:val="20"/>
              </w:rPr>
            </w:pPr>
            <w:r>
              <w:rPr>
                <w:b/>
                <w:bCs/>
                <w:noProof/>
                <w:color w:val="000000"/>
                <w:sz w:val="20"/>
                <w:szCs w:val="20"/>
              </w:rPr>
              <w:t>-140.0</w:t>
            </w:r>
          </w:p>
        </w:tc>
      </w:tr>
    </w:tbl>
    <w:p w14:paraId="7355E970" w14:textId="77777777" w:rsidR="00BE3023" w:rsidRPr="00D71008" w:rsidRDefault="00BE3023" w:rsidP="00453233">
      <w:pPr>
        <w:keepNext/>
        <w:widowControl w:val="0"/>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3AC90C7E" w14:textId="04BA72E4" w:rsidR="00246D13" w:rsidRDefault="00246D13" w:rsidP="00453233">
      <w:pPr>
        <w:pStyle w:val="Text2"/>
        <w:keepNext w:val="0"/>
        <w:widowControl w:val="0"/>
        <w:spacing w:after="0"/>
        <w:ind w:left="0"/>
        <w:rPr>
          <w:rFonts w:cs="Times New Roman"/>
          <w:i/>
          <w:noProof/>
          <w:sz w:val="22"/>
          <w:szCs w:val="22"/>
        </w:rPr>
      </w:pPr>
      <w:bookmarkStart w:id="127" w:name="_Ref222927339"/>
      <w:bookmarkStart w:id="128" w:name="_Ref222927405"/>
      <w:r w:rsidRPr="006333F0">
        <w:rPr>
          <w:rFonts w:cs="Times New Roman"/>
          <w:i/>
          <w:noProof/>
          <w:sz w:val="22"/>
          <w:szCs w:val="22"/>
        </w:rPr>
        <w:t>Table</w:t>
      </w:r>
      <w:bookmarkEnd w:id="127"/>
      <w:r w:rsidRPr="006333F0">
        <w:rPr>
          <w:rFonts w:cs="Times New Roman"/>
          <w:i/>
          <w:noProof/>
          <w:sz w:val="22"/>
          <w:szCs w:val="22"/>
        </w:rPr>
        <w:t xml:space="preserve"> </w:t>
      </w:r>
      <w:r w:rsidRPr="006333F0">
        <w:rPr>
          <w:rFonts w:cs="Times New Roman"/>
          <w:i/>
          <w:iCs/>
          <w:noProof/>
          <w:sz w:val="22"/>
          <w:szCs w:val="22"/>
        </w:rPr>
        <w:fldChar w:fldCharType="begin"/>
      </w:r>
      <w:r w:rsidRPr="006333F0">
        <w:rPr>
          <w:rFonts w:cs="Times New Roman"/>
          <w:i/>
          <w:iCs/>
          <w:noProof/>
          <w:sz w:val="22"/>
          <w:szCs w:val="22"/>
        </w:rPr>
        <w:instrText xml:space="preserve"> SEQ Table \* ARABIC </w:instrText>
      </w:r>
      <w:r w:rsidRPr="006333F0">
        <w:rPr>
          <w:rFonts w:cs="Times New Roman"/>
          <w:i/>
          <w:iCs/>
          <w:noProof/>
          <w:sz w:val="22"/>
          <w:szCs w:val="22"/>
        </w:rPr>
        <w:fldChar w:fldCharType="separate"/>
      </w:r>
      <w:r w:rsidR="0055391F">
        <w:rPr>
          <w:rFonts w:cs="Times New Roman"/>
          <w:i/>
          <w:iCs/>
          <w:noProof/>
          <w:sz w:val="22"/>
          <w:szCs w:val="22"/>
        </w:rPr>
        <w:t>4</w:t>
      </w:r>
      <w:r w:rsidRPr="006333F0">
        <w:rPr>
          <w:rFonts w:cs="Times New Roman"/>
          <w:i/>
          <w:iCs/>
          <w:noProof/>
          <w:sz w:val="22"/>
          <w:szCs w:val="22"/>
        </w:rPr>
        <w:fldChar w:fldCharType="end"/>
      </w:r>
      <w:bookmarkEnd w:id="128"/>
      <w:r w:rsidRPr="006333F0">
        <w:rPr>
          <w:rFonts w:cs="Times New Roman"/>
          <w:i/>
          <w:noProof/>
          <w:sz w:val="22"/>
          <w:szCs w:val="22"/>
        </w:rPr>
        <w:t xml:space="preserve">: One-off costs for MDMS </w:t>
      </w:r>
      <w:r>
        <w:rPr>
          <w:rFonts w:cs="Times New Roman"/>
          <w:i/>
          <w:noProof/>
          <w:sz w:val="22"/>
          <w:szCs w:val="22"/>
        </w:rPr>
        <w:t>platforms</w:t>
      </w:r>
      <w:r w:rsidRPr="006333F0">
        <w:rPr>
          <w:rFonts w:cs="Times New Roman"/>
          <w:i/>
          <w:noProof/>
          <w:sz w:val="22"/>
          <w:szCs w:val="22"/>
        </w:rPr>
        <w:t xml:space="preserve"> in the POs relative to the baseline (EU27),</w:t>
      </w:r>
      <w:r>
        <w:rPr>
          <w:rFonts w:cs="Times New Roman"/>
          <w:i/>
          <w:noProof/>
          <w:sz w:val="22"/>
          <w:szCs w:val="22"/>
        </w:rPr>
        <w:t xml:space="preserve"> expressed as present value over 2028-2050,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p>
    <w:tbl>
      <w:tblPr>
        <w:tblW w:w="5000" w:type="pct"/>
        <w:tblLook w:val="04A0" w:firstRow="1" w:lastRow="0" w:firstColumn="1" w:lastColumn="0" w:noHBand="0" w:noVBand="1"/>
      </w:tblPr>
      <w:tblGrid>
        <w:gridCol w:w="5713"/>
        <w:gridCol w:w="972"/>
        <w:gridCol w:w="972"/>
        <w:gridCol w:w="972"/>
        <w:gridCol w:w="974"/>
      </w:tblGrid>
      <w:tr w:rsidR="005D598D" w14:paraId="721DB975" w14:textId="77777777" w:rsidTr="005D598D">
        <w:trPr>
          <w:trHeight w:val="282"/>
          <w:tblHeader/>
        </w:trPr>
        <w:tc>
          <w:tcPr>
            <w:tcW w:w="2975" w:type="pct"/>
            <w:vMerge w:val="restart"/>
            <w:tcBorders>
              <w:top w:val="single" w:sz="4" w:space="0" w:color="auto"/>
              <w:left w:val="single" w:sz="4" w:space="0" w:color="auto"/>
              <w:bottom w:val="single" w:sz="4" w:space="0" w:color="000000"/>
              <w:right w:val="single" w:sz="4" w:space="0" w:color="auto"/>
            </w:tcBorders>
            <w:shd w:val="clear" w:color="000000" w:fill="0070C0"/>
            <w:hideMark/>
          </w:tcPr>
          <w:p w14:paraId="3CECC864" w14:textId="77777777" w:rsidR="005D598D" w:rsidRDefault="005D598D">
            <w:pPr>
              <w:jc w:val="center"/>
              <w:rPr>
                <w:b/>
                <w:bCs/>
                <w:noProof/>
                <w:color w:val="FFFFFF"/>
                <w:sz w:val="20"/>
                <w:szCs w:val="20"/>
              </w:rPr>
            </w:pPr>
            <w:r>
              <w:rPr>
                <w:b/>
                <w:bCs/>
                <w:noProof/>
                <w:color w:val="FFFFFF"/>
                <w:sz w:val="20"/>
                <w:szCs w:val="20"/>
              </w:rPr>
              <w:t> </w:t>
            </w:r>
          </w:p>
        </w:tc>
        <w:tc>
          <w:tcPr>
            <w:tcW w:w="2025" w:type="pct"/>
            <w:gridSpan w:val="4"/>
            <w:tcBorders>
              <w:top w:val="single" w:sz="4" w:space="0" w:color="auto"/>
              <w:left w:val="nil"/>
              <w:bottom w:val="single" w:sz="4" w:space="0" w:color="auto"/>
              <w:right w:val="single" w:sz="4" w:space="0" w:color="000000"/>
            </w:tcBorders>
            <w:shd w:val="clear" w:color="000000" w:fill="0070C0"/>
            <w:hideMark/>
          </w:tcPr>
          <w:p w14:paraId="62D074CD" w14:textId="77777777" w:rsidR="005D598D" w:rsidRDefault="005D598D">
            <w:pPr>
              <w:jc w:val="center"/>
              <w:rPr>
                <w:b/>
                <w:bCs/>
                <w:noProof/>
                <w:color w:val="FFFFFF"/>
                <w:sz w:val="20"/>
                <w:szCs w:val="20"/>
              </w:rPr>
            </w:pPr>
            <w:r>
              <w:rPr>
                <w:b/>
                <w:bCs/>
                <w:noProof/>
                <w:color w:val="FFFFFF"/>
                <w:sz w:val="20"/>
                <w:szCs w:val="20"/>
              </w:rPr>
              <w:t>Difference to baseline</w:t>
            </w:r>
          </w:p>
        </w:tc>
      </w:tr>
      <w:tr w:rsidR="005D598D" w14:paraId="211EACC0" w14:textId="77777777" w:rsidTr="005D598D">
        <w:trPr>
          <w:trHeight w:val="282"/>
          <w:tblHeader/>
        </w:trPr>
        <w:tc>
          <w:tcPr>
            <w:tcW w:w="2975" w:type="pct"/>
            <w:vMerge/>
            <w:tcBorders>
              <w:top w:val="single" w:sz="4" w:space="0" w:color="auto"/>
              <w:left w:val="single" w:sz="4" w:space="0" w:color="auto"/>
              <w:bottom w:val="single" w:sz="4" w:space="0" w:color="000000"/>
              <w:right w:val="single" w:sz="4" w:space="0" w:color="auto"/>
            </w:tcBorders>
            <w:hideMark/>
          </w:tcPr>
          <w:p w14:paraId="7960A74D" w14:textId="77777777" w:rsidR="005D598D" w:rsidRDefault="005D598D">
            <w:pPr>
              <w:rPr>
                <w:b/>
                <w:bCs/>
                <w:noProof/>
                <w:color w:val="FFFFFF"/>
                <w:sz w:val="20"/>
                <w:szCs w:val="20"/>
              </w:rPr>
            </w:pPr>
          </w:p>
        </w:tc>
        <w:tc>
          <w:tcPr>
            <w:tcW w:w="506" w:type="pct"/>
            <w:tcBorders>
              <w:top w:val="nil"/>
              <w:left w:val="nil"/>
              <w:bottom w:val="single" w:sz="4" w:space="0" w:color="auto"/>
              <w:right w:val="single" w:sz="4" w:space="0" w:color="auto"/>
            </w:tcBorders>
            <w:shd w:val="clear" w:color="000000" w:fill="0070C0"/>
            <w:hideMark/>
          </w:tcPr>
          <w:p w14:paraId="0BFF2119" w14:textId="77777777" w:rsidR="005D598D" w:rsidRDefault="005D598D">
            <w:pPr>
              <w:jc w:val="center"/>
              <w:rPr>
                <w:b/>
                <w:bCs/>
                <w:noProof/>
                <w:color w:val="FFFFFF"/>
                <w:sz w:val="20"/>
                <w:szCs w:val="20"/>
              </w:rPr>
            </w:pPr>
            <w:r>
              <w:rPr>
                <w:b/>
                <w:bCs/>
                <w:noProof/>
                <w:color w:val="FFFFFF"/>
                <w:sz w:val="20"/>
                <w:szCs w:val="20"/>
              </w:rPr>
              <w:t>PO1</w:t>
            </w:r>
          </w:p>
        </w:tc>
        <w:tc>
          <w:tcPr>
            <w:tcW w:w="506" w:type="pct"/>
            <w:tcBorders>
              <w:top w:val="nil"/>
              <w:left w:val="nil"/>
              <w:bottom w:val="single" w:sz="4" w:space="0" w:color="auto"/>
              <w:right w:val="single" w:sz="4" w:space="0" w:color="auto"/>
            </w:tcBorders>
            <w:shd w:val="clear" w:color="000000" w:fill="0070C0"/>
            <w:hideMark/>
          </w:tcPr>
          <w:p w14:paraId="55A573C1" w14:textId="77777777" w:rsidR="005D598D" w:rsidRDefault="005D598D">
            <w:pPr>
              <w:jc w:val="center"/>
              <w:rPr>
                <w:b/>
                <w:bCs/>
                <w:noProof/>
                <w:color w:val="FFFFFF"/>
                <w:sz w:val="20"/>
                <w:szCs w:val="20"/>
              </w:rPr>
            </w:pPr>
            <w:r>
              <w:rPr>
                <w:b/>
                <w:bCs/>
                <w:noProof/>
                <w:color w:val="FFFFFF"/>
                <w:sz w:val="20"/>
                <w:szCs w:val="20"/>
              </w:rPr>
              <w:t>PO2</w:t>
            </w:r>
          </w:p>
        </w:tc>
        <w:tc>
          <w:tcPr>
            <w:tcW w:w="506" w:type="pct"/>
            <w:tcBorders>
              <w:top w:val="nil"/>
              <w:left w:val="nil"/>
              <w:bottom w:val="single" w:sz="4" w:space="0" w:color="auto"/>
              <w:right w:val="single" w:sz="4" w:space="0" w:color="auto"/>
            </w:tcBorders>
            <w:shd w:val="clear" w:color="000000" w:fill="0070C0"/>
            <w:hideMark/>
          </w:tcPr>
          <w:p w14:paraId="47568B61" w14:textId="77777777" w:rsidR="005D598D" w:rsidRDefault="005D598D">
            <w:pPr>
              <w:jc w:val="center"/>
              <w:rPr>
                <w:b/>
                <w:bCs/>
                <w:noProof/>
                <w:color w:val="FFFFFF"/>
                <w:sz w:val="20"/>
                <w:szCs w:val="20"/>
              </w:rPr>
            </w:pPr>
            <w:r>
              <w:rPr>
                <w:b/>
                <w:bCs/>
                <w:noProof/>
                <w:color w:val="FFFFFF"/>
                <w:sz w:val="20"/>
                <w:szCs w:val="20"/>
              </w:rPr>
              <w:t>PO3</w:t>
            </w:r>
          </w:p>
        </w:tc>
        <w:tc>
          <w:tcPr>
            <w:tcW w:w="506" w:type="pct"/>
            <w:tcBorders>
              <w:top w:val="nil"/>
              <w:left w:val="nil"/>
              <w:bottom w:val="single" w:sz="4" w:space="0" w:color="auto"/>
              <w:right w:val="single" w:sz="4" w:space="0" w:color="auto"/>
            </w:tcBorders>
            <w:shd w:val="clear" w:color="000000" w:fill="0070C0"/>
            <w:hideMark/>
          </w:tcPr>
          <w:p w14:paraId="5E2DE107" w14:textId="77777777" w:rsidR="005D598D" w:rsidRDefault="005D598D">
            <w:pPr>
              <w:jc w:val="center"/>
              <w:rPr>
                <w:b/>
                <w:bCs/>
                <w:noProof/>
                <w:color w:val="FFFFFF"/>
                <w:sz w:val="20"/>
                <w:szCs w:val="20"/>
              </w:rPr>
            </w:pPr>
            <w:r>
              <w:rPr>
                <w:b/>
                <w:bCs/>
                <w:noProof/>
                <w:color w:val="FFFFFF"/>
                <w:sz w:val="20"/>
                <w:szCs w:val="20"/>
              </w:rPr>
              <w:t>PO4</w:t>
            </w:r>
          </w:p>
        </w:tc>
      </w:tr>
      <w:tr w:rsidR="005D598D" w14:paraId="5F9C701F" w14:textId="77777777" w:rsidTr="005D598D">
        <w:trPr>
          <w:trHeight w:val="282"/>
        </w:trPr>
        <w:tc>
          <w:tcPr>
            <w:tcW w:w="2975" w:type="pct"/>
            <w:tcBorders>
              <w:top w:val="nil"/>
              <w:left w:val="single" w:sz="4" w:space="0" w:color="auto"/>
              <w:bottom w:val="single" w:sz="4" w:space="0" w:color="auto"/>
              <w:right w:val="single" w:sz="4" w:space="0" w:color="auto"/>
            </w:tcBorders>
            <w:shd w:val="clear" w:color="000000" w:fill="BDE3FF"/>
            <w:hideMark/>
          </w:tcPr>
          <w:p w14:paraId="30D6081C" w14:textId="77777777" w:rsidR="005D598D" w:rsidRDefault="005D598D">
            <w:pPr>
              <w:rPr>
                <w:b/>
                <w:bCs/>
                <w:noProof/>
                <w:sz w:val="20"/>
                <w:szCs w:val="20"/>
              </w:rPr>
            </w:pPr>
            <w:r>
              <w:rPr>
                <w:b/>
                <w:bCs/>
                <w:noProof/>
                <w:sz w:val="20"/>
                <w:szCs w:val="20"/>
              </w:rPr>
              <w:t>Adjustment costs</w:t>
            </w:r>
          </w:p>
        </w:tc>
        <w:tc>
          <w:tcPr>
            <w:tcW w:w="506" w:type="pct"/>
            <w:tcBorders>
              <w:top w:val="nil"/>
              <w:left w:val="nil"/>
              <w:bottom w:val="single" w:sz="4" w:space="0" w:color="auto"/>
              <w:right w:val="single" w:sz="4" w:space="0" w:color="auto"/>
            </w:tcBorders>
            <w:shd w:val="clear" w:color="000000" w:fill="BDE3FF"/>
            <w:hideMark/>
          </w:tcPr>
          <w:p w14:paraId="1E01E328" w14:textId="77777777" w:rsidR="005D598D" w:rsidRDefault="005D598D">
            <w:pPr>
              <w:jc w:val="right"/>
              <w:rPr>
                <w:b/>
                <w:bCs/>
                <w:noProof/>
                <w:sz w:val="20"/>
                <w:szCs w:val="20"/>
              </w:rPr>
            </w:pPr>
            <w:r>
              <w:rPr>
                <w:b/>
                <w:bCs/>
                <w:noProof/>
                <w:sz w:val="20"/>
                <w:szCs w:val="20"/>
              </w:rPr>
              <w:t>36.5</w:t>
            </w:r>
          </w:p>
        </w:tc>
        <w:tc>
          <w:tcPr>
            <w:tcW w:w="506" w:type="pct"/>
            <w:tcBorders>
              <w:top w:val="nil"/>
              <w:left w:val="nil"/>
              <w:bottom w:val="single" w:sz="4" w:space="0" w:color="auto"/>
              <w:right w:val="single" w:sz="4" w:space="0" w:color="auto"/>
            </w:tcBorders>
            <w:shd w:val="clear" w:color="000000" w:fill="BDE3FF"/>
            <w:hideMark/>
          </w:tcPr>
          <w:p w14:paraId="497425DC" w14:textId="77777777" w:rsidR="005D598D" w:rsidRDefault="005D598D">
            <w:pPr>
              <w:jc w:val="right"/>
              <w:rPr>
                <w:b/>
                <w:bCs/>
                <w:noProof/>
                <w:sz w:val="20"/>
                <w:szCs w:val="20"/>
              </w:rPr>
            </w:pPr>
            <w:r>
              <w:rPr>
                <w:b/>
                <w:bCs/>
                <w:noProof/>
                <w:sz w:val="20"/>
                <w:szCs w:val="20"/>
              </w:rPr>
              <w:t>52.8</w:t>
            </w:r>
          </w:p>
        </w:tc>
        <w:tc>
          <w:tcPr>
            <w:tcW w:w="506" w:type="pct"/>
            <w:tcBorders>
              <w:top w:val="nil"/>
              <w:left w:val="nil"/>
              <w:bottom w:val="single" w:sz="4" w:space="0" w:color="auto"/>
              <w:right w:val="single" w:sz="4" w:space="0" w:color="auto"/>
            </w:tcBorders>
            <w:shd w:val="clear" w:color="000000" w:fill="BDE3FF"/>
            <w:hideMark/>
          </w:tcPr>
          <w:p w14:paraId="07DD48D5" w14:textId="77777777" w:rsidR="005D598D" w:rsidRDefault="005D598D">
            <w:pPr>
              <w:jc w:val="right"/>
              <w:rPr>
                <w:b/>
                <w:bCs/>
                <w:noProof/>
                <w:sz w:val="20"/>
                <w:szCs w:val="20"/>
              </w:rPr>
            </w:pPr>
            <w:r>
              <w:rPr>
                <w:b/>
                <w:bCs/>
                <w:noProof/>
                <w:sz w:val="20"/>
                <w:szCs w:val="20"/>
              </w:rPr>
              <w:t>50.1</w:t>
            </w:r>
          </w:p>
        </w:tc>
        <w:tc>
          <w:tcPr>
            <w:tcW w:w="506" w:type="pct"/>
            <w:tcBorders>
              <w:top w:val="nil"/>
              <w:left w:val="nil"/>
              <w:bottom w:val="single" w:sz="4" w:space="0" w:color="auto"/>
              <w:right w:val="single" w:sz="4" w:space="0" w:color="auto"/>
            </w:tcBorders>
            <w:shd w:val="clear" w:color="000000" w:fill="BDE3FF"/>
            <w:hideMark/>
          </w:tcPr>
          <w:p w14:paraId="4F3FDA09" w14:textId="77777777" w:rsidR="005D598D" w:rsidRDefault="005D598D">
            <w:pPr>
              <w:jc w:val="right"/>
              <w:rPr>
                <w:b/>
                <w:bCs/>
                <w:noProof/>
                <w:sz w:val="20"/>
                <w:szCs w:val="20"/>
              </w:rPr>
            </w:pPr>
            <w:r>
              <w:rPr>
                <w:b/>
                <w:bCs/>
                <w:noProof/>
                <w:sz w:val="20"/>
                <w:szCs w:val="20"/>
              </w:rPr>
              <w:t>208.9</w:t>
            </w:r>
          </w:p>
        </w:tc>
      </w:tr>
      <w:tr w:rsidR="005D598D" w14:paraId="18BBBE6E" w14:textId="77777777" w:rsidTr="005D598D">
        <w:trPr>
          <w:trHeight w:val="282"/>
        </w:trPr>
        <w:tc>
          <w:tcPr>
            <w:tcW w:w="2975" w:type="pct"/>
            <w:tcBorders>
              <w:top w:val="nil"/>
              <w:left w:val="single" w:sz="4" w:space="0" w:color="auto"/>
              <w:bottom w:val="single" w:sz="4" w:space="0" w:color="auto"/>
              <w:right w:val="single" w:sz="4" w:space="0" w:color="auto"/>
            </w:tcBorders>
            <w:shd w:val="clear" w:color="000000" w:fill="FFFFFF"/>
            <w:noWrap/>
            <w:hideMark/>
          </w:tcPr>
          <w:p w14:paraId="0F8641D6" w14:textId="77777777" w:rsidR="005D598D" w:rsidRDefault="005D598D">
            <w:pPr>
              <w:rPr>
                <w:noProof/>
                <w:color w:val="000000"/>
                <w:sz w:val="20"/>
                <w:szCs w:val="20"/>
              </w:rPr>
            </w:pPr>
            <w:r>
              <w:rPr>
                <w:noProof/>
                <w:color w:val="000000"/>
                <w:sz w:val="20"/>
                <w:szCs w:val="20"/>
              </w:rPr>
              <w:t>PM1 (Neutral display)</w:t>
            </w:r>
          </w:p>
        </w:tc>
        <w:tc>
          <w:tcPr>
            <w:tcW w:w="506" w:type="pct"/>
            <w:tcBorders>
              <w:top w:val="nil"/>
              <w:left w:val="nil"/>
              <w:bottom w:val="single" w:sz="4" w:space="0" w:color="auto"/>
              <w:right w:val="single" w:sz="4" w:space="0" w:color="auto"/>
            </w:tcBorders>
            <w:shd w:val="clear" w:color="000000" w:fill="FFFFFF"/>
            <w:noWrap/>
            <w:hideMark/>
          </w:tcPr>
          <w:p w14:paraId="2C9869CA" w14:textId="77777777" w:rsidR="005D598D" w:rsidRDefault="005D598D">
            <w:pPr>
              <w:jc w:val="right"/>
              <w:rPr>
                <w:noProof/>
                <w:color w:val="000000"/>
                <w:sz w:val="20"/>
                <w:szCs w:val="20"/>
              </w:rPr>
            </w:pPr>
            <w:r>
              <w:rPr>
                <w:noProof/>
                <w:color w:val="000000"/>
                <w:sz w:val="20"/>
                <w:szCs w:val="20"/>
              </w:rPr>
              <w:t>4.7</w:t>
            </w:r>
          </w:p>
        </w:tc>
        <w:tc>
          <w:tcPr>
            <w:tcW w:w="506" w:type="pct"/>
            <w:tcBorders>
              <w:top w:val="nil"/>
              <w:left w:val="nil"/>
              <w:bottom w:val="single" w:sz="4" w:space="0" w:color="auto"/>
              <w:right w:val="single" w:sz="4" w:space="0" w:color="auto"/>
            </w:tcBorders>
            <w:shd w:val="clear" w:color="000000" w:fill="FFFFFF"/>
            <w:noWrap/>
            <w:hideMark/>
          </w:tcPr>
          <w:p w14:paraId="6E1F22F4" w14:textId="77777777" w:rsidR="005D598D" w:rsidRDefault="005D598D">
            <w:pPr>
              <w:jc w:val="right"/>
              <w:rPr>
                <w:noProof/>
                <w:color w:val="000000"/>
                <w:sz w:val="20"/>
                <w:szCs w:val="20"/>
              </w:rPr>
            </w:pPr>
            <w:r>
              <w:rPr>
                <w:noProof/>
                <w:color w:val="000000"/>
                <w:sz w:val="20"/>
                <w:szCs w:val="20"/>
              </w:rPr>
              <w:t>6.9</w:t>
            </w:r>
          </w:p>
        </w:tc>
        <w:tc>
          <w:tcPr>
            <w:tcW w:w="506" w:type="pct"/>
            <w:tcBorders>
              <w:top w:val="nil"/>
              <w:left w:val="nil"/>
              <w:bottom w:val="single" w:sz="4" w:space="0" w:color="auto"/>
              <w:right w:val="single" w:sz="4" w:space="0" w:color="auto"/>
            </w:tcBorders>
            <w:shd w:val="clear" w:color="000000" w:fill="FFFFFF"/>
            <w:noWrap/>
            <w:hideMark/>
          </w:tcPr>
          <w:p w14:paraId="3B8CC9CD" w14:textId="77777777" w:rsidR="005D598D" w:rsidRDefault="005D598D">
            <w:pPr>
              <w:jc w:val="right"/>
              <w:rPr>
                <w:noProof/>
                <w:color w:val="000000"/>
                <w:sz w:val="20"/>
                <w:szCs w:val="20"/>
              </w:rPr>
            </w:pPr>
            <w:r>
              <w:rPr>
                <w:noProof/>
                <w:color w:val="000000"/>
                <w:sz w:val="20"/>
                <w:szCs w:val="20"/>
              </w:rPr>
              <w:t>6.4</w:t>
            </w:r>
          </w:p>
        </w:tc>
        <w:tc>
          <w:tcPr>
            <w:tcW w:w="506" w:type="pct"/>
            <w:tcBorders>
              <w:top w:val="nil"/>
              <w:left w:val="nil"/>
              <w:bottom w:val="single" w:sz="4" w:space="0" w:color="auto"/>
              <w:right w:val="single" w:sz="4" w:space="0" w:color="auto"/>
            </w:tcBorders>
            <w:shd w:val="clear" w:color="000000" w:fill="FFFFFF"/>
            <w:noWrap/>
            <w:hideMark/>
          </w:tcPr>
          <w:p w14:paraId="23268B53" w14:textId="77777777" w:rsidR="005D598D" w:rsidRDefault="005D598D">
            <w:pPr>
              <w:jc w:val="right"/>
              <w:rPr>
                <w:noProof/>
                <w:color w:val="000000"/>
                <w:sz w:val="20"/>
                <w:szCs w:val="20"/>
              </w:rPr>
            </w:pPr>
            <w:r>
              <w:rPr>
                <w:noProof/>
                <w:color w:val="000000"/>
                <w:sz w:val="20"/>
                <w:szCs w:val="20"/>
              </w:rPr>
              <w:t>6.6</w:t>
            </w:r>
          </w:p>
        </w:tc>
      </w:tr>
      <w:tr w:rsidR="005D598D" w14:paraId="33003346" w14:textId="77777777" w:rsidTr="005D598D">
        <w:trPr>
          <w:trHeight w:val="282"/>
        </w:trPr>
        <w:tc>
          <w:tcPr>
            <w:tcW w:w="2975" w:type="pct"/>
            <w:tcBorders>
              <w:top w:val="nil"/>
              <w:left w:val="single" w:sz="4" w:space="0" w:color="auto"/>
              <w:bottom w:val="single" w:sz="4" w:space="0" w:color="auto"/>
              <w:right w:val="single" w:sz="4" w:space="0" w:color="auto"/>
            </w:tcBorders>
            <w:shd w:val="clear" w:color="000000" w:fill="FFFFFF"/>
            <w:noWrap/>
            <w:hideMark/>
          </w:tcPr>
          <w:p w14:paraId="75853C2D" w14:textId="77777777" w:rsidR="005D598D" w:rsidRDefault="005D598D">
            <w:pPr>
              <w:rPr>
                <w:noProof/>
                <w:color w:val="000000"/>
                <w:sz w:val="20"/>
                <w:szCs w:val="20"/>
              </w:rPr>
            </w:pPr>
            <w:r>
              <w:rPr>
                <w:noProof/>
                <w:color w:val="000000"/>
                <w:sz w:val="20"/>
                <w:szCs w:val="20"/>
              </w:rPr>
              <w:t>PM2 (Equal care for data)</w:t>
            </w:r>
          </w:p>
        </w:tc>
        <w:tc>
          <w:tcPr>
            <w:tcW w:w="506" w:type="pct"/>
            <w:tcBorders>
              <w:top w:val="nil"/>
              <w:left w:val="nil"/>
              <w:bottom w:val="single" w:sz="4" w:space="0" w:color="auto"/>
              <w:right w:val="single" w:sz="4" w:space="0" w:color="auto"/>
            </w:tcBorders>
            <w:shd w:val="clear" w:color="000000" w:fill="FFFFFF"/>
            <w:noWrap/>
            <w:hideMark/>
          </w:tcPr>
          <w:p w14:paraId="13628FB9" w14:textId="77777777" w:rsidR="005D598D" w:rsidRDefault="005D598D">
            <w:pPr>
              <w:jc w:val="right"/>
              <w:rPr>
                <w:noProof/>
                <w:color w:val="000000"/>
                <w:sz w:val="20"/>
                <w:szCs w:val="20"/>
              </w:rPr>
            </w:pPr>
            <w:r>
              <w:rPr>
                <w:noProof/>
                <w:color w:val="000000"/>
                <w:sz w:val="20"/>
                <w:szCs w:val="20"/>
              </w:rPr>
              <w:t>3.5</w:t>
            </w:r>
          </w:p>
        </w:tc>
        <w:tc>
          <w:tcPr>
            <w:tcW w:w="506" w:type="pct"/>
            <w:tcBorders>
              <w:top w:val="nil"/>
              <w:left w:val="nil"/>
              <w:bottom w:val="single" w:sz="4" w:space="0" w:color="auto"/>
              <w:right w:val="single" w:sz="4" w:space="0" w:color="auto"/>
            </w:tcBorders>
            <w:shd w:val="clear" w:color="000000" w:fill="FFFFFF"/>
            <w:noWrap/>
            <w:hideMark/>
          </w:tcPr>
          <w:p w14:paraId="47306BF9" w14:textId="77777777" w:rsidR="005D598D" w:rsidRDefault="005D598D">
            <w:pPr>
              <w:jc w:val="right"/>
              <w:rPr>
                <w:noProof/>
                <w:color w:val="000000"/>
                <w:sz w:val="20"/>
                <w:szCs w:val="20"/>
              </w:rPr>
            </w:pPr>
            <w:r>
              <w:rPr>
                <w:noProof/>
                <w:color w:val="000000"/>
                <w:sz w:val="20"/>
                <w:szCs w:val="20"/>
              </w:rPr>
              <w:t>5.1</w:t>
            </w:r>
          </w:p>
        </w:tc>
        <w:tc>
          <w:tcPr>
            <w:tcW w:w="506" w:type="pct"/>
            <w:tcBorders>
              <w:top w:val="nil"/>
              <w:left w:val="nil"/>
              <w:bottom w:val="single" w:sz="4" w:space="0" w:color="auto"/>
              <w:right w:val="single" w:sz="4" w:space="0" w:color="auto"/>
            </w:tcBorders>
            <w:shd w:val="clear" w:color="000000" w:fill="FFFFFF"/>
            <w:noWrap/>
            <w:hideMark/>
          </w:tcPr>
          <w:p w14:paraId="27AAF90A" w14:textId="77777777" w:rsidR="005D598D" w:rsidRDefault="005D598D">
            <w:pPr>
              <w:jc w:val="right"/>
              <w:rPr>
                <w:noProof/>
                <w:color w:val="000000"/>
                <w:sz w:val="20"/>
                <w:szCs w:val="20"/>
              </w:rPr>
            </w:pPr>
            <w:r>
              <w:rPr>
                <w:noProof/>
                <w:color w:val="000000"/>
                <w:sz w:val="20"/>
                <w:szCs w:val="20"/>
              </w:rPr>
              <w:t>4.8</w:t>
            </w:r>
          </w:p>
        </w:tc>
        <w:tc>
          <w:tcPr>
            <w:tcW w:w="506" w:type="pct"/>
            <w:tcBorders>
              <w:top w:val="nil"/>
              <w:left w:val="nil"/>
              <w:bottom w:val="single" w:sz="4" w:space="0" w:color="auto"/>
              <w:right w:val="single" w:sz="4" w:space="0" w:color="auto"/>
            </w:tcBorders>
            <w:shd w:val="clear" w:color="000000" w:fill="FFFFFF"/>
            <w:noWrap/>
            <w:hideMark/>
          </w:tcPr>
          <w:p w14:paraId="6520B658" w14:textId="77777777" w:rsidR="005D598D" w:rsidRDefault="005D598D">
            <w:pPr>
              <w:jc w:val="right"/>
              <w:rPr>
                <w:noProof/>
                <w:color w:val="000000"/>
                <w:sz w:val="20"/>
                <w:szCs w:val="20"/>
              </w:rPr>
            </w:pPr>
            <w:r>
              <w:rPr>
                <w:noProof/>
                <w:color w:val="000000"/>
                <w:sz w:val="20"/>
                <w:szCs w:val="20"/>
              </w:rPr>
              <w:t>5.0</w:t>
            </w:r>
          </w:p>
        </w:tc>
      </w:tr>
      <w:tr w:rsidR="005D598D" w14:paraId="7920F317" w14:textId="77777777" w:rsidTr="005D598D">
        <w:trPr>
          <w:trHeight w:val="282"/>
        </w:trPr>
        <w:tc>
          <w:tcPr>
            <w:tcW w:w="2975" w:type="pct"/>
            <w:tcBorders>
              <w:top w:val="nil"/>
              <w:left w:val="single" w:sz="4" w:space="0" w:color="auto"/>
              <w:bottom w:val="single" w:sz="4" w:space="0" w:color="auto"/>
              <w:right w:val="single" w:sz="4" w:space="0" w:color="auto"/>
            </w:tcBorders>
            <w:shd w:val="clear" w:color="000000" w:fill="FFFFFF"/>
            <w:noWrap/>
            <w:hideMark/>
          </w:tcPr>
          <w:p w14:paraId="29BBCE16" w14:textId="77777777" w:rsidR="005D598D" w:rsidRDefault="005D598D">
            <w:pPr>
              <w:rPr>
                <w:noProof/>
                <w:color w:val="000000"/>
                <w:sz w:val="20"/>
                <w:szCs w:val="20"/>
              </w:rPr>
            </w:pPr>
            <w:r>
              <w:rPr>
                <w:noProof/>
                <w:color w:val="000000"/>
                <w:sz w:val="20"/>
                <w:szCs w:val="20"/>
              </w:rPr>
              <w:t>PM3 (Marketing and booking data sharing)</w:t>
            </w:r>
          </w:p>
        </w:tc>
        <w:tc>
          <w:tcPr>
            <w:tcW w:w="506" w:type="pct"/>
            <w:tcBorders>
              <w:top w:val="nil"/>
              <w:left w:val="nil"/>
              <w:bottom w:val="single" w:sz="4" w:space="0" w:color="auto"/>
              <w:right w:val="single" w:sz="4" w:space="0" w:color="auto"/>
            </w:tcBorders>
            <w:shd w:val="clear" w:color="000000" w:fill="FFFFFF"/>
            <w:noWrap/>
            <w:hideMark/>
          </w:tcPr>
          <w:p w14:paraId="24DDEAAD" w14:textId="77777777" w:rsidR="005D598D" w:rsidRDefault="005D598D">
            <w:pPr>
              <w:jc w:val="right"/>
              <w:rPr>
                <w:noProof/>
                <w:color w:val="000000"/>
                <w:sz w:val="20"/>
                <w:szCs w:val="20"/>
              </w:rPr>
            </w:pPr>
            <w:r>
              <w:rPr>
                <w:noProof/>
                <w:color w:val="000000"/>
                <w:sz w:val="20"/>
                <w:szCs w:val="20"/>
              </w:rPr>
              <w:t>2.7</w:t>
            </w:r>
          </w:p>
        </w:tc>
        <w:tc>
          <w:tcPr>
            <w:tcW w:w="506" w:type="pct"/>
            <w:tcBorders>
              <w:top w:val="nil"/>
              <w:left w:val="nil"/>
              <w:bottom w:val="single" w:sz="4" w:space="0" w:color="auto"/>
              <w:right w:val="single" w:sz="4" w:space="0" w:color="auto"/>
            </w:tcBorders>
            <w:shd w:val="clear" w:color="000000" w:fill="FFFFFF"/>
            <w:noWrap/>
            <w:hideMark/>
          </w:tcPr>
          <w:p w14:paraId="7080A9AA" w14:textId="77777777" w:rsidR="005D598D" w:rsidRDefault="005D598D">
            <w:pPr>
              <w:jc w:val="right"/>
              <w:rPr>
                <w:noProof/>
                <w:color w:val="000000"/>
                <w:sz w:val="20"/>
                <w:szCs w:val="20"/>
              </w:rPr>
            </w:pPr>
            <w:r>
              <w:rPr>
                <w:noProof/>
                <w:color w:val="000000"/>
                <w:sz w:val="20"/>
                <w:szCs w:val="20"/>
              </w:rPr>
              <w:t>3.9</w:t>
            </w:r>
          </w:p>
        </w:tc>
        <w:tc>
          <w:tcPr>
            <w:tcW w:w="506" w:type="pct"/>
            <w:tcBorders>
              <w:top w:val="nil"/>
              <w:left w:val="nil"/>
              <w:bottom w:val="single" w:sz="4" w:space="0" w:color="auto"/>
              <w:right w:val="single" w:sz="4" w:space="0" w:color="auto"/>
            </w:tcBorders>
            <w:shd w:val="clear" w:color="000000" w:fill="FFFFFF"/>
            <w:noWrap/>
            <w:hideMark/>
          </w:tcPr>
          <w:p w14:paraId="12F9CF27" w14:textId="77777777" w:rsidR="005D598D" w:rsidRDefault="005D598D">
            <w:pPr>
              <w:jc w:val="right"/>
              <w:rPr>
                <w:noProof/>
                <w:color w:val="000000"/>
                <w:sz w:val="20"/>
                <w:szCs w:val="20"/>
              </w:rPr>
            </w:pPr>
            <w:r>
              <w:rPr>
                <w:noProof/>
                <w:color w:val="000000"/>
                <w:sz w:val="20"/>
                <w:szCs w:val="20"/>
              </w:rPr>
              <w:t>3.7</w:t>
            </w:r>
          </w:p>
        </w:tc>
        <w:tc>
          <w:tcPr>
            <w:tcW w:w="506" w:type="pct"/>
            <w:tcBorders>
              <w:top w:val="nil"/>
              <w:left w:val="nil"/>
              <w:bottom w:val="single" w:sz="4" w:space="0" w:color="auto"/>
              <w:right w:val="single" w:sz="4" w:space="0" w:color="auto"/>
            </w:tcBorders>
            <w:shd w:val="clear" w:color="000000" w:fill="FFFFFF"/>
            <w:noWrap/>
            <w:hideMark/>
          </w:tcPr>
          <w:p w14:paraId="148CD054" w14:textId="77777777" w:rsidR="005D598D" w:rsidRDefault="005D598D">
            <w:pPr>
              <w:jc w:val="right"/>
              <w:rPr>
                <w:noProof/>
                <w:color w:val="000000"/>
                <w:sz w:val="20"/>
                <w:szCs w:val="20"/>
              </w:rPr>
            </w:pPr>
            <w:r>
              <w:rPr>
                <w:noProof/>
                <w:color w:val="000000"/>
                <w:sz w:val="20"/>
                <w:szCs w:val="20"/>
              </w:rPr>
              <w:t>3.8</w:t>
            </w:r>
          </w:p>
        </w:tc>
      </w:tr>
      <w:tr w:rsidR="001047A3" w14:paraId="0A2385AB" w14:textId="77777777" w:rsidTr="005D598D">
        <w:trPr>
          <w:trHeight w:val="282"/>
        </w:trPr>
        <w:tc>
          <w:tcPr>
            <w:tcW w:w="2975" w:type="pct"/>
            <w:tcBorders>
              <w:top w:val="nil"/>
              <w:left w:val="single" w:sz="4" w:space="0" w:color="auto"/>
              <w:bottom w:val="single" w:sz="4" w:space="0" w:color="auto"/>
              <w:right w:val="single" w:sz="4" w:space="0" w:color="auto"/>
            </w:tcBorders>
            <w:noWrap/>
            <w:hideMark/>
          </w:tcPr>
          <w:p w14:paraId="001AABA0" w14:textId="77777777" w:rsidR="005D598D" w:rsidRDefault="005D598D">
            <w:pPr>
              <w:rPr>
                <w:noProof/>
                <w:color w:val="000000"/>
                <w:sz w:val="20"/>
                <w:szCs w:val="20"/>
              </w:rPr>
            </w:pPr>
            <w:r>
              <w:rPr>
                <w:noProof/>
                <w:color w:val="000000"/>
                <w:sz w:val="20"/>
                <w:szCs w:val="20"/>
              </w:rPr>
              <w:t>PM7 (Data for mobility management)</w:t>
            </w:r>
          </w:p>
        </w:tc>
        <w:tc>
          <w:tcPr>
            <w:tcW w:w="506" w:type="pct"/>
            <w:tcBorders>
              <w:top w:val="nil"/>
              <w:left w:val="nil"/>
              <w:bottom w:val="single" w:sz="4" w:space="0" w:color="auto"/>
              <w:right w:val="single" w:sz="4" w:space="0" w:color="auto"/>
            </w:tcBorders>
            <w:shd w:val="clear" w:color="000000" w:fill="FFFFFF"/>
            <w:noWrap/>
            <w:hideMark/>
          </w:tcPr>
          <w:p w14:paraId="1A36CCC1" w14:textId="77777777" w:rsidR="005D598D" w:rsidRDefault="005D598D">
            <w:pPr>
              <w:jc w:val="right"/>
              <w:rPr>
                <w:noProof/>
                <w:color w:val="000000"/>
                <w:sz w:val="20"/>
                <w:szCs w:val="20"/>
              </w:rPr>
            </w:pPr>
            <w:r>
              <w:rPr>
                <w:noProof/>
                <w:color w:val="000000"/>
                <w:sz w:val="20"/>
                <w:szCs w:val="20"/>
              </w:rPr>
              <w:t>20.8</w:t>
            </w:r>
          </w:p>
        </w:tc>
        <w:tc>
          <w:tcPr>
            <w:tcW w:w="506" w:type="pct"/>
            <w:tcBorders>
              <w:top w:val="nil"/>
              <w:left w:val="nil"/>
              <w:bottom w:val="single" w:sz="4" w:space="0" w:color="auto"/>
              <w:right w:val="single" w:sz="4" w:space="0" w:color="auto"/>
            </w:tcBorders>
            <w:shd w:val="clear" w:color="000000" w:fill="FFFFFF"/>
            <w:noWrap/>
            <w:hideMark/>
          </w:tcPr>
          <w:p w14:paraId="4359C15C" w14:textId="77777777" w:rsidR="005D598D" w:rsidRDefault="005D598D">
            <w:pPr>
              <w:jc w:val="right"/>
              <w:rPr>
                <w:noProof/>
                <w:color w:val="000000"/>
                <w:sz w:val="20"/>
                <w:szCs w:val="20"/>
              </w:rPr>
            </w:pPr>
            <w:r>
              <w:rPr>
                <w:noProof/>
                <w:color w:val="000000"/>
                <w:sz w:val="20"/>
                <w:szCs w:val="20"/>
              </w:rPr>
              <w:t>30.0</w:t>
            </w:r>
          </w:p>
        </w:tc>
        <w:tc>
          <w:tcPr>
            <w:tcW w:w="506" w:type="pct"/>
            <w:tcBorders>
              <w:top w:val="nil"/>
              <w:left w:val="nil"/>
              <w:bottom w:val="single" w:sz="4" w:space="0" w:color="auto"/>
              <w:right w:val="single" w:sz="4" w:space="0" w:color="auto"/>
            </w:tcBorders>
            <w:shd w:val="clear" w:color="000000" w:fill="FFFFFF"/>
            <w:noWrap/>
            <w:hideMark/>
          </w:tcPr>
          <w:p w14:paraId="655BC5EF" w14:textId="77777777" w:rsidR="005D598D" w:rsidRDefault="005D598D">
            <w:pPr>
              <w:jc w:val="right"/>
              <w:rPr>
                <w:noProof/>
                <w:color w:val="000000"/>
                <w:sz w:val="20"/>
                <w:szCs w:val="20"/>
              </w:rPr>
            </w:pPr>
            <w:r>
              <w:rPr>
                <w:noProof/>
                <w:color w:val="000000"/>
                <w:sz w:val="20"/>
                <w:szCs w:val="20"/>
              </w:rPr>
              <w:t>28.3</w:t>
            </w:r>
          </w:p>
        </w:tc>
        <w:tc>
          <w:tcPr>
            <w:tcW w:w="506" w:type="pct"/>
            <w:tcBorders>
              <w:top w:val="nil"/>
              <w:left w:val="nil"/>
              <w:bottom w:val="single" w:sz="4" w:space="0" w:color="auto"/>
              <w:right w:val="single" w:sz="4" w:space="0" w:color="auto"/>
            </w:tcBorders>
            <w:shd w:val="clear" w:color="000000" w:fill="FFFFFF"/>
            <w:noWrap/>
            <w:hideMark/>
          </w:tcPr>
          <w:p w14:paraId="0CC55A3D" w14:textId="77777777" w:rsidR="005D598D" w:rsidRDefault="005D598D">
            <w:pPr>
              <w:jc w:val="right"/>
              <w:rPr>
                <w:noProof/>
                <w:color w:val="000000"/>
                <w:sz w:val="20"/>
                <w:szCs w:val="20"/>
              </w:rPr>
            </w:pPr>
            <w:r>
              <w:rPr>
                <w:noProof/>
                <w:color w:val="000000"/>
                <w:sz w:val="20"/>
                <w:szCs w:val="20"/>
              </w:rPr>
              <w:t>29.1</w:t>
            </w:r>
          </w:p>
        </w:tc>
      </w:tr>
      <w:tr w:rsidR="005D598D" w14:paraId="738320F9" w14:textId="77777777" w:rsidTr="005D598D">
        <w:trPr>
          <w:trHeight w:val="282"/>
        </w:trPr>
        <w:tc>
          <w:tcPr>
            <w:tcW w:w="2975" w:type="pct"/>
            <w:tcBorders>
              <w:top w:val="nil"/>
              <w:left w:val="single" w:sz="4" w:space="0" w:color="auto"/>
              <w:bottom w:val="single" w:sz="4" w:space="0" w:color="auto"/>
              <w:right w:val="single" w:sz="4" w:space="0" w:color="auto"/>
            </w:tcBorders>
            <w:hideMark/>
          </w:tcPr>
          <w:p w14:paraId="0FCBAABF" w14:textId="77777777" w:rsidR="005D598D" w:rsidRDefault="005D598D">
            <w:pPr>
              <w:rPr>
                <w:noProof/>
                <w:color w:val="000000"/>
                <w:sz w:val="20"/>
                <w:szCs w:val="20"/>
              </w:rPr>
            </w:pPr>
            <w:r>
              <w:rPr>
                <w:noProof/>
                <w:color w:val="000000"/>
                <w:sz w:val="20"/>
                <w:szCs w:val="20"/>
              </w:rPr>
              <w:t>PM8 (GHG emission data)</w:t>
            </w:r>
          </w:p>
        </w:tc>
        <w:tc>
          <w:tcPr>
            <w:tcW w:w="506" w:type="pct"/>
            <w:tcBorders>
              <w:top w:val="nil"/>
              <w:left w:val="nil"/>
              <w:bottom w:val="single" w:sz="4" w:space="0" w:color="auto"/>
              <w:right w:val="single" w:sz="4" w:space="0" w:color="auto"/>
            </w:tcBorders>
            <w:shd w:val="clear" w:color="000000" w:fill="FFFFFF"/>
            <w:noWrap/>
            <w:hideMark/>
          </w:tcPr>
          <w:p w14:paraId="136208A7" w14:textId="77777777" w:rsidR="005D598D" w:rsidRDefault="005D598D">
            <w:pPr>
              <w:jc w:val="right"/>
              <w:rPr>
                <w:noProof/>
                <w:color w:val="000000"/>
                <w:sz w:val="20"/>
                <w:szCs w:val="20"/>
              </w:rPr>
            </w:pPr>
            <w:r>
              <w:rPr>
                <w:noProof/>
                <w:color w:val="000000"/>
                <w:sz w:val="20"/>
                <w:szCs w:val="20"/>
              </w:rPr>
              <w:t>4.8</w:t>
            </w:r>
          </w:p>
        </w:tc>
        <w:tc>
          <w:tcPr>
            <w:tcW w:w="506" w:type="pct"/>
            <w:tcBorders>
              <w:top w:val="nil"/>
              <w:left w:val="nil"/>
              <w:bottom w:val="single" w:sz="4" w:space="0" w:color="auto"/>
              <w:right w:val="single" w:sz="4" w:space="0" w:color="auto"/>
            </w:tcBorders>
            <w:shd w:val="clear" w:color="000000" w:fill="FFFFFF"/>
            <w:noWrap/>
            <w:hideMark/>
          </w:tcPr>
          <w:p w14:paraId="32F2A90A" w14:textId="77777777" w:rsidR="005D598D" w:rsidRDefault="005D598D">
            <w:pPr>
              <w:jc w:val="right"/>
              <w:rPr>
                <w:noProof/>
                <w:color w:val="000000"/>
                <w:sz w:val="20"/>
                <w:szCs w:val="20"/>
              </w:rPr>
            </w:pPr>
            <w:r>
              <w:rPr>
                <w:noProof/>
                <w:color w:val="000000"/>
                <w:sz w:val="20"/>
                <w:szCs w:val="20"/>
              </w:rPr>
              <w:t>6.9</w:t>
            </w:r>
          </w:p>
        </w:tc>
        <w:tc>
          <w:tcPr>
            <w:tcW w:w="506" w:type="pct"/>
            <w:tcBorders>
              <w:top w:val="nil"/>
              <w:left w:val="nil"/>
              <w:bottom w:val="single" w:sz="4" w:space="0" w:color="auto"/>
              <w:right w:val="single" w:sz="4" w:space="0" w:color="auto"/>
            </w:tcBorders>
            <w:shd w:val="clear" w:color="000000" w:fill="FFFFFF"/>
            <w:noWrap/>
            <w:hideMark/>
          </w:tcPr>
          <w:p w14:paraId="224BAB38" w14:textId="77777777" w:rsidR="005D598D" w:rsidRDefault="005D598D">
            <w:pPr>
              <w:jc w:val="right"/>
              <w:rPr>
                <w:noProof/>
                <w:color w:val="000000"/>
                <w:sz w:val="20"/>
                <w:szCs w:val="20"/>
              </w:rPr>
            </w:pPr>
            <w:r>
              <w:rPr>
                <w:noProof/>
                <w:color w:val="000000"/>
                <w:sz w:val="20"/>
                <w:szCs w:val="20"/>
              </w:rPr>
              <w:t>6.5</w:t>
            </w:r>
          </w:p>
        </w:tc>
        <w:tc>
          <w:tcPr>
            <w:tcW w:w="506" w:type="pct"/>
            <w:tcBorders>
              <w:top w:val="nil"/>
              <w:left w:val="nil"/>
              <w:bottom w:val="single" w:sz="4" w:space="0" w:color="auto"/>
              <w:right w:val="single" w:sz="4" w:space="0" w:color="auto"/>
            </w:tcBorders>
            <w:shd w:val="clear" w:color="000000" w:fill="FFFFFF"/>
            <w:noWrap/>
            <w:hideMark/>
          </w:tcPr>
          <w:p w14:paraId="4BF43ADD" w14:textId="77777777" w:rsidR="005D598D" w:rsidRDefault="005D598D">
            <w:pPr>
              <w:jc w:val="right"/>
              <w:rPr>
                <w:noProof/>
                <w:color w:val="000000"/>
                <w:sz w:val="20"/>
                <w:szCs w:val="20"/>
              </w:rPr>
            </w:pPr>
            <w:r>
              <w:rPr>
                <w:noProof/>
                <w:color w:val="000000"/>
                <w:sz w:val="20"/>
                <w:szCs w:val="20"/>
              </w:rPr>
              <w:t>6.7</w:t>
            </w:r>
          </w:p>
        </w:tc>
      </w:tr>
      <w:tr w:rsidR="005D598D" w14:paraId="58D2CBD9" w14:textId="77777777" w:rsidTr="005D598D">
        <w:trPr>
          <w:trHeight w:val="282"/>
        </w:trPr>
        <w:tc>
          <w:tcPr>
            <w:tcW w:w="2975" w:type="pct"/>
            <w:tcBorders>
              <w:top w:val="nil"/>
              <w:left w:val="single" w:sz="4" w:space="0" w:color="auto"/>
              <w:bottom w:val="single" w:sz="4" w:space="0" w:color="auto"/>
              <w:right w:val="single" w:sz="4" w:space="0" w:color="auto"/>
            </w:tcBorders>
            <w:shd w:val="clear" w:color="000000" w:fill="FFFFFF"/>
            <w:noWrap/>
            <w:hideMark/>
          </w:tcPr>
          <w:p w14:paraId="0894F7DB" w14:textId="77777777" w:rsidR="005D598D" w:rsidRDefault="005D598D">
            <w:pPr>
              <w:rPr>
                <w:noProof/>
                <w:color w:val="000000"/>
                <w:sz w:val="20"/>
                <w:szCs w:val="20"/>
              </w:rPr>
            </w:pPr>
            <w:r>
              <w:rPr>
                <w:noProof/>
                <w:color w:val="000000"/>
                <w:sz w:val="20"/>
                <w:szCs w:val="20"/>
              </w:rPr>
              <w:t>PM14 (Obligation to host)</w:t>
            </w:r>
          </w:p>
        </w:tc>
        <w:tc>
          <w:tcPr>
            <w:tcW w:w="506" w:type="pct"/>
            <w:tcBorders>
              <w:top w:val="nil"/>
              <w:left w:val="nil"/>
              <w:bottom w:val="single" w:sz="4" w:space="0" w:color="auto"/>
              <w:right w:val="single" w:sz="4" w:space="0" w:color="auto"/>
            </w:tcBorders>
            <w:shd w:val="clear" w:color="000000" w:fill="FFFFFF"/>
            <w:noWrap/>
            <w:hideMark/>
          </w:tcPr>
          <w:p w14:paraId="55F548BA" w14:textId="77777777" w:rsidR="005D598D" w:rsidRDefault="005D598D">
            <w:pPr>
              <w:jc w:val="right"/>
              <w:rPr>
                <w:noProof/>
                <w:color w:val="000000"/>
                <w:sz w:val="20"/>
                <w:szCs w:val="20"/>
              </w:rPr>
            </w:pPr>
            <w:r>
              <w:rPr>
                <w:noProof/>
                <w:color w:val="000000"/>
                <w:sz w:val="20"/>
                <w:szCs w:val="20"/>
              </w:rPr>
              <w:t>0.0</w:t>
            </w:r>
          </w:p>
        </w:tc>
        <w:tc>
          <w:tcPr>
            <w:tcW w:w="506" w:type="pct"/>
            <w:tcBorders>
              <w:top w:val="nil"/>
              <w:left w:val="nil"/>
              <w:bottom w:val="single" w:sz="4" w:space="0" w:color="auto"/>
              <w:right w:val="single" w:sz="4" w:space="0" w:color="auto"/>
            </w:tcBorders>
            <w:shd w:val="clear" w:color="000000" w:fill="FFFFFF"/>
            <w:noWrap/>
            <w:hideMark/>
          </w:tcPr>
          <w:p w14:paraId="3DF3DBF1" w14:textId="77777777" w:rsidR="005D598D" w:rsidRDefault="005D598D">
            <w:pPr>
              <w:jc w:val="right"/>
              <w:rPr>
                <w:noProof/>
                <w:color w:val="000000"/>
                <w:sz w:val="20"/>
                <w:szCs w:val="20"/>
              </w:rPr>
            </w:pPr>
            <w:r>
              <w:rPr>
                <w:noProof/>
                <w:color w:val="000000"/>
                <w:sz w:val="20"/>
                <w:szCs w:val="20"/>
              </w:rPr>
              <w:t>0.0</w:t>
            </w:r>
          </w:p>
        </w:tc>
        <w:tc>
          <w:tcPr>
            <w:tcW w:w="506" w:type="pct"/>
            <w:tcBorders>
              <w:top w:val="nil"/>
              <w:left w:val="nil"/>
              <w:bottom w:val="single" w:sz="4" w:space="0" w:color="auto"/>
              <w:right w:val="single" w:sz="4" w:space="0" w:color="auto"/>
            </w:tcBorders>
            <w:shd w:val="clear" w:color="000000" w:fill="FFFFFF"/>
            <w:noWrap/>
            <w:hideMark/>
          </w:tcPr>
          <w:p w14:paraId="4F497442" w14:textId="77777777" w:rsidR="005D598D" w:rsidRDefault="005D598D">
            <w:pPr>
              <w:jc w:val="right"/>
              <w:rPr>
                <w:noProof/>
                <w:color w:val="000000"/>
                <w:sz w:val="20"/>
                <w:szCs w:val="20"/>
              </w:rPr>
            </w:pPr>
            <w:r>
              <w:rPr>
                <w:noProof/>
                <w:color w:val="000000"/>
                <w:sz w:val="20"/>
                <w:szCs w:val="20"/>
              </w:rPr>
              <w:t>0.4</w:t>
            </w:r>
          </w:p>
        </w:tc>
        <w:tc>
          <w:tcPr>
            <w:tcW w:w="506" w:type="pct"/>
            <w:tcBorders>
              <w:top w:val="nil"/>
              <w:left w:val="nil"/>
              <w:bottom w:val="single" w:sz="4" w:space="0" w:color="auto"/>
              <w:right w:val="single" w:sz="4" w:space="0" w:color="auto"/>
            </w:tcBorders>
            <w:shd w:val="clear" w:color="000000" w:fill="FFFFFF"/>
            <w:noWrap/>
            <w:hideMark/>
          </w:tcPr>
          <w:p w14:paraId="4FFDDB4C" w14:textId="77777777" w:rsidR="005D598D" w:rsidRDefault="005D598D">
            <w:pPr>
              <w:jc w:val="right"/>
              <w:rPr>
                <w:noProof/>
                <w:color w:val="000000"/>
                <w:sz w:val="20"/>
                <w:szCs w:val="20"/>
              </w:rPr>
            </w:pPr>
            <w:r>
              <w:rPr>
                <w:noProof/>
                <w:color w:val="000000"/>
                <w:sz w:val="20"/>
                <w:szCs w:val="20"/>
              </w:rPr>
              <w:t>0.0</w:t>
            </w:r>
          </w:p>
        </w:tc>
      </w:tr>
      <w:tr w:rsidR="005D598D" w14:paraId="219F6E3E" w14:textId="77777777" w:rsidTr="005D598D">
        <w:trPr>
          <w:trHeight w:val="282"/>
        </w:trPr>
        <w:tc>
          <w:tcPr>
            <w:tcW w:w="2975" w:type="pct"/>
            <w:tcBorders>
              <w:top w:val="nil"/>
              <w:left w:val="single" w:sz="4" w:space="0" w:color="auto"/>
              <w:bottom w:val="single" w:sz="4" w:space="0" w:color="auto"/>
              <w:right w:val="single" w:sz="4" w:space="0" w:color="auto"/>
            </w:tcBorders>
            <w:hideMark/>
          </w:tcPr>
          <w:p w14:paraId="29E32A7C" w14:textId="77777777" w:rsidR="005D598D" w:rsidRDefault="005D598D">
            <w:pPr>
              <w:rPr>
                <w:noProof/>
                <w:color w:val="000000"/>
                <w:sz w:val="20"/>
                <w:szCs w:val="20"/>
              </w:rPr>
            </w:pPr>
            <w:r>
              <w:rPr>
                <w:noProof/>
                <w:color w:val="000000"/>
                <w:sz w:val="20"/>
                <w:szCs w:val="20"/>
              </w:rPr>
              <w:t>PM15 (Obligation to unbundle)</w:t>
            </w:r>
          </w:p>
        </w:tc>
        <w:tc>
          <w:tcPr>
            <w:tcW w:w="506" w:type="pct"/>
            <w:tcBorders>
              <w:top w:val="nil"/>
              <w:left w:val="nil"/>
              <w:bottom w:val="single" w:sz="4" w:space="0" w:color="auto"/>
              <w:right w:val="single" w:sz="4" w:space="0" w:color="auto"/>
            </w:tcBorders>
            <w:shd w:val="clear" w:color="000000" w:fill="FFFFFF"/>
            <w:noWrap/>
            <w:hideMark/>
          </w:tcPr>
          <w:p w14:paraId="0AE1AB0C" w14:textId="77777777" w:rsidR="005D598D" w:rsidRDefault="005D598D">
            <w:pPr>
              <w:jc w:val="right"/>
              <w:rPr>
                <w:noProof/>
                <w:color w:val="000000"/>
                <w:sz w:val="20"/>
                <w:szCs w:val="20"/>
              </w:rPr>
            </w:pPr>
            <w:r>
              <w:rPr>
                <w:noProof/>
                <w:color w:val="000000"/>
                <w:sz w:val="20"/>
                <w:szCs w:val="20"/>
              </w:rPr>
              <w:t>0.0</w:t>
            </w:r>
          </w:p>
        </w:tc>
        <w:tc>
          <w:tcPr>
            <w:tcW w:w="506" w:type="pct"/>
            <w:tcBorders>
              <w:top w:val="nil"/>
              <w:left w:val="nil"/>
              <w:bottom w:val="single" w:sz="4" w:space="0" w:color="auto"/>
              <w:right w:val="single" w:sz="4" w:space="0" w:color="auto"/>
            </w:tcBorders>
            <w:shd w:val="clear" w:color="000000" w:fill="FFFFFF"/>
            <w:noWrap/>
            <w:hideMark/>
          </w:tcPr>
          <w:p w14:paraId="0E6B903A" w14:textId="77777777" w:rsidR="005D598D" w:rsidRDefault="005D598D">
            <w:pPr>
              <w:jc w:val="right"/>
              <w:rPr>
                <w:noProof/>
                <w:color w:val="000000"/>
                <w:sz w:val="20"/>
                <w:szCs w:val="20"/>
              </w:rPr>
            </w:pPr>
            <w:r>
              <w:rPr>
                <w:noProof/>
                <w:color w:val="000000"/>
                <w:sz w:val="20"/>
                <w:szCs w:val="20"/>
              </w:rPr>
              <w:t>0.0</w:t>
            </w:r>
          </w:p>
        </w:tc>
        <w:tc>
          <w:tcPr>
            <w:tcW w:w="506" w:type="pct"/>
            <w:tcBorders>
              <w:top w:val="nil"/>
              <w:left w:val="nil"/>
              <w:bottom w:val="single" w:sz="4" w:space="0" w:color="auto"/>
              <w:right w:val="single" w:sz="4" w:space="0" w:color="auto"/>
            </w:tcBorders>
            <w:shd w:val="clear" w:color="000000" w:fill="FFFFFF"/>
            <w:noWrap/>
            <w:hideMark/>
          </w:tcPr>
          <w:p w14:paraId="4F88C2A2" w14:textId="77777777" w:rsidR="005D598D" w:rsidRDefault="005D598D">
            <w:pPr>
              <w:jc w:val="right"/>
              <w:rPr>
                <w:noProof/>
                <w:color w:val="000000"/>
                <w:sz w:val="20"/>
                <w:szCs w:val="20"/>
              </w:rPr>
            </w:pPr>
            <w:r>
              <w:rPr>
                <w:noProof/>
                <w:color w:val="000000"/>
                <w:sz w:val="20"/>
                <w:szCs w:val="20"/>
              </w:rPr>
              <w:t>0.0</w:t>
            </w:r>
          </w:p>
        </w:tc>
        <w:tc>
          <w:tcPr>
            <w:tcW w:w="506" w:type="pct"/>
            <w:tcBorders>
              <w:top w:val="nil"/>
              <w:left w:val="nil"/>
              <w:bottom w:val="single" w:sz="4" w:space="0" w:color="auto"/>
              <w:right w:val="single" w:sz="4" w:space="0" w:color="auto"/>
            </w:tcBorders>
            <w:shd w:val="clear" w:color="000000" w:fill="FFFFFF"/>
            <w:noWrap/>
            <w:hideMark/>
          </w:tcPr>
          <w:p w14:paraId="4C9F9838" w14:textId="77777777" w:rsidR="005D598D" w:rsidRDefault="005D598D">
            <w:pPr>
              <w:jc w:val="right"/>
              <w:rPr>
                <w:noProof/>
                <w:color w:val="000000"/>
                <w:sz w:val="20"/>
                <w:szCs w:val="20"/>
              </w:rPr>
            </w:pPr>
            <w:r>
              <w:rPr>
                <w:noProof/>
                <w:color w:val="000000"/>
                <w:sz w:val="20"/>
                <w:szCs w:val="20"/>
              </w:rPr>
              <w:t>157.7</w:t>
            </w:r>
          </w:p>
        </w:tc>
      </w:tr>
      <w:tr w:rsidR="005D598D" w14:paraId="6B8B82AA" w14:textId="77777777" w:rsidTr="005D598D">
        <w:trPr>
          <w:trHeight w:val="282"/>
        </w:trPr>
        <w:tc>
          <w:tcPr>
            <w:tcW w:w="2975" w:type="pct"/>
            <w:tcBorders>
              <w:top w:val="nil"/>
              <w:left w:val="single" w:sz="4" w:space="0" w:color="auto"/>
              <w:bottom w:val="single" w:sz="4" w:space="0" w:color="auto"/>
              <w:right w:val="single" w:sz="4" w:space="0" w:color="auto"/>
            </w:tcBorders>
            <w:shd w:val="clear" w:color="000000" w:fill="BDE3FF"/>
            <w:hideMark/>
          </w:tcPr>
          <w:p w14:paraId="7C550874" w14:textId="77777777" w:rsidR="005D598D" w:rsidRDefault="005D598D">
            <w:pPr>
              <w:rPr>
                <w:b/>
                <w:bCs/>
                <w:noProof/>
                <w:sz w:val="20"/>
                <w:szCs w:val="20"/>
              </w:rPr>
            </w:pPr>
            <w:r>
              <w:rPr>
                <w:b/>
                <w:bCs/>
                <w:noProof/>
                <w:sz w:val="20"/>
                <w:szCs w:val="20"/>
              </w:rPr>
              <w:t>Administrative costs</w:t>
            </w:r>
          </w:p>
        </w:tc>
        <w:tc>
          <w:tcPr>
            <w:tcW w:w="506" w:type="pct"/>
            <w:tcBorders>
              <w:top w:val="nil"/>
              <w:left w:val="nil"/>
              <w:bottom w:val="single" w:sz="4" w:space="0" w:color="auto"/>
              <w:right w:val="single" w:sz="4" w:space="0" w:color="auto"/>
            </w:tcBorders>
            <w:shd w:val="clear" w:color="000000" w:fill="BDE3FF"/>
            <w:hideMark/>
          </w:tcPr>
          <w:p w14:paraId="6532325D" w14:textId="77777777" w:rsidR="005D598D" w:rsidRDefault="005D598D">
            <w:pPr>
              <w:jc w:val="right"/>
              <w:rPr>
                <w:b/>
                <w:bCs/>
                <w:noProof/>
                <w:sz w:val="20"/>
                <w:szCs w:val="20"/>
              </w:rPr>
            </w:pPr>
            <w:r>
              <w:rPr>
                <w:b/>
                <w:bCs/>
                <w:noProof/>
                <w:sz w:val="20"/>
                <w:szCs w:val="20"/>
              </w:rPr>
              <w:t>0.5</w:t>
            </w:r>
          </w:p>
        </w:tc>
        <w:tc>
          <w:tcPr>
            <w:tcW w:w="506" w:type="pct"/>
            <w:tcBorders>
              <w:top w:val="nil"/>
              <w:left w:val="nil"/>
              <w:bottom w:val="single" w:sz="4" w:space="0" w:color="auto"/>
              <w:right w:val="single" w:sz="4" w:space="0" w:color="auto"/>
            </w:tcBorders>
            <w:shd w:val="clear" w:color="000000" w:fill="BDE3FF"/>
            <w:hideMark/>
          </w:tcPr>
          <w:p w14:paraId="51C30D19" w14:textId="77777777" w:rsidR="005D598D" w:rsidRDefault="005D598D">
            <w:pPr>
              <w:jc w:val="right"/>
              <w:rPr>
                <w:b/>
                <w:bCs/>
                <w:noProof/>
                <w:sz w:val="20"/>
                <w:szCs w:val="20"/>
              </w:rPr>
            </w:pPr>
            <w:r>
              <w:rPr>
                <w:b/>
                <w:bCs/>
                <w:noProof/>
                <w:sz w:val="20"/>
                <w:szCs w:val="20"/>
              </w:rPr>
              <w:t>0.5</w:t>
            </w:r>
          </w:p>
        </w:tc>
        <w:tc>
          <w:tcPr>
            <w:tcW w:w="506" w:type="pct"/>
            <w:tcBorders>
              <w:top w:val="nil"/>
              <w:left w:val="nil"/>
              <w:bottom w:val="single" w:sz="4" w:space="0" w:color="auto"/>
              <w:right w:val="single" w:sz="4" w:space="0" w:color="auto"/>
            </w:tcBorders>
            <w:shd w:val="clear" w:color="000000" w:fill="BDE3FF"/>
            <w:hideMark/>
          </w:tcPr>
          <w:p w14:paraId="42DA66D4" w14:textId="77777777" w:rsidR="005D598D" w:rsidRDefault="005D598D">
            <w:pPr>
              <w:jc w:val="right"/>
              <w:rPr>
                <w:b/>
                <w:bCs/>
                <w:noProof/>
                <w:sz w:val="20"/>
                <w:szCs w:val="20"/>
              </w:rPr>
            </w:pPr>
            <w:r>
              <w:rPr>
                <w:b/>
                <w:bCs/>
                <w:noProof/>
                <w:sz w:val="20"/>
                <w:szCs w:val="20"/>
              </w:rPr>
              <w:t>0.5</w:t>
            </w:r>
          </w:p>
        </w:tc>
        <w:tc>
          <w:tcPr>
            <w:tcW w:w="506" w:type="pct"/>
            <w:tcBorders>
              <w:top w:val="nil"/>
              <w:left w:val="nil"/>
              <w:bottom w:val="single" w:sz="4" w:space="0" w:color="auto"/>
              <w:right w:val="single" w:sz="4" w:space="0" w:color="auto"/>
            </w:tcBorders>
            <w:shd w:val="clear" w:color="000000" w:fill="BDE3FF"/>
            <w:hideMark/>
          </w:tcPr>
          <w:p w14:paraId="4FA79853" w14:textId="77777777" w:rsidR="005D598D" w:rsidRDefault="005D598D">
            <w:pPr>
              <w:jc w:val="right"/>
              <w:rPr>
                <w:b/>
                <w:bCs/>
                <w:noProof/>
                <w:sz w:val="20"/>
                <w:szCs w:val="20"/>
              </w:rPr>
            </w:pPr>
            <w:r>
              <w:rPr>
                <w:b/>
                <w:bCs/>
                <w:noProof/>
                <w:sz w:val="20"/>
                <w:szCs w:val="20"/>
              </w:rPr>
              <w:t>0.5</w:t>
            </w:r>
          </w:p>
        </w:tc>
      </w:tr>
      <w:tr w:rsidR="005D598D" w14:paraId="5162B2CF" w14:textId="77777777" w:rsidTr="005D598D">
        <w:trPr>
          <w:trHeight w:val="282"/>
        </w:trPr>
        <w:tc>
          <w:tcPr>
            <w:tcW w:w="2975" w:type="pct"/>
            <w:tcBorders>
              <w:top w:val="nil"/>
              <w:left w:val="single" w:sz="4" w:space="0" w:color="auto"/>
              <w:bottom w:val="single" w:sz="4" w:space="0" w:color="auto"/>
              <w:right w:val="single" w:sz="4" w:space="0" w:color="auto"/>
            </w:tcBorders>
            <w:hideMark/>
          </w:tcPr>
          <w:p w14:paraId="62209DC8" w14:textId="77777777" w:rsidR="005D598D" w:rsidRDefault="005D598D">
            <w:pPr>
              <w:rPr>
                <w:noProof/>
                <w:color w:val="000000"/>
                <w:sz w:val="20"/>
                <w:szCs w:val="20"/>
              </w:rPr>
            </w:pPr>
            <w:r>
              <w:rPr>
                <w:noProof/>
                <w:color w:val="000000"/>
                <w:sz w:val="20"/>
                <w:szCs w:val="20"/>
              </w:rPr>
              <w:t>PM10 (Designation of indispensable MDMS and RUs)</w:t>
            </w:r>
          </w:p>
        </w:tc>
        <w:tc>
          <w:tcPr>
            <w:tcW w:w="506" w:type="pct"/>
            <w:tcBorders>
              <w:top w:val="nil"/>
              <w:left w:val="nil"/>
              <w:bottom w:val="single" w:sz="4" w:space="0" w:color="auto"/>
              <w:right w:val="single" w:sz="4" w:space="0" w:color="auto"/>
            </w:tcBorders>
            <w:shd w:val="clear" w:color="000000" w:fill="FFFFFF"/>
            <w:noWrap/>
            <w:hideMark/>
          </w:tcPr>
          <w:p w14:paraId="1851DC66" w14:textId="77777777" w:rsidR="005D598D" w:rsidRDefault="005D598D">
            <w:pPr>
              <w:jc w:val="right"/>
              <w:rPr>
                <w:noProof/>
                <w:color w:val="000000"/>
                <w:sz w:val="20"/>
                <w:szCs w:val="20"/>
              </w:rPr>
            </w:pPr>
            <w:r>
              <w:rPr>
                <w:noProof/>
                <w:color w:val="000000"/>
                <w:sz w:val="20"/>
                <w:szCs w:val="20"/>
              </w:rPr>
              <w:t>0.5</w:t>
            </w:r>
          </w:p>
        </w:tc>
        <w:tc>
          <w:tcPr>
            <w:tcW w:w="506" w:type="pct"/>
            <w:tcBorders>
              <w:top w:val="nil"/>
              <w:left w:val="nil"/>
              <w:bottom w:val="single" w:sz="4" w:space="0" w:color="auto"/>
              <w:right w:val="single" w:sz="4" w:space="0" w:color="auto"/>
            </w:tcBorders>
            <w:shd w:val="clear" w:color="000000" w:fill="FFFFFF"/>
            <w:noWrap/>
            <w:hideMark/>
          </w:tcPr>
          <w:p w14:paraId="1780E742" w14:textId="77777777" w:rsidR="005D598D" w:rsidRDefault="005D598D">
            <w:pPr>
              <w:jc w:val="right"/>
              <w:rPr>
                <w:noProof/>
                <w:color w:val="000000"/>
                <w:sz w:val="20"/>
                <w:szCs w:val="20"/>
              </w:rPr>
            </w:pPr>
            <w:r>
              <w:rPr>
                <w:noProof/>
                <w:color w:val="000000"/>
                <w:sz w:val="20"/>
                <w:szCs w:val="20"/>
              </w:rPr>
              <w:t>0.5</w:t>
            </w:r>
          </w:p>
        </w:tc>
        <w:tc>
          <w:tcPr>
            <w:tcW w:w="506" w:type="pct"/>
            <w:tcBorders>
              <w:top w:val="nil"/>
              <w:left w:val="nil"/>
              <w:bottom w:val="single" w:sz="4" w:space="0" w:color="auto"/>
              <w:right w:val="single" w:sz="4" w:space="0" w:color="auto"/>
            </w:tcBorders>
            <w:shd w:val="clear" w:color="000000" w:fill="FFFFFF"/>
            <w:noWrap/>
            <w:hideMark/>
          </w:tcPr>
          <w:p w14:paraId="47349D47" w14:textId="77777777" w:rsidR="005D598D" w:rsidRDefault="005D598D">
            <w:pPr>
              <w:jc w:val="right"/>
              <w:rPr>
                <w:noProof/>
                <w:color w:val="000000"/>
                <w:sz w:val="20"/>
                <w:szCs w:val="20"/>
              </w:rPr>
            </w:pPr>
            <w:r>
              <w:rPr>
                <w:noProof/>
                <w:color w:val="000000"/>
                <w:sz w:val="20"/>
                <w:szCs w:val="20"/>
              </w:rPr>
              <w:t>0.5</w:t>
            </w:r>
          </w:p>
        </w:tc>
        <w:tc>
          <w:tcPr>
            <w:tcW w:w="506" w:type="pct"/>
            <w:tcBorders>
              <w:top w:val="nil"/>
              <w:left w:val="nil"/>
              <w:bottom w:val="single" w:sz="4" w:space="0" w:color="auto"/>
              <w:right w:val="single" w:sz="4" w:space="0" w:color="auto"/>
            </w:tcBorders>
            <w:shd w:val="clear" w:color="000000" w:fill="FFFFFF"/>
            <w:noWrap/>
            <w:hideMark/>
          </w:tcPr>
          <w:p w14:paraId="48827F83" w14:textId="77777777" w:rsidR="005D598D" w:rsidRDefault="005D598D">
            <w:pPr>
              <w:jc w:val="right"/>
              <w:rPr>
                <w:noProof/>
                <w:color w:val="000000"/>
                <w:sz w:val="20"/>
                <w:szCs w:val="20"/>
              </w:rPr>
            </w:pPr>
            <w:r>
              <w:rPr>
                <w:noProof/>
                <w:color w:val="000000"/>
                <w:sz w:val="20"/>
                <w:szCs w:val="20"/>
              </w:rPr>
              <w:t>0.5</w:t>
            </w:r>
          </w:p>
        </w:tc>
      </w:tr>
      <w:tr w:rsidR="005D598D" w14:paraId="714EF83A" w14:textId="77777777" w:rsidTr="005D598D">
        <w:trPr>
          <w:trHeight w:val="282"/>
        </w:trPr>
        <w:tc>
          <w:tcPr>
            <w:tcW w:w="2975" w:type="pct"/>
            <w:tcBorders>
              <w:top w:val="nil"/>
              <w:left w:val="single" w:sz="4" w:space="0" w:color="auto"/>
              <w:bottom w:val="single" w:sz="4" w:space="0" w:color="auto"/>
              <w:right w:val="single" w:sz="4" w:space="0" w:color="auto"/>
            </w:tcBorders>
            <w:shd w:val="clear" w:color="000000" w:fill="F2F2F2"/>
            <w:noWrap/>
            <w:hideMark/>
          </w:tcPr>
          <w:p w14:paraId="40A196D5" w14:textId="39D32686" w:rsidR="005D598D" w:rsidRDefault="005D598D">
            <w:pPr>
              <w:rPr>
                <w:b/>
                <w:bCs/>
                <w:noProof/>
                <w:color w:val="000000"/>
                <w:sz w:val="20"/>
                <w:szCs w:val="20"/>
              </w:rPr>
            </w:pPr>
            <w:r>
              <w:rPr>
                <w:b/>
                <w:bCs/>
                <w:noProof/>
                <w:color w:val="000000"/>
                <w:sz w:val="20"/>
                <w:szCs w:val="20"/>
              </w:rPr>
              <w:t>Total one-off</w:t>
            </w:r>
            <w:r w:rsidRPr="00C65DC6">
              <w:rPr>
                <w:b/>
                <w:bCs/>
                <w:noProof/>
                <w:color w:val="000000"/>
                <w:sz w:val="20"/>
                <w:szCs w:val="20"/>
              </w:rPr>
              <w:t xml:space="preserve"> costs</w:t>
            </w:r>
          </w:p>
        </w:tc>
        <w:tc>
          <w:tcPr>
            <w:tcW w:w="506" w:type="pct"/>
            <w:tcBorders>
              <w:top w:val="nil"/>
              <w:left w:val="nil"/>
              <w:bottom w:val="single" w:sz="4" w:space="0" w:color="auto"/>
              <w:right w:val="single" w:sz="4" w:space="0" w:color="auto"/>
            </w:tcBorders>
            <w:shd w:val="clear" w:color="000000" w:fill="F2F2F2"/>
            <w:noWrap/>
            <w:hideMark/>
          </w:tcPr>
          <w:p w14:paraId="12243F53" w14:textId="3D53F2DD" w:rsidR="005D598D" w:rsidRDefault="005D598D">
            <w:pPr>
              <w:jc w:val="right"/>
              <w:rPr>
                <w:b/>
                <w:bCs/>
                <w:noProof/>
                <w:color w:val="000000"/>
                <w:sz w:val="20"/>
                <w:szCs w:val="20"/>
              </w:rPr>
            </w:pPr>
            <w:r>
              <w:rPr>
                <w:b/>
                <w:bCs/>
                <w:noProof/>
                <w:color w:val="000000"/>
                <w:sz w:val="20"/>
                <w:szCs w:val="20"/>
              </w:rPr>
              <w:t>37.0</w:t>
            </w:r>
          </w:p>
        </w:tc>
        <w:tc>
          <w:tcPr>
            <w:tcW w:w="506" w:type="pct"/>
            <w:tcBorders>
              <w:top w:val="nil"/>
              <w:left w:val="nil"/>
              <w:bottom w:val="single" w:sz="4" w:space="0" w:color="auto"/>
              <w:right w:val="single" w:sz="4" w:space="0" w:color="auto"/>
            </w:tcBorders>
            <w:shd w:val="clear" w:color="000000" w:fill="F2F2F2"/>
            <w:noWrap/>
            <w:hideMark/>
          </w:tcPr>
          <w:p w14:paraId="139E13BE" w14:textId="05C8F77F" w:rsidR="005D598D" w:rsidRDefault="005D598D">
            <w:pPr>
              <w:jc w:val="right"/>
              <w:rPr>
                <w:b/>
                <w:bCs/>
                <w:noProof/>
                <w:color w:val="000000"/>
                <w:sz w:val="20"/>
                <w:szCs w:val="20"/>
              </w:rPr>
            </w:pPr>
            <w:r>
              <w:rPr>
                <w:b/>
                <w:bCs/>
                <w:noProof/>
                <w:color w:val="000000"/>
                <w:sz w:val="20"/>
                <w:szCs w:val="20"/>
              </w:rPr>
              <w:t>53.3</w:t>
            </w:r>
          </w:p>
        </w:tc>
        <w:tc>
          <w:tcPr>
            <w:tcW w:w="506" w:type="pct"/>
            <w:tcBorders>
              <w:top w:val="nil"/>
              <w:left w:val="nil"/>
              <w:bottom w:val="single" w:sz="4" w:space="0" w:color="auto"/>
              <w:right w:val="single" w:sz="4" w:space="0" w:color="auto"/>
            </w:tcBorders>
            <w:shd w:val="clear" w:color="000000" w:fill="F2F2F2"/>
            <w:noWrap/>
            <w:hideMark/>
          </w:tcPr>
          <w:p w14:paraId="32682987" w14:textId="38B15549" w:rsidR="005D598D" w:rsidRDefault="005D598D">
            <w:pPr>
              <w:jc w:val="right"/>
              <w:rPr>
                <w:b/>
                <w:bCs/>
                <w:noProof/>
                <w:color w:val="000000"/>
                <w:sz w:val="20"/>
                <w:szCs w:val="20"/>
              </w:rPr>
            </w:pPr>
            <w:r>
              <w:rPr>
                <w:b/>
                <w:bCs/>
                <w:noProof/>
                <w:color w:val="000000"/>
                <w:sz w:val="20"/>
                <w:szCs w:val="20"/>
              </w:rPr>
              <w:t>50.6</w:t>
            </w:r>
          </w:p>
        </w:tc>
        <w:tc>
          <w:tcPr>
            <w:tcW w:w="506" w:type="pct"/>
            <w:tcBorders>
              <w:top w:val="nil"/>
              <w:left w:val="nil"/>
              <w:bottom w:val="single" w:sz="4" w:space="0" w:color="auto"/>
              <w:right w:val="single" w:sz="4" w:space="0" w:color="auto"/>
            </w:tcBorders>
            <w:shd w:val="clear" w:color="000000" w:fill="F2F2F2"/>
            <w:noWrap/>
            <w:hideMark/>
          </w:tcPr>
          <w:p w14:paraId="610E0126" w14:textId="03A5F950" w:rsidR="005D598D" w:rsidRDefault="005D598D">
            <w:pPr>
              <w:jc w:val="right"/>
              <w:rPr>
                <w:b/>
                <w:bCs/>
                <w:noProof/>
                <w:color w:val="000000"/>
                <w:sz w:val="20"/>
                <w:szCs w:val="20"/>
              </w:rPr>
            </w:pPr>
            <w:r>
              <w:rPr>
                <w:b/>
                <w:bCs/>
                <w:noProof/>
                <w:color w:val="000000"/>
                <w:sz w:val="20"/>
                <w:szCs w:val="20"/>
              </w:rPr>
              <w:t>209.3</w:t>
            </w:r>
          </w:p>
        </w:tc>
      </w:tr>
    </w:tbl>
    <w:p w14:paraId="0E798960" w14:textId="77777777" w:rsidR="00246D13" w:rsidRPr="00D71008" w:rsidRDefault="00246D13" w:rsidP="00246D13">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7B6684A9" w14:textId="55C7D61F" w:rsidR="007656C5" w:rsidRPr="00000EF1" w:rsidRDefault="008B15D6" w:rsidP="00004CA5">
      <w:pPr>
        <w:pStyle w:val="BodyText"/>
        <w:spacing w:after="240"/>
        <w:ind w:left="0"/>
        <w:rPr>
          <w:noProof/>
          <w:spacing w:val="-8"/>
        </w:rPr>
      </w:pPr>
      <w:r>
        <w:rPr>
          <w:noProof/>
          <w:spacing w:val="-8"/>
        </w:rPr>
        <w:t>A</w:t>
      </w:r>
      <w:r w:rsidR="00C40A4E" w:rsidRPr="00000EF1">
        <w:rPr>
          <w:noProof/>
          <w:spacing w:val="-8"/>
        </w:rPr>
        <w:t xml:space="preserve"> change in the number of </w:t>
      </w:r>
      <w:r w:rsidR="00DB15F8" w:rsidRPr="00000EF1">
        <w:rPr>
          <w:noProof/>
          <w:spacing w:val="-8"/>
        </w:rPr>
        <w:t xml:space="preserve">MDMS </w:t>
      </w:r>
      <w:r w:rsidR="00C40A4E" w:rsidRPr="00000EF1">
        <w:rPr>
          <w:noProof/>
          <w:spacing w:val="-8"/>
        </w:rPr>
        <w:t xml:space="preserve">platforms </w:t>
      </w:r>
      <w:r w:rsidR="00120044" w:rsidRPr="00000EF1">
        <w:rPr>
          <w:noProof/>
          <w:spacing w:val="-8"/>
        </w:rPr>
        <w:t>is not</w:t>
      </w:r>
      <w:r w:rsidR="00741455" w:rsidRPr="00000EF1">
        <w:rPr>
          <w:noProof/>
          <w:spacing w:val="-8"/>
        </w:rPr>
        <w:t xml:space="preserve"> a</w:t>
      </w:r>
      <w:r w:rsidR="00DB15F8" w:rsidRPr="00000EF1">
        <w:rPr>
          <w:noProof/>
          <w:spacing w:val="-8"/>
        </w:rPr>
        <w:t xml:space="preserve"> policy</w:t>
      </w:r>
      <w:r w:rsidR="00A626EA" w:rsidRPr="00000EF1">
        <w:rPr>
          <w:noProof/>
          <w:spacing w:val="-8"/>
        </w:rPr>
        <w:t xml:space="preserve"> objective. However, the projected number of </w:t>
      </w:r>
      <w:r w:rsidR="00310388" w:rsidRPr="00000EF1">
        <w:rPr>
          <w:noProof/>
          <w:spacing w:val="-8"/>
        </w:rPr>
        <w:t>platforms in each policy option</w:t>
      </w:r>
      <w:r w:rsidR="00DB15F8" w:rsidRPr="00000EF1">
        <w:rPr>
          <w:noProof/>
          <w:spacing w:val="-8"/>
        </w:rPr>
        <w:t>, as well as the number of agreements between the MDMS platforms and the transport operators</w:t>
      </w:r>
      <w:r w:rsidR="00036DD2" w:rsidRPr="00000EF1">
        <w:rPr>
          <w:noProof/>
          <w:spacing w:val="-8"/>
        </w:rPr>
        <w:t>, are provided below to facilitate the understanding of the costs.</w:t>
      </w:r>
      <w:r w:rsidR="00A907A8" w:rsidRPr="00000EF1">
        <w:rPr>
          <w:noProof/>
          <w:spacing w:val="-8"/>
        </w:rPr>
        <w:t xml:space="preserve"> </w:t>
      </w:r>
      <w:r w:rsidR="0090484D" w:rsidRPr="00000EF1">
        <w:rPr>
          <w:noProof/>
          <w:spacing w:val="-8"/>
        </w:rPr>
        <w:t>The number of platforms is projected to increase in all policy options relative to the baseline</w:t>
      </w:r>
      <w:r w:rsidR="00D37C36" w:rsidRPr="00000EF1">
        <w:rPr>
          <w:noProof/>
          <w:spacing w:val="-8"/>
        </w:rPr>
        <w:t xml:space="preserve"> due to the enhanced ability of MDMS platforms to display more travel options, promoting competition in the online ticketing market</w:t>
      </w:r>
      <w:r w:rsidR="001B4F76" w:rsidRPr="00000EF1">
        <w:rPr>
          <w:noProof/>
          <w:spacing w:val="-8"/>
        </w:rPr>
        <w:t>.</w:t>
      </w:r>
      <w:r w:rsidR="0090484D" w:rsidRPr="00000EF1">
        <w:rPr>
          <w:noProof/>
          <w:spacing w:val="-8"/>
        </w:rPr>
        <w:t xml:space="preserve"> </w:t>
      </w:r>
      <w:r w:rsidR="00350DC6" w:rsidRPr="00350DC6">
        <w:rPr>
          <w:noProof/>
          <w:spacing w:val="-8"/>
        </w:rPr>
        <w:t xml:space="preserve">This is assumed to imply an increase in the number of MDMS platforms although it should be acknowledged that existing platforms could also improve their offerings, which could lead to a consolidation towards a lower number of platforms. </w:t>
      </w:r>
      <w:r w:rsidR="005D7E04">
        <w:rPr>
          <w:noProof/>
          <w:spacing w:val="-8"/>
        </w:rPr>
        <w:t>S</w:t>
      </w:r>
      <w:r w:rsidR="00FC5DEA">
        <w:rPr>
          <w:noProof/>
          <w:spacing w:val="-8"/>
        </w:rPr>
        <w:t xml:space="preserve">uch consolidation is assumed to take place </w:t>
      </w:r>
      <w:r w:rsidR="00A622EE">
        <w:rPr>
          <w:noProof/>
          <w:spacing w:val="-8"/>
        </w:rPr>
        <w:t>towards 2050</w:t>
      </w:r>
      <w:r w:rsidR="005D7E04">
        <w:rPr>
          <w:noProof/>
          <w:spacing w:val="-8"/>
        </w:rPr>
        <w:t xml:space="preserve"> in the projections</w:t>
      </w:r>
      <w:r w:rsidR="00A622EE">
        <w:rPr>
          <w:noProof/>
          <w:spacing w:val="-8"/>
        </w:rPr>
        <w:t>. However,</w:t>
      </w:r>
      <w:r w:rsidR="00E93C78">
        <w:rPr>
          <w:noProof/>
          <w:spacing w:val="-8"/>
        </w:rPr>
        <w:t xml:space="preserve"> </w:t>
      </w:r>
      <w:r w:rsidR="00FC5DEA">
        <w:rPr>
          <w:noProof/>
          <w:spacing w:val="-8"/>
        </w:rPr>
        <w:t>it should be acknowledged that t</w:t>
      </w:r>
      <w:r w:rsidR="00350DC6" w:rsidRPr="00350DC6">
        <w:rPr>
          <w:noProof/>
          <w:spacing w:val="-8"/>
        </w:rPr>
        <w:t xml:space="preserve">he </w:t>
      </w:r>
      <w:r w:rsidR="00211F51">
        <w:rPr>
          <w:noProof/>
          <w:spacing w:val="-8"/>
        </w:rPr>
        <w:t xml:space="preserve">consolidation could also take place </w:t>
      </w:r>
      <w:r w:rsidR="00521F55">
        <w:rPr>
          <w:noProof/>
          <w:spacing w:val="-8"/>
        </w:rPr>
        <w:t>earlier</w:t>
      </w:r>
      <w:r w:rsidR="0006529A">
        <w:rPr>
          <w:noProof/>
          <w:spacing w:val="-8"/>
        </w:rPr>
        <w:t>. Thus, the</w:t>
      </w:r>
      <w:r w:rsidR="00211F51">
        <w:rPr>
          <w:noProof/>
          <w:spacing w:val="-8"/>
        </w:rPr>
        <w:t xml:space="preserve"> </w:t>
      </w:r>
      <w:r w:rsidR="00350DC6" w:rsidRPr="00350DC6">
        <w:rPr>
          <w:noProof/>
          <w:spacing w:val="-8"/>
        </w:rPr>
        <w:t xml:space="preserve">costs </w:t>
      </w:r>
      <w:r w:rsidR="00285DC6" w:rsidRPr="00000EF1">
        <w:rPr>
          <w:noProof/>
          <w:spacing w:val="-8"/>
        </w:rPr>
        <w:t xml:space="preserve">for the </w:t>
      </w:r>
      <w:r w:rsidR="00350DC6" w:rsidRPr="00350DC6">
        <w:rPr>
          <w:noProof/>
          <w:spacing w:val="-8"/>
        </w:rPr>
        <w:t>MDMS platforms should be regarded as the upper bound.</w:t>
      </w:r>
    </w:p>
    <w:p w14:paraId="62234E55" w14:textId="4BBB8051" w:rsidR="00891E3E" w:rsidRDefault="00891E3E" w:rsidP="00004CA5">
      <w:pPr>
        <w:pStyle w:val="BodyText"/>
        <w:spacing w:after="240"/>
        <w:ind w:left="0"/>
        <w:rPr>
          <w:noProof/>
        </w:rPr>
      </w:pPr>
      <w:r w:rsidRPr="00000EF1">
        <w:rPr>
          <w:noProof/>
          <w:spacing w:val="-8"/>
        </w:rPr>
        <w:t xml:space="preserve">PO1 is projected to result in the lowest number of additional MDMS platforms relative to the baseline (10 in 2030, 45 in 2040 and 19 in 2050) for all time horizon under assessment. In </w:t>
      </w:r>
      <w:r w:rsidRPr="008E0BFE">
        <w:rPr>
          <w:noProof/>
          <w:spacing w:val="-8"/>
        </w:rPr>
        <w:t>2030</w:t>
      </w:r>
      <w:r w:rsidRPr="00000EF1">
        <w:rPr>
          <w:noProof/>
          <w:spacing w:val="-8"/>
        </w:rPr>
        <w:t>,</w:t>
      </w:r>
      <w:r w:rsidRPr="008E0BFE">
        <w:rPr>
          <w:noProof/>
          <w:spacing w:val="-8"/>
        </w:rPr>
        <w:t xml:space="preserve"> the sharing obligation </w:t>
      </w:r>
      <w:r w:rsidRPr="00000EF1">
        <w:rPr>
          <w:noProof/>
          <w:spacing w:val="-8"/>
        </w:rPr>
        <w:t xml:space="preserve">(PM13) </w:t>
      </w:r>
      <w:r w:rsidRPr="008E0BFE">
        <w:rPr>
          <w:noProof/>
          <w:spacing w:val="-8"/>
        </w:rPr>
        <w:t xml:space="preserve">provides more opportunities for new platforms than </w:t>
      </w:r>
      <w:r w:rsidRPr="00000EF1">
        <w:rPr>
          <w:noProof/>
          <w:spacing w:val="-8"/>
        </w:rPr>
        <w:t>in</w:t>
      </w:r>
      <w:r w:rsidRPr="008E0BFE">
        <w:rPr>
          <w:noProof/>
          <w:spacing w:val="-8"/>
        </w:rPr>
        <w:t xml:space="preserve"> PO1.</w:t>
      </w:r>
      <w:r w:rsidRPr="00000EF1">
        <w:rPr>
          <w:noProof/>
          <w:spacing w:val="-8"/>
        </w:rPr>
        <w:t xml:space="preserve"> </w:t>
      </w:r>
      <w:r w:rsidRPr="008E0BFE">
        <w:rPr>
          <w:noProof/>
          <w:spacing w:val="-8"/>
        </w:rPr>
        <w:t xml:space="preserve">The effect is </w:t>
      </w:r>
      <w:r w:rsidRPr="00000EF1">
        <w:rPr>
          <w:noProof/>
          <w:spacing w:val="-8"/>
        </w:rPr>
        <w:t>the highest</w:t>
      </w:r>
      <w:r w:rsidRPr="008E0BFE">
        <w:rPr>
          <w:noProof/>
          <w:spacing w:val="-8"/>
        </w:rPr>
        <w:t xml:space="preserve"> in PO2</w:t>
      </w:r>
      <w:r w:rsidRPr="00000EF1">
        <w:rPr>
          <w:noProof/>
          <w:spacing w:val="-8"/>
        </w:rPr>
        <w:t xml:space="preserve"> relative to the baseline (29 additional platforms in 2030)</w:t>
      </w:r>
      <w:r w:rsidRPr="008E0BFE">
        <w:rPr>
          <w:noProof/>
          <w:spacing w:val="-8"/>
        </w:rPr>
        <w:t xml:space="preserve">, since in PO3 some platforms would anticipate a broader offer by the incumbents </w:t>
      </w:r>
      <w:r w:rsidRPr="00000EF1">
        <w:rPr>
          <w:noProof/>
          <w:spacing w:val="-8"/>
        </w:rPr>
        <w:t xml:space="preserve">due to the hosting obligation (PM14) </w:t>
      </w:r>
      <w:r w:rsidRPr="008E0BFE">
        <w:rPr>
          <w:noProof/>
          <w:spacing w:val="-8"/>
        </w:rPr>
        <w:t>and see less margin for an alternative offer</w:t>
      </w:r>
      <w:r w:rsidRPr="00000EF1">
        <w:rPr>
          <w:noProof/>
          <w:spacing w:val="-8"/>
        </w:rPr>
        <w:t xml:space="preserve"> and thus new platforms (26 additional platforms relative to the baseline in 2030)</w:t>
      </w:r>
      <w:r w:rsidRPr="008E0BFE">
        <w:rPr>
          <w:noProof/>
          <w:spacing w:val="-8"/>
        </w:rPr>
        <w:t xml:space="preserve">. </w:t>
      </w:r>
      <w:r w:rsidRPr="00000EF1">
        <w:rPr>
          <w:noProof/>
          <w:spacing w:val="-8"/>
        </w:rPr>
        <w:t xml:space="preserve">The effect in PO4 is between that of PO2 and PO3 (27 additional platforms relative to the baseline in 2030) because the new platforms are expected to perceive the unbundled platform as a less strong </w:t>
      </w:r>
      <w:r w:rsidR="001F6313">
        <w:rPr>
          <w:noProof/>
          <w:spacing w:val="-8"/>
        </w:rPr>
        <w:t>competitor</w:t>
      </w:r>
      <w:r w:rsidR="000D5EC2">
        <w:rPr>
          <w:noProof/>
          <w:spacing w:val="-8"/>
        </w:rPr>
        <w:t xml:space="preserve">, </w:t>
      </w:r>
      <w:r w:rsidR="00FE177D">
        <w:rPr>
          <w:noProof/>
          <w:spacing w:val="-8"/>
        </w:rPr>
        <w:t xml:space="preserve">once it is </w:t>
      </w:r>
      <w:r w:rsidR="000D5EC2">
        <w:rPr>
          <w:noProof/>
          <w:spacing w:val="-8"/>
        </w:rPr>
        <w:t xml:space="preserve">no longer tied to </w:t>
      </w:r>
      <w:r w:rsidR="00FE177D">
        <w:rPr>
          <w:noProof/>
          <w:spacing w:val="-8"/>
        </w:rPr>
        <w:t>the incumbent rail operators</w:t>
      </w:r>
      <w:r w:rsidRPr="00000EF1">
        <w:rPr>
          <w:noProof/>
          <w:spacing w:val="-8"/>
        </w:rPr>
        <w:t xml:space="preserve">. In 2040, in PO2 the </w:t>
      </w:r>
      <w:r w:rsidRPr="008E0BFE">
        <w:rPr>
          <w:noProof/>
          <w:spacing w:val="-8"/>
        </w:rPr>
        <w:t>incumbent platforms</w:t>
      </w:r>
      <w:r w:rsidRPr="00000EF1">
        <w:rPr>
          <w:noProof/>
          <w:spacing w:val="-8"/>
        </w:rPr>
        <w:t xml:space="preserve"> are expected to continue to show a limited offer, and new platforms would exploit the opportunities that this creates. PO2 thus results in 282 additional platforms relative to the baseline in 2040. </w:t>
      </w:r>
      <w:r w:rsidRPr="008E0BFE">
        <w:rPr>
          <w:noProof/>
          <w:spacing w:val="-8"/>
        </w:rPr>
        <w:t xml:space="preserve">In PO3, incumbent platforms provide a full </w:t>
      </w:r>
      <w:r w:rsidRPr="00000EF1">
        <w:rPr>
          <w:noProof/>
          <w:spacing w:val="-8"/>
        </w:rPr>
        <w:t>offer,</w:t>
      </w:r>
      <w:r w:rsidRPr="008E0BFE">
        <w:rPr>
          <w:noProof/>
          <w:spacing w:val="-8"/>
        </w:rPr>
        <w:t xml:space="preserve"> and customers have no reason to switch</w:t>
      </w:r>
      <w:r w:rsidRPr="00000EF1">
        <w:rPr>
          <w:noProof/>
          <w:spacing w:val="-8"/>
        </w:rPr>
        <w:t xml:space="preserve">. The number of new additional platforms is thus expected to be lower than in PO2 (235 additional platforms relative to the baseline in 2040). </w:t>
      </w:r>
      <w:r w:rsidRPr="008E0BFE">
        <w:rPr>
          <w:noProof/>
          <w:spacing w:val="-8"/>
        </w:rPr>
        <w:t>PO4 sits between PO2 and PO3, since the unbundled platform</w:t>
      </w:r>
      <w:r w:rsidRPr="00000EF1">
        <w:rPr>
          <w:noProof/>
          <w:spacing w:val="-8"/>
        </w:rPr>
        <w:t>s are</w:t>
      </w:r>
      <w:r w:rsidRPr="008E0BFE">
        <w:rPr>
          <w:noProof/>
          <w:spacing w:val="-8"/>
        </w:rPr>
        <w:t xml:space="preserve"> not as strong as the vertically integrated one</w:t>
      </w:r>
      <w:r w:rsidRPr="00000EF1">
        <w:rPr>
          <w:noProof/>
          <w:spacing w:val="-8"/>
        </w:rPr>
        <w:t>s and leave more space for the new platform (258 additional platforms relative to the baseline in 2040)</w:t>
      </w:r>
      <w:r w:rsidRPr="008E0BFE">
        <w:rPr>
          <w:noProof/>
          <w:spacing w:val="-8"/>
        </w:rPr>
        <w:t>.</w:t>
      </w:r>
      <w:r w:rsidRPr="00000EF1">
        <w:rPr>
          <w:noProof/>
          <w:spacing w:val="-8"/>
        </w:rPr>
        <w:t xml:space="preserve"> By 2050, t</w:t>
      </w:r>
      <w:r w:rsidRPr="008E0BFE">
        <w:rPr>
          <w:noProof/>
          <w:spacing w:val="-8"/>
        </w:rPr>
        <w:t xml:space="preserve">he market </w:t>
      </w:r>
      <w:r w:rsidRPr="00000EF1">
        <w:rPr>
          <w:noProof/>
          <w:spacing w:val="-8"/>
        </w:rPr>
        <w:t>is expected to converge towards</w:t>
      </w:r>
      <w:r w:rsidRPr="008E0BFE">
        <w:rPr>
          <w:noProof/>
          <w:spacing w:val="-8"/>
        </w:rPr>
        <w:t xml:space="preserve"> the same number of platforms</w:t>
      </w:r>
      <w:r w:rsidRPr="00000EF1">
        <w:rPr>
          <w:noProof/>
          <w:spacing w:val="-8"/>
        </w:rPr>
        <w:t xml:space="preserve"> in PO2, PO3 and PO4 (209 additional platforms relative to the baseline)</w:t>
      </w:r>
      <w:r w:rsidRPr="008E0BFE">
        <w:rPr>
          <w:noProof/>
          <w:spacing w:val="-8"/>
        </w:rPr>
        <w:t>. In PO2, the strong competition between platform</w:t>
      </w:r>
      <w:r w:rsidRPr="00000EF1">
        <w:rPr>
          <w:noProof/>
          <w:spacing w:val="-8"/>
        </w:rPr>
        <w:t>s is expected to erode</w:t>
      </w:r>
      <w:r w:rsidRPr="008E0BFE">
        <w:rPr>
          <w:noProof/>
          <w:spacing w:val="-8"/>
        </w:rPr>
        <w:t xml:space="preserve"> the legacy advantage of the incumbents. This creates an intense competition leading to a consolidation of the sector. In PO3 </w:t>
      </w:r>
      <w:r w:rsidRPr="00000EF1">
        <w:rPr>
          <w:noProof/>
          <w:spacing w:val="-8"/>
        </w:rPr>
        <w:t>no change is expected relative to</w:t>
      </w:r>
      <w:r w:rsidRPr="008E0BFE">
        <w:rPr>
          <w:noProof/>
          <w:spacing w:val="-8"/>
        </w:rPr>
        <w:t xml:space="preserve"> 2040</w:t>
      </w:r>
      <w:r w:rsidRPr="00000EF1">
        <w:rPr>
          <w:noProof/>
          <w:spacing w:val="-8"/>
        </w:rPr>
        <w:t>, while i</w:t>
      </w:r>
      <w:r w:rsidRPr="008E0BFE">
        <w:rPr>
          <w:noProof/>
          <w:spacing w:val="-8"/>
        </w:rPr>
        <w:t>n PO4 some consolidation</w:t>
      </w:r>
      <w:r w:rsidRPr="00000EF1">
        <w:rPr>
          <w:noProof/>
          <w:spacing w:val="-8"/>
        </w:rPr>
        <w:t xml:space="preserve"> also takes place </w:t>
      </w:r>
      <w:r w:rsidRPr="008E0BFE">
        <w:rPr>
          <w:noProof/>
          <w:spacing w:val="-8"/>
        </w:rPr>
        <w:t xml:space="preserve">but to a lesser extent than </w:t>
      </w:r>
      <w:r w:rsidRPr="00000EF1">
        <w:rPr>
          <w:noProof/>
          <w:spacing w:val="-8"/>
        </w:rPr>
        <w:t xml:space="preserve">in </w:t>
      </w:r>
      <w:r w:rsidRPr="008E0BFE">
        <w:rPr>
          <w:noProof/>
          <w:spacing w:val="-8"/>
        </w:rPr>
        <w:t>PO2.</w:t>
      </w:r>
      <w:r>
        <w:rPr>
          <w:noProof/>
        </w:rPr>
        <w:t xml:space="preserve"> </w:t>
      </w:r>
    </w:p>
    <w:p w14:paraId="4B85DA57" w14:textId="29509470" w:rsidR="00004CA5" w:rsidRDefault="00004CA5" w:rsidP="00B742C8">
      <w:pPr>
        <w:pStyle w:val="Caption"/>
        <w:keepNext/>
        <w:widowControl/>
        <w:spacing w:after="0"/>
        <w:jc w:val="both"/>
        <w:rPr>
          <w:noProof/>
          <w:color w:val="auto"/>
          <w:sz w:val="22"/>
          <w:szCs w:val="22"/>
        </w:rPr>
      </w:pPr>
      <w:bookmarkStart w:id="129" w:name="_Ref140610625"/>
      <w:bookmarkStart w:id="130" w:name="_Ref222820341"/>
      <w:r w:rsidRPr="00FF006A">
        <w:rPr>
          <w:noProof/>
          <w:color w:val="auto"/>
          <w:sz w:val="22"/>
          <w:szCs w:val="22"/>
        </w:rPr>
        <w:t xml:space="preserve">Table </w:t>
      </w:r>
      <w:r w:rsidRPr="00FF006A">
        <w:rPr>
          <w:noProof/>
          <w:color w:val="auto"/>
          <w:sz w:val="22"/>
          <w:szCs w:val="22"/>
        </w:rPr>
        <w:fldChar w:fldCharType="begin"/>
      </w:r>
      <w:r w:rsidRPr="00FF006A">
        <w:rPr>
          <w:noProof/>
          <w:color w:val="auto"/>
          <w:sz w:val="22"/>
          <w:szCs w:val="22"/>
        </w:rPr>
        <w:instrText xml:space="preserve"> SEQ Table \* ARABIC </w:instrText>
      </w:r>
      <w:r w:rsidRPr="00FF006A">
        <w:rPr>
          <w:noProof/>
          <w:color w:val="auto"/>
          <w:sz w:val="22"/>
          <w:szCs w:val="22"/>
        </w:rPr>
        <w:fldChar w:fldCharType="separate"/>
      </w:r>
      <w:r w:rsidR="0055391F">
        <w:rPr>
          <w:noProof/>
          <w:color w:val="auto"/>
          <w:sz w:val="22"/>
          <w:szCs w:val="22"/>
        </w:rPr>
        <w:t>5</w:t>
      </w:r>
      <w:r w:rsidRPr="00FF006A">
        <w:rPr>
          <w:noProof/>
          <w:color w:val="auto"/>
          <w:sz w:val="22"/>
          <w:szCs w:val="22"/>
        </w:rPr>
        <w:fldChar w:fldCharType="end"/>
      </w:r>
      <w:bookmarkEnd w:id="129"/>
      <w:r w:rsidRPr="00FF006A">
        <w:rPr>
          <w:noProof/>
          <w:color w:val="auto"/>
          <w:sz w:val="22"/>
          <w:szCs w:val="22"/>
        </w:rPr>
        <w:t>: Projected number of MDMS platforms across EU</w:t>
      </w:r>
      <w:r>
        <w:rPr>
          <w:noProof/>
          <w:color w:val="auto"/>
          <w:sz w:val="22"/>
          <w:szCs w:val="22"/>
        </w:rPr>
        <w:t>27</w:t>
      </w:r>
      <w:r w:rsidRPr="00FF006A">
        <w:rPr>
          <w:noProof/>
          <w:color w:val="auto"/>
          <w:sz w:val="22"/>
          <w:szCs w:val="22"/>
        </w:rPr>
        <w:t xml:space="preserve"> in the baseline and policy options</w:t>
      </w:r>
      <w:bookmarkEnd w:id="130"/>
      <w:r>
        <w:rPr>
          <w:noProof/>
          <w:color w:val="auto"/>
          <w:sz w:val="22"/>
          <w:szCs w:val="22"/>
        </w:rPr>
        <w:t xml:space="preserve"> in 2028, 2030, 2040 and 2050</w:t>
      </w:r>
    </w:p>
    <w:tbl>
      <w:tblPr>
        <w:tblW w:w="5000" w:type="pct"/>
        <w:tblLook w:val="04A0" w:firstRow="1" w:lastRow="0" w:firstColumn="1" w:lastColumn="0" w:noHBand="0" w:noVBand="1"/>
      </w:tblPr>
      <w:tblGrid>
        <w:gridCol w:w="5713"/>
        <w:gridCol w:w="972"/>
        <w:gridCol w:w="972"/>
        <w:gridCol w:w="972"/>
        <w:gridCol w:w="974"/>
      </w:tblGrid>
      <w:tr w:rsidR="00004CA5" w14:paraId="14CAF5E0" w14:textId="77777777" w:rsidTr="00004CA5">
        <w:trPr>
          <w:trHeight w:val="255"/>
          <w:tblHeader/>
        </w:trPr>
        <w:tc>
          <w:tcPr>
            <w:tcW w:w="2975" w:type="pct"/>
            <w:tcBorders>
              <w:top w:val="single" w:sz="4" w:space="0" w:color="auto"/>
              <w:left w:val="single" w:sz="4" w:space="0" w:color="auto"/>
              <w:bottom w:val="single" w:sz="4" w:space="0" w:color="auto"/>
              <w:right w:val="single" w:sz="4" w:space="0" w:color="auto"/>
            </w:tcBorders>
            <w:shd w:val="clear" w:color="000000" w:fill="0070C0"/>
            <w:noWrap/>
            <w:hideMark/>
          </w:tcPr>
          <w:p w14:paraId="69161B96" w14:textId="77777777" w:rsidR="00004CA5" w:rsidRDefault="00004CA5" w:rsidP="00B742C8">
            <w:pPr>
              <w:keepNext/>
              <w:rPr>
                <w:b/>
                <w:bCs/>
                <w:noProof/>
                <w:color w:val="FFFFFF"/>
                <w:sz w:val="20"/>
                <w:szCs w:val="20"/>
              </w:rPr>
            </w:pPr>
            <w:r>
              <w:rPr>
                <w:b/>
                <w:bCs/>
                <w:noProof/>
                <w:color w:val="FFFFFF"/>
                <w:sz w:val="20"/>
                <w:szCs w:val="20"/>
              </w:rPr>
              <w:t> </w:t>
            </w:r>
          </w:p>
        </w:tc>
        <w:tc>
          <w:tcPr>
            <w:tcW w:w="506" w:type="pct"/>
            <w:tcBorders>
              <w:top w:val="single" w:sz="4" w:space="0" w:color="auto"/>
              <w:left w:val="nil"/>
              <w:bottom w:val="single" w:sz="4" w:space="0" w:color="auto"/>
              <w:right w:val="single" w:sz="4" w:space="0" w:color="auto"/>
            </w:tcBorders>
            <w:shd w:val="clear" w:color="000000" w:fill="0070C0"/>
            <w:noWrap/>
            <w:hideMark/>
          </w:tcPr>
          <w:p w14:paraId="102D3D7C" w14:textId="77777777" w:rsidR="00004CA5" w:rsidRDefault="00004CA5" w:rsidP="00B742C8">
            <w:pPr>
              <w:keepNext/>
              <w:jc w:val="center"/>
              <w:rPr>
                <w:b/>
                <w:bCs/>
                <w:noProof/>
                <w:color w:val="FFFFFF"/>
                <w:sz w:val="20"/>
                <w:szCs w:val="20"/>
              </w:rPr>
            </w:pPr>
            <w:r>
              <w:rPr>
                <w:b/>
                <w:bCs/>
                <w:noProof/>
                <w:color w:val="FFFFFF"/>
                <w:sz w:val="20"/>
                <w:szCs w:val="20"/>
              </w:rPr>
              <w:t>2028</w:t>
            </w:r>
          </w:p>
        </w:tc>
        <w:tc>
          <w:tcPr>
            <w:tcW w:w="506" w:type="pct"/>
            <w:tcBorders>
              <w:top w:val="single" w:sz="4" w:space="0" w:color="auto"/>
              <w:left w:val="nil"/>
              <w:bottom w:val="single" w:sz="4" w:space="0" w:color="auto"/>
              <w:right w:val="single" w:sz="4" w:space="0" w:color="auto"/>
            </w:tcBorders>
            <w:shd w:val="clear" w:color="000000" w:fill="0070C0"/>
            <w:noWrap/>
            <w:hideMark/>
          </w:tcPr>
          <w:p w14:paraId="329C786B" w14:textId="77777777" w:rsidR="00004CA5" w:rsidRDefault="00004CA5" w:rsidP="00B742C8">
            <w:pPr>
              <w:keepNext/>
              <w:jc w:val="center"/>
              <w:rPr>
                <w:b/>
                <w:bCs/>
                <w:noProof/>
                <w:color w:val="FFFFFF"/>
                <w:sz w:val="20"/>
                <w:szCs w:val="20"/>
              </w:rPr>
            </w:pPr>
            <w:r>
              <w:rPr>
                <w:b/>
                <w:bCs/>
                <w:noProof/>
                <w:color w:val="FFFFFF"/>
                <w:sz w:val="20"/>
                <w:szCs w:val="20"/>
              </w:rPr>
              <w:t>2030</w:t>
            </w:r>
          </w:p>
        </w:tc>
        <w:tc>
          <w:tcPr>
            <w:tcW w:w="506" w:type="pct"/>
            <w:tcBorders>
              <w:top w:val="single" w:sz="4" w:space="0" w:color="auto"/>
              <w:left w:val="nil"/>
              <w:bottom w:val="single" w:sz="4" w:space="0" w:color="auto"/>
              <w:right w:val="single" w:sz="4" w:space="0" w:color="auto"/>
            </w:tcBorders>
            <w:shd w:val="clear" w:color="000000" w:fill="0070C0"/>
            <w:noWrap/>
            <w:hideMark/>
          </w:tcPr>
          <w:p w14:paraId="37C46774" w14:textId="77777777" w:rsidR="00004CA5" w:rsidRDefault="00004CA5" w:rsidP="00B742C8">
            <w:pPr>
              <w:keepNext/>
              <w:jc w:val="center"/>
              <w:rPr>
                <w:b/>
                <w:bCs/>
                <w:noProof/>
                <w:color w:val="FFFFFF"/>
                <w:sz w:val="20"/>
                <w:szCs w:val="20"/>
              </w:rPr>
            </w:pPr>
            <w:r>
              <w:rPr>
                <w:b/>
                <w:bCs/>
                <w:noProof/>
                <w:color w:val="FFFFFF"/>
                <w:sz w:val="20"/>
                <w:szCs w:val="20"/>
              </w:rPr>
              <w:t>2040</w:t>
            </w:r>
          </w:p>
        </w:tc>
        <w:tc>
          <w:tcPr>
            <w:tcW w:w="506" w:type="pct"/>
            <w:tcBorders>
              <w:top w:val="single" w:sz="4" w:space="0" w:color="auto"/>
              <w:left w:val="nil"/>
              <w:bottom w:val="single" w:sz="4" w:space="0" w:color="auto"/>
              <w:right w:val="single" w:sz="4" w:space="0" w:color="auto"/>
            </w:tcBorders>
            <w:shd w:val="clear" w:color="000000" w:fill="0070C0"/>
            <w:noWrap/>
            <w:hideMark/>
          </w:tcPr>
          <w:p w14:paraId="04C1AB08" w14:textId="77777777" w:rsidR="00004CA5" w:rsidRDefault="00004CA5" w:rsidP="00B742C8">
            <w:pPr>
              <w:keepNext/>
              <w:jc w:val="center"/>
              <w:rPr>
                <w:b/>
                <w:bCs/>
                <w:noProof/>
                <w:color w:val="FFFFFF"/>
                <w:sz w:val="20"/>
                <w:szCs w:val="20"/>
              </w:rPr>
            </w:pPr>
            <w:r>
              <w:rPr>
                <w:b/>
                <w:bCs/>
                <w:noProof/>
                <w:color w:val="FFFFFF"/>
                <w:sz w:val="20"/>
                <w:szCs w:val="20"/>
              </w:rPr>
              <w:t>2050</w:t>
            </w:r>
          </w:p>
        </w:tc>
      </w:tr>
      <w:tr w:rsidR="00004CA5" w14:paraId="4F638174" w14:textId="77777777" w:rsidTr="00004CA5">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000000" w:fill="BDE3FF"/>
            <w:hideMark/>
          </w:tcPr>
          <w:p w14:paraId="49474D0B" w14:textId="77777777" w:rsidR="00004CA5" w:rsidRDefault="00004CA5" w:rsidP="00004CA5">
            <w:pPr>
              <w:rPr>
                <w:b/>
                <w:bCs/>
                <w:noProof/>
                <w:sz w:val="20"/>
                <w:szCs w:val="20"/>
              </w:rPr>
            </w:pPr>
            <w:r>
              <w:rPr>
                <w:b/>
                <w:bCs/>
                <w:noProof/>
                <w:sz w:val="20"/>
                <w:szCs w:val="20"/>
              </w:rPr>
              <w:t>Baseline</w:t>
            </w:r>
          </w:p>
        </w:tc>
      </w:tr>
      <w:tr w:rsidR="00004CA5" w14:paraId="467E70CC"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376A0C8B" w14:textId="77777777" w:rsidR="00004CA5" w:rsidRDefault="00004CA5" w:rsidP="00004CA5">
            <w:pPr>
              <w:rPr>
                <w:noProof/>
                <w:color w:val="000000"/>
                <w:sz w:val="20"/>
                <w:szCs w:val="20"/>
              </w:rPr>
            </w:pPr>
            <w:r>
              <w:rPr>
                <w:noProof/>
                <w:color w:val="000000"/>
                <w:sz w:val="20"/>
                <w:szCs w:val="20"/>
              </w:rPr>
              <w:t xml:space="preserve">B2B platforms </w:t>
            </w:r>
          </w:p>
        </w:tc>
        <w:tc>
          <w:tcPr>
            <w:tcW w:w="506" w:type="pct"/>
            <w:tcBorders>
              <w:top w:val="nil"/>
              <w:left w:val="nil"/>
              <w:bottom w:val="single" w:sz="4" w:space="0" w:color="auto"/>
              <w:right w:val="single" w:sz="4" w:space="0" w:color="auto"/>
            </w:tcBorders>
            <w:noWrap/>
            <w:hideMark/>
          </w:tcPr>
          <w:p w14:paraId="7A6FFC52" w14:textId="77777777" w:rsidR="00004CA5" w:rsidRDefault="00004CA5" w:rsidP="00004CA5">
            <w:pPr>
              <w:jc w:val="center"/>
              <w:rPr>
                <w:noProof/>
                <w:color w:val="242828"/>
                <w:sz w:val="20"/>
                <w:szCs w:val="20"/>
              </w:rPr>
            </w:pPr>
            <w:r>
              <w:rPr>
                <w:noProof/>
                <w:color w:val="242828"/>
                <w:sz w:val="20"/>
                <w:szCs w:val="20"/>
              </w:rPr>
              <w:t>98</w:t>
            </w:r>
          </w:p>
        </w:tc>
        <w:tc>
          <w:tcPr>
            <w:tcW w:w="506" w:type="pct"/>
            <w:tcBorders>
              <w:top w:val="nil"/>
              <w:left w:val="nil"/>
              <w:bottom w:val="single" w:sz="4" w:space="0" w:color="auto"/>
              <w:right w:val="single" w:sz="4" w:space="0" w:color="auto"/>
            </w:tcBorders>
            <w:noWrap/>
            <w:hideMark/>
          </w:tcPr>
          <w:p w14:paraId="352FCF19" w14:textId="77777777" w:rsidR="00004CA5" w:rsidRDefault="00004CA5" w:rsidP="00004CA5">
            <w:pPr>
              <w:jc w:val="center"/>
              <w:rPr>
                <w:noProof/>
                <w:color w:val="242828"/>
                <w:sz w:val="20"/>
                <w:szCs w:val="20"/>
              </w:rPr>
            </w:pPr>
            <w:r>
              <w:rPr>
                <w:noProof/>
                <w:color w:val="242828"/>
                <w:sz w:val="20"/>
                <w:szCs w:val="20"/>
              </w:rPr>
              <w:t>99</w:t>
            </w:r>
          </w:p>
        </w:tc>
        <w:tc>
          <w:tcPr>
            <w:tcW w:w="506" w:type="pct"/>
            <w:tcBorders>
              <w:top w:val="nil"/>
              <w:left w:val="nil"/>
              <w:bottom w:val="single" w:sz="4" w:space="0" w:color="auto"/>
              <w:right w:val="single" w:sz="4" w:space="0" w:color="auto"/>
            </w:tcBorders>
            <w:noWrap/>
            <w:hideMark/>
          </w:tcPr>
          <w:p w14:paraId="0628CEEC" w14:textId="77777777" w:rsidR="00004CA5" w:rsidRDefault="00004CA5" w:rsidP="00004CA5">
            <w:pPr>
              <w:jc w:val="center"/>
              <w:rPr>
                <w:noProof/>
                <w:color w:val="242828"/>
                <w:sz w:val="20"/>
                <w:szCs w:val="20"/>
              </w:rPr>
            </w:pPr>
            <w:r>
              <w:rPr>
                <w:noProof/>
                <w:color w:val="242828"/>
                <w:sz w:val="20"/>
                <w:szCs w:val="20"/>
              </w:rPr>
              <w:t>106</w:t>
            </w:r>
          </w:p>
        </w:tc>
        <w:tc>
          <w:tcPr>
            <w:tcW w:w="506" w:type="pct"/>
            <w:tcBorders>
              <w:top w:val="nil"/>
              <w:left w:val="nil"/>
              <w:bottom w:val="single" w:sz="4" w:space="0" w:color="auto"/>
              <w:right w:val="single" w:sz="4" w:space="0" w:color="auto"/>
            </w:tcBorders>
            <w:noWrap/>
            <w:hideMark/>
          </w:tcPr>
          <w:p w14:paraId="6696E93B" w14:textId="77777777" w:rsidR="00004CA5" w:rsidRDefault="00004CA5" w:rsidP="00004CA5">
            <w:pPr>
              <w:jc w:val="center"/>
              <w:rPr>
                <w:noProof/>
                <w:color w:val="242828"/>
                <w:sz w:val="20"/>
                <w:szCs w:val="20"/>
              </w:rPr>
            </w:pPr>
            <w:r>
              <w:rPr>
                <w:noProof/>
                <w:color w:val="242828"/>
                <w:sz w:val="20"/>
                <w:szCs w:val="20"/>
              </w:rPr>
              <w:t>113</w:t>
            </w:r>
          </w:p>
        </w:tc>
      </w:tr>
      <w:tr w:rsidR="00004CA5" w14:paraId="049E5BF7"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7BBA1F51" w14:textId="77777777" w:rsidR="00004CA5" w:rsidRDefault="00004CA5" w:rsidP="00004CA5">
            <w:pPr>
              <w:rPr>
                <w:noProof/>
                <w:color w:val="000000"/>
                <w:sz w:val="20"/>
                <w:szCs w:val="20"/>
              </w:rPr>
            </w:pPr>
            <w:r>
              <w:rPr>
                <w:noProof/>
                <w:color w:val="000000"/>
                <w:sz w:val="20"/>
                <w:szCs w:val="20"/>
              </w:rPr>
              <w:t>B2C platforms</w:t>
            </w:r>
          </w:p>
        </w:tc>
        <w:tc>
          <w:tcPr>
            <w:tcW w:w="506" w:type="pct"/>
            <w:tcBorders>
              <w:top w:val="nil"/>
              <w:left w:val="nil"/>
              <w:bottom w:val="single" w:sz="4" w:space="0" w:color="auto"/>
              <w:right w:val="single" w:sz="4" w:space="0" w:color="auto"/>
            </w:tcBorders>
            <w:noWrap/>
            <w:hideMark/>
          </w:tcPr>
          <w:p w14:paraId="2E506522" w14:textId="77777777" w:rsidR="00004CA5" w:rsidRDefault="00004CA5" w:rsidP="00004CA5">
            <w:pPr>
              <w:jc w:val="center"/>
              <w:rPr>
                <w:noProof/>
                <w:color w:val="242828"/>
                <w:sz w:val="20"/>
                <w:szCs w:val="20"/>
              </w:rPr>
            </w:pPr>
            <w:r>
              <w:rPr>
                <w:noProof/>
                <w:color w:val="242828"/>
                <w:sz w:val="20"/>
                <w:szCs w:val="20"/>
              </w:rPr>
              <w:t>266</w:t>
            </w:r>
          </w:p>
        </w:tc>
        <w:tc>
          <w:tcPr>
            <w:tcW w:w="506" w:type="pct"/>
            <w:tcBorders>
              <w:top w:val="nil"/>
              <w:left w:val="nil"/>
              <w:bottom w:val="single" w:sz="4" w:space="0" w:color="auto"/>
              <w:right w:val="single" w:sz="4" w:space="0" w:color="auto"/>
            </w:tcBorders>
            <w:noWrap/>
            <w:hideMark/>
          </w:tcPr>
          <w:p w14:paraId="5D4482D2" w14:textId="77777777" w:rsidR="00004CA5" w:rsidRDefault="00004CA5" w:rsidP="00004CA5">
            <w:pPr>
              <w:jc w:val="center"/>
              <w:rPr>
                <w:noProof/>
                <w:color w:val="242828"/>
                <w:sz w:val="20"/>
                <w:szCs w:val="20"/>
              </w:rPr>
            </w:pPr>
            <w:r>
              <w:rPr>
                <w:noProof/>
                <w:color w:val="242828"/>
                <w:sz w:val="20"/>
                <w:szCs w:val="20"/>
              </w:rPr>
              <w:t>270</w:t>
            </w:r>
          </w:p>
        </w:tc>
        <w:tc>
          <w:tcPr>
            <w:tcW w:w="506" w:type="pct"/>
            <w:tcBorders>
              <w:top w:val="nil"/>
              <w:left w:val="nil"/>
              <w:bottom w:val="single" w:sz="4" w:space="0" w:color="auto"/>
              <w:right w:val="single" w:sz="4" w:space="0" w:color="auto"/>
            </w:tcBorders>
            <w:noWrap/>
            <w:hideMark/>
          </w:tcPr>
          <w:p w14:paraId="285B9858" w14:textId="77777777" w:rsidR="00004CA5" w:rsidRDefault="00004CA5" w:rsidP="00004CA5">
            <w:pPr>
              <w:jc w:val="center"/>
              <w:rPr>
                <w:noProof/>
                <w:color w:val="242828"/>
                <w:sz w:val="20"/>
                <w:szCs w:val="20"/>
              </w:rPr>
            </w:pPr>
            <w:r>
              <w:rPr>
                <w:noProof/>
                <w:color w:val="242828"/>
                <w:sz w:val="20"/>
                <w:szCs w:val="20"/>
              </w:rPr>
              <w:t>289</w:t>
            </w:r>
          </w:p>
        </w:tc>
        <w:tc>
          <w:tcPr>
            <w:tcW w:w="506" w:type="pct"/>
            <w:tcBorders>
              <w:top w:val="nil"/>
              <w:left w:val="nil"/>
              <w:bottom w:val="single" w:sz="4" w:space="0" w:color="auto"/>
              <w:right w:val="single" w:sz="4" w:space="0" w:color="auto"/>
            </w:tcBorders>
            <w:noWrap/>
            <w:hideMark/>
          </w:tcPr>
          <w:p w14:paraId="5CF02A94" w14:textId="77777777" w:rsidR="00004CA5" w:rsidRDefault="00004CA5" w:rsidP="00004CA5">
            <w:pPr>
              <w:jc w:val="center"/>
              <w:rPr>
                <w:noProof/>
                <w:color w:val="242828"/>
                <w:sz w:val="20"/>
                <w:szCs w:val="20"/>
              </w:rPr>
            </w:pPr>
            <w:r>
              <w:rPr>
                <w:noProof/>
                <w:color w:val="242828"/>
                <w:sz w:val="20"/>
                <w:szCs w:val="20"/>
              </w:rPr>
              <w:t>308</w:t>
            </w:r>
          </w:p>
        </w:tc>
      </w:tr>
      <w:tr w:rsidR="00004CA5" w14:paraId="47790E4D"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4A3AD14C" w14:textId="77777777" w:rsidR="00004CA5" w:rsidRDefault="00004CA5" w:rsidP="00004CA5">
            <w:pPr>
              <w:rPr>
                <w:b/>
                <w:bCs/>
                <w:noProof/>
                <w:color w:val="000000"/>
                <w:sz w:val="20"/>
                <w:szCs w:val="20"/>
              </w:rPr>
            </w:pPr>
            <w:r>
              <w:rPr>
                <w:b/>
                <w:bCs/>
                <w:noProof/>
                <w:color w:val="000000"/>
                <w:sz w:val="20"/>
                <w:szCs w:val="20"/>
              </w:rPr>
              <w:t>Total</w:t>
            </w:r>
          </w:p>
        </w:tc>
        <w:tc>
          <w:tcPr>
            <w:tcW w:w="506" w:type="pct"/>
            <w:tcBorders>
              <w:top w:val="nil"/>
              <w:left w:val="nil"/>
              <w:bottom w:val="single" w:sz="4" w:space="0" w:color="auto"/>
              <w:right w:val="single" w:sz="4" w:space="0" w:color="auto"/>
            </w:tcBorders>
            <w:noWrap/>
            <w:hideMark/>
          </w:tcPr>
          <w:p w14:paraId="4D7C1DC9" w14:textId="77777777" w:rsidR="00004CA5" w:rsidRDefault="00004CA5" w:rsidP="00004CA5">
            <w:pPr>
              <w:jc w:val="center"/>
              <w:rPr>
                <w:b/>
                <w:bCs/>
                <w:noProof/>
                <w:color w:val="242828"/>
                <w:sz w:val="20"/>
                <w:szCs w:val="20"/>
              </w:rPr>
            </w:pPr>
            <w:r>
              <w:rPr>
                <w:b/>
                <w:bCs/>
                <w:noProof/>
                <w:color w:val="242828"/>
                <w:sz w:val="20"/>
                <w:szCs w:val="20"/>
              </w:rPr>
              <w:t>364</w:t>
            </w:r>
          </w:p>
        </w:tc>
        <w:tc>
          <w:tcPr>
            <w:tcW w:w="506" w:type="pct"/>
            <w:tcBorders>
              <w:top w:val="nil"/>
              <w:left w:val="nil"/>
              <w:bottom w:val="single" w:sz="4" w:space="0" w:color="auto"/>
              <w:right w:val="single" w:sz="4" w:space="0" w:color="auto"/>
            </w:tcBorders>
            <w:noWrap/>
            <w:hideMark/>
          </w:tcPr>
          <w:p w14:paraId="2D8F854F" w14:textId="77777777" w:rsidR="00004CA5" w:rsidRDefault="00004CA5" w:rsidP="00004CA5">
            <w:pPr>
              <w:jc w:val="center"/>
              <w:rPr>
                <w:b/>
                <w:bCs/>
                <w:noProof/>
                <w:color w:val="242828"/>
                <w:sz w:val="20"/>
                <w:szCs w:val="20"/>
              </w:rPr>
            </w:pPr>
            <w:r>
              <w:rPr>
                <w:b/>
                <w:bCs/>
                <w:noProof/>
                <w:color w:val="242828"/>
                <w:sz w:val="20"/>
                <w:szCs w:val="20"/>
              </w:rPr>
              <w:t>369</w:t>
            </w:r>
          </w:p>
        </w:tc>
        <w:tc>
          <w:tcPr>
            <w:tcW w:w="506" w:type="pct"/>
            <w:tcBorders>
              <w:top w:val="nil"/>
              <w:left w:val="nil"/>
              <w:bottom w:val="single" w:sz="4" w:space="0" w:color="auto"/>
              <w:right w:val="single" w:sz="4" w:space="0" w:color="auto"/>
            </w:tcBorders>
            <w:noWrap/>
            <w:hideMark/>
          </w:tcPr>
          <w:p w14:paraId="75F9E0A4" w14:textId="77777777" w:rsidR="00004CA5" w:rsidRDefault="00004CA5" w:rsidP="00004CA5">
            <w:pPr>
              <w:jc w:val="center"/>
              <w:rPr>
                <w:b/>
                <w:bCs/>
                <w:noProof/>
                <w:color w:val="242828"/>
                <w:sz w:val="20"/>
                <w:szCs w:val="20"/>
              </w:rPr>
            </w:pPr>
            <w:r>
              <w:rPr>
                <w:b/>
                <w:bCs/>
                <w:noProof/>
                <w:color w:val="242828"/>
                <w:sz w:val="20"/>
                <w:szCs w:val="20"/>
              </w:rPr>
              <w:t>395</w:t>
            </w:r>
          </w:p>
        </w:tc>
        <w:tc>
          <w:tcPr>
            <w:tcW w:w="506" w:type="pct"/>
            <w:tcBorders>
              <w:top w:val="nil"/>
              <w:left w:val="nil"/>
              <w:bottom w:val="single" w:sz="4" w:space="0" w:color="auto"/>
              <w:right w:val="single" w:sz="4" w:space="0" w:color="auto"/>
            </w:tcBorders>
            <w:noWrap/>
            <w:hideMark/>
          </w:tcPr>
          <w:p w14:paraId="0E2BF595" w14:textId="77777777" w:rsidR="00004CA5" w:rsidRDefault="00004CA5" w:rsidP="00004CA5">
            <w:pPr>
              <w:jc w:val="center"/>
              <w:rPr>
                <w:b/>
                <w:bCs/>
                <w:noProof/>
                <w:color w:val="242828"/>
                <w:sz w:val="20"/>
                <w:szCs w:val="20"/>
              </w:rPr>
            </w:pPr>
            <w:r>
              <w:rPr>
                <w:b/>
                <w:bCs/>
                <w:noProof/>
                <w:color w:val="242828"/>
                <w:sz w:val="20"/>
                <w:szCs w:val="20"/>
              </w:rPr>
              <w:t>421</w:t>
            </w:r>
          </w:p>
        </w:tc>
      </w:tr>
      <w:tr w:rsidR="00004CA5" w14:paraId="0452DB20"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0A266A28" w14:textId="77777777" w:rsidR="00004CA5" w:rsidRDefault="00004CA5" w:rsidP="00004CA5">
            <w:pPr>
              <w:rPr>
                <w:b/>
                <w:bCs/>
                <w:noProof/>
                <w:sz w:val="20"/>
                <w:szCs w:val="20"/>
              </w:rPr>
            </w:pPr>
            <w:r>
              <w:rPr>
                <w:b/>
                <w:bCs/>
                <w:noProof/>
                <w:sz w:val="20"/>
                <w:szCs w:val="20"/>
              </w:rPr>
              <w:t>PO1</w:t>
            </w:r>
          </w:p>
        </w:tc>
        <w:tc>
          <w:tcPr>
            <w:tcW w:w="506" w:type="pct"/>
            <w:tcBorders>
              <w:top w:val="nil"/>
              <w:left w:val="nil"/>
              <w:bottom w:val="single" w:sz="4" w:space="0" w:color="auto"/>
              <w:right w:val="single" w:sz="4" w:space="0" w:color="auto"/>
            </w:tcBorders>
            <w:shd w:val="clear" w:color="000000" w:fill="BDE3FF"/>
            <w:hideMark/>
          </w:tcPr>
          <w:p w14:paraId="7EC32D43" w14:textId="77777777" w:rsidR="00004CA5" w:rsidRDefault="00004CA5" w:rsidP="00004CA5">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20AC4E0A" w14:textId="77777777" w:rsidR="00004CA5" w:rsidRDefault="00004CA5" w:rsidP="00004CA5">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0D3AA24A" w14:textId="77777777" w:rsidR="00004CA5" w:rsidRDefault="00004CA5" w:rsidP="00004CA5">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1D709D65" w14:textId="77777777" w:rsidR="00004CA5" w:rsidRDefault="00004CA5" w:rsidP="00004CA5">
            <w:pPr>
              <w:rPr>
                <w:b/>
                <w:bCs/>
                <w:noProof/>
                <w:sz w:val="20"/>
                <w:szCs w:val="20"/>
              </w:rPr>
            </w:pPr>
            <w:r>
              <w:rPr>
                <w:b/>
                <w:bCs/>
                <w:noProof/>
                <w:sz w:val="20"/>
                <w:szCs w:val="20"/>
              </w:rPr>
              <w:t> </w:t>
            </w:r>
          </w:p>
        </w:tc>
      </w:tr>
      <w:tr w:rsidR="00004CA5" w14:paraId="1DC9D512"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79AD0D46" w14:textId="77777777" w:rsidR="00004CA5" w:rsidRDefault="00004CA5" w:rsidP="00004CA5">
            <w:pPr>
              <w:rPr>
                <w:noProof/>
                <w:color w:val="000000"/>
                <w:sz w:val="20"/>
                <w:szCs w:val="20"/>
              </w:rPr>
            </w:pPr>
            <w:r>
              <w:rPr>
                <w:noProof/>
                <w:color w:val="000000"/>
                <w:sz w:val="20"/>
                <w:szCs w:val="20"/>
              </w:rPr>
              <w:t xml:space="preserve">B2B platforms </w:t>
            </w:r>
          </w:p>
        </w:tc>
        <w:tc>
          <w:tcPr>
            <w:tcW w:w="506" w:type="pct"/>
            <w:tcBorders>
              <w:top w:val="nil"/>
              <w:left w:val="nil"/>
              <w:bottom w:val="single" w:sz="4" w:space="0" w:color="auto"/>
              <w:right w:val="single" w:sz="4" w:space="0" w:color="auto"/>
            </w:tcBorders>
            <w:shd w:val="clear" w:color="000000" w:fill="FFFFFF"/>
            <w:noWrap/>
            <w:hideMark/>
          </w:tcPr>
          <w:p w14:paraId="7EE32E89" w14:textId="77777777" w:rsidR="00004CA5" w:rsidRDefault="00004CA5" w:rsidP="00004CA5">
            <w:pPr>
              <w:jc w:val="center"/>
              <w:rPr>
                <w:noProof/>
                <w:color w:val="000000"/>
                <w:sz w:val="20"/>
                <w:szCs w:val="20"/>
              </w:rPr>
            </w:pPr>
            <w:r>
              <w:rPr>
                <w:noProof/>
                <w:color w:val="000000"/>
                <w:sz w:val="20"/>
                <w:szCs w:val="20"/>
              </w:rPr>
              <w:t>98</w:t>
            </w:r>
          </w:p>
        </w:tc>
        <w:tc>
          <w:tcPr>
            <w:tcW w:w="506" w:type="pct"/>
            <w:tcBorders>
              <w:top w:val="nil"/>
              <w:left w:val="nil"/>
              <w:bottom w:val="single" w:sz="4" w:space="0" w:color="auto"/>
              <w:right w:val="single" w:sz="4" w:space="0" w:color="auto"/>
            </w:tcBorders>
            <w:shd w:val="clear" w:color="000000" w:fill="FFFFFF"/>
            <w:noWrap/>
            <w:hideMark/>
          </w:tcPr>
          <w:p w14:paraId="6C7D4490" w14:textId="77777777" w:rsidR="00004CA5" w:rsidRDefault="00004CA5" w:rsidP="00004CA5">
            <w:pPr>
              <w:jc w:val="center"/>
              <w:rPr>
                <w:noProof/>
                <w:color w:val="000000"/>
                <w:sz w:val="20"/>
                <w:szCs w:val="20"/>
              </w:rPr>
            </w:pPr>
            <w:r>
              <w:rPr>
                <w:noProof/>
                <w:color w:val="000000"/>
                <w:sz w:val="20"/>
                <w:szCs w:val="20"/>
              </w:rPr>
              <w:t>102</w:t>
            </w:r>
          </w:p>
        </w:tc>
        <w:tc>
          <w:tcPr>
            <w:tcW w:w="506" w:type="pct"/>
            <w:tcBorders>
              <w:top w:val="nil"/>
              <w:left w:val="nil"/>
              <w:bottom w:val="single" w:sz="4" w:space="0" w:color="auto"/>
              <w:right w:val="single" w:sz="4" w:space="0" w:color="auto"/>
            </w:tcBorders>
            <w:shd w:val="clear" w:color="000000" w:fill="FFFFFF"/>
            <w:noWrap/>
            <w:hideMark/>
          </w:tcPr>
          <w:p w14:paraId="1CBC3FD3" w14:textId="77777777" w:rsidR="00004CA5" w:rsidRDefault="00004CA5" w:rsidP="00004CA5">
            <w:pPr>
              <w:jc w:val="center"/>
              <w:rPr>
                <w:noProof/>
                <w:color w:val="000000"/>
                <w:sz w:val="20"/>
                <w:szCs w:val="20"/>
              </w:rPr>
            </w:pPr>
            <w:r>
              <w:rPr>
                <w:noProof/>
                <w:color w:val="000000"/>
                <w:sz w:val="20"/>
                <w:szCs w:val="20"/>
              </w:rPr>
              <w:t>118</w:t>
            </w:r>
          </w:p>
        </w:tc>
        <w:tc>
          <w:tcPr>
            <w:tcW w:w="506" w:type="pct"/>
            <w:tcBorders>
              <w:top w:val="nil"/>
              <w:left w:val="nil"/>
              <w:bottom w:val="single" w:sz="4" w:space="0" w:color="auto"/>
              <w:right w:val="single" w:sz="4" w:space="0" w:color="auto"/>
            </w:tcBorders>
            <w:shd w:val="clear" w:color="000000" w:fill="FFFFFF"/>
            <w:noWrap/>
            <w:hideMark/>
          </w:tcPr>
          <w:p w14:paraId="7CE950B3" w14:textId="77777777" w:rsidR="00004CA5" w:rsidRDefault="00004CA5" w:rsidP="00004CA5">
            <w:pPr>
              <w:jc w:val="center"/>
              <w:rPr>
                <w:noProof/>
                <w:color w:val="000000"/>
                <w:sz w:val="20"/>
                <w:szCs w:val="20"/>
              </w:rPr>
            </w:pPr>
            <w:r>
              <w:rPr>
                <w:noProof/>
                <w:color w:val="000000"/>
                <w:sz w:val="20"/>
                <w:szCs w:val="20"/>
              </w:rPr>
              <w:t>118</w:t>
            </w:r>
          </w:p>
        </w:tc>
      </w:tr>
      <w:tr w:rsidR="00004CA5" w14:paraId="614BD1A0"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62FFD8B2" w14:textId="77777777" w:rsidR="00004CA5" w:rsidRDefault="00004CA5" w:rsidP="00004CA5">
            <w:pPr>
              <w:rPr>
                <w:noProof/>
                <w:color w:val="000000"/>
                <w:sz w:val="20"/>
                <w:szCs w:val="20"/>
              </w:rPr>
            </w:pPr>
            <w:r>
              <w:rPr>
                <w:noProof/>
                <w:color w:val="000000"/>
                <w:sz w:val="20"/>
                <w:szCs w:val="20"/>
              </w:rPr>
              <w:t>B2C platforms</w:t>
            </w:r>
          </w:p>
        </w:tc>
        <w:tc>
          <w:tcPr>
            <w:tcW w:w="506" w:type="pct"/>
            <w:tcBorders>
              <w:top w:val="nil"/>
              <w:left w:val="nil"/>
              <w:bottom w:val="single" w:sz="4" w:space="0" w:color="auto"/>
              <w:right w:val="single" w:sz="4" w:space="0" w:color="auto"/>
            </w:tcBorders>
            <w:shd w:val="clear" w:color="000000" w:fill="FFFFFF"/>
            <w:noWrap/>
            <w:hideMark/>
          </w:tcPr>
          <w:p w14:paraId="0C29179C" w14:textId="77777777" w:rsidR="00004CA5" w:rsidRDefault="00004CA5" w:rsidP="00004CA5">
            <w:pPr>
              <w:jc w:val="center"/>
              <w:rPr>
                <w:noProof/>
                <w:color w:val="000000"/>
                <w:sz w:val="20"/>
                <w:szCs w:val="20"/>
              </w:rPr>
            </w:pPr>
            <w:r>
              <w:rPr>
                <w:noProof/>
                <w:color w:val="000000"/>
                <w:sz w:val="20"/>
                <w:szCs w:val="20"/>
              </w:rPr>
              <w:t>266</w:t>
            </w:r>
          </w:p>
        </w:tc>
        <w:tc>
          <w:tcPr>
            <w:tcW w:w="506" w:type="pct"/>
            <w:tcBorders>
              <w:top w:val="nil"/>
              <w:left w:val="nil"/>
              <w:bottom w:val="single" w:sz="4" w:space="0" w:color="auto"/>
              <w:right w:val="single" w:sz="4" w:space="0" w:color="auto"/>
            </w:tcBorders>
            <w:shd w:val="clear" w:color="000000" w:fill="FFFFFF"/>
            <w:noWrap/>
            <w:hideMark/>
          </w:tcPr>
          <w:p w14:paraId="1F7B6137" w14:textId="77777777" w:rsidR="00004CA5" w:rsidRDefault="00004CA5" w:rsidP="00004CA5">
            <w:pPr>
              <w:jc w:val="center"/>
              <w:rPr>
                <w:noProof/>
                <w:color w:val="000000"/>
                <w:sz w:val="20"/>
                <w:szCs w:val="20"/>
              </w:rPr>
            </w:pPr>
            <w:r>
              <w:rPr>
                <w:noProof/>
                <w:color w:val="000000"/>
                <w:sz w:val="20"/>
                <w:szCs w:val="20"/>
              </w:rPr>
              <w:t>277</w:t>
            </w:r>
          </w:p>
        </w:tc>
        <w:tc>
          <w:tcPr>
            <w:tcW w:w="506" w:type="pct"/>
            <w:tcBorders>
              <w:top w:val="nil"/>
              <w:left w:val="nil"/>
              <w:bottom w:val="single" w:sz="4" w:space="0" w:color="auto"/>
              <w:right w:val="single" w:sz="4" w:space="0" w:color="auto"/>
            </w:tcBorders>
            <w:shd w:val="clear" w:color="000000" w:fill="FFFFFF"/>
            <w:noWrap/>
            <w:hideMark/>
          </w:tcPr>
          <w:p w14:paraId="5B4D2E88" w14:textId="77777777" w:rsidR="00004CA5" w:rsidRDefault="00004CA5" w:rsidP="00004CA5">
            <w:pPr>
              <w:jc w:val="center"/>
              <w:rPr>
                <w:noProof/>
                <w:color w:val="000000"/>
                <w:sz w:val="20"/>
                <w:szCs w:val="20"/>
              </w:rPr>
            </w:pPr>
            <w:r>
              <w:rPr>
                <w:noProof/>
                <w:color w:val="000000"/>
                <w:sz w:val="20"/>
                <w:szCs w:val="20"/>
              </w:rPr>
              <w:t>322</w:t>
            </w:r>
          </w:p>
        </w:tc>
        <w:tc>
          <w:tcPr>
            <w:tcW w:w="506" w:type="pct"/>
            <w:tcBorders>
              <w:top w:val="nil"/>
              <w:left w:val="nil"/>
              <w:bottom w:val="single" w:sz="4" w:space="0" w:color="auto"/>
              <w:right w:val="single" w:sz="4" w:space="0" w:color="auto"/>
            </w:tcBorders>
            <w:shd w:val="clear" w:color="000000" w:fill="FFFFFF"/>
            <w:noWrap/>
            <w:hideMark/>
          </w:tcPr>
          <w:p w14:paraId="3AFEF00C" w14:textId="77777777" w:rsidR="00004CA5" w:rsidRDefault="00004CA5" w:rsidP="00004CA5">
            <w:pPr>
              <w:jc w:val="center"/>
              <w:rPr>
                <w:noProof/>
                <w:color w:val="000000"/>
                <w:sz w:val="20"/>
                <w:szCs w:val="20"/>
              </w:rPr>
            </w:pPr>
            <w:r>
              <w:rPr>
                <w:noProof/>
                <w:color w:val="000000"/>
                <w:sz w:val="20"/>
                <w:szCs w:val="20"/>
              </w:rPr>
              <w:t>322</w:t>
            </w:r>
          </w:p>
        </w:tc>
      </w:tr>
      <w:tr w:rsidR="00004CA5" w14:paraId="62D199CD"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34B5DC17" w14:textId="77777777" w:rsidR="00004CA5" w:rsidRDefault="00004CA5" w:rsidP="00004CA5">
            <w:pPr>
              <w:rPr>
                <w:b/>
                <w:bCs/>
                <w:noProof/>
                <w:color w:val="000000"/>
                <w:sz w:val="20"/>
                <w:szCs w:val="20"/>
              </w:rPr>
            </w:pPr>
            <w:r>
              <w:rPr>
                <w:b/>
                <w:bCs/>
                <w:noProof/>
                <w:color w:val="000000"/>
                <w:sz w:val="20"/>
                <w:szCs w:val="20"/>
              </w:rPr>
              <w:t>Total</w:t>
            </w:r>
          </w:p>
        </w:tc>
        <w:tc>
          <w:tcPr>
            <w:tcW w:w="506" w:type="pct"/>
            <w:tcBorders>
              <w:top w:val="nil"/>
              <w:left w:val="nil"/>
              <w:bottom w:val="single" w:sz="4" w:space="0" w:color="auto"/>
              <w:right w:val="single" w:sz="4" w:space="0" w:color="auto"/>
            </w:tcBorders>
            <w:noWrap/>
            <w:hideMark/>
          </w:tcPr>
          <w:p w14:paraId="3FC92696" w14:textId="77777777" w:rsidR="00004CA5" w:rsidRDefault="00004CA5" w:rsidP="00004CA5">
            <w:pPr>
              <w:jc w:val="center"/>
              <w:rPr>
                <w:b/>
                <w:bCs/>
                <w:noProof/>
                <w:color w:val="242828"/>
                <w:sz w:val="20"/>
                <w:szCs w:val="20"/>
              </w:rPr>
            </w:pPr>
            <w:r>
              <w:rPr>
                <w:b/>
                <w:bCs/>
                <w:noProof/>
                <w:color w:val="242828"/>
                <w:sz w:val="20"/>
                <w:szCs w:val="20"/>
              </w:rPr>
              <w:t>364</w:t>
            </w:r>
          </w:p>
        </w:tc>
        <w:tc>
          <w:tcPr>
            <w:tcW w:w="506" w:type="pct"/>
            <w:tcBorders>
              <w:top w:val="nil"/>
              <w:left w:val="nil"/>
              <w:bottom w:val="single" w:sz="4" w:space="0" w:color="auto"/>
              <w:right w:val="single" w:sz="4" w:space="0" w:color="auto"/>
            </w:tcBorders>
            <w:noWrap/>
            <w:hideMark/>
          </w:tcPr>
          <w:p w14:paraId="22DA263B" w14:textId="77777777" w:rsidR="00004CA5" w:rsidRDefault="00004CA5" w:rsidP="00004CA5">
            <w:pPr>
              <w:jc w:val="center"/>
              <w:rPr>
                <w:b/>
                <w:bCs/>
                <w:noProof/>
                <w:color w:val="242828"/>
                <w:sz w:val="20"/>
                <w:szCs w:val="20"/>
              </w:rPr>
            </w:pPr>
            <w:r>
              <w:rPr>
                <w:b/>
                <w:bCs/>
                <w:noProof/>
                <w:color w:val="242828"/>
                <w:sz w:val="20"/>
                <w:szCs w:val="20"/>
              </w:rPr>
              <w:t>379</w:t>
            </w:r>
          </w:p>
        </w:tc>
        <w:tc>
          <w:tcPr>
            <w:tcW w:w="506" w:type="pct"/>
            <w:tcBorders>
              <w:top w:val="nil"/>
              <w:left w:val="nil"/>
              <w:bottom w:val="single" w:sz="4" w:space="0" w:color="auto"/>
              <w:right w:val="single" w:sz="4" w:space="0" w:color="auto"/>
            </w:tcBorders>
            <w:noWrap/>
            <w:hideMark/>
          </w:tcPr>
          <w:p w14:paraId="25F961D4" w14:textId="77777777" w:rsidR="00004CA5" w:rsidRDefault="00004CA5" w:rsidP="00004CA5">
            <w:pPr>
              <w:jc w:val="center"/>
              <w:rPr>
                <w:b/>
                <w:bCs/>
                <w:noProof/>
                <w:color w:val="242828"/>
                <w:sz w:val="20"/>
                <w:szCs w:val="20"/>
              </w:rPr>
            </w:pPr>
            <w:r>
              <w:rPr>
                <w:b/>
                <w:bCs/>
                <w:noProof/>
                <w:color w:val="242828"/>
                <w:sz w:val="20"/>
                <w:szCs w:val="20"/>
              </w:rPr>
              <w:t>440</w:t>
            </w:r>
          </w:p>
        </w:tc>
        <w:tc>
          <w:tcPr>
            <w:tcW w:w="506" w:type="pct"/>
            <w:tcBorders>
              <w:top w:val="nil"/>
              <w:left w:val="nil"/>
              <w:bottom w:val="single" w:sz="4" w:space="0" w:color="auto"/>
              <w:right w:val="single" w:sz="4" w:space="0" w:color="auto"/>
            </w:tcBorders>
            <w:noWrap/>
            <w:hideMark/>
          </w:tcPr>
          <w:p w14:paraId="6B2AC4ED" w14:textId="77777777" w:rsidR="00004CA5" w:rsidRDefault="00004CA5" w:rsidP="00004CA5">
            <w:pPr>
              <w:jc w:val="center"/>
              <w:rPr>
                <w:b/>
                <w:bCs/>
                <w:noProof/>
                <w:color w:val="242828"/>
                <w:sz w:val="20"/>
                <w:szCs w:val="20"/>
              </w:rPr>
            </w:pPr>
            <w:r>
              <w:rPr>
                <w:b/>
                <w:bCs/>
                <w:noProof/>
                <w:color w:val="242828"/>
                <w:sz w:val="20"/>
                <w:szCs w:val="20"/>
              </w:rPr>
              <w:t>440</w:t>
            </w:r>
          </w:p>
        </w:tc>
      </w:tr>
      <w:tr w:rsidR="00004CA5" w14:paraId="145682CB"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1E064848" w14:textId="77777777" w:rsidR="00004CA5" w:rsidRDefault="00004CA5" w:rsidP="00004CA5">
            <w:pPr>
              <w:rPr>
                <w:b/>
                <w:bCs/>
                <w:noProof/>
                <w:sz w:val="20"/>
                <w:szCs w:val="20"/>
              </w:rPr>
            </w:pPr>
            <w:r>
              <w:rPr>
                <w:b/>
                <w:bCs/>
                <w:noProof/>
                <w:sz w:val="20"/>
                <w:szCs w:val="20"/>
              </w:rPr>
              <w:t>PO2</w:t>
            </w:r>
          </w:p>
        </w:tc>
        <w:tc>
          <w:tcPr>
            <w:tcW w:w="506" w:type="pct"/>
            <w:tcBorders>
              <w:top w:val="nil"/>
              <w:left w:val="nil"/>
              <w:bottom w:val="single" w:sz="4" w:space="0" w:color="auto"/>
              <w:right w:val="single" w:sz="4" w:space="0" w:color="auto"/>
            </w:tcBorders>
            <w:shd w:val="clear" w:color="000000" w:fill="BDE3FF"/>
            <w:hideMark/>
          </w:tcPr>
          <w:p w14:paraId="720FC0D4" w14:textId="77777777" w:rsidR="00004CA5" w:rsidRDefault="00004CA5" w:rsidP="00004CA5">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61657A94" w14:textId="77777777" w:rsidR="00004CA5" w:rsidRDefault="00004CA5" w:rsidP="00004CA5">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0D1C5975" w14:textId="77777777" w:rsidR="00004CA5" w:rsidRDefault="00004CA5" w:rsidP="00004CA5">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13A0A13E" w14:textId="77777777" w:rsidR="00004CA5" w:rsidRDefault="00004CA5" w:rsidP="00004CA5">
            <w:pPr>
              <w:rPr>
                <w:b/>
                <w:bCs/>
                <w:noProof/>
                <w:sz w:val="20"/>
                <w:szCs w:val="20"/>
              </w:rPr>
            </w:pPr>
            <w:r>
              <w:rPr>
                <w:b/>
                <w:bCs/>
                <w:noProof/>
                <w:sz w:val="20"/>
                <w:szCs w:val="20"/>
              </w:rPr>
              <w:t> </w:t>
            </w:r>
          </w:p>
        </w:tc>
      </w:tr>
      <w:tr w:rsidR="00004CA5" w14:paraId="53A31B4F"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55E47339" w14:textId="77777777" w:rsidR="00004CA5" w:rsidRDefault="00004CA5" w:rsidP="00004CA5">
            <w:pPr>
              <w:rPr>
                <w:noProof/>
                <w:color w:val="000000"/>
                <w:sz w:val="20"/>
                <w:szCs w:val="20"/>
              </w:rPr>
            </w:pPr>
            <w:r>
              <w:rPr>
                <w:noProof/>
                <w:color w:val="000000"/>
                <w:sz w:val="20"/>
                <w:szCs w:val="20"/>
              </w:rPr>
              <w:t xml:space="preserve">B2B platforms </w:t>
            </w:r>
          </w:p>
        </w:tc>
        <w:tc>
          <w:tcPr>
            <w:tcW w:w="506" w:type="pct"/>
            <w:tcBorders>
              <w:top w:val="nil"/>
              <w:left w:val="nil"/>
              <w:bottom w:val="single" w:sz="4" w:space="0" w:color="auto"/>
              <w:right w:val="single" w:sz="4" w:space="0" w:color="auto"/>
            </w:tcBorders>
            <w:shd w:val="clear" w:color="000000" w:fill="FFFFFF"/>
            <w:noWrap/>
            <w:hideMark/>
          </w:tcPr>
          <w:p w14:paraId="38252481" w14:textId="77777777" w:rsidR="00004CA5" w:rsidRDefault="00004CA5" w:rsidP="00004CA5">
            <w:pPr>
              <w:jc w:val="center"/>
              <w:rPr>
                <w:noProof/>
                <w:color w:val="000000"/>
                <w:sz w:val="20"/>
                <w:szCs w:val="20"/>
              </w:rPr>
            </w:pPr>
            <w:r>
              <w:rPr>
                <w:noProof/>
                <w:color w:val="000000"/>
                <w:sz w:val="20"/>
                <w:szCs w:val="20"/>
              </w:rPr>
              <w:t>98</w:t>
            </w:r>
          </w:p>
        </w:tc>
        <w:tc>
          <w:tcPr>
            <w:tcW w:w="506" w:type="pct"/>
            <w:tcBorders>
              <w:top w:val="nil"/>
              <w:left w:val="nil"/>
              <w:bottom w:val="single" w:sz="4" w:space="0" w:color="auto"/>
              <w:right w:val="single" w:sz="4" w:space="0" w:color="auto"/>
            </w:tcBorders>
            <w:shd w:val="clear" w:color="000000" w:fill="FFFFFF"/>
            <w:noWrap/>
            <w:hideMark/>
          </w:tcPr>
          <w:p w14:paraId="03F637B1" w14:textId="77777777" w:rsidR="00004CA5" w:rsidRDefault="00004CA5" w:rsidP="00004CA5">
            <w:pPr>
              <w:jc w:val="center"/>
              <w:rPr>
                <w:noProof/>
                <w:color w:val="000000"/>
                <w:sz w:val="20"/>
                <w:szCs w:val="20"/>
              </w:rPr>
            </w:pPr>
            <w:r>
              <w:rPr>
                <w:noProof/>
                <w:color w:val="000000"/>
                <w:sz w:val="20"/>
                <w:szCs w:val="20"/>
              </w:rPr>
              <w:t>107</w:t>
            </w:r>
          </w:p>
        </w:tc>
        <w:tc>
          <w:tcPr>
            <w:tcW w:w="506" w:type="pct"/>
            <w:tcBorders>
              <w:top w:val="nil"/>
              <w:left w:val="nil"/>
              <w:bottom w:val="single" w:sz="4" w:space="0" w:color="auto"/>
              <w:right w:val="single" w:sz="4" w:space="0" w:color="auto"/>
            </w:tcBorders>
            <w:shd w:val="clear" w:color="000000" w:fill="FFFFFF"/>
            <w:noWrap/>
            <w:hideMark/>
          </w:tcPr>
          <w:p w14:paraId="17C33813" w14:textId="77777777" w:rsidR="00004CA5" w:rsidRDefault="00004CA5" w:rsidP="00004CA5">
            <w:pPr>
              <w:jc w:val="center"/>
              <w:rPr>
                <w:noProof/>
                <w:color w:val="000000"/>
                <w:sz w:val="20"/>
                <w:szCs w:val="20"/>
              </w:rPr>
            </w:pPr>
            <w:r>
              <w:rPr>
                <w:noProof/>
                <w:color w:val="000000"/>
                <w:sz w:val="20"/>
                <w:szCs w:val="20"/>
              </w:rPr>
              <w:t>182</w:t>
            </w:r>
          </w:p>
        </w:tc>
        <w:tc>
          <w:tcPr>
            <w:tcW w:w="506" w:type="pct"/>
            <w:tcBorders>
              <w:top w:val="nil"/>
              <w:left w:val="nil"/>
              <w:bottom w:val="single" w:sz="4" w:space="0" w:color="auto"/>
              <w:right w:val="single" w:sz="4" w:space="0" w:color="auto"/>
            </w:tcBorders>
            <w:shd w:val="clear" w:color="000000" w:fill="FFFFFF"/>
            <w:noWrap/>
            <w:hideMark/>
          </w:tcPr>
          <w:p w14:paraId="374B0246" w14:textId="77777777" w:rsidR="00004CA5" w:rsidRDefault="00004CA5" w:rsidP="00004CA5">
            <w:pPr>
              <w:jc w:val="center"/>
              <w:rPr>
                <w:noProof/>
                <w:color w:val="000000"/>
                <w:sz w:val="20"/>
                <w:szCs w:val="20"/>
              </w:rPr>
            </w:pPr>
            <w:r>
              <w:rPr>
                <w:noProof/>
                <w:color w:val="000000"/>
                <w:sz w:val="20"/>
                <w:szCs w:val="20"/>
              </w:rPr>
              <w:t>169</w:t>
            </w:r>
          </w:p>
        </w:tc>
      </w:tr>
      <w:tr w:rsidR="00004CA5" w14:paraId="367D5CAF"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335B8469" w14:textId="77777777" w:rsidR="00004CA5" w:rsidRDefault="00004CA5" w:rsidP="00004CA5">
            <w:pPr>
              <w:rPr>
                <w:noProof/>
                <w:color w:val="000000"/>
                <w:sz w:val="20"/>
                <w:szCs w:val="20"/>
              </w:rPr>
            </w:pPr>
            <w:r>
              <w:rPr>
                <w:noProof/>
                <w:color w:val="000000"/>
                <w:sz w:val="20"/>
                <w:szCs w:val="20"/>
              </w:rPr>
              <w:t>B2C platforms</w:t>
            </w:r>
          </w:p>
        </w:tc>
        <w:tc>
          <w:tcPr>
            <w:tcW w:w="506" w:type="pct"/>
            <w:tcBorders>
              <w:top w:val="nil"/>
              <w:left w:val="nil"/>
              <w:bottom w:val="single" w:sz="4" w:space="0" w:color="auto"/>
              <w:right w:val="single" w:sz="4" w:space="0" w:color="auto"/>
            </w:tcBorders>
            <w:shd w:val="clear" w:color="000000" w:fill="FFFFFF"/>
            <w:noWrap/>
            <w:hideMark/>
          </w:tcPr>
          <w:p w14:paraId="58F37A66" w14:textId="77777777" w:rsidR="00004CA5" w:rsidRDefault="00004CA5" w:rsidP="00004CA5">
            <w:pPr>
              <w:jc w:val="center"/>
              <w:rPr>
                <w:noProof/>
                <w:color w:val="000000"/>
                <w:sz w:val="20"/>
                <w:szCs w:val="20"/>
              </w:rPr>
            </w:pPr>
            <w:r>
              <w:rPr>
                <w:noProof/>
                <w:color w:val="000000"/>
                <w:sz w:val="20"/>
                <w:szCs w:val="20"/>
              </w:rPr>
              <w:t>266</w:t>
            </w:r>
          </w:p>
        </w:tc>
        <w:tc>
          <w:tcPr>
            <w:tcW w:w="506" w:type="pct"/>
            <w:tcBorders>
              <w:top w:val="nil"/>
              <w:left w:val="nil"/>
              <w:bottom w:val="single" w:sz="4" w:space="0" w:color="auto"/>
              <w:right w:val="single" w:sz="4" w:space="0" w:color="auto"/>
            </w:tcBorders>
            <w:shd w:val="clear" w:color="000000" w:fill="FFFFFF"/>
            <w:noWrap/>
            <w:hideMark/>
          </w:tcPr>
          <w:p w14:paraId="0FAB751F" w14:textId="77777777" w:rsidR="00004CA5" w:rsidRDefault="00004CA5" w:rsidP="00004CA5">
            <w:pPr>
              <w:jc w:val="center"/>
              <w:rPr>
                <w:noProof/>
                <w:color w:val="000000"/>
                <w:sz w:val="20"/>
                <w:szCs w:val="20"/>
              </w:rPr>
            </w:pPr>
            <w:r>
              <w:rPr>
                <w:noProof/>
                <w:color w:val="000000"/>
                <w:sz w:val="20"/>
                <w:szCs w:val="20"/>
              </w:rPr>
              <w:t>291</w:t>
            </w:r>
          </w:p>
        </w:tc>
        <w:tc>
          <w:tcPr>
            <w:tcW w:w="506" w:type="pct"/>
            <w:tcBorders>
              <w:top w:val="nil"/>
              <w:left w:val="nil"/>
              <w:bottom w:val="single" w:sz="4" w:space="0" w:color="auto"/>
              <w:right w:val="single" w:sz="4" w:space="0" w:color="auto"/>
            </w:tcBorders>
            <w:shd w:val="clear" w:color="000000" w:fill="FFFFFF"/>
            <w:noWrap/>
            <w:hideMark/>
          </w:tcPr>
          <w:p w14:paraId="3FB8E67A" w14:textId="77777777" w:rsidR="00004CA5" w:rsidRDefault="00004CA5" w:rsidP="00004CA5">
            <w:pPr>
              <w:jc w:val="center"/>
              <w:rPr>
                <w:noProof/>
                <w:color w:val="000000"/>
                <w:sz w:val="20"/>
                <w:szCs w:val="20"/>
              </w:rPr>
            </w:pPr>
            <w:r>
              <w:rPr>
                <w:noProof/>
                <w:color w:val="000000"/>
                <w:sz w:val="20"/>
                <w:szCs w:val="20"/>
              </w:rPr>
              <w:t>495</w:t>
            </w:r>
          </w:p>
        </w:tc>
        <w:tc>
          <w:tcPr>
            <w:tcW w:w="506" w:type="pct"/>
            <w:tcBorders>
              <w:top w:val="nil"/>
              <w:left w:val="nil"/>
              <w:bottom w:val="single" w:sz="4" w:space="0" w:color="auto"/>
              <w:right w:val="single" w:sz="4" w:space="0" w:color="auto"/>
            </w:tcBorders>
            <w:shd w:val="clear" w:color="000000" w:fill="FFFFFF"/>
            <w:noWrap/>
            <w:hideMark/>
          </w:tcPr>
          <w:p w14:paraId="336EA359" w14:textId="77777777" w:rsidR="00004CA5" w:rsidRDefault="00004CA5" w:rsidP="00004CA5">
            <w:pPr>
              <w:jc w:val="center"/>
              <w:rPr>
                <w:noProof/>
                <w:color w:val="000000"/>
                <w:sz w:val="20"/>
                <w:szCs w:val="20"/>
              </w:rPr>
            </w:pPr>
            <w:r>
              <w:rPr>
                <w:noProof/>
                <w:color w:val="000000"/>
                <w:sz w:val="20"/>
                <w:szCs w:val="20"/>
              </w:rPr>
              <w:t>461</w:t>
            </w:r>
          </w:p>
        </w:tc>
      </w:tr>
      <w:tr w:rsidR="00004CA5" w14:paraId="7AD9C259"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025966C4" w14:textId="77777777" w:rsidR="00004CA5" w:rsidRDefault="00004CA5" w:rsidP="00004CA5">
            <w:pPr>
              <w:rPr>
                <w:b/>
                <w:bCs/>
                <w:noProof/>
                <w:color w:val="000000"/>
                <w:sz w:val="20"/>
                <w:szCs w:val="20"/>
              </w:rPr>
            </w:pPr>
            <w:r>
              <w:rPr>
                <w:b/>
                <w:bCs/>
                <w:noProof/>
                <w:color w:val="000000"/>
                <w:sz w:val="20"/>
                <w:szCs w:val="20"/>
              </w:rPr>
              <w:t>Total</w:t>
            </w:r>
          </w:p>
        </w:tc>
        <w:tc>
          <w:tcPr>
            <w:tcW w:w="506" w:type="pct"/>
            <w:tcBorders>
              <w:top w:val="nil"/>
              <w:left w:val="nil"/>
              <w:bottom w:val="single" w:sz="4" w:space="0" w:color="auto"/>
              <w:right w:val="single" w:sz="4" w:space="0" w:color="auto"/>
            </w:tcBorders>
            <w:noWrap/>
            <w:hideMark/>
          </w:tcPr>
          <w:p w14:paraId="3AC821BA" w14:textId="77777777" w:rsidR="00004CA5" w:rsidRDefault="00004CA5" w:rsidP="00004CA5">
            <w:pPr>
              <w:jc w:val="center"/>
              <w:rPr>
                <w:b/>
                <w:bCs/>
                <w:noProof/>
                <w:color w:val="242828"/>
                <w:sz w:val="20"/>
                <w:szCs w:val="20"/>
              </w:rPr>
            </w:pPr>
            <w:r>
              <w:rPr>
                <w:b/>
                <w:bCs/>
                <w:noProof/>
                <w:color w:val="242828"/>
                <w:sz w:val="20"/>
                <w:szCs w:val="20"/>
              </w:rPr>
              <w:t>364</w:t>
            </w:r>
          </w:p>
        </w:tc>
        <w:tc>
          <w:tcPr>
            <w:tcW w:w="506" w:type="pct"/>
            <w:tcBorders>
              <w:top w:val="nil"/>
              <w:left w:val="nil"/>
              <w:bottom w:val="single" w:sz="4" w:space="0" w:color="auto"/>
              <w:right w:val="single" w:sz="4" w:space="0" w:color="auto"/>
            </w:tcBorders>
            <w:noWrap/>
            <w:hideMark/>
          </w:tcPr>
          <w:p w14:paraId="2AC2C314" w14:textId="77777777" w:rsidR="00004CA5" w:rsidRDefault="00004CA5" w:rsidP="00004CA5">
            <w:pPr>
              <w:jc w:val="center"/>
              <w:rPr>
                <w:b/>
                <w:bCs/>
                <w:noProof/>
                <w:color w:val="242828"/>
                <w:sz w:val="20"/>
                <w:szCs w:val="20"/>
              </w:rPr>
            </w:pPr>
            <w:r>
              <w:rPr>
                <w:b/>
                <w:bCs/>
                <w:noProof/>
                <w:color w:val="242828"/>
                <w:sz w:val="20"/>
                <w:szCs w:val="20"/>
              </w:rPr>
              <w:t>398</w:t>
            </w:r>
          </w:p>
        </w:tc>
        <w:tc>
          <w:tcPr>
            <w:tcW w:w="506" w:type="pct"/>
            <w:tcBorders>
              <w:top w:val="nil"/>
              <w:left w:val="nil"/>
              <w:bottom w:val="single" w:sz="4" w:space="0" w:color="auto"/>
              <w:right w:val="single" w:sz="4" w:space="0" w:color="auto"/>
            </w:tcBorders>
            <w:noWrap/>
            <w:hideMark/>
          </w:tcPr>
          <w:p w14:paraId="0CC28CF7" w14:textId="77777777" w:rsidR="00004CA5" w:rsidRDefault="00004CA5" w:rsidP="00004CA5">
            <w:pPr>
              <w:jc w:val="center"/>
              <w:rPr>
                <w:b/>
                <w:bCs/>
                <w:noProof/>
                <w:color w:val="242828"/>
                <w:sz w:val="20"/>
                <w:szCs w:val="20"/>
              </w:rPr>
            </w:pPr>
            <w:r>
              <w:rPr>
                <w:b/>
                <w:bCs/>
                <w:noProof/>
                <w:color w:val="242828"/>
                <w:sz w:val="20"/>
                <w:szCs w:val="20"/>
              </w:rPr>
              <w:t>677</w:t>
            </w:r>
          </w:p>
        </w:tc>
        <w:tc>
          <w:tcPr>
            <w:tcW w:w="506" w:type="pct"/>
            <w:tcBorders>
              <w:top w:val="nil"/>
              <w:left w:val="nil"/>
              <w:bottom w:val="single" w:sz="4" w:space="0" w:color="auto"/>
              <w:right w:val="single" w:sz="4" w:space="0" w:color="auto"/>
            </w:tcBorders>
            <w:noWrap/>
            <w:hideMark/>
          </w:tcPr>
          <w:p w14:paraId="1EA6AA23" w14:textId="77777777" w:rsidR="00004CA5" w:rsidRDefault="00004CA5" w:rsidP="00004CA5">
            <w:pPr>
              <w:jc w:val="center"/>
              <w:rPr>
                <w:b/>
                <w:bCs/>
                <w:noProof/>
                <w:color w:val="242828"/>
                <w:sz w:val="20"/>
                <w:szCs w:val="20"/>
              </w:rPr>
            </w:pPr>
            <w:r>
              <w:rPr>
                <w:b/>
                <w:bCs/>
                <w:noProof/>
                <w:color w:val="242828"/>
                <w:sz w:val="20"/>
                <w:szCs w:val="20"/>
              </w:rPr>
              <w:t>630</w:t>
            </w:r>
          </w:p>
        </w:tc>
      </w:tr>
      <w:tr w:rsidR="00004CA5" w14:paraId="1BE52598"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0F01D509" w14:textId="77777777" w:rsidR="00004CA5" w:rsidRDefault="00004CA5" w:rsidP="00004CA5">
            <w:pPr>
              <w:rPr>
                <w:b/>
                <w:bCs/>
                <w:noProof/>
                <w:sz w:val="20"/>
                <w:szCs w:val="20"/>
              </w:rPr>
            </w:pPr>
            <w:r>
              <w:rPr>
                <w:b/>
                <w:bCs/>
                <w:noProof/>
                <w:sz w:val="20"/>
                <w:szCs w:val="20"/>
              </w:rPr>
              <w:t>PO3</w:t>
            </w:r>
          </w:p>
        </w:tc>
        <w:tc>
          <w:tcPr>
            <w:tcW w:w="506" w:type="pct"/>
            <w:tcBorders>
              <w:top w:val="nil"/>
              <w:left w:val="nil"/>
              <w:bottom w:val="single" w:sz="4" w:space="0" w:color="auto"/>
              <w:right w:val="single" w:sz="4" w:space="0" w:color="auto"/>
            </w:tcBorders>
            <w:shd w:val="clear" w:color="000000" w:fill="BDE3FF"/>
            <w:hideMark/>
          </w:tcPr>
          <w:p w14:paraId="545661C1" w14:textId="77777777" w:rsidR="00004CA5" w:rsidRDefault="00004CA5" w:rsidP="00004CA5">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10F11EC1" w14:textId="77777777" w:rsidR="00004CA5" w:rsidRDefault="00004CA5" w:rsidP="00004CA5">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0D358C56" w14:textId="77777777" w:rsidR="00004CA5" w:rsidRDefault="00004CA5" w:rsidP="00004CA5">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5A5577E3" w14:textId="77777777" w:rsidR="00004CA5" w:rsidRDefault="00004CA5" w:rsidP="00004CA5">
            <w:pPr>
              <w:rPr>
                <w:b/>
                <w:bCs/>
                <w:noProof/>
                <w:sz w:val="20"/>
                <w:szCs w:val="20"/>
              </w:rPr>
            </w:pPr>
            <w:r>
              <w:rPr>
                <w:b/>
                <w:bCs/>
                <w:noProof/>
                <w:sz w:val="20"/>
                <w:szCs w:val="20"/>
              </w:rPr>
              <w:t> </w:t>
            </w:r>
          </w:p>
        </w:tc>
      </w:tr>
      <w:tr w:rsidR="00004CA5" w14:paraId="3095DA24"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40E001CC" w14:textId="77777777" w:rsidR="00004CA5" w:rsidRDefault="00004CA5" w:rsidP="00004CA5">
            <w:pPr>
              <w:rPr>
                <w:noProof/>
                <w:color w:val="000000"/>
                <w:sz w:val="20"/>
                <w:szCs w:val="20"/>
              </w:rPr>
            </w:pPr>
            <w:r>
              <w:rPr>
                <w:noProof/>
                <w:color w:val="000000"/>
                <w:sz w:val="20"/>
                <w:szCs w:val="20"/>
              </w:rPr>
              <w:t xml:space="preserve">B2B platforms </w:t>
            </w:r>
          </w:p>
        </w:tc>
        <w:tc>
          <w:tcPr>
            <w:tcW w:w="506" w:type="pct"/>
            <w:tcBorders>
              <w:top w:val="nil"/>
              <w:left w:val="nil"/>
              <w:bottom w:val="single" w:sz="4" w:space="0" w:color="auto"/>
              <w:right w:val="single" w:sz="4" w:space="0" w:color="auto"/>
            </w:tcBorders>
            <w:shd w:val="clear" w:color="000000" w:fill="FFFFFF"/>
            <w:noWrap/>
            <w:hideMark/>
          </w:tcPr>
          <w:p w14:paraId="6CB1D72F" w14:textId="77777777" w:rsidR="00004CA5" w:rsidRDefault="00004CA5" w:rsidP="00004CA5">
            <w:pPr>
              <w:jc w:val="center"/>
              <w:rPr>
                <w:noProof/>
                <w:color w:val="000000"/>
                <w:sz w:val="20"/>
                <w:szCs w:val="20"/>
              </w:rPr>
            </w:pPr>
            <w:r>
              <w:rPr>
                <w:noProof/>
                <w:color w:val="000000"/>
                <w:sz w:val="20"/>
                <w:szCs w:val="20"/>
              </w:rPr>
              <w:t>98</w:t>
            </w:r>
          </w:p>
        </w:tc>
        <w:tc>
          <w:tcPr>
            <w:tcW w:w="506" w:type="pct"/>
            <w:tcBorders>
              <w:top w:val="nil"/>
              <w:left w:val="nil"/>
              <w:bottom w:val="single" w:sz="4" w:space="0" w:color="auto"/>
              <w:right w:val="single" w:sz="4" w:space="0" w:color="auto"/>
            </w:tcBorders>
            <w:shd w:val="clear" w:color="000000" w:fill="FFFFFF"/>
            <w:noWrap/>
            <w:hideMark/>
          </w:tcPr>
          <w:p w14:paraId="7D990B60" w14:textId="77777777" w:rsidR="00004CA5" w:rsidRDefault="00004CA5" w:rsidP="00004CA5">
            <w:pPr>
              <w:jc w:val="center"/>
              <w:rPr>
                <w:noProof/>
                <w:color w:val="000000"/>
                <w:sz w:val="20"/>
                <w:szCs w:val="20"/>
              </w:rPr>
            </w:pPr>
            <w:r>
              <w:rPr>
                <w:noProof/>
                <w:color w:val="000000"/>
                <w:sz w:val="20"/>
                <w:szCs w:val="20"/>
              </w:rPr>
              <w:t>106</w:t>
            </w:r>
          </w:p>
        </w:tc>
        <w:tc>
          <w:tcPr>
            <w:tcW w:w="506" w:type="pct"/>
            <w:tcBorders>
              <w:top w:val="nil"/>
              <w:left w:val="nil"/>
              <w:bottom w:val="single" w:sz="4" w:space="0" w:color="auto"/>
              <w:right w:val="single" w:sz="4" w:space="0" w:color="auto"/>
            </w:tcBorders>
            <w:shd w:val="clear" w:color="000000" w:fill="FFFFFF"/>
            <w:noWrap/>
            <w:hideMark/>
          </w:tcPr>
          <w:p w14:paraId="735651E4" w14:textId="77777777" w:rsidR="00004CA5" w:rsidRDefault="00004CA5" w:rsidP="00004CA5">
            <w:pPr>
              <w:jc w:val="center"/>
              <w:rPr>
                <w:noProof/>
                <w:color w:val="000000"/>
                <w:sz w:val="20"/>
                <w:szCs w:val="20"/>
              </w:rPr>
            </w:pPr>
            <w:r>
              <w:rPr>
                <w:noProof/>
                <w:color w:val="000000"/>
                <w:sz w:val="20"/>
                <w:szCs w:val="20"/>
              </w:rPr>
              <w:t>169</w:t>
            </w:r>
          </w:p>
        </w:tc>
        <w:tc>
          <w:tcPr>
            <w:tcW w:w="506" w:type="pct"/>
            <w:tcBorders>
              <w:top w:val="nil"/>
              <w:left w:val="nil"/>
              <w:bottom w:val="single" w:sz="4" w:space="0" w:color="auto"/>
              <w:right w:val="single" w:sz="4" w:space="0" w:color="auto"/>
            </w:tcBorders>
            <w:shd w:val="clear" w:color="000000" w:fill="FFFFFF"/>
            <w:noWrap/>
            <w:hideMark/>
          </w:tcPr>
          <w:p w14:paraId="519086F2" w14:textId="77777777" w:rsidR="00004CA5" w:rsidRDefault="00004CA5" w:rsidP="00004CA5">
            <w:pPr>
              <w:jc w:val="center"/>
              <w:rPr>
                <w:noProof/>
                <w:color w:val="000000"/>
                <w:sz w:val="20"/>
                <w:szCs w:val="20"/>
              </w:rPr>
            </w:pPr>
            <w:r>
              <w:rPr>
                <w:noProof/>
                <w:color w:val="000000"/>
                <w:sz w:val="20"/>
                <w:szCs w:val="20"/>
              </w:rPr>
              <w:t>169</w:t>
            </w:r>
          </w:p>
        </w:tc>
      </w:tr>
      <w:tr w:rsidR="00004CA5" w14:paraId="1A222C08"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7FDE63F3" w14:textId="77777777" w:rsidR="00004CA5" w:rsidRDefault="00004CA5" w:rsidP="00004CA5">
            <w:pPr>
              <w:rPr>
                <w:noProof/>
                <w:color w:val="000000"/>
                <w:sz w:val="20"/>
                <w:szCs w:val="20"/>
              </w:rPr>
            </w:pPr>
            <w:r>
              <w:rPr>
                <w:noProof/>
                <w:color w:val="000000"/>
                <w:sz w:val="20"/>
                <w:szCs w:val="20"/>
              </w:rPr>
              <w:t>B2C platforms</w:t>
            </w:r>
          </w:p>
        </w:tc>
        <w:tc>
          <w:tcPr>
            <w:tcW w:w="506" w:type="pct"/>
            <w:tcBorders>
              <w:top w:val="nil"/>
              <w:left w:val="nil"/>
              <w:bottom w:val="single" w:sz="4" w:space="0" w:color="auto"/>
              <w:right w:val="single" w:sz="4" w:space="0" w:color="auto"/>
            </w:tcBorders>
            <w:shd w:val="clear" w:color="000000" w:fill="FFFFFF"/>
            <w:noWrap/>
            <w:hideMark/>
          </w:tcPr>
          <w:p w14:paraId="11AD6F6B" w14:textId="77777777" w:rsidR="00004CA5" w:rsidRDefault="00004CA5" w:rsidP="00004CA5">
            <w:pPr>
              <w:jc w:val="center"/>
              <w:rPr>
                <w:noProof/>
                <w:color w:val="000000"/>
                <w:sz w:val="20"/>
                <w:szCs w:val="20"/>
              </w:rPr>
            </w:pPr>
            <w:r>
              <w:rPr>
                <w:noProof/>
                <w:color w:val="000000"/>
                <w:sz w:val="20"/>
                <w:szCs w:val="20"/>
              </w:rPr>
              <w:t>266</w:t>
            </w:r>
          </w:p>
        </w:tc>
        <w:tc>
          <w:tcPr>
            <w:tcW w:w="506" w:type="pct"/>
            <w:tcBorders>
              <w:top w:val="nil"/>
              <w:left w:val="nil"/>
              <w:bottom w:val="single" w:sz="4" w:space="0" w:color="auto"/>
              <w:right w:val="single" w:sz="4" w:space="0" w:color="auto"/>
            </w:tcBorders>
            <w:shd w:val="clear" w:color="000000" w:fill="FFFFFF"/>
            <w:noWrap/>
            <w:hideMark/>
          </w:tcPr>
          <w:p w14:paraId="45982560" w14:textId="77777777" w:rsidR="00004CA5" w:rsidRDefault="00004CA5" w:rsidP="00004CA5">
            <w:pPr>
              <w:jc w:val="center"/>
              <w:rPr>
                <w:noProof/>
                <w:color w:val="000000"/>
                <w:sz w:val="20"/>
                <w:szCs w:val="20"/>
              </w:rPr>
            </w:pPr>
            <w:r>
              <w:rPr>
                <w:noProof/>
                <w:color w:val="000000"/>
                <w:sz w:val="20"/>
                <w:szCs w:val="20"/>
              </w:rPr>
              <w:t>289</w:t>
            </w:r>
          </w:p>
        </w:tc>
        <w:tc>
          <w:tcPr>
            <w:tcW w:w="506" w:type="pct"/>
            <w:tcBorders>
              <w:top w:val="nil"/>
              <w:left w:val="nil"/>
              <w:bottom w:val="single" w:sz="4" w:space="0" w:color="auto"/>
              <w:right w:val="single" w:sz="4" w:space="0" w:color="auto"/>
            </w:tcBorders>
            <w:shd w:val="clear" w:color="000000" w:fill="FFFFFF"/>
            <w:noWrap/>
            <w:hideMark/>
          </w:tcPr>
          <w:p w14:paraId="78DEB4FB" w14:textId="77777777" w:rsidR="00004CA5" w:rsidRDefault="00004CA5" w:rsidP="00004CA5">
            <w:pPr>
              <w:jc w:val="center"/>
              <w:rPr>
                <w:noProof/>
                <w:color w:val="000000"/>
                <w:sz w:val="20"/>
                <w:szCs w:val="20"/>
              </w:rPr>
            </w:pPr>
            <w:r>
              <w:rPr>
                <w:noProof/>
                <w:color w:val="000000"/>
                <w:sz w:val="20"/>
                <w:szCs w:val="20"/>
              </w:rPr>
              <w:t>461</w:t>
            </w:r>
          </w:p>
        </w:tc>
        <w:tc>
          <w:tcPr>
            <w:tcW w:w="506" w:type="pct"/>
            <w:tcBorders>
              <w:top w:val="nil"/>
              <w:left w:val="nil"/>
              <w:bottom w:val="single" w:sz="4" w:space="0" w:color="auto"/>
              <w:right w:val="single" w:sz="4" w:space="0" w:color="auto"/>
            </w:tcBorders>
            <w:shd w:val="clear" w:color="000000" w:fill="FFFFFF"/>
            <w:noWrap/>
            <w:hideMark/>
          </w:tcPr>
          <w:p w14:paraId="12D1EA9C" w14:textId="77777777" w:rsidR="00004CA5" w:rsidRDefault="00004CA5" w:rsidP="00004CA5">
            <w:pPr>
              <w:jc w:val="center"/>
              <w:rPr>
                <w:noProof/>
                <w:color w:val="000000"/>
                <w:sz w:val="20"/>
                <w:szCs w:val="20"/>
              </w:rPr>
            </w:pPr>
            <w:r>
              <w:rPr>
                <w:noProof/>
                <w:color w:val="000000"/>
                <w:sz w:val="20"/>
                <w:szCs w:val="20"/>
              </w:rPr>
              <w:t>461</w:t>
            </w:r>
          </w:p>
        </w:tc>
      </w:tr>
      <w:tr w:rsidR="00004CA5" w14:paraId="188F3F10"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2BFFDBB7" w14:textId="77777777" w:rsidR="00004CA5" w:rsidRDefault="00004CA5" w:rsidP="00004CA5">
            <w:pPr>
              <w:rPr>
                <w:b/>
                <w:bCs/>
                <w:noProof/>
                <w:color w:val="000000"/>
                <w:sz w:val="20"/>
                <w:szCs w:val="20"/>
              </w:rPr>
            </w:pPr>
            <w:r>
              <w:rPr>
                <w:b/>
                <w:bCs/>
                <w:noProof/>
                <w:color w:val="000000"/>
                <w:sz w:val="20"/>
                <w:szCs w:val="20"/>
              </w:rPr>
              <w:t>Total</w:t>
            </w:r>
          </w:p>
        </w:tc>
        <w:tc>
          <w:tcPr>
            <w:tcW w:w="506" w:type="pct"/>
            <w:tcBorders>
              <w:top w:val="nil"/>
              <w:left w:val="nil"/>
              <w:bottom w:val="single" w:sz="4" w:space="0" w:color="auto"/>
              <w:right w:val="single" w:sz="4" w:space="0" w:color="auto"/>
            </w:tcBorders>
            <w:noWrap/>
            <w:hideMark/>
          </w:tcPr>
          <w:p w14:paraId="119CC6C9" w14:textId="77777777" w:rsidR="00004CA5" w:rsidRDefault="00004CA5" w:rsidP="00004CA5">
            <w:pPr>
              <w:jc w:val="center"/>
              <w:rPr>
                <w:b/>
                <w:bCs/>
                <w:noProof/>
                <w:color w:val="242828"/>
                <w:sz w:val="20"/>
                <w:szCs w:val="20"/>
              </w:rPr>
            </w:pPr>
            <w:r>
              <w:rPr>
                <w:b/>
                <w:bCs/>
                <w:noProof/>
                <w:color w:val="242828"/>
                <w:sz w:val="20"/>
                <w:szCs w:val="20"/>
              </w:rPr>
              <w:t>364</w:t>
            </w:r>
          </w:p>
        </w:tc>
        <w:tc>
          <w:tcPr>
            <w:tcW w:w="506" w:type="pct"/>
            <w:tcBorders>
              <w:top w:val="nil"/>
              <w:left w:val="nil"/>
              <w:bottom w:val="single" w:sz="4" w:space="0" w:color="auto"/>
              <w:right w:val="single" w:sz="4" w:space="0" w:color="auto"/>
            </w:tcBorders>
            <w:noWrap/>
            <w:hideMark/>
          </w:tcPr>
          <w:p w14:paraId="4682D58D" w14:textId="77777777" w:rsidR="00004CA5" w:rsidRDefault="00004CA5" w:rsidP="00004CA5">
            <w:pPr>
              <w:jc w:val="center"/>
              <w:rPr>
                <w:b/>
                <w:bCs/>
                <w:noProof/>
                <w:color w:val="242828"/>
                <w:sz w:val="20"/>
                <w:szCs w:val="20"/>
              </w:rPr>
            </w:pPr>
            <w:r>
              <w:rPr>
                <w:b/>
                <w:bCs/>
                <w:noProof/>
                <w:color w:val="242828"/>
                <w:sz w:val="20"/>
                <w:szCs w:val="20"/>
              </w:rPr>
              <w:t>395</w:t>
            </w:r>
          </w:p>
        </w:tc>
        <w:tc>
          <w:tcPr>
            <w:tcW w:w="506" w:type="pct"/>
            <w:tcBorders>
              <w:top w:val="nil"/>
              <w:left w:val="nil"/>
              <w:bottom w:val="single" w:sz="4" w:space="0" w:color="auto"/>
              <w:right w:val="single" w:sz="4" w:space="0" w:color="auto"/>
            </w:tcBorders>
            <w:noWrap/>
            <w:hideMark/>
          </w:tcPr>
          <w:p w14:paraId="24475578" w14:textId="77777777" w:rsidR="00004CA5" w:rsidRDefault="00004CA5" w:rsidP="00004CA5">
            <w:pPr>
              <w:jc w:val="center"/>
              <w:rPr>
                <w:b/>
                <w:bCs/>
                <w:noProof/>
                <w:color w:val="242828"/>
                <w:sz w:val="20"/>
                <w:szCs w:val="20"/>
              </w:rPr>
            </w:pPr>
            <w:r>
              <w:rPr>
                <w:b/>
                <w:bCs/>
                <w:noProof/>
                <w:color w:val="242828"/>
                <w:sz w:val="20"/>
                <w:szCs w:val="20"/>
              </w:rPr>
              <w:t>630</w:t>
            </w:r>
          </w:p>
        </w:tc>
        <w:tc>
          <w:tcPr>
            <w:tcW w:w="506" w:type="pct"/>
            <w:tcBorders>
              <w:top w:val="nil"/>
              <w:left w:val="nil"/>
              <w:bottom w:val="single" w:sz="4" w:space="0" w:color="auto"/>
              <w:right w:val="single" w:sz="4" w:space="0" w:color="auto"/>
            </w:tcBorders>
            <w:noWrap/>
            <w:hideMark/>
          </w:tcPr>
          <w:p w14:paraId="5FA6AEDD" w14:textId="77777777" w:rsidR="00004CA5" w:rsidRDefault="00004CA5" w:rsidP="00004CA5">
            <w:pPr>
              <w:jc w:val="center"/>
              <w:rPr>
                <w:b/>
                <w:bCs/>
                <w:noProof/>
                <w:color w:val="242828"/>
                <w:sz w:val="20"/>
                <w:szCs w:val="20"/>
              </w:rPr>
            </w:pPr>
            <w:r>
              <w:rPr>
                <w:b/>
                <w:bCs/>
                <w:noProof/>
                <w:color w:val="242828"/>
                <w:sz w:val="20"/>
                <w:szCs w:val="20"/>
              </w:rPr>
              <w:t>630</w:t>
            </w:r>
          </w:p>
        </w:tc>
      </w:tr>
      <w:tr w:rsidR="00004CA5" w14:paraId="063A2C48"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4A72F612" w14:textId="77777777" w:rsidR="00004CA5" w:rsidRDefault="00004CA5" w:rsidP="00004CA5">
            <w:pPr>
              <w:rPr>
                <w:b/>
                <w:bCs/>
                <w:noProof/>
                <w:sz w:val="20"/>
                <w:szCs w:val="20"/>
              </w:rPr>
            </w:pPr>
            <w:r>
              <w:rPr>
                <w:b/>
                <w:bCs/>
                <w:noProof/>
                <w:sz w:val="20"/>
                <w:szCs w:val="20"/>
              </w:rPr>
              <w:t>PO4</w:t>
            </w:r>
          </w:p>
        </w:tc>
        <w:tc>
          <w:tcPr>
            <w:tcW w:w="506" w:type="pct"/>
            <w:tcBorders>
              <w:top w:val="nil"/>
              <w:left w:val="nil"/>
              <w:bottom w:val="single" w:sz="4" w:space="0" w:color="auto"/>
              <w:right w:val="single" w:sz="4" w:space="0" w:color="auto"/>
            </w:tcBorders>
            <w:shd w:val="clear" w:color="000000" w:fill="BDE3FF"/>
            <w:hideMark/>
          </w:tcPr>
          <w:p w14:paraId="3756DF4A" w14:textId="77777777" w:rsidR="00004CA5" w:rsidRDefault="00004CA5" w:rsidP="00004CA5">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1AC0F00E" w14:textId="77777777" w:rsidR="00004CA5" w:rsidRDefault="00004CA5" w:rsidP="00004CA5">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76C5F836" w14:textId="77777777" w:rsidR="00004CA5" w:rsidRDefault="00004CA5" w:rsidP="00004CA5">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23D0397D" w14:textId="77777777" w:rsidR="00004CA5" w:rsidRDefault="00004CA5" w:rsidP="00004CA5">
            <w:pPr>
              <w:rPr>
                <w:b/>
                <w:bCs/>
                <w:noProof/>
                <w:sz w:val="20"/>
                <w:szCs w:val="20"/>
              </w:rPr>
            </w:pPr>
            <w:r>
              <w:rPr>
                <w:b/>
                <w:bCs/>
                <w:noProof/>
                <w:sz w:val="20"/>
                <w:szCs w:val="20"/>
              </w:rPr>
              <w:t> </w:t>
            </w:r>
          </w:p>
        </w:tc>
      </w:tr>
      <w:tr w:rsidR="00004CA5" w14:paraId="05E488E5"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00C17EA8" w14:textId="77777777" w:rsidR="00004CA5" w:rsidRDefault="00004CA5" w:rsidP="00004CA5">
            <w:pPr>
              <w:rPr>
                <w:noProof/>
                <w:color w:val="000000"/>
                <w:sz w:val="20"/>
                <w:szCs w:val="20"/>
              </w:rPr>
            </w:pPr>
            <w:r>
              <w:rPr>
                <w:noProof/>
                <w:color w:val="000000"/>
                <w:sz w:val="20"/>
                <w:szCs w:val="20"/>
              </w:rPr>
              <w:t xml:space="preserve">B2B platforms </w:t>
            </w:r>
          </w:p>
        </w:tc>
        <w:tc>
          <w:tcPr>
            <w:tcW w:w="506" w:type="pct"/>
            <w:tcBorders>
              <w:top w:val="nil"/>
              <w:left w:val="nil"/>
              <w:bottom w:val="single" w:sz="4" w:space="0" w:color="auto"/>
              <w:right w:val="single" w:sz="4" w:space="0" w:color="auto"/>
            </w:tcBorders>
            <w:shd w:val="clear" w:color="000000" w:fill="FFFFFF"/>
            <w:noWrap/>
            <w:hideMark/>
          </w:tcPr>
          <w:p w14:paraId="1A24A4DC" w14:textId="77777777" w:rsidR="00004CA5" w:rsidRDefault="00004CA5" w:rsidP="00004CA5">
            <w:pPr>
              <w:jc w:val="center"/>
              <w:rPr>
                <w:noProof/>
                <w:color w:val="000000"/>
                <w:sz w:val="20"/>
                <w:szCs w:val="20"/>
              </w:rPr>
            </w:pPr>
            <w:r>
              <w:rPr>
                <w:noProof/>
                <w:color w:val="000000"/>
                <w:sz w:val="20"/>
                <w:szCs w:val="20"/>
              </w:rPr>
              <w:t>98</w:t>
            </w:r>
          </w:p>
        </w:tc>
        <w:tc>
          <w:tcPr>
            <w:tcW w:w="506" w:type="pct"/>
            <w:tcBorders>
              <w:top w:val="nil"/>
              <w:left w:val="nil"/>
              <w:bottom w:val="single" w:sz="4" w:space="0" w:color="auto"/>
              <w:right w:val="single" w:sz="4" w:space="0" w:color="auto"/>
            </w:tcBorders>
            <w:shd w:val="clear" w:color="000000" w:fill="FFFFFF"/>
            <w:noWrap/>
            <w:hideMark/>
          </w:tcPr>
          <w:p w14:paraId="0AD55DC0" w14:textId="77777777" w:rsidR="00004CA5" w:rsidRDefault="00004CA5" w:rsidP="00004CA5">
            <w:pPr>
              <w:jc w:val="center"/>
              <w:rPr>
                <w:noProof/>
                <w:color w:val="000000"/>
                <w:sz w:val="20"/>
                <w:szCs w:val="20"/>
              </w:rPr>
            </w:pPr>
            <w:r>
              <w:rPr>
                <w:noProof/>
                <w:color w:val="000000"/>
                <w:sz w:val="20"/>
                <w:szCs w:val="20"/>
              </w:rPr>
              <w:t>106</w:t>
            </w:r>
          </w:p>
        </w:tc>
        <w:tc>
          <w:tcPr>
            <w:tcW w:w="506" w:type="pct"/>
            <w:tcBorders>
              <w:top w:val="nil"/>
              <w:left w:val="nil"/>
              <w:bottom w:val="single" w:sz="4" w:space="0" w:color="auto"/>
              <w:right w:val="single" w:sz="4" w:space="0" w:color="auto"/>
            </w:tcBorders>
            <w:shd w:val="clear" w:color="000000" w:fill="FFFFFF"/>
            <w:noWrap/>
            <w:hideMark/>
          </w:tcPr>
          <w:p w14:paraId="367A34DA" w14:textId="77777777" w:rsidR="00004CA5" w:rsidRDefault="00004CA5" w:rsidP="00004CA5">
            <w:pPr>
              <w:jc w:val="center"/>
              <w:rPr>
                <w:noProof/>
                <w:color w:val="000000"/>
                <w:sz w:val="20"/>
                <w:szCs w:val="20"/>
              </w:rPr>
            </w:pPr>
            <w:r>
              <w:rPr>
                <w:noProof/>
                <w:color w:val="000000"/>
                <w:sz w:val="20"/>
                <w:szCs w:val="20"/>
              </w:rPr>
              <w:t>175</w:t>
            </w:r>
          </w:p>
        </w:tc>
        <w:tc>
          <w:tcPr>
            <w:tcW w:w="506" w:type="pct"/>
            <w:tcBorders>
              <w:top w:val="nil"/>
              <w:left w:val="nil"/>
              <w:bottom w:val="single" w:sz="4" w:space="0" w:color="auto"/>
              <w:right w:val="single" w:sz="4" w:space="0" w:color="auto"/>
            </w:tcBorders>
            <w:shd w:val="clear" w:color="000000" w:fill="FFFFFF"/>
            <w:noWrap/>
            <w:hideMark/>
          </w:tcPr>
          <w:p w14:paraId="094A63D5" w14:textId="77777777" w:rsidR="00004CA5" w:rsidRDefault="00004CA5" w:rsidP="00004CA5">
            <w:pPr>
              <w:jc w:val="center"/>
              <w:rPr>
                <w:noProof/>
                <w:color w:val="000000"/>
                <w:sz w:val="20"/>
                <w:szCs w:val="20"/>
              </w:rPr>
            </w:pPr>
            <w:r>
              <w:rPr>
                <w:noProof/>
                <w:color w:val="000000"/>
                <w:sz w:val="20"/>
                <w:szCs w:val="20"/>
              </w:rPr>
              <w:t>169</w:t>
            </w:r>
          </w:p>
        </w:tc>
      </w:tr>
      <w:tr w:rsidR="00004CA5" w14:paraId="2AA8BFEA" w14:textId="77777777" w:rsidTr="00004CA5">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2B647A9B" w14:textId="77777777" w:rsidR="00004CA5" w:rsidRDefault="00004CA5" w:rsidP="00004CA5">
            <w:pPr>
              <w:rPr>
                <w:noProof/>
                <w:color w:val="000000"/>
                <w:sz w:val="20"/>
                <w:szCs w:val="20"/>
              </w:rPr>
            </w:pPr>
            <w:r>
              <w:rPr>
                <w:noProof/>
                <w:color w:val="000000"/>
                <w:sz w:val="20"/>
                <w:szCs w:val="20"/>
              </w:rPr>
              <w:t>B2C platforms</w:t>
            </w:r>
          </w:p>
        </w:tc>
        <w:tc>
          <w:tcPr>
            <w:tcW w:w="506" w:type="pct"/>
            <w:tcBorders>
              <w:top w:val="nil"/>
              <w:left w:val="nil"/>
              <w:bottom w:val="single" w:sz="4" w:space="0" w:color="auto"/>
              <w:right w:val="single" w:sz="4" w:space="0" w:color="auto"/>
            </w:tcBorders>
            <w:shd w:val="clear" w:color="000000" w:fill="FFFFFF"/>
            <w:noWrap/>
            <w:hideMark/>
          </w:tcPr>
          <w:p w14:paraId="48C055BD" w14:textId="77777777" w:rsidR="00004CA5" w:rsidRDefault="00004CA5" w:rsidP="00004CA5">
            <w:pPr>
              <w:jc w:val="center"/>
              <w:rPr>
                <w:noProof/>
                <w:color w:val="000000"/>
                <w:sz w:val="20"/>
                <w:szCs w:val="20"/>
              </w:rPr>
            </w:pPr>
            <w:r>
              <w:rPr>
                <w:noProof/>
                <w:color w:val="000000"/>
                <w:sz w:val="20"/>
                <w:szCs w:val="20"/>
              </w:rPr>
              <w:t>266</w:t>
            </w:r>
          </w:p>
        </w:tc>
        <w:tc>
          <w:tcPr>
            <w:tcW w:w="506" w:type="pct"/>
            <w:tcBorders>
              <w:top w:val="nil"/>
              <w:left w:val="nil"/>
              <w:bottom w:val="single" w:sz="4" w:space="0" w:color="auto"/>
              <w:right w:val="single" w:sz="4" w:space="0" w:color="auto"/>
            </w:tcBorders>
            <w:shd w:val="clear" w:color="000000" w:fill="FFFFFF"/>
            <w:noWrap/>
            <w:hideMark/>
          </w:tcPr>
          <w:p w14:paraId="15A60DCD" w14:textId="77777777" w:rsidR="00004CA5" w:rsidRDefault="00004CA5" w:rsidP="00004CA5">
            <w:pPr>
              <w:jc w:val="center"/>
              <w:rPr>
                <w:noProof/>
                <w:color w:val="000000"/>
                <w:sz w:val="20"/>
                <w:szCs w:val="20"/>
              </w:rPr>
            </w:pPr>
            <w:r>
              <w:rPr>
                <w:noProof/>
                <w:color w:val="000000"/>
                <w:sz w:val="20"/>
                <w:szCs w:val="20"/>
              </w:rPr>
              <w:t>290</w:t>
            </w:r>
          </w:p>
        </w:tc>
        <w:tc>
          <w:tcPr>
            <w:tcW w:w="506" w:type="pct"/>
            <w:tcBorders>
              <w:top w:val="nil"/>
              <w:left w:val="nil"/>
              <w:bottom w:val="single" w:sz="4" w:space="0" w:color="auto"/>
              <w:right w:val="single" w:sz="4" w:space="0" w:color="auto"/>
            </w:tcBorders>
            <w:shd w:val="clear" w:color="000000" w:fill="FFFFFF"/>
            <w:noWrap/>
            <w:hideMark/>
          </w:tcPr>
          <w:p w14:paraId="1E6C38A8" w14:textId="77777777" w:rsidR="00004CA5" w:rsidRDefault="00004CA5" w:rsidP="00004CA5">
            <w:pPr>
              <w:jc w:val="center"/>
              <w:rPr>
                <w:noProof/>
                <w:color w:val="000000"/>
                <w:sz w:val="20"/>
                <w:szCs w:val="20"/>
              </w:rPr>
            </w:pPr>
            <w:r>
              <w:rPr>
                <w:noProof/>
                <w:color w:val="000000"/>
                <w:sz w:val="20"/>
                <w:szCs w:val="20"/>
              </w:rPr>
              <w:t>478</w:t>
            </w:r>
          </w:p>
        </w:tc>
        <w:tc>
          <w:tcPr>
            <w:tcW w:w="506" w:type="pct"/>
            <w:tcBorders>
              <w:top w:val="nil"/>
              <w:left w:val="nil"/>
              <w:bottom w:val="single" w:sz="4" w:space="0" w:color="auto"/>
              <w:right w:val="single" w:sz="4" w:space="0" w:color="auto"/>
            </w:tcBorders>
            <w:shd w:val="clear" w:color="000000" w:fill="FFFFFF"/>
            <w:noWrap/>
            <w:hideMark/>
          </w:tcPr>
          <w:p w14:paraId="38C64DF0" w14:textId="77777777" w:rsidR="00004CA5" w:rsidRDefault="00004CA5" w:rsidP="00004CA5">
            <w:pPr>
              <w:jc w:val="center"/>
              <w:rPr>
                <w:noProof/>
                <w:color w:val="000000"/>
                <w:sz w:val="20"/>
                <w:szCs w:val="20"/>
              </w:rPr>
            </w:pPr>
            <w:r>
              <w:rPr>
                <w:noProof/>
                <w:color w:val="000000"/>
                <w:sz w:val="20"/>
                <w:szCs w:val="20"/>
              </w:rPr>
              <w:t>461</w:t>
            </w:r>
          </w:p>
        </w:tc>
      </w:tr>
      <w:tr w:rsidR="00004CA5" w14:paraId="1C261E14" w14:textId="77777777" w:rsidTr="00004CA5">
        <w:trPr>
          <w:trHeight w:val="270"/>
        </w:trPr>
        <w:tc>
          <w:tcPr>
            <w:tcW w:w="2975" w:type="pct"/>
            <w:tcBorders>
              <w:top w:val="nil"/>
              <w:left w:val="single" w:sz="4" w:space="0" w:color="auto"/>
              <w:bottom w:val="single" w:sz="4" w:space="0" w:color="auto"/>
              <w:right w:val="single" w:sz="4" w:space="0" w:color="auto"/>
            </w:tcBorders>
            <w:shd w:val="clear" w:color="000000" w:fill="FFFFFF"/>
            <w:noWrap/>
            <w:hideMark/>
          </w:tcPr>
          <w:p w14:paraId="26D731AD" w14:textId="77777777" w:rsidR="00004CA5" w:rsidRDefault="00004CA5" w:rsidP="00004CA5">
            <w:pPr>
              <w:rPr>
                <w:b/>
                <w:bCs/>
                <w:noProof/>
                <w:color w:val="000000"/>
                <w:sz w:val="20"/>
                <w:szCs w:val="20"/>
              </w:rPr>
            </w:pPr>
            <w:r>
              <w:rPr>
                <w:b/>
                <w:bCs/>
                <w:noProof/>
                <w:color w:val="000000"/>
                <w:sz w:val="20"/>
                <w:szCs w:val="20"/>
              </w:rPr>
              <w:t>Total</w:t>
            </w:r>
          </w:p>
        </w:tc>
        <w:tc>
          <w:tcPr>
            <w:tcW w:w="506" w:type="pct"/>
            <w:tcBorders>
              <w:top w:val="nil"/>
              <w:left w:val="nil"/>
              <w:bottom w:val="single" w:sz="4" w:space="0" w:color="auto"/>
              <w:right w:val="single" w:sz="4" w:space="0" w:color="auto"/>
            </w:tcBorders>
            <w:noWrap/>
            <w:hideMark/>
          </w:tcPr>
          <w:p w14:paraId="28998022" w14:textId="77777777" w:rsidR="00004CA5" w:rsidRDefault="00004CA5" w:rsidP="00004CA5">
            <w:pPr>
              <w:jc w:val="center"/>
              <w:rPr>
                <w:b/>
                <w:bCs/>
                <w:noProof/>
                <w:color w:val="242828"/>
                <w:sz w:val="20"/>
                <w:szCs w:val="20"/>
              </w:rPr>
            </w:pPr>
            <w:r>
              <w:rPr>
                <w:b/>
                <w:bCs/>
                <w:noProof/>
                <w:color w:val="242828"/>
                <w:sz w:val="20"/>
                <w:szCs w:val="20"/>
              </w:rPr>
              <w:t>364</w:t>
            </w:r>
          </w:p>
        </w:tc>
        <w:tc>
          <w:tcPr>
            <w:tcW w:w="506" w:type="pct"/>
            <w:tcBorders>
              <w:top w:val="nil"/>
              <w:left w:val="nil"/>
              <w:bottom w:val="single" w:sz="4" w:space="0" w:color="auto"/>
              <w:right w:val="single" w:sz="4" w:space="0" w:color="auto"/>
            </w:tcBorders>
            <w:noWrap/>
            <w:hideMark/>
          </w:tcPr>
          <w:p w14:paraId="23D55A5E" w14:textId="77777777" w:rsidR="00004CA5" w:rsidRDefault="00004CA5" w:rsidP="00004CA5">
            <w:pPr>
              <w:jc w:val="center"/>
              <w:rPr>
                <w:b/>
                <w:bCs/>
                <w:noProof/>
                <w:color w:val="242828"/>
                <w:sz w:val="20"/>
                <w:szCs w:val="20"/>
              </w:rPr>
            </w:pPr>
            <w:r>
              <w:rPr>
                <w:b/>
                <w:bCs/>
                <w:noProof/>
                <w:color w:val="242828"/>
                <w:sz w:val="20"/>
                <w:szCs w:val="20"/>
              </w:rPr>
              <w:t>396</w:t>
            </w:r>
          </w:p>
        </w:tc>
        <w:tc>
          <w:tcPr>
            <w:tcW w:w="506" w:type="pct"/>
            <w:tcBorders>
              <w:top w:val="nil"/>
              <w:left w:val="nil"/>
              <w:bottom w:val="single" w:sz="4" w:space="0" w:color="auto"/>
              <w:right w:val="single" w:sz="4" w:space="0" w:color="auto"/>
            </w:tcBorders>
            <w:noWrap/>
            <w:hideMark/>
          </w:tcPr>
          <w:p w14:paraId="4AF87C99" w14:textId="77777777" w:rsidR="00004CA5" w:rsidRDefault="00004CA5" w:rsidP="00004CA5">
            <w:pPr>
              <w:jc w:val="center"/>
              <w:rPr>
                <w:b/>
                <w:bCs/>
                <w:noProof/>
                <w:color w:val="242828"/>
                <w:sz w:val="20"/>
                <w:szCs w:val="20"/>
              </w:rPr>
            </w:pPr>
            <w:r>
              <w:rPr>
                <w:b/>
                <w:bCs/>
                <w:noProof/>
                <w:color w:val="242828"/>
                <w:sz w:val="20"/>
                <w:szCs w:val="20"/>
              </w:rPr>
              <w:t>653</w:t>
            </w:r>
          </w:p>
        </w:tc>
        <w:tc>
          <w:tcPr>
            <w:tcW w:w="506" w:type="pct"/>
            <w:tcBorders>
              <w:top w:val="nil"/>
              <w:left w:val="nil"/>
              <w:bottom w:val="single" w:sz="4" w:space="0" w:color="auto"/>
              <w:right w:val="single" w:sz="4" w:space="0" w:color="auto"/>
            </w:tcBorders>
            <w:noWrap/>
            <w:hideMark/>
          </w:tcPr>
          <w:p w14:paraId="39D0D91E" w14:textId="77777777" w:rsidR="00004CA5" w:rsidRDefault="00004CA5" w:rsidP="00004CA5">
            <w:pPr>
              <w:jc w:val="center"/>
              <w:rPr>
                <w:b/>
                <w:bCs/>
                <w:noProof/>
                <w:color w:val="242828"/>
                <w:sz w:val="20"/>
                <w:szCs w:val="20"/>
              </w:rPr>
            </w:pPr>
            <w:r>
              <w:rPr>
                <w:b/>
                <w:bCs/>
                <w:noProof/>
                <w:color w:val="242828"/>
                <w:sz w:val="20"/>
                <w:szCs w:val="20"/>
              </w:rPr>
              <w:t>630</w:t>
            </w:r>
          </w:p>
        </w:tc>
      </w:tr>
    </w:tbl>
    <w:p w14:paraId="7D5CB85C" w14:textId="77777777" w:rsidR="00004CA5" w:rsidRDefault="00004CA5" w:rsidP="00004CA5">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69198C1E" w14:textId="75632090" w:rsidR="00004CA5" w:rsidRPr="006B002F" w:rsidRDefault="00004CA5" w:rsidP="00004CA5">
      <w:pPr>
        <w:pStyle w:val="BodyText"/>
        <w:spacing w:after="240"/>
        <w:ind w:left="0"/>
        <w:rPr>
          <w:noProof/>
          <w:spacing w:val="-8"/>
        </w:rPr>
      </w:pPr>
      <w:bookmarkStart w:id="131" w:name="_Ref223119259"/>
      <w:r>
        <w:rPr>
          <w:noProof/>
          <w:spacing w:val="-8"/>
        </w:rPr>
        <w:t>Similarly,</w:t>
      </w:r>
      <w:r w:rsidRPr="0047728B">
        <w:rPr>
          <w:noProof/>
          <w:spacing w:val="-8"/>
        </w:rPr>
        <w:t xml:space="preserve"> the number of </w:t>
      </w:r>
      <w:r>
        <w:rPr>
          <w:noProof/>
          <w:spacing w:val="-8"/>
        </w:rPr>
        <w:t xml:space="preserve">agreements between </w:t>
      </w:r>
      <w:r w:rsidRPr="0047728B">
        <w:rPr>
          <w:noProof/>
          <w:spacing w:val="-8"/>
        </w:rPr>
        <w:t xml:space="preserve">MDMS platforms </w:t>
      </w:r>
      <w:r>
        <w:rPr>
          <w:noProof/>
          <w:spacing w:val="-8"/>
        </w:rPr>
        <w:t>and transport operators</w:t>
      </w:r>
      <w:r w:rsidR="004F3CD6">
        <w:rPr>
          <w:noProof/>
          <w:spacing w:val="-8"/>
        </w:rPr>
        <w:t xml:space="preserve"> is projected to increase in all policy options relative to the baseline</w:t>
      </w:r>
      <w:r>
        <w:rPr>
          <w:noProof/>
          <w:spacing w:val="-8"/>
        </w:rPr>
        <w:t xml:space="preserve">. </w:t>
      </w:r>
      <w:r w:rsidRPr="00117904">
        <w:rPr>
          <w:noProof/>
          <w:spacing w:val="-8"/>
        </w:rPr>
        <w:t>As shown in</w:t>
      </w:r>
      <w:r>
        <w:rPr>
          <w:noProof/>
          <w:spacing w:val="-8"/>
        </w:rPr>
        <w:t xml:space="preserve"> the table below</w:t>
      </w:r>
      <w:r w:rsidRPr="00117904">
        <w:rPr>
          <w:noProof/>
          <w:spacing w:val="-8"/>
        </w:rPr>
        <w:t>, this increase is expected to be significantly higher in PO2</w:t>
      </w:r>
      <w:r w:rsidR="00A5757B">
        <w:rPr>
          <w:noProof/>
          <w:spacing w:val="-8"/>
        </w:rPr>
        <w:t xml:space="preserve">, </w:t>
      </w:r>
      <w:r w:rsidRPr="00117904">
        <w:rPr>
          <w:noProof/>
          <w:spacing w:val="-8"/>
        </w:rPr>
        <w:t xml:space="preserve">PO3 and PO4 compared to PO1 (around 5% increase relative to the baseline in 2050 in PO1 against </w:t>
      </w:r>
      <w:r w:rsidR="00EE3B0B">
        <w:rPr>
          <w:noProof/>
          <w:spacing w:val="-8"/>
        </w:rPr>
        <w:t>97</w:t>
      </w:r>
      <w:r w:rsidRPr="00117904">
        <w:rPr>
          <w:noProof/>
          <w:spacing w:val="-8"/>
        </w:rPr>
        <w:t xml:space="preserve">% in PO2, PO3 and </w:t>
      </w:r>
      <w:r w:rsidR="00EE3B0B">
        <w:rPr>
          <w:noProof/>
          <w:spacing w:val="-8"/>
        </w:rPr>
        <w:t>PO4</w:t>
      </w:r>
      <w:r w:rsidRPr="00117904">
        <w:rPr>
          <w:noProof/>
          <w:spacing w:val="-8"/>
        </w:rPr>
        <w:t xml:space="preserve"> – all compared to the baseline)</w:t>
      </w:r>
      <w:r w:rsidR="00CE1DFC">
        <w:rPr>
          <w:noProof/>
          <w:spacing w:val="-8"/>
        </w:rPr>
        <w:t>.</w:t>
      </w:r>
      <w:r w:rsidRPr="00117904">
        <w:rPr>
          <w:noProof/>
          <w:spacing w:val="-8"/>
        </w:rPr>
        <w:t xml:space="preserve"> </w:t>
      </w:r>
      <w:r w:rsidR="00CF2313" w:rsidRPr="00117904">
        <w:rPr>
          <w:noProof/>
          <w:spacing w:val="-8"/>
        </w:rPr>
        <w:t>PO</w:t>
      </w:r>
      <w:r w:rsidR="00CF2313">
        <w:rPr>
          <w:noProof/>
          <w:spacing w:val="-8"/>
        </w:rPr>
        <w:t>2</w:t>
      </w:r>
      <w:r w:rsidR="00CF2313" w:rsidRPr="00117904">
        <w:rPr>
          <w:noProof/>
          <w:spacing w:val="-8"/>
        </w:rPr>
        <w:t xml:space="preserve"> </w:t>
      </w:r>
      <w:r w:rsidRPr="00117904">
        <w:rPr>
          <w:noProof/>
          <w:spacing w:val="-8"/>
        </w:rPr>
        <w:t>show</w:t>
      </w:r>
      <w:r w:rsidR="00CE1DFC">
        <w:rPr>
          <w:noProof/>
          <w:spacing w:val="-8"/>
        </w:rPr>
        <w:t>s</w:t>
      </w:r>
      <w:r w:rsidRPr="00117904">
        <w:rPr>
          <w:noProof/>
          <w:spacing w:val="-8"/>
        </w:rPr>
        <w:t xml:space="preserve"> the highest impact </w:t>
      </w:r>
      <w:r w:rsidR="003B04ED">
        <w:rPr>
          <w:noProof/>
          <w:spacing w:val="-8"/>
        </w:rPr>
        <w:t xml:space="preserve">in 2030 and 2040 </w:t>
      </w:r>
      <w:r w:rsidRPr="00117904">
        <w:rPr>
          <w:noProof/>
          <w:spacing w:val="-8"/>
        </w:rPr>
        <w:t xml:space="preserve">with respectively </w:t>
      </w:r>
      <w:r w:rsidR="00C238A4" w:rsidRPr="00C238A4">
        <w:rPr>
          <w:noProof/>
          <w:spacing w:val="-8"/>
        </w:rPr>
        <w:t>20,511</w:t>
      </w:r>
      <w:r w:rsidRPr="00117904">
        <w:rPr>
          <w:noProof/>
          <w:spacing w:val="-8"/>
        </w:rPr>
        <w:t xml:space="preserve"> and </w:t>
      </w:r>
      <w:r w:rsidR="00745706" w:rsidRPr="00745706">
        <w:rPr>
          <w:noProof/>
          <w:spacing w:val="-8"/>
        </w:rPr>
        <w:t>66,241</w:t>
      </w:r>
      <w:r w:rsidRPr="00117904">
        <w:rPr>
          <w:noProof/>
          <w:spacing w:val="-8"/>
        </w:rPr>
        <w:t xml:space="preserve"> additional agreements </w:t>
      </w:r>
      <w:r w:rsidR="00745706">
        <w:rPr>
          <w:noProof/>
          <w:spacing w:val="-8"/>
        </w:rPr>
        <w:t>relative</w:t>
      </w:r>
      <w:r w:rsidRPr="00117904">
        <w:rPr>
          <w:noProof/>
          <w:spacing w:val="-8"/>
        </w:rPr>
        <w:t xml:space="preserve"> to the baseline</w:t>
      </w:r>
      <w:r w:rsidR="0003743E">
        <w:rPr>
          <w:noProof/>
          <w:spacing w:val="-8"/>
        </w:rPr>
        <w:t xml:space="preserve"> due to the high</w:t>
      </w:r>
      <w:r w:rsidR="005C6617">
        <w:rPr>
          <w:noProof/>
          <w:spacing w:val="-8"/>
        </w:rPr>
        <w:t>est</w:t>
      </w:r>
      <w:r w:rsidR="0003743E">
        <w:rPr>
          <w:noProof/>
          <w:spacing w:val="-8"/>
        </w:rPr>
        <w:t xml:space="preserve"> number of </w:t>
      </w:r>
      <w:r w:rsidR="005C6617">
        <w:rPr>
          <w:noProof/>
          <w:spacing w:val="-8"/>
        </w:rPr>
        <w:t xml:space="preserve">additional </w:t>
      </w:r>
      <w:r w:rsidR="0003743E">
        <w:rPr>
          <w:noProof/>
          <w:spacing w:val="-8"/>
        </w:rPr>
        <w:t>platforms</w:t>
      </w:r>
      <w:r w:rsidR="00104BFC">
        <w:rPr>
          <w:noProof/>
          <w:spacing w:val="-8"/>
        </w:rPr>
        <w:t xml:space="preserve"> in this policy option relative to the baseline</w:t>
      </w:r>
      <w:r w:rsidRPr="00117904">
        <w:rPr>
          <w:noProof/>
          <w:spacing w:val="-8"/>
        </w:rPr>
        <w:t xml:space="preserve">. </w:t>
      </w:r>
    </w:p>
    <w:p w14:paraId="14214DEB" w14:textId="17C33084" w:rsidR="00004CA5" w:rsidRDefault="00004CA5" w:rsidP="00181616">
      <w:pPr>
        <w:pStyle w:val="Caption"/>
        <w:keepNext/>
        <w:spacing w:after="0"/>
        <w:jc w:val="both"/>
        <w:rPr>
          <w:noProof/>
          <w:color w:val="auto"/>
          <w:sz w:val="22"/>
          <w:szCs w:val="22"/>
        </w:rPr>
      </w:pPr>
      <w:r w:rsidRPr="00FF006A">
        <w:rPr>
          <w:noProof/>
          <w:color w:val="auto"/>
          <w:sz w:val="22"/>
          <w:szCs w:val="22"/>
        </w:rPr>
        <w:t xml:space="preserve">Table </w:t>
      </w:r>
      <w:r w:rsidRPr="00FF006A">
        <w:rPr>
          <w:noProof/>
          <w:color w:val="auto"/>
          <w:sz w:val="22"/>
          <w:szCs w:val="22"/>
        </w:rPr>
        <w:fldChar w:fldCharType="begin"/>
      </w:r>
      <w:r w:rsidRPr="00FF006A">
        <w:rPr>
          <w:noProof/>
          <w:color w:val="auto"/>
          <w:sz w:val="22"/>
          <w:szCs w:val="22"/>
        </w:rPr>
        <w:instrText xml:space="preserve"> SEQ Table \* ARABIC </w:instrText>
      </w:r>
      <w:r w:rsidRPr="00FF006A">
        <w:rPr>
          <w:noProof/>
          <w:color w:val="auto"/>
          <w:sz w:val="22"/>
          <w:szCs w:val="22"/>
        </w:rPr>
        <w:fldChar w:fldCharType="separate"/>
      </w:r>
      <w:r w:rsidR="0055391F">
        <w:rPr>
          <w:noProof/>
          <w:color w:val="auto"/>
          <w:sz w:val="22"/>
          <w:szCs w:val="22"/>
        </w:rPr>
        <w:t>6</w:t>
      </w:r>
      <w:r w:rsidRPr="00FF006A">
        <w:rPr>
          <w:noProof/>
          <w:color w:val="auto"/>
          <w:sz w:val="22"/>
          <w:szCs w:val="22"/>
        </w:rPr>
        <w:fldChar w:fldCharType="end"/>
      </w:r>
      <w:bookmarkEnd w:id="131"/>
      <w:r w:rsidRPr="00FF006A">
        <w:rPr>
          <w:noProof/>
          <w:color w:val="auto"/>
          <w:sz w:val="22"/>
          <w:szCs w:val="22"/>
        </w:rPr>
        <w:t xml:space="preserve">: Projected number of </w:t>
      </w:r>
      <w:r>
        <w:rPr>
          <w:noProof/>
          <w:color w:val="auto"/>
          <w:sz w:val="22"/>
          <w:szCs w:val="22"/>
        </w:rPr>
        <w:t xml:space="preserve">agreements between </w:t>
      </w:r>
      <w:r w:rsidRPr="00FF006A">
        <w:rPr>
          <w:noProof/>
          <w:color w:val="auto"/>
          <w:sz w:val="22"/>
          <w:szCs w:val="22"/>
        </w:rPr>
        <w:t xml:space="preserve">MDMS platforms </w:t>
      </w:r>
      <w:r>
        <w:rPr>
          <w:noProof/>
          <w:color w:val="auto"/>
          <w:sz w:val="22"/>
          <w:szCs w:val="22"/>
        </w:rPr>
        <w:t xml:space="preserve">and transport operators </w:t>
      </w:r>
      <w:r w:rsidRPr="00FF006A">
        <w:rPr>
          <w:noProof/>
          <w:color w:val="auto"/>
          <w:sz w:val="22"/>
          <w:szCs w:val="22"/>
        </w:rPr>
        <w:t>across EU in the baseline and policy options</w:t>
      </w:r>
      <w:r>
        <w:rPr>
          <w:noProof/>
          <w:color w:val="auto"/>
          <w:sz w:val="22"/>
          <w:szCs w:val="22"/>
        </w:rPr>
        <w:t xml:space="preserve"> in 2028, 2030, 2040 and 2050</w:t>
      </w:r>
    </w:p>
    <w:tbl>
      <w:tblPr>
        <w:tblW w:w="5000" w:type="pct"/>
        <w:tblLook w:val="04A0" w:firstRow="1" w:lastRow="0" w:firstColumn="1" w:lastColumn="0" w:noHBand="0" w:noVBand="1"/>
      </w:tblPr>
      <w:tblGrid>
        <w:gridCol w:w="3617"/>
        <w:gridCol w:w="1497"/>
        <w:gridCol w:w="1497"/>
        <w:gridCol w:w="1496"/>
        <w:gridCol w:w="1496"/>
      </w:tblGrid>
      <w:tr w:rsidR="00DF7708" w14:paraId="6F7AAEFA" w14:textId="77777777" w:rsidTr="00DF7708">
        <w:trPr>
          <w:trHeight w:val="255"/>
          <w:tblHeader/>
        </w:trPr>
        <w:tc>
          <w:tcPr>
            <w:tcW w:w="1883" w:type="pct"/>
            <w:tcBorders>
              <w:top w:val="single" w:sz="4" w:space="0" w:color="auto"/>
              <w:left w:val="single" w:sz="4" w:space="0" w:color="auto"/>
              <w:bottom w:val="single" w:sz="4" w:space="0" w:color="auto"/>
              <w:right w:val="single" w:sz="4" w:space="0" w:color="auto"/>
            </w:tcBorders>
            <w:shd w:val="clear" w:color="000000" w:fill="0070C0"/>
            <w:hideMark/>
          </w:tcPr>
          <w:p w14:paraId="5D854CD9" w14:textId="77777777" w:rsidR="003C128C" w:rsidRDefault="003C128C">
            <w:pPr>
              <w:rPr>
                <w:b/>
                <w:bCs/>
                <w:noProof/>
                <w:color w:val="FFFFFF"/>
                <w:sz w:val="20"/>
                <w:szCs w:val="20"/>
              </w:rPr>
            </w:pPr>
            <w:r>
              <w:rPr>
                <w:b/>
                <w:bCs/>
                <w:noProof/>
                <w:color w:val="FFFFFF"/>
                <w:sz w:val="20"/>
                <w:szCs w:val="20"/>
              </w:rPr>
              <w:t> </w:t>
            </w:r>
          </w:p>
        </w:tc>
        <w:tc>
          <w:tcPr>
            <w:tcW w:w="779" w:type="pct"/>
            <w:tcBorders>
              <w:top w:val="single" w:sz="4" w:space="0" w:color="auto"/>
              <w:left w:val="nil"/>
              <w:bottom w:val="single" w:sz="4" w:space="0" w:color="auto"/>
              <w:right w:val="single" w:sz="4" w:space="0" w:color="auto"/>
            </w:tcBorders>
            <w:shd w:val="clear" w:color="000000" w:fill="0070C0"/>
            <w:hideMark/>
          </w:tcPr>
          <w:p w14:paraId="5DE1F62D" w14:textId="77777777" w:rsidR="003C128C" w:rsidRDefault="003C128C">
            <w:pPr>
              <w:jc w:val="right"/>
              <w:rPr>
                <w:b/>
                <w:bCs/>
                <w:noProof/>
                <w:color w:val="FFFFFF"/>
                <w:sz w:val="20"/>
                <w:szCs w:val="20"/>
              </w:rPr>
            </w:pPr>
            <w:r>
              <w:rPr>
                <w:b/>
                <w:bCs/>
                <w:noProof/>
                <w:color w:val="FFFFFF"/>
                <w:sz w:val="20"/>
                <w:szCs w:val="20"/>
              </w:rPr>
              <w:t>2028</w:t>
            </w:r>
          </w:p>
        </w:tc>
        <w:tc>
          <w:tcPr>
            <w:tcW w:w="779" w:type="pct"/>
            <w:tcBorders>
              <w:top w:val="single" w:sz="4" w:space="0" w:color="auto"/>
              <w:left w:val="nil"/>
              <w:bottom w:val="single" w:sz="4" w:space="0" w:color="auto"/>
              <w:right w:val="single" w:sz="4" w:space="0" w:color="auto"/>
            </w:tcBorders>
            <w:shd w:val="clear" w:color="000000" w:fill="0070C0"/>
            <w:hideMark/>
          </w:tcPr>
          <w:p w14:paraId="40ADF1EB" w14:textId="77777777" w:rsidR="003C128C" w:rsidRDefault="003C128C">
            <w:pPr>
              <w:jc w:val="right"/>
              <w:rPr>
                <w:b/>
                <w:bCs/>
                <w:noProof/>
                <w:color w:val="FFFFFF"/>
                <w:sz w:val="20"/>
                <w:szCs w:val="20"/>
              </w:rPr>
            </w:pPr>
            <w:r>
              <w:rPr>
                <w:b/>
                <w:bCs/>
                <w:noProof/>
                <w:color w:val="FFFFFF"/>
                <w:sz w:val="20"/>
                <w:szCs w:val="20"/>
              </w:rPr>
              <w:t>2030</w:t>
            </w:r>
          </w:p>
        </w:tc>
        <w:tc>
          <w:tcPr>
            <w:tcW w:w="779" w:type="pct"/>
            <w:tcBorders>
              <w:top w:val="single" w:sz="4" w:space="0" w:color="auto"/>
              <w:left w:val="nil"/>
              <w:bottom w:val="single" w:sz="4" w:space="0" w:color="auto"/>
              <w:right w:val="single" w:sz="4" w:space="0" w:color="auto"/>
            </w:tcBorders>
            <w:shd w:val="clear" w:color="000000" w:fill="0070C0"/>
            <w:hideMark/>
          </w:tcPr>
          <w:p w14:paraId="6C26887B" w14:textId="77777777" w:rsidR="003C128C" w:rsidRDefault="003C128C">
            <w:pPr>
              <w:jc w:val="right"/>
              <w:rPr>
                <w:b/>
                <w:bCs/>
                <w:noProof/>
                <w:color w:val="FFFFFF"/>
                <w:sz w:val="20"/>
                <w:szCs w:val="20"/>
              </w:rPr>
            </w:pPr>
            <w:r>
              <w:rPr>
                <w:b/>
                <w:bCs/>
                <w:noProof/>
                <w:color w:val="FFFFFF"/>
                <w:sz w:val="20"/>
                <w:szCs w:val="20"/>
              </w:rPr>
              <w:t>2040</w:t>
            </w:r>
          </w:p>
        </w:tc>
        <w:tc>
          <w:tcPr>
            <w:tcW w:w="779" w:type="pct"/>
            <w:tcBorders>
              <w:top w:val="single" w:sz="4" w:space="0" w:color="auto"/>
              <w:left w:val="nil"/>
              <w:bottom w:val="single" w:sz="4" w:space="0" w:color="auto"/>
              <w:right w:val="single" w:sz="4" w:space="0" w:color="auto"/>
            </w:tcBorders>
            <w:shd w:val="clear" w:color="000000" w:fill="0070C0"/>
            <w:hideMark/>
          </w:tcPr>
          <w:p w14:paraId="1D4EB4CC" w14:textId="77777777" w:rsidR="003C128C" w:rsidRDefault="003C128C">
            <w:pPr>
              <w:jc w:val="right"/>
              <w:rPr>
                <w:b/>
                <w:bCs/>
                <w:noProof/>
                <w:color w:val="FFFFFF"/>
                <w:sz w:val="20"/>
                <w:szCs w:val="20"/>
              </w:rPr>
            </w:pPr>
            <w:r>
              <w:rPr>
                <w:b/>
                <w:bCs/>
                <w:noProof/>
                <w:color w:val="FFFFFF"/>
                <w:sz w:val="20"/>
                <w:szCs w:val="20"/>
              </w:rPr>
              <w:t>2050</w:t>
            </w:r>
          </w:p>
        </w:tc>
      </w:tr>
      <w:tr w:rsidR="00DF7708" w14:paraId="069D31C2" w14:textId="77777777" w:rsidTr="00DF7708">
        <w:trPr>
          <w:trHeight w:val="255"/>
        </w:trPr>
        <w:tc>
          <w:tcPr>
            <w:tcW w:w="1883" w:type="pct"/>
            <w:tcBorders>
              <w:top w:val="nil"/>
              <w:left w:val="single" w:sz="4" w:space="0" w:color="auto"/>
              <w:bottom w:val="single" w:sz="4" w:space="0" w:color="auto"/>
              <w:right w:val="single" w:sz="4" w:space="0" w:color="auto"/>
            </w:tcBorders>
            <w:shd w:val="clear" w:color="000000" w:fill="BDE3FF"/>
            <w:hideMark/>
          </w:tcPr>
          <w:p w14:paraId="5097A7DA" w14:textId="77777777" w:rsidR="003C128C" w:rsidRDefault="003C128C">
            <w:pPr>
              <w:rPr>
                <w:b/>
                <w:bCs/>
                <w:noProof/>
                <w:color w:val="242828"/>
                <w:sz w:val="20"/>
                <w:szCs w:val="20"/>
              </w:rPr>
            </w:pPr>
            <w:r>
              <w:rPr>
                <w:b/>
                <w:bCs/>
                <w:noProof/>
                <w:color w:val="242828"/>
                <w:sz w:val="20"/>
                <w:szCs w:val="20"/>
              </w:rPr>
              <w:t>Baseline</w:t>
            </w:r>
          </w:p>
        </w:tc>
        <w:tc>
          <w:tcPr>
            <w:tcW w:w="779" w:type="pct"/>
            <w:tcBorders>
              <w:top w:val="nil"/>
              <w:left w:val="nil"/>
              <w:bottom w:val="single" w:sz="4" w:space="0" w:color="auto"/>
              <w:right w:val="single" w:sz="4" w:space="0" w:color="auto"/>
            </w:tcBorders>
            <w:shd w:val="clear" w:color="000000" w:fill="BDE3FF"/>
            <w:hideMark/>
          </w:tcPr>
          <w:p w14:paraId="650F39EC" w14:textId="77777777" w:rsidR="003C128C" w:rsidRDefault="003C128C">
            <w:pPr>
              <w:jc w:val="right"/>
              <w:rPr>
                <w:noProof/>
                <w:color w:val="242828"/>
                <w:sz w:val="20"/>
                <w:szCs w:val="20"/>
              </w:rPr>
            </w:pPr>
            <w:r>
              <w:rPr>
                <w:noProof/>
                <w:color w:val="242828"/>
                <w:sz w:val="20"/>
                <w:szCs w:val="20"/>
              </w:rPr>
              <w:t>48,624</w:t>
            </w:r>
          </w:p>
        </w:tc>
        <w:tc>
          <w:tcPr>
            <w:tcW w:w="779" w:type="pct"/>
            <w:tcBorders>
              <w:top w:val="nil"/>
              <w:left w:val="nil"/>
              <w:bottom w:val="single" w:sz="4" w:space="0" w:color="auto"/>
              <w:right w:val="single" w:sz="4" w:space="0" w:color="auto"/>
            </w:tcBorders>
            <w:shd w:val="clear" w:color="000000" w:fill="BDE3FF"/>
            <w:hideMark/>
          </w:tcPr>
          <w:p w14:paraId="142E09E0" w14:textId="77777777" w:rsidR="003C128C" w:rsidRDefault="003C128C">
            <w:pPr>
              <w:jc w:val="right"/>
              <w:rPr>
                <w:noProof/>
                <w:color w:val="242828"/>
                <w:sz w:val="20"/>
                <w:szCs w:val="20"/>
              </w:rPr>
            </w:pPr>
            <w:r>
              <w:rPr>
                <w:noProof/>
                <w:color w:val="242828"/>
                <w:sz w:val="20"/>
                <w:szCs w:val="20"/>
              </w:rPr>
              <w:t>49,321</w:t>
            </w:r>
          </w:p>
        </w:tc>
        <w:tc>
          <w:tcPr>
            <w:tcW w:w="779" w:type="pct"/>
            <w:tcBorders>
              <w:top w:val="nil"/>
              <w:left w:val="nil"/>
              <w:bottom w:val="single" w:sz="4" w:space="0" w:color="auto"/>
              <w:right w:val="single" w:sz="4" w:space="0" w:color="auto"/>
            </w:tcBorders>
            <w:shd w:val="clear" w:color="000000" w:fill="BDE3FF"/>
            <w:hideMark/>
          </w:tcPr>
          <w:p w14:paraId="453D8282" w14:textId="77777777" w:rsidR="003C128C" w:rsidRDefault="003C128C">
            <w:pPr>
              <w:jc w:val="right"/>
              <w:rPr>
                <w:noProof/>
                <w:color w:val="242828"/>
                <w:sz w:val="20"/>
                <w:szCs w:val="20"/>
              </w:rPr>
            </w:pPr>
            <w:r>
              <w:rPr>
                <w:noProof/>
                <w:color w:val="242828"/>
                <w:sz w:val="20"/>
                <w:szCs w:val="20"/>
              </w:rPr>
              <w:t>52,808</w:t>
            </w:r>
          </w:p>
        </w:tc>
        <w:tc>
          <w:tcPr>
            <w:tcW w:w="779" w:type="pct"/>
            <w:tcBorders>
              <w:top w:val="nil"/>
              <w:left w:val="nil"/>
              <w:bottom w:val="single" w:sz="4" w:space="0" w:color="auto"/>
              <w:right w:val="single" w:sz="4" w:space="0" w:color="auto"/>
            </w:tcBorders>
            <w:shd w:val="clear" w:color="000000" w:fill="BDE3FF"/>
            <w:hideMark/>
          </w:tcPr>
          <w:p w14:paraId="63C48E8A" w14:textId="77777777" w:rsidR="003C128C" w:rsidRDefault="003C128C">
            <w:pPr>
              <w:jc w:val="right"/>
              <w:rPr>
                <w:noProof/>
                <w:color w:val="242828"/>
                <w:sz w:val="20"/>
                <w:szCs w:val="20"/>
              </w:rPr>
            </w:pPr>
            <w:r>
              <w:rPr>
                <w:noProof/>
                <w:color w:val="242828"/>
                <w:sz w:val="20"/>
                <w:szCs w:val="20"/>
              </w:rPr>
              <w:t>56,295</w:t>
            </w:r>
          </w:p>
        </w:tc>
      </w:tr>
      <w:tr w:rsidR="00DF7708" w14:paraId="654B4E35" w14:textId="77777777" w:rsidTr="00DF7708">
        <w:trPr>
          <w:trHeight w:val="255"/>
        </w:trPr>
        <w:tc>
          <w:tcPr>
            <w:tcW w:w="1883" w:type="pct"/>
            <w:tcBorders>
              <w:top w:val="nil"/>
              <w:left w:val="single" w:sz="4" w:space="0" w:color="auto"/>
              <w:bottom w:val="single" w:sz="4" w:space="0" w:color="auto"/>
              <w:right w:val="single" w:sz="4" w:space="0" w:color="auto"/>
            </w:tcBorders>
            <w:shd w:val="clear" w:color="000000" w:fill="BDE3FF"/>
            <w:hideMark/>
          </w:tcPr>
          <w:p w14:paraId="578A88FC" w14:textId="77777777" w:rsidR="003C128C" w:rsidRDefault="003C128C">
            <w:pPr>
              <w:rPr>
                <w:b/>
                <w:bCs/>
                <w:noProof/>
                <w:color w:val="242828"/>
                <w:sz w:val="20"/>
                <w:szCs w:val="20"/>
              </w:rPr>
            </w:pPr>
            <w:r>
              <w:rPr>
                <w:b/>
                <w:bCs/>
                <w:noProof/>
                <w:color w:val="242828"/>
                <w:sz w:val="20"/>
                <w:szCs w:val="20"/>
              </w:rPr>
              <w:t>PO1</w:t>
            </w:r>
          </w:p>
        </w:tc>
        <w:tc>
          <w:tcPr>
            <w:tcW w:w="779" w:type="pct"/>
            <w:tcBorders>
              <w:top w:val="nil"/>
              <w:left w:val="nil"/>
              <w:bottom w:val="single" w:sz="4" w:space="0" w:color="auto"/>
              <w:right w:val="single" w:sz="4" w:space="0" w:color="auto"/>
            </w:tcBorders>
            <w:shd w:val="clear" w:color="000000" w:fill="BDE3FF"/>
            <w:hideMark/>
          </w:tcPr>
          <w:p w14:paraId="78B61D82" w14:textId="77777777" w:rsidR="003C128C" w:rsidRDefault="003C128C">
            <w:pPr>
              <w:jc w:val="right"/>
              <w:rPr>
                <w:noProof/>
                <w:color w:val="242828"/>
                <w:sz w:val="20"/>
                <w:szCs w:val="20"/>
              </w:rPr>
            </w:pPr>
            <w:r>
              <w:rPr>
                <w:noProof/>
                <w:color w:val="242828"/>
                <w:sz w:val="20"/>
                <w:szCs w:val="20"/>
              </w:rPr>
              <w:t>48,624</w:t>
            </w:r>
          </w:p>
        </w:tc>
        <w:tc>
          <w:tcPr>
            <w:tcW w:w="779" w:type="pct"/>
            <w:tcBorders>
              <w:top w:val="nil"/>
              <w:left w:val="nil"/>
              <w:bottom w:val="single" w:sz="4" w:space="0" w:color="auto"/>
              <w:right w:val="single" w:sz="4" w:space="0" w:color="auto"/>
            </w:tcBorders>
            <w:shd w:val="clear" w:color="000000" w:fill="BDE3FF"/>
            <w:hideMark/>
          </w:tcPr>
          <w:p w14:paraId="7D970EFE" w14:textId="77777777" w:rsidR="003C128C" w:rsidRDefault="003C128C">
            <w:pPr>
              <w:jc w:val="right"/>
              <w:rPr>
                <w:noProof/>
                <w:color w:val="242828"/>
                <w:sz w:val="20"/>
                <w:szCs w:val="20"/>
              </w:rPr>
            </w:pPr>
            <w:r>
              <w:rPr>
                <w:noProof/>
                <w:color w:val="242828"/>
                <w:sz w:val="20"/>
                <w:szCs w:val="20"/>
              </w:rPr>
              <w:t>50,671</w:t>
            </w:r>
          </w:p>
        </w:tc>
        <w:tc>
          <w:tcPr>
            <w:tcW w:w="779" w:type="pct"/>
            <w:tcBorders>
              <w:top w:val="nil"/>
              <w:left w:val="nil"/>
              <w:bottom w:val="single" w:sz="4" w:space="0" w:color="auto"/>
              <w:right w:val="single" w:sz="4" w:space="0" w:color="auto"/>
            </w:tcBorders>
            <w:shd w:val="clear" w:color="000000" w:fill="BDE3FF"/>
            <w:hideMark/>
          </w:tcPr>
          <w:p w14:paraId="27270F66" w14:textId="77777777" w:rsidR="003C128C" w:rsidRDefault="003C128C">
            <w:pPr>
              <w:jc w:val="right"/>
              <w:rPr>
                <w:noProof/>
                <w:color w:val="242828"/>
                <w:sz w:val="20"/>
                <w:szCs w:val="20"/>
              </w:rPr>
            </w:pPr>
            <w:r>
              <w:rPr>
                <w:noProof/>
                <w:color w:val="242828"/>
                <w:sz w:val="20"/>
                <w:szCs w:val="20"/>
              </w:rPr>
              <w:t>58,862</w:t>
            </w:r>
          </w:p>
        </w:tc>
        <w:tc>
          <w:tcPr>
            <w:tcW w:w="779" w:type="pct"/>
            <w:tcBorders>
              <w:top w:val="nil"/>
              <w:left w:val="nil"/>
              <w:bottom w:val="single" w:sz="4" w:space="0" w:color="auto"/>
              <w:right w:val="single" w:sz="4" w:space="0" w:color="auto"/>
            </w:tcBorders>
            <w:shd w:val="clear" w:color="000000" w:fill="BDE3FF"/>
            <w:hideMark/>
          </w:tcPr>
          <w:p w14:paraId="20868FE7" w14:textId="77777777" w:rsidR="003C128C" w:rsidRDefault="003C128C">
            <w:pPr>
              <w:jc w:val="right"/>
              <w:rPr>
                <w:noProof/>
                <w:color w:val="242828"/>
                <w:sz w:val="20"/>
                <w:szCs w:val="20"/>
              </w:rPr>
            </w:pPr>
            <w:r>
              <w:rPr>
                <w:noProof/>
                <w:color w:val="242828"/>
                <w:sz w:val="20"/>
                <w:szCs w:val="20"/>
              </w:rPr>
              <w:t>58,862</w:t>
            </w:r>
          </w:p>
        </w:tc>
      </w:tr>
      <w:tr w:rsidR="00FB6303" w14:paraId="37D61A58" w14:textId="77777777" w:rsidTr="00DF7708">
        <w:trPr>
          <w:trHeight w:val="255"/>
        </w:trPr>
        <w:tc>
          <w:tcPr>
            <w:tcW w:w="1883" w:type="pct"/>
            <w:tcBorders>
              <w:top w:val="nil"/>
              <w:left w:val="single" w:sz="4" w:space="0" w:color="auto"/>
              <w:bottom w:val="single" w:sz="4" w:space="0" w:color="auto"/>
              <w:right w:val="single" w:sz="4" w:space="0" w:color="auto"/>
            </w:tcBorders>
            <w:hideMark/>
          </w:tcPr>
          <w:p w14:paraId="1504376D" w14:textId="77777777" w:rsidR="003C128C" w:rsidRDefault="003C128C">
            <w:pPr>
              <w:ind w:firstLineChars="100" w:firstLine="200"/>
              <w:rPr>
                <w:noProof/>
                <w:color w:val="242828"/>
                <w:sz w:val="20"/>
                <w:szCs w:val="20"/>
              </w:rPr>
            </w:pPr>
            <w:r>
              <w:rPr>
                <w:noProof/>
                <w:color w:val="242828"/>
                <w:sz w:val="20"/>
                <w:szCs w:val="20"/>
              </w:rPr>
              <w:t>difference to baseline</w:t>
            </w:r>
          </w:p>
        </w:tc>
        <w:tc>
          <w:tcPr>
            <w:tcW w:w="779" w:type="pct"/>
            <w:tcBorders>
              <w:top w:val="nil"/>
              <w:left w:val="nil"/>
              <w:bottom w:val="single" w:sz="4" w:space="0" w:color="auto"/>
              <w:right w:val="single" w:sz="4" w:space="0" w:color="auto"/>
            </w:tcBorders>
            <w:hideMark/>
          </w:tcPr>
          <w:p w14:paraId="5DCF00DA" w14:textId="77777777" w:rsidR="003C128C" w:rsidRDefault="003C128C">
            <w:pPr>
              <w:jc w:val="right"/>
              <w:rPr>
                <w:noProof/>
                <w:color w:val="242828"/>
                <w:sz w:val="20"/>
                <w:szCs w:val="20"/>
              </w:rPr>
            </w:pPr>
            <w:r>
              <w:rPr>
                <w:noProof/>
                <w:color w:val="242828"/>
                <w:sz w:val="20"/>
                <w:szCs w:val="20"/>
              </w:rPr>
              <w:t>0</w:t>
            </w:r>
          </w:p>
        </w:tc>
        <w:tc>
          <w:tcPr>
            <w:tcW w:w="779" w:type="pct"/>
            <w:tcBorders>
              <w:top w:val="nil"/>
              <w:left w:val="nil"/>
              <w:bottom w:val="single" w:sz="4" w:space="0" w:color="auto"/>
              <w:right w:val="single" w:sz="4" w:space="0" w:color="auto"/>
            </w:tcBorders>
            <w:hideMark/>
          </w:tcPr>
          <w:p w14:paraId="69608422" w14:textId="77777777" w:rsidR="003C128C" w:rsidRDefault="003C128C">
            <w:pPr>
              <w:jc w:val="right"/>
              <w:rPr>
                <w:noProof/>
                <w:color w:val="242828"/>
                <w:sz w:val="20"/>
                <w:szCs w:val="20"/>
              </w:rPr>
            </w:pPr>
            <w:r>
              <w:rPr>
                <w:noProof/>
                <w:color w:val="242828"/>
                <w:sz w:val="20"/>
                <w:szCs w:val="20"/>
              </w:rPr>
              <w:t>1,350</w:t>
            </w:r>
          </w:p>
        </w:tc>
        <w:tc>
          <w:tcPr>
            <w:tcW w:w="779" w:type="pct"/>
            <w:tcBorders>
              <w:top w:val="nil"/>
              <w:left w:val="nil"/>
              <w:bottom w:val="single" w:sz="4" w:space="0" w:color="auto"/>
              <w:right w:val="single" w:sz="4" w:space="0" w:color="auto"/>
            </w:tcBorders>
            <w:hideMark/>
          </w:tcPr>
          <w:p w14:paraId="36B9FD7F" w14:textId="77777777" w:rsidR="003C128C" w:rsidRDefault="003C128C">
            <w:pPr>
              <w:jc w:val="right"/>
              <w:rPr>
                <w:noProof/>
                <w:color w:val="242828"/>
                <w:sz w:val="20"/>
                <w:szCs w:val="20"/>
              </w:rPr>
            </w:pPr>
            <w:r>
              <w:rPr>
                <w:noProof/>
                <w:color w:val="242828"/>
                <w:sz w:val="20"/>
                <w:szCs w:val="20"/>
              </w:rPr>
              <w:t>6,054</w:t>
            </w:r>
          </w:p>
        </w:tc>
        <w:tc>
          <w:tcPr>
            <w:tcW w:w="779" w:type="pct"/>
            <w:tcBorders>
              <w:top w:val="nil"/>
              <w:left w:val="nil"/>
              <w:bottom w:val="single" w:sz="4" w:space="0" w:color="auto"/>
              <w:right w:val="single" w:sz="4" w:space="0" w:color="auto"/>
            </w:tcBorders>
            <w:hideMark/>
          </w:tcPr>
          <w:p w14:paraId="183EAF41" w14:textId="77777777" w:rsidR="003C128C" w:rsidRDefault="003C128C">
            <w:pPr>
              <w:jc w:val="right"/>
              <w:rPr>
                <w:noProof/>
                <w:color w:val="242828"/>
                <w:sz w:val="20"/>
                <w:szCs w:val="20"/>
              </w:rPr>
            </w:pPr>
            <w:r>
              <w:rPr>
                <w:noProof/>
                <w:color w:val="242828"/>
                <w:sz w:val="20"/>
                <w:szCs w:val="20"/>
              </w:rPr>
              <w:t>2,567</w:t>
            </w:r>
          </w:p>
        </w:tc>
      </w:tr>
      <w:tr w:rsidR="00FB6303" w14:paraId="42120C5E" w14:textId="77777777" w:rsidTr="00DF7708">
        <w:trPr>
          <w:trHeight w:val="255"/>
        </w:trPr>
        <w:tc>
          <w:tcPr>
            <w:tcW w:w="1883" w:type="pct"/>
            <w:tcBorders>
              <w:top w:val="nil"/>
              <w:left w:val="single" w:sz="4" w:space="0" w:color="auto"/>
              <w:bottom w:val="single" w:sz="4" w:space="0" w:color="auto"/>
              <w:right w:val="single" w:sz="4" w:space="0" w:color="auto"/>
            </w:tcBorders>
            <w:hideMark/>
          </w:tcPr>
          <w:p w14:paraId="2BBD719E" w14:textId="77777777" w:rsidR="003C128C" w:rsidRDefault="003C128C">
            <w:pPr>
              <w:ind w:firstLineChars="100" w:firstLine="200"/>
              <w:rPr>
                <w:noProof/>
                <w:color w:val="242828"/>
                <w:sz w:val="20"/>
                <w:szCs w:val="20"/>
              </w:rPr>
            </w:pPr>
            <w:r>
              <w:rPr>
                <w:noProof/>
                <w:color w:val="242828"/>
                <w:sz w:val="20"/>
                <w:szCs w:val="20"/>
              </w:rPr>
              <w:t>% difference to baseline</w:t>
            </w:r>
          </w:p>
        </w:tc>
        <w:tc>
          <w:tcPr>
            <w:tcW w:w="779" w:type="pct"/>
            <w:tcBorders>
              <w:top w:val="nil"/>
              <w:left w:val="nil"/>
              <w:bottom w:val="single" w:sz="4" w:space="0" w:color="auto"/>
              <w:right w:val="single" w:sz="4" w:space="0" w:color="auto"/>
            </w:tcBorders>
            <w:hideMark/>
          </w:tcPr>
          <w:p w14:paraId="1DBC9776" w14:textId="77777777" w:rsidR="003C128C" w:rsidRDefault="003C128C">
            <w:pPr>
              <w:jc w:val="right"/>
              <w:rPr>
                <w:noProof/>
                <w:color w:val="242828"/>
                <w:sz w:val="20"/>
                <w:szCs w:val="20"/>
              </w:rPr>
            </w:pPr>
            <w:r>
              <w:rPr>
                <w:noProof/>
                <w:color w:val="242828"/>
                <w:sz w:val="20"/>
                <w:szCs w:val="20"/>
              </w:rPr>
              <w:t>0%</w:t>
            </w:r>
          </w:p>
        </w:tc>
        <w:tc>
          <w:tcPr>
            <w:tcW w:w="779" w:type="pct"/>
            <w:tcBorders>
              <w:top w:val="nil"/>
              <w:left w:val="nil"/>
              <w:bottom w:val="single" w:sz="4" w:space="0" w:color="auto"/>
              <w:right w:val="single" w:sz="4" w:space="0" w:color="auto"/>
            </w:tcBorders>
            <w:hideMark/>
          </w:tcPr>
          <w:p w14:paraId="670B5445" w14:textId="77777777" w:rsidR="003C128C" w:rsidRDefault="003C128C">
            <w:pPr>
              <w:jc w:val="right"/>
              <w:rPr>
                <w:noProof/>
                <w:color w:val="242828"/>
                <w:sz w:val="20"/>
                <w:szCs w:val="20"/>
              </w:rPr>
            </w:pPr>
            <w:r>
              <w:rPr>
                <w:noProof/>
                <w:color w:val="242828"/>
                <w:sz w:val="20"/>
                <w:szCs w:val="20"/>
              </w:rPr>
              <w:t>3%</w:t>
            </w:r>
          </w:p>
        </w:tc>
        <w:tc>
          <w:tcPr>
            <w:tcW w:w="779" w:type="pct"/>
            <w:tcBorders>
              <w:top w:val="nil"/>
              <w:left w:val="nil"/>
              <w:bottom w:val="single" w:sz="4" w:space="0" w:color="auto"/>
              <w:right w:val="single" w:sz="4" w:space="0" w:color="auto"/>
            </w:tcBorders>
            <w:hideMark/>
          </w:tcPr>
          <w:p w14:paraId="38ACC311" w14:textId="77777777" w:rsidR="003C128C" w:rsidRDefault="003C128C">
            <w:pPr>
              <w:jc w:val="right"/>
              <w:rPr>
                <w:noProof/>
                <w:color w:val="242828"/>
                <w:sz w:val="20"/>
                <w:szCs w:val="20"/>
              </w:rPr>
            </w:pPr>
            <w:r>
              <w:rPr>
                <w:noProof/>
                <w:color w:val="242828"/>
                <w:sz w:val="20"/>
                <w:szCs w:val="20"/>
              </w:rPr>
              <w:t>11%</w:t>
            </w:r>
          </w:p>
        </w:tc>
        <w:tc>
          <w:tcPr>
            <w:tcW w:w="779" w:type="pct"/>
            <w:tcBorders>
              <w:top w:val="nil"/>
              <w:left w:val="nil"/>
              <w:bottom w:val="single" w:sz="4" w:space="0" w:color="auto"/>
              <w:right w:val="single" w:sz="4" w:space="0" w:color="auto"/>
            </w:tcBorders>
            <w:hideMark/>
          </w:tcPr>
          <w:p w14:paraId="56C44182" w14:textId="77777777" w:rsidR="003C128C" w:rsidRDefault="003C128C">
            <w:pPr>
              <w:jc w:val="right"/>
              <w:rPr>
                <w:noProof/>
                <w:color w:val="242828"/>
                <w:sz w:val="20"/>
                <w:szCs w:val="20"/>
              </w:rPr>
            </w:pPr>
            <w:r>
              <w:rPr>
                <w:noProof/>
                <w:color w:val="242828"/>
                <w:sz w:val="20"/>
                <w:szCs w:val="20"/>
              </w:rPr>
              <w:t>5%</w:t>
            </w:r>
          </w:p>
        </w:tc>
      </w:tr>
      <w:tr w:rsidR="00DF7708" w14:paraId="448FB1DD" w14:textId="77777777" w:rsidTr="00DF7708">
        <w:trPr>
          <w:trHeight w:val="255"/>
        </w:trPr>
        <w:tc>
          <w:tcPr>
            <w:tcW w:w="1883" w:type="pct"/>
            <w:tcBorders>
              <w:top w:val="nil"/>
              <w:left w:val="single" w:sz="4" w:space="0" w:color="auto"/>
              <w:bottom w:val="single" w:sz="4" w:space="0" w:color="auto"/>
              <w:right w:val="single" w:sz="4" w:space="0" w:color="auto"/>
            </w:tcBorders>
            <w:shd w:val="clear" w:color="000000" w:fill="BDE3FF"/>
            <w:hideMark/>
          </w:tcPr>
          <w:p w14:paraId="49713A74" w14:textId="77777777" w:rsidR="003C128C" w:rsidRDefault="003C128C">
            <w:pPr>
              <w:rPr>
                <w:b/>
                <w:bCs/>
                <w:noProof/>
                <w:color w:val="242828"/>
                <w:sz w:val="20"/>
                <w:szCs w:val="20"/>
              </w:rPr>
            </w:pPr>
            <w:r>
              <w:rPr>
                <w:b/>
                <w:bCs/>
                <w:noProof/>
                <w:color w:val="242828"/>
                <w:sz w:val="20"/>
                <w:szCs w:val="20"/>
              </w:rPr>
              <w:t>PO2</w:t>
            </w:r>
          </w:p>
        </w:tc>
        <w:tc>
          <w:tcPr>
            <w:tcW w:w="779" w:type="pct"/>
            <w:tcBorders>
              <w:top w:val="nil"/>
              <w:left w:val="nil"/>
              <w:bottom w:val="single" w:sz="4" w:space="0" w:color="auto"/>
              <w:right w:val="single" w:sz="4" w:space="0" w:color="auto"/>
            </w:tcBorders>
            <w:shd w:val="clear" w:color="000000" w:fill="BDE3FF"/>
            <w:hideMark/>
          </w:tcPr>
          <w:p w14:paraId="17DC58D9" w14:textId="77777777" w:rsidR="003C128C" w:rsidRDefault="003C128C">
            <w:pPr>
              <w:jc w:val="right"/>
              <w:rPr>
                <w:noProof/>
                <w:color w:val="242828"/>
                <w:sz w:val="20"/>
                <w:szCs w:val="20"/>
              </w:rPr>
            </w:pPr>
            <w:r>
              <w:rPr>
                <w:noProof/>
                <w:color w:val="242828"/>
                <w:sz w:val="20"/>
                <w:szCs w:val="20"/>
              </w:rPr>
              <w:t>63,870</w:t>
            </w:r>
          </w:p>
        </w:tc>
        <w:tc>
          <w:tcPr>
            <w:tcW w:w="779" w:type="pct"/>
            <w:tcBorders>
              <w:top w:val="nil"/>
              <w:left w:val="nil"/>
              <w:bottom w:val="single" w:sz="4" w:space="0" w:color="auto"/>
              <w:right w:val="single" w:sz="4" w:space="0" w:color="auto"/>
            </w:tcBorders>
            <w:shd w:val="clear" w:color="000000" w:fill="BDE3FF"/>
            <w:hideMark/>
          </w:tcPr>
          <w:p w14:paraId="7B49351A" w14:textId="77777777" w:rsidR="003C128C" w:rsidRDefault="003C128C">
            <w:pPr>
              <w:jc w:val="right"/>
              <w:rPr>
                <w:noProof/>
                <w:color w:val="242828"/>
                <w:sz w:val="20"/>
                <w:szCs w:val="20"/>
              </w:rPr>
            </w:pPr>
            <w:r>
              <w:rPr>
                <w:noProof/>
                <w:color w:val="242828"/>
                <w:sz w:val="20"/>
                <w:szCs w:val="20"/>
              </w:rPr>
              <w:t>69,832</w:t>
            </w:r>
          </w:p>
        </w:tc>
        <w:tc>
          <w:tcPr>
            <w:tcW w:w="779" w:type="pct"/>
            <w:tcBorders>
              <w:top w:val="nil"/>
              <w:left w:val="nil"/>
              <w:bottom w:val="single" w:sz="4" w:space="0" w:color="auto"/>
              <w:right w:val="single" w:sz="4" w:space="0" w:color="auto"/>
            </w:tcBorders>
            <w:shd w:val="clear" w:color="000000" w:fill="BDE3FF"/>
            <w:hideMark/>
          </w:tcPr>
          <w:p w14:paraId="42871018" w14:textId="77777777" w:rsidR="003C128C" w:rsidRDefault="003C128C">
            <w:pPr>
              <w:jc w:val="right"/>
              <w:rPr>
                <w:noProof/>
                <w:color w:val="242828"/>
                <w:sz w:val="20"/>
                <w:szCs w:val="20"/>
              </w:rPr>
            </w:pPr>
            <w:r>
              <w:rPr>
                <w:noProof/>
                <w:color w:val="242828"/>
                <w:sz w:val="20"/>
                <w:szCs w:val="20"/>
              </w:rPr>
              <w:t>119,049</w:t>
            </w:r>
          </w:p>
        </w:tc>
        <w:tc>
          <w:tcPr>
            <w:tcW w:w="779" w:type="pct"/>
            <w:tcBorders>
              <w:top w:val="nil"/>
              <w:left w:val="nil"/>
              <w:bottom w:val="single" w:sz="4" w:space="0" w:color="auto"/>
              <w:right w:val="single" w:sz="4" w:space="0" w:color="auto"/>
            </w:tcBorders>
            <w:shd w:val="clear" w:color="000000" w:fill="BDE3FF"/>
            <w:hideMark/>
          </w:tcPr>
          <w:p w14:paraId="5281470D" w14:textId="77777777" w:rsidR="003C128C" w:rsidRDefault="003C128C">
            <w:pPr>
              <w:jc w:val="right"/>
              <w:rPr>
                <w:noProof/>
                <w:color w:val="242828"/>
                <w:sz w:val="20"/>
                <w:szCs w:val="20"/>
              </w:rPr>
            </w:pPr>
            <w:r>
              <w:rPr>
                <w:noProof/>
                <w:color w:val="242828"/>
                <w:sz w:val="20"/>
                <w:szCs w:val="20"/>
              </w:rPr>
              <w:t>110,673</w:t>
            </w:r>
          </w:p>
        </w:tc>
      </w:tr>
      <w:tr w:rsidR="00FB6303" w14:paraId="48414B86" w14:textId="77777777" w:rsidTr="00DF7708">
        <w:trPr>
          <w:trHeight w:val="255"/>
        </w:trPr>
        <w:tc>
          <w:tcPr>
            <w:tcW w:w="1883" w:type="pct"/>
            <w:tcBorders>
              <w:top w:val="nil"/>
              <w:left w:val="single" w:sz="4" w:space="0" w:color="auto"/>
              <w:bottom w:val="single" w:sz="4" w:space="0" w:color="auto"/>
              <w:right w:val="single" w:sz="4" w:space="0" w:color="auto"/>
            </w:tcBorders>
            <w:hideMark/>
          </w:tcPr>
          <w:p w14:paraId="57A73397" w14:textId="77777777" w:rsidR="003C128C" w:rsidRDefault="003C128C">
            <w:pPr>
              <w:ind w:firstLineChars="100" w:firstLine="200"/>
              <w:rPr>
                <w:noProof/>
                <w:color w:val="242828"/>
                <w:sz w:val="20"/>
                <w:szCs w:val="20"/>
              </w:rPr>
            </w:pPr>
            <w:r>
              <w:rPr>
                <w:noProof/>
                <w:color w:val="242828"/>
                <w:sz w:val="20"/>
                <w:szCs w:val="20"/>
              </w:rPr>
              <w:t>difference to baseline</w:t>
            </w:r>
          </w:p>
        </w:tc>
        <w:tc>
          <w:tcPr>
            <w:tcW w:w="779" w:type="pct"/>
            <w:tcBorders>
              <w:top w:val="nil"/>
              <w:left w:val="nil"/>
              <w:bottom w:val="single" w:sz="4" w:space="0" w:color="auto"/>
              <w:right w:val="single" w:sz="4" w:space="0" w:color="auto"/>
            </w:tcBorders>
            <w:hideMark/>
          </w:tcPr>
          <w:p w14:paraId="44730C8F" w14:textId="77777777" w:rsidR="003C128C" w:rsidRDefault="003C128C">
            <w:pPr>
              <w:jc w:val="right"/>
              <w:rPr>
                <w:noProof/>
                <w:color w:val="242828"/>
                <w:sz w:val="20"/>
                <w:szCs w:val="20"/>
              </w:rPr>
            </w:pPr>
            <w:r>
              <w:rPr>
                <w:noProof/>
                <w:color w:val="242828"/>
                <w:sz w:val="20"/>
                <w:szCs w:val="20"/>
              </w:rPr>
              <w:t>15,246</w:t>
            </w:r>
          </w:p>
        </w:tc>
        <w:tc>
          <w:tcPr>
            <w:tcW w:w="779" w:type="pct"/>
            <w:tcBorders>
              <w:top w:val="nil"/>
              <w:left w:val="nil"/>
              <w:bottom w:val="single" w:sz="4" w:space="0" w:color="auto"/>
              <w:right w:val="single" w:sz="4" w:space="0" w:color="auto"/>
            </w:tcBorders>
            <w:hideMark/>
          </w:tcPr>
          <w:p w14:paraId="0CB5A896" w14:textId="77777777" w:rsidR="003C128C" w:rsidRDefault="003C128C">
            <w:pPr>
              <w:jc w:val="right"/>
              <w:rPr>
                <w:noProof/>
                <w:color w:val="242828"/>
                <w:sz w:val="20"/>
                <w:szCs w:val="20"/>
              </w:rPr>
            </w:pPr>
            <w:r>
              <w:rPr>
                <w:noProof/>
                <w:color w:val="242828"/>
                <w:sz w:val="20"/>
                <w:szCs w:val="20"/>
              </w:rPr>
              <w:t>20,511</w:t>
            </w:r>
          </w:p>
        </w:tc>
        <w:tc>
          <w:tcPr>
            <w:tcW w:w="779" w:type="pct"/>
            <w:tcBorders>
              <w:top w:val="nil"/>
              <w:left w:val="nil"/>
              <w:bottom w:val="single" w:sz="4" w:space="0" w:color="auto"/>
              <w:right w:val="single" w:sz="4" w:space="0" w:color="auto"/>
            </w:tcBorders>
            <w:hideMark/>
          </w:tcPr>
          <w:p w14:paraId="301145C7" w14:textId="77777777" w:rsidR="003C128C" w:rsidRDefault="003C128C">
            <w:pPr>
              <w:jc w:val="right"/>
              <w:rPr>
                <w:noProof/>
                <w:color w:val="242828"/>
                <w:sz w:val="20"/>
                <w:szCs w:val="20"/>
              </w:rPr>
            </w:pPr>
            <w:r>
              <w:rPr>
                <w:noProof/>
                <w:color w:val="242828"/>
                <w:sz w:val="20"/>
                <w:szCs w:val="20"/>
              </w:rPr>
              <w:t>66,241</w:t>
            </w:r>
          </w:p>
        </w:tc>
        <w:tc>
          <w:tcPr>
            <w:tcW w:w="779" w:type="pct"/>
            <w:tcBorders>
              <w:top w:val="nil"/>
              <w:left w:val="nil"/>
              <w:bottom w:val="single" w:sz="4" w:space="0" w:color="auto"/>
              <w:right w:val="single" w:sz="4" w:space="0" w:color="auto"/>
            </w:tcBorders>
            <w:hideMark/>
          </w:tcPr>
          <w:p w14:paraId="21AEC17B" w14:textId="77777777" w:rsidR="003C128C" w:rsidRDefault="003C128C">
            <w:pPr>
              <w:jc w:val="right"/>
              <w:rPr>
                <w:noProof/>
                <w:color w:val="242828"/>
                <w:sz w:val="20"/>
                <w:szCs w:val="20"/>
              </w:rPr>
            </w:pPr>
            <w:r>
              <w:rPr>
                <w:noProof/>
                <w:color w:val="242828"/>
                <w:sz w:val="20"/>
                <w:szCs w:val="20"/>
              </w:rPr>
              <w:t>54,378</w:t>
            </w:r>
          </w:p>
        </w:tc>
      </w:tr>
      <w:tr w:rsidR="00FB6303" w14:paraId="0E305CD0" w14:textId="77777777" w:rsidTr="00DF7708">
        <w:trPr>
          <w:trHeight w:val="255"/>
        </w:trPr>
        <w:tc>
          <w:tcPr>
            <w:tcW w:w="1883" w:type="pct"/>
            <w:tcBorders>
              <w:top w:val="nil"/>
              <w:left w:val="single" w:sz="4" w:space="0" w:color="auto"/>
              <w:bottom w:val="single" w:sz="4" w:space="0" w:color="auto"/>
              <w:right w:val="single" w:sz="4" w:space="0" w:color="auto"/>
            </w:tcBorders>
            <w:hideMark/>
          </w:tcPr>
          <w:p w14:paraId="0BFB243B" w14:textId="77777777" w:rsidR="003C128C" w:rsidRDefault="003C128C">
            <w:pPr>
              <w:ind w:firstLineChars="100" w:firstLine="200"/>
              <w:rPr>
                <w:noProof/>
                <w:color w:val="242828"/>
                <w:sz w:val="20"/>
                <w:szCs w:val="20"/>
              </w:rPr>
            </w:pPr>
            <w:r>
              <w:rPr>
                <w:noProof/>
                <w:color w:val="242828"/>
                <w:sz w:val="20"/>
                <w:szCs w:val="20"/>
              </w:rPr>
              <w:t>% difference to baseline</w:t>
            </w:r>
          </w:p>
        </w:tc>
        <w:tc>
          <w:tcPr>
            <w:tcW w:w="779" w:type="pct"/>
            <w:tcBorders>
              <w:top w:val="nil"/>
              <w:left w:val="nil"/>
              <w:bottom w:val="single" w:sz="4" w:space="0" w:color="auto"/>
              <w:right w:val="single" w:sz="4" w:space="0" w:color="auto"/>
            </w:tcBorders>
            <w:hideMark/>
          </w:tcPr>
          <w:p w14:paraId="3CA9A906" w14:textId="77777777" w:rsidR="003C128C" w:rsidRDefault="003C128C">
            <w:pPr>
              <w:jc w:val="right"/>
              <w:rPr>
                <w:noProof/>
                <w:color w:val="242828"/>
                <w:sz w:val="20"/>
                <w:szCs w:val="20"/>
              </w:rPr>
            </w:pPr>
            <w:r>
              <w:rPr>
                <w:noProof/>
                <w:color w:val="242828"/>
                <w:sz w:val="20"/>
                <w:szCs w:val="20"/>
              </w:rPr>
              <w:t>31%</w:t>
            </w:r>
          </w:p>
        </w:tc>
        <w:tc>
          <w:tcPr>
            <w:tcW w:w="779" w:type="pct"/>
            <w:tcBorders>
              <w:top w:val="nil"/>
              <w:left w:val="nil"/>
              <w:bottom w:val="single" w:sz="4" w:space="0" w:color="auto"/>
              <w:right w:val="single" w:sz="4" w:space="0" w:color="auto"/>
            </w:tcBorders>
            <w:hideMark/>
          </w:tcPr>
          <w:p w14:paraId="53C630DB" w14:textId="77777777" w:rsidR="003C128C" w:rsidRDefault="003C128C">
            <w:pPr>
              <w:jc w:val="right"/>
              <w:rPr>
                <w:noProof/>
                <w:color w:val="242828"/>
                <w:sz w:val="20"/>
                <w:szCs w:val="20"/>
              </w:rPr>
            </w:pPr>
            <w:r>
              <w:rPr>
                <w:noProof/>
                <w:color w:val="242828"/>
                <w:sz w:val="20"/>
                <w:szCs w:val="20"/>
              </w:rPr>
              <w:t>42%</w:t>
            </w:r>
          </w:p>
        </w:tc>
        <w:tc>
          <w:tcPr>
            <w:tcW w:w="779" w:type="pct"/>
            <w:tcBorders>
              <w:top w:val="nil"/>
              <w:left w:val="nil"/>
              <w:bottom w:val="single" w:sz="4" w:space="0" w:color="auto"/>
              <w:right w:val="single" w:sz="4" w:space="0" w:color="auto"/>
            </w:tcBorders>
            <w:hideMark/>
          </w:tcPr>
          <w:p w14:paraId="754D2E0D" w14:textId="77777777" w:rsidR="003C128C" w:rsidRDefault="003C128C">
            <w:pPr>
              <w:jc w:val="right"/>
              <w:rPr>
                <w:noProof/>
                <w:color w:val="242828"/>
                <w:sz w:val="20"/>
                <w:szCs w:val="20"/>
              </w:rPr>
            </w:pPr>
            <w:r>
              <w:rPr>
                <w:noProof/>
                <w:color w:val="242828"/>
                <w:sz w:val="20"/>
                <w:szCs w:val="20"/>
              </w:rPr>
              <w:t>125%</w:t>
            </w:r>
          </w:p>
        </w:tc>
        <w:tc>
          <w:tcPr>
            <w:tcW w:w="779" w:type="pct"/>
            <w:tcBorders>
              <w:top w:val="nil"/>
              <w:left w:val="nil"/>
              <w:bottom w:val="single" w:sz="4" w:space="0" w:color="auto"/>
              <w:right w:val="single" w:sz="4" w:space="0" w:color="auto"/>
            </w:tcBorders>
            <w:hideMark/>
          </w:tcPr>
          <w:p w14:paraId="2CECA987" w14:textId="77777777" w:rsidR="003C128C" w:rsidRDefault="003C128C">
            <w:pPr>
              <w:jc w:val="right"/>
              <w:rPr>
                <w:noProof/>
                <w:color w:val="242828"/>
                <w:sz w:val="20"/>
                <w:szCs w:val="20"/>
              </w:rPr>
            </w:pPr>
            <w:r>
              <w:rPr>
                <w:noProof/>
                <w:color w:val="242828"/>
                <w:sz w:val="20"/>
                <w:szCs w:val="20"/>
              </w:rPr>
              <w:t>97%</w:t>
            </w:r>
          </w:p>
        </w:tc>
      </w:tr>
      <w:tr w:rsidR="00DF7708" w14:paraId="42200D7B" w14:textId="77777777" w:rsidTr="00DF7708">
        <w:trPr>
          <w:trHeight w:val="255"/>
        </w:trPr>
        <w:tc>
          <w:tcPr>
            <w:tcW w:w="1883" w:type="pct"/>
            <w:tcBorders>
              <w:top w:val="nil"/>
              <w:left w:val="single" w:sz="4" w:space="0" w:color="auto"/>
              <w:bottom w:val="single" w:sz="4" w:space="0" w:color="auto"/>
              <w:right w:val="single" w:sz="4" w:space="0" w:color="auto"/>
            </w:tcBorders>
            <w:shd w:val="clear" w:color="000000" w:fill="BDE3FF"/>
            <w:hideMark/>
          </w:tcPr>
          <w:p w14:paraId="706556F3" w14:textId="77777777" w:rsidR="003C128C" w:rsidRDefault="003C128C">
            <w:pPr>
              <w:rPr>
                <w:b/>
                <w:bCs/>
                <w:noProof/>
                <w:color w:val="242828"/>
                <w:sz w:val="20"/>
                <w:szCs w:val="20"/>
              </w:rPr>
            </w:pPr>
            <w:r>
              <w:rPr>
                <w:b/>
                <w:bCs/>
                <w:noProof/>
                <w:color w:val="242828"/>
                <w:sz w:val="20"/>
                <w:szCs w:val="20"/>
              </w:rPr>
              <w:t>PO3</w:t>
            </w:r>
          </w:p>
        </w:tc>
        <w:tc>
          <w:tcPr>
            <w:tcW w:w="779" w:type="pct"/>
            <w:tcBorders>
              <w:top w:val="nil"/>
              <w:left w:val="nil"/>
              <w:bottom w:val="single" w:sz="4" w:space="0" w:color="auto"/>
              <w:right w:val="single" w:sz="4" w:space="0" w:color="auto"/>
            </w:tcBorders>
            <w:shd w:val="clear" w:color="000000" w:fill="BDE3FF"/>
            <w:hideMark/>
          </w:tcPr>
          <w:p w14:paraId="7AC59BBD" w14:textId="77777777" w:rsidR="003C128C" w:rsidRDefault="003C128C">
            <w:pPr>
              <w:jc w:val="right"/>
              <w:rPr>
                <w:noProof/>
                <w:color w:val="242828"/>
                <w:sz w:val="20"/>
                <w:szCs w:val="20"/>
              </w:rPr>
            </w:pPr>
            <w:r>
              <w:rPr>
                <w:noProof/>
                <w:color w:val="242828"/>
                <w:sz w:val="20"/>
                <w:szCs w:val="20"/>
              </w:rPr>
              <w:t>63,883</w:t>
            </w:r>
          </w:p>
        </w:tc>
        <w:tc>
          <w:tcPr>
            <w:tcW w:w="779" w:type="pct"/>
            <w:tcBorders>
              <w:top w:val="nil"/>
              <w:left w:val="nil"/>
              <w:bottom w:val="single" w:sz="4" w:space="0" w:color="auto"/>
              <w:right w:val="single" w:sz="4" w:space="0" w:color="auto"/>
            </w:tcBorders>
            <w:shd w:val="clear" w:color="000000" w:fill="BDE3FF"/>
            <w:hideMark/>
          </w:tcPr>
          <w:p w14:paraId="09F49E6B" w14:textId="77777777" w:rsidR="003C128C" w:rsidRDefault="003C128C">
            <w:pPr>
              <w:jc w:val="right"/>
              <w:rPr>
                <w:noProof/>
                <w:color w:val="242828"/>
                <w:sz w:val="20"/>
                <w:szCs w:val="20"/>
              </w:rPr>
            </w:pPr>
            <w:r>
              <w:rPr>
                <w:noProof/>
                <w:color w:val="242828"/>
                <w:sz w:val="20"/>
                <w:szCs w:val="20"/>
              </w:rPr>
              <w:t>69,248</w:t>
            </w:r>
          </w:p>
        </w:tc>
        <w:tc>
          <w:tcPr>
            <w:tcW w:w="779" w:type="pct"/>
            <w:tcBorders>
              <w:top w:val="nil"/>
              <w:left w:val="nil"/>
              <w:bottom w:val="single" w:sz="4" w:space="0" w:color="auto"/>
              <w:right w:val="single" w:sz="4" w:space="0" w:color="auto"/>
            </w:tcBorders>
            <w:shd w:val="clear" w:color="000000" w:fill="BDE3FF"/>
            <w:hideMark/>
          </w:tcPr>
          <w:p w14:paraId="086E32FC" w14:textId="77777777" w:rsidR="003C128C" w:rsidRDefault="003C128C">
            <w:pPr>
              <w:jc w:val="right"/>
              <w:rPr>
                <w:noProof/>
                <w:color w:val="242828"/>
                <w:sz w:val="20"/>
                <w:szCs w:val="20"/>
              </w:rPr>
            </w:pPr>
            <w:r>
              <w:rPr>
                <w:noProof/>
                <w:color w:val="242828"/>
                <w:sz w:val="20"/>
                <w:szCs w:val="20"/>
              </w:rPr>
              <w:t>110,686</w:t>
            </w:r>
          </w:p>
        </w:tc>
        <w:tc>
          <w:tcPr>
            <w:tcW w:w="779" w:type="pct"/>
            <w:tcBorders>
              <w:top w:val="nil"/>
              <w:left w:val="nil"/>
              <w:bottom w:val="single" w:sz="4" w:space="0" w:color="auto"/>
              <w:right w:val="single" w:sz="4" w:space="0" w:color="auto"/>
            </w:tcBorders>
            <w:shd w:val="clear" w:color="000000" w:fill="BDE3FF"/>
            <w:hideMark/>
          </w:tcPr>
          <w:p w14:paraId="06A6A54C" w14:textId="77777777" w:rsidR="003C128C" w:rsidRDefault="003C128C">
            <w:pPr>
              <w:jc w:val="right"/>
              <w:rPr>
                <w:noProof/>
                <w:color w:val="242828"/>
                <w:sz w:val="20"/>
                <w:szCs w:val="20"/>
              </w:rPr>
            </w:pPr>
            <w:r>
              <w:rPr>
                <w:noProof/>
                <w:color w:val="242828"/>
                <w:sz w:val="20"/>
                <w:szCs w:val="20"/>
              </w:rPr>
              <w:t>110,686</w:t>
            </w:r>
          </w:p>
        </w:tc>
      </w:tr>
      <w:tr w:rsidR="00FB6303" w14:paraId="00C9BDAB" w14:textId="77777777" w:rsidTr="00DF7708">
        <w:trPr>
          <w:trHeight w:val="255"/>
        </w:trPr>
        <w:tc>
          <w:tcPr>
            <w:tcW w:w="1883" w:type="pct"/>
            <w:tcBorders>
              <w:top w:val="nil"/>
              <w:left w:val="single" w:sz="4" w:space="0" w:color="auto"/>
              <w:bottom w:val="single" w:sz="4" w:space="0" w:color="auto"/>
              <w:right w:val="single" w:sz="4" w:space="0" w:color="auto"/>
            </w:tcBorders>
            <w:hideMark/>
          </w:tcPr>
          <w:p w14:paraId="62B1FC5A" w14:textId="77777777" w:rsidR="003C128C" w:rsidRDefault="003C128C">
            <w:pPr>
              <w:ind w:firstLineChars="100" w:firstLine="200"/>
              <w:rPr>
                <w:noProof/>
                <w:color w:val="242828"/>
                <w:sz w:val="20"/>
                <w:szCs w:val="20"/>
              </w:rPr>
            </w:pPr>
            <w:r>
              <w:rPr>
                <w:noProof/>
                <w:color w:val="242828"/>
                <w:sz w:val="20"/>
                <w:szCs w:val="20"/>
              </w:rPr>
              <w:t>difference to baseline</w:t>
            </w:r>
          </w:p>
        </w:tc>
        <w:tc>
          <w:tcPr>
            <w:tcW w:w="779" w:type="pct"/>
            <w:tcBorders>
              <w:top w:val="nil"/>
              <w:left w:val="nil"/>
              <w:bottom w:val="single" w:sz="4" w:space="0" w:color="auto"/>
              <w:right w:val="single" w:sz="4" w:space="0" w:color="auto"/>
            </w:tcBorders>
            <w:hideMark/>
          </w:tcPr>
          <w:p w14:paraId="612AEC46" w14:textId="77777777" w:rsidR="003C128C" w:rsidRDefault="003C128C">
            <w:pPr>
              <w:jc w:val="right"/>
              <w:rPr>
                <w:noProof/>
                <w:color w:val="242828"/>
                <w:sz w:val="20"/>
                <w:szCs w:val="20"/>
              </w:rPr>
            </w:pPr>
            <w:r>
              <w:rPr>
                <w:noProof/>
                <w:color w:val="242828"/>
                <w:sz w:val="20"/>
                <w:szCs w:val="20"/>
              </w:rPr>
              <w:t>15,259</w:t>
            </w:r>
          </w:p>
        </w:tc>
        <w:tc>
          <w:tcPr>
            <w:tcW w:w="779" w:type="pct"/>
            <w:tcBorders>
              <w:top w:val="nil"/>
              <w:left w:val="nil"/>
              <w:bottom w:val="single" w:sz="4" w:space="0" w:color="auto"/>
              <w:right w:val="single" w:sz="4" w:space="0" w:color="auto"/>
            </w:tcBorders>
            <w:hideMark/>
          </w:tcPr>
          <w:p w14:paraId="46B722A1" w14:textId="77777777" w:rsidR="003C128C" w:rsidRDefault="003C128C">
            <w:pPr>
              <w:jc w:val="right"/>
              <w:rPr>
                <w:noProof/>
                <w:color w:val="242828"/>
                <w:sz w:val="20"/>
                <w:szCs w:val="20"/>
              </w:rPr>
            </w:pPr>
            <w:r>
              <w:rPr>
                <w:noProof/>
                <w:color w:val="242828"/>
                <w:sz w:val="20"/>
                <w:szCs w:val="20"/>
              </w:rPr>
              <w:t>19,927</w:t>
            </w:r>
          </w:p>
        </w:tc>
        <w:tc>
          <w:tcPr>
            <w:tcW w:w="779" w:type="pct"/>
            <w:tcBorders>
              <w:top w:val="nil"/>
              <w:left w:val="nil"/>
              <w:bottom w:val="single" w:sz="4" w:space="0" w:color="auto"/>
              <w:right w:val="single" w:sz="4" w:space="0" w:color="auto"/>
            </w:tcBorders>
            <w:hideMark/>
          </w:tcPr>
          <w:p w14:paraId="7AB85539" w14:textId="77777777" w:rsidR="003C128C" w:rsidRDefault="003C128C">
            <w:pPr>
              <w:jc w:val="right"/>
              <w:rPr>
                <w:noProof/>
                <w:color w:val="242828"/>
                <w:sz w:val="20"/>
                <w:szCs w:val="20"/>
              </w:rPr>
            </w:pPr>
            <w:r>
              <w:rPr>
                <w:noProof/>
                <w:color w:val="242828"/>
                <w:sz w:val="20"/>
                <w:szCs w:val="20"/>
              </w:rPr>
              <w:t>57,878</w:t>
            </w:r>
          </w:p>
        </w:tc>
        <w:tc>
          <w:tcPr>
            <w:tcW w:w="779" w:type="pct"/>
            <w:tcBorders>
              <w:top w:val="nil"/>
              <w:left w:val="nil"/>
              <w:bottom w:val="single" w:sz="4" w:space="0" w:color="auto"/>
              <w:right w:val="single" w:sz="4" w:space="0" w:color="auto"/>
            </w:tcBorders>
            <w:hideMark/>
          </w:tcPr>
          <w:p w14:paraId="0CAA6AA4" w14:textId="77777777" w:rsidR="003C128C" w:rsidRDefault="003C128C">
            <w:pPr>
              <w:jc w:val="right"/>
              <w:rPr>
                <w:noProof/>
                <w:color w:val="242828"/>
                <w:sz w:val="20"/>
                <w:szCs w:val="20"/>
              </w:rPr>
            </w:pPr>
            <w:r>
              <w:rPr>
                <w:noProof/>
                <w:color w:val="242828"/>
                <w:sz w:val="20"/>
                <w:szCs w:val="20"/>
              </w:rPr>
              <w:t>54,391</w:t>
            </w:r>
          </w:p>
        </w:tc>
      </w:tr>
      <w:tr w:rsidR="005345FC" w14:paraId="3372E23C" w14:textId="77777777" w:rsidTr="00DF7708">
        <w:trPr>
          <w:trHeight w:val="255"/>
        </w:trPr>
        <w:tc>
          <w:tcPr>
            <w:tcW w:w="1883" w:type="pct"/>
            <w:tcBorders>
              <w:top w:val="nil"/>
              <w:left w:val="single" w:sz="4" w:space="0" w:color="auto"/>
              <w:bottom w:val="single" w:sz="4" w:space="0" w:color="auto"/>
              <w:right w:val="single" w:sz="4" w:space="0" w:color="auto"/>
            </w:tcBorders>
            <w:hideMark/>
          </w:tcPr>
          <w:p w14:paraId="567E036A" w14:textId="77777777" w:rsidR="003C128C" w:rsidRDefault="003C128C">
            <w:pPr>
              <w:ind w:firstLineChars="100" w:firstLine="200"/>
              <w:rPr>
                <w:noProof/>
                <w:color w:val="242828"/>
                <w:sz w:val="20"/>
                <w:szCs w:val="20"/>
              </w:rPr>
            </w:pPr>
            <w:r>
              <w:rPr>
                <w:noProof/>
                <w:color w:val="242828"/>
                <w:sz w:val="20"/>
                <w:szCs w:val="20"/>
              </w:rPr>
              <w:t>% difference to baseline</w:t>
            </w:r>
          </w:p>
        </w:tc>
        <w:tc>
          <w:tcPr>
            <w:tcW w:w="779" w:type="pct"/>
            <w:tcBorders>
              <w:top w:val="nil"/>
              <w:left w:val="nil"/>
              <w:bottom w:val="single" w:sz="4" w:space="0" w:color="auto"/>
              <w:right w:val="single" w:sz="4" w:space="0" w:color="auto"/>
            </w:tcBorders>
            <w:hideMark/>
          </w:tcPr>
          <w:p w14:paraId="3B55DF7D" w14:textId="77777777" w:rsidR="003C128C" w:rsidRDefault="003C128C">
            <w:pPr>
              <w:jc w:val="right"/>
              <w:rPr>
                <w:noProof/>
                <w:color w:val="242828"/>
                <w:sz w:val="20"/>
                <w:szCs w:val="20"/>
              </w:rPr>
            </w:pPr>
            <w:r>
              <w:rPr>
                <w:noProof/>
                <w:color w:val="242828"/>
                <w:sz w:val="20"/>
                <w:szCs w:val="20"/>
              </w:rPr>
              <w:t>31%</w:t>
            </w:r>
          </w:p>
        </w:tc>
        <w:tc>
          <w:tcPr>
            <w:tcW w:w="779" w:type="pct"/>
            <w:tcBorders>
              <w:top w:val="nil"/>
              <w:left w:val="nil"/>
              <w:bottom w:val="single" w:sz="4" w:space="0" w:color="auto"/>
              <w:right w:val="single" w:sz="4" w:space="0" w:color="auto"/>
            </w:tcBorders>
            <w:hideMark/>
          </w:tcPr>
          <w:p w14:paraId="686B8584" w14:textId="77777777" w:rsidR="003C128C" w:rsidRDefault="003C128C">
            <w:pPr>
              <w:jc w:val="right"/>
              <w:rPr>
                <w:noProof/>
                <w:color w:val="242828"/>
                <w:sz w:val="20"/>
                <w:szCs w:val="20"/>
              </w:rPr>
            </w:pPr>
            <w:r>
              <w:rPr>
                <w:noProof/>
                <w:color w:val="242828"/>
                <w:sz w:val="20"/>
                <w:szCs w:val="20"/>
              </w:rPr>
              <w:t>40%</w:t>
            </w:r>
          </w:p>
        </w:tc>
        <w:tc>
          <w:tcPr>
            <w:tcW w:w="779" w:type="pct"/>
            <w:tcBorders>
              <w:top w:val="nil"/>
              <w:left w:val="nil"/>
              <w:bottom w:val="single" w:sz="4" w:space="0" w:color="auto"/>
              <w:right w:val="single" w:sz="4" w:space="0" w:color="auto"/>
            </w:tcBorders>
            <w:hideMark/>
          </w:tcPr>
          <w:p w14:paraId="7FEE0140" w14:textId="77777777" w:rsidR="003C128C" w:rsidRDefault="003C128C">
            <w:pPr>
              <w:jc w:val="right"/>
              <w:rPr>
                <w:noProof/>
                <w:color w:val="242828"/>
                <w:sz w:val="20"/>
                <w:szCs w:val="20"/>
              </w:rPr>
            </w:pPr>
            <w:r>
              <w:rPr>
                <w:noProof/>
                <w:color w:val="242828"/>
                <w:sz w:val="20"/>
                <w:szCs w:val="20"/>
              </w:rPr>
              <w:t>110%</w:t>
            </w:r>
          </w:p>
        </w:tc>
        <w:tc>
          <w:tcPr>
            <w:tcW w:w="779" w:type="pct"/>
            <w:tcBorders>
              <w:top w:val="nil"/>
              <w:left w:val="nil"/>
              <w:bottom w:val="single" w:sz="4" w:space="0" w:color="auto"/>
              <w:right w:val="single" w:sz="4" w:space="0" w:color="auto"/>
            </w:tcBorders>
            <w:hideMark/>
          </w:tcPr>
          <w:p w14:paraId="68B2EE75" w14:textId="77777777" w:rsidR="003C128C" w:rsidRDefault="003C128C">
            <w:pPr>
              <w:jc w:val="right"/>
              <w:rPr>
                <w:noProof/>
                <w:color w:val="242828"/>
                <w:sz w:val="20"/>
                <w:szCs w:val="20"/>
              </w:rPr>
            </w:pPr>
            <w:r>
              <w:rPr>
                <w:noProof/>
                <w:color w:val="242828"/>
                <w:sz w:val="20"/>
                <w:szCs w:val="20"/>
              </w:rPr>
              <w:t>97%</w:t>
            </w:r>
          </w:p>
        </w:tc>
      </w:tr>
      <w:tr w:rsidR="00DF7708" w14:paraId="01AF3587" w14:textId="77777777" w:rsidTr="00DF7708">
        <w:trPr>
          <w:trHeight w:val="270"/>
        </w:trPr>
        <w:tc>
          <w:tcPr>
            <w:tcW w:w="1883" w:type="pct"/>
            <w:tcBorders>
              <w:top w:val="nil"/>
              <w:left w:val="single" w:sz="4" w:space="0" w:color="auto"/>
              <w:bottom w:val="single" w:sz="4" w:space="0" w:color="auto"/>
              <w:right w:val="single" w:sz="4" w:space="0" w:color="auto"/>
            </w:tcBorders>
            <w:shd w:val="clear" w:color="000000" w:fill="BDE3FF"/>
            <w:hideMark/>
          </w:tcPr>
          <w:p w14:paraId="595DE891" w14:textId="77777777" w:rsidR="003C128C" w:rsidRDefault="003C128C">
            <w:pPr>
              <w:rPr>
                <w:b/>
                <w:bCs/>
                <w:noProof/>
                <w:color w:val="242828"/>
                <w:sz w:val="20"/>
                <w:szCs w:val="20"/>
              </w:rPr>
            </w:pPr>
            <w:r>
              <w:rPr>
                <w:b/>
                <w:bCs/>
                <w:noProof/>
                <w:color w:val="242828"/>
                <w:sz w:val="20"/>
                <w:szCs w:val="20"/>
              </w:rPr>
              <w:t>PO4</w:t>
            </w:r>
          </w:p>
        </w:tc>
        <w:tc>
          <w:tcPr>
            <w:tcW w:w="779" w:type="pct"/>
            <w:tcBorders>
              <w:top w:val="nil"/>
              <w:left w:val="nil"/>
              <w:bottom w:val="single" w:sz="4" w:space="0" w:color="auto"/>
              <w:right w:val="single" w:sz="4" w:space="0" w:color="auto"/>
            </w:tcBorders>
            <w:shd w:val="clear" w:color="000000" w:fill="BDE3FF"/>
            <w:hideMark/>
          </w:tcPr>
          <w:p w14:paraId="02AFFB8A" w14:textId="77777777" w:rsidR="003C128C" w:rsidRDefault="003C128C">
            <w:pPr>
              <w:jc w:val="right"/>
              <w:rPr>
                <w:noProof/>
                <w:color w:val="242828"/>
                <w:sz w:val="20"/>
                <w:szCs w:val="20"/>
              </w:rPr>
            </w:pPr>
            <w:r>
              <w:rPr>
                <w:noProof/>
                <w:color w:val="242828"/>
                <w:sz w:val="20"/>
                <w:szCs w:val="20"/>
              </w:rPr>
              <w:t>64,402</w:t>
            </w:r>
          </w:p>
        </w:tc>
        <w:tc>
          <w:tcPr>
            <w:tcW w:w="779" w:type="pct"/>
            <w:tcBorders>
              <w:top w:val="nil"/>
              <w:left w:val="nil"/>
              <w:bottom w:val="single" w:sz="4" w:space="0" w:color="auto"/>
              <w:right w:val="single" w:sz="4" w:space="0" w:color="auto"/>
            </w:tcBorders>
            <w:shd w:val="clear" w:color="000000" w:fill="BDE3FF"/>
            <w:hideMark/>
          </w:tcPr>
          <w:p w14:paraId="34519016" w14:textId="77777777" w:rsidR="003C128C" w:rsidRDefault="003C128C">
            <w:pPr>
              <w:jc w:val="right"/>
              <w:rPr>
                <w:noProof/>
                <w:color w:val="242828"/>
                <w:sz w:val="20"/>
                <w:szCs w:val="20"/>
              </w:rPr>
            </w:pPr>
            <w:r>
              <w:rPr>
                <w:noProof/>
                <w:color w:val="242828"/>
                <w:sz w:val="20"/>
                <w:szCs w:val="20"/>
              </w:rPr>
              <w:t>69,519</w:t>
            </w:r>
          </w:p>
        </w:tc>
        <w:tc>
          <w:tcPr>
            <w:tcW w:w="779" w:type="pct"/>
            <w:tcBorders>
              <w:top w:val="nil"/>
              <w:left w:val="nil"/>
              <w:bottom w:val="single" w:sz="4" w:space="0" w:color="auto"/>
              <w:right w:val="single" w:sz="4" w:space="0" w:color="auto"/>
            </w:tcBorders>
            <w:shd w:val="clear" w:color="000000" w:fill="BDE3FF"/>
            <w:hideMark/>
          </w:tcPr>
          <w:p w14:paraId="38116341" w14:textId="77777777" w:rsidR="003C128C" w:rsidRDefault="003C128C">
            <w:pPr>
              <w:jc w:val="right"/>
              <w:rPr>
                <w:noProof/>
                <w:color w:val="242828"/>
                <w:sz w:val="20"/>
                <w:szCs w:val="20"/>
              </w:rPr>
            </w:pPr>
            <w:r>
              <w:rPr>
                <w:noProof/>
                <w:color w:val="242828"/>
                <w:sz w:val="20"/>
                <w:szCs w:val="20"/>
              </w:rPr>
              <w:t>114,842</w:t>
            </w:r>
          </w:p>
        </w:tc>
        <w:tc>
          <w:tcPr>
            <w:tcW w:w="779" w:type="pct"/>
            <w:tcBorders>
              <w:top w:val="nil"/>
              <w:left w:val="nil"/>
              <w:bottom w:val="single" w:sz="4" w:space="0" w:color="auto"/>
              <w:right w:val="single" w:sz="4" w:space="0" w:color="auto"/>
            </w:tcBorders>
            <w:shd w:val="clear" w:color="000000" w:fill="BDE3FF"/>
            <w:hideMark/>
          </w:tcPr>
          <w:p w14:paraId="0E197521" w14:textId="77777777" w:rsidR="003C128C" w:rsidRDefault="003C128C">
            <w:pPr>
              <w:jc w:val="right"/>
              <w:rPr>
                <w:noProof/>
                <w:color w:val="242828"/>
                <w:sz w:val="20"/>
                <w:szCs w:val="20"/>
              </w:rPr>
            </w:pPr>
            <w:r>
              <w:rPr>
                <w:noProof/>
                <w:color w:val="242828"/>
                <w:sz w:val="20"/>
                <w:szCs w:val="20"/>
              </w:rPr>
              <w:t>110,673</w:t>
            </w:r>
          </w:p>
        </w:tc>
      </w:tr>
      <w:tr w:rsidR="00FB6303" w14:paraId="0CD0872A" w14:textId="77777777" w:rsidTr="00DF7708">
        <w:trPr>
          <w:trHeight w:val="255"/>
        </w:trPr>
        <w:tc>
          <w:tcPr>
            <w:tcW w:w="1883" w:type="pct"/>
            <w:tcBorders>
              <w:top w:val="nil"/>
              <w:left w:val="single" w:sz="4" w:space="0" w:color="auto"/>
              <w:bottom w:val="single" w:sz="4" w:space="0" w:color="auto"/>
              <w:right w:val="single" w:sz="4" w:space="0" w:color="auto"/>
            </w:tcBorders>
            <w:hideMark/>
          </w:tcPr>
          <w:p w14:paraId="39A53AE9" w14:textId="77777777" w:rsidR="003C128C" w:rsidRDefault="003C128C">
            <w:pPr>
              <w:ind w:firstLineChars="100" w:firstLine="200"/>
              <w:rPr>
                <w:noProof/>
                <w:color w:val="242828"/>
                <w:sz w:val="20"/>
                <w:szCs w:val="20"/>
              </w:rPr>
            </w:pPr>
            <w:r>
              <w:rPr>
                <w:noProof/>
                <w:color w:val="242828"/>
                <w:sz w:val="20"/>
                <w:szCs w:val="20"/>
              </w:rPr>
              <w:t>difference to baseline</w:t>
            </w:r>
          </w:p>
        </w:tc>
        <w:tc>
          <w:tcPr>
            <w:tcW w:w="779" w:type="pct"/>
            <w:tcBorders>
              <w:top w:val="nil"/>
              <w:left w:val="nil"/>
              <w:bottom w:val="single" w:sz="4" w:space="0" w:color="auto"/>
              <w:right w:val="single" w:sz="4" w:space="0" w:color="auto"/>
            </w:tcBorders>
            <w:hideMark/>
          </w:tcPr>
          <w:p w14:paraId="12D1BF56" w14:textId="77777777" w:rsidR="003C128C" w:rsidRDefault="003C128C">
            <w:pPr>
              <w:jc w:val="right"/>
              <w:rPr>
                <w:noProof/>
                <w:color w:val="242828"/>
                <w:sz w:val="20"/>
                <w:szCs w:val="20"/>
              </w:rPr>
            </w:pPr>
            <w:r>
              <w:rPr>
                <w:noProof/>
                <w:color w:val="242828"/>
                <w:sz w:val="20"/>
                <w:szCs w:val="20"/>
              </w:rPr>
              <w:t>15,778</w:t>
            </w:r>
          </w:p>
        </w:tc>
        <w:tc>
          <w:tcPr>
            <w:tcW w:w="779" w:type="pct"/>
            <w:tcBorders>
              <w:top w:val="nil"/>
              <w:left w:val="nil"/>
              <w:bottom w:val="single" w:sz="4" w:space="0" w:color="auto"/>
              <w:right w:val="single" w:sz="4" w:space="0" w:color="auto"/>
            </w:tcBorders>
            <w:hideMark/>
          </w:tcPr>
          <w:p w14:paraId="13A603B0" w14:textId="77777777" w:rsidR="003C128C" w:rsidRDefault="003C128C">
            <w:pPr>
              <w:jc w:val="right"/>
              <w:rPr>
                <w:noProof/>
                <w:color w:val="242828"/>
                <w:sz w:val="20"/>
                <w:szCs w:val="20"/>
              </w:rPr>
            </w:pPr>
            <w:r>
              <w:rPr>
                <w:noProof/>
                <w:color w:val="242828"/>
                <w:sz w:val="20"/>
                <w:szCs w:val="20"/>
              </w:rPr>
              <w:t>20,198</w:t>
            </w:r>
          </w:p>
        </w:tc>
        <w:tc>
          <w:tcPr>
            <w:tcW w:w="779" w:type="pct"/>
            <w:tcBorders>
              <w:top w:val="nil"/>
              <w:left w:val="nil"/>
              <w:bottom w:val="single" w:sz="4" w:space="0" w:color="auto"/>
              <w:right w:val="single" w:sz="4" w:space="0" w:color="auto"/>
            </w:tcBorders>
            <w:hideMark/>
          </w:tcPr>
          <w:p w14:paraId="62E82850" w14:textId="77777777" w:rsidR="003C128C" w:rsidRDefault="003C128C">
            <w:pPr>
              <w:jc w:val="right"/>
              <w:rPr>
                <w:noProof/>
                <w:color w:val="242828"/>
                <w:sz w:val="20"/>
                <w:szCs w:val="20"/>
              </w:rPr>
            </w:pPr>
            <w:r>
              <w:rPr>
                <w:noProof/>
                <w:color w:val="242828"/>
                <w:sz w:val="20"/>
                <w:szCs w:val="20"/>
              </w:rPr>
              <w:t>62,034</w:t>
            </w:r>
          </w:p>
        </w:tc>
        <w:tc>
          <w:tcPr>
            <w:tcW w:w="779" w:type="pct"/>
            <w:tcBorders>
              <w:top w:val="nil"/>
              <w:left w:val="nil"/>
              <w:bottom w:val="single" w:sz="4" w:space="0" w:color="auto"/>
              <w:right w:val="single" w:sz="4" w:space="0" w:color="auto"/>
            </w:tcBorders>
            <w:hideMark/>
          </w:tcPr>
          <w:p w14:paraId="7F5F79CC" w14:textId="77777777" w:rsidR="003C128C" w:rsidRDefault="003C128C">
            <w:pPr>
              <w:jc w:val="right"/>
              <w:rPr>
                <w:noProof/>
                <w:color w:val="242828"/>
                <w:sz w:val="20"/>
                <w:szCs w:val="20"/>
              </w:rPr>
            </w:pPr>
            <w:r>
              <w:rPr>
                <w:noProof/>
                <w:color w:val="242828"/>
                <w:sz w:val="20"/>
                <w:szCs w:val="20"/>
              </w:rPr>
              <w:t>54,378</w:t>
            </w:r>
          </w:p>
        </w:tc>
      </w:tr>
      <w:tr w:rsidR="00FB6303" w14:paraId="3AA73DCE" w14:textId="77777777" w:rsidTr="00DF7708">
        <w:trPr>
          <w:trHeight w:val="255"/>
        </w:trPr>
        <w:tc>
          <w:tcPr>
            <w:tcW w:w="1883" w:type="pct"/>
            <w:tcBorders>
              <w:top w:val="nil"/>
              <w:left w:val="single" w:sz="4" w:space="0" w:color="auto"/>
              <w:bottom w:val="single" w:sz="4" w:space="0" w:color="auto"/>
              <w:right w:val="single" w:sz="4" w:space="0" w:color="auto"/>
            </w:tcBorders>
            <w:hideMark/>
          </w:tcPr>
          <w:p w14:paraId="36DE1A12" w14:textId="77777777" w:rsidR="003C128C" w:rsidRDefault="003C128C">
            <w:pPr>
              <w:ind w:firstLineChars="100" w:firstLine="200"/>
              <w:rPr>
                <w:noProof/>
                <w:color w:val="242828"/>
                <w:sz w:val="20"/>
                <w:szCs w:val="20"/>
              </w:rPr>
            </w:pPr>
            <w:r>
              <w:rPr>
                <w:noProof/>
                <w:color w:val="242828"/>
                <w:sz w:val="20"/>
                <w:szCs w:val="20"/>
              </w:rPr>
              <w:t>% difference to baseline</w:t>
            </w:r>
          </w:p>
        </w:tc>
        <w:tc>
          <w:tcPr>
            <w:tcW w:w="779" w:type="pct"/>
            <w:tcBorders>
              <w:top w:val="nil"/>
              <w:left w:val="nil"/>
              <w:bottom w:val="single" w:sz="4" w:space="0" w:color="auto"/>
              <w:right w:val="single" w:sz="4" w:space="0" w:color="auto"/>
            </w:tcBorders>
            <w:hideMark/>
          </w:tcPr>
          <w:p w14:paraId="019AE6C8" w14:textId="77777777" w:rsidR="003C128C" w:rsidRDefault="003C128C">
            <w:pPr>
              <w:jc w:val="right"/>
              <w:rPr>
                <w:noProof/>
                <w:color w:val="242828"/>
                <w:sz w:val="20"/>
                <w:szCs w:val="20"/>
              </w:rPr>
            </w:pPr>
            <w:r>
              <w:rPr>
                <w:noProof/>
                <w:color w:val="242828"/>
                <w:sz w:val="20"/>
                <w:szCs w:val="20"/>
              </w:rPr>
              <w:t>32%</w:t>
            </w:r>
          </w:p>
        </w:tc>
        <w:tc>
          <w:tcPr>
            <w:tcW w:w="779" w:type="pct"/>
            <w:tcBorders>
              <w:top w:val="nil"/>
              <w:left w:val="nil"/>
              <w:bottom w:val="single" w:sz="4" w:space="0" w:color="auto"/>
              <w:right w:val="single" w:sz="4" w:space="0" w:color="auto"/>
            </w:tcBorders>
            <w:hideMark/>
          </w:tcPr>
          <w:p w14:paraId="2E9429A6" w14:textId="77777777" w:rsidR="003C128C" w:rsidRDefault="003C128C">
            <w:pPr>
              <w:jc w:val="right"/>
              <w:rPr>
                <w:noProof/>
                <w:color w:val="242828"/>
                <w:sz w:val="20"/>
                <w:szCs w:val="20"/>
              </w:rPr>
            </w:pPr>
            <w:r>
              <w:rPr>
                <w:noProof/>
                <w:color w:val="242828"/>
                <w:sz w:val="20"/>
                <w:szCs w:val="20"/>
              </w:rPr>
              <w:t>41%</w:t>
            </w:r>
          </w:p>
        </w:tc>
        <w:tc>
          <w:tcPr>
            <w:tcW w:w="779" w:type="pct"/>
            <w:tcBorders>
              <w:top w:val="nil"/>
              <w:left w:val="nil"/>
              <w:bottom w:val="single" w:sz="4" w:space="0" w:color="auto"/>
              <w:right w:val="single" w:sz="4" w:space="0" w:color="auto"/>
            </w:tcBorders>
            <w:hideMark/>
          </w:tcPr>
          <w:p w14:paraId="050E987B" w14:textId="77777777" w:rsidR="003C128C" w:rsidRDefault="003C128C">
            <w:pPr>
              <w:jc w:val="right"/>
              <w:rPr>
                <w:noProof/>
                <w:color w:val="242828"/>
                <w:sz w:val="20"/>
                <w:szCs w:val="20"/>
              </w:rPr>
            </w:pPr>
            <w:r>
              <w:rPr>
                <w:noProof/>
                <w:color w:val="242828"/>
                <w:sz w:val="20"/>
                <w:szCs w:val="20"/>
              </w:rPr>
              <w:t>117%</w:t>
            </w:r>
          </w:p>
        </w:tc>
        <w:tc>
          <w:tcPr>
            <w:tcW w:w="779" w:type="pct"/>
            <w:tcBorders>
              <w:top w:val="nil"/>
              <w:left w:val="nil"/>
              <w:bottom w:val="single" w:sz="4" w:space="0" w:color="auto"/>
              <w:right w:val="single" w:sz="4" w:space="0" w:color="auto"/>
            </w:tcBorders>
            <w:hideMark/>
          </w:tcPr>
          <w:p w14:paraId="1BFC5721" w14:textId="77777777" w:rsidR="003C128C" w:rsidRDefault="003C128C">
            <w:pPr>
              <w:jc w:val="right"/>
              <w:rPr>
                <w:noProof/>
                <w:color w:val="242828"/>
                <w:sz w:val="20"/>
                <w:szCs w:val="20"/>
              </w:rPr>
            </w:pPr>
            <w:r>
              <w:rPr>
                <w:noProof/>
                <w:color w:val="242828"/>
                <w:sz w:val="20"/>
                <w:szCs w:val="20"/>
              </w:rPr>
              <w:t>97%</w:t>
            </w:r>
          </w:p>
        </w:tc>
      </w:tr>
    </w:tbl>
    <w:p w14:paraId="26BFE730" w14:textId="77777777" w:rsidR="00004CA5" w:rsidRDefault="00004CA5" w:rsidP="00004CA5">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7C4A9698" w14:textId="1F4166DE" w:rsidR="00566435" w:rsidRDefault="00566435" w:rsidP="006E3FA1">
      <w:pPr>
        <w:pStyle w:val="Heading2"/>
        <w:keepNext/>
        <w:numPr>
          <w:ilvl w:val="2"/>
          <w:numId w:val="11"/>
        </w:numPr>
        <w:tabs>
          <w:tab w:val="left" w:pos="709"/>
        </w:tabs>
        <w:spacing w:before="0" w:after="240"/>
        <w:ind w:left="1134" w:hanging="708"/>
        <w:rPr>
          <w:b w:val="0"/>
          <w:i/>
          <w:noProof/>
        </w:rPr>
      </w:pPr>
      <w:bookmarkStart w:id="132" w:name="_Toc222748996"/>
      <w:bookmarkStart w:id="133" w:name="_Toc223979966"/>
      <w:r w:rsidRPr="00D71008">
        <w:rPr>
          <w:b w:val="0"/>
          <w:i/>
          <w:noProof/>
        </w:rPr>
        <w:t>Impact</w:t>
      </w:r>
      <w:r>
        <w:rPr>
          <w:b w:val="0"/>
          <w:i/>
          <w:noProof/>
        </w:rPr>
        <w:t>s</w:t>
      </w:r>
      <w:r w:rsidRPr="00D71008">
        <w:rPr>
          <w:b w:val="0"/>
          <w:i/>
          <w:noProof/>
        </w:rPr>
        <w:t xml:space="preserve"> </w:t>
      </w:r>
      <w:r>
        <w:rPr>
          <w:b w:val="0"/>
          <w:i/>
          <w:noProof/>
        </w:rPr>
        <w:t>on transport operators</w:t>
      </w:r>
      <w:bookmarkEnd w:id="132"/>
      <w:bookmarkEnd w:id="133"/>
      <w:r w:rsidRPr="00D71008">
        <w:rPr>
          <w:b w:val="0"/>
          <w:i/>
          <w:noProof/>
        </w:rPr>
        <w:t xml:space="preserve"> </w:t>
      </w:r>
    </w:p>
    <w:p w14:paraId="2FDB6023" w14:textId="036B4696" w:rsidR="003D7A21" w:rsidRPr="00641CD0" w:rsidRDefault="00B079E1" w:rsidP="00FF5B16">
      <w:pPr>
        <w:jc w:val="both"/>
        <w:rPr>
          <w:noProof/>
          <w:spacing w:val="-8"/>
        </w:rPr>
      </w:pPr>
      <w:r w:rsidRPr="00F5383B">
        <w:rPr>
          <w:noProof/>
          <w:spacing w:val="-8"/>
        </w:rPr>
        <w:t>The</w:t>
      </w:r>
      <w:r w:rsidRPr="00F5383B" w:rsidDel="00305908">
        <w:rPr>
          <w:noProof/>
          <w:spacing w:val="-8"/>
        </w:rPr>
        <w:t xml:space="preserve"> </w:t>
      </w:r>
      <w:r w:rsidRPr="00F5383B">
        <w:rPr>
          <w:noProof/>
          <w:spacing w:val="-8"/>
        </w:rPr>
        <w:t>number of transport operators in the scope of this initiative is provided in</w:t>
      </w:r>
      <w:r w:rsidR="003D7A21" w:rsidRPr="00641CD0">
        <w:rPr>
          <w:noProof/>
          <w:spacing w:val="-8"/>
        </w:rPr>
        <w:t xml:space="preserve"> Annex 4</w:t>
      </w:r>
      <w:r w:rsidR="00305908" w:rsidRPr="00641CD0">
        <w:rPr>
          <w:noProof/>
          <w:spacing w:val="-8"/>
        </w:rPr>
        <w:t xml:space="preserve"> (section 2.2.3)</w:t>
      </w:r>
      <w:r w:rsidR="009B49B0" w:rsidRPr="00641CD0">
        <w:rPr>
          <w:noProof/>
          <w:spacing w:val="-8"/>
        </w:rPr>
        <w:t xml:space="preserve"> and is assumed to remain constant over time in the baseline scenario and across policy options. </w:t>
      </w:r>
    </w:p>
    <w:p w14:paraId="501C2756" w14:textId="77777777" w:rsidR="000547BF" w:rsidRPr="00641CD0" w:rsidRDefault="000547BF" w:rsidP="00C918D8">
      <w:pPr>
        <w:jc w:val="both"/>
        <w:rPr>
          <w:noProof/>
          <w:spacing w:val="-8"/>
        </w:rPr>
      </w:pPr>
    </w:p>
    <w:p w14:paraId="4FE9527F" w14:textId="3B614A30" w:rsidR="0029534B" w:rsidRPr="00641CD0" w:rsidDel="00A61773" w:rsidRDefault="00413D1F" w:rsidP="00183631">
      <w:pPr>
        <w:pStyle w:val="BodyText"/>
        <w:spacing w:after="240"/>
        <w:ind w:left="0"/>
        <w:rPr>
          <w:noProof/>
          <w:spacing w:val="-8"/>
        </w:rPr>
      </w:pPr>
      <w:r w:rsidRPr="00641CD0">
        <w:rPr>
          <w:b/>
          <w:bCs/>
          <w:i/>
          <w:iCs/>
          <w:noProof/>
          <w:spacing w:val="-8"/>
        </w:rPr>
        <w:t xml:space="preserve">One-off adjustment costs for </w:t>
      </w:r>
      <w:r w:rsidR="000B694E" w:rsidRPr="00641CD0">
        <w:rPr>
          <w:b/>
          <w:bCs/>
          <w:i/>
          <w:iCs/>
          <w:noProof/>
          <w:spacing w:val="-8"/>
        </w:rPr>
        <w:t>transport operators</w:t>
      </w:r>
      <w:r w:rsidRPr="00641CD0">
        <w:rPr>
          <w:b/>
          <w:bCs/>
          <w:i/>
          <w:iCs/>
          <w:noProof/>
          <w:spacing w:val="-8"/>
        </w:rPr>
        <w:t>.</w:t>
      </w:r>
      <w:r w:rsidR="00241566" w:rsidRPr="00F5383B">
        <w:rPr>
          <w:b/>
          <w:i/>
          <w:noProof/>
          <w:spacing w:val="-8"/>
        </w:rPr>
        <w:t xml:space="preserve"> </w:t>
      </w:r>
      <w:r w:rsidR="00F77248" w:rsidRPr="00F5383B">
        <w:rPr>
          <w:noProof/>
          <w:spacing w:val="-8"/>
        </w:rPr>
        <w:t>PO2, PO3 and PO4</w:t>
      </w:r>
      <w:r w:rsidR="00241566" w:rsidRPr="00F5383B">
        <w:rPr>
          <w:noProof/>
          <w:spacing w:val="-8"/>
        </w:rPr>
        <w:t xml:space="preserve"> are expected to lead to </w:t>
      </w:r>
      <w:r w:rsidR="005E5A14" w:rsidRPr="00F5383B">
        <w:rPr>
          <w:noProof/>
          <w:spacing w:val="-8"/>
        </w:rPr>
        <w:t xml:space="preserve">one-off </w:t>
      </w:r>
      <w:r w:rsidR="00241566" w:rsidRPr="00F5383B">
        <w:rPr>
          <w:noProof/>
          <w:spacing w:val="-8"/>
        </w:rPr>
        <w:t xml:space="preserve">adjustment costs for transport operators relative </w:t>
      </w:r>
      <w:r w:rsidR="00241566" w:rsidRPr="0011121C">
        <w:rPr>
          <w:noProof/>
          <w:spacing w:val="-8"/>
        </w:rPr>
        <w:t>to the baseline (</w:t>
      </w:r>
      <w:r w:rsidR="008D7D02" w:rsidRPr="0011121C">
        <w:rPr>
          <w:noProof/>
          <w:spacing w:val="-8"/>
        </w:rPr>
        <w:t>see</w:t>
      </w:r>
      <w:r w:rsidR="00AC7665" w:rsidRPr="0011121C">
        <w:rPr>
          <w:noProof/>
          <w:spacing w:val="-8"/>
        </w:rPr>
        <w:t xml:space="preserve"> </w:t>
      </w:r>
      <w:r w:rsidR="00AC7665" w:rsidRPr="0011121C">
        <w:rPr>
          <w:noProof/>
          <w:spacing w:val="-8"/>
        </w:rPr>
        <w:fldChar w:fldCharType="begin"/>
      </w:r>
      <w:r w:rsidR="00AC7665" w:rsidRPr="0011121C">
        <w:rPr>
          <w:noProof/>
          <w:spacing w:val="-8"/>
        </w:rPr>
        <w:instrText xml:space="preserve"> REF _Ref222836614 \h </w:instrText>
      </w:r>
      <w:r w:rsidR="00183631" w:rsidRPr="0011121C">
        <w:rPr>
          <w:noProof/>
          <w:spacing w:val="-8"/>
        </w:rPr>
        <w:instrText xml:space="preserve"> \* MERGEFORMAT </w:instrText>
      </w:r>
      <w:r w:rsidR="00AC7665" w:rsidRPr="0011121C">
        <w:rPr>
          <w:noProof/>
          <w:spacing w:val="-8"/>
        </w:rPr>
      </w:r>
      <w:r w:rsidR="00AC7665" w:rsidRPr="0011121C">
        <w:rPr>
          <w:noProof/>
          <w:spacing w:val="-8"/>
        </w:rPr>
        <w:fldChar w:fldCharType="separate"/>
      </w:r>
      <w:r>
        <w:rPr>
          <w:noProof/>
          <w:spacing w:val="-8"/>
        </w:rPr>
        <w:t>Table</w:t>
      </w:r>
      <w:r>
        <w:rPr>
          <w:noProof/>
        </w:rPr>
        <w:t xml:space="preserve"> 7</w:t>
      </w:r>
      <w:r w:rsidR="00AC7665" w:rsidRPr="0011121C">
        <w:rPr>
          <w:noProof/>
          <w:spacing w:val="-8"/>
        </w:rPr>
        <w:fldChar w:fldCharType="end"/>
      </w:r>
      <w:r w:rsidR="00241566" w:rsidRPr="0011121C">
        <w:rPr>
          <w:noProof/>
          <w:spacing w:val="-8"/>
        </w:rPr>
        <w:t xml:space="preserve">). </w:t>
      </w:r>
      <w:r w:rsidR="002D5588" w:rsidRPr="0011121C">
        <w:rPr>
          <w:noProof/>
          <w:spacing w:val="-8"/>
        </w:rPr>
        <w:t>These</w:t>
      </w:r>
      <w:r w:rsidR="00241566" w:rsidRPr="0011121C">
        <w:rPr>
          <w:noProof/>
          <w:spacing w:val="-8"/>
        </w:rPr>
        <w:t xml:space="preserve"> costs</w:t>
      </w:r>
      <w:r w:rsidR="00241566" w:rsidRPr="0048156D">
        <w:rPr>
          <w:noProof/>
          <w:spacing w:val="-8"/>
        </w:rPr>
        <w:t xml:space="preserve"> </w:t>
      </w:r>
      <w:r w:rsidR="00A61773" w:rsidRPr="0048156D">
        <w:rPr>
          <w:noProof/>
          <w:spacing w:val="-8"/>
        </w:rPr>
        <w:t>are</w:t>
      </w:r>
      <w:r w:rsidR="00241566" w:rsidRPr="0048156D">
        <w:rPr>
          <w:noProof/>
          <w:spacing w:val="-8"/>
        </w:rPr>
        <w:t xml:space="preserve"> driven by the requirement for </w:t>
      </w:r>
      <w:r w:rsidR="00024034" w:rsidRPr="0048156D">
        <w:rPr>
          <w:noProof/>
          <w:spacing w:val="-8"/>
        </w:rPr>
        <w:t>RUs to allow the distribution of their tickets (PM13)</w:t>
      </w:r>
      <w:r w:rsidR="00A61773" w:rsidRPr="0048156D">
        <w:rPr>
          <w:noProof/>
          <w:spacing w:val="-8"/>
        </w:rPr>
        <w:t xml:space="preserve"> </w:t>
      </w:r>
      <w:r w:rsidR="00A61773" w:rsidRPr="00641CD0">
        <w:rPr>
          <w:noProof/>
          <w:spacing w:val="-8"/>
        </w:rPr>
        <w:t xml:space="preserve">and </w:t>
      </w:r>
      <w:r w:rsidR="00F94726" w:rsidRPr="0048156D">
        <w:rPr>
          <w:noProof/>
          <w:spacing w:val="-8"/>
        </w:rPr>
        <w:t>calculated based on the projected number of new commercial agreements between MDMS platforms and RUs</w:t>
      </w:r>
      <w:r w:rsidR="00EA4FEB" w:rsidRPr="0048156D">
        <w:rPr>
          <w:rStyle w:val="FootnoteReference"/>
          <w:noProof/>
          <w:spacing w:val="-8"/>
        </w:rPr>
        <w:footnoteReference w:id="187"/>
      </w:r>
      <w:r w:rsidR="00F94726" w:rsidRPr="0048156D">
        <w:rPr>
          <w:noProof/>
          <w:spacing w:val="-8"/>
        </w:rPr>
        <w:t xml:space="preserve">. </w:t>
      </w:r>
      <w:r w:rsidR="0009184D">
        <w:rPr>
          <w:noProof/>
          <w:spacing w:val="-8"/>
        </w:rPr>
        <w:t>PO2</w:t>
      </w:r>
      <w:r w:rsidR="0009184D" w:rsidRPr="0048156D">
        <w:rPr>
          <w:noProof/>
          <w:spacing w:val="-8"/>
        </w:rPr>
        <w:t xml:space="preserve"> </w:t>
      </w:r>
      <w:r w:rsidR="00374F8D" w:rsidRPr="0048156D">
        <w:rPr>
          <w:noProof/>
          <w:spacing w:val="-8"/>
        </w:rPr>
        <w:t>is expected to</w:t>
      </w:r>
      <w:r w:rsidR="00374F8D" w:rsidRPr="0048156D" w:rsidDel="0009184D">
        <w:rPr>
          <w:noProof/>
          <w:spacing w:val="-8"/>
        </w:rPr>
        <w:t xml:space="preserve"> </w:t>
      </w:r>
      <w:r w:rsidR="0009184D">
        <w:rPr>
          <w:noProof/>
          <w:spacing w:val="-8"/>
        </w:rPr>
        <w:t>show</w:t>
      </w:r>
      <w:r w:rsidR="0009184D" w:rsidRPr="0048156D">
        <w:rPr>
          <w:noProof/>
          <w:spacing w:val="-8"/>
        </w:rPr>
        <w:t xml:space="preserve"> </w:t>
      </w:r>
      <w:r w:rsidR="00B348EC" w:rsidRPr="0048156D">
        <w:rPr>
          <w:noProof/>
          <w:spacing w:val="-8"/>
        </w:rPr>
        <w:t xml:space="preserve">the </w:t>
      </w:r>
      <w:r w:rsidR="00374F8D" w:rsidRPr="0048156D">
        <w:rPr>
          <w:noProof/>
          <w:spacing w:val="-8"/>
        </w:rPr>
        <w:t xml:space="preserve">highest </w:t>
      </w:r>
      <w:r w:rsidR="00B348EC" w:rsidRPr="0048156D">
        <w:rPr>
          <w:noProof/>
          <w:spacing w:val="-8"/>
        </w:rPr>
        <w:t xml:space="preserve">number of </w:t>
      </w:r>
      <w:r w:rsidR="004926E3" w:rsidRPr="0048156D">
        <w:rPr>
          <w:noProof/>
          <w:spacing w:val="-8"/>
        </w:rPr>
        <w:t xml:space="preserve">new agreements </w:t>
      </w:r>
      <w:r w:rsidR="007757FA" w:rsidRPr="0048156D">
        <w:rPr>
          <w:noProof/>
          <w:spacing w:val="-8"/>
        </w:rPr>
        <w:t xml:space="preserve">and thus also </w:t>
      </w:r>
      <w:r w:rsidR="00C267AB" w:rsidRPr="0048156D">
        <w:rPr>
          <w:noProof/>
          <w:spacing w:val="-8"/>
        </w:rPr>
        <w:t xml:space="preserve">the highest </w:t>
      </w:r>
      <w:r w:rsidR="000240E8" w:rsidRPr="0048156D">
        <w:rPr>
          <w:noProof/>
          <w:spacing w:val="-8"/>
        </w:rPr>
        <w:t xml:space="preserve">one-off </w:t>
      </w:r>
      <w:r w:rsidR="00C267AB" w:rsidRPr="0048156D">
        <w:rPr>
          <w:noProof/>
          <w:spacing w:val="-8"/>
        </w:rPr>
        <w:t>costs</w:t>
      </w:r>
      <w:r w:rsidR="00D714A0" w:rsidRPr="0048156D">
        <w:rPr>
          <w:noProof/>
          <w:spacing w:val="-8"/>
        </w:rPr>
        <w:t xml:space="preserve"> </w:t>
      </w:r>
      <w:r w:rsidR="000240E8" w:rsidRPr="0048156D">
        <w:rPr>
          <w:noProof/>
          <w:spacing w:val="-8"/>
        </w:rPr>
        <w:t xml:space="preserve">expressed as present value over 2028-2050 relative to the baseline </w:t>
      </w:r>
      <w:r w:rsidR="00D714A0" w:rsidRPr="0048156D">
        <w:rPr>
          <w:noProof/>
          <w:spacing w:val="-8"/>
        </w:rPr>
        <w:t xml:space="preserve">(EUR </w:t>
      </w:r>
      <w:r w:rsidR="0009184D" w:rsidRPr="0009184D">
        <w:rPr>
          <w:noProof/>
          <w:spacing w:val="-8"/>
        </w:rPr>
        <w:t>48.</w:t>
      </w:r>
      <w:r w:rsidR="000240E8" w:rsidRPr="0048156D" w:rsidDel="0009184D">
        <w:rPr>
          <w:noProof/>
          <w:spacing w:val="-8"/>
        </w:rPr>
        <w:t>2</w:t>
      </w:r>
      <w:r w:rsidR="000240E8" w:rsidRPr="0048156D">
        <w:rPr>
          <w:noProof/>
          <w:spacing w:val="-8"/>
        </w:rPr>
        <w:t xml:space="preserve"> million), followed by PO4 (EUR </w:t>
      </w:r>
      <w:r w:rsidR="00EC7A12" w:rsidRPr="00EC7A12">
        <w:rPr>
          <w:noProof/>
          <w:spacing w:val="-8"/>
        </w:rPr>
        <w:t>45.2</w:t>
      </w:r>
      <w:r w:rsidR="000240E8" w:rsidRPr="0048156D">
        <w:rPr>
          <w:noProof/>
          <w:spacing w:val="-8"/>
        </w:rPr>
        <w:t xml:space="preserve"> million) and </w:t>
      </w:r>
      <w:r w:rsidR="00EC7A12">
        <w:rPr>
          <w:noProof/>
          <w:spacing w:val="-8"/>
        </w:rPr>
        <w:t>PO3</w:t>
      </w:r>
      <w:r w:rsidR="00EC7A12" w:rsidRPr="0048156D">
        <w:rPr>
          <w:noProof/>
          <w:spacing w:val="-8"/>
        </w:rPr>
        <w:t xml:space="preserve"> </w:t>
      </w:r>
      <w:r w:rsidR="00EE1B8B" w:rsidRPr="0048156D">
        <w:rPr>
          <w:noProof/>
          <w:spacing w:val="-8"/>
        </w:rPr>
        <w:t xml:space="preserve">(EUR </w:t>
      </w:r>
      <w:r w:rsidR="00EC7A12" w:rsidRPr="00EC7A12">
        <w:rPr>
          <w:noProof/>
          <w:spacing w:val="-8"/>
        </w:rPr>
        <w:t>42.2</w:t>
      </w:r>
      <w:r w:rsidR="00EE1B8B" w:rsidRPr="0048156D">
        <w:rPr>
          <w:noProof/>
          <w:spacing w:val="-8"/>
        </w:rPr>
        <w:t xml:space="preserve"> million)</w:t>
      </w:r>
      <w:r w:rsidR="00E52DDC" w:rsidRPr="0048156D">
        <w:rPr>
          <w:noProof/>
          <w:spacing w:val="-8"/>
        </w:rPr>
        <w:t>.</w:t>
      </w:r>
      <w:r w:rsidR="00C267AB" w:rsidRPr="0048156D">
        <w:rPr>
          <w:noProof/>
          <w:spacing w:val="-8"/>
        </w:rPr>
        <w:t xml:space="preserve"> </w:t>
      </w:r>
      <w:r w:rsidR="008A2545" w:rsidRPr="0048156D">
        <w:rPr>
          <w:noProof/>
          <w:spacing w:val="-8"/>
        </w:rPr>
        <w:t xml:space="preserve"> </w:t>
      </w:r>
    </w:p>
    <w:p w14:paraId="32C37499" w14:textId="247B7D1B" w:rsidR="004D2EF3" w:rsidRPr="00117904" w:rsidRDefault="0029534B" w:rsidP="0029534B">
      <w:pPr>
        <w:pStyle w:val="BodyText"/>
        <w:spacing w:after="240"/>
        <w:ind w:left="0"/>
        <w:rPr>
          <w:noProof/>
          <w:spacing w:val="-8"/>
        </w:rPr>
      </w:pPr>
      <w:r w:rsidRPr="00537DC3">
        <w:rPr>
          <w:b/>
          <w:bCs/>
          <w:i/>
          <w:iCs/>
          <w:noProof/>
          <w:spacing w:val="-8"/>
        </w:rPr>
        <w:t xml:space="preserve">One-off administrative costs for </w:t>
      </w:r>
      <w:r w:rsidR="000B694E" w:rsidRPr="00537DC3">
        <w:rPr>
          <w:b/>
          <w:bCs/>
          <w:i/>
          <w:iCs/>
          <w:noProof/>
          <w:spacing w:val="-8"/>
        </w:rPr>
        <w:t>transport operators</w:t>
      </w:r>
      <w:r w:rsidR="004D2EF3" w:rsidRPr="00537DC3">
        <w:rPr>
          <w:noProof/>
          <w:spacing w:val="-8"/>
        </w:rPr>
        <w:t xml:space="preserve">. In </w:t>
      </w:r>
      <w:r w:rsidR="00E52DDC" w:rsidRPr="00537DC3">
        <w:rPr>
          <w:noProof/>
          <w:spacing w:val="-8"/>
        </w:rPr>
        <w:t xml:space="preserve">all </w:t>
      </w:r>
      <w:r w:rsidR="00BE011F" w:rsidRPr="00537DC3">
        <w:rPr>
          <w:noProof/>
          <w:spacing w:val="-8"/>
        </w:rPr>
        <w:t>policy options</w:t>
      </w:r>
      <w:r w:rsidR="00603AC5" w:rsidRPr="0048156D">
        <w:rPr>
          <w:noProof/>
          <w:spacing w:val="-8"/>
        </w:rPr>
        <w:t xml:space="preserve">, </w:t>
      </w:r>
      <w:r w:rsidR="00BA3075" w:rsidRPr="00537DC3">
        <w:rPr>
          <w:i/>
          <w:noProof/>
          <w:spacing w:val="-8"/>
        </w:rPr>
        <w:t xml:space="preserve">for the purpose of ‘one in, one out’ approach and the Calculator of Administrative Costs (AC) &amp; Administrative Burdens (AB), </w:t>
      </w:r>
      <w:r w:rsidR="000B658F" w:rsidRPr="00552544">
        <w:rPr>
          <w:noProof/>
          <w:spacing w:val="-8"/>
        </w:rPr>
        <w:t xml:space="preserve">low </w:t>
      </w:r>
      <w:r w:rsidR="008957A1" w:rsidRPr="00552544">
        <w:rPr>
          <w:noProof/>
          <w:spacing w:val="-8"/>
        </w:rPr>
        <w:t xml:space="preserve">one-off </w:t>
      </w:r>
      <w:r w:rsidR="00603AC5" w:rsidRPr="00552544">
        <w:rPr>
          <w:noProof/>
          <w:spacing w:val="-8"/>
        </w:rPr>
        <w:t xml:space="preserve">administrative </w:t>
      </w:r>
      <w:r w:rsidR="00766181" w:rsidRPr="00552544">
        <w:rPr>
          <w:noProof/>
          <w:spacing w:val="-8"/>
        </w:rPr>
        <w:t>cost</w:t>
      </w:r>
      <w:r w:rsidR="008957A1" w:rsidRPr="00552544">
        <w:rPr>
          <w:noProof/>
          <w:spacing w:val="-8"/>
        </w:rPr>
        <w:t>s</w:t>
      </w:r>
      <w:r w:rsidR="000B658F" w:rsidRPr="00552544">
        <w:rPr>
          <w:noProof/>
          <w:spacing w:val="-8"/>
        </w:rPr>
        <w:t xml:space="preserve"> of EUR 1,356 </w:t>
      </w:r>
      <w:r w:rsidR="00266EBD" w:rsidRPr="00552544">
        <w:rPr>
          <w:noProof/>
          <w:spacing w:val="-8"/>
        </w:rPr>
        <w:t>at EU level are</w:t>
      </w:r>
      <w:r w:rsidR="00766181" w:rsidRPr="00552544">
        <w:rPr>
          <w:noProof/>
          <w:spacing w:val="-8"/>
        </w:rPr>
        <w:t xml:space="preserve"> expected for </w:t>
      </w:r>
      <w:r w:rsidR="00D07E89" w:rsidRPr="00552544">
        <w:rPr>
          <w:noProof/>
          <w:spacing w:val="-8"/>
        </w:rPr>
        <w:t>RUs</w:t>
      </w:r>
      <w:r w:rsidR="00D07E89" w:rsidRPr="00552544" w:rsidDel="00602E5D">
        <w:rPr>
          <w:noProof/>
          <w:spacing w:val="-8"/>
        </w:rPr>
        <w:t xml:space="preserve"> </w:t>
      </w:r>
      <w:r w:rsidR="00D07E89" w:rsidRPr="00552544">
        <w:rPr>
          <w:noProof/>
          <w:spacing w:val="-8"/>
        </w:rPr>
        <w:t>with SMP</w:t>
      </w:r>
      <w:r w:rsidR="00056C0E" w:rsidRPr="00552544">
        <w:rPr>
          <w:noProof/>
          <w:spacing w:val="-8"/>
        </w:rPr>
        <w:t xml:space="preserve"> (</w:t>
      </w:r>
      <w:r w:rsidR="00156B9A" w:rsidRPr="00552544">
        <w:rPr>
          <w:noProof/>
          <w:spacing w:val="-8"/>
        </w:rPr>
        <w:t xml:space="preserve">see </w:t>
      </w:r>
      <w:r w:rsidR="00156B9A" w:rsidRPr="00552544">
        <w:rPr>
          <w:noProof/>
          <w:spacing w:val="-8"/>
        </w:rPr>
        <w:fldChar w:fldCharType="begin"/>
      </w:r>
      <w:r w:rsidR="00156B9A" w:rsidRPr="00552544">
        <w:rPr>
          <w:noProof/>
          <w:spacing w:val="-8"/>
        </w:rPr>
        <w:instrText xml:space="preserve"> REF _Ref222863018 \h </w:instrText>
      </w:r>
      <w:r w:rsidR="00EC16B9" w:rsidRPr="00552544">
        <w:rPr>
          <w:noProof/>
          <w:spacing w:val="-8"/>
        </w:rPr>
        <w:instrText xml:space="preserve"> \* MERGEFORMAT </w:instrText>
      </w:r>
      <w:r w:rsidR="00156B9A" w:rsidRPr="00552544">
        <w:rPr>
          <w:noProof/>
          <w:spacing w:val="-8"/>
        </w:rPr>
      </w:r>
      <w:r w:rsidR="00156B9A" w:rsidRPr="00552544">
        <w:rPr>
          <w:noProof/>
          <w:spacing w:val="-8"/>
        </w:rPr>
        <w:fldChar w:fldCharType="separate"/>
      </w:r>
      <w:r>
        <w:rPr>
          <w:noProof/>
          <w:spacing w:val="-8"/>
        </w:rPr>
        <w:t>Table 8</w:t>
      </w:r>
      <w:r w:rsidR="00156B9A" w:rsidRPr="00552544">
        <w:rPr>
          <w:noProof/>
          <w:spacing w:val="-8"/>
        </w:rPr>
        <w:fldChar w:fldCharType="end"/>
      </w:r>
      <w:r w:rsidR="00056C0E" w:rsidRPr="00552544">
        <w:rPr>
          <w:noProof/>
          <w:spacing w:val="-8"/>
        </w:rPr>
        <w:t>)</w:t>
      </w:r>
      <w:r w:rsidR="004A6F1F" w:rsidRPr="00552544">
        <w:rPr>
          <w:rStyle w:val="FootnoteReference"/>
          <w:noProof/>
          <w:spacing w:val="-8"/>
        </w:rPr>
        <w:footnoteReference w:id="188"/>
      </w:r>
      <w:r w:rsidR="00BA3075" w:rsidRPr="00552544">
        <w:rPr>
          <w:noProof/>
          <w:spacing w:val="-8"/>
        </w:rPr>
        <w:t xml:space="preserve">. These costs </w:t>
      </w:r>
      <w:r w:rsidR="00157F27" w:rsidRPr="00552544">
        <w:rPr>
          <w:noProof/>
          <w:spacing w:val="-8"/>
        </w:rPr>
        <w:t>relate</w:t>
      </w:r>
      <w:r w:rsidR="00877F70" w:rsidRPr="00552544">
        <w:rPr>
          <w:noProof/>
          <w:spacing w:val="-8"/>
        </w:rPr>
        <w:t xml:space="preserve"> to inform</w:t>
      </w:r>
      <w:r w:rsidR="00157F27" w:rsidRPr="00552544">
        <w:rPr>
          <w:noProof/>
          <w:spacing w:val="-8"/>
        </w:rPr>
        <w:t>ing</w:t>
      </w:r>
      <w:r w:rsidR="00877F70" w:rsidRPr="00552544">
        <w:rPr>
          <w:noProof/>
          <w:spacing w:val="-8"/>
        </w:rPr>
        <w:t xml:space="preserve"> </w:t>
      </w:r>
      <w:r w:rsidR="00D07E89" w:rsidRPr="00552544">
        <w:rPr>
          <w:noProof/>
          <w:spacing w:val="-8"/>
        </w:rPr>
        <w:t xml:space="preserve">national authorities about their </w:t>
      </w:r>
      <w:r w:rsidR="00877F70" w:rsidRPr="00552544">
        <w:rPr>
          <w:noProof/>
          <w:spacing w:val="-8"/>
        </w:rPr>
        <w:t xml:space="preserve">parent </w:t>
      </w:r>
      <w:r w:rsidR="00D07E89" w:rsidRPr="00552544">
        <w:rPr>
          <w:noProof/>
          <w:spacing w:val="-8"/>
        </w:rPr>
        <w:t>platforms</w:t>
      </w:r>
      <w:r w:rsidR="00877F70" w:rsidRPr="00552544">
        <w:rPr>
          <w:noProof/>
          <w:spacing w:val="-8"/>
        </w:rPr>
        <w:t xml:space="preserve"> (</w:t>
      </w:r>
      <w:r w:rsidR="00D07E89" w:rsidRPr="00552544">
        <w:rPr>
          <w:noProof/>
          <w:spacing w:val="-8"/>
        </w:rPr>
        <w:t>opened to other RUs</w:t>
      </w:r>
      <w:r w:rsidR="000B2376" w:rsidRPr="00552544">
        <w:rPr>
          <w:noProof/>
          <w:spacing w:val="-8"/>
        </w:rPr>
        <w:t>)</w:t>
      </w:r>
      <w:r w:rsidR="00A677BE" w:rsidRPr="00552544">
        <w:rPr>
          <w:noProof/>
          <w:spacing w:val="-8"/>
        </w:rPr>
        <w:t xml:space="preserve"> </w:t>
      </w:r>
      <w:r w:rsidR="0012481F" w:rsidRPr="00552544">
        <w:rPr>
          <w:noProof/>
          <w:spacing w:val="-8"/>
        </w:rPr>
        <w:t xml:space="preserve">in view of </w:t>
      </w:r>
      <w:r w:rsidR="00A677BE" w:rsidRPr="00552544">
        <w:rPr>
          <w:noProof/>
          <w:spacing w:val="-8"/>
        </w:rPr>
        <w:t>consider</w:t>
      </w:r>
      <w:r w:rsidR="0012481F" w:rsidRPr="00552544">
        <w:rPr>
          <w:noProof/>
          <w:spacing w:val="-8"/>
        </w:rPr>
        <w:t>ing them</w:t>
      </w:r>
      <w:r w:rsidR="00A677BE" w:rsidRPr="00552544">
        <w:rPr>
          <w:noProof/>
          <w:spacing w:val="-8"/>
        </w:rPr>
        <w:t xml:space="preserve"> as indispensable RU platforms</w:t>
      </w:r>
      <w:r w:rsidR="00EA0583" w:rsidRPr="00552544">
        <w:rPr>
          <w:noProof/>
          <w:spacing w:val="-8"/>
        </w:rPr>
        <w:t xml:space="preserve"> (PM10)</w:t>
      </w:r>
      <w:r w:rsidR="00221E94" w:rsidRPr="00552544">
        <w:rPr>
          <w:noProof/>
          <w:spacing w:val="-8"/>
        </w:rPr>
        <w:t>.</w:t>
      </w:r>
    </w:p>
    <w:p w14:paraId="5BBB0443" w14:textId="34B4AD9B" w:rsidR="00CB3A50" w:rsidRPr="00E03C94" w:rsidRDefault="000B694E" w:rsidP="00E03C94">
      <w:pPr>
        <w:pStyle w:val="BodyText"/>
        <w:spacing w:after="240"/>
        <w:ind w:left="0"/>
        <w:rPr>
          <w:noProof/>
          <w:spacing w:val="-8"/>
        </w:rPr>
      </w:pPr>
      <w:r>
        <w:rPr>
          <w:b/>
          <w:bCs/>
          <w:i/>
          <w:iCs/>
          <w:noProof/>
          <w:spacing w:val="-8"/>
        </w:rPr>
        <w:t xml:space="preserve">Adjustment </w:t>
      </w:r>
      <w:r w:rsidRPr="00807A95">
        <w:rPr>
          <w:b/>
          <w:bCs/>
          <w:i/>
          <w:iCs/>
          <w:noProof/>
          <w:spacing w:val="-8"/>
        </w:rPr>
        <w:t>costs</w:t>
      </w:r>
      <w:r>
        <w:rPr>
          <w:b/>
          <w:bCs/>
          <w:i/>
          <w:iCs/>
          <w:noProof/>
          <w:spacing w:val="-8"/>
        </w:rPr>
        <w:t xml:space="preserve"> savings</w:t>
      </w:r>
      <w:r w:rsidRPr="00807A95">
        <w:rPr>
          <w:b/>
          <w:bCs/>
          <w:i/>
          <w:iCs/>
          <w:noProof/>
          <w:spacing w:val="-8"/>
        </w:rPr>
        <w:t xml:space="preserve"> for </w:t>
      </w:r>
      <w:r>
        <w:rPr>
          <w:b/>
          <w:bCs/>
          <w:i/>
          <w:iCs/>
          <w:noProof/>
          <w:spacing w:val="-8"/>
        </w:rPr>
        <w:t>transport operators</w:t>
      </w:r>
      <w:r w:rsidRPr="00807A95">
        <w:rPr>
          <w:b/>
          <w:bCs/>
          <w:i/>
          <w:iCs/>
          <w:noProof/>
          <w:spacing w:val="-8"/>
        </w:rPr>
        <w:t>.</w:t>
      </w:r>
      <w:r w:rsidR="009224CF">
        <w:rPr>
          <w:b/>
          <w:bCs/>
          <w:i/>
          <w:iCs/>
          <w:noProof/>
          <w:spacing w:val="-8"/>
        </w:rPr>
        <w:t xml:space="preserve"> </w:t>
      </w:r>
      <w:r w:rsidR="000A4DA0">
        <w:rPr>
          <w:noProof/>
          <w:spacing w:val="-8"/>
        </w:rPr>
        <w:t>In</w:t>
      </w:r>
      <w:r w:rsidR="009224CF" w:rsidRPr="00AF0FB2">
        <w:rPr>
          <w:noProof/>
          <w:spacing w:val="-8"/>
        </w:rPr>
        <w:t xml:space="preserve"> all </w:t>
      </w:r>
      <w:r w:rsidR="000A4DA0">
        <w:rPr>
          <w:noProof/>
          <w:spacing w:val="-8"/>
        </w:rPr>
        <w:t>policy option</w:t>
      </w:r>
      <w:r w:rsidR="009224CF" w:rsidRPr="00AF0FB2">
        <w:rPr>
          <w:noProof/>
          <w:spacing w:val="-8"/>
        </w:rPr>
        <w:t xml:space="preserve">s, the introduction of commercial agreement rules for indispensable MDMS platforms </w:t>
      </w:r>
      <w:r w:rsidR="00AA695D">
        <w:rPr>
          <w:noProof/>
          <w:spacing w:val="-8"/>
        </w:rPr>
        <w:t xml:space="preserve">(PM11) </w:t>
      </w:r>
      <w:r w:rsidR="009224CF" w:rsidRPr="00AF0FB2">
        <w:rPr>
          <w:noProof/>
          <w:spacing w:val="-8"/>
        </w:rPr>
        <w:t>and indispensable RUs (</w:t>
      </w:r>
      <w:r w:rsidR="00AA08D6">
        <w:rPr>
          <w:noProof/>
          <w:spacing w:val="-8"/>
        </w:rPr>
        <w:t>PM</w:t>
      </w:r>
      <w:r w:rsidR="009224CF" w:rsidRPr="00AF0FB2">
        <w:rPr>
          <w:noProof/>
          <w:spacing w:val="-8"/>
        </w:rPr>
        <w:t>12) with third parties is</w:t>
      </w:r>
      <w:r w:rsidR="009224CF" w:rsidRPr="00AF0FB2" w:rsidDel="00983A71">
        <w:rPr>
          <w:noProof/>
          <w:spacing w:val="-8"/>
        </w:rPr>
        <w:t xml:space="preserve"> </w:t>
      </w:r>
      <w:r w:rsidR="00983A71">
        <w:rPr>
          <w:noProof/>
          <w:spacing w:val="-8"/>
        </w:rPr>
        <w:t>expected</w:t>
      </w:r>
      <w:r w:rsidR="00983A71" w:rsidRPr="00AF0FB2">
        <w:rPr>
          <w:noProof/>
          <w:spacing w:val="-8"/>
        </w:rPr>
        <w:t xml:space="preserve"> </w:t>
      </w:r>
      <w:r w:rsidR="009224CF" w:rsidRPr="00AF0FB2">
        <w:rPr>
          <w:noProof/>
          <w:spacing w:val="-8"/>
        </w:rPr>
        <w:t>to result in</w:t>
      </w:r>
      <w:r w:rsidR="009224CF" w:rsidRPr="00AF0FB2" w:rsidDel="0093035B">
        <w:rPr>
          <w:noProof/>
          <w:spacing w:val="-8"/>
        </w:rPr>
        <w:t xml:space="preserve"> </w:t>
      </w:r>
      <w:r w:rsidR="009224CF" w:rsidRPr="00AF0FB2">
        <w:rPr>
          <w:noProof/>
          <w:spacing w:val="-8"/>
        </w:rPr>
        <w:t xml:space="preserve">cost </w:t>
      </w:r>
      <w:r w:rsidR="009224CF" w:rsidRPr="00EC16B9">
        <w:rPr>
          <w:noProof/>
          <w:spacing w:val="-8"/>
        </w:rPr>
        <w:t xml:space="preserve">savings for </w:t>
      </w:r>
      <w:r w:rsidR="0093035B">
        <w:rPr>
          <w:noProof/>
          <w:spacing w:val="-8"/>
        </w:rPr>
        <w:t xml:space="preserve">transport </w:t>
      </w:r>
      <w:r w:rsidR="006D6761" w:rsidRPr="00EC16B9">
        <w:rPr>
          <w:noProof/>
          <w:spacing w:val="-8"/>
        </w:rPr>
        <w:t>operators</w:t>
      </w:r>
      <w:r w:rsidR="00D40406" w:rsidRPr="00EC16B9">
        <w:rPr>
          <w:noProof/>
          <w:spacing w:val="-8"/>
        </w:rPr>
        <w:t xml:space="preserve"> (see </w:t>
      </w:r>
      <w:r w:rsidR="00D40406" w:rsidRPr="00EC16B9">
        <w:rPr>
          <w:noProof/>
          <w:spacing w:val="-8"/>
        </w:rPr>
        <w:fldChar w:fldCharType="begin"/>
      </w:r>
      <w:r w:rsidR="00D40406" w:rsidRPr="00EC16B9">
        <w:rPr>
          <w:noProof/>
          <w:spacing w:val="-8"/>
        </w:rPr>
        <w:instrText xml:space="preserve"> REF _Ref222836614 \h </w:instrText>
      </w:r>
      <w:r w:rsidR="00EC16B9" w:rsidRPr="00EC16B9">
        <w:rPr>
          <w:noProof/>
          <w:spacing w:val="-8"/>
        </w:rPr>
        <w:instrText xml:space="preserve"> \* MERGEFORMAT </w:instrText>
      </w:r>
      <w:r w:rsidR="00D40406" w:rsidRPr="00EC16B9">
        <w:rPr>
          <w:noProof/>
          <w:spacing w:val="-8"/>
        </w:rPr>
      </w:r>
      <w:r w:rsidR="00D40406" w:rsidRPr="00EC16B9">
        <w:rPr>
          <w:noProof/>
          <w:spacing w:val="-8"/>
        </w:rPr>
        <w:fldChar w:fldCharType="separate"/>
      </w:r>
      <w:r>
        <w:rPr>
          <w:noProof/>
        </w:rPr>
        <w:t>Table 7</w:t>
      </w:r>
      <w:r w:rsidR="00D40406" w:rsidRPr="00EC16B9">
        <w:rPr>
          <w:noProof/>
          <w:spacing w:val="-8"/>
        </w:rPr>
        <w:fldChar w:fldCharType="end"/>
      </w:r>
      <w:r w:rsidR="002A66B3" w:rsidRPr="00EC16B9">
        <w:rPr>
          <w:noProof/>
          <w:spacing w:val="-8"/>
        </w:rPr>
        <w:t>)</w:t>
      </w:r>
      <w:r w:rsidR="00AC5CFF" w:rsidRPr="00EC16B9">
        <w:rPr>
          <w:noProof/>
          <w:spacing w:val="-8"/>
        </w:rPr>
        <w:t xml:space="preserve"> as these </w:t>
      </w:r>
      <w:r w:rsidR="009224CF" w:rsidRPr="00EC16B9">
        <w:rPr>
          <w:noProof/>
          <w:spacing w:val="-8"/>
        </w:rPr>
        <w:t>measures are expected to streamline negotiation processes</w:t>
      </w:r>
      <w:r w:rsidR="00463411">
        <w:rPr>
          <w:rStyle w:val="FootnoteReference"/>
          <w:noProof/>
          <w:spacing w:val="-8"/>
        </w:rPr>
        <w:footnoteReference w:id="189"/>
      </w:r>
      <w:r w:rsidR="009224CF" w:rsidRPr="00EC16B9">
        <w:rPr>
          <w:noProof/>
          <w:spacing w:val="-8"/>
        </w:rPr>
        <w:t>.</w:t>
      </w:r>
      <w:r w:rsidR="00EF58B8" w:rsidRPr="00EC16B9">
        <w:rPr>
          <w:rFonts w:ascii="Segoe UI" w:hAnsi="Segoe UI" w:cs="Segoe UI"/>
          <w:noProof/>
          <w:color w:val="0000FF"/>
        </w:rPr>
        <w:t xml:space="preserve"> </w:t>
      </w:r>
      <w:r w:rsidR="00EF58B8" w:rsidRPr="00EC16B9">
        <w:rPr>
          <w:noProof/>
          <w:spacing w:val="-8"/>
        </w:rPr>
        <w:t xml:space="preserve">Although </w:t>
      </w:r>
      <w:r w:rsidR="004631F6" w:rsidRPr="00EC16B9">
        <w:rPr>
          <w:noProof/>
          <w:spacing w:val="-8"/>
        </w:rPr>
        <w:t>PM11 and PM12</w:t>
      </w:r>
      <w:r w:rsidR="00EF58B8" w:rsidRPr="00EC16B9">
        <w:rPr>
          <w:noProof/>
          <w:spacing w:val="-8"/>
        </w:rPr>
        <w:t xml:space="preserve"> are </w:t>
      </w:r>
      <w:r w:rsidR="008451A8">
        <w:rPr>
          <w:noProof/>
          <w:spacing w:val="-8"/>
        </w:rPr>
        <w:t xml:space="preserve">included </w:t>
      </w:r>
      <w:r w:rsidR="00EF58B8" w:rsidRPr="00EC16B9">
        <w:rPr>
          <w:noProof/>
          <w:spacing w:val="-8"/>
        </w:rPr>
        <w:t xml:space="preserve">in all </w:t>
      </w:r>
      <w:r w:rsidR="00DD1F0C" w:rsidRPr="00EC16B9">
        <w:rPr>
          <w:noProof/>
          <w:spacing w:val="-8"/>
        </w:rPr>
        <w:t>policy option</w:t>
      </w:r>
      <w:r w:rsidR="00EF58B8" w:rsidRPr="00EC16B9">
        <w:rPr>
          <w:noProof/>
          <w:spacing w:val="-8"/>
        </w:rPr>
        <w:t xml:space="preserve">s, the cost savings </w:t>
      </w:r>
      <w:r w:rsidR="00BC48F3" w:rsidRPr="00EC16B9">
        <w:rPr>
          <w:noProof/>
          <w:spacing w:val="-8"/>
        </w:rPr>
        <w:t>var</w:t>
      </w:r>
      <w:r w:rsidR="00DD1F0C" w:rsidRPr="00EC16B9">
        <w:rPr>
          <w:noProof/>
          <w:spacing w:val="-8"/>
        </w:rPr>
        <w:t>y</w:t>
      </w:r>
      <w:r w:rsidR="00EF58B8" w:rsidRPr="00EC16B9">
        <w:rPr>
          <w:noProof/>
          <w:spacing w:val="-8"/>
        </w:rPr>
        <w:t xml:space="preserve"> significantly between </w:t>
      </w:r>
      <w:r w:rsidR="00EA2E3B" w:rsidRPr="00EC16B9">
        <w:rPr>
          <w:noProof/>
          <w:spacing w:val="-8"/>
        </w:rPr>
        <w:t>options</w:t>
      </w:r>
      <w:r w:rsidR="00EF58B8" w:rsidRPr="00EC16B9">
        <w:rPr>
          <w:noProof/>
          <w:spacing w:val="-8"/>
        </w:rPr>
        <w:t xml:space="preserve"> </w:t>
      </w:r>
      <w:r w:rsidR="00D923E2" w:rsidRPr="00EC16B9">
        <w:rPr>
          <w:noProof/>
          <w:spacing w:val="-8"/>
        </w:rPr>
        <w:t>since they</w:t>
      </w:r>
      <w:r w:rsidR="00EF58B8" w:rsidRPr="00EC16B9">
        <w:rPr>
          <w:noProof/>
          <w:spacing w:val="-8"/>
        </w:rPr>
        <w:t xml:space="preserve"> are calculated based on the projected number of </w:t>
      </w:r>
      <w:r w:rsidR="00C52C0D" w:rsidRPr="00EC16B9">
        <w:rPr>
          <w:noProof/>
          <w:spacing w:val="-8"/>
        </w:rPr>
        <w:t xml:space="preserve">new </w:t>
      </w:r>
      <w:r w:rsidR="00ED154F">
        <w:rPr>
          <w:noProof/>
          <w:spacing w:val="-8"/>
        </w:rPr>
        <w:t xml:space="preserve">and renegotiated </w:t>
      </w:r>
      <w:r w:rsidR="00EF58B8" w:rsidRPr="00EC16B9">
        <w:rPr>
          <w:noProof/>
          <w:spacing w:val="-8"/>
        </w:rPr>
        <w:t>commercial agreements</w:t>
      </w:r>
      <w:r w:rsidR="00CA3D47">
        <w:rPr>
          <w:noProof/>
          <w:spacing w:val="-8"/>
        </w:rPr>
        <w:t xml:space="preserve"> </w:t>
      </w:r>
      <w:r w:rsidR="00C52C0D" w:rsidRPr="00EC16B9">
        <w:rPr>
          <w:noProof/>
          <w:spacing w:val="-8"/>
        </w:rPr>
        <w:t>compared to the baseline</w:t>
      </w:r>
      <w:r w:rsidR="00EF58B8" w:rsidRPr="00EC16B9">
        <w:rPr>
          <w:noProof/>
          <w:spacing w:val="-8"/>
        </w:rPr>
        <w:t xml:space="preserve">. </w:t>
      </w:r>
      <w:r w:rsidR="006F55FF">
        <w:rPr>
          <w:noProof/>
          <w:spacing w:val="-8"/>
        </w:rPr>
        <w:t xml:space="preserve">As explained in section 6.1.1, the number of new and renegotiated commercial agreements in each PO depends in turn on other policy measures included in each option. </w:t>
      </w:r>
      <w:r w:rsidR="00EF58B8" w:rsidRPr="00EC16B9">
        <w:rPr>
          <w:noProof/>
          <w:spacing w:val="-8"/>
        </w:rPr>
        <w:t>For PO1 cost savings are estimated at</w:t>
      </w:r>
      <w:r w:rsidR="00EF58B8" w:rsidRPr="00EC16B9" w:rsidDel="00F56A2F">
        <w:rPr>
          <w:noProof/>
          <w:spacing w:val="-8"/>
        </w:rPr>
        <w:t xml:space="preserve"> </w:t>
      </w:r>
      <w:r w:rsidR="00EF58B8" w:rsidRPr="00EC16B9">
        <w:rPr>
          <w:noProof/>
          <w:spacing w:val="-8"/>
        </w:rPr>
        <w:t>EUR</w:t>
      </w:r>
      <w:r w:rsidR="00EF58B8" w:rsidRPr="00EF58B8">
        <w:rPr>
          <w:noProof/>
          <w:spacing w:val="-8"/>
        </w:rPr>
        <w:t xml:space="preserve"> 13 million</w:t>
      </w:r>
      <w:r w:rsidR="00F56A2F">
        <w:rPr>
          <w:noProof/>
          <w:spacing w:val="-8"/>
        </w:rPr>
        <w:t xml:space="preserve"> (EUR 12 million due to PM11 and EUR 1 million due to PM12), expressed as present value over 2028-2050</w:t>
      </w:r>
      <w:r w:rsidR="00EF58B8" w:rsidRPr="00EF58B8">
        <w:rPr>
          <w:noProof/>
          <w:spacing w:val="-8"/>
        </w:rPr>
        <w:t xml:space="preserve"> relative to the baseline, as this PO does not introduce </w:t>
      </w:r>
      <w:r w:rsidR="006A210B">
        <w:rPr>
          <w:noProof/>
          <w:spacing w:val="-8"/>
        </w:rPr>
        <w:t xml:space="preserve">strong </w:t>
      </w:r>
      <w:r w:rsidR="00EF58B8" w:rsidRPr="00EF58B8">
        <w:rPr>
          <w:noProof/>
          <w:spacing w:val="-8"/>
        </w:rPr>
        <w:t xml:space="preserve">incentives for the conclusion of </w:t>
      </w:r>
      <w:r w:rsidR="00C43B36">
        <w:rPr>
          <w:noProof/>
          <w:spacing w:val="-8"/>
        </w:rPr>
        <w:t>new</w:t>
      </w:r>
      <w:r w:rsidR="00EF58B8" w:rsidRPr="00EF58B8">
        <w:rPr>
          <w:noProof/>
          <w:spacing w:val="-8"/>
        </w:rPr>
        <w:t xml:space="preserve"> agreements</w:t>
      </w:r>
      <w:r w:rsidR="00C43B36">
        <w:rPr>
          <w:noProof/>
          <w:spacing w:val="-8"/>
        </w:rPr>
        <w:t xml:space="preserve"> or for </w:t>
      </w:r>
      <w:r w:rsidR="00EF58B8" w:rsidRPr="00EF58B8">
        <w:rPr>
          <w:noProof/>
          <w:spacing w:val="-8"/>
        </w:rPr>
        <w:t xml:space="preserve">the </w:t>
      </w:r>
      <w:r w:rsidR="00C43B36">
        <w:rPr>
          <w:noProof/>
          <w:spacing w:val="-8"/>
        </w:rPr>
        <w:t>renegotiation of agreements</w:t>
      </w:r>
      <w:r w:rsidR="00EF58B8" w:rsidRPr="00EF58B8">
        <w:rPr>
          <w:noProof/>
          <w:spacing w:val="-8"/>
        </w:rPr>
        <w:t xml:space="preserve">. Conversely, PO2 introduces a sharing obligation (PM13), significantly increasing the number of commercial agreements between indispensable RUs and MDMS platforms, resulting in </w:t>
      </w:r>
      <w:r w:rsidR="00190826">
        <w:rPr>
          <w:noProof/>
          <w:spacing w:val="-8"/>
        </w:rPr>
        <w:t xml:space="preserve">the highest </w:t>
      </w:r>
      <w:r w:rsidR="00EF58B8" w:rsidRPr="00EF58B8">
        <w:rPr>
          <w:noProof/>
          <w:spacing w:val="-8"/>
        </w:rPr>
        <w:t xml:space="preserve">cost savings for </w:t>
      </w:r>
      <w:r w:rsidR="007F78C8">
        <w:rPr>
          <w:noProof/>
          <w:spacing w:val="-8"/>
        </w:rPr>
        <w:t>transport operators</w:t>
      </w:r>
      <w:r w:rsidR="00EF58B8" w:rsidRPr="00EF58B8">
        <w:rPr>
          <w:noProof/>
          <w:spacing w:val="-8"/>
        </w:rPr>
        <w:t xml:space="preserve">, projected at EUR </w:t>
      </w:r>
      <w:r w:rsidR="00EA448B">
        <w:rPr>
          <w:noProof/>
          <w:spacing w:val="-8"/>
        </w:rPr>
        <w:t>149</w:t>
      </w:r>
      <w:r w:rsidR="00077B70" w:rsidRPr="00EF58B8">
        <w:rPr>
          <w:noProof/>
          <w:spacing w:val="-8"/>
        </w:rPr>
        <w:t xml:space="preserve"> </w:t>
      </w:r>
      <w:r w:rsidR="00EF58B8" w:rsidRPr="00EF58B8">
        <w:rPr>
          <w:noProof/>
          <w:spacing w:val="-8"/>
        </w:rPr>
        <w:t>million</w:t>
      </w:r>
      <w:r w:rsidR="004478E5">
        <w:rPr>
          <w:noProof/>
          <w:spacing w:val="-8"/>
        </w:rPr>
        <w:t xml:space="preserve"> (EUR </w:t>
      </w:r>
      <w:r w:rsidR="00EA448B" w:rsidRPr="00EA448B">
        <w:rPr>
          <w:noProof/>
          <w:spacing w:val="-8"/>
        </w:rPr>
        <w:t>136.1</w:t>
      </w:r>
      <w:r w:rsidR="004478E5">
        <w:rPr>
          <w:noProof/>
          <w:spacing w:val="-8"/>
        </w:rPr>
        <w:t xml:space="preserve"> million due to PM11 and EUR </w:t>
      </w:r>
      <w:r w:rsidR="000E1EC0" w:rsidRPr="000E1EC0">
        <w:rPr>
          <w:noProof/>
          <w:spacing w:val="-8"/>
        </w:rPr>
        <w:t>12.9</w:t>
      </w:r>
      <w:r w:rsidR="004478E5">
        <w:rPr>
          <w:noProof/>
          <w:spacing w:val="-8"/>
        </w:rPr>
        <w:t xml:space="preserve"> million due to PM12)</w:t>
      </w:r>
      <w:r w:rsidR="00EF58B8" w:rsidRPr="00EF58B8">
        <w:rPr>
          <w:noProof/>
          <w:spacing w:val="-8"/>
        </w:rPr>
        <w:t xml:space="preserve"> </w:t>
      </w:r>
      <w:r w:rsidR="005E5843">
        <w:rPr>
          <w:noProof/>
          <w:spacing w:val="-8"/>
        </w:rPr>
        <w:t xml:space="preserve">expressed as present value over 2028-2050 </w:t>
      </w:r>
      <w:r w:rsidR="00EF58B8" w:rsidRPr="00EF58B8">
        <w:rPr>
          <w:noProof/>
          <w:spacing w:val="-8"/>
        </w:rPr>
        <w:t xml:space="preserve">relative to the baseline. PO3 </w:t>
      </w:r>
      <w:r w:rsidR="00FB086A">
        <w:rPr>
          <w:noProof/>
          <w:spacing w:val="-8"/>
        </w:rPr>
        <w:t>additionally</w:t>
      </w:r>
      <w:r w:rsidR="000E1EC0">
        <w:rPr>
          <w:noProof/>
          <w:spacing w:val="-8"/>
        </w:rPr>
        <w:t xml:space="preserve"> </w:t>
      </w:r>
      <w:r w:rsidR="00EF58B8" w:rsidRPr="00EF58B8">
        <w:rPr>
          <w:noProof/>
          <w:spacing w:val="-8"/>
        </w:rPr>
        <w:t xml:space="preserve">incorporates a hosting obligation (PM14) </w:t>
      </w:r>
      <w:r w:rsidR="00E939C0">
        <w:rPr>
          <w:noProof/>
          <w:spacing w:val="-8"/>
        </w:rPr>
        <w:t xml:space="preserve">leading </w:t>
      </w:r>
      <w:r w:rsidR="00D910A6">
        <w:rPr>
          <w:noProof/>
          <w:spacing w:val="-8"/>
        </w:rPr>
        <w:t xml:space="preserve">however </w:t>
      </w:r>
      <w:r w:rsidR="00E939C0">
        <w:rPr>
          <w:noProof/>
          <w:spacing w:val="-8"/>
        </w:rPr>
        <w:t>to lower</w:t>
      </w:r>
      <w:r w:rsidR="00EF58B8" w:rsidRPr="00EF58B8">
        <w:rPr>
          <w:noProof/>
          <w:spacing w:val="-8"/>
        </w:rPr>
        <w:t xml:space="preserve"> adjustment cost savings </w:t>
      </w:r>
      <w:r w:rsidR="00FF5421">
        <w:rPr>
          <w:noProof/>
          <w:spacing w:val="-8"/>
        </w:rPr>
        <w:t>of</w:t>
      </w:r>
      <w:r w:rsidR="00FF5421" w:rsidRPr="00EF58B8">
        <w:rPr>
          <w:noProof/>
          <w:spacing w:val="-8"/>
        </w:rPr>
        <w:t xml:space="preserve"> </w:t>
      </w:r>
      <w:r w:rsidR="00EF58B8" w:rsidRPr="00EF58B8">
        <w:rPr>
          <w:noProof/>
          <w:spacing w:val="-8"/>
        </w:rPr>
        <w:t xml:space="preserve">EUR </w:t>
      </w:r>
      <w:r w:rsidR="00CA5F96" w:rsidRPr="00CA5F96">
        <w:rPr>
          <w:noProof/>
          <w:spacing w:val="-8"/>
        </w:rPr>
        <w:t>134</w:t>
      </w:r>
      <w:r w:rsidR="00EF58B8" w:rsidRPr="00EF58B8">
        <w:rPr>
          <w:noProof/>
          <w:spacing w:val="-8"/>
        </w:rPr>
        <w:t xml:space="preserve"> million </w:t>
      </w:r>
      <w:r w:rsidR="006E3F90">
        <w:rPr>
          <w:noProof/>
          <w:spacing w:val="-8"/>
        </w:rPr>
        <w:t xml:space="preserve">(EUR </w:t>
      </w:r>
      <w:r w:rsidR="008F78AA" w:rsidRPr="008F78AA">
        <w:rPr>
          <w:noProof/>
          <w:spacing w:val="-8"/>
        </w:rPr>
        <w:t>122.</w:t>
      </w:r>
      <w:r w:rsidR="006E3F90" w:rsidRPr="00F722EE" w:rsidDel="008F78AA">
        <w:rPr>
          <w:noProof/>
          <w:spacing w:val="-8"/>
        </w:rPr>
        <w:t>3</w:t>
      </w:r>
      <w:r w:rsidR="006E3F90">
        <w:rPr>
          <w:noProof/>
          <w:spacing w:val="-8"/>
        </w:rPr>
        <w:t xml:space="preserve"> million due to PM11 and EUR </w:t>
      </w:r>
      <w:r w:rsidR="008F78AA" w:rsidRPr="008F78AA">
        <w:rPr>
          <w:noProof/>
          <w:spacing w:val="-8"/>
        </w:rPr>
        <w:t>11.7</w:t>
      </w:r>
      <w:r w:rsidR="006E3F90">
        <w:rPr>
          <w:noProof/>
          <w:spacing w:val="-8"/>
        </w:rPr>
        <w:t xml:space="preserve"> million due to PM12)</w:t>
      </w:r>
      <w:r w:rsidR="00EF58B8" w:rsidRPr="00EF58B8">
        <w:rPr>
          <w:noProof/>
          <w:spacing w:val="-8"/>
        </w:rPr>
        <w:t xml:space="preserve"> relative to the baseline.</w:t>
      </w:r>
      <w:r w:rsidR="00ED50DC">
        <w:rPr>
          <w:noProof/>
          <w:spacing w:val="-8"/>
        </w:rPr>
        <w:t xml:space="preserve"> This is because of the lower number of new and renegotiated agreements </w:t>
      </w:r>
      <w:r w:rsidR="00C81246">
        <w:rPr>
          <w:noProof/>
          <w:spacing w:val="-8"/>
        </w:rPr>
        <w:t xml:space="preserve">projected </w:t>
      </w:r>
      <w:r w:rsidR="00ED50DC">
        <w:rPr>
          <w:noProof/>
          <w:spacing w:val="-8"/>
        </w:rPr>
        <w:t>in PO3 relative to PO2.</w:t>
      </w:r>
      <w:r w:rsidR="00EF58B8" w:rsidRPr="00EF58B8">
        <w:rPr>
          <w:noProof/>
          <w:spacing w:val="-8"/>
        </w:rPr>
        <w:t xml:space="preserve"> </w:t>
      </w:r>
      <w:r w:rsidR="00E03C94" w:rsidRPr="00E03C94">
        <w:rPr>
          <w:noProof/>
          <w:spacing w:val="-8"/>
        </w:rPr>
        <w:t xml:space="preserve">Finally, while the unbundling requirement (PM15) in PO4 does not mandate commercial agreements, the neutrality it fosters on indispensable </w:t>
      </w:r>
      <w:r w:rsidR="00B37369">
        <w:rPr>
          <w:noProof/>
          <w:spacing w:val="-8"/>
        </w:rPr>
        <w:t>RU</w:t>
      </w:r>
      <w:r w:rsidR="00E03C94" w:rsidRPr="00E03C94">
        <w:rPr>
          <w:noProof/>
          <w:spacing w:val="-8"/>
        </w:rPr>
        <w:t xml:space="preserve"> platforms facilitate</w:t>
      </w:r>
      <w:r w:rsidR="002B6F58">
        <w:rPr>
          <w:noProof/>
          <w:spacing w:val="-8"/>
        </w:rPr>
        <w:t>s</w:t>
      </w:r>
      <w:r w:rsidR="00E03C94" w:rsidRPr="00E03C94" w:rsidDel="00631DDD">
        <w:rPr>
          <w:noProof/>
          <w:spacing w:val="-8"/>
        </w:rPr>
        <w:t xml:space="preserve"> </w:t>
      </w:r>
      <w:r w:rsidR="00631DDD">
        <w:rPr>
          <w:noProof/>
          <w:spacing w:val="-8"/>
        </w:rPr>
        <w:t>a higher number of</w:t>
      </w:r>
      <w:r w:rsidR="00631DDD" w:rsidRPr="00E03C94">
        <w:rPr>
          <w:noProof/>
          <w:spacing w:val="-8"/>
        </w:rPr>
        <w:t xml:space="preserve"> </w:t>
      </w:r>
      <w:r w:rsidR="00E03C94" w:rsidRPr="00E03C94">
        <w:rPr>
          <w:noProof/>
          <w:spacing w:val="-8"/>
        </w:rPr>
        <w:t>agreements</w:t>
      </w:r>
      <w:r w:rsidR="002B6F58">
        <w:rPr>
          <w:noProof/>
          <w:spacing w:val="-8"/>
        </w:rPr>
        <w:t xml:space="preserve"> relative </w:t>
      </w:r>
      <w:r w:rsidR="00631DDD">
        <w:rPr>
          <w:noProof/>
          <w:spacing w:val="-8"/>
        </w:rPr>
        <w:t>PO3</w:t>
      </w:r>
      <w:r w:rsidR="00E03C94" w:rsidRPr="00E03C94">
        <w:rPr>
          <w:noProof/>
          <w:spacing w:val="-8"/>
        </w:rPr>
        <w:t xml:space="preserve">, with cost savings projected to reach EUR </w:t>
      </w:r>
      <w:r w:rsidR="00476E86" w:rsidRPr="00476E86">
        <w:rPr>
          <w:noProof/>
          <w:spacing w:val="-8"/>
        </w:rPr>
        <w:t>142.7</w:t>
      </w:r>
      <w:r w:rsidR="00C82952">
        <w:rPr>
          <w:noProof/>
          <w:spacing w:val="-8"/>
        </w:rPr>
        <w:t xml:space="preserve"> </w:t>
      </w:r>
      <w:r w:rsidR="00C82952" w:rsidRPr="00E03C94">
        <w:rPr>
          <w:noProof/>
          <w:spacing w:val="-8"/>
        </w:rPr>
        <w:t>million</w:t>
      </w:r>
      <w:r w:rsidR="00E03C94" w:rsidRPr="00E03C94">
        <w:rPr>
          <w:noProof/>
          <w:spacing w:val="-8"/>
        </w:rPr>
        <w:t xml:space="preserve"> </w:t>
      </w:r>
      <w:r w:rsidR="003D1475">
        <w:rPr>
          <w:noProof/>
          <w:spacing w:val="-8"/>
        </w:rPr>
        <w:t xml:space="preserve">(EUR </w:t>
      </w:r>
      <w:r w:rsidR="00476E86" w:rsidRPr="00476E86">
        <w:rPr>
          <w:noProof/>
          <w:spacing w:val="-8"/>
        </w:rPr>
        <w:t>130.4</w:t>
      </w:r>
      <w:r w:rsidR="003D1475">
        <w:rPr>
          <w:noProof/>
          <w:spacing w:val="-8"/>
        </w:rPr>
        <w:t xml:space="preserve"> million due to PM11 and EUR </w:t>
      </w:r>
      <w:r w:rsidR="00855F97" w:rsidRPr="00855F97">
        <w:rPr>
          <w:noProof/>
          <w:spacing w:val="-8"/>
        </w:rPr>
        <w:t>12.3</w:t>
      </w:r>
      <w:r w:rsidR="003D1475">
        <w:rPr>
          <w:noProof/>
          <w:spacing w:val="-8"/>
        </w:rPr>
        <w:t xml:space="preserve"> million due to PM12)</w:t>
      </w:r>
      <w:r w:rsidR="007E4DE8">
        <w:rPr>
          <w:noProof/>
          <w:spacing w:val="-8"/>
        </w:rPr>
        <w:t xml:space="preserve"> </w:t>
      </w:r>
      <w:r w:rsidR="00E03C94" w:rsidRPr="00E03C94">
        <w:rPr>
          <w:noProof/>
          <w:spacing w:val="-8"/>
        </w:rPr>
        <w:t>relative to the baseline.</w:t>
      </w:r>
    </w:p>
    <w:p w14:paraId="2FA819CB" w14:textId="56FF1C8A" w:rsidR="000B694E" w:rsidRPr="00117904" w:rsidRDefault="000B694E" w:rsidP="00D82848">
      <w:pPr>
        <w:pStyle w:val="BodyText"/>
        <w:spacing w:after="240"/>
        <w:ind w:left="0"/>
        <w:rPr>
          <w:b/>
          <w:i/>
          <w:noProof/>
          <w:spacing w:val="-8"/>
        </w:rPr>
      </w:pPr>
      <w:r>
        <w:rPr>
          <w:b/>
          <w:bCs/>
          <w:i/>
          <w:iCs/>
          <w:noProof/>
          <w:spacing w:val="-8"/>
        </w:rPr>
        <w:t>Net benefits for transport operators</w:t>
      </w:r>
      <w:r w:rsidRPr="00807A95">
        <w:rPr>
          <w:b/>
          <w:bCs/>
          <w:i/>
          <w:iCs/>
          <w:noProof/>
          <w:spacing w:val="-8"/>
        </w:rPr>
        <w:t>.</w:t>
      </w:r>
      <w:r w:rsidR="004B1F74" w:rsidRPr="00117904">
        <w:rPr>
          <w:noProof/>
          <w:spacing w:val="-8"/>
        </w:rPr>
        <w:t xml:space="preserve"> </w:t>
      </w:r>
      <w:r w:rsidR="00312A81" w:rsidRPr="00117904">
        <w:rPr>
          <w:noProof/>
          <w:spacing w:val="-8"/>
        </w:rPr>
        <w:t>A</w:t>
      </w:r>
      <w:r w:rsidR="00910DFB" w:rsidRPr="00117904">
        <w:rPr>
          <w:noProof/>
          <w:spacing w:val="-8"/>
        </w:rPr>
        <w:t>ll policy options</w:t>
      </w:r>
      <w:r w:rsidR="004B1F74" w:rsidRPr="00117904">
        <w:rPr>
          <w:noProof/>
          <w:spacing w:val="-8"/>
        </w:rPr>
        <w:t xml:space="preserve"> are expected to </w:t>
      </w:r>
      <w:r w:rsidR="00075A1D" w:rsidRPr="00117904">
        <w:rPr>
          <w:noProof/>
          <w:spacing w:val="-8"/>
        </w:rPr>
        <w:t xml:space="preserve">result in </w:t>
      </w:r>
      <w:r w:rsidR="004B1F74" w:rsidRPr="00117904">
        <w:rPr>
          <w:noProof/>
          <w:spacing w:val="-8"/>
        </w:rPr>
        <w:t xml:space="preserve">net </w:t>
      </w:r>
      <w:r w:rsidR="00010652" w:rsidRPr="00117904">
        <w:rPr>
          <w:noProof/>
          <w:spacing w:val="-8"/>
        </w:rPr>
        <w:t>benefits</w:t>
      </w:r>
      <w:r w:rsidR="00075A1D" w:rsidRPr="00117904">
        <w:rPr>
          <w:noProof/>
          <w:spacing w:val="-8"/>
        </w:rPr>
        <w:t xml:space="preserve"> for transport operators</w:t>
      </w:r>
      <w:r w:rsidR="004B1F74" w:rsidRPr="00117904">
        <w:rPr>
          <w:noProof/>
          <w:spacing w:val="-8"/>
        </w:rPr>
        <w:t xml:space="preserve">, although </w:t>
      </w:r>
      <w:r w:rsidR="00132EC2">
        <w:rPr>
          <w:noProof/>
          <w:spacing w:val="-8"/>
        </w:rPr>
        <w:t>to</w:t>
      </w:r>
      <w:r w:rsidR="004B1F74" w:rsidRPr="00117904">
        <w:rPr>
          <w:noProof/>
          <w:spacing w:val="-8"/>
        </w:rPr>
        <w:t xml:space="preserve"> varying degrees</w:t>
      </w:r>
      <w:r w:rsidR="00D40406" w:rsidRPr="00117904">
        <w:rPr>
          <w:noProof/>
          <w:spacing w:val="-8"/>
        </w:rPr>
        <w:t xml:space="preserve"> (see </w:t>
      </w:r>
      <w:r w:rsidR="00D40406" w:rsidRPr="00117904">
        <w:rPr>
          <w:noProof/>
          <w:spacing w:val="-8"/>
        </w:rPr>
        <w:fldChar w:fldCharType="begin"/>
      </w:r>
      <w:r w:rsidR="00D40406" w:rsidRPr="00117904">
        <w:rPr>
          <w:noProof/>
          <w:spacing w:val="-8"/>
        </w:rPr>
        <w:instrText xml:space="preserve"> REF _Ref222863018 \h </w:instrText>
      </w:r>
      <w:r w:rsidR="00EC16B9" w:rsidRPr="00117904">
        <w:rPr>
          <w:noProof/>
          <w:spacing w:val="-8"/>
        </w:rPr>
        <w:instrText xml:space="preserve"> \* MERGEFORMAT </w:instrText>
      </w:r>
      <w:r w:rsidR="00D40406" w:rsidRPr="00117904">
        <w:rPr>
          <w:noProof/>
          <w:spacing w:val="-8"/>
        </w:rPr>
      </w:r>
      <w:r w:rsidR="00D40406" w:rsidRPr="00117904">
        <w:rPr>
          <w:noProof/>
          <w:spacing w:val="-8"/>
        </w:rPr>
        <w:fldChar w:fldCharType="separate"/>
      </w:r>
      <w:r>
        <w:rPr>
          <w:noProof/>
        </w:rPr>
        <w:t>Table 8</w:t>
      </w:r>
      <w:r w:rsidR="00D40406" w:rsidRPr="00117904">
        <w:rPr>
          <w:noProof/>
          <w:spacing w:val="-8"/>
        </w:rPr>
        <w:fldChar w:fldCharType="end"/>
      </w:r>
      <w:r w:rsidR="00D40406" w:rsidRPr="00117904">
        <w:rPr>
          <w:noProof/>
          <w:spacing w:val="-8"/>
        </w:rPr>
        <w:t>)</w:t>
      </w:r>
      <w:r w:rsidR="004B1F74" w:rsidRPr="00117904">
        <w:rPr>
          <w:noProof/>
          <w:spacing w:val="-8"/>
        </w:rPr>
        <w:t xml:space="preserve">. </w:t>
      </w:r>
      <w:r w:rsidR="00A97313" w:rsidRPr="00117904">
        <w:rPr>
          <w:noProof/>
          <w:spacing w:val="-8"/>
        </w:rPr>
        <w:t>PO</w:t>
      </w:r>
      <w:r w:rsidR="00A97313">
        <w:rPr>
          <w:noProof/>
          <w:spacing w:val="-8"/>
        </w:rPr>
        <w:t>2</w:t>
      </w:r>
      <w:r w:rsidR="00A97313" w:rsidRPr="00117904">
        <w:rPr>
          <w:noProof/>
          <w:spacing w:val="-8"/>
        </w:rPr>
        <w:t xml:space="preserve"> </w:t>
      </w:r>
      <w:r w:rsidR="00891113" w:rsidRPr="00117904">
        <w:rPr>
          <w:noProof/>
          <w:spacing w:val="-8"/>
        </w:rPr>
        <w:t>shows</w:t>
      </w:r>
      <w:r w:rsidR="004B1F74" w:rsidRPr="00117904">
        <w:rPr>
          <w:noProof/>
          <w:spacing w:val="-8"/>
        </w:rPr>
        <w:t xml:space="preserve"> the highest net </w:t>
      </w:r>
      <w:r w:rsidR="009E6DBA" w:rsidRPr="00117904">
        <w:rPr>
          <w:noProof/>
          <w:spacing w:val="-8"/>
        </w:rPr>
        <w:t>benefits</w:t>
      </w:r>
      <w:r w:rsidR="00251CCB" w:rsidRPr="00117904">
        <w:rPr>
          <w:noProof/>
          <w:spacing w:val="-8"/>
        </w:rPr>
        <w:t xml:space="preserve"> </w:t>
      </w:r>
      <w:r w:rsidR="00CB0E7A" w:rsidRPr="00117904">
        <w:rPr>
          <w:noProof/>
          <w:spacing w:val="-8"/>
        </w:rPr>
        <w:t xml:space="preserve">(EUR </w:t>
      </w:r>
      <w:r w:rsidR="002863CC">
        <w:rPr>
          <w:noProof/>
          <w:spacing w:val="-8"/>
        </w:rPr>
        <w:t>100.9</w:t>
      </w:r>
      <w:r w:rsidR="00A97313" w:rsidRPr="00117904">
        <w:rPr>
          <w:noProof/>
          <w:spacing w:val="-8"/>
        </w:rPr>
        <w:t xml:space="preserve"> </w:t>
      </w:r>
      <w:r w:rsidR="00CB0E7A" w:rsidRPr="00117904">
        <w:rPr>
          <w:noProof/>
          <w:spacing w:val="-8"/>
        </w:rPr>
        <w:t>million), expressed as present value over 2028-2050</w:t>
      </w:r>
      <w:r w:rsidR="00251CCB" w:rsidRPr="00117904">
        <w:rPr>
          <w:noProof/>
          <w:spacing w:val="-8"/>
        </w:rPr>
        <w:t xml:space="preserve"> </w:t>
      </w:r>
      <w:r w:rsidR="00C6020D" w:rsidRPr="00117904">
        <w:rPr>
          <w:noProof/>
          <w:spacing w:val="-8"/>
        </w:rPr>
        <w:t>relative to the baseline</w:t>
      </w:r>
      <w:r w:rsidR="00DC60CC" w:rsidRPr="00117904">
        <w:rPr>
          <w:noProof/>
          <w:spacing w:val="-8"/>
        </w:rPr>
        <w:t xml:space="preserve">, followed by PO4 (EUR </w:t>
      </w:r>
      <w:r w:rsidR="002863CC">
        <w:rPr>
          <w:noProof/>
          <w:spacing w:val="-8"/>
        </w:rPr>
        <w:t>97.6</w:t>
      </w:r>
      <w:r w:rsidR="00DC60CC" w:rsidRPr="00117904">
        <w:rPr>
          <w:noProof/>
          <w:spacing w:val="-8"/>
        </w:rPr>
        <w:t xml:space="preserve"> million) and </w:t>
      </w:r>
      <w:r w:rsidR="001B0530">
        <w:rPr>
          <w:noProof/>
          <w:spacing w:val="-8"/>
        </w:rPr>
        <w:t>PO3</w:t>
      </w:r>
      <w:r w:rsidR="001B0530" w:rsidRPr="00117904">
        <w:rPr>
          <w:noProof/>
          <w:spacing w:val="-8"/>
        </w:rPr>
        <w:t xml:space="preserve"> </w:t>
      </w:r>
      <w:r w:rsidR="00DC60CC" w:rsidRPr="00117904">
        <w:rPr>
          <w:noProof/>
          <w:spacing w:val="-8"/>
        </w:rPr>
        <w:t xml:space="preserve">(EUR </w:t>
      </w:r>
      <w:r w:rsidR="001B0530">
        <w:rPr>
          <w:noProof/>
          <w:spacing w:val="-8"/>
        </w:rPr>
        <w:t>91.8</w:t>
      </w:r>
      <w:r w:rsidR="00DC60CC" w:rsidRPr="00117904">
        <w:rPr>
          <w:noProof/>
          <w:spacing w:val="-8"/>
        </w:rPr>
        <w:t xml:space="preserve"> million)</w:t>
      </w:r>
      <w:r w:rsidR="004B1F74" w:rsidRPr="00117904">
        <w:rPr>
          <w:noProof/>
          <w:spacing w:val="-8"/>
        </w:rPr>
        <w:t xml:space="preserve">. </w:t>
      </w:r>
      <w:r w:rsidR="00E34E17" w:rsidRPr="00117904">
        <w:rPr>
          <w:noProof/>
          <w:spacing w:val="-8"/>
        </w:rPr>
        <w:t xml:space="preserve">The highest net benefits in </w:t>
      </w:r>
      <w:r w:rsidR="00C41106">
        <w:rPr>
          <w:noProof/>
          <w:spacing w:val="-8"/>
        </w:rPr>
        <w:t>PO2</w:t>
      </w:r>
      <w:r w:rsidR="00C41106" w:rsidRPr="00117904">
        <w:rPr>
          <w:noProof/>
          <w:spacing w:val="-8"/>
        </w:rPr>
        <w:t xml:space="preserve"> </w:t>
      </w:r>
      <w:r w:rsidR="002B6910" w:rsidRPr="00117904">
        <w:rPr>
          <w:noProof/>
          <w:spacing w:val="-8"/>
        </w:rPr>
        <w:t>are</w:t>
      </w:r>
      <w:r w:rsidR="006B4464" w:rsidRPr="00117904">
        <w:rPr>
          <w:noProof/>
          <w:spacing w:val="-8"/>
        </w:rPr>
        <w:t xml:space="preserve"> because the</w:t>
      </w:r>
      <w:r w:rsidR="00B45D82" w:rsidRPr="00117904">
        <w:rPr>
          <w:noProof/>
          <w:spacing w:val="-8"/>
        </w:rPr>
        <w:t xml:space="preserve"> </w:t>
      </w:r>
      <w:r w:rsidR="004B1F74" w:rsidRPr="00117904">
        <w:rPr>
          <w:noProof/>
          <w:spacing w:val="-8"/>
        </w:rPr>
        <w:t xml:space="preserve">introduction of a </w:t>
      </w:r>
      <w:r w:rsidR="002C0949">
        <w:rPr>
          <w:noProof/>
          <w:spacing w:val="-8"/>
        </w:rPr>
        <w:t>sharing</w:t>
      </w:r>
      <w:r w:rsidR="004B1F74" w:rsidRPr="00117904">
        <w:rPr>
          <w:noProof/>
          <w:spacing w:val="-8"/>
        </w:rPr>
        <w:t xml:space="preserve"> obligation (PM13) considerably increases the adjustment cost savings related to the commercial agreement rules (PM11</w:t>
      </w:r>
      <w:r w:rsidR="00DF79AD" w:rsidRPr="00117904">
        <w:rPr>
          <w:noProof/>
          <w:spacing w:val="-8"/>
        </w:rPr>
        <w:t xml:space="preserve"> and PM1</w:t>
      </w:r>
      <w:r w:rsidR="004B1F74" w:rsidRPr="00117904">
        <w:rPr>
          <w:noProof/>
          <w:spacing w:val="-8"/>
        </w:rPr>
        <w:t>2)</w:t>
      </w:r>
      <w:r w:rsidR="00F939E8" w:rsidRPr="00117904">
        <w:rPr>
          <w:noProof/>
          <w:spacing w:val="-8"/>
        </w:rPr>
        <w:t>. PO1</w:t>
      </w:r>
      <w:r w:rsidR="004B1F74" w:rsidRPr="00117904">
        <w:rPr>
          <w:noProof/>
          <w:spacing w:val="-8"/>
        </w:rPr>
        <w:t xml:space="preserve"> result</w:t>
      </w:r>
      <w:r w:rsidR="00F939E8" w:rsidRPr="00117904">
        <w:rPr>
          <w:noProof/>
          <w:spacing w:val="-8"/>
        </w:rPr>
        <w:t>s</w:t>
      </w:r>
      <w:r w:rsidR="004B1F74" w:rsidRPr="00117904">
        <w:rPr>
          <w:noProof/>
          <w:spacing w:val="-8"/>
        </w:rPr>
        <w:t xml:space="preserve"> in considerably lower net </w:t>
      </w:r>
      <w:r w:rsidR="001915B6" w:rsidRPr="00117904">
        <w:rPr>
          <w:noProof/>
          <w:spacing w:val="-8"/>
        </w:rPr>
        <w:t>b</w:t>
      </w:r>
      <w:r w:rsidR="002F2C8F" w:rsidRPr="00117904">
        <w:rPr>
          <w:noProof/>
          <w:spacing w:val="-8"/>
        </w:rPr>
        <w:t>enefits for transport operators</w:t>
      </w:r>
      <w:r w:rsidR="004B1F74" w:rsidRPr="00117904">
        <w:rPr>
          <w:noProof/>
          <w:spacing w:val="-8"/>
        </w:rPr>
        <w:t>,</w:t>
      </w:r>
      <w:r w:rsidR="002F2C8F" w:rsidRPr="00117904">
        <w:rPr>
          <w:noProof/>
          <w:spacing w:val="-8"/>
        </w:rPr>
        <w:t xml:space="preserve"> estimated</w:t>
      </w:r>
      <w:r w:rsidR="004B1F74" w:rsidRPr="00117904">
        <w:rPr>
          <w:noProof/>
          <w:spacing w:val="-8"/>
        </w:rPr>
        <w:t xml:space="preserve"> at EUR 1</w:t>
      </w:r>
      <w:r w:rsidR="00805C2E" w:rsidRPr="00117904">
        <w:rPr>
          <w:noProof/>
          <w:spacing w:val="-8"/>
        </w:rPr>
        <w:t>3</w:t>
      </w:r>
      <w:r w:rsidR="004B1F74" w:rsidRPr="00117904">
        <w:rPr>
          <w:noProof/>
          <w:spacing w:val="-8"/>
        </w:rPr>
        <w:t xml:space="preserve"> million relative to the baseline. </w:t>
      </w:r>
    </w:p>
    <w:p w14:paraId="37BD520E" w14:textId="03AFBC6D" w:rsidR="00BC6346" w:rsidRDefault="00BC6346" w:rsidP="00BC6346">
      <w:pPr>
        <w:pStyle w:val="Text2"/>
        <w:spacing w:after="0"/>
        <w:ind w:left="0"/>
        <w:rPr>
          <w:rFonts w:cs="Times New Roman"/>
          <w:i/>
          <w:noProof/>
          <w:sz w:val="22"/>
          <w:szCs w:val="22"/>
        </w:rPr>
      </w:pPr>
      <w:bookmarkStart w:id="134" w:name="_Ref222828327"/>
      <w:bookmarkStart w:id="135" w:name="_Ref222828377"/>
      <w:bookmarkStart w:id="136" w:name="_Ref222836614"/>
      <w:bookmarkStart w:id="137" w:name="_Ref222836609"/>
      <w:r w:rsidRPr="006333F0">
        <w:rPr>
          <w:rFonts w:cs="Times New Roman"/>
          <w:i/>
          <w:noProof/>
          <w:sz w:val="22"/>
          <w:szCs w:val="22"/>
        </w:rPr>
        <w:t>Table</w:t>
      </w:r>
      <w:bookmarkEnd w:id="134"/>
      <w:r w:rsidR="007E6D49">
        <w:rPr>
          <w:rFonts w:cs="Times New Roman"/>
          <w:i/>
          <w:noProof/>
          <w:sz w:val="22"/>
          <w:szCs w:val="22"/>
        </w:rPr>
        <w:t xml:space="preserve"> </w:t>
      </w:r>
      <w:bookmarkEnd w:id="135"/>
      <w:r w:rsidR="00C26A59" w:rsidRPr="00C26A59">
        <w:rPr>
          <w:rFonts w:cs="Times New Roman"/>
          <w:i/>
          <w:iCs/>
          <w:noProof/>
          <w:sz w:val="22"/>
          <w:szCs w:val="22"/>
        </w:rPr>
        <w:fldChar w:fldCharType="begin"/>
      </w:r>
      <w:r w:rsidR="00C26A59" w:rsidRPr="00C26A59">
        <w:rPr>
          <w:rFonts w:cs="Times New Roman"/>
          <w:i/>
          <w:iCs/>
          <w:noProof/>
          <w:sz w:val="22"/>
          <w:szCs w:val="22"/>
        </w:rPr>
        <w:instrText xml:space="preserve"> SEQ Table \* ARABIC </w:instrText>
      </w:r>
      <w:r w:rsidR="00C26A59" w:rsidRPr="00C26A59">
        <w:rPr>
          <w:rFonts w:cs="Times New Roman"/>
          <w:i/>
          <w:iCs/>
          <w:noProof/>
          <w:sz w:val="22"/>
          <w:szCs w:val="22"/>
        </w:rPr>
        <w:fldChar w:fldCharType="separate"/>
      </w:r>
      <w:r w:rsidR="0055391F">
        <w:rPr>
          <w:rFonts w:cs="Times New Roman"/>
          <w:i/>
          <w:iCs/>
          <w:noProof/>
          <w:sz w:val="22"/>
          <w:szCs w:val="22"/>
        </w:rPr>
        <w:t>7</w:t>
      </w:r>
      <w:r w:rsidR="00C26A59" w:rsidRPr="00C26A59">
        <w:rPr>
          <w:rFonts w:cs="Times New Roman"/>
          <w:i/>
          <w:noProof/>
          <w:sz w:val="22"/>
          <w:szCs w:val="22"/>
        </w:rPr>
        <w:fldChar w:fldCharType="end"/>
      </w:r>
      <w:bookmarkEnd w:id="136"/>
      <w:r w:rsidRPr="006333F0">
        <w:rPr>
          <w:rFonts w:cs="Times New Roman"/>
          <w:i/>
          <w:noProof/>
          <w:sz w:val="22"/>
          <w:szCs w:val="22"/>
        </w:rPr>
        <w:t>: One-off costs</w:t>
      </w:r>
      <w:r w:rsidR="004C58DD">
        <w:rPr>
          <w:rFonts w:cs="Times New Roman"/>
          <w:i/>
          <w:noProof/>
          <w:sz w:val="22"/>
          <w:szCs w:val="22"/>
        </w:rPr>
        <w:t xml:space="preserve"> and costs savings</w:t>
      </w:r>
      <w:r w:rsidRPr="006333F0">
        <w:rPr>
          <w:rFonts w:cs="Times New Roman"/>
          <w:i/>
          <w:noProof/>
          <w:sz w:val="22"/>
          <w:szCs w:val="22"/>
        </w:rPr>
        <w:t xml:space="preserve"> for </w:t>
      </w:r>
      <w:r>
        <w:rPr>
          <w:rFonts w:cs="Times New Roman"/>
          <w:i/>
          <w:noProof/>
          <w:sz w:val="22"/>
          <w:szCs w:val="22"/>
        </w:rPr>
        <w:t>transport operators</w:t>
      </w:r>
      <w:r w:rsidRPr="006333F0">
        <w:rPr>
          <w:rFonts w:cs="Times New Roman"/>
          <w:i/>
          <w:noProof/>
          <w:sz w:val="22"/>
          <w:szCs w:val="22"/>
        </w:rPr>
        <w:t xml:space="preserve"> in the POs relative to the baseline (EU27),</w:t>
      </w:r>
      <w:r>
        <w:rPr>
          <w:rFonts w:cs="Times New Roman"/>
          <w:i/>
          <w:noProof/>
          <w:sz w:val="22"/>
          <w:szCs w:val="22"/>
        </w:rPr>
        <w:t xml:space="preserve"> expressed as present value over 2028-2050,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bookmarkEnd w:id="137"/>
    </w:p>
    <w:tbl>
      <w:tblPr>
        <w:tblW w:w="5000" w:type="pct"/>
        <w:tblLook w:val="04A0" w:firstRow="1" w:lastRow="0" w:firstColumn="1" w:lastColumn="0" w:noHBand="0" w:noVBand="1"/>
      </w:tblPr>
      <w:tblGrid>
        <w:gridCol w:w="5713"/>
        <w:gridCol w:w="972"/>
        <w:gridCol w:w="972"/>
        <w:gridCol w:w="972"/>
        <w:gridCol w:w="974"/>
      </w:tblGrid>
      <w:tr w:rsidR="00A47436" w14:paraId="4D5635DC" w14:textId="77777777" w:rsidTr="008C5012">
        <w:trPr>
          <w:trHeight w:val="255"/>
          <w:tblHeader/>
        </w:trPr>
        <w:tc>
          <w:tcPr>
            <w:tcW w:w="2975"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26D2C5C4" w14:textId="77777777" w:rsidR="00A47436" w:rsidRDefault="00A47436">
            <w:pPr>
              <w:jc w:val="center"/>
              <w:rPr>
                <w:b/>
                <w:bCs/>
                <w:noProof/>
                <w:color w:val="FFFFFF"/>
                <w:sz w:val="20"/>
                <w:szCs w:val="20"/>
              </w:rPr>
            </w:pPr>
            <w:r>
              <w:rPr>
                <w:b/>
                <w:bCs/>
                <w:noProof/>
                <w:color w:val="FFFFFF"/>
                <w:sz w:val="20"/>
                <w:szCs w:val="20"/>
              </w:rPr>
              <w:t> </w:t>
            </w:r>
          </w:p>
        </w:tc>
        <w:tc>
          <w:tcPr>
            <w:tcW w:w="2025" w:type="pct"/>
            <w:gridSpan w:val="4"/>
            <w:tcBorders>
              <w:top w:val="single" w:sz="4" w:space="0" w:color="auto"/>
              <w:left w:val="nil"/>
              <w:bottom w:val="single" w:sz="4" w:space="0" w:color="auto"/>
              <w:right w:val="single" w:sz="4" w:space="0" w:color="auto"/>
            </w:tcBorders>
            <w:shd w:val="clear" w:color="000000" w:fill="0070C0"/>
            <w:hideMark/>
          </w:tcPr>
          <w:p w14:paraId="7EF9B9B4" w14:textId="77777777" w:rsidR="00A47436" w:rsidRDefault="00A47436">
            <w:pPr>
              <w:jc w:val="center"/>
              <w:rPr>
                <w:b/>
                <w:bCs/>
                <w:noProof/>
                <w:color w:val="FFFFFF"/>
                <w:sz w:val="20"/>
                <w:szCs w:val="20"/>
              </w:rPr>
            </w:pPr>
            <w:r>
              <w:rPr>
                <w:b/>
                <w:bCs/>
                <w:noProof/>
                <w:color w:val="FFFFFF"/>
                <w:sz w:val="20"/>
                <w:szCs w:val="20"/>
              </w:rPr>
              <w:t>Difference to baseline</w:t>
            </w:r>
          </w:p>
        </w:tc>
      </w:tr>
      <w:tr w:rsidR="008C5012" w14:paraId="3D8C4438" w14:textId="77777777" w:rsidTr="008C5012">
        <w:trPr>
          <w:trHeight w:val="255"/>
          <w:tblHeader/>
        </w:trPr>
        <w:tc>
          <w:tcPr>
            <w:tcW w:w="2975" w:type="pct"/>
            <w:vMerge/>
            <w:tcBorders>
              <w:top w:val="single" w:sz="4" w:space="0" w:color="auto"/>
              <w:left w:val="single" w:sz="4" w:space="0" w:color="auto"/>
              <w:bottom w:val="single" w:sz="4" w:space="0" w:color="auto"/>
              <w:right w:val="single" w:sz="4" w:space="0" w:color="auto"/>
            </w:tcBorders>
            <w:hideMark/>
          </w:tcPr>
          <w:p w14:paraId="7F5D2258" w14:textId="77777777" w:rsidR="00A47436" w:rsidRDefault="00A47436">
            <w:pPr>
              <w:rPr>
                <w:b/>
                <w:bCs/>
                <w:noProof/>
                <w:color w:val="FFFFFF"/>
                <w:sz w:val="20"/>
                <w:szCs w:val="20"/>
              </w:rPr>
            </w:pPr>
          </w:p>
        </w:tc>
        <w:tc>
          <w:tcPr>
            <w:tcW w:w="506" w:type="pct"/>
            <w:tcBorders>
              <w:top w:val="nil"/>
              <w:left w:val="nil"/>
              <w:bottom w:val="single" w:sz="4" w:space="0" w:color="auto"/>
              <w:right w:val="single" w:sz="4" w:space="0" w:color="auto"/>
            </w:tcBorders>
            <w:shd w:val="clear" w:color="000000" w:fill="0070C0"/>
            <w:hideMark/>
          </w:tcPr>
          <w:p w14:paraId="32FB799D" w14:textId="77777777" w:rsidR="00A47436" w:rsidRDefault="00A47436">
            <w:pPr>
              <w:jc w:val="center"/>
              <w:rPr>
                <w:b/>
                <w:bCs/>
                <w:noProof/>
                <w:color w:val="FFFFFF"/>
                <w:sz w:val="20"/>
                <w:szCs w:val="20"/>
              </w:rPr>
            </w:pPr>
            <w:r>
              <w:rPr>
                <w:b/>
                <w:bCs/>
                <w:noProof/>
                <w:color w:val="FFFFFF"/>
                <w:sz w:val="20"/>
                <w:szCs w:val="20"/>
              </w:rPr>
              <w:t>PO1</w:t>
            </w:r>
          </w:p>
        </w:tc>
        <w:tc>
          <w:tcPr>
            <w:tcW w:w="506" w:type="pct"/>
            <w:tcBorders>
              <w:top w:val="nil"/>
              <w:left w:val="nil"/>
              <w:bottom w:val="single" w:sz="4" w:space="0" w:color="auto"/>
              <w:right w:val="single" w:sz="4" w:space="0" w:color="auto"/>
            </w:tcBorders>
            <w:shd w:val="clear" w:color="000000" w:fill="0070C0"/>
            <w:hideMark/>
          </w:tcPr>
          <w:p w14:paraId="74754862" w14:textId="77777777" w:rsidR="00A47436" w:rsidRDefault="00A47436">
            <w:pPr>
              <w:jc w:val="center"/>
              <w:rPr>
                <w:b/>
                <w:bCs/>
                <w:noProof/>
                <w:color w:val="FFFFFF"/>
                <w:sz w:val="20"/>
                <w:szCs w:val="20"/>
              </w:rPr>
            </w:pPr>
            <w:r>
              <w:rPr>
                <w:b/>
                <w:bCs/>
                <w:noProof/>
                <w:color w:val="FFFFFF"/>
                <w:sz w:val="20"/>
                <w:szCs w:val="20"/>
              </w:rPr>
              <w:t>PO2</w:t>
            </w:r>
          </w:p>
        </w:tc>
        <w:tc>
          <w:tcPr>
            <w:tcW w:w="506" w:type="pct"/>
            <w:tcBorders>
              <w:top w:val="nil"/>
              <w:left w:val="nil"/>
              <w:bottom w:val="single" w:sz="4" w:space="0" w:color="auto"/>
              <w:right w:val="single" w:sz="4" w:space="0" w:color="auto"/>
            </w:tcBorders>
            <w:shd w:val="clear" w:color="000000" w:fill="0070C0"/>
            <w:hideMark/>
          </w:tcPr>
          <w:p w14:paraId="5266DB53" w14:textId="77777777" w:rsidR="00A47436" w:rsidRDefault="00A47436">
            <w:pPr>
              <w:jc w:val="center"/>
              <w:rPr>
                <w:b/>
                <w:bCs/>
                <w:noProof/>
                <w:color w:val="FFFFFF"/>
                <w:sz w:val="20"/>
                <w:szCs w:val="20"/>
              </w:rPr>
            </w:pPr>
            <w:r>
              <w:rPr>
                <w:b/>
                <w:bCs/>
                <w:noProof/>
                <w:color w:val="FFFFFF"/>
                <w:sz w:val="20"/>
                <w:szCs w:val="20"/>
              </w:rPr>
              <w:t>PO3</w:t>
            </w:r>
          </w:p>
        </w:tc>
        <w:tc>
          <w:tcPr>
            <w:tcW w:w="506" w:type="pct"/>
            <w:tcBorders>
              <w:top w:val="nil"/>
              <w:left w:val="nil"/>
              <w:bottom w:val="single" w:sz="4" w:space="0" w:color="auto"/>
              <w:right w:val="single" w:sz="4" w:space="0" w:color="auto"/>
            </w:tcBorders>
            <w:shd w:val="clear" w:color="000000" w:fill="0070C0"/>
            <w:hideMark/>
          </w:tcPr>
          <w:p w14:paraId="4EF8E594" w14:textId="77777777" w:rsidR="00A47436" w:rsidRDefault="00A47436">
            <w:pPr>
              <w:jc w:val="center"/>
              <w:rPr>
                <w:b/>
                <w:bCs/>
                <w:noProof/>
                <w:color w:val="FFFFFF"/>
                <w:sz w:val="20"/>
                <w:szCs w:val="20"/>
              </w:rPr>
            </w:pPr>
            <w:r>
              <w:rPr>
                <w:b/>
                <w:bCs/>
                <w:noProof/>
                <w:color w:val="FFFFFF"/>
                <w:sz w:val="20"/>
                <w:szCs w:val="20"/>
              </w:rPr>
              <w:t>PO4</w:t>
            </w:r>
          </w:p>
        </w:tc>
      </w:tr>
      <w:tr w:rsidR="008C5012" w14:paraId="0E99E2CA" w14:textId="77777777" w:rsidTr="008C5012">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4921EFEF" w14:textId="77777777" w:rsidR="00A47436" w:rsidRDefault="00A47436">
            <w:pPr>
              <w:rPr>
                <w:b/>
                <w:bCs/>
                <w:noProof/>
                <w:sz w:val="20"/>
                <w:szCs w:val="20"/>
              </w:rPr>
            </w:pPr>
            <w:r>
              <w:rPr>
                <w:b/>
                <w:bCs/>
                <w:noProof/>
                <w:sz w:val="20"/>
                <w:szCs w:val="20"/>
              </w:rPr>
              <w:t>Adjustment costs</w:t>
            </w:r>
          </w:p>
        </w:tc>
        <w:tc>
          <w:tcPr>
            <w:tcW w:w="506" w:type="pct"/>
            <w:tcBorders>
              <w:top w:val="nil"/>
              <w:left w:val="nil"/>
              <w:bottom w:val="single" w:sz="4" w:space="0" w:color="auto"/>
              <w:right w:val="single" w:sz="4" w:space="0" w:color="auto"/>
            </w:tcBorders>
            <w:shd w:val="clear" w:color="000000" w:fill="BDE3FF"/>
            <w:hideMark/>
          </w:tcPr>
          <w:p w14:paraId="35FE8AA0" w14:textId="77777777" w:rsidR="00A47436" w:rsidRDefault="00A47436">
            <w:pPr>
              <w:jc w:val="right"/>
              <w:rPr>
                <w:b/>
                <w:bCs/>
                <w:noProof/>
                <w:sz w:val="20"/>
                <w:szCs w:val="20"/>
              </w:rPr>
            </w:pPr>
            <w:r>
              <w:rPr>
                <w:b/>
                <w:bCs/>
                <w:noProof/>
                <w:sz w:val="20"/>
                <w:szCs w:val="20"/>
              </w:rPr>
              <w:t>0.0</w:t>
            </w:r>
          </w:p>
        </w:tc>
        <w:tc>
          <w:tcPr>
            <w:tcW w:w="506" w:type="pct"/>
            <w:tcBorders>
              <w:top w:val="nil"/>
              <w:left w:val="nil"/>
              <w:bottom w:val="single" w:sz="4" w:space="0" w:color="auto"/>
              <w:right w:val="single" w:sz="4" w:space="0" w:color="auto"/>
            </w:tcBorders>
            <w:shd w:val="clear" w:color="000000" w:fill="BDE3FF"/>
            <w:hideMark/>
          </w:tcPr>
          <w:p w14:paraId="0118FE0F" w14:textId="77777777" w:rsidR="00A47436" w:rsidRDefault="00A47436">
            <w:pPr>
              <w:jc w:val="right"/>
              <w:rPr>
                <w:b/>
                <w:bCs/>
                <w:noProof/>
                <w:sz w:val="20"/>
                <w:szCs w:val="20"/>
              </w:rPr>
            </w:pPr>
            <w:r>
              <w:rPr>
                <w:b/>
                <w:bCs/>
                <w:noProof/>
                <w:sz w:val="20"/>
                <w:szCs w:val="20"/>
              </w:rPr>
              <w:t>48.2</w:t>
            </w:r>
          </w:p>
        </w:tc>
        <w:tc>
          <w:tcPr>
            <w:tcW w:w="506" w:type="pct"/>
            <w:tcBorders>
              <w:top w:val="nil"/>
              <w:left w:val="nil"/>
              <w:bottom w:val="single" w:sz="4" w:space="0" w:color="auto"/>
              <w:right w:val="single" w:sz="4" w:space="0" w:color="auto"/>
            </w:tcBorders>
            <w:shd w:val="clear" w:color="000000" w:fill="BDE3FF"/>
            <w:hideMark/>
          </w:tcPr>
          <w:p w14:paraId="36D74870" w14:textId="77777777" w:rsidR="00A47436" w:rsidRDefault="00A47436">
            <w:pPr>
              <w:jc w:val="right"/>
              <w:rPr>
                <w:b/>
                <w:bCs/>
                <w:noProof/>
                <w:sz w:val="20"/>
                <w:szCs w:val="20"/>
              </w:rPr>
            </w:pPr>
            <w:r>
              <w:rPr>
                <w:b/>
                <w:bCs/>
                <w:noProof/>
                <w:sz w:val="20"/>
                <w:szCs w:val="20"/>
              </w:rPr>
              <w:t>42.2</w:t>
            </w:r>
          </w:p>
        </w:tc>
        <w:tc>
          <w:tcPr>
            <w:tcW w:w="506" w:type="pct"/>
            <w:tcBorders>
              <w:top w:val="nil"/>
              <w:left w:val="nil"/>
              <w:bottom w:val="single" w:sz="4" w:space="0" w:color="auto"/>
              <w:right w:val="single" w:sz="4" w:space="0" w:color="auto"/>
            </w:tcBorders>
            <w:shd w:val="clear" w:color="000000" w:fill="BDE3FF"/>
            <w:hideMark/>
          </w:tcPr>
          <w:p w14:paraId="7C02B2FF" w14:textId="77777777" w:rsidR="00A47436" w:rsidRDefault="00A47436">
            <w:pPr>
              <w:jc w:val="right"/>
              <w:rPr>
                <w:b/>
                <w:bCs/>
                <w:noProof/>
                <w:sz w:val="20"/>
                <w:szCs w:val="20"/>
              </w:rPr>
            </w:pPr>
            <w:r>
              <w:rPr>
                <w:b/>
                <w:bCs/>
                <w:noProof/>
                <w:sz w:val="20"/>
                <w:szCs w:val="20"/>
              </w:rPr>
              <w:t>45.2</w:t>
            </w:r>
          </w:p>
        </w:tc>
      </w:tr>
      <w:tr w:rsidR="00FB6303" w14:paraId="0BBD81CE" w14:textId="77777777" w:rsidTr="008C5012">
        <w:trPr>
          <w:trHeight w:val="255"/>
        </w:trPr>
        <w:tc>
          <w:tcPr>
            <w:tcW w:w="2975" w:type="pct"/>
            <w:tcBorders>
              <w:top w:val="nil"/>
              <w:left w:val="single" w:sz="4" w:space="0" w:color="auto"/>
              <w:bottom w:val="single" w:sz="4" w:space="0" w:color="auto"/>
              <w:right w:val="single" w:sz="4" w:space="0" w:color="auto"/>
            </w:tcBorders>
            <w:hideMark/>
          </w:tcPr>
          <w:p w14:paraId="409E267D" w14:textId="77777777" w:rsidR="00A47436" w:rsidRDefault="00A47436">
            <w:pPr>
              <w:rPr>
                <w:noProof/>
                <w:color w:val="000000"/>
                <w:sz w:val="20"/>
                <w:szCs w:val="20"/>
              </w:rPr>
            </w:pPr>
            <w:r>
              <w:rPr>
                <w:noProof/>
                <w:color w:val="000000"/>
                <w:sz w:val="20"/>
                <w:szCs w:val="20"/>
              </w:rPr>
              <w:t>PM13 (Obligation to share)</w:t>
            </w:r>
          </w:p>
        </w:tc>
        <w:tc>
          <w:tcPr>
            <w:tcW w:w="506" w:type="pct"/>
            <w:tcBorders>
              <w:top w:val="nil"/>
              <w:left w:val="nil"/>
              <w:bottom w:val="single" w:sz="4" w:space="0" w:color="auto"/>
              <w:right w:val="single" w:sz="4" w:space="0" w:color="auto"/>
            </w:tcBorders>
            <w:shd w:val="clear" w:color="000000" w:fill="FFFFFF"/>
            <w:noWrap/>
            <w:hideMark/>
          </w:tcPr>
          <w:p w14:paraId="0E3771B7" w14:textId="77777777" w:rsidR="00A47436" w:rsidRDefault="00A47436">
            <w:pPr>
              <w:jc w:val="right"/>
              <w:rPr>
                <w:noProof/>
                <w:color w:val="000000"/>
                <w:sz w:val="20"/>
                <w:szCs w:val="20"/>
              </w:rPr>
            </w:pPr>
            <w:r>
              <w:rPr>
                <w:noProof/>
                <w:color w:val="000000"/>
                <w:sz w:val="20"/>
                <w:szCs w:val="20"/>
              </w:rPr>
              <w:t>0.0</w:t>
            </w:r>
          </w:p>
        </w:tc>
        <w:tc>
          <w:tcPr>
            <w:tcW w:w="506" w:type="pct"/>
            <w:tcBorders>
              <w:top w:val="nil"/>
              <w:left w:val="nil"/>
              <w:bottom w:val="single" w:sz="4" w:space="0" w:color="auto"/>
              <w:right w:val="single" w:sz="4" w:space="0" w:color="auto"/>
            </w:tcBorders>
            <w:shd w:val="clear" w:color="000000" w:fill="FFFFFF"/>
            <w:noWrap/>
            <w:hideMark/>
          </w:tcPr>
          <w:p w14:paraId="001226F7" w14:textId="77777777" w:rsidR="00A47436" w:rsidRDefault="00A47436">
            <w:pPr>
              <w:jc w:val="right"/>
              <w:rPr>
                <w:noProof/>
                <w:color w:val="000000"/>
                <w:sz w:val="20"/>
                <w:szCs w:val="20"/>
              </w:rPr>
            </w:pPr>
            <w:r>
              <w:rPr>
                <w:noProof/>
                <w:color w:val="000000"/>
                <w:sz w:val="20"/>
                <w:szCs w:val="20"/>
              </w:rPr>
              <w:t>48.2</w:t>
            </w:r>
          </w:p>
        </w:tc>
        <w:tc>
          <w:tcPr>
            <w:tcW w:w="506" w:type="pct"/>
            <w:tcBorders>
              <w:top w:val="nil"/>
              <w:left w:val="nil"/>
              <w:bottom w:val="single" w:sz="4" w:space="0" w:color="auto"/>
              <w:right w:val="single" w:sz="4" w:space="0" w:color="auto"/>
            </w:tcBorders>
            <w:shd w:val="clear" w:color="000000" w:fill="FFFFFF"/>
            <w:noWrap/>
            <w:hideMark/>
          </w:tcPr>
          <w:p w14:paraId="536D8F05" w14:textId="77777777" w:rsidR="00A47436" w:rsidRDefault="00A47436">
            <w:pPr>
              <w:jc w:val="right"/>
              <w:rPr>
                <w:noProof/>
                <w:color w:val="000000"/>
                <w:sz w:val="20"/>
                <w:szCs w:val="20"/>
              </w:rPr>
            </w:pPr>
            <w:r>
              <w:rPr>
                <w:noProof/>
                <w:color w:val="000000"/>
                <w:sz w:val="20"/>
                <w:szCs w:val="20"/>
              </w:rPr>
              <w:t>42.2</w:t>
            </w:r>
          </w:p>
        </w:tc>
        <w:tc>
          <w:tcPr>
            <w:tcW w:w="506" w:type="pct"/>
            <w:tcBorders>
              <w:top w:val="nil"/>
              <w:left w:val="nil"/>
              <w:bottom w:val="single" w:sz="4" w:space="0" w:color="auto"/>
              <w:right w:val="single" w:sz="4" w:space="0" w:color="auto"/>
            </w:tcBorders>
            <w:shd w:val="clear" w:color="000000" w:fill="FFFFFF"/>
            <w:noWrap/>
            <w:hideMark/>
          </w:tcPr>
          <w:p w14:paraId="2D14A2FD" w14:textId="77777777" w:rsidR="00A47436" w:rsidRDefault="00A47436">
            <w:pPr>
              <w:jc w:val="right"/>
              <w:rPr>
                <w:noProof/>
                <w:color w:val="000000"/>
                <w:sz w:val="20"/>
                <w:szCs w:val="20"/>
              </w:rPr>
            </w:pPr>
            <w:r>
              <w:rPr>
                <w:noProof/>
                <w:color w:val="000000"/>
                <w:sz w:val="20"/>
                <w:szCs w:val="20"/>
              </w:rPr>
              <w:t>45.2</w:t>
            </w:r>
          </w:p>
        </w:tc>
      </w:tr>
      <w:tr w:rsidR="008C5012" w14:paraId="35DCA135" w14:textId="77777777" w:rsidTr="008C5012">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002970AA" w14:textId="77777777" w:rsidR="00A47436" w:rsidRDefault="00A47436">
            <w:pPr>
              <w:rPr>
                <w:b/>
                <w:bCs/>
                <w:noProof/>
                <w:sz w:val="20"/>
                <w:szCs w:val="20"/>
              </w:rPr>
            </w:pPr>
            <w:r>
              <w:rPr>
                <w:b/>
                <w:bCs/>
                <w:noProof/>
                <w:sz w:val="20"/>
                <w:szCs w:val="20"/>
              </w:rPr>
              <w:t>Administrative costs</w:t>
            </w:r>
          </w:p>
        </w:tc>
        <w:tc>
          <w:tcPr>
            <w:tcW w:w="506" w:type="pct"/>
            <w:tcBorders>
              <w:top w:val="nil"/>
              <w:left w:val="nil"/>
              <w:bottom w:val="single" w:sz="4" w:space="0" w:color="auto"/>
              <w:right w:val="single" w:sz="4" w:space="0" w:color="auto"/>
            </w:tcBorders>
            <w:shd w:val="clear" w:color="000000" w:fill="BDE3FF"/>
            <w:hideMark/>
          </w:tcPr>
          <w:p w14:paraId="50D3DF68" w14:textId="77777777" w:rsidR="00A47436" w:rsidRDefault="00A47436">
            <w:pPr>
              <w:jc w:val="right"/>
              <w:rPr>
                <w:b/>
                <w:bCs/>
                <w:noProof/>
                <w:sz w:val="20"/>
                <w:szCs w:val="20"/>
              </w:rPr>
            </w:pPr>
            <w:r>
              <w:rPr>
                <w:b/>
                <w:bCs/>
                <w:noProof/>
                <w:sz w:val="20"/>
                <w:szCs w:val="20"/>
              </w:rPr>
              <w:t>0.001</w:t>
            </w:r>
          </w:p>
        </w:tc>
        <w:tc>
          <w:tcPr>
            <w:tcW w:w="506" w:type="pct"/>
            <w:tcBorders>
              <w:top w:val="nil"/>
              <w:left w:val="nil"/>
              <w:bottom w:val="single" w:sz="4" w:space="0" w:color="auto"/>
              <w:right w:val="single" w:sz="4" w:space="0" w:color="auto"/>
            </w:tcBorders>
            <w:shd w:val="clear" w:color="000000" w:fill="BDE3FF"/>
            <w:hideMark/>
          </w:tcPr>
          <w:p w14:paraId="6B2E74B8" w14:textId="77777777" w:rsidR="00A47436" w:rsidRDefault="00A47436">
            <w:pPr>
              <w:jc w:val="right"/>
              <w:rPr>
                <w:b/>
                <w:bCs/>
                <w:noProof/>
                <w:sz w:val="20"/>
                <w:szCs w:val="20"/>
              </w:rPr>
            </w:pPr>
            <w:r>
              <w:rPr>
                <w:b/>
                <w:bCs/>
                <w:noProof/>
                <w:sz w:val="20"/>
                <w:szCs w:val="20"/>
              </w:rPr>
              <w:t>0.001</w:t>
            </w:r>
          </w:p>
        </w:tc>
        <w:tc>
          <w:tcPr>
            <w:tcW w:w="506" w:type="pct"/>
            <w:tcBorders>
              <w:top w:val="nil"/>
              <w:left w:val="nil"/>
              <w:bottom w:val="single" w:sz="4" w:space="0" w:color="auto"/>
              <w:right w:val="single" w:sz="4" w:space="0" w:color="auto"/>
            </w:tcBorders>
            <w:shd w:val="clear" w:color="000000" w:fill="BDE3FF"/>
            <w:hideMark/>
          </w:tcPr>
          <w:p w14:paraId="70409A32" w14:textId="77777777" w:rsidR="00A47436" w:rsidRDefault="00A47436">
            <w:pPr>
              <w:jc w:val="right"/>
              <w:rPr>
                <w:b/>
                <w:bCs/>
                <w:noProof/>
                <w:sz w:val="20"/>
                <w:szCs w:val="20"/>
              </w:rPr>
            </w:pPr>
            <w:r>
              <w:rPr>
                <w:b/>
                <w:bCs/>
                <w:noProof/>
                <w:sz w:val="20"/>
                <w:szCs w:val="20"/>
              </w:rPr>
              <w:t>0.001</w:t>
            </w:r>
          </w:p>
        </w:tc>
        <w:tc>
          <w:tcPr>
            <w:tcW w:w="506" w:type="pct"/>
            <w:tcBorders>
              <w:top w:val="nil"/>
              <w:left w:val="nil"/>
              <w:bottom w:val="single" w:sz="4" w:space="0" w:color="auto"/>
              <w:right w:val="single" w:sz="4" w:space="0" w:color="auto"/>
            </w:tcBorders>
            <w:shd w:val="clear" w:color="000000" w:fill="BDE3FF"/>
            <w:hideMark/>
          </w:tcPr>
          <w:p w14:paraId="79686AF8" w14:textId="77777777" w:rsidR="00A47436" w:rsidRDefault="00A47436">
            <w:pPr>
              <w:jc w:val="right"/>
              <w:rPr>
                <w:b/>
                <w:bCs/>
                <w:noProof/>
                <w:sz w:val="20"/>
                <w:szCs w:val="20"/>
              </w:rPr>
            </w:pPr>
            <w:r>
              <w:rPr>
                <w:b/>
                <w:bCs/>
                <w:noProof/>
                <w:sz w:val="20"/>
                <w:szCs w:val="20"/>
              </w:rPr>
              <w:t>0.001</w:t>
            </w:r>
          </w:p>
        </w:tc>
      </w:tr>
      <w:tr w:rsidR="00FB6303" w14:paraId="74D9681E" w14:textId="77777777" w:rsidTr="008C5012">
        <w:trPr>
          <w:trHeight w:val="255"/>
        </w:trPr>
        <w:tc>
          <w:tcPr>
            <w:tcW w:w="2975" w:type="pct"/>
            <w:tcBorders>
              <w:top w:val="nil"/>
              <w:left w:val="single" w:sz="4" w:space="0" w:color="auto"/>
              <w:bottom w:val="single" w:sz="4" w:space="0" w:color="auto"/>
              <w:right w:val="single" w:sz="4" w:space="0" w:color="auto"/>
            </w:tcBorders>
            <w:hideMark/>
          </w:tcPr>
          <w:p w14:paraId="6C21447E" w14:textId="77777777" w:rsidR="00A47436" w:rsidRDefault="00A47436">
            <w:pPr>
              <w:rPr>
                <w:noProof/>
                <w:color w:val="000000"/>
                <w:sz w:val="20"/>
                <w:szCs w:val="20"/>
              </w:rPr>
            </w:pPr>
            <w:r>
              <w:rPr>
                <w:noProof/>
                <w:color w:val="000000"/>
                <w:sz w:val="20"/>
                <w:szCs w:val="20"/>
              </w:rPr>
              <w:t>PM10 (Designation of indispensable MDMS and RUs)</w:t>
            </w:r>
          </w:p>
        </w:tc>
        <w:tc>
          <w:tcPr>
            <w:tcW w:w="506" w:type="pct"/>
            <w:tcBorders>
              <w:top w:val="nil"/>
              <w:left w:val="nil"/>
              <w:bottom w:val="single" w:sz="4" w:space="0" w:color="auto"/>
              <w:right w:val="single" w:sz="4" w:space="0" w:color="auto"/>
            </w:tcBorders>
            <w:shd w:val="clear" w:color="000000" w:fill="FFFFFF"/>
            <w:noWrap/>
            <w:hideMark/>
          </w:tcPr>
          <w:p w14:paraId="534D9899" w14:textId="77777777" w:rsidR="00A47436" w:rsidRDefault="00A47436">
            <w:pPr>
              <w:jc w:val="right"/>
              <w:rPr>
                <w:noProof/>
                <w:color w:val="000000"/>
                <w:sz w:val="20"/>
                <w:szCs w:val="20"/>
              </w:rPr>
            </w:pPr>
            <w:r>
              <w:rPr>
                <w:noProof/>
                <w:color w:val="000000"/>
                <w:sz w:val="20"/>
                <w:szCs w:val="20"/>
              </w:rPr>
              <w:t>0.001</w:t>
            </w:r>
          </w:p>
        </w:tc>
        <w:tc>
          <w:tcPr>
            <w:tcW w:w="506" w:type="pct"/>
            <w:tcBorders>
              <w:top w:val="nil"/>
              <w:left w:val="nil"/>
              <w:bottom w:val="single" w:sz="4" w:space="0" w:color="auto"/>
              <w:right w:val="single" w:sz="4" w:space="0" w:color="auto"/>
            </w:tcBorders>
            <w:shd w:val="clear" w:color="000000" w:fill="FFFFFF"/>
            <w:noWrap/>
            <w:hideMark/>
          </w:tcPr>
          <w:p w14:paraId="62E4051D" w14:textId="77777777" w:rsidR="00A47436" w:rsidRDefault="00A47436">
            <w:pPr>
              <w:jc w:val="right"/>
              <w:rPr>
                <w:noProof/>
                <w:color w:val="000000"/>
                <w:sz w:val="20"/>
                <w:szCs w:val="20"/>
              </w:rPr>
            </w:pPr>
            <w:r>
              <w:rPr>
                <w:noProof/>
                <w:color w:val="000000"/>
                <w:sz w:val="20"/>
                <w:szCs w:val="20"/>
              </w:rPr>
              <w:t>0.001</w:t>
            </w:r>
          </w:p>
        </w:tc>
        <w:tc>
          <w:tcPr>
            <w:tcW w:w="506" w:type="pct"/>
            <w:tcBorders>
              <w:top w:val="nil"/>
              <w:left w:val="nil"/>
              <w:bottom w:val="single" w:sz="4" w:space="0" w:color="auto"/>
              <w:right w:val="single" w:sz="4" w:space="0" w:color="auto"/>
            </w:tcBorders>
            <w:shd w:val="clear" w:color="000000" w:fill="FFFFFF"/>
            <w:noWrap/>
            <w:hideMark/>
          </w:tcPr>
          <w:p w14:paraId="60A51A13" w14:textId="77777777" w:rsidR="00A47436" w:rsidRDefault="00A47436">
            <w:pPr>
              <w:jc w:val="right"/>
              <w:rPr>
                <w:noProof/>
                <w:color w:val="000000"/>
                <w:sz w:val="20"/>
                <w:szCs w:val="20"/>
              </w:rPr>
            </w:pPr>
            <w:r>
              <w:rPr>
                <w:noProof/>
                <w:color w:val="000000"/>
                <w:sz w:val="20"/>
                <w:szCs w:val="20"/>
              </w:rPr>
              <w:t>0.001</w:t>
            </w:r>
          </w:p>
        </w:tc>
        <w:tc>
          <w:tcPr>
            <w:tcW w:w="506" w:type="pct"/>
            <w:tcBorders>
              <w:top w:val="nil"/>
              <w:left w:val="nil"/>
              <w:bottom w:val="single" w:sz="4" w:space="0" w:color="auto"/>
              <w:right w:val="single" w:sz="4" w:space="0" w:color="auto"/>
            </w:tcBorders>
            <w:shd w:val="clear" w:color="000000" w:fill="FFFFFF"/>
            <w:noWrap/>
            <w:hideMark/>
          </w:tcPr>
          <w:p w14:paraId="38E6445D" w14:textId="77777777" w:rsidR="00A47436" w:rsidRDefault="00A47436">
            <w:pPr>
              <w:jc w:val="right"/>
              <w:rPr>
                <w:noProof/>
                <w:color w:val="000000"/>
                <w:sz w:val="20"/>
                <w:szCs w:val="20"/>
              </w:rPr>
            </w:pPr>
            <w:r>
              <w:rPr>
                <w:noProof/>
                <w:color w:val="000000"/>
                <w:sz w:val="20"/>
                <w:szCs w:val="20"/>
              </w:rPr>
              <w:t>0.001</w:t>
            </w:r>
          </w:p>
        </w:tc>
      </w:tr>
      <w:tr w:rsidR="008C5012" w14:paraId="199FB7EA" w14:textId="77777777" w:rsidTr="008C5012">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537C39EA" w14:textId="77777777" w:rsidR="00A47436" w:rsidRDefault="00A47436">
            <w:pPr>
              <w:rPr>
                <w:b/>
                <w:bCs/>
                <w:noProof/>
                <w:sz w:val="20"/>
                <w:szCs w:val="20"/>
              </w:rPr>
            </w:pPr>
            <w:r>
              <w:rPr>
                <w:b/>
                <w:bCs/>
                <w:noProof/>
                <w:sz w:val="20"/>
                <w:szCs w:val="20"/>
              </w:rPr>
              <w:t>Adjustment cost savings</w:t>
            </w:r>
          </w:p>
        </w:tc>
        <w:tc>
          <w:tcPr>
            <w:tcW w:w="506" w:type="pct"/>
            <w:tcBorders>
              <w:top w:val="nil"/>
              <w:left w:val="nil"/>
              <w:bottom w:val="single" w:sz="4" w:space="0" w:color="auto"/>
              <w:right w:val="single" w:sz="4" w:space="0" w:color="auto"/>
            </w:tcBorders>
            <w:shd w:val="clear" w:color="000000" w:fill="BDE3FF"/>
            <w:hideMark/>
          </w:tcPr>
          <w:p w14:paraId="5FC698F4" w14:textId="77777777" w:rsidR="00A47436" w:rsidRDefault="00A47436">
            <w:pPr>
              <w:jc w:val="right"/>
              <w:rPr>
                <w:b/>
                <w:bCs/>
                <w:noProof/>
                <w:sz w:val="20"/>
                <w:szCs w:val="20"/>
              </w:rPr>
            </w:pPr>
            <w:r>
              <w:rPr>
                <w:b/>
                <w:bCs/>
                <w:noProof/>
                <w:sz w:val="20"/>
                <w:szCs w:val="20"/>
              </w:rPr>
              <w:t>13.0</w:t>
            </w:r>
          </w:p>
        </w:tc>
        <w:tc>
          <w:tcPr>
            <w:tcW w:w="506" w:type="pct"/>
            <w:tcBorders>
              <w:top w:val="nil"/>
              <w:left w:val="nil"/>
              <w:bottom w:val="single" w:sz="4" w:space="0" w:color="auto"/>
              <w:right w:val="single" w:sz="4" w:space="0" w:color="auto"/>
            </w:tcBorders>
            <w:shd w:val="clear" w:color="000000" w:fill="BDE3FF"/>
            <w:hideMark/>
          </w:tcPr>
          <w:p w14:paraId="60E6A566" w14:textId="77777777" w:rsidR="00A47436" w:rsidRDefault="00A47436">
            <w:pPr>
              <w:jc w:val="right"/>
              <w:rPr>
                <w:b/>
                <w:bCs/>
                <w:noProof/>
                <w:sz w:val="20"/>
                <w:szCs w:val="20"/>
              </w:rPr>
            </w:pPr>
            <w:r>
              <w:rPr>
                <w:b/>
                <w:bCs/>
                <w:noProof/>
                <w:sz w:val="20"/>
                <w:szCs w:val="20"/>
              </w:rPr>
              <w:t>149.0</w:t>
            </w:r>
          </w:p>
        </w:tc>
        <w:tc>
          <w:tcPr>
            <w:tcW w:w="506" w:type="pct"/>
            <w:tcBorders>
              <w:top w:val="nil"/>
              <w:left w:val="nil"/>
              <w:bottom w:val="single" w:sz="4" w:space="0" w:color="auto"/>
              <w:right w:val="single" w:sz="4" w:space="0" w:color="auto"/>
            </w:tcBorders>
            <w:shd w:val="clear" w:color="000000" w:fill="BDE3FF"/>
            <w:hideMark/>
          </w:tcPr>
          <w:p w14:paraId="0B643551" w14:textId="77777777" w:rsidR="00A47436" w:rsidRDefault="00A47436">
            <w:pPr>
              <w:jc w:val="right"/>
              <w:rPr>
                <w:b/>
                <w:bCs/>
                <w:noProof/>
                <w:sz w:val="20"/>
                <w:szCs w:val="20"/>
              </w:rPr>
            </w:pPr>
            <w:r>
              <w:rPr>
                <w:b/>
                <w:bCs/>
                <w:noProof/>
                <w:sz w:val="20"/>
                <w:szCs w:val="20"/>
              </w:rPr>
              <w:t>134.0</w:t>
            </w:r>
          </w:p>
        </w:tc>
        <w:tc>
          <w:tcPr>
            <w:tcW w:w="506" w:type="pct"/>
            <w:tcBorders>
              <w:top w:val="nil"/>
              <w:left w:val="nil"/>
              <w:bottom w:val="single" w:sz="4" w:space="0" w:color="auto"/>
              <w:right w:val="single" w:sz="4" w:space="0" w:color="auto"/>
            </w:tcBorders>
            <w:shd w:val="clear" w:color="000000" w:fill="BDE3FF"/>
            <w:hideMark/>
          </w:tcPr>
          <w:p w14:paraId="1E5E1030" w14:textId="77777777" w:rsidR="00A47436" w:rsidRDefault="00A47436">
            <w:pPr>
              <w:jc w:val="right"/>
              <w:rPr>
                <w:b/>
                <w:bCs/>
                <w:noProof/>
                <w:sz w:val="20"/>
                <w:szCs w:val="20"/>
              </w:rPr>
            </w:pPr>
            <w:r>
              <w:rPr>
                <w:b/>
                <w:bCs/>
                <w:noProof/>
                <w:sz w:val="20"/>
                <w:szCs w:val="20"/>
              </w:rPr>
              <w:t>142.7</w:t>
            </w:r>
          </w:p>
        </w:tc>
      </w:tr>
      <w:tr w:rsidR="00FB6303" w14:paraId="2039D947" w14:textId="77777777" w:rsidTr="008C5012">
        <w:trPr>
          <w:trHeight w:val="285"/>
        </w:trPr>
        <w:tc>
          <w:tcPr>
            <w:tcW w:w="2975" w:type="pct"/>
            <w:tcBorders>
              <w:top w:val="nil"/>
              <w:left w:val="single" w:sz="4" w:space="0" w:color="auto"/>
              <w:bottom w:val="single" w:sz="4" w:space="0" w:color="auto"/>
              <w:right w:val="single" w:sz="4" w:space="0" w:color="auto"/>
            </w:tcBorders>
            <w:hideMark/>
          </w:tcPr>
          <w:p w14:paraId="1F5F4182" w14:textId="77777777" w:rsidR="00A47436" w:rsidRDefault="00A47436">
            <w:pPr>
              <w:rPr>
                <w:noProof/>
                <w:color w:val="000000"/>
                <w:sz w:val="20"/>
                <w:szCs w:val="20"/>
              </w:rPr>
            </w:pPr>
            <w:r>
              <w:rPr>
                <w:noProof/>
                <w:color w:val="000000"/>
                <w:sz w:val="20"/>
                <w:szCs w:val="20"/>
              </w:rPr>
              <w:t>PM11 (Commercial agreement rules indispensable MDMS)</w:t>
            </w:r>
          </w:p>
        </w:tc>
        <w:tc>
          <w:tcPr>
            <w:tcW w:w="506" w:type="pct"/>
            <w:tcBorders>
              <w:top w:val="nil"/>
              <w:left w:val="nil"/>
              <w:bottom w:val="single" w:sz="4" w:space="0" w:color="auto"/>
              <w:right w:val="single" w:sz="4" w:space="0" w:color="auto"/>
            </w:tcBorders>
            <w:shd w:val="clear" w:color="000000" w:fill="FFFFFF"/>
            <w:noWrap/>
            <w:hideMark/>
          </w:tcPr>
          <w:p w14:paraId="2460E63B" w14:textId="77777777" w:rsidR="00A47436" w:rsidRDefault="00A47436">
            <w:pPr>
              <w:jc w:val="right"/>
              <w:rPr>
                <w:noProof/>
                <w:color w:val="000000"/>
                <w:sz w:val="20"/>
                <w:szCs w:val="20"/>
              </w:rPr>
            </w:pPr>
            <w:r>
              <w:rPr>
                <w:noProof/>
                <w:color w:val="000000"/>
                <w:sz w:val="20"/>
                <w:szCs w:val="20"/>
              </w:rPr>
              <w:t>12.0</w:t>
            </w:r>
          </w:p>
        </w:tc>
        <w:tc>
          <w:tcPr>
            <w:tcW w:w="506" w:type="pct"/>
            <w:tcBorders>
              <w:top w:val="nil"/>
              <w:left w:val="nil"/>
              <w:bottom w:val="single" w:sz="4" w:space="0" w:color="auto"/>
              <w:right w:val="single" w:sz="4" w:space="0" w:color="auto"/>
            </w:tcBorders>
            <w:shd w:val="clear" w:color="000000" w:fill="FFFFFF"/>
            <w:noWrap/>
            <w:hideMark/>
          </w:tcPr>
          <w:p w14:paraId="346D1C48" w14:textId="77777777" w:rsidR="00A47436" w:rsidRDefault="00A47436">
            <w:pPr>
              <w:jc w:val="right"/>
              <w:rPr>
                <w:noProof/>
                <w:color w:val="000000"/>
                <w:sz w:val="20"/>
                <w:szCs w:val="20"/>
              </w:rPr>
            </w:pPr>
            <w:r>
              <w:rPr>
                <w:noProof/>
                <w:color w:val="000000"/>
                <w:sz w:val="20"/>
                <w:szCs w:val="20"/>
              </w:rPr>
              <w:t>136.1</w:t>
            </w:r>
          </w:p>
        </w:tc>
        <w:tc>
          <w:tcPr>
            <w:tcW w:w="506" w:type="pct"/>
            <w:tcBorders>
              <w:top w:val="nil"/>
              <w:left w:val="nil"/>
              <w:bottom w:val="single" w:sz="4" w:space="0" w:color="auto"/>
              <w:right w:val="single" w:sz="4" w:space="0" w:color="auto"/>
            </w:tcBorders>
            <w:shd w:val="clear" w:color="000000" w:fill="FFFFFF"/>
            <w:noWrap/>
            <w:hideMark/>
          </w:tcPr>
          <w:p w14:paraId="58E2CE7F" w14:textId="77777777" w:rsidR="00A47436" w:rsidRDefault="00A47436">
            <w:pPr>
              <w:jc w:val="right"/>
              <w:rPr>
                <w:noProof/>
                <w:color w:val="000000"/>
                <w:sz w:val="20"/>
                <w:szCs w:val="20"/>
              </w:rPr>
            </w:pPr>
            <w:r>
              <w:rPr>
                <w:noProof/>
                <w:color w:val="000000"/>
                <w:sz w:val="20"/>
                <w:szCs w:val="20"/>
              </w:rPr>
              <w:t>122.3</w:t>
            </w:r>
          </w:p>
        </w:tc>
        <w:tc>
          <w:tcPr>
            <w:tcW w:w="506" w:type="pct"/>
            <w:tcBorders>
              <w:top w:val="nil"/>
              <w:left w:val="nil"/>
              <w:bottom w:val="single" w:sz="4" w:space="0" w:color="auto"/>
              <w:right w:val="single" w:sz="4" w:space="0" w:color="auto"/>
            </w:tcBorders>
            <w:shd w:val="clear" w:color="000000" w:fill="FFFFFF"/>
            <w:noWrap/>
            <w:hideMark/>
          </w:tcPr>
          <w:p w14:paraId="1018BDE6" w14:textId="77777777" w:rsidR="00A47436" w:rsidRDefault="00A47436">
            <w:pPr>
              <w:jc w:val="right"/>
              <w:rPr>
                <w:noProof/>
                <w:color w:val="000000"/>
                <w:sz w:val="20"/>
                <w:szCs w:val="20"/>
              </w:rPr>
            </w:pPr>
            <w:r>
              <w:rPr>
                <w:noProof/>
                <w:color w:val="000000"/>
                <w:sz w:val="20"/>
                <w:szCs w:val="20"/>
              </w:rPr>
              <w:t>130.4</w:t>
            </w:r>
          </w:p>
        </w:tc>
      </w:tr>
      <w:tr w:rsidR="00FB6303" w14:paraId="7D93C7D6" w14:textId="77777777" w:rsidTr="008C5012">
        <w:trPr>
          <w:trHeight w:val="255"/>
        </w:trPr>
        <w:tc>
          <w:tcPr>
            <w:tcW w:w="2975" w:type="pct"/>
            <w:tcBorders>
              <w:top w:val="nil"/>
              <w:left w:val="single" w:sz="4" w:space="0" w:color="auto"/>
              <w:bottom w:val="single" w:sz="4" w:space="0" w:color="auto"/>
              <w:right w:val="single" w:sz="4" w:space="0" w:color="auto"/>
            </w:tcBorders>
            <w:hideMark/>
          </w:tcPr>
          <w:p w14:paraId="66513F86" w14:textId="77777777" w:rsidR="00A47436" w:rsidRDefault="00A47436">
            <w:pPr>
              <w:rPr>
                <w:noProof/>
                <w:color w:val="000000"/>
                <w:sz w:val="20"/>
                <w:szCs w:val="20"/>
              </w:rPr>
            </w:pPr>
            <w:r>
              <w:rPr>
                <w:noProof/>
                <w:color w:val="000000"/>
                <w:sz w:val="20"/>
                <w:szCs w:val="20"/>
              </w:rPr>
              <w:t>PM12 (Commercial agreement rules indispensable RUs)</w:t>
            </w:r>
          </w:p>
        </w:tc>
        <w:tc>
          <w:tcPr>
            <w:tcW w:w="506" w:type="pct"/>
            <w:tcBorders>
              <w:top w:val="nil"/>
              <w:left w:val="nil"/>
              <w:bottom w:val="single" w:sz="4" w:space="0" w:color="auto"/>
              <w:right w:val="single" w:sz="4" w:space="0" w:color="auto"/>
            </w:tcBorders>
            <w:shd w:val="clear" w:color="000000" w:fill="FFFFFF"/>
            <w:noWrap/>
            <w:hideMark/>
          </w:tcPr>
          <w:p w14:paraId="55FEE380" w14:textId="77777777" w:rsidR="00A47436" w:rsidRDefault="00A47436">
            <w:pPr>
              <w:jc w:val="right"/>
              <w:rPr>
                <w:noProof/>
                <w:color w:val="000000"/>
                <w:sz w:val="20"/>
                <w:szCs w:val="20"/>
              </w:rPr>
            </w:pPr>
            <w:r>
              <w:rPr>
                <w:noProof/>
                <w:color w:val="000000"/>
                <w:sz w:val="20"/>
                <w:szCs w:val="20"/>
              </w:rPr>
              <w:t>1.0</w:t>
            </w:r>
          </w:p>
        </w:tc>
        <w:tc>
          <w:tcPr>
            <w:tcW w:w="506" w:type="pct"/>
            <w:tcBorders>
              <w:top w:val="nil"/>
              <w:left w:val="nil"/>
              <w:bottom w:val="single" w:sz="4" w:space="0" w:color="auto"/>
              <w:right w:val="single" w:sz="4" w:space="0" w:color="auto"/>
            </w:tcBorders>
            <w:shd w:val="clear" w:color="000000" w:fill="FFFFFF"/>
            <w:noWrap/>
            <w:hideMark/>
          </w:tcPr>
          <w:p w14:paraId="2E6A8DF4" w14:textId="77777777" w:rsidR="00A47436" w:rsidRDefault="00A47436">
            <w:pPr>
              <w:jc w:val="right"/>
              <w:rPr>
                <w:noProof/>
                <w:color w:val="000000"/>
                <w:sz w:val="20"/>
                <w:szCs w:val="20"/>
              </w:rPr>
            </w:pPr>
            <w:r>
              <w:rPr>
                <w:noProof/>
                <w:color w:val="000000"/>
                <w:sz w:val="20"/>
                <w:szCs w:val="20"/>
              </w:rPr>
              <w:t>12.9</w:t>
            </w:r>
          </w:p>
        </w:tc>
        <w:tc>
          <w:tcPr>
            <w:tcW w:w="506" w:type="pct"/>
            <w:tcBorders>
              <w:top w:val="nil"/>
              <w:left w:val="nil"/>
              <w:bottom w:val="single" w:sz="4" w:space="0" w:color="auto"/>
              <w:right w:val="single" w:sz="4" w:space="0" w:color="auto"/>
            </w:tcBorders>
            <w:shd w:val="clear" w:color="000000" w:fill="FFFFFF"/>
            <w:noWrap/>
            <w:hideMark/>
          </w:tcPr>
          <w:p w14:paraId="48D4850F" w14:textId="77777777" w:rsidR="00A47436" w:rsidRDefault="00A47436">
            <w:pPr>
              <w:jc w:val="right"/>
              <w:rPr>
                <w:noProof/>
                <w:color w:val="000000"/>
                <w:sz w:val="20"/>
                <w:szCs w:val="20"/>
              </w:rPr>
            </w:pPr>
            <w:r>
              <w:rPr>
                <w:noProof/>
                <w:color w:val="000000"/>
                <w:sz w:val="20"/>
                <w:szCs w:val="20"/>
              </w:rPr>
              <w:t>11.7</w:t>
            </w:r>
          </w:p>
        </w:tc>
        <w:tc>
          <w:tcPr>
            <w:tcW w:w="506" w:type="pct"/>
            <w:tcBorders>
              <w:top w:val="nil"/>
              <w:left w:val="nil"/>
              <w:bottom w:val="single" w:sz="4" w:space="0" w:color="auto"/>
              <w:right w:val="single" w:sz="4" w:space="0" w:color="auto"/>
            </w:tcBorders>
            <w:shd w:val="clear" w:color="000000" w:fill="FFFFFF"/>
            <w:noWrap/>
            <w:hideMark/>
          </w:tcPr>
          <w:p w14:paraId="1C016BDD" w14:textId="77777777" w:rsidR="00A47436" w:rsidRDefault="00A47436">
            <w:pPr>
              <w:jc w:val="right"/>
              <w:rPr>
                <w:noProof/>
                <w:color w:val="000000"/>
                <w:sz w:val="20"/>
                <w:szCs w:val="20"/>
              </w:rPr>
            </w:pPr>
            <w:r>
              <w:rPr>
                <w:noProof/>
                <w:color w:val="000000"/>
                <w:sz w:val="20"/>
                <w:szCs w:val="20"/>
              </w:rPr>
              <w:t>12.3</w:t>
            </w:r>
          </w:p>
        </w:tc>
      </w:tr>
      <w:tr w:rsidR="008C5012" w14:paraId="4A687978" w14:textId="77777777" w:rsidTr="008C5012">
        <w:trPr>
          <w:trHeight w:val="255"/>
        </w:trPr>
        <w:tc>
          <w:tcPr>
            <w:tcW w:w="2975" w:type="pct"/>
            <w:tcBorders>
              <w:top w:val="nil"/>
              <w:left w:val="single" w:sz="4" w:space="0" w:color="auto"/>
              <w:bottom w:val="single" w:sz="4" w:space="0" w:color="auto"/>
              <w:right w:val="single" w:sz="4" w:space="0" w:color="auto"/>
            </w:tcBorders>
            <w:shd w:val="clear" w:color="000000" w:fill="F2F2F2"/>
            <w:noWrap/>
            <w:hideMark/>
          </w:tcPr>
          <w:p w14:paraId="296652AE" w14:textId="77777777" w:rsidR="00A47436" w:rsidRDefault="00A47436">
            <w:pPr>
              <w:rPr>
                <w:b/>
                <w:bCs/>
                <w:noProof/>
                <w:color w:val="000000"/>
                <w:sz w:val="20"/>
                <w:szCs w:val="20"/>
              </w:rPr>
            </w:pPr>
            <w:r>
              <w:rPr>
                <w:b/>
                <w:bCs/>
                <w:noProof/>
                <w:color w:val="000000"/>
                <w:sz w:val="20"/>
                <w:szCs w:val="20"/>
              </w:rPr>
              <w:t>Net costs (-) or net benefit (+)</w:t>
            </w:r>
          </w:p>
        </w:tc>
        <w:tc>
          <w:tcPr>
            <w:tcW w:w="506" w:type="pct"/>
            <w:tcBorders>
              <w:top w:val="nil"/>
              <w:left w:val="nil"/>
              <w:bottom w:val="single" w:sz="4" w:space="0" w:color="auto"/>
              <w:right w:val="single" w:sz="4" w:space="0" w:color="auto"/>
            </w:tcBorders>
            <w:shd w:val="clear" w:color="000000" w:fill="F2F2F2"/>
            <w:noWrap/>
            <w:hideMark/>
          </w:tcPr>
          <w:p w14:paraId="557EB374" w14:textId="77777777" w:rsidR="00A47436" w:rsidRDefault="00A47436">
            <w:pPr>
              <w:jc w:val="right"/>
              <w:rPr>
                <w:b/>
                <w:bCs/>
                <w:noProof/>
                <w:color w:val="000000"/>
                <w:sz w:val="20"/>
                <w:szCs w:val="20"/>
              </w:rPr>
            </w:pPr>
            <w:r>
              <w:rPr>
                <w:b/>
                <w:bCs/>
                <w:noProof/>
                <w:color w:val="000000"/>
                <w:sz w:val="20"/>
                <w:szCs w:val="20"/>
              </w:rPr>
              <w:t>13.0</w:t>
            </w:r>
          </w:p>
        </w:tc>
        <w:tc>
          <w:tcPr>
            <w:tcW w:w="506" w:type="pct"/>
            <w:tcBorders>
              <w:top w:val="nil"/>
              <w:left w:val="nil"/>
              <w:bottom w:val="single" w:sz="4" w:space="0" w:color="auto"/>
              <w:right w:val="single" w:sz="4" w:space="0" w:color="auto"/>
            </w:tcBorders>
            <w:shd w:val="clear" w:color="000000" w:fill="F2F2F2"/>
            <w:noWrap/>
            <w:hideMark/>
          </w:tcPr>
          <w:p w14:paraId="78B74599" w14:textId="77777777" w:rsidR="00A47436" w:rsidRDefault="00A47436">
            <w:pPr>
              <w:jc w:val="right"/>
              <w:rPr>
                <w:b/>
                <w:bCs/>
                <w:noProof/>
                <w:color w:val="000000"/>
                <w:sz w:val="20"/>
                <w:szCs w:val="20"/>
              </w:rPr>
            </w:pPr>
            <w:r>
              <w:rPr>
                <w:b/>
                <w:bCs/>
                <w:noProof/>
                <w:color w:val="000000"/>
                <w:sz w:val="20"/>
                <w:szCs w:val="20"/>
              </w:rPr>
              <w:t>100.9</w:t>
            </w:r>
          </w:p>
        </w:tc>
        <w:tc>
          <w:tcPr>
            <w:tcW w:w="506" w:type="pct"/>
            <w:tcBorders>
              <w:top w:val="nil"/>
              <w:left w:val="nil"/>
              <w:bottom w:val="single" w:sz="4" w:space="0" w:color="auto"/>
              <w:right w:val="single" w:sz="4" w:space="0" w:color="auto"/>
            </w:tcBorders>
            <w:shd w:val="clear" w:color="000000" w:fill="F2F2F2"/>
            <w:noWrap/>
            <w:hideMark/>
          </w:tcPr>
          <w:p w14:paraId="29F60455" w14:textId="77777777" w:rsidR="00A47436" w:rsidRDefault="00A47436">
            <w:pPr>
              <w:jc w:val="right"/>
              <w:rPr>
                <w:b/>
                <w:bCs/>
                <w:noProof/>
                <w:color w:val="000000"/>
                <w:sz w:val="20"/>
                <w:szCs w:val="20"/>
              </w:rPr>
            </w:pPr>
            <w:r>
              <w:rPr>
                <w:b/>
                <w:bCs/>
                <w:noProof/>
                <w:color w:val="000000"/>
                <w:sz w:val="20"/>
                <w:szCs w:val="20"/>
              </w:rPr>
              <w:t>91.8</w:t>
            </w:r>
          </w:p>
        </w:tc>
        <w:tc>
          <w:tcPr>
            <w:tcW w:w="506" w:type="pct"/>
            <w:tcBorders>
              <w:top w:val="nil"/>
              <w:left w:val="nil"/>
              <w:bottom w:val="single" w:sz="4" w:space="0" w:color="auto"/>
              <w:right w:val="single" w:sz="4" w:space="0" w:color="auto"/>
            </w:tcBorders>
            <w:shd w:val="clear" w:color="000000" w:fill="F2F2F2"/>
            <w:noWrap/>
            <w:hideMark/>
          </w:tcPr>
          <w:p w14:paraId="5E10ED32" w14:textId="77777777" w:rsidR="00A47436" w:rsidRDefault="00A47436">
            <w:pPr>
              <w:jc w:val="right"/>
              <w:rPr>
                <w:b/>
                <w:bCs/>
                <w:noProof/>
                <w:color w:val="000000"/>
                <w:sz w:val="20"/>
                <w:szCs w:val="20"/>
              </w:rPr>
            </w:pPr>
            <w:r>
              <w:rPr>
                <w:b/>
                <w:bCs/>
                <w:noProof/>
                <w:color w:val="000000"/>
                <w:sz w:val="20"/>
                <w:szCs w:val="20"/>
              </w:rPr>
              <w:t>97.6</w:t>
            </w:r>
          </w:p>
        </w:tc>
      </w:tr>
    </w:tbl>
    <w:p w14:paraId="488CB284" w14:textId="77777777" w:rsidR="00BC6346" w:rsidRPr="00D71008" w:rsidRDefault="00BC6346" w:rsidP="00BC6346">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26054E74" w14:textId="70FA66F8" w:rsidR="001D6301" w:rsidRDefault="00E953CE" w:rsidP="001D6301">
      <w:pPr>
        <w:pStyle w:val="Text2"/>
        <w:spacing w:after="0"/>
        <w:ind w:left="0"/>
        <w:rPr>
          <w:rFonts w:cs="Times New Roman"/>
          <w:i/>
          <w:noProof/>
          <w:sz w:val="22"/>
          <w:szCs w:val="22"/>
        </w:rPr>
      </w:pPr>
      <w:bookmarkStart w:id="138" w:name="_Ref222863018"/>
      <w:r w:rsidRPr="006333F0">
        <w:rPr>
          <w:rFonts w:cs="Times New Roman"/>
          <w:i/>
          <w:noProof/>
          <w:sz w:val="22"/>
          <w:szCs w:val="22"/>
        </w:rPr>
        <w:t xml:space="preserve">Table </w:t>
      </w:r>
      <w:r w:rsidRPr="006333F0">
        <w:rPr>
          <w:rFonts w:cs="Times New Roman"/>
          <w:i/>
          <w:iCs/>
          <w:noProof/>
          <w:sz w:val="22"/>
          <w:szCs w:val="22"/>
        </w:rPr>
        <w:fldChar w:fldCharType="begin"/>
      </w:r>
      <w:r w:rsidRPr="006333F0">
        <w:rPr>
          <w:rFonts w:cs="Times New Roman"/>
          <w:i/>
          <w:iCs/>
          <w:noProof/>
          <w:sz w:val="22"/>
          <w:szCs w:val="22"/>
        </w:rPr>
        <w:instrText xml:space="preserve"> SEQ Table \* ARABIC </w:instrText>
      </w:r>
      <w:r w:rsidRPr="006333F0">
        <w:rPr>
          <w:rFonts w:cs="Times New Roman"/>
          <w:i/>
          <w:iCs/>
          <w:noProof/>
          <w:sz w:val="22"/>
          <w:szCs w:val="22"/>
        </w:rPr>
        <w:fldChar w:fldCharType="separate"/>
      </w:r>
      <w:r w:rsidR="0055391F">
        <w:rPr>
          <w:rFonts w:cs="Times New Roman"/>
          <w:i/>
          <w:iCs/>
          <w:noProof/>
          <w:sz w:val="22"/>
          <w:szCs w:val="22"/>
        </w:rPr>
        <w:t>8</w:t>
      </w:r>
      <w:r w:rsidRPr="006333F0">
        <w:rPr>
          <w:rFonts w:cs="Times New Roman"/>
          <w:i/>
          <w:iCs/>
          <w:noProof/>
          <w:sz w:val="22"/>
          <w:szCs w:val="22"/>
        </w:rPr>
        <w:fldChar w:fldCharType="end"/>
      </w:r>
      <w:bookmarkEnd w:id="138"/>
      <w:r w:rsidRPr="004E336D">
        <w:rPr>
          <w:rFonts w:cs="Times New Roman"/>
          <w:i/>
          <w:noProof/>
          <w:sz w:val="22"/>
          <w:szCs w:val="22"/>
        </w:rPr>
        <w:t xml:space="preserve">: One-off </w:t>
      </w:r>
      <w:r w:rsidRPr="006333F0">
        <w:rPr>
          <w:rFonts w:cs="Times New Roman"/>
          <w:i/>
          <w:noProof/>
          <w:sz w:val="22"/>
          <w:szCs w:val="22"/>
        </w:rPr>
        <w:t>cost</w:t>
      </w:r>
      <w:r>
        <w:rPr>
          <w:rFonts w:cs="Times New Roman"/>
          <w:i/>
          <w:noProof/>
          <w:sz w:val="22"/>
          <w:szCs w:val="22"/>
        </w:rPr>
        <w:t xml:space="preserve">s </w:t>
      </w:r>
      <w:r w:rsidRPr="004E336D">
        <w:rPr>
          <w:rFonts w:cs="Times New Roman"/>
          <w:i/>
          <w:noProof/>
          <w:sz w:val="22"/>
          <w:szCs w:val="22"/>
        </w:rPr>
        <w:t>for transport operators in the POs relative to the baseline (EU27), expressed as present value over 2028-2050, in million EUR (2024 prices)</w:t>
      </w:r>
    </w:p>
    <w:tbl>
      <w:tblPr>
        <w:tblW w:w="5000" w:type="pct"/>
        <w:tblLook w:val="04A0" w:firstRow="1" w:lastRow="0" w:firstColumn="1" w:lastColumn="0" w:noHBand="0" w:noVBand="1"/>
      </w:tblPr>
      <w:tblGrid>
        <w:gridCol w:w="5713"/>
        <w:gridCol w:w="972"/>
        <w:gridCol w:w="972"/>
        <w:gridCol w:w="972"/>
        <w:gridCol w:w="974"/>
      </w:tblGrid>
      <w:tr w:rsidR="00E33B01" w14:paraId="70E3A74D" w14:textId="77777777" w:rsidTr="00881DD2">
        <w:trPr>
          <w:trHeight w:val="255"/>
        </w:trPr>
        <w:tc>
          <w:tcPr>
            <w:tcW w:w="2975"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7C828790" w14:textId="77777777" w:rsidR="00E33B01" w:rsidRDefault="00E33B01">
            <w:pPr>
              <w:jc w:val="center"/>
              <w:rPr>
                <w:b/>
                <w:bCs/>
                <w:noProof/>
                <w:color w:val="FFFFFF"/>
                <w:sz w:val="20"/>
                <w:szCs w:val="20"/>
              </w:rPr>
            </w:pPr>
            <w:r>
              <w:rPr>
                <w:b/>
                <w:bCs/>
                <w:noProof/>
                <w:color w:val="FFFFFF"/>
                <w:sz w:val="20"/>
                <w:szCs w:val="20"/>
              </w:rPr>
              <w:t> </w:t>
            </w:r>
          </w:p>
        </w:tc>
        <w:tc>
          <w:tcPr>
            <w:tcW w:w="2025" w:type="pct"/>
            <w:gridSpan w:val="4"/>
            <w:tcBorders>
              <w:top w:val="single" w:sz="4" w:space="0" w:color="auto"/>
              <w:left w:val="nil"/>
              <w:bottom w:val="single" w:sz="4" w:space="0" w:color="auto"/>
              <w:right w:val="single" w:sz="4" w:space="0" w:color="auto"/>
            </w:tcBorders>
            <w:shd w:val="clear" w:color="000000" w:fill="0070C0"/>
            <w:hideMark/>
          </w:tcPr>
          <w:p w14:paraId="3697995F" w14:textId="77777777" w:rsidR="00E33B01" w:rsidRDefault="00E33B01">
            <w:pPr>
              <w:jc w:val="center"/>
              <w:rPr>
                <w:b/>
                <w:bCs/>
                <w:noProof/>
                <w:color w:val="FFFFFF"/>
                <w:sz w:val="20"/>
                <w:szCs w:val="20"/>
              </w:rPr>
            </w:pPr>
            <w:r>
              <w:rPr>
                <w:b/>
                <w:bCs/>
                <w:noProof/>
                <w:color w:val="FFFFFF"/>
                <w:sz w:val="20"/>
                <w:szCs w:val="20"/>
              </w:rPr>
              <w:t>Difference to baseline</w:t>
            </w:r>
          </w:p>
        </w:tc>
      </w:tr>
      <w:tr w:rsidR="00554F20" w14:paraId="74A95BB1" w14:textId="77777777" w:rsidTr="00881DD2">
        <w:trPr>
          <w:trHeight w:val="255"/>
        </w:trPr>
        <w:tc>
          <w:tcPr>
            <w:tcW w:w="2975" w:type="pct"/>
            <w:vMerge/>
            <w:tcBorders>
              <w:top w:val="single" w:sz="4" w:space="0" w:color="auto"/>
              <w:left w:val="single" w:sz="4" w:space="0" w:color="auto"/>
              <w:bottom w:val="single" w:sz="4" w:space="0" w:color="auto"/>
              <w:right w:val="single" w:sz="4" w:space="0" w:color="auto"/>
            </w:tcBorders>
            <w:hideMark/>
          </w:tcPr>
          <w:p w14:paraId="68963459" w14:textId="77777777" w:rsidR="00E33B01" w:rsidRDefault="00E33B01">
            <w:pPr>
              <w:rPr>
                <w:b/>
                <w:bCs/>
                <w:noProof/>
                <w:color w:val="FFFFFF"/>
                <w:sz w:val="20"/>
                <w:szCs w:val="20"/>
              </w:rPr>
            </w:pPr>
          </w:p>
        </w:tc>
        <w:tc>
          <w:tcPr>
            <w:tcW w:w="506" w:type="pct"/>
            <w:tcBorders>
              <w:top w:val="nil"/>
              <w:left w:val="nil"/>
              <w:bottom w:val="single" w:sz="4" w:space="0" w:color="auto"/>
              <w:right w:val="single" w:sz="4" w:space="0" w:color="auto"/>
            </w:tcBorders>
            <w:shd w:val="clear" w:color="000000" w:fill="0070C0"/>
            <w:hideMark/>
          </w:tcPr>
          <w:p w14:paraId="65633271" w14:textId="77777777" w:rsidR="00E33B01" w:rsidRDefault="00E33B01">
            <w:pPr>
              <w:jc w:val="center"/>
              <w:rPr>
                <w:b/>
                <w:bCs/>
                <w:noProof/>
                <w:color w:val="FFFFFF"/>
                <w:sz w:val="20"/>
                <w:szCs w:val="20"/>
              </w:rPr>
            </w:pPr>
            <w:r>
              <w:rPr>
                <w:b/>
                <w:bCs/>
                <w:noProof/>
                <w:color w:val="FFFFFF"/>
                <w:sz w:val="20"/>
                <w:szCs w:val="20"/>
              </w:rPr>
              <w:t>PO1</w:t>
            </w:r>
          </w:p>
        </w:tc>
        <w:tc>
          <w:tcPr>
            <w:tcW w:w="506" w:type="pct"/>
            <w:tcBorders>
              <w:top w:val="nil"/>
              <w:left w:val="nil"/>
              <w:bottom w:val="single" w:sz="4" w:space="0" w:color="auto"/>
              <w:right w:val="single" w:sz="4" w:space="0" w:color="auto"/>
            </w:tcBorders>
            <w:shd w:val="clear" w:color="000000" w:fill="0070C0"/>
            <w:hideMark/>
          </w:tcPr>
          <w:p w14:paraId="2992F969" w14:textId="77777777" w:rsidR="00E33B01" w:rsidRDefault="00E33B01">
            <w:pPr>
              <w:jc w:val="center"/>
              <w:rPr>
                <w:b/>
                <w:bCs/>
                <w:noProof/>
                <w:color w:val="FFFFFF"/>
                <w:sz w:val="20"/>
                <w:szCs w:val="20"/>
              </w:rPr>
            </w:pPr>
            <w:r>
              <w:rPr>
                <w:b/>
                <w:bCs/>
                <w:noProof/>
                <w:color w:val="FFFFFF"/>
                <w:sz w:val="20"/>
                <w:szCs w:val="20"/>
              </w:rPr>
              <w:t>PO2</w:t>
            </w:r>
          </w:p>
        </w:tc>
        <w:tc>
          <w:tcPr>
            <w:tcW w:w="506" w:type="pct"/>
            <w:tcBorders>
              <w:top w:val="nil"/>
              <w:left w:val="nil"/>
              <w:bottom w:val="single" w:sz="4" w:space="0" w:color="auto"/>
              <w:right w:val="single" w:sz="4" w:space="0" w:color="auto"/>
            </w:tcBorders>
            <w:shd w:val="clear" w:color="000000" w:fill="0070C0"/>
            <w:hideMark/>
          </w:tcPr>
          <w:p w14:paraId="0676FB41" w14:textId="77777777" w:rsidR="00E33B01" w:rsidRDefault="00E33B01">
            <w:pPr>
              <w:jc w:val="center"/>
              <w:rPr>
                <w:b/>
                <w:bCs/>
                <w:noProof/>
                <w:color w:val="FFFFFF"/>
                <w:sz w:val="20"/>
                <w:szCs w:val="20"/>
              </w:rPr>
            </w:pPr>
            <w:r>
              <w:rPr>
                <w:b/>
                <w:bCs/>
                <w:noProof/>
                <w:color w:val="FFFFFF"/>
                <w:sz w:val="20"/>
                <w:szCs w:val="20"/>
              </w:rPr>
              <w:t>PO3</w:t>
            </w:r>
          </w:p>
        </w:tc>
        <w:tc>
          <w:tcPr>
            <w:tcW w:w="506" w:type="pct"/>
            <w:tcBorders>
              <w:top w:val="nil"/>
              <w:left w:val="nil"/>
              <w:bottom w:val="single" w:sz="4" w:space="0" w:color="auto"/>
              <w:right w:val="single" w:sz="4" w:space="0" w:color="auto"/>
            </w:tcBorders>
            <w:shd w:val="clear" w:color="000000" w:fill="0070C0"/>
            <w:hideMark/>
          </w:tcPr>
          <w:p w14:paraId="1D919261" w14:textId="77777777" w:rsidR="00E33B01" w:rsidRDefault="00E33B01">
            <w:pPr>
              <w:jc w:val="center"/>
              <w:rPr>
                <w:b/>
                <w:bCs/>
                <w:noProof/>
                <w:color w:val="FFFFFF"/>
                <w:sz w:val="20"/>
                <w:szCs w:val="20"/>
              </w:rPr>
            </w:pPr>
            <w:r>
              <w:rPr>
                <w:b/>
                <w:bCs/>
                <w:noProof/>
                <w:color w:val="FFFFFF"/>
                <w:sz w:val="20"/>
                <w:szCs w:val="20"/>
              </w:rPr>
              <w:t>PO4</w:t>
            </w:r>
          </w:p>
        </w:tc>
      </w:tr>
      <w:tr w:rsidR="00881DD2" w14:paraId="56D67A1A" w14:textId="77777777" w:rsidTr="00881DD2">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202F87F1" w14:textId="77777777" w:rsidR="00E33B01" w:rsidRDefault="00E33B01">
            <w:pPr>
              <w:rPr>
                <w:b/>
                <w:bCs/>
                <w:noProof/>
                <w:sz w:val="20"/>
                <w:szCs w:val="20"/>
              </w:rPr>
            </w:pPr>
            <w:r>
              <w:rPr>
                <w:b/>
                <w:bCs/>
                <w:noProof/>
                <w:sz w:val="20"/>
                <w:szCs w:val="20"/>
              </w:rPr>
              <w:t>Adjustment costs</w:t>
            </w:r>
          </w:p>
        </w:tc>
        <w:tc>
          <w:tcPr>
            <w:tcW w:w="506" w:type="pct"/>
            <w:tcBorders>
              <w:top w:val="nil"/>
              <w:left w:val="nil"/>
              <w:bottom w:val="single" w:sz="4" w:space="0" w:color="auto"/>
              <w:right w:val="single" w:sz="4" w:space="0" w:color="auto"/>
            </w:tcBorders>
            <w:shd w:val="clear" w:color="000000" w:fill="BDE3FF"/>
            <w:hideMark/>
          </w:tcPr>
          <w:p w14:paraId="5A7EFF17" w14:textId="77777777" w:rsidR="00E33B01" w:rsidRDefault="00E33B01">
            <w:pPr>
              <w:jc w:val="right"/>
              <w:rPr>
                <w:b/>
                <w:bCs/>
                <w:noProof/>
                <w:sz w:val="20"/>
                <w:szCs w:val="20"/>
              </w:rPr>
            </w:pPr>
            <w:r>
              <w:rPr>
                <w:b/>
                <w:bCs/>
                <w:noProof/>
                <w:sz w:val="20"/>
                <w:szCs w:val="20"/>
              </w:rPr>
              <w:t>0.0</w:t>
            </w:r>
          </w:p>
        </w:tc>
        <w:tc>
          <w:tcPr>
            <w:tcW w:w="506" w:type="pct"/>
            <w:tcBorders>
              <w:top w:val="nil"/>
              <w:left w:val="nil"/>
              <w:bottom w:val="single" w:sz="4" w:space="0" w:color="auto"/>
              <w:right w:val="single" w:sz="4" w:space="0" w:color="auto"/>
            </w:tcBorders>
            <w:shd w:val="clear" w:color="000000" w:fill="BDE3FF"/>
            <w:hideMark/>
          </w:tcPr>
          <w:p w14:paraId="550D0DB0" w14:textId="77777777" w:rsidR="00E33B01" w:rsidRDefault="00E33B01">
            <w:pPr>
              <w:jc w:val="right"/>
              <w:rPr>
                <w:b/>
                <w:bCs/>
                <w:noProof/>
                <w:sz w:val="20"/>
                <w:szCs w:val="20"/>
              </w:rPr>
            </w:pPr>
            <w:r>
              <w:rPr>
                <w:b/>
                <w:bCs/>
                <w:noProof/>
                <w:sz w:val="20"/>
                <w:szCs w:val="20"/>
              </w:rPr>
              <w:t>48.2</w:t>
            </w:r>
          </w:p>
        </w:tc>
        <w:tc>
          <w:tcPr>
            <w:tcW w:w="506" w:type="pct"/>
            <w:tcBorders>
              <w:top w:val="nil"/>
              <w:left w:val="nil"/>
              <w:bottom w:val="single" w:sz="4" w:space="0" w:color="auto"/>
              <w:right w:val="single" w:sz="4" w:space="0" w:color="auto"/>
            </w:tcBorders>
            <w:shd w:val="clear" w:color="000000" w:fill="BDE3FF"/>
            <w:hideMark/>
          </w:tcPr>
          <w:p w14:paraId="70D30E33" w14:textId="77777777" w:rsidR="00E33B01" w:rsidRDefault="00E33B01">
            <w:pPr>
              <w:jc w:val="right"/>
              <w:rPr>
                <w:b/>
                <w:bCs/>
                <w:noProof/>
                <w:sz w:val="20"/>
                <w:szCs w:val="20"/>
              </w:rPr>
            </w:pPr>
            <w:r>
              <w:rPr>
                <w:b/>
                <w:bCs/>
                <w:noProof/>
                <w:sz w:val="20"/>
                <w:szCs w:val="20"/>
              </w:rPr>
              <w:t>42.2</w:t>
            </w:r>
          </w:p>
        </w:tc>
        <w:tc>
          <w:tcPr>
            <w:tcW w:w="506" w:type="pct"/>
            <w:tcBorders>
              <w:top w:val="nil"/>
              <w:left w:val="nil"/>
              <w:bottom w:val="single" w:sz="4" w:space="0" w:color="auto"/>
              <w:right w:val="single" w:sz="4" w:space="0" w:color="auto"/>
            </w:tcBorders>
            <w:shd w:val="clear" w:color="000000" w:fill="BDE3FF"/>
            <w:hideMark/>
          </w:tcPr>
          <w:p w14:paraId="6BD49EA1" w14:textId="77777777" w:rsidR="00E33B01" w:rsidRDefault="00E33B01">
            <w:pPr>
              <w:jc w:val="right"/>
              <w:rPr>
                <w:b/>
                <w:bCs/>
                <w:noProof/>
                <w:sz w:val="20"/>
                <w:szCs w:val="20"/>
              </w:rPr>
            </w:pPr>
            <w:r>
              <w:rPr>
                <w:b/>
                <w:bCs/>
                <w:noProof/>
                <w:sz w:val="20"/>
                <w:szCs w:val="20"/>
              </w:rPr>
              <w:t>45.2</w:t>
            </w:r>
          </w:p>
        </w:tc>
      </w:tr>
      <w:tr w:rsidR="008F1B96" w14:paraId="71D232C8" w14:textId="77777777" w:rsidTr="00881DD2">
        <w:trPr>
          <w:trHeight w:val="255"/>
        </w:trPr>
        <w:tc>
          <w:tcPr>
            <w:tcW w:w="2975" w:type="pct"/>
            <w:tcBorders>
              <w:top w:val="nil"/>
              <w:left w:val="single" w:sz="4" w:space="0" w:color="auto"/>
              <w:bottom w:val="single" w:sz="4" w:space="0" w:color="auto"/>
              <w:right w:val="single" w:sz="4" w:space="0" w:color="auto"/>
            </w:tcBorders>
            <w:hideMark/>
          </w:tcPr>
          <w:p w14:paraId="7D171BC5" w14:textId="77777777" w:rsidR="00E33B01" w:rsidRDefault="00E33B01">
            <w:pPr>
              <w:rPr>
                <w:noProof/>
                <w:color w:val="000000"/>
                <w:sz w:val="20"/>
                <w:szCs w:val="20"/>
              </w:rPr>
            </w:pPr>
            <w:r>
              <w:rPr>
                <w:noProof/>
                <w:color w:val="000000"/>
                <w:sz w:val="20"/>
                <w:szCs w:val="20"/>
              </w:rPr>
              <w:t>PM13 (Obligation to share)</w:t>
            </w:r>
          </w:p>
        </w:tc>
        <w:tc>
          <w:tcPr>
            <w:tcW w:w="506" w:type="pct"/>
            <w:tcBorders>
              <w:top w:val="nil"/>
              <w:left w:val="nil"/>
              <w:bottom w:val="single" w:sz="4" w:space="0" w:color="auto"/>
              <w:right w:val="single" w:sz="4" w:space="0" w:color="auto"/>
            </w:tcBorders>
            <w:shd w:val="clear" w:color="000000" w:fill="FFFFFF"/>
            <w:noWrap/>
            <w:hideMark/>
          </w:tcPr>
          <w:p w14:paraId="7A915D15" w14:textId="77777777" w:rsidR="00E33B01" w:rsidRDefault="00E33B01">
            <w:pPr>
              <w:jc w:val="right"/>
              <w:rPr>
                <w:noProof/>
                <w:color w:val="000000"/>
                <w:sz w:val="20"/>
                <w:szCs w:val="20"/>
              </w:rPr>
            </w:pPr>
            <w:r>
              <w:rPr>
                <w:noProof/>
                <w:color w:val="000000"/>
                <w:sz w:val="20"/>
                <w:szCs w:val="20"/>
              </w:rPr>
              <w:t>0.0</w:t>
            </w:r>
          </w:p>
        </w:tc>
        <w:tc>
          <w:tcPr>
            <w:tcW w:w="506" w:type="pct"/>
            <w:tcBorders>
              <w:top w:val="nil"/>
              <w:left w:val="nil"/>
              <w:bottom w:val="single" w:sz="4" w:space="0" w:color="auto"/>
              <w:right w:val="single" w:sz="4" w:space="0" w:color="auto"/>
            </w:tcBorders>
            <w:shd w:val="clear" w:color="000000" w:fill="FFFFFF"/>
            <w:noWrap/>
            <w:hideMark/>
          </w:tcPr>
          <w:p w14:paraId="35ACED09" w14:textId="77777777" w:rsidR="00E33B01" w:rsidRDefault="00E33B01">
            <w:pPr>
              <w:jc w:val="right"/>
              <w:rPr>
                <w:noProof/>
                <w:color w:val="000000"/>
                <w:sz w:val="20"/>
                <w:szCs w:val="20"/>
              </w:rPr>
            </w:pPr>
            <w:r>
              <w:rPr>
                <w:noProof/>
                <w:color w:val="000000"/>
                <w:sz w:val="20"/>
                <w:szCs w:val="20"/>
              </w:rPr>
              <w:t>48.2</w:t>
            </w:r>
          </w:p>
        </w:tc>
        <w:tc>
          <w:tcPr>
            <w:tcW w:w="506" w:type="pct"/>
            <w:tcBorders>
              <w:top w:val="nil"/>
              <w:left w:val="nil"/>
              <w:bottom w:val="single" w:sz="4" w:space="0" w:color="auto"/>
              <w:right w:val="single" w:sz="4" w:space="0" w:color="auto"/>
            </w:tcBorders>
            <w:shd w:val="clear" w:color="000000" w:fill="FFFFFF"/>
            <w:noWrap/>
            <w:hideMark/>
          </w:tcPr>
          <w:p w14:paraId="460E363B" w14:textId="77777777" w:rsidR="00E33B01" w:rsidRDefault="00E33B01">
            <w:pPr>
              <w:jc w:val="right"/>
              <w:rPr>
                <w:noProof/>
                <w:color w:val="000000"/>
                <w:sz w:val="20"/>
                <w:szCs w:val="20"/>
              </w:rPr>
            </w:pPr>
            <w:r>
              <w:rPr>
                <w:noProof/>
                <w:color w:val="000000"/>
                <w:sz w:val="20"/>
                <w:szCs w:val="20"/>
              </w:rPr>
              <w:t>42.2</w:t>
            </w:r>
          </w:p>
        </w:tc>
        <w:tc>
          <w:tcPr>
            <w:tcW w:w="506" w:type="pct"/>
            <w:tcBorders>
              <w:top w:val="nil"/>
              <w:left w:val="nil"/>
              <w:bottom w:val="single" w:sz="4" w:space="0" w:color="auto"/>
              <w:right w:val="single" w:sz="4" w:space="0" w:color="auto"/>
            </w:tcBorders>
            <w:shd w:val="clear" w:color="000000" w:fill="FFFFFF"/>
            <w:noWrap/>
            <w:hideMark/>
          </w:tcPr>
          <w:p w14:paraId="2A43459C" w14:textId="77777777" w:rsidR="00E33B01" w:rsidRDefault="00E33B01">
            <w:pPr>
              <w:jc w:val="right"/>
              <w:rPr>
                <w:noProof/>
                <w:color w:val="000000"/>
                <w:sz w:val="20"/>
                <w:szCs w:val="20"/>
              </w:rPr>
            </w:pPr>
            <w:r>
              <w:rPr>
                <w:noProof/>
                <w:color w:val="000000"/>
                <w:sz w:val="20"/>
                <w:szCs w:val="20"/>
              </w:rPr>
              <w:t>45.2</w:t>
            </w:r>
          </w:p>
        </w:tc>
      </w:tr>
      <w:tr w:rsidR="00881DD2" w14:paraId="1D0904F1" w14:textId="77777777" w:rsidTr="00881DD2">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27F31CF1" w14:textId="77777777" w:rsidR="00E33B01" w:rsidRDefault="00E33B01">
            <w:pPr>
              <w:rPr>
                <w:b/>
                <w:bCs/>
                <w:noProof/>
                <w:sz w:val="20"/>
                <w:szCs w:val="20"/>
              </w:rPr>
            </w:pPr>
            <w:r>
              <w:rPr>
                <w:b/>
                <w:bCs/>
                <w:noProof/>
                <w:sz w:val="20"/>
                <w:szCs w:val="20"/>
              </w:rPr>
              <w:t>Administrative costs</w:t>
            </w:r>
          </w:p>
        </w:tc>
        <w:tc>
          <w:tcPr>
            <w:tcW w:w="506" w:type="pct"/>
            <w:tcBorders>
              <w:top w:val="nil"/>
              <w:left w:val="nil"/>
              <w:bottom w:val="single" w:sz="4" w:space="0" w:color="auto"/>
              <w:right w:val="single" w:sz="4" w:space="0" w:color="auto"/>
            </w:tcBorders>
            <w:shd w:val="clear" w:color="000000" w:fill="BDE3FF"/>
            <w:hideMark/>
          </w:tcPr>
          <w:p w14:paraId="34AA0DD0" w14:textId="77777777" w:rsidR="00E33B01" w:rsidRDefault="00E33B01">
            <w:pPr>
              <w:jc w:val="right"/>
              <w:rPr>
                <w:b/>
                <w:bCs/>
                <w:noProof/>
                <w:sz w:val="20"/>
                <w:szCs w:val="20"/>
              </w:rPr>
            </w:pPr>
            <w:r>
              <w:rPr>
                <w:b/>
                <w:bCs/>
                <w:noProof/>
                <w:sz w:val="20"/>
                <w:szCs w:val="20"/>
              </w:rPr>
              <w:t>0.001</w:t>
            </w:r>
          </w:p>
        </w:tc>
        <w:tc>
          <w:tcPr>
            <w:tcW w:w="506" w:type="pct"/>
            <w:tcBorders>
              <w:top w:val="nil"/>
              <w:left w:val="nil"/>
              <w:bottom w:val="single" w:sz="4" w:space="0" w:color="auto"/>
              <w:right w:val="single" w:sz="4" w:space="0" w:color="auto"/>
            </w:tcBorders>
            <w:shd w:val="clear" w:color="000000" w:fill="BDE3FF"/>
            <w:hideMark/>
          </w:tcPr>
          <w:p w14:paraId="7AE0AA3E" w14:textId="77777777" w:rsidR="00E33B01" w:rsidRDefault="00E33B01">
            <w:pPr>
              <w:jc w:val="right"/>
              <w:rPr>
                <w:b/>
                <w:bCs/>
                <w:noProof/>
                <w:sz w:val="20"/>
                <w:szCs w:val="20"/>
              </w:rPr>
            </w:pPr>
            <w:r>
              <w:rPr>
                <w:b/>
                <w:bCs/>
                <w:noProof/>
                <w:sz w:val="20"/>
                <w:szCs w:val="20"/>
              </w:rPr>
              <w:t>0.001</w:t>
            </w:r>
          </w:p>
        </w:tc>
        <w:tc>
          <w:tcPr>
            <w:tcW w:w="506" w:type="pct"/>
            <w:tcBorders>
              <w:top w:val="nil"/>
              <w:left w:val="nil"/>
              <w:bottom w:val="single" w:sz="4" w:space="0" w:color="auto"/>
              <w:right w:val="single" w:sz="4" w:space="0" w:color="auto"/>
            </w:tcBorders>
            <w:shd w:val="clear" w:color="000000" w:fill="BDE3FF"/>
            <w:hideMark/>
          </w:tcPr>
          <w:p w14:paraId="17F009E2" w14:textId="77777777" w:rsidR="00E33B01" w:rsidRDefault="00E33B01">
            <w:pPr>
              <w:jc w:val="right"/>
              <w:rPr>
                <w:b/>
                <w:bCs/>
                <w:noProof/>
                <w:sz w:val="20"/>
                <w:szCs w:val="20"/>
              </w:rPr>
            </w:pPr>
            <w:r>
              <w:rPr>
                <w:b/>
                <w:bCs/>
                <w:noProof/>
                <w:sz w:val="20"/>
                <w:szCs w:val="20"/>
              </w:rPr>
              <w:t>0.001</w:t>
            </w:r>
          </w:p>
        </w:tc>
        <w:tc>
          <w:tcPr>
            <w:tcW w:w="506" w:type="pct"/>
            <w:tcBorders>
              <w:top w:val="nil"/>
              <w:left w:val="nil"/>
              <w:bottom w:val="single" w:sz="4" w:space="0" w:color="auto"/>
              <w:right w:val="single" w:sz="4" w:space="0" w:color="auto"/>
            </w:tcBorders>
            <w:shd w:val="clear" w:color="000000" w:fill="BDE3FF"/>
            <w:hideMark/>
          </w:tcPr>
          <w:p w14:paraId="6EB7D23B" w14:textId="77777777" w:rsidR="00E33B01" w:rsidRDefault="00E33B01">
            <w:pPr>
              <w:jc w:val="right"/>
              <w:rPr>
                <w:b/>
                <w:bCs/>
                <w:noProof/>
                <w:sz w:val="20"/>
                <w:szCs w:val="20"/>
              </w:rPr>
            </w:pPr>
            <w:r>
              <w:rPr>
                <w:b/>
                <w:bCs/>
                <w:noProof/>
                <w:sz w:val="20"/>
                <w:szCs w:val="20"/>
              </w:rPr>
              <w:t>0.001</w:t>
            </w:r>
          </w:p>
        </w:tc>
      </w:tr>
      <w:tr w:rsidR="008F1B96" w14:paraId="2D4DA628" w14:textId="77777777" w:rsidTr="00881DD2">
        <w:trPr>
          <w:trHeight w:val="255"/>
        </w:trPr>
        <w:tc>
          <w:tcPr>
            <w:tcW w:w="2975" w:type="pct"/>
            <w:tcBorders>
              <w:top w:val="nil"/>
              <w:left w:val="single" w:sz="4" w:space="0" w:color="auto"/>
              <w:bottom w:val="single" w:sz="4" w:space="0" w:color="auto"/>
              <w:right w:val="single" w:sz="4" w:space="0" w:color="auto"/>
            </w:tcBorders>
            <w:hideMark/>
          </w:tcPr>
          <w:p w14:paraId="7E0F4D6A" w14:textId="77777777" w:rsidR="00E33B01" w:rsidRDefault="00E33B01">
            <w:pPr>
              <w:rPr>
                <w:noProof/>
                <w:color w:val="000000"/>
                <w:sz w:val="20"/>
                <w:szCs w:val="20"/>
              </w:rPr>
            </w:pPr>
            <w:r>
              <w:rPr>
                <w:noProof/>
                <w:color w:val="000000"/>
                <w:sz w:val="20"/>
                <w:szCs w:val="20"/>
              </w:rPr>
              <w:t>PM10 (Designation of indispensable MDMS and RUs)</w:t>
            </w:r>
          </w:p>
        </w:tc>
        <w:tc>
          <w:tcPr>
            <w:tcW w:w="506" w:type="pct"/>
            <w:tcBorders>
              <w:top w:val="nil"/>
              <w:left w:val="nil"/>
              <w:bottom w:val="single" w:sz="4" w:space="0" w:color="auto"/>
              <w:right w:val="single" w:sz="4" w:space="0" w:color="auto"/>
            </w:tcBorders>
            <w:shd w:val="clear" w:color="000000" w:fill="FFFFFF"/>
            <w:noWrap/>
            <w:hideMark/>
          </w:tcPr>
          <w:p w14:paraId="2C19E0BB" w14:textId="77777777" w:rsidR="00E33B01" w:rsidRDefault="00E33B01">
            <w:pPr>
              <w:jc w:val="right"/>
              <w:rPr>
                <w:noProof/>
                <w:color w:val="000000"/>
                <w:sz w:val="20"/>
                <w:szCs w:val="20"/>
              </w:rPr>
            </w:pPr>
            <w:r>
              <w:rPr>
                <w:noProof/>
                <w:color w:val="000000"/>
                <w:sz w:val="20"/>
                <w:szCs w:val="20"/>
              </w:rPr>
              <w:t>0.001</w:t>
            </w:r>
          </w:p>
        </w:tc>
        <w:tc>
          <w:tcPr>
            <w:tcW w:w="506" w:type="pct"/>
            <w:tcBorders>
              <w:top w:val="nil"/>
              <w:left w:val="nil"/>
              <w:bottom w:val="single" w:sz="4" w:space="0" w:color="auto"/>
              <w:right w:val="single" w:sz="4" w:space="0" w:color="auto"/>
            </w:tcBorders>
            <w:shd w:val="clear" w:color="000000" w:fill="FFFFFF"/>
            <w:noWrap/>
            <w:hideMark/>
          </w:tcPr>
          <w:p w14:paraId="77CF3E45" w14:textId="77777777" w:rsidR="00E33B01" w:rsidRDefault="00E33B01">
            <w:pPr>
              <w:jc w:val="right"/>
              <w:rPr>
                <w:noProof/>
                <w:color w:val="000000"/>
                <w:sz w:val="20"/>
                <w:szCs w:val="20"/>
              </w:rPr>
            </w:pPr>
            <w:r>
              <w:rPr>
                <w:noProof/>
                <w:color w:val="000000"/>
                <w:sz w:val="20"/>
                <w:szCs w:val="20"/>
              </w:rPr>
              <w:t>0.001</w:t>
            </w:r>
          </w:p>
        </w:tc>
        <w:tc>
          <w:tcPr>
            <w:tcW w:w="506" w:type="pct"/>
            <w:tcBorders>
              <w:top w:val="nil"/>
              <w:left w:val="nil"/>
              <w:bottom w:val="single" w:sz="4" w:space="0" w:color="auto"/>
              <w:right w:val="single" w:sz="4" w:space="0" w:color="auto"/>
            </w:tcBorders>
            <w:shd w:val="clear" w:color="000000" w:fill="FFFFFF"/>
            <w:noWrap/>
            <w:hideMark/>
          </w:tcPr>
          <w:p w14:paraId="6494E330" w14:textId="77777777" w:rsidR="00E33B01" w:rsidRDefault="00E33B01">
            <w:pPr>
              <w:jc w:val="right"/>
              <w:rPr>
                <w:noProof/>
                <w:color w:val="000000"/>
                <w:sz w:val="20"/>
                <w:szCs w:val="20"/>
              </w:rPr>
            </w:pPr>
            <w:r>
              <w:rPr>
                <w:noProof/>
                <w:color w:val="000000"/>
                <w:sz w:val="20"/>
                <w:szCs w:val="20"/>
              </w:rPr>
              <w:t>0.001</w:t>
            </w:r>
          </w:p>
        </w:tc>
        <w:tc>
          <w:tcPr>
            <w:tcW w:w="506" w:type="pct"/>
            <w:tcBorders>
              <w:top w:val="nil"/>
              <w:left w:val="nil"/>
              <w:bottom w:val="single" w:sz="4" w:space="0" w:color="auto"/>
              <w:right w:val="single" w:sz="4" w:space="0" w:color="auto"/>
            </w:tcBorders>
            <w:shd w:val="clear" w:color="000000" w:fill="FFFFFF"/>
            <w:noWrap/>
            <w:hideMark/>
          </w:tcPr>
          <w:p w14:paraId="3EDC87AC" w14:textId="77777777" w:rsidR="00E33B01" w:rsidRDefault="00E33B01">
            <w:pPr>
              <w:jc w:val="right"/>
              <w:rPr>
                <w:noProof/>
                <w:color w:val="000000"/>
                <w:sz w:val="20"/>
                <w:szCs w:val="20"/>
              </w:rPr>
            </w:pPr>
            <w:r>
              <w:rPr>
                <w:noProof/>
                <w:color w:val="000000"/>
                <w:sz w:val="20"/>
                <w:szCs w:val="20"/>
              </w:rPr>
              <w:t>0.001</w:t>
            </w:r>
          </w:p>
        </w:tc>
      </w:tr>
      <w:tr w:rsidR="00881DD2" w14:paraId="25767449" w14:textId="77777777" w:rsidTr="00881DD2">
        <w:trPr>
          <w:trHeight w:val="255"/>
        </w:trPr>
        <w:tc>
          <w:tcPr>
            <w:tcW w:w="2975" w:type="pct"/>
            <w:tcBorders>
              <w:top w:val="nil"/>
              <w:left w:val="single" w:sz="4" w:space="0" w:color="auto"/>
              <w:bottom w:val="single" w:sz="4" w:space="0" w:color="auto"/>
              <w:right w:val="single" w:sz="4" w:space="0" w:color="auto"/>
            </w:tcBorders>
            <w:shd w:val="clear" w:color="000000" w:fill="F2F2F2"/>
            <w:noWrap/>
            <w:hideMark/>
          </w:tcPr>
          <w:p w14:paraId="00BA42AA" w14:textId="51D36C87" w:rsidR="00E33B01" w:rsidRDefault="00E33B01">
            <w:pPr>
              <w:rPr>
                <w:b/>
                <w:bCs/>
                <w:noProof/>
                <w:color w:val="000000"/>
                <w:sz w:val="20"/>
                <w:szCs w:val="20"/>
              </w:rPr>
            </w:pPr>
            <w:r w:rsidRPr="00077688">
              <w:rPr>
                <w:b/>
                <w:noProof/>
                <w:color w:val="000000"/>
                <w:sz w:val="20"/>
                <w:szCs w:val="20"/>
              </w:rPr>
              <w:t>Total one-off costs</w:t>
            </w:r>
          </w:p>
        </w:tc>
        <w:tc>
          <w:tcPr>
            <w:tcW w:w="506" w:type="pct"/>
            <w:tcBorders>
              <w:top w:val="nil"/>
              <w:left w:val="nil"/>
              <w:bottom w:val="single" w:sz="4" w:space="0" w:color="auto"/>
              <w:right w:val="single" w:sz="4" w:space="0" w:color="auto"/>
            </w:tcBorders>
            <w:shd w:val="clear" w:color="000000" w:fill="F2F2F2"/>
            <w:noWrap/>
            <w:hideMark/>
          </w:tcPr>
          <w:p w14:paraId="049C21FE" w14:textId="77777777" w:rsidR="00E33B01" w:rsidRDefault="00E33B01">
            <w:pPr>
              <w:jc w:val="right"/>
              <w:rPr>
                <w:b/>
                <w:bCs/>
                <w:noProof/>
                <w:color w:val="000000"/>
                <w:sz w:val="20"/>
                <w:szCs w:val="20"/>
              </w:rPr>
            </w:pPr>
            <w:r>
              <w:rPr>
                <w:b/>
                <w:bCs/>
                <w:noProof/>
                <w:color w:val="000000"/>
                <w:sz w:val="20"/>
                <w:szCs w:val="20"/>
              </w:rPr>
              <w:t>0.0</w:t>
            </w:r>
          </w:p>
        </w:tc>
        <w:tc>
          <w:tcPr>
            <w:tcW w:w="506" w:type="pct"/>
            <w:tcBorders>
              <w:top w:val="nil"/>
              <w:left w:val="nil"/>
              <w:bottom w:val="single" w:sz="4" w:space="0" w:color="auto"/>
              <w:right w:val="single" w:sz="4" w:space="0" w:color="auto"/>
            </w:tcBorders>
            <w:shd w:val="clear" w:color="000000" w:fill="F2F2F2"/>
            <w:noWrap/>
            <w:hideMark/>
          </w:tcPr>
          <w:p w14:paraId="74D0C385" w14:textId="45148E90" w:rsidR="00E33B01" w:rsidRDefault="00E33B01">
            <w:pPr>
              <w:jc w:val="right"/>
              <w:rPr>
                <w:b/>
                <w:bCs/>
                <w:noProof/>
                <w:color w:val="000000"/>
                <w:sz w:val="20"/>
                <w:szCs w:val="20"/>
              </w:rPr>
            </w:pPr>
            <w:r>
              <w:rPr>
                <w:b/>
                <w:bCs/>
                <w:noProof/>
                <w:color w:val="000000"/>
                <w:sz w:val="20"/>
                <w:szCs w:val="20"/>
              </w:rPr>
              <w:t>48.2</w:t>
            </w:r>
          </w:p>
        </w:tc>
        <w:tc>
          <w:tcPr>
            <w:tcW w:w="506" w:type="pct"/>
            <w:tcBorders>
              <w:top w:val="nil"/>
              <w:left w:val="nil"/>
              <w:bottom w:val="single" w:sz="4" w:space="0" w:color="auto"/>
              <w:right w:val="single" w:sz="4" w:space="0" w:color="auto"/>
            </w:tcBorders>
            <w:shd w:val="clear" w:color="000000" w:fill="F2F2F2"/>
            <w:noWrap/>
            <w:hideMark/>
          </w:tcPr>
          <w:p w14:paraId="07E9BE23" w14:textId="6A9430DC" w:rsidR="00E33B01" w:rsidRDefault="00E33B01">
            <w:pPr>
              <w:jc w:val="right"/>
              <w:rPr>
                <w:b/>
                <w:bCs/>
                <w:noProof/>
                <w:color w:val="000000"/>
                <w:sz w:val="20"/>
                <w:szCs w:val="20"/>
              </w:rPr>
            </w:pPr>
            <w:r>
              <w:rPr>
                <w:b/>
                <w:bCs/>
                <w:noProof/>
                <w:color w:val="000000"/>
                <w:sz w:val="20"/>
                <w:szCs w:val="20"/>
              </w:rPr>
              <w:t>42.2</w:t>
            </w:r>
          </w:p>
        </w:tc>
        <w:tc>
          <w:tcPr>
            <w:tcW w:w="506" w:type="pct"/>
            <w:tcBorders>
              <w:top w:val="nil"/>
              <w:left w:val="nil"/>
              <w:bottom w:val="single" w:sz="4" w:space="0" w:color="auto"/>
              <w:right w:val="single" w:sz="4" w:space="0" w:color="auto"/>
            </w:tcBorders>
            <w:shd w:val="clear" w:color="000000" w:fill="F2F2F2"/>
            <w:noWrap/>
            <w:hideMark/>
          </w:tcPr>
          <w:p w14:paraId="2D2FFFD6" w14:textId="446207AA" w:rsidR="00E33B01" w:rsidRDefault="00E33B01">
            <w:pPr>
              <w:jc w:val="right"/>
              <w:rPr>
                <w:b/>
                <w:bCs/>
                <w:noProof/>
                <w:color w:val="000000"/>
                <w:sz w:val="20"/>
                <w:szCs w:val="20"/>
              </w:rPr>
            </w:pPr>
            <w:r>
              <w:rPr>
                <w:b/>
                <w:bCs/>
                <w:noProof/>
                <w:color w:val="000000"/>
                <w:sz w:val="20"/>
                <w:szCs w:val="20"/>
              </w:rPr>
              <w:t>45.2</w:t>
            </w:r>
          </w:p>
        </w:tc>
      </w:tr>
    </w:tbl>
    <w:p w14:paraId="26A55035" w14:textId="77777777" w:rsidR="00062E20" w:rsidRPr="00D71008" w:rsidRDefault="00062E20" w:rsidP="00062E20">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6D4C86BF" w14:textId="08695EC3" w:rsidR="00C76311" w:rsidRDefault="00302ADF" w:rsidP="006E3FA1">
      <w:pPr>
        <w:pStyle w:val="Heading2"/>
        <w:keepNext/>
        <w:numPr>
          <w:ilvl w:val="2"/>
          <w:numId w:val="11"/>
        </w:numPr>
        <w:tabs>
          <w:tab w:val="left" w:pos="709"/>
        </w:tabs>
        <w:spacing w:before="0" w:after="240"/>
        <w:ind w:left="1134" w:hanging="708"/>
        <w:rPr>
          <w:b w:val="0"/>
          <w:i/>
          <w:noProof/>
        </w:rPr>
      </w:pPr>
      <w:bookmarkStart w:id="139" w:name="_Toc222748997"/>
      <w:bookmarkStart w:id="140" w:name="_Toc223979967"/>
      <w:bookmarkStart w:id="141" w:name="_Toc222313479"/>
      <w:r w:rsidRPr="00D71008">
        <w:rPr>
          <w:b w:val="0"/>
          <w:i/>
          <w:noProof/>
        </w:rPr>
        <w:t>Impact</w:t>
      </w:r>
      <w:r w:rsidR="00F9450A">
        <w:rPr>
          <w:b w:val="0"/>
          <w:i/>
          <w:noProof/>
        </w:rPr>
        <w:t>s</w:t>
      </w:r>
      <w:r w:rsidRPr="00D71008">
        <w:rPr>
          <w:b w:val="0"/>
          <w:i/>
          <w:noProof/>
        </w:rPr>
        <w:t xml:space="preserve"> on </w:t>
      </w:r>
      <w:r>
        <w:rPr>
          <w:b w:val="0"/>
          <w:i/>
          <w:noProof/>
        </w:rPr>
        <w:t>national authorities</w:t>
      </w:r>
      <w:bookmarkEnd w:id="139"/>
      <w:bookmarkEnd w:id="140"/>
    </w:p>
    <w:p w14:paraId="3D6AE11B" w14:textId="15064635" w:rsidR="004D2040" w:rsidRPr="008031DF" w:rsidRDefault="00153190" w:rsidP="004D2040">
      <w:pPr>
        <w:pStyle w:val="BodyText"/>
        <w:spacing w:after="240"/>
        <w:ind w:left="0"/>
        <w:rPr>
          <w:noProof/>
        </w:rPr>
      </w:pPr>
      <w:r w:rsidRPr="008031DF">
        <w:rPr>
          <w:b/>
          <w:bCs/>
          <w:i/>
          <w:iCs/>
          <w:noProof/>
          <w:spacing w:val="-8"/>
        </w:rPr>
        <w:t>R</w:t>
      </w:r>
      <w:r w:rsidR="008E7EB4" w:rsidRPr="008031DF">
        <w:rPr>
          <w:b/>
          <w:bCs/>
          <w:i/>
          <w:iCs/>
          <w:noProof/>
          <w:spacing w:val="-8"/>
        </w:rPr>
        <w:t xml:space="preserve">ecurrent </w:t>
      </w:r>
      <w:r w:rsidRPr="008031DF">
        <w:rPr>
          <w:b/>
          <w:bCs/>
          <w:i/>
          <w:iCs/>
          <w:noProof/>
          <w:spacing w:val="-8"/>
        </w:rPr>
        <w:t>enforcement</w:t>
      </w:r>
      <w:r w:rsidR="008E7EB4" w:rsidRPr="008031DF">
        <w:rPr>
          <w:b/>
          <w:bCs/>
          <w:i/>
          <w:iCs/>
          <w:noProof/>
          <w:spacing w:val="-8"/>
        </w:rPr>
        <w:t xml:space="preserve"> costs for </w:t>
      </w:r>
      <w:r w:rsidRPr="008031DF">
        <w:rPr>
          <w:b/>
          <w:bCs/>
          <w:i/>
          <w:iCs/>
          <w:noProof/>
          <w:spacing w:val="-8"/>
        </w:rPr>
        <w:t>national authorities</w:t>
      </w:r>
      <w:r w:rsidR="008E7EB4" w:rsidRPr="008031DF">
        <w:rPr>
          <w:b/>
          <w:bCs/>
          <w:i/>
          <w:iCs/>
          <w:noProof/>
          <w:spacing w:val="-8"/>
        </w:rPr>
        <w:t>.</w:t>
      </w:r>
      <w:r w:rsidR="000A0FB2" w:rsidRPr="008031DF">
        <w:rPr>
          <w:b/>
          <w:bCs/>
          <w:i/>
          <w:iCs/>
          <w:noProof/>
          <w:spacing w:val="-8"/>
        </w:rPr>
        <w:t xml:space="preserve"> </w:t>
      </w:r>
      <w:r w:rsidR="00C10A37" w:rsidRPr="008031DF">
        <w:rPr>
          <w:noProof/>
          <w:spacing w:val="-8"/>
        </w:rPr>
        <w:t>All policy options are expected to lead to</w:t>
      </w:r>
      <w:r w:rsidR="00A5302D" w:rsidRPr="008031DF">
        <w:rPr>
          <w:noProof/>
          <w:spacing w:val="-8"/>
        </w:rPr>
        <w:t xml:space="preserve"> recurrent</w:t>
      </w:r>
      <w:r w:rsidR="00C10A37" w:rsidRPr="008031DF">
        <w:rPr>
          <w:noProof/>
          <w:spacing w:val="-8"/>
        </w:rPr>
        <w:t xml:space="preserve"> </w:t>
      </w:r>
      <w:r w:rsidR="0071012D" w:rsidRPr="008031DF">
        <w:rPr>
          <w:noProof/>
          <w:spacing w:val="-8"/>
        </w:rPr>
        <w:t xml:space="preserve">enforcement costs for national </w:t>
      </w:r>
      <w:r w:rsidR="00CF0913" w:rsidRPr="008031DF">
        <w:rPr>
          <w:noProof/>
          <w:spacing w:val="-8"/>
        </w:rPr>
        <w:t>authorities</w:t>
      </w:r>
      <w:r w:rsidR="0016146B" w:rsidRPr="008031DF">
        <w:rPr>
          <w:noProof/>
          <w:spacing w:val="-8"/>
        </w:rPr>
        <w:t>,</w:t>
      </w:r>
      <w:r w:rsidR="00DB1190" w:rsidRPr="008031DF">
        <w:rPr>
          <w:noProof/>
          <w:spacing w:val="-8"/>
        </w:rPr>
        <w:t xml:space="preserve"> estimated at EUR 106.5 million</w:t>
      </w:r>
      <w:r w:rsidR="00E00C42" w:rsidRPr="008031DF">
        <w:rPr>
          <w:noProof/>
          <w:spacing w:val="-8"/>
        </w:rPr>
        <w:t>,</w:t>
      </w:r>
      <w:r w:rsidR="00DB1190" w:rsidRPr="008031DF">
        <w:rPr>
          <w:noProof/>
          <w:spacing w:val="-8"/>
        </w:rPr>
        <w:t xml:space="preserve"> </w:t>
      </w:r>
      <w:r w:rsidR="0016146B" w:rsidRPr="008031DF">
        <w:rPr>
          <w:noProof/>
          <w:spacing w:val="-8"/>
        </w:rPr>
        <w:t xml:space="preserve">expressed as present value over 2028-2050 </w:t>
      </w:r>
      <w:r w:rsidR="00DB1190" w:rsidRPr="008031DF">
        <w:rPr>
          <w:noProof/>
          <w:spacing w:val="-8"/>
        </w:rPr>
        <w:t>relative to the baseline</w:t>
      </w:r>
      <w:r w:rsidR="00E00C42" w:rsidRPr="008031DF">
        <w:rPr>
          <w:noProof/>
          <w:spacing w:val="-8"/>
        </w:rPr>
        <w:t>.</w:t>
      </w:r>
      <w:r w:rsidR="00CF0913" w:rsidRPr="008031DF">
        <w:rPr>
          <w:noProof/>
          <w:spacing w:val="-8"/>
        </w:rPr>
        <w:t xml:space="preserve"> </w:t>
      </w:r>
      <w:r w:rsidR="00E00C42" w:rsidRPr="008031DF">
        <w:rPr>
          <w:noProof/>
          <w:spacing w:val="-8"/>
        </w:rPr>
        <w:t xml:space="preserve">These costs </w:t>
      </w:r>
      <w:r w:rsidR="00E00C42" w:rsidRPr="00255F89">
        <w:rPr>
          <w:noProof/>
          <w:spacing w:val="-8"/>
        </w:rPr>
        <w:t>are</w:t>
      </w:r>
      <w:r w:rsidR="00CF0913" w:rsidRPr="008031DF">
        <w:rPr>
          <w:noProof/>
          <w:spacing w:val="-8"/>
        </w:rPr>
        <w:t xml:space="preserve"> driven</w:t>
      </w:r>
      <w:r w:rsidR="00281012" w:rsidRPr="008031DF">
        <w:rPr>
          <w:noProof/>
          <w:spacing w:val="-8"/>
        </w:rPr>
        <w:t xml:space="preserve"> by PM6</w:t>
      </w:r>
      <w:r w:rsidR="00CA58B2" w:rsidRPr="008031DF">
        <w:rPr>
          <w:noProof/>
          <w:spacing w:val="-8"/>
        </w:rPr>
        <w:t xml:space="preserve"> which</w:t>
      </w:r>
      <w:r w:rsidR="009E3A77" w:rsidRPr="008031DF">
        <w:rPr>
          <w:noProof/>
          <w:spacing w:val="-8"/>
        </w:rPr>
        <w:t xml:space="preserve"> requires </w:t>
      </w:r>
      <w:r w:rsidR="00404DD4" w:rsidRPr="008031DF">
        <w:rPr>
          <w:noProof/>
          <w:spacing w:val="-8"/>
        </w:rPr>
        <w:t>national authorities</w:t>
      </w:r>
      <w:r w:rsidR="009E3A77" w:rsidRPr="008031DF">
        <w:rPr>
          <w:noProof/>
          <w:spacing w:val="-8"/>
        </w:rPr>
        <w:t xml:space="preserve"> to </w:t>
      </w:r>
      <w:r w:rsidR="001647CA" w:rsidRPr="008031DF">
        <w:rPr>
          <w:noProof/>
          <w:spacing w:val="-8"/>
        </w:rPr>
        <w:t xml:space="preserve">monitor the </w:t>
      </w:r>
      <w:r w:rsidR="004B26F0" w:rsidRPr="008031DF">
        <w:rPr>
          <w:noProof/>
          <w:spacing w:val="-8"/>
        </w:rPr>
        <w:t xml:space="preserve">online ticketing market </w:t>
      </w:r>
      <w:r w:rsidR="000040A0" w:rsidRPr="008031DF">
        <w:rPr>
          <w:noProof/>
          <w:spacing w:val="-8"/>
        </w:rPr>
        <w:t>for potential entities with SMP</w:t>
      </w:r>
      <w:r w:rsidR="00AF334D" w:rsidRPr="008031DF">
        <w:rPr>
          <w:noProof/>
          <w:spacing w:val="-8"/>
        </w:rPr>
        <w:t xml:space="preserve"> as well as </w:t>
      </w:r>
      <w:r w:rsidR="001647CA" w:rsidRPr="008031DF">
        <w:rPr>
          <w:noProof/>
          <w:spacing w:val="-8"/>
        </w:rPr>
        <w:t>the correct implementation of the legislation</w:t>
      </w:r>
      <w:r w:rsidR="00DF1E77" w:rsidRPr="008031DF">
        <w:rPr>
          <w:noProof/>
          <w:spacing w:val="-8"/>
        </w:rPr>
        <w:t xml:space="preserve"> </w:t>
      </w:r>
      <w:r w:rsidR="0067497B" w:rsidRPr="008031DF">
        <w:rPr>
          <w:noProof/>
          <w:spacing w:val="-8"/>
        </w:rPr>
        <w:t xml:space="preserve">(see </w:t>
      </w:r>
      <w:r w:rsidR="0067497B" w:rsidRPr="008031DF">
        <w:rPr>
          <w:noProof/>
          <w:spacing w:val="-8"/>
        </w:rPr>
        <w:fldChar w:fldCharType="begin"/>
      </w:r>
      <w:r w:rsidR="0067497B" w:rsidRPr="008031DF">
        <w:rPr>
          <w:noProof/>
          <w:spacing w:val="-8"/>
        </w:rPr>
        <w:instrText xml:space="preserve"> REF _Ref222867350 \h </w:instrText>
      </w:r>
      <w:r w:rsidR="00C6114A" w:rsidRPr="008031DF">
        <w:rPr>
          <w:noProof/>
          <w:spacing w:val="-8"/>
        </w:rPr>
        <w:instrText xml:space="preserve"> \* MERGEFORMAT </w:instrText>
      </w:r>
      <w:r w:rsidR="0067497B" w:rsidRPr="008031DF">
        <w:rPr>
          <w:noProof/>
          <w:spacing w:val="-8"/>
        </w:rPr>
      </w:r>
      <w:r w:rsidR="0067497B" w:rsidRPr="008031DF">
        <w:rPr>
          <w:noProof/>
          <w:spacing w:val="-8"/>
        </w:rPr>
        <w:fldChar w:fldCharType="separate"/>
      </w:r>
      <w:r>
        <w:rPr>
          <w:noProof/>
        </w:rPr>
        <w:t>Table 9</w:t>
      </w:r>
      <w:r w:rsidR="0067497B" w:rsidRPr="008031DF">
        <w:rPr>
          <w:noProof/>
          <w:spacing w:val="-8"/>
        </w:rPr>
        <w:fldChar w:fldCharType="end"/>
      </w:r>
      <w:r w:rsidR="0067497B" w:rsidRPr="008031DF">
        <w:rPr>
          <w:noProof/>
          <w:spacing w:val="-8"/>
        </w:rPr>
        <w:t>)</w:t>
      </w:r>
      <w:r w:rsidR="00AA68EB" w:rsidRPr="008031DF">
        <w:rPr>
          <w:rStyle w:val="FootnoteReference"/>
          <w:noProof/>
          <w:spacing w:val="-8"/>
        </w:rPr>
        <w:footnoteReference w:id="190"/>
      </w:r>
      <w:r w:rsidR="00E8181B" w:rsidRPr="008031DF">
        <w:rPr>
          <w:noProof/>
          <w:spacing w:val="-8"/>
        </w:rPr>
        <w:t>.</w:t>
      </w:r>
      <w:r w:rsidR="00495068" w:rsidRPr="008031DF">
        <w:rPr>
          <w:noProof/>
          <w:spacing w:val="-8"/>
        </w:rPr>
        <w:t xml:space="preserve"> </w:t>
      </w:r>
    </w:p>
    <w:p w14:paraId="66E2E54A" w14:textId="01F1C8E3" w:rsidR="00802410" w:rsidRPr="004F1529" w:rsidRDefault="00802410" w:rsidP="004D2040">
      <w:pPr>
        <w:pStyle w:val="BodyText"/>
        <w:spacing w:after="240"/>
        <w:ind w:left="0"/>
        <w:rPr>
          <w:noProof/>
          <w:spacing w:val="-8"/>
        </w:rPr>
      </w:pPr>
      <w:r w:rsidRPr="00B341A7">
        <w:rPr>
          <w:b/>
          <w:bCs/>
          <w:i/>
          <w:iCs/>
          <w:noProof/>
          <w:spacing w:val="-8"/>
        </w:rPr>
        <w:t>One-off and recurrent administrative costs for national authorities.</w:t>
      </w:r>
      <w:r w:rsidR="001803CD" w:rsidRPr="00B341A7">
        <w:rPr>
          <w:noProof/>
          <w:spacing w:val="-8"/>
        </w:rPr>
        <w:t xml:space="preserve"> All policy options are expected to lead </w:t>
      </w:r>
      <w:r w:rsidR="00301350" w:rsidRPr="00B341A7">
        <w:rPr>
          <w:noProof/>
          <w:spacing w:val="-8"/>
        </w:rPr>
        <w:t>to</w:t>
      </w:r>
      <w:r w:rsidR="001803CD" w:rsidRPr="00B341A7">
        <w:rPr>
          <w:noProof/>
          <w:spacing w:val="-8"/>
        </w:rPr>
        <w:t xml:space="preserve"> </w:t>
      </w:r>
      <w:r w:rsidR="008C30B4" w:rsidRPr="00B341A7">
        <w:rPr>
          <w:noProof/>
          <w:spacing w:val="-8"/>
        </w:rPr>
        <w:t>recurrent administrative costs</w:t>
      </w:r>
      <w:r w:rsidR="001803CD" w:rsidRPr="00B341A7">
        <w:rPr>
          <w:noProof/>
          <w:spacing w:val="-8"/>
        </w:rPr>
        <w:t xml:space="preserve"> </w:t>
      </w:r>
      <w:r w:rsidR="00301350" w:rsidRPr="00B341A7">
        <w:rPr>
          <w:noProof/>
          <w:spacing w:val="-8"/>
        </w:rPr>
        <w:t xml:space="preserve">for </w:t>
      </w:r>
      <w:r w:rsidR="00C758F7" w:rsidRPr="00B341A7">
        <w:rPr>
          <w:noProof/>
          <w:spacing w:val="-8"/>
        </w:rPr>
        <w:t xml:space="preserve">national authorities </w:t>
      </w:r>
      <w:r w:rsidR="00301350" w:rsidRPr="00B341A7">
        <w:rPr>
          <w:noProof/>
          <w:spacing w:val="-8"/>
        </w:rPr>
        <w:t>for settling disputes (PM6)</w:t>
      </w:r>
      <w:r w:rsidR="00CE6D4B" w:rsidRPr="00B341A7">
        <w:rPr>
          <w:noProof/>
          <w:spacing w:val="-8"/>
        </w:rPr>
        <w:t>.</w:t>
      </w:r>
      <w:r w:rsidR="00966D32" w:rsidRPr="00B341A7">
        <w:rPr>
          <w:noProof/>
          <w:spacing w:val="-8"/>
        </w:rPr>
        <w:t xml:space="preserve"> Based on feedback from stakeholders, o</w:t>
      </w:r>
      <w:r w:rsidR="00966D32" w:rsidRPr="004F1529">
        <w:rPr>
          <w:noProof/>
          <w:spacing w:val="-8"/>
        </w:rPr>
        <w:t xml:space="preserve">ne </w:t>
      </w:r>
      <w:r w:rsidR="00536882" w:rsidRPr="004F1529">
        <w:rPr>
          <w:noProof/>
          <w:spacing w:val="-8"/>
        </w:rPr>
        <w:t>FTE</w:t>
      </w:r>
      <w:r w:rsidR="00966D32" w:rsidRPr="004F1529">
        <w:rPr>
          <w:noProof/>
          <w:spacing w:val="-8"/>
        </w:rPr>
        <w:t xml:space="preserve"> is assumed to be needed per national authority</w:t>
      </w:r>
      <w:r w:rsidR="00DC59AB" w:rsidRPr="004F1529">
        <w:rPr>
          <w:noProof/>
          <w:spacing w:val="-8"/>
        </w:rPr>
        <w:t>.</w:t>
      </w:r>
      <w:r w:rsidR="00CE6D4B" w:rsidRPr="00B341A7">
        <w:rPr>
          <w:noProof/>
          <w:spacing w:val="-8"/>
        </w:rPr>
        <w:t xml:space="preserve"> </w:t>
      </w:r>
      <w:r w:rsidR="00E67935" w:rsidRPr="00B341A7">
        <w:rPr>
          <w:i/>
          <w:noProof/>
          <w:spacing w:val="-8"/>
        </w:rPr>
        <w:t>Fo</w:t>
      </w:r>
      <w:r w:rsidR="008706BD" w:rsidRPr="00B341A7">
        <w:rPr>
          <w:i/>
          <w:noProof/>
          <w:spacing w:val="-8"/>
        </w:rPr>
        <w:t>r the purpose of the Calculator of Administrative Costs (AC) &amp; Administrative Burdens (AB)</w:t>
      </w:r>
      <w:r w:rsidR="00E67935" w:rsidRPr="00B341A7">
        <w:rPr>
          <w:i/>
          <w:noProof/>
          <w:spacing w:val="-8"/>
        </w:rPr>
        <w:t xml:space="preserve">, </w:t>
      </w:r>
      <w:r w:rsidR="00DC59AB" w:rsidRPr="00B341A7">
        <w:rPr>
          <w:iCs/>
          <w:noProof/>
          <w:spacing w:val="-8"/>
        </w:rPr>
        <w:t xml:space="preserve">recurrent administrative costs </w:t>
      </w:r>
      <w:r w:rsidR="00E67935" w:rsidRPr="00B341A7">
        <w:rPr>
          <w:iCs/>
          <w:noProof/>
          <w:spacing w:val="-8"/>
        </w:rPr>
        <w:t>are estimated at EUR 1.5</w:t>
      </w:r>
      <w:r w:rsidR="00291E4A">
        <w:rPr>
          <w:iCs/>
          <w:noProof/>
          <w:spacing w:val="-8"/>
        </w:rPr>
        <w:t>3</w:t>
      </w:r>
      <w:r w:rsidR="00E67935" w:rsidRPr="00B341A7">
        <w:rPr>
          <w:iCs/>
          <w:noProof/>
          <w:spacing w:val="-8"/>
        </w:rPr>
        <w:t xml:space="preserve"> million per year from 2028 onwards</w:t>
      </w:r>
      <w:r w:rsidR="00C94B57" w:rsidRPr="00B341A7">
        <w:rPr>
          <w:rStyle w:val="FootnoteReference"/>
          <w:iCs/>
          <w:noProof/>
          <w:spacing w:val="-8"/>
        </w:rPr>
        <w:footnoteReference w:id="191"/>
      </w:r>
      <w:r w:rsidR="00DA60E0" w:rsidRPr="00B341A7">
        <w:rPr>
          <w:iCs/>
          <w:noProof/>
          <w:spacing w:val="-8"/>
        </w:rPr>
        <w:t xml:space="preserve"> (</w:t>
      </w:r>
      <w:r w:rsidR="0039627F" w:rsidRPr="00B341A7">
        <w:rPr>
          <w:iCs/>
          <w:noProof/>
          <w:spacing w:val="-8"/>
        </w:rPr>
        <w:t>or</w:t>
      </w:r>
      <w:r w:rsidR="00E67935" w:rsidRPr="00B341A7">
        <w:rPr>
          <w:iCs/>
          <w:noProof/>
          <w:spacing w:val="-8"/>
        </w:rPr>
        <w:t xml:space="preserve"> EUR 25.8 million expressed as present value over 2028-2050 relative to the baseline</w:t>
      </w:r>
      <w:r w:rsidR="00DA60E0" w:rsidRPr="00B341A7">
        <w:rPr>
          <w:iCs/>
          <w:noProof/>
          <w:spacing w:val="-8"/>
        </w:rPr>
        <w:t>)</w:t>
      </w:r>
      <w:r w:rsidR="00E67935" w:rsidRPr="00B341A7">
        <w:rPr>
          <w:iCs/>
          <w:noProof/>
          <w:spacing w:val="-8"/>
        </w:rPr>
        <w:t xml:space="preserve">. </w:t>
      </w:r>
      <w:r w:rsidR="00DA60E0" w:rsidRPr="00B341A7">
        <w:rPr>
          <w:iCs/>
          <w:noProof/>
          <w:spacing w:val="-8"/>
        </w:rPr>
        <w:t>I</w:t>
      </w:r>
      <w:r w:rsidR="000A3A7D" w:rsidRPr="00B341A7">
        <w:rPr>
          <w:noProof/>
          <w:spacing w:val="-8"/>
        </w:rPr>
        <w:t>n addition,</w:t>
      </w:r>
      <w:r w:rsidR="009E55CF" w:rsidRPr="00B341A7">
        <w:rPr>
          <w:noProof/>
          <w:spacing w:val="-8"/>
        </w:rPr>
        <w:t xml:space="preserve"> </w:t>
      </w:r>
      <w:r w:rsidR="004D11D1" w:rsidRPr="00B341A7">
        <w:rPr>
          <w:noProof/>
          <w:spacing w:val="-8"/>
        </w:rPr>
        <w:t xml:space="preserve">one-off </w:t>
      </w:r>
      <w:r w:rsidR="00A8299F" w:rsidRPr="00B341A7">
        <w:rPr>
          <w:noProof/>
          <w:spacing w:val="-8"/>
        </w:rPr>
        <w:t>administrative</w:t>
      </w:r>
      <w:r w:rsidR="004D11D1" w:rsidRPr="00B341A7">
        <w:rPr>
          <w:noProof/>
          <w:spacing w:val="-8"/>
        </w:rPr>
        <w:t xml:space="preserve"> costs for national authorit</w:t>
      </w:r>
      <w:r w:rsidR="00C80F68" w:rsidRPr="00B341A7">
        <w:rPr>
          <w:noProof/>
          <w:spacing w:val="-8"/>
        </w:rPr>
        <w:t>i</w:t>
      </w:r>
      <w:r w:rsidR="004D11D1" w:rsidRPr="00B341A7">
        <w:rPr>
          <w:noProof/>
          <w:spacing w:val="-8"/>
        </w:rPr>
        <w:t xml:space="preserve">es </w:t>
      </w:r>
      <w:r w:rsidR="000927B3" w:rsidRPr="00B341A7">
        <w:rPr>
          <w:noProof/>
          <w:spacing w:val="-8"/>
        </w:rPr>
        <w:t xml:space="preserve">are </w:t>
      </w:r>
      <w:r w:rsidR="00695653" w:rsidRPr="00B341A7">
        <w:rPr>
          <w:noProof/>
          <w:spacing w:val="-8"/>
        </w:rPr>
        <w:t>expected</w:t>
      </w:r>
      <w:r w:rsidR="00362FF3" w:rsidRPr="00B341A7">
        <w:rPr>
          <w:noProof/>
          <w:spacing w:val="-8"/>
        </w:rPr>
        <w:t xml:space="preserve"> </w:t>
      </w:r>
      <w:r w:rsidR="009E55CF" w:rsidRPr="00B341A7">
        <w:rPr>
          <w:noProof/>
          <w:spacing w:val="-8"/>
        </w:rPr>
        <w:t xml:space="preserve">in relation </w:t>
      </w:r>
      <w:r w:rsidR="00170440" w:rsidRPr="00B341A7">
        <w:rPr>
          <w:noProof/>
          <w:spacing w:val="-8"/>
        </w:rPr>
        <w:t>to</w:t>
      </w:r>
      <w:r w:rsidR="009E55CF" w:rsidRPr="00B341A7">
        <w:rPr>
          <w:noProof/>
          <w:spacing w:val="-8"/>
        </w:rPr>
        <w:t xml:space="preserve"> </w:t>
      </w:r>
      <w:r w:rsidR="002D50CB" w:rsidRPr="00B341A7">
        <w:rPr>
          <w:noProof/>
          <w:spacing w:val="-8"/>
        </w:rPr>
        <w:t>the obligation to process notification</w:t>
      </w:r>
      <w:r w:rsidR="00170440" w:rsidRPr="00B341A7">
        <w:rPr>
          <w:noProof/>
          <w:spacing w:val="-8"/>
        </w:rPr>
        <w:t>s</w:t>
      </w:r>
      <w:r w:rsidR="002D50CB" w:rsidRPr="00B341A7">
        <w:rPr>
          <w:noProof/>
          <w:spacing w:val="-8"/>
        </w:rPr>
        <w:t xml:space="preserve"> from platforms with SMP and submit</w:t>
      </w:r>
      <w:r w:rsidR="009E12F0" w:rsidRPr="00B341A7">
        <w:rPr>
          <w:noProof/>
          <w:spacing w:val="-8"/>
        </w:rPr>
        <w:t xml:space="preserve"> </w:t>
      </w:r>
      <w:r w:rsidR="002D50CB" w:rsidRPr="00B341A7">
        <w:rPr>
          <w:noProof/>
          <w:spacing w:val="-8"/>
        </w:rPr>
        <w:t xml:space="preserve">this </w:t>
      </w:r>
      <w:r w:rsidR="009E12F0" w:rsidRPr="00B341A7">
        <w:rPr>
          <w:noProof/>
          <w:spacing w:val="-8"/>
        </w:rPr>
        <w:t>information to the Commission</w:t>
      </w:r>
      <w:r w:rsidR="002D50CB" w:rsidRPr="00B341A7">
        <w:rPr>
          <w:noProof/>
          <w:spacing w:val="-8"/>
        </w:rPr>
        <w:t xml:space="preserve"> in 2028 (</w:t>
      </w:r>
      <w:r w:rsidR="00170440" w:rsidRPr="00B341A7">
        <w:rPr>
          <w:noProof/>
          <w:spacing w:val="-8"/>
        </w:rPr>
        <w:t>PM</w:t>
      </w:r>
      <w:r w:rsidR="00A34874" w:rsidRPr="00B341A7">
        <w:rPr>
          <w:noProof/>
          <w:spacing w:val="-8"/>
        </w:rPr>
        <w:t>10)</w:t>
      </w:r>
      <w:r w:rsidR="002D50CB" w:rsidRPr="00B341A7">
        <w:rPr>
          <w:noProof/>
          <w:spacing w:val="-8"/>
        </w:rPr>
        <w:t xml:space="preserve"> </w:t>
      </w:r>
      <w:r w:rsidR="00F9331D" w:rsidRPr="00B341A7">
        <w:rPr>
          <w:noProof/>
          <w:spacing w:val="-8"/>
        </w:rPr>
        <w:t xml:space="preserve">(see </w:t>
      </w:r>
      <w:r w:rsidR="00F9331D" w:rsidRPr="008031DF">
        <w:rPr>
          <w:noProof/>
          <w:spacing w:val="-8"/>
        </w:rPr>
        <w:fldChar w:fldCharType="begin"/>
      </w:r>
      <w:r w:rsidR="00F9331D" w:rsidRPr="008031DF">
        <w:rPr>
          <w:noProof/>
          <w:spacing w:val="-8"/>
        </w:rPr>
        <w:instrText xml:space="preserve"> REF _Ref222868445 \h </w:instrText>
      </w:r>
      <w:r w:rsidR="008031DF" w:rsidRPr="008031DF">
        <w:rPr>
          <w:noProof/>
          <w:spacing w:val="-8"/>
        </w:rPr>
        <w:instrText xml:space="preserve"> \* MERGEFORMAT </w:instrText>
      </w:r>
      <w:r w:rsidR="00F9331D" w:rsidRPr="008031DF">
        <w:rPr>
          <w:noProof/>
          <w:spacing w:val="-8"/>
        </w:rPr>
      </w:r>
      <w:r w:rsidR="00F9331D" w:rsidRPr="008031DF">
        <w:rPr>
          <w:noProof/>
          <w:spacing w:val="-8"/>
        </w:rPr>
        <w:fldChar w:fldCharType="separate"/>
      </w:r>
      <w:r>
        <w:rPr>
          <w:noProof/>
          <w:spacing w:val="-8"/>
        </w:rPr>
        <w:t>Table 10</w:t>
      </w:r>
      <w:r w:rsidR="00F9331D" w:rsidRPr="008031DF">
        <w:rPr>
          <w:noProof/>
          <w:spacing w:val="-8"/>
        </w:rPr>
        <w:fldChar w:fldCharType="end"/>
      </w:r>
      <w:r w:rsidR="00F9331D" w:rsidRPr="00B341A7">
        <w:rPr>
          <w:noProof/>
          <w:spacing w:val="-8"/>
        </w:rPr>
        <w:t>)</w:t>
      </w:r>
      <w:r w:rsidR="00324B52" w:rsidRPr="00B341A7">
        <w:rPr>
          <w:noProof/>
          <w:spacing w:val="-8"/>
        </w:rPr>
        <w:t xml:space="preserve">. </w:t>
      </w:r>
      <w:r w:rsidR="00536882" w:rsidRPr="00B53DFD">
        <w:rPr>
          <w:noProof/>
          <w:spacing w:val="-8"/>
        </w:rPr>
        <w:t xml:space="preserve">The one-off effort required is estimated at 2 FTEs per Member State in 2028. </w:t>
      </w:r>
      <w:r w:rsidR="00CE2E35" w:rsidRPr="00B341A7">
        <w:rPr>
          <w:noProof/>
          <w:spacing w:val="-8"/>
        </w:rPr>
        <w:t>The</w:t>
      </w:r>
      <w:r w:rsidR="00E37185" w:rsidRPr="00B341A7">
        <w:rPr>
          <w:noProof/>
          <w:spacing w:val="-8"/>
        </w:rPr>
        <w:t xml:space="preserve"> one off-costs </w:t>
      </w:r>
      <w:r w:rsidR="00E37185" w:rsidRPr="00B341A7">
        <w:rPr>
          <w:i/>
          <w:noProof/>
          <w:spacing w:val="-8"/>
        </w:rPr>
        <w:t>for</w:t>
      </w:r>
      <w:r w:rsidR="00E37185" w:rsidRPr="00B341A7">
        <w:rPr>
          <w:noProof/>
          <w:spacing w:val="-8"/>
        </w:rPr>
        <w:t xml:space="preserve"> </w:t>
      </w:r>
      <w:r w:rsidR="00E37185" w:rsidRPr="00B341A7">
        <w:rPr>
          <w:i/>
          <w:noProof/>
          <w:spacing w:val="-8"/>
        </w:rPr>
        <w:t xml:space="preserve">the purpose of the Calculator of Administrative Costs (AC) &amp; Administrative Burdens (AB) </w:t>
      </w:r>
      <w:r w:rsidR="00E37185" w:rsidRPr="00B341A7">
        <w:rPr>
          <w:noProof/>
          <w:spacing w:val="-8"/>
        </w:rPr>
        <w:t>are estimated at EUR 3.1 million</w:t>
      </w:r>
      <w:r w:rsidR="00FB586C" w:rsidRPr="00B341A7">
        <w:rPr>
          <w:rStyle w:val="FootnoteReference"/>
          <w:iCs/>
          <w:noProof/>
          <w:spacing w:val="-8"/>
        </w:rPr>
        <w:footnoteReference w:id="192"/>
      </w:r>
      <w:r w:rsidR="00E37185" w:rsidRPr="00B341A7">
        <w:rPr>
          <w:noProof/>
          <w:spacing w:val="-8"/>
        </w:rPr>
        <w:t>.</w:t>
      </w:r>
      <w:r w:rsidR="00E37185" w:rsidRPr="00B341A7">
        <w:rPr>
          <w:i/>
          <w:noProof/>
          <w:spacing w:val="-8"/>
        </w:rPr>
        <w:t xml:space="preserve"> </w:t>
      </w:r>
      <w:r w:rsidR="00CD3760">
        <w:rPr>
          <w:noProof/>
          <w:spacing w:val="-8"/>
        </w:rPr>
        <w:t>E</w:t>
      </w:r>
      <w:r w:rsidR="00CD3760" w:rsidRPr="00C05A40">
        <w:rPr>
          <w:noProof/>
          <w:spacing w:val="-8"/>
        </w:rPr>
        <w:t xml:space="preserve">fforts have been made to keep these costs as low as possible, </w:t>
      </w:r>
      <w:r w:rsidR="00CD3760">
        <w:rPr>
          <w:noProof/>
          <w:spacing w:val="-8"/>
        </w:rPr>
        <w:t xml:space="preserve">but </w:t>
      </w:r>
      <w:r w:rsidR="00CD3760" w:rsidRPr="00C05A40">
        <w:rPr>
          <w:noProof/>
          <w:spacing w:val="-8"/>
        </w:rPr>
        <w:t xml:space="preserve">they remain unavoidable, as they are essential to ensure </w:t>
      </w:r>
      <w:r w:rsidR="00CD3760">
        <w:rPr>
          <w:noProof/>
          <w:spacing w:val="-8"/>
        </w:rPr>
        <w:t>settling disputes</w:t>
      </w:r>
      <w:r w:rsidR="00F94A37">
        <w:rPr>
          <w:noProof/>
          <w:spacing w:val="-8"/>
        </w:rPr>
        <w:t xml:space="preserve">, the </w:t>
      </w:r>
      <w:r w:rsidR="00F94A37" w:rsidRPr="00B341A7">
        <w:rPr>
          <w:noProof/>
          <w:spacing w:val="-8"/>
        </w:rPr>
        <w:t>process</w:t>
      </w:r>
      <w:r w:rsidR="00F94A37">
        <w:rPr>
          <w:noProof/>
          <w:spacing w:val="-8"/>
        </w:rPr>
        <w:t>ing of</w:t>
      </w:r>
      <w:r w:rsidR="00F94A37" w:rsidRPr="00B341A7">
        <w:rPr>
          <w:noProof/>
          <w:spacing w:val="-8"/>
        </w:rPr>
        <w:t xml:space="preserve"> notifications from platforms with SMP</w:t>
      </w:r>
      <w:r w:rsidR="00CD3760">
        <w:rPr>
          <w:noProof/>
          <w:spacing w:val="-8"/>
        </w:rPr>
        <w:t xml:space="preserve"> and </w:t>
      </w:r>
      <w:r w:rsidR="00F94A37">
        <w:rPr>
          <w:noProof/>
          <w:spacing w:val="-8"/>
        </w:rPr>
        <w:t xml:space="preserve">the </w:t>
      </w:r>
      <w:r w:rsidR="00F94A37" w:rsidRPr="00B341A7">
        <w:rPr>
          <w:noProof/>
          <w:spacing w:val="-8"/>
        </w:rPr>
        <w:t>submi</w:t>
      </w:r>
      <w:r w:rsidR="00F94A37">
        <w:rPr>
          <w:noProof/>
          <w:spacing w:val="-8"/>
        </w:rPr>
        <w:t>ssion of</w:t>
      </w:r>
      <w:r w:rsidR="00FE0649">
        <w:rPr>
          <w:noProof/>
          <w:spacing w:val="-8"/>
        </w:rPr>
        <w:t xml:space="preserve"> this</w:t>
      </w:r>
      <w:r w:rsidR="00F94A37" w:rsidRPr="00B341A7">
        <w:rPr>
          <w:noProof/>
          <w:spacing w:val="-8"/>
        </w:rPr>
        <w:t xml:space="preserve"> information to the Commission</w:t>
      </w:r>
      <w:r w:rsidR="00CD3760" w:rsidRPr="00C05A40">
        <w:rPr>
          <w:noProof/>
          <w:spacing w:val="-8"/>
        </w:rPr>
        <w:t>.</w:t>
      </w:r>
    </w:p>
    <w:p w14:paraId="5ECBD0BF" w14:textId="79B86CC2" w:rsidR="00F420E8" w:rsidRPr="008031DF" w:rsidRDefault="00F420E8" w:rsidP="004D2040">
      <w:pPr>
        <w:pStyle w:val="BodyText"/>
        <w:spacing w:after="240"/>
        <w:ind w:left="0"/>
        <w:rPr>
          <w:noProof/>
          <w:spacing w:val="-8"/>
        </w:rPr>
      </w:pPr>
      <w:r w:rsidRPr="008031DF">
        <w:rPr>
          <w:b/>
          <w:bCs/>
          <w:i/>
          <w:iCs/>
          <w:noProof/>
          <w:spacing w:val="-8"/>
        </w:rPr>
        <w:t>Net costs for national authorities.</w:t>
      </w:r>
      <w:r w:rsidR="0081226A" w:rsidRPr="008031DF">
        <w:rPr>
          <w:b/>
          <w:bCs/>
          <w:i/>
          <w:iCs/>
          <w:noProof/>
          <w:spacing w:val="-8"/>
        </w:rPr>
        <w:t xml:space="preserve"> </w:t>
      </w:r>
      <w:r w:rsidR="001F78B1" w:rsidRPr="008031DF">
        <w:rPr>
          <w:noProof/>
          <w:spacing w:val="-8"/>
        </w:rPr>
        <w:t>A</w:t>
      </w:r>
      <w:r w:rsidR="0081226A" w:rsidRPr="008031DF">
        <w:rPr>
          <w:noProof/>
          <w:spacing w:val="-8"/>
        </w:rPr>
        <w:t xml:space="preserve">ll policy options </w:t>
      </w:r>
      <w:r w:rsidR="00F22A37">
        <w:rPr>
          <w:noProof/>
          <w:spacing w:val="-8"/>
        </w:rPr>
        <w:t>include</w:t>
      </w:r>
      <w:r w:rsidR="00F22A37" w:rsidRPr="008031DF">
        <w:rPr>
          <w:noProof/>
          <w:spacing w:val="-8"/>
        </w:rPr>
        <w:t xml:space="preserve"> </w:t>
      </w:r>
      <w:r w:rsidR="00332CD3" w:rsidRPr="008031DF">
        <w:rPr>
          <w:noProof/>
          <w:spacing w:val="-8"/>
        </w:rPr>
        <w:t xml:space="preserve">a </w:t>
      </w:r>
      <w:r w:rsidR="00AA1CA6" w:rsidRPr="008031DF">
        <w:rPr>
          <w:noProof/>
          <w:spacing w:val="-8"/>
        </w:rPr>
        <w:t xml:space="preserve">similar designation and enforcement process and </w:t>
      </w:r>
      <w:r w:rsidR="00265ADF">
        <w:rPr>
          <w:noProof/>
          <w:spacing w:val="-8"/>
        </w:rPr>
        <w:t xml:space="preserve">result in </w:t>
      </w:r>
      <w:r w:rsidR="0081226A" w:rsidRPr="008031DF">
        <w:rPr>
          <w:noProof/>
          <w:spacing w:val="-8"/>
        </w:rPr>
        <w:t xml:space="preserve">net costs </w:t>
      </w:r>
      <w:r w:rsidR="001C623D" w:rsidRPr="008031DF">
        <w:rPr>
          <w:noProof/>
          <w:spacing w:val="-8"/>
        </w:rPr>
        <w:t xml:space="preserve">of EUR 135.4 million </w:t>
      </w:r>
      <w:r w:rsidR="0081226A" w:rsidRPr="008031DF">
        <w:rPr>
          <w:noProof/>
          <w:spacing w:val="-8"/>
        </w:rPr>
        <w:t>for national authorities</w:t>
      </w:r>
      <w:r w:rsidR="00221730">
        <w:rPr>
          <w:noProof/>
          <w:spacing w:val="-8"/>
        </w:rPr>
        <w:t>,</w:t>
      </w:r>
      <w:r w:rsidR="001C623D" w:rsidRPr="008031DF">
        <w:rPr>
          <w:noProof/>
          <w:spacing w:val="-8"/>
        </w:rPr>
        <w:t xml:space="preserve"> </w:t>
      </w:r>
      <w:r w:rsidR="001A4B35" w:rsidRPr="00255F89">
        <w:rPr>
          <w:noProof/>
          <w:spacing w:val="-8"/>
        </w:rPr>
        <w:t>expressed</w:t>
      </w:r>
      <w:r w:rsidR="001A4B35">
        <w:rPr>
          <w:noProof/>
          <w:spacing w:val="-8"/>
        </w:rPr>
        <w:t xml:space="preserve"> as present value over 2028-2050</w:t>
      </w:r>
      <w:r w:rsidR="001C623D" w:rsidRPr="008031DF">
        <w:rPr>
          <w:noProof/>
          <w:spacing w:val="-8"/>
        </w:rPr>
        <w:t xml:space="preserve"> relative to the baseline (see </w:t>
      </w:r>
      <w:r w:rsidR="001C623D" w:rsidRPr="008031DF">
        <w:rPr>
          <w:noProof/>
          <w:spacing w:val="-8"/>
        </w:rPr>
        <w:fldChar w:fldCharType="begin"/>
      </w:r>
      <w:r w:rsidR="001C623D" w:rsidRPr="008031DF">
        <w:rPr>
          <w:noProof/>
          <w:spacing w:val="-8"/>
        </w:rPr>
        <w:instrText xml:space="preserve"> REF _Ref222867350 \h </w:instrText>
      </w:r>
      <w:r w:rsidR="008031DF" w:rsidRPr="008031DF">
        <w:rPr>
          <w:noProof/>
          <w:spacing w:val="-8"/>
        </w:rPr>
        <w:instrText xml:space="preserve"> \* MERGEFORMAT </w:instrText>
      </w:r>
      <w:r w:rsidR="001C623D" w:rsidRPr="008031DF">
        <w:rPr>
          <w:noProof/>
          <w:spacing w:val="-8"/>
        </w:rPr>
      </w:r>
      <w:r w:rsidR="001C623D" w:rsidRPr="008031DF">
        <w:rPr>
          <w:noProof/>
          <w:spacing w:val="-8"/>
        </w:rPr>
        <w:fldChar w:fldCharType="separate"/>
      </w:r>
      <w:r>
        <w:rPr>
          <w:noProof/>
          <w:spacing w:val="-8"/>
        </w:rPr>
        <w:t>Table 9</w:t>
      </w:r>
      <w:r w:rsidR="001C623D" w:rsidRPr="008031DF">
        <w:rPr>
          <w:noProof/>
          <w:spacing w:val="-8"/>
        </w:rPr>
        <w:fldChar w:fldCharType="end"/>
      </w:r>
      <w:r w:rsidR="001C623D" w:rsidRPr="008031DF">
        <w:rPr>
          <w:noProof/>
          <w:spacing w:val="-8"/>
        </w:rPr>
        <w:t>).</w:t>
      </w:r>
      <w:r w:rsidR="008D038C">
        <w:rPr>
          <w:noProof/>
          <w:spacing w:val="-8"/>
        </w:rPr>
        <w:t xml:space="preserve"> Enforcement costs </w:t>
      </w:r>
      <w:r w:rsidR="00CB7DCD">
        <w:rPr>
          <w:noProof/>
          <w:spacing w:val="-8"/>
        </w:rPr>
        <w:t xml:space="preserve">represent 79% of the total costs in all policy options. </w:t>
      </w:r>
    </w:p>
    <w:p w14:paraId="2F770C19" w14:textId="5D343A10" w:rsidR="00E712D6" w:rsidRPr="006333F0" w:rsidRDefault="00E712D6" w:rsidP="00E712D6">
      <w:pPr>
        <w:pStyle w:val="Text2"/>
        <w:spacing w:after="0"/>
        <w:ind w:left="0"/>
        <w:rPr>
          <w:rFonts w:cs="Times New Roman"/>
          <w:i/>
          <w:noProof/>
          <w:sz w:val="22"/>
          <w:szCs w:val="22"/>
        </w:rPr>
      </w:pPr>
      <w:bookmarkStart w:id="142" w:name="_Ref222867350"/>
      <w:r w:rsidRPr="006333F0">
        <w:rPr>
          <w:rFonts w:cs="Times New Roman"/>
          <w:i/>
          <w:noProof/>
          <w:sz w:val="22"/>
          <w:szCs w:val="22"/>
        </w:rPr>
        <w:t>Table</w:t>
      </w:r>
      <w:r w:rsidR="00E97169">
        <w:rPr>
          <w:rFonts w:cs="Times New Roman"/>
          <w:i/>
          <w:noProof/>
          <w:sz w:val="22"/>
          <w:szCs w:val="22"/>
        </w:rPr>
        <w:t xml:space="preserve"> </w:t>
      </w:r>
      <w:r w:rsidRPr="006333F0">
        <w:rPr>
          <w:rFonts w:cs="Times New Roman"/>
          <w:i/>
          <w:iCs/>
          <w:noProof/>
          <w:sz w:val="22"/>
          <w:szCs w:val="22"/>
        </w:rPr>
        <w:fldChar w:fldCharType="begin"/>
      </w:r>
      <w:r w:rsidRPr="006333F0">
        <w:rPr>
          <w:rFonts w:cs="Times New Roman"/>
          <w:i/>
          <w:iCs/>
          <w:noProof/>
          <w:sz w:val="22"/>
          <w:szCs w:val="22"/>
        </w:rPr>
        <w:instrText xml:space="preserve"> SEQ Table \* ARABIC </w:instrText>
      </w:r>
      <w:r w:rsidRPr="006333F0">
        <w:rPr>
          <w:rFonts w:cs="Times New Roman"/>
          <w:i/>
          <w:iCs/>
          <w:noProof/>
          <w:sz w:val="22"/>
          <w:szCs w:val="22"/>
        </w:rPr>
        <w:fldChar w:fldCharType="separate"/>
      </w:r>
      <w:r w:rsidR="0055391F">
        <w:rPr>
          <w:rFonts w:cs="Times New Roman"/>
          <w:i/>
          <w:iCs/>
          <w:noProof/>
          <w:sz w:val="22"/>
          <w:szCs w:val="22"/>
        </w:rPr>
        <w:t>9</w:t>
      </w:r>
      <w:r w:rsidRPr="006333F0">
        <w:rPr>
          <w:rFonts w:cs="Times New Roman"/>
          <w:i/>
          <w:iCs/>
          <w:noProof/>
          <w:sz w:val="22"/>
          <w:szCs w:val="22"/>
        </w:rPr>
        <w:fldChar w:fldCharType="end"/>
      </w:r>
      <w:bookmarkEnd w:id="142"/>
      <w:r w:rsidRPr="006333F0">
        <w:rPr>
          <w:rFonts w:cs="Times New Roman"/>
          <w:i/>
          <w:noProof/>
          <w:sz w:val="22"/>
          <w:szCs w:val="22"/>
        </w:rPr>
        <w:t xml:space="preserve">: One-off and recurrent costs for </w:t>
      </w:r>
      <w:r w:rsidR="008E7EB4">
        <w:rPr>
          <w:rFonts w:cs="Times New Roman"/>
          <w:i/>
          <w:noProof/>
          <w:sz w:val="22"/>
          <w:szCs w:val="22"/>
        </w:rPr>
        <w:t>national authorities</w:t>
      </w:r>
      <w:r w:rsidRPr="006333F0">
        <w:rPr>
          <w:rFonts w:cs="Times New Roman"/>
          <w:i/>
          <w:noProof/>
          <w:sz w:val="22"/>
          <w:szCs w:val="22"/>
        </w:rPr>
        <w:t xml:space="preserve"> in the POs relative to the baseline (EU27),</w:t>
      </w:r>
      <w:r>
        <w:rPr>
          <w:rFonts w:cs="Times New Roman"/>
          <w:i/>
          <w:noProof/>
          <w:sz w:val="22"/>
          <w:szCs w:val="22"/>
        </w:rPr>
        <w:t xml:space="preserve"> expressed as present value over 2028-2050,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3"/>
        <w:gridCol w:w="974"/>
        <w:gridCol w:w="974"/>
        <w:gridCol w:w="974"/>
        <w:gridCol w:w="978"/>
      </w:tblGrid>
      <w:tr w:rsidR="00E712D6" w:rsidRPr="00E712D6" w14:paraId="521F3A5B" w14:textId="77777777" w:rsidTr="008C1CF3">
        <w:trPr>
          <w:trHeight w:val="255"/>
          <w:tblHeader/>
        </w:trPr>
        <w:tc>
          <w:tcPr>
            <w:tcW w:w="2970" w:type="pct"/>
            <w:vMerge w:val="restart"/>
            <w:shd w:val="clear" w:color="000000" w:fill="0070C0"/>
            <w:hideMark/>
          </w:tcPr>
          <w:p w14:paraId="5436D36D" w14:textId="77777777" w:rsidR="00E712D6" w:rsidRPr="008C1CF3" w:rsidRDefault="00E712D6" w:rsidP="008C1CF3">
            <w:pPr>
              <w:jc w:val="center"/>
              <w:rPr>
                <w:b/>
                <w:noProof/>
                <w:color w:val="FFFFFF"/>
                <w:sz w:val="20"/>
                <w:szCs w:val="20"/>
              </w:rPr>
            </w:pPr>
            <w:r w:rsidRPr="008C1CF3">
              <w:rPr>
                <w:b/>
                <w:noProof/>
                <w:color w:val="FFFFFF"/>
                <w:sz w:val="20"/>
                <w:szCs w:val="20"/>
              </w:rPr>
              <w:t> </w:t>
            </w:r>
          </w:p>
        </w:tc>
        <w:tc>
          <w:tcPr>
            <w:tcW w:w="2030" w:type="pct"/>
            <w:gridSpan w:val="4"/>
            <w:shd w:val="clear" w:color="000000" w:fill="0070C0"/>
            <w:hideMark/>
          </w:tcPr>
          <w:p w14:paraId="5659E7D2" w14:textId="77777777" w:rsidR="00E712D6" w:rsidRPr="008C1CF3" w:rsidRDefault="00E712D6" w:rsidP="008C1CF3">
            <w:pPr>
              <w:jc w:val="center"/>
              <w:rPr>
                <w:b/>
                <w:noProof/>
                <w:color w:val="FFFFFF"/>
                <w:sz w:val="20"/>
                <w:szCs w:val="20"/>
              </w:rPr>
            </w:pPr>
            <w:r w:rsidRPr="008C1CF3">
              <w:rPr>
                <w:b/>
                <w:noProof/>
                <w:color w:val="FFFFFF"/>
                <w:sz w:val="20"/>
                <w:szCs w:val="20"/>
              </w:rPr>
              <w:t>Difference to baseline</w:t>
            </w:r>
          </w:p>
        </w:tc>
      </w:tr>
      <w:tr w:rsidR="00E712D6" w:rsidRPr="00E712D6" w14:paraId="56B00AC1" w14:textId="77777777" w:rsidTr="008C1CF3">
        <w:trPr>
          <w:trHeight w:val="255"/>
          <w:tblHeader/>
        </w:trPr>
        <w:tc>
          <w:tcPr>
            <w:tcW w:w="2970" w:type="pct"/>
            <w:vMerge/>
            <w:hideMark/>
          </w:tcPr>
          <w:p w14:paraId="130E9173" w14:textId="77777777" w:rsidR="00E712D6" w:rsidRPr="008C1CF3" w:rsidRDefault="00E712D6" w:rsidP="008C1CF3">
            <w:pPr>
              <w:rPr>
                <w:b/>
                <w:noProof/>
                <w:color w:val="FFFFFF"/>
                <w:sz w:val="20"/>
                <w:szCs w:val="20"/>
              </w:rPr>
            </w:pPr>
          </w:p>
        </w:tc>
        <w:tc>
          <w:tcPr>
            <w:tcW w:w="507" w:type="pct"/>
            <w:shd w:val="clear" w:color="000000" w:fill="0070C0"/>
            <w:hideMark/>
          </w:tcPr>
          <w:p w14:paraId="30EE9AD5" w14:textId="77777777" w:rsidR="00E712D6" w:rsidRPr="008C1CF3" w:rsidRDefault="00E712D6" w:rsidP="008C1CF3">
            <w:pPr>
              <w:jc w:val="center"/>
              <w:rPr>
                <w:b/>
                <w:noProof/>
                <w:color w:val="FFFFFF"/>
                <w:sz w:val="20"/>
                <w:szCs w:val="20"/>
              </w:rPr>
            </w:pPr>
            <w:r w:rsidRPr="008C1CF3">
              <w:rPr>
                <w:b/>
                <w:noProof/>
                <w:color w:val="FFFFFF"/>
                <w:sz w:val="20"/>
                <w:szCs w:val="20"/>
              </w:rPr>
              <w:t>PO1</w:t>
            </w:r>
          </w:p>
        </w:tc>
        <w:tc>
          <w:tcPr>
            <w:tcW w:w="507" w:type="pct"/>
            <w:shd w:val="clear" w:color="000000" w:fill="0070C0"/>
            <w:hideMark/>
          </w:tcPr>
          <w:p w14:paraId="4CB69DBE" w14:textId="77777777" w:rsidR="00E712D6" w:rsidRPr="008C1CF3" w:rsidRDefault="00E712D6" w:rsidP="008C1CF3">
            <w:pPr>
              <w:jc w:val="center"/>
              <w:rPr>
                <w:b/>
                <w:noProof/>
                <w:color w:val="FFFFFF"/>
                <w:sz w:val="20"/>
                <w:szCs w:val="20"/>
              </w:rPr>
            </w:pPr>
            <w:r w:rsidRPr="008C1CF3">
              <w:rPr>
                <w:b/>
                <w:noProof/>
                <w:color w:val="FFFFFF"/>
                <w:sz w:val="20"/>
                <w:szCs w:val="20"/>
              </w:rPr>
              <w:t>PO2</w:t>
            </w:r>
          </w:p>
        </w:tc>
        <w:tc>
          <w:tcPr>
            <w:tcW w:w="507" w:type="pct"/>
            <w:shd w:val="clear" w:color="000000" w:fill="0070C0"/>
            <w:hideMark/>
          </w:tcPr>
          <w:p w14:paraId="14CE5CFD" w14:textId="77777777" w:rsidR="00E712D6" w:rsidRPr="008C1CF3" w:rsidRDefault="00E712D6" w:rsidP="008C1CF3">
            <w:pPr>
              <w:jc w:val="center"/>
              <w:rPr>
                <w:b/>
                <w:noProof/>
                <w:color w:val="FFFFFF"/>
                <w:sz w:val="20"/>
                <w:szCs w:val="20"/>
              </w:rPr>
            </w:pPr>
            <w:r w:rsidRPr="008C1CF3">
              <w:rPr>
                <w:b/>
                <w:noProof/>
                <w:color w:val="FFFFFF"/>
                <w:sz w:val="20"/>
                <w:szCs w:val="20"/>
              </w:rPr>
              <w:t>PO3</w:t>
            </w:r>
          </w:p>
        </w:tc>
        <w:tc>
          <w:tcPr>
            <w:tcW w:w="507" w:type="pct"/>
            <w:shd w:val="clear" w:color="000000" w:fill="0070C0"/>
            <w:hideMark/>
          </w:tcPr>
          <w:p w14:paraId="4BD21D04" w14:textId="77777777" w:rsidR="00E712D6" w:rsidRPr="008C1CF3" w:rsidRDefault="00E712D6" w:rsidP="008C1CF3">
            <w:pPr>
              <w:jc w:val="center"/>
              <w:rPr>
                <w:b/>
                <w:noProof/>
                <w:color w:val="FFFFFF"/>
                <w:sz w:val="20"/>
                <w:szCs w:val="20"/>
              </w:rPr>
            </w:pPr>
            <w:r w:rsidRPr="008C1CF3">
              <w:rPr>
                <w:b/>
                <w:noProof/>
                <w:color w:val="FFFFFF"/>
                <w:sz w:val="20"/>
                <w:szCs w:val="20"/>
              </w:rPr>
              <w:t>PO4</w:t>
            </w:r>
          </w:p>
        </w:tc>
      </w:tr>
      <w:tr w:rsidR="00E712D6" w:rsidRPr="00E712D6" w14:paraId="419B7961" w14:textId="77777777" w:rsidTr="008C1CF3">
        <w:trPr>
          <w:trHeight w:val="255"/>
        </w:trPr>
        <w:tc>
          <w:tcPr>
            <w:tcW w:w="2970" w:type="pct"/>
            <w:shd w:val="clear" w:color="000000" w:fill="BDE3FF"/>
            <w:hideMark/>
          </w:tcPr>
          <w:p w14:paraId="3A9961F5" w14:textId="77777777" w:rsidR="00E712D6" w:rsidRPr="008C1CF3" w:rsidRDefault="00E712D6" w:rsidP="008C1CF3">
            <w:pPr>
              <w:rPr>
                <w:b/>
                <w:noProof/>
                <w:sz w:val="20"/>
                <w:szCs w:val="20"/>
              </w:rPr>
            </w:pPr>
            <w:r w:rsidRPr="008C1CF3">
              <w:rPr>
                <w:b/>
                <w:noProof/>
                <w:sz w:val="20"/>
                <w:szCs w:val="20"/>
              </w:rPr>
              <w:t>Enforcement cost</w:t>
            </w:r>
          </w:p>
        </w:tc>
        <w:tc>
          <w:tcPr>
            <w:tcW w:w="507" w:type="pct"/>
            <w:shd w:val="clear" w:color="000000" w:fill="BDE3FF"/>
            <w:hideMark/>
          </w:tcPr>
          <w:p w14:paraId="294FD7A9" w14:textId="77777777" w:rsidR="00E712D6" w:rsidRPr="008C1CF3" w:rsidRDefault="00E712D6" w:rsidP="008C1CF3">
            <w:pPr>
              <w:jc w:val="right"/>
              <w:rPr>
                <w:b/>
                <w:noProof/>
                <w:sz w:val="20"/>
                <w:szCs w:val="20"/>
              </w:rPr>
            </w:pPr>
            <w:r w:rsidRPr="008C1CF3">
              <w:rPr>
                <w:b/>
                <w:noProof/>
                <w:sz w:val="20"/>
                <w:szCs w:val="20"/>
              </w:rPr>
              <w:t>106.5</w:t>
            </w:r>
          </w:p>
        </w:tc>
        <w:tc>
          <w:tcPr>
            <w:tcW w:w="507" w:type="pct"/>
            <w:shd w:val="clear" w:color="000000" w:fill="BDE3FF"/>
            <w:hideMark/>
          </w:tcPr>
          <w:p w14:paraId="77113832" w14:textId="77777777" w:rsidR="00E712D6" w:rsidRPr="008C1CF3" w:rsidRDefault="00E712D6" w:rsidP="008C1CF3">
            <w:pPr>
              <w:jc w:val="right"/>
              <w:rPr>
                <w:b/>
                <w:noProof/>
                <w:sz w:val="20"/>
                <w:szCs w:val="20"/>
              </w:rPr>
            </w:pPr>
            <w:r w:rsidRPr="008C1CF3">
              <w:rPr>
                <w:b/>
                <w:noProof/>
                <w:sz w:val="20"/>
                <w:szCs w:val="20"/>
              </w:rPr>
              <w:t>106.5</w:t>
            </w:r>
          </w:p>
        </w:tc>
        <w:tc>
          <w:tcPr>
            <w:tcW w:w="507" w:type="pct"/>
            <w:shd w:val="clear" w:color="000000" w:fill="BDE3FF"/>
            <w:hideMark/>
          </w:tcPr>
          <w:p w14:paraId="6AA5D324" w14:textId="77777777" w:rsidR="00E712D6" w:rsidRPr="008C1CF3" w:rsidRDefault="00E712D6" w:rsidP="008C1CF3">
            <w:pPr>
              <w:jc w:val="right"/>
              <w:rPr>
                <w:b/>
                <w:noProof/>
                <w:sz w:val="20"/>
                <w:szCs w:val="20"/>
              </w:rPr>
            </w:pPr>
            <w:r w:rsidRPr="008C1CF3">
              <w:rPr>
                <w:b/>
                <w:noProof/>
                <w:sz w:val="20"/>
                <w:szCs w:val="20"/>
              </w:rPr>
              <w:t>106.5</w:t>
            </w:r>
          </w:p>
        </w:tc>
        <w:tc>
          <w:tcPr>
            <w:tcW w:w="507" w:type="pct"/>
            <w:shd w:val="clear" w:color="000000" w:fill="BDE3FF"/>
            <w:hideMark/>
          </w:tcPr>
          <w:p w14:paraId="76A20B61" w14:textId="77777777" w:rsidR="00E712D6" w:rsidRPr="008C1CF3" w:rsidRDefault="00E712D6" w:rsidP="008C1CF3">
            <w:pPr>
              <w:jc w:val="right"/>
              <w:rPr>
                <w:b/>
                <w:noProof/>
                <w:sz w:val="20"/>
                <w:szCs w:val="20"/>
              </w:rPr>
            </w:pPr>
            <w:r w:rsidRPr="008C1CF3">
              <w:rPr>
                <w:b/>
                <w:noProof/>
                <w:sz w:val="20"/>
                <w:szCs w:val="20"/>
              </w:rPr>
              <w:t>106.5</w:t>
            </w:r>
          </w:p>
        </w:tc>
      </w:tr>
      <w:tr w:rsidR="0062216B" w:rsidRPr="00E712D6" w14:paraId="4F15D21F" w14:textId="77777777" w:rsidTr="008C1CF3">
        <w:trPr>
          <w:trHeight w:val="255"/>
        </w:trPr>
        <w:tc>
          <w:tcPr>
            <w:tcW w:w="2970" w:type="pct"/>
            <w:hideMark/>
          </w:tcPr>
          <w:p w14:paraId="048C62DF" w14:textId="77777777" w:rsidR="00E712D6" w:rsidRPr="008C1CF3" w:rsidRDefault="00E712D6" w:rsidP="008C1CF3">
            <w:pPr>
              <w:rPr>
                <w:noProof/>
                <w:color w:val="000000"/>
                <w:sz w:val="20"/>
                <w:szCs w:val="20"/>
              </w:rPr>
            </w:pPr>
            <w:r w:rsidRPr="008C1CF3">
              <w:rPr>
                <w:noProof/>
                <w:color w:val="000000"/>
                <w:sz w:val="20"/>
                <w:szCs w:val="20"/>
              </w:rPr>
              <w:t>PM6 (Enforcement authority)</w:t>
            </w:r>
          </w:p>
        </w:tc>
        <w:tc>
          <w:tcPr>
            <w:tcW w:w="507" w:type="pct"/>
            <w:shd w:val="clear" w:color="000000" w:fill="FFFFFF"/>
            <w:noWrap/>
            <w:hideMark/>
          </w:tcPr>
          <w:p w14:paraId="18B9B651" w14:textId="77777777" w:rsidR="00E712D6" w:rsidRPr="008C1CF3" w:rsidRDefault="00E712D6" w:rsidP="008C1CF3">
            <w:pPr>
              <w:jc w:val="right"/>
              <w:rPr>
                <w:noProof/>
                <w:color w:val="000000"/>
                <w:sz w:val="20"/>
                <w:szCs w:val="20"/>
              </w:rPr>
            </w:pPr>
            <w:r w:rsidRPr="008C1CF3">
              <w:rPr>
                <w:noProof/>
                <w:color w:val="000000"/>
                <w:sz w:val="20"/>
                <w:szCs w:val="20"/>
              </w:rPr>
              <w:t>106.5</w:t>
            </w:r>
          </w:p>
        </w:tc>
        <w:tc>
          <w:tcPr>
            <w:tcW w:w="507" w:type="pct"/>
            <w:shd w:val="clear" w:color="000000" w:fill="FFFFFF"/>
            <w:noWrap/>
            <w:hideMark/>
          </w:tcPr>
          <w:p w14:paraId="279408D6" w14:textId="77777777" w:rsidR="00E712D6" w:rsidRPr="008C1CF3" w:rsidRDefault="00E712D6" w:rsidP="008C1CF3">
            <w:pPr>
              <w:jc w:val="right"/>
              <w:rPr>
                <w:noProof/>
                <w:color w:val="000000"/>
                <w:sz w:val="20"/>
                <w:szCs w:val="20"/>
              </w:rPr>
            </w:pPr>
            <w:r w:rsidRPr="008C1CF3">
              <w:rPr>
                <w:noProof/>
                <w:color w:val="000000"/>
                <w:sz w:val="20"/>
                <w:szCs w:val="20"/>
              </w:rPr>
              <w:t>106.5</w:t>
            </w:r>
          </w:p>
        </w:tc>
        <w:tc>
          <w:tcPr>
            <w:tcW w:w="507" w:type="pct"/>
            <w:shd w:val="clear" w:color="000000" w:fill="FFFFFF"/>
            <w:noWrap/>
            <w:hideMark/>
          </w:tcPr>
          <w:p w14:paraId="7523B130" w14:textId="77777777" w:rsidR="00E712D6" w:rsidRPr="008C1CF3" w:rsidRDefault="00E712D6" w:rsidP="008C1CF3">
            <w:pPr>
              <w:jc w:val="right"/>
              <w:rPr>
                <w:noProof/>
                <w:color w:val="000000"/>
                <w:sz w:val="20"/>
                <w:szCs w:val="20"/>
              </w:rPr>
            </w:pPr>
            <w:r w:rsidRPr="008C1CF3">
              <w:rPr>
                <w:noProof/>
                <w:color w:val="000000"/>
                <w:sz w:val="20"/>
                <w:szCs w:val="20"/>
              </w:rPr>
              <w:t>106.5</w:t>
            </w:r>
          </w:p>
        </w:tc>
        <w:tc>
          <w:tcPr>
            <w:tcW w:w="507" w:type="pct"/>
            <w:shd w:val="clear" w:color="000000" w:fill="FFFFFF"/>
            <w:noWrap/>
            <w:hideMark/>
          </w:tcPr>
          <w:p w14:paraId="75516829" w14:textId="77777777" w:rsidR="00E712D6" w:rsidRPr="008C1CF3" w:rsidRDefault="00E712D6" w:rsidP="008C1CF3">
            <w:pPr>
              <w:jc w:val="right"/>
              <w:rPr>
                <w:noProof/>
                <w:color w:val="000000"/>
                <w:sz w:val="20"/>
                <w:szCs w:val="20"/>
              </w:rPr>
            </w:pPr>
            <w:r w:rsidRPr="008C1CF3">
              <w:rPr>
                <w:noProof/>
                <w:color w:val="000000"/>
                <w:sz w:val="20"/>
                <w:szCs w:val="20"/>
              </w:rPr>
              <w:t>106.5</w:t>
            </w:r>
          </w:p>
        </w:tc>
      </w:tr>
      <w:tr w:rsidR="00E712D6" w:rsidRPr="00E712D6" w14:paraId="7116F4E0" w14:textId="77777777" w:rsidTr="008C1CF3">
        <w:trPr>
          <w:trHeight w:val="255"/>
        </w:trPr>
        <w:tc>
          <w:tcPr>
            <w:tcW w:w="2970" w:type="pct"/>
            <w:shd w:val="clear" w:color="000000" w:fill="BDE3FF"/>
            <w:hideMark/>
          </w:tcPr>
          <w:p w14:paraId="132AD864" w14:textId="77777777" w:rsidR="00E712D6" w:rsidRPr="008C1CF3" w:rsidRDefault="00E712D6" w:rsidP="008C1CF3">
            <w:pPr>
              <w:rPr>
                <w:b/>
                <w:noProof/>
                <w:sz w:val="20"/>
                <w:szCs w:val="20"/>
              </w:rPr>
            </w:pPr>
            <w:r w:rsidRPr="008C1CF3">
              <w:rPr>
                <w:b/>
                <w:noProof/>
                <w:sz w:val="20"/>
                <w:szCs w:val="20"/>
              </w:rPr>
              <w:t>Administrative costs</w:t>
            </w:r>
          </w:p>
        </w:tc>
        <w:tc>
          <w:tcPr>
            <w:tcW w:w="507" w:type="pct"/>
            <w:shd w:val="clear" w:color="000000" w:fill="BDE3FF"/>
            <w:hideMark/>
          </w:tcPr>
          <w:p w14:paraId="6DBC21BB" w14:textId="77777777" w:rsidR="00E712D6" w:rsidRPr="008C1CF3" w:rsidRDefault="00E712D6" w:rsidP="008C1CF3">
            <w:pPr>
              <w:jc w:val="right"/>
              <w:rPr>
                <w:b/>
                <w:noProof/>
                <w:sz w:val="20"/>
                <w:szCs w:val="20"/>
              </w:rPr>
            </w:pPr>
            <w:r w:rsidRPr="008C1CF3">
              <w:rPr>
                <w:b/>
                <w:noProof/>
                <w:sz w:val="20"/>
                <w:szCs w:val="20"/>
              </w:rPr>
              <w:t>28.9</w:t>
            </w:r>
          </w:p>
        </w:tc>
        <w:tc>
          <w:tcPr>
            <w:tcW w:w="507" w:type="pct"/>
            <w:shd w:val="clear" w:color="000000" w:fill="BDE3FF"/>
            <w:hideMark/>
          </w:tcPr>
          <w:p w14:paraId="656705FB" w14:textId="77777777" w:rsidR="00E712D6" w:rsidRPr="008C1CF3" w:rsidRDefault="00E712D6" w:rsidP="008C1CF3">
            <w:pPr>
              <w:jc w:val="right"/>
              <w:rPr>
                <w:b/>
                <w:noProof/>
                <w:sz w:val="20"/>
                <w:szCs w:val="20"/>
              </w:rPr>
            </w:pPr>
            <w:r w:rsidRPr="008C1CF3">
              <w:rPr>
                <w:b/>
                <w:noProof/>
                <w:sz w:val="20"/>
                <w:szCs w:val="20"/>
              </w:rPr>
              <w:t>28.9</w:t>
            </w:r>
          </w:p>
        </w:tc>
        <w:tc>
          <w:tcPr>
            <w:tcW w:w="507" w:type="pct"/>
            <w:shd w:val="clear" w:color="000000" w:fill="BDE3FF"/>
            <w:hideMark/>
          </w:tcPr>
          <w:p w14:paraId="3C5D628C" w14:textId="77777777" w:rsidR="00E712D6" w:rsidRPr="008C1CF3" w:rsidRDefault="00E712D6" w:rsidP="008C1CF3">
            <w:pPr>
              <w:jc w:val="right"/>
              <w:rPr>
                <w:b/>
                <w:noProof/>
                <w:sz w:val="20"/>
                <w:szCs w:val="20"/>
              </w:rPr>
            </w:pPr>
            <w:r w:rsidRPr="008C1CF3">
              <w:rPr>
                <w:b/>
                <w:noProof/>
                <w:sz w:val="20"/>
                <w:szCs w:val="20"/>
              </w:rPr>
              <w:t>28.9</w:t>
            </w:r>
          </w:p>
        </w:tc>
        <w:tc>
          <w:tcPr>
            <w:tcW w:w="507" w:type="pct"/>
            <w:shd w:val="clear" w:color="000000" w:fill="BDE3FF"/>
            <w:hideMark/>
          </w:tcPr>
          <w:p w14:paraId="659A7211" w14:textId="77777777" w:rsidR="00E712D6" w:rsidRPr="008C1CF3" w:rsidRDefault="00E712D6" w:rsidP="008C1CF3">
            <w:pPr>
              <w:jc w:val="right"/>
              <w:rPr>
                <w:b/>
                <w:noProof/>
                <w:sz w:val="20"/>
                <w:szCs w:val="20"/>
              </w:rPr>
            </w:pPr>
            <w:r w:rsidRPr="008C1CF3">
              <w:rPr>
                <w:b/>
                <w:noProof/>
                <w:sz w:val="20"/>
                <w:szCs w:val="20"/>
              </w:rPr>
              <w:t>28.9</w:t>
            </w:r>
          </w:p>
        </w:tc>
      </w:tr>
      <w:tr w:rsidR="0062216B" w:rsidRPr="00E712D6" w14:paraId="1B47935F" w14:textId="77777777" w:rsidTr="008C1CF3">
        <w:trPr>
          <w:trHeight w:val="255"/>
        </w:trPr>
        <w:tc>
          <w:tcPr>
            <w:tcW w:w="2970" w:type="pct"/>
            <w:hideMark/>
          </w:tcPr>
          <w:p w14:paraId="18BD3B80" w14:textId="77777777" w:rsidR="00E712D6" w:rsidRPr="008C1CF3" w:rsidRDefault="00E712D6" w:rsidP="008C1CF3">
            <w:pPr>
              <w:rPr>
                <w:noProof/>
                <w:color w:val="000000"/>
                <w:sz w:val="20"/>
                <w:szCs w:val="20"/>
              </w:rPr>
            </w:pPr>
            <w:r w:rsidRPr="008C1CF3">
              <w:rPr>
                <w:noProof/>
                <w:color w:val="000000"/>
                <w:sz w:val="20"/>
                <w:szCs w:val="20"/>
              </w:rPr>
              <w:t>PM6 (Enforcement authority)</w:t>
            </w:r>
          </w:p>
        </w:tc>
        <w:tc>
          <w:tcPr>
            <w:tcW w:w="507" w:type="pct"/>
            <w:shd w:val="clear" w:color="000000" w:fill="FFFFFF"/>
            <w:noWrap/>
            <w:hideMark/>
          </w:tcPr>
          <w:p w14:paraId="2EA0565F" w14:textId="77777777" w:rsidR="00E712D6" w:rsidRPr="008C1CF3" w:rsidRDefault="00E712D6" w:rsidP="008C1CF3">
            <w:pPr>
              <w:jc w:val="right"/>
              <w:rPr>
                <w:noProof/>
                <w:color w:val="000000"/>
                <w:sz w:val="20"/>
                <w:szCs w:val="20"/>
              </w:rPr>
            </w:pPr>
            <w:r w:rsidRPr="008C1CF3">
              <w:rPr>
                <w:noProof/>
                <w:color w:val="000000"/>
                <w:sz w:val="20"/>
                <w:szCs w:val="20"/>
              </w:rPr>
              <w:t>25.8</w:t>
            </w:r>
          </w:p>
        </w:tc>
        <w:tc>
          <w:tcPr>
            <w:tcW w:w="507" w:type="pct"/>
            <w:shd w:val="clear" w:color="000000" w:fill="FFFFFF"/>
            <w:noWrap/>
            <w:hideMark/>
          </w:tcPr>
          <w:p w14:paraId="581E4F2E" w14:textId="77777777" w:rsidR="00E712D6" w:rsidRPr="008C1CF3" w:rsidRDefault="00E712D6" w:rsidP="008C1CF3">
            <w:pPr>
              <w:jc w:val="right"/>
              <w:rPr>
                <w:noProof/>
                <w:color w:val="000000"/>
                <w:sz w:val="20"/>
                <w:szCs w:val="20"/>
              </w:rPr>
            </w:pPr>
            <w:r w:rsidRPr="008C1CF3">
              <w:rPr>
                <w:noProof/>
                <w:color w:val="000000"/>
                <w:sz w:val="20"/>
                <w:szCs w:val="20"/>
              </w:rPr>
              <w:t>25.8</w:t>
            </w:r>
          </w:p>
        </w:tc>
        <w:tc>
          <w:tcPr>
            <w:tcW w:w="507" w:type="pct"/>
            <w:shd w:val="clear" w:color="000000" w:fill="FFFFFF"/>
            <w:noWrap/>
            <w:hideMark/>
          </w:tcPr>
          <w:p w14:paraId="1DD07B4B" w14:textId="77777777" w:rsidR="00E712D6" w:rsidRPr="008C1CF3" w:rsidRDefault="00E712D6" w:rsidP="008C1CF3">
            <w:pPr>
              <w:jc w:val="right"/>
              <w:rPr>
                <w:noProof/>
                <w:color w:val="000000"/>
                <w:sz w:val="20"/>
                <w:szCs w:val="20"/>
              </w:rPr>
            </w:pPr>
            <w:r w:rsidRPr="008C1CF3">
              <w:rPr>
                <w:noProof/>
                <w:color w:val="000000"/>
                <w:sz w:val="20"/>
                <w:szCs w:val="20"/>
              </w:rPr>
              <w:t>25.8</w:t>
            </w:r>
          </w:p>
        </w:tc>
        <w:tc>
          <w:tcPr>
            <w:tcW w:w="507" w:type="pct"/>
            <w:shd w:val="clear" w:color="000000" w:fill="FFFFFF"/>
            <w:noWrap/>
            <w:hideMark/>
          </w:tcPr>
          <w:p w14:paraId="6216AF15" w14:textId="77777777" w:rsidR="00E712D6" w:rsidRPr="008C1CF3" w:rsidRDefault="00E712D6" w:rsidP="008C1CF3">
            <w:pPr>
              <w:jc w:val="right"/>
              <w:rPr>
                <w:noProof/>
                <w:color w:val="000000"/>
                <w:sz w:val="20"/>
                <w:szCs w:val="20"/>
              </w:rPr>
            </w:pPr>
            <w:r w:rsidRPr="008C1CF3">
              <w:rPr>
                <w:noProof/>
                <w:color w:val="000000"/>
                <w:sz w:val="20"/>
                <w:szCs w:val="20"/>
              </w:rPr>
              <w:t>25.8</w:t>
            </w:r>
          </w:p>
        </w:tc>
      </w:tr>
      <w:tr w:rsidR="0062216B" w:rsidRPr="00E712D6" w14:paraId="7A22D7D1" w14:textId="77777777" w:rsidTr="008C1CF3">
        <w:trPr>
          <w:trHeight w:val="255"/>
        </w:trPr>
        <w:tc>
          <w:tcPr>
            <w:tcW w:w="2970" w:type="pct"/>
            <w:hideMark/>
          </w:tcPr>
          <w:p w14:paraId="23ED55B7" w14:textId="77777777" w:rsidR="00E712D6" w:rsidRPr="008C1CF3" w:rsidRDefault="00E712D6" w:rsidP="008C1CF3">
            <w:pPr>
              <w:rPr>
                <w:noProof/>
                <w:color w:val="000000"/>
                <w:sz w:val="20"/>
                <w:szCs w:val="20"/>
              </w:rPr>
            </w:pPr>
            <w:r w:rsidRPr="008C1CF3">
              <w:rPr>
                <w:noProof/>
                <w:color w:val="000000"/>
                <w:sz w:val="20"/>
                <w:szCs w:val="20"/>
              </w:rPr>
              <w:t>PM10 (Designation of indispensable MDMS and RUs)</w:t>
            </w:r>
          </w:p>
        </w:tc>
        <w:tc>
          <w:tcPr>
            <w:tcW w:w="507" w:type="pct"/>
            <w:shd w:val="clear" w:color="000000" w:fill="FFFFFF"/>
            <w:noWrap/>
            <w:hideMark/>
          </w:tcPr>
          <w:p w14:paraId="62FE1BC7" w14:textId="77777777" w:rsidR="00E712D6" w:rsidRPr="008C1CF3" w:rsidRDefault="00E712D6" w:rsidP="008C1CF3">
            <w:pPr>
              <w:jc w:val="right"/>
              <w:rPr>
                <w:noProof/>
                <w:color w:val="000000"/>
                <w:sz w:val="20"/>
                <w:szCs w:val="20"/>
              </w:rPr>
            </w:pPr>
            <w:r w:rsidRPr="008C1CF3">
              <w:rPr>
                <w:noProof/>
                <w:color w:val="000000"/>
                <w:sz w:val="20"/>
                <w:szCs w:val="20"/>
              </w:rPr>
              <w:t>3.1</w:t>
            </w:r>
          </w:p>
        </w:tc>
        <w:tc>
          <w:tcPr>
            <w:tcW w:w="507" w:type="pct"/>
            <w:shd w:val="clear" w:color="000000" w:fill="FFFFFF"/>
            <w:noWrap/>
            <w:hideMark/>
          </w:tcPr>
          <w:p w14:paraId="497C9A60" w14:textId="77777777" w:rsidR="00E712D6" w:rsidRPr="008C1CF3" w:rsidRDefault="00E712D6" w:rsidP="008C1CF3">
            <w:pPr>
              <w:jc w:val="right"/>
              <w:rPr>
                <w:noProof/>
                <w:color w:val="000000"/>
                <w:sz w:val="20"/>
                <w:szCs w:val="20"/>
              </w:rPr>
            </w:pPr>
            <w:r w:rsidRPr="008C1CF3">
              <w:rPr>
                <w:noProof/>
                <w:color w:val="000000"/>
                <w:sz w:val="20"/>
                <w:szCs w:val="20"/>
              </w:rPr>
              <w:t>3.1</w:t>
            </w:r>
          </w:p>
        </w:tc>
        <w:tc>
          <w:tcPr>
            <w:tcW w:w="507" w:type="pct"/>
            <w:shd w:val="clear" w:color="000000" w:fill="FFFFFF"/>
            <w:noWrap/>
            <w:hideMark/>
          </w:tcPr>
          <w:p w14:paraId="4C3B4318" w14:textId="77777777" w:rsidR="00E712D6" w:rsidRPr="008C1CF3" w:rsidRDefault="00E712D6" w:rsidP="008C1CF3">
            <w:pPr>
              <w:jc w:val="right"/>
              <w:rPr>
                <w:noProof/>
                <w:color w:val="000000"/>
                <w:sz w:val="20"/>
                <w:szCs w:val="20"/>
              </w:rPr>
            </w:pPr>
            <w:r w:rsidRPr="008C1CF3">
              <w:rPr>
                <w:noProof/>
                <w:color w:val="000000"/>
                <w:sz w:val="20"/>
                <w:szCs w:val="20"/>
              </w:rPr>
              <w:t>3.1</w:t>
            </w:r>
          </w:p>
        </w:tc>
        <w:tc>
          <w:tcPr>
            <w:tcW w:w="507" w:type="pct"/>
            <w:shd w:val="clear" w:color="000000" w:fill="FFFFFF"/>
            <w:noWrap/>
            <w:hideMark/>
          </w:tcPr>
          <w:p w14:paraId="1889D0FA" w14:textId="77777777" w:rsidR="00E712D6" w:rsidRPr="008C1CF3" w:rsidRDefault="00E712D6" w:rsidP="008C1CF3">
            <w:pPr>
              <w:jc w:val="right"/>
              <w:rPr>
                <w:noProof/>
                <w:color w:val="000000"/>
                <w:sz w:val="20"/>
                <w:szCs w:val="20"/>
              </w:rPr>
            </w:pPr>
            <w:r w:rsidRPr="008C1CF3">
              <w:rPr>
                <w:noProof/>
                <w:color w:val="000000"/>
                <w:sz w:val="20"/>
                <w:szCs w:val="20"/>
              </w:rPr>
              <w:t>3.1</w:t>
            </w:r>
          </w:p>
        </w:tc>
      </w:tr>
      <w:tr w:rsidR="00E712D6" w:rsidRPr="00E712D6" w14:paraId="1800B687" w14:textId="77777777" w:rsidTr="008C1CF3">
        <w:trPr>
          <w:trHeight w:val="255"/>
        </w:trPr>
        <w:tc>
          <w:tcPr>
            <w:tcW w:w="2970" w:type="pct"/>
            <w:shd w:val="clear" w:color="000000" w:fill="F2F2F2"/>
            <w:noWrap/>
            <w:hideMark/>
          </w:tcPr>
          <w:p w14:paraId="25BE5454" w14:textId="77777777" w:rsidR="00E712D6" w:rsidRPr="008C1CF3" w:rsidRDefault="00E712D6" w:rsidP="008C1CF3">
            <w:pPr>
              <w:rPr>
                <w:b/>
                <w:noProof/>
                <w:color w:val="000000"/>
                <w:sz w:val="20"/>
                <w:szCs w:val="20"/>
              </w:rPr>
            </w:pPr>
            <w:r w:rsidRPr="008C1CF3">
              <w:rPr>
                <w:b/>
                <w:noProof/>
                <w:color w:val="000000"/>
                <w:sz w:val="20"/>
                <w:szCs w:val="20"/>
              </w:rPr>
              <w:t>Net costs</w:t>
            </w:r>
          </w:p>
        </w:tc>
        <w:tc>
          <w:tcPr>
            <w:tcW w:w="507" w:type="pct"/>
            <w:shd w:val="clear" w:color="000000" w:fill="F2F2F2"/>
            <w:noWrap/>
            <w:hideMark/>
          </w:tcPr>
          <w:p w14:paraId="11B5E778" w14:textId="77777777" w:rsidR="00E712D6" w:rsidRPr="008C1CF3" w:rsidRDefault="00E712D6" w:rsidP="008C1CF3">
            <w:pPr>
              <w:jc w:val="right"/>
              <w:rPr>
                <w:b/>
                <w:noProof/>
                <w:color w:val="000000"/>
                <w:sz w:val="20"/>
                <w:szCs w:val="20"/>
              </w:rPr>
            </w:pPr>
            <w:r w:rsidRPr="008C1CF3">
              <w:rPr>
                <w:b/>
                <w:noProof/>
                <w:color w:val="000000"/>
                <w:sz w:val="20"/>
                <w:szCs w:val="20"/>
              </w:rPr>
              <w:t>135.4</w:t>
            </w:r>
          </w:p>
        </w:tc>
        <w:tc>
          <w:tcPr>
            <w:tcW w:w="507" w:type="pct"/>
            <w:shd w:val="clear" w:color="000000" w:fill="F2F2F2"/>
            <w:noWrap/>
            <w:hideMark/>
          </w:tcPr>
          <w:p w14:paraId="0A7DAEFA" w14:textId="77777777" w:rsidR="00E712D6" w:rsidRPr="008C1CF3" w:rsidRDefault="00E712D6" w:rsidP="008C1CF3">
            <w:pPr>
              <w:jc w:val="right"/>
              <w:rPr>
                <w:b/>
                <w:noProof/>
                <w:color w:val="000000"/>
                <w:sz w:val="20"/>
                <w:szCs w:val="20"/>
              </w:rPr>
            </w:pPr>
            <w:r w:rsidRPr="008C1CF3">
              <w:rPr>
                <w:b/>
                <w:noProof/>
                <w:color w:val="000000"/>
                <w:sz w:val="20"/>
                <w:szCs w:val="20"/>
              </w:rPr>
              <w:t>135.4</w:t>
            </w:r>
          </w:p>
        </w:tc>
        <w:tc>
          <w:tcPr>
            <w:tcW w:w="507" w:type="pct"/>
            <w:shd w:val="clear" w:color="000000" w:fill="F2F2F2"/>
            <w:noWrap/>
            <w:hideMark/>
          </w:tcPr>
          <w:p w14:paraId="12AE7222" w14:textId="77777777" w:rsidR="00E712D6" w:rsidRPr="008C1CF3" w:rsidRDefault="00E712D6" w:rsidP="008C1CF3">
            <w:pPr>
              <w:jc w:val="right"/>
              <w:rPr>
                <w:b/>
                <w:noProof/>
                <w:color w:val="000000"/>
                <w:sz w:val="20"/>
                <w:szCs w:val="20"/>
              </w:rPr>
            </w:pPr>
            <w:r w:rsidRPr="008C1CF3">
              <w:rPr>
                <w:b/>
                <w:noProof/>
                <w:color w:val="000000"/>
                <w:sz w:val="20"/>
                <w:szCs w:val="20"/>
              </w:rPr>
              <w:t>135.4</w:t>
            </w:r>
          </w:p>
        </w:tc>
        <w:tc>
          <w:tcPr>
            <w:tcW w:w="507" w:type="pct"/>
            <w:shd w:val="clear" w:color="000000" w:fill="F2F2F2"/>
            <w:noWrap/>
            <w:hideMark/>
          </w:tcPr>
          <w:p w14:paraId="495D3680" w14:textId="77777777" w:rsidR="00E712D6" w:rsidRPr="008C1CF3" w:rsidRDefault="00E712D6" w:rsidP="008C1CF3">
            <w:pPr>
              <w:jc w:val="right"/>
              <w:rPr>
                <w:b/>
                <w:noProof/>
                <w:color w:val="000000"/>
                <w:sz w:val="20"/>
                <w:szCs w:val="20"/>
              </w:rPr>
            </w:pPr>
            <w:r w:rsidRPr="008C1CF3">
              <w:rPr>
                <w:b/>
                <w:noProof/>
                <w:color w:val="000000"/>
                <w:sz w:val="20"/>
                <w:szCs w:val="20"/>
              </w:rPr>
              <w:t>135.4</w:t>
            </w:r>
          </w:p>
        </w:tc>
      </w:tr>
    </w:tbl>
    <w:p w14:paraId="55584304" w14:textId="77777777" w:rsidR="008E7EB4" w:rsidRPr="00D71008" w:rsidRDefault="008E7EB4" w:rsidP="008E7EB4">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7BFF6647" w14:textId="29892C63" w:rsidR="008E7EB4" w:rsidRPr="006333F0" w:rsidRDefault="008E7EB4" w:rsidP="008E7EB4">
      <w:pPr>
        <w:pStyle w:val="Text2"/>
        <w:spacing w:after="0"/>
        <w:ind w:left="0"/>
        <w:rPr>
          <w:rFonts w:cs="Times New Roman"/>
          <w:i/>
          <w:noProof/>
          <w:sz w:val="22"/>
          <w:szCs w:val="22"/>
        </w:rPr>
      </w:pPr>
      <w:bookmarkStart w:id="143" w:name="_Ref222868445"/>
      <w:r w:rsidRPr="006333F0">
        <w:rPr>
          <w:rFonts w:cs="Times New Roman"/>
          <w:i/>
          <w:noProof/>
          <w:sz w:val="22"/>
          <w:szCs w:val="22"/>
        </w:rPr>
        <w:t xml:space="preserve">Table </w:t>
      </w:r>
      <w:r w:rsidRPr="006333F0">
        <w:rPr>
          <w:rFonts w:cs="Times New Roman"/>
          <w:i/>
          <w:iCs/>
          <w:noProof/>
          <w:sz w:val="22"/>
          <w:szCs w:val="22"/>
        </w:rPr>
        <w:fldChar w:fldCharType="begin"/>
      </w:r>
      <w:r w:rsidRPr="006333F0">
        <w:rPr>
          <w:rFonts w:cs="Times New Roman"/>
          <w:i/>
          <w:iCs/>
          <w:noProof/>
          <w:sz w:val="22"/>
          <w:szCs w:val="22"/>
        </w:rPr>
        <w:instrText xml:space="preserve"> SEQ Table \* ARABIC </w:instrText>
      </w:r>
      <w:r w:rsidRPr="006333F0">
        <w:rPr>
          <w:rFonts w:cs="Times New Roman"/>
          <w:i/>
          <w:iCs/>
          <w:noProof/>
          <w:sz w:val="22"/>
          <w:szCs w:val="22"/>
        </w:rPr>
        <w:fldChar w:fldCharType="separate"/>
      </w:r>
      <w:r w:rsidR="0055391F">
        <w:rPr>
          <w:rFonts w:cs="Times New Roman"/>
          <w:i/>
          <w:iCs/>
          <w:noProof/>
          <w:sz w:val="22"/>
          <w:szCs w:val="22"/>
        </w:rPr>
        <w:t>10</w:t>
      </w:r>
      <w:r w:rsidRPr="006333F0">
        <w:rPr>
          <w:rFonts w:cs="Times New Roman"/>
          <w:i/>
          <w:iCs/>
          <w:noProof/>
          <w:sz w:val="22"/>
          <w:szCs w:val="22"/>
        </w:rPr>
        <w:fldChar w:fldCharType="end"/>
      </w:r>
      <w:bookmarkEnd w:id="143"/>
      <w:r w:rsidRPr="006333F0">
        <w:rPr>
          <w:rFonts w:cs="Times New Roman"/>
          <w:i/>
          <w:noProof/>
          <w:sz w:val="22"/>
          <w:szCs w:val="22"/>
        </w:rPr>
        <w:t xml:space="preserve">: One-off costs for </w:t>
      </w:r>
      <w:r>
        <w:rPr>
          <w:rFonts w:cs="Times New Roman"/>
          <w:i/>
          <w:noProof/>
          <w:sz w:val="22"/>
          <w:szCs w:val="22"/>
        </w:rPr>
        <w:t>national authorities</w:t>
      </w:r>
      <w:r w:rsidRPr="006333F0">
        <w:rPr>
          <w:rFonts w:cs="Times New Roman"/>
          <w:i/>
          <w:noProof/>
          <w:sz w:val="22"/>
          <w:szCs w:val="22"/>
        </w:rPr>
        <w:t xml:space="preserve"> in the POs relative to the baseline (EU27),</w:t>
      </w:r>
      <w:r>
        <w:rPr>
          <w:rFonts w:cs="Times New Roman"/>
          <w:i/>
          <w:noProof/>
          <w:sz w:val="22"/>
          <w:szCs w:val="22"/>
        </w:rPr>
        <w:t xml:space="preserve"> expressed as present value over 2028-2050,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p>
    <w:tbl>
      <w:tblPr>
        <w:tblW w:w="5000" w:type="pct"/>
        <w:tblLook w:val="04A0" w:firstRow="1" w:lastRow="0" w:firstColumn="1" w:lastColumn="0" w:noHBand="0" w:noVBand="1"/>
      </w:tblPr>
      <w:tblGrid>
        <w:gridCol w:w="5700"/>
        <w:gridCol w:w="974"/>
        <w:gridCol w:w="974"/>
        <w:gridCol w:w="974"/>
        <w:gridCol w:w="981"/>
      </w:tblGrid>
      <w:tr w:rsidR="008E7EB4" w:rsidRPr="008E7EB4" w14:paraId="4E9D315E" w14:textId="77777777" w:rsidTr="00582AB0">
        <w:trPr>
          <w:trHeight w:val="255"/>
          <w:tblHeader/>
        </w:trPr>
        <w:tc>
          <w:tcPr>
            <w:tcW w:w="2968"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24700714" w14:textId="77777777" w:rsidR="008E7EB4" w:rsidRPr="00415BD9" w:rsidRDefault="008E7EB4" w:rsidP="00415BD9">
            <w:pPr>
              <w:jc w:val="center"/>
              <w:rPr>
                <w:b/>
                <w:noProof/>
                <w:color w:val="FFFFFF"/>
                <w:sz w:val="20"/>
                <w:szCs w:val="20"/>
              </w:rPr>
            </w:pPr>
            <w:r w:rsidRPr="00415BD9">
              <w:rPr>
                <w:b/>
                <w:noProof/>
                <w:color w:val="FFFFFF"/>
                <w:sz w:val="20"/>
                <w:szCs w:val="20"/>
              </w:rPr>
              <w:t> </w:t>
            </w:r>
          </w:p>
        </w:tc>
        <w:tc>
          <w:tcPr>
            <w:tcW w:w="2032" w:type="pct"/>
            <w:gridSpan w:val="4"/>
            <w:tcBorders>
              <w:top w:val="single" w:sz="4" w:space="0" w:color="auto"/>
              <w:left w:val="nil"/>
              <w:bottom w:val="single" w:sz="4" w:space="0" w:color="auto"/>
              <w:right w:val="single" w:sz="4" w:space="0" w:color="auto"/>
            </w:tcBorders>
            <w:shd w:val="clear" w:color="000000" w:fill="0070C0"/>
            <w:hideMark/>
          </w:tcPr>
          <w:p w14:paraId="78CC3F16" w14:textId="77777777" w:rsidR="008E7EB4" w:rsidRPr="00415BD9" w:rsidRDefault="008E7EB4" w:rsidP="00415BD9">
            <w:pPr>
              <w:jc w:val="center"/>
              <w:rPr>
                <w:b/>
                <w:noProof/>
                <w:color w:val="FFFFFF"/>
                <w:sz w:val="20"/>
                <w:szCs w:val="20"/>
              </w:rPr>
            </w:pPr>
            <w:r w:rsidRPr="00415BD9">
              <w:rPr>
                <w:b/>
                <w:noProof/>
                <w:color w:val="FFFFFF"/>
                <w:sz w:val="20"/>
                <w:szCs w:val="20"/>
              </w:rPr>
              <w:t>Difference to baseline</w:t>
            </w:r>
          </w:p>
        </w:tc>
      </w:tr>
      <w:tr w:rsidR="008E7EB4" w:rsidRPr="008E7EB4" w14:paraId="6471A916" w14:textId="77777777" w:rsidTr="00582AB0">
        <w:trPr>
          <w:trHeight w:val="255"/>
          <w:tblHeader/>
        </w:trPr>
        <w:tc>
          <w:tcPr>
            <w:tcW w:w="2968" w:type="pct"/>
            <w:vMerge/>
            <w:tcBorders>
              <w:top w:val="single" w:sz="4" w:space="0" w:color="auto"/>
              <w:left w:val="single" w:sz="4" w:space="0" w:color="auto"/>
              <w:bottom w:val="single" w:sz="4" w:space="0" w:color="auto"/>
              <w:right w:val="single" w:sz="4" w:space="0" w:color="auto"/>
            </w:tcBorders>
            <w:hideMark/>
          </w:tcPr>
          <w:p w14:paraId="7F7BBF15" w14:textId="77777777" w:rsidR="008E7EB4" w:rsidRPr="00415BD9" w:rsidRDefault="008E7EB4" w:rsidP="00415BD9">
            <w:pPr>
              <w:rPr>
                <w:b/>
                <w:noProof/>
                <w:color w:val="FFFFFF"/>
                <w:sz w:val="20"/>
                <w:szCs w:val="20"/>
              </w:rPr>
            </w:pPr>
          </w:p>
        </w:tc>
        <w:tc>
          <w:tcPr>
            <w:tcW w:w="507" w:type="pct"/>
            <w:tcBorders>
              <w:top w:val="nil"/>
              <w:left w:val="nil"/>
              <w:bottom w:val="single" w:sz="4" w:space="0" w:color="auto"/>
              <w:right w:val="single" w:sz="4" w:space="0" w:color="auto"/>
            </w:tcBorders>
            <w:shd w:val="clear" w:color="000000" w:fill="0070C0"/>
            <w:hideMark/>
          </w:tcPr>
          <w:p w14:paraId="495E83F6" w14:textId="77777777" w:rsidR="008E7EB4" w:rsidRPr="00415BD9" w:rsidRDefault="008E7EB4" w:rsidP="00415BD9">
            <w:pPr>
              <w:jc w:val="center"/>
              <w:rPr>
                <w:b/>
                <w:noProof/>
                <w:color w:val="FFFFFF"/>
                <w:sz w:val="20"/>
                <w:szCs w:val="20"/>
              </w:rPr>
            </w:pPr>
            <w:r w:rsidRPr="00415BD9">
              <w:rPr>
                <w:b/>
                <w:noProof/>
                <w:color w:val="FFFFFF"/>
                <w:sz w:val="20"/>
                <w:szCs w:val="20"/>
              </w:rPr>
              <w:t>PO1</w:t>
            </w:r>
          </w:p>
        </w:tc>
        <w:tc>
          <w:tcPr>
            <w:tcW w:w="507" w:type="pct"/>
            <w:tcBorders>
              <w:top w:val="nil"/>
              <w:left w:val="nil"/>
              <w:bottom w:val="single" w:sz="4" w:space="0" w:color="auto"/>
              <w:right w:val="single" w:sz="4" w:space="0" w:color="auto"/>
            </w:tcBorders>
            <w:shd w:val="clear" w:color="000000" w:fill="0070C0"/>
            <w:hideMark/>
          </w:tcPr>
          <w:p w14:paraId="49F94D9B" w14:textId="77777777" w:rsidR="008E7EB4" w:rsidRPr="00415BD9" w:rsidRDefault="008E7EB4" w:rsidP="00415BD9">
            <w:pPr>
              <w:jc w:val="center"/>
              <w:rPr>
                <w:b/>
                <w:noProof/>
                <w:color w:val="FFFFFF"/>
                <w:sz w:val="20"/>
                <w:szCs w:val="20"/>
              </w:rPr>
            </w:pPr>
            <w:r w:rsidRPr="00415BD9">
              <w:rPr>
                <w:b/>
                <w:noProof/>
                <w:color w:val="FFFFFF"/>
                <w:sz w:val="20"/>
                <w:szCs w:val="20"/>
              </w:rPr>
              <w:t>PO2</w:t>
            </w:r>
          </w:p>
        </w:tc>
        <w:tc>
          <w:tcPr>
            <w:tcW w:w="507" w:type="pct"/>
            <w:tcBorders>
              <w:top w:val="nil"/>
              <w:left w:val="nil"/>
              <w:bottom w:val="single" w:sz="4" w:space="0" w:color="auto"/>
              <w:right w:val="single" w:sz="4" w:space="0" w:color="auto"/>
            </w:tcBorders>
            <w:shd w:val="clear" w:color="000000" w:fill="0070C0"/>
            <w:hideMark/>
          </w:tcPr>
          <w:p w14:paraId="7C2319F5" w14:textId="77777777" w:rsidR="008E7EB4" w:rsidRPr="00415BD9" w:rsidRDefault="008E7EB4" w:rsidP="00415BD9">
            <w:pPr>
              <w:jc w:val="center"/>
              <w:rPr>
                <w:b/>
                <w:noProof/>
                <w:color w:val="FFFFFF"/>
                <w:sz w:val="20"/>
                <w:szCs w:val="20"/>
              </w:rPr>
            </w:pPr>
            <w:r w:rsidRPr="00415BD9">
              <w:rPr>
                <w:b/>
                <w:noProof/>
                <w:color w:val="FFFFFF"/>
                <w:sz w:val="20"/>
                <w:szCs w:val="20"/>
              </w:rPr>
              <w:t>PO3</w:t>
            </w:r>
          </w:p>
        </w:tc>
        <w:tc>
          <w:tcPr>
            <w:tcW w:w="510" w:type="pct"/>
            <w:tcBorders>
              <w:top w:val="nil"/>
              <w:left w:val="nil"/>
              <w:bottom w:val="single" w:sz="4" w:space="0" w:color="auto"/>
              <w:right w:val="single" w:sz="4" w:space="0" w:color="auto"/>
            </w:tcBorders>
            <w:shd w:val="clear" w:color="000000" w:fill="0070C0"/>
            <w:hideMark/>
          </w:tcPr>
          <w:p w14:paraId="69A7C65C" w14:textId="77777777" w:rsidR="008E7EB4" w:rsidRPr="00415BD9" w:rsidRDefault="008E7EB4" w:rsidP="00415BD9">
            <w:pPr>
              <w:jc w:val="center"/>
              <w:rPr>
                <w:b/>
                <w:noProof/>
                <w:color w:val="FFFFFF"/>
                <w:sz w:val="20"/>
                <w:szCs w:val="20"/>
              </w:rPr>
            </w:pPr>
            <w:r w:rsidRPr="00415BD9">
              <w:rPr>
                <w:b/>
                <w:noProof/>
                <w:color w:val="FFFFFF"/>
                <w:sz w:val="20"/>
                <w:szCs w:val="20"/>
              </w:rPr>
              <w:t>PO4</w:t>
            </w:r>
          </w:p>
        </w:tc>
      </w:tr>
      <w:tr w:rsidR="008E7EB4" w:rsidRPr="008E7EB4" w14:paraId="45EB2CC2" w14:textId="77777777" w:rsidTr="00582AB0">
        <w:trPr>
          <w:trHeight w:val="255"/>
        </w:trPr>
        <w:tc>
          <w:tcPr>
            <w:tcW w:w="2968" w:type="pct"/>
            <w:tcBorders>
              <w:top w:val="nil"/>
              <w:left w:val="single" w:sz="4" w:space="0" w:color="auto"/>
              <w:bottom w:val="single" w:sz="4" w:space="0" w:color="auto"/>
              <w:right w:val="single" w:sz="4" w:space="0" w:color="auto"/>
            </w:tcBorders>
            <w:shd w:val="clear" w:color="000000" w:fill="BDE3FF"/>
            <w:hideMark/>
          </w:tcPr>
          <w:p w14:paraId="272F3E4F" w14:textId="77777777" w:rsidR="008E7EB4" w:rsidRPr="00415BD9" w:rsidRDefault="008E7EB4" w:rsidP="00415BD9">
            <w:pPr>
              <w:rPr>
                <w:b/>
                <w:noProof/>
                <w:sz w:val="20"/>
                <w:szCs w:val="20"/>
              </w:rPr>
            </w:pPr>
            <w:r w:rsidRPr="00415BD9">
              <w:rPr>
                <w:b/>
                <w:noProof/>
                <w:sz w:val="20"/>
                <w:szCs w:val="20"/>
              </w:rPr>
              <w:t>Administrative costs</w:t>
            </w:r>
          </w:p>
        </w:tc>
        <w:tc>
          <w:tcPr>
            <w:tcW w:w="507" w:type="pct"/>
            <w:tcBorders>
              <w:top w:val="nil"/>
              <w:left w:val="nil"/>
              <w:bottom w:val="single" w:sz="4" w:space="0" w:color="auto"/>
              <w:right w:val="single" w:sz="4" w:space="0" w:color="auto"/>
            </w:tcBorders>
            <w:shd w:val="clear" w:color="000000" w:fill="BDE3FF"/>
            <w:hideMark/>
          </w:tcPr>
          <w:p w14:paraId="5A761FFC" w14:textId="77777777" w:rsidR="008E7EB4" w:rsidRPr="00415BD9" w:rsidRDefault="008E7EB4" w:rsidP="00415BD9">
            <w:pPr>
              <w:jc w:val="right"/>
              <w:rPr>
                <w:b/>
                <w:noProof/>
                <w:sz w:val="20"/>
                <w:szCs w:val="20"/>
              </w:rPr>
            </w:pPr>
            <w:r w:rsidRPr="00415BD9">
              <w:rPr>
                <w:b/>
                <w:noProof/>
                <w:sz w:val="20"/>
                <w:szCs w:val="20"/>
              </w:rPr>
              <w:t>3.1</w:t>
            </w:r>
          </w:p>
        </w:tc>
        <w:tc>
          <w:tcPr>
            <w:tcW w:w="507" w:type="pct"/>
            <w:tcBorders>
              <w:top w:val="nil"/>
              <w:left w:val="nil"/>
              <w:bottom w:val="single" w:sz="4" w:space="0" w:color="auto"/>
              <w:right w:val="single" w:sz="4" w:space="0" w:color="auto"/>
            </w:tcBorders>
            <w:shd w:val="clear" w:color="000000" w:fill="BDE3FF"/>
            <w:hideMark/>
          </w:tcPr>
          <w:p w14:paraId="00B5E4BC" w14:textId="77777777" w:rsidR="008E7EB4" w:rsidRPr="00415BD9" w:rsidRDefault="008E7EB4" w:rsidP="00415BD9">
            <w:pPr>
              <w:jc w:val="right"/>
              <w:rPr>
                <w:b/>
                <w:noProof/>
                <w:sz w:val="20"/>
                <w:szCs w:val="20"/>
              </w:rPr>
            </w:pPr>
            <w:r w:rsidRPr="00415BD9">
              <w:rPr>
                <w:b/>
                <w:noProof/>
                <w:sz w:val="20"/>
                <w:szCs w:val="20"/>
              </w:rPr>
              <w:t>3.1</w:t>
            </w:r>
          </w:p>
        </w:tc>
        <w:tc>
          <w:tcPr>
            <w:tcW w:w="507" w:type="pct"/>
            <w:tcBorders>
              <w:top w:val="nil"/>
              <w:left w:val="nil"/>
              <w:bottom w:val="single" w:sz="4" w:space="0" w:color="auto"/>
              <w:right w:val="single" w:sz="4" w:space="0" w:color="auto"/>
            </w:tcBorders>
            <w:shd w:val="clear" w:color="000000" w:fill="BDE3FF"/>
            <w:hideMark/>
          </w:tcPr>
          <w:p w14:paraId="5D14C022" w14:textId="77777777" w:rsidR="008E7EB4" w:rsidRPr="00415BD9" w:rsidRDefault="008E7EB4" w:rsidP="00415BD9">
            <w:pPr>
              <w:jc w:val="right"/>
              <w:rPr>
                <w:b/>
                <w:noProof/>
                <w:sz w:val="20"/>
                <w:szCs w:val="20"/>
              </w:rPr>
            </w:pPr>
            <w:r w:rsidRPr="00415BD9">
              <w:rPr>
                <w:b/>
                <w:noProof/>
                <w:sz w:val="20"/>
                <w:szCs w:val="20"/>
              </w:rPr>
              <w:t>3.1</w:t>
            </w:r>
          </w:p>
        </w:tc>
        <w:tc>
          <w:tcPr>
            <w:tcW w:w="510" w:type="pct"/>
            <w:tcBorders>
              <w:top w:val="nil"/>
              <w:left w:val="nil"/>
              <w:bottom w:val="single" w:sz="4" w:space="0" w:color="auto"/>
              <w:right w:val="single" w:sz="4" w:space="0" w:color="auto"/>
            </w:tcBorders>
            <w:shd w:val="clear" w:color="000000" w:fill="BDE3FF"/>
            <w:hideMark/>
          </w:tcPr>
          <w:p w14:paraId="001BCF45" w14:textId="77777777" w:rsidR="008E7EB4" w:rsidRPr="00415BD9" w:rsidRDefault="008E7EB4" w:rsidP="00415BD9">
            <w:pPr>
              <w:jc w:val="right"/>
              <w:rPr>
                <w:b/>
                <w:noProof/>
                <w:sz w:val="20"/>
                <w:szCs w:val="20"/>
              </w:rPr>
            </w:pPr>
            <w:r w:rsidRPr="00415BD9">
              <w:rPr>
                <w:b/>
                <w:noProof/>
                <w:sz w:val="20"/>
                <w:szCs w:val="20"/>
              </w:rPr>
              <w:t>3.1</w:t>
            </w:r>
          </w:p>
        </w:tc>
      </w:tr>
      <w:tr w:rsidR="0062216B" w:rsidRPr="008E7EB4" w14:paraId="6DEE0E6A" w14:textId="77777777" w:rsidTr="00582AB0">
        <w:trPr>
          <w:trHeight w:val="255"/>
        </w:trPr>
        <w:tc>
          <w:tcPr>
            <w:tcW w:w="2968" w:type="pct"/>
            <w:tcBorders>
              <w:top w:val="nil"/>
              <w:left w:val="single" w:sz="4" w:space="0" w:color="auto"/>
              <w:bottom w:val="single" w:sz="4" w:space="0" w:color="auto"/>
              <w:right w:val="single" w:sz="4" w:space="0" w:color="auto"/>
            </w:tcBorders>
            <w:hideMark/>
          </w:tcPr>
          <w:p w14:paraId="55B4FE12" w14:textId="77777777" w:rsidR="008E7EB4" w:rsidRPr="00415BD9" w:rsidRDefault="008E7EB4" w:rsidP="00415BD9">
            <w:pPr>
              <w:rPr>
                <w:noProof/>
                <w:color w:val="000000"/>
                <w:sz w:val="20"/>
                <w:szCs w:val="20"/>
              </w:rPr>
            </w:pPr>
            <w:r w:rsidRPr="00415BD9">
              <w:rPr>
                <w:noProof/>
                <w:color w:val="000000"/>
                <w:sz w:val="20"/>
                <w:szCs w:val="20"/>
              </w:rPr>
              <w:t>PM10 (Designation of indispensable MDMS and RUs)</w:t>
            </w:r>
          </w:p>
        </w:tc>
        <w:tc>
          <w:tcPr>
            <w:tcW w:w="507" w:type="pct"/>
            <w:tcBorders>
              <w:top w:val="nil"/>
              <w:left w:val="nil"/>
              <w:bottom w:val="single" w:sz="4" w:space="0" w:color="auto"/>
              <w:right w:val="single" w:sz="4" w:space="0" w:color="auto"/>
            </w:tcBorders>
            <w:shd w:val="clear" w:color="000000" w:fill="FFFFFF"/>
            <w:noWrap/>
            <w:hideMark/>
          </w:tcPr>
          <w:p w14:paraId="1B83CBC9" w14:textId="77777777" w:rsidR="008E7EB4" w:rsidRPr="00415BD9" w:rsidRDefault="008E7EB4" w:rsidP="00415BD9">
            <w:pPr>
              <w:jc w:val="right"/>
              <w:rPr>
                <w:noProof/>
                <w:color w:val="000000"/>
                <w:sz w:val="20"/>
                <w:szCs w:val="20"/>
              </w:rPr>
            </w:pPr>
            <w:r w:rsidRPr="00415BD9">
              <w:rPr>
                <w:noProof/>
                <w:color w:val="000000"/>
                <w:sz w:val="20"/>
                <w:szCs w:val="20"/>
              </w:rPr>
              <w:t>3.1</w:t>
            </w:r>
          </w:p>
        </w:tc>
        <w:tc>
          <w:tcPr>
            <w:tcW w:w="507" w:type="pct"/>
            <w:tcBorders>
              <w:top w:val="nil"/>
              <w:left w:val="nil"/>
              <w:bottom w:val="single" w:sz="4" w:space="0" w:color="auto"/>
              <w:right w:val="single" w:sz="4" w:space="0" w:color="auto"/>
            </w:tcBorders>
            <w:shd w:val="clear" w:color="000000" w:fill="FFFFFF"/>
            <w:noWrap/>
            <w:hideMark/>
          </w:tcPr>
          <w:p w14:paraId="2A2DB04B" w14:textId="77777777" w:rsidR="008E7EB4" w:rsidRPr="00415BD9" w:rsidRDefault="008E7EB4" w:rsidP="00415BD9">
            <w:pPr>
              <w:jc w:val="right"/>
              <w:rPr>
                <w:noProof/>
                <w:color w:val="000000"/>
                <w:sz w:val="20"/>
                <w:szCs w:val="20"/>
              </w:rPr>
            </w:pPr>
            <w:r w:rsidRPr="00415BD9">
              <w:rPr>
                <w:noProof/>
                <w:color w:val="000000"/>
                <w:sz w:val="20"/>
                <w:szCs w:val="20"/>
              </w:rPr>
              <w:t>3.1</w:t>
            </w:r>
          </w:p>
        </w:tc>
        <w:tc>
          <w:tcPr>
            <w:tcW w:w="507" w:type="pct"/>
            <w:tcBorders>
              <w:top w:val="nil"/>
              <w:left w:val="nil"/>
              <w:bottom w:val="single" w:sz="4" w:space="0" w:color="auto"/>
              <w:right w:val="single" w:sz="4" w:space="0" w:color="auto"/>
            </w:tcBorders>
            <w:shd w:val="clear" w:color="000000" w:fill="FFFFFF"/>
            <w:noWrap/>
            <w:hideMark/>
          </w:tcPr>
          <w:p w14:paraId="35D0F1A8" w14:textId="77777777" w:rsidR="008E7EB4" w:rsidRPr="00415BD9" w:rsidRDefault="008E7EB4" w:rsidP="00415BD9">
            <w:pPr>
              <w:jc w:val="right"/>
              <w:rPr>
                <w:noProof/>
                <w:color w:val="000000"/>
                <w:sz w:val="20"/>
                <w:szCs w:val="20"/>
              </w:rPr>
            </w:pPr>
            <w:r w:rsidRPr="00415BD9">
              <w:rPr>
                <w:noProof/>
                <w:color w:val="000000"/>
                <w:sz w:val="20"/>
                <w:szCs w:val="20"/>
              </w:rPr>
              <w:t>3.1</w:t>
            </w:r>
          </w:p>
        </w:tc>
        <w:tc>
          <w:tcPr>
            <w:tcW w:w="510" w:type="pct"/>
            <w:tcBorders>
              <w:top w:val="nil"/>
              <w:left w:val="nil"/>
              <w:bottom w:val="single" w:sz="4" w:space="0" w:color="auto"/>
              <w:right w:val="single" w:sz="4" w:space="0" w:color="auto"/>
            </w:tcBorders>
            <w:shd w:val="clear" w:color="000000" w:fill="FFFFFF"/>
            <w:noWrap/>
            <w:hideMark/>
          </w:tcPr>
          <w:p w14:paraId="2BD38DA7" w14:textId="77777777" w:rsidR="008E7EB4" w:rsidRPr="00415BD9" w:rsidRDefault="008E7EB4" w:rsidP="00415BD9">
            <w:pPr>
              <w:jc w:val="right"/>
              <w:rPr>
                <w:noProof/>
                <w:color w:val="000000"/>
                <w:sz w:val="20"/>
                <w:szCs w:val="20"/>
              </w:rPr>
            </w:pPr>
            <w:r w:rsidRPr="00415BD9">
              <w:rPr>
                <w:noProof/>
                <w:color w:val="000000"/>
                <w:sz w:val="20"/>
                <w:szCs w:val="20"/>
              </w:rPr>
              <w:t>3.1</w:t>
            </w:r>
          </w:p>
        </w:tc>
      </w:tr>
      <w:tr w:rsidR="008E7EB4" w:rsidRPr="008E7EB4" w14:paraId="1A99BDD2" w14:textId="77777777" w:rsidTr="00582AB0">
        <w:trPr>
          <w:trHeight w:val="255"/>
        </w:trPr>
        <w:tc>
          <w:tcPr>
            <w:tcW w:w="2968" w:type="pct"/>
            <w:tcBorders>
              <w:top w:val="nil"/>
              <w:left w:val="single" w:sz="4" w:space="0" w:color="auto"/>
              <w:bottom w:val="single" w:sz="4" w:space="0" w:color="auto"/>
              <w:right w:val="single" w:sz="4" w:space="0" w:color="auto"/>
            </w:tcBorders>
            <w:shd w:val="clear" w:color="000000" w:fill="F2F2F2"/>
            <w:noWrap/>
            <w:hideMark/>
          </w:tcPr>
          <w:p w14:paraId="60ABF509" w14:textId="0A997ADF" w:rsidR="008E7EB4" w:rsidRPr="00415BD9" w:rsidRDefault="0045140D" w:rsidP="004945DD">
            <w:pPr>
              <w:keepNext/>
              <w:rPr>
                <w:b/>
                <w:noProof/>
                <w:color w:val="000000"/>
                <w:sz w:val="20"/>
                <w:szCs w:val="20"/>
              </w:rPr>
            </w:pPr>
            <w:r>
              <w:rPr>
                <w:b/>
                <w:noProof/>
                <w:color w:val="000000"/>
                <w:sz w:val="20"/>
                <w:szCs w:val="20"/>
              </w:rPr>
              <w:t>Total one-off</w:t>
            </w:r>
            <w:r w:rsidRPr="00415BD9">
              <w:rPr>
                <w:b/>
                <w:noProof/>
                <w:color w:val="000000"/>
                <w:sz w:val="20"/>
                <w:szCs w:val="20"/>
              </w:rPr>
              <w:t xml:space="preserve"> </w:t>
            </w:r>
            <w:r w:rsidR="008E7EB4" w:rsidRPr="00415BD9">
              <w:rPr>
                <w:b/>
                <w:noProof/>
                <w:color w:val="000000"/>
                <w:sz w:val="20"/>
                <w:szCs w:val="20"/>
              </w:rPr>
              <w:t>costs</w:t>
            </w:r>
          </w:p>
        </w:tc>
        <w:tc>
          <w:tcPr>
            <w:tcW w:w="507" w:type="pct"/>
            <w:tcBorders>
              <w:top w:val="nil"/>
              <w:left w:val="nil"/>
              <w:bottom w:val="single" w:sz="4" w:space="0" w:color="auto"/>
              <w:right w:val="single" w:sz="4" w:space="0" w:color="auto"/>
            </w:tcBorders>
            <w:shd w:val="clear" w:color="000000" w:fill="F2F2F2"/>
            <w:noWrap/>
            <w:hideMark/>
          </w:tcPr>
          <w:p w14:paraId="3FE45647" w14:textId="77777777" w:rsidR="008E7EB4" w:rsidRPr="00415BD9" w:rsidRDefault="008E7EB4" w:rsidP="004945DD">
            <w:pPr>
              <w:keepNext/>
              <w:jc w:val="right"/>
              <w:rPr>
                <w:b/>
                <w:noProof/>
                <w:color w:val="000000"/>
                <w:sz w:val="20"/>
                <w:szCs w:val="20"/>
              </w:rPr>
            </w:pPr>
            <w:r w:rsidRPr="00415BD9">
              <w:rPr>
                <w:b/>
                <w:noProof/>
                <w:color w:val="000000"/>
                <w:sz w:val="20"/>
                <w:szCs w:val="20"/>
              </w:rPr>
              <w:t>3.1</w:t>
            </w:r>
          </w:p>
        </w:tc>
        <w:tc>
          <w:tcPr>
            <w:tcW w:w="507" w:type="pct"/>
            <w:tcBorders>
              <w:top w:val="nil"/>
              <w:left w:val="nil"/>
              <w:bottom w:val="single" w:sz="4" w:space="0" w:color="auto"/>
              <w:right w:val="single" w:sz="4" w:space="0" w:color="auto"/>
            </w:tcBorders>
            <w:shd w:val="clear" w:color="000000" w:fill="F2F2F2"/>
            <w:noWrap/>
            <w:hideMark/>
          </w:tcPr>
          <w:p w14:paraId="35CEACDF" w14:textId="77777777" w:rsidR="008E7EB4" w:rsidRPr="00415BD9" w:rsidRDefault="008E7EB4" w:rsidP="004945DD">
            <w:pPr>
              <w:keepNext/>
              <w:jc w:val="right"/>
              <w:rPr>
                <w:b/>
                <w:noProof/>
                <w:color w:val="000000"/>
                <w:sz w:val="20"/>
                <w:szCs w:val="20"/>
              </w:rPr>
            </w:pPr>
            <w:r w:rsidRPr="00415BD9">
              <w:rPr>
                <w:b/>
                <w:noProof/>
                <w:color w:val="000000"/>
                <w:sz w:val="20"/>
                <w:szCs w:val="20"/>
              </w:rPr>
              <w:t>3.1</w:t>
            </w:r>
          </w:p>
        </w:tc>
        <w:tc>
          <w:tcPr>
            <w:tcW w:w="507" w:type="pct"/>
            <w:tcBorders>
              <w:top w:val="nil"/>
              <w:left w:val="nil"/>
              <w:bottom w:val="single" w:sz="4" w:space="0" w:color="auto"/>
              <w:right w:val="single" w:sz="4" w:space="0" w:color="auto"/>
            </w:tcBorders>
            <w:shd w:val="clear" w:color="000000" w:fill="F2F2F2"/>
            <w:noWrap/>
            <w:hideMark/>
          </w:tcPr>
          <w:p w14:paraId="54CAC100" w14:textId="77777777" w:rsidR="008E7EB4" w:rsidRPr="00415BD9" w:rsidRDefault="008E7EB4" w:rsidP="004945DD">
            <w:pPr>
              <w:keepNext/>
              <w:jc w:val="right"/>
              <w:rPr>
                <w:b/>
                <w:noProof/>
                <w:color w:val="000000"/>
                <w:sz w:val="20"/>
                <w:szCs w:val="20"/>
              </w:rPr>
            </w:pPr>
            <w:r w:rsidRPr="00415BD9">
              <w:rPr>
                <w:b/>
                <w:noProof/>
                <w:color w:val="000000"/>
                <w:sz w:val="20"/>
                <w:szCs w:val="20"/>
              </w:rPr>
              <w:t>3.1</w:t>
            </w:r>
          </w:p>
        </w:tc>
        <w:tc>
          <w:tcPr>
            <w:tcW w:w="510" w:type="pct"/>
            <w:tcBorders>
              <w:top w:val="nil"/>
              <w:left w:val="nil"/>
              <w:bottom w:val="single" w:sz="4" w:space="0" w:color="auto"/>
              <w:right w:val="single" w:sz="4" w:space="0" w:color="auto"/>
            </w:tcBorders>
            <w:shd w:val="clear" w:color="000000" w:fill="F2F2F2"/>
            <w:noWrap/>
            <w:hideMark/>
          </w:tcPr>
          <w:p w14:paraId="015AFC9D" w14:textId="77777777" w:rsidR="008E7EB4" w:rsidRPr="00415BD9" w:rsidRDefault="008E7EB4" w:rsidP="004945DD">
            <w:pPr>
              <w:keepNext/>
              <w:jc w:val="right"/>
              <w:rPr>
                <w:b/>
                <w:noProof/>
                <w:color w:val="000000"/>
                <w:sz w:val="20"/>
                <w:szCs w:val="20"/>
              </w:rPr>
            </w:pPr>
            <w:r w:rsidRPr="00415BD9">
              <w:rPr>
                <w:b/>
                <w:noProof/>
                <w:color w:val="000000"/>
                <w:sz w:val="20"/>
                <w:szCs w:val="20"/>
              </w:rPr>
              <w:t>3.1</w:t>
            </w:r>
          </w:p>
        </w:tc>
      </w:tr>
    </w:tbl>
    <w:p w14:paraId="76967CBC" w14:textId="77777777" w:rsidR="0062179F" w:rsidRPr="00D71008" w:rsidRDefault="0062179F" w:rsidP="009054B3">
      <w:pPr>
        <w:widowControl w:val="0"/>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0C40ED31" w14:textId="3E605891" w:rsidR="00302ADF" w:rsidRPr="00D71008" w:rsidRDefault="00C76311" w:rsidP="009054B3">
      <w:pPr>
        <w:pStyle w:val="Heading2"/>
        <w:keepNext/>
        <w:numPr>
          <w:ilvl w:val="2"/>
          <w:numId w:val="11"/>
        </w:numPr>
        <w:tabs>
          <w:tab w:val="left" w:pos="709"/>
        </w:tabs>
        <w:spacing w:before="0" w:after="240"/>
        <w:ind w:left="1134" w:hanging="708"/>
        <w:rPr>
          <w:b w:val="0"/>
          <w:i/>
          <w:noProof/>
        </w:rPr>
      </w:pPr>
      <w:bookmarkStart w:id="144" w:name="_Toc222748998"/>
      <w:bookmarkStart w:id="145" w:name="_Toc223979968"/>
      <w:r>
        <w:rPr>
          <w:b w:val="0"/>
          <w:i/>
          <w:noProof/>
        </w:rPr>
        <w:t>Impact</w:t>
      </w:r>
      <w:r w:rsidR="00F9450A">
        <w:rPr>
          <w:b w:val="0"/>
          <w:i/>
          <w:noProof/>
        </w:rPr>
        <w:t>s</w:t>
      </w:r>
      <w:r>
        <w:rPr>
          <w:b w:val="0"/>
          <w:i/>
          <w:noProof/>
        </w:rPr>
        <w:t xml:space="preserve"> on the European Commission</w:t>
      </w:r>
      <w:bookmarkEnd w:id="144"/>
      <w:bookmarkEnd w:id="145"/>
      <w:r w:rsidR="00302ADF">
        <w:rPr>
          <w:b w:val="0"/>
          <w:i/>
          <w:noProof/>
        </w:rPr>
        <w:t xml:space="preserve"> </w:t>
      </w:r>
      <w:bookmarkEnd w:id="141"/>
    </w:p>
    <w:p w14:paraId="26A33A45" w14:textId="4DB42698" w:rsidR="005D1D2A" w:rsidRPr="005A3EB8" w:rsidRDefault="00F420E8" w:rsidP="009054B3">
      <w:pPr>
        <w:pStyle w:val="BodyText"/>
        <w:keepNext/>
        <w:spacing w:after="240"/>
        <w:ind w:left="0"/>
        <w:rPr>
          <w:noProof/>
          <w:spacing w:val="-8"/>
        </w:rPr>
      </w:pPr>
      <w:bookmarkStart w:id="146" w:name="_Toc222313481"/>
      <w:r>
        <w:rPr>
          <w:b/>
          <w:bCs/>
          <w:i/>
          <w:iCs/>
          <w:noProof/>
          <w:spacing w:val="-8"/>
        </w:rPr>
        <w:t>R</w:t>
      </w:r>
      <w:r w:rsidRPr="00807A95">
        <w:rPr>
          <w:b/>
          <w:bCs/>
          <w:i/>
          <w:iCs/>
          <w:noProof/>
          <w:spacing w:val="-8"/>
        </w:rPr>
        <w:t xml:space="preserve">ecurrent </w:t>
      </w:r>
      <w:r>
        <w:rPr>
          <w:b/>
          <w:bCs/>
          <w:i/>
          <w:iCs/>
          <w:noProof/>
          <w:spacing w:val="-8"/>
        </w:rPr>
        <w:t>adjustment c</w:t>
      </w:r>
      <w:r w:rsidRPr="00807A95">
        <w:rPr>
          <w:b/>
          <w:bCs/>
          <w:i/>
          <w:iCs/>
          <w:noProof/>
          <w:spacing w:val="-8"/>
        </w:rPr>
        <w:t xml:space="preserve">osts for </w:t>
      </w:r>
      <w:r>
        <w:rPr>
          <w:b/>
          <w:bCs/>
          <w:i/>
          <w:iCs/>
          <w:noProof/>
          <w:spacing w:val="-8"/>
        </w:rPr>
        <w:t>the European Commission</w:t>
      </w:r>
      <w:r w:rsidRPr="00807A95">
        <w:rPr>
          <w:b/>
          <w:bCs/>
          <w:i/>
          <w:iCs/>
          <w:noProof/>
          <w:spacing w:val="-8"/>
        </w:rPr>
        <w:t>.</w:t>
      </w:r>
      <w:r w:rsidR="00DE2121">
        <w:rPr>
          <w:noProof/>
          <w:spacing w:val="-8"/>
        </w:rPr>
        <w:t xml:space="preserve"> </w:t>
      </w:r>
      <w:r w:rsidR="00242284" w:rsidRPr="00255F89">
        <w:rPr>
          <w:noProof/>
          <w:spacing w:val="-8"/>
        </w:rPr>
        <w:t>A</w:t>
      </w:r>
      <w:r w:rsidR="00DE2121" w:rsidRPr="00255F89">
        <w:rPr>
          <w:noProof/>
          <w:spacing w:val="-8"/>
        </w:rPr>
        <w:t>ll</w:t>
      </w:r>
      <w:r w:rsidR="00DE2121">
        <w:rPr>
          <w:noProof/>
          <w:spacing w:val="-8"/>
        </w:rPr>
        <w:t xml:space="preserve"> policy options</w:t>
      </w:r>
      <w:r w:rsidR="00242284">
        <w:rPr>
          <w:noProof/>
          <w:spacing w:val="-8"/>
        </w:rPr>
        <w:t xml:space="preserve"> lead to</w:t>
      </w:r>
      <w:r w:rsidR="00F41194" w:rsidDel="00242284">
        <w:rPr>
          <w:noProof/>
          <w:spacing w:val="-8"/>
        </w:rPr>
        <w:t xml:space="preserve"> </w:t>
      </w:r>
      <w:r w:rsidR="003761DF">
        <w:rPr>
          <w:noProof/>
          <w:spacing w:val="-8"/>
        </w:rPr>
        <w:t>recurrent</w:t>
      </w:r>
      <w:r w:rsidR="00EC58A1">
        <w:rPr>
          <w:noProof/>
          <w:spacing w:val="-8"/>
        </w:rPr>
        <w:t xml:space="preserve"> adjustment</w:t>
      </w:r>
      <w:r w:rsidR="003761DF">
        <w:rPr>
          <w:noProof/>
          <w:spacing w:val="-8"/>
        </w:rPr>
        <w:t xml:space="preserve"> costs</w:t>
      </w:r>
      <w:r w:rsidR="00242284">
        <w:rPr>
          <w:noProof/>
          <w:spacing w:val="-8"/>
        </w:rPr>
        <w:t xml:space="preserve"> for the European Commission, estimated</w:t>
      </w:r>
      <w:r w:rsidR="003D6282">
        <w:rPr>
          <w:noProof/>
          <w:spacing w:val="-8"/>
        </w:rPr>
        <w:t xml:space="preserve"> in total</w:t>
      </w:r>
      <w:r w:rsidR="00242284">
        <w:rPr>
          <w:noProof/>
          <w:spacing w:val="-8"/>
        </w:rPr>
        <w:t xml:space="preserve"> at </w:t>
      </w:r>
      <w:r w:rsidR="00B6747A">
        <w:rPr>
          <w:noProof/>
          <w:spacing w:val="-8"/>
        </w:rPr>
        <w:t xml:space="preserve">EUR </w:t>
      </w:r>
      <w:r w:rsidR="0024530B">
        <w:rPr>
          <w:noProof/>
          <w:spacing w:val="-8"/>
        </w:rPr>
        <w:t>5.3</w:t>
      </w:r>
      <w:r w:rsidR="00B6747A">
        <w:rPr>
          <w:noProof/>
          <w:spacing w:val="-8"/>
        </w:rPr>
        <w:t xml:space="preserve"> million</w:t>
      </w:r>
      <w:r w:rsidR="00C8692D">
        <w:rPr>
          <w:noProof/>
          <w:spacing w:val="-8"/>
        </w:rPr>
        <w:t>,</w:t>
      </w:r>
      <w:r w:rsidR="00242284">
        <w:rPr>
          <w:noProof/>
          <w:spacing w:val="-8"/>
        </w:rPr>
        <w:t xml:space="preserve"> expressed as present value over 2028-2050 relative to the baseline</w:t>
      </w:r>
      <w:r w:rsidR="00BA0E4E" w:rsidRPr="00BA0E4E">
        <w:rPr>
          <w:noProof/>
          <w:spacing w:val="-8"/>
        </w:rPr>
        <w:t xml:space="preserve"> </w:t>
      </w:r>
      <w:r w:rsidR="00996F99" w:rsidRPr="001455D4">
        <w:rPr>
          <w:noProof/>
          <w:spacing w:val="-8"/>
        </w:rPr>
        <w:t>(</w:t>
      </w:r>
      <w:r w:rsidR="002D5ABC" w:rsidRPr="001455D4">
        <w:rPr>
          <w:noProof/>
          <w:spacing w:val="-8"/>
        </w:rPr>
        <w:t xml:space="preserve">see </w:t>
      </w:r>
      <w:r w:rsidR="002D5ABC" w:rsidRPr="001455D4">
        <w:rPr>
          <w:noProof/>
          <w:spacing w:val="-8"/>
        </w:rPr>
        <w:fldChar w:fldCharType="begin"/>
      </w:r>
      <w:r w:rsidR="002D5ABC" w:rsidRPr="001455D4">
        <w:rPr>
          <w:noProof/>
          <w:spacing w:val="-8"/>
        </w:rPr>
        <w:instrText xml:space="preserve"> REF _Ref222869645 \h </w:instrText>
      </w:r>
      <w:r w:rsidR="001455D4" w:rsidRPr="001455D4">
        <w:rPr>
          <w:noProof/>
          <w:spacing w:val="-8"/>
        </w:rPr>
        <w:instrText xml:space="preserve"> \* MERGEFORMAT </w:instrText>
      </w:r>
      <w:r w:rsidR="002D5ABC" w:rsidRPr="001455D4">
        <w:rPr>
          <w:noProof/>
          <w:spacing w:val="-8"/>
        </w:rPr>
      </w:r>
      <w:r w:rsidR="002D5ABC" w:rsidRPr="001455D4">
        <w:rPr>
          <w:noProof/>
          <w:spacing w:val="-8"/>
        </w:rPr>
        <w:fldChar w:fldCharType="separate"/>
      </w:r>
      <w:r>
        <w:rPr>
          <w:noProof/>
        </w:rPr>
        <w:t>Table 11</w:t>
      </w:r>
      <w:r w:rsidR="002D5ABC" w:rsidRPr="001455D4">
        <w:rPr>
          <w:noProof/>
          <w:spacing w:val="-8"/>
        </w:rPr>
        <w:fldChar w:fldCharType="end"/>
      </w:r>
      <w:r w:rsidR="002D5ABC" w:rsidRPr="001455D4">
        <w:rPr>
          <w:noProof/>
          <w:spacing w:val="-8"/>
        </w:rPr>
        <w:t>)</w:t>
      </w:r>
      <w:r w:rsidR="00BA0E4E" w:rsidRPr="001455D4">
        <w:rPr>
          <w:noProof/>
          <w:spacing w:val="-8"/>
        </w:rPr>
        <w:t xml:space="preserve">. These are </w:t>
      </w:r>
      <w:r w:rsidR="00E71E1A" w:rsidRPr="00255F89">
        <w:rPr>
          <w:noProof/>
          <w:spacing w:val="-8"/>
        </w:rPr>
        <w:t>due to</w:t>
      </w:r>
      <w:r w:rsidR="00BA0E4E" w:rsidDel="00C8692D">
        <w:rPr>
          <w:noProof/>
          <w:spacing w:val="-8"/>
        </w:rPr>
        <w:t xml:space="preserve"> </w:t>
      </w:r>
      <w:r w:rsidR="006851FF">
        <w:rPr>
          <w:noProof/>
          <w:spacing w:val="-8"/>
        </w:rPr>
        <w:t xml:space="preserve">the obligation for the European Commission to </w:t>
      </w:r>
      <w:r w:rsidR="004D2B5F">
        <w:rPr>
          <w:noProof/>
          <w:spacing w:val="-8"/>
        </w:rPr>
        <w:t>designate</w:t>
      </w:r>
      <w:r w:rsidR="006851FF">
        <w:rPr>
          <w:noProof/>
          <w:spacing w:val="-8"/>
        </w:rPr>
        <w:t xml:space="preserve"> B2C MDMS </w:t>
      </w:r>
      <w:r w:rsidR="00C8692D">
        <w:rPr>
          <w:noProof/>
          <w:spacing w:val="-8"/>
        </w:rPr>
        <w:t xml:space="preserve">platforms </w:t>
      </w:r>
      <w:r w:rsidR="006851FF">
        <w:rPr>
          <w:noProof/>
          <w:spacing w:val="-8"/>
        </w:rPr>
        <w:t xml:space="preserve">with SMP at European level and deal </w:t>
      </w:r>
      <w:r w:rsidR="00EC58A1">
        <w:rPr>
          <w:noProof/>
          <w:spacing w:val="-8"/>
        </w:rPr>
        <w:t>with pot</w:t>
      </w:r>
      <w:r w:rsidR="00EB2680">
        <w:rPr>
          <w:noProof/>
          <w:spacing w:val="-8"/>
        </w:rPr>
        <w:t>ential complaints (PM</w:t>
      </w:r>
      <w:r w:rsidR="005B591B">
        <w:rPr>
          <w:noProof/>
          <w:spacing w:val="-8"/>
        </w:rPr>
        <w:t>10)</w:t>
      </w:r>
      <w:r w:rsidR="00B9600D">
        <w:rPr>
          <w:rStyle w:val="FootnoteReference"/>
          <w:noProof/>
          <w:spacing w:val="-8"/>
        </w:rPr>
        <w:footnoteReference w:id="193"/>
      </w:r>
      <w:r w:rsidR="005B591B">
        <w:rPr>
          <w:noProof/>
          <w:spacing w:val="-8"/>
        </w:rPr>
        <w:t>, estimated at EUR 4 million</w:t>
      </w:r>
      <w:r w:rsidR="00107940">
        <w:rPr>
          <w:noProof/>
          <w:spacing w:val="-8"/>
        </w:rPr>
        <w:t xml:space="preserve">, </w:t>
      </w:r>
      <w:r w:rsidR="00107940" w:rsidRPr="00255F89">
        <w:rPr>
          <w:noProof/>
          <w:spacing w:val="-8"/>
        </w:rPr>
        <w:t>and</w:t>
      </w:r>
      <w:r w:rsidR="00A430CC">
        <w:rPr>
          <w:noProof/>
          <w:spacing w:val="-8"/>
        </w:rPr>
        <w:t xml:space="preserve"> </w:t>
      </w:r>
      <w:r w:rsidR="007B10AA">
        <w:rPr>
          <w:noProof/>
          <w:spacing w:val="-8"/>
        </w:rPr>
        <w:t xml:space="preserve">due to the </w:t>
      </w:r>
      <w:r w:rsidR="00334C5A">
        <w:rPr>
          <w:noProof/>
          <w:spacing w:val="-8"/>
        </w:rPr>
        <w:t xml:space="preserve">support </w:t>
      </w:r>
      <w:r w:rsidR="00107940">
        <w:rPr>
          <w:noProof/>
          <w:spacing w:val="-8"/>
        </w:rPr>
        <w:t xml:space="preserve">for </w:t>
      </w:r>
      <w:r w:rsidR="00334C5A">
        <w:rPr>
          <w:noProof/>
          <w:spacing w:val="-8"/>
        </w:rPr>
        <w:t>the coordination of enforcement with an EU-wide enforcement network</w:t>
      </w:r>
      <w:r w:rsidR="005A3EB8">
        <w:rPr>
          <w:noProof/>
          <w:spacing w:val="-8"/>
        </w:rPr>
        <w:t xml:space="preserve"> </w:t>
      </w:r>
      <w:r w:rsidR="008D2402">
        <w:rPr>
          <w:noProof/>
          <w:spacing w:val="-8"/>
        </w:rPr>
        <w:t xml:space="preserve">and monitoring of the market </w:t>
      </w:r>
      <w:r w:rsidR="005A3EB8">
        <w:rPr>
          <w:noProof/>
          <w:spacing w:val="-8"/>
        </w:rPr>
        <w:t>(PM6)</w:t>
      </w:r>
      <w:r w:rsidR="00FE20D8">
        <w:rPr>
          <w:rStyle w:val="FootnoteReference"/>
          <w:noProof/>
          <w:spacing w:val="-8"/>
        </w:rPr>
        <w:footnoteReference w:id="194"/>
      </w:r>
      <w:r w:rsidR="00D038CB">
        <w:rPr>
          <w:noProof/>
          <w:spacing w:val="-8"/>
        </w:rPr>
        <w:t xml:space="preserve">, </w:t>
      </w:r>
      <w:r w:rsidR="00CE5CD2" w:rsidRPr="00255F89">
        <w:rPr>
          <w:noProof/>
          <w:spacing w:val="-8"/>
        </w:rPr>
        <w:t>estimated</w:t>
      </w:r>
      <w:r w:rsidR="00CE5CD2">
        <w:rPr>
          <w:noProof/>
          <w:spacing w:val="-8"/>
        </w:rPr>
        <w:t xml:space="preserve"> at</w:t>
      </w:r>
      <w:r w:rsidR="00D038CB">
        <w:rPr>
          <w:noProof/>
          <w:spacing w:val="-8"/>
        </w:rPr>
        <w:t xml:space="preserve"> EUR </w:t>
      </w:r>
      <w:r w:rsidR="008D2402">
        <w:rPr>
          <w:noProof/>
          <w:spacing w:val="-8"/>
        </w:rPr>
        <w:t>1.3</w:t>
      </w:r>
      <w:r w:rsidR="00D038CB">
        <w:rPr>
          <w:noProof/>
          <w:spacing w:val="-8"/>
        </w:rPr>
        <w:t xml:space="preserve"> </w:t>
      </w:r>
      <w:r w:rsidR="00CE5CD2" w:rsidRPr="00255F89">
        <w:rPr>
          <w:noProof/>
          <w:spacing w:val="-8"/>
        </w:rPr>
        <w:t>million</w:t>
      </w:r>
      <w:r w:rsidR="00D038CB">
        <w:rPr>
          <w:noProof/>
          <w:spacing w:val="-8"/>
        </w:rPr>
        <w:t xml:space="preserve">. </w:t>
      </w:r>
    </w:p>
    <w:p w14:paraId="183A3487" w14:textId="08A9A690" w:rsidR="006E6282" w:rsidRPr="006333F0" w:rsidRDefault="006E6282" w:rsidP="006E6282">
      <w:pPr>
        <w:pStyle w:val="Text2"/>
        <w:spacing w:after="0"/>
        <w:ind w:left="0"/>
        <w:rPr>
          <w:rFonts w:cs="Times New Roman"/>
          <w:i/>
          <w:noProof/>
          <w:sz w:val="22"/>
          <w:szCs w:val="22"/>
        </w:rPr>
      </w:pPr>
      <w:bookmarkStart w:id="147" w:name="_Ref222869645"/>
      <w:r w:rsidRPr="006333F0">
        <w:rPr>
          <w:rFonts w:cs="Times New Roman"/>
          <w:i/>
          <w:noProof/>
          <w:sz w:val="22"/>
          <w:szCs w:val="22"/>
        </w:rPr>
        <w:t xml:space="preserve">Table </w:t>
      </w:r>
      <w:r w:rsidRPr="006333F0">
        <w:rPr>
          <w:rFonts w:cs="Times New Roman"/>
          <w:i/>
          <w:iCs/>
          <w:noProof/>
          <w:sz w:val="22"/>
          <w:szCs w:val="22"/>
        </w:rPr>
        <w:fldChar w:fldCharType="begin"/>
      </w:r>
      <w:r w:rsidRPr="006333F0">
        <w:rPr>
          <w:rFonts w:cs="Times New Roman"/>
          <w:i/>
          <w:iCs/>
          <w:noProof/>
          <w:sz w:val="22"/>
          <w:szCs w:val="22"/>
        </w:rPr>
        <w:instrText xml:space="preserve"> SEQ Table \* ARABIC </w:instrText>
      </w:r>
      <w:r w:rsidRPr="006333F0">
        <w:rPr>
          <w:rFonts w:cs="Times New Roman"/>
          <w:i/>
          <w:iCs/>
          <w:noProof/>
          <w:sz w:val="22"/>
          <w:szCs w:val="22"/>
        </w:rPr>
        <w:fldChar w:fldCharType="separate"/>
      </w:r>
      <w:r w:rsidR="0055391F">
        <w:rPr>
          <w:rFonts w:cs="Times New Roman"/>
          <w:i/>
          <w:iCs/>
          <w:noProof/>
          <w:sz w:val="22"/>
          <w:szCs w:val="22"/>
        </w:rPr>
        <w:t>11</w:t>
      </w:r>
      <w:r w:rsidRPr="006333F0">
        <w:rPr>
          <w:rFonts w:cs="Times New Roman"/>
          <w:i/>
          <w:iCs/>
          <w:noProof/>
          <w:sz w:val="22"/>
          <w:szCs w:val="22"/>
        </w:rPr>
        <w:fldChar w:fldCharType="end"/>
      </w:r>
      <w:bookmarkEnd w:id="147"/>
      <w:r w:rsidRPr="006333F0">
        <w:rPr>
          <w:rFonts w:cs="Times New Roman"/>
          <w:i/>
          <w:noProof/>
          <w:sz w:val="22"/>
          <w:szCs w:val="22"/>
        </w:rPr>
        <w:t xml:space="preserve">: </w:t>
      </w:r>
      <w:r>
        <w:rPr>
          <w:rFonts w:cs="Times New Roman"/>
          <w:i/>
          <w:noProof/>
          <w:sz w:val="22"/>
          <w:szCs w:val="22"/>
        </w:rPr>
        <w:t>R</w:t>
      </w:r>
      <w:r w:rsidRPr="006333F0">
        <w:rPr>
          <w:rFonts w:cs="Times New Roman"/>
          <w:i/>
          <w:noProof/>
          <w:sz w:val="22"/>
          <w:szCs w:val="22"/>
        </w:rPr>
        <w:t xml:space="preserve">ecurrent </w:t>
      </w:r>
      <w:r w:rsidR="00693757">
        <w:rPr>
          <w:rFonts w:cs="Times New Roman"/>
          <w:i/>
          <w:noProof/>
          <w:sz w:val="22"/>
          <w:szCs w:val="22"/>
        </w:rPr>
        <w:t xml:space="preserve">adjustment </w:t>
      </w:r>
      <w:r w:rsidRPr="006333F0">
        <w:rPr>
          <w:rFonts w:cs="Times New Roman"/>
          <w:i/>
          <w:noProof/>
          <w:sz w:val="22"/>
          <w:szCs w:val="22"/>
        </w:rPr>
        <w:t xml:space="preserve">costs for </w:t>
      </w:r>
      <w:r>
        <w:rPr>
          <w:rFonts w:cs="Times New Roman"/>
          <w:i/>
          <w:noProof/>
          <w:sz w:val="22"/>
          <w:szCs w:val="22"/>
        </w:rPr>
        <w:t>the European Commission</w:t>
      </w:r>
      <w:r w:rsidRPr="006333F0">
        <w:rPr>
          <w:rFonts w:cs="Times New Roman"/>
          <w:i/>
          <w:noProof/>
          <w:sz w:val="22"/>
          <w:szCs w:val="22"/>
        </w:rPr>
        <w:t xml:space="preserve"> in the POs relative to the baseline (EU27),</w:t>
      </w:r>
      <w:r>
        <w:rPr>
          <w:rFonts w:cs="Times New Roman"/>
          <w:i/>
          <w:noProof/>
          <w:sz w:val="22"/>
          <w:szCs w:val="22"/>
        </w:rPr>
        <w:t xml:space="preserve"> expressed as present value over 2028-2050,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p>
    <w:tbl>
      <w:tblPr>
        <w:tblW w:w="5000" w:type="pct"/>
        <w:tblLook w:val="04A0" w:firstRow="1" w:lastRow="0" w:firstColumn="1" w:lastColumn="0" w:noHBand="0" w:noVBand="1"/>
      </w:tblPr>
      <w:tblGrid>
        <w:gridCol w:w="5700"/>
        <w:gridCol w:w="974"/>
        <w:gridCol w:w="974"/>
        <w:gridCol w:w="974"/>
        <w:gridCol w:w="981"/>
      </w:tblGrid>
      <w:tr w:rsidR="00013CEC" w:rsidRPr="00013CEC" w14:paraId="415BE788" w14:textId="77777777" w:rsidTr="006E6282">
        <w:trPr>
          <w:trHeight w:val="255"/>
          <w:tblHeader/>
        </w:trPr>
        <w:tc>
          <w:tcPr>
            <w:tcW w:w="2968"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0C475AF4" w14:textId="77777777" w:rsidR="00013CEC" w:rsidRPr="004E336D" w:rsidRDefault="00013CEC" w:rsidP="00013CEC">
            <w:pPr>
              <w:jc w:val="center"/>
              <w:rPr>
                <w:b/>
                <w:noProof/>
                <w:color w:val="FFFFFF"/>
                <w:sz w:val="20"/>
                <w:szCs w:val="20"/>
              </w:rPr>
            </w:pPr>
            <w:r w:rsidRPr="004E336D">
              <w:rPr>
                <w:b/>
                <w:noProof/>
                <w:color w:val="FFFFFF"/>
                <w:sz w:val="20"/>
                <w:szCs w:val="20"/>
              </w:rPr>
              <w:t> </w:t>
            </w:r>
          </w:p>
        </w:tc>
        <w:tc>
          <w:tcPr>
            <w:tcW w:w="2032" w:type="pct"/>
            <w:gridSpan w:val="4"/>
            <w:tcBorders>
              <w:top w:val="single" w:sz="4" w:space="0" w:color="auto"/>
              <w:left w:val="nil"/>
              <w:bottom w:val="single" w:sz="4" w:space="0" w:color="auto"/>
              <w:right w:val="single" w:sz="4" w:space="0" w:color="auto"/>
            </w:tcBorders>
            <w:shd w:val="clear" w:color="000000" w:fill="0070C0"/>
            <w:hideMark/>
          </w:tcPr>
          <w:p w14:paraId="2878E7A8" w14:textId="77777777" w:rsidR="00013CEC" w:rsidRPr="004E336D" w:rsidRDefault="00013CEC" w:rsidP="00013CEC">
            <w:pPr>
              <w:jc w:val="center"/>
              <w:rPr>
                <w:b/>
                <w:noProof/>
                <w:color w:val="FFFFFF"/>
                <w:sz w:val="20"/>
                <w:szCs w:val="20"/>
              </w:rPr>
            </w:pPr>
            <w:r w:rsidRPr="004E336D">
              <w:rPr>
                <w:b/>
                <w:noProof/>
                <w:color w:val="FFFFFF"/>
                <w:sz w:val="20"/>
                <w:szCs w:val="20"/>
              </w:rPr>
              <w:t>Difference to baseline</w:t>
            </w:r>
          </w:p>
        </w:tc>
      </w:tr>
      <w:tr w:rsidR="00013CEC" w:rsidRPr="00013CEC" w14:paraId="495051BA" w14:textId="77777777" w:rsidTr="006E6282">
        <w:trPr>
          <w:trHeight w:val="255"/>
          <w:tblHeader/>
        </w:trPr>
        <w:tc>
          <w:tcPr>
            <w:tcW w:w="2968" w:type="pct"/>
            <w:vMerge/>
            <w:tcBorders>
              <w:top w:val="single" w:sz="4" w:space="0" w:color="auto"/>
              <w:left w:val="single" w:sz="4" w:space="0" w:color="auto"/>
              <w:bottom w:val="single" w:sz="4" w:space="0" w:color="auto"/>
              <w:right w:val="single" w:sz="4" w:space="0" w:color="auto"/>
            </w:tcBorders>
            <w:hideMark/>
          </w:tcPr>
          <w:p w14:paraId="7DCE1B87" w14:textId="77777777" w:rsidR="00013CEC" w:rsidRPr="004E336D" w:rsidRDefault="00013CEC" w:rsidP="00013CEC">
            <w:pPr>
              <w:rPr>
                <w:b/>
                <w:noProof/>
                <w:color w:val="FFFFFF"/>
                <w:sz w:val="20"/>
                <w:szCs w:val="20"/>
              </w:rPr>
            </w:pPr>
          </w:p>
        </w:tc>
        <w:tc>
          <w:tcPr>
            <w:tcW w:w="507" w:type="pct"/>
            <w:tcBorders>
              <w:top w:val="nil"/>
              <w:left w:val="nil"/>
              <w:bottom w:val="single" w:sz="4" w:space="0" w:color="auto"/>
              <w:right w:val="single" w:sz="4" w:space="0" w:color="auto"/>
            </w:tcBorders>
            <w:shd w:val="clear" w:color="000000" w:fill="0070C0"/>
            <w:hideMark/>
          </w:tcPr>
          <w:p w14:paraId="6703030D" w14:textId="77777777" w:rsidR="00013CEC" w:rsidRPr="004E336D" w:rsidRDefault="00013CEC" w:rsidP="00013CEC">
            <w:pPr>
              <w:jc w:val="center"/>
              <w:rPr>
                <w:b/>
                <w:noProof/>
                <w:color w:val="FFFFFF"/>
                <w:sz w:val="20"/>
                <w:szCs w:val="20"/>
              </w:rPr>
            </w:pPr>
            <w:r w:rsidRPr="004E336D">
              <w:rPr>
                <w:b/>
                <w:noProof/>
                <w:color w:val="FFFFFF"/>
                <w:sz w:val="20"/>
                <w:szCs w:val="20"/>
              </w:rPr>
              <w:t>PO1</w:t>
            </w:r>
          </w:p>
        </w:tc>
        <w:tc>
          <w:tcPr>
            <w:tcW w:w="507" w:type="pct"/>
            <w:tcBorders>
              <w:top w:val="nil"/>
              <w:left w:val="nil"/>
              <w:bottom w:val="single" w:sz="4" w:space="0" w:color="auto"/>
              <w:right w:val="single" w:sz="4" w:space="0" w:color="auto"/>
            </w:tcBorders>
            <w:shd w:val="clear" w:color="000000" w:fill="0070C0"/>
            <w:hideMark/>
          </w:tcPr>
          <w:p w14:paraId="7998F10C" w14:textId="77777777" w:rsidR="00013CEC" w:rsidRPr="004E336D" w:rsidRDefault="00013CEC" w:rsidP="00013CEC">
            <w:pPr>
              <w:jc w:val="center"/>
              <w:rPr>
                <w:b/>
                <w:noProof/>
                <w:color w:val="FFFFFF"/>
                <w:sz w:val="20"/>
                <w:szCs w:val="20"/>
              </w:rPr>
            </w:pPr>
            <w:r w:rsidRPr="004E336D">
              <w:rPr>
                <w:b/>
                <w:noProof/>
                <w:color w:val="FFFFFF"/>
                <w:sz w:val="20"/>
                <w:szCs w:val="20"/>
              </w:rPr>
              <w:t>PO2</w:t>
            </w:r>
          </w:p>
        </w:tc>
        <w:tc>
          <w:tcPr>
            <w:tcW w:w="507" w:type="pct"/>
            <w:tcBorders>
              <w:top w:val="nil"/>
              <w:left w:val="nil"/>
              <w:bottom w:val="single" w:sz="4" w:space="0" w:color="auto"/>
              <w:right w:val="single" w:sz="4" w:space="0" w:color="auto"/>
            </w:tcBorders>
            <w:shd w:val="clear" w:color="000000" w:fill="0070C0"/>
            <w:hideMark/>
          </w:tcPr>
          <w:p w14:paraId="7B6445B4" w14:textId="77777777" w:rsidR="00013CEC" w:rsidRPr="004E336D" w:rsidRDefault="00013CEC" w:rsidP="00013CEC">
            <w:pPr>
              <w:jc w:val="center"/>
              <w:rPr>
                <w:b/>
                <w:noProof/>
                <w:color w:val="FFFFFF"/>
                <w:sz w:val="20"/>
                <w:szCs w:val="20"/>
              </w:rPr>
            </w:pPr>
            <w:r w:rsidRPr="004E336D">
              <w:rPr>
                <w:b/>
                <w:noProof/>
                <w:color w:val="FFFFFF"/>
                <w:sz w:val="20"/>
                <w:szCs w:val="20"/>
              </w:rPr>
              <w:t>PO3</w:t>
            </w:r>
          </w:p>
        </w:tc>
        <w:tc>
          <w:tcPr>
            <w:tcW w:w="510" w:type="pct"/>
            <w:tcBorders>
              <w:top w:val="nil"/>
              <w:left w:val="nil"/>
              <w:bottom w:val="single" w:sz="4" w:space="0" w:color="auto"/>
              <w:right w:val="single" w:sz="4" w:space="0" w:color="auto"/>
            </w:tcBorders>
            <w:shd w:val="clear" w:color="000000" w:fill="0070C0"/>
            <w:hideMark/>
          </w:tcPr>
          <w:p w14:paraId="50D2FD68" w14:textId="77777777" w:rsidR="00013CEC" w:rsidRPr="004E336D" w:rsidRDefault="00013CEC" w:rsidP="00013CEC">
            <w:pPr>
              <w:jc w:val="center"/>
              <w:rPr>
                <w:b/>
                <w:noProof/>
                <w:color w:val="FFFFFF"/>
                <w:sz w:val="20"/>
                <w:szCs w:val="20"/>
              </w:rPr>
            </w:pPr>
            <w:r w:rsidRPr="004E336D">
              <w:rPr>
                <w:b/>
                <w:noProof/>
                <w:color w:val="FFFFFF"/>
                <w:sz w:val="20"/>
                <w:szCs w:val="20"/>
              </w:rPr>
              <w:t>PO4</w:t>
            </w:r>
          </w:p>
        </w:tc>
      </w:tr>
      <w:tr w:rsidR="00013CEC" w:rsidRPr="00013CEC" w14:paraId="1FD2D191" w14:textId="77777777" w:rsidTr="006E6282">
        <w:trPr>
          <w:trHeight w:val="255"/>
        </w:trPr>
        <w:tc>
          <w:tcPr>
            <w:tcW w:w="2968" w:type="pct"/>
            <w:tcBorders>
              <w:top w:val="nil"/>
              <w:left w:val="single" w:sz="4" w:space="0" w:color="auto"/>
              <w:bottom w:val="single" w:sz="4" w:space="0" w:color="auto"/>
              <w:right w:val="single" w:sz="4" w:space="0" w:color="auto"/>
            </w:tcBorders>
            <w:shd w:val="clear" w:color="000000" w:fill="BDE3FF"/>
            <w:hideMark/>
          </w:tcPr>
          <w:p w14:paraId="295C2955" w14:textId="77777777" w:rsidR="00013CEC" w:rsidRPr="004E336D" w:rsidRDefault="00013CEC" w:rsidP="00013CEC">
            <w:pPr>
              <w:rPr>
                <w:b/>
                <w:noProof/>
                <w:sz w:val="20"/>
                <w:szCs w:val="20"/>
              </w:rPr>
            </w:pPr>
            <w:r w:rsidRPr="004E336D">
              <w:rPr>
                <w:b/>
                <w:noProof/>
                <w:sz w:val="20"/>
                <w:szCs w:val="20"/>
              </w:rPr>
              <w:t>Adjustment costs</w:t>
            </w:r>
          </w:p>
        </w:tc>
        <w:tc>
          <w:tcPr>
            <w:tcW w:w="507" w:type="pct"/>
            <w:tcBorders>
              <w:top w:val="nil"/>
              <w:left w:val="nil"/>
              <w:bottom w:val="single" w:sz="4" w:space="0" w:color="auto"/>
              <w:right w:val="single" w:sz="4" w:space="0" w:color="auto"/>
            </w:tcBorders>
            <w:shd w:val="clear" w:color="000000" w:fill="BDE3FF"/>
            <w:hideMark/>
          </w:tcPr>
          <w:p w14:paraId="4FAA76C6" w14:textId="4DA07283" w:rsidR="00013CEC" w:rsidRPr="004E336D" w:rsidRDefault="0024530B" w:rsidP="00013CEC">
            <w:pPr>
              <w:jc w:val="right"/>
              <w:rPr>
                <w:b/>
                <w:noProof/>
                <w:sz w:val="20"/>
                <w:szCs w:val="20"/>
              </w:rPr>
            </w:pPr>
            <w:r>
              <w:rPr>
                <w:b/>
                <w:noProof/>
                <w:sz w:val="20"/>
                <w:szCs w:val="20"/>
              </w:rPr>
              <w:t>5.3</w:t>
            </w:r>
          </w:p>
        </w:tc>
        <w:tc>
          <w:tcPr>
            <w:tcW w:w="507" w:type="pct"/>
            <w:tcBorders>
              <w:top w:val="nil"/>
              <w:left w:val="nil"/>
              <w:bottom w:val="single" w:sz="4" w:space="0" w:color="auto"/>
              <w:right w:val="single" w:sz="4" w:space="0" w:color="auto"/>
            </w:tcBorders>
            <w:shd w:val="clear" w:color="000000" w:fill="BDE3FF"/>
            <w:hideMark/>
          </w:tcPr>
          <w:p w14:paraId="599B5C0D" w14:textId="1F55E2F5" w:rsidR="00013CEC" w:rsidRPr="004E336D" w:rsidRDefault="0024530B" w:rsidP="00013CEC">
            <w:pPr>
              <w:jc w:val="right"/>
              <w:rPr>
                <w:b/>
                <w:noProof/>
                <w:sz w:val="20"/>
                <w:szCs w:val="20"/>
              </w:rPr>
            </w:pPr>
            <w:r>
              <w:rPr>
                <w:b/>
                <w:noProof/>
                <w:sz w:val="20"/>
                <w:szCs w:val="20"/>
              </w:rPr>
              <w:t>5.3</w:t>
            </w:r>
          </w:p>
        </w:tc>
        <w:tc>
          <w:tcPr>
            <w:tcW w:w="507" w:type="pct"/>
            <w:tcBorders>
              <w:top w:val="nil"/>
              <w:left w:val="nil"/>
              <w:bottom w:val="single" w:sz="4" w:space="0" w:color="auto"/>
              <w:right w:val="single" w:sz="4" w:space="0" w:color="auto"/>
            </w:tcBorders>
            <w:shd w:val="clear" w:color="000000" w:fill="BDE3FF"/>
            <w:hideMark/>
          </w:tcPr>
          <w:p w14:paraId="38273B8F" w14:textId="3CF0A2E7" w:rsidR="00013CEC" w:rsidRPr="004E336D" w:rsidRDefault="0024530B" w:rsidP="00013CEC">
            <w:pPr>
              <w:jc w:val="right"/>
              <w:rPr>
                <w:b/>
                <w:noProof/>
                <w:sz w:val="20"/>
                <w:szCs w:val="20"/>
              </w:rPr>
            </w:pPr>
            <w:r>
              <w:rPr>
                <w:b/>
                <w:noProof/>
                <w:sz w:val="20"/>
                <w:szCs w:val="20"/>
              </w:rPr>
              <w:t>5.3</w:t>
            </w:r>
          </w:p>
        </w:tc>
        <w:tc>
          <w:tcPr>
            <w:tcW w:w="510" w:type="pct"/>
            <w:tcBorders>
              <w:top w:val="nil"/>
              <w:left w:val="nil"/>
              <w:bottom w:val="single" w:sz="4" w:space="0" w:color="auto"/>
              <w:right w:val="single" w:sz="4" w:space="0" w:color="auto"/>
            </w:tcBorders>
            <w:shd w:val="clear" w:color="000000" w:fill="BDE3FF"/>
            <w:hideMark/>
          </w:tcPr>
          <w:p w14:paraId="5424B8CF" w14:textId="76A63FD9" w:rsidR="00013CEC" w:rsidRPr="004E336D" w:rsidRDefault="0024530B" w:rsidP="00013CEC">
            <w:pPr>
              <w:jc w:val="right"/>
              <w:rPr>
                <w:b/>
                <w:noProof/>
                <w:sz w:val="20"/>
                <w:szCs w:val="20"/>
              </w:rPr>
            </w:pPr>
            <w:r>
              <w:rPr>
                <w:b/>
                <w:noProof/>
                <w:sz w:val="20"/>
                <w:szCs w:val="20"/>
              </w:rPr>
              <w:t>5.3</w:t>
            </w:r>
          </w:p>
        </w:tc>
      </w:tr>
      <w:tr w:rsidR="00322C78" w:rsidRPr="00013CEC" w14:paraId="4254CED8" w14:textId="77777777" w:rsidTr="006E6282">
        <w:trPr>
          <w:trHeight w:val="255"/>
        </w:trPr>
        <w:tc>
          <w:tcPr>
            <w:tcW w:w="2968" w:type="pct"/>
            <w:tcBorders>
              <w:top w:val="nil"/>
              <w:left w:val="single" w:sz="4" w:space="0" w:color="auto"/>
              <w:bottom w:val="single" w:sz="4" w:space="0" w:color="auto"/>
              <w:right w:val="single" w:sz="4" w:space="0" w:color="auto"/>
            </w:tcBorders>
            <w:hideMark/>
          </w:tcPr>
          <w:p w14:paraId="75BE5E85" w14:textId="77777777" w:rsidR="00013CEC" w:rsidRPr="004E336D" w:rsidRDefault="00013CEC" w:rsidP="00013CEC">
            <w:pPr>
              <w:rPr>
                <w:noProof/>
                <w:color w:val="000000"/>
                <w:sz w:val="20"/>
                <w:szCs w:val="20"/>
              </w:rPr>
            </w:pPr>
            <w:r w:rsidRPr="004E336D">
              <w:rPr>
                <w:noProof/>
                <w:color w:val="000000"/>
                <w:sz w:val="20"/>
                <w:szCs w:val="20"/>
              </w:rPr>
              <w:t>PM6 (Enforcement authority)</w:t>
            </w:r>
          </w:p>
        </w:tc>
        <w:tc>
          <w:tcPr>
            <w:tcW w:w="507" w:type="pct"/>
            <w:tcBorders>
              <w:top w:val="nil"/>
              <w:left w:val="nil"/>
              <w:bottom w:val="single" w:sz="4" w:space="0" w:color="auto"/>
              <w:right w:val="single" w:sz="4" w:space="0" w:color="auto"/>
            </w:tcBorders>
            <w:shd w:val="clear" w:color="000000" w:fill="FFFFFF"/>
            <w:noWrap/>
            <w:hideMark/>
          </w:tcPr>
          <w:p w14:paraId="233D1306" w14:textId="16C17BD6" w:rsidR="00013CEC" w:rsidRPr="004E336D" w:rsidRDefault="002124B5" w:rsidP="00013CEC">
            <w:pPr>
              <w:jc w:val="right"/>
              <w:rPr>
                <w:noProof/>
                <w:color w:val="000000"/>
                <w:sz w:val="20"/>
                <w:szCs w:val="20"/>
              </w:rPr>
            </w:pPr>
            <w:r>
              <w:rPr>
                <w:noProof/>
                <w:color w:val="000000"/>
                <w:sz w:val="20"/>
                <w:szCs w:val="20"/>
              </w:rPr>
              <w:t>1.3</w:t>
            </w:r>
          </w:p>
        </w:tc>
        <w:tc>
          <w:tcPr>
            <w:tcW w:w="507" w:type="pct"/>
            <w:tcBorders>
              <w:top w:val="nil"/>
              <w:left w:val="nil"/>
              <w:bottom w:val="single" w:sz="4" w:space="0" w:color="auto"/>
              <w:right w:val="single" w:sz="4" w:space="0" w:color="auto"/>
            </w:tcBorders>
            <w:shd w:val="clear" w:color="000000" w:fill="FFFFFF"/>
            <w:noWrap/>
            <w:hideMark/>
          </w:tcPr>
          <w:p w14:paraId="790F86A6" w14:textId="17B86F94" w:rsidR="00013CEC" w:rsidRPr="004E336D" w:rsidRDefault="002124B5" w:rsidP="00013CEC">
            <w:pPr>
              <w:jc w:val="right"/>
              <w:rPr>
                <w:noProof/>
                <w:color w:val="000000"/>
                <w:sz w:val="20"/>
                <w:szCs w:val="20"/>
              </w:rPr>
            </w:pPr>
            <w:r>
              <w:rPr>
                <w:noProof/>
                <w:color w:val="000000"/>
                <w:sz w:val="20"/>
                <w:szCs w:val="20"/>
              </w:rPr>
              <w:t>1.3</w:t>
            </w:r>
          </w:p>
        </w:tc>
        <w:tc>
          <w:tcPr>
            <w:tcW w:w="507" w:type="pct"/>
            <w:tcBorders>
              <w:top w:val="nil"/>
              <w:left w:val="nil"/>
              <w:bottom w:val="single" w:sz="4" w:space="0" w:color="auto"/>
              <w:right w:val="single" w:sz="4" w:space="0" w:color="auto"/>
            </w:tcBorders>
            <w:shd w:val="clear" w:color="000000" w:fill="FFFFFF"/>
            <w:noWrap/>
            <w:hideMark/>
          </w:tcPr>
          <w:p w14:paraId="63AD745B" w14:textId="199D390A" w:rsidR="00013CEC" w:rsidRPr="004E336D" w:rsidRDefault="002124B5" w:rsidP="00013CEC">
            <w:pPr>
              <w:jc w:val="right"/>
              <w:rPr>
                <w:noProof/>
                <w:color w:val="000000"/>
                <w:sz w:val="20"/>
                <w:szCs w:val="20"/>
              </w:rPr>
            </w:pPr>
            <w:r>
              <w:rPr>
                <w:noProof/>
                <w:color w:val="000000"/>
                <w:sz w:val="20"/>
                <w:szCs w:val="20"/>
              </w:rPr>
              <w:t>1.3</w:t>
            </w:r>
          </w:p>
        </w:tc>
        <w:tc>
          <w:tcPr>
            <w:tcW w:w="510" w:type="pct"/>
            <w:tcBorders>
              <w:top w:val="nil"/>
              <w:left w:val="nil"/>
              <w:bottom w:val="single" w:sz="4" w:space="0" w:color="auto"/>
              <w:right w:val="single" w:sz="4" w:space="0" w:color="auto"/>
            </w:tcBorders>
            <w:shd w:val="clear" w:color="000000" w:fill="FFFFFF"/>
            <w:noWrap/>
            <w:hideMark/>
          </w:tcPr>
          <w:p w14:paraId="1055B030" w14:textId="3FA1F7EB" w:rsidR="00013CEC" w:rsidRPr="004E336D" w:rsidRDefault="002124B5" w:rsidP="00013CEC">
            <w:pPr>
              <w:jc w:val="right"/>
              <w:rPr>
                <w:noProof/>
                <w:color w:val="000000"/>
                <w:sz w:val="20"/>
                <w:szCs w:val="20"/>
              </w:rPr>
            </w:pPr>
            <w:r>
              <w:rPr>
                <w:noProof/>
                <w:color w:val="000000"/>
                <w:sz w:val="20"/>
                <w:szCs w:val="20"/>
              </w:rPr>
              <w:t>1.3</w:t>
            </w:r>
          </w:p>
        </w:tc>
      </w:tr>
      <w:tr w:rsidR="00322C78" w:rsidRPr="00013CEC" w14:paraId="371B2696" w14:textId="77777777" w:rsidTr="006E6282">
        <w:trPr>
          <w:trHeight w:val="255"/>
        </w:trPr>
        <w:tc>
          <w:tcPr>
            <w:tcW w:w="2968" w:type="pct"/>
            <w:tcBorders>
              <w:top w:val="nil"/>
              <w:left w:val="single" w:sz="4" w:space="0" w:color="auto"/>
              <w:bottom w:val="single" w:sz="4" w:space="0" w:color="auto"/>
              <w:right w:val="single" w:sz="4" w:space="0" w:color="auto"/>
            </w:tcBorders>
            <w:hideMark/>
          </w:tcPr>
          <w:p w14:paraId="4A901128" w14:textId="77777777" w:rsidR="00013CEC" w:rsidRPr="004E336D" w:rsidRDefault="00013CEC" w:rsidP="00013CEC">
            <w:pPr>
              <w:rPr>
                <w:noProof/>
                <w:color w:val="000000"/>
                <w:sz w:val="20"/>
                <w:szCs w:val="20"/>
              </w:rPr>
            </w:pPr>
            <w:r w:rsidRPr="004E336D">
              <w:rPr>
                <w:noProof/>
                <w:color w:val="000000"/>
                <w:sz w:val="20"/>
                <w:szCs w:val="20"/>
              </w:rPr>
              <w:t>PM10 (Designation of indispensable MDMS and RUs)</w:t>
            </w:r>
          </w:p>
        </w:tc>
        <w:tc>
          <w:tcPr>
            <w:tcW w:w="507" w:type="pct"/>
            <w:tcBorders>
              <w:top w:val="nil"/>
              <w:left w:val="nil"/>
              <w:bottom w:val="single" w:sz="4" w:space="0" w:color="auto"/>
              <w:right w:val="single" w:sz="4" w:space="0" w:color="auto"/>
            </w:tcBorders>
            <w:shd w:val="clear" w:color="000000" w:fill="FFFFFF"/>
            <w:noWrap/>
            <w:hideMark/>
          </w:tcPr>
          <w:p w14:paraId="13EEF976" w14:textId="43B0D08E" w:rsidR="00013CEC" w:rsidRPr="004E336D" w:rsidRDefault="002124B5" w:rsidP="00013CEC">
            <w:pPr>
              <w:jc w:val="right"/>
              <w:rPr>
                <w:noProof/>
                <w:color w:val="000000"/>
                <w:sz w:val="20"/>
                <w:szCs w:val="20"/>
              </w:rPr>
            </w:pPr>
            <w:r>
              <w:rPr>
                <w:noProof/>
                <w:color w:val="000000"/>
                <w:sz w:val="20"/>
                <w:szCs w:val="20"/>
              </w:rPr>
              <w:t>4.0</w:t>
            </w:r>
          </w:p>
        </w:tc>
        <w:tc>
          <w:tcPr>
            <w:tcW w:w="507" w:type="pct"/>
            <w:tcBorders>
              <w:top w:val="nil"/>
              <w:left w:val="nil"/>
              <w:bottom w:val="single" w:sz="4" w:space="0" w:color="auto"/>
              <w:right w:val="single" w:sz="4" w:space="0" w:color="auto"/>
            </w:tcBorders>
            <w:shd w:val="clear" w:color="000000" w:fill="FFFFFF"/>
            <w:noWrap/>
            <w:hideMark/>
          </w:tcPr>
          <w:p w14:paraId="51E4D3BF" w14:textId="713DBDC9" w:rsidR="00013CEC" w:rsidRPr="004E336D" w:rsidRDefault="002124B5" w:rsidP="00013CEC">
            <w:pPr>
              <w:jc w:val="right"/>
              <w:rPr>
                <w:noProof/>
                <w:color w:val="000000"/>
                <w:sz w:val="20"/>
                <w:szCs w:val="20"/>
              </w:rPr>
            </w:pPr>
            <w:r>
              <w:rPr>
                <w:noProof/>
                <w:color w:val="000000"/>
                <w:sz w:val="20"/>
                <w:szCs w:val="20"/>
              </w:rPr>
              <w:t>4.0</w:t>
            </w:r>
          </w:p>
        </w:tc>
        <w:tc>
          <w:tcPr>
            <w:tcW w:w="507" w:type="pct"/>
            <w:tcBorders>
              <w:top w:val="nil"/>
              <w:left w:val="nil"/>
              <w:bottom w:val="single" w:sz="4" w:space="0" w:color="auto"/>
              <w:right w:val="single" w:sz="4" w:space="0" w:color="auto"/>
            </w:tcBorders>
            <w:shd w:val="clear" w:color="000000" w:fill="FFFFFF"/>
            <w:noWrap/>
            <w:hideMark/>
          </w:tcPr>
          <w:p w14:paraId="529C22D9" w14:textId="68A6BEEE" w:rsidR="00013CEC" w:rsidRPr="004E336D" w:rsidRDefault="002124B5" w:rsidP="00013CEC">
            <w:pPr>
              <w:jc w:val="right"/>
              <w:rPr>
                <w:noProof/>
                <w:color w:val="000000"/>
                <w:sz w:val="20"/>
                <w:szCs w:val="20"/>
              </w:rPr>
            </w:pPr>
            <w:r>
              <w:rPr>
                <w:noProof/>
                <w:color w:val="000000"/>
                <w:sz w:val="20"/>
                <w:szCs w:val="20"/>
              </w:rPr>
              <w:t>4.0</w:t>
            </w:r>
          </w:p>
        </w:tc>
        <w:tc>
          <w:tcPr>
            <w:tcW w:w="510" w:type="pct"/>
            <w:tcBorders>
              <w:top w:val="nil"/>
              <w:left w:val="nil"/>
              <w:bottom w:val="single" w:sz="4" w:space="0" w:color="auto"/>
              <w:right w:val="single" w:sz="4" w:space="0" w:color="auto"/>
            </w:tcBorders>
            <w:shd w:val="clear" w:color="000000" w:fill="FFFFFF"/>
            <w:noWrap/>
            <w:hideMark/>
          </w:tcPr>
          <w:p w14:paraId="4AF1BE37" w14:textId="5FF7947D" w:rsidR="00013CEC" w:rsidRPr="004E336D" w:rsidRDefault="002124B5" w:rsidP="00013CEC">
            <w:pPr>
              <w:jc w:val="right"/>
              <w:rPr>
                <w:noProof/>
                <w:color w:val="000000"/>
                <w:sz w:val="20"/>
                <w:szCs w:val="20"/>
              </w:rPr>
            </w:pPr>
            <w:r>
              <w:rPr>
                <w:noProof/>
                <w:color w:val="000000"/>
                <w:sz w:val="20"/>
                <w:szCs w:val="20"/>
              </w:rPr>
              <w:t>4.0</w:t>
            </w:r>
          </w:p>
        </w:tc>
      </w:tr>
      <w:tr w:rsidR="00013CEC" w:rsidRPr="00013CEC" w14:paraId="2C4963D4" w14:textId="77777777" w:rsidTr="006E6282">
        <w:trPr>
          <w:trHeight w:val="255"/>
        </w:trPr>
        <w:tc>
          <w:tcPr>
            <w:tcW w:w="2968" w:type="pct"/>
            <w:tcBorders>
              <w:top w:val="nil"/>
              <w:left w:val="single" w:sz="4" w:space="0" w:color="auto"/>
              <w:bottom w:val="single" w:sz="4" w:space="0" w:color="auto"/>
              <w:right w:val="single" w:sz="4" w:space="0" w:color="auto"/>
            </w:tcBorders>
            <w:shd w:val="clear" w:color="000000" w:fill="F2F2F2"/>
            <w:noWrap/>
            <w:hideMark/>
          </w:tcPr>
          <w:p w14:paraId="27A423D5" w14:textId="77777777" w:rsidR="00013CEC" w:rsidRPr="004E336D" w:rsidRDefault="00013CEC" w:rsidP="006F0B3E">
            <w:pPr>
              <w:keepNext/>
              <w:rPr>
                <w:b/>
                <w:noProof/>
                <w:color w:val="000000"/>
                <w:sz w:val="20"/>
                <w:szCs w:val="20"/>
              </w:rPr>
            </w:pPr>
            <w:r w:rsidRPr="004E336D">
              <w:rPr>
                <w:b/>
                <w:noProof/>
                <w:color w:val="000000"/>
                <w:sz w:val="20"/>
                <w:szCs w:val="20"/>
              </w:rPr>
              <w:t>Net costs</w:t>
            </w:r>
          </w:p>
        </w:tc>
        <w:tc>
          <w:tcPr>
            <w:tcW w:w="507" w:type="pct"/>
            <w:tcBorders>
              <w:top w:val="nil"/>
              <w:left w:val="nil"/>
              <w:bottom w:val="single" w:sz="4" w:space="0" w:color="auto"/>
              <w:right w:val="single" w:sz="4" w:space="0" w:color="auto"/>
            </w:tcBorders>
            <w:shd w:val="clear" w:color="000000" w:fill="F2F2F2"/>
            <w:noWrap/>
            <w:hideMark/>
          </w:tcPr>
          <w:p w14:paraId="5EFF65F6" w14:textId="190FF73F" w:rsidR="00013CEC" w:rsidRPr="004E336D" w:rsidRDefault="0024530B" w:rsidP="006F0B3E">
            <w:pPr>
              <w:keepNext/>
              <w:jc w:val="right"/>
              <w:rPr>
                <w:b/>
                <w:noProof/>
                <w:color w:val="000000"/>
                <w:sz w:val="20"/>
                <w:szCs w:val="20"/>
              </w:rPr>
            </w:pPr>
            <w:r>
              <w:rPr>
                <w:b/>
                <w:noProof/>
                <w:color w:val="000000"/>
                <w:sz w:val="20"/>
                <w:szCs w:val="20"/>
              </w:rPr>
              <w:t>5.3</w:t>
            </w:r>
          </w:p>
        </w:tc>
        <w:tc>
          <w:tcPr>
            <w:tcW w:w="507" w:type="pct"/>
            <w:tcBorders>
              <w:top w:val="nil"/>
              <w:left w:val="nil"/>
              <w:bottom w:val="single" w:sz="4" w:space="0" w:color="auto"/>
              <w:right w:val="single" w:sz="4" w:space="0" w:color="auto"/>
            </w:tcBorders>
            <w:shd w:val="clear" w:color="000000" w:fill="F2F2F2"/>
            <w:noWrap/>
            <w:hideMark/>
          </w:tcPr>
          <w:p w14:paraId="06F7886E" w14:textId="148CF698" w:rsidR="00013CEC" w:rsidRPr="004E336D" w:rsidRDefault="0024530B" w:rsidP="006F0B3E">
            <w:pPr>
              <w:keepNext/>
              <w:jc w:val="right"/>
              <w:rPr>
                <w:b/>
                <w:noProof/>
                <w:color w:val="000000"/>
                <w:sz w:val="20"/>
                <w:szCs w:val="20"/>
              </w:rPr>
            </w:pPr>
            <w:r>
              <w:rPr>
                <w:b/>
                <w:noProof/>
                <w:color w:val="000000"/>
                <w:sz w:val="20"/>
                <w:szCs w:val="20"/>
              </w:rPr>
              <w:t>5.3</w:t>
            </w:r>
          </w:p>
        </w:tc>
        <w:tc>
          <w:tcPr>
            <w:tcW w:w="507" w:type="pct"/>
            <w:tcBorders>
              <w:top w:val="nil"/>
              <w:left w:val="nil"/>
              <w:bottom w:val="single" w:sz="4" w:space="0" w:color="auto"/>
              <w:right w:val="single" w:sz="4" w:space="0" w:color="auto"/>
            </w:tcBorders>
            <w:shd w:val="clear" w:color="000000" w:fill="F2F2F2"/>
            <w:noWrap/>
            <w:hideMark/>
          </w:tcPr>
          <w:p w14:paraId="61399350" w14:textId="7EDCDC5D" w:rsidR="00013CEC" w:rsidRPr="004E336D" w:rsidRDefault="0024530B" w:rsidP="006F0B3E">
            <w:pPr>
              <w:keepNext/>
              <w:jc w:val="right"/>
              <w:rPr>
                <w:b/>
                <w:noProof/>
                <w:color w:val="000000"/>
                <w:sz w:val="20"/>
                <w:szCs w:val="20"/>
              </w:rPr>
            </w:pPr>
            <w:r>
              <w:rPr>
                <w:b/>
                <w:noProof/>
                <w:color w:val="000000"/>
                <w:sz w:val="20"/>
                <w:szCs w:val="20"/>
              </w:rPr>
              <w:t>5.3</w:t>
            </w:r>
          </w:p>
        </w:tc>
        <w:tc>
          <w:tcPr>
            <w:tcW w:w="510" w:type="pct"/>
            <w:tcBorders>
              <w:top w:val="nil"/>
              <w:left w:val="nil"/>
              <w:bottom w:val="single" w:sz="4" w:space="0" w:color="auto"/>
              <w:right w:val="single" w:sz="4" w:space="0" w:color="auto"/>
            </w:tcBorders>
            <w:shd w:val="clear" w:color="000000" w:fill="F2F2F2"/>
            <w:noWrap/>
            <w:hideMark/>
          </w:tcPr>
          <w:p w14:paraId="78D55C78" w14:textId="79FECFFF" w:rsidR="00013CEC" w:rsidRPr="004E336D" w:rsidRDefault="0024530B" w:rsidP="006F0B3E">
            <w:pPr>
              <w:keepNext/>
              <w:jc w:val="right"/>
              <w:rPr>
                <w:b/>
                <w:noProof/>
                <w:color w:val="000000"/>
                <w:sz w:val="20"/>
                <w:szCs w:val="20"/>
              </w:rPr>
            </w:pPr>
            <w:r>
              <w:rPr>
                <w:b/>
                <w:noProof/>
                <w:color w:val="000000"/>
                <w:sz w:val="20"/>
                <w:szCs w:val="20"/>
              </w:rPr>
              <w:t>5.3</w:t>
            </w:r>
          </w:p>
        </w:tc>
      </w:tr>
    </w:tbl>
    <w:p w14:paraId="48CC82ED" w14:textId="77777777" w:rsidR="006E6282" w:rsidRPr="00D71008" w:rsidRDefault="006E6282" w:rsidP="006F0B3E">
      <w:pPr>
        <w:keepNext/>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1CB6F15A" w14:textId="64C7B689" w:rsidR="001745C4" w:rsidRPr="00D71008" w:rsidRDefault="00452C31" w:rsidP="006E3FA1">
      <w:pPr>
        <w:pStyle w:val="Heading2"/>
        <w:keepNext/>
        <w:numPr>
          <w:ilvl w:val="2"/>
          <w:numId w:val="11"/>
        </w:numPr>
        <w:tabs>
          <w:tab w:val="left" w:pos="709"/>
        </w:tabs>
        <w:spacing w:before="0" w:after="240"/>
        <w:ind w:left="1134" w:hanging="708"/>
        <w:rPr>
          <w:b w:val="0"/>
          <w:i/>
          <w:noProof/>
        </w:rPr>
      </w:pPr>
      <w:bookmarkStart w:id="148" w:name="_Toc222748999"/>
      <w:bookmarkStart w:id="149" w:name="_Ref223201259"/>
      <w:bookmarkStart w:id="150" w:name="_Ref223204995"/>
      <w:bookmarkStart w:id="151" w:name="_Ref223291971"/>
      <w:bookmarkStart w:id="152" w:name="_Ref223291989"/>
      <w:bookmarkStart w:id="153" w:name="_Toc223979969"/>
      <w:r w:rsidRPr="00D71008">
        <w:rPr>
          <w:b w:val="0"/>
          <w:i/>
          <w:noProof/>
        </w:rPr>
        <w:t>Impact</w:t>
      </w:r>
      <w:r w:rsidR="00F9450A">
        <w:rPr>
          <w:b w:val="0"/>
          <w:i/>
          <w:noProof/>
        </w:rPr>
        <w:t>s</w:t>
      </w:r>
      <w:r w:rsidRPr="00D71008">
        <w:rPr>
          <w:b w:val="0"/>
          <w:i/>
          <w:noProof/>
        </w:rPr>
        <w:t xml:space="preserve"> on SMEs</w:t>
      </w:r>
      <w:bookmarkEnd w:id="146"/>
      <w:bookmarkEnd w:id="148"/>
      <w:bookmarkEnd w:id="149"/>
      <w:bookmarkEnd w:id="150"/>
      <w:bookmarkEnd w:id="151"/>
      <w:bookmarkEnd w:id="152"/>
      <w:bookmarkEnd w:id="153"/>
    </w:p>
    <w:p w14:paraId="2AD0D1DF" w14:textId="2EFFAD01" w:rsidR="00085D8E" w:rsidRPr="00B677E6" w:rsidRDefault="003662E0" w:rsidP="00BD137E">
      <w:pPr>
        <w:pStyle w:val="BodyText"/>
        <w:spacing w:after="240"/>
        <w:ind w:left="0"/>
        <w:rPr>
          <w:noProof/>
          <w:spacing w:val="-8"/>
        </w:rPr>
      </w:pPr>
      <w:r w:rsidRPr="003662E0">
        <w:rPr>
          <w:noProof/>
          <w:spacing w:val="-8"/>
        </w:rPr>
        <w:t>The SME check has been performed and is presented in Annex 6. SMEs are not directly affected</w:t>
      </w:r>
      <w:r>
        <w:rPr>
          <w:noProof/>
          <w:spacing w:val="-8"/>
        </w:rPr>
        <w:t xml:space="preserve"> by any of the </w:t>
      </w:r>
      <w:r w:rsidR="00B12CB8">
        <w:rPr>
          <w:noProof/>
          <w:spacing w:val="-8"/>
        </w:rPr>
        <w:t>policy options</w:t>
      </w:r>
      <w:r w:rsidR="002D578A">
        <w:rPr>
          <w:noProof/>
          <w:spacing w:val="-8"/>
        </w:rPr>
        <w:t xml:space="preserve"> and do not incur any cost</w:t>
      </w:r>
      <w:r w:rsidR="00B12CB8">
        <w:rPr>
          <w:noProof/>
          <w:spacing w:val="-8"/>
        </w:rPr>
        <w:t>.</w:t>
      </w:r>
      <w:r w:rsidR="003C7BDF">
        <w:rPr>
          <w:noProof/>
          <w:spacing w:val="-8"/>
        </w:rPr>
        <w:t xml:space="preserve"> </w:t>
      </w:r>
      <w:r w:rsidR="000F07F7">
        <w:rPr>
          <w:noProof/>
          <w:spacing w:val="-8"/>
        </w:rPr>
        <w:t xml:space="preserve">However, </w:t>
      </w:r>
      <w:r w:rsidR="00D1634E">
        <w:rPr>
          <w:noProof/>
          <w:spacing w:val="-8"/>
        </w:rPr>
        <w:t xml:space="preserve">SME MDMS </w:t>
      </w:r>
      <w:r w:rsidR="000B1BE0">
        <w:rPr>
          <w:noProof/>
          <w:spacing w:val="-8"/>
        </w:rPr>
        <w:t xml:space="preserve">platforms </w:t>
      </w:r>
      <w:r w:rsidR="00D1634E">
        <w:rPr>
          <w:noProof/>
          <w:spacing w:val="-8"/>
        </w:rPr>
        <w:t>and SME transport operators</w:t>
      </w:r>
      <w:r w:rsidR="003C7BDF">
        <w:rPr>
          <w:noProof/>
          <w:spacing w:val="-8"/>
        </w:rPr>
        <w:t xml:space="preserve"> are expected to</w:t>
      </w:r>
      <w:r w:rsidR="00D1634E">
        <w:rPr>
          <w:noProof/>
          <w:spacing w:val="-8"/>
        </w:rPr>
        <w:t xml:space="preserve"> benefit from </w:t>
      </w:r>
      <w:r w:rsidR="00EB020F">
        <w:rPr>
          <w:noProof/>
          <w:spacing w:val="-8"/>
        </w:rPr>
        <w:t xml:space="preserve">the </w:t>
      </w:r>
      <w:r w:rsidR="00D1634E">
        <w:rPr>
          <w:noProof/>
          <w:spacing w:val="-8"/>
        </w:rPr>
        <w:t xml:space="preserve">introduction of commercial agreement rules for indispensable MDMS platforms </w:t>
      </w:r>
      <w:r w:rsidR="003C7BDF">
        <w:rPr>
          <w:noProof/>
          <w:spacing w:val="-8"/>
        </w:rPr>
        <w:t xml:space="preserve">(PM11) </w:t>
      </w:r>
      <w:r w:rsidR="00D1634E">
        <w:rPr>
          <w:noProof/>
          <w:spacing w:val="-8"/>
        </w:rPr>
        <w:t xml:space="preserve">and </w:t>
      </w:r>
      <w:r w:rsidR="008253B9">
        <w:rPr>
          <w:noProof/>
          <w:spacing w:val="-8"/>
        </w:rPr>
        <w:t xml:space="preserve">indispensable </w:t>
      </w:r>
      <w:r w:rsidR="00931F4C">
        <w:rPr>
          <w:noProof/>
          <w:spacing w:val="-8"/>
        </w:rPr>
        <w:t>RUs</w:t>
      </w:r>
      <w:r w:rsidR="00B746F6">
        <w:rPr>
          <w:noProof/>
          <w:spacing w:val="-8"/>
        </w:rPr>
        <w:t xml:space="preserve"> </w:t>
      </w:r>
      <w:r w:rsidR="00931F4C">
        <w:rPr>
          <w:noProof/>
          <w:spacing w:val="-8"/>
        </w:rPr>
        <w:t>(</w:t>
      </w:r>
      <w:r w:rsidR="00B34F86">
        <w:rPr>
          <w:noProof/>
          <w:spacing w:val="-8"/>
        </w:rPr>
        <w:t>PM12)</w:t>
      </w:r>
      <w:r w:rsidR="003C7BDF">
        <w:rPr>
          <w:noProof/>
          <w:spacing w:val="-8"/>
        </w:rPr>
        <w:t xml:space="preserve"> in all policy options</w:t>
      </w:r>
      <w:r w:rsidR="00B34F86">
        <w:rPr>
          <w:noProof/>
          <w:spacing w:val="-8"/>
        </w:rPr>
        <w:t xml:space="preserve">. </w:t>
      </w:r>
      <w:r w:rsidR="00FE1791">
        <w:rPr>
          <w:noProof/>
          <w:spacing w:val="-8"/>
        </w:rPr>
        <w:t>T</w:t>
      </w:r>
      <w:r w:rsidR="008253B9">
        <w:rPr>
          <w:noProof/>
          <w:spacing w:val="-8"/>
        </w:rPr>
        <w:t xml:space="preserve">hese rules will </w:t>
      </w:r>
      <w:r w:rsidR="00B34F86" w:rsidRPr="00AF0FB2">
        <w:rPr>
          <w:noProof/>
          <w:spacing w:val="-8"/>
        </w:rPr>
        <w:t>streamline negotiation processes through a more harmonized approach</w:t>
      </w:r>
      <w:r w:rsidR="00F024F1">
        <w:rPr>
          <w:noProof/>
          <w:spacing w:val="-8"/>
        </w:rPr>
        <w:t xml:space="preserve"> that reduces</w:t>
      </w:r>
      <w:r w:rsidR="00B34F86" w:rsidRPr="00AF0FB2">
        <w:rPr>
          <w:noProof/>
          <w:spacing w:val="-8"/>
        </w:rPr>
        <w:t xml:space="preserve"> commercial negotiation efforts</w:t>
      </w:r>
      <w:r w:rsidR="00EB020F">
        <w:rPr>
          <w:noProof/>
          <w:spacing w:val="-8"/>
        </w:rPr>
        <w:t xml:space="preserve"> and guarantee</w:t>
      </w:r>
      <w:r w:rsidR="00E1403C">
        <w:rPr>
          <w:noProof/>
          <w:spacing w:val="-8"/>
        </w:rPr>
        <w:t>s</w:t>
      </w:r>
      <w:r w:rsidR="00EB020F">
        <w:rPr>
          <w:noProof/>
          <w:spacing w:val="-8"/>
        </w:rPr>
        <w:t xml:space="preserve"> a fairer access</w:t>
      </w:r>
      <w:r w:rsidR="004A2C8A">
        <w:rPr>
          <w:noProof/>
          <w:spacing w:val="-8"/>
        </w:rPr>
        <w:t xml:space="preserve"> to key offers</w:t>
      </w:r>
      <w:r w:rsidR="00FB1E2B">
        <w:rPr>
          <w:noProof/>
          <w:spacing w:val="-8"/>
        </w:rPr>
        <w:t xml:space="preserve"> and </w:t>
      </w:r>
      <w:r w:rsidR="004A2C8A">
        <w:rPr>
          <w:noProof/>
          <w:spacing w:val="-8"/>
        </w:rPr>
        <w:t>platforms</w:t>
      </w:r>
      <w:r w:rsidR="00B34F86" w:rsidRPr="00AF0FB2">
        <w:rPr>
          <w:noProof/>
          <w:spacing w:val="-8"/>
        </w:rPr>
        <w:t>.</w:t>
      </w:r>
      <w:r w:rsidR="00027B5B">
        <w:rPr>
          <w:noProof/>
          <w:spacing w:val="-8"/>
        </w:rPr>
        <w:t xml:space="preserve"> </w:t>
      </w:r>
      <w:r w:rsidR="00442ADB">
        <w:rPr>
          <w:noProof/>
          <w:spacing w:val="-8"/>
        </w:rPr>
        <w:t>Thus, adjustment costs savings are expected for b</w:t>
      </w:r>
      <w:r w:rsidR="00027B5B">
        <w:rPr>
          <w:noProof/>
          <w:spacing w:val="-8"/>
        </w:rPr>
        <w:t xml:space="preserve">oth SME MDMS platforms </w:t>
      </w:r>
      <w:r w:rsidR="00442ADB">
        <w:rPr>
          <w:noProof/>
          <w:spacing w:val="-8"/>
        </w:rPr>
        <w:t>and SME transport operators</w:t>
      </w:r>
      <w:r w:rsidR="009B4112">
        <w:rPr>
          <w:noProof/>
          <w:spacing w:val="-8"/>
        </w:rPr>
        <w:t xml:space="preserve"> in all policy options</w:t>
      </w:r>
      <w:r w:rsidR="00442ADB">
        <w:rPr>
          <w:noProof/>
          <w:spacing w:val="-8"/>
        </w:rPr>
        <w:t>.</w:t>
      </w:r>
    </w:p>
    <w:p w14:paraId="310D8975" w14:textId="09B1FAF2" w:rsidR="00FA7F95" w:rsidRDefault="00AC2BEF" w:rsidP="006F21DF">
      <w:pPr>
        <w:pStyle w:val="BodyText"/>
        <w:spacing w:after="240"/>
        <w:ind w:left="0"/>
        <w:rPr>
          <w:noProof/>
          <w:spacing w:val="-8"/>
        </w:rPr>
      </w:pPr>
      <w:r>
        <w:rPr>
          <w:b/>
          <w:bCs/>
          <w:i/>
          <w:iCs/>
          <w:noProof/>
          <w:spacing w:val="-8"/>
        </w:rPr>
        <w:t>A</w:t>
      </w:r>
      <w:r w:rsidR="00BD137E">
        <w:rPr>
          <w:b/>
          <w:bCs/>
          <w:i/>
          <w:iCs/>
          <w:noProof/>
          <w:spacing w:val="-8"/>
        </w:rPr>
        <w:t>djustment c</w:t>
      </w:r>
      <w:r w:rsidR="00BD137E" w:rsidRPr="00807A95">
        <w:rPr>
          <w:b/>
          <w:bCs/>
          <w:i/>
          <w:iCs/>
          <w:noProof/>
          <w:spacing w:val="-8"/>
        </w:rPr>
        <w:t xml:space="preserve">osts </w:t>
      </w:r>
      <w:r w:rsidR="00BD137E">
        <w:rPr>
          <w:b/>
          <w:bCs/>
          <w:i/>
          <w:iCs/>
          <w:noProof/>
          <w:spacing w:val="-8"/>
        </w:rPr>
        <w:t xml:space="preserve">savings </w:t>
      </w:r>
      <w:r w:rsidR="00BD137E" w:rsidRPr="00807A95">
        <w:rPr>
          <w:b/>
          <w:bCs/>
          <w:i/>
          <w:iCs/>
          <w:noProof/>
          <w:spacing w:val="-8"/>
        </w:rPr>
        <w:t xml:space="preserve">for </w:t>
      </w:r>
      <w:r w:rsidR="009E7BF9">
        <w:rPr>
          <w:b/>
          <w:bCs/>
          <w:i/>
          <w:iCs/>
          <w:noProof/>
          <w:spacing w:val="-8"/>
        </w:rPr>
        <w:t xml:space="preserve">SME </w:t>
      </w:r>
      <w:r w:rsidR="00BD137E">
        <w:rPr>
          <w:b/>
          <w:bCs/>
          <w:i/>
          <w:iCs/>
          <w:noProof/>
          <w:spacing w:val="-8"/>
        </w:rPr>
        <w:t>MDMS platforms</w:t>
      </w:r>
      <w:r w:rsidR="00BD137E" w:rsidRPr="00807A95">
        <w:rPr>
          <w:b/>
          <w:bCs/>
          <w:i/>
          <w:iCs/>
          <w:noProof/>
          <w:spacing w:val="-8"/>
        </w:rPr>
        <w:t>.</w:t>
      </w:r>
      <w:r w:rsidR="003D3DAC">
        <w:rPr>
          <w:noProof/>
          <w:spacing w:val="-8"/>
        </w:rPr>
        <w:t xml:space="preserve"> </w:t>
      </w:r>
      <w:r w:rsidR="008B7699">
        <w:rPr>
          <w:noProof/>
          <w:spacing w:val="-8"/>
        </w:rPr>
        <w:t>SME MDMS platforms will benefit from adjustment cost savings linked to the introduction of commercial agreement rules</w:t>
      </w:r>
      <w:r w:rsidR="006F0BD1">
        <w:rPr>
          <w:noProof/>
          <w:spacing w:val="-8"/>
        </w:rPr>
        <w:t xml:space="preserve"> (PM11 and PM12)</w:t>
      </w:r>
      <w:r w:rsidR="00820F2A">
        <w:rPr>
          <w:rStyle w:val="FootnoteReference"/>
          <w:noProof/>
          <w:spacing w:val="-8"/>
        </w:rPr>
        <w:footnoteReference w:id="195"/>
      </w:r>
      <w:r w:rsidR="008B7699">
        <w:rPr>
          <w:noProof/>
          <w:spacing w:val="-8"/>
        </w:rPr>
        <w:t xml:space="preserve">. </w:t>
      </w:r>
      <w:r w:rsidR="00B52B25">
        <w:rPr>
          <w:noProof/>
          <w:spacing w:val="-8"/>
        </w:rPr>
        <w:t xml:space="preserve">As explained in section </w:t>
      </w:r>
      <w:r w:rsidR="00076CE8">
        <w:rPr>
          <w:noProof/>
          <w:spacing w:val="-8"/>
        </w:rPr>
        <w:t>6.1.1, a</w:t>
      </w:r>
      <w:r w:rsidR="00B34F86" w:rsidRPr="00EF58B8">
        <w:rPr>
          <w:noProof/>
          <w:spacing w:val="-8"/>
        </w:rPr>
        <w:t xml:space="preserve">lthough </w:t>
      </w:r>
      <w:r w:rsidR="00B34F86">
        <w:rPr>
          <w:noProof/>
          <w:spacing w:val="-8"/>
        </w:rPr>
        <w:t>PM11 and PM12</w:t>
      </w:r>
      <w:r w:rsidR="00B34F86" w:rsidRPr="00EF58B8">
        <w:rPr>
          <w:noProof/>
          <w:spacing w:val="-8"/>
        </w:rPr>
        <w:t xml:space="preserve"> are </w:t>
      </w:r>
      <w:r w:rsidR="00076CE8">
        <w:rPr>
          <w:noProof/>
          <w:spacing w:val="-8"/>
        </w:rPr>
        <w:t xml:space="preserve">included </w:t>
      </w:r>
      <w:r w:rsidR="00B34F86" w:rsidRPr="00EF58B8">
        <w:rPr>
          <w:noProof/>
          <w:spacing w:val="-8"/>
        </w:rPr>
        <w:t xml:space="preserve">in all </w:t>
      </w:r>
      <w:r w:rsidR="00B34F86">
        <w:rPr>
          <w:noProof/>
          <w:spacing w:val="-8"/>
        </w:rPr>
        <w:t>policy option</w:t>
      </w:r>
      <w:r w:rsidR="00B34F86" w:rsidRPr="00EF58B8">
        <w:rPr>
          <w:noProof/>
          <w:spacing w:val="-8"/>
        </w:rPr>
        <w:t>s, the cost savings var</w:t>
      </w:r>
      <w:r w:rsidR="00B34F86">
        <w:rPr>
          <w:noProof/>
          <w:spacing w:val="-8"/>
        </w:rPr>
        <w:t>y</w:t>
      </w:r>
      <w:r w:rsidR="00B34F86" w:rsidRPr="00EF58B8">
        <w:rPr>
          <w:noProof/>
          <w:spacing w:val="-8"/>
        </w:rPr>
        <w:t xml:space="preserve"> between </w:t>
      </w:r>
      <w:r w:rsidR="00B34F86">
        <w:rPr>
          <w:noProof/>
          <w:spacing w:val="-8"/>
        </w:rPr>
        <w:t>them</w:t>
      </w:r>
      <w:r w:rsidR="00B34F86" w:rsidRPr="00EF58B8">
        <w:rPr>
          <w:noProof/>
          <w:spacing w:val="-8"/>
        </w:rPr>
        <w:t xml:space="preserve">, </w:t>
      </w:r>
      <w:r w:rsidR="00B34F86">
        <w:rPr>
          <w:noProof/>
          <w:spacing w:val="-8"/>
        </w:rPr>
        <w:t>since they</w:t>
      </w:r>
      <w:r w:rsidR="00B34F86" w:rsidRPr="00EF58B8">
        <w:rPr>
          <w:noProof/>
          <w:spacing w:val="-8"/>
        </w:rPr>
        <w:t xml:space="preserve"> are calculated based on the projected number of </w:t>
      </w:r>
      <w:r w:rsidR="00B34F86">
        <w:rPr>
          <w:noProof/>
          <w:spacing w:val="-8"/>
        </w:rPr>
        <w:t xml:space="preserve">new </w:t>
      </w:r>
      <w:r w:rsidR="0092072D">
        <w:rPr>
          <w:noProof/>
          <w:spacing w:val="-8"/>
        </w:rPr>
        <w:t xml:space="preserve">and renegotiated </w:t>
      </w:r>
      <w:r w:rsidR="00B34F86" w:rsidRPr="00EF58B8">
        <w:rPr>
          <w:noProof/>
          <w:spacing w:val="-8"/>
        </w:rPr>
        <w:t>commercial agreements</w:t>
      </w:r>
      <w:r w:rsidR="00B34F86">
        <w:rPr>
          <w:noProof/>
          <w:spacing w:val="-8"/>
        </w:rPr>
        <w:t xml:space="preserve"> </w:t>
      </w:r>
      <w:r w:rsidR="006C16CA">
        <w:rPr>
          <w:noProof/>
          <w:spacing w:val="-8"/>
        </w:rPr>
        <w:t xml:space="preserve">relative </w:t>
      </w:r>
      <w:r w:rsidR="00B34F86">
        <w:rPr>
          <w:noProof/>
          <w:spacing w:val="-8"/>
        </w:rPr>
        <w:t>to the baseline</w:t>
      </w:r>
      <w:r w:rsidR="00B34F86" w:rsidRPr="00EF58B8">
        <w:rPr>
          <w:noProof/>
          <w:spacing w:val="-8"/>
        </w:rPr>
        <w:t xml:space="preserve">. </w:t>
      </w:r>
      <w:r w:rsidR="00862942">
        <w:rPr>
          <w:noProof/>
          <w:spacing w:val="-8"/>
        </w:rPr>
        <w:t xml:space="preserve">The </w:t>
      </w:r>
      <w:r w:rsidR="00941AB9">
        <w:rPr>
          <w:noProof/>
          <w:spacing w:val="-8"/>
        </w:rPr>
        <w:t>highest adjustment costs savings</w:t>
      </w:r>
      <w:r w:rsidR="00C900D6">
        <w:rPr>
          <w:noProof/>
          <w:spacing w:val="-8"/>
        </w:rPr>
        <w:t>, expressed as present value over 2028-2050 relative to the baseline</w:t>
      </w:r>
      <w:r w:rsidR="00F26AA3">
        <w:rPr>
          <w:noProof/>
          <w:spacing w:val="-8"/>
        </w:rPr>
        <w:t>,</w:t>
      </w:r>
      <w:r w:rsidR="00941AB9">
        <w:rPr>
          <w:noProof/>
          <w:spacing w:val="-8"/>
        </w:rPr>
        <w:t xml:space="preserve"> would be achieved in </w:t>
      </w:r>
      <w:r w:rsidR="00B903C0">
        <w:rPr>
          <w:noProof/>
          <w:spacing w:val="-8"/>
        </w:rPr>
        <w:t xml:space="preserve">PO2 </w:t>
      </w:r>
      <w:r w:rsidR="0088484F">
        <w:rPr>
          <w:noProof/>
          <w:spacing w:val="-8"/>
        </w:rPr>
        <w:t xml:space="preserve">(EUR </w:t>
      </w:r>
      <w:r w:rsidR="00B924EA">
        <w:rPr>
          <w:noProof/>
          <w:spacing w:val="-8"/>
        </w:rPr>
        <w:t>101</w:t>
      </w:r>
      <w:r w:rsidR="0088484F">
        <w:rPr>
          <w:noProof/>
          <w:spacing w:val="-8"/>
        </w:rPr>
        <w:t xml:space="preserve"> million)</w:t>
      </w:r>
      <w:r w:rsidR="00000EB7">
        <w:rPr>
          <w:noProof/>
          <w:spacing w:val="-8"/>
        </w:rPr>
        <w:t xml:space="preserve"> </w:t>
      </w:r>
      <w:r w:rsidR="00D40800">
        <w:rPr>
          <w:noProof/>
          <w:spacing w:val="-8"/>
        </w:rPr>
        <w:t xml:space="preserve">due to the </w:t>
      </w:r>
      <w:r w:rsidR="00CB77DD">
        <w:rPr>
          <w:noProof/>
          <w:spacing w:val="-8"/>
        </w:rPr>
        <w:t xml:space="preserve">synergies with </w:t>
      </w:r>
      <w:r w:rsidR="0058358E">
        <w:rPr>
          <w:noProof/>
          <w:spacing w:val="-8"/>
        </w:rPr>
        <w:t xml:space="preserve">PM13 </w:t>
      </w:r>
      <w:r w:rsidR="00736191">
        <w:rPr>
          <w:noProof/>
          <w:spacing w:val="-8"/>
        </w:rPr>
        <w:t xml:space="preserve">(obligation to share) </w:t>
      </w:r>
      <w:r w:rsidR="0058358E">
        <w:rPr>
          <w:noProof/>
          <w:spacing w:val="-8"/>
        </w:rPr>
        <w:t>that lead</w:t>
      </w:r>
      <w:r w:rsidR="00E10FF0">
        <w:rPr>
          <w:noProof/>
          <w:spacing w:val="-8"/>
        </w:rPr>
        <w:t>s</w:t>
      </w:r>
      <w:r w:rsidR="0058358E">
        <w:rPr>
          <w:noProof/>
          <w:spacing w:val="-8"/>
        </w:rPr>
        <w:t xml:space="preserve"> to a </w:t>
      </w:r>
      <w:r w:rsidR="004427CB">
        <w:rPr>
          <w:noProof/>
          <w:spacing w:val="-8"/>
        </w:rPr>
        <w:t>significantly</w:t>
      </w:r>
      <w:r w:rsidR="00DD1793">
        <w:rPr>
          <w:noProof/>
          <w:spacing w:val="-8"/>
        </w:rPr>
        <w:t xml:space="preserve"> higher</w:t>
      </w:r>
      <w:r w:rsidR="004427CB">
        <w:rPr>
          <w:noProof/>
          <w:spacing w:val="-8"/>
        </w:rPr>
        <w:t xml:space="preserve"> number of new and renegotiated commercial agreements relative to the baseline. </w:t>
      </w:r>
      <w:r w:rsidR="00D776D9">
        <w:rPr>
          <w:noProof/>
          <w:spacing w:val="-8"/>
        </w:rPr>
        <w:t>PO4 and</w:t>
      </w:r>
      <w:r w:rsidR="00366BE8" w:rsidDel="0088608B">
        <w:rPr>
          <w:noProof/>
          <w:spacing w:val="-8"/>
        </w:rPr>
        <w:t xml:space="preserve"> </w:t>
      </w:r>
      <w:r w:rsidR="0088608B">
        <w:rPr>
          <w:noProof/>
          <w:spacing w:val="-8"/>
        </w:rPr>
        <w:t xml:space="preserve">PO3 </w:t>
      </w:r>
      <w:r w:rsidR="00366BE8">
        <w:rPr>
          <w:noProof/>
          <w:spacing w:val="-8"/>
        </w:rPr>
        <w:t xml:space="preserve">also result in significant </w:t>
      </w:r>
      <w:r w:rsidR="00925B1C">
        <w:rPr>
          <w:noProof/>
          <w:spacing w:val="-8"/>
        </w:rPr>
        <w:t>adjustment costs savings</w:t>
      </w:r>
      <w:r w:rsidR="00741B95">
        <w:rPr>
          <w:noProof/>
          <w:spacing w:val="-8"/>
        </w:rPr>
        <w:t xml:space="preserve"> for SME MDMS platforms</w:t>
      </w:r>
      <w:r w:rsidR="00BB4B8B">
        <w:rPr>
          <w:noProof/>
          <w:spacing w:val="-8"/>
        </w:rPr>
        <w:t xml:space="preserve"> (</w:t>
      </w:r>
      <w:r w:rsidR="00925B1C">
        <w:rPr>
          <w:noProof/>
          <w:spacing w:val="-8"/>
        </w:rPr>
        <w:t xml:space="preserve">EUR </w:t>
      </w:r>
      <w:r w:rsidR="00B924EA">
        <w:rPr>
          <w:noProof/>
          <w:spacing w:val="-8"/>
        </w:rPr>
        <w:t>95.7</w:t>
      </w:r>
      <w:r w:rsidR="00FB4B9F">
        <w:rPr>
          <w:noProof/>
          <w:spacing w:val="-8"/>
        </w:rPr>
        <w:t xml:space="preserve"> million</w:t>
      </w:r>
      <w:r w:rsidR="00BB4B8B">
        <w:rPr>
          <w:noProof/>
          <w:spacing w:val="-8"/>
        </w:rPr>
        <w:t xml:space="preserve"> in PO4</w:t>
      </w:r>
      <w:r w:rsidR="00FB4B9F">
        <w:rPr>
          <w:noProof/>
          <w:spacing w:val="-8"/>
        </w:rPr>
        <w:t xml:space="preserve"> and EUR </w:t>
      </w:r>
      <w:r w:rsidR="00D64F7C">
        <w:rPr>
          <w:noProof/>
          <w:spacing w:val="-8"/>
        </w:rPr>
        <w:t>90.5</w:t>
      </w:r>
      <w:r w:rsidR="00FB4B9F">
        <w:rPr>
          <w:noProof/>
          <w:spacing w:val="-8"/>
        </w:rPr>
        <w:t xml:space="preserve"> million</w:t>
      </w:r>
      <w:r w:rsidR="00BB4B8B">
        <w:rPr>
          <w:noProof/>
          <w:spacing w:val="-8"/>
        </w:rPr>
        <w:t xml:space="preserve"> in </w:t>
      </w:r>
      <w:r w:rsidR="00D64F7C">
        <w:rPr>
          <w:noProof/>
          <w:spacing w:val="-8"/>
        </w:rPr>
        <w:t>PO3</w:t>
      </w:r>
      <w:r w:rsidR="00BB4B8B">
        <w:rPr>
          <w:noProof/>
          <w:spacing w:val="-8"/>
        </w:rPr>
        <w:t>)</w:t>
      </w:r>
      <w:r w:rsidR="00CE3811">
        <w:rPr>
          <w:noProof/>
          <w:spacing w:val="-8"/>
        </w:rPr>
        <w:t>,</w:t>
      </w:r>
      <w:r w:rsidR="00FB4B9F">
        <w:rPr>
          <w:noProof/>
          <w:spacing w:val="-8"/>
        </w:rPr>
        <w:t xml:space="preserve"> </w:t>
      </w:r>
      <w:r w:rsidR="00660DCE">
        <w:rPr>
          <w:noProof/>
          <w:spacing w:val="-8"/>
        </w:rPr>
        <w:t xml:space="preserve">while PO1 </w:t>
      </w:r>
      <w:r w:rsidR="001142BB">
        <w:rPr>
          <w:noProof/>
          <w:spacing w:val="-8"/>
        </w:rPr>
        <w:t>is expected to result in lower costs savings (EUR</w:t>
      </w:r>
      <w:r w:rsidR="00D776D9">
        <w:rPr>
          <w:noProof/>
          <w:spacing w:val="-8"/>
        </w:rPr>
        <w:t xml:space="preserve"> </w:t>
      </w:r>
      <w:r w:rsidR="001142BB">
        <w:rPr>
          <w:noProof/>
          <w:spacing w:val="-8"/>
        </w:rPr>
        <w:t xml:space="preserve">9.2 million). </w:t>
      </w:r>
      <w:r w:rsidR="00C50D57">
        <w:rPr>
          <w:noProof/>
          <w:spacing w:val="-8"/>
        </w:rPr>
        <w:t xml:space="preserve"> </w:t>
      </w:r>
    </w:p>
    <w:p w14:paraId="3F86E449" w14:textId="75B65144" w:rsidR="00896EF4" w:rsidRDefault="00896EF4" w:rsidP="00896EF4">
      <w:pPr>
        <w:pStyle w:val="Text2"/>
        <w:spacing w:after="0"/>
        <w:ind w:left="0"/>
        <w:rPr>
          <w:rFonts w:cs="Times New Roman"/>
          <w:i/>
          <w:noProof/>
          <w:sz w:val="22"/>
          <w:szCs w:val="22"/>
        </w:rPr>
      </w:pPr>
      <w:r w:rsidRPr="006333F0">
        <w:rPr>
          <w:rFonts w:cs="Times New Roman"/>
          <w:i/>
          <w:noProof/>
          <w:sz w:val="22"/>
          <w:szCs w:val="22"/>
        </w:rPr>
        <w:t xml:space="preserve">Table </w:t>
      </w:r>
      <w:r w:rsidRPr="006333F0">
        <w:rPr>
          <w:rFonts w:cs="Times New Roman"/>
          <w:i/>
          <w:iCs/>
          <w:noProof/>
          <w:sz w:val="22"/>
          <w:szCs w:val="22"/>
        </w:rPr>
        <w:fldChar w:fldCharType="begin"/>
      </w:r>
      <w:r w:rsidRPr="006333F0">
        <w:rPr>
          <w:rFonts w:cs="Times New Roman"/>
          <w:i/>
          <w:iCs/>
          <w:noProof/>
          <w:sz w:val="22"/>
          <w:szCs w:val="22"/>
        </w:rPr>
        <w:instrText xml:space="preserve"> SEQ Table \* ARABIC </w:instrText>
      </w:r>
      <w:r w:rsidRPr="006333F0">
        <w:rPr>
          <w:rFonts w:cs="Times New Roman"/>
          <w:i/>
          <w:iCs/>
          <w:noProof/>
          <w:sz w:val="22"/>
          <w:szCs w:val="22"/>
        </w:rPr>
        <w:fldChar w:fldCharType="separate"/>
      </w:r>
      <w:r w:rsidR="0055391F">
        <w:rPr>
          <w:rFonts w:cs="Times New Roman"/>
          <w:i/>
          <w:iCs/>
          <w:noProof/>
          <w:sz w:val="22"/>
          <w:szCs w:val="22"/>
        </w:rPr>
        <w:t>12</w:t>
      </w:r>
      <w:r w:rsidRPr="006333F0">
        <w:rPr>
          <w:rFonts w:cs="Times New Roman"/>
          <w:i/>
          <w:iCs/>
          <w:noProof/>
          <w:sz w:val="22"/>
          <w:szCs w:val="22"/>
        </w:rPr>
        <w:fldChar w:fldCharType="end"/>
      </w:r>
      <w:r w:rsidRPr="006333F0">
        <w:rPr>
          <w:rFonts w:cs="Times New Roman"/>
          <w:i/>
          <w:noProof/>
          <w:sz w:val="22"/>
          <w:szCs w:val="22"/>
        </w:rPr>
        <w:t xml:space="preserve">: </w:t>
      </w:r>
      <w:r>
        <w:rPr>
          <w:rFonts w:cs="Times New Roman"/>
          <w:i/>
          <w:noProof/>
          <w:sz w:val="22"/>
          <w:szCs w:val="22"/>
        </w:rPr>
        <w:t>R</w:t>
      </w:r>
      <w:r w:rsidRPr="006333F0">
        <w:rPr>
          <w:rFonts w:cs="Times New Roman"/>
          <w:i/>
          <w:noProof/>
          <w:sz w:val="22"/>
          <w:szCs w:val="22"/>
        </w:rPr>
        <w:t xml:space="preserve">ecurrent </w:t>
      </w:r>
      <w:r w:rsidR="00BD137E">
        <w:rPr>
          <w:rFonts w:cs="Times New Roman"/>
          <w:i/>
          <w:noProof/>
          <w:sz w:val="22"/>
          <w:szCs w:val="22"/>
        </w:rPr>
        <w:t xml:space="preserve">adjustment </w:t>
      </w:r>
      <w:r w:rsidRPr="006333F0">
        <w:rPr>
          <w:rFonts w:cs="Times New Roman"/>
          <w:i/>
          <w:noProof/>
          <w:sz w:val="22"/>
          <w:szCs w:val="22"/>
        </w:rPr>
        <w:t>costs</w:t>
      </w:r>
      <w:r w:rsidR="00BD137E">
        <w:rPr>
          <w:rFonts w:cs="Times New Roman"/>
          <w:i/>
          <w:noProof/>
          <w:sz w:val="22"/>
          <w:szCs w:val="22"/>
        </w:rPr>
        <w:t xml:space="preserve"> savings</w:t>
      </w:r>
      <w:r w:rsidRPr="006333F0">
        <w:rPr>
          <w:rFonts w:cs="Times New Roman"/>
          <w:i/>
          <w:noProof/>
          <w:sz w:val="22"/>
          <w:szCs w:val="22"/>
        </w:rPr>
        <w:t xml:space="preserve"> for </w:t>
      </w:r>
      <w:r w:rsidR="00BA27CE">
        <w:rPr>
          <w:rFonts w:cs="Times New Roman"/>
          <w:i/>
          <w:noProof/>
          <w:sz w:val="22"/>
          <w:szCs w:val="22"/>
        </w:rPr>
        <w:t xml:space="preserve">SME </w:t>
      </w:r>
      <w:r w:rsidR="00BD137E">
        <w:rPr>
          <w:rFonts w:cs="Times New Roman"/>
          <w:i/>
          <w:noProof/>
          <w:sz w:val="22"/>
          <w:szCs w:val="22"/>
        </w:rPr>
        <w:t>MDMS platforms</w:t>
      </w:r>
      <w:r w:rsidRPr="006333F0">
        <w:rPr>
          <w:rFonts w:cs="Times New Roman"/>
          <w:i/>
          <w:noProof/>
          <w:sz w:val="22"/>
          <w:szCs w:val="22"/>
        </w:rPr>
        <w:t xml:space="preserve"> in the POs relative to the baseline (EU27),</w:t>
      </w:r>
      <w:r>
        <w:rPr>
          <w:rFonts w:cs="Times New Roman"/>
          <w:i/>
          <w:noProof/>
          <w:sz w:val="22"/>
          <w:szCs w:val="22"/>
        </w:rPr>
        <w:t xml:space="preserve"> expressed as present value over 2028-2050,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p>
    <w:tbl>
      <w:tblPr>
        <w:tblW w:w="5000" w:type="pct"/>
        <w:tblLook w:val="04A0" w:firstRow="1" w:lastRow="0" w:firstColumn="1" w:lastColumn="0" w:noHBand="0" w:noVBand="1"/>
      </w:tblPr>
      <w:tblGrid>
        <w:gridCol w:w="5713"/>
        <w:gridCol w:w="972"/>
        <w:gridCol w:w="972"/>
        <w:gridCol w:w="972"/>
        <w:gridCol w:w="974"/>
      </w:tblGrid>
      <w:tr w:rsidR="00B924EA" w14:paraId="617879A8" w14:textId="77777777" w:rsidTr="00B924EA">
        <w:trPr>
          <w:trHeight w:val="255"/>
          <w:tblHeader/>
        </w:trPr>
        <w:tc>
          <w:tcPr>
            <w:tcW w:w="2975"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153C4AA3" w14:textId="77777777" w:rsidR="00B924EA" w:rsidRDefault="00B924EA">
            <w:pPr>
              <w:jc w:val="center"/>
              <w:rPr>
                <w:b/>
                <w:bCs/>
                <w:noProof/>
                <w:color w:val="FFFFFF"/>
                <w:sz w:val="20"/>
                <w:szCs w:val="20"/>
              </w:rPr>
            </w:pPr>
            <w:r>
              <w:rPr>
                <w:b/>
                <w:bCs/>
                <w:noProof/>
                <w:color w:val="FFFFFF"/>
                <w:sz w:val="20"/>
                <w:szCs w:val="20"/>
              </w:rPr>
              <w:t> </w:t>
            </w:r>
          </w:p>
        </w:tc>
        <w:tc>
          <w:tcPr>
            <w:tcW w:w="2025" w:type="pct"/>
            <w:gridSpan w:val="4"/>
            <w:tcBorders>
              <w:top w:val="single" w:sz="4" w:space="0" w:color="auto"/>
              <w:left w:val="nil"/>
              <w:bottom w:val="single" w:sz="4" w:space="0" w:color="auto"/>
              <w:right w:val="single" w:sz="4" w:space="0" w:color="auto"/>
            </w:tcBorders>
            <w:shd w:val="clear" w:color="000000" w:fill="0070C0"/>
            <w:hideMark/>
          </w:tcPr>
          <w:p w14:paraId="450810C7" w14:textId="77777777" w:rsidR="00B924EA" w:rsidRDefault="00B924EA">
            <w:pPr>
              <w:jc w:val="center"/>
              <w:rPr>
                <w:b/>
                <w:bCs/>
                <w:noProof/>
                <w:color w:val="FFFFFF"/>
                <w:sz w:val="20"/>
                <w:szCs w:val="20"/>
              </w:rPr>
            </w:pPr>
            <w:r>
              <w:rPr>
                <w:b/>
                <w:bCs/>
                <w:noProof/>
                <w:color w:val="FFFFFF"/>
                <w:sz w:val="20"/>
                <w:szCs w:val="20"/>
              </w:rPr>
              <w:t>Difference to baseline</w:t>
            </w:r>
          </w:p>
        </w:tc>
      </w:tr>
      <w:tr w:rsidR="00B924EA" w14:paraId="4D700278" w14:textId="77777777" w:rsidTr="00B924EA">
        <w:trPr>
          <w:trHeight w:val="255"/>
          <w:tblHeader/>
        </w:trPr>
        <w:tc>
          <w:tcPr>
            <w:tcW w:w="2975" w:type="pct"/>
            <w:vMerge/>
            <w:tcBorders>
              <w:top w:val="single" w:sz="4" w:space="0" w:color="auto"/>
              <w:left w:val="single" w:sz="4" w:space="0" w:color="auto"/>
              <w:bottom w:val="single" w:sz="4" w:space="0" w:color="auto"/>
              <w:right w:val="single" w:sz="4" w:space="0" w:color="auto"/>
            </w:tcBorders>
            <w:hideMark/>
          </w:tcPr>
          <w:p w14:paraId="65E01A4A" w14:textId="77777777" w:rsidR="00B924EA" w:rsidRDefault="00B924EA">
            <w:pPr>
              <w:rPr>
                <w:b/>
                <w:bCs/>
                <w:noProof/>
                <w:color w:val="FFFFFF"/>
                <w:sz w:val="20"/>
                <w:szCs w:val="20"/>
              </w:rPr>
            </w:pPr>
          </w:p>
        </w:tc>
        <w:tc>
          <w:tcPr>
            <w:tcW w:w="506" w:type="pct"/>
            <w:tcBorders>
              <w:top w:val="nil"/>
              <w:left w:val="nil"/>
              <w:bottom w:val="single" w:sz="4" w:space="0" w:color="auto"/>
              <w:right w:val="single" w:sz="4" w:space="0" w:color="auto"/>
            </w:tcBorders>
            <w:shd w:val="clear" w:color="000000" w:fill="0070C0"/>
            <w:hideMark/>
          </w:tcPr>
          <w:p w14:paraId="615D772D" w14:textId="77777777" w:rsidR="00B924EA" w:rsidRDefault="00B924EA">
            <w:pPr>
              <w:jc w:val="center"/>
              <w:rPr>
                <w:b/>
                <w:bCs/>
                <w:noProof/>
                <w:color w:val="FFFFFF"/>
                <w:sz w:val="20"/>
                <w:szCs w:val="20"/>
              </w:rPr>
            </w:pPr>
            <w:r>
              <w:rPr>
                <w:b/>
                <w:bCs/>
                <w:noProof/>
                <w:color w:val="FFFFFF"/>
                <w:sz w:val="20"/>
                <w:szCs w:val="20"/>
              </w:rPr>
              <w:t>PO1</w:t>
            </w:r>
          </w:p>
        </w:tc>
        <w:tc>
          <w:tcPr>
            <w:tcW w:w="506" w:type="pct"/>
            <w:tcBorders>
              <w:top w:val="nil"/>
              <w:left w:val="nil"/>
              <w:bottom w:val="single" w:sz="4" w:space="0" w:color="auto"/>
              <w:right w:val="single" w:sz="4" w:space="0" w:color="auto"/>
            </w:tcBorders>
            <w:shd w:val="clear" w:color="000000" w:fill="0070C0"/>
            <w:hideMark/>
          </w:tcPr>
          <w:p w14:paraId="59B1E192" w14:textId="77777777" w:rsidR="00B924EA" w:rsidRDefault="00B924EA">
            <w:pPr>
              <w:jc w:val="center"/>
              <w:rPr>
                <w:b/>
                <w:bCs/>
                <w:noProof/>
                <w:color w:val="FFFFFF"/>
                <w:sz w:val="20"/>
                <w:szCs w:val="20"/>
              </w:rPr>
            </w:pPr>
            <w:r>
              <w:rPr>
                <w:b/>
                <w:bCs/>
                <w:noProof/>
                <w:color w:val="FFFFFF"/>
                <w:sz w:val="20"/>
                <w:szCs w:val="20"/>
              </w:rPr>
              <w:t>PO2</w:t>
            </w:r>
          </w:p>
        </w:tc>
        <w:tc>
          <w:tcPr>
            <w:tcW w:w="506" w:type="pct"/>
            <w:tcBorders>
              <w:top w:val="nil"/>
              <w:left w:val="nil"/>
              <w:bottom w:val="single" w:sz="4" w:space="0" w:color="auto"/>
              <w:right w:val="single" w:sz="4" w:space="0" w:color="auto"/>
            </w:tcBorders>
            <w:shd w:val="clear" w:color="000000" w:fill="0070C0"/>
            <w:hideMark/>
          </w:tcPr>
          <w:p w14:paraId="18279148" w14:textId="77777777" w:rsidR="00B924EA" w:rsidRDefault="00B924EA">
            <w:pPr>
              <w:jc w:val="center"/>
              <w:rPr>
                <w:b/>
                <w:bCs/>
                <w:noProof/>
                <w:color w:val="FFFFFF"/>
                <w:sz w:val="20"/>
                <w:szCs w:val="20"/>
              </w:rPr>
            </w:pPr>
            <w:r>
              <w:rPr>
                <w:b/>
                <w:bCs/>
                <w:noProof/>
                <w:color w:val="FFFFFF"/>
                <w:sz w:val="20"/>
                <w:szCs w:val="20"/>
              </w:rPr>
              <w:t>PO3</w:t>
            </w:r>
          </w:p>
        </w:tc>
        <w:tc>
          <w:tcPr>
            <w:tcW w:w="506" w:type="pct"/>
            <w:tcBorders>
              <w:top w:val="nil"/>
              <w:left w:val="nil"/>
              <w:bottom w:val="single" w:sz="4" w:space="0" w:color="auto"/>
              <w:right w:val="single" w:sz="4" w:space="0" w:color="auto"/>
            </w:tcBorders>
            <w:shd w:val="clear" w:color="000000" w:fill="0070C0"/>
            <w:hideMark/>
          </w:tcPr>
          <w:p w14:paraId="40FD3892" w14:textId="77777777" w:rsidR="00B924EA" w:rsidRDefault="00B924EA">
            <w:pPr>
              <w:jc w:val="center"/>
              <w:rPr>
                <w:b/>
                <w:bCs/>
                <w:noProof/>
                <w:color w:val="FFFFFF"/>
                <w:sz w:val="20"/>
                <w:szCs w:val="20"/>
              </w:rPr>
            </w:pPr>
            <w:r>
              <w:rPr>
                <w:b/>
                <w:bCs/>
                <w:noProof/>
                <w:color w:val="FFFFFF"/>
                <w:sz w:val="20"/>
                <w:szCs w:val="20"/>
              </w:rPr>
              <w:t>PO4</w:t>
            </w:r>
          </w:p>
        </w:tc>
      </w:tr>
      <w:tr w:rsidR="00B924EA" w14:paraId="1B404E65" w14:textId="77777777" w:rsidTr="00B924EA">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5D1B8FBB" w14:textId="77777777" w:rsidR="00B924EA" w:rsidRDefault="00B924EA">
            <w:pPr>
              <w:rPr>
                <w:b/>
                <w:bCs/>
                <w:noProof/>
                <w:sz w:val="20"/>
                <w:szCs w:val="20"/>
              </w:rPr>
            </w:pPr>
            <w:r>
              <w:rPr>
                <w:b/>
                <w:bCs/>
                <w:noProof/>
                <w:sz w:val="20"/>
                <w:szCs w:val="20"/>
              </w:rPr>
              <w:t>Adjustment cost savings</w:t>
            </w:r>
          </w:p>
        </w:tc>
        <w:tc>
          <w:tcPr>
            <w:tcW w:w="506" w:type="pct"/>
            <w:tcBorders>
              <w:top w:val="nil"/>
              <w:left w:val="nil"/>
              <w:bottom w:val="single" w:sz="4" w:space="0" w:color="auto"/>
              <w:right w:val="single" w:sz="4" w:space="0" w:color="auto"/>
            </w:tcBorders>
            <w:shd w:val="clear" w:color="000000" w:fill="BDE3FF"/>
            <w:hideMark/>
          </w:tcPr>
          <w:p w14:paraId="0565E67C" w14:textId="77777777" w:rsidR="00B924EA" w:rsidRDefault="00B924EA">
            <w:pPr>
              <w:jc w:val="right"/>
              <w:rPr>
                <w:b/>
                <w:bCs/>
                <w:noProof/>
                <w:sz w:val="20"/>
                <w:szCs w:val="20"/>
              </w:rPr>
            </w:pPr>
            <w:r>
              <w:rPr>
                <w:b/>
                <w:bCs/>
                <w:noProof/>
                <w:sz w:val="20"/>
                <w:szCs w:val="20"/>
              </w:rPr>
              <w:t xml:space="preserve">          9.2 </w:t>
            </w:r>
          </w:p>
        </w:tc>
        <w:tc>
          <w:tcPr>
            <w:tcW w:w="506" w:type="pct"/>
            <w:tcBorders>
              <w:top w:val="nil"/>
              <w:left w:val="nil"/>
              <w:bottom w:val="single" w:sz="4" w:space="0" w:color="auto"/>
              <w:right w:val="single" w:sz="4" w:space="0" w:color="auto"/>
            </w:tcBorders>
            <w:shd w:val="clear" w:color="000000" w:fill="BDE3FF"/>
            <w:hideMark/>
          </w:tcPr>
          <w:p w14:paraId="3147C597" w14:textId="77777777" w:rsidR="00B924EA" w:rsidRDefault="00B924EA">
            <w:pPr>
              <w:jc w:val="right"/>
              <w:rPr>
                <w:b/>
                <w:bCs/>
                <w:noProof/>
                <w:sz w:val="20"/>
                <w:szCs w:val="20"/>
              </w:rPr>
            </w:pPr>
            <w:r>
              <w:rPr>
                <w:b/>
                <w:bCs/>
                <w:noProof/>
                <w:sz w:val="20"/>
                <w:szCs w:val="20"/>
              </w:rPr>
              <w:t xml:space="preserve">     101.0 </w:t>
            </w:r>
          </w:p>
        </w:tc>
        <w:tc>
          <w:tcPr>
            <w:tcW w:w="506" w:type="pct"/>
            <w:tcBorders>
              <w:top w:val="nil"/>
              <w:left w:val="nil"/>
              <w:bottom w:val="single" w:sz="4" w:space="0" w:color="auto"/>
              <w:right w:val="single" w:sz="4" w:space="0" w:color="auto"/>
            </w:tcBorders>
            <w:shd w:val="clear" w:color="000000" w:fill="BDE3FF"/>
            <w:hideMark/>
          </w:tcPr>
          <w:p w14:paraId="29740195" w14:textId="77777777" w:rsidR="00B924EA" w:rsidRDefault="00B924EA">
            <w:pPr>
              <w:jc w:val="right"/>
              <w:rPr>
                <w:b/>
                <w:bCs/>
                <w:noProof/>
                <w:sz w:val="20"/>
                <w:szCs w:val="20"/>
              </w:rPr>
            </w:pPr>
            <w:r>
              <w:rPr>
                <w:b/>
                <w:bCs/>
                <w:noProof/>
                <w:sz w:val="20"/>
                <w:szCs w:val="20"/>
              </w:rPr>
              <w:t xml:space="preserve">       90.5 </w:t>
            </w:r>
          </w:p>
        </w:tc>
        <w:tc>
          <w:tcPr>
            <w:tcW w:w="506" w:type="pct"/>
            <w:tcBorders>
              <w:top w:val="nil"/>
              <w:left w:val="nil"/>
              <w:bottom w:val="single" w:sz="4" w:space="0" w:color="auto"/>
              <w:right w:val="single" w:sz="4" w:space="0" w:color="auto"/>
            </w:tcBorders>
            <w:shd w:val="clear" w:color="000000" w:fill="BDE3FF"/>
            <w:hideMark/>
          </w:tcPr>
          <w:p w14:paraId="626D6ECB" w14:textId="77777777" w:rsidR="00B924EA" w:rsidRDefault="00B924EA">
            <w:pPr>
              <w:jc w:val="right"/>
              <w:rPr>
                <w:b/>
                <w:bCs/>
                <w:noProof/>
                <w:sz w:val="20"/>
                <w:szCs w:val="20"/>
              </w:rPr>
            </w:pPr>
            <w:r>
              <w:rPr>
                <w:b/>
                <w:bCs/>
                <w:noProof/>
                <w:sz w:val="20"/>
                <w:szCs w:val="20"/>
              </w:rPr>
              <w:t xml:space="preserve">       95.7 </w:t>
            </w:r>
          </w:p>
        </w:tc>
      </w:tr>
      <w:tr w:rsidR="00711A43" w14:paraId="2FCEE068" w14:textId="77777777" w:rsidTr="00B924EA">
        <w:trPr>
          <w:trHeight w:val="255"/>
        </w:trPr>
        <w:tc>
          <w:tcPr>
            <w:tcW w:w="2975" w:type="pct"/>
            <w:tcBorders>
              <w:top w:val="nil"/>
              <w:left w:val="single" w:sz="4" w:space="0" w:color="auto"/>
              <w:bottom w:val="single" w:sz="4" w:space="0" w:color="auto"/>
              <w:right w:val="single" w:sz="4" w:space="0" w:color="auto"/>
            </w:tcBorders>
            <w:hideMark/>
          </w:tcPr>
          <w:p w14:paraId="0D0C3AB5" w14:textId="77777777" w:rsidR="00B924EA" w:rsidRDefault="00B924EA">
            <w:pPr>
              <w:rPr>
                <w:noProof/>
                <w:color w:val="000000"/>
                <w:sz w:val="20"/>
                <w:szCs w:val="20"/>
              </w:rPr>
            </w:pPr>
            <w:r>
              <w:rPr>
                <w:noProof/>
                <w:color w:val="000000"/>
                <w:sz w:val="20"/>
                <w:szCs w:val="20"/>
              </w:rPr>
              <w:t>PM11 (Commercial agreement rules indispensable MDMS)</w:t>
            </w:r>
          </w:p>
        </w:tc>
        <w:tc>
          <w:tcPr>
            <w:tcW w:w="506" w:type="pct"/>
            <w:tcBorders>
              <w:top w:val="nil"/>
              <w:left w:val="nil"/>
              <w:bottom w:val="single" w:sz="4" w:space="0" w:color="auto"/>
              <w:right w:val="single" w:sz="4" w:space="0" w:color="auto"/>
            </w:tcBorders>
            <w:shd w:val="clear" w:color="000000" w:fill="FFFFFF"/>
            <w:noWrap/>
            <w:hideMark/>
          </w:tcPr>
          <w:p w14:paraId="2934E635" w14:textId="77777777" w:rsidR="00B924EA" w:rsidRDefault="00B924EA">
            <w:pPr>
              <w:jc w:val="right"/>
              <w:rPr>
                <w:noProof/>
                <w:color w:val="000000"/>
                <w:sz w:val="20"/>
                <w:szCs w:val="20"/>
              </w:rPr>
            </w:pPr>
            <w:r>
              <w:rPr>
                <w:noProof/>
                <w:color w:val="000000"/>
                <w:sz w:val="20"/>
                <w:szCs w:val="20"/>
              </w:rPr>
              <w:t xml:space="preserve">          8.6 </w:t>
            </w:r>
          </w:p>
        </w:tc>
        <w:tc>
          <w:tcPr>
            <w:tcW w:w="506" w:type="pct"/>
            <w:tcBorders>
              <w:top w:val="nil"/>
              <w:left w:val="nil"/>
              <w:bottom w:val="single" w:sz="4" w:space="0" w:color="auto"/>
              <w:right w:val="single" w:sz="4" w:space="0" w:color="auto"/>
            </w:tcBorders>
            <w:shd w:val="clear" w:color="000000" w:fill="FFFFFF"/>
            <w:noWrap/>
            <w:hideMark/>
          </w:tcPr>
          <w:p w14:paraId="6D70386C" w14:textId="77777777" w:rsidR="00B924EA" w:rsidRDefault="00B924EA">
            <w:pPr>
              <w:jc w:val="right"/>
              <w:rPr>
                <w:noProof/>
                <w:color w:val="000000"/>
                <w:sz w:val="20"/>
                <w:szCs w:val="20"/>
              </w:rPr>
            </w:pPr>
            <w:r>
              <w:rPr>
                <w:noProof/>
                <w:color w:val="000000"/>
                <w:sz w:val="20"/>
                <w:szCs w:val="20"/>
              </w:rPr>
              <w:t xml:space="preserve">        93.7 </w:t>
            </w:r>
          </w:p>
        </w:tc>
        <w:tc>
          <w:tcPr>
            <w:tcW w:w="506" w:type="pct"/>
            <w:tcBorders>
              <w:top w:val="nil"/>
              <w:left w:val="nil"/>
              <w:bottom w:val="single" w:sz="4" w:space="0" w:color="auto"/>
              <w:right w:val="single" w:sz="4" w:space="0" w:color="auto"/>
            </w:tcBorders>
            <w:shd w:val="clear" w:color="000000" w:fill="FFFFFF"/>
            <w:noWrap/>
            <w:hideMark/>
          </w:tcPr>
          <w:p w14:paraId="053177C8" w14:textId="77777777" w:rsidR="00B924EA" w:rsidRDefault="00B924EA">
            <w:pPr>
              <w:jc w:val="right"/>
              <w:rPr>
                <w:noProof/>
                <w:color w:val="000000"/>
                <w:sz w:val="20"/>
                <w:szCs w:val="20"/>
              </w:rPr>
            </w:pPr>
            <w:r>
              <w:rPr>
                <w:noProof/>
                <w:color w:val="000000"/>
                <w:sz w:val="20"/>
                <w:szCs w:val="20"/>
              </w:rPr>
              <w:t xml:space="preserve">        83.9 </w:t>
            </w:r>
          </w:p>
        </w:tc>
        <w:tc>
          <w:tcPr>
            <w:tcW w:w="506" w:type="pct"/>
            <w:tcBorders>
              <w:top w:val="nil"/>
              <w:left w:val="nil"/>
              <w:bottom w:val="single" w:sz="4" w:space="0" w:color="auto"/>
              <w:right w:val="single" w:sz="4" w:space="0" w:color="auto"/>
            </w:tcBorders>
            <w:shd w:val="clear" w:color="000000" w:fill="FFFFFF"/>
            <w:noWrap/>
            <w:hideMark/>
          </w:tcPr>
          <w:p w14:paraId="55CCE08A" w14:textId="77777777" w:rsidR="00B924EA" w:rsidRDefault="00B924EA">
            <w:pPr>
              <w:jc w:val="right"/>
              <w:rPr>
                <w:noProof/>
                <w:color w:val="000000"/>
                <w:sz w:val="20"/>
                <w:szCs w:val="20"/>
              </w:rPr>
            </w:pPr>
            <w:r>
              <w:rPr>
                <w:noProof/>
                <w:color w:val="000000"/>
                <w:sz w:val="20"/>
                <w:szCs w:val="20"/>
              </w:rPr>
              <w:t xml:space="preserve">        88.8 </w:t>
            </w:r>
          </w:p>
        </w:tc>
      </w:tr>
      <w:tr w:rsidR="00711A43" w14:paraId="54B4EFB4" w14:textId="77777777" w:rsidTr="00B924EA">
        <w:trPr>
          <w:trHeight w:val="255"/>
        </w:trPr>
        <w:tc>
          <w:tcPr>
            <w:tcW w:w="2975" w:type="pct"/>
            <w:tcBorders>
              <w:top w:val="nil"/>
              <w:left w:val="single" w:sz="4" w:space="0" w:color="auto"/>
              <w:bottom w:val="single" w:sz="4" w:space="0" w:color="auto"/>
              <w:right w:val="single" w:sz="4" w:space="0" w:color="auto"/>
            </w:tcBorders>
            <w:hideMark/>
          </w:tcPr>
          <w:p w14:paraId="2E83BA31" w14:textId="77777777" w:rsidR="00B924EA" w:rsidRDefault="00B924EA">
            <w:pPr>
              <w:rPr>
                <w:noProof/>
                <w:color w:val="000000"/>
                <w:sz w:val="20"/>
                <w:szCs w:val="20"/>
              </w:rPr>
            </w:pPr>
            <w:r>
              <w:rPr>
                <w:noProof/>
                <w:color w:val="000000"/>
                <w:sz w:val="20"/>
                <w:szCs w:val="20"/>
              </w:rPr>
              <w:t>PM12 (Commercial agreement rules indispensable RUs)</w:t>
            </w:r>
          </w:p>
        </w:tc>
        <w:tc>
          <w:tcPr>
            <w:tcW w:w="506" w:type="pct"/>
            <w:tcBorders>
              <w:top w:val="nil"/>
              <w:left w:val="nil"/>
              <w:bottom w:val="single" w:sz="4" w:space="0" w:color="auto"/>
              <w:right w:val="single" w:sz="4" w:space="0" w:color="auto"/>
            </w:tcBorders>
            <w:shd w:val="clear" w:color="000000" w:fill="FFFFFF"/>
            <w:noWrap/>
            <w:hideMark/>
          </w:tcPr>
          <w:p w14:paraId="0E8ABD6D" w14:textId="77777777" w:rsidR="00B924EA" w:rsidRDefault="00B924EA">
            <w:pPr>
              <w:jc w:val="right"/>
              <w:rPr>
                <w:noProof/>
                <w:color w:val="000000"/>
                <w:sz w:val="20"/>
                <w:szCs w:val="20"/>
              </w:rPr>
            </w:pPr>
            <w:r>
              <w:rPr>
                <w:noProof/>
                <w:color w:val="000000"/>
                <w:sz w:val="20"/>
                <w:szCs w:val="20"/>
              </w:rPr>
              <w:t xml:space="preserve">          0.5 </w:t>
            </w:r>
          </w:p>
        </w:tc>
        <w:tc>
          <w:tcPr>
            <w:tcW w:w="506" w:type="pct"/>
            <w:tcBorders>
              <w:top w:val="nil"/>
              <w:left w:val="nil"/>
              <w:bottom w:val="single" w:sz="4" w:space="0" w:color="auto"/>
              <w:right w:val="single" w:sz="4" w:space="0" w:color="auto"/>
            </w:tcBorders>
            <w:shd w:val="clear" w:color="000000" w:fill="FFFFFF"/>
            <w:noWrap/>
            <w:hideMark/>
          </w:tcPr>
          <w:p w14:paraId="7B91A6FB" w14:textId="77777777" w:rsidR="00B924EA" w:rsidRDefault="00B924EA">
            <w:pPr>
              <w:jc w:val="right"/>
              <w:rPr>
                <w:noProof/>
                <w:color w:val="000000"/>
                <w:sz w:val="20"/>
                <w:szCs w:val="20"/>
              </w:rPr>
            </w:pPr>
            <w:r>
              <w:rPr>
                <w:noProof/>
                <w:color w:val="000000"/>
                <w:sz w:val="20"/>
                <w:szCs w:val="20"/>
              </w:rPr>
              <w:t xml:space="preserve">          7.3 </w:t>
            </w:r>
          </w:p>
        </w:tc>
        <w:tc>
          <w:tcPr>
            <w:tcW w:w="506" w:type="pct"/>
            <w:tcBorders>
              <w:top w:val="nil"/>
              <w:left w:val="nil"/>
              <w:bottom w:val="single" w:sz="4" w:space="0" w:color="auto"/>
              <w:right w:val="single" w:sz="4" w:space="0" w:color="auto"/>
            </w:tcBorders>
            <w:shd w:val="clear" w:color="000000" w:fill="FFFFFF"/>
            <w:noWrap/>
            <w:hideMark/>
          </w:tcPr>
          <w:p w14:paraId="1DBFE7B8" w14:textId="77777777" w:rsidR="00B924EA" w:rsidRDefault="00B924EA">
            <w:pPr>
              <w:jc w:val="right"/>
              <w:rPr>
                <w:noProof/>
                <w:color w:val="000000"/>
                <w:sz w:val="20"/>
                <w:szCs w:val="20"/>
              </w:rPr>
            </w:pPr>
            <w:r>
              <w:rPr>
                <w:noProof/>
                <w:color w:val="000000"/>
                <w:sz w:val="20"/>
                <w:szCs w:val="20"/>
              </w:rPr>
              <w:t xml:space="preserve">          6.6 </w:t>
            </w:r>
          </w:p>
        </w:tc>
        <w:tc>
          <w:tcPr>
            <w:tcW w:w="506" w:type="pct"/>
            <w:tcBorders>
              <w:top w:val="nil"/>
              <w:left w:val="nil"/>
              <w:bottom w:val="single" w:sz="4" w:space="0" w:color="auto"/>
              <w:right w:val="single" w:sz="4" w:space="0" w:color="auto"/>
            </w:tcBorders>
            <w:shd w:val="clear" w:color="000000" w:fill="FFFFFF"/>
            <w:noWrap/>
            <w:hideMark/>
          </w:tcPr>
          <w:p w14:paraId="66292D1F" w14:textId="77777777" w:rsidR="00B924EA" w:rsidRDefault="00B924EA">
            <w:pPr>
              <w:jc w:val="right"/>
              <w:rPr>
                <w:noProof/>
                <w:color w:val="000000"/>
                <w:sz w:val="20"/>
                <w:szCs w:val="20"/>
              </w:rPr>
            </w:pPr>
            <w:r>
              <w:rPr>
                <w:noProof/>
                <w:color w:val="000000"/>
                <w:sz w:val="20"/>
                <w:szCs w:val="20"/>
              </w:rPr>
              <w:t xml:space="preserve">          6.9 </w:t>
            </w:r>
          </w:p>
        </w:tc>
      </w:tr>
      <w:tr w:rsidR="00B924EA" w14:paraId="511BB370" w14:textId="77777777" w:rsidTr="00B924EA">
        <w:trPr>
          <w:trHeight w:val="255"/>
        </w:trPr>
        <w:tc>
          <w:tcPr>
            <w:tcW w:w="2975" w:type="pct"/>
            <w:tcBorders>
              <w:top w:val="nil"/>
              <w:left w:val="single" w:sz="4" w:space="0" w:color="auto"/>
              <w:bottom w:val="single" w:sz="4" w:space="0" w:color="auto"/>
              <w:right w:val="single" w:sz="4" w:space="0" w:color="auto"/>
            </w:tcBorders>
            <w:shd w:val="clear" w:color="000000" w:fill="F2F2F2"/>
            <w:noWrap/>
            <w:hideMark/>
          </w:tcPr>
          <w:p w14:paraId="3C5CA661" w14:textId="77777777" w:rsidR="00B924EA" w:rsidRDefault="00B924EA">
            <w:pPr>
              <w:rPr>
                <w:b/>
                <w:bCs/>
                <w:noProof/>
                <w:color w:val="000000"/>
                <w:sz w:val="20"/>
                <w:szCs w:val="20"/>
              </w:rPr>
            </w:pPr>
            <w:r>
              <w:rPr>
                <w:b/>
                <w:bCs/>
                <w:noProof/>
                <w:color w:val="000000"/>
                <w:sz w:val="20"/>
                <w:szCs w:val="20"/>
              </w:rPr>
              <w:t>Net benefit</w:t>
            </w:r>
          </w:p>
        </w:tc>
        <w:tc>
          <w:tcPr>
            <w:tcW w:w="506" w:type="pct"/>
            <w:tcBorders>
              <w:top w:val="nil"/>
              <w:left w:val="nil"/>
              <w:bottom w:val="single" w:sz="4" w:space="0" w:color="auto"/>
              <w:right w:val="single" w:sz="4" w:space="0" w:color="auto"/>
            </w:tcBorders>
            <w:shd w:val="clear" w:color="000000" w:fill="F2F2F2"/>
            <w:noWrap/>
            <w:hideMark/>
          </w:tcPr>
          <w:p w14:paraId="4967B6D9" w14:textId="77777777" w:rsidR="00B924EA" w:rsidRDefault="00B924EA">
            <w:pPr>
              <w:jc w:val="right"/>
              <w:rPr>
                <w:b/>
                <w:bCs/>
                <w:noProof/>
                <w:color w:val="000000"/>
                <w:sz w:val="20"/>
                <w:szCs w:val="20"/>
              </w:rPr>
            </w:pPr>
            <w:r>
              <w:rPr>
                <w:b/>
                <w:bCs/>
                <w:noProof/>
                <w:color w:val="000000"/>
                <w:sz w:val="20"/>
                <w:szCs w:val="20"/>
              </w:rPr>
              <w:t xml:space="preserve">          9.2 </w:t>
            </w:r>
          </w:p>
        </w:tc>
        <w:tc>
          <w:tcPr>
            <w:tcW w:w="506" w:type="pct"/>
            <w:tcBorders>
              <w:top w:val="nil"/>
              <w:left w:val="nil"/>
              <w:bottom w:val="single" w:sz="4" w:space="0" w:color="auto"/>
              <w:right w:val="single" w:sz="4" w:space="0" w:color="auto"/>
            </w:tcBorders>
            <w:shd w:val="clear" w:color="000000" w:fill="F2F2F2"/>
            <w:noWrap/>
            <w:hideMark/>
          </w:tcPr>
          <w:p w14:paraId="2ADE73FB" w14:textId="77777777" w:rsidR="00B924EA" w:rsidRDefault="00B924EA">
            <w:pPr>
              <w:jc w:val="right"/>
              <w:rPr>
                <w:b/>
                <w:bCs/>
                <w:noProof/>
                <w:color w:val="000000"/>
                <w:sz w:val="20"/>
                <w:szCs w:val="20"/>
              </w:rPr>
            </w:pPr>
            <w:r>
              <w:rPr>
                <w:b/>
                <w:bCs/>
                <w:noProof/>
                <w:color w:val="000000"/>
                <w:sz w:val="20"/>
                <w:szCs w:val="20"/>
              </w:rPr>
              <w:t xml:space="preserve">     101.0 </w:t>
            </w:r>
          </w:p>
        </w:tc>
        <w:tc>
          <w:tcPr>
            <w:tcW w:w="506" w:type="pct"/>
            <w:tcBorders>
              <w:top w:val="nil"/>
              <w:left w:val="nil"/>
              <w:bottom w:val="single" w:sz="4" w:space="0" w:color="auto"/>
              <w:right w:val="single" w:sz="4" w:space="0" w:color="auto"/>
            </w:tcBorders>
            <w:shd w:val="clear" w:color="000000" w:fill="F2F2F2"/>
            <w:noWrap/>
            <w:hideMark/>
          </w:tcPr>
          <w:p w14:paraId="33143329" w14:textId="77777777" w:rsidR="00B924EA" w:rsidRDefault="00B924EA">
            <w:pPr>
              <w:jc w:val="right"/>
              <w:rPr>
                <w:b/>
                <w:bCs/>
                <w:noProof/>
                <w:color w:val="000000"/>
                <w:sz w:val="20"/>
                <w:szCs w:val="20"/>
              </w:rPr>
            </w:pPr>
            <w:r>
              <w:rPr>
                <w:b/>
                <w:bCs/>
                <w:noProof/>
                <w:color w:val="000000"/>
                <w:sz w:val="20"/>
                <w:szCs w:val="20"/>
              </w:rPr>
              <w:t xml:space="preserve">       90.5 </w:t>
            </w:r>
          </w:p>
        </w:tc>
        <w:tc>
          <w:tcPr>
            <w:tcW w:w="506" w:type="pct"/>
            <w:tcBorders>
              <w:top w:val="nil"/>
              <w:left w:val="nil"/>
              <w:bottom w:val="single" w:sz="4" w:space="0" w:color="auto"/>
              <w:right w:val="single" w:sz="4" w:space="0" w:color="auto"/>
            </w:tcBorders>
            <w:shd w:val="clear" w:color="000000" w:fill="F2F2F2"/>
            <w:noWrap/>
            <w:hideMark/>
          </w:tcPr>
          <w:p w14:paraId="28FB709B" w14:textId="77777777" w:rsidR="00B924EA" w:rsidRDefault="00B924EA">
            <w:pPr>
              <w:jc w:val="right"/>
              <w:rPr>
                <w:b/>
                <w:bCs/>
                <w:noProof/>
                <w:color w:val="000000"/>
                <w:sz w:val="20"/>
                <w:szCs w:val="20"/>
              </w:rPr>
            </w:pPr>
            <w:r>
              <w:rPr>
                <w:b/>
                <w:bCs/>
                <w:noProof/>
                <w:color w:val="000000"/>
                <w:sz w:val="20"/>
                <w:szCs w:val="20"/>
              </w:rPr>
              <w:t xml:space="preserve">       95.7 </w:t>
            </w:r>
          </w:p>
        </w:tc>
      </w:tr>
    </w:tbl>
    <w:p w14:paraId="0B4E24A3" w14:textId="6B13021A" w:rsidR="00896EF4" w:rsidRPr="00C673A4" w:rsidRDefault="0051040C" w:rsidP="00C673A4">
      <w:pPr>
        <w:tabs>
          <w:tab w:val="left" w:pos="2302"/>
        </w:tabs>
        <w:spacing w:after="240"/>
        <w:jc w:val="both"/>
        <w:rPr>
          <w:i/>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4A495C81" w14:textId="5E60B87D" w:rsidR="009E7BF9" w:rsidRPr="00C673A4" w:rsidRDefault="00AC2BEF" w:rsidP="009E7BF9">
      <w:pPr>
        <w:pStyle w:val="BodyText"/>
        <w:spacing w:after="240"/>
        <w:ind w:left="0"/>
        <w:rPr>
          <w:noProof/>
          <w:spacing w:val="-8"/>
        </w:rPr>
      </w:pPr>
      <w:r>
        <w:rPr>
          <w:b/>
          <w:bCs/>
          <w:i/>
          <w:iCs/>
          <w:noProof/>
          <w:spacing w:val="-8"/>
        </w:rPr>
        <w:t>A</w:t>
      </w:r>
      <w:r w:rsidR="009E7BF9">
        <w:rPr>
          <w:b/>
          <w:bCs/>
          <w:i/>
          <w:iCs/>
          <w:noProof/>
          <w:spacing w:val="-8"/>
        </w:rPr>
        <w:t>djustment c</w:t>
      </w:r>
      <w:r w:rsidR="009E7BF9" w:rsidRPr="00807A95">
        <w:rPr>
          <w:b/>
          <w:bCs/>
          <w:i/>
          <w:iCs/>
          <w:noProof/>
          <w:spacing w:val="-8"/>
        </w:rPr>
        <w:t xml:space="preserve">osts </w:t>
      </w:r>
      <w:r w:rsidR="009E7BF9">
        <w:rPr>
          <w:b/>
          <w:bCs/>
          <w:i/>
          <w:iCs/>
          <w:noProof/>
          <w:spacing w:val="-8"/>
        </w:rPr>
        <w:t xml:space="preserve">savings </w:t>
      </w:r>
      <w:r w:rsidR="009E7BF9" w:rsidRPr="00807A95">
        <w:rPr>
          <w:b/>
          <w:bCs/>
          <w:i/>
          <w:iCs/>
          <w:noProof/>
          <w:spacing w:val="-8"/>
        </w:rPr>
        <w:t xml:space="preserve">for </w:t>
      </w:r>
      <w:r w:rsidR="009E7BF9">
        <w:rPr>
          <w:b/>
          <w:bCs/>
          <w:i/>
          <w:iCs/>
          <w:noProof/>
          <w:spacing w:val="-8"/>
        </w:rPr>
        <w:t>SME transport operators</w:t>
      </w:r>
      <w:r w:rsidR="009E7BF9" w:rsidRPr="00807A95">
        <w:rPr>
          <w:b/>
          <w:bCs/>
          <w:i/>
          <w:iCs/>
          <w:noProof/>
          <w:spacing w:val="-8"/>
        </w:rPr>
        <w:t>.</w:t>
      </w:r>
      <w:r w:rsidR="00454767">
        <w:rPr>
          <w:b/>
          <w:bCs/>
          <w:i/>
          <w:iCs/>
          <w:noProof/>
          <w:spacing w:val="-8"/>
        </w:rPr>
        <w:t xml:space="preserve"> </w:t>
      </w:r>
      <w:r w:rsidR="0045695D">
        <w:rPr>
          <w:noProof/>
          <w:spacing w:val="-8"/>
        </w:rPr>
        <w:t xml:space="preserve">As for SME MDMS platforms, </w:t>
      </w:r>
      <w:r w:rsidR="004D2F4A">
        <w:rPr>
          <w:noProof/>
          <w:spacing w:val="-8"/>
        </w:rPr>
        <w:t xml:space="preserve">in all policy options, </w:t>
      </w:r>
      <w:r w:rsidR="0045695D">
        <w:rPr>
          <w:noProof/>
          <w:spacing w:val="-8"/>
        </w:rPr>
        <w:t xml:space="preserve">SME transport operators will </w:t>
      </w:r>
      <w:r w:rsidR="00BF2B13">
        <w:rPr>
          <w:noProof/>
          <w:spacing w:val="-8"/>
        </w:rPr>
        <w:t xml:space="preserve">also </w:t>
      </w:r>
      <w:r w:rsidR="0045695D">
        <w:rPr>
          <w:noProof/>
          <w:spacing w:val="-8"/>
        </w:rPr>
        <w:t xml:space="preserve">benefit from the introduction of commercial </w:t>
      </w:r>
      <w:r w:rsidR="007C0ECF">
        <w:rPr>
          <w:noProof/>
          <w:spacing w:val="-8"/>
        </w:rPr>
        <w:t xml:space="preserve">agreement </w:t>
      </w:r>
      <w:r w:rsidR="0045695D">
        <w:rPr>
          <w:noProof/>
          <w:spacing w:val="-8"/>
        </w:rPr>
        <w:t>rules</w:t>
      </w:r>
      <w:r w:rsidR="00BF2B13">
        <w:rPr>
          <w:noProof/>
          <w:spacing w:val="-8"/>
        </w:rPr>
        <w:t xml:space="preserve"> for indispensable MDMS platforms (PM11) and indispensable RUs</w:t>
      </w:r>
      <w:r w:rsidR="00D54B46">
        <w:rPr>
          <w:noProof/>
          <w:spacing w:val="-8"/>
        </w:rPr>
        <w:t xml:space="preserve"> </w:t>
      </w:r>
      <w:r w:rsidR="00BF2B13">
        <w:rPr>
          <w:noProof/>
          <w:spacing w:val="-8"/>
        </w:rPr>
        <w:t>(PM12)</w:t>
      </w:r>
      <w:r w:rsidR="007C0ECF">
        <w:rPr>
          <w:noProof/>
          <w:spacing w:val="-8"/>
        </w:rPr>
        <w:t xml:space="preserve">. </w:t>
      </w:r>
      <w:r w:rsidR="003D1A62">
        <w:rPr>
          <w:noProof/>
          <w:spacing w:val="-8"/>
        </w:rPr>
        <w:t xml:space="preserve">As for SME MDMS platforms, </w:t>
      </w:r>
      <w:r w:rsidR="009425FA">
        <w:rPr>
          <w:noProof/>
          <w:spacing w:val="-8"/>
        </w:rPr>
        <w:t>a</w:t>
      </w:r>
      <w:r w:rsidR="008A3C8A">
        <w:rPr>
          <w:noProof/>
          <w:spacing w:val="-8"/>
        </w:rPr>
        <w:t>djustment costs savings for SME transport operators</w:t>
      </w:r>
      <w:r w:rsidR="00F5303D">
        <w:rPr>
          <w:noProof/>
          <w:spacing w:val="-8"/>
        </w:rPr>
        <w:t>, expressed as present value over 2028-2050 relative to the baseline,</w:t>
      </w:r>
      <w:r w:rsidR="008A3C8A">
        <w:rPr>
          <w:noProof/>
          <w:spacing w:val="-8"/>
        </w:rPr>
        <w:t xml:space="preserve"> are estimates </w:t>
      </w:r>
      <w:r w:rsidR="00024171">
        <w:rPr>
          <w:noProof/>
          <w:spacing w:val="-8"/>
        </w:rPr>
        <w:t xml:space="preserve">to be the highest in </w:t>
      </w:r>
      <w:r w:rsidR="00543F63">
        <w:rPr>
          <w:noProof/>
          <w:spacing w:val="-8"/>
        </w:rPr>
        <w:t xml:space="preserve">PO2 </w:t>
      </w:r>
      <w:r w:rsidR="00024171">
        <w:rPr>
          <w:noProof/>
          <w:spacing w:val="-8"/>
        </w:rPr>
        <w:t xml:space="preserve">(EUR </w:t>
      </w:r>
      <w:r w:rsidR="00711A43">
        <w:rPr>
          <w:noProof/>
          <w:spacing w:val="-8"/>
        </w:rPr>
        <w:t>107</w:t>
      </w:r>
      <w:r w:rsidR="00024171">
        <w:rPr>
          <w:noProof/>
          <w:spacing w:val="-8"/>
        </w:rPr>
        <w:t xml:space="preserve"> million), followed by </w:t>
      </w:r>
      <w:r w:rsidR="00670BAC">
        <w:rPr>
          <w:noProof/>
          <w:spacing w:val="-8"/>
        </w:rPr>
        <w:t xml:space="preserve">PO4 (EUR </w:t>
      </w:r>
      <w:r w:rsidR="00711A43">
        <w:rPr>
          <w:noProof/>
          <w:spacing w:val="-8"/>
        </w:rPr>
        <w:t>102.5</w:t>
      </w:r>
      <w:r w:rsidR="00670BAC">
        <w:rPr>
          <w:noProof/>
          <w:spacing w:val="-8"/>
        </w:rPr>
        <w:t xml:space="preserve"> million), </w:t>
      </w:r>
      <w:r w:rsidR="00DA7B91">
        <w:rPr>
          <w:noProof/>
          <w:spacing w:val="-8"/>
        </w:rPr>
        <w:t xml:space="preserve">PO3 </w:t>
      </w:r>
      <w:r w:rsidR="00670BAC">
        <w:rPr>
          <w:noProof/>
          <w:spacing w:val="-8"/>
        </w:rPr>
        <w:t xml:space="preserve">(EUR </w:t>
      </w:r>
      <w:r w:rsidR="00DA7B91">
        <w:rPr>
          <w:noProof/>
          <w:spacing w:val="-8"/>
        </w:rPr>
        <w:t>96.1</w:t>
      </w:r>
      <w:r w:rsidR="00670BAC">
        <w:rPr>
          <w:noProof/>
          <w:spacing w:val="-8"/>
        </w:rPr>
        <w:t xml:space="preserve"> million) and PO1 (</w:t>
      </w:r>
      <w:r w:rsidR="00610872">
        <w:rPr>
          <w:noProof/>
          <w:spacing w:val="-8"/>
        </w:rPr>
        <w:t xml:space="preserve">EUR </w:t>
      </w:r>
      <w:r w:rsidR="00AC64AD">
        <w:rPr>
          <w:noProof/>
          <w:spacing w:val="-8"/>
        </w:rPr>
        <w:t>9.4</w:t>
      </w:r>
      <w:r w:rsidR="00610872">
        <w:rPr>
          <w:noProof/>
          <w:spacing w:val="-8"/>
        </w:rPr>
        <w:t xml:space="preserve"> million</w:t>
      </w:r>
      <w:r w:rsidR="00670BAC">
        <w:rPr>
          <w:noProof/>
          <w:spacing w:val="-8"/>
        </w:rPr>
        <w:t>)</w:t>
      </w:r>
      <w:r w:rsidR="00EE4A82">
        <w:rPr>
          <w:noProof/>
          <w:spacing w:val="-8"/>
        </w:rPr>
        <w:t xml:space="preserve">. </w:t>
      </w:r>
      <w:r w:rsidR="006C27D8">
        <w:rPr>
          <w:noProof/>
          <w:spacing w:val="-8"/>
        </w:rPr>
        <w:t xml:space="preserve"> </w:t>
      </w:r>
    </w:p>
    <w:p w14:paraId="223992E9" w14:textId="5C49AF0F" w:rsidR="009E7BF9" w:rsidRDefault="009E7BF9" w:rsidP="009E7BF9">
      <w:pPr>
        <w:pStyle w:val="Text2"/>
        <w:spacing w:after="0"/>
        <w:ind w:left="0"/>
        <w:rPr>
          <w:rFonts w:cs="Times New Roman"/>
          <w:i/>
          <w:noProof/>
          <w:sz w:val="22"/>
          <w:szCs w:val="22"/>
        </w:rPr>
      </w:pPr>
      <w:r w:rsidRPr="006333F0">
        <w:rPr>
          <w:rFonts w:cs="Times New Roman"/>
          <w:i/>
          <w:noProof/>
          <w:sz w:val="22"/>
          <w:szCs w:val="22"/>
        </w:rPr>
        <w:t xml:space="preserve">Table </w:t>
      </w:r>
      <w:r w:rsidRPr="006333F0">
        <w:rPr>
          <w:rFonts w:cs="Times New Roman"/>
          <w:i/>
          <w:iCs/>
          <w:noProof/>
          <w:sz w:val="22"/>
          <w:szCs w:val="22"/>
        </w:rPr>
        <w:fldChar w:fldCharType="begin"/>
      </w:r>
      <w:r w:rsidRPr="006333F0">
        <w:rPr>
          <w:rFonts w:cs="Times New Roman"/>
          <w:i/>
          <w:iCs/>
          <w:noProof/>
          <w:sz w:val="22"/>
          <w:szCs w:val="22"/>
        </w:rPr>
        <w:instrText xml:space="preserve"> SEQ Table \* ARABIC </w:instrText>
      </w:r>
      <w:r w:rsidRPr="006333F0">
        <w:rPr>
          <w:rFonts w:cs="Times New Roman"/>
          <w:i/>
          <w:iCs/>
          <w:noProof/>
          <w:sz w:val="22"/>
          <w:szCs w:val="22"/>
        </w:rPr>
        <w:fldChar w:fldCharType="separate"/>
      </w:r>
      <w:r w:rsidR="0055391F">
        <w:rPr>
          <w:rFonts w:cs="Times New Roman"/>
          <w:i/>
          <w:iCs/>
          <w:noProof/>
          <w:sz w:val="22"/>
          <w:szCs w:val="22"/>
        </w:rPr>
        <w:t>13</w:t>
      </w:r>
      <w:r w:rsidRPr="006333F0">
        <w:rPr>
          <w:rFonts w:cs="Times New Roman"/>
          <w:i/>
          <w:iCs/>
          <w:noProof/>
          <w:sz w:val="22"/>
          <w:szCs w:val="22"/>
        </w:rPr>
        <w:fldChar w:fldCharType="end"/>
      </w:r>
      <w:r w:rsidRPr="006333F0">
        <w:rPr>
          <w:rFonts w:cs="Times New Roman"/>
          <w:i/>
          <w:noProof/>
          <w:sz w:val="22"/>
          <w:szCs w:val="22"/>
        </w:rPr>
        <w:t xml:space="preserve">: </w:t>
      </w:r>
      <w:r>
        <w:rPr>
          <w:rFonts w:cs="Times New Roman"/>
          <w:i/>
          <w:noProof/>
          <w:sz w:val="22"/>
          <w:szCs w:val="22"/>
        </w:rPr>
        <w:t>R</w:t>
      </w:r>
      <w:r w:rsidRPr="006333F0">
        <w:rPr>
          <w:rFonts w:cs="Times New Roman"/>
          <w:i/>
          <w:noProof/>
          <w:sz w:val="22"/>
          <w:szCs w:val="22"/>
        </w:rPr>
        <w:t xml:space="preserve">ecurrent </w:t>
      </w:r>
      <w:r>
        <w:rPr>
          <w:rFonts w:cs="Times New Roman"/>
          <w:i/>
          <w:noProof/>
          <w:sz w:val="22"/>
          <w:szCs w:val="22"/>
        </w:rPr>
        <w:t xml:space="preserve">adjustment </w:t>
      </w:r>
      <w:r w:rsidRPr="006333F0">
        <w:rPr>
          <w:rFonts w:cs="Times New Roman"/>
          <w:i/>
          <w:noProof/>
          <w:sz w:val="22"/>
          <w:szCs w:val="22"/>
        </w:rPr>
        <w:t>costs</w:t>
      </w:r>
      <w:r>
        <w:rPr>
          <w:rFonts w:cs="Times New Roman"/>
          <w:i/>
          <w:noProof/>
          <w:sz w:val="22"/>
          <w:szCs w:val="22"/>
        </w:rPr>
        <w:t xml:space="preserve"> savings</w:t>
      </w:r>
      <w:r w:rsidRPr="006333F0">
        <w:rPr>
          <w:rFonts w:cs="Times New Roman"/>
          <w:i/>
          <w:noProof/>
          <w:sz w:val="22"/>
          <w:szCs w:val="22"/>
        </w:rPr>
        <w:t xml:space="preserve"> for </w:t>
      </w:r>
      <w:r w:rsidR="00BA27CE">
        <w:rPr>
          <w:rFonts w:cs="Times New Roman"/>
          <w:i/>
          <w:noProof/>
          <w:sz w:val="22"/>
          <w:szCs w:val="22"/>
        </w:rPr>
        <w:t>SME transport operators</w:t>
      </w:r>
      <w:r w:rsidRPr="006333F0">
        <w:rPr>
          <w:rFonts w:cs="Times New Roman"/>
          <w:i/>
          <w:noProof/>
          <w:sz w:val="22"/>
          <w:szCs w:val="22"/>
        </w:rPr>
        <w:t xml:space="preserve"> in the POs relative to the baseline (EU27),</w:t>
      </w:r>
      <w:r>
        <w:rPr>
          <w:rFonts w:cs="Times New Roman"/>
          <w:i/>
          <w:noProof/>
          <w:sz w:val="22"/>
          <w:szCs w:val="22"/>
        </w:rPr>
        <w:t xml:space="preserve"> expressed as present value over 2028-2050,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p>
    <w:tbl>
      <w:tblPr>
        <w:tblW w:w="5000" w:type="pct"/>
        <w:tblLook w:val="04A0" w:firstRow="1" w:lastRow="0" w:firstColumn="1" w:lastColumn="0" w:noHBand="0" w:noVBand="1"/>
      </w:tblPr>
      <w:tblGrid>
        <w:gridCol w:w="5713"/>
        <w:gridCol w:w="972"/>
        <w:gridCol w:w="972"/>
        <w:gridCol w:w="972"/>
        <w:gridCol w:w="974"/>
      </w:tblGrid>
      <w:tr w:rsidR="00240657" w14:paraId="11C6900E" w14:textId="77777777" w:rsidTr="00240657">
        <w:trPr>
          <w:trHeight w:val="255"/>
          <w:tblHeader/>
        </w:trPr>
        <w:tc>
          <w:tcPr>
            <w:tcW w:w="2975"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74FF8E63" w14:textId="77777777" w:rsidR="00240657" w:rsidRDefault="00240657">
            <w:pPr>
              <w:jc w:val="center"/>
              <w:rPr>
                <w:b/>
                <w:bCs/>
                <w:noProof/>
                <w:color w:val="FFFFFF"/>
                <w:sz w:val="20"/>
                <w:szCs w:val="20"/>
              </w:rPr>
            </w:pPr>
            <w:r>
              <w:rPr>
                <w:b/>
                <w:bCs/>
                <w:noProof/>
                <w:color w:val="FFFFFF"/>
                <w:sz w:val="20"/>
                <w:szCs w:val="20"/>
              </w:rPr>
              <w:t> </w:t>
            </w:r>
          </w:p>
        </w:tc>
        <w:tc>
          <w:tcPr>
            <w:tcW w:w="2025" w:type="pct"/>
            <w:gridSpan w:val="4"/>
            <w:tcBorders>
              <w:top w:val="single" w:sz="4" w:space="0" w:color="auto"/>
              <w:left w:val="nil"/>
              <w:bottom w:val="single" w:sz="4" w:space="0" w:color="auto"/>
              <w:right w:val="single" w:sz="4" w:space="0" w:color="auto"/>
            </w:tcBorders>
            <w:shd w:val="clear" w:color="000000" w:fill="0070C0"/>
            <w:hideMark/>
          </w:tcPr>
          <w:p w14:paraId="0B067516" w14:textId="77777777" w:rsidR="00240657" w:rsidRDefault="00240657">
            <w:pPr>
              <w:jc w:val="center"/>
              <w:rPr>
                <w:b/>
                <w:bCs/>
                <w:noProof/>
                <w:color w:val="FFFFFF"/>
                <w:sz w:val="20"/>
                <w:szCs w:val="20"/>
              </w:rPr>
            </w:pPr>
            <w:r>
              <w:rPr>
                <w:b/>
                <w:bCs/>
                <w:noProof/>
                <w:color w:val="FFFFFF"/>
                <w:sz w:val="20"/>
                <w:szCs w:val="20"/>
              </w:rPr>
              <w:t>Difference to baseline</w:t>
            </w:r>
          </w:p>
        </w:tc>
      </w:tr>
      <w:tr w:rsidR="00240657" w14:paraId="0FCE140A" w14:textId="77777777" w:rsidTr="00240657">
        <w:trPr>
          <w:trHeight w:val="255"/>
          <w:tblHeader/>
        </w:trPr>
        <w:tc>
          <w:tcPr>
            <w:tcW w:w="2975" w:type="pct"/>
            <w:vMerge/>
            <w:tcBorders>
              <w:top w:val="single" w:sz="4" w:space="0" w:color="auto"/>
              <w:left w:val="single" w:sz="4" w:space="0" w:color="auto"/>
              <w:bottom w:val="single" w:sz="4" w:space="0" w:color="auto"/>
              <w:right w:val="single" w:sz="4" w:space="0" w:color="auto"/>
            </w:tcBorders>
            <w:hideMark/>
          </w:tcPr>
          <w:p w14:paraId="0991325F" w14:textId="77777777" w:rsidR="00240657" w:rsidRDefault="00240657">
            <w:pPr>
              <w:rPr>
                <w:b/>
                <w:bCs/>
                <w:noProof/>
                <w:color w:val="FFFFFF"/>
                <w:sz w:val="20"/>
                <w:szCs w:val="20"/>
              </w:rPr>
            </w:pPr>
          </w:p>
        </w:tc>
        <w:tc>
          <w:tcPr>
            <w:tcW w:w="506" w:type="pct"/>
            <w:tcBorders>
              <w:top w:val="nil"/>
              <w:left w:val="nil"/>
              <w:bottom w:val="single" w:sz="4" w:space="0" w:color="auto"/>
              <w:right w:val="single" w:sz="4" w:space="0" w:color="auto"/>
            </w:tcBorders>
            <w:shd w:val="clear" w:color="000000" w:fill="0070C0"/>
            <w:hideMark/>
          </w:tcPr>
          <w:p w14:paraId="22460C5A" w14:textId="77777777" w:rsidR="00240657" w:rsidRDefault="00240657">
            <w:pPr>
              <w:jc w:val="center"/>
              <w:rPr>
                <w:b/>
                <w:bCs/>
                <w:noProof/>
                <w:color w:val="FFFFFF"/>
                <w:sz w:val="20"/>
                <w:szCs w:val="20"/>
              </w:rPr>
            </w:pPr>
            <w:r>
              <w:rPr>
                <w:b/>
                <w:bCs/>
                <w:noProof/>
                <w:color w:val="FFFFFF"/>
                <w:sz w:val="20"/>
                <w:szCs w:val="20"/>
              </w:rPr>
              <w:t>PO1</w:t>
            </w:r>
          </w:p>
        </w:tc>
        <w:tc>
          <w:tcPr>
            <w:tcW w:w="506" w:type="pct"/>
            <w:tcBorders>
              <w:top w:val="nil"/>
              <w:left w:val="nil"/>
              <w:bottom w:val="single" w:sz="4" w:space="0" w:color="auto"/>
              <w:right w:val="single" w:sz="4" w:space="0" w:color="auto"/>
            </w:tcBorders>
            <w:shd w:val="clear" w:color="000000" w:fill="0070C0"/>
            <w:hideMark/>
          </w:tcPr>
          <w:p w14:paraId="7454A81E" w14:textId="77777777" w:rsidR="00240657" w:rsidRDefault="00240657">
            <w:pPr>
              <w:jc w:val="center"/>
              <w:rPr>
                <w:b/>
                <w:bCs/>
                <w:noProof/>
                <w:color w:val="FFFFFF"/>
                <w:sz w:val="20"/>
                <w:szCs w:val="20"/>
              </w:rPr>
            </w:pPr>
            <w:r>
              <w:rPr>
                <w:b/>
                <w:bCs/>
                <w:noProof/>
                <w:color w:val="FFFFFF"/>
                <w:sz w:val="20"/>
                <w:szCs w:val="20"/>
              </w:rPr>
              <w:t>PO2</w:t>
            </w:r>
          </w:p>
        </w:tc>
        <w:tc>
          <w:tcPr>
            <w:tcW w:w="506" w:type="pct"/>
            <w:tcBorders>
              <w:top w:val="nil"/>
              <w:left w:val="nil"/>
              <w:bottom w:val="single" w:sz="4" w:space="0" w:color="auto"/>
              <w:right w:val="single" w:sz="4" w:space="0" w:color="auto"/>
            </w:tcBorders>
            <w:shd w:val="clear" w:color="000000" w:fill="0070C0"/>
            <w:hideMark/>
          </w:tcPr>
          <w:p w14:paraId="6EC2756A" w14:textId="77777777" w:rsidR="00240657" w:rsidRDefault="00240657">
            <w:pPr>
              <w:jc w:val="center"/>
              <w:rPr>
                <w:b/>
                <w:bCs/>
                <w:noProof/>
                <w:color w:val="FFFFFF"/>
                <w:sz w:val="20"/>
                <w:szCs w:val="20"/>
              </w:rPr>
            </w:pPr>
            <w:r>
              <w:rPr>
                <w:b/>
                <w:bCs/>
                <w:noProof/>
                <w:color w:val="FFFFFF"/>
                <w:sz w:val="20"/>
                <w:szCs w:val="20"/>
              </w:rPr>
              <w:t>PO3</w:t>
            </w:r>
          </w:p>
        </w:tc>
        <w:tc>
          <w:tcPr>
            <w:tcW w:w="506" w:type="pct"/>
            <w:tcBorders>
              <w:top w:val="nil"/>
              <w:left w:val="nil"/>
              <w:bottom w:val="single" w:sz="4" w:space="0" w:color="auto"/>
              <w:right w:val="single" w:sz="4" w:space="0" w:color="auto"/>
            </w:tcBorders>
            <w:shd w:val="clear" w:color="000000" w:fill="0070C0"/>
            <w:hideMark/>
          </w:tcPr>
          <w:p w14:paraId="351F60B7" w14:textId="77777777" w:rsidR="00240657" w:rsidRDefault="00240657">
            <w:pPr>
              <w:jc w:val="center"/>
              <w:rPr>
                <w:b/>
                <w:bCs/>
                <w:noProof/>
                <w:color w:val="FFFFFF"/>
                <w:sz w:val="20"/>
                <w:szCs w:val="20"/>
              </w:rPr>
            </w:pPr>
            <w:r>
              <w:rPr>
                <w:b/>
                <w:bCs/>
                <w:noProof/>
                <w:color w:val="FFFFFF"/>
                <w:sz w:val="20"/>
                <w:szCs w:val="20"/>
              </w:rPr>
              <w:t>PO4</w:t>
            </w:r>
          </w:p>
        </w:tc>
      </w:tr>
      <w:tr w:rsidR="00240657" w14:paraId="2A3690C5" w14:textId="77777777" w:rsidTr="00240657">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6FE38904" w14:textId="77777777" w:rsidR="00240657" w:rsidRDefault="00240657">
            <w:pPr>
              <w:rPr>
                <w:b/>
                <w:bCs/>
                <w:noProof/>
                <w:sz w:val="20"/>
                <w:szCs w:val="20"/>
              </w:rPr>
            </w:pPr>
            <w:r>
              <w:rPr>
                <w:b/>
                <w:bCs/>
                <w:noProof/>
                <w:sz w:val="20"/>
                <w:szCs w:val="20"/>
              </w:rPr>
              <w:t>Adjustment cost savings</w:t>
            </w:r>
          </w:p>
        </w:tc>
        <w:tc>
          <w:tcPr>
            <w:tcW w:w="506" w:type="pct"/>
            <w:tcBorders>
              <w:top w:val="nil"/>
              <w:left w:val="nil"/>
              <w:bottom w:val="single" w:sz="4" w:space="0" w:color="auto"/>
              <w:right w:val="single" w:sz="4" w:space="0" w:color="auto"/>
            </w:tcBorders>
            <w:shd w:val="clear" w:color="000000" w:fill="BDE3FF"/>
            <w:hideMark/>
          </w:tcPr>
          <w:p w14:paraId="070C3FF0" w14:textId="77777777" w:rsidR="00240657" w:rsidRDefault="00240657">
            <w:pPr>
              <w:rPr>
                <w:b/>
                <w:bCs/>
                <w:noProof/>
                <w:sz w:val="20"/>
                <w:szCs w:val="20"/>
              </w:rPr>
            </w:pPr>
            <w:r>
              <w:rPr>
                <w:b/>
                <w:bCs/>
                <w:noProof/>
                <w:sz w:val="20"/>
                <w:szCs w:val="20"/>
              </w:rPr>
              <w:t xml:space="preserve">          9.4 </w:t>
            </w:r>
          </w:p>
        </w:tc>
        <w:tc>
          <w:tcPr>
            <w:tcW w:w="506" w:type="pct"/>
            <w:tcBorders>
              <w:top w:val="nil"/>
              <w:left w:val="nil"/>
              <w:bottom w:val="single" w:sz="4" w:space="0" w:color="auto"/>
              <w:right w:val="single" w:sz="4" w:space="0" w:color="auto"/>
            </w:tcBorders>
            <w:shd w:val="clear" w:color="000000" w:fill="BDE3FF"/>
            <w:hideMark/>
          </w:tcPr>
          <w:p w14:paraId="7BFD99CC" w14:textId="77777777" w:rsidR="00240657" w:rsidRDefault="00240657">
            <w:pPr>
              <w:rPr>
                <w:b/>
                <w:bCs/>
                <w:noProof/>
                <w:sz w:val="20"/>
                <w:szCs w:val="20"/>
              </w:rPr>
            </w:pPr>
            <w:r>
              <w:rPr>
                <w:b/>
                <w:bCs/>
                <w:noProof/>
                <w:sz w:val="20"/>
                <w:szCs w:val="20"/>
              </w:rPr>
              <w:t xml:space="preserve">     107.0 </w:t>
            </w:r>
          </w:p>
        </w:tc>
        <w:tc>
          <w:tcPr>
            <w:tcW w:w="506" w:type="pct"/>
            <w:tcBorders>
              <w:top w:val="nil"/>
              <w:left w:val="nil"/>
              <w:bottom w:val="single" w:sz="4" w:space="0" w:color="auto"/>
              <w:right w:val="single" w:sz="4" w:space="0" w:color="auto"/>
            </w:tcBorders>
            <w:shd w:val="clear" w:color="000000" w:fill="BDE3FF"/>
            <w:hideMark/>
          </w:tcPr>
          <w:p w14:paraId="4B022F7A" w14:textId="77777777" w:rsidR="00240657" w:rsidRDefault="00240657">
            <w:pPr>
              <w:rPr>
                <w:b/>
                <w:bCs/>
                <w:noProof/>
                <w:sz w:val="20"/>
                <w:szCs w:val="20"/>
              </w:rPr>
            </w:pPr>
            <w:r>
              <w:rPr>
                <w:b/>
                <w:bCs/>
                <w:noProof/>
                <w:sz w:val="20"/>
                <w:szCs w:val="20"/>
              </w:rPr>
              <w:t xml:space="preserve">       96.1 </w:t>
            </w:r>
          </w:p>
        </w:tc>
        <w:tc>
          <w:tcPr>
            <w:tcW w:w="506" w:type="pct"/>
            <w:tcBorders>
              <w:top w:val="nil"/>
              <w:left w:val="nil"/>
              <w:bottom w:val="single" w:sz="4" w:space="0" w:color="auto"/>
              <w:right w:val="single" w:sz="4" w:space="0" w:color="auto"/>
            </w:tcBorders>
            <w:shd w:val="clear" w:color="000000" w:fill="BDE3FF"/>
            <w:hideMark/>
          </w:tcPr>
          <w:p w14:paraId="2DE44BA4" w14:textId="77777777" w:rsidR="00240657" w:rsidRDefault="00240657">
            <w:pPr>
              <w:rPr>
                <w:b/>
                <w:bCs/>
                <w:noProof/>
                <w:sz w:val="20"/>
                <w:szCs w:val="20"/>
              </w:rPr>
            </w:pPr>
            <w:r>
              <w:rPr>
                <w:b/>
                <w:bCs/>
                <w:noProof/>
                <w:sz w:val="20"/>
                <w:szCs w:val="20"/>
              </w:rPr>
              <w:t xml:space="preserve">     102.5 </w:t>
            </w:r>
          </w:p>
        </w:tc>
      </w:tr>
      <w:tr w:rsidR="003503B5" w14:paraId="25EED5B4" w14:textId="77777777" w:rsidTr="00240657">
        <w:trPr>
          <w:trHeight w:val="300"/>
        </w:trPr>
        <w:tc>
          <w:tcPr>
            <w:tcW w:w="2975" w:type="pct"/>
            <w:tcBorders>
              <w:top w:val="nil"/>
              <w:left w:val="single" w:sz="4" w:space="0" w:color="auto"/>
              <w:bottom w:val="single" w:sz="4" w:space="0" w:color="auto"/>
              <w:right w:val="single" w:sz="4" w:space="0" w:color="auto"/>
            </w:tcBorders>
            <w:hideMark/>
          </w:tcPr>
          <w:p w14:paraId="0A5CA645" w14:textId="77777777" w:rsidR="00240657" w:rsidRDefault="00240657">
            <w:pPr>
              <w:rPr>
                <w:noProof/>
                <w:color w:val="000000"/>
                <w:sz w:val="20"/>
                <w:szCs w:val="20"/>
              </w:rPr>
            </w:pPr>
            <w:r>
              <w:rPr>
                <w:noProof/>
                <w:color w:val="000000"/>
                <w:sz w:val="20"/>
                <w:szCs w:val="20"/>
              </w:rPr>
              <w:t>PM11 (Commercial agreement rules indispensable MDMS)</w:t>
            </w:r>
          </w:p>
        </w:tc>
        <w:tc>
          <w:tcPr>
            <w:tcW w:w="506" w:type="pct"/>
            <w:tcBorders>
              <w:top w:val="nil"/>
              <w:left w:val="nil"/>
              <w:bottom w:val="single" w:sz="4" w:space="0" w:color="auto"/>
              <w:right w:val="single" w:sz="4" w:space="0" w:color="auto"/>
            </w:tcBorders>
            <w:shd w:val="clear" w:color="000000" w:fill="FFFFFF"/>
            <w:noWrap/>
            <w:hideMark/>
          </w:tcPr>
          <w:p w14:paraId="1F634A3C" w14:textId="77777777" w:rsidR="00240657" w:rsidRDefault="00240657">
            <w:pPr>
              <w:rPr>
                <w:noProof/>
                <w:color w:val="000000"/>
                <w:sz w:val="20"/>
                <w:szCs w:val="20"/>
              </w:rPr>
            </w:pPr>
            <w:r>
              <w:rPr>
                <w:noProof/>
                <w:color w:val="000000"/>
                <w:sz w:val="20"/>
                <w:szCs w:val="20"/>
              </w:rPr>
              <w:t xml:space="preserve">          9.4 </w:t>
            </w:r>
          </w:p>
        </w:tc>
        <w:tc>
          <w:tcPr>
            <w:tcW w:w="506" w:type="pct"/>
            <w:tcBorders>
              <w:top w:val="nil"/>
              <w:left w:val="nil"/>
              <w:bottom w:val="single" w:sz="4" w:space="0" w:color="auto"/>
              <w:right w:val="single" w:sz="4" w:space="0" w:color="auto"/>
            </w:tcBorders>
            <w:shd w:val="clear" w:color="000000" w:fill="FFFFFF"/>
            <w:noWrap/>
            <w:hideMark/>
          </w:tcPr>
          <w:p w14:paraId="3F2396DF" w14:textId="77777777" w:rsidR="00240657" w:rsidRDefault="00240657">
            <w:pPr>
              <w:rPr>
                <w:noProof/>
                <w:color w:val="000000"/>
                <w:sz w:val="20"/>
                <w:szCs w:val="20"/>
              </w:rPr>
            </w:pPr>
            <w:r>
              <w:rPr>
                <w:noProof/>
                <w:color w:val="000000"/>
                <w:sz w:val="20"/>
                <w:szCs w:val="20"/>
              </w:rPr>
              <w:t xml:space="preserve">      106.2 </w:t>
            </w:r>
          </w:p>
        </w:tc>
        <w:tc>
          <w:tcPr>
            <w:tcW w:w="506" w:type="pct"/>
            <w:tcBorders>
              <w:top w:val="nil"/>
              <w:left w:val="nil"/>
              <w:bottom w:val="single" w:sz="4" w:space="0" w:color="auto"/>
              <w:right w:val="single" w:sz="4" w:space="0" w:color="auto"/>
            </w:tcBorders>
            <w:shd w:val="clear" w:color="000000" w:fill="FFFFFF"/>
            <w:noWrap/>
            <w:hideMark/>
          </w:tcPr>
          <w:p w14:paraId="535FAFE5" w14:textId="77777777" w:rsidR="00240657" w:rsidRDefault="00240657">
            <w:pPr>
              <w:rPr>
                <w:noProof/>
                <w:color w:val="000000"/>
                <w:sz w:val="20"/>
                <w:szCs w:val="20"/>
              </w:rPr>
            </w:pPr>
            <w:r>
              <w:rPr>
                <w:noProof/>
                <w:color w:val="000000"/>
                <w:sz w:val="20"/>
                <w:szCs w:val="20"/>
              </w:rPr>
              <w:t xml:space="preserve">        95.4 </w:t>
            </w:r>
          </w:p>
        </w:tc>
        <w:tc>
          <w:tcPr>
            <w:tcW w:w="506" w:type="pct"/>
            <w:tcBorders>
              <w:top w:val="nil"/>
              <w:left w:val="nil"/>
              <w:bottom w:val="single" w:sz="4" w:space="0" w:color="auto"/>
              <w:right w:val="single" w:sz="4" w:space="0" w:color="auto"/>
            </w:tcBorders>
            <w:shd w:val="clear" w:color="000000" w:fill="FFFFFF"/>
            <w:noWrap/>
            <w:hideMark/>
          </w:tcPr>
          <w:p w14:paraId="18EBB797" w14:textId="77777777" w:rsidR="00240657" w:rsidRDefault="00240657">
            <w:pPr>
              <w:rPr>
                <w:noProof/>
                <w:color w:val="000000"/>
                <w:sz w:val="20"/>
                <w:szCs w:val="20"/>
              </w:rPr>
            </w:pPr>
            <w:r>
              <w:rPr>
                <w:noProof/>
                <w:color w:val="000000"/>
                <w:sz w:val="20"/>
                <w:szCs w:val="20"/>
              </w:rPr>
              <w:t xml:space="preserve">      101.8 </w:t>
            </w:r>
          </w:p>
        </w:tc>
      </w:tr>
      <w:tr w:rsidR="003503B5" w14:paraId="39A724C0" w14:textId="77777777" w:rsidTr="00240657">
        <w:trPr>
          <w:trHeight w:val="255"/>
        </w:trPr>
        <w:tc>
          <w:tcPr>
            <w:tcW w:w="2975" w:type="pct"/>
            <w:tcBorders>
              <w:top w:val="nil"/>
              <w:left w:val="single" w:sz="4" w:space="0" w:color="auto"/>
              <w:bottom w:val="single" w:sz="4" w:space="0" w:color="auto"/>
              <w:right w:val="single" w:sz="4" w:space="0" w:color="auto"/>
            </w:tcBorders>
            <w:hideMark/>
          </w:tcPr>
          <w:p w14:paraId="5689168F" w14:textId="77777777" w:rsidR="00240657" w:rsidRDefault="00240657">
            <w:pPr>
              <w:rPr>
                <w:noProof/>
                <w:color w:val="000000"/>
                <w:sz w:val="20"/>
                <w:szCs w:val="20"/>
              </w:rPr>
            </w:pPr>
            <w:r>
              <w:rPr>
                <w:noProof/>
                <w:color w:val="000000"/>
                <w:sz w:val="20"/>
                <w:szCs w:val="20"/>
              </w:rPr>
              <w:t>PM12 (Commercial agreement rules indispensable RUs)</w:t>
            </w:r>
          </w:p>
        </w:tc>
        <w:tc>
          <w:tcPr>
            <w:tcW w:w="506" w:type="pct"/>
            <w:tcBorders>
              <w:top w:val="nil"/>
              <w:left w:val="nil"/>
              <w:bottom w:val="single" w:sz="4" w:space="0" w:color="auto"/>
              <w:right w:val="single" w:sz="4" w:space="0" w:color="auto"/>
            </w:tcBorders>
            <w:shd w:val="clear" w:color="000000" w:fill="FFFFFF"/>
            <w:noWrap/>
            <w:hideMark/>
          </w:tcPr>
          <w:p w14:paraId="64334051" w14:textId="77777777" w:rsidR="00240657" w:rsidRDefault="00240657">
            <w:pPr>
              <w:rPr>
                <w:noProof/>
                <w:color w:val="000000"/>
                <w:sz w:val="20"/>
                <w:szCs w:val="20"/>
              </w:rPr>
            </w:pPr>
            <w:r>
              <w:rPr>
                <w:noProof/>
                <w:color w:val="000000"/>
                <w:sz w:val="20"/>
                <w:szCs w:val="20"/>
              </w:rPr>
              <w:t xml:space="preserve">          0.1 </w:t>
            </w:r>
          </w:p>
        </w:tc>
        <w:tc>
          <w:tcPr>
            <w:tcW w:w="506" w:type="pct"/>
            <w:tcBorders>
              <w:top w:val="nil"/>
              <w:left w:val="nil"/>
              <w:bottom w:val="single" w:sz="4" w:space="0" w:color="auto"/>
              <w:right w:val="single" w:sz="4" w:space="0" w:color="auto"/>
            </w:tcBorders>
            <w:shd w:val="clear" w:color="000000" w:fill="FFFFFF"/>
            <w:noWrap/>
            <w:hideMark/>
          </w:tcPr>
          <w:p w14:paraId="1D37517F" w14:textId="77777777" w:rsidR="00240657" w:rsidRDefault="00240657">
            <w:pPr>
              <w:rPr>
                <w:noProof/>
                <w:color w:val="000000"/>
                <w:sz w:val="20"/>
                <w:szCs w:val="20"/>
              </w:rPr>
            </w:pPr>
            <w:r>
              <w:rPr>
                <w:noProof/>
                <w:color w:val="000000"/>
                <w:sz w:val="20"/>
                <w:szCs w:val="20"/>
              </w:rPr>
              <w:t xml:space="preserve">          0.8 </w:t>
            </w:r>
          </w:p>
        </w:tc>
        <w:tc>
          <w:tcPr>
            <w:tcW w:w="506" w:type="pct"/>
            <w:tcBorders>
              <w:top w:val="nil"/>
              <w:left w:val="nil"/>
              <w:bottom w:val="single" w:sz="4" w:space="0" w:color="auto"/>
              <w:right w:val="single" w:sz="4" w:space="0" w:color="auto"/>
            </w:tcBorders>
            <w:shd w:val="clear" w:color="000000" w:fill="FFFFFF"/>
            <w:noWrap/>
            <w:hideMark/>
          </w:tcPr>
          <w:p w14:paraId="6E3E4874" w14:textId="77777777" w:rsidR="00240657" w:rsidRDefault="00240657">
            <w:pPr>
              <w:rPr>
                <w:noProof/>
                <w:color w:val="000000"/>
                <w:sz w:val="20"/>
                <w:szCs w:val="20"/>
              </w:rPr>
            </w:pPr>
            <w:r>
              <w:rPr>
                <w:noProof/>
                <w:color w:val="000000"/>
                <w:sz w:val="20"/>
                <w:szCs w:val="20"/>
              </w:rPr>
              <w:t xml:space="preserve">          0.7 </w:t>
            </w:r>
          </w:p>
        </w:tc>
        <w:tc>
          <w:tcPr>
            <w:tcW w:w="506" w:type="pct"/>
            <w:tcBorders>
              <w:top w:val="nil"/>
              <w:left w:val="nil"/>
              <w:bottom w:val="single" w:sz="4" w:space="0" w:color="auto"/>
              <w:right w:val="single" w:sz="4" w:space="0" w:color="auto"/>
            </w:tcBorders>
            <w:shd w:val="clear" w:color="000000" w:fill="FFFFFF"/>
            <w:noWrap/>
            <w:hideMark/>
          </w:tcPr>
          <w:p w14:paraId="666E89BE" w14:textId="77777777" w:rsidR="00240657" w:rsidRDefault="00240657">
            <w:pPr>
              <w:rPr>
                <w:noProof/>
                <w:color w:val="000000"/>
                <w:sz w:val="20"/>
                <w:szCs w:val="20"/>
              </w:rPr>
            </w:pPr>
            <w:r>
              <w:rPr>
                <w:noProof/>
                <w:color w:val="000000"/>
                <w:sz w:val="20"/>
                <w:szCs w:val="20"/>
              </w:rPr>
              <w:t xml:space="preserve">          0.7 </w:t>
            </w:r>
          </w:p>
        </w:tc>
      </w:tr>
      <w:tr w:rsidR="00240657" w14:paraId="444A0766" w14:textId="77777777" w:rsidTr="00240657">
        <w:trPr>
          <w:trHeight w:val="255"/>
        </w:trPr>
        <w:tc>
          <w:tcPr>
            <w:tcW w:w="2975" w:type="pct"/>
            <w:tcBorders>
              <w:top w:val="nil"/>
              <w:left w:val="single" w:sz="4" w:space="0" w:color="auto"/>
              <w:bottom w:val="single" w:sz="4" w:space="0" w:color="auto"/>
              <w:right w:val="single" w:sz="4" w:space="0" w:color="auto"/>
            </w:tcBorders>
            <w:shd w:val="clear" w:color="000000" w:fill="F2F2F2"/>
            <w:noWrap/>
            <w:hideMark/>
          </w:tcPr>
          <w:p w14:paraId="5C39B4B6" w14:textId="77777777" w:rsidR="00240657" w:rsidRDefault="00240657">
            <w:pPr>
              <w:rPr>
                <w:b/>
                <w:bCs/>
                <w:noProof/>
                <w:color w:val="000000"/>
                <w:sz w:val="20"/>
                <w:szCs w:val="20"/>
              </w:rPr>
            </w:pPr>
            <w:r>
              <w:rPr>
                <w:b/>
                <w:bCs/>
                <w:noProof/>
                <w:color w:val="000000"/>
                <w:sz w:val="20"/>
                <w:szCs w:val="20"/>
              </w:rPr>
              <w:t>Net benefits</w:t>
            </w:r>
          </w:p>
        </w:tc>
        <w:tc>
          <w:tcPr>
            <w:tcW w:w="506" w:type="pct"/>
            <w:tcBorders>
              <w:top w:val="nil"/>
              <w:left w:val="nil"/>
              <w:bottom w:val="single" w:sz="4" w:space="0" w:color="auto"/>
              <w:right w:val="single" w:sz="4" w:space="0" w:color="auto"/>
            </w:tcBorders>
            <w:shd w:val="clear" w:color="000000" w:fill="F2F2F2"/>
            <w:noWrap/>
            <w:hideMark/>
          </w:tcPr>
          <w:p w14:paraId="2CD69797" w14:textId="77777777" w:rsidR="00240657" w:rsidRDefault="00240657">
            <w:pPr>
              <w:rPr>
                <w:b/>
                <w:bCs/>
                <w:noProof/>
                <w:color w:val="000000"/>
                <w:sz w:val="20"/>
                <w:szCs w:val="20"/>
              </w:rPr>
            </w:pPr>
            <w:r>
              <w:rPr>
                <w:b/>
                <w:bCs/>
                <w:noProof/>
                <w:color w:val="000000"/>
                <w:sz w:val="20"/>
                <w:szCs w:val="20"/>
              </w:rPr>
              <w:t xml:space="preserve">          9.4 </w:t>
            </w:r>
          </w:p>
        </w:tc>
        <w:tc>
          <w:tcPr>
            <w:tcW w:w="506" w:type="pct"/>
            <w:tcBorders>
              <w:top w:val="nil"/>
              <w:left w:val="nil"/>
              <w:bottom w:val="single" w:sz="4" w:space="0" w:color="auto"/>
              <w:right w:val="single" w:sz="4" w:space="0" w:color="auto"/>
            </w:tcBorders>
            <w:shd w:val="clear" w:color="000000" w:fill="F2F2F2"/>
            <w:noWrap/>
            <w:hideMark/>
          </w:tcPr>
          <w:p w14:paraId="3F823DCB" w14:textId="77777777" w:rsidR="00240657" w:rsidRDefault="00240657">
            <w:pPr>
              <w:rPr>
                <w:b/>
                <w:bCs/>
                <w:noProof/>
                <w:color w:val="000000"/>
                <w:sz w:val="20"/>
                <w:szCs w:val="20"/>
              </w:rPr>
            </w:pPr>
            <w:r>
              <w:rPr>
                <w:b/>
                <w:bCs/>
                <w:noProof/>
                <w:color w:val="000000"/>
                <w:sz w:val="20"/>
                <w:szCs w:val="20"/>
              </w:rPr>
              <w:t xml:space="preserve">     107.0 </w:t>
            </w:r>
          </w:p>
        </w:tc>
        <w:tc>
          <w:tcPr>
            <w:tcW w:w="506" w:type="pct"/>
            <w:tcBorders>
              <w:top w:val="nil"/>
              <w:left w:val="nil"/>
              <w:bottom w:val="single" w:sz="4" w:space="0" w:color="auto"/>
              <w:right w:val="single" w:sz="4" w:space="0" w:color="auto"/>
            </w:tcBorders>
            <w:shd w:val="clear" w:color="000000" w:fill="F2F2F2"/>
            <w:noWrap/>
            <w:hideMark/>
          </w:tcPr>
          <w:p w14:paraId="02896898" w14:textId="77777777" w:rsidR="00240657" w:rsidRDefault="00240657">
            <w:pPr>
              <w:rPr>
                <w:b/>
                <w:bCs/>
                <w:noProof/>
                <w:color w:val="000000"/>
                <w:sz w:val="20"/>
                <w:szCs w:val="20"/>
              </w:rPr>
            </w:pPr>
            <w:r>
              <w:rPr>
                <w:b/>
                <w:bCs/>
                <w:noProof/>
                <w:color w:val="000000"/>
                <w:sz w:val="20"/>
                <w:szCs w:val="20"/>
              </w:rPr>
              <w:t xml:space="preserve">       96.1 </w:t>
            </w:r>
          </w:p>
        </w:tc>
        <w:tc>
          <w:tcPr>
            <w:tcW w:w="506" w:type="pct"/>
            <w:tcBorders>
              <w:top w:val="nil"/>
              <w:left w:val="nil"/>
              <w:bottom w:val="single" w:sz="4" w:space="0" w:color="auto"/>
              <w:right w:val="single" w:sz="4" w:space="0" w:color="auto"/>
            </w:tcBorders>
            <w:shd w:val="clear" w:color="000000" w:fill="F2F2F2"/>
            <w:noWrap/>
            <w:hideMark/>
          </w:tcPr>
          <w:p w14:paraId="6C7E4C82" w14:textId="77777777" w:rsidR="00240657" w:rsidRDefault="00240657">
            <w:pPr>
              <w:rPr>
                <w:b/>
                <w:bCs/>
                <w:noProof/>
                <w:color w:val="000000"/>
                <w:sz w:val="20"/>
                <w:szCs w:val="20"/>
              </w:rPr>
            </w:pPr>
            <w:r>
              <w:rPr>
                <w:b/>
                <w:bCs/>
                <w:noProof/>
                <w:color w:val="000000"/>
                <w:sz w:val="20"/>
                <w:szCs w:val="20"/>
              </w:rPr>
              <w:t xml:space="preserve">     102.5 </w:t>
            </w:r>
          </w:p>
        </w:tc>
      </w:tr>
    </w:tbl>
    <w:p w14:paraId="3F2AD57F" w14:textId="77777777" w:rsidR="00BA27CE" w:rsidRPr="00D71008" w:rsidRDefault="00BA27CE" w:rsidP="006F0B3E">
      <w:pPr>
        <w:keepNext/>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1A099AE8" w14:textId="7F348944" w:rsidR="00381F1A" w:rsidRDefault="005017C5" w:rsidP="00ED0BFF">
      <w:pPr>
        <w:pStyle w:val="BodyText"/>
        <w:spacing w:after="240"/>
        <w:ind w:left="0"/>
        <w:rPr>
          <w:noProof/>
          <w:spacing w:val="-8"/>
        </w:rPr>
      </w:pPr>
      <w:r w:rsidRPr="00094E1B">
        <w:rPr>
          <w:b/>
          <w:i/>
          <w:noProof/>
          <w:spacing w:val="-8"/>
        </w:rPr>
        <w:t>Net benefits for SMEs.</w:t>
      </w:r>
      <w:r>
        <w:rPr>
          <w:noProof/>
          <w:spacing w:val="-8"/>
        </w:rPr>
        <w:t xml:space="preserve"> </w:t>
      </w:r>
      <w:r w:rsidR="00C36112">
        <w:rPr>
          <w:noProof/>
          <w:spacing w:val="-8"/>
        </w:rPr>
        <w:t>Total</w:t>
      </w:r>
      <w:r>
        <w:rPr>
          <w:noProof/>
          <w:spacing w:val="-8"/>
        </w:rPr>
        <w:t xml:space="preserve"> net benefits for SME</w:t>
      </w:r>
      <w:r w:rsidR="0060102E">
        <w:rPr>
          <w:noProof/>
          <w:spacing w:val="-8"/>
        </w:rPr>
        <w:t>s (</w:t>
      </w:r>
      <w:r>
        <w:rPr>
          <w:noProof/>
          <w:spacing w:val="-8"/>
        </w:rPr>
        <w:t>MDMS platforms and transport operators</w:t>
      </w:r>
      <w:r w:rsidR="0060102E">
        <w:rPr>
          <w:noProof/>
          <w:spacing w:val="-8"/>
        </w:rPr>
        <w:t>)</w:t>
      </w:r>
      <w:r>
        <w:rPr>
          <w:noProof/>
          <w:spacing w:val="-8"/>
        </w:rPr>
        <w:t xml:space="preserve"> are estimated at </w:t>
      </w:r>
      <w:r w:rsidR="001C45FE">
        <w:rPr>
          <w:noProof/>
          <w:spacing w:val="-8"/>
        </w:rPr>
        <w:t xml:space="preserve">EUR </w:t>
      </w:r>
      <w:r w:rsidR="003503B5">
        <w:rPr>
          <w:noProof/>
          <w:spacing w:val="-8"/>
        </w:rPr>
        <w:t>208</w:t>
      </w:r>
      <w:r w:rsidR="001C45FE">
        <w:rPr>
          <w:noProof/>
          <w:spacing w:val="-8"/>
        </w:rPr>
        <w:t xml:space="preserve"> million in </w:t>
      </w:r>
      <w:r w:rsidR="003C4895">
        <w:rPr>
          <w:noProof/>
          <w:spacing w:val="-8"/>
        </w:rPr>
        <w:t>PO2</w:t>
      </w:r>
      <w:r w:rsidR="001C45FE">
        <w:rPr>
          <w:noProof/>
          <w:spacing w:val="-8"/>
        </w:rPr>
        <w:t xml:space="preserve">, </w:t>
      </w:r>
      <w:r w:rsidR="004A1068">
        <w:rPr>
          <w:noProof/>
          <w:spacing w:val="-8"/>
        </w:rPr>
        <w:t xml:space="preserve">EUR </w:t>
      </w:r>
      <w:r w:rsidR="003503B5">
        <w:rPr>
          <w:noProof/>
          <w:spacing w:val="-8"/>
        </w:rPr>
        <w:t>198.2</w:t>
      </w:r>
      <w:r w:rsidR="004A1068">
        <w:rPr>
          <w:noProof/>
          <w:spacing w:val="-8"/>
        </w:rPr>
        <w:t xml:space="preserve"> million in PO4, EUR </w:t>
      </w:r>
      <w:r w:rsidR="00D642C1" w:rsidRPr="00D642C1">
        <w:rPr>
          <w:noProof/>
          <w:spacing w:val="-8"/>
        </w:rPr>
        <w:t>186.6</w:t>
      </w:r>
      <w:r w:rsidR="004A1068">
        <w:rPr>
          <w:noProof/>
          <w:spacing w:val="-8"/>
        </w:rPr>
        <w:t xml:space="preserve"> million in </w:t>
      </w:r>
      <w:r w:rsidR="00D642C1">
        <w:rPr>
          <w:noProof/>
          <w:spacing w:val="-8"/>
        </w:rPr>
        <w:t>PO3</w:t>
      </w:r>
      <w:r w:rsidR="00597951">
        <w:rPr>
          <w:noProof/>
          <w:spacing w:val="-8"/>
        </w:rPr>
        <w:t>,</w:t>
      </w:r>
      <w:r w:rsidR="004A1068">
        <w:rPr>
          <w:noProof/>
          <w:spacing w:val="-8"/>
        </w:rPr>
        <w:t xml:space="preserve"> and </w:t>
      </w:r>
      <w:r w:rsidR="000E4692">
        <w:rPr>
          <w:noProof/>
          <w:spacing w:val="-8"/>
        </w:rPr>
        <w:t>EUR 18.6 million in PO1</w:t>
      </w:r>
      <w:r w:rsidR="009520DA">
        <w:rPr>
          <w:noProof/>
          <w:spacing w:val="-8"/>
        </w:rPr>
        <w:t xml:space="preserve"> expressed as present value over 2028-2050 relative to the baseline</w:t>
      </w:r>
      <w:r w:rsidR="000E4692">
        <w:rPr>
          <w:noProof/>
          <w:spacing w:val="-8"/>
        </w:rPr>
        <w:t>.</w:t>
      </w:r>
      <w:r w:rsidR="001F580E">
        <w:rPr>
          <w:noProof/>
          <w:spacing w:val="-8"/>
        </w:rPr>
        <w:t xml:space="preserve"> </w:t>
      </w:r>
      <w:r w:rsidR="002D741F">
        <w:rPr>
          <w:noProof/>
          <w:spacing w:val="-8"/>
        </w:rPr>
        <w:t xml:space="preserve">As explain above, </w:t>
      </w:r>
      <w:r w:rsidR="00E47A26">
        <w:rPr>
          <w:noProof/>
          <w:spacing w:val="-8"/>
        </w:rPr>
        <w:t>the obligations included in the policy options do not apply to SMEs and SMEs are only expected to indirectly benefit from them</w:t>
      </w:r>
      <w:r w:rsidR="000E4692">
        <w:rPr>
          <w:noProof/>
          <w:spacing w:val="-8"/>
        </w:rPr>
        <w:t>.</w:t>
      </w:r>
      <w:r w:rsidR="001F580E">
        <w:rPr>
          <w:noProof/>
          <w:spacing w:val="-8"/>
        </w:rPr>
        <w:t xml:space="preserve"> </w:t>
      </w:r>
    </w:p>
    <w:p w14:paraId="26349FBD" w14:textId="4CEEEF31" w:rsidR="00ED0BFF" w:rsidRDefault="00ED0BFF" w:rsidP="00ED0BFF">
      <w:pPr>
        <w:pStyle w:val="BodyText"/>
        <w:spacing w:after="240"/>
        <w:ind w:left="0"/>
        <w:rPr>
          <w:noProof/>
          <w:spacing w:val="-8"/>
        </w:rPr>
      </w:pPr>
      <w:r w:rsidRPr="00DF568B">
        <w:rPr>
          <w:noProof/>
          <w:spacing w:val="-8"/>
        </w:rPr>
        <w:t>SMEs views</w:t>
      </w:r>
      <w:r>
        <w:rPr>
          <w:noProof/>
          <w:spacing w:val="-8"/>
        </w:rPr>
        <w:t xml:space="preserve"> were considered via stakeholder consultation activities, including </w:t>
      </w:r>
      <w:r w:rsidR="002914EB">
        <w:rPr>
          <w:noProof/>
          <w:spacing w:val="-8"/>
        </w:rPr>
        <w:t xml:space="preserve">the targeted </w:t>
      </w:r>
      <w:r>
        <w:rPr>
          <w:noProof/>
          <w:spacing w:val="-8"/>
        </w:rPr>
        <w:t>survey</w:t>
      </w:r>
      <w:r w:rsidR="005659B0">
        <w:rPr>
          <w:noProof/>
          <w:spacing w:val="-8"/>
        </w:rPr>
        <w:t xml:space="preserve"> and</w:t>
      </w:r>
      <w:r>
        <w:rPr>
          <w:noProof/>
          <w:spacing w:val="-8"/>
        </w:rPr>
        <w:t xml:space="preserve"> interviews </w:t>
      </w:r>
      <w:r w:rsidR="005659B0">
        <w:rPr>
          <w:noProof/>
          <w:spacing w:val="-8"/>
        </w:rPr>
        <w:t xml:space="preserve">conducted in the context of the impact assessment support study, </w:t>
      </w:r>
      <w:r>
        <w:rPr>
          <w:noProof/>
          <w:spacing w:val="-8"/>
        </w:rPr>
        <w:t xml:space="preserve">and </w:t>
      </w:r>
      <w:r w:rsidR="005659B0">
        <w:rPr>
          <w:noProof/>
          <w:spacing w:val="-8"/>
        </w:rPr>
        <w:t xml:space="preserve">the </w:t>
      </w:r>
      <w:r>
        <w:rPr>
          <w:noProof/>
          <w:spacing w:val="-8"/>
        </w:rPr>
        <w:t>OPC. Overall, SMEs expressed favourable views o</w:t>
      </w:r>
      <w:r w:rsidR="00F7002C">
        <w:rPr>
          <w:noProof/>
          <w:spacing w:val="-8"/>
        </w:rPr>
        <w:t>n</w:t>
      </w:r>
      <w:r>
        <w:rPr>
          <w:noProof/>
          <w:spacing w:val="-8"/>
        </w:rPr>
        <w:t xml:space="preserve"> the </w:t>
      </w:r>
      <w:r w:rsidR="0022152B">
        <w:rPr>
          <w:noProof/>
          <w:spacing w:val="-8"/>
        </w:rPr>
        <w:t>policy options</w:t>
      </w:r>
      <w:r>
        <w:rPr>
          <w:noProof/>
          <w:spacing w:val="-8"/>
        </w:rPr>
        <w:t xml:space="preserve">, with </w:t>
      </w:r>
      <w:r w:rsidR="006465E6">
        <w:rPr>
          <w:noProof/>
          <w:spacing w:val="-8"/>
        </w:rPr>
        <w:t>strong support for</w:t>
      </w:r>
      <w:r>
        <w:rPr>
          <w:noProof/>
          <w:spacing w:val="-8"/>
        </w:rPr>
        <w:t xml:space="preserve"> the </w:t>
      </w:r>
      <w:r w:rsidR="006465E6">
        <w:rPr>
          <w:noProof/>
          <w:spacing w:val="-8"/>
        </w:rPr>
        <w:t>introduction of binding rules and the introduction of commercial agreement rules</w:t>
      </w:r>
      <w:r>
        <w:rPr>
          <w:noProof/>
          <w:spacing w:val="-8"/>
        </w:rPr>
        <w:t xml:space="preserve">. An overview of SMEs’ views is provided in </w:t>
      </w:r>
      <w:r w:rsidR="00451FC6">
        <w:rPr>
          <w:noProof/>
          <w:spacing w:val="-8"/>
        </w:rPr>
        <w:t xml:space="preserve">the SME check, in </w:t>
      </w:r>
      <w:r>
        <w:rPr>
          <w:noProof/>
          <w:spacing w:val="-8"/>
        </w:rPr>
        <w:t xml:space="preserve">Annex 6. </w:t>
      </w:r>
    </w:p>
    <w:p w14:paraId="7D76DD49" w14:textId="65E1BCDD" w:rsidR="00452C31" w:rsidRPr="00D71008" w:rsidRDefault="00452C31" w:rsidP="006E3FA1">
      <w:pPr>
        <w:pStyle w:val="Heading2"/>
        <w:keepNext/>
        <w:numPr>
          <w:ilvl w:val="2"/>
          <w:numId w:val="11"/>
        </w:numPr>
        <w:tabs>
          <w:tab w:val="left" w:pos="709"/>
        </w:tabs>
        <w:spacing w:before="0" w:after="240"/>
        <w:ind w:left="1134" w:hanging="708"/>
        <w:rPr>
          <w:b w:val="0"/>
          <w:i/>
          <w:noProof/>
        </w:rPr>
      </w:pPr>
      <w:bookmarkStart w:id="154" w:name="_Toc222313482"/>
      <w:bookmarkStart w:id="155" w:name="_Toc222749000"/>
      <w:bookmarkStart w:id="156" w:name="_Toc223979970"/>
      <w:r w:rsidRPr="00D71008">
        <w:rPr>
          <w:b w:val="0"/>
          <w:i/>
          <w:noProof/>
        </w:rPr>
        <w:t>Impact</w:t>
      </w:r>
      <w:r w:rsidR="00F9450A">
        <w:rPr>
          <w:b w:val="0"/>
          <w:i/>
          <w:noProof/>
        </w:rPr>
        <w:t>s</w:t>
      </w:r>
      <w:r w:rsidRPr="00D71008">
        <w:rPr>
          <w:b w:val="0"/>
          <w:i/>
          <w:noProof/>
        </w:rPr>
        <w:t xml:space="preserve"> on user costs</w:t>
      </w:r>
      <w:bookmarkEnd w:id="154"/>
      <w:r w:rsidRPr="00D71008">
        <w:rPr>
          <w:b w:val="0"/>
          <w:i/>
          <w:noProof/>
        </w:rPr>
        <w:t xml:space="preserve"> </w:t>
      </w:r>
      <w:r w:rsidR="00BA0980">
        <w:rPr>
          <w:b w:val="0"/>
          <w:i/>
          <w:noProof/>
        </w:rPr>
        <w:t>and congestion</w:t>
      </w:r>
      <w:bookmarkEnd w:id="155"/>
      <w:bookmarkEnd w:id="156"/>
      <w:r w:rsidR="00BA0980">
        <w:rPr>
          <w:b w:val="0"/>
          <w:i/>
          <w:noProof/>
        </w:rPr>
        <w:t xml:space="preserve"> </w:t>
      </w:r>
    </w:p>
    <w:p w14:paraId="36F40446" w14:textId="43A5AAB3" w:rsidR="00E81519" w:rsidRPr="00F52A56" w:rsidRDefault="001A2A76" w:rsidP="0078381F">
      <w:pPr>
        <w:pStyle w:val="BodyText"/>
        <w:spacing w:after="240"/>
        <w:ind w:left="0"/>
        <w:rPr>
          <w:noProof/>
          <w:spacing w:val="-8"/>
        </w:rPr>
      </w:pPr>
      <w:r w:rsidRPr="00F52A56">
        <w:rPr>
          <w:noProof/>
          <w:spacing w:val="-8"/>
        </w:rPr>
        <w:t xml:space="preserve">The proposed policy options </w:t>
      </w:r>
      <w:r w:rsidR="00356589" w:rsidRPr="00F52A56">
        <w:rPr>
          <w:noProof/>
          <w:spacing w:val="-8"/>
        </w:rPr>
        <w:t>ar</w:t>
      </w:r>
      <w:r w:rsidR="0075014B" w:rsidRPr="00F52A56">
        <w:rPr>
          <w:noProof/>
          <w:spacing w:val="-8"/>
        </w:rPr>
        <w:t>e</w:t>
      </w:r>
      <w:r w:rsidR="00356589" w:rsidRPr="00F52A56">
        <w:rPr>
          <w:noProof/>
          <w:spacing w:val="-8"/>
        </w:rPr>
        <w:t xml:space="preserve"> ex</w:t>
      </w:r>
      <w:r w:rsidR="002136D5" w:rsidRPr="00F52A56">
        <w:rPr>
          <w:noProof/>
          <w:spacing w:val="-8"/>
        </w:rPr>
        <w:t>pected</w:t>
      </w:r>
      <w:r w:rsidR="00CF4019" w:rsidRPr="00F52A56">
        <w:rPr>
          <w:noProof/>
          <w:spacing w:val="-8"/>
        </w:rPr>
        <w:t xml:space="preserve"> to benefit </w:t>
      </w:r>
      <w:r w:rsidR="00C94BFF" w:rsidRPr="00F52A56">
        <w:rPr>
          <w:noProof/>
          <w:spacing w:val="-8"/>
        </w:rPr>
        <w:t>transport users</w:t>
      </w:r>
      <w:r w:rsidR="0084338B" w:rsidRPr="00F52A56">
        <w:rPr>
          <w:noProof/>
          <w:spacing w:val="-8"/>
        </w:rPr>
        <w:t xml:space="preserve"> through </w:t>
      </w:r>
      <w:r w:rsidR="00D446AD" w:rsidRPr="00F52A56">
        <w:rPr>
          <w:noProof/>
          <w:spacing w:val="-8"/>
        </w:rPr>
        <w:t>three</w:t>
      </w:r>
      <w:r w:rsidR="0084338B" w:rsidRPr="00F52A56">
        <w:rPr>
          <w:noProof/>
          <w:spacing w:val="-8"/>
        </w:rPr>
        <w:t xml:space="preserve"> channels</w:t>
      </w:r>
      <w:r w:rsidR="000D7B92" w:rsidRPr="00F52A56">
        <w:rPr>
          <w:noProof/>
          <w:spacing w:val="-8"/>
        </w:rPr>
        <w:t>:</w:t>
      </w:r>
      <w:r w:rsidR="0078381F" w:rsidRPr="00F52A56">
        <w:rPr>
          <w:noProof/>
          <w:spacing w:val="-8"/>
        </w:rPr>
        <w:t xml:space="preserve"> (i) a</w:t>
      </w:r>
      <w:r w:rsidR="004A3308" w:rsidRPr="00F52A56">
        <w:rPr>
          <w:noProof/>
          <w:spacing w:val="-8"/>
        </w:rPr>
        <w:t xml:space="preserve"> </w:t>
      </w:r>
      <w:r w:rsidR="003368FC" w:rsidRPr="00F52A56">
        <w:rPr>
          <w:noProof/>
          <w:spacing w:val="-8"/>
        </w:rPr>
        <w:t>reduction of search costs</w:t>
      </w:r>
      <w:r w:rsidR="0096682C" w:rsidRPr="00F52A56">
        <w:rPr>
          <w:noProof/>
          <w:spacing w:val="-8"/>
        </w:rPr>
        <w:t xml:space="preserve"> </w:t>
      </w:r>
      <w:r w:rsidR="00CF4019" w:rsidRPr="00F52A56">
        <w:rPr>
          <w:noProof/>
          <w:spacing w:val="-8"/>
        </w:rPr>
        <w:t xml:space="preserve">for </w:t>
      </w:r>
      <w:r w:rsidR="00706D3B" w:rsidRPr="00F52A56">
        <w:rPr>
          <w:noProof/>
          <w:spacing w:val="-8"/>
        </w:rPr>
        <w:t>travellers</w:t>
      </w:r>
      <w:r w:rsidR="00192114" w:rsidRPr="00F52A56">
        <w:rPr>
          <w:noProof/>
          <w:spacing w:val="-8"/>
        </w:rPr>
        <w:t>;</w:t>
      </w:r>
      <w:r w:rsidR="0078381F" w:rsidRPr="00F52A56">
        <w:rPr>
          <w:noProof/>
          <w:spacing w:val="-8"/>
        </w:rPr>
        <w:t xml:space="preserve"> (ii) a</w:t>
      </w:r>
      <w:r w:rsidR="00DC3CE6" w:rsidRPr="00F52A56">
        <w:rPr>
          <w:noProof/>
          <w:spacing w:val="-8"/>
        </w:rPr>
        <w:t xml:space="preserve">n increase in competition </w:t>
      </w:r>
      <w:r w:rsidR="00AA00D2" w:rsidRPr="00F52A56">
        <w:rPr>
          <w:noProof/>
          <w:spacing w:val="-8"/>
        </w:rPr>
        <w:t>in the platform market</w:t>
      </w:r>
      <w:r w:rsidR="00451AE8" w:rsidRPr="00F52A56">
        <w:rPr>
          <w:noProof/>
          <w:spacing w:val="-8"/>
        </w:rPr>
        <w:t>;</w:t>
      </w:r>
      <w:r w:rsidR="0078381F" w:rsidRPr="00F52A56">
        <w:rPr>
          <w:noProof/>
          <w:spacing w:val="-8"/>
        </w:rPr>
        <w:t xml:space="preserve"> (iii) a</w:t>
      </w:r>
      <w:r w:rsidR="00B67C1A" w:rsidRPr="00F52A56">
        <w:rPr>
          <w:noProof/>
          <w:spacing w:val="-8"/>
        </w:rPr>
        <w:t xml:space="preserve">n increase in competition </w:t>
      </w:r>
      <w:r w:rsidR="0050275E" w:rsidRPr="00F52A56">
        <w:rPr>
          <w:noProof/>
          <w:spacing w:val="-8"/>
        </w:rPr>
        <w:t>in the transport market</w:t>
      </w:r>
      <w:r w:rsidR="00D446AD" w:rsidRPr="00F52A56">
        <w:rPr>
          <w:noProof/>
          <w:spacing w:val="-8"/>
        </w:rPr>
        <w:t>.</w:t>
      </w:r>
    </w:p>
    <w:p w14:paraId="2ECA7E58" w14:textId="671E431D" w:rsidR="00906BF6" w:rsidRPr="00F52A56" w:rsidRDefault="003D38B8" w:rsidP="00D8283A">
      <w:pPr>
        <w:pStyle w:val="BodyText"/>
        <w:keepNext/>
        <w:spacing w:after="240"/>
        <w:ind w:left="0"/>
        <w:rPr>
          <w:noProof/>
          <w:spacing w:val="-8"/>
        </w:rPr>
      </w:pPr>
      <w:r w:rsidRPr="00631BC0">
        <w:rPr>
          <w:b/>
          <w:i/>
          <w:iCs/>
          <w:noProof/>
          <w:spacing w:val="-8"/>
        </w:rPr>
        <w:t xml:space="preserve">The reduction of search costs for </w:t>
      </w:r>
      <w:r w:rsidR="00706D3B" w:rsidRPr="00631BC0">
        <w:rPr>
          <w:b/>
          <w:i/>
          <w:iCs/>
          <w:noProof/>
          <w:spacing w:val="-8"/>
        </w:rPr>
        <w:t>travellers</w:t>
      </w:r>
      <w:r w:rsidR="00D8283A" w:rsidRPr="00631BC0">
        <w:rPr>
          <w:b/>
          <w:i/>
          <w:iCs/>
          <w:noProof/>
          <w:spacing w:val="-8"/>
        </w:rPr>
        <w:t>.</w:t>
      </w:r>
      <w:r w:rsidR="00D8283A" w:rsidRPr="00F52A56">
        <w:rPr>
          <w:b/>
          <w:noProof/>
          <w:spacing w:val="-8"/>
        </w:rPr>
        <w:t xml:space="preserve"> </w:t>
      </w:r>
      <w:r w:rsidR="009F26E3" w:rsidRPr="00F52A56">
        <w:rPr>
          <w:noProof/>
          <w:spacing w:val="-8"/>
        </w:rPr>
        <w:t xml:space="preserve">The </w:t>
      </w:r>
      <w:r w:rsidR="00A77A0E" w:rsidRPr="00F52A56">
        <w:rPr>
          <w:noProof/>
          <w:spacing w:val="-8"/>
        </w:rPr>
        <w:t>most direct effect w</w:t>
      </w:r>
      <w:r w:rsidR="00D36435" w:rsidRPr="00F52A56">
        <w:rPr>
          <w:noProof/>
          <w:spacing w:val="-8"/>
        </w:rPr>
        <w:t>ould</w:t>
      </w:r>
      <w:r w:rsidR="00A77A0E" w:rsidRPr="00F52A56">
        <w:rPr>
          <w:noProof/>
          <w:spacing w:val="-8"/>
        </w:rPr>
        <w:t xml:space="preserve"> be the red</w:t>
      </w:r>
      <w:r w:rsidR="009F26E3" w:rsidRPr="00F52A56">
        <w:rPr>
          <w:noProof/>
          <w:spacing w:val="-8"/>
        </w:rPr>
        <w:t>uction in search cost</w:t>
      </w:r>
      <w:r w:rsidR="00024918" w:rsidRPr="00F52A56">
        <w:rPr>
          <w:noProof/>
          <w:spacing w:val="-8"/>
        </w:rPr>
        <w:t>, as t</w:t>
      </w:r>
      <w:r w:rsidR="003139E2" w:rsidRPr="00F52A56">
        <w:rPr>
          <w:noProof/>
          <w:spacing w:val="-8"/>
        </w:rPr>
        <w:t>ravellers w</w:t>
      </w:r>
      <w:r w:rsidR="00D36435" w:rsidRPr="00F52A56">
        <w:rPr>
          <w:noProof/>
          <w:spacing w:val="-8"/>
        </w:rPr>
        <w:t>ould</w:t>
      </w:r>
      <w:r w:rsidR="003139E2" w:rsidRPr="00F52A56">
        <w:rPr>
          <w:noProof/>
          <w:spacing w:val="-8"/>
        </w:rPr>
        <w:t xml:space="preserve"> be able to find</w:t>
      </w:r>
      <w:r w:rsidR="00024918" w:rsidRPr="00F52A56">
        <w:rPr>
          <w:noProof/>
          <w:spacing w:val="-8"/>
        </w:rPr>
        <w:t xml:space="preserve">, compare and purchase </w:t>
      </w:r>
      <w:r w:rsidR="00D36435" w:rsidRPr="00F52A56">
        <w:rPr>
          <w:noProof/>
          <w:spacing w:val="-8"/>
        </w:rPr>
        <w:t xml:space="preserve">tickets </w:t>
      </w:r>
      <w:r w:rsidR="006E06A0" w:rsidRPr="00F52A56">
        <w:rPr>
          <w:noProof/>
          <w:spacing w:val="-8"/>
        </w:rPr>
        <w:t xml:space="preserve">in a single </w:t>
      </w:r>
      <w:r w:rsidR="00D36435" w:rsidRPr="00F52A56">
        <w:rPr>
          <w:noProof/>
          <w:spacing w:val="-8"/>
        </w:rPr>
        <w:t xml:space="preserve">place without having to </w:t>
      </w:r>
      <w:r w:rsidR="004C4D95" w:rsidRPr="00F52A56">
        <w:rPr>
          <w:noProof/>
          <w:spacing w:val="-8"/>
        </w:rPr>
        <w:t xml:space="preserve">perform </w:t>
      </w:r>
      <w:r w:rsidR="002763E6" w:rsidRPr="00F52A56">
        <w:rPr>
          <w:noProof/>
          <w:spacing w:val="-8"/>
        </w:rPr>
        <w:t xml:space="preserve">longer </w:t>
      </w:r>
      <w:r w:rsidR="004C4D95" w:rsidRPr="00F52A56">
        <w:rPr>
          <w:noProof/>
          <w:spacing w:val="-8"/>
        </w:rPr>
        <w:t xml:space="preserve">searches </w:t>
      </w:r>
      <w:r w:rsidR="002763E6" w:rsidRPr="00F52A56">
        <w:rPr>
          <w:noProof/>
          <w:spacing w:val="-8"/>
        </w:rPr>
        <w:t xml:space="preserve">and visit multiple </w:t>
      </w:r>
      <w:r w:rsidR="006E06A0" w:rsidRPr="00F52A56">
        <w:rPr>
          <w:noProof/>
          <w:spacing w:val="-8"/>
        </w:rPr>
        <w:t>platform</w:t>
      </w:r>
      <w:r w:rsidR="002763E6" w:rsidRPr="00F52A56">
        <w:rPr>
          <w:noProof/>
          <w:spacing w:val="-8"/>
        </w:rPr>
        <w:t>s</w:t>
      </w:r>
      <w:r w:rsidR="006E06A0" w:rsidRPr="00F52A56">
        <w:rPr>
          <w:noProof/>
          <w:spacing w:val="-8"/>
        </w:rPr>
        <w:t xml:space="preserve">. </w:t>
      </w:r>
      <w:r w:rsidR="009B74C8" w:rsidRPr="00F52A56">
        <w:rPr>
          <w:noProof/>
          <w:spacing w:val="-8"/>
        </w:rPr>
        <w:t xml:space="preserve">In the baseline scenario, travellers </w:t>
      </w:r>
      <w:r w:rsidR="00ED3E79" w:rsidRPr="00F52A56">
        <w:rPr>
          <w:noProof/>
          <w:spacing w:val="-8"/>
        </w:rPr>
        <w:t xml:space="preserve">must dedicate time and effort to </w:t>
      </w:r>
      <w:r w:rsidR="009B74C8" w:rsidRPr="00F52A56">
        <w:rPr>
          <w:noProof/>
          <w:spacing w:val="-8"/>
        </w:rPr>
        <w:t>search</w:t>
      </w:r>
      <w:r w:rsidR="00EE0380" w:rsidRPr="00F52A56">
        <w:rPr>
          <w:noProof/>
          <w:spacing w:val="-8"/>
        </w:rPr>
        <w:t xml:space="preserve"> for</w:t>
      </w:r>
      <w:r w:rsidR="00A67E97" w:rsidRPr="00F52A56">
        <w:rPr>
          <w:noProof/>
          <w:spacing w:val="-8"/>
        </w:rPr>
        <w:t xml:space="preserve"> </w:t>
      </w:r>
      <w:r w:rsidR="009B74C8" w:rsidRPr="00F52A56">
        <w:rPr>
          <w:noProof/>
          <w:spacing w:val="-8"/>
        </w:rPr>
        <w:t xml:space="preserve">the most convenient offer in terms of fares, comfort and travel time, with no guarantee that they </w:t>
      </w:r>
      <w:r w:rsidR="00EE0380" w:rsidRPr="00F52A56">
        <w:rPr>
          <w:noProof/>
          <w:spacing w:val="-8"/>
        </w:rPr>
        <w:t xml:space="preserve">will </w:t>
      </w:r>
      <w:r w:rsidR="002C459A" w:rsidRPr="00F52A56">
        <w:rPr>
          <w:noProof/>
          <w:spacing w:val="-8"/>
        </w:rPr>
        <w:t xml:space="preserve">manage to </w:t>
      </w:r>
      <w:r w:rsidR="009B74C8" w:rsidRPr="00F52A56">
        <w:rPr>
          <w:noProof/>
          <w:spacing w:val="-8"/>
        </w:rPr>
        <w:t xml:space="preserve">find the offer that best matches their preferences. Under the various policy options, and to the extent that </w:t>
      </w:r>
      <w:r w:rsidR="00EE1A8C" w:rsidRPr="00F52A56">
        <w:rPr>
          <w:noProof/>
          <w:spacing w:val="-8"/>
        </w:rPr>
        <w:t xml:space="preserve">the </w:t>
      </w:r>
      <w:r w:rsidR="00941279" w:rsidRPr="00F52A56">
        <w:rPr>
          <w:noProof/>
          <w:spacing w:val="-8"/>
        </w:rPr>
        <w:t xml:space="preserve">measures </w:t>
      </w:r>
      <w:r w:rsidR="00EE1A8C" w:rsidRPr="00F52A56">
        <w:rPr>
          <w:noProof/>
          <w:spacing w:val="-8"/>
        </w:rPr>
        <w:t>included in each option</w:t>
      </w:r>
      <w:r w:rsidR="00941279" w:rsidRPr="00F52A56">
        <w:rPr>
          <w:noProof/>
          <w:spacing w:val="-8"/>
        </w:rPr>
        <w:t xml:space="preserve"> </w:t>
      </w:r>
      <w:r w:rsidR="009B74C8" w:rsidRPr="00F52A56">
        <w:rPr>
          <w:noProof/>
          <w:spacing w:val="-8"/>
        </w:rPr>
        <w:t xml:space="preserve">will provide customers with a complete ticketing offer in a single place, travellers will most certainly save time on searches, but possibly also gain in terms of travel time and more convenient fares. </w:t>
      </w:r>
      <w:r w:rsidR="00533F0D">
        <w:rPr>
          <w:noProof/>
          <w:spacing w:val="-8"/>
        </w:rPr>
        <w:t>The assessment below</w:t>
      </w:r>
      <w:r w:rsidR="009E1FE7" w:rsidRPr="00F52A56">
        <w:rPr>
          <w:noProof/>
          <w:spacing w:val="-8"/>
        </w:rPr>
        <w:t xml:space="preserve"> </w:t>
      </w:r>
      <w:r w:rsidR="00E4621F" w:rsidRPr="00F52A56">
        <w:rPr>
          <w:noProof/>
          <w:spacing w:val="-8"/>
        </w:rPr>
        <w:t>consider</w:t>
      </w:r>
      <w:r w:rsidR="00D94B06">
        <w:rPr>
          <w:noProof/>
          <w:spacing w:val="-8"/>
        </w:rPr>
        <w:t>s</w:t>
      </w:r>
      <w:r w:rsidR="00E4621F" w:rsidRPr="00F52A56">
        <w:rPr>
          <w:noProof/>
          <w:spacing w:val="-8"/>
        </w:rPr>
        <w:t xml:space="preserve"> them jointly as </w:t>
      </w:r>
      <w:r w:rsidR="003644D0" w:rsidRPr="00F52A56">
        <w:rPr>
          <w:noProof/>
          <w:spacing w:val="-8"/>
        </w:rPr>
        <w:t>‘reduction of search costs’.</w:t>
      </w:r>
      <w:r w:rsidR="006E06A0" w:rsidRPr="00F52A56">
        <w:rPr>
          <w:noProof/>
          <w:spacing w:val="-8"/>
        </w:rPr>
        <w:t xml:space="preserve"> </w:t>
      </w:r>
    </w:p>
    <w:p w14:paraId="7D0A08A8" w14:textId="0F01A7F3" w:rsidR="003D38B8" w:rsidRPr="002E10C2" w:rsidRDefault="00B17767" w:rsidP="00A04AF3">
      <w:pPr>
        <w:pStyle w:val="BodyText"/>
        <w:spacing w:after="240"/>
        <w:ind w:left="0"/>
        <w:rPr>
          <w:noProof/>
          <w:spacing w:val="-8"/>
        </w:rPr>
      </w:pPr>
      <w:r w:rsidRPr="002E10C2">
        <w:rPr>
          <w:noProof/>
          <w:spacing w:val="-8"/>
        </w:rPr>
        <w:t>This effect w</w:t>
      </w:r>
      <w:r w:rsidR="006A2FC1" w:rsidRPr="002E10C2">
        <w:rPr>
          <w:noProof/>
          <w:spacing w:val="-8"/>
        </w:rPr>
        <w:t>ould</w:t>
      </w:r>
      <w:r w:rsidRPr="002E10C2">
        <w:rPr>
          <w:noProof/>
          <w:spacing w:val="-8"/>
        </w:rPr>
        <w:t xml:space="preserve"> be </w:t>
      </w:r>
      <w:r w:rsidR="001F5361" w:rsidRPr="002E10C2">
        <w:rPr>
          <w:noProof/>
          <w:spacing w:val="-8"/>
        </w:rPr>
        <w:t xml:space="preserve">present in </w:t>
      </w:r>
      <w:r w:rsidR="00BA6B1C" w:rsidRPr="002E10C2">
        <w:rPr>
          <w:noProof/>
          <w:spacing w:val="-8"/>
        </w:rPr>
        <w:t xml:space="preserve">PO1, </w:t>
      </w:r>
      <w:r w:rsidR="00AF2732" w:rsidRPr="002E10C2">
        <w:rPr>
          <w:noProof/>
          <w:spacing w:val="-8"/>
        </w:rPr>
        <w:t>thanks to neutral display requirements that w</w:t>
      </w:r>
      <w:r w:rsidR="006A2FC1" w:rsidRPr="002E10C2">
        <w:rPr>
          <w:noProof/>
          <w:spacing w:val="-8"/>
        </w:rPr>
        <w:t>ould</w:t>
      </w:r>
      <w:r w:rsidR="00AF2732" w:rsidRPr="002E10C2">
        <w:rPr>
          <w:noProof/>
          <w:spacing w:val="-8"/>
        </w:rPr>
        <w:t xml:space="preserve"> </w:t>
      </w:r>
      <w:r w:rsidR="007D39B7" w:rsidRPr="002E10C2">
        <w:rPr>
          <w:noProof/>
          <w:spacing w:val="-8"/>
        </w:rPr>
        <w:t xml:space="preserve">make convenient offers more visible to </w:t>
      </w:r>
      <w:r w:rsidR="005F0FA4" w:rsidRPr="002E10C2">
        <w:rPr>
          <w:noProof/>
          <w:spacing w:val="-8"/>
        </w:rPr>
        <w:t xml:space="preserve">potential customers. However, the </w:t>
      </w:r>
      <w:r w:rsidR="00587F70" w:rsidRPr="002E10C2">
        <w:rPr>
          <w:noProof/>
          <w:spacing w:val="-8"/>
        </w:rPr>
        <w:t xml:space="preserve">impact </w:t>
      </w:r>
      <w:r w:rsidR="005F0FA4" w:rsidRPr="002E10C2">
        <w:rPr>
          <w:noProof/>
          <w:spacing w:val="-8"/>
        </w:rPr>
        <w:t>w</w:t>
      </w:r>
      <w:r w:rsidR="006A2FC1" w:rsidRPr="002E10C2">
        <w:rPr>
          <w:noProof/>
          <w:spacing w:val="-8"/>
        </w:rPr>
        <w:t>ould</w:t>
      </w:r>
      <w:r w:rsidR="005F0FA4" w:rsidRPr="002E10C2">
        <w:rPr>
          <w:noProof/>
          <w:spacing w:val="-8"/>
        </w:rPr>
        <w:t xml:space="preserve"> be limited</w:t>
      </w:r>
      <w:r w:rsidR="006A2FC1" w:rsidRPr="002E10C2">
        <w:rPr>
          <w:noProof/>
          <w:spacing w:val="-8"/>
        </w:rPr>
        <w:t>,</w:t>
      </w:r>
      <w:r w:rsidR="005F0FA4" w:rsidRPr="002E10C2">
        <w:rPr>
          <w:noProof/>
          <w:spacing w:val="-8"/>
        </w:rPr>
        <w:t xml:space="preserve"> since </w:t>
      </w:r>
      <w:r w:rsidR="00B00718" w:rsidRPr="002E10C2">
        <w:rPr>
          <w:noProof/>
          <w:spacing w:val="-8"/>
        </w:rPr>
        <w:t xml:space="preserve">there are no </w:t>
      </w:r>
      <w:r w:rsidR="00131C2E" w:rsidRPr="002E10C2">
        <w:rPr>
          <w:noProof/>
          <w:spacing w:val="-8"/>
        </w:rPr>
        <w:t xml:space="preserve">provisions </w:t>
      </w:r>
      <w:r w:rsidR="00B00718" w:rsidRPr="002E10C2">
        <w:rPr>
          <w:noProof/>
          <w:spacing w:val="-8"/>
        </w:rPr>
        <w:t>in this</w:t>
      </w:r>
      <w:r w:rsidR="00B00718" w:rsidRPr="002E10C2" w:rsidDel="00525F97">
        <w:rPr>
          <w:noProof/>
          <w:spacing w:val="-8"/>
        </w:rPr>
        <w:t xml:space="preserve"> </w:t>
      </w:r>
      <w:r w:rsidR="00525F97" w:rsidRPr="002E10C2">
        <w:rPr>
          <w:noProof/>
          <w:spacing w:val="-8"/>
        </w:rPr>
        <w:t xml:space="preserve">option </w:t>
      </w:r>
      <w:r w:rsidR="00B00718" w:rsidRPr="002E10C2">
        <w:rPr>
          <w:noProof/>
          <w:spacing w:val="-8"/>
        </w:rPr>
        <w:t xml:space="preserve">that </w:t>
      </w:r>
      <w:r w:rsidR="000D53CF" w:rsidRPr="002E10C2">
        <w:rPr>
          <w:noProof/>
          <w:spacing w:val="-8"/>
        </w:rPr>
        <w:t xml:space="preserve">have the effect </w:t>
      </w:r>
      <w:r w:rsidR="00C32D67" w:rsidRPr="002E10C2">
        <w:rPr>
          <w:noProof/>
          <w:spacing w:val="-8"/>
        </w:rPr>
        <w:t xml:space="preserve">of </w:t>
      </w:r>
      <w:r w:rsidR="00B00718" w:rsidRPr="002E10C2">
        <w:rPr>
          <w:noProof/>
          <w:spacing w:val="-8"/>
        </w:rPr>
        <w:t>widen</w:t>
      </w:r>
      <w:r w:rsidR="00C32D67" w:rsidRPr="002E10C2">
        <w:rPr>
          <w:noProof/>
          <w:spacing w:val="-8"/>
        </w:rPr>
        <w:t>ing the offer of platf</w:t>
      </w:r>
      <w:r w:rsidR="0005713B" w:rsidRPr="002E10C2">
        <w:rPr>
          <w:noProof/>
          <w:spacing w:val="-8"/>
        </w:rPr>
        <w:t xml:space="preserve">orms and </w:t>
      </w:r>
      <w:r w:rsidR="00485619" w:rsidRPr="002E10C2">
        <w:rPr>
          <w:noProof/>
          <w:spacing w:val="-8"/>
        </w:rPr>
        <w:t xml:space="preserve">guaranteeing </w:t>
      </w:r>
      <w:r w:rsidR="005E602C" w:rsidRPr="002E10C2">
        <w:rPr>
          <w:noProof/>
          <w:spacing w:val="-8"/>
        </w:rPr>
        <w:t xml:space="preserve">that </w:t>
      </w:r>
      <w:r w:rsidR="00485619" w:rsidRPr="002E10C2">
        <w:rPr>
          <w:noProof/>
          <w:spacing w:val="-8"/>
        </w:rPr>
        <w:t>a complete ticketing offer</w:t>
      </w:r>
      <w:r w:rsidR="005E602C" w:rsidRPr="002E10C2">
        <w:rPr>
          <w:noProof/>
          <w:spacing w:val="-8"/>
        </w:rPr>
        <w:t xml:space="preserve"> becomes available </w:t>
      </w:r>
      <w:r w:rsidR="00C14F15" w:rsidRPr="002E10C2">
        <w:rPr>
          <w:noProof/>
          <w:spacing w:val="-8"/>
        </w:rPr>
        <w:t>o</w:t>
      </w:r>
      <w:r w:rsidR="00485619" w:rsidRPr="002E10C2">
        <w:rPr>
          <w:noProof/>
          <w:spacing w:val="-8"/>
        </w:rPr>
        <w:t xml:space="preserve">n </w:t>
      </w:r>
      <w:r w:rsidR="009103B2" w:rsidRPr="002E10C2">
        <w:rPr>
          <w:noProof/>
          <w:spacing w:val="-8"/>
        </w:rPr>
        <w:t>single platforms.</w:t>
      </w:r>
      <w:r w:rsidR="00977CCB" w:rsidRPr="002E10C2">
        <w:rPr>
          <w:noProof/>
          <w:spacing w:val="-8"/>
        </w:rPr>
        <w:t xml:space="preserve"> </w:t>
      </w:r>
      <w:r w:rsidR="002F138B" w:rsidRPr="002E10C2">
        <w:rPr>
          <w:noProof/>
          <w:spacing w:val="-8"/>
        </w:rPr>
        <w:t>In PO2</w:t>
      </w:r>
      <w:r w:rsidR="007E3C62" w:rsidRPr="002E10C2">
        <w:rPr>
          <w:noProof/>
          <w:spacing w:val="-8"/>
        </w:rPr>
        <w:t xml:space="preserve">, the addition of </w:t>
      </w:r>
      <w:r w:rsidR="00C14F15" w:rsidRPr="002E10C2">
        <w:rPr>
          <w:noProof/>
          <w:spacing w:val="-8"/>
        </w:rPr>
        <w:t>the ‘</w:t>
      </w:r>
      <w:r w:rsidR="007E3C62" w:rsidRPr="002E10C2">
        <w:rPr>
          <w:noProof/>
          <w:spacing w:val="-8"/>
        </w:rPr>
        <w:t>sharing</w:t>
      </w:r>
      <w:r w:rsidR="00C14F15" w:rsidRPr="002E10C2">
        <w:rPr>
          <w:noProof/>
          <w:spacing w:val="-8"/>
        </w:rPr>
        <w:t xml:space="preserve"> obligation’ </w:t>
      </w:r>
      <w:r w:rsidR="00783A9C" w:rsidRPr="002E10C2">
        <w:rPr>
          <w:noProof/>
          <w:spacing w:val="-8"/>
        </w:rPr>
        <w:t xml:space="preserve">(PM13) </w:t>
      </w:r>
      <w:r w:rsidR="00C14F15" w:rsidRPr="002E10C2">
        <w:rPr>
          <w:noProof/>
          <w:spacing w:val="-8"/>
        </w:rPr>
        <w:t>w</w:t>
      </w:r>
      <w:r w:rsidR="00D06D78" w:rsidRPr="002E10C2">
        <w:rPr>
          <w:noProof/>
          <w:spacing w:val="-8"/>
        </w:rPr>
        <w:t>ould</w:t>
      </w:r>
      <w:r w:rsidR="00C14F15" w:rsidRPr="002E10C2">
        <w:rPr>
          <w:noProof/>
          <w:spacing w:val="-8"/>
        </w:rPr>
        <w:t xml:space="preserve"> </w:t>
      </w:r>
      <w:r w:rsidR="00913415" w:rsidRPr="002E10C2">
        <w:rPr>
          <w:noProof/>
          <w:spacing w:val="-8"/>
        </w:rPr>
        <w:t xml:space="preserve">enable </w:t>
      </w:r>
      <w:r w:rsidR="008E3AE7" w:rsidRPr="002E10C2">
        <w:rPr>
          <w:noProof/>
          <w:spacing w:val="-8"/>
        </w:rPr>
        <w:t xml:space="preserve">a complete ticketing offer on </w:t>
      </w:r>
      <w:r w:rsidR="002F3751" w:rsidRPr="002E10C2">
        <w:rPr>
          <w:noProof/>
          <w:spacing w:val="-8"/>
        </w:rPr>
        <w:t xml:space="preserve">willing </w:t>
      </w:r>
      <w:r w:rsidR="008E3AE7" w:rsidRPr="002E10C2">
        <w:rPr>
          <w:noProof/>
          <w:spacing w:val="-8"/>
        </w:rPr>
        <w:t>platf</w:t>
      </w:r>
      <w:r w:rsidR="00E55A0C" w:rsidRPr="002E10C2">
        <w:rPr>
          <w:noProof/>
          <w:spacing w:val="-8"/>
        </w:rPr>
        <w:t>orms. The effect w</w:t>
      </w:r>
      <w:r w:rsidR="00914CBA">
        <w:rPr>
          <w:noProof/>
          <w:spacing w:val="-8"/>
        </w:rPr>
        <w:t>ould</w:t>
      </w:r>
      <w:r w:rsidR="00E55A0C" w:rsidRPr="002E10C2">
        <w:rPr>
          <w:noProof/>
          <w:spacing w:val="-8"/>
        </w:rPr>
        <w:t xml:space="preserve"> thus be stronger than PO1</w:t>
      </w:r>
      <w:r w:rsidR="005F01D3" w:rsidRPr="002E10C2">
        <w:rPr>
          <w:noProof/>
          <w:spacing w:val="-8"/>
        </w:rPr>
        <w:t xml:space="preserve"> but still </w:t>
      </w:r>
      <w:r w:rsidR="00AA4813" w:rsidRPr="002E10C2">
        <w:rPr>
          <w:noProof/>
          <w:spacing w:val="-8"/>
        </w:rPr>
        <w:t xml:space="preserve">be </w:t>
      </w:r>
      <w:r w:rsidR="005F01D3" w:rsidRPr="002E10C2">
        <w:rPr>
          <w:noProof/>
          <w:spacing w:val="-8"/>
        </w:rPr>
        <w:t xml:space="preserve">limited to the customer base of </w:t>
      </w:r>
      <w:r w:rsidR="007F5FF0" w:rsidRPr="002E10C2">
        <w:rPr>
          <w:noProof/>
          <w:spacing w:val="-8"/>
        </w:rPr>
        <w:t>independent platforms</w:t>
      </w:r>
      <w:r w:rsidR="00A8474D" w:rsidRPr="002E10C2">
        <w:rPr>
          <w:noProof/>
          <w:spacing w:val="-8"/>
        </w:rPr>
        <w:t>,</w:t>
      </w:r>
      <w:r w:rsidR="002F3751" w:rsidRPr="002E10C2">
        <w:rPr>
          <w:noProof/>
          <w:spacing w:val="-8"/>
        </w:rPr>
        <w:t xml:space="preserve"> since</w:t>
      </w:r>
      <w:r w:rsidR="00A8474D" w:rsidRPr="002E10C2">
        <w:rPr>
          <w:noProof/>
          <w:spacing w:val="-8"/>
        </w:rPr>
        <w:t xml:space="preserve"> </w:t>
      </w:r>
      <w:r w:rsidR="0084791E" w:rsidRPr="002E10C2">
        <w:rPr>
          <w:noProof/>
          <w:spacing w:val="-8"/>
        </w:rPr>
        <w:t>indispensable</w:t>
      </w:r>
      <w:r w:rsidR="00A8474D" w:rsidRPr="002E10C2">
        <w:rPr>
          <w:noProof/>
          <w:spacing w:val="-8"/>
        </w:rPr>
        <w:t xml:space="preserve"> </w:t>
      </w:r>
      <w:r w:rsidR="007F16E2" w:rsidRPr="002E10C2">
        <w:rPr>
          <w:noProof/>
          <w:spacing w:val="-8"/>
        </w:rPr>
        <w:t xml:space="preserve">RU </w:t>
      </w:r>
      <w:r w:rsidR="00A8474D" w:rsidRPr="002E10C2">
        <w:rPr>
          <w:noProof/>
          <w:spacing w:val="-8"/>
        </w:rPr>
        <w:t>platform</w:t>
      </w:r>
      <w:r w:rsidR="007B2A2F" w:rsidRPr="002E10C2">
        <w:rPr>
          <w:noProof/>
          <w:spacing w:val="-8"/>
        </w:rPr>
        <w:t>s</w:t>
      </w:r>
      <w:r w:rsidR="00A8474D" w:rsidRPr="002E10C2">
        <w:rPr>
          <w:noProof/>
          <w:spacing w:val="-8"/>
        </w:rPr>
        <w:t xml:space="preserve"> </w:t>
      </w:r>
      <w:r w:rsidR="008F650D" w:rsidRPr="002E10C2">
        <w:rPr>
          <w:noProof/>
          <w:spacing w:val="-8"/>
        </w:rPr>
        <w:t xml:space="preserve">have shown no willingness to host </w:t>
      </w:r>
      <w:r w:rsidR="00E9183C" w:rsidRPr="002E10C2">
        <w:rPr>
          <w:noProof/>
          <w:spacing w:val="-8"/>
        </w:rPr>
        <w:t xml:space="preserve">the full </w:t>
      </w:r>
      <w:r w:rsidR="000B152E" w:rsidRPr="002E10C2">
        <w:rPr>
          <w:noProof/>
          <w:spacing w:val="-8"/>
        </w:rPr>
        <w:t xml:space="preserve">offer of </w:t>
      </w:r>
      <w:r w:rsidR="008F650D" w:rsidRPr="002E10C2">
        <w:rPr>
          <w:noProof/>
          <w:spacing w:val="-8"/>
        </w:rPr>
        <w:t>competitors</w:t>
      </w:r>
      <w:r w:rsidR="007F5FF0" w:rsidRPr="002E10C2">
        <w:rPr>
          <w:noProof/>
          <w:spacing w:val="-8"/>
        </w:rPr>
        <w:t>.</w:t>
      </w:r>
      <w:r w:rsidR="00364943" w:rsidRPr="002E10C2">
        <w:rPr>
          <w:noProof/>
          <w:spacing w:val="-8"/>
        </w:rPr>
        <w:t xml:space="preserve"> </w:t>
      </w:r>
      <w:r w:rsidR="002D5A83" w:rsidRPr="002E10C2">
        <w:rPr>
          <w:noProof/>
          <w:spacing w:val="-8"/>
        </w:rPr>
        <w:t xml:space="preserve">In PO3, the further addition of the ‘hosting obligation’ </w:t>
      </w:r>
      <w:r w:rsidR="00364943" w:rsidRPr="002E10C2">
        <w:rPr>
          <w:noProof/>
          <w:spacing w:val="-8"/>
        </w:rPr>
        <w:t xml:space="preserve">(PM14) </w:t>
      </w:r>
      <w:r w:rsidR="004D762C" w:rsidRPr="002E10C2">
        <w:rPr>
          <w:noProof/>
          <w:spacing w:val="-8"/>
        </w:rPr>
        <w:t>w</w:t>
      </w:r>
      <w:r w:rsidR="00C14FEA" w:rsidRPr="002E10C2">
        <w:rPr>
          <w:noProof/>
          <w:spacing w:val="-8"/>
        </w:rPr>
        <w:t>ould</w:t>
      </w:r>
      <w:r w:rsidR="004D762C" w:rsidRPr="002E10C2">
        <w:rPr>
          <w:noProof/>
          <w:spacing w:val="-8"/>
        </w:rPr>
        <w:t xml:space="preserve"> make a substantial difference</w:t>
      </w:r>
      <w:r w:rsidR="00C14FEA" w:rsidRPr="002E10C2">
        <w:rPr>
          <w:noProof/>
          <w:spacing w:val="-8"/>
        </w:rPr>
        <w:t xml:space="preserve">, since now </w:t>
      </w:r>
      <w:r w:rsidR="00FF720A" w:rsidRPr="002E10C2">
        <w:rPr>
          <w:noProof/>
          <w:spacing w:val="-8"/>
        </w:rPr>
        <w:t xml:space="preserve">the possibility to access a complete ticketing offer would </w:t>
      </w:r>
      <w:r w:rsidR="00EB32B8" w:rsidRPr="002E10C2">
        <w:rPr>
          <w:noProof/>
          <w:spacing w:val="-8"/>
        </w:rPr>
        <w:t xml:space="preserve">be extended to </w:t>
      </w:r>
      <w:r w:rsidR="00AD2B20" w:rsidRPr="002E10C2">
        <w:rPr>
          <w:noProof/>
          <w:spacing w:val="-8"/>
        </w:rPr>
        <w:t xml:space="preserve">the customers of </w:t>
      </w:r>
      <w:r w:rsidR="00A5008D" w:rsidRPr="002E10C2">
        <w:rPr>
          <w:noProof/>
          <w:spacing w:val="-8"/>
        </w:rPr>
        <w:t>indispensable</w:t>
      </w:r>
      <w:r w:rsidR="00372A8D">
        <w:rPr>
          <w:noProof/>
          <w:spacing w:val="-8"/>
        </w:rPr>
        <w:t xml:space="preserve"> RU</w:t>
      </w:r>
      <w:r w:rsidR="003B253F" w:rsidRPr="002E10C2">
        <w:rPr>
          <w:noProof/>
          <w:spacing w:val="-8"/>
        </w:rPr>
        <w:t xml:space="preserve"> platforms that have by far the largest reach.</w:t>
      </w:r>
      <w:r w:rsidR="009250D4" w:rsidRPr="002E10C2">
        <w:rPr>
          <w:noProof/>
          <w:spacing w:val="-8"/>
        </w:rPr>
        <w:t xml:space="preserve"> The reduction in search cost would be </w:t>
      </w:r>
      <w:r w:rsidR="00FA0EB6" w:rsidRPr="002E10C2">
        <w:rPr>
          <w:noProof/>
          <w:spacing w:val="-8"/>
        </w:rPr>
        <w:t xml:space="preserve">highest </w:t>
      </w:r>
      <w:r w:rsidR="00963EB8" w:rsidRPr="002E10C2">
        <w:rPr>
          <w:noProof/>
          <w:spacing w:val="-8"/>
        </w:rPr>
        <w:t>in this case.</w:t>
      </w:r>
      <w:r w:rsidR="009103B2" w:rsidRPr="002E10C2">
        <w:rPr>
          <w:noProof/>
          <w:spacing w:val="-8"/>
        </w:rPr>
        <w:t xml:space="preserve"> </w:t>
      </w:r>
      <w:r w:rsidR="00963EB8" w:rsidRPr="002E10C2">
        <w:rPr>
          <w:noProof/>
          <w:spacing w:val="-8"/>
        </w:rPr>
        <w:t xml:space="preserve">In PO4, the unbundling </w:t>
      </w:r>
      <w:r w:rsidR="00B15494" w:rsidRPr="002E10C2">
        <w:rPr>
          <w:noProof/>
          <w:spacing w:val="-8"/>
        </w:rPr>
        <w:t>of vertically integrated platform</w:t>
      </w:r>
      <w:r w:rsidR="008C6FF1" w:rsidRPr="002E10C2">
        <w:rPr>
          <w:noProof/>
          <w:spacing w:val="-8"/>
        </w:rPr>
        <w:t>s</w:t>
      </w:r>
      <w:r w:rsidR="00B15494" w:rsidRPr="002E10C2">
        <w:rPr>
          <w:noProof/>
          <w:spacing w:val="-8"/>
        </w:rPr>
        <w:t xml:space="preserve"> would remove the</w:t>
      </w:r>
      <w:r w:rsidR="00165D1A" w:rsidRPr="002E10C2">
        <w:rPr>
          <w:noProof/>
          <w:spacing w:val="-8"/>
        </w:rPr>
        <w:t xml:space="preserve"> </w:t>
      </w:r>
      <w:r w:rsidR="008C6FF1" w:rsidRPr="002E10C2">
        <w:rPr>
          <w:noProof/>
          <w:spacing w:val="-8"/>
        </w:rPr>
        <w:t>perverse incentive</w:t>
      </w:r>
      <w:r w:rsidR="00B40ECD" w:rsidRPr="002E10C2">
        <w:rPr>
          <w:noProof/>
          <w:spacing w:val="-8"/>
        </w:rPr>
        <w:t>s</w:t>
      </w:r>
      <w:r w:rsidR="008C6FF1" w:rsidRPr="002E10C2">
        <w:rPr>
          <w:noProof/>
          <w:spacing w:val="-8"/>
        </w:rPr>
        <w:t xml:space="preserve"> to limit their </w:t>
      </w:r>
      <w:r w:rsidR="00172680" w:rsidRPr="002E10C2">
        <w:rPr>
          <w:noProof/>
          <w:spacing w:val="-8"/>
        </w:rPr>
        <w:t xml:space="preserve">ticketing </w:t>
      </w:r>
      <w:r w:rsidR="008C6FF1" w:rsidRPr="002E10C2">
        <w:rPr>
          <w:noProof/>
          <w:spacing w:val="-8"/>
        </w:rPr>
        <w:t>offer</w:t>
      </w:r>
      <w:r w:rsidR="00F878CC" w:rsidRPr="002E10C2">
        <w:rPr>
          <w:noProof/>
          <w:spacing w:val="-8"/>
        </w:rPr>
        <w:t>.</w:t>
      </w:r>
      <w:r w:rsidR="00B40ECD" w:rsidRPr="002E10C2">
        <w:rPr>
          <w:noProof/>
          <w:spacing w:val="-8"/>
        </w:rPr>
        <w:t xml:space="preserve"> </w:t>
      </w:r>
      <w:r w:rsidR="008C046F" w:rsidRPr="002E10C2">
        <w:rPr>
          <w:noProof/>
          <w:spacing w:val="-8"/>
        </w:rPr>
        <w:t>Accordingly, t</w:t>
      </w:r>
      <w:r w:rsidR="00B40ECD" w:rsidRPr="002E10C2">
        <w:rPr>
          <w:noProof/>
          <w:spacing w:val="-8"/>
        </w:rPr>
        <w:t xml:space="preserve">he </w:t>
      </w:r>
      <w:r w:rsidR="000F7B9B" w:rsidRPr="002E10C2">
        <w:rPr>
          <w:noProof/>
          <w:spacing w:val="-8"/>
        </w:rPr>
        <w:t>magnitude of</w:t>
      </w:r>
      <w:r w:rsidR="008C046F" w:rsidRPr="002E10C2">
        <w:rPr>
          <w:noProof/>
          <w:spacing w:val="-8"/>
        </w:rPr>
        <w:t xml:space="preserve"> t</w:t>
      </w:r>
      <w:r w:rsidR="00B40ECD" w:rsidRPr="002E10C2">
        <w:rPr>
          <w:noProof/>
          <w:spacing w:val="-8"/>
        </w:rPr>
        <w:t xml:space="preserve">he </w:t>
      </w:r>
      <w:r w:rsidR="003D0A37" w:rsidRPr="002E10C2">
        <w:rPr>
          <w:noProof/>
          <w:spacing w:val="-8"/>
        </w:rPr>
        <w:t xml:space="preserve">reduction in search cost for consumers would </w:t>
      </w:r>
      <w:r w:rsidR="00E5652A" w:rsidRPr="002E10C2">
        <w:rPr>
          <w:noProof/>
          <w:spacing w:val="-8"/>
        </w:rPr>
        <w:t>be similar to</w:t>
      </w:r>
      <w:r w:rsidR="002E21C7" w:rsidRPr="002E10C2">
        <w:rPr>
          <w:noProof/>
          <w:spacing w:val="-8"/>
        </w:rPr>
        <w:t xml:space="preserve"> PO3 but </w:t>
      </w:r>
      <w:r w:rsidR="00DE127D" w:rsidRPr="002E10C2">
        <w:rPr>
          <w:noProof/>
          <w:spacing w:val="-8"/>
        </w:rPr>
        <w:t>it is likely to</w:t>
      </w:r>
      <w:r w:rsidR="002E21C7" w:rsidRPr="002E10C2">
        <w:rPr>
          <w:noProof/>
          <w:spacing w:val="-8"/>
        </w:rPr>
        <w:t xml:space="preserve"> </w:t>
      </w:r>
      <w:r w:rsidR="00683542" w:rsidRPr="002E10C2">
        <w:rPr>
          <w:noProof/>
          <w:spacing w:val="-8"/>
        </w:rPr>
        <w:t xml:space="preserve">be </w:t>
      </w:r>
      <w:r w:rsidR="002E21C7" w:rsidRPr="002E10C2">
        <w:rPr>
          <w:noProof/>
          <w:spacing w:val="-8"/>
        </w:rPr>
        <w:t xml:space="preserve">achieved with a certain delay due to the </w:t>
      </w:r>
      <w:r w:rsidR="00081437" w:rsidRPr="002E10C2">
        <w:rPr>
          <w:noProof/>
          <w:spacing w:val="-8"/>
        </w:rPr>
        <w:t>need for restructuring processes.</w:t>
      </w:r>
    </w:p>
    <w:p w14:paraId="67B8BAC7" w14:textId="249F39C9" w:rsidR="00822793" w:rsidRPr="002E10C2" w:rsidRDefault="00B94FEE" w:rsidP="004E2BB6">
      <w:pPr>
        <w:pStyle w:val="BodyText"/>
        <w:spacing w:after="240"/>
        <w:ind w:left="0"/>
        <w:rPr>
          <w:noProof/>
          <w:spacing w:val="-8"/>
        </w:rPr>
      </w:pPr>
      <w:r w:rsidRPr="002E10C2">
        <w:rPr>
          <w:b/>
          <w:i/>
          <w:iCs/>
          <w:noProof/>
          <w:spacing w:val="-8"/>
        </w:rPr>
        <w:t xml:space="preserve">Implications </w:t>
      </w:r>
      <w:r w:rsidR="00A87673" w:rsidRPr="002E10C2">
        <w:rPr>
          <w:b/>
          <w:i/>
          <w:iCs/>
          <w:noProof/>
          <w:spacing w:val="-8"/>
        </w:rPr>
        <w:t xml:space="preserve">for consumers </w:t>
      </w:r>
      <w:r w:rsidRPr="002E10C2">
        <w:rPr>
          <w:b/>
          <w:i/>
          <w:iCs/>
          <w:noProof/>
          <w:spacing w:val="-8"/>
        </w:rPr>
        <w:t xml:space="preserve">of </w:t>
      </w:r>
      <w:r w:rsidR="005400DF" w:rsidRPr="002E10C2">
        <w:rPr>
          <w:b/>
          <w:i/>
          <w:iCs/>
          <w:noProof/>
          <w:spacing w:val="-8"/>
        </w:rPr>
        <w:t>increase</w:t>
      </w:r>
      <w:r w:rsidRPr="002E10C2">
        <w:rPr>
          <w:b/>
          <w:i/>
          <w:iCs/>
          <w:noProof/>
          <w:spacing w:val="-8"/>
        </w:rPr>
        <w:t>d</w:t>
      </w:r>
      <w:r w:rsidR="005400DF" w:rsidRPr="002E10C2">
        <w:rPr>
          <w:b/>
          <w:i/>
          <w:iCs/>
          <w:noProof/>
          <w:spacing w:val="-8"/>
        </w:rPr>
        <w:t xml:space="preserve"> competition in the platform market</w:t>
      </w:r>
      <w:r w:rsidR="00631BC0" w:rsidRPr="002E10C2">
        <w:rPr>
          <w:b/>
          <w:i/>
          <w:iCs/>
          <w:noProof/>
          <w:spacing w:val="-8"/>
        </w:rPr>
        <w:t>.</w:t>
      </w:r>
      <w:r w:rsidR="00631BC0" w:rsidRPr="002E10C2">
        <w:rPr>
          <w:b/>
          <w:noProof/>
          <w:spacing w:val="-8"/>
        </w:rPr>
        <w:t xml:space="preserve"> </w:t>
      </w:r>
      <w:r w:rsidR="00382511" w:rsidRPr="002E10C2">
        <w:rPr>
          <w:noProof/>
          <w:spacing w:val="-8"/>
        </w:rPr>
        <w:t>Increase</w:t>
      </w:r>
      <w:r w:rsidR="002F144B">
        <w:rPr>
          <w:noProof/>
          <w:spacing w:val="-8"/>
        </w:rPr>
        <w:t>d</w:t>
      </w:r>
      <w:r w:rsidR="00382511" w:rsidRPr="002E10C2">
        <w:rPr>
          <w:noProof/>
          <w:spacing w:val="-8"/>
        </w:rPr>
        <w:t xml:space="preserve"> competition </w:t>
      </w:r>
      <w:r w:rsidR="00822793" w:rsidRPr="002E10C2">
        <w:rPr>
          <w:noProof/>
          <w:spacing w:val="-8"/>
        </w:rPr>
        <w:t xml:space="preserve">in the platform market would lead </w:t>
      </w:r>
      <w:r w:rsidRPr="002E10C2">
        <w:rPr>
          <w:noProof/>
          <w:spacing w:val="-8"/>
        </w:rPr>
        <w:t>to greater innovation efforts, widening of services available on platforms, improvements in the overall ticketing experience, and possibly reduction of transaction costs for users</w:t>
      </w:r>
      <w:r w:rsidR="00822793" w:rsidRPr="002E10C2">
        <w:rPr>
          <w:noProof/>
          <w:spacing w:val="-8"/>
        </w:rPr>
        <w:t>.</w:t>
      </w:r>
      <w:r w:rsidR="00631BC0" w:rsidRPr="002E10C2">
        <w:rPr>
          <w:noProof/>
          <w:spacing w:val="-8"/>
        </w:rPr>
        <w:t xml:space="preserve"> </w:t>
      </w:r>
      <w:r w:rsidR="00951FFC" w:rsidRPr="002E10C2">
        <w:rPr>
          <w:noProof/>
          <w:spacing w:val="-8"/>
        </w:rPr>
        <w:t>PO1 would not sub</w:t>
      </w:r>
      <w:r w:rsidR="006C787B" w:rsidRPr="002E10C2">
        <w:rPr>
          <w:noProof/>
          <w:spacing w:val="-8"/>
        </w:rPr>
        <w:t>stantially affect competition in the platform market</w:t>
      </w:r>
      <w:r w:rsidR="009D7BEA" w:rsidRPr="002E10C2">
        <w:rPr>
          <w:noProof/>
          <w:spacing w:val="-8"/>
        </w:rPr>
        <w:t>, since</w:t>
      </w:r>
      <w:r w:rsidR="00967772" w:rsidRPr="002E10C2">
        <w:rPr>
          <w:noProof/>
          <w:spacing w:val="-8"/>
        </w:rPr>
        <w:t>, broadly speaking,</w:t>
      </w:r>
      <w:r w:rsidR="009D7BEA" w:rsidRPr="002E10C2">
        <w:rPr>
          <w:noProof/>
          <w:spacing w:val="-8"/>
        </w:rPr>
        <w:t xml:space="preserve"> it will n</w:t>
      </w:r>
      <w:r w:rsidR="00894671" w:rsidRPr="002E10C2">
        <w:rPr>
          <w:noProof/>
          <w:spacing w:val="-8"/>
        </w:rPr>
        <w:t xml:space="preserve">either affect the </w:t>
      </w:r>
      <w:r w:rsidR="00395573" w:rsidRPr="002E10C2">
        <w:rPr>
          <w:noProof/>
          <w:spacing w:val="-8"/>
        </w:rPr>
        <w:t>content, nor the incentive</w:t>
      </w:r>
      <w:r w:rsidR="004734DF" w:rsidRPr="002E10C2">
        <w:rPr>
          <w:noProof/>
          <w:spacing w:val="-8"/>
        </w:rPr>
        <w:t>s</w:t>
      </w:r>
      <w:r w:rsidR="00395573" w:rsidRPr="002E10C2">
        <w:rPr>
          <w:noProof/>
          <w:spacing w:val="-8"/>
        </w:rPr>
        <w:t xml:space="preserve"> of platform</w:t>
      </w:r>
      <w:r w:rsidR="004734DF" w:rsidRPr="002E10C2">
        <w:rPr>
          <w:noProof/>
          <w:spacing w:val="-8"/>
        </w:rPr>
        <w:t>s</w:t>
      </w:r>
      <w:r w:rsidR="00395573" w:rsidRPr="002E10C2">
        <w:rPr>
          <w:noProof/>
          <w:spacing w:val="-8"/>
        </w:rPr>
        <w:t xml:space="preserve">, but only the presentation of existing offers. </w:t>
      </w:r>
      <w:r w:rsidR="00DE6D1A" w:rsidRPr="002E10C2">
        <w:rPr>
          <w:noProof/>
          <w:spacing w:val="-8"/>
        </w:rPr>
        <w:t xml:space="preserve">PO2 would </w:t>
      </w:r>
      <w:r w:rsidR="00684575" w:rsidRPr="002E10C2">
        <w:rPr>
          <w:noProof/>
          <w:spacing w:val="-8"/>
        </w:rPr>
        <w:t xml:space="preserve">have an impact on the content of </w:t>
      </w:r>
      <w:r w:rsidR="00DE6D1A" w:rsidRPr="002E10C2">
        <w:rPr>
          <w:noProof/>
          <w:spacing w:val="-8"/>
        </w:rPr>
        <w:t xml:space="preserve">independent </w:t>
      </w:r>
      <w:r w:rsidR="00684575" w:rsidRPr="002E10C2">
        <w:rPr>
          <w:noProof/>
          <w:spacing w:val="-8"/>
        </w:rPr>
        <w:t xml:space="preserve">platforms, making them a more attractive </w:t>
      </w:r>
      <w:r w:rsidR="00E105C0" w:rsidRPr="002E10C2">
        <w:rPr>
          <w:noProof/>
          <w:spacing w:val="-8"/>
        </w:rPr>
        <w:t xml:space="preserve">distribution channel for consumers. This will improve their position vis à vis the </w:t>
      </w:r>
      <w:r w:rsidR="009653E6">
        <w:rPr>
          <w:noProof/>
          <w:spacing w:val="-8"/>
        </w:rPr>
        <w:t>indispensable</w:t>
      </w:r>
      <w:r w:rsidR="00E105C0" w:rsidRPr="002E10C2">
        <w:rPr>
          <w:noProof/>
          <w:spacing w:val="-8"/>
        </w:rPr>
        <w:t xml:space="preserve"> platform</w:t>
      </w:r>
      <w:r w:rsidR="00214C17" w:rsidRPr="002E10C2">
        <w:rPr>
          <w:noProof/>
          <w:spacing w:val="-8"/>
        </w:rPr>
        <w:t>s</w:t>
      </w:r>
      <w:r w:rsidR="00E105C0" w:rsidRPr="002E10C2">
        <w:rPr>
          <w:noProof/>
          <w:spacing w:val="-8"/>
        </w:rPr>
        <w:t xml:space="preserve"> and increase </w:t>
      </w:r>
      <w:r w:rsidR="00B9428B" w:rsidRPr="002E10C2">
        <w:rPr>
          <w:noProof/>
          <w:spacing w:val="-8"/>
        </w:rPr>
        <w:t xml:space="preserve">overall </w:t>
      </w:r>
      <w:r w:rsidR="00E105C0" w:rsidRPr="002E10C2">
        <w:rPr>
          <w:noProof/>
          <w:spacing w:val="-8"/>
        </w:rPr>
        <w:t xml:space="preserve">competition in the </w:t>
      </w:r>
      <w:r w:rsidR="00214C17" w:rsidRPr="002E10C2">
        <w:rPr>
          <w:noProof/>
          <w:spacing w:val="-8"/>
        </w:rPr>
        <w:t>platform market.</w:t>
      </w:r>
      <w:r w:rsidR="000269BC" w:rsidRPr="002E10C2">
        <w:rPr>
          <w:noProof/>
          <w:spacing w:val="-8"/>
        </w:rPr>
        <w:t xml:space="preserve"> The inertia in consumer behaviour</w:t>
      </w:r>
      <w:r w:rsidR="00DA3D81" w:rsidRPr="002E10C2">
        <w:rPr>
          <w:noProof/>
          <w:spacing w:val="-8"/>
        </w:rPr>
        <w:t xml:space="preserve"> might however </w:t>
      </w:r>
      <w:r w:rsidR="000D1F4E" w:rsidRPr="002E10C2">
        <w:rPr>
          <w:noProof/>
          <w:spacing w:val="-8"/>
        </w:rPr>
        <w:t xml:space="preserve">dampen the effect as many consumers would remain </w:t>
      </w:r>
      <w:r w:rsidR="00CE4805" w:rsidRPr="002E10C2">
        <w:rPr>
          <w:noProof/>
          <w:spacing w:val="-8"/>
        </w:rPr>
        <w:t xml:space="preserve">loyal to </w:t>
      </w:r>
      <w:r w:rsidR="00A82AFE" w:rsidRPr="002E10C2">
        <w:rPr>
          <w:noProof/>
          <w:spacing w:val="-8"/>
        </w:rPr>
        <w:t>indispensable platforms.</w:t>
      </w:r>
      <w:r w:rsidR="00CE4805" w:rsidRPr="002E10C2">
        <w:rPr>
          <w:noProof/>
          <w:spacing w:val="-8"/>
        </w:rPr>
        <w:t xml:space="preserve"> </w:t>
      </w:r>
      <w:r w:rsidR="00B9428B" w:rsidRPr="002E10C2">
        <w:rPr>
          <w:noProof/>
          <w:spacing w:val="-8"/>
        </w:rPr>
        <w:t>PO3 w</w:t>
      </w:r>
      <w:r w:rsidR="00B851A7" w:rsidRPr="002E10C2">
        <w:rPr>
          <w:noProof/>
          <w:spacing w:val="-8"/>
        </w:rPr>
        <w:t xml:space="preserve">ould </w:t>
      </w:r>
      <w:r w:rsidR="00A82AFE" w:rsidRPr="002E10C2">
        <w:rPr>
          <w:noProof/>
          <w:spacing w:val="-8"/>
        </w:rPr>
        <w:t xml:space="preserve">oblige </w:t>
      </w:r>
      <w:r w:rsidR="00B90014" w:rsidRPr="002E10C2">
        <w:rPr>
          <w:noProof/>
          <w:spacing w:val="-8"/>
        </w:rPr>
        <w:t xml:space="preserve">indispensable </w:t>
      </w:r>
      <w:r w:rsidR="00EB6C5B">
        <w:rPr>
          <w:noProof/>
          <w:spacing w:val="-8"/>
        </w:rPr>
        <w:t xml:space="preserve">RU </w:t>
      </w:r>
      <w:r w:rsidR="00B90014" w:rsidRPr="002E10C2">
        <w:rPr>
          <w:noProof/>
          <w:spacing w:val="-8"/>
        </w:rPr>
        <w:t>platform</w:t>
      </w:r>
      <w:r w:rsidR="0036378E">
        <w:rPr>
          <w:noProof/>
          <w:spacing w:val="-8"/>
        </w:rPr>
        <w:t>s</w:t>
      </w:r>
      <w:r w:rsidR="00B90014" w:rsidRPr="002E10C2">
        <w:rPr>
          <w:noProof/>
          <w:spacing w:val="-8"/>
        </w:rPr>
        <w:t xml:space="preserve"> to host a complete ticketing offer</w:t>
      </w:r>
      <w:r w:rsidR="00E1495F">
        <w:rPr>
          <w:noProof/>
          <w:spacing w:val="-8"/>
        </w:rPr>
        <w:t xml:space="preserve"> (PM14)</w:t>
      </w:r>
      <w:r w:rsidR="00B90014" w:rsidRPr="002E10C2">
        <w:rPr>
          <w:noProof/>
          <w:spacing w:val="-8"/>
        </w:rPr>
        <w:t xml:space="preserve">. This </w:t>
      </w:r>
      <w:r w:rsidR="00921589" w:rsidRPr="002E10C2">
        <w:rPr>
          <w:noProof/>
          <w:spacing w:val="-8"/>
        </w:rPr>
        <w:t xml:space="preserve">is likely to </w:t>
      </w:r>
      <w:r w:rsidR="00B90014" w:rsidRPr="002E10C2">
        <w:rPr>
          <w:noProof/>
          <w:spacing w:val="-8"/>
        </w:rPr>
        <w:t xml:space="preserve">reinforce their </w:t>
      </w:r>
      <w:r w:rsidR="00044683" w:rsidRPr="002E10C2">
        <w:rPr>
          <w:noProof/>
          <w:spacing w:val="-8"/>
        </w:rPr>
        <w:t xml:space="preserve">appeal </w:t>
      </w:r>
      <w:r w:rsidR="00B90014" w:rsidRPr="002E10C2">
        <w:rPr>
          <w:noProof/>
          <w:spacing w:val="-8"/>
        </w:rPr>
        <w:t xml:space="preserve">in the market, but at the same time would deprive them of </w:t>
      </w:r>
      <w:r w:rsidR="004B7063" w:rsidRPr="002E10C2">
        <w:rPr>
          <w:noProof/>
          <w:spacing w:val="-8"/>
        </w:rPr>
        <w:t>any possibility of abusing behaviour</w:t>
      </w:r>
      <w:r w:rsidR="00CF1779" w:rsidRPr="002E10C2">
        <w:rPr>
          <w:noProof/>
          <w:spacing w:val="-8"/>
        </w:rPr>
        <w:t xml:space="preserve"> </w:t>
      </w:r>
      <w:r w:rsidR="00835403" w:rsidRPr="002E10C2">
        <w:rPr>
          <w:noProof/>
          <w:spacing w:val="-8"/>
        </w:rPr>
        <w:t xml:space="preserve">(by virtue of </w:t>
      </w:r>
      <w:r w:rsidR="00835403">
        <w:rPr>
          <w:noProof/>
          <w:spacing w:val="-8"/>
        </w:rPr>
        <w:t xml:space="preserve">the common measures included in all options, </w:t>
      </w:r>
      <w:r w:rsidR="00835403" w:rsidRPr="002E10C2">
        <w:rPr>
          <w:noProof/>
          <w:spacing w:val="-8"/>
        </w:rPr>
        <w:t xml:space="preserve">PM1 to </w:t>
      </w:r>
      <w:r w:rsidR="00835403">
        <w:rPr>
          <w:noProof/>
          <w:spacing w:val="-8"/>
        </w:rPr>
        <w:t>PM</w:t>
      </w:r>
      <w:r w:rsidR="00835403" w:rsidRPr="002E10C2">
        <w:rPr>
          <w:noProof/>
          <w:spacing w:val="-8"/>
        </w:rPr>
        <w:t>12)</w:t>
      </w:r>
      <w:r w:rsidR="00CF1779" w:rsidRPr="002E10C2">
        <w:rPr>
          <w:noProof/>
          <w:spacing w:val="-8"/>
        </w:rPr>
        <w:t xml:space="preserve"> </w:t>
      </w:r>
      <w:r w:rsidR="00CF001A" w:rsidRPr="002E10C2">
        <w:rPr>
          <w:noProof/>
          <w:spacing w:val="-8"/>
        </w:rPr>
        <w:t xml:space="preserve">or </w:t>
      </w:r>
      <w:r w:rsidR="007F41AC" w:rsidRPr="002E10C2">
        <w:rPr>
          <w:noProof/>
          <w:spacing w:val="-8"/>
        </w:rPr>
        <w:t>denying access to competitors (PM14)</w:t>
      </w:r>
      <w:r w:rsidR="00CB40A7" w:rsidRPr="002E10C2">
        <w:rPr>
          <w:noProof/>
          <w:spacing w:val="-8"/>
        </w:rPr>
        <w:t xml:space="preserve">. </w:t>
      </w:r>
      <w:r w:rsidR="000B5176" w:rsidRPr="002E10C2">
        <w:rPr>
          <w:noProof/>
          <w:spacing w:val="-8"/>
        </w:rPr>
        <w:t xml:space="preserve">This </w:t>
      </w:r>
      <w:r w:rsidR="001F3F56" w:rsidRPr="002E10C2">
        <w:rPr>
          <w:noProof/>
          <w:spacing w:val="-8"/>
        </w:rPr>
        <w:t>would change the incentives for indi</w:t>
      </w:r>
      <w:r w:rsidR="002E3CE0" w:rsidRPr="002E10C2">
        <w:rPr>
          <w:noProof/>
          <w:spacing w:val="-8"/>
        </w:rPr>
        <w:t xml:space="preserve">spensable platforms, </w:t>
      </w:r>
      <w:r w:rsidR="002B41EF" w:rsidRPr="002E10C2">
        <w:rPr>
          <w:noProof/>
          <w:spacing w:val="-8"/>
        </w:rPr>
        <w:t>inducing a behaviour that is closer to that of ‘normal’ platform</w:t>
      </w:r>
      <w:r w:rsidR="004E2BB6" w:rsidRPr="002E10C2">
        <w:rPr>
          <w:noProof/>
          <w:spacing w:val="-8"/>
        </w:rPr>
        <w:t>s</w:t>
      </w:r>
      <w:r w:rsidR="002B41EF" w:rsidRPr="002E10C2">
        <w:rPr>
          <w:noProof/>
          <w:spacing w:val="-8"/>
        </w:rPr>
        <w:t xml:space="preserve"> that seek to </w:t>
      </w:r>
      <w:r w:rsidR="00FF3821" w:rsidRPr="002E10C2">
        <w:rPr>
          <w:noProof/>
          <w:spacing w:val="-8"/>
        </w:rPr>
        <w:t xml:space="preserve">maximise </w:t>
      </w:r>
      <w:r w:rsidR="005C3256" w:rsidRPr="002E10C2">
        <w:rPr>
          <w:noProof/>
          <w:spacing w:val="-8"/>
        </w:rPr>
        <w:t xml:space="preserve">market intermediation. </w:t>
      </w:r>
      <w:r w:rsidR="00CD0A43" w:rsidRPr="002E10C2">
        <w:rPr>
          <w:noProof/>
          <w:spacing w:val="-8"/>
        </w:rPr>
        <w:t xml:space="preserve">This, in turn, </w:t>
      </w:r>
      <w:r w:rsidR="000956A5" w:rsidRPr="002E10C2">
        <w:rPr>
          <w:noProof/>
          <w:spacing w:val="-8"/>
        </w:rPr>
        <w:t xml:space="preserve">might </w:t>
      </w:r>
      <w:r w:rsidR="00013C86" w:rsidRPr="002E10C2">
        <w:rPr>
          <w:noProof/>
          <w:spacing w:val="-8"/>
        </w:rPr>
        <w:t>elic</w:t>
      </w:r>
      <w:r w:rsidR="008357BF" w:rsidRPr="002E10C2">
        <w:rPr>
          <w:noProof/>
          <w:spacing w:val="-8"/>
        </w:rPr>
        <w:t>i</w:t>
      </w:r>
      <w:r w:rsidR="00013C86" w:rsidRPr="002E10C2">
        <w:rPr>
          <w:noProof/>
          <w:spacing w:val="-8"/>
        </w:rPr>
        <w:t xml:space="preserve">t even stronger </w:t>
      </w:r>
      <w:r w:rsidR="008357BF" w:rsidRPr="002E10C2">
        <w:rPr>
          <w:noProof/>
          <w:spacing w:val="-8"/>
        </w:rPr>
        <w:t>innovation efforts from competing independent plat</w:t>
      </w:r>
      <w:r w:rsidR="001D74C2" w:rsidRPr="002E10C2">
        <w:rPr>
          <w:noProof/>
          <w:spacing w:val="-8"/>
        </w:rPr>
        <w:t>forms.</w:t>
      </w:r>
      <w:r w:rsidR="008A7D78" w:rsidRPr="002E10C2">
        <w:rPr>
          <w:noProof/>
          <w:spacing w:val="-8"/>
        </w:rPr>
        <w:t xml:space="preserve"> </w:t>
      </w:r>
      <w:r w:rsidR="000B6936">
        <w:rPr>
          <w:noProof/>
          <w:spacing w:val="-8"/>
        </w:rPr>
        <w:t xml:space="preserve">Indeed, </w:t>
      </w:r>
      <w:r w:rsidR="008E37B2">
        <w:rPr>
          <w:noProof/>
          <w:spacing w:val="-8"/>
        </w:rPr>
        <w:t>in</w:t>
      </w:r>
      <w:r w:rsidR="00C92053">
        <w:rPr>
          <w:noProof/>
          <w:spacing w:val="-8"/>
        </w:rPr>
        <w:t xml:space="preserve"> the baseline</w:t>
      </w:r>
      <w:r w:rsidR="005055FB">
        <w:rPr>
          <w:noProof/>
          <w:spacing w:val="-8"/>
        </w:rPr>
        <w:t>,</w:t>
      </w:r>
      <w:r w:rsidR="007A4B23">
        <w:rPr>
          <w:noProof/>
          <w:spacing w:val="-8"/>
        </w:rPr>
        <w:t xml:space="preserve"> PO1 and</w:t>
      </w:r>
      <w:r w:rsidR="0095171F">
        <w:rPr>
          <w:noProof/>
          <w:spacing w:val="-8"/>
        </w:rPr>
        <w:t>,</w:t>
      </w:r>
      <w:r w:rsidR="007A4B23">
        <w:rPr>
          <w:noProof/>
          <w:spacing w:val="-8"/>
        </w:rPr>
        <w:t xml:space="preserve"> </w:t>
      </w:r>
      <w:r w:rsidR="00B52A6D">
        <w:rPr>
          <w:noProof/>
          <w:spacing w:val="-8"/>
        </w:rPr>
        <w:t>partly</w:t>
      </w:r>
      <w:r w:rsidR="0095171F">
        <w:rPr>
          <w:noProof/>
          <w:spacing w:val="-8"/>
        </w:rPr>
        <w:t>,</w:t>
      </w:r>
      <w:r w:rsidR="007A4B23">
        <w:rPr>
          <w:noProof/>
          <w:spacing w:val="-8"/>
        </w:rPr>
        <w:t xml:space="preserve"> PO2</w:t>
      </w:r>
      <w:r w:rsidR="005055FB">
        <w:rPr>
          <w:noProof/>
          <w:spacing w:val="-8"/>
        </w:rPr>
        <w:t>,</w:t>
      </w:r>
      <w:r w:rsidR="00C92053">
        <w:rPr>
          <w:noProof/>
          <w:spacing w:val="-8"/>
        </w:rPr>
        <w:t xml:space="preserve"> platf</w:t>
      </w:r>
      <w:r w:rsidR="00D37F6E">
        <w:rPr>
          <w:noProof/>
          <w:spacing w:val="-8"/>
        </w:rPr>
        <w:t xml:space="preserve">orms have </w:t>
      </w:r>
      <w:r w:rsidR="005055FB">
        <w:rPr>
          <w:noProof/>
          <w:spacing w:val="-8"/>
        </w:rPr>
        <w:t>near ‘</w:t>
      </w:r>
      <w:r w:rsidR="00763F48">
        <w:rPr>
          <w:noProof/>
          <w:spacing w:val="-8"/>
        </w:rPr>
        <w:t>captive</w:t>
      </w:r>
      <w:r w:rsidR="005055FB">
        <w:rPr>
          <w:noProof/>
          <w:spacing w:val="-8"/>
        </w:rPr>
        <w:t>’</w:t>
      </w:r>
      <w:r w:rsidR="00763F48">
        <w:rPr>
          <w:noProof/>
          <w:spacing w:val="-8"/>
        </w:rPr>
        <w:t xml:space="preserve"> </w:t>
      </w:r>
      <w:r w:rsidR="006A397A">
        <w:rPr>
          <w:noProof/>
          <w:spacing w:val="-8"/>
        </w:rPr>
        <w:t>customers</w:t>
      </w:r>
      <w:r w:rsidR="005055FB">
        <w:rPr>
          <w:noProof/>
          <w:spacing w:val="-8"/>
        </w:rPr>
        <w:t xml:space="preserve"> </w:t>
      </w:r>
      <w:r w:rsidR="001C239D">
        <w:rPr>
          <w:noProof/>
          <w:spacing w:val="-8"/>
        </w:rPr>
        <w:t>(</w:t>
      </w:r>
      <w:r w:rsidR="00A66A8A">
        <w:rPr>
          <w:noProof/>
          <w:spacing w:val="-8"/>
        </w:rPr>
        <w:t xml:space="preserve">incumbent operators for the incumbent platforms and </w:t>
      </w:r>
      <w:r w:rsidR="00020C04">
        <w:rPr>
          <w:noProof/>
          <w:spacing w:val="-8"/>
        </w:rPr>
        <w:t>new</w:t>
      </w:r>
      <w:r w:rsidR="00F96BC3">
        <w:rPr>
          <w:noProof/>
          <w:spacing w:val="-8"/>
        </w:rPr>
        <w:t xml:space="preserve"> </w:t>
      </w:r>
      <w:r w:rsidR="00020C04">
        <w:rPr>
          <w:noProof/>
          <w:spacing w:val="-8"/>
        </w:rPr>
        <w:t>entrants for the independent platforms</w:t>
      </w:r>
      <w:r w:rsidR="00511035">
        <w:rPr>
          <w:rStyle w:val="FootnoteReference"/>
          <w:noProof/>
          <w:spacing w:val="-8"/>
        </w:rPr>
        <w:footnoteReference w:id="196"/>
      </w:r>
      <w:r w:rsidR="000C3C34">
        <w:rPr>
          <w:noProof/>
          <w:spacing w:val="-8"/>
        </w:rPr>
        <w:t>)</w:t>
      </w:r>
      <w:r w:rsidR="00020C04">
        <w:rPr>
          <w:noProof/>
          <w:spacing w:val="-8"/>
        </w:rPr>
        <w:t xml:space="preserve"> </w:t>
      </w:r>
      <w:r w:rsidR="00EF24BB">
        <w:rPr>
          <w:noProof/>
          <w:spacing w:val="-8"/>
        </w:rPr>
        <w:t xml:space="preserve">and competition is </w:t>
      </w:r>
      <w:r w:rsidR="00751495">
        <w:rPr>
          <w:noProof/>
          <w:spacing w:val="-8"/>
        </w:rPr>
        <w:t>affected by</w:t>
      </w:r>
      <w:r w:rsidR="00EF24BB">
        <w:rPr>
          <w:noProof/>
          <w:spacing w:val="-8"/>
        </w:rPr>
        <w:t xml:space="preserve"> access </w:t>
      </w:r>
      <w:r w:rsidR="00627168">
        <w:rPr>
          <w:noProof/>
          <w:spacing w:val="-8"/>
        </w:rPr>
        <w:t xml:space="preserve">limitations </w:t>
      </w:r>
      <w:r w:rsidR="00EF24BB">
        <w:rPr>
          <w:noProof/>
          <w:spacing w:val="-8"/>
        </w:rPr>
        <w:t xml:space="preserve">to </w:t>
      </w:r>
      <w:r w:rsidR="00627168">
        <w:rPr>
          <w:noProof/>
          <w:spacing w:val="-8"/>
        </w:rPr>
        <w:t xml:space="preserve">both </w:t>
      </w:r>
      <w:r w:rsidR="00843B0E">
        <w:rPr>
          <w:noProof/>
          <w:spacing w:val="-8"/>
        </w:rPr>
        <w:t xml:space="preserve">content </w:t>
      </w:r>
      <w:r w:rsidR="00627168">
        <w:rPr>
          <w:noProof/>
          <w:spacing w:val="-8"/>
        </w:rPr>
        <w:t xml:space="preserve">and distribution channels. </w:t>
      </w:r>
      <w:r w:rsidR="00F96BC3">
        <w:rPr>
          <w:noProof/>
          <w:spacing w:val="-8"/>
        </w:rPr>
        <w:t>Under</w:t>
      </w:r>
      <w:r w:rsidR="00843B0E">
        <w:rPr>
          <w:noProof/>
          <w:spacing w:val="-8"/>
        </w:rPr>
        <w:t xml:space="preserve"> </w:t>
      </w:r>
      <w:r w:rsidR="00020C04">
        <w:rPr>
          <w:noProof/>
          <w:spacing w:val="-8"/>
        </w:rPr>
        <w:t>PO3</w:t>
      </w:r>
      <w:r w:rsidR="0006165B">
        <w:rPr>
          <w:noProof/>
          <w:spacing w:val="-8"/>
        </w:rPr>
        <w:t xml:space="preserve">, the sharing and hosting obligation </w:t>
      </w:r>
      <w:r w:rsidR="00302E7B">
        <w:rPr>
          <w:noProof/>
          <w:spacing w:val="-8"/>
        </w:rPr>
        <w:t>provide</w:t>
      </w:r>
      <w:r w:rsidR="00D7428D">
        <w:rPr>
          <w:noProof/>
          <w:spacing w:val="-8"/>
        </w:rPr>
        <w:t xml:space="preserve"> all operators with</w:t>
      </w:r>
      <w:r w:rsidR="00302E7B">
        <w:rPr>
          <w:noProof/>
          <w:spacing w:val="-8"/>
        </w:rPr>
        <w:t xml:space="preserve"> full access to </w:t>
      </w:r>
      <w:r w:rsidR="00CF214F">
        <w:rPr>
          <w:noProof/>
          <w:spacing w:val="-8"/>
        </w:rPr>
        <w:t>tic</w:t>
      </w:r>
      <w:r w:rsidR="00D7428D">
        <w:rPr>
          <w:noProof/>
          <w:spacing w:val="-8"/>
        </w:rPr>
        <w:t>kets and platforms</w:t>
      </w:r>
      <w:r w:rsidR="006325D0">
        <w:rPr>
          <w:noProof/>
          <w:spacing w:val="-8"/>
        </w:rPr>
        <w:t xml:space="preserve">. This is likely to push platforms to </w:t>
      </w:r>
      <w:r w:rsidR="004A4011">
        <w:rPr>
          <w:noProof/>
          <w:spacing w:val="-8"/>
        </w:rPr>
        <w:t>co</w:t>
      </w:r>
      <w:r w:rsidR="00351D5C">
        <w:rPr>
          <w:noProof/>
          <w:spacing w:val="-8"/>
        </w:rPr>
        <w:t>mpete more strongly on innovation, user experience</w:t>
      </w:r>
      <w:r w:rsidR="003E24AE">
        <w:rPr>
          <w:noProof/>
          <w:spacing w:val="-8"/>
        </w:rPr>
        <w:t>, customer care</w:t>
      </w:r>
      <w:r w:rsidR="00D75537">
        <w:rPr>
          <w:noProof/>
          <w:spacing w:val="-8"/>
        </w:rPr>
        <w:t xml:space="preserve"> and </w:t>
      </w:r>
      <w:r w:rsidR="00ED7981">
        <w:rPr>
          <w:noProof/>
          <w:spacing w:val="-8"/>
        </w:rPr>
        <w:t>additional services</w:t>
      </w:r>
      <w:r w:rsidR="0094794A">
        <w:rPr>
          <w:noProof/>
          <w:spacing w:val="-8"/>
        </w:rPr>
        <w:t xml:space="preserve">, </w:t>
      </w:r>
      <w:r w:rsidR="004E56E5">
        <w:rPr>
          <w:noProof/>
          <w:spacing w:val="-8"/>
        </w:rPr>
        <w:t>since they can no longer rely</w:t>
      </w:r>
      <w:r w:rsidR="00807C25">
        <w:rPr>
          <w:noProof/>
          <w:spacing w:val="-8"/>
        </w:rPr>
        <w:t xml:space="preserve"> </w:t>
      </w:r>
      <w:r w:rsidR="00A87A16">
        <w:rPr>
          <w:noProof/>
          <w:spacing w:val="-8"/>
        </w:rPr>
        <w:t xml:space="preserve">on </w:t>
      </w:r>
      <w:r w:rsidR="004E56E5">
        <w:rPr>
          <w:noProof/>
          <w:spacing w:val="-8"/>
        </w:rPr>
        <w:t>exclusive content</w:t>
      </w:r>
      <w:r w:rsidR="00DA3064">
        <w:rPr>
          <w:noProof/>
          <w:spacing w:val="-8"/>
        </w:rPr>
        <w:t>.</w:t>
      </w:r>
      <w:r w:rsidR="00D37F6E">
        <w:rPr>
          <w:noProof/>
          <w:spacing w:val="-8"/>
        </w:rPr>
        <w:t xml:space="preserve"> </w:t>
      </w:r>
      <w:r w:rsidR="00647EF1" w:rsidRPr="002E10C2">
        <w:rPr>
          <w:noProof/>
          <w:spacing w:val="-8"/>
        </w:rPr>
        <w:t>Similar considerations can be made for PO4</w:t>
      </w:r>
      <w:r w:rsidR="00E3028F">
        <w:rPr>
          <w:noProof/>
          <w:spacing w:val="-8"/>
        </w:rPr>
        <w:t>, although th</w:t>
      </w:r>
      <w:r w:rsidR="00B420DB">
        <w:rPr>
          <w:noProof/>
          <w:spacing w:val="-8"/>
        </w:rPr>
        <w:t xml:space="preserve">e impact might take </w:t>
      </w:r>
      <w:r w:rsidR="0092177E">
        <w:rPr>
          <w:noProof/>
          <w:spacing w:val="-8"/>
        </w:rPr>
        <w:t>longer to manifest</w:t>
      </w:r>
      <w:r w:rsidR="00647EF1" w:rsidRPr="002E10C2">
        <w:rPr>
          <w:noProof/>
          <w:spacing w:val="-8"/>
        </w:rPr>
        <w:t xml:space="preserve">. </w:t>
      </w:r>
      <w:r w:rsidR="00B56BD2" w:rsidRPr="002E10C2">
        <w:rPr>
          <w:noProof/>
          <w:spacing w:val="-8"/>
        </w:rPr>
        <w:t>Altogether</w:t>
      </w:r>
      <w:r w:rsidR="00CB33C7" w:rsidRPr="002E10C2">
        <w:rPr>
          <w:noProof/>
          <w:spacing w:val="-8"/>
        </w:rPr>
        <w:t>, i</w:t>
      </w:r>
      <w:r w:rsidR="000956A5" w:rsidRPr="002E10C2">
        <w:rPr>
          <w:noProof/>
          <w:spacing w:val="-8"/>
        </w:rPr>
        <w:t xml:space="preserve">t is </w:t>
      </w:r>
      <w:r w:rsidR="00FB43DC">
        <w:rPr>
          <w:noProof/>
          <w:spacing w:val="-8"/>
        </w:rPr>
        <w:t>expected that</w:t>
      </w:r>
      <w:r w:rsidR="000956A5" w:rsidRPr="002E10C2">
        <w:rPr>
          <w:noProof/>
          <w:spacing w:val="-8"/>
        </w:rPr>
        <w:t xml:space="preserve"> </w:t>
      </w:r>
      <w:r w:rsidR="00441D2C" w:rsidRPr="002E10C2">
        <w:rPr>
          <w:noProof/>
          <w:spacing w:val="-8"/>
        </w:rPr>
        <w:t xml:space="preserve">PO3 </w:t>
      </w:r>
      <w:r w:rsidR="002F65E9" w:rsidRPr="002E10C2">
        <w:rPr>
          <w:noProof/>
          <w:spacing w:val="-8"/>
        </w:rPr>
        <w:t xml:space="preserve">would produce </w:t>
      </w:r>
      <w:r w:rsidR="00A804D2" w:rsidRPr="002E10C2">
        <w:rPr>
          <w:noProof/>
          <w:spacing w:val="-8"/>
        </w:rPr>
        <w:t xml:space="preserve">greater </w:t>
      </w:r>
      <w:r w:rsidR="002F65E9" w:rsidRPr="002E10C2">
        <w:rPr>
          <w:noProof/>
          <w:spacing w:val="-8"/>
        </w:rPr>
        <w:t xml:space="preserve">benefits </w:t>
      </w:r>
      <w:r w:rsidR="00CF6EF9" w:rsidRPr="002E10C2">
        <w:rPr>
          <w:noProof/>
          <w:spacing w:val="-8"/>
        </w:rPr>
        <w:t xml:space="preserve">for consumers </w:t>
      </w:r>
      <w:r w:rsidR="003A5B25" w:rsidRPr="002E10C2">
        <w:rPr>
          <w:noProof/>
          <w:spacing w:val="-8"/>
        </w:rPr>
        <w:t xml:space="preserve">from </w:t>
      </w:r>
      <w:r w:rsidR="005544BF" w:rsidRPr="002E10C2">
        <w:rPr>
          <w:noProof/>
          <w:spacing w:val="-8"/>
        </w:rPr>
        <w:t>competition in the platform market</w:t>
      </w:r>
      <w:r w:rsidR="0092177E">
        <w:rPr>
          <w:noProof/>
          <w:spacing w:val="-8"/>
        </w:rPr>
        <w:t>, followed by PO4</w:t>
      </w:r>
      <w:r w:rsidR="00EF5CBD" w:rsidRPr="002E10C2">
        <w:rPr>
          <w:noProof/>
          <w:spacing w:val="-8"/>
        </w:rPr>
        <w:t>.</w:t>
      </w:r>
      <w:r w:rsidR="006C787B" w:rsidRPr="002E10C2">
        <w:rPr>
          <w:noProof/>
          <w:spacing w:val="-8"/>
        </w:rPr>
        <w:t xml:space="preserve"> </w:t>
      </w:r>
    </w:p>
    <w:p w14:paraId="2DB47CF2" w14:textId="4C84A759" w:rsidR="00A87673" w:rsidRDefault="00B94FEE" w:rsidP="00631BC0">
      <w:pPr>
        <w:pStyle w:val="BodyText"/>
        <w:keepNext/>
        <w:spacing w:after="240"/>
        <w:ind w:left="0"/>
        <w:rPr>
          <w:noProof/>
          <w:spacing w:val="-8"/>
        </w:rPr>
      </w:pPr>
      <w:r w:rsidRPr="002E10C2">
        <w:rPr>
          <w:b/>
          <w:i/>
          <w:iCs/>
          <w:noProof/>
          <w:spacing w:val="-8"/>
        </w:rPr>
        <w:t xml:space="preserve">Implications </w:t>
      </w:r>
      <w:r w:rsidR="00A87673" w:rsidRPr="002E10C2">
        <w:rPr>
          <w:b/>
          <w:i/>
          <w:iCs/>
          <w:noProof/>
          <w:spacing w:val="-8"/>
        </w:rPr>
        <w:t xml:space="preserve">for consumers </w:t>
      </w:r>
      <w:r w:rsidRPr="002E10C2">
        <w:rPr>
          <w:b/>
          <w:i/>
          <w:iCs/>
          <w:noProof/>
          <w:spacing w:val="-8"/>
        </w:rPr>
        <w:t>of increased competition in the transport market</w:t>
      </w:r>
      <w:r w:rsidR="00631BC0" w:rsidRPr="002E10C2">
        <w:rPr>
          <w:b/>
          <w:i/>
          <w:iCs/>
          <w:noProof/>
          <w:spacing w:val="-8"/>
        </w:rPr>
        <w:t xml:space="preserve">. </w:t>
      </w:r>
      <w:r w:rsidR="00652FB0" w:rsidRPr="002E10C2">
        <w:rPr>
          <w:noProof/>
          <w:spacing w:val="-8"/>
        </w:rPr>
        <w:t xml:space="preserve">Greater competition in the transport market </w:t>
      </w:r>
      <w:r w:rsidR="00517E12" w:rsidRPr="002E10C2">
        <w:rPr>
          <w:noProof/>
          <w:spacing w:val="-8"/>
        </w:rPr>
        <w:t xml:space="preserve">would </w:t>
      </w:r>
      <w:r w:rsidR="00045938" w:rsidRPr="002E10C2">
        <w:rPr>
          <w:noProof/>
          <w:spacing w:val="-8"/>
        </w:rPr>
        <w:t>tend to lower</w:t>
      </w:r>
      <w:r w:rsidRPr="002E10C2">
        <w:rPr>
          <w:noProof/>
          <w:spacing w:val="-8"/>
        </w:rPr>
        <w:t xml:space="preserve"> prices and increase </w:t>
      </w:r>
      <w:r w:rsidR="00ED3E92" w:rsidRPr="002E10C2">
        <w:rPr>
          <w:noProof/>
          <w:spacing w:val="-8"/>
        </w:rPr>
        <w:t xml:space="preserve">the </w:t>
      </w:r>
      <w:r w:rsidRPr="002E10C2">
        <w:rPr>
          <w:noProof/>
          <w:spacing w:val="-8"/>
        </w:rPr>
        <w:t xml:space="preserve">quality and frequency of </w:t>
      </w:r>
      <w:r w:rsidR="00E92126" w:rsidRPr="002E10C2">
        <w:rPr>
          <w:noProof/>
          <w:spacing w:val="-8"/>
        </w:rPr>
        <w:t xml:space="preserve">transport </w:t>
      </w:r>
      <w:r w:rsidRPr="002E10C2">
        <w:rPr>
          <w:noProof/>
          <w:spacing w:val="-8"/>
        </w:rPr>
        <w:t>services</w:t>
      </w:r>
      <w:r w:rsidR="0034737C" w:rsidRPr="002E10C2">
        <w:rPr>
          <w:noProof/>
          <w:spacing w:val="-8"/>
        </w:rPr>
        <w:t>.</w:t>
      </w:r>
      <w:r w:rsidR="003B104B" w:rsidRPr="002E10C2">
        <w:rPr>
          <w:noProof/>
          <w:spacing w:val="-8"/>
        </w:rPr>
        <w:t xml:space="preserve"> Th</w:t>
      </w:r>
      <w:r w:rsidR="00FE10AA" w:rsidRPr="002E10C2">
        <w:rPr>
          <w:noProof/>
          <w:spacing w:val="-8"/>
        </w:rPr>
        <w:t xml:space="preserve">e </w:t>
      </w:r>
      <w:r w:rsidR="00BC5D3D" w:rsidRPr="002E10C2">
        <w:rPr>
          <w:noProof/>
          <w:spacing w:val="-8"/>
        </w:rPr>
        <w:t>amount of pressure exercised by competition</w:t>
      </w:r>
      <w:r w:rsidR="00FE10AA" w:rsidRPr="002E10C2">
        <w:rPr>
          <w:noProof/>
          <w:spacing w:val="-8"/>
        </w:rPr>
        <w:t xml:space="preserve"> </w:t>
      </w:r>
      <w:r w:rsidR="003B104B" w:rsidRPr="002E10C2">
        <w:rPr>
          <w:noProof/>
          <w:spacing w:val="-8"/>
        </w:rPr>
        <w:t xml:space="preserve">would </w:t>
      </w:r>
      <w:r w:rsidR="004D0658" w:rsidRPr="002E10C2">
        <w:rPr>
          <w:noProof/>
          <w:spacing w:val="-8"/>
        </w:rPr>
        <w:t xml:space="preserve">be proportional to the </w:t>
      </w:r>
      <w:r w:rsidR="00D26456" w:rsidRPr="002E10C2">
        <w:rPr>
          <w:noProof/>
          <w:spacing w:val="-8"/>
        </w:rPr>
        <w:t xml:space="preserve">number of customers </w:t>
      </w:r>
      <w:r w:rsidR="007527D5" w:rsidRPr="002E10C2">
        <w:rPr>
          <w:noProof/>
          <w:spacing w:val="-8"/>
        </w:rPr>
        <w:t xml:space="preserve">being </w:t>
      </w:r>
      <w:r w:rsidR="00D26456" w:rsidRPr="002E10C2">
        <w:rPr>
          <w:noProof/>
          <w:spacing w:val="-8"/>
        </w:rPr>
        <w:t xml:space="preserve">able to </w:t>
      </w:r>
      <w:r w:rsidR="0015423D" w:rsidRPr="002E10C2">
        <w:rPr>
          <w:noProof/>
          <w:spacing w:val="-8"/>
        </w:rPr>
        <w:t>easily</w:t>
      </w:r>
      <w:r w:rsidR="004B6FA9" w:rsidRPr="002E10C2">
        <w:rPr>
          <w:noProof/>
          <w:spacing w:val="-8"/>
        </w:rPr>
        <w:t xml:space="preserve"> find</w:t>
      </w:r>
      <w:r w:rsidR="004F13BD" w:rsidRPr="002E10C2">
        <w:rPr>
          <w:noProof/>
          <w:spacing w:val="-8"/>
        </w:rPr>
        <w:t xml:space="preserve">, compare and purchase </w:t>
      </w:r>
      <w:r w:rsidR="00CD45FD" w:rsidRPr="002E10C2">
        <w:rPr>
          <w:noProof/>
          <w:spacing w:val="-8"/>
        </w:rPr>
        <w:t xml:space="preserve">the most convenient </w:t>
      </w:r>
      <w:r w:rsidR="004B6FA9" w:rsidRPr="002E10C2">
        <w:rPr>
          <w:noProof/>
          <w:spacing w:val="-8"/>
        </w:rPr>
        <w:t>travel</w:t>
      </w:r>
      <w:r w:rsidR="00CD45FD" w:rsidRPr="002E10C2">
        <w:rPr>
          <w:noProof/>
          <w:spacing w:val="-8"/>
        </w:rPr>
        <w:t xml:space="preserve"> offers</w:t>
      </w:r>
      <w:r w:rsidR="004B6FA9" w:rsidRPr="002E10C2">
        <w:rPr>
          <w:noProof/>
          <w:spacing w:val="-8"/>
        </w:rPr>
        <w:t>.</w:t>
      </w:r>
      <w:r w:rsidR="00CD45FD" w:rsidRPr="002E10C2">
        <w:rPr>
          <w:noProof/>
          <w:spacing w:val="-8"/>
        </w:rPr>
        <w:t xml:space="preserve"> </w:t>
      </w:r>
      <w:r w:rsidR="00A87673" w:rsidRPr="002E10C2">
        <w:rPr>
          <w:noProof/>
          <w:spacing w:val="-8"/>
        </w:rPr>
        <w:t xml:space="preserve">PO1 would </w:t>
      </w:r>
      <w:r w:rsidR="00547508" w:rsidRPr="002E10C2">
        <w:rPr>
          <w:noProof/>
          <w:spacing w:val="-8"/>
        </w:rPr>
        <w:t xml:space="preserve">improve visibility and fair </w:t>
      </w:r>
      <w:r w:rsidR="00F26518" w:rsidRPr="002E10C2">
        <w:rPr>
          <w:noProof/>
          <w:spacing w:val="-8"/>
        </w:rPr>
        <w:t xml:space="preserve">representation of </w:t>
      </w:r>
      <w:r w:rsidR="00753C22" w:rsidRPr="002E10C2">
        <w:rPr>
          <w:noProof/>
          <w:spacing w:val="-8"/>
        </w:rPr>
        <w:t xml:space="preserve">existing </w:t>
      </w:r>
      <w:r w:rsidR="00F620F0" w:rsidRPr="002E10C2">
        <w:rPr>
          <w:noProof/>
          <w:spacing w:val="-8"/>
        </w:rPr>
        <w:t>offers on online platforms</w:t>
      </w:r>
      <w:r w:rsidR="00D86D7C" w:rsidRPr="002E10C2">
        <w:rPr>
          <w:noProof/>
          <w:spacing w:val="-8"/>
        </w:rPr>
        <w:t xml:space="preserve">, but </w:t>
      </w:r>
      <w:r w:rsidR="007C7A0D" w:rsidRPr="002E10C2">
        <w:rPr>
          <w:noProof/>
          <w:spacing w:val="-8"/>
        </w:rPr>
        <w:t>it w</w:t>
      </w:r>
      <w:r w:rsidR="00EF5984" w:rsidRPr="002E10C2">
        <w:rPr>
          <w:noProof/>
          <w:spacing w:val="-8"/>
        </w:rPr>
        <w:t>ould</w:t>
      </w:r>
      <w:r w:rsidR="00597129" w:rsidRPr="002E10C2">
        <w:rPr>
          <w:noProof/>
          <w:spacing w:val="-8"/>
        </w:rPr>
        <w:t xml:space="preserve"> not </w:t>
      </w:r>
      <w:r w:rsidR="008E3446" w:rsidRPr="002E10C2">
        <w:rPr>
          <w:noProof/>
          <w:spacing w:val="-8"/>
        </w:rPr>
        <w:t xml:space="preserve">broaden </w:t>
      </w:r>
      <w:r w:rsidR="005C758B" w:rsidRPr="002E10C2">
        <w:rPr>
          <w:noProof/>
          <w:spacing w:val="-8"/>
        </w:rPr>
        <w:t>the</w:t>
      </w:r>
      <w:r w:rsidR="00FD30EB" w:rsidRPr="002E10C2">
        <w:rPr>
          <w:noProof/>
          <w:spacing w:val="-8"/>
        </w:rPr>
        <w:t>ir</w:t>
      </w:r>
      <w:r w:rsidR="005C758B" w:rsidRPr="002E10C2">
        <w:rPr>
          <w:noProof/>
          <w:spacing w:val="-8"/>
        </w:rPr>
        <w:t xml:space="preserve"> ticketing offer</w:t>
      </w:r>
      <w:r w:rsidR="00840D6B" w:rsidRPr="002E10C2">
        <w:rPr>
          <w:noProof/>
          <w:spacing w:val="-8"/>
        </w:rPr>
        <w:t xml:space="preserve">. </w:t>
      </w:r>
      <w:r w:rsidR="00F620F0" w:rsidRPr="002E10C2">
        <w:rPr>
          <w:noProof/>
          <w:spacing w:val="-8"/>
        </w:rPr>
        <w:t xml:space="preserve">This would promote competition </w:t>
      </w:r>
      <w:r w:rsidR="00B80E25" w:rsidRPr="002E10C2">
        <w:rPr>
          <w:noProof/>
          <w:spacing w:val="-8"/>
        </w:rPr>
        <w:t>in the transport market, but</w:t>
      </w:r>
      <w:r w:rsidR="00827830" w:rsidRPr="002E10C2">
        <w:rPr>
          <w:noProof/>
          <w:spacing w:val="-8"/>
        </w:rPr>
        <w:t xml:space="preserve"> not as substantially as the other policy options.</w:t>
      </w:r>
      <w:r w:rsidR="00A87673" w:rsidRPr="002E10C2">
        <w:rPr>
          <w:noProof/>
          <w:spacing w:val="-8"/>
        </w:rPr>
        <w:t xml:space="preserve"> PO2 would </w:t>
      </w:r>
      <w:r w:rsidR="005E026C" w:rsidRPr="002E10C2">
        <w:rPr>
          <w:noProof/>
          <w:spacing w:val="-8"/>
        </w:rPr>
        <w:t xml:space="preserve">affect </w:t>
      </w:r>
      <w:r w:rsidR="00A87673" w:rsidRPr="002E10C2">
        <w:rPr>
          <w:noProof/>
          <w:spacing w:val="-8"/>
        </w:rPr>
        <w:t xml:space="preserve">the content of independent platforms, </w:t>
      </w:r>
      <w:r w:rsidR="000E5055" w:rsidRPr="002E10C2">
        <w:rPr>
          <w:noProof/>
          <w:spacing w:val="-8"/>
        </w:rPr>
        <w:t xml:space="preserve">giving them access to </w:t>
      </w:r>
      <w:r w:rsidR="005E026C" w:rsidRPr="002E10C2">
        <w:rPr>
          <w:noProof/>
          <w:spacing w:val="-8"/>
        </w:rPr>
        <w:t>indispensable tickets</w:t>
      </w:r>
      <w:r w:rsidR="00E81544" w:rsidRPr="002E10C2">
        <w:rPr>
          <w:noProof/>
          <w:spacing w:val="-8"/>
        </w:rPr>
        <w:t>. Customer</w:t>
      </w:r>
      <w:r w:rsidR="00C316B2" w:rsidRPr="002E10C2">
        <w:rPr>
          <w:noProof/>
          <w:spacing w:val="-8"/>
        </w:rPr>
        <w:t>s</w:t>
      </w:r>
      <w:r w:rsidR="00E81544" w:rsidRPr="002E10C2">
        <w:rPr>
          <w:noProof/>
          <w:spacing w:val="-8"/>
        </w:rPr>
        <w:t xml:space="preserve"> of independent platforms would therefore </w:t>
      </w:r>
      <w:r w:rsidR="00813FB4" w:rsidRPr="002E10C2">
        <w:rPr>
          <w:noProof/>
          <w:spacing w:val="-8"/>
        </w:rPr>
        <w:t xml:space="preserve">be </w:t>
      </w:r>
      <w:r w:rsidR="00E81544" w:rsidRPr="002E10C2">
        <w:rPr>
          <w:noProof/>
          <w:spacing w:val="-8"/>
        </w:rPr>
        <w:t>ab</w:t>
      </w:r>
      <w:r w:rsidR="00813FB4" w:rsidRPr="002E10C2">
        <w:rPr>
          <w:noProof/>
          <w:spacing w:val="-8"/>
        </w:rPr>
        <w:t>le</w:t>
      </w:r>
      <w:r w:rsidR="00E81544" w:rsidRPr="002E10C2">
        <w:rPr>
          <w:noProof/>
          <w:spacing w:val="-8"/>
        </w:rPr>
        <w:t xml:space="preserve"> to</w:t>
      </w:r>
      <w:r w:rsidR="00C316B2" w:rsidRPr="002E10C2">
        <w:rPr>
          <w:noProof/>
          <w:spacing w:val="-8"/>
        </w:rPr>
        <w:t xml:space="preserve"> compare </w:t>
      </w:r>
      <w:r w:rsidR="00171552" w:rsidRPr="002E10C2">
        <w:rPr>
          <w:noProof/>
          <w:spacing w:val="-8"/>
        </w:rPr>
        <w:t>the offers of different transport operators and opt for the most convenient.</w:t>
      </w:r>
      <w:r w:rsidR="005E026C" w:rsidRPr="002E10C2">
        <w:rPr>
          <w:noProof/>
          <w:spacing w:val="-8"/>
        </w:rPr>
        <w:t xml:space="preserve"> </w:t>
      </w:r>
      <w:r w:rsidR="0083571E" w:rsidRPr="002E10C2">
        <w:rPr>
          <w:noProof/>
          <w:spacing w:val="-8"/>
        </w:rPr>
        <w:t>Initially</w:t>
      </w:r>
      <w:r w:rsidR="00CD2283" w:rsidRPr="002E10C2">
        <w:rPr>
          <w:noProof/>
          <w:spacing w:val="-8"/>
        </w:rPr>
        <w:t xml:space="preserve">, </w:t>
      </w:r>
      <w:r w:rsidR="00BA6B35" w:rsidRPr="002E10C2">
        <w:rPr>
          <w:noProof/>
          <w:spacing w:val="-8"/>
        </w:rPr>
        <w:t xml:space="preserve">the competitive pressure </w:t>
      </w:r>
      <w:r w:rsidR="000E12D2" w:rsidRPr="002E10C2">
        <w:rPr>
          <w:noProof/>
          <w:spacing w:val="-8"/>
        </w:rPr>
        <w:t xml:space="preserve">on the transport market </w:t>
      </w:r>
      <w:r w:rsidR="00BA6B35" w:rsidRPr="002E10C2">
        <w:rPr>
          <w:noProof/>
          <w:spacing w:val="-8"/>
        </w:rPr>
        <w:t>w</w:t>
      </w:r>
      <w:r w:rsidR="00A041A8" w:rsidRPr="002E10C2">
        <w:rPr>
          <w:noProof/>
          <w:spacing w:val="-8"/>
        </w:rPr>
        <w:t xml:space="preserve">ould only be exercised </w:t>
      </w:r>
      <w:r w:rsidR="00491471" w:rsidRPr="002E10C2">
        <w:rPr>
          <w:noProof/>
          <w:spacing w:val="-8"/>
        </w:rPr>
        <w:t>through</w:t>
      </w:r>
      <w:r w:rsidR="00A041A8" w:rsidRPr="002E10C2">
        <w:rPr>
          <w:noProof/>
          <w:spacing w:val="-8"/>
        </w:rPr>
        <w:t xml:space="preserve"> the customers</w:t>
      </w:r>
      <w:r w:rsidR="00CD2283" w:rsidRPr="002E10C2">
        <w:rPr>
          <w:noProof/>
          <w:spacing w:val="-8"/>
        </w:rPr>
        <w:t xml:space="preserve"> </w:t>
      </w:r>
      <w:r w:rsidR="008A18C7" w:rsidRPr="002E10C2">
        <w:rPr>
          <w:noProof/>
          <w:spacing w:val="-8"/>
        </w:rPr>
        <w:t>of independent platform</w:t>
      </w:r>
      <w:r w:rsidR="00E10CBD" w:rsidRPr="002E10C2">
        <w:rPr>
          <w:noProof/>
          <w:spacing w:val="-8"/>
        </w:rPr>
        <w:t>s</w:t>
      </w:r>
      <w:r w:rsidR="00435417" w:rsidRPr="002E10C2">
        <w:rPr>
          <w:noProof/>
          <w:spacing w:val="-8"/>
        </w:rPr>
        <w:t xml:space="preserve">. </w:t>
      </w:r>
      <w:r w:rsidR="006032AA" w:rsidRPr="002E10C2">
        <w:rPr>
          <w:noProof/>
          <w:spacing w:val="-8"/>
        </w:rPr>
        <w:t>However, t</w:t>
      </w:r>
      <w:r w:rsidR="00B1556F" w:rsidRPr="002E10C2">
        <w:rPr>
          <w:noProof/>
          <w:spacing w:val="-8"/>
        </w:rPr>
        <w:t xml:space="preserve">he effect would become </w:t>
      </w:r>
      <w:r w:rsidR="0014308A" w:rsidRPr="002E10C2">
        <w:rPr>
          <w:noProof/>
          <w:spacing w:val="-8"/>
        </w:rPr>
        <w:t>stronger</w:t>
      </w:r>
      <w:r w:rsidR="00D86BFC" w:rsidRPr="002E10C2">
        <w:rPr>
          <w:noProof/>
          <w:spacing w:val="-8"/>
        </w:rPr>
        <w:t xml:space="preserve"> i</w:t>
      </w:r>
      <w:r w:rsidR="00E35419" w:rsidRPr="002E10C2">
        <w:rPr>
          <w:noProof/>
          <w:spacing w:val="-8"/>
        </w:rPr>
        <w:t>f</w:t>
      </w:r>
      <w:r w:rsidR="007172B1" w:rsidRPr="002E10C2">
        <w:rPr>
          <w:noProof/>
          <w:spacing w:val="-8"/>
        </w:rPr>
        <w:t xml:space="preserve"> </w:t>
      </w:r>
      <w:r w:rsidR="000A5A42" w:rsidRPr="002E10C2">
        <w:rPr>
          <w:noProof/>
          <w:spacing w:val="-8"/>
        </w:rPr>
        <w:t xml:space="preserve">consumers </w:t>
      </w:r>
      <w:r w:rsidR="00DD5FB9" w:rsidRPr="002E10C2">
        <w:rPr>
          <w:noProof/>
          <w:spacing w:val="-8"/>
        </w:rPr>
        <w:t xml:space="preserve">begin </w:t>
      </w:r>
      <w:r w:rsidR="000A5A42" w:rsidRPr="002E10C2">
        <w:rPr>
          <w:noProof/>
          <w:spacing w:val="-8"/>
        </w:rPr>
        <w:t>switching</w:t>
      </w:r>
      <w:r w:rsidR="000E2235" w:rsidRPr="002E10C2">
        <w:rPr>
          <w:noProof/>
          <w:spacing w:val="-8"/>
        </w:rPr>
        <w:t xml:space="preserve"> to independent platforms attracted by </w:t>
      </w:r>
      <w:r w:rsidR="006032AA" w:rsidRPr="002E10C2">
        <w:rPr>
          <w:noProof/>
          <w:spacing w:val="-8"/>
        </w:rPr>
        <w:t>their broader offer</w:t>
      </w:r>
      <w:r w:rsidR="00DE2743" w:rsidRPr="002E10C2">
        <w:rPr>
          <w:noProof/>
          <w:spacing w:val="-8"/>
        </w:rPr>
        <w:t>.</w:t>
      </w:r>
      <w:r w:rsidR="005E026C" w:rsidRPr="002E10C2">
        <w:rPr>
          <w:noProof/>
          <w:spacing w:val="-8"/>
        </w:rPr>
        <w:t xml:space="preserve"> </w:t>
      </w:r>
      <w:r w:rsidR="00A87673" w:rsidRPr="002E10C2">
        <w:rPr>
          <w:noProof/>
          <w:spacing w:val="-8"/>
        </w:rPr>
        <w:t>PO3 would oblige indispensable platform</w:t>
      </w:r>
      <w:r w:rsidR="00702BD1">
        <w:rPr>
          <w:noProof/>
          <w:spacing w:val="-8"/>
        </w:rPr>
        <w:t>s</w:t>
      </w:r>
      <w:r w:rsidR="00A87673" w:rsidRPr="002E10C2">
        <w:rPr>
          <w:noProof/>
          <w:spacing w:val="-8"/>
        </w:rPr>
        <w:t xml:space="preserve"> to host a complete ticketing offer</w:t>
      </w:r>
      <w:r w:rsidR="00702BD1">
        <w:rPr>
          <w:noProof/>
          <w:spacing w:val="-8"/>
        </w:rPr>
        <w:t xml:space="preserve"> (PM14)</w:t>
      </w:r>
      <w:r w:rsidR="00A87673" w:rsidRPr="002E10C2">
        <w:rPr>
          <w:noProof/>
          <w:spacing w:val="-8"/>
        </w:rPr>
        <w:t xml:space="preserve">. </w:t>
      </w:r>
      <w:r w:rsidR="00C63C16" w:rsidRPr="002E10C2">
        <w:rPr>
          <w:noProof/>
          <w:spacing w:val="-8"/>
        </w:rPr>
        <w:t>In this case</w:t>
      </w:r>
      <w:r w:rsidR="00714038" w:rsidRPr="002E10C2">
        <w:rPr>
          <w:noProof/>
          <w:spacing w:val="-8"/>
        </w:rPr>
        <w:t xml:space="preserve">, </w:t>
      </w:r>
      <w:r w:rsidR="0030433A" w:rsidRPr="002E10C2">
        <w:rPr>
          <w:noProof/>
          <w:spacing w:val="-8"/>
        </w:rPr>
        <w:t>nearly all</w:t>
      </w:r>
      <w:r w:rsidR="003A07CB" w:rsidRPr="002E10C2">
        <w:rPr>
          <w:noProof/>
          <w:spacing w:val="-8"/>
        </w:rPr>
        <w:t xml:space="preserve"> consumers would be able to </w:t>
      </w:r>
      <w:r w:rsidR="001A0422" w:rsidRPr="002E10C2">
        <w:rPr>
          <w:noProof/>
          <w:spacing w:val="-8"/>
        </w:rPr>
        <w:t xml:space="preserve">compare </w:t>
      </w:r>
      <w:r w:rsidR="0030433A" w:rsidRPr="002E10C2">
        <w:rPr>
          <w:noProof/>
          <w:spacing w:val="-8"/>
        </w:rPr>
        <w:t>directly</w:t>
      </w:r>
      <w:r w:rsidR="001A0422" w:rsidRPr="002E10C2">
        <w:rPr>
          <w:noProof/>
          <w:spacing w:val="-8"/>
        </w:rPr>
        <w:t xml:space="preserve"> the offers of transport operators and </w:t>
      </w:r>
      <w:r w:rsidR="003F2620" w:rsidRPr="002E10C2">
        <w:rPr>
          <w:noProof/>
          <w:spacing w:val="-8"/>
        </w:rPr>
        <w:t>buy</w:t>
      </w:r>
      <w:r w:rsidR="001A0422" w:rsidRPr="002E10C2">
        <w:rPr>
          <w:noProof/>
          <w:spacing w:val="-8"/>
        </w:rPr>
        <w:t xml:space="preserve"> the most convenient</w:t>
      </w:r>
      <w:r w:rsidR="007326A0">
        <w:rPr>
          <w:noProof/>
          <w:spacing w:val="-8"/>
        </w:rPr>
        <w:t xml:space="preserve"> one</w:t>
      </w:r>
      <w:r w:rsidR="006130AA" w:rsidRPr="002E10C2">
        <w:rPr>
          <w:noProof/>
          <w:spacing w:val="-8"/>
        </w:rPr>
        <w:t>. As argued</w:t>
      </w:r>
      <w:r w:rsidR="00873B3F" w:rsidRPr="002E10C2">
        <w:rPr>
          <w:noProof/>
          <w:spacing w:val="-8"/>
        </w:rPr>
        <w:t xml:space="preserve"> in </w:t>
      </w:r>
      <w:r w:rsidR="00DE0AEF" w:rsidRPr="002E10C2">
        <w:rPr>
          <w:noProof/>
          <w:spacing w:val="-8"/>
        </w:rPr>
        <w:t>S</w:t>
      </w:r>
      <w:r w:rsidR="00873B3F" w:rsidRPr="002E10C2">
        <w:rPr>
          <w:noProof/>
          <w:spacing w:val="-8"/>
        </w:rPr>
        <w:t xml:space="preserve">ection </w:t>
      </w:r>
      <w:r w:rsidR="00DE0AEF" w:rsidRPr="002E10C2">
        <w:rPr>
          <w:noProof/>
          <w:spacing w:val="-8"/>
        </w:rPr>
        <w:t>6.1.8</w:t>
      </w:r>
      <w:r w:rsidR="00873B3F" w:rsidRPr="002E10C2">
        <w:rPr>
          <w:noProof/>
          <w:spacing w:val="-8"/>
        </w:rPr>
        <w:t xml:space="preserve"> on </w:t>
      </w:r>
      <w:r w:rsidR="005B22FB" w:rsidRPr="002E10C2">
        <w:rPr>
          <w:noProof/>
          <w:spacing w:val="-8"/>
        </w:rPr>
        <w:t xml:space="preserve">the </w:t>
      </w:r>
      <w:r w:rsidR="00DE0AEF" w:rsidRPr="002E10C2">
        <w:rPr>
          <w:noProof/>
          <w:spacing w:val="-8"/>
        </w:rPr>
        <w:t>functioning of</w:t>
      </w:r>
      <w:r w:rsidR="00873B3F" w:rsidRPr="002E10C2">
        <w:rPr>
          <w:noProof/>
          <w:spacing w:val="-8"/>
        </w:rPr>
        <w:t xml:space="preserve"> the </w:t>
      </w:r>
      <w:r w:rsidR="00DE0AEF" w:rsidRPr="002E10C2">
        <w:rPr>
          <w:noProof/>
          <w:spacing w:val="-8"/>
        </w:rPr>
        <w:t xml:space="preserve">internal market and on </w:t>
      </w:r>
      <w:r w:rsidR="00873B3F" w:rsidRPr="002E10C2">
        <w:rPr>
          <w:noProof/>
          <w:spacing w:val="-8"/>
        </w:rPr>
        <w:t>competition</w:t>
      </w:r>
      <w:r w:rsidR="00AB4248" w:rsidRPr="002E10C2">
        <w:rPr>
          <w:noProof/>
          <w:spacing w:val="-8"/>
        </w:rPr>
        <w:t xml:space="preserve">, this is likely to lead to </w:t>
      </w:r>
      <w:r w:rsidR="00690A6D" w:rsidRPr="002E10C2">
        <w:rPr>
          <w:noProof/>
          <w:spacing w:val="-8"/>
        </w:rPr>
        <w:t xml:space="preserve">stronger price competition between </w:t>
      </w:r>
      <w:r w:rsidR="00DE0AEF" w:rsidRPr="002E10C2">
        <w:rPr>
          <w:noProof/>
          <w:spacing w:val="-8"/>
        </w:rPr>
        <w:t>RUs</w:t>
      </w:r>
      <w:r w:rsidR="001057DD" w:rsidRPr="002E10C2">
        <w:rPr>
          <w:noProof/>
          <w:spacing w:val="-8"/>
        </w:rPr>
        <w:t xml:space="preserve">. Accordingly, PO3 would have </w:t>
      </w:r>
      <w:r w:rsidR="0023297C" w:rsidRPr="002E10C2">
        <w:rPr>
          <w:noProof/>
          <w:spacing w:val="-8"/>
        </w:rPr>
        <w:t xml:space="preserve">the largest effect </w:t>
      </w:r>
      <w:r w:rsidR="00CE14B1" w:rsidRPr="002E10C2">
        <w:rPr>
          <w:noProof/>
          <w:spacing w:val="-8"/>
        </w:rPr>
        <w:t xml:space="preserve">on consumers through </w:t>
      </w:r>
      <w:r w:rsidR="008116B1" w:rsidRPr="002E10C2">
        <w:rPr>
          <w:noProof/>
          <w:spacing w:val="-8"/>
        </w:rPr>
        <w:t>competition in the transport market</w:t>
      </w:r>
      <w:r w:rsidR="001576A6" w:rsidRPr="002E10C2">
        <w:rPr>
          <w:noProof/>
          <w:spacing w:val="-8"/>
        </w:rPr>
        <w:t xml:space="preserve">. </w:t>
      </w:r>
      <w:r w:rsidR="00D859E1" w:rsidRPr="002E10C2">
        <w:rPr>
          <w:noProof/>
          <w:spacing w:val="-8"/>
        </w:rPr>
        <w:t xml:space="preserve">PO4 </w:t>
      </w:r>
      <w:r w:rsidR="001576A6" w:rsidRPr="002E10C2">
        <w:rPr>
          <w:noProof/>
          <w:spacing w:val="-8"/>
        </w:rPr>
        <w:t xml:space="preserve">is </w:t>
      </w:r>
      <w:r w:rsidR="00D859E1" w:rsidRPr="002E10C2">
        <w:rPr>
          <w:noProof/>
          <w:spacing w:val="-8"/>
        </w:rPr>
        <w:t xml:space="preserve">likely to lead to a </w:t>
      </w:r>
      <w:r w:rsidR="003214F0" w:rsidRPr="002E10C2">
        <w:rPr>
          <w:noProof/>
          <w:spacing w:val="-8"/>
        </w:rPr>
        <w:t xml:space="preserve">situation similar to </w:t>
      </w:r>
      <w:r w:rsidR="0078756B">
        <w:rPr>
          <w:noProof/>
          <w:spacing w:val="-8"/>
        </w:rPr>
        <w:t>that of</w:t>
      </w:r>
      <w:r w:rsidR="003214F0" w:rsidRPr="002E10C2">
        <w:rPr>
          <w:noProof/>
          <w:spacing w:val="-8"/>
        </w:rPr>
        <w:t xml:space="preserve"> PO3</w:t>
      </w:r>
      <w:r w:rsidR="00BB22F3" w:rsidRPr="002E10C2">
        <w:rPr>
          <w:noProof/>
          <w:spacing w:val="-8"/>
        </w:rPr>
        <w:t xml:space="preserve">, </w:t>
      </w:r>
      <w:r w:rsidR="004A4551">
        <w:rPr>
          <w:noProof/>
          <w:spacing w:val="-8"/>
        </w:rPr>
        <w:t>meaning</w:t>
      </w:r>
      <w:r w:rsidR="00BB22F3" w:rsidRPr="002E10C2">
        <w:rPr>
          <w:noProof/>
          <w:spacing w:val="-8"/>
        </w:rPr>
        <w:t xml:space="preserve"> a situation in which </w:t>
      </w:r>
      <w:r w:rsidR="00865939" w:rsidRPr="002E10C2">
        <w:rPr>
          <w:noProof/>
          <w:spacing w:val="-8"/>
        </w:rPr>
        <w:t xml:space="preserve">indispensable platforms host a complete ticketing offer. </w:t>
      </w:r>
      <w:r w:rsidR="00F938B5" w:rsidRPr="002E10C2">
        <w:rPr>
          <w:noProof/>
          <w:spacing w:val="-8"/>
        </w:rPr>
        <w:t>However, t</w:t>
      </w:r>
      <w:r w:rsidR="00865939" w:rsidRPr="002E10C2">
        <w:rPr>
          <w:noProof/>
          <w:spacing w:val="-8"/>
        </w:rPr>
        <w:t xml:space="preserve">his outcome </w:t>
      </w:r>
      <w:r w:rsidR="00F938B5" w:rsidRPr="002E10C2">
        <w:rPr>
          <w:noProof/>
          <w:spacing w:val="-8"/>
        </w:rPr>
        <w:t xml:space="preserve">is likely to materialise with a certain delay </w:t>
      </w:r>
      <w:r w:rsidR="00494294" w:rsidRPr="002E10C2">
        <w:rPr>
          <w:noProof/>
          <w:spacing w:val="-8"/>
        </w:rPr>
        <w:t>with respect to PO3, due to the necessary restructuring process</w:t>
      </w:r>
      <w:r w:rsidR="002B246C" w:rsidRPr="002E10C2">
        <w:rPr>
          <w:noProof/>
          <w:spacing w:val="-8"/>
        </w:rPr>
        <w:t>es</w:t>
      </w:r>
      <w:r w:rsidR="00A87673" w:rsidRPr="002E10C2">
        <w:rPr>
          <w:noProof/>
          <w:spacing w:val="-8"/>
        </w:rPr>
        <w:t>.</w:t>
      </w:r>
      <w:r w:rsidR="00A87673">
        <w:rPr>
          <w:noProof/>
          <w:spacing w:val="-8"/>
        </w:rPr>
        <w:t xml:space="preserve"> </w:t>
      </w:r>
    </w:p>
    <w:p w14:paraId="110319D4" w14:textId="24CBACD0" w:rsidR="00806EA4" w:rsidRDefault="002B246C" w:rsidP="00494294">
      <w:pPr>
        <w:pStyle w:val="BodyText"/>
        <w:spacing w:after="240"/>
        <w:ind w:left="0"/>
        <w:rPr>
          <w:noProof/>
        </w:rPr>
      </w:pPr>
      <w:r w:rsidRPr="00631BC0">
        <w:rPr>
          <w:b/>
          <w:i/>
          <w:iCs/>
          <w:noProof/>
          <w:spacing w:val="-8"/>
        </w:rPr>
        <w:t xml:space="preserve">Overall </w:t>
      </w:r>
      <w:r w:rsidRPr="00631BC0">
        <w:rPr>
          <w:b/>
          <w:bCs/>
          <w:i/>
          <w:iCs/>
          <w:noProof/>
          <w:spacing w:val="-8"/>
        </w:rPr>
        <w:t>assess</w:t>
      </w:r>
      <w:r w:rsidR="00633853" w:rsidRPr="00631BC0">
        <w:rPr>
          <w:b/>
          <w:bCs/>
          <w:i/>
          <w:iCs/>
          <w:noProof/>
          <w:spacing w:val="-8"/>
        </w:rPr>
        <w:t>ment</w:t>
      </w:r>
      <w:r w:rsidR="00D00563">
        <w:rPr>
          <w:b/>
          <w:bCs/>
          <w:i/>
          <w:iCs/>
          <w:noProof/>
          <w:spacing w:val="-8"/>
        </w:rPr>
        <w:t xml:space="preserve"> of impacts on user costs</w:t>
      </w:r>
      <w:r w:rsidR="00631BC0" w:rsidRPr="00631BC0">
        <w:rPr>
          <w:b/>
          <w:bCs/>
          <w:i/>
          <w:iCs/>
          <w:noProof/>
          <w:spacing w:val="-8"/>
        </w:rPr>
        <w:t>.</w:t>
      </w:r>
      <w:r w:rsidR="00631BC0">
        <w:rPr>
          <w:b/>
          <w:bCs/>
          <w:noProof/>
          <w:spacing w:val="-8"/>
        </w:rPr>
        <w:t xml:space="preserve"> </w:t>
      </w:r>
      <w:r w:rsidR="00D80128">
        <w:rPr>
          <w:noProof/>
          <w:spacing w:val="-8"/>
        </w:rPr>
        <w:t>T</w:t>
      </w:r>
      <w:r w:rsidR="00D80128" w:rsidRPr="00F40BA0">
        <w:rPr>
          <w:noProof/>
          <w:spacing w:val="-8"/>
        </w:rPr>
        <w:t>he</w:t>
      </w:r>
      <w:r w:rsidR="00D80128" w:rsidRPr="00F40BA0" w:rsidDel="00EC2C31">
        <w:rPr>
          <w:noProof/>
          <w:spacing w:val="-8"/>
        </w:rPr>
        <w:t xml:space="preserve"> </w:t>
      </w:r>
      <w:r w:rsidR="00D80128" w:rsidRPr="00F40BA0">
        <w:rPr>
          <w:noProof/>
          <w:spacing w:val="-8"/>
        </w:rPr>
        <w:t xml:space="preserve">policy options are expected to generate significant benefits for consumers by reducing search costs and fostering greater competition in both the platform and transport markets. </w:t>
      </w:r>
      <w:r w:rsidR="3874C692">
        <w:rPr>
          <w:noProof/>
        </w:rPr>
        <w:t>While the resulting enhanced “trust” in rail as an easy, acces</w:t>
      </w:r>
      <w:r w:rsidR="12BE9C51">
        <w:rPr>
          <w:noProof/>
        </w:rPr>
        <w:t>s</w:t>
      </w:r>
      <w:r w:rsidR="1594FA69">
        <w:rPr>
          <w:noProof/>
        </w:rPr>
        <w:t>ible, modern</w:t>
      </w:r>
      <w:r w:rsidR="3874C692">
        <w:rPr>
          <w:noProof/>
        </w:rPr>
        <w:t xml:space="preserve"> and reliable </w:t>
      </w:r>
      <w:r w:rsidR="4EBAA97B">
        <w:rPr>
          <w:noProof/>
        </w:rPr>
        <w:t>user-friendly mode of transport is difficult to the qu</w:t>
      </w:r>
      <w:r w:rsidR="77236FCA">
        <w:rPr>
          <w:noProof/>
        </w:rPr>
        <w:t>a</w:t>
      </w:r>
      <w:r w:rsidR="4EBAA97B">
        <w:rPr>
          <w:noProof/>
        </w:rPr>
        <w:t>ntify, t</w:t>
      </w:r>
      <w:r w:rsidR="00D80128" w:rsidRPr="00F40BA0">
        <w:rPr>
          <w:noProof/>
          <w:spacing w:val="-8"/>
        </w:rPr>
        <w:t>he most immediate and tangible effect across</w:t>
      </w:r>
      <w:r w:rsidR="00776950">
        <w:rPr>
          <w:noProof/>
          <w:spacing w:val="-8"/>
        </w:rPr>
        <w:t xml:space="preserve"> all </w:t>
      </w:r>
      <w:r w:rsidR="00D80128" w:rsidRPr="00F40BA0">
        <w:rPr>
          <w:noProof/>
          <w:spacing w:val="-8"/>
        </w:rPr>
        <w:t xml:space="preserve">options is the reduction of search costs. By enabling travellers to find, compare, and purchase tickets in a single location, the </w:t>
      </w:r>
      <w:r w:rsidR="001F75DA">
        <w:rPr>
          <w:noProof/>
          <w:spacing w:val="-8"/>
        </w:rPr>
        <w:t>policy options</w:t>
      </w:r>
      <w:r w:rsidR="001F75DA" w:rsidRPr="00F40BA0">
        <w:rPr>
          <w:noProof/>
          <w:spacing w:val="-8"/>
        </w:rPr>
        <w:t xml:space="preserve"> </w:t>
      </w:r>
      <w:r w:rsidR="00D80128" w:rsidRPr="00F40BA0">
        <w:rPr>
          <w:noProof/>
          <w:spacing w:val="-8"/>
        </w:rPr>
        <w:t>would eliminate the need to conduct lengthy searches across multiple platforms. This simplification of the purchasing process enhances convenience, transparency, and efficiency for consumers.</w:t>
      </w:r>
      <w:r w:rsidR="00D80128">
        <w:rPr>
          <w:noProof/>
          <w:spacing w:val="-8"/>
        </w:rPr>
        <w:t xml:space="preserve"> </w:t>
      </w:r>
    </w:p>
    <w:p w14:paraId="43127CCA" w14:textId="59AEB83E" w:rsidR="00633853" w:rsidRDefault="008A1217" w:rsidP="00494294">
      <w:pPr>
        <w:pStyle w:val="BodyText"/>
        <w:spacing w:after="240"/>
        <w:ind w:left="0"/>
        <w:rPr>
          <w:noProof/>
          <w:spacing w:val="-8"/>
        </w:rPr>
      </w:pPr>
      <w:r>
        <w:rPr>
          <w:noProof/>
          <w:spacing w:val="-8"/>
        </w:rPr>
        <w:t>T</w:t>
      </w:r>
      <w:r w:rsidR="004C70D5" w:rsidRPr="00631BC0">
        <w:rPr>
          <w:noProof/>
          <w:spacing w:val="-8"/>
        </w:rPr>
        <w:t>he</w:t>
      </w:r>
      <w:r w:rsidR="004C70D5">
        <w:rPr>
          <w:noProof/>
          <w:spacing w:val="-8"/>
        </w:rPr>
        <w:t xml:space="preserve"> overall </w:t>
      </w:r>
      <w:r w:rsidR="00AC1F8D">
        <w:rPr>
          <w:noProof/>
          <w:spacing w:val="-8"/>
        </w:rPr>
        <w:t>impact</w:t>
      </w:r>
      <w:r w:rsidR="004C70D5">
        <w:rPr>
          <w:noProof/>
          <w:spacing w:val="-8"/>
        </w:rPr>
        <w:t xml:space="preserve"> on consumers</w:t>
      </w:r>
      <w:r w:rsidR="0050703A">
        <w:rPr>
          <w:noProof/>
          <w:spacing w:val="-8"/>
        </w:rPr>
        <w:t>’ cost</w:t>
      </w:r>
      <w:r w:rsidR="00AA6513">
        <w:rPr>
          <w:noProof/>
          <w:spacing w:val="-8"/>
        </w:rPr>
        <w:t>s</w:t>
      </w:r>
      <w:r w:rsidR="004C70D5">
        <w:rPr>
          <w:noProof/>
          <w:spacing w:val="-8"/>
        </w:rPr>
        <w:t xml:space="preserve"> </w:t>
      </w:r>
      <w:r w:rsidR="0002548C">
        <w:rPr>
          <w:noProof/>
          <w:spacing w:val="-8"/>
        </w:rPr>
        <w:t xml:space="preserve">would </w:t>
      </w:r>
      <w:r w:rsidR="009326C5">
        <w:rPr>
          <w:noProof/>
          <w:spacing w:val="-8"/>
        </w:rPr>
        <w:t xml:space="preserve">be </w:t>
      </w:r>
      <w:r w:rsidR="00C52993">
        <w:rPr>
          <w:noProof/>
          <w:spacing w:val="-8"/>
        </w:rPr>
        <w:t xml:space="preserve">the strongest, </w:t>
      </w:r>
      <w:r w:rsidR="00D12149">
        <w:rPr>
          <w:noProof/>
          <w:spacing w:val="-8"/>
        </w:rPr>
        <w:t>as well as</w:t>
      </w:r>
      <w:r w:rsidR="00C52993">
        <w:rPr>
          <w:noProof/>
          <w:spacing w:val="-8"/>
        </w:rPr>
        <w:t xml:space="preserve"> the </w:t>
      </w:r>
      <w:r w:rsidR="003D3E5A">
        <w:rPr>
          <w:noProof/>
          <w:spacing w:val="-8"/>
        </w:rPr>
        <w:t xml:space="preserve">quickest to materialise, </w:t>
      </w:r>
      <w:r w:rsidR="00C52993">
        <w:rPr>
          <w:noProof/>
          <w:spacing w:val="-8"/>
        </w:rPr>
        <w:t>in the case of PO3</w:t>
      </w:r>
      <w:r w:rsidR="003D3E5A">
        <w:rPr>
          <w:noProof/>
          <w:spacing w:val="-8"/>
        </w:rPr>
        <w:t xml:space="preserve">. </w:t>
      </w:r>
      <w:r w:rsidR="00D12149">
        <w:rPr>
          <w:noProof/>
          <w:spacing w:val="-8"/>
        </w:rPr>
        <w:t xml:space="preserve">PO4 </w:t>
      </w:r>
      <w:r w:rsidR="00AC1F8D">
        <w:rPr>
          <w:noProof/>
          <w:spacing w:val="-8"/>
        </w:rPr>
        <w:t xml:space="preserve">would </w:t>
      </w:r>
      <w:r w:rsidR="00C17956">
        <w:rPr>
          <w:noProof/>
          <w:spacing w:val="-8"/>
        </w:rPr>
        <w:t xml:space="preserve">come </w:t>
      </w:r>
      <w:r w:rsidR="004D67F1">
        <w:rPr>
          <w:noProof/>
          <w:spacing w:val="-8"/>
        </w:rPr>
        <w:t xml:space="preserve">second </w:t>
      </w:r>
      <w:r w:rsidR="00715834">
        <w:rPr>
          <w:noProof/>
          <w:spacing w:val="-8"/>
        </w:rPr>
        <w:t xml:space="preserve">in terms of </w:t>
      </w:r>
      <w:r w:rsidR="008134A1">
        <w:rPr>
          <w:noProof/>
          <w:spacing w:val="-8"/>
        </w:rPr>
        <w:t xml:space="preserve">overall impact </w:t>
      </w:r>
      <w:r w:rsidR="0034198B">
        <w:rPr>
          <w:noProof/>
          <w:spacing w:val="-8"/>
        </w:rPr>
        <w:t xml:space="preserve">and </w:t>
      </w:r>
      <w:r w:rsidR="009A6654">
        <w:rPr>
          <w:noProof/>
          <w:spacing w:val="-8"/>
        </w:rPr>
        <w:t xml:space="preserve">but </w:t>
      </w:r>
      <w:r w:rsidR="0034198B">
        <w:rPr>
          <w:noProof/>
          <w:spacing w:val="-8"/>
        </w:rPr>
        <w:t>its</w:t>
      </w:r>
      <w:r w:rsidR="00D12149">
        <w:rPr>
          <w:noProof/>
          <w:spacing w:val="-8"/>
        </w:rPr>
        <w:t xml:space="preserve"> effect</w:t>
      </w:r>
      <w:r w:rsidR="001E5531">
        <w:rPr>
          <w:noProof/>
          <w:spacing w:val="-8"/>
        </w:rPr>
        <w:t>s</w:t>
      </w:r>
      <w:r w:rsidR="00D12149">
        <w:rPr>
          <w:noProof/>
          <w:spacing w:val="-8"/>
        </w:rPr>
        <w:t xml:space="preserve"> </w:t>
      </w:r>
      <w:r w:rsidR="00A526F6">
        <w:rPr>
          <w:noProof/>
          <w:spacing w:val="-8"/>
        </w:rPr>
        <w:t xml:space="preserve">would </w:t>
      </w:r>
      <w:r w:rsidR="008134A1">
        <w:rPr>
          <w:noProof/>
          <w:spacing w:val="-8"/>
        </w:rPr>
        <w:t>unfold</w:t>
      </w:r>
      <w:r w:rsidR="00B4091C">
        <w:rPr>
          <w:noProof/>
          <w:spacing w:val="-8"/>
        </w:rPr>
        <w:t xml:space="preserve"> more gradually</w:t>
      </w:r>
      <w:r w:rsidR="00751BCB">
        <w:rPr>
          <w:noProof/>
          <w:spacing w:val="-8"/>
        </w:rPr>
        <w:t xml:space="preserve">, due to the need to restructure </w:t>
      </w:r>
      <w:r w:rsidR="008E72A7">
        <w:rPr>
          <w:noProof/>
          <w:spacing w:val="-8"/>
        </w:rPr>
        <w:t>the business of indispensable platform</w:t>
      </w:r>
      <w:r w:rsidR="00DA25CE">
        <w:rPr>
          <w:noProof/>
          <w:spacing w:val="-8"/>
        </w:rPr>
        <w:t>s</w:t>
      </w:r>
      <w:r w:rsidR="008E72A7">
        <w:rPr>
          <w:noProof/>
          <w:spacing w:val="-8"/>
        </w:rPr>
        <w:t xml:space="preserve"> </w:t>
      </w:r>
      <w:r w:rsidR="00AF13C6">
        <w:rPr>
          <w:noProof/>
          <w:spacing w:val="-8"/>
        </w:rPr>
        <w:t>following unbundling.</w:t>
      </w:r>
      <w:r w:rsidR="00633853">
        <w:rPr>
          <w:noProof/>
          <w:spacing w:val="-8"/>
        </w:rPr>
        <w:t xml:space="preserve"> </w:t>
      </w:r>
      <w:r w:rsidR="005B024C">
        <w:rPr>
          <w:noProof/>
          <w:spacing w:val="-8"/>
        </w:rPr>
        <w:t xml:space="preserve">PO2 would have </w:t>
      </w:r>
      <w:r w:rsidR="00D94E57">
        <w:rPr>
          <w:noProof/>
          <w:spacing w:val="-8"/>
        </w:rPr>
        <w:t>a more moderate impact</w:t>
      </w:r>
      <w:r w:rsidR="00BC655D">
        <w:rPr>
          <w:noProof/>
          <w:spacing w:val="-8"/>
        </w:rPr>
        <w:t xml:space="preserve">, since </w:t>
      </w:r>
      <w:r w:rsidR="00617640">
        <w:rPr>
          <w:noProof/>
          <w:spacing w:val="-8"/>
        </w:rPr>
        <w:t>the cost reduction</w:t>
      </w:r>
      <w:r w:rsidR="007B7EE5">
        <w:rPr>
          <w:noProof/>
          <w:spacing w:val="-8"/>
        </w:rPr>
        <w:t xml:space="preserve"> would </w:t>
      </w:r>
      <w:r w:rsidR="00E63BE5">
        <w:rPr>
          <w:noProof/>
          <w:spacing w:val="-8"/>
        </w:rPr>
        <w:t xml:space="preserve">be </w:t>
      </w:r>
      <w:r w:rsidR="00463DDF">
        <w:rPr>
          <w:noProof/>
          <w:spacing w:val="-8"/>
        </w:rPr>
        <w:t>generated by</w:t>
      </w:r>
      <w:r w:rsidR="00E63BE5">
        <w:rPr>
          <w:noProof/>
          <w:spacing w:val="-8"/>
        </w:rPr>
        <w:t xml:space="preserve"> </w:t>
      </w:r>
      <w:r w:rsidR="00B838CF">
        <w:rPr>
          <w:noProof/>
          <w:spacing w:val="-8"/>
        </w:rPr>
        <w:t xml:space="preserve">the action of </w:t>
      </w:r>
      <w:r w:rsidR="00E63BE5">
        <w:rPr>
          <w:noProof/>
          <w:spacing w:val="-8"/>
        </w:rPr>
        <w:t>independent platf</w:t>
      </w:r>
      <w:r w:rsidR="00A55D76">
        <w:rPr>
          <w:noProof/>
          <w:spacing w:val="-8"/>
        </w:rPr>
        <w:t xml:space="preserve">orms that </w:t>
      </w:r>
      <w:r w:rsidR="002E03FC">
        <w:rPr>
          <w:noProof/>
          <w:spacing w:val="-8"/>
        </w:rPr>
        <w:t xml:space="preserve">have a </w:t>
      </w:r>
      <w:r w:rsidR="00A673D3">
        <w:rPr>
          <w:noProof/>
          <w:spacing w:val="-8"/>
        </w:rPr>
        <w:t>smaller</w:t>
      </w:r>
      <w:r w:rsidR="002E03FC">
        <w:rPr>
          <w:noProof/>
          <w:spacing w:val="-8"/>
        </w:rPr>
        <w:t xml:space="preserve"> customer base</w:t>
      </w:r>
      <w:r w:rsidR="00A673D3">
        <w:rPr>
          <w:noProof/>
          <w:spacing w:val="-8"/>
        </w:rPr>
        <w:t xml:space="preserve">, although </w:t>
      </w:r>
      <w:r w:rsidR="00AB49E9">
        <w:rPr>
          <w:noProof/>
          <w:spacing w:val="-8"/>
        </w:rPr>
        <w:t>this would grow in time</w:t>
      </w:r>
      <w:r w:rsidR="002E03FC">
        <w:rPr>
          <w:noProof/>
          <w:spacing w:val="-8"/>
        </w:rPr>
        <w:t xml:space="preserve">. </w:t>
      </w:r>
      <w:r w:rsidR="00CF4750">
        <w:rPr>
          <w:noProof/>
          <w:spacing w:val="-8"/>
        </w:rPr>
        <w:t xml:space="preserve">Finally, </w:t>
      </w:r>
      <w:r w:rsidR="00D91985">
        <w:rPr>
          <w:noProof/>
          <w:spacing w:val="-8"/>
        </w:rPr>
        <w:t xml:space="preserve">only a negligeable impact on </w:t>
      </w:r>
      <w:r w:rsidR="0003224B">
        <w:rPr>
          <w:noProof/>
          <w:spacing w:val="-8"/>
        </w:rPr>
        <w:t>transport cost</w:t>
      </w:r>
      <w:r w:rsidR="00D91985">
        <w:rPr>
          <w:noProof/>
          <w:spacing w:val="-8"/>
        </w:rPr>
        <w:t xml:space="preserve"> can be expected </w:t>
      </w:r>
      <w:r w:rsidR="0003224B">
        <w:rPr>
          <w:noProof/>
          <w:spacing w:val="-8"/>
        </w:rPr>
        <w:t xml:space="preserve">to result from </w:t>
      </w:r>
      <w:r w:rsidR="001C48BE">
        <w:rPr>
          <w:noProof/>
          <w:spacing w:val="-8"/>
        </w:rPr>
        <w:t xml:space="preserve">PO1, </w:t>
      </w:r>
      <w:r w:rsidR="00195E53">
        <w:rPr>
          <w:noProof/>
          <w:spacing w:val="-8"/>
        </w:rPr>
        <w:t xml:space="preserve">which would change the presentation, but not the scope of </w:t>
      </w:r>
      <w:r w:rsidR="009E7071">
        <w:rPr>
          <w:noProof/>
          <w:spacing w:val="-8"/>
        </w:rPr>
        <w:t xml:space="preserve">the ticketing offer </w:t>
      </w:r>
      <w:r w:rsidR="00F86932">
        <w:rPr>
          <w:noProof/>
          <w:spacing w:val="-8"/>
        </w:rPr>
        <w:t>on the platform</w:t>
      </w:r>
      <w:r w:rsidR="00195E53">
        <w:rPr>
          <w:noProof/>
          <w:spacing w:val="-8"/>
        </w:rPr>
        <w:t>s</w:t>
      </w:r>
      <w:r w:rsidR="00C62CE7">
        <w:rPr>
          <w:noProof/>
          <w:spacing w:val="-8"/>
        </w:rPr>
        <w:t>.</w:t>
      </w:r>
      <w:r w:rsidR="00633853">
        <w:rPr>
          <w:noProof/>
          <w:spacing w:val="-8"/>
        </w:rPr>
        <w:t xml:space="preserve"> </w:t>
      </w:r>
    </w:p>
    <w:p w14:paraId="7C17DD25" w14:textId="6990EB01" w:rsidR="003C06DC" w:rsidRDefault="00470173" w:rsidP="00494294">
      <w:pPr>
        <w:pStyle w:val="BodyText"/>
        <w:spacing w:after="240"/>
        <w:ind w:left="0"/>
        <w:rPr>
          <w:noProof/>
          <w:spacing w:val="-8"/>
        </w:rPr>
      </w:pPr>
      <w:r>
        <w:rPr>
          <w:noProof/>
          <w:spacing w:val="-8"/>
        </w:rPr>
        <w:t xml:space="preserve">The table below presents the impacts on average expenditure per person for interurban mobility </w:t>
      </w:r>
      <w:r w:rsidR="00162395">
        <w:rPr>
          <w:noProof/>
          <w:spacing w:val="-8"/>
        </w:rPr>
        <w:t xml:space="preserve">in the policy options relative to the baseline. It shows that the impacts are highest in </w:t>
      </w:r>
      <w:r w:rsidR="00325C5A">
        <w:rPr>
          <w:noProof/>
          <w:spacing w:val="-8"/>
        </w:rPr>
        <w:t>PO3</w:t>
      </w:r>
      <w:r w:rsidR="00A133C0">
        <w:rPr>
          <w:noProof/>
          <w:spacing w:val="-8"/>
        </w:rPr>
        <w:t xml:space="preserve"> (</w:t>
      </w:r>
      <w:r w:rsidR="00FF1F00">
        <w:rPr>
          <w:noProof/>
          <w:spacing w:val="-8"/>
        </w:rPr>
        <w:t>0.27% reduction in 2040 and 0.34% reduction in 2050 relative to the baseline)</w:t>
      </w:r>
      <w:r w:rsidR="00325C5A">
        <w:rPr>
          <w:noProof/>
          <w:spacing w:val="-8"/>
        </w:rPr>
        <w:t>, followed by PO4 and PO2</w:t>
      </w:r>
      <w:r w:rsidR="00A133C0">
        <w:rPr>
          <w:noProof/>
          <w:spacing w:val="-8"/>
        </w:rPr>
        <w:t xml:space="preserve">, while the impacts of PO1 are negligible. </w:t>
      </w:r>
      <w:r w:rsidR="002A2403">
        <w:rPr>
          <w:noProof/>
          <w:spacing w:val="-8"/>
        </w:rPr>
        <w:t xml:space="preserve">These </w:t>
      </w:r>
      <w:r w:rsidR="00E36058">
        <w:rPr>
          <w:noProof/>
          <w:spacing w:val="-8"/>
        </w:rPr>
        <w:t xml:space="preserve">impacts </w:t>
      </w:r>
      <w:r w:rsidR="002A2403">
        <w:rPr>
          <w:noProof/>
          <w:spacing w:val="-8"/>
        </w:rPr>
        <w:t xml:space="preserve">do not consider </w:t>
      </w:r>
      <w:r w:rsidR="00B21197">
        <w:rPr>
          <w:noProof/>
          <w:spacing w:val="-8"/>
        </w:rPr>
        <w:t>the reduced search costs</w:t>
      </w:r>
      <w:r w:rsidR="00845FF4">
        <w:rPr>
          <w:noProof/>
          <w:spacing w:val="-8"/>
        </w:rPr>
        <w:t xml:space="preserve"> </w:t>
      </w:r>
      <w:r w:rsidR="005F3204" w:rsidRPr="00631BC0">
        <w:rPr>
          <w:noProof/>
          <w:spacing w:val="-8"/>
        </w:rPr>
        <w:t>for the most convenient offer in terms of fares, comfort</w:t>
      </w:r>
      <w:r w:rsidR="00A45EEE" w:rsidRPr="00A45EEE">
        <w:rPr>
          <w:noProof/>
          <w:spacing w:val="-8"/>
        </w:rPr>
        <w:t xml:space="preserve"> and </w:t>
      </w:r>
      <w:r w:rsidR="005F3204" w:rsidRPr="00631BC0">
        <w:rPr>
          <w:noProof/>
          <w:spacing w:val="-8"/>
        </w:rPr>
        <w:t>travel time</w:t>
      </w:r>
      <w:r w:rsidR="00A25A71">
        <w:rPr>
          <w:noProof/>
          <w:spacing w:val="-8"/>
        </w:rPr>
        <w:t>, which are difficult to quantify</w:t>
      </w:r>
      <w:r w:rsidR="00845FF4">
        <w:rPr>
          <w:noProof/>
          <w:spacing w:val="-8"/>
        </w:rPr>
        <w:t xml:space="preserve"> and thus only assessed qualitatively</w:t>
      </w:r>
      <w:r w:rsidR="00A25A71">
        <w:rPr>
          <w:noProof/>
          <w:spacing w:val="-8"/>
        </w:rPr>
        <w:t xml:space="preserve">. </w:t>
      </w:r>
    </w:p>
    <w:p w14:paraId="4D4646FB" w14:textId="76841B41" w:rsidR="00B8548F" w:rsidRPr="006333F0" w:rsidRDefault="00B8548F" w:rsidP="00B8548F">
      <w:pPr>
        <w:pStyle w:val="Text2"/>
        <w:spacing w:after="0"/>
        <w:ind w:left="0"/>
        <w:rPr>
          <w:rFonts w:cs="Times New Roman"/>
          <w:i/>
          <w:noProof/>
          <w:sz w:val="22"/>
          <w:szCs w:val="22"/>
        </w:rPr>
      </w:pPr>
      <w:bookmarkStart w:id="157" w:name="_Ref223122343"/>
      <w:r w:rsidRPr="006333F0">
        <w:rPr>
          <w:rFonts w:cs="Times New Roman"/>
          <w:i/>
          <w:noProof/>
          <w:sz w:val="22"/>
          <w:szCs w:val="22"/>
        </w:rPr>
        <w:t>Table</w:t>
      </w:r>
      <w:bookmarkEnd w:id="157"/>
      <w:r w:rsidRPr="006333F0">
        <w:rPr>
          <w:rFonts w:cs="Times New Roman"/>
          <w:i/>
          <w:noProof/>
          <w:sz w:val="22"/>
          <w:szCs w:val="22"/>
        </w:rPr>
        <w:t xml:space="preserve"> </w:t>
      </w:r>
      <w:r w:rsidRPr="006333F0">
        <w:rPr>
          <w:rFonts w:cs="Times New Roman"/>
          <w:i/>
          <w:iCs/>
          <w:noProof/>
          <w:sz w:val="22"/>
          <w:szCs w:val="22"/>
        </w:rPr>
        <w:fldChar w:fldCharType="begin"/>
      </w:r>
      <w:r w:rsidRPr="006333F0">
        <w:rPr>
          <w:rFonts w:cs="Times New Roman"/>
          <w:i/>
          <w:iCs/>
          <w:noProof/>
          <w:sz w:val="22"/>
          <w:szCs w:val="22"/>
        </w:rPr>
        <w:instrText xml:space="preserve"> SEQ Table \* ARABIC </w:instrText>
      </w:r>
      <w:r w:rsidRPr="006333F0">
        <w:rPr>
          <w:rFonts w:cs="Times New Roman"/>
          <w:i/>
          <w:iCs/>
          <w:noProof/>
          <w:sz w:val="22"/>
          <w:szCs w:val="22"/>
        </w:rPr>
        <w:fldChar w:fldCharType="separate"/>
      </w:r>
      <w:r w:rsidR="0055391F">
        <w:rPr>
          <w:rFonts w:cs="Times New Roman"/>
          <w:i/>
          <w:iCs/>
          <w:noProof/>
          <w:sz w:val="22"/>
          <w:szCs w:val="22"/>
        </w:rPr>
        <w:t>14</w:t>
      </w:r>
      <w:r w:rsidRPr="006333F0">
        <w:rPr>
          <w:rFonts w:cs="Times New Roman"/>
          <w:i/>
          <w:iCs/>
          <w:noProof/>
          <w:sz w:val="22"/>
          <w:szCs w:val="22"/>
        </w:rPr>
        <w:fldChar w:fldCharType="end"/>
      </w:r>
      <w:r w:rsidRPr="006333F0">
        <w:rPr>
          <w:rFonts w:cs="Times New Roman"/>
          <w:i/>
          <w:noProof/>
          <w:sz w:val="22"/>
          <w:szCs w:val="22"/>
        </w:rPr>
        <w:t xml:space="preserve">: </w:t>
      </w:r>
      <w:r>
        <w:rPr>
          <w:rFonts w:cs="Times New Roman"/>
          <w:i/>
          <w:noProof/>
          <w:sz w:val="22"/>
          <w:szCs w:val="22"/>
        </w:rPr>
        <w:t>Impact</w:t>
      </w:r>
      <w:r w:rsidR="00BA0980">
        <w:rPr>
          <w:rFonts w:cs="Times New Roman"/>
          <w:i/>
          <w:noProof/>
          <w:sz w:val="22"/>
          <w:szCs w:val="22"/>
        </w:rPr>
        <w:t>s</w:t>
      </w:r>
      <w:r>
        <w:rPr>
          <w:rFonts w:cs="Times New Roman"/>
          <w:i/>
          <w:noProof/>
          <w:sz w:val="22"/>
          <w:szCs w:val="22"/>
        </w:rPr>
        <w:t xml:space="preserve"> </w:t>
      </w:r>
      <w:r w:rsidR="00453E9A">
        <w:rPr>
          <w:rFonts w:cs="Times New Roman"/>
          <w:i/>
          <w:noProof/>
          <w:sz w:val="22"/>
          <w:szCs w:val="22"/>
        </w:rPr>
        <w:t xml:space="preserve">on </w:t>
      </w:r>
      <w:r w:rsidR="00A8369C" w:rsidRPr="00117904">
        <w:rPr>
          <w:rFonts w:cs="Times New Roman"/>
          <w:i/>
          <w:noProof/>
          <w:sz w:val="22"/>
          <w:szCs w:val="22"/>
        </w:rPr>
        <w:t>a</w:t>
      </w:r>
      <w:r w:rsidR="002F58DD" w:rsidRPr="00117904">
        <w:rPr>
          <w:rFonts w:cs="Times New Roman"/>
          <w:i/>
          <w:noProof/>
          <w:sz w:val="22"/>
          <w:szCs w:val="22"/>
        </w:rPr>
        <w:t xml:space="preserve">verage expenditure </w:t>
      </w:r>
      <w:r w:rsidR="00A8369C" w:rsidRPr="00117904">
        <w:rPr>
          <w:rFonts w:cs="Times New Roman"/>
          <w:i/>
          <w:noProof/>
          <w:sz w:val="22"/>
          <w:szCs w:val="22"/>
        </w:rPr>
        <w:t xml:space="preserve">per person </w:t>
      </w:r>
      <w:r w:rsidR="002F58DD" w:rsidRPr="00117904">
        <w:rPr>
          <w:rFonts w:cs="Times New Roman"/>
          <w:i/>
          <w:noProof/>
          <w:sz w:val="22"/>
          <w:szCs w:val="22"/>
        </w:rPr>
        <w:t>for interurban mobility</w:t>
      </w:r>
      <w:r w:rsidR="00A8369C" w:rsidRPr="00117904">
        <w:rPr>
          <w:rFonts w:cs="Times New Roman"/>
          <w:i/>
          <w:noProof/>
          <w:sz w:val="22"/>
          <w:szCs w:val="22"/>
        </w:rPr>
        <w:t>, at EU</w:t>
      </w:r>
      <w:r w:rsidR="009277EE">
        <w:rPr>
          <w:rFonts w:cs="Times New Roman"/>
          <w:i/>
          <w:noProof/>
          <w:sz w:val="22"/>
          <w:szCs w:val="22"/>
        </w:rPr>
        <w:t>27</w:t>
      </w:r>
      <w:r w:rsidR="00A8369C" w:rsidRPr="00117904">
        <w:rPr>
          <w:rFonts w:cs="Times New Roman"/>
          <w:i/>
          <w:noProof/>
          <w:sz w:val="22"/>
          <w:szCs w:val="22"/>
        </w:rPr>
        <w:t xml:space="preserve"> level</w:t>
      </w:r>
      <w:r w:rsidR="0081727B" w:rsidRPr="00117904">
        <w:rPr>
          <w:rFonts w:cs="Times New Roman"/>
          <w:i/>
          <w:noProof/>
          <w:sz w:val="22"/>
          <w:szCs w:val="22"/>
        </w:rPr>
        <w:t xml:space="preserve"> </w:t>
      </w:r>
      <w:r w:rsidR="00393020">
        <w:rPr>
          <w:rFonts w:cs="Times New Roman"/>
          <w:i/>
          <w:noProof/>
          <w:sz w:val="22"/>
          <w:szCs w:val="22"/>
        </w:rPr>
        <w:t>(% change relative to the baseline)</w:t>
      </w:r>
    </w:p>
    <w:tbl>
      <w:tblPr>
        <w:tblW w:w="5000" w:type="pct"/>
        <w:tblLayout w:type="fixed"/>
        <w:tblLook w:val="04A0" w:firstRow="1" w:lastRow="0" w:firstColumn="1" w:lastColumn="0" w:noHBand="0" w:noVBand="1"/>
      </w:tblPr>
      <w:tblGrid>
        <w:gridCol w:w="6210"/>
        <w:gridCol w:w="1131"/>
        <w:gridCol w:w="1131"/>
        <w:gridCol w:w="1131"/>
      </w:tblGrid>
      <w:tr w:rsidR="00CD2992" w:rsidRPr="00CD2992" w14:paraId="648A7109" w14:textId="77777777" w:rsidTr="00631BC0">
        <w:trPr>
          <w:trHeight w:val="284"/>
          <w:tblHeader/>
        </w:trPr>
        <w:tc>
          <w:tcPr>
            <w:tcW w:w="6210" w:type="dxa"/>
            <w:tcBorders>
              <w:top w:val="single" w:sz="4" w:space="0" w:color="auto"/>
              <w:left w:val="single" w:sz="4" w:space="0" w:color="auto"/>
              <w:bottom w:val="single" w:sz="4" w:space="0" w:color="auto"/>
              <w:right w:val="single" w:sz="4" w:space="0" w:color="auto"/>
            </w:tcBorders>
            <w:shd w:val="clear" w:color="000000" w:fill="0070C0"/>
            <w:hideMark/>
          </w:tcPr>
          <w:p w14:paraId="72B1A602" w14:textId="3223BE6D" w:rsidR="00CD2992" w:rsidRPr="004E336D" w:rsidRDefault="00915BF5" w:rsidP="00CD2992">
            <w:pPr>
              <w:rPr>
                <w:b/>
                <w:noProof/>
                <w:color w:val="FFFFFF"/>
                <w:sz w:val="20"/>
                <w:szCs w:val="20"/>
              </w:rPr>
            </w:pPr>
            <w:r w:rsidRPr="00915BF5">
              <w:rPr>
                <w:b/>
                <w:noProof/>
                <w:color w:val="FFFFFF"/>
                <w:sz w:val="20"/>
                <w:szCs w:val="20"/>
                <w:lang w:eastAsia="en-GB"/>
              </w:rPr>
              <w:t>Average expenditure</w:t>
            </w:r>
            <w:r w:rsidR="001542A2">
              <w:rPr>
                <w:b/>
                <w:noProof/>
                <w:color w:val="FFFFFF"/>
                <w:sz w:val="20"/>
                <w:szCs w:val="20"/>
                <w:lang w:eastAsia="en-GB"/>
              </w:rPr>
              <w:t xml:space="preserve"> per person for interurban mobility</w:t>
            </w:r>
            <w:r w:rsidR="00CD2992" w:rsidRPr="00915BF5">
              <w:rPr>
                <w:b/>
                <w:noProof/>
                <w:color w:val="FFFFFF"/>
                <w:sz w:val="20"/>
                <w:szCs w:val="20"/>
                <w:lang w:eastAsia="en-GB"/>
              </w:rPr>
              <w:t xml:space="preserve"> (% change to the baseline)</w:t>
            </w:r>
          </w:p>
        </w:tc>
        <w:tc>
          <w:tcPr>
            <w:tcW w:w="1131" w:type="dxa"/>
            <w:tcBorders>
              <w:top w:val="single" w:sz="4" w:space="0" w:color="auto"/>
              <w:left w:val="nil"/>
              <w:bottom w:val="single" w:sz="4" w:space="0" w:color="auto"/>
              <w:right w:val="single" w:sz="4" w:space="0" w:color="auto"/>
            </w:tcBorders>
            <w:shd w:val="clear" w:color="000000" w:fill="0070C0"/>
            <w:noWrap/>
            <w:hideMark/>
          </w:tcPr>
          <w:p w14:paraId="243AA113" w14:textId="090EBE60" w:rsidR="00CD2992" w:rsidRPr="004E336D" w:rsidRDefault="00CD2992" w:rsidP="00CD2992">
            <w:pPr>
              <w:jc w:val="right"/>
              <w:rPr>
                <w:b/>
                <w:noProof/>
                <w:color w:val="FFFFFF"/>
                <w:sz w:val="20"/>
                <w:szCs w:val="20"/>
              </w:rPr>
            </w:pPr>
            <w:r w:rsidRPr="004E336D">
              <w:rPr>
                <w:b/>
                <w:noProof/>
                <w:color w:val="FFFFFF"/>
                <w:sz w:val="20"/>
                <w:szCs w:val="20"/>
                <w:lang w:eastAsia="en-GB"/>
              </w:rPr>
              <w:t>2030</w:t>
            </w:r>
          </w:p>
        </w:tc>
        <w:tc>
          <w:tcPr>
            <w:tcW w:w="1131" w:type="dxa"/>
            <w:tcBorders>
              <w:top w:val="single" w:sz="4" w:space="0" w:color="auto"/>
              <w:left w:val="nil"/>
              <w:bottom w:val="single" w:sz="4" w:space="0" w:color="auto"/>
              <w:right w:val="single" w:sz="4" w:space="0" w:color="auto"/>
            </w:tcBorders>
            <w:shd w:val="clear" w:color="000000" w:fill="0070C0"/>
            <w:noWrap/>
            <w:hideMark/>
          </w:tcPr>
          <w:p w14:paraId="1C5CB2A6" w14:textId="395682A5" w:rsidR="00CD2992" w:rsidRPr="004E336D" w:rsidRDefault="00CD2992" w:rsidP="00CD2992">
            <w:pPr>
              <w:jc w:val="right"/>
              <w:rPr>
                <w:b/>
                <w:noProof/>
                <w:color w:val="FFFFFF"/>
                <w:sz w:val="20"/>
                <w:szCs w:val="20"/>
              </w:rPr>
            </w:pPr>
            <w:r w:rsidRPr="004E336D">
              <w:rPr>
                <w:b/>
                <w:noProof/>
                <w:color w:val="FFFFFF"/>
                <w:sz w:val="20"/>
                <w:szCs w:val="20"/>
                <w:lang w:eastAsia="en-GB"/>
              </w:rPr>
              <w:t>2040</w:t>
            </w:r>
          </w:p>
        </w:tc>
        <w:tc>
          <w:tcPr>
            <w:tcW w:w="1131" w:type="dxa"/>
            <w:tcBorders>
              <w:top w:val="single" w:sz="4" w:space="0" w:color="auto"/>
              <w:left w:val="nil"/>
              <w:bottom w:val="single" w:sz="4" w:space="0" w:color="auto"/>
              <w:right w:val="single" w:sz="4" w:space="0" w:color="auto"/>
            </w:tcBorders>
            <w:shd w:val="clear" w:color="000000" w:fill="0070C0"/>
            <w:noWrap/>
            <w:hideMark/>
          </w:tcPr>
          <w:p w14:paraId="1013D977" w14:textId="6BC00C61" w:rsidR="00CD2992" w:rsidRPr="004E336D" w:rsidRDefault="00CD2992" w:rsidP="00CD2992">
            <w:pPr>
              <w:jc w:val="right"/>
              <w:rPr>
                <w:b/>
                <w:noProof/>
                <w:color w:val="FFFFFF"/>
                <w:sz w:val="20"/>
                <w:szCs w:val="20"/>
              </w:rPr>
            </w:pPr>
            <w:r w:rsidRPr="004E336D">
              <w:rPr>
                <w:b/>
                <w:noProof/>
                <w:color w:val="FFFFFF"/>
                <w:sz w:val="20"/>
                <w:szCs w:val="20"/>
                <w:lang w:eastAsia="en-GB"/>
              </w:rPr>
              <w:t>2050</w:t>
            </w:r>
          </w:p>
        </w:tc>
      </w:tr>
      <w:tr w:rsidR="00CD2992" w:rsidRPr="00CD2992" w14:paraId="37C7684E" w14:textId="77777777" w:rsidTr="00785DDD">
        <w:trPr>
          <w:trHeight w:val="284"/>
        </w:trPr>
        <w:tc>
          <w:tcPr>
            <w:tcW w:w="6210" w:type="dxa"/>
            <w:tcBorders>
              <w:top w:val="nil"/>
              <w:left w:val="single" w:sz="4" w:space="0" w:color="auto"/>
              <w:bottom w:val="single" w:sz="4" w:space="0" w:color="auto"/>
              <w:right w:val="single" w:sz="4" w:space="0" w:color="auto"/>
            </w:tcBorders>
            <w:shd w:val="clear" w:color="000000" w:fill="FFFFFF"/>
            <w:noWrap/>
            <w:hideMark/>
          </w:tcPr>
          <w:p w14:paraId="2E1F5910" w14:textId="2E0DC305" w:rsidR="00CD2992" w:rsidRPr="004E336D" w:rsidRDefault="00CD2992" w:rsidP="00CD2992">
            <w:pPr>
              <w:rPr>
                <w:noProof/>
                <w:color w:val="000000"/>
                <w:sz w:val="20"/>
                <w:szCs w:val="20"/>
              </w:rPr>
            </w:pPr>
            <w:r w:rsidRPr="004E336D">
              <w:rPr>
                <w:noProof/>
                <w:color w:val="000000"/>
                <w:sz w:val="20"/>
                <w:szCs w:val="20"/>
                <w:lang w:eastAsia="en-GB"/>
              </w:rPr>
              <w:t xml:space="preserve">PO1 </w:t>
            </w:r>
          </w:p>
        </w:tc>
        <w:tc>
          <w:tcPr>
            <w:tcW w:w="1131" w:type="dxa"/>
            <w:tcBorders>
              <w:top w:val="nil"/>
              <w:left w:val="nil"/>
              <w:bottom w:val="single" w:sz="4" w:space="0" w:color="auto"/>
              <w:right w:val="single" w:sz="4" w:space="0" w:color="auto"/>
            </w:tcBorders>
            <w:shd w:val="clear" w:color="000000" w:fill="FFFFFF"/>
            <w:noWrap/>
            <w:hideMark/>
          </w:tcPr>
          <w:p w14:paraId="03A878C8" w14:textId="39015ADB" w:rsidR="00CD2992" w:rsidRPr="004E336D" w:rsidRDefault="0081727B" w:rsidP="00CD2992">
            <w:pPr>
              <w:jc w:val="right"/>
              <w:rPr>
                <w:noProof/>
                <w:color w:val="000000"/>
                <w:sz w:val="20"/>
                <w:szCs w:val="20"/>
              </w:rPr>
            </w:pPr>
            <w:r>
              <w:rPr>
                <w:noProof/>
                <w:color w:val="000000"/>
                <w:sz w:val="20"/>
                <w:szCs w:val="20"/>
                <w:lang w:eastAsia="en-GB"/>
              </w:rPr>
              <w:t>-</w:t>
            </w:r>
            <w:r w:rsidR="00CD2992" w:rsidRPr="004E336D">
              <w:rPr>
                <w:noProof/>
                <w:color w:val="000000"/>
                <w:sz w:val="20"/>
                <w:szCs w:val="20"/>
                <w:lang w:eastAsia="en-GB"/>
              </w:rPr>
              <w:t>0.</w:t>
            </w:r>
            <w:r w:rsidRPr="0081727B">
              <w:rPr>
                <w:noProof/>
                <w:color w:val="000000"/>
                <w:sz w:val="20"/>
                <w:szCs w:val="20"/>
                <w:lang w:eastAsia="en-GB"/>
              </w:rPr>
              <w:t>0</w:t>
            </w:r>
            <w:r>
              <w:rPr>
                <w:noProof/>
                <w:color w:val="000000"/>
                <w:sz w:val="20"/>
                <w:szCs w:val="20"/>
                <w:lang w:eastAsia="en-GB"/>
              </w:rPr>
              <w:t>1</w:t>
            </w:r>
            <w:r w:rsidR="00CD2992" w:rsidRPr="004E336D">
              <w:rPr>
                <w:noProof/>
                <w:color w:val="000000"/>
                <w:sz w:val="20"/>
                <w:szCs w:val="20"/>
                <w:lang w:eastAsia="en-GB"/>
              </w:rPr>
              <w:t>%</w:t>
            </w:r>
          </w:p>
        </w:tc>
        <w:tc>
          <w:tcPr>
            <w:tcW w:w="1131" w:type="dxa"/>
            <w:tcBorders>
              <w:top w:val="nil"/>
              <w:left w:val="nil"/>
              <w:bottom w:val="single" w:sz="4" w:space="0" w:color="auto"/>
              <w:right w:val="single" w:sz="4" w:space="0" w:color="auto"/>
            </w:tcBorders>
            <w:shd w:val="clear" w:color="000000" w:fill="FFFFFF"/>
            <w:noWrap/>
            <w:hideMark/>
          </w:tcPr>
          <w:p w14:paraId="1837AFAC" w14:textId="5351377A" w:rsidR="00CD2992" w:rsidRPr="004E336D" w:rsidRDefault="0081727B" w:rsidP="00CD2992">
            <w:pPr>
              <w:jc w:val="right"/>
              <w:rPr>
                <w:noProof/>
                <w:color w:val="000000"/>
                <w:sz w:val="20"/>
                <w:szCs w:val="20"/>
              </w:rPr>
            </w:pPr>
            <w:r>
              <w:rPr>
                <w:noProof/>
                <w:color w:val="000000"/>
                <w:sz w:val="20"/>
                <w:szCs w:val="20"/>
                <w:lang w:eastAsia="en-GB"/>
              </w:rPr>
              <w:t>-</w:t>
            </w:r>
            <w:r w:rsidR="00CD2992" w:rsidRPr="004E336D">
              <w:rPr>
                <w:noProof/>
                <w:color w:val="000000"/>
                <w:sz w:val="20"/>
                <w:szCs w:val="20"/>
                <w:lang w:eastAsia="en-GB"/>
              </w:rPr>
              <w:t>0.</w:t>
            </w:r>
            <w:r w:rsidRPr="0081727B">
              <w:rPr>
                <w:noProof/>
                <w:color w:val="000000"/>
                <w:sz w:val="20"/>
                <w:szCs w:val="20"/>
                <w:lang w:eastAsia="en-GB"/>
              </w:rPr>
              <w:t>0</w:t>
            </w:r>
            <w:r>
              <w:rPr>
                <w:noProof/>
                <w:color w:val="000000"/>
                <w:sz w:val="20"/>
                <w:szCs w:val="20"/>
                <w:lang w:eastAsia="en-GB"/>
              </w:rPr>
              <w:t>3</w:t>
            </w:r>
            <w:r w:rsidR="00CD2992" w:rsidRPr="004E336D">
              <w:rPr>
                <w:noProof/>
                <w:color w:val="000000"/>
                <w:sz w:val="20"/>
                <w:szCs w:val="20"/>
                <w:lang w:eastAsia="en-GB"/>
              </w:rPr>
              <w:t>%</w:t>
            </w:r>
          </w:p>
        </w:tc>
        <w:tc>
          <w:tcPr>
            <w:tcW w:w="1131" w:type="dxa"/>
            <w:tcBorders>
              <w:top w:val="nil"/>
              <w:left w:val="nil"/>
              <w:bottom w:val="single" w:sz="4" w:space="0" w:color="auto"/>
              <w:right w:val="single" w:sz="4" w:space="0" w:color="auto"/>
            </w:tcBorders>
            <w:shd w:val="clear" w:color="000000" w:fill="FFFFFF"/>
            <w:noWrap/>
            <w:hideMark/>
          </w:tcPr>
          <w:p w14:paraId="5F6EC6A4" w14:textId="3FC57835" w:rsidR="00CD2992" w:rsidRPr="004E336D" w:rsidRDefault="00CD2992" w:rsidP="00CD2992">
            <w:pPr>
              <w:jc w:val="right"/>
              <w:rPr>
                <w:noProof/>
                <w:color w:val="000000"/>
                <w:sz w:val="20"/>
                <w:szCs w:val="20"/>
              </w:rPr>
            </w:pPr>
            <w:r w:rsidRPr="004E336D">
              <w:rPr>
                <w:noProof/>
                <w:color w:val="000000"/>
                <w:sz w:val="20"/>
                <w:szCs w:val="20"/>
                <w:lang w:eastAsia="en-GB"/>
              </w:rPr>
              <w:t>-0.</w:t>
            </w:r>
            <w:r w:rsidR="0081727B">
              <w:rPr>
                <w:noProof/>
                <w:color w:val="000000"/>
                <w:sz w:val="20"/>
                <w:szCs w:val="20"/>
                <w:lang w:eastAsia="en-GB"/>
              </w:rPr>
              <w:t>05</w:t>
            </w:r>
            <w:r w:rsidRPr="004E336D">
              <w:rPr>
                <w:noProof/>
                <w:color w:val="000000"/>
                <w:sz w:val="20"/>
                <w:szCs w:val="20"/>
                <w:lang w:eastAsia="en-GB"/>
              </w:rPr>
              <w:t>%</w:t>
            </w:r>
          </w:p>
        </w:tc>
      </w:tr>
      <w:tr w:rsidR="00CD2992" w:rsidRPr="00CD2992" w14:paraId="402C9832" w14:textId="77777777" w:rsidTr="00785DDD">
        <w:trPr>
          <w:trHeight w:val="284"/>
        </w:trPr>
        <w:tc>
          <w:tcPr>
            <w:tcW w:w="6210" w:type="dxa"/>
            <w:tcBorders>
              <w:top w:val="nil"/>
              <w:left w:val="single" w:sz="4" w:space="0" w:color="auto"/>
              <w:bottom w:val="single" w:sz="4" w:space="0" w:color="auto"/>
              <w:right w:val="single" w:sz="4" w:space="0" w:color="auto"/>
            </w:tcBorders>
            <w:shd w:val="clear" w:color="000000" w:fill="FFFFFF"/>
            <w:noWrap/>
            <w:hideMark/>
          </w:tcPr>
          <w:p w14:paraId="77F9534C" w14:textId="40199CBD" w:rsidR="00CD2992" w:rsidRPr="004E336D" w:rsidRDefault="00CD2992" w:rsidP="00CD2992">
            <w:pPr>
              <w:rPr>
                <w:noProof/>
                <w:color w:val="000000"/>
                <w:sz w:val="20"/>
                <w:szCs w:val="20"/>
              </w:rPr>
            </w:pPr>
            <w:r w:rsidRPr="004E336D">
              <w:rPr>
                <w:noProof/>
                <w:color w:val="000000"/>
                <w:sz w:val="20"/>
                <w:szCs w:val="20"/>
                <w:lang w:eastAsia="en-GB"/>
              </w:rPr>
              <w:t xml:space="preserve">PO2 </w:t>
            </w:r>
          </w:p>
        </w:tc>
        <w:tc>
          <w:tcPr>
            <w:tcW w:w="1131" w:type="dxa"/>
            <w:tcBorders>
              <w:top w:val="nil"/>
              <w:left w:val="nil"/>
              <w:bottom w:val="single" w:sz="4" w:space="0" w:color="auto"/>
              <w:right w:val="single" w:sz="4" w:space="0" w:color="auto"/>
            </w:tcBorders>
            <w:shd w:val="clear" w:color="000000" w:fill="FFFFFF"/>
            <w:noWrap/>
            <w:hideMark/>
          </w:tcPr>
          <w:p w14:paraId="32FD7815" w14:textId="4C8EC333" w:rsidR="00CD2992" w:rsidRPr="004E336D" w:rsidRDefault="0081727B" w:rsidP="00CD2992">
            <w:pPr>
              <w:jc w:val="right"/>
              <w:rPr>
                <w:noProof/>
                <w:color w:val="000000"/>
                <w:sz w:val="20"/>
                <w:szCs w:val="20"/>
              </w:rPr>
            </w:pPr>
            <w:r>
              <w:rPr>
                <w:noProof/>
                <w:color w:val="000000"/>
                <w:sz w:val="20"/>
                <w:szCs w:val="20"/>
                <w:lang w:eastAsia="en-GB"/>
              </w:rPr>
              <w:t>-</w:t>
            </w:r>
            <w:r w:rsidR="00CD2992" w:rsidRPr="004E336D">
              <w:rPr>
                <w:noProof/>
                <w:color w:val="000000"/>
                <w:sz w:val="20"/>
                <w:szCs w:val="20"/>
                <w:lang w:eastAsia="en-GB"/>
              </w:rPr>
              <w:t>0.</w:t>
            </w:r>
            <w:r w:rsidR="006F072D" w:rsidRPr="0081727B">
              <w:rPr>
                <w:noProof/>
                <w:color w:val="000000"/>
                <w:sz w:val="20"/>
                <w:szCs w:val="20"/>
                <w:lang w:eastAsia="en-GB"/>
              </w:rPr>
              <w:t>0</w:t>
            </w:r>
            <w:r w:rsidR="006F072D">
              <w:rPr>
                <w:noProof/>
                <w:color w:val="000000"/>
                <w:sz w:val="20"/>
                <w:szCs w:val="20"/>
                <w:lang w:eastAsia="en-GB"/>
              </w:rPr>
              <w:t>3</w:t>
            </w:r>
            <w:r w:rsidR="00CD2992" w:rsidRPr="004E336D">
              <w:rPr>
                <w:noProof/>
                <w:color w:val="000000"/>
                <w:sz w:val="20"/>
                <w:szCs w:val="20"/>
                <w:lang w:eastAsia="en-GB"/>
              </w:rPr>
              <w:t>%</w:t>
            </w:r>
          </w:p>
        </w:tc>
        <w:tc>
          <w:tcPr>
            <w:tcW w:w="1131" w:type="dxa"/>
            <w:tcBorders>
              <w:top w:val="nil"/>
              <w:left w:val="nil"/>
              <w:bottom w:val="single" w:sz="4" w:space="0" w:color="auto"/>
              <w:right w:val="single" w:sz="4" w:space="0" w:color="auto"/>
            </w:tcBorders>
            <w:shd w:val="clear" w:color="000000" w:fill="FFFFFF"/>
            <w:noWrap/>
            <w:hideMark/>
          </w:tcPr>
          <w:p w14:paraId="7ED19163" w14:textId="15A17049" w:rsidR="00CD2992" w:rsidRPr="004E336D" w:rsidRDefault="00CD2992" w:rsidP="00CD2992">
            <w:pPr>
              <w:jc w:val="right"/>
              <w:rPr>
                <w:noProof/>
                <w:color w:val="000000"/>
                <w:sz w:val="20"/>
                <w:szCs w:val="20"/>
              </w:rPr>
            </w:pPr>
            <w:r w:rsidRPr="004E336D">
              <w:rPr>
                <w:noProof/>
                <w:color w:val="000000"/>
                <w:sz w:val="20"/>
                <w:szCs w:val="20"/>
                <w:lang w:eastAsia="en-GB"/>
              </w:rPr>
              <w:t>-0.</w:t>
            </w:r>
            <w:r w:rsidR="0081727B">
              <w:rPr>
                <w:noProof/>
                <w:color w:val="000000"/>
                <w:sz w:val="20"/>
                <w:szCs w:val="20"/>
                <w:lang w:eastAsia="en-GB"/>
              </w:rPr>
              <w:t>16</w:t>
            </w:r>
            <w:r w:rsidRPr="004E336D">
              <w:rPr>
                <w:noProof/>
                <w:color w:val="000000"/>
                <w:sz w:val="20"/>
                <w:szCs w:val="20"/>
                <w:lang w:eastAsia="en-GB"/>
              </w:rPr>
              <w:t>%</w:t>
            </w:r>
          </w:p>
        </w:tc>
        <w:tc>
          <w:tcPr>
            <w:tcW w:w="1131" w:type="dxa"/>
            <w:tcBorders>
              <w:top w:val="nil"/>
              <w:left w:val="nil"/>
              <w:bottom w:val="single" w:sz="4" w:space="0" w:color="auto"/>
              <w:right w:val="single" w:sz="4" w:space="0" w:color="auto"/>
            </w:tcBorders>
            <w:shd w:val="clear" w:color="000000" w:fill="FFFFFF"/>
            <w:noWrap/>
            <w:hideMark/>
          </w:tcPr>
          <w:p w14:paraId="1066508B" w14:textId="535CA747" w:rsidR="00CD2992" w:rsidRPr="004E336D" w:rsidRDefault="00CD2992" w:rsidP="00CD2992">
            <w:pPr>
              <w:jc w:val="right"/>
              <w:rPr>
                <w:noProof/>
                <w:color w:val="000000"/>
                <w:sz w:val="20"/>
                <w:szCs w:val="20"/>
              </w:rPr>
            </w:pPr>
            <w:r w:rsidRPr="004E336D">
              <w:rPr>
                <w:noProof/>
                <w:color w:val="000000"/>
                <w:sz w:val="20"/>
                <w:szCs w:val="20"/>
                <w:lang w:eastAsia="en-GB"/>
              </w:rPr>
              <w:t>-0.</w:t>
            </w:r>
            <w:r w:rsidR="0081727B" w:rsidRPr="0081727B">
              <w:rPr>
                <w:noProof/>
                <w:color w:val="000000"/>
                <w:sz w:val="20"/>
                <w:szCs w:val="20"/>
                <w:lang w:eastAsia="en-GB"/>
              </w:rPr>
              <w:t>2</w:t>
            </w:r>
            <w:r w:rsidR="0081727B">
              <w:rPr>
                <w:noProof/>
                <w:color w:val="000000"/>
                <w:sz w:val="20"/>
                <w:szCs w:val="20"/>
                <w:lang w:eastAsia="en-GB"/>
              </w:rPr>
              <w:t>4</w:t>
            </w:r>
            <w:r w:rsidRPr="004E336D">
              <w:rPr>
                <w:noProof/>
                <w:color w:val="000000"/>
                <w:sz w:val="20"/>
                <w:szCs w:val="20"/>
                <w:lang w:eastAsia="en-GB"/>
              </w:rPr>
              <w:t>%</w:t>
            </w:r>
          </w:p>
        </w:tc>
      </w:tr>
      <w:tr w:rsidR="00CD2992" w:rsidRPr="00CD2992" w14:paraId="1F2D829A" w14:textId="77777777" w:rsidTr="00785DDD">
        <w:trPr>
          <w:trHeight w:val="284"/>
        </w:trPr>
        <w:tc>
          <w:tcPr>
            <w:tcW w:w="6210" w:type="dxa"/>
            <w:tcBorders>
              <w:top w:val="nil"/>
              <w:left w:val="single" w:sz="4" w:space="0" w:color="auto"/>
              <w:bottom w:val="single" w:sz="4" w:space="0" w:color="auto"/>
              <w:right w:val="single" w:sz="4" w:space="0" w:color="auto"/>
            </w:tcBorders>
            <w:shd w:val="clear" w:color="000000" w:fill="FFFFFF"/>
            <w:noWrap/>
            <w:hideMark/>
          </w:tcPr>
          <w:p w14:paraId="09D79CBF" w14:textId="33AC2707" w:rsidR="00CD2992" w:rsidRPr="004E336D" w:rsidRDefault="00CD2992" w:rsidP="00CD2992">
            <w:pPr>
              <w:rPr>
                <w:noProof/>
                <w:color w:val="000000"/>
                <w:sz w:val="20"/>
                <w:szCs w:val="20"/>
              </w:rPr>
            </w:pPr>
            <w:r w:rsidRPr="004E336D">
              <w:rPr>
                <w:noProof/>
                <w:color w:val="000000"/>
                <w:sz w:val="20"/>
                <w:szCs w:val="20"/>
                <w:lang w:eastAsia="en-GB"/>
              </w:rPr>
              <w:t>PO3</w:t>
            </w:r>
          </w:p>
        </w:tc>
        <w:tc>
          <w:tcPr>
            <w:tcW w:w="1131" w:type="dxa"/>
            <w:tcBorders>
              <w:top w:val="nil"/>
              <w:left w:val="nil"/>
              <w:bottom w:val="single" w:sz="4" w:space="0" w:color="auto"/>
              <w:right w:val="single" w:sz="4" w:space="0" w:color="auto"/>
            </w:tcBorders>
            <w:shd w:val="clear" w:color="000000" w:fill="FFFFFF"/>
            <w:noWrap/>
            <w:hideMark/>
          </w:tcPr>
          <w:p w14:paraId="2FA4F20D" w14:textId="6D5D4AA0" w:rsidR="00CD2992" w:rsidRPr="004E336D" w:rsidRDefault="00CD2992" w:rsidP="00CD2992">
            <w:pPr>
              <w:jc w:val="right"/>
              <w:rPr>
                <w:noProof/>
                <w:color w:val="000000"/>
                <w:sz w:val="20"/>
                <w:szCs w:val="20"/>
              </w:rPr>
            </w:pPr>
            <w:r w:rsidRPr="004E336D">
              <w:rPr>
                <w:noProof/>
                <w:color w:val="000000"/>
                <w:sz w:val="20"/>
                <w:szCs w:val="20"/>
                <w:lang w:eastAsia="en-GB"/>
              </w:rPr>
              <w:t>-0.</w:t>
            </w:r>
            <w:r w:rsidR="0081727B">
              <w:rPr>
                <w:noProof/>
                <w:color w:val="000000"/>
                <w:sz w:val="20"/>
                <w:szCs w:val="20"/>
                <w:lang w:eastAsia="en-GB"/>
              </w:rPr>
              <w:t>06</w:t>
            </w:r>
            <w:r w:rsidRPr="004E336D">
              <w:rPr>
                <w:noProof/>
                <w:color w:val="000000"/>
                <w:sz w:val="20"/>
                <w:szCs w:val="20"/>
                <w:lang w:eastAsia="en-GB"/>
              </w:rPr>
              <w:t>%</w:t>
            </w:r>
          </w:p>
        </w:tc>
        <w:tc>
          <w:tcPr>
            <w:tcW w:w="1131" w:type="dxa"/>
            <w:tcBorders>
              <w:top w:val="nil"/>
              <w:left w:val="nil"/>
              <w:bottom w:val="single" w:sz="4" w:space="0" w:color="auto"/>
              <w:right w:val="single" w:sz="4" w:space="0" w:color="auto"/>
            </w:tcBorders>
            <w:shd w:val="clear" w:color="000000" w:fill="FFFFFF"/>
            <w:noWrap/>
            <w:hideMark/>
          </w:tcPr>
          <w:p w14:paraId="5D641617" w14:textId="2F04DF7A" w:rsidR="00CD2992" w:rsidRPr="004E336D" w:rsidRDefault="00CD2992" w:rsidP="00CD2992">
            <w:pPr>
              <w:jc w:val="right"/>
              <w:rPr>
                <w:noProof/>
                <w:color w:val="000000"/>
                <w:sz w:val="20"/>
                <w:szCs w:val="20"/>
              </w:rPr>
            </w:pPr>
            <w:r w:rsidRPr="004E336D">
              <w:rPr>
                <w:noProof/>
                <w:color w:val="000000"/>
                <w:sz w:val="20"/>
                <w:szCs w:val="20"/>
                <w:lang w:eastAsia="en-GB"/>
              </w:rPr>
              <w:t>-0.</w:t>
            </w:r>
            <w:r w:rsidR="0081727B">
              <w:rPr>
                <w:noProof/>
                <w:color w:val="000000"/>
                <w:sz w:val="20"/>
                <w:szCs w:val="20"/>
                <w:lang w:eastAsia="en-GB"/>
              </w:rPr>
              <w:t>27</w:t>
            </w:r>
            <w:r w:rsidRPr="004E336D">
              <w:rPr>
                <w:noProof/>
                <w:color w:val="000000"/>
                <w:sz w:val="20"/>
                <w:szCs w:val="20"/>
                <w:lang w:eastAsia="en-GB"/>
              </w:rPr>
              <w:t>%</w:t>
            </w:r>
          </w:p>
        </w:tc>
        <w:tc>
          <w:tcPr>
            <w:tcW w:w="1131" w:type="dxa"/>
            <w:tcBorders>
              <w:top w:val="nil"/>
              <w:left w:val="nil"/>
              <w:bottom w:val="single" w:sz="4" w:space="0" w:color="auto"/>
              <w:right w:val="single" w:sz="4" w:space="0" w:color="auto"/>
            </w:tcBorders>
            <w:shd w:val="clear" w:color="000000" w:fill="FFFFFF"/>
            <w:noWrap/>
            <w:hideMark/>
          </w:tcPr>
          <w:p w14:paraId="7D437006" w14:textId="3DAA1277" w:rsidR="00CD2992" w:rsidRPr="004E336D" w:rsidRDefault="00CD2992" w:rsidP="00CD2992">
            <w:pPr>
              <w:jc w:val="right"/>
              <w:rPr>
                <w:noProof/>
                <w:color w:val="000000"/>
                <w:sz w:val="20"/>
                <w:szCs w:val="20"/>
              </w:rPr>
            </w:pPr>
            <w:r w:rsidRPr="004E336D">
              <w:rPr>
                <w:noProof/>
                <w:color w:val="000000"/>
                <w:sz w:val="20"/>
                <w:szCs w:val="20"/>
                <w:lang w:eastAsia="en-GB"/>
              </w:rPr>
              <w:t>-0.</w:t>
            </w:r>
            <w:r w:rsidR="0081727B" w:rsidRPr="0081727B">
              <w:rPr>
                <w:noProof/>
                <w:color w:val="000000"/>
                <w:sz w:val="20"/>
                <w:szCs w:val="20"/>
                <w:lang w:eastAsia="en-GB"/>
              </w:rPr>
              <w:t>3</w:t>
            </w:r>
            <w:r w:rsidR="0081727B">
              <w:rPr>
                <w:noProof/>
                <w:color w:val="000000"/>
                <w:sz w:val="20"/>
                <w:szCs w:val="20"/>
                <w:lang w:eastAsia="en-GB"/>
              </w:rPr>
              <w:t>4</w:t>
            </w:r>
            <w:r w:rsidRPr="004E336D">
              <w:rPr>
                <w:noProof/>
                <w:color w:val="000000"/>
                <w:sz w:val="20"/>
                <w:szCs w:val="20"/>
                <w:lang w:eastAsia="en-GB"/>
              </w:rPr>
              <w:t>%</w:t>
            </w:r>
          </w:p>
        </w:tc>
      </w:tr>
      <w:tr w:rsidR="00CD2992" w:rsidRPr="00CD2992" w14:paraId="70002DE6" w14:textId="77777777" w:rsidTr="00785DDD">
        <w:trPr>
          <w:trHeight w:val="284"/>
        </w:trPr>
        <w:tc>
          <w:tcPr>
            <w:tcW w:w="6210" w:type="dxa"/>
            <w:tcBorders>
              <w:top w:val="nil"/>
              <w:left w:val="single" w:sz="4" w:space="0" w:color="auto"/>
              <w:bottom w:val="single" w:sz="4" w:space="0" w:color="auto"/>
              <w:right w:val="single" w:sz="4" w:space="0" w:color="auto"/>
            </w:tcBorders>
            <w:shd w:val="clear" w:color="000000" w:fill="FFFFFF"/>
            <w:noWrap/>
            <w:hideMark/>
          </w:tcPr>
          <w:p w14:paraId="2FF8217E" w14:textId="5C1AACAC" w:rsidR="00CD2992" w:rsidRPr="004E336D" w:rsidRDefault="00CD2992" w:rsidP="004F2970">
            <w:pPr>
              <w:keepNext/>
              <w:rPr>
                <w:noProof/>
                <w:color w:val="000000"/>
                <w:sz w:val="20"/>
                <w:szCs w:val="20"/>
              </w:rPr>
            </w:pPr>
            <w:r w:rsidRPr="004E336D">
              <w:rPr>
                <w:noProof/>
                <w:color w:val="000000"/>
                <w:sz w:val="20"/>
                <w:szCs w:val="20"/>
                <w:lang w:eastAsia="en-GB"/>
              </w:rPr>
              <w:t>PO4</w:t>
            </w:r>
          </w:p>
        </w:tc>
        <w:tc>
          <w:tcPr>
            <w:tcW w:w="1131" w:type="dxa"/>
            <w:tcBorders>
              <w:top w:val="nil"/>
              <w:left w:val="nil"/>
              <w:bottom w:val="single" w:sz="4" w:space="0" w:color="auto"/>
              <w:right w:val="single" w:sz="4" w:space="0" w:color="auto"/>
            </w:tcBorders>
            <w:shd w:val="clear" w:color="000000" w:fill="FFFFFF"/>
            <w:noWrap/>
            <w:hideMark/>
          </w:tcPr>
          <w:p w14:paraId="5D29A68E" w14:textId="63ACE50D" w:rsidR="00CD2992" w:rsidRPr="004E336D" w:rsidRDefault="0081727B" w:rsidP="004F2970">
            <w:pPr>
              <w:keepNext/>
              <w:jc w:val="right"/>
              <w:rPr>
                <w:noProof/>
                <w:color w:val="000000"/>
                <w:sz w:val="20"/>
                <w:szCs w:val="20"/>
              </w:rPr>
            </w:pPr>
            <w:r>
              <w:rPr>
                <w:noProof/>
                <w:color w:val="000000"/>
                <w:sz w:val="20"/>
                <w:szCs w:val="20"/>
                <w:lang w:eastAsia="en-GB"/>
              </w:rPr>
              <w:t>-</w:t>
            </w:r>
            <w:r w:rsidR="00CD2992" w:rsidRPr="004E336D">
              <w:rPr>
                <w:noProof/>
                <w:color w:val="000000"/>
                <w:sz w:val="20"/>
                <w:szCs w:val="20"/>
                <w:lang w:eastAsia="en-GB"/>
              </w:rPr>
              <w:t>0.</w:t>
            </w:r>
            <w:r w:rsidRPr="0081727B">
              <w:rPr>
                <w:noProof/>
                <w:color w:val="000000"/>
                <w:sz w:val="20"/>
                <w:szCs w:val="20"/>
                <w:lang w:eastAsia="en-GB"/>
              </w:rPr>
              <w:t>0</w:t>
            </w:r>
            <w:r>
              <w:rPr>
                <w:noProof/>
                <w:color w:val="000000"/>
                <w:sz w:val="20"/>
                <w:szCs w:val="20"/>
                <w:lang w:eastAsia="en-GB"/>
              </w:rPr>
              <w:t>4</w:t>
            </w:r>
            <w:r w:rsidR="00CD2992" w:rsidRPr="004E336D">
              <w:rPr>
                <w:noProof/>
                <w:color w:val="000000"/>
                <w:sz w:val="20"/>
                <w:szCs w:val="20"/>
                <w:lang w:eastAsia="en-GB"/>
              </w:rPr>
              <w:t>%</w:t>
            </w:r>
          </w:p>
        </w:tc>
        <w:tc>
          <w:tcPr>
            <w:tcW w:w="1131" w:type="dxa"/>
            <w:tcBorders>
              <w:top w:val="nil"/>
              <w:left w:val="nil"/>
              <w:bottom w:val="single" w:sz="4" w:space="0" w:color="auto"/>
              <w:right w:val="single" w:sz="4" w:space="0" w:color="auto"/>
            </w:tcBorders>
            <w:shd w:val="clear" w:color="000000" w:fill="FFFFFF"/>
            <w:noWrap/>
            <w:hideMark/>
          </w:tcPr>
          <w:p w14:paraId="46BBB97E" w14:textId="68FE0ED4" w:rsidR="00CD2992" w:rsidRPr="004E336D" w:rsidRDefault="00CD2992" w:rsidP="004F2970">
            <w:pPr>
              <w:keepNext/>
              <w:jc w:val="right"/>
              <w:rPr>
                <w:noProof/>
                <w:color w:val="000000"/>
                <w:sz w:val="20"/>
                <w:szCs w:val="20"/>
              </w:rPr>
            </w:pPr>
            <w:r w:rsidRPr="004E336D">
              <w:rPr>
                <w:noProof/>
                <w:color w:val="000000"/>
                <w:sz w:val="20"/>
                <w:szCs w:val="20"/>
                <w:lang w:eastAsia="en-GB"/>
              </w:rPr>
              <w:t>-0.</w:t>
            </w:r>
            <w:r w:rsidR="0081727B">
              <w:rPr>
                <w:noProof/>
                <w:color w:val="000000"/>
                <w:sz w:val="20"/>
                <w:szCs w:val="20"/>
                <w:lang w:eastAsia="en-GB"/>
              </w:rPr>
              <w:t>19</w:t>
            </w:r>
            <w:r w:rsidRPr="004E336D">
              <w:rPr>
                <w:noProof/>
                <w:color w:val="000000"/>
                <w:sz w:val="20"/>
                <w:szCs w:val="20"/>
                <w:lang w:eastAsia="en-GB"/>
              </w:rPr>
              <w:t>%</w:t>
            </w:r>
          </w:p>
        </w:tc>
        <w:tc>
          <w:tcPr>
            <w:tcW w:w="1131" w:type="dxa"/>
            <w:tcBorders>
              <w:top w:val="nil"/>
              <w:left w:val="nil"/>
              <w:bottom w:val="single" w:sz="4" w:space="0" w:color="auto"/>
              <w:right w:val="single" w:sz="4" w:space="0" w:color="auto"/>
            </w:tcBorders>
            <w:shd w:val="clear" w:color="000000" w:fill="FFFFFF"/>
            <w:noWrap/>
            <w:hideMark/>
          </w:tcPr>
          <w:p w14:paraId="556071F2" w14:textId="758BCE1A" w:rsidR="00CD2992" w:rsidRPr="004E336D" w:rsidRDefault="00CD2992" w:rsidP="004F2970">
            <w:pPr>
              <w:keepNext/>
              <w:jc w:val="right"/>
              <w:rPr>
                <w:noProof/>
                <w:color w:val="000000"/>
                <w:sz w:val="20"/>
                <w:szCs w:val="20"/>
              </w:rPr>
            </w:pPr>
            <w:r w:rsidRPr="004E336D">
              <w:rPr>
                <w:noProof/>
                <w:color w:val="000000"/>
                <w:sz w:val="20"/>
                <w:szCs w:val="20"/>
                <w:lang w:eastAsia="en-GB"/>
              </w:rPr>
              <w:t>-0.</w:t>
            </w:r>
            <w:r w:rsidR="0081727B">
              <w:rPr>
                <w:noProof/>
                <w:color w:val="000000"/>
                <w:sz w:val="20"/>
                <w:szCs w:val="20"/>
                <w:lang w:eastAsia="en-GB"/>
              </w:rPr>
              <w:t>28</w:t>
            </w:r>
            <w:r w:rsidRPr="004E336D">
              <w:rPr>
                <w:noProof/>
                <w:color w:val="000000"/>
                <w:sz w:val="20"/>
                <w:szCs w:val="20"/>
                <w:lang w:eastAsia="en-GB"/>
              </w:rPr>
              <w:t>%</w:t>
            </w:r>
          </w:p>
        </w:tc>
      </w:tr>
    </w:tbl>
    <w:p w14:paraId="5A59E6AC" w14:textId="37EA945F" w:rsidR="00BA0980" w:rsidRPr="00D71008" w:rsidRDefault="00CD2992" w:rsidP="004F2970">
      <w:pPr>
        <w:keepNext/>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r w:rsidR="00D351B7">
        <w:rPr>
          <w:i/>
          <w:iCs/>
          <w:noProof/>
          <w:sz w:val="20"/>
          <w:szCs w:val="20"/>
        </w:rPr>
        <w:t>; ASTRA mode</w:t>
      </w:r>
      <w:r w:rsidR="00D910DE">
        <w:rPr>
          <w:i/>
          <w:iCs/>
          <w:noProof/>
          <w:sz w:val="20"/>
          <w:szCs w:val="20"/>
        </w:rPr>
        <w:t>l</w:t>
      </w:r>
    </w:p>
    <w:p w14:paraId="74E5D5C1" w14:textId="4F94853F" w:rsidR="00D446AD" w:rsidRDefault="00D446AD" w:rsidP="008563A5">
      <w:pPr>
        <w:pStyle w:val="BodyText"/>
        <w:keepNext/>
        <w:spacing w:after="240"/>
        <w:ind w:left="0"/>
        <w:rPr>
          <w:noProof/>
          <w:spacing w:val="-8"/>
        </w:rPr>
      </w:pPr>
      <w:r w:rsidRPr="00372A8D">
        <w:rPr>
          <w:b/>
          <w:i/>
          <w:noProof/>
          <w:spacing w:val="-8"/>
        </w:rPr>
        <w:t>The reduction of congestion associated with modal shift</w:t>
      </w:r>
      <w:r w:rsidR="008563A5" w:rsidRPr="00372A8D">
        <w:rPr>
          <w:b/>
          <w:i/>
          <w:noProof/>
          <w:spacing w:val="-8"/>
        </w:rPr>
        <w:t xml:space="preserve">. </w:t>
      </w:r>
      <w:r>
        <w:rPr>
          <w:noProof/>
          <w:spacing w:val="-8"/>
        </w:rPr>
        <w:t>By</w:t>
      </w:r>
      <w:r w:rsidR="0097702E">
        <w:rPr>
          <w:noProof/>
          <w:spacing w:val="-8"/>
        </w:rPr>
        <w:t xml:space="preserve"> improving the c</w:t>
      </w:r>
      <w:r w:rsidR="0097702E" w:rsidRPr="0097702E">
        <w:rPr>
          <w:noProof/>
          <w:spacing w:val="-8"/>
        </w:rPr>
        <w:t xml:space="preserve">ompleteness </w:t>
      </w:r>
      <w:r w:rsidR="0097702E">
        <w:rPr>
          <w:noProof/>
          <w:spacing w:val="-8"/>
        </w:rPr>
        <w:t>and</w:t>
      </w:r>
      <w:r w:rsidR="0097702E" w:rsidRPr="0097702E">
        <w:rPr>
          <w:noProof/>
          <w:spacing w:val="-8"/>
        </w:rPr>
        <w:t xml:space="preserve"> accuracy of service information</w:t>
      </w:r>
      <w:r w:rsidR="006A3A27">
        <w:rPr>
          <w:noProof/>
          <w:spacing w:val="-8"/>
        </w:rPr>
        <w:t>, the a</w:t>
      </w:r>
      <w:r w:rsidR="006A3A27" w:rsidRPr="0097702E">
        <w:rPr>
          <w:noProof/>
          <w:spacing w:val="-8"/>
        </w:rPr>
        <w:t>bility</w:t>
      </w:r>
      <w:r w:rsidR="0097702E" w:rsidRPr="0097702E">
        <w:rPr>
          <w:noProof/>
          <w:spacing w:val="-8"/>
        </w:rPr>
        <w:t xml:space="preserve"> to book service offerings</w:t>
      </w:r>
      <w:r>
        <w:rPr>
          <w:noProof/>
          <w:spacing w:val="-8"/>
        </w:rPr>
        <w:t xml:space="preserve"> </w:t>
      </w:r>
      <w:r w:rsidR="002C18F6">
        <w:rPr>
          <w:noProof/>
          <w:spacing w:val="-8"/>
        </w:rPr>
        <w:t>and</w:t>
      </w:r>
      <w:r w:rsidR="007D7470">
        <w:rPr>
          <w:noProof/>
          <w:spacing w:val="-8"/>
        </w:rPr>
        <w:t xml:space="preserve"> travel time, as well as</w:t>
      </w:r>
      <w:r>
        <w:rPr>
          <w:noProof/>
          <w:spacing w:val="-8"/>
        </w:rPr>
        <w:t xml:space="preserve"> reducing user costs of railway transport, the policy options would also generate, to varying degree, modal shift away from road and aviation. In turn, this would </w:t>
      </w:r>
      <w:r w:rsidR="00A70D16">
        <w:rPr>
          <w:noProof/>
          <w:spacing w:val="-8"/>
        </w:rPr>
        <w:t>reduce</w:t>
      </w:r>
      <w:r>
        <w:rPr>
          <w:noProof/>
          <w:spacing w:val="-8"/>
        </w:rPr>
        <w:t xml:space="preserve"> congestion costs associated with road traffic</w:t>
      </w:r>
      <w:r w:rsidR="00A70D16">
        <w:rPr>
          <w:noProof/>
          <w:spacing w:val="-8"/>
        </w:rPr>
        <w:t xml:space="preserve"> relative to the baseline</w:t>
      </w:r>
      <w:r>
        <w:rPr>
          <w:noProof/>
          <w:spacing w:val="-8"/>
        </w:rPr>
        <w:t xml:space="preserve">. </w:t>
      </w:r>
      <w:r w:rsidR="000E1E5E">
        <w:rPr>
          <w:noProof/>
          <w:spacing w:val="-8"/>
        </w:rPr>
        <w:t>T</w:t>
      </w:r>
      <w:r>
        <w:rPr>
          <w:noProof/>
          <w:spacing w:val="-8"/>
        </w:rPr>
        <w:t xml:space="preserve">he impact on congestion costs of the various policy options mirrors the impact on </w:t>
      </w:r>
      <w:r w:rsidR="00477DCA">
        <w:rPr>
          <w:noProof/>
          <w:spacing w:val="-8"/>
        </w:rPr>
        <w:t>modal shift</w:t>
      </w:r>
      <w:r>
        <w:rPr>
          <w:noProof/>
          <w:spacing w:val="-8"/>
        </w:rPr>
        <w:t>, with PO3 having the strongest effect</w:t>
      </w:r>
      <w:r w:rsidR="00297C88">
        <w:rPr>
          <w:noProof/>
          <w:spacing w:val="-8"/>
        </w:rPr>
        <w:t xml:space="preserve"> (EUR 6.4 billion </w:t>
      </w:r>
      <w:r w:rsidR="00745032">
        <w:rPr>
          <w:noProof/>
          <w:spacing w:val="-8"/>
        </w:rPr>
        <w:t>congestion costs savings, expressed as present value over 2028-2050 relative to the baseline)</w:t>
      </w:r>
      <w:r>
        <w:rPr>
          <w:noProof/>
          <w:spacing w:val="-8"/>
        </w:rPr>
        <w:t>, followed by PO4</w:t>
      </w:r>
      <w:r w:rsidR="0096086D">
        <w:rPr>
          <w:noProof/>
          <w:spacing w:val="-8"/>
        </w:rPr>
        <w:t xml:space="preserve"> (EUR </w:t>
      </w:r>
      <w:r w:rsidR="00E83C0D">
        <w:rPr>
          <w:noProof/>
          <w:spacing w:val="-8"/>
        </w:rPr>
        <w:t>4.8 billion congestion costs savings)</w:t>
      </w:r>
      <w:r>
        <w:rPr>
          <w:noProof/>
          <w:spacing w:val="-8"/>
        </w:rPr>
        <w:t>, PO2</w:t>
      </w:r>
      <w:r w:rsidR="00E83C0D">
        <w:rPr>
          <w:noProof/>
          <w:spacing w:val="-8"/>
        </w:rPr>
        <w:t xml:space="preserve"> (EUR 4.4 billion congestion costs savings)</w:t>
      </w:r>
      <w:r>
        <w:rPr>
          <w:noProof/>
          <w:spacing w:val="-8"/>
        </w:rPr>
        <w:t xml:space="preserve"> and PO1</w:t>
      </w:r>
      <w:r w:rsidR="00E83C0D">
        <w:rPr>
          <w:noProof/>
          <w:spacing w:val="-8"/>
        </w:rPr>
        <w:t xml:space="preserve"> (EUR 1.8 billion congestion costs savings)</w:t>
      </w:r>
      <w:r w:rsidR="001C5034">
        <w:rPr>
          <w:rStyle w:val="FootnoteReference"/>
          <w:noProof/>
          <w:spacing w:val="-8"/>
        </w:rPr>
        <w:footnoteReference w:id="197"/>
      </w:r>
      <w:r>
        <w:rPr>
          <w:noProof/>
          <w:spacing w:val="-8"/>
        </w:rPr>
        <w:t>.</w:t>
      </w:r>
    </w:p>
    <w:p w14:paraId="183EB816" w14:textId="4516A099" w:rsidR="00BA0980" w:rsidRPr="00BA0980" w:rsidRDefault="00BA0980" w:rsidP="00BA0980">
      <w:pPr>
        <w:pStyle w:val="Text2"/>
        <w:spacing w:after="0"/>
        <w:ind w:left="0"/>
        <w:rPr>
          <w:rFonts w:cs="Times New Roman"/>
          <w:i/>
          <w:noProof/>
          <w:sz w:val="22"/>
          <w:szCs w:val="22"/>
        </w:rPr>
      </w:pPr>
      <w:r w:rsidRPr="006333F0">
        <w:rPr>
          <w:rFonts w:cs="Times New Roman"/>
          <w:i/>
          <w:noProof/>
          <w:sz w:val="22"/>
          <w:szCs w:val="22"/>
        </w:rPr>
        <w:t xml:space="preserve">Table </w:t>
      </w:r>
      <w:r w:rsidRPr="00BA0980">
        <w:rPr>
          <w:rFonts w:cs="Times New Roman"/>
          <w:i/>
          <w:noProof/>
          <w:sz w:val="22"/>
          <w:szCs w:val="22"/>
        </w:rPr>
        <w:fldChar w:fldCharType="begin"/>
      </w:r>
      <w:r w:rsidRPr="00BA0980">
        <w:rPr>
          <w:rFonts w:cs="Times New Roman"/>
          <w:i/>
          <w:noProof/>
          <w:sz w:val="22"/>
          <w:szCs w:val="22"/>
        </w:rPr>
        <w:instrText xml:space="preserve"> SEQ Table \* ARABIC </w:instrText>
      </w:r>
      <w:r w:rsidRPr="00BA0980">
        <w:rPr>
          <w:rFonts w:cs="Times New Roman"/>
          <w:i/>
          <w:noProof/>
          <w:sz w:val="22"/>
          <w:szCs w:val="22"/>
        </w:rPr>
        <w:fldChar w:fldCharType="separate"/>
      </w:r>
      <w:r w:rsidR="0055391F">
        <w:rPr>
          <w:rFonts w:cs="Times New Roman"/>
          <w:i/>
          <w:noProof/>
          <w:sz w:val="22"/>
          <w:szCs w:val="22"/>
        </w:rPr>
        <w:t>15</w:t>
      </w:r>
      <w:r w:rsidRPr="00BA0980">
        <w:rPr>
          <w:rFonts w:cs="Times New Roman"/>
          <w:i/>
          <w:noProof/>
          <w:sz w:val="22"/>
          <w:szCs w:val="22"/>
        </w:rPr>
        <w:fldChar w:fldCharType="end"/>
      </w:r>
      <w:r w:rsidRPr="006333F0">
        <w:rPr>
          <w:rFonts w:cs="Times New Roman"/>
          <w:i/>
          <w:noProof/>
          <w:sz w:val="22"/>
          <w:szCs w:val="22"/>
        </w:rPr>
        <w:t xml:space="preserve">: </w:t>
      </w:r>
      <w:r>
        <w:rPr>
          <w:rFonts w:cs="Times New Roman"/>
          <w:i/>
          <w:noProof/>
          <w:sz w:val="22"/>
          <w:szCs w:val="22"/>
        </w:rPr>
        <w:t xml:space="preserve">Impacts on external costs of </w:t>
      </w:r>
      <w:r w:rsidR="001D790F">
        <w:rPr>
          <w:rFonts w:cs="Times New Roman"/>
          <w:i/>
          <w:noProof/>
          <w:sz w:val="22"/>
          <w:szCs w:val="22"/>
        </w:rPr>
        <w:t xml:space="preserve">road </w:t>
      </w:r>
      <w:r>
        <w:rPr>
          <w:rFonts w:cs="Times New Roman"/>
          <w:i/>
          <w:noProof/>
          <w:sz w:val="22"/>
          <w:szCs w:val="22"/>
        </w:rPr>
        <w:t>congestion</w:t>
      </w:r>
      <w:r w:rsidR="00E525F9">
        <w:rPr>
          <w:rFonts w:cs="Times New Roman"/>
          <w:i/>
          <w:noProof/>
          <w:sz w:val="22"/>
          <w:szCs w:val="22"/>
        </w:rPr>
        <w:t xml:space="preserve"> in the P</w:t>
      </w:r>
      <w:r w:rsidR="0062488E">
        <w:rPr>
          <w:rFonts w:cs="Times New Roman"/>
          <w:i/>
          <w:noProof/>
          <w:sz w:val="22"/>
          <w:szCs w:val="22"/>
        </w:rPr>
        <w:t>O</w:t>
      </w:r>
      <w:r w:rsidR="00E525F9">
        <w:rPr>
          <w:rFonts w:cs="Times New Roman"/>
          <w:i/>
          <w:noProof/>
          <w:sz w:val="22"/>
          <w:szCs w:val="22"/>
        </w:rPr>
        <w:t>s relative to the baseline (EU27)</w:t>
      </w:r>
      <w:r>
        <w:rPr>
          <w:rFonts w:cs="Times New Roman"/>
          <w:i/>
          <w:noProof/>
          <w:sz w:val="22"/>
          <w:szCs w:val="22"/>
        </w:rPr>
        <w:t>, expressed as present value over 2028-2050</w:t>
      </w:r>
      <w:r w:rsidR="00E525F9">
        <w:rPr>
          <w:rFonts w:cs="Times New Roman"/>
          <w:i/>
          <w:noProof/>
          <w:sz w:val="22"/>
          <w:szCs w:val="22"/>
        </w:rPr>
        <w:t>,</w:t>
      </w:r>
      <w:r w:rsidR="00E525F9" w:rsidRPr="006333F0">
        <w:rPr>
          <w:rFonts w:cs="Times New Roman"/>
          <w:i/>
          <w:noProof/>
          <w:sz w:val="22"/>
          <w:szCs w:val="22"/>
        </w:rPr>
        <w:t xml:space="preserve"> in million EUR (202</w:t>
      </w:r>
      <w:r w:rsidR="00E525F9">
        <w:rPr>
          <w:rFonts w:cs="Times New Roman"/>
          <w:i/>
          <w:noProof/>
          <w:sz w:val="22"/>
          <w:szCs w:val="22"/>
        </w:rPr>
        <w:t>4</w:t>
      </w:r>
      <w:r w:rsidR="00E525F9" w:rsidRPr="006333F0">
        <w:rPr>
          <w:rFonts w:cs="Times New Roman"/>
          <w:i/>
          <w:noProof/>
          <w:sz w:val="22"/>
          <w:szCs w:val="22"/>
        </w:rPr>
        <w:t xml:space="preserve"> prices)</w:t>
      </w:r>
      <w:r>
        <w:rPr>
          <w:rFonts w:cs="Times New Roman"/>
          <w:i/>
          <w:noProof/>
          <w:sz w:val="22"/>
          <w:szCs w:val="22"/>
        </w:rPr>
        <w:t xml:space="preserve"> </w:t>
      </w:r>
    </w:p>
    <w:tbl>
      <w:tblPr>
        <w:tblW w:w="5000" w:type="pct"/>
        <w:tblLook w:val="04A0" w:firstRow="1" w:lastRow="0" w:firstColumn="1" w:lastColumn="0" w:noHBand="0" w:noVBand="1"/>
      </w:tblPr>
      <w:tblGrid>
        <w:gridCol w:w="5703"/>
        <w:gridCol w:w="974"/>
        <w:gridCol w:w="974"/>
        <w:gridCol w:w="974"/>
        <w:gridCol w:w="978"/>
      </w:tblGrid>
      <w:tr w:rsidR="00E525F9" w:rsidRPr="00BA0980" w14:paraId="2389A1F4" w14:textId="77777777" w:rsidTr="00E525F9">
        <w:trPr>
          <w:trHeight w:val="255"/>
        </w:trPr>
        <w:tc>
          <w:tcPr>
            <w:tcW w:w="2970" w:type="pct"/>
            <w:vMerge w:val="restart"/>
            <w:tcBorders>
              <w:top w:val="single" w:sz="4" w:space="0" w:color="auto"/>
              <w:left w:val="single" w:sz="4" w:space="0" w:color="auto"/>
              <w:right w:val="single" w:sz="4" w:space="0" w:color="auto"/>
            </w:tcBorders>
            <w:shd w:val="clear" w:color="000000" w:fill="0070C0"/>
            <w:vAlign w:val="center"/>
          </w:tcPr>
          <w:p w14:paraId="22EA6575" w14:textId="402315C0" w:rsidR="00E525F9" w:rsidRPr="004E336D" w:rsidRDefault="00E525F9" w:rsidP="00BA0980">
            <w:pPr>
              <w:rPr>
                <w:b/>
                <w:noProof/>
                <w:color w:val="FFFFFF"/>
                <w:sz w:val="20"/>
                <w:szCs w:val="20"/>
              </w:rPr>
            </w:pPr>
          </w:p>
        </w:tc>
        <w:tc>
          <w:tcPr>
            <w:tcW w:w="2030" w:type="pct"/>
            <w:gridSpan w:val="4"/>
            <w:tcBorders>
              <w:top w:val="single" w:sz="4" w:space="0" w:color="auto"/>
              <w:left w:val="nil"/>
              <w:bottom w:val="single" w:sz="4" w:space="0" w:color="auto"/>
              <w:right w:val="single" w:sz="4" w:space="0" w:color="auto"/>
            </w:tcBorders>
            <w:shd w:val="clear" w:color="000000" w:fill="0070C0"/>
            <w:vAlign w:val="center"/>
          </w:tcPr>
          <w:p w14:paraId="6361370C" w14:textId="609B6EE3" w:rsidR="00E525F9" w:rsidRPr="004E336D" w:rsidRDefault="00E525F9" w:rsidP="00BA0980">
            <w:pPr>
              <w:jc w:val="center"/>
              <w:rPr>
                <w:b/>
                <w:noProof/>
                <w:color w:val="FFFFFF"/>
                <w:sz w:val="20"/>
                <w:szCs w:val="20"/>
              </w:rPr>
            </w:pPr>
            <w:r w:rsidRPr="004E336D">
              <w:rPr>
                <w:b/>
                <w:noProof/>
                <w:color w:val="FFFFFF"/>
                <w:sz w:val="20"/>
                <w:szCs w:val="20"/>
              </w:rPr>
              <w:t>Difference to baseline</w:t>
            </w:r>
          </w:p>
        </w:tc>
      </w:tr>
      <w:tr w:rsidR="00E525F9" w:rsidRPr="00BA0980" w14:paraId="53031CFA" w14:textId="77777777" w:rsidTr="00E525F9">
        <w:trPr>
          <w:trHeight w:val="255"/>
        </w:trPr>
        <w:tc>
          <w:tcPr>
            <w:tcW w:w="2970" w:type="pct"/>
            <w:vMerge/>
            <w:tcBorders>
              <w:left w:val="single" w:sz="4" w:space="0" w:color="auto"/>
              <w:bottom w:val="single" w:sz="4" w:space="0" w:color="auto"/>
              <w:right w:val="single" w:sz="4" w:space="0" w:color="auto"/>
            </w:tcBorders>
            <w:shd w:val="clear" w:color="000000" w:fill="0070C0"/>
            <w:vAlign w:val="center"/>
            <w:hideMark/>
          </w:tcPr>
          <w:p w14:paraId="07575801" w14:textId="18D00C5B" w:rsidR="00E525F9" w:rsidRPr="004E336D" w:rsidRDefault="00E525F9" w:rsidP="00BA0980">
            <w:pPr>
              <w:rPr>
                <w:b/>
                <w:noProof/>
                <w:color w:val="FFFFFF"/>
                <w:sz w:val="20"/>
                <w:szCs w:val="20"/>
              </w:rPr>
            </w:pPr>
          </w:p>
        </w:tc>
        <w:tc>
          <w:tcPr>
            <w:tcW w:w="507" w:type="pct"/>
            <w:tcBorders>
              <w:top w:val="single" w:sz="4" w:space="0" w:color="auto"/>
              <w:left w:val="nil"/>
              <w:bottom w:val="single" w:sz="4" w:space="0" w:color="auto"/>
              <w:right w:val="single" w:sz="4" w:space="0" w:color="auto"/>
            </w:tcBorders>
            <w:shd w:val="clear" w:color="000000" w:fill="0070C0"/>
            <w:vAlign w:val="center"/>
            <w:hideMark/>
          </w:tcPr>
          <w:p w14:paraId="3CD7E16D" w14:textId="77777777" w:rsidR="00E525F9" w:rsidRPr="004E336D" w:rsidRDefault="00E525F9" w:rsidP="00BA0980">
            <w:pPr>
              <w:jc w:val="center"/>
              <w:rPr>
                <w:b/>
                <w:noProof/>
                <w:color w:val="FFFFFF"/>
                <w:sz w:val="20"/>
                <w:szCs w:val="20"/>
              </w:rPr>
            </w:pPr>
            <w:r w:rsidRPr="004E336D">
              <w:rPr>
                <w:b/>
                <w:noProof/>
                <w:color w:val="FFFFFF"/>
                <w:sz w:val="20"/>
                <w:szCs w:val="20"/>
              </w:rPr>
              <w:t>PO1</w:t>
            </w:r>
          </w:p>
        </w:tc>
        <w:tc>
          <w:tcPr>
            <w:tcW w:w="507" w:type="pct"/>
            <w:tcBorders>
              <w:top w:val="single" w:sz="4" w:space="0" w:color="auto"/>
              <w:left w:val="nil"/>
              <w:bottom w:val="single" w:sz="4" w:space="0" w:color="auto"/>
              <w:right w:val="single" w:sz="4" w:space="0" w:color="auto"/>
            </w:tcBorders>
            <w:shd w:val="clear" w:color="000000" w:fill="0070C0"/>
            <w:vAlign w:val="center"/>
            <w:hideMark/>
          </w:tcPr>
          <w:p w14:paraId="40EFDBE1" w14:textId="77777777" w:rsidR="00E525F9" w:rsidRPr="004E336D" w:rsidRDefault="00E525F9" w:rsidP="00BA0980">
            <w:pPr>
              <w:jc w:val="center"/>
              <w:rPr>
                <w:b/>
                <w:noProof/>
                <w:color w:val="FFFFFF"/>
                <w:sz w:val="20"/>
                <w:szCs w:val="20"/>
              </w:rPr>
            </w:pPr>
            <w:r w:rsidRPr="004E336D">
              <w:rPr>
                <w:b/>
                <w:noProof/>
                <w:color w:val="FFFFFF"/>
                <w:sz w:val="20"/>
                <w:szCs w:val="20"/>
              </w:rPr>
              <w:t>PO2</w:t>
            </w:r>
          </w:p>
        </w:tc>
        <w:tc>
          <w:tcPr>
            <w:tcW w:w="507" w:type="pct"/>
            <w:tcBorders>
              <w:top w:val="single" w:sz="4" w:space="0" w:color="auto"/>
              <w:left w:val="nil"/>
              <w:bottom w:val="single" w:sz="4" w:space="0" w:color="auto"/>
              <w:right w:val="single" w:sz="4" w:space="0" w:color="auto"/>
            </w:tcBorders>
            <w:shd w:val="clear" w:color="000000" w:fill="0070C0"/>
            <w:vAlign w:val="center"/>
            <w:hideMark/>
          </w:tcPr>
          <w:p w14:paraId="4CD312F1" w14:textId="77777777" w:rsidR="00E525F9" w:rsidRPr="004E336D" w:rsidRDefault="00E525F9" w:rsidP="00BA0980">
            <w:pPr>
              <w:jc w:val="center"/>
              <w:rPr>
                <w:b/>
                <w:noProof/>
                <w:color w:val="FFFFFF"/>
                <w:sz w:val="20"/>
                <w:szCs w:val="20"/>
              </w:rPr>
            </w:pPr>
            <w:r w:rsidRPr="004E336D">
              <w:rPr>
                <w:b/>
                <w:noProof/>
                <w:color w:val="FFFFFF"/>
                <w:sz w:val="20"/>
                <w:szCs w:val="20"/>
              </w:rPr>
              <w:t>PO3</w:t>
            </w:r>
          </w:p>
        </w:tc>
        <w:tc>
          <w:tcPr>
            <w:tcW w:w="508" w:type="pct"/>
            <w:tcBorders>
              <w:top w:val="single" w:sz="4" w:space="0" w:color="auto"/>
              <w:left w:val="nil"/>
              <w:bottom w:val="single" w:sz="4" w:space="0" w:color="auto"/>
              <w:right w:val="single" w:sz="4" w:space="0" w:color="auto"/>
            </w:tcBorders>
            <w:shd w:val="clear" w:color="000000" w:fill="0070C0"/>
            <w:vAlign w:val="center"/>
            <w:hideMark/>
          </w:tcPr>
          <w:p w14:paraId="588A76F9" w14:textId="77777777" w:rsidR="00E525F9" w:rsidRPr="004E336D" w:rsidRDefault="00E525F9" w:rsidP="00BA0980">
            <w:pPr>
              <w:jc w:val="center"/>
              <w:rPr>
                <w:b/>
                <w:noProof/>
                <w:color w:val="FFFFFF"/>
                <w:sz w:val="20"/>
                <w:szCs w:val="20"/>
              </w:rPr>
            </w:pPr>
            <w:r w:rsidRPr="004E336D">
              <w:rPr>
                <w:b/>
                <w:noProof/>
                <w:color w:val="FFFFFF"/>
                <w:sz w:val="20"/>
                <w:szCs w:val="20"/>
              </w:rPr>
              <w:t>PO4</w:t>
            </w:r>
          </w:p>
        </w:tc>
      </w:tr>
      <w:tr w:rsidR="00BA0980" w:rsidRPr="00BA0980" w14:paraId="12222110" w14:textId="77777777" w:rsidTr="00E525F9">
        <w:trPr>
          <w:trHeight w:val="255"/>
        </w:trPr>
        <w:tc>
          <w:tcPr>
            <w:tcW w:w="2970" w:type="pct"/>
            <w:tcBorders>
              <w:top w:val="nil"/>
              <w:left w:val="single" w:sz="4" w:space="0" w:color="auto"/>
              <w:bottom w:val="single" w:sz="4" w:space="0" w:color="auto"/>
              <w:right w:val="single" w:sz="4" w:space="0" w:color="auto"/>
            </w:tcBorders>
            <w:shd w:val="clear" w:color="000000" w:fill="FFFFFF"/>
            <w:noWrap/>
            <w:vAlign w:val="bottom"/>
            <w:hideMark/>
          </w:tcPr>
          <w:p w14:paraId="585F5884" w14:textId="25997E9D" w:rsidR="00BA0980" w:rsidRPr="004E336D" w:rsidRDefault="00BA0980" w:rsidP="00BA0980">
            <w:pPr>
              <w:rPr>
                <w:noProof/>
                <w:color w:val="000000"/>
                <w:sz w:val="20"/>
                <w:szCs w:val="20"/>
              </w:rPr>
            </w:pPr>
            <w:r w:rsidRPr="004E336D">
              <w:rPr>
                <w:noProof/>
                <w:color w:val="000000"/>
                <w:sz w:val="20"/>
                <w:szCs w:val="20"/>
              </w:rPr>
              <w:t xml:space="preserve"> </w:t>
            </w:r>
            <w:r w:rsidR="004B78AD" w:rsidRPr="004E336D">
              <w:rPr>
                <w:noProof/>
                <w:color w:val="000000"/>
                <w:sz w:val="20"/>
                <w:szCs w:val="20"/>
              </w:rPr>
              <w:t>Savings in external costs of r</w:t>
            </w:r>
            <w:r w:rsidRPr="004E336D">
              <w:rPr>
                <w:noProof/>
                <w:color w:val="000000"/>
                <w:sz w:val="20"/>
                <w:szCs w:val="20"/>
              </w:rPr>
              <w:t xml:space="preserve">oad congestion </w:t>
            </w:r>
          </w:p>
        </w:tc>
        <w:tc>
          <w:tcPr>
            <w:tcW w:w="507" w:type="pct"/>
            <w:tcBorders>
              <w:top w:val="nil"/>
              <w:left w:val="nil"/>
              <w:bottom w:val="single" w:sz="4" w:space="0" w:color="auto"/>
              <w:right w:val="single" w:sz="4" w:space="0" w:color="auto"/>
            </w:tcBorders>
            <w:shd w:val="clear" w:color="000000" w:fill="FFFFFF"/>
            <w:noWrap/>
            <w:vAlign w:val="bottom"/>
            <w:hideMark/>
          </w:tcPr>
          <w:p w14:paraId="5CD39DC3" w14:textId="77777777" w:rsidR="00BA0980" w:rsidRPr="004E336D" w:rsidRDefault="00BA0980" w:rsidP="00BA0980">
            <w:pPr>
              <w:jc w:val="right"/>
              <w:rPr>
                <w:noProof/>
                <w:color w:val="000000"/>
                <w:sz w:val="20"/>
                <w:szCs w:val="20"/>
              </w:rPr>
            </w:pPr>
            <w:r w:rsidRPr="004E336D">
              <w:rPr>
                <w:noProof/>
                <w:color w:val="000000"/>
                <w:sz w:val="20"/>
                <w:szCs w:val="20"/>
              </w:rPr>
              <w:t>1,758</w:t>
            </w:r>
          </w:p>
        </w:tc>
        <w:tc>
          <w:tcPr>
            <w:tcW w:w="507" w:type="pct"/>
            <w:tcBorders>
              <w:top w:val="nil"/>
              <w:left w:val="nil"/>
              <w:bottom w:val="single" w:sz="4" w:space="0" w:color="auto"/>
              <w:right w:val="single" w:sz="4" w:space="0" w:color="auto"/>
            </w:tcBorders>
            <w:shd w:val="clear" w:color="000000" w:fill="FFFFFF"/>
            <w:noWrap/>
            <w:vAlign w:val="bottom"/>
            <w:hideMark/>
          </w:tcPr>
          <w:p w14:paraId="3D582B90" w14:textId="77777777" w:rsidR="00BA0980" w:rsidRPr="004E336D" w:rsidRDefault="00BA0980" w:rsidP="00BA0980">
            <w:pPr>
              <w:jc w:val="right"/>
              <w:rPr>
                <w:noProof/>
                <w:color w:val="000000"/>
                <w:sz w:val="20"/>
                <w:szCs w:val="20"/>
              </w:rPr>
            </w:pPr>
            <w:r w:rsidRPr="004E336D">
              <w:rPr>
                <w:noProof/>
                <w:color w:val="000000"/>
                <w:sz w:val="20"/>
                <w:szCs w:val="20"/>
              </w:rPr>
              <w:t>4,352</w:t>
            </w:r>
          </w:p>
        </w:tc>
        <w:tc>
          <w:tcPr>
            <w:tcW w:w="507" w:type="pct"/>
            <w:tcBorders>
              <w:top w:val="nil"/>
              <w:left w:val="nil"/>
              <w:bottom w:val="single" w:sz="4" w:space="0" w:color="auto"/>
              <w:right w:val="single" w:sz="4" w:space="0" w:color="auto"/>
            </w:tcBorders>
            <w:shd w:val="clear" w:color="000000" w:fill="FFFFFF"/>
            <w:noWrap/>
            <w:vAlign w:val="bottom"/>
            <w:hideMark/>
          </w:tcPr>
          <w:p w14:paraId="7A8C1876" w14:textId="77777777" w:rsidR="00BA0980" w:rsidRPr="004E336D" w:rsidRDefault="00BA0980" w:rsidP="00BA0980">
            <w:pPr>
              <w:jc w:val="right"/>
              <w:rPr>
                <w:noProof/>
                <w:color w:val="000000"/>
                <w:sz w:val="20"/>
                <w:szCs w:val="20"/>
              </w:rPr>
            </w:pPr>
            <w:r w:rsidRPr="004E336D">
              <w:rPr>
                <w:noProof/>
                <w:color w:val="000000"/>
                <w:sz w:val="20"/>
                <w:szCs w:val="20"/>
              </w:rPr>
              <w:t>6,438</w:t>
            </w:r>
          </w:p>
        </w:tc>
        <w:tc>
          <w:tcPr>
            <w:tcW w:w="508" w:type="pct"/>
            <w:tcBorders>
              <w:top w:val="nil"/>
              <w:left w:val="nil"/>
              <w:bottom w:val="single" w:sz="4" w:space="0" w:color="auto"/>
              <w:right w:val="single" w:sz="4" w:space="0" w:color="auto"/>
            </w:tcBorders>
            <w:shd w:val="clear" w:color="000000" w:fill="FFFFFF"/>
            <w:noWrap/>
            <w:vAlign w:val="bottom"/>
            <w:hideMark/>
          </w:tcPr>
          <w:p w14:paraId="6B936F4F" w14:textId="77777777" w:rsidR="00BA0980" w:rsidRPr="004E336D" w:rsidRDefault="00BA0980" w:rsidP="00BA0980">
            <w:pPr>
              <w:jc w:val="right"/>
              <w:rPr>
                <w:noProof/>
                <w:color w:val="000000"/>
                <w:sz w:val="20"/>
                <w:szCs w:val="20"/>
              </w:rPr>
            </w:pPr>
            <w:r w:rsidRPr="004E336D">
              <w:rPr>
                <w:noProof/>
                <w:color w:val="000000"/>
                <w:sz w:val="20"/>
                <w:szCs w:val="20"/>
              </w:rPr>
              <w:t>4,833</w:t>
            </w:r>
          </w:p>
        </w:tc>
      </w:tr>
    </w:tbl>
    <w:p w14:paraId="3E6DB3E8" w14:textId="322C2A99" w:rsidR="00BA0980" w:rsidRPr="007349F6" w:rsidRDefault="00BA0980" w:rsidP="007349F6">
      <w:pPr>
        <w:tabs>
          <w:tab w:val="left" w:pos="2302"/>
        </w:tabs>
        <w:spacing w:after="240"/>
        <w:jc w:val="both"/>
        <w:rPr>
          <w:i/>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r>
        <w:rPr>
          <w:i/>
          <w:iCs/>
          <w:noProof/>
          <w:sz w:val="20"/>
          <w:szCs w:val="20"/>
        </w:rPr>
        <w:t>; ASTRA model</w:t>
      </w:r>
    </w:p>
    <w:p w14:paraId="0625C3DE" w14:textId="487C54D6" w:rsidR="00F7044A" w:rsidRPr="00915BF5" w:rsidRDefault="007C6FB0" w:rsidP="006E3FA1">
      <w:pPr>
        <w:pStyle w:val="Heading2"/>
        <w:keepNext/>
        <w:numPr>
          <w:ilvl w:val="2"/>
          <w:numId w:val="11"/>
        </w:numPr>
        <w:tabs>
          <w:tab w:val="left" w:pos="709"/>
        </w:tabs>
        <w:spacing w:before="0" w:after="240"/>
        <w:ind w:left="1134" w:hanging="708"/>
        <w:rPr>
          <w:b w:val="0"/>
          <w:i/>
          <w:noProof/>
        </w:rPr>
      </w:pPr>
      <w:bookmarkStart w:id="158" w:name="_Toc222313483"/>
      <w:bookmarkStart w:id="159" w:name="_Toc222749001"/>
      <w:bookmarkStart w:id="160" w:name="_Toc223979971"/>
      <w:r w:rsidRPr="00D71008">
        <w:rPr>
          <w:b w:val="0"/>
          <w:i/>
          <w:noProof/>
        </w:rPr>
        <w:t>Impact</w:t>
      </w:r>
      <w:r w:rsidR="00F9450A">
        <w:rPr>
          <w:b w:val="0"/>
          <w:i/>
          <w:noProof/>
        </w:rPr>
        <w:t>s</w:t>
      </w:r>
      <w:r w:rsidRPr="00D71008">
        <w:rPr>
          <w:b w:val="0"/>
          <w:i/>
          <w:noProof/>
        </w:rPr>
        <w:t xml:space="preserve"> on competitiveness</w:t>
      </w:r>
      <w:bookmarkEnd w:id="158"/>
      <w:bookmarkEnd w:id="159"/>
      <w:bookmarkEnd w:id="160"/>
    </w:p>
    <w:p w14:paraId="41B27C6F" w14:textId="04D08B78" w:rsidR="007B0F2B" w:rsidRDefault="00ED27F6" w:rsidP="009C47BF">
      <w:pPr>
        <w:pStyle w:val="BodyText"/>
        <w:spacing w:after="240"/>
        <w:ind w:left="0"/>
        <w:rPr>
          <w:noProof/>
          <w:spacing w:val="-8"/>
        </w:rPr>
      </w:pPr>
      <w:r>
        <w:rPr>
          <w:noProof/>
          <w:spacing w:val="-8"/>
        </w:rPr>
        <w:t xml:space="preserve">This proposal is a key enabler of Europe’s green competitiveness agenda, directly reinforcing the European Green Deal and the Commission’s 2024-2029 priorities by accelerating a </w:t>
      </w:r>
      <w:r w:rsidR="003F3F78">
        <w:rPr>
          <w:noProof/>
          <w:spacing w:val="-8"/>
        </w:rPr>
        <w:t>shift</w:t>
      </w:r>
      <w:r>
        <w:rPr>
          <w:noProof/>
          <w:spacing w:val="-8"/>
        </w:rPr>
        <w:t xml:space="preserve"> towards sustainable transport modes</w:t>
      </w:r>
      <w:r w:rsidR="003F3F78">
        <w:rPr>
          <w:noProof/>
          <w:spacing w:val="-8"/>
        </w:rPr>
        <w:t>,</w:t>
      </w:r>
      <w:r w:rsidR="00471200">
        <w:rPr>
          <w:noProof/>
          <w:spacing w:val="-8"/>
        </w:rPr>
        <w:t xml:space="preserve"> rail in particular</w:t>
      </w:r>
      <w:r w:rsidR="003F3F78">
        <w:rPr>
          <w:noProof/>
          <w:spacing w:val="-8"/>
        </w:rPr>
        <w:t>,</w:t>
      </w:r>
      <w:r w:rsidR="00471200">
        <w:rPr>
          <w:noProof/>
          <w:spacing w:val="-8"/>
        </w:rPr>
        <w:t xml:space="preserve"> while streng</w:t>
      </w:r>
      <w:r w:rsidR="00663685">
        <w:rPr>
          <w:noProof/>
          <w:spacing w:val="-8"/>
        </w:rPr>
        <w:t xml:space="preserve">thening the EU’s economic </w:t>
      </w:r>
      <w:r w:rsidR="003562C5">
        <w:rPr>
          <w:noProof/>
          <w:spacing w:val="-8"/>
        </w:rPr>
        <w:t>resilience</w:t>
      </w:r>
      <w:r w:rsidR="00663685">
        <w:rPr>
          <w:noProof/>
          <w:spacing w:val="-8"/>
        </w:rPr>
        <w:t xml:space="preserve"> in an increasingly digital mobility landscape</w:t>
      </w:r>
      <w:r w:rsidR="00857330" w:rsidRPr="008A6C21">
        <w:rPr>
          <w:noProof/>
          <w:spacing w:val="-8"/>
        </w:rPr>
        <w:t xml:space="preserve">. </w:t>
      </w:r>
      <w:r w:rsidR="009C47BF" w:rsidRPr="00B9016A">
        <w:rPr>
          <w:noProof/>
          <w:spacing w:val="-8"/>
        </w:rPr>
        <w:t xml:space="preserve">All policy options </w:t>
      </w:r>
      <w:r w:rsidR="001A53D9">
        <w:rPr>
          <w:noProof/>
          <w:spacing w:val="-8"/>
        </w:rPr>
        <w:t>deliver</w:t>
      </w:r>
      <w:r w:rsidR="009C47BF" w:rsidRPr="00B9016A">
        <w:rPr>
          <w:noProof/>
          <w:spacing w:val="-8"/>
        </w:rPr>
        <w:t xml:space="preserve"> improved operational efficiency and </w:t>
      </w:r>
      <w:r w:rsidR="00EE5FA7">
        <w:rPr>
          <w:noProof/>
          <w:spacing w:val="-8"/>
        </w:rPr>
        <w:t>i</w:t>
      </w:r>
      <w:r w:rsidR="00EE5FA7" w:rsidRPr="00117904">
        <w:rPr>
          <w:noProof/>
          <w:spacing w:val="-8"/>
        </w:rPr>
        <w:t>ncrease in the transport activity by rail and coach due to better visibility and access to these services</w:t>
      </w:r>
      <w:r w:rsidR="00D208F9">
        <w:rPr>
          <w:noProof/>
          <w:spacing w:val="-8"/>
        </w:rPr>
        <w:t>.</w:t>
      </w:r>
      <w:r w:rsidR="00971F39" w:rsidRPr="00971F39">
        <w:rPr>
          <w:noProof/>
          <w:spacing w:val="-8"/>
        </w:rPr>
        <w:t xml:space="preserve"> </w:t>
      </w:r>
      <w:r w:rsidR="00857330" w:rsidRPr="008A6C21">
        <w:rPr>
          <w:noProof/>
          <w:spacing w:val="-8"/>
        </w:rPr>
        <w:t>In particular</w:t>
      </w:r>
      <w:r w:rsidR="00971F39">
        <w:rPr>
          <w:noProof/>
          <w:spacing w:val="-8"/>
        </w:rPr>
        <w:t>,</w:t>
      </w:r>
      <w:r w:rsidR="00857330" w:rsidRPr="008A6C21">
        <w:rPr>
          <w:noProof/>
          <w:spacing w:val="-8"/>
        </w:rPr>
        <w:t xml:space="preserve"> PO2, PO3 and PO4, </w:t>
      </w:r>
      <w:r w:rsidR="00F24446">
        <w:rPr>
          <w:iCs/>
          <w:noProof/>
          <w:spacing w:val="-8"/>
        </w:rPr>
        <w:t xml:space="preserve">introduce </w:t>
      </w:r>
      <w:r w:rsidR="0024579D">
        <w:rPr>
          <w:iCs/>
          <w:noProof/>
          <w:spacing w:val="-8"/>
        </w:rPr>
        <w:t>the obligation to share tickets for indispensable RUs</w:t>
      </w:r>
      <w:r w:rsidR="00857330" w:rsidRPr="008A6C21">
        <w:rPr>
          <w:noProof/>
          <w:spacing w:val="-8"/>
        </w:rPr>
        <w:t xml:space="preserve"> (PM13)</w:t>
      </w:r>
      <w:r w:rsidR="00F24446">
        <w:rPr>
          <w:noProof/>
          <w:spacing w:val="-8"/>
        </w:rPr>
        <w:t>, unlocking</w:t>
      </w:r>
      <w:r w:rsidR="00857330" w:rsidRPr="008A6C21">
        <w:rPr>
          <w:noProof/>
          <w:spacing w:val="-8"/>
        </w:rPr>
        <w:t xml:space="preserve"> new </w:t>
      </w:r>
      <w:r w:rsidR="00857330">
        <w:rPr>
          <w:noProof/>
          <w:spacing w:val="-8"/>
        </w:rPr>
        <w:t xml:space="preserve">competitive services and sustainable </w:t>
      </w:r>
      <w:r w:rsidR="00360DC2">
        <w:rPr>
          <w:noProof/>
          <w:spacing w:val="-8"/>
        </w:rPr>
        <w:t>travel alternatives for passengers</w:t>
      </w:r>
      <w:r w:rsidR="008A34DF">
        <w:rPr>
          <w:noProof/>
          <w:spacing w:val="-8"/>
        </w:rPr>
        <w:t>,</w:t>
      </w:r>
      <w:r w:rsidR="00360DC2" w:rsidDel="008A34DF">
        <w:rPr>
          <w:noProof/>
          <w:spacing w:val="-8"/>
        </w:rPr>
        <w:t xml:space="preserve"> </w:t>
      </w:r>
      <w:r w:rsidR="008A34DF">
        <w:rPr>
          <w:noProof/>
          <w:spacing w:val="-8"/>
        </w:rPr>
        <w:t>directly</w:t>
      </w:r>
      <w:r w:rsidR="00360DC2">
        <w:rPr>
          <w:noProof/>
          <w:spacing w:val="-8"/>
        </w:rPr>
        <w:t xml:space="preserve"> addressing the market barriers highlighted in the Draghi Report</w:t>
      </w:r>
      <w:r w:rsidR="0037797D">
        <w:rPr>
          <w:rStyle w:val="FootnoteReference"/>
          <w:noProof/>
          <w:spacing w:val="-8"/>
        </w:rPr>
        <w:footnoteReference w:id="198"/>
      </w:r>
      <w:r w:rsidR="008A34DF">
        <w:rPr>
          <w:noProof/>
          <w:spacing w:val="-8"/>
        </w:rPr>
        <w:t>.</w:t>
      </w:r>
      <w:r w:rsidR="00857330" w:rsidRPr="008A6C21">
        <w:rPr>
          <w:noProof/>
          <w:spacing w:val="-8"/>
        </w:rPr>
        <w:t xml:space="preserve"> </w:t>
      </w:r>
      <w:r w:rsidR="00A73DC8">
        <w:rPr>
          <w:noProof/>
          <w:spacing w:val="-8"/>
        </w:rPr>
        <w:t>When</w:t>
      </w:r>
      <w:r w:rsidR="00857330">
        <w:rPr>
          <w:noProof/>
          <w:spacing w:val="-8"/>
        </w:rPr>
        <w:t xml:space="preserve"> coupled with the </w:t>
      </w:r>
      <w:r w:rsidR="00857330" w:rsidRPr="00AC08E5">
        <w:rPr>
          <w:noProof/>
          <w:spacing w:val="-8"/>
        </w:rPr>
        <w:t>obligation to neutrally display offers</w:t>
      </w:r>
      <w:r w:rsidR="00857330">
        <w:rPr>
          <w:noProof/>
          <w:spacing w:val="-8"/>
        </w:rPr>
        <w:t xml:space="preserve"> (PM1)</w:t>
      </w:r>
      <w:r w:rsidR="00686C0D">
        <w:rPr>
          <w:noProof/>
          <w:spacing w:val="-8"/>
        </w:rPr>
        <w:t>, these measures</w:t>
      </w:r>
      <w:r w:rsidR="00857330">
        <w:rPr>
          <w:noProof/>
          <w:spacing w:val="-8"/>
        </w:rPr>
        <w:t xml:space="preserve"> will support fair</w:t>
      </w:r>
      <w:r w:rsidR="00785419">
        <w:rPr>
          <w:noProof/>
          <w:spacing w:val="-8"/>
        </w:rPr>
        <w:t>er</w:t>
      </w:r>
      <w:r w:rsidR="00857330">
        <w:rPr>
          <w:noProof/>
          <w:spacing w:val="-8"/>
        </w:rPr>
        <w:t xml:space="preserve"> competition </w:t>
      </w:r>
      <w:r w:rsidR="009218B9">
        <w:rPr>
          <w:noProof/>
          <w:spacing w:val="-8"/>
        </w:rPr>
        <w:t xml:space="preserve">of operators </w:t>
      </w:r>
      <w:r w:rsidR="00857330">
        <w:rPr>
          <w:noProof/>
          <w:spacing w:val="-8"/>
        </w:rPr>
        <w:t xml:space="preserve">on all MDMS platforms, and especially </w:t>
      </w:r>
      <w:r w:rsidR="009218B9">
        <w:rPr>
          <w:noProof/>
          <w:spacing w:val="-8"/>
        </w:rPr>
        <w:t>indispensable RU platforms</w:t>
      </w:r>
      <w:r w:rsidR="00857330" w:rsidDel="009218B9">
        <w:rPr>
          <w:noProof/>
          <w:spacing w:val="-8"/>
        </w:rPr>
        <w:t xml:space="preserve"> </w:t>
      </w:r>
      <w:r w:rsidR="006972E3">
        <w:rPr>
          <w:noProof/>
          <w:spacing w:val="-8"/>
        </w:rPr>
        <w:t>–</w:t>
      </w:r>
      <w:r w:rsidR="00E30922">
        <w:rPr>
          <w:noProof/>
          <w:spacing w:val="-8"/>
        </w:rPr>
        <w:t xml:space="preserve"> a necessity underlined by the Letta Report</w:t>
      </w:r>
      <w:r w:rsidR="00B824F9">
        <w:rPr>
          <w:rStyle w:val="FootnoteReference"/>
          <w:noProof/>
          <w:spacing w:val="-8"/>
        </w:rPr>
        <w:footnoteReference w:id="199"/>
      </w:r>
      <w:r w:rsidR="00E30922">
        <w:rPr>
          <w:noProof/>
          <w:spacing w:val="-8"/>
        </w:rPr>
        <w:t xml:space="preserve">’s call for an EU-wide, integrated framework to prevent discriminatory practices in ticket distribution. </w:t>
      </w:r>
    </w:p>
    <w:p w14:paraId="108B9493" w14:textId="304A0C7F" w:rsidR="004508F6" w:rsidRPr="00470081" w:rsidRDefault="004508F6" w:rsidP="004508F6">
      <w:pPr>
        <w:pStyle w:val="BodyText"/>
        <w:spacing w:after="240"/>
        <w:ind w:left="0"/>
        <w:rPr>
          <w:noProof/>
          <w:spacing w:val="-8"/>
        </w:rPr>
      </w:pPr>
      <w:r w:rsidRPr="005D2D60">
        <w:rPr>
          <w:b/>
          <w:i/>
          <w:noProof/>
          <w:spacing w:val="-8"/>
        </w:rPr>
        <w:t>Cost competitiveness.</w:t>
      </w:r>
      <w:r w:rsidRPr="005D2D60">
        <w:rPr>
          <w:noProof/>
          <w:spacing w:val="-8"/>
        </w:rPr>
        <w:t xml:space="preserve"> The policy options have different impacts on the cost competitiveness of affected businesses.</w:t>
      </w:r>
      <w:r w:rsidR="00FE6C78" w:rsidRPr="005D2D60">
        <w:rPr>
          <w:noProof/>
          <w:spacing w:val="-8"/>
        </w:rPr>
        <w:t xml:space="preserve"> </w:t>
      </w:r>
      <w:r w:rsidRPr="00470081">
        <w:rPr>
          <w:noProof/>
          <w:spacing w:val="-8"/>
        </w:rPr>
        <w:t xml:space="preserve">Across all policy options, the common measures increase regulatory clarity and transparency. By extending </w:t>
      </w:r>
      <w:r w:rsidR="00E56D61">
        <w:rPr>
          <w:noProof/>
          <w:spacing w:val="-8"/>
        </w:rPr>
        <w:t>the</w:t>
      </w:r>
      <w:r w:rsidRPr="00470081">
        <w:rPr>
          <w:noProof/>
          <w:spacing w:val="-8"/>
        </w:rPr>
        <w:t xml:space="preserve"> CRS Code of Conduct rules, requiring neutral display, ensuring fair data processing and establishing enforcement mechanisms, the initiative reduces legal uncertainty and dispute risk. Streamlined negotiation processes (PM11 and PM12) reduce contractual transaction costs for both MDMS platforms and transport operators in all policy options. Under PO1, the introduction of fair principles improve predictability in commercial negotiations. While agreements remain voluntary, a harmonised framework can reduce inefficient negotiation cycles and lower compliance risks, particularly in cross-border contexts. Under PO2, PO3 and PO4, stronger regulatory obligations increase compliance costs for regulated entities. However, these obligations are expected to improve the completeness and efficiency of integration between operators and platforms. The net effect depends on the balance between compliance costs and efficiency gains (i.e. costs savings).</w:t>
      </w:r>
    </w:p>
    <w:p w14:paraId="476DE5FD" w14:textId="796F7BA9" w:rsidR="002B4E3A" w:rsidRPr="00470081" w:rsidRDefault="004508F6" w:rsidP="004508F6">
      <w:pPr>
        <w:pStyle w:val="BodyText"/>
        <w:spacing w:after="240"/>
        <w:ind w:left="0"/>
        <w:rPr>
          <w:noProof/>
          <w:spacing w:val="-8"/>
        </w:rPr>
      </w:pPr>
      <w:r w:rsidRPr="00470081">
        <w:rPr>
          <w:i/>
          <w:iCs/>
          <w:noProof/>
          <w:spacing w:val="-8"/>
        </w:rPr>
        <w:t>For MDMS platforms</w:t>
      </w:r>
      <w:r w:rsidRPr="00470081">
        <w:rPr>
          <w:noProof/>
          <w:spacing w:val="-8"/>
        </w:rPr>
        <w:t xml:space="preserve">, as explained in section 6.1.1, all policy options are expected to lead to adjustment costs and some limited administrative costs. Total costs, expressed as present value over 2028-2050 relative to the baseline, are estimated to be highest in PO4 (EUR </w:t>
      </w:r>
      <w:r w:rsidR="008358A4" w:rsidRPr="008358A4">
        <w:rPr>
          <w:noProof/>
          <w:spacing w:val="-8"/>
        </w:rPr>
        <w:t>282.7</w:t>
      </w:r>
      <w:r w:rsidRPr="00470081">
        <w:rPr>
          <w:noProof/>
          <w:spacing w:val="-8"/>
        </w:rPr>
        <w:t xml:space="preserve"> million) primarily due to the significant adjustment costs linked to the unbundling requirement, followed by </w:t>
      </w:r>
      <w:r w:rsidR="001B5901">
        <w:rPr>
          <w:noProof/>
          <w:spacing w:val="-8"/>
        </w:rPr>
        <w:t>PO2</w:t>
      </w:r>
      <w:r w:rsidR="001B5901" w:rsidRPr="00470081">
        <w:rPr>
          <w:noProof/>
          <w:spacing w:val="-8"/>
        </w:rPr>
        <w:t xml:space="preserve"> </w:t>
      </w:r>
      <w:r w:rsidRPr="00470081">
        <w:rPr>
          <w:noProof/>
          <w:spacing w:val="-8"/>
        </w:rPr>
        <w:t xml:space="preserve">(EUR </w:t>
      </w:r>
      <w:r w:rsidR="008358A4" w:rsidRPr="008358A4">
        <w:rPr>
          <w:noProof/>
          <w:spacing w:val="-8"/>
        </w:rPr>
        <w:t>128.1</w:t>
      </w:r>
      <w:r w:rsidRPr="00470081">
        <w:rPr>
          <w:noProof/>
          <w:spacing w:val="-8"/>
        </w:rPr>
        <w:t xml:space="preserve"> million), </w:t>
      </w:r>
      <w:r w:rsidR="007C15D3">
        <w:rPr>
          <w:noProof/>
          <w:spacing w:val="-8"/>
        </w:rPr>
        <w:t>PO3</w:t>
      </w:r>
      <w:r w:rsidR="007C15D3" w:rsidRPr="00470081">
        <w:rPr>
          <w:noProof/>
          <w:spacing w:val="-8"/>
        </w:rPr>
        <w:t xml:space="preserve"> </w:t>
      </w:r>
      <w:r w:rsidRPr="00470081">
        <w:rPr>
          <w:noProof/>
          <w:spacing w:val="-8"/>
        </w:rPr>
        <w:t xml:space="preserve">(EUR </w:t>
      </w:r>
      <w:r w:rsidR="00AE120C" w:rsidRPr="00AE120C">
        <w:rPr>
          <w:noProof/>
          <w:spacing w:val="-8"/>
        </w:rPr>
        <w:t>122.</w:t>
      </w:r>
      <w:r w:rsidRPr="00470081">
        <w:rPr>
          <w:noProof/>
          <w:spacing w:val="-8"/>
        </w:rPr>
        <w:t>7 million) and PO1 (EUR 93.4 million). At the same time, the streamlined negotiation processes (PM11 and PM12) deliver significant adjustment costs savings in PO3, PO4 and PO2 in synergy with other measures included in these options that increase the number of new and renegotiated commercial agreements that benefit of the streamlined processes. Overall,</w:t>
      </w:r>
      <w:r w:rsidRPr="00470081" w:rsidDel="00B63A94">
        <w:rPr>
          <w:noProof/>
          <w:spacing w:val="-8"/>
        </w:rPr>
        <w:t xml:space="preserve"> </w:t>
      </w:r>
      <w:r w:rsidR="00B63A94" w:rsidRPr="00470081">
        <w:rPr>
          <w:noProof/>
          <w:spacing w:val="-8"/>
        </w:rPr>
        <w:t>PO</w:t>
      </w:r>
      <w:r w:rsidR="00B63A94">
        <w:rPr>
          <w:noProof/>
          <w:spacing w:val="-8"/>
        </w:rPr>
        <w:t>2</w:t>
      </w:r>
      <w:r w:rsidR="00B63A94" w:rsidRPr="00470081">
        <w:rPr>
          <w:noProof/>
          <w:spacing w:val="-8"/>
        </w:rPr>
        <w:t xml:space="preserve"> </w:t>
      </w:r>
      <w:r w:rsidRPr="00470081">
        <w:rPr>
          <w:noProof/>
          <w:spacing w:val="-8"/>
        </w:rPr>
        <w:t xml:space="preserve">and </w:t>
      </w:r>
      <w:r w:rsidR="00B63A94" w:rsidRPr="00470081">
        <w:rPr>
          <w:noProof/>
          <w:spacing w:val="-8"/>
        </w:rPr>
        <w:t>PO</w:t>
      </w:r>
      <w:r w:rsidR="00B63A94">
        <w:rPr>
          <w:noProof/>
          <w:spacing w:val="-8"/>
        </w:rPr>
        <w:t>3</w:t>
      </w:r>
      <w:r w:rsidR="00B63A94" w:rsidRPr="00470081">
        <w:rPr>
          <w:noProof/>
          <w:spacing w:val="-8"/>
        </w:rPr>
        <w:t xml:space="preserve"> </w:t>
      </w:r>
      <w:r w:rsidRPr="00470081">
        <w:rPr>
          <w:noProof/>
          <w:spacing w:val="-8"/>
        </w:rPr>
        <w:t xml:space="preserve">lead to net benefits of EUR </w:t>
      </w:r>
      <w:r w:rsidR="00F60154" w:rsidRPr="00F60154">
        <w:rPr>
          <w:noProof/>
          <w:spacing w:val="-8"/>
        </w:rPr>
        <w:t>20.9</w:t>
      </w:r>
      <w:r w:rsidRPr="00470081">
        <w:rPr>
          <w:noProof/>
          <w:spacing w:val="-8"/>
        </w:rPr>
        <w:t xml:space="preserve"> million and EUR </w:t>
      </w:r>
      <w:r w:rsidR="006033AB">
        <w:rPr>
          <w:noProof/>
          <w:spacing w:val="-8"/>
        </w:rPr>
        <w:t>11.3</w:t>
      </w:r>
      <w:r w:rsidR="00B63A94" w:rsidRPr="00470081">
        <w:rPr>
          <w:noProof/>
          <w:spacing w:val="-8"/>
        </w:rPr>
        <w:t xml:space="preserve"> </w:t>
      </w:r>
      <w:r w:rsidRPr="00470081">
        <w:rPr>
          <w:noProof/>
          <w:spacing w:val="-8"/>
        </w:rPr>
        <w:t xml:space="preserve">million, respectively, expressed as present value over 2028-2050 relative to the baseline. On the other hand, PO4 and PO1 result in net costs (EUR </w:t>
      </w:r>
      <w:r w:rsidR="00A01912">
        <w:rPr>
          <w:noProof/>
          <w:spacing w:val="-8"/>
        </w:rPr>
        <w:t>140</w:t>
      </w:r>
      <w:r w:rsidRPr="00470081">
        <w:rPr>
          <w:noProof/>
          <w:spacing w:val="-8"/>
        </w:rPr>
        <w:t xml:space="preserve"> million in PO4 and EUR 80.4 million in PO1). </w:t>
      </w:r>
    </w:p>
    <w:p w14:paraId="74CC739D" w14:textId="3B30EA1A" w:rsidR="00BB1E94" w:rsidRPr="00470081" w:rsidRDefault="004508F6" w:rsidP="004508F6">
      <w:pPr>
        <w:pStyle w:val="BodyText"/>
        <w:spacing w:after="240"/>
        <w:ind w:left="0"/>
        <w:rPr>
          <w:noProof/>
          <w:spacing w:val="-8"/>
        </w:rPr>
      </w:pPr>
      <w:r w:rsidRPr="00470081">
        <w:rPr>
          <w:i/>
          <w:iCs/>
          <w:noProof/>
          <w:spacing w:val="-8"/>
        </w:rPr>
        <w:t>For transport operators</w:t>
      </w:r>
      <w:r w:rsidRPr="00470081">
        <w:rPr>
          <w:noProof/>
          <w:spacing w:val="-8"/>
        </w:rPr>
        <w:t xml:space="preserve">, as explained in section 6.1.2, PO2, PO3 and PO4 are expected to lead to adjustment costs related to the obligation to share and all options are expected to </w:t>
      </w:r>
      <w:r w:rsidR="00134D1F">
        <w:rPr>
          <w:noProof/>
          <w:spacing w:val="-8"/>
        </w:rPr>
        <w:t>require</w:t>
      </w:r>
      <w:r w:rsidRPr="00470081">
        <w:rPr>
          <w:noProof/>
          <w:spacing w:val="-8"/>
        </w:rPr>
        <w:t xml:space="preserve"> very limited administrative costs for the designation of indispensable RUs. Total costs, expressed as present value over 2028-2050 relative to the baseline, are estimated to be highest in </w:t>
      </w:r>
      <w:r w:rsidR="0032094D">
        <w:rPr>
          <w:noProof/>
          <w:spacing w:val="-8"/>
        </w:rPr>
        <w:t>PO2</w:t>
      </w:r>
      <w:r w:rsidR="0032094D" w:rsidRPr="00470081">
        <w:rPr>
          <w:noProof/>
          <w:spacing w:val="-8"/>
        </w:rPr>
        <w:t xml:space="preserve"> </w:t>
      </w:r>
      <w:r w:rsidRPr="00470081">
        <w:rPr>
          <w:noProof/>
          <w:spacing w:val="-8"/>
        </w:rPr>
        <w:t xml:space="preserve">(EUR </w:t>
      </w:r>
      <w:r w:rsidR="0032094D">
        <w:rPr>
          <w:noProof/>
          <w:spacing w:val="-8"/>
        </w:rPr>
        <w:t>48.2</w:t>
      </w:r>
      <w:r w:rsidRPr="00470081">
        <w:rPr>
          <w:noProof/>
          <w:spacing w:val="-8"/>
        </w:rPr>
        <w:t xml:space="preserve"> million), followed by PO4 (EUR </w:t>
      </w:r>
      <w:r w:rsidR="0032094D">
        <w:rPr>
          <w:noProof/>
          <w:spacing w:val="-8"/>
        </w:rPr>
        <w:t>45.2</w:t>
      </w:r>
      <w:r w:rsidRPr="00470081">
        <w:rPr>
          <w:noProof/>
          <w:spacing w:val="-8"/>
        </w:rPr>
        <w:t xml:space="preserve"> million), </w:t>
      </w:r>
      <w:r w:rsidR="0032094D">
        <w:rPr>
          <w:noProof/>
          <w:spacing w:val="-8"/>
        </w:rPr>
        <w:t>PO3</w:t>
      </w:r>
      <w:r w:rsidR="0032094D" w:rsidRPr="00470081">
        <w:rPr>
          <w:noProof/>
          <w:spacing w:val="-8"/>
        </w:rPr>
        <w:t xml:space="preserve"> </w:t>
      </w:r>
      <w:r w:rsidRPr="00470081">
        <w:rPr>
          <w:noProof/>
          <w:spacing w:val="-8"/>
        </w:rPr>
        <w:t xml:space="preserve">(EUR </w:t>
      </w:r>
      <w:r w:rsidR="0032094D">
        <w:rPr>
          <w:noProof/>
          <w:spacing w:val="-8"/>
        </w:rPr>
        <w:t>42.2</w:t>
      </w:r>
      <w:r w:rsidRPr="00470081">
        <w:rPr>
          <w:noProof/>
          <w:spacing w:val="-8"/>
        </w:rPr>
        <w:t xml:space="preserve"> million) and PO1 with negligible costs. The streamlined negotiation processes (PM11 and PM12) deliver adjustment costs savings in all policy options that outweigh the costs. Net benefits for transport operators, expressed as present value over 2028-2050 relative to the baseline, are estimated at EUR </w:t>
      </w:r>
      <w:r w:rsidR="003F0096" w:rsidRPr="003F0096">
        <w:rPr>
          <w:noProof/>
          <w:spacing w:val="-8"/>
        </w:rPr>
        <w:t>100.9</w:t>
      </w:r>
      <w:r w:rsidR="0021690B" w:rsidRPr="00470081">
        <w:rPr>
          <w:noProof/>
          <w:spacing w:val="-8"/>
        </w:rPr>
        <w:t xml:space="preserve"> </w:t>
      </w:r>
      <w:r w:rsidRPr="00470081">
        <w:rPr>
          <w:noProof/>
          <w:spacing w:val="-8"/>
        </w:rPr>
        <w:t xml:space="preserve">million in </w:t>
      </w:r>
      <w:r w:rsidR="0021690B">
        <w:rPr>
          <w:noProof/>
          <w:spacing w:val="-8"/>
        </w:rPr>
        <w:t>PO2</w:t>
      </w:r>
      <w:r w:rsidRPr="00470081">
        <w:rPr>
          <w:noProof/>
          <w:spacing w:val="-8"/>
        </w:rPr>
        <w:t xml:space="preserve">, EUR </w:t>
      </w:r>
      <w:r w:rsidR="00771CE5" w:rsidRPr="00771CE5">
        <w:rPr>
          <w:noProof/>
          <w:spacing w:val="-8"/>
        </w:rPr>
        <w:t>97.6</w:t>
      </w:r>
      <w:r w:rsidRPr="00470081">
        <w:rPr>
          <w:noProof/>
          <w:spacing w:val="-8"/>
        </w:rPr>
        <w:t xml:space="preserve"> million in PO4, EUR </w:t>
      </w:r>
      <w:r w:rsidR="0021690B">
        <w:rPr>
          <w:noProof/>
          <w:spacing w:val="-8"/>
        </w:rPr>
        <w:t>91.8</w:t>
      </w:r>
      <w:r w:rsidRPr="00470081">
        <w:rPr>
          <w:noProof/>
          <w:spacing w:val="-8"/>
        </w:rPr>
        <w:t xml:space="preserve"> million in </w:t>
      </w:r>
      <w:r w:rsidR="0021690B">
        <w:rPr>
          <w:noProof/>
          <w:spacing w:val="-8"/>
        </w:rPr>
        <w:t>PO3</w:t>
      </w:r>
      <w:r w:rsidR="0021690B" w:rsidRPr="00470081">
        <w:rPr>
          <w:noProof/>
          <w:spacing w:val="-8"/>
        </w:rPr>
        <w:t xml:space="preserve"> </w:t>
      </w:r>
      <w:r w:rsidRPr="00470081">
        <w:rPr>
          <w:noProof/>
          <w:spacing w:val="-8"/>
        </w:rPr>
        <w:t>and are more limited in PO1 (EUR 13 million).</w:t>
      </w:r>
    </w:p>
    <w:p w14:paraId="2A38D0A6" w14:textId="6330CE56" w:rsidR="004508F6" w:rsidRPr="00470081" w:rsidRDefault="004508F6" w:rsidP="004508F6">
      <w:pPr>
        <w:pStyle w:val="BodyText"/>
        <w:spacing w:after="240"/>
        <w:ind w:left="0"/>
        <w:rPr>
          <w:noProof/>
          <w:spacing w:val="-8"/>
        </w:rPr>
      </w:pPr>
      <w:r w:rsidRPr="00470081">
        <w:rPr>
          <w:noProof/>
          <w:spacing w:val="-8"/>
        </w:rPr>
        <w:t xml:space="preserve">By reducing search and booking frictions and improving the visibility of transport offers, the policy options enhance the efficiency of the rail and multimodal transport sectors, strengthening the competitive position of rail and </w:t>
      </w:r>
      <w:r w:rsidR="00910193">
        <w:rPr>
          <w:noProof/>
          <w:spacing w:val="-8"/>
        </w:rPr>
        <w:t>coach</w:t>
      </w:r>
      <w:r w:rsidR="00910193" w:rsidRPr="00470081">
        <w:rPr>
          <w:noProof/>
          <w:spacing w:val="-8"/>
        </w:rPr>
        <w:t xml:space="preserve"> </w:t>
      </w:r>
      <w:r w:rsidRPr="00470081">
        <w:rPr>
          <w:noProof/>
          <w:spacing w:val="-8"/>
        </w:rPr>
        <w:t xml:space="preserve">services within the multimodal passenger transport market. Improved integration of rail services in MDMS platforms can increase the attractiveness of rail-based itineraries relative to car-only or aviation trips. </w:t>
      </w:r>
    </w:p>
    <w:p w14:paraId="60A947BF" w14:textId="77777777" w:rsidR="004508F6" w:rsidRPr="00470081" w:rsidRDefault="004508F6" w:rsidP="004508F6">
      <w:pPr>
        <w:pStyle w:val="BodyText"/>
        <w:spacing w:after="240"/>
        <w:ind w:left="0"/>
        <w:rPr>
          <w:noProof/>
          <w:spacing w:val="-8"/>
        </w:rPr>
      </w:pPr>
      <w:r w:rsidRPr="00470081">
        <w:rPr>
          <w:noProof/>
          <w:spacing w:val="-8"/>
        </w:rPr>
        <w:t>As regards SMEs competitiveness, they would also benefit from better market conditions: creating a level playing field for all stakeholders could be particularly beneficial for small businesses or start-ups. New entrant SMEs in the rail transport market would particularly</w:t>
      </w:r>
      <w:r w:rsidRPr="00470081" w:rsidDel="009E3822">
        <w:rPr>
          <w:noProof/>
          <w:spacing w:val="-8"/>
        </w:rPr>
        <w:t xml:space="preserve"> </w:t>
      </w:r>
      <w:r w:rsidRPr="00470081">
        <w:rPr>
          <w:noProof/>
          <w:spacing w:val="-8"/>
        </w:rPr>
        <w:t xml:space="preserve">benefit from the </w:t>
      </w:r>
      <w:r w:rsidRPr="00287906">
        <w:rPr>
          <w:iCs/>
          <w:noProof/>
          <w:spacing w:val="-8"/>
        </w:rPr>
        <w:t>obligation for indispensable RU platforms to enter into commercial agreement with willing RUs</w:t>
      </w:r>
      <w:r w:rsidRPr="00470081">
        <w:rPr>
          <w:noProof/>
          <w:spacing w:val="-8"/>
        </w:rPr>
        <w:t xml:space="preserve"> (PM14). New entrant RUs face the problem of how to establish their brand and typically must resort to costly advertising campaigns, which can be prohibitive for SMEs. PM14 would allow them to benefit from indispensable RU platforms’ brand visibility and reach immediately the very high share of customers that use those platforms. In PO4, the </w:t>
      </w:r>
      <w:r w:rsidRPr="00287906">
        <w:rPr>
          <w:iCs/>
          <w:noProof/>
          <w:spacing w:val="-8"/>
        </w:rPr>
        <w:t xml:space="preserve">obligation for indispensable RUs to unbundle their distribution and operation services </w:t>
      </w:r>
      <w:r w:rsidRPr="00470081">
        <w:rPr>
          <w:noProof/>
          <w:spacing w:val="-8"/>
        </w:rPr>
        <w:t xml:space="preserve">(PM15) will also provide better visibility and consumer reach to new entrant RUs, albeit to a lesser extent than PM14. Indeed, the complete unbundling process is expected to be complex and would likely require an extended adjustment period. These newly independent platforms would also not be obliged to negotiate with new rail entrants, therefore decreasing slightly the positive impact on SME competitiveness compared to PM14. Finally, the </w:t>
      </w:r>
      <w:r w:rsidRPr="004F77C6">
        <w:rPr>
          <w:iCs/>
          <w:noProof/>
          <w:spacing w:val="-8"/>
        </w:rPr>
        <w:t>prohibition of restrictive contractual clauses by indispensable RUs and indispensable MDMS platforms and the introduction of fairer distribution fee principles</w:t>
      </w:r>
      <w:r w:rsidRPr="00470081">
        <w:rPr>
          <w:noProof/>
          <w:spacing w:val="-8"/>
        </w:rPr>
        <w:t xml:space="preserve"> (PM11 and PM12) in all POs would facilitate agreements between platforms and operators, directly targeting gatekeeping behaviour, curbing anti-competitive practices, and enhancing transparency and fairness. This would therefore greatly support smaller MDMSs and operators in concluding contractual agreements with players benefiting from a strategic position in the market. </w:t>
      </w:r>
    </w:p>
    <w:p w14:paraId="59324340" w14:textId="426F96A6" w:rsidR="004508F6" w:rsidRPr="00AD21D6" w:rsidRDefault="004508F6" w:rsidP="004508F6">
      <w:pPr>
        <w:pStyle w:val="BodyText"/>
        <w:spacing w:after="240"/>
        <w:ind w:left="0"/>
        <w:rPr>
          <w:noProof/>
          <w:spacing w:val="-8"/>
        </w:rPr>
      </w:pPr>
      <w:r w:rsidRPr="00470081">
        <w:rPr>
          <w:noProof/>
          <w:spacing w:val="-8"/>
        </w:rPr>
        <w:t xml:space="preserve">The analysis </w:t>
      </w:r>
      <w:r w:rsidR="002D1792">
        <w:rPr>
          <w:noProof/>
          <w:spacing w:val="-8"/>
        </w:rPr>
        <w:t>shows</w:t>
      </w:r>
      <w:r w:rsidR="002D1792" w:rsidRPr="00470081">
        <w:rPr>
          <w:noProof/>
          <w:spacing w:val="-8"/>
        </w:rPr>
        <w:t xml:space="preserve"> </w:t>
      </w:r>
      <w:r w:rsidRPr="00470081">
        <w:rPr>
          <w:noProof/>
          <w:spacing w:val="-8"/>
        </w:rPr>
        <w:t xml:space="preserve">that all policy options lead to increases in rail and </w:t>
      </w:r>
      <w:r w:rsidR="000620EB">
        <w:rPr>
          <w:noProof/>
          <w:spacing w:val="-8"/>
        </w:rPr>
        <w:t>coach</w:t>
      </w:r>
      <w:r w:rsidR="000620EB" w:rsidRPr="00470081">
        <w:rPr>
          <w:noProof/>
          <w:spacing w:val="-8"/>
        </w:rPr>
        <w:t xml:space="preserve"> </w:t>
      </w:r>
      <w:r w:rsidRPr="00470081">
        <w:rPr>
          <w:noProof/>
          <w:spacing w:val="-8"/>
        </w:rPr>
        <w:t>activity relative to the baseline</w:t>
      </w:r>
      <w:r w:rsidR="000620EB">
        <w:rPr>
          <w:noProof/>
          <w:spacing w:val="-8"/>
        </w:rPr>
        <w:t xml:space="preserve"> (see section 6.1.8)</w:t>
      </w:r>
      <w:r w:rsidRPr="00470081">
        <w:rPr>
          <w:noProof/>
          <w:spacing w:val="-8"/>
        </w:rPr>
        <w:t xml:space="preserve">, reflecting improved supply-demand matching and reduced transaction </w:t>
      </w:r>
      <w:r w:rsidR="00D04485">
        <w:rPr>
          <w:noProof/>
          <w:spacing w:val="-8"/>
        </w:rPr>
        <w:t>costs</w:t>
      </w:r>
      <w:r w:rsidRPr="00470081">
        <w:rPr>
          <w:noProof/>
          <w:spacing w:val="-8"/>
        </w:rPr>
        <w:t xml:space="preserve">. The relative magnitude of these increases </w:t>
      </w:r>
      <w:r w:rsidR="00D04485">
        <w:rPr>
          <w:noProof/>
          <w:spacing w:val="-8"/>
        </w:rPr>
        <w:t xml:space="preserve">in activity </w:t>
      </w:r>
      <w:r w:rsidRPr="00470081">
        <w:rPr>
          <w:noProof/>
          <w:spacing w:val="-8"/>
        </w:rPr>
        <w:t xml:space="preserve">differs across options, being highest in PO3, followed by PO4 </w:t>
      </w:r>
      <w:r w:rsidRPr="00AD21D6">
        <w:rPr>
          <w:noProof/>
          <w:spacing w:val="-8"/>
        </w:rPr>
        <w:t xml:space="preserve">and PO2. </w:t>
      </w:r>
    </w:p>
    <w:p w14:paraId="784AD86C" w14:textId="77777777" w:rsidR="004508F6" w:rsidRDefault="004508F6" w:rsidP="004508F6">
      <w:pPr>
        <w:pStyle w:val="BodyText"/>
        <w:spacing w:after="240"/>
        <w:ind w:left="0"/>
        <w:rPr>
          <w:noProof/>
          <w:spacing w:val="-8"/>
        </w:rPr>
      </w:pPr>
      <w:r w:rsidRPr="00470081">
        <w:rPr>
          <w:noProof/>
          <w:spacing w:val="-8"/>
        </w:rPr>
        <w:t>The entire economy is likely to benefit from these developments since transport represents a significant share of household expenditure and is a critical input for many economic sectors, notably tourism. A better functioning of the transport sector would free resources for additional consumption and investment. This might result in knock-on effects throughout the entire economy in the long term, leveraging the initial impact on the transport sector.</w:t>
      </w:r>
    </w:p>
    <w:p w14:paraId="6A5D8FD5" w14:textId="46AD6A91" w:rsidR="004508F6" w:rsidRPr="00B9016A" w:rsidRDefault="004508F6" w:rsidP="004508F6">
      <w:pPr>
        <w:pStyle w:val="BodyText"/>
        <w:spacing w:after="240"/>
        <w:ind w:left="0"/>
        <w:rPr>
          <w:noProof/>
        </w:rPr>
      </w:pPr>
      <w:r w:rsidRPr="00470081">
        <w:rPr>
          <w:b/>
          <w:i/>
          <w:noProof/>
          <w:spacing w:val="-8"/>
        </w:rPr>
        <w:t xml:space="preserve">International competitiveness. </w:t>
      </w:r>
      <w:r w:rsidR="000814E0">
        <w:rPr>
          <w:noProof/>
          <w:spacing w:val="-8"/>
        </w:rPr>
        <w:t>All</w:t>
      </w:r>
      <w:r w:rsidR="000814E0" w:rsidRPr="00470081">
        <w:rPr>
          <w:noProof/>
          <w:spacing w:val="-8"/>
        </w:rPr>
        <w:t xml:space="preserve"> </w:t>
      </w:r>
      <w:r w:rsidR="00F41972">
        <w:rPr>
          <w:noProof/>
          <w:spacing w:val="-8"/>
        </w:rPr>
        <w:t>policy options</w:t>
      </w:r>
      <w:r w:rsidR="00F41972" w:rsidRPr="00470081">
        <w:rPr>
          <w:noProof/>
          <w:spacing w:val="-8"/>
        </w:rPr>
        <w:t xml:space="preserve"> appl</w:t>
      </w:r>
      <w:r w:rsidR="00F41972">
        <w:rPr>
          <w:noProof/>
          <w:spacing w:val="-8"/>
        </w:rPr>
        <w:t>y</w:t>
      </w:r>
      <w:r w:rsidR="00F41972" w:rsidRPr="00470081">
        <w:rPr>
          <w:noProof/>
          <w:spacing w:val="-8"/>
        </w:rPr>
        <w:t xml:space="preserve"> </w:t>
      </w:r>
      <w:r w:rsidRPr="00470081">
        <w:rPr>
          <w:noProof/>
          <w:spacing w:val="-8"/>
        </w:rPr>
        <w:t xml:space="preserve">equally to EU and non-EU platforms when operating within the EU market and do not differentiate by nationality. </w:t>
      </w:r>
      <w:r w:rsidR="002D23E6">
        <w:rPr>
          <w:noProof/>
          <w:spacing w:val="-8"/>
        </w:rPr>
        <w:t>They</w:t>
      </w:r>
      <w:r w:rsidRPr="00470081">
        <w:rPr>
          <w:noProof/>
          <w:spacing w:val="-8"/>
        </w:rPr>
        <w:t xml:space="preserve"> therefore do not introduce trade distortions. The impact on international competitiveness is expected to be neutral. The economic effects are confined to improving efficiency and performance within the EU passenger transport market.</w:t>
      </w:r>
    </w:p>
    <w:p w14:paraId="457048AF" w14:textId="78CBCEB7" w:rsidR="005F6ADC" w:rsidRPr="00F62472" w:rsidRDefault="007C6FB0" w:rsidP="006E3FA1">
      <w:pPr>
        <w:pStyle w:val="Heading2"/>
        <w:keepNext/>
        <w:numPr>
          <w:ilvl w:val="2"/>
          <w:numId w:val="11"/>
        </w:numPr>
        <w:tabs>
          <w:tab w:val="left" w:pos="709"/>
        </w:tabs>
        <w:spacing w:before="0" w:after="240"/>
        <w:ind w:left="1134" w:hanging="708"/>
        <w:rPr>
          <w:b w:val="0"/>
          <w:i/>
          <w:noProof/>
        </w:rPr>
      </w:pPr>
      <w:bookmarkStart w:id="161" w:name="_Toc222313484"/>
      <w:bookmarkStart w:id="162" w:name="_Toc222749002"/>
      <w:bookmarkStart w:id="163" w:name="_Toc223979972"/>
      <w:r w:rsidRPr="00D71008">
        <w:rPr>
          <w:b w:val="0"/>
          <w:i/>
          <w:noProof/>
        </w:rPr>
        <w:t>Impact</w:t>
      </w:r>
      <w:r w:rsidR="00F9450A">
        <w:rPr>
          <w:b w:val="0"/>
          <w:i/>
          <w:noProof/>
        </w:rPr>
        <w:t>s</w:t>
      </w:r>
      <w:r w:rsidRPr="00D71008">
        <w:rPr>
          <w:b w:val="0"/>
          <w:i/>
          <w:noProof/>
        </w:rPr>
        <w:t xml:space="preserve"> on the functioning of the internal market and on competition</w:t>
      </w:r>
      <w:bookmarkEnd w:id="161"/>
      <w:bookmarkEnd w:id="162"/>
      <w:bookmarkEnd w:id="163"/>
    </w:p>
    <w:p w14:paraId="6DF008B6" w14:textId="4DFFF63D" w:rsidR="006D0C45" w:rsidRPr="005D2D60" w:rsidRDefault="00EB3E16" w:rsidP="00980B72">
      <w:pPr>
        <w:pStyle w:val="BodyText"/>
        <w:spacing w:after="240"/>
        <w:ind w:left="0"/>
        <w:rPr>
          <w:noProof/>
          <w:spacing w:val="-8"/>
        </w:rPr>
      </w:pPr>
      <w:r w:rsidRPr="005D2D60">
        <w:rPr>
          <w:noProof/>
          <w:spacing w:val="-8"/>
        </w:rPr>
        <w:t>All</w:t>
      </w:r>
      <w:r w:rsidRPr="005D2D60" w:rsidDel="002C3FE3">
        <w:rPr>
          <w:noProof/>
          <w:spacing w:val="-8"/>
        </w:rPr>
        <w:t xml:space="preserve"> </w:t>
      </w:r>
      <w:r w:rsidRPr="005D2D60">
        <w:rPr>
          <w:noProof/>
          <w:spacing w:val="-8"/>
        </w:rPr>
        <w:t xml:space="preserve">policy options enhance the functioning of the internal market compared to the baseline. They do so by reducing regulatory fragmentation across the EU and </w:t>
      </w:r>
      <w:r w:rsidR="00EF27CA" w:rsidRPr="005D2D60">
        <w:rPr>
          <w:noProof/>
          <w:spacing w:val="-8"/>
        </w:rPr>
        <w:t>promoting</w:t>
      </w:r>
      <w:r w:rsidR="00B55C00" w:rsidRPr="005D2D60">
        <w:rPr>
          <w:noProof/>
          <w:spacing w:val="-8"/>
        </w:rPr>
        <w:t xml:space="preserve"> a</w:t>
      </w:r>
      <w:r w:rsidR="003F53DC" w:rsidRPr="005D2D60">
        <w:rPr>
          <w:noProof/>
          <w:spacing w:val="-8"/>
        </w:rPr>
        <w:t xml:space="preserve"> </w:t>
      </w:r>
      <w:r w:rsidRPr="005D2D60">
        <w:rPr>
          <w:noProof/>
          <w:spacing w:val="-8"/>
        </w:rPr>
        <w:t xml:space="preserve">level playing field for ticket distribution in both B2C and B2B markets. </w:t>
      </w:r>
    </w:p>
    <w:p w14:paraId="02CD5F88" w14:textId="5A1E15AE" w:rsidR="001376F5" w:rsidRDefault="00133799" w:rsidP="00F97B79">
      <w:pPr>
        <w:pStyle w:val="BodyText"/>
        <w:spacing w:after="240"/>
        <w:ind w:left="0"/>
        <w:rPr>
          <w:noProof/>
        </w:rPr>
      </w:pPr>
      <w:r w:rsidRPr="005D2D60">
        <w:rPr>
          <w:noProof/>
          <w:spacing w:val="-8"/>
        </w:rPr>
        <w:t xml:space="preserve">PO1 </w:t>
      </w:r>
      <w:r w:rsidR="00A07E6A" w:rsidRPr="005D2D60">
        <w:rPr>
          <w:noProof/>
          <w:spacing w:val="-8"/>
        </w:rPr>
        <w:t>extends</w:t>
      </w:r>
      <w:r w:rsidR="00C40EEE" w:rsidRPr="005D2D60" w:rsidDel="00537CEC">
        <w:rPr>
          <w:noProof/>
          <w:spacing w:val="-8"/>
        </w:rPr>
        <w:t xml:space="preserve"> </w:t>
      </w:r>
      <w:r w:rsidR="00537CEC" w:rsidRPr="005D2D60">
        <w:rPr>
          <w:noProof/>
          <w:spacing w:val="-8"/>
        </w:rPr>
        <w:t xml:space="preserve">neutral display </w:t>
      </w:r>
      <w:r w:rsidR="00C40EEE" w:rsidRPr="005D2D60">
        <w:rPr>
          <w:noProof/>
          <w:spacing w:val="-8"/>
        </w:rPr>
        <w:t xml:space="preserve">rules to all B2B </w:t>
      </w:r>
      <w:r w:rsidR="00E362F2" w:rsidRPr="005D2D60">
        <w:rPr>
          <w:noProof/>
          <w:spacing w:val="-8"/>
        </w:rPr>
        <w:t xml:space="preserve">actors and introduces </w:t>
      </w:r>
      <w:r w:rsidRPr="005D2D60">
        <w:rPr>
          <w:noProof/>
          <w:spacing w:val="-8"/>
        </w:rPr>
        <w:t xml:space="preserve">rules </w:t>
      </w:r>
      <w:r w:rsidR="00E362F2" w:rsidRPr="005D2D60">
        <w:rPr>
          <w:noProof/>
          <w:spacing w:val="-8"/>
        </w:rPr>
        <w:t>governing</w:t>
      </w:r>
      <w:r w:rsidRPr="005D2D60">
        <w:rPr>
          <w:noProof/>
          <w:spacing w:val="-8"/>
        </w:rPr>
        <w:t xml:space="preserve"> commercial agreements with indispensable </w:t>
      </w:r>
      <w:r w:rsidR="00D659BD">
        <w:rPr>
          <w:noProof/>
          <w:spacing w:val="-8"/>
        </w:rPr>
        <w:t xml:space="preserve">B2B and </w:t>
      </w:r>
      <w:r w:rsidR="00E362F2" w:rsidRPr="005D2D60">
        <w:rPr>
          <w:noProof/>
          <w:spacing w:val="-8"/>
        </w:rPr>
        <w:t xml:space="preserve">B2C </w:t>
      </w:r>
      <w:r w:rsidRPr="005D2D60">
        <w:rPr>
          <w:noProof/>
          <w:spacing w:val="-8"/>
        </w:rPr>
        <w:t xml:space="preserve">platforms </w:t>
      </w:r>
      <w:r w:rsidR="00E362F2" w:rsidRPr="005D2D60">
        <w:rPr>
          <w:noProof/>
          <w:spacing w:val="-8"/>
        </w:rPr>
        <w:t>and railway undertakings (</w:t>
      </w:r>
      <w:r w:rsidRPr="005D2D60">
        <w:rPr>
          <w:noProof/>
          <w:spacing w:val="-8"/>
        </w:rPr>
        <w:t>RUs</w:t>
      </w:r>
      <w:r w:rsidR="00E362F2" w:rsidRPr="005D2D60">
        <w:rPr>
          <w:noProof/>
          <w:spacing w:val="-8"/>
        </w:rPr>
        <w:t>),</w:t>
      </w:r>
      <w:r w:rsidRPr="005D2D60">
        <w:rPr>
          <w:noProof/>
          <w:spacing w:val="-8"/>
        </w:rPr>
        <w:t xml:space="preserve"> but </w:t>
      </w:r>
      <w:r w:rsidR="00E362F2" w:rsidRPr="005D2D60">
        <w:rPr>
          <w:noProof/>
          <w:spacing w:val="-8"/>
        </w:rPr>
        <w:t>it does not require any structural changes. Indispensable RUs and platforms would not be obliged to share ticket content or host other RUs, meaning the current market structure would largely remain unchanged.</w:t>
      </w:r>
      <w:r w:rsidR="006D0C45" w:rsidRPr="005D2D60">
        <w:rPr>
          <w:noProof/>
          <w:spacing w:val="-8"/>
        </w:rPr>
        <w:t xml:space="preserve"> </w:t>
      </w:r>
      <w:r w:rsidR="00E362F2" w:rsidRPr="005D2D60">
        <w:rPr>
          <w:noProof/>
          <w:spacing w:val="-8"/>
        </w:rPr>
        <w:t xml:space="preserve">As a result, while PO1 is </w:t>
      </w:r>
      <w:r w:rsidRPr="005D2D60">
        <w:rPr>
          <w:noProof/>
          <w:spacing w:val="-8"/>
        </w:rPr>
        <w:t xml:space="preserve">expected </w:t>
      </w:r>
      <w:r w:rsidR="00E362F2" w:rsidRPr="005D2D60">
        <w:rPr>
          <w:noProof/>
          <w:spacing w:val="-8"/>
        </w:rPr>
        <w:t xml:space="preserve">to have a positive impact in promoting a level playing field in B2B distribution, its overall effect would be </w:t>
      </w:r>
      <w:r w:rsidRPr="005D2D60">
        <w:rPr>
          <w:noProof/>
          <w:spacing w:val="-8"/>
        </w:rPr>
        <w:t>limited</w:t>
      </w:r>
      <w:r w:rsidR="00E362F2" w:rsidRPr="005D2D60">
        <w:rPr>
          <w:noProof/>
          <w:spacing w:val="-8"/>
        </w:rPr>
        <w:t xml:space="preserve">. By focusing on </w:t>
      </w:r>
      <w:r w:rsidRPr="005D2D60">
        <w:rPr>
          <w:noProof/>
          <w:spacing w:val="-8"/>
        </w:rPr>
        <w:t xml:space="preserve">fairness without </w:t>
      </w:r>
      <w:r w:rsidR="00E362F2" w:rsidRPr="005D2D60">
        <w:rPr>
          <w:noProof/>
          <w:spacing w:val="-8"/>
        </w:rPr>
        <w:t xml:space="preserve">mandating </w:t>
      </w:r>
      <w:r w:rsidRPr="005D2D60">
        <w:rPr>
          <w:noProof/>
          <w:spacing w:val="-8"/>
        </w:rPr>
        <w:t xml:space="preserve">access, </w:t>
      </w:r>
      <w:r w:rsidR="00E362F2" w:rsidRPr="005D2D60">
        <w:rPr>
          <w:noProof/>
          <w:spacing w:val="-8"/>
        </w:rPr>
        <w:t xml:space="preserve">it is unlikely to significantly enhance </w:t>
      </w:r>
      <w:r w:rsidRPr="005D2D60">
        <w:rPr>
          <w:noProof/>
          <w:spacing w:val="-8"/>
        </w:rPr>
        <w:t xml:space="preserve">competition </w:t>
      </w:r>
      <w:r w:rsidR="00E362F2" w:rsidRPr="005D2D60">
        <w:rPr>
          <w:noProof/>
          <w:spacing w:val="-8"/>
        </w:rPr>
        <w:t>or expand</w:t>
      </w:r>
      <w:r w:rsidRPr="005D2D60">
        <w:rPr>
          <w:noProof/>
          <w:spacing w:val="-8"/>
        </w:rPr>
        <w:t xml:space="preserve"> consumer choice</w:t>
      </w:r>
      <w:r w:rsidR="00E362F2" w:rsidRPr="005D2D60">
        <w:rPr>
          <w:noProof/>
          <w:spacing w:val="-8"/>
        </w:rPr>
        <w:t>.</w:t>
      </w:r>
      <w:r w:rsidR="003D5D50" w:rsidRPr="003D5D50">
        <w:rPr>
          <w:noProof/>
        </w:rPr>
        <w:t xml:space="preserve"> </w:t>
      </w:r>
      <w:r w:rsidR="009F3681" w:rsidRPr="005D2D60">
        <w:rPr>
          <w:noProof/>
          <w:spacing w:val="-8"/>
        </w:rPr>
        <w:t xml:space="preserve">Overall, the measures included in PO1 are projected to lead to 1% increase in rail activity in 2030 and </w:t>
      </w:r>
      <w:r w:rsidR="004C0D91" w:rsidRPr="005D2D60" w:rsidDel="00FB5832">
        <w:rPr>
          <w:noProof/>
          <w:spacing w:val="-8"/>
        </w:rPr>
        <w:t>1</w:t>
      </w:r>
      <w:r w:rsidR="009F3681" w:rsidRPr="005D2D60" w:rsidDel="00FB5832">
        <w:rPr>
          <w:noProof/>
          <w:spacing w:val="-8"/>
        </w:rPr>
        <w:t>.</w:t>
      </w:r>
      <w:r w:rsidR="00FB5832" w:rsidRPr="005D2D60">
        <w:rPr>
          <w:noProof/>
          <w:spacing w:val="-8"/>
        </w:rPr>
        <w:t>8</w:t>
      </w:r>
      <w:r w:rsidR="009F3681" w:rsidRPr="005D2D60">
        <w:rPr>
          <w:noProof/>
          <w:spacing w:val="-8"/>
        </w:rPr>
        <w:t>% increase by 2050 relative to the baseline.</w:t>
      </w:r>
    </w:p>
    <w:p w14:paraId="0191AB70" w14:textId="3209D9A8" w:rsidR="00E802A4" w:rsidRPr="005D2D60" w:rsidRDefault="003D5D50" w:rsidP="00F97B79">
      <w:pPr>
        <w:pStyle w:val="BodyText"/>
        <w:spacing w:after="240"/>
        <w:ind w:left="0"/>
        <w:rPr>
          <w:noProof/>
          <w:spacing w:val="-8"/>
        </w:rPr>
      </w:pPr>
      <w:r w:rsidRPr="005D2D60">
        <w:rPr>
          <w:noProof/>
          <w:spacing w:val="-8"/>
        </w:rPr>
        <w:t xml:space="preserve">Building on PO1, PO2 introduces a ‘sharing obligation’, requiring indispensable RUs to share their tickets </w:t>
      </w:r>
      <w:r w:rsidR="00F74091" w:rsidRPr="005D2D60">
        <w:rPr>
          <w:noProof/>
          <w:spacing w:val="-8"/>
        </w:rPr>
        <w:t xml:space="preserve">for distribution on </w:t>
      </w:r>
      <w:r w:rsidR="00025737" w:rsidRPr="005D2D60">
        <w:rPr>
          <w:noProof/>
          <w:spacing w:val="-8"/>
        </w:rPr>
        <w:t xml:space="preserve">willing </w:t>
      </w:r>
      <w:r w:rsidRPr="005D2D60">
        <w:rPr>
          <w:noProof/>
          <w:spacing w:val="-8"/>
        </w:rPr>
        <w:t xml:space="preserve">platforms. </w:t>
      </w:r>
      <w:r w:rsidR="004C3899">
        <w:rPr>
          <w:noProof/>
          <w:spacing w:val="-8"/>
        </w:rPr>
        <w:t xml:space="preserve">Most </w:t>
      </w:r>
      <w:r w:rsidR="006413A7">
        <w:rPr>
          <w:noProof/>
          <w:spacing w:val="-8"/>
        </w:rPr>
        <w:t>R</w:t>
      </w:r>
      <w:r w:rsidR="007468FF">
        <w:rPr>
          <w:noProof/>
          <w:spacing w:val="-8"/>
        </w:rPr>
        <w:t>U</w:t>
      </w:r>
      <w:r w:rsidR="006413A7">
        <w:rPr>
          <w:noProof/>
          <w:spacing w:val="-8"/>
        </w:rPr>
        <w:t xml:space="preserve">s </w:t>
      </w:r>
      <w:r w:rsidR="004D0D23">
        <w:rPr>
          <w:noProof/>
          <w:spacing w:val="-8"/>
        </w:rPr>
        <w:t>already sell their tickets through third party platform</w:t>
      </w:r>
      <w:r w:rsidR="0084058F">
        <w:rPr>
          <w:noProof/>
          <w:spacing w:val="-8"/>
        </w:rPr>
        <w:t>s</w:t>
      </w:r>
      <w:r w:rsidR="001B133C">
        <w:rPr>
          <w:noProof/>
          <w:spacing w:val="-8"/>
        </w:rPr>
        <w:t>, although</w:t>
      </w:r>
      <w:r w:rsidR="00715591">
        <w:rPr>
          <w:noProof/>
          <w:spacing w:val="-8"/>
        </w:rPr>
        <w:t xml:space="preserve"> they </w:t>
      </w:r>
      <w:r w:rsidR="0084058F">
        <w:rPr>
          <w:noProof/>
          <w:spacing w:val="-8"/>
        </w:rPr>
        <w:t xml:space="preserve">do not always </w:t>
      </w:r>
      <w:r w:rsidR="00AD58F0">
        <w:rPr>
          <w:noProof/>
          <w:spacing w:val="-8"/>
        </w:rPr>
        <w:t xml:space="preserve">provide a </w:t>
      </w:r>
      <w:r w:rsidR="00715591">
        <w:rPr>
          <w:noProof/>
          <w:spacing w:val="-8"/>
        </w:rPr>
        <w:t xml:space="preserve">complete </w:t>
      </w:r>
      <w:r w:rsidR="0084058F">
        <w:rPr>
          <w:noProof/>
          <w:spacing w:val="-8"/>
        </w:rPr>
        <w:t>offer</w:t>
      </w:r>
      <w:r w:rsidR="00AD58F0">
        <w:rPr>
          <w:noProof/>
          <w:spacing w:val="-8"/>
        </w:rPr>
        <w:t xml:space="preserve"> in terms of connections and fares</w:t>
      </w:r>
      <w:r w:rsidR="00FE743F">
        <w:rPr>
          <w:noProof/>
          <w:spacing w:val="-8"/>
        </w:rPr>
        <w:t>, especially whe</w:t>
      </w:r>
      <w:r w:rsidR="00275C8A">
        <w:rPr>
          <w:noProof/>
          <w:spacing w:val="-8"/>
        </w:rPr>
        <w:t>n</w:t>
      </w:r>
      <w:r w:rsidR="00FE743F">
        <w:rPr>
          <w:noProof/>
          <w:spacing w:val="-8"/>
        </w:rPr>
        <w:t xml:space="preserve"> </w:t>
      </w:r>
      <w:r w:rsidR="008C605E">
        <w:rPr>
          <w:noProof/>
          <w:spacing w:val="-8"/>
        </w:rPr>
        <w:t xml:space="preserve">they </w:t>
      </w:r>
      <w:r w:rsidR="0069146B">
        <w:rPr>
          <w:noProof/>
          <w:spacing w:val="-8"/>
        </w:rPr>
        <w:t>reserve some offers for the clients of</w:t>
      </w:r>
      <w:r w:rsidR="00564E5C">
        <w:rPr>
          <w:noProof/>
          <w:spacing w:val="-8"/>
        </w:rPr>
        <w:t xml:space="preserve"> their </w:t>
      </w:r>
      <w:r w:rsidR="0069146B">
        <w:rPr>
          <w:noProof/>
          <w:spacing w:val="-8"/>
        </w:rPr>
        <w:t xml:space="preserve">vertically integrated platform. </w:t>
      </w:r>
      <w:r w:rsidR="00DB3204">
        <w:rPr>
          <w:noProof/>
          <w:spacing w:val="-8"/>
        </w:rPr>
        <w:t xml:space="preserve">The ‘sharing obligation’ would </w:t>
      </w:r>
      <w:r w:rsidR="00392F0D">
        <w:rPr>
          <w:noProof/>
          <w:spacing w:val="-8"/>
        </w:rPr>
        <w:t>fill this gap by requiring th</w:t>
      </w:r>
      <w:r w:rsidR="006323F3">
        <w:rPr>
          <w:noProof/>
          <w:spacing w:val="-8"/>
        </w:rPr>
        <w:t>a</w:t>
      </w:r>
      <w:r w:rsidR="00392F0D">
        <w:rPr>
          <w:noProof/>
          <w:spacing w:val="-8"/>
        </w:rPr>
        <w:t>t R</w:t>
      </w:r>
      <w:r w:rsidR="006323F3">
        <w:rPr>
          <w:noProof/>
          <w:spacing w:val="-8"/>
        </w:rPr>
        <w:t xml:space="preserve">Us share their complete offer. </w:t>
      </w:r>
      <w:r w:rsidR="005035B8">
        <w:rPr>
          <w:noProof/>
          <w:spacing w:val="-8"/>
        </w:rPr>
        <w:t>This would not alter the business model, where</w:t>
      </w:r>
      <w:r w:rsidR="00BD6279">
        <w:rPr>
          <w:noProof/>
          <w:spacing w:val="-8"/>
        </w:rPr>
        <w:t>by</w:t>
      </w:r>
      <w:r w:rsidR="0011481C">
        <w:rPr>
          <w:noProof/>
          <w:spacing w:val="-8"/>
        </w:rPr>
        <w:t xml:space="preserve"> RUs normally </w:t>
      </w:r>
      <w:r w:rsidR="007A5BD0">
        <w:rPr>
          <w:noProof/>
          <w:spacing w:val="-8"/>
        </w:rPr>
        <w:t>pay a distribution fee to platforms that sell their tickets</w:t>
      </w:r>
      <w:r w:rsidR="00885B4C">
        <w:rPr>
          <w:noProof/>
          <w:spacing w:val="-8"/>
        </w:rPr>
        <w:t xml:space="preserve">, but </w:t>
      </w:r>
      <w:r w:rsidR="009A7513">
        <w:rPr>
          <w:noProof/>
          <w:spacing w:val="-8"/>
        </w:rPr>
        <w:t xml:space="preserve">PO2 would </w:t>
      </w:r>
      <w:r w:rsidR="00927E6B">
        <w:rPr>
          <w:noProof/>
          <w:spacing w:val="-8"/>
        </w:rPr>
        <w:t xml:space="preserve">ensure that </w:t>
      </w:r>
      <w:r w:rsidR="007120B9">
        <w:rPr>
          <w:noProof/>
          <w:spacing w:val="-8"/>
        </w:rPr>
        <w:t xml:space="preserve">distribution </w:t>
      </w:r>
      <w:r w:rsidR="00C259DD">
        <w:rPr>
          <w:noProof/>
          <w:spacing w:val="-8"/>
        </w:rPr>
        <w:t>agreements are conclude</w:t>
      </w:r>
      <w:r w:rsidR="007120B9">
        <w:rPr>
          <w:noProof/>
          <w:spacing w:val="-8"/>
        </w:rPr>
        <w:t>d</w:t>
      </w:r>
      <w:r w:rsidR="00C259DD">
        <w:rPr>
          <w:noProof/>
          <w:spacing w:val="-8"/>
        </w:rPr>
        <w:t xml:space="preserve"> on the basis of </w:t>
      </w:r>
      <w:r w:rsidR="007A7748">
        <w:rPr>
          <w:noProof/>
          <w:spacing w:val="-8"/>
        </w:rPr>
        <w:t>fair</w:t>
      </w:r>
      <w:r w:rsidR="00B052E4">
        <w:rPr>
          <w:noProof/>
          <w:spacing w:val="-8"/>
        </w:rPr>
        <w:t xml:space="preserve">, reasonable </w:t>
      </w:r>
      <w:r w:rsidR="007A7748">
        <w:rPr>
          <w:noProof/>
          <w:spacing w:val="-8"/>
        </w:rPr>
        <w:t xml:space="preserve">and non-discriminatory (FRAND) </w:t>
      </w:r>
      <w:r w:rsidR="009A7513">
        <w:rPr>
          <w:noProof/>
          <w:spacing w:val="-8"/>
        </w:rPr>
        <w:t>conditions</w:t>
      </w:r>
      <w:r w:rsidR="001449A0">
        <w:rPr>
          <w:noProof/>
          <w:spacing w:val="-8"/>
        </w:rPr>
        <w:t xml:space="preserve">. It should be noted that </w:t>
      </w:r>
      <w:r w:rsidR="00CA67E9">
        <w:rPr>
          <w:noProof/>
          <w:spacing w:val="-8"/>
        </w:rPr>
        <w:t xml:space="preserve">RUs would inevitably incur distribution costs whether </w:t>
      </w:r>
      <w:r w:rsidR="00CD3D15">
        <w:rPr>
          <w:noProof/>
          <w:spacing w:val="-8"/>
        </w:rPr>
        <w:t>the service is provided in-house or by a third party</w:t>
      </w:r>
      <w:r w:rsidR="00301C9D">
        <w:rPr>
          <w:noProof/>
          <w:spacing w:val="-8"/>
        </w:rPr>
        <w:t>. T</w:t>
      </w:r>
      <w:r w:rsidR="00B0060E">
        <w:rPr>
          <w:noProof/>
          <w:spacing w:val="-8"/>
        </w:rPr>
        <w:t>hanks to greater com</w:t>
      </w:r>
      <w:r w:rsidR="004F06F9">
        <w:rPr>
          <w:noProof/>
          <w:spacing w:val="-8"/>
        </w:rPr>
        <w:t>petition in the platform market</w:t>
      </w:r>
      <w:r w:rsidR="007C2CAF">
        <w:rPr>
          <w:noProof/>
          <w:spacing w:val="-8"/>
        </w:rPr>
        <w:t xml:space="preserve">, </w:t>
      </w:r>
      <w:r w:rsidR="007C2CAF" w:rsidRPr="00444B9A">
        <w:rPr>
          <w:rFonts w:eastAsia="Calibri"/>
          <w:bCs/>
          <w:noProof/>
          <w:spacing w:val="-8"/>
        </w:rPr>
        <w:t>streamlined negotiation processes</w:t>
      </w:r>
      <w:r w:rsidR="007C2CAF">
        <w:rPr>
          <w:rFonts w:eastAsia="Calibri"/>
          <w:bCs/>
          <w:noProof/>
          <w:spacing w:val="-8"/>
        </w:rPr>
        <w:t>,</w:t>
      </w:r>
      <w:r w:rsidR="004F06F9">
        <w:rPr>
          <w:noProof/>
          <w:spacing w:val="-8"/>
        </w:rPr>
        <w:t xml:space="preserve"> and </w:t>
      </w:r>
      <w:r w:rsidR="001E15BB">
        <w:rPr>
          <w:noProof/>
          <w:spacing w:val="-8"/>
        </w:rPr>
        <w:t xml:space="preserve">application of </w:t>
      </w:r>
      <w:r w:rsidR="007C2CAF">
        <w:rPr>
          <w:noProof/>
          <w:spacing w:val="-8"/>
        </w:rPr>
        <w:t>FRAND condition</w:t>
      </w:r>
      <w:r w:rsidR="002444E4">
        <w:rPr>
          <w:noProof/>
          <w:spacing w:val="-8"/>
        </w:rPr>
        <w:t>s</w:t>
      </w:r>
      <w:r w:rsidR="007C2CAF">
        <w:rPr>
          <w:noProof/>
          <w:spacing w:val="-8"/>
        </w:rPr>
        <w:t xml:space="preserve">, </w:t>
      </w:r>
      <w:r w:rsidR="000819E0">
        <w:rPr>
          <w:noProof/>
          <w:spacing w:val="-8"/>
        </w:rPr>
        <w:t xml:space="preserve">distribution costs may even decrease </w:t>
      </w:r>
      <w:r w:rsidR="009F3A2D">
        <w:rPr>
          <w:noProof/>
          <w:spacing w:val="-8"/>
        </w:rPr>
        <w:t>for R</w:t>
      </w:r>
      <w:r w:rsidR="00FC1B09">
        <w:rPr>
          <w:noProof/>
          <w:spacing w:val="-8"/>
        </w:rPr>
        <w:t>U</w:t>
      </w:r>
      <w:r w:rsidR="009F3A2D">
        <w:rPr>
          <w:noProof/>
          <w:spacing w:val="-8"/>
        </w:rPr>
        <w:t>s</w:t>
      </w:r>
      <w:r w:rsidR="008D5332">
        <w:rPr>
          <w:noProof/>
          <w:spacing w:val="-8"/>
        </w:rPr>
        <w:t xml:space="preserve"> in PO2 </w:t>
      </w:r>
      <w:r w:rsidR="003C7FAD">
        <w:rPr>
          <w:noProof/>
          <w:spacing w:val="-8"/>
        </w:rPr>
        <w:t>relative to the baseline</w:t>
      </w:r>
      <w:r w:rsidR="00AD58F0">
        <w:rPr>
          <w:noProof/>
          <w:spacing w:val="-8"/>
        </w:rPr>
        <w:t>.</w:t>
      </w:r>
      <w:r w:rsidR="004D0D23">
        <w:rPr>
          <w:noProof/>
          <w:spacing w:val="-8"/>
        </w:rPr>
        <w:t xml:space="preserve"> </w:t>
      </w:r>
      <w:r w:rsidR="001E0E64">
        <w:rPr>
          <w:noProof/>
          <w:spacing w:val="-8"/>
        </w:rPr>
        <w:t xml:space="preserve">Accordingly, the sharing obligation would not </w:t>
      </w:r>
      <w:r w:rsidR="00987243">
        <w:rPr>
          <w:noProof/>
          <w:spacing w:val="-8"/>
        </w:rPr>
        <w:t xml:space="preserve">imply </w:t>
      </w:r>
      <w:r w:rsidR="00CE7855">
        <w:rPr>
          <w:noProof/>
          <w:spacing w:val="-8"/>
        </w:rPr>
        <w:t>any s</w:t>
      </w:r>
      <w:r w:rsidR="002267F6">
        <w:rPr>
          <w:noProof/>
          <w:spacing w:val="-8"/>
        </w:rPr>
        <w:t xml:space="preserve">tructural </w:t>
      </w:r>
      <w:r w:rsidR="00CE7855">
        <w:rPr>
          <w:noProof/>
          <w:spacing w:val="-8"/>
        </w:rPr>
        <w:t>change in business models or market structure</w:t>
      </w:r>
      <w:r w:rsidR="002267F6">
        <w:rPr>
          <w:noProof/>
          <w:spacing w:val="-8"/>
        </w:rPr>
        <w:t>, but, b</w:t>
      </w:r>
      <w:r w:rsidRPr="005D2D60">
        <w:rPr>
          <w:noProof/>
          <w:spacing w:val="-8"/>
        </w:rPr>
        <w:t xml:space="preserve">y ensuring broader access to </w:t>
      </w:r>
      <w:r w:rsidR="002B68FB" w:rsidRPr="005D2D60">
        <w:rPr>
          <w:noProof/>
          <w:spacing w:val="-8"/>
        </w:rPr>
        <w:t xml:space="preserve">the </w:t>
      </w:r>
      <w:r w:rsidRPr="005D2D60">
        <w:rPr>
          <w:noProof/>
          <w:spacing w:val="-8"/>
        </w:rPr>
        <w:t xml:space="preserve">ticket </w:t>
      </w:r>
      <w:r w:rsidR="002B68FB" w:rsidRPr="005D2D60">
        <w:rPr>
          <w:noProof/>
          <w:spacing w:val="-8"/>
        </w:rPr>
        <w:t>offer</w:t>
      </w:r>
      <w:r w:rsidRPr="005D2D60">
        <w:rPr>
          <w:noProof/>
          <w:spacing w:val="-8"/>
        </w:rPr>
        <w:t xml:space="preserve">, it </w:t>
      </w:r>
      <w:r w:rsidR="0046297E" w:rsidRPr="005D2D60">
        <w:rPr>
          <w:noProof/>
          <w:spacing w:val="-8"/>
        </w:rPr>
        <w:t>improves the</w:t>
      </w:r>
      <w:r w:rsidRPr="005D2D60">
        <w:rPr>
          <w:noProof/>
          <w:spacing w:val="-8"/>
        </w:rPr>
        <w:t xml:space="preserve"> level playing field in the distribution market. However, a key limitation </w:t>
      </w:r>
      <w:r w:rsidR="00217A51" w:rsidRPr="005D2D60">
        <w:rPr>
          <w:noProof/>
          <w:spacing w:val="-8"/>
        </w:rPr>
        <w:t>in PO2 is that</w:t>
      </w:r>
      <w:r w:rsidRPr="005D2D60">
        <w:rPr>
          <w:noProof/>
          <w:spacing w:val="-8"/>
        </w:rPr>
        <w:t xml:space="preserve"> indispensable RU</w:t>
      </w:r>
      <w:r w:rsidR="6FC3C020" w:rsidRPr="005D2D60">
        <w:rPr>
          <w:noProof/>
          <w:spacing w:val="-8"/>
        </w:rPr>
        <w:t>s</w:t>
      </w:r>
      <w:r w:rsidRPr="005D2D60">
        <w:rPr>
          <w:noProof/>
          <w:spacing w:val="-8"/>
        </w:rPr>
        <w:t xml:space="preserve"> </w:t>
      </w:r>
      <w:r w:rsidR="00217A51" w:rsidRPr="005D2D60">
        <w:rPr>
          <w:noProof/>
          <w:spacing w:val="-8"/>
        </w:rPr>
        <w:t>(</w:t>
      </w:r>
      <w:r w:rsidRPr="005D2D60">
        <w:rPr>
          <w:noProof/>
          <w:spacing w:val="-8"/>
        </w:rPr>
        <w:t xml:space="preserve">those </w:t>
      </w:r>
      <w:r w:rsidR="000950AD" w:rsidRPr="005D2D60">
        <w:rPr>
          <w:noProof/>
          <w:spacing w:val="-8"/>
        </w:rPr>
        <w:t>covering</w:t>
      </w:r>
      <w:r w:rsidR="00E141AC" w:rsidRPr="005D2D60">
        <w:rPr>
          <w:noProof/>
          <w:spacing w:val="-8"/>
        </w:rPr>
        <w:t xml:space="preserve"> most rail operations in a Member State</w:t>
      </w:r>
      <w:r w:rsidR="00217A51" w:rsidRPr="005D2D60">
        <w:rPr>
          <w:noProof/>
          <w:spacing w:val="-8"/>
        </w:rPr>
        <w:t xml:space="preserve">) </w:t>
      </w:r>
      <w:r w:rsidRPr="005D2D60">
        <w:rPr>
          <w:noProof/>
          <w:spacing w:val="-8"/>
        </w:rPr>
        <w:t xml:space="preserve">retain significant influence </w:t>
      </w:r>
      <w:r w:rsidR="00E141AC" w:rsidRPr="005D2D60">
        <w:rPr>
          <w:noProof/>
          <w:spacing w:val="-8"/>
        </w:rPr>
        <w:t>on rail ticket distribution</w:t>
      </w:r>
      <w:r w:rsidRPr="005D2D60">
        <w:rPr>
          <w:noProof/>
          <w:spacing w:val="-8"/>
        </w:rPr>
        <w:t xml:space="preserve"> in the short to medium term. They could still restrict</w:t>
      </w:r>
      <w:r w:rsidR="00E141AC" w:rsidRPr="005D2D60">
        <w:rPr>
          <w:noProof/>
          <w:spacing w:val="-8"/>
        </w:rPr>
        <w:t xml:space="preserve"> other</w:t>
      </w:r>
      <w:r w:rsidRPr="005D2D60">
        <w:rPr>
          <w:noProof/>
          <w:spacing w:val="-8"/>
        </w:rPr>
        <w:t xml:space="preserve"> RUs’ access to </w:t>
      </w:r>
      <w:r w:rsidR="00C66F12">
        <w:rPr>
          <w:noProof/>
          <w:spacing w:val="-8"/>
        </w:rPr>
        <w:t xml:space="preserve">their own </w:t>
      </w:r>
      <w:r w:rsidRPr="005D2D60">
        <w:rPr>
          <w:noProof/>
          <w:spacing w:val="-8"/>
        </w:rPr>
        <w:t xml:space="preserve">popular distribution channels, undermining competition. The </w:t>
      </w:r>
      <w:r w:rsidR="00C66F5A" w:rsidRPr="005D2D60">
        <w:rPr>
          <w:noProof/>
          <w:spacing w:val="-8"/>
        </w:rPr>
        <w:t>e</w:t>
      </w:r>
      <w:r w:rsidRPr="005D2D60">
        <w:rPr>
          <w:noProof/>
          <w:spacing w:val="-8"/>
        </w:rPr>
        <w:t xml:space="preserve">xpected impact is stronger than </w:t>
      </w:r>
      <w:r w:rsidR="00EE187B" w:rsidRPr="005D2D60">
        <w:rPr>
          <w:noProof/>
          <w:spacing w:val="-8"/>
        </w:rPr>
        <w:t xml:space="preserve">in </w:t>
      </w:r>
      <w:r w:rsidRPr="005D2D60">
        <w:rPr>
          <w:noProof/>
          <w:spacing w:val="-8"/>
        </w:rPr>
        <w:t>PO1 as this option directly influences supply, demand, pricing, and competitive dynamics.</w:t>
      </w:r>
      <w:r w:rsidR="004B5C50" w:rsidRPr="005D2D60">
        <w:rPr>
          <w:noProof/>
          <w:spacing w:val="-8"/>
        </w:rPr>
        <w:t xml:space="preserve"> Overall, the measures included in PO2 are projected to lead to </w:t>
      </w:r>
      <w:r w:rsidR="004D730D" w:rsidRPr="005D2D60">
        <w:rPr>
          <w:noProof/>
          <w:spacing w:val="-8"/>
        </w:rPr>
        <w:t>1.7</w:t>
      </w:r>
      <w:r w:rsidR="004B5C50" w:rsidRPr="005D2D60">
        <w:rPr>
          <w:noProof/>
          <w:spacing w:val="-8"/>
        </w:rPr>
        <w:t xml:space="preserve">% increase in rail activity in 2030 and </w:t>
      </w:r>
      <w:r w:rsidR="004D730D" w:rsidRPr="005D2D60">
        <w:rPr>
          <w:noProof/>
          <w:spacing w:val="-8"/>
        </w:rPr>
        <w:t>3.7</w:t>
      </w:r>
      <w:r w:rsidR="004B5C50" w:rsidRPr="005D2D60">
        <w:rPr>
          <w:noProof/>
          <w:spacing w:val="-8"/>
        </w:rPr>
        <w:t>% increase by 2050 relative to the baseline</w:t>
      </w:r>
      <w:r w:rsidR="001E49D4" w:rsidRPr="005D2D60">
        <w:rPr>
          <w:noProof/>
          <w:spacing w:val="-8"/>
        </w:rPr>
        <w:t xml:space="preserve">. </w:t>
      </w:r>
    </w:p>
    <w:p w14:paraId="765C4C04" w14:textId="331EE273" w:rsidR="005C2D63" w:rsidRDefault="00C61ABA" w:rsidP="00526949">
      <w:pPr>
        <w:pStyle w:val="BodyText"/>
        <w:spacing w:after="240"/>
        <w:ind w:left="0"/>
        <w:rPr>
          <w:noProof/>
          <w:spacing w:val="-8"/>
        </w:rPr>
      </w:pPr>
      <w:r w:rsidRPr="005D2D60">
        <w:rPr>
          <w:noProof/>
          <w:spacing w:val="-8"/>
        </w:rPr>
        <w:t>PO3</w:t>
      </w:r>
      <w:r w:rsidR="001E49D4" w:rsidRPr="005D2D60">
        <w:rPr>
          <w:noProof/>
          <w:spacing w:val="-8"/>
        </w:rPr>
        <w:t xml:space="preserve"> takes a bolder step by adding a ‘hosting obligation’, compelling indispensable RU platforms to sell </w:t>
      </w:r>
      <w:r w:rsidR="00B22CEF" w:rsidRPr="005D2D60">
        <w:rPr>
          <w:noProof/>
          <w:spacing w:val="-8"/>
        </w:rPr>
        <w:t xml:space="preserve">tickets of requesting </w:t>
      </w:r>
      <w:r w:rsidR="001E49D4" w:rsidRPr="005D2D60">
        <w:rPr>
          <w:noProof/>
          <w:spacing w:val="-8"/>
        </w:rPr>
        <w:t>RUs. The result is a guaranteed pathway for new RUs to reach customers through established, high</w:t>
      </w:r>
      <w:r w:rsidR="00C2389C" w:rsidRPr="005D2D60">
        <w:rPr>
          <w:noProof/>
          <w:spacing w:val="-8"/>
        </w:rPr>
        <w:t xml:space="preserve"> </w:t>
      </w:r>
      <w:r w:rsidR="001E49D4" w:rsidRPr="005D2D60">
        <w:rPr>
          <w:noProof/>
          <w:spacing w:val="-8"/>
        </w:rPr>
        <w:t xml:space="preserve">traffic </w:t>
      </w:r>
      <w:r w:rsidR="00765040" w:rsidRPr="005D2D60">
        <w:rPr>
          <w:noProof/>
          <w:spacing w:val="-8"/>
        </w:rPr>
        <w:t>platforms</w:t>
      </w:r>
      <w:r w:rsidR="00C2389C" w:rsidRPr="005D2D60">
        <w:rPr>
          <w:noProof/>
          <w:spacing w:val="-8"/>
        </w:rPr>
        <w:t>,</w:t>
      </w:r>
      <w:r w:rsidR="00FF25D5" w:rsidRPr="005D2D60">
        <w:rPr>
          <w:noProof/>
          <w:spacing w:val="-8"/>
        </w:rPr>
        <w:t xml:space="preserve"> </w:t>
      </w:r>
      <w:r w:rsidR="001E49D4" w:rsidRPr="005D2D60">
        <w:rPr>
          <w:noProof/>
          <w:spacing w:val="-8"/>
        </w:rPr>
        <w:t xml:space="preserve">removing a major barrier to entry. Increased competition, in turn, drives innovation and better pricing. </w:t>
      </w:r>
      <w:r w:rsidR="007F65AB">
        <w:rPr>
          <w:noProof/>
          <w:spacing w:val="-8"/>
        </w:rPr>
        <w:t>Also in this case, there would not be a change in business models of operators. Indispensable RUs platforms would only be caught by the ‘hosting obligation’ when they have already hosted third party offers, which shows that they have the means, technical expertise and contractual experience to provide such service: the hosting obligation would just ensure that this service is provided on non-discriminatory basis to all requesting R</w:t>
      </w:r>
      <w:r w:rsidR="00B74301">
        <w:rPr>
          <w:noProof/>
          <w:spacing w:val="-8"/>
        </w:rPr>
        <w:t>U</w:t>
      </w:r>
      <w:r w:rsidR="007F65AB">
        <w:rPr>
          <w:noProof/>
          <w:spacing w:val="-8"/>
        </w:rPr>
        <w:t>s</w:t>
      </w:r>
      <w:r w:rsidR="004354F5">
        <w:rPr>
          <w:noProof/>
          <w:spacing w:val="-8"/>
        </w:rPr>
        <w:t xml:space="preserve">, but would not </w:t>
      </w:r>
      <w:r w:rsidR="006F3299">
        <w:rPr>
          <w:noProof/>
          <w:spacing w:val="-8"/>
        </w:rPr>
        <w:t xml:space="preserve">require engaging </w:t>
      </w:r>
      <w:r w:rsidR="004354F5" w:rsidRPr="00164111">
        <w:rPr>
          <w:noProof/>
          <w:spacing w:val="-8"/>
        </w:rPr>
        <w:t>in a new activity</w:t>
      </w:r>
      <w:r w:rsidR="006F3299">
        <w:rPr>
          <w:noProof/>
          <w:spacing w:val="-8"/>
        </w:rPr>
        <w:t>.</w:t>
      </w:r>
      <w:r w:rsidR="007F65AB">
        <w:rPr>
          <w:noProof/>
          <w:spacing w:val="-8"/>
        </w:rPr>
        <w:t xml:space="preserve"> </w:t>
      </w:r>
    </w:p>
    <w:p w14:paraId="0C8B7BB3" w14:textId="286521AA" w:rsidR="00526949" w:rsidRDefault="00526949" w:rsidP="00526949">
      <w:pPr>
        <w:pStyle w:val="BodyText"/>
        <w:spacing w:after="240"/>
        <w:ind w:left="0"/>
        <w:rPr>
          <w:rFonts w:eastAsia="Calibri"/>
          <w:noProof/>
          <w:spacing w:val="-8"/>
        </w:rPr>
      </w:pPr>
      <w:r w:rsidRPr="004F1529">
        <w:rPr>
          <w:noProof/>
          <w:spacing w:val="-8"/>
        </w:rPr>
        <w:t>There is a hypothetical risk that vertically integrated platforms would seek to avoid regulation by withdrawing from the ‘platform’ market and halting the sale of any other companies’ tickets. This would present the wide customer base of that platform with an even reduced offer. To avoid this, the criterion that will be used to establish whether the platform of a railway undertaking with significant market presence falls under the hosting obligation in PO3 is whether it has sold tickets of other companies in the past five years. There is also a risk that railway undertakings would use cooperation agreements between RUs to evade regulation, claiming that selling these tickets constitutes sale of only their own tickets. To avoid this risk, the sale of tickets for services that are offered in cooperation between two or more RUs (e.g. cross-border services, which are often operated under different RU licenses in different Member States) is considered as sale of tickets of another operator</w:t>
      </w:r>
      <w:r w:rsidR="000A2685">
        <w:rPr>
          <w:noProof/>
          <w:spacing w:val="-8"/>
        </w:rPr>
        <w:t>.</w:t>
      </w:r>
    </w:p>
    <w:p w14:paraId="516FA273" w14:textId="6293E45B" w:rsidR="00405095" w:rsidRDefault="00FB7D64" w:rsidP="007F65AB">
      <w:pPr>
        <w:pStyle w:val="BodyText"/>
        <w:spacing w:after="240"/>
        <w:ind w:left="0"/>
        <w:rPr>
          <w:rFonts w:eastAsia="Calibri"/>
          <w:noProof/>
          <w:spacing w:val="-8"/>
        </w:rPr>
      </w:pPr>
      <w:r>
        <w:rPr>
          <w:noProof/>
          <w:spacing w:val="-8"/>
        </w:rPr>
        <w:t xml:space="preserve">While </w:t>
      </w:r>
      <w:r w:rsidR="00A56010">
        <w:rPr>
          <w:noProof/>
          <w:spacing w:val="-8"/>
        </w:rPr>
        <w:t xml:space="preserve">PO3 would not </w:t>
      </w:r>
      <w:r w:rsidRPr="00164111">
        <w:rPr>
          <w:noProof/>
          <w:spacing w:val="-8"/>
        </w:rPr>
        <w:t xml:space="preserve">require </w:t>
      </w:r>
      <w:r w:rsidR="000C5703" w:rsidRPr="00164111">
        <w:rPr>
          <w:noProof/>
          <w:spacing w:val="-8"/>
        </w:rPr>
        <w:t xml:space="preserve">vertically integrated platforms to provide </w:t>
      </w:r>
      <w:r w:rsidR="00164111" w:rsidRPr="00164111">
        <w:rPr>
          <w:noProof/>
          <w:spacing w:val="-8"/>
        </w:rPr>
        <w:t>service</w:t>
      </w:r>
      <w:r w:rsidR="00164111">
        <w:rPr>
          <w:noProof/>
          <w:spacing w:val="-8"/>
        </w:rPr>
        <w:t>s</w:t>
      </w:r>
      <w:r w:rsidR="00164111" w:rsidRPr="00164111">
        <w:rPr>
          <w:noProof/>
          <w:spacing w:val="-8"/>
        </w:rPr>
        <w:t xml:space="preserve"> to third parties that </w:t>
      </w:r>
      <w:r w:rsidR="00F11D7D">
        <w:rPr>
          <w:noProof/>
          <w:spacing w:val="-8"/>
        </w:rPr>
        <w:t xml:space="preserve">they had </w:t>
      </w:r>
      <w:r w:rsidR="00164111" w:rsidRPr="00164111">
        <w:rPr>
          <w:noProof/>
          <w:spacing w:val="-8"/>
        </w:rPr>
        <w:t xml:space="preserve">not </w:t>
      </w:r>
      <w:r w:rsidR="00F11D7D">
        <w:rPr>
          <w:noProof/>
          <w:spacing w:val="-8"/>
        </w:rPr>
        <w:t xml:space="preserve">already </w:t>
      </w:r>
      <w:r w:rsidR="00164111" w:rsidRPr="00164111">
        <w:rPr>
          <w:noProof/>
          <w:spacing w:val="-8"/>
        </w:rPr>
        <w:t xml:space="preserve">offered </w:t>
      </w:r>
      <w:r w:rsidR="00164111">
        <w:rPr>
          <w:noProof/>
          <w:spacing w:val="-8"/>
        </w:rPr>
        <w:t>in the past</w:t>
      </w:r>
      <w:r w:rsidR="007F65AB" w:rsidRPr="00164111">
        <w:rPr>
          <w:noProof/>
          <w:spacing w:val="-8"/>
        </w:rPr>
        <w:t xml:space="preserve">, the changes in market dynamics would </w:t>
      </w:r>
      <w:r w:rsidR="006B796F">
        <w:rPr>
          <w:noProof/>
          <w:spacing w:val="-8"/>
        </w:rPr>
        <w:t xml:space="preserve">nevertheless </w:t>
      </w:r>
      <w:r w:rsidR="007F65AB" w:rsidRPr="00164111">
        <w:rPr>
          <w:noProof/>
          <w:spacing w:val="-8"/>
        </w:rPr>
        <w:t>be more substantial in PO3 than in PO2. The joint application of the sharing and hosting obligation will potentially provide all platforms with a complete ticketing offer, and a</w:t>
      </w:r>
      <w:r w:rsidR="007F65AB" w:rsidRPr="00164111">
        <w:rPr>
          <w:rFonts w:eastAsia="Calibri"/>
          <w:noProof/>
          <w:spacing w:val="-8"/>
        </w:rPr>
        <w:t>s platforms can no longer rely on preferential access to ticket offers, they are expected to compete more vigorously on aspects like journey planning, ease of search and user experience</w:t>
      </w:r>
      <w:r w:rsidR="007F65AB">
        <w:rPr>
          <w:rFonts w:eastAsia="Calibri"/>
          <w:noProof/>
          <w:spacing w:val="-8"/>
        </w:rPr>
        <w:t>, customer care, and additional services. The railway service market will be impacted to a much greater extent in PO3 than in PO2, since new railway entrants will have access to a much broader set of potential customers</w:t>
      </w:r>
      <w:r w:rsidR="0076747B">
        <w:rPr>
          <w:rFonts w:eastAsia="Calibri"/>
          <w:noProof/>
          <w:spacing w:val="-8"/>
        </w:rPr>
        <w:t xml:space="preserve">. Indeed, the initial impact </w:t>
      </w:r>
      <w:r w:rsidR="00334A5B">
        <w:rPr>
          <w:rFonts w:eastAsia="Calibri"/>
          <w:noProof/>
          <w:spacing w:val="-8"/>
        </w:rPr>
        <w:t xml:space="preserve">of the </w:t>
      </w:r>
      <w:r w:rsidR="00400819">
        <w:rPr>
          <w:rFonts w:eastAsia="Calibri"/>
          <w:noProof/>
          <w:spacing w:val="-8"/>
        </w:rPr>
        <w:t xml:space="preserve">hosting </w:t>
      </w:r>
      <w:r w:rsidR="00056111">
        <w:rPr>
          <w:rFonts w:eastAsia="Calibri"/>
          <w:noProof/>
          <w:spacing w:val="-8"/>
        </w:rPr>
        <w:t xml:space="preserve">and </w:t>
      </w:r>
      <w:r w:rsidR="00400819">
        <w:rPr>
          <w:rFonts w:eastAsia="Calibri"/>
          <w:noProof/>
          <w:spacing w:val="-8"/>
        </w:rPr>
        <w:t xml:space="preserve">sharing obligation </w:t>
      </w:r>
      <w:r w:rsidR="00CF3986">
        <w:rPr>
          <w:rFonts w:eastAsia="Calibri"/>
          <w:noProof/>
          <w:spacing w:val="-8"/>
        </w:rPr>
        <w:t xml:space="preserve">would </w:t>
      </w:r>
      <w:r w:rsidR="00182B60">
        <w:rPr>
          <w:rFonts w:eastAsia="Calibri"/>
          <w:noProof/>
          <w:spacing w:val="-8"/>
        </w:rPr>
        <w:t xml:space="preserve">be broadly proportional to </w:t>
      </w:r>
      <w:r w:rsidR="00C72D79">
        <w:rPr>
          <w:rFonts w:eastAsia="Calibri"/>
          <w:noProof/>
          <w:spacing w:val="-8"/>
        </w:rPr>
        <w:t xml:space="preserve">the respective </w:t>
      </w:r>
      <w:r w:rsidR="00E41D6A">
        <w:rPr>
          <w:rFonts w:eastAsia="Calibri"/>
          <w:noProof/>
          <w:spacing w:val="-8"/>
        </w:rPr>
        <w:t xml:space="preserve">size </w:t>
      </w:r>
      <w:r w:rsidR="00056111">
        <w:rPr>
          <w:rFonts w:eastAsia="Calibri"/>
          <w:noProof/>
          <w:spacing w:val="-8"/>
        </w:rPr>
        <w:t xml:space="preserve">of the </w:t>
      </w:r>
      <w:r w:rsidR="00486021">
        <w:rPr>
          <w:rFonts w:eastAsia="Calibri"/>
          <w:noProof/>
          <w:spacing w:val="-8"/>
        </w:rPr>
        <w:t xml:space="preserve">customer </w:t>
      </w:r>
      <w:r w:rsidR="005E382E">
        <w:rPr>
          <w:rFonts w:eastAsia="Calibri"/>
          <w:noProof/>
          <w:spacing w:val="-8"/>
        </w:rPr>
        <w:t xml:space="preserve">base </w:t>
      </w:r>
      <w:r w:rsidR="00C72D79">
        <w:rPr>
          <w:rFonts w:eastAsia="Calibri"/>
          <w:noProof/>
          <w:spacing w:val="-8"/>
        </w:rPr>
        <w:t xml:space="preserve">of the incumbent </w:t>
      </w:r>
      <w:r w:rsidR="005E382E">
        <w:rPr>
          <w:rFonts w:eastAsia="Calibri"/>
          <w:noProof/>
          <w:spacing w:val="-8"/>
        </w:rPr>
        <w:t xml:space="preserve">and independent </w:t>
      </w:r>
      <w:r w:rsidR="00C72D79">
        <w:rPr>
          <w:rFonts w:eastAsia="Calibri"/>
          <w:noProof/>
          <w:spacing w:val="-8"/>
        </w:rPr>
        <w:t>platforms</w:t>
      </w:r>
      <w:r w:rsidR="007F65AB">
        <w:rPr>
          <w:rFonts w:eastAsia="Calibri"/>
          <w:noProof/>
          <w:spacing w:val="-8"/>
        </w:rPr>
        <w:t xml:space="preserve">. </w:t>
      </w:r>
      <w:r w:rsidR="00E2531F">
        <w:rPr>
          <w:rFonts w:eastAsia="Calibri"/>
          <w:noProof/>
          <w:spacing w:val="-8"/>
        </w:rPr>
        <w:t>PO3</w:t>
      </w:r>
      <w:r w:rsidR="007F65AB">
        <w:rPr>
          <w:rFonts w:eastAsia="Calibri"/>
          <w:noProof/>
          <w:spacing w:val="-8"/>
        </w:rPr>
        <w:t xml:space="preserve"> will </w:t>
      </w:r>
      <w:r w:rsidR="000362A9">
        <w:rPr>
          <w:rFonts w:eastAsia="Calibri"/>
          <w:noProof/>
          <w:spacing w:val="-8"/>
        </w:rPr>
        <w:t xml:space="preserve">thus me more effective in </w:t>
      </w:r>
      <w:r w:rsidR="007F65AB">
        <w:rPr>
          <w:rFonts w:eastAsia="Calibri"/>
          <w:noProof/>
          <w:spacing w:val="-8"/>
        </w:rPr>
        <w:t>strengthen</w:t>
      </w:r>
      <w:r w:rsidR="00EC3E16">
        <w:rPr>
          <w:rFonts w:eastAsia="Calibri"/>
          <w:noProof/>
          <w:spacing w:val="-8"/>
        </w:rPr>
        <w:t>ing</w:t>
      </w:r>
      <w:r w:rsidR="007F65AB">
        <w:rPr>
          <w:rFonts w:eastAsia="Calibri"/>
          <w:noProof/>
          <w:spacing w:val="-8"/>
        </w:rPr>
        <w:t xml:space="preserve"> competition in the railway services market and attract more passenger to this mode of transport</w:t>
      </w:r>
      <w:r w:rsidR="00EF0A64">
        <w:rPr>
          <w:rFonts w:eastAsia="Calibri"/>
          <w:noProof/>
          <w:spacing w:val="-8"/>
        </w:rPr>
        <w:t>, providing a net benefit to the whole sector</w:t>
      </w:r>
      <w:r w:rsidR="00BB6CE3">
        <w:rPr>
          <w:rFonts w:eastAsia="Calibri"/>
          <w:noProof/>
          <w:spacing w:val="-8"/>
        </w:rPr>
        <w:t xml:space="preserve">, although some operators may lose </w:t>
      </w:r>
      <w:r w:rsidR="00D71D49">
        <w:rPr>
          <w:rFonts w:eastAsia="Calibri"/>
          <w:noProof/>
          <w:spacing w:val="-8"/>
        </w:rPr>
        <w:t>the</w:t>
      </w:r>
      <w:r w:rsidR="007A3A7C">
        <w:rPr>
          <w:rFonts w:eastAsia="Calibri"/>
          <w:noProof/>
          <w:spacing w:val="-8"/>
        </w:rPr>
        <w:t xml:space="preserve"> </w:t>
      </w:r>
      <w:r w:rsidR="00D71D49">
        <w:rPr>
          <w:rFonts w:eastAsia="Calibri"/>
          <w:noProof/>
          <w:spacing w:val="-8"/>
        </w:rPr>
        <w:t>rents</w:t>
      </w:r>
      <w:r w:rsidR="007A3A7C">
        <w:rPr>
          <w:rFonts w:eastAsia="Calibri"/>
          <w:noProof/>
          <w:spacing w:val="-8"/>
        </w:rPr>
        <w:t xml:space="preserve"> that </w:t>
      </w:r>
      <w:r w:rsidR="00AC3F9A">
        <w:rPr>
          <w:rFonts w:eastAsia="Calibri"/>
          <w:noProof/>
          <w:spacing w:val="-8"/>
        </w:rPr>
        <w:t xml:space="preserve">they still </w:t>
      </w:r>
      <w:r w:rsidR="00B755A2">
        <w:rPr>
          <w:rFonts w:eastAsia="Calibri"/>
          <w:noProof/>
          <w:spacing w:val="-8"/>
        </w:rPr>
        <w:t xml:space="preserve">profit from </w:t>
      </w:r>
      <w:r w:rsidR="00763449">
        <w:rPr>
          <w:rFonts w:eastAsia="Calibri"/>
          <w:noProof/>
          <w:spacing w:val="-8"/>
        </w:rPr>
        <w:t>in non-competitive markets</w:t>
      </w:r>
      <w:r w:rsidR="007F65AB">
        <w:rPr>
          <w:rFonts w:eastAsia="Calibri"/>
          <w:noProof/>
          <w:spacing w:val="-8"/>
        </w:rPr>
        <w:t xml:space="preserve">. </w:t>
      </w:r>
    </w:p>
    <w:p w14:paraId="52257B38" w14:textId="41A43F0D" w:rsidR="00C61ABA" w:rsidRDefault="001E49D4" w:rsidP="007F65AB">
      <w:pPr>
        <w:pStyle w:val="BodyText"/>
        <w:spacing w:after="240"/>
        <w:ind w:left="0"/>
        <w:rPr>
          <w:noProof/>
          <w:spacing w:val="-8"/>
        </w:rPr>
      </w:pPr>
      <w:r w:rsidRPr="005D2D60">
        <w:rPr>
          <w:noProof/>
          <w:spacing w:val="-8"/>
        </w:rPr>
        <w:t xml:space="preserve">By fundamentally reshaping market dynamics, this approach ensures fair access to </w:t>
      </w:r>
      <w:r w:rsidR="00FF25D5" w:rsidRPr="005D2D60">
        <w:rPr>
          <w:noProof/>
          <w:spacing w:val="-8"/>
        </w:rPr>
        <w:t>indispensable RU</w:t>
      </w:r>
      <w:r w:rsidRPr="005D2D60">
        <w:rPr>
          <w:noProof/>
          <w:spacing w:val="-8"/>
        </w:rPr>
        <w:t xml:space="preserve"> platforms, fostering a more open and competitive </w:t>
      </w:r>
      <w:r w:rsidR="00B06A18" w:rsidRPr="005D2D60">
        <w:rPr>
          <w:noProof/>
          <w:spacing w:val="-8"/>
        </w:rPr>
        <w:t>railway</w:t>
      </w:r>
      <w:r w:rsidRPr="005D2D60">
        <w:rPr>
          <w:noProof/>
          <w:spacing w:val="-8"/>
        </w:rPr>
        <w:t xml:space="preserve"> ecosystem</w:t>
      </w:r>
      <w:r w:rsidR="00FF25D5" w:rsidRPr="005D2D60">
        <w:rPr>
          <w:noProof/>
          <w:spacing w:val="-8"/>
        </w:rPr>
        <w:t xml:space="preserve"> and leading</w:t>
      </w:r>
      <w:r w:rsidRPr="005D2D60">
        <w:rPr>
          <w:noProof/>
          <w:spacing w:val="-8"/>
        </w:rPr>
        <w:t xml:space="preserve"> to </w:t>
      </w:r>
      <w:r w:rsidR="0024362F" w:rsidRPr="0024362F">
        <w:rPr>
          <w:noProof/>
          <w:spacing w:val="-8"/>
        </w:rPr>
        <w:t>2.5</w:t>
      </w:r>
      <w:r w:rsidR="00FF25D5" w:rsidRPr="0024362F">
        <w:rPr>
          <w:noProof/>
          <w:spacing w:val="-8"/>
        </w:rPr>
        <w:t xml:space="preserve">% increase in rail activity in 2030 and </w:t>
      </w:r>
      <w:r w:rsidR="0024362F" w:rsidRPr="0024362F">
        <w:rPr>
          <w:noProof/>
          <w:spacing w:val="-8"/>
        </w:rPr>
        <w:t>4.8</w:t>
      </w:r>
      <w:r w:rsidR="00FF25D5" w:rsidRPr="0024362F">
        <w:rPr>
          <w:noProof/>
          <w:spacing w:val="-8"/>
        </w:rPr>
        <w:t xml:space="preserve">% increase </w:t>
      </w:r>
      <w:r w:rsidR="00195B41">
        <w:rPr>
          <w:noProof/>
          <w:spacing w:val="-8"/>
        </w:rPr>
        <w:t>by</w:t>
      </w:r>
      <w:r w:rsidR="00FF25D5" w:rsidRPr="0024362F">
        <w:rPr>
          <w:noProof/>
          <w:spacing w:val="-8"/>
        </w:rPr>
        <w:t xml:space="preserve"> 2050</w:t>
      </w:r>
      <w:r w:rsidR="00C05BE0">
        <w:rPr>
          <w:noProof/>
          <w:spacing w:val="-8"/>
        </w:rPr>
        <w:t xml:space="preserve"> </w:t>
      </w:r>
      <w:r w:rsidR="00324D53">
        <w:rPr>
          <w:noProof/>
          <w:spacing w:val="-8"/>
        </w:rPr>
        <w:t>in PO3</w:t>
      </w:r>
      <w:r w:rsidR="00C05BE0" w:rsidRPr="00C05BE0">
        <w:rPr>
          <w:noProof/>
        </w:rPr>
        <w:t xml:space="preserve"> </w:t>
      </w:r>
      <w:r w:rsidR="00C05BE0" w:rsidRPr="00C05BE0">
        <w:rPr>
          <w:noProof/>
          <w:spacing w:val="-8"/>
        </w:rPr>
        <w:t>relative to the baseline</w:t>
      </w:r>
      <w:r w:rsidR="00FF25D5" w:rsidRPr="0024362F">
        <w:rPr>
          <w:noProof/>
          <w:spacing w:val="-8"/>
        </w:rPr>
        <w:t>.</w:t>
      </w:r>
      <w:r w:rsidR="00C87470">
        <w:rPr>
          <w:noProof/>
          <w:spacing w:val="-8"/>
        </w:rPr>
        <w:t xml:space="preserve"> </w:t>
      </w:r>
    </w:p>
    <w:p w14:paraId="327AEA81" w14:textId="77777777" w:rsidR="00F832E5" w:rsidRDefault="00C87470" w:rsidP="00F97B79">
      <w:pPr>
        <w:pStyle w:val="BodyText"/>
        <w:spacing w:after="240"/>
        <w:ind w:left="0"/>
        <w:rPr>
          <w:noProof/>
          <w:spacing w:val="-8"/>
        </w:rPr>
      </w:pPr>
      <w:r w:rsidRPr="00C87470">
        <w:rPr>
          <w:noProof/>
          <w:spacing w:val="-8"/>
        </w:rPr>
        <w:t xml:space="preserve">PO4 </w:t>
      </w:r>
      <w:r>
        <w:rPr>
          <w:noProof/>
          <w:spacing w:val="-8"/>
        </w:rPr>
        <w:t>obligates</w:t>
      </w:r>
      <w:r w:rsidRPr="00C87470">
        <w:rPr>
          <w:noProof/>
          <w:spacing w:val="-8"/>
        </w:rPr>
        <w:t xml:space="preserve"> vertically integrated distribution RU platforms</w:t>
      </w:r>
      <w:r>
        <w:rPr>
          <w:noProof/>
          <w:spacing w:val="-8"/>
        </w:rPr>
        <w:t xml:space="preserve"> to</w:t>
      </w:r>
      <w:r w:rsidRPr="00C87470">
        <w:rPr>
          <w:noProof/>
          <w:spacing w:val="-8"/>
        </w:rPr>
        <w:t xml:space="preserve"> unbundle from their operators, eliminating inherent conflicts of interest. While it does not impose a hosting obligation, breaking these ties aligns incentives with independent platforms, reducing market distortions caused by dominant players favouring their own services. However, the complexity of implementation</w:t>
      </w:r>
      <w:r w:rsidR="00FF4AD5">
        <w:rPr>
          <w:noProof/>
          <w:spacing w:val="-8"/>
        </w:rPr>
        <w:t xml:space="preserve"> (</w:t>
      </w:r>
      <w:r w:rsidRPr="00C87470">
        <w:rPr>
          <w:noProof/>
          <w:spacing w:val="-8"/>
        </w:rPr>
        <w:t>including legal, operational, and transitional challenges</w:t>
      </w:r>
      <w:r w:rsidR="00FF4AD5">
        <w:rPr>
          <w:noProof/>
          <w:spacing w:val="-8"/>
        </w:rPr>
        <w:t>)</w:t>
      </w:r>
      <w:r w:rsidRPr="00C87470">
        <w:rPr>
          <w:noProof/>
          <w:spacing w:val="-8"/>
        </w:rPr>
        <w:t xml:space="preserve"> could undermine its efficiency. The expected impact is comparable to </w:t>
      </w:r>
      <w:r w:rsidR="00DD220A">
        <w:rPr>
          <w:noProof/>
          <w:spacing w:val="-8"/>
        </w:rPr>
        <w:t xml:space="preserve">that of </w:t>
      </w:r>
      <w:r w:rsidRPr="00C87470">
        <w:rPr>
          <w:noProof/>
          <w:spacing w:val="-8"/>
        </w:rPr>
        <w:t xml:space="preserve">PO3 </w:t>
      </w:r>
      <w:r w:rsidR="00DD220A">
        <w:rPr>
          <w:noProof/>
          <w:spacing w:val="-8"/>
        </w:rPr>
        <w:t>(</w:t>
      </w:r>
      <w:r w:rsidRPr="00C87470">
        <w:rPr>
          <w:noProof/>
          <w:spacing w:val="-8"/>
        </w:rPr>
        <w:t>it achieves a fairer, more neutral market</w:t>
      </w:r>
      <w:r w:rsidR="00DD220A">
        <w:rPr>
          <w:noProof/>
          <w:spacing w:val="-8"/>
        </w:rPr>
        <w:t>)</w:t>
      </w:r>
      <w:r w:rsidRPr="00C87470">
        <w:rPr>
          <w:noProof/>
          <w:spacing w:val="-8"/>
        </w:rPr>
        <w:t xml:space="preserve"> but may do so less efficiently due to the practical difficulties of restructuring established systems.</w:t>
      </w:r>
      <w:r w:rsidR="00C05BE0">
        <w:rPr>
          <w:noProof/>
          <w:spacing w:val="-8"/>
        </w:rPr>
        <w:t xml:space="preserve"> </w:t>
      </w:r>
      <w:r w:rsidR="004B5C50" w:rsidRPr="00E10C40">
        <w:rPr>
          <w:noProof/>
          <w:spacing w:val="-8"/>
        </w:rPr>
        <w:t xml:space="preserve">Overall, the measures included in PO4 are projected to lead to </w:t>
      </w:r>
      <w:r w:rsidR="00C05BE0" w:rsidRPr="00E10C40">
        <w:rPr>
          <w:noProof/>
          <w:spacing w:val="-8"/>
        </w:rPr>
        <w:t>1.9</w:t>
      </w:r>
      <w:r w:rsidR="004B5C50" w:rsidRPr="00E10C40">
        <w:rPr>
          <w:noProof/>
          <w:spacing w:val="-8"/>
        </w:rPr>
        <w:t xml:space="preserve">% increase in rail activity in 2030 and </w:t>
      </w:r>
      <w:r w:rsidR="00C05BE0" w:rsidRPr="00E10C40">
        <w:rPr>
          <w:noProof/>
          <w:spacing w:val="-8"/>
        </w:rPr>
        <w:t>4</w:t>
      </w:r>
      <w:r w:rsidR="004B5C50" w:rsidRPr="00E10C40">
        <w:rPr>
          <w:noProof/>
          <w:spacing w:val="-8"/>
        </w:rPr>
        <w:t xml:space="preserve">% increase </w:t>
      </w:r>
      <w:r w:rsidR="00195B41" w:rsidRPr="00E10C40">
        <w:rPr>
          <w:noProof/>
          <w:spacing w:val="-8"/>
        </w:rPr>
        <w:t>by</w:t>
      </w:r>
      <w:r w:rsidR="004B5C50" w:rsidRPr="00E10C40">
        <w:rPr>
          <w:noProof/>
          <w:spacing w:val="-8"/>
        </w:rPr>
        <w:t xml:space="preserve"> 2050</w:t>
      </w:r>
      <w:r w:rsidR="00C05BE0" w:rsidRPr="00C05BE0">
        <w:rPr>
          <w:noProof/>
        </w:rPr>
        <w:t xml:space="preserve"> </w:t>
      </w:r>
      <w:r w:rsidR="00C05BE0" w:rsidRPr="00C05BE0">
        <w:rPr>
          <w:noProof/>
          <w:spacing w:val="-8"/>
        </w:rPr>
        <w:t>relative to the baseline</w:t>
      </w:r>
      <w:r w:rsidR="004B5C50" w:rsidRPr="00E10C40">
        <w:rPr>
          <w:noProof/>
          <w:spacing w:val="-8"/>
        </w:rPr>
        <w:t>.</w:t>
      </w:r>
      <w:r w:rsidR="00F832E5">
        <w:rPr>
          <w:noProof/>
          <w:spacing w:val="-8"/>
        </w:rPr>
        <w:t xml:space="preserve"> </w:t>
      </w:r>
    </w:p>
    <w:p w14:paraId="6DD444EE" w14:textId="5B545EA3" w:rsidR="00EB3E16" w:rsidRDefault="00F832E5" w:rsidP="00F97B79">
      <w:pPr>
        <w:pStyle w:val="BodyText"/>
        <w:spacing w:after="240"/>
        <w:ind w:left="0"/>
        <w:rPr>
          <w:noProof/>
          <w:spacing w:val="-8"/>
        </w:rPr>
      </w:pPr>
      <w:r>
        <w:rPr>
          <w:noProof/>
          <w:spacing w:val="-8"/>
        </w:rPr>
        <w:t>A more detailed assessment of the impacts of the policy options on competition is included in Annex 13.</w:t>
      </w:r>
    </w:p>
    <w:p w14:paraId="6A259E9B" w14:textId="12E7BEA1" w:rsidR="006132A7" w:rsidRPr="006333F0" w:rsidRDefault="006132A7" w:rsidP="006132A7">
      <w:pPr>
        <w:pStyle w:val="Text2"/>
        <w:spacing w:after="0"/>
        <w:ind w:left="0"/>
        <w:rPr>
          <w:rFonts w:cs="Times New Roman"/>
          <w:i/>
          <w:noProof/>
          <w:sz w:val="22"/>
          <w:szCs w:val="22"/>
        </w:rPr>
      </w:pPr>
      <w:bookmarkStart w:id="164" w:name="_Ref223123434"/>
      <w:r w:rsidRPr="006333F0">
        <w:rPr>
          <w:rFonts w:cs="Times New Roman"/>
          <w:i/>
          <w:noProof/>
          <w:sz w:val="22"/>
          <w:szCs w:val="22"/>
        </w:rPr>
        <w:t>Table</w:t>
      </w:r>
      <w:bookmarkEnd w:id="164"/>
      <w:r w:rsidRPr="006333F0">
        <w:rPr>
          <w:rFonts w:cs="Times New Roman"/>
          <w:i/>
          <w:noProof/>
          <w:sz w:val="22"/>
          <w:szCs w:val="22"/>
        </w:rPr>
        <w:t xml:space="preserve"> </w:t>
      </w:r>
      <w:r w:rsidRPr="006333F0">
        <w:rPr>
          <w:rFonts w:cs="Times New Roman"/>
          <w:i/>
          <w:iCs/>
          <w:noProof/>
          <w:sz w:val="22"/>
          <w:szCs w:val="22"/>
        </w:rPr>
        <w:fldChar w:fldCharType="begin"/>
      </w:r>
      <w:r w:rsidRPr="006333F0">
        <w:rPr>
          <w:rFonts w:cs="Times New Roman"/>
          <w:i/>
          <w:iCs/>
          <w:noProof/>
          <w:sz w:val="22"/>
          <w:szCs w:val="22"/>
        </w:rPr>
        <w:instrText xml:space="preserve"> SEQ Table \* ARABIC </w:instrText>
      </w:r>
      <w:r w:rsidRPr="006333F0">
        <w:rPr>
          <w:rFonts w:cs="Times New Roman"/>
          <w:i/>
          <w:iCs/>
          <w:noProof/>
          <w:sz w:val="22"/>
          <w:szCs w:val="22"/>
        </w:rPr>
        <w:fldChar w:fldCharType="separate"/>
      </w:r>
      <w:r w:rsidR="0055391F">
        <w:rPr>
          <w:rFonts w:cs="Times New Roman"/>
          <w:i/>
          <w:iCs/>
          <w:noProof/>
          <w:sz w:val="22"/>
          <w:szCs w:val="22"/>
        </w:rPr>
        <w:t>16</w:t>
      </w:r>
      <w:r w:rsidRPr="006333F0">
        <w:rPr>
          <w:rFonts w:cs="Times New Roman"/>
          <w:i/>
          <w:iCs/>
          <w:noProof/>
          <w:sz w:val="22"/>
          <w:szCs w:val="22"/>
        </w:rPr>
        <w:fldChar w:fldCharType="end"/>
      </w:r>
      <w:r w:rsidRPr="006333F0">
        <w:rPr>
          <w:rFonts w:cs="Times New Roman"/>
          <w:i/>
          <w:noProof/>
          <w:sz w:val="22"/>
          <w:szCs w:val="22"/>
        </w:rPr>
        <w:t xml:space="preserve">: </w:t>
      </w:r>
      <w:r>
        <w:rPr>
          <w:rFonts w:cs="Times New Roman"/>
          <w:i/>
          <w:noProof/>
          <w:sz w:val="22"/>
          <w:szCs w:val="22"/>
        </w:rPr>
        <w:t xml:space="preserve">Impact on </w:t>
      </w:r>
      <w:r w:rsidR="00D351B7">
        <w:rPr>
          <w:rFonts w:cs="Times New Roman"/>
          <w:i/>
          <w:noProof/>
          <w:sz w:val="22"/>
          <w:szCs w:val="22"/>
        </w:rPr>
        <w:t xml:space="preserve">transport activity in passenger-kilometres at EU level </w:t>
      </w:r>
      <w:r w:rsidR="001C2690">
        <w:rPr>
          <w:rFonts w:cs="Times New Roman"/>
          <w:i/>
          <w:noProof/>
          <w:sz w:val="22"/>
          <w:szCs w:val="22"/>
        </w:rPr>
        <w:t xml:space="preserve">(percentage </w:t>
      </w:r>
      <w:r>
        <w:rPr>
          <w:rFonts w:cs="Times New Roman"/>
          <w:i/>
          <w:noProof/>
          <w:sz w:val="22"/>
          <w:szCs w:val="22"/>
        </w:rPr>
        <w:t>change relative to the baseline)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1160"/>
        <w:gridCol w:w="1715"/>
        <w:gridCol w:w="1715"/>
        <w:gridCol w:w="1715"/>
        <w:gridCol w:w="1709"/>
      </w:tblGrid>
      <w:tr w:rsidR="006132A7" w:rsidRPr="00BF3061" w14:paraId="76A4D995" w14:textId="77777777" w:rsidTr="00E10C40">
        <w:trPr>
          <w:trHeight w:val="290"/>
          <w:tblHeader/>
        </w:trPr>
        <w:tc>
          <w:tcPr>
            <w:tcW w:w="827" w:type="pct"/>
            <w:tcBorders>
              <w:bottom w:val="nil"/>
              <w:right w:val="nil"/>
            </w:tcBorders>
            <w:shd w:val="clear" w:color="000000" w:fill="0070C0"/>
            <w:noWrap/>
            <w:vAlign w:val="bottom"/>
            <w:hideMark/>
          </w:tcPr>
          <w:p w14:paraId="1E87B7C5" w14:textId="77777777" w:rsidR="006132A7" w:rsidRPr="001E35C4" w:rsidRDefault="006132A7" w:rsidP="007F6F82">
            <w:pPr>
              <w:rPr>
                <w:b/>
                <w:noProof/>
                <w:color w:val="FFFFFF"/>
                <w:sz w:val="20"/>
                <w:szCs w:val="20"/>
              </w:rPr>
            </w:pPr>
            <w:r w:rsidRPr="001E35C4">
              <w:rPr>
                <w:b/>
                <w:noProof/>
                <w:color w:val="FFFFFF"/>
                <w:sz w:val="20"/>
                <w:szCs w:val="20"/>
              </w:rPr>
              <w:t> </w:t>
            </w:r>
          </w:p>
        </w:tc>
        <w:tc>
          <w:tcPr>
            <w:tcW w:w="604" w:type="pct"/>
            <w:tcBorders>
              <w:left w:val="nil"/>
              <w:bottom w:val="nil"/>
              <w:right w:val="nil"/>
            </w:tcBorders>
            <w:shd w:val="clear" w:color="000000" w:fill="0070C0"/>
            <w:noWrap/>
            <w:vAlign w:val="bottom"/>
            <w:hideMark/>
          </w:tcPr>
          <w:p w14:paraId="57A1CC51" w14:textId="77777777" w:rsidR="006132A7" w:rsidRPr="001E35C4" w:rsidRDefault="006132A7" w:rsidP="007F6F82">
            <w:pPr>
              <w:rPr>
                <w:b/>
                <w:noProof/>
                <w:color w:val="FFFFFF"/>
                <w:sz w:val="20"/>
                <w:szCs w:val="20"/>
              </w:rPr>
            </w:pPr>
            <w:r w:rsidRPr="001E35C4">
              <w:rPr>
                <w:b/>
                <w:noProof/>
                <w:color w:val="FFFFFF"/>
                <w:sz w:val="20"/>
                <w:szCs w:val="20"/>
              </w:rPr>
              <w:t> </w:t>
            </w:r>
          </w:p>
        </w:tc>
        <w:tc>
          <w:tcPr>
            <w:tcW w:w="3569" w:type="pct"/>
            <w:gridSpan w:val="4"/>
            <w:tcBorders>
              <w:left w:val="nil"/>
              <w:bottom w:val="nil"/>
            </w:tcBorders>
            <w:shd w:val="clear" w:color="000000" w:fill="0070C0"/>
            <w:noWrap/>
            <w:vAlign w:val="bottom"/>
            <w:hideMark/>
          </w:tcPr>
          <w:p w14:paraId="220A0D16" w14:textId="45770909" w:rsidR="006132A7" w:rsidRPr="001E35C4" w:rsidRDefault="00510F48" w:rsidP="007F6F82">
            <w:pPr>
              <w:jc w:val="center"/>
              <w:rPr>
                <w:b/>
                <w:noProof/>
                <w:color w:val="FFFFFF"/>
                <w:sz w:val="20"/>
                <w:szCs w:val="20"/>
              </w:rPr>
            </w:pPr>
            <w:r>
              <w:rPr>
                <w:b/>
                <w:noProof/>
                <w:color w:val="FFFFFF"/>
                <w:sz w:val="20"/>
                <w:szCs w:val="20"/>
              </w:rPr>
              <w:t>Percentage</w:t>
            </w:r>
            <w:r w:rsidR="00BF3061" w:rsidRPr="001E35C4">
              <w:rPr>
                <w:b/>
                <w:noProof/>
                <w:color w:val="FFFFFF"/>
                <w:sz w:val="20"/>
                <w:szCs w:val="20"/>
              </w:rPr>
              <w:t xml:space="preserve"> change </w:t>
            </w:r>
            <w:r w:rsidR="006132A7" w:rsidRPr="001E35C4">
              <w:rPr>
                <w:b/>
                <w:noProof/>
                <w:color w:val="FFFFFF"/>
                <w:sz w:val="20"/>
                <w:szCs w:val="20"/>
              </w:rPr>
              <w:t>to baseline</w:t>
            </w:r>
          </w:p>
        </w:tc>
      </w:tr>
      <w:tr w:rsidR="006132A7" w:rsidRPr="00BF3061" w14:paraId="4EA67945" w14:textId="77777777" w:rsidTr="00E10C40">
        <w:trPr>
          <w:trHeight w:val="290"/>
          <w:tblHeader/>
        </w:trPr>
        <w:tc>
          <w:tcPr>
            <w:tcW w:w="827" w:type="pct"/>
            <w:tcBorders>
              <w:top w:val="nil"/>
              <w:right w:val="nil"/>
            </w:tcBorders>
            <w:shd w:val="clear" w:color="000000" w:fill="0070C0"/>
            <w:noWrap/>
            <w:vAlign w:val="bottom"/>
            <w:hideMark/>
          </w:tcPr>
          <w:p w14:paraId="2D3C2C1B" w14:textId="77777777" w:rsidR="006132A7" w:rsidRPr="001E35C4" w:rsidRDefault="006132A7" w:rsidP="007F6F82">
            <w:pPr>
              <w:rPr>
                <w:b/>
                <w:noProof/>
                <w:color w:val="FFFFFF"/>
                <w:sz w:val="20"/>
                <w:szCs w:val="20"/>
              </w:rPr>
            </w:pPr>
            <w:r w:rsidRPr="001E35C4">
              <w:rPr>
                <w:b/>
                <w:noProof/>
                <w:color w:val="FFFFFF"/>
                <w:sz w:val="20"/>
                <w:szCs w:val="20"/>
              </w:rPr>
              <w:t> </w:t>
            </w:r>
          </w:p>
        </w:tc>
        <w:tc>
          <w:tcPr>
            <w:tcW w:w="604" w:type="pct"/>
            <w:tcBorders>
              <w:top w:val="nil"/>
              <w:left w:val="nil"/>
              <w:right w:val="nil"/>
            </w:tcBorders>
            <w:shd w:val="clear" w:color="000000" w:fill="0070C0"/>
            <w:noWrap/>
            <w:vAlign w:val="bottom"/>
            <w:hideMark/>
          </w:tcPr>
          <w:p w14:paraId="7874CEC3" w14:textId="77777777" w:rsidR="006132A7" w:rsidRPr="001E35C4" w:rsidRDefault="006132A7" w:rsidP="007F6F82">
            <w:pPr>
              <w:rPr>
                <w:b/>
                <w:noProof/>
                <w:color w:val="FFFFFF"/>
                <w:sz w:val="20"/>
                <w:szCs w:val="20"/>
              </w:rPr>
            </w:pPr>
            <w:r w:rsidRPr="001E35C4">
              <w:rPr>
                <w:b/>
                <w:noProof/>
                <w:color w:val="FFFFFF"/>
                <w:sz w:val="20"/>
                <w:szCs w:val="20"/>
              </w:rPr>
              <w:t> </w:t>
            </w:r>
          </w:p>
        </w:tc>
        <w:tc>
          <w:tcPr>
            <w:tcW w:w="893" w:type="pct"/>
            <w:tcBorders>
              <w:top w:val="nil"/>
              <w:left w:val="nil"/>
              <w:right w:val="nil"/>
            </w:tcBorders>
            <w:shd w:val="clear" w:color="000000" w:fill="0070C0"/>
            <w:noWrap/>
            <w:vAlign w:val="bottom"/>
            <w:hideMark/>
          </w:tcPr>
          <w:p w14:paraId="3FBB09EA" w14:textId="77777777" w:rsidR="006132A7" w:rsidRPr="001E35C4" w:rsidRDefault="006132A7" w:rsidP="007F6F82">
            <w:pPr>
              <w:jc w:val="center"/>
              <w:rPr>
                <w:b/>
                <w:noProof/>
                <w:color w:val="FFFFFF"/>
                <w:sz w:val="20"/>
                <w:szCs w:val="20"/>
              </w:rPr>
            </w:pPr>
            <w:r w:rsidRPr="001E35C4">
              <w:rPr>
                <w:b/>
                <w:noProof/>
                <w:color w:val="FFFFFF"/>
                <w:sz w:val="20"/>
                <w:szCs w:val="20"/>
              </w:rPr>
              <w:t>PO1</w:t>
            </w:r>
          </w:p>
        </w:tc>
        <w:tc>
          <w:tcPr>
            <w:tcW w:w="893" w:type="pct"/>
            <w:tcBorders>
              <w:top w:val="nil"/>
              <w:left w:val="nil"/>
              <w:right w:val="nil"/>
            </w:tcBorders>
            <w:shd w:val="clear" w:color="000000" w:fill="0070C0"/>
            <w:noWrap/>
            <w:vAlign w:val="bottom"/>
            <w:hideMark/>
          </w:tcPr>
          <w:p w14:paraId="0578207E" w14:textId="77777777" w:rsidR="006132A7" w:rsidRPr="001E35C4" w:rsidRDefault="006132A7" w:rsidP="007F6F82">
            <w:pPr>
              <w:jc w:val="center"/>
              <w:rPr>
                <w:b/>
                <w:noProof/>
                <w:color w:val="FFFFFF"/>
                <w:sz w:val="20"/>
                <w:szCs w:val="20"/>
              </w:rPr>
            </w:pPr>
            <w:r w:rsidRPr="001E35C4">
              <w:rPr>
                <w:b/>
                <w:noProof/>
                <w:color w:val="FFFFFF"/>
                <w:sz w:val="20"/>
                <w:szCs w:val="20"/>
              </w:rPr>
              <w:t>PO2</w:t>
            </w:r>
          </w:p>
        </w:tc>
        <w:tc>
          <w:tcPr>
            <w:tcW w:w="893" w:type="pct"/>
            <w:tcBorders>
              <w:top w:val="nil"/>
              <w:left w:val="nil"/>
              <w:right w:val="nil"/>
            </w:tcBorders>
            <w:shd w:val="clear" w:color="000000" w:fill="0070C0"/>
            <w:noWrap/>
            <w:vAlign w:val="bottom"/>
            <w:hideMark/>
          </w:tcPr>
          <w:p w14:paraId="6C832403" w14:textId="77777777" w:rsidR="006132A7" w:rsidRPr="001E35C4" w:rsidRDefault="006132A7" w:rsidP="007F6F82">
            <w:pPr>
              <w:jc w:val="center"/>
              <w:rPr>
                <w:b/>
                <w:noProof/>
                <w:color w:val="FFFFFF"/>
                <w:sz w:val="20"/>
                <w:szCs w:val="20"/>
              </w:rPr>
            </w:pPr>
            <w:r w:rsidRPr="001E35C4">
              <w:rPr>
                <w:b/>
                <w:noProof/>
                <w:color w:val="FFFFFF"/>
                <w:sz w:val="20"/>
                <w:szCs w:val="20"/>
              </w:rPr>
              <w:t>PO3</w:t>
            </w:r>
          </w:p>
        </w:tc>
        <w:tc>
          <w:tcPr>
            <w:tcW w:w="890" w:type="pct"/>
            <w:tcBorders>
              <w:top w:val="nil"/>
              <w:left w:val="nil"/>
            </w:tcBorders>
            <w:shd w:val="clear" w:color="000000" w:fill="0070C0"/>
            <w:noWrap/>
            <w:vAlign w:val="bottom"/>
            <w:hideMark/>
          </w:tcPr>
          <w:p w14:paraId="7E0987AA" w14:textId="77777777" w:rsidR="006132A7" w:rsidRPr="001E35C4" w:rsidRDefault="006132A7" w:rsidP="007F6F82">
            <w:pPr>
              <w:jc w:val="center"/>
              <w:rPr>
                <w:b/>
                <w:noProof/>
                <w:color w:val="FFFFFF"/>
                <w:sz w:val="20"/>
                <w:szCs w:val="20"/>
              </w:rPr>
            </w:pPr>
            <w:r w:rsidRPr="001E35C4">
              <w:rPr>
                <w:b/>
                <w:noProof/>
                <w:color w:val="FFFFFF"/>
                <w:sz w:val="20"/>
                <w:szCs w:val="20"/>
              </w:rPr>
              <w:t>PO4</w:t>
            </w:r>
          </w:p>
        </w:tc>
      </w:tr>
      <w:tr w:rsidR="006132A7" w:rsidRPr="006132A7" w14:paraId="195E9409" w14:textId="77777777" w:rsidTr="00D351B7">
        <w:trPr>
          <w:trHeight w:val="290"/>
        </w:trPr>
        <w:tc>
          <w:tcPr>
            <w:tcW w:w="827" w:type="pct"/>
            <w:vMerge w:val="restart"/>
            <w:noWrap/>
            <w:vAlign w:val="center"/>
            <w:hideMark/>
          </w:tcPr>
          <w:p w14:paraId="63873749" w14:textId="77777777" w:rsidR="006132A7" w:rsidRPr="001E35C4" w:rsidRDefault="006132A7" w:rsidP="007F6F82">
            <w:pPr>
              <w:jc w:val="center"/>
              <w:rPr>
                <w:noProof/>
                <w:color w:val="000000"/>
                <w:sz w:val="20"/>
                <w:szCs w:val="20"/>
              </w:rPr>
            </w:pPr>
            <w:r w:rsidRPr="001E35C4">
              <w:rPr>
                <w:noProof/>
                <w:color w:val="000000"/>
                <w:sz w:val="20"/>
                <w:szCs w:val="20"/>
              </w:rPr>
              <w:t>Car</w:t>
            </w:r>
          </w:p>
        </w:tc>
        <w:tc>
          <w:tcPr>
            <w:tcW w:w="604" w:type="pct"/>
            <w:noWrap/>
            <w:vAlign w:val="bottom"/>
            <w:hideMark/>
          </w:tcPr>
          <w:p w14:paraId="5560E8F3" w14:textId="77777777" w:rsidR="006132A7" w:rsidRPr="001E35C4" w:rsidRDefault="006132A7" w:rsidP="007F6F82">
            <w:pPr>
              <w:jc w:val="right"/>
              <w:rPr>
                <w:noProof/>
                <w:color w:val="000000"/>
                <w:sz w:val="20"/>
                <w:szCs w:val="20"/>
              </w:rPr>
            </w:pPr>
            <w:r w:rsidRPr="001E35C4">
              <w:rPr>
                <w:noProof/>
                <w:color w:val="000000"/>
                <w:sz w:val="20"/>
                <w:szCs w:val="20"/>
              </w:rPr>
              <w:t>2030</w:t>
            </w:r>
          </w:p>
        </w:tc>
        <w:tc>
          <w:tcPr>
            <w:tcW w:w="893" w:type="pct"/>
            <w:shd w:val="clear" w:color="000000" w:fill="FBE5E8"/>
            <w:noWrap/>
            <w:vAlign w:val="bottom"/>
            <w:hideMark/>
          </w:tcPr>
          <w:p w14:paraId="78CEE82C" w14:textId="77D79EA9"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2</w:t>
            </w:r>
            <w:r w:rsidRPr="001E35C4">
              <w:rPr>
                <w:noProof/>
                <w:color w:val="000000"/>
                <w:sz w:val="20"/>
                <w:szCs w:val="20"/>
              </w:rPr>
              <w:t>%</w:t>
            </w:r>
          </w:p>
        </w:tc>
        <w:tc>
          <w:tcPr>
            <w:tcW w:w="893" w:type="pct"/>
            <w:shd w:val="clear" w:color="000000" w:fill="FAD4D7"/>
            <w:noWrap/>
            <w:vAlign w:val="bottom"/>
            <w:hideMark/>
          </w:tcPr>
          <w:p w14:paraId="34ADC6B7" w14:textId="50A3C7BA"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3</w:t>
            </w:r>
            <w:r w:rsidRPr="001E35C4">
              <w:rPr>
                <w:noProof/>
                <w:color w:val="000000"/>
                <w:sz w:val="20"/>
                <w:szCs w:val="20"/>
              </w:rPr>
              <w:t>%</w:t>
            </w:r>
          </w:p>
        </w:tc>
        <w:tc>
          <w:tcPr>
            <w:tcW w:w="893" w:type="pct"/>
            <w:shd w:val="clear" w:color="000000" w:fill="FAC2C5"/>
            <w:noWrap/>
            <w:vAlign w:val="bottom"/>
            <w:hideMark/>
          </w:tcPr>
          <w:p w14:paraId="09AD2616" w14:textId="3980CF11"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4</w:t>
            </w:r>
            <w:r w:rsidRPr="001E35C4">
              <w:rPr>
                <w:noProof/>
                <w:color w:val="000000"/>
                <w:sz w:val="20"/>
                <w:szCs w:val="20"/>
              </w:rPr>
              <w:t>%</w:t>
            </w:r>
          </w:p>
        </w:tc>
        <w:tc>
          <w:tcPr>
            <w:tcW w:w="890" w:type="pct"/>
            <w:shd w:val="clear" w:color="000000" w:fill="FAD1D3"/>
            <w:noWrap/>
            <w:vAlign w:val="bottom"/>
            <w:hideMark/>
          </w:tcPr>
          <w:p w14:paraId="529AD808" w14:textId="655DC70D"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3</w:t>
            </w:r>
            <w:r w:rsidRPr="001E35C4">
              <w:rPr>
                <w:noProof/>
                <w:color w:val="000000"/>
                <w:sz w:val="20"/>
                <w:szCs w:val="20"/>
              </w:rPr>
              <w:t>%</w:t>
            </w:r>
          </w:p>
        </w:tc>
      </w:tr>
      <w:tr w:rsidR="006132A7" w:rsidRPr="006132A7" w14:paraId="53EB874D" w14:textId="77777777" w:rsidTr="00D351B7">
        <w:trPr>
          <w:trHeight w:val="290"/>
        </w:trPr>
        <w:tc>
          <w:tcPr>
            <w:tcW w:w="827" w:type="pct"/>
            <w:vMerge/>
            <w:vAlign w:val="center"/>
            <w:hideMark/>
          </w:tcPr>
          <w:p w14:paraId="5C61CAAD" w14:textId="77777777" w:rsidR="006132A7" w:rsidRPr="001E35C4" w:rsidRDefault="006132A7" w:rsidP="007F6F82">
            <w:pPr>
              <w:rPr>
                <w:noProof/>
                <w:color w:val="000000"/>
                <w:sz w:val="20"/>
                <w:szCs w:val="20"/>
              </w:rPr>
            </w:pPr>
          </w:p>
        </w:tc>
        <w:tc>
          <w:tcPr>
            <w:tcW w:w="604" w:type="pct"/>
            <w:noWrap/>
            <w:vAlign w:val="bottom"/>
            <w:hideMark/>
          </w:tcPr>
          <w:p w14:paraId="2EA92B89" w14:textId="77777777" w:rsidR="006132A7" w:rsidRPr="001E35C4" w:rsidRDefault="006132A7" w:rsidP="007F6F82">
            <w:pPr>
              <w:jc w:val="right"/>
              <w:rPr>
                <w:noProof/>
                <w:color w:val="000000"/>
                <w:sz w:val="20"/>
                <w:szCs w:val="20"/>
              </w:rPr>
            </w:pPr>
            <w:r w:rsidRPr="001E35C4">
              <w:rPr>
                <w:noProof/>
                <w:color w:val="000000"/>
                <w:sz w:val="20"/>
                <w:szCs w:val="20"/>
              </w:rPr>
              <w:t>2040</w:t>
            </w:r>
          </w:p>
        </w:tc>
        <w:tc>
          <w:tcPr>
            <w:tcW w:w="893" w:type="pct"/>
            <w:shd w:val="clear" w:color="000000" w:fill="FACED0"/>
            <w:noWrap/>
            <w:vAlign w:val="bottom"/>
            <w:hideMark/>
          </w:tcPr>
          <w:p w14:paraId="057326E9" w14:textId="6F310BA5"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3</w:t>
            </w:r>
            <w:r w:rsidRPr="001E35C4">
              <w:rPr>
                <w:noProof/>
                <w:color w:val="000000"/>
                <w:sz w:val="20"/>
                <w:szCs w:val="20"/>
              </w:rPr>
              <w:t>%</w:t>
            </w:r>
          </w:p>
        </w:tc>
        <w:tc>
          <w:tcPr>
            <w:tcW w:w="893" w:type="pct"/>
            <w:shd w:val="clear" w:color="000000" w:fill="F99EA0"/>
            <w:noWrap/>
            <w:vAlign w:val="bottom"/>
            <w:hideMark/>
          </w:tcPr>
          <w:p w14:paraId="2DA86EBF" w14:textId="44C7E305"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7</w:t>
            </w:r>
            <w:r w:rsidRPr="001E35C4">
              <w:rPr>
                <w:noProof/>
                <w:color w:val="000000"/>
                <w:sz w:val="20"/>
                <w:szCs w:val="20"/>
              </w:rPr>
              <w:t>%</w:t>
            </w:r>
          </w:p>
        </w:tc>
        <w:tc>
          <w:tcPr>
            <w:tcW w:w="893" w:type="pct"/>
            <w:shd w:val="clear" w:color="000000" w:fill="F87779"/>
            <w:noWrap/>
            <w:vAlign w:val="bottom"/>
            <w:hideMark/>
          </w:tcPr>
          <w:p w14:paraId="31AD4E69" w14:textId="637778A9" w:rsidR="006132A7" w:rsidRPr="001E35C4" w:rsidRDefault="006132A7" w:rsidP="007F6F82">
            <w:pPr>
              <w:jc w:val="right"/>
              <w:rPr>
                <w:noProof/>
                <w:color w:val="000000"/>
                <w:sz w:val="20"/>
                <w:szCs w:val="20"/>
              </w:rPr>
            </w:pPr>
            <w:r w:rsidRPr="001E35C4">
              <w:rPr>
                <w:noProof/>
                <w:color w:val="000000"/>
                <w:sz w:val="20"/>
                <w:szCs w:val="20"/>
              </w:rPr>
              <w:t>-</w:t>
            </w:r>
            <w:r w:rsidR="00AF32F9" w:rsidRPr="001E35C4">
              <w:rPr>
                <w:noProof/>
                <w:color w:val="000000"/>
                <w:sz w:val="20"/>
                <w:szCs w:val="20"/>
              </w:rPr>
              <w:t>1.</w:t>
            </w:r>
            <w:r w:rsidRPr="001E35C4">
              <w:rPr>
                <w:noProof/>
                <w:color w:val="000000"/>
                <w:sz w:val="20"/>
                <w:szCs w:val="20"/>
              </w:rPr>
              <w:t>0%</w:t>
            </w:r>
          </w:p>
        </w:tc>
        <w:tc>
          <w:tcPr>
            <w:tcW w:w="890" w:type="pct"/>
            <w:shd w:val="clear" w:color="000000" w:fill="F99597"/>
            <w:noWrap/>
            <w:vAlign w:val="bottom"/>
            <w:hideMark/>
          </w:tcPr>
          <w:p w14:paraId="60A5CE63" w14:textId="7885AF44"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7</w:t>
            </w:r>
            <w:r w:rsidRPr="001E35C4">
              <w:rPr>
                <w:noProof/>
                <w:color w:val="000000"/>
                <w:sz w:val="20"/>
                <w:szCs w:val="20"/>
              </w:rPr>
              <w:t>%</w:t>
            </w:r>
          </w:p>
        </w:tc>
      </w:tr>
      <w:tr w:rsidR="006132A7" w:rsidRPr="006132A7" w14:paraId="4BF28ECE" w14:textId="77777777" w:rsidTr="00D351B7">
        <w:trPr>
          <w:trHeight w:val="290"/>
        </w:trPr>
        <w:tc>
          <w:tcPr>
            <w:tcW w:w="827" w:type="pct"/>
            <w:vMerge/>
            <w:vAlign w:val="center"/>
            <w:hideMark/>
          </w:tcPr>
          <w:p w14:paraId="0DB27EED" w14:textId="77777777" w:rsidR="006132A7" w:rsidRPr="001E35C4" w:rsidRDefault="006132A7" w:rsidP="007F6F82">
            <w:pPr>
              <w:rPr>
                <w:noProof/>
                <w:color w:val="000000"/>
                <w:sz w:val="20"/>
                <w:szCs w:val="20"/>
              </w:rPr>
            </w:pPr>
          </w:p>
        </w:tc>
        <w:tc>
          <w:tcPr>
            <w:tcW w:w="604" w:type="pct"/>
            <w:noWrap/>
            <w:vAlign w:val="bottom"/>
            <w:hideMark/>
          </w:tcPr>
          <w:p w14:paraId="13BBF76F" w14:textId="77777777" w:rsidR="006132A7" w:rsidRPr="001E35C4" w:rsidRDefault="006132A7" w:rsidP="007F6F82">
            <w:pPr>
              <w:jc w:val="right"/>
              <w:rPr>
                <w:noProof/>
                <w:color w:val="000000"/>
                <w:sz w:val="20"/>
                <w:szCs w:val="20"/>
              </w:rPr>
            </w:pPr>
            <w:r w:rsidRPr="001E35C4">
              <w:rPr>
                <w:noProof/>
                <w:color w:val="000000"/>
                <w:sz w:val="20"/>
                <w:szCs w:val="20"/>
              </w:rPr>
              <w:t>2050</w:t>
            </w:r>
          </w:p>
        </w:tc>
        <w:tc>
          <w:tcPr>
            <w:tcW w:w="893" w:type="pct"/>
            <w:shd w:val="clear" w:color="000000" w:fill="FACCCF"/>
            <w:noWrap/>
            <w:vAlign w:val="bottom"/>
            <w:hideMark/>
          </w:tcPr>
          <w:p w14:paraId="5BC34142" w14:textId="463080AF"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3</w:t>
            </w:r>
            <w:r w:rsidRPr="001E35C4">
              <w:rPr>
                <w:noProof/>
                <w:color w:val="000000"/>
                <w:sz w:val="20"/>
                <w:szCs w:val="20"/>
              </w:rPr>
              <w:t>%</w:t>
            </w:r>
          </w:p>
        </w:tc>
        <w:tc>
          <w:tcPr>
            <w:tcW w:w="893" w:type="pct"/>
            <w:shd w:val="clear" w:color="000000" w:fill="F99193"/>
            <w:noWrap/>
            <w:vAlign w:val="bottom"/>
            <w:hideMark/>
          </w:tcPr>
          <w:p w14:paraId="6CAB56D8" w14:textId="32921A34"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8</w:t>
            </w:r>
            <w:r w:rsidRPr="001E35C4">
              <w:rPr>
                <w:noProof/>
                <w:color w:val="000000"/>
                <w:sz w:val="20"/>
                <w:szCs w:val="20"/>
              </w:rPr>
              <w:t>%</w:t>
            </w:r>
          </w:p>
        </w:tc>
        <w:tc>
          <w:tcPr>
            <w:tcW w:w="893" w:type="pct"/>
            <w:shd w:val="clear" w:color="000000" w:fill="F8696B"/>
            <w:noWrap/>
            <w:vAlign w:val="bottom"/>
            <w:hideMark/>
          </w:tcPr>
          <w:p w14:paraId="042F7C75" w14:textId="7795D05F" w:rsidR="006132A7" w:rsidRPr="001E35C4" w:rsidRDefault="006132A7" w:rsidP="007F6F82">
            <w:pPr>
              <w:jc w:val="right"/>
              <w:rPr>
                <w:noProof/>
                <w:color w:val="000000"/>
                <w:sz w:val="20"/>
                <w:szCs w:val="20"/>
              </w:rPr>
            </w:pPr>
            <w:r w:rsidRPr="001E35C4">
              <w:rPr>
                <w:noProof/>
                <w:color w:val="000000"/>
                <w:sz w:val="20"/>
                <w:szCs w:val="20"/>
              </w:rPr>
              <w:t>-1.</w:t>
            </w:r>
            <w:r w:rsidR="00AF32F9" w:rsidRPr="001E35C4">
              <w:rPr>
                <w:noProof/>
                <w:color w:val="000000"/>
                <w:sz w:val="20"/>
                <w:szCs w:val="20"/>
              </w:rPr>
              <w:t>1</w:t>
            </w:r>
            <w:r w:rsidRPr="001E35C4">
              <w:rPr>
                <w:noProof/>
                <w:color w:val="000000"/>
                <w:sz w:val="20"/>
                <w:szCs w:val="20"/>
              </w:rPr>
              <w:t>%</w:t>
            </w:r>
          </w:p>
        </w:tc>
        <w:tc>
          <w:tcPr>
            <w:tcW w:w="890" w:type="pct"/>
            <w:shd w:val="clear" w:color="000000" w:fill="F88689"/>
            <w:noWrap/>
            <w:vAlign w:val="bottom"/>
            <w:hideMark/>
          </w:tcPr>
          <w:p w14:paraId="2CC63BD8" w14:textId="2F6FEB6E"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8</w:t>
            </w:r>
            <w:r w:rsidRPr="001E35C4">
              <w:rPr>
                <w:noProof/>
                <w:color w:val="000000"/>
                <w:sz w:val="20"/>
                <w:szCs w:val="20"/>
              </w:rPr>
              <w:t>%</w:t>
            </w:r>
          </w:p>
        </w:tc>
      </w:tr>
      <w:tr w:rsidR="006132A7" w:rsidRPr="006132A7" w14:paraId="0B9E1D39" w14:textId="77777777" w:rsidTr="00D351B7">
        <w:trPr>
          <w:trHeight w:val="290"/>
        </w:trPr>
        <w:tc>
          <w:tcPr>
            <w:tcW w:w="827" w:type="pct"/>
            <w:vMerge w:val="restart"/>
            <w:noWrap/>
            <w:vAlign w:val="center"/>
            <w:hideMark/>
          </w:tcPr>
          <w:p w14:paraId="335D5DA9" w14:textId="721B37D0" w:rsidR="006132A7" w:rsidRPr="001E35C4" w:rsidRDefault="00107BA9" w:rsidP="007F6F82">
            <w:pPr>
              <w:jc w:val="center"/>
              <w:rPr>
                <w:noProof/>
                <w:color w:val="000000"/>
                <w:sz w:val="20"/>
                <w:szCs w:val="20"/>
              </w:rPr>
            </w:pPr>
            <w:r w:rsidRPr="001E35C4">
              <w:rPr>
                <w:noProof/>
                <w:color w:val="000000"/>
                <w:sz w:val="20"/>
                <w:szCs w:val="20"/>
              </w:rPr>
              <w:t>Coach</w:t>
            </w:r>
          </w:p>
        </w:tc>
        <w:tc>
          <w:tcPr>
            <w:tcW w:w="604" w:type="pct"/>
            <w:noWrap/>
            <w:vAlign w:val="bottom"/>
            <w:hideMark/>
          </w:tcPr>
          <w:p w14:paraId="1FDEFAA8" w14:textId="77777777" w:rsidR="006132A7" w:rsidRPr="001E35C4" w:rsidRDefault="006132A7" w:rsidP="007F6F82">
            <w:pPr>
              <w:jc w:val="right"/>
              <w:rPr>
                <w:noProof/>
                <w:color w:val="000000"/>
                <w:sz w:val="20"/>
                <w:szCs w:val="20"/>
              </w:rPr>
            </w:pPr>
            <w:r w:rsidRPr="001E35C4">
              <w:rPr>
                <w:noProof/>
                <w:color w:val="000000"/>
                <w:sz w:val="20"/>
                <w:szCs w:val="20"/>
              </w:rPr>
              <w:t>2030</w:t>
            </w:r>
          </w:p>
        </w:tc>
        <w:tc>
          <w:tcPr>
            <w:tcW w:w="893" w:type="pct"/>
            <w:shd w:val="clear" w:color="000000" w:fill="E9F5EF"/>
            <w:noWrap/>
            <w:vAlign w:val="bottom"/>
            <w:hideMark/>
          </w:tcPr>
          <w:p w14:paraId="44AC9588" w14:textId="03CD0E47"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6</w:t>
            </w:r>
            <w:r w:rsidRPr="001E35C4">
              <w:rPr>
                <w:noProof/>
                <w:color w:val="000000"/>
                <w:sz w:val="20"/>
                <w:szCs w:val="20"/>
              </w:rPr>
              <w:t>%</w:t>
            </w:r>
          </w:p>
        </w:tc>
        <w:tc>
          <w:tcPr>
            <w:tcW w:w="893" w:type="pct"/>
            <w:shd w:val="clear" w:color="000000" w:fill="DEF0E6"/>
            <w:noWrap/>
            <w:vAlign w:val="bottom"/>
            <w:hideMark/>
          </w:tcPr>
          <w:p w14:paraId="2BF166BD" w14:textId="3B617B46"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9</w:t>
            </w:r>
            <w:r w:rsidRPr="001E35C4">
              <w:rPr>
                <w:noProof/>
                <w:color w:val="000000"/>
                <w:sz w:val="20"/>
                <w:szCs w:val="20"/>
              </w:rPr>
              <w:t>%</w:t>
            </w:r>
          </w:p>
        </w:tc>
        <w:tc>
          <w:tcPr>
            <w:tcW w:w="893" w:type="pct"/>
            <w:shd w:val="clear" w:color="000000" w:fill="D3ECDC"/>
            <w:noWrap/>
            <w:vAlign w:val="bottom"/>
            <w:hideMark/>
          </w:tcPr>
          <w:p w14:paraId="66FF1C73" w14:textId="43A0F016" w:rsidR="006132A7" w:rsidRPr="001E35C4" w:rsidRDefault="006132A7" w:rsidP="007F6F82">
            <w:pPr>
              <w:jc w:val="right"/>
              <w:rPr>
                <w:noProof/>
                <w:color w:val="000000"/>
                <w:sz w:val="20"/>
                <w:szCs w:val="20"/>
              </w:rPr>
            </w:pPr>
            <w:r w:rsidRPr="001E35C4">
              <w:rPr>
                <w:noProof/>
                <w:color w:val="000000"/>
                <w:sz w:val="20"/>
                <w:szCs w:val="20"/>
              </w:rPr>
              <w:t>1.</w:t>
            </w:r>
            <w:r w:rsidR="00AF32F9" w:rsidRPr="001E35C4">
              <w:rPr>
                <w:noProof/>
                <w:color w:val="000000"/>
                <w:sz w:val="20"/>
                <w:szCs w:val="20"/>
              </w:rPr>
              <w:t>3</w:t>
            </w:r>
            <w:r w:rsidRPr="001E35C4">
              <w:rPr>
                <w:noProof/>
                <w:color w:val="000000"/>
                <w:sz w:val="20"/>
                <w:szCs w:val="20"/>
              </w:rPr>
              <w:t>%</w:t>
            </w:r>
          </w:p>
        </w:tc>
        <w:tc>
          <w:tcPr>
            <w:tcW w:w="890" w:type="pct"/>
            <w:shd w:val="clear" w:color="000000" w:fill="DCEFE4"/>
            <w:noWrap/>
            <w:vAlign w:val="bottom"/>
            <w:hideMark/>
          </w:tcPr>
          <w:p w14:paraId="63F36608" w14:textId="5053DB34" w:rsidR="006132A7" w:rsidRPr="001E35C4" w:rsidRDefault="006132A7" w:rsidP="007F6F82">
            <w:pPr>
              <w:jc w:val="right"/>
              <w:rPr>
                <w:noProof/>
                <w:color w:val="000000"/>
                <w:sz w:val="20"/>
                <w:szCs w:val="20"/>
              </w:rPr>
            </w:pPr>
            <w:r w:rsidRPr="001E35C4">
              <w:rPr>
                <w:noProof/>
                <w:color w:val="000000"/>
                <w:sz w:val="20"/>
                <w:szCs w:val="20"/>
              </w:rPr>
              <w:t>1.</w:t>
            </w:r>
            <w:r w:rsidR="00AF32F9" w:rsidRPr="001E35C4">
              <w:rPr>
                <w:noProof/>
                <w:color w:val="000000"/>
                <w:sz w:val="20"/>
                <w:szCs w:val="20"/>
              </w:rPr>
              <w:t>0</w:t>
            </w:r>
            <w:r w:rsidRPr="001E35C4">
              <w:rPr>
                <w:noProof/>
                <w:color w:val="000000"/>
                <w:sz w:val="20"/>
                <w:szCs w:val="20"/>
              </w:rPr>
              <w:t>%</w:t>
            </w:r>
          </w:p>
        </w:tc>
      </w:tr>
      <w:tr w:rsidR="006132A7" w:rsidRPr="006132A7" w14:paraId="53A26C28" w14:textId="77777777" w:rsidTr="00D351B7">
        <w:trPr>
          <w:trHeight w:val="290"/>
        </w:trPr>
        <w:tc>
          <w:tcPr>
            <w:tcW w:w="827" w:type="pct"/>
            <w:vMerge/>
            <w:vAlign w:val="center"/>
            <w:hideMark/>
          </w:tcPr>
          <w:p w14:paraId="4BD3BECA" w14:textId="77777777" w:rsidR="006132A7" w:rsidRPr="001E35C4" w:rsidRDefault="006132A7" w:rsidP="007F6F82">
            <w:pPr>
              <w:rPr>
                <w:noProof/>
                <w:color w:val="000000"/>
                <w:sz w:val="20"/>
                <w:szCs w:val="20"/>
              </w:rPr>
            </w:pPr>
          </w:p>
        </w:tc>
        <w:tc>
          <w:tcPr>
            <w:tcW w:w="604" w:type="pct"/>
            <w:noWrap/>
            <w:vAlign w:val="bottom"/>
            <w:hideMark/>
          </w:tcPr>
          <w:p w14:paraId="154B363C" w14:textId="77777777" w:rsidR="006132A7" w:rsidRPr="001E35C4" w:rsidRDefault="006132A7" w:rsidP="007F6F82">
            <w:pPr>
              <w:jc w:val="right"/>
              <w:rPr>
                <w:noProof/>
                <w:color w:val="000000"/>
                <w:sz w:val="20"/>
                <w:szCs w:val="20"/>
              </w:rPr>
            </w:pPr>
            <w:r w:rsidRPr="001E35C4">
              <w:rPr>
                <w:noProof/>
                <w:color w:val="000000"/>
                <w:sz w:val="20"/>
                <w:szCs w:val="20"/>
              </w:rPr>
              <w:t>2040</w:t>
            </w:r>
          </w:p>
        </w:tc>
        <w:tc>
          <w:tcPr>
            <w:tcW w:w="893" w:type="pct"/>
            <w:shd w:val="clear" w:color="000000" w:fill="D1EBDA"/>
            <w:noWrap/>
            <w:vAlign w:val="bottom"/>
            <w:hideMark/>
          </w:tcPr>
          <w:p w14:paraId="3346C0CF" w14:textId="651E3538" w:rsidR="006132A7" w:rsidRPr="001E35C4" w:rsidRDefault="006132A7" w:rsidP="007F6F82">
            <w:pPr>
              <w:jc w:val="right"/>
              <w:rPr>
                <w:noProof/>
                <w:color w:val="000000"/>
                <w:sz w:val="20"/>
                <w:szCs w:val="20"/>
              </w:rPr>
            </w:pPr>
            <w:r w:rsidRPr="001E35C4">
              <w:rPr>
                <w:noProof/>
                <w:color w:val="000000"/>
                <w:sz w:val="20"/>
                <w:szCs w:val="20"/>
              </w:rPr>
              <w:t>1.</w:t>
            </w:r>
            <w:r w:rsidR="00AF32F9" w:rsidRPr="001E35C4">
              <w:rPr>
                <w:noProof/>
                <w:color w:val="000000"/>
                <w:sz w:val="20"/>
                <w:szCs w:val="20"/>
              </w:rPr>
              <w:t>4</w:t>
            </w:r>
            <w:r w:rsidRPr="001E35C4">
              <w:rPr>
                <w:noProof/>
                <w:color w:val="000000"/>
                <w:sz w:val="20"/>
                <w:szCs w:val="20"/>
              </w:rPr>
              <w:t>%</w:t>
            </w:r>
          </w:p>
        </w:tc>
        <w:tc>
          <w:tcPr>
            <w:tcW w:w="893" w:type="pct"/>
            <w:shd w:val="clear" w:color="000000" w:fill="BAE1C6"/>
            <w:noWrap/>
            <w:vAlign w:val="bottom"/>
            <w:hideMark/>
          </w:tcPr>
          <w:p w14:paraId="3C5F9BBE" w14:textId="595E9723" w:rsidR="006132A7" w:rsidRPr="001E35C4" w:rsidRDefault="006132A7" w:rsidP="007F6F82">
            <w:pPr>
              <w:jc w:val="right"/>
              <w:rPr>
                <w:noProof/>
                <w:color w:val="000000"/>
                <w:sz w:val="20"/>
                <w:szCs w:val="20"/>
              </w:rPr>
            </w:pPr>
            <w:r w:rsidRPr="001E35C4">
              <w:rPr>
                <w:noProof/>
                <w:color w:val="000000"/>
                <w:sz w:val="20"/>
                <w:szCs w:val="20"/>
              </w:rPr>
              <w:t>2.</w:t>
            </w:r>
            <w:r w:rsidR="00AF32F9" w:rsidRPr="001E35C4">
              <w:rPr>
                <w:noProof/>
                <w:color w:val="000000"/>
                <w:sz w:val="20"/>
                <w:szCs w:val="20"/>
              </w:rPr>
              <w:t>1</w:t>
            </w:r>
            <w:r w:rsidRPr="001E35C4">
              <w:rPr>
                <w:noProof/>
                <w:color w:val="000000"/>
                <w:sz w:val="20"/>
                <w:szCs w:val="20"/>
              </w:rPr>
              <w:t>%</w:t>
            </w:r>
          </w:p>
        </w:tc>
        <w:tc>
          <w:tcPr>
            <w:tcW w:w="893" w:type="pct"/>
            <w:shd w:val="clear" w:color="000000" w:fill="A7DAB5"/>
            <w:noWrap/>
            <w:vAlign w:val="bottom"/>
            <w:hideMark/>
          </w:tcPr>
          <w:p w14:paraId="3AE6A57F" w14:textId="4B7FCF30" w:rsidR="006132A7" w:rsidRPr="001E35C4" w:rsidRDefault="006132A7" w:rsidP="007F6F82">
            <w:pPr>
              <w:jc w:val="right"/>
              <w:rPr>
                <w:noProof/>
                <w:color w:val="000000"/>
                <w:sz w:val="20"/>
                <w:szCs w:val="20"/>
              </w:rPr>
            </w:pPr>
            <w:r w:rsidRPr="001E35C4">
              <w:rPr>
                <w:noProof/>
                <w:color w:val="000000"/>
                <w:sz w:val="20"/>
                <w:szCs w:val="20"/>
              </w:rPr>
              <w:t>2.</w:t>
            </w:r>
            <w:r w:rsidR="00AF32F9" w:rsidRPr="001E35C4">
              <w:rPr>
                <w:noProof/>
                <w:color w:val="000000"/>
                <w:sz w:val="20"/>
                <w:szCs w:val="20"/>
              </w:rPr>
              <w:t>7</w:t>
            </w:r>
            <w:r w:rsidRPr="001E35C4">
              <w:rPr>
                <w:noProof/>
                <w:color w:val="000000"/>
                <w:sz w:val="20"/>
                <w:szCs w:val="20"/>
              </w:rPr>
              <w:t>%</w:t>
            </w:r>
          </w:p>
        </w:tc>
        <w:tc>
          <w:tcPr>
            <w:tcW w:w="890" w:type="pct"/>
            <w:shd w:val="clear" w:color="000000" w:fill="B5E0C2"/>
            <w:noWrap/>
            <w:vAlign w:val="bottom"/>
            <w:hideMark/>
          </w:tcPr>
          <w:p w14:paraId="3D67D6A6" w14:textId="7E144823" w:rsidR="006132A7" w:rsidRPr="001E35C4" w:rsidRDefault="006132A7" w:rsidP="007F6F82">
            <w:pPr>
              <w:jc w:val="right"/>
              <w:rPr>
                <w:noProof/>
                <w:color w:val="000000"/>
                <w:sz w:val="20"/>
                <w:szCs w:val="20"/>
              </w:rPr>
            </w:pPr>
            <w:r w:rsidRPr="001E35C4">
              <w:rPr>
                <w:noProof/>
                <w:color w:val="000000"/>
                <w:sz w:val="20"/>
                <w:szCs w:val="20"/>
              </w:rPr>
              <w:t>2.</w:t>
            </w:r>
            <w:r w:rsidR="00AF32F9" w:rsidRPr="001E35C4">
              <w:rPr>
                <w:noProof/>
                <w:color w:val="000000"/>
                <w:sz w:val="20"/>
                <w:szCs w:val="20"/>
              </w:rPr>
              <w:t>2</w:t>
            </w:r>
            <w:r w:rsidRPr="001E35C4">
              <w:rPr>
                <w:noProof/>
                <w:color w:val="000000"/>
                <w:sz w:val="20"/>
                <w:szCs w:val="20"/>
              </w:rPr>
              <w:t>%</w:t>
            </w:r>
          </w:p>
        </w:tc>
      </w:tr>
      <w:tr w:rsidR="006132A7" w:rsidRPr="006132A7" w14:paraId="2264EC0B" w14:textId="77777777" w:rsidTr="00D351B7">
        <w:trPr>
          <w:trHeight w:val="290"/>
        </w:trPr>
        <w:tc>
          <w:tcPr>
            <w:tcW w:w="827" w:type="pct"/>
            <w:vMerge/>
            <w:vAlign w:val="center"/>
            <w:hideMark/>
          </w:tcPr>
          <w:p w14:paraId="191C09CF" w14:textId="77777777" w:rsidR="006132A7" w:rsidRPr="001E35C4" w:rsidRDefault="006132A7" w:rsidP="007F6F82">
            <w:pPr>
              <w:rPr>
                <w:noProof/>
                <w:color w:val="000000"/>
                <w:sz w:val="20"/>
                <w:szCs w:val="20"/>
              </w:rPr>
            </w:pPr>
          </w:p>
        </w:tc>
        <w:tc>
          <w:tcPr>
            <w:tcW w:w="604" w:type="pct"/>
            <w:noWrap/>
            <w:vAlign w:val="bottom"/>
            <w:hideMark/>
          </w:tcPr>
          <w:p w14:paraId="63B1046B" w14:textId="77777777" w:rsidR="006132A7" w:rsidRPr="001E35C4" w:rsidRDefault="006132A7" w:rsidP="007F6F82">
            <w:pPr>
              <w:jc w:val="right"/>
              <w:rPr>
                <w:noProof/>
                <w:color w:val="000000"/>
                <w:sz w:val="20"/>
                <w:szCs w:val="20"/>
              </w:rPr>
            </w:pPr>
            <w:r w:rsidRPr="001E35C4">
              <w:rPr>
                <w:noProof/>
                <w:color w:val="000000"/>
                <w:sz w:val="20"/>
                <w:szCs w:val="20"/>
              </w:rPr>
              <w:t>2050</w:t>
            </w:r>
          </w:p>
        </w:tc>
        <w:tc>
          <w:tcPr>
            <w:tcW w:w="893" w:type="pct"/>
            <w:shd w:val="clear" w:color="000000" w:fill="D1EBDA"/>
            <w:noWrap/>
            <w:vAlign w:val="bottom"/>
            <w:hideMark/>
          </w:tcPr>
          <w:p w14:paraId="30E8ACDE" w14:textId="525042BB" w:rsidR="006132A7" w:rsidRPr="001E35C4" w:rsidRDefault="006132A7" w:rsidP="007F6F82">
            <w:pPr>
              <w:jc w:val="right"/>
              <w:rPr>
                <w:noProof/>
                <w:color w:val="000000"/>
                <w:sz w:val="20"/>
                <w:szCs w:val="20"/>
              </w:rPr>
            </w:pPr>
            <w:r w:rsidRPr="001E35C4">
              <w:rPr>
                <w:noProof/>
                <w:color w:val="000000"/>
                <w:sz w:val="20"/>
                <w:szCs w:val="20"/>
              </w:rPr>
              <w:t>1.</w:t>
            </w:r>
            <w:r w:rsidR="00AF32F9" w:rsidRPr="001E35C4">
              <w:rPr>
                <w:noProof/>
                <w:color w:val="000000"/>
                <w:sz w:val="20"/>
                <w:szCs w:val="20"/>
              </w:rPr>
              <w:t>3</w:t>
            </w:r>
            <w:r w:rsidRPr="001E35C4">
              <w:rPr>
                <w:noProof/>
                <w:color w:val="000000"/>
                <w:sz w:val="20"/>
                <w:szCs w:val="20"/>
              </w:rPr>
              <w:t>%</w:t>
            </w:r>
          </w:p>
        </w:tc>
        <w:tc>
          <w:tcPr>
            <w:tcW w:w="893" w:type="pct"/>
            <w:shd w:val="clear" w:color="000000" w:fill="B8E1C5"/>
            <w:noWrap/>
            <w:vAlign w:val="bottom"/>
            <w:hideMark/>
          </w:tcPr>
          <w:p w14:paraId="693C8A3A" w14:textId="289F20D4" w:rsidR="006132A7" w:rsidRPr="001E35C4" w:rsidRDefault="006132A7" w:rsidP="007F6F82">
            <w:pPr>
              <w:jc w:val="right"/>
              <w:rPr>
                <w:noProof/>
                <w:color w:val="000000"/>
                <w:sz w:val="20"/>
                <w:szCs w:val="20"/>
              </w:rPr>
            </w:pPr>
            <w:r w:rsidRPr="001E35C4">
              <w:rPr>
                <w:noProof/>
                <w:color w:val="000000"/>
                <w:sz w:val="20"/>
                <w:szCs w:val="20"/>
              </w:rPr>
              <w:t>2.</w:t>
            </w:r>
            <w:r w:rsidR="00AF32F9" w:rsidRPr="001E35C4">
              <w:rPr>
                <w:noProof/>
                <w:color w:val="000000"/>
                <w:sz w:val="20"/>
                <w:szCs w:val="20"/>
              </w:rPr>
              <w:t>1</w:t>
            </w:r>
            <w:r w:rsidRPr="001E35C4">
              <w:rPr>
                <w:noProof/>
                <w:color w:val="000000"/>
                <w:sz w:val="20"/>
                <w:szCs w:val="20"/>
              </w:rPr>
              <w:t>%</w:t>
            </w:r>
          </w:p>
        </w:tc>
        <w:tc>
          <w:tcPr>
            <w:tcW w:w="893" w:type="pct"/>
            <w:shd w:val="clear" w:color="000000" w:fill="A3D8B3"/>
            <w:noWrap/>
            <w:vAlign w:val="bottom"/>
            <w:hideMark/>
          </w:tcPr>
          <w:p w14:paraId="528FBB25" w14:textId="5847B629" w:rsidR="006132A7" w:rsidRPr="001E35C4" w:rsidRDefault="006132A7" w:rsidP="007F6F82">
            <w:pPr>
              <w:jc w:val="right"/>
              <w:rPr>
                <w:noProof/>
                <w:color w:val="000000"/>
                <w:sz w:val="20"/>
                <w:szCs w:val="20"/>
              </w:rPr>
            </w:pPr>
            <w:r w:rsidRPr="001E35C4">
              <w:rPr>
                <w:noProof/>
                <w:color w:val="000000"/>
                <w:sz w:val="20"/>
                <w:szCs w:val="20"/>
              </w:rPr>
              <w:t>2.</w:t>
            </w:r>
            <w:r w:rsidR="00AF32F9" w:rsidRPr="001E35C4">
              <w:rPr>
                <w:noProof/>
                <w:color w:val="000000"/>
                <w:sz w:val="20"/>
                <w:szCs w:val="20"/>
              </w:rPr>
              <w:t>8</w:t>
            </w:r>
            <w:r w:rsidRPr="001E35C4">
              <w:rPr>
                <w:noProof/>
                <w:color w:val="000000"/>
                <w:sz w:val="20"/>
                <w:szCs w:val="20"/>
              </w:rPr>
              <w:t>%</w:t>
            </w:r>
          </w:p>
        </w:tc>
        <w:tc>
          <w:tcPr>
            <w:tcW w:w="890" w:type="pct"/>
            <w:shd w:val="clear" w:color="000000" w:fill="B2DEBF"/>
            <w:noWrap/>
            <w:vAlign w:val="bottom"/>
            <w:hideMark/>
          </w:tcPr>
          <w:p w14:paraId="6F0B5FBE" w14:textId="52A7F957" w:rsidR="006132A7" w:rsidRPr="001E35C4" w:rsidRDefault="006132A7" w:rsidP="007F6F82">
            <w:pPr>
              <w:jc w:val="right"/>
              <w:rPr>
                <w:noProof/>
                <w:color w:val="000000"/>
                <w:sz w:val="20"/>
                <w:szCs w:val="20"/>
              </w:rPr>
            </w:pPr>
            <w:r w:rsidRPr="001E35C4">
              <w:rPr>
                <w:noProof/>
                <w:color w:val="000000"/>
                <w:sz w:val="20"/>
                <w:szCs w:val="20"/>
              </w:rPr>
              <w:t>2.</w:t>
            </w:r>
            <w:r w:rsidR="00AF32F9" w:rsidRPr="001E35C4">
              <w:rPr>
                <w:noProof/>
                <w:color w:val="000000"/>
                <w:sz w:val="20"/>
                <w:szCs w:val="20"/>
              </w:rPr>
              <w:t>3</w:t>
            </w:r>
            <w:r w:rsidRPr="001E35C4">
              <w:rPr>
                <w:noProof/>
                <w:color w:val="000000"/>
                <w:sz w:val="20"/>
                <w:szCs w:val="20"/>
              </w:rPr>
              <w:t>%</w:t>
            </w:r>
          </w:p>
        </w:tc>
      </w:tr>
      <w:tr w:rsidR="006132A7" w:rsidRPr="006132A7" w14:paraId="373BDD3C" w14:textId="77777777" w:rsidTr="00D351B7">
        <w:trPr>
          <w:trHeight w:val="290"/>
        </w:trPr>
        <w:tc>
          <w:tcPr>
            <w:tcW w:w="827" w:type="pct"/>
            <w:vMerge w:val="restart"/>
            <w:noWrap/>
            <w:vAlign w:val="center"/>
            <w:hideMark/>
          </w:tcPr>
          <w:p w14:paraId="14C02AC1" w14:textId="77777777" w:rsidR="006132A7" w:rsidRPr="001E35C4" w:rsidRDefault="006132A7" w:rsidP="007F6F82">
            <w:pPr>
              <w:jc w:val="center"/>
              <w:rPr>
                <w:noProof/>
                <w:color w:val="000000"/>
                <w:sz w:val="20"/>
                <w:szCs w:val="20"/>
              </w:rPr>
            </w:pPr>
            <w:r w:rsidRPr="001E35C4">
              <w:rPr>
                <w:noProof/>
                <w:color w:val="000000"/>
                <w:sz w:val="20"/>
                <w:szCs w:val="20"/>
              </w:rPr>
              <w:t>Rail</w:t>
            </w:r>
          </w:p>
        </w:tc>
        <w:tc>
          <w:tcPr>
            <w:tcW w:w="604" w:type="pct"/>
            <w:noWrap/>
            <w:vAlign w:val="bottom"/>
            <w:hideMark/>
          </w:tcPr>
          <w:p w14:paraId="2B34EFE7" w14:textId="77777777" w:rsidR="006132A7" w:rsidRPr="001E35C4" w:rsidRDefault="006132A7" w:rsidP="007F6F82">
            <w:pPr>
              <w:jc w:val="right"/>
              <w:rPr>
                <w:noProof/>
                <w:color w:val="000000"/>
                <w:sz w:val="20"/>
                <w:szCs w:val="20"/>
              </w:rPr>
            </w:pPr>
            <w:r w:rsidRPr="001E35C4">
              <w:rPr>
                <w:noProof/>
                <w:color w:val="000000"/>
                <w:sz w:val="20"/>
                <w:szCs w:val="20"/>
              </w:rPr>
              <w:t>2030</w:t>
            </w:r>
          </w:p>
        </w:tc>
        <w:tc>
          <w:tcPr>
            <w:tcW w:w="893" w:type="pct"/>
            <w:shd w:val="clear" w:color="000000" w:fill="DDF0E5"/>
            <w:noWrap/>
            <w:vAlign w:val="bottom"/>
            <w:hideMark/>
          </w:tcPr>
          <w:p w14:paraId="5618288C" w14:textId="7E5E7782" w:rsidR="006132A7" w:rsidRPr="001E35C4" w:rsidRDefault="00AF32F9" w:rsidP="007F6F82">
            <w:pPr>
              <w:jc w:val="right"/>
              <w:rPr>
                <w:noProof/>
                <w:color w:val="000000"/>
                <w:sz w:val="20"/>
                <w:szCs w:val="20"/>
              </w:rPr>
            </w:pPr>
            <w:r w:rsidRPr="001E35C4">
              <w:rPr>
                <w:noProof/>
                <w:color w:val="000000"/>
                <w:sz w:val="20"/>
                <w:szCs w:val="20"/>
              </w:rPr>
              <w:t>1.</w:t>
            </w:r>
            <w:r w:rsidR="006132A7" w:rsidRPr="001E35C4">
              <w:rPr>
                <w:noProof/>
                <w:color w:val="000000"/>
                <w:sz w:val="20"/>
                <w:szCs w:val="20"/>
              </w:rPr>
              <w:t>0%</w:t>
            </w:r>
          </w:p>
        </w:tc>
        <w:tc>
          <w:tcPr>
            <w:tcW w:w="893" w:type="pct"/>
            <w:shd w:val="clear" w:color="000000" w:fill="C6E6D0"/>
            <w:noWrap/>
            <w:vAlign w:val="bottom"/>
            <w:hideMark/>
          </w:tcPr>
          <w:p w14:paraId="77D87246" w14:textId="07DEE3F4" w:rsidR="006132A7" w:rsidRPr="001E35C4" w:rsidRDefault="006132A7" w:rsidP="007F6F82">
            <w:pPr>
              <w:jc w:val="right"/>
              <w:rPr>
                <w:noProof/>
                <w:color w:val="000000"/>
                <w:sz w:val="20"/>
                <w:szCs w:val="20"/>
              </w:rPr>
            </w:pPr>
            <w:r w:rsidRPr="001E35C4">
              <w:rPr>
                <w:noProof/>
                <w:color w:val="000000"/>
                <w:sz w:val="20"/>
                <w:szCs w:val="20"/>
              </w:rPr>
              <w:t>1.</w:t>
            </w:r>
            <w:r w:rsidR="00AF32F9" w:rsidRPr="001E35C4">
              <w:rPr>
                <w:noProof/>
                <w:color w:val="000000"/>
                <w:sz w:val="20"/>
                <w:szCs w:val="20"/>
              </w:rPr>
              <w:t>7</w:t>
            </w:r>
            <w:r w:rsidRPr="001E35C4">
              <w:rPr>
                <w:noProof/>
                <w:color w:val="000000"/>
                <w:sz w:val="20"/>
                <w:szCs w:val="20"/>
              </w:rPr>
              <w:t>%</w:t>
            </w:r>
          </w:p>
        </w:tc>
        <w:tc>
          <w:tcPr>
            <w:tcW w:w="893" w:type="pct"/>
            <w:shd w:val="clear" w:color="000000" w:fill="ADDCBB"/>
            <w:noWrap/>
            <w:vAlign w:val="bottom"/>
            <w:hideMark/>
          </w:tcPr>
          <w:p w14:paraId="45A4EB74" w14:textId="6310F1CE" w:rsidR="006132A7" w:rsidRPr="001E35C4" w:rsidRDefault="006132A7" w:rsidP="007F6F82">
            <w:pPr>
              <w:jc w:val="right"/>
              <w:rPr>
                <w:noProof/>
                <w:color w:val="000000"/>
                <w:sz w:val="20"/>
                <w:szCs w:val="20"/>
              </w:rPr>
            </w:pPr>
            <w:r w:rsidRPr="001E35C4">
              <w:rPr>
                <w:noProof/>
                <w:color w:val="000000"/>
                <w:sz w:val="20"/>
                <w:szCs w:val="20"/>
              </w:rPr>
              <w:t>2.</w:t>
            </w:r>
            <w:r w:rsidR="00AF32F9" w:rsidRPr="001E35C4">
              <w:rPr>
                <w:noProof/>
                <w:color w:val="000000"/>
                <w:sz w:val="20"/>
                <w:szCs w:val="20"/>
              </w:rPr>
              <w:t>5</w:t>
            </w:r>
            <w:r w:rsidRPr="001E35C4">
              <w:rPr>
                <w:noProof/>
                <w:color w:val="000000"/>
                <w:sz w:val="20"/>
                <w:szCs w:val="20"/>
              </w:rPr>
              <w:t>%</w:t>
            </w:r>
          </w:p>
        </w:tc>
        <w:tc>
          <w:tcPr>
            <w:tcW w:w="890" w:type="pct"/>
            <w:shd w:val="clear" w:color="000000" w:fill="C1E4CC"/>
            <w:noWrap/>
            <w:vAlign w:val="bottom"/>
            <w:hideMark/>
          </w:tcPr>
          <w:p w14:paraId="62E99D13" w14:textId="11592699" w:rsidR="006132A7" w:rsidRPr="001E35C4" w:rsidRDefault="006132A7" w:rsidP="007F6F82">
            <w:pPr>
              <w:jc w:val="right"/>
              <w:rPr>
                <w:noProof/>
                <w:color w:val="000000"/>
                <w:sz w:val="20"/>
                <w:szCs w:val="20"/>
              </w:rPr>
            </w:pPr>
            <w:r w:rsidRPr="001E35C4">
              <w:rPr>
                <w:noProof/>
                <w:color w:val="000000"/>
                <w:sz w:val="20"/>
                <w:szCs w:val="20"/>
              </w:rPr>
              <w:t>1.</w:t>
            </w:r>
            <w:r w:rsidR="00AF32F9" w:rsidRPr="001E35C4">
              <w:rPr>
                <w:noProof/>
                <w:color w:val="000000"/>
                <w:sz w:val="20"/>
                <w:szCs w:val="20"/>
              </w:rPr>
              <w:t>9</w:t>
            </w:r>
            <w:r w:rsidRPr="001E35C4">
              <w:rPr>
                <w:noProof/>
                <w:color w:val="000000"/>
                <w:sz w:val="20"/>
                <w:szCs w:val="20"/>
              </w:rPr>
              <w:t>%</w:t>
            </w:r>
          </w:p>
        </w:tc>
      </w:tr>
      <w:tr w:rsidR="006132A7" w:rsidRPr="006132A7" w14:paraId="572670FE" w14:textId="77777777" w:rsidTr="00D351B7">
        <w:trPr>
          <w:trHeight w:val="290"/>
        </w:trPr>
        <w:tc>
          <w:tcPr>
            <w:tcW w:w="827" w:type="pct"/>
            <w:vMerge/>
            <w:vAlign w:val="center"/>
            <w:hideMark/>
          </w:tcPr>
          <w:p w14:paraId="0EA31FE4" w14:textId="77777777" w:rsidR="006132A7" w:rsidRPr="001E35C4" w:rsidRDefault="006132A7" w:rsidP="007F6F82">
            <w:pPr>
              <w:rPr>
                <w:noProof/>
                <w:color w:val="000000"/>
                <w:sz w:val="20"/>
                <w:szCs w:val="20"/>
              </w:rPr>
            </w:pPr>
          </w:p>
        </w:tc>
        <w:tc>
          <w:tcPr>
            <w:tcW w:w="604" w:type="pct"/>
            <w:noWrap/>
            <w:vAlign w:val="bottom"/>
            <w:hideMark/>
          </w:tcPr>
          <w:p w14:paraId="230B202F" w14:textId="77777777" w:rsidR="006132A7" w:rsidRPr="001E35C4" w:rsidRDefault="006132A7" w:rsidP="007F6F82">
            <w:pPr>
              <w:jc w:val="right"/>
              <w:rPr>
                <w:noProof/>
                <w:color w:val="000000"/>
                <w:sz w:val="20"/>
                <w:szCs w:val="20"/>
              </w:rPr>
            </w:pPr>
            <w:r w:rsidRPr="001E35C4">
              <w:rPr>
                <w:noProof/>
                <w:color w:val="000000"/>
                <w:sz w:val="20"/>
                <w:szCs w:val="20"/>
              </w:rPr>
              <w:t>2040</w:t>
            </w:r>
          </w:p>
        </w:tc>
        <w:tc>
          <w:tcPr>
            <w:tcW w:w="893" w:type="pct"/>
            <w:shd w:val="clear" w:color="000000" w:fill="C5E6CF"/>
            <w:noWrap/>
            <w:vAlign w:val="bottom"/>
            <w:hideMark/>
          </w:tcPr>
          <w:p w14:paraId="7A3A14C1" w14:textId="0E435DF9" w:rsidR="006132A7" w:rsidRPr="001E35C4" w:rsidRDefault="006132A7" w:rsidP="007F6F82">
            <w:pPr>
              <w:jc w:val="right"/>
              <w:rPr>
                <w:noProof/>
                <w:color w:val="000000"/>
                <w:sz w:val="20"/>
                <w:szCs w:val="20"/>
              </w:rPr>
            </w:pPr>
            <w:r w:rsidRPr="001E35C4">
              <w:rPr>
                <w:noProof/>
                <w:color w:val="000000"/>
                <w:sz w:val="20"/>
                <w:szCs w:val="20"/>
              </w:rPr>
              <w:t>1.</w:t>
            </w:r>
            <w:r w:rsidR="00AF32F9" w:rsidRPr="001E35C4">
              <w:rPr>
                <w:noProof/>
                <w:color w:val="000000"/>
                <w:sz w:val="20"/>
                <w:szCs w:val="20"/>
              </w:rPr>
              <w:t>7</w:t>
            </w:r>
            <w:r w:rsidRPr="001E35C4">
              <w:rPr>
                <w:noProof/>
                <w:color w:val="000000"/>
                <w:sz w:val="20"/>
                <w:szCs w:val="20"/>
              </w:rPr>
              <w:t>%</w:t>
            </w:r>
          </w:p>
        </w:tc>
        <w:tc>
          <w:tcPr>
            <w:tcW w:w="893" w:type="pct"/>
            <w:shd w:val="clear" w:color="000000" w:fill="8FD0A1"/>
            <w:noWrap/>
            <w:vAlign w:val="bottom"/>
            <w:hideMark/>
          </w:tcPr>
          <w:p w14:paraId="213B1F3C" w14:textId="3C128AB6" w:rsidR="006132A7" w:rsidRPr="001E35C4" w:rsidRDefault="006132A7" w:rsidP="007F6F82">
            <w:pPr>
              <w:jc w:val="right"/>
              <w:rPr>
                <w:noProof/>
                <w:color w:val="000000"/>
                <w:sz w:val="20"/>
                <w:szCs w:val="20"/>
              </w:rPr>
            </w:pPr>
            <w:r w:rsidRPr="001E35C4">
              <w:rPr>
                <w:noProof/>
                <w:color w:val="000000"/>
                <w:sz w:val="20"/>
                <w:szCs w:val="20"/>
              </w:rPr>
              <w:t>3.</w:t>
            </w:r>
            <w:r w:rsidR="00AF32F9" w:rsidRPr="001E35C4">
              <w:rPr>
                <w:noProof/>
                <w:color w:val="000000"/>
                <w:sz w:val="20"/>
                <w:szCs w:val="20"/>
              </w:rPr>
              <w:t>4</w:t>
            </w:r>
            <w:r w:rsidRPr="001E35C4">
              <w:rPr>
                <w:noProof/>
                <w:color w:val="000000"/>
                <w:sz w:val="20"/>
                <w:szCs w:val="20"/>
              </w:rPr>
              <w:t>%</w:t>
            </w:r>
          </w:p>
        </w:tc>
        <w:tc>
          <w:tcPr>
            <w:tcW w:w="893" w:type="pct"/>
            <w:shd w:val="clear" w:color="000000" w:fill="65BF7D"/>
            <w:noWrap/>
            <w:vAlign w:val="bottom"/>
            <w:hideMark/>
          </w:tcPr>
          <w:p w14:paraId="742A02A8" w14:textId="3B3CE34B" w:rsidR="006132A7" w:rsidRPr="001E35C4" w:rsidRDefault="006132A7" w:rsidP="007F6F82">
            <w:pPr>
              <w:jc w:val="right"/>
              <w:rPr>
                <w:noProof/>
                <w:color w:val="000000"/>
                <w:sz w:val="20"/>
                <w:szCs w:val="20"/>
              </w:rPr>
            </w:pPr>
            <w:r w:rsidRPr="001E35C4">
              <w:rPr>
                <w:noProof/>
                <w:color w:val="000000"/>
                <w:sz w:val="20"/>
                <w:szCs w:val="20"/>
              </w:rPr>
              <w:t>4.</w:t>
            </w:r>
            <w:r w:rsidR="00AF32F9" w:rsidRPr="001E35C4">
              <w:rPr>
                <w:noProof/>
                <w:color w:val="000000"/>
                <w:sz w:val="20"/>
                <w:szCs w:val="20"/>
              </w:rPr>
              <w:t>7</w:t>
            </w:r>
            <w:r w:rsidRPr="001E35C4">
              <w:rPr>
                <w:noProof/>
                <w:color w:val="000000"/>
                <w:sz w:val="20"/>
                <w:szCs w:val="20"/>
              </w:rPr>
              <w:t>%</w:t>
            </w:r>
          </w:p>
        </w:tc>
        <w:tc>
          <w:tcPr>
            <w:tcW w:w="890" w:type="pct"/>
            <w:shd w:val="clear" w:color="000000" w:fill="85CC99"/>
            <w:noWrap/>
            <w:vAlign w:val="bottom"/>
            <w:hideMark/>
          </w:tcPr>
          <w:p w14:paraId="0AB4DA46" w14:textId="57412EF3" w:rsidR="006132A7" w:rsidRPr="001E35C4" w:rsidRDefault="006132A7" w:rsidP="007F6F82">
            <w:pPr>
              <w:jc w:val="right"/>
              <w:rPr>
                <w:noProof/>
                <w:color w:val="000000"/>
                <w:sz w:val="20"/>
                <w:szCs w:val="20"/>
              </w:rPr>
            </w:pPr>
            <w:r w:rsidRPr="001E35C4">
              <w:rPr>
                <w:noProof/>
                <w:color w:val="000000"/>
                <w:sz w:val="20"/>
                <w:szCs w:val="20"/>
              </w:rPr>
              <w:t>3.</w:t>
            </w:r>
            <w:r w:rsidR="00AF32F9" w:rsidRPr="001E35C4">
              <w:rPr>
                <w:noProof/>
                <w:color w:val="000000"/>
                <w:sz w:val="20"/>
                <w:szCs w:val="20"/>
              </w:rPr>
              <w:t>7</w:t>
            </w:r>
            <w:r w:rsidRPr="001E35C4">
              <w:rPr>
                <w:noProof/>
                <w:color w:val="000000"/>
                <w:sz w:val="20"/>
                <w:szCs w:val="20"/>
              </w:rPr>
              <w:t>%</w:t>
            </w:r>
          </w:p>
        </w:tc>
      </w:tr>
      <w:tr w:rsidR="006132A7" w:rsidRPr="006132A7" w14:paraId="47EF7CF8" w14:textId="77777777" w:rsidTr="00D351B7">
        <w:trPr>
          <w:trHeight w:val="290"/>
        </w:trPr>
        <w:tc>
          <w:tcPr>
            <w:tcW w:w="827" w:type="pct"/>
            <w:vMerge/>
            <w:vAlign w:val="center"/>
            <w:hideMark/>
          </w:tcPr>
          <w:p w14:paraId="78C997A3" w14:textId="77777777" w:rsidR="006132A7" w:rsidRPr="001E35C4" w:rsidRDefault="006132A7" w:rsidP="007F6F82">
            <w:pPr>
              <w:rPr>
                <w:noProof/>
                <w:color w:val="000000"/>
                <w:sz w:val="20"/>
                <w:szCs w:val="20"/>
              </w:rPr>
            </w:pPr>
          </w:p>
        </w:tc>
        <w:tc>
          <w:tcPr>
            <w:tcW w:w="604" w:type="pct"/>
            <w:noWrap/>
            <w:vAlign w:val="bottom"/>
            <w:hideMark/>
          </w:tcPr>
          <w:p w14:paraId="68CB4079" w14:textId="77777777" w:rsidR="006132A7" w:rsidRPr="001E35C4" w:rsidRDefault="006132A7" w:rsidP="007F6F82">
            <w:pPr>
              <w:jc w:val="right"/>
              <w:rPr>
                <w:noProof/>
                <w:color w:val="000000"/>
                <w:sz w:val="20"/>
                <w:szCs w:val="20"/>
              </w:rPr>
            </w:pPr>
            <w:r w:rsidRPr="001E35C4">
              <w:rPr>
                <w:noProof/>
                <w:color w:val="000000"/>
                <w:sz w:val="20"/>
                <w:szCs w:val="20"/>
              </w:rPr>
              <w:t>2050</w:t>
            </w:r>
          </w:p>
        </w:tc>
        <w:tc>
          <w:tcPr>
            <w:tcW w:w="893" w:type="pct"/>
            <w:shd w:val="clear" w:color="000000" w:fill="C4E5CF"/>
            <w:noWrap/>
            <w:vAlign w:val="bottom"/>
            <w:hideMark/>
          </w:tcPr>
          <w:p w14:paraId="27976F59" w14:textId="42F5173F" w:rsidR="006132A7" w:rsidRPr="001E35C4" w:rsidRDefault="006132A7" w:rsidP="007F6F82">
            <w:pPr>
              <w:jc w:val="right"/>
              <w:rPr>
                <w:noProof/>
                <w:color w:val="000000"/>
                <w:sz w:val="20"/>
                <w:szCs w:val="20"/>
              </w:rPr>
            </w:pPr>
            <w:r w:rsidRPr="001E35C4">
              <w:rPr>
                <w:noProof/>
                <w:color w:val="000000"/>
                <w:sz w:val="20"/>
                <w:szCs w:val="20"/>
              </w:rPr>
              <w:t>1.</w:t>
            </w:r>
            <w:r w:rsidR="00AF32F9" w:rsidRPr="001E35C4">
              <w:rPr>
                <w:noProof/>
                <w:color w:val="000000"/>
                <w:sz w:val="20"/>
                <w:szCs w:val="20"/>
              </w:rPr>
              <w:t>8</w:t>
            </w:r>
            <w:r w:rsidRPr="001E35C4">
              <w:rPr>
                <w:noProof/>
                <w:color w:val="000000"/>
                <w:sz w:val="20"/>
                <w:szCs w:val="20"/>
              </w:rPr>
              <w:t>%</w:t>
            </w:r>
          </w:p>
        </w:tc>
        <w:tc>
          <w:tcPr>
            <w:tcW w:w="893" w:type="pct"/>
            <w:shd w:val="clear" w:color="000000" w:fill="86CD99"/>
            <w:noWrap/>
            <w:vAlign w:val="bottom"/>
            <w:hideMark/>
          </w:tcPr>
          <w:p w14:paraId="77977216" w14:textId="6EAD61FB" w:rsidR="006132A7" w:rsidRPr="001E35C4" w:rsidRDefault="006132A7" w:rsidP="007F6F82">
            <w:pPr>
              <w:jc w:val="right"/>
              <w:rPr>
                <w:noProof/>
                <w:color w:val="000000"/>
                <w:sz w:val="20"/>
                <w:szCs w:val="20"/>
              </w:rPr>
            </w:pPr>
            <w:r w:rsidRPr="001E35C4">
              <w:rPr>
                <w:noProof/>
                <w:color w:val="000000"/>
                <w:sz w:val="20"/>
                <w:szCs w:val="20"/>
              </w:rPr>
              <w:t>3.</w:t>
            </w:r>
            <w:r w:rsidR="00AF32F9" w:rsidRPr="001E35C4">
              <w:rPr>
                <w:noProof/>
                <w:color w:val="000000"/>
                <w:sz w:val="20"/>
                <w:szCs w:val="20"/>
              </w:rPr>
              <w:t>7</w:t>
            </w:r>
            <w:r w:rsidRPr="001E35C4">
              <w:rPr>
                <w:noProof/>
                <w:color w:val="000000"/>
                <w:sz w:val="20"/>
                <w:szCs w:val="20"/>
              </w:rPr>
              <w:t>%</w:t>
            </w:r>
          </w:p>
        </w:tc>
        <w:tc>
          <w:tcPr>
            <w:tcW w:w="893" w:type="pct"/>
            <w:shd w:val="clear" w:color="000000" w:fill="63BE7B"/>
            <w:noWrap/>
            <w:vAlign w:val="bottom"/>
            <w:hideMark/>
          </w:tcPr>
          <w:p w14:paraId="08009E25" w14:textId="443D68B7" w:rsidR="006132A7" w:rsidRPr="001E35C4" w:rsidRDefault="006132A7" w:rsidP="007F6F82">
            <w:pPr>
              <w:jc w:val="right"/>
              <w:rPr>
                <w:noProof/>
                <w:color w:val="000000"/>
                <w:sz w:val="20"/>
                <w:szCs w:val="20"/>
              </w:rPr>
            </w:pPr>
            <w:r w:rsidRPr="001E35C4">
              <w:rPr>
                <w:noProof/>
                <w:color w:val="000000"/>
                <w:sz w:val="20"/>
                <w:szCs w:val="20"/>
              </w:rPr>
              <w:t>4.</w:t>
            </w:r>
            <w:r w:rsidR="00AF32F9" w:rsidRPr="001E35C4">
              <w:rPr>
                <w:noProof/>
                <w:color w:val="000000"/>
                <w:sz w:val="20"/>
                <w:szCs w:val="20"/>
              </w:rPr>
              <w:t>8</w:t>
            </w:r>
            <w:r w:rsidRPr="001E35C4">
              <w:rPr>
                <w:noProof/>
                <w:color w:val="000000"/>
                <w:sz w:val="20"/>
                <w:szCs w:val="20"/>
              </w:rPr>
              <w:t>%</w:t>
            </w:r>
          </w:p>
        </w:tc>
        <w:tc>
          <w:tcPr>
            <w:tcW w:w="890" w:type="pct"/>
            <w:shd w:val="clear" w:color="000000" w:fill="7CC991"/>
            <w:noWrap/>
            <w:vAlign w:val="bottom"/>
            <w:hideMark/>
          </w:tcPr>
          <w:p w14:paraId="1ABFB781" w14:textId="72FDE9E7" w:rsidR="006132A7" w:rsidRPr="001E35C4" w:rsidRDefault="00AF32F9" w:rsidP="007F6F82">
            <w:pPr>
              <w:jc w:val="right"/>
              <w:rPr>
                <w:noProof/>
                <w:color w:val="000000"/>
                <w:sz w:val="20"/>
                <w:szCs w:val="20"/>
              </w:rPr>
            </w:pPr>
            <w:r w:rsidRPr="001E35C4">
              <w:rPr>
                <w:noProof/>
                <w:color w:val="000000"/>
                <w:sz w:val="20"/>
                <w:szCs w:val="20"/>
              </w:rPr>
              <w:t>4.0%</w:t>
            </w:r>
          </w:p>
        </w:tc>
      </w:tr>
      <w:tr w:rsidR="006132A7" w:rsidRPr="006132A7" w14:paraId="5DE47966" w14:textId="77777777" w:rsidTr="00D351B7">
        <w:trPr>
          <w:trHeight w:val="290"/>
        </w:trPr>
        <w:tc>
          <w:tcPr>
            <w:tcW w:w="827" w:type="pct"/>
            <w:vMerge w:val="restart"/>
            <w:noWrap/>
            <w:vAlign w:val="center"/>
            <w:hideMark/>
          </w:tcPr>
          <w:p w14:paraId="499A1D45" w14:textId="77777777" w:rsidR="006132A7" w:rsidRPr="001E35C4" w:rsidRDefault="006132A7" w:rsidP="007F6F82">
            <w:pPr>
              <w:jc w:val="center"/>
              <w:rPr>
                <w:noProof/>
                <w:color w:val="000000"/>
                <w:sz w:val="20"/>
                <w:szCs w:val="20"/>
              </w:rPr>
            </w:pPr>
            <w:r w:rsidRPr="001E35C4">
              <w:rPr>
                <w:noProof/>
                <w:color w:val="000000"/>
                <w:sz w:val="20"/>
                <w:szCs w:val="20"/>
              </w:rPr>
              <w:t>Air</w:t>
            </w:r>
          </w:p>
        </w:tc>
        <w:tc>
          <w:tcPr>
            <w:tcW w:w="604" w:type="pct"/>
            <w:noWrap/>
            <w:vAlign w:val="bottom"/>
            <w:hideMark/>
          </w:tcPr>
          <w:p w14:paraId="3861BE7A" w14:textId="77777777" w:rsidR="006132A7" w:rsidRPr="001E35C4" w:rsidRDefault="006132A7" w:rsidP="007F6F82">
            <w:pPr>
              <w:jc w:val="right"/>
              <w:rPr>
                <w:noProof/>
                <w:color w:val="000000"/>
                <w:sz w:val="20"/>
                <w:szCs w:val="20"/>
              </w:rPr>
            </w:pPr>
            <w:r w:rsidRPr="001E35C4">
              <w:rPr>
                <w:noProof/>
                <w:color w:val="000000"/>
                <w:sz w:val="20"/>
                <w:szCs w:val="20"/>
              </w:rPr>
              <w:t>2030</w:t>
            </w:r>
          </w:p>
        </w:tc>
        <w:tc>
          <w:tcPr>
            <w:tcW w:w="893" w:type="pct"/>
            <w:shd w:val="clear" w:color="000000" w:fill="FBF0F3"/>
            <w:noWrap/>
            <w:vAlign w:val="bottom"/>
            <w:hideMark/>
          </w:tcPr>
          <w:p w14:paraId="43AF075C" w14:textId="1E1F73F6"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1</w:t>
            </w:r>
            <w:r w:rsidRPr="001E35C4">
              <w:rPr>
                <w:noProof/>
                <w:color w:val="000000"/>
                <w:sz w:val="20"/>
                <w:szCs w:val="20"/>
              </w:rPr>
              <w:t>%</w:t>
            </w:r>
          </w:p>
        </w:tc>
        <w:tc>
          <w:tcPr>
            <w:tcW w:w="893" w:type="pct"/>
            <w:shd w:val="clear" w:color="000000" w:fill="FBE5E8"/>
            <w:noWrap/>
            <w:vAlign w:val="bottom"/>
            <w:hideMark/>
          </w:tcPr>
          <w:p w14:paraId="2CBA3980" w14:textId="02BC6FEE"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2</w:t>
            </w:r>
            <w:r w:rsidRPr="001E35C4">
              <w:rPr>
                <w:noProof/>
                <w:color w:val="000000"/>
                <w:sz w:val="20"/>
                <w:szCs w:val="20"/>
              </w:rPr>
              <w:t>%</w:t>
            </w:r>
          </w:p>
        </w:tc>
        <w:tc>
          <w:tcPr>
            <w:tcW w:w="893" w:type="pct"/>
            <w:shd w:val="clear" w:color="000000" w:fill="FBDADD"/>
            <w:noWrap/>
            <w:vAlign w:val="bottom"/>
            <w:hideMark/>
          </w:tcPr>
          <w:p w14:paraId="7F3CBE9C" w14:textId="3E401B52"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2</w:t>
            </w:r>
            <w:r w:rsidRPr="001E35C4">
              <w:rPr>
                <w:noProof/>
                <w:color w:val="000000"/>
                <w:sz w:val="20"/>
                <w:szCs w:val="20"/>
              </w:rPr>
              <w:t>%</w:t>
            </w:r>
          </w:p>
        </w:tc>
        <w:tc>
          <w:tcPr>
            <w:tcW w:w="890" w:type="pct"/>
            <w:shd w:val="clear" w:color="000000" w:fill="FBE4E7"/>
            <w:noWrap/>
            <w:vAlign w:val="bottom"/>
            <w:hideMark/>
          </w:tcPr>
          <w:p w14:paraId="58696214" w14:textId="059AB4BC"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2</w:t>
            </w:r>
            <w:r w:rsidRPr="001E35C4">
              <w:rPr>
                <w:noProof/>
                <w:color w:val="000000"/>
                <w:sz w:val="20"/>
                <w:szCs w:val="20"/>
              </w:rPr>
              <w:t>%</w:t>
            </w:r>
          </w:p>
        </w:tc>
      </w:tr>
      <w:tr w:rsidR="006132A7" w:rsidRPr="006132A7" w14:paraId="03B4576D" w14:textId="77777777" w:rsidTr="00D351B7">
        <w:trPr>
          <w:trHeight w:val="290"/>
        </w:trPr>
        <w:tc>
          <w:tcPr>
            <w:tcW w:w="827" w:type="pct"/>
            <w:vMerge/>
            <w:vAlign w:val="center"/>
            <w:hideMark/>
          </w:tcPr>
          <w:p w14:paraId="2112199F" w14:textId="77777777" w:rsidR="006132A7" w:rsidRPr="001E35C4" w:rsidRDefault="006132A7" w:rsidP="007F6F82">
            <w:pPr>
              <w:rPr>
                <w:noProof/>
                <w:color w:val="000000"/>
                <w:sz w:val="20"/>
                <w:szCs w:val="20"/>
              </w:rPr>
            </w:pPr>
          </w:p>
        </w:tc>
        <w:tc>
          <w:tcPr>
            <w:tcW w:w="604" w:type="pct"/>
            <w:noWrap/>
            <w:vAlign w:val="bottom"/>
            <w:hideMark/>
          </w:tcPr>
          <w:p w14:paraId="4E6D9AE3" w14:textId="77777777" w:rsidR="006132A7" w:rsidRPr="001E35C4" w:rsidRDefault="006132A7" w:rsidP="007F6F82">
            <w:pPr>
              <w:jc w:val="right"/>
              <w:rPr>
                <w:noProof/>
                <w:color w:val="000000"/>
                <w:sz w:val="20"/>
                <w:szCs w:val="20"/>
              </w:rPr>
            </w:pPr>
            <w:r w:rsidRPr="001E35C4">
              <w:rPr>
                <w:noProof/>
                <w:color w:val="000000"/>
                <w:sz w:val="20"/>
                <w:szCs w:val="20"/>
              </w:rPr>
              <w:t>2040</w:t>
            </w:r>
          </w:p>
        </w:tc>
        <w:tc>
          <w:tcPr>
            <w:tcW w:w="893" w:type="pct"/>
            <w:shd w:val="clear" w:color="000000" w:fill="FBD8DB"/>
            <w:noWrap/>
            <w:vAlign w:val="bottom"/>
            <w:hideMark/>
          </w:tcPr>
          <w:p w14:paraId="57CCCFBC" w14:textId="75C33A37"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2</w:t>
            </w:r>
            <w:r w:rsidRPr="001E35C4">
              <w:rPr>
                <w:noProof/>
                <w:color w:val="000000"/>
                <w:sz w:val="20"/>
                <w:szCs w:val="20"/>
              </w:rPr>
              <w:t>%</w:t>
            </w:r>
          </w:p>
        </w:tc>
        <w:tc>
          <w:tcPr>
            <w:tcW w:w="893" w:type="pct"/>
            <w:shd w:val="clear" w:color="000000" w:fill="F9AFB1"/>
            <w:noWrap/>
            <w:vAlign w:val="bottom"/>
            <w:hideMark/>
          </w:tcPr>
          <w:p w14:paraId="674A4D24" w14:textId="778727E7"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5</w:t>
            </w:r>
            <w:r w:rsidRPr="001E35C4">
              <w:rPr>
                <w:noProof/>
                <w:color w:val="000000"/>
                <w:sz w:val="20"/>
                <w:szCs w:val="20"/>
              </w:rPr>
              <w:t>%</w:t>
            </w:r>
          </w:p>
        </w:tc>
        <w:tc>
          <w:tcPr>
            <w:tcW w:w="893" w:type="pct"/>
            <w:shd w:val="clear" w:color="000000" w:fill="F9999C"/>
            <w:noWrap/>
            <w:vAlign w:val="bottom"/>
            <w:hideMark/>
          </w:tcPr>
          <w:p w14:paraId="287E42DC" w14:textId="473BD61D"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7</w:t>
            </w:r>
            <w:r w:rsidRPr="001E35C4">
              <w:rPr>
                <w:noProof/>
                <w:color w:val="000000"/>
                <w:sz w:val="20"/>
                <w:szCs w:val="20"/>
              </w:rPr>
              <w:t>%</w:t>
            </w:r>
          </w:p>
        </w:tc>
        <w:tc>
          <w:tcPr>
            <w:tcW w:w="890" w:type="pct"/>
            <w:shd w:val="clear" w:color="000000" w:fill="F9AAAC"/>
            <w:noWrap/>
            <w:vAlign w:val="bottom"/>
            <w:hideMark/>
          </w:tcPr>
          <w:p w14:paraId="0ED7B12A" w14:textId="43A27A55"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6</w:t>
            </w:r>
            <w:r w:rsidRPr="001E35C4">
              <w:rPr>
                <w:noProof/>
                <w:color w:val="000000"/>
                <w:sz w:val="20"/>
                <w:szCs w:val="20"/>
              </w:rPr>
              <w:t>%</w:t>
            </w:r>
          </w:p>
        </w:tc>
      </w:tr>
      <w:tr w:rsidR="006132A7" w:rsidRPr="006132A7" w14:paraId="11BE0A8F" w14:textId="77777777" w:rsidTr="00D351B7">
        <w:trPr>
          <w:trHeight w:val="290"/>
        </w:trPr>
        <w:tc>
          <w:tcPr>
            <w:tcW w:w="827" w:type="pct"/>
            <w:vMerge/>
            <w:vAlign w:val="center"/>
            <w:hideMark/>
          </w:tcPr>
          <w:p w14:paraId="388AA8CB" w14:textId="77777777" w:rsidR="006132A7" w:rsidRPr="001E35C4" w:rsidRDefault="006132A7" w:rsidP="007F6F82">
            <w:pPr>
              <w:rPr>
                <w:noProof/>
                <w:color w:val="000000"/>
                <w:sz w:val="20"/>
                <w:szCs w:val="20"/>
              </w:rPr>
            </w:pPr>
          </w:p>
        </w:tc>
        <w:tc>
          <w:tcPr>
            <w:tcW w:w="604" w:type="pct"/>
            <w:noWrap/>
            <w:vAlign w:val="bottom"/>
            <w:hideMark/>
          </w:tcPr>
          <w:p w14:paraId="3A7A566D" w14:textId="77777777" w:rsidR="006132A7" w:rsidRPr="001E35C4" w:rsidRDefault="006132A7" w:rsidP="007F6F82">
            <w:pPr>
              <w:jc w:val="right"/>
              <w:rPr>
                <w:noProof/>
                <w:color w:val="000000"/>
                <w:sz w:val="20"/>
                <w:szCs w:val="20"/>
              </w:rPr>
            </w:pPr>
            <w:r w:rsidRPr="001E35C4">
              <w:rPr>
                <w:noProof/>
                <w:color w:val="000000"/>
                <w:sz w:val="20"/>
                <w:szCs w:val="20"/>
              </w:rPr>
              <w:t>2050</w:t>
            </w:r>
          </w:p>
        </w:tc>
        <w:tc>
          <w:tcPr>
            <w:tcW w:w="893" w:type="pct"/>
            <w:shd w:val="clear" w:color="000000" w:fill="FAC8CB"/>
            <w:noWrap/>
            <w:vAlign w:val="bottom"/>
            <w:hideMark/>
          </w:tcPr>
          <w:p w14:paraId="308204BF" w14:textId="517EAD7E"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4</w:t>
            </w:r>
            <w:r w:rsidRPr="001E35C4">
              <w:rPr>
                <w:noProof/>
                <w:color w:val="000000"/>
                <w:sz w:val="20"/>
                <w:szCs w:val="20"/>
              </w:rPr>
              <w:t>%</w:t>
            </w:r>
          </w:p>
        </w:tc>
        <w:tc>
          <w:tcPr>
            <w:tcW w:w="893" w:type="pct"/>
            <w:shd w:val="clear" w:color="000000" w:fill="F87E80"/>
            <w:noWrap/>
            <w:vAlign w:val="bottom"/>
            <w:hideMark/>
          </w:tcPr>
          <w:p w14:paraId="06FCE776" w14:textId="42CCA37D"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9</w:t>
            </w:r>
            <w:r w:rsidRPr="001E35C4">
              <w:rPr>
                <w:noProof/>
                <w:color w:val="000000"/>
                <w:sz w:val="20"/>
                <w:szCs w:val="20"/>
              </w:rPr>
              <w:t>%</w:t>
            </w:r>
          </w:p>
        </w:tc>
        <w:tc>
          <w:tcPr>
            <w:tcW w:w="893" w:type="pct"/>
            <w:shd w:val="clear" w:color="000000" w:fill="F87274"/>
            <w:noWrap/>
            <w:vAlign w:val="bottom"/>
            <w:hideMark/>
          </w:tcPr>
          <w:p w14:paraId="2F485CB4" w14:textId="49ECE235" w:rsidR="006132A7" w:rsidRPr="001E35C4" w:rsidRDefault="006132A7" w:rsidP="007F6F82">
            <w:pPr>
              <w:jc w:val="right"/>
              <w:rPr>
                <w:noProof/>
                <w:color w:val="000000"/>
                <w:sz w:val="20"/>
                <w:szCs w:val="20"/>
              </w:rPr>
            </w:pPr>
            <w:r w:rsidRPr="001E35C4">
              <w:rPr>
                <w:noProof/>
                <w:color w:val="000000"/>
                <w:sz w:val="20"/>
                <w:szCs w:val="20"/>
              </w:rPr>
              <w:t>-</w:t>
            </w:r>
            <w:r w:rsidR="00AF32F9" w:rsidRPr="001E35C4">
              <w:rPr>
                <w:noProof/>
                <w:color w:val="000000"/>
                <w:sz w:val="20"/>
                <w:szCs w:val="20"/>
              </w:rPr>
              <w:t>1.</w:t>
            </w:r>
            <w:r w:rsidRPr="001E35C4">
              <w:rPr>
                <w:noProof/>
                <w:color w:val="000000"/>
                <w:sz w:val="20"/>
                <w:szCs w:val="20"/>
              </w:rPr>
              <w:t>0%</w:t>
            </w:r>
          </w:p>
        </w:tc>
        <w:tc>
          <w:tcPr>
            <w:tcW w:w="890" w:type="pct"/>
            <w:shd w:val="clear" w:color="000000" w:fill="F87779"/>
            <w:noWrap/>
            <w:vAlign w:val="bottom"/>
            <w:hideMark/>
          </w:tcPr>
          <w:p w14:paraId="06194022" w14:textId="120DCD1D" w:rsidR="006132A7" w:rsidRPr="001E35C4" w:rsidRDefault="006132A7" w:rsidP="007F6F82">
            <w:pPr>
              <w:jc w:val="right"/>
              <w:rPr>
                <w:noProof/>
                <w:color w:val="000000"/>
                <w:sz w:val="20"/>
                <w:szCs w:val="20"/>
              </w:rPr>
            </w:pPr>
            <w:r w:rsidRPr="001E35C4">
              <w:rPr>
                <w:noProof/>
                <w:color w:val="000000"/>
                <w:sz w:val="20"/>
                <w:szCs w:val="20"/>
              </w:rPr>
              <w:t>-</w:t>
            </w:r>
            <w:r w:rsidR="00AF32F9" w:rsidRPr="001E35C4">
              <w:rPr>
                <w:noProof/>
                <w:color w:val="000000"/>
                <w:sz w:val="20"/>
                <w:szCs w:val="20"/>
              </w:rPr>
              <w:t>1.</w:t>
            </w:r>
            <w:r w:rsidRPr="001E35C4">
              <w:rPr>
                <w:noProof/>
                <w:color w:val="000000"/>
                <w:sz w:val="20"/>
                <w:szCs w:val="20"/>
              </w:rPr>
              <w:t>0%</w:t>
            </w:r>
          </w:p>
        </w:tc>
      </w:tr>
      <w:tr w:rsidR="006132A7" w:rsidRPr="006132A7" w14:paraId="1B13D231" w14:textId="77777777" w:rsidTr="00D351B7">
        <w:trPr>
          <w:trHeight w:val="290"/>
        </w:trPr>
        <w:tc>
          <w:tcPr>
            <w:tcW w:w="827" w:type="pct"/>
            <w:vMerge w:val="restart"/>
            <w:noWrap/>
            <w:vAlign w:val="center"/>
            <w:hideMark/>
          </w:tcPr>
          <w:p w14:paraId="42A7B7E3" w14:textId="21B09E13" w:rsidR="006132A7" w:rsidRPr="001E35C4" w:rsidRDefault="006132A7" w:rsidP="007F6F82">
            <w:pPr>
              <w:jc w:val="center"/>
              <w:rPr>
                <w:noProof/>
                <w:color w:val="000000"/>
                <w:sz w:val="20"/>
                <w:szCs w:val="20"/>
              </w:rPr>
            </w:pPr>
            <w:r w:rsidRPr="001E35C4">
              <w:rPr>
                <w:noProof/>
                <w:color w:val="000000"/>
                <w:sz w:val="20"/>
                <w:szCs w:val="20"/>
              </w:rPr>
              <w:t>Waterborne</w:t>
            </w:r>
          </w:p>
        </w:tc>
        <w:tc>
          <w:tcPr>
            <w:tcW w:w="604" w:type="pct"/>
            <w:noWrap/>
            <w:vAlign w:val="bottom"/>
            <w:hideMark/>
          </w:tcPr>
          <w:p w14:paraId="37465230" w14:textId="77777777" w:rsidR="006132A7" w:rsidRPr="001E35C4" w:rsidRDefault="006132A7" w:rsidP="007F6F82">
            <w:pPr>
              <w:jc w:val="right"/>
              <w:rPr>
                <w:noProof/>
                <w:color w:val="000000"/>
                <w:sz w:val="20"/>
                <w:szCs w:val="20"/>
              </w:rPr>
            </w:pPr>
            <w:r w:rsidRPr="001E35C4">
              <w:rPr>
                <w:noProof/>
                <w:color w:val="000000"/>
                <w:sz w:val="20"/>
                <w:szCs w:val="20"/>
              </w:rPr>
              <w:t>2030</w:t>
            </w:r>
          </w:p>
        </w:tc>
        <w:tc>
          <w:tcPr>
            <w:tcW w:w="893" w:type="pct"/>
            <w:shd w:val="clear" w:color="000000" w:fill="FBFBFE"/>
            <w:noWrap/>
            <w:vAlign w:val="bottom"/>
            <w:hideMark/>
          </w:tcPr>
          <w:p w14:paraId="670FF580" w14:textId="4683894A"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0</w:t>
            </w:r>
            <w:r w:rsidRPr="001E35C4">
              <w:rPr>
                <w:noProof/>
                <w:color w:val="000000"/>
                <w:sz w:val="20"/>
                <w:szCs w:val="20"/>
              </w:rPr>
              <w:t>%</w:t>
            </w:r>
          </w:p>
        </w:tc>
        <w:tc>
          <w:tcPr>
            <w:tcW w:w="893" w:type="pct"/>
            <w:shd w:val="clear" w:color="000000" w:fill="FBFBFE"/>
            <w:noWrap/>
            <w:vAlign w:val="bottom"/>
            <w:hideMark/>
          </w:tcPr>
          <w:p w14:paraId="6A4A26DC" w14:textId="31DA6CDD"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0</w:t>
            </w:r>
            <w:r w:rsidRPr="001E35C4">
              <w:rPr>
                <w:noProof/>
                <w:color w:val="000000"/>
                <w:sz w:val="20"/>
                <w:szCs w:val="20"/>
              </w:rPr>
              <w:t>%</w:t>
            </w:r>
          </w:p>
        </w:tc>
        <w:tc>
          <w:tcPr>
            <w:tcW w:w="893" w:type="pct"/>
            <w:shd w:val="clear" w:color="000000" w:fill="FBFBFE"/>
            <w:noWrap/>
            <w:vAlign w:val="bottom"/>
            <w:hideMark/>
          </w:tcPr>
          <w:p w14:paraId="39C1AD53" w14:textId="2497D5E9" w:rsidR="006132A7" w:rsidRPr="001E35C4" w:rsidRDefault="006132A7" w:rsidP="007F6F82">
            <w:pPr>
              <w:jc w:val="right"/>
              <w:rPr>
                <w:noProof/>
                <w:color w:val="000000"/>
                <w:sz w:val="20"/>
                <w:szCs w:val="20"/>
              </w:rPr>
            </w:pPr>
            <w:r w:rsidRPr="001E35C4">
              <w:rPr>
                <w:noProof/>
                <w:color w:val="000000"/>
                <w:sz w:val="20"/>
                <w:szCs w:val="20"/>
              </w:rPr>
              <w:t>0.01%</w:t>
            </w:r>
          </w:p>
        </w:tc>
        <w:tc>
          <w:tcPr>
            <w:tcW w:w="890" w:type="pct"/>
            <w:shd w:val="clear" w:color="000000" w:fill="FBFBFE"/>
            <w:noWrap/>
            <w:vAlign w:val="bottom"/>
            <w:hideMark/>
          </w:tcPr>
          <w:p w14:paraId="5623161A" w14:textId="76269DA4"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0</w:t>
            </w:r>
            <w:r w:rsidRPr="001E35C4">
              <w:rPr>
                <w:noProof/>
                <w:color w:val="000000"/>
                <w:sz w:val="20"/>
                <w:szCs w:val="20"/>
              </w:rPr>
              <w:t>%</w:t>
            </w:r>
          </w:p>
        </w:tc>
      </w:tr>
      <w:tr w:rsidR="006132A7" w:rsidRPr="006132A7" w14:paraId="4905FFDD" w14:textId="77777777" w:rsidTr="00D351B7">
        <w:trPr>
          <w:trHeight w:val="290"/>
        </w:trPr>
        <w:tc>
          <w:tcPr>
            <w:tcW w:w="827" w:type="pct"/>
            <w:vMerge/>
            <w:vAlign w:val="center"/>
            <w:hideMark/>
          </w:tcPr>
          <w:p w14:paraId="6273671C" w14:textId="77777777" w:rsidR="006132A7" w:rsidRPr="001E35C4" w:rsidRDefault="006132A7" w:rsidP="007F6F82">
            <w:pPr>
              <w:rPr>
                <w:noProof/>
                <w:color w:val="000000"/>
                <w:sz w:val="20"/>
                <w:szCs w:val="20"/>
              </w:rPr>
            </w:pPr>
          </w:p>
        </w:tc>
        <w:tc>
          <w:tcPr>
            <w:tcW w:w="604" w:type="pct"/>
            <w:noWrap/>
            <w:vAlign w:val="bottom"/>
            <w:hideMark/>
          </w:tcPr>
          <w:p w14:paraId="004777B1" w14:textId="77777777" w:rsidR="006132A7" w:rsidRPr="001E35C4" w:rsidRDefault="006132A7" w:rsidP="007F6F82">
            <w:pPr>
              <w:jc w:val="right"/>
              <w:rPr>
                <w:noProof/>
                <w:color w:val="000000"/>
                <w:sz w:val="20"/>
                <w:szCs w:val="20"/>
              </w:rPr>
            </w:pPr>
            <w:r w:rsidRPr="001E35C4">
              <w:rPr>
                <w:noProof/>
                <w:color w:val="000000"/>
                <w:sz w:val="20"/>
                <w:szCs w:val="20"/>
              </w:rPr>
              <w:t>2040</w:t>
            </w:r>
          </w:p>
        </w:tc>
        <w:tc>
          <w:tcPr>
            <w:tcW w:w="893" w:type="pct"/>
            <w:shd w:val="clear" w:color="000000" w:fill="FBFBFE"/>
            <w:noWrap/>
            <w:vAlign w:val="bottom"/>
            <w:hideMark/>
          </w:tcPr>
          <w:p w14:paraId="0B84EE40" w14:textId="48915339"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0</w:t>
            </w:r>
            <w:r w:rsidRPr="001E35C4">
              <w:rPr>
                <w:noProof/>
                <w:color w:val="000000"/>
                <w:sz w:val="20"/>
                <w:szCs w:val="20"/>
              </w:rPr>
              <w:t>%</w:t>
            </w:r>
          </w:p>
        </w:tc>
        <w:tc>
          <w:tcPr>
            <w:tcW w:w="893" w:type="pct"/>
            <w:shd w:val="clear" w:color="000000" w:fill="FCFCFF"/>
            <w:noWrap/>
            <w:vAlign w:val="bottom"/>
            <w:hideMark/>
          </w:tcPr>
          <w:p w14:paraId="05B4C6E0" w14:textId="5298AF14" w:rsidR="006132A7" w:rsidRPr="001E35C4" w:rsidRDefault="006132A7" w:rsidP="007F6F82">
            <w:pPr>
              <w:jc w:val="right"/>
              <w:rPr>
                <w:noProof/>
                <w:color w:val="000000"/>
                <w:sz w:val="20"/>
                <w:szCs w:val="20"/>
              </w:rPr>
            </w:pPr>
            <w:r w:rsidRPr="001E35C4">
              <w:rPr>
                <w:noProof/>
                <w:color w:val="000000"/>
                <w:sz w:val="20"/>
                <w:szCs w:val="20"/>
              </w:rPr>
              <w:t>0.01%</w:t>
            </w:r>
          </w:p>
        </w:tc>
        <w:tc>
          <w:tcPr>
            <w:tcW w:w="893" w:type="pct"/>
            <w:shd w:val="clear" w:color="000000" w:fill="FCFCFF"/>
            <w:noWrap/>
            <w:vAlign w:val="bottom"/>
            <w:hideMark/>
          </w:tcPr>
          <w:p w14:paraId="033E26A4" w14:textId="702841F1" w:rsidR="006132A7" w:rsidRPr="001E35C4" w:rsidRDefault="006132A7" w:rsidP="007F6F82">
            <w:pPr>
              <w:jc w:val="right"/>
              <w:rPr>
                <w:noProof/>
                <w:color w:val="000000"/>
                <w:sz w:val="20"/>
                <w:szCs w:val="20"/>
              </w:rPr>
            </w:pPr>
            <w:r w:rsidRPr="001E35C4">
              <w:rPr>
                <w:noProof/>
                <w:color w:val="000000"/>
                <w:sz w:val="20"/>
                <w:szCs w:val="20"/>
              </w:rPr>
              <w:t>0.01%</w:t>
            </w:r>
          </w:p>
        </w:tc>
        <w:tc>
          <w:tcPr>
            <w:tcW w:w="890" w:type="pct"/>
            <w:shd w:val="clear" w:color="000000" w:fill="FCFCFF"/>
            <w:noWrap/>
            <w:vAlign w:val="bottom"/>
            <w:hideMark/>
          </w:tcPr>
          <w:p w14:paraId="025D1BF4" w14:textId="09AB751C" w:rsidR="006132A7" w:rsidRPr="001E35C4" w:rsidRDefault="006132A7" w:rsidP="007F6F82">
            <w:pPr>
              <w:jc w:val="right"/>
              <w:rPr>
                <w:noProof/>
                <w:color w:val="000000"/>
                <w:sz w:val="20"/>
                <w:szCs w:val="20"/>
              </w:rPr>
            </w:pPr>
            <w:r w:rsidRPr="001E35C4">
              <w:rPr>
                <w:noProof/>
                <w:color w:val="000000"/>
                <w:sz w:val="20"/>
                <w:szCs w:val="20"/>
              </w:rPr>
              <w:t>0.01%</w:t>
            </w:r>
          </w:p>
        </w:tc>
      </w:tr>
      <w:tr w:rsidR="006132A7" w:rsidRPr="006132A7" w14:paraId="1D30E8CF" w14:textId="77777777" w:rsidTr="00D351B7">
        <w:trPr>
          <w:trHeight w:val="290"/>
        </w:trPr>
        <w:tc>
          <w:tcPr>
            <w:tcW w:w="827" w:type="pct"/>
            <w:vMerge/>
            <w:vAlign w:val="center"/>
            <w:hideMark/>
          </w:tcPr>
          <w:p w14:paraId="06358FCF" w14:textId="77777777" w:rsidR="006132A7" w:rsidRPr="001E35C4" w:rsidRDefault="006132A7" w:rsidP="007F6F82">
            <w:pPr>
              <w:rPr>
                <w:noProof/>
                <w:color w:val="000000"/>
                <w:sz w:val="20"/>
                <w:szCs w:val="20"/>
              </w:rPr>
            </w:pPr>
          </w:p>
        </w:tc>
        <w:tc>
          <w:tcPr>
            <w:tcW w:w="604" w:type="pct"/>
            <w:noWrap/>
            <w:vAlign w:val="bottom"/>
            <w:hideMark/>
          </w:tcPr>
          <w:p w14:paraId="4FDAB1D2" w14:textId="77777777" w:rsidR="006132A7" w:rsidRPr="001E35C4" w:rsidRDefault="006132A7" w:rsidP="007F6F82">
            <w:pPr>
              <w:jc w:val="right"/>
              <w:rPr>
                <w:noProof/>
                <w:color w:val="000000"/>
                <w:sz w:val="20"/>
                <w:szCs w:val="20"/>
              </w:rPr>
            </w:pPr>
            <w:r w:rsidRPr="001E35C4">
              <w:rPr>
                <w:noProof/>
                <w:color w:val="000000"/>
                <w:sz w:val="20"/>
                <w:szCs w:val="20"/>
              </w:rPr>
              <w:t>2050</w:t>
            </w:r>
          </w:p>
        </w:tc>
        <w:tc>
          <w:tcPr>
            <w:tcW w:w="893" w:type="pct"/>
            <w:shd w:val="clear" w:color="000000" w:fill="FBFBFE"/>
            <w:noWrap/>
            <w:vAlign w:val="bottom"/>
            <w:hideMark/>
          </w:tcPr>
          <w:p w14:paraId="42E4FBBE" w14:textId="6AE4D8DC" w:rsidR="006132A7" w:rsidRPr="001E35C4" w:rsidRDefault="006132A7" w:rsidP="007F6F82">
            <w:pPr>
              <w:jc w:val="right"/>
              <w:rPr>
                <w:noProof/>
                <w:color w:val="000000"/>
                <w:sz w:val="20"/>
                <w:szCs w:val="20"/>
              </w:rPr>
            </w:pPr>
            <w:r w:rsidRPr="001E35C4">
              <w:rPr>
                <w:noProof/>
                <w:color w:val="000000"/>
                <w:sz w:val="20"/>
                <w:szCs w:val="20"/>
              </w:rPr>
              <w:t>0.</w:t>
            </w:r>
            <w:r w:rsidR="00AF32F9" w:rsidRPr="001E35C4">
              <w:rPr>
                <w:noProof/>
                <w:color w:val="000000"/>
                <w:sz w:val="20"/>
                <w:szCs w:val="20"/>
              </w:rPr>
              <w:t>0</w:t>
            </w:r>
            <w:r w:rsidRPr="001E35C4">
              <w:rPr>
                <w:noProof/>
                <w:color w:val="000000"/>
                <w:sz w:val="20"/>
                <w:szCs w:val="20"/>
              </w:rPr>
              <w:t>%</w:t>
            </w:r>
          </w:p>
        </w:tc>
        <w:tc>
          <w:tcPr>
            <w:tcW w:w="893" w:type="pct"/>
            <w:shd w:val="clear" w:color="000000" w:fill="FCFCFF"/>
            <w:noWrap/>
            <w:vAlign w:val="bottom"/>
            <w:hideMark/>
          </w:tcPr>
          <w:p w14:paraId="659A6E9B" w14:textId="573027FE" w:rsidR="006132A7" w:rsidRPr="001E35C4" w:rsidRDefault="006132A7" w:rsidP="007F6F82">
            <w:pPr>
              <w:jc w:val="right"/>
              <w:rPr>
                <w:noProof/>
                <w:color w:val="000000"/>
                <w:sz w:val="20"/>
                <w:szCs w:val="20"/>
              </w:rPr>
            </w:pPr>
            <w:r w:rsidRPr="001E35C4">
              <w:rPr>
                <w:noProof/>
                <w:color w:val="000000"/>
                <w:sz w:val="20"/>
                <w:szCs w:val="20"/>
              </w:rPr>
              <w:t>0.01%</w:t>
            </w:r>
          </w:p>
        </w:tc>
        <w:tc>
          <w:tcPr>
            <w:tcW w:w="893" w:type="pct"/>
            <w:shd w:val="clear" w:color="000000" w:fill="FCFCFF"/>
            <w:noWrap/>
            <w:vAlign w:val="bottom"/>
            <w:hideMark/>
          </w:tcPr>
          <w:p w14:paraId="70920E31" w14:textId="2941448A" w:rsidR="006132A7" w:rsidRPr="001E35C4" w:rsidRDefault="006132A7" w:rsidP="007F6F82">
            <w:pPr>
              <w:jc w:val="right"/>
              <w:rPr>
                <w:noProof/>
                <w:color w:val="000000"/>
                <w:sz w:val="20"/>
                <w:szCs w:val="20"/>
              </w:rPr>
            </w:pPr>
            <w:r w:rsidRPr="001E35C4">
              <w:rPr>
                <w:noProof/>
                <w:color w:val="000000"/>
                <w:sz w:val="20"/>
                <w:szCs w:val="20"/>
              </w:rPr>
              <w:t>0.01%</w:t>
            </w:r>
          </w:p>
        </w:tc>
        <w:tc>
          <w:tcPr>
            <w:tcW w:w="890" w:type="pct"/>
            <w:shd w:val="clear" w:color="000000" w:fill="FCFCFF"/>
            <w:noWrap/>
            <w:vAlign w:val="bottom"/>
            <w:hideMark/>
          </w:tcPr>
          <w:p w14:paraId="2E375E7F" w14:textId="3F1ED9AA" w:rsidR="006132A7" w:rsidRPr="001E35C4" w:rsidRDefault="006132A7" w:rsidP="007F6F82">
            <w:pPr>
              <w:jc w:val="right"/>
              <w:rPr>
                <w:noProof/>
                <w:color w:val="000000"/>
                <w:sz w:val="20"/>
                <w:szCs w:val="20"/>
              </w:rPr>
            </w:pPr>
            <w:r w:rsidRPr="001E35C4">
              <w:rPr>
                <w:noProof/>
                <w:color w:val="000000"/>
                <w:sz w:val="20"/>
                <w:szCs w:val="20"/>
              </w:rPr>
              <w:t>0.01%</w:t>
            </w:r>
          </w:p>
        </w:tc>
      </w:tr>
    </w:tbl>
    <w:p w14:paraId="3374E36C" w14:textId="77777777" w:rsidR="00D351B7" w:rsidRPr="00D71008" w:rsidRDefault="00D351B7" w:rsidP="00D351B7">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r>
        <w:rPr>
          <w:i/>
          <w:iCs/>
          <w:noProof/>
          <w:sz w:val="20"/>
          <w:szCs w:val="20"/>
        </w:rPr>
        <w:t>; ASTRA model</w:t>
      </w:r>
    </w:p>
    <w:p w14:paraId="0AE498E7" w14:textId="15F7F3F3" w:rsidR="00D948CE" w:rsidRDefault="00D948CE" w:rsidP="006E3FA1">
      <w:pPr>
        <w:pStyle w:val="Heading2"/>
        <w:keepNext/>
        <w:numPr>
          <w:ilvl w:val="2"/>
          <w:numId w:val="11"/>
        </w:numPr>
        <w:tabs>
          <w:tab w:val="left" w:pos="709"/>
        </w:tabs>
        <w:spacing w:before="0" w:after="240"/>
        <w:ind w:left="1134" w:hanging="708"/>
        <w:rPr>
          <w:b w:val="0"/>
          <w:i/>
          <w:noProof/>
        </w:rPr>
      </w:pPr>
      <w:bookmarkStart w:id="165" w:name="_Toc222749003"/>
      <w:bookmarkStart w:id="166" w:name="_Toc223979973"/>
      <w:r>
        <w:rPr>
          <w:b w:val="0"/>
          <w:i/>
          <w:noProof/>
        </w:rPr>
        <w:t>Impacts on innovation</w:t>
      </w:r>
      <w:bookmarkEnd w:id="165"/>
      <w:bookmarkEnd w:id="166"/>
    </w:p>
    <w:p w14:paraId="3B347F8E" w14:textId="1F89BF8A" w:rsidR="001833BE" w:rsidRPr="00B55530" w:rsidRDefault="00CE270F" w:rsidP="00FC7391">
      <w:pPr>
        <w:spacing w:after="240"/>
        <w:jc w:val="both"/>
        <w:rPr>
          <w:noProof/>
          <w:spacing w:val="-8"/>
        </w:rPr>
      </w:pPr>
      <w:r w:rsidRPr="00B55530">
        <w:rPr>
          <w:noProof/>
          <w:spacing w:val="-8"/>
        </w:rPr>
        <w:t xml:space="preserve">By addressing key barriers in ticket distribution, </w:t>
      </w:r>
      <w:r w:rsidR="00904D81">
        <w:rPr>
          <w:noProof/>
          <w:spacing w:val="-8"/>
        </w:rPr>
        <w:t>all policy options</w:t>
      </w:r>
      <w:r w:rsidRPr="00B55530">
        <w:rPr>
          <w:noProof/>
          <w:spacing w:val="-8"/>
        </w:rPr>
        <w:t xml:space="preserve"> create an environment where MDMS</w:t>
      </w:r>
      <w:r w:rsidR="006C332B" w:rsidRPr="00B55530">
        <w:rPr>
          <w:noProof/>
          <w:spacing w:val="-8"/>
        </w:rPr>
        <w:t xml:space="preserve"> platforms</w:t>
      </w:r>
      <w:r w:rsidRPr="00B55530">
        <w:rPr>
          <w:noProof/>
          <w:spacing w:val="-8"/>
        </w:rPr>
        <w:t xml:space="preserve"> and transport operators can develop more integrated, user-friendly, and competitive solutions.</w:t>
      </w:r>
      <w:r w:rsidR="0017086A" w:rsidRPr="00B55530">
        <w:rPr>
          <w:noProof/>
          <w:spacing w:val="-8"/>
        </w:rPr>
        <w:t xml:space="preserve"> </w:t>
      </w:r>
      <w:r w:rsidR="005276BA" w:rsidRPr="00B55530">
        <w:rPr>
          <w:noProof/>
          <w:spacing w:val="-8"/>
        </w:rPr>
        <w:t xml:space="preserve">PO3 is expected to have the biggest impact, as it best addresses the key barriers of access to platforms and access to tickets. </w:t>
      </w:r>
      <w:r w:rsidRPr="00B55530">
        <w:rPr>
          <w:noProof/>
          <w:spacing w:val="-8"/>
        </w:rPr>
        <w:t xml:space="preserve">A major driver of innovation </w:t>
      </w:r>
      <w:r w:rsidR="00996D37" w:rsidRPr="00B55530">
        <w:rPr>
          <w:noProof/>
          <w:spacing w:val="-8"/>
        </w:rPr>
        <w:t xml:space="preserve">stems from greater transparency and equitable conditions on MDMS platforms, combined with improved access for platforms to indispensable transport offers and </w:t>
      </w:r>
      <w:r w:rsidR="00B95BCE" w:rsidRPr="00B55530">
        <w:rPr>
          <w:noProof/>
          <w:spacing w:val="-8"/>
        </w:rPr>
        <w:t xml:space="preserve">to indispensable platforms for RUs. </w:t>
      </w:r>
      <w:r w:rsidRPr="00B55530">
        <w:rPr>
          <w:noProof/>
          <w:spacing w:val="-8"/>
        </w:rPr>
        <w:t xml:space="preserve">Measures </w:t>
      </w:r>
      <w:r w:rsidR="000E6D9E" w:rsidRPr="00B55530">
        <w:rPr>
          <w:noProof/>
          <w:spacing w:val="-8"/>
        </w:rPr>
        <w:t xml:space="preserve">enhancing </w:t>
      </w:r>
      <w:r w:rsidRPr="00B55530">
        <w:rPr>
          <w:noProof/>
          <w:spacing w:val="-8"/>
        </w:rPr>
        <w:t xml:space="preserve">transparency and fairness </w:t>
      </w:r>
      <w:r w:rsidR="000E6D9E" w:rsidRPr="00B55530">
        <w:rPr>
          <w:noProof/>
          <w:spacing w:val="-8"/>
        </w:rPr>
        <w:t>on MDMS platforms, including indispensable ones (PM1, PM2</w:t>
      </w:r>
      <w:r w:rsidR="00B527C4" w:rsidRPr="00B55530">
        <w:rPr>
          <w:noProof/>
          <w:spacing w:val="-8"/>
        </w:rPr>
        <w:t>, PM3, PM4</w:t>
      </w:r>
      <w:r w:rsidR="005F46D8" w:rsidRPr="00B55530">
        <w:rPr>
          <w:noProof/>
          <w:spacing w:val="-8"/>
        </w:rPr>
        <w:t>, PM11 and PM14)</w:t>
      </w:r>
      <w:r w:rsidRPr="00B55530">
        <w:rPr>
          <w:noProof/>
          <w:spacing w:val="-8"/>
        </w:rPr>
        <w:t xml:space="preserve"> incentivise new entrants and smaller operators to innovate, as they gain equal visibility alongside established players. </w:t>
      </w:r>
      <w:r w:rsidR="00C6457B" w:rsidRPr="00B55530">
        <w:rPr>
          <w:noProof/>
          <w:spacing w:val="-8"/>
        </w:rPr>
        <w:t xml:space="preserve">The neutral display obligations (PM1) retain flexibility, allowing MDMS platforms to offer alternative display criteria as long as the end user retains choice. </w:t>
      </w:r>
      <w:r w:rsidR="00904757" w:rsidRPr="00B55530">
        <w:rPr>
          <w:noProof/>
          <w:spacing w:val="-8"/>
        </w:rPr>
        <w:t xml:space="preserve">The </w:t>
      </w:r>
      <w:r w:rsidR="00610A8D" w:rsidRPr="00B55530">
        <w:rPr>
          <w:noProof/>
          <w:spacing w:val="-8"/>
        </w:rPr>
        <w:t>principles for commercial agreements (PM11)</w:t>
      </w:r>
      <w:r w:rsidR="00904757" w:rsidRPr="00B55530">
        <w:rPr>
          <w:noProof/>
          <w:spacing w:val="-8"/>
        </w:rPr>
        <w:t xml:space="preserve"> </w:t>
      </w:r>
      <w:r w:rsidR="00A8780F" w:rsidRPr="00B55530">
        <w:rPr>
          <w:noProof/>
          <w:spacing w:val="-8"/>
        </w:rPr>
        <w:t xml:space="preserve">protect </w:t>
      </w:r>
      <w:r w:rsidR="00904757" w:rsidRPr="00B55530">
        <w:rPr>
          <w:noProof/>
          <w:spacing w:val="-8"/>
        </w:rPr>
        <w:t>smaller operators from unfair bargaining power, enabling them to compete on service quality rather than market clout</w:t>
      </w:r>
      <w:r w:rsidR="004E7A98" w:rsidRPr="00B55530">
        <w:rPr>
          <w:noProof/>
          <w:spacing w:val="-8"/>
        </w:rPr>
        <w:t xml:space="preserve">. Likewise, the </w:t>
      </w:r>
      <w:r w:rsidR="00FC7391" w:rsidRPr="00B55530">
        <w:rPr>
          <w:noProof/>
          <w:spacing w:val="-8"/>
        </w:rPr>
        <w:t>possibility</w:t>
      </w:r>
      <w:r w:rsidR="004E7A98" w:rsidRPr="00B55530">
        <w:rPr>
          <w:noProof/>
          <w:spacing w:val="-8"/>
        </w:rPr>
        <w:t xml:space="preserve"> for </w:t>
      </w:r>
      <w:r w:rsidR="007321CA" w:rsidRPr="00B55530">
        <w:rPr>
          <w:noProof/>
          <w:spacing w:val="-8"/>
        </w:rPr>
        <w:t>MDMS platforms to integrate indispensable RUs</w:t>
      </w:r>
      <w:r w:rsidR="002D6813" w:rsidRPr="00B55530">
        <w:rPr>
          <w:noProof/>
          <w:spacing w:val="-8"/>
        </w:rPr>
        <w:t xml:space="preserve"> (PM13)</w:t>
      </w:r>
      <w:r w:rsidR="007321CA" w:rsidRPr="00B55530">
        <w:rPr>
          <w:noProof/>
          <w:spacing w:val="-8"/>
        </w:rPr>
        <w:t xml:space="preserve"> and ensure that these </w:t>
      </w:r>
      <w:r w:rsidR="002D6813" w:rsidRPr="00B55530">
        <w:rPr>
          <w:noProof/>
          <w:spacing w:val="-8"/>
        </w:rPr>
        <w:t xml:space="preserve">do not impose unfair contract terms (PM12) reduce entry barriers, encouraging start-ups and SMEs MDMS to develop </w:t>
      </w:r>
      <w:r w:rsidR="00225D5A" w:rsidRPr="00B55530">
        <w:rPr>
          <w:noProof/>
          <w:spacing w:val="-8"/>
        </w:rPr>
        <w:t>new services.</w:t>
      </w:r>
    </w:p>
    <w:p w14:paraId="23408C86" w14:textId="725DF1D5" w:rsidR="00455957" w:rsidRPr="00B55530" w:rsidRDefault="00B43CB1" w:rsidP="00FC7391">
      <w:pPr>
        <w:spacing w:after="240"/>
        <w:jc w:val="both"/>
        <w:rPr>
          <w:noProof/>
          <w:spacing w:val="-8"/>
        </w:rPr>
      </w:pPr>
      <w:r w:rsidRPr="00B43CB1">
        <w:rPr>
          <w:noProof/>
          <w:spacing w:val="-8"/>
        </w:rPr>
        <w:t xml:space="preserve">PO1 </w:t>
      </w:r>
      <w:r w:rsidR="00AB027E">
        <w:rPr>
          <w:noProof/>
          <w:spacing w:val="-8"/>
        </w:rPr>
        <w:t>shar</w:t>
      </w:r>
      <w:r>
        <w:rPr>
          <w:noProof/>
          <w:spacing w:val="-8"/>
        </w:rPr>
        <w:t xml:space="preserve">es </w:t>
      </w:r>
      <w:r w:rsidR="00F53669">
        <w:rPr>
          <w:noProof/>
          <w:spacing w:val="-8"/>
        </w:rPr>
        <w:t xml:space="preserve">PM1 till </w:t>
      </w:r>
      <w:r>
        <w:rPr>
          <w:noProof/>
          <w:spacing w:val="-8"/>
        </w:rPr>
        <w:t>PM</w:t>
      </w:r>
      <w:r w:rsidR="00F53669">
        <w:rPr>
          <w:noProof/>
          <w:spacing w:val="-8"/>
        </w:rPr>
        <w:t>12</w:t>
      </w:r>
      <w:r>
        <w:rPr>
          <w:noProof/>
          <w:spacing w:val="-8"/>
        </w:rPr>
        <w:t xml:space="preserve"> with PO3 and thus </w:t>
      </w:r>
      <w:r w:rsidR="00275793">
        <w:rPr>
          <w:noProof/>
          <w:spacing w:val="-8"/>
        </w:rPr>
        <w:t xml:space="preserve">also </w:t>
      </w:r>
      <w:r>
        <w:rPr>
          <w:noProof/>
          <w:spacing w:val="-8"/>
        </w:rPr>
        <w:t>benefits from the</w:t>
      </w:r>
      <w:r w:rsidR="00275793">
        <w:rPr>
          <w:noProof/>
          <w:spacing w:val="-8"/>
        </w:rPr>
        <w:t xml:space="preserve">ir </w:t>
      </w:r>
      <w:r w:rsidR="009340D5">
        <w:rPr>
          <w:noProof/>
          <w:spacing w:val="-8"/>
        </w:rPr>
        <w:t>positive impact on innovation</w:t>
      </w:r>
      <w:r w:rsidR="00D43F27">
        <w:rPr>
          <w:noProof/>
          <w:spacing w:val="-8"/>
        </w:rPr>
        <w:t>.</w:t>
      </w:r>
      <w:r w:rsidR="009340D5">
        <w:rPr>
          <w:noProof/>
          <w:spacing w:val="-8"/>
        </w:rPr>
        <w:t xml:space="preserve"> </w:t>
      </w:r>
      <w:r w:rsidR="00D43F27">
        <w:rPr>
          <w:noProof/>
          <w:spacing w:val="-8"/>
        </w:rPr>
        <w:t xml:space="preserve">This is </w:t>
      </w:r>
      <w:r w:rsidR="009340D5">
        <w:rPr>
          <w:noProof/>
          <w:spacing w:val="-8"/>
        </w:rPr>
        <w:t>however</w:t>
      </w:r>
      <w:r w:rsidR="00D43F27">
        <w:rPr>
          <w:noProof/>
          <w:spacing w:val="-8"/>
        </w:rPr>
        <w:t xml:space="preserve"> </w:t>
      </w:r>
      <w:r w:rsidR="00A45D2A">
        <w:rPr>
          <w:noProof/>
          <w:spacing w:val="-8"/>
        </w:rPr>
        <w:t xml:space="preserve">limited by the </w:t>
      </w:r>
      <w:r w:rsidR="00D701BE">
        <w:rPr>
          <w:noProof/>
          <w:spacing w:val="-8"/>
        </w:rPr>
        <w:t xml:space="preserve">fact </w:t>
      </w:r>
      <w:r w:rsidR="001466F2">
        <w:rPr>
          <w:noProof/>
          <w:spacing w:val="-8"/>
        </w:rPr>
        <w:t xml:space="preserve">that </w:t>
      </w:r>
      <w:r w:rsidR="00D701BE">
        <w:rPr>
          <w:noProof/>
          <w:spacing w:val="-8"/>
        </w:rPr>
        <w:t xml:space="preserve">it does not </w:t>
      </w:r>
      <w:r w:rsidR="00623FAB">
        <w:rPr>
          <w:noProof/>
          <w:spacing w:val="-8"/>
        </w:rPr>
        <w:t>rebalance the market dynamics</w:t>
      </w:r>
      <w:r w:rsidR="00D701BE">
        <w:rPr>
          <w:noProof/>
          <w:spacing w:val="-8"/>
        </w:rPr>
        <w:t xml:space="preserve"> in the same manner</w:t>
      </w:r>
      <w:r w:rsidR="009D5DB3">
        <w:rPr>
          <w:noProof/>
          <w:spacing w:val="-8"/>
        </w:rPr>
        <w:t>;</w:t>
      </w:r>
      <w:r w:rsidR="000D59B0">
        <w:rPr>
          <w:noProof/>
          <w:spacing w:val="-8"/>
        </w:rPr>
        <w:t xml:space="preserve"> </w:t>
      </w:r>
      <w:r w:rsidR="00057DA5">
        <w:rPr>
          <w:noProof/>
          <w:spacing w:val="-8"/>
        </w:rPr>
        <w:t xml:space="preserve">the </w:t>
      </w:r>
      <w:r w:rsidR="000D59B0">
        <w:rPr>
          <w:noProof/>
          <w:spacing w:val="-8"/>
        </w:rPr>
        <w:t xml:space="preserve">lack of access to ticket offers means there is </w:t>
      </w:r>
      <w:r w:rsidR="00D77BA2">
        <w:rPr>
          <w:noProof/>
          <w:spacing w:val="-8"/>
        </w:rPr>
        <w:t xml:space="preserve">(a lot) </w:t>
      </w:r>
      <w:r w:rsidR="000D59B0">
        <w:rPr>
          <w:noProof/>
          <w:spacing w:val="-8"/>
        </w:rPr>
        <w:t>less to innovate with.</w:t>
      </w:r>
      <w:r w:rsidR="001B6A93">
        <w:rPr>
          <w:noProof/>
          <w:spacing w:val="-8"/>
        </w:rPr>
        <w:t xml:space="preserve"> PO2 is better in this regard as it does address this issue</w:t>
      </w:r>
      <w:r w:rsidR="000370BD">
        <w:rPr>
          <w:noProof/>
          <w:spacing w:val="-8"/>
        </w:rPr>
        <w:t xml:space="preserve"> through PM</w:t>
      </w:r>
      <w:r w:rsidR="0078465F">
        <w:rPr>
          <w:noProof/>
          <w:spacing w:val="-8"/>
        </w:rPr>
        <w:t>13</w:t>
      </w:r>
      <w:r w:rsidR="001B6A93">
        <w:rPr>
          <w:noProof/>
          <w:spacing w:val="-8"/>
        </w:rPr>
        <w:t>, though still not as effectively as PO3</w:t>
      </w:r>
      <w:r w:rsidR="000D6D8F">
        <w:rPr>
          <w:noProof/>
          <w:spacing w:val="-8"/>
        </w:rPr>
        <w:t xml:space="preserve"> (which adds PM14)</w:t>
      </w:r>
      <w:r w:rsidR="005A37FF">
        <w:rPr>
          <w:noProof/>
          <w:spacing w:val="-8"/>
        </w:rPr>
        <w:t xml:space="preserve">. </w:t>
      </w:r>
      <w:r w:rsidR="00213A09">
        <w:rPr>
          <w:noProof/>
          <w:spacing w:val="-8"/>
        </w:rPr>
        <w:t xml:space="preserve">PO3 </w:t>
      </w:r>
      <w:r w:rsidR="008B1FCB">
        <w:rPr>
          <w:noProof/>
          <w:spacing w:val="-8"/>
        </w:rPr>
        <w:t xml:space="preserve">is </w:t>
      </w:r>
      <w:r w:rsidR="008D2987">
        <w:rPr>
          <w:noProof/>
          <w:spacing w:val="-8"/>
        </w:rPr>
        <w:t xml:space="preserve">expected to </w:t>
      </w:r>
      <w:r w:rsidR="000B7680">
        <w:rPr>
          <w:noProof/>
          <w:spacing w:val="-8"/>
        </w:rPr>
        <w:t>particu</w:t>
      </w:r>
      <w:r w:rsidR="00D64366">
        <w:rPr>
          <w:noProof/>
          <w:spacing w:val="-8"/>
        </w:rPr>
        <w:t>l</w:t>
      </w:r>
      <w:r w:rsidR="000B7680">
        <w:rPr>
          <w:noProof/>
          <w:spacing w:val="-8"/>
        </w:rPr>
        <w:t>arly boost</w:t>
      </w:r>
      <w:r w:rsidR="008D2987">
        <w:rPr>
          <w:noProof/>
          <w:spacing w:val="-8"/>
        </w:rPr>
        <w:t xml:space="preserve"> </w:t>
      </w:r>
      <w:r w:rsidR="00D64366">
        <w:rPr>
          <w:noProof/>
          <w:spacing w:val="-8"/>
        </w:rPr>
        <w:t>innovation</w:t>
      </w:r>
      <w:r w:rsidR="00326B69">
        <w:rPr>
          <w:noProof/>
          <w:spacing w:val="-8"/>
        </w:rPr>
        <w:t xml:space="preserve"> in the </w:t>
      </w:r>
      <w:r w:rsidR="00B20B02">
        <w:rPr>
          <w:noProof/>
          <w:spacing w:val="-8"/>
        </w:rPr>
        <w:t xml:space="preserve">platform </w:t>
      </w:r>
      <w:r w:rsidR="00326B69">
        <w:rPr>
          <w:noProof/>
          <w:spacing w:val="-8"/>
        </w:rPr>
        <w:t>market</w:t>
      </w:r>
      <w:r w:rsidR="00ED3BDD">
        <w:rPr>
          <w:noProof/>
          <w:spacing w:val="-8"/>
        </w:rPr>
        <w:t xml:space="preserve"> </w:t>
      </w:r>
      <w:r w:rsidR="00D64366">
        <w:rPr>
          <w:noProof/>
          <w:spacing w:val="-8"/>
        </w:rPr>
        <w:t xml:space="preserve">for the reasons explained in </w:t>
      </w:r>
      <w:r w:rsidR="0030263A">
        <w:rPr>
          <w:noProof/>
          <w:spacing w:val="-8"/>
        </w:rPr>
        <w:t>Section</w:t>
      </w:r>
      <w:r w:rsidR="00D2493F">
        <w:rPr>
          <w:noProof/>
          <w:spacing w:val="-8"/>
        </w:rPr>
        <w:t xml:space="preserve"> 6.1.6</w:t>
      </w:r>
      <w:r w:rsidR="00C5125B">
        <w:rPr>
          <w:noProof/>
          <w:spacing w:val="-8"/>
        </w:rPr>
        <w:t>:</w:t>
      </w:r>
      <w:r w:rsidR="006139A2">
        <w:rPr>
          <w:noProof/>
          <w:spacing w:val="-8"/>
        </w:rPr>
        <w:t xml:space="preserve"> </w:t>
      </w:r>
      <w:r w:rsidR="00496C45" w:rsidRPr="002E10C2">
        <w:rPr>
          <w:noProof/>
          <w:spacing w:val="-8"/>
        </w:rPr>
        <w:t xml:space="preserve">PO3 would oblige indispensable </w:t>
      </w:r>
      <w:r w:rsidR="00496C45">
        <w:rPr>
          <w:noProof/>
          <w:spacing w:val="-8"/>
        </w:rPr>
        <w:t xml:space="preserve">RU </w:t>
      </w:r>
      <w:r w:rsidR="00496C45" w:rsidRPr="002E10C2">
        <w:rPr>
          <w:noProof/>
          <w:spacing w:val="-8"/>
        </w:rPr>
        <w:t>platform</w:t>
      </w:r>
      <w:r w:rsidR="00496C45">
        <w:rPr>
          <w:noProof/>
          <w:spacing w:val="-8"/>
        </w:rPr>
        <w:t>s</w:t>
      </w:r>
      <w:r w:rsidR="00496C45" w:rsidRPr="002E10C2">
        <w:rPr>
          <w:noProof/>
          <w:spacing w:val="-8"/>
        </w:rPr>
        <w:t xml:space="preserve"> to host a complete ticketing offer</w:t>
      </w:r>
      <w:r w:rsidR="005D0ABA">
        <w:rPr>
          <w:noProof/>
          <w:spacing w:val="-8"/>
        </w:rPr>
        <w:t xml:space="preserve">, which </w:t>
      </w:r>
      <w:r w:rsidR="00496C45" w:rsidRPr="002E10C2">
        <w:rPr>
          <w:noProof/>
          <w:spacing w:val="-8"/>
        </w:rPr>
        <w:t xml:space="preserve">is likely to reinforce their appeal in the market, but at the same time would deprive them of any possibility of </w:t>
      </w:r>
      <w:r w:rsidR="00CA3673">
        <w:rPr>
          <w:noProof/>
          <w:spacing w:val="-8"/>
        </w:rPr>
        <w:t>discrimination</w:t>
      </w:r>
      <w:r w:rsidR="00496C45" w:rsidRPr="002E10C2">
        <w:rPr>
          <w:noProof/>
          <w:spacing w:val="-8"/>
        </w:rPr>
        <w:t xml:space="preserve">. This </w:t>
      </w:r>
      <w:r w:rsidR="00212D50">
        <w:rPr>
          <w:noProof/>
          <w:spacing w:val="-8"/>
        </w:rPr>
        <w:t xml:space="preserve">is likely to </w:t>
      </w:r>
      <w:r w:rsidR="00496C45" w:rsidRPr="002E10C2">
        <w:rPr>
          <w:noProof/>
          <w:spacing w:val="-8"/>
        </w:rPr>
        <w:t>induc</w:t>
      </w:r>
      <w:r w:rsidR="00212D50">
        <w:rPr>
          <w:noProof/>
          <w:spacing w:val="-8"/>
        </w:rPr>
        <w:t xml:space="preserve">e </w:t>
      </w:r>
      <w:r w:rsidR="00496C45" w:rsidRPr="002E10C2">
        <w:rPr>
          <w:noProof/>
          <w:spacing w:val="-8"/>
        </w:rPr>
        <w:t xml:space="preserve">a behaviour that is closer to that of ‘normal’ platforms that seek to maximise market intermediation. This, in turn, might elicit even stronger innovation efforts from competing independent platforms. </w:t>
      </w:r>
      <w:r w:rsidR="00496C45">
        <w:rPr>
          <w:noProof/>
          <w:spacing w:val="-8"/>
        </w:rPr>
        <w:t xml:space="preserve">Indeed, in the baseline, PO1 and, partly, PO2, </w:t>
      </w:r>
      <w:r w:rsidR="00D93586">
        <w:rPr>
          <w:noProof/>
          <w:spacing w:val="-8"/>
        </w:rPr>
        <w:t xml:space="preserve">there is a duality in the </w:t>
      </w:r>
      <w:r w:rsidR="00496C45">
        <w:rPr>
          <w:noProof/>
          <w:spacing w:val="-8"/>
        </w:rPr>
        <w:t>platform</w:t>
      </w:r>
      <w:r w:rsidR="00D93586">
        <w:rPr>
          <w:noProof/>
          <w:spacing w:val="-8"/>
        </w:rPr>
        <w:t xml:space="preserve"> market</w:t>
      </w:r>
      <w:r w:rsidR="009A066B">
        <w:rPr>
          <w:noProof/>
          <w:spacing w:val="-8"/>
        </w:rPr>
        <w:t>, where bot</w:t>
      </w:r>
      <w:r w:rsidR="00A01D9B">
        <w:rPr>
          <w:noProof/>
          <w:spacing w:val="-8"/>
        </w:rPr>
        <w:t>h incumbent and independent platforms</w:t>
      </w:r>
      <w:r w:rsidR="00496C45">
        <w:rPr>
          <w:noProof/>
          <w:spacing w:val="-8"/>
        </w:rPr>
        <w:t xml:space="preserve"> have near ‘captive’ customers (incumbent operators for the incumbent platforms and new entrants for the independent platforms) and competition is affected by access limitations to both content and distribution channels. Under PO3, the sharing and hosting obligation provide all operators with full access to tickets and platforms. This is likely to push platforms to compete more strongly on innovation, user experience, customer care and additional services, since they can no longer rely on exclusive content. </w:t>
      </w:r>
      <w:r w:rsidR="005A37FF">
        <w:rPr>
          <w:noProof/>
          <w:spacing w:val="-8"/>
        </w:rPr>
        <w:t xml:space="preserve">PO4 has </w:t>
      </w:r>
      <w:r w:rsidR="00103C9E">
        <w:rPr>
          <w:noProof/>
          <w:spacing w:val="-8"/>
        </w:rPr>
        <w:t>a similar</w:t>
      </w:r>
      <w:r w:rsidR="005A37FF">
        <w:rPr>
          <w:noProof/>
          <w:spacing w:val="-8"/>
        </w:rPr>
        <w:t xml:space="preserve"> potential to </w:t>
      </w:r>
      <w:r w:rsidR="00103C9E">
        <w:rPr>
          <w:noProof/>
          <w:spacing w:val="-8"/>
        </w:rPr>
        <w:t>innovation as PO</w:t>
      </w:r>
      <w:r w:rsidR="00D77BA2">
        <w:rPr>
          <w:noProof/>
          <w:spacing w:val="-8"/>
        </w:rPr>
        <w:t>2</w:t>
      </w:r>
      <w:r w:rsidR="005D7FA5">
        <w:rPr>
          <w:noProof/>
          <w:spacing w:val="-8"/>
        </w:rPr>
        <w:t>;</w:t>
      </w:r>
      <w:r w:rsidR="00B864C1">
        <w:rPr>
          <w:noProof/>
          <w:spacing w:val="-8"/>
        </w:rPr>
        <w:t xml:space="preserve"> </w:t>
      </w:r>
      <w:r w:rsidR="00FA67E8">
        <w:rPr>
          <w:noProof/>
          <w:spacing w:val="-8"/>
        </w:rPr>
        <w:t>its</w:t>
      </w:r>
      <w:r w:rsidR="00B864C1">
        <w:rPr>
          <w:noProof/>
          <w:spacing w:val="-8"/>
        </w:rPr>
        <w:t xml:space="preserve"> more </w:t>
      </w:r>
      <w:r w:rsidR="00FA67E8">
        <w:rPr>
          <w:noProof/>
          <w:spacing w:val="-8"/>
        </w:rPr>
        <w:t>fundamental rebalancing potential offset by the</w:t>
      </w:r>
      <w:r w:rsidR="006D1415">
        <w:rPr>
          <w:noProof/>
          <w:spacing w:val="-8"/>
        </w:rPr>
        <w:t xml:space="preserve"> time delay </w:t>
      </w:r>
      <w:r w:rsidR="00902EF2">
        <w:rPr>
          <w:noProof/>
          <w:spacing w:val="-8"/>
        </w:rPr>
        <w:t>associated with</w:t>
      </w:r>
      <w:r w:rsidR="006D1415">
        <w:rPr>
          <w:noProof/>
          <w:spacing w:val="-8"/>
        </w:rPr>
        <w:t xml:space="preserve"> restructuring the market though unbundling</w:t>
      </w:r>
      <w:r w:rsidR="00B34351">
        <w:rPr>
          <w:noProof/>
          <w:spacing w:val="-8"/>
        </w:rPr>
        <w:t>.</w:t>
      </w:r>
    </w:p>
    <w:p w14:paraId="44A3126A" w14:textId="5058A24B" w:rsidR="000029B2" w:rsidRPr="00237A70" w:rsidRDefault="003E36F8" w:rsidP="006E3FA1">
      <w:pPr>
        <w:pStyle w:val="Heading2"/>
        <w:keepNext/>
        <w:numPr>
          <w:ilvl w:val="2"/>
          <w:numId w:val="11"/>
        </w:numPr>
        <w:tabs>
          <w:tab w:val="left" w:pos="709"/>
        </w:tabs>
        <w:spacing w:before="0" w:after="240"/>
        <w:ind w:left="1134" w:hanging="708"/>
        <w:rPr>
          <w:b w:val="0"/>
          <w:i/>
          <w:noProof/>
        </w:rPr>
      </w:pPr>
      <w:bookmarkStart w:id="167" w:name="_Toc222313485"/>
      <w:bookmarkStart w:id="168" w:name="_Toc222749004"/>
      <w:bookmarkStart w:id="169" w:name="_Toc223979974"/>
      <w:r w:rsidRPr="00237A70">
        <w:rPr>
          <w:b w:val="0"/>
          <w:i/>
          <w:noProof/>
        </w:rPr>
        <w:t>Digital by default</w:t>
      </w:r>
      <w:bookmarkEnd w:id="167"/>
      <w:bookmarkEnd w:id="168"/>
      <w:bookmarkEnd w:id="169"/>
    </w:p>
    <w:p w14:paraId="1735D587" w14:textId="5D5BF0A1" w:rsidR="00482054" w:rsidRPr="003043B7" w:rsidRDefault="007A6276" w:rsidP="000029B2">
      <w:pPr>
        <w:pStyle w:val="BodyText"/>
        <w:spacing w:after="240"/>
        <w:ind w:left="0"/>
        <w:rPr>
          <w:noProof/>
          <w:spacing w:val="-8"/>
        </w:rPr>
      </w:pPr>
      <w:r w:rsidRPr="003043B7">
        <w:rPr>
          <w:noProof/>
          <w:spacing w:val="-8"/>
        </w:rPr>
        <w:t>All policy options</w:t>
      </w:r>
      <w:r w:rsidR="00482054" w:rsidRPr="003043B7">
        <w:rPr>
          <w:noProof/>
          <w:spacing w:val="-8"/>
        </w:rPr>
        <w:t xml:space="preserve"> </w:t>
      </w:r>
      <w:r w:rsidRPr="003043B7">
        <w:rPr>
          <w:noProof/>
          <w:spacing w:val="-8"/>
        </w:rPr>
        <w:t>are</w:t>
      </w:r>
      <w:r w:rsidR="00482054" w:rsidRPr="003043B7">
        <w:rPr>
          <w:noProof/>
          <w:spacing w:val="-8"/>
        </w:rPr>
        <w:t xml:space="preserve"> fundamentally aligned with the 'digital by default' principle, aiming to foster a robust digital ecosystem within the transport sector. Key measures include the obligations to load and process data with equal care and timeliness (PM2), and to uphold fair principles in commercial agreements (PM11 </w:t>
      </w:r>
      <w:r w:rsidR="00AF3347" w:rsidRPr="003043B7">
        <w:rPr>
          <w:noProof/>
          <w:spacing w:val="-8"/>
        </w:rPr>
        <w:t>and PM</w:t>
      </w:r>
      <w:r w:rsidR="00482054" w:rsidRPr="003043B7">
        <w:rPr>
          <w:noProof/>
          <w:spacing w:val="-8"/>
        </w:rPr>
        <w:t>12). These provisions are</w:t>
      </w:r>
      <w:r w:rsidR="004E566A">
        <w:rPr>
          <w:noProof/>
          <w:spacing w:val="-8"/>
        </w:rPr>
        <w:t xml:space="preserve"> included in all options and</w:t>
      </w:r>
      <w:r w:rsidR="00482054">
        <w:rPr>
          <w:noProof/>
          <w:spacing w:val="-8"/>
        </w:rPr>
        <w:t xml:space="preserve"> are</w:t>
      </w:r>
      <w:r w:rsidR="00482054" w:rsidRPr="003043B7">
        <w:rPr>
          <w:noProof/>
          <w:spacing w:val="-8"/>
        </w:rPr>
        <w:t xml:space="preserve"> designed to encourage fairer and more efficient data exchanges between involved parties, thereby streamlining digital operations and enhancing user </w:t>
      </w:r>
      <w:r w:rsidR="00BC760B" w:rsidRPr="003043B7">
        <w:rPr>
          <w:noProof/>
          <w:spacing w:val="-8"/>
        </w:rPr>
        <w:t xml:space="preserve">experience. </w:t>
      </w:r>
      <w:r w:rsidR="00482054" w:rsidRPr="003043B7">
        <w:rPr>
          <w:noProof/>
          <w:spacing w:val="-8"/>
        </w:rPr>
        <w:t xml:space="preserve">The initiative's digital focus is further reinforced by the obligations to share non-personal data with public transport authorities (PM7), present in all four policy options. This will substantially increase the availability and utilisation of mobility data by public </w:t>
      </w:r>
      <w:r w:rsidR="009C3E10">
        <w:rPr>
          <w:noProof/>
          <w:spacing w:val="-8"/>
        </w:rPr>
        <w:t>authorities</w:t>
      </w:r>
      <w:r w:rsidR="00482054" w:rsidRPr="003043B7">
        <w:rPr>
          <w:noProof/>
          <w:spacing w:val="-8"/>
        </w:rPr>
        <w:t>, leading to enriched data-driven decision-making and improved service delivery within</w:t>
      </w:r>
      <w:r w:rsidR="00482054">
        <w:rPr>
          <w:noProof/>
          <w:spacing w:val="-8"/>
        </w:rPr>
        <w:t xml:space="preserve"> </w:t>
      </w:r>
      <w:r w:rsidR="000510A3">
        <w:rPr>
          <w:noProof/>
          <w:spacing w:val="-8"/>
        </w:rPr>
        <w:t>the</w:t>
      </w:r>
      <w:r w:rsidR="00482054" w:rsidRPr="003043B7">
        <w:rPr>
          <w:noProof/>
          <w:spacing w:val="-8"/>
        </w:rPr>
        <w:t xml:space="preserve"> transport system.</w:t>
      </w:r>
      <w:r w:rsidR="00BC760B" w:rsidRPr="003043B7">
        <w:rPr>
          <w:noProof/>
          <w:spacing w:val="-8"/>
        </w:rPr>
        <w:t xml:space="preserve"> </w:t>
      </w:r>
      <w:r w:rsidR="00482054" w:rsidRPr="003043B7">
        <w:rPr>
          <w:noProof/>
          <w:spacing w:val="-8"/>
        </w:rPr>
        <w:t xml:space="preserve">Additionally, the requirement to </w:t>
      </w:r>
      <w:r w:rsidR="002755E4" w:rsidRPr="003043B7">
        <w:rPr>
          <w:noProof/>
          <w:spacing w:val="-8"/>
        </w:rPr>
        <w:t>respect</w:t>
      </w:r>
      <w:r w:rsidR="00482054" w:rsidRPr="003043B7">
        <w:rPr>
          <w:noProof/>
          <w:spacing w:val="-8"/>
        </w:rPr>
        <w:t xml:space="preserve"> the rules on marketing and booking data (PM3) is instrumental in promoting fair and efficient data sharing practices. By mandating non-discriminatory sharing of marketing, booking, and sales data, </w:t>
      </w:r>
      <w:r w:rsidR="00625167">
        <w:rPr>
          <w:noProof/>
          <w:spacing w:val="-8"/>
        </w:rPr>
        <w:t>all policy options</w:t>
      </w:r>
      <w:r w:rsidR="00482054" w:rsidRPr="003043B7">
        <w:rPr>
          <w:noProof/>
          <w:spacing w:val="-8"/>
        </w:rPr>
        <w:t xml:space="preserve"> ensure</w:t>
      </w:r>
      <w:r w:rsidR="0086101B">
        <w:rPr>
          <w:noProof/>
          <w:spacing w:val="-8"/>
        </w:rPr>
        <w:t xml:space="preserve"> that</w:t>
      </w:r>
      <w:r w:rsidR="00482054" w:rsidRPr="003043B7">
        <w:rPr>
          <w:noProof/>
          <w:spacing w:val="-8"/>
        </w:rPr>
        <w:t xml:space="preserve"> MDMS platforms facilitate the anonymisation and responsible use of data, fostering a more equitable digital marketplace for all transport operators.</w:t>
      </w:r>
      <w:r w:rsidR="00BB6F5B" w:rsidRPr="003043B7">
        <w:rPr>
          <w:noProof/>
          <w:spacing w:val="-8"/>
        </w:rPr>
        <w:t xml:space="preserve"> </w:t>
      </w:r>
      <w:r w:rsidR="00482054" w:rsidRPr="003043B7">
        <w:rPr>
          <w:noProof/>
          <w:spacing w:val="-8"/>
        </w:rPr>
        <w:t xml:space="preserve">Overall, these measures aim to eliminate barriers in acquiring, sharing, combining, and reusing data assets, while maintaining coherent data governance and continuous data management. This approach is thoroughly aligned with the horizontal legal framework established </w:t>
      </w:r>
      <w:r w:rsidR="001E3238">
        <w:rPr>
          <w:noProof/>
          <w:spacing w:val="-8"/>
        </w:rPr>
        <w:t>at EU level</w:t>
      </w:r>
      <w:r w:rsidR="00482054">
        <w:rPr>
          <w:noProof/>
          <w:spacing w:val="-8"/>
        </w:rPr>
        <w:t xml:space="preserve"> </w:t>
      </w:r>
      <w:r w:rsidR="00482054" w:rsidRPr="003043B7">
        <w:rPr>
          <w:noProof/>
          <w:spacing w:val="-8"/>
        </w:rPr>
        <w:t xml:space="preserve">through </w:t>
      </w:r>
      <w:r w:rsidR="001E3238">
        <w:rPr>
          <w:noProof/>
          <w:spacing w:val="-8"/>
        </w:rPr>
        <w:t xml:space="preserve">the </w:t>
      </w:r>
      <w:r w:rsidR="007A4FE6" w:rsidRPr="003043B7">
        <w:rPr>
          <w:noProof/>
          <w:spacing w:val="-8"/>
        </w:rPr>
        <w:t>Data Act</w:t>
      </w:r>
      <w:r w:rsidR="007A4FE6" w:rsidRPr="003043B7">
        <w:rPr>
          <w:rStyle w:val="FootnoteReference"/>
          <w:noProof/>
          <w:spacing w:val="-8"/>
        </w:rPr>
        <w:footnoteReference w:id="200"/>
      </w:r>
      <w:r w:rsidR="00482054" w:rsidRPr="003043B7">
        <w:rPr>
          <w:noProof/>
          <w:spacing w:val="-8"/>
        </w:rPr>
        <w:t xml:space="preserve">. Enhanced data sharing plays a </w:t>
      </w:r>
      <w:r w:rsidR="00B61006" w:rsidRPr="003043B7">
        <w:rPr>
          <w:noProof/>
          <w:spacing w:val="-8"/>
        </w:rPr>
        <w:t>key</w:t>
      </w:r>
      <w:r w:rsidR="00482054" w:rsidRPr="003043B7">
        <w:rPr>
          <w:noProof/>
          <w:spacing w:val="-8"/>
        </w:rPr>
        <w:t xml:space="preserve"> role in enabling the development of innovative multimodal services, ultimately contributing to the establishment of a common European Mobility Data Space and </w:t>
      </w:r>
      <w:r w:rsidR="00A30637">
        <w:rPr>
          <w:noProof/>
          <w:spacing w:val="-8"/>
        </w:rPr>
        <w:t>a</w:t>
      </w:r>
      <w:r w:rsidR="00482054" w:rsidRPr="003043B7">
        <w:rPr>
          <w:noProof/>
          <w:spacing w:val="-8"/>
        </w:rPr>
        <w:t xml:space="preserve"> common European Tourism Data Space. By prioritising digital integration and data accessibility, </w:t>
      </w:r>
      <w:r w:rsidR="00A3530B">
        <w:rPr>
          <w:noProof/>
          <w:spacing w:val="-8"/>
        </w:rPr>
        <w:t>all policy options</w:t>
      </w:r>
      <w:r w:rsidR="00482054" w:rsidRPr="003043B7">
        <w:rPr>
          <w:noProof/>
          <w:spacing w:val="-8"/>
        </w:rPr>
        <w:t xml:space="preserve"> pave the way for technological advancements that streamline operations, elevate service standards, and drive sustainable growth across the European transport network.</w:t>
      </w:r>
    </w:p>
    <w:p w14:paraId="0918FF0E" w14:textId="06DD685B" w:rsidR="00F83063" w:rsidRPr="00C6457B" w:rsidRDefault="00E66AA2" w:rsidP="006E3FA1">
      <w:pPr>
        <w:pStyle w:val="Heading2"/>
        <w:keepNext/>
        <w:numPr>
          <w:ilvl w:val="2"/>
          <w:numId w:val="11"/>
        </w:numPr>
        <w:tabs>
          <w:tab w:val="left" w:pos="709"/>
        </w:tabs>
        <w:spacing w:before="0" w:after="240"/>
        <w:ind w:left="1134" w:hanging="708"/>
        <w:rPr>
          <w:b w:val="0"/>
          <w:i/>
          <w:noProof/>
        </w:rPr>
      </w:pPr>
      <w:bookmarkStart w:id="170" w:name="_Toc223979975"/>
      <w:r w:rsidRPr="00B62E67">
        <w:rPr>
          <w:b w:val="0"/>
          <w:i/>
          <w:noProof/>
        </w:rPr>
        <w:t xml:space="preserve">Impact on </w:t>
      </w:r>
      <w:r w:rsidR="00443590">
        <w:rPr>
          <w:b w:val="0"/>
          <w:i/>
          <w:noProof/>
        </w:rPr>
        <w:t>t</w:t>
      </w:r>
      <w:r w:rsidRPr="00B62E67">
        <w:rPr>
          <w:b w:val="0"/>
          <w:i/>
          <w:noProof/>
        </w:rPr>
        <w:t>ourism</w:t>
      </w:r>
      <w:bookmarkEnd w:id="170"/>
    </w:p>
    <w:p w14:paraId="3CF8AC43" w14:textId="0E914E14" w:rsidR="00E66AA2" w:rsidRPr="00A204D5" w:rsidRDefault="001F686D" w:rsidP="00F72E8C">
      <w:pPr>
        <w:spacing w:before="100" w:beforeAutospacing="1" w:after="100" w:afterAutospacing="1"/>
        <w:jc w:val="both"/>
        <w:rPr>
          <w:noProof/>
          <w:spacing w:val="-8"/>
        </w:rPr>
      </w:pPr>
      <w:r>
        <w:rPr>
          <w:noProof/>
          <w:spacing w:val="-8"/>
        </w:rPr>
        <w:t>All policy options</w:t>
      </w:r>
      <w:r w:rsidR="00CB62C4" w:rsidRPr="00A204D5">
        <w:rPr>
          <w:noProof/>
          <w:spacing w:val="-8"/>
        </w:rPr>
        <w:t xml:space="preserve"> </w:t>
      </w:r>
      <w:r w:rsidR="000E0757" w:rsidRPr="00A204D5">
        <w:rPr>
          <w:noProof/>
          <w:spacing w:val="-8"/>
        </w:rPr>
        <w:t>support the transformation of</w:t>
      </w:r>
      <w:r w:rsidR="00CB62C4" w:rsidRPr="00A204D5">
        <w:rPr>
          <w:noProof/>
          <w:spacing w:val="-8"/>
        </w:rPr>
        <w:t xml:space="preserve"> the tourism sector by unlocking seamless travel experiences for tourists across Europe. Central to this are several measures designed to promote smooth and integrated travel planning and execution.</w:t>
      </w:r>
      <w:r w:rsidR="000E0757" w:rsidRPr="00A204D5">
        <w:rPr>
          <w:noProof/>
          <w:spacing w:val="-8"/>
        </w:rPr>
        <w:t xml:space="preserve"> </w:t>
      </w:r>
      <w:r w:rsidR="00A80520" w:rsidRPr="00A204D5">
        <w:rPr>
          <w:noProof/>
          <w:spacing w:val="-8"/>
        </w:rPr>
        <w:t>In all policy options</w:t>
      </w:r>
      <w:r w:rsidR="00CB62C4" w:rsidRPr="00A204D5">
        <w:rPr>
          <w:noProof/>
          <w:spacing w:val="-8"/>
        </w:rPr>
        <w:t xml:space="preserve">, the sharing of non-personal data (PM7) with public transport authorities </w:t>
      </w:r>
      <w:r w:rsidR="00A80520" w:rsidRPr="00A204D5">
        <w:rPr>
          <w:noProof/>
          <w:spacing w:val="-8"/>
        </w:rPr>
        <w:t>will</w:t>
      </w:r>
      <w:r w:rsidR="00CB62C4" w:rsidRPr="00A204D5">
        <w:rPr>
          <w:noProof/>
          <w:spacing w:val="-8"/>
        </w:rPr>
        <w:t xml:space="preserve"> facilitate improved </w:t>
      </w:r>
      <w:r w:rsidR="000E0757" w:rsidRPr="00A204D5">
        <w:rPr>
          <w:noProof/>
          <w:spacing w:val="-8"/>
        </w:rPr>
        <w:t>management</w:t>
      </w:r>
      <w:r w:rsidR="00CB62C4" w:rsidRPr="00A204D5">
        <w:rPr>
          <w:noProof/>
          <w:spacing w:val="-8"/>
        </w:rPr>
        <w:t xml:space="preserve"> of transport services, allowing tourists to easily connect between various modes of transport. This harmonisation is essential for creating an interconnected transport network that enhances fluid transfers between travel </w:t>
      </w:r>
      <w:r w:rsidR="00332E31">
        <w:rPr>
          <w:noProof/>
          <w:spacing w:val="-8"/>
        </w:rPr>
        <w:t>modes</w:t>
      </w:r>
      <w:r w:rsidR="00CB62C4" w:rsidRPr="00A204D5">
        <w:rPr>
          <w:noProof/>
          <w:spacing w:val="-8"/>
        </w:rPr>
        <w:t>.</w:t>
      </w:r>
      <w:r w:rsidR="0095419F" w:rsidRPr="00A204D5">
        <w:rPr>
          <w:noProof/>
          <w:spacing w:val="-8"/>
        </w:rPr>
        <w:t xml:space="preserve"> </w:t>
      </w:r>
      <w:r w:rsidR="00A80520" w:rsidRPr="00A204D5">
        <w:rPr>
          <w:noProof/>
          <w:spacing w:val="-8"/>
        </w:rPr>
        <w:t>In PO2, PO3 and PO4</w:t>
      </w:r>
      <w:r w:rsidR="00CB62C4" w:rsidRPr="00A204D5">
        <w:rPr>
          <w:noProof/>
          <w:spacing w:val="-8"/>
        </w:rPr>
        <w:t xml:space="preserve">, the introduction of a </w:t>
      </w:r>
      <w:r w:rsidR="002C0949">
        <w:rPr>
          <w:noProof/>
          <w:spacing w:val="-8"/>
        </w:rPr>
        <w:t>sharing</w:t>
      </w:r>
      <w:r w:rsidR="00CB62C4" w:rsidRPr="00A204D5">
        <w:rPr>
          <w:noProof/>
          <w:spacing w:val="-8"/>
        </w:rPr>
        <w:t xml:space="preserve"> obligation (PM13) will empower MDMS platforms to offer broader access to diverse transport services, enabling tourists to book integrated</w:t>
      </w:r>
      <w:r w:rsidR="00594C68" w:rsidRPr="00A204D5">
        <w:rPr>
          <w:noProof/>
          <w:spacing w:val="-8"/>
        </w:rPr>
        <w:t xml:space="preserve"> and greener</w:t>
      </w:r>
      <w:r w:rsidR="00CB62C4" w:rsidRPr="00A204D5">
        <w:rPr>
          <w:noProof/>
          <w:spacing w:val="-8"/>
        </w:rPr>
        <w:t xml:space="preserve"> travel itineraries with ease. </w:t>
      </w:r>
      <w:r w:rsidR="0098183D">
        <w:rPr>
          <w:noProof/>
          <w:spacing w:val="-8"/>
        </w:rPr>
        <w:t>In PO3</w:t>
      </w:r>
      <w:r w:rsidR="00CB62C4" w:rsidRPr="00A204D5">
        <w:rPr>
          <w:noProof/>
          <w:spacing w:val="-8"/>
        </w:rPr>
        <w:t xml:space="preserve">, the hosting obligation (PM14) further strengthens service integration by ensuring that </w:t>
      </w:r>
      <w:r w:rsidR="00000B48" w:rsidRPr="00A204D5">
        <w:rPr>
          <w:noProof/>
          <w:spacing w:val="-8"/>
        </w:rPr>
        <w:t>indispensable RU</w:t>
      </w:r>
      <w:r w:rsidR="00CB62C4" w:rsidRPr="00A204D5">
        <w:rPr>
          <w:noProof/>
          <w:spacing w:val="-8"/>
        </w:rPr>
        <w:t xml:space="preserve"> platforms </w:t>
      </w:r>
      <w:r w:rsidR="00D230BF" w:rsidRPr="00A204D5">
        <w:rPr>
          <w:noProof/>
          <w:spacing w:val="-8"/>
        </w:rPr>
        <w:t>foster rail</w:t>
      </w:r>
      <w:r w:rsidR="00CB62C4" w:rsidRPr="00A204D5">
        <w:rPr>
          <w:noProof/>
          <w:spacing w:val="-8"/>
        </w:rPr>
        <w:t xml:space="preserve"> services, facilitating </w:t>
      </w:r>
      <w:r w:rsidR="00D230BF" w:rsidRPr="00A204D5">
        <w:rPr>
          <w:noProof/>
          <w:spacing w:val="-8"/>
        </w:rPr>
        <w:t xml:space="preserve">a </w:t>
      </w:r>
      <w:r w:rsidR="00CB62C4" w:rsidRPr="00A204D5">
        <w:rPr>
          <w:noProof/>
          <w:spacing w:val="-8"/>
        </w:rPr>
        <w:t xml:space="preserve">seamless </w:t>
      </w:r>
      <w:r w:rsidR="00D230BF" w:rsidRPr="00A204D5">
        <w:rPr>
          <w:noProof/>
          <w:spacing w:val="-8"/>
        </w:rPr>
        <w:t xml:space="preserve">booking experience for </w:t>
      </w:r>
      <w:r w:rsidR="004D4E1D" w:rsidRPr="00A204D5">
        <w:rPr>
          <w:noProof/>
          <w:spacing w:val="-8"/>
        </w:rPr>
        <w:t>travellers</w:t>
      </w:r>
      <w:r w:rsidR="00D230BF" w:rsidRPr="00A204D5">
        <w:rPr>
          <w:noProof/>
          <w:spacing w:val="-8"/>
        </w:rPr>
        <w:t xml:space="preserve"> wishing </w:t>
      </w:r>
      <w:r w:rsidR="004D4E1D" w:rsidRPr="00A204D5">
        <w:rPr>
          <w:noProof/>
          <w:spacing w:val="-8"/>
        </w:rPr>
        <w:t xml:space="preserve">to </w:t>
      </w:r>
      <w:r w:rsidR="00807619" w:rsidRPr="00A204D5">
        <w:rPr>
          <w:noProof/>
          <w:spacing w:val="-8"/>
        </w:rPr>
        <w:t>undertake</w:t>
      </w:r>
      <w:r w:rsidR="004D4E1D" w:rsidRPr="00A204D5">
        <w:rPr>
          <w:noProof/>
          <w:spacing w:val="-8"/>
        </w:rPr>
        <w:t xml:space="preserve"> rail journeys</w:t>
      </w:r>
      <w:r w:rsidR="00CB62C4" w:rsidRPr="00A204D5">
        <w:rPr>
          <w:noProof/>
          <w:spacing w:val="-8"/>
        </w:rPr>
        <w:t xml:space="preserve">. </w:t>
      </w:r>
      <w:r w:rsidR="00807619" w:rsidRPr="00A204D5">
        <w:rPr>
          <w:noProof/>
          <w:spacing w:val="-8"/>
        </w:rPr>
        <w:t>PM14</w:t>
      </w:r>
      <w:r w:rsidR="00CB62C4" w:rsidRPr="00A204D5">
        <w:rPr>
          <w:noProof/>
          <w:spacing w:val="-8"/>
        </w:rPr>
        <w:t xml:space="preserve"> enhances the ability of </w:t>
      </w:r>
      <w:r w:rsidR="00BB5DA5" w:rsidRPr="00A204D5">
        <w:rPr>
          <w:noProof/>
          <w:spacing w:val="-8"/>
        </w:rPr>
        <w:t>the most popular rail</w:t>
      </w:r>
      <w:r w:rsidR="00CB62C4" w:rsidRPr="00A204D5">
        <w:rPr>
          <w:noProof/>
          <w:spacing w:val="-8"/>
        </w:rPr>
        <w:t xml:space="preserve"> platforms to present tourists with unified travel solutions that cater </w:t>
      </w:r>
      <w:r w:rsidR="00D91F52">
        <w:rPr>
          <w:noProof/>
          <w:spacing w:val="-8"/>
        </w:rPr>
        <w:t>for</w:t>
      </w:r>
      <w:r w:rsidR="00CB62C4" w:rsidRPr="00A204D5">
        <w:rPr>
          <w:noProof/>
          <w:spacing w:val="-8"/>
        </w:rPr>
        <w:t xml:space="preserve"> their specific needs</w:t>
      </w:r>
      <w:r w:rsidR="00F8125D">
        <w:rPr>
          <w:noProof/>
          <w:spacing w:val="-8"/>
        </w:rPr>
        <w:t>.</w:t>
      </w:r>
      <w:r w:rsidR="0077084F" w:rsidRPr="00A204D5">
        <w:rPr>
          <w:noProof/>
          <w:spacing w:val="-8"/>
        </w:rPr>
        <w:t xml:space="preserve"> </w:t>
      </w:r>
      <w:r w:rsidR="00F8125D">
        <w:rPr>
          <w:noProof/>
          <w:spacing w:val="-8"/>
        </w:rPr>
        <w:t>T</w:t>
      </w:r>
      <w:r w:rsidR="0077084F" w:rsidRPr="00A204D5">
        <w:rPr>
          <w:noProof/>
          <w:spacing w:val="-8"/>
        </w:rPr>
        <w:t>herefore</w:t>
      </w:r>
      <w:r w:rsidR="00F8125D">
        <w:rPr>
          <w:noProof/>
          <w:spacing w:val="-8"/>
        </w:rPr>
        <w:t>,</w:t>
      </w:r>
      <w:r w:rsidR="0077084F" w:rsidRPr="00A204D5" w:rsidDel="00815C56">
        <w:rPr>
          <w:noProof/>
          <w:spacing w:val="-8"/>
        </w:rPr>
        <w:t xml:space="preserve"> </w:t>
      </w:r>
      <w:r w:rsidR="0077084F" w:rsidRPr="00A204D5">
        <w:rPr>
          <w:noProof/>
          <w:spacing w:val="-8"/>
        </w:rPr>
        <w:t xml:space="preserve">PO3 </w:t>
      </w:r>
      <w:r w:rsidR="00CB62C4" w:rsidRPr="00A204D5">
        <w:rPr>
          <w:noProof/>
          <w:spacing w:val="-8"/>
        </w:rPr>
        <w:t>contribute</w:t>
      </w:r>
      <w:r w:rsidR="008B0AAF">
        <w:rPr>
          <w:noProof/>
          <w:spacing w:val="-8"/>
        </w:rPr>
        <w:t>s</w:t>
      </w:r>
      <w:r w:rsidR="00CB62C4" w:rsidRPr="00A204D5">
        <w:rPr>
          <w:noProof/>
          <w:spacing w:val="-8"/>
        </w:rPr>
        <w:t xml:space="preserve"> </w:t>
      </w:r>
      <w:r w:rsidR="00C7315F">
        <w:rPr>
          <w:noProof/>
          <w:spacing w:val="-8"/>
        </w:rPr>
        <w:t>most</w:t>
      </w:r>
      <w:r w:rsidR="00CB62C4">
        <w:rPr>
          <w:noProof/>
          <w:spacing w:val="-8"/>
        </w:rPr>
        <w:t xml:space="preserve"> </w:t>
      </w:r>
      <w:r w:rsidR="00CB62C4" w:rsidRPr="00A204D5">
        <w:rPr>
          <w:noProof/>
          <w:spacing w:val="-8"/>
        </w:rPr>
        <w:t>to the development of a user-centric travel ecosystem that enhances accessibility, convenience, and efficiency for tourists</w:t>
      </w:r>
      <w:r w:rsidR="00CB62C4" w:rsidRPr="005C041D">
        <w:rPr>
          <w:noProof/>
          <w:spacing w:val="-8"/>
        </w:rPr>
        <w:t>.</w:t>
      </w:r>
      <w:r w:rsidR="00CB62C4" w:rsidRPr="00A204D5">
        <w:rPr>
          <w:noProof/>
          <w:spacing w:val="-8"/>
        </w:rPr>
        <w:t xml:space="preserve"> </w:t>
      </w:r>
    </w:p>
    <w:p w14:paraId="696B93E8" w14:textId="2AA99918" w:rsidR="001E4ABC" w:rsidRPr="00C6457B" w:rsidRDefault="004A3B4C" w:rsidP="006E3FA1">
      <w:pPr>
        <w:pStyle w:val="Heading2"/>
        <w:keepNext/>
        <w:numPr>
          <w:ilvl w:val="2"/>
          <w:numId w:val="11"/>
        </w:numPr>
        <w:tabs>
          <w:tab w:val="left" w:pos="709"/>
        </w:tabs>
        <w:spacing w:before="0" w:after="240"/>
        <w:ind w:left="1134" w:hanging="708"/>
        <w:rPr>
          <w:b w:val="0"/>
          <w:i/>
          <w:noProof/>
        </w:rPr>
      </w:pPr>
      <w:bookmarkStart w:id="171" w:name="_Toc223979976"/>
      <w:r>
        <w:rPr>
          <w:b w:val="0"/>
          <w:i/>
          <w:noProof/>
        </w:rPr>
        <w:t xml:space="preserve">Territorial </w:t>
      </w:r>
      <w:r w:rsidR="00443590">
        <w:rPr>
          <w:b w:val="0"/>
          <w:i/>
          <w:noProof/>
        </w:rPr>
        <w:t>i</w:t>
      </w:r>
      <w:r>
        <w:rPr>
          <w:b w:val="0"/>
          <w:i/>
          <w:noProof/>
        </w:rPr>
        <w:t>mpacts</w:t>
      </w:r>
      <w:bookmarkEnd w:id="171"/>
    </w:p>
    <w:p w14:paraId="61305330" w14:textId="6A36292F" w:rsidR="00877538" w:rsidRPr="00BB159F" w:rsidRDefault="002A6C5A" w:rsidP="00877538">
      <w:pPr>
        <w:spacing w:before="100" w:beforeAutospacing="1" w:after="100" w:afterAutospacing="1"/>
        <w:jc w:val="both"/>
        <w:rPr>
          <w:noProof/>
          <w:spacing w:val="-8"/>
        </w:rPr>
      </w:pPr>
      <w:r>
        <w:rPr>
          <w:noProof/>
          <w:spacing w:val="-8"/>
        </w:rPr>
        <w:t>All policy options are expected to</w:t>
      </w:r>
      <w:r w:rsidR="00877538" w:rsidRPr="00BB159F">
        <w:rPr>
          <w:noProof/>
          <w:spacing w:val="-8"/>
        </w:rPr>
        <w:t xml:space="preserve"> strengthen territorial cohesion by creating a more inclusive and integrated multimodal transport system across all EU regions. Central to this are measures designed to ensure fair access and visibility for transport operators of all sizes.</w:t>
      </w:r>
      <w:r w:rsidR="008B4A4F" w:rsidRPr="00BB159F">
        <w:rPr>
          <w:noProof/>
          <w:spacing w:val="-8"/>
        </w:rPr>
        <w:t xml:space="preserve"> In all policy options, the obligation for MDMS platforms to ensure neutral display of transport offers (PM1) guarantees that </w:t>
      </w:r>
      <w:r w:rsidR="00195B6E" w:rsidRPr="00BB159F">
        <w:rPr>
          <w:noProof/>
          <w:spacing w:val="-8"/>
        </w:rPr>
        <w:t>all</w:t>
      </w:r>
      <w:r w:rsidR="008B4A4F" w:rsidRPr="00BB159F">
        <w:rPr>
          <w:noProof/>
          <w:spacing w:val="-8"/>
        </w:rPr>
        <w:t xml:space="preserve"> operators</w:t>
      </w:r>
      <w:r w:rsidR="00BF2B5A">
        <w:rPr>
          <w:noProof/>
          <w:spacing w:val="-8"/>
        </w:rPr>
        <w:t>,</w:t>
      </w:r>
      <w:r w:rsidR="008B4A4F" w:rsidRPr="00BB159F">
        <w:rPr>
          <w:noProof/>
          <w:spacing w:val="-8"/>
        </w:rPr>
        <w:t xml:space="preserve"> including those in peripheral or less-connected areas</w:t>
      </w:r>
      <w:r w:rsidR="00BF2B5A">
        <w:rPr>
          <w:noProof/>
          <w:spacing w:val="-8"/>
        </w:rPr>
        <w:t>,</w:t>
      </w:r>
      <w:r w:rsidR="008B4A4F" w:rsidRPr="00BB159F">
        <w:rPr>
          <w:noProof/>
          <w:spacing w:val="-8"/>
        </w:rPr>
        <w:t xml:space="preserve"> receive equal visibility alongside larger providers.</w:t>
      </w:r>
      <w:r w:rsidR="00195B6E" w:rsidRPr="00BB159F">
        <w:rPr>
          <w:noProof/>
          <w:spacing w:val="-8"/>
        </w:rPr>
        <w:t xml:space="preserve"> </w:t>
      </w:r>
      <w:r w:rsidR="008B4A4F" w:rsidRPr="00BB159F">
        <w:rPr>
          <w:noProof/>
          <w:spacing w:val="-8"/>
        </w:rPr>
        <w:t xml:space="preserve">In PO2 and PO3, additional measures significantly enhance territorial cohesion. The </w:t>
      </w:r>
      <w:r w:rsidR="00DD6A61" w:rsidRPr="00BB159F">
        <w:rPr>
          <w:noProof/>
          <w:spacing w:val="-8"/>
        </w:rPr>
        <w:t>obligation to share ticket</w:t>
      </w:r>
      <w:r w:rsidR="009E3CE6">
        <w:rPr>
          <w:noProof/>
          <w:spacing w:val="-8"/>
        </w:rPr>
        <w:t>s</w:t>
      </w:r>
      <w:r w:rsidR="00DD6A61" w:rsidRPr="00BB159F">
        <w:rPr>
          <w:noProof/>
          <w:spacing w:val="-8"/>
        </w:rPr>
        <w:t xml:space="preserve"> </w:t>
      </w:r>
      <w:r w:rsidR="00ED2605" w:rsidRPr="00BB159F">
        <w:rPr>
          <w:noProof/>
          <w:spacing w:val="-8"/>
        </w:rPr>
        <w:t xml:space="preserve">for indispensable RUs (including cross-border and PSO services) </w:t>
      </w:r>
      <w:r w:rsidR="001C32A2">
        <w:rPr>
          <w:noProof/>
          <w:spacing w:val="-8"/>
        </w:rPr>
        <w:t>is expected to improve the</w:t>
      </w:r>
      <w:r w:rsidR="00ED2605" w:rsidRPr="00BB159F">
        <w:rPr>
          <w:noProof/>
          <w:spacing w:val="-8"/>
        </w:rPr>
        <w:t xml:space="preserve"> connectivity</w:t>
      </w:r>
      <w:r w:rsidR="00A23B71" w:rsidRPr="00BB159F">
        <w:rPr>
          <w:noProof/>
          <w:spacing w:val="-8"/>
        </w:rPr>
        <w:t xml:space="preserve"> (PM13)</w:t>
      </w:r>
      <w:r w:rsidR="008B4A4F" w:rsidRPr="00BB159F">
        <w:rPr>
          <w:noProof/>
          <w:spacing w:val="-8"/>
        </w:rPr>
        <w:t xml:space="preserve">. Most importantly, </w:t>
      </w:r>
      <w:r w:rsidR="00125CD9">
        <w:rPr>
          <w:noProof/>
          <w:spacing w:val="-8"/>
        </w:rPr>
        <w:t xml:space="preserve">the </w:t>
      </w:r>
      <w:r w:rsidR="008B4A4F" w:rsidRPr="00BB159F">
        <w:rPr>
          <w:noProof/>
          <w:spacing w:val="-8"/>
        </w:rPr>
        <w:t xml:space="preserve">access to indispensable </w:t>
      </w:r>
      <w:r w:rsidR="00ED2605" w:rsidRPr="00BB159F">
        <w:rPr>
          <w:noProof/>
          <w:spacing w:val="-8"/>
        </w:rPr>
        <w:t>RU platforms</w:t>
      </w:r>
      <w:r w:rsidR="008B4A4F" w:rsidRPr="00BB159F">
        <w:rPr>
          <w:noProof/>
          <w:spacing w:val="-8"/>
        </w:rPr>
        <w:t xml:space="preserve"> (PM1</w:t>
      </w:r>
      <w:r w:rsidR="00A23B71" w:rsidRPr="00BB159F">
        <w:rPr>
          <w:noProof/>
          <w:spacing w:val="-8"/>
        </w:rPr>
        <w:t>4</w:t>
      </w:r>
      <w:r w:rsidR="008B4A4F" w:rsidRPr="00BB159F">
        <w:rPr>
          <w:noProof/>
          <w:spacing w:val="-8"/>
        </w:rPr>
        <w:t>)</w:t>
      </w:r>
      <w:r w:rsidR="008B4A4F">
        <w:rPr>
          <w:noProof/>
          <w:spacing w:val="-8"/>
        </w:rPr>
        <w:t xml:space="preserve"> </w:t>
      </w:r>
      <w:r w:rsidR="00125CD9">
        <w:rPr>
          <w:noProof/>
          <w:spacing w:val="-8"/>
        </w:rPr>
        <w:t>in PO3</w:t>
      </w:r>
      <w:r w:rsidR="008B4A4F" w:rsidRPr="00BB159F">
        <w:rPr>
          <w:noProof/>
          <w:spacing w:val="-8"/>
        </w:rPr>
        <w:t xml:space="preserve"> guarantees that even smaller regional providers can be integrated into major booking platforms.</w:t>
      </w:r>
      <w:r w:rsidR="00A23B71" w:rsidRPr="00BB159F">
        <w:rPr>
          <w:noProof/>
          <w:spacing w:val="-8"/>
        </w:rPr>
        <w:t xml:space="preserve"> </w:t>
      </w:r>
      <w:r w:rsidR="008B4A4F" w:rsidRPr="00BB159F">
        <w:rPr>
          <w:noProof/>
          <w:spacing w:val="-8"/>
        </w:rPr>
        <w:t>PO3 is</w:t>
      </w:r>
      <w:r w:rsidR="00A23B71" w:rsidRPr="00BB159F">
        <w:rPr>
          <w:noProof/>
          <w:spacing w:val="-8"/>
        </w:rPr>
        <w:t xml:space="preserve"> therefore</w:t>
      </w:r>
      <w:r w:rsidR="008B4A4F" w:rsidRPr="00BB159F">
        <w:rPr>
          <w:noProof/>
          <w:spacing w:val="-8"/>
        </w:rPr>
        <w:t xml:space="preserve"> expected to have the </w:t>
      </w:r>
      <w:r w:rsidR="001A2FEF">
        <w:rPr>
          <w:noProof/>
          <w:spacing w:val="-8"/>
        </w:rPr>
        <w:t>highest</w:t>
      </w:r>
      <w:r w:rsidR="008B4A4F" w:rsidRPr="00BB159F">
        <w:rPr>
          <w:noProof/>
          <w:spacing w:val="-8"/>
        </w:rPr>
        <w:t xml:space="preserve"> impact on territorial cohesion </w:t>
      </w:r>
      <w:r w:rsidR="00A23B71" w:rsidRPr="00BB159F">
        <w:rPr>
          <w:noProof/>
          <w:spacing w:val="-8"/>
        </w:rPr>
        <w:t xml:space="preserve">and </w:t>
      </w:r>
      <w:r w:rsidR="008B4A4F" w:rsidRPr="00BB159F">
        <w:rPr>
          <w:noProof/>
          <w:spacing w:val="-8"/>
        </w:rPr>
        <w:t>create a transport system where all regions</w:t>
      </w:r>
      <w:r w:rsidR="00BA6173">
        <w:rPr>
          <w:noProof/>
          <w:spacing w:val="-8"/>
        </w:rPr>
        <w:t>,</w:t>
      </w:r>
      <w:r w:rsidR="008B4A4F" w:rsidRPr="00BB159F">
        <w:rPr>
          <w:noProof/>
          <w:spacing w:val="-8"/>
        </w:rPr>
        <w:t xml:space="preserve"> from major cities to remote areas</w:t>
      </w:r>
      <w:r w:rsidR="00BA6173">
        <w:rPr>
          <w:noProof/>
          <w:spacing w:val="-8"/>
        </w:rPr>
        <w:t>,</w:t>
      </w:r>
      <w:r w:rsidR="008B4A4F" w:rsidRPr="00BB159F">
        <w:rPr>
          <w:noProof/>
          <w:spacing w:val="-8"/>
        </w:rPr>
        <w:t xml:space="preserve"> have equal opportunity to participate in the digital mobility market. This balanced approach supports economic development across all territories while preventing the concentration of mobility services in already well-connected areas.</w:t>
      </w:r>
      <w:r w:rsidR="006D7261" w:rsidRPr="00BB159F">
        <w:rPr>
          <w:noProof/>
          <w:spacing w:val="-8"/>
        </w:rPr>
        <w:t xml:space="preserve"> </w:t>
      </w:r>
    </w:p>
    <w:p w14:paraId="7CF6B7E4" w14:textId="344E5293" w:rsidR="00F7295E" w:rsidRPr="00D06D9F" w:rsidRDefault="004A3B4C" w:rsidP="006E3FA1">
      <w:pPr>
        <w:pStyle w:val="Heading2"/>
        <w:keepNext/>
        <w:numPr>
          <w:ilvl w:val="1"/>
          <w:numId w:val="11"/>
        </w:numPr>
        <w:tabs>
          <w:tab w:val="left" w:pos="709"/>
        </w:tabs>
        <w:spacing w:before="240" w:after="240"/>
        <w:ind w:left="1134" w:hanging="708"/>
        <w:rPr>
          <w:noProof/>
        </w:rPr>
      </w:pPr>
      <w:r>
        <w:rPr>
          <w:noProof/>
        </w:rPr>
        <w:t xml:space="preserve"> </w:t>
      </w:r>
      <w:bookmarkStart w:id="172" w:name="_Toc223979977"/>
      <w:r w:rsidR="003E36F8" w:rsidRPr="00D06D9F">
        <w:rPr>
          <w:noProof/>
        </w:rPr>
        <w:t>Social impact</w:t>
      </w:r>
      <w:r w:rsidR="006B6E1B">
        <w:rPr>
          <w:noProof/>
        </w:rPr>
        <w:t>s</w:t>
      </w:r>
      <w:bookmarkEnd w:id="172"/>
    </w:p>
    <w:p w14:paraId="3FF6E78C" w14:textId="0885FDD9" w:rsidR="003E36F8" w:rsidRPr="00237A70" w:rsidRDefault="004B3A25" w:rsidP="006E3FA1">
      <w:pPr>
        <w:pStyle w:val="Heading2"/>
        <w:keepNext/>
        <w:numPr>
          <w:ilvl w:val="2"/>
          <w:numId w:val="11"/>
        </w:numPr>
        <w:tabs>
          <w:tab w:val="left" w:pos="709"/>
        </w:tabs>
        <w:spacing w:before="0" w:after="240"/>
        <w:ind w:left="1134" w:hanging="708"/>
        <w:rPr>
          <w:b w:val="0"/>
          <w:i/>
          <w:noProof/>
        </w:rPr>
      </w:pPr>
      <w:bookmarkStart w:id="173" w:name="_Toc222313487"/>
      <w:bookmarkStart w:id="174" w:name="_Toc222749006"/>
      <w:bookmarkStart w:id="175" w:name="_Toc223979978"/>
      <w:r w:rsidRPr="00237A70">
        <w:rPr>
          <w:b w:val="0"/>
          <w:i/>
          <w:noProof/>
        </w:rPr>
        <w:t>Impact</w:t>
      </w:r>
      <w:r w:rsidR="00F9450A">
        <w:rPr>
          <w:b w:val="0"/>
          <w:i/>
          <w:noProof/>
        </w:rPr>
        <w:t>s</w:t>
      </w:r>
      <w:r w:rsidRPr="00237A70">
        <w:rPr>
          <w:b w:val="0"/>
          <w:i/>
          <w:noProof/>
        </w:rPr>
        <w:t xml:space="preserve"> on health</w:t>
      </w:r>
      <w:bookmarkEnd w:id="173"/>
      <w:bookmarkEnd w:id="174"/>
      <w:bookmarkEnd w:id="175"/>
      <w:r w:rsidRPr="00237A70">
        <w:rPr>
          <w:b w:val="0"/>
          <w:i/>
          <w:noProof/>
        </w:rPr>
        <w:t xml:space="preserve"> </w:t>
      </w:r>
    </w:p>
    <w:p w14:paraId="5BA7A02E" w14:textId="5B744C49" w:rsidR="006D59FC" w:rsidRPr="00BE420C" w:rsidRDefault="00A3305F" w:rsidP="00AC7171">
      <w:pPr>
        <w:pStyle w:val="Text2"/>
        <w:keepNext w:val="0"/>
        <w:widowControl w:val="0"/>
        <w:spacing w:after="240"/>
        <w:ind w:left="0"/>
        <w:rPr>
          <w:rFonts w:cs="Times New Roman"/>
          <w:noProof/>
          <w:spacing w:val="-8"/>
          <w:szCs w:val="24"/>
          <w:lang w:eastAsia="en-IE"/>
        </w:rPr>
      </w:pPr>
      <w:r w:rsidRPr="7C415DE3">
        <w:rPr>
          <w:rFonts w:cs="Times New Roman"/>
          <w:noProof/>
          <w:spacing w:val="-8"/>
          <w:lang w:eastAsia="en-IE"/>
        </w:rPr>
        <w:t xml:space="preserve">All policy options are </w:t>
      </w:r>
      <w:r w:rsidR="00F30A2E" w:rsidRPr="7C415DE3">
        <w:rPr>
          <w:rFonts w:cs="Times New Roman"/>
          <w:noProof/>
          <w:spacing w:val="-8"/>
          <w:lang w:eastAsia="en-IE"/>
        </w:rPr>
        <w:t>projected</w:t>
      </w:r>
      <w:r w:rsidRPr="7C415DE3">
        <w:rPr>
          <w:rFonts w:cs="Times New Roman"/>
          <w:noProof/>
          <w:spacing w:val="-8"/>
          <w:lang w:eastAsia="en-IE"/>
        </w:rPr>
        <w:t xml:space="preserve"> to have a positive impact on health</w:t>
      </w:r>
      <w:r w:rsidR="000D449F" w:rsidRPr="7C415DE3">
        <w:rPr>
          <w:rFonts w:cs="Times New Roman"/>
          <w:noProof/>
          <w:spacing w:val="-8"/>
          <w:lang w:eastAsia="en-IE"/>
        </w:rPr>
        <w:t xml:space="preserve">, </w:t>
      </w:r>
      <w:r w:rsidR="00F30A2E" w:rsidRPr="7C415DE3">
        <w:rPr>
          <w:rFonts w:cs="Times New Roman"/>
          <w:noProof/>
          <w:spacing w:val="-8"/>
          <w:lang w:eastAsia="en-IE"/>
        </w:rPr>
        <w:t>relative to the baseline,</w:t>
      </w:r>
      <w:r w:rsidR="000D449F" w:rsidRPr="7C415DE3">
        <w:rPr>
          <w:rFonts w:cs="Times New Roman"/>
          <w:noProof/>
          <w:spacing w:val="-8"/>
          <w:lang w:eastAsia="en-IE"/>
        </w:rPr>
        <w:t xml:space="preserve"> </w:t>
      </w:r>
      <w:r w:rsidR="00225695" w:rsidRPr="7C415DE3">
        <w:rPr>
          <w:rFonts w:cs="Times New Roman"/>
          <w:noProof/>
          <w:spacing w:val="-8"/>
          <w:lang w:eastAsia="en-IE"/>
        </w:rPr>
        <w:t>due</w:t>
      </w:r>
      <w:r w:rsidR="004D3EAB" w:rsidRPr="7C415DE3">
        <w:rPr>
          <w:rFonts w:cs="Times New Roman"/>
          <w:noProof/>
          <w:spacing w:val="-8"/>
          <w:lang w:eastAsia="en-IE"/>
        </w:rPr>
        <w:t xml:space="preserve"> to </w:t>
      </w:r>
      <w:r w:rsidR="00225695" w:rsidRPr="7C415DE3">
        <w:rPr>
          <w:rFonts w:cs="Times New Roman"/>
          <w:noProof/>
          <w:spacing w:val="-8"/>
          <w:lang w:eastAsia="en-IE"/>
        </w:rPr>
        <w:t>the higher use</w:t>
      </w:r>
      <w:r w:rsidR="004D3EAB" w:rsidRPr="7C415DE3">
        <w:rPr>
          <w:rFonts w:cs="Times New Roman"/>
          <w:noProof/>
          <w:spacing w:val="-8"/>
          <w:lang w:eastAsia="en-IE"/>
        </w:rPr>
        <w:t xml:space="preserve"> of </w:t>
      </w:r>
      <w:r w:rsidR="00225695" w:rsidRPr="7C415DE3">
        <w:rPr>
          <w:rFonts w:cs="Times New Roman"/>
          <w:noProof/>
          <w:spacing w:val="-8"/>
          <w:lang w:eastAsia="en-IE"/>
        </w:rPr>
        <w:t xml:space="preserve">more </w:t>
      </w:r>
      <w:r w:rsidR="004D3EAB" w:rsidRPr="7C415DE3">
        <w:rPr>
          <w:rFonts w:cs="Times New Roman"/>
          <w:noProof/>
          <w:spacing w:val="-8"/>
          <w:lang w:eastAsia="en-IE"/>
        </w:rPr>
        <w:t xml:space="preserve">sustainable transport </w:t>
      </w:r>
      <w:r w:rsidR="00225695" w:rsidRPr="7C415DE3">
        <w:rPr>
          <w:rFonts w:cs="Times New Roman"/>
          <w:noProof/>
          <w:spacing w:val="-8"/>
          <w:lang w:eastAsia="en-IE"/>
        </w:rPr>
        <w:t>options</w:t>
      </w:r>
      <w:r w:rsidR="000B4448" w:rsidRPr="7C415DE3">
        <w:rPr>
          <w:rFonts w:cs="Times New Roman"/>
          <w:noProof/>
          <w:spacing w:val="-8"/>
          <w:lang w:eastAsia="en-IE"/>
        </w:rPr>
        <w:t>.</w:t>
      </w:r>
      <w:r w:rsidR="00115D9C" w:rsidRPr="7C415DE3">
        <w:rPr>
          <w:rFonts w:cs="Times New Roman"/>
          <w:noProof/>
          <w:spacing w:val="-8"/>
          <w:lang w:eastAsia="en-IE"/>
        </w:rPr>
        <w:t xml:space="preserve"> </w:t>
      </w:r>
      <w:r w:rsidR="000B4448" w:rsidRPr="7C415DE3">
        <w:rPr>
          <w:rFonts w:cs="Times New Roman"/>
          <w:noProof/>
          <w:spacing w:val="-8"/>
          <w:lang w:eastAsia="en-IE"/>
        </w:rPr>
        <w:t>T</w:t>
      </w:r>
      <w:r w:rsidR="00115D9C" w:rsidRPr="7C415DE3">
        <w:rPr>
          <w:rFonts w:cs="Times New Roman"/>
          <w:noProof/>
          <w:spacing w:val="-8"/>
          <w:lang w:eastAsia="en-IE"/>
        </w:rPr>
        <w:t>his</w:t>
      </w:r>
      <w:r w:rsidR="004D3EAB" w:rsidRPr="7C415DE3">
        <w:rPr>
          <w:rFonts w:cs="Times New Roman"/>
          <w:noProof/>
          <w:spacing w:val="-8"/>
          <w:lang w:eastAsia="en-IE"/>
        </w:rPr>
        <w:t xml:space="preserve"> is expected to result in reduced air pollutant emissions and subsequent positive impacts on health</w:t>
      </w:r>
      <w:r w:rsidR="00265D27" w:rsidRPr="7C415DE3">
        <w:rPr>
          <w:rFonts w:cs="Times New Roman"/>
          <w:noProof/>
          <w:spacing w:val="-8"/>
          <w:lang w:eastAsia="en-IE"/>
        </w:rPr>
        <w:t xml:space="preserve">. </w:t>
      </w:r>
      <w:r w:rsidR="007776AD" w:rsidRPr="7C415DE3">
        <w:rPr>
          <w:rFonts w:cs="Times New Roman"/>
          <w:noProof/>
          <w:spacing w:val="-8"/>
          <w:lang w:eastAsia="en-IE"/>
        </w:rPr>
        <w:t>T</w:t>
      </w:r>
      <w:r w:rsidR="000B4448" w:rsidRPr="7C415DE3">
        <w:rPr>
          <w:rFonts w:cs="Times New Roman"/>
          <w:noProof/>
          <w:spacing w:val="-8"/>
          <w:lang w:eastAsia="en-IE"/>
        </w:rPr>
        <w:t>h</w:t>
      </w:r>
      <w:r w:rsidR="007776AD" w:rsidRPr="7C415DE3">
        <w:rPr>
          <w:rFonts w:cs="Times New Roman"/>
          <w:noProof/>
          <w:spacing w:val="-8"/>
          <w:lang w:eastAsia="en-IE"/>
        </w:rPr>
        <w:t xml:space="preserve">ese impacts are higher </w:t>
      </w:r>
      <w:r w:rsidR="0082623E" w:rsidRPr="7C415DE3">
        <w:rPr>
          <w:rFonts w:cs="Times New Roman"/>
          <w:noProof/>
          <w:spacing w:val="-8"/>
          <w:lang w:eastAsia="en-IE"/>
        </w:rPr>
        <w:t>in</w:t>
      </w:r>
      <w:r w:rsidR="000B4448" w:rsidRPr="7C415DE3">
        <w:rPr>
          <w:rFonts w:cs="Times New Roman"/>
          <w:noProof/>
          <w:spacing w:val="-8"/>
          <w:lang w:eastAsia="en-IE"/>
        </w:rPr>
        <w:t xml:space="preserve"> PO2, PO3 and PO4, since </w:t>
      </w:r>
      <w:r w:rsidR="008E296F" w:rsidRPr="7C415DE3">
        <w:rPr>
          <w:rFonts w:cs="Times New Roman"/>
          <w:noProof/>
          <w:spacing w:val="-8"/>
          <w:lang w:eastAsia="en-IE"/>
        </w:rPr>
        <w:t xml:space="preserve">the </w:t>
      </w:r>
      <w:r w:rsidR="000B4448" w:rsidRPr="7C415DE3">
        <w:rPr>
          <w:rFonts w:cs="Times New Roman"/>
          <w:noProof/>
          <w:spacing w:val="-8"/>
          <w:lang w:eastAsia="en-IE"/>
        </w:rPr>
        <w:t xml:space="preserve">measures </w:t>
      </w:r>
      <w:r w:rsidR="008E296F" w:rsidRPr="7C415DE3">
        <w:rPr>
          <w:rFonts w:cs="Times New Roman"/>
          <w:noProof/>
          <w:spacing w:val="-8"/>
          <w:lang w:eastAsia="en-IE"/>
        </w:rPr>
        <w:t>included in these</w:t>
      </w:r>
      <w:r w:rsidR="00DC1E77" w:rsidRPr="7C415DE3">
        <w:rPr>
          <w:rFonts w:cs="Times New Roman"/>
          <w:noProof/>
          <w:spacing w:val="-8"/>
          <w:lang w:eastAsia="en-IE"/>
        </w:rPr>
        <w:t xml:space="preserve"> policy</w:t>
      </w:r>
      <w:r w:rsidR="008E296F" w:rsidRPr="7C415DE3">
        <w:rPr>
          <w:rFonts w:cs="Times New Roman"/>
          <w:noProof/>
          <w:spacing w:val="-8"/>
          <w:lang w:eastAsia="en-IE"/>
        </w:rPr>
        <w:t xml:space="preserve"> options </w:t>
      </w:r>
      <w:r w:rsidR="000B4448" w:rsidRPr="7C415DE3">
        <w:rPr>
          <w:rFonts w:cs="Times New Roman"/>
          <w:noProof/>
          <w:spacing w:val="-8"/>
          <w:lang w:eastAsia="en-IE"/>
        </w:rPr>
        <w:t>are specifically supporting access to rail offers</w:t>
      </w:r>
      <w:r w:rsidR="004D3EAB" w:rsidRPr="7C415DE3">
        <w:rPr>
          <w:rFonts w:cs="Times New Roman"/>
          <w:noProof/>
          <w:spacing w:val="-8"/>
          <w:lang w:eastAsia="en-IE"/>
        </w:rPr>
        <w:t>. The savings in external costs of air pollutants, expressed as present value over 202</w:t>
      </w:r>
      <w:r w:rsidR="00274CE6" w:rsidRPr="7C415DE3">
        <w:rPr>
          <w:rFonts w:cs="Times New Roman"/>
          <w:noProof/>
          <w:spacing w:val="-8"/>
          <w:lang w:eastAsia="en-IE"/>
        </w:rPr>
        <w:t>8</w:t>
      </w:r>
      <w:r w:rsidR="004D3EAB" w:rsidRPr="7C415DE3">
        <w:rPr>
          <w:rFonts w:cs="Times New Roman"/>
          <w:noProof/>
          <w:spacing w:val="-8"/>
          <w:lang w:eastAsia="en-IE"/>
        </w:rPr>
        <w:t xml:space="preserve">-2050 relative to the baseline, are estimated at EUR </w:t>
      </w:r>
      <w:r w:rsidR="00274CE6" w:rsidRPr="7C415DE3">
        <w:rPr>
          <w:rFonts w:cs="Times New Roman"/>
          <w:noProof/>
          <w:spacing w:val="-8"/>
          <w:lang w:eastAsia="en-IE"/>
        </w:rPr>
        <w:t>455 million</w:t>
      </w:r>
      <w:r w:rsidR="004D3EAB" w:rsidRPr="7C415DE3">
        <w:rPr>
          <w:rFonts w:cs="Times New Roman"/>
          <w:noProof/>
          <w:spacing w:val="-8"/>
          <w:lang w:eastAsia="en-IE"/>
        </w:rPr>
        <w:t xml:space="preserve"> in PO2</w:t>
      </w:r>
      <w:r w:rsidR="00274CE6" w:rsidRPr="7C415DE3">
        <w:rPr>
          <w:rFonts w:cs="Times New Roman"/>
          <w:noProof/>
          <w:spacing w:val="-8"/>
          <w:lang w:eastAsia="en-IE"/>
        </w:rPr>
        <w:t>,</w:t>
      </w:r>
      <w:r w:rsidR="004D3EAB" w:rsidRPr="7C415DE3">
        <w:rPr>
          <w:rFonts w:cs="Times New Roman"/>
          <w:noProof/>
          <w:spacing w:val="-8"/>
          <w:lang w:eastAsia="en-IE"/>
        </w:rPr>
        <w:t xml:space="preserve"> EUR </w:t>
      </w:r>
      <w:r w:rsidR="00274CE6" w:rsidRPr="7C415DE3">
        <w:rPr>
          <w:rFonts w:cs="Times New Roman"/>
          <w:noProof/>
          <w:spacing w:val="-8"/>
          <w:lang w:eastAsia="en-IE"/>
        </w:rPr>
        <w:t>670 million</w:t>
      </w:r>
      <w:r w:rsidR="004D3EAB" w:rsidRPr="7C415DE3">
        <w:rPr>
          <w:rFonts w:cs="Times New Roman"/>
          <w:noProof/>
          <w:spacing w:val="-8"/>
          <w:lang w:eastAsia="en-IE"/>
        </w:rPr>
        <w:t xml:space="preserve"> in PO3 and EUR </w:t>
      </w:r>
      <w:r w:rsidR="00274CE6" w:rsidRPr="7C415DE3">
        <w:rPr>
          <w:rFonts w:cs="Times New Roman"/>
          <w:noProof/>
          <w:spacing w:val="-8"/>
          <w:lang w:eastAsia="en-IE"/>
        </w:rPr>
        <w:t>502</w:t>
      </w:r>
      <w:r w:rsidR="00E105B9" w:rsidRPr="7C415DE3">
        <w:rPr>
          <w:rFonts w:cs="Times New Roman"/>
          <w:noProof/>
          <w:spacing w:val="-8"/>
          <w:lang w:eastAsia="en-IE"/>
        </w:rPr>
        <w:t xml:space="preserve"> million in PO4</w:t>
      </w:r>
      <w:r w:rsidR="004D3EAB" w:rsidRPr="7C415DE3">
        <w:rPr>
          <w:rFonts w:cs="Times New Roman"/>
          <w:noProof/>
          <w:spacing w:val="-8"/>
          <w:lang w:eastAsia="en-IE"/>
        </w:rPr>
        <w:t xml:space="preserve">. On the other hand, PO1 shows </w:t>
      </w:r>
      <w:r w:rsidR="00266438" w:rsidRPr="7C415DE3">
        <w:rPr>
          <w:rFonts w:cs="Times New Roman"/>
          <w:noProof/>
          <w:spacing w:val="-8"/>
          <w:lang w:eastAsia="en-IE"/>
        </w:rPr>
        <w:t xml:space="preserve">more limited </w:t>
      </w:r>
      <w:r w:rsidR="00811EC5" w:rsidRPr="7C415DE3">
        <w:rPr>
          <w:rFonts w:cs="Times New Roman"/>
          <w:noProof/>
          <w:spacing w:val="-8"/>
          <w:lang w:eastAsia="en-IE"/>
        </w:rPr>
        <w:t>savings in</w:t>
      </w:r>
      <w:r w:rsidR="004D3EAB" w:rsidRPr="7C415DE3">
        <w:rPr>
          <w:rFonts w:cs="Times New Roman"/>
          <w:noProof/>
          <w:spacing w:val="-8"/>
          <w:lang w:eastAsia="en-IE"/>
        </w:rPr>
        <w:t xml:space="preserve"> external costs of air </w:t>
      </w:r>
      <w:r w:rsidR="00811EC5" w:rsidRPr="7C415DE3">
        <w:rPr>
          <w:rFonts w:cs="Times New Roman"/>
          <w:noProof/>
          <w:spacing w:val="-8"/>
          <w:lang w:eastAsia="en-IE"/>
        </w:rPr>
        <w:t>pollutant emissions</w:t>
      </w:r>
      <w:r w:rsidR="004D3EAB" w:rsidRPr="7C415DE3">
        <w:rPr>
          <w:rFonts w:cs="Times New Roman"/>
          <w:noProof/>
          <w:spacing w:val="-8"/>
          <w:lang w:eastAsia="en-IE"/>
        </w:rPr>
        <w:t xml:space="preserve">, estimated at EUR </w:t>
      </w:r>
      <w:r w:rsidR="00E105B9" w:rsidRPr="7C415DE3">
        <w:rPr>
          <w:rFonts w:cs="Times New Roman"/>
          <w:noProof/>
          <w:spacing w:val="-8"/>
          <w:lang w:eastAsia="en-IE"/>
        </w:rPr>
        <w:t>218 million</w:t>
      </w:r>
      <w:r w:rsidR="004D3EAB" w:rsidRPr="7C415DE3">
        <w:rPr>
          <w:rFonts w:cs="Times New Roman"/>
          <w:noProof/>
          <w:spacing w:val="-8"/>
          <w:lang w:eastAsia="en-IE"/>
        </w:rPr>
        <w:t xml:space="preserve"> expressed as present value over 202</w:t>
      </w:r>
      <w:r w:rsidR="00E105B9" w:rsidRPr="7C415DE3">
        <w:rPr>
          <w:rFonts w:cs="Times New Roman"/>
          <w:noProof/>
          <w:spacing w:val="-8"/>
          <w:lang w:eastAsia="en-IE"/>
        </w:rPr>
        <w:t>8</w:t>
      </w:r>
      <w:r w:rsidR="004D3EAB" w:rsidRPr="7C415DE3">
        <w:rPr>
          <w:rFonts w:cs="Times New Roman"/>
          <w:noProof/>
          <w:spacing w:val="-8"/>
          <w:lang w:eastAsia="en-IE"/>
        </w:rPr>
        <w:t>-2050 relative to the baseline</w:t>
      </w:r>
      <w:r w:rsidR="007606F1" w:rsidRPr="7C415DE3">
        <w:rPr>
          <w:rStyle w:val="FootnoteReference"/>
          <w:rFonts w:cs="Times New Roman"/>
          <w:noProof/>
          <w:spacing w:val="-8"/>
          <w:lang w:eastAsia="en-IE"/>
        </w:rPr>
        <w:footnoteReference w:id="201"/>
      </w:r>
      <w:r w:rsidR="004D3EAB" w:rsidRPr="7C415DE3">
        <w:rPr>
          <w:rFonts w:cs="Times New Roman"/>
          <w:noProof/>
          <w:spacing w:val="-8"/>
          <w:lang w:eastAsia="en-IE"/>
        </w:rPr>
        <w:t>.</w:t>
      </w:r>
    </w:p>
    <w:p w14:paraId="36DCEE6F" w14:textId="61D0F576" w:rsidR="00F53CA2" w:rsidRPr="00BA0980" w:rsidRDefault="00F53CA2" w:rsidP="005E5D0B">
      <w:pPr>
        <w:pStyle w:val="Text2"/>
        <w:spacing w:after="0"/>
        <w:ind w:left="0"/>
        <w:rPr>
          <w:rFonts w:cs="Times New Roman"/>
          <w:i/>
          <w:noProof/>
          <w:sz w:val="22"/>
          <w:szCs w:val="22"/>
        </w:rPr>
      </w:pPr>
      <w:bookmarkStart w:id="176" w:name="_Ref223217204"/>
      <w:r w:rsidRPr="006333F0">
        <w:rPr>
          <w:rFonts w:cs="Times New Roman"/>
          <w:i/>
          <w:noProof/>
          <w:sz w:val="22"/>
          <w:szCs w:val="22"/>
        </w:rPr>
        <w:t xml:space="preserve">Table </w:t>
      </w:r>
      <w:r w:rsidRPr="00BA0980">
        <w:rPr>
          <w:rFonts w:cs="Times New Roman"/>
          <w:i/>
          <w:noProof/>
          <w:sz w:val="22"/>
          <w:szCs w:val="22"/>
        </w:rPr>
        <w:fldChar w:fldCharType="begin"/>
      </w:r>
      <w:r w:rsidRPr="00BA0980">
        <w:rPr>
          <w:rFonts w:cs="Times New Roman"/>
          <w:i/>
          <w:noProof/>
          <w:sz w:val="22"/>
          <w:szCs w:val="22"/>
        </w:rPr>
        <w:instrText xml:space="preserve"> SEQ Table \* ARABIC </w:instrText>
      </w:r>
      <w:r w:rsidRPr="00BA0980">
        <w:rPr>
          <w:rFonts w:cs="Times New Roman"/>
          <w:i/>
          <w:noProof/>
          <w:sz w:val="22"/>
          <w:szCs w:val="22"/>
        </w:rPr>
        <w:fldChar w:fldCharType="separate"/>
      </w:r>
      <w:r w:rsidR="0055391F">
        <w:rPr>
          <w:rFonts w:cs="Times New Roman"/>
          <w:i/>
          <w:noProof/>
          <w:sz w:val="22"/>
          <w:szCs w:val="22"/>
        </w:rPr>
        <w:t>17</w:t>
      </w:r>
      <w:r w:rsidRPr="00BA0980">
        <w:rPr>
          <w:rFonts w:cs="Times New Roman"/>
          <w:i/>
          <w:noProof/>
          <w:sz w:val="22"/>
          <w:szCs w:val="22"/>
        </w:rPr>
        <w:fldChar w:fldCharType="end"/>
      </w:r>
      <w:bookmarkEnd w:id="176"/>
      <w:r w:rsidRPr="006333F0">
        <w:rPr>
          <w:rFonts w:cs="Times New Roman"/>
          <w:i/>
          <w:noProof/>
          <w:sz w:val="22"/>
          <w:szCs w:val="22"/>
        </w:rPr>
        <w:t xml:space="preserve">: </w:t>
      </w:r>
      <w:r>
        <w:rPr>
          <w:rFonts w:cs="Times New Roman"/>
          <w:i/>
          <w:noProof/>
          <w:sz w:val="22"/>
          <w:szCs w:val="22"/>
        </w:rPr>
        <w:t>Impacts on external costs of air pollution emissions in the POs relative to the baseline (EU27), expressed as present value over 2028-2050,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r>
        <w:rPr>
          <w:rFonts w:cs="Times New Roman"/>
          <w:i/>
          <w:noProof/>
          <w:sz w:val="22"/>
          <w:szCs w:val="22"/>
        </w:rPr>
        <w:t xml:space="preserve"> </w:t>
      </w:r>
    </w:p>
    <w:tbl>
      <w:tblPr>
        <w:tblW w:w="5000" w:type="pct"/>
        <w:tblLook w:val="04A0" w:firstRow="1" w:lastRow="0" w:firstColumn="1" w:lastColumn="0" w:noHBand="0" w:noVBand="1"/>
      </w:tblPr>
      <w:tblGrid>
        <w:gridCol w:w="5701"/>
        <w:gridCol w:w="974"/>
        <w:gridCol w:w="974"/>
        <w:gridCol w:w="974"/>
        <w:gridCol w:w="980"/>
      </w:tblGrid>
      <w:tr w:rsidR="004B78AD" w:rsidRPr="00F53CA2" w14:paraId="146EF72B" w14:textId="77777777" w:rsidTr="00813996">
        <w:trPr>
          <w:trHeight w:val="255"/>
          <w:tblHeader/>
        </w:trPr>
        <w:tc>
          <w:tcPr>
            <w:tcW w:w="2969" w:type="pct"/>
            <w:vMerge w:val="restart"/>
            <w:tcBorders>
              <w:top w:val="single" w:sz="4" w:space="0" w:color="auto"/>
              <w:left w:val="single" w:sz="4" w:space="0" w:color="auto"/>
              <w:right w:val="single" w:sz="4" w:space="0" w:color="auto"/>
            </w:tcBorders>
            <w:shd w:val="clear" w:color="000000" w:fill="0070C0"/>
          </w:tcPr>
          <w:p w14:paraId="1D24DBE0" w14:textId="1242A013" w:rsidR="004B78AD" w:rsidRPr="004E336D" w:rsidRDefault="004B78AD" w:rsidP="005E5D0B">
            <w:pPr>
              <w:keepNext/>
              <w:rPr>
                <w:b/>
                <w:noProof/>
                <w:color w:val="FFFFFF"/>
                <w:sz w:val="20"/>
                <w:szCs w:val="20"/>
              </w:rPr>
            </w:pPr>
          </w:p>
        </w:tc>
        <w:tc>
          <w:tcPr>
            <w:tcW w:w="2031" w:type="pct"/>
            <w:gridSpan w:val="4"/>
            <w:tcBorders>
              <w:top w:val="single" w:sz="4" w:space="0" w:color="auto"/>
              <w:left w:val="nil"/>
              <w:bottom w:val="single" w:sz="4" w:space="0" w:color="auto"/>
              <w:right w:val="single" w:sz="4" w:space="0" w:color="auto"/>
            </w:tcBorders>
            <w:shd w:val="clear" w:color="000000" w:fill="0070C0"/>
          </w:tcPr>
          <w:p w14:paraId="18190F5C" w14:textId="0D02D710" w:rsidR="004B78AD" w:rsidRPr="004E336D" w:rsidRDefault="004B78AD" w:rsidP="005E5D0B">
            <w:pPr>
              <w:keepNext/>
              <w:jc w:val="center"/>
              <w:rPr>
                <w:b/>
                <w:noProof/>
                <w:color w:val="FFFFFF"/>
                <w:sz w:val="20"/>
                <w:szCs w:val="20"/>
              </w:rPr>
            </w:pPr>
            <w:r w:rsidRPr="004E336D">
              <w:rPr>
                <w:b/>
                <w:noProof/>
                <w:color w:val="FFFFFF"/>
                <w:sz w:val="20"/>
                <w:szCs w:val="20"/>
              </w:rPr>
              <w:t>Difference to baseline</w:t>
            </w:r>
          </w:p>
        </w:tc>
      </w:tr>
      <w:tr w:rsidR="004B78AD" w:rsidRPr="00F53CA2" w14:paraId="23630FD9" w14:textId="77777777" w:rsidTr="00813996">
        <w:trPr>
          <w:trHeight w:val="255"/>
          <w:tblHeader/>
        </w:trPr>
        <w:tc>
          <w:tcPr>
            <w:tcW w:w="2969" w:type="pct"/>
            <w:vMerge/>
            <w:tcBorders>
              <w:left w:val="single" w:sz="4" w:space="0" w:color="auto"/>
              <w:bottom w:val="single" w:sz="4" w:space="0" w:color="auto"/>
              <w:right w:val="single" w:sz="4" w:space="0" w:color="auto"/>
            </w:tcBorders>
            <w:shd w:val="clear" w:color="000000" w:fill="0070C0"/>
            <w:hideMark/>
          </w:tcPr>
          <w:p w14:paraId="565E7A95" w14:textId="23D562CC" w:rsidR="004B78AD" w:rsidRPr="004E336D" w:rsidRDefault="004B78AD" w:rsidP="00F53CA2">
            <w:pPr>
              <w:rPr>
                <w:b/>
                <w:noProof/>
                <w:color w:val="FFFFFF"/>
                <w:sz w:val="20"/>
                <w:szCs w:val="20"/>
              </w:rPr>
            </w:pPr>
          </w:p>
        </w:tc>
        <w:tc>
          <w:tcPr>
            <w:tcW w:w="507" w:type="pct"/>
            <w:tcBorders>
              <w:top w:val="single" w:sz="4" w:space="0" w:color="auto"/>
              <w:left w:val="nil"/>
              <w:bottom w:val="single" w:sz="4" w:space="0" w:color="auto"/>
              <w:right w:val="single" w:sz="4" w:space="0" w:color="auto"/>
            </w:tcBorders>
            <w:shd w:val="clear" w:color="000000" w:fill="0070C0"/>
            <w:hideMark/>
          </w:tcPr>
          <w:p w14:paraId="01918CDC" w14:textId="77777777" w:rsidR="004B78AD" w:rsidRPr="004E336D" w:rsidRDefault="004B78AD" w:rsidP="00F53CA2">
            <w:pPr>
              <w:jc w:val="center"/>
              <w:rPr>
                <w:b/>
                <w:noProof/>
                <w:color w:val="FFFFFF"/>
                <w:sz w:val="20"/>
                <w:szCs w:val="20"/>
              </w:rPr>
            </w:pPr>
            <w:r w:rsidRPr="004E336D">
              <w:rPr>
                <w:b/>
                <w:noProof/>
                <w:color w:val="FFFFFF"/>
                <w:sz w:val="20"/>
                <w:szCs w:val="20"/>
              </w:rPr>
              <w:t>PO1</w:t>
            </w:r>
          </w:p>
        </w:tc>
        <w:tc>
          <w:tcPr>
            <w:tcW w:w="507" w:type="pct"/>
            <w:tcBorders>
              <w:top w:val="single" w:sz="4" w:space="0" w:color="auto"/>
              <w:left w:val="nil"/>
              <w:bottom w:val="single" w:sz="4" w:space="0" w:color="auto"/>
              <w:right w:val="single" w:sz="4" w:space="0" w:color="auto"/>
            </w:tcBorders>
            <w:shd w:val="clear" w:color="000000" w:fill="0070C0"/>
            <w:hideMark/>
          </w:tcPr>
          <w:p w14:paraId="47D58885" w14:textId="77777777" w:rsidR="004B78AD" w:rsidRPr="004E336D" w:rsidRDefault="004B78AD" w:rsidP="00F53CA2">
            <w:pPr>
              <w:jc w:val="center"/>
              <w:rPr>
                <w:b/>
                <w:noProof/>
                <w:color w:val="FFFFFF"/>
                <w:sz w:val="20"/>
                <w:szCs w:val="20"/>
              </w:rPr>
            </w:pPr>
            <w:r w:rsidRPr="004E336D">
              <w:rPr>
                <w:b/>
                <w:noProof/>
                <w:color w:val="FFFFFF"/>
                <w:sz w:val="20"/>
                <w:szCs w:val="20"/>
              </w:rPr>
              <w:t>PO2</w:t>
            </w:r>
          </w:p>
        </w:tc>
        <w:tc>
          <w:tcPr>
            <w:tcW w:w="507" w:type="pct"/>
            <w:tcBorders>
              <w:top w:val="single" w:sz="4" w:space="0" w:color="auto"/>
              <w:left w:val="nil"/>
              <w:bottom w:val="single" w:sz="4" w:space="0" w:color="auto"/>
              <w:right w:val="single" w:sz="4" w:space="0" w:color="auto"/>
            </w:tcBorders>
            <w:shd w:val="clear" w:color="000000" w:fill="0070C0"/>
            <w:hideMark/>
          </w:tcPr>
          <w:p w14:paraId="65E343C9" w14:textId="77777777" w:rsidR="004B78AD" w:rsidRPr="004E336D" w:rsidRDefault="004B78AD" w:rsidP="00F53CA2">
            <w:pPr>
              <w:jc w:val="center"/>
              <w:rPr>
                <w:b/>
                <w:noProof/>
                <w:color w:val="FFFFFF"/>
                <w:sz w:val="20"/>
                <w:szCs w:val="20"/>
              </w:rPr>
            </w:pPr>
            <w:r w:rsidRPr="004E336D">
              <w:rPr>
                <w:b/>
                <w:noProof/>
                <w:color w:val="FFFFFF"/>
                <w:sz w:val="20"/>
                <w:szCs w:val="20"/>
              </w:rPr>
              <w:t>PO3</w:t>
            </w:r>
          </w:p>
        </w:tc>
        <w:tc>
          <w:tcPr>
            <w:tcW w:w="509" w:type="pct"/>
            <w:tcBorders>
              <w:top w:val="single" w:sz="4" w:space="0" w:color="auto"/>
              <w:left w:val="nil"/>
              <w:bottom w:val="single" w:sz="4" w:space="0" w:color="auto"/>
              <w:right w:val="single" w:sz="4" w:space="0" w:color="auto"/>
            </w:tcBorders>
            <w:shd w:val="clear" w:color="000000" w:fill="0070C0"/>
            <w:hideMark/>
          </w:tcPr>
          <w:p w14:paraId="5AAC69C8" w14:textId="77777777" w:rsidR="004B78AD" w:rsidRPr="004E336D" w:rsidRDefault="004B78AD" w:rsidP="00F53CA2">
            <w:pPr>
              <w:jc w:val="center"/>
              <w:rPr>
                <w:b/>
                <w:noProof/>
                <w:color w:val="FFFFFF"/>
                <w:sz w:val="20"/>
                <w:szCs w:val="20"/>
              </w:rPr>
            </w:pPr>
            <w:r w:rsidRPr="004E336D">
              <w:rPr>
                <w:b/>
                <w:noProof/>
                <w:color w:val="FFFFFF"/>
                <w:sz w:val="20"/>
                <w:szCs w:val="20"/>
              </w:rPr>
              <w:t>PO4</w:t>
            </w:r>
          </w:p>
        </w:tc>
      </w:tr>
      <w:tr w:rsidR="00F53CA2" w:rsidRPr="00F53CA2" w14:paraId="3D54EC06" w14:textId="77777777" w:rsidTr="00813996">
        <w:trPr>
          <w:trHeight w:val="255"/>
        </w:trPr>
        <w:tc>
          <w:tcPr>
            <w:tcW w:w="2969" w:type="pct"/>
            <w:tcBorders>
              <w:top w:val="nil"/>
              <w:left w:val="single" w:sz="4" w:space="0" w:color="auto"/>
              <w:bottom w:val="single" w:sz="4" w:space="0" w:color="auto"/>
              <w:right w:val="single" w:sz="4" w:space="0" w:color="auto"/>
            </w:tcBorders>
            <w:shd w:val="clear" w:color="000000" w:fill="FFFFFF"/>
            <w:noWrap/>
            <w:hideMark/>
          </w:tcPr>
          <w:p w14:paraId="2CD533D5" w14:textId="37A86920" w:rsidR="00F53CA2" w:rsidRPr="004E336D" w:rsidRDefault="00F53CA2" w:rsidP="00F53CA2">
            <w:pPr>
              <w:rPr>
                <w:noProof/>
                <w:color w:val="000000"/>
                <w:sz w:val="20"/>
                <w:szCs w:val="20"/>
              </w:rPr>
            </w:pPr>
            <w:r w:rsidRPr="004E336D">
              <w:rPr>
                <w:noProof/>
                <w:color w:val="000000"/>
                <w:sz w:val="20"/>
                <w:szCs w:val="20"/>
              </w:rPr>
              <w:t xml:space="preserve"> </w:t>
            </w:r>
            <w:r w:rsidR="00AF23A8" w:rsidRPr="004E336D">
              <w:rPr>
                <w:noProof/>
                <w:color w:val="000000"/>
                <w:sz w:val="20"/>
                <w:szCs w:val="20"/>
              </w:rPr>
              <w:t>Savings in external costs of a</w:t>
            </w:r>
            <w:r w:rsidRPr="004E336D">
              <w:rPr>
                <w:noProof/>
                <w:color w:val="000000"/>
                <w:sz w:val="20"/>
                <w:szCs w:val="20"/>
              </w:rPr>
              <w:t>ir pollutant</w:t>
            </w:r>
            <w:r w:rsidR="00AF23A8" w:rsidRPr="004E336D">
              <w:rPr>
                <w:noProof/>
                <w:color w:val="000000"/>
                <w:sz w:val="20"/>
                <w:szCs w:val="20"/>
              </w:rPr>
              <w:t xml:space="preserve"> emissions</w:t>
            </w:r>
          </w:p>
        </w:tc>
        <w:tc>
          <w:tcPr>
            <w:tcW w:w="507" w:type="pct"/>
            <w:tcBorders>
              <w:top w:val="nil"/>
              <w:left w:val="nil"/>
              <w:bottom w:val="single" w:sz="4" w:space="0" w:color="auto"/>
              <w:right w:val="single" w:sz="4" w:space="0" w:color="auto"/>
            </w:tcBorders>
            <w:shd w:val="clear" w:color="000000" w:fill="FFFFFF"/>
            <w:noWrap/>
            <w:hideMark/>
          </w:tcPr>
          <w:p w14:paraId="0A324F98" w14:textId="77777777" w:rsidR="00F53CA2" w:rsidRPr="004E336D" w:rsidRDefault="00F53CA2" w:rsidP="00F53CA2">
            <w:pPr>
              <w:jc w:val="right"/>
              <w:rPr>
                <w:noProof/>
                <w:color w:val="000000"/>
                <w:sz w:val="20"/>
                <w:szCs w:val="20"/>
              </w:rPr>
            </w:pPr>
            <w:r w:rsidRPr="004E336D">
              <w:rPr>
                <w:noProof/>
                <w:color w:val="000000"/>
                <w:sz w:val="20"/>
                <w:szCs w:val="20"/>
              </w:rPr>
              <w:t>218</w:t>
            </w:r>
          </w:p>
        </w:tc>
        <w:tc>
          <w:tcPr>
            <w:tcW w:w="507" w:type="pct"/>
            <w:tcBorders>
              <w:top w:val="nil"/>
              <w:left w:val="nil"/>
              <w:bottom w:val="single" w:sz="4" w:space="0" w:color="auto"/>
              <w:right w:val="single" w:sz="4" w:space="0" w:color="auto"/>
            </w:tcBorders>
            <w:shd w:val="clear" w:color="000000" w:fill="FFFFFF"/>
            <w:noWrap/>
            <w:hideMark/>
          </w:tcPr>
          <w:p w14:paraId="47242C32" w14:textId="77777777" w:rsidR="00F53CA2" w:rsidRPr="004E336D" w:rsidRDefault="00F53CA2" w:rsidP="00F53CA2">
            <w:pPr>
              <w:jc w:val="right"/>
              <w:rPr>
                <w:noProof/>
                <w:color w:val="000000"/>
                <w:sz w:val="20"/>
                <w:szCs w:val="20"/>
              </w:rPr>
            </w:pPr>
            <w:r w:rsidRPr="004E336D">
              <w:rPr>
                <w:noProof/>
                <w:color w:val="000000"/>
                <w:sz w:val="20"/>
                <w:szCs w:val="20"/>
              </w:rPr>
              <w:t>455</w:t>
            </w:r>
          </w:p>
        </w:tc>
        <w:tc>
          <w:tcPr>
            <w:tcW w:w="507" w:type="pct"/>
            <w:tcBorders>
              <w:top w:val="nil"/>
              <w:left w:val="nil"/>
              <w:bottom w:val="single" w:sz="4" w:space="0" w:color="auto"/>
              <w:right w:val="single" w:sz="4" w:space="0" w:color="auto"/>
            </w:tcBorders>
            <w:shd w:val="clear" w:color="000000" w:fill="FFFFFF"/>
            <w:noWrap/>
            <w:hideMark/>
          </w:tcPr>
          <w:p w14:paraId="51C059EC" w14:textId="77777777" w:rsidR="00F53CA2" w:rsidRPr="004E336D" w:rsidRDefault="00F53CA2" w:rsidP="00F53CA2">
            <w:pPr>
              <w:jc w:val="right"/>
              <w:rPr>
                <w:noProof/>
                <w:color w:val="000000"/>
                <w:sz w:val="20"/>
                <w:szCs w:val="20"/>
              </w:rPr>
            </w:pPr>
            <w:r w:rsidRPr="004E336D">
              <w:rPr>
                <w:noProof/>
                <w:color w:val="000000"/>
                <w:sz w:val="20"/>
                <w:szCs w:val="20"/>
              </w:rPr>
              <w:t>670</w:t>
            </w:r>
          </w:p>
        </w:tc>
        <w:tc>
          <w:tcPr>
            <w:tcW w:w="509" w:type="pct"/>
            <w:tcBorders>
              <w:top w:val="nil"/>
              <w:left w:val="nil"/>
              <w:bottom w:val="single" w:sz="4" w:space="0" w:color="auto"/>
              <w:right w:val="single" w:sz="4" w:space="0" w:color="auto"/>
            </w:tcBorders>
            <w:shd w:val="clear" w:color="000000" w:fill="FFFFFF"/>
            <w:noWrap/>
            <w:hideMark/>
          </w:tcPr>
          <w:p w14:paraId="5B4691D1" w14:textId="77777777" w:rsidR="00F53CA2" w:rsidRPr="004E336D" w:rsidRDefault="00F53CA2" w:rsidP="00F53CA2">
            <w:pPr>
              <w:jc w:val="right"/>
              <w:rPr>
                <w:noProof/>
                <w:color w:val="000000"/>
                <w:sz w:val="20"/>
                <w:szCs w:val="20"/>
              </w:rPr>
            </w:pPr>
            <w:r w:rsidRPr="004E336D">
              <w:rPr>
                <w:noProof/>
                <w:color w:val="000000"/>
                <w:sz w:val="20"/>
                <w:szCs w:val="20"/>
              </w:rPr>
              <w:t>502</w:t>
            </w:r>
          </w:p>
        </w:tc>
      </w:tr>
    </w:tbl>
    <w:p w14:paraId="04785ED5" w14:textId="140916E9" w:rsidR="00813996" w:rsidRPr="00D71008" w:rsidRDefault="00813996" w:rsidP="00813996">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r>
        <w:rPr>
          <w:i/>
          <w:iCs/>
          <w:noProof/>
          <w:sz w:val="20"/>
          <w:szCs w:val="20"/>
        </w:rPr>
        <w:t>; ASTRA model</w:t>
      </w:r>
    </w:p>
    <w:p w14:paraId="41E9BA19" w14:textId="136F14DB" w:rsidR="004B3A25" w:rsidRPr="00237A70" w:rsidRDefault="00F9450A" w:rsidP="006E3FA1">
      <w:pPr>
        <w:pStyle w:val="Heading2"/>
        <w:keepNext/>
        <w:numPr>
          <w:ilvl w:val="2"/>
          <w:numId w:val="11"/>
        </w:numPr>
        <w:tabs>
          <w:tab w:val="left" w:pos="709"/>
        </w:tabs>
        <w:spacing w:before="0" w:after="240"/>
        <w:ind w:left="1134" w:hanging="708"/>
        <w:rPr>
          <w:b w:val="0"/>
          <w:i/>
          <w:noProof/>
        </w:rPr>
      </w:pPr>
      <w:bookmarkStart w:id="177" w:name="_Toc222313488"/>
      <w:bookmarkStart w:id="178" w:name="_Toc222749007"/>
      <w:bookmarkStart w:id="179" w:name="_Toc223979979"/>
      <w:r>
        <w:rPr>
          <w:b w:val="0"/>
          <w:i/>
          <w:noProof/>
        </w:rPr>
        <w:t>I</w:t>
      </w:r>
      <w:r w:rsidR="004B3A25" w:rsidRPr="00237A70">
        <w:rPr>
          <w:b w:val="0"/>
          <w:i/>
          <w:noProof/>
        </w:rPr>
        <w:t>mpact</w:t>
      </w:r>
      <w:r>
        <w:rPr>
          <w:b w:val="0"/>
          <w:i/>
          <w:noProof/>
        </w:rPr>
        <w:t>s</w:t>
      </w:r>
      <w:r w:rsidR="004B3A25" w:rsidRPr="00237A70">
        <w:rPr>
          <w:b w:val="0"/>
          <w:i/>
          <w:noProof/>
        </w:rPr>
        <w:t xml:space="preserve"> on employment</w:t>
      </w:r>
      <w:bookmarkEnd w:id="177"/>
      <w:bookmarkEnd w:id="178"/>
      <w:bookmarkEnd w:id="179"/>
      <w:r w:rsidR="004B3A25" w:rsidRPr="00237A70">
        <w:rPr>
          <w:b w:val="0"/>
          <w:i/>
          <w:noProof/>
        </w:rPr>
        <w:t xml:space="preserve"> </w:t>
      </w:r>
    </w:p>
    <w:p w14:paraId="6670A845" w14:textId="4B818497" w:rsidR="00AC488C" w:rsidRPr="00903A15" w:rsidRDefault="00D5374D" w:rsidP="00F72E8C">
      <w:pPr>
        <w:spacing w:before="100" w:beforeAutospacing="1" w:after="100" w:afterAutospacing="1"/>
        <w:jc w:val="both"/>
        <w:rPr>
          <w:noProof/>
          <w:spacing w:val="-8"/>
        </w:rPr>
      </w:pPr>
      <w:r>
        <w:rPr>
          <w:noProof/>
          <w:spacing w:val="-8"/>
        </w:rPr>
        <w:t>All</w:t>
      </w:r>
      <w:r w:rsidR="007951B3" w:rsidRPr="00903A15">
        <w:rPr>
          <w:noProof/>
          <w:spacing w:val="-8"/>
        </w:rPr>
        <w:t xml:space="preserve"> policy options are anticipated to positively affect employment, primarily by promoting the use of collective transport </w:t>
      </w:r>
      <w:r w:rsidR="00A07A67">
        <w:rPr>
          <w:noProof/>
          <w:spacing w:val="-8"/>
        </w:rPr>
        <w:t>means</w:t>
      </w:r>
      <w:r w:rsidR="00851194" w:rsidRPr="00903A15">
        <w:rPr>
          <w:noProof/>
          <w:spacing w:val="-8"/>
        </w:rPr>
        <w:t>,</w:t>
      </w:r>
      <w:r w:rsidR="00851194" w:rsidRPr="00903A15" w:rsidDel="00B4777B">
        <w:rPr>
          <w:noProof/>
          <w:spacing w:val="-8"/>
        </w:rPr>
        <w:t xml:space="preserve"> </w:t>
      </w:r>
      <w:r w:rsidR="00B4777B">
        <w:rPr>
          <w:noProof/>
          <w:spacing w:val="-8"/>
        </w:rPr>
        <w:t>such as</w:t>
      </w:r>
      <w:r w:rsidR="00B4777B" w:rsidRPr="00903A15">
        <w:rPr>
          <w:noProof/>
          <w:spacing w:val="-8"/>
        </w:rPr>
        <w:t xml:space="preserve"> </w:t>
      </w:r>
      <w:r w:rsidR="00851194" w:rsidRPr="00903A15">
        <w:rPr>
          <w:noProof/>
          <w:spacing w:val="-8"/>
        </w:rPr>
        <w:t>trains</w:t>
      </w:r>
      <w:r w:rsidR="007951B3">
        <w:rPr>
          <w:noProof/>
          <w:spacing w:val="-8"/>
        </w:rPr>
        <w:t xml:space="preserve"> and </w:t>
      </w:r>
      <w:r w:rsidR="001E4B46">
        <w:rPr>
          <w:noProof/>
          <w:spacing w:val="-8"/>
        </w:rPr>
        <w:t>coaches</w:t>
      </w:r>
      <w:r w:rsidR="007951B3" w:rsidRPr="00903A15">
        <w:rPr>
          <w:noProof/>
          <w:spacing w:val="-8"/>
        </w:rPr>
        <w:t xml:space="preserve">. This is expected to indirectly foster job creation within the transport sector. Notably, the impacts of </w:t>
      </w:r>
      <w:r w:rsidR="00AC5E43" w:rsidRPr="00903A15">
        <w:rPr>
          <w:noProof/>
          <w:spacing w:val="-8"/>
        </w:rPr>
        <w:t>PO</w:t>
      </w:r>
      <w:r w:rsidR="007951B3" w:rsidRPr="00903A15">
        <w:rPr>
          <w:noProof/>
          <w:spacing w:val="-8"/>
        </w:rPr>
        <w:t>2</w:t>
      </w:r>
      <w:r w:rsidR="000505AE" w:rsidRPr="00903A15">
        <w:rPr>
          <w:noProof/>
          <w:spacing w:val="-8"/>
        </w:rPr>
        <w:t xml:space="preserve">, </w:t>
      </w:r>
      <w:r w:rsidR="00AC5E43" w:rsidRPr="00903A15">
        <w:rPr>
          <w:noProof/>
          <w:spacing w:val="-8"/>
        </w:rPr>
        <w:t>PO</w:t>
      </w:r>
      <w:r w:rsidR="007951B3" w:rsidRPr="00903A15">
        <w:rPr>
          <w:noProof/>
          <w:spacing w:val="-8"/>
        </w:rPr>
        <w:t xml:space="preserve">3 and </w:t>
      </w:r>
      <w:r w:rsidR="00AC5E43" w:rsidRPr="00903A15">
        <w:rPr>
          <w:noProof/>
          <w:spacing w:val="-8"/>
        </w:rPr>
        <w:t>PO</w:t>
      </w:r>
      <w:r w:rsidR="000505AE" w:rsidRPr="00903A15">
        <w:rPr>
          <w:noProof/>
          <w:spacing w:val="-8"/>
        </w:rPr>
        <w:t>4</w:t>
      </w:r>
      <w:r w:rsidR="007951B3" w:rsidRPr="00903A15">
        <w:rPr>
          <w:noProof/>
          <w:spacing w:val="-8"/>
        </w:rPr>
        <w:t xml:space="preserve"> are expected to </w:t>
      </w:r>
      <w:r w:rsidR="00AC5E43" w:rsidRPr="00903A15">
        <w:rPr>
          <w:noProof/>
          <w:spacing w:val="-8"/>
        </w:rPr>
        <w:t xml:space="preserve">be </w:t>
      </w:r>
      <w:r w:rsidR="004E52C1">
        <w:rPr>
          <w:noProof/>
          <w:spacing w:val="-8"/>
        </w:rPr>
        <w:t>higher</w:t>
      </w:r>
      <w:r w:rsidR="00AC5E43" w:rsidRPr="00903A15">
        <w:rPr>
          <w:noProof/>
          <w:spacing w:val="-8"/>
        </w:rPr>
        <w:t xml:space="preserve"> than those of PO1</w:t>
      </w:r>
      <w:r w:rsidR="00477D99">
        <w:rPr>
          <w:noProof/>
          <w:spacing w:val="-8"/>
        </w:rPr>
        <w:t>, due to the higher increase in the use</w:t>
      </w:r>
      <w:r w:rsidR="007951B3">
        <w:rPr>
          <w:noProof/>
          <w:spacing w:val="-8"/>
        </w:rPr>
        <w:t xml:space="preserve"> of </w:t>
      </w:r>
      <w:r w:rsidR="007951B3" w:rsidRPr="00903A15">
        <w:rPr>
          <w:noProof/>
          <w:spacing w:val="-8"/>
        </w:rPr>
        <w:t xml:space="preserve">collective transport </w:t>
      </w:r>
      <w:r w:rsidR="00477D99">
        <w:rPr>
          <w:noProof/>
          <w:spacing w:val="-8"/>
        </w:rPr>
        <w:t>means</w:t>
      </w:r>
      <w:r w:rsidR="00995378">
        <w:rPr>
          <w:noProof/>
          <w:spacing w:val="-8"/>
        </w:rPr>
        <w:t xml:space="preserve"> in these options relative to the baseline</w:t>
      </w:r>
      <w:r w:rsidR="007951B3" w:rsidRPr="00903A15">
        <w:rPr>
          <w:noProof/>
          <w:spacing w:val="-8"/>
        </w:rPr>
        <w:t>.</w:t>
      </w:r>
      <w:r w:rsidR="00995378">
        <w:rPr>
          <w:noProof/>
          <w:spacing w:val="-8"/>
        </w:rPr>
        <w:t xml:space="preserve"> </w:t>
      </w:r>
      <w:r w:rsidR="00FD48D6">
        <w:rPr>
          <w:noProof/>
          <w:spacing w:val="-8"/>
        </w:rPr>
        <w:t>T</w:t>
      </w:r>
      <w:r w:rsidR="00BD4C48" w:rsidRPr="00903A15">
        <w:rPr>
          <w:noProof/>
          <w:spacing w:val="-8"/>
        </w:rPr>
        <w:t xml:space="preserve">he limited changes in </w:t>
      </w:r>
      <w:r w:rsidR="00293DF0">
        <w:rPr>
          <w:noProof/>
          <w:spacing w:val="-8"/>
        </w:rPr>
        <w:t xml:space="preserve">the </w:t>
      </w:r>
      <w:r w:rsidR="00BD4C48" w:rsidRPr="00903A15">
        <w:rPr>
          <w:noProof/>
          <w:spacing w:val="-8"/>
        </w:rPr>
        <w:t>air transport activity relative to the baseline suggest</w:t>
      </w:r>
      <w:r w:rsidR="00F576A0">
        <w:rPr>
          <w:noProof/>
          <w:spacing w:val="-8"/>
        </w:rPr>
        <w:t>s</w:t>
      </w:r>
      <w:r w:rsidR="00BD4C48" w:rsidRPr="00903A15">
        <w:rPr>
          <w:noProof/>
          <w:spacing w:val="-8"/>
        </w:rPr>
        <w:t xml:space="preserve"> that the overall employment in the air transport sector </w:t>
      </w:r>
      <w:r w:rsidR="00F576A0">
        <w:rPr>
          <w:noProof/>
          <w:spacing w:val="-8"/>
        </w:rPr>
        <w:t xml:space="preserve">is likely to </w:t>
      </w:r>
      <w:r w:rsidR="00BD4C48" w:rsidRPr="00903A15">
        <w:rPr>
          <w:noProof/>
          <w:spacing w:val="-8"/>
        </w:rPr>
        <w:t xml:space="preserve">remain </w:t>
      </w:r>
      <w:r w:rsidR="00FE5F80">
        <w:rPr>
          <w:noProof/>
          <w:spacing w:val="-8"/>
        </w:rPr>
        <w:t>unchanged</w:t>
      </w:r>
      <w:r w:rsidR="00F922AD">
        <w:rPr>
          <w:noProof/>
          <w:spacing w:val="-8"/>
        </w:rPr>
        <w:t xml:space="preserve"> relative to the baseline</w:t>
      </w:r>
      <w:r w:rsidR="00BD4C48" w:rsidRPr="00903A15">
        <w:rPr>
          <w:noProof/>
          <w:spacing w:val="-8"/>
        </w:rPr>
        <w:t>.</w:t>
      </w:r>
      <w:r w:rsidR="007951B3" w:rsidRPr="00903A15">
        <w:rPr>
          <w:noProof/>
          <w:spacing w:val="-8"/>
        </w:rPr>
        <w:t xml:space="preserve"> Moreover, the development and deployment of additional MDMS platforms will likely create further employment opportunities within the EU, as these </w:t>
      </w:r>
      <w:r w:rsidR="007A6522" w:rsidRPr="00903A15">
        <w:rPr>
          <w:noProof/>
          <w:spacing w:val="-8"/>
        </w:rPr>
        <w:t>new platforms will</w:t>
      </w:r>
      <w:r w:rsidR="007951B3" w:rsidRPr="00903A15">
        <w:rPr>
          <w:noProof/>
          <w:spacing w:val="-8"/>
        </w:rPr>
        <w:t xml:space="preserve"> require skilled professionals for their implementation, maintenance, and management.</w:t>
      </w:r>
      <w:r w:rsidR="0038124B" w:rsidRPr="00903A15">
        <w:rPr>
          <w:noProof/>
          <w:spacing w:val="-8"/>
        </w:rPr>
        <w:t xml:space="preserve"> </w:t>
      </w:r>
      <w:r w:rsidR="00E0162E" w:rsidRPr="00903A15">
        <w:rPr>
          <w:noProof/>
          <w:spacing w:val="-8"/>
        </w:rPr>
        <w:t>Overall</w:t>
      </w:r>
      <w:r w:rsidR="007951B3" w:rsidRPr="00903A15">
        <w:rPr>
          <w:noProof/>
          <w:spacing w:val="-8"/>
        </w:rPr>
        <w:t>, all policy options have the potential to stimulate investment in innovation</w:t>
      </w:r>
      <w:r w:rsidR="00DC10F4" w:rsidRPr="00903A15">
        <w:rPr>
          <w:noProof/>
          <w:spacing w:val="-8"/>
        </w:rPr>
        <w:t>, as competition between MDMS platforms increases</w:t>
      </w:r>
      <w:r w:rsidR="007951B3" w:rsidRPr="00903A15">
        <w:rPr>
          <w:noProof/>
          <w:spacing w:val="-8"/>
        </w:rPr>
        <w:t xml:space="preserve">. This </w:t>
      </w:r>
      <w:r w:rsidR="001E5B0C" w:rsidRPr="00903A15">
        <w:rPr>
          <w:noProof/>
          <w:spacing w:val="-8"/>
        </w:rPr>
        <w:t>is expected to</w:t>
      </w:r>
      <w:r w:rsidR="007951B3" w:rsidRPr="00903A15">
        <w:rPr>
          <w:noProof/>
          <w:spacing w:val="-8"/>
        </w:rPr>
        <w:t xml:space="preserve"> </w:t>
      </w:r>
      <w:r w:rsidR="00891F67" w:rsidRPr="00903A15">
        <w:rPr>
          <w:noProof/>
          <w:spacing w:val="-8"/>
        </w:rPr>
        <w:t>have</w:t>
      </w:r>
      <w:r w:rsidR="007951B3" w:rsidRPr="00903A15">
        <w:rPr>
          <w:noProof/>
          <w:spacing w:val="-8"/>
        </w:rPr>
        <w:t xml:space="preserve"> a knock-on effect of potentially increasing employment levels as sectors adapt and evolve to incorporate new technological and service-based innovations. Increased investment in innovation often translates into the need for skilled professionals and personnel t</w:t>
      </w:r>
      <w:r w:rsidR="00AC488C" w:rsidRPr="00903A15">
        <w:rPr>
          <w:noProof/>
          <w:spacing w:val="-8"/>
        </w:rPr>
        <w:t>o</w:t>
      </w:r>
      <w:r w:rsidR="007951B3" w:rsidRPr="00903A15">
        <w:rPr>
          <w:noProof/>
          <w:spacing w:val="-8"/>
        </w:rPr>
        <w:t xml:space="preserve"> understand, implement, and support these advancements</w:t>
      </w:r>
      <w:r w:rsidR="00AC488C" w:rsidRPr="00903A15">
        <w:rPr>
          <w:noProof/>
          <w:spacing w:val="-8"/>
        </w:rPr>
        <w:t xml:space="preserve">. </w:t>
      </w:r>
    </w:p>
    <w:p w14:paraId="6A38A25C" w14:textId="4C5E6D34" w:rsidR="004B3A25" w:rsidRPr="00237A70" w:rsidRDefault="004B3A25" w:rsidP="006E3FA1">
      <w:pPr>
        <w:pStyle w:val="Heading2"/>
        <w:keepNext/>
        <w:numPr>
          <w:ilvl w:val="2"/>
          <w:numId w:val="11"/>
        </w:numPr>
        <w:tabs>
          <w:tab w:val="left" w:pos="709"/>
        </w:tabs>
        <w:spacing w:before="0" w:after="240"/>
        <w:ind w:left="1134" w:hanging="708"/>
        <w:rPr>
          <w:b w:val="0"/>
          <w:i/>
          <w:noProof/>
        </w:rPr>
      </w:pPr>
      <w:bookmarkStart w:id="180" w:name="_Toc222313489"/>
      <w:bookmarkStart w:id="181" w:name="_Toc222749008"/>
      <w:bookmarkStart w:id="182" w:name="_Toc223979980"/>
      <w:r w:rsidRPr="00237A70">
        <w:rPr>
          <w:b w:val="0"/>
          <w:i/>
          <w:noProof/>
        </w:rPr>
        <w:t>Impact</w:t>
      </w:r>
      <w:r w:rsidR="00F9450A">
        <w:rPr>
          <w:b w:val="0"/>
          <w:i/>
          <w:noProof/>
        </w:rPr>
        <w:t>s</w:t>
      </w:r>
      <w:r w:rsidRPr="00237A70">
        <w:rPr>
          <w:b w:val="0"/>
          <w:i/>
          <w:noProof/>
        </w:rPr>
        <w:t xml:space="preserve"> on </w:t>
      </w:r>
      <w:bookmarkEnd w:id="180"/>
      <w:r w:rsidR="00AC2CB3">
        <w:rPr>
          <w:b w:val="0"/>
          <w:i/>
          <w:noProof/>
        </w:rPr>
        <w:t>safety</w:t>
      </w:r>
      <w:bookmarkEnd w:id="181"/>
      <w:bookmarkEnd w:id="182"/>
      <w:r w:rsidRPr="00237A70">
        <w:rPr>
          <w:b w:val="0"/>
          <w:i/>
          <w:noProof/>
        </w:rPr>
        <w:t xml:space="preserve"> </w:t>
      </w:r>
    </w:p>
    <w:p w14:paraId="6A035374" w14:textId="35538C1F" w:rsidR="009D0FBA" w:rsidRPr="00AC6B9A" w:rsidRDefault="00273616" w:rsidP="00AC6B9A">
      <w:pPr>
        <w:pStyle w:val="Text2"/>
        <w:spacing w:after="240"/>
        <w:ind w:left="0"/>
        <w:rPr>
          <w:rFonts w:cs="Times New Roman"/>
          <w:noProof/>
          <w:spacing w:val="-8"/>
          <w:szCs w:val="24"/>
          <w:lang w:eastAsia="en-IE"/>
        </w:rPr>
      </w:pPr>
      <w:bookmarkStart w:id="183" w:name="_Ref150184966"/>
      <w:r>
        <w:rPr>
          <w:rFonts w:cs="Times New Roman"/>
          <w:noProof/>
          <w:spacing w:val="-8"/>
          <w:szCs w:val="24"/>
          <w:lang w:eastAsia="en-IE"/>
        </w:rPr>
        <w:t>I</w:t>
      </w:r>
      <w:r w:rsidRPr="00AC6B9A">
        <w:rPr>
          <w:rFonts w:cs="Times New Roman"/>
          <w:noProof/>
          <w:spacing w:val="-8"/>
          <w:szCs w:val="24"/>
          <w:lang w:eastAsia="en-IE"/>
        </w:rPr>
        <w:t>n all policy options</w:t>
      </w:r>
      <w:r>
        <w:rPr>
          <w:rFonts w:cs="Times New Roman"/>
          <w:noProof/>
          <w:spacing w:val="-8"/>
          <w:szCs w:val="24"/>
          <w:lang w:eastAsia="en-IE"/>
        </w:rPr>
        <w:t>,</w:t>
      </w:r>
      <w:r w:rsidRPr="00AC6B9A">
        <w:rPr>
          <w:rFonts w:cs="Times New Roman"/>
          <w:noProof/>
          <w:spacing w:val="-8"/>
          <w:szCs w:val="24"/>
          <w:lang w:eastAsia="en-IE"/>
        </w:rPr>
        <w:t xml:space="preserve"> </w:t>
      </w:r>
      <w:r>
        <w:rPr>
          <w:rFonts w:cs="Times New Roman"/>
          <w:noProof/>
          <w:spacing w:val="-8"/>
          <w:szCs w:val="24"/>
          <w:lang w:eastAsia="en-IE"/>
        </w:rPr>
        <w:t>t</w:t>
      </w:r>
      <w:r w:rsidR="00A72DB6" w:rsidRPr="00AC6B9A">
        <w:rPr>
          <w:rFonts w:cs="Times New Roman"/>
          <w:noProof/>
          <w:spacing w:val="-8"/>
          <w:szCs w:val="24"/>
          <w:lang w:eastAsia="en-IE"/>
        </w:rPr>
        <w:t xml:space="preserve">he reduction in the passenger car transport activity induced by </w:t>
      </w:r>
      <w:r w:rsidR="0029710D" w:rsidRPr="00AC6B9A">
        <w:rPr>
          <w:rFonts w:cs="Times New Roman"/>
          <w:noProof/>
          <w:spacing w:val="-8"/>
          <w:szCs w:val="24"/>
          <w:lang w:eastAsia="en-IE"/>
        </w:rPr>
        <w:t>more offers and information</w:t>
      </w:r>
      <w:r w:rsidR="00A72DB6" w:rsidRPr="00AC6B9A">
        <w:rPr>
          <w:rFonts w:cs="Times New Roman"/>
          <w:noProof/>
          <w:spacing w:val="-8"/>
          <w:szCs w:val="24"/>
          <w:lang w:eastAsia="en-IE"/>
        </w:rPr>
        <w:t xml:space="preserve"> available to users to make more sustainable choices, is expected to result in a decrease in the number of fatalities and injuries relative to the baseline. </w:t>
      </w:r>
      <w:r w:rsidR="00386125">
        <w:rPr>
          <w:rFonts w:cs="Times New Roman"/>
          <w:noProof/>
          <w:spacing w:val="-8"/>
          <w:szCs w:val="24"/>
          <w:lang w:eastAsia="en-IE"/>
        </w:rPr>
        <w:t xml:space="preserve">The decrease in the number of fatalities and injuries relative to the baseline is </w:t>
      </w:r>
      <w:r w:rsidR="00740A98">
        <w:rPr>
          <w:rFonts w:cs="Times New Roman"/>
          <w:noProof/>
          <w:spacing w:val="-8"/>
          <w:szCs w:val="24"/>
          <w:lang w:eastAsia="en-IE"/>
        </w:rPr>
        <w:t xml:space="preserve">a direct result of </w:t>
      </w:r>
      <w:r w:rsidR="00386125">
        <w:rPr>
          <w:rFonts w:cs="Times New Roman"/>
          <w:noProof/>
          <w:spacing w:val="-8"/>
          <w:szCs w:val="24"/>
          <w:lang w:eastAsia="en-IE"/>
        </w:rPr>
        <w:t>t</w:t>
      </w:r>
      <w:r w:rsidR="00265383">
        <w:rPr>
          <w:rFonts w:cs="Times New Roman"/>
          <w:noProof/>
          <w:spacing w:val="-8"/>
          <w:szCs w:val="24"/>
          <w:lang w:eastAsia="en-IE"/>
        </w:rPr>
        <w:t>he reduction in the passenger car transport activity</w:t>
      </w:r>
      <w:r w:rsidR="00740A98">
        <w:rPr>
          <w:rFonts w:cs="Times New Roman"/>
          <w:noProof/>
          <w:spacing w:val="-8"/>
          <w:szCs w:val="24"/>
          <w:lang w:eastAsia="en-IE"/>
        </w:rPr>
        <w:t xml:space="preserve"> and not affected by any other drivers</w:t>
      </w:r>
      <w:r w:rsidR="0080518B">
        <w:rPr>
          <w:rFonts w:cs="Times New Roman"/>
          <w:noProof/>
          <w:spacing w:val="-8"/>
          <w:szCs w:val="24"/>
          <w:lang w:eastAsia="en-IE"/>
        </w:rPr>
        <w:t xml:space="preserve"> in the assessment</w:t>
      </w:r>
      <w:r w:rsidR="00E64AE6">
        <w:rPr>
          <w:rFonts w:cs="Times New Roman"/>
          <w:noProof/>
          <w:spacing w:val="-8"/>
          <w:szCs w:val="24"/>
          <w:lang w:eastAsia="en-IE"/>
        </w:rPr>
        <w:t xml:space="preserve">. </w:t>
      </w:r>
      <w:r w:rsidR="00A72DB6" w:rsidRPr="00AC6B9A">
        <w:rPr>
          <w:rFonts w:cs="Times New Roman"/>
          <w:noProof/>
          <w:spacing w:val="-8"/>
          <w:szCs w:val="24"/>
          <w:lang w:eastAsia="en-IE"/>
        </w:rPr>
        <w:t>Cumulatively over 202</w:t>
      </w:r>
      <w:r w:rsidR="001A75A1" w:rsidRPr="00AC6B9A">
        <w:rPr>
          <w:rFonts w:cs="Times New Roman"/>
          <w:noProof/>
          <w:spacing w:val="-8"/>
          <w:szCs w:val="24"/>
          <w:lang w:eastAsia="en-IE"/>
        </w:rPr>
        <w:t>8</w:t>
      </w:r>
      <w:r w:rsidR="00A72DB6" w:rsidRPr="00AC6B9A">
        <w:rPr>
          <w:rFonts w:cs="Times New Roman"/>
          <w:noProof/>
          <w:spacing w:val="-8"/>
          <w:szCs w:val="24"/>
          <w:lang w:eastAsia="en-IE"/>
        </w:rPr>
        <w:t xml:space="preserve">-2050, PO1 is estimated to lead to </w:t>
      </w:r>
      <w:r w:rsidR="00224B5F" w:rsidRPr="00AC6B9A">
        <w:rPr>
          <w:rFonts w:cs="Times New Roman"/>
          <w:noProof/>
          <w:spacing w:val="-8"/>
          <w:szCs w:val="24"/>
          <w:lang w:eastAsia="en-IE"/>
        </w:rPr>
        <w:t>731</w:t>
      </w:r>
      <w:r w:rsidR="00A72DB6" w:rsidRPr="00AC6B9A">
        <w:rPr>
          <w:rFonts w:cs="Times New Roman"/>
          <w:noProof/>
          <w:spacing w:val="-8"/>
          <w:szCs w:val="24"/>
          <w:lang w:eastAsia="en-IE"/>
        </w:rPr>
        <w:t xml:space="preserve"> lives saved and </w:t>
      </w:r>
      <w:r w:rsidR="00224B5F" w:rsidRPr="00AC6B9A">
        <w:rPr>
          <w:rFonts w:cs="Times New Roman"/>
          <w:noProof/>
          <w:spacing w:val="-8"/>
          <w:szCs w:val="24"/>
          <w:lang w:eastAsia="en-IE"/>
        </w:rPr>
        <w:t xml:space="preserve">49 </w:t>
      </w:r>
      <w:r w:rsidR="00C36147" w:rsidRPr="00AC6B9A">
        <w:rPr>
          <w:rFonts w:cs="Times New Roman"/>
          <w:noProof/>
          <w:spacing w:val="-8"/>
          <w:szCs w:val="24"/>
          <w:lang w:eastAsia="en-IE"/>
        </w:rPr>
        <w:t>thousand</w:t>
      </w:r>
      <w:r w:rsidR="00A72DB6" w:rsidRPr="00AC6B9A">
        <w:rPr>
          <w:rFonts w:cs="Times New Roman"/>
          <w:noProof/>
          <w:spacing w:val="-8"/>
          <w:szCs w:val="24"/>
          <w:lang w:eastAsia="en-IE"/>
        </w:rPr>
        <w:t xml:space="preserve"> injuries avoided, while PO2</w:t>
      </w:r>
      <w:r w:rsidR="007447D6" w:rsidRPr="00AC6B9A">
        <w:rPr>
          <w:rFonts w:cs="Times New Roman"/>
          <w:noProof/>
          <w:spacing w:val="-8"/>
          <w:szCs w:val="24"/>
          <w:lang w:eastAsia="en-IE"/>
        </w:rPr>
        <w:t xml:space="preserve">, </w:t>
      </w:r>
      <w:r w:rsidR="00A72DB6" w:rsidRPr="00AC6B9A">
        <w:rPr>
          <w:rFonts w:cs="Times New Roman"/>
          <w:noProof/>
          <w:spacing w:val="-8"/>
          <w:szCs w:val="24"/>
          <w:lang w:eastAsia="en-IE"/>
        </w:rPr>
        <w:t>PO3</w:t>
      </w:r>
      <w:r w:rsidR="007447D6" w:rsidRPr="00AC6B9A">
        <w:rPr>
          <w:rFonts w:cs="Times New Roman"/>
          <w:noProof/>
          <w:spacing w:val="-8"/>
          <w:szCs w:val="24"/>
          <w:lang w:eastAsia="en-IE"/>
        </w:rPr>
        <w:t xml:space="preserve"> </w:t>
      </w:r>
      <w:r w:rsidR="00A72DB6" w:rsidRPr="00AC6B9A">
        <w:rPr>
          <w:rFonts w:cs="Times New Roman"/>
          <w:noProof/>
          <w:spacing w:val="-8"/>
          <w:szCs w:val="24"/>
          <w:lang w:eastAsia="en-IE"/>
        </w:rPr>
        <w:t xml:space="preserve">and </w:t>
      </w:r>
      <w:r w:rsidR="007447D6" w:rsidRPr="00AC6B9A">
        <w:rPr>
          <w:rFonts w:cs="Times New Roman"/>
          <w:noProof/>
          <w:spacing w:val="-8"/>
          <w:szCs w:val="24"/>
          <w:lang w:eastAsia="en-IE"/>
        </w:rPr>
        <w:t>PO4</w:t>
      </w:r>
      <w:r w:rsidR="00A72DB6" w:rsidRPr="00AC6B9A">
        <w:rPr>
          <w:rFonts w:cs="Times New Roman"/>
          <w:noProof/>
          <w:spacing w:val="-8"/>
          <w:szCs w:val="24"/>
          <w:lang w:eastAsia="en-IE"/>
        </w:rPr>
        <w:t xml:space="preserve"> would have </w:t>
      </w:r>
      <w:r w:rsidR="00D34AB6">
        <w:rPr>
          <w:rFonts w:cs="Times New Roman"/>
          <w:noProof/>
          <w:spacing w:val="-8"/>
          <w:szCs w:val="24"/>
          <w:lang w:eastAsia="en-IE"/>
        </w:rPr>
        <w:t xml:space="preserve">significantly </w:t>
      </w:r>
      <w:r w:rsidR="00A72DB6" w:rsidRPr="00AC6B9A">
        <w:rPr>
          <w:rFonts w:cs="Times New Roman"/>
          <w:noProof/>
          <w:spacing w:val="-8"/>
          <w:szCs w:val="24"/>
          <w:lang w:eastAsia="en-IE"/>
        </w:rPr>
        <w:t>higher positive impact (</w:t>
      </w:r>
      <w:r w:rsidR="007447D6" w:rsidRPr="00AC6B9A">
        <w:rPr>
          <w:rFonts w:cs="Times New Roman"/>
          <w:noProof/>
          <w:spacing w:val="-8"/>
          <w:szCs w:val="24"/>
          <w:lang w:eastAsia="en-IE"/>
        </w:rPr>
        <w:t>1,480</w:t>
      </w:r>
      <w:r w:rsidR="00A72DB6" w:rsidRPr="00AC6B9A">
        <w:rPr>
          <w:rFonts w:cs="Times New Roman"/>
          <w:noProof/>
          <w:spacing w:val="-8"/>
          <w:szCs w:val="24"/>
          <w:lang w:eastAsia="en-IE"/>
        </w:rPr>
        <w:t xml:space="preserve"> lives saved and </w:t>
      </w:r>
      <w:r w:rsidR="0085427B">
        <w:rPr>
          <w:rFonts w:cs="Times New Roman"/>
          <w:noProof/>
          <w:spacing w:val="-8"/>
          <w:szCs w:val="24"/>
          <w:lang w:eastAsia="en-IE"/>
        </w:rPr>
        <w:t xml:space="preserve">close to </w:t>
      </w:r>
      <w:r w:rsidR="00E95874">
        <w:rPr>
          <w:rFonts w:cs="Times New Roman"/>
          <w:noProof/>
          <w:spacing w:val="-8"/>
          <w:szCs w:val="24"/>
          <w:lang w:eastAsia="en-IE"/>
        </w:rPr>
        <w:t>95</w:t>
      </w:r>
      <w:r w:rsidR="00E95874" w:rsidRPr="00AC6B9A">
        <w:rPr>
          <w:rFonts w:cs="Times New Roman"/>
          <w:noProof/>
          <w:spacing w:val="-8"/>
          <w:szCs w:val="24"/>
          <w:lang w:eastAsia="en-IE"/>
        </w:rPr>
        <w:t xml:space="preserve"> </w:t>
      </w:r>
      <w:r w:rsidR="00A72DB6" w:rsidRPr="00AC6B9A">
        <w:rPr>
          <w:rFonts w:cs="Times New Roman"/>
          <w:noProof/>
          <w:spacing w:val="-8"/>
          <w:szCs w:val="24"/>
          <w:lang w:eastAsia="en-IE"/>
        </w:rPr>
        <w:t>thousand injuries avoided in PO2</w:t>
      </w:r>
      <w:r w:rsidR="007447D6" w:rsidRPr="00AC6B9A">
        <w:rPr>
          <w:rFonts w:cs="Times New Roman"/>
          <w:noProof/>
          <w:spacing w:val="-8"/>
          <w:szCs w:val="24"/>
          <w:lang w:eastAsia="en-IE"/>
        </w:rPr>
        <w:t>,</w:t>
      </w:r>
      <w:r w:rsidR="00A72DB6" w:rsidRPr="00AC6B9A">
        <w:rPr>
          <w:rFonts w:cs="Times New Roman"/>
          <w:noProof/>
          <w:spacing w:val="-8"/>
          <w:szCs w:val="24"/>
          <w:lang w:eastAsia="en-IE"/>
        </w:rPr>
        <w:t xml:space="preserve"> </w:t>
      </w:r>
      <w:r w:rsidR="007447D6" w:rsidRPr="00AC6B9A">
        <w:rPr>
          <w:rFonts w:cs="Times New Roman"/>
          <w:noProof/>
          <w:spacing w:val="-8"/>
          <w:szCs w:val="24"/>
          <w:lang w:eastAsia="en-IE"/>
        </w:rPr>
        <w:t>2,113</w:t>
      </w:r>
      <w:r w:rsidR="00A72DB6" w:rsidRPr="00AC6B9A">
        <w:rPr>
          <w:rFonts w:cs="Times New Roman"/>
          <w:noProof/>
          <w:spacing w:val="-8"/>
          <w:szCs w:val="24"/>
          <w:lang w:eastAsia="en-IE"/>
        </w:rPr>
        <w:t xml:space="preserve"> lives saved and </w:t>
      </w:r>
      <w:r w:rsidR="008876E9">
        <w:rPr>
          <w:rFonts w:cs="Times New Roman"/>
          <w:noProof/>
          <w:spacing w:val="-8"/>
          <w:szCs w:val="24"/>
          <w:lang w:eastAsia="en-IE"/>
        </w:rPr>
        <w:t xml:space="preserve">close to </w:t>
      </w:r>
      <w:r w:rsidR="008876E9" w:rsidRPr="00AC6B9A">
        <w:rPr>
          <w:rFonts w:cs="Times New Roman"/>
          <w:noProof/>
          <w:spacing w:val="-8"/>
          <w:szCs w:val="24"/>
          <w:lang w:eastAsia="en-IE"/>
        </w:rPr>
        <w:t>13</w:t>
      </w:r>
      <w:r w:rsidR="008876E9">
        <w:rPr>
          <w:rFonts w:cs="Times New Roman"/>
          <w:noProof/>
          <w:spacing w:val="-8"/>
          <w:szCs w:val="24"/>
          <w:lang w:eastAsia="en-IE"/>
        </w:rPr>
        <w:t>7</w:t>
      </w:r>
      <w:r w:rsidR="00A72DB6" w:rsidRPr="00AC6B9A">
        <w:rPr>
          <w:rFonts w:cs="Times New Roman"/>
          <w:noProof/>
          <w:spacing w:val="-8"/>
          <w:szCs w:val="24"/>
          <w:lang w:eastAsia="en-IE"/>
        </w:rPr>
        <w:t xml:space="preserve"> thousand injuries avoided in PO3</w:t>
      </w:r>
      <w:r w:rsidR="007447D6" w:rsidRPr="00AC6B9A">
        <w:rPr>
          <w:rFonts w:cs="Times New Roman"/>
          <w:noProof/>
          <w:spacing w:val="-8"/>
          <w:szCs w:val="24"/>
          <w:lang w:eastAsia="en-IE"/>
        </w:rPr>
        <w:t xml:space="preserve"> and 1,616</w:t>
      </w:r>
      <w:r w:rsidR="00E841A5" w:rsidRPr="00AC6B9A">
        <w:rPr>
          <w:rFonts w:cs="Times New Roman"/>
          <w:noProof/>
          <w:spacing w:val="-8"/>
          <w:szCs w:val="24"/>
          <w:lang w:eastAsia="en-IE"/>
        </w:rPr>
        <w:t xml:space="preserve"> lives saved and 107 thousand injuries avoided in PO4</w:t>
      </w:r>
      <w:r w:rsidR="00A72DB6" w:rsidRPr="00AC6B9A">
        <w:rPr>
          <w:rFonts w:cs="Times New Roman"/>
          <w:noProof/>
          <w:spacing w:val="-8"/>
          <w:szCs w:val="24"/>
          <w:lang w:eastAsia="en-IE"/>
        </w:rPr>
        <w:t>)</w:t>
      </w:r>
      <w:r w:rsidR="00A32963">
        <w:rPr>
          <w:rFonts w:cs="Times New Roman"/>
          <w:noProof/>
          <w:spacing w:val="-8"/>
          <w:szCs w:val="24"/>
          <w:lang w:eastAsia="en-IE"/>
        </w:rPr>
        <w:t xml:space="preserve"> with</w:t>
      </w:r>
      <w:r w:rsidR="006F5265">
        <w:rPr>
          <w:rFonts w:cs="Times New Roman"/>
          <w:noProof/>
          <w:spacing w:val="-8"/>
          <w:szCs w:val="24"/>
          <w:lang w:eastAsia="en-IE"/>
        </w:rPr>
        <w:t xml:space="preserve"> PO3</w:t>
      </w:r>
      <w:r w:rsidR="00A72DB6">
        <w:rPr>
          <w:rFonts w:cs="Times New Roman"/>
          <w:noProof/>
          <w:spacing w:val="-8"/>
          <w:szCs w:val="24"/>
          <w:lang w:eastAsia="en-IE"/>
        </w:rPr>
        <w:t xml:space="preserve"> </w:t>
      </w:r>
      <w:r w:rsidR="00A32963">
        <w:rPr>
          <w:rFonts w:cs="Times New Roman"/>
          <w:noProof/>
          <w:spacing w:val="-8"/>
          <w:szCs w:val="24"/>
          <w:lang w:eastAsia="en-IE"/>
        </w:rPr>
        <w:t xml:space="preserve">showing </w:t>
      </w:r>
      <w:r w:rsidR="00A72DB6">
        <w:rPr>
          <w:rFonts w:cs="Times New Roman"/>
          <w:noProof/>
          <w:spacing w:val="-8"/>
          <w:szCs w:val="24"/>
          <w:lang w:eastAsia="en-IE"/>
        </w:rPr>
        <w:t xml:space="preserve">the </w:t>
      </w:r>
      <w:r w:rsidR="00A32963">
        <w:rPr>
          <w:rFonts w:cs="Times New Roman"/>
          <w:noProof/>
          <w:spacing w:val="-8"/>
          <w:szCs w:val="24"/>
          <w:lang w:eastAsia="en-IE"/>
        </w:rPr>
        <w:t>highest positive impact</w:t>
      </w:r>
      <w:r w:rsidR="00A15B38" w:rsidRPr="00AC6B9A">
        <w:rPr>
          <w:rFonts w:cs="Times New Roman"/>
          <w:noProof/>
          <w:spacing w:val="-8"/>
          <w:szCs w:val="24"/>
          <w:lang w:eastAsia="en-IE"/>
        </w:rPr>
        <w:t>.</w:t>
      </w:r>
      <w:r w:rsidR="00A72DB6" w:rsidRPr="00AC6B9A">
        <w:rPr>
          <w:rFonts w:cs="Times New Roman"/>
          <w:noProof/>
          <w:spacing w:val="-8"/>
          <w:szCs w:val="24"/>
          <w:lang w:eastAsia="en-IE"/>
        </w:rPr>
        <w:t xml:space="preserve"> </w:t>
      </w:r>
      <w:r w:rsidR="00970836" w:rsidRPr="004E336D">
        <w:rPr>
          <w:noProof/>
          <w:spacing w:val="-6"/>
          <w:lang w:eastAsia="nl-NL"/>
        </w:rPr>
        <w:t xml:space="preserve">All policy options contribute towards </w:t>
      </w:r>
      <w:r w:rsidR="00970836" w:rsidRPr="003948C0">
        <w:rPr>
          <w:b/>
          <w:noProof/>
          <w:spacing w:val="-8"/>
        </w:rPr>
        <w:t xml:space="preserve">Sustainable Development Goal </w:t>
      </w:r>
      <w:r w:rsidR="00970836" w:rsidRPr="003948C0">
        <w:rPr>
          <w:noProof/>
          <w:spacing w:val="-8"/>
        </w:rPr>
        <w:t>SDG#</w:t>
      </w:r>
      <w:r w:rsidR="00970836">
        <w:rPr>
          <w:noProof/>
          <w:spacing w:val="-8"/>
        </w:rPr>
        <w:t>9</w:t>
      </w:r>
      <w:r w:rsidR="00970836" w:rsidRPr="003948C0">
        <w:rPr>
          <w:noProof/>
          <w:spacing w:val="-8"/>
        </w:rPr>
        <w:t xml:space="preserve"> (“</w:t>
      </w:r>
      <w:r w:rsidR="00970836" w:rsidRPr="00970836">
        <w:rPr>
          <w:noProof/>
          <w:spacing w:val="-8"/>
        </w:rPr>
        <w:t>Make cities and human settlements inclusive, safe, resilient and sustainable</w:t>
      </w:r>
      <w:r w:rsidR="00970836" w:rsidRPr="003948C0">
        <w:rPr>
          <w:noProof/>
          <w:spacing w:val="-8"/>
        </w:rPr>
        <w:t>”)</w:t>
      </w:r>
      <w:r w:rsidR="00970836">
        <w:rPr>
          <w:noProof/>
          <w:spacing w:val="-8"/>
        </w:rPr>
        <w:t>.</w:t>
      </w:r>
    </w:p>
    <w:p w14:paraId="6D3D0309" w14:textId="78F18B77" w:rsidR="003F57C8" w:rsidRPr="003F57C8" w:rsidRDefault="003F57C8" w:rsidP="003F57C8">
      <w:pPr>
        <w:pStyle w:val="Text2"/>
        <w:spacing w:after="0"/>
        <w:ind w:left="0"/>
        <w:rPr>
          <w:rFonts w:cs="Times New Roman"/>
          <w:i/>
          <w:noProof/>
          <w:sz w:val="22"/>
          <w:szCs w:val="22"/>
        </w:rPr>
      </w:pPr>
      <w:r w:rsidRPr="003F57C8">
        <w:rPr>
          <w:rFonts w:cs="Times New Roman"/>
          <w:i/>
          <w:noProof/>
          <w:sz w:val="22"/>
          <w:szCs w:val="22"/>
        </w:rPr>
        <w:t xml:space="preserve">Table </w:t>
      </w:r>
      <w:r w:rsidRPr="003F57C8">
        <w:rPr>
          <w:rFonts w:cs="Times New Roman"/>
          <w:i/>
          <w:noProof/>
          <w:sz w:val="22"/>
          <w:szCs w:val="22"/>
        </w:rPr>
        <w:fldChar w:fldCharType="begin"/>
      </w:r>
      <w:r w:rsidRPr="003F57C8">
        <w:rPr>
          <w:rFonts w:cs="Times New Roman"/>
          <w:i/>
          <w:noProof/>
          <w:sz w:val="22"/>
          <w:szCs w:val="22"/>
        </w:rPr>
        <w:instrText xml:space="preserve"> SEQ Table \* ARABIC </w:instrText>
      </w:r>
      <w:r w:rsidRPr="003F57C8">
        <w:rPr>
          <w:rFonts w:cs="Times New Roman"/>
          <w:i/>
          <w:noProof/>
          <w:sz w:val="22"/>
          <w:szCs w:val="22"/>
        </w:rPr>
        <w:fldChar w:fldCharType="separate"/>
      </w:r>
      <w:r w:rsidR="0055391F">
        <w:rPr>
          <w:rFonts w:cs="Times New Roman"/>
          <w:i/>
          <w:noProof/>
          <w:sz w:val="22"/>
          <w:szCs w:val="22"/>
        </w:rPr>
        <w:t>18</w:t>
      </w:r>
      <w:r w:rsidRPr="003F57C8">
        <w:rPr>
          <w:rFonts w:cs="Times New Roman"/>
          <w:i/>
          <w:noProof/>
          <w:sz w:val="22"/>
          <w:szCs w:val="22"/>
        </w:rPr>
        <w:fldChar w:fldCharType="end"/>
      </w:r>
      <w:bookmarkEnd w:id="183"/>
      <w:r w:rsidRPr="003F57C8">
        <w:rPr>
          <w:rFonts w:cs="Times New Roman"/>
          <w:i/>
          <w:noProof/>
          <w:sz w:val="22"/>
          <w:szCs w:val="22"/>
        </w:rPr>
        <w:t>: Expected reduction in the number of fatalities and injuries in the POs relative to the baseline, in 2030</w:t>
      </w:r>
      <w:r>
        <w:rPr>
          <w:rFonts w:cs="Times New Roman"/>
          <w:i/>
          <w:noProof/>
          <w:sz w:val="22"/>
          <w:szCs w:val="22"/>
        </w:rPr>
        <w:t>, 2040</w:t>
      </w:r>
      <w:r w:rsidRPr="003F57C8">
        <w:rPr>
          <w:rFonts w:cs="Times New Roman"/>
          <w:i/>
          <w:noProof/>
          <w:sz w:val="22"/>
          <w:szCs w:val="22"/>
        </w:rPr>
        <w:t xml:space="preserve"> and 2050, and cumulative reduction over the period </w:t>
      </w:r>
      <w:r w:rsidR="000821EC" w:rsidRPr="009535E6">
        <w:rPr>
          <w:rFonts w:cs="Times New Roman"/>
          <w:i/>
          <w:noProof/>
          <w:sz w:val="22"/>
          <w:szCs w:val="22"/>
        </w:rPr>
        <w:t>202</w:t>
      </w:r>
      <w:r w:rsidR="000821EC" w:rsidRPr="00255F89">
        <w:rPr>
          <w:rFonts w:cs="Times New Roman"/>
          <w:i/>
          <w:noProof/>
          <w:sz w:val="22"/>
          <w:szCs w:val="22"/>
        </w:rPr>
        <w:t>8</w:t>
      </w:r>
      <w:r w:rsidRPr="003F57C8">
        <w:rPr>
          <w:rFonts w:cs="Times New Roman"/>
          <w:i/>
          <w:noProof/>
          <w:sz w:val="22"/>
          <w:szCs w:val="22"/>
        </w:rPr>
        <w:t>-2050</w:t>
      </w:r>
    </w:p>
    <w:tbl>
      <w:tblPr>
        <w:tblW w:w="5000" w:type="pct"/>
        <w:tblLook w:val="04A0" w:firstRow="1" w:lastRow="0" w:firstColumn="1" w:lastColumn="0" w:noHBand="0" w:noVBand="1"/>
      </w:tblPr>
      <w:tblGrid>
        <w:gridCol w:w="863"/>
        <w:gridCol w:w="1324"/>
        <w:gridCol w:w="1323"/>
        <w:gridCol w:w="1323"/>
        <w:gridCol w:w="2387"/>
        <w:gridCol w:w="2383"/>
      </w:tblGrid>
      <w:tr w:rsidR="002141AA" w14:paraId="1E212625" w14:textId="77777777" w:rsidTr="00BE1AC5">
        <w:trPr>
          <w:trHeight w:val="510"/>
          <w:tblHeader/>
        </w:trPr>
        <w:tc>
          <w:tcPr>
            <w:tcW w:w="449" w:type="pct"/>
            <w:tcBorders>
              <w:top w:val="single" w:sz="4" w:space="0" w:color="auto"/>
              <w:left w:val="single" w:sz="4" w:space="0" w:color="auto"/>
              <w:bottom w:val="single" w:sz="4" w:space="0" w:color="auto"/>
              <w:right w:val="single" w:sz="4" w:space="0" w:color="auto"/>
            </w:tcBorders>
            <w:shd w:val="clear" w:color="000000" w:fill="0070C0"/>
            <w:hideMark/>
          </w:tcPr>
          <w:p w14:paraId="3292F773" w14:textId="77777777" w:rsidR="002141AA" w:rsidRDefault="002141AA">
            <w:pPr>
              <w:rPr>
                <w:b/>
                <w:bCs/>
                <w:noProof/>
                <w:color w:val="FFFFFF"/>
                <w:sz w:val="20"/>
                <w:szCs w:val="20"/>
              </w:rPr>
            </w:pPr>
            <w:r>
              <w:rPr>
                <w:b/>
                <w:bCs/>
                <w:noProof/>
                <w:color w:val="FFFFFF"/>
                <w:sz w:val="20"/>
                <w:szCs w:val="20"/>
              </w:rPr>
              <w:t> </w:t>
            </w:r>
          </w:p>
        </w:tc>
        <w:tc>
          <w:tcPr>
            <w:tcW w:w="689" w:type="pct"/>
            <w:tcBorders>
              <w:top w:val="single" w:sz="4" w:space="0" w:color="auto"/>
              <w:left w:val="nil"/>
              <w:bottom w:val="single" w:sz="4" w:space="0" w:color="auto"/>
              <w:right w:val="single" w:sz="4" w:space="0" w:color="auto"/>
            </w:tcBorders>
            <w:shd w:val="clear" w:color="000000" w:fill="0070C0"/>
            <w:hideMark/>
          </w:tcPr>
          <w:p w14:paraId="4B2BB318" w14:textId="77777777" w:rsidR="002141AA" w:rsidRDefault="002141AA">
            <w:pPr>
              <w:jc w:val="center"/>
              <w:rPr>
                <w:b/>
                <w:bCs/>
                <w:noProof/>
                <w:color w:val="FFFFFF"/>
                <w:sz w:val="20"/>
                <w:szCs w:val="20"/>
              </w:rPr>
            </w:pPr>
            <w:r>
              <w:rPr>
                <w:b/>
                <w:bCs/>
                <w:noProof/>
                <w:color w:val="FFFFFF"/>
                <w:sz w:val="20"/>
                <w:szCs w:val="20"/>
              </w:rPr>
              <w:t>2030</w:t>
            </w:r>
          </w:p>
        </w:tc>
        <w:tc>
          <w:tcPr>
            <w:tcW w:w="689" w:type="pct"/>
            <w:tcBorders>
              <w:top w:val="single" w:sz="4" w:space="0" w:color="auto"/>
              <w:left w:val="nil"/>
              <w:bottom w:val="single" w:sz="4" w:space="0" w:color="auto"/>
              <w:right w:val="single" w:sz="4" w:space="0" w:color="auto"/>
            </w:tcBorders>
            <w:shd w:val="clear" w:color="000000" w:fill="0070C0"/>
            <w:hideMark/>
          </w:tcPr>
          <w:p w14:paraId="66828206" w14:textId="77777777" w:rsidR="002141AA" w:rsidRDefault="002141AA">
            <w:pPr>
              <w:jc w:val="center"/>
              <w:rPr>
                <w:b/>
                <w:bCs/>
                <w:noProof/>
                <w:color w:val="FFFFFF"/>
                <w:sz w:val="20"/>
                <w:szCs w:val="20"/>
              </w:rPr>
            </w:pPr>
            <w:r>
              <w:rPr>
                <w:b/>
                <w:bCs/>
                <w:noProof/>
                <w:color w:val="FFFFFF"/>
                <w:sz w:val="20"/>
                <w:szCs w:val="20"/>
              </w:rPr>
              <w:t>2040</w:t>
            </w:r>
          </w:p>
        </w:tc>
        <w:tc>
          <w:tcPr>
            <w:tcW w:w="689" w:type="pct"/>
            <w:tcBorders>
              <w:top w:val="single" w:sz="4" w:space="0" w:color="auto"/>
              <w:left w:val="nil"/>
              <w:bottom w:val="single" w:sz="4" w:space="0" w:color="auto"/>
              <w:right w:val="single" w:sz="4" w:space="0" w:color="auto"/>
            </w:tcBorders>
            <w:shd w:val="clear" w:color="000000" w:fill="0070C0"/>
            <w:hideMark/>
          </w:tcPr>
          <w:p w14:paraId="37C30602" w14:textId="77777777" w:rsidR="002141AA" w:rsidRDefault="002141AA">
            <w:pPr>
              <w:jc w:val="center"/>
              <w:rPr>
                <w:b/>
                <w:bCs/>
                <w:noProof/>
                <w:color w:val="FFFFFF"/>
                <w:sz w:val="20"/>
                <w:szCs w:val="20"/>
              </w:rPr>
            </w:pPr>
            <w:r>
              <w:rPr>
                <w:b/>
                <w:bCs/>
                <w:noProof/>
                <w:color w:val="FFFFFF"/>
                <w:sz w:val="20"/>
                <w:szCs w:val="20"/>
              </w:rPr>
              <w:t>2050</w:t>
            </w:r>
          </w:p>
        </w:tc>
        <w:tc>
          <w:tcPr>
            <w:tcW w:w="1243" w:type="pct"/>
            <w:tcBorders>
              <w:top w:val="single" w:sz="4" w:space="0" w:color="auto"/>
              <w:left w:val="nil"/>
              <w:bottom w:val="single" w:sz="4" w:space="0" w:color="auto"/>
              <w:right w:val="single" w:sz="4" w:space="0" w:color="auto"/>
            </w:tcBorders>
            <w:shd w:val="clear" w:color="000000" w:fill="0070C0"/>
            <w:hideMark/>
          </w:tcPr>
          <w:p w14:paraId="4FCA4ECC" w14:textId="77777777" w:rsidR="002141AA" w:rsidRDefault="002141AA">
            <w:pPr>
              <w:jc w:val="center"/>
              <w:rPr>
                <w:b/>
                <w:bCs/>
                <w:noProof/>
                <w:color w:val="FFFFFF"/>
                <w:sz w:val="20"/>
                <w:szCs w:val="20"/>
              </w:rPr>
            </w:pPr>
            <w:r>
              <w:rPr>
                <w:b/>
                <w:bCs/>
                <w:noProof/>
                <w:color w:val="FFFFFF"/>
                <w:sz w:val="20"/>
                <w:szCs w:val="20"/>
              </w:rPr>
              <w:t>Cumulative over 2028-2050</w:t>
            </w:r>
          </w:p>
        </w:tc>
        <w:tc>
          <w:tcPr>
            <w:tcW w:w="1243" w:type="pct"/>
            <w:tcBorders>
              <w:top w:val="single" w:sz="4" w:space="0" w:color="auto"/>
              <w:left w:val="nil"/>
              <w:bottom w:val="single" w:sz="4" w:space="0" w:color="auto"/>
              <w:right w:val="single" w:sz="4" w:space="0" w:color="auto"/>
            </w:tcBorders>
            <w:shd w:val="clear" w:color="000000" w:fill="0070C0"/>
            <w:hideMark/>
          </w:tcPr>
          <w:p w14:paraId="1F3DBA4F" w14:textId="77777777" w:rsidR="002141AA" w:rsidRDefault="002141AA">
            <w:pPr>
              <w:jc w:val="center"/>
              <w:rPr>
                <w:b/>
                <w:bCs/>
                <w:noProof/>
                <w:color w:val="FFFFFF"/>
                <w:sz w:val="20"/>
                <w:szCs w:val="20"/>
              </w:rPr>
            </w:pPr>
            <w:r>
              <w:rPr>
                <w:b/>
                <w:bCs/>
                <w:noProof/>
                <w:color w:val="FFFFFF"/>
                <w:sz w:val="20"/>
                <w:szCs w:val="20"/>
              </w:rPr>
              <w:t>% change to baseline</w:t>
            </w:r>
          </w:p>
        </w:tc>
      </w:tr>
      <w:tr w:rsidR="002141AA" w14:paraId="20C8E8AB" w14:textId="77777777" w:rsidTr="00BE1AC5">
        <w:trPr>
          <w:trHeight w:val="255"/>
        </w:trPr>
        <w:tc>
          <w:tcPr>
            <w:tcW w:w="5000" w:type="pct"/>
            <w:gridSpan w:val="6"/>
            <w:tcBorders>
              <w:top w:val="single" w:sz="4" w:space="0" w:color="auto"/>
              <w:left w:val="single" w:sz="4" w:space="0" w:color="auto"/>
              <w:bottom w:val="single" w:sz="4" w:space="0" w:color="auto"/>
              <w:right w:val="single" w:sz="4" w:space="0" w:color="000000"/>
            </w:tcBorders>
            <w:shd w:val="clear" w:color="000000" w:fill="BDE3FF"/>
            <w:noWrap/>
            <w:hideMark/>
          </w:tcPr>
          <w:p w14:paraId="78C10AD1" w14:textId="77777777" w:rsidR="002141AA" w:rsidRDefault="002141AA">
            <w:pPr>
              <w:rPr>
                <w:b/>
                <w:bCs/>
                <w:noProof/>
                <w:sz w:val="20"/>
                <w:szCs w:val="20"/>
              </w:rPr>
            </w:pPr>
            <w:r>
              <w:rPr>
                <w:b/>
                <w:bCs/>
                <w:noProof/>
                <w:sz w:val="20"/>
                <w:szCs w:val="20"/>
              </w:rPr>
              <w:t xml:space="preserve">Fatalities </w:t>
            </w:r>
          </w:p>
        </w:tc>
      </w:tr>
      <w:tr w:rsidR="002141AA" w14:paraId="01106A10" w14:textId="77777777" w:rsidTr="00BE1AC5">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56929B99" w14:textId="77777777" w:rsidR="002141AA" w:rsidRDefault="002141AA">
            <w:pPr>
              <w:rPr>
                <w:noProof/>
                <w:sz w:val="20"/>
                <w:szCs w:val="20"/>
              </w:rPr>
            </w:pPr>
            <w:r>
              <w:rPr>
                <w:noProof/>
                <w:sz w:val="20"/>
                <w:szCs w:val="20"/>
              </w:rPr>
              <w:t>PO1</w:t>
            </w:r>
          </w:p>
        </w:tc>
        <w:tc>
          <w:tcPr>
            <w:tcW w:w="689" w:type="pct"/>
            <w:tcBorders>
              <w:top w:val="nil"/>
              <w:left w:val="nil"/>
              <w:bottom w:val="single" w:sz="4" w:space="0" w:color="auto"/>
              <w:right w:val="single" w:sz="4" w:space="0" w:color="auto"/>
            </w:tcBorders>
            <w:shd w:val="clear" w:color="000000" w:fill="FFFFFF"/>
            <w:noWrap/>
            <w:hideMark/>
          </w:tcPr>
          <w:p w14:paraId="51680E41" w14:textId="77777777" w:rsidR="002141AA" w:rsidRDefault="002141AA">
            <w:pPr>
              <w:jc w:val="center"/>
              <w:rPr>
                <w:noProof/>
                <w:color w:val="000000"/>
                <w:sz w:val="20"/>
                <w:szCs w:val="20"/>
              </w:rPr>
            </w:pPr>
            <w:r>
              <w:rPr>
                <w:noProof/>
                <w:color w:val="000000"/>
                <w:sz w:val="20"/>
                <w:szCs w:val="20"/>
              </w:rPr>
              <w:t>18</w:t>
            </w:r>
          </w:p>
        </w:tc>
        <w:tc>
          <w:tcPr>
            <w:tcW w:w="689" w:type="pct"/>
            <w:tcBorders>
              <w:top w:val="nil"/>
              <w:left w:val="nil"/>
              <w:bottom w:val="single" w:sz="4" w:space="0" w:color="auto"/>
              <w:right w:val="single" w:sz="4" w:space="0" w:color="auto"/>
            </w:tcBorders>
            <w:shd w:val="clear" w:color="000000" w:fill="FFFFFF"/>
            <w:noWrap/>
            <w:hideMark/>
          </w:tcPr>
          <w:p w14:paraId="1FF7AD01" w14:textId="77777777" w:rsidR="002141AA" w:rsidRDefault="002141AA">
            <w:pPr>
              <w:jc w:val="center"/>
              <w:rPr>
                <w:noProof/>
                <w:color w:val="000000"/>
                <w:sz w:val="20"/>
                <w:szCs w:val="20"/>
              </w:rPr>
            </w:pPr>
            <w:r>
              <w:rPr>
                <w:noProof/>
                <w:color w:val="000000"/>
                <w:sz w:val="20"/>
                <w:szCs w:val="20"/>
              </w:rPr>
              <w:t>38</w:t>
            </w:r>
          </w:p>
        </w:tc>
        <w:tc>
          <w:tcPr>
            <w:tcW w:w="689" w:type="pct"/>
            <w:tcBorders>
              <w:top w:val="nil"/>
              <w:left w:val="nil"/>
              <w:bottom w:val="single" w:sz="4" w:space="0" w:color="auto"/>
              <w:right w:val="single" w:sz="4" w:space="0" w:color="auto"/>
            </w:tcBorders>
            <w:shd w:val="clear" w:color="000000" w:fill="FFFFFF"/>
            <w:noWrap/>
            <w:hideMark/>
          </w:tcPr>
          <w:p w14:paraId="7BB4CD96" w14:textId="77777777" w:rsidR="002141AA" w:rsidRDefault="002141AA">
            <w:pPr>
              <w:jc w:val="center"/>
              <w:rPr>
                <w:noProof/>
                <w:color w:val="000000"/>
                <w:sz w:val="20"/>
                <w:szCs w:val="20"/>
              </w:rPr>
            </w:pPr>
            <w:r>
              <w:rPr>
                <w:noProof/>
                <w:color w:val="000000"/>
                <w:sz w:val="20"/>
                <w:szCs w:val="20"/>
              </w:rPr>
              <w:t>39</w:t>
            </w:r>
          </w:p>
        </w:tc>
        <w:tc>
          <w:tcPr>
            <w:tcW w:w="1243" w:type="pct"/>
            <w:tcBorders>
              <w:top w:val="nil"/>
              <w:left w:val="nil"/>
              <w:bottom w:val="single" w:sz="4" w:space="0" w:color="auto"/>
              <w:right w:val="single" w:sz="4" w:space="0" w:color="auto"/>
            </w:tcBorders>
            <w:shd w:val="clear" w:color="000000" w:fill="F2F2F2"/>
            <w:noWrap/>
            <w:hideMark/>
          </w:tcPr>
          <w:p w14:paraId="623FE59B" w14:textId="77777777" w:rsidR="002141AA" w:rsidRDefault="002141AA">
            <w:pPr>
              <w:jc w:val="center"/>
              <w:rPr>
                <w:noProof/>
                <w:color w:val="000000"/>
                <w:sz w:val="20"/>
                <w:szCs w:val="20"/>
              </w:rPr>
            </w:pPr>
            <w:r>
              <w:rPr>
                <w:noProof/>
                <w:color w:val="000000"/>
                <w:sz w:val="20"/>
                <w:szCs w:val="20"/>
              </w:rPr>
              <w:t>731</w:t>
            </w:r>
          </w:p>
        </w:tc>
        <w:tc>
          <w:tcPr>
            <w:tcW w:w="1243" w:type="pct"/>
            <w:tcBorders>
              <w:top w:val="nil"/>
              <w:left w:val="nil"/>
              <w:bottom w:val="single" w:sz="4" w:space="0" w:color="auto"/>
              <w:right w:val="single" w:sz="4" w:space="0" w:color="auto"/>
            </w:tcBorders>
            <w:shd w:val="clear" w:color="000000" w:fill="F2F2F2"/>
            <w:noWrap/>
            <w:hideMark/>
          </w:tcPr>
          <w:p w14:paraId="48585DB9" w14:textId="77777777" w:rsidR="002141AA" w:rsidRDefault="002141AA">
            <w:pPr>
              <w:jc w:val="center"/>
              <w:rPr>
                <w:noProof/>
                <w:color w:val="000000"/>
                <w:sz w:val="20"/>
                <w:szCs w:val="20"/>
              </w:rPr>
            </w:pPr>
            <w:r>
              <w:rPr>
                <w:noProof/>
                <w:color w:val="000000"/>
                <w:sz w:val="20"/>
                <w:szCs w:val="20"/>
              </w:rPr>
              <w:t>0.2%</w:t>
            </w:r>
          </w:p>
        </w:tc>
      </w:tr>
      <w:tr w:rsidR="002141AA" w14:paraId="3FE44DD6" w14:textId="77777777" w:rsidTr="00BE1AC5">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6DC191D8" w14:textId="77777777" w:rsidR="002141AA" w:rsidRDefault="002141AA">
            <w:pPr>
              <w:rPr>
                <w:noProof/>
                <w:sz w:val="20"/>
                <w:szCs w:val="20"/>
              </w:rPr>
            </w:pPr>
            <w:r>
              <w:rPr>
                <w:noProof/>
                <w:sz w:val="20"/>
                <w:szCs w:val="20"/>
              </w:rPr>
              <w:t>PO2</w:t>
            </w:r>
          </w:p>
        </w:tc>
        <w:tc>
          <w:tcPr>
            <w:tcW w:w="689" w:type="pct"/>
            <w:tcBorders>
              <w:top w:val="nil"/>
              <w:left w:val="nil"/>
              <w:bottom w:val="single" w:sz="4" w:space="0" w:color="auto"/>
              <w:right w:val="single" w:sz="4" w:space="0" w:color="auto"/>
            </w:tcBorders>
            <w:shd w:val="clear" w:color="000000" w:fill="FFFFFF"/>
            <w:noWrap/>
            <w:hideMark/>
          </w:tcPr>
          <w:p w14:paraId="360507DA" w14:textId="77777777" w:rsidR="002141AA" w:rsidRDefault="002141AA">
            <w:pPr>
              <w:jc w:val="center"/>
              <w:rPr>
                <w:noProof/>
                <w:color w:val="000000"/>
                <w:sz w:val="20"/>
                <w:szCs w:val="20"/>
              </w:rPr>
            </w:pPr>
            <w:r>
              <w:rPr>
                <w:noProof/>
                <w:color w:val="000000"/>
                <w:sz w:val="20"/>
                <w:szCs w:val="20"/>
              </w:rPr>
              <w:t>33</w:t>
            </w:r>
          </w:p>
        </w:tc>
        <w:tc>
          <w:tcPr>
            <w:tcW w:w="689" w:type="pct"/>
            <w:tcBorders>
              <w:top w:val="nil"/>
              <w:left w:val="nil"/>
              <w:bottom w:val="single" w:sz="4" w:space="0" w:color="auto"/>
              <w:right w:val="single" w:sz="4" w:space="0" w:color="auto"/>
            </w:tcBorders>
            <w:shd w:val="clear" w:color="000000" w:fill="FFFFFF"/>
            <w:noWrap/>
            <w:hideMark/>
          </w:tcPr>
          <w:p w14:paraId="7A0B094A" w14:textId="77777777" w:rsidR="002141AA" w:rsidRDefault="002141AA">
            <w:pPr>
              <w:jc w:val="center"/>
              <w:rPr>
                <w:noProof/>
                <w:color w:val="000000"/>
                <w:sz w:val="20"/>
                <w:szCs w:val="20"/>
              </w:rPr>
            </w:pPr>
            <w:r>
              <w:rPr>
                <w:noProof/>
                <w:color w:val="000000"/>
                <w:sz w:val="20"/>
                <w:szCs w:val="20"/>
              </w:rPr>
              <w:t>76</w:t>
            </w:r>
          </w:p>
        </w:tc>
        <w:tc>
          <w:tcPr>
            <w:tcW w:w="689" w:type="pct"/>
            <w:tcBorders>
              <w:top w:val="nil"/>
              <w:left w:val="nil"/>
              <w:bottom w:val="single" w:sz="4" w:space="0" w:color="auto"/>
              <w:right w:val="single" w:sz="4" w:space="0" w:color="auto"/>
            </w:tcBorders>
            <w:shd w:val="clear" w:color="000000" w:fill="FFFFFF"/>
            <w:noWrap/>
            <w:hideMark/>
          </w:tcPr>
          <w:p w14:paraId="14704695" w14:textId="77777777" w:rsidR="002141AA" w:rsidRDefault="002141AA">
            <w:pPr>
              <w:jc w:val="center"/>
              <w:rPr>
                <w:noProof/>
                <w:color w:val="000000"/>
                <w:sz w:val="20"/>
                <w:szCs w:val="20"/>
              </w:rPr>
            </w:pPr>
            <w:r>
              <w:rPr>
                <w:noProof/>
                <w:color w:val="000000"/>
                <w:sz w:val="20"/>
                <w:szCs w:val="20"/>
              </w:rPr>
              <w:t>84</w:t>
            </w:r>
          </w:p>
        </w:tc>
        <w:tc>
          <w:tcPr>
            <w:tcW w:w="1243" w:type="pct"/>
            <w:tcBorders>
              <w:top w:val="nil"/>
              <w:left w:val="nil"/>
              <w:bottom w:val="single" w:sz="4" w:space="0" w:color="auto"/>
              <w:right w:val="single" w:sz="4" w:space="0" w:color="auto"/>
            </w:tcBorders>
            <w:shd w:val="clear" w:color="000000" w:fill="F2F2F2"/>
            <w:noWrap/>
            <w:hideMark/>
          </w:tcPr>
          <w:p w14:paraId="32508EC8" w14:textId="77777777" w:rsidR="002141AA" w:rsidRDefault="002141AA">
            <w:pPr>
              <w:jc w:val="center"/>
              <w:rPr>
                <w:noProof/>
                <w:color w:val="000000"/>
                <w:sz w:val="20"/>
                <w:szCs w:val="20"/>
              </w:rPr>
            </w:pPr>
            <w:r>
              <w:rPr>
                <w:noProof/>
                <w:color w:val="000000"/>
                <w:sz w:val="20"/>
                <w:szCs w:val="20"/>
              </w:rPr>
              <w:t>1,480</w:t>
            </w:r>
          </w:p>
        </w:tc>
        <w:tc>
          <w:tcPr>
            <w:tcW w:w="1243" w:type="pct"/>
            <w:tcBorders>
              <w:top w:val="nil"/>
              <w:left w:val="nil"/>
              <w:bottom w:val="single" w:sz="4" w:space="0" w:color="auto"/>
              <w:right w:val="single" w:sz="4" w:space="0" w:color="auto"/>
            </w:tcBorders>
            <w:shd w:val="clear" w:color="000000" w:fill="F2F2F2"/>
            <w:noWrap/>
            <w:hideMark/>
          </w:tcPr>
          <w:p w14:paraId="57826187" w14:textId="77777777" w:rsidR="002141AA" w:rsidRDefault="002141AA">
            <w:pPr>
              <w:jc w:val="center"/>
              <w:rPr>
                <w:noProof/>
                <w:color w:val="000000"/>
                <w:sz w:val="20"/>
                <w:szCs w:val="20"/>
              </w:rPr>
            </w:pPr>
            <w:r>
              <w:rPr>
                <w:noProof/>
                <w:color w:val="000000"/>
                <w:sz w:val="20"/>
                <w:szCs w:val="20"/>
              </w:rPr>
              <w:t>0.4%</w:t>
            </w:r>
          </w:p>
        </w:tc>
      </w:tr>
      <w:tr w:rsidR="002141AA" w14:paraId="5AA1292C" w14:textId="77777777" w:rsidTr="00BE1AC5">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348AE3C2" w14:textId="77777777" w:rsidR="002141AA" w:rsidRDefault="002141AA">
            <w:pPr>
              <w:rPr>
                <w:noProof/>
                <w:sz w:val="20"/>
                <w:szCs w:val="20"/>
              </w:rPr>
            </w:pPr>
            <w:r>
              <w:rPr>
                <w:noProof/>
                <w:sz w:val="20"/>
                <w:szCs w:val="20"/>
              </w:rPr>
              <w:t>PO3</w:t>
            </w:r>
          </w:p>
        </w:tc>
        <w:tc>
          <w:tcPr>
            <w:tcW w:w="689" w:type="pct"/>
            <w:tcBorders>
              <w:top w:val="nil"/>
              <w:left w:val="nil"/>
              <w:bottom w:val="single" w:sz="4" w:space="0" w:color="auto"/>
              <w:right w:val="single" w:sz="4" w:space="0" w:color="auto"/>
            </w:tcBorders>
            <w:shd w:val="clear" w:color="000000" w:fill="FFFFFF"/>
            <w:noWrap/>
            <w:hideMark/>
          </w:tcPr>
          <w:p w14:paraId="4F505B39" w14:textId="77777777" w:rsidR="002141AA" w:rsidRDefault="002141AA">
            <w:pPr>
              <w:jc w:val="center"/>
              <w:rPr>
                <w:noProof/>
                <w:color w:val="000000"/>
                <w:sz w:val="20"/>
                <w:szCs w:val="20"/>
              </w:rPr>
            </w:pPr>
            <w:r>
              <w:rPr>
                <w:noProof/>
                <w:color w:val="000000"/>
                <w:sz w:val="20"/>
                <w:szCs w:val="20"/>
              </w:rPr>
              <w:t>49</w:t>
            </w:r>
          </w:p>
        </w:tc>
        <w:tc>
          <w:tcPr>
            <w:tcW w:w="689" w:type="pct"/>
            <w:tcBorders>
              <w:top w:val="nil"/>
              <w:left w:val="nil"/>
              <w:bottom w:val="single" w:sz="4" w:space="0" w:color="auto"/>
              <w:right w:val="single" w:sz="4" w:space="0" w:color="auto"/>
            </w:tcBorders>
            <w:shd w:val="clear" w:color="000000" w:fill="FFFFFF"/>
            <w:noWrap/>
            <w:hideMark/>
          </w:tcPr>
          <w:p w14:paraId="58C87A10" w14:textId="77777777" w:rsidR="002141AA" w:rsidRDefault="002141AA">
            <w:pPr>
              <w:jc w:val="center"/>
              <w:rPr>
                <w:noProof/>
                <w:color w:val="000000"/>
                <w:sz w:val="20"/>
                <w:szCs w:val="20"/>
              </w:rPr>
            </w:pPr>
            <w:r>
              <w:rPr>
                <w:noProof/>
                <w:color w:val="000000"/>
                <w:sz w:val="20"/>
                <w:szCs w:val="20"/>
              </w:rPr>
              <w:t>109</w:t>
            </w:r>
          </w:p>
        </w:tc>
        <w:tc>
          <w:tcPr>
            <w:tcW w:w="689" w:type="pct"/>
            <w:tcBorders>
              <w:top w:val="nil"/>
              <w:left w:val="nil"/>
              <w:bottom w:val="single" w:sz="4" w:space="0" w:color="auto"/>
              <w:right w:val="single" w:sz="4" w:space="0" w:color="auto"/>
            </w:tcBorders>
            <w:shd w:val="clear" w:color="000000" w:fill="FFFFFF"/>
            <w:noWrap/>
            <w:hideMark/>
          </w:tcPr>
          <w:p w14:paraId="1DFFA848" w14:textId="77777777" w:rsidR="002141AA" w:rsidRDefault="002141AA">
            <w:pPr>
              <w:jc w:val="center"/>
              <w:rPr>
                <w:noProof/>
                <w:color w:val="000000"/>
                <w:sz w:val="20"/>
                <w:szCs w:val="20"/>
              </w:rPr>
            </w:pPr>
            <w:r>
              <w:rPr>
                <w:noProof/>
                <w:color w:val="000000"/>
                <w:sz w:val="20"/>
                <w:szCs w:val="20"/>
              </w:rPr>
              <w:t>117</w:t>
            </w:r>
          </w:p>
        </w:tc>
        <w:tc>
          <w:tcPr>
            <w:tcW w:w="1243" w:type="pct"/>
            <w:tcBorders>
              <w:top w:val="nil"/>
              <w:left w:val="nil"/>
              <w:bottom w:val="single" w:sz="4" w:space="0" w:color="auto"/>
              <w:right w:val="single" w:sz="4" w:space="0" w:color="auto"/>
            </w:tcBorders>
            <w:shd w:val="clear" w:color="000000" w:fill="F2F2F2"/>
            <w:noWrap/>
            <w:hideMark/>
          </w:tcPr>
          <w:p w14:paraId="73E79E48" w14:textId="77777777" w:rsidR="002141AA" w:rsidRDefault="002141AA">
            <w:pPr>
              <w:jc w:val="center"/>
              <w:rPr>
                <w:noProof/>
                <w:color w:val="000000"/>
                <w:sz w:val="20"/>
                <w:szCs w:val="20"/>
              </w:rPr>
            </w:pPr>
            <w:r>
              <w:rPr>
                <w:noProof/>
                <w:color w:val="000000"/>
                <w:sz w:val="20"/>
                <w:szCs w:val="20"/>
              </w:rPr>
              <w:t>2,113</w:t>
            </w:r>
          </w:p>
        </w:tc>
        <w:tc>
          <w:tcPr>
            <w:tcW w:w="1243" w:type="pct"/>
            <w:tcBorders>
              <w:top w:val="nil"/>
              <w:left w:val="nil"/>
              <w:bottom w:val="single" w:sz="4" w:space="0" w:color="auto"/>
              <w:right w:val="single" w:sz="4" w:space="0" w:color="auto"/>
            </w:tcBorders>
            <w:shd w:val="clear" w:color="000000" w:fill="F2F2F2"/>
            <w:noWrap/>
            <w:hideMark/>
          </w:tcPr>
          <w:p w14:paraId="17B01EFA" w14:textId="77777777" w:rsidR="002141AA" w:rsidRDefault="002141AA">
            <w:pPr>
              <w:jc w:val="center"/>
              <w:rPr>
                <w:noProof/>
                <w:color w:val="000000"/>
                <w:sz w:val="20"/>
                <w:szCs w:val="20"/>
              </w:rPr>
            </w:pPr>
            <w:r>
              <w:rPr>
                <w:noProof/>
                <w:color w:val="000000"/>
                <w:sz w:val="20"/>
                <w:szCs w:val="20"/>
              </w:rPr>
              <w:t>0.5%</w:t>
            </w:r>
          </w:p>
        </w:tc>
      </w:tr>
      <w:tr w:rsidR="002141AA" w14:paraId="2E23117B" w14:textId="77777777" w:rsidTr="00BE1AC5">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73B55A58" w14:textId="77777777" w:rsidR="002141AA" w:rsidRDefault="002141AA">
            <w:pPr>
              <w:rPr>
                <w:noProof/>
                <w:sz w:val="20"/>
                <w:szCs w:val="20"/>
              </w:rPr>
            </w:pPr>
            <w:r>
              <w:rPr>
                <w:noProof/>
                <w:sz w:val="20"/>
                <w:szCs w:val="20"/>
              </w:rPr>
              <w:t>PO4</w:t>
            </w:r>
          </w:p>
        </w:tc>
        <w:tc>
          <w:tcPr>
            <w:tcW w:w="689" w:type="pct"/>
            <w:tcBorders>
              <w:top w:val="nil"/>
              <w:left w:val="nil"/>
              <w:bottom w:val="single" w:sz="4" w:space="0" w:color="auto"/>
              <w:right w:val="single" w:sz="4" w:space="0" w:color="auto"/>
            </w:tcBorders>
            <w:shd w:val="clear" w:color="000000" w:fill="FFFFFF"/>
            <w:noWrap/>
            <w:hideMark/>
          </w:tcPr>
          <w:p w14:paraId="0F57C840" w14:textId="77777777" w:rsidR="002141AA" w:rsidRDefault="002141AA">
            <w:pPr>
              <w:jc w:val="center"/>
              <w:rPr>
                <w:noProof/>
                <w:color w:val="000000"/>
                <w:sz w:val="20"/>
                <w:szCs w:val="20"/>
              </w:rPr>
            </w:pPr>
            <w:r>
              <w:rPr>
                <w:noProof/>
                <w:color w:val="000000"/>
                <w:sz w:val="20"/>
                <w:szCs w:val="20"/>
              </w:rPr>
              <w:t>36</w:t>
            </w:r>
          </w:p>
        </w:tc>
        <w:tc>
          <w:tcPr>
            <w:tcW w:w="689" w:type="pct"/>
            <w:tcBorders>
              <w:top w:val="nil"/>
              <w:left w:val="nil"/>
              <w:bottom w:val="single" w:sz="4" w:space="0" w:color="auto"/>
              <w:right w:val="single" w:sz="4" w:space="0" w:color="auto"/>
            </w:tcBorders>
            <w:shd w:val="clear" w:color="000000" w:fill="FFFFFF"/>
            <w:noWrap/>
            <w:hideMark/>
          </w:tcPr>
          <w:p w14:paraId="35A9F07B" w14:textId="77777777" w:rsidR="002141AA" w:rsidRDefault="002141AA">
            <w:pPr>
              <w:jc w:val="center"/>
              <w:rPr>
                <w:noProof/>
                <w:color w:val="000000"/>
                <w:sz w:val="20"/>
                <w:szCs w:val="20"/>
              </w:rPr>
            </w:pPr>
            <w:r>
              <w:rPr>
                <w:noProof/>
                <w:color w:val="000000"/>
                <w:sz w:val="20"/>
                <w:szCs w:val="20"/>
              </w:rPr>
              <w:t>83</w:t>
            </w:r>
          </w:p>
        </w:tc>
        <w:tc>
          <w:tcPr>
            <w:tcW w:w="689" w:type="pct"/>
            <w:tcBorders>
              <w:top w:val="nil"/>
              <w:left w:val="nil"/>
              <w:bottom w:val="single" w:sz="4" w:space="0" w:color="auto"/>
              <w:right w:val="single" w:sz="4" w:space="0" w:color="auto"/>
            </w:tcBorders>
            <w:shd w:val="clear" w:color="000000" w:fill="FFFFFF"/>
            <w:noWrap/>
            <w:hideMark/>
          </w:tcPr>
          <w:p w14:paraId="537B5F1F" w14:textId="77777777" w:rsidR="002141AA" w:rsidRDefault="002141AA">
            <w:pPr>
              <w:jc w:val="center"/>
              <w:rPr>
                <w:noProof/>
                <w:color w:val="000000"/>
                <w:sz w:val="20"/>
                <w:szCs w:val="20"/>
              </w:rPr>
            </w:pPr>
            <w:r>
              <w:rPr>
                <w:noProof/>
                <w:color w:val="000000"/>
                <w:sz w:val="20"/>
                <w:szCs w:val="20"/>
              </w:rPr>
              <w:t>92</w:t>
            </w:r>
          </w:p>
        </w:tc>
        <w:tc>
          <w:tcPr>
            <w:tcW w:w="1243" w:type="pct"/>
            <w:tcBorders>
              <w:top w:val="nil"/>
              <w:left w:val="nil"/>
              <w:bottom w:val="single" w:sz="4" w:space="0" w:color="auto"/>
              <w:right w:val="single" w:sz="4" w:space="0" w:color="auto"/>
            </w:tcBorders>
            <w:shd w:val="clear" w:color="000000" w:fill="F2F2F2"/>
            <w:noWrap/>
            <w:hideMark/>
          </w:tcPr>
          <w:p w14:paraId="3EFD0A32" w14:textId="77777777" w:rsidR="002141AA" w:rsidRDefault="002141AA">
            <w:pPr>
              <w:jc w:val="center"/>
              <w:rPr>
                <w:noProof/>
                <w:color w:val="000000"/>
                <w:sz w:val="20"/>
                <w:szCs w:val="20"/>
              </w:rPr>
            </w:pPr>
            <w:r>
              <w:rPr>
                <w:noProof/>
                <w:color w:val="000000"/>
                <w:sz w:val="20"/>
                <w:szCs w:val="20"/>
              </w:rPr>
              <w:t>1,616</w:t>
            </w:r>
          </w:p>
        </w:tc>
        <w:tc>
          <w:tcPr>
            <w:tcW w:w="1243" w:type="pct"/>
            <w:tcBorders>
              <w:top w:val="nil"/>
              <w:left w:val="nil"/>
              <w:bottom w:val="single" w:sz="4" w:space="0" w:color="auto"/>
              <w:right w:val="single" w:sz="4" w:space="0" w:color="auto"/>
            </w:tcBorders>
            <w:shd w:val="clear" w:color="000000" w:fill="F2F2F2"/>
            <w:noWrap/>
            <w:hideMark/>
          </w:tcPr>
          <w:p w14:paraId="0C7CE327" w14:textId="77777777" w:rsidR="002141AA" w:rsidRDefault="002141AA">
            <w:pPr>
              <w:jc w:val="center"/>
              <w:rPr>
                <w:noProof/>
                <w:color w:val="000000"/>
                <w:sz w:val="20"/>
                <w:szCs w:val="20"/>
              </w:rPr>
            </w:pPr>
            <w:r>
              <w:rPr>
                <w:noProof/>
                <w:color w:val="000000"/>
                <w:sz w:val="20"/>
                <w:szCs w:val="20"/>
              </w:rPr>
              <w:t>0.4%</w:t>
            </w:r>
          </w:p>
        </w:tc>
      </w:tr>
      <w:tr w:rsidR="002141AA" w14:paraId="64D657C6" w14:textId="77777777" w:rsidTr="00BE1AC5">
        <w:trPr>
          <w:trHeight w:val="255"/>
        </w:trPr>
        <w:tc>
          <w:tcPr>
            <w:tcW w:w="5000" w:type="pct"/>
            <w:gridSpan w:val="6"/>
            <w:tcBorders>
              <w:top w:val="single" w:sz="4" w:space="0" w:color="auto"/>
              <w:left w:val="single" w:sz="4" w:space="0" w:color="auto"/>
              <w:bottom w:val="single" w:sz="4" w:space="0" w:color="auto"/>
              <w:right w:val="single" w:sz="4" w:space="0" w:color="000000"/>
            </w:tcBorders>
            <w:shd w:val="clear" w:color="000000" w:fill="BDE3FF"/>
            <w:noWrap/>
            <w:hideMark/>
          </w:tcPr>
          <w:p w14:paraId="12626C03" w14:textId="77777777" w:rsidR="002141AA" w:rsidRDefault="002141AA">
            <w:pPr>
              <w:rPr>
                <w:b/>
                <w:bCs/>
                <w:noProof/>
                <w:sz w:val="20"/>
                <w:szCs w:val="20"/>
              </w:rPr>
            </w:pPr>
            <w:r>
              <w:rPr>
                <w:b/>
                <w:bCs/>
                <w:noProof/>
                <w:sz w:val="20"/>
                <w:szCs w:val="20"/>
              </w:rPr>
              <w:t>Injuries</w:t>
            </w:r>
          </w:p>
        </w:tc>
      </w:tr>
      <w:tr w:rsidR="002141AA" w14:paraId="7EE62743" w14:textId="77777777" w:rsidTr="00BE1AC5">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0DF238F9" w14:textId="77777777" w:rsidR="002141AA" w:rsidRDefault="002141AA">
            <w:pPr>
              <w:rPr>
                <w:noProof/>
                <w:sz w:val="20"/>
                <w:szCs w:val="20"/>
              </w:rPr>
            </w:pPr>
            <w:r>
              <w:rPr>
                <w:noProof/>
                <w:sz w:val="20"/>
                <w:szCs w:val="20"/>
              </w:rPr>
              <w:t>PO1</w:t>
            </w:r>
          </w:p>
        </w:tc>
        <w:tc>
          <w:tcPr>
            <w:tcW w:w="689" w:type="pct"/>
            <w:tcBorders>
              <w:top w:val="nil"/>
              <w:left w:val="nil"/>
              <w:bottom w:val="single" w:sz="4" w:space="0" w:color="auto"/>
              <w:right w:val="single" w:sz="4" w:space="0" w:color="auto"/>
            </w:tcBorders>
            <w:shd w:val="clear" w:color="000000" w:fill="FFFFFF"/>
            <w:noWrap/>
            <w:hideMark/>
          </w:tcPr>
          <w:p w14:paraId="20806D78" w14:textId="77777777" w:rsidR="002141AA" w:rsidRDefault="002141AA">
            <w:pPr>
              <w:jc w:val="center"/>
              <w:rPr>
                <w:noProof/>
                <w:color w:val="000000"/>
                <w:sz w:val="20"/>
                <w:szCs w:val="20"/>
              </w:rPr>
            </w:pPr>
            <w:r>
              <w:rPr>
                <w:noProof/>
                <w:color w:val="000000"/>
                <w:sz w:val="20"/>
                <w:szCs w:val="20"/>
              </w:rPr>
              <w:t>1,313</w:t>
            </w:r>
          </w:p>
        </w:tc>
        <w:tc>
          <w:tcPr>
            <w:tcW w:w="689" w:type="pct"/>
            <w:tcBorders>
              <w:top w:val="nil"/>
              <w:left w:val="nil"/>
              <w:bottom w:val="single" w:sz="4" w:space="0" w:color="auto"/>
              <w:right w:val="single" w:sz="4" w:space="0" w:color="auto"/>
            </w:tcBorders>
            <w:shd w:val="clear" w:color="000000" w:fill="FFFFFF"/>
            <w:noWrap/>
            <w:hideMark/>
          </w:tcPr>
          <w:p w14:paraId="79F4533B" w14:textId="77777777" w:rsidR="002141AA" w:rsidRDefault="002141AA">
            <w:pPr>
              <w:jc w:val="center"/>
              <w:rPr>
                <w:noProof/>
                <w:color w:val="000000"/>
                <w:sz w:val="20"/>
                <w:szCs w:val="20"/>
              </w:rPr>
            </w:pPr>
            <w:r>
              <w:rPr>
                <w:noProof/>
                <w:color w:val="000000"/>
                <w:sz w:val="20"/>
                <w:szCs w:val="20"/>
              </w:rPr>
              <w:t>2,465</w:t>
            </w:r>
          </w:p>
        </w:tc>
        <w:tc>
          <w:tcPr>
            <w:tcW w:w="689" w:type="pct"/>
            <w:tcBorders>
              <w:top w:val="nil"/>
              <w:left w:val="nil"/>
              <w:bottom w:val="single" w:sz="4" w:space="0" w:color="auto"/>
              <w:right w:val="single" w:sz="4" w:space="0" w:color="auto"/>
            </w:tcBorders>
            <w:shd w:val="clear" w:color="000000" w:fill="FFFFFF"/>
            <w:noWrap/>
            <w:hideMark/>
          </w:tcPr>
          <w:p w14:paraId="2D29F8F1" w14:textId="77777777" w:rsidR="002141AA" w:rsidRDefault="002141AA">
            <w:pPr>
              <w:jc w:val="center"/>
              <w:rPr>
                <w:noProof/>
                <w:color w:val="000000"/>
                <w:sz w:val="20"/>
                <w:szCs w:val="20"/>
              </w:rPr>
            </w:pPr>
            <w:r>
              <w:rPr>
                <w:noProof/>
                <w:color w:val="000000"/>
                <w:sz w:val="20"/>
                <w:szCs w:val="20"/>
              </w:rPr>
              <w:t>2,489</w:t>
            </w:r>
          </w:p>
        </w:tc>
        <w:tc>
          <w:tcPr>
            <w:tcW w:w="1243" w:type="pct"/>
            <w:tcBorders>
              <w:top w:val="nil"/>
              <w:left w:val="nil"/>
              <w:bottom w:val="single" w:sz="4" w:space="0" w:color="auto"/>
              <w:right w:val="single" w:sz="4" w:space="0" w:color="auto"/>
            </w:tcBorders>
            <w:shd w:val="clear" w:color="000000" w:fill="F2F2F2"/>
            <w:noWrap/>
            <w:hideMark/>
          </w:tcPr>
          <w:p w14:paraId="3E400ECA" w14:textId="77777777" w:rsidR="002141AA" w:rsidRDefault="002141AA">
            <w:pPr>
              <w:jc w:val="center"/>
              <w:rPr>
                <w:noProof/>
                <w:color w:val="000000"/>
                <w:sz w:val="20"/>
                <w:szCs w:val="20"/>
              </w:rPr>
            </w:pPr>
            <w:r>
              <w:rPr>
                <w:noProof/>
                <w:color w:val="000000"/>
                <w:sz w:val="20"/>
                <w:szCs w:val="20"/>
              </w:rPr>
              <w:t>49,421</w:t>
            </w:r>
          </w:p>
        </w:tc>
        <w:tc>
          <w:tcPr>
            <w:tcW w:w="1243" w:type="pct"/>
            <w:tcBorders>
              <w:top w:val="nil"/>
              <w:left w:val="nil"/>
              <w:bottom w:val="single" w:sz="4" w:space="0" w:color="auto"/>
              <w:right w:val="single" w:sz="4" w:space="0" w:color="auto"/>
            </w:tcBorders>
            <w:shd w:val="clear" w:color="000000" w:fill="F2F2F2"/>
            <w:noWrap/>
            <w:hideMark/>
          </w:tcPr>
          <w:p w14:paraId="3A844209" w14:textId="77777777" w:rsidR="002141AA" w:rsidRDefault="002141AA">
            <w:pPr>
              <w:jc w:val="center"/>
              <w:rPr>
                <w:noProof/>
                <w:color w:val="000000"/>
                <w:sz w:val="20"/>
                <w:szCs w:val="20"/>
              </w:rPr>
            </w:pPr>
            <w:r>
              <w:rPr>
                <w:noProof/>
                <w:color w:val="000000"/>
                <w:sz w:val="20"/>
                <w:szCs w:val="20"/>
              </w:rPr>
              <w:t>0.2%</w:t>
            </w:r>
          </w:p>
        </w:tc>
      </w:tr>
      <w:tr w:rsidR="002141AA" w14:paraId="3467D123" w14:textId="77777777" w:rsidTr="00BE1AC5">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5E7D26EE" w14:textId="77777777" w:rsidR="002141AA" w:rsidRDefault="002141AA">
            <w:pPr>
              <w:rPr>
                <w:noProof/>
                <w:sz w:val="20"/>
                <w:szCs w:val="20"/>
              </w:rPr>
            </w:pPr>
            <w:r>
              <w:rPr>
                <w:noProof/>
                <w:sz w:val="20"/>
                <w:szCs w:val="20"/>
              </w:rPr>
              <w:t>PO2</w:t>
            </w:r>
          </w:p>
        </w:tc>
        <w:tc>
          <w:tcPr>
            <w:tcW w:w="689" w:type="pct"/>
            <w:tcBorders>
              <w:top w:val="nil"/>
              <w:left w:val="nil"/>
              <w:bottom w:val="single" w:sz="4" w:space="0" w:color="auto"/>
              <w:right w:val="single" w:sz="4" w:space="0" w:color="auto"/>
            </w:tcBorders>
            <w:shd w:val="clear" w:color="000000" w:fill="FFFFFF"/>
            <w:noWrap/>
            <w:hideMark/>
          </w:tcPr>
          <w:p w14:paraId="024B6064" w14:textId="77777777" w:rsidR="002141AA" w:rsidRDefault="002141AA">
            <w:pPr>
              <w:jc w:val="center"/>
              <w:rPr>
                <w:noProof/>
                <w:color w:val="000000"/>
                <w:sz w:val="20"/>
                <w:szCs w:val="20"/>
              </w:rPr>
            </w:pPr>
            <w:r>
              <w:rPr>
                <w:noProof/>
                <w:color w:val="000000"/>
                <w:sz w:val="20"/>
                <w:szCs w:val="20"/>
              </w:rPr>
              <w:t>2,211</w:t>
            </w:r>
          </w:p>
        </w:tc>
        <w:tc>
          <w:tcPr>
            <w:tcW w:w="689" w:type="pct"/>
            <w:tcBorders>
              <w:top w:val="nil"/>
              <w:left w:val="nil"/>
              <w:bottom w:val="single" w:sz="4" w:space="0" w:color="auto"/>
              <w:right w:val="single" w:sz="4" w:space="0" w:color="auto"/>
            </w:tcBorders>
            <w:shd w:val="clear" w:color="000000" w:fill="FFFFFF"/>
            <w:noWrap/>
            <w:hideMark/>
          </w:tcPr>
          <w:p w14:paraId="20BD8D55" w14:textId="77777777" w:rsidR="002141AA" w:rsidRDefault="002141AA">
            <w:pPr>
              <w:jc w:val="center"/>
              <w:rPr>
                <w:noProof/>
                <w:color w:val="000000"/>
                <w:sz w:val="20"/>
                <w:szCs w:val="20"/>
              </w:rPr>
            </w:pPr>
            <w:r>
              <w:rPr>
                <w:noProof/>
                <w:color w:val="000000"/>
                <w:sz w:val="20"/>
                <w:szCs w:val="20"/>
              </w:rPr>
              <w:t>4,748</w:t>
            </w:r>
          </w:p>
        </w:tc>
        <w:tc>
          <w:tcPr>
            <w:tcW w:w="689" w:type="pct"/>
            <w:tcBorders>
              <w:top w:val="nil"/>
              <w:left w:val="nil"/>
              <w:bottom w:val="single" w:sz="4" w:space="0" w:color="auto"/>
              <w:right w:val="single" w:sz="4" w:space="0" w:color="auto"/>
            </w:tcBorders>
            <w:shd w:val="clear" w:color="000000" w:fill="FFFFFF"/>
            <w:noWrap/>
            <w:hideMark/>
          </w:tcPr>
          <w:p w14:paraId="22E3C7C8" w14:textId="77777777" w:rsidR="002141AA" w:rsidRDefault="002141AA">
            <w:pPr>
              <w:jc w:val="center"/>
              <w:rPr>
                <w:noProof/>
                <w:color w:val="000000"/>
                <w:sz w:val="20"/>
                <w:szCs w:val="20"/>
              </w:rPr>
            </w:pPr>
            <w:r>
              <w:rPr>
                <w:noProof/>
                <w:color w:val="000000"/>
                <w:sz w:val="20"/>
                <w:szCs w:val="20"/>
              </w:rPr>
              <w:t>5,232</w:t>
            </w:r>
          </w:p>
        </w:tc>
        <w:tc>
          <w:tcPr>
            <w:tcW w:w="1243" w:type="pct"/>
            <w:tcBorders>
              <w:top w:val="nil"/>
              <w:left w:val="nil"/>
              <w:bottom w:val="single" w:sz="4" w:space="0" w:color="auto"/>
              <w:right w:val="single" w:sz="4" w:space="0" w:color="auto"/>
            </w:tcBorders>
            <w:shd w:val="clear" w:color="000000" w:fill="F2F2F2"/>
            <w:noWrap/>
            <w:hideMark/>
          </w:tcPr>
          <w:p w14:paraId="1773FC3B" w14:textId="77777777" w:rsidR="002141AA" w:rsidRDefault="002141AA">
            <w:pPr>
              <w:jc w:val="center"/>
              <w:rPr>
                <w:noProof/>
                <w:color w:val="000000"/>
                <w:sz w:val="20"/>
                <w:szCs w:val="20"/>
              </w:rPr>
            </w:pPr>
            <w:r>
              <w:rPr>
                <w:noProof/>
                <w:color w:val="000000"/>
                <w:sz w:val="20"/>
                <w:szCs w:val="20"/>
              </w:rPr>
              <w:t>94,945</w:t>
            </w:r>
          </w:p>
        </w:tc>
        <w:tc>
          <w:tcPr>
            <w:tcW w:w="1243" w:type="pct"/>
            <w:tcBorders>
              <w:top w:val="nil"/>
              <w:left w:val="nil"/>
              <w:bottom w:val="single" w:sz="4" w:space="0" w:color="auto"/>
              <w:right w:val="single" w:sz="4" w:space="0" w:color="auto"/>
            </w:tcBorders>
            <w:shd w:val="clear" w:color="000000" w:fill="F2F2F2"/>
            <w:noWrap/>
            <w:hideMark/>
          </w:tcPr>
          <w:p w14:paraId="57A01C3A" w14:textId="77777777" w:rsidR="002141AA" w:rsidRDefault="002141AA">
            <w:pPr>
              <w:jc w:val="center"/>
              <w:rPr>
                <w:noProof/>
                <w:color w:val="000000"/>
                <w:sz w:val="20"/>
                <w:szCs w:val="20"/>
              </w:rPr>
            </w:pPr>
            <w:r>
              <w:rPr>
                <w:noProof/>
                <w:color w:val="000000"/>
                <w:sz w:val="20"/>
                <w:szCs w:val="20"/>
              </w:rPr>
              <w:t>0.5%</w:t>
            </w:r>
          </w:p>
        </w:tc>
      </w:tr>
      <w:tr w:rsidR="002141AA" w14:paraId="0CD2809C" w14:textId="77777777" w:rsidTr="00BE1AC5">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0DCEED0E" w14:textId="77777777" w:rsidR="002141AA" w:rsidRDefault="002141AA">
            <w:pPr>
              <w:rPr>
                <w:noProof/>
                <w:sz w:val="20"/>
                <w:szCs w:val="20"/>
              </w:rPr>
            </w:pPr>
            <w:r>
              <w:rPr>
                <w:noProof/>
                <w:sz w:val="20"/>
                <w:szCs w:val="20"/>
              </w:rPr>
              <w:t>PO3</w:t>
            </w:r>
          </w:p>
        </w:tc>
        <w:tc>
          <w:tcPr>
            <w:tcW w:w="689" w:type="pct"/>
            <w:tcBorders>
              <w:top w:val="nil"/>
              <w:left w:val="nil"/>
              <w:bottom w:val="single" w:sz="4" w:space="0" w:color="auto"/>
              <w:right w:val="single" w:sz="4" w:space="0" w:color="auto"/>
            </w:tcBorders>
            <w:shd w:val="clear" w:color="000000" w:fill="FFFFFF"/>
            <w:noWrap/>
            <w:hideMark/>
          </w:tcPr>
          <w:p w14:paraId="5668F48C" w14:textId="77777777" w:rsidR="002141AA" w:rsidRDefault="002141AA">
            <w:pPr>
              <w:jc w:val="center"/>
              <w:rPr>
                <w:noProof/>
                <w:color w:val="000000"/>
                <w:sz w:val="20"/>
                <w:szCs w:val="20"/>
              </w:rPr>
            </w:pPr>
            <w:r>
              <w:rPr>
                <w:noProof/>
                <w:color w:val="000000"/>
                <w:sz w:val="20"/>
                <w:szCs w:val="20"/>
              </w:rPr>
              <w:t>3,270</w:t>
            </w:r>
          </w:p>
        </w:tc>
        <w:tc>
          <w:tcPr>
            <w:tcW w:w="689" w:type="pct"/>
            <w:tcBorders>
              <w:top w:val="nil"/>
              <w:left w:val="nil"/>
              <w:bottom w:val="single" w:sz="4" w:space="0" w:color="auto"/>
              <w:right w:val="single" w:sz="4" w:space="0" w:color="auto"/>
            </w:tcBorders>
            <w:shd w:val="clear" w:color="000000" w:fill="FFFFFF"/>
            <w:noWrap/>
            <w:hideMark/>
          </w:tcPr>
          <w:p w14:paraId="137A7D1F" w14:textId="77777777" w:rsidR="002141AA" w:rsidRDefault="002141AA">
            <w:pPr>
              <w:jc w:val="center"/>
              <w:rPr>
                <w:noProof/>
                <w:color w:val="000000"/>
                <w:sz w:val="20"/>
                <w:szCs w:val="20"/>
              </w:rPr>
            </w:pPr>
            <w:r>
              <w:rPr>
                <w:noProof/>
                <w:color w:val="000000"/>
                <w:sz w:val="20"/>
                <w:szCs w:val="20"/>
              </w:rPr>
              <w:t>6,913</w:t>
            </w:r>
          </w:p>
        </w:tc>
        <w:tc>
          <w:tcPr>
            <w:tcW w:w="689" w:type="pct"/>
            <w:tcBorders>
              <w:top w:val="nil"/>
              <w:left w:val="nil"/>
              <w:bottom w:val="single" w:sz="4" w:space="0" w:color="auto"/>
              <w:right w:val="single" w:sz="4" w:space="0" w:color="auto"/>
            </w:tcBorders>
            <w:shd w:val="clear" w:color="000000" w:fill="FFFFFF"/>
            <w:noWrap/>
            <w:hideMark/>
          </w:tcPr>
          <w:p w14:paraId="5D1ED511" w14:textId="77777777" w:rsidR="002141AA" w:rsidRDefault="002141AA">
            <w:pPr>
              <w:jc w:val="center"/>
              <w:rPr>
                <w:noProof/>
                <w:color w:val="000000"/>
                <w:sz w:val="20"/>
                <w:szCs w:val="20"/>
              </w:rPr>
            </w:pPr>
            <w:r>
              <w:rPr>
                <w:noProof/>
                <w:color w:val="000000"/>
                <w:sz w:val="20"/>
                <w:szCs w:val="20"/>
              </w:rPr>
              <w:t>7,341</w:t>
            </w:r>
          </w:p>
        </w:tc>
        <w:tc>
          <w:tcPr>
            <w:tcW w:w="1243" w:type="pct"/>
            <w:tcBorders>
              <w:top w:val="nil"/>
              <w:left w:val="nil"/>
              <w:bottom w:val="single" w:sz="4" w:space="0" w:color="auto"/>
              <w:right w:val="single" w:sz="4" w:space="0" w:color="auto"/>
            </w:tcBorders>
            <w:shd w:val="clear" w:color="000000" w:fill="F2F2F2"/>
            <w:noWrap/>
            <w:hideMark/>
          </w:tcPr>
          <w:p w14:paraId="02E0DFF8" w14:textId="77777777" w:rsidR="002141AA" w:rsidRDefault="002141AA">
            <w:pPr>
              <w:jc w:val="center"/>
              <w:rPr>
                <w:noProof/>
                <w:color w:val="000000"/>
                <w:sz w:val="20"/>
                <w:szCs w:val="20"/>
              </w:rPr>
            </w:pPr>
            <w:r>
              <w:rPr>
                <w:noProof/>
                <w:color w:val="000000"/>
                <w:sz w:val="20"/>
                <w:szCs w:val="20"/>
              </w:rPr>
              <w:t>136,909</w:t>
            </w:r>
          </w:p>
        </w:tc>
        <w:tc>
          <w:tcPr>
            <w:tcW w:w="1243" w:type="pct"/>
            <w:tcBorders>
              <w:top w:val="nil"/>
              <w:left w:val="nil"/>
              <w:bottom w:val="single" w:sz="4" w:space="0" w:color="auto"/>
              <w:right w:val="single" w:sz="4" w:space="0" w:color="auto"/>
            </w:tcBorders>
            <w:shd w:val="clear" w:color="000000" w:fill="F2F2F2"/>
            <w:noWrap/>
            <w:hideMark/>
          </w:tcPr>
          <w:p w14:paraId="07FCEB10" w14:textId="77777777" w:rsidR="002141AA" w:rsidRDefault="002141AA">
            <w:pPr>
              <w:jc w:val="center"/>
              <w:rPr>
                <w:noProof/>
                <w:color w:val="000000"/>
                <w:sz w:val="20"/>
                <w:szCs w:val="20"/>
              </w:rPr>
            </w:pPr>
            <w:r>
              <w:rPr>
                <w:noProof/>
                <w:color w:val="000000"/>
                <w:sz w:val="20"/>
                <w:szCs w:val="20"/>
              </w:rPr>
              <w:t>0.7%</w:t>
            </w:r>
          </w:p>
        </w:tc>
      </w:tr>
      <w:tr w:rsidR="002141AA" w14:paraId="32E64384" w14:textId="77777777" w:rsidTr="00BE1AC5">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029CA932" w14:textId="77777777" w:rsidR="002141AA" w:rsidRDefault="002141AA" w:rsidP="00AC7171">
            <w:pPr>
              <w:keepNext/>
              <w:widowControl w:val="0"/>
              <w:rPr>
                <w:noProof/>
                <w:sz w:val="20"/>
                <w:szCs w:val="20"/>
              </w:rPr>
            </w:pPr>
            <w:r>
              <w:rPr>
                <w:noProof/>
                <w:sz w:val="20"/>
                <w:szCs w:val="20"/>
              </w:rPr>
              <w:t>PO4</w:t>
            </w:r>
          </w:p>
        </w:tc>
        <w:tc>
          <w:tcPr>
            <w:tcW w:w="689" w:type="pct"/>
            <w:tcBorders>
              <w:top w:val="nil"/>
              <w:left w:val="nil"/>
              <w:bottom w:val="single" w:sz="4" w:space="0" w:color="auto"/>
              <w:right w:val="single" w:sz="4" w:space="0" w:color="auto"/>
            </w:tcBorders>
            <w:shd w:val="clear" w:color="000000" w:fill="FFFFFF"/>
            <w:noWrap/>
            <w:hideMark/>
          </w:tcPr>
          <w:p w14:paraId="4F13A727" w14:textId="77777777" w:rsidR="002141AA" w:rsidRDefault="002141AA" w:rsidP="00AC7171">
            <w:pPr>
              <w:keepNext/>
              <w:widowControl w:val="0"/>
              <w:jc w:val="center"/>
              <w:rPr>
                <w:noProof/>
                <w:color w:val="000000"/>
                <w:sz w:val="20"/>
                <w:szCs w:val="20"/>
              </w:rPr>
            </w:pPr>
            <w:r>
              <w:rPr>
                <w:noProof/>
                <w:color w:val="000000"/>
                <w:sz w:val="20"/>
                <w:szCs w:val="20"/>
              </w:rPr>
              <w:t>2,484</w:t>
            </w:r>
          </w:p>
        </w:tc>
        <w:tc>
          <w:tcPr>
            <w:tcW w:w="689" w:type="pct"/>
            <w:tcBorders>
              <w:top w:val="nil"/>
              <w:left w:val="nil"/>
              <w:bottom w:val="single" w:sz="4" w:space="0" w:color="auto"/>
              <w:right w:val="single" w:sz="4" w:space="0" w:color="auto"/>
            </w:tcBorders>
            <w:shd w:val="clear" w:color="000000" w:fill="FFFFFF"/>
            <w:noWrap/>
            <w:hideMark/>
          </w:tcPr>
          <w:p w14:paraId="40005AC1" w14:textId="77777777" w:rsidR="002141AA" w:rsidRDefault="002141AA" w:rsidP="00AC7171">
            <w:pPr>
              <w:keepNext/>
              <w:widowControl w:val="0"/>
              <w:jc w:val="center"/>
              <w:rPr>
                <w:noProof/>
                <w:color w:val="000000"/>
                <w:sz w:val="20"/>
                <w:szCs w:val="20"/>
              </w:rPr>
            </w:pPr>
            <w:r>
              <w:rPr>
                <w:noProof/>
                <w:color w:val="000000"/>
                <w:sz w:val="20"/>
                <w:szCs w:val="20"/>
              </w:rPr>
              <w:t>5,367</w:t>
            </w:r>
          </w:p>
        </w:tc>
        <w:tc>
          <w:tcPr>
            <w:tcW w:w="689" w:type="pct"/>
            <w:tcBorders>
              <w:top w:val="nil"/>
              <w:left w:val="nil"/>
              <w:bottom w:val="single" w:sz="4" w:space="0" w:color="auto"/>
              <w:right w:val="single" w:sz="4" w:space="0" w:color="auto"/>
            </w:tcBorders>
            <w:shd w:val="clear" w:color="000000" w:fill="FFFFFF"/>
            <w:noWrap/>
            <w:hideMark/>
          </w:tcPr>
          <w:p w14:paraId="68A66644" w14:textId="77777777" w:rsidR="002141AA" w:rsidRDefault="002141AA" w:rsidP="00AC7171">
            <w:pPr>
              <w:keepNext/>
              <w:widowControl w:val="0"/>
              <w:jc w:val="center"/>
              <w:rPr>
                <w:noProof/>
                <w:color w:val="000000"/>
                <w:sz w:val="20"/>
                <w:szCs w:val="20"/>
              </w:rPr>
            </w:pPr>
            <w:r>
              <w:rPr>
                <w:noProof/>
                <w:color w:val="000000"/>
                <w:sz w:val="20"/>
                <w:szCs w:val="20"/>
              </w:rPr>
              <w:t>5,929</w:t>
            </w:r>
          </w:p>
        </w:tc>
        <w:tc>
          <w:tcPr>
            <w:tcW w:w="1243" w:type="pct"/>
            <w:tcBorders>
              <w:top w:val="nil"/>
              <w:left w:val="nil"/>
              <w:bottom w:val="single" w:sz="4" w:space="0" w:color="auto"/>
              <w:right w:val="single" w:sz="4" w:space="0" w:color="auto"/>
            </w:tcBorders>
            <w:shd w:val="clear" w:color="000000" w:fill="F2F2F2"/>
            <w:noWrap/>
            <w:hideMark/>
          </w:tcPr>
          <w:p w14:paraId="52AE3BD5" w14:textId="77777777" w:rsidR="002141AA" w:rsidRDefault="002141AA" w:rsidP="00AC7171">
            <w:pPr>
              <w:keepNext/>
              <w:widowControl w:val="0"/>
              <w:jc w:val="center"/>
              <w:rPr>
                <w:noProof/>
                <w:color w:val="000000"/>
                <w:sz w:val="20"/>
                <w:szCs w:val="20"/>
              </w:rPr>
            </w:pPr>
            <w:r>
              <w:rPr>
                <w:noProof/>
                <w:color w:val="000000"/>
                <w:sz w:val="20"/>
                <w:szCs w:val="20"/>
              </w:rPr>
              <w:t>107,317</w:t>
            </w:r>
          </w:p>
        </w:tc>
        <w:tc>
          <w:tcPr>
            <w:tcW w:w="1243" w:type="pct"/>
            <w:tcBorders>
              <w:top w:val="nil"/>
              <w:left w:val="nil"/>
              <w:bottom w:val="single" w:sz="4" w:space="0" w:color="auto"/>
              <w:right w:val="single" w:sz="4" w:space="0" w:color="auto"/>
            </w:tcBorders>
            <w:shd w:val="clear" w:color="000000" w:fill="F2F2F2"/>
            <w:noWrap/>
            <w:hideMark/>
          </w:tcPr>
          <w:p w14:paraId="013A4142" w14:textId="77777777" w:rsidR="002141AA" w:rsidRDefault="002141AA" w:rsidP="00AC7171">
            <w:pPr>
              <w:keepNext/>
              <w:widowControl w:val="0"/>
              <w:jc w:val="center"/>
              <w:rPr>
                <w:noProof/>
                <w:color w:val="000000"/>
                <w:sz w:val="20"/>
                <w:szCs w:val="20"/>
              </w:rPr>
            </w:pPr>
            <w:r>
              <w:rPr>
                <w:noProof/>
                <w:color w:val="000000"/>
                <w:sz w:val="20"/>
                <w:szCs w:val="20"/>
              </w:rPr>
              <w:t>0.5%</w:t>
            </w:r>
          </w:p>
        </w:tc>
      </w:tr>
    </w:tbl>
    <w:p w14:paraId="754FB63E" w14:textId="781197D7" w:rsidR="00D16CB4" w:rsidRPr="00A15B38" w:rsidRDefault="003F57C8" w:rsidP="00AC7171">
      <w:pPr>
        <w:widowControl w:val="0"/>
        <w:tabs>
          <w:tab w:val="left" w:pos="2302"/>
        </w:tabs>
        <w:spacing w:after="240"/>
        <w:jc w:val="both"/>
        <w:rPr>
          <w:i/>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r>
        <w:rPr>
          <w:i/>
          <w:iCs/>
          <w:noProof/>
          <w:sz w:val="20"/>
          <w:szCs w:val="20"/>
        </w:rPr>
        <w:t>; ASTRA model</w:t>
      </w:r>
    </w:p>
    <w:p w14:paraId="7B4FC9B9" w14:textId="55254BC4" w:rsidR="00355C06" w:rsidRPr="00AC6B9A" w:rsidRDefault="00355C06" w:rsidP="00AC7171">
      <w:pPr>
        <w:pStyle w:val="Text2"/>
        <w:keepNext w:val="0"/>
        <w:widowControl w:val="0"/>
        <w:spacing w:after="240"/>
        <w:ind w:left="0"/>
        <w:rPr>
          <w:rFonts w:cs="Times New Roman"/>
          <w:noProof/>
          <w:spacing w:val="-8"/>
          <w:szCs w:val="24"/>
          <w:lang w:eastAsia="en-IE"/>
        </w:rPr>
      </w:pPr>
      <w:r w:rsidRPr="7C415DE3">
        <w:rPr>
          <w:rFonts w:cs="Times New Roman"/>
          <w:noProof/>
          <w:spacing w:val="-8"/>
          <w:lang w:eastAsia="en-IE"/>
        </w:rPr>
        <w:t>The reduction in external costs of accidents</w:t>
      </w:r>
      <w:r w:rsidR="00070336" w:rsidRPr="7C415DE3">
        <w:rPr>
          <w:rFonts w:cs="Times New Roman"/>
          <w:noProof/>
          <w:spacing w:val="-8"/>
          <w:lang w:eastAsia="en-IE"/>
        </w:rPr>
        <w:t>, expressed as present value over 2028-2050 relative to the baseline,</w:t>
      </w:r>
      <w:r w:rsidRPr="7C415DE3">
        <w:rPr>
          <w:rFonts w:cs="Times New Roman"/>
          <w:noProof/>
          <w:spacing w:val="-8"/>
          <w:lang w:eastAsia="en-IE"/>
        </w:rPr>
        <w:t xml:space="preserve"> is estimated </w:t>
      </w:r>
      <w:r w:rsidR="00406FA0" w:rsidRPr="7C415DE3">
        <w:rPr>
          <w:rFonts w:cs="Times New Roman"/>
          <w:noProof/>
          <w:spacing w:val="-8"/>
          <w:lang w:eastAsia="en-IE"/>
        </w:rPr>
        <w:t>to be the highest in PO</w:t>
      </w:r>
      <w:r w:rsidR="00386F67" w:rsidRPr="7C415DE3">
        <w:rPr>
          <w:rFonts w:cs="Times New Roman"/>
          <w:noProof/>
          <w:spacing w:val="-8"/>
          <w:lang w:eastAsia="en-IE"/>
        </w:rPr>
        <w:t>3</w:t>
      </w:r>
      <w:r w:rsidR="00406FA0" w:rsidRPr="7C415DE3">
        <w:rPr>
          <w:rFonts w:cs="Times New Roman"/>
          <w:noProof/>
          <w:spacing w:val="-8"/>
          <w:lang w:eastAsia="en-IE"/>
        </w:rPr>
        <w:t xml:space="preserve"> </w:t>
      </w:r>
      <w:r w:rsidR="00070336" w:rsidRPr="7C415DE3">
        <w:rPr>
          <w:rFonts w:cs="Times New Roman"/>
          <w:noProof/>
          <w:spacing w:val="-8"/>
          <w:lang w:eastAsia="en-IE"/>
        </w:rPr>
        <w:t>(</w:t>
      </w:r>
      <w:r w:rsidR="00406FA0" w:rsidRPr="7C415DE3">
        <w:rPr>
          <w:rFonts w:cs="Times New Roman"/>
          <w:noProof/>
          <w:spacing w:val="-8"/>
          <w:lang w:eastAsia="en-IE"/>
        </w:rPr>
        <w:t xml:space="preserve">EUR </w:t>
      </w:r>
      <w:r w:rsidR="00386F67" w:rsidRPr="7C415DE3">
        <w:rPr>
          <w:rFonts w:cs="Times New Roman"/>
          <w:noProof/>
          <w:spacing w:val="-8"/>
          <w:lang w:eastAsia="en-IE"/>
        </w:rPr>
        <w:t>21.3</w:t>
      </w:r>
      <w:r w:rsidR="00406FA0" w:rsidRPr="7C415DE3">
        <w:rPr>
          <w:rFonts w:cs="Times New Roman"/>
          <w:noProof/>
          <w:spacing w:val="-8"/>
          <w:lang w:eastAsia="en-IE"/>
        </w:rPr>
        <w:t xml:space="preserve"> </w:t>
      </w:r>
      <w:r w:rsidR="00386F67" w:rsidRPr="7C415DE3">
        <w:rPr>
          <w:rFonts w:cs="Times New Roman"/>
          <w:noProof/>
          <w:spacing w:val="-8"/>
          <w:lang w:eastAsia="en-IE"/>
        </w:rPr>
        <w:t>billion</w:t>
      </w:r>
      <w:r w:rsidR="00070336" w:rsidRPr="7C415DE3">
        <w:rPr>
          <w:rFonts w:cs="Times New Roman"/>
          <w:noProof/>
          <w:spacing w:val="-8"/>
          <w:lang w:eastAsia="en-IE"/>
        </w:rPr>
        <w:t>)</w:t>
      </w:r>
      <w:r w:rsidR="00386F67" w:rsidRPr="7C415DE3">
        <w:rPr>
          <w:rFonts w:cs="Times New Roman"/>
          <w:noProof/>
          <w:spacing w:val="-8"/>
          <w:lang w:eastAsia="en-IE"/>
        </w:rPr>
        <w:t xml:space="preserve">, followed by PO4 (EUR 16.5 billion), </w:t>
      </w:r>
      <w:r w:rsidR="00286291" w:rsidRPr="7C415DE3">
        <w:rPr>
          <w:rFonts w:cs="Times New Roman"/>
          <w:noProof/>
          <w:spacing w:val="-8"/>
          <w:lang w:eastAsia="en-IE"/>
        </w:rPr>
        <w:t>PO2 (EUR 14.8 billion) and PO1 (EUR 7.6 billion)</w:t>
      </w:r>
      <w:r w:rsidRPr="7C415DE3">
        <w:rPr>
          <w:rStyle w:val="FootnoteReference"/>
          <w:rFonts w:cs="Times New Roman"/>
          <w:noProof/>
          <w:spacing w:val="-8"/>
          <w:lang w:eastAsia="en-IE"/>
        </w:rPr>
        <w:footnoteReference w:id="202"/>
      </w:r>
      <w:r w:rsidRPr="7C415DE3">
        <w:rPr>
          <w:rFonts w:cs="Times New Roman"/>
          <w:noProof/>
          <w:spacing w:val="-8"/>
          <w:lang w:eastAsia="en-IE"/>
        </w:rPr>
        <w:t>.</w:t>
      </w:r>
    </w:p>
    <w:p w14:paraId="17CC8CDB" w14:textId="19C29A4D" w:rsidR="00456272" w:rsidRPr="00BA0980" w:rsidRDefault="00456272" w:rsidP="00456272">
      <w:pPr>
        <w:pStyle w:val="Text2"/>
        <w:spacing w:after="0"/>
        <w:ind w:left="0"/>
        <w:rPr>
          <w:rFonts w:cs="Times New Roman"/>
          <w:i/>
          <w:noProof/>
          <w:sz w:val="22"/>
          <w:szCs w:val="22"/>
        </w:rPr>
      </w:pPr>
      <w:r w:rsidRPr="006333F0">
        <w:rPr>
          <w:rFonts w:cs="Times New Roman"/>
          <w:i/>
          <w:noProof/>
          <w:sz w:val="22"/>
          <w:szCs w:val="22"/>
        </w:rPr>
        <w:t xml:space="preserve">Table </w:t>
      </w:r>
      <w:r w:rsidRPr="00BA0980">
        <w:rPr>
          <w:rFonts w:cs="Times New Roman"/>
          <w:i/>
          <w:noProof/>
          <w:sz w:val="22"/>
          <w:szCs w:val="22"/>
        </w:rPr>
        <w:fldChar w:fldCharType="begin"/>
      </w:r>
      <w:r w:rsidRPr="00BA0980">
        <w:rPr>
          <w:rFonts w:cs="Times New Roman"/>
          <w:i/>
          <w:noProof/>
          <w:sz w:val="22"/>
          <w:szCs w:val="22"/>
        </w:rPr>
        <w:instrText xml:space="preserve"> SEQ Table \* ARABIC </w:instrText>
      </w:r>
      <w:r w:rsidRPr="00BA0980">
        <w:rPr>
          <w:rFonts w:cs="Times New Roman"/>
          <w:i/>
          <w:noProof/>
          <w:sz w:val="22"/>
          <w:szCs w:val="22"/>
        </w:rPr>
        <w:fldChar w:fldCharType="separate"/>
      </w:r>
      <w:r w:rsidR="0055391F">
        <w:rPr>
          <w:rFonts w:cs="Times New Roman"/>
          <w:i/>
          <w:noProof/>
          <w:sz w:val="22"/>
          <w:szCs w:val="22"/>
        </w:rPr>
        <w:t>19</w:t>
      </w:r>
      <w:r w:rsidRPr="00BA0980">
        <w:rPr>
          <w:rFonts w:cs="Times New Roman"/>
          <w:i/>
          <w:noProof/>
          <w:sz w:val="22"/>
          <w:szCs w:val="22"/>
        </w:rPr>
        <w:fldChar w:fldCharType="end"/>
      </w:r>
      <w:r w:rsidRPr="006333F0">
        <w:rPr>
          <w:rFonts w:cs="Times New Roman"/>
          <w:i/>
          <w:noProof/>
          <w:sz w:val="22"/>
          <w:szCs w:val="22"/>
        </w:rPr>
        <w:t xml:space="preserve">: </w:t>
      </w:r>
      <w:r>
        <w:rPr>
          <w:rFonts w:cs="Times New Roman"/>
          <w:i/>
          <w:noProof/>
          <w:sz w:val="22"/>
          <w:szCs w:val="22"/>
        </w:rPr>
        <w:t>Impacts on external costs of accidents in the POs relative to the baseline (EU27), expressed as present value over 2028-2050,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r>
        <w:rPr>
          <w:rFonts w:cs="Times New Roman"/>
          <w:i/>
          <w:noProof/>
          <w:sz w:val="22"/>
          <w:szCs w:val="22"/>
        </w:rPr>
        <w:t xml:space="preserve"> </w:t>
      </w:r>
    </w:p>
    <w:tbl>
      <w:tblPr>
        <w:tblW w:w="5000" w:type="pct"/>
        <w:tblLook w:val="04A0" w:firstRow="1" w:lastRow="0" w:firstColumn="1" w:lastColumn="0" w:noHBand="0" w:noVBand="1"/>
      </w:tblPr>
      <w:tblGrid>
        <w:gridCol w:w="5700"/>
        <w:gridCol w:w="974"/>
        <w:gridCol w:w="974"/>
        <w:gridCol w:w="974"/>
        <w:gridCol w:w="981"/>
      </w:tblGrid>
      <w:tr w:rsidR="00456272" w:rsidRPr="00F53CA2" w14:paraId="70B81527" w14:textId="77777777" w:rsidTr="00FD0971">
        <w:trPr>
          <w:trHeight w:val="255"/>
          <w:tblHeader/>
        </w:trPr>
        <w:tc>
          <w:tcPr>
            <w:tcW w:w="2968" w:type="pct"/>
            <w:vMerge w:val="restart"/>
            <w:tcBorders>
              <w:top w:val="single" w:sz="4" w:space="0" w:color="auto"/>
              <w:left w:val="single" w:sz="4" w:space="0" w:color="auto"/>
              <w:right w:val="single" w:sz="4" w:space="0" w:color="auto"/>
            </w:tcBorders>
            <w:shd w:val="clear" w:color="000000" w:fill="0070C0"/>
          </w:tcPr>
          <w:p w14:paraId="1D445C17" w14:textId="77777777" w:rsidR="00456272" w:rsidRPr="004E336D" w:rsidRDefault="00456272">
            <w:pPr>
              <w:rPr>
                <w:b/>
                <w:noProof/>
                <w:color w:val="FFFFFF"/>
                <w:sz w:val="20"/>
                <w:szCs w:val="20"/>
              </w:rPr>
            </w:pPr>
          </w:p>
        </w:tc>
        <w:tc>
          <w:tcPr>
            <w:tcW w:w="2032" w:type="pct"/>
            <w:gridSpan w:val="4"/>
            <w:tcBorders>
              <w:top w:val="single" w:sz="4" w:space="0" w:color="auto"/>
              <w:left w:val="nil"/>
              <w:bottom w:val="single" w:sz="4" w:space="0" w:color="auto"/>
              <w:right w:val="single" w:sz="4" w:space="0" w:color="auto"/>
            </w:tcBorders>
            <w:shd w:val="clear" w:color="000000" w:fill="0070C0"/>
          </w:tcPr>
          <w:p w14:paraId="628DB07A" w14:textId="77777777" w:rsidR="00456272" w:rsidRPr="004E336D" w:rsidRDefault="00456272">
            <w:pPr>
              <w:jc w:val="center"/>
              <w:rPr>
                <w:b/>
                <w:noProof/>
                <w:color w:val="FFFFFF"/>
                <w:sz w:val="20"/>
                <w:szCs w:val="20"/>
              </w:rPr>
            </w:pPr>
            <w:r w:rsidRPr="004E336D">
              <w:rPr>
                <w:b/>
                <w:noProof/>
                <w:color w:val="FFFFFF"/>
                <w:sz w:val="20"/>
                <w:szCs w:val="20"/>
              </w:rPr>
              <w:t>Difference to baseline</w:t>
            </w:r>
          </w:p>
        </w:tc>
      </w:tr>
      <w:tr w:rsidR="00456272" w:rsidRPr="00F53CA2" w14:paraId="205AD32B" w14:textId="77777777" w:rsidTr="00FD0971">
        <w:trPr>
          <w:trHeight w:val="255"/>
          <w:tblHeader/>
        </w:trPr>
        <w:tc>
          <w:tcPr>
            <w:tcW w:w="2968" w:type="pct"/>
            <w:vMerge/>
            <w:tcBorders>
              <w:left w:val="single" w:sz="4" w:space="0" w:color="auto"/>
              <w:bottom w:val="single" w:sz="4" w:space="0" w:color="auto"/>
              <w:right w:val="single" w:sz="4" w:space="0" w:color="auto"/>
            </w:tcBorders>
            <w:shd w:val="clear" w:color="000000" w:fill="0070C0"/>
            <w:hideMark/>
          </w:tcPr>
          <w:p w14:paraId="61107B64" w14:textId="77777777" w:rsidR="00456272" w:rsidRPr="004E336D" w:rsidRDefault="00456272">
            <w:pPr>
              <w:rPr>
                <w:b/>
                <w:noProof/>
                <w:color w:val="FFFFFF"/>
                <w:sz w:val="20"/>
                <w:szCs w:val="20"/>
              </w:rPr>
            </w:pPr>
          </w:p>
        </w:tc>
        <w:tc>
          <w:tcPr>
            <w:tcW w:w="507" w:type="pct"/>
            <w:tcBorders>
              <w:top w:val="single" w:sz="4" w:space="0" w:color="auto"/>
              <w:left w:val="nil"/>
              <w:bottom w:val="single" w:sz="4" w:space="0" w:color="auto"/>
              <w:right w:val="single" w:sz="4" w:space="0" w:color="auto"/>
            </w:tcBorders>
            <w:shd w:val="clear" w:color="000000" w:fill="0070C0"/>
            <w:hideMark/>
          </w:tcPr>
          <w:p w14:paraId="505A9FD7" w14:textId="77777777" w:rsidR="00456272" w:rsidRPr="004E336D" w:rsidRDefault="00456272">
            <w:pPr>
              <w:jc w:val="center"/>
              <w:rPr>
                <w:b/>
                <w:noProof/>
                <w:color w:val="FFFFFF"/>
                <w:sz w:val="20"/>
                <w:szCs w:val="20"/>
              </w:rPr>
            </w:pPr>
            <w:r w:rsidRPr="004E336D">
              <w:rPr>
                <w:b/>
                <w:noProof/>
                <w:color w:val="FFFFFF"/>
                <w:sz w:val="20"/>
                <w:szCs w:val="20"/>
              </w:rPr>
              <w:t>PO1</w:t>
            </w:r>
          </w:p>
        </w:tc>
        <w:tc>
          <w:tcPr>
            <w:tcW w:w="507" w:type="pct"/>
            <w:tcBorders>
              <w:top w:val="single" w:sz="4" w:space="0" w:color="auto"/>
              <w:left w:val="nil"/>
              <w:bottom w:val="single" w:sz="4" w:space="0" w:color="auto"/>
              <w:right w:val="single" w:sz="4" w:space="0" w:color="auto"/>
            </w:tcBorders>
            <w:shd w:val="clear" w:color="000000" w:fill="0070C0"/>
            <w:hideMark/>
          </w:tcPr>
          <w:p w14:paraId="3FB2E641" w14:textId="77777777" w:rsidR="00456272" w:rsidRPr="004E336D" w:rsidRDefault="00456272">
            <w:pPr>
              <w:jc w:val="center"/>
              <w:rPr>
                <w:b/>
                <w:noProof/>
                <w:color w:val="FFFFFF"/>
                <w:sz w:val="20"/>
                <w:szCs w:val="20"/>
              </w:rPr>
            </w:pPr>
            <w:r w:rsidRPr="004E336D">
              <w:rPr>
                <w:b/>
                <w:noProof/>
                <w:color w:val="FFFFFF"/>
                <w:sz w:val="20"/>
                <w:szCs w:val="20"/>
              </w:rPr>
              <w:t>PO2</w:t>
            </w:r>
          </w:p>
        </w:tc>
        <w:tc>
          <w:tcPr>
            <w:tcW w:w="507" w:type="pct"/>
            <w:tcBorders>
              <w:top w:val="single" w:sz="4" w:space="0" w:color="auto"/>
              <w:left w:val="nil"/>
              <w:bottom w:val="single" w:sz="4" w:space="0" w:color="auto"/>
              <w:right w:val="single" w:sz="4" w:space="0" w:color="auto"/>
            </w:tcBorders>
            <w:shd w:val="clear" w:color="000000" w:fill="0070C0"/>
            <w:hideMark/>
          </w:tcPr>
          <w:p w14:paraId="4D381BB6" w14:textId="77777777" w:rsidR="00456272" w:rsidRPr="004E336D" w:rsidRDefault="00456272">
            <w:pPr>
              <w:jc w:val="center"/>
              <w:rPr>
                <w:b/>
                <w:noProof/>
                <w:color w:val="FFFFFF"/>
                <w:sz w:val="20"/>
                <w:szCs w:val="20"/>
              </w:rPr>
            </w:pPr>
            <w:r w:rsidRPr="004E336D">
              <w:rPr>
                <w:b/>
                <w:noProof/>
                <w:color w:val="FFFFFF"/>
                <w:sz w:val="20"/>
                <w:szCs w:val="20"/>
              </w:rPr>
              <w:t>PO3</w:t>
            </w:r>
          </w:p>
        </w:tc>
        <w:tc>
          <w:tcPr>
            <w:tcW w:w="510" w:type="pct"/>
            <w:tcBorders>
              <w:top w:val="single" w:sz="4" w:space="0" w:color="auto"/>
              <w:left w:val="nil"/>
              <w:bottom w:val="single" w:sz="4" w:space="0" w:color="auto"/>
              <w:right w:val="single" w:sz="4" w:space="0" w:color="auto"/>
            </w:tcBorders>
            <w:shd w:val="clear" w:color="000000" w:fill="0070C0"/>
            <w:hideMark/>
          </w:tcPr>
          <w:p w14:paraId="7C8BF59F" w14:textId="77777777" w:rsidR="00456272" w:rsidRPr="004E336D" w:rsidRDefault="00456272">
            <w:pPr>
              <w:jc w:val="center"/>
              <w:rPr>
                <w:b/>
                <w:noProof/>
                <w:color w:val="FFFFFF"/>
                <w:sz w:val="20"/>
                <w:szCs w:val="20"/>
              </w:rPr>
            </w:pPr>
            <w:r w:rsidRPr="004E336D">
              <w:rPr>
                <w:b/>
                <w:noProof/>
                <w:color w:val="FFFFFF"/>
                <w:sz w:val="20"/>
                <w:szCs w:val="20"/>
              </w:rPr>
              <w:t>PO4</w:t>
            </w:r>
          </w:p>
        </w:tc>
      </w:tr>
      <w:tr w:rsidR="00456272" w:rsidRPr="00F53CA2" w14:paraId="5881C391" w14:textId="77777777" w:rsidTr="000B7EBE">
        <w:trPr>
          <w:trHeight w:val="255"/>
        </w:trPr>
        <w:tc>
          <w:tcPr>
            <w:tcW w:w="2968" w:type="pct"/>
            <w:tcBorders>
              <w:top w:val="nil"/>
              <w:left w:val="single" w:sz="4" w:space="0" w:color="auto"/>
              <w:bottom w:val="single" w:sz="4" w:space="0" w:color="auto"/>
              <w:right w:val="single" w:sz="4" w:space="0" w:color="auto"/>
            </w:tcBorders>
            <w:shd w:val="clear" w:color="000000" w:fill="FFFFFF"/>
            <w:noWrap/>
            <w:hideMark/>
          </w:tcPr>
          <w:p w14:paraId="5763DC94" w14:textId="35E06117" w:rsidR="00456272" w:rsidRPr="004E336D" w:rsidRDefault="00456272">
            <w:pPr>
              <w:rPr>
                <w:noProof/>
                <w:color w:val="000000"/>
                <w:sz w:val="20"/>
                <w:szCs w:val="20"/>
              </w:rPr>
            </w:pPr>
            <w:r w:rsidRPr="004E336D">
              <w:rPr>
                <w:noProof/>
                <w:color w:val="000000"/>
                <w:sz w:val="20"/>
                <w:szCs w:val="20"/>
              </w:rPr>
              <w:t xml:space="preserve"> Savings in external costs of </w:t>
            </w:r>
            <w:r w:rsidR="00196610" w:rsidRPr="004E336D">
              <w:rPr>
                <w:noProof/>
                <w:color w:val="000000"/>
                <w:sz w:val="20"/>
                <w:szCs w:val="20"/>
              </w:rPr>
              <w:t>accidents</w:t>
            </w:r>
          </w:p>
        </w:tc>
        <w:tc>
          <w:tcPr>
            <w:tcW w:w="507" w:type="pct"/>
            <w:tcBorders>
              <w:top w:val="nil"/>
              <w:left w:val="nil"/>
              <w:bottom w:val="single" w:sz="4" w:space="0" w:color="auto"/>
              <w:right w:val="single" w:sz="4" w:space="0" w:color="auto"/>
            </w:tcBorders>
            <w:shd w:val="clear" w:color="000000" w:fill="FFFFFF"/>
            <w:noWrap/>
            <w:hideMark/>
          </w:tcPr>
          <w:p w14:paraId="2D12104E" w14:textId="22EB166A" w:rsidR="00456272" w:rsidRPr="004E336D" w:rsidRDefault="00FD0971">
            <w:pPr>
              <w:jc w:val="right"/>
              <w:rPr>
                <w:noProof/>
                <w:color w:val="000000"/>
                <w:sz w:val="20"/>
                <w:szCs w:val="20"/>
              </w:rPr>
            </w:pPr>
            <w:r>
              <w:rPr>
                <w:noProof/>
                <w:color w:val="000000"/>
                <w:sz w:val="20"/>
                <w:szCs w:val="20"/>
              </w:rPr>
              <w:t>7,606</w:t>
            </w:r>
          </w:p>
        </w:tc>
        <w:tc>
          <w:tcPr>
            <w:tcW w:w="507" w:type="pct"/>
            <w:tcBorders>
              <w:top w:val="nil"/>
              <w:left w:val="nil"/>
              <w:bottom w:val="single" w:sz="4" w:space="0" w:color="auto"/>
              <w:right w:val="single" w:sz="4" w:space="0" w:color="auto"/>
            </w:tcBorders>
            <w:shd w:val="clear" w:color="000000" w:fill="FFFFFF"/>
            <w:noWrap/>
            <w:hideMark/>
          </w:tcPr>
          <w:p w14:paraId="29084173" w14:textId="187EE576" w:rsidR="00456272" w:rsidRPr="004E336D" w:rsidRDefault="00FD0971">
            <w:pPr>
              <w:jc w:val="right"/>
              <w:rPr>
                <w:noProof/>
                <w:color w:val="000000"/>
                <w:sz w:val="20"/>
                <w:szCs w:val="20"/>
              </w:rPr>
            </w:pPr>
            <w:r>
              <w:rPr>
                <w:noProof/>
                <w:color w:val="000000"/>
                <w:sz w:val="20"/>
                <w:szCs w:val="20"/>
              </w:rPr>
              <w:t>14,807</w:t>
            </w:r>
          </w:p>
        </w:tc>
        <w:tc>
          <w:tcPr>
            <w:tcW w:w="507" w:type="pct"/>
            <w:tcBorders>
              <w:top w:val="nil"/>
              <w:left w:val="nil"/>
              <w:bottom w:val="single" w:sz="4" w:space="0" w:color="auto"/>
              <w:right w:val="single" w:sz="4" w:space="0" w:color="auto"/>
            </w:tcBorders>
            <w:shd w:val="clear" w:color="000000" w:fill="FFFFFF"/>
            <w:noWrap/>
            <w:hideMark/>
          </w:tcPr>
          <w:p w14:paraId="3CC3ACB3" w14:textId="3DDB2336" w:rsidR="00456272" w:rsidRPr="004E336D" w:rsidRDefault="00FD0971">
            <w:pPr>
              <w:jc w:val="right"/>
              <w:rPr>
                <w:noProof/>
                <w:color w:val="000000"/>
                <w:sz w:val="20"/>
                <w:szCs w:val="20"/>
              </w:rPr>
            </w:pPr>
            <w:r>
              <w:rPr>
                <w:noProof/>
                <w:color w:val="000000"/>
                <w:sz w:val="20"/>
                <w:szCs w:val="20"/>
              </w:rPr>
              <w:t>21,297</w:t>
            </w:r>
          </w:p>
        </w:tc>
        <w:tc>
          <w:tcPr>
            <w:tcW w:w="510" w:type="pct"/>
            <w:tcBorders>
              <w:top w:val="nil"/>
              <w:left w:val="nil"/>
              <w:bottom w:val="single" w:sz="4" w:space="0" w:color="auto"/>
              <w:right w:val="single" w:sz="4" w:space="0" w:color="auto"/>
            </w:tcBorders>
            <w:shd w:val="clear" w:color="000000" w:fill="FFFFFF"/>
            <w:noWrap/>
            <w:hideMark/>
          </w:tcPr>
          <w:p w14:paraId="39C5134A" w14:textId="016304D7" w:rsidR="00456272" w:rsidRPr="004E336D" w:rsidRDefault="00FD0971">
            <w:pPr>
              <w:jc w:val="right"/>
              <w:rPr>
                <w:noProof/>
                <w:color w:val="000000"/>
                <w:sz w:val="20"/>
                <w:szCs w:val="20"/>
              </w:rPr>
            </w:pPr>
            <w:r>
              <w:rPr>
                <w:noProof/>
                <w:color w:val="000000"/>
                <w:sz w:val="20"/>
                <w:szCs w:val="20"/>
              </w:rPr>
              <w:t>16,470</w:t>
            </w:r>
          </w:p>
        </w:tc>
      </w:tr>
    </w:tbl>
    <w:p w14:paraId="1F0DEF61" w14:textId="0AA947CB" w:rsidR="00456272" w:rsidRPr="00A15B38" w:rsidRDefault="00456272" w:rsidP="00A15B38">
      <w:pPr>
        <w:tabs>
          <w:tab w:val="left" w:pos="2302"/>
        </w:tabs>
        <w:spacing w:after="240"/>
        <w:jc w:val="both"/>
        <w:rPr>
          <w:i/>
          <w:noProof/>
          <w:sz w:val="20"/>
          <w:szCs w:val="20"/>
        </w:rPr>
      </w:pPr>
      <w:r w:rsidRPr="1EE63EBB">
        <w:rPr>
          <w:i/>
          <w:noProof/>
          <w:sz w:val="20"/>
          <w:szCs w:val="20"/>
        </w:rPr>
        <w:t xml:space="preserve">Source: </w:t>
      </w:r>
      <w:r w:rsidRPr="00FB0A72">
        <w:rPr>
          <w:i/>
          <w:iCs/>
          <w:noProof/>
          <w:sz w:val="20"/>
          <w:szCs w:val="20"/>
        </w:rPr>
        <w:t>Ricardo et al. (2026), Impact assessment support study</w:t>
      </w:r>
      <w:r>
        <w:rPr>
          <w:i/>
          <w:iCs/>
          <w:noProof/>
          <w:sz w:val="20"/>
          <w:szCs w:val="20"/>
        </w:rPr>
        <w:t>; ASTRA model</w:t>
      </w:r>
    </w:p>
    <w:p w14:paraId="0A2652CE" w14:textId="77B1DF0F" w:rsidR="00940C3D" w:rsidRPr="00237A70" w:rsidRDefault="005E39B8" w:rsidP="006E3FA1">
      <w:pPr>
        <w:pStyle w:val="Heading2"/>
        <w:keepNext/>
        <w:numPr>
          <w:ilvl w:val="2"/>
          <w:numId w:val="11"/>
        </w:numPr>
        <w:tabs>
          <w:tab w:val="left" w:pos="709"/>
        </w:tabs>
        <w:spacing w:before="0" w:after="240"/>
        <w:ind w:left="1134" w:hanging="708"/>
        <w:rPr>
          <w:b w:val="0"/>
          <w:i/>
          <w:noProof/>
        </w:rPr>
      </w:pPr>
      <w:bookmarkStart w:id="184" w:name="_Toc222313490"/>
      <w:bookmarkStart w:id="185" w:name="_Toc222749009"/>
      <w:bookmarkStart w:id="186" w:name="_Toc223979981"/>
      <w:r w:rsidRPr="00237A70">
        <w:rPr>
          <w:b w:val="0"/>
          <w:i/>
          <w:noProof/>
        </w:rPr>
        <w:t>Impact</w:t>
      </w:r>
      <w:r w:rsidR="00F9450A">
        <w:rPr>
          <w:b w:val="0"/>
          <w:i/>
          <w:noProof/>
        </w:rPr>
        <w:t>s</w:t>
      </w:r>
      <w:r w:rsidRPr="00237A70">
        <w:rPr>
          <w:b w:val="0"/>
          <w:i/>
          <w:noProof/>
        </w:rPr>
        <w:t xml:space="preserve"> on fundamental rights</w:t>
      </w:r>
      <w:bookmarkEnd w:id="184"/>
      <w:bookmarkEnd w:id="185"/>
      <w:bookmarkEnd w:id="186"/>
    </w:p>
    <w:p w14:paraId="35859587" w14:textId="2F263504" w:rsidR="005E39B8" w:rsidRPr="008A6C21" w:rsidRDefault="00792C22" w:rsidP="00940C3D">
      <w:pPr>
        <w:pStyle w:val="BodyText"/>
        <w:spacing w:after="240"/>
        <w:ind w:left="0"/>
        <w:rPr>
          <w:noProof/>
          <w:spacing w:val="-8"/>
        </w:rPr>
      </w:pPr>
      <w:r w:rsidRPr="008A6C21">
        <w:rPr>
          <w:noProof/>
          <w:spacing w:val="-8"/>
        </w:rPr>
        <w:t>The level of data protection for businesses and consumers is a key element when considering the impacts of the policy options on fundamental rights. Data protection for B2C MDMS platform users is provided by the GDPR, which allows for harmonised protection of individuals. Also, for B2B MDMS, the entry into application of the GDPR is a key consideration prompting the revision and repeal of the CRS Code of Conduct´s rules on data protection</w:t>
      </w:r>
      <w:r w:rsidR="00C06C09">
        <w:rPr>
          <w:noProof/>
          <w:spacing w:val="-8"/>
        </w:rPr>
        <w:t xml:space="preserve"> </w:t>
      </w:r>
      <w:r w:rsidR="000634DA">
        <w:rPr>
          <w:noProof/>
          <w:spacing w:val="-8"/>
        </w:rPr>
        <w:t xml:space="preserve">in all policy options </w:t>
      </w:r>
      <w:r w:rsidR="00C06C09">
        <w:rPr>
          <w:noProof/>
          <w:spacing w:val="-8"/>
        </w:rPr>
        <w:t>(PM5)</w:t>
      </w:r>
      <w:r w:rsidRPr="008A6C21">
        <w:rPr>
          <w:noProof/>
          <w:spacing w:val="-8"/>
        </w:rPr>
        <w:t>. As a result of this regulatory simplification, the duplication of rules will be removed and there would thus be no more room for potential inconsistencies. The intervention would not have any negative material impact on fundamental rights, and data protection specifically.</w:t>
      </w:r>
    </w:p>
    <w:p w14:paraId="311D048A" w14:textId="421BD97C" w:rsidR="00931876" w:rsidRPr="00237A70" w:rsidRDefault="0028752D" w:rsidP="006E3FA1">
      <w:pPr>
        <w:pStyle w:val="Heading2"/>
        <w:keepNext/>
        <w:numPr>
          <w:ilvl w:val="2"/>
          <w:numId w:val="11"/>
        </w:numPr>
        <w:tabs>
          <w:tab w:val="left" w:pos="709"/>
        </w:tabs>
        <w:spacing w:before="0" w:after="240"/>
        <w:ind w:left="1134" w:hanging="708"/>
        <w:rPr>
          <w:b w:val="0"/>
          <w:i/>
          <w:noProof/>
        </w:rPr>
      </w:pPr>
      <w:bookmarkStart w:id="187" w:name="_Toc223979982"/>
      <w:r w:rsidRPr="00237A70">
        <w:rPr>
          <w:b w:val="0"/>
          <w:i/>
          <w:noProof/>
        </w:rPr>
        <w:t>Impact</w:t>
      </w:r>
      <w:r>
        <w:rPr>
          <w:b w:val="0"/>
          <w:i/>
          <w:noProof/>
        </w:rPr>
        <w:t>s</w:t>
      </w:r>
      <w:r w:rsidRPr="00237A70">
        <w:rPr>
          <w:b w:val="0"/>
          <w:i/>
          <w:noProof/>
        </w:rPr>
        <w:t xml:space="preserve"> on </w:t>
      </w:r>
      <w:r w:rsidR="00931876">
        <w:rPr>
          <w:b w:val="0"/>
          <w:i/>
          <w:noProof/>
        </w:rPr>
        <w:t>youth</w:t>
      </w:r>
      <w:bookmarkEnd w:id="187"/>
    </w:p>
    <w:p w14:paraId="14B16DB7" w14:textId="5F2B3FA6" w:rsidR="0028752D" w:rsidRPr="008A6C21" w:rsidRDefault="000B0101" w:rsidP="00940C3D">
      <w:pPr>
        <w:pStyle w:val="BodyText"/>
        <w:spacing w:after="240"/>
        <w:ind w:left="0"/>
        <w:rPr>
          <w:noProof/>
          <w:spacing w:val="-8"/>
        </w:rPr>
      </w:pPr>
      <w:r>
        <w:rPr>
          <w:noProof/>
          <w:spacing w:val="-8"/>
        </w:rPr>
        <w:t>All policy options</w:t>
      </w:r>
      <w:r w:rsidR="00B61D0C" w:rsidRPr="00B61D0C">
        <w:rPr>
          <w:noProof/>
          <w:spacing w:val="-8"/>
        </w:rPr>
        <w:t xml:space="preserve"> support the transformation of </w:t>
      </w:r>
      <w:r w:rsidR="006B32D6">
        <w:rPr>
          <w:noProof/>
          <w:spacing w:val="-8"/>
        </w:rPr>
        <w:t xml:space="preserve">the </w:t>
      </w:r>
      <w:r w:rsidR="00B61D0C" w:rsidRPr="00B61D0C">
        <w:rPr>
          <w:noProof/>
          <w:spacing w:val="-8"/>
        </w:rPr>
        <w:t xml:space="preserve">transport systems in ways that resonate strongly with young Europeans, who are increasingly demanding sustainable, connected, and affordable mobility solutions. Central to this shift are key measures designed to align with youth </w:t>
      </w:r>
      <w:r w:rsidR="00207656">
        <w:rPr>
          <w:noProof/>
          <w:spacing w:val="-8"/>
        </w:rPr>
        <w:t>needs</w:t>
      </w:r>
      <w:r w:rsidR="00606972">
        <w:rPr>
          <w:noProof/>
          <w:spacing w:val="-8"/>
        </w:rPr>
        <w:t xml:space="preserve">, </w:t>
      </w:r>
      <w:r w:rsidR="0046159C">
        <w:rPr>
          <w:noProof/>
          <w:spacing w:val="-8"/>
        </w:rPr>
        <w:t>and</w:t>
      </w:r>
      <w:r w:rsidR="00606972">
        <w:rPr>
          <w:noProof/>
          <w:spacing w:val="-8"/>
        </w:rPr>
        <w:t xml:space="preserve"> </w:t>
      </w:r>
      <w:r w:rsidR="0086140D">
        <w:rPr>
          <w:noProof/>
          <w:spacing w:val="-8"/>
        </w:rPr>
        <w:t>in particular</w:t>
      </w:r>
      <w:r w:rsidR="00B61D0C" w:rsidRPr="00B61D0C">
        <w:rPr>
          <w:noProof/>
          <w:spacing w:val="-8"/>
        </w:rPr>
        <w:t xml:space="preserve"> seamless travel experiences</w:t>
      </w:r>
      <w:r w:rsidR="00207656" w:rsidRPr="00207656">
        <w:rPr>
          <w:noProof/>
          <w:spacing w:val="-8"/>
        </w:rPr>
        <w:t xml:space="preserve"> </w:t>
      </w:r>
      <w:r w:rsidR="00207656" w:rsidRPr="00B61D0C">
        <w:rPr>
          <w:noProof/>
          <w:spacing w:val="-8"/>
        </w:rPr>
        <w:t xml:space="preserve">as reflected </w:t>
      </w:r>
      <w:r w:rsidR="00207656">
        <w:rPr>
          <w:noProof/>
          <w:spacing w:val="-8"/>
        </w:rPr>
        <w:t>by</w:t>
      </w:r>
      <w:r w:rsidR="00207656" w:rsidRPr="00B61D0C">
        <w:rPr>
          <w:noProof/>
          <w:spacing w:val="-8"/>
        </w:rPr>
        <w:t xml:space="preserve"> </w:t>
      </w:r>
      <w:r w:rsidR="00AE091C">
        <w:rPr>
          <w:noProof/>
          <w:spacing w:val="-8"/>
        </w:rPr>
        <w:t>POLIS</w:t>
      </w:r>
      <w:r w:rsidR="00207656">
        <w:rPr>
          <w:noProof/>
          <w:spacing w:val="-8"/>
        </w:rPr>
        <w:t xml:space="preserve"> </w:t>
      </w:r>
      <w:r w:rsidR="00207656" w:rsidRPr="005D2D60">
        <w:rPr>
          <w:noProof/>
          <w:spacing w:val="-8"/>
        </w:rPr>
        <w:t>in the targeted survey conducted in 2025</w:t>
      </w:r>
      <w:r w:rsidR="00207656">
        <w:rPr>
          <w:rStyle w:val="FootnoteReference"/>
          <w:noProof/>
          <w:spacing w:val="-8"/>
        </w:rPr>
        <w:footnoteReference w:id="203"/>
      </w:r>
      <w:r w:rsidR="003C79B2">
        <w:rPr>
          <w:noProof/>
          <w:spacing w:val="-8"/>
        </w:rPr>
        <w:t>.</w:t>
      </w:r>
      <w:r w:rsidR="00B61D0C" w:rsidRPr="00B61D0C">
        <w:rPr>
          <w:noProof/>
          <w:spacing w:val="-8"/>
        </w:rPr>
        <w:t xml:space="preserve"> </w:t>
      </w:r>
      <w:r w:rsidR="00546218">
        <w:rPr>
          <w:noProof/>
          <w:spacing w:val="-8"/>
        </w:rPr>
        <w:t xml:space="preserve">A Eurobarometer </w:t>
      </w:r>
      <w:r w:rsidR="00270EDC">
        <w:rPr>
          <w:noProof/>
          <w:spacing w:val="-8"/>
        </w:rPr>
        <w:t>conducted in 2024</w:t>
      </w:r>
      <w:r w:rsidR="00546218">
        <w:rPr>
          <w:noProof/>
          <w:spacing w:val="-8"/>
        </w:rPr>
        <w:t xml:space="preserve"> </w:t>
      </w:r>
      <w:r w:rsidR="00241AE6">
        <w:rPr>
          <w:noProof/>
          <w:spacing w:val="-8"/>
        </w:rPr>
        <w:t>shows</w:t>
      </w:r>
      <w:r w:rsidR="00546218">
        <w:rPr>
          <w:noProof/>
          <w:spacing w:val="-8"/>
        </w:rPr>
        <w:t xml:space="preserve"> youths </w:t>
      </w:r>
      <w:r w:rsidR="00B75EE6">
        <w:rPr>
          <w:noProof/>
          <w:spacing w:val="-8"/>
        </w:rPr>
        <w:t>give more importance to the environmental impact of their trips</w:t>
      </w:r>
      <w:r w:rsidR="00241AE6" w:rsidRPr="00241AE6">
        <w:rPr>
          <w:noProof/>
          <w:spacing w:val="-8"/>
        </w:rPr>
        <w:t xml:space="preserve"> and adapt their journey more frequently but also indicate they cannot always afford more sustainable options.</w:t>
      </w:r>
      <w:r w:rsidR="00F43B7D">
        <w:rPr>
          <w:noProof/>
          <w:spacing w:val="-8"/>
        </w:rPr>
        <w:t xml:space="preserve"> </w:t>
      </w:r>
      <w:r w:rsidR="00C2537C">
        <w:rPr>
          <w:noProof/>
          <w:spacing w:val="-8"/>
        </w:rPr>
        <w:t xml:space="preserve">Youths more often search for </w:t>
      </w:r>
      <w:r w:rsidR="000763D8">
        <w:rPr>
          <w:noProof/>
          <w:spacing w:val="-8"/>
        </w:rPr>
        <w:t xml:space="preserve">information on </w:t>
      </w:r>
      <w:r w:rsidR="007B4656">
        <w:rPr>
          <w:noProof/>
          <w:spacing w:val="-8"/>
        </w:rPr>
        <w:t xml:space="preserve">multimodal or multi-operator trips and more </w:t>
      </w:r>
      <w:r w:rsidR="005210C6">
        <w:rPr>
          <w:noProof/>
          <w:spacing w:val="-8"/>
        </w:rPr>
        <w:t xml:space="preserve">often </w:t>
      </w:r>
      <w:r w:rsidR="007B4656">
        <w:rPr>
          <w:noProof/>
          <w:spacing w:val="-8"/>
        </w:rPr>
        <w:t>find suitable combinations</w:t>
      </w:r>
      <w:r w:rsidR="00486EFC">
        <w:rPr>
          <w:noProof/>
          <w:spacing w:val="-8"/>
        </w:rPr>
        <w:t>,</w:t>
      </w:r>
      <w:r w:rsidR="007B4656">
        <w:rPr>
          <w:noProof/>
          <w:spacing w:val="-8"/>
        </w:rPr>
        <w:t xml:space="preserve"> but</w:t>
      </w:r>
      <w:r w:rsidR="00C2537C">
        <w:rPr>
          <w:noProof/>
          <w:spacing w:val="-8"/>
        </w:rPr>
        <w:t xml:space="preserve"> </w:t>
      </w:r>
      <w:r w:rsidR="005210C6">
        <w:rPr>
          <w:noProof/>
          <w:spacing w:val="-8"/>
        </w:rPr>
        <w:t xml:space="preserve">they also indicate more often that they did </w:t>
      </w:r>
      <w:r w:rsidR="00486EFC">
        <w:rPr>
          <w:noProof/>
          <w:spacing w:val="-8"/>
        </w:rPr>
        <w:t>not book the journey because they could not book all tickets in one place.</w:t>
      </w:r>
      <w:r w:rsidR="00486EFC" w:rsidRPr="005D2D60">
        <w:rPr>
          <w:noProof/>
          <w:spacing w:val="-8"/>
          <w:vertAlign w:val="superscript"/>
        </w:rPr>
        <w:footnoteReference w:id="204"/>
      </w:r>
      <w:r w:rsidR="00486EFC">
        <w:rPr>
          <w:noProof/>
          <w:spacing w:val="-8"/>
        </w:rPr>
        <w:t xml:space="preserve"> </w:t>
      </w:r>
      <w:r w:rsidR="00B61D0C" w:rsidRPr="00B61D0C">
        <w:rPr>
          <w:noProof/>
          <w:spacing w:val="-8"/>
        </w:rPr>
        <w:t xml:space="preserve">By </w:t>
      </w:r>
      <w:r w:rsidR="003C79B2">
        <w:rPr>
          <w:noProof/>
          <w:spacing w:val="-8"/>
        </w:rPr>
        <w:t>ensuring access to all RU offers</w:t>
      </w:r>
      <w:r w:rsidR="00975816">
        <w:rPr>
          <w:noProof/>
          <w:spacing w:val="-8"/>
        </w:rPr>
        <w:t xml:space="preserve"> (PM13)</w:t>
      </w:r>
      <w:r w:rsidR="003C79B2">
        <w:rPr>
          <w:noProof/>
          <w:spacing w:val="-8"/>
        </w:rPr>
        <w:t>, PO2, PO3</w:t>
      </w:r>
      <w:r w:rsidR="00B61D0C" w:rsidRPr="00B61D0C">
        <w:rPr>
          <w:noProof/>
          <w:spacing w:val="-8"/>
        </w:rPr>
        <w:t xml:space="preserve"> and </w:t>
      </w:r>
      <w:r w:rsidR="003C79B2">
        <w:rPr>
          <w:noProof/>
          <w:spacing w:val="-8"/>
        </w:rPr>
        <w:t>PO</w:t>
      </w:r>
      <w:r w:rsidR="00812FB9">
        <w:rPr>
          <w:noProof/>
          <w:spacing w:val="-8"/>
        </w:rPr>
        <w:t>4</w:t>
      </w:r>
      <w:r w:rsidR="00B61D0C" w:rsidRPr="00B61D0C">
        <w:rPr>
          <w:noProof/>
          <w:spacing w:val="-8"/>
        </w:rPr>
        <w:t xml:space="preserve"> eliminate fragmented booking systems</w:t>
      </w:r>
      <w:r w:rsidR="00030166">
        <w:rPr>
          <w:noProof/>
          <w:spacing w:val="-8"/>
        </w:rPr>
        <w:t xml:space="preserve"> and can directly impact younger people</w:t>
      </w:r>
      <w:r w:rsidR="00030166">
        <w:rPr>
          <w:rStyle w:val="FootnoteReference"/>
          <w:noProof/>
          <w:spacing w:val="-8"/>
        </w:rPr>
        <w:footnoteReference w:id="205"/>
      </w:r>
      <w:r w:rsidR="00B61D0C" w:rsidRPr="00B61D0C">
        <w:rPr>
          <w:noProof/>
          <w:spacing w:val="-8"/>
        </w:rPr>
        <w:t>.</w:t>
      </w:r>
      <w:r w:rsidR="00975816">
        <w:rPr>
          <w:noProof/>
          <w:spacing w:val="-8"/>
        </w:rPr>
        <w:t xml:space="preserve"> </w:t>
      </w:r>
      <w:r w:rsidR="00B61D0C" w:rsidRPr="00B61D0C">
        <w:rPr>
          <w:noProof/>
          <w:spacing w:val="-8"/>
        </w:rPr>
        <w:t>Moreover, PO2, PO3 and PO4</w:t>
      </w:r>
      <w:r w:rsidR="00975816">
        <w:rPr>
          <w:noProof/>
          <w:spacing w:val="-8"/>
        </w:rPr>
        <w:t xml:space="preserve"> </w:t>
      </w:r>
      <w:r w:rsidR="00B61D0C" w:rsidRPr="00B61D0C">
        <w:rPr>
          <w:noProof/>
          <w:spacing w:val="-8"/>
        </w:rPr>
        <w:t>expand access to multimodal and low-carbon options, directly addressing youth demand</w:t>
      </w:r>
      <w:r w:rsidR="00965A2C">
        <w:rPr>
          <w:noProof/>
          <w:spacing w:val="-8"/>
        </w:rPr>
        <w:t>,</w:t>
      </w:r>
      <w:r w:rsidR="00B61D0C" w:rsidRPr="00B61D0C">
        <w:rPr>
          <w:noProof/>
          <w:spacing w:val="-8"/>
        </w:rPr>
        <w:t xml:space="preserve"> </w:t>
      </w:r>
      <w:r w:rsidR="00C645C3">
        <w:rPr>
          <w:noProof/>
          <w:spacing w:val="-8"/>
        </w:rPr>
        <w:t xml:space="preserve">as </w:t>
      </w:r>
      <w:r w:rsidR="00424181">
        <w:rPr>
          <w:noProof/>
          <w:spacing w:val="-8"/>
        </w:rPr>
        <w:t xml:space="preserve">the Eurobarometer shows that </w:t>
      </w:r>
      <w:r w:rsidR="009660A1">
        <w:rPr>
          <w:noProof/>
          <w:spacing w:val="-8"/>
        </w:rPr>
        <w:t>use of trains and coaches is highest among respondents aged 15-24</w:t>
      </w:r>
      <w:r w:rsidR="00B819FB">
        <w:rPr>
          <w:noProof/>
          <w:spacing w:val="-8"/>
        </w:rPr>
        <w:t xml:space="preserve">, used respectively by </w:t>
      </w:r>
      <w:r w:rsidR="00DD3F84">
        <w:rPr>
          <w:noProof/>
          <w:spacing w:val="-8"/>
        </w:rPr>
        <w:t>68%</w:t>
      </w:r>
      <w:r w:rsidR="009660A1">
        <w:rPr>
          <w:noProof/>
          <w:spacing w:val="-8"/>
        </w:rPr>
        <w:t xml:space="preserve"> and </w:t>
      </w:r>
      <w:r w:rsidR="00965A2C">
        <w:rPr>
          <w:noProof/>
          <w:spacing w:val="-8"/>
        </w:rPr>
        <w:t xml:space="preserve">48% of </w:t>
      </w:r>
      <w:r w:rsidR="005003C2">
        <w:rPr>
          <w:noProof/>
          <w:spacing w:val="-8"/>
        </w:rPr>
        <w:t>this age group</w:t>
      </w:r>
      <w:r w:rsidR="00086227">
        <w:rPr>
          <w:noProof/>
          <w:spacing w:val="-8"/>
        </w:rPr>
        <w:t>.</w:t>
      </w:r>
      <w:r w:rsidR="009A4D58">
        <w:rPr>
          <w:noProof/>
          <w:spacing w:val="-8"/>
        </w:rPr>
        <w:t xml:space="preserve"> </w:t>
      </w:r>
      <w:r w:rsidR="000F2D80">
        <w:rPr>
          <w:noProof/>
          <w:spacing w:val="-8"/>
        </w:rPr>
        <w:t>PO2, PO3 and PO4 particularly</w:t>
      </w:r>
      <w:r w:rsidR="00B61D0C" w:rsidRPr="00B61D0C">
        <w:rPr>
          <w:noProof/>
          <w:spacing w:val="-8"/>
        </w:rPr>
        <w:t xml:space="preserve"> foster a transport system that mirrors youth values: digital-first, climate-conscious, and user-centric. </w:t>
      </w:r>
    </w:p>
    <w:p w14:paraId="1A78EC52" w14:textId="61F797D9" w:rsidR="005E39B8" w:rsidRPr="00D06D9F" w:rsidRDefault="00FB6570" w:rsidP="006E3FA1">
      <w:pPr>
        <w:pStyle w:val="Heading2"/>
        <w:keepNext/>
        <w:numPr>
          <w:ilvl w:val="1"/>
          <w:numId w:val="11"/>
        </w:numPr>
        <w:tabs>
          <w:tab w:val="left" w:pos="709"/>
        </w:tabs>
        <w:spacing w:before="240" w:after="240"/>
        <w:ind w:left="1134" w:hanging="708"/>
        <w:rPr>
          <w:noProof/>
        </w:rPr>
      </w:pPr>
      <w:r>
        <w:rPr>
          <w:noProof/>
        </w:rPr>
        <w:t xml:space="preserve"> </w:t>
      </w:r>
      <w:bookmarkStart w:id="188" w:name="_Ref223106505"/>
      <w:bookmarkStart w:id="189" w:name="_Toc223979983"/>
      <w:r w:rsidR="005E39B8" w:rsidRPr="00D06D9F">
        <w:rPr>
          <w:noProof/>
        </w:rPr>
        <w:t xml:space="preserve">Environmental </w:t>
      </w:r>
      <w:r w:rsidR="006B6E1B">
        <w:rPr>
          <w:noProof/>
        </w:rPr>
        <w:t>i</w:t>
      </w:r>
      <w:r w:rsidR="005E39B8" w:rsidRPr="00D06D9F">
        <w:rPr>
          <w:noProof/>
        </w:rPr>
        <w:t>mpact</w:t>
      </w:r>
      <w:r w:rsidR="006B6E1B">
        <w:rPr>
          <w:noProof/>
        </w:rPr>
        <w:t>s</w:t>
      </w:r>
      <w:bookmarkEnd w:id="188"/>
      <w:bookmarkEnd w:id="189"/>
      <w:r w:rsidR="005E39B8" w:rsidRPr="00D06D9F">
        <w:rPr>
          <w:noProof/>
        </w:rPr>
        <w:t xml:space="preserve"> </w:t>
      </w:r>
    </w:p>
    <w:p w14:paraId="2342596B" w14:textId="2ACDDC06" w:rsidR="00615163" w:rsidRPr="00615163" w:rsidRDefault="00615163" w:rsidP="00615163">
      <w:pPr>
        <w:pStyle w:val="BodyText"/>
        <w:spacing w:after="240"/>
        <w:ind w:left="0"/>
        <w:rPr>
          <w:noProof/>
          <w:spacing w:val="-8"/>
        </w:rPr>
      </w:pPr>
      <w:r w:rsidRPr="00615163">
        <w:rPr>
          <w:noProof/>
          <w:spacing w:val="-8"/>
        </w:rPr>
        <w:t>The analysis of environmental impacts covers tank-to-wheel CO</w:t>
      </w:r>
      <w:r w:rsidRPr="00D24F3E">
        <w:rPr>
          <w:noProof/>
          <w:spacing w:val="-8"/>
          <w:vertAlign w:val="subscript"/>
        </w:rPr>
        <w:t>2</w:t>
      </w:r>
      <w:r w:rsidRPr="00615163">
        <w:rPr>
          <w:noProof/>
          <w:spacing w:val="-8"/>
        </w:rPr>
        <w:t xml:space="preserve"> emissions</w:t>
      </w:r>
      <w:r w:rsidR="000D4080">
        <w:rPr>
          <w:noProof/>
          <w:spacing w:val="-8"/>
        </w:rPr>
        <w:t xml:space="preserve">, </w:t>
      </w:r>
      <w:r w:rsidRPr="00615163">
        <w:rPr>
          <w:noProof/>
          <w:spacing w:val="-8"/>
        </w:rPr>
        <w:t>air pollutant emissions (particulate matter (PM</w:t>
      </w:r>
      <w:r w:rsidR="009B6656">
        <w:rPr>
          <w:noProof/>
          <w:spacing w:val="-8"/>
        </w:rPr>
        <w:t>2.5</w:t>
      </w:r>
      <w:r w:rsidRPr="00615163">
        <w:rPr>
          <w:noProof/>
          <w:spacing w:val="-8"/>
        </w:rPr>
        <w:t>)</w:t>
      </w:r>
      <w:r w:rsidR="000D4080">
        <w:rPr>
          <w:noProof/>
          <w:spacing w:val="-8"/>
        </w:rPr>
        <w:t xml:space="preserve"> and</w:t>
      </w:r>
      <w:r w:rsidRPr="00615163">
        <w:rPr>
          <w:noProof/>
          <w:spacing w:val="-8"/>
        </w:rPr>
        <w:t xml:space="preserve"> nitrogen oxides (NOx)</w:t>
      </w:r>
      <w:r w:rsidR="00926822">
        <w:rPr>
          <w:noProof/>
          <w:spacing w:val="-8"/>
        </w:rPr>
        <w:t>) and noise</w:t>
      </w:r>
      <w:r w:rsidRPr="00615163">
        <w:rPr>
          <w:noProof/>
          <w:spacing w:val="-8"/>
        </w:rPr>
        <w:t xml:space="preserve"> emissions</w:t>
      </w:r>
      <w:r w:rsidR="000D4080">
        <w:rPr>
          <w:noProof/>
          <w:spacing w:val="-8"/>
        </w:rPr>
        <w:t>.</w:t>
      </w:r>
      <w:r w:rsidRPr="00615163">
        <w:rPr>
          <w:noProof/>
          <w:spacing w:val="-8"/>
        </w:rPr>
        <w:t xml:space="preserve"> The ASTRA model has been used to quantify the impact of the policy options on emissions</w:t>
      </w:r>
      <w:r w:rsidR="009F7A2B">
        <w:rPr>
          <w:noProof/>
          <w:spacing w:val="-8"/>
        </w:rPr>
        <w:t>, based on the modal shift each option is expected to achieve</w:t>
      </w:r>
      <w:r w:rsidR="002F24B7">
        <w:rPr>
          <w:noProof/>
          <w:spacing w:val="-8"/>
        </w:rPr>
        <w:t xml:space="preserve">. </w:t>
      </w:r>
    </w:p>
    <w:p w14:paraId="7270B225" w14:textId="213D2F80" w:rsidR="00C64D26" w:rsidRPr="00117904" w:rsidRDefault="00424338" w:rsidP="00F53CA2">
      <w:pPr>
        <w:pStyle w:val="BodyText"/>
        <w:spacing w:after="240"/>
        <w:ind w:left="0"/>
        <w:rPr>
          <w:noProof/>
          <w:spacing w:val="-8"/>
        </w:rPr>
      </w:pPr>
      <w:r w:rsidRPr="00424338">
        <w:rPr>
          <w:b/>
          <w:bCs/>
          <w:i/>
          <w:iCs/>
          <w:noProof/>
          <w:spacing w:val="-8"/>
        </w:rPr>
        <w:t>Impacts on CO</w:t>
      </w:r>
      <w:r w:rsidRPr="00424338">
        <w:rPr>
          <w:b/>
          <w:bCs/>
          <w:i/>
          <w:iCs/>
          <w:noProof/>
          <w:spacing w:val="-8"/>
          <w:vertAlign w:val="subscript"/>
        </w:rPr>
        <w:t>2</w:t>
      </w:r>
      <w:r w:rsidRPr="00424338">
        <w:rPr>
          <w:b/>
          <w:bCs/>
          <w:i/>
          <w:iCs/>
          <w:noProof/>
          <w:spacing w:val="-8"/>
        </w:rPr>
        <w:t xml:space="preserve"> emissions.</w:t>
      </w:r>
      <w:r w:rsidR="00364A9F">
        <w:rPr>
          <w:b/>
          <w:bCs/>
          <w:i/>
          <w:iCs/>
          <w:noProof/>
          <w:spacing w:val="-8"/>
        </w:rPr>
        <w:t xml:space="preserve"> </w:t>
      </w:r>
      <w:r w:rsidR="002F24B7" w:rsidRPr="00117904">
        <w:rPr>
          <w:noProof/>
          <w:spacing w:val="-8"/>
        </w:rPr>
        <w:t>The</w:t>
      </w:r>
      <w:r w:rsidR="00AB04CF" w:rsidRPr="00117904">
        <w:rPr>
          <w:noProof/>
          <w:spacing w:val="-8"/>
        </w:rPr>
        <w:t xml:space="preserve"> </w:t>
      </w:r>
      <w:r w:rsidR="00846F9A">
        <w:rPr>
          <w:noProof/>
          <w:spacing w:val="-8"/>
        </w:rPr>
        <w:t>use</w:t>
      </w:r>
      <w:r w:rsidR="002F24B7" w:rsidRPr="00117904">
        <w:rPr>
          <w:noProof/>
          <w:spacing w:val="-8"/>
        </w:rPr>
        <w:t xml:space="preserve"> of more sustainable transport </w:t>
      </w:r>
      <w:r w:rsidR="00846F9A">
        <w:rPr>
          <w:noProof/>
          <w:spacing w:val="-8"/>
        </w:rPr>
        <w:t>means</w:t>
      </w:r>
      <w:r w:rsidR="00A23A2A" w:rsidRPr="00117904">
        <w:rPr>
          <w:noProof/>
          <w:spacing w:val="-8"/>
        </w:rPr>
        <w:t>, especially trains,</w:t>
      </w:r>
      <w:r w:rsidR="002F24B7" w:rsidRPr="00117904">
        <w:rPr>
          <w:noProof/>
          <w:spacing w:val="-8"/>
        </w:rPr>
        <w:t xml:space="preserve"> is expected to </w:t>
      </w:r>
      <w:r w:rsidR="00401F3C" w:rsidRPr="00117904">
        <w:rPr>
          <w:noProof/>
          <w:spacing w:val="-8"/>
        </w:rPr>
        <w:t>reduce</w:t>
      </w:r>
      <w:r w:rsidR="002F24B7" w:rsidRPr="00117904">
        <w:rPr>
          <w:noProof/>
          <w:spacing w:val="-8"/>
        </w:rPr>
        <w:t xml:space="preserve"> CO</w:t>
      </w:r>
      <w:r w:rsidR="002F24B7" w:rsidRPr="00CD3BE0">
        <w:rPr>
          <w:noProof/>
          <w:spacing w:val="-8"/>
          <w:vertAlign w:val="subscript"/>
        </w:rPr>
        <w:t>2</w:t>
      </w:r>
      <w:r w:rsidR="002F24B7" w:rsidRPr="00117904">
        <w:rPr>
          <w:noProof/>
          <w:spacing w:val="-8"/>
        </w:rPr>
        <w:t xml:space="preserve"> emissions relative to the baseline. PO2, PO3 and PO4 are </w:t>
      </w:r>
      <w:r w:rsidR="00401F3C" w:rsidRPr="00117904">
        <w:rPr>
          <w:noProof/>
          <w:spacing w:val="-8"/>
        </w:rPr>
        <w:t>projected</w:t>
      </w:r>
      <w:r w:rsidR="002F24B7" w:rsidRPr="00117904">
        <w:rPr>
          <w:noProof/>
          <w:spacing w:val="-8"/>
        </w:rPr>
        <w:t xml:space="preserve"> to </w:t>
      </w:r>
      <w:r w:rsidR="00401F3C" w:rsidRPr="00117904">
        <w:rPr>
          <w:noProof/>
          <w:spacing w:val="-8"/>
        </w:rPr>
        <w:t xml:space="preserve">achieve </w:t>
      </w:r>
      <w:r w:rsidR="00121795">
        <w:rPr>
          <w:noProof/>
          <w:spacing w:val="-8"/>
        </w:rPr>
        <w:t xml:space="preserve">higher </w:t>
      </w:r>
      <w:r w:rsidR="008E1026" w:rsidRPr="00117904">
        <w:rPr>
          <w:noProof/>
          <w:spacing w:val="-8"/>
        </w:rPr>
        <w:t>reduction</w:t>
      </w:r>
      <w:r w:rsidR="00121795">
        <w:rPr>
          <w:noProof/>
          <w:spacing w:val="-8"/>
        </w:rPr>
        <w:t>s</w:t>
      </w:r>
      <w:r w:rsidR="00364A9F" w:rsidRPr="00117904">
        <w:rPr>
          <w:noProof/>
          <w:spacing w:val="-8"/>
        </w:rPr>
        <w:t xml:space="preserve"> in</w:t>
      </w:r>
      <w:r w:rsidR="002F24B7" w:rsidRPr="00117904">
        <w:rPr>
          <w:noProof/>
          <w:spacing w:val="-8"/>
        </w:rPr>
        <w:t xml:space="preserve"> CO</w:t>
      </w:r>
      <w:r w:rsidR="002F24B7" w:rsidRPr="00CD3BE0">
        <w:rPr>
          <w:noProof/>
          <w:spacing w:val="-8"/>
          <w:vertAlign w:val="subscript"/>
        </w:rPr>
        <w:t>2</w:t>
      </w:r>
      <w:r w:rsidR="002F24B7" w:rsidRPr="00117904">
        <w:rPr>
          <w:noProof/>
          <w:spacing w:val="-8"/>
        </w:rPr>
        <w:t xml:space="preserve"> emissions than PO1</w:t>
      </w:r>
      <w:r w:rsidR="00A54901" w:rsidRPr="00117904">
        <w:rPr>
          <w:noProof/>
          <w:spacing w:val="-8"/>
        </w:rPr>
        <w:t xml:space="preserve">, with PO3 </w:t>
      </w:r>
      <w:r w:rsidR="00B71C02" w:rsidRPr="00117904">
        <w:rPr>
          <w:noProof/>
          <w:spacing w:val="-8"/>
        </w:rPr>
        <w:t xml:space="preserve">anticipated to </w:t>
      </w:r>
      <w:r w:rsidR="005E709F" w:rsidRPr="00117904">
        <w:rPr>
          <w:noProof/>
          <w:spacing w:val="-8"/>
        </w:rPr>
        <w:t>deliver</w:t>
      </w:r>
      <w:r w:rsidR="00A54901" w:rsidRPr="00117904">
        <w:rPr>
          <w:noProof/>
          <w:spacing w:val="-8"/>
        </w:rPr>
        <w:t xml:space="preserve"> the </w:t>
      </w:r>
      <w:r w:rsidR="005E1622">
        <w:rPr>
          <w:noProof/>
          <w:spacing w:val="-8"/>
        </w:rPr>
        <w:t>highest</w:t>
      </w:r>
      <w:r w:rsidR="00A54901" w:rsidRPr="00117904">
        <w:rPr>
          <w:noProof/>
          <w:spacing w:val="-8"/>
        </w:rPr>
        <w:t xml:space="preserve"> decrease</w:t>
      </w:r>
      <w:r w:rsidR="00364A9F" w:rsidRPr="00117904">
        <w:rPr>
          <w:noProof/>
          <w:spacing w:val="-8"/>
        </w:rPr>
        <w:t xml:space="preserve">. </w:t>
      </w:r>
      <w:r w:rsidR="001A3B21" w:rsidRPr="00117904">
        <w:rPr>
          <w:noProof/>
          <w:spacing w:val="-8"/>
        </w:rPr>
        <w:t xml:space="preserve">PO1 </w:t>
      </w:r>
      <w:r w:rsidR="005E709F" w:rsidRPr="00117904">
        <w:rPr>
          <w:noProof/>
          <w:spacing w:val="-8"/>
        </w:rPr>
        <w:t>result</w:t>
      </w:r>
      <w:r w:rsidR="003A2582">
        <w:rPr>
          <w:noProof/>
          <w:spacing w:val="-8"/>
        </w:rPr>
        <w:t>s</w:t>
      </w:r>
      <w:r w:rsidR="005E709F" w:rsidRPr="00117904">
        <w:rPr>
          <w:noProof/>
          <w:spacing w:val="-8"/>
        </w:rPr>
        <w:t xml:space="preserve"> in relatively</w:t>
      </w:r>
      <w:r w:rsidR="001A3B21" w:rsidRPr="00117904">
        <w:rPr>
          <w:noProof/>
          <w:spacing w:val="-8"/>
        </w:rPr>
        <w:t xml:space="preserve"> limited modal shift</w:t>
      </w:r>
      <w:r w:rsidR="005E709F" w:rsidRPr="00117904">
        <w:rPr>
          <w:noProof/>
          <w:spacing w:val="-8"/>
        </w:rPr>
        <w:t xml:space="preserve"> when</w:t>
      </w:r>
      <w:r w:rsidR="001A3B21" w:rsidRPr="00117904">
        <w:rPr>
          <w:noProof/>
          <w:spacing w:val="-8"/>
        </w:rPr>
        <w:t xml:space="preserve"> </w:t>
      </w:r>
      <w:r w:rsidR="004F718E" w:rsidRPr="00117904">
        <w:rPr>
          <w:noProof/>
          <w:spacing w:val="-8"/>
        </w:rPr>
        <w:t xml:space="preserve">compared to the </w:t>
      </w:r>
      <w:r w:rsidR="00723D59" w:rsidRPr="00117904">
        <w:rPr>
          <w:noProof/>
          <w:spacing w:val="-8"/>
        </w:rPr>
        <w:t>other</w:t>
      </w:r>
      <w:r w:rsidR="004F718E" w:rsidRPr="00117904">
        <w:rPr>
          <w:noProof/>
          <w:spacing w:val="-8"/>
        </w:rPr>
        <w:t xml:space="preserve"> POs</w:t>
      </w:r>
      <w:r w:rsidR="00A54901" w:rsidRPr="00117904">
        <w:rPr>
          <w:noProof/>
          <w:spacing w:val="-8"/>
        </w:rPr>
        <w:t>.</w:t>
      </w:r>
      <w:r w:rsidR="004F718E" w:rsidRPr="00117904">
        <w:rPr>
          <w:noProof/>
          <w:spacing w:val="-8"/>
        </w:rPr>
        <w:t xml:space="preserve"> </w:t>
      </w:r>
      <w:r w:rsidR="0055258A">
        <w:rPr>
          <w:noProof/>
          <w:spacing w:val="-8"/>
        </w:rPr>
        <w:t>Thus</w:t>
      </w:r>
      <w:r w:rsidR="00551871" w:rsidRPr="00117904">
        <w:rPr>
          <w:noProof/>
          <w:spacing w:val="-8"/>
        </w:rPr>
        <w:t>,</w:t>
      </w:r>
      <w:r w:rsidR="003F1828" w:rsidRPr="00117904">
        <w:rPr>
          <w:noProof/>
          <w:spacing w:val="-8"/>
        </w:rPr>
        <w:t xml:space="preserve"> the reduction</w:t>
      </w:r>
      <w:r w:rsidR="00364A9F" w:rsidRPr="00117904">
        <w:rPr>
          <w:noProof/>
          <w:spacing w:val="-8"/>
        </w:rPr>
        <w:t xml:space="preserve"> </w:t>
      </w:r>
      <w:r w:rsidR="003F1828" w:rsidRPr="00117904">
        <w:rPr>
          <w:noProof/>
          <w:spacing w:val="-8"/>
        </w:rPr>
        <w:t>in</w:t>
      </w:r>
      <w:r w:rsidR="005E1CC2" w:rsidRPr="00117904">
        <w:rPr>
          <w:noProof/>
          <w:spacing w:val="-8"/>
        </w:rPr>
        <w:t xml:space="preserve"> CO</w:t>
      </w:r>
      <w:r w:rsidR="005E1CC2" w:rsidRPr="00CD3BE0">
        <w:rPr>
          <w:noProof/>
          <w:spacing w:val="-8"/>
          <w:vertAlign w:val="subscript"/>
        </w:rPr>
        <w:t>2</w:t>
      </w:r>
      <w:r w:rsidR="005E1CC2" w:rsidRPr="00117904">
        <w:rPr>
          <w:noProof/>
          <w:spacing w:val="-8"/>
        </w:rPr>
        <w:t xml:space="preserve"> emissions </w:t>
      </w:r>
      <w:r w:rsidR="003F1828" w:rsidRPr="00117904">
        <w:rPr>
          <w:noProof/>
          <w:spacing w:val="-8"/>
        </w:rPr>
        <w:t xml:space="preserve">for PO1 </w:t>
      </w:r>
      <w:r w:rsidR="005E1CC2" w:rsidRPr="00117904">
        <w:rPr>
          <w:noProof/>
          <w:spacing w:val="-8"/>
        </w:rPr>
        <w:t xml:space="preserve">is </w:t>
      </w:r>
      <w:r w:rsidR="0055258A">
        <w:rPr>
          <w:noProof/>
          <w:spacing w:val="-8"/>
        </w:rPr>
        <w:t xml:space="preserve">more limited and </w:t>
      </w:r>
      <w:r w:rsidR="005E1CC2" w:rsidRPr="00117904">
        <w:rPr>
          <w:noProof/>
          <w:spacing w:val="-8"/>
        </w:rPr>
        <w:t xml:space="preserve">estimated at </w:t>
      </w:r>
      <w:r w:rsidR="000F3425" w:rsidRPr="00117904" w:rsidDel="00C1435A">
        <w:rPr>
          <w:noProof/>
          <w:spacing w:val="-8"/>
        </w:rPr>
        <w:t>8</w:t>
      </w:r>
      <w:r w:rsidR="00C1435A">
        <w:rPr>
          <w:noProof/>
          <w:spacing w:val="-8"/>
        </w:rPr>
        <w:t>.3 million</w:t>
      </w:r>
      <w:r w:rsidR="000F3425" w:rsidRPr="00117904" w:rsidDel="00C1435A">
        <w:rPr>
          <w:noProof/>
          <w:spacing w:val="-8"/>
        </w:rPr>
        <w:t xml:space="preserve"> </w:t>
      </w:r>
      <w:r w:rsidR="002F24B7" w:rsidRPr="00117904">
        <w:rPr>
          <w:noProof/>
          <w:spacing w:val="-8"/>
        </w:rPr>
        <w:t>tonnes</w:t>
      </w:r>
      <w:r w:rsidR="0055258A">
        <w:rPr>
          <w:noProof/>
          <w:spacing w:val="-8"/>
        </w:rPr>
        <w:t xml:space="preserve"> cumulatively over 2028-2050</w:t>
      </w:r>
      <w:r w:rsidR="004977CF">
        <w:rPr>
          <w:noProof/>
          <w:spacing w:val="-8"/>
        </w:rPr>
        <w:t xml:space="preserve"> relative to the baseline</w:t>
      </w:r>
      <w:r w:rsidR="003F1828" w:rsidRPr="00117904">
        <w:rPr>
          <w:noProof/>
          <w:spacing w:val="-8"/>
        </w:rPr>
        <w:t xml:space="preserve">. </w:t>
      </w:r>
      <w:r w:rsidR="000C1A25">
        <w:rPr>
          <w:noProof/>
          <w:spacing w:val="-8"/>
        </w:rPr>
        <w:t>PO3 results in the highest impact among the options</w:t>
      </w:r>
      <w:r w:rsidR="000940ED">
        <w:rPr>
          <w:noProof/>
          <w:spacing w:val="-8"/>
        </w:rPr>
        <w:t>,</w:t>
      </w:r>
      <w:r w:rsidR="000C1A25">
        <w:rPr>
          <w:noProof/>
          <w:spacing w:val="-8"/>
        </w:rPr>
        <w:t xml:space="preserve"> </w:t>
      </w:r>
      <w:r w:rsidR="000940ED">
        <w:rPr>
          <w:noProof/>
          <w:spacing w:val="-8"/>
        </w:rPr>
        <w:t xml:space="preserve">cumulatively over 2028-2050 relative to the baseline, estimated at </w:t>
      </w:r>
      <w:r w:rsidR="00014860">
        <w:rPr>
          <w:noProof/>
          <w:spacing w:val="-8"/>
        </w:rPr>
        <w:t xml:space="preserve">23.8 million tonnes, followed by PO4 (18.1 million tonnes) </w:t>
      </w:r>
      <w:r w:rsidR="00EC5848">
        <w:rPr>
          <w:noProof/>
          <w:spacing w:val="-8"/>
        </w:rPr>
        <w:t xml:space="preserve">and PO2 (16.5 million tonnes). </w:t>
      </w:r>
      <w:r w:rsidR="00351C31">
        <w:rPr>
          <w:noProof/>
          <w:spacing w:val="-8"/>
        </w:rPr>
        <w:t>Cumulatively over 2028-2050, PO</w:t>
      </w:r>
      <w:r w:rsidR="000F5876">
        <w:rPr>
          <w:noProof/>
          <w:spacing w:val="-8"/>
        </w:rPr>
        <w:t>3 is expected to result in 0.5% reduction in CO</w:t>
      </w:r>
      <w:r w:rsidR="000F5876" w:rsidRPr="000B407C">
        <w:rPr>
          <w:noProof/>
          <w:spacing w:val="-8"/>
          <w:vertAlign w:val="subscript"/>
        </w:rPr>
        <w:t>2</w:t>
      </w:r>
      <w:r w:rsidR="000F5876">
        <w:rPr>
          <w:noProof/>
          <w:spacing w:val="-8"/>
        </w:rPr>
        <w:t xml:space="preserve"> emissions relative to the baseline</w:t>
      </w:r>
      <w:r w:rsidR="00876005">
        <w:rPr>
          <w:noProof/>
          <w:spacing w:val="-8"/>
        </w:rPr>
        <w:t xml:space="preserve">, PO4 and PO2 in </w:t>
      </w:r>
      <w:r w:rsidR="009511D4">
        <w:rPr>
          <w:noProof/>
          <w:spacing w:val="-8"/>
        </w:rPr>
        <w:t>0.3% reduction and PO1 in 0.</w:t>
      </w:r>
      <w:r w:rsidR="0077659A">
        <w:rPr>
          <w:noProof/>
          <w:spacing w:val="-8"/>
        </w:rPr>
        <w:t>2</w:t>
      </w:r>
      <w:r w:rsidR="009511D4">
        <w:rPr>
          <w:noProof/>
          <w:spacing w:val="-8"/>
        </w:rPr>
        <w:t xml:space="preserve">% reduction. </w:t>
      </w:r>
      <w:r w:rsidR="00E60975">
        <w:rPr>
          <w:noProof/>
          <w:spacing w:val="-8"/>
        </w:rPr>
        <w:t xml:space="preserve">As shown in </w:t>
      </w:r>
      <w:r w:rsidR="00BB05EB">
        <w:rPr>
          <w:noProof/>
          <w:spacing w:val="-8"/>
        </w:rPr>
        <w:t>the table below</w:t>
      </w:r>
      <w:r w:rsidR="008C4772">
        <w:rPr>
          <w:noProof/>
          <w:spacing w:val="-8"/>
        </w:rPr>
        <w:t>,</w:t>
      </w:r>
      <w:r w:rsidR="00521CF0" w:rsidRPr="00771830">
        <w:rPr>
          <w:noProof/>
          <w:spacing w:val="-8"/>
        </w:rPr>
        <w:t xml:space="preserve"> </w:t>
      </w:r>
      <w:r w:rsidR="001C7095">
        <w:rPr>
          <w:noProof/>
          <w:spacing w:val="-8"/>
        </w:rPr>
        <w:t>the reduction in CO</w:t>
      </w:r>
      <w:r w:rsidR="001C7095" w:rsidRPr="000B407C">
        <w:rPr>
          <w:noProof/>
          <w:spacing w:val="-8"/>
          <w:vertAlign w:val="subscript"/>
        </w:rPr>
        <w:t>2</w:t>
      </w:r>
      <w:r w:rsidR="001C7095">
        <w:rPr>
          <w:noProof/>
          <w:spacing w:val="-8"/>
        </w:rPr>
        <w:t xml:space="preserve"> emissions </w:t>
      </w:r>
      <w:r w:rsidR="00E43FF8">
        <w:rPr>
          <w:noProof/>
          <w:spacing w:val="-8"/>
        </w:rPr>
        <w:t xml:space="preserve">relative to the baseline is </w:t>
      </w:r>
      <w:r w:rsidR="00D972F2">
        <w:rPr>
          <w:noProof/>
          <w:spacing w:val="-8"/>
        </w:rPr>
        <w:t>projected</w:t>
      </w:r>
      <w:r w:rsidR="00E43FF8">
        <w:rPr>
          <w:noProof/>
          <w:spacing w:val="-8"/>
        </w:rPr>
        <w:t xml:space="preserve"> to reduce over time </w:t>
      </w:r>
      <w:r w:rsidR="00F968E1">
        <w:rPr>
          <w:noProof/>
          <w:spacing w:val="-8"/>
        </w:rPr>
        <w:t xml:space="preserve">in all policy options. This is because of the </w:t>
      </w:r>
      <w:r w:rsidR="00845EC8">
        <w:rPr>
          <w:noProof/>
          <w:spacing w:val="-8"/>
        </w:rPr>
        <w:t>decarbonisation of the transport sector over time</w:t>
      </w:r>
      <w:r w:rsidR="00D9320E">
        <w:rPr>
          <w:noProof/>
          <w:spacing w:val="-8"/>
        </w:rPr>
        <w:t xml:space="preserve"> in the baseline</w:t>
      </w:r>
      <w:r w:rsidR="00845EC8">
        <w:rPr>
          <w:noProof/>
          <w:spacing w:val="-8"/>
        </w:rPr>
        <w:t xml:space="preserve">. </w:t>
      </w:r>
      <w:r w:rsidR="008E7D37">
        <w:rPr>
          <w:noProof/>
          <w:spacing w:val="-8"/>
        </w:rPr>
        <w:t>The</w:t>
      </w:r>
      <w:r w:rsidR="00A853C4" w:rsidRPr="00117904" w:rsidDel="006D0947">
        <w:rPr>
          <w:noProof/>
          <w:spacing w:val="-8"/>
        </w:rPr>
        <w:t xml:space="preserve"> </w:t>
      </w:r>
      <w:r w:rsidR="00A853C4" w:rsidRPr="00117904">
        <w:rPr>
          <w:noProof/>
          <w:spacing w:val="-8"/>
        </w:rPr>
        <w:t>savings</w:t>
      </w:r>
      <w:r w:rsidR="006D0947">
        <w:rPr>
          <w:noProof/>
          <w:spacing w:val="-8"/>
        </w:rPr>
        <w:t xml:space="preserve"> in external costs of CO</w:t>
      </w:r>
      <w:r w:rsidR="006D0947" w:rsidRPr="00221ACF">
        <w:rPr>
          <w:noProof/>
          <w:spacing w:val="-8"/>
          <w:vertAlign w:val="subscript"/>
        </w:rPr>
        <w:t>2</w:t>
      </w:r>
      <w:r w:rsidR="006D0947">
        <w:rPr>
          <w:noProof/>
          <w:spacing w:val="-8"/>
        </w:rPr>
        <w:t xml:space="preserve"> emissions</w:t>
      </w:r>
      <w:r w:rsidR="00930C68" w:rsidRPr="00117904">
        <w:rPr>
          <w:noProof/>
          <w:spacing w:val="-8"/>
        </w:rPr>
        <w:t>, expressed as present value over 2028-2050</w:t>
      </w:r>
      <w:r w:rsidR="006D0947">
        <w:rPr>
          <w:noProof/>
          <w:spacing w:val="-8"/>
        </w:rPr>
        <w:t xml:space="preserve"> relative to the baseline,</w:t>
      </w:r>
      <w:r w:rsidR="00482D79">
        <w:rPr>
          <w:noProof/>
          <w:spacing w:val="-8"/>
        </w:rPr>
        <w:t xml:space="preserve"> are estimated to be highest in PO3 (EUR </w:t>
      </w:r>
      <w:r w:rsidR="00615A98">
        <w:rPr>
          <w:noProof/>
          <w:spacing w:val="-8"/>
        </w:rPr>
        <w:t>6.8 billion), followed by PO4</w:t>
      </w:r>
      <w:r w:rsidR="00516D78">
        <w:rPr>
          <w:noProof/>
          <w:spacing w:val="-8"/>
        </w:rPr>
        <w:t xml:space="preserve"> (EUR 5.2 billion), PO2 (EUR 4.7 billion) and PO1 (EUR 2.4 billion)</w:t>
      </w:r>
      <w:r w:rsidR="0010493A">
        <w:rPr>
          <w:rStyle w:val="FootnoteReference"/>
          <w:noProof/>
          <w:spacing w:val="-8"/>
        </w:rPr>
        <w:footnoteReference w:id="206"/>
      </w:r>
      <w:r w:rsidR="00B6528B" w:rsidRPr="00117904">
        <w:rPr>
          <w:noProof/>
          <w:spacing w:val="-8"/>
        </w:rPr>
        <w:t>.</w:t>
      </w:r>
    </w:p>
    <w:p w14:paraId="73FBF6CA" w14:textId="7F8AF721" w:rsidR="00AF46E3" w:rsidRPr="0058558C" w:rsidRDefault="00424338" w:rsidP="00424338">
      <w:pPr>
        <w:pStyle w:val="BodyText"/>
        <w:spacing w:after="240"/>
        <w:ind w:left="0"/>
        <w:rPr>
          <w:noProof/>
          <w:spacing w:val="-8"/>
        </w:rPr>
      </w:pPr>
      <w:r w:rsidRPr="008A09A2">
        <w:rPr>
          <w:b/>
          <w:i/>
          <w:noProof/>
          <w:spacing w:val="-8"/>
          <w:lang w:val="fr-FR"/>
        </w:rPr>
        <w:t xml:space="preserve">Impacts on air </w:t>
      </w:r>
      <w:r w:rsidR="00AE4865" w:rsidRPr="008A09A2">
        <w:rPr>
          <w:b/>
          <w:i/>
          <w:noProof/>
          <w:spacing w:val="-8"/>
          <w:lang w:val="fr-FR"/>
        </w:rPr>
        <w:t>pollutant</w:t>
      </w:r>
      <w:r w:rsidRPr="008A09A2">
        <w:rPr>
          <w:b/>
          <w:i/>
          <w:noProof/>
          <w:spacing w:val="-8"/>
          <w:lang w:val="fr-FR"/>
        </w:rPr>
        <w:t xml:space="preserve"> emissions.</w:t>
      </w:r>
      <w:r w:rsidR="00524E2F" w:rsidRPr="008A09A2">
        <w:rPr>
          <w:noProof/>
          <w:spacing w:val="-8"/>
          <w:lang w:val="fr-FR"/>
        </w:rPr>
        <w:t xml:space="preserve"> </w:t>
      </w:r>
      <w:r w:rsidR="00C42B44" w:rsidRPr="00D54FF9">
        <w:rPr>
          <w:noProof/>
          <w:spacing w:val="-8"/>
        </w:rPr>
        <w:t>Similarly to CO</w:t>
      </w:r>
      <w:r w:rsidR="00C42B44" w:rsidRPr="00D54FF9">
        <w:rPr>
          <w:noProof/>
          <w:spacing w:val="-8"/>
          <w:vertAlign w:val="subscript"/>
        </w:rPr>
        <w:t>2</w:t>
      </w:r>
      <w:r w:rsidR="00C42B44" w:rsidRPr="00D54FF9">
        <w:rPr>
          <w:noProof/>
          <w:spacing w:val="-8"/>
        </w:rPr>
        <w:t xml:space="preserve"> emissions, the reduction in air </w:t>
      </w:r>
      <w:r w:rsidR="00C005EE" w:rsidRPr="00D54FF9">
        <w:rPr>
          <w:noProof/>
          <w:spacing w:val="-8"/>
        </w:rPr>
        <w:t xml:space="preserve">pollutant </w:t>
      </w:r>
      <w:r w:rsidR="004B565A" w:rsidRPr="00D54FF9">
        <w:rPr>
          <w:noProof/>
          <w:spacing w:val="-8"/>
        </w:rPr>
        <w:t>emissions</w:t>
      </w:r>
      <w:r w:rsidR="00C42B44" w:rsidRPr="00D54FF9">
        <w:rPr>
          <w:noProof/>
          <w:spacing w:val="-8"/>
        </w:rPr>
        <w:t xml:space="preserve"> is</w:t>
      </w:r>
      <w:r w:rsidR="00C42B44">
        <w:rPr>
          <w:noProof/>
          <w:spacing w:val="-8"/>
        </w:rPr>
        <w:t xml:space="preserve"> </w:t>
      </w:r>
      <w:r w:rsidR="00B138DA">
        <w:rPr>
          <w:noProof/>
          <w:spacing w:val="-8"/>
        </w:rPr>
        <w:t xml:space="preserve">mainly driven by the higher use of more sustainable transport </w:t>
      </w:r>
      <w:r w:rsidR="004B565A">
        <w:rPr>
          <w:noProof/>
          <w:spacing w:val="-8"/>
        </w:rPr>
        <w:t>means</w:t>
      </w:r>
      <w:r w:rsidR="00B138DA">
        <w:rPr>
          <w:noProof/>
          <w:spacing w:val="-8"/>
        </w:rPr>
        <w:t xml:space="preserve"> and optimised trips. Cumulatively over </w:t>
      </w:r>
      <w:r w:rsidR="0063516E">
        <w:rPr>
          <w:noProof/>
          <w:spacing w:val="-8"/>
        </w:rPr>
        <w:t>2028</w:t>
      </w:r>
      <w:r w:rsidR="00B138DA">
        <w:rPr>
          <w:noProof/>
          <w:spacing w:val="-8"/>
        </w:rPr>
        <w:t>-2050</w:t>
      </w:r>
      <w:r w:rsidR="005329E0">
        <w:rPr>
          <w:noProof/>
          <w:spacing w:val="-8"/>
        </w:rPr>
        <w:t xml:space="preserve">, </w:t>
      </w:r>
      <w:r w:rsidR="00511224">
        <w:rPr>
          <w:noProof/>
          <w:spacing w:val="-8"/>
        </w:rPr>
        <w:t>the highest reduction in</w:t>
      </w:r>
      <w:r w:rsidR="005329E0" w:rsidDel="0063516E">
        <w:rPr>
          <w:noProof/>
          <w:spacing w:val="-8"/>
        </w:rPr>
        <w:t xml:space="preserve"> </w:t>
      </w:r>
      <w:r w:rsidR="0063516E">
        <w:rPr>
          <w:noProof/>
          <w:spacing w:val="-8"/>
        </w:rPr>
        <w:t xml:space="preserve">NOx </w:t>
      </w:r>
      <w:r w:rsidR="005329E0">
        <w:rPr>
          <w:noProof/>
          <w:spacing w:val="-8"/>
        </w:rPr>
        <w:t>emissions</w:t>
      </w:r>
      <w:r w:rsidR="00A31339">
        <w:rPr>
          <w:noProof/>
          <w:spacing w:val="-8"/>
        </w:rPr>
        <w:t xml:space="preserve"> relative to the baseline</w:t>
      </w:r>
      <w:r w:rsidR="00BF776A">
        <w:rPr>
          <w:noProof/>
          <w:spacing w:val="-8"/>
        </w:rPr>
        <w:t xml:space="preserve"> </w:t>
      </w:r>
      <w:r w:rsidR="00511224">
        <w:rPr>
          <w:noProof/>
          <w:spacing w:val="-8"/>
        </w:rPr>
        <w:t>is projected in PO3 (</w:t>
      </w:r>
      <w:r w:rsidR="000F0F0B">
        <w:rPr>
          <w:noProof/>
          <w:spacing w:val="-8"/>
        </w:rPr>
        <w:t>23.9 thousand tonnes)</w:t>
      </w:r>
      <w:r w:rsidR="008C2200">
        <w:rPr>
          <w:noProof/>
          <w:spacing w:val="-8"/>
        </w:rPr>
        <w:t>, followed by PO4 (</w:t>
      </w:r>
      <w:r w:rsidR="008E12A8">
        <w:rPr>
          <w:noProof/>
          <w:spacing w:val="-8"/>
        </w:rPr>
        <w:t>17.9 thousand tonnes), PO2 (16.2 thousand tonnes) and PO1 (</w:t>
      </w:r>
      <w:r w:rsidR="00576749">
        <w:rPr>
          <w:noProof/>
          <w:spacing w:val="-8"/>
        </w:rPr>
        <w:t xml:space="preserve">7.7 thousand tonnes). </w:t>
      </w:r>
      <w:r w:rsidR="00051BE5">
        <w:rPr>
          <w:noProof/>
          <w:spacing w:val="-8"/>
        </w:rPr>
        <w:t xml:space="preserve">This represents a decrease </w:t>
      </w:r>
      <w:r w:rsidR="00EC65DE">
        <w:rPr>
          <w:noProof/>
          <w:spacing w:val="-8"/>
        </w:rPr>
        <w:t>by</w:t>
      </w:r>
      <w:r w:rsidR="00051BE5">
        <w:rPr>
          <w:noProof/>
          <w:spacing w:val="-8"/>
        </w:rPr>
        <w:t xml:space="preserve"> 0.2% relative to the baseline </w:t>
      </w:r>
      <w:r w:rsidR="00B26DDC">
        <w:rPr>
          <w:noProof/>
          <w:spacing w:val="-8"/>
        </w:rPr>
        <w:t xml:space="preserve">in PO3 and </w:t>
      </w:r>
      <w:r w:rsidR="00F060D7">
        <w:rPr>
          <w:noProof/>
          <w:spacing w:val="-8"/>
        </w:rPr>
        <w:t>around 0.1% in PO</w:t>
      </w:r>
      <w:r w:rsidR="00CB7F52">
        <w:rPr>
          <w:noProof/>
          <w:spacing w:val="-8"/>
        </w:rPr>
        <w:t xml:space="preserve">4, PO2 and PO1. </w:t>
      </w:r>
      <w:r w:rsidR="00C41D62">
        <w:rPr>
          <w:noProof/>
          <w:spacing w:val="-8"/>
        </w:rPr>
        <w:t>As for CO</w:t>
      </w:r>
      <w:r w:rsidR="00C41D62" w:rsidRPr="0093309B">
        <w:rPr>
          <w:noProof/>
          <w:spacing w:val="-8"/>
          <w:vertAlign w:val="subscript"/>
        </w:rPr>
        <w:t>2</w:t>
      </w:r>
      <w:r w:rsidR="00C41D62">
        <w:rPr>
          <w:noProof/>
          <w:spacing w:val="-8"/>
        </w:rPr>
        <w:t xml:space="preserve"> emissions and NOx emissions, the highest reduction in particulate </w:t>
      </w:r>
      <w:r w:rsidR="00C46F26">
        <w:rPr>
          <w:noProof/>
          <w:spacing w:val="-8"/>
        </w:rPr>
        <w:t>matter (PM2.5) emissions</w:t>
      </w:r>
      <w:r w:rsidR="00CB25E8">
        <w:rPr>
          <w:noProof/>
          <w:spacing w:val="-8"/>
        </w:rPr>
        <w:t>,</w:t>
      </w:r>
      <w:r w:rsidR="00C46F26">
        <w:rPr>
          <w:noProof/>
          <w:spacing w:val="-8"/>
        </w:rPr>
        <w:t xml:space="preserve"> </w:t>
      </w:r>
      <w:r w:rsidR="00D0289A">
        <w:rPr>
          <w:noProof/>
          <w:spacing w:val="-8"/>
        </w:rPr>
        <w:t>cumulatively over 2028-2050</w:t>
      </w:r>
      <w:r w:rsidR="00CB25E8">
        <w:rPr>
          <w:noProof/>
          <w:spacing w:val="-8"/>
        </w:rPr>
        <w:t>,</w:t>
      </w:r>
      <w:r w:rsidR="00D0289A">
        <w:rPr>
          <w:noProof/>
          <w:spacing w:val="-8"/>
        </w:rPr>
        <w:t xml:space="preserve"> is estimated </w:t>
      </w:r>
      <w:r w:rsidR="00CB25E8">
        <w:rPr>
          <w:noProof/>
          <w:spacing w:val="-8"/>
        </w:rPr>
        <w:t>for PO3 (1.5 thousand tonnes), followed by PO4 (1.1 thousand tonnes), PO2 (</w:t>
      </w:r>
      <w:r w:rsidR="00342497">
        <w:rPr>
          <w:noProof/>
          <w:spacing w:val="-8"/>
        </w:rPr>
        <w:t>1 thousand</w:t>
      </w:r>
      <w:r w:rsidR="00CB25E8">
        <w:rPr>
          <w:noProof/>
          <w:spacing w:val="-8"/>
        </w:rPr>
        <w:t xml:space="preserve"> tonnes) and PO1 (</w:t>
      </w:r>
      <w:r w:rsidR="00342497">
        <w:rPr>
          <w:noProof/>
          <w:spacing w:val="-8"/>
        </w:rPr>
        <w:t>0.4 thousand</w:t>
      </w:r>
      <w:r w:rsidR="00A348A2">
        <w:rPr>
          <w:noProof/>
          <w:spacing w:val="-8"/>
        </w:rPr>
        <w:t xml:space="preserve"> tonnes). </w:t>
      </w:r>
      <w:r w:rsidR="001531B8">
        <w:rPr>
          <w:noProof/>
          <w:spacing w:val="-8"/>
        </w:rPr>
        <w:t>Thus,</w:t>
      </w:r>
      <w:r w:rsidR="00A348A2">
        <w:rPr>
          <w:noProof/>
          <w:spacing w:val="-8"/>
        </w:rPr>
        <w:t xml:space="preserve"> </w:t>
      </w:r>
      <w:r w:rsidR="001531B8">
        <w:rPr>
          <w:noProof/>
          <w:spacing w:val="-8"/>
        </w:rPr>
        <w:t>t</w:t>
      </w:r>
      <w:r w:rsidR="00655006">
        <w:rPr>
          <w:noProof/>
          <w:spacing w:val="-8"/>
        </w:rPr>
        <w:t>he</w:t>
      </w:r>
      <w:r w:rsidR="00655006" w:rsidRPr="00117904">
        <w:rPr>
          <w:noProof/>
          <w:spacing w:val="-8"/>
        </w:rPr>
        <w:t xml:space="preserve"> savings</w:t>
      </w:r>
      <w:r w:rsidR="00655006">
        <w:rPr>
          <w:noProof/>
          <w:spacing w:val="-8"/>
        </w:rPr>
        <w:t xml:space="preserve"> in external costs of air pollution emissions</w:t>
      </w:r>
      <w:r w:rsidR="00655006" w:rsidRPr="00117904">
        <w:rPr>
          <w:noProof/>
          <w:spacing w:val="-8"/>
        </w:rPr>
        <w:t>, expressed as present value over 2028-2050</w:t>
      </w:r>
      <w:r w:rsidR="00655006">
        <w:rPr>
          <w:noProof/>
          <w:spacing w:val="-8"/>
        </w:rPr>
        <w:t xml:space="preserve"> relative</w:t>
      </w:r>
      <w:r w:rsidR="00021238" w:rsidRPr="00117904">
        <w:rPr>
          <w:noProof/>
          <w:spacing w:val="-8"/>
        </w:rPr>
        <w:t xml:space="preserve"> to </w:t>
      </w:r>
      <w:r w:rsidR="00655006">
        <w:rPr>
          <w:noProof/>
          <w:spacing w:val="-8"/>
        </w:rPr>
        <w:t>the baseline</w:t>
      </w:r>
      <w:r w:rsidR="003E6AE2">
        <w:rPr>
          <w:noProof/>
          <w:spacing w:val="-8"/>
        </w:rPr>
        <w:t xml:space="preserve">, are </w:t>
      </w:r>
      <w:r w:rsidR="00657677">
        <w:rPr>
          <w:noProof/>
          <w:spacing w:val="-8"/>
        </w:rPr>
        <w:t>projected</w:t>
      </w:r>
      <w:r w:rsidR="00021238" w:rsidRPr="00117904">
        <w:rPr>
          <w:noProof/>
          <w:spacing w:val="-8"/>
        </w:rPr>
        <w:t xml:space="preserve"> at </w:t>
      </w:r>
      <w:r w:rsidR="00021238">
        <w:rPr>
          <w:noProof/>
          <w:spacing w:val="-8"/>
        </w:rPr>
        <w:t xml:space="preserve">EUR 218 million </w:t>
      </w:r>
      <w:r w:rsidR="002A59A5">
        <w:rPr>
          <w:noProof/>
          <w:spacing w:val="-8"/>
        </w:rPr>
        <w:t>in</w:t>
      </w:r>
      <w:r w:rsidR="00021238">
        <w:rPr>
          <w:noProof/>
          <w:spacing w:val="-8"/>
        </w:rPr>
        <w:t xml:space="preserve"> PO1, EUR 455 million in PO2, EUR 670 million in PO3 and EUR 502 million in PO4</w:t>
      </w:r>
      <w:r w:rsidR="00B87107">
        <w:rPr>
          <w:rStyle w:val="FootnoteReference"/>
          <w:noProof/>
          <w:spacing w:val="-8"/>
        </w:rPr>
        <w:footnoteReference w:id="207"/>
      </w:r>
      <w:r w:rsidR="00021238">
        <w:rPr>
          <w:noProof/>
          <w:spacing w:val="-8"/>
        </w:rPr>
        <w:t xml:space="preserve">. </w:t>
      </w:r>
    </w:p>
    <w:p w14:paraId="5B83C512" w14:textId="123A8B60" w:rsidR="00DA71C0" w:rsidRPr="00DA71C0" w:rsidRDefault="00DA71C0" w:rsidP="00DA71C0">
      <w:pPr>
        <w:pStyle w:val="Text2"/>
        <w:spacing w:after="0"/>
        <w:ind w:left="0"/>
        <w:rPr>
          <w:rFonts w:cs="Times New Roman"/>
          <w:i/>
          <w:noProof/>
          <w:sz w:val="22"/>
          <w:szCs w:val="22"/>
        </w:rPr>
      </w:pPr>
      <w:bookmarkStart w:id="190" w:name="_Ref223217212"/>
      <w:bookmarkStart w:id="191" w:name="_Ref150193206"/>
      <w:r w:rsidRPr="00DA71C0">
        <w:rPr>
          <w:rFonts w:cs="Times New Roman"/>
          <w:i/>
          <w:noProof/>
          <w:sz w:val="22"/>
          <w:szCs w:val="22"/>
        </w:rPr>
        <w:t>Table</w:t>
      </w:r>
      <w:bookmarkEnd w:id="190"/>
      <w:r w:rsidRPr="00DA71C0">
        <w:rPr>
          <w:rFonts w:cs="Times New Roman"/>
          <w:i/>
          <w:noProof/>
          <w:sz w:val="22"/>
          <w:szCs w:val="22"/>
        </w:rPr>
        <w:t xml:space="preserve"> </w:t>
      </w:r>
      <w:bookmarkEnd w:id="191"/>
      <w:r w:rsidRPr="00DA71C0">
        <w:rPr>
          <w:rFonts w:cs="Times New Roman"/>
          <w:i/>
          <w:noProof/>
          <w:sz w:val="22"/>
          <w:szCs w:val="22"/>
        </w:rPr>
        <w:fldChar w:fldCharType="begin"/>
      </w:r>
      <w:r w:rsidRPr="00DA71C0">
        <w:rPr>
          <w:rFonts w:cs="Times New Roman"/>
          <w:i/>
          <w:noProof/>
          <w:sz w:val="22"/>
          <w:szCs w:val="22"/>
        </w:rPr>
        <w:instrText xml:space="preserve"> SEQ Table \* ARABIC </w:instrText>
      </w:r>
      <w:r w:rsidRPr="00DA71C0">
        <w:rPr>
          <w:rFonts w:cs="Times New Roman"/>
          <w:i/>
          <w:noProof/>
          <w:sz w:val="22"/>
          <w:szCs w:val="22"/>
        </w:rPr>
        <w:fldChar w:fldCharType="separate"/>
      </w:r>
      <w:r w:rsidR="0055391F">
        <w:rPr>
          <w:rFonts w:cs="Times New Roman"/>
          <w:i/>
          <w:noProof/>
          <w:sz w:val="22"/>
          <w:szCs w:val="22"/>
        </w:rPr>
        <w:t>20</w:t>
      </w:r>
      <w:r w:rsidRPr="00DA71C0">
        <w:rPr>
          <w:rFonts w:cs="Times New Roman"/>
          <w:i/>
          <w:noProof/>
          <w:sz w:val="22"/>
          <w:szCs w:val="22"/>
        </w:rPr>
        <w:fldChar w:fldCharType="end"/>
      </w:r>
      <w:r w:rsidRPr="00DA71C0">
        <w:rPr>
          <w:rFonts w:cs="Times New Roman"/>
          <w:i/>
          <w:noProof/>
          <w:sz w:val="22"/>
          <w:szCs w:val="22"/>
        </w:rPr>
        <w:t>: Impact on</w:t>
      </w:r>
      <w:r>
        <w:rPr>
          <w:rFonts w:cs="Times New Roman"/>
          <w:i/>
          <w:noProof/>
          <w:sz w:val="22"/>
          <w:szCs w:val="22"/>
        </w:rPr>
        <w:t xml:space="preserve"> CO</w:t>
      </w:r>
      <w:r w:rsidRPr="00AE40E6">
        <w:rPr>
          <w:rFonts w:cs="Times New Roman"/>
          <w:i/>
          <w:noProof/>
          <w:sz w:val="22"/>
          <w:szCs w:val="22"/>
          <w:vertAlign w:val="subscript"/>
        </w:rPr>
        <w:t>2</w:t>
      </w:r>
      <w:r>
        <w:rPr>
          <w:rFonts w:cs="Times New Roman"/>
          <w:i/>
          <w:noProof/>
          <w:sz w:val="22"/>
          <w:szCs w:val="22"/>
        </w:rPr>
        <w:t xml:space="preserve"> emissions and</w:t>
      </w:r>
      <w:r w:rsidRPr="00DA71C0">
        <w:rPr>
          <w:rFonts w:cs="Times New Roman"/>
          <w:i/>
          <w:noProof/>
          <w:sz w:val="22"/>
          <w:szCs w:val="22"/>
        </w:rPr>
        <w:t xml:space="preserve"> air pollutant emissions (</w:t>
      </w:r>
      <w:r w:rsidR="004C5085">
        <w:rPr>
          <w:rFonts w:cs="Times New Roman"/>
          <w:i/>
          <w:noProof/>
          <w:sz w:val="22"/>
          <w:szCs w:val="22"/>
        </w:rPr>
        <w:t>thousand</w:t>
      </w:r>
      <w:r w:rsidRPr="00DA71C0">
        <w:rPr>
          <w:rFonts w:cs="Times New Roman"/>
          <w:i/>
          <w:noProof/>
          <w:sz w:val="22"/>
          <w:szCs w:val="22"/>
        </w:rPr>
        <w:t xml:space="preserve"> tonnes of </w:t>
      </w:r>
      <w:r w:rsidR="009361F7">
        <w:rPr>
          <w:rFonts w:cs="Times New Roman"/>
          <w:i/>
          <w:noProof/>
          <w:sz w:val="22"/>
          <w:szCs w:val="22"/>
        </w:rPr>
        <w:t>CO</w:t>
      </w:r>
      <w:r w:rsidR="009361F7" w:rsidRPr="00AE40E6">
        <w:rPr>
          <w:rFonts w:cs="Times New Roman"/>
          <w:i/>
          <w:noProof/>
          <w:sz w:val="22"/>
          <w:szCs w:val="22"/>
          <w:vertAlign w:val="subscript"/>
        </w:rPr>
        <w:t>2</w:t>
      </w:r>
      <w:r w:rsidR="009361F7">
        <w:rPr>
          <w:rFonts w:cs="Times New Roman"/>
          <w:i/>
          <w:noProof/>
          <w:sz w:val="22"/>
          <w:szCs w:val="22"/>
        </w:rPr>
        <w:t xml:space="preserve"> emissions avoided and </w:t>
      </w:r>
      <w:r w:rsidRPr="00DA71C0">
        <w:rPr>
          <w:rFonts w:cs="Times New Roman"/>
          <w:i/>
          <w:noProof/>
          <w:sz w:val="22"/>
          <w:szCs w:val="22"/>
        </w:rPr>
        <w:t xml:space="preserve"> tonnes of NOx and PM2.5 avoided relative to the baseline in 2030</w:t>
      </w:r>
      <w:r w:rsidR="009361F7">
        <w:rPr>
          <w:rFonts w:cs="Times New Roman"/>
          <w:i/>
          <w:noProof/>
          <w:sz w:val="22"/>
          <w:szCs w:val="22"/>
        </w:rPr>
        <w:t>, 2040</w:t>
      </w:r>
      <w:r w:rsidRPr="00DA71C0">
        <w:rPr>
          <w:rFonts w:cs="Times New Roman"/>
          <w:i/>
          <w:noProof/>
          <w:sz w:val="22"/>
          <w:szCs w:val="22"/>
        </w:rPr>
        <w:t xml:space="preserve"> and 2050, and cumulative over 202</w:t>
      </w:r>
      <w:r w:rsidR="00AE40E6">
        <w:rPr>
          <w:rFonts w:cs="Times New Roman"/>
          <w:i/>
          <w:noProof/>
          <w:sz w:val="22"/>
          <w:szCs w:val="22"/>
        </w:rPr>
        <w:t>8</w:t>
      </w:r>
      <w:r w:rsidRPr="00DA71C0">
        <w:rPr>
          <w:rFonts w:cs="Times New Roman"/>
          <w:i/>
          <w:noProof/>
          <w:sz w:val="22"/>
          <w:szCs w:val="22"/>
        </w:rPr>
        <w:t xml:space="preserve">-2050; % change in cumulative </w:t>
      </w:r>
      <w:r w:rsidR="009361F7">
        <w:rPr>
          <w:rFonts w:cs="Times New Roman"/>
          <w:i/>
          <w:noProof/>
          <w:sz w:val="22"/>
          <w:szCs w:val="22"/>
        </w:rPr>
        <w:t>CO</w:t>
      </w:r>
      <w:r w:rsidR="009361F7" w:rsidRPr="00AE40E6">
        <w:rPr>
          <w:rFonts w:cs="Times New Roman"/>
          <w:i/>
          <w:noProof/>
          <w:sz w:val="22"/>
          <w:szCs w:val="22"/>
          <w:vertAlign w:val="subscript"/>
        </w:rPr>
        <w:t>2</w:t>
      </w:r>
      <w:r w:rsidR="009361F7">
        <w:rPr>
          <w:rFonts w:cs="Times New Roman"/>
          <w:i/>
          <w:noProof/>
          <w:sz w:val="22"/>
          <w:szCs w:val="22"/>
        </w:rPr>
        <w:t xml:space="preserve"> emissions</w:t>
      </w:r>
      <w:r w:rsidR="00B446D8">
        <w:rPr>
          <w:rFonts w:cs="Times New Roman"/>
          <w:i/>
          <w:noProof/>
          <w:sz w:val="22"/>
          <w:szCs w:val="22"/>
        </w:rPr>
        <w:t xml:space="preserve"> and</w:t>
      </w:r>
      <w:r w:rsidR="009361F7">
        <w:rPr>
          <w:rFonts w:cs="Times New Roman"/>
          <w:i/>
          <w:noProof/>
          <w:sz w:val="22"/>
          <w:szCs w:val="22"/>
        </w:rPr>
        <w:t xml:space="preserve"> </w:t>
      </w:r>
      <w:r w:rsidRPr="00DA71C0">
        <w:rPr>
          <w:rFonts w:cs="Times New Roman"/>
          <w:i/>
          <w:noProof/>
          <w:sz w:val="22"/>
          <w:szCs w:val="22"/>
        </w:rPr>
        <w:t>air pollution emissions relative to the baseline)</w:t>
      </w:r>
    </w:p>
    <w:tbl>
      <w:tblPr>
        <w:tblW w:w="5000" w:type="pct"/>
        <w:tblLook w:val="04A0" w:firstRow="1" w:lastRow="0" w:firstColumn="1" w:lastColumn="0" w:noHBand="0" w:noVBand="1"/>
      </w:tblPr>
      <w:tblGrid>
        <w:gridCol w:w="863"/>
        <w:gridCol w:w="1324"/>
        <w:gridCol w:w="1323"/>
        <w:gridCol w:w="1323"/>
        <w:gridCol w:w="2387"/>
        <w:gridCol w:w="2383"/>
      </w:tblGrid>
      <w:tr w:rsidR="00847074" w14:paraId="6441E6D9" w14:textId="77777777" w:rsidTr="005F7281">
        <w:trPr>
          <w:trHeight w:val="510"/>
          <w:tblHeader/>
        </w:trPr>
        <w:tc>
          <w:tcPr>
            <w:tcW w:w="449" w:type="pct"/>
            <w:tcBorders>
              <w:top w:val="single" w:sz="4" w:space="0" w:color="auto"/>
              <w:left w:val="single" w:sz="4" w:space="0" w:color="auto"/>
              <w:bottom w:val="single" w:sz="4" w:space="0" w:color="auto"/>
              <w:right w:val="single" w:sz="4" w:space="0" w:color="auto"/>
            </w:tcBorders>
            <w:shd w:val="clear" w:color="000000" w:fill="0070C0"/>
            <w:hideMark/>
          </w:tcPr>
          <w:p w14:paraId="1249E6DE" w14:textId="77777777" w:rsidR="00847074" w:rsidRDefault="00847074">
            <w:pPr>
              <w:rPr>
                <w:b/>
                <w:bCs/>
                <w:noProof/>
                <w:color w:val="FFFFFF"/>
                <w:sz w:val="20"/>
                <w:szCs w:val="20"/>
              </w:rPr>
            </w:pPr>
            <w:r>
              <w:rPr>
                <w:b/>
                <w:bCs/>
                <w:noProof/>
                <w:color w:val="FFFFFF"/>
                <w:sz w:val="20"/>
                <w:szCs w:val="20"/>
              </w:rPr>
              <w:t> </w:t>
            </w:r>
          </w:p>
        </w:tc>
        <w:tc>
          <w:tcPr>
            <w:tcW w:w="689" w:type="pct"/>
            <w:tcBorders>
              <w:top w:val="single" w:sz="4" w:space="0" w:color="auto"/>
              <w:left w:val="nil"/>
              <w:bottom w:val="single" w:sz="4" w:space="0" w:color="auto"/>
              <w:right w:val="single" w:sz="4" w:space="0" w:color="auto"/>
            </w:tcBorders>
            <w:shd w:val="clear" w:color="000000" w:fill="0070C0"/>
            <w:hideMark/>
          </w:tcPr>
          <w:p w14:paraId="382A7ABC" w14:textId="77777777" w:rsidR="00847074" w:rsidRDefault="00847074">
            <w:pPr>
              <w:jc w:val="center"/>
              <w:rPr>
                <w:b/>
                <w:bCs/>
                <w:noProof/>
                <w:color w:val="FFFFFF"/>
                <w:sz w:val="20"/>
                <w:szCs w:val="20"/>
              </w:rPr>
            </w:pPr>
            <w:r>
              <w:rPr>
                <w:b/>
                <w:bCs/>
                <w:noProof/>
                <w:color w:val="FFFFFF"/>
                <w:sz w:val="20"/>
                <w:szCs w:val="20"/>
              </w:rPr>
              <w:t>2030</w:t>
            </w:r>
          </w:p>
        </w:tc>
        <w:tc>
          <w:tcPr>
            <w:tcW w:w="689" w:type="pct"/>
            <w:tcBorders>
              <w:top w:val="single" w:sz="4" w:space="0" w:color="auto"/>
              <w:left w:val="nil"/>
              <w:bottom w:val="single" w:sz="4" w:space="0" w:color="auto"/>
              <w:right w:val="single" w:sz="4" w:space="0" w:color="auto"/>
            </w:tcBorders>
            <w:shd w:val="clear" w:color="000000" w:fill="0070C0"/>
            <w:hideMark/>
          </w:tcPr>
          <w:p w14:paraId="50B35EF4" w14:textId="77777777" w:rsidR="00847074" w:rsidRDefault="00847074">
            <w:pPr>
              <w:jc w:val="center"/>
              <w:rPr>
                <w:b/>
                <w:bCs/>
                <w:noProof/>
                <w:color w:val="FFFFFF"/>
                <w:sz w:val="20"/>
                <w:szCs w:val="20"/>
              </w:rPr>
            </w:pPr>
            <w:r>
              <w:rPr>
                <w:b/>
                <w:bCs/>
                <w:noProof/>
                <w:color w:val="FFFFFF"/>
                <w:sz w:val="20"/>
                <w:szCs w:val="20"/>
              </w:rPr>
              <w:t>2040</w:t>
            </w:r>
          </w:p>
        </w:tc>
        <w:tc>
          <w:tcPr>
            <w:tcW w:w="689" w:type="pct"/>
            <w:tcBorders>
              <w:top w:val="single" w:sz="4" w:space="0" w:color="auto"/>
              <w:left w:val="nil"/>
              <w:bottom w:val="single" w:sz="4" w:space="0" w:color="auto"/>
              <w:right w:val="single" w:sz="4" w:space="0" w:color="auto"/>
            </w:tcBorders>
            <w:shd w:val="clear" w:color="000000" w:fill="0070C0"/>
            <w:hideMark/>
          </w:tcPr>
          <w:p w14:paraId="0C4E9C9F" w14:textId="77777777" w:rsidR="00847074" w:rsidRDefault="00847074">
            <w:pPr>
              <w:jc w:val="center"/>
              <w:rPr>
                <w:b/>
                <w:bCs/>
                <w:noProof/>
                <w:color w:val="FFFFFF"/>
                <w:sz w:val="20"/>
                <w:szCs w:val="20"/>
              </w:rPr>
            </w:pPr>
            <w:r>
              <w:rPr>
                <w:b/>
                <w:bCs/>
                <w:noProof/>
                <w:color w:val="FFFFFF"/>
                <w:sz w:val="20"/>
                <w:szCs w:val="20"/>
              </w:rPr>
              <w:t>2050</w:t>
            </w:r>
          </w:p>
        </w:tc>
        <w:tc>
          <w:tcPr>
            <w:tcW w:w="1243" w:type="pct"/>
            <w:tcBorders>
              <w:top w:val="single" w:sz="4" w:space="0" w:color="auto"/>
              <w:left w:val="nil"/>
              <w:bottom w:val="single" w:sz="4" w:space="0" w:color="auto"/>
              <w:right w:val="single" w:sz="4" w:space="0" w:color="auto"/>
            </w:tcBorders>
            <w:shd w:val="clear" w:color="000000" w:fill="0070C0"/>
            <w:hideMark/>
          </w:tcPr>
          <w:p w14:paraId="3EDB3B68" w14:textId="77777777" w:rsidR="00847074" w:rsidRDefault="00847074">
            <w:pPr>
              <w:jc w:val="center"/>
              <w:rPr>
                <w:b/>
                <w:bCs/>
                <w:noProof/>
                <w:color w:val="FFFFFF"/>
                <w:sz w:val="20"/>
                <w:szCs w:val="20"/>
              </w:rPr>
            </w:pPr>
            <w:r>
              <w:rPr>
                <w:b/>
                <w:bCs/>
                <w:noProof/>
                <w:color w:val="FFFFFF"/>
                <w:sz w:val="20"/>
                <w:szCs w:val="20"/>
              </w:rPr>
              <w:t>Cumulative over 2028-2050</w:t>
            </w:r>
          </w:p>
        </w:tc>
        <w:tc>
          <w:tcPr>
            <w:tcW w:w="1241" w:type="pct"/>
            <w:tcBorders>
              <w:top w:val="single" w:sz="4" w:space="0" w:color="auto"/>
              <w:left w:val="nil"/>
              <w:bottom w:val="single" w:sz="4" w:space="0" w:color="auto"/>
              <w:right w:val="single" w:sz="4" w:space="0" w:color="auto"/>
            </w:tcBorders>
            <w:shd w:val="clear" w:color="000000" w:fill="0070C0"/>
            <w:hideMark/>
          </w:tcPr>
          <w:p w14:paraId="7B82CEBB" w14:textId="77777777" w:rsidR="00847074" w:rsidRDefault="00847074">
            <w:pPr>
              <w:jc w:val="center"/>
              <w:rPr>
                <w:b/>
                <w:bCs/>
                <w:noProof/>
                <w:color w:val="FFFFFF"/>
                <w:sz w:val="20"/>
                <w:szCs w:val="20"/>
              </w:rPr>
            </w:pPr>
            <w:r>
              <w:rPr>
                <w:b/>
                <w:bCs/>
                <w:noProof/>
                <w:color w:val="FFFFFF"/>
                <w:sz w:val="20"/>
                <w:szCs w:val="20"/>
              </w:rPr>
              <w:t>% change to baseline</w:t>
            </w:r>
          </w:p>
        </w:tc>
      </w:tr>
      <w:tr w:rsidR="00847074" w14:paraId="33882176" w14:textId="77777777" w:rsidTr="00847074">
        <w:trPr>
          <w:trHeight w:val="255"/>
        </w:trPr>
        <w:tc>
          <w:tcPr>
            <w:tcW w:w="5000" w:type="pct"/>
            <w:gridSpan w:val="6"/>
            <w:tcBorders>
              <w:top w:val="single" w:sz="4" w:space="0" w:color="auto"/>
              <w:left w:val="single" w:sz="4" w:space="0" w:color="auto"/>
              <w:bottom w:val="single" w:sz="4" w:space="0" w:color="auto"/>
              <w:right w:val="single" w:sz="4" w:space="0" w:color="000000"/>
            </w:tcBorders>
            <w:shd w:val="clear" w:color="000000" w:fill="BDE3FF"/>
            <w:noWrap/>
            <w:hideMark/>
          </w:tcPr>
          <w:p w14:paraId="4F420A0B" w14:textId="3B13A280" w:rsidR="00847074" w:rsidRDefault="00847074">
            <w:pPr>
              <w:rPr>
                <w:b/>
                <w:bCs/>
                <w:noProof/>
                <w:sz w:val="20"/>
                <w:szCs w:val="20"/>
              </w:rPr>
            </w:pPr>
            <w:r>
              <w:rPr>
                <w:b/>
                <w:bCs/>
                <w:noProof/>
                <w:sz w:val="20"/>
                <w:szCs w:val="20"/>
              </w:rPr>
              <w:t>CO2 emissions (</w:t>
            </w:r>
            <w:r w:rsidR="00AD33A3">
              <w:rPr>
                <w:b/>
                <w:bCs/>
                <w:noProof/>
                <w:sz w:val="20"/>
                <w:szCs w:val="20"/>
              </w:rPr>
              <w:t xml:space="preserve">thousand </w:t>
            </w:r>
            <w:r>
              <w:rPr>
                <w:b/>
                <w:bCs/>
                <w:noProof/>
                <w:sz w:val="20"/>
                <w:szCs w:val="20"/>
              </w:rPr>
              <w:t>tonnes of CO2 avoided)</w:t>
            </w:r>
          </w:p>
        </w:tc>
      </w:tr>
      <w:tr w:rsidR="00847074" w14:paraId="503D9D58" w14:textId="77777777" w:rsidTr="005F7281">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08788110" w14:textId="77777777" w:rsidR="00847074" w:rsidRDefault="00847074">
            <w:pPr>
              <w:rPr>
                <w:noProof/>
                <w:sz w:val="20"/>
                <w:szCs w:val="20"/>
              </w:rPr>
            </w:pPr>
            <w:r>
              <w:rPr>
                <w:noProof/>
                <w:sz w:val="20"/>
                <w:szCs w:val="20"/>
              </w:rPr>
              <w:t>PO1</w:t>
            </w:r>
          </w:p>
        </w:tc>
        <w:tc>
          <w:tcPr>
            <w:tcW w:w="689" w:type="pct"/>
            <w:tcBorders>
              <w:top w:val="nil"/>
              <w:left w:val="nil"/>
              <w:bottom w:val="single" w:sz="4" w:space="0" w:color="auto"/>
              <w:right w:val="single" w:sz="4" w:space="0" w:color="auto"/>
            </w:tcBorders>
            <w:shd w:val="clear" w:color="000000" w:fill="FFFFFF"/>
            <w:noWrap/>
            <w:hideMark/>
          </w:tcPr>
          <w:p w14:paraId="11FC0A72" w14:textId="77777777" w:rsidR="00847074" w:rsidRDefault="00847074">
            <w:pPr>
              <w:jc w:val="center"/>
              <w:rPr>
                <w:noProof/>
                <w:color w:val="000000"/>
                <w:sz w:val="20"/>
                <w:szCs w:val="20"/>
              </w:rPr>
            </w:pPr>
            <w:r>
              <w:rPr>
                <w:noProof/>
                <w:color w:val="000000"/>
                <w:sz w:val="20"/>
                <w:szCs w:val="20"/>
              </w:rPr>
              <w:t>541</w:t>
            </w:r>
          </w:p>
        </w:tc>
        <w:tc>
          <w:tcPr>
            <w:tcW w:w="689" w:type="pct"/>
            <w:tcBorders>
              <w:top w:val="nil"/>
              <w:left w:val="nil"/>
              <w:bottom w:val="single" w:sz="4" w:space="0" w:color="auto"/>
              <w:right w:val="single" w:sz="4" w:space="0" w:color="auto"/>
            </w:tcBorders>
            <w:shd w:val="clear" w:color="000000" w:fill="FFFFFF"/>
            <w:noWrap/>
            <w:hideMark/>
          </w:tcPr>
          <w:p w14:paraId="0D2983C5" w14:textId="77777777" w:rsidR="00847074" w:rsidRDefault="00847074">
            <w:pPr>
              <w:jc w:val="center"/>
              <w:rPr>
                <w:noProof/>
                <w:color w:val="000000"/>
                <w:sz w:val="20"/>
                <w:szCs w:val="20"/>
              </w:rPr>
            </w:pPr>
            <w:r>
              <w:rPr>
                <w:noProof/>
                <w:color w:val="000000"/>
                <w:sz w:val="20"/>
                <w:szCs w:val="20"/>
              </w:rPr>
              <w:t>370</w:t>
            </w:r>
          </w:p>
        </w:tc>
        <w:tc>
          <w:tcPr>
            <w:tcW w:w="689" w:type="pct"/>
            <w:tcBorders>
              <w:top w:val="nil"/>
              <w:left w:val="nil"/>
              <w:bottom w:val="single" w:sz="4" w:space="0" w:color="auto"/>
              <w:right w:val="single" w:sz="4" w:space="0" w:color="auto"/>
            </w:tcBorders>
            <w:shd w:val="clear" w:color="000000" w:fill="FFFFFF"/>
            <w:noWrap/>
            <w:hideMark/>
          </w:tcPr>
          <w:p w14:paraId="0CB0D391" w14:textId="77777777" w:rsidR="00847074" w:rsidRDefault="00847074">
            <w:pPr>
              <w:jc w:val="center"/>
              <w:rPr>
                <w:noProof/>
                <w:color w:val="000000"/>
                <w:sz w:val="20"/>
                <w:szCs w:val="20"/>
              </w:rPr>
            </w:pPr>
            <w:r>
              <w:rPr>
                <w:noProof/>
                <w:color w:val="000000"/>
                <w:sz w:val="20"/>
                <w:szCs w:val="20"/>
              </w:rPr>
              <w:t>17</w:t>
            </w:r>
          </w:p>
        </w:tc>
        <w:tc>
          <w:tcPr>
            <w:tcW w:w="1243" w:type="pct"/>
            <w:tcBorders>
              <w:top w:val="nil"/>
              <w:left w:val="nil"/>
              <w:bottom w:val="single" w:sz="4" w:space="0" w:color="auto"/>
              <w:right w:val="single" w:sz="4" w:space="0" w:color="auto"/>
            </w:tcBorders>
            <w:shd w:val="clear" w:color="000000" w:fill="FFFFFF"/>
            <w:noWrap/>
            <w:hideMark/>
          </w:tcPr>
          <w:p w14:paraId="76B12196" w14:textId="77777777" w:rsidR="00847074" w:rsidRDefault="00847074">
            <w:pPr>
              <w:jc w:val="center"/>
              <w:rPr>
                <w:noProof/>
                <w:color w:val="000000"/>
                <w:sz w:val="20"/>
                <w:szCs w:val="20"/>
              </w:rPr>
            </w:pPr>
            <w:r>
              <w:rPr>
                <w:noProof/>
                <w:color w:val="000000"/>
                <w:sz w:val="20"/>
                <w:szCs w:val="20"/>
              </w:rPr>
              <w:t>8,319</w:t>
            </w:r>
          </w:p>
        </w:tc>
        <w:tc>
          <w:tcPr>
            <w:tcW w:w="1241" w:type="pct"/>
            <w:tcBorders>
              <w:top w:val="nil"/>
              <w:left w:val="nil"/>
              <w:bottom w:val="single" w:sz="4" w:space="0" w:color="auto"/>
              <w:right w:val="single" w:sz="4" w:space="0" w:color="auto"/>
            </w:tcBorders>
            <w:shd w:val="clear" w:color="000000" w:fill="FFFFFF"/>
            <w:noWrap/>
            <w:hideMark/>
          </w:tcPr>
          <w:p w14:paraId="04627560" w14:textId="77777777" w:rsidR="00847074" w:rsidRDefault="00847074">
            <w:pPr>
              <w:jc w:val="center"/>
              <w:rPr>
                <w:noProof/>
                <w:color w:val="000000"/>
                <w:sz w:val="20"/>
                <w:szCs w:val="20"/>
              </w:rPr>
            </w:pPr>
            <w:r>
              <w:rPr>
                <w:noProof/>
                <w:color w:val="000000"/>
                <w:sz w:val="20"/>
                <w:szCs w:val="20"/>
              </w:rPr>
              <w:t>0.2%</w:t>
            </w:r>
          </w:p>
        </w:tc>
      </w:tr>
      <w:tr w:rsidR="00847074" w14:paraId="7C9867A2" w14:textId="77777777" w:rsidTr="005F7281">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66CA1F05" w14:textId="77777777" w:rsidR="00847074" w:rsidRDefault="00847074">
            <w:pPr>
              <w:rPr>
                <w:noProof/>
                <w:sz w:val="20"/>
                <w:szCs w:val="20"/>
              </w:rPr>
            </w:pPr>
            <w:r>
              <w:rPr>
                <w:noProof/>
                <w:sz w:val="20"/>
                <w:szCs w:val="20"/>
              </w:rPr>
              <w:t>PO2</w:t>
            </w:r>
          </w:p>
        </w:tc>
        <w:tc>
          <w:tcPr>
            <w:tcW w:w="689" w:type="pct"/>
            <w:tcBorders>
              <w:top w:val="nil"/>
              <w:left w:val="nil"/>
              <w:bottom w:val="single" w:sz="4" w:space="0" w:color="auto"/>
              <w:right w:val="single" w:sz="4" w:space="0" w:color="auto"/>
            </w:tcBorders>
            <w:shd w:val="clear" w:color="000000" w:fill="FFFFFF"/>
            <w:noWrap/>
            <w:hideMark/>
          </w:tcPr>
          <w:p w14:paraId="7314EBCA" w14:textId="77777777" w:rsidR="00847074" w:rsidRDefault="00847074">
            <w:pPr>
              <w:jc w:val="center"/>
              <w:rPr>
                <w:noProof/>
                <w:color w:val="000000"/>
                <w:sz w:val="20"/>
                <w:szCs w:val="20"/>
              </w:rPr>
            </w:pPr>
            <w:r>
              <w:rPr>
                <w:noProof/>
                <w:color w:val="000000"/>
                <w:sz w:val="20"/>
                <w:szCs w:val="20"/>
              </w:rPr>
              <w:t>992</w:t>
            </w:r>
          </w:p>
        </w:tc>
        <w:tc>
          <w:tcPr>
            <w:tcW w:w="689" w:type="pct"/>
            <w:tcBorders>
              <w:top w:val="nil"/>
              <w:left w:val="nil"/>
              <w:bottom w:val="single" w:sz="4" w:space="0" w:color="auto"/>
              <w:right w:val="single" w:sz="4" w:space="0" w:color="auto"/>
            </w:tcBorders>
            <w:shd w:val="clear" w:color="000000" w:fill="FFFFFF"/>
            <w:noWrap/>
            <w:hideMark/>
          </w:tcPr>
          <w:p w14:paraId="04A69095" w14:textId="77777777" w:rsidR="00847074" w:rsidRDefault="00847074">
            <w:pPr>
              <w:jc w:val="center"/>
              <w:rPr>
                <w:noProof/>
                <w:color w:val="000000"/>
                <w:sz w:val="20"/>
                <w:szCs w:val="20"/>
              </w:rPr>
            </w:pPr>
            <w:r>
              <w:rPr>
                <w:noProof/>
                <w:color w:val="000000"/>
                <w:sz w:val="20"/>
                <w:szCs w:val="20"/>
              </w:rPr>
              <w:t>761</w:t>
            </w:r>
          </w:p>
        </w:tc>
        <w:tc>
          <w:tcPr>
            <w:tcW w:w="689" w:type="pct"/>
            <w:tcBorders>
              <w:top w:val="nil"/>
              <w:left w:val="nil"/>
              <w:bottom w:val="single" w:sz="4" w:space="0" w:color="auto"/>
              <w:right w:val="single" w:sz="4" w:space="0" w:color="auto"/>
            </w:tcBorders>
            <w:shd w:val="clear" w:color="000000" w:fill="FFFFFF"/>
            <w:noWrap/>
            <w:hideMark/>
          </w:tcPr>
          <w:p w14:paraId="050562B3" w14:textId="77777777" w:rsidR="00847074" w:rsidRDefault="00847074">
            <w:pPr>
              <w:jc w:val="center"/>
              <w:rPr>
                <w:noProof/>
                <w:color w:val="000000"/>
                <w:sz w:val="20"/>
                <w:szCs w:val="20"/>
              </w:rPr>
            </w:pPr>
            <w:r>
              <w:rPr>
                <w:noProof/>
                <w:color w:val="000000"/>
                <w:sz w:val="20"/>
                <w:szCs w:val="20"/>
              </w:rPr>
              <w:t>37</w:t>
            </w:r>
          </w:p>
        </w:tc>
        <w:tc>
          <w:tcPr>
            <w:tcW w:w="1243" w:type="pct"/>
            <w:tcBorders>
              <w:top w:val="nil"/>
              <w:left w:val="nil"/>
              <w:bottom w:val="single" w:sz="4" w:space="0" w:color="auto"/>
              <w:right w:val="single" w:sz="4" w:space="0" w:color="auto"/>
            </w:tcBorders>
            <w:shd w:val="clear" w:color="000000" w:fill="FFFFFF"/>
            <w:noWrap/>
            <w:hideMark/>
          </w:tcPr>
          <w:p w14:paraId="3AA813D7" w14:textId="77777777" w:rsidR="00847074" w:rsidRDefault="00847074">
            <w:pPr>
              <w:jc w:val="center"/>
              <w:rPr>
                <w:noProof/>
                <w:color w:val="000000"/>
                <w:sz w:val="20"/>
                <w:szCs w:val="20"/>
              </w:rPr>
            </w:pPr>
            <w:r>
              <w:rPr>
                <w:noProof/>
                <w:color w:val="000000"/>
                <w:sz w:val="20"/>
                <w:szCs w:val="20"/>
              </w:rPr>
              <w:t>16,468</w:t>
            </w:r>
          </w:p>
        </w:tc>
        <w:tc>
          <w:tcPr>
            <w:tcW w:w="1241" w:type="pct"/>
            <w:tcBorders>
              <w:top w:val="nil"/>
              <w:left w:val="nil"/>
              <w:bottom w:val="single" w:sz="4" w:space="0" w:color="auto"/>
              <w:right w:val="single" w:sz="4" w:space="0" w:color="auto"/>
            </w:tcBorders>
            <w:shd w:val="clear" w:color="000000" w:fill="FFFFFF"/>
            <w:noWrap/>
            <w:hideMark/>
          </w:tcPr>
          <w:p w14:paraId="5D0DFC64" w14:textId="77777777" w:rsidR="00847074" w:rsidRDefault="00847074">
            <w:pPr>
              <w:jc w:val="center"/>
              <w:rPr>
                <w:noProof/>
                <w:color w:val="000000"/>
                <w:sz w:val="20"/>
                <w:szCs w:val="20"/>
              </w:rPr>
            </w:pPr>
            <w:r>
              <w:rPr>
                <w:noProof/>
                <w:color w:val="000000"/>
                <w:sz w:val="20"/>
                <w:szCs w:val="20"/>
              </w:rPr>
              <w:t>0.3%</w:t>
            </w:r>
          </w:p>
        </w:tc>
      </w:tr>
      <w:tr w:rsidR="00847074" w14:paraId="47BAE998" w14:textId="77777777" w:rsidTr="005F7281">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7DCCB3D9" w14:textId="77777777" w:rsidR="00847074" w:rsidRDefault="00847074">
            <w:pPr>
              <w:rPr>
                <w:noProof/>
                <w:sz w:val="20"/>
                <w:szCs w:val="20"/>
              </w:rPr>
            </w:pPr>
            <w:r>
              <w:rPr>
                <w:noProof/>
                <w:sz w:val="20"/>
                <w:szCs w:val="20"/>
              </w:rPr>
              <w:t>PO3</w:t>
            </w:r>
          </w:p>
        </w:tc>
        <w:tc>
          <w:tcPr>
            <w:tcW w:w="689" w:type="pct"/>
            <w:tcBorders>
              <w:top w:val="nil"/>
              <w:left w:val="nil"/>
              <w:bottom w:val="single" w:sz="4" w:space="0" w:color="auto"/>
              <w:right w:val="single" w:sz="4" w:space="0" w:color="auto"/>
            </w:tcBorders>
            <w:shd w:val="clear" w:color="000000" w:fill="FFFFFF"/>
            <w:noWrap/>
            <w:hideMark/>
          </w:tcPr>
          <w:p w14:paraId="311C91BB" w14:textId="77777777" w:rsidR="00847074" w:rsidRDefault="00847074">
            <w:pPr>
              <w:jc w:val="center"/>
              <w:rPr>
                <w:noProof/>
                <w:color w:val="000000"/>
                <w:sz w:val="20"/>
                <w:szCs w:val="20"/>
              </w:rPr>
            </w:pPr>
            <w:r>
              <w:rPr>
                <w:noProof/>
                <w:color w:val="000000"/>
                <w:sz w:val="20"/>
                <w:szCs w:val="20"/>
              </w:rPr>
              <w:t>1,458</w:t>
            </w:r>
          </w:p>
        </w:tc>
        <w:tc>
          <w:tcPr>
            <w:tcW w:w="689" w:type="pct"/>
            <w:tcBorders>
              <w:top w:val="nil"/>
              <w:left w:val="nil"/>
              <w:bottom w:val="single" w:sz="4" w:space="0" w:color="auto"/>
              <w:right w:val="single" w:sz="4" w:space="0" w:color="auto"/>
            </w:tcBorders>
            <w:shd w:val="clear" w:color="000000" w:fill="FFFFFF"/>
            <w:noWrap/>
            <w:hideMark/>
          </w:tcPr>
          <w:p w14:paraId="300F7D30" w14:textId="77777777" w:rsidR="00847074" w:rsidRDefault="00847074">
            <w:pPr>
              <w:jc w:val="center"/>
              <w:rPr>
                <w:noProof/>
                <w:color w:val="000000"/>
                <w:sz w:val="20"/>
                <w:szCs w:val="20"/>
              </w:rPr>
            </w:pPr>
            <w:r>
              <w:rPr>
                <w:noProof/>
                <w:color w:val="000000"/>
                <w:sz w:val="20"/>
                <w:szCs w:val="20"/>
              </w:rPr>
              <w:t>1,106</w:t>
            </w:r>
          </w:p>
        </w:tc>
        <w:tc>
          <w:tcPr>
            <w:tcW w:w="689" w:type="pct"/>
            <w:tcBorders>
              <w:top w:val="nil"/>
              <w:left w:val="nil"/>
              <w:bottom w:val="single" w:sz="4" w:space="0" w:color="auto"/>
              <w:right w:val="single" w:sz="4" w:space="0" w:color="auto"/>
            </w:tcBorders>
            <w:shd w:val="clear" w:color="000000" w:fill="FFFFFF"/>
            <w:noWrap/>
            <w:hideMark/>
          </w:tcPr>
          <w:p w14:paraId="5D427480" w14:textId="77777777" w:rsidR="00847074" w:rsidRDefault="00847074">
            <w:pPr>
              <w:jc w:val="center"/>
              <w:rPr>
                <w:noProof/>
                <w:color w:val="000000"/>
                <w:sz w:val="20"/>
                <w:szCs w:val="20"/>
              </w:rPr>
            </w:pPr>
            <w:r>
              <w:rPr>
                <w:noProof/>
                <w:color w:val="000000"/>
                <w:sz w:val="20"/>
                <w:szCs w:val="20"/>
              </w:rPr>
              <w:t>52</w:t>
            </w:r>
          </w:p>
        </w:tc>
        <w:tc>
          <w:tcPr>
            <w:tcW w:w="1243" w:type="pct"/>
            <w:tcBorders>
              <w:top w:val="nil"/>
              <w:left w:val="nil"/>
              <w:bottom w:val="single" w:sz="4" w:space="0" w:color="auto"/>
              <w:right w:val="single" w:sz="4" w:space="0" w:color="auto"/>
            </w:tcBorders>
            <w:shd w:val="clear" w:color="000000" w:fill="FFFFFF"/>
            <w:noWrap/>
            <w:hideMark/>
          </w:tcPr>
          <w:p w14:paraId="597C3913" w14:textId="132F0EA5" w:rsidR="00847074" w:rsidRPr="00586908" w:rsidRDefault="00847074">
            <w:pPr>
              <w:jc w:val="center"/>
              <w:rPr>
                <w:noProof/>
                <w:color w:val="000000"/>
                <w:sz w:val="20"/>
                <w:szCs w:val="20"/>
              </w:rPr>
            </w:pPr>
            <w:r w:rsidRPr="00586908">
              <w:rPr>
                <w:noProof/>
                <w:color w:val="000000"/>
                <w:sz w:val="20"/>
                <w:szCs w:val="20"/>
              </w:rPr>
              <w:t>23,794</w:t>
            </w:r>
          </w:p>
        </w:tc>
        <w:tc>
          <w:tcPr>
            <w:tcW w:w="1241" w:type="pct"/>
            <w:tcBorders>
              <w:top w:val="nil"/>
              <w:left w:val="nil"/>
              <w:bottom w:val="single" w:sz="4" w:space="0" w:color="auto"/>
              <w:right w:val="single" w:sz="4" w:space="0" w:color="auto"/>
            </w:tcBorders>
            <w:shd w:val="clear" w:color="000000" w:fill="FFFFFF"/>
            <w:noWrap/>
            <w:hideMark/>
          </w:tcPr>
          <w:p w14:paraId="0DA6814C" w14:textId="77777777" w:rsidR="00847074" w:rsidRDefault="00847074">
            <w:pPr>
              <w:jc w:val="center"/>
              <w:rPr>
                <w:noProof/>
                <w:color w:val="000000"/>
                <w:sz w:val="20"/>
                <w:szCs w:val="20"/>
              </w:rPr>
            </w:pPr>
            <w:r>
              <w:rPr>
                <w:noProof/>
                <w:color w:val="000000"/>
                <w:sz w:val="20"/>
                <w:szCs w:val="20"/>
              </w:rPr>
              <w:t>0.5%</w:t>
            </w:r>
          </w:p>
        </w:tc>
      </w:tr>
      <w:tr w:rsidR="00847074" w14:paraId="72066C0C" w14:textId="77777777" w:rsidTr="005F7281">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68A053C4" w14:textId="77777777" w:rsidR="00847074" w:rsidRDefault="00847074">
            <w:pPr>
              <w:rPr>
                <w:noProof/>
                <w:sz w:val="20"/>
                <w:szCs w:val="20"/>
              </w:rPr>
            </w:pPr>
            <w:r>
              <w:rPr>
                <w:noProof/>
                <w:sz w:val="20"/>
                <w:szCs w:val="20"/>
              </w:rPr>
              <w:t>PO4</w:t>
            </w:r>
          </w:p>
        </w:tc>
        <w:tc>
          <w:tcPr>
            <w:tcW w:w="689" w:type="pct"/>
            <w:tcBorders>
              <w:top w:val="nil"/>
              <w:left w:val="nil"/>
              <w:bottom w:val="single" w:sz="4" w:space="0" w:color="auto"/>
              <w:right w:val="single" w:sz="4" w:space="0" w:color="auto"/>
            </w:tcBorders>
            <w:shd w:val="clear" w:color="000000" w:fill="FFFFFF"/>
            <w:noWrap/>
            <w:hideMark/>
          </w:tcPr>
          <w:p w14:paraId="69BA8774" w14:textId="77777777" w:rsidR="00847074" w:rsidRDefault="00847074">
            <w:pPr>
              <w:jc w:val="center"/>
              <w:rPr>
                <w:noProof/>
                <w:color w:val="000000"/>
                <w:sz w:val="20"/>
                <w:szCs w:val="20"/>
              </w:rPr>
            </w:pPr>
            <w:r>
              <w:rPr>
                <w:noProof/>
                <w:color w:val="000000"/>
                <w:sz w:val="20"/>
                <w:szCs w:val="20"/>
              </w:rPr>
              <w:t>1,091</w:t>
            </w:r>
          </w:p>
        </w:tc>
        <w:tc>
          <w:tcPr>
            <w:tcW w:w="689" w:type="pct"/>
            <w:tcBorders>
              <w:top w:val="nil"/>
              <w:left w:val="nil"/>
              <w:bottom w:val="single" w:sz="4" w:space="0" w:color="auto"/>
              <w:right w:val="single" w:sz="4" w:space="0" w:color="auto"/>
            </w:tcBorders>
            <w:shd w:val="clear" w:color="000000" w:fill="FFFFFF"/>
            <w:noWrap/>
            <w:hideMark/>
          </w:tcPr>
          <w:p w14:paraId="33EB53A5" w14:textId="77777777" w:rsidR="00847074" w:rsidRDefault="00847074">
            <w:pPr>
              <w:jc w:val="center"/>
              <w:rPr>
                <w:noProof/>
                <w:color w:val="000000"/>
                <w:sz w:val="20"/>
                <w:szCs w:val="20"/>
              </w:rPr>
            </w:pPr>
            <w:r>
              <w:rPr>
                <w:noProof/>
                <w:color w:val="000000"/>
                <w:sz w:val="20"/>
                <w:szCs w:val="20"/>
              </w:rPr>
              <w:t>838</w:t>
            </w:r>
          </w:p>
        </w:tc>
        <w:tc>
          <w:tcPr>
            <w:tcW w:w="689" w:type="pct"/>
            <w:tcBorders>
              <w:top w:val="nil"/>
              <w:left w:val="nil"/>
              <w:bottom w:val="single" w:sz="4" w:space="0" w:color="auto"/>
              <w:right w:val="single" w:sz="4" w:space="0" w:color="auto"/>
            </w:tcBorders>
            <w:shd w:val="clear" w:color="000000" w:fill="FFFFFF"/>
            <w:noWrap/>
            <w:hideMark/>
          </w:tcPr>
          <w:p w14:paraId="65F4A6FF" w14:textId="77777777" w:rsidR="00847074" w:rsidRDefault="00847074">
            <w:pPr>
              <w:jc w:val="center"/>
              <w:rPr>
                <w:noProof/>
                <w:color w:val="000000"/>
                <w:sz w:val="20"/>
                <w:szCs w:val="20"/>
              </w:rPr>
            </w:pPr>
            <w:r>
              <w:rPr>
                <w:noProof/>
                <w:color w:val="000000"/>
                <w:sz w:val="20"/>
                <w:szCs w:val="20"/>
              </w:rPr>
              <w:t>41</w:t>
            </w:r>
          </w:p>
        </w:tc>
        <w:tc>
          <w:tcPr>
            <w:tcW w:w="1243" w:type="pct"/>
            <w:tcBorders>
              <w:top w:val="nil"/>
              <w:left w:val="nil"/>
              <w:bottom w:val="single" w:sz="4" w:space="0" w:color="auto"/>
              <w:right w:val="single" w:sz="4" w:space="0" w:color="auto"/>
            </w:tcBorders>
            <w:shd w:val="clear" w:color="000000" w:fill="FFFFFF"/>
            <w:noWrap/>
            <w:hideMark/>
          </w:tcPr>
          <w:p w14:paraId="75B77E78" w14:textId="0F517BED" w:rsidR="00847074" w:rsidRPr="00586908" w:rsidRDefault="00847074">
            <w:pPr>
              <w:jc w:val="center"/>
              <w:rPr>
                <w:noProof/>
                <w:color w:val="000000"/>
                <w:sz w:val="20"/>
                <w:szCs w:val="20"/>
              </w:rPr>
            </w:pPr>
            <w:r w:rsidRPr="00586908">
              <w:rPr>
                <w:noProof/>
                <w:color w:val="000000"/>
                <w:sz w:val="20"/>
                <w:szCs w:val="20"/>
              </w:rPr>
              <w:t>18,148</w:t>
            </w:r>
          </w:p>
        </w:tc>
        <w:tc>
          <w:tcPr>
            <w:tcW w:w="1241" w:type="pct"/>
            <w:tcBorders>
              <w:top w:val="nil"/>
              <w:left w:val="nil"/>
              <w:bottom w:val="single" w:sz="4" w:space="0" w:color="auto"/>
              <w:right w:val="single" w:sz="4" w:space="0" w:color="auto"/>
            </w:tcBorders>
            <w:shd w:val="clear" w:color="000000" w:fill="FFFFFF"/>
            <w:noWrap/>
            <w:hideMark/>
          </w:tcPr>
          <w:p w14:paraId="1B7BA8C6" w14:textId="77777777" w:rsidR="00847074" w:rsidRDefault="00847074">
            <w:pPr>
              <w:jc w:val="center"/>
              <w:rPr>
                <w:noProof/>
                <w:color w:val="000000"/>
                <w:sz w:val="20"/>
                <w:szCs w:val="20"/>
              </w:rPr>
            </w:pPr>
            <w:r>
              <w:rPr>
                <w:noProof/>
                <w:color w:val="000000"/>
                <w:sz w:val="20"/>
                <w:szCs w:val="20"/>
              </w:rPr>
              <w:t>0.3%</w:t>
            </w:r>
          </w:p>
        </w:tc>
      </w:tr>
      <w:tr w:rsidR="00847074" w14:paraId="7AD92ABF" w14:textId="77777777" w:rsidTr="00847074">
        <w:trPr>
          <w:trHeight w:val="255"/>
        </w:trPr>
        <w:tc>
          <w:tcPr>
            <w:tcW w:w="5000" w:type="pct"/>
            <w:gridSpan w:val="6"/>
            <w:tcBorders>
              <w:top w:val="single" w:sz="4" w:space="0" w:color="auto"/>
              <w:left w:val="single" w:sz="4" w:space="0" w:color="auto"/>
              <w:bottom w:val="single" w:sz="4" w:space="0" w:color="auto"/>
              <w:right w:val="single" w:sz="4" w:space="0" w:color="000000"/>
            </w:tcBorders>
            <w:shd w:val="clear" w:color="000000" w:fill="BDE3FF"/>
            <w:noWrap/>
            <w:hideMark/>
          </w:tcPr>
          <w:p w14:paraId="7B6C0A6E" w14:textId="77777777" w:rsidR="00847074" w:rsidRDefault="00847074">
            <w:pPr>
              <w:rPr>
                <w:b/>
                <w:bCs/>
                <w:noProof/>
                <w:sz w:val="20"/>
                <w:szCs w:val="20"/>
              </w:rPr>
            </w:pPr>
            <w:r>
              <w:rPr>
                <w:b/>
                <w:bCs/>
                <w:noProof/>
                <w:sz w:val="20"/>
                <w:szCs w:val="20"/>
              </w:rPr>
              <w:t>NOx emissions (tonnes of NOx avoided)</w:t>
            </w:r>
          </w:p>
        </w:tc>
      </w:tr>
      <w:tr w:rsidR="005F7281" w14:paraId="4973F25D" w14:textId="77777777" w:rsidTr="005F7281">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7849ED46" w14:textId="77777777" w:rsidR="005F7281" w:rsidRDefault="005F7281" w:rsidP="005F7281">
            <w:pPr>
              <w:rPr>
                <w:noProof/>
                <w:sz w:val="20"/>
                <w:szCs w:val="20"/>
              </w:rPr>
            </w:pPr>
            <w:r>
              <w:rPr>
                <w:noProof/>
                <w:sz w:val="20"/>
                <w:szCs w:val="20"/>
              </w:rPr>
              <w:t>PO1</w:t>
            </w:r>
          </w:p>
        </w:tc>
        <w:tc>
          <w:tcPr>
            <w:tcW w:w="689" w:type="pct"/>
            <w:tcBorders>
              <w:top w:val="nil"/>
              <w:left w:val="nil"/>
              <w:bottom w:val="single" w:sz="4" w:space="0" w:color="auto"/>
              <w:right w:val="single" w:sz="4" w:space="0" w:color="auto"/>
            </w:tcBorders>
            <w:shd w:val="clear" w:color="000000" w:fill="FFFFFF"/>
            <w:noWrap/>
            <w:hideMark/>
          </w:tcPr>
          <w:p w14:paraId="47209B6D" w14:textId="77777777" w:rsidR="005F7281" w:rsidRDefault="005F7281" w:rsidP="005F7281">
            <w:pPr>
              <w:jc w:val="center"/>
              <w:rPr>
                <w:noProof/>
                <w:color w:val="000000"/>
                <w:sz w:val="20"/>
                <w:szCs w:val="20"/>
              </w:rPr>
            </w:pPr>
            <w:r>
              <w:rPr>
                <w:noProof/>
                <w:color w:val="000000"/>
                <w:sz w:val="20"/>
                <w:szCs w:val="20"/>
              </w:rPr>
              <w:t>485</w:t>
            </w:r>
          </w:p>
        </w:tc>
        <w:tc>
          <w:tcPr>
            <w:tcW w:w="689" w:type="pct"/>
            <w:tcBorders>
              <w:top w:val="nil"/>
              <w:left w:val="nil"/>
              <w:bottom w:val="single" w:sz="4" w:space="0" w:color="auto"/>
              <w:right w:val="single" w:sz="4" w:space="0" w:color="auto"/>
            </w:tcBorders>
            <w:shd w:val="clear" w:color="000000" w:fill="FFFFFF"/>
            <w:noWrap/>
            <w:hideMark/>
          </w:tcPr>
          <w:p w14:paraId="48F78E52" w14:textId="76736A49" w:rsidR="005F7281" w:rsidRDefault="005F7281" w:rsidP="005F7281">
            <w:pPr>
              <w:jc w:val="center"/>
              <w:rPr>
                <w:noProof/>
                <w:color w:val="000000"/>
                <w:sz w:val="20"/>
                <w:szCs w:val="20"/>
              </w:rPr>
            </w:pPr>
            <w:r>
              <w:rPr>
                <w:noProof/>
                <w:color w:val="000000"/>
                <w:sz w:val="20"/>
                <w:szCs w:val="20"/>
              </w:rPr>
              <w:t>377</w:t>
            </w:r>
          </w:p>
        </w:tc>
        <w:tc>
          <w:tcPr>
            <w:tcW w:w="689" w:type="pct"/>
            <w:tcBorders>
              <w:top w:val="nil"/>
              <w:left w:val="nil"/>
              <w:bottom w:val="single" w:sz="4" w:space="0" w:color="auto"/>
              <w:right w:val="single" w:sz="4" w:space="0" w:color="auto"/>
            </w:tcBorders>
            <w:shd w:val="clear" w:color="000000" w:fill="FFFFFF"/>
            <w:noWrap/>
            <w:hideMark/>
          </w:tcPr>
          <w:p w14:paraId="5C1BC4F1" w14:textId="4BD99AD9" w:rsidR="005F7281" w:rsidRDefault="005F7281" w:rsidP="005F7281">
            <w:pPr>
              <w:jc w:val="center"/>
              <w:rPr>
                <w:noProof/>
                <w:color w:val="000000"/>
                <w:sz w:val="20"/>
                <w:szCs w:val="20"/>
              </w:rPr>
            </w:pPr>
            <w:r>
              <w:rPr>
                <w:noProof/>
                <w:color w:val="000000"/>
                <w:sz w:val="20"/>
                <w:szCs w:val="20"/>
              </w:rPr>
              <w:t>93</w:t>
            </w:r>
          </w:p>
        </w:tc>
        <w:tc>
          <w:tcPr>
            <w:tcW w:w="1243" w:type="pct"/>
            <w:tcBorders>
              <w:top w:val="nil"/>
              <w:left w:val="nil"/>
              <w:bottom w:val="single" w:sz="4" w:space="0" w:color="auto"/>
              <w:right w:val="single" w:sz="4" w:space="0" w:color="auto"/>
            </w:tcBorders>
            <w:shd w:val="clear" w:color="000000" w:fill="FFFFFF"/>
            <w:noWrap/>
            <w:hideMark/>
          </w:tcPr>
          <w:p w14:paraId="305F33A2" w14:textId="77777777" w:rsidR="005F7281" w:rsidRDefault="005F7281" w:rsidP="005F7281">
            <w:pPr>
              <w:jc w:val="center"/>
              <w:rPr>
                <w:noProof/>
                <w:color w:val="000000"/>
                <w:sz w:val="20"/>
                <w:szCs w:val="20"/>
              </w:rPr>
            </w:pPr>
            <w:r>
              <w:rPr>
                <w:noProof/>
                <w:color w:val="000000"/>
                <w:sz w:val="20"/>
                <w:szCs w:val="20"/>
              </w:rPr>
              <w:t>7,727</w:t>
            </w:r>
          </w:p>
        </w:tc>
        <w:tc>
          <w:tcPr>
            <w:tcW w:w="1241" w:type="pct"/>
            <w:tcBorders>
              <w:top w:val="nil"/>
              <w:left w:val="nil"/>
              <w:bottom w:val="single" w:sz="4" w:space="0" w:color="auto"/>
              <w:right w:val="single" w:sz="4" w:space="0" w:color="auto"/>
            </w:tcBorders>
            <w:shd w:val="clear" w:color="000000" w:fill="FFFFFF"/>
            <w:noWrap/>
            <w:hideMark/>
          </w:tcPr>
          <w:p w14:paraId="4F4C9EC6" w14:textId="77777777" w:rsidR="005F7281" w:rsidRDefault="005F7281" w:rsidP="005F7281">
            <w:pPr>
              <w:jc w:val="center"/>
              <w:rPr>
                <w:noProof/>
                <w:color w:val="000000"/>
                <w:sz w:val="20"/>
                <w:szCs w:val="20"/>
              </w:rPr>
            </w:pPr>
            <w:r>
              <w:rPr>
                <w:noProof/>
                <w:color w:val="000000"/>
                <w:sz w:val="20"/>
                <w:szCs w:val="20"/>
              </w:rPr>
              <w:t>0.1%</w:t>
            </w:r>
          </w:p>
        </w:tc>
      </w:tr>
      <w:tr w:rsidR="005F7281" w14:paraId="5C53E7BB" w14:textId="77777777" w:rsidTr="005F7281">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0025AADD" w14:textId="77777777" w:rsidR="005F7281" w:rsidRDefault="005F7281" w:rsidP="005F7281">
            <w:pPr>
              <w:rPr>
                <w:noProof/>
                <w:sz w:val="20"/>
                <w:szCs w:val="20"/>
              </w:rPr>
            </w:pPr>
            <w:r>
              <w:rPr>
                <w:noProof/>
                <w:sz w:val="20"/>
                <w:szCs w:val="20"/>
              </w:rPr>
              <w:t>PO2</w:t>
            </w:r>
          </w:p>
        </w:tc>
        <w:tc>
          <w:tcPr>
            <w:tcW w:w="689" w:type="pct"/>
            <w:tcBorders>
              <w:top w:val="nil"/>
              <w:left w:val="nil"/>
              <w:bottom w:val="single" w:sz="4" w:space="0" w:color="auto"/>
              <w:right w:val="single" w:sz="4" w:space="0" w:color="auto"/>
            </w:tcBorders>
            <w:shd w:val="clear" w:color="000000" w:fill="FFFFFF"/>
            <w:noWrap/>
            <w:hideMark/>
          </w:tcPr>
          <w:p w14:paraId="401881EE" w14:textId="77777777" w:rsidR="005F7281" w:rsidRDefault="005F7281" w:rsidP="005F7281">
            <w:pPr>
              <w:jc w:val="center"/>
              <w:rPr>
                <w:noProof/>
                <w:color w:val="000000"/>
                <w:sz w:val="20"/>
                <w:szCs w:val="20"/>
              </w:rPr>
            </w:pPr>
            <w:r>
              <w:rPr>
                <w:noProof/>
                <w:color w:val="000000"/>
                <w:sz w:val="20"/>
                <w:szCs w:val="20"/>
              </w:rPr>
              <w:t>986</w:t>
            </w:r>
          </w:p>
        </w:tc>
        <w:tc>
          <w:tcPr>
            <w:tcW w:w="689" w:type="pct"/>
            <w:tcBorders>
              <w:top w:val="nil"/>
              <w:left w:val="nil"/>
              <w:bottom w:val="single" w:sz="4" w:space="0" w:color="auto"/>
              <w:right w:val="single" w:sz="4" w:space="0" w:color="auto"/>
            </w:tcBorders>
            <w:shd w:val="clear" w:color="000000" w:fill="FFFFFF"/>
            <w:noWrap/>
            <w:hideMark/>
          </w:tcPr>
          <w:p w14:paraId="073D504C" w14:textId="5232BBDF" w:rsidR="005F7281" w:rsidRDefault="005F7281" w:rsidP="005F7281">
            <w:pPr>
              <w:jc w:val="center"/>
              <w:rPr>
                <w:noProof/>
                <w:color w:val="000000"/>
                <w:sz w:val="20"/>
                <w:szCs w:val="20"/>
              </w:rPr>
            </w:pPr>
            <w:r>
              <w:rPr>
                <w:noProof/>
                <w:color w:val="000000"/>
                <w:sz w:val="20"/>
                <w:szCs w:val="20"/>
              </w:rPr>
              <w:t>749</w:t>
            </w:r>
          </w:p>
        </w:tc>
        <w:tc>
          <w:tcPr>
            <w:tcW w:w="689" w:type="pct"/>
            <w:tcBorders>
              <w:top w:val="nil"/>
              <w:left w:val="nil"/>
              <w:bottom w:val="single" w:sz="4" w:space="0" w:color="auto"/>
              <w:right w:val="single" w:sz="4" w:space="0" w:color="auto"/>
            </w:tcBorders>
            <w:shd w:val="clear" w:color="000000" w:fill="FFFFFF"/>
            <w:noWrap/>
            <w:hideMark/>
          </w:tcPr>
          <w:p w14:paraId="563E2463" w14:textId="5ABBD217" w:rsidR="005F7281" w:rsidRDefault="005F7281" w:rsidP="005F7281">
            <w:pPr>
              <w:jc w:val="center"/>
              <w:rPr>
                <w:noProof/>
                <w:color w:val="000000"/>
                <w:sz w:val="20"/>
                <w:szCs w:val="20"/>
              </w:rPr>
            </w:pPr>
            <w:r>
              <w:rPr>
                <w:noProof/>
                <w:color w:val="000000"/>
                <w:sz w:val="20"/>
                <w:szCs w:val="20"/>
              </w:rPr>
              <w:t>194</w:t>
            </w:r>
          </w:p>
        </w:tc>
        <w:tc>
          <w:tcPr>
            <w:tcW w:w="1243" w:type="pct"/>
            <w:tcBorders>
              <w:top w:val="nil"/>
              <w:left w:val="nil"/>
              <w:bottom w:val="single" w:sz="4" w:space="0" w:color="auto"/>
              <w:right w:val="single" w:sz="4" w:space="0" w:color="auto"/>
            </w:tcBorders>
            <w:shd w:val="clear" w:color="000000" w:fill="FFFFFF"/>
            <w:noWrap/>
            <w:hideMark/>
          </w:tcPr>
          <w:p w14:paraId="2906CD52" w14:textId="77777777" w:rsidR="005F7281" w:rsidRDefault="005F7281" w:rsidP="005F7281">
            <w:pPr>
              <w:jc w:val="center"/>
              <w:rPr>
                <w:noProof/>
                <w:color w:val="000000"/>
                <w:sz w:val="20"/>
                <w:szCs w:val="20"/>
              </w:rPr>
            </w:pPr>
            <w:r>
              <w:rPr>
                <w:noProof/>
                <w:color w:val="000000"/>
                <w:sz w:val="20"/>
                <w:szCs w:val="20"/>
              </w:rPr>
              <w:t>16,221</w:t>
            </w:r>
          </w:p>
        </w:tc>
        <w:tc>
          <w:tcPr>
            <w:tcW w:w="1241" w:type="pct"/>
            <w:tcBorders>
              <w:top w:val="nil"/>
              <w:left w:val="nil"/>
              <w:bottom w:val="single" w:sz="4" w:space="0" w:color="auto"/>
              <w:right w:val="single" w:sz="4" w:space="0" w:color="auto"/>
            </w:tcBorders>
            <w:shd w:val="clear" w:color="000000" w:fill="FFFFFF"/>
            <w:noWrap/>
            <w:hideMark/>
          </w:tcPr>
          <w:p w14:paraId="04FF9716" w14:textId="77777777" w:rsidR="005F7281" w:rsidRDefault="005F7281" w:rsidP="005F7281">
            <w:pPr>
              <w:jc w:val="center"/>
              <w:rPr>
                <w:noProof/>
                <w:color w:val="000000"/>
                <w:sz w:val="20"/>
                <w:szCs w:val="20"/>
              </w:rPr>
            </w:pPr>
            <w:r>
              <w:rPr>
                <w:noProof/>
                <w:color w:val="000000"/>
                <w:sz w:val="20"/>
                <w:szCs w:val="20"/>
              </w:rPr>
              <w:t>0.1%</w:t>
            </w:r>
          </w:p>
        </w:tc>
      </w:tr>
      <w:tr w:rsidR="005F7281" w14:paraId="2712B0CA" w14:textId="77777777" w:rsidTr="005F7281">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19EDC861" w14:textId="77777777" w:rsidR="005F7281" w:rsidRDefault="005F7281" w:rsidP="005F7281">
            <w:pPr>
              <w:rPr>
                <w:noProof/>
                <w:sz w:val="20"/>
                <w:szCs w:val="20"/>
              </w:rPr>
            </w:pPr>
            <w:r>
              <w:rPr>
                <w:noProof/>
                <w:sz w:val="20"/>
                <w:szCs w:val="20"/>
              </w:rPr>
              <w:t>PO3</w:t>
            </w:r>
          </w:p>
        </w:tc>
        <w:tc>
          <w:tcPr>
            <w:tcW w:w="689" w:type="pct"/>
            <w:tcBorders>
              <w:top w:val="nil"/>
              <w:left w:val="nil"/>
              <w:bottom w:val="single" w:sz="4" w:space="0" w:color="auto"/>
              <w:right w:val="single" w:sz="4" w:space="0" w:color="auto"/>
            </w:tcBorders>
            <w:shd w:val="clear" w:color="000000" w:fill="FFFFFF"/>
            <w:noWrap/>
            <w:hideMark/>
          </w:tcPr>
          <w:p w14:paraId="522CE3BD" w14:textId="77777777" w:rsidR="005F7281" w:rsidRDefault="005F7281" w:rsidP="005F7281">
            <w:pPr>
              <w:jc w:val="center"/>
              <w:rPr>
                <w:noProof/>
                <w:color w:val="000000"/>
                <w:sz w:val="20"/>
                <w:szCs w:val="20"/>
              </w:rPr>
            </w:pPr>
            <w:r>
              <w:rPr>
                <w:noProof/>
                <w:color w:val="000000"/>
                <w:sz w:val="20"/>
                <w:szCs w:val="20"/>
              </w:rPr>
              <w:t>1,532</w:t>
            </w:r>
          </w:p>
        </w:tc>
        <w:tc>
          <w:tcPr>
            <w:tcW w:w="689" w:type="pct"/>
            <w:tcBorders>
              <w:top w:val="nil"/>
              <w:left w:val="nil"/>
              <w:bottom w:val="single" w:sz="4" w:space="0" w:color="auto"/>
              <w:right w:val="single" w:sz="4" w:space="0" w:color="auto"/>
            </w:tcBorders>
            <w:shd w:val="clear" w:color="000000" w:fill="FFFFFF"/>
            <w:noWrap/>
            <w:hideMark/>
          </w:tcPr>
          <w:p w14:paraId="1F29B3D6" w14:textId="756A188D" w:rsidR="005F7281" w:rsidRDefault="005F7281" w:rsidP="005F7281">
            <w:pPr>
              <w:jc w:val="center"/>
              <w:rPr>
                <w:noProof/>
                <w:color w:val="000000"/>
                <w:sz w:val="20"/>
                <w:szCs w:val="20"/>
              </w:rPr>
            </w:pPr>
            <w:r>
              <w:rPr>
                <w:noProof/>
                <w:color w:val="000000"/>
                <w:sz w:val="20"/>
                <w:szCs w:val="20"/>
              </w:rPr>
              <w:t>1,142</w:t>
            </w:r>
          </w:p>
        </w:tc>
        <w:tc>
          <w:tcPr>
            <w:tcW w:w="689" w:type="pct"/>
            <w:tcBorders>
              <w:top w:val="nil"/>
              <w:left w:val="nil"/>
              <w:bottom w:val="single" w:sz="4" w:space="0" w:color="auto"/>
              <w:right w:val="single" w:sz="4" w:space="0" w:color="auto"/>
            </w:tcBorders>
            <w:shd w:val="clear" w:color="000000" w:fill="FFFFFF"/>
            <w:noWrap/>
            <w:hideMark/>
          </w:tcPr>
          <w:p w14:paraId="1DE4DAFB" w14:textId="71E70DEE" w:rsidR="005F7281" w:rsidRDefault="005F7281" w:rsidP="005F7281">
            <w:pPr>
              <w:jc w:val="center"/>
              <w:rPr>
                <w:noProof/>
                <w:color w:val="000000"/>
                <w:sz w:val="20"/>
                <w:szCs w:val="20"/>
              </w:rPr>
            </w:pPr>
            <w:r>
              <w:rPr>
                <w:noProof/>
                <w:color w:val="000000"/>
                <w:sz w:val="20"/>
                <w:szCs w:val="20"/>
              </w:rPr>
              <w:t>271</w:t>
            </w:r>
          </w:p>
        </w:tc>
        <w:tc>
          <w:tcPr>
            <w:tcW w:w="1243" w:type="pct"/>
            <w:tcBorders>
              <w:top w:val="nil"/>
              <w:left w:val="nil"/>
              <w:bottom w:val="single" w:sz="4" w:space="0" w:color="auto"/>
              <w:right w:val="single" w:sz="4" w:space="0" w:color="auto"/>
            </w:tcBorders>
            <w:shd w:val="clear" w:color="000000" w:fill="FFFFFF"/>
            <w:noWrap/>
            <w:hideMark/>
          </w:tcPr>
          <w:p w14:paraId="6FB19889" w14:textId="77777777" w:rsidR="005F7281" w:rsidRPr="00586908" w:rsidRDefault="005F7281" w:rsidP="005F7281">
            <w:pPr>
              <w:jc w:val="center"/>
              <w:rPr>
                <w:noProof/>
                <w:color w:val="000000"/>
                <w:sz w:val="20"/>
                <w:szCs w:val="20"/>
              </w:rPr>
            </w:pPr>
            <w:r w:rsidRPr="00586908">
              <w:rPr>
                <w:noProof/>
                <w:color w:val="000000"/>
                <w:sz w:val="20"/>
                <w:szCs w:val="20"/>
              </w:rPr>
              <w:t>23,929</w:t>
            </w:r>
          </w:p>
        </w:tc>
        <w:tc>
          <w:tcPr>
            <w:tcW w:w="1241" w:type="pct"/>
            <w:tcBorders>
              <w:top w:val="nil"/>
              <w:left w:val="nil"/>
              <w:bottom w:val="single" w:sz="4" w:space="0" w:color="auto"/>
              <w:right w:val="single" w:sz="4" w:space="0" w:color="auto"/>
            </w:tcBorders>
            <w:shd w:val="clear" w:color="000000" w:fill="FFFFFF"/>
            <w:noWrap/>
            <w:hideMark/>
          </w:tcPr>
          <w:p w14:paraId="0B35B94F" w14:textId="77777777" w:rsidR="005F7281" w:rsidRDefault="005F7281" w:rsidP="005F7281">
            <w:pPr>
              <w:jc w:val="center"/>
              <w:rPr>
                <w:noProof/>
                <w:color w:val="000000"/>
                <w:sz w:val="20"/>
                <w:szCs w:val="20"/>
              </w:rPr>
            </w:pPr>
            <w:r>
              <w:rPr>
                <w:noProof/>
                <w:color w:val="000000"/>
                <w:sz w:val="20"/>
                <w:szCs w:val="20"/>
              </w:rPr>
              <w:t>0.2%</w:t>
            </w:r>
          </w:p>
        </w:tc>
      </w:tr>
      <w:tr w:rsidR="005F7281" w14:paraId="457D77C1" w14:textId="77777777" w:rsidTr="005F7281">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13150BDA" w14:textId="77777777" w:rsidR="005F7281" w:rsidRDefault="005F7281" w:rsidP="005F7281">
            <w:pPr>
              <w:rPr>
                <w:noProof/>
                <w:sz w:val="20"/>
                <w:szCs w:val="20"/>
              </w:rPr>
            </w:pPr>
            <w:r>
              <w:rPr>
                <w:noProof/>
                <w:sz w:val="20"/>
                <w:szCs w:val="20"/>
              </w:rPr>
              <w:t>PO4</w:t>
            </w:r>
          </w:p>
        </w:tc>
        <w:tc>
          <w:tcPr>
            <w:tcW w:w="689" w:type="pct"/>
            <w:tcBorders>
              <w:top w:val="nil"/>
              <w:left w:val="nil"/>
              <w:bottom w:val="single" w:sz="4" w:space="0" w:color="auto"/>
              <w:right w:val="single" w:sz="4" w:space="0" w:color="auto"/>
            </w:tcBorders>
            <w:shd w:val="clear" w:color="000000" w:fill="FFFFFF"/>
            <w:noWrap/>
            <w:hideMark/>
          </w:tcPr>
          <w:p w14:paraId="29747533" w14:textId="77777777" w:rsidR="005F7281" w:rsidRDefault="005F7281" w:rsidP="005F7281">
            <w:pPr>
              <w:jc w:val="center"/>
              <w:rPr>
                <w:noProof/>
                <w:color w:val="000000"/>
                <w:sz w:val="20"/>
                <w:szCs w:val="20"/>
              </w:rPr>
            </w:pPr>
            <w:r>
              <w:rPr>
                <w:noProof/>
                <w:color w:val="000000"/>
                <w:sz w:val="20"/>
                <w:szCs w:val="20"/>
              </w:rPr>
              <w:t>1,097</w:t>
            </w:r>
          </w:p>
        </w:tc>
        <w:tc>
          <w:tcPr>
            <w:tcW w:w="689" w:type="pct"/>
            <w:tcBorders>
              <w:top w:val="nil"/>
              <w:left w:val="nil"/>
              <w:bottom w:val="single" w:sz="4" w:space="0" w:color="auto"/>
              <w:right w:val="single" w:sz="4" w:space="0" w:color="auto"/>
            </w:tcBorders>
            <w:shd w:val="clear" w:color="000000" w:fill="FFFFFF"/>
            <w:noWrap/>
            <w:hideMark/>
          </w:tcPr>
          <w:p w14:paraId="73C0F88C" w14:textId="69CD881F" w:rsidR="005F7281" w:rsidRDefault="005F7281" w:rsidP="005F7281">
            <w:pPr>
              <w:jc w:val="center"/>
              <w:rPr>
                <w:noProof/>
                <w:color w:val="000000"/>
                <w:sz w:val="20"/>
                <w:szCs w:val="20"/>
              </w:rPr>
            </w:pPr>
            <w:r>
              <w:rPr>
                <w:noProof/>
                <w:color w:val="000000"/>
                <w:sz w:val="20"/>
                <w:szCs w:val="20"/>
              </w:rPr>
              <w:t>833</w:t>
            </w:r>
          </w:p>
        </w:tc>
        <w:tc>
          <w:tcPr>
            <w:tcW w:w="689" w:type="pct"/>
            <w:tcBorders>
              <w:top w:val="nil"/>
              <w:left w:val="nil"/>
              <w:bottom w:val="single" w:sz="4" w:space="0" w:color="auto"/>
              <w:right w:val="single" w:sz="4" w:space="0" w:color="auto"/>
            </w:tcBorders>
            <w:shd w:val="clear" w:color="000000" w:fill="FFFFFF"/>
            <w:noWrap/>
            <w:hideMark/>
          </w:tcPr>
          <w:p w14:paraId="4D0BF697" w14:textId="5177FD55" w:rsidR="005F7281" w:rsidRDefault="005F7281" w:rsidP="005F7281">
            <w:pPr>
              <w:jc w:val="center"/>
              <w:rPr>
                <w:noProof/>
                <w:color w:val="000000"/>
                <w:sz w:val="20"/>
                <w:szCs w:val="20"/>
              </w:rPr>
            </w:pPr>
            <w:r>
              <w:rPr>
                <w:noProof/>
                <w:color w:val="000000"/>
                <w:sz w:val="20"/>
                <w:szCs w:val="20"/>
              </w:rPr>
              <w:t>212</w:t>
            </w:r>
          </w:p>
        </w:tc>
        <w:tc>
          <w:tcPr>
            <w:tcW w:w="1243" w:type="pct"/>
            <w:tcBorders>
              <w:top w:val="nil"/>
              <w:left w:val="nil"/>
              <w:bottom w:val="single" w:sz="4" w:space="0" w:color="auto"/>
              <w:right w:val="single" w:sz="4" w:space="0" w:color="auto"/>
            </w:tcBorders>
            <w:shd w:val="clear" w:color="000000" w:fill="FFFFFF"/>
            <w:noWrap/>
            <w:hideMark/>
          </w:tcPr>
          <w:p w14:paraId="5EFFCFB4" w14:textId="440BFE7A" w:rsidR="005F7281" w:rsidRPr="00586908" w:rsidRDefault="005F7281" w:rsidP="005F7281">
            <w:pPr>
              <w:jc w:val="center"/>
              <w:rPr>
                <w:noProof/>
                <w:color w:val="000000"/>
                <w:sz w:val="20"/>
                <w:szCs w:val="20"/>
              </w:rPr>
            </w:pPr>
            <w:r w:rsidRPr="00586908">
              <w:rPr>
                <w:noProof/>
                <w:color w:val="000000"/>
                <w:sz w:val="20"/>
                <w:szCs w:val="20"/>
              </w:rPr>
              <w:t>17,911</w:t>
            </w:r>
          </w:p>
        </w:tc>
        <w:tc>
          <w:tcPr>
            <w:tcW w:w="1241" w:type="pct"/>
            <w:tcBorders>
              <w:top w:val="nil"/>
              <w:left w:val="nil"/>
              <w:bottom w:val="single" w:sz="4" w:space="0" w:color="auto"/>
              <w:right w:val="single" w:sz="4" w:space="0" w:color="auto"/>
            </w:tcBorders>
            <w:shd w:val="clear" w:color="000000" w:fill="FFFFFF"/>
            <w:noWrap/>
            <w:hideMark/>
          </w:tcPr>
          <w:p w14:paraId="16D005DC" w14:textId="77777777" w:rsidR="005F7281" w:rsidRDefault="005F7281" w:rsidP="005F7281">
            <w:pPr>
              <w:jc w:val="center"/>
              <w:rPr>
                <w:noProof/>
                <w:color w:val="000000"/>
                <w:sz w:val="20"/>
                <w:szCs w:val="20"/>
              </w:rPr>
            </w:pPr>
            <w:r>
              <w:rPr>
                <w:noProof/>
                <w:color w:val="000000"/>
                <w:sz w:val="20"/>
                <w:szCs w:val="20"/>
              </w:rPr>
              <w:t>0.1%</w:t>
            </w:r>
          </w:p>
        </w:tc>
      </w:tr>
      <w:tr w:rsidR="00847074" w14:paraId="233EE1BE" w14:textId="77777777" w:rsidTr="00847074">
        <w:trPr>
          <w:trHeight w:val="255"/>
        </w:trPr>
        <w:tc>
          <w:tcPr>
            <w:tcW w:w="5000" w:type="pct"/>
            <w:gridSpan w:val="6"/>
            <w:tcBorders>
              <w:top w:val="single" w:sz="4" w:space="0" w:color="auto"/>
              <w:left w:val="single" w:sz="4" w:space="0" w:color="auto"/>
              <w:bottom w:val="single" w:sz="4" w:space="0" w:color="auto"/>
              <w:right w:val="single" w:sz="4" w:space="0" w:color="000000"/>
            </w:tcBorders>
            <w:shd w:val="clear" w:color="000000" w:fill="BDE3FF"/>
            <w:noWrap/>
            <w:hideMark/>
          </w:tcPr>
          <w:p w14:paraId="7967EEBE" w14:textId="77777777" w:rsidR="00847074" w:rsidRDefault="00847074">
            <w:pPr>
              <w:rPr>
                <w:b/>
                <w:bCs/>
                <w:noProof/>
                <w:sz w:val="20"/>
                <w:szCs w:val="20"/>
              </w:rPr>
            </w:pPr>
            <w:r>
              <w:rPr>
                <w:b/>
                <w:bCs/>
                <w:noProof/>
                <w:sz w:val="20"/>
                <w:szCs w:val="20"/>
              </w:rPr>
              <w:t>PM2.5 emissions (tonnes of PM avoided)</w:t>
            </w:r>
          </w:p>
        </w:tc>
      </w:tr>
      <w:tr w:rsidR="00B54270" w14:paraId="44FBDD29" w14:textId="77777777" w:rsidTr="005F7281">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3E66ED19" w14:textId="77777777" w:rsidR="00B54270" w:rsidRDefault="00B54270" w:rsidP="00B54270">
            <w:pPr>
              <w:rPr>
                <w:noProof/>
                <w:sz w:val="20"/>
                <w:szCs w:val="20"/>
              </w:rPr>
            </w:pPr>
            <w:r>
              <w:rPr>
                <w:noProof/>
                <w:sz w:val="20"/>
                <w:szCs w:val="20"/>
              </w:rPr>
              <w:t>PO1</w:t>
            </w:r>
          </w:p>
        </w:tc>
        <w:tc>
          <w:tcPr>
            <w:tcW w:w="689" w:type="pct"/>
            <w:tcBorders>
              <w:top w:val="nil"/>
              <w:left w:val="nil"/>
              <w:bottom w:val="single" w:sz="4" w:space="0" w:color="auto"/>
              <w:right w:val="single" w:sz="4" w:space="0" w:color="auto"/>
            </w:tcBorders>
            <w:shd w:val="clear" w:color="000000" w:fill="FFFFFF"/>
            <w:noWrap/>
            <w:hideMark/>
          </w:tcPr>
          <w:p w14:paraId="0DA29EF8" w14:textId="77777777" w:rsidR="00B54270" w:rsidRDefault="00B54270" w:rsidP="00B54270">
            <w:pPr>
              <w:jc w:val="center"/>
              <w:rPr>
                <w:noProof/>
                <w:color w:val="000000"/>
                <w:sz w:val="20"/>
                <w:szCs w:val="20"/>
              </w:rPr>
            </w:pPr>
            <w:r>
              <w:rPr>
                <w:noProof/>
                <w:color w:val="000000"/>
                <w:sz w:val="20"/>
                <w:szCs w:val="20"/>
              </w:rPr>
              <w:t>27</w:t>
            </w:r>
          </w:p>
        </w:tc>
        <w:tc>
          <w:tcPr>
            <w:tcW w:w="689" w:type="pct"/>
            <w:tcBorders>
              <w:top w:val="nil"/>
              <w:left w:val="nil"/>
              <w:bottom w:val="single" w:sz="4" w:space="0" w:color="auto"/>
              <w:right w:val="single" w:sz="4" w:space="0" w:color="auto"/>
            </w:tcBorders>
            <w:shd w:val="clear" w:color="000000" w:fill="FFFFFF"/>
            <w:noWrap/>
            <w:hideMark/>
          </w:tcPr>
          <w:p w14:paraId="32B93D20" w14:textId="5D1149CF" w:rsidR="00B54270" w:rsidRDefault="00B54270" w:rsidP="00B54270">
            <w:pPr>
              <w:jc w:val="center"/>
              <w:rPr>
                <w:noProof/>
                <w:color w:val="000000"/>
                <w:sz w:val="20"/>
                <w:szCs w:val="20"/>
              </w:rPr>
            </w:pPr>
            <w:r>
              <w:rPr>
                <w:noProof/>
                <w:color w:val="000000"/>
                <w:sz w:val="20"/>
                <w:szCs w:val="20"/>
              </w:rPr>
              <w:t>19</w:t>
            </w:r>
          </w:p>
        </w:tc>
        <w:tc>
          <w:tcPr>
            <w:tcW w:w="689" w:type="pct"/>
            <w:tcBorders>
              <w:top w:val="nil"/>
              <w:left w:val="nil"/>
              <w:bottom w:val="single" w:sz="4" w:space="0" w:color="auto"/>
              <w:right w:val="single" w:sz="4" w:space="0" w:color="auto"/>
            </w:tcBorders>
            <w:shd w:val="clear" w:color="000000" w:fill="FFFFFF"/>
            <w:noWrap/>
            <w:hideMark/>
          </w:tcPr>
          <w:p w14:paraId="076AD4D6" w14:textId="4AFCB4E1" w:rsidR="00B54270" w:rsidRDefault="00B54270" w:rsidP="00B54270">
            <w:pPr>
              <w:jc w:val="center"/>
              <w:rPr>
                <w:noProof/>
                <w:color w:val="000000"/>
                <w:sz w:val="20"/>
                <w:szCs w:val="20"/>
              </w:rPr>
            </w:pPr>
            <w:r>
              <w:rPr>
                <w:noProof/>
                <w:color w:val="000000"/>
                <w:sz w:val="20"/>
                <w:szCs w:val="20"/>
              </w:rPr>
              <w:t>4</w:t>
            </w:r>
          </w:p>
        </w:tc>
        <w:tc>
          <w:tcPr>
            <w:tcW w:w="1243" w:type="pct"/>
            <w:tcBorders>
              <w:top w:val="nil"/>
              <w:left w:val="nil"/>
              <w:bottom w:val="single" w:sz="4" w:space="0" w:color="auto"/>
              <w:right w:val="single" w:sz="4" w:space="0" w:color="auto"/>
            </w:tcBorders>
            <w:shd w:val="clear" w:color="000000" w:fill="FFFFFF"/>
            <w:noWrap/>
            <w:hideMark/>
          </w:tcPr>
          <w:p w14:paraId="2873D1E9" w14:textId="77777777" w:rsidR="00B54270" w:rsidRDefault="00B54270" w:rsidP="00B54270">
            <w:pPr>
              <w:jc w:val="center"/>
              <w:rPr>
                <w:noProof/>
                <w:color w:val="000000"/>
                <w:sz w:val="20"/>
                <w:szCs w:val="20"/>
              </w:rPr>
            </w:pPr>
            <w:r>
              <w:rPr>
                <w:noProof/>
                <w:color w:val="000000"/>
                <w:sz w:val="20"/>
                <w:szCs w:val="20"/>
              </w:rPr>
              <w:t>437</w:t>
            </w:r>
          </w:p>
        </w:tc>
        <w:tc>
          <w:tcPr>
            <w:tcW w:w="1241" w:type="pct"/>
            <w:tcBorders>
              <w:top w:val="nil"/>
              <w:left w:val="nil"/>
              <w:bottom w:val="single" w:sz="4" w:space="0" w:color="auto"/>
              <w:right w:val="single" w:sz="4" w:space="0" w:color="auto"/>
            </w:tcBorders>
            <w:shd w:val="clear" w:color="000000" w:fill="FFFFFF"/>
            <w:noWrap/>
            <w:hideMark/>
          </w:tcPr>
          <w:p w14:paraId="7E48AC03" w14:textId="77777777" w:rsidR="00B54270" w:rsidRDefault="00B54270" w:rsidP="00B54270">
            <w:pPr>
              <w:jc w:val="center"/>
              <w:rPr>
                <w:noProof/>
                <w:color w:val="000000"/>
                <w:sz w:val="20"/>
                <w:szCs w:val="20"/>
              </w:rPr>
            </w:pPr>
            <w:r>
              <w:rPr>
                <w:noProof/>
                <w:color w:val="000000"/>
                <w:sz w:val="20"/>
                <w:szCs w:val="20"/>
              </w:rPr>
              <w:t>0.1%</w:t>
            </w:r>
          </w:p>
        </w:tc>
      </w:tr>
      <w:tr w:rsidR="00B54270" w14:paraId="70363C52" w14:textId="77777777" w:rsidTr="005F7281">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0D60414B" w14:textId="77777777" w:rsidR="00B54270" w:rsidRDefault="00B54270" w:rsidP="00B54270">
            <w:pPr>
              <w:rPr>
                <w:noProof/>
                <w:sz w:val="20"/>
                <w:szCs w:val="20"/>
              </w:rPr>
            </w:pPr>
            <w:r>
              <w:rPr>
                <w:noProof/>
                <w:sz w:val="20"/>
                <w:szCs w:val="20"/>
              </w:rPr>
              <w:t>PO2</w:t>
            </w:r>
          </w:p>
        </w:tc>
        <w:tc>
          <w:tcPr>
            <w:tcW w:w="689" w:type="pct"/>
            <w:tcBorders>
              <w:top w:val="nil"/>
              <w:left w:val="nil"/>
              <w:bottom w:val="single" w:sz="4" w:space="0" w:color="auto"/>
              <w:right w:val="single" w:sz="4" w:space="0" w:color="auto"/>
            </w:tcBorders>
            <w:shd w:val="clear" w:color="000000" w:fill="FFFFFF"/>
            <w:noWrap/>
            <w:hideMark/>
          </w:tcPr>
          <w:p w14:paraId="40B59417" w14:textId="77777777" w:rsidR="00B54270" w:rsidRDefault="00B54270" w:rsidP="00B54270">
            <w:pPr>
              <w:jc w:val="center"/>
              <w:rPr>
                <w:noProof/>
                <w:color w:val="000000"/>
                <w:sz w:val="20"/>
                <w:szCs w:val="20"/>
              </w:rPr>
            </w:pPr>
            <w:r>
              <w:rPr>
                <w:noProof/>
                <w:color w:val="000000"/>
                <w:sz w:val="20"/>
                <w:szCs w:val="20"/>
              </w:rPr>
              <w:t>57</w:t>
            </w:r>
          </w:p>
        </w:tc>
        <w:tc>
          <w:tcPr>
            <w:tcW w:w="689" w:type="pct"/>
            <w:tcBorders>
              <w:top w:val="nil"/>
              <w:left w:val="nil"/>
              <w:bottom w:val="single" w:sz="4" w:space="0" w:color="auto"/>
              <w:right w:val="single" w:sz="4" w:space="0" w:color="auto"/>
            </w:tcBorders>
            <w:shd w:val="clear" w:color="000000" w:fill="FFFFFF"/>
            <w:noWrap/>
            <w:hideMark/>
          </w:tcPr>
          <w:p w14:paraId="10FF18E4" w14:textId="23E0A96B" w:rsidR="00B54270" w:rsidRDefault="00B54270" w:rsidP="00B54270">
            <w:pPr>
              <w:jc w:val="center"/>
              <w:rPr>
                <w:noProof/>
                <w:color w:val="000000"/>
                <w:sz w:val="20"/>
                <w:szCs w:val="20"/>
              </w:rPr>
            </w:pPr>
            <w:r>
              <w:rPr>
                <w:noProof/>
                <w:color w:val="000000"/>
                <w:sz w:val="20"/>
                <w:szCs w:val="20"/>
              </w:rPr>
              <w:t>43</w:t>
            </w:r>
          </w:p>
        </w:tc>
        <w:tc>
          <w:tcPr>
            <w:tcW w:w="689" w:type="pct"/>
            <w:tcBorders>
              <w:top w:val="nil"/>
              <w:left w:val="nil"/>
              <w:bottom w:val="single" w:sz="4" w:space="0" w:color="auto"/>
              <w:right w:val="single" w:sz="4" w:space="0" w:color="auto"/>
            </w:tcBorders>
            <w:shd w:val="clear" w:color="000000" w:fill="FFFFFF"/>
            <w:noWrap/>
            <w:hideMark/>
          </w:tcPr>
          <w:p w14:paraId="256A90D6" w14:textId="5C986B95" w:rsidR="00B54270" w:rsidRDefault="00B54270" w:rsidP="00B54270">
            <w:pPr>
              <w:jc w:val="center"/>
              <w:rPr>
                <w:noProof/>
                <w:color w:val="000000"/>
                <w:sz w:val="20"/>
                <w:szCs w:val="20"/>
              </w:rPr>
            </w:pPr>
            <w:r>
              <w:rPr>
                <w:noProof/>
                <w:color w:val="000000"/>
                <w:sz w:val="20"/>
                <w:szCs w:val="20"/>
              </w:rPr>
              <w:t>12</w:t>
            </w:r>
          </w:p>
        </w:tc>
        <w:tc>
          <w:tcPr>
            <w:tcW w:w="1243" w:type="pct"/>
            <w:tcBorders>
              <w:top w:val="nil"/>
              <w:left w:val="nil"/>
              <w:bottom w:val="single" w:sz="4" w:space="0" w:color="auto"/>
              <w:right w:val="single" w:sz="4" w:space="0" w:color="auto"/>
            </w:tcBorders>
            <w:shd w:val="clear" w:color="000000" w:fill="FFFFFF"/>
            <w:noWrap/>
            <w:hideMark/>
          </w:tcPr>
          <w:p w14:paraId="04432974" w14:textId="77777777" w:rsidR="00B54270" w:rsidRDefault="00B54270" w:rsidP="00B54270">
            <w:pPr>
              <w:jc w:val="center"/>
              <w:rPr>
                <w:noProof/>
                <w:color w:val="000000"/>
                <w:sz w:val="20"/>
                <w:szCs w:val="20"/>
              </w:rPr>
            </w:pPr>
            <w:r>
              <w:rPr>
                <w:noProof/>
                <w:color w:val="000000"/>
                <w:sz w:val="20"/>
                <w:szCs w:val="20"/>
              </w:rPr>
              <w:t>980</w:t>
            </w:r>
          </w:p>
        </w:tc>
        <w:tc>
          <w:tcPr>
            <w:tcW w:w="1241" w:type="pct"/>
            <w:tcBorders>
              <w:top w:val="nil"/>
              <w:left w:val="nil"/>
              <w:bottom w:val="single" w:sz="4" w:space="0" w:color="auto"/>
              <w:right w:val="single" w:sz="4" w:space="0" w:color="auto"/>
            </w:tcBorders>
            <w:shd w:val="clear" w:color="000000" w:fill="FFFFFF"/>
            <w:noWrap/>
            <w:hideMark/>
          </w:tcPr>
          <w:p w14:paraId="1F99F41A" w14:textId="77777777" w:rsidR="00B54270" w:rsidRDefault="00B54270" w:rsidP="00B54270">
            <w:pPr>
              <w:jc w:val="center"/>
              <w:rPr>
                <w:noProof/>
                <w:color w:val="000000"/>
                <w:sz w:val="20"/>
                <w:szCs w:val="20"/>
              </w:rPr>
            </w:pPr>
            <w:r>
              <w:rPr>
                <w:noProof/>
                <w:color w:val="000000"/>
                <w:sz w:val="20"/>
                <w:szCs w:val="20"/>
              </w:rPr>
              <w:t>0.2%</w:t>
            </w:r>
          </w:p>
        </w:tc>
      </w:tr>
      <w:tr w:rsidR="00B54270" w14:paraId="4C1FF690" w14:textId="77777777" w:rsidTr="005F7281">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6BB4FC70" w14:textId="77777777" w:rsidR="00B54270" w:rsidRDefault="00B54270" w:rsidP="00B54270">
            <w:pPr>
              <w:rPr>
                <w:noProof/>
                <w:sz w:val="20"/>
                <w:szCs w:val="20"/>
              </w:rPr>
            </w:pPr>
            <w:r>
              <w:rPr>
                <w:noProof/>
                <w:sz w:val="20"/>
                <w:szCs w:val="20"/>
              </w:rPr>
              <w:t>PO3</w:t>
            </w:r>
          </w:p>
        </w:tc>
        <w:tc>
          <w:tcPr>
            <w:tcW w:w="689" w:type="pct"/>
            <w:tcBorders>
              <w:top w:val="nil"/>
              <w:left w:val="nil"/>
              <w:bottom w:val="single" w:sz="4" w:space="0" w:color="auto"/>
              <w:right w:val="single" w:sz="4" w:space="0" w:color="auto"/>
            </w:tcBorders>
            <w:shd w:val="clear" w:color="000000" w:fill="FFFFFF"/>
            <w:noWrap/>
            <w:hideMark/>
          </w:tcPr>
          <w:p w14:paraId="19454F33" w14:textId="77777777" w:rsidR="00B54270" w:rsidRDefault="00B54270" w:rsidP="00B54270">
            <w:pPr>
              <w:jc w:val="center"/>
              <w:rPr>
                <w:noProof/>
                <w:color w:val="000000"/>
                <w:sz w:val="20"/>
                <w:szCs w:val="20"/>
              </w:rPr>
            </w:pPr>
            <w:r>
              <w:rPr>
                <w:noProof/>
                <w:color w:val="000000"/>
                <w:sz w:val="20"/>
                <w:szCs w:val="20"/>
              </w:rPr>
              <w:t>89</w:t>
            </w:r>
          </w:p>
        </w:tc>
        <w:tc>
          <w:tcPr>
            <w:tcW w:w="689" w:type="pct"/>
            <w:tcBorders>
              <w:top w:val="nil"/>
              <w:left w:val="nil"/>
              <w:bottom w:val="single" w:sz="4" w:space="0" w:color="auto"/>
              <w:right w:val="single" w:sz="4" w:space="0" w:color="auto"/>
            </w:tcBorders>
            <w:shd w:val="clear" w:color="000000" w:fill="FFFFFF"/>
            <w:noWrap/>
            <w:hideMark/>
          </w:tcPr>
          <w:p w14:paraId="12FC0A68" w14:textId="4107441C" w:rsidR="00B54270" w:rsidRDefault="00B54270" w:rsidP="00B54270">
            <w:pPr>
              <w:jc w:val="center"/>
              <w:rPr>
                <w:noProof/>
                <w:color w:val="000000"/>
                <w:sz w:val="20"/>
                <w:szCs w:val="20"/>
              </w:rPr>
            </w:pPr>
            <w:r>
              <w:rPr>
                <w:noProof/>
                <w:color w:val="000000"/>
                <w:sz w:val="20"/>
                <w:szCs w:val="20"/>
              </w:rPr>
              <w:t>65</w:t>
            </w:r>
          </w:p>
        </w:tc>
        <w:tc>
          <w:tcPr>
            <w:tcW w:w="689" w:type="pct"/>
            <w:tcBorders>
              <w:top w:val="nil"/>
              <w:left w:val="nil"/>
              <w:bottom w:val="single" w:sz="4" w:space="0" w:color="auto"/>
              <w:right w:val="single" w:sz="4" w:space="0" w:color="auto"/>
            </w:tcBorders>
            <w:shd w:val="clear" w:color="000000" w:fill="FFFFFF"/>
            <w:noWrap/>
            <w:hideMark/>
          </w:tcPr>
          <w:p w14:paraId="6A27F811" w14:textId="1DFADB44" w:rsidR="00B54270" w:rsidRDefault="00B54270" w:rsidP="00B54270">
            <w:pPr>
              <w:jc w:val="center"/>
              <w:rPr>
                <w:noProof/>
                <w:color w:val="000000"/>
                <w:sz w:val="20"/>
                <w:szCs w:val="20"/>
              </w:rPr>
            </w:pPr>
            <w:r>
              <w:rPr>
                <w:noProof/>
                <w:color w:val="000000"/>
                <w:sz w:val="20"/>
                <w:szCs w:val="20"/>
              </w:rPr>
              <w:t>19</w:t>
            </w:r>
          </w:p>
        </w:tc>
        <w:tc>
          <w:tcPr>
            <w:tcW w:w="1243" w:type="pct"/>
            <w:tcBorders>
              <w:top w:val="nil"/>
              <w:left w:val="nil"/>
              <w:bottom w:val="single" w:sz="4" w:space="0" w:color="auto"/>
              <w:right w:val="single" w:sz="4" w:space="0" w:color="auto"/>
            </w:tcBorders>
            <w:shd w:val="clear" w:color="000000" w:fill="FFFFFF"/>
            <w:noWrap/>
            <w:hideMark/>
          </w:tcPr>
          <w:p w14:paraId="1A649E89" w14:textId="77777777" w:rsidR="00B54270" w:rsidRDefault="00B54270" w:rsidP="00B54270">
            <w:pPr>
              <w:jc w:val="center"/>
              <w:rPr>
                <w:noProof/>
                <w:color w:val="000000"/>
                <w:sz w:val="20"/>
                <w:szCs w:val="20"/>
              </w:rPr>
            </w:pPr>
            <w:r>
              <w:rPr>
                <w:noProof/>
                <w:color w:val="000000"/>
                <w:sz w:val="20"/>
                <w:szCs w:val="20"/>
              </w:rPr>
              <w:t>1,498</w:t>
            </w:r>
          </w:p>
        </w:tc>
        <w:tc>
          <w:tcPr>
            <w:tcW w:w="1241" w:type="pct"/>
            <w:tcBorders>
              <w:top w:val="nil"/>
              <w:left w:val="nil"/>
              <w:bottom w:val="single" w:sz="4" w:space="0" w:color="auto"/>
              <w:right w:val="single" w:sz="4" w:space="0" w:color="auto"/>
            </w:tcBorders>
            <w:shd w:val="clear" w:color="000000" w:fill="FFFFFF"/>
            <w:noWrap/>
            <w:hideMark/>
          </w:tcPr>
          <w:p w14:paraId="2122B900" w14:textId="77777777" w:rsidR="00B54270" w:rsidRDefault="00B54270" w:rsidP="00B54270">
            <w:pPr>
              <w:jc w:val="center"/>
              <w:rPr>
                <w:noProof/>
                <w:color w:val="000000"/>
                <w:sz w:val="20"/>
                <w:szCs w:val="20"/>
              </w:rPr>
            </w:pPr>
            <w:r>
              <w:rPr>
                <w:noProof/>
                <w:color w:val="000000"/>
                <w:sz w:val="20"/>
                <w:szCs w:val="20"/>
              </w:rPr>
              <w:t>0.2%</w:t>
            </w:r>
          </w:p>
        </w:tc>
      </w:tr>
      <w:tr w:rsidR="00B54270" w14:paraId="556EEE65" w14:textId="77777777" w:rsidTr="005F7281">
        <w:trPr>
          <w:trHeight w:val="255"/>
        </w:trPr>
        <w:tc>
          <w:tcPr>
            <w:tcW w:w="449" w:type="pct"/>
            <w:tcBorders>
              <w:top w:val="nil"/>
              <w:left w:val="single" w:sz="4" w:space="0" w:color="auto"/>
              <w:bottom w:val="single" w:sz="4" w:space="0" w:color="auto"/>
              <w:right w:val="single" w:sz="4" w:space="0" w:color="auto"/>
            </w:tcBorders>
            <w:shd w:val="clear" w:color="000000" w:fill="FFFFFF"/>
            <w:hideMark/>
          </w:tcPr>
          <w:p w14:paraId="0142C9AF" w14:textId="77777777" w:rsidR="00B54270" w:rsidRDefault="00B54270" w:rsidP="00B54270">
            <w:pPr>
              <w:rPr>
                <w:noProof/>
                <w:sz w:val="20"/>
                <w:szCs w:val="20"/>
              </w:rPr>
            </w:pPr>
            <w:r>
              <w:rPr>
                <w:noProof/>
                <w:sz w:val="20"/>
                <w:szCs w:val="20"/>
              </w:rPr>
              <w:t>PO4</w:t>
            </w:r>
          </w:p>
        </w:tc>
        <w:tc>
          <w:tcPr>
            <w:tcW w:w="689" w:type="pct"/>
            <w:tcBorders>
              <w:top w:val="nil"/>
              <w:left w:val="nil"/>
              <w:bottom w:val="single" w:sz="4" w:space="0" w:color="auto"/>
              <w:right w:val="single" w:sz="4" w:space="0" w:color="auto"/>
            </w:tcBorders>
            <w:shd w:val="clear" w:color="000000" w:fill="FFFFFF"/>
            <w:noWrap/>
            <w:hideMark/>
          </w:tcPr>
          <w:p w14:paraId="7A3FEA1B" w14:textId="77777777" w:rsidR="00B54270" w:rsidRDefault="00B54270" w:rsidP="00B54270">
            <w:pPr>
              <w:jc w:val="center"/>
              <w:rPr>
                <w:noProof/>
                <w:color w:val="000000"/>
                <w:sz w:val="20"/>
                <w:szCs w:val="20"/>
              </w:rPr>
            </w:pPr>
            <w:r>
              <w:rPr>
                <w:noProof/>
                <w:color w:val="000000"/>
                <w:sz w:val="20"/>
                <w:szCs w:val="20"/>
              </w:rPr>
              <w:t>63</w:t>
            </w:r>
          </w:p>
        </w:tc>
        <w:tc>
          <w:tcPr>
            <w:tcW w:w="689" w:type="pct"/>
            <w:tcBorders>
              <w:top w:val="nil"/>
              <w:left w:val="nil"/>
              <w:bottom w:val="single" w:sz="4" w:space="0" w:color="auto"/>
              <w:right w:val="single" w:sz="4" w:space="0" w:color="auto"/>
            </w:tcBorders>
            <w:shd w:val="clear" w:color="000000" w:fill="FFFFFF"/>
            <w:noWrap/>
            <w:hideMark/>
          </w:tcPr>
          <w:p w14:paraId="0104FC1C" w14:textId="7EC9D060" w:rsidR="00B54270" w:rsidRDefault="00B54270" w:rsidP="00B54270">
            <w:pPr>
              <w:jc w:val="center"/>
              <w:rPr>
                <w:noProof/>
                <w:color w:val="000000"/>
                <w:sz w:val="20"/>
                <w:szCs w:val="20"/>
              </w:rPr>
            </w:pPr>
            <w:r>
              <w:rPr>
                <w:noProof/>
                <w:color w:val="000000"/>
                <w:sz w:val="20"/>
                <w:szCs w:val="20"/>
              </w:rPr>
              <w:t>47</w:t>
            </w:r>
          </w:p>
        </w:tc>
        <w:tc>
          <w:tcPr>
            <w:tcW w:w="689" w:type="pct"/>
            <w:tcBorders>
              <w:top w:val="nil"/>
              <w:left w:val="nil"/>
              <w:bottom w:val="single" w:sz="4" w:space="0" w:color="auto"/>
              <w:right w:val="single" w:sz="4" w:space="0" w:color="auto"/>
            </w:tcBorders>
            <w:shd w:val="clear" w:color="000000" w:fill="FFFFFF"/>
            <w:noWrap/>
            <w:hideMark/>
          </w:tcPr>
          <w:p w14:paraId="37486536" w14:textId="3D747223" w:rsidR="00B54270" w:rsidRDefault="00B54270" w:rsidP="00B54270">
            <w:pPr>
              <w:jc w:val="center"/>
              <w:rPr>
                <w:noProof/>
                <w:color w:val="000000"/>
                <w:sz w:val="20"/>
                <w:szCs w:val="20"/>
              </w:rPr>
            </w:pPr>
            <w:r>
              <w:rPr>
                <w:noProof/>
                <w:color w:val="000000"/>
                <w:sz w:val="20"/>
                <w:szCs w:val="20"/>
              </w:rPr>
              <w:t>13</w:t>
            </w:r>
          </w:p>
        </w:tc>
        <w:tc>
          <w:tcPr>
            <w:tcW w:w="1243" w:type="pct"/>
            <w:tcBorders>
              <w:top w:val="nil"/>
              <w:left w:val="nil"/>
              <w:bottom w:val="single" w:sz="4" w:space="0" w:color="auto"/>
              <w:right w:val="single" w:sz="4" w:space="0" w:color="auto"/>
            </w:tcBorders>
            <w:shd w:val="clear" w:color="000000" w:fill="FFFFFF"/>
            <w:noWrap/>
            <w:hideMark/>
          </w:tcPr>
          <w:p w14:paraId="6F5F9471" w14:textId="77777777" w:rsidR="00B54270" w:rsidRDefault="00B54270" w:rsidP="00B54270">
            <w:pPr>
              <w:jc w:val="center"/>
              <w:rPr>
                <w:noProof/>
                <w:color w:val="000000"/>
                <w:sz w:val="20"/>
                <w:szCs w:val="20"/>
              </w:rPr>
            </w:pPr>
            <w:r>
              <w:rPr>
                <w:noProof/>
                <w:color w:val="000000"/>
                <w:sz w:val="20"/>
                <w:szCs w:val="20"/>
              </w:rPr>
              <w:t>1,080</w:t>
            </w:r>
          </w:p>
        </w:tc>
        <w:tc>
          <w:tcPr>
            <w:tcW w:w="1241" w:type="pct"/>
            <w:tcBorders>
              <w:top w:val="nil"/>
              <w:left w:val="nil"/>
              <w:bottom w:val="single" w:sz="4" w:space="0" w:color="auto"/>
              <w:right w:val="single" w:sz="4" w:space="0" w:color="auto"/>
            </w:tcBorders>
            <w:shd w:val="clear" w:color="000000" w:fill="FFFFFF"/>
            <w:noWrap/>
            <w:hideMark/>
          </w:tcPr>
          <w:p w14:paraId="40CEB7D3" w14:textId="77777777" w:rsidR="00B54270" w:rsidRDefault="00B54270" w:rsidP="00B54270">
            <w:pPr>
              <w:jc w:val="center"/>
              <w:rPr>
                <w:noProof/>
                <w:color w:val="000000"/>
                <w:sz w:val="20"/>
                <w:szCs w:val="20"/>
              </w:rPr>
            </w:pPr>
            <w:r>
              <w:rPr>
                <w:noProof/>
                <w:color w:val="000000"/>
                <w:sz w:val="20"/>
                <w:szCs w:val="20"/>
              </w:rPr>
              <w:t>0.2%</w:t>
            </w:r>
          </w:p>
        </w:tc>
      </w:tr>
    </w:tbl>
    <w:p w14:paraId="0A136340" w14:textId="6DFF1B4A" w:rsidR="00236482" w:rsidRPr="00347B0F" w:rsidRDefault="00236482" w:rsidP="00347B0F">
      <w:pPr>
        <w:tabs>
          <w:tab w:val="left" w:pos="2302"/>
        </w:tabs>
        <w:spacing w:after="240"/>
        <w:jc w:val="both"/>
        <w:rPr>
          <w:i/>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r>
        <w:rPr>
          <w:i/>
          <w:iCs/>
          <w:noProof/>
          <w:sz w:val="20"/>
          <w:szCs w:val="20"/>
        </w:rPr>
        <w:t>; ASTRA model</w:t>
      </w:r>
    </w:p>
    <w:p w14:paraId="4567ABD7" w14:textId="3A5C4862" w:rsidR="00182EBF" w:rsidRPr="004E336D" w:rsidRDefault="00182EBF" w:rsidP="00182EBF">
      <w:pPr>
        <w:pStyle w:val="BodyText"/>
        <w:spacing w:after="240"/>
        <w:ind w:left="0"/>
        <w:rPr>
          <w:b/>
          <w:i/>
          <w:noProof/>
          <w:spacing w:val="-8"/>
        </w:rPr>
      </w:pPr>
      <w:r w:rsidRPr="004E336D">
        <w:rPr>
          <w:b/>
          <w:i/>
          <w:noProof/>
          <w:spacing w:val="-8"/>
        </w:rPr>
        <w:t xml:space="preserve">Impacts on external costs of noise emissions. </w:t>
      </w:r>
      <w:r w:rsidR="00D64478" w:rsidRPr="007F4F9E">
        <w:rPr>
          <w:noProof/>
          <w:spacing w:val="-8"/>
        </w:rPr>
        <w:t>The savings in external costs of</w:t>
      </w:r>
      <w:r w:rsidR="00D64478">
        <w:rPr>
          <w:b/>
          <w:i/>
          <w:noProof/>
          <w:spacing w:val="-8"/>
        </w:rPr>
        <w:t xml:space="preserve"> </w:t>
      </w:r>
      <w:r w:rsidR="00D64478">
        <w:rPr>
          <w:bCs/>
          <w:iCs/>
          <w:noProof/>
          <w:spacing w:val="-8"/>
        </w:rPr>
        <w:t>n</w:t>
      </w:r>
      <w:r>
        <w:rPr>
          <w:bCs/>
          <w:iCs/>
          <w:noProof/>
          <w:spacing w:val="-8"/>
        </w:rPr>
        <w:t>oise emissions</w:t>
      </w:r>
      <w:r w:rsidR="000E594F" w:rsidRPr="00117904">
        <w:rPr>
          <w:noProof/>
          <w:spacing w:val="-8"/>
        </w:rPr>
        <w:t>, expressed as present value over 2028-2050</w:t>
      </w:r>
      <w:r w:rsidR="000E594F">
        <w:rPr>
          <w:noProof/>
          <w:spacing w:val="-8"/>
        </w:rPr>
        <w:t xml:space="preserve"> relative to the baseline,</w:t>
      </w:r>
      <w:r>
        <w:rPr>
          <w:bCs/>
          <w:iCs/>
          <w:noProof/>
          <w:spacing w:val="-8"/>
        </w:rPr>
        <w:t xml:space="preserve"> </w:t>
      </w:r>
      <w:r w:rsidR="00131673">
        <w:rPr>
          <w:bCs/>
          <w:iCs/>
          <w:noProof/>
          <w:spacing w:val="-8"/>
        </w:rPr>
        <w:t>are</w:t>
      </w:r>
      <w:r w:rsidR="000E594F">
        <w:rPr>
          <w:bCs/>
          <w:iCs/>
          <w:noProof/>
          <w:spacing w:val="-8"/>
        </w:rPr>
        <w:t xml:space="preserve"> also</w:t>
      </w:r>
      <w:r w:rsidR="00D64478">
        <w:rPr>
          <w:bCs/>
          <w:iCs/>
          <w:noProof/>
          <w:spacing w:val="-8"/>
        </w:rPr>
        <w:t xml:space="preserve"> estimated </w:t>
      </w:r>
      <w:r w:rsidR="000E594F">
        <w:rPr>
          <w:bCs/>
          <w:iCs/>
          <w:noProof/>
          <w:spacing w:val="-8"/>
        </w:rPr>
        <w:t>to be highest in PO3 (E</w:t>
      </w:r>
      <w:r w:rsidR="009A76BB">
        <w:rPr>
          <w:bCs/>
          <w:iCs/>
          <w:noProof/>
          <w:spacing w:val="-8"/>
        </w:rPr>
        <w:t>UR 2.1 billion</w:t>
      </w:r>
      <w:r w:rsidR="000E594F">
        <w:rPr>
          <w:bCs/>
          <w:iCs/>
          <w:noProof/>
          <w:spacing w:val="-8"/>
        </w:rPr>
        <w:t>), followed by PO4 (EUR 1.7 billion), PO2 (</w:t>
      </w:r>
      <w:r w:rsidR="002A2DF7">
        <w:rPr>
          <w:bCs/>
          <w:iCs/>
          <w:noProof/>
          <w:spacing w:val="-8"/>
        </w:rPr>
        <w:t>EUR 1.5 billion) and PO1 (EUR 0.7 billion)</w:t>
      </w:r>
      <w:r w:rsidR="00596160" w:rsidRPr="00596160">
        <w:rPr>
          <w:rStyle w:val="FootnoteReference"/>
          <w:noProof/>
          <w:spacing w:val="-8"/>
        </w:rPr>
        <w:t xml:space="preserve"> </w:t>
      </w:r>
      <w:r w:rsidR="00596160">
        <w:rPr>
          <w:rStyle w:val="FootnoteReference"/>
          <w:noProof/>
          <w:spacing w:val="-8"/>
        </w:rPr>
        <w:footnoteReference w:id="208"/>
      </w:r>
      <w:r w:rsidR="00802C08">
        <w:rPr>
          <w:bCs/>
          <w:iCs/>
          <w:noProof/>
          <w:spacing w:val="-8"/>
        </w:rPr>
        <w:t xml:space="preserve">. </w:t>
      </w:r>
    </w:p>
    <w:p w14:paraId="6045B12D" w14:textId="3A5BA21E" w:rsidR="003C1A97" w:rsidRPr="00BA0980" w:rsidRDefault="003C1A97" w:rsidP="003C1A97">
      <w:pPr>
        <w:pStyle w:val="Text2"/>
        <w:spacing w:after="0"/>
        <w:ind w:left="0"/>
        <w:rPr>
          <w:rFonts w:cs="Times New Roman"/>
          <w:i/>
          <w:noProof/>
          <w:sz w:val="22"/>
          <w:szCs w:val="22"/>
        </w:rPr>
      </w:pPr>
      <w:r w:rsidRPr="006333F0">
        <w:rPr>
          <w:rFonts w:cs="Times New Roman"/>
          <w:i/>
          <w:noProof/>
          <w:sz w:val="22"/>
          <w:szCs w:val="22"/>
        </w:rPr>
        <w:t xml:space="preserve">Table </w:t>
      </w:r>
      <w:r w:rsidRPr="00BA0980">
        <w:rPr>
          <w:rFonts w:cs="Times New Roman"/>
          <w:i/>
          <w:noProof/>
          <w:sz w:val="22"/>
          <w:szCs w:val="22"/>
        </w:rPr>
        <w:fldChar w:fldCharType="begin"/>
      </w:r>
      <w:r w:rsidRPr="00BA0980">
        <w:rPr>
          <w:rFonts w:cs="Times New Roman"/>
          <w:i/>
          <w:noProof/>
          <w:sz w:val="22"/>
          <w:szCs w:val="22"/>
        </w:rPr>
        <w:instrText xml:space="preserve"> SEQ Table \* ARABIC </w:instrText>
      </w:r>
      <w:r w:rsidRPr="00BA0980">
        <w:rPr>
          <w:rFonts w:cs="Times New Roman"/>
          <w:i/>
          <w:noProof/>
          <w:sz w:val="22"/>
          <w:szCs w:val="22"/>
        </w:rPr>
        <w:fldChar w:fldCharType="separate"/>
      </w:r>
      <w:r w:rsidR="0055391F">
        <w:rPr>
          <w:rFonts w:cs="Times New Roman"/>
          <w:i/>
          <w:noProof/>
          <w:sz w:val="22"/>
          <w:szCs w:val="22"/>
        </w:rPr>
        <w:t>21</w:t>
      </w:r>
      <w:r w:rsidRPr="00BA0980">
        <w:rPr>
          <w:rFonts w:cs="Times New Roman"/>
          <w:i/>
          <w:noProof/>
          <w:sz w:val="22"/>
          <w:szCs w:val="22"/>
        </w:rPr>
        <w:fldChar w:fldCharType="end"/>
      </w:r>
      <w:r w:rsidRPr="006333F0">
        <w:rPr>
          <w:rFonts w:cs="Times New Roman"/>
          <w:i/>
          <w:noProof/>
          <w:sz w:val="22"/>
          <w:szCs w:val="22"/>
        </w:rPr>
        <w:t xml:space="preserve">: </w:t>
      </w:r>
      <w:r>
        <w:rPr>
          <w:rFonts w:cs="Times New Roman"/>
          <w:i/>
          <w:noProof/>
          <w:sz w:val="22"/>
          <w:szCs w:val="22"/>
        </w:rPr>
        <w:t xml:space="preserve">Impacts on external costs of </w:t>
      </w:r>
      <w:r w:rsidR="00DE5D69">
        <w:rPr>
          <w:rFonts w:cs="Times New Roman"/>
          <w:i/>
          <w:noProof/>
          <w:sz w:val="22"/>
          <w:szCs w:val="22"/>
        </w:rPr>
        <w:t xml:space="preserve">CO2 emissions, air pollution emissions and </w:t>
      </w:r>
      <w:r>
        <w:rPr>
          <w:rFonts w:cs="Times New Roman"/>
          <w:i/>
          <w:noProof/>
          <w:sz w:val="22"/>
          <w:szCs w:val="22"/>
        </w:rPr>
        <w:t>noise emissions in the POs relative to the baseline (EU27), expressed as present value over 2028-2050,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r>
        <w:rPr>
          <w:rFonts w:cs="Times New Roman"/>
          <w:i/>
          <w:noProof/>
          <w:sz w:val="22"/>
          <w:szCs w:val="22"/>
        </w:rPr>
        <w:t xml:space="preserve"> </w:t>
      </w:r>
    </w:p>
    <w:tbl>
      <w:tblPr>
        <w:tblW w:w="5000" w:type="pct"/>
        <w:tblLook w:val="04A0" w:firstRow="1" w:lastRow="0" w:firstColumn="1" w:lastColumn="0" w:noHBand="0" w:noVBand="1"/>
      </w:tblPr>
      <w:tblGrid>
        <w:gridCol w:w="5700"/>
        <w:gridCol w:w="974"/>
        <w:gridCol w:w="974"/>
        <w:gridCol w:w="974"/>
        <w:gridCol w:w="981"/>
      </w:tblGrid>
      <w:tr w:rsidR="003C1A97" w:rsidRPr="00F53CA2" w14:paraId="00F46080" w14:textId="77777777" w:rsidTr="00BB5612">
        <w:trPr>
          <w:trHeight w:val="255"/>
          <w:tblHeader/>
        </w:trPr>
        <w:tc>
          <w:tcPr>
            <w:tcW w:w="2968" w:type="pct"/>
            <w:vMerge w:val="restart"/>
            <w:tcBorders>
              <w:top w:val="single" w:sz="4" w:space="0" w:color="auto"/>
              <w:left w:val="single" w:sz="4" w:space="0" w:color="auto"/>
              <w:right w:val="single" w:sz="4" w:space="0" w:color="auto"/>
            </w:tcBorders>
            <w:shd w:val="clear" w:color="000000" w:fill="0070C0"/>
          </w:tcPr>
          <w:p w14:paraId="6CAAE8B5" w14:textId="77777777" w:rsidR="003C1A97" w:rsidRPr="004E336D" w:rsidRDefault="003C1A97">
            <w:pPr>
              <w:rPr>
                <w:b/>
                <w:noProof/>
                <w:color w:val="FFFFFF"/>
                <w:sz w:val="20"/>
                <w:szCs w:val="20"/>
              </w:rPr>
            </w:pPr>
          </w:p>
        </w:tc>
        <w:tc>
          <w:tcPr>
            <w:tcW w:w="2032" w:type="pct"/>
            <w:gridSpan w:val="4"/>
            <w:tcBorders>
              <w:top w:val="single" w:sz="4" w:space="0" w:color="auto"/>
              <w:left w:val="nil"/>
              <w:bottom w:val="single" w:sz="4" w:space="0" w:color="auto"/>
              <w:right w:val="single" w:sz="4" w:space="0" w:color="auto"/>
            </w:tcBorders>
            <w:shd w:val="clear" w:color="000000" w:fill="0070C0"/>
          </w:tcPr>
          <w:p w14:paraId="73AE4E07" w14:textId="77777777" w:rsidR="003C1A97" w:rsidRPr="004E336D" w:rsidRDefault="003C1A97">
            <w:pPr>
              <w:jc w:val="center"/>
              <w:rPr>
                <w:b/>
                <w:noProof/>
                <w:color w:val="FFFFFF"/>
                <w:sz w:val="20"/>
                <w:szCs w:val="20"/>
              </w:rPr>
            </w:pPr>
            <w:r w:rsidRPr="004E336D">
              <w:rPr>
                <w:b/>
                <w:noProof/>
                <w:color w:val="FFFFFF"/>
                <w:sz w:val="20"/>
                <w:szCs w:val="20"/>
              </w:rPr>
              <w:t>Difference to baseline</w:t>
            </w:r>
          </w:p>
        </w:tc>
      </w:tr>
      <w:tr w:rsidR="003C1A97" w:rsidRPr="00F53CA2" w14:paraId="29BA8A32" w14:textId="77777777" w:rsidTr="001F02BF">
        <w:trPr>
          <w:trHeight w:val="255"/>
          <w:tblHeader/>
        </w:trPr>
        <w:tc>
          <w:tcPr>
            <w:tcW w:w="2968" w:type="pct"/>
            <w:vMerge/>
            <w:tcBorders>
              <w:left w:val="single" w:sz="4" w:space="0" w:color="auto"/>
              <w:bottom w:val="single" w:sz="4" w:space="0" w:color="auto"/>
              <w:right w:val="single" w:sz="4" w:space="0" w:color="auto"/>
            </w:tcBorders>
            <w:shd w:val="clear" w:color="000000" w:fill="0070C0"/>
            <w:hideMark/>
          </w:tcPr>
          <w:p w14:paraId="3A26CF04" w14:textId="77777777" w:rsidR="003C1A97" w:rsidRPr="004E336D" w:rsidRDefault="003C1A97">
            <w:pPr>
              <w:rPr>
                <w:b/>
                <w:noProof/>
                <w:color w:val="FFFFFF"/>
                <w:sz w:val="20"/>
                <w:szCs w:val="20"/>
              </w:rPr>
            </w:pPr>
          </w:p>
        </w:tc>
        <w:tc>
          <w:tcPr>
            <w:tcW w:w="507" w:type="pct"/>
            <w:tcBorders>
              <w:top w:val="single" w:sz="4" w:space="0" w:color="auto"/>
              <w:left w:val="nil"/>
              <w:bottom w:val="single" w:sz="4" w:space="0" w:color="auto"/>
              <w:right w:val="single" w:sz="4" w:space="0" w:color="auto"/>
            </w:tcBorders>
            <w:shd w:val="clear" w:color="000000" w:fill="0070C0"/>
            <w:hideMark/>
          </w:tcPr>
          <w:p w14:paraId="7DE08EFD" w14:textId="77777777" w:rsidR="003C1A97" w:rsidRPr="004E336D" w:rsidRDefault="003C1A97">
            <w:pPr>
              <w:jc w:val="center"/>
              <w:rPr>
                <w:b/>
                <w:noProof/>
                <w:color w:val="FFFFFF"/>
                <w:sz w:val="20"/>
                <w:szCs w:val="20"/>
              </w:rPr>
            </w:pPr>
            <w:r w:rsidRPr="004E336D">
              <w:rPr>
                <w:b/>
                <w:noProof/>
                <w:color w:val="FFFFFF"/>
                <w:sz w:val="20"/>
                <w:szCs w:val="20"/>
              </w:rPr>
              <w:t>PO1</w:t>
            </w:r>
          </w:p>
        </w:tc>
        <w:tc>
          <w:tcPr>
            <w:tcW w:w="507" w:type="pct"/>
            <w:tcBorders>
              <w:top w:val="single" w:sz="4" w:space="0" w:color="auto"/>
              <w:left w:val="nil"/>
              <w:bottom w:val="single" w:sz="4" w:space="0" w:color="auto"/>
              <w:right w:val="single" w:sz="4" w:space="0" w:color="auto"/>
            </w:tcBorders>
            <w:shd w:val="clear" w:color="000000" w:fill="0070C0"/>
            <w:hideMark/>
          </w:tcPr>
          <w:p w14:paraId="2ADA709B" w14:textId="77777777" w:rsidR="003C1A97" w:rsidRPr="004E336D" w:rsidRDefault="003C1A97">
            <w:pPr>
              <w:jc w:val="center"/>
              <w:rPr>
                <w:b/>
                <w:noProof/>
                <w:color w:val="FFFFFF"/>
                <w:sz w:val="20"/>
                <w:szCs w:val="20"/>
              </w:rPr>
            </w:pPr>
            <w:r w:rsidRPr="004E336D">
              <w:rPr>
                <w:b/>
                <w:noProof/>
                <w:color w:val="FFFFFF"/>
                <w:sz w:val="20"/>
                <w:szCs w:val="20"/>
              </w:rPr>
              <w:t>PO2</w:t>
            </w:r>
          </w:p>
        </w:tc>
        <w:tc>
          <w:tcPr>
            <w:tcW w:w="507" w:type="pct"/>
            <w:tcBorders>
              <w:top w:val="single" w:sz="4" w:space="0" w:color="auto"/>
              <w:left w:val="nil"/>
              <w:bottom w:val="single" w:sz="4" w:space="0" w:color="auto"/>
              <w:right w:val="single" w:sz="4" w:space="0" w:color="auto"/>
            </w:tcBorders>
            <w:shd w:val="clear" w:color="000000" w:fill="0070C0"/>
            <w:hideMark/>
          </w:tcPr>
          <w:p w14:paraId="191EA4FB" w14:textId="77777777" w:rsidR="003C1A97" w:rsidRPr="004E336D" w:rsidRDefault="003C1A97">
            <w:pPr>
              <w:jc w:val="center"/>
              <w:rPr>
                <w:b/>
                <w:noProof/>
                <w:color w:val="FFFFFF"/>
                <w:sz w:val="20"/>
                <w:szCs w:val="20"/>
              </w:rPr>
            </w:pPr>
            <w:r w:rsidRPr="004E336D">
              <w:rPr>
                <w:b/>
                <w:noProof/>
                <w:color w:val="FFFFFF"/>
                <w:sz w:val="20"/>
                <w:szCs w:val="20"/>
              </w:rPr>
              <w:t>PO3</w:t>
            </w:r>
          </w:p>
        </w:tc>
        <w:tc>
          <w:tcPr>
            <w:tcW w:w="511" w:type="pct"/>
            <w:tcBorders>
              <w:top w:val="single" w:sz="4" w:space="0" w:color="auto"/>
              <w:left w:val="nil"/>
              <w:bottom w:val="single" w:sz="4" w:space="0" w:color="auto"/>
              <w:right w:val="single" w:sz="4" w:space="0" w:color="auto"/>
            </w:tcBorders>
            <w:shd w:val="clear" w:color="000000" w:fill="0070C0"/>
            <w:hideMark/>
          </w:tcPr>
          <w:p w14:paraId="47ABED47" w14:textId="77777777" w:rsidR="003C1A97" w:rsidRPr="004E336D" w:rsidRDefault="003C1A97">
            <w:pPr>
              <w:jc w:val="center"/>
              <w:rPr>
                <w:b/>
                <w:noProof/>
                <w:color w:val="FFFFFF"/>
                <w:sz w:val="20"/>
                <w:szCs w:val="20"/>
              </w:rPr>
            </w:pPr>
            <w:r w:rsidRPr="004E336D">
              <w:rPr>
                <w:b/>
                <w:noProof/>
                <w:color w:val="FFFFFF"/>
                <w:sz w:val="20"/>
                <w:szCs w:val="20"/>
              </w:rPr>
              <w:t>PO4</w:t>
            </w:r>
          </w:p>
        </w:tc>
      </w:tr>
      <w:tr w:rsidR="001F02BF" w:rsidRPr="00F53CA2" w14:paraId="1A4095E0" w14:textId="77777777" w:rsidTr="001F02BF">
        <w:trPr>
          <w:trHeight w:val="255"/>
        </w:trPr>
        <w:tc>
          <w:tcPr>
            <w:tcW w:w="2968" w:type="pct"/>
            <w:tcBorders>
              <w:top w:val="nil"/>
              <w:left w:val="single" w:sz="4" w:space="0" w:color="auto"/>
              <w:bottom w:val="single" w:sz="4" w:space="0" w:color="auto"/>
              <w:right w:val="single" w:sz="4" w:space="0" w:color="auto"/>
            </w:tcBorders>
            <w:shd w:val="clear" w:color="000000" w:fill="FFFFFF"/>
            <w:noWrap/>
          </w:tcPr>
          <w:p w14:paraId="74528EE2" w14:textId="2945DC0E" w:rsidR="001F02BF" w:rsidRPr="004E336D" w:rsidRDefault="00DE5D69" w:rsidP="00BB5612">
            <w:pPr>
              <w:rPr>
                <w:noProof/>
                <w:color w:val="000000"/>
                <w:sz w:val="20"/>
                <w:szCs w:val="20"/>
              </w:rPr>
            </w:pPr>
            <w:r w:rsidRPr="004E336D">
              <w:rPr>
                <w:noProof/>
                <w:color w:val="000000"/>
                <w:sz w:val="20"/>
                <w:szCs w:val="20"/>
              </w:rPr>
              <w:t>Savings in external costs of CO</w:t>
            </w:r>
            <w:r w:rsidRPr="00514383">
              <w:rPr>
                <w:noProof/>
                <w:color w:val="000000"/>
                <w:sz w:val="20"/>
                <w:szCs w:val="20"/>
                <w:vertAlign w:val="subscript"/>
              </w:rPr>
              <w:t>2</w:t>
            </w:r>
            <w:r w:rsidRPr="004E336D">
              <w:rPr>
                <w:noProof/>
                <w:color w:val="000000"/>
                <w:sz w:val="20"/>
                <w:szCs w:val="20"/>
              </w:rPr>
              <w:t xml:space="preserve"> emissions</w:t>
            </w:r>
          </w:p>
        </w:tc>
        <w:tc>
          <w:tcPr>
            <w:tcW w:w="507" w:type="pct"/>
            <w:tcBorders>
              <w:top w:val="nil"/>
              <w:left w:val="nil"/>
              <w:bottom w:val="single" w:sz="4" w:space="0" w:color="auto"/>
              <w:right w:val="single" w:sz="4" w:space="0" w:color="auto"/>
            </w:tcBorders>
            <w:shd w:val="clear" w:color="000000" w:fill="FFFFFF"/>
            <w:noWrap/>
            <w:vAlign w:val="bottom"/>
          </w:tcPr>
          <w:p w14:paraId="1E406F70" w14:textId="589768B9" w:rsidR="001F02BF" w:rsidRDefault="00DE5D69" w:rsidP="00BB5612">
            <w:pPr>
              <w:jc w:val="right"/>
              <w:rPr>
                <w:noProof/>
                <w:color w:val="000000"/>
                <w:sz w:val="20"/>
                <w:szCs w:val="20"/>
              </w:rPr>
            </w:pPr>
            <w:r>
              <w:rPr>
                <w:noProof/>
                <w:color w:val="000000"/>
                <w:sz w:val="20"/>
                <w:szCs w:val="20"/>
              </w:rPr>
              <w:t>2,367</w:t>
            </w:r>
          </w:p>
        </w:tc>
        <w:tc>
          <w:tcPr>
            <w:tcW w:w="507" w:type="pct"/>
            <w:tcBorders>
              <w:top w:val="nil"/>
              <w:left w:val="nil"/>
              <w:bottom w:val="single" w:sz="4" w:space="0" w:color="auto"/>
              <w:right w:val="single" w:sz="4" w:space="0" w:color="auto"/>
            </w:tcBorders>
            <w:shd w:val="clear" w:color="000000" w:fill="FFFFFF"/>
            <w:noWrap/>
            <w:vAlign w:val="bottom"/>
          </w:tcPr>
          <w:p w14:paraId="28FFCE91" w14:textId="43995A26" w:rsidR="001F02BF" w:rsidRDefault="00DE5D69" w:rsidP="00BB5612">
            <w:pPr>
              <w:jc w:val="right"/>
              <w:rPr>
                <w:noProof/>
                <w:color w:val="000000"/>
                <w:sz w:val="20"/>
                <w:szCs w:val="20"/>
              </w:rPr>
            </w:pPr>
            <w:r>
              <w:rPr>
                <w:noProof/>
                <w:color w:val="000000"/>
                <w:sz w:val="20"/>
                <w:szCs w:val="20"/>
              </w:rPr>
              <w:t>4,696</w:t>
            </w:r>
          </w:p>
        </w:tc>
        <w:tc>
          <w:tcPr>
            <w:tcW w:w="507" w:type="pct"/>
            <w:tcBorders>
              <w:top w:val="nil"/>
              <w:left w:val="nil"/>
              <w:bottom w:val="single" w:sz="4" w:space="0" w:color="auto"/>
              <w:right w:val="single" w:sz="4" w:space="0" w:color="auto"/>
            </w:tcBorders>
            <w:shd w:val="clear" w:color="000000" w:fill="FFFFFF"/>
            <w:noWrap/>
            <w:vAlign w:val="bottom"/>
          </w:tcPr>
          <w:p w14:paraId="78A450F6" w14:textId="6D242E95" w:rsidR="001F02BF" w:rsidRDefault="00DE5D69" w:rsidP="00BB5612">
            <w:pPr>
              <w:jc w:val="right"/>
              <w:rPr>
                <w:noProof/>
                <w:color w:val="000000"/>
                <w:sz w:val="20"/>
                <w:szCs w:val="20"/>
              </w:rPr>
            </w:pPr>
            <w:r>
              <w:rPr>
                <w:noProof/>
                <w:color w:val="000000"/>
                <w:sz w:val="20"/>
                <w:szCs w:val="20"/>
              </w:rPr>
              <w:t>6,778</w:t>
            </w:r>
          </w:p>
        </w:tc>
        <w:tc>
          <w:tcPr>
            <w:tcW w:w="511" w:type="pct"/>
            <w:tcBorders>
              <w:top w:val="nil"/>
              <w:left w:val="nil"/>
              <w:bottom w:val="single" w:sz="4" w:space="0" w:color="auto"/>
              <w:right w:val="single" w:sz="4" w:space="0" w:color="auto"/>
            </w:tcBorders>
            <w:shd w:val="clear" w:color="000000" w:fill="FFFFFF"/>
            <w:noWrap/>
            <w:vAlign w:val="bottom"/>
          </w:tcPr>
          <w:p w14:paraId="52C2E7B9" w14:textId="201BEE9C" w:rsidR="001F02BF" w:rsidRDefault="00DE5D69" w:rsidP="00BB5612">
            <w:pPr>
              <w:jc w:val="right"/>
              <w:rPr>
                <w:noProof/>
                <w:color w:val="000000"/>
                <w:sz w:val="20"/>
                <w:szCs w:val="20"/>
              </w:rPr>
            </w:pPr>
            <w:r>
              <w:rPr>
                <w:noProof/>
                <w:color w:val="000000"/>
                <w:sz w:val="20"/>
                <w:szCs w:val="20"/>
              </w:rPr>
              <w:t>5,176</w:t>
            </w:r>
          </w:p>
        </w:tc>
      </w:tr>
      <w:tr w:rsidR="001F02BF" w:rsidRPr="00F53CA2" w14:paraId="3FBF1A7F" w14:textId="77777777" w:rsidTr="001F02BF">
        <w:trPr>
          <w:trHeight w:val="255"/>
        </w:trPr>
        <w:tc>
          <w:tcPr>
            <w:tcW w:w="2968" w:type="pct"/>
            <w:tcBorders>
              <w:top w:val="nil"/>
              <w:left w:val="single" w:sz="4" w:space="0" w:color="auto"/>
              <w:bottom w:val="single" w:sz="4" w:space="0" w:color="auto"/>
              <w:right w:val="single" w:sz="4" w:space="0" w:color="auto"/>
            </w:tcBorders>
            <w:shd w:val="clear" w:color="000000" w:fill="FFFFFF"/>
            <w:noWrap/>
          </w:tcPr>
          <w:p w14:paraId="693C25E9" w14:textId="74CF0233" w:rsidR="001F02BF" w:rsidRPr="004E336D" w:rsidRDefault="00DE5D69" w:rsidP="00BB5612">
            <w:pPr>
              <w:rPr>
                <w:noProof/>
                <w:color w:val="000000"/>
                <w:sz w:val="20"/>
                <w:szCs w:val="20"/>
              </w:rPr>
            </w:pPr>
            <w:r w:rsidRPr="004E336D">
              <w:rPr>
                <w:noProof/>
                <w:color w:val="000000"/>
                <w:sz w:val="20"/>
                <w:szCs w:val="20"/>
              </w:rPr>
              <w:t>Savings in external costs of air pollution emissions</w:t>
            </w:r>
          </w:p>
        </w:tc>
        <w:tc>
          <w:tcPr>
            <w:tcW w:w="507" w:type="pct"/>
            <w:tcBorders>
              <w:top w:val="nil"/>
              <w:left w:val="nil"/>
              <w:bottom w:val="single" w:sz="4" w:space="0" w:color="auto"/>
              <w:right w:val="single" w:sz="4" w:space="0" w:color="auto"/>
            </w:tcBorders>
            <w:shd w:val="clear" w:color="000000" w:fill="FFFFFF"/>
            <w:noWrap/>
            <w:vAlign w:val="bottom"/>
          </w:tcPr>
          <w:p w14:paraId="4387412C" w14:textId="6A9DA079" w:rsidR="001F02BF" w:rsidRDefault="00DE5D69" w:rsidP="00BB5612">
            <w:pPr>
              <w:jc w:val="right"/>
              <w:rPr>
                <w:noProof/>
                <w:color w:val="000000"/>
                <w:sz w:val="20"/>
                <w:szCs w:val="20"/>
              </w:rPr>
            </w:pPr>
            <w:r>
              <w:rPr>
                <w:noProof/>
                <w:color w:val="000000"/>
                <w:sz w:val="20"/>
                <w:szCs w:val="20"/>
              </w:rPr>
              <w:t>218</w:t>
            </w:r>
          </w:p>
        </w:tc>
        <w:tc>
          <w:tcPr>
            <w:tcW w:w="507" w:type="pct"/>
            <w:tcBorders>
              <w:top w:val="nil"/>
              <w:left w:val="nil"/>
              <w:bottom w:val="single" w:sz="4" w:space="0" w:color="auto"/>
              <w:right w:val="single" w:sz="4" w:space="0" w:color="auto"/>
            </w:tcBorders>
            <w:shd w:val="clear" w:color="000000" w:fill="FFFFFF"/>
            <w:noWrap/>
            <w:vAlign w:val="bottom"/>
          </w:tcPr>
          <w:p w14:paraId="36DC138B" w14:textId="3C223EF0" w:rsidR="001F02BF" w:rsidRDefault="00DE5D69" w:rsidP="00BB5612">
            <w:pPr>
              <w:jc w:val="right"/>
              <w:rPr>
                <w:noProof/>
                <w:color w:val="000000"/>
                <w:sz w:val="20"/>
                <w:szCs w:val="20"/>
              </w:rPr>
            </w:pPr>
            <w:r>
              <w:rPr>
                <w:noProof/>
                <w:color w:val="000000"/>
                <w:sz w:val="20"/>
                <w:szCs w:val="20"/>
              </w:rPr>
              <w:t>455</w:t>
            </w:r>
          </w:p>
        </w:tc>
        <w:tc>
          <w:tcPr>
            <w:tcW w:w="507" w:type="pct"/>
            <w:tcBorders>
              <w:top w:val="nil"/>
              <w:left w:val="nil"/>
              <w:bottom w:val="single" w:sz="4" w:space="0" w:color="auto"/>
              <w:right w:val="single" w:sz="4" w:space="0" w:color="auto"/>
            </w:tcBorders>
            <w:shd w:val="clear" w:color="000000" w:fill="FFFFFF"/>
            <w:noWrap/>
            <w:vAlign w:val="bottom"/>
          </w:tcPr>
          <w:p w14:paraId="33E69E2D" w14:textId="08D55622" w:rsidR="001F02BF" w:rsidRDefault="00DE5D69" w:rsidP="00BB5612">
            <w:pPr>
              <w:jc w:val="right"/>
              <w:rPr>
                <w:noProof/>
                <w:color w:val="000000"/>
                <w:sz w:val="20"/>
                <w:szCs w:val="20"/>
              </w:rPr>
            </w:pPr>
            <w:r>
              <w:rPr>
                <w:noProof/>
                <w:color w:val="000000"/>
                <w:sz w:val="20"/>
                <w:szCs w:val="20"/>
              </w:rPr>
              <w:t>670</w:t>
            </w:r>
          </w:p>
        </w:tc>
        <w:tc>
          <w:tcPr>
            <w:tcW w:w="511" w:type="pct"/>
            <w:tcBorders>
              <w:top w:val="nil"/>
              <w:left w:val="nil"/>
              <w:bottom w:val="single" w:sz="4" w:space="0" w:color="auto"/>
              <w:right w:val="single" w:sz="4" w:space="0" w:color="auto"/>
            </w:tcBorders>
            <w:shd w:val="clear" w:color="000000" w:fill="FFFFFF"/>
            <w:noWrap/>
            <w:vAlign w:val="bottom"/>
          </w:tcPr>
          <w:p w14:paraId="314F06A8" w14:textId="7B55FAC3" w:rsidR="001F02BF" w:rsidRDefault="00DE5D69" w:rsidP="00BB5612">
            <w:pPr>
              <w:jc w:val="right"/>
              <w:rPr>
                <w:noProof/>
                <w:color w:val="000000"/>
                <w:sz w:val="20"/>
                <w:szCs w:val="20"/>
              </w:rPr>
            </w:pPr>
            <w:r>
              <w:rPr>
                <w:noProof/>
                <w:color w:val="000000"/>
                <w:sz w:val="20"/>
                <w:szCs w:val="20"/>
              </w:rPr>
              <w:t>502</w:t>
            </w:r>
          </w:p>
        </w:tc>
      </w:tr>
      <w:tr w:rsidR="00BB5612" w:rsidRPr="00F53CA2" w14:paraId="677114A0" w14:textId="77777777" w:rsidTr="001F02BF">
        <w:trPr>
          <w:trHeight w:val="255"/>
        </w:trPr>
        <w:tc>
          <w:tcPr>
            <w:tcW w:w="2968" w:type="pct"/>
            <w:tcBorders>
              <w:top w:val="nil"/>
              <w:left w:val="single" w:sz="4" w:space="0" w:color="auto"/>
              <w:bottom w:val="single" w:sz="4" w:space="0" w:color="auto"/>
              <w:right w:val="single" w:sz="4" w:space="0" w:color="auto"/>
            </w:tcBorders>
            <w:shd w:val="clear" w:color="000000" w:fill="FFFFFF"/>
            <w:noWrap/>
            <w:hideMark/>
          </w:tcPr>
          <w:p w14:paraId="74546BFD" w14:textId="266BD73B" w:rsidR="00BB5612" w:rsidRPr="004E336D" w:rsidRDefault="00BB5612" w:rsidP="00BB5612">
            <w:pPr>
              <w:rPr>
                <w:noProof/>
                <w:color w:val="000000"/>
                <w:sz w:val="20"/>
                <w:szCs w:val="20"/>
              </w:rPr>
            </w:pPr>
            <w:r w:rsidRPr="004E336D">
              <w:rPr>
                <w:noProof/>
                <w:color w:val="000000"/>
                <w:sz w:val="20"/>
                <w:szCs w:val="20"/>
              </w:rPr>
              <w:t xml:space="preserve"> Savings in external costs of </w:t>
            </w:r>
            <w:r w:rsidR="007B7782" w:rsidRPr="004E336D">
              <w:rPr>
                <w:noProof/>
                <w:color w:val="000000"/>
                <w:sz w:val="20"/>
                <w:szCs w:val="20"/>
              </w:rPr>
              <w:t>noise</w:t>
            </w:r>
            <w:r w:rsidRPr="004E336D">
              <w:rPr>
                <w:noProof/>
                <w:color w:val="000000"/>
                <w:sz w:val="20"/>
                <w:szCs w:val="20"/>
              </w:rPr>
              <w:t xml:space="preserve"> emissions</w:t>
            </w:r>
          </w:p>
        </w:tc>
        <w:tc>
          <w:tcPr>
            <w:tcW w:w="507" w:type="pct"/>
            <w:tcBorders>
              <w:top w:val="nil"/>
              <w:left w:val="nil"/>
              <w:bottom w:val="single" w:sz="4" w:space="0" w:color="auto"/>
              <w:right w:val="single" w:sz="4" w:space="0" w:color="auto"/>
            </w:tcBorders>
            <w:shd w:val="clear" w:color="000000" w:fill="FFFFFF"/>
            <w:noWrap/>
            <w:vAlign w:val="bottom"/>
            <w:hideMark/>
          </w:tcPr>
          <w:p w14:paraId="65BFC238" w14:textId="33F73EEA" w:rsidR="00BB5612" w:rsidRPr="004E336D" w:rsidRDefault="00BB5612" w:rsidP="00BB5612">
            <w:pPr>
              <w:jc w:val="right"/>
              <w:rPr>
                <w:noProof/>
                <w:color w:val="000000"/>
                <w:sz w:val="20"/>
                <w:szCs w:val="20"/>
              </w:rPr>
            </w:pPr>
            <w:r>
              <w:rPr>
                <w:noProof/>
                <w:color w:val="000000"/>
                <w:sz w:val="20"/>
                <w:szCs w:val="20"/>
              </w:rPr>
              <w:t>735</w:t>
            </w:r>
          </w:p>
        </w:tc>
        <w:tc>
          <w:tcPr>
            <w:tcW w:w="507" w:type="pct"/>
            <w:tcBorders>
              <w:top w:val="nil"/>
              <w:left w:val="nil"/>
              <w:bottom w:val="single" w:sz="4" w:space="0" w:color="auto"/>
              <w:right w:val="single" w:sz="4" w:space="0" w:color="auto"/>
            </w:tcBorders>
            <w:shd w:val="clear" w:color="000000" w:fill="FFFFFF"/>
            <w:noWrap/>
            <w:vAlign w:val="bottom"/>
            <w:hideMark/>
          </w:tcPr>
          <w:p w14:paraId="088ABB2F" w14:textId="2EFDB49A" w:rsidR="00BB5612" w:rsidRPr="004E336D" w:rsidRDefault="00BB5612" w:rsidP="00BB5612">
            <w:pPr>
              <w:jc w:val="right"/>
              <w:rPr>
                <w:noProof/>
                <w:color w:val="000000"/>
                <w:sz w:val="20"/>
                <w:szCs w:val="20"/>
              </w:rPr>
            </w:pPr>
            <w:r>
              <w:rPr>
                <w:noProof/>
                <w:color w:val="000000"/>
                <w:sz w:val="20"/>
                <w:szCs w:val="20"/>
              </w:rPr>
              <w:t>1,509</w:t>
            </w:r>
          </w:p>
        </w:tc>
        <w:tc>
          <w:tcPr>
            <w:tcW w:w="507" w:type="pct"/>
            <w:tcBorders>
              <w:top w:val="nil"/>
              <w:left w:val="nil"/>
              <w:bottom w:val="single" w:sz="4" w:space="0" w:color="auto"/>
              <w:right w:val="single" w:sz="4" w:space="0" w:color="auto"/>
            </w:tcBorders>
            <w:shd w:val="clear" w:color="000000" w:fill="FFFFFF"/>
            <w:noWrap/>
            <w:vAlign w:val="bottom"/>
            <w:hideMark/>
          </w:tcPr>
          <w:p w14:paraId="4D3BAF93" w14:textId="49BED1BD" w:rsidR="00BB5612" w:rsidRPr="004E336D" w:rsidRDefault="00BB5612" w:rsidP="00BB5612">
            <w:pPr>
              <w:jc w:val="right"/>
              <w:rPr>
                <w:noProof/>
                <w:color w:val="000000"/>
                <w:sz w:val="20"/>
                <w:szCs w:val="20"/>
              </w:rPr>
            </w:pPr>
            <w:r>
              <w:rPr>
                <w:noProof/>
                <w:color w:val="000000"/>
                <w:sz w:val="20"/>
                <w:szCs w:val="20"/>
              </w:rPr>
              <w:t>2,146</w:t>
            </w:r>
          </w:p>
        </w:tc>
        <w:tc>
          <w:tcPr>
            <w:tcW w:w="511" w:type="pct"/>
            <w:tcBorders>
              <w:top w:val="nil"/>
              <w:left w:val="nil"/>
              <w:bottom w:val="single" w:sz="4" w:space="0" w:color="auto"/>
              <w:right w:val="single" w:sz="4" w:space="0" w:color="auto"/>
            </w:tcBorders>
            <w:shd w:val="clear" w:color="000000" w:fill="FFFFFF"/>
            <w:noWrap/>
            <w:vAlign w:val="bottom"/>
            <w:hideMark/>
          </w:tcPr>
          <w:p w14:paraId="05CB6868" w14:textId="49A84D19" w:rsidR="00BB5612" w:rsidRPr="004E336D" w:rsidRDefault="00BB5612" w:rsidP="00BB5612">
            <w:pPr>
              <w:jc w:val="right"/>
              <w:rPr>
                <w:noProof/>
                <w:color w:val="000000"/>
                <w:sz w:val="20"/>
                <w:szCs w:val="20"/>
              </w:rPr>
            </w:pPr>
            <w:r>
              <w:rPr>
                <w:noProof/>
                <w:color w:val="000000"/>
                <w:sz w:val="20"/>
                <w:szCs w:val="20"/>
              </w:rPr>
              <w:t>1,663</w:t>
            </w:r>
          </w:p>
        </w:tc>
      </w:tr>
    </w:tbl>
    <w:p w14:paraId="78313CD3" w14:textId="77777777" w:rsidR="003C1A97" w:rsidRDefault="003C1A97" w:rsidP="003C1A97">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r>
        <w:rPr>
          <w:i/>
          <w:iCs/>
          <w:noProof/>
          <w:sz w:val="20"/>
          <w:szCs w:val="20"/>
        </w:rPr>
        <w:t>; ASTRA model</w:t>
      </w:r>
    </w:p>
    <w:p w14:paraId="6E9CE301" w14:textId="025A3984" w:rsidR="003F5099" w:rsidRPr="004E336D" w:rsidRDefault="003F5099" w:rsidP="003F5099">
      <w:pPr>
        <w:pStyle w:val="Text2"/>
        <w:ind w:left="0"/>
        <w:rPr>
          <w:noProof/>
          <w:spacing w:val="-6"/>
          <w:lang w:eastAsia="nl-NL"/>
        </w:rPr>
      </w:pPr>
      <w:r w:rsidRPr="004E336D">
        <w:rPr>
          <w:noProof/>
          <w:spacing w:val="-6"/>
          <w:lang w:eastAsia="nl-NL"/>
        </w:rPr>
        <w:t xml:space="preserve">All policy options are consistent with the environmental objectives of the </w:t>
      </w:r>
      <w:r w:rsidRPr="004E336D">
        <w:rPr>
          <w:b/>
          <w:noProof/>
          <w:spacing w:val="-6"/>
          <w:lang w:eastAsia="nl-NL"/>
        </w:rPr>
        <w:t>European Green Deal</w:t>
      </w:r>
      <w:r w:rsidRPr="004E336D">
        <w:rPr>
          <w:noProof/>
          <w:spacing w:val="-6"/>
          <w:lang w:eastAsia="nl-NL"/>
        </w:rPr>
        <w:t xml:space="preserve"> and the </w:t>
      </w:r>
      <w:r w:rsidRPr="004E336D">
        <w:rPr>
          <w:b/>
          <w:noProof/>
          <w:spacing w:val="-6"/>
          <w:lang w:eastAsia="nl-NL"/>
        </w:rPr>
        <w:t>European Climate Law</w:t>
      </w:r>
      <w:r w:rsidRPr="004E336D">
        <w:rPr>
          <w:noProof/>
          <w:spacing w:val="-6"/>
          <w:vertAlign w:val="superscript"/>
          <w:lang w:eastAsia="nl-NL"/>
        </w:rPr>
        <w:footnoteReference w:id="209"/>
      </w:r>
      <w:r w:rsidRPr="004E336D">
        <w:rPr>
          <w:noProof/>
          <w:spacing w:val="-6"/>
          <w:lang w:eastAsia="nl-NL"/>
        </w:rPr>
        <w:t xml:space="preserve">. All policy options contribute towards </w:t>
      </w:r>
      <w:r w:rsidR="00670265" w:rsidRPr="003948C0">
        <w:rPr>
          <w:b/>
          <w:noProof/>
          <w:spacing w:val="-8"/>
        </w:rPr>
        <w:t xml:space="preserve">Sustainable Development Goal </w:t>
      </w:r>
      <w:r w:rsidR="00670265" w:rsidRPr="003948C0">
        <w:rPr>
          <w:noProof/>
          <w:spacing w:val="-8"/>
        </w:rPr>
        <w:t>SDG#13 (“Climate Action”)</w:t>
      </w:r>
      <w:r w:rsidR="0045611F">
        <w:rPr>
          <w:noProof/>
          <w:spacing w:val="-8"/>
        </w:rPr>
        <w:t xml:space="preserve"> and </w:t>
      </w:r>
      <w:r w:rsidR="0045611F" w:rsidRPr="0045611F">
        <w:rPr>
          <w:noProof/>
          <w:spacing w:val="-8"/>
        </w:rPr>
        <w:t>SDG</w:t>
      </w:r>
      <w:r w:rsidR="0045611F" w:rsidRPr="003948C0">
        <w:rPr>
          <w:noProof/>
          <w:spacing w:val="-8"/>
        </w:rPr>
        <w:t>#</w:t>
      </w:r>
      <w:r w:rsidR="0045611F" w:rsidRPr="0045611F">
        <w:rPr>
          <w:noProof/>
          <w:spacing w:val="-8"/>
        </w:rPr>
        <w:t>3 (</w:t>
      </w:r>
      <w:r w:rsidR="0045611F">
        <w:rPr>
          <w:noProof/>
          <w:spacing w:val="-8"/>
        </w:rPr>
        <w:t>“</w:t>
      </w:r>
      <w:r w:rsidR="0045611F" w:rsidRPr="0045611F">
        <w:rPr>
          <w:noProof/>
          <w:spacing w:val="-8"/>
        </w:rPr>
        <w:t>Ensure healthy lives and promote wellbeing for all at all ages</w:t>
      </w:r>
      <w:r w:rsidR="0045611F">
        <w:rPr>
          <w:noProof/>
          <w:spacing w:val="-8"/>
        </w:rPr>
        <w:t>”</w:t>
      </w:r>
      <w:r w:rsidR="0045611F" w:rsidRPr="0045611F">
        <w:rPr>
          <w:noProof/>
          <w:spacing w:val="-8"/>
        </w:rPr>
        <w:t>, including target 3.9: By 2030, substantially reduce the number of deaths and illnesses from hazardous chemicals and air, water and soil pollution and contamination.)</w:t>
      </w:r>
      <w:r w:rsidRPr="004E336D">
        <w:rPr>
          <w:noProof/>
          <w:spacing w:val="-6"/>
          <w:lang w:eastAsia="nl-NL"/>
        </w:rPr>
        <w:t xml:space="preserve">. </w:t>
      </w:r>
      <w:r w:rsidRPr="004E336D">
        <w:rPr>
          <w:b/>
          <w:noProof/>
          <w:spacing w:val="-6"/>
          <w:lang w:eastAsia="nl-NL"/>
        </w:rPr>
        <w:t>No significant harm</w:t>
      </w:r>
      <w:r w:rsidRPr="004E336D">
        <w:rPr>
          <w:noProof/>
          <w:spacing w:val="-6"/>
          <w:lang w:eastAsia="nl-NL"/>
        </w:rPr>
        <w:t xml:space="preserve"> is expected on the environment in any of the policy options.</w:t>
      </w:r>
    </w:p>
    <w:p w14:paraId="1DE05E6A" w14:textId="26230E17" w:rsidR="00F1572C" w:rsidRDefault="00B677AE" w:rsidP="006E3FA1">
      <w:pPr>
        <w:pStyle w:val="Heading2"/>
        <w:keepNext/>
        <w:numPr>
          <w:ilvl w:val="1"/>
          <w:numId w:val="11"/>
        </w:numPr>
        <w:tabs>
          <w:tab w:val="left" w:pos="709"/>
        </w:tabs>
        <w:spacing w:before="240" w:after="240"/>
        <w:ind w:left="1134" w:hanging="708"/>
        <w:rPr>
          <w:noProof/>
        </w:rPr>
      </w:pPr>
      <w:bookmarkStart w:id="192" w:name="_Ref223106658"/>
      <w:bookmarkStart w:id="193" w:name="_Ref223109521"/>
      <w:bookmarkStart w:id="194" w:name="_Toc223979984"/>
      <w:r>
        <w:rPr>
          <w:noProof/>
        </w:rPr>
        <w:t>Summary</w:t>
      </w:r>
      <w:r w:rsidR="00F1572C">
        <w:rPr>
          <w:noProof/>
        </w:rPr>
        <w:t xml:space="preserve"> of the </w:t>
      </w:r>
      <w:r>
        <w:rPr>
          <w:noProof/>
        </w:rPr>
        <w:t>economic, social and environmental impacts</w:t>
      </w:r>
      <w:bookmarkEnd w:id="192"/>
      <w:bookmarkEnd w:id="193"/>
      <w:bookmarkEnd w:id="194"/>
    </w:p>
    <w:p w14:paraId="51490895" w14:textId="77777777" w:rsidR="008D6399" w:rsidRPr="008D6399" w:rsidRDefault="008D6399" w:rsidP="008D6399">
      <w:pPr>
        <w:pStyle w:val="BodyText"/>
        <w:spacing w:after="240"/>
        <w:ind w:left="0"/>
        <w:rPr>
          <w:noProof/>
          <w:spacing w:val="-8"/>
        </w:rPr>
      </w:pPr>
      <w:r w:rsidRPr="008D6399">
        <w:rPr>
          <w:noProof/>
          <w:spacing w:val="-8"/>
        </w:rPr>
        <w:t>The table below provides a summary of the comparison of the options against the baseline scenario in terms of economic, social and environmental impacts. The following ranking symbols have been used: from ‘0’ (no impact relative to the baseline), to '+' (more positive than the baseline) and '+++' (much more positive than the baseline).</w:t>
      </w:r>
    </w:p>
    <w:p w14:paraId="12B27EAE" w14:textId="36B56154" w:rsidR="00B677AE" w:rsidRPr="00B677AE" w:rsidRDefault="00B677AE" w:rsidP="00B677AE">
      <w:pPr>
        <w:pStyle w:val="Text2"/>
        <w:spacing w:after="0"/>
        <w:ind w:left="0"/>
        <w:rPr>
          <w:rFonts w:cs="Times New Roman"/>
          <w:i/>
          <w:noProof/>
          <w:sz w:val="22"/>
          <w:szCs w:val="22"/>
        </w:rPr>
      </w:pPr>
      <w:r w:rsidRPr="00B677AE">
        <w:rPr>
          <w:rFonts w:cs="Times New Roman"/>
          <w:i/>
          <w:noProof/>
          <w:sz w:val="22"/>
          <w:szCs w:val="22"/>
        </w:rPr>
        <w:t xml:space="preserve">Table </w:t>
      </w:r>
      <w:r w:rsidRPr="00B677AE">
        <w:rPr>
          <w:rFonts w:cs="Times New Roman"/>
          <w:i/>
          <w:noProof/>
          <w:sz w:val="22"/>
          <w:szCs w:val="22"/>
        </w:rPr>
        <w:fldChar w:fldCharType="begin"/>
      </w:r>
      <w:r w:rsidRPr="00B677AE">
        <w:rPr>
          <w:rFonts w:cs="Times New Roman"/>
          <w:i/>
          <w:noProof/>
          <w:sz w:val="22"/>
          <w:szCs w:val="22"/>
        </w:rPr>
        <w:instrText xml:space="preserve"> SEQ Table \* ARABIC </w:instrText>
      </w:r>
      <w:r w:rsidRPr="00B677AE">
        <w:rPr>
          <w:rFonts w:cs="Times New Roman"/>
          <w:i/>
          <w:noProof/>
          <w:sz w:val="22"/>
          <w:szCs w:val="22"/>
        </w:rPr>
        <w:fldChar w:fldCharType="separate"/>
      </w:r>
      <w:r w:rsidR="0055391F">
        <w:rPr>
          <w:rFonts w:cs="Times New Roman"/>
          <w:i/>
          <w:noProof/>
          <w:sz w:val="22"/>
          <w:szCs w:val="22"/>
        </w:rPr>
        <w:t>22</w:t>
      </w:r>
      <w:r w:rsidRPr="00B677AE">
        <w:rPr>
          <w:rFonts w:cs="Times New Roman"/>
          <w:i/>
          <w:noProof/>
          <w:sz w:val="22"/>
          <w:szCs w:val="22"/>
        </w:rPr>
        <w:fldChar w:fldCharType="end"/>
      </w:r>
      <w:r w:rsidRPr="00B677AE">
        <w:rPr>
          <w:rFonts w:cs="Times New Roman"/>
          <w:i/>
          <w:noProof/>
          <w:sz w:val="22"/>
          <w:szCs w:val="22"/>
        </w:rPr>
        <w:t xml:space="preserve">: Comparison of options in terms of </w:t>
      </w:r>
      <w:r w:rsidR="00235D1A">
        <w:rPr>
          <w:rFonts w:cs="Times New Roman"/>
          <w:i/>
          <w:noProof/>
          <w:sz w:val="22"/>
          <w:szCs w:val="22"/>
        </w:rPr>
        <w:t>economic, social and environmental impacts relative to the baseline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3"/>
        <w:gridCol w:w="1130"/>
        <w:gridCol w:w="1130"/>
        <w:gridCol w:w="1130"/>
        <w:gridCol w:w="1130"/>
      </w:tblGrid>
      <w:tr w:rsidR="006C7CCF" w:rsidRPr="002824F4" w14:paraId="2F78174C" w14:textId="77B4BA11" w:rsidTr="00457E91">
        <w:trPr>
          <w:trHeight w:val="300"/>
          <w:tblHeader/>
        </w:trPr>
        <w:tc>
          <w:tcPr>
            <w:tcW w:w="5083" w:type="dxa"/>
            <w:shd w:val="clear" w:color="auto" w:fill="0070C0"/>
            <w:hideMark/>
          </w:tcPr>
          <w:p w14:paraId="64B2959A" w14:textId="77777777" w:rsidR="006C7CCF" w:rsidRPr="004E336D" w:rsidRDefault="006C7CCF">
            <w:pPr>
              <w:rPr>
                <w:b/>
                <w:noProof/>
                <w:color w:val="FFFFFF" w:themeColor="background1"/>
                <w:sz w:val="20"/>
              </w:rPr>
            </w:pPr>
            <w:r w:rsidRPr="004E336D">
              <w:rPr>
                <w:b/>
                <w:noProof/>
                <w:color w:val="FFFFFF" w:themeColor="background1"/>
                <w:sz w:val="20"/>
              </w:rPr>
              <w:t> </w:t>
            </w:r>
          </w:p>
        </w:tc>
        <w:tc>
          <w:tcPr>
            <w:tcW w:w="1130" w:type="dxa"/>
            <w:shd w:val="clear" w:color="auto" w:fill="0070C0"/>
            <w:hideMark/>
          </w:tcPr>
          <w:p w14:paraId="32221E39" w14:textId="18DA35D4" w:rsidR="006C7CCF" w:rsidRPr="004E336D" w:rsidRDefault="006C7CCF">
            <w:pPr>
              <w:jc w:val="center"/>
              <w:rPr>
                <w:b/>
                <w:noProof/>
                <w:color w:val="FFFFFF" w:themeColor="background1"/>
                <w:sz w:val="20"/>
              </w:rPr>
            </w:pPr>
            <w:r w:rsidRPr="004E336D">
              <w:rPr>
                <w:b/>
                <w:noProof/>
                <w:color w:val="FFFFFF" w:themeColor="background1"/>
                <w:sz w:val="20"/>
              </w:rPr>
              <w:t>PO1</w:t>
            </w:r>
          </w:p>
        </w:tc>
        <w:tc>
          <w:tcPr>
            <w:tcW w:w="1130" w:type="dxa"/>
            <w:shd w:val="clear" w:color="auto" w:fill="0070C0"/>
            <w:hideMark/>
          </w:tcPr>
          <w:p w14:paraId="61EE2C0C" w14:textId="101FC28E" w:rsidR="006C7CCF" w:rsidRPr="004E336D" w:rsidRDefault="006C7CCF">
            <w:pPr>
              <w:jc w:val="center"/>
              <w:rPr>
                <w:b/>
                <w:noProof/>
                <w:color w:val="FFFFFF" w:themeColor="background1"/>
                <w:sz w:val="20"/>
              </w:rPr>
            </w:pPr>
            <w:r w:rsidRPr="004E336D">
              <w:rPr>
                <w:b/>
                <w:noProof/>
                <w:color w:val="FFFFFF" w:themeColor="background1"/>
                <w:sz w:val="20"/>
              </w:rPr>
              <w:t>PO2</w:t>
            </w:r>
          </w:p>
        </w:tc>
        <w:tc>
          <w:tcPr>
            <w:tcW w:w="1130" w:type="dxa"/>
            <w:shd w:val="clear" w:color="auto" w:fill="0070C0"/>
            <w:hideMark/>
          </w:tcPr>
          <w:p w14:paraId="091CC32C" w14:textId="3375A606" w:rsidR="006C7CCF" w:rsidRPr="004E336D" w:rsidRDefault="006C7CCF">
            <w:pPr>
              <w:jc w:val="center"/>
              <w:rPr>
                <w:b/>
                <w:noProof/>
                <w:color w:val="FFFFFF" w:themeColor="background1"/>
                <w:sz w:val="20"/>
              </w:rPr>
            </w:pPr>
            <w:r w:rsidRPr="004E336D">
              <w:rPr>
                <w:b/>
                <w:noProof/>
                <w:color w:val="FFFFFF" w:themeColor="background1"/>
                <w:sz w:val="20"/>
              </w:rPr>
              <w:t>PO3</w:t>
            </w:r>
          </w:p>
        </w:tc>
        <w:tc>
          <w:tcPr>
            <w:tcW w:w="1130" w:type="dxa"/>
            <w:shd w:val="clear" w:color="auto" w:fill="0070C0"/>
          </w:tcPr>
          <w:p w14:paraId="6B53202D" w14:textId="37200E7D" w:rsidR="006C7CCF" w:rsidRPr="004E336D" w:rsidRDefault="006C7CCF">
            <w:pPr>
              <w:jc w:val="center"/>
              <w:rPr>
                <w:b/>
                <w:noProof/>
                <w:color w:val="FFFFFF" w:themeColor="background1"/>
                <w:sz w:val="20"/>
              </w:rPr>
            </w:pPr>
            <w:r w:rsidRPr="004E336D">
              <w:rPr>
                <w:b/>
                <w:noProof/>
                <w:color w:val="FFFFFF" w:themeColor="background1"/>
                <w:sz w:val="20"/>
              </w:rPr>
              <w:t>PO4</w:t>
            </w:r>
          </w:p>
        </w:tc>
      </w:tr>
      <w:tr w:rsidR="006C7CCF" w:rsidRPr="002824F4" w14:paraId="47919330" w14:textId="31EC6A33" w:rsidTr="00457E91">
        <w:trPr>
          <w:trHeight w:val="510"/>
        </w:trPr>
        <w:tc>
          <w:tcPr>
            <w:tcW w:w="5083" w:type="dxa"/>
            <w:shd w:val="clear" w:color="auto" w:fill="8EA9DB"/>
            <w:hideMark/>
          </w:tcPr>
          <w:p w14:paraId="2D228DCF" w14:textId="0F884019" w:rsidR="006C7CCF" w:rsidRPr="004E336D" w:rsidRDefault="006C7CCF">
            <w:pPr>
              <w:rPr>
                <w:b/>
                <w:noProof/>
                <w:color w:val="FFFFFF" w:themeColor="background1"/>
                <w:sz w:val="20"/>
              </w:rPr>
            </w:pPr>
            <w:r w:rsidRPr="004E336D">
              <w:rPr>
                <w:b/>
                <w:noProof/>
                <w:color w:val="FFFFFF" w:themeColor="background1"/>
                <w:sz w:val="20"/>
              </w:rPr>
              <w:t xml:space="preserve">Economic impacts </w:t>
            </w:r>
          </w:p>
        </w:tc>
        <w:tc>
          <w:tcPr>
            <w:tcW w:w="1130" w:type="dxa"/>
            <w:shd w:val="clear" w:color="auto" w:fill="8EA9DB"/>
            <w:noWrap/>
          </w:tcPr>
          <w:p w14:paraId="21A717D1" w14:textId="6BE24AC7" w:rsidR="006C7CCF" w:rsidRPr="004E336D" w:rsidRDefault="00892692">
            <w:pPr>
              <w:jc w:val="center"/>
              <w:rPr>
                <w:b/>
                <w:noProof/>
                <w:color w:val="FFFFFF" w:themeColor="background1"/>
                <w:sz w:val="20"/>
              </w:rPr>
            </w:pPr>
            <w:r>
              <w:rPr>
                <w:b/>
                <w:noProof/>
                <w:color w:val="FFFFFF" w:themeColor="background1"/>
                <w:sz w:val="20"/>
              </w:rPr>
              <w:t>+</w:t>
            </w:r>
          </w:p>
        </w:tc>
        <w:tc>
          <w:tcPr>
            <w:tcW w:w="1130" w:type="dxa"/>
            <w:shd w:val="clear" w:color="auto" w:fill="8EA9DB"/>
            <w:noWrap/>
          </w:tcPr>
          <w:p w14:paraId="224969B2" w14:textId="17D2D311" w:rsidR="006C7CCF" w:rsidRPr="004E336D" w:rsidRDefault="00892692">
            <w:pPr>
              <w:jc w:val="center"/>
              <w:rPr>
                <w:b/>
                <w:noProof/>
                <w:color w:val="FFFFFF" w:themeColor="background1"/>
                <w:sz w:val="20"/>
              </w:rPr>
            </w:pPr>
            <w:r>
              <w:rPr>
                <w:b/>
                <w:noProof/>
                <w:color w:val="FFFFFF" w:themeColor="background1"/>
                <w:sz w:val="20"/>
              </w:rPr>
              <w:t>+</w:t>
            </w:r>
            <w:r w:rsidR="008E14A3">
              <w:rPr>
                <w:b/>
                <w:noProof/>
                <w:color w:val="FFFFFF" w:themeColor="background1"/>
                <w:sz w:val="20"/>
              </w:rPr>
              <w:t>+</w:t>
            </w:r>
          </w:p>
        </w:tc>
        <w:tc>
          <w:tcPr>
            <w:tcW w:w="1130" w:type="dxa"/>
            <w:shd w:val="clear" w:color="auto" w:fill="8EA9DB"/>
            <w:noWrap/>
          </w:tcPr>
          <w:p w14:paraId="7568910D" w14:textId="601BE319" w:rsidR="006C7CCF" w:rsidRPr="004E336D" w:rsidRDefault="00BB1621">
            <w:pPr>
              <w:jc w:val="center"/>
              <w:rPr>
                <w:b/>
                <w:noProof/>
                <w:color w:val="FFFFFF" w:themeColor="background1"/>
                <w:sz w:val="20"/>
              </w:rPr>
            </w:pPr>
            <w:r>
              <w:rPr>
                <w:b/>
                <w:noProof/>
                <w:color w:val="FFFFFF" w:themeColor="background1"/>
                <w:sz w:val="20"/>
              </w:rPr>
              <w:t>++/</w:t>
            </w:r>
            <w:r w:rsidR="00892692">
              <w:rPr>
                <w:b/>
                <w:noProof/>
                <w:color w:val="FFFFFF" w:themeColor="background1"/>
                <w:sz w:val="20"/>
              </w:rPr>
              <w:t>++</w:t>
            </w:r>
            <w:r w:rsidR="008E14A3">
              <w:rPr>
                <w:b/>
                <w:noProof/>
                <w:color w:val="FFFFFF" w:themeColor="background1"/>
                <w:sz w:val="20"/>
              </w:rPr>
              <w:t>+</w:t>
            </w:r>
          </w:p>
        </w:tc>
        <w:tc>
          <w:tcPr>
            <w:tcW w:w="1130" w:type="dxa"/>
            <w:shd w:val="clear" w:color="auto" w:fill="8EA9DB"/>
          </w:tcPr>
          <w:p w14:paraId="55B2EDB5" w14:textId="235EDE33" w:rsidR="006C7CCF" w:rsidRPr="004E336D" w:rsidRDefault="00892692">
            <w:pPr>
              <w:jc w:val="center"/>
              <w:rPr>
                <w:b/>
                <w:noProof/>
                <w:color w:val="FFFFFF" w:themeColor="background1"/>
                <w:sz w:val="20"/>
              </w:rPr>
            </w:pPr>
            <w:r>
              <w:rPr>
                <w:b/>
                <w:noProof/>
                <w:color w:val="FFFFFF" w:themeColor="background1"/>
                <w:sz w:val="20"/>
              </w:rPr>
              <w:t>+</w:t>
            </w:r>
            <w:r w:rsidR="008E14A3">
              <w:rPr>
                <w:b/>
                <w:noProof/>
                <w:color w:val="FFFFFF" w:themeColor="background1"/>
                <w:sz w:val="20"/>
              </w:rPr>
              <w:t>+</w:t>
            </w:r>
          </w:p>
        </w:tc>
      </w:tr>
      <w:tr w:rsidR="006C7CCF" w:rsidRPr="002824F4" w14:paraId="636D78B0" w14:textId="5B35AAF2" w:rsidTr="00457E91">
        <w:trPr>
          <w:trHeight w:val="255"/>
        </w:trPr>
        <w:tc>
          <w:tcPr>
            <w:tcW w:w="5083" w:type="dxa"/>
            <w:shd w:val="clear" w:color="auto" w:fill="006EB8"/>
            <w:noWrap/>
            <w:hideMark/>
          </w:tcPr>
          <w:p w14:paraId="36C86ED5" w14:textId="2E7B768C" w:rsidR="006C7CCF" w:rsidRPr="004E336D" w:rsidRDefault="006C7CCF">
            <w:pPr>
              <w:rPr>
                <w:b/>
                <w:noProof/>
                <w:color w:val="FFFFFF" w:themeColor="background1"/>
                <w:sz w:val="20"/>
              </w:rPr>
            </w:pPr>
            <w:r w:rsidRPr="004E336D">
              <w:rPr>
                <w:b/>
                <w:noProof/>
                <w:color w:val="FFFFFF" w:themeColor="background1"/>
                <w:sz w:val="20"/>
              </w:rPr>
              <w:t xml:space="preserve">MDMS platforms </w:t>
            </w:r>
            <w:r w:rsidR="007A45CB">
              <w:rPr>
                <w:b/>
                <w:noProof/>
                <w:color w:val="FFFFFF" w:themeColor="background1"/>
                <w:sz w:val="20"/>
              </w:rPr>
              <w:t>(</w:t>
            </w:r>
            <w:r w:rsidR="007A45CB" w:rsidRPr="004E336D">
              <w:rPr>
                <w:b/>
                <w:noProof/>
                <w:color w:val="FFFFFF" w:themeColor="background1"/>
                <w:sz w:val="20"/>
              </w:rPr>
              <w:t>in EUR million, expressed as present value over 2028-2050 relative to the baseline)</w:t>
            </w:r>
          </w:p>
        </w:tc>
        <w:tc>
          <w:tcPr>
            <w:tcW w:w="1130" w:type="dxa"/>
            <w:shd w:val="clear" w:color="auto" w:fill="006EB8"/>
            <w:noWrap/>
            <w:hideMark/>
          </w:tcPr>
          <w:p w14:paraId="4250A56A" w14:textId="1DCA992F" w:rsidR="006C7CCF" w:rsidRPr="004E336D" w:rsidRDefault="00D713D3" w:rsidP="00286C48">
            <w:pPr>
              <w:jc w:val="center"/>
              <w:rPr>
                <w:noProof/>
                <w:color w:val="FFFFFF" w:themeColor="background1"/>
                <w:sz w:val="20"/>
              </w:rPr>
            </w:pPr>
            <w:r>
              <w:rPr>
                <w:noProof/>
                <w:color w:val="FFFFFF" w:themeColor="background1"/>
                <w:sz w:val="20"/>
              </w:rPr>
              <w:t>-</w:t>
            </w:r>
          </w:p>
        </w:tc>
        <w:tc>
          <w:tcPr>
            <w:tcW w:w="1130" w:type="dxa"/>
            <w:shd w:val="clear" w:color="auto" w:fill="006EB8"/>
            <w:noWrap/>
            <w:hideMark/>
          </w:tcPr>
          <w:p w14:paraId="2AE6AAA7" w14:textId="3DBFF461" w:rsidR="006C7CCF" w:rsidRPr="004E336D" w:rsidRDefault="00053B2A" w:rsidP="00286C48">
            <w:pPr>
              <w:jc w:val="center"/>
              <w:rPr>
                <w:noProof/>
                <w:color w:val="FFFFFF" w:themeColor="background1"/>
                <w:sz w:val="20"/>
              </w:rPr>
            </w:pPr>
            <w:r>
              <w:rPr>
                <w:noProof/>
                <w:color w:val="FFFFFF" w:themeColor="background1"/>
                <w:sz w:val="20"/>
              </w:rPr>
              <w:t>+</w:t>
            </w:r>
          </w:p>
        </w:tc>
        <w:tc>
          <w:tcPr>
            <w:tcW w:w="1130" w:type="dxa"/>
            <w:shd w:val="clear" w:color="auto" w:fill="006EB8"/>
            <w:noWrap/>
            <w:hideMark/>
          </w:tcPr>
          <w:p w14:paraId="6E2D85A8" w14:textId="09073706" w:rsidR="006C7CCF" w:rsidRPr="004E336D" w:rsidRDefault="00053B2A" w:rsidP="00286C48">
            <w:pPr>
              <w:jc w:val="center"/>
              <w:rPr>
                <w:noProof/>
                <w:color w:val="FFFFFF" w:themeColor="background1"/>
                <w:sz w:val="20"/>
              </w:rPr>
            </w:pPr>
            <w:r>
              <w:rPr>
                <w:noProof/>
                <w:color w:val="FFFFFF" w:themeColor="background1"/>
                <w:sz w:val="20"/>
              </w:rPr>
              <w:t>+</w:t>
            </w:r>
          </w:p>
        </w:tc>
        <w:tc>
          <w:tcPr>
            <w:tcW w:w="1130" w:type="dxa"/>
            <w:shd w:val="clear" w:color="auto" w:fill="006EB8"/>
          </w:tcPr>
          <w:p w14:paraId="34EBF290" w14:textId="60165A46" w:rsidR="006C7CCF" w:rsidRPr="004E336D" w:rsidRDefault="00053B2A" w:rsidP="00286C48">
            <w:pPr>
              <w:jc w:val="center"/>
              <w:rPr>
                <w:noProof/>
                <w:color w:val="FFFFFF" w:themeColor="background1"/>
                <w:sz w:val="20"/>
              </w:rPr>
            </w:pPr>
            <w:r>
              <w:rPr>
                <w:noProof/>
                <w:color w:val="FFFFFF" w:themeColor="background1"/>
                <w:sz w:val="20"/>
              </w:rPr>
              <w:t>--</w:t>
            </w:r>
          </w:p>
        </w:tc>
      </w:tr>
      <w:tr w:rsidR="0031633B" w:rsidRPr="00887B7A" w14:paraId="744762D7" w14:textId="597D0543" w:rsidTr="00E157A3">
        <w:trPr>
          <w:trHeight w:val="255"/>
        </w:trPr>
        <w:tc>
          <w:tcPr>
            <w:tcW w:w="5083" w:type="dxa"/>
            <w:shd w:val="clear" w:color="auto" w:fill="FFFFFF" w:themeFill="background1"/>
            <w:noWrap/>
            <w:hideMark/>
          </w:tcPr>
          <w:p w14:paraId="79BBDF1C" w14:textId="77777777" w:rsidR="004059EC" w:rsidRPr="004E336D" w:rsidRDefault="004059EC" w:rsidP="004059EC">
            <w:pPr>
              <w:rPr>
                <w:noProof/>
                <w:sz w:val="20"/>
              </w:rPr>
            </w:pPr>
            <w:r w:rsidRPr="004E336D">
              <w:rPr>
                <w:noProof/>
                <w:sz w:val="20"/>
              </w:rPr>
              <w:t>Adjustment costs</w:t>
            </w:r>
          </w:p>
        </w:tc>
        <w:tc>
          <w:tcPr>
            <w:tcW w:w="1130" w:type="dxa"/>
            <w:shd w:val="clear" w:color="auto" w:fill="FFFFFF" w:themeFill="background1"/>
            <w:noWrap/>
            <w:vAlign w:val="bottom"/>
          </w:tcPr>
          <w:p w14:paraId="376B39F2" w14:textId="6A55F2BA" w:rsidR="004059EC" w:rsidRPr="00457E91" w:rsidRDefault="004059EC" w:rsidP="004059EC">
            <w:pPr>
              <w:jc w:val="center"/>
              <w:rPr>
                <w:noProof/>
                <w:sz w:val="20"/>
              </w:rPr>
            </w:pPr>
            <w:r>
              <w:rPr>
                <w:noProof/>
                <w:color w:val="000000"/>
                <w:sz w:val="20"/>
                <w:szCs w:val="20"/>
              </w:rPr>
              <w:t>92.9</w:t>
            </w:r>
          </w:p>
        </w:tc>
        <w:tc>
          <w:tcPr>
            <w:tcW w:w="1130" w:type="dxa"/>
            <w:shd w:val="clear" w:color="auto" w:fill="FFFFFF" w:themeFill="background1"/>
            <w:noWrap/>
            <w:vAlign w:val="bottom"/>
          </w:tcPr>
          <w:p w14:paraId="279ACDA9" w14:textId="7E4DC0ED" w:rsidR="004059EC" w:rsidRPr="00457E91" w:rsidRDefault="004059EC" w:rsidP="004059EC">
            <w:pPr>
              <w:jc w:val="center"/>
              <w:rPr>
                <w:noProof/>
                <w:sz w:val="20"/>
              </w:rPr>
            </w:pPr>
            <w:r>
              <w:rPr>
                <w:noProof/>
                <w:color w:val="000000"/>
                <w:sz w:val="20"/>
                <w:szCs w:val="20"/>
              </w:rPr>
              <w:t>127.7</w:t>
            </w:r>
          </w:p>
        </w:tc>
        <w:tc>
          <w:tcPr>
            <w:tcW w:w="1130" w:type="dxa"/>
            <w:shd w:val="clear" w:color="auto" w:fill="FFFFFF" w:themeFill="background1"/>
            <w:noWrap/>
            <w:vAlign w:val="bottom"/>
          </w:tcPr>
          <w:p w14:paraId="78D09093" w14:textId="07EF51DE" w:rsidR="004059EC" w:rsidRPr="00457E91" w:rsidRDefault="004059EC" w:rsidP="004059EC">
            <w:pPr>
              <w:jc w:val="center"/>
              <w:rPr>
                <w:noProof/>
                <w:sz w:val="20"/>
              </w:rPr>
            </w:pPr>
            <w:r>
              <w:rPr>
                <w:noProof/>
                <w:color w:val="000000"/>
                <w:sz w:val="20"/>
                <w:szCs w:val="20"/>
              </w:rPr>
              <w:t>122.3</w:t>
            </w:r>
          </w:p>
        </w:tc>
        <w:tc>
          <w:tcPr>
            <w:tcW w:w="1130" w:type="dxa"/>
            <w:shd w:val="clear" w:color="auto" w:fill="FFFFFF" w:themeFill="background1"/>
            <w:vAlign w:val="bottom"/>
          </w:tcPr>
          <w:p w14:paraId="2C3FCBE2" w14:textId="0324583E" w:rsidR="004059EC" w:rsidRPr="00457E91" w:rsidRDefault="004059EC" w:rsidP="004059EC">
            <w:pPr>
              <w:jc w:val="center"/>
              <w:rPr>
                <w:noProof/>
                <w:sz w:val="20"/>
              </w:rPr>
            </w:pPr>
            <w:r>
              <w:rPr>
                <w:noProof/>
                <w:color w:val="000000"/>
                <w:sz w:val="20"/>
                <w:szCs w:val="20"/>
              </w:rPr>
              <w:t>282.3</w:t>
            </w:r>
          </w:p>
        </w:tc>
      </w:tr>
      <w:tr w:rsidR="006C7CCF" w:rsidRPr="00887B7A" w14:paraId="3236A8EE" w14:textId="5D34A2EF" w:rsidTr="00457E91">
        <w:trPr>
          <w:trHeight w:val="255"/>
        </w:trPr>
        <w:tc>
          <w:tcPr>
            <w:tcW w:w="5083" w:type="dxa"/>
            <w:shd w:val="clear" w:color="auto" w:fill="FFFFFF" w:themeFill="background1"/>
            <w:noWrap/>
            <w:hideMark/>
          </w:tcPr>
          <w:p w14:paraId="71A7D3A7" w14:textId="77777777" w:rsidR="006C7CCF" w:rsidRPr="004E336D" w:rsidRDefault="006C7CCF">
            <w:pPr>
              <w:rPr>
                <w:noProof/>
                <w:sz w:val="20"/>
              </w:rPr>
            </w:pPr>
            <w:r w:rsidRPr="004E336D">
              <w:rPr>
                <w:noProof/>
                <w:sz w:val="20"/>
              </w:rPr>
              <w:t>Administrative costs</w:t>
            </w:r>
          </w:p>
        </w:tc>
        <w:tc>
          <w:tcPr>
            <w:tcW w:w="1130" w:type="dxa"/>
            <w:shd w:val="clear" w:color="auto" w:fill="FFFFFF" w:themeFill="background1"/>
            <w:noWrap/>
          </w:tcPr>
          <w:p w14:paraId="4E6FB01E" w14:textId="53DAF967" w:rsidR="006C7CCF" w:rsidRPr="004E336D" w:rsidRDefault="00BD0B38" w:rsidP="00F66043">
            <w:pPr>
              <w:jc w:val="center"/>
              <w:rPr>
                <w:noProof/>
                <w:sz w:val="20"/>
              </w:rPr>
            </w:pPr>
            <w:r w:rsidRPr="00D713D3">
              <w:rPr>
                <w:noProof/>
                <w:sz w:val="20"/>
                <w:szCs w:val="20"/>
              </w:rPr>
              <w:t>0.5</w:t>
            </w:r>
          </w:p>
        </w:tc>
        <w:tc>
          <w:tcPr>
            <w:tcW w:w="1130" w:type="dxa"/>
            <w:shd w:val="clear" w:color="auto" w:fill="FFFFFF" w:themeFill="background1"/>
            <w:noWrap/>
          </w:tcPr>
          <w:p w14:paraId="2DC451E1" w14:textId="129EC408" w:rsidR="006C7CCF" w:rsidRPr="004E336D" w:rsidRDefault="00BD0B38" w:rsidP="00F66043">
            <w:pPr>
              <w:jc w:val="center"/>
              <w:rPr>
                <w:noProof/>
                <w:sz w:val="20"/>
              </w:rPr>
            </w:pPr>
            <w:r w:rsidRPr="00D713D3">
              <w:rPr>
                <w:noProof/>
                <w:sz w:val="20"/>
                <w:szCs w:val="20"/>
              </w:rPr>
              <w:t>0.5</w:t>
            </w:r>
          </w:p>
        </w:tc>
        <w:tc>
          <w:tcPr>
            <w:tcW w:w="1130" w:type="dxa"/>
            <w:shd w:val="clear" w:color="auto" w:fill="FFFFFF" w:themeFill="background1"/>
            <w:noWrap/>
          </w:tcPr>
          <w:p w14:paraId="5F85FC8D" w14:textId="6FD311B0" w:rsidR="006C7CCF" w:rsidRPr="004E336D" w:rsidRDefault="00BD0B38" w:rsidP="00F66043">
            <w:pPr>
              <w:jc w:val="center"/>
              <w:rPr>
                <w:noProof/>
                <w:sz w:val="20"/>
              </w:rPr>
            </w:pPr>
            <w:r w:rsidRPr="00D713D3">
              <w:rPr>
                <w:noProof/>
                <w:sz w:val="20"/>
                <w:szCs w:val="20"/>
              </w:rPr>
              <w:t>0.5</w:t>
            </w:r>
          </w:p>
        </w:tc>
        <w:tc>
          <w:tcPr>
            <w:tcW w:w="1130" w:type="dxa"/>
            <w:shd w:val="clear" w:color="auto" w:fill="FFFFFF" w:themeFill="background1"/>
          </w:tcPr>
          <w:p w14:paraId="475BA40F" w14:textId="0F5A8247" w:rsidR="006C7CCF" w:rsidRPr="004E336D" w:rsidRDefault="00BD0B38" w:rsidP="00F66043">
            <w:pPr>
              <w:jc w:val="center"/>
              <w:rPr>
                <w:noProof/>
                <w:sz w:val="20"/>
              </w:rPr>
            </w:pPr>
            <w:r w:rsidRPr="00D713D3">
              <w:rPr>
                <w:noProof/>
                <w:sz w:val="20"/>
                <w:szCs w:val="20"/>
              </w:rPr>
              <w:t>0.5</w:t>
            </w:r>
          </w:p>
        </w:tc>
      </w:tr>
      <w:tr w:rsidR="0031633B" w:rsidRPr="00887B7A" w14:paraId="04BB4A6C" w14:textId="70A0E7E0" w:rsidTr="00E157A3">
        <w:trPr>
          <w:trHeight w:val="255"/>
        </w:trPr>
        <w:tc>
          <w:tcPr>
            <w:tcW w:w="5083" w:type="dxa"/>
            <w:shd w:val="clear" w:color="auto" w:fill="FFFFFF" w:themeFill="background1"/>
            <w:noWrap/>
            <w:hideMark/>
          </w:tcPr>
          <w:p w14:paraId="75FB8807" w14:textId="77777777" w:rsidR="004A19EA" w:rsidRPr="004E336D" w:rsidRDefault="004A19EA" w:rsidP="004A19EA">
            <w:pPr>
              <w:rPr>
                <w:noProof/>
                <w:sz w:val="20"/>
              </w:rPr>
            </w:pPr>
            <w:r w:rsidRPr="004E336D">
              <w:rPr>
                <w:noProof/>
                <w:sz w:val="20"/>
              </w:rPr>
              <w:t>Adjustment cost savings</w:t>
            </w:r>
          </w:p>
        </w:tc>
        <w:tc>
          <w:tcPr>
            <w:tcW w:w="1130" w:type="dxa"/>
            <w:shd w:val="clear" w:color="auto" w:fill="FFFFFF" w:themeFill="background1"/>
            <w:noWrap/>
            <w:vAlign w:val="bottom"/>
          </w:tcPr>
          <w:p w14:paraId="4D9E5F04" w14:textId="2459E48B" w:rsidR="004A19EA" w:rsidRPr="00987AA9" w:rsidRDefault="004A19EA" w:rsidP="004A19EA">
            <w:pPr>
              <w:jc w:val="center"/>
              <w:rPr>
                <w:noProof/>
                <w:sz w:val="20"/>
              </w:rPr>
            </w:pPr>
            <w:r>
              <w:rPr>
                <w:noProof/>
                <w:color w:val="000000"/>
                <w:sz w:val="20"/>
                <w:szCs w:val="20"/>
              </w:rPr>
              <w:t>13.0</w:t>
            </w:r>
          </w:p>
        </w:tc>
        <w:tc>
          <w:tcPr>
            <w:tcW w:w="1130" w:type="dxa"/>
            <w:shd w:val="clear" w:color="auto" w:fill="FFFFFF" w:themeFill="background1"/>
            <w:noWrap/>
            <w:vAlign w:val="bottom"/>
          </w:tcPr>
          <w:p w14:paraId="4FAFFAA3" w14:textId="27A16DCF" w:rsidR="004A19EA" w:rsidRPr="00987AA9" w:rsidRDefault="004A19EA" w:rsidP="004A19EA">
            <w:pPr>
              <w:jc w:val="center"/>
              <w:rPr>
                <w:noProof/>
                <w:sz w:val="20"/>
              </w:rPr>
            </w:pPr>
            <w:r>
              <w:rPr>
                <w:noProof/>
                <w:color w:val="000000"/>
                <w:sz w:val="20"/>
                <w:szCs w:val="20"/>
              </w:rPr>
              <w:t>149.0</w:t>
            </w:r>
          </w:p>
        </w:tc>
        <w:tc>
          <w:tcPr>
            <w:tcW w:w="1130" w:type="dxa"/>
            <w:shd w:val="clear" w:color="auto" w:fill="FFFFFF" w:themeFill="background1"/>
            <w:noWrap/>
            <w:vAlign w:val="bottom"/>
          </w:tcPr>
          <w:p w14:paraId="2D2F256B" w14:textId="76FE6959" w:rsidR="004A19EA" w:rsidRPr="00987AA9" w:rsidRDefault="004A19EA" w:rsidP="004A19EA">
            <w:pPr>
              <w:jc w:val="center"/>
              <w:rPr>
                <w:noProof/>
                <w:sz w:val="20"/>
              </w:rPr>
            </w:pPr>
            <w:r>
              <w:rPr>
                <w:noProof/>
                <w:color w:val="000000"/>
                <w:sz w:val="20"/>
                <w:szCs w:val="20"/>
              </w:rPr>
              <w:t>134.0</w:t>
            </w:r>
          </w:p>
        </w:tc>
        <w:tc>
          <w:tcPr>
            <w:tcW w:w="1130" w:type="dxa"/>
            <w:shd w:val="clear" w:color="auto" w:fill="FFFFFF" w:themeFill="background1"/>
            <w:vAlign w:val="bottom"/>
          </w:tcPr>
          <w:p w14:paraId="67EC8318" w14:textId="191C82A8" w:rsidR="004A19EA" w:rsidRPr="00987AA9" w:rsidRDefault="004A19EA" w:rsidP="004A19EA">
            <w:pPr>
              <w:jc w:val="center"/>
              <w:rPr>
                <w:noProof/>
                <w:sz w:val="20"/>
              </w:rPr>
            </w:pPr>
            <w:r>
              <w:rPr>
                <w:noProof/>
                <w:color w:val="000000"/>
                <w:sz w:val="20"/>
                <w:szCs w:val="20"/>
              </w:rPr>
              <w:t>142.7</w:t>
            </w:r>
          </w:p>
        </w:tc>
      </w:tr>
      <w:tr w:rsidR="00EB20FA" w:rsidRPr="00887B7A" w14:paraId="6F1F45B9" w14:textId="38976010" w:rsidTr="00C55768">
        <w:trPr>
          <w:trHeight w:val="255"/>
        </w:trPr>
        <w:tc>
          <w:tcPr>
            <w:tcW w:w="5083" w:type="dxa"/>
            <w:shd w:val="clear" w:color="auto" w:fill="FFFFFF" w:themeFill="background1"/>
            <w:noWrap/>
            <w:hideMark/>
          </w:tcPr>
          <w:p w14:paraId="3DA301DE" w14:textId="0F7615B0" w:rsidR="00EB20FA" w:rsidRPr="004E336D" w:rsidRDefault="00EB20FA" w:rsidP="00EB20FA">
            <w:pPr>
              <w:rPr>
                <w:b/>
                <w:noProof/>
                <w:sz w:val="20"/>
              </w:rPr>
            </w:pPr>
            <w:r w:rsidRPr="004E336D">
              <w:rPr>
                <w:b/>
                <w:noProof/>
                <w:color w:val="000000"/>
                <w:sz w:val="20"/>
                <w:szCs w:val="20"/>
              </w:rPr>
              <w:t>Net costs (-) or net benefits (+) for MDMS platforms</w:t>
            </w:r>
          </w:p>
        </w:tc>
        <w:tc>
          <w:tcPr>
            <w:tcW w:w="1130" w:type="dxa"/>
            <w:shd w:val="clear" w:color="auto" w:fill="FFFFFF" w:themeFill="background1"/>
            <w:noWrap/>
            <w:vAlign w:val="bottom"/>
          </w:tcPr>
          <w:p w14:paraId="318B72DF" w14:textId="7B1D5778" w:rsidR="00EB20FA" w:rsidRPr="00D8423B" w:rsidRDefault="00EB20FA" w:rsidP="00EB20FA">
            <w:pPr>
              <w:jc w:val="center"/>
              <w:rPr>
                <w:noProof/>
                <w:sz w:val="20"/>
              </w:rPr>
            </w:pPr>
            <w:r w:rsidRPr="00D8423B">
              <w:rPr>
                <w:noProof/>
                <w:color w:val="000000"/>
                <w:sz w:val="20"/>
                <w:szCs w:val="20"/>
              </w:rPr>
              <w:t>-80.4</w:t>
            </w:r>
          </w:p>
        </w:tc>
        <w:tc>
          <w:tcPr>
            <w:tcW w:w="1130" w:type="dxa"/>
            <w:shd w:val="clear" w:color="auto" w:fill="FFFFFF" w:themeFill="background1"/>
            <w:noWrap/>
            <w:vAlign w:val="bottom"/>
          </w:tcPr>
          <w:p w14:paraId="4DC2AAF4" w14:textId="58C3BBCB" w:rsidR="00EB20FA" w:rsidRPr="00D8423B" w:rsidRDefault="00EB20FA" w:rsidP="00EB20FA">
            <w:pPr>
              <w:jc w:val="center"/>
              <w:rPr>
                <w:noProof/>
                <w:sz w:val="20"/>
              </w:rPr>
            </w:pPr>
            <w:r w:rsidRPr="00D8423B">
              <w:rPr>
                <w:noProof/>
                <w:color w:val="000000"/>
                <w:sz w:val="20"/>
                <w:szCs w:val="20"/>
              </w:rPr>
              <w:t>20.9</w:t>
            </w:r>
          </w:p>
        </w:tc>
        <w:tc>
          <w:tcPr>
            <w:tcW w:w="1130" w:type="dxa"/>
            <w:shd w:val="clear" w:color="auto" w:fill="FFFFFF" w:themeFill="background1"/>
            <w:noWrap/>
            <w:vAlign w:val="bottom"/>
          </w:tcPr>
          <w:p w14:paraId="40253998" w14:textId="4763AAED" w:rsidR="00EB20FA" w:rsidRPr="00D8423B" w:rsidRDefault="00EB20FA" w:rsidP="00EB20FA">
            <w:pPr>
              <w:jc w:val="center"/>
              <w:rPr>
                <w:noProof/>
                <w:sz w:val="20"/>
              </w:rPr>
            </w:pPr>
            <w:r w:rsidRPr="00D8423B">
              <w:rPr>
                <w:noProof/>
                <w:color w:val="000000"/>
                <w:sz w:val="20"/>
                <w:szCs w:val="20"/>
              </w:rPr>
              <w:t>11.3</w:t>
            </w:r>
          </w:p>
        </w:tc>
        <w:tc>
          <w:tcPr>
            <w:tcW w:w="1130" w:type="dxa"/>
            <w:shd w:val="clear" w:color="auto" w:fill="FFFFFF" w:themeFill="background1"/>
            <w:vAlign w:val="bottom"/>
          </w:tcPr>
          <w:p w14:paraId="224D20C7" w14:textId="203794C0" w:rsidR="00EB20FA" w:rsidRPr="00D8423B" w:rsidRDefault="00EB20FA" w:rsidP="00EB20FA">
            <w:pPr>
              <w:jc w:val="center"/>
              <w:rPr>
                <w:noProof/>
                <w:sz w:val="20"/>
              </w:rPr>
            </w:pPr>
            <w:r w:rsidRPr="00D8423B">
              <w:rPr>
                <w:noProof/>
                <w:color w:val="000000"/>
                <w:sz w:val="20"/>
                <w:szCs w:val="20"/>
              </w:rPr>
              <w:t>-140.0</w:t>
            </w:r>
          </w:p>
        </w:tc>
      </w:tr>
      <w:tr w:rsidR="006C7CCF" w:rsidRPr="002824F4" w14:paraId="66AEAB49" w14:textId="5E8704E7" w:rsidTr="00457E91">
        <w:trPr>
          <w:trHeight w:val="255"/>
        </w:trPr>
        <w:tc>
          <w:tcPr>
            <w:tcW w:w="5083" w:type="dxa"/>
            <w:shd w:val="clear" w:color="auto" w:fill="006EB8"/>
            <w:noWrap/>
            <w:hideMark/>
          </w:tcPr>
          <w:p w14:paraId="1DC2AB51" w14:textId="41031DC2" w:rsidR="006C7CCF" w:rsidRPr="004E336D" w:rsidRDefault="006C7CCF">
            <w:pPr>
              <w:rPr>
                <w:b/>
                <w:noProof/>
                <w:color w:val="FFFFFF" w:themeColor="background1"/>
                <w:sz w:val="20"/>
              </w:rPr>
            </w:pPr>
            <w:r w:rsidRPr="004E336D">
              <w:rPr>
                <w:b/>
                <w:noProof/>
                <w:color w:val="FFFFFF" w:themeColor="background1"/>
                <w:sz w:val="20"/>
              </w:rPr>
              <w:t xml:space="preserve">Transport operators </w:t>
            </w:r>
            <w:r w:rsidR="002A7A97">
              <w:rPr>
                <w:b/>
                <w:noProof/>
                <w:color w:val="FFFFFF" w:themeColor="background1"/>
                <w:sz w:val="20"/>
              </w:rPr>
              <w:t>(</w:t>
            </w:r>
            <w:r w:rsidR="002A7A97" w:rsidRPr="004E336D">
              <w:rPr>
                <w:b/>
                <w:noProof/>
                <w:color w:val="FFFFFF" w:themeColor="background1"/>
                <w:sz w:val="20"/>
              </w:rPr>
              <w:t>in EUR million, expressed as present value over 2028-2050 relative to the baseline)</w:t>
            </w:r>
          </w:p>
        </w:tc>
        <w:tc>
          <w:tcPr>
            <w:tcW w:w="1130" w:type="dxa"/>
            <w:shd w:val="clear" w:color="auto" w:fill="006EB8"/>
            <w:noWrap/>
            <w:hideMark/>
          </w:tcPr>
          <w:p w14:paraId="5033057C" w14:textId="4821BB94" w:rsidR="006C7CCF" w:rsidRPr="004E336D" w:rsidRDefault="00053B2A" w:rsidP="00053B2A">
            <w:pPr>
              <w:jc w:val="center"/>
              <w:rPr>
                <w:noProof/>
                <w:color w:val="FFFFFF" w:themeColor="background1"/>
                <w:sz w:val="20"/>
              </w:rPr>
            </w:pPr>
            <w:r>
              <w:rPr>
                <w:noProof/>
                <w:color w:val="FFFFFF" w:themeColor="background1"/>
                <w:sz w:val="20"/>
              </w:rPr>
              <w:t>+</w:t>
            </w:r>
          </w:p>
        </w:tc>
        <w:tc>
          <w:tcPr>
            <w:tcW w:w="1130" w:type="dxa"/>
            <w:shd w:val="clear" w:color="auto" w:fill="006EB8"/>
            <w:noWrap/>
            <w:hideMark/>
          </w:tcPr>
          <w:p w14:paraId="506655B0" w14:textId="7BB60D00" w:rsidR="006C7CCF" w:rsidRPr="004E336D" w:rsidRDefault="003E1EC6" w:rsidP="00053B2A">
            <w:pPr>
              <w:jc w:val="center"/>
              <w:rPr>
                <w:noProof/>
                <w:color w:val="FFFFFF" w:themeColor="background1"/>
                <w:sz w:val="20"/>
              </w:rPr>
            </w:pPr>
            <w:r>
              <w:rPr>
                <w:noProof/>
                <w:color w:val="FFFFFF" w:themeColor="background1"/>
                <w:sz w:val="20"/>
              </w:rPr>
              <w:t>++</w:t>
            </w:r>
          </w:p>
        </w:tc>
        <w:tc>
          <w:tcPr>
            <w:tcW w:w="1130" w:type="dxa"/>
            <w:shd w:val="clear" w:color="auto" w:fill="006EB8"/>
            <w:noWrap/>
            <w:hideMark/>
          </w:tcPr>
          <w:p w14:paraId="00F23382" w14:textId="62AA5B80" w:rsidR="006C7CCF" w:rsidRPr="004E336D" w:rsidRDefault="003E1EC6" w:rsidP="00053B2A">
            <w:pPr>
              <w:jc w:val="center"/>
              <w:rPr>
                <w:noProof/>
                <w:color w:val="FFFFFF" w:themeColor="background1"/>
                <w:sz w:val="20"/>
              </w:rPr>
            </w:pPr>
            <w:r>
              <w:rPr>
                <w:noProof/>
                <w:color w:val="FFFFFF" w:themeColor="background1"/>
                <w:sz w:val="20"/>
              </w:rPr>
              <w:t>++</w:t>
            </w:r>
          </w:p>
        </w:tc>
        <w:tc>
          <w:tcPr>
            <w:tcW w:w="1130" w:type="dxa"/>
            <w:shd w:val="clear" w:color="auto" w:fill="006EB8"/>
          </w:tcPr>
          <w:p w14:paraId="7CD3F592" w14:textId="7BD03692" w:rsidR="006C7CCF" w:rsidRPr="004E336D" w:rsidRDefault="003E1EC6" w:rsidP="00053B2A">
            <w:pPr>
              <w:jc w:val="center"/>
              <w:rPr>
                <w:noProof/>
                <w:color w:val="FFFFFF" w:themeColor="background1"/>
                <w:sz w:val="20"/>
              </w:rPr>
            </w:pPr>
            <w:r>
              <w:rPr>
                <w:noProof/>
                <w:color w:val="FFFFFF" w:themeColor="background1"/>
                <w:sz w:val="20"/>
              </w:rPr>
              <w:t>++</w:t>
            </w:r>
          </w:p>
        </w:tc>
      </w:tr>
      <w:tr w:rsidR="004200A2" w:rsidRPr="00887B7A" w14:paraId="17F7F7AD" w14:textId="6F7650D2" w:rsidTr="00457E91">
        <w:trPr>
          <w:trHeight w:val="255"/>
        </w:trPr>
        <w:tc>
          <w:tcPr>
            <w:tcW w:w="5083" w:type="dxa"/>
            <w:shd w:val="clear" w:color="auto" w:fill="FFFFFF" w:themeFill="background1"/>
            <w:hideMark/>
          </w:tcPr>
          <w:p w14:paraId="55EDFE0A" w14:textId="772B56B8" w:rsidR="004200A2" w:rsidRPr="004E336D" w:rsidRDefault="004200A2" w:rsidP="004200A2">
            <w:pPr>
              <w:rPr>
                <w:noProof/>
                <w:sz w:val="20"/>
              </w:rPr>
            </w:pPr>
            <w:r w:rsidRPr="004E336D">
              <w:rPr>
                <w:noProof/>
                <w:sz w:val="20"/>
              </w:rPr>
              <w:t>Adjustment costs</w:t>
            </w:r>
          </w:p>
        </w:tc>
        <w:tc>
          <w:tcPr>
            <w:tcW w:w="1130" w:type="dxa"/>
            <w:shd w:val="clear" w:color="auto" w:fill="FFFFFF" w:themeFill="background1"/>
            <w:noWrap/>
          </w:tcPr>
          <w:p w14:paraId="2637A7DE" w14:textId="23A61117" w:rsidR="004200A2" w:rsidRPr="004200A2" w:rsidRDefault="004200A2" w:rsidP="004200A2">
            <w:pPr>
              <w:jc w:val="center"/>
              <w:rPr>
                <w:noProof/>
                <w:sz w:val="20"/>
              </w:rPr>
            </w:pPr>
            <w:r w:rsidRPr="004200A2" w:rsidDel="008E569D">
              <w:rPr>
                <w:noProof/>
                <w:sz w:val="20"/>
                <w:szCs w:val="20"/>
              </w:rPr>
              <w:t>0.0</w:t>
            </w:r>
          </w:p>
        </w:tc>
        <w:tc>
          <w:tcPr>
            <w:tcW w:w="1130" w:type="dxa"/>
            <w:shd w:val="clear" w:color="auto" w:fill="FFFFFF" w:themeFill="background1"/>
            <w:noWrap/>
          </w:tcPr>
          <w:p w14:paraId="402FA825" w14:textId="34EA6FAE" w:rsidR="004200A2" w:rsidRPr="004200A2" w:rsidRDefault="004200A2" w:rsidP="004200A2">
            <w:pPr>
              <w:jc w:val="center"/>
              <w:rPr>
                <w:noProof/>
                <w:sz w:val="20"/>
              </w:rPr>
            </w:pPr>
            <w:r w:rsidRPr="003A2F40">
              <w:rPr>
                <w:noProof/>
                <w:sz w:val="20"/>
                <w:szCs w:val="20"/>
              </w:rPr>
              <w:t>48.2</w:t>
            </w:r>
          </w:p>
        </w:tc>
        <w:tc>
          <w:tcPr>
            <w:tcW w:w="1130" w:type="dxa"/>
            <w:shd w:val="clear" w:color="auto" w:fill="FFFFFF" w:themeFill="background1"/>
            <w:noWrap/>
          </w:tcPr>
          <w:p w14:paraId="7F526BA1" w14:textId="20CB3543" w:rsidR="004200A2" w:rsidRPr="004200A2" w:rsidRDefault="004200A2" w:rsidP="004200A2">
            <w:pPr>
              <w:jc w:val="center"/>
              <w:rPr>
                <w:noProof/>
                <w:sz w:val="20"/>
              </w:rPr>
            </w:pPr>
            <w:r w:rsidRPr="003A2F40">
              <w:rPr>
                <w:noProof/>
                <w:sz w:val="20"/>
                <w:szCs w:val="20"/>
              </w:rPr>
              <w:t>42.</w:t>
            </w:r>
            <w:r w:rsidRPr="004200A2" w:rsidDel="008E569D">
              <w:rPr>
                <w:noProof/>
                <w:sz w:val="20"/>
                <w:szCs w:val="20"/>
              </w:rPr>
              <w:t>2</w:t>
            </w:r>
          </w:p>
        </w:tc>
        <w:tc>
          <w:tcPr>
            <w:tcW w:w="1130" w:type="dxa"/>
            <w:shd w:val="clear" w:color="auto" w:fill="FFFFFF" w:themeFill="background1"/>
          </w:tcPr>
          <w:p w14:paraId="29077550" w14:textId="2EC71705" w:rsidR="004200A2" w:rsidRPr="004200A2" w:rsidRDefault="004200A2" w:rsidP="004200A2">
            <w:pPr>
              <w:jc w:val="center"/>
              <w:rPr>
                <w:noProof/>
                <w:sz w:val="20"/>
              </w:rPr>
            </w:pPr>
            <w:r w:rsidRPr="003A2F40">
              <w:rPr>
                <w:noProof/>
                <w:sz w:val="20"/>
                <w:szCs w:val="20"/>
              </w:rPr>
              <w:t>45.2</w:t>
            </w:r>
          </w:p>
        </w:tc>
      </w:tr>
      <w:tr w:rsidR="006C7CCF" w:rsidRPr="00887B7A" w14:paraId="177868CA" w14:textId="0FC58C0C" w:rsidTr="00457E91">
        <w:trPr>
          <w:trHeight w:val="255"/>
        </w:trPr>
        <w:tc>
          <w:tcPr>
            <w:tcW w:w="5083" w:type="dxa"/>
            <w:shd w:val="clear" w:color="auto" w:fill="FFFFFF" w:themeFill="background1"/>
            <w:noWrap/>
          </w:tcPr>
          <w:p w14:paraId="0A856AC3" w14:textId="54AAC728" w:rsidR="006C7CCF" w:rsidRPr="004E336D" w:rsidRDefault="006C7CCF" w:rsidP="00A30CC5">
            <w:pPr>
              <w:rPr>
                <w:b/>
                <w:noProof/>
                <w:sz w:val="20"/>
              </w:rPr>
            </w:pPr>
            <w:r w:rsidRPr="004E336D">
              <w:rPr>
                <w:noProof/>
                <w:sz w:val="20"/>
              </w:rPr>
              <w:t>Administrative costs</w:t>
            </w:r>
          </w:p>
        </w:tc>
        <w:tc>
          <w:tcPr>
            <w:tcW w:w="1130" w:type="dxa"/>
            <w:shd w:val="clear" w:color="auto" w:fill="FFFFFF" w:themeFill="background1"/>
            <w:noWrap/>
          </w:tcPr>
          <w:p w14:paraId="3B5D7941" w14:textId="3BF93EF6" w:rsidR="006C7CCF" w:rsidRPr="00053B2A" w:rsidRDefault="00180145" w:rsidP="00F66043">
            <w:pPr>
              <w:jc w:val="center"/>
              <w:rPr>
                <w:noProof/>
                <w:sz w:val="20"/>
              </w:rPr>
            </w:pPr>
            <w:r w:rsidRPr="00053B2A">
              <w:rPr>
                <w:noProof/>
                <w:sz w:val="20"/>
                <w:szCs w:val="20"/>
              </w:rPr>
              <w:t>0.001</w:t>
            </w:r>
          </w:p>
        </w:tc>
        <w:tc>
          <w:tcPr>
            <w:tcW w:w="1130" w:type="dxa"/>
            <w:shd w:val="clear" w:color="auto" w:fill="FFFFFF" w:themeFill="background1"/>
            <w:noWrap/>
          </w:tcPr>
          <w:p w14:paraId="0C019838" w14:textId="63F12A66" w:rsidR="006C7CCF" w:rsidRPr="00053B2A" w:rsidRDefault="00180145" w:rsidP="00F66043">
            <w:pPr>
              <w:jc w:val="center"/>
              <w:rPr>
                <w:noProof/>
                <w:sz w:val="20"/>
              </w:rPr>
            </w:pPr>
            <w:r w:rsidRPr="00053B2A">
              <w:rPr>
                <w:noProof/>
                <w:sz w:val="20"/>
                <w:szCs w:val="20"/>
              </w:rPr>
              <w:t>0.001</w:t>
            </w:r>
          </w:p>
        </w:tc>
        <w:tc>
          <w:tcPr>
            <w:tcW w:w="1130" w:type="dxa"/>
            <w:shd w:val="clear" w:color="auto" w:fill="FFFFFF" w:themeFill="background1"/>
            <w:noWrap/>
          </w:tcPr>
          <w:p w14:paraId="34395B82" w14:textId="35F477DA" w:rsidR="006C7CCF" w:rsidRPr="00053B2A" w:rsidRDefault="00180145" w:rsidP="00F66043">
            <w:pPr>
              <w:jc w:val="center"/>
              <w:rPr>
                <w:noProof/>
                <w:sz w:val="20"/>
              </w:rPr>
            </w:pPr>
            <w:r w:rsidRPr="00053B2A">
              <w:rPr>
                <w:noProof/>
                <w:sz w:val="20"/>
                <w:szCs w:val="20"/>
              </w:rPr>
              <w:t>0.001</w:t>
            </w:r>
          </w:p>
        </w:tc>
        <w:tc>
          <w:tcPr>
            <w:tcW w:w="1130" w:type="dxa"/>
            <w:shd w:val="clear" w:color="auto" w:fill="FFFFFF" w:themeFill="background1"/>
          </w:tcPr>
          <w:p w14:paraId="289A614E" w14:textId="7EA6B624" w:rsidR="006C7CCF" w:rsidRPr="00053B2A" w:rsidRDefault="00180145" w:rsidP="00F66043">
            <w:pPr>
              <w:jc w:val="center"/>
              <w:rPr>
                <w:noProof/>
                <w:sz w:val="20"/>
              </w:rPr>
            </w:pPr>
            <w:r w:rsidRPr="00053B2A">
              <w:rPr>
                <w:noProof/>
                <w:sz w:val="20"/>
                <w:szCs w:val="20"/>
              </w:rPr>
              <w:t>0.001</w:t>
            </w:r>
          </w:p>
        </w:tc>
      </w:tr>
      <w:tr w:rsidR="00D8423B" w:rsidRPr="00887B7A" w14:paraId="18605CB9" w14:textId="63151594" w:rsidTr="00457E91">
        <w:trPr>
          <w:trHeight w:val="255"/>
        </w:trPr>
        <w:tc>
          <w:tcPr>
            <w:tcW w:w="5083" w:type="dxa"/>
            <w:shd w:val="clear" w:color="auto" w:fill="FFFFFF" w:themeFill="background1"/>
            <w:noWrap/>
          </w:tcPr>
          <w:p w14:paraId="56B4CF95" w14:textId="36A71C2E" w:rsidR="00D8423B" w:rsidRPr="004E336D" w:rsidRDefault="00D8423B" w:rsidP="00D8423B">
            <w:pPr>
              <w:rPr>
                <w:b/>
                <w:noProof/>
                <w:sz w:val="20"/>
              </w:rPr>
            </w:pPr>
            <w:r w:rsidRPr="004E336D">
              <w:rPr>
                <w:noProof/>
                <w:sz w:val="20"/>
              </w:rPr>
              <w:t>Adjustment cost savings</w:t>
            </w:r>
          </w:p>
        </w:tc>
        <w:tc>
          <w:tcPr>
            <w:tcW w:w="1130" w:type="dxa"/>
            <w:shd w:val="clear" w:color="auto" w:fill="FFFFFF" w:themeFill="background1"/>
            <w:noWrap/>
          </w:tcPr>
          <w:p w14:paraId="718C7160" w14:textId="4FF986A8" w:rsidR="00D8423B" w:rsidRPr="00D8423B" w:rsidRDefault="00D8423B" w:rsidP="00D8423B">
            <w:pPr>
              <w:jc w:val="center"/>
              <w:rPr>
                <w:noProof/>
                <w:sz w:val="20"/>
              </w:rPr>
            </w:pPr>
            <w:r w:rsidRPr="00D8423B">
              <w:rPr>
                <w:noProof/>
                <w:sz w:val="20"/>
                <w:szCs w:val="20"/>
              </w:rPr>
              <w:t>13.0</w:t>
            </w:r>
          </w:p>
        </w:tc>
        <w:tc>
          <w:tcPr>
            <w:tcW w:w="1130" w:type="dxa"/>
            <w:shd w:val="clear" w:color="auto" w:fill="FFFFFF" w:themeFill="background1"/>
            <w:noWrap/>
          </w:tcPr>
          <w:p w14:paraId="33E65F72" w14:textId="5BFD8B77" w:rsidR="00D8423B" w:rsidRPr="00D8423B" w:rsidRDefault="00D8423B" w:rsidP="00D8423B">
            <w:pPr>
              <w:jc w:val="center"/>
              <w:rPr>
                <w:noProof/>
                <w:sz w:val="20"/>
              </w:rPr>
            </w:pPr>
            <w:r w:rsidRPr="00D8423B">
              <w:rPr>
                <w:noProof/>
                <w:sz w:val="20"/>
                <w:szCs w:val="20"/>
              </w:rPr>
              <w:t>149.0</w:t>
            </w:r>
          </w:p>
        </w:tc>
        <w:tc>
          <w:tcPr>
            <w:tcW w:w="1130" w:type="dxa"/>
            <w:shd w:val="clear" w:color="auto" w:fill="FFFFFF" w:themeFill="background1"/>
            <w:noWrap/>
          </w:tcPr>
          <w:p w14:paraId="27E85DB9" w14:textId="18E02A84" w:rsidR="00D8423B" w:rsidRPr="00D8423B" w:rsidRDefault="00D8423B" w:rsidP="00D8423B">
            <w:pPr>
              <w:jc w:val="center"/>
              <w:rPr>
                <w:noProof/>
                <w:sz w:val="20"/>
              </w:rPr>
            </w:pPr>
            <w:r w:rsidRPr="00D8423B">
              <w:rPr>
                <w:noProof/>
                <w:sz w:val="20"/>
                <w:szCs w:val="20"/>
              </w:rPr>
              <w:t>134.0</w:t>
            </w:r>
          </w:p>
        </w:tc>
        <w:tc>
          <w:tcPr>
            <w:tcW w:w="1130" w:type="dxa"/>
            <w:shd w:val="clear" w:color="auto" w:fill="FFFFFF" w:themeFill="background1"/>
          </w:tcPr>
          <w:p w14:paraId="3AE9CC59" w14:textId="21E31A15" w:rsidR="00D8423B" w:rsidRPr="00D8423B" w:rsidRDefault="00D8423B" w:rsidP="00D8423B">
            <w:pPr>
              <w:jc w:val="center"/>
              <w:rPr>
                <w:noProof/>
                <w:sz w:val="20"/>
              </w:rPr>
            </w:pPr>
            <w:r w:rsidRPr="00D8423B">
              <w:rPr>
                <w:noProof/>
                <w:sz w:val="20"/>
                <w:szCs w:val="20"/>
              </w:rPr>
              <w:t>142.7</w:t>
            </w:r>
          </w:p>
        </w:tc>
      </w:tr>
      <w:tr w:rsidR="00D8423B" w:rsidRPr="00887B7A" w14:paraId="2649B0E1" w14:textId="69690F58" w:rsidTr="00457E91">
        <w:trPr>
          <w:trHeight w:val="255"/>
        </w:trPr>
        <w:tc>
          <w:tcPr>
            <w:tcW w:w="5083" w:type="dxa"/>
            <w:shd w:val="clear" w:color="auto" w:fill="FFFFFF" w:themeFill="background1"/>
            <w:noWrap/>
            <w:hideMark/>
          </w:tcPr>
          <w:p w14:paraId="1EE568D0" w14:textId="4D301ABF" w:rsidR="00D8423B" w:rsidRPr="004E336D" w:rsidRDefault="00D8423B" w:rsidP="00D8423B">
            <w:pPr>
              <w:rPr>
                <w:b/>
                <w:noProof/>
                <w:sz w:val="20"/>
              </w:rPr>
            </w:pPr>
            <w:r w:rsidRPr="004E336D">
              <w:rPr>
                <w:b/>
                <w:noProof/>
                <w:sz w:val="20"/>
              </w:rPr>
              <w:t>Net benefits for transport operators</w:t>
            </w:r>
          </w:p>
        </w:tc>
        <w:tc>
          <w:tcPr>
            <w:tcW w:w="1130" w:type="dxa"/>
            <w:shd w:val="clear" w:color="auto" w:fill="FFFFFF" w:themeFill="background1"/>
            <w:noWrap/>
          </w:tcPr>
          <w:p w14:paraId="61F2B98B" w14:textId="2F2CC1B7" w:rsidR="00D8423B" w:rsidRPr="00D8423B" w:rsidRDefault="00D8423B" w:rsidP="00D8423B">
            <w:pPr>
              <w:jc w:val="center"/>
              <w:rPr>
                <w:noProof/>
                <w:sz w:val="20"/>
              </w:rPr>
            </w:pPr>
            <w:r w:rsidRPr="00D8423B">
              <w:rPr>
                <w:noProof/>
                <w:color w:val="000000"/>
                <w:sz w:val="20"/>
                <w:szCs w:val="20"/>
              </w:rPr>
              <w:t>13.0</w:t>
            </w:r>
          </w:p>
        </w:tc>
        <w:tc>
          <w:tcPr>
            <w:tcW w:w="1130" w:type="dxa"/>
            <w:shd w:val="clear" w:color="auto" w:fill="FFFFFF" w:themeFill="background1"/>
            <w:noWrap/>
          </w:tcPr>
          <w:p w14:paraId="37C4FC5D" w14:textId="7A9A8227" w:rsidR="00D8423B" w:rsidRPr="00D8423B" w:rsidRDefault="00D8423B" w:rsidP="00D8423B">
            <w:pPr>
              <w:jc w:val="center"/>
              <w:rPr>
                <w:noProof/>
                <w:sz w:val="20"/>
              </w:rPr>
            </w:pPr>
            <w:r w:rsidRPr="00D8423B">
              <w:rPr>
                <w:noProof/>
                <w:color w:val="000000"/>
                <w:sz w:val="20"/>
                <w:szCs w:val="20"/>
              </w:rPr>
              <w:t>100.9</w:t>
            </w:r>
          </w:p>
        </w:tc>
        <w:tc>
          <w:tcPr>
            <w:tcW w:w="1130" w:type="dxa"/>
            <w:shd w:val="clear" w:color="auto" w:fill="FFFFFF" w:themeFill="background1"/>
            <w:noWrap/>
          </w:tcPr>
          <w:p w14:paraId="1B1240B9" w14:textId="03A2D64A" w:rsidR="00D8423B" w:rsidRPr="00D8423B" w:rsidRDefault="00D8423B" w:rsidP="00D8423B">
            <w:pPr>
              <w:jc w:val="center"/>
              <w:rPr>
                <w:noProof/>
                <w:sz w:val="20"/>
              </w:rPr>
            </w:pPr>
            <w:r w:rsidRPr="00D8423B">
              <w:rPr>
                <w:noProof/>
                <w:color w:val="000000"/>
                <w:sz w:val="20"/>
                <w:szCs w:val="20"/>
              </w:rPr>
              <w:t>91.8</w:t>
            </w:r>
          </w:p>
        </w:tc>
        <w:tc>
          <w:tcPr>
            <w:tcW w:w="1130" w:type="dxa"/>
            <w:shd w:val="clear" w:color="auto" w:fill="FFFFFF" w:themeFill="background1"/>
          </w:tcPr>
          <w:p w14:paraId="7E7E9D40" w14:textId="0DAA1694" w:rsidR="00D8423B" w:rsidRPr="00D8423B" w:rsidRDefault="00D8423B" w:rsidP="00D8423B">
            <w:pPr>
              <w:jc w:val="center"/>
              <w:rPr>
                <w:noProof/>
                <w:sz w:val="20"/>
              </w:rPr>
            </w:pPr>
            <w:r w:rsidRPr="00D8423B">
              <w:rPr>
                <w:noProof/>
                <w:color w:val="000000"/>
                <w:sz w:val="20"/>
                <w:szCs w:val="20"/>
              </w:rPr>
              <w:t>97.6</w:t>
            </w:r>
          </w:p>
        </w:tc>
      </w:tr>
      <w:tr w:rsidR="006C7CCF" w:rsidRPr="002824F4" w14:paraId="7CF863AA" w14:textId="46DAEB50" w:rsidTr="00457E91">
        <w:trPr>
          <w:trHeight w:val="255"/>
        </w:trPr>
        <w:tc>
          <w:tcPr>
            <w:tcW w:w="5083" w:type="dxa"/>
            <w:shd w:val="clear" w:color="auto" w:fill="006EB8"/>
            <w:noWrap/>
            <w:hideMark/>
          </w:tcPr>
          <w:p w14:paraId="74138000" w14:textId="77B9146A" w:rsidR="006C7CCF" w:rsidRPr="004E336D" w:rsidRDefault="006C7CCF">
            <w:pPr>
              <w:rPr>
                <w:b/>
                <w:noProof/>
                <w:color w:val="FFFFFF" w:themeColor="background1"/>
                <w:sz w:val="20"/>
              </w:rPr>
            </w:pPr>
            <w:r w:rsidRPr="004E336D">
              <w:rPr>
                <w:b/>
                <w:noProof/>
                <w:color w:val="FFFFFF" w:themeColor="background1"/>
                <w:sz w:val="20"/>
              </w:rPr>
              <w:t>National authorities</w:t>
            </w:r>
            <w:r w:rsidR="00A16157">
              <w:rPr>
                <w:b/>
                <w:noProof/>
                <w:color w:val="FFFFFF" w:themeColor="background1"/>
                <w:sz w:val="20"/>
              </w:rPr>
              <w:t xml:space="preserve"> </w:t>
            </w:r>
            <w:r w:rsidR="00A16157" w:rsidRPr="004E336D">
              <w:rPr>
                <w:b/>
                <w:noProof/>
                <w:color w:val="FFFFFF" w:themeColor="background1"/>
                <w:sz w:val="20"/>
              </w:rPr>
              <w:t>in EUR million, expressed as present value over 2028-2050 relative to the baseline)</w:t>
            </w:r>
            <w:r w:rsidRPr="004E336D">
              <w:rPr>
                <w:b/>
                <w:noProof/>
                <w:color w:val="FFFFFF" w:themeColor="background1"/>
                <w:sz w:val="20"/>
              </w:rPr>
              <w:t xml:space="preserve"> </w:t>
            </w:r>
          </w:p>
        </w:tc>
        <w:tc>
          <w:tcPr>
            <w:tcW w:w="1130" w:type="dxa"/>
            <w:shd w:val="clear" w:color="auto" w:fill="006EB8"/>
            <w:noWrap/>
            <w:hideMark/>
          </w:tcPr>
          <w:p w14:paraId="2B227F28" w14:textId="1F72F246" w:rsidR="006C7CCF" w:rsidRPr="004E336D" w:rsidRDefault="00F66043" w:rsidP="00F66043">
            <w:pPr>
              <w:jc w:val="center"/>
              <w:rPr>
                <w:noProof/>
                <w:color w:val="FFFFFF" w:themeColor="background1"/>
                <w:sz w:val="20"/>
              </w:rPr>
            </w:pPr>
            <w:r w:rsidRPr="00F66043">
              <w:rPr>
                <w:noProof/>
                <w:color w:val="FFFFFF" w:themeColor="background1"/>
                <w:sz w:val="20"/>
              </w:rPr>
              <w:t>--</w:t>
            </w:r>
          </w:p>
        </w:tc>
        <w:tc>
          <w:tcPr>
            <w:tcW w:w="1130" w:type="dxa"/>
            <w:shd w:val="clear" w:color="auto" w:fill="006EB8"/>
            <w:noWrap/>
            <w:hideMark/>
          </w:tcPr>
          <w:p w14:paraId="6574DE72" w14:textId="17C537AE" w:rsidR="006C7CCF" w:rsidRPr="004E336D" w:rsidRDefault="00F66043" w:rsidP="00F66043">
            <w:pPr>
              <w:jc w:val="center"/>
              <w:rPr>
                <w:noProof/>
                <w:color w:val="FFFFFF" w:themeColor="background1"/>
                <w:sz w:val="20"/>
              </w:rPr>
            </w:pPr>
            <w:r w:rsidRPr="00F66043">
              <w:rPr>
                <w:noProof/>
                <w:color w:val="FFFFFF" w:themeColor="background1"/>
                <w:sz w:val="20"/>
              </w:rPr>
              <w:t>--</w:t>
            </w:r>
          </w:p>
        </w:tc>
        <w:tc>
          <w:tcPr>
            <w:tcW w:w="1130" w:type="dxa"/>
            <w:shd w:val="clear" w:color="auto" w:fill="006EB8"/>
            <w:noWrap/>
            <w:hideMark/>
          </w:tcPr>
          <w:p w14:paraId="4F86AF1A" w14:textId="03F5D64C" w:rsidR="006C7CCF" w:rsidRPr="004E336D" w:rsidRDefault="00F66043" w:rsidP="00F66043">
            <w:pPr>
              <w:jc w:val="center"/>
              <w:rPr>
                <w:noProof/>
                <w:color w:val="FFFFFF" w:themeColor="background1"/>
                <w:sz w:val="20"/>
              </w:rPr>
            </w:pPr>
            <w:r w:rsidRPr="00F66043">
              <w:rPr>
                <w:noProof/>
                <w:color w:val="FFFFFF" w:themeColor="background1"/>
                <w:sz w:val="20"/>
              </w:rPr>
              <w:t>--</w:t>
            </w:r>
          </w:p>
        </w:tc>
        <w:tc>
          <w:tcPr>
            <w:tcW w:w="1130" w:type="dxa"/>
            <w:shd w:val="clear" w:color="auto" w:fill="006EB8"/>
          </w:tcPr>
          <w:p w14:paraId="57822D5C" w14:textId="4E86CBE9" w:rsidR="006C7CCF" w:rsidRPr="004E336D" w:rsidRDefault="00F66043" w:rsidP="00F66043">
            <w:pPr>
              <w:jc w:val="center"/>
              <w:rPr>
                <w:noProof/>
                <w:color w:val="FFFFFF" w:themeColor="background1"/>
                <w:sz w:val="20"/>
              </w:rPr>
            </w:pPr>
            <w:r w:rsidRPr="00F66043">
              <w:rPr>
                <w:noProof/>
                <w:color w:val="FFFFFF" w:themeColor="background1"/>
                <w:sz w:val="20"/>
              </w:rPr>
              <w:t>--</w:t>
            </w:r>
          </w:p>
        </w:tc>
      </w:tr>
      <w:tr w:rsidR="006C7CCF" w:rsidRPr="00887B7A" w14:paraId="0591014B" w14:textId="0F3E0A00" w:rsidTr="00457E91">
        <w:trPr>
          <w:trHeight w:val="255"/>
        </w:trPr>
        <w:tc>
          <w:tcPr>
            <w:tcW w:w="5083" w:type="dxa"/>
            <w:shd w:val="clear" w:color="auto" w:fill="FFFFFF" w:themeFill="background1"/>
            <w:noWrap/>
            <w:hideMark/>
          </w:tcPr>
          <w:p w14:paraId="60146E30" w14:textId="2BB3A546" w:rsidR="006C7CCF" w:rsidRPr="004E336D" w:rsidRDefault="0098357E">
            <w:pPr>
              <w:rPr>
                <w:noProof/>
                <w:sz w:val="20"/>
              </w:rPr>
            </w:pPr>
            <w:r w:rsidRPr="004E336D">
              <w:rPr>
                <w:noProof/>
                <w:sz w:val="20"/>
              </w:rPr>
              <w:t>Enforcement</w:t>
            </w:r>
            <w:r w:rsidR="006C7CCF" w:rsidRPr="004E336D">
              <w:rPr>
                <w:noProof/>
                <w:sz w:val="20"/>
              </w:rPr>
              <w:t xml:space="preserve"> costs</w:t>
            </w:r>
          </w:p>
        </w:tc>
        <w:tc>
          <w:tcPr>
            <w:tcW w:w="1130" w:type="dxa"/>
            <w:shd w:val="clear" w:color="auto" w:fill="FFFFFF" w:themeFill="background1"/>
            <w:noWrap/>
          </w:tcPr>
          <w:p w14:paraId="0AD403FA" w14:textId="39B51A09" w:rsidR="006C7CCF" w:rsidRPr="004E336D" w:rsidRDefault="00180145" w:rsidP="00F66043">
            <w:pPr>
              <w:jc w:val="center"/>
              <w:rPr>
                <w:noProof/>
                <w:sz w:val="20"/>
              </w:rPr>
            </w:pPr>
            <w:r w:rsidRPr="003E1EC6">
              <w:rPr>
                <w:noProof/>
                <w:sz w:val="20"/>
                <w:szCs w:val="20"/>
              </w:rPr>
              <w:t>106.5</w:t>
            </w:r>
          </w:p>
        </w:tc>
        <w:tc>
          <w:tcPr>
            <w:tcW w:w="1130" w:type="dxa"/>
            <w:shd w:val="clear" w:color="auto" w:fill="FFFFFF" w:themeFill="background1"/>
            <w:noWrap/>
          </w:tcPr>
          <w:p w14:paraId="02A94DD0" w14:textId="73B4A328" w:rsidR="006C7CCF" w:rsidRPr="004E336D" w:rsidRDefault="00180145" w:rsidP="00F66043">
            <w:pPr>
              <w:jc w:val="center"/>
              <w:rPr>
                <w:noProof/>
                <w:sz w:val="20"/>
              </w:rPr>
            </w:pPr>
            <w:r w:rsidRPr="003E1EC6">
              <w:rPr>
                <w:noProof/>
                <w:sz w:val="20"/>
                <w:szCs w:val="20"/>
              </w:rPr>
              <w:t>106.5</w:t>
            </w:r>
          </w:p>
        </w:tc>
        <w:tc>
          <w:tcPr>
            <w:tcW w:w="1130" w:type="dxa"/>
            <w:shd w:val="clear" w:color="auto" w:fill="FFFFFF" w:themeFill="background1"/>
            <w:noWrap/>
          </w:tcPr>
          <w:p w14:paraId="341ADCAF" w14:textId="73E43834" w:rsidR="006C7CCF" w:rsidRPr="004E336D" w:rsidRDefault="00180145" w:rsidP="00F66043">
            <w:pPr>
              <w:jc w:val="center"/>
              <w:rPr>
                <w:noProof/>
                <w:sz w:val="20"/>
              </w:rPr>
            </w:pPr>
            <w:r w:rsidRPr="003E1EC6">
              <w:rPr>
                <w:noProof/>
                <w:sz w:val="20"/>
                <w:szCs w:val="20"/>
              </w:rPr>
              <w:t>106.5</w:t>
            </w:r>
          </w:p>
        </w:tc>
        <w:tc>
          <w:tcPr>
            <w:tcW w:w="1130" w:type="dxa"/>
            <w:shd w:val="clear" w:color="auto" w:fill="FFFFFF" w:themeFill="background1"/>
          </w:tcPr>
          <w:p w14:paraId="5A125939" w14:textId="154D1AB4" w:rsidR="006C7CCF" w:rsidRPr="004E336D" w:rsidRDefault="00180145" w:rsidP="00F66043">
            <w:pPr>
              <w:jc w:val="center"/>
              <w:rPr>
                <w:noProof/>
                <w:sz w:val="20"/>
              </w:rPr>
            </w:pPr>
            <w:r w:rsidRPr="003E1EC6">
              <w:rPr>
                <w:noProof/>
                <w:sz w:val="20"/>
                <w:szCs w:val="20"/>
              </w:rPr>
              <w:t>106.5</w:t>
            </w:r>
          </w:p>
        </w:tc>
      </w:tr>
      <w:tr w:rsidR="006C7CCF" w:rsidRPr="00887B7A" w14:paraId="09151115" w14:textId="3BC5E11F" w:rsidTr="00457E91">
        <w:trPr>
          <w:trHeight w:val="255"/>
        </w:trPr>
        <w:tc>
          <w:tcPr>
            <w:tcW w:w="5083" w:type="dxa"/>
            <w:shd w:val="clear" w:color="auto" w:fill="FFFFFF" w:themeFill="background1"/>
            <w:noWrap/>
            <w:hideMark/>
          </w:tcPr>
          <w:p w14:paraId="26EB4AF4" w14:textId="77777777" w:rsidR="006C7CCF" w:rsidRPr="004E336D" w:rsidRDefault="006C7CCF">
            <w:pPr>
              <w:rPr>
                <w:noProof/>
                <w:sz w:val="20"/>
              </w:rPr>
            </w:pPr>
            <w:r w:rsidRPr="004E336D">
              <w:rPr>
                <w:noProof/>
                <w:sz w:val="20"/>
              </w:rPr>
              <w:t>Administrative costs</w:t>
            </w:r>
          </w:p>
        </w:tc>
        <w:tc>
          <w:tcPr>
            <w:tcW w:w="1130" w:type="dxa"/>
            <w:shd w:val="clear" w:color="auto" w:fill="FFFFFF" w:themeFill="background1"/>
            <w:noWrap/>
          </w:tcPr>
          <w:p w14:paraId="2BA728AA" w14:textId="67D4C489" w:rsidR="006C7CCF" w:rsidRPr="004E336D" w:rsidRDefault="00483DF5" w:rsidP="00F66043">
            <w:pPr>
              <w:jc w:val="center"/>
              <w:rPr>
                <w:noProof/>
                <w:sz w:val="20"/>
              </w:rPr>
            </w:pPr>
            <w:r w:rsidRPr="003E1EC6">
              <w:rPr>
                <w:noProof/>
                <w:sz w:val="20"/>
                <w:szCs w:val="20"/>
              </w:rPr>
              <w:t>28.9</w:t>
            </w:r>
          </w:p>
        </w:tc>
        <w:tc>
          <w:tcPr>
            <w:tcW w:w="1130" w:type="dxa"/>
            <w:shd w:val="clear" w:color="auto" w:fill="FFFFFF" w:themeFill="background1"/>
            <w:noWrap/>
          </w:tcPr>
          <w:p w14:paraId="46CFDA2C" w14:textId="6884A617" w:rsidR="006C7CCF" w:rsidRPr="004E336D" w:rsidRDefault="00483DF5" w:rsidP="00F66043">
            <w:pPr>
              <w:jc w:val="center"/>
              <w:rPr>
                <w:noProof/>
                <w:sz w:val="20"/>
              </w:rPr>
            </w:pPr>
            <w:r w:rsidRPr="003E1EC6">
              <w:rPr>
                <w:noProof/>
                <w:sz w:val="20"/>
                <w:szCs w:val="20"/>
              </w:rPr>
              <w:t>28.9</w:t>
            </w:r>
          </w:p>
        </w:tc>
        <w:tc>
          <w:tcPr>
            <w:tcW w:w="1130" w:type="dxa"/>
            <w:shd w:val="clear" w:color="auto" w:fill="FFFFFF" w:themeFill="background1"/>
            <w:noWrap/>
          </w:tcPr>
          <w:p w14:paraId="2EF1B0B6" w14:textId="43E4B6E4" w:rsidR="006C7CCF" w:rsidRPr="004E336D" w:rsidRDefault="00483DF5" w:rsidP="00F66043">
            <w:pPr>
              <w:jc w:val="center"/>
              <w:rPr>
                <w:noProof/>
                <w:sz w:val="20"/>
              </w:rPr>
            </w:pPr>
            <w:r w:rsidRPr="003E1EC6">
              <w:rPr>
                <w:noProof/>
                <w:sz w:val="20"/>
                <w:szCs w:val="20"/>
              </w:rPr>
              <w:t>28.9</w:t>
            </w:r>
          </w:p>
        </w:tc>
        <w:tc>
          <w:tcPr>
            <w:tcW w:w="1130" w:type="dxa"/>
            <w:shd w:val="clear" w:color="auto" w:fill="FFFFFF" w:themeFill="background1"/>
          </w:tcPr>
          <w:p w14:paraId="315A3DC0" w14:textId="3849304E" w:rsidR="006C7CCF" w:rsidRPr="004E336D" w:rsidRDefault="00483DF5" w:rsidP="00F66043">
            <w:pPr>
              <w:jc w:val="center"/>
              <w:rPr>
                <w:noProof/>
                <w:sz w:val="20"/>
              </w:rPr>
            </w:pPr>
            <w:r w:rsidRPr="003E1EC6">
              <w:rPr>
                <w:noProof/>
                <w:sz w:val="20"/>
                <w:szCs w:val="20"/>
              </w:rPr>
              <w:t>28.9</w:t>
            </w:r>
          </w:p>
        </w:tc>
      </w:tr>
      <w:tr w:rsidR="006C7CCF" w:rsidRPr="00887B7A" w14:paraId="0917926C" w14:textId="55E19CA5" w:rsidTr="00457E91">
        <w:trPr>
          <w:trHeight w:val="255"/>
        </w:trPr>
        <w:tc>
          <w:tcPr>
            <w:tcW w:w="5083" w:type="dxa"/>
            <w:shd w:val="clear" w:color="auto" w:fill="FFFFFF" w:themeFill="background1"/>
            <w:noWrap/>
            <w:hideMark/>
          </w:tcPr>
          <w:p w14:paraId="083D19BD" w14:textId="0D5D09C0" w:rsidR="006C7CCF" w:rsidRPr="004E336D" w:rsidRDefault="006C7CCF">
            <w:pPr>
              <w:rPr>
                <w:b/>
                <w:noProof/>
                <w:sz w:val="20"/>
              </w:rPr>
            </w:pPr>
            <w:r w:rsidRPr="004E336D">
              <w:rPr>
                <w:b/>
                <w:noProof/>
                <w:sz w:val="20"/>
              </w:rPr>
              <w:t xml:space="preserve">Net costs for </w:t>
            </w:r>
            <w:r w:rsidR="0098357E" w:rsidRPr="004E336D">
              <w:rPr>
                <w:b/>
                <w:noProof/>
                <w:sz w:val="20"/>
              </w:rPr>
              <w:t>national authorities</w:t>
            </w:r>
          </w:p>
        </w:tc>
        <w:tc>
          <w:tcPr>
            <w:tcW w:w="1130" w:type="dxa"/>
            <w:shd w:val="clear" w:color="auto" w:fill="FFFFFF" w:themeFill="background1"/>
            <w:noWrap/>
          </w:tcPr>
          <w:p w14:paraId="2B112999" w14:textId="1121B5F4" w:rsidR="006C7CCF" w:rsidRPr="003E1EC6" w:rsidRDefault="0069540C" w:rsidP="00F66043">
            <w:pPr>
              <w:jc w:val="center"/>
              <w:rPr>
                <w:noProof/>
                <w:sz w:val="20"/>
              </w:rPr>
            </w:pPr>
            <w:r w:rsidRPr="003E1EC6">
              <w:rPr>
                <w:noProof/>
                <w:color w:val="000000"/>
                <w:sz w:val="20"/>
                <w:szCs w:val="20"/>
              </w:rPr>
              <w:t>135.4</w:t>
            </w:r>
          </w:p>
        </w:tc>
        <w:tc>
          <w:tcPr>
            <w:tcW w:w="1130" w:type="dxa"/>
            <w:shd w:val="clear" w:color="auto" w:fill="FFFFFF" w:themeFill="background1"/>
            <w:noWrap/>
          </w:tcPr>
          <w:p w14:paraId="4C75A66D" w14:textId="2F0A0BD8" w:rsidR="006C7CCF" w:rsidRPr="003E1EC6" w:rsidRDefault="0069540C" w:rsidP="00F66043">
            <w:pPr>
              <w:jc w:val="center"/>
              <w:rPr>
                <w:noProof/>
                <w:sz w:val="20"/>
              </w:rPr>
            </w:pPr>
            <w:r w:rsidRPr="003E1EC6">
              <w:rPr>
                <w:noProof/>
                <w:color w:val="000000"/>
                <w:sz w:val="20"/>
                <w:szCs w:val="20"/>
              </w:rPr>
              <w:t>135.4</w:t>
            </w:r>
          </w:p>
        </w:tc>
        <w:tc>
          <w:tcPr>
            <w:tcW w:w="1130" w:type="dxa"/>
            <w:shd w:val="clear" w:color="auto" w:fill="FFFFFF" w:themeFill="background1"/>
            <w:noWrap/>
          </w:tcPr>
          <w:p w14:paraId="587E8740" w14:textId="3E816740" w:rsidR="006C7CCF" w:rsidRPr="003E1EC6" w:rsidRDefault="0069540C" w:rsidP="00F66043">
            <w:pPr>
              <w:jc w:val="center"/>
              <w:rPr>
                <w:noProof/>
                <w:sz w:val="20"/>
              </w:rPr>
            </w:pPr>
            <w:r w:rsidRPr="003E1EC6">
              <w:rPr>
                <w:noProof/>
                <w:color w:val="000000"/>
                <w:sz w:val="20"/>
                <w:szCs w:val="20"/>
              </w:rPr>
              <w:t>135.4</w:t>
            </w:r>
          </w:p>
        </w:tc>
        <w:tc>
          <w:tcPr>
            <w:tcW w:w="1130" w:type="dxa"/>
            <w:shd w:val="clear" w:color="auto" w:fill="FFFFFF" w:themeFill="background1"/>
          </w:tcPr>
          <w:p w14:paraId="4B4337EA" w14:textId="3DD8A210" w:rsidR="006C7CCF" w:rsidRPr="003E1EC6" w:rsidRDefault="0069540C" w:rsidP="00F66043">
            <w:pPr>
              <w:jc w:val="center"/>
              <w:rPr>
                <w:noProof/>
                <w:sz w:val="20"/>
              </w:rPr>
            </w:pPr>
            <w:r w:rsidRPr="003E1EC6">
              <w:rPr>
                <w:noProof/>
                <w:color w:val="000000"/>
                <w:sz w:val="20"/>
                <w:szCs w:val="20"/>
              </w:rPr>
              <w:t>135.4</w:t>
            </w:r>
          </w:p>
        </w:tc>
      </w:tr>
      <w:tr w:rsidR="006C7CCF" w:rsidRPr="002824F4" w14:paraId="330B0512" w14:textId="6FDCD537" w:rsidTr="00457E91">
        <w:trPr>
          <w:trHeight w:val="255"/>
        </w:trPr>
        <w:tc>
          <w:tcPr>
            <w:tcW w:w="5083" w:type="dxa"/>
            <w:shd w:val="clear" w:color="auto" w:fill="006EB8"/>
            <w:noWrap/>
            <w:hideMark/>
          </w:tcPr>
          <w:p w14:paraId="0E096B93" w14:textId="40854328" w:rsidR="006C7CCF" w:rsidRPr="004E336D" w:rsidRDefault="006C7CCF">
            <w:pPr>
              <w:rPr>
                <w:b/>
                <w:noProof/>
                <w:color w:val="FFFFFF" w:themeColor="background1"/>
                <w:sz w:val="20"/>
              </w:rPr>
            </w:pPr>
            <w:r w:rsidRPr="004E336D">
              <w:rPr>
                <w:b/>
                <w:noProof/>
                <w:color w:val="FFFFFF" w:themeColor="background1"/>
                <w:sz w:val="20"/>
              </w:rPr>
              <w:t xml:space="preserve">European Commission </w:t>
            </w:r>
            <w:r w:rsidR="00A16157">
              <w:rPr>
                <w:b/>
                <w:noProof/>
                <w:color w:val="FFFFFF" w:themeColor="background1"/>
                <w:sz w:val="20"/>
              </w:rPr>
              <w:t>(</w:t>
            </w:r>
            <w:r w:rsidR="00A16157" w:rsidRPr="004E336D">
              <w:rPr>
                <w:b/>
                <w:noProof/>
                <w:color w:val="FFFFFF" w:themeColor="background1"/>
                <w:sz w:val="20"/>
              </w:rPr>
              <w:t>in EUR million, expressed as present value over 2028-2050 relative to the baseline)</w:t>
            </w:r>
          </w:p>
        </w:tc>
        <w:tc>
          <w:tcPr>
            <w:tcW w:w="1130" w:type="dxa"/>
            <w:shd w:val="clear" w:color="auto" w:fill="006EB8"/>
            <w:noWrap/>
            <w:hideMark/>
          </w:tcPr>
          <w:p w14:paraId="1A7099E1" w14:textId="69BCE3D4" w:rsidR="006C7CCF" w:rsidRPr="004E336D" w:rsidRDefault="00F42C5F" w:rsidP="003E1EC6">
            <w:pPr>
              <w:jc w:val="center"/>
              <w:rPr>
                <w:noProof/>
                <w:color w:val="FFFFFF" w:themeColor="background1"/>
                <w:sz w:val="20"/>
              </w:rPr>
            </w:pPr>
            <w:r w:rsidRPr="00F66043">
              <w:rPr>
                <w:noProof/>
                <w:color w:val="FFFFFF" w:themeColor="background1"/>
                <w:sz w:val="20"/>
              </w:rPr>
              <w:t>-</w:t>
            </w:r>
          </w:p>
        </w:tc>
        <w:tc>
          <w:tcPr>
            <w:tcW w:w="1130" w:type="dxa"/>
            <w:shd w:val="clear" w:color="auto" w:fill="006EB8"/>
            <w:noWrap/>
            <w:hideMark/>
          </w:tcPr>
          <w:p w14:paraId="6CCC1E68" w14:textId="117D6347" w:rsidR="006C7CCF" w:rsidRPr="004E336D" w:rsidRDefault="00F42C5F" w:rsidP="003E1EC6">
            <w:pPr>
              <w:jc w:val="center"/>
              <w:rPr>
                <w:noProof/>
                <w:color w:val="FFFFFF" w:themeColor="background1"/>
                <w:sz w:val="20"/>
              </w:rPr>
            </w:pPr>
            <w:r w:rsidRPr="00F66043">
              <w:rPr>
                <w:noProof/>
                <w:color w:val="FFFFFF" w:themeColor="background1"/>
                <w:sz w:val="20"/>
              </w:rPr>
              <w:t>-</w:t>
            </w:r>
          </w:p>
        </w:tc>
        <w:tc>
          <w:tcPr>
            <w:tcW w:w="1130" w:type="dxa"/>
            <w:shd w:val="clear" w:color="auto" w:fill="006EB8"/>
            <w:noWrap/>
            <w:hideMark/>
          </w:tcPr>
          <w:p w14:paraId="6DB77B88" w14:textId="0C19B3D2" w:rsidR="006C7CCF" w:rsidRPr="004E336D" w:rsidRDefault="00F42C5F" w:rsidP="003E1EC6">
            <w:pPr>
              <w:jc w:val="center"/>
              <w:rPr>
                <w:noProof/>
                <w:color w:val="FFFFFF" w:themeColor="background1"/>
                <w:sz w:val="20"/>
              </w:rPr>
            </w:pPr>
            <w:r w:rsidRPr="00F66043">
              <w:rPr>
                <w:noProof/>
                <w:color w:val="FFFFFF" w:themeColor="background1"/>
                <w:sz w:val="20"/>
              </w:rPr>
              <w:t>-</w:t>
            </w:r>
          </w:p>
        </w:tc>
        <w:tc>
          <w:tcPr>
            <w:tcW w:w="1130" w:type="dxa"/>
            <w:shd w:val="clear" w:color="auto" w:fill="006EB8"/>
          </w:tcPr>
          <w:p w14:paraId="05EC833D" w14:textId="2B3B7321" w:rsidR="006C7CCF" w:rsidRPr="004E336D" w:rsidRDefault="00F42C5F" w:rsidP="003E1EC6">
            <w:pPr>
              <w:jc w:val="center"/>
              <w:rPr>
                <w:noProof/>
                <w:color w:val="FFFFFF" w:themeColor="background1"/>
                <w:sz w:val="20"/>
              </w:rPr>
            </w:pPr>
            <w:r w:rsidRPr="00F66043">
              <w:rPr>
                <w:noProof/>
                <w:color w:val="FFFFFF" w:themeColor="background1"/>
                <w:sz w:val="20"/>
              </w:rPr>
              <w:t>-</w:t>
            </w:r>
          </w:p>
        </w:tc>
      </w:tr>
      <w:tr w:rsidR="000E75E4" w:rsidRPr="00887B7A" w14:paraId="1DF17D5B" w14:textId="464207AB" w:rsidTr="00457E91">
        <w:trPr>
          <w:trHeight w:val="255"/>
        </w:trPr>
        <w:tc>
          <w:tcPr>
            <w:tcW w:w="5083" w:type="dxa"/>
            <w:shd w:val="clear" w:color="auto" w:fill="FFFFFF" w:themeFill="background1"/>
            <w:hideMark/>
          </w:tcPr>
          <w:p w14:paraId="48CE5656" w14:textId="77777777" w:rsidR="000E75E4" w:rsidRPr="004E336D" w:rsidRDefault="000E75E4" w:rsidP="000E75E4">
            <w:pPr>
              <w:rPr>
                <w:noProof/>
                <w:sz w:val="20"/>
              </w:rPr>
            </w:pPr>
            <w:r w:rsidRPr="004E336D">
              <w:rPr>
                <w:noProof/>
                <w:sz w:val="20"/>
              </w:rPr>
              <w:t>Adjustment costs</w:t>
            </w:r>
          </w:p>
        </w:tc>
        <w:tc>
          <w:tcPr>
            <w:tcW w:w="1130" w:type="dxa"/>
            <w:shd w:val="clear" w:color="auto" w:fill="FFFFFF" w:themeFill="background1"/>
            <w:noWrap/>
          </w:tcPr>
          <w:p w14:paraId="2ED2F011" w14:textId="361A7409" w:rsidR="000E75E4" w:rsidRPr="000E75E4" w:rsidRDefault="000E75E4" w:rsidP="000E75E4">
            <w:pPr>
              <w:jc w:val="center"/>
              <w:rPr>
                <w:noProof/>
                <w:sz w:val="20"/>
              </w:rPr>
            </w:pPr>
            <w:r w:rsidRPr="003A2F40">
              <w:rPr>
                <w:noProof/>
                <w:color w:val="000000"/>
                <w:sz w:val="20"/>
                <w:szCs w:val="20"/>
              </w:rPr>
              <w:t>5.3</w:t>
            </w:r>
          </w:p>
        </w:tc>
        <w:tc>
          <w:tcPr>
            <w:tcW w:w="1130" w:type="dxa"/>
            <w:shd w:val="clear" w:color="auto" w:fill="FFFFFF" w:themeFill="background1"/>
            <w:noWrap/>
          </w:tcPr>
          <w:p w14:paraId="6D50994F" w14:textId="2FE2596F" w:rsidR="000E75E4" w:rsidRPr="000E75E4" w:rsidRDefault="000E75E4" w:rsidP="000E75E4">
            <w:pPr>
              <w:jc w:val="center"/>
              <w:rPr>
                <w:noProof/>
                <w:sz w:val="20"/>
              </w:rPr>
            </w:pPr>
            <w:r w:rsidRPr="003A2F40">
              <w:rPr>
                <w:noProof/>
                <w:color w:val="000000"/>
                <w:sz w:val="20"/>
                <w:szCs w:val="20"/>
              </w:rPr>
              <w:t>5.3</w:t>
            </w:r>
          </w:p>
        </w:tc>
        <w:tc>
          <w:tcPr>
            <w:tcW w:w="1130" w:type="dxa"/>
            <w:shd w:val="clear" w:color="auto" w:fill="FFFFFF" w:themeFill="background1"/>
            <w:noWrap/>
          </w:tcPr>
          <w:p w14:paraId="4816636F" w14:textId="198DBAD6" w:rsidR="000E75E4" w:rsidRPr="000E75E4" w:rsidRDefault="000E75E4" w:rsidP="000E75E4">
            <w:pPr>
              <w:jc w:val="center"/>
              <w:rPr>
                <w:noProof/>
                <w:sz w:val="20"/>
              </w:rPr>
            </w:pPr>
            <w:r w:rsidRPr="003A2F40">
              <w:rPr>
                <w:noProof/>
                <w:color w:val="000000"/>
                <w:sz w:val="20"/>
                <w:szCs w:val="20"/>
              </w:rPr>
              <w:t>5.3</w:t>
            </w:r>
          </w:p>
        </w:tc>
        <w:tc>
          <w:tcPr>
            <w:tcW w:w="1130" w:type="dxa"/>
            <w:shd w:val="clear" w:color="auto" w:fill="FFFFFF" w:themeFill="background1"/>
          </w:tcPr>
          <w:p w14:paraId="6E2D00D6" w14:textId="6D457077" w:rsidR="000E75E4" w:rsidRPr="000E75E4" w:rsidRDefault="000E75E4" w:rsidP="000E75E4">
            <w:pPr>
              <w:jc w:val="center"/>
              <w:rPr>
                <w:noProof/>
                <w:sz w:val="20"/>
              </w:rPr>
            </w:pPr>
            <w:r w:rsidRPr="003A2F40">
              <w:rPr>
                <w:noProof/>
                <w:color w:val="000000"/>
                <w:sz w:val="20"/>
                <w:szCs w:val="20"/>
              </w:rPr>
              <w:t>5.3</w:t>
            </w:r>
          </w:p>
        </w:tc>
      </w:tr>
      <w:tr w:rsidR="000E75E4" w:rsidRPr="00887B7A" w14:paraId="4D55F62A" w14:textId="124E2920" w:rsidTr="00457E91">
        <w:trPr>
          <w:trHeight w:val="255"/>
        </w:trPr>
        <w:tc>
          <w:tcPr>
            <w:tcW w:w="5083" w:type="dxa"/>
            <w:shd w:val="clear" w:color="auto" w:fill="FFFFFF" w:themeFill="background1"/>
            <w:noWrap/>
            <w:hideMark/>
          </w:tcPr>
          <w:p w14:paraId="5462D257" w14:textId="77777777" w:rsidR="000E75E4" w:rsidRPr="004E336D" w:rsidRDefault="000E75E4" w:rsidP="000E75E4">
            <w:pPr>
              <w:rPr>
                <w:b/>
                <w:noProof/>
                <w:sz w:val="20"/>
              </w:rPr>
            </w:pPr>
            <w:r w:rsidRPr="004E336D">
              <w:rPr>
                <w:b/>
                <w:noProof/>
                <w:sz w:val="20"/>
              </w:rPr>
              <w:t>Net costs for European Commission</w:t>
            </w:r>
          </w:p>
        </w:tc>
        <w:tc>
          <w:tcPr>
            <w:tcW w:w="1130" w:type="dxa"/>
            <w:shd w:val="clear" w:color="auto" w:fill="FFFFFF" w:themeFill="background1"/>
            <w:noWrap/>
          </w:tcPr>
          <w:p w14:paraId="6E2C3BFA" w14:textId="1BF8856F" w:rsidR="000E75E4" w:rsidRPr="000E75E4" w:rsidRDefault="000E75E4" w:rsidP="000E75E4">
            <w:pPr>
              <w:jc w:val="center"/>
              <w:rPr>
                <w:noProof/>
                <w:sz w:val="20"/>
              </w:rPr>
            </w:pPr>
            <w:r w:rsidRPr="003A2F40">
              <w:rPr>
                <w:noProof/>
                <w:color w:val="000000"/>
                <w:sz w:val="20"/>
                <w:szCs w:val="20"/>
              </w:rPr>
              <w:t>5.3</w:t>
            </w:r>
          </w:p>
        </w:tc>
        <w:tc>
          <w:tcPr>
            <w:tcW w:w="1130" w:type="dxa"/>
            <w:shd w:val="clear" w:color="auto" w:fill="FFFFFF" w:themeFill="background1"/>
            <w:noWrap/>
          </w:tcPr>
          <w:p w14:paraId="3205E6FF" w14:textId="2823C513" w:rsidR="000E75E4" w:rsidRPr="000E75E4" w:rsidRDefault="000E75E4" w:rsidP="000E75E4">
            <w:pPr>
              <w:jc w:val="center"/>
              <w:rPr>
                <w:noProof/>
                <w:sz w:val="20"/>
              </w:rPr>
            </w:pPr>
            <w:r w:rsidRPr="003A2F40">
              <w:rPr>
                <w:noProof/>
                <w:color w:val="000000"/>
                <w:sz w:val="20"/>
                <w:szCs w:val="20"/>
              </w:rPr>
              <w:t>5.3</w:t>
            </w:r>
          </w:p>
        </w:tc>
        <w:tc>
          <w:tcPr>
            <w:tcW w:w="1130" w:type="dxa"/>
            <w:shd w:val="clear" w:color="auto" w:fill="FFFFFF" w:themeFill="background1"/>
            <w:noWrap/>
          </w:tcPr>
          <w:p w14:paraId="277BA42C" w14:textId="7F4C23E5" w:rsidR="000E75E4" w:rsidRPr="000E75E4" w:rsidRDefault="000E75E4" w:rsidP="000E75E4">
            <w:pPr>
              <w:jc w:val="center"/>
              <w:rPr>
                <w:noProof/>
                <w:sz w:val="20"/>
              </w:rPr>
            </w:pPr>
            <w:r w:rsidRPr="003A2F40">
              <w:rPr>
                <w:noProof/>
                <w:color w:val="000000"/>
                <w:sz w:val="20"/>
                <w:szCs w:val="20"/>
              </w:rPr>
              <w:t>5.3</w:t>
            </w:r>
          </w:p>
        </w:tc>
        <w:tc>
          <w:tcPr>
            <w:tcW w:w="1130" w:type="dxa"/>
            <w:shd w:val="clear" w:color="auto" w:fill="FFFFFF" w:themeFill="background1"/>
          </w:tcPr>
          <w:p w14:paraId="5B8C7A21" w14:textId="2709F8A9" w:rsidR="000E75E4" w:rsidRPr="000E75E4" w:rsidRDefault="000E75E4" w:rsidP="000E75E4">
            <w:pPr>
              <w:jc w:val="center"/>
              <w:rPr>
                <w:noProof/>
                <w:sz w:val="20"/>
              </w:rPr>
            </w:pPr>
            <w:r w:rsidRPr="003A2F40">
              <w:rPr>
                <w:noProof/>
                <w:color w:val="000000"/>
                <w:sz w:val="20"/>
                <w:szCs w:val="20"/>
              </w:rPr>
              <w:t>5.3</w:t>
            </w:r>
          </w:p>
        </w:tc>
      </w:tr>
      <w:tr w:rsidR="006C7CCF" w:rsidRPr="002824F4" w14:paraId="6D05C924" w14:textId="51319BB8" w:rsidTr="00457E91">
        <w:trPr>
          <w:trHeight w:val="255"/>
        </w:trPr>
        <w:tc>
          <w:tcPr>
            <w:tcW w:w="5083" w:type="dxa"/>
            <w:shd w:val="clear" w:color="auto" w:fill="006EB8"/>
            <w:noWrap/>
            <w:hideMark/>
          </w:tcPr>
          <w:p w14:paraId="26BB1BDB" w14:textId="60DB6C01" w:rsidR="006C7CCF" w:rsidRPr="004E336D" w:rsidRDefault="006C7CCF">
            <w:pPr>
              <w:rPr>
                <w:b/>
                <w:noProof/>
                <w:color w:val="FFFFFF" w:themeColor="background1"/>
                <w:sz w:val="20"/>
              </w:rPr>
            </w:pPr>
            <w:r w:rsidRPr="004E336D">
              <w:rPr>
                <w:b/>
                <w:noProof/>
                <w:color w:val="FFFFFF" w:themeColor="background1"/>
                <w:sz w:val="20"/>
              </w:rPr>
              <w:t xml:space="preserve">Impacts on SMEs* </w:t>
            </w:r>
            <w:r w:rsidR="009D73DC">
              <w:rPr>
                <w:b/>
                <w:noProof/>
                <w:color w:val="FFFFFF" w:themeColor="background1"/>
                <w:sz w:val="20"/>
              </w:rPr>
              <w:t>(</w:t>
            </w:r>
            <w:r w:rsidR="009D73DC" w:rsidRPr="004E336D">
              <w:rPr>
                <w:b/>
                <w:noProof/>
                <w:color w:val="FFFFFF" w:themeColor="background1"/>
                <w:sz w:val="20"/>
              </w:rPr>
              <w:t>in EUR million, expressed as present value over 2028-2050 relative to the baseline)</w:t>
            </w:r>
          </w:p>
        </w:tc>
        <w:tc>
          <w:tcPr>
            <w:tcW w:w="1130" w:type="dxa"/>
            <w:shd w:val="clear" w:color="auto" w:fill="006EB8"/>
            <w:noWrap/>
            <w:hideMark/>
          </w:tcPr>
          <w:p w14:paraId="73286C29" w14:textId="075BE1D1" w:rsidR="006C7CCF" w:rsidRPr="004E336D" w:rsidRDefault="001C2938" w:rsidP="00F66043">
            <w:pPr>
              <w:jc w:val="center"/>
              <w:rPr>
                <w:noProof/>
                <w:color w:val="FFFFFF" w:themeColor="background1"/>
                <w:sz w:val="20"/>
              </w:rPr>
            </w:pPr>
            <w:r>
              <w:rPr>
                <w:noProof/>
                <w:color w:val="FFFFFF" w:themeColor="background1"/>
                <w:sz w:val="20"/>
              </w:rPr>
              <w:t>+</w:t>
            </w:r>
          </w:p>
        </w:tc>
        <w:tc>
          <w:tcPr>
            <w:tcW w:w="1130" w:type="dxa"/>
            <w:shd w:val="clear" w:color="auto" w:fill="006EB8"/>
            <w:noWrap/>
            <w:hideMark/>
          </w:tcPr>
          <w:p w14:paraId="70CA454C" w14:textId="55C61303" w:rsidR="006C7CCF" w:rsidRPr="004E336D" w:rsidRDefault="001C2938" w:rsidP="00F66043">
            <w:pPr>
              <w:jc w:val="center"/>
              <w:rPr>
                <w:noProof/>
                <w:color w:val="FFFFFF" w:themeColor="background1"/>
                <w:sz w:val="20"/>
              </w:rPr>
            </w:pPr>
            <w:r>
              <w:rPr>
                <w:noProof/>
                <w:color w:val="FFFFFF" w:themeColor="background1"/>
                <w:sz w:val="20"/>
              </w:rPr>
              <w:t>++</w:t>
            </w:r>
          </w:p>
        </w:tc>
        <w:tc>
          <w:tcPr>
            <w:tcW w:w="1130" w:type="dxa"/>
            <w:shd w:val="clear" w:color="auto" w:fill="006EB8"/>
            <w:noWrap/>
            <w:hideMark/>
          </w:tcPr>
          <w:p w14:paraId="1AD15DBD" w14:textId="0605AC91" w:rsidR="006C7CCF" w:rsidRPr="004E336D" w:rsidRDefault="001C2938" w:rsidP="00F66043">
            <w:pPr>
              <w:jc w:val="center"/>
              <w:rPr>
                <w:noProof/>
                <w:color w:val="FFFFFF" w:themeColor="background1"/>
                <w:sz w:val="20"/>
              </w:rPr>
            </w:pPr>
            <w:r>
              <w:rPr>
                <w:noProof/>
                <w:color w:val="FFFFFF" w:themeColor="background1"/>
                <w:sz w:val="20"/>
              </w:rPr>
              <w:t>++</w:t>
            </w:r>
          </w:p>
        </w:tc>
        <w:tc>
          <w:tcPr>
            <w:tcW w:w="1130" w:type="dxa"/>
            <w:shd w:val="clear" w:color="auto" w:fill="006EB8"/>
          </w:tcPr>
          <w:p w14:paraId="772FD468" w14:textId="290A3A25" w:rsidR="006C7CCF" w:rsidRPr="004E336D" w:rsidRDefault="001C2938" w:rsidP="00F66043">
            <w:pPr>
              <w:jc w:val="center"/>
              <w:rPr>
                <w:noProof/>
                <w:color w:val="FFFFFF" w:themeColor="background1"/>
                <w:sz w:val="20"/>
              </w:rPr>
            </w:pPr>
            <w:r>
              <w:rPr>
                <w:noProof/>
                <w:color w:val="FFFFFF" w:themeColor="background1"/>
                <w:sz w:val="20"/>
              </w:rPr>
              <w:t>++</w:t>
            </w:r>
          </w:p>
        </w:tc>
      </w:tr>
      <w:tr w:rsidR="00E25014" w:rsidRPr="00887B7A" w14:paraId="737EA35B" w14:textId="70CD603A" w:rsidTr="00457E91">
        <w:trPr>
          <w:trHeight w:val="255"/>
        </w:trPr>
        <w:tc>
          <w:tcPr>
            <w:tcW w:w="5083" w:type="dxa"/>
            <w:shd w:val="clear" w:color="auto" w:fill="FFFFFF" w:themeFill="background1"/>
            <w:noWrap/>
            <w:hideMark/>
          </w:tcPr>
          <w:p w14:paraId="5EC60124" w14:textId="101D57A3" w:rsidR="00E25014" w:rsidRPr="004E336D" w:rsidRDefault="00E25014" w:rsidP="00E25014">
            <w:pPr>
              <w:rPr>
                <w:noProof/>
                <w:sz w:val="20"/>
              </w:rPr>
            </w:pPr>
            <w:r w:rsidRPr="004E336D">
              <w:rPr>
                <w:noProof/>
                <w:sz w:val="20"/>
              </w:rPr>
              <w:t>Adjustment cost savings</w:t>
            </w:r>
            <w:r>
              <w:rPr>
                <w:noProof/>
                <w:sz w:val="20"/>
              </w:rPr>
              <w:t xml:space="preserve"> for SME MDMS platforms </w:t>
            </w:r>
          </w:p>
        </w:tc>
        <w:tc>
          <w:tcPr>
            <w:tcW w:w="1130" w:type="dxa"/>
            <w:noWrap/>
          </w:tcPr>
          <w:p w14:paraId="6D26A940" w14:textId="456DC871" w:rsidR="00E25014" w:rsidRPr="00E25014" w:rsidRDefault="00E25014" w:rsidP="00E25014">
            <w:pPr>
              <w:jc w:val="center"/>
              <w:rPr>
                <w:noProof/>
                <w:sz w:val="20"/>
              </w:rPr>
            </w:pPr>
            <w:r w:rsidRPr="00D25A36">
              <w:rPr>
                <w:noProof/>
                <w:color w:val="000000"/>
                <w:sz w:val="20"/>
                <w:szCs w:val="20"/>
              </w:rPr>
              <w:t>9.2</w:t>
            </w:r>
          </w:p>
        </w:tc>
        <w:tc>
          <w:tcPr>
            <w:tcW w:w="1130" w:type="dxa"/>
            <w:noWrap/>
          </w:tcPr>
          <w:p w14:paraId="7F380105" w14:textId="1FAF7730" w:rsidR="00E25014" w:rsidRPr="00E25014" w:rsidRDefault="00E25014" w:rsidP="00E25014">
            <w:pPr>
              <w:jc w:val="center"/>
              <w:rPr>
                <w:noProof/>
                <w:sz w:val="20"/>
              </w:rPr>
            </w:pPr>
            <w:r w:rsidRPr="00D25A36">
              <w:rPr>
                <w:noProof/>
                <w:color w:val="000000"/>
                <w:sz w:val="20"/>
                <w:szCs w:val="20"/>
              </w:rPr>
              <w:t>101.0</w:t>
            </w:r>
          </w:p>
        </w:tc>
        <w:tc>
          <w:tcPr>
            <w:tcW w:w="1130" w:type="dxa"/>
            <w:noWrap/>
          </w:tcPr>
          <w:p w14:paraId="228C17ED" w14:textId="297C21A3" w:rsidR="00E25014" w:rsidRPr="00E25014" w:rsidRDefault="00E25014" w:rsidP="00E25014">
            <w:pPr>
              <w:jc w:val="center"/>
              <w:rPr>
                <w:noProof/>
                <w:sz w:val="20"/>
              </w:rPr>
            </w:pPr>
            <w:r w:rsidRPr="00D25A36">
              <w:rPr>
                <w:noProof/>
                <w:color w:val="000000"/>
                <w:sz w:val="20"/>
                <w:szCs w:val="20"/>
              </w:rPr>
              <w:t>90.5</w:t>
            </w:r>
          </w:p>
        </w:tc>
        <w:tc>
          <w:tcPr>
            <w:tcW w:w="1130" w:type="dxa"/>
          </w:tcPr>
          <w:p w14:paraId="11F18E8A" w14:textId="1A2342B5" w:rsidR="00E25014" w:rsidRPr="00E25014" w:rsidRDefault="00E25014" w:rsidP="00E25014">
            <w:pPr>
              <w:jc w:val="center"/>
              <w:rPr>
                <w:noProof/>
                <w:sz w:val="20"/>
              </w:rPr>
            </w:pPr>
            <w:r w:rsidRPr="00D25A36">
              <w:rPr>
                <w:noProof/>
                <w:color w:val="000000"/>
                <w:sz w:val="20"/>
                <w:szCs w:val="20"/>
              </w:rPr>
              <w:t>95.7</w:t>
            </w:r>
          </w:p>
        </w:tc>
      </w:tr>
      <w:tr w:rsidR="00E25014" w:rsidRPr="00887B7A" w14:paraId="1FAFFB8E" w14:textId="6C8745D3" w:rsidTr="00457E91">
        <w:trPr>
          <w:trHeight w:val="255"/>
        </w:trPr>
        <w:tc>
          <w:tcPr>
            <w:tcW w:w="5083" w:type="dxa"/>
            <w:noWrap/>
            <w:hideMark/>
          </w:tcPr>
          <w:p w14:paraId="2090E582" w14:textId="216D83ED" w:rsidR="00E25014" w:rsidRPr="004E336D" w:rsidRDefault="00E25014" w:rsidP="00E25014">
            <w:pPr>
              <w:rPr>
                <w:b/>
                <w:noProof/>
                <w:sz w:val="20"/>
              </w:rPr>
            </w:pPr>
            <w:r w:rsidRPr="004E336D">
              <w:rPr>
                <w:b/>
                <w:noProof/>
                <w:sz w:val="20"/>
              </w:rPr>
              <w:t>Net benefits for SME</w:t>
            </w:r>
            <w:r>
              <w:rPr>
                <w:b/>
                <w:noProof/>
                <w:sz w:val="20"/>
              </w:rPr>
              <w:t xml:space="preserve"> MDMS platforms </w:t>
            </w:r>
          </w:p>
        </w:tc>
        <w:tc>
          <w:tcPr>
            <w:tcW w:w="1130" w:type="dxa"/>
            <w:noWrap/>
          </w:tcPr>
          <w:p w14:paraId="71C177FA" w14:textId="3041DFD6" w:rsidR="00E25014" w:rsidRPr="00E25014" w:rsidRDefault="00E25014" w:rsidP="00E25014">
            <w:pPr>
              <w:jc w:val="center"/>
              <w:rPr>
                <w:noProof/>
                <w:sz w:val="20"/>
              </w:rPr>
            </w:pPr>
            <w:r w:rsidRPr="00D25A36">
              <w:rPr>
                <w:noProof/>
                <w:color w:val="000000"/>
                <w:sz w:val="20"/>
                <w:szCs w:val="20"/>
              </w:rPr>
              <w:t>9.2</w:t>
            </w:r>
          </w:p>
        </w:tc>
        <w:tc>
          <w:tcPr>
            <w:tcW w:w="1130" w:type="dxa"/>
            <w:noWrap/>
          </w:tcPr>
          <w:p w14:paraId="2624A42A" w14:textId="6A34DC39" w:rsidR="00E25014" w:rsidRPr="00E25014" w:rsidRDefault="00E25014" w:rsidP="00E25014">
            <w:pPr>
              <w:jc w:val="center"/>
              <w:rPr>
                <w:noProof/>
                <w:sz w:val="20"/>
              </w:rPr>
            </w:pPr>
            <w:r w:rsidRPr="00D25A36">
              <w:rPr>
                <w:noProof/>
                <w:color w:val="000000"/>
                <w:sz w:val="20"/>
                <w:szCs w:val="20"/>
              </w:rPr>
              <w:t>101.0</w:t>
            </w:r>
          </w:p>
        </w:tc>
        <w:tc>
          <w:tcPr>
            <w:tcW w:w="1130" w:type="dxa"/>
            <w:noWrap/>
          </w:tcPr>
          <w:p w14:paraId="66BA99ED" w14:textId="2E4F89A7" w:rsidR="00E25014" w:rsidRPr="00E25014" w:rsidRDefault="00E25014" w:rsidP="00E25014">
            <w:pPr>
              <w:jc w:val="center"/>
              <w:rPr>
                <w:noProof/>
                <w:sz w:val="20"/>
              </w:rPr>
            </w:pPr>
            <w:r w:rsidRPr="00D25A36">
              <w:rPr>
                <w:noProof/>
                <w:color w:val="000000"/>
                <w:sz w:val="20"/>
                <w:szCs w:val="20"/>
              </w:rPr>
              <w:t>90.5</w:t>
            </w:r>
          </w:p>
        </w:tc>
        <w:tc>
          <w:tcPr>
            <w:tcW w:w="1130" w:type="dxa"/>
          </w:tcPr>
          <w:p w14:paraId="1C8EAE49" w14:textId="3C608AD5" w:rsidR="00E25014" w:rsidRPr="00E25014" w:rsidRDefault="00E25014" w:rsidP="00E25014">
            <w:pPr>
              <w:jc w:val="center"/>
              <w:rPr>
                <w:noProof/>
                <w:sz w:val="20"/>
              </w:rPr>
            </w:pPr>
            <w:r w:rsidRPr="00D25A36">
              <w:rPr>
                <w:noProof/>
                <w:color w:val="000000"/>
                <w:sz w:val="20"/>
                <w:szCs w:val="20"/>
              </w:rPr>
              <w:t>95.7</w:t>
            </w:r>
          </w:p>
        </w:tc>
      </w:tr>
      <w:tr w:rsidR="00D25A36" w:rsidRPr="00887B7A" w14:paraId="5BA3793B" w14:textId="77777777" w:rsidTr="00457E91">
        <w:trPr>
          <w:trHeight w:val="255"/>
        </w:trPr>
        <w:tc>
          <w:tcPr>
            <w:tcW w:w="5083" w:type="dxa"/>
            <w:noWrap/>
          </w:tcPr>
          <w:p w14:paraId="715D7748" w14:textId="475F188B" w:rsidR="00D25A36" w:rsidRPr="004E336D" w:rsidRDefault="00D25A36" w:rsidP="00D25A36">
            <w:pPr>
              <w:rPr>
                <w:b/>
                <w:noProof/>
                <w:sz w:val="20"/>
              </w:rPr>
            </w:pPr>
            <w:r w:rsidRPr="004E336D">
              <w:rPr>
                <w:noProof/>
                <w:sz w:val="20"/>
              </w:rPr>
              <w:t>Adjustment cost savings</w:t>
            </w:r>
            <w:r>
              <w:rPr>
                <w:noProof/>
                <w:sz w:val="20"/>
              </w:rPr>
              <w:t xml:space="preserve"> for SME transport operators </w:t>
            </w:r>
          </w:p>
        </w:tc>
        <w:tc>
          <w:tcPr>
            <w:tcW w:w="1130" w:type="dxa"/>
            <w:noWrap/>
          </w:tcPr>
          <w:p w14:paraId="29B5F83F" w14:textId="5EBAEBF0" w:rsidR="00D25A36" w:rsidRPr="00D25A36" w:rsidRDefault="00D25A36" w:rsidP="00D25A36">
            <w:pPr>
              <w:jc w:val="center"/>
              <w:rPr>
                <w:noProof/>
                <w:color w:val="000000"/>
                <w:sz w:val="20"/>
                <w:szCs w:val="20"/>
              </w:rPr>
            </w:pPr>
            <w:r w:rsidRPr="00D25A36">
              <w:rPr>
                <w:noProof/>
                <w:color w:val="000000"/>
                <w:sz w:val="20"/>
                <w:szCs w:val="20"/>
              </w:rPr>
              <w:t>9.4</w:t>
            </w:r>
          </w:p>
        </w:tc>
        <w:tc>
          <w:tcPr>
            <w:tcW w:w="1130" w:type="dxa"/>
            <w:noWrap/>
          </w:tcPr>
          <w:p w14:paraId="450162BA" w14:textId="43FA38DE" w:rsidR="00D25A36" w:rsidRPr="00D25A36" w:rsidRDefault="00D25A36" w:rsidP="00D25A36">
            <w:pPr>
              <w:jc w:val="center"/>
              <w:rPr>
                <w:noProof/>
                <w:color w:val="000000"/>
                <w:sz w:val="20"/>
                <w:szCs w:val="20"/>
              </w:rPr>
            </w:pPr>
            <w:r w:rsidRPr="00D25A36">
              <w:rPr>
                <w:noProof/>
                <w:color w:val="000000"/>
                <w:sz w:val="20"/>
                <w:szCs w:val="20"/>
              </w:rPr>
              <w:t>107.0</w:t>
            </w:r>
          </w:p>
        </w:tc>
        <w:tc>
          <w:tcPr>
            <w:tcW w:w="1130" w:type="dxa"/>
            <w:noWrap/>
          </w:tcPr>
          <w:p w14:paraId="61354B3E" w14:textId="71647EF4" w:rsidR="00D25A36" w:rsidRPr="00D25A36" w:rsidRDefault="00D25A36" w:rsidP="00D25A36">
            <w:pPr>
              <w:jc w:val="center"/>
              <w:rPr>
                <w:noProof/>
                <w:color w:val="000000"/>
                <w:sz w:val="20"/>
                <w:szCs w:val="20"/>
              </w:rPr>
            </w:pPr>
            <w:r w:rsidRPr="00D25A36">
              <w:rPr>
                <w:noProof/>
                <w:color w:val="000000"/>
                <w:sz w:val="20"/>
                <w:szCs w:val="20"/>
              </w:rPr>
              <w:t>96.1</w:t>
            </w:r>
          </w:p>
        </w:tc>
        <w:tc>
          <w:tcPr>
            <w:tcW w:w="1130" w:type="dxa"/>
          </w:tcPr>
          <w:p w14:paraId="549462E9" w14:textId="37673C78" w:rsidR="00D25A36" w:rsidRPr="00D25A36" w:rsidRDefault="00D25A36" w:rsidP="00D25A36">
            <w:pPr>
              <w:jc w:val="center"/>
              <w:rPr>
                <w:noProof/>
                <w:color w:val="000000"/>
                <w:sz w:val="20"/>
                <w:szCs w:val="20"/>
              </w:rPr>
            </w:pPr>
            <w:r w:rsidRPr="00D25A36">
              <w:rPr>
                <w:noProof/>
                <w:color w:val="000000"/>
                <w:sz w:val="20"/>
                <w:szCs w:val="20"/>
              </w:rPr>
              <w:t>102.5</w:t>
            </w:r>
          </w:p>
        </w:tc>
      </w:tr>
      <w:tr w:rsidR="00D25A36" w:rsidRPr="00887B7A" w14:paraId="3BF1701C" w14:textId="77777777" w:rsidTr="00457E91">
        <w:trPr>
          <w:trHeight w:val="255"/>
        </w:trPr>
        <w:tc>
          <w:tcPr>
            <w:tcW w:w="5083" w:type="dxa"/>
            <w:noWrap/>
          </w:tcPr>
          <w:p w14:paraId="0BA61FEA" w14:textId="599D4AC6" w:rsidR="00D25A36" w:rsidRPr="004E336D" w:rsidRDefault="00D25A36" w:rsidP="00D25A36">
            <w:pPr>
              <w:rPr>
                <w:noProof/>
                <w:sz w:val="20"/>
              </w:rPr>
            </w:pPr>
            <w:r w:rsidRPr="004E336D">
              <w:rPr>
                <w:b/>
                <w:noProof/>
                <w:sz w:val="20"/>
              </w:rPr>
              <w:t>Net benefits for SME</w:t>
            </w:r>
            <w:r>
              <w:rPr>
                <w:b/>
                <w:noProof/>
                <w:sz w:val="20"/>
              </w:rPr>
              <w:t xml:space="preserve"> transport operators </w:t>
            </w:r>
          </w:p>
        </w:tc>
        <w:tc>
          <w:tcPr>
            <w:tcW w:w="1130" w:type="dxa"/>
            <w:noWrap/>
          </w:tcPr>
          <w:p w14:paraId="7F230D06" w14:textId="0E879BBE" w:rsidR="00D25A36" w:rsidRPr="00D25A36" w:rsidRDefault="00D25A36" w:rsidP="00D25A36">
            <w:pPr>
              <w:jc w:val="center"/>
              <w:rPr>
                <w:noProof/>
                <w:color w:val="000000"/>
                <w:sz w:val="20"/>
                <w:szCs w:val="20"/>
              </w:rPr>
            </w:pPr>
            <w:r w:rsidRPr="00D25A36">
              <w:rPr>
                <w:noProof/>
                <w:color w:val="000000"/>
                <w:sz w:val="20"/>
                <w:szCs w:val="20"/>
              </w:rPr>
              <w:t>9.4</w:t>
            </w:r>
          </w:p>
        </w:tc>
        <w:tc>
          <w:tcPr>
            <w:tcW w:w="1130" w:type="dxa"/>
            <w:noWrap/>
          </w:tcPr>
          <w:p w14:paraId="7EB7A825" w14:textId="036E7AD4" w:rsidR="00D25A36" w:rsidRPr="00D25A36" w:rsidRDefault="00D25A36" w:rsidP="00D25A36">
            <w:pPr>
              <w:jc w:val="center"/>
              <w:rPr>
                <w:noProof/>
                <w:color w:val="000000"/>
                <w:sz w:val="20"/>
                <w:szCs w:val="20"/>
              </w:rPr>
            </w:pPr>
            <w:r w:rsidRPr="00D25A36">
              <w:rPr>
                <w:noProof/>
                <w:color w:val="000000"/>
                <w:sz w:val="20"/>
                <w:szCs w:val="20"/>
              </w:rPr>
              <w:t>107.0</w:t>
            </w:r>
          </w:p>
        </w:tc>
        <w:tc>
          <w:tcPr>
            <w:tcW w:w="1130" w:type="dxa"/>
            <w:noWrap/>
          </w:tcPr>
          <w:p w14:paraId="66BA9524" w14:textId="406AD056" w:rsidR="00D25A36" w:rsidRPr="00D25A36" w:rsidRDefault="00D25A36" w:rsidP="00D25A36">
            <w:pPr>
              <w:jc w:val="center"/>
              <w:rPr>
                <w:noProof/>
                <w:color w:val="000000"/>
                <w:sz w:val="20"/>
                <w:szCs w:val="20"/>
              </w:rPr>
            </w:pPr>
            <w:r w:rsidRPr="00D25A36">
              <w:rPr>
                <w:noProof/>
                <w:color w:val="000000"/>
                <w:sz w:val="20"/>
                <w:szCs w:val="20"/>
              </w:rPr>
              <w:t>96.1</w:t>
            </w:r>
          </w:p>
        </w:tc>
        <w:tc>
          <w:tcPr>
            <w:tcW w:w="1130" w:type="dxa"/>
          </w:tcPr>
          <w:p w14:paraId="1EF8701B" w14:textId="5CC74B5B" w:rsidR="00D25A36" w:rsidRPr="00D25A36" w:rsidRDefault="00D25A36" w:rsidP="00D25A36">
            <w:pPr>
              <w:jc w:val="center"/>
              <w:rPr>
                <w:noProof/>
                <w:color w:val="000000"/>
                <w:sz w:val="20"/>
                <w:szCs w:val="20"/>
              </w:rPr>
            </w:pPr>
            <w:r w:rsidRPr="00D25A36">
              <w:rPr>
                <w:noProof/>
                <w:color w:val="000000"/>
                <w:sz w:val="20"/>
                <w:szCs w:val="20"/>
              </w:rPr>
              <w:t>102.5</w:t>
            </w:r>
          </w:p>
        </w:tc>
      </w:tr>
      <w:tr w:rsidR="00E832F5" w:rsidRPr="002824F4" w14:paraId="46110A96" w14:textId="77777777" w:rsidTr="00457E91">
        <w:trPr>
          <w:trHeight w:val="255"/>
        </w:trPr>
        <w:tc>
          <w:tcPr>
            <w:tcW w:w="5083" w:type="dxa"/>
            <w:shd w:val="clear" w:color="auto" w:fill="006EB8"/>
            <w:noWrap/>
          </w:tcPr>
          <w:p w14:paraId="6982A101" w14:textId="06E65B43" w:rsidR="00E832F5" w:rsidRPr="004E336D" w:rsidRDefault="00E832F5">
            <w:pPr>
              <w:rPr>
                <w:b/>
                <w:noProof/>
                <w:color w:val="FFFFFF" w:themeColor="background1"/>
                <w:sz w:val="20"/>
              </w:rPr>
            </w:pPr>
            <w:r w:rsidRPr="004E336D">
              <w:rPr>
                <w:b/>
                <w:noProof/>
                <w:color w:val="FFFFFF" w:themeColor="background1"/>
                <w:sz w:val="20"/>
              </w:rPr>
              <w:t>Impacts on user costs</w:t>
            </w:r>
            <w:r w:rsidR="00FD7D71" w:rsidRPr="004E336D">
              <w:rPr>
                <w:b/>
                <w:noProof/>
                <w:color w:val="FFFFFF" w:themeColor="background1"/>
                <w:sz w:val="20"/>
              </w:rPr>
              <w:t xml:space="preserve"> and congestion</w:t>
            </w:r>
            <w:r w:rsidR="00624155">
              <w:rPr>
                <w:b/>
                <w:noProof/>
                <w:color w:val="FFFFFF" w:themeColor="background1"/>
                <w:sz w:val="20"/>
              </w:rPr>
              <w:t xml:space="preserve"> (</w:t>
            </w:r>
            <w:r w:rsidR="00624155" w:rsidRPr="004E336D">
              <w:rPr>
                <w:b/>
                <w:noProof/>
                <w:color w:val="FFFFFF" w:themeColor="background1"/>
                <w:sz w:val="20"/>
              </w:rPr>
              <w:t>in EUR million, expressed as present value over 2028-2050 relative to the baseline)</w:t>
            </w:r>
          </w:p>
        </w:tc>
        <w:tc>
          <w:tcPr>
            <w:tcW w:w="1130" w:type="dxa"/>
            <w:shd w:val="clear" w:color="auto" w:fill="006EB8"/>
            <w:noWrap/>
          </w:tcPr>
          <w:p w14:paraId="5367A237" w14:textId="11A99C4F" w:rsidR="00E832F5" w:rsidRPr="004E336D" w:rsidRDefault="00FC4A9B">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49C705AD" w14:textId="5C4FB56E" w:rsidR="00E832F5" w:rsidRPr="004E336D" w:rsidRDefault="00FC4A9B">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733194B0" w14:textId="7ECD2A77" w:rsidR="00E832F5" w:rsidRPr="004E336D" w:rsidRDefault="00FC4A9B">
            <w:pPr>
              <w:jc w:val="center"/>
              <w:rPr>
                <w:b/>
                <w:noProof/>
                <w:color w:val="FFFFFF" w:themeColor="background1"/>
                <w:sz w:val="20"/>
              </w:rPr>
            </w:pPr>
            <w:r>
              <w:rPr>
                <w:b/>
                <w:noProof/>
                <w:color w:val="FFFFFF" w:themeColor="background1"/>
                <w:sz w:val="20"/>
              </w:rPr>
              <w:t>+++</w:t>
            </w:r>
          </w:p>
        </w:tc>
        <w:tc>
          <w:tcPr>
            <w:tcW w:w="1130" w:type="dxa"/>
            <w:shd w:val="clear" w:color="auto" w:fill="006EB8"/>
          </w:tcPr>
          <w:p w14:paraId="502211C8" w14:textId="70C5C0C2" w:rsidR="00E832F5" w:rsidRPr="004E336D" w:rsidRDefault="00FC4A9B">
            <w:pPr>
              <w:jc w:val="center"/>
              <w:rPr>
                <w:b/>
                <w:noProof/>
                <w:color w:val="FFFFFF" w:themeColor="background1"/>
                <w:sz w:val="20"/>
              </w:rPr>
            </w:pPr>
            <w:r>
              <w:rPr>
                <w:b/>
                <w:noProof/>
                <w:color w:val="FFFFFF" w:themeColor="background1"/>
                <w:sz w:val="20"/>
              </w:rPr>
              <w:t>+++</w:t>
            </w:r>
          </w:p>
        </w:tc>
      </w:tr>
      <w:tr w:rsidR="00D01024" w:rsidRPr="002824F4" w14:paraId="266B23A7" w14:textId="77777777" w:rsidTr="00457E91">
        <w:trPr>
          <w:trHeight w:val="255"/>
        </w:trPr>
        <w:tc>
          <w:tcPr>
            <w:tcW w:w="5083" w:type="dxa"/>
            <w:shd w:val="clear" w:color="auto" w:fill="FFFFFF" w:themeFill="background1"/>
            <w:noWrap/>
          </w:tcPr>
          <w:p w14:paraId="36AA6F7B" w14:textId="56DE8512" w:rsidR="00D01024" w:rsidRPr="004E336D" w:rsidRDefault="00D01024" w:rsidP="00D01024">
            <w:pPr>
              <w:rPr>
                <w:b/>
                <w:noProof/>
                <w:color w:val="FFFFFF" w:themeColor="background1"/>
                <w:sz w:val="20"/>
              </w:rPr>
            </w:pPr>
            <w:r w:rsidRPr="004E336D">
              <w:rPr>
                <w:noProof/>
                <w:color w:val="000000"/>
                <w:sz w:val="20"/>
                <w:szCs w:val="20"/>
              </w:rPr>
              <w:t xml:space="preserve"> Savings in external costs of road congestion </w:t>
            </w:r>
          </w:p>
        </w:tc>
        <w:tc>
          <w:tcPr>
            <w:tcW w:w="1130" w:type="dxa"/>
            <w:shd w:val="clear" w:color="auto" w:fill="FFFFFF" w:themeFill="background1"/>
            <w:noWrap/>
          </w:tcPr>
          <w:p w14:paraId="43838379" w14:textId="31A3DD3B" w:rsidR="00D01024" w:rsidRPr="001C2938" w:rsidRDefault="00D01024" w:rsidP="00D01024">
            <w:pPr>
              <w:jc w:val="center"/>
              <w:rPr>
                <w:noProof/>
                <w:color w:val="FFFFFF" w:themeColor="background1"/>
                <w:sz w:val="20"/>
              </w:rPr>
            </w:pPr>
            <w:r w:rsidRPr="001C2938">
              <w:rPr>
                <w:noProof/>
                <w:color w:val="000000"/>
                <w:sz w:val="20"/>
                <w:szCs w:val="20"/>
              </w:rPr>
              <w:t>1,758</w:t>
            </w:r>
          </w:p>
        </w:tc>
        <w:tc>
          <w:tcPr>
            <w:tcW w:w="1130" w:type="dxa"/>
            <w:shd w:val="clear" w:color="auto" w:fill="FFFFFF" w:themeFill="background1"/>
            <w:noWrap/>
          </w:tcPr>
          <w:p w14:paraId="27577EDE" w14:textId="766AE42A" w:rsidR="00D01024" w:rsidRPr="001C2938" w:rsidRDefault="00D01024" w:rsidP="00D01024">
            <w:pPr>
              <w:jc w:val="center"/>
              <w:rPr>
                <w:noProof/>
                <w:color w:val="FFFFFF" w:themeColor="background1"/>
                <w:sz w:val="20"/>
              </w:rPr>
            </w:pPr>
            <w:r w:rsidRPr="001C2938">
              <w:rPr>
                <w:noProof/>
                <w:color w:val="000000"/>
                <w:sz w:val="20"/>
                <w:szCs w:val="20"/>
              </w:rPr>
              <w:t>4,352</w:t>
            </w:r>
          </w:p>
        </w:tc>
        <w:tc>
          <w:tcPr>
            <w:tcW w:w="1130" w:type="dxa"/>
            <w:shd w:val="clear" w:color="auto" w:fill="FFFFFF" w:themeFill="background1"/>
            <w:noWrap/>
          </w:tcPr>
          <w:p w14:paraId="62AAD02E" w14:textId="7DC02740" w:rsidR="00D01024" w:rsidRPr="001C2938" w:rsidRDefault="00D01024" w:rsidP="00D01024">
            <w:pPr>
              <w:jc w:val="center"/>
              <w:rPr>
                <w:noProof/>
                <w:color w:val="FFFFFF" w:themeColor="background1"/>
                <w:sz w:val="20"/>
              </w:rPr>
            </w:pPr>
            <w:r w:rsidRPr="001C2938">
              <w:rPr>
                <w:noProof/>
                <w:color w:val="000000"/>
                <w:sz w:val="20"/>
                <w:szCs w:val="20"/>
              </w:rPr>
              <w:t>6,438</w:t>
            </w:r>
          </w:p>
        </w:tc>
        <w:tc>
          <w:tcPr>
            <w:tcW w:w="1130" w:type="dxa"/>
            <w:shd w:val="clear" w:color="auto" w:fill="FFFFFF" w:themeFill="background1"/>
          </w:tcPr>
          <w:p w14:paraId="4E016421" w14:textId="4FAEB62A" w:rsidR="00D01024" w:rsidRPr="001C2938" w:rsidRDefault="00D01024" w:rsidP="00D01024">
            <w:pPr>
              <w:jc w:val="center"/>
              <w:rPr>
                <w:noProof/>
                <w:color w:val="FFFFFF" w:themeColor="background1"/>
                <w:sz w:val="20"/>
              </w:rPr>
            </w:pPr>
            <w:r w:rsidRPr="001C2938">
              <w:rPr>
                <w:noProof/>
                <w:color w:val="000000"/>
                <w:sz w:val="20"/>
                <w:szCs w:val="20"/>
              </w:rPr>
              <w:t>4,833</w:t>
            </w:r>
          </w:p>
        </w:tc>
      </w:tr>
      <w:tr w:rsidR="00E832F5" w:rsidRPr="002824F4" w14:paraId="226B6DF1" w14:textId="77777777" w:rsidTr="00457E91">
        <w:trPr>
          <w:trHeight w:val="255"/>
        </w:trPr>
        <w:tc>
          <w:tcPr>
            <w:tcW w:w="5083" w:type="dxa"/>
            <w:shd w:val="clear" w:color="auto" w:fill="006EB8"/>
            <w:noWrap/>
            <w:hideMark/>
          </w:tcPr>
          <w:p w14:paraId="7FAAE4E2" w14:textId="77777777" w:rsidR="00E832F5" w:rsidRPr="004E336D" w:rsidRDefault="00E832F5">
            <w:pPr>
              <w:rPr>
                <w:b/>
                <w:noProof/>
                <w:color w:val="FFFFFF" w:themeColor="background1"/>
                <w:sz w:val="20"/>
              </w:rPr>
            </w:pPr>
            <w:r w:rsidRPr="004E336D">
              <w:rPr>
                <w:b/>
                <w:noProof/>
                <w:color w:val="FFFFFF" w:themeColor="background1"/>
                <w:sz w:val="20"/>
              </w:rPr>
              <w:t>Impacts on competitiveness</w:t>
            </w:r>
          </w:p>
        </w:tc>
        <w:tc>
          <w:tcPr>
            <w:tcW w:w="1130" w:type="dxa"/>
            <w:shd w:val="clear" w:color="auto" w:fill="006EB8"/>
            <w:noWrap/>
          </w:tcPr>
          <w:p w14:paraId="5A1BB0F4" w14:textId="69C9B278" w:rsidR="00E832F5" w:rsidRPr="004E336D" w:rsidRDefault="00714F31">
            <w:pPr>
              <w:jc w:val="center"/>
              <w:rPr>
                <w:b/>
                <w:noProof/>
                <w:color w:val="FFFFFF" w:themeColor="background1"/>
                <w:sz w:val="20"/>
              </w:rPr>
            </w:pPr>
            <w:r w:rsidRPr="00714F31">
              <w:rPr>
                <w:b/>
                <w:noProof/>
                <w:color w:val="FFFFFF" w:themeColor="background1"/>
                <w:sz w:val="20"/>
              </w:rPr>
              <w:t>+</w:t>
            </w:r>
          </w:p>
        </w:tc>
        <w:tc>
          <w:tcPr>
            <w:tcW w:w="1130" w:type="dxa"/>
            <w:shd w:val="clear" w:color="auto" w:fill="006EB8"/>
            <w:noWrap/>
          </w:tcPr>
          <w:p w14:paraId="73606E68" w14:textId="3085E286" w:rsidR="00E832F5" w:rsidRPr="004E336D" w:rsidRDefault="00CE0A54">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55788FF4" w14:textId="22F2AE22" w:rsidR="00E832F5" w:rsidRPr="004E336D" w:rsidRDefault="00E213F9">
            <w:pPr>
              <w:jc w:val="center"/>
              <w:rPr>
                <w:b/>
                <w:noProof/>
                <w:color w:val="FFFFFF" w:themeColor="background1"/>
                <w:sz w:val="20"/>
              </w:rPr>
            </w:pPr>
            <w:r>
              <w:rPr>
                <w:b/>
                <w:noProof/>
                <w:color w:val="FFFFFF" w:themeColor="background1"/>
                <w:sz w:val="20"/>
              </w:rPr>
              <w:t>++</w:t>
            </w:r>
          </w:p>
        </w:tc>
        <w:tc>
          <w:tcPr>
            <w:tcW w:w="1130" w:type="dxa"/>
            <w:shd w:val="clear" w:color="auto" w:fill="006EB8"/>
          </w:tcPr>
          <w:p w14:paraId="0D376D5E" w14:textId="64F4E3DB" w:rsidR="00E832F5" w:rsidRPr="004E336D" w:rsidRDefault="00E213F9">
            <w:pPr>
              <w:jc w:val="center"/>
              <w:rPr>
                <w:b/>
                <w:noProof/>
                <w:color w:val="FFFFFF" w:themeColor="background1"/>
                <w:sz w:val="20"/>
              </w:rPr>
            </w:pPr>
            <w:r>
              <w:rPr>
                <w:b/>
                <w:noProof/>
                <w:color w:val="FFFFFF" w:themeColor="background1"/>
                <w:sz w:val="20"/>
              </w:rPr>
              <w:t>++</w:t>
            </w:r>
          </w:p>
        </w:tc>
      </w:tr>
      <w:tr w:rsidR="006C7CCF" w:rsidRPr="002824F4" w14:paraId="7EB82B6E" w14:textId="2B250267" w:rsidTr="00457E91">
        <w:trPr>
          <w:trHeight w:val="255"/>
        </w:trPr>
        <w:tc>
          <w:tcPr>
            <w:tcW w:w="5083" w:type="dxa"/>
            <w:shd w:val="clear" w:color="auto" w:fill="006EB8"/>
            <w:noWrap/>
            <w:hideMark/>
          </w:tcPr>
          <w:p w14:paraId="3D5243FD" w14:textId="77777777" w:rsidR="006C7CCF" w:rsidRPr="004E336D" w:rsidRDefault="006C7CCF">
            <w:pPr>
              <w:rPr>
                <w:b/>
                <w:noProof/>
                <w:color w:val="FFFFFF" w:themeColor="background1"/>
                <w:sz w:val="20"/>
              </w:rPr>
            </w:pPr>
            <w:r w:rsidRPr="004E336D">
              <w:rPr>
                <w:b/>
                <w:noProof/>
                <w:color w:val="FFFFFF" w:themeColor="background1"/>
                <w:sz w:val="20"/>
              </w:rPr>
              <w:t>Impact on the functioning of the internal market and competition</w:t>
            </w:r>
          </w:p>
        </w:tc>
        <w:tc>
          <w:tcPr>
            <w:tcW w:w="1130" w:type="dxa"/>
            <w:shd w:val="clear" w:color="auto" w:fill="006EB8"/>
            <w:noWrap/>
          </w:tcPr>
          <w:p w14:paraId="18070CBE" w14:textId="2C14FE68" w:rsidR="006C7CCF" w:rsidRPr="004E336D" w:rsidRDefault="00D41EFB">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6180819B" w14:textId="47EB72A6" w:rsidR="006C7CCF" w:rsidRPr="004E336D" w:rsidRDefault="00D41EFB">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19F8F413" w14:textId="185B0FEC" w:rsidR="006C7CCF" w:rsidRPr="004E336D" w:rsidRDefault="00D41EFB">
            <w:pPr>
              <w:jc w:val="center"/>
              <w:rPr>
                <w:b/>
                <w:noProof/>
                <w:color w:val="FFFFFF" w:themeColor="background1"/>
                <w:sz w:val="20"/>
              </w:rPr>
            </w:pPr>
            <w:r>
              <w:rPr>
                <w:b/>
                <w:noProof/>
                <w:color w:val="FFFFFF" w:themeColor="background1"/>
                <w:sz w:val="20"/>
              </w:rPr>
              <w:t>++</w:t>
            </w:r>
          </w:p>
        </w:tc>
        <w:tc>
          <w:tcPr>
            <w:tcW w:w="1130" w:type="dxa"/>
            <w:shd w:val="clear" w:color="auto" w:fill="006EB8"/>
          </w:tcPr>
          <w:p w14:paraId="45D9F326" w14:textId="7E4AE687" w:rsidR="006C7CCF" w:rsidRPr="004E336D" w:rsidRDefault="00D41EFB">
            <w:pPr>
              <w:jc w:val="center"/>
              <w:rPr>
                <w:b/>
                <w:noProof/>
                <w:color w:val="FFFFFF" w:themeColor="background1"/>
                <w:sz w:val="20"/>
              </w:rPr>
            </w:pPr>
            <w:r>
              <w:rPr>
                <w:b/>
                <w:noProof/>
                <w:color w:val="FFFFFF" w:themeColor="background1"/>
                <w:sz w:val="20"/>
              </w:rPr>
              <w:t>++</w:t>
            </w:r>
          </w:p>
        </w:tc>
      </w:tr>
      <w:tr w:rsidR="006C7CCF" w:rsidRPr="002824F4" w14:paraId="6C8BAFE1" w14:textId="04A9955B" w:rsidTr="00457E91">
        <w:trPr>
          <w:trHeight w:val="255"/>
        </w:trPr>
        <w:tc>
          <w:tcPr>
            <w:tcW w:w="5083" w:type="dxa"/>
            <w:shd w:val="clear" w:color="auto" w:fill="006EB8"/>
            <w:noWrap/>
            <w:hideMark/>
          </w:tcPr>
          <w:p w14:paraId="697657BA" w14:textId="77777777" w:rsidR="006C7CCF" w:rsidRPr="004E336D" w:rsidRDefault="006C7CCF">
            <w:pPr>
              <w:rPr>
                <w:b/>
                <w:noProof/>
                <w:color w:val="FFFFFF" w:themeColor="background1"/>
                <w:sz w:val="20"/>
              </w:rPr>
            </w:pPr>
            <w:r w:rsidRPr="004E336D">
              <w:rPr>
                <w:b/>
                <w:noProof/>
                <w:color w:val="FFFFFF" w:themeColor="background1"/>
                <w:sz w:val="20"/>
              </w:rPr>
              <w:t>Impact on innovation</w:t>
            </w:r>
          </w:p>
        </w:tc>
        <w:tc>
          <w:tcPr>
            <w:tcW w:w="1130" w:type="dxa"/>
            <w:shd w:val="clear" w:color="auto" w:fill="006EB8"/>
            <w:noWrap/>
          </w:tcPr>
          <w:p w14:paraId="7C1056CE" w14:textId="0E192BDD" w:rsidR="006C7CCF" w:rsidRPr="004E336D" w:rsidRDefault="00D41EFB">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19DF0DAE" w14:textId="76DFDCAF" w:rsidR="006C7CCF" w:rsidRPr="004E336D" w:rsidRDefault="00D41EFB">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1D1C94F8" w14:textId="0083F3B7" w:rsidR="006C7CCF" w:rsidRPr="004E336D" w:rsidRDefault="00D41EFB">
            <w:pPr>
              <w:jc w:val="center"/>
              <w:rPr>
                <w:b/>
                <w:noProof/>
                <w:color w:val="FFFFFF" w:themeColor="background1"/>
                <w:sz w:val="20"/>
              </w:rPr>
            </w:pPr>
            <w:r>
              <w:rPr>
                <w:b/>
                <w:noProof/>
                <w:color w:val="FFFFFF" w:themeColor="background1"/>
                <w:sz w:val="20"/>
              </w:rPr>
              <w:t>++</w:t>
            </w:r>
            <w:r w:rsidR="006269BF">
              <w:rPr>
                <w:b/>
                <w:noProof/>
                <w:color w:val="FFFFFF" w:themeColor="background1"/>
                <w:sz w:val="20"/>
              </w:rPr>
              <w:t>+</w:t>
            </w:r>
          </w:p>
        </w:tc>
        <w:tc>
          <w:tcPr>
            <w:tcW w:w="1130" w:type="dxa"/>
            <w:shd w:val="clear" w:color="auto" w:fill="006EB8"/>
          </w:tcPr>
          <w:p w14:paraId="78D38265" w14:textId="22C81F19" w:rsidR="006C7CCF" w:rsidRPr="004E336D" w:rsidRDefault="00D41EFB">
            <w:pPr>
              <w:jc w:val="center"/>
              <w:rPr>
                <w:b/>
                <w:noProof/>
                <w:color w:val="FFFFFF" w:themeColor="background1"/>
                <w:sz w:val="20"/>
              </w:rPr>
            </w:pPr>
            <w:r>
              <w:rPr>
                <w:b/>
                <w:noProof/>
                <w:color w:val="FFFFFF" w:themeColor="background1"/>
                <w:sz w:val="20"/>
              </w:rPr>
              <w:t>++</w:t>
            </w:r>
          </w:p>
        </w:tc>
      </w:tr>
      <w:tr w:rsidR="006C7CCF" w:rsidRPr="002824F4" w14:paraId="501BFC80" w14:textId="37D8E68C" w:rsidTr="00457E91">
        <w:trPr>
          <w:trHeight w:val="255"/>
        </w:trPr>
        <w:tc>
          <w:tcPr>
            <w:tcW w:w="5083" w:type="dxa"/>
            <w:shd w:val="clear" w:color="auto" w:fill="006EB8"/>
            <w:noWrap/>
            <w:hideMark/>
          </w:tcPr>
          <w:p w14:paraId="45E73702" w14:textId="77777777" w:rsidR="006C7CCF" w:rsidRPr="004E336D" w:rsidRDefault="006C7CCF">
            <w:pPr>
              <w:rPr>
                <w:b/>
                <w:noProof/>
                <w:color w:val="FFFFFF" w:themeColor="background1"/>
                <w:sz w:val="20"/>
              </w:rPr>
            </w:pPr>
            <w:r w:rsidRPr="004E336D">
              <w:rPr>
                <w:b/>
                <w:noProof/>
                <w:color w:val="FFFFFF" w:themeColor="background1"/>
                <w:sz w:val="20"/>
              </w:rPr>
              <w:t>Digital by default</w:t>
            </w:r>
          </w:p>
        </w:tc>
        <w:tc>
          <w:tcPr>
            <w:tcW w:w="1130" w:type="dxa"/>
            <w:shd w:val="clear" w:color="auto" w:fill="006EB8"/>
            <w:noWrap/>
          </w:tcPr>
          <w:p w14:paraId="523633B3" w14:textId="3A94806F" w:rsidR="006C7CCF" w:rsidRPr="004E336D" w:rsidRDefault="004F72C2">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046A2A0E" w14:textId="53A55A5C" w:rsidR="006C7CCF" w:rsidRPr="004E336D" w:rsidRDefault="004F72C2">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77DC0E42" w14:textId="04162BAE" w:rsidR="006C7CCF" w:rsidRPr="004E336D" w:rsidRDefault="004F72C2">
            <w:pPr>
              <w:jc w:val="center"/>
              <w:rPr>
                <w:b/>
                <w:noProof/>
                <w:color w:val="FFFFFF" w:themeColor="background1"/>
                <w:sz w:val="20"/>
              </w:rPr>
            </w:pPr>
            <w:r>
              <w:rPr>
                <w:b/>
                <w:noProof/>
                <w:color w:val="FFFFFF" w:themeColor="background1"/>
                <w:sz w:val="20"/>
              </w:rPr>
              <w:t>++</w:t>
            </w:r>
          </w:p>
        </w:tc>
        <w:tc>
          <w:tcPr>
            <w:tcW w:w="1130" w:type="dxa"/>
            <w:shd w:val="clear" w:color="auto" w:fill="006EB8"/>
          </w:tcPr>
          <w:p w14:paraId="17116AF1" w14:textId="23AFBBE2" w:rsidR="006C7CCF" w:rsidRPr="004E336D" w:rsidRDefault="004F72C2">
            <w:pPr>
              <w:jc w:val="center"/>
              <w:rPr>
                <w:b/>
                <w:noProof/>
                <w:color w:val="FFFFFF" w:themeColor="background1"/>
                <w:sz w:val="20"/>
              </w:rPr>
            </w:pPr>
            <w:r>
              <w:rPr>
                <w:b/>
                <w:noProof/>
                <w:color w:val="FFFFFF" w:themeColor="background1"/>
                <w:sz w:val="20"/>
              </w:rPr>
              <w:t>++</w:t>
            </w:r>
          </w:p>
        </w:tc>
      </w:tr>
      <w:tr w:rsidR="004F72C2" w:rsidRPr="002824F4" w14:paraId="061F9116" w14:textId="77777777" w:rsidTr="00457E91">
        <w:trPr>
          <w:trHeight w:val="255"/>
        </w:trPr>
        <w:tc>
          <w:tcPr>
            <w:tcW w:w="5083" w:type="dxa"/>
            <w:shd w:val="clear" w:color="auto" w:fill="006EB8"/>
            <w:noWrap/>
          </w:tcPr>
          <w:p w14:paraId="77467998" w14:textId="39F7B699" w:rsidR="004F72C2" w:rsidRPr="004E336D" w:rsidRDefault="004F72C2">
            <w:pPr>
              <w:rPr>
                <w:b/>
                <w:noProof/>
                <w:color w:val="FFFFFF" w:themeColor="background1"/>
                <w:sz w:val="20"/>
              </w:rPr>
            </w:pPr>
            <w:r>
              <w:rPr>
                <w:b/>
                <w:noProof/>
                <w:color w:val="FFFFFF" w:themeColor="background1"/>
                <w:sz w:val="20"/>
              </w:rPr>
              <w:t>Impact on tourism</w:t>
            </w:r>
          </w:p>
        </w:tc>
        <w:tc>
          <w:tcPr>
            <w:tcW w:w="1130" w:type="dxa"/>
            <w:shd w:val="clear" w:color="auto" w:fill="006EB8"/>
            <w:noWrap/>
          </w:tcPr>
          <w:p w14:paraId="65B3AFD5" w14:textId="1B2485DA" w:rsidR="004F72C2" w:rsidRDefault="004F72C2">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396D62B5" w14:textId="6EB82810" w:rsidR="004F72C2" w:rsidRDefault="004F72C2">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34709BE9" w14:textId="04DAF7E4" w:rsidR="004F72C2" w:rsidRDefault="004F72C2">
            <w:pPr>
              <w:jc w:val="center"/>
              <w:rPr>
                <w:b/>
                <w:noProof/>
                <w:color w:val="FFFFFF" w:themeColor="background1"/>
                <w:sz w:val="20"/>
              </w:rPr>
            </w:pPr>
            <w:r>
              <w:rPr>
                <w:b/>
                <w:noProof/>
                <w:color w:val="FFFFFF" w:themeColor="background1"/>
                <w:sz w:val="20"/>
              </w:rPr>
              <w:t>++</w:t>
            </w:r>
            <w:r w:rsidR="00593F90">
              <w:rPr>
                <w:b/>
                <w:noProof/>
                <w:color w:val="FFFFFF" w:themeColor="background1"/>
                <w:sz w:val="20"/>
              </w:rPr>
              <w:t>+</w:t>
            </w:r>
          </w:p>
        </w:tc>
        <w:tc>
          <w:tcPr>
            <w:tcW w:w="1130" w:type="dxa"/>
            <w:shd w:val="clear" w:color="auto" w:fill="006EB8"/>
          </w:tcPr>
          <w:p w14:paraId="5F1A1189" w14:textId="00D16094" w:rsidR="004F72C2" w:rsidRDefault="004F72C2">
            <w:pPr>
              <w:jc w:val="center"/>
              <w:rPr>
                <w:b/>
                <w:noProof/>
                <w:color w:val="FFFFFF" w:themeColor="background1"/>
                <w:sz w:val="20"/>
              </w:rPr>
            </w:pPr>
            <w:r>
              <w:rPr>
                <w:b/>
                <w:noProof/>
                <w:color w:val="FFFFFF" w:themeColor="background1"/>
                <w:sz w:val="20"/>
              </w:rPr>
              <w:t>++</w:t>
            </w:r>
          </w:p>
        </w:tc>
      </w:tr>
      <w:tr w:rsidR="008B772F" w:rsidRPr="002824F4" w14:paraId="16D60181" w14:textId="77777777" w:rsidTr="00457E91">
        <w:trPr>
          <w:trHeight w:val="255"/>
        </w:trPr>
        <w:tc>
          <w:tcPr>
            <w:tcW w:w="5083" w:type="dxa"/>
            <w:shd w:val="clear" w:color="auto" w:fill="006EB8"/>
            <w:noWrap/>
          </w:tcPr>
          <w:p w14:paraId="1A63E3EC" w14:textId="40C4F3A3" w:rsidR="008B772F" w:rsidRDefault="008B772F">
            <w:pPr>
              <w:rPr>
                <w:b/>
                <w:noProof/>
                <w:color w:val="FFFFFF" w:themeColor="background1"/>
                <w:sz w:val="20"/>
              </w:rPr>
            </w:pPr>
            <w:r>
              <w:rPr>
                <w:b/>
                <w:noProof/>
                <w:color w:val="FFFFFF" w:themeColor="background1"/>
                <w:sz w:val="20"/>
              </w:rPr>
              <w:t>Territorial impacts</w:t>
            </w:r>
          </w:p>
        </w:tc>
        <w:tc>
          <w:tcPr>
            <w:tcW w:w="1130" w:type="dxa"/>
            <w:shd w:val="clear" w:color="auto" w:fill="006EB8"/>
            <w:noWrap/>
          </w:tcPr>
          <w:p w14:paraId="052B99AC" w14:textId="0B7BF5BD" w:rsidR="008B772F" w:rsidRDefault="008B772F">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74B31327" w14:textId="3FC7C3B0" w:rsidR="008B772F" w:rsidRDefault="008B772F">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14F2BDCD" w14:textId="4A4CA5B7" w:rsidR="008B772F" w:rsidRDefault="008B772F">
            <w:pPr>
              <w:jc w:val="center"/>
              <w:rPr>
                <w:b/>
                <w:noProof/>
                <w:color w:val="FFFFFF" w:themeColor="background1"/>
                <w:sz w:val="20"/>
              </w:rPr>
            </w:pPr>
            <w:r>
              <w:rPr>
                <w:b/>
                <w:noProof/>
                <w:color w:val="FFFFFF" w:themeColor="background1"/>
                <w:sz w:val="20"/>
              </w:rPr>
              <w:t>++</w:t>
            </w:r>
            <w:r w:rsidR="008D66DC">
              <w:rPr>
                <w:b/>
                <w:noProof/>
                <w:color w:val="FFFFFF" w:themeColor="background1"/>
                <w:sz w:val="20"/>
              </w:rPr>
              <w:t>+</w:t>
            </w:r>
          </w:p>
        </w:tc>
        <w:tc>
          <w:tcPr>
            <w:tcW w:w="1130" w:type="dxa"/>
            <w:shd w:val="clear" w:color="auto" w:fill="006EB8"/>
          </w:tcPr>
          <w:p w14:paraId="3F68140D" w14:textId="65E0FA8D" w:rsidR="008B772F" w:rsidRDefault="008B772F">
            <w:pPr>
              <w:jc w:val="center"/>
              <w:rPr>
                <w:b/>
                <w:noProof/>
                <w:color w:val="FFFFFF" w:themeColor="background1"/>
                <w:sz w:val="20"/>
              </w:rPr>
            </w:pPr>
            <w:r>
              <w:rPr>
                <w:b/>
                <w:noProof/>
                <w:color w:val="FFFFFF" w:themeColor="background1"/>
                <w:sz w:val="20"/>
              </w:rPr>
              <w:t>++</w:t>
            </w:r>
          </w:p>
        </w:tc>
      </w:tr>
      <w:tr w:rsidR="006C7CCF" w:rsidRPr="002824F4" w14:paraId="3AD5F1D9" w14:textId="610ED0A1" w:rsidTr="00457E91">
        <w:trPr>
          <w:trHeight w:val="255"/>
        </w:trPr>
        <w:tc>
          <w:tcPr>
            <w:tcW w:w="5083" w:type="dxa"/>
            <w:shd w:val="clear" w:color="auto" w:fill="8EA9DB"/>
            <w:hideMark/>
          </w:tcPr>
          <w:p w14:paraId="5409A157" w14:textId="77777777" w:rsidR="006C7CCF" w:rsidRPr="004E336D" w:rsidRDefault="006C7CCF">
            <w:pPr>
              <w:rPr>
                <w:b/>
                <w:noProof/>
                <w:color w:val="FFFFFF" w:themeColor="background1"/>
                <w:sz w:val="20"/>
              </w:rPr>
            </w:pPr>
            <w:r w:rsidRPr="004E336D">
              <w:rPr>
                <w:b/>
                <w:noProof/>
                <w:color w:val="FFFFFF" w:themeColor="background1"/>
                <w:sz w:val="20"/>
              </w:rPr>
              <w:t>Social impacts</w:t>
            </w:r>
          </w:p>
        </w:tc>
        <w:tc>
          <w:tcPr>
            <w:tcW w:w="1130" w:type="dxa"/>
            <w:shd w:val="clear" w:color="auto" w:fill="8EA9DB"/>
          </w:tcPr>
          <w:p w14:paraId="107F561C" w14:textId="25FEEFCE" w:rsidR="006C7CCF" w:rsidRPr="004E336D" w:rsidRDefault="001C0813">
            <w:pPr>
              <w:jc w:val="center"/>
              <w:rPr>
                <w:b/>
                <w:noProof/>
                <w:color w:val="FFFFFF" w:themeColor="background1"/>
                <w:sz w:val="20"/>
              </w:rPr>
            </w:pPr>
            <w:r>
              <w:rPr>
                <w:b/>
                <w:noProof/>
                <w:color w:val="FFFFFF" w:themeColor="background1"/>
                <w:sz w:val="20"/>
              </w:rPr>
              <w:t>+</w:t>
            </w:r>
          </w:p>
        </w:tc>
        <w:tc>
          <w:tcPr>
            <w:tcW w:w="1130" w:type="dxa"/>
            <w:shd w:val="clear" w:color="auto" w:fill="8EA9DB"/>
          </w:tcPr>
          <w:p w14:paraId="001718F0" w14:textId="4C2A96E2" w:rsidR="006C7CCF" w:rsidRPr="004E336D" w:rsidRDefault="001C0813">
            <w:pPr>
              <w:jc w:val="center"/>
              <w:rPr>
                <w:b/>
                <w:noProof/>
                <w:color w:val="FFFFFF" w:themeColor="background1"/>
                <w:sz w:val="20"/>
              </w:rPr>
            </w:pPr>
            <w:r>
              <w:rPr>
                <w:b/>
                <w:noProof/>
                <w:color w:val="FFFFFF" w:themeColor="background1"/>
                <w:sz w:val="20"/>
              </w:rPr>
              <w:t>++</w:t>
            </w:r>
          </w:p>
        </w:tc>
        <w:tc>
          <w:tcPr>
            <w:tcW w:w="1130" w:type="dxa"/>
            <w:shd w:val="clear" w:color="auto" w:fill="8EA9DB"/>
          </w:tcPr>
          <w:p w14:paraId="11245B79" w14:textId="0B98799C" w:rsidR="006C7CCF" w:rsidRPr="004E336D" w:rsidRDefault="001C0813">
            <w:pPr>
              <w:jc w:val="center"/>
              <w:rPr>
                <w:b/>
                <w:noProof/>
                <w:color w:val="FFFFFF" w:themeColor="background1"/>
                <w:sz w:val="20"/>
              </w:rPr>
            </w:pPr>
            <w:r>
              <w:rPr>
                <w:b/>
                <w:noProof/>
                <w:color w:val="FFFFFF" w:themeColor="background1"/>
                <w:sz w:val="20"/>
              </w:rPr>
              <w:t>++/+++</w:t>
            </w:r>
          </w:p>
        </w:tc>
        <w:tc>
          <w:tcPr>
            <w:tcW w:w="1130" w:type="dxa"/>
            <w:shd w:val="clear" w:color="auto" w:fill="8EA9DB"/>
          </w:tcPr>
          <w:p w14:paraId="10669CC3" w14:textId="2656180C" w:rsidR="006C7CCF" w:rsidRPr="004E336D" w:rsidRDefault="001C0813">
            <w:pPr>
              <w:jc w:val="center"/>
              <w:rPr>
                <w:b/>
                <w:noProof/>
                <w:color w:val="FFFFFF" w:themeColor="background1"/>
                <w:sz w:val="20"/>
              </w:rPr>
            </w:pPr>
            <w:r>
              <w:rPr>
                <w:b/>
                <w:noProof/>
                <w:color w:val="FFFFFF" w:themeColor="background1"/>
                <w:sz w:val="20"/>
              </w:rPr>
              <w:t>++</w:t>
            </w:r>
          </w:p>
        </w:tc>
      </w:tr>
      <w:tr w:rsidR="0019380C" w:rsidRPr="002824F4" w14:paraId="5014FA3F" w14:textId="77777777" w:rsidTr="00457E91">
        <w:trPr>
          <w:trHeight w:val="255"/>
        </w:trPr>
        <w:tc>
          <w:tcPr>
            <w:tcW w:w="5083" w:type="dxa"/>
            <w:shd w:val="clear" w:color="auto" w:fill="006EB8"/>
            <w:noWrap/>
          </w:tcPr>
          <w:p w14:paraId="68ADBB1D" w14:textId="76A81CD2" w:rsidR="0019380C" w:rsidRPr="004E336D" w:rsidRDefault="0019380C">
            <w:pPr>
              <w:rPr>
                <w:b/>
                <w:noProof/>
                <w:color w:val="FFFFFF" w:themeColor="background1"/>
                <w:sz w:val="20"/>
              </w:rPr>
            </w:pPr>
            <w:r w:rsidRPr="004E336D">
              <w:rPr>
                <w:b/>
                <w:noProof/>
                <w:color w:val="FFFFFF" w:themeColor="background1"/>
                <w:sz w:val="20"/>
              </w:rPr>
              <w:t>Impacts on health</w:t>
            </w:r>
            <w:r w:rsidR="00027357">
              <w:rPr>
                <w:b/>
                <w:noProof/>
                <w:color w:val="FFFFFF" w:themeColor="background1"/>
                <w:sz w:val="20"/>
              </w:rPr>
              <w:t xml:space="preserve"> (</w:t>
            </w:r>
            <w:r w:rsidR="00027357" w:rsidRPr="004E336D">
              <w:rPr>
                <w:b/>
                <w:noProof/>
                <w:color w:val="FFFFFF" w:themeColor="background1"/>
                <w:sz w:val="20"/>
              </w:rPr>
              <w:t>in EUR million, expressed as present value over 2028-2050 relative to the baseline)</w:t>
            </w:r>
          </w:p>
        </w:tc>
        <w:tc>
          <w:tcPr>
            <w:tcW w:w="1130" w:type="dxa"/>
            <w:shd w:val="clear" w:color="auto" w:fill="006EB8"/>
            <w:noWrap/>
          </w:tcPr>
          <w:p w14:paraId="6BF02D36" w14:textId="5A52F4AE" w:rsidR="0019380C" w:rsidRPr="004E336D" w:rsidRDefault="001C0813">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78035D1C" w14:textId="2521CFCC" w:rsidR="0019380C" w:rsidRPr="004E336D" w:rsidRDefault="001C0813">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3417FBFA" w14:textId="36FDEA18" w:rsidR="0019380C" w:rsidRPr="004E336D" w:rsidRDefault="001C0813">
            <w:pPr>
              <w:jc w:val="center"/>
              <w:rPr>
                <w:b/>
                <w:noProof/>
                <w:color w:val="FFFFFF" w:themeColor="background1"/>
                <w:sz w:val="20"/>
              </w:rPr>
            </w:pPr>
            <w:r>
              <w:rPr>
                <w:b/>
                <w:noProof/>
                <w:color w:val="FFFFFF" w:themeColor="background1"/>
                <w:sz w:val="20"/>
              </w:rPr>
              <w:t>++</w:t>
            </w:r>
            <w:r w:rsidR="00D7425F">
              <w:rPr>
                <w:b/>
                <w:noProof/>
                <w:color w:val="FFFFFF" w:themeColor="background1"/>
                <w:sz w:val="20"/>
              </w:rPr>
              <w:t>+</w:t>
            </w:r>
          </w:p>
        </w:tc>
        <w:tc>
          <w:tcPr>
            <w:tcW w:w="1130" w:type="dxa"/>
            <w:shd w:val="clear" w:color="auto" w:fill="006EB8"/>
          </w:tcPr>
          <w:p w14:paraId="172A6297" w14:textId="2E142994" w:rsidR="0019380C" w:rsidRPr="004E336D" w:rsidRDefault="001C0813">
            <w:pPr>
              <w:jc w:val="center"/>
              <w:rPr>
                <w:b/>
                <w:noProof/>
                <w:color w:val="FFFFFF" w:themeColor="background1"/>
                <w:sz w:val="20"/>
              </w:rPr>
            </w:pPr>
            <w:r>
              <w:rPr>
                <w:b/>
                <w:noProof/>
                <w:color w:val="FFFFFF" w:themeColor="background1"/>
                <w:sz w:val="20"/>
              </w:rPr>
              <w:t>++</w:t>
            </w:r>
          </w:p>
        </w:tc>
      </w:tr>
      <w:tr w:rsidR="00557CB1" w:rsidRPr="002824F4" w14:paraId="5BDAA787" w14:textId="77777777" w:rsidTr="00457E91">
        <w:trPr>
          <w:trHeight w:val="255"/>
        </w:trPr>
        <w:tc>
          <w:tcPr>
            <w:tcW w:w="5083" w:type="dxa"/>
            <w:shd w:val="clear" w:color="auto" w:fill="FFFFFF" w:themeFill="background1"/>
            <w:noWrap/>
          </w:tcPr>
          <w:p w14:paraId="7FE04556" w14:textId="5C5AA8BB" w:rsidR="00557CB1" w:rsidRPr="004E336D" w:rsidRDefault="00557CB1" w:rsidP="00557CB1">
            <w:pPr>
              <w:rPr>
                <w:b/>
                <w:noProof/>
                <w:color w:val="FFFFFF" w:themeColor="background1"/>
                <w:sz w:val="20"/>
              </w:rPr>
            </w:pPr>
            <w:r w:rsidRPr="004E336D">
              <w:rPr>
                <w:noProof/>
                <w:color w:val="000000"/>
                <w:sz w:val="20"/>
                <w:szCs w:val="20"/>
              </w:rPr>
              <w:t xml:space="preserve"> Savings in external costs of air pollutant emissions</w:t>
            </w:r>
          </w:p>
        </w:tc>
        <w:tc>
          <w:tcPr>
            <w:tcW w:w="1130" w:type="dxa"/>
            <w:shd w:val="clear" w:color="auto" w:fill="FFFFFF" w:themeFill="background1"/>
            <w:noWrap/>
          </w:tcPr>
          <w:p w14:paraId="59D0E41C" w14:textId="1D07EB4C" w:rsidR="00557CB1" w:rsidRPr="00024130" w:rsidRDefault="00557CB1" w:rsidP="00557CB1">
            <w:pPr>
              <w:jc w:val="center"/>
              <w:rPr>
                <w:noProof/>
                <w:color w:val="FFFFFF" w:themeColor="background1"/>
                <w:sz w:val="20"/>
              </w:rPr>
            </w:pPr>
            <w:r w:rsidRPr="00024130">
              <w:rPr>
                <w:noProof/>
                <w:color w:val="000000"/>
                <w:sz w:val="20"/>
                <w:szCs w:val="20"/>
              </w:rPr>
              <w:t>218</w:t>
            </w:r>
          </w:p>
        </w:tc>
        <w:tc>
          <w:tcPr>
            <w:tcW w:w="1130" w:type="dxa"/>
            <w:shd w:val="clear" w:color="auto" w:fill="FFFFFF" w:themeFill="background1"/>
            <w:noWrap/>
          </w:tcPr>
          <w:p w14:paraId="3DCBE75B" w14:textId="53DA8286" w:rsidR="00557CB1" w:rsidRPr="00024130" w:rsidRDefault="00557CB1" w:rsidP="00557CB1">
            <w:pPr>
              <w:jc w:val="center"/>
              <w:rPr>
                <w:noProof/>
                <w:color w:val="FFFFFF" w:themeColor="background1"/>
                <w:sz w:val="20"/>
              </w:rPr>
            </w:pPr>
            <w:r w:rsidRPr="00024130">
              <w:rPr>
                <w:noProof/>
                <w:color w:val="000000"/>
                <w:sz w:val="20"/>
                <w:szCs w:val="20"/>
              </w:rPr>
              <w:t>455</w:t>
            </w:r>
          </w:p>
        </w:tc>
        <w:tc>
          <w:tcPr>
            <w:tcW w:w="1130" w:type="dxa"/>
            <w:shd w:val="clear" w:color="auto" w:fill="FFFFFF" w:themeFill="background1"/>
            <w:noWrap/>
          </w:tcPr>
          <w:p w14:paraId="52775816" w14:textId="00CE2633" w:rsidR="00557CB1" w:rsidRPr="00024130" w:rsidRDefault="00557CB1" w:rsidP="00557CB1">
            <w:pPr>
              <w:jc w:val="center"/>
              <w:rPr>
                <w:noProof/>
                <w:color w:val="FFFFFF" w:themeColor="background1"/>
                <w:sz w:val="20"/>
              </w:rPr>
            </w:pPr>
            <w:r w:rsidRPr="00024130">
              <w:rPr>
                <w:noProof/>
                <w:color w:val="000000"/>
                <w:sz w:val="20"/>
                <w:szCs w:val="20"/>
              </w:rPr>
              <w:t>670</w:t>
            </w:r>
          </w:p>
        </w:tc>
        <w:tc>
          <w:tcPr>
            <w:tcW w:w="1130" w:type="dxa"/>
            <w:shd w:val="clear" w:color="auto" w:fill="FFFFFF" w:themeFill="background1"/>
          </w:tcPr>
          <w:p w14:paraId="477B2F84" w14:textId="7F9C2BFE" w:rsidR="00557CB1" w:rsidRPr="00024130" w:rsidRDefault="00557CB1" w:rsidP="00557CB1">
            <w:pPr>
              <w:jc w:val="center"/>
              <w:rPr>
                <w:noProof/>
                <w:color w:val="FFFFFF" w:themeColor="background1"/>
                <w:sz w:val="20"/>
              </w:rPr>
            </w:pPr>
            <w:r w:rsidRPr="00024130">
              <w:rPr>
                <w:noProof/>
                <w:color w:val="000000"/>
                <w:sz w:val="20"/>
                <w:szCs w:val="20"/>
              </w:rPr>
              <w:t>502</w:t>
            </w:r>
          </w:p>
        </w:tc>
      </w:tr>
      <w:tr w:rsidR="0019380C" w:rsidRPr="002824F4" w14:paraId="7BACECF5" w14:textId="77777777" w:rsidTr="00457E91">
        <w:trPr>
          <w:trHeight w:val="255"/>
        </w:trPr>
        <w:tc>
          <w:tcPr>
            <w:tcW w:w="5083" w:type="dxa"/>
            <w:shd w:val="clear" w:color="auto" w:fill="006EB8"/>
            <w:noWrap/>
          </w:tcPr>
          <w:p w14:paraId="30034E87" w14:textId="51A35088" w:rsidR="0019380C" w:rsidRPr="004E336D" w:rsidRDefault="0019380C">
            <w:pPr>
              <w:rPr>
                <w:b/>
                <w:noProof/>
                <w:color w:val="FFFFFF" w:themeColor="background1"/>
                <w:sz w:val="20"/>
              </w:rPr>
            </w:pPr>
            <w:r w:rsidRPr="004E336D">
              <w:rPr>
                <w:b/>
                <w:noProof/>
                <w:color w:val="FFFFFF" w:themeColor="background1"/>
                <w:sz w:val="20"/>
              </w:rPr>
              <w:t>Impacts on employment</w:t>
            </w:r>
          </w:p>
        </w:tc>
        <w:tc>
          <w:tcPr>
            <w:tcW w:w="1130" w:type="dxa"/>
            <w:shd w:val="clear" w:color="auto" w:fill="006EB8"/>
            <w:noWrap/>
          </w:tcPr>
          <w:p w14:paraId="09E86A36" w14:textId="20B9E42C" w:rsidR="0019380C" w:rsidRPr="004E336D" w:rsidRDefault="00B2138E">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343F52F0" w14:textId="49E2AEAE" w:rsidR="0019380C" w:rsidRPr="004E336D" w:rsidRDefault="00B2138E">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7C5D994D" w14:textId="322DCEC7" w:rsidR="0019380C" w:rsidRPr="004E336D" w:rsidRDefault="00B2138E">
            <w:pPr>
              <w:jc w:val="center"/>
              <w:rPr>
                <w:b/>
                <w:noProof/>
                <w:color w:val="FFFFFF" w:themeColor="background1"/>
                <w:sz w:val="20"/>
              </w:rPr>
            </w:pPr>
            <w:r>
              <w:rPr>
                <w:b/>
                <w:noProof/>
                <w:color w:val="FFFFFF" w:themeColor="background1"/>
                <w:sz w:val="20"/>
              </w:rPr>
              <w:t>++</w:t>
            </w:r>
          </w:p>
        </w:tc>
        <w:tc>
          <w:tcPr>
            <w:tcW w:w="1130" w:type="dxa"/>
            <w:shd w:val="clear" w:color="auto" w:fill="006EB8"/>
          </w:tcPr>
          <w:p w14:paraId="2DCF1031" w14:textId="1B4380D3" w:rsidR="0019380C" w:rsidRPr="004E336D" w:rsidRDefault="00B2138E">
            <w:pPr>
              <w:jc w:val="center"/>
              <w:rPr>
                <w:b/>
                <w:noProof/>
                <w:color w:val="FFFFFF" w:themeColor="background1"/>
                <w:sz w:val="20"/>
              </w:rPr>
            </w:pPr>
            <w:r>
              <w:rPr>
                <w:b/>
                <w:noProof/>
                <w:color w:val="FFFFFF" w:themeColor="background1"/>
                <w:sz w:val="20"/>
              </w:rPr>
              <w:t>++</w:t>
            </w:r>
          </w:p>
        </w:tc>
      </w:tr>
      <w:tr w:rsidR="006C7CCF" w:rsidRPr="002824F4" w14:paraId="5242FAF8" w14:textId="62D0A11F" w:rsidTr="00457E91">
        <w:trPr>
          <w:trHeight w:val="255"/>
        </w:trPr>
        <w:tc>
          <w:tcPr>
            <w:tcW w:w="5083" w:type="dxa"/>
            <w:shd w:val="clear" w:color="auto" w:fill="006EB8"/>
            <w:noWrap/>
            <w:hideMark/>
          </w:tcPr>
          <w:p w14:paraId="3CABDE81" w14:textId="77777777" w:rsidR="006C7CCF" w:rsidRPr="004E336D" w:rsidRDefault="006C7CCF">
            <w:pPr>
              <w:rPr>
                <w:b/>
                <w:noProof/>
                <w:color w:val="FFFFFF" w:themeColor="background1"/>
                <w:sz w:val="20"/>
              </w:rPr>
            </w:pPr>
            <w:r w:rsidRPr="004E336D">
              <w:rPr>
                <w:b/>
                <w:noProof/>
                <w:color w:val="FFFFFF" w:themeColor="background1"/>
                <w:sz w:val="20"/>
              </w:rPr>
              <w:t>Impact on safety</w:t>
            </w:r>
          </w:p>
        </w:tc>
        <w:tc>
          <w:tcPr>
            <w:tcW w:w="1130" w:type="dxa"/>
            <w:shd w:val="clear" w:color="auto" w:fill="006EB8"/>
            <w:noWrap/>
          </w:tcPr>
          <w:p w14:paraId="2883C5DE" w14:textId="7F28BD8B" w:rsidR="006C7CCF" w:rsidRPr="004E336D" w:rsidRDefault="00B2138E">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624AA8AB" w14:textId="70A97647" w:rsidR="006C7CCF" w:rsidRPr="004E336D" w:rsidRDefault="00A93D52">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65358BD9" w14:textId="0981FD9C" w:rsidR="006C7CCF" w:rsidRPr="004E336D" w:rsidRDefault="00A93D52">
            <w:pPr>
              <w:jc w:val="center"/>
              <w:rPr>
                <w:b/>
                <w:noProof/>
                <w:color w:val="FFFFFF" w:themeColor="background1"/>
                <w:sz w:val="20"/>
              </w:rPr>
            </w:pPr>
            <w:r>
              <w:rPr>
                <w:b/>
                <w:noProof/>
                <w:color w:val="FFFFFF" w:themeColor="background1"/>
                <w:sz w:val="20"/>
              </w:rPr>
              <w:t>+++</w:t>
            </w:r>
          </w:p>
        </w:tc>
        <w:tc>
          <w:tcPr>
            <w:tcW w:w="1130" w:type="dxa"/>
            <w:shd w:val="clear" w:color="auto" w:fill="006EB8"/>
          </w:tcPr>
          <w:p w14:paraId="78C1FE0C" w14:textId="1FA65732" w:rsidR="006C7CCF" w:rsidRPr="004E336D" w:rsidRDefault="00B2138E">
            <w:pPr>
              <w:jc w:val="center"/>
              <w:rPr>
                <w:b/>
                <w:noProof/>
                <w:color w:val="FFFFFF" w:themeColor="background1"/>
                <w:sz w:val="20"/>
              </w:rPr>
            </w:pPr>
            <w:r>
              <w:rPr>
                <w:b/>
                <w:noProof/>
                <w:color w:val="FFFFFF" w:themeColor="background1"/>
                <w:sz w:val="20"/>
              </w:rPr>
              <w:t>++</w:t>
            </w:r>
          </w:p>
        </w:tc>
      </w:tr>
      <w:tr w:rsidR="005849E4" w:rsidRPr="002824F4" w14:paraId="375A2E8F" w14:textId="77777777" w:rsidTr="00457E91">
        <w:trPr>
          <w:trHeight w:val="255"/>
        </w:trPr>
        <w:tc>
          <w:tcPr>
            <w:tcW w:w="5083" w:type="dxa"/>
            <w:shd w:val="clear" w:color="auto" w:fill="FFFFFF" w:themeFill="background1"/>
            <w:noWrap/>
          </w:tcPr>
          <w:p w14:paraId="6B5D6541" w14:textId="6742549F" w:rsidR="005849E4" w:rsidRPr="005849E4" w:rsidRDefault="005849E4" w:rsidP="005849E4">
            <w:pPr>
              <w:rPr>
                <w:bCs/>
                <w:noProof/>
                <w:color w:val="000000" w:themeColor="text1"/>
                <w:sz w:val="20"/>
              </w:rPr>
            </w:pPr>
            <w:r w:rsidRPr="005849E4">
              <w:rPr>
                <w:bCs/>
                <w:noProof/>
                <w:color w:val="000000" w:themeColor="text1"/>
                <w:sz w:val="20"/>
              </w:rPr>
              <w:t>Fatalities</w:t>
            </w:r>
            <w:r w:rsidR="00557CB1">
              <w:rPr>
                <w:bCs/>
                <w:noProof/>
                <w:color w:val="000000" w:themeColor="text1"/>
                <w:sz w:val="20"/>
              </w:rPr>
              <w:t xml:space="preserve"> reduction</w:t>
            </w:r>
            <w:r w:rsidR="00027357">
              <w:rPr>
                <w:bCs/>
                <w:noProof/>
                <w:color w:val="000000" w:themeColor="text1"/>
                <w:sz w:val="20"/>
              </w:rPr>
              <w:t xml:space="preserve"> (number of lives saved, cumulative over 2028-2050 relative to the baseline)</w:t>
            </w:r>
          </w:p>
        </w:tc>
        <w:tc>
          <w:tcPr>
            <w:tcW w:w="1130" w:type="dxa"/>
            <w:shd w:val="clear" w:color="auto" w:fill="FFFFFF" w:themeFill="background1"/>
            <w:noWrap/>
          </w:tcPr>
          <w:p w14:paraId="79025650" w14:textId="2F9781FD" w:rsidR="005849E4" w:rsidRPr="004C18AF" w:rsidRDefault="005849E4" w:rsidP="005849E4">
            <w:pPr>
              <w:jc w:val="center"/>
              <w:rPr>
                <w:noProof/>
                <w:color w:val="FFFFFF" w:themeColor="background1"/>
                <w:sz w:val="20"/>
              </w:rPr>
            </w:pPr>
            <w:r w:rsidRPr="004C18AF">
              <w:rPr>
                <w:noProof/>
                <w:color w:val="000000"/>
                <w:sz w:val="20"/>
                <w:szCs w:val="20"/>
              </w:rPr>
              <w:t>731</w:t>
            </w:r>
          </w:p>
        </w:tc>
        <w:tc>
          <w:tcPr>
            <w:tcW w:w="1130" w:type="dxa"/>
            <w:shd w:val="clear" w:color="auto" w:fill="FFFFFF" w:themeFill="background1"/>
            <w:noWrap/>
          </w:tcPr>
          <w:p w14:paraId="69B623E3" w14:textId="54698E9F" w:rsidR="005849E4" w:rsidRPr="004C18AF" w:rsidRDefault="005849E4" w:rsidP="005849E4">
            <w:pPr>
              <w:jc w:val="center"/>
              <w:rPr>
                <w:noProof/>
                <w:color w:val="FFFFFF" w:themeColor="background1"/>
                <w:sz w:val="20"/>
              </w:rPr>
            </w:pPr>
            <w:r w:rsidRPr="004C18AF">
              <w:rPr>
                <w:noProof/>
                <w:color w:val="000000"/>
                <w:sz w:val="20"/>
                <w:szCs w:val="20"/>
              </w:rPr>
              <w:t>1,480</w:t>
            </w:r>
          </w:p>
        </w:tc>
        <w:tc>
          <w:tcPr>
            <w:tcW w:w="1130" w:type="dxa"/>
            <w:shd w:val="clear" w:color="auto" w:fill="FFFFFF" w:themeFill="background1"/>
            <w:noWrap/>
          </w:tcPr>
          <w:p w14:paraId="0B8B99CE" w14:textId="02AF276F" w:rsidR="005849E4" w:rsidRPr="004C18AF" w:rsidRDefault="004B18B3" w:rsidP="00F66506">
            <w:pPr>
              <w:tabs>
                <w:tab w:val="left" w:pos="194"/>
                <w:tab w:val="center" w:pos="367"/>
              </w:tabs>
              <w:jc w:val="center"/>
              <w:rPr>
                <w:noProof/>
                <w:color w:val="FFFFFF" w:themeColor="background1"/>
                <w:sz w:val="20"/>
              </w:rPr>
            </w:pPr>
            <w:r w:rsidRPr="004C18AF">
              <w:rPr>
                <w:noProof/>
                <w:color w:val="000000"/>
                <w:sz w:val="20"/>
                <w:szCs w:val="20"/>
              </w:rPr>
              <w:t>2,113</w:t>
            </w:r>
          </w:p>
        </w:tc>
        <w:tc>
          <w:tcPr>
            <w:tcW w:w="1130" w:type="dxa"/>
            <w:shd w:val="clear" w:color="auto" w:fill="FFFFFF" w:themeFill="background1"/>
          </w:tcPr>
          <w:p w14:paraId="05981B41" w14:textId="410FCB92" w:rsidR="005849E4" w:rsidRPr="004C18AF" w:rsidRDefault="00723C0C" w:rsidP="005849E4">
            <w:pPr>
              <w:jc w:val="center"/>
              <w:rPr>
                <w:noProof/>
                <w:color w:val="FFFFFF" w:themeColor="background1"/>
                <w:sz w:val="20"/>
              </w:rPr>
            </w:pPr>
            <w:r w:rsidRPr="004C18AF">
              <w:rPr>
                <w:noProof/>
                <w:color w:val="000000"/>
                <w:sz w:val="20"/>
                <w:szCs w:val="20"/>
              </w:rPr>
              <w:t>1,616</w:t>
            </w:r>
          </w:p>
        </w:tc>
      </w:tr>
      <w:tr w:rsidR="005849E4" w:rsidRPr="002824F4" w14:paraId="29768EBD" w14:textId="77777777" w:rsidTr="00457E91">
        <w:trPr>
          <w:trHeight w:val="255"/>
        </w:trPr>
        <w:tc>
          <w:tcPr>
            <w:tcW w:w="5083" w:type="dxa"/>
            <w:shd w:val="clear" w:color="auto" w:fill="FFFFFF" w:themeFill="background1"/>
            <w:noWrap/>
          </w:tcPr>
          <w:p w14:paraId="42AC5D62" w14:textId="1B921832" w:rsidR="005849E4" w:rsidRPr="005849E4" w:rsidRDefault="005849E4" w:rsidP="005849E4">
            <w:pPr>
              <w:rPr>
                <w:bCs/>
                <w:noProof/>
                <w:color w:val="000000" w:themeColor="text1"/>
                <w:sz w:val="20"/>
              </w:rPr>
            </w:pPr>
            <w:r w:rsidRPr="005849E4">
              <w:rPr>
                <w:bCs/>
                <w:noProof/>
                <w:color w:val="000000" w:themeColor="text1"/>
                <w:sz w:val="20"/>
              </w:rPr>
              <w:t>Injuries</w:t>
            </w:r>
            <w:r w:rsidR="00557CB1">
              <w:rPr>
                <w:bCs/>
                <w:noProof/>
                <w:color w:val="000000" w:themeColor="text1"/>
                <w:sz w:val="20"/>
              </w:rPr>
              <w:t xml:space="preserve"> reduction</w:t>
            </w:r>
            <w:r w:rsidR="00027357">
              <w:rPr>
                <w:bCs/>
                <w:noProof/>
                <w:color w:val="000000" w:themeColor="text1"/>
                <w:sz w:val="20"/>
              </w:rPr>
              <w:t xml:space="preserve"> (number of injuries avoided, cumulative over 2028-2050 relative to the baseline)</w:t>
            </w:r>
          </w:p>
        </w:tc>
        <w:tc>
          <w:tcPr>
            <w:tcW w:w="1130" w:type="dxa"/>
            <w:shd w:val="clear" w:color="auto" w:fill="FFFFFF" w:themeFill="background1"/>
            <w:noWrap/>
          </w:tcPr>
          <w:p w14:paraId="69876060" w14:textId="0521B767" w:rsidR="005849E4" w:rsidRPr="004C18AF" w:rsidRDefault="00557CB1" w:rsidP="005849E4">
            <w:pPr>
              <w:jc w:val="center"/>
              <w:rPr>
                <w:noProof/>
                <w:color w:val="FFFFFF" w:themeColor="background1"/>
                <w:sz w:val="20"/>
              </w:rPr>
            </w:pPr>
            <w:r w:rsidRPr="004C18AF">
              <w:rPr>
                <w:noProof/>
                <w:color w:val="000000"/>
                <w:sz w:val="20"/>
                <w:szCs w:val="20"/>
              </w:rPr>
              <w:t>49,421</w:t>
            </w:r>
          </w:p>
        </w:tc>
        <w:tc>
          <w:tcPr>
            <w:tcW w:w="1130" w:type="dxa"/>
            <w:shd w:val="clear" w:color="auto" w:fill="FFFFFF" w:themeFill="background1"/>
            <w:noWrap/>
          </w:tcPr>
          <w:p w14:paraId="098932AC" w14:textId="26ACCD63" w:rsidR="005849E4" w:rsidRPr="004C18AF" w:rsidRDefault="00557CB1" w:rsidP="005849E4">
            <w:pPr>
              <w:jc w:val="center"/>
              <w:rPr>
                <w:noProof/>
                <w:color w:val="FFFFFF" w:themeColor="background1"/>
                <w:sz w:val="20"/>
              </w:rPr>
            </w:pPr>
            <w:r w:rsidRPr="004C18AF">
              <w:rPr>
                <w:noProof/>
                <w:color w:val="000000"/>
                <w:sz w:val="20"/>
                <w:szCs w:val="20"/>
              </w:rPr>
              <w:t>94,945</w:t>
            </w:r>
          </w:p>
        </w:tc>
        <w:tc>
          <w:tcPr>
            <w:tcW w:w="1130" w:type="dxa"/>
            <w:shd w:val="clear" w:color="auto" w:fill="FFFFFF" w:themeFill="background1"/>
            <w:noWrap/>
          </w:tcPr>
          <w:p w14:paraId="6F69A442" w14:textId="334B15CB" w:rsidR="005849E4" w:rsidRPr="004C18AF" w:rsidRDefault="00557CB1" w:rsidP="005849E4">
            <w:pPr>
              <w:jc w:val="center"/>
              <w:rPr>
                <w:noProof/>
                <w:color w:val="FFFFFF" w:themeColor="background1"/>
                <w:sz w:val="20"/>
              </w:rPr>
            </w:pPr>
            <w:r w:rsidRPr="004C18AF">
              <w:rPr>
                <w:noProof/>
                <w:color w:val="000000"/>
                <w:sz w:val="20"/>
                <w:szCs w:val="20"/>
              </w:rPr>
              <w:t>136,909</w:t>
            </w:r>
          </w:p>
        </w:tc>
        <w:tc>
          <w:tcPr>
            <w:tcW w:w="1130" w:type="dxa"/>
            <w:shd w:val="clear" w:color="auto" w:fill="FFFFFF" w:themeFill="background1"/>
          </w:tcPr>
          <w:p w14:paraId="42CF6586" w14:textId="74709E0F" w:rsidR="005849E4" w:rsidRPr="004C18AF" w:rsidRDefault="00557CB1" w:rsidP="005849E4">
            <w:pPr>
              <w:jc w:val="center"/>
              <w:rPr>
                <w:noProof/>
                <w:color w:val="FFFFFF" w:themeColor="background1"/>
                <w:sz w:val="20"/>
              </w:rPr>
            </w:pPr>
            <w:r w:rsidRPr="004C18AF">
              <w:rPr>
                <w:noProof/>
                <w:color w:val="000000"/>
                <w:sz w:val="20"/>
                <w:szCs w:val="20"/>
              </w:rPr>
              <w:t>107,317</w:t>
            </w:r>
          </w:p>
        </w:tc>
      </w:tr>
      <w:tr w:rsidR="006C7CCF" w:rsidRPr="002824F4" w14:paraId="4E234637" w14:textId="753D719D" w:rsidTr="00457E91">
        <w:trPr>
          <w:trHeight w:val="255"/>
        </w:trPr>
        <w:tc>
          <w:tcPr>
            <w:tcW w:w="5083" w:type="dxa"/>
            <w:shd w:val="clear" w:color="auto" w:fill="006EB8"/>
            <w:noWrap/>
            <w:hideMark/>
          </w:tcPr>
          <w:p w14:paraId="2DCD3446" w14:textId="77777777" w:rsidR="006C7CCF" w:rsidRPr="004E336D" w:rsidRDefault="006C7CCF">
            <w:pPr>
              <w:rPr>
                <w:b/>
                <w:noProof/>
                <w:color w:val="FFFFFF" w:themeColor="background1"/>
                <w:sz w:val="20"/>
              </w:rPr>
            </w:pPr>
            <w:r w:rsidRPr="004E336D">
              <w:rPr>
                <w:b/>
                <w:noProof/>
                <w:color w:val="FFFFFF" w:themeColor="background1"/>
                <w:sz w:val="20"/>
              </w:rPr>
              <w:t>Impacts on fundamental rights</w:t>
            </w:r>
          </w:p>
        </w:tc>
        <w:tc>
          <w:tcPr>
            <w:tcW w:w="1130" w:type="dxa"/>
            <w:shd w:val="clear" w:color="auto" w:fill="006EB8"/>
            <w:noWrap/>
          </w:tcPr>
          <w:p w14:paraId="345B276A" w14:textId="026F041F" w:rsidR="006C7CCF" w:rsidRPr="004E336D" w:rsidRDefault="009F1A1C">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2803DA03" w14:textId="68139050" w:rsidR="006C7CCF" w:rsidRPr="004E336D" w:rsidRDefault="009F1A1C">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36CF6A06" w14:textId="79CC04B0" w:rsidR="006C7CCF" w:rsidRPr="004E336D" w:rsidRDefault="009F1A1C">
            <w:pPr>
              <w:jc w:val="center"/>
              <w:rPr>
                <w:b/>
                <w:noProof/>
                <w:color w:val="FFFFFF" w:themeColor="background1"/>
                <w:sz w:val="20"/>
              </w:rPr>
            </w:pPr>
            <w:r>
              <w:rPr>
                <w:b/>
                <w:noProof/>
                <w:color w:val="FFFFFF" w:themeColor="background1"/>
                <w:sz w:val="20"/>
              </w:rPr>
              <w:t>+</w:t>
            </w:r>
          </w:p>
        </w:tc>
        <w:tc>
          <w:tcPr>
            <w:tcW w:w="1130" w:type="dxa"/>
            <w:shd w:val="clear" w:color="auto" w:fill="006EB8"/>
          </w:tcPr>
          <w:p w14:paraId="513C7764" w14:textId="7EC08E0D" w:rsidR="006C7CCF" w:rsidRPr="004E336D" w:rsidRDefault="009F1A1C">
            <w:pPr>
              <w:jc w:val="center"/>
              <w:rPr>
                <w:b/>
                <w:noProof/>
                <w:color w:val="FFFFFF" w:themeColor="background1"/>
                <w:sz w:val="20"/>
              </w:rPr>
            </w:pPr>
            <w:r>
              <w:rPr>
                <w:b/>
                <w:noProof/>
                <w:color w:val="FFFFFF" w:themeColor="background1"/>
                <w:sz w:val="20"/>
              </w:rPr>
              <w:t>+</w:t>
            </w:r>
          </w:p>
        </w:tc>
      </w:tr>
      <w:tr w:rsidR="00A912AD" w:rsidRPr="002824F4" w14:paraId="7794C664" w14:textId="77777777" w:rsidTr="00457E91">
        <w:trPr>
          <w:trHeight w:val="255"/>
        </w:trPr>
        <w:tc>
          <w:tcPr>
            <w:tcW w:w="5083" w:type="dxa"/>
            <w:shd w:val="clear" w:color="auto" w:fill="006EB8"/>
            <w:noWrap/>
          </w:tcPr>
          <w:p w14:paraId="5C12B8FE" w14:textId="39AAC15E" w:rsidR="00A912AD" w:rsidRPr="004E336D" w:rsidRDefault="00A912AD">
            <w:pPr>
              <w:rPr>
                <w:b/>
                <w:noProof/>
                <w:color w:val="FFFFFF" w:themeColor="background1"/>
                <w:sz w:val="20"/>
              </w:rPr>
            </w:pPr>
            <w:r>
              <w:rPr>
                <w:b/>
                <w:noProof/>
                <w:color w:val="FFFFFF" w:themeColor="background1"/>
                <w:sz w:val="20"/>
              </w:rPr>
              <w:t>Impacts on youth</w:t>
            </w:r>
          </w:p>
        </w:tc>
        <w:tc>
          <w:tcPr>
            <w:tcW w:w="1130" w:type="dxa"/>
            <w:shd w:val="clear" w:color="auto" w:fill="006EB8"/>
            <w:noWrap/>
          </w:tcPr>
          <w:p w14:paraId="554FDC56" w14:textId="08798C79" w:rsidR="00A912AD" w:rsidRDefault="00A912AD">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73C4B6F1" w14:textId="50F9BC18" w:rsidR="00A912AD" w:rsidRDefault="00A912AD">
            <w:pPr>
              <w:jc w:val="center"/>
              <w:rPr>
                <w:b/>
                <w:noProof/>
                <w:color w:val="FFFFFF" w:themeColor="background1"/>
                <w:sz w:val="20"/>
              </w:rPr>
            </w:pPr>
            <w:r>
              <w:rPr>
                <w:b/>
                <w:noProof/>
                <w:color w:val="FFFFFF" w:themeColor="background1"/>
                <w:sz w:val="20"/>
              </w:rPr>
              <w:t>++</w:t>
            </w:r>
          </w:p>
        </w:tc>
        <w:tc>
          <w:tcPr>
            <w:tcW w:w="1130" w:type="dxa"/>
            <w:shd w:val="clear" w:color="auto" w:fill="006EB8"/>
            <w:noWrap/>
          </w:tcPr>
          <w:p w14:paraId="5CAB2460" w14:textId="4A3E6A3D" w:rsidR="00A912AD" w:rsidRDefault="00A912AD">
            <w:pPr>
              <w:jc w:val="center"/>
              <w:rPr>
                <w:b/>
                <w:noProof/>
                <w:color w:val="FFFFFF" w:themeColor="background1"/>
                <w:sz w:val="20"/>
              </w:rPr>
            </w:pPr>
            <w:r>
              <w:rPr>
                <w:b/>
                <w:noProof/>
                <w:color w:val="FFFFFF" w:themeColor="background1"/>
                <w:sz w:val="20"/>
              </w:rPr>
              <w:t>++</w:t>
            </w:r>
          </w:p>
        </w:tc>
        <w:tc>
          <w:tcPr>
            <w:tcW w:w="1130" w:type="dxa"/>
            <w:shd w:val="clear" w:color="auto" w:fill="006EB8"/>
          </w:tcPr>
          <w:p w14:paraId="2C9F5536" w14:textId="50262552" w:rsidR="00A912AD" w:rsidRDefault="00A912AD">
            <w:pPr>
              <w:jc w:val="center"/>
              <w:rPr>
                <w:b/>
                <w:noProof/>
                <w:color w:val="FFFFFF" w:themeColor="background1"/>
                <w:sz w:val="20"/>
              </w:rPr>
            </w:pPr>
            <w:r>
              <w:rPr>
                <w:b/>
                <w:noProof/>
                <w:color w:val="FFFFFF" w:themeColor="background1"/>
                <w:sz w:val="20"/>
              </w:rPr>
              <w:t>++</w:t>
            </w:r>
          </w:p>
        </w:tc>
      </w:tr>
      <w:tr w:rsidR="006C7CCF" w:rsidRPr="002824F4" w14:paraId="13406266" w14:textId="313AFE82" w:rsidTr="00457E91">
        <w:trPr>
          <w:trHeight w:val="255"/>
        </w:trPr>
        <w:tc>
          <w:tcPr>
            <w:tcW w:w="5083" w:type="dxa"/>
            <w:shd w:val="clear" w:color="auto" w:fill="8EA9DB"/>
            <w:hideMark/>
          </w:tcPr>
          <w:p w14:paraId="3A49843F" w14:textId="77777777" w:rsidR="006C7CCF" w:rsidRPr="004E336D" w:rsidRDefault="006C7CCF">
            <w:pPr>
              <w:rPr>
                <w:b/>
                <w:noProof/>
                <w:color w:val="FFFFFF" w:themeColor="background1"/>
                <w:sz w:val="20"/>
              </w:rPr>
            </w:pPr>
            <w:r w:rsidRPr="004E336D">
              <w:rPr>
                <w:b/>
                <w:noProof/>
                <w:color w:val="FFFFFF" w:themeColor="background1"/>
                <w:sz w:val="20"/>
              </w:rPr>
              <w:t>Environmental impacts</w:t>
            </w:r>
          </w:p>
        </w:tc>
        <w:tc>
          <w:tcPr>
            <w:tcW w:w="1130" w:type="dxa"/>
            <w:shd w:val="clear" w:color="auto" w:fill="8EA9DB"/>
          </w:tcPr>
          <w:p w14:paraId="31633DAE" w14:textId="50EB0385" w:rsidR="006C7CCF" w:rsidRPr="004E336D" w:rsidRDefault="009F1A1C">
            <w:pPr>
              <w:jc w:val="center"/>
              <w:rPr>
                <w:b/>
                <w:noProof/>
                <w:color w:val="FFFFFF" w:themeColor="background1"/>
                <w:sz w:val="20"/>
              </w:rPr>
            </w:pPr>
            <w:r>
              <w:rPr>
                <w:b/>
                <w:noProof/>
                <w:color w:val="FFFFFF" w:themeColor="background1"/>
                <w:sz w:val="20"/>
              </w:rPr>
              <w:t>+</w:t>
            </w:r>
          </w:p>
        </w:tc>
        <w:tc>
          <w:tcPr>
            <w:tcW w:w="1130" w:type="dxa"/>
            <w:shd w:val="clear" w:color="auto" w:fill="8EA9DB"/>
          </w:tcPr>
          <w:p w14:paraId="4741F90D" w14:textId="0B63FFDD" w:rsidR="006C7CCF" w:rsidRPr="004E336D" w:rsidRDefault="009F1A1C">
            <w:pPr>
              <w:jc w:val="center"/>
              <w:rPr>
                <w:b/>
                <w:noProof/>
                <w:color w:val="FFFFFF" w:themeColor="background1"/>
                <w:sz w:val="20"/>
              </w:rPr>
            </w:pPr>
            <w:r>
              <w:rPr>
                <w:b/>
                <w:noProof/>
                <w:color w:val="FFFFFF" w:themeColor="background1"/>
                <w:sz w:val="20"/>
              </w:rPr>
              <w:t>++</w:t>
            </w:r>
          </w:p>
        </w:tc>
        <w:tc>
          <w:tcPr>
            <w:tcW w:w="1130" w:type="dxa"/>
            <w:shd w:val="clear" w:color="auto" w:fill="8EA9DB"/>
          </w:tcPr>
          <w:p w14:paraId="48FC5472" w14:textId="3EA11E90" w:rsidR="006C7CCF" w:rsidRPr="004E336D" w:rsidRDefault="005D7BA7">
            <w:pPr>
              <w:jc w:val="center"/>
              <w:rPr>
                <w:b/>
                <w:noProof/>
                <w:color w:val="FFFFFF" w:themeColor="background1"/>
                <w:sz w:val="20"/>
              </w:rPr>
            </w:pPr>
            <w:r>
              <w:rPr>
                <w:b/>
                <w:noProof/>
                <w:color w:val="FFFFFF" w:themeColor="background1"/>
                <w:sz w:val="20"/>
              </w:rPr>
              <w:t>++/</w:t>
            </w:r>
            <w:r w:rsidR="009F1A1C">
              <w:rPr>
                <w:b/>
                <w:noProof/>
                <w:color w:val="FFFFFF" w:themeColor="background1"/>
                <w:sz w:val="20"/>
              </w:rPr>
              <w:t>+++</w:t>
            </w:r>
          </w:p>
        </w:tc>
        <w:tc>
          <w:tcPr>
            <w:tcW w:w="1130" w:type="dxa"/>
            <w:shd w:val="clear" w:color="auto" w:fill="8EA9DB"/>
          </w:tcPr>
          <w:p w14:paraId="3F429AD7" w14:textId="141E78D8" w:rsidR="006C7CCF" w:rsidRPr="004E336D" w:rsidRDefault="009F1A1C">
            <w:pPr>
              <w:jc w:val="center"/>
              <w:rPr>
                <w:b/>
                <w:noProof/>
                <w:color w:val="FFFFFF" w:themeColor="background1"/>
                <w:sz w:val="20"/>
              </w:rPr>
            </w:pPr>
            <w:r>
              <w:rPr>
                <w:b/>
                <w:noProof/>
                <w:color w:val="FFFFFF" w:themeColor="background1"/>
                <w:sz w:val="20"/>
              </w:rPr>
              <w:t>++</w:t>
            </w:r>
          </w:p>
        </w:tc>
      </w:tr>
      <w:tr w:rsidR="00F046B6" w:rsidRPr="002824F4" w14:paraId="4C7E79CB" w14:textId="77777777" w:rsidTr="00457E91">
        <w:trPr>
          <w:trHeight w:val="255"/>
        </w:trPr>
        <w:tc>
          <w:tcPr>
            <w:tcW w:w="5083" w:type="dxa"/>
            <w:shd w:val="clear" w:color="auto" w:fill="FFFFFF" w:themeFill="background1"/>
            <w:noWrap/>
          </w:tcPr>
          <w:p w14:paraId="50FB8F59" w14:textId="55E9E0D9" w:rsidR="00F046B6" w:rsidRPr="004C18AF" w:rsidRDefault="00F046B6">
            <w:pPr>
              <w:rPr>
                <w:noProof/>
                <w:color w:val="000000" w:themeColor="text1"/>
                <w:sz w:val="20"/>
              </w:rPr>
            </w:pPr>
            <w:r w:rsidRPr="004C18AF">
              <w:rPr>
                <w:noProof/>
                <w:color w:val="000000" w:themeColor="text1"/>
                <w:sz w:val="20"/>
              </w:rPr>
              <w:t>CO2 emissions</w:t>
            </w:r>
            <w:r w:rsidR="00612728">
              <w:rPr>
                <w:noProof/>
                <w:color w:val="000000" w:themeColor="text1"/>
                <w:sz w:val="20"/>
              </w:rPr>
              <w:t xml:space="preserve"> </w:t>
            </w:r>
            <w:r w:rsidR="00934518">
              <w:rPr>
                <w:noProof/>
                <w:color w:val="000000" w:themeColor="text1"/>
                <w:sz w:val="20"/>
              </w:rPr>
              <w:t xml:space="preserve">saved </w:t>
            </w:r>
            <w:r w:rsidR="00934518" w:rsidRPr="00934518">
              <w:rPr>
                <w:noProof/>
                <w:color w:val="000000" w:themeColor="text1"/>
                <w:sz w:val="20"/>
              </w:rPr>
              <w:t>(</w:t>
            </w:r>
            <w:r w:rsidR="006820F2" w:rsidRPr="00934518">
              <w:rPr>
                <w:noProof/>
                <w:color w:val="000000" w:themeColor="text1"/>
                <w:sz w:val="20"/>
              </w:rPr>
              <w:t>in million tonnes</w:t>
            </w:r>
            <w:r w:rsidR="006820F2">
              <w:rPr>
                <w:noProof/>
                <w:color w:val="000000" w:themeColor="text1"/>
                <w:sz w:val="20"/>
              </w:rPr>
              <w:t xml:space="preserve">, </w:t>
            </w:r>
            <w:r w:rsidR="00934518" w:rsidRPr="00934518">
              <w:rPr>
                <w:noProof/>
                <w:color w:val="000000" w:themeColor="text1"/>
                <w:sz w:val="20"/>
              </w:rPr>
              <w:t>cumulative over 202</w:t>
            </w:r>
            <w:r w:rsidR="00934518">
              <w:rPr>
                <w:noProof/>
                <w:color w:val="000000" w:themeColor="text1"/>
                <w:sz w:val="20"/>
              </w:rPr>
              <w:t>8</w:t>
            </w:r>
            <w:r w:rsidR="00934518" w:rsidRPr="00934518">
              <w:rPr>
                <w:noProof/>
                <w:color w:val="000000" w:themeColor="text1"/>
                <w:sz w:val="20"/>
              </w:rPr>
              <w:t>-2050 relative to the baseline)</w:t>
            </w:r>
          </w:p>
        </w:tc>
        <w:tc>
          <w:tcPr>
            <w:tcW w:w="1130" w:type="dxa"/>
            <w:shd w:val="clear" w:color="auto" w:fill="FFFFFF" w:themeFill="background1"/>
            <w:noWrap/>
          </w:tcPr>
          <w:p w14:paraId="5DB739F3" w14:textId="47674664" w:rsidR="00F046B6" w:rsidRPr="004C18AF" w:rsidRDefault="00B92ADE">
            <w:pPr>
              <w:jc w:val="center"/>
              <w:rPr>
                <w:noProof/>
                <w:color w:val="000000" w:themeColor="text1"/>
                <w:sz w:val="20"/>
              </w:rPr>
            </w:pPr>
            <w:r>
              <w:rPr>
                <w:noProof/>
                <w:color w:val="000000" w:themeColor="text1"/>
                <w:sz w:val="20"/>
              </w:rPr>
              <w:t>8.3</w:t>
            </w:r>
          </w:p>
        </w:tc>
        <w:tc>
          <w:tcPr>
            <w:tcW w:w="1130" w:type="dxa"/>
            <w:shd w:val="clear" w:color="auto" w:fill="FFFFFF" w:themeFill="background1"/>
            <w:noWrap/>
          </w:tcPr>
          <w:p w14:paraId="5936F957" w14:textId="4D4DCCB3" w:rsidR="00F046B6" w:rsidRPr="004C18AF" w:rsidRDefault="00BE2BAB">
            <w:pPr>
              <w:jc w:val="center"/>
              <w:rPr>
                <w:noProof/>
                <w:color w:val="000000" w:themeColor="text1"/>
                <w:sz w:val="20"/>
              </w:rPr>
            </w:pPr>
            <w:r>
              <w:rPr>
                <w:noProof/>
                <w:color w:val="000000" w:themeColor="text1"/>
                <w:sz w:val="20"/>
              </w:rPr>
              <w:t>16.5</w:t>
            </w:r>
          </w:p>
        </w:tc>
        <w:tc>
          <w:tcPr>
            <w:tcW w:w="1130" w:type="dxa"/>
            <w:shd w:val="clear" w:color="auto" w:fill="FFFFFF" w:themeFill="background1"/>
            <w:noWrap/>
          </w:tcPr>
          <w:p w14:paraId="2D08652F" w14:textId="74D81F8E" w:rsidR="00F046B6" w:rsidRPr="00EE2C87" w:rsidRDefault="002C17D0">
            <w:pPr>
              <w:jc w:val="center"/>
              <w:rPr>
                <w:noProof/>
                <w:color w:val="000000" w:themeColor="text1"/>
                <w:sz w:val="20"/>
                <w:highlight w:val="yellow"/>
              </w:rPr>
            </w:pPr>
            <w:r w:rsidRPr="002C17D0">
              <w:rPr>
                <w:noProof/>
                <w:color w:val="000000" w:themeColor="text1"/>
                <w:sz w:val="20"/>
              </w:rPr>
              <w:t>23.8</w:t>
            </w:r>
          </w:p>
        </w:tc>
        <w:tc>
          <w:tcPr>
            <w:tcW w:w="1130" w:type="dxa"/>
            <w:shd w:val="clear" w:color="auto" w:fill="FFFFFF" w:themeFill="background1"/>
          </w:tcPr>
          <w:p w14:paraId="361E891A" w14:textId="182F13D5" w:rsidR="00F046B6" w:rsidRPr="00EE2C87" w:rsidRDefault="002C17D0">
            <w:pPr>
              <w:jc w:val="center"/>
              <w:rPr>
                <w:noProof/>
                <w:color w:val="000000" w:themeColor="text1"/>
                <w:sz w:val="20"/>
                <w:highlight w:val="yellow"/>
              </w:rPr>
            </w:pPr>
            <w:r w:rsidRPr="002C17D0">
              <w:rPr>
                <w:noProof/>
                <w:color w:val="000000" w:themeColor="text1"/>
                <w:sz w:val="20"/>
              </w:rPr>
              <w:t>18.1</w:t>
            </w:r>
          </w:p>
        </w:tc>
      </w:tr>
      <w:tr w:rsidR="00F046B6" w:rsidRPr="00FE6E86" w14:paraId="22D8B32C" w14:textId="77777777" w:rsidTr="00457E91">
        <w:trPr>
          <w:trHeight w:val="255"/>
        </w:trPr>
        <w:tc>
          <w:tcPr>
            <w:tcW w:w="5083" w:type="dxa"/>
            <w:shd w:val="clear" w:color="auto" w:fill="FFFFFF" w:themeFill="background1"/>
            <w:noWrap/>
          </w:tcPr>
          <w:p w14:paraId="482E00E6" w14:textId="1FAE5359" w:rsidR="00F046B6" w:rsidRPr="00794278" w:rsidRDefault="00934518">
            <w:pPr>
              <w:rPr>
                <w:noProof/>
                <w:color w:val="000000" w:themeColor="text1"/>
                <w:sz w:val="20"/>
              </w:rPr>
            </w:pPr>
            <w:r w:rsidRPr="00794278">
              <w:rPr>
                <w:noProof/>
                <w:color w:val="000000" w:themeColor="text1"/>
                <w:sz w:val="20"/>
              </w:rPr>
              <w:t>A</w:t>
            </w:r>
            <w:r w:rsidR="00F046B6" w:rsidRPr="00794278">
              <w:rPr>
                <w:noProof/>
                <w:color w:val="000000" w:themeColor="text1"/>
                <w:sz w:val="20"/>
              </w:rPr>
              <w:t>ir pollutant emissions</w:t>
            </w:r>
            <w:r w:rsidRPr="00794278">
              <w:rPr>
                <w:noProof/>
                <w:color w:val="000000" w:themeColor="text1"/>
                <w:sz w:val="20"/>
              </w:rPr>
              <w:t xml:space="preserve"> saved </w:t>
            </w:r>
            <w:r w:rsidRPr="00934518">
              <w:rPr>
                <w:noProof/>
                <w:color w:val="000000" w:themeColor="text1"/>
                <w:sz w:val="20"/>
              </w:rPr>
              <w:t>(</w:t>
            </w:r>
            <w:r w:rsidR="006820F2" w:rsidRPr="00934518">
              <w:rPr>
                <w:noProof/>
                <w:color w:val="000000" w:themeColor="text1"/>
                <w:sz w:val="20"/>
              </w:rPr>
              <w:t xml:space="preserve">in </w:t>
            </w:r>
            <w:r w:rsidR="006820F2">
              <w:rPr>
                <w:noProof/>
                <w:color w:val="000000" w:themeColor="text1"/>
                <w:sz w:val="20"/>
              </w:rPr>
              <w:t>thousand</w:t>
            </w:r>
            <w:r w:rsidR="006820F2" w:rsidRPr="00934518">
              <w:rPr>
                <w:noProof/>
                <w:color w:val="000000" w:themeColor="text1"/>
                <w:sz w:val="20"/>
              </w:rPr>
              <w:t xml:space="preserve"> tonnes</w:t>
            </w:r>
            <w:r w:rsidR="006820F2">
              <w:rPr>
                <w:noProof/>
                <w:color w:val="000000" w:themeColor="text1"/>
                <w:sz w:val="20"/>
              </w:rPr>
              <w:t xml:space="preserve">, </w:t>
            </w:r>
            <w:r w:rsidRPr="00934518">
              <w:rPr>
                <w:noProof/>
                <w:color w:val="000000" w:themeColor="text1"/>
                <w:sz w:val="20"/>
              </w:rPr>
              <w:t>cumulative over 202</w:t>
            </w:r>
            <w:r>
              <w:rPr>
                <w:noProof/>
                <w:color w:val="000000" w:themeColor="text1"/>
                <w:sz w:val="20"/>
              </w:rPr>
              <w:t>8</w:t>
            </w:r>
            <w:r w:rsidRPr="00934518">
              <w:rPr>
                <w:noProof/>
                <w:color w:val="000000" w:themeColor="text1"/>
                <w:sz w:val="20"/>
              </w:rPr>
              <w:t>-2050 relative to the baseline)</w:t>
            </w:r>
          </w:p>
        </w:tc>
        <w:tc>
          <w:tcPr>
            <w:tcW w:w="1130" w:type="dxa"/>
            <w:shd w:val="clear" w:color="auto" w:fill="FFFFFF" w:themeFill="background1"/>
            <w:noWrap/>
          </w:tcPr>
          <w:p w14:paraId="330AD42C" w14:textId="78E2463E" w:rsidR="00F046B6" w:rsidRPr="00346DA7" w:rsidRDefault="004D0492">
            <w:pPr>
              <w:jc w:val="center"/>
              <w:rPr>
                <w:noProof/>
                <w:color w:val="000000" w:themeColor="text1"/>
                <w:sz w:val="16"/>
                <w:szCs w:val="16"/>
              </w:rPr>
            </w:pPr>
            <w:r>
              <w:rPr>
                <w:noProof/>
                <w:color w:val="000000" w:themeColor="text1"/>
                <w:sz w:val="20"/>
              </w:rPr>
              <w:t xml:space="preserve">7.7 </w:t>
            </w:r>
            <w:r w:rsidRPr="00346DA7">
              <w:rPr>
                <w:noProof/>
                <w:color w:val="000000" w:themeColor="text1"/>
                <w:sz w:val="16"/>
                <w:szCs w:val="16"/>
              </w:rPr>
              <w:t>(NOx</w:t>
            </w:r>
            <w:r w:rsidR="00790D5E" w:rsidRPr="00346DA7">
              <w:rPr>
                <w:noProof/>
                <w:color w:val="000000" w:themeColor="text1"/>
                <w:sz w:val="16"/>
                <w:szCs w:val="16"/>
              </w:rPr>
              <w:t>)</w:t>
            </w:r>
          </w:p>
          <w:p w14:paraId="27E560D5" w14:textId="1BADA313" w:rsidR="00F046B6" w:rsidRPr="004C18AF" w:rsidRDefault="00790D5E">
            <w:pPr>
              <w:jc w:val="center"/>
              <w:rPr>
                <w:noProof/>
                <w:color w:val="000000" w:themeColor="text1"/>
                <w:sz w:val="20"/>
              </w:rPr>
            </w:pPr>
            <w:r>
              <w:rPr>
                <w:noProof/>
                <w:color w:val="000000" w:themeColor="text1"/>
                <w:sz w:val="20"/>
              </w:rPr>
              <w:t xml:space="preserve">0.4 </w:t>
            </w:r>
            <w:r w:rsidRPr="00346DA7">
              <w:rPr>
                <w:noProof/>
                <w:color w:val="000000" w:themeColor="text1"/>
                <w:sz w:val="16"/>
                <w:szCs w:val="16"/>
              </w:rPr>
              <w:t>(PM2.5)</w:t>
            </w:r>
          </w:p>
        </w:tc>
        <w:tc>
          <w:tcPr>
            <w:tcW w:w="1130" w:type="dxa"/>
            <w:shd w:val="clear" w:color="auto" w:fill="FFFFFF" w:themeFill="background1"/>
            <w:noWrap/>
          </w:tcPr>
          <w:p w14:paraId="5F5D9EAF" w14:textId="5AA657BB" w:rsidR="00F046B6" w:rsidRDefault="00D71986">
            <w:pPr>
              <w:jc w:val="center"/>
              <w:rPr>
                <w:noProof/>
                <w:color w:val="000000" w:themeColor="text1"/>
                <w:sz w:val="20"/>
              </w:rPr>
            </w:pPr>
            <w:r>
              <w:rPr>
                <w:noProof/>
                <w:color w:val="000000" w:themeColor="text1"/>
                <w:sz w:val="20"/>
              </w:rPr>
              <w:t xml:space="preserve">16.2 </w:t>
            </w:r>
            <w:r w:rsidRPr="00346DA7">
              <w:rPr>
                <w:noProof/>
                <w:color w:val="000000" w:themeColor="text1"/>
                <w:sz w:val="16"/>
                <w:szCs w:val="16"/>
              </w:rPr>
              <w:t>(NOx)</w:t>
            </w:r>
          </w:p>
          <w:p w14:paraId="25C086B9" w14:textId="35977091" w:rsidR="00F046B6" w:rsidRPr="00346DA7" w:rsidRDefault="00D71986">
            <w:pPr>
              <w:jc w:val="center"/>
              <w:rPr>
                <w:noProof/>
                <w:color w:val="000000" w:themeColor="text1"/>
                <w:sz w:val="16"/>
                <w:szCs w:val="16"/>
              </w:rPr>
            </w:pPr>
            <w:r>
              <w:rPr>
                <w:noProof/>
                <w:color w:val="000000" w:themeColor="text1"/>
                <w:sz w:val="20"/>
              </w:rPr>
              <w:t>1</w:t>
            </w:r>
            <w:r w:rsidR="002F60A0">
              <w:rPr>
                <w:noProof/>
                <w:color w:val="000000" w:themeColor="text1"/>
                <w:sz w:val="20"/>
              </w:rPr>
              <w:t xml:space="preserve"> </w:t>
            </w:r>
            <w:r w:rsidRPr="00346DA7">
              <w:rPr>
                <w:noProof/>
                <w:color w:val="000000" w:themeColor="text1"/>
                <w:sz w:val="16"/>
                <w:szCs w:val="16"/>
              </w:rPr>
              <w:t>(PM2.5)</w:t>
            </w:r>
          </w:p>
        </w:tc>
        <w:tc>
          <w:tcPr>
            <w:tcW w:w="1130" w:type="dxa"/>
            <w:shd w:val="clear" w:color="auto" w:fill="FFFFFF" w:themeFill="background1"/>
            <w:noWrap/>
          </w:tcPr>
          <w:p w14:paraId="20178EB9" w14:textId="0DC6330F" w:rsidR="00F046B6" w:rsidRDefault="00636873">
            <w:pPr>
              <w:jc w:val="center"/>
              <w:rPr>
                <w:noProof/>
                <w:color w:val="000000" w:themeColor="text1"/>
                <w:sz w:val="20"/>
              </w:rPr>
            </w:pPr>
            <w:r>
              <w:rPr>
                <w:noProof/>
                <w:color w:val="000000" w:themeColor="text1"/>
                <w:sz w:val="20"/>
              </w:rPr>
              <w:t>23.9</w:t>
            </w:r>
            <w:r w:rsidR="002F60A0">
              <w:rPr>
                <w:noProof/>
                <w:color w:val="000000" w:themeColor="text1"/>
                <w:sz w:val="20"/>
              </w:rPr>
              <w:t xml:space="preserve"> </w:t>
            </w:r>
            <w:r w:rsidRPr="00346DA7">
              <w:rPr>
                <w:noProof/>
                <w:color w:val="000000" w:themeColor="text1"/>
                <w:sz w:val="16"/>
                <w:szCs w:val="16"/>
              </w:rPr>
              <w:t>(NOx)</w:t>
            </w:r>
          </w:p>
          <w:p w14:paraId="65FD3BA6" w14:textId="7A1D268D" w:rsidR="00F046B6" w:rsidRPr="004C18AF" w:rsidRDefault="00636873">
            <w:pPr>
              <w:jc w:val="center"/>
              <w:rPr>
                <w:noProof/>
                <w:color w:val="000000" w:themeColor="text1"/>
                <w:sz w:val="20"/>
              </w:rPr>
            </w:pPr>
            <w:r>
              <w:rPr>
                <w:noProof/>
                <w:color w:val="000000" w:themeColor="text1"/>
                <w:sz w:val="20"/>
              </w:rPr>
              <w:t xml:space="preserve">1.5 </w:t>
            </w:r>
            <w:r w:rsidRPr="00346DA7">
              <w:rPr>
                <w:noProof/>
                <w:color w:val="000000" w:themeColor="text1"/>
                <w:sz w:val="16"/>
                <w:szCs w:val="16"/>
              </w:rPr>
              <w:t>(PM2.5)</w:t>
            </w:r>
          </w:p>
        </w:tc>
        <w:tc>
          <w:tcPr>
            <w:tcW w:w="1130" w:type="dxa"/>
            <w:shd w:val="clear" w:color="auto" w:fill="FFFFFF" w:themeFill="background1"/>
          </w:tcPr>
          <w:p w14:paraId="109EDB8B" w14:textId="7E755100" w:rsidR="00F046B6" w:rsidRDefault="00A4323A">
            <w:pPr>
              <w:jc w:val="center"/>
              <w:rPr>
                <w:noProof/>
                <w:color w:val="000000" w:themeColor="text1"/>
                <w:sz w:val="20"/>
              </w:rPr>
            </w:pPr>
            <w:r w:rsidRPr="00A4323A">
              <w:rPr>
                <w:noProof/>
                <w:color w:val="000000" w:themeColor="text1"/>
                <w:sz w:val="20"/>
              </w:rPr>
              <w:t>17.9</w:t>
            </w:r>
            <w:r w:rsidR="00284FFA" w:rsidRPr="00A4323A">
              <w:rPr>
                <w:noProof/>
                <w:color w:val="000000" w:themeColor="text1"/>
                <w:sz w:val="20"/>
              </w:rPr>
              <w:t xml:space="preserve"> </w:t>
            </w:r>
            <w:r w:rsidR="00284FFA" w:rsidRPr="00A4323A">
              <w:rPr>
                <w:noProof/>
                <w:color w:val="000000" w:themeColor="text1"/>
                <w:sz w:val="16"/>
                <w:szCs w:val="16"/>
              </w:rPr>
              <w:t>(NOx)</w:t>
            </w:r>
          </w:p>
          <w:p w14:paraId="3EE64458" w14:textId="0DB9D244" w:rsidR="00F046B6" w:rsidRPr="004C18AF" w:rsidRDefault="00284FFA">
            <w:pPr>
              <w:jc w:val="center"/>
              <w:rPr>
                <w:noProof/>
                <w:color w:val="000000" w:themeColor="text1"/>
                <w:sz w:val="20"/>
              </w:rPr>
            </w:pPr>
            <w:r>
              <w:rPr>
                <w:noProof/>
                <w:color w:val="000000" w:themeColor="text1"/>
                <w:sz w:val="20"/>
              </w:rPr>
              <w:t xml:space="preserve">1.1 </w:t>
            </w:r>
            <w:r w:rsidRPr="00346DA7">
              <w:rPr>
                <w:noProof/>
                <w:color w:val="000000" w:themeColor="text1"/>
                <w:sz w:val="16"/>
                <w:szCs w:val="16"/>
              </w:rPr>
              <w:t>(PM2.5)</w:t>
            </w:r>
          </w:p>
        </w:tc>
      </w:tr>
      <w:tr w:rsidR="00F046B6" w:rsidRPr="002824F4" w14:paraId="08175140" w14:textId="77777777" w:rsidTr="00457E91">
        <w:trPr>
          <w:trHeight w:val="255"/>
        </w:trPr>
        <w:tc>
          <w:tcPr>
            <w:tcW w:w="5083" w:type="dxa"/>
            <w:shd w:val="clear" w:color="auto" w:fill="FFFFFF" w:themeFill="background1"/>
            <w:noWrap/>
          </w:tcPr>
          <w:p w14:paraId="7CB31CC3" w14:textId="1A2C0D84" w:rsidR="00F046B6" w:rsidRPr="004C18AF" w:rsidRDefault="001C11E8">
            <w:pPr>
              <w:rPr>
                <w:noProof/>
                <w:color w:val="000000" w:themeColor="text1"/>
                <w:sz w:val="20"/>
              </w:rPr>
            </w:pPr>
            <w:r>
              <w:rPr>
                <w:noProof/>
                <w:color w:val="000000" w:themeColor="text1"/>
                <w:sz w:val="20"/>
              </w:rPr>
              <w:t>Savings in</w:t>
            </w:r>
            <w:r w:rsidR="00F046B6" w:rsidRPr="004C18AF" w:rsidDel="001C11E8">
              <w:rPr>
                <w:noProof/>
                <w:color w:val="000000" w:themeColor="text1"/>
                <w:sz w:val="20"/>
              </w:rPr>
              <w:t xml:space="preserve"> </w:t>
            </w:r>
            <w:r w:rsidR="00F046B6" w:rsidRPr="004C18AF">
              <w:rPr>
                <w:noProof/>
                <w:color w:val="000000" w:themeColor="text1"/>
                <w:sz w:val="20"/>
              </w:rPr>
              <w:t>external costs of noise</w:t>
            </w:r>
            <w:r>
              <w:rPr>
                <w:noProof/>
                <w:color w:val="000000" w:themeColor="text1"/>
                <w:sz w:val="20"/>
              </w:rPr>
              <w:t xml:space="preserve"> emissions</w:t>
            </w:r>
            <w:r w:rsidR="006820F2">
              <w:rPr>
                <w:noProof/>
                <w:color w:val="000000" w:themeColor="text1"/>
                <w:sz w:val="20"/>
              </w:rPr>
              <w:t xml:space="preserve"> </w:t>
            </w:r>
            <w:r w:rsidR="006820F2" w:rsidRPr="006820F2">
              <w:rPr>
                <w:noProof/>
                <w:color w:val="000000" w:themeColor="text1"/>
                <w:sz w:val="20"/>
              </w:rPr>
              <w:t>(in EUR million, expressed as present value over 2028-2050 relative to the baseline)</w:t>
            </w:r>
          </w:p>
        </w:tc>
        <w:tc>
          <w:tcPr>
            <w:tcW w:w="1130" w:type="dxa"/>
            <w:shd w:val="clear" w:color="auto" w:fill="FFFFFF" w:themeFill="background1"/>
            <w:noWrap/>
          </w:tcPr>
          <w:p w14:paraId="7E636557" w14:textId="4EEA24ED" w:rsidR="00F046B6" w:rsidRPr="004C18AF" w:rsidRDefault="00F65B2C">
            <w:pPr>
              <w:jc w:val="center"/>
              <w:rPr>
                <w:noProof/>
                <w:color w:val="000000" w:themeColor="text1"/>
                <w:sz w:val="20"/>
              </w:rPr>
            </w:pPr>
            <w:r w:rsidRPr="004C18AF">
              <w:rPr>
                <w:noProof/>
                <w:color w:val="000000" w:themeColor="text1"/>
                <w:sz w:val="20"/>
              </w:rPr>
              <w:t>735</w:t>
            </w:r>
          </w:p>
        </w:tc>
        <w:tc>
          <w:tcPr>
            <w:tcW w:w="1130" w:type="dxa"/>
            <w:shd w:val="clear" w:color="auto" w:fill="FFFFFF" w:themeFill="background1"/>
            <w:noWrap/>
          </w:tcPr>
          <w:p w14:paraId="4633A83A" w14:textId="07977C0E" w:rsidR="00F046B6" w:rsidRPr="004C18AF" w:rsidRDefault="00F65B2C">
            <w:pPr>
              <w:jc w:val="center"/>
              <w:rPr>
                <w:noProof/>
                <w:color w:val="000000" w:themeColor="text1"/>
                <w:sz w:val="20"/>
              </w:rPr>
            </w:pPr>
            <w:r w:rsidRPr="004C18AF">
              <w:rPr>
                <w:noProof/>
                <w:color w:val="000000" w:themeColor="text1"/>
                <w:sz w:val="20"/>
              </w:rPr>
              <w:t>1,509</w:t>
            </w:r>
          </w:p>
        </w:tc>
        <w:tc>
          <w:tcPr>
            <w:tcW w:w="1130" w:type="dxa"/>
            <w:shd w:val="clear" w:color="auto" w:fill="FFFFFF" w:themeFill="background1"/>
            <w:noWrap/>
          </w:tcPr>
          <w:p w14:paraId="46C98905" w14:textId="597EE466" w:rsidR="00F046B6" w:rsidRPr="004C18AF" w:rsidRDefault="00F65B2C">
            <w:pPr>
              <w:jc w:val="center"/>
              <w:rPr>
                <w:noProof/>
                <w:color w:val="000000" w:themeColor="text1"/>
                <w:sz w:val="20"/>
              </w:rPr>
            </w:pPr>
            <w:r w:rsidRPr="004C18AF">
              <w:rPr>
                <w:noProof/>
                <w:color w:val="000000" w:themeColor="text1"/>
                <w:sz w:val="20"/>
              </w:rPr>
              <w:t>2,146</w:t>
            </w:r>
          </w:p>
        </w:tc>
        <w:tc>
          <w:tcPr>
            <w:tcW w:w="1130" w:type="dxa"/>
            <w:shd w:val="clear" w:color="auto" w:fill="FFFFFF" w:themeFill="background1"/>
          </w:tcPr>
          <w:p w14:paraId="3C9A5763" w14:textId="740D098C" w:rsidR="00F046B6" w:rsidRPr="004C18AF" w:rsidRDefault="00F65B2C">
            <w:pPr>
              <w:jc w:val="center"/>
              <w:rPr>
                <w:noProof/>
                <w:color w:val="000000" w:themeColor="text1"/>
                <w:sz w:val="20"/>
              </w:rPr>
            </w:pPr>
            <w:r w:rsidRPr="004C18AF">
              <w:rPr>
                <w:noProof/>
                <w:color w:val="000000" w:themeColor="text1"/>
                <w:sz w:val="20"/>
              </w:rPr>
              <w:t>1,663</w:t>
            </w:r>
          </w:p>
        </w:tc>
      </w:tr>
    </w:tbl>
    <w:p w14:paraId="75C14EE1" w14:textId="6A86246E" w:rsidR="00B677AE" w:rsidRPr="00D57E81" w:rsidRDefault="00B677AE" w:rsidP="00D57E81">
      <w:pPr>
        <w:spacing w:after="120"/>
        <w:rPr>
          <w:i/>
          <w:noProof/>
          <w:sz w:val="20"/>
        </w:rPr>
      </w:pPr>
      <w:r w:rsidRPr="00C9531B">
        <w:rPr>
          <w:i/>
          <w:iCs/>
          <w:noProof/>
          <w:sz w:val="20"/>
        </w:rPr>
        <w:t xml:space="preserve">Note: *Impacts on SMEs overlap with impacts on </w:t>
      </w:r>
      <w:r w:rsidR="005800DE">
        <w:rPr>
          <w:i/>
          <w:iCs/>
          <w:noProof/>
          <w:sz w:val="20"/>
        </w:rPr>
        <w:t>MDMS platforms and transport operators</w:t>
      </w:r>
      <w:r w:rsidRPr="00C9531B">
        <w:rPr>
          <w:i/>
          <w:iCs/>
          <w:noProof/>
          <w:sz w:val="20"/>
        </w:rPr>
        <w:t xml:space="preserve">. This is because part of </w:t>
      </w:r>
      <w:r w:rsidR="005800DE">
        <w:rPr>
          <w:i/>
          <w:iCs/>
          <w:noProof/>
          <w:sz w:val="20"/>
        </w:rPr>
        <w:t xml:space="preserve">MDMS platforms and transport operators </w:t>
      </w:r>
      <w:r w:rsidRPr="00C9531B">
        <w:rPr>
          <w:i/>
          <w:iCs/>
          <w:noProof/>
          <w:sz w:val="20"/>
        </w:rPr>
        <w:t>are SMEs.</w:t>
      </w:r>
    </w:p>
    <w:p w14:paraId="78FF60B3" w14:textId="26023366" w:rsidR="00712390" w:rsidRPr="00BE4FE2" w:rsidRDefault="003C4819" w:rsidP="006E3FA1">
      <w:pPr>
        <w:pStyle w:val="Heading2"/>
        <w:keepNext/>
        <w:numPr>
          <w:ilvl w:val="0"/>
          <w:numId w:val="11"/>
        </w:numPr>
        <w:tabs>
          <w:tab w:val="left" w:pos="1134"/>
        </w:tabs>
        <w:spacing w:before="240" w:after="240"/>
        <w:ind w:left="425" w:hanging="425"/>
        <w:rPr>
          <w:smallCaps/>
          <w:noProof/>
          <w:spacing w:val="-2"/>
        </w:rPr>
      </w:pPr>
      <w:bookmarkStart w:id="195" w:name="7_How_do_the_options_compare?"/>
      <w:bookmarkStart w:id="196" w:name="_Toc223979985"/>
      <w:bookmarkEnd w:id="195"/>
      <w:r w:rsidRPr="00D71008">
        <w:rPr>
          <w:smallCaps/>
          <w:noProof/>
          <w:spacing w:val="-2"/>
        </w:rPr>
        <w:t>How do the options compare?</w:t>
      </w:r>
      <w:bookmarkEnd w:id="196"/>
    </w:p>
    <w:p w14:paraId="694DED8F" w14:textId="7185AF82" w:rsidR="00154DAC" w:rsidRPr="00D71008" w:rsidRDefault="003C4819" w:rsidP="006E3FA1">
      <w:pPr>
        <w:pStyle w:val="Heading2"/>
        <w:keepNext/>
        <w:numPr>
          <w:ilvl w:val="1"/>
          <w:numId w:val="11"/>
        </w:numPr>
        <w:tabs>
          <w:tab w:val="left" w:pos="709"/>
        </w:tabs>
        <w:spacing w:before="240" w:after="240"/>
        <w:ind w:left="1134" w:hanging="708"/>
        <w:rPr>
          <w:noProof/>
        </w:rPr>
      </w:pPr>
      <w:bookmarkStart w:id="197" w:name="7.1_Effectiveness"/>
      <w:bookmarkStart w:id="198" w:name="_Toc220667504"/>
      <w:bookmarkStart w:id="199" w:name="_Ref223110901"/>
      <w:bookmarkStart w:id="200" w:name="_Toc223979986"/>
      <w:bookmarkEnd w:id="197"/>
      <w:r w:rsidRPr="00D71008">
        <w:rPr>
          <w:noProof/>
        </w:rPr>
        <w:t>Effectiveness</w:t>
      </w:r>
      <w:bookmarkStart w:id="201" w:name="7.2_Efficiency"/>
      <w:bookmarkEnd w:id="198"/>
      <w:bookmarkEnd w:id="199"/>
      <w:bookmarkEnd w:id="200"/>
      <w:bookmarkEnd w:id="201"/>
    </w:p>
    <w:p w14:paraId="66BDDFA7" w14:textId="38C7E72A" w:rsidR="00935848" w:rsidRPr="00B53478" w:rsidRDefault="00A36E8D" w:rsidP="00B53478">
      <w:pPr>
        <w:spacing w:after="240"/>
        <w:jc w:val="both"/>
        <w:rPr>
          <w:noProof/>
          <w:spacing w:val="-8"/>
        </w:rPr>
      </w:pPr>
      <w:r w:rsidRPr="006E3359">
        <w:rPr>
          <w:noProof/>
          <w:spacing w:val="-8"/>
        </w:rPr>
        <w:t>T</w:t>
      </w:r>
      <w:r w:rsidR="00E43602" w:rsidRPr="006E3359">
        <w:rPr>
          <w:noProof/>
          <w:spacing w:val="-8"/>
        </w:rPr>
        <w:t xml:space="preserve">he assessment of effectiveness looks at the extent to which the policy options meet the general and specific objectives (SO) of the intervention. </w:t>
      </w:r>
      <w:r w:rsidR="00935848" w:rsidRPr="00B53478">
        <w:rPr>
          <w:noProof/>
          <w:spacing w:val="-8"/>
        </w:rPr>
        <w:fldChar w:fldCharType="begin"/>
      </w:r>
      <w:r w:rsidR="00935848" w:rsidRPr="00CB6779">
        <w:rPr>
          <w:noProof/>
          <w:spacing w:val="-6"/>
        </w:rPr>
        <w:instrText xml:space="preserve"> REF _Ref181135399 \h  \* MERGEFORMAT </w:instrText>
      </w:r>
      <w:r w:rsidR="00935848" w:rsidRPr="00B53478">
        <w:rPr>
          <w:noProof/>
          <w:spacing w:val="-8"/>
        </w:rPr>
      </w:r>
      <w:r w:rsidR="00935848" w:rsidRPr="00B53478">
        <w:rPr>
          <w:noProof/>
          <w:spacing w:val="-8"/>
        </w:rPr>
        <w:fldChar w:fldCharType="separate"/>
      </w:r>
      <w:r>
        <w:rPr>
          <w:noProof/>
          <w:spacing w:val="-8"/>
          <w:lang w:eastAsia="nl-NL"/>
        </w:rPr>
        <w:t>Table 23</w:t>
      </w:r>
      <w:r w:rsidR="00935848" w:rsidRPr="00B53478">
        <w:rPr>
          <w:noProof/>
          <w:spacing w:val="-8"/>
        </w:rPr>
        <w:fldChar w:fldCharType="end"/>
      </w:r>
      <w:r w:rsidR="00935848" w:rsidRPr="00B53478">
        <w:rPr>
          <w:noProof/>
          <w:spacing w:val="-8"/>
        </w:rPr>
        <w:t xml:space="preserve"> presents the link between the policy objectives and the assessment criteria.</w:t>
      </w:r>
    </w:p>
    <w:p w14:paraId="6E53EB5D" w14:textId="3A3C63D6" w:rsidR="00BD63BF" w:rsidRDefault="00BD63BF" w:rsidP="007E691A">
      <w:pPr>
        <w:keepNext/>
        <w:rPr>
          <w:i/>
          <w:noProof/>
          <w:spacing w:val="-6"/>
        </w:rPr>
      </w:pPr>
      <w:bookmarkStart w:id="202" w:name="_Ref181135399"/>
      <w:bookmarkStart w:id="203" w:name="_Toc106365102"/>
      <w:bookmarkStart w:id="204" w:name="_Toc115098671"/>
      <w:bookmarkStart w:id="205" w:name="_Toc115098774"/>
      <w:bookmarkStart w:id="206" w:name="_Toc115190900"/>
      <w:r w:rsidRPr="00BD63BF">
        <w:rPr>
          <w:i/>
          <w:noProof/>
          <w:spacing w:val="-6"/>
        </w:rPr>
        <w:t xml:space="preserve">Table </w:t>
      </w:r>
      <w:r w:rsidRPr="00BD63BF">
        <w:rPr>
          <w:i/>
          <w:noProof/>
          <w:spacing w:val="-6"/>
        </w:rPr>
        <w:fldChar w:fldCharType="begin"/>
      </w:r>
      <w:r w:rsidRPr="00BD63BF">
        <w:rPr>
          <w:i/>
          <w:noProof/>
          <w:spacing w:val="-6"/>
        </w:rPr>
        <w:instrText xml:space="preserve"> SEQ Table \* ARABIC </w:instrText>
      </w:r>
      <w:r w:rsidRPr="00BD63BF">
        <w:rPr>
          <w:i/>
          <w:noProof/>
          <w:spacing w:val="-6"/>
        </w:rPr>
        <w:fldChar w:fldCharType="separate"/>
      </w:r>
      <w:r w:rsidR="0055391F">
        <w:rPr>
          <w:i/>
          <w:noProof/>
          <w:spacing w:val="-6"/>
        </w:rPr>
        <w:t>23</w:t>
      </w:r>
      <w:r w:rsidRPr="00BD63BF">
        <w:rPr>
          <w:noProof/>
          <w:spacing w:val="-6"/>
        </w:rPr>
        <w:fldChar w:fldCharType="end"/>
      </w:r>
      <w:bookmarkEnd w:id="202"/>
      <w:r w:rsidRPr="00BD63BF">
        <w:rPr>
          <w:i/>
          <w:noProof/>
          <w:spacing w:val="-6"/>
        </w:rPr>
        <w:t xml:space="preserve">: Link between objectives </w:t>
      </w:r>
      <w:bookmarkEnd w:id="203"/>
      <w:bookmarkEnd w:id="204"/>
      <w:bookmarkEnd w:id="205"/>
      <w:bookmarkEnd w:id="206"/>
      <w:r w:rsidRPr="00BD63BF">
        <w:rPr>
          <w:i/>
          <w:noProof/>
          <w:spacing w:val="-6"/>
        </w:rPr>
        <w:t>and assessment criteria</w:t>
      </w:r>
    </w:p>
    <w:tbl>
      <w:tblPr>
        <w:tblStyle w:val="TableGrid"/>
        <w:tblW w:w="96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279"/>
        <w:gridCol w:w="3068"/>
      </w:tblGrid>
      <w:tr w:rsidR="004644A8" w14:paraId="53936B3D" w14:textId="77777777" w:rsidTr="710C94A0">
        <w:trPr>
          <w:tblHeader/>
        </w:trPr>
        <w:tc>
          <w:tcPr>
            <w:tcW w:w="3261" w:type="dxa"/>
            <w:shd w:val="clear" w:color="auto" w:fill="0070C0"/>
          </w:tcPr>
          <w:p w14:paraId="47508124" w14:textId="2CB72B1B" w:rsidR="005A112B" w:rsidRPr="00123C51" w:rsidRDefault="006E4CB6" w:rsidP="00B53478">
            <w:pPr>
              <w:spacing w:after="120"/>
              <w:jc w:val="center"/>
              <w:rPr>
                <w:noProof/>
                <w:color w:val="FFFFFF" w:themeColor="background1"/>
                <w:sz w:val="20"/>
                <w:szCs w:val="20"/>
              </w:rPr>
            </w:pPr>
            <w:r w:rsidRPr="00123C51">
              <w:rPr>
                <w:b/>
                <w:noProof/>
                <w:color w:val="FFFFFF" w:themeColor="background1"/>
                <w:sz w:val="20"/>
                <w:szCs w:val="20"/>
              </w:rPr>
              <w:t>General objectives</w:t>
            </w:r>
          </w:p>
        </w:tc>
        <w:tc>
          <w:tcPr>
            <w:tcW w:w="3279" w:type="dxa"/>
            <w:shd w:val="clear" w:color="auto" w:fill="0070C0"/>
          </w:tcPr>
          <w:p w14:paraId="6C0B9383" w14:textId="6191442F" w:rsidR="007F53D3" w:rsidRPr="00123C51" w:rsidRDefault="002C1051" w:rsidP="00B53478">
            <w:pPr>
              <w:spacing w:after="120"/>
              <w:jc w:val="center"/>
              <w:rPr>
                <w:b/>
                <w:noProof/>
                <w:color w:val="FFFFFF" w:themeColor="background1"/>
                <w:sz w:val="20"/>
                <w:szCs w:val="20"/>
              </w:rPr>
            </w:pPr>
            <w:r w:rsidRPr="00123C51">
              <w:rPr>
                <w:b/>
                <w:noProof/>
                <w:color w:val="FFFFFF" w:themeColor="background1"/>
                <w:sz w:val="20"/>
                <w:szCs w:val="20"/>
              </w:rPr>
              <w:t>Specific objectives</w:t>
            </w:r>
          </w:p>
        </w:tc>
        <w:tc>
          <w:tcPr>
            <w:tcW w:w="3068" w:type="dxa"/>
            <w:shd w:val="clear" w:color="auto" w:fill="0070C0"/>
          </w:tcPr>
          <w:p w14:paraId="76772355" w14:textId="343B8581" w:rsidR="005A112B" w:rsidRPr="00123C51" w:rsidRDefault="007F53D3" w:rsidP="00B53478">
            <w:pPr>
              <w:spacing w:after="120"/>
              <w:jc w:val="center"/>
              <w:rPr>
                <w:b/>
                <w:noProof/>
                <w:color w:val="FFFFFF" w:themeColor="background1"/>
                <w:sz w:val="20"/>
                <w:szCs w:val="20"/>
              </w:rPr>
            </w:pPr>
            <w:r w:rsidRPr="00123C51">
              <w:rPr>
                <w:b/>
                <w:noProof/>
                <w:color w:val="FFFFFF" w:themeColor="background1"/>
                <w:sz w:val="20"/>
                <w:szCs w:val="20"/>
              </w:rPr>
              <w:t>Assessment</w:t>
            </w:r>
            <w:r w:rsidR="00933F9B" w:rsidRPr="00123C51">
              <w:rPr>
                <w:b/>
                <w:noProof/>
                <w:color w:val="FFFFFF" w:themeColor="background1"/>
                <w:sz w:val="20"/>
                <w:szCs w:val="20"/>
              </w:rPr>
              <w:t xml:space="preserve"> criteria</w:t>
            </w:r>
          </w:p>
        </w:tc>
      </w:tr>
      <w:tr w:rsidR="00A46C9D" w14:paraId="3D00EB31" w14:textId="77777777" w:rsidTr="710C94A0">
        <w:tc>
          <w:tcPr>
            <w:tcW w:w="3261" w:type="dxa"/>
            <w:vMerge w:val="restart"/>
          </w:tcPr>
          <w:p w14:paraId="0CA5E3BE" w14:textId="77777777" w:rsidR="002C1051" w:rsidRPr="00123C51" w:rsidRDefault="0092665D" w:rsidP="00B53478">
            <w:pPr>
              <w:spacing w:after="120"/>
              <w:rPr>
                <w:noProof/>
                <w:sz w:val="20"/>
                <w:szCs w:val="20"/>
              </w:rPr>
            </w:pPr>
            <w:r w:rsidRPr="003371F1">
              <w:rPr>
                <w:b/>
                <w:bCs/>
                <w:noProof/>
                <w:sz w:val="20"/>
                <w:szCs w:val="20"/>
              </w:rPr>
              <w:t>GO1</w:t>
            </w:r>
            <w:r w:rsidRPr="00123C51">
              <w:rPr>
                <w:noProof/>
                <w:sz w:val="20"/>
                <w:szCs w:val="20"/>
              </w:rPr>
              <w:t xml:space="preserve"> </w:t>
            </w:r>
            <w:r w:rsidR="008369F2" w:rsidRPr="00123C51">
              <w:rPr>
                <w:noProof/>
                <w:sz w:val="20"/>
                <w:szCs w:val="20"/>
              </w:rPr>
              <w:t>–</w:t>
            </w:r>
            <w:r w:rsidRPr="00123C51">
              <w:rPr>
                <w:noProof/>
                <w:sz w:val="20"/>
                <w:szCs w:val="20"/>
              </w:rPr>
              <w:t xml:space="preserve"> </w:t>
            </w:r>
            <w:r w:rsidR="008369F2" w:rsidRPr="00123C51">
              <w:rPr>
                <w:noProof/>
                <w:sz w:val="20"/>
                <w:szCs w:val="20"/>
              </w:rPr>
              <w:t>Promote r</w:t>
            </w:r>
            <w:r w:rsidR="00F9072E" w:rsidRPr="00123C51">
              <w:rPr>
                <w:noProof/>
                <w:sz w:val="20"/>
                <w:szCs w:val="20"/>
              </w:rPr>
              <w:t xml:space="preserve">ail single ticketing </w:t>
            </w:r>
            <w:r w:rsidR="00601039" w:rsidRPr="00123C51">
              <w:rPr>
                <w:noProof/>
                <w:sz w:val="20"/>
                <w:szCs w:val="20"/>
              </w:rPr>
              <w:t xml:space="preserve">for multi-operator journeys and thereby enhance </w:t>
            </w:r>
            <w:r w:rsidR="00A16AFD" w:rsidRPr="00123C51">
              <w:rPr>
                <w:noProof/>
                <w:sz w:val="20"/>
                <w:szCs w:val="20"/>
              </w:rPr>
              <w:t>attractiveness of rail to increase sustainability of the transport system and support modal shift</w:t>
            </w:r>
          </w:p>
          <w:p w14:paraId="29B39182" w14:textId="6F508349" w:rsidR="005A112B" w:rsidRPr="00123C51" w:rsidRDefault="002C1051" w:rsidP="00B53478">
            <w:pPr>
              <w:spacing w:after="120"/>
              <w:rPr>
                <w:noProof/>
                <w:sz w:val="20"/>
                <w:szCs w:val="20"/>
              </w:rPr>
            </w:pPr>
            <w:r w:rsidRPr="003371F1">
              <w:rPr>
                <w:b/>
                <w:bCs/>
                <w:noProof/>
                <w:sz w:val="20"/>
                <w:szCs w:val="20"/>
              </w:rPr>
              <w:t xml:space="preserve">GO2 </w:t>
            </w:r>
            <w:r w:rsidRPr="00123C51">
              <w:rPr>
                <w:noProof/>
                <w:sz w:val="20"/>
                <w:szCs w:val="20"/>
              </w:rPr>
              <w:t xml:space="preserve">– Better functioning of the ticket distribution market, contributing to the competitiveness and the functioning of the transport services market </w:t>
            </w:r>
          </w:p>
        </w:tc>
        <w:tc>
          <w:tcPr>
            <w:tcW w:w="3279" w:type="dxa"/>
          </w:tcPr>
          <w:p w14:paraId="70AA8C93" w14:textId="74438625" w:rsidR="002C1051" w:rsidRPr="00123C51" w:rsidDel="006B7562" w:rsidRDefault="002C1051" w:rsidP="00B53478">
            <w:pPr>
              <w:spacing w:after="120"/>
              <w:rPr>
                <w:noProof/>
                <w:sz w:val="20"/>
                <w:szCs w:val="20"/>
              </w:rPr>
            </w:pPr>
            <w:r w:rsidRPr="003371F1">
              <w:rPr>
                <w:b/>
                <w:bCs/>
                <w:noProof/>
                <w:sz w:val="20"/>
                <w:szCs w:val="20"/>
              </w:rPr>
              <w:t>SO1</w:t>
            </w:r>
            <w:r w:rsidRPr="00123C51">
              <w:rPr>
                <w:noProof/>
                <w:sz w:val="20"/>
                <w:szCs w:val="20"/>
              </w:rPr>
              <w:t xml:space="preserve"> </w:t>
            </w:r>
            <w:r w:rsidR="00F85B75" w:rsidRPr="00123C51">
              <w:rPr>
                <w:noProof/>
                <w:sz w:val="20"/>
                <w:szCs w:val="20"/>
              </w:rPr>
              <w:t>–</w:t>
            </w:r>
            <w:r w:rsidRPr="00123C51">
              <w:rPr>
                <w:noProof/>
                <w:sz w:val="20"/>
                <w:szCs w:val="20"/>
              </w:rPr>
              <w:t xml:space="preserve"> </w:t>
            </w:r>
            <w:r w:rsidR="000D1D42">
              <w:rPr>
                <w:noProof/>
                <w:sz w:val="20"/>
                <w:szCs w:val="20"/>
              </w:rPr>
              <w:t>Improve transparency and establish a level playing field for transport operators in terms of access and use of indispensable MDMS</w:t>
            </w:r>
            <w:r w:rsidRPr="00123C51">
              <w:rPr>
                <w:noProof/>
                <w:sz w:val="20"/>
                <w:szCs w:val="20"/>
              </w:rPr>
              <w:t xml:space="preserve"> </w:t>
            </w:r>
          </w:p>
          <w:p w14:paraId="35A47ED0" w14:textId="77777777" w:rsidR="007F53D3" w:rsidRPr="00123C51" w:rsidRDefault="007F53D3" w:rsidP="00B53478">
            <w:pPr>
              <w:spacing w:after="120"/>
              <w:jc w:val="both"/>
              <w:rPr>
                <w:noProof/>
                <w:sz w:val="20"/>
                <w:szCs w:val="20"/>
              </w:rPr>
            </w:pPr>
          </w:p>
        </w:tc>
        <w:tc>
          <w:tcPr>
            <w:tcW w:w="3068" w:type="dxa"/>
          </w:tcPr>
          <w:p w14:paraId="5C4D10F9" w14:textId="12A37F9E" w:rsidR="00935F9C" w:rsidRPr="00123C51" w:rsidRDefault="00935F9C" w:rsidP="004040CD">
            <w:pPr>
              <w:spacing w:after="120"/>
              <w:rPr>
                <w:noProof/>
                <w:sz w:val="20"/>
                <w:szCs w:val="20"/>
              </w:rPr>
            </w:pPr>
            <w:r w:rsidRPr="00123C51">
              <w:rPr>
                <w:noProof/>
                <w:sz w:val="20"/>
                <w:szCs w:val="20"/>
              </w:rPr>
              <w:t>- Increase in the number of agreements between platforms and transport operators indicating a better functioning of the distribution markets (B2B and B2C)</w:t>
            </w:r>
          </w:p>
          <w:p w14:paraId="68E1E451" w14:textId="5D7E37EB" w:rsidR="005A112B" w:rsidRPr="00F01537" w:rsidRDefault="00F01537" w:rsidP="004040CD">
            <w:pPr>
              <w:spacing w:after="120"/>
              <w:rPr>
                <w:noProof/>
                <w:sz w:val="20"/>
                <w:szCs w:val="20"/>
              </w:rPr>
            </w:pPr>
            <w:r>
              <w:rPr>
                <w:noProof/>
                <w:sz w:val="20"/>
                <w:szCs w:val="20"/>
              </w:rPr>
              <w:t xml:space="preserve">- </w:t>
            </w:r>
            <w:r w:rsidR="002C1051" w:rsidRPr="00F01537">
              <w:rPr>
                <w:noProof/>
                <w:sz w:val="20"/>
                <w:szCs w:val="20"/>
              </w:rPr>
              <w:t>Decrease in average expenditure per person for interurban mobility, due to increase in competition resulting from better access and use of indispensable MDMS for transport operators</w:t>
            </w:r>
          </w:p>
        </w:tc>
      </w:tr>
      <w:tr w:rsidR="00A46C9D" w14:paraId="4ADED816" w14:textId="77777777" w:rsidTr="710C94A0">
        <w:tc>
          <w:tcPr>
            <w:tcW w:w="3261" w:type="dxa"/>
            <w:vMerge/>
          </w:tcPr>
          <w:p w14:paraId="674B82A0" w14:textId="5B1FE50E" w:rsidR="005A112B" w:rsidRPr="00123C51" w:rsidRDefault="005A112B" w:rsidP="00B53478">
            <w:pPr>
              <w:spacing w:after="120"/>
              <w:jc w:val="both"/>
              <w:rPr>
                <w:noProof/>
                <w:sz w:val="20"/>
                <w:szCs w:val="20"/>
              </w:rPr>
            </w:pPr>
          </w:p>
        </w:tc>
        <w:tc>
          <w:tcPr>
            <w:tcW w:w="3279" w:type="dxa"/>
          </w:tcPr>
          <w:p w14:paraId="0B9D70ED" w14:textId="41461CF1" w:rsidR="007F53D3" w:rsidRPr="00123C51" w:rsidRDefault="002C1051" w:rsidP="00B53478">
            <w:pPr>
              <w:spacing w:after="120"/>
              <w:rPr>
                <w:noProof/>
                <w:sz w:val="20"/>
                <w:szCs w:val="20"/>
              </w:rPr>
            </w:pPr>
            <w:r w:rsidRPr="004855C1">
              <w:rPr>
                <w:b/>
                <w:noProof/>
                <w:sz w:val="20"/>
                <w:szCs w:val="20"/>
              </w:rPr>
              <w:t>SO2</w:t>
            </w:r>
            <w:r w:rsidR="00F85B75" w:rsidRPr="00123C51">
              <w:rPr>
                <w:noProof/>
                <w:sz w:val="20"/>
                <w:szCs w:val="20"/>
              </w:rPr>
              <w:t xml:space="preserve"> –</w:t>
            </w:r>
            <w:r w:rsidRPr="00123C51">
              <w:rPr>
                <w:noProof/>
                <w:sz w:val="20"/>
                <w:szCs w:val="20"/>
              </w:rPr>
              <w:t xml:space="preserve"> Improve completeness of </w:t>
            </w:r>
            <w:r w:rsidR="00400CCA">
              <w:rPr>
                <w:noProof/>
                <w:sz w:val="20"/>
                <w:szCs w:val="20"/>
              </w:rPr>
              <w:t xml:space="preserve">rail offer on MDMS </w:t>
            </w:r>
            <w:r w:rsidR="007B32A6">
              <w:rPr>
                <w:noProof/>
                <w:sz w:val="20"/>
                <w:szCs w:val="20"/>
              </w:rPr>
              <w:t>platforms</w:t>
            </w:r>
            <w:r w:rsidR="00400CCA">
              <w:rPr>
                <w:noProof/>
                <w:sz w:val="20"/>
                <w:szCs w:val="20"/>
              </w:rPr>
              <w:t>, including indispensable RU platforms</w:t>
            </w:r>
          </w:p>
        </w:tc>
        <w:tc>
          <w:tcPr>
            <w:tcW w:w="3068" w:type="dxa"/>
          </w:tcPr>
          <w:p w14:paraId="56DF2D6F" w14:textId="21B20690" w:rsidR="005A112B" w:rsidRPr="00C764C9" w:rsidRDefault="00C764C9" w:rsidP="00AE1B26">
            <w:pPr>
              <w:spacing w:after="120"/>
              <w:jc w:val="both"/>
              <w:rPr>
                <w:noProof/>
                <w:sz w:val="20"/>
                <w:szCs w:val="20"/>
              </w:rPr>
            </w:pPr>
            <w:r w:rsidRPr="00123C51">
              <w:rPr>
                <w:noProof/>
                <w:sz w:val="20"/>
                <w:szCs w:val="20"/>
              </w:rPr>
              <w:t xml:space="preserve">- </w:t>
            </w:r>
            <w:r w:rsidR="002C1051" w:rsidRPr="00123C51">
              <w:rPr>
                <w:noProof/>
                <w:sz w:val="20"/>
                <w:szCs w:val="20"/>
              </w:rPr>
              <w:t>Increase in the transport activity by rail due to better visibility and access to these services</w:t>
            </w:r>
          </w:p>
        </w:tc>
      </w:tr>
    </w:tbl>
    <w:p w14:paraId="342BFB0E" w14:textId="77777777" w:rsidR="00B7488F" w:rsidRDefault="00B7488F" w:rsidP="004F4833">
      <w:pPr>
        <w:jc w:val="both"/>
        <w:rPr>
          <w:noProof/>
        </w:rPr>
      </w:pPr>
    </w:p>
    <w:p w14:paraId="7FCA61E9" w14:textId="55D9E0E2" w:rsidR="00B24B30" w:rsidRPr="00AE3D94" w:rsidRDefault="001A29F7" w:rsidP="00421D0E">
      <w:pPr>
        <w:spacing w:after="240"/>
        <w:jc w:val="both"/>
        <w:rPr>
          <w:noProof/>
          <w:spacing w:val="-8"/>
        </w:rPr>
      </w:pPr>
      <w:r w:rsidRPr="00AE3D94">
        <w:rPr>
          <w:noProof/>
          <w:spacing w:val="-8"/>
        </w:rPr>
        <w:t>Overall, all policy options are expected to</w:t>
      </w:r>
      <w:r w:rsidR="00975519" w:rsidRPr="00AE3D94">
        <w:rPr>
          <w:noProof/>
          <w:spacing w:val="-8"/>
        </w:rPr>
        <w:t xml:space="preserve"> contribute to the general objectives of </w:t>
      </w:r>
      <w:r w:rsidR="00975519" w:rsidRPr="00AE3D94">
        <w:rPr>
          <w:b/>
          <w:noProof/>
          <w:spacing w:val="-8"/>
        </w:rPr>
        <w:t xml:space="preserve">promoting rail single ticketing </w:t>
      </w:r>
      <w:r w:rsidR="00124DE8" w:rsidRPr="00AE3D94">
        <w:rPr>
          <w:b/>
          <w:noProof/>
          <w:spacing w:val="-8"/>
        </w:rPr>
        <w:t>for multi-operator journeys</w:t>
      </w:r>
      <w:r w:rsidR="00124DE8" w:rsidRPr="00AE3D94">
        <w:rPr>
          <w:noProof/>
          <w:spacing w:val="-8"/>
        </w:rPr>
        <w:t xml:space="preserve"> </w:t>
      </w:r>
      <w:r w:rsidR="0037797D" w:rsidRPr="00AE3D94">
        <w:rPr>
          <w:noProof/>
          <w:spacing w:val="-8"/>
        </w:rPr>
        <w:t xml:space="preserve">and </w:t>
      </w:r>
      <w:r w:rsidR="0037797D" w:rsidRPr="00AE3D94">
        <w:rPr>
          <w:b/>
          <w:noProof/>
          <w:spacing w:val="-8"/>
        </w:rPr>
        <w:t>better functioning of the online ticket distribution market</w:t>
      </w:r>
      <w:r w:rsidR="0037797D" w:rsidRPr="00AE3D94">
        <w:rPr>
          <w:noProof/>
          <w:spacing w:val="-8"/>
        </w:rPr>
        <w:t xml:space="preserve"> alt</w:t>
      </w:r>
      <w:r w:rsidR="005211D4" w:rsidRPr="00AE3D94">
        <w:rPr>
          <w:noProof/>
          <w:spacing w:val="-8"/>
        </w:rPr>
        <w:t>h</w:t>
      </w:r>
      <w:r w:rsidR="0037797D" w:rsidRPr="00AE3D94">
        <w:rPr>
          <w:noProof/>
          <w:spacing w:val="-8"/>
        </w:rPr>
        <w:t>ough</w:t>
      </w:r>
      <w:r w:rsidR="00831B03" w:rsidRPr="00AE3D94">
        <w:rPr>
          <w:noProof/>
          <w:spacing w:val="-8"/>
        </w:rPr>
        <w:t xml:space="preserve"> to </w:t>
      </w:r>
      <w:r w:rsidR="006A0C68" w:rsidRPr="00AE3D94">
        <w:rPr>
          <w:noProof/>
          <w:spacing w:val="-8"/>
        </w:rPr>
        <w:t>various</w:t>
      </w:r>
      <w:r w:rsidR="0037797D" w:rsidRPr="00AE3D94">
        <w:rPr>
          <w:noProof/>
          <w:spacing w:val="-8"/>
        </w:rPr>
        <w:t xml:space="preserve"> </w:t>
      </w:r>
      <w:r w:rsidR="00F957CA" w:rsidRPr="00AE3D94">
        <w:rPr>
          <w:noProof/>
          <w:spacing w:val="-8"/>
        </w:rPr>
        <w:t>degrees</w:t>
      </w:r>
      <w:r w:rsidR="0037797D" w:rsidRPr="00AE3D94">
        <w:rPr>
          <w:noProof/>
          <w:spacing w:val="-8"/>
        </w:rPr>
        <w:t xml:space="preserve">. </w:t>
      </w:r>
    </w:p>
    <w:p w14:paraId="612C89B9" w14:textId="0BF4926E" w:rsidR="003F3E63" w:rsidRDefault="00063FFF" w:rsidP="0029126D">
      <w:pPr>
        <w:spacing w:after="240"/>
        <w:jc w:val="both"/>
        <w:rPr>
          <w:noProof/>
          <w:spacing w:val="-8"/>
        </w:rPr>
      </w:pPr>
      <w:r w:rsidRPr="00AE3D94">
        <w:rPr>
          <w:noProof/>
          <w:spacing w:val="-8"/>
        </w:rPr>
        <w:t>Concerning SO1</w:t>
      </w:r>
      <w:r w:rsidR="0058124C" w:rsidRPr="00AE3D94">
        <w:rPr>
          <w:noProof/>
          <w:spacing w:val="-8"/>
        </w:rPr>
        <w:t xml:space="preserve"> (</w:t>
      </w:r>
      <w:r w:rsidR="001D29B2" w:rsidRPr="00EC737C">
        <w:rPr>
          <w:i/>
          <w:iCs/>
          <w:noProof/>
          <w:spacing w:val="-8"/>
        </w:rPr>
        <w:t>Im</w:t>
      </w:r>
      <w:r w:rsidR="001D29B2" w:rsidRPr="001D29B2">
        <w:rPr>
          <w:i/>
          <w:noProof/>
          <w:spacing w:val="-8"/>
        </w:rPr>
        <w:t xml:space="preserve">prove transparency and establish a level playing field for transport operators in terms of access and use of indispensable </w:t>
      </w:r>
      <w:r w:rsidR="0058124C" w:rsidRPr="00AE3D94">
        <w:rPr>
          <w:i/>
          <w:noProof/>
          <w:spacing w:val="-8"/>
        </w:rPr>
        <w:t>MDMS)</w:t>
      </w:r>
      <w:r w:rsidR="00836758" w:rsidRPr="00AE3D94">
        <w:rPr>
          <w:noProof/>
          <w:spacing w:val="-8"/>
        </w:rPr>
        <w:t xml:space="preserve">, </w:t>
      </w:r>
      <w:r w:rsidR="00766FC8" w:rsidRPr="00AE3D94">
        <w:rPr>
          <w:noProof/>
          <w:spacing w:val="-8"/>
        </w:rPr>
        <w:t xml:space="preserve">the number of agreements between </w:t>
      </w:r>
      <w:r w:rsidR="00286867" w:rsidRPr="00AE3D94">
        <w:rPr>
          <w:noProof/>
          <w:spacing w:val="-8"/>
        </w:rPr>
        <w:t xml:space="preserve">MDMS </w:t>
      </w:r>
      <w:r w:rsidR="00766FC8" w:rsidRPr="00AE3D94">
        <w:rPr>
          <w:noProof/>
          <w:spacing w:val="-8"/>
        </w:rPr>
        <w:t>platforms and transport operators</w:t>
      </w:r>
      <w:r w:rsidR="0071500F" w:rsidRPr="00AE3D94">
        <w:rPr>
          <w:noProof/>
          <w:spacing w:val="-8"/>
        </w:rPr>
        <w:t xml:space="preserve"> compared to the baseline</w:t>
      </w:r>
      <w:r w:rsidR="00766FC8" w:rsidRPr="00AE3D94">
        <w:rPr>
          <w:noProof/>
          <w:spacing w:val="-8"/>
        </w:rPr>
        <w:t xml:space="preserve"> can provide a relevant indication </w:t>
      </w:r>
      <w:r w:rsidR="00671357" w:rsidRPr="00AE3D94">
        <w:rPr>
          <w:noProof/>
          <w:spacing w:val="-8"/>
        </w:rPr>
        <w:t xml:space="preserve">of </w:t>
      </w:r>
      <w:r w:rsidR="004969FF" w:rsidRPr="00AE3D94">
        <w:rPr>
          <w:noProof/>
          <w:spacing w:val="-8"/>
        </w:rPr>
        <w:t>the exten</w:t>
      </w:r>
      <w:r w:rsidR="005211D4" w:rsidRPr="00AE3D94">
        <w:rPr>
          <w:noProof/>
          <w:spacing w:val="-8"/>
        </w:rPr>
        <w:t>t</w:t>
      </w:r>
      <w:r w:rsidR="004969FF" w:rsidRPr="00AE3D94">
        <w:rPr>
          <w:noProof/>
          <w:spacing w:val="-8"/>
        </w:rPr>
        <w:t xml:space="preserve"> to which operators are integrated on indispensable MDMS platforms</w:t>
      </w:r>
      <w:r w:rsidR="00286867" w:rsidRPr="00AE3D94">
        <w:rPr>
          <w:noProof/>
          <w:spacing w:val="-8"/>
        </w:rPr>
        <w:t xml:space="preserve"> (both B2B and B2C)</w:t>
      </w:r>
      <w:r w:rsidR="000F5961" w:rsidRPr="00AE3D94">
        <w:rPr>
          <w:noProof/>
          <w:spacing w:val="-8"/>
        </w:rPr>
        <w:t xml:space="preserve">. </w:t>
      </w:r>
      <w:r w:rsidR="00DB39CF" w:rsidRPr="00AE3D94">
        <w:rPr>
          <w:noProof/>
          <w:spacing w:val="-8"/>
        </w:rPr>
        <w:t>A</w:t>
      </w:r>
      <w:r w:rsidR="00836758" w:rsidRPr="00AE3D94">
        <w:rPr>
          <w:noProof/>
          <w:spacing w:val="-8"/>
        </w:rPr>
        <w:t>ll policy options show</w:t>
      </w:r>
      <w:r w:rsidR="0058124C" w:rsidRPr="00AE3D94">
        <w:rPr>
          <w:noProof/>
          <w:spacing w:val="-8"/>
        </w:rPr>
        <w:t xml:space="preserve"> </w:t>
      </w:r>
      <w:r w:rsidR="00361E2C" w:rsidRPr="00AE3D94">
        <w:rPr>
          <w:noProof/>
          <w:spacing w:val="-8"/>
        </w:rPr>
        <w:t>an i</w:t>
      </w:r>
      <w:r w:rsidR="00836758" w:rsidRPr="00C764C9">
        <w:rPr>
          <w:noProof/>
          <w:spacing w:val="-8"/>
        </w:rPr>
        <w:t xml:space="preserve">ncrease in the number of agreements between platforms and transport operators </w:t>
      </w:r>
      <w:r w:rsidR="001942B4" w:rsidRPr="001942B4">
        <w:rPr>
          <w:noProof/>
          <w:spacing w:val="-8"/>
        </w:rPr>
        <w:t>in the period 2030-20</w:t>
      </w:r>
      <w:r w:rsidR="00A7513A">
        <w:rPr>
          <w:noProof/>
          <w:spacing w:val="-8"/>
        </w:rPr>
        <w:t>5</w:t>
      </w:r>
      <w:r w:rsidR="001942B4" w:rsidRPr="001942B4">
        <w:rPr>
          <w:noProof/>
          <w:spacing w:val="-8"/>
        </w:rPr>
        <w:t>0</w:t>
      </w:r>
      <w:r w:rsidR="00ED75FE" w:rsidRPr="00AE3D94">
        <w:rPr>
          <w:noProof/>
          <w:spacing w:val="-8"/>
        </w:rPr>
        <w:t>.</w:t>
      </w:r>
      <w:r w:rsidR="00ED75FE">
        <w:rPr>
          <w:noProof/>
          <w:spacing w:val="-8"/>
        </w:rPr>
        <w:t xml:space="preserve"> </w:t>
      </w:r>
      <w:r w:rsidR="00E142F9">
        <w:rPr>
          <w:noProof/>
          <w:spacing w:val="-8"/>
        </w:rPr>
        <w:t xml:space="preserve">PO2 </w:t>
      </w:r>
      <w:r w:rsidR="005E40EE">
        <w:rPr>
          <w:noProof/>
          <w:spacing w:val="-8"/>
        </w:rPr>
        <w:t>shows</w:t>
      </w:r>
      <w:r w:rsidR="00ED75FE" w:rsidRPr="00AE3D94" w:rsidDel="005E40EE">
        <w:rPr>
          <w:noProof/>
          <w:spacing w:val="-8"/>
        </w:rPr>
        <w:t xml:space="preserve"> </w:t>
      </w:r>
      <w:r w:rsidR="00ED75FE">
        <w:rPr>
          <w:noProof/>
          <w:spacing w:val="-8"/>
        </w:rPr>
        <w:t>the highest increase relative to the baseline</w:t>
      </w:r>
      <w:r w:rsidR="00E142F9">
        <w:rPr>
          <w:noProof/>
          <w:spacing w:val="-8"/>
        </w:rPr>
        <w:t xml:space="preserve"> in </w:t>
      </w:r>
      <w:r w:rsidR="00AD5494">
        <w:rPr>
          <w:noProof/>
          <w:spacing w:val="-8"/>
        </w:rPr>
        <w:t>2030 and 2040</w:t>
      </w:r>
      <w:r w:rsidR="00ED75FE">
        <w:rPr>
          <w:noProof/>
          <w:spacing w:val="-8"/>
        </w:rPr>
        <w:t xml:space="preserve"> (</w:t>
      </w:r>
      <w:r w:rsidR="00AD5494">
        <w:rPr>
          <w:noProof/>
          <w:spacing w:val="-8"/>
        </w:rPr>
        <w:t>42</w:t>
      </w:r>
      <w:r w:rsidR="0014116F">
        <w:rPr>
          <w:noProof/>
          <w:spacing w:val="-8"/>
        </w:rPr>
        <w:t xml:space="preserve">% </w:t>
      </w:r>
      <w:r w:rsidR="00567EFE">
        <w:rPr>
          <w:noProof/>
          <w:spacing w:val="-8"/>
        </w:rPr>
        <w:t xml:space="preserve">increase </w:t>
      </w:r>
      <w:r w:rsidR="0014116F" w:rsidRPr="00AE3D94">
        <w:rPr>
          <w:noProof/>
          <w:spacing w:val="-8"/>
        </w:rPr>
        <w:t xml:space="preserve">in </w:t>
      </w:r>
      <w:r w:rsidR="0014116F">
        <w:rPr>
          <w:noProof/>
          <w:spacing w:val="-8"/>
        </w:rPr>
        <w:t>20</w:t>
      </w:r>
      <w:r w:rsidR="001B4A64">
        <w:rPr>
          <w:noProof/>
          <w:spacing w:val="-8"/>
        </w:rPr>
        <w:t>3</w:t>
      </w:r>
      <w:r w:rsidR="0014116F">
        <w:rPr>
          <w:noProof/>
          <w:spacing w:val="-8"/>
        </w:rPr>
        <w:t xml:space="preserve">0 and </w:t>
      </w:r>
      <w:r w:rsidR="00AC5D29">
        <w:rPr>
          <w:noProof/>
          <w:spacing w:val="-8"/>
        </w:rPr>
        <w:t>125</w:t>
      </w:r>
      <w:r w:rsidR="00F424D0">
        <w:rPr>
          <w:noProof/>
          <w:spacing w:val="-8"/>
        </w:rPr>
        <w:t xml:space="preserve">% in </w:t>
      </w:r>
      <w:r w:rsidR="00AC5D29">
        <w:rPr>
          <w:noProof/>
          <w:spacing w:val="-8"/>
        </w:rPr>
        <w:t>2040</w:t>
      </w:r>
      <w:r w:rsidR="004E7533">
        <w:rPr>
          <w:noProof/>
          <w:spacing w:val="-8"/>
        </w:rPr>
        <w:t>)</w:t>
      </w:r>
      <w:r w:rsidR="0079786D">
        <w:rPr>
          <w:noProof/>
          <w:spacing w:val="-8"/>
        </w:rPr>
        <w:t>, followed by PO4 (41% increase in 2030 and 117% increase in 2040) and PO3 (</w:t>
      </w:r>
      <w:r w:rsidR="00B21AC9">
        <w:rPr>
          <w:noProof/>
          <w:spacing w:val="-8"/>
        </w:rPr>
        <w:t>40% increase in 2030 and 110% increase in 2040)</w:t>
      </w:r>
      <w:r w:rsidR="004E7533">
        <w:rPr>
          <w:noProof/>
          <w:spacing w:val="-8"/>
        </w:rPr>
        <w:t>.</w:t>
      </w:r>
      <w:r w:rsidR="004E7533" w:rsidRPr="00AE3D94" w:rsidDel="00344B70">
        <w:rPr>
          <w:noProof/>
          <w:spacing w:val="-8"/>
        </w:rPr>
        <w:t xml:space="preserve"> </w:t>
      </w:r>
      <w:r w:rsidR="00160EA5">
        <w:rPr>
          <w:noProof/>
          <w:spacing w:val="-8"/>
        </w:rPr>
        <w:t>In</w:t>
      </w:r>
      <w:r w:rsidR="00344B70">
        <w:rPr>
          <w:noProof/>
          <w:spacing w:val="-8"/>
        </w:rPr>
        <w:t xml:space="preserve"> </w:t>
      </w:r>
      <w:r w:rsidR="009336C3">
        <w:rPr>
          <w:noProof/>
          <w:spacing w:val="-8"/>
        </w:rPr>
        <w:t xml:space="preserve">2050, PO2, PO3 and PO4 show similar increase in the number of agreements </w:t>
      </w:r>
      <w:r w:rsidR="00160EA5">
        <w:rPr>
          <w:noProof/>
          <w:spacing w:val="-8"/>
        </w:rPr>
        <w:t>relative to the baseline (97% increase).</w:t>
      </w:r>
      <w:r w:rsidR="00BA0F6D">
        <w:rPr>
          <w:noProof/>
          <w:spacing w:val="-8"/>
        </w:rPr>
        <w:t xml:space="preserve"> The contribution of PO1 towards SO1 is </w:t>
      </w:r>
      <w:r w:rsidR="007523FB">
        <w:rPr>
          <w:noProof/>
          <w:spacing w:val="-8"/>
        </w:rPr>
        <w:t>much</w:t>
      </w:r>
      <w:r w:rsidR="00BA0F6D">
        <w:rPr>
          <w:noProof/>
          <w:spacing w:val="-8"/>
        </w:rPr>
        <w:t xml:space="preserve"> more limited (</w:t>
      </w:r>
      <w:r w:rsidR="00D34894">
        <w:rPr>
          <w:noProof/>
          <w:spacing w:val="-8"/>
        </w:rPr>
        <w:t>3</w:t>
      </w:r>
      <w:r w:rsidR="007523FB">
        <w:rPr>
          <w:noProof/>
          <w:spacing w:val="-8"/>
        </w:rPr>
        <w:t xml:space="preserve">% </w:t>
      </w:r>
      <w:r w:rsidR="00E83C0A">
        <w:rPr>
          <w:noProof/>
          <w:spacing w:val="-8"/>
        </w:rPr>
        <w:t xml:space="preserve">increase </w:t>
      </w:r>
      <w:r w:rsidR="007523FB">
        <w:rPr>
          <w:noProof/>
          <w:spacing w:val="-8"/>
        </w:rPr>
        <w:t xml:space="preserve">in </w:t>
      </w:r>
      <w:r w:rsidR="00D34894">
        <w:rPr>
          <w:noProof/>
          <w:spacing w:val="-8"/>
        </w:rPr>
        <w:t>2030</w:t>
      </w:r>
      <w:r w:rsidR="00DF66F5">
        <w:rPr>
          <w:noProof/>
          <w:spacing w:val="-8"/>
        </w:rPr>
        <w:t>, 11% increase in 2040</w:t>
      </w:r>
      <w:r w:rsidR="00D34894">
        <w:rPr>
          <w:noProof/>
          <w:spacing w:val="-8"/>
        </w:rPr>
        <w:t xml:space="preserve"> </w:t>
      </w:r>
      <w:r w:rsidR="007523FB">
        <w:rPr>
          <w:noProof/>
          <w:spacing w:val="-8"/>
        </w:rPr>
        <w:t xml:space="preserve">and 5% in 2050). </w:t>
      </w:r>
      <w:r w:rsidR="001F2771">
        <w:rPr>
          <w:noProof/>
          <w:spacing w:val="-8"/>
        </w:rPr>
        <w:t xml:space="preserve">In addition, the </w:t>
      </w:r>
      <w:r w:rsidR="001F2771" w:rsidRPr="00AE3D94">
        <w:rPr>
          <w:noProof/>
          <w:spacing w:val="-8"/>
        </w:rPr>
        <w:t>d</w:t>
      </w:r>
      <w:r w:rsidR="00836758" w:rsidRPr="00635418">
        <w:rPr>
          <w:noProof/>
          <w:spacing w:val="-8"/>
        </w:rPr>
        <w:t xml:space="preserve">ecrease in </w:t>
      </w:r>
      <w:r w:rsidR="00C418C3">
        <w:rPr>
          <w:noProof/>
          <w:spacing w:val="-8"/>
        </w:rPr>
        <w:t xml:space="preserve">the </w:t>
      </w:r>
      <w:r w:rsidR="00836758" w:rsidRPr="00635418">
        <w:rPr>
          <w:noProof/>
          <w:spacing w:val="-8"/>
        </w:rPr>
        <w:t>average expenditure per person for interurban mobility</w:t>
      </w:r>
      <w:r w:rsidR="006F219F">
        <w:rPr>
          <w:noProof/>
          <w:spacing w:val="-8"/>
        </w:rPr>
        <w:t xml:space="preserve"> can reflect an</w:t>
      </w:r>
      <w:r w:rsidR="00836758" w:rsidRPr="00635418">
        <w:rPr>
          <w:noProof/>
          <w:spacing w:val="-8"/>
        </w:rPr>
        <w:t xml:space="preserve"> increase in competition resulting from better access and use of indispensable MDMS and indispensable RU platforms for transport operators</w:t>
      </w:r>
      <w:r w:rsidR="002F1E7D">
        <w:rPr>
          <w:noProof/>
          <w:spacing w:val="-8"/>
        </w:rPr>
        <w:t>.</w:t>
      </w:r>
      <w:r w:rsidR="00DC6819">
        <w:rPr>
          <w:noProof/>
          <w:spacing w:val="-8"/>
        </w:rPr>
        <w:t xml:space="preserve"> </w:t>
      </w:r>
      <w:r w:rsidR="007447BB">
        <w:rPr>
          <w:noProof/>
          <w:spacing w:val="-8"/>
        </w:rPr>
        <w:t>PO3</w:t>
      </w:r>
      <w:r w:rsidR="007447BB" w:rsidDel="006E6B44">
        <w:rPr>
          <w:noProof/>
          <w:spacing w:val="-8"/>
        </w:rPr>
        <w:t xml:space="preserve"> </w:t>
      </w:r>
      <w:r w:rsidR="006E6B44">
        <w:rPr>
          <w:noProof/>
          <w:spacing w:val="-8"/>
        </w:rPr>
        <w:t xml:space="preserve">shows </w:t>
      </w:r>
      <w:r w:rsidR="007447BB">
        <w:rPr>
          <w:noProof/>
          <w:spacing w:val="-8"/>
        </w:rPr>
        <w:t xml:space="preserve">the highest </w:t>
      </w:r>
      <w:r w:rsidR="00E1259D">
        <w:rPr>
          <w:noProof/>
          <w:spacing w:val="-8"/>
        </w:rPr>
        <w:t xml:space="preserve">decrease in </w:t>
      </w:r>
      <w:r w:rsidR="00C418C3">
        <w:rPr>
          <w:noProof/>
          <w:spacing w:val="-8"/>
        </w:rPr>
        <w:t xml:space="preserve">the </w:t>
      </w:r>
      <w:r w:rsidR="00E1259D">
        <w:rPr>
          <w:noProof/>
          <w:spacing w:val="-8"/>
        </w:rPr>
        <w:t xml:space="preserve">average expenditure per person </w:t>
      </w:r>
      <w:r w:rsidR="00383BA3">
        <w:rPr>
          <w:noProof/>
          <w:spacing w:val="-8"/>
        </w:rPr>
        <w:t>compared to the baseline (0.</w:t>
      </w:r>
      <w:r w:rsidR="00235930">
        <w:rPr>
          <w:noProof/>
          <w:spacing w:val="-8"/>
        </w:rPr>
        <w:t>06</w:t>
      </w:r>
      <w:r w:rsidR="00383BA3">
        <w:rPr>
          <w:noProof/>
          <w:spacing w:val="-8"/>
        </w:rPr>
        <w:t xml:space="preserve">% in </w:t>
      </w:r>
      <w:r w:rsidR="00565BE6">
        <w:rPr>
          <w:noProof/>
          <w:spacing w:val="-8"/>
        </w:rPr>
        <w:t>2030</w:t>
      </w:r>
      <w:r w:rsidR="00401070">
        <w:rPr>
          <w:noProof/>
          <w:spacing w:val="-8"/>
        </w:rPr>
        <w:t xml:space="preserve"> and </w:t>
      </w:r>
      <w:r w:rsidR="00383BA3">
        <w:rPr>
          <w:noProof/>
          <w:spacing w:val="-8"/>
        </w:rPr>
        <w:t>0.34% in 2050), followed by PO4 (0.</w:t>
      </w:r>
      <w:r w:rsidR="00576E3A">
        <w:rPr>
          <w:noProof/>
          <w:spacing w:val="-8"/>
        </w:rPr>
        <w:t>04</w:t>
      </w:r>
      <w:r w:rsidR="00383BA3">
        <w:rPr>
          <w:noProof/>
          <w:spacing w:val="-8"/>
        </w:rPr>
        <w:t xml:space="preserve">% </w:t>
      </w:r>
      <w:r w:rsidR="00567EFE">
        <w:rPr>
          <w:noProof/>
          <w:spacing w:val="-8"/>
        </w:rPr>
        <w:t>decrease</w:t>
      </w:r>
      <w:r w:rsidR="00383BA3" w:rsidRPr="00AE3D94">
        <w:rPr>
          <w:noProof/>
          <w:spacing w:val="-8"/>
        </w:rPr>
        <w:t xml:space="preserve"> </w:t>
      </w:r>
      <w:r w:rsidR="00383BA3">
        <w:rPr>
          <w:noProof/>
          <w:spacing w:val="-8"/>
        </w:rPr>
        <w:t>in 20</w:t>
      </w:r>
      <w:r w:rsidR="00576E3A">
        <w:rPr>
          <w:noProof/>
          <w:spacing w:val="-8"/>
        </w:rPr>
        <w:t>3</w:t>
      </w:r>
      <w:r w:rsidR="00383BA3">
        <w:rPr>
          <w:noProof/>
          <w:spacing w:val="-8"/>
        </w:rPr>
        <w:t>0 and 0.28% in 2050)</w:t>
      </w:r>
      <w:r w:rsidR="00700646">
        <w:rPr>
          <w:noProof/>
          <w:spacing w:val="-8"/>
        </w:rPr>
        <w:t xml:space="preserve"> and PO2 (0.</w:t>
      </w:r>
      <w:r w:rsidR="0038267C" w:rsidRPr="00AE3D94">
        <w:rPr>
          <w:noProof/>
          <w:spacing w:val="-8"/>
        </w:rPr>
        <w:t>0</w:t>
      </w:r>
      <w:r w:rsidR="0038267C">
        <w:rPr>
          <w:noProof/>
          <w:spacing w:val="-8"/>
        </w:rPr>
        <w:t>3</w:t>
      </w:r>
      <w:r w:rsidR="00700646" w:rsidRPr="00AE3D94">
        <w:rPr>
          <w:noProof/>
          <w:spacing w:val="-8"/>
        </w:rPr>
        <w:t xml:space="preserve">% </w:t>
      </w:r>
      <w:r w:rsidR="00567EFE">
        <w:rPr>
          <w:noProof/>
          <w:spacing w:val="-8"/>
        </w:rPr>
        <w:t>decrease</w:t>
      </w:r>
      <w:r w:rsidR="00700646">
        <w:rPr>
          <w:noProof/>
          <w:spacing w:val="-8"/>
        </w:rPr>
        <w:t xml:space="preserve"> in 20</w:t>
      </w:r>
      <w:r w:rsidR="00576E3A">
        <w:rPr>
          <w:noProof/>
          <w:spacing w:val="-8"/>
        </w:rPr>
        <w:t>3</w:t>
      </w:r>
      <w:r w:rsidR="00700646">
        <w:rPr>
          <w:noProof/>
          <w:spacing w:val="-8"/>
        </w:rPr>
        <w:t xml:space="preserve">0 and 0.24% in 2050). PO1 </w:t>
      </w:r>
      <w:r w:rsidR="00375191">
        <w:rPr>
          <w:noProof/>
          <w:spacing w:val="-8"/>
        </w:rPr>
        <w:t xml:space="preserve">shows limited </w:t>
      </w:r>
      <w:r w:rsidR="00806FEE">
        <w:rPr>
          <w:noProof/>
          <w:spacing w:val="-8"/>
        </w:rPr>
        <w:t>impacts</w:t>
      </w:r>
      <w:r w:rsidR="00806FEE" w:rsidRPr="00AE3D94">
        <w:rPr>
          <w:noProof/>
          <w:spacing w:val="-8"/>
        </w:rPr>
        <w:t xml:space="preserve"> </w:t>
      </w:r>
      <w:r w:rsidR="00375191">
        <w:rPr>
          <w:noProof/>
          <w:spacing w:val="-8"/>
        </w:rPr>
        <w:t>(</w:t>
      </w:r>
      <w:r w:rsidR="00375191" w:rsidRPr="00AE3D94">
        <w:rPr>
          <w:noProof/>
          <w:spacing w:val="-8"/>
        </w:rPr>
        <w:t>0.0</w:t>
      </w:r>
      <w:r w:rsidR="009F5482" w:rsidRPr="00AE3D94">
        <w:rPr>
          <w:noProof/>
          <w:spacing w:val="-8"/>
        </w:rPr>
        <w:t>1</w:t>
      </w:r>
      <w:r w:rsidR="00375191" w:rsidRPr="00AE3D94">
        <w:rPr>
          <w:noProof/>
          <w:spacing w:val="-8"/>
        </w:rPr>
        <w:t>%</w:t>
      </w:r>
      <w:r w:rsidR="0038267C">
        <w:rPr>
          <w:noProof/>
          <w:spacing w:val="-8"/>
        </w:rPr>
        <w:t xml:space="preserve"> decrease</w:t>
      </w:r>
      <w:r w:rsidR="00375191">
        <w:rPr>
          <w:noProof/>
          <w:spacing w:val="-8"/>
        </w:rPr>
        <w:t xml:space="preserve"> in 20</w:t>
      </w:r>
      <w:r w:rsidR="009F5482">
        <w:rPr>
          <w:noProof/>
          <w:spacing w:val="-8"/>
        </w:rPr>
        <w:t>3</w:t>
      </w:r>
      <w:r w:rsidR="00375191">
        <w:rPr>
          <w:noProof/>
          <w:spacing w:val="-8"/>
        </w:rPr>
        <w:t>0 and 0.05% in 2050).</w:t>
      </w:r>
      <w:r w:rsidR="00993A07">
        <w:rPr>
          <w:noProof/>
          <w:spacing w:val="-8"/>
        </w:rPr>
        <w:t xml:space="preserve"> </w:t>
      </w:r>
      <w:r w:rsidR="00D4296C">
        <w:rPr>
          <w:noProof/>
          <w:spacing w:val="-8"/>
        </w:rPr>
        <w:t xml:space="preserve">Thus, </w:t>
      </w:r>
      <w:r w:rsidR="001321D3">
        <w:rPr>
          <w:noProof/>
          <w:spacing w:val="-8"/>
        </w:rPr>
        <w:t xml:space="preserve">PO2, </w:t>
      </w:r>
      <w:r w:rsidR="00D4296C">
        <w:rPr>
          <w:noProof/>
          <w:spacing w:val="-8"/>
        </w:rPr>
        <w:t>PO3</w:t>
      </w:r>
      <w:r w:rsidR="001321D3">
        <w:rPr>
          <w:noProof/>
          <w:spacing w:val="-8"/>
        </w:rPr>
        <w:t xml:space="preserve"> and PO4</w:t>
      </w:r>
      <w:r w:rsidR="00D4296C">
        <w:rPr>
          <w:noProof/>
          <w:spacing w:val="-8"/>
        </w:rPr>
        <w:t xml:space="preserve"> contribute </w:t>
      </w:r>
      <w:r w:rsidR="00825DF7">
        <w:rPr>
          <w:noProof/>
          <w:spacing w:val="-8"/>
        </w:rPr>
        <w:t xml:space="preserve">significantly towards SO1, while the contribution of PO1 is more limited. </w:t>
      </w:r>
    </w:p>
    <w:p w14:paraId="3AB43AA6" w14:textId="2FBECB31" w:rsidR="00A81DF2" w:rsidRDefault="003F3E63" w:rsidP="004F1529">
      <w:pPr>
        <w:pStyle w:val="BodyText"/>
        <w:spacing w:after="240"/>
        <w:ind w:left="0"/>
        <w:rPr>
          <w:noProof/>
          <w:spacing w:val="-8"/>
        </w:rPr>
      </w:pPr>
      <w:r>
        <w:rPr>
          <w:noProof/>
          <w:spacing w:val="-8"/>
        </w:rPr>
        <w:t>Concerning SO2 (</w:t>
      </w:r>
      <w:r w:rsidRPr="009E5A87">
        <w:rPr>
          <w:i/>
          <w:noProof/>
          <w:spacing w:val="-8"/>
        </w:rPr>
        <w:t xml:space="preserve">Improve completeness </w:t>
      </w:r>
      <w:r w:rsidR="00677350" w:rsidRPr="005D2D60">
        <w:rPr>
          <w:i/>
          <w:noProof/>
          <w:spacing w:val="-8"/>
        </w:rPr>
        <w:t xml:space="preserve">of rail offer on MDMS </w:t>
      </w:r>
      <w:r w:rsidR="00B3099B" w:rsidRPr="005D2D60">
        <w:rPr>
          <w:i/>
          <w:noProof/>
          <w:spacing w:val="-8"/>
        </w:rPr>
        <w:t>platforms</w:t>
      </w:r>
      <w:r w:rsidR="00677350" w:rsidRPr="005D2D60">
        <w:rPr>
          <w:i/>
          <w:noProof/>
          <w:spacing w:val="-8"/>
        </w:rPr>
        <w:t xml:space="preserve">, including indispensable RU </w:t>
      </w:r>
      <w:r w:rsidR="009E5A87" w:rsidRPr="005D2D60">
        <w:rPr>
          <w:i/>
          <w:noProof/>
          <w:spacing w:val="-8"/>
        </w:rPr>
        <w:t>platforms</w:t>
      </w:r>
      <w:r w:rsidR="009E5A87">
        <w:rPr>
          <w:noProof/>
          <w:spacing w:val="-8"/>
        </w:rPr>
        <w:t xml:space="preserve">), the increase in </w:t>
      </w:r>
      <w:r w:rsidR="009E5A87" w:rsidRPr="009E5A87">
        <w:rPr>
          <w:noProof/>
          <w:spacing w:val="-8"/>
        </w:rPr>
        <w:t>the transport activity by rail</w:t>
      </w:r>
      <w:r w:rsidR="00CB0E6E">
        <w:rPr>
          <w:noProof/>
          <w:spacing w:val="-8"/>
        </w:rPr>
        <w:t>,</w:t>
      </w:r>
      <w:r w:rsidR="009E5A87">
        <w:rPr>
          <w:noProof/>
          <w:spacing w:val="-8"/>
        </w:rPr>
        <w:t xml:space="preserve"> </w:t>
      </w:r>
      <w:r w:rsidR="00367491">
        <w:rPr>
          <w:noProof/>
          <w:spacing w:val="-8"/>
        </w:rPr>
        <w:t>compared to the baseline</w:t>
      </w:r>
      <w:r w:rsidR="00CB0E6E">
        <w:rPr>
          <w:noProof/>
          <w:spacing w:val="-8"/>
        </w:rPr>
        <w:t>,</w:t>
      </w:r>
      <w:r w:rsidR="00367491">
        <w:rPr>
          <w:noProof/>
          <w:spacing w:val="-8"/>
        </w:rPr>
        <w:t xml:space="preserve"> </w:t>
      </w:r>
      <w:r w:rsidR="00DF2BF1">
        <w:rPr>
          <w:noProof/>
          <w:spacing w:val="-8"/>
        </w:rPr>
        <w:t>can serve as a meaningful indicator</w:t>
      </w:r>
      <w:r w:rsidR="00C56906" w:rsidRPr="00C56906">
        <w:rPr>
          <w:noProof/>
          <w:spacing w:val="-8"/>
        </w:rPr>
        <w:t xml:space="preserve"> of passengers’ ability to find, compare, and purchase </w:t>
      </w:r>
      <w:r w:rsidR="009E64A1">
        <w:rPr>
          <w:noProof/>
          <w:spacing w:val="-8"/>
        </w:rPr>
        <w:t xml:space="preserve">rail </w:t>
      </w:r>
      <w:r w:rsidR="00C56906" w:rsidRPr="00C56906">
        <w:rPr>
          <w:noProof/>
          <w:spacing w:val="-8"/>
        </w:rPr>
        <w:t>tickets</w:t>
      </w:r>
      <w:r w:rsidR="00B740C9">
        <w:rPr>
          <w:noProof/>
          <w:spacing w:val="-8"/>
        </w:rPr>
        <w:t>.</w:t>
      </w:r>
      <w:r w:rsidR="00C56906" w:rsidRPr="00C56906">
        <w:rPr>
          <w:noProof/>
          <w:spacing w:val="-8"/>
        </w:rPr>
        <w:t xml:space="preserve"> </w:t>
      </w:r>
      <w:r w:rsidR="00461872" w:rsidRPr="00AE3D94">
        <w:rPr>
          <w:noProof/>
          <w:spacing w:val="-8"/>
        </w:rPr>
        <w:t xml:space="preserve">PO3 </w:t>
      </w:r>
      <w:r w:rsidR="00C8154F" w:rsidRPr="00AE3D94">
        <w:rPr>
          <w:noProof/>
          <w:spacing w:val="-8"/>
        </w:rPr>
        <w:t>shows the</w:t>
      </w:r>
      <w:r w:rsidR="00532984">
        <w:rPr>
          <w:noProof/>
          <w:spacing w:val="-8"/>
        </w:rPr>
        <w:t xml:space="preserve"> highest contribution towards SO2</w:t>
      </w:r>
      <w:r w:rsidR="00C8154F">
        <w:rPr>
          <w:noProof/>
          <w:spacing w:val="-8"/>
        </w:rPr>
        <w:t xml:space="preserve"> with a</w:t>
      </w:r>
      <w:r w:rsidR="00C97324">
        <w:rPr>
          <w:noProof/>
          <w:spacing w:val="-8"/>
        </w:rPr>
        <w:t xml:space="preserve"> </w:t>
      </w:r>
      <w:r w:rsidR="00537F16">
        <w:rPr>
          <w:noProof/>
          <w:spacing w:val="-8"/>
        </w:rPr>
        <w:t>2.5</w:t>
      </w:r>
      <w:r w:rsidR="00C97324">
        <w:rPr>
          <w:noProof/>
          <w:spacing w:val="-8"/>
        </w:rPr>
        <w:t>%</w:t>
      </w:r>
      <w:r w:rsidR="009809FB">
        <w:rPr>
          <w:noProof/>
          <w:spacing w:val="-8"/>
        </w:rPr>
        <w:t xml:space="preserve"> increase </w:t>
      </w:r>
      <w:r w:rsidR="009809FB" w:rsidRPr="00EC2809">
        <w:rPr>
          <w:noProof/>
          <w:spacing w:val="-8"/>
        </w:rPr>
        <w:t xml:space="preserve">in </w:t>
      </w:r>
      <w:r w:rsidR="00EC2809" w:rsidRPr="00EC2809">
        <w:rPr>
          <w:noProof/>
          <w:spacing w:val="-8"/>
        </w:rPr>
        <w:t xml:space="preserve">transport activity by rail </w:t>
      </w:r>
      <w:r w:rsidR="00F43386">
        <w:rPr>
          <w:noProof/>
          <w:spacing w:val="-8"/>
        </w:rPr>
        <w:t>in</w:t>
      </w:r>
      <w:r w:rsidR="00EC2809" w:rsidRPr="00AE3D94">
        <w:rPr>
          <w:noProof/>
          <w:spacing w:val="-8"/>
        </w:rPr>
        <w:t xml:space="preserve"> 2030</w:t>
      </w:r>
      <w:r w:rsidR="00FF31A9">
        <w:rPr>
          <w:noProof/>
          <w:spacing w:val="-8"/>
        </w:rPr>
        <w:t>,</w:t>
      </w:r>
      <w:r w:rsidR="00EC2809" w:rsidRPr="00AE3D94">
        <w:rPr>
          <w:noProof/>
          <w:spacing w:val="-8"/>
        </w:rPr>
        <w:t xml:space="preserve"> and </w:t>
      </w:r>
      <w:r w:rsidR="00F43386">
        <w:rPr>
          <w:noProof/>
          <w:spacing w:val="-8"/>
        </w:rPr>
        <w:t>4.8%</w:t>
      </w:r>
      <w:r w:rsidR="00EC2809" w:rsidRPr="00AE3D94">
        <w:rPr>
          <w:noProof/>
          <w:spacing w:val="-8"/>
        </w:rPr>
        <w:t xml:space="preserve"> </w:t>
      </w:r>
      <w:r w:rsidR="005C3C0D">
        <w:rPr>
          <w:noProof/>
          <w:spacing w:val="-8"/>
        </w:rPr>
        <w:t>in</w:t>
      </w:r>
      <w:r w:rsidR="00EC2809" w:rsidRPr="00AE3D94">
        <w:rPr>
          <w:noProof/>
          <w:spacing w:val="-8"/>
        </w:rPr>
        <w:t xml:space="preserve"> </w:t>
      </w:r>
      <w:r w:rsidR="00EC2809" w:rsidRPr="00EC2809">
        <w:rPr>
          <w:noProof/>
          <w:spacing w:val="-8"/>
        </w:rPr>
        <w:t>2050</w:t>
      </w:r>
      <w:r w:rsidR="00DE4796">
        <w:rPr>
          <w:noProof/>
          <w:spacing w:val="-8"/>
        </w:rPr>
        <w:t>,</w:t>
      </w:r>
      <w:r w:rsidR="00EC2809" w:rsidRPr="00EC2809">
        <w:rPr>
          <w:noProof/>
          <w:spacing w:val="-8"/>
        </w:rPr>
        <w:t xml:space="preserve"> relative to the baseline</w:t>
      </w:r>
      <w:r w:rsidR="00040113" w:rsidRPr="00AE3D94">
        <w:rPr>
          <w:noProof/>
          <w:spacing w:val="-8"/>
        </w:rPr>
        <w:t>.</w:t>
      </w:r>
      <w:r w:rsidR="00040113">
        <w:rPr>
          <w:noProof/>
          <w:spacing w:val="-8"/>
        </w:rPr>
        <w:t xml:space="preserve"> </w:t>
      </w:r>
      <w:r w:rsidR="00056EF0">
        <w:rPr>
          <w:noProof/>
          <w:spacing w:val="-8"/>
        </w:rPr>
        <w:t xml:space="preserve">The combined effect of the obligation for indispensable RU platforms to integrate </w:t>
      </w:r>
      <w:r w:rsidR="062B4636">
        <w:rPr>
          <w:noProof/>
          <w:spacing w:val="-8"/>
        </w:rPr>
        <w:t>requesting</w:t>
      </w:r>
      <w:r w:rsidR="00056EF0">
        <w:rPr>
          <w:noProof/>
          <w:spacing w:val="-8"/>
        </w:rPr>
        <w:t xml:space="preserve"> operators (PM14) with the obligation for indispensable RUs to share their tickets</w:t>
      </w:r>
      <w:r w:rsidR="00720B0D">
        <w:rPr>
          <w:noProof/>
          <w:spacing w:val="-8"/>
        </w:rPr>
        <w:t xml:space="preserve"> (PM13)</w:t>
      </w:r>
      <w:r w:rsidR="00056EF0">
        <w:rPr>
          <w:noProof/>
          <w:spacing w:val="-8"/>
        </w:rPr>
        <w:t xml:space="preserve">, only </w:t>
      </w:r>
      <w:r w:rsidR="00415CFB">
        <w:rPr>
          <w:noProof/>
          <w:spacing w:val="-8"/>
        </w:rPr>
        <w:t xml:space="preserve">included </w:t>
      </w:r>
      <w:r w:rsidR="00056EF0">
        <w:rPr>
          <w:noProof/>
          <w:spacing w:val="-8"/>
        </w:rPr>
        <w:t xml:space="preserve">in PO3 can explain this result. </w:t>
      </w:r>
      <w:r w:rsidR="004D35D4">
        <w:rPr>
          <w:noProof/>
          <w:spacing w:val="-8"/>
        </w:rPr>
        <w:t xml:space="preserve">The sharing obligation </w:t>
      </w:r>
      <w:r w:rsidR="005B43EF">
        <w:rPr>
          <w:noProof/>
          <w:spacing w:val="-8"/>
        </w:rPr>
        <w:t xml:space="preserve">is necessary to allow platforms to </w:t>
      </w:r>
      <w:r w:rsidR="00FC15DD">
        <w:rPr>
          <w:noProof/>
          <w:spacing w:val="-8"/>
        </w:rPr>
        <w:t>create a</w:t>
      </w:r>
      <w:r w:rsidR="00A01432">
        <w:rPr>
          <w:noProof/>
          <w:spacing w:val="-8"/>
        </w:rPr>
        <w:t xml:space="preserve"> complete</w:t>
      </w:r>
      <w:r w:rsidR="00FC15DD">
        <w:rPr>
          <w:noProof/>
          <w:spacing w:val="-8"/>
        </w:rPr>
        <w:t xml:space="preserve"> overview</w:t>
      </w:r>
      <w:r w:rsidR="004D35D4">
        <w:rPr>
          <w:noProof/>
          <w:spacing w:val="-8"/>
        </w:rPr>
        <w:t xml:space="preserve"> </w:t>
      </w:r>
      <w:r w:rsidR="00CC6F22">
        <w:rPr>
          <w:noProof/>
          <w:spacing w:val="-8"/>
        </w:rPr>
        <w:t xml:space="preserve">of the </w:t>
      </w:r>
      <w:r w:rsidR="00F40B78">
        <w:rPr>
          <w:noProof/>
          <w:spacing w:val="-8"/>
        </w:rPr>
        <w:t xml:space="preserve">rail </w:t>
      </w:r>
      <w:r w:rsidR="00A01432">
        <w:rPr>
          <w:noProof/>
          <w:spacing w:val="-8"/>
        </w:rPr>
        <w:t>services</w:t>
      </w:r>
      <w:r w:rsidR="00CC6F22">
        <w:rPr>
          <w:noProof/>
          <w:spacing w:val="-8"/>
        </w:rPr>
        <w:t xml:space="preserve"> offer</w:t>
      </w:r>
      <w:r w:rsidR="00A01432">
        <w:rPr>
          <w:noProof/>
          <w:spacing w:val="-8"/>
        </w:rPr>
        <w:t xml:space="preserve"> for passengers</w:t>
      </w:r>
      <w:r w:rsidR="008F247C">
        <w:rPr>
          <w:noProof/>
          <w:spacing w:val="-8"/>
        </w:rPr>
        <w:t xml:space="preserve"> –</w:t>
      </w:r>
      <w:r w:rsidR="00CC6F22">
        <w:rPr>
          <w:noProof/>
          <w:spacing w:val="-8"/>
        </w:rPr>
        <w:t xml:space="preserve"> </w:t>
      </w:r>
      <w:r w:rsidR="00A93F28">
        <w:rPr>
          <w:noProof/>
          <w:spacing w:val="-8"/>
        </w:rPr>
        <w:t>in terms of both connections</w:t>
      </w:r>
      <w:r w:rsidR="0079615A">
        <w:rPr>
          <w:noProof/>
          <w:spacing w:val="-8"/>
        </w:rPr>
        <w:t xml:space="preserve"> and </w:t>
      </w:r>
      <w:r w:rsidR="00A93F28">
        <w:rPr>
          <w:noProof/>
          <w:spacing w:val="-8"/>
        </w:rPr>
        <w:t>fares</w:t>
      </w:r>
      <w:r w:rsidR="008F247C">
        <w:rPr>
          <w:noProof/>
          <w:spacing w:val="-8"/>
        </w:rPr>
        <w:t xml:space="preserve"> –</w:t>
      </w:r>
      <w:r w:rsidR="00A93F28">
        <w:rPr>
          <w:noProof/>
          <w:spacing w:val="-8"/>
        </w:rPr>
        <w:t xml:space="preserve"> </w:t>
      </w:r>
      <w:r w:rsidR="00CC6F22">
        <w:rPr>
          <w:noProof/>
          <w:spacing w:val="-8"/>
        </w:rPr>
        <w:t xml:space="preserve">to </w:t>
      </w:r>
      <w:r w:rsidR="0079615A">
        <w:rPr>
          <w:noProof/>
          <w:spacing w:val="-8"/>
        </w:rPr>
        <w:t xml:space="preserve">sell tickets and </w:t>
      </w:r>
      <w:r w:rsidR="00CC6F22">
        <w:rPr>
          <w:noProof/>
          <w:spacing w:val="-8"/>
        </w:rPr>
        <w:t>to combine tickets of different operators into single journeys</w:t>
      </w:r>
      <w:r w:rsidR="00285985">
        <w:rPr>
          <w:noProof/>
          <w:spacing w:val="-8"/>
        </w:rPr>
        <w:t xml:space="preserve">. </w:t>
      </w:r>
      <w:r w:rsidR="001710AD">
        <w:rPr>
          <w:noProof/>
          <w:spacing w:val="-8"/>
        </w:rPr>
        <w:t xml:space="preserve">Such complete </w:t>
      </w:r>
      <w:r w:rsidR="00056B0C">
        <w:rPr>
          <w:noProof/>
          <w:spacing w:val="-8"/>
        </w:rPr>
        <w:t>ticketing</w:t>
      </w:r>
      <w:r w:rsidR="001710AD">
        <w:rPr>
          <w:noProof/>
          <w:spacing w:val="-8"/>
        </w:rPr>
        <w:t xml:space="preserve"> offer is likely to materialise on independent platforms</w:t>
      </w:r>
      <w:r w:rsidR="00504FED">
        <w:rPr>
          <w:noProof/>
          <w:spacing w:val="-8"/>
        </w:rPr>
        <w:t>,</w:t>
      </w:r>
      <w:r w:rsidR="001710AD">
        <w:rPr>
          <w:noProof/>
          <w:spacing w:val="-8"/>
        </w:rPr>
        <w:t xml:space="preserve"> </w:t>
      </w:r>
      <w:r w:rsidR="005D2576">
        <w:rPr>
          <w:noProof/>
          <w:spacing w:val="-8"/>
        </w:rPr>
        <w:t>who</w:t>
      </w:r>
      <w:r w:rsidR="00CC26ED">
        <w:rPr>
          <w:noProof/>
          <w:spacing w:val="-8"/>
        </w:rPr>
        <w:t>se business model is</w:t>
      </w:r>
      <w:r w:rsidR="00455581">
        <w:rPr>
          <w:noProof/>
          <w:spacing w:val="-8"/>
        </w:rPr>
        <w:t xml:space="preserve"> to </w:t>
      </w:r>
      <w:r w:rsidR="00584F8C">
        <w:rPr>
          <w:noProof/>
          <w:spacing w:val="-8"/>
        </w:rPr>
        <w:t xml:space="preserve">sell </w:t>
      </w:r>
      <w:r w:rsidR="005C0D38">
        <w:rPr>
          <w:noProof/>
          <w:spacing w:val="-8"/>
        </w:rPr>
        <w:t>their services to</w:t>
      </w:r>
      <w:r w:rsidR="00FF1DD3">
        <w:rPr>
          <w:noProof/>
          <w:spacing w:val="-8"/>
        </w:rPr>
        <w:t xml:space="preserve"> </w:t>
      </w:r>
      <w:r w:rsidR="002F132E">
        <w:rPr>
          <w:noProof/>
          <w:spacing w:val="-8"/>
        </w:rPr>
        <w:t xml:space="preserve">any </w:t>
      </w:r>
      <w:r w:rsidR="005C0D38">
        <w:rPr>
          <w:noProof/>
          <w:spacing w:val="-8"/>
        </w:rPr>
        <w:t xml:space="preserve">RU </w:t>
      </w:r>
      <w:r w:rsidR="003178CB">
        <w:rPr>
          <w:noProof/>
          <w:spacing w:val="-8"/>
        </w:rPr>
        <w:t>and att</w:t>
      </w:r>
      <w:r w:rsidR="006E555D">
        <w:rPr>
          <w:noProof/>
          <w:spacing w:val="-8"/>
        </w:rPr>
        <w:t xml:space="preserve">ract as many </w:t>
      </w:r>
      <w:r w:rsidR="005537F2">
        <w:rPr>
          <w:noProof/>
          <w:spacing w:val="-8"/>
        </w:rPr>
        <w:t>users</w:t>
      </w:r>
      <w:r w:rsidR="006E555D">
        <w:rPr>
          <w:noProof/>
          <w:spacing w:val="-8"/>
        </w:rPr>
        <w:t xml:space="preserve"> </w:t>
      </w:r>
      <w:r w:rsidR="005C0D38">
        <w:rPr>
          <w:noProof/>
          <w:spacing w:val="-8"/>
        </w:rPr>
        <w:t>as possible</w:t>
      </w:r>
      <w:r w:rsidR="008B27D7">
        <w:rPr>
          <w:noProof/>
          <w:spacing w:val="-8"/>
        </w:rPr>
        <w:t xml:space="preserve">. </w:t>
      </w:r>
      <w:r w:rsidR="00056B0C">
        <w:rPr>
          <w:noProof/>
          <w:spacing w:val="-8"/>
        </w:rPr>
        <w:t>Incumbent</w:t>
      </w:r>
      <w:r w:rsidR="007E74FD">
        <w:rPr>
          <w:noProof/>
          <w:spacing w:val="-8"/>
        </w:rPr>
        <w:t xml:space="preserve"> platform</w:t>
      </w:r>
      <w:r w:rsidR="002461BC">
        <w:rPr>
          <w:noProof/>
          <w:spacing w:val="-8"/>
        </w:rPr>
        <w:t>s</w:t>
      </w:r>
      <w:r w:rsidR="00056B0C">
        <w:rPr>
          <w:noProof/>
          <w:spacing w:val="-8"/>
        </w:rPr>
        <w:t>, o</w:t>
      </w:r>
      <w:r w:rsidR="002D0384">
        <w:rPr>
          <w:noProof/>
          <w:spacing w:val="-8"/>
        </w:rPr>
        <w:t>n the other hand</w:t>
      </w:r>
      <w:r w:rsidR="00E72DEE">
        <w:rPr>
          <w:noProof/>
          <w:spacing w:val="-8"/>
        </w:rPr>
        <w:t xml:space="preserve">, </w:t>
      </w:r>
      <w:r w:rsidR="002461BC">
        <w:rPr>
          <w:noProof/>
          <w:spacing w:val="-8"/>
        </w:rPr>
        <w:t xml:space="preserve">could already </w:t>
      </w:r>
      <w:r w:rsidR="00EB0408">
        <w:rPr>
          <w:noProof/>
          <w:spacing w:val="-8"/>
        </w:rPr>
        <w:t>host a larger number</w:t>
      </w:r>
      <w:r w:rsidR="002461BC">
        <w:rPr>
          <w:noProof/>
          <w:spacing w:val="-8"/>
        </w:rPr>
        <w:t xml:space="preserve"> </w:t>
      </w:r>
      <w:r w:rsidR="00786B10">
        <w:rPr>
          <w:noProof/>
          <w:spacing w:val="-8"/>
        </w:rPr>
        <w:t xml:space="preserve">of </w:t>
      </w:r>
      <w:r w:rsidR="00EB0408">
        <w:rPr>
          <w:noProof/>
          <w:spacing w:val="-8"/>
        </w:rPr>
        <w:t>operators,</w:t>
      </w:r>
      <w:r w:rsidR="00786B10">
        <w:rPr>
          <w:noProof/>
          <w:spacing w:val="-8"/>
        </w:rPr>
        <w:t xml:space="preserve"> </w:t>
      </w:r>
      <w:r w:rsidR="002461BC">
        <w:rPr>
          <w:noProof/>
          <w:spacing w:val="-8"/>
        </w:rPr>
        <w:t>but decide not to do so</w:t>
      </w:r>
      <w:r w:rsidR="00E41DCE">
        <w:rPr>
          <w:noProof/>
          <w:spacing w:val="-8"/>
        </w:rPr>
        <w:t xml:space="preserve"> and </w:t>
      </w:r>
      <w:r w:rsidR="004A712C">
        <w:rPr>
          <w:noProof/>
          <w:spacing w:val="-8"/>
        </w:rPr>
        <w:t>are</w:t>
      </w:r>
      <w:r w:rsidR="00E41DCE">
        <w:rPr>
          <w:noProof/>
          <w:spacing w:val="-8"/>
        </w:rPr>
        <w:t xml:space="preserve"> </w:t>
      </w:r>
      <w:r w:rsidR="000B422C">
        <w:rPr>
          <w:noProof/>
          <w:spacing w:val="-8"/>
        </w:rPr>
        <w:t>un</w:t>
      </w:r>
      <w:r w:rsidR="004A712C">
        <w:rPr>
          <w:noProof/>
          <w:spacing w:val="-8"/>
        </w:rPr>
        <w:t xml:space="preserve">likely to change their behaviour </w:t>
      </w:r>
      <w:r w:rsidR="00BA0E45">
        <w:rPr>
          <w:noProof/>
          <w:spacing w:val="-8"/>
        </w:rPr>
        <w:t>because</w:t>
      </w:r>
      <w:r w:rsidR="004A712C">
        <w:rPr>
          <w:noProof/>
          <w:spacing w:val="-8"/>
        </w:rPr>
        <w:t xml:space="preserve"> of the sharing obligation</w:t>
      </w:r>
      <w:r w:rsidR="002461BC">
        <w:rPr>
          <w:noProof/>
          <w:spacing w:val="-8"/>
        </w:rPr>
        <w:t>.</w:t>
      </w:r>
      <w:r w:rsidR="00470CE0">
        <w:rPr>
          <w:noProof/>
          <w:spacing w:val="-8"/>
        </w:rPr>
        <w:t xml:space="preserve"> </w:t>
      </w:r>
      <w:r w:rsidR="002467C5">
        <w:rPr>
          <w:noProof/>
          <w:spacing w:val="-8"/>
        </w:rPr>
        <w:t>I</w:t>
      </w:r>
      <w:r w:rsidR="00C45FEA">
        <w:rPr>
          <w:noProof/>
          <w:spacing w:val="-8"/>
        </w:rPr>
        <w:t>n this context, i</w:t>
      </w:r>
      <w:r w:rsidR="002467C5">
        <w:rPr>
          <w:noProof/>
          <w:spacing w:val="-8"/>
        </w:rPr>
        <w:t xml:space="preserve">f </w:t>
      </w:r>
      <w:r w:rsidR="00A33757">
        <w:rPr>
          <w:noProof/>
          <w:spacing w:val="-8"/>
        </w:rPr>
        <w:t xml:space="preserve">passengers </w:t>
      </w:r>
      <w:r w:rsidR="00D91715">
        <w:rPr>
          <w:noProof/>
          <w:spacing w:val="-8"/>
        </w:rPr>
        <w:t>were able</w:t>
      </w:r>
      <w:r w:rsidR="00455581">
        <w:rPr>
          <w:noProof/>
          <w:spacing w:val="-8"/>
        </w:rPr>
        <w:t xml:space="preserve"> to </w:t>
      </w:r>
      <w:r w:rsidR="00D91715">
        <w:rPr>
          <w:noProof/>
          <w:spacing w:val="-8"/>
        </w:rPr>
        <w:t xml:space="preserve">easily </w:t>
      </w:r>
      <w:r w:rsidR="001841B2">
        <w:rPr>
          <w:noProof/>
          <w:spacing w:val="-8"/>
        </w:rPr>
        <w:t xml:space="preserve">compare the </w:t>
      </w:r>
      <w:r w:rsidR="00B111C9">
        <w:rPr>
          <w:noProof/>
          <w:spacing w:val="-8"/>
        </w:rPr>
        <w:t xml:space="preserve">platforms’ </w:t>
      </w:r>
      <w:r w:rsidR="00436D20">
        <w:rPr>
          <w:noProof/>
          <w:spacing w:val="-8"/>
        </w:rPr>
        <w:t>offer</w:t>
      </w:r>
      <w:r w:rsidR="00B111C9">
        <w:rPr>
          <w:noProof/>
          <w:spacing w:val="-8"/>
        </w:rPr>
        <w:t>s</w:t>
      </w:r>
      <w:r w:rsidR="00AE0262">
        <w:rPr>
          <w:noProof/>
          <w:spacing w:val="-8"/>
        </w:rPr>
        <w:t xml:space="preserve"> and</w:t>
      </w:r>
      <w:r w:rsidR="00436D20">
        <w:rPr>
          <w:noProof/>
          <w:spacing w:val="-8"/>
        </w:rPr>
        <w:t xml:space="preserve"> detect </w:t>
      </w:r>
      <w:r w:rsidR="00752E13">
        <w:rPr>
          <w:noProof/>
          <w:spacing w:val="-8"/>
        </w:rPr>
        <w:t>which ones are incomplete and what is missing</w:t>
      </w:r>
      <w:r w:rsidR="00C45FEA">
        <w:rPr>
          <w:noProof/>
          <w:spacing w:val="-8"/>
        </w:rPr>
        <w:t>;</w:t>
      </w:r>
      <w:r w:rsidR="00752E13">
        <w:rPr>
          <w:noProof/>
          <w:spacing w:val="-8"/>
        </w:rPr>
        <w:t xml:space="preserve"> </w:t>
      </w:r>
      <w:r w:rsidR="00C45FEA">
        <w:rPr>
          <w:noProof/>
          <w:spacing w:val="-8"/>
        </w:rPr>
        <w:t xml:space="preserve">if they </w:t>
      </w:r>
      <w:r w:rsidR="00097E72">
        <w:rPr>
          <w:noProof/>
          <w:spacing w:val="-8"/>
        </w:rPr>
        <w:t xml:space="preserve">were </w:t>
      </w:r>
      <w:r w:rsidR="00281DDA">
        <w:rPr>
          <w:noProof/>
          <w:spacing w:val="-8"/>
        </w:rPr>
        <w:t>willing</w:t>
      </w:r>
      <w:r w:rsidR="00097E72">
        <w:rPr>
          <w:noProof/>
          <w:spacing w:val="-8"/>
        </w:rPr>
        <w:t xml:space="preserve"> to </w:t>
      </w:r>
      <w:r w:rsidR="00100800">
        <w:rPr>
          <w:noProof/>
          <w:spacing w:val="-8"/>
        </w:rPr>
        <w:t>modify their purchasing habits</w:t>
      </w:r>
      <w:r w:rsidR="00C45FEA">
        <w:rPr>
          <w:noProof/>
          <w:spacing w:val="-8"/>
        </w:rPr>
        <w:t>;</w:t>
      </w:r>
      <w:r w:rsidR="00100800">
        <w:rPr>
          <w:noProof/>
          <w:spacing w:val="-8"/>
        </w:rPr>
        <w:t xml:space="preserve"> </w:t>
      </w:r>
      <w:r w:rsidR="00011075">
        <w:rPr>
          <w:noProof/>
          <w:spacing w:val="-8"/>
        </w:rPr>
        <w:t xml:space="preserve">and </w:t>
      </w:r>
      <w:r w:rsidR="00C45FEA">
        <w:rPr>
          <w:noProof/>
          <w:spacing w:val="-8"/>
        </w:rPr>
        <w:t>if they</w:t>
      </w:r>
      <w:r w:rsidR="00011075">
        <w:rPr>
          <w:noProof/>
          <w:spacing w:val="-8"/>
        </w:rPr>
        <w:t xml:space="preserve"> </w:t>
      </w:r>
      <w:r w:rsidR="005A2FA1">
        <w:rPr>
          <w:noProof/>
          <w:spacing w:val="-8"/>
        </w:rPr>
        <w:t xml:space="preserve">were </w:t>
      </w:r>
      <w:r w:rsidR="00281DDA">
        <w:rPr>
          <w:noProof/>
          <w:spacing w:val="-8"/>
        </w:rPr>
        <w:t xml:space="preserve">ready to trust </w:t>
      </w:r>
      <w:r w:rsidR="007561DE">
        <w:rPr>
          <w:noProof/>
          <w:spacing w:val="-8"/>
        </w:rPr>
        <w:t>the reliability</w:t>
      </w:r>
      <w:r w:rsidR="00331A64">
        <w:rPr>
          <w:noProof/>
          <w:spacing w:val="-8"/>
        </w:rPr>
        <w:t xml:space="preserve"> and security</w:t>
      </w:r>
      <w:r w:rsidR="005A2FA1">
        <w:rPr>
          <w:noProof/>
          <w:spacing w:val="-8"/>
        </w:rPr>
        <w:t xml:space="preserve"> </w:t>
      </w:r>
      <w:r w:rsidR="007561DE">
        <w:rPr>
          <w:noProof/>
          <w:spacing w:val="-8"/>
        </w:rPr>
        <w:t xml:space="preserve">of </w:t>
      </w:r>
      <w:r w:rsidR="00331A64">
        <w:rPr>
          <w:noProof/>
          <w:spacing w:val="-8"/>
        </w:rPr>
        <w:t xml:space="preserve">alternative </w:t>
      </w:r>
      <w:r w:rsidR="00CC4FD2">
        <w:rPr>
          <w:noProof/>
          <w:spacing w:val="-8"/>
        </w:rPr>
        <w:t>online distribution services</w:t>
      </w:r>
      <w:r w:rsidR="00BE01D3">
        <w:rPr>
          <w:noProof/>
          <w:spacing w:val="-8"/>
        </w:rPr>
        <w:t>, the sharing obligation would</w:t>
      </w:r>
      <w:r w:rsidR="00B13A66">
        <w:rPr>
          <w:noProof/>
          <w:spacing w:val="-8"/>
        </w:rPr>
        <w:t xml:space="preserve"> </w:t>
      </w:r>
      <w:r w:rsidR="00AC209A">
        <w:rPr>
          <w:noProof/>
          <w:spacing w:val="-8"/>
        </w:rPr>
        <w:t xml:space="preserve">go a long way towards </w:t>
      </w:r>
      <w:r w:rsidR="00B42326">
        <w:rPr>
          <w:noProof/>
          <w:spacing w:val="-8"/>
        </w:rPr>
        <w:t>providing passengers with a satisfactory solution.</w:t>
      </w:r>
      <w:r w:rsidR="00CC6F22">
        <w:rPr>
          <w:noProof/>
          <w:spacing w:val="-8"/>
        </w:rPr>
        <w:t xml:space="preserve"> </w:t>
      </w:r>
      <w:r w:rsidR="002A4800">
        <w:rPr>
          <w:noProof/>
          <w:spacing w:val="-8"/>
        </w:rPr>
        <w:t>However, in most Member States</w:t>
      </w:r>
      <w:r w:rsidR="00171A3B">
        <w:rPr>
          <w:noProof/>
          <w:spacing w:val="-8"/>
        </w:rPr>
        <w:t>, notwithstanding the presence of independent platform</w:t>
      </w:r>
      <w:r w:rsidR="00AF74D9">
        <w:rPr>
          <w:noProof/>
          <w:spacing w:val="-8"/>
        </w:rPr>
        <w:t>s,</w:t>
      </w:r>
      <w:r w:rsidR="002A4800">
        <w:rPr>
          <w:noProof/>
          <w:spacing w:val="-8"/>
        </w:rPr>
        <w:t xml:space="preserve"> the platform owned by</w:t>
      </w:r>
      <w:r w:rsidR="00A40FB9">
        <w:rPr>
          <w:noProof/>
          <w:spacing w:val="-8"/>
        </w:rPr>
        <w:t xml:space="preserve"> the incumbent RU </w:t>
      </w:r>
      <w:r w:rsidR="0030723B">
        <w:rPr>
          <w:noProof/>
          <w:spacing w:val="-8"/>
        </w:rPr>
        <w:t>is</w:t>
      </w:r>
      <w:r w:rsidR="00A40FB9">
        <w:rPr>
          <w:noProof/>
          <w:spacing w:val="-8"/>
        </w:rPr>
        <w:t xml:space="preserve"> </w:t>
      </w:r>
      <w:r w:rsidR="00102330">
        <w:rPr>
          <w:noProof/>
          <w:spacing w:val="-8"/>
        </w:rPr>
        <w:t xml:space="preserve">still </w:t>
      </w:r>
      <w:r w:rsidR="00A40FB9">
        <w:rPr>
          <w:noProof/>
          <w:spacing w:val="-8"/>
        </w:rPr>
        <w:t xml:space="preserve">the go-to platform for passengers wishing to buy a ticket. </w:t>
      </w:r>
      <w:r w:rsidR="0030723B">
        <w:rPr>
          <w:noProof/>
          <w:spacing w:val="-8"/>
        </w:rPr>
        <w:t>Where these websites sell tickets</w:t>
      </w:r>
      <w:r w:rsidR="00503E4C">
        <w:rPr>
          <w:noProof/>
          <w:spacing w:val="-8"/>
        </w:rPr>
        <w:t xml:space="preserve"> of</w:t>
      </w:r>
      <w:r w:rsidR="0030723B">
        <w:rPr>
          <w:noProof/>
          <w:spacing w:val="-8"/>
        </w:rPr>
        <w:t xml:space="preserve"> some other </w:t>
      </w:r>
      <w:r w:rsidR="00503E4C">
        <w:rPr>
          <w:noProof/>
          <w:spacing w:val="-8"/>
        </w:rPr>
        <w:t>companies</w:t>
      </w:r>
      <w:r w:rsidR="0030723B">
        <w:rPr>
          <w:noProof/>
          <w:spacing w:val="-8"/>
        </w:rPr>
        <w:t xml:space="preserve">, but not all, it is </w:t>
      </w:r>
      <w:r w:rsidR="00503E4C">
        <w:rPr>
          <w:noProof/>
          <w:spacing w:val="-8"/>
        </w:rPr>
        <w:t>difficult for passengers to see that they are being presented with an incomplete offer</w:t>
      </w:r>
      <w:r w:rsidR="00C91368">
        <w:rPr>
          <w:noProof/>
          <w:spacing w:val="-8"/>
        </w:rPr>
        <w:t>, making</w:t>
      </w:r>
      <w:r w:rsidR="0007373D">
        <w:rPr>
          <w:noProof/>
          <w:spacing w:val="-8"/>
        </w:rPr>
        <w:t xml:space="preserve"> it unlikely that </w:t>
      </w:r>
      <w:r w:rsidR="00C91368">
        <w:rPr>
          <w:noProof/>
          <w:spacing w:val="-8"/>
        </w:rPr>
        <w:t>passengers</w:t>
      </w:r>
      <w:r w:rsidR="0007373D">
        <w:rPr>
          <w:noProof/>
          <w:spacing w:val="-8"/>
        </w:rPr>
        <w:t xml:space="preserve"> would switch</w:t>
      </w:r>
      <w:r w:rsidR="00C91368">
        <w:rPr>
          <w:noProof/>
          <w:spacing w:val="-8"/>
        </w:rPr>
        <w:t xml:space="preserve"> to another platform</w:t>
      </w:r>
      <w:r w:rsidR="00503E4C">
        <w:rPr>
          <w:noProof/>
          <w:spacing w:val="-8"/>
        </w:rPr>
        <w:t>.</w:t>
      </w:r>
      <w:r w:rsidR="00A40FB9">
        <w:rPr>
          <w:noProof/>
          <w:spacing w:val="-8"/>
        </w:rPr>
        <w:t xml:space="preserve"> </w:t>
      </w:r>
      <w:r w:rsidR="006615B4">
        <w:rPr>
          <w:noProof/>
          <w:spacing w:val="-8"/>
        </w:rPr>
        <w:t xml:space="preserve">Even if the use of AI tools would help passengers in </w:t>
      </w:r>
      <w:r w:rsidR="00BA2951">
        <w:rPr>
          <w:noProof/>
          <w:spacing w:val="-8"/>
        </w:rPr>
        <w:t xml:space="preserve">revealing </w:t>
      </w:r>
      <w:r w:rsidR="00117246">
        <w:rPr>
          <w:noProof/>
          <w:spacing w:val="-8"/>
        </w:rPr>
        <w:t>more convenient offers, h</w:t>
      </w:r>
      <w:r w:rsidR="00627CA3">
        <w:rPr>
          <w:noProof/>
          <w:spacing w:val="-8"/>
        </w:rPr>
        <w:t xml:space="preserve">abits are not easily changed and confidence in alternative </w:t>
      </w:r>
      <w:r w:rsidR="00117246">
        <w:rPr>
          <w:noProof/>
          <w:spacing w:val="-8"/>
        </w:rPr>
        <w:t xml:space="preserve">purchasing </w:t>
      </w:r>
      <w:r w:rsidR="00851DA4">
        <w:rPr>
          <w:noProof/>
          <w:spacing w:val="-8"/>
        </w:rPr>
        <w:t>channels</w:t>
      </w:r>
      <w:r w:rsidR="00627CA3">
        <w:rPr>
          <w:noProof/>
          <w:spacing w:val="-8"/>
        </w:rPr>
        <w:t xml:space="preserve"> is not easily established. </w:t>
      </w:r>
      <w:r w:rsidR="00B93755">
        <w:rPr>
          <w:noProof/>
          <w:spacing w:val="-8"/>
        </w:rPr>
        <w:t>Against</w:t>
      </w:r>
      <w:r w:rsidR="003539E4">
        <w:rPr>
          <w:noProof/>
          <w:spacing w:val="-8"/>
        </w:rPr>
        <w:t xml:space="preserve"> th</w:t>
      </w:r>
      <w:r w:rsidR="007A0DE5">
        <w:rPr>
          <w:noProof/>
          <w:spacing w:val="-8"/>
        </w:rPr>
        <w:t xml:space="preserve">is </w:t>
      </w:r>
      <w:r w:rsidR="00B93755">
        <w:rPr>
          <w:noProof/>
          <w:spacing w:val="-8"/>
        </w:rPr>
        <w:t>background</w:t>
      </w:r>
      <w:r w:rsidR="007A0DE5">
        <w:rPr>
          <w:noProof/>
          <w:spacing w:val="-8"/>
        </w:rPr>
        <w:t xml:space="preserve">, it is unlikely that third-party platforms would quickly gain the necessary size to </w:t>
      </w:r>
      <w:r w:rsidR="001B14FE">
        <w:rPr>
          <w:noProof/>
          <w:spacing w:val="-8"/>
        </w:rPr>
        <w:t xml:space="preserve">challenge the role of the incumbent </w:t>
      </w:r>
      <w:r w:rsidR="004905DA">
        <w:rPr>
          <w:noProof/>
          <w:spacing w:val="-8"/>
        </w:rPr>
        <w:t xml:space="preserve">platform and to be able to offer a meaningful alternative to RUs wishing to </w:t>
      </w:r>
      <w:r w:rsidR="007B201C">
        <w:rPr>
          <w:noProof/>
          <w:spacing w:val="-8"/>
        </w:rPr>
        <w:t>have</w:t>
      </w:r>
      <w:r w:rsidR="004905DA">
        <w:rPr>
          <w:noProof/>
          <w:spacing w:val="-8"/>
        </w:rPr>
        <w:t xml:space="preserve"> their </w:t>
      </w:r>
      <w:r w:rsidR="007B201C">
        <w:rPr>
          <w:noProof/>
          <w:spacing w:val="-8"/>
        </w:rPr>
        <w:t>tickets distributed</w:t>
      </w:r>
      <w:r w:rsidR="004905DA">
        <w:rPr>
          <w:noProof/>
          <w:spacing w:val="-8"/>
        </w:rPr>
        <w:t>.</w:t>
      </w:r>
      <w:r w:rsidR="00A40FB9">
        <w:rPr>
          <w:noProof/>
          <w:spacing w:val="-8"/>
        </w:rPr>
        <w:t xml:space="preserve"> </w:t>
      </w:r>
      <w:r w:rsidR="00392DBB">
        <w:rPr>
          <w:noProof/>
          <w:spacing w:val="-8"/>
        </w:rPr>
        <w:t xml:space="preserve">Whilst the sharing obligation </w:t>
      </w:r>
      <w:r w:rsidR="00FA5AD3">
        <w:rPr>
          <w:noProof/>
          <w:spacing w:val="-8"/>
        </w:rPr>
        <w:t>will</w:t>
      </w:r>
      <w:r w:rsidR="005A439E">
        <w:rPr>
          <w:noProof/>
          <w:spacing w:val="-8"/>
        </w:rPr>
        <w:t xml:space="preserve"> support the </w:t>
      </w:r>
      <w:r w:rsidR="00FA5AD3">
        <w:rPr>
          <w:noProof/>
          <w:spacing w:val="-8"/>
        </w:rPr>
        <w:t>longer-term</w:t>
      </w:r>
      <w:r w:rsidR="005A439E">
        <w:rPr>
          <w:noProof/>
          <w:spacing w:val="-8"/>
        </w:rPr>
        <w:t xml:space="preserve"> development of </w:t>
      </w:r>
      <w:r w:rsidR="0022725B">
        <w:rPr>
          <w:noProof/>
          <w:spacing w:val="-8"/>
        </w:rPr>
        <w:t>independent</w:t>
      </w:r>
      <w:r w:rsidR="00DC089C">
        <w:rPr>
          <w:noProof/>
          <w:spacing w:val="-8"/>
        </w:rPr>
        <w:t xml:space="preserve"> ticketing </w:t>
      </w:r>
      <w:r w:rsidR="005A439E">
        <w:rPr>
          <w:noProof/>
          <w:spacing w:val="-8"/>
        </w:rPr>
        <w:t xml:space="preserve">platforms, the </w:t>
      </w:r>
      <w:r w:rsidR="0080564B">
        <w:rPr>
          <w:noProof/>
          <w:spacing w:val="-8"/>
        </w:rPr>
        <w:t xml:space="preserve">hosting obligation is </w:t>
      </w:r>
      <w:r w:rsidR="00DC089C">
        <w:rPr>
          <w:noProof/>
          <w:spacing w:val="-8"/>
        </w:rPr>
        <w:t xml:space="preserve">important to ensure </w:t>
      </w:r>
      <w:r w:rsidR="00FA5AD3">
        <w:rPr>
          <w:noProof/>
          <w:spacing w:val="-8"/>
        </w:rPr>
        <w:t xml:space="preserve">that </w:t>
      </w:r>
      <w:r w:rsidR="00DC089C">
        <w:rPr>
          <w:noProof/>
          <w:spacing w:val="-8"/>
        </w:rPr>
        <w:t xml:space="preserve">passengers and new entrant operators can </w:t>
      </w:r>
      <w:r w:rsidR="00284989">
        <w:rPr>
          <w:noProof/>
          <w:spacing w:val="-8"/>
        </w:rPr>
        <w:t>al</w:t>
      </w:r>
      <w:r w:rsidR="006C37C5">
        <w:rPr>
          <w:noProof/>
          <w:spacing w:val="-8"/>
        </w:rPr>
        <w:t>ready</w:t>
      </w:r>
      <w:r w:rsidR="00284989">
        <w:rPr>
          <w:noProof/>
          <w:spacing w:val="-8"/>
        </w:rPr>
        <w:t xml:space="preserve"> </w:t>
      </w:r>
      <w:r w:rsidR="00DC089C">
        <w:rPr>
          <w:noProof/>
          <w:spacing w:val="-8"/>
        </w:rPr>
        <w:t xml:space="preserve">find </w:t>
      </w:r>
      <w:r w:rsidR="0022725B">
        <w:rPr>
          <w:noProof/>
          <w:spacing w:val="-8"/>
        </w:rPr>
        <w:t>the intermediation services they need in the short</w:t>
      </w:r>
      <w:r w:rsidR="00284989">
        <w:rPr>
          <w:noProof/>
          <w:spacing w:val="-8"/>
        </w:rPr>
        <w:t>-term</w:t>
      </w:r>
      <w:r w:rsidR="00F42B92">
        <w:rPr>
          <w:noProof/>
          <w:spacing w:val="-8"/>
        </w:rPr>
        <w:t>.</w:t>
      </w:r>
      <w:r w:rsidR="00CC6F22">
        <w:rPr>
          <w:noProof/>
          <w:spacing w:val="-8"/>
        </w:rPr>
        <w:t xml:space="preserve"> </w:t>
      </w:r>
    </w:p>
    <w:p w14:paraId="2CF780B0" w14:textId="7B00D993" w:rsidR="00115BDD" w:rsidRPr="006F6606" w:rsidRDefault="006173C4" w:rsidP="004F1529">
      <w:pPr>
        <w:pStyle w:val="BodyText"/>
        <w:spacing w:after="240"/>
        <w:ind w:left="0"/>
        <w:rPr>
          <w:noProof/>
          <w:spacing w:val="-8"/>
        </w:rPr>
      </w:pPr>
      <w:r w:rsidRPr="00AE3D94">
        <w:rPr>
          <w:noProof/>
          <w:spacing w:val="-8"/>
        </w:rPr>
        <w:t>In PO4</w:t>
      </w:r>
      <w:r w:rsidR="00576798" w:rsidRPr="00AE3D94">
        <w:rPr>
          <w:noProof/>
          <w:spacing w:val="-8"/>
        </w:rPr>
        <w:t xml:space="preserve"> </w:t>
      </w:r>
      <w:r w:rsidR="00720B0D" w:rsidRPr="00AE3D94">
        <w:rPr>
          <w:noProof/>
          <w:spacing w:val="-8"/>
        </w:rPr>
        <w:t xml:space="preserve">and PO2 </w:t>
      </w:r>
      <w:r w:rsidR="00AE07ED">
        <w:rPr>
          <w:noProof/>
          <w:spacing w:val="-8"/>
        </w:rPr>
        <w:t>the impacts are more limited</w:t>
      </w:r>
      <w:r w:rsidR="00576798">
        <w:rPr>
          <w:noProof/>
          <w:spacing w:val="-8"/>
        </w:rPr>
        <w:t xml:space="preserve"> </w:t>
      </w:r>
      <w:r w:rsidR="003B5C8E">
        <w:rPr>
          <w:noProof/>
          <w:spacing w:val="-8"/>
        </w:rPr>
        <w:t>(</w:t>
      </w:r>
      <w:r w:rsidR="002C1EFD">
        <w:rPr>
          <w:noProof/>
          <w:spacing w:val="-8"/>
        </w:rPr>
        <w:t>1</w:t>
      </w:r>
      <w:r w:rsidR="00576798" w:rsidRPr="00AE3D94">
        <w:rPr>
          <w:noProof/>
          <w:spacing w:val="-8"/>
        </w:rPr>
        <w:t xml:space="preserve">.9% increase in </w:t>
      </w:r>
      <w:r w:rsidR="002C1EFD">
        <w:rPr>
          <w:noProof/>
          <w:spacing w:val="-8"/>
        </w:rPr>
        <w:t xml:space="preserve">the </w:t>
      </w:r>
      <w:r w:rsidR="00576798" w:rsidRPr="00AE3D94">
        <w:rPr>
          <w:noProof/>
          <w:spacing w:val="-8"/>
        </w:rPr>
        <w:t xml:space="preserve">transport activity by rail </w:t>
      </w:r>
      <w:r w:rsidR="003929AF">
        <w:rPr>
          <w:noProof/>
          <w:spacing w:val="-8"/>
        </w:rPr>
        <w:t>in</w:t>
      </w:r>
      <w:r w:rsidR="003929AF" w:rsidRPr="00AE3D94">
        <w:rPr>
          <w:noProof/>
          <w:spacing w:val="-8"/>
        </w:rPr>
        <w:t xml:space="preserve"> </w:t>
      </w:r>
      <w:r w:rsidR="00576798" w:rsidRPr="00AE3D94">
        <w:rPr>
          <w:noProof/>
          <w:spacing w:val="-8"/>
        </w:rPr>
        <w:t xml:space="preserve">2030 and </w:t>
      </w:r>
      <w:r w:rsidR="003929AF">
        <w:rPr>
          <w:noProof/>
          <w:spacing w:val="-8"/>
        </w:rPr>
        <w:t>4</w:t>
      </w:r>
      <w:r w:rsidR="00576798" w:rsidRPr="00AE3D94">
        <w:rPr>
          <w:noProof/>
          <w:spacing w:val="-8"/>
        </w:rPr>
        <w:t xml:space="preserve">% </w:t>
      </w:r>
      <w:r w:rsidR="00913497">
        <w:rPr>
          <w:noProof/>
          <w:spacing w:val="-8"/>
        </w:rPr>
        <w:t>in</w:t>
      </w:r>
      <w:r w:rsidR="00576798" w:rsidRPr="00AE3D94">
        <w:rPr>
          <w:noProof/>
          <w:spacing w:val="-8"/>
        </w:rPr>
        <w:t xml:space="preserve"> 2050 relative to the baseline</w:t>
      </w:r>
      <w:r w:rsidR="003B5C8E" w:rsidRPr="00AE3D94">
        <w:rPr>
          <w:noProof/>
          <w:spacing w:val="-8"/>
        </w:rPr>
        <w:t xml:space="preserve"> in PO4</w:t>
      </w:r>
      <w:r w:rsidR="00913497">
        <w:rPr>
          <w:noProof/>
          <w:spacing w:val="-8"/>
        </w:rPr>
        <w:t>;</w:t>
      </w:r>
      <w:r w:rsidR="003B5C8E" w:rsidRPr="00AE3D94">
        <w:rPr>
          <w:noProof/>
          <w:spacing w:val="-8"/>
        </w:rPr>
        <w:t xml:space="preserve"> and </w:t>
      </w:r>
      <w:r w:rsidR="00913497">
        <w:rPr>
          <w:noProof/>
          <w:spacing w:val="-8"/>
        </w:rPr>
        <w:t>1.7</w:t>
      </w:r>
      <w:r w:rsidR="00FC7FDE" w:rsidRPr="00AE3D94">
        <w:rPr>
          <w:noProof/>
          <w:spacing w:val="-8"/>
        </w:rPr>
        <w:t xml:space="preserve">% increase in </w:t>
      </w:r>
      <w:r w:rsidR="00913497">
        <w:rPr>
          <w:noProof/>
          <w:spacing w:val="-8"/>
        </w:rPr>
        <w:t xml:space="preserve">the </w:t>
      </w:r>
      <w:r w:rsidR="00FC7FDE" w:rsidRPr="00AE3D94">
        <w:rPr>
          <w:noProof/>
          <w:spacing w:val="-8"/>
        </w:rPr>
        <w:t xml:space="preserve">transport activity by rail </w:t>
      </w:r>
      <w:r w:rsidR="00DC1C9A">
        <w:rPr>
          <w:noProof/>
          <w:spacing w:val="-8"/>
        </w:rPr>
        <w:t>in</w:t>
      </w:r>
      <w:r w:rsidR="00FC7FDE" w:rsidRPr="00117904">
        <w:rPr>
          <w:noProof/>
          <w:spacing w:val="-8"/>
        </w:rPr>
        <w:t xml:space="preserve"> </w:t>
      </w:r>
      <w:r w:rsidR="00FC7FDE" w:rsidRPr="00AE3D94">
        <w:rPr>
          <w:noProof/>
          <w:spacing w:val="-8"/>
        </w:rPr>
        <w:t xml:space="preserve">2030 and </w:t>
      </w:r>
      <w:r w:rsidR="00DC1C9A">
        <w:rPr>
          <w:noProof/>
          <w:spacing w:val="-8"/>
        </w:rPr>
        <w:t>3.7</w:t>
      </w:r>
      <w:r w:rsidR="00FC7FDE" w:rsidRPr="00AE3D94">
        <w:rPr>
          <w:noProof/>
          <w:spacing w:val="-8"/>
        </w:rPr>
        <w:t xml:space="preserve">% </w:t>
      </w:r>
      <w:r w:rsidR="00735DF8">
        <w:rPr>
          <w:noProof/>
          <w:spacing w:val="-8"/>
        </w:rPr>
        <w:t>in</w:t>
      </w:r>
      <w:r w:rsidR="00FC7FDE" w:rsidRPr="00AE3D94">
        <w:rPr>
          <w:noProof/>
          <w:spacing w:val="-8"/>
        </w:rPr>
        <w:t xml:space="preserve"> 2050 relative to the baseline</w:t>
      </w:r>
      <w:r w:rsidR="00735DF8">
        <w:rPr>
          <w:noProof/>
          <w:spacing w:val="-8"/>
        </w:rPr>
        <w:t xml:space="preserve"> in PO2</w:t>
      </w:r>
      <w:r w:rsidR="00FC7FDE" w:rsidRPr="00AE3D94">
        <w:rPr>
          <w:noProof/>
          <w:spacing w:val="-8"/>
        </w:rPr>
        <w:t>)</w:t>
      </w:r>
      <w:r w:rsidR="00943BE8">
        <w:rPr>
          <w:noProof/>
          <w:spacing w:val="-8"/>
        </w:rPr>
        <w:t xml:space="preserve"> and thus also the contribution towards SO2</w:t>
      </w:r>
      <w:r w:rsidR="00182BE2" w:rsidRPr="00AE3D94">
        <w:rPr>
          <w:noProof/>
          <w:spacing w:val="-8"/>
        </w:rPr>
        <w:t xml:space="preserve">. </w:t>
      </w:r>
      <w:r w:rsidR="003B2977" w:rsidRPr="00AE3D94">
        <w:rPr>
          <w:noProof/>
          <w:spacing w:val="-8"/>
        </w:rPr>
        <w:t xml:space="preserve">PO1 </w:t>
      </w:r>
      <w:r w:rsidR="00F6021D" w:rsidRPr="00AE3D94">
        <w:rPr>
          <w:noProof/>
          <w:spacing w:val="-8"/>
        </w:rPr>
        <w:t xml:space="preserve">shows limited </w:t>
      </w:r>
      <w:r w:rsidR="00384D51">
        <w:rPr>
          <w:noProof/>
          <w:spacing w:val="-8"/>
        </w:rPr>
        <w:t>impact</w:t>
      </w:r>
      <w:r w:rsidR="00F6021D" w:rsidRPr="00AE3D94">
        <w:rPr>
          <w:noProof/>
          <w:spacing w:val="-8"/>
        </w:rPr>
        <w:t xml:space="preserve"> (</w:t>
      </w:r>
      <w:r w:rsidR="00384D51">
        <w:rPr>
          <w:noProof/>
          <w:spacing w:val="-8"/>
        </w:rPr>
        <w:t>1</w:t>
      </w:r>
      <w:r w:rsidR="00F6021D" w:rsidRPr="00AE3D94">
        <w:rPr>
          <w:noProof/>
          <w:spacing w:val="-8"/>
        </w:rPr>
        <w:t>% increase in</w:t>
      </w:r>
      <w:r w:rsidR="00384D51">
        <w:rPr>
          <w:noProof/>
          <w:spacing w:val="-8"/>
        </w:rPr>
        <w:t xml:space="preserve"> the</w:t>
      </w:r>
      <w:r w:rsidR="00F6021D" w:rsidRPr="00AE3D94">
        <w:rPr>
          <w:noProof/>
          <w:spacing w:val="-8"/>
        </w:rPr>
        <w:t xml:space="preserve"> transport activity by rail </w:t>
      </w:r>
      <w:r w:rsidR="00384D51">
        <w:rPr>
          <w:noProof/>
          <w:spacing w:val="-8"/>
        </w:rPr>
        <w:t>in</w:t>
      </w:r>
      <w:r w:rsidR="00F6021D" w:rsidRPr="00AE3D94">
        <w:rPr>
          <w:noProof/>
          <w:spacing w:val="-8"/>
        </w:rPr>
        <w:t xml:space="preserve"> 2030 and </w:t>
      </w:r>
      <w:r w:rsidR="00732F29">
        <w:rPr>
          <w:noProof/>
          <w:spacing w:val="-8"/>
        </w:rPr>
        <w:t>1.8</w:t>
      </w:r>
      <w:r w:rsidR="00F6021D" w:rsidRPr="00AE3D94">
        <w:rPr>
          <w:noProof/>
          <w:spacing w:val="-8"/>
        </w:rPr>
        <w:t xml:space="preserve">% </w:t>
      </w:r>
      <w:r w:rsidR="00732F29">
        <w:rPr>
          <w:noProof/>
          <w:spacing w:val="-8"/>
        </w:rPr>
        <w:t>in</w:t>
      </w:r>
      <w:r w:rsidR="00F6021D" w:rsidRPr="00AE3D94">
        <w:rPr>
          <w:noProof/>
          <w:spacing w:val="-8"/>
        </w:rPr>
        <w:t xml:space="preserve"> 2050 relative to the baseline) </w:t>
      </w:r>
      <w:r w:rsidR="00F6021D" w:rsidRPr="00AE3D94" w:rsidDel="00943BE8">
        <w:rPr>
          <w:noProof/>
          <w:spacing w:val="-8"/>
        </w:rPr>
        <w:t xml:space="preserve">and </w:t>
      </w:r>
      <w:r w:rsidR="00943BE8">
        <w:rPr>
          <w:noProof/>
          <w:spacing w:val="-8"/>
        </w:rPr>
        <w:t>thus contribution towards SO2</w:t>
      </w:r>
      <w:r w:rsidR="00D11667" w:rsidRPr="00AE3D94">
        <w:rPr>
          <w:noProof/>
          <w:spacing w:val="-8"/>
        </w:rPr>
        <w:t xml:space="preserve">. </w:t>
      </w:r>
    </w:p>
    <w:p w14:paraId="31588713" w14:textId="343BD6BC" w:rsidR="004A64E6" w:rsidRPr="00435678" w:rsidRDefault="004A64E6" w:rsidP="00B53DFD">
      <w:pPr>
        <w:pStyle w:val="Default"/>
        <w:spacing w:after="240"/>
        <w:jc w:val="both"/>
        <w:rPr>
          <w:noProof/>
          <w:spacing w:val="-8"/>
        </w:rPr>
      </w:pPr>
      <w:r w:rsidRPr="004F1529">
        <w:rPr>
          <w:noProof/>
          <w:color w:val="auto"/>
          <w:spacing w:val="-8"/>
        </w:rPr>
        <w:t xml:space="preserve">To conclude, </w:t>
      </w:r>
      <w:r w:rsidR="0037600C" w:rsidRPr="004F1529">
        <w:rPr>
          <w:noProof/>
          <w:color w:val="auto"/>
          <w:spacing w:val="-8"/>
        </w:rPr>
        <w:t>PO3</w:t>
      </w:r>
      <w:r w:rsidR="00E41D8A" w:rsidRPr="004F1529">
        <w:rPr>
          <w:noProof/>
          <w:color w:val="auto"/>
          <w:spacing w:val="-8"/>
        </w:rPr>
        <w:t xml:space="preserve"> is the most effective option, since</w:t>
      </w:r>
      <w:r w:rsidR="0037600C" w:rsidRPr="004F1529">
        <w:rPr>
          <w:noProof/>
          <w:color w:val="auto"/>
          <w:spacing w:val="-8"/>
        </w:rPr>
        <w:t xml:space="preserve"> </w:t>
      </w:r>
      <w:r w:rsidR="00A50D9C" w:rsidRPr="004F1529">
        <w:rPr>
          <w:noProof/>
          <w:color w:val="auto"/>
          <w:spacing w:val="-8"/>
        </w:rPr>
        <w:t>it</w:t>
      </w:r>
      <w:r w:rsidR="0037600C" w:rsidRPr="004F1529">
        <w:rPr>
          <w:noProof/>
          <w:color w:val="auto"/>
          <w:spacing w:val="-8"/>
        </w:rPr>
        <w:t xml:space="preserve"> </w:t>
      </w:r>
      <w:r w:rsidR="00A50D9C" w:rsidRPr="004F1529">
        <w:rPr>
          <w:noProof/>
          <w:color w:val="auto"/>
          <w:spacing w:val="-8"/>
        </w:rPr>
        <w:t xml:space="preserve">achieves </w:t>
      </w:r>
      <w:r w:rsidR="0037600C" w:rsidRPr="004F1529">
        <w:rPr>
          <w:noProof/>
          <w:color w:val="auto"/>
          <w:spacing w:val="-8"/>
        </w:rPr>
        <w:t xml:space="preserve">not only </w:t>
      </w:r>
      <w:r w:rsidR="00A50D9C" w:rsidRPr="004F1529">
        <w:rPr>
          <w:noProof/>
          <w:color w:val="auto"/>
          <w:spacing w:val="-8"/>
        </w:rPr>
        <w:t>a</w:t>
      </w:r>
      <w:r w:rsidR="0037600C" w:rsidRPr="004F1529">
        <w:rPr>
          <w:noProof/>
          <w:color w:val="auto"/>
          <w:spacing w:val="-8"/>
        </w:rPr>
        <w:t xml:space="preserve"> higher modal shift than PO2 by about 30% </w:t>
      </w:r>
      <w:r w:rsidR="00772962" w:rsidRPr="004F1529">
        <w:rPr>
          <w:noProof/>
          <w:color w:val="auto"/>
          <w:spacing w:val="-8"/>
        </w:rPr>
        <w:t>by</w:t>
      </w:r>
      <w:r w:rsidR="0037600C" w:rsidRPr="004F1529">
        <w:rPr>
          <w:noProof/>
          <w:color w:val="auto"/>
          <w:spacing w:val="-8"/>
        </w:rPr>
        <w:t xml:space="preserve"> 2050, but is expected to achieve a 40% higher modal shift than PO2 by 2030 brin</w:t>
      </w:r>
      <w:r w:rsidR="008D2E6D" w:rsidRPr="004F1529">
        <w:rPr>
          <w:noProof/>
          <w:color w:val="auto"/>
          <w:spacing w:val="-8"/>
        </w:rPr>
        <w:t>g</w:t>
      </w:r>
      <w:r w:rsidR="0037600C" w:rsidRPr="004F1529">
        <w:rPr>
          <w:noProof/>
          <w:color w:val="auto"/>
          <w:spacing w:val="-8"/>
        </w:rPr>
        <w:t xml:space="preserve">ing not only more benefit, but also </w:t>
      </w:r>
      <w:r w:rsidR="008D2E6D" w:rsidRPr="004F1529">
        <w:rPr>
          <w:noProof/>
          <w:color w:val="auto"/>
          <w:spacing w:val="-8"/>
        </w:rPr>
        <w:t>attaining</w:t>
      </w:r>
      <w:r w:rsidR="0037600C" w:rsidRPr="004F1529">
        <w:rPr>
          <w:noProof/>
          <w:color w:val="auto"/>
          <w:spacing w:val="-8"/>
        </w:rPr>
        <w:t xml:space="preserve"> them earlier in time.  </w:t>
      </w:r>
    </w:p>
    <w:p w14:paraId="4CE25343" w14:textId="3AD7C958" w:rsidR="00051B67" w:rsidRPr="00D71008" w:rsidRDefault="003C4819" w:rsidP="006E3FA1">
      <w:pPr>
        <w:pStyle w:val="Heading2"/>
        <w:keepNext/>
        <w:numPr>
          <w:ilvl w:val="1"/>
          <w:numId w:val="11"/>
        </w:numPr>
        <w:tabs>
          <w:tab w:val="left" w:pos="709"/>
        </w:tabs>
        <w:spacing w:before="240" w:after="240"/>
        <w:ind w:left="1134" w:hanging="708"/>
        <w:rPr>
          <w:noProof/>
        </w:rPr>
      </w:pPr>
      <w:bookmarkStart w:id="207" w:name="_Toc220667505"/>
      <w:bookmarkStart w:id="208" w:name="_Ref223110929"/>
      <w:bookmarkStart w:id="209" w:name="_Toc223979987"/>
      <w:r w:rsidRPr="00D71008">
        <w:rPr>
          <w:noProof/>
        </w:rPr>
        <w:t>Efficiency</w:t>
      </w:r>
      <w:bookmarkStart w:id="210" w:name="7.3_Coherence"/>
      <w:bookmarkEnd w:id="207"/>
      <w:bookmarkEnd w:id="208"/>
      <w:bookmarkEnd w:id="209"/>
      <w:bookmarkEnd w:id="210"/>
    </w:p>
    <w:p w14:paraId="40516D1D" w14:textId="123FA08A" w:rsidR="00516547" w:rsidRDefault="00F046B6" w:rsidP="00C564FB">
      <w:pPr>
        <w:spacing w:after="240"/>
        <w:jc w:val="both"/>
        <w:rPr>
          <w:noProof/>
          <w:spacing w:val="-8"/>
        </w:rPr>
      </w:pPr>
      <w:r w:rsidRPr="00F046B6">
        <w:rPr>
          <w:noProof/>
          <w:spacing w:val="-8"/>
        </w:rPr>
        <w:t xml:space="preserve">Efficiency concerns the ‘extent to which objectives can be achieved for a given cost (cost effectiveness)’. </w:t>
      </w:r>
      <w:r w:rsidR="0091645A">
        <w:rPr>
          <w:noProof/>
          <w:spacing w:val="-8"/>
        </w:rPr>
        <w:t xml:space="preserve">The costs and benefits in this section are presented </w:t>
      </w:r>
      <w:r w:rsidR="000F226E">
        <w:rPr>
          <w:noProof/>
          <w:spacing w:val="-8"/>
        </w:rPr>
        <w:t>in two alternative ways: excluding external costs savings and including external costs savings</w:t>
      </w:r>
      <w:r w:rsidR="00813622">
        <w:rPr>
          <w:noProof/>
          <w:spacing w:val="-8"/>
        </w:rPr>
        <w:t xml:space="preserve"> due to modal shift</w:t>
      </w:r>
      <w:r w:rsidR="000F226E">
        <w:rPr>
          <w:noProof/>
          <w:spacing w:val="-8"/>
        </w:rPr>
        <w:t xml:space="preserve">. </w:t>
      </w:r>
      <w:r w:rsidR="00FF5B01">
        <w:rPr>
          <w:noProof/>
          <w:spacing w:val="-8"/>
        </w:rPr>
        <w:t xml:space="preserve">This approach is used </w:t>
      </w:r>
      <w:r w:rsidR="00A66C81">
        <w:rPr>
          <w:noProof/>
          <w:spacing w:val="-8"/>
        </w:rPr>
        <w:t>for</w:t>
      </w:r>
      <w:r w:rsidR="00FF5B01">
        <w:rPr>
          <w:noProof/>
          <w:spacing w:val="-8"/>
        </w:rPr>
        <w:t xml:space="preserve"> </w:t>
      </w:r>
      <w:r w:rsidR="00A66C81">
        <w:rPr>
          <w:noProof/>
          <w:spacing w:val="-8"/>
        </w:rPr>
        <w:t>acknowledging</w:t>
      </w:r>
      <w:r w:rsidR="00FF5B01">
        <w:rPr>
          <w:noProof/>
          <w:spacing w:val="-8"/>
        </w:rPr>
        <w:t xml:space="preserve"> the uncertainty related to the </w:t>
      </w:r>
      <w:r w:rsidR="00240E7A">
        <w:rPr>
          <w:noProof/>
          <w:spacing w:val="-8"/>
        </w:rPr>
        <w:t>estimated modal shift</w:t>
      </w:r>
      <w:r w:rsidR="000152E4">
        <w:rPr>
          <w:noProof/>
          <w:spacing w:val="-8"/>
        </w:rPr>
        <w:t xml:space="preserve">. It should however be noted </w:t>
      </w:r>
      <w:r w:rsidR="00A17A20">
        <w:rPr>
          <w:noProof/>
          <w:spacing w:val="-8"/>
        </w:rPr>
        <w:t xml:space="preserve">that </w:t>
      </w:r>
      <w:r w:rsidR="000E4FFA">
        <w:rPr>
          <w:noProof/>
          <w:spacing w:val="-8"/>
        </w:rPr>
        <w:t>excluding external costs savings</w:t>
      </w:r>
      <w:r w:rsidR="000152E4">
        <w:rPr>
          <w:noProof/>
          <w:spacing w:val="-8"/>
        </w:rPr>
        <w:t xml:space="preserve"> </w:t>
      </w:r>
      <w:r w:rsidR="009627E8">
        <w:rPr>
          <w:noProof/>
          <w:spacing w:val="-8"/>
        </w:rPr>
        <w:t>represents an extremely conservative approach</w:t>
      </w:r>
      <w:r w:rsidR="00D00DC3">
        <w:rPr>
          <w:noProof/>
          <w:spacing w:val="-8"/>
        </w:rPr>
        <w:t xml:space="preserve">. </w:t>
      </w:r>
      <w:r w:rsidR="007108EB">
        <w:rPr>
          <w:noProof/>
          <w:spacing w:val="-8"/>
        </w:rPr>
        <w:t xml:space="preserve">As </w:t>
      </w:r>
      <w:r w:rsidR="00F76A25">
        <w:rPr>
          <w:noProof/>
          <w:spacing w:val="-8"/>
        </w:rPr>
        <w:t>indicated</w:t>
      </w:r>
      <w:r w:rsidR="005D510D">
        <w:rPr>
          <w:noProof/>
          <w:spacing w:val="-8"/>
        </w:rPr>
        <w:t xml:space="preserve"> in </w:t>
      </w:r>
      <w:r w:rsidR="00E92B48">
        <w:rPr>
          <w:noProof/>
          <w:spacing w:val="-8"/>
        </w:rPr>
        <w:t>s</w:t>
      </w:r>
      <w:r w:rsidR="00F76A25">
        <w:rPr>
          <w:noProof/>
          <w:spacing w:val="-8"/>
        </w:rPr>
        <w:t xml:space="preserve">ection 6.1.6, </w:t>
      </w:r>
      <w:r w:rsidR="003F7A9B">
        <w:rPr>
          <w:noProof/>
          <w:spacing w:val="-8"/>
        </w:rPr>
        <w:t xml:space="preserve"> </w:t>
      </w:r>
      <w:r w:rsidR="008064F2">
        <w:rPr>
          <w:noProof/>
          <w:spacing w:val="-8"/>
        </w:rPr>
        <w:t xml:space="preserve">modal shift is largely induced by the </w:t>
      </w:r>
      <w:r w:rsidR="003F7A9B">
        <w:rPr>
          <w:noProof/>
          <w:spacing w:val="-8"/>
        </w:rPr>
        <w:t xml:space="preserve">various type of savings </w:t>
      </w:r>
      <w:r w:rsidR="000D17B5">
        <w:rPr>
          <w:noProof/>
          <w:spacing w:val="-8"/>
        </w:rPr>
        <w:t xml:space="preserve">that consumers </w:t>
      </w:r>
      <w:r w:rsidR="00B10EDD">
        <w:rPr>
          <w:noProof/>
          <w:spacing w:val="-8"/>
        </w:rPr>
        <w:t>m</w:t>
      </w:r>
      <w:r w:rsidR="007C3DA0">
        <w:rPr>
          <w:noProof/>
          <w:spacing w:val="-8"/>
        </w:rPr>
        <w:t>ight</w:t>
      </w:r>
      <w:r w:rsidR="00B10EDD">
        <w:rPr>
          <w:noProof/>
          <w:spacing w:val="-8"/>
        </w:rPr>
        <w:t xml:space="preserve"> be able to</w:t>
      </w:r>
      <w:r w:rsidR="000D17B5">
        <w:rPr>
          <w:noProof/>
          <w:spacing w:val="-8"/>
        </w:rPr>
        <w:t xml:space="preserve"> achieve</w:t>
      </w:r>
      <w:r w:rsidR="00520F13">
        <w:rPr>
          <w:noProof/>
          <w:spacing w:val="-8"/>
        </w:rPr>
        <w:t xml:space="preserve"> thanks to the policy measures</w:t>
      </w:r>
      <w:r w:rsidR="000D17B5">
        <w:rPr>
          <w:noProof/>
          <w:spacing w:val="-8"/>
        </w:rPr>
        <w:t>: less time spent on search engines</w:t>
      </w:r>
      <w:r w:rsidR="00C20430">
        <w:rPr>
          <w:noProof/>
          <w:spacing w:val="-8"/>
        </w:rPr>
        <w:t>,</w:t>
      </w:r>
      <w:r w:rsidR="000D17B5">
        <w:rPr>
          <w:noProof/>
          <w:spacing w:val="-8"/>
        </w:rPr>
        <w:t xml:space="preserve"> </w:t>
      </w:r>
      <w:r w:rsidR="00266122">
        <w:rPr>
          <w:noProof/>
          <w:spacing w:val="-8"/>
        </w:rPr>
        <w:t xml:space="preserve">shorter </w:t>
      </w:r>
      <w:r w:rsidR="00505D65">
        <w:rPr>
          <w:noProof/>
          <w:spacing w:val="-8"/>
        </w:rPr>
        <w:t>travel time thanks to</w:t>
      </w:r>
      <w:r w:rsidR="00B10EDD">
        <w:rPr>
          <w:noProof/>
          <w:spacing w:val="-8"/>
        </w:rPr>
        <w:t xml:space="preserve"> better</w:t>
      </w:r>
      <w:r w:rsidR="000D31EB">
        <w:rPr>
          <w:noProof/>
          <w:spacing w:val="-8"/>
        </w:rPr>
        <w:t xml:space="preserve"> travel connections</w:t>
      </w:r>
      <w:r w:rsidR="00C20430">
        <w:rPr>
          <w:noProof/>
          <w:spacing w:val="-8"/>
        </w:rPr>
        <w:t xml:space="preserve"> and</w:t>
      </w:r>
      <w:r w:rsidR="000D31EB">
        <w:rPr>
          <w:noProof/>
          <w:spacing w:val="-8"/>
        </w:rPr>
        <w:t xml:space="preserve"> </w:t>
      </w:r>
      <w:r w:rsidR="00266122">
        <w:rPr>
          <w:noProof/>
          <w:spacing w:val="-8"/>
        </w:rPr>
        <w:t xml:space="preserve">more convenient </w:t>
      </w:r>
      <w:r w:rsidR="00E21DC6">
        <w:rPr>
          <w:noProof/>
          <w:spacing w:val="-8"/>
        </w:rPr>
        <w:t>fares</w:t>
      </w:r>
      <w:r w:rsidR="00C9113D">
        <w:rPr>
          <w:noProof/>
          <w:spacing w:val="-8"/>
        </w:rPr>
        <w:t>.</w:t>
      </w:r>
      <w:r w:rsidR="00161C20">
        <w:rPr>
          <w:noProof/>
          <w:spacing w:val="-8"/>
        </w:rPr>
        <w:t xml:space="preserve"> </w:t>
      </w:r>
      <w:r w:rsidR="00E827B5">
        <w:rPr>
          <w:noProof/>
          <w:spacing w:val="-8"/>
        </w:rPr>
        <w:t>Th</w:t>
      </w:r>
      <w:r w:rsidR="006B6A53">
        <w:rPr>
          <w:noProof/>
          <w:spacing w:val="-8"/>
        </w:rPr>
        <w:t xml:space="preserve">ese combined savings </w:t>
      </w:r>
      <w:r w:rsidR="00E827B5">
        <w:rPr>
          <w:noProof/>
          <w:spacing w:val="-8"/>
        </w:rPr>
        <w:t>make railway</w:t>
      </w:r>
      <w:r w:rsidR="00B91216">
        <w:rPr>
          <w:noProof/>
          <w:spacing w:val="-8"/>
        </w:rPr>
        <w:t>s</w:t>
      </w:r>
      <w:r w:rsidR="00E827B5">
        <w:rPr>
          <w:noProof/>
          <w:spacing w:val="-8"/>
        </w:rPr>
        <w:t xml:space="preserve"> </w:t>
      </w:r>
      <w:r w:rsidR="00B91216">
        <w:rPr>
          <w:noProof/>
          <w:spacing w:val="-8"/>
        </w:rPr>
        <w:t xml:space="preserve">a </w:t>
      </w:r>
      <w:r w:rsidR="00E16B9E">
        <w:rPr>
          <w:noProof/>
          <w:spacing w:val="-8"/>
        </w:rPr>
        <w:t>comparat</w:t>
      </w:r>
      <w:r w:rsidR="008B2CCF">
        <w:rPr>
          <w:noProof/>
          <w:spacing w:val="-8"/>
        </w:rPr>
        <w:t>iv</w:t>
      </w:r>
      <w:r w:rsidR="00E16B9E">
        <w:rPr>
          <w:noProof/>
          <w:spacing w:val="-8"/>
        </w:rPr>
        <w:t xml:space="preserve">ely </w:t>
      </w:r>
      <w:r w:rsidR="00B91216">
        <w:rPr>
          <w:noProof/>
          <w:spacing w:val="-8"/>
        </w:rPr>
        <w:t>more attractive option</w:t>
      </w:r>
      <w:r w:rsidR="00BC55CA">
        <w:rPr>
          <w:noProof/>
          <w:spacing w:val="-8"/>
        </w:rPr>
        <w:t xml:space="preserve"> than other modes</w:t>
      </w:r>
      <w:r w:rsidR="00B91216">
        <w:rPr>
          <w:noProof/>
          <w:spacing w:val="-8"/>
        </w:rPr>
        <w:t xml:space="preserve">. </w:t>
      </w:r>
      <w:r w:rsidR="00A21857">
        <w:rPr>
          <w:noProof/>
          <w:spacing w:val="-8"/>
        </w:rPr>
        <w:t xml:space="preserve">Because of the </w:t>
      </w:r>
      <w:r w:rsidR="00615633">
        <w:rPr>
          <w:noProof/>
          <w:spacing w:val="-8"/>
        </w:rPr>
        <w:t>uncertain quantification of th</w:t>
      </w:r>
      <w:r w:rsidR="00A21857">
        <w:rPr>
          <w:noProof/>
          <w:spacing w:val="-8"/>
        </w:rPr>
        <w:t>ese</w:t>
      </w:r>
      <w:r w:rsidR="00615633">
        <w:rPr>
          <w:noProof/>
          <w:spacing w:val="-8"/>
        </w:rPr>
        <w:t xml:space="preserve"> </w:t>
      </w:r>
      <w:r w:rsidR="00677670">
        <w:rPr>
          <w:noProof/>
          <w:spacing w:val="-8"/>
        </w:rPr>
        <w:t>savings</w:t>
      </w:r>
      <w:r w:rsidR="005B6AC8">
        <w:rPr>
          <w:noProof/>
          <w:spacing w:val="-8"/>
        </w:rPr>
        <w:t xml:space="preserve">, a choice was made of </w:t>
      </w:r>
      <w:r w:rsidR="005A2C82">
        <w:rPr>
          <w:noProof/>
          <w:spacing w:val="-8"/>
        </w:rPr>
        <w:t>providing a qualitative assessment, but not a quantified estimate.</w:t>
      </w:r>
      <w:r w:rsidR="009650CF">
        <w:rPr>
          <w:noProof/>
          <w:spacing w:val="-8"/>
        </w:rPr>
        <w:t xml:space="preserve"> </w:t>
      </w:r>
      <w:r w:rsidR="004102CD">
        <w:rPr>
          <w:noProof/>
          <w:spacing w:val="-8"/>
        </w:rPr>
        <w:t xml:space="preserve">Accordingly, only the </w:t>
      </w:r>
      <w:r w:rsidR="00420844">
        <w:rPr>
          <w:noProof/>
          <w:spacing w:val="-8"/>
        </w:rPr>
        <w:t>external cost savings of the modal shift</w:t>
      </w:r>
      <w:r w:rsidR="00441AAA">
        <w:rPr>
          <w:noProof/>
          <w:spacing w:val="-8"/>
        </w:rPr>
        <w:t xml:space="preserve"> were </w:t>
      </w:r>
      <w:r w:rsidR="00644E21">
        <w:rPr>
          <w:noProof/>
          <w:spacing w:val="-8"/>
        </w:rPr>
        <w:t>quantified</w:t>
      </w:r>
      <w:r w:rsidR="00553807">
        <w:rPr>
          <w:noProof/>
          <w:spacing w:val="-8"/>
        </w:rPr>
        <w:t>, or, i</w:t>
      </w:r>
      <w:r w:rsidR="00644E21">
        <w:rPr>
          <w:noProof/>
          <w:spacing w:val="-8"/>
        </w:rPr>
        <w:t xml:space="preserve">n other words only the benefits to society </w:t>
      </w:r>
      <w:r w:rsidR="0050309A">
        <w:rPr>
          <w:noProof/>
          <w:spacing w:val="-8"/>
        </w:rPr>
        <w:t>but not those to individual users.</w:t>
      </w:r>
      <w:r w:rsidR="004102CD">
        <w:rPr>
          <w:noProof/>
          <w:spacing w:val="-8"/>
        </w:rPr>
        <w:t xml:space="preserve"> </w:t>
      </w:r>
      <w:r w:rsidR="007A656A">
        <w:rPr>
          <w:noProof/>
          <w:spacing w:val="-8"/>
        </w:rPr>
        <w:t>Th</w:t>
      </w:r>
      <w:r w:rsidR="001523B8">
        <w:rPr>
          <w:noProof/>
          <w:spacing w:val="-8"/>
        </w:rPr>
        <w:t xml:space="preserve">is already </w:t>
      </w:r>
      <w:r w:rsidR="002014CD">
        <w:rPr>
          <w:noProof/>
          <w:spacing w:val="-8"/>
        </w:rPr>
        <w:t>produces a</w:t>
      </w:r>
      <w:r w:rsidR="0050309A">
        <w:rPr>
          <w:noProof/>
          <w:spacing w:val="-8"/>
        </w:rPr>
        <w:t xml:space="preserve"> very conservative estimate and </w:t>
      </w:r>
      <w:r w:rsidR="00C564FB">
        <w:rPr>
          <w:noProof/>
          <w:spacing w:val="-8"/>
        </w:rPr>
        <w:t xml:space="preserve">likely </w:t>
      </w:r>
      <w:r w:rsidR="002014CD">
        <w:rPr>
          <w:noProof/>
          <w:spacing w:val="-8"/>
        </w:rPr>
        <w:t xml:space="preserve">underestimation of </w:t>
      </w:r>
      <w:r w:rsidR="00256F37">
        <w:rPr>
          <w:noProof/>
          <w:spacing w:val="-8"/>
        </w:rPr>
        <w:t xml:space="preserve">the </w:t>
      </w:r>
      <w:r w:rsidR="002014CD">
        <w:rPr>
          <w:noProof/>
          <w:spacing w:val="-8"/>
        </w:rPr>
        <w:t>benefits</w:t>
      </w:r>
      <w:r w:rsidR="00256F37">
        <w:rPr>
          <w:noProof/>
          <w:spacing w:val="-8"/>
        </w:rPr>
        <w:t xml:space="preserve"> from modal shift</w:t>
      </w:r>
      <w:r w:rsidR="009627E8">
        <w:rPr>
          <w:noProof/>
          <w:spacing w:val="-8"/>
        </w:rPr>
        <w:t xml:space="preserve">. </w:t>
      </w:r>
      <w:r w:rsidR="00784362">
        <w:rPr>
          <w:noProof/>
          <w:spacing w:val="-8"/>
        </w:rPr>
        <w:t xml:space="preserve">In addition, sensitivity analysis </w:t>
      </w:r>
      <w:r w:rsidR="00037C73">
        <w:rPr>
          <w:noProof/>
          <w:spacing w:val="-8"/>
        </w:rPr>
        <w:t>regarding the potential modal shift</w:t>
      </w:r>
      <w:r w:rsidR="00784362">
        <w:rPr>
          <w:noProof/>
          <w:spacing w:val="-8"/>
        </w:rPr>
        <w:t xml:space="preserve"> has been performed and it is presented in section 7.6.</w:t>
      </w:r>
    </w:p>
    <w:p w14:paraId="296AE002" w14:textId="3CCD6B8B" w:rsidR="00F046B6" w:rsidRPr="00F046B6" w:rsidRDefault="00F046B6" w:rsidP="00F046B6">
      <w:pPr>
        <w:spacing w:after="240"/>
        <w:jc w:val="both"/>
        <w:rPr>
          <w:noProof/>
          <w:spacing w:val="-8"/>
        </w:rPr>
      </w:pPr>
      <w:r w:rsidRPr="00F046B6">
        <w:rPr>
          <w:noProof/>
          <w:spacing w:val="-8"/>
        </w:rPr>
        <w:t xml:space="preserve">The estimates of costs and benefits </w:t>
      </w:r>
      <w:r w:rsidR="008A4C01">
        <w:rPr>
          <w:noProof/>
          <w:spacing w:val="-8"/>
        </w:rPr>
        <w:t xml:space="preserve">excluding external costs savings </w:t>
      </w:r>
      <w:r w:rsidRPr="00F046B6">
        <w:rPr>
          <w:noProof/>
          <w:spacing w:val="-8"/>
        </w:rPr>
        <w:t xml:space="preserve">are summarised in </w:t>
      </w:r>
      <w:r w:rsidRPr="00F046B6">
        <w:rPr>
          <w:noProof/>
          <w:spacing w:val="-8"/>
        </w:rPr>
        <w:fldChar w:fldCharType="begin"/>
      </w:r>
      <w:r w:rsidRPr="00F046B6">
        <w:rPr>
          <w:noProof/>
          <w:spacing w:val="-8"/>
        </w:rPr>
        <w:instrText xml:space="preserve"> REF _Ref181135884 \h  \* MERGEFORMAT </w:instrText>
      </w:r>
      <w:r w:rsidRPr="00F046B6">
        <w:rPr>
          <w:noProof/>
          <w:spacing w:val="-8"/>
        </w:rPr>
      </w:r>
      <w:r w:rsidRPr="00F046B6">
        <w:rPr>
          <w:noProof/>
          <w:spacing w:val="-8"/>
        </w:rPr>
        <w:fldChar w:fldCharType="separate"/>
      </w:r>
      <w:r>
        <w:rPr>
          <w:noProof/>
          <w:spacing w:val="-8"/>
        </w:rPr>
        <w:t>Table 24</w:t>
      </w:r>
      <w:r w:rsidRPr="00F046B6">
        <w:rPr>
          <w:noProof/>
          <w:spacing w:val="-8"/>
        </w:rPr>
        <w:fldChar w:fldCharType="end"/>
      </w:r>
      <w:r w:rsidRPr="00F046B6">
        <w:rPr>
          <w:noProof/>
          <w:spacing w:val="-8"/>
        </w:rPr>
        <w:t xml:space="preserve">. </w:t>
      </w:r>
    </w:p>
    <w:p w14:paraId="04207F3A" w14:textId="67841493" w:rsidR="00F046B6" w:rsidRDefault="00F046B6" w:rsidP="00F046B6">
      <w:pPr>
        <w:pStyle w:val="Text2"/>
        <w:spacing w:after="0"/>
        <w:ind w:left="0"/>
        <w:rPr>
          <w:rFonts w:cs="Times New Roman"/>
          <w:i/>
          <w:noProof/>
          <w:sz w:val="22"/>
          <w:szCs w:val="22"/>
        </w:rPr>
      </w:pPr>
      <w:bookmarkStart w:id="211" w:name="_Ref181135884"/>
      <w:r w:rsidRPr="00F046B6">
        <w:rPr>
          <w:rFonts w:cs="Times New Roman"/>
          <w:i/>
          <w:noProof/>
          <w:sz w:val="22"/>
          <w:szCs w:val="22"/>
        </w:rPr>
        <w:t xml:space="preserve">Table </w:t>
      </w:r>
      <w:r w:rsidRPr="00F046B6">
        <w:rPr>
          <w:rFonts w:cs="Times New Roman"/>
          <w:i/>
          <w:noProof/>
          <w:sz w:val="22"/>
          <w:szCs w:val="22"/>
        </w:rPr>
        <w:fldChar w:fldCharType="begin"/>
      </w:r>
      <w:r w:rsidRPr="00F046B6">
        <w:rPr>
          <w:rFonts w:cs="Times New Roman"/>
          <w:i/>
          <w:noProof/>
          <w:sz w:val="22"/>
          <w:szCs w:val="22"/>
        </w:rPr>
        <w:instrText xml:space="preserve"> SEQ Table \* ARABIC </w:instrText>
      </w:r>
      <w:r w:rsidRPr="00F046B6">
        <w:rPr>
          <w:rFonts w:cs="Times New Roman"/>
          <w:i/>
          <w:noProof/>
          <w:sz w:val="22"/>
          <w:szCs w:val="22"/>
        </w:rPr>
        <w:fldChar w:fldCharType="separate"/>
      </w:r>
      <w:r w:rsidR="0055391F">
        <w:rPr>
          <w:rFonts w:cs="Times New Roman"/>
          <w:i/>
          <w:noProof/>
          <w:sz w:val="22"/>
          <w:szCs w:val="22"/>
        </w:rPr>
        <w:t>24</w:t>
      </w:r>
      <w:r w:rsidRPr="00F046B6">
        <w:rPr>
          <w:rFonts w:cs="Times New Roman"/>
          <w:i/>
          <w:noProof/>
          <w:sz w:val="22"/>
          <w:szCs w:val="22"/>
        </w:rPr>
        <w:fldChar w:fldCharType="end"/>
      </w:r>
      <w:bookmarkEnd w:id="211"/>
      <w:r w:rsidRPr="00F046B6">
        <w:rPr>
          <w:rFonts w:cs="Times New Roman"/>
          <w:i/>
          <w:noProof/>
          <w:sz w:val="22"/>
          <w:szCs w:val="22"/>
        </w:rPr>
        <w:t>: Summary of costs and benefits of policy options</w:t>
      </w:r>
      <w:r w:rsidR="008A4C01">
        <w:rPr>
          <w:rFonts w:cs="Times New Roman"/>
          <w:i/>
          <w:noProof/>
          <w:sz w:val="22"/>
          <w:szCs w:val="22"/>
        </w:rPr>
        <w:t>, excluding external costs savings</w:t>
      </w:r>
      <w:r w:rsidRPr="00F046B6">
        <w:rPr>
          <w:rFonts w:cs="Times New Roman"/>
          <w:i/>
          <w:noProof/>
          <w:sz w:val="22"/>
          <w:szCs w:val="22"/>
        </w:rPr>
        <w:t xml:space="preserve"> - present value over 2028-2050 compared to the baseline (in million EUR, 202</w:t>
      </w:r>
      <w:r>
        <w:rPr>
          <w:rFonts w:cs="Times New Roman"/>
          <w:i/>
          <w:noProof/>
          <w:sz w:val="22"/>
          <w:szCs w:val="22"/>
        </w:rPr>
        <w:t>4</w:t>
      </w:r>
      <w:r w:rsidRPr="00F046B6">
        <w:rPr>
          <w:rFonts w:cs="Times New Roman"/>
          <w:i/>
          <w:noProof/>
          <w:sz w:val="22"/>
          <w:szCs w:val="22"/>
        </w:rPr>
        <w:t xml:space="preserve"> prices)</w:t>
      </w:r>
    </w:p>
    <w:tbl>
      <w:tblPr>
        <w:tblW w:w="5000" w:type="pct"/>
        <w:tblLook w:val="04A0" w:firstRow="1" w:lastRow="0" w:firstColumn="1" w:lastColumn="0" w:noHBand="0" w:noVBand="1"/>
      </w:tblPr>
      <w:tblGrid>
        <w:gridCol w:w="5713"/>
        <w:gridCol w:w="972"/>
        <w:gridCol w:w="972"/>
        <w:gridCol w:w="972"/>
        <w:gridCol w:w="974"/>
      </w:tblGrid>
      <w:tr w:rsidR="006C4960" w14:paraId="7949C702" w14:textId="77777777" w:rsidTr="004F1529">
        <w:trPr>
          <w:trHeight w:val="255"/>
          <w:tblHeader/>
        </w:trPr>
        <w:tc>
          <w:tcPr>
            <w:tcW w:w="2975"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08A3E8F9" w14:textId="77777777" w:rsidR="008A4C01" w:rsidRDefault="008A4C01">
            <w:pPr>
              <w:jc w:val="center"/>
              <w:rPr>
                <w:b/>
                <w:bCs/>
                <w:noProof/>
                <w:color w:val="FFFFFF"/>
                <w:sz w:val="20"/>
                <w:szCs w:val="20"/>
              </w:rPr>
            </w:pPr>
            <w:r>
              <w:rPr>
                <w:b/>
                <w:bCs/>
                <w:noProof/>
                <w:color w:val="FFFFFF"/>
                <w:sz w:val="20"/>
                <w:szCs w:val="20"/>
              </w:rPr>
              <w:t> </w:t>
            </w:r>
          </w:p>
        </w:tc>
        <w:tc>
          <w:tcPr>
            <w:tcW w:w="2025" w:type="pct"/>
            <w:gridSpan w:val="4"/>
            <w:tcBorders>
              <w:top w:val="single" w:sz="4" w:space="0" w:color="auto"/>
              <w:left w:val="nil"/>
              <w:bottom w:val="single" w:sz="4" w:space="0" w:color="auto"/>
              <w:right w:val="single" w:sz="4" w:space="0" w:color="auto"/>
            </w:tcBorders>
            <w:shd w:val="clear" w:color="000000" w:fill="0070C0"/>
            <w:hideMark/>
          </w:tcPr>
          <w:p w14:paraId="132D3CBA" w14:textId="77777777" w:rsidR="008A4C01" w:rsidRDefault="008A4C01">
            <w:pPr>
              <w:jc w:val="center"/>
              <w:rPr>
                <w:b/>
                <w:bCs/>
                <w:noProof/>
                <w:color w:val="FFFFFF"/>
                <w:sz w:val="20"/>
                <w:szCs w:val="20"/>
              </w:rPr>
            </w:pPr>
            <w:r>
              <w:rPr>
                <w:b/>
                <w:bCs/>
                <w:noProof/>
                <w:color w:val="FFFFFF"/>
                <w:sz w:val="20"/>
                <w:szCs w:val="20"/>
              </w:rPr>
              <w:t>Difference to baseline</w:t>
            </w:r>
          </w:p>
        </w:tc>
      </w:tr>
      <w:tr w:rsidR="00415466" w14:paraId="202809A0" w14:textId="77777777" w:rsidTr="004F1529">
        <w:trPr>
          <w:trHeight w:val="255"/>
          <w:tblHeader/>
        </w:trPr>
        <w:tc>
          <w:tcPr>
            <w:tcW w:w="2975" w:type="pct"/>
            <w:vMerge/>
            <w:tcBorders>
              <w:top w:val="single" w:sz="4" w:space="0" w:color="auto"/>
              <w:left w:val="single" w:sz="4" w:space="0" w:color="auto"/>
              <w:bottom w:val="single" w:sz="4" w:space="0" w:color="auto"/>
              <w:right w:val="single" w:sz="4" w:space="0" w:color="auto"/>
            </w:tcBorders>
            <w:hideMark/>
          </w:tcPr>
          <w:p w14:paraId="35EFA6B9" w14:textId="77777777" w:rsidR="008A4C01" w:rsidRDefault="008A4C01">
            <w:pPr>
              <w:rPr>
                <w:b/>
                <w:bCs/>
                <w:noProof/>
                <w:color w:val="FFFFFF"/>
                <w:sz w:val="20"/>
                <w:szCs w:val="20"/>
              </w:rPr>
            </w:pPr>
          </w:p>
        </w:tc>
        <w:tc>
          <w:tcPr>
            <w:tcW w:w="506" w:type="pct"/>
            <w:tcBorders>
              <w:top w:val="nil"/>
              <w:left w:val="nil"/>
              <w:bottom w:val="single" w:sz="4" w:space="0" w:color="auto"/>
              <w:right w:val="single" w:sz="4" w:space="0" w:color="auto"/>
            </w:tcBorders>
            <w:shd w:val="clear" w:color="000000" w:fill="0070C0"/>
            <w:hideMark/>
          </w:tcPr>
          <w:p w14:paraId="45DBD61B" w14:textId="77777777" w:rsidR="008A4C01" w:rsidRDefault="008A4C01">
            <w:pPr>
              <w:jc w:val="center"/>
              <w:rPr>
                <w:b/>
                <w:bCs/>
                <w:noProof/>
                <w:color w:val="FFFFFF"/>
                <w:sz w:val="20"/>
                <w:szCs w:val="20"/>
              </w:rPr>
            </w:pPr>
            <w:r>
              <w:rPr>
                <w:b/>
                <w:bCs/>
                <w:noProof/>
                <w:color w:val="FFFFFF"/>
                <w:sz w:val="20"/>
                <w:szCs w:val="20"/>
              </w:rPr>
              <w:t>PO1</w:t>
            </w:r>
          </w:p>
        </w:tc>
        <w:tc>
          <w:tcPr>
            <w:tcW w:w="506" w:type="pct"/>
            <w:tcBorders>
              <w:top w:val="nil"/>
              <w:left w:val="nil"/>
              <w:bottom w:val="single" w:sz="4" w:space="0" w:color="auto"/>
              <w:right w:val="single" w:sz="4" w:space="0" w:color="auto"/>
            </w:tcBorders>
            <w:shd w:val="clear" w:color="000000" w:fill="0070C0"/>
            <w:hideMark/>
          </w:tcPr>
          <w:p w14:paraId="1DB1ADEA" w14:textId="77777777" w:rsidR="008A4C01" w:rsidRDefault="008A4C01">
            <w:pPr>
              <w:jc w:val="center"/>
              <w:rPr>
                <w:b/>
                <w:bCs/>
                <w:noProof/>
                <w:color w:val="FFFFFF"/>
                <w:sz w:val="20"/>
                <w:szCs w:val="20"/>
              </w:rPr>
            </w:pPr>
            <w:r>
              <w:rPr>
                <w:b/>
                <w:bCs/>
                <w:noProof/>
                <w:color w:val="FFFFFF"/>
                <w:sz w:val="20"/>
                <w:szCs w:val="20"/>
              </w:rPr>
              <w:t>PO2</w:t>
            </w:r>
          </w:p>
        </w:tc>
        <w:tc>
          <w:tcPr>
            <w:tcW w:w="506" w:type="pct"/>
            <w:tcBorders>
              <w:top w:val="nil"/>
              <w:left w:val="nil"/>
              <w:bottom w:val="single" w:sz="4" w:space="0" w:color="auto"/>
              <w:right w:val="single" w:sz="4" w:space="0" w:color="auto"/>
            </w:tcBorders>
            <w:shd w:val="clear" w:color="000000" w:fill="0070C0"/>
            <w:hideMark/>
          </w:tcPr>
          <w:p w14:paraId="4469B742" w14:textId="77777777" w:rsidR="008A4C01" w:rsidRDefault="008A4C01">
            <w:pPr>
              <w:jc w:val="center"/>
              <w:rPr>
                <w:b/>
                <w:bCs/>
                <w:noProof/>
                <w:color w:val="FFFFFF"/>
                <w:sz w:val="20"/>
                <w:szCs w:val="20"/>
              </w:rPr>
            </w:pPr>
            <w:r>
              <w:rPr>
                <w:b/>
                <w:bCs/>
                <w:noProof/>
                <w:color w:val="FFFFFF"/>
                <w:sz w:val="20"/>
                <w:szCs w:val="20"/>
              </w:rPr>
              <w:t>PO3</w:t>
            </w:r>
          </w:p>
        </w:tc>
        <w:tc>
          <w:tcPr>
            <w:tcW w:w="507" w:type="pct"/>
            <w:tcBorders>
              <w:top w:val="nil"/>
              <w:left w:val="nil"/>
              <w:bottom w:val="single" w:sz="4" w:space="0" w:color="auto"/>
              <w:right w:val="single" w:sz="4" w:space="0" w:color="auto"/>
            </w:tcBorders>
            <w:shd w:val="clear" w:color="000000" w:fill="0070C0"/>
            <w:hideMark/>
          </w:tcPr>
          <w:p w14:paraId="26A8433C" w14:textId="77777777" w:rsidR="008A4C01" w:rsidRDefault="008A4C01">
            <w:pPr>
              <w:jc w:val="center"/>
              <w:rPr>
                <w:b/>
                <w:bCs/>
                <w:noProof/>
                <w:color w:val="FFFFFF"/>
                <w:sz w:val="20"/>
                <w:szCs w:val="20"/>
              </w:rPr>
            </w:pPr>
            <w:r>
              <w:rPr>
                <w:b/>
                <w:bCs/>
                <w:noProof/>
                <w:color w:val="FFFFFF"/>
                <w:sz w:val="20"/>
                <w:szCs w:val="20"/>
              </w:rPr>
              <w:t>PO4</w:t>
            </w:r>
          </w:p>
        </w:tc>
      </w:tr>
      <w:tr w:rsidR="008A4C01" w14:paraId="6ED50DA4"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3B05F4C6" w14:textId="77777777" w:rsidR="008A4C01" w:rsidRDefault="008A4C01">
            <w:pPr>
              <w:rPr>
                <w:b/>
                <w:bCs/>
                <w:noProof/>
                <w:sz w:val="20"/>
                <w:szCs w:val="20"/>
              </w:rPr>
            </w:pPr>
            <w:r>
              <w:rPr>
                <w:b/>
                <w:bCs/>
                <w:noProof/>
                <w:sz w:val="20"/>
                <w:szCs w:val="20"/>
              </w:rPr>
              <w:t>MDMS platforms</w:t>
            </w:r>
          </w:p>
        </w:tc>
        <w:tc>
          <w:tcPr>
            <w:tcW w:w="506" w:type="pct"/>
            <w:tcBorders>
              <w:top w:val="nil"/>
              <w:left w:val="nil"/>
              <w:bottom w:val="single" w:sz="4" w:space="0" w:color="auto"/>
              <w:right w:val="single" w:sz="4" w:space="0" w:color="auto"/>
            </w:tcBorders>
            <w:shd w:val="clear" w:color="000000" w:fill="BDE3FF"/>
            <w:hideMark/>
          </w:tcPr>
          <w:p w14:paraId="6E8C2BDD" w14:textId="77777777" w:rsidR="008A4C01" w:rsidRDefault="008A4C01">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127BB89F" w14:textId="77777777" w:rsidR="008A4C01" w:rsidRDefault="008A4C01">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2F665EA4" w14:textId="77777777" w:rsidR="008A4C01" w:rsidRDefault="008A4C01">
            <w:pPr>
              <w:rPr>
                <w:b/>
                <w:bCs/>
                <w:noProof/>
                <w:sz w:val="20"/>
                <w:szCs w:val="20"/>
              </w:rPr>
            </w:pPr>
            <w:r>
              <w:rPr>
                <w:b/>
                <w:bCs/>
                <w:noProof/>
                <w:sz w:val="20"/>
                <w:szCs w:val="20"/>
              </w:rPr>
              <w:t> </w:t>
            </w:r>
          </w:p>
        </w:tc>
        <w:tc>
          <w:tcPr>
            <w:tcW w:w="507" w:type="pct"/>
            <w:tcBorders>
              <w:top w:val="nil"/>
              <w:left w:val="nil"/>
              <w:bottom w:val="single" w:sz="4" w:space="0" w:color="auto"/>
              <w:right w:val="single" w:sz="4" w:space="0" w:color="auto"/>
            </w:tcBorders>
            <w:shd w:val="clear" w:color="000000" w:fill="BDE3FF"/>
            <w:hideMark/>
          </w:tcPr>
          <w:p w14:paraId="054979DF" w14:textId="77777777" w:rsidR="008A4C01" w:rsidRDefault="008A4C01">
            <w:pPr>
              <w:rPr>
                <w:b/>
                <w:bCs/>
                <w:noProof/>
                <w:sz w:val="20"/>
                <w:szCs w:val="20"/>
              </w:rPr>
            </w:pPr>
            <w:r>
              <w:rPr>
                <w:b/>
                <w:bCs/>
                <w:noProof/>
                <w:sz w:val="20"/>
                <w:szCs w:val="20"/>
              </w:rPr>
              <w:t> </w:t>
            </w:r>
          </w:p>
        </w:tc>
      </w:tr>
      <w:tr w:rsidR="008A4C01" w14:paraId="5D62439B"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7E793E2A" w14:textId="77777777" w:rsidR="008A4C01" w:rsidRDefault="008A4C01">
            <w:pPr>
              <w:rPr>
                <w:noProof/>
                <w:color w:val="000000"/>
                <w:sz w:val="20"/>
                <w:szCs w:val="20"/>
              </w:rPr>
            </w:pPr>
            <w:r>
              <w:rPr>
                <w:noProof/>
                <w:color w:val="000000"/>
                <w:sz w:val="20"/>
                <w:szCs w:val="20"/>
              </w:rPr>
              <w:t>Adjustment costs</w:t>
            </w:r>
          </w:p>
        </w:tc>
        <w:tc>
          <w:tcPr>
            <w:tcW w:w="506" w:type="pct"/>
            <w:tcBorders>
              <w:top w:val="nil"/>
              <w:left w:val="nil"/>
              <w:bottom w:val="single" w:sz="4" w:space="0" w:color="auto"/>
              <w:right w:val="single" w:sz="4" w:space="0" w:color="auto"/>
            </w:tcBorders>
            <w:shd w:val="clear" w:color="000000" w:fill="FFFFFF"/>
            <w:noWrap/>
            <w:hideMark/>
          </w:tcPr>
          <w:p w14:paraId="0C52DF8D" w14:textId="77777777" w:rsidR="008A4C01" w:rsidRDefault="008A4C01">
            <w:pPr>
              <w:jc w:val="right"/>
              <w:rPr>
                <w:noProof/>
                <w:color w:val="000000"/>
                <w:sz w:val="20"/>
                <w:szCs w:val="20"/>
              </w:rPr>
            </w:pPr>
            <w:r>
              <w:rPr>
                <w:noProof/>
                <w:color w:val="000000"/>
                <w:sz w:val="20"/>
                <w:szCs w:val="20"/>
              </w:rPr>
              <w:t>92.9</w:t>
            </w:r>
          </w:p>
        </w:tc>
        <w:tc>
          <w:tcPr>
            <w:tcW w:w="506" w:type="pct"/>
            <w:tcBorders>
              <w:top w:val="nil"/>
              <w:left w:val="nil"/>
              <w:bottom w:val="single" w:sz="4" w:space="0" w:color="auto"/>
              <w:right w:val="single" w:sz="4" w:space="0" w:color="auto"/>
            </w:tcBorders>
            <w:shd w:val="clear" w:color="000000" w:fill="FFFFFF"/>
            <w:noWrap/>
            <w:hideMark/>
          </w:tcPr>
          <w:p w14:paraId="6256D54D" w14:textId="77777777" w:rsidR="008A4C01" w:rsidRDefault="008A4C01">
            <w:pPr>
              <w:jc w:val="right"/>
              <w:rPr>
                <w:noProof/>
                <w:color w:val="000000"/>
                <w:sz w:val="20"/>
                <w:szCs w:val="20"/>
              </w:rPr>
            </w:pPr>
            <w:r>
              <w:rPr>
                <w:noProof/>
                <w:color w:val="000000"/>
                <w:sz w:val="20"/>
                <w:szCs w:val="20"/>
              </w:rPr>
              <w:t>127.7</w:t>
            </w:r>
          </w:p>
        </w:tc>
        <w:tc>
          <w:tcPr>
            <w:tcW w:w="506" w:type="pct"/>
            <w:tcBorders>
              <w:top w:val="nil"/>
              <w:left w:val="nil"/>
              <w:bottom w:val="single" w:sz="4" w:space="0" w:color="auto"/>
              <w:right w:val="single" w:sz="4" w:space="0" w:color="auto"/>
            </w:tcBorders>
            <w:shd w:val="clear" w:color="000000" w:fill="FFFFFF"/>
            <w:noWrap/>
            <w:hideMark/>
          </w:tcPr>
          <w:p w14:paraId="3841C3D7" w14:textId="77777777" w:rsidR="008A4C01" w:rsidRDefault="008A4C01">
            <w:pPr>
              <w:jc w:val="right"/>
              <w:rPr>
                <w:noProof/>
                <w:color w:val="000000"/>
                <w:sz w:val="20"/>
                <w:szCs w:val="20"/>
              </w:rPr>
            </w:pPr>
            <w:r>
              <w:rPr>
                <w:noProof/>
                <w:color w:val="000000"/>
                <w:sz w:val="20"/>
                <w:szCs w:val="20"/>
              </w:rPr>
              <w:t>122.3</w:t>
            </w:r>
          </w:p>
        </w:tc>
        <w:tc>
          <w:tcPr>
            <w:tcW w:w="507" w:type="pct"/>
            <w:tcBorders>
              <w:top w:val="nil"/>
              <w:left w:val="nil"/>
              <w:bottom w:val="single" w:sz="4" w:space="0" w:color="auto"/>
              <w:right w:val="single" w:sz="4" w:space="0" w:color="auto"/>
            </w:tcBorders>
            <w:shd w:val="clear" w:color="000000" w:fill="FFFFFF"/>
            <w:noWrap/>
            <w:hideMark/>
          </w:tcPr>
          <w:p w14:paraId="4E02D2EA" w14:textId="77777777" w:rsidR="008A4C01" w:rsidRDefault="008A4C01">
            <w:pPr>
              <w:jc w:val="right"/>
              <w:rPr>
                <w:noProof/>
                <w:color w:val="000000"/>
                <w:sz w:val="20"/>
                <w:szCs w:val="20"/>
              </w:rPr>
            </w:pPr>
            <w:r>
              <w:rPr>
                <w:noProof/>
                <w:color w:val="000000"/>
                <w:sz w:val="20"/>
                <w:szCs w:val="20"/>
              </w:rPr>
              <w:t>282.3</w:t>
            </w:r>
          </w:p>
        </w:tc>
      </w:tr>
      <w:tr w:rsidR="008A4C01" w14:paraId="2D0F5FDE"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1DC88107" w14:textId="77777777" w:rsidR="008A4C01" w:rsidRDefault="008A4C01">
            <w:pPr>
              <w:rPr>
                <w:noProof/>
                <w:color w:val="000000"/>
                <w:sz w:val="20"/>
                <w:szCs w:val="20"/>
              </w:rPr>
            </w:pPr>
            <w:r>
              <w:rPr>
                <w:noProof/>
                <w:color w:val="000000"/>
                <w:sz w:val="20"/>
                <w:szCs w:val="20"/>
              </w:rPr>
              <w:t>Administrative costs</w:t>
            </w:r>
          </w:p>
        </w:tc>
        <w:tc>
          <w:tcPr>
            <w:tcW w:w="506" w:type="pct"/>
            <w:tcBorders>
              <w:top w:val="nil"/>
              <w:left w:val="nil"/>
              <w:bottom w:val="single" w:sz="4" w:space="0" w:color="auto"/>
              <w:right w:val="single" w:sz="4" w:space="0" w:color="auto"/>
            </w:tcBorders>
            <w:shd w:val="clear" w:color="000000" w:fill="FFFFFF"/>
            <w:noWrap/>
            <w:hideMark/>
          </w:tcPr>
          <w:p w14:paraId="300ABCB7" w14:textId="77777777" w:rsidR="008A4C01" w:rsidRDefault="008A4C01">
            <w:pPr>
              <w:jc w:val="right"/>
              <w:rPr>
                <w:noProof/>
                <w:color w:val="000000"/>
                <w:sz w:val="20"/>
                <w:szCs w:val="20"/>
              </w:rPr>
            </w:pPr>
            <w:r>
              <w:rPr>
                <w:noProof/>
                <w:color w:val="000000"/>
                <w:sz w:val="20"/>
                <w:szCs w:val="20"/>
              </w:rPr>
              <w:t>0.5</w:t>
            </w:r>
          </w:p>
        </w:tc>
        <w:tc>
          <w:tcPr>
            <w:tcW w:w="506" w:type="pct"/>
            <w:tcBorders>
              <w:top w:val="nil"/>
              <w:left w:val="nil"/>
              <w:bottom w:val="single" w:sz="4" w:space="0" w:color="auto"/>
              <w:right w:val="single" w:sz="4" w:space="0" w:color="auto"/>
            </w:tcBorders>
            <w:shd w:val="clear" w:color="000000" w:fill="FFFFFF"/>
            <w:noWrap/>
            <w:hideMark/>
          </w:tcPr>
          <w:p w14:paraId="26F683C9" w14:textId="77777777" w:rsidR="008A4C01" w:rsidRDefault="008A4C01">
            <w:pPr>
              <w:jc w:val="right"/>
              <w:rPr>
                <w:noProof/>
                <w:color w:val="000000"/>
                <w:sz w:val="20"/>
                <w:szCs w:val="20"/>
              </w:rPr>
            </w:pPr>
            <w:r>
              <w:rPr>
                <w:noProof/>
                <w:color w:val="000000"/>
                <w:sz w:val="20"/>
                <w:szCs w:val="20"/>
              </w:rPr>
              <w:t>0.5</w:t>
            </w:r>
          </w:p>
        </w:tc>
        <w:tc>
          <w:tcPr>
            <w:tcW w:w="506" w:type="pct"/>
            <w:tcBorders>
              <w:top w:val="nil"/>
              <w:left w:val="nil"/>
              <w:bottom w:val="single" w:sz="4" w:space="0" w:color="auto"/>
              <w:right w:val="single" w:sz="4" w:space="0" w:color="auto"/>
            </w:tcBorders>
            <w:shd w:val="clear" w:color="000000" w:fill="FFFFFF"/>
            <w:noWrap/>
            <w:hideMark/>
          </w:tcPr>
          <w:p w14:paraId="5A2A7E8D" w14:textId="77777777" w:rsidR="008A4C01" w:rsidRDefault="008A4C01">
            <w:pPr>
              <w:jc w:val="right"/>
              <w:rPr>
                <w:noProof/>
                <w:color w:val="000000"/>
                <w:sz w:val="20"/>
                <w:szCs w:val="20"/>
              </w:rPr>
            </w:pPr>
            <w:r>
              <w:rPr>
                <w:noProof/>
                <w:color w:val="000000"/>
                <w:sz w:val="20"/>
                <w:szCs w:val="20"/>
              </w:rPr>
              <w:t>0.5</w:t>
            </w:r>
          </w:p>
        </w:tc>
        <w:tc>
          <w:tcPr>
            <w:tcW w:w="507" w:type="pct"/>
            <w:tcBorders>
              <w:top w:val="nil"/>
              <w:left w:val="nil"/>
              <w:bottom w:val="single" w:sz="4" w:space="0" w:color="auto"/>
              <w:right w:val="single" w:sz="4" w:space="0" w:color="auto"/>
            </w:tcBorders>
            <w:shd w:val="clear" w:color="000000" w:fill="FFFFFF"/>
            <w:noWrap/>
            <w:hideMark/>
          </w:tcPr>
          <w:p w14:paraId="2B45BA78" w14:textId="77777777" w:rsidR="008A4C01" w:rsidRDefault="008A4C01">
            <w:pPr>
              <w:jc w:val="right"/>
              <w:rPr>
                <w:noProof/>
                <w:color w:val="000000"/>
                <w:sz w:val="20"/>
                <w:szCs w:val="20"/>
              </w:rPr>
            </w:pPr>
            <w:r>
              <w:rPr>
                <w:noProof/>
                <w:color w:val="000000"/>
                <w:sz w:val="20"/>
                <w:szCs w:val="20"/>
              </w:rPr>
              <w:t>0.5</w:t>
            </w:r>
          </w:p>
        </w:tc>
      </w:tr>
      <w:tr w:rsidR="008A4C01" w14:paraId="261FEC61"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41DD8C0F" w14:textId="77777777" w:rsidR="008A4C01" w:rsidRDefault="008A4C01">
            <w:pPr>
              <w:rPr>
                <w:noProof/>
                <w:color w:val="000000"/>
                <w:sz w:val="20"/>
                <w:szCs w:val="20"/>
              </w:rPr>
            </w:pPr>
            <w:r>
              <w:rPr>
                <w:noProof/>
                <w:color w:val="000000"/>
                <w:sz w:val="20"/>
                <w:szCs w:val="20"/>
              </w:rPr>
              <w:t>Adjustment cost savings</w:t>
            </w:r>
          </w:p>
        </w:tc>
        <w:tc>
          <w:tcPr>
            <w:tcW w:w="506" w:type="pct"/>
            <w:tcBorders>
              <w:top w:val="nil"/>
              <w:left w:val="nil"/>
              <w:bottom w:val="single" w:sz="4" w:space="0" w:color="auto"/>
              <w:right w:val="single" w:sz="4" w:space="0" w:color="auto"/>
            </w:tcBorders>
            <w:shd w:val="clear" w:color="000000" w:fill="FFFFFF"/>
            <w:noWrap/>
            <w:hideMark/>
          </w:tcPr>
          <w:p w14:paraId="6B52EF11" w14:textId="77777777" w:rsidR="008A4C01" w:rsidRDefault="008A4C01">
            <w:pPr>
              <w:jc w:val="right"/>
              <w:rPr>
                <w:noProof/>
                <w:color w:val="000000"/>
                <w:sz w:val="20"/>
                <w:szCs w:val="20"/>
              </w:rPr>
            </w:pPr>
            <w:r>
              <w:rPr>
                <w:noProof/>
                <w:color w:val="000000"/>
                <w:sz w:val="20"/>
                <w:szCs w:val="20"/>
              </w:rPr>
              <w:t>13.0</w:t>
            </w:r>
          </w:p>
        </w:tc>
        <w:tc>
          <w:tcPr>
            <w:tcW w:w="506" w:type="pct"/>
            <w:tcBorders>
              <w:top w:val="nil"/>
              <w:left w:val="nil"/>
              <w:bottom w:val="single" w:sz="4" w:space="0" w:color="auto"/>
              <w:right w:val="single" w:sz="4" w:space="0" w:color="auto"/>
            </w:tcBorders>
            <w:shd w:val="clear" w:color="000000" w:fill="FFFFFF"/>
            <w:noWrap/>
            <w:hideMark/>
          </w:tcPr>
          <w:p w14:paraId="67AA5449" w14:textId="77777777" w:rsidR="008A4C01" w:rsidRDefault="008A4C01">
            <w:pPr>
              <w:jc w:val="right"/>
              <w:rPr>
                <w:noProof/>
                <w:color w:val="000000"/>
                <w:sz w:val="20"/>
                <w:szCs w:val="20"/>
              </w:rPr>
            </w:pPr>
            <w:r>
              <w:rPr>
                <w:noProof/>
                <w:color w:val="000000"/>
                <w:sz w:val="20"/>
                <w:szCs w:val="20"/>
              </w:rPr>
              <w:t>149.0</w:t>
            </w:r>
          </w:p>
        </w:tc>
        <w:tc>
          <w:tcPr>
            <w:tcW w:w="506" w:type="pct"/>
            <w:tcBorders>
              <w:top w:val="nil"/>
              <w:left w:val="nil"/>
              <w:bottom w:val="single" w:sz="4" w:space="0" w:color="auto"/>
              <w:right w:val="single" w:sz="4" w:space="0" w:color="auto"/>
            </w:tcBorders>
            <w:shd w:val="clear" w:color="000000" w:fill="FFFFFF"/>
            <w:noWrap/>
            <w:hideMark/>
          </w:tcPr>
          <w:p w14:paraId="0C707121" w14:textId="77777777" w:rsidR="008A4C01" w:rsidRDefault="008A4C01">
            <w:pPr>
              <w:jc w:val="right"/>
              <w:rPr>
                <w:noProof/>
                <w:color w:val="000000"/>
                <w:sz w:val="20"/>
                <w:szCs w:val="20"/>
              </w:rPr>
            </w:pPr>
            <w:r>
              <w:rPr>
                <w:noProof/>
                <w:color w:val="000000"/>
                <w:sz w:val="20"/>
                <w:szCs w:val="20"/>
              </w:rPr>
              <w:t>134.0</w:t>
            </w:r>
          </w:p>
        </w:tc>
        <w:tc>
          <w:tcPr>
            <w:tcW w:w="507" w:type="pct"/>
            <w:tcBorders>
              <w:top w:val="nil"/>
              <w:left w:val="nil"/>
              <w:bottom w:val="single" w:sz="4" w:space="0" w:color="auto"/>
              <w:right w:val="single" w:sz="4" w:space="0" w:color="auto"/>
            </w:tcBorders>
            <w:shd w:val="clear" w:color="000000" w:fill="FFFFFF"/>
            <w:noWrap/>
            <w:hideMark/>
          </w:tcPr>
          <w:p w14:paraId="50B0B516" w14:textId="77777777" w:rsidR="008A4C01" w:rsidRDefault="008A4C01">
            <w:pPr>
              <w:jc w:val="right"/>
              <w:rPr>
                <w:noProof/>
                <w:color w:val="000000"/>
                <w:sz w:val="20"/>
                <w:szCs w:val="20"/>
              </w:rPr>
            </w:pPr>
            <w:r>
              <w:rPr>
                <w:noProof/>
                <w:color w:val="000000"/>
                <w:sz w:val="20"/>
                <w:szCs w:val="20"/>
              </w:rPr>
              <w:t>142.7</w:t>
            </w:r>
          </w:p>
        </w:tc>
      </w:tr>
      <w:tr w:rsidR="008A4C01" w14:paraId="0D262E7B"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31BC017B" w14:textId="77777777" w:rsidR="008A4C01" w:rsidRDefault="008A4C01">
            <w:pPr>
              <w:rPr>
                <w:b/>
                <w:bCs/>
                <w:noProof/>
                <w:sz w:val="20"/>
                <w:szCs w:val="20"/>
              </w:rPr>
            </w:pPr>
            <w:r>
              <w:rPr>
                <w:b/>
                <w:bCs/>
                <w:noProof/>
                <w:sz w:val="20"/>
                <w:szCs w:val="20"/>
              </w:rPr>
              <w:t>Transport operators</w:t>
            </w:r>
          </w:p>
        </w:tc>
        <w:tc>
          <w:tcPr>
            <w:tcW w:w="506" w:type="pct"/>
            <w:tcBorders>
              <w:top w:val="nil"/>
              <w:left w:val="nil"/>
              <w:bottom w:val="single" w:sz="4" w:space="0" w:color="auto"/>
              <w:right w:val="single" w:sz="4" w:space="0" w:color="auto"/>
            </w:tcBorders>
            <w:shd w:val="clear" w:color="000000" w:fill="BDE3FF"/>
            <w:hideMark/>
          </w:tcPr>
          <w:p w14:paraId="1491A706" w14:textId="77777777" w:rsidR="008A4C01" w:rsidRDefault="008A4C01">
            <w:pPr>
              <w:jc w:val="right"/>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32C154C4" w14:textId="77777777" w:rsidR="008A4C01" w:rsidRDefault="008A4C01">
            <w:pPr>
              <w:jc w:val="right"/>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3DDDB6E6" w14:textId="77777777" w:rsidR="008A4C01" w:rsidRDefault="008A4C01">
            <w:pPr>
              <w:jc w:val="right"/>
              <w:rPr>
                <w:b/>
                <w:bCs/>
                <w:noProof/>
                <w:sz w:val="20"/>
                <w:szCs w:val="20"/>
              </w:rPr>
            </w:pPr>
            <w:r>
              <w:rPr>
                <w:b/>
                <w:bCs/>
                <w:noProof/>
                <w:sz w:val="20"/>
                <w:szCs w:val="20"/>
              </w:rPr>
              <w:t> </w:t>
            </w:r>
          </w:p>
        </w:tc>
        <w:tc>
          <w:tcPr>
            <w:tcW w:w="507" w:type="pct"/>
            <w:tcBorders>
              <w:top w:val="nil"/>
              <w:left w:val="nil"/>
              <w:bottom w:val="single" w:sz="4" w:space="0" w:color="auto"/>
              <w:right w:val="single" w:sz="4" w:space="0" w:color="auto"/>
            </w:tcBorders>
            <w:shd w:val="clear" w:color="000000" w:fill="BDE3FF"/>
            <w:hideMark/>
          </w:tcPr>
          <w:p w14:paraId="7DBE6B45" w14:textId="77777777" w:rsidR="008A4C01" w:rsidRDefault="008A4C01">
            <w:pPr>
              <w:jc w:val="right"/>
              <w:rPr>
                <w:b/>
                <w:bCs/>
                <w:noProof/>
                <w:sz w:val="20"/>
                <w:szCs w:val="20"/>
              </w:rPr>
            </w:pPr>
            <w:r>
              <w:rPr>
                <w:b/>
                <w:bCs/>
                <w:noProof/>
                <w:sz w:val="20"/>
                <w:szCs w:val="20"/>
              </w:rPr>
              <w:t> </w:t>
            </w:r>
          </w:p>
        </w:tc>
      </w:tr>
      <w:tr w:rsidR="008A4C01" w14:paraId="7677A370"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0CD1D444" w14:textId="77777777" w:rsidR="008A4C01" w:rsidRDefault="008A4C01">
            <w:pPr>
              <w:rPr>
                <w:noProof/>
                <w:color w:val="000000"/>
                <w:sz w:val="20"/>
                <w:szCs w:val="20"/>
              </w:rPr>
            </w:pPr>
            <w:r>
              <w:rPr>
                <w:noProof/>
                <w:color w:val="000000"/>
                <w:sz w:val="20"/>
                <w:szCs w:val="20"/>
              </w:rPr>
              <w:t>Adjustment costs</w:t>
            </w:r>
          </w:p>
        </w:tc>
        <w:tc>
          <w:tcPr>
            <w:tcW w:w="506" w:type="pct"/>
            <w:tcBorders>
              <w:top w:val="nil"/>
              <w:left w:val="nil"/>
              <w:bottom w:val="single" w:sz="4" w:space="0" w:color="auto"/>
              <w:right w:val="single" w:sz="4" w:space="0" w:color="auto"/>
            </w:tcBorders>
            <w:shd w:val="clear" w:color="000000" w:fill="FFFFFF"/>
            <w:noWrap/>
            <w:hideMark/>
          </w:tcPr>
          <w:p w14:paraId="68C8F54A" w14:textId="77777777" w:rsidR="008A4C01" w:rsidRDefault="008A4C01">
            <w:pPr>
              <w:jc w:val="right"/>
              <w:rPr>
                <w:noProof/>
                <w:color w:val="000000"/>
                <w:sz w:val="20"/>
                <w:szCs w:val="20"/>
              </w:rPr>
            </w:pPr>
            <w:r>
              <w:rPr>
                <w:noProof/>
                <w:color w:val="000000"/>
                <w:sz w:val="20"/>
                <w:szCs w:val="20"/>
              </w:rPr>
              <w:t>0.0</w:t>
            </w:r>
          </w:p>
        </w:tc>
        <w:tc>
          <w:tcPr>
            <w:tcW w:w="506" w:type="pct"/>
            <w:tcBorders>
              <w:top w:val="nil"/>
              <w:left w:val="nil"/>
              <w:bottom w:val="single" w:sz="4" w:space="0" w:color="auto"/>
              <w:right w:val="single" w:sz="4" w:space="0" w:color="auto"/>
            </w:tcBorders>
            <w:shd w:val="clear" w:color="000000" w:fill="FFFFFF"/>
            <w:noWrap/>
            <w:hideMark/>
          </w:tcPr>
          <w:p w14:paraId="007707C1" w14:textId="77777777" w:rsidR="008A4C01" w:rsidRDefault="008A4C01">
            <w:pPr>
              <w:jc w:val="right"/>
              <w:rPr>
                <w:noProof/>
                <w:color w:val="000000"/>
                <w:sz w:val="20"/>
                <w:szCs w:val="20"/>
              </w:rPr>
            </w:pPr>
            <w:r>
              <w:rPr>
                <w:noProof/>
                <w:color w:val="000000"/>
                <w:sz w:val="20"/>
                <w:szCs w:val="20"/>
              </w:rPr>
              <w:t>48.2</w:t>
            </w:r>
          </w:p>
        </w:tc>
        <w:tc>
          <w:tcPr>
            <w:tcW w:w="506" w:type="pct"/>
            <w:tcBorders>
              <w:top w:val="nil"/>
              <w:left w:val="nil"/>
              <w:bottom w:val="single" w:sz="4" w:space="0" w:color="auto"/>
              <w:right w:val="single" w:sz="4" w:space="0" w:color="auto"/>
            </w:tcBorders>
            <w:shd w:val="clear" w:color="000000" w:fill="FFFFFF"/>
            <w:noWrap/>
            <w:hideMark/>
          </w:tcPr>
          <w:p w14:paraId="717131DB" w14:textId="77777777" w:rsidR="008A4C01" w:rsidRDefault="008A4C01">
            <w:pPr>
              <w:jc w:val="right"/>
              <w:rPr>
                <w:noProof/>
                <w:color w:val="000000"/>
                <w:sz w:val="20"/>
                <w:szCs w:val="20"/>
              </w:rPr>
            </w:pPr>
            <w:r>
              <w:rPr>
                <w:noProof/>
                <w:color w:val="000000"/>
                <w:sz w:val="20"/>
                <w:szCs w:val="20"/>
              </w:rPr>
              <w:t>42.2</w:t>
            </w:r>
          </w:p>
        </w:tc>
        <w:tc>
          <w:tcPr>
            <w:tcW w:w="507" w:type="pct"/>
            <w:tcBorders>
              <w:top w:val="nil"/>
              <w:left w:val="nil"/>
              <w:bottom w:val="single" w:sz="4" w:space="0" w:color="auto"/>
              <w:right w:val="single" w:sz="4" w:space="0" w:color="auto"/>
            </w:tcBorders>
            <w:shd w:val="clear" w:color="000000" w:fill="FFFFFF"/>
            <w:noWrap/>
            <w:hideMark/>
          </w:tcPr>
          <w:p w14:paraId="1E9287FC" w14:textId="77777777" w:rsidR="008A4C01" w:rsidRDefault="008A4C01">
            <w:pPr>
              <w:jc w:val="right"/>
              <w:rPr>
                <w:noProof/>
                <w:color w:val="000000"/>
                <w:sz w:val="20"/>
                <w:szCs w:val="20"/>
              </w:rPr>
            </w:pPr>
            <w:r>
              <w:rPr>
                <w:noProof/>
                <w:color w:val="000000"/>
                <w:sz w:val="20"/>
                <w:szCs w:val="20"/>
              </w:rPr>
              <w:t>45.2</w:t>
            </w:r>
          </w:p>
        </w:tc>
      </w:tr>
      <w:tr w:rsidR="008A4C01" w14:paraId="1A685FB9"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66C5F82C" w14:textId="77777777" w:rsidR="008A4C01" w:rsidRDefault="008A4C01">
            <w:pPr>
              <w:rPr>
                <w:noProof/>
                <w:color w:val="000000"/>
                <w:sz w:val="20"/>
                <w:szCs w:val="20"/>
              </w:rPr>
            </w:pPr>
            <w:r>
              <w:rPr>
                <w:noProof/>
                <w:color w:val="000000"/>
                <w:sz w:val="20"/>
                <w:szCs w:val="20"/>
              </w:rPr>
              <w:t>Administrative costs</w:t>
            </w:r>
          </w:p>
        </w:tc>
        <w:tc>
          <w:tcPr>
            <w:tcW w:w="506" w:type="pct"/>
            <w:tcBorders>
              <w:top w:val="nil"/>
              <w:left w:val="nil"/>
              <w:bottom w:val="single" w:sz="4" w:space="0" w:color="auto"/>
              <w:right w:val="single" w:sz="4" w:space="0" w:color="auto"/>
            </w:tcBorders>
            <w:shd w:val="clear" w:color="000000" w:fill="FFFFFF"/>
            <w:noWrap/>
            <w:hideMark/>
          </w:tcPr>
          <w:p w14:paraId="53CE8CD2" w14:textId="77777777" w:rsidR="008A4C01" w:rsidRDefault="008A4C01">
            <w:pPr>
              <w:jc w:val="right"/>
              <w:rPr>
                <w:noProof/>
                <w:color w:val="000000"/>
                <w:sz w:val="20"/>
                <w:szCs w:val="20"/>
              </w:rPr>
            </w:pPr>
            <w:r>
              <w:rPr>
                <w:noProof/>
                <w:color w:val="000000"/>
                <w:sz w:val="20"/>
                <w:szCs w:val="20"/>
              </w:rPr>
              <w:t>0.001</w:t>
            </w:r>
          </w:p>
        </w:tc>
        <w:tc>
          <w:tcPr>
            <w:tcW w:w="506" w:type="pct"/>
            <w:tcBorders>
              <w:top w:val="nil"/>
              <w:left w:val="nil"/>
              <w:bottom w:val="single" w:sz="4" w:space="0" w:color="auto"/>
              <w:right w:val="single" w:sz="4" w:space="0" w:color="auto"/>
            </w:tcBorders>
            <w:shd w:val="clear" w:color="000000" w:fill="FFFFFF"/>
            <w:noWrap/>
            <w:hideMark/>
          </w:tcPr>
          <w:p w14:paraId="35FD3027" w14:textId="77777777" w:rsidR="008A4C01" w:rsidRDefault="008A4C01">
            <w:pPr>
              <w:jc w:val="right"/>
              <w:rPr>
                <w:noProof/>
                <w:color w:val="000000"/>
                <w:sz w:val="20"/>
                <w:szCs w:val="20"/>
              </w:rPr>
            </w:pPr>
            <w:r>
              <w:rPr>
                <w:noProof/>
                <w:color w:val="000000"/>
                <w:sz w:val="20"/>
                <w:szCs w:val="20"/>
              </w:rPr>
              <w:t>0.001</w:t>
            </w:r>
          </w:p>
        </w:tc>
        <w:tc>
          <w:tcPr>
            <w:tcW w:w="506" w:type="pct"/>
            <w:tcBorders>
              <w:top w:val="nil"/>
              <w:left w:val="nil"/>
              <w:bottom w:val="single" w:sz="4" w:space="0" w:color="auto"/>
              <w:right w:val="single" w:sz="4" w:space="0" w:color="auto"/>
            </w:tcBorders>
            <w:shd w:val="clear" w:color="000000" w:fill="FFFFFF"/>
            <w:noWrap/>
            <w:hideMark/>
          </w:tcPr>
          <w:p w14:paraId="4D2D162B" w14:textId="77777777" w:rsidR="008A4C01" w:rsidRDefault="008A4C01">
            <w:pPr>
              <w:jc w:val="right"/>
              <w:rPr>
                <w:noProof/>
                <w:color w:val="000000"/>
                <w:sz w:val="20"/>
                <w:szCs w:val="20"/>
              </w:rPr>
            </w:pPr>
            <w:r>
              <w:rPr>
                <w:noProof/>
                <w:color w:val="000000"/>
                <w:sz w:val="20"/>
                <w:szCs w:val="20"/>
              </w:rPr>
              <w:t>0.001</w:t>
            </w:r>
          </w:p>
        </w:tc>
        <w:tc>
          <w:tcPr>
            <w:tcW w:w="507" w:type="pct"/>
            <w:tcBorders>
              <w:top w:val="nil"/>
              <w:left w:val="nil"/>
              <w:bottom w:val="single" w:sz="4" w:space="0" w:color="auto"/>
              <w:right w:val="single" w:sz="4" w:space="0" w:color="auto"/>
            </w:tcBorders>
            <w:shd w:val="clear" w:color="000000" w:fill="FFFFFF"/>
            <w:noWrap/>
            <w:hideMark/>
          </w:tcPr>
          <w:p w14:paraId="55B84CD5" w14:textId="77777777" w:rsidR="008A4C01" w:rsidRDefault="008A4C01">
            <w:pPr>
              <w:jc w:val="right"/>
              <w:rPr>
                <w:noProof/>
                <w:color w:val="000000"/>
                <w:sz w:val="20"/>
                <w:szCs w:val="20"/>
              </w:rPr>
            </w:pPr>
            <w:r>
              <w:rPr>
                <w:noProof/>
                <w:color w:val="000000"/>
                <w:sz w:val="20"/>
                <w:szCs w:val="20"/>
              </w:rPr>
              <w:t>0.001</w:t>
            </w:r>
          </w:p>
        </w:tc>
      </w:tr>
      <w:tr w:rsidR="008A4C01" w14:paraId="137B03A1"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312CF59A" w14:textId="77777777" w:rsidR="008A4C01" w:rsidRDefault="008A4C01">
            <w:pPr>
              <w:rPr>
                <w:noProof/>
                <w:color w:val="000000"/>
                <w:sz w:val="20"/>
                <w:szCs w:val="20"/>
              </w:rPr>
            </w:pPr>
            <w:r>
              <w:rPr>
                <w:noProof/>
                <w:color w:val="000000"/>
                <w:sz w:val="20"/>
                <w:szCs w:val="20"/>
              </w:rPr>
              <w:t>Adjustment cost savings</w:t>
            </w:r>
          </w:p>
        </w:tc>
        <w:tc>
          <w:tcPr>
            <w:tcW w:w="506" w:type="pct"/>
            <w:tcBorders>
              <w:top w:val="nil"/>
              <w:left w:val="nil"/>
              <w:bottom w:val="single" w:sz="4" w:space="0" w:color="auto"/>
              <w:right w:val="single" w:sz="4" w:space="0" w:color="auto"/>
            </w:tcBorders>
            <w:shd w:val="clear" w:color="000000" w:fill="FFFFFF"/>
            <w:noWrap/>
            <w:hideMark/>
          </w:tcPr>
          <w:p w14:paraId="24D6F408" w14:textId="77777777" w:rsidR="008A4C01" w:rsidRDefault="008A4C01">
            <w:pPr>
              <w:jc w:val="right"/>
              <w:rPr>
                <w:noProof/>
                <w:color w:val="000000"/>
                <w:sz w:val="20"/>
                <w:szCs w:val="20"/>
              </w:rPr>
            </w:pPr>
            <w:r>
              <w:rPr>
                <w:noProof/>
                <w:color w:val="000000"/>
                <w:sz w:val="20"/>
                <w:szCs w:val="20"/>
              </w:rPr>
              <w:t>13.0</w:t>
            </w:r>
          </w:p>
        </w:tc>
        <w:tc>
          <w:tcPr>
            <w:tcW w:w="506" w:type="pct"/>
            <w:tcBorders>
              <w:top w:val="nil"/>
              <w:left w:val="nil"/>
              <w:bottom w:val="single" w:sz="4" w:space="0" w:color="auto"/>
              <w:right w:val="single" w:sz="4" w:space="0" w:color="auto"/>
            </w:tcBorders>
            <w:shd w:val="clear" w:color="000000" w:fill="FFFFFF"/>
            <w:noWrap/>
            <w:hideMark/>
          </w:tcPr>
          <w:p w14:paraId="655C9DA3" w14:textId="77777777" w:rsidR="008A4C01" w:rsidRDefault="008A4C01">
            <w:pPr>
              <w:jc w:val="right"/>
              <w:rPr>
                <w:noProof/>
                <w:color w:val="000000"/>
                <w:sz w:val="20"/>
                <w:szCs w:val="20"/>
              </w:rPr>
            </w:pPr>
            <w:r>
              <w:rPr>
                <w:noProof/>
                <w:color w:val="000000"/>
                <w:sz w:val="20"/>
                <w:szCs w:val="20"/>
              </w:rPr>
              <w:t>149.0</w:t>
            </w:r>
          </w:p>
        </w:tc>
        <w:tc>
          <w:tcPr>
            <w:tcW w:w="506" w:type="pct"/>
            <w:tcBorders>
              <w:top w:val="nil"/>
              <w:left w:val="nil"/>
              <w:bottom w:val="single" w:sz="4" w:space="0" w:color="auto"/>
              <w:right w:val="single" w:sz="4" w:space="0" w:color="auto"/>
            </w:tcBorders>
            <w:shd w:val="clear" w:color="000000" w:fill="FFFFFF"/>
            <w:noWrap/>
            <w:hideMark/>
          </w:tcPr>
          <w:p w14:paraId="2D18620A" w14:textId="77777777" w:rsidR="008A4C01" w:rsidRDefault="008A4C01">
            <w:pPr>
              <w:jc w:val="right"/>
              <w:rPr>
                <w:noProof/>
                <w:color w:val="000000"/>
                <w:sz w:val="20"/>
                <w:szCs w:val="20"/>
              </w:rPr>
            </w:pPr>
            <w:r>
              <w:rPr>
                <w:noProof/>
                <w:color w:val="000000"/>
                <w:sz w:val="20"/>
                <w:szCs w:val="20"/>
              </w:rPr>
              <w:t>134.0</w:t>
            </w:r>
          </w:p>
        </w:tc>
        <w:tc>
          <w:tcPr>
            <w:tcW w:w="507" w:type="pct"/>
            <w:tcBorders>
              <w:top w:val="nil"/>
              <w:left w:val="nil"/>
              <w:bottom w:val="single" w:sz="4" w:space="0" w:color="auto"/>
              <w:right w:val="single" w:sz="4" w:space="0" w:color="auto"/>
            </w:tcBorders>
            <w:shd w:val="clear" w:color="000000" w:fill="FFFFFF"/>
            <w:noWrap/>
            <w:hideMark/>
          </w:tcPr>
          <w:p w14:paraId="1B75DBB9" w14:textId="77777777" w:rsidR="008A4C01" w:rsidRDefault="008A4C01">
            <w:pPr>
              <w:jc w:val="right"/>
              <w:rPr>
                <w:noProof/>
                <w:color w:val="000000"/>
                <w:sz w:val="20"/>
                <w:szCs w:val="20"/>
              </w:rPr>
            </w:pPr>
            <w:r>
              <w:rPr>
                <w:noProof/>
                <w:color w:val="000000"/>
                <w:sz w:val="20"/>
                <w:szCs w:val="20"/>
              </w:rPr>
              <w:t>142.7</w:t>
            </w:r>
          </w:p>
        </w:tc>
      </w:tr>
      <w:tr w:rsidR="008A4C01" w14:paraId="2F22ACFD"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7146EC89" w14:textId="77777777" w:rsidR="008A4C01" w:rsidRDefault="008A4C01">
            <w:pPr>
              <w:rPr>
                <w:b/>
                <w:bCs/>
                <w:noProof/>
                <w:sz w:val="20"/>
                <w:szCs w:val="20"/>
              </w:rPr>
            </w:pPr>
            <w:r>
              <w:rPr>
                <w:b/>
                <w:bCs/>
                <w:noProof/>
                <w:sz w:val="20"/>
                <w:szCs w:val="20"/>
              </w:rPr>
              <w:t>European Commission</w:t>
            </w:r>
          </w:p>
        </w:tc>
        <w:tc>
          <w:tcPr>
            <w:tcW w:w="506" w:type="pct"/>
            <w:tcBorders>
              <w:top w:val="nil"/>
              <w:left w:val="nil"/>
              <w:bottom w:val="single" w:sz="4" w:space="0" w:color="auto"/>
              <w:right w:val="single" w:sz="4" w:space="0" w:color="auto"/>
            </w:tcBorders>
            <w:shd w:val="clear" w:color="000000" w:fill="BDE3FF"/>
            <w:hideMark/>
          </w:tcPr>
          <w:p w14:paraId="48ED34B0" w14:textId="77777777" w:rsidR="008A4C01" w:rsidRDefault="008A4C01">
            <w:pPr>
              <w:jc w:val="right"/>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4F0B1396" w14:textId="77777777" w:rsidR="008A4C01" w:rsidRDefault="008A4C01">
            <w:pPr>
              <w:jc w:val="right"/>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76FB3E8D" w14:textId="77777777" w:rsidR="008A4C01" w:rsidRDefault="008A4C01">
            <w:pPr>
              <w:jc w:val="right"/>
              <w:rPr>
                <w:b/>
                <w:bCs/>
                <w:noProof/>
                <w:sz w:val="20"/>
                <w:szCs w:val="20"/>
              </w:rPr>
            </w:pPr>
            <w:r>
              <w:rPr>
                <w:b/>
                <w:bCs/>
                <w:noProof/>
                <w:sz w:val="20"/>
                <w:szCs w:val="20"/>
              </w:rPr>
              <w:t> </w:t>
            </w:r>
          </w:p>
        </w:tc>
        <w:tc>
          <w:tcPr>
            <w:tcW w:w="507" w:type="pct"/>
            <w:tcBorders>
              <w:top w:val="nil"/>
              <w:left w:val="nil"/>
              <w:bottom w:val="single" w:sz="4" w:space="0" w:color="auto"/>
              <w:right w:val="single" w:sz="4" w:space="0" w:color="auto"/>
            </w:tcBorders>
            <w:shd w:val="clear" w:color="000000" w:fill="BDE3FF"/>
            <w:hideMark/>
          </w:tcPr>
          <w:p w14:paraId="1F9B97FE" w14:textId="77777777" w:rsidR="008A4C01" w:rsidRDefault="008A4C01">
            <w:pPr>
              <w:jc w:val="right"/>
              <w:rPr>
                <w:b/>
                <w:bCs/>
                <w:noProof/>
                <w:sz w:val="20"/>
                <w:szCs w:val="20"/>
              </w:rPr>
            </w:pPr>
            <w:r>
              <w:rPr>
                <w:b/>
                <w:bCs/>
                <w:noProof/>
                <w:sz w:val="20"/>
                <w:szCs w:val="20"/>
              </w:rPr>
              <w:t> </w:t>
            </w:r>
          </w:p>
        </w:tc>
      </w:tr>
      <w:tr w:rsidR="008A4C01" w14:paraId="16E3FA20"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605324D9" w14:textId="77777777" w:rsidR="008A4C01" w:rsidRDefault="008A4C01">
            <w:pPr>
              <w:rPr>
                <w:noProof/>
                <w:color w:val="000000"/>
                <w:sz w:val="20"/>
                <w:szCs w:val="20"/>
              </w:rPr>
            </w:pPr>
            <w:r>
              <w:rPr>
                <w:noProof/>
                <w:color w:val="000000"/>
                <w:sz w:val="20"/>
                <w:szCs w:val="20"/>
              </w:rPr>
              <w:t>Adjustment costs</w:t>
            </w:r>
          </w:p>
        </w:tc>
        <w:tc>
          <w:tcPr>
            <w:tcW w:w="506" w:type="pct"/>
            <w:tcBorders>
              <w:top w:val="nil"/>
              <w:left w:val="nil"/>
              <w:bottom w:val="single" w:sz="4" w:space="0" w:color="auto"/>
              <w:right w:val="single" w:sz="4" w:space="0" w:color="auto"/>
            </w:tcBorders>
            <w:shd w:val="clear" w:color="000000" w:fill="FFFFFF"/>
            <w:noWrap/>
            <w:hideMark/>
          </w:tcPr>
          <w:p w14:paraId="70B988D9" w14:textId="77777777" w:rsidR="008A4C01" w:rsidRDefault="008A4C01">
            <w:pPr>
              <w:jc w:val="right"/>
              <w:rPr>
                <w:noProof/>
                <w:color w:val="000000"/>
                <w:sz w:val="20"/>
                <w:szCs w:val="20"/>
              </w:rPr>
            </w:pPr>
            <w:r>
              <w:rPr>
                <w:noProof/>
                <w:color w:val="000000"/>
                <w:sz w:val="20"/>
                <w:szCs w:val="20"/>
              </w:rPr>
              <w:t>5.3</w:t>
            </w:r>
          </w:p>
        </w:tc>
        <w:tc>
          <w:tcPr>
            <w:tcW w:w="506" w:type="pct"/>
            <w:tcBorders>
              <w:top w:val="nil"/>
              <w:left w:val="nil"/>
              <w:bottom w:val="single" w:sz="4" w:space="0" w:color="auto"/>
              <w:right w:val="single" w:sz="4" w:space="0" w:color="auto"/>
            </w:tcBorders>
            <w:shd w:val="clear" w:color="000000" w:fill="FFFFFF"/>
            <w:noWrap/>
            <w:hideMark/>
          </w:tcPr>
          <w:p w14:paraId="18C3DBE1" w14:textId="77777777" w:rsidR="008A4C01" w:rsidRDefault="008A4C01">
            <w:pPr>
              <w:jc w:val="right"/>
              <w:rPr>
                <w:noProof/>
                <w:color w:val="000000"/>
                <w:sz w:val="20"/>
                <w:szCs w:val="20"/>
              </w:rPr>
            </w:pPr>
            <w:r>
              <w:rPr>
                <w:noProof/>
                <w:color w:val="000000"/>
                <w:sz w:val="20"/>
                <w:szCs w:val="20"/>
              </w:rPr>
              <w:t>5.3</w:t>
            </w:r>
          </w:p>
        </w:tc>
        <w:tc>
          <w:tcPr>
            <w:tcW w:w="506" w:type="pct"/>
            <w:tcBorders>
              <w:top w:val="nil"/>
              <w:left w:val="nil"/>
              <w:bottom w:val="single" w:sz="4" w:space="0" w:color="auto"/>
              <w:right w:val="single" w:sz="4" w:space="0" w:color="auto"/>
            </w:tcBorders>
            <w:shd w:val="clear" w:color="000000" w:fill="FFFFFF"/>
            <w:noWrap/>
            <w:hideMark/>
          </w:tcPr>
          <w:p w14:paraId="2CD701B5" w14:textId="77777777" w:rsidR="008A4C01" w:rsidRDefault="008A4C01">
            <w:pPr>
              <w:jc w:val="right"/>
              <w:rPr>
                <w:noProof/>
                <w:color w:val="000000"/>
                <w:sz w:val="20"/>
                <w:szCs w:val="20"/>
              </w:rPr>
            </w:pPr>
            <w:r>
              <w:rPr>
                <w:noProof/>
                <w:color w:val="000000"/>
                <w:sz w:val="20"/>
                <w:szCs w:val="20"/>
              </w:rPr>
              <w:t>5.3</w:t>
            </w:r>
          </w:p>
        </w:tc>
        <w:tc>
          <w:tcPr>
            <w:tcW w:w="507" w:type="pct"/>
            <w:tcBorders>
              <w:top w:val="nil"/>
              <w:left w:val="nil"/>
              <w:bottom w:val="single" w:sz="4" w:space="0" w:color="auto"/>
              <w:right w:val="single" w:sz="4" w:space="0" w:color="auto"/>
            </w:tcBorders>
            <w:shd w:val="clear" w:color="000000" w:fill="FFFFFF"/>
            <w:noWrap/>
            <w:hideMark/>
          </w:tcPr>
          <w:p w14:paraId="4F6954B8" w14:textId="77777777" w:rsidR="008A4C01" w:rsidRDefault="008A4C01">
            <w:pPr>
              <w:jc w:val="right"/>
              <w:rPr>
                <w:noProof/>
                <w:color w:val="000000"/>
                <w:sz w:val="20"/>
                <w:szCs w:val="20"/>
              </w:rPr>
            </w:pPr>
            <w:r>
              <w:rPr>
                <w:noProof/>
                <w:color w:val="000000"/>
                <w:sz w:val="20"/>
                <w:szCs w:val="20"/>
              </w:rPr>
              <w:t>5.3</w:t>
            </w:r>
          </w:p>
        </w:tc>
      </w:tr>
      <w:tr w:rsidR="008A4C01" w14:paraId="2EC54CCC"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42FF6AF3" w14:textId="77777777" w:rsidR="008A4C01" w:rsidRDefault="008A4C01">
            <w:pPr>
              <w:rPr>
                <w:b/>
                <w:bCs/>
                <w:noProof/>
                <w:sz w:val="20"/>
                <w:szCs w:val="20"/>
              </w:rPr>
            </w:pPr>
            <w:r>
              <w:rPr>
                <w:b/>
                <w:bCs/>
                <w:noProof/>
                <w:sz w:val="20"/>
                <w:szCs w:val="20"/>
              </w:rPr>
              <w:t>National authorities</w:t>
            </w:r>
          </w:p>
        </w:tc>
        <w:tc>
          <w:tcPr>
            <w:tcW w:w="506" w:type="pct"/>
            <w:tcBorders>
              <w:top w:val="nil"/>
              <w:left w:val="nil"/>
              <w:bottom w:val="single" w:sz="4" w:space="0" w:color="auto"/>
              <w:right w:val="single" w:sz="4" w:space="0" w:color="auto"/>
            </w:tcBorders>
            <w:shd w:val="clear" w:color="000000" w:fill="BDE3FF"/>
            <w:hideMark/>
          </w:tcPr>
          <w:p w14:paraId="5BB6D780" w14:textId="77777777" w:rsidR="008A4C01" w:rsidRDefault="008A4C01">
            <w:pPr>
              <w:jc w:val="right"/>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10762092" w14:textId="77777777" w:rsidR="008A4C01" w:rsidRDefault="008A4C01">
            <w:pPr>
              <w:jc w:val="right"/>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1ECC3711" w14:textId="77777777" w:rsidR="008A4C01" w:rsidRDefault="008A4C01">
            <w:pPr>
              <w:jc w:val="right"/>
              <w:rPr>
                <w:b/>
                <w:bCs/>
                <w:noProof/>
                <w:sz w:val="20"/>
                <w:szCs w:val="20"/>
              </w:rPr>
            </w:pPr>
            <w:r>
              <w:rPr>
                <w:b/>
                <w:bCs/>
                <w:noProof/>
                <w:sz w:val="20"/>
                <w:szCs w:val="20"/>
              </w:rPr>
              <w:t> </w:t>
            </w:r>
          </w:p>
        </w:tc>
        <w:tc>
          <w:tcPr>
            <w:tcW w:w="507" w:type="pct"/>
            <w:tcBorders>
              <w:top w:val="nil"/>
              <w:left w:val="nil"/>
              <w:bottom w:val="single" w:sz="4" w:space="0" w:color="auto"/>
              <w:right w:val="single" w:sz="4" w:space="0" w:color="auto"/>
            </w:tcBorders>
            <w:shd w:val="clear" w:color="000000" w:fill="BDE3FF"/>
            <w:hideMark/>
          </w:tcPr>
          <w:p w14:paraId="1B69393B" w14:textId="77777777" w:rsidR="008A4C01" w:rsidRDefault="008A4C01">
            <w:pPr>
              <w:jc w:val="right"/>
              <w:rPr>
                <w:b/>
                <w:bCs/>
                <w:noProof/>
                <w:sz w:val="20"/>
                <w:szCs w:val="20"/>
              </w:rPr>
            </w:pPr>
            <w:r>
              <w:rPr>
                <w:b/>
                <w:bCs/>
                <w:noProof/>
                <w:sz w:val="20"/>
                <w:szCs w:val="20"/>
              </w:rPr>
              <w:t> </w:t>
            </w:r>
          </w:p>
        </w:tc>
      </w:tr>
      <w:tr w:rsidR="008A4C01" w14:paraId="167428DE"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62200912" w14:textId="77777777" w:rsidR="008A4C01" w:rsidRDefault="008A4C01">
            <w:pPr>
              <w:rPr>
                <w:noProof/>
                <w:color w:val="000000"/>
                <w:sz w:val="20"/>
                <w:szCs w:val="20"/>
              </w:rPr>
            </w:pPr>
            <w:r>
              <w:rPr>
                <w:noProof/>
                <w:color w:val="000000"/>
                <w:sz w:val="20"/>
                <w:szCs w:val="20"/>
              </w:rPr>
              <w:t>Enforcement cost</w:t>
            </w:r>
          </w:p>
        </w:tc>
        <w:tc>
          <w:tcPr>
            <w:tcW w:w="506" w:type="pct"/>
            <w:tcBorders>
              <w:top w:val="nil"/>
              <w:left w:val="nil"/>
              <w:bottom w:val="single" w:sz="4" w:space="0" w:color="auto"/>
              <w:right w:val="single" w:sz="4" w:space="0" w:color="auto"/>
            </w:tcBorders>
            <w:shd w:val="clear" w:color="000000" w:fill="FFFFFF"/>
            <w:noWrap/>
            <w:hideMark/>
          </w:tcPr>
          <w:p w14:paraId="0208E503" w14:textId="77777777" w:rsidR="008A4C01" w:rsidRDefault="008A4C01">
            <w:pPr>
              <w:jc w:val="right"/>
              <w:rPr>
                <w:noProof/>
                <w:color w:val="000000"/>
                <w:sz w:val="20"/>
                <w:szCs w:val="20"/>
              </w:rPr>
            </w:pPr>
            <w:r>
              <w:rPr>
                <w:noProof/>
                <w:color w:val="000000"/>
                <w:sz w:val="20"/>
                <w:szCs w:val="20"/>
              </w:rPr>
              <w:t>106.5</w:t>
            </w:r>
          </w:p>
        </w:tc>
        <w:tc>
          <w:tcPr>
            <w:tcW w:w="506" w:type="pct"/>
            <w:tcBorders>
              <w:top w:val="nil"/>
              <w:left w:val="nil"/>
              <w:bottom w:val="single" w:sz="4" w:space="0" w:color="auto"/>
              <w:right w:val="single" w:sz="4" w:space="0" w:color="auto"/>
            </w:tcBorders>
            <w:shd w:val="clear" w:color="000000" w:fill="FFFFFF"/>
            <w:noWrap/>
            <w:hideMark/>
          </w:tcPr>
          <w:p w14:paraId="2A466607" w14:textId="77777777" w:rsidR="008A4C01" w:rsidRDefault="008A4C01">
            <w:pPr>
              <w:jc w:val="right"/>
              <w:rPr>
                <w:noProof/>
                <w:color w:val="000000"/>
                <w:sz w:val="20"/>
                <w:szCs w:val="20"/>
              </w:rPr>
            </w:pPr>
            <w:r>
              <w:rPr>
                <w:noProof/>
                <w:color w:val="000000"/>
                <w:sz w:val="20"/>
                <w:szCs w:val="20"/>
              </w:rPr>
              <w:t>106.5</w:t>
            </w:r>
          </w:p>
        </w:tc>
        <w:tc>
          <w:tcPr>
            <w:tcW w:w="506" w:type="pct"/>
            <w:tcBorders>
              <w:top w:val="nil"/>
              <w:left w:val="nil"/>
              <w:bottom w:val="single" w:sz="4" w:space="0" w:color="auto"/>
              <w:right w:val="single" w:sz="4" w:space="0" w:color="auto"/>
            </w:tcBorders>
            <w:shd w:val="clear" w:color="000000" w:fill="FFFFFF"/>
            <w:noWrap/>
            <w:hideMark/>
          </w:tcPr>
          <w:p w14:paraId="69C4EE63" w14:textId="77777777" w:rsidR="008A4C01" w:rsidRDefault="008A4C01">
            <w:pPr>
              <w:jc w:val="right"/>
              <w:rPr>
                <w:noProof/>
                <w:color w:val="000000"/>
                <w:sz w:val="20"/>
                <w:szCs w:val="20"/>
              </w:rPr>
            </w:pPr>
            <w:r>
              <w:rPr>
                <w:noProof/>
                <w:color w:val="000000"/>
                <w:sz w:val="20"/>
                <w:szCs w:val="20"/>
              </w:rPr>
              <w:t>106.5</w:t>
            </w:r>
          </w:p>
        </w:tc>
        <w:tc>
          <w:tcPr>
            <w:tcW w:w="507" w:type="pct"/>
            <w:tcBorders>
              <w:top w:val="nil"/>
              <w:left w:val="nil"/>
              <w:bottom w:val="single" w:sz="4" w:space="0" w:color="auto"/>
              <w:right w:val="single" w:sz="4" w:space="0" w:color="auto"/>
            </w:tcBorders>
            <w:shd w:val="clear" w:color="000000" w:fill="FFFFFF"/>
            <w:noWrap/>
            <w:hideMark/>
          </w:tcPr>
          <w:p w14:paraId="42FA469F" w14:textId="77777777" w:rsidR="008A4C01" w:rsidRDefault="008A4C01">
            <w:pPr>
              <w:jc w:val="right"/>
              <w:rPr>
                <w:noProof/>
                <w:color w:val="000000"/>
                <w:sz w:val="20"/>
                <w:szCs w:val="20"/>
              </w:rPr>
            </w:pPr>
            <w:r>
              <w:rPr>
                <w:noProof/>
                <w:color w:val="000000"/>
                <w:sz w:val="20"/>
                <w:szCs w:val="20"/>
              </w:rPr>
              <w:t>106.5</w:t>
            </w:r>
          </w:p>
        </w:tc>
      </w:tr>
      <w:tr w:rsidR="008A4C01" w14:paraId="7B28C40D"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01507DBB" w14:textId="77777777" w:rsidR="008A4C01" w:rsidRDefault="008A4C01">
            <w:pPr>
              <w:rPr>
                <w:noProof/>
                <w:color w:val="000000"/>
                <w:sz w:val="20"/>
                <w:szCs w:val="20"/>
              </w:rPr>
            </w:pPr>
            <w:r>
              <w:rPr>
                <w:noProof/>
                <w:color w:val="000000"/>
                <w:sz w:val="20"/>
                <w:szCs w:val="20"/>
              </w:rPr>
              <w:t>Administrative costs</w:t>
            </w:r>
          </w:p>
        </w:tc>
        <w:tc>
          <w:tcPr>
            <w:tcW w:w="506" w:type="pct"/>
            <w:tcBorders>
              <w:top w:val="nil"/>
              <w:left w:val="nil"/>
              <w:bottom w:val="single" w:sz="4" w:space="0" w:color="auto"/>
              <w:right w:val="single" w:sz="4" w:space="0" w:color="auto"/>
            </w:tcBorders>
            <w:shd w:val="clear" w:color="000000" w:fill="FFFFFF"/>
            <w:noWrap/>
            <w:hideMark/>
          </w:tcPr>
          <w:p w14:paraId="07F42170" w14:textId="77777777" w:rsidR="008A4C01" w:rsidRDefault="008A4C01">
            <w:pPr>
              <w:jc w:val="right"/>
              <w:rPr>
                <w:noProof/>
                <w:color w:val="000000"/>
                <w:sz w:val="20"/>
                <w:szCs w:val="20"/>
              </w:rPr>
            </w:pPr>
            <w:r>
              <w:rPr>
                <w:noProof/>
                <w:color w:val="000000"/>
                <w:sz w:val="20"/>
                <w:szCs w:val="20"/>
              </w:rPr>
              <w:t>28.9</w:t>
            </w:r>
          </w:p>
        </w:tc>
        <w:tc>
          <w:tcPr>
            <w:tcW w:w="506" w:type="pct"/>
            <w:tcBorders>
              <w:top w:val="nil"/>
              <w:left w:val="nil"/>
              <w:bottom w:val="single" w:sz="4" w:space="0" w:color="auto"/>
              <w:right w:val="single" w:sz="4" w:space="0" w:color="auto"/>
            </w:tcBorders>
            <w:shd w:val="clear" w:color="000000" w:fill="FFFFFF"/>
            <w:noWrap/>
            <w:hideMark/>
          </w:tcPr>
          <w:p w14:paraId="3BB38980" w14:textId="77777777" w:rsidR="008A4C01" w:rsidRDefault="008A4C01">
            <w:pPr>
              <w:jc w:val="right"/>
              <w:rPr>
                <w:noProof/>
                <w:color w:val="000000"/>
                <w:sz w:val="20"/>
                <w:szCs w:val="20"/>
              </w:rPr>
            </w:pPr>
            <w:r>
              <w:rPr>
                <w:noProof/>
                <w:color w:val="000000"/>
                <w:sz w:val="20"/>
                <w:szCs w:val="20"/>
              </w:rPr>
              <w:t>28.9</w:t>
            </w:r>
          </w:p>
        </w:tc>
        <w:tc>
          <w:tcPr>
            <w:tcW w:w="506" w:type="pct"/>
            <w:tcBorders>
              <w:top w:val="nil"/>
              <w:left w:val="nil"/>
              <w:bottom w:val="single" w:sz="4" w:space="0" w:color="auto"/>
              <w:right w:val="single" w:sz="4" w:space="0" w:color="auto"/>
            </w:tcBorders>
            <w:shd w:val="clear" w:color="000000" w:fill="FFFFFF"/>
            <w:noWrap/>
            <w:hideMark/>
          </w:tcPr>
          <w:p w14:paraId="71AEC13C" w14:textId="77777777" w:rsidR="008A4C01" w:rsidRDefault="008A4C01">
            <w:pPr>
              <w:jc w:val="right"/>
              <w:rPr>
                <w:noProof/>
                <w:color w:val="000000"/>
                <w:sz w:val="20"/>
                <w:szCs w:val="20"/>
              </w:rPr>
            </w:pPr>
            <w:r>
              <w:rPr>
                <w:noProof/>
                <w:color w:val="000000"/>
                <w:sz w:val="20"/>
                <w:szCs w:val="20"/>
              </w:rPr>
              <w:t>28.9</w:t>
            </w:r>
          </w:p>
        </w:tc>
        <w:tc>
          <w:tcPr>
            <w:tcW w:w="507" w:type="pct"/>
            <w:tcBorders>
              <w:top w:val="nil"/>
              <w:left w:val="nil"/>
              <w:bottom w:val="single" w:sz="4" w:space="0" w:color="auto"/>
              <w:right w:val="single" w:sz="4" w:space="0" w:color="auto"/>
            </w:tcBorders>
            <w:shd w:val="clear" w:color="000000" w:fill="FFFFFF"/>
            <w:noWrap/>
            <w:hideMark/>
          </w:tcPr>
          <w:p w14:paraId="58381920" w14:textId="77777777" w:rsidR="008A4C01" w:rsidRDefault="008A4C01">
            <w:pPr>
              <w:jc w:val="right"/>
              <w:rPr>
                <w:noProof/>
                <w:color w:val="000000"/>
                <w:sz w:val="20"/>
                <w:szCs w:val="20"/>
              </w:rPr>
            </w:pPr>
            <w:r>
              <w:rPr>
                <w:noProof/>
                <w:color w:val="000000"/>
                <w:sz w:val="20"/>
                <w:szCs w:val="20"/>
              </w:rPr>
              <w:t>28.9</w:t>
            </w:r>
          </w:p>
        </w:tc>
      </w:tr>
      <w:tr w:rsidR="008A4C01" w14:paraId="15C59053"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F2F2F2"/>
            <w:noWrap/>
            <w:hideMark/>
          </w:tcPr>
          <w:p w14:paraId="65F62859" w14:textId="77777777" w:rsidR="008A4C01" w:rsidRDefault="008A4C01">
            <w:pPr>
              <w:rPr>
                <w:b/>
                <w:bCs/>
                <w:noProof/>
                <w:color w:val="000000"/>
                <w:sz w:val="20"/>
                <w:szCs w:val="20"/>
              </w:rPr>
            </w:pPr>
            <w:r>
              <w:rPr>
                <w:b/>
                <w:bCs/>
                <w:noProof/>
                <w:color w:val="000000"/>
                <w:sz w:val="20"/>
                <w:szCs w:val="20"/>
              </w:rPr>
              <w:t>Total costs</w:t>
            </w:r>
          </w:p>
        </w:tc>
        <w:tc>
          <w:tcPr>
            <w:tcW w:w="506" w:type="pct"/>
            <w:tcBorders>
              <w:top w:val="nil"/>
              <w:left w:val="nil"/>
              <w:bottom w:val="single" w:sz="4" w:space="0" w:color="auto"/>
              <w:right w:val="single" w:sz="4" w:space="0" w:color="auto"/>
            </w:tcBorders>
            <w:shd w:val="clear" w:color="000000" w:fill="F2F2F2"/>
            <w:noWrap/>
            <w:hideMark/>
          </w:tcPr>
          <w:p w14:paraId="2F76C177" w14:textId="77777777" w:rsidR="008A4C01" w:rsidRDefault="008A4C01">
            <w:pPr>
              <w:jc w:val="right"/>
              <w:rPr>
                <w:b/>
                <w:bCs/>
                <w:noProof/>
                <w:color w:val="000000"/>
                <w:sz w:val="20"/>
                <w:szCs w:val="20"/>
              </w:rPr>
            </w:pPr>
            <w:r>
              <w:rPr>
                <w:b/>
                <w:bCs/>
                <w:noProof/>
                <w:color w:val="000000"/>
                <w:sz w:val="20"/>
                <w:szCs w:val="20"/>
              </w:rPr>
              <w:t>234</w:t>
            </w:r>
          </w:p>
        </w:tc>
        <w:tc>
          <w:tcPr>
            <w:tcW w:w="506" w:type="pct"/>
            <w:tcBorders>
              <w:top w:val="nil"/>
              <w:left w:val="nil"/>
              <w:bottom w:val="single" w:sz="4" w:space="0" w:color="auto"/>
              <w:right w:val="single" w:sz="4" w:space="0" w:color="auto"/>
            </w:tcBorders>
            <w:shd w:val="clear" w:color="000000" w:fill="F2F2F2"/>
            <w:noWrap/>
            <w:hideMark/>
          </w:tcPr>
          <w:p w14:paraId="79E8B19E" w14:textId="77777777" w:rsidR="008A4C01" w:rsidRDefault="008A4C01">
            <w:pPr>
              <w:jc w:val="right"/>
              <w:rPr>
                <w:b/>
                <w:bCs/>
                <w:noProof/>
                <w:color w:val="000000"/>
                <w:sz w:val="20"/>
                <w:szCs w:val="20"/>
              </w:rPr>
            </w:pPr>
            <w:r>
              <w:rPr>
                <w:b/>
                <w:bCs/>
                <w:noProof/>
                <w:color w:val="000000"/>
                <w:sz w:val="20"/>
                <w:szCs w:val="20"/>
              </w:rPr>
              <w:t>317</w:t>
            </w:r>
          </w:p>
        </w:tc>
        <w:tc>
          <w:tcPr>
            <w:tcW w:w="506" w:type="pct"/>
            <w:tcBorders>
              <w:top w:val="nil"/>
              <w:left w:val="nil"/>
              <w:bottom w:val="single" w:sz="4" w:space="0" w:color="auto"/>
              <w:right w:val="single" w:sz="4" w:space="0" w:color="auto"/>
            </w:tcBorders>
            <w:shd w:val="clear" w:color="000000" w:fill="F2F2F2"/>
            <w:noWrap/>
            <w:hideMark/>
          </w:tcPr>
          <w:p w14:paraId="6EF2EDDC" w14:textId="77777777" w:rsidR="008A4C01" w:rsidRDefault="008A4C01">
            <w:pPr>
              <w:jc w:val="right"/>
              <w:rPr>
                <w:b/>
                <w:bCs/>
                <w:noProof/>
                <w:color w:val="000000"/>
                <w:sz w:val="20"/>
                <w:szCs w:val="20"/>
              </w:rPr>
            </w:pPr>
            <w:r>
              <w:rPr>
                <w:b/>
                <w:bCs/>
                <w:noProof/>
                <w:color w:val="000000"/>
                <w:sz w:val="20"/>
                <w:szCs w:val="20"/>
              </w:rPr>
              <w:t>306</w:t>
            </w:r>
          </w:p>
        </w:tc>
        <w:tc>
          <w:tcPr>
            <w:tcW w:w="507" w:type="pct"/>
            <w:tcBorders>
              <w:top w:val="nil"/>
              <w:left w:val="nil"/>
              <w:bottom w:val="single" w:sz="4" w:space="0" w:color="auto"/>
              <w:right w:val="single" w:sz="4" w:space="0" w:color="auto"/>
            </w:tcBorders>
            <w:shd w:val="clear" w:color="000000" w:fill="F2F2F2"/>
            <w:noWrap/>
            <w:hideMark/>
          </w:tcPr>
          <w:p w14:paraId="789C0DAD" w14:textId="77777777" w:rsidR="008A4C01" w:rsidRDefault="008A4C01">
            <w:pPr>
              <w:jc w:val="right"/>
              <w:rPr>
                <w:b/>
                <w:bCs/>
                <w:noProof/>
                <w:color w:val="000000"/>
                <w:sz w:val="20"/>
                <w:szCs w:val="20"/>
              </w:rPr>
            </w:pPr>
            <w:r>
              <w:rPr>
                <w:b/>
                <w:bCs/>
                <w:noProof/>
                <w:color w:val="000000"/>
                <w:sz w:val="20"/>
                <w:szCs w:val="20"/>
              </w:rPr>
              <w:t>469</w:t>
            </w:r>
          </w:p>
        </w:tc>
      </w:tr>
      <w:tr w:rsidR="008A4C01" w14:paraId="5EB065B4"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F2F2F2"/>
            <w:noWrap/>
            <w:hideMark/>
          </w:tcPr>
          <w:p w14:paraId="573E77F9" w14:textId="77777777" w:rsidR="008A4C01" w:rsidRDefault="008A4C01">
            <w:pPr>
              <w:rPr>
                <w:b/>
                <w:bCs/>
                <w:noProof/>
                <w:color w:val="000000"/>
                <w:sz w:val="20"/>
                <w:szCs w:val="20"/>
              </w:rPr>
            </w:pPr>
            <w:r>
              <w:rPr>
                <w:b/>
                <w:bCs/>
                <w:noProof/>
                <w:color w:val="000000"/>
                <w:sz w:val="20"/>
                <w:szCs w:val="20"/>
              </w:rPr>
              <w:t>Total benefits</w:t>
            </w:r>
          </w:p>
        </w:tc>
        <w:tc>
          <w:tcPr>
            <w:tcW w:w="506" w:type="pct"/>
            <w:tcBorders>
              <w:top w:val="nil"/>
              <w:left w:val="nil"/>
              <w:bottom w:val="single" w:sz="4" w:space="0" w:color="auto"/>
              <w:right w:val="single" w:sz="4" w:space="0" w:color="auto"/>
            </w:tcBorders>
            <w:shd w:val="clear" w:color="000000" w:fill="F2F2F2"/>
            <w:noWrap/>
            <w:hideMark/>
          </w:tcPr>
          <w:p w14:paraId="128D71AA" w14:textId="77777777" w:rsidR="008A4C01" w:rsidRDefault="008A4C01">
            <w:pPr>
              <w:jc w:val="right"/>
              <w:rPr>
                <w:b/>
                <w:bCs/>
                <w:noProof/>
                <w:color w:val="000000"/>
                <w:sz w:val="20"/>
                <w:szCs w:val="20"/>
              </w:rPr>
            </w:pPr>
            <w:r>
              <w:rPr>
                <w:b/>
                <w:bCs/>
                <w:noProof/>
                <w:color w:val="000000"/>
                <w:sz w:val="20"/>
                <w:szCs w:val="20"/>
              </w:rPr>
              <w:t>26</w:t>
            </w:r>
          </w:p>
        </w:tc>
        <w:tc>
          <w:tcPr>
            <w:tcW w:w="506" w:type="pct"/>
            <w:tcBorders>
              <w:top w:val="nil"/>
              <w:left w:val="nil"/>
              <w:bottom w:val="single" w:sz="4" w:space="0" w:color="auto"/>
              <w:right w:val="single" w:sz="4" w:space="0" w:color="auto"/>
            </w:tcBorders>
            <w:shd w:val="clear" w:color="000000" w:fill="F2F2F2"/>
            <w:noWrap/>
            <w:hideMark/>
          </w:tcPr>
          <w:p w14:paraId="574E30F1" w14:textId="77777777" w:rsidR="008A4C01" w:rsidRDefault="008A4C01">
            <w:pPr>
              <w:jc w:val="right"/>
              <w:rPr>
                <w:b/>
                <w:bCs/>
                <w:noProof/>
                <w:color w:val="000000"/>
                <w:sz w:val="20"/>
                <w:szCs w:val="20"/>
              </w:rPr>
            </w:pPr>
            <w:r>
              <w:rPr>
                <w:b/>
                <w:bCs/>
                <w:noProof/>
                <w:color w:val="000000"/>
                <w:sz w:val="20"/>
                <w:szCs w:val="20"/>
              </w:rPr>
              <w:t>298</w:t>
            </w:r>
          </w:p>
        </w:tc>
        <w:tc>
          <w:tcPr>
            <w:tcW w:w="506" w:type="pct"/>
            <w:tcBorders>
              <w:top w:val="nil"/>
              <w:left w:val="nil"/>
              <w:bottom w:val="single" w:sz="4" w:space="0" w:color="auto"/>
              <w:right w:val="single" w:sz="4" w:space="0" w:color="auto"/>
            </w:tcBorders>
            <w:shd w:val="clear" w:color="000000" w:fill="F2F2F2"/>
            <w:noWrap/>
            <w:hideMark/>
          </w:tcPr>
          <w:p w14:paraId="6DB87181" w14:textId="77777777" w:rsidR="008A4C01" w:rsidRDefault="008A4C01">
            <w:pPr>
              <w:jc w:val="right"/>
              <w:rPr>
                <w:b/>
                <w:bCs/>
                <w:noProof/>
                <w:color w:val="000000"/>
                <w:sz w:val="20"/>
                <w:szCs w:val="20"/>
              </w:rPr>
            </w:pPr>
            <w:r>
              <w:rPr>
                <w:b/>
                <w:bCs/>
                <w:noProof/>
                <w:color w:val="000000"/>
                <w:sz w:val="20"/>
                <w:szCs w:val="20"/>
              </w:rPr>
              <w:t>268</w:t>
            </w:r>
          </w:p>
        </w:tc>
        <w:tc>
          <w:tcPr>
            <w:tcW w:w="507" w:type="pct"/>
            <w:tcBorders>
              <w:top w:val="nil"/>
              <w:left w:val="nil"/>
              <w:bottom w:val="single" w:sz="4" w:space="0" w:color="auto"/>
              <w:right w:val="single" w:sz="4" w:space="0" w:color="auto"/>
            </w:tcBorders>
            <w:shd w:val="clear" w:color="000000" w:fill="F2F2F2"/>
            <w:noWrap/>
            <w:hideMark/>
          </w:tcPr>
          <w:p w14:paraId="57E7478A" w14:textId="77777777" w:rsidR="008A4C01" w:rsidRDefault="008A4C01">
            <w:pPr>
              <w:jc w:val="right"/>
              <w:rPr>
                <w:b/>
                <w:bCs/>
                <w:noProof/>
                <w:color w:val="000000"/>
                <w:sz w:val="20"/>
                <w:szCs w:val="20"/>
              </w:rPr>
            </w:pPr>
            <w:r>
              <w:rPr>
                <w:b/>
                <w:bCs/>
                <w:noProof/>
                <w:color w:val="000000"/>
                <w:sz w:val="20"/>
                <w:szCs w:val="20"/>
              </w:rPr>
              <w:t>285</w:t>
            </w:r>
          </w:p>
        </w:tc>
      </w:tr>
      <w:tr w:rsidR="008A4C01" w14:paraId="6816192D"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F2F2F2"/>
            <w:noWrap/>
            <w:hideMark/>
          </w:tcPr>
          <w:p w14:paraId="303A8BCC" w14:textId="77777777" w:rsidR="008A4C01" w:rsidRDefault="008A4C01">
            <w:pPr>
              <w:rPr>
                <w:b/>
                <w:bCs/>
                <w:noProof/>
                <w:color w:val="000000"/>
                <w:sz w:val="20"/>
                <w:szCs w:val="20"/>
              </w:rPr>
            </w:pPr>
            <w:r>
              <w:rPr>
                <w:b/>
                <w:bCs/>
                <w:noProof/>
                <w:color w:val="000000"/>
                <w:sz w:val="20"/>
                <w:szCs w:val="20"/>
              </w:rPr>
              <w:t>Net costs</w:t>
            </w:r>
          </w:p>
        </w:tc>
        <w:tc>
          <w:tcPr>
            <w:tcW w:w="506" w:type="pct"/>
            <w:tcBorders>
              <w:top w:val="nil"/>
              <w:left w:val="nil"/>
              <w:bottom w:val="single" w:sz="4" w:space="0" w:color="auto"/>
              <w:right w:val="single" w:sz="4" w:space="0" w:color="auto"/>
            </w:tcBorders>
            <w:shd w:val="clear" w:color="000000" w:fill="F2F2F2"/>
            <w:noWrap/>
            <w:hideMark/>
          </w:tcPr>
          <w:p w14:paraId="5111F00B" w14:textId="77777777" w:rsidR="008A4C01" w:rsidRDefault="008A4C01">
            <w:pPr>
              <w:jc w:val="right"/>
              <w:rPr>
                <w:b/>
                <w:bCs/>
                <w:noProof/>
                <w:color w:val="000000"/>
                <w:sz w:val="20"/>
                <w:szCs w:val="20"/>
              </w:rPr>
            </w:pPr>
            <w:r>
              <w:rPr>
                <w:b/>
                <w:bCs/>
                <w:noProof/>
                <w:color w:val="000000"/>
                <w:sz w:val="20"/>
                <w:szCs w:val="20"/>
              </w:rPr>
              <w:t>208</w:t>
            </w:r>
          </w:p>
        </w:tc>
        <w:tc>
          <w:tcPr>
            <w:tcW w:w="506" w:type="pct"/>
            <w:tcBorders>
              <w:top w:val="nil"/>
              <w:left w:val="nil"/>
              <w:bottom w:val="single" w:sz="4" w:space="0" w:color="auto"/>
              <w:right w:val="single" w:sz="4" w:space="0" w:color="auto"/>
            </w:tcBorders>
            <w:shd w:val="clear" w:color="000000" w:fill="F2F2F2"/>
            <w:noWrap/>
            <w:hideMark/>
          </w:tcPr>
          <w:p w14:paraId="3832B528" w14:textId="77777777" w:rsidR="008A4C01" w:rsidRDefault="008A4C01">
            <w:pPr>
              <w:jc w:val="right"/>
              <w:rPr>
                <w:b/>
                <w:bCs/>
                <w:noProof/>
                <w:color w:val="000000"/>
                <w:sz w:val="20"/>
                <w:szCs w:val="20"/>
              </w:rPr>
            </w:pPr>
            <w:r>
              <w:rPr>
                <w:b/>
                <w:bCs/>
                <w:noProof/>
                <w:color w:val="000000"/>
                <w:sz w:val="20"/>
                <w:szCs w:val="20"/>
              </w:rPr>
              <w:t>19</w:t>
            </w:r>
          </w:p>
        </w:tc>
        <w:tc>
          <w:tcPr>
            <w:tcW w:w="506" w:type="pct"/>
            <w:tcBorders>
              <w:top w:val="nil"/>
              <w:left w:val="nil"/>
              <w:bottom w:val="single" w:sz="4" w:space="0" w:color="auto"/>
              <w:right w:val="single" w:sz="4" w:space="0" w:color="auto"/>
            </w:tcBorders>
            <w:shd w:val="clear" w:color="000000" w:fill="F2F2F2"/>
            <w:noWrap/>
            <w:hideMark/>
          </w:tcPr>
          <w:p w14:paraId="0C5C8D3C" w14:textId="77777777" w:rsidR="008A4C01" w:rsidRDefault="008A4C01">
            <w:pPr>
              <w:jc w:val="right"/>
              <w:rPr>
                <w:b/>
                <w:bCs/>
                <w:noProof/>
                <w:color w:val="000000"/>
                <w:sz w:val="20"/>
                <w:szCs w:val="20"/>
              </w:rPr>
            </w:pPr>
            <w:r>
              <w:rPr>
                <w:b/>
                <w:bCs/>
                <w:noProof/>
                <w:color w:val="000000"/>
                <w:sz w:val="20"/>
                <w:szCs w:val="20"/>
              </w:rPr>
              <w:t>38</w:t>
            </w:r>
          </w:p>
        </w:tc>
        <w:tc>
          <w:tcPr>
            <w:tcW w:w="507" w:type="pct"/>
            <w:tcBorders>
              <w:top w:val="nil"/>
              <w:left w:val="nil"/>
              <w:bottom w:val="single" w:sz="4" w:space="0" w:color="auto"/>
              <w:right w:val="single" w:sz="4" w:space="0" w:color="auto"/>
            </w:tcBorders>
            <w:shd w:val="clear" w:color="000000" w:fill="F2F2F2"/>
            <w:noWrap/>
            <w:hideMark/>
          </w:tcPr>
          <w:p w14:paraId="55A2F822" w14:textId="77777777" w:rsidR="008A4C01" w:rsidRDefault="008A4C01">
            <w:pPr>
              <w:jc w:val="right"/>
              <w:rPr>
                <w:b/>
                <w:bCs/>
                <w:noProof/>
                <w:color w:val="000000"/>
                <w:sz w:val="20"/>
                <w:szCs w:val="20"/>
              </w:rPr>
            </w:pPr>
            <w:r>
              <w:rPr>
                <w:b/>
                <w:bCs/>
                <w:noProof/>
                <w:color w:val="000000"/>
                <w:sz w:val="20"/>
                <w:szCs w:val="20"/>
              </w:rPr>
              <w:t>183</w:t>
            </w:r>
          </w:p>
        </w:tc>
      </w:tr>
      <w:tr w:rsidR="008A4C01" w14:paraId="3DECF5EC" w14:textId="77777777" w:rsidTr="004F1529">
        <w:trPr>
          <w:trHeight w:val="255"/>
        </w:trPr>
        <w:tc>
          <w:tcPr>
            <w:tcW w:w="2975" w:type="pct"/>
            <w:tcBorders>
              <w:top w:val="nil"/>
              <w:left w:val="single" w:sz="4" w:space="0" w:color="auto"/>
              <w:bottom w:val="single" w:sz="4" w:space="0" w:color="auto"/>
              <w:right w:val="single" w:sz="4" w:space="0" w:color="auto"/>
            </w:tcBorders>
            <w:shd w:val="clear" w:color="000000" w:fill="D9D9D9"/>
            <w:noWrap/>
            <w:hideMark/>
          </w:tcPr>
          <w:p w14:paraId="32D0B19C" w14:textId="77777777" w:rsidR="008A4C01" w:rsidRDefault="008A4C01">
            <w:pPr>
              <w:rPr>
                <w:b/>
                <w:bCs/>
                <w:noProof/>
                <w:color w:val="000000"/>
                <w:sz w:val="20"/>
                <w:szCs w:val="20"/>
              </w:rPr>
            </w:pPr>
            <w:r>
              <w:rPr>
                <w:b/>
                <w:bCs/>
                <w:noProof/>
                <w:color w:val="000000"/>
                <w:sz w:val="20"/>
                <w:szCs w:val="20"/>
              </w:rPr>
              <w:t>Benefits to costs ratio</w:t>
            </w:r>
          </w:p>
        </w:tc>
        <w:tc>
          <w:tcPr>
            <w:tcW w:w="506" w:type="pct"/>
            <w:tcBorders>
              <w:top w:val="nil"/>
              <w:left w:val="nil"/>
              <w:bottom w:val="single" w:sz="4" w:space="0" w:color="auto"/>
              <w:right w:val="single" w:sz="4" w:space="0" w:color="auto"/>
            </w:tcBorders>
            <w:shd w:val="clear" w:color="000000" w:fill="D9D9D9"/>
            <w:noWrap/>
            <w:hideMark/>
          </w:tcPr>
          <w:p w14:paraId="0B3A747C" w14:textId="77777777" w:rsidR="008A4C01" w:rsidRDefault="008A4C01">
            <w:pPr>
              <w:jc w:val="right"/>
              <w:rPr>
                <w:b/>
                <w:bCs/>
                <w:noProof/>
                <w:color w:val="000000"/>
                <w:sz w:val="20"/>
                <w:szCs w:val="20"/>
              </w:rPr>
            </w:pPr>
            <w:r>
              <w:rPr>
                <w:b/>
                <w:bCs/>
                <w:noProof/>
                <w:color w:val="000000"/>
                <w:sz w:val="20"/>
                <w:szCs w:val="20"/>
              </w:rPr>
              <w:t>0.1</w:t>
            </w:r>
          </w:p>
        </w:tc>
        <w:tc>
          <w:tcPr>
            <w:tcW w:w="506" w:type="pct"/>
            <w:tcBorders>
              <w:top w:val="nil"/>
              <w:left w:val="nil"/>
              <w:bottom w:val="single" w:sz="4" w:space="0" w:color="auto"/>
              <w:right w:val="single" w:sz="4" w:space="0" w:color="auto"/>
            </w:tcBorders>
            <w:shd w:val="clear" w:color="000000" w:fill="D9D9D9"/>
            <w:noWrap/>
            <w:hideMark/>
          </w:tcPr>
          <w:p w14:paraId="5C935F1C" w14:textId="77777777" w:rsidR="008A4C01" w:rsidRDefault="008A4C01">
            <w:pPr>
              <w:jc w:val="right"/>
              <w:rPr>
                <w:b/>
                <w:bCs/>
                <w:noProof/>
                <w:color w:val="000000"/>
                <w:sz w:val="20"/>
                <w:szCs w:val="20"/>
              </w:rPr>
            </w:pPr>
            <w:r>
              <w:rPr>
                <w:b/>
                <w:bCs/>
                <w:noProof/>
                <w:color w:val="000000"/>
                <w:sz w:val="20"/>
                <w:szCs w:val="20"/>
              </w:rPr>
              <w:t>0.9</w:t>
            </w:r>
          </w:p>
        </w:tc>
        <w:tc>
          <w:tcPr>
            <w:tcW w:w="506" w:type="pct"/>
            <w:tcBorders>
              <w:top w:val="nil"/>
              <w:left w:val="nil"/>
              <w:bottom w:val="single" w:sz="4" w:space="0" w:color="auto"/>
              <w:right w:val="single" w:sz="4" w:space="0" w:color="auto"/>
            </w:tcBorders>
            <w:shd w:val="clear" w:color="000000" w:fill="D9D9D9"/>
            <w:noWrap/>
            <w:hideMark/>
          </w:tcPr>
          <w:p w14:paraId="1CB49981" w14:textId="77777777" w:rsidR="008A4C01" w:rsidRDefault="008A4C01">
            <w:pPr>
              <w:jc w:val="right"/>
              <w:rPr>
                <w:b/>
                <w:bCs/>
                <w:noProof/>
                <w:color w:val="000000"/>
                <w:sz w:val="20"/>
                <w:szCs w:val="20"/>
              </w:rPr>
            </w:pPr>
            <w:r>
              <w:rPr>
                <w:b/>
                <w:bCs/>
                <w:noProof/>
                <w:color w:val="000000"/>
                <w:sz w:val="20"/>
                <w:szCs w:val="20"/>
              </w:rPr>
              <w:t>0.9</w:t>
            </w:r>
          </w:p>
        </w:tc>
        <w:tc>
          <w:tcPr>
            <w:tcW w:w="507" w:type="pct"/>
            <w:tcBorders>
              <w:top w:val="nil"/>
              <w:left w:val="nil"/>
              <w:bottom w:val="single" w:sz="4" w:space="0" w:color="auto"/>
              <w:right w:val="single" w:sz="4" w:space="0" w:color="auto"/>
            </w:tcBorders>
            <w:shd w:val="clear" w:color="000000" w:fill="D9D9D9"/>
            <w:noWrap/>
            <w:hideMark/>
          </w:tcPr>
          <w:p w14:paraId="5771A5A8" w14:textId="77777777" w:rsidR="008A4C01" w:rsidRDefault="008A4C01">
            <w:pPr>
              <w:jc w:val="right"/>
              <w:rPr>
                <w:b/>
                <w:bCs/>
                <w:noProof/>
                <w:color w:val="000000"/>
                <w:sz w:val="20"/>
                <w:szCs w:val="20"/>
              </w:rPr>
            </w:pPr>
            <w:r>
              <w:rPr>
                <w:b/>
                <w:bCs/>
                <w:noProof/>
                <w:color w:val="000000"/>
                <w:sz w:val="20"/>
                <w:szCs w:val="20"/>
              </w:rPr>
              <w:t>0.6</w:t>
            </w:r>
          </w:p>
        </w:tc>
      </w:tr>
    </w:tbl>
    <w:p w14:paraId="4E707B8A" w14:textId="77777777" w:rsidR="00DE0F6A" w:rsidRDefault="00DE0F6A" w:rsidP="00DE0F6A">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 xml:space="preserve">Ricardo et al. (2026), Impact assessment support </w:t>
      </w:r>
      <w:r>
        <w:rPr>
          <w:i/>
          <w:iCs/>
          <w:noProof/>
          <w:sz w:val="20"/>
          <w:szCs w:val="20"/>
        </w:rPr>
        <w:t>study</w:t>
      </w:r>
    </w:p>
    <w:p w14:paraId="4B0BB1FB" w14:textId="77777777" w:rsidR="00AF4D7A" w:rsidRDefault="00AF4D7A" w:rsidP="00AF4D7A">
      <w:pPr>
        <w:spacing w:after="240"/>
        <w:jc w:val="both"/>
        <w:rPr>
          <w:noProof/>
          <w:spacing w:val="-6"/>
        </w:rPr>
      </w:pPr>
      <w:r w:rsidRPr="00E23691">
        <w:rPr>
          <w:b/>
          <w:noProof/>
          <w:spacing w:val="-6"/>
        </w:rPr>
        <w:t>Total costs</w:t>
      </w:r>
      <w:r>
        <w:rPr>
          <w:noProof/>
          <w:spacing w:val="-6"/>
        </w:rPr>
        <w:t xml:space="preserve"> are projected to be the lowest in PO1, estimated at EUR 234 million expressed as present value over 2028-2050 relative to the baseline, followed by PO3 (EUR 306 million) and PO2 (EUR 317 million). PO4 presents significantly higher costs, estimated at EUR 469 million relative to the baseline, due to the introduction of the unbundling obligation (PM15). A</w:t>
      </w:r>
      <w:r w:rsidRPr="0093678E">
        <w:rPr>
          <w:noProof/>
          <w:spacing w:val="-6"/>
        </w:rPr>
        <w:t xml:space="preserve">djustment costs for MDMS platforms </w:t>
      </w:r>
      <w:r>
        <w:rPr>
          <w:noProof/>
          <w:spacing w:val="-6"/>
        </w:rPr>
        <w:t>represent 40% of the total costs in PO1, PO2 and PO3 and 60% in PO4 (due to the unbundling obligation)</w:t>
      </w:r>
      <w:r w:rsidRPr="0093678E">
        <w:rPr>
          <w:noProof/>
          <w:spacing w:val="-6"/>
        </w:rPr>
        <w:t>.</w:t>
      </w:r>
      <w:r>
        <w:rPr>
          <w:noProof/>
          <w:spacing w:val="-6"/>
        </w:rPr>
        <w:t xml:space="preserve"> Of these, the costs for setting up and maintaining an API by</w:t>
      </w:r>
      <w:r w:rsidRPr="006036CF">
        <w:rPr>
          <w:noProof/>
          <w:spacing w:val="-6"/>
        </w:rPr>
        <w:t xml:space="preserve"> B2C MDMS </w:t>
      </w:r>
      <w:r>
        <w:rPr>
          <w:noProof/>
          <w:spacing w:val="-6"/>
        </w:rPr>
        <w:t xml:space="preserve">platforms </w:t>
      </w:r>
      <w:r w:rsidRPr="006036CF">
        <w:rPr>
          <w:noProof/>
          <w:spacing w:val="-6"/>
        </w:rPr>
        <w:t>to share non-personal data for mobility management with public authorities (PM7)</w:t>
      </w:r>
      <w:r>
        <w:rPr>
          <w:noProof/>
          <w:spacing w:val="-6"/>
        </w:rPr>
        <w:t xml:space="preserve"> represent 23% of the total costs in PO1, PO2 and PO3, and 15</w:t>
      </w:r>
      <w:r w:rsidDel="003D100C">
        <w:rPr>
          <w:noProof/>
          <w:spacing w:val="-6"/>
        </w:rPr>
        <w:t xml:space="preserve">% in </w:t>
      </w:r>
      <w:r>
        <w:rPr>
          <w:noProof/>
          <w:spacing w:val="-6"/>
        </w:rPr>
        <w:t>PO4.</w:t>
      </w:r>
      <w:r w:rsidRPr="006036CF">
        <w:rPr>
          <w:noProof/>
          <w:spacing w:val="-6"/>
        </w:rPr>
        <w:t xml:space="preserve"> </w:t>
      </w:r>
      <w:r>
        <w:rPr>
          <w:noProof/>
          <w:spacing w:val="-6"/>
        </w:rPr>
        <w:t xml:space="preserve">Enforcement costs for national authorities, </w:t>
      </w:r>
      <w:r>
        <w:rPr>
          <w:noProof/>
          <w:spacing w:val="-8"/>
        </w:rPr>
        <w:t xml:space="preserve">for monitoring </w:t>
      </w:r>
      <w:r w:rsidRPr="008031DF">
        <w:rPr>
          <w:noProof/>
          <w:spacing w:val="-8"/>
        </w:rPr>
        <w:t>the online ticketing market for potential entities with SMP as well as the correct implementation of the legislation</w:t>
      </w:r>
      <w:r>
        <w:rPr>
          <w:noProof/>
          <w:spacing w:val="-8"/>
        </w:rPr>
        <w:t>,</w:t>
      </w:r>
      <w:r>
        <w:rPr>
          <w:noProof/>
          <w:spacing w:val="-6"/>
        </w:rPr>
        <w:t xml:space="preserve"> represent another 45% of the total costs in PO1, 34% in PO2, 35% in PO3 and 23% in PO4. In addition, administrative costs for national authorities, for the d</w:t>
      </w:r>
      <w:r w:rsidRPr="00FE1B3E">
        <w:rPr>
          <w:noProof/>
          <w:spacing w:val="-6"/>
        </w:rPr>
        <w:t xml:space="preserve">esignation of indispensable MDMS </w:t>
      </w:r>
      <w:r>
        <w:rPr>
          <w:noProof/>
          <w:spacing w:val="-6"/>
        </w:rPr>
        <w:t xml:space="preserve">platforms </w:t>
      </w:r>
      <w:r w:rsidRPr="00FE1B3E">
        <w:rPr>
          <w:noProof/>
          <w:spacing w:val="-6"/>
        </w:rPr>
        <w:t>and RUs</w:t>
      </w:r>
      <w:r>
        <w:rPr>
          <w:noProof/>
          <w:spacing w:val="-6"/>
        </w:rPr>
        <w:t xml:space="preserve"> represent 12% of the total costs in PO1, </w:t>
      </w:r>
      <w:r w:rsidDel="009014CE">
        <w:rPr>
          <w:noProof/>
          <w:spacing w:val="-6"/>
        </w:rPr>
        <w:t>9% in</w:t>
      </w:r>
      <w:r>
        <w:rPr>
          <w:noProof/>
          <w:spacing w:val="-6"/>
        </w:rPr>
        <w:t xml:space="preserve"> PO2 and in PO3, and 6% in PO4. Other significant share of total costs in PO2, PO3 and PO4 relates to adjustment costs associated to the obligation to share (PM13), representing 15% of the total costs in PO2, 14% in PO3 and 10% in PO4. </w:t>
      </w:r>
    </w:p>
    <w:p w14:paraId="72C7E8C7" w14:textId="25BD92CC" w:rsidR="009B7A15" w:rsidRDefault="00D31B0B" w:rsidP="00360027">
      <w:pPr>
        <w:pStyle w:val="Text2"/>
        <w:spacing w:after="240"/>
        <w:ind w:left="0"/>
        <w:rPr>
          <w:noProof/>
          <w:spacing w:val="-6"/>
        </w:rPr>
      </w:pPr>
      <w:r>
        <w:rPr>
          <w:b/>
          <w:noProof/>
          <w:spacing w:val="-6"/>
        </w:rPr>
        <w:t xml:space="preserve">When </w:t>
      </w:r>
      <w:r w:rsidR="006E12E5">
        <w:rPr>
          <w:b/>
          <w:noProof/>
          <w:spacing w:val="-6"/>
        </w:rPr>
        <w:t xml:space="preserve">excluding external costs savings, </w:t>
      </w:r>
      <w:r w:rsidR="00DE5150">
        <w:rPr>
          <w:b/>
          <w:noProof/>
          <w:spacing w:val="-6"/>
        </w:rPr>
        <w:t xml:space="preserve">the estimated total benefits </w:t>
      </w:r>
      <w:r w:rsidR="006E12E5">
        <w:rPr>
          <w:bCs/>
          <w:noProof/>
          <w:spacing w:val="-6"/>
        </w:rPr>
        <w:t xml:space="preserve">are </w:t>
      </w:r>
      <w:r w:rsidR="00D0293F" w:rsidRPr="0093678E">
        <w:rPr>
          <w:noProof/>
          <w:spacing w:val="-6"/>
        </w:rPr>
        <w:t xml:space="preserve">linked to </w:t>
      </w:r>
      <w:r w:rsidR="00D0293F" w:rsidRPr="00051ABF">
        <w:rPr>
          <w:noProof/>
          <w:spacing w:val="-6"/>
        </w:rPr>
        <w:t xml:space="preserve">the introduction of commercial agreement rules for indispensable MDMS platforms (PM11) and indispensable RUs (PM12) with third parties </w:t>
      </w:r>
      <w:r w:rsidR="00D0293F">
        <w:rPr>
          <w:noProof/>
          <w:spacing w:val="-6"/>
        </w:rPr>
        <w:t xml:space="preserve">that are </w:t>
      </w:r>
      <w:r w:rsidR="00D0293F" w:rsidRPr="00051ABF">
        <w:rPr>
          <w:noProof/>
          <w:spacing w:val="-6"/>
        </w:rPr>
        <w:t>expected to streamline the negotiation processes</w:t>
      </w:r>
      <w:r w:rsidR="00401C18">
        <w:rPr>
          <w:noProof/>
          <w:spacing w:val="-6"/>
        </w:rPr>
        <w:t xml:space="preserve">. </w:t>
      </w:r>
      <w:r w:rsidR="00271E85" w:rsidRPr="0093678E">
        <w:rPr>
          <w:noProof/>
          <w:spacing w:val="-6"/>
        </w:rPr>
        <w:t xml:space="preserve">PO1 shows the lowest total benefits estimated at EUR </w:t>
      </w:r>
      <w:r w:rsidR="00271E85">
        <w:rPr>
          <w:noProof/>
          <w:spacing w:val="-6"/>
        </w:rPr>
        <w:t>26 million</w:t>
      </w:r>
      <w:r w:rsidR="00271E85" w:rsidRPr="0093678E">
        <w:rPr>
          <w:noProof/>
          <w:spacing w:val="-6"/>
        </w:rPr>
        <w:t xml:space="preserve"> relative to the baseline (expressed as present value over 202</w:t>
      </w:r>
      <w:r w:rsidR="00271E85">
        <w:rPr>
          <w:noProof/>
          <w:spacing w:val="-6"/>
        </w:rPr>
        <w:t>8</w:t>
      </w:r>
      <w:r w:rsidR="00271E85" w:rsidRPr="0093678E">
        <w:rPr>
          <w:noProof/>
          <w:spacing w:val="-6"/>
        </w:rPr>
        <w:t>-2050</w:t>
      </w:r>
      <w:r w:rsidR="00271E85">
        <w:rPr>
          <w:noProof/>
          <w:spacing w:val="-6"/>
        </w:rPr>
        <w:t xml:space="preserve">). PO2, PO3 and PO4 </w:t>
      </w:r>
      <w:r w:rsidR="00271E85" w:rsidRPr="0093678E">
        <w:rPr>
          <w:noProof/>
          <w:spacing w:val="-6"/>
        </w:rPr>
        <w:t>show significantly higher benefits</w:t>
      </w:r>
      <w:r w:rsidR="00271E85">
        <w:rPr>
          <w:noProof/>
          <w:spacing w:val="-6"/>
        </w:rPr>
        <w:t xml:space="preserve"> (</w:t>
      </w:r>
      <w:r w:rsidR="00271E85" w:rsidRPr="0093678E">
        <w:rPr>
          <w:noProof/>
          <w:spacing w:val="-6"/>
        </w:rPr>
        <w:t xml:space="preserve">EUR </w:t>
      </w:r>
      <w:r w:rsidR="00502DDF">
        <w:rPr>
          <w:noProof/>
          <w:spacing w:val="-6"/>
        </w:rPr>
        <w:t>298 million</w:t>
      </w:r>
      <w:r w:rsidR="00271E85">
        <w:rPr>
          <w:noProof/>
          <w:spacing w:val="-6"/>
        </w:rPr>
        <w:t xml:space="preserve"> in PO2</w:t>
      </w:r>
      <w:r w:rsidR="00271E85" w:rsidRPr="0093678E">
        <w:rPr>
          <w:noProof/>
          <w:spacing w:val="-6"/>
        </w:rPr>
        <w:t xml:space="preserve">, </w:t>
      </w:r>
      <w:r w:rsidR="00271E85">
        <w:rPr>
          <w:noProof/>
          <w:spacing w:val="-6"/>
        </w:rPr>
        <w:t xml:space="preserve">EUR </w:t>
      </w:r>
      <w:r w:rsidR="00502DDF">
        <w:rPr>
          <w:noProof/>
          <w:spacing w:val="-6"/>
        </w:rPr>
        <w:t>268 million</w:t>
      </w:r>
      <w:r w:rsidR="00271E85">
        <w:rPr>
          <w:noProof/>
          <w:spacing w:val="-6"/>
        </w:rPr>
        <w:t xml:space="preserve"> in PO3</w:t>
      </w:r>
      <w:r w:rsidR="00271E85" w:rsidDel="003411CE">
        <w:rPr>
          <w:noProof/>
          <w:spacing w:val="-6"/>
        </w:rPr>
        <w:t xml:space="preserve"> </w:t>
      </w:r>
      <w:r w:rsidR="00271E85">
        <w:rPr>
          <w:noProof/>
          <w:spacing w:val="-6"/>
        </w:rPr>
        <w:t xml:space="preserve">and EUR </w:t>
      </w:r>
      <w:r w:rsidR="00502DDF">
        <w:rPr>
          <w:noProof/>
          <w:spacing w:val="-6"/>
        </w:rPr>
        <w:t>285 million</w:t>
      </w:r>
      <w:r w:rsidR="00271E85">
        <w:rPr>
          <w:noProof/>
          <w:spacing w:val="-6"/>
        </w:rPr>
        <w:t xml:space="preserve"> in PO4)</w:t>
      </w:r>
      <w:r w:rsidR="00271E85" w:rsidRPr="0093678E">
        <w:rPr>
          <w:noProof/>
          <w:spacing w:val="-6"/>
        </w:rPr>
        <w:t>.</w:t>
      </w:r>
      <w:r w:rsidR="00F27166">
        <w:rPr>
          <w:noProof/>
          <w:spacing w:val="-6"/>
        </w:rPr>
        <w:t xml:space="preserve"> </w:t>
      </w:r>
    </w:p>
    <w:p w14:paraId="4C846A05" w14:textId="75803767" w:rsidR="00B87FE7" w:rsidRPr="004F1529" w:rsidRDefault="00016A2D" w:rsidP="006F603E">
      <w:pPr>
        <w:pStyle w:val="Text2"/>
        <w:spacing w:after="240"/>
        <w:ind w:left="0"/>
        <w:rPr>
          <w:b/>
          <w:noProof/>
          <w:spacing w:val="-8"/>
        </w:rPr>
      </w:pPr>
      <w:r>
        <w:rPr>
          <w:noProof/>
          <w:spacing w:val="-6"/>
        </w:rPr>
        <w:t xml:space="preserve">Excluding external costs savings, </w:t>
      </w:r>
      <w:r w:rsidR="00681D56">
        <w:rPr>
          <w:noProof/>
          <w:spacing w:val="-6"/>
        </w:rPr>
        <w:t xml:space="preserve">all policy options are projected to result in net costs relative to the baseline. </w:t>
      </w:r>
      <w:r w:rsidR="00681D56" w:rsidRPr="0093678E">
        <w:rPr>
          <w:noProof/>
          <w:spacing w:val="-6"/>
        </w:rPr>
        <w:t xml:space="preserve">The net </w:t>
      </w:r>
      <w:r w:rsidR="000B49B5">
        <w:rPr>
          <w:noProof/>
          <w:spacing w:val="-6"/>
        </w:rPr>
        <w:t>costs</w:t>
      </w:r>
      <w:r w:rsidR="00681D56" w:rsidRPr="0093678E">
        <w:rPr>
          <w:noProof/>
          <w:spacing w:val="-6"/>
        </w:rPr>
        <w:t xml:space="preserve"> are estimated at EUR </w:t>
      </w:r>
      <w:r w:rsidR="000B49B5">
        <w:rPr>
          <w:noProof/>
          <w:spacing w:val="-6"/>
        </w:rPr>
        <w:t>208 million</w:t>
      </w:r>
      <w:r w:rsidR="00681D56" w:rsidRPr="0093678E">
        <w:rPr>
          <w:noProof/>
          <w:spacing w:val="-6"/>
        </w:rPr>
        <w:t xml:space="preserve"> in PO1 relative to the baseline, expressed as present value over 202</w:t>
      </w:r>
      <w:r w:rsidR="00681D56">
        <w:rPr>
          <w:noProof/>
          <w:spacing w:val="-6"/>
        </w:rPr>
        <w:t>8</w:t>
      </w:r>
      <w:r w:rsidR="00681D56" w:rsidRPr="0093678E">
        <w:rPr>
          <w:noProof/>
          <w:spacing w:val="-6"/>
        </w:rPr>
        <w:t xml:space="preserve">-2050, at EUR </w:t>
      </w:r>
      <w:r w:rsidR="000B49B5">
        <w:rPr>
          <w:noProof/>
          <w:spacing w:val="-6"/>
        </w:rPr>
        <w:t>19 million</w:t>
      </w:r>
      <w:r w:rsidR="00681D56">
        <w:rPr>
          <w:noProof/>
          <w:spacing w:val="-6"/>
        </w:rPr>
        <w:t xml:space="preserve"> </w:t>
      </w:r>
      <w:r w:rsidR="00681D56" w:rsidRPr="0093678E">
        <w:rPr>
          <w:noProof/>
          <w:spacing w:val="-6"/>
        </w:rPr>
        <w:t>in PO2</w:t>
      </w:r>
      <w:r w:rsidR="00681D56">
        <w:rPr>
          <w:noProof/>
          <w:spacing w:val="-6"/>
        </w:rPr>
        <w:t xml:space="preserve">, EUR </w:t>
      </w:r>
      <w:r w:rsidR="000B49B5">
        <w:rPr>
          <w:noProof/>
          <w:spacing w:val="-6"/>
        </w:rPr>
        <w:t>38 million</w:t>
      </w:r>
      <w:r w:rsidR="00681D56">
        <w:rPr>
          <w:noProof/>
          <w:spacing w:val="-6"/>
        </w:rPr>
        <w:t xml:space="preserve"> in PO3</w:t>
      </w:r>
      <w:r w:rsidR="00681D56" w:rsidRPr="0093678E">
        <w:rPr>
          <w:noProof/>
          <w:spacing w:val="-6"/>
        </w:rPr>
        <w:t xml:space="preserve"> and EUR </w:t>
      </w:r>
      <w:r w:rsidR="000B49B5">
        <w:rPr>
          <w:noProof/>
          <w:spacing w:val="-6"/>
        </w:rPr>
        <w:t>183 million</w:t>
      </w:r>
      <w:r w:rsidR="00681D56" w:rsidRPr="0093678E" w:rsidDel="00460846">
        <w:rPr>
          <w:noProof/>
          <w:spacing w:val="-6"/>
        </w:rPr>
        <w:t xml:space="preserve"> </w:t>
      </w:r>
      <w:r w:rsidR="00681D56" w:rsidRPr="0093678E">
        <w:rPr>
          <w:noProof/>
          <w:spacing w:val="-6"/>
        </w:rPr>
        <w:t>in PO</w:t>
      </w:r>
      <w:r w:rsidR="00681D56">
        <w:rPr>
          <w:noProof/>
          <w:spacing w:val="-6"/>
        </w:rPr>
        <w:t>4</w:t>
      </w:r>
      <w:r w:rsidR="00681D56" w:rsidRPr="0093678E">
        <w:rPr>
          <w:noProof/>
          <w:spacing w:val="-6"/>
        </w:rPr>
        <w:t>.</w:t>
      </w:r>
      <w:r w:rsidR="00681D56" w:rsidRPr="0093678E" w:rsidDel="00460846">
        <w:rPr>
          <w:noProof/>
          <w:spacing w:val="-6"/>
        </w:rPr>
        <w:t xml:space="preserve"> </w:t>
      </w:r>
      <w:r w:rsidR="00681D56" w:rsidRPr="00B739E8">
        <w:rPr>
          <w:b/>
          <w:noProof/>
          <w:spacing w:val="-6"/>
        </w:rPr>
        <w:t>PO</w:t>
      </w:r>
      <w:r w:rsidR="00610251">
        <w:rPr>
          <w:b/>
          <w:noProof/>
          <w:spacing w:val="-6"/>
        </w:rPr>
        <w:t xml:space="preserve">2 and </w:t>
      </w:r>
      <w:r w:rsidR="00681D56" w:rsidRPr="00B739E8">
        <w:rPr>
          <w:b/>
          <w:noProof/>
          <w:spacing w:val="-6"/>
        </w:rPr>
        <w:t>PO</w:t>
      </w:r>
      <w:r w:rsidR="00681D56">
        <w:rPr>
          <w:b/>
          <w:noProof/>
          <w:spacing w:val="-6"/>
        </w:rPr>
        <w:t>3</w:t>
      </w:r>
      <w:r w:rsidR="00681D56" w:rsidRPr="00B739E8">
        <w:rPr>
          <w:b/>
          <w:noProof/>
          <w:spacing w:val="-6"/>
        </w:rPr>
        <w:t xml:space="preserve"> show the </w:t>
      </w:r>
      <w:r w:rsidR="00681D56">
        <w:rPr>
          <w:b/>
          <w:noProof/>
          <w:spacing w:val="-6"/>
        </w:rPr>
        <w:t>highest benefits to costs ratio (</w:t>
      </w:r>
      <w:r w:rsidR="00610251">
        <w:rPr>
          <w:b/>
          <w:noProof/>
          <w:spacing w:val="-6"/>
        </w:rPr>
        <w:t>0.9</w:t>
      </w:r>
      <w:r w:rsidR="00681D56">
        <w:rPr>
          <w:b/>
          <w:noProof/>
          <w:spacing w:val="-6"/>
        </w:rPr>
        <w:t>), followed by PO4 (</w:t>
      </w:r>
      <w:r w:rsidR="00610251">
        <w:rPr>
          <w:b/>
          <w:noProof/>
          <w:spacing w:val="-6"/>
        </w:rPr>
        <w:t>0.6</w:t>
      </w:r>
      <w:r w:rsidR="00681D56">
        <w:rPr>
          <w:b/>
          <w:noProof/>
          <w:spacing w:val="-6"/>
        </w:rPr>
        <w:t>) and PO1 (</w:t>
      </w:r>
      <w:r w:rsidR="00610251">
        <w:rPr>
          <w:b/>
          <w:noProof/>
          <w:spacing w:val="-6"/>
        </w:rPr>
        <w:t>0.6</w:t>
      </w:r>
      <w:r w:rsidR="00681D56">
        <w:rPr>
          <w:b/>
          <w:noProof/>
          <w:spacing w:val="-6"/>
        </w:rPr>
        <w:t>).</w:t>
      </w:r>
      <w:r w:rsidR="00A37F8E">
        <w:rPr>
          <w:b/>
          <w:noProof/>
          <w:spacing w:val="-6"/>
        </w:rPr>
        <w:t xml:space="preserve"> </w:t>
      </w:r>
      <w:r w:rsidR="006F603E" w:rsidRPr="006F603E">
        <w:rPr>
          <w:bCs/>
          <w:noProof/>
          <w:spacing w:val="-6"/>
        </w:rPr>
        <w:t>However, as indicated</w:t>
      </w:r>
      <w:r w:rsidR="00535BC6">
        <w:rPr>
          <w:bCs/>
          <w:noProof/>
          <w:spacing w:val="-6"/>
        </w:rPr>
        <w:t>, above,</w:t>
      </w:r>
      <w:r w:rsidR="00F27166" w:rsidRPr="006F603E" w:rsidDel="00535BC6">
        <w:rPr>
          <w:bCs/>
          <w:noProof/>
          <w:spacing w:val="-6"/>
        </w:rPr>
        <w:t xml:space="preserve"> </w:t>
      </w:r>
      <w:r w:rsidR="00C8133B" w:rsidRPr="006F603E">
        <w:rPr>
          <w:bCs/>
          <w:noProof/>
          <w:spacing w:val="-6"/>
        </w:rPr>
        <w:t>the</w:t>
      </w:r>
      <w:r w:rsidR="00B87FE7" w:rsidRPr="006F603E" w:rsidDel="00EC2C31">
        <w:rPr>
          <w:bCs/>
          <w:noProof/>
          <w:spacing w:val="-8"/>
        </w:rPr>
        <w:t xml:space="preserve"> </w:t>
      </w:r>
      <w:r w:rsidR="00B87FE7" w:rsidRPr="006F603E">
        <w:rPr>
          <w:bCs/>
          <w:noProof/>
          <w:spacing w:val="-8"/>
        </w:rPr>
        <w:t>policy options a</w:t>
      </w:r>
      <w:r w:rsidR="00B87FE7" w:rsidRPr="00F40BA0">
        <w:rPr>
          <w:noProof/>
          <w:spacing w:val="-8"/>
        </w:rPr>
        <w:t>re</w:t>
      </w:r>
      <w:r w:rsidR="009B7A15">
        <w:rPr>
          <w:noProof/>
          <w:spacing w:val="-8"/>
        </w:rPr>
        <w:t xml:space="preserve"> also</w:t>
      </w:r>
      <w:r w:rsidR="00B87FE7" w:rsidRPr="00F40BA0">
        <w:rPr>
          <w:noProof/>
          <w:spacing w:val="-8"/>
        </w:rPr>
        <w:t xml:space="preserve"> expected to generate significant benefits for consumers by reducing search costs and fostering greater competition in both the platform and transport markets. By enabling travellers to find, compare, and purchase tickets in a single location, the </w:t>
      </w:r>
      <w:r w:rsidR="00B87FE7">
        <w:rPr>
          <w:noProof/>
          <w:spacing w:val="-8"/>
        </w:rPr>
        <w:t>policy options</w:t>
      </w:r>
      <w:r w:rsidR="00B87FE7" w:rsidRPr="00F40BA0">
        <w:rPr>
          <w:noProof/>
          <w:spacing w:val="-8"/>
        </w:rPr>
        <w:t xml:space="preserve"> would eliminate the need to conduct lengthy searches across multiple platforms. This simplification of the purchasing process enhances convenience, transparency, and efficiency for consumers.</w:t>
      </w:r>
      <w:r w:rsidR="00B87FE7">
        <w:rPr>
          <w:noProof/>
          <w:spacing w:val="-8"/>
        </w:rPr>
        <w:t xml:space="preserve"> </w:t>
      </w:r>
      <w:r w:rsidR="00A5056A">
        <w:rPr>
          <w:noProof/>
          <w:spacing w:val="-8"/>
        </w:rPr>
        <w:t>Although not possible to quantify, t</w:t>
      </w:r>
      <w:r w:rsidR="00B87FE7" w:rsidRPr="00631BC0">
        <w:rPr>
          <w:noProof/>
          <w:spacing w:val="-8"/>
        </w:rPr>
        <w:t>he</w:t>
      </w:r>
      <w:r w:rsidR="00B87FE7">
        <w:rPr>
          <w:noProof/>
          <w:spacing w:val="-8"/>
        </w:rPr>
        <w:t xml:space="preserve"> overall impact on consumers’ costs </w:t>
      </w:r>
      <w:r w:rsidR="007F5243">
        <w:rPr>
          <w:noProof/>
          <w:spacing w:val="-8"/>
        </w:rPr>
        <w:t>savings</w:t>
      </w:r>
      <w:r w:rsidR="00B87FE7">
        <w:rPr>
          <w:noProof/>
          <w:spacing w:val="-8"/>
        </w:rPr>
        <w:t xml:space="preserve"> would be the strongest, as well as the quickest to materialise, in the case of PO3. PO4 would come second in terms of overall impact</w:t>
      </w:r>
      <w:r w:rsidR="00B87FE7" w:rsidDel="008512F3">
        <w:rPr>
          <w:noProof/>
          <w:spacing w:val="-8"/>
        </w:rPr>
        <w:t xml:space="preserve"> </w:t>
      </w:r>
      <w:r w:rsidR="00B87FE7">
        <w:rPr>
          <w:noProof/>
          <w:spacing w:val="-8"/>
        </w:rPr>
        <w:t xml:space="preserve">but its effects would unfold more gradually, due to the need to restructure the business of indispensable platforms following unbundling. PO2 would have a more moderate impact, since the cost reduction would be generated by the action of independent platforms that have a </w:t>
      </w:r>
      <w:r w:rsidR="001F4584">
        <w:rPr>
          <w:noProof/>
          <w:spacing w:val="-8"/>
        </w:rPr>
        <w:t xml:space="preserve">much </w:t>
      </w:r>
      <w:r w:rsidR="00B87FE7">
        <w:rPr>
          <w:noProof/>
          <w:spacing w:val="-8"/>
        </w:rPr>
        <w:t xml:space="preserve">smaller customer base, although this would grow in time. Finally, only a negligeable impact on </w:t>
      </w:r>
      <w:r w:rsidR="00C8411C">
        <w:rPr>
          <w:noProof/>
          <w:spacing w:val="-8"/>
        </w:rPr>
        <w:t xml:space="preserve">user search </w:t>
      </w:r>
      <w:r w:rsidR="00B87FE7">
        <w:rPr>
          <w:noProof/>
          <w:spacing w:val="-8"/>
        </w:rPr>
        <w:t xml:space="preserve">cost </w:t>
      </w:r>
      <w:r w:rsidR="0012274D">
        <w:rPr>
          <w:noProof/>
          <w:spacing w:val="-8"/>
        </w:rPr>
        <w:t>savings</w:t>
      </w:r>
      <w:r w:rsidR="00B87FE7">
        <w:rPr>
          <w:noProof/>
          <w:spacing w:val="-8"/>
        </w:rPr>
        <w:t xml:space="preserve"> can be expected to result from PO1, which would change the presentation, but not the scope of the ticketing offer on the platforms. </w:t>
      </w:r>
      <w:r w:rsidR="006352E7" w:rsidRPr="004F1529">
        <w:rPr>
          <w:b/>
          <w:noProof/>
          <w:spacing w:val="-8"/>
        </w:rPr>
        <w:t xml:space="preserve">Taking into account the impacts on user </w:t>
      </w:r>
      <w:r w:rsidR="00080FEF">
        <w:rPr>
          <w:b/>
          <w:bCs/>
          <w:noProof/>
          <w:spacing w:val="-8"/>
        </w:rPr>
        <w:t>search</w:t>
      </w:r>
      <w:r w:rsidR="006352E7">
        <w:rPr>
          <w:b/>
          <w:noProof/>
          <w:spacing w:val="-8"/>
        </w:rPr>
        <w:t xml:space="preserve"> </w:t>
      </w:r>
      <w:r w:rsidR="006352E7" w:rsidRPr="004F1529">
        <w:rPr>
          <w:b/>
          <w:noProof/>
          <w:spacing w:val="-8"/>
        </w:rPr>
        <w:t>costs</w:t>
      </w:r>
      <w:r w:rsidR="00E151B9">
        <w:rPr>
          <w:b/>
          <w:bCs/>
          <w:noProof/>
          <w:spacing w:val="-8"/>
        </w:rPr>
        <w:t xml:space="preserve"> savings</w:t>
      </w:r>
      <w:r w:rsidR="006352E7" w:rsidRPr="004F1529">
        <w:rPr>
          <w:b/>
          <w:noProof/>
          <w:spacing w:val="-8"/>
        </w:rPr>
        <w:t xml:space="preserve">, </w:t>
      </w:r>
      <w:r w:rsidR="00680CF6">
        <w:rPr>
          <w:b/>
          <w:bCs/>
          <w:noProof/>
          <w:spacing w:val="-8"/>
        </w:rPr>
        <w:t>that were not possible to quantify</w:t>
      </w:r>
      <w:r w:rsidR="006352E7">
        <w:rPr>
          <w:b/>
          <w:noProof/>
          <w:spacing w:val="-8"/>
        </w:rPr>
        <w:t xml:space="preserve">, </w:t>
      </w:r>
      <w:r w:rsidR="006352E7" w:rsidRPr="004F1529">
        <w:rPr>
          <w:b/>
          <w:noProof/>
          <w:spacing w:val="-8"/>
        </w:rPr>
        <w:t>the highest benefits to costs ratio</w:t>
      </w:r>
      <w:r w:rsidR="006352E7">
        <w:rPr>
          <w:b/>
          <w:noProof/>
          <w:spacing w:val="-8"/>
        </w:rPr>
        <w:t xml:space="preserve"> </w:t>
      </w:r>
      <w:r w:rsidR="00626DC0">
        <w:rPr>
          <w:b/>
          <w:bCs/>
          <w:noProof/>
          <w:spacing w:val="-8"/>
        </w:rPr>
        <w:t>among the policy options</w:t>
      </w:r>
      <w:r w:rsidR="006352E7" w:rsidRPr="004F1529">
        <w:rPr>
          <w:b/>
          <w:noProof/>
          <w:spacing w:val="-8"/>
        </w:rPr>
        <w:t xml:space="preserve"> is thus expected </w:t>
      </w:r>
      <w:r w:rsidR="00B62F26" w:rsidRPr="004F1529">
        <w:rPr>
          <w:b/>
          <w:noProof/>
          <w:spacing w:val="-8"/>
        </w:rPr>
        <w:t xml:space="preserve">to be achieved </w:t>
      </w:r>
      <w:r w:rsidR="00626DC0">
        <w:rPr>
          <w:b/>
          <w:bCs/>
          <w:noProof/>
          <w:spacing w:val="-8"/>
        </w:rPr>
        <w:t>in</w:t>
      </w:r>
      <w:r w:rsidR="00B62F26" w:rsidRPr="004F1529">
        <w:rPr>
          <w:b/>
          <w:noProof/>
          <w:spacing w:val="-8"/>
        </w:rPr>
        <w:t xml:space="preserve"> PO3.</w:t>
      </w:r>
      <w:r w:rsidR="00295587" w:rsidRPr="004F1529">
        <w:rPr>
          <w:b/>
          <w:noProof/>
          <w:spacing w:val="-8"/>
        </w:rPr>
        <w:t xml:space="preserve"> </w:t>
      </w:r>
    </w:p>
    <w:p w14:paraId="474CAE0B" w14:textId="53C8C262" w:rsidR="0081460B" w:rsidRDefault="00E867E8" w:rsidP="0081460B">
      <w:pPr>
        <w:spacing w:after="240"/>
        <w:jc w:val="both"/>
        <w:rPr>
          <w:noProof/>
          <w:spacing w:val="-6"/>
        </w:rPr>
      </w:pPr>
      <w:r w:rsidRPr="004F1529">
        <w:rPr>
          <w:b/>
          <w:noProof/>
          <w:spacing w:val="-6"/>
        </w:rPr>
        <w:t>When also considering the external costs savings</w:t>
      </w:r>
      <w:r w:rsidR="00C327FB">
        <w:rPr>
          <w:noProof/>
          <w:spacing w:val="-6"/>
        </w:rPr>
        <w:t xml:space="preserve"> </w:t>
      </w:r>
      <w:r w:rsidR="00C327FB" w:rsidRPr="00C327FB">
        <w:rPr>
          <w:noProof/>
          <w:spacing w:val="-6"/>
        </w:rPr>
        <w:t xml:space="preserve">(see </w:t>
      </w:r>
      <w:r w:rsidR="00C327FB" w:rsidRPr="00C327FB">
        <w:rPr>
          <w:noProof/>
          <w:spacing w:val="-6"/>
        </w:rPr>
        <w:fldChar w:fldCharType="begin"/>
      </w:r>
      <w:r w:rsidR="00C327FB" w:rsidRPr="00C327FB">
        <w:rPr>
          <w:noProof/>
          <w:spacing w:val="-6"/>
        </w:rPr>
        <w:instrText xml:space="preserve"> REF _Ref227178428 \h  \* MERGEFORMAT </w:instrText>
      </w:r>
      <w:r w:rsidR="00C327FB" w:rsidRPr="00C327FB">
        <w:rPr>
          <w:noProof/>
          <w:spacing w:val="-6"/>
        </w:rPr>
      </w:r>
      <w:r w:rsidR="00C327FB" w:rsidRPr="00C327FB">
        <w:rPr>
          <w:noProof/>
          <w:spacing w:val="-6"/>
        </w:rPr>
        <w:fldChar w:fldCharType="separate"/>
      </w:r>
      <w:r>
        <w:rPr>
          <w:noProof/>
        </w:rPr>
        <w:t>Table 25</w:t>
      </w:r>
      <w:r w:rsidR="00C327FB" w:rsidRPr="00C327FB">
        <w:rPr>
          <w:noProof/>
          <w:spacing w:val="-6"/>
        </w:rPr>
        <w:fldChar w:fldCharType="end"/>
      </w:r>
      <w:r w:rsidR="00C327FB" w:rsidRPr="00C327FB">
        <w:rPr>
          <w:noProof/>
          <w:spacing w:val="-6"/>
        </w:rPr>
        <w:t>)</w:t>
      </w:r>
      <w:r w:rsidRPr="00C327FB">
        <w:rPr>
          <w:noProof/>
          <w:spacing w:val="-6"/>
        </w:rPr>
        <w:t>,</w:t>
      </w:r>
      <w:r>
        <w:rPr>
          <w:noProof/>
          <w:spacing w:val="-6"/>
        </w:rPr>
        <w:t xml:space="preserve"> </w:t>
      </w:r>
      <w:r w:rsidR="00626DC0">
        <w:rPr>
          <w:noProof/>
          <w:spacing w:val="-6"/>
        </w:rPr>
        <w:t>a</w:t>
      </w:r>
      <w:r w:rsidR="0081460B" w:rsidRPr="002A432C">
        <w:rPr>
          <w:noProof/>
          <w:spacing w:val="-6"/>
        </w:rPr>
        <w:t>ll policy options show significant</w:t>
      </w:r>
      <w:r w:rsidR="0081460B" w:rsidRPr="00B24A7A">
        <w:rPr>
          <w:b/>
          <w:noProof/>
          <w:spacing w:val="-6"/>
        </w:rPr>
        <w:t xml:space="preserve"> total benefits</w:t>
      </w:r>
      <w:r w:rsidR="0081460B" w:rsidRPr="0093678E">
        <w:rPr>
          <w:noProof/>
          <w:spacing w:val="-6"/>
        </w:rPr>
        <w:t>, linked to external costs</w:t>
      </w:r>
      <w:r w:rsidR="0081460B">
        <w:rPr>
          <w:noProof/>
          <w:spacing w:val="-6"/>
        </w:rPr>
        <w:t xml:space="preserve"> savings and </w:t>
      </w:r>
      <w:r w:rsidR="0081460B" w:rsidRPr="00051ABF">
        <w:rPr>
          <w:noProof/>
          <w:spacing w:val="-6"/>
        </w:rPr>
        <w:t xml:space="preserve">the introduction of commercial agreement rules for indispensable MDMS platforms (PM11) and indispensable RUs (PM12) with third parties </w:t>
      </w:r>
      <w:r w:rsidR="0081460B">
        <w:rPr>
          <w:noProof/>
          <w:spacing w:val="-6"/>
        </w:rPr>
        <w:t xml:space="preserve">that are </w:t>
      </w:r>
      <w:r w:rsidR="0081460B" w:rsidRPr="00051ABF">
        <w:rPr>
          <w:noProof/>
          <w:spacing w:val="-6"/>
        </w:rPr>
        <w:t>expected to streamline the negotiation processes</w:t>
      </w:r>
      <w:r w:rsidR="0081460B" w:rsidRPr="0093678E">
        <w:rPr>
          <w:noProof/>
          <w:spacing w:val="-6"/>
        </w:rPr>
        <w:t>. PO1 shows the lowest total benefits estimated at EUR 1</w:t>
      </w:r>
      <w:r w:rsidR="0081460B">
        <w:rPr>
          <w:noProof/>
          <w:spacing w:val="-6"/>
        </w:rPr>
        <w:t>2.7 billion</w:t>
      </w:r>
      <w:r w:rsidR="0081460B" w:rsidRPr="0093678E">
        <w:rPr>
          <w:noProof/>
          <w:spacing w:val="-6"/>
        </w:rPr>
        <w:t xml:space="preserve"> relative to the baseline (expressed as present value over 202</w:t>
      </w:r>
      <w:r w:rsidR="0081460B">
        <w:rPr>
          <w:noProof/>
          <w:spacing w:val="-6"/>
        </w:rPr>
        <w:t>8</w:t>
      </w:r>
      <w:r w:rsidR="0081460B" w:rsidRPr="0093678E">
        <w:rPr>
          <w:noProof/>
          <w:spacing w:val="-6"/>
        </w:rPr>
        <w:t>-2050</w:t>
      </w:r>
      <w:r w:rsidR="0081460B">
        <w:rPr>
          <w:noProof/>
          <w:spacing w:val="-6"/>
        </w:rPr>
        <w:t xml:space="preserve">). PO2, PO3 and PO4 </w:t>
      </w:r>
      <w:r w:rsidR="0081460B" w:rsidRPr="0093678E">
        <w:rPr>
          <w:noProof/>
          <w:spacing w:val="-6"/>
        </w:rPr>
        <w:t>show significantly higher benefits</w:t>
      </w:r>
      <w:r w:rsidR="0081460B">
        <w:rPr>
          <w:noProof/>
          <w:spacing w:val="-6"/>
        </w:rPr>
        <w:t xml:space="preserve"> (</w:t>
      </w:r>
      <w:r w:rsidR="0081460B" w:rsidRPr="0093678E">
        <w:rPr>
          <w:noProof/>
          <w:spacing w:val="-6"/>
        </w:rPr>
        <w:t xml:space="preserve">EUR </w:t>
      </w:r>
      <w:r w:rsidR="0081460B">
        <w:rPr>
          <w:noProof/>
          <w:spacing w:val="-6"/>
        </w:rPr>
        <w:t>26.1</w:t>
      </w:r>
      <w:r w:rsidR="0081460B" w:rsidRPr="0093678E">
        <w:rPr>
          <w:noProof/>
          <w:spacing w:val="-6"/>
        </w:rPr>
        <w:t xml:space="preserve"> </w:t>
      </w:r>
      <w:r w:rsidR="0081460B">
        <w:rPr>
          <w:noProof/>
          <w:spacing w:val="-6"/>
        </w:rPr>
        <w:t>billion in PO2</w:t>
      </w:r>
      <w:r w:rsidR="0081460B" w:rsidRPr="0093678E">
        <w:rPr>
          <w:noProof/>
          <w:spacing w:val="-6"/>
        </w:rPr>
        <w:t xml:space="preserve">, </w:t>
      </w:r>
      <w:r w:rsidR="0081460B">
        <w:rPr>
          <w:noProof/>
          <w:spacing w:val="-6"/>
        </w:rPr>
        <w:t>EUR 37.6 billion in PO3</w:t>
      </w:r>
      <w:r w:rsidR="0081460B" w:rsidDel="003411CE">
        <w:rPr>
          <w:noProof/>
          <w:spacing w:val="-6"/>
        </w:rPr>
        <w:t xml:space="preserve"> </w:t>
      </w:r>
      <w:r w:rsidR="0081460B">
        <w:rPr>
          <w:noProof/>
          <w:spacing w:val="-6"/>
        </w:rPr>
        <w:t xml:space="preserve">and EUR 28.9 billion in PO4) </w:t>
      </w:r>
      <w:r w:rsidR="0081460B" w:rsidRPr="0093678E">
        <w:rPr>
          <w:noProof/>
          <w:spacing w:val="-6"/>
        </w:rPr>
        <w:t xml:space="preserve">mainly due to the higher reduction in external costs. </w:t>
      </w:r>
      <w:r w:rsidR="0081460B">
        <w:rPr>
          <w:noProof/>
          <w:spacing w:val="-6"/>
        </w:rPr>
        <w:t>PO3 achieves the highest reduction in external costs, as it is projected to result in a more significant shift towards rail and coach. External costs saving represent around 99% of the total benefits in all policy options.</w:t>
      </w:r>
    </w:p>
    <w:p w14:paraId="04FD7B6A" w14:textId="1C4DB63F" w:rsidR="00B87FE7" w:rsidRPr="0081460B" w:rsidRDefault="0081460B" w:rsidP="0081460B">
      <w:pPr>
        <w:pStyle w:val="Text2"/>
        <w:spacing w:after="240"/>
        <w:ind w:left="0"/>
        <w:rPr>
          <w:rFonts w:cs="Times New Roman"/>
          <w:i/>
          <w:noProof/>
          <w:sz w:val="22"/>
          <w:szCs w:val="22"/>
        </w:rPr>
      </w:pPr>
      <w:r w:rsidRPr="0093678E">
        <w:rPr>
          <w:noProof/>
          <w:spacing w:val="-6"/>
        </w:rPr>
        <w:t xml:space="preserve">Overall, </w:t>
      </w:r>
      <w:r w:rsidR="008423AD">
        <w:rPr>
          <w:noProof/>
          <w:spacing w:val="-6"/>
        </w:rPr>
        <w:t>when also considering the external costs savings</w:t>
      </w:r>
      <w:r w:rsidRPr="0093678E">
        <w:rPr>
          <w:noProof/>
          <w:spacing w:val="-6"/>
        </w:rPr>
        <w:t xml:space="preserve">, all policy options result in net benefits relative to the baseline. The net benefits are estimated at EUR </w:t>
      </w:r>
      <w:r w:rsidRPr="0093678E" w:rsidDel="00196779">
        <w:rPr>
          <w:noProof/>
          <w:spacing w:val="-6"/>
        </w:rPr>
        <w:t>1</w:t>
      </w:r>
      <w:r w:rsidDel="00196779">
        <w:rPr>
          <w:noProof/>
          <w:spacing w:val="-6"/>
        </w:rPr>
        <w:t>2</w:t>
      </w:r>
      <w:r>
        <w:rPr>
          <w:noProof/>
          <w:spacing w:val="-6"/>
        </w:rPr>
        <w:t>.5 billion</w:t>
      </w:r>
      <w:r w:rsidRPr="0093678E">
        <w:rPr>
          <w:noProof/>
          <w:spacing w:val="-6"/>
        </w:rPr>
        <w:t xml:space="preserve"> in PO1 relative to the baseline, expressed as present value over 202</w:t>
      </w:r>
      <w:r>
        <w:rPr>
          <w:noProof/>
          <w:spacing w:val="-6"/>
        </w:rPr>
        <w:t>8</w:t>
      </w:r>
      <w:r w:rsidRPr="0093678E">
        <w:rPr>
          <w:noProof/>
          <w:spacing w:val="-6"/>
        </w:rPr>
        <w:t xml:space="preserve">-2050, at EUR </w:t>
      </w:r>
      <w:r w:rsidDel="0017416C">
        <w:rPr>
          <w:noProof/>
          <w:spacing w:val="-6"/>
        </w:rPr>
        <w:t>25</w:t>
      </w:r>
      <w:r>
        <w:rPr>
          <w:noProof/>
          <w:spacing w:val="-6"/>
        </w:rPr>
        <w:t xml:space="preserve">.8 billion </w:t>
      </w:r>
      <w:r w:rsidRPr="0093678E">
        <w:rPr>
          <w:noProof/>
          <w:spacing w:val="-6"/>
        </w:rPr>
        <w:t>in PO2</w:t>
      </w:r>
      <w:r>
        <w:rPr>
          <w:noProof/>
          <w:spacing w:val="-6"/>
        </w:rPr>
        <w:t xml:space="preserve">, EUR </w:t>
      </w:r>
      <w:r w:rsidDel="0017416C">
        <w:rPr>
          <w:noProof/>
          <w:spacing w:val="-6"/>
        </w:rPr>
        <w:t>37</w:t>
      </w:r>
      <w:r>
        <w:rPr>
          <w:noProof/>
          <w:spacing w:val="-6"/>
        </w:rPr>
        <w:t>.3 billion in PO3</w:t>
      </w:r>
      <w:r w:rsidRPr="0093678E">
        <w:rPr>
          <w:noProof/>
          <w:spacing w:val="-6"/>
        </w:rPr>
        <w:t xml:space="preserve"> and EUR </w:t>
      </w:r>
      <w:r w:rsidDel="0023101B">
        <w:rPr>
          <w:noProof/>
          <w:spacing w:val="-6"/>
        </w:rPr>
        <w:t>28.</w:t>
      </w:r>
      <w:r>
        <w:rPr>
          <w:noProof/>
          <w:spacing w:val="-6"/>
        </w:rPr>
        <w:t>5 billion</w:t>
      </w:r>
      <w:r w:rsidRPr="0093678E" w:rsidDel="00460846">
        <w:rPr>
          <w:noProof/>
          <w:spacing w:val="-6"/>
        </w:rPr>
        <w:t xml:space="preserve"> </w:t>
      </w:r>
      <w:r w:rsidRPr="0093678E">
        <w:rPr>
          <w:noProof/>
          <w:spacing w:val="-6"/>
        </w:rPr>
        <w:t>in PO</w:t>
      </w:r>
      <w:r>
        <w:rPr>
          <w:noProof/>
          <w:spacing w:val="-6"/>
        </w:rPr>
        <w:t>4</w:t>
      </w:r>
      <w:r w:rsidRPr="0093678E">
        <w:rPr>
          <w:noProof/>
          <w:spacing w:val="-6"/>
        </w:rPr>
        <w:t>.</w:t>
      </w:r>
      <w:r w:rsidRPr="0093678E" w:rsidDel="00460846">
        <w:rPr>
          <w:noProof/>
          <w:spacing w:val="-6"/>
        </w:rPr>
        <w:t xml:space="preserve"> </w:t>
      </w:r>
      <w:r w:rsidRPr="00B739E8">
        <w:rPr>
          <w:b/>
          <w:noProof/>
          <w:spacing w:val="-6"/>
        </w:rPr>
        <w:t>PO</w:t>
      </w:r>
      <w:r>
        <w:rPr>
          <w:b/>
          <w:noProof/>
          <w:spacing w:val="-6"/>
        </w:rPr>
        <w:t>3</w:t>
      </w:r>
      <w:r w:rsidRPr="00B739E8">
        <w:rPr>
          <w:b/>
          <w:noProof/>
          <w:spacing w:val="-6"/>
        </w:rPr>
        <w:t xml:space="preserve"> shows the </w:t>
      </w:r>
      <w:r>
        <w:rPr>
          <w:b/>
          <w:noProof/>
          <w:spacing w:val="-6"/>
        </w:rPr>
        <w:t>highest benefits to costs ratio (123), followed by PO2 (82), PO4 (62) and PO1 (54).</w:t>
      </w:r>
      <w:r w:rsidR="00360EB7">
        <w:rPr>
          <w:b/>
          <w:noProof/>
          <w:spacing w:val="-6"/>
        </w:rPr>
        <w:t xml:space="preserve"> </w:t>
      </w:r>
      <w:r w:rsidR="00360EB7">
        <w:rPr>
          <w:bCs/>
          <w:noProof/>
          <w:spacing w:val="-6"/>
        </w:rPr>
        <w:t xml:space="preserve">As explained above, the </w:t>
      </w:r>
      <w:r w:rsidR="00080FEF">
        <w:rPr>
          <w:bCs/>
          <w:noProof/>
          <w:spacing w:val="-6"/>
        </w:rPr>
        <w:t xml:space="preserve">impacts on user </w:t>
      </w:r>
      <w:r w:rsidR="00B41B10">
        <w:rPr>
          <w:bCs/>
          <w:noProof/>
          <w:spacing w:val="-6"/>
        </w:rPr>
        <w:t xml:space="preserve">search </w:t>
      </w:r>
      <w:r w:rsidR="00080FEF">
        <w:rPr>
          <w:bCs/>
          <w:noProof/>
          <w:spacing w:val="-6"/>
        </w:rPr>
        <w:t xml:space="preserve">costs </w:t>
      </w:r>
      <w:r w:rsidR="00D63527">
        <w:rPr>
          <w:bCs/>
          <w:noProof/>
          <w:spacing w:val="-6"/>
        </w:rPr>
        <w:t xml:space="preserve">were not possible to quantify but they are expected to further </w:t>
      </w:r>
      <w:r w:rsidR="007F1D26">
        <w:rPr>
          <w:bCs/>
          <w:noProof/>
          <w:spacing w:val="-6"/>
        </w:rPr>
        <w:t xml:space="preserve">reinforce the </w:t>
      </w:r>
      <w:r w:rsidR="007E0B62">
        <w:rPr>
          <w:bCs/>
          <w:noProof/>
          <w:spacing w:val="-6"/>
        </w:rPr>
        <w:t xml:space="preserve">fact that PO3 shows the highest benefits to costs ratio among the options. </w:t>
      </w:r>
      <w:r w:rsidR="00080FEF">
        <w:rPr>
          <w:bCs/>
          <w:noProof/>
          <w:spacing w:val="-6"/>
        </w:rPr>
        <w:t xml:space="preserve"> </w:t>
      </w:r>
    </w:p>
    <w:p w14:paraId="64FDCABA" w14:textId="109A89D8" w:rsidR="00DE0F6A" w:rsidRDefault="00DE0F6A" w:rsidP="00DE0F6A">
      <w:pPr>
        <w:pStyle w:val="Text2"/>
        <w:spacing w:after="0"/>
        <w:ind w:left="0"/>
        <w:rPr>
          <w:rFonts w:cs="Times New Roman"/>
          <w:i/>
          <w:noProof/>
          <w:sz w:val="22"/>
          <w:szCs w:val="22"/>
        </w:rPr>
      </w:pPr>
      <w:bookmarkStart w:id="212" w:name="_Ref227178428"/>
      <w:r w:rsidRPr="00F046B6">
        <w:rPr>
          <w:rFonts w:cs="Times New Roman"/>
          <w:i/>
          <w:noProof/>
          <w:sz w:val="22"/>
          <w:szCs w:val="22"/>
        </w:rPr>
        <w:t xml:space="preserve">Table </w:t>
      </w:r>
      <w:r w:rsidRPr="00F046B6">
        <w:rPr>
          <w:rFonts w:cs="Times New Roman"/>
          <w:i/>
          <w:noProof/>
          <w:sz w:val="22"/>
          <w:szCs w:val="22"/>
        </w:rPr>
        <w:fldChar w:fldCharType="begin"/>
      </w:r>
      <w:r w:rsidRPr="00F046B6">
        <w:rPr>
          <w:rFonts w:cs="Times New Roman"/>
          <w:i/>
          <w:noProof/>
          <w:sz w:val="22"/>
          <w:szCs w:val="22"/>
        </w:rPr>
        <w:instrText xml:space="preserve"> SEQ Table \* ARABIC </w:instrText>
      </w:r>
      <w:r w:rsidRPr="00F046B6">
        <w:rPr>
          <w:rFonts w:cs="Times New Roman"/>
          <w:i/>
          <w:noProof/>
          <w:sz w:val="22"/>
          <w:szCs w:val="22"/>
        </w:rPr>
        <w:fldChar w:fldCharType="separate"/>
      </w:r>
      <w:r w:rsidR="0055391F">
        <w:rPr>
          <w:rFonts w:cs="Times New Roman"/>
          <w:i/>
          <w:noProof/>
          <w:sz w:val="22"/>
          <w:szCs w:val="22"/>
        </w:rPr>
        <w:t>25</w:t>
      </w:r>
      <w:r w:rsidRPr="00F046B6">
        <w:rPr>
          <w:rFonts w:cs="Times New Roman"/>
          <w:i/>
          <w:noProof/>
          <w:sz w:val="22"/>
          <w:szCs w:val="22"/>
        </w:rPr>
        <w:fldChar w:fldCharType="end"/>
      </w:r>
      <w:bookmarkEnd w:id="212"/>
      <w:r w:rsidRPr="00F046B6">
        <w:rPr>
          <w:rFonts w:cs="Times New Roman"/>
          <w:i/>
          <w:noProof/>
          <w:sz w:val="22"/>
          <w:szCs w:val="22"/>
        </w:rPr>
        <w:t>: Summary of costs and benefits of policy options</w:t>
      </w:r>
      <w:r>
        <w:rPr>
          <w:rFonts w:cs="Times New Roman"/>
          <w:i/>
          <w:noProof/>
          <w:sz w:val="22"/>
          <w:szCs w:val="22"/>
        </w:rPr>
        <w:t>, including external costs savings</w:t>
      </w:r>
      <w:r w:rsidRPr="00F046B6">
        <w:rPr>
          <w:rFonts w:cs="Times New Roman"/>
          <w:i/>
          <w:noProof/>
          <w:sz w:val="22"/>
          <w:szCs w:val="22"/>
        </w:rPr>
        <w:t xml:space="preserve"> - present value over 2028-2050 compared to the baseline (in million EUR, 202</w:t>
      </w:r>
      <w:r>
        <w:rPr>
          <w:rFonts w:cs="Times New Roman"/>
          <w:i/>
          <w:noProof/>
          <w:sz w:val="22"/>
          <w:szCs w:val="22"/>
        </w:rPr>
        <w:t>4</w:t>
      </w:r>
      <w:r w:rsidRPr="00F046B6">
        <w:rPr>
          <w:rFonts w:cs="Times New Roman"/>
          <w:i/>
          <w:noProof/>
          <w:sz w:val="22"/>
          <w:szCs w:val="22"/>
        </w:rPr>
        <w:t xml:space="preserve"> prices)</w:t>
      </w:r>
    </w:p>
    <w:tbl>
      <w:tblPr>
        <w:tblW w:w="5000" w:type="pct"/>
        <w:tblLook w:val="04A0" w:firstRow="1" w:lastRow="0" w:firstColumn="1" w:lastColumn="0" w:noHBand="0" w:noVBand="1"/>
      </w:tblPr>
      <w:tblGrid>
        <w:gridCol w:w="5713"/>
        <w:gridCol w:w="972"/>
        <w:gridCol w:w="972"/>
        <w:gridCol w:w="972"/>
        <w:gridCol w:w="974"/>
      </w:tblGrid>
      <w:tr w:rsidR="00936AC6" w14:paraId="310AF41F" w14:textId="77777777" w:rsidTr="006A5634">
        <w:trPr>
          <w:trHeight w:val="255"/>
          <w:tblHeader/>
        </w:trPr>
        <w:tc>
          <w:tcPr>
            <w:tcW w:w="2975"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01CB1E5F" w14:textId="77777777" w:rsidR="00936AC6" w:rsidRDefault="00936AC6">
            <w:pPr>
              <w:jc w:val="center"/>
              <w:rPr>
                <w:b/>
                <w:bCs/>
                <w:noProof/>
                <w:color w:val="FFFFFF"/>
                <w:sz w:val="20"/>
                <w:szCs w:val="20"/>
              </w:rPr>
            </w:pPr>
            <w:r>
              <w:rPr>
                <w:b/>
                <w:bCs/>
                <w:noProof/>
                <w:color w:val="FFFFFF"/>
                <w:sz w:val="20"/>
                <w:szCs w:val="20"/>
              </w:rPr>
              <w:t> </w:t>
            </w:r>
          </w:p>
        </w:tc>
        <w:tc>
          <w:tcPr>
            <w:tcW w:w="2025" w:type="pct"/>
            <w:gridSpan w:val="4"/>
            <w:tcBorders>
              <w:top w:val="single" w:sz="4" w:space="0" w:color="auto"/>
              <w:left w:val="nil"/>
              <w:bottom w:val="single" w:sz="4" w:space="0" w:color="auto"/>
              <w:right w:val="single" w:sz="4" w:space="0" w:color="auto"/>
            </w:tcBorders>
            <w:shd w:val="clear" w:color="000000" w:fill="0070C0"/>
            <w:hideMark/>
          </w:tcPr>
          <w:p w14:paraId="6858C859" w14:textId="77777777" w:rsidR="00936AC6" w:rsidRDefault="00936AC6">
            <w:pPr>
              <w:jc w:val="center"/>
              <w:rPr>
                <w:b/>
                <w:bCs/>
                <w:noProof/>
                <w:color w:val="FFFFFF"/>
                <w:sz w:val="20"/>
                <w:szCs w:val="20"/>
              </w:rPr>
            </w:pPr>
            <w:r>
              <w:rPr>
                <w:b/>
                <w:bCs/>
                <w:noProof/>
                <w:color w:val="FFFFFF"/>
                <w:sz w:val="20"/>
                <w:szCs w:val="20"/>
              </w:rPr>
              <w:t>Difference to baseline</w:t>
            </w:r>
          </w:p>
        </w:tc>
      </w:tr>
      <w:tr w:rsidR="006A5634" w14:paraId="4C401A6F" w14:textId="77777777" w:rsidTr="00936AC6">
        <w:trPr>
          <w:trHeight w:val="255"/>
          <w:tblHeader/>
        </w:trPr>
        <w:tc>
          <w:tcPr>
            <w:tcW w:w="2975" w:type="pct"/>
            <w:vMerge/>
            <w:tcBorders>
              <w:top w:val="single" w:sz="4" w:space="0" w:color="auto"/>
              <w:left w:val="single" w:sz="4" w:space="0" w:color="auto"/>
              <w:bottom w:val="single" w:sz="4" w:space="0" w:color="auto"/>
              <w:right w:val="single" w:sz="4" w:space="0" w:color="auto"/>
            </w:tcBorders>
            <w:hideMark/>
          </w:tcPr>
          <w:p w14:paraId="0C44286D" w14:textId="77777777" w:rsidR="00936AC6" w:rsidRDefault="00936AC6">
            <w:pPr>
              <w:rPr>
                <w:b/>
                <w:bCs/>
                <w:noProof/>
                <w:color w:val="FFFFFF"/>
                <w:sz w:val="20"/>
                <w:szCs w:val="20"/>
              </w:rPr>
            </w:pPr>
          </w:p>
        </w:tc>
        <w:tc>
          <w:tcPr>
            <w:tcW w:w="506" w:type="pct"/>
            <w:tcBorders>
              <w:top w:val="nil"/>
              <w:left w:val="nil"/>
              <w:bottom w:val="single" w:sz="4" w:space="0" w:color="auto"/>
              <w:right w:val="single" w:sz="4" w:space="0" w:color="auto"/>
            </w:tcBorders>
            <w:shd w:val="clear" w:color="000000" w:fill="0070C0"/>
            <w:hideMark/>
          </w:tcPr>
          <w:p w14:paraId="2DCF84F0" w14:textId="77777777" w:rsidR="00936AC6" w:rsidRDefault="00936AC6">
            <w:pPr>
              <w:jc w:val="center"/>
              <w:rPr>
                <w:b/>
                <w:bCs/>
                <w:noProof/>
                <w:color w:val="FFFFFF"/>
                <w:sz w:val="20"/>
                <w:szCs w:val="20"/>
              </w:rPr>
            </w:pPr>
            <w:r>
              <w:rPr>
                <w:b/>
                <w:bCs/>
                <w:noProof/>
                <w:color w:val="FFFFFF"/>
                <w:sz w:val="20"/>
                <w:szCs w:val="20"/>
              </w:rPr>
              <w:t>PO1</w:t>
            </w:r>
          </w:p>
        </w:tc>
        <w:tc>
          <w:tcPr>
            <w:tcW w:w="506" w:type="pct"/>
            <w:tcBorders>
              <w:top w:val="nil"/>
              <w:left w:val="nil"/>
              <w:bottom w:val="single" w:sz="4" w:space="0" w:color="auto"/>
              <w:right w:val="single" w:sz="4" w:space="0" w:color="auto"/>
            </w:tcBorders>
            <w:shd w:val="clear" w:color="000000" w:fill="0070C0"/>
            <w:hideMark/>
          </w:tcPr>
          <w:p w14:paraId="0D2BAC87" w14:textId="77777777" w:rsidR="00936AC6" w:rsidRDefault="00936AC6">
            <w:pPr>
              <w:jc w:val="center"/>
              <w:rPr>
                <w:b/>
                <w:bCs/>
                <w:noProof/>
                <w:color w:val="FFFFFF"/>
                <w:sz w:val="20"/>
                <w:szCs w:val="20"/>
              </w:rPr>
            </w:pPr>
            <w:r>
              <w:rPr>
                <w:b/>
                <w:bCs/>
                <w:noProof/>
                <w:color w:val="FFFFFF"/>
                <w:sz w:val="20"/>
                <w:szCs w:val="20"/>
              </w:rPr>
              <w:t>PO2</w:t>
            </w:r>
          </w:p>
        </w:tc>
        <w:tc>
          <w:tcPr>
            <w:tcW w:w="506" w:type="pct"/>
            <w:tcBorders>
              <w:top w:val="nil"/>
              <w:left w:val="nil"/>
              <w:bottom w:val="single" w:sz="4" w:space="0" w:color="auto"/>
              <w:right w:val="single" w:sz="4" w:space="0" w:color="auto"/>
            </w:tcBorders>
            <w:shd w:val="clear" w:color="000000" w:fill="0070C0"/>
            <w:hideMark/>
          </w:tcPr>
          <w:p w14:paraId="5F867981" w14:textId="77777777" w:rsidR="00936AC6" w:rsidRDefault="00936AC6">
            <w:pPr>
              <w:jc w:val="center"/>
              <w:rPr>
                <w:b/>
                <w:bCs/>
                <w:noProof/>
                <w:color w:val="FFFFFF"/>
                <w:sz w:val="20"/>
                <w:szCs w:val="20"/>
              </w:rPr>
            </w:pPr>
            <w:r>
              <w:rPr>
                <w:b/>
                <w:bCs/>
                <w:noProof/>
                <w:color w:val="FFFFFF"/>
                <w:sz w:val="20"/>
                <w:szCs w:val="20"/>
              </w:rPr>
              <w:t>PO3</w:t>
            </w:r>
          </w:p>
        </w:tc>
        <w:tc>
          <w:tcPr>
            <w:tcW w:w="506" w:type="pct"/>
            <w:tcBorders>
              <w:top w:val="nil"/>
              <w:left w:val="nil"/>
              <w:bottom w:val="single" w:sz="4" w:space="0" w:color="auto"/>
              <w:right w:val="single" w:sz="4" w:space="0" w:color="auto"/>
            </w:tcBorders>
            <w:shd w:val="clear" w:color="000000" w:fill="0070C0"/>
            <w:hideMark/>
          </w:tcPr>
          <w:p w14:paraId="44F02820" w14:textId="77777777" w:rsidR="00936AC6" w:rsidRDefault="00936AC6">
            <w:pPr>
              <w:jc w:val="center"/>
              <w:rPr>
                <w:b/>
                <w:bCs/>
                <w:noProof/>
                <w:color w:val="FFFFFF"/>
                <w:sz w:val="20"/>
                <w:szCs w:val="20"/>
              </w:rPr>
            </w:pPr>
            <w:r>
              <w:rPr>
                <w:b/>
                <w:bCs/>
                <w:noProof/>
                <w:color w:val="FFFFFF"/>
                <w:sz w:val="20"/>
                <w:szCs w:val="20"/>
              </w:rPr>
              <w:t>PO4</w:t>
            </w:r>
          </w:p>
        </w:tc>
      </w:tr>
      <w:tr w:rsidR="006A5634" w14:paraId="174481A3"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5242E0C0" w14:textId="77777777" w:rsidR="00936AC6" w:rsidRDefault="00936AC6">
            <w:pPr>
              <w:rPr>
                <w:b/>
                <w:bCs/>
                <w:noProof/>
                <w:sz w:val="20"/>
                <w:szCs w:val="20"/>
              </w:rPr>
            </w:pPr>
            <w:r>
              <w:rPr>
                <w:b/>
                <w:bCs/>
                <w:noProof/>
                <w:sz w:val="20"/>
                <w:szCs w:val="20"/>
              </w:rPr>
              <w:t>MDMS platforms</w:t>
            </w:r>
          </w:p>
        </w:tc>
        <w:tc>
          <w:tcPr>
            <w:tcW w:w="506" w:type="pct"/>
            <w:tcBorders>
              <w:top w:val="nil"/>
              <w:left w:val="nil"/>
              <w:bottom w:val="single" w:sz="4" w:space="0" w:color="auto"/>
              <w:right w:val="single" w:sz="4" w:space="0" w:color="auto"/>
            </w:tcBorders>
            <w:shd w:val="clear" w:color="000000" w:fill="BDE3FF"/>
            <w:hideMark/>
          </w:tcPr>
          <w:p w14:paraId="6AB50A14" w14:textId="77777777" w:rsidR="00936AC6" w:rsidRDefault="00936AC6">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3E50836C" w14:textId="77777777" w:rsidR="00936AC6" w:rsidRDefault="00936AC6">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31CE9E20" w14:textId="77777777" w:rsidR="00936AC6" w:rsidRDefault="00936AC6">
            <w:pPr>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5E950DEF" w14:textId="77777777" w:rsidR="00936AC6" w:rsidRDefault="00936AC6">
            <w:pPr>
              <w:rPr>
                <w:b/>
                <w:bCs/>
                <w:noProof/>
                <w:sz w:val="20"/>
                <w:szCs w:val="20"/>
              </w:rPr>
            </w:pPr>
            <w:r>
              <w:rPr>
                <w:b/>
                <w:bCs/>
                <w:noProof/>
                <w:sz w:val="20"/>
                <w:szCs w:val="20"/>
              </w:rPr>
              <w:t> </w:t>
            </w:r>
          </w:p>
        </w:tc>
      </w:tr>
      <w:tr w:rsidR="006A5634" w14:paraId="123C0181"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3A2E0EB3" w14:textId="77777777" w:rsidR="00936AC6" w:rsidRDefault="00936AC6">
            <w:pPr>
              <w:rPr>
                <w:noProof/>
                <w:color w:val="000000"/>
                <w:sz w:val="20"/>
                <w:szCs w:val="20"/>
              </w:rPr>
            </w:pPr>
            <w:r>
              <w:rPr>
                <w:noProof/>
                <w:color w:val="000000"/>
                <w:sz w:val="20"/>
                <w:szCs w:val="20"/>
              </w:rPr>
              <w:t>Adjustment costs</w:t>
            </w:r>
          </w:p>
        </w:tc>
        <w:tc>
          <w:tcPr>
            <w:tcW w:w="506" w:type="pct"/>
            <w:tcBorders>
              <w:top w:val="nil"/>
              <w:left w:val="nil"/>
              <w:bottom w:val="single" w:sz="4" w:space="0" w:color="auto"/>
              <w:right w:val="single" w:sz="4" w:space="0" w:color="auto"/>
            </w:tcBorders>
            <w:shd w:val="clear" w:color="000000" w:fill="FFFFFF"/>
            <w:noWrap/>
            <w:hideMark/>
          </w:tcPr>
          <w:p w14:paraId="13F6C39E" w14:textId="77777777" w:rsidR="00936AC6" w:rsidRDefault="00936AC6">
            <w:pPr>
              <w:jc w:val="right"/>
              <w:rPr>
                <w:noProof/>
                <w:color w:val="000000"/>
                <w:sz w:val="20"/>
                <w:szCs w:val="20"/>
              </w:rPr>
            </w:pPr>
            <w:r>
              <w:rPr>
                <w:noProof/>
                <w:color w:val="000000"/>
                <w:sz w:val="20"/>
                <w:szCs w:val="20"/>
              </w:rPr>
              <w:t>92.9</w:t>
            </w:r>
          </w:p>
        </w:tc>
        <w:tc>
          <w:tcPr>
            <w:tcW w:w="506" w:type="pct"/>
            <w:tcBorders>
              <w:top w:val="nil"/>
              <w:left w:val="nil"/>
              <w:bottom w:val="single" w:sz="4" w:space="0" w:color="auto"/>
              <w:right w:val="single" w:sz="4" w:space="0" w:color="auto"/>
            </w:tcBorders>
            <w:shd w:val="clear" w:color="000000" w:fill="FFFFFF"/>
            <w:noWrap/>
            <w:hideMark/>
          </w:tcPr>
          <w:p w14:paraId="7CBB4F06" w14:textId="77777777" w:rsidR="00936AC6" w:rsidRDefault="00936AC6">
            <w:pPr>
              <w:jc w:val="right"/>
              <w:rPr>
                <w:noProof/>
                <w:color w:val="000000"/>
                <w:sz w:val="20"/>
                <w:szCs w:val="20"/>
              </w:rPr>
            </w:pPr>
            <w:r>
              <w:rPr>
                <w:noProof/>
                <w:color w:val="000000"/>
                <w:sz w:val="20"/>
                <w:szCs w:val="20"/>
              </w:rPr>
              <w:t>127.7</w:t>
            </w:r>
          </w:p>
        </w:tc>
        <w:tc>
          <w:tcPr>
            <w:tcW w:w="506" w:type="pct"/>
            <w:tcBorders>
              <w:top w:val="nil"/>
              <w:left w:val="nil"/>
              <w:bottom w:val="single" w:sz="4" w:space="0" w:color="auto"/>
              <w:right w:val="single" w:sz="4" w:space="0" w:color="auto"/>
            </w:tcBorders>
            <w:shd w:val="clear" w:color="000000" w:fill="FFFFFF"/>
            <w:noWrap/>
            <w:hideMark/>
          </w:tcPr>
          <w:p w14:paraId="38D39616" w14:textId="77777777" w:rsidR="00936AC6" w:rsidRDefault="00936AC6">
            <w:pPr>
              <w:jc w:val="right"/>
              <w:rPr>
                <w:noProof/>
                <w:color w:val="000000"/>
                <w:sz w:val="20"/>
                <w:szCs w:val="20"/>
              </w:rPr>
            </w:pPr>
            <w:r>
              <w:rPr>
                <w:noProof/>
                <w:color w:val="000000"/>
                <w:sz w:val="20"/>
                <w:szCs w:val="20"/>
              </w:rPr>
              <w:t>122.3</w:t>
            </w:r>
          </w:p>
        </w:tc>
        <w:tc>
          <w:tcPr>
            <w:tcW w:w="506" w:type="pct"/>
            <w:tcBorders>
              <w:top w:val="nil"/>
              <w:left w:val="nil"/>
              <w:bottom w:val="single" w:sz="4" w:space="0" w:color="auto"/>
              <w:right w:val="single" w:sz="4" w:space="0" w:color="auto"/>
            </w:tcBorders>
            <w:shd w:val="clear" w:color="000000" w:fill="FFFFFF"/>
            <w:noWrap/>
            <w:hideMark/>
          </w:tcPr>
          <w:p w14:paraId="28319C0A" w14:textId="77777777" w:rsidR="00936AC6" w:rsidRDefault="00936AC6">
            <w:pPr>
              <w:jc w:val="right"/>
              <w:rPr>
                <w:noProof/>
                <w:color w:val="000000"/>
                <w:sz w:val="20"/>
                <w:szCs w:val="20"/>
              </w:rPr>
            </w:pPr>
            <w:r>
              <w:rPr>
                <w:noProof/>
                <w:color w:val="000000"/>
                <w:sz w:val="20"/>
                <w:szCs w:val="20"/>
              </w:rPr>
              <w:t>282.3</w:t>
            </w:r>
          </w:p>
        </w:tc>
      </w:tr>
      <w:tr w:rsidR="006A5634" w14:paraId="00B318E1"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23126B7C" w14:textId="77777777" w:rsidR="00936AC6" w:rsidRDefault="00936AC6">
            <w:pPr>
              <w:rPr>
                <w:noProof/>
                <w:color w:val="000000"/>
                <w:sz w:val="20"/>
                <w:szCs w:val="20"/>
              </w:rPr>
            </w:pPr>
            <w:r>
              <w:rPr>
                <w:noProof/>
                <w:color w:val="000000"/>
                <w:sz w:val="20"/>
                <w:szCs w:val="20"/>
              </w:rPr>
              <w:t>Administrative costs</w:t>
            </w:r>
          </w:p>
        </w:tc>
        <w:tc>
          <w:tcPr>
            <w:tcW w:w="506" w:type="pct"/>
            <w:tcBorders>
              <w:top w:val="nil"/>
              <w:left w:val="nil"/>
              <w:bottom w:val="single" w:sz="4" w:space="0" w:color="auto"/>
              <w:right w:val="single" w:sz="4" w:space="0" w:color="auto"/>
            </w:tcBorders>
            <w:shd w:val="clear" w:color="000000" w:fill="FFFFFF"/>
            <w:noWrap/>
            <w:hideMark/>
          </w:tcPr>
          <w:p w14:paraId="14B241AD" w14:textId="77777777" w:rsidR="00936AC6" w:rsidRDefault="00936AC6">
            <w:pPr>
              <w:jc w:val="right"/>
              <w:rPr>
                <w:noProof/>
                <w:color w:val="000000"/>
                <w:sz w:val="20"/>
                <w:szCs w:val="20"/>
              </w:rPr>
            </w:pPr>
            <w:r>
              <w:rPr>
                <w:noProof/>
                <w:color w:val="000000"/>
                <w:sz w:val="20"/>
                <w:szCs w:val="20"/>
              </w:rPr>
              <w:t>0.5</w:t>
            </w:r>
          </w:p>
        </w:tc>
        <w:tc>
          <w:tcPr>
            <w:tcW w:w="506" w:type="pct"/>
            <w:tcBorders>
              <w:top w:val="nil"/>
              <w:left w:val="nil"/>
              <w:bottom w:val="single" w:sz="4" w:space="0" w:color="auto"/>
              <w:right w:val="single" w:sz="4" w:space="0" w:color="auto"/>
            </w:tcBorders>
            <w:shd w:val="clear" w:color="000000" w:fill="FFFFFF"/>
            <w:noWrap/>
            <w:hideMark/>
          </w:tcPr>
          <w:p w14:paraId="158E4438" w14:textId="77777777" w:rsidR="00936AC6" w:rsidRDefault="00936AC6">
            <w:pPr>
              <w:jc w:val="right"/>
              <w:rPr>
                <w:noProof/>
                <w:color w:val="000000"/>
                <w:sz w:val="20"/>
                <w:szCs w:val="20"/>
              </w:rPr>
            </w:pPr>
            <w:r>
              <w:rPr>
                <w:noProof/>
                <w:color w:val="000000"/>
                <w:sz w:val="20"/>
                <w:szCs w:val="20"/>
              </w:rPr>
              <w:t>0.5</w:t>
            </w:r>
          </w:p>
        </w:tc>
        <w:tc>
          <w:tcPr>
            <w:tcW w:w="506" w:type="pct"/>
            <w:tcBorders>
              <w:top w:val="nil"/>
              <w:left w:val="nil"/>
              <w:bottom w:val="single" w:sz="4" w:space="0" w:color="auto"/>
              <w:right w:val="single" w:sz="4" w:space="0" w:color="auto"/>
            </w:tcBorders>
            <w:shd w:val="clear" w:color="000000" w:fill="FFFFFF"/>
            <w:noWrap/>
            <w:hideMark/>
          </w:tcPr>
          <w:p w14:paraId="0DDBDEEE" w14:textId="77777777" w:rsidR="00936AC6" w:rsidRDefault="00936AC6">
            <w:pPr>
              <w:jc w:val="right"/>
              <w:rPr>
                <w:noProof/>
                <w:color w:val="000000"/>
                <w:sz w:val="20"/>
                <w:szCs w:val="20"/>
              </w:rPr>
            </w:pPr>
            <w:r>
              <w:rPr>
                <w:noProof/>
                <w:color w:val="000000"/>
                <w:sz w:val="20"/>
                <w:szCs w:val="20"/>
              </w:rPr>
              <w:t>0.5</w:t>
            </w:r>
          </w:p>
        </w:tc>
        <w:tc>
          <w:tcPr>
            <w:tcW w:w="506" w:type="pct"/>
            <w:tcBorders>
              <w:top w:val="nil"/>
              <w:left w:val="nil"/>
              <w:bottom w:val="single" w:sz="4" w:space="0" w:color="auto"/>
              <w:right w:val="single" w:sz="4" w:space="0" w:color="auto"/>
            </w:tcBorders>
            <w:shd w:val="clear" w:color="000000" w:fill="FFFFFF"/>
            <w:noWrap/>
            <w:hideMark/>
          </w:tcPr>
          <w:p w14:paraId="470407FC" w14:textId="77777777" w:rsidR="00936AC6" w:rsidRDefault="00936AC6">
            <w:pPr>
              <w:jc w:val="right"/>
              <w:rPr>
                <w:noProof/>
                <w:color w:val="000000"/>
                <w:sz w:val="20"/>
                <w:szCs w:val="20"/>
              </w:rPr>
            </w:pPr>
            <w:r>
              <w:rPr>
                <w:noProof/>
                <w:color w:val="000000"/>
                <w:sz w:val="20"/>
                <w:szCs w:val="20"/>
              </w:rPr>
              <w:t>0.5</w:t>
            </w:r>
          </w:p>
        </w:tc>
      </w:tr>
      <w:tr w:rsidR="006A5634" w14:paraId="23B2493E"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71CE2A68" w14:textId="77777777" w:rsidR="00936AC6" w:rsidRDefault="00936AC6">
            <w:pPr>
              <w:rPr>
                <w:noProof/>
                <w:color w:val="000000"/>
                <w:sz w:val="20"/>
                <w:szCs w:val="20"/>
              </w:rPr>
            </w:pPr>
            <w:r>
              <w:rPr>
                <w:noProof/>
                <w:color w:val="000000"/>
                <w:sz w:val="20"/>
                <w:szCs w:val="20"/>
              </w:rPr>
              <w:t>Adjustment cost savings</w:t>
            </w:r>
          </w:p>
        </w:tc>
        <w:tc>
          <w:tcPr>
            <w:tcW w:w="506" w:type="pct"/>
            <w:tcBorders>
              <w:top w:val="nil"/>
              <w:left w:val="nil"/>
              <w:bottom w:val="single" w:sz="4" w:space="0" w:color="auto"/>
              <w:right w:val="single" w:sz="4" w:space="0" w:color="auto"/>
            </w:tcBorders>
            <w:shd w:val="clear" w:color="000000" w:fill="FFFFFF"/>
            <w:noWrap/>
            <w:hideMark/>
          </w:tcPr>
          <w:p w14:paraId="0D3DBA3E" w14:textId="77777777" w:rsidR="00936AC6" w:rsidRDefault="00936AC6">
            <w:pPr>
              <w:jc w:val="right"/>
              <w:rPr>
                <w:noProof/>
                <w:color w:val="000000"/>
                <w:sz w:val="20"/>
                <w:szCs w:val="20"/>
              </w:rPr>
            </w:pPr>
            <w:r>
              <w:rPr>
                <w:noProof/>
                <w:color w:val="000000"/>
                <w:sz w:val="20"/>
                <w:szCs w:val="20"/>
              </w:rPr>
              <w:t>13.0</w:t>
            </w:r>
          </w:p>
        </w:tc>
        <w:tc>
          <w:tcPr>
            <w:tcW w:w="506" w:type="pct"/>
            <w:tcBorders>
              <w:top w:val="nil"/>
              <w:left w:val="nil"/>
              <w:bottom w:val="single" w:sz="4" w:space="0" w:color="auto"/>
              <w:right w:val="single" w:sz="4" w:space="0" w:color="auto"/>
            </w:tcBorders>
            <w:shd w:val="clear" w:color="000000" w:fill="FFFFFF"/>
            <w:noWrap/>
            <w:hideMark/>
          </w:tcPr>
          <w:p w14:paraId="141E8F1A" w14:textId="77777777" w:rsidR="00936AC6" w:rsidRDefault="00936AC6">
            <w:pPr>
              <w:jc w:val="right"/>
              <w:rPr>
                <w:noProof/>
                <w:color w:val="000000"/>
                <w:sz w:val="20"/>
                <w:szCs w:val="20"/>
              </w:rPr>
            </w:pPr>
            <w:r>
              <w:rPr>
                <w:noProof/>
                <w:color w:val="000000"/>
                <w:sz w:val="20"/>
                <w:szCs w:val="20"/>
              </w:rPr>
              <w:t>149.0</w:t>
            </w:r>
          </w:p>
        </w:tc>
        <w:tc>
          <w:tcPr>
            <w:tcW w:w="506" w:type="pct"/>
            <w:tcBorders>
              <w:top w:val="nil"/>
              <w:left w:val="nil"/>
              <w:bottom w:val="single" w:sz="4" w:space="0" w:color="auto"/>
              <w:right w:val="single" w:sz="4" w:space="0" w:color="auto"/>
            </w:tcBorders>
            <w:shd w:val="clear" w:color="000000" w:fill="FFFFFF"/>
            <w:noWrap/>
            <w:hideMark/>
          </w:tcPr>
          <w:p w14:paraId="7364A339" w14:textId="77777777" w:rsidR="00936AC6" w:rsidRDefault="00936AC6">
            <w:pPr>
              <w:jc w:val="right"/>
              <w:rPr>
                <w:noProof/>
                <w:color w:val="000000"/>
                <w:sz w:val="20"/>
                <w:szCs w:val="20"/>
              </w:rPr>
            </w:pPr>
            <w:r>
              <w:rPr>
                <w:noProof/>
                <w:color w:val="000000"/>
                <w:sz w:val="20"/>
                <w:szCs w:val="20"/>
              </w:rPr>
              <w:t>134.0</w:t>
            </w:r>
          </w:p>
        </w:tc>
        <w:tc>
          <w:tcPr>
            <w:tcW w:w="506" w:type="pct"/>
            <w:tcBorders>
              <w:top w:val="nil"/>
              <w:left w:val="nil"/>
              <w:bottom w:val="single" w:sz="4" w:space="0" w:color="auto"/>
              <w:right w:val="single" w:sz="4" w:space="0" w:color="auto"/>
            </w:tcBorders>
            <w:shd w:val="clear" w:color="000000" w:fill="FFFFFF"/>
            <w:noWrap/>
            <w:hideMark/>
          </w:tcPr>
          <w:p w14:paraId="76D6A62F" w14:textId="77777777" w:rsidR="00936AC6" w:rsidRDefault="00936AC6">
            <w:pPr>
              <w:jc w:val="right"/>
              <w:rPr>
                <w:noProof/>
                <w:color w:val="000000"/>
                <w:sz w:val="20"/>
                <w:szCs w:val="20"/>
              </w:rPr>
            </w:pPr>
            <w:r>
              <w:rPr>
                <w:noProof/>
                <w:color w:val="000000"/>
                <w:sz w:val="20"/>
                <w:szCs w:val="20"/>
              </w:rPr>
              <w:t>142.7</w:t>
            </w:r>
          </w:p>
        </w:tc>
      </w:tr>
      <w:tr w:rsidR="006A5634" w14:paraId="6BBDD1D9"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09B0A638" w14:textId="77777777" w:rsidR="00936AC6" w:rsidRDefault="00936AC6">
            <w:pPr>
              <w:rPr>
                <w:b/>
                <w:bCs/>
                <w:noProof/>
                <w:sz w:val="20"/>
                <w:szCs w:val="20"/>
              </w:rPr>
            </w:pPr>
            <w:r>
              <w:rPr>
                <w:b/>
                <w:bCs/>
                <w:noProof/>
                <w:sz w:val="20"/>
                <w:szCs w:val="20"/>
              </w:rPr>
              <w:t>Transport operators</w:t>
            </w:r>
          </w:p>
        </w:tc>
        <w:tc>
          <w:tcPr>
            <w:tcW w:w="506" w:type="pct"/>
            <w:tcBorders>
              <w:top w:val="nil"/>
              <w:left w:val="nil"/>
              <w:bottom w:val="single" w:sz="4" w:space="0" w:color="auto"/>
              <w:right w:val="single" w:sz="4" w:space="0" w:color="auto"/>
            </w:tcBorders>
            <w:shd w:val="clear" w:color="000000" w:fill="BDE3FF"/>
            <w:hideMark/>
          </w:tcPr>
          <w:p w14:paraId="58E56BE3" w14:textId="77777777" w:rsidR="00936AC6" w:rsidRDefault="00936AC6">
            <w:pPr>
              <w:jc w:val="right"/>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7468D07C" w14:textId="77777777" w:rsidR="00936AC6" w:rsidRDefault="00936AC6">
            <w:pPr>
              <w:jc w:val="right"/>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741309E6" w14:textId="77777777" w:rsidR="00936AC6" w:rsidRDefault="00936AC6">
            <w:pPr>
              <w:jc w:val="right"/>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196FA947" w14:textId="77777777" w:rsidR="00936AC6" w:rsidRDefault="00936AC6">
            <w:pPr>
              <w:jc w:val="right"/>
              <w:rPr>
                <w:b/>
                <w:bCs/>
                <w:noProof/>
                <w:sz w:val="20"/>
                <w:szCs w:val="20"/>
              </w:rPr>
            </w:pPr>
            <w:r>
              <w:rPr>
                <w:b/>
                <w:bCs/>
                <w:noProof/>
                <w:sz w:val="20"/>
                <w:szCs w:val="20"/>
              </w:rPr>
              <w:t> </w:t>
            </w:r>
          </w:p>
        </w:tc>
      </w:tr>
      <w:tr w:rsidR="006A5634" w14:paraId="2E11A669"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6C284F7D" w14:textId="77777777" w:rsidR="00936AC6" w:rsidRDefault="00936AC6">
            <w:pPr>
              <w:rPr>
                <w:noProof/>
                <w:color w:val="000000"/>
                <w:sz w:val="20"/>
                <w:szCs w:val="20"/>
              </w:rPr>
            </w:pPr>
            <w:r>
              <w:rPr>
                <w:noProof/>
                <w:color w:val="000000"/>
                <w:sz w:val="20"/>
                <w:szCs w:val="20"/>
              </w:rPr>
              <w:t>Adjustment costs</w:t>
            </w:r>
          </w:p>
        </w:tc>
        <w:tc>
          <w:tcPr>
            <w:tcW w:w="506" w:type="pct"/>
            <w:tcBorders>
              <w:top w:val="nil"/>
              <w:left w:val="nil"/>
              <w:bottom w:val="single" w:sz="4" w:space="0" w:color="auto"/>
              <w:right w:val="single" w:sz="4" w:space="0" w:color="auto"/>
            </w:tcBorders>
            <w:shd w:val="clear" w:color="000000" w:fill="FFFFFF"/>
            <w:noWrap/>
            <w:hideMark/>
          </w:tcPr>
          <w:p w14:paraId="617E70B5" w14:textId="77777777" w:rsidR="00936AC6" w:rsidRDefault="00936AC6">
            <w:pPr>
              <w:jc w:val="right"/>
              <w:rPr>
                <w:noProof/>
                <w:color w:val="000000"/>
                <w:sz w:val="20"/>
                <w:szCs w:val="20"/>
              </w:rPr>
            </w:pPr>
            <w:r>
              <w:rPr>
                <w:noProof/>
                <w:color w:val="000000"/>
                <w:sz w:val="20"/>
                <w:szCs w:val="20"/>
              </w:rPr>
              <w:t>0.0</w:t>
            </w:r>
          </w:p>
        </w:tc>
        <w:tc>
          <w:tcPr>
            <w:tcW w:w="506" w:type="pct"/>
            <w:tcBorders>
              <w:top w:val="nil"/>
              <w:left w:val="nil"/>
              <w:bottom w:val="single" w:sz="4" w:space="0" w:color="auto"/>
              <w:right w:val="single" w:sz="4" w:space="0" w:color="auto"/>
            </w:tcBorders>
            <w:shd w:val="clear" w:color="000000" w:fill="FFFFFF"/>
            <w:noWrap/>
            <w:hideMark/>
          </w:tcPr>
          <w:p w14:paraId="4AB6CB29" w14:textId="77777777" w:rsidR="00936AC6" w:rsidRDefault="00936AC6">
            <w:pPr>
              <w:jc w:val="right"/>
              <w:rPr>
                <w:noProof/>
                <w:color w:val="000000"/>
                <w:sz w:val="20"/>
                <w:szCs w:val="20"/>
              </w:rPr>
            </w:pPr>
            <w:r>
              <w:rPr>
                <w:noProof/>
                <w:color w:val="000000"/>
                <w:sz w:val="20"/>
                <w:szCs w:val="20"/>
              </w:rPr>
              <w:t>48.2</w:t>
            </w:r>
          </w:p>
        </w:tc>
        <w:tc>
          <w:tcPr>
            <w:tcW w:w="506" w:type="pct"/>
            <w:tcBorders>
              <w:top w:val="nil"/>
              <w:left w:val="nil"/>
              <w:bottom w:val="single" w:sz="4" w:space="0" w:color="auto"/>
              <w:right w:val="single" w:sz="4" w:space="0" w:color="auto"/>
            </w:tcBorders>
            <w:shd w:val="clear" w:color="000000" w:fill="FFFFFF"/>
            <w:noWrap/>
            <w:hideMark/>
          </w:tcPr>
          <w:p w14:paraId="619CC3F3" w14:textId="77777777" w:rsidR="00936AC6" w:rsidRDefault="00936AC6">
            <w:pPr>
              <w:jc w:val="right"/>
              <w:rPr>
                <w:noProof/>
                <w:color w:val="000000"/>
                <w:sz w:val="20"/>
                <w:szCs w:val="20"/>
              </w:rPr>
            </w:pPr>
            <w:r>
              <w:rPr>
                <w:noProof/>
                <w:color w:val="000000"/>
                <w:sz w:val="20"/>
                <w:szCs w:val="20"/>
              </w:rPr>
              <w:t>42.2</w:t>
            </w:r>
          </w:p>
        </w:tc>
        <w:tc>
          <w:tcPr>
            <w:tcW w:w="506" w:type="pct"/>
            <w:tcBorders>
              <w:top w:val="nil"/>
              <w:left w:val="nil"/>
              <w:bottom w:val="single" w:sz="4" w:space="0" w:color="auto"/>
              <w:right w:val="single" w:sz="4" w:space="0" w:color="auto"/>
            </w:tcBorders>
            <w:shd w:val="clear" w:color="000000" w:fill="FFFFFF"/>
            <w:noWrap/>
            <w:hideMark/>
          </w:tcPr>
          <w:p w14:paraId="56163C3C" w14:textId="77777777" w:rsidR="00936AC6" w:rsidRDefault="00936AC6">
            <w:pPr>
              <w:jc w:val="right"/>
              <w:rPr>
                <w:noProof/>
                <w:color w:val="000000"/>
                <w:sz w:val="20"/>
                <w:szCs w:val="20"/>
              </w:rPr>
            </w:pPr>
            <w:r>
              <w:rPr>
                <w:noProof/>
                <w:color w:val="000000"/>
                <w:sz w:val="20"/>
                <w:szCs w:val="20"/>
              </w:rPr>
              <w:t>45.2</w:t>
            </w:r>
          </w:p>
        </w:tc>
      </w:tr>
      <w:tr w:rsidR="006A5634" w14:paraId="38C7F04A"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7629D119" w14:textId="77777777" w:rsidR="00936AC6" w:rsidRDefault="00936AC6">
            <w:pPr>
              <w:rPr>
                <w:noProof/>
                <w:color w:val="000000"/>
                <w:sz w:val="20"/>
                <w:szCs w:val="20"/>
              </w:rPr>
            </w:pPr>
            <w:r>
              <w:rPr>
                <w:noProof/>
                <w:color w:val="000000"/>
                <w:sz w:val="20"/>
                <w:szCs w:val="20"/>
              </w:rPr>
              <w:t>Administrative costs</w:t>
            </w:r>
          </w:p>
        </w:tc>
        <w:tc>
          <w:tcPr>
            <w:tcW w:w="506" w:type="pct"/>
            <w:tcBorders>
              <w:top w:val="nil"/>
              <w:left w:val="nil"/>
              <w:bottom w:val="single" w:sz="4" w:space="0" w:color="auto"/>
              <w:right w:val="single" w:sz="4" w:space="0" w:color="auto"/>
            </w:tcBorders>
            <w:shd w:val="clear" w:color="000000" w:fill="FFFFFF"/>
            <w:noWrap/>
            <w:hideMark/>
          </w:tcPr>
          <w:p w14:paraId="3D47ACCF" w14:textId="77777777" w:rsidR="00936AC6" w:rsidRDefault="00936AC6">
            <w:pPr>
              <w:jc w:val="right"/>
              <w:rPr>
                <w:noProof/>
                <w:color w:val="000000"/>
                <w:sz w:val="20"/>
                <w:szCs w:val="20"/>
              </w:rPr>
            </w:pPr>
            <w:r>
              <w:rPr>
                <w:noProof/>
                <w:color w:val="000000"/>
                <w:sz w:val="20"/>
                <w:szCs w:val="20"/>
              </w:rPr>
              <w:t>0.001</w:t>
            </w:r>
          </w:p>
        </w:tc>
        <w:tc>
          <w:tcPr>
            <w:tcW w:w="506" w:type="pct"/>
            <w:tcBorders>
              <w:top w:val="nil"/>
              <w:left w:val="nil"/>
              <w:bottom w:val="single" w:sz="4" w:space="0" w:color="auto"/>
              <w:right w:val="single" w:sz="4" w:space="0" w:color="auto"/>
            </w:tcBorders>
            <w:shd w:val="clear" w:color="000000" w:fill="FFFFFF"/>
            <w:noWrap/>
            <w:hideMark/>
          </w:tcPr>
          <w:p w14:paraId="01BD5D71" w14:textId="77777777" w:rsidR="00936AC6" w:rsidRDefault="00936AC6">
            <w:pPr>
              <w:jc w:val="right"/>
              <w:rPr>
                <w:noProof/>
                <w:color w:val="000000"/>
                <w:sz w:val="20"/>
                <w:szCs w:val="20"/>
              </w:rPr>
            </w:pPr>
            <w:r>
              <w:rPr>
                <w:noProof/>
                <w:color w:val="000000"/>
                <w:sz w:val="20"/>
                <w:szCs w:val="20"/>
              </w:rPr>
              <w:t>0.001</w:t>
            </w:r>
          </w:p>
        </w:tc>
        <w:tc>
          <w:tcPr>
            <w:tcW w:w="506" w:type="pct"/>
            <w:tcBorders>
              <w:top w:val="nil"/>
              <w:left w:val="nil"/>
              <w:bottom w:val="single" w:sz="4" w:space="0" w:color="auto"/>
              <w:right w:val="single" w:sz="4" w:space="0" w:color="auto"/>
            </w:tcBorders>
            <w:shd w:val="clear" w:color="000000" w:fill="FFFFFF"/>
            <w:noWrap/>
            <w:hideMark/>
          </w:tcPr>
          <w:p w14:paraId="58B65C2A" w14:textId="77777777" w:rsidR="00936AC6" w:rsidRDefault="00936AC6">
            <w:pPr>
              <w:jc w:val="right"/>
              <w:rPr>
                <w:noProof/>
                <w:color w:val="000000"/>
                <w:sz w:val="20"/>
                <w:szCs w:val="20"/>
              </w:rPr>
            </w:pPr>
            <w:r>
              <w:rPr>
                <w:noProof/>
                <w:color w:val="000000"/>
                <w:sz w:val="20"/>
                <w:szCs w:val="20"/>
              </w:rPr>
              <w:t>0.001</w:t>
            </w:r>
          </w:p>
        </w:tc>
        <w:tc>
          <w:tcPr>
            <w:tcW w:w="506" w:type="pct"/>
            <w:tcBorders>
              <w:top w:val="nil"/>
              <w:left w:val="nil"/>
              <w:bottom w:val="single" w:sz="4" w:space="0" w:color="auto"/>
              <w:right w:val="single" w:sz="4" w:space="0" w:color="auto"/>
            </w:tcBorders>
            <w:shd w:val="clear" w:color="000000" w:fill="FFFFFF"/>
            <w:noWrap/>
            <w:hideMark/>
          </w:tcPr>
          <w:p w14:paraId="66FAA63A" w14:textId="77777777" w:rsidR="00936AC6" w:rsidRDefault="00936AC6">
            <w:pPr>
              <w:jc w:val="right"/>
              <w:rPr>
                <w:noProof/>
                <w:color w:val="000000"/>
                <w:sz w:val="20"/>
                <w:szCs w:val="20"/>
              </w:rPr>
            </w:pPr>
            <w:r>
              <w:rPr>
                <w:noProof/>
                <w:color w:val="000000"/>
                <w:sz w:val="20"/>
                <w:szCs w:val="20"/>
              </w:rPr>
              <w:t>0.001</w:t>
            </w:r>
          </w:p>
        </w:tc>
      </w:tr>
      <w:tr w:rsidR="006A5634" w14:paraId="75EBB730"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695A0BF7" w14:textId="77777777" w:rsidR="00936AC6" w:rsidRDefault="00936AC6">
            <w:pPr>
              <w:rPr>
                <w:noProof/>
                <w:color w:val="000000"/>
                <w:sz w:val="20"/>
                <w:szCs w:val="20"/>
              </w:rPr>
            </w:pPr>
            <w:r>
              <w:rPr>
                <w:noProof/>
                <w:color w:val="000000"/>
                <w:sz w:val="20"/>
                <w:szCs w:val="20"/>
              </w:rPr>
              <w:t>Adjustment cost savings</w:t>
            </w:r>
          </w:p>
        </w:tc>
        <w:tc>
          <w:tcPr>
            <w:tcW w:w="506" w:type="pct"/>
            <w:tcBorders>
              <w:top w:val="nil"/>
              <w:left w:val="nil"/>
              <w:bottom w:val="single" w:sz="4" w:space="0" w:color="auto"/>
              <w:right w:val="single" w:sz="4" w:space="0" w:color="auto"/>
            </w:tcBorders>
            <w:shd w:val="clear" w:color="000000" w:fill="FFFFFF"/>
            <w:noWrap/>
            <w:hideMark/>
          </w:tcPr>
          <w:p w14:paraId="3E89EEB4" w14:textId="77777777" w:rsidR="00936AC6" w:rsidRDefault="00936AC6">
            <w:pPr>
              <w:jc w:val="right"/>
              <w:rPr>
                <w:noProof/>
                <w:color w:val="000000"/>
                <w:sz w:val="20"/>
                <w:szCs w:val="20"/>
              </w:rPr>
            </w:pPr>
            <w:r>
              <w:rPr>
                <w:noProof/>
                <w:color w:val="000000"/>
                <w:sz w:val="20"/>
                <w:szCs w:val="20"/>
              </w:rPr>
              <w:t>13.0</w:t>
            </w:r>
          </w:p>
        </w:tc>
        <w:tc>
          <w:tcPr>
            <w:tcW w:w="506" w:type="pct"/>
            <w:tcBorders>
              <w:top w:val="nil"/>
              <w:left w:val="nil"/>
              <w:bottom w:val="single" w:sz="4" w:space="0" w:color="auto"/>
              <w:right w:val="single" w:sz="4" w:space="0" w:color="auto"/>
            </w:tcBorders>
            <w:shd w:val="clear" w:color="000000" w:fill="FFFFFF"/>
            <w:noWrap/>
            <w:hideMark/>
          </w:tcPr>
          <w:p w14:paraId="4C973F6A" w14:textId="77777777" w:rsidR="00936AC6" w:rsidRDefault="00936AC6">
            <w:pPr>
              <w:jc w:val="right"/>
              <w:rPr>
                <w:noProof/>
                <w:color w:val="000000"/>
                <w:sz w:val="20"/>
                <w:szCs w:val="20"/>
              </w:rPr>
            </w:pPr>
            <w:r>
              <w:rPr>
                <w:noProof/>
                <w:color w:val="000000"/>
                <w:sz w:val="20"/>
                <w:szCs w:val="20"/>
              </w:rPr>
              <w:t>149.0</w:t>
            </w:r>
          </w:p>
        </w:tc>
        <w:tc>
          <w:tcPr>
            <w:tcW w:w="506" w:type="pct"/>
            <w:tcBorders>
              <w:top w:val="nil"/>
              <w:left w:val="nil"/>
              <w:bottom w:val="single" w:sz="4" w:space="0" w:color="auto"/>
              <w:right w:val="single" w:sz="4" w:space="0" w:color="auto"/>
            </w:tcBorders>
            <w:shd w:val="clear" w:color="000000" w:fill="FFFFFF"/>
            <w:noWrap/>
            <w:hideMark/>
          </w:tcPr>
          <w:p w14:paraId="61689F0C" w14:textId="77777777" w:rsidR="00936AC6" w:rsidRDefault="00936AC6">
            <w:pPr>
              <w:jc w:val="right"/>
              <w:rPr>
                <w:noProof/>
                <w:color w:val="000000"/>
                <w:sz w:val="20"/>
                <w:szCs w:val="20"/>
              </w:rPr>
            </w:pPr>
            <w:r>
              <w:rPr>
                <w:noProof/>
                <w:color w:val="000000"/>
                <w:sz w:val="20"/>
                <w:szCs w:val="20"/>
              </w:rPr>
              <w:t>134.0</w:t>
            </w:r>
          </w:p>
        </w:tc>
        <w:tc>
          <w:tcPr>
            <w:tcW w:w="506" w:type="pct"/>
            <w:tcBorders>
              <w:top w:val="nil"/>
              <w:left w:val="nil"/>
              <w:bottom w:val="single" w:sz="4" w:space="0" w:color="auto"/>
              <w:right w:val="single" w:sz="4" w:space="0" w:color="auto"/>
            </w:tcBorders>
            <w:shd w:val="clear" w:color="000000" w:fill="FFFFFF"/>
            <w:noWrap/>
            <w:hideMark/>
          </w:tcPr>
          <w:p w14:paraId="05AA6B86" w14:textId="77777777" w:rsidR="00936AC6" w:rsidRDefault="00936AC6">
            <w:pPr>
              <w:jc w:val="right"/>
              <w:rPr>
                <w:noProof/>
                <w:color w:val="000000"/>
                <w:sz w:val="20"/>
                <w:szCs w:val="20"/>
              </w:rPr>
            </w:pPr>
            <w:r>
              <w:rPr>
                <w:noProof/>
                <w:color w:val="000000"/>
                <w:sz w:val="20"/>
                <w:szCs w:val="20"/>
              </w:rPr>
              <w:t>142.7</w:t>
            </w:r>
          </w:p>
        </w:tc>
      </w:tr>
      <w:tr w:rsidR="006A5634" w14:paraId="4613CC7C"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6EDF9F86" w14:textId="77777777" w:rsidR="00936AC6" w:rsidRDefault="00936AC6">
            <w:pPr>
              <w:rPr>
                <w:b/>
                <w:bCs/>
                <w:noProof/>
                <w:sz w:val="20"/>
                <w:szCs w:val="20"/>
              </w:rPr>
            </w:pPr>
            <w:r>
              <w:rPr>
                <w:b/>
                <w:bCs/>
                <w:noProof/>
                <w:sz w:val="20"/>
                <w:szCs w:val="20"/>
              </w:rPr>
              <w:t>European Commission</w:t>
            </w:r>
          </w:p>
        </w:tc>
        <w:tc>
          <w:tcPr>
            <w:tcW w:w="506" w:type="pct"/>
            <w:tcBorders>
              <w:top w:val="nil"/>
              <w:left w:val="nil"/>
              <w:bottom w:val="single" w:sz="4" w:space="0" w:color="auto"/>
              <w:right w:val="single" w:sz="4" w:space="0" w:color="auto"/>
            </w:tcBorders>
            <w:shd w:val="clear" w:color="000000" w:fill="BDE3FF"/>
            <w:hideMark/>
          </w:tcPr>
          <w:p w14:paraId="13F7D7E3" w14:textId="77777777" w:rsidR="00936AC6" w:rsidRDefault="00936AC6">
            <w:pPr>
              <w:jc w:val="right"/>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2621CADA" w14:textId="77777777" w:rsidR="00936AC6" w:rsidRDefault="00936AC6">
            <w:pPr>
              <w:jc w:val="right"/>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796FC730" w14:textId="77777777" w:rsidR="00936AC6" w:rsidRDefault="00936AC6">
            <w:pPr>
              <w:jc w:val="right"/>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50396CE7" w14:textId="77777777" w:rsidR="00936AC6" w:rsidRDefault="00936AC6">
            <w:pPr>
              <w:jc w:val="right"/>
              <w:rPr>
                <w:b/>
                <w:bCs/>
                <w:noProof/>
                <w:sz w:val="20"/>
                <w:szCs w:val="20"/>
              </w:rPr>
            </w:pPr>
            <w:r>
              <w:rPr>
                <w:b/>
                <w:bCs/>
                <w:noProof/>
                <w:sz w:val="20"/>
                <w:szCs w:val="20"/>
              </w:rPr>
              <w:t> </w:t>
            </w:r>
          </w:p>
        </w:tc>
      </w:tr>
      <w:tr w:rsidR="006A5634" w14:paraId="00B29C54"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0098807A" w14:textId="77777777" w:rsidR="00936AC6" w:rsidRDefault="00936AC6">
            <w:pPr>
              <w:rPr>
                <w:noProof/>
                <w:color w:val="000000"/>
                <w:sz w:val="20"/>
                <w:szCs w:val="20"/>
              </w:rPr>
            </w:pPr>
            <w:r>
              <w:rPr>
                <w:noProof/>
                <w:color w:val="000000"/>
                <w:sz w:val="20"/>
                <w:szCs w:val="20"/>
              </w:rPr>
              <w:t>Adjustment costs</w:t>
            </w:r>
          </w:p>
        </w:tc>
        <w:tc>
          <w:tcPr>
            <w:tcW w:w="506" w:type="pct"/>
            <w:tcBorders>
              <w:top w:val="nil"/>
              <w:left w:val="nil"/>
              <w:bottom w:val="single" w:sz="4" w:space="0" w:color="auto"/>
              <w:right w:val="single" w:sz="4" w:space="0" w:color="auto"/>
            </w:tcBorders>
            <w:shd w:val="clear" w:color="000000" w:fill="FFFFFF"/>
            <w:noWrap/>
            <w:hideMark/>
          </w:tcPr>
          <w:p w14:paraId="75856A1C" w14:textId="77777777" w:rsidR="00936AC6" w:rsidRDefault="00936AC6">
            <w:pPr>
              <w:jc w:val="right"/>
              <w:rPr>
                <w:noProof/>
                <w:color w:val="000000"/>
                <w:sz w:val="20"/>
                <w:szCs w:val="20"/>
              </w:rPr>
            </w:pPr>
            <w:r>
              <w:rPr>
                <w:noProof/>
                <w:color w:val="000000"/>
                <w:sz w:val="20"/>
                <w:szCs w:val="20"/>
              </w:rPr>
              <w:t>5.3</w:t>
            </w:r>
          </w:p>
        </w:tc>
        <w:tc>
          <w:tcPr>
            <w:tcW w:w="506" w:type="pct"/>
            <w:tcBorders>
              <w:top w:val="nil"/>
              <w:left w:val="nil"/>
              <w:bottom w:val="single" w:sz="4" w:space="0" w:color="auto"/>
              <w:right w:val="single" w:sz="4" w:space="0" w:color="auto"/>
            </w:tcBorders>
            <w:shd w:val="clear" w:color="000000" w:fill="FFFFFF"/>
            <w:noWrap/>
            <w:hideMark/>
          </w:tcPr>
          <w:p w14:paraId="1A44B14E" w14:textId="77777777" w:rsidR="00936AC6" w:rsidRDefault="00936AC6">
            <w:pPr>
              <w:jc w:val="right"/>
              <w:rPr>
                <w:noProof/>
                <w:color w:val="000000"/>
                <w:sz w:val="20"/>
                <w:szCs w:val="20"/>
              </w:rPr>
            </w:pPr>
            <w:r>
              <w:rPr>
                <w:noProof/>
                <w:color w:val="000000"/>
                <w:sz w:val="20"/>
                <w:szCs w:val="20"/>
              </w:rPr>
              <w:t>5.3</w:t>
            </w:r>
          </w:p>
        </w:tc>
        <w:tc>
          <w:tcPr>
            <w:tcW w:w="506" w:type="pct"/>
            <w:tcBorders>
              <w:top w:val="nil"/>
              <w:left w:val="nil"/>
              <w:bottom w:val="single" w:sz="4" w:space="0" w:color="auto"/>
              <w:right w:val="single" w:sz="4" w:space="0" w:color="auto"/>
            </w:tcBorders>
            <w:shd w:val="clear" w:color="000000" w:fill="FFFFFF"/>
            <w:noWrap/>
            <w:hideMark/>
          </w:tcPr>
          <w:p w14:paraId="5852C963" w14:textId="77777777" w:rsidR="00936AC6" w:rsidRDefault="00936AC6">
            <w:pPr>
              <w:jc w:val="right"/>
              <w:rPr>
                <w:noProof/>
                <w:color w:val="000000"/>
                <w:sz w:val="20"/>
                <w:szCs w:val="20"/>
              </w:rPr>
            </w:pPr>
            <w:r>
              <w:rPr>
                <w:noProof/>
                <w:color w:val="000000"/>
                <w:sz w:val="20"/>
                <w:szCs w:val="20"/>
              </w:rPr>
              <w:t>5.3</w:t>
            </w:r>
          </w:p>
        </w:tc>
        <w:tc>
          <w:tcPr>
            <w:tcW w:w="506" w:type="pct"/>
            <w:tcBorders>
              <w:top w:val="nil"/>
              <w:left w:val="nil"/>
              <w:bottom w:val="single" w:sz="4" w:space="0" w:color="auto"/>
              <w:right w:val="single" w:sz="4" w:space="0" w:color="auto"/>
            </w:tcBorders>
            <w:shd w:val="clear" w:color="000000" w:fill="FFFFFF"/>
            <w:noWrap/>
            <w:hideMark/>
          </w:tcPr>
          <w:p w14:paraId="7B04C2D0" w14:textId="77777777" w:rsidR="00936AC6" w:rsidRDefault="00936AC6">
            <w:pPr>
              <w:jc w:val="right"/>
              <w:rPr>
                <w:noProof/>
                <w:color w:val="000000"/>
                <w:sz w:val="20"/>
                <w:szCs w:val="20"/>
              </w:rPr>
            </w:pPr>
            <w:r>
              <w:rPr>
                <w:noProof/>
                <w:color w:val="000000"/>
                <w:sz w:val="20"/>
                <w:szCs w:val="20"/>
              </w:rPr>
              <w:t>5.3</w:t>
            </w:r>
          </w:p>
        </w:tc>
      </w:tr>
      <w:tr w:rsidR="006A5634" w14:paraId="614D52F7"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5F23F23E" w14:textId="77777777" w:rsidR="00936AC6" w:rsidRDefault="00936AC6">
            <w:pPr>
              <w:rPr>
                <w:b/>
                <w:bCs/>
                <w:noProof/>
                <w:sz w:val="20"/>
                <w:szCs w:val="20"/>
              </w:rPr>
            </w:pPr>
            <w:r>
              <w:rPr>
                <w:b/>
                <w:bCs/>
                <w:noProof/>
                <w:sz w:val="20"/>
                <w:szCs w:val="20"/>
              </w:rPr>
              <w:t>National authorities</w:t>
            </w:r>
          </w:p>
        </w:tc>
        <w:tc>
          <w:tcPr>
            <w:tcW w:w="506" w:type="pct"/>
            <w:tcBorders>
              <w:top w:val="nil"/>
              <w:left w:val="nil"/>
              <w:bottom w:val="single" w:sz="4" w:space="0" w:color="auto"/>
              <w:right w:val="single" w:sz="4" w:space="0" w:color="auto"/>
            </w:tcBorders>
            <w:shd w:val="clear" w:color="000000" w:fill="BDE3FF"/>
            <w:hideMark/>
          </w:tcPr>
          <w:p w14:paraId="0111296B" w14:textId="77777777" w:rsidR="00936AC6" w:rsidRDefault="00936AC6">
            <w:pPr>
              <w:jc w:val="right"/>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0A6E943D" w14:textId="77777777" w:rsidR="00936AC6" w:rsidRDefault="00936AC6">
            <w:pPr>
              <w:jc w:val="right"/>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4F399BA3" w14:textId="77777777" w:rsidR="00936AC6" w:rsidRDefault="00936AC6">
            <w:pPr>
              <w:jc w:val="right"/>
              <w:rPr>
                <w:b/>
                <w:bCs/>
                <w:noProof/>
                <w:sz w:val="20"/>
                <w:szCs w:val="20"/>
              </w:rPr>
            </w:pPr>
            <w:r>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70149963" w14:textId="77777777" w:rsidR="00936AC6" w:rsidRDefault="00936AC6">
            <w:pPr>
              <w:jc w:val="right"/>
              <w:rPr>
                <w:b/>
                <w:bCs/>
                <w:noProof/>
                <w:sz w:val="20"/>
                <w:szCs w:val="20"/>
              </w:rPr>
            </w:pPr>
            <w:r>
              <w:rPr>
                <w:b/>
                <w:bCs/>
                <w:noProof/>
                <w:sz w:val="20"/>
                <w:szCs w:val="20"/>
              </w:rPr>
              <w:t> </w:t>
            </w:r>
          </w:p>
        </w:tc>
      </w:tr>
      <w:tr w:rsidR="006A5634" w14:paraId="40369DF6"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6E74AC10" w14:textId="77777777" w:rsidR="00936AC6" w:rsidRDefault="00936AC6">
            <w:pPr>
              <w:rPr>
                <w:noProof/>
                <w:color w:val="000000"/>
                <w:sz w:val="20"/>
                <w:szCs w:val="20"/>
              </w:rPr>
            </w:pPr>
            <w:r>
              <w:rPr>
                <w:noProof/>
                <w:color w:val="000000"/>
                <w:sz w:val="20"/>
                <w:szCs w:val="20"/>
              </w:rPr>
              <w:t>Enforcement cost</w:t>
            </w:r>
          </w:p>
        </w:tc>
        <w:tc>
          <w:tcPr>
            <w:tcW w:w="506" w:type="pct"/>
            <w:tcBorders>
              <w:top w:val="nil"/>
              <w:left w:val="nil"/>
              <w:bottom w:val="single" w:sz="4" w:space="0" w:color="auto"/>
              <w:right w:val="single" w:sz="4" w:space="0" w:color="auto"/>
            </w:tcBorders>
            <w:shd w:val="clear" w:color="000000" w:fill="FFFFFF"/>
            <w:noWrap/>
            <w:hideMark/>
          </w:tcPr>
          <w:p w14:paraId="0CF9D5F4" w14:textId="77777777" w:rsidR="00936AC6" w:rsidRDefault="00936AC6">
            <w:pPr>
              <w:jc w:val="right"/>
              <w:rPr>
                <w:noProof/>
                <w:color w:val="000000"/>
                <w:sz w:val="20"/>
                <w:szCs w:val="20"/>
              </w:rPr>
            </w:pPr>
            <w:r>
              <w:rPr>
                <w:noProof/>
                <w:color w:val="000000"/>
                <w:sz w:val="20"/>
                <w:szCs w:val="20"/>
              </w:rPr>
              <w:t>106.5</w:t>
            </w:r>
          </w:p>
        </w:tc>
        <w:tc>
          <w:tcPr>
            <w:tcW w:w="506" w:type="pct"/>
            <w:tcBorders>
              <w:top w:val="nil"/>
              <w:left w:val="nil"/>
              <w:bottom w:val="single" w:sz="4" w:space="0" w:color="auto"/>
              <w:right w:val="single" w:sz="4" w:space="0" w:color="auto"/>
            </w:tcBorders>
            <w:shd w:val="clear" w:color="000000" w:fill="FFFFFF"/>
            <w:noWrap/>
            <w:hideMark/>
          </w:tcPr>
          <w:p w14:paraId="6791BA18" w14:textId="77777777" w:rsidR="00936AC6" w:rsidRDefault="00936AC6">
            <w:pPr>
              <w:jc w:val="right"/>
              <w:rPr>
                <w:noProof/>
                <w:color w:val="000000"/>
                <w:sz w:val="20"/>
                <w:szCs w:val="20"/>
              </w:rPr>
            </w:pPr>
            <w:r>
              <w:rPr>
                <w:noProof/>
                <w:color w:val="000000"/>
                <w:sz w:val="20"/>
                <w:szCs w:val="20"/>
              </w:rPr>
              <w:t>106.5</w:t>
            </w:r>
          </w:p>
        </w:tc>
        <w:tc>
          <w:tcPr>
            <w:tcW w:w="506" w:type="pct"/>
            <w:tcBorders>
              <w:top w:val="nil"/>
              <w:left w:val="nil"/>
              <w:bottom w:val="single" w:sz="4" w:space="0" w:color="auto"/>
              <w:right w:val="single" w:sz="4" w:space="0" w:color="auto"/>
            </w:tcBorders>
            <w:shd w:val="clear" w:color="000000" w:fill="FFFFFF"/>
            <w:noWrap/>
            <w:hideMark/>
          </w:tcPr>
          <w:p w14:paraId="5C9D1D5C" w14:textId="77777777" w:rsidR="00936AC6" w:rsidRDefault="00936AC6">
            <w:pPr>
              <w:jc w:val="right"/>
              <w:rPr>
                <w:noProof/>
                <w:color w:val="000000"/>
                <w:sz w:val="20"/>
                <w:szCs w:val="20"/>
              </w:rPr>
            </w:pPr>
            <w:r>
              <w:rPr>
                <w:noProof/>
                <w:color w:val="000000"/>
                <w:sz w:val="20"/>
                <w:szCs w:val="20"/>
              </w:rPr>
              <w:t>106.5</w:t>
            </w:r>
          </w:p>
        </w:tc>
        <w:tc>
          <w:tcPr>
            <w:tcW w:w="506" w:type="pct"/>
            <w:tcBorders>
              <w:top w:val="nil"/>
              <w:left w:val="nil"/>
              <w:bottom w:val="single" w:sz="4" w:space="0" w:color="auto"/>
              <w:right w:val="single" w:sz="4" w:space="0" w:color="auto"/>
            </w:tcBorders>
            <w:shd w:val="clear" w:color="000000" w:fill="FFFFFF"/>
            <w:noWrap/>
            <w:hideMark/>
          </w:tcPr>
          <w:p w14:paraId="127C28D1" w14:textId="77777777" w:rsidR="00936AC6" w:rsidRDefault="00936AC6">
            <w:pPr>
              <w:jc w:val="right"/>
              <w:rPr>
                <w:noProof/>
                <w:color w:val="000000"/>
                <w:sz w:val="20"/>
                <w:szCs w:val="20"/>
              </w:rPr>
            </w:pPr>
            <w:r>
              <w:rPr>
                <w:noProof/>
                <w:color w:val="000000"/>
                <w:sz w:val="20"/>
                <w:szCs w:val="20"/>
              </w:rPr>
              <w:t>106.5</w:t>
            </w:r>
          </w:p>
        </w:tc>
      </w:tr>
      <w:tr w:rsidR="006A5634" w14:paraId="0F776971"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0A56BD83" w14:textId="77777777" w:rsidR="00936AC6" w:rsidRDefault="00936AC6">
            <w:pPr>
              <w:rPr>
                <w:noProof/>
                <w:color w:val="000000"/>
                <w:sz w:val="20"/>
                <w:szCs w:val="20"/>
              </w:rPr>
            </w:pPr>
            <w:r>
              <w:rPr>
                <w:noProof/>
                <w:color w:val="000000"/>
                <w:sz w:val="20"/>
                <w:szCs w:val="20"/>
              </w:rPr>
              <w:t>Administrative costs</w:t>
            </w:r>
          </w:p>
        </w:tc>
        <w:tc>
          <w:tcPr>
            <w:tcW w:w="506" w:type="pct"/>
            <w:tcBorders>
              <w:top w:val="nil"/>
              <w:left w:val="nil"/>
              <w:bottom w:val="single" w:sz="4" w:space="0" w:color="auto"/>
              <w:right w:val="single" w:sz="4" w:space="0" w:color="auto"/>
            </w:tcBorders>
            <w:shd w:val="clear" w:color="000000" w:fill="FFFFFF"/>
            <w:noWrap/>
            <w:hideMark/>
          </w:tcPr>
          <w:p w14:paraId="3CB10795" w14:textId="77777777" w:rsidR="00936AC6" w:rsidRDefault="00936AC6">
            <w:pPr>
              <w:jc w:val="right"/>
              <w:rPr>
                <w:noProof/>
                <w:color w:val="000000"/>
                <w:sz w:val="20"/>
                <w:szCs w:val="20"/>
              </w:rPr>
            </w:pPr>
            <w:r>
              <w:rPr>
                <w:noProof/>
                <w:color w:val="000000"/>
                <w:sz w:val="20"/>
                <w:szCs w:val="20"/>
              </w:rPr>
              <w:t>28.9</w:t>
            </w:r>
          </w:p>
        </w:tc>
        <w:tc>
          <w:tcPr>
            <w:tcW w:w="506" w:type="pct"/>
            <w:tcBorders>
              <w:top w:val="nil"/>
              <w:left w:val="nil"/>
              <w:bottom w:val="single" w:sz="4" w:space="0" w:color="auto"/>
              <w:right w:val="single" w:sz="4" w:space="0" w:color="auto"/>
            </w:tcBorders>
            <w:shd w:val="clear" w:color="000000" w:fill="FFFFFF"/>
            <w:noWrap/>
            <w:hideMark/>
          </w:tcPr>
          <w:p w14:paraId="6E7CB36C" w14:textId="77777777" w:rsidR="00936AC6" w:rsidRDefault="00936AC6">
            <w:pPr>
              <w:jc w:val="right"/>
              <w:rPr>
                <w:noProof/>
                <w:color w:val="000000"/>
                <w:sz w:val="20"/>
                <w:szCs w:val="20"/>
              </w:rPr>
            </w:pPr>
            <w:r>
              <w:rPr>
                <w:noProof/>
                <w:color w:val="000000"/>
                <w:sz w:val="20"/>
                <w:szCs w:val="20"/>
              </w:rPr>
              <w:t>28.9</w:t>
            </w:r>
          </w:p>
        </w:tc>
        <w:tc>
          <w:tcPr>
            <w:tcW w:w="506" w:type="pct"/>
            <w:tcBorders>
              <w:top w:val="nil"/>
              <w:left w:val="nil"/>
              <w:bottom w:val="single" w:sz="4" w:space="0" w:color="auto"/>
              <w:right w:val="single" w:sz="4" w:space="0" w:color="auto"/>
            </w:tcBorders>
            <w:shd w:val="clear" w:color="000000" w:fill="FFFFFF"/>
            <w:noWrap/>
            <w:hideMark/>
          </w:tcPr>
          <w:p w14:paraId="40FC1D56" w14:textId="77777777" w:rsidR="00936AC6" w:rsidRDefault="00936AC6">
            <w:pPr>
              <w:jc w:val="right"/>
              <w:rPr>
                <w:noProof/>
                <w:color w:val="000000"/>
                <w:sz w:val="20"/>
                <w:szCs w:val="20"/>
              </w:rPr>
            </w:pPr>
            <w:r>
              <w:rPr>
                <w:noProof/>
                <w:color w:val="000000"/>
                <w:sz w:val="20"/>
                <w:szCs w:val="20"/>
              </w:rPr>
              <w:t>28.9</w:t>
            </w:r>
          </w:p>
        </w:tc>
        <w:tc>
          <w:tcPr>
            <w:tcW w:w="506" w:type="pct"/>
            <w:tcBorders>
              <w:top w:val="nil"/>
              <w:left w:val="nil"/>
              <w:bottom w:val="single" w:sz="4" w:space="0" w:color="auto"/>
              <w:right w:val="single" w:sz="4" w:space="0" w:color="auto"/>
            </w:tcBorders>
            <w:shd w:val="clear" w:color="000000" w:fill="FFFFFF"/>
            <w:noWrap/>
            <w:hideMark/>
          </w:tcPr>
          <w:p w14:paraId="22FE43B0" w14:textId="77777777" w:rsidR="00936AC6" w:rsidRDefault="00936AC6">
            <w:pPr>
              <w:jc w:val="right"/>
              <w:rPr>
                <w:noProof/>
                <w:color w:val="000000"/>
                <w:sz w:val="20"/>
                <w:szCs w:val="20"/>
              </w:rPr>
            </w:pPr>
            <w:r>
              <w:rPr>
                <w:noProof/>
                <w:color w:val="000000"/>
                <w:sz w:val="20"/>
                <w:szCs w:val="20"/>
              </w:rPr>
              <w:t>28.9</w:t>
            </w:r>
          </w:p>
        </w:tc>
      </w:tr>
      <w:tr w:rsidR="006A5634" w14:paraId="37B176AD"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7314D7DC" w14:textId="77777777" w:rsidR="00936AC6" w:rsidRDefault="00936AC6">
            <w:pPr>
              <w:rPr>
                <w:b/>
                <w:bCs/>
                <w:noProof/>
                <w:sz w:val="20"/>
                <w:szCs w:val="20"/>
              </w:rPr>
            </w:pPr>
            <w:r>
              <w:rPr>
                <w:b/>
                <w:bCs/>
                <w:noProof/>
                <w:sz w:val="20"/>
                <w:szCs w:val="20"/>
              </w:rPr>
              <w:t>External cost savings</w:t>
            </w:r>
          </w:p>
        </w:tc>
        <w:tc>
          <w:tcPr>
            <w:tcW w:w="506" w:type="pct"/>
            <w:tcBorders>
              <w:top w:val="nil"/>
              <w:left w:val="nil"/>
              <w:bottom w:val="single" w:sz="4" w:space="0" w:color="auto"/>
              <w:right w:val="single" w:sz="4" w:space="0" w:color="auto"/>
            </w:tcBorders>
            <w:shd w:val="clear" w:color="000000" w:fill="BDE3FF"/>
            <w:hideMark/>
          </w:tcPr>
          <w:p w14:paraId="01A9FB87" w14:textId="77777777" w:rsidR="00936AC6" w:rsidRDefault="00936AC6">
            <w:pPr>
              <w:jc w:val="right"/>
              <w:rPr>
                <w:b/>
                <w:bCs/>
                <w:noProof/>
                <w:sz w:val="20"/>
                <w:szCs w:val="20"/>
              </w:rPr>
            </w:pPr>
            <w:r>
              <w:rPr>
                <w:b/>
                <w:bCs/>
                <w:noProof/>
                <w:sz w:val="20"/>
                <w:szCs w:val="20"/>
              </w:rPr>
              <w:t>12,685</w:t>
            </w:r>
          </w:p>
        </w:tc>
        <w:tc>
          <w:tcPr>
            <w:tcW w:w="506" w:type="pct"/>
            <w:tcBorders>
              <w:top w:val="nil"/>
              <w:left w:val="nil"/>
              <w:bottom w:val="single" w:sz="4" w:space="0" w:color="auto"/>
              <w:right w:val="single" w:sz="4" w:space="0" w:color="auto"/>
            </w:tcBorders>
            <w:shd w:val="clear" w:color="000000" w:fill="BDE3FF"/>
            <w:hideMark/>
          </w:tcPr>
          <w:p w14:paraId="71230D08" w14:textId="77777777" w:rsidR="00936AC6" w:rsidRDefault="00936AC6">
            <w:pPr>
              <w:jc w:val="right"/>
              <w:rPr>
                <w:b/>
                <w:bCs/>
                <w:noProof/>
                <w:sz w:val="20"/>
                <w:szCs w:val="20"/>
              </w:rPr>
            </w:pPr>
            <w:r>
              <w:rPr>
                <w:b/>
                <w:bCs/>
                <w:noProof/>
                <w:sz w:val="20"/>
                <w:szCs w:val="20"/>
              </w:rPr>
              <w:t>25,820</w:t>
            </w:r>
          </w:p>
        </w:tc>
        <w:tc>
          <w:tcPr>
            <w:tcW w:w="506" w:type="pct"/>
            <w:tcBorders>
              <w:top w:val="nil"/>
              <w:left w:val="nil"/>
              <w:bottom w:val="single" w:sz="4" w:space="0" w:color="auto"/>
              <w:right w:val="single" w:sz="4" w:space="0" w:color="auto"/>
            </w:tcBorders>
            <w:shd w:val="clear" w:color="000000" w:fill="BDE3FF"/>
            <w:hideMark/>
          </w:tcPr>
          <w:p w14:paraId="68B7E570" w14:textId="77777777" w:rsidR="00936AC6" w:rsidRDefault="00936AC6">
            <w:pPr>
              <w:jc w:val="right"/>
              <w:rPr>
                <w:b/>
                <w:bCs/>
                <w:noProof/>
                <w:sz w:val="20"/>
                <w:szCs w:val="20"/>
              </w:rPr>
            </w:pPr>
            <w:r>
              <w:rPr>
                <w:b/>
                <w:bCs/>
                <w:noProof/>
                <w:sz w:val="20"/>
                <w:szCs w:val="20"/>
              </w:rPr>
              <w:t>37,329</w:t>
            </w:r>
          </w:p>
        </w:tc>
        <w:tc>
          <w:tcPr>
            <w:tcW w:w="506" w:type="pct"/>
            <w:tcBorders>
              <w:top w:val="nil"/>
              <w:left w:val="nil"/>
              <w:bottom w:val="single" w:sz="4" w:space="0" w:color="auto"/>
              <w:right w:val="single" w:sz="4" w:space="0" w:color="auto"/>
            </w:tcBorders>
            <w:shd w:val="clear" w:color="000000" w:fill="BDE3FF"/>
            <w:hideMark/>
          </w:tcPr>
          <w:p w14:paraId="71E9F6E4" w14:textId="77777777" w:rsidR="00936AC6" w:rsidRDefault="00936AC6">
            <w:pPr>
              <w:jc w:val="right"/>
              <w:rPr>
                <w:b/>
                <w:bCs/>
                <w:noProof/>
                <w:sz w:val="20"/>
                <w:szCs w:val="20"/>
              </w:rPr>
            </w:pPr>
            <w:r>
              <w:rPr>
                <w:b/>
                <w:bCs/>
                <w:noProof/>
                <w:sz w:val="20"/>
                <w:szCs w:val="20"/>
              </w:rPr>
              <w:t>28,644</w:t>
            </w:r>
          </w:p>
        </w:tc>
      </w:tr>
      <w:tr w:rsidR="006A5634" w14:paraId="20DEF3E4"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2E22896A" w14:textId="77777777" w:rsidR="00936AC6" w:rsidRDefault="00936AC6">
            <w:pPr>
              <w:rPr>
                <w:noProof/>
                <w:color w:val="000000"/>
                <w:sz w:val="20"/>
                <w:szCs w:val="20"/>
              </w:rPr>
            </w:pPr>
            <w:r>
              <w:rPr>
                <w:noProof/>
                <w:color w:val="000000"/>
                <w:sz w:val="20"/>
                <w:szCs w:val="20"/>
              </w:rPr>
              <w:t>CO</w:t>
            </w:r>
            <w:r w:rsidRPr="006A5634">
              <w:rPr>
                <w:noProof/>
                <w:color w:val="000000"/>
                <w:sz w:val="20"/>
                <w:szCs w:val="20"/>
                <w:vertAlign w:val="subscript"/>
              </w:rPr>
              <w:t>2</w:t>
            </w:r>
            <w:r>
              <w:rPr>
                <w:noProof/>
                <w:color w:val="000000"/>
                <w:sz w:val="20"/>
                <w:szCs w:val="20"/>
              </w:rPr>
              <w:t xml:space="preserve"> emissions</w:t>
            </w:r>
          </w:p>
        </w:tc>
        <w:tc>
          <w:tcPr>
            <w:tcW w:w="506" w:type="pct"/>
            <w:tcBorders>
              <w:top w:val="nil"/>
              <w:left w:val="nil"/>
              <w:bottom w:val="single" w:sz="4" w:space="0" w:color="auto"/>
              <w:right w:val="single" w:sz="4" w:space="0" w:color="auto"/>
            </w:tcBorders>
            <w:shd w:val="clear" w:color="000000" w:fill="FFFFFF"/>
            <w:noWrap/>
            <w:hideMark/>
          </w:tcPr>
          <w:p w14:paraId="7DFE74AE" w14:textId="77777777" w:rsidR="00936AC6" w:rsidRDefault="00936AC6">
            <w:pPr>
              <w:jc w:val="right"/>
              <w:rPr>
                <w:noProof/>
                <w:color w:val="000000"/>
                <w:sz w:val="20"/>
                <w:szCs w:val="20"/>
              </w:rPr>
            </w:pPr>
            <w:r>
              <w:rPr>
                <w:noProof/>
                <w:color w:val="000000"/>
                <w:sz w:val="20"/>
                <w:szCs w:val="20"/>
              </w:rPr>
              <w:t>2,367</w:t>
            </w:r>
          </w:p>
        </w:tc>
        <w:tc>
          <w:tcPr>
            <w:tcW w:w="506" w:type="pct"/>
            <w:tcBorders>
              <w:top w:val="nil"/>
              <w:left w:val="nil"/>
              <w:bottom w:val="single" w:sz="4" w:space="0" w:color="auto"/>
              <w:right w:val="single" w:sz="4" w:space="0" w:color="auto"/>
            </w:tcBorders>
            <w:shd w:val="clear" w:color="000000" w:fill="FFFFFF"/>
            <w:noWrap/>
            <w:hideMark/>
          </w:tcPr>
          <w:p w14:paraId="25CF3ADD" w14:textId="77777777" w:rsidR="00936AC6" w:rsidRDefault="00936AC6">
            <w:pPr>
              <w:jc w:val="right"/>
              <w:rPr>
                <w:noProof/>
                <w:color w:val="000000"/>
                <w:sz w:val="20"/>
                <w:szCs w:val="20"/>
              </w:rPr>
            </w:pPr>
            <w:r>
              <w:rPr>
                <w:noProof/>
                <w:color w:val="000000"/>
                <w:sz w:val="20"/>
                <w:szCs w:val="20"/>
              </w:rPr>
              <w:t>4,696</w:t>
            </w:r>
          </w:p>
        </w:tc>
        <w:tc>
          <w:tcPr>
            <w:tcW w:w="506" w:type="pct"/>
            <w:tcBorders>
              <w:top w:val="nil"/>
              <w:left w:val="nil"/>
              <w:bottom w:val="single" w:sz="4" w:space="0" w:color="auto"/>
              <w:right w:val="single" w:sz="4" w:space="0" w:color="auto"/>
            </w:tcBorders>
            <w:shd w:val="clear" w:color="000000" w:fill="FFFFFF"/>
            <w:noWrap/>
            <w:hideMark/>
          </w:tcPr>
          <w:p w14:paraId="1A11E94F" w14:textId="77777777" w:rsidR="00936AC6" w:rsidRDefault="00936AC6">
            <w:pPr>
              <w:jc w:val="right"/>
              <w:rPr>
                <w:noProof/>
                <w:color w:val="000000"/>
                <w:sz w:val="20"/>
                <w:szCs w:val="20"/>
              </w:rPr>
            </w:pPr>
            <w:r>
              <w:rPr>
                <w:noProof/>
                <w:color w:val="000000"/>
                <w:sz w:val="20"/>
                <w:szCs w:val="20"/>
              </w:rPr>
              <w:t>6,778</w:t>
            </w:r>
          </w:p>
        </w:tc>
        <w:tc>
          <w:tcPr>
            <w:tcW w:w="506" w:type="pct"/>
            <w:tcBorders>
              <w:top w:val="nil"/>
              <w:left w:val="nil"/>
              <w:bottom w:val="single" w:sz="4" w:space="0" w:color="auto"/>
              <w:right w:val="single" w:sz="4" w:space="0" w:color="auto"/>
            </w:tcBorders>
            <w:shd w:val="clear" w:color="000000" w:fill="FFFFFF"/>
            <w:noWrap/>
            <w:hideMark/>
          </w:tcPr>
          <w:p w14:paraId="3C3037F1" w14:textId="77777777" w:rsidR="00936AC6" w:rsidRDefault="00936AC6">
            <w:pPr>
              <w:jc w:val="right"/>
              <w:rPr>
                <w:noProof/>
                <w:color w:val="000000"/>
                <w:sz w:val="20"/>
                <w:szCs w:val="20"/>
              </w:rPr>
            </w:pPr>
            <w:r>
              <w:rPr>
                <w:noProof/>
                <w:color w:val="000000"/>
                <w:sz w:val="20"/>
                <w:szCs w:val="20"/>
              </w:rPr>
              <w:t>5,176</w:t>
            </w:r>
          </w:p>
        </w:tc>
      </w:tr>
      <w:tr w:rsidR="006A5634" w14:paraId="421CF71A"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243F356A" w14:textId="77777777" w:rsidR="00936AC6" w:rsidRDefault="00936AC6">
            <w:pPr>
              <w:rPr>
                <w:noProof/>
                <w:color w:val="000000"/>
                <w:sz w:val="20"/>
                <w:szCs w:val="20"/>
              </w:rPr>
            </w:pPr>
            <w:r>
              <w:rPr>
                <w:noProof/>
                <w:color w:val="000000"/>
                <w:sz w:val="20"/>
                <w:szCs w:val="20"/>
              </w:rPr>
              <w:t>Air pollutants</w:t>
            </w:r>
          </w:p>
        </w:tc>
        <w:tc>
          <w:tcPr>
            <w:tcW w:w="506" w:type="pct"/>
            <w:tcBorders>
              <w:top w:val="nil"/>
              <w:left w:val="nil"/>
              <w:bottom w:val="single" w:sz="4" w:space="0" w:color="auto"/>
              <w:right w:val="single" w:sz="4" w:space="0" w:color="auto"/>
            </w:tcBorders>
            <w:shd w:val="clear" w:color="000000" w:fill="FFFFFF"/>
            <w:noWrap/>
            <w:hideMark/>
          </w:tcPr>
          <w:p w14:paraId="27F0F734" w14:textId="77777777" w:rsidR="00936AC6" w:rsidRDefault="00936AC6">
            <w:pPr>
              <w:jc w:val="right"/>
              <w:rPr>
                <w:noProof/>
                <w:color w:val="000000"/>
                <w:sz w:val="20"/>
                <w:szCs w:val="20"/>
              </w:rPr>
            </w:pPr>
            <w:r>
              <w:rPr>
                <w:noProof/>
                <w:color w:val="000000"/>
                <w:sz w:val="20"/>
                <w:szCs w:val="20"/>
              </w:rPr>
              <w:t>218</w:t>
            </w:r>
          </w:p>
        </w:tc>
        <w:tc>
          <w:tcPr>
            <w:tcW w:w="506" w:type="pct"/>
            <w:tcBorders>
              <w:top w:val="nil"/>
              <w:left w:val="nil"/>
              <w:bottom w:val="single" w:sz="4" w:space="0" w:color="auto"/>
              <w:right w:val="single" w:sz="4" w:space="0" w:color="auto"/>
            </w:tcBorders>
            <w:shd w:val="clear" w:color="000000" w:fill="FFFFFF"/>
            <w:noWrap/>
            <w:hideMark/>
          </w:tcPr>
          <w:p w14:paraId="62485B9B" w14:textId="77777777" w:rsidR="00936AC6" w:rsidRDefault="00936AC6">
            <w:pPr>
              <w:jc w:val="right"/>
              <w:rPr>
                <w:noProof/>
                <w:color w:val="000000"/>
                <w:sz w:val="20"/>
                <w:szCs w:val="20"/>
              </w:rPr>
            </w:pPr>
            <w:r>
              <w:rPr>
                <w:noProof/>
                <w:color w:val="000000"/>
                <w:sz w:val="20"/>
                <w:szCs w:val="20"/>
              </w:rPr>
              <w:t>455</w:t>
            </w:r>
          </w:p>
        </w:tc>
        <w:tc>
          <w:tcPr>
            <w:tcW w:w="506" w:type="pct"/>
            <w:tcBorders>
              <w:top w:val="nil"/>
              <w:left w:val="nil"/>
              <w:bottom w:val="single" w:sz="4" w:space="0" w:color="auto"/>
              <w:right w:val="single" w:sz="4" w:space="0" w:color="auto"/>
            </w:tcBorders>
            <w:shd w:val="clear" w:color="000000" w:fill="FFFFFF"/>
            <w:noWrap/>
            <w:hideMark/>
          </w:tcPr>
          <w:p w14:paraId="0CEF41B9" w14:textId="77777777" w:rsidR="00936AC6" w:rsidRDefault="00936AC6">
            <w:pPr>
              <w:jc w:val="right"/>
              <w:rPr>
                <w:noProof/>
                <w:color w:val="000000"/>
                <w:sz w:val="20"/>
                <w:szCs w:val="20"/>
              </w:rPr>
            </w:pPr>
            <w:r>
              <w:rPr>
                <w:noProof/>
                <w:color w:val="000000"/>
                <w:sz w:val="20"/>
                <w:szCs w:val="20"/>
              </w:rPr>
              <w:t>670</w:t>
            </w:r>
          </w:p>
        </w:tc>
        <w:tc>
          <w:tcPr>
            <w:tcW w:w="506" w:type="pct"/>
            <w:tcBorders>
              <w:top w:val="nil"/>
              <w:left w:val="nil"/>
              <w:bottom w:val="single" w:sz="4" w:space="0" w:color="auto"/>
              <w:right w:val="single" w:sz="4" w:space="0" w:color="auto"/>
            </w:tcBorders>
            <w:shd w:val="clear" w:color="000000" w:fill="FFFFFF"/>
            <w:noWrap/>
            <w:hideMark/>
          </w:tcPr>
          <w:p w14:paraId="51B905B6" w14:textId="77777777" w:rsidR="00936AC6" w:rsidRDefault="00936AC6">
            <w:pPr>
              <w:jc w:val="right"/>
              <w:rPr>
                <w:noProof/>
                <w:color w:val="000000"/>
                <w:sz w:val="20"/>
                <w:szCs w:val="20"/>
              </w:rPr>
            </w:pPr>
            <w:r>
              <w:rPr>
                <w:noProof/>
                <w:color w:val="000000"/>
                <w:sz w:val="20"/>
                <w:szCs w:val="20"/>
              </w:rPr>
              <w:t>502</w:t>
            </w:r>
          </w:p>
        </w:tc>
      </w:tr>
      <w:tr w:rsidR="006A5634" w14:paraId="6DEEE714"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6C406E12" w14:textId="77777777" w:rsidR="00936AC6" w:rsidRDefault="00936AC6">
            <w:pPr>
              <w:rPr>
                <w:noProof/>
                <w:color w:val="000000"/>
                <w:sz w:val="20"/>
                <w:szCs w:val="20"/>
              </w:rPr>
            </w:pPr>
            <w:r>
              <w:rPr>
                <w:noProof/>
                <w:color w:val="000000"/>
                <w:sz w:val="20"/>
                <w:szCs w:val="20"/>
              </w:rPr>
              <w:t>Fatalities and injuries</w:t>
            </w:r>
          </w:p>
        </w:tc>
        <w:tc>
          <w:tcPr>
            <w:tcW w:w="506" w:type="pct"/>
            <w:tcBorders>
              <w:top w:val="nil"/>
              <w:left w:val="nil"/>
              <w:bottom w:val="single" w:sz="4" w:space="0" w:color="auto"/>
              <w:right w:val="single" w:sz="4" w:space="0" w:color="auto"/>
            </w:tcBorders>
            <w:shd w:val="clear" w:color="000000" w:fill="FFFFFF"/>
            <w:noWrap/>
            <w:hideMark/>
          </w:tcPr>
          <w:p w14:paraId="7ECB8945" w14:textId="77777777" w:rsidR="00936AC6" w:rsidRDefault="00936AC6">
            <w:pPr>
              <w:jc w:val="right"/>
              <w:rPr>
                <w:noProof/>
                <w:color w:val="000000"/>
                <w:sz w:val="20"/>
                <w:szCs w:val="20"/>
              </w:rPr>
            </w:pPr>
            <w:r>
              <w:rPr>
                <w:noProof/>
                <w:color w:val="000000"/>
                <w:sz w:val="20"/>
                <w:szCs w:val="20"/>
              </w:rPr>
              <w:t>7,606</w:t>
            </w:r>
          </w:p>
        </w:tc>
        <w:tc>
          <w:tcPr>
            <w:tcW w:w="506" w:type="pct"/>
            <w:tcBorders>
              <w:top w:val="nil"/>
              <w:left w:val="nil"/>
              <w:bottom w:val="single" w:sz="4" w:space="0" w:color="auto"/>
              <w:right w:val="single" w:sz="4" w:space="0" w:color="auto"/>
            </w:tcBorders>
            <w:shd w:val="clear" w:color="000000" w:fill="FFFFFF"/>
            <w:noWrap/>
            <w:hideMark/>
          </w:tcPr>
          <w:p w14:paraId="615E0916" w14:textId="77777777" w:rsidR="00936AC6" w:rsidRDefault="00936AC6">
            <w:pPr>
              <w:jc w:val="right"/>
              <w:rPr>
                <w:noProof/>
                <w:color w:val="000000"/>
                <w:sz w:val="20"/>
                <w:szCs w:val="20"/>
              </w:rPr>
            </w:pPr>
            <w:r>
              <w:rPr>
                <w:noProof/>
                <w:color w:val="000000"/>
                <w:sz w:val="20"/>
                <w:szCs w:val="20"/>
              </w:rPr>
              <w:t>14,807</w:t>
            </w:r>
          </w:p>
        </w:tc>
        <w:tc>
          <w:tcPr>
            <w:tcW w:w="506" w:type="pct"/>
            <w:tcBorders>
              <w:top w:val="nil"/>
              <w:left w:val="nil"/>
              <w:bottom w:val="single" w:sz="4" w:space="0" w:color="auto"/>
              <w:right w:val="single" w:sz="4" w:space="0" w:color="auto"/>
            </w:tcBorders>
            <w:shd w:val="clear" w:color="000000" w:fill="FFFFFF"/>
            <w:noWrap/>
            <w:hideMark/>
          </w:tcPr>
          <w:p w14:paraId="6F8F75EB" w14:textId="77777777" w:rsidR="00936AC6" w:rsidRDefault="00936AC6">
            <w:pPr>
              <w:jc w:val="right"/>
              <w:rPr>
                <w:noProof/>
                <w:color w:val="000000"/>
                <w:sz w:val="20"/>
                <w:szCs w:val="20"/>
              </w:rPr>
            </w:pPr>
            <w:r>
              <w:rPr>
                <w:noProof/>
                <w:color w:val="000000"/>
                <w:sz w:val="20"/>
                <w:szCs w:val="20"/>
              </w:rPr>
              <w:t>21,297</w:t>
            </w:r>
          </w:p>
        </w:tc>
        <w:tc>
          <w:tcPr>
            <w:tcW w:w="506" w:type="pct"/>
            <w:tcBorders>
              <w:top w:val="nil"/>
              <w:left w:val="nil"/>
              <w:bottom w:val="single" w:sz="4" w:space="0" w:color="auto"/>
              <w:right w:val="single" w:sz="4" w:space="0" w:color="auto"/>
            </w:tcBorders>
            <w:shd w:val="clear" w:color="000000" w:fill="FFFFFF"/>
            <w:noWrap/>
            <w:hideMark/>
          </w:tcPr>
          <w:p w14:paraId="6DABABE8" w14:textId="77777777" w:rsidR="00936AC6" w:rsidRDefault="00936AC6">
            <w:pPr>
              <w:jc w:val="right"/>
              <w:rPr>
                <w:noProof/>
                <w:color w:val="000000"/>
                <w:sz w:val="20"/>
                <w:szCs w:val="20"/>
              </w:rPr>
            </w:pPr>
            <w:r>
              <w:rPr>
                <w:noProof/>
                <w:color w:val="000000"/>
                <w:sz w:val="20"/>
                <w:szCs w:val="20"/>
              </w:rPr>
              <w:t>16,470</w:t>
            </w:r>
          </w:p>
        </w:tc>
      </w:tr>
      <w:tr w:rsidR="006A5634" w14:paraId="4B6E2A22"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0123D797" w14:textId="77777777" w:rsidR="00936AC6" w:rsidRDefault="00936AC6">
            <w:pPr>
              <w:rPr>
                <w:noProof/>
                <w:color w:val="000000"/>
                <w:sz w:val="20"/>
                <w:szCs w:val="20"/>
              </w:rPr>
            </w:pPr>
            <w:r>
              <w:rPr>
                <w:noProof/>
                <w:color w:val="000000"/>
                <w:sz w:val="20"/>
                <w:szCs w:val="20"/>
              </w:rPr>
              <w:t>Road congestion</w:t>
            </w:r>
          </w:p>
        </w:tc>
        <w:tc>
          <w:tcPr>
            <w:tcW w:w="506" w:type="pct"/>
            <w:tcBorders>
              <w:top w:val="nil"/>
              <w:left w:val="nil"/>
              <w:bottom w:val="single" w:sz="4" w:space="0" w:color="auto"/>
              <w:right w:val="single" w:sz="4" w:space="0" w:color="auto"/>
            </w:tcBorders>
            <w:shd w:val="clear" w:color="000000" w:fill="FFFFFF"/>
            <w:noWrap/>
            <w:hideMark/>
          </w:tcPr>
          <w:p w14:paraId="57126FEE" w14:textId="77777777" w:rsidR="00936AC6" w:rsidRDefault="00936AC6">
            <w:pPr>
              <w:jc w:val="right"/>
              <w:rPr>
                <w:noProof/>
                <w:color w:val="000000"/>
                <w:sz w:val="20"/>
                <w:szCs w:val="20"/>
              </w:rPr>
            </w:pPr>
            <w:r>
              <w:rPr>
                <w:noProof/>
                <w:color w:val="000000"/>
                <w:sz w:val="20"/>
                <w:szCs w:val="20"/>
              </w:rPr>
              <w:t>1,758</w:t>
            </w:r>
          </w:p>
        </w:tc>
        <w:tc>
          <w:tcPr>
            <w:tcW w:w="506" w:type="pct"/>
            <w:tcBorders>
              <w:top w:val="nil"/>
              <w:left w:val="nil"/>
              <w:bottom w:val="single" w:sz="4" w:space="0" w:color="auto"/>
              <w:right w:val="single" w:sz="4" w:space="0" w:color="auto"/>
            </w:tcBorders>
            <w:shd w:val="clear" w:color="000000" w:fill="FFFFFF"/>
            <w:noWrap/>
            <w:hideMark/>
          </w:tcPr>
          <w:p w14:paraId="795CE084" w14:textId="77777777" w:rsidR="00936AC6" w:rsidRDefault="00936AC6">
            <w:pPr>
              <w:jc w:val="right"/>
              <w:rPr>
                <w:noProof/>
                <w:color w:val="000000"/>
                <w:sz w:val="20"/>
                <w:szCs w:val="20"/>
              </w:rPr>
            </w:pPr>
            <w:r>
              <w:rPr>
                <w:noProof/>
                <w:color w:val="000000"/>
                <w:sz w:val="20"/>
                <w:szCs w:val="20"/>
              </w:rPr>
              <w:t>4,352</w:t>
            </w:r>
          </w:p>
        </w:tc>
        <w:tc>
          <w:tcPr>
            <w:tcW w:w="506" w:type="pct"/>
            <w:tcBorders>
              <w:top w:val="nil"/>
              <w:left w:val="nil"/>
              <w:bottom w:val="single" w:sz="4" w:space="0" w:color="auto"/>
              <w:right w:val="single" w:sz="4" w:space="0" w:color="auto"/>
            </w:tcBorders>
            <w:shd w:val="clear" w:color="000000" w:fill="FFFFFF"/>
            <w:noWrap/>
            <w:hideMark/>
          </w:tcPr>
          <w:p w14:paraId="7B1E1233" w14:textId="77777777" w:rsidR="00936AC6" w:rsidRDefault="00936AC6">
            <w:pPr>
              <w:jc w:val="right"/>
              <w:rPr>
                <w:noProof/>
                <w:color w:val="000000"/>
                <w:sz w:val="20"/>
                <w:szCs w:val="20"/>
              </w:rPr>
            </w:pPr>
            <w:r>
              <w:rPr>
                <w:noProof/>
                <w:color w:val="000000"/>
                <w:sz w:val="20"/>
                <w:szCs w:val="20"/>
              </w:rPr>
              <w:t>6,438</w:t>
            </w:r>
          </w:p>
        </w:tc>
        <w:tc>
          <w:tcPr>
            <w:tcW w:w="506" w:type="pct"/>
            <w:tcBorders>
              <w:top w:val="nil"/>
              <w:left w:val="nil"/>
              <w:bottom w:val="single" w:sz="4" w:space="0" w:color="auto"/>
              <w:right w:val="single" w:sz="4" w:space="0" w:color="auto"/>
            </w:tcBorders>
            <w:shd w:val="clear" w:color="000000" w:fill="FFFFFF"/>
            <w:noWrap/>
            <w:hideMark/>
          </w:tcPr>
          <w:p w14:paraId="4BAD1E3F" w14:textId="77777777" w:rsidR="00936AC6" w:rsidRDefault="00936AC6">
            <w:pPr>
              <w:jc w:val="right"/>
              <w:rPr>
                <w:noProof/>
                <w:color w:val="000000"/>
                <w:sz w:val="20"/>
                <w:szCs w:val="20"/>
              </w:rPr>
            </w:pPr>
            <w:r>
              <w:rPr>
                <w:noProof/>
                <w:color w:val="000000"/>
                <w:sz w:val="20"/>
                <w:szCs w:val="20"/>
              </w:rPr>
              <w:t>4,833</w:t>
            </w:r>
          </w:p>
        </w:tc>
      </w:tr>
      <w:tr w:rsidR="006A5634" w14:paraId="4AACDCD1"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FFFFF"/>
            <w:noWrap/>
            <w:hideMark/>
          </w:tcPr>
          <w:p w14:paraId="5C532C9F" w14:textId="77777777" w:rsidR="00936AC6" w:rsidRDefault="00936AC6">
            <w:pPr>
              <w:rPr>
                <w:noProof/>
                <w:color w:val="000000"/>
                <w:sz w:val="20"/>
                <w:szCs w:val="20"/>
              </w:rPr>
            </w:pPr>
            <w:r>
              <w:rPr>
                <w:noProof/>
                <w:color w:val="000000"/>
                <w:sz w:val="20"/>
                <w:szCs w:val="20"/>
              </w:rPr>
              <w:t>Noise</w:t>
            </w:r>
          </w:p>
        </w:tc>
        <w:tc>
          <w:tcPr>
            <w:tcW w:w="506" w:type="pct"/>
            <w:tcBorders>
              <w:top w:val="nil"/>
              <w:left w:val="nil"/>
              <w:bottom w:val="single" w:sz="4" w:space="0" w:color="auto"/>
              <w:right w:val="single" w:sz="4" w:space="0" w:color="auto"/>
            </w:tcBorders>
            <w:shd w:val="clear" w:color="000000" w:fill="FFFFFF"/>
            <w:noWrap/>
            <w:hideMark/>
          </w:tcPr>
          <w:p w14:paraId="7DE3BA88" w14:textId="77777777" w:rsidR="00936AC6" w:rsidRDefault="00936AC6">
            <w:pPr>
              <w:jc w:val="right"/>
              <w:rPr>
                <w:noProof/>
                <w:color w:val="000000"/>
                <w:sz w:val="20"/>
                <w:szCs w:val="20"/>
              </w:rPr>
            </w:pPr>
            <w:r>
              <w:rPr>
                <w:noProof/>
                <w:color w:val="000000"/>
                <w:sz w:val="20"/>
                <w:szCs w:val="20"/>
              </w:rPr>
              <w:t>735</w:t>
            </w:r>
          </w:p>
        </w:tc>
        <w:tc>
          <w:tcPr>
            <w:tcW w:w="506" w:type="pct"/>
            <w:tcBorders>
              <w:top w:val="nil"/>
              <w:left w:val="nil"/>
              <w:bottom w:val="single" w:sz="4" w:space="0" w:color="auto"/>
              <w:right w:val="single" w:sz="4" w:space="0" w:color="auto"/>
            </w:tcBorders>
            <w:shd w:val="clear" w:color="000000" w:fill="FFFFFF"/>
            <w:noWrap/>
            <w:hideMark/>
          </w:tcPr>
          <w:p w14:paraId="2477ED64" w14:textId="77777777" w:rsidR="00936AC6" w:rsidRDefault="00936AC6">
            <w:pPr>
              <w:jc w:val="right"/>
              <w:rPr>
                <w:noProof/>
                <w:color w:val="000000"/>
                <w:sz w:val="20"/>
                <w:szCs w:val="20"/>
              </w:rPr>
            </w:pPr>
            <w:r>
              <w:rPr>
                <w:noProof/>
                <w:color w:val="000000"/>
                <w:sz w:val="20"/>
                <w:szCs w:val="20"/>
              </w:rPr>
              <w:t>1,509</w:t>
            </w:r>
          </w:p>
        </w:tc>
        <w:tc>
          <w:tcPr>
            <w:tcW w:w="506" w:type="pct"/>
            <w:tcBorders>
              <w:top w:val="nil"/>
              <w:left w:val="nil"/>
              <w:bottom w:val="single" w:sz="4" w:space="0" w:color="auto"/>
              <w:right w:val="single" w:sz="4" w:space="0" w:color="auto"/>
            </w:tcBorders>
            <w:shd w:val="clear" w:color="000000" w:fill="FFFFFF"/>
            <w:noWrap/>
            <w:hideMark/>
          </w:tcPr>
          <w:p w14:paraId="27DAE414" w14:textId="77777777" w:rsidR="00936AC6" w:rsidRDefault="00936AC6">
            <w:pPr>
              <w:jc w:val="right"/>
              <w:rPr>
                <w:noProof/>
                <w:color w:val="000000"/>
                <w:sz w:val="20"/>
                <w:szCs w:val="20"/>
              </w:rPr>
            </w:pPr>
            <w:r>
              <w:rPr>
                <w:noProof/>
                <w:color w:val="000000"/>
                <w:sz w:val="20"/>
                <w:szCs w:val="20"/>
              </w:rPr>
              <w:t>2,146</w:t>
            </w:r>
          </w:p>
        </w:tc>
        <w:tc>
          <w:tcPr>
            <w:tcW w:w="506" w:type="pct"/>
            <w:tcBorders>
              <w:top w:val="nil"/>
              <w:left w:val="nil"/>
              <w:bottom w:val="single" w:sz="4" w:space="0" w:color="auto"/>
              <w:right w:val="single" w:sz="4" w:space="0" w:color="auto"/>
            </w:tcBorders>
            <w:shd w:val="clear" w:color="000000" w:fill="FFFFFF"/>
            <w:noWrap/>
            <w:hideMark/>
          </w:tcPr>
          <w:p w14:paraId="136CA970" w14:textId="77777777" w:rsidR="00936AC6" w:rsidRDefault="00936AC6">
            <w:pPr>
              <w:jc w:val="right"/>
              <w:rPr>
                <w:noProof/>
                <w:color w:val="000000"/>
                <w:sz w:val="20"/>
                <w:szCs w:val="20"/>
              </w:rPr>
            </w:pPr>
            <w:r>
              <w:rPr>
                <w:noProof/>
                <w:color w:val="000000"/>
                <w:sz w:val="20"/>
                <w:szCs w:val="20"/>
              </w:rPr>
              <w:t>1,663</w:t>
            </w:r>
          </w:p>
        </w:tc>
      </w:tr>
      <w:tr w:rsidR="006A5634" w14:paraId="5A52702B"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2F2F2"/>
            <w:noWrap/>
            <w:hideMark/>
          </w:tcPr>
          <w:p w14:paraId="64A0216E" w14:textId="77777777" w:rsidR="00936AC6" w:rsidRDefault="00936AC6">
            <w:pPr>
              <w:rPr>
                <w:b/>
                <w:bCs/>
                <w:noProof/>
                <w:color w:val="000000"/>
                <w:sz w:val="20"/>
                <w:szCs w:val="20"/>
              </w:rPr>
            </w:pPr>
            <w:r>
              <w:rPr>
                <w:b/>
                <w:bCs/>
                <w:noProof/>
                <w:color w:val="000000"/>
                <w:sz w:val="20"/>
                <w:szCs w:val="20"/>
              </w:rPr>
              <w:t>Total costs</w:t>
            </w:r>
          </w:p>
        </w:tc>
        <w:tc>
          <w:tcPr>
            <w:tcW w:w="506" w:type="pct"/>
            <w:tcBorders>
              <w:top w:val="nil"/>
              <w:left w:val="nil"/>
              <w:bottom w:val="single" w:sz="4" w:space="0" w:color="auto"/>
              <w:right w:val="single" w:sz="4" w:space="0" w:color="auto"/>
            </w:tcBorders>
            <w:shd w:val="clear" w:color="000000" w:fill="F2F2F2"/>
            <w:noWrap/>
            <w:hideMark/>
          </w:tcPr>
          <w:p w14:paraId="6E2F5B30" w14:textId="77777777" w:rsidR="00936AC6" w:rsidRDefault="00936AC6">
            <w:pPr>
              <w:jc w:val="right"/>
              <w:rPr>
                <w:b/>
                <w:bCs/>
                <w:noProof/>
                <w:color w:val="000000"/>
                <w:sz w:val="20"/>
                <w:szCs w:val="20"/>
              </w:rPr>
            </w:pPr>
            <w:r>
              <w:rPr>
                <w:b/>
                <w:bCs/>
                <w:noProof/>
                <w:color w:val="000000"/>
                <w:sz w:val="20"/>
                <w:szCs w:val="20"/>
              </w:rPr>
              <w:t>234</w:t>
            </w:r>
          </w:p>
        </w:tc>
        <w:tc>
          <w:tcPr>
            <w:tcW w:w="506" w:type="pct"/>
            <w:tcBorders>
              <w:top w:val="nil"/>
              <w:left w:val="nil"/>
              <w:bottom w:val="single" w:sz="4" w:space="0" w:color="auto"/>
              <w:right w:val="single" w:sz="4" w:space="0" w:color="auto"/>
            </w:tcBorders>
            <w:shd w:val="clear" w:color="000000" w:fill="F2F2F2"/>
            <w:noWrap/>
            <w:hideMark/>
          </w:tcPr>
          <w:p w14:paraId="29CA45A9" w14:textId="77777777" w:rsidR="00936AC6" w:rsidRDefault="00936AC6">
            <w:pPr>
              <w:jc w:val="right"/>
              <w:rPr>
                <w:b/>
                <w:bCs/>
                <w:noProof/>
                <w:color w:val="000000"/>
                <w:sz w:val="20"/>
                <w:szCs w:val="20"/>
              </w:rPr>
            </w:pPr>
            <w:r>
              <w:rPr>
                <w:b/>
                <w:bCs/>
                <w:noProof/>
                <w:color w:val="000000"/>
                <w:sz w:val="20"/>
                <w:szCs w:val="20"/>
              </w:rPr>
              <w:t>317</w:t>
            </w:r>
          </w:p>
        </w:tc>
        <w:tc>
          <w:tcPr>
            <w:tcW w:w="506" w:type="pct"/>
            <w:tcBorders>
              <w:top w:val="nil"/>
              <w:left w:val="nil"/>
              <w:bottom w:val="single" w:sz="4" w:space="0" w:color="auto"/>
              <w:right w:val="single" w:sz="4" w:space="0" w:color="auto"/>
            </w:tcBorders>
            <w:shd w:val="clear" w:color="000000" w:fill="F2F2F2"/>
            <w:noWrap/>
            <w:hideMark/>
          </w:tcPr>
          <w:p w14:paraId="4FDF3CBC" w14:textId="77777777" w:rsidR="00936AC6" w:rsidRDefault="00936AC6">
            <w:pPr>
              <w:jc w:val="right"/>
              <w:rPr>
                <w:b/>
                <w:bCs/>
                <w:noProof/>
                <w:color w:val="000000"/>
                <w:sz w:val="20"/>
                <w:szCs w:val="20"/>
              </w:rPr>
            </w:pPr>
            <w:r>
              <w:rPr>
                <w:b/>
                <w:bCs/>
                <w:noProof/>
                <w:color w:val="000000"/>
                <w:sz w:val="20"/>
                <w:szCs w:val="20"/>
              </w:rPr>
              <w:t>306</w:t>
            </w:r>
          </w:p>
        </w:tc>
        <w:tc>
          <w:tcPr>
            <w:tcW w:w="506" w:type="pct"/>
            <w:tcBorders>
              <w:top w:val="nil"/>
              <w:left w:val="nil"/>
              <w:bottom w:val="single" w:sz="4" w:space="0" w:color="auto"/>
              <w:right w:val="single" w:sz="4" w:space="0" w:color="auto"/>
            </w:tcBorders>
            <w:shd w:val="clear" w:color="000000" w:fill="F2F2F2"/>
            <w:noWrap/>
            <w:hideMark/>
          </w:tcPr>
          <w:p w14:paraId="4229D80E" w14:textId="77777777" w:rsidR="00936AC6" w:rsidRDefault="00936AC6">
            <w:pPr>
              <w:jc w:val="right"/>
              <w:rPr>
                <w:b/>
                <w:bCs/>
                <w:noProof/>
                <w:color w:val="000000"/>
                <w:sz w:val="20"/>
                <w:szCs w:val="20"/>
              </w:rPr>
            </w:pPr>
            <w:r>
              <w:rPr>
                <w:b/>
                <w:bCs/>
                <w:noProof/>
                <w:color w:val="000000"/>
                <w:sz w:val="20"/>
                <w:szCs w:val="20"/>
              </w:rPr>
              <w:t>469</w:t>
            </w:r>
          </w:p>
        </w:tc>
      </w:tr>
      <w:tr w:rsidR="006A5634" w14:paraId="058D9435"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2F2F2"/>
            <w:noWrap/>
            <w:hideMark/>
          </w:tcPr>
          <w:p w14:paraId="27A60EB8" w14:textId="77777777" w:rsidR="00936AC6" w:rsidRDefault="00936AC6">
            <w:pPr>
              <w:rPr>
                <w:b/>
                <w:bCs/>
                <w:noProof/>
                <w:color w:val="000000"/>
                <w:sz w:val="20"/>
                <w:szCs w:val="20"/>
              </w:rPr>
            </w:pPr>
            <w:r>
              <w:rPr>
                <w:b/>
                <w:bCs/>
                <w:noProof/>
                <w:color w:val="000000"/>
                <w:sz w:val="20"/>
                <w:szCs w:val="20"/>
              </w:rPr>
              <w:t>Total benefits</w:t>
            </w:r>
          </w:p>
        </w:tc>
        <w:tc>
          <w:tcPr>
            <w:tcW w:w="506" w:type="pct"/>
            <w:tcBorders>
              <w:top w:val="nil"/>
              <w:left w:val="nil"/>
              <w:bottom w:val="single" w:sz="4" w:space="0" w:color="auto"/>
              <w:right w:val="single" w:sz="4" w:space="0" w:color="auto"/>
            </w:tcBorders>
            <w:shd w:val="clear" w:color="000000" w:fill="F2F2F2"/>
            <w:noWrap/>
            <w:hideMark/>
          </w:tcPr>
          <w:p w14:paraId="288F6E4E" w14:textId="77777777" w:rsidR="00936AC6" w:rsidRDefault="00936AC6">
            <w:pPr>
              <w:jc w:val="right"/>
              <w:rPr>
                <w:b/>
                <w:bCs/>
                <w:noProof/>
                <w:color w:val="000000"/>
                <w:sz w:val="20"/>
                <w:szCs w:val="20"/>
              </w:rPr>
            </w:pPr>
            <w:r>
              <w:rPr>
                <w:b/>
                <w:bCs/>
                <w:noProof/>
                <w:color w:val="000000"/>
                <w:sz w:val="20"/>
                <w:szCs w:val="20"/>
              </w:rPr>
              <w:t>12,711</w:t>
            </w:r>
          </w:p>
        </w:tc>
        <w:tc>
          <w:tcPr>
            <w:tcW w:w="506" w:type="pct"/>
            <w:tcBorders>
              <w:top w:val="nil"/>
              <w:left w:val="nil"/>
              <w:bottom w:val="single" w:sz="4" w:space="0" w:color="auto"/>
              <w:right w:val="single" w:sz="4" w:space="0" w:color="auto"/>
            </w:tcBorders>
            <w:shd w:val="clear" w:color="000000" w:fill="F2F2F2"/>
            <w:noWrap/>
            <w:hideMark/>
          </w:tcPr>
          <w:p w14:paraId="2187686D" w14:textId="77777777" w:rsidR="00936AC6" w:rsidRDefault="00936AC6">
            <w:pPr>
              <w:jc w:val="right"/>
              <w:rPr>
                <w:b/>
                <w:bCs/>
                <w:noProof/>
                <w:color w:val="000000"/>
                <w:sz w:val="20"/>
                <w:szCs w:val="20"/>
              </w:rPr>
            </w:pPr>
            <w:r>
              <w:rPr>
                <w:b/>
                <w:bCs/>
                <w:noProof/>
                <w:color w:val="000000"/>
                <w:sz w:val="20"/>
                <w:szCs w:val="20"/>
              </w:rPr>
              <w:t>26,118</w:t>
            </w:r>
          </w:p>
        </w:tc>
        <w:tc>
          <w:tcPr>
            <w:tcW w:w="506" w:type="pct"/>
            <w:tcBorders>
              <w:top w:val="nil"/>
              <w:left w:val="nil"/>
              <w:bottom w:val="single" w:sz="4" w:space="0" w:color="auto"/>
              <w:right w:val="single" w:sz="4" w:space="0" w:color="auto"/>
            </w:tcBorders>
            <w:shd w:val="clear" w:color="000000" w:fill="F2F2F2"/>
            <w:noWrap/>
            <w:hideMark/>
          </w:tcPr>
          <w:p w14:paraId="62BDD904" w14:textId="77777777" w:rsidR="00936AC6" w:rsidRDefault="00936AC6">
            <w:pPr>
              <w:jc w:val="right"/>
              <w:rPr>
                <w:b/>
                <w:bCs/>
                <w:noProof/>
                <w:color w:val="000000"/>
                <w:sz w:val="20"/>
                <w:szCs w:val="20"/>
              </w:rPr>
            </w:pPr>
            <w:r>
              <w:rPr>
                <w:b/>
                <w:bCs/>
                <w:noProof/>
                <w:color w:val="000000"/>
                <w:sz w:val="20"/>
                <w:szCs w:val="20"/>
              </w:rPr>
              <w:t>37,597</w:t>
            </w:r>
          </w:p>
        </w:tc>
        <w:tc>
          <w:tcPr>
            <w:tcW w:w="506" w:type="pct"/>
            <w:tcBorders>
              <w:top w:val="nil"/>
              <w:left w:val="nil"/>
              <w:bottom w:val="single" w:sz="4" w:space="0" w:color="auto"/>
              <w:right w:val="single" w:sz="4" w:space="0" w:color="auto"/>
            </w:tcBorders>
            <w:shd w:val="clear" w:color="000000" w:fill="F2F2F2"/>
            <w:noWrap/>
            <w:hideMark/>
          </w:tcPr>
          <w:p w14:paraId="283B49DE" w14:textId="77777777" w:rsidR="00936AC6" w:rsidRDefault="00936AC6">
            <w:pPr>
              <w:jc w:val="right"/>
              <w:rPr>
                <w:b/>
                <w:bCs/>
                <w:noProof/>
                <w:color w:val="000000"/>
                <w:sz w:val="20"/>
                <w:szCs w:val="20"/>
              </w:rPr>
            </w:pPr>
            <w:r>
              <w:rPr>
                <w:b/>
                <w:bCs/>
                <w:noProof/>
                <w:color w:val="000000"/>
                <w:sz w:val="20"/>
                <w:szCs w:val="20"/>
              </w:rPr>
              <w:t>28,930</w:t>
            </w:r>
          </w:p>
        </w:tc>
      </w:tr>
      <w:tr w:rsidR="006A5634" w14:paraId="42E56FF2"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F2F2F2"/>
            <w:noWrap/>
            <w:hideMark/>
          </w:tcPr>
          <w:p w14:paraId="237B5E77" w14:textId="77777777" w:rsidR="00936AC6" w:rsidRDefault="00936AC6">
            <w:pPr>
              <w:rPr>
                <w:b/>
                <w:bCs/>
                <w:noProof/>
                <w:color w:val="000000"/>
                <w:sz w:val="20"/>
                <w:szCs w:val="20"/>
              </w:rPr>
            </w:pPr>
            <w:r>
              <w:rPr>
                <w:b/>
                <w:bCs/>
                <w:noProof/>
                <w:color w:val="000000"/>
                <w:sz w:val="20"/>
                <w:szCs w:val="20"/>
              </w:rPr>
              <w:t>Net benefits</w:t>
            </w:r>
          </w:p>
        </w:tc>
        <w:tc>
          <w:tcPr>
            <w:tcW w:w="506" w:type="pct"/>
            <w:tcBorders>
              <w:top w:val="nil"/>
              <w:left w:val="nil"/>
              <w:bottom w:val="single" w:sz="4" w:space="0" w:color="auto"/>
              <w:right w:val="single" w:sz="4" w:space="0" w:color="auto"/>
            </w:tcBorders>
            <w:shd w:val="clear" w:color="000000" w:fill="F2F2F2"/>
            <w:noWrap/>
            <w:hideMark/>
          </w:tcPr>
          <w:p w14:paraId="4EE3D153" w14:textId="77777777" w:rsidR="00936AC6" w:rsidRDefault="00936AC6">
            <w:pPr>
              <w:jc w:val="right"/>
              <w:rPr>
                <w:b/>
                <w:bCs/>
                <w:noProof/>
                <w:color w:val="000000"/>
                <w:sz w:val="20"/>
                <w:szCs w:val="20"/>
              </w:rPr>
            </w:pPr>
            <w:r>
              <w:rPr>
                <w:b/>
                <w:bCs/>
                <w:noProof/>
                <w:color w:val="000000"/>
                <w:sz w:val="20"/>
                <w:szCs w:val="20"/>
              </w:rPr>
              <w:t>12,477</w:t>
            </w:r>
          </w:p>
        </w:tc>
        <w:tc>
          <w:tcPr>
            <w:tcW w:w="506" w:type="pct"/>
            <w:tcBorders>
              <w:top w:val="nil"/>
              <w:left w:val="nil"/>
              <w:bottom w:val="single" w:sz="4" w:space="0" w:color="auto"/>
              <w:right w:val="single" w:sz="4" w:space="0" w:color="auto"/>
            </w:tcBorders>
            <w:shd w:val="clear" w:color="000000" w:fill="F2F2F2"/>
            <w:noWrap/>
            <w:hideMark/>
          </w:tcPr>
          <w:p w14:paraId="14E22BAE" w14:textId="77777777" w:rsidR="00936AC6" w:rsidRDefault="00936AC6">
            <w:pPr>
              <w:jc w:val="right"/>
              <w:rPr>
                <w:b/>
                <w:bCs/>
                <w:noProof/>
                <w:color w:val="000000"/>
                <w:sz w:val="20"/>
                <w:szCs w:val="20"/>
              </w:rPr>
            </w:pPr>
            <w:r>
              <w:rPr>
                <w:b/>
                <w:bCs/>
                <w:noProof/>
                <w:color w:val="000000"/>
                <w:sz w:val="20"/>
                <w:szCs w:val="20"/>
              </w:rPr>
              <w:t>25,801</w:t>
            </w:r>
          </w:p>
        </w:tc>
        <w:tc>
          <w:tcPr>
            <w:tcW w:w="506" w:type="pct"/>
            <w:tcBorders>
              <w:top w:val="nil"/>
              <w:left w:val="nil"/>
              <w:bottom w:val="single" w:sz="4" w:space="0" w:color="auto"/>
              <w:right w:val="single" w:sz="4" w:space="0" w:color="auto"/>
            </w:tcBorders>
            <w:shd w:val="clear" w:color="000000" w:fill="F2F2F2"/>
            <w:noWrap/>
            <w:hideMark/>
          </w:tcPr>
          <w:p w14:paraId="43B27379" w14:textId="77777777" w:rsidR="00936AC6" w:rsidRDefault="00936AC6">
            <w:pPr>
              <w:jc w:val="right"/>
              <w:rPr>
                <w:b/>
                <w:bCs/>
                <w:noProof/>
                <w:color w:val="000000"/>
                <w:sz w:val="20"/>
                <w:szCs w:val="20"/>
              </w:rPr>
            </w:pPr>
            <w:r>
              <w:rPr>
                <w:b/>
                <w:bCs/>
                <w:noProof/>
                <w:color w:val="000000"/>
                <w:sz w:val="20"/>
                <w:szCs w:val="20"/>
              </w:rPr>
              <w:t>37,291</w:t>
            </w:r>
          </w:p>
        </w:tc>
        <w:tc>
          <w:tcPr>
            <w:tcW w:w="506" w:type="pct"/>
            <w:tcBorders>
              <w:top w:val="nil"/>
              <w:left w:val="nil"/>
              <w:bottom w:val="single" w:sz="4" w:space="0" w:color="auto"/>
              <w:right w:val="single" w:sz="4" w:space="0" w:color="auto"/>
            </w:tcBorders>
            <w:shd w:val="clear" w:color="000000" w:fill="F2F2F2"/>
            <w:noWrap/>
            <w:hideMark/>
          </w:tcPr>
          <w:p w14:paraId="3004CAD1" w14:textId="77777777" w:rsidR="00936AC6" w:rsidRDefault="00936AC6">
            <w:pPr>
              <w:jc w:val="right"/>
              <w:rPr>
                <w:b/>
                <w:bCs/>
                <w:noProof/>
                <w:color w:val="000000"/>
                <w:sz w:val="20"/>
                <w:szCs w:val="20"/>
              </w:rPr>
            </w:pPr>
            <w:r>
              <w:rPr>
                <w:b/>
                <w:bCs/>
                <w:noProof/>
                <w:color w:val="000000"/>
                <w:sz w:val="20"/>
                <w:szCs w:val="20"/>
              </w:rPr>
              <w:t>28,461</w:t>
            </w:r>
          </w:p>
        </w:tc>
      </w:tr>
      <w:tr w:rsidR="006A5634" w14:paraId="25911D02" w14:textId="77777777" w:rsidTr="006A5634">
        <w:trPr>
          <w:trHeight w:val="255"/>
        </w:trPr>
        <w:tc>
          <w:tcPr>
            <w:tcW w:w="2975" w:type="pct"/>
            <w:tcBorders>
              <w:top w:val="nil"/>
              <w:left w:val="single" w:sz="4" w:space="0" w:color="auto"/>
              <w:bottom w:val="single" w:sz="4" w:space="0" w:color="auto"/>
              <w:right w:val="single" w:sz="4" w:space="0" w:color="auto"/>
            </w:tcBorders>
            <w:shd w:val="clear" w:color="000000" w:fill="D9D9D9"/>
            <w:noWrap/>
            <w:hideMark/>
          </w:tcPr>
          <w:p w14:paraId="77045D58" w14:textId="77777777" w:rsidR="00936AC6" w:rsidRDefault="00936AC6">
            <w:pPr>
              <w:rPr>
                <w:b/>
                <w:bCs/>
                <w:noProof/>
                <w:color w:val="000000"/>
                <w:sz w:val="20"/>
                <w:szCs w:val="20"/>
              </w:rPr>
            </w:pPr>
            <w:r>
              <w:rPr>
                <w:b/>
                <w:bCs/>
                <w:noProof/>
                <w:color w:val="000000"/>
                <w:sz w:val="20"/>
                <w:szCs w:val="20"/>
              </w:rPr>
              <w:t>Benefits to costs ratio</w:t>
            </w:r>
          </w:p>
        </w:tc>
        <w:tc>
          <w:tcPr>
            <w:tcW w:w="506" w:type="pct"/>
            <w:tcBorders>
              <w:top w:val="nil"/>
              <w:left w:val="nil"/>
              <w:bottom w:val="single" w:sz="4" w:space="0" w:color="auto"/>
              <w:right w:val="single" w:sz="4" w:space="0" w:color="auto"/>
            </w:tcBorders>
            <w:shd w:val="clear" w:color="000000" w:fill="D9D9D9"/>
            <w:noWrap/>
            <w:hideMark/>
          </w:tcPr>
          <w:p w14:paraId="7D7DEF47" w14:textId="77777777" w:rsidR="00936AC6" w:rsidRDefault="00936AC6">
            <w:pPr>
              <w:jc w:val="right"/>
              <w:rPr>
                <w:b/>
                <w:bCs/>
                <w:noProof/>
                <w:color w:val="000000"/>
                <w:sz w:val="20"/>
                <w:szCs w:val="20"/>
              </w:rPr>
            </w:pPr>
            <w:r>
              <w:rPr>
                <w:b/>
                <w:bCs/>
                <w:noProof/>
                <w:color w:val="000000"/>
                <w:sz w:val="20"/>
                <w:szCs w:val="20"/>
              </w:rPr>
              <w:t>54</w:t>
            </w:r>
          </w:p>
        </w:tc>
        <w:tc>
          <w:tcPr>
            <w:tcW w:w="506" w:type="pct"/>
            <w:tcBorders>
              <w:top w:val="nil"/>
              <w:left w:val="nil"/>
              <w:bottom w:val="single" w:sz="4" w:space="0" w:color="auto"/>
              <w:right w:val="single" w:sz="4" w:space="0" w:color="auto"/>
            </w:tcBorders>
            <w:shd w:val="clear" w:color="000000" w:fill="D9D9D9"/>
            <w:noWrap/>
            <w:hideMark/>
          </w:tcPr>
          <w:p w14:paraId="63516FCD" w14:textId="77777777" w:rsidR="00936AC6" w:rsidRDefault="00936AC6">
            <w:pPr>
              <w:jc w:val="right"/>
              <w:rPr>
                <w:b/>
                <w:bCs/>
                <w:noProof/>
                <w:color w:val="000000"/>
                <w:sz w:val="20"/>
                <w:szCs w:val="20"/>
              </w:rPr>
            </w:pPr>
            <w:r>
              <w:rPr>
                <w:b/>
                <w:bCs/>
                <w:noProof/>
                <w:color w:val="000000"/>
                <w:sz w:val="20"/>
                <w:szCs w:val="20"/>
              </w:rPr>
              <w:t>82</w:t>
            </w:r>
          </w:p>
        </w:tc>
        <w:tc>
          <w:tcPr>
            <w:tcW w:w="506" w:type="pct"/>
            <w:tcBorders>
              <w:top w:val="nil"/>
              <w:left w:val="nil"/>
              <w:bottom w:val="single" w:sz="4" w:space="0" w:color="auto"/>
              <w:right w:val="single" w:sz="4" w:space="0" w:color="auto"/>
            </w:tcBorders>
            <w:shd w:val="clear" w:color="000000" w:fill="D9D9D9"/>
            <w:noWrap/>
            <w:hideMark/>
          </w:tcPr>
          <w:p w14:paraId="463AF2CC" w14:textId="77777777" w:rsidR="00936AC6" w:rsidRDefault="00936AC6">
            <w:pPr>
              <w:jc w:val="right"/>
              <w:rPr>
                <w:b/>
                <w:bCs/>
                <w:noProof/>
                <w:color w:val="000000"/>
                <w:sz w:val="20"/>
                <w:szCs w:val="20"/>
              </w:rPr>
            </w:pPr>
            <w:r>
              <w:rPr>
                <w:b/>
                <w:bCs/>
                <w:noProof/>
                <w:color w:val="000000"/>
                <w:sz w:val="20"/>
                <w:szCs w:val="20"/>
              </w:rPr>
              <w:t>123</w:t>
            </w:r>
          </w:p>
        </w:tc>
        <w:tc>
          <w:tcPr>
            <w:tcW w:w="506" w:type="pct"/>
            <w:tcBorders>
              <w:top w:val="nil"/>
              <w:left w:val="nil"/>
              <w:bottom w:val="single" w:sz="4" w:space="0" w:color="auto"/>
              <w:right w:val="single" w:sz="4" w:space="0" w:color="auto"/>
            </w:tcBorders>
            <w:shd w:val="clear" w:color="000000" w:fill="D9D9D9"/>
            <w:noWrap/>
            <w:hideMark/>
          </w:tcPr>
          <w:p w14:paraId="5E816874" w14:textId="77777777" w:rsidR="00936AC6" w:rsidRDefault="00936AC6">
            <w:pPr>
              <w:jc w:val="right"/>
              <w:rPr>
                <w:b/>
                <w:bCs/>
                <w:noProof/>
                <w:color w:val="000000"/>
                <w:sz w:val="20"/>
                <w:szCs w:val="20"/>
              </w:rPr>
            </w:pPr>
            <w:r>
              <w:rPr>
                <w:b/>
                <w:bCs/>
                <w:noProof/>
                <w:color w:val="000000"/>
                <w:sz w:val="20"/>
                <w:szCs w:val="20"/>
              </w:rPr>
              <w:t>62</w:t>
            </w:r>
          </w:p>
        </w:tc>
      </w:tr>
    </w:tbl>
    <w:p w14:paraId="30344E09" w14:textId="64B8F8CD" w:rsidR="00494B11" w:rsidRPr="00B739E8" w:rsidRDefault="005546B8" w:rsidP="001E1515">
      <w:pPr>
        <w:tabs>
          <w:tab w:val="left" w:pos="2302"/>
        </w:tabs>
        <w:spacing w:after="240"/>
        <w:jc w:val="both"/>
        <w:rPr>
          <w:b/>
          <w:noProof/>
          <w:spacing w:val="-6"/>
        </w:rPr>
      </w:pPr>
      <w:r w:rsidRPr="00FB0A72">
        <w:rPr>
          <w:i/>
          <w:iCs/>
          <w:noProof/>
          <w:spacing w:val="-8"/>
          <w:sz w:val="20"/>
          <w:szCs w:val="20"/>
        </w:rPr>
        <w:t xml:space="preserve">Source: </w:t>
      </w:r>
      <w:r w:rsidRPr="00FB0A72">
        <w:rPr>
          <w:i/>
          <w:iCs/>
          <w:noProof/>
          <w:sz w:val="20"/>
          <w:szCs w:val="20"/>
        </w:rPr>
        <w:t xml:space="preserve">Ricardo et al. (2026), Impact assessment support </w:t>
      </w:r>
      <w:r>
        <w:rPr>
          <w:i/>
          <w:iCs/>
          <w:noProof/>
          <w:sz w:val="20"/>
          <w:szCs w:val="20"/>
        </w:rPr>
        <w:t>study</w:t>
      </w:r>
    </w:p>
    <w:p w14:paraId="03B224F8" w14:textId="406E6873" w:rsidR="004B48F1" w:rsidRPr="00D71008" w:rsidRDefault="003C4819" w:rsidP="006E3FA1">
      <w:pPr>
        <w:pStyle w:val="Heading2"/>
        <w:keepNext/>
        <w:numPr>
          <w:ilvl w:val="1"/>
          <w:numId w:val="11"/>
        </w:numPr>
        <w:tabs>
          <w:tab w:val="left" w:pos="709"/>
        </w:tabs>
        <w:spacing w:before="240" w:after="240"/>
        <w:ind w:left="1134" w:hanging="708"/>
        <w:rPr>
          <w:noProof/>
        </w:rPr>
      </w:pPr>
      <w:bookmarkStart w:id="213" w:name="_Toc220667506"/>
      <w:bookmarkStart w:id="214" w:name="_Toc223979988"/>
      <w:r w:rsidRPr="00D71008">
        <w:rPr>
          <w:noProof/>
        </w:rPr>
        <w:t>Coherence</w:t>
      </w:r>
      <w:bookmarkEnd w:id="213"/>
      <w:bookmarkEnd w:id="214"/>
    </w:p>
    <w:p w14:paraId="129EDD80" w14:textId="0A840D63" w:rsidR="00D15D32" w:rsidRPr="007365F5" w:rsidRDefault="00A50CF5" w:rsidP="00D15D32">
      <w:pPr>
        <w:spacing w:after="240"/>
        <w:jc w:val="both"/>
        <w:rPr>
          <w:noProof/>
          <w:spacing w:val="-8"/>
        </w:rPr>
      </w:pPr>
      <w:r w:rsidRPr="007365F5">
        <w:rPr>
          <w:b/>
          <w:noProof/>
          <w:spacing w:val="-8"/>
        </w:rPr>
        <w:t>Internal coherence</w:t>
      </w:r>
      <w:r w:rsidRPr="007365F5">
        <w:rPr>
          <w:noProof/>
          <w:spacing w:val="-8"/>
        </w:rPr>
        <w:t xml:space="preserve"> assesses how various elements of the policy options function together to achieve the objectives. </w:t>
      </w:r>
      <w:r w:rsidR="00404DFB" w:rsidRPr="00404DFB">
        <w:rPr>
          <w:noProof/>
          <w:spacing w:val="-8"/>
        </w:rPr>
        <w:t>All policy options</w:t>
      </w:r>
      <w:r w:rsidRPr="00404DFB">
        <w:rPr>
          <w:noProof/>
          <w:spacing w:val="-8"/>
        </w:rPr>
        <w:t xml:space="preserve"> address the identified </w:t>
      </w:r>
      <w:r w:rsidR="00404DFB" w:rsidRPr="00404DFB">
        <w:rPr>
          <w:noProof/>
          <w:spacing w:val="-8"/>
        </w:rPr>
        <w:t>specific objectives and</w:t>
      </w:r>
      <w:r w:rsidR="00404DFB">
        <w:rPr>
          <w:noProof/>
          <w:spacing w:val="-8"/>
        </w:rPr>
        <w:t xml:space="preserve"> </w:t>
      </w:r>
      <w:r w:rsidR="00404DFB" w:rsidRPr="00404DFB">
        <w:rPr>
          <w:noProof/>
          <w:spacing w:val="-8"/>
        </w:rPr>
        <w:t xml:space="preserve">underlying problem drivers and ensure internal coherence. </w:t>
      </w:r>
      <w:r w:rsidR="005242D2">
        <w:rPr>
          <w:noProof/>
          <w:spacing w:val="-8"/>
        </w:rPr>
        <w:t>T</w:t>
      </w:r>
      <w:r w:rsidRPr="007365F5">
        <w:rPr>
          <w:noProof/>
          <w:spacing w:val="-8"/>
        </w:rPr>
        <w:t>hey do so</w:t>
      </w:r>
      <w:r>
        <w:rPr>
          <w:noProof/>
          <w:spacing w:val="-8"/>
        </w:rPr>
        <w:t xml:space="preserve"> </w:t>
      </w:r>
      <w:r w:rsidR="005242D2">
        <w:rPr>
          <w:noProof/>
          <w:spacing w:val="-8"/>
        </w:rPr>
        <w:t>however</w:t>
      </w:r>
      <w:r w:rsidRPr="007365F5">
        <w:rPr>
          <w:noProof/>
          <w:spacing w:val="-8"/>
        </w:rPr>
        <w:t xml:space="preserve"> </w:t>
      </w:r>
      <w:r w:rsidR="00AB5E0B" w:rsidRPr="007365F5">
        <w:rPr>
          <w:noProof/>
          <w:spacing w:val="-8"/>
        </w:rPr>
        <w:t>to</w:t>
      </w:r>
      <w:r w:rsidRPr="007365F5">
        <w:rPr>
          <w:noProof/>
          <w:spacing w:val="-8"/>
        </w:rPr>
        <w:t xml:space="preserve"> a different </w:t>
      </w:r>
      <w:r w:rsidR="00CE14FC" w:rsidRPr="007365F5">
        <w:rPr>
          <w:noProof/>
          <w:spacing w:val="-8"/>
        </w:rPr>
        <w:t>extent</w:t>
      </w:r>
      <w:r w:rsidRPr="007365F5">
        <w:rPr>
          <w:noProof/>
          <w:spacing w:val="-8"/>
        </w:rPr>
        <w:t xml:space="preserve">, and </w:t>
      </w:r>
      <w:r w:rsidR="00CE14FC" w:rsidRPr="007365F5">
        <w:rPr>
          <w:noProof/>
          <w:spacing w:val="-8"/>
        </w:rPr>
        <w:t xml:space="preserve">via various </w:t>
      </w:r>
      <w:r w:rsidRPr="007365F5">
        <w:rPr>
          <w:noProof/>
          <w:spacing w:val="-8"/>
        </w:rPr>
        <w:t>level</w:t>
      </w:r>
      <w:r w:rsidR="008F27B3" w:rsidRPr="007365F5">
        <w:rPr>
          <w:noProof/>
          <w:spacing w:val="-8"/>
        </w:rPr>
        <w:t>s</w:t>
      </w:r>
      <w:r w:rsidRPr="007365F5">
        <w:rPr>
          <w:noProof/>
          <w:spacing w:val="-8"/>
        </w:rPr>
        <w:t xml:space="preserve"> of intervention. PO1 leaves more flexibility </w:t>
      </w:r>
      <w:r w:rsidR="00257C5A" w:rsidRPr="007365F5">
        <w:rPr>
          <w:noProof/>
          <w:spacing w:val="-8"/>
        </w:rPr>
        <w:t>but still includes</w:t>
      </w:r>
      <w:r w:rsidRPr="007365F5">
        <w:rPr>
          <w:noProof/>
          <w:spacing w:val="-8"/>
        </w:rPr>
        <w:t xml:space="preserve"> </w:t>
      </w:r>
      <w:r w:rsidR="00144478" w:rsidRPr="007365F5">
        <w:rPr>
          <w:noProof/>
          <w:spacing w:val="-8"/>
        </w:rPr>
        <w:t xml:space="preserve">measures to ensure fair and neutral display of data, </w:t>
      </w:r>
      <w:r w:rsidR="00BA083A" w:rsidRPr="007365F5">
        <w:rPr>
          <w:noProof/>
          <w:spacing w:val="-8"/>
        </w:rPr>
        <w:t>as well as</w:t>
      </w:r>
      <w:r w:rsidR="00144478" w:rsidRPr="007365F5">
        <w:rPr>
          <w:noProof/>
          <w:spacing w:val="-8"/>
        </w:rPr>
        <w:t xml:space="preserve"> rules</w:t>
      </w:r>
      <w:r w:rsidRPr="007365F5">
        <w:rPr>
          <w:noProof/>
          <w:spacing w:val="-8"/>
        </w:rPr>
        <w:t xml:space="preserve"> on </w:t>
      </w:r>
      <w:r w:rsidR="00144478" w:rsidRPr="007365F5">
        <w:rPr>
          <w:noProof/>
          <w:spacing w:val="-8"/>
        </w:rPr>
        <w:t xml:space="preserve">commercial agreements for </w:t>
      </w:r>
      <w:r w:rsidR="00831E27" w:rsidRPr="007365F5">
        <w:rPr>
          <w:noProof/>
          <w:spacing w:val="-8"/>
        </w:rPr>
        <w:t>indispensable</w:t>
      </w:r>
      <w:r w:rsidR="00257E14" w:rsidRPr="007365F5">
        <w:rPr>
          <w:noProof/>
          <w:spacing w:val="-8"/>
        </w:rPr>
        <w:t xml:space="preserve"> MDMS and RUs.</w:t>
      </w:r>
      <w:r w:rsidR="008C7F3E" w:rsidRPr="007365F5">
        <w:rPr>
          <w:noProof/>
          <w:spacing w:val="-8"/>
        </w:rPr>
        <w:t xml:space="preserve"> While</w:t>
      </w:r>
      <w:r w:rsidRPr="007365F5">
        <w:rPr>
          <w:noProof/>
          <w:spacing w:val="-8"/>
        </w:rPr>
        <w:t xml:space="preserve"> PO1</w:t>
      </w:r>
      <w:r w:rsidR="008C7F3E" w:rsidRPr="007365F5">
        <w:rPr>
          <w:noProof/>
          <w:spacing w:val="-8"/>
        </w:rPr>
        <w:t xml:space="preserve"> is expected</w:t>
      </w:r>
      <w:r w:rsidRPr="007365F5">
        <w:rPr>
          <w:noProof/>
          <w:spacing w:val="-8"/>
        </w:rPr>
        <w:t xml:space="preserve"> to </w:t>
      </w:r>
      <w:r w:rsidR="008C7F3E" w:rsidRPr="007365F5">
        <w:rPr>
          <w:noProof/>
          <w:spacing w:val="-8"/>
        </w:rPr>
        <w:t xml:space="preserve">support the </w:t>
      </w:r>
      <w:r w:rsidR="008B6E77" w:rsidRPr="007365F5">
        <w:rPr>
          <w:noProof/>
          <w:spacing w:val="-8"/>
        </w:rPr>
        <w:t xml:space="preserve">development of </w:t>
      </w:r>
      <w:r w:rsidR="00E34E1E" w:rsidRPr="007365F5">
        <w:rPr>
          <w:noProof/>
          <w:spacing w:val="-8"/>
        </w:rPr>
        <w:t xml:space="preserve">a more comprehensive multimodal market, </w:t>
      </w:r>
      <w:r w:rsidR="00E34E1E">
        <w:rPr>
          <w:noProof/>
          <w:spacing w:val="-8"/>
        </w:rPr>
        <w:t xml:space="preserve">it does not </w:t>
      </w:r>
      <w:r w:rsidR="00844BF2">
        <w:rPr>
          <w:noProof/>
          <w:spacing w:val="-8"/>
        </w:rPr>
        <w:t xml:space="preserve">provide transport operators access to </w:t>
      </w:r>
      <w:r w:rsidR="00E670CB" w:rsidRPr="00E670CB">
        <w:rPr>
          <w:noProof/>
          <w:spacing w:val="-8"/>
        </w:rPr>
        <w:t>indispensable RU platforms</w:t>
      </w:r>
      <w:r w:rsidR="00720F14">
        <w:rPr>
          <w:noProof/>
          <w:spacing w:val="-8"/>
        </w:rPr>
        <w:t xml:space="preserve"> (</w:t>
      </w:r>
      <w:r w:rsidR="00BE70B4">
        <w:rPr>
          <w:noProof/>
          <w:spacing w:val="-8"/>
        </w:rPr>
        <w:t>included</w:t>
      </w:r>
      <w:r w:rsidR="002D0F7F">
        <w:rPr>
          <w:noProof/>
          <w:spacing w:val="-8"/>
        </w:rPr>
        <w:t xml:space="preserve"> in </w:t>
      </w:r>
      <w:r w:rsidR="00720F14">
        <w:rPr>
          <w:noProof/>
          <w:spacing w:val="-8"/>
        </w:rPr>
        <w:t>SO1)</w:t>
      </w:r>
      <w:r w:rsidR="004A69BA">
        <w:rPr>
          <w:noProof/>
          <w:spacing w:val="-8"/>
        </w:rPr>
        <w:t xml:space="preserve"> and </w:t>
      </w:r>
      <w:r w:rsidR="002B60B4">
        <w:rPr>
          <w:noProof/>
          <w:spacing w:val="-8"/>
        </w:rPr>
        <w:t>does not i</w:t>
      </w:r>
      <w:r w:rsidR="002B60B4" w:rsidRPr="002B60B4">
        <w:rPr>
          <w:noProof/>
          <w:spacing w:val="-8"/>
        </w:rPr>
        <w:t>mprove completeness and transparency of information on all MDMS platforms</w:t>
      </w:r>
      <w:r w:rsidR="002B60B4">
        <w:rPr>
          <w:noProof/>
          <w:spacing w:val="-8"/>
        </w:rPr>
        <w:t xml:space="preserve"> </w:t>
      </w:r>
      <w:r w:rsidR="00A8538B">
        <w:rPr>
          <w:noProof/>
          <w:spacing w:val="-8"/>
        </w:rPr>
        <w:t>(</w:t>
      </w:r>
      <w:r w:rsidR="004A69BA">
        <w:rPr>
          <w:noProof/>
          <w:spacing w:val="-8"/>
        </w:rPr>
        <w:t>SO2</w:t>
      </w:r>
      <w:r w:rsidR="00A8538B">
        <w:rPr>
          <w:noProof/>
          <w:spacing w:val="-8"/>
        </w:rPr>
        <w:t>)</w:t>
      </w:r>
      <w:r w:rsidR="00CB7D9E">
        <w:rPr>
          <w:noProof/>
          <w:spacing w:val="-8"/>
        </w:rPr>
        <w:t xml:space="preserve"> to the same extent as other POs</w:t>
      </w:r>
      <w:r w:rsidR="00D15D32" w:rsidRPr="007365F5">
        <w:rPr>
          <w:noProof/>
          <w:spacing w:val="-8"/>
        </w:rPr>
        <w:t xml:space="preserve">. PO2 would enable access to a complete rail offer on independent platforms, currently holding an estimated </w:t>
      </w:r>
      <w:r w:rsidR="00E66283" w:rsidRPr="007365F5">
        <w:rPr>
          <w:noProof/>
          <w:spacing w:val="-8"/>
        </w:rPr>
        <w:t>3</w:t>
      </w:r>
      <w:r w:rsidR="00D15D32" w:rsidRPr="007365F5">
        <w:rPr>
          <w:noProof/>
          <w:spacing w:val="-8"/>
        </w:rPr>
        <w:t xml:space="preserve">% distribution market share in the EU. PO3 would enable travellers to find, compare, combine and purchase rail and multimodal tickets seamlessly also on the incumbent platforms, which hold a much larger market share. This would generate a larger shift towards greener travel options, as shown in </w:t>
      </w:r>
      <w:r w:rsidR="008E47F8" w:rsidRPr="007365F5">
        <w:rPr>
          <w:noProof/>
          <w:spacing w:val="-8"/>
        </w:rPr>
        <w:t>section</w:t>
      </w:r>
      <w:r w:rsidR="00D15D32" w:rsidRPr="007365F5">
        <w:rPr>
          <w:noProof/>
          <w:spacing w:val="-8"/>
        </w:rPr>
        <w:t xml:space="preserve"> </w:t>
      </w:r>
      <w:r w:rsidR="009065D6" w:rsidRPr="007365F5">
        <w:rPr>
          <w:noProof/>
          <w:spacing w:val="-8"/>
        </w:rPr>
        <w:fldChar w:fldCharType="begin"/>
      </w:r>
      <w:r w:rsidR="009065D6" w:rsidRPr="007365F5">
        <w:rPr>
          <w:noProof/>
          <w:spacing w:val="-8"/>
        </w:rPr>
        <w:instrText xml:space="preserve"> REF _Ref223106505 \r \h </w:instrText>
      </w:r>
      <w:r w:rsidR="007365F5">
        <w:rPr>
          <w:noProof/>
          <w:spacing w:val="-8"/>
        </w:rPr>
        <w:instrText xml:space="preserve"> \* MERGEFORMAT </w:instrText>
      </w:r>
      <w:r w:rsidR="009065D6" w:rsidRPr="007365F5">
        <w:rPr>
          <w:noProof/>
          <w:spacing w:val="-8"/>
        </w:rPr>
      </w:r>
      <w:r w:rsidR="009065D6" w:rsidRPr="007365F5">
        <w:rPr>
          <w:noProof/>
          <w:spacing w:val="-8"/>
        </w:rPr>
        <w:fldChar w:fldCharType="separate"/>
      </w:r>
      <w:r w:rsidR="0055391F">
        <w:rPr>
          <w:noProof/>
          <w:spacing w:val="-8"/>
        </w:rPr>
        <w:t>6.3</w:t>
      </w:r>
      <w:r w:rsidR="009065D6" w:rsidRPr="007365F5">
        <w:rPr>
          <w:noProof/>
          <w:spacing w:val="-8"/>
        </w:rPr>
        <w:fldChar w:fldCharType="end"/>
      </w:r>
      <w:r w:rsidR="00D15D32" w:rsidRPr="007365F5">
        <w:rPr>
          <w:noProof/>
          <w:spacing w:val="-8"/>
        </w:rPr>
        <w:t xml:space="preserve">. </w:t>
      </w:r>
      <w:r w:rsidR="008E47F8" w:rsidRPr="007365F5">
        <w:rPr>
          <w:noProof/>
          <w:spacing w:val="-8"/>
        </w:rPr>
        <w:t xml:space="preserve">While PO4 </w:t>
      </w:r>
      <w:r w:rsidR="00F26112">
        <w:rPr>
          <w:noProof/>
          <w:spacing w:val="-8"/>
        </w:rPr>
        <w:t>provides an alternative that</w:t>
      </w:r>
      <w:r w:rsidR="008E47F8" w:rsidRPr="007365F5">
        <w:rPr>
          <w:noProof/>
          <w:spacing w:val="-8"/>
        </w:rPr>
        <w:t xml:space="preserve"> also</w:t>
      </w:r>
      <w:r w:rsidR="00D15D32" w:rsidRPr="007365F5">
        <w:rPr>
          <w:noProof/>
          <w:spacing w:val="-8"/>
        </w:rPr>
        <w:t xml:space="preserve"> fulfils </w:t>
      </w:r>
      <w:r w:rsidR="00F004EC">
        <w:rPr>
          <w:noProof/>
          <w:spacing w:val="-8"/>
        </w:rPr>
        <w:t>all specific</w:t>
      </w:r>
      <w:r w:rsidR="00D15D32" w:rsidRPr="007365F5">
        <w:rPr>
          <w:noProof/>
          <w:spacing w:val="-8"/>
        </w:rPr>
        <w:t xml:space="preserve"> objectives </w:t>
      </w:r>
      <w:r w:rsidR="008E47F8" w:rsidRPr="007365F5">
        <w:rPr>
          <w:noProof/>
          <w:spacing w:val="-8"/>
        </w:rPr>
        <w:t xml:space="preserve">it mandates </w:t>
      </w:r>
      <w:r w:rsidR="00E72AC9" w:rsidRPr="007365F5">
        <w:rPr>
          <w:noProof/>
          <w:spacing w:val="-8"/>
        </w:rPr>
        <w:t>indispensable RUs to</w:t>
      </w:r>
      <w:r w:rsidR="008E47F8" w:rsidRPr="007365F5">
        <w:rPr>
          <w:noProof/>
          <w:spacing w:val="-8"/>
        </w:rPr>
        <w:t xml:space="preserve"> </w:t>
      </w:r>
      <w:r w:rsidR="00D15D32" w:rsidRPr="007365F5">
        <w:rPr>
          <w:noProof/>
          <w:spacing w:val="-8"/>
        </w:rPr>
        <w:t xml:space="preserve">unbundle their distribution and operational services </w:t>
      </w:r>
      <w:r w:rsidR="002D0432" w:rsidRPr="007365F5">
        <w:rPr>
          <w:noProof/>
          <w:spacing w:val="-8"/>
        </w:rPr>
        <w:t>resulting</w:t>
      </w:r>
      <w:r w:rsidR="00D15D32" w:rsidRPr="007365F5">
        <w:rPr>
          <w:noProof/>
          <w:spacing w:val="-8"/>
        </w:rPr>
        <w:t xml:space="preserve"> in </w:t>
      </w:r>
      <w:r w:rsidR="002D0432" w:rsidRPr="007365F5">
        <w:rPr>
          <w:noProof/>
          <w:spacing w:val="-8"/>
        </w:rPr>
        <w:t>significantly high</w:t>
      </w:r>
      <w:r w:rsidR="00CB7D9E" w:rsidRPr="007365F5">
        <w:rPr>
          <w:noProof/>
          <w:spacing w:val="-8"/>
        </w:rPr>
        <w:t>er</w:t>
      </w:r>
      <w:r w:rsidR="002D0432" w:rsidRPr="007365F5">
        <w:rPr>
          <w:noProof/>
          <w:spacing w:val="-8"/>
        </w:rPr>
        <w:t xml:space="preserve"> costs, as described in section </w:t>
      </w:r>
      <w:r w:rsidR="00C1217E" w:rsidRPr="007365F5">
        <w:rPr>
          <w:noProof/>
          <w:spacing w:val="-8"/>
        </w:rPr>
        <w:fldChar w:fldCharType="begin"/>
      </w:r>
      <w:r w:rsidR="00C1217E" w:rsidRPr="007365F5">
        <w:rPr>
          <w:noProof/>
          <w:spacing w:val="-8"/>
        </w:rPr>
        <w:instrText xml:space="preserve"> REF _Ref223106658 \r \h </w:instrText>
      </w:r>
      <w:r w:rsidR="007365F5">
        <w:rPr>
          <w:noProof/>
          <w:spacing w:val="-8"/>
        </w:rPr>
        <w:instrText xml:space="preserve"> \* MERGEFORMAT </w:instrText>
      </w:r>
      <w:r w:rsidR="00C1217E" w:rsidRPr="007365F5">
        <w:rPr>
          <w:noProof/>
          <w:spacing w:val="-8"/>
        </w:rPr>
      </w:r>
      <w:r w:rsidR="00C1217E" w:rsidRPr="007365F5">
        <w:rPr>
          <w:noProof/>
          <w:spacing w:val="-8"/>
        </w:rPr>
        <w:fldChar w:fldCharType="separate"/>
      </w:r>
      <w:r w:rsidR="0055391F">
        <w:rPr>
          <w:noProof/>
          <w:spacing w:val="-8"/>
        </w:rPr>
        <w:t>6.4</w:t>
      </w:r>
      <w:r w:rsidR="00C1217E" w:rsidRPr="007365F5">
        <w:rPr>
          <w:noProof/>
          <w:spacing w:val="-8"/>
        </w:rPr>
        <w:fldChar w:fldCharType="end"/>
      </w:r>
      <w:r w:rsidR="00D15D32" w:rsidRPr="007365F5">
        <w:rPr>
          <w:noProof/>
          <w:spacing w:val="-8"/>
        </w:rPr>
        <w:t xml:space="preserve">. </w:t>
      </w:r>
    </w:p>
    <w:p w14:paraId="3EC5B936" w14:textId="019E5156" w:rsidR="00B739E8" w:rsidRPr="00B53DFD" w:rsidRDefault="00A50CF5" w:rsidP="5EF737C9">
      <w:pPr>
        <w:spacing w:after="240"/>
        <w:jc w:val="both"/>
        <w:rPr>
          <w:noProof/>
          <w:spacing w:val="-8"/>
        </w:rPr>
      </w:pPr>
      <w:r w:rsidRPr="007365F5">
        <w:rPr>
          <w:b/>
          <w:noProof/>
          <w:spacing w:val="-8"/>
        </w:rPr>
        <w:t xml:space="preserve">External coherence </w:t>
      </w:r>
      <w:r w:rsidR="003401B2">
        <w:rPr>
          <w:noProof/>
          <w:spacing w:val="-8"/>
        </w:rPr>
        <w:t>all</w:t>
      </w:r>
      <w:r w:rsidRPr="007365F5">
        <w:rPr>
          <w:noProof/>
          <w:spacing w:val="-8"/>
        </w:rPr>
        <w:t xml:space="preserve"> policy options </w:t>
      </w:r>
      <w:r w:rsidR="003401B2" w:rsidRPr="003401B2">
        <w:rPr>
          <w:noProof/>
          <w:spacing w:val="-8"/>
        </w:rPr>
        <w:t>demonstrate</w:t>
      </w:r>
      <w:r w:rsidRPr="007365F5">
        <w:rPr>
          <w:noProof/>
          <w:spacing w:val="-8"/>
        </w:rPr>
        <w:t xml:space="preserve"> strong </w:t>
      </w:r>
      <w:r w:rsidR="003401B2" w:rsidRPr="005810E8">
        <w:rPr>
          <w:noProof/>
          <w:spacing w:val="-8"/>
        </w:rPr>
        <w:t>external coherence with the existing EU and national policy frameworks</w:t>
      </w:r>
      <w:r w:rsidRPr="007365F5">
        <w:rPr>
          <w:noProof/>
          <w:spacing w:val="-8"/>
        </w:rPr>
        <w:t xml:space="preserve"> (identified in </w:t>
      </w:r>
      <w:r w:rsidR="00D2173B">
        <w:rPr>
          <w:noProof/>
          <w:spacing w:val="-8"/>
        </w:rPr>
        <w:t>s</w:t>
      </w:r>
      <w:r w:rsidRPr="007C00FB">
        <w:rPr>
          <w:noProof/>
          <w:spacing w:val="-8"/>
        </w:rPr>
        <w:t>ection</w:t>
      </w:r>
      <w:r w:rsidR="00D2173B">
        <w:rPr>
          <w:noProof/>
          <w:spacing w:val="-8"/>
        </w:rPr>
        <w:t xml:space="preserve"> </w:t>
      </w:r>
      <w:r w:rsidR="0011121C" w:rsidRPr="00B53DFD">
        <w:rPr>
          <w:noProof/>
          <w:spacing w:val="-8"/>
        </w:rPr>
        <w:t>1.3</w:t>
      </w:r>
      <w:r w:rsidR="002C62D5" w:rsidRPr="00B53DFD">
        <w:rPr>
          <w:noProof/>
          <w:spacing w:val="-8"/>
        </w:rPr>
        <w:t>)</w:t>
      </w:r>
      <w:r w:rsidR="003401B2" w:rsidRPr="00B53DFD">
        <w:rPr>
          <w:noProof/>
          <w:spacing w:val="-8"/>
        </w:rPr>
        <w:t>, ensuring alignment with broader transport, digital, and consumer protection objectives while avoiding regulatory overlaps or contradictions.</w:t>
      </w:r>
      <w:r w:rsidR="003401B2" w:rsidRPr="00B53DFD" w:rsidDel="003401B2">
        <w:rPr>
          <w:noProof/>
          <w:spacing w:val="-8"/>
        </w:rPr>
        <w:t xml:space="preserve"> </w:t>
      </w:r>
      <w:r w:rsidR="00D16D02" w:rsidRPr="00B53DFD">
        <w:rPr>
          <w:noProof/>
          <w:spacing w:val="-8"/>
        </w:rPr>
        <w:t>All</w:t>
      </w:r>
      <w:r w:rsidR="0089462D" w:rsidRPr="00B53DFD">
        <w:rPr>
          <w:noProof/>
          <w:spacing w:val="-8"/>
        </w:rPr>
        <w:t xml:space="preserve"> policy options have been designed to complement and reinforce key EU instruments</w:t>
      </w:r>
      <w:r w:rsidR="0086603E" w:rsidRPr="00B53DFD">
        <w:rPr>
          <w:noProof/>
          <w:spacing w:val="-8"/>
        </w:rPr>
        <w:t xml:space="preserve">, such as </w:t>
      </w:r>
      <w:r w:rsidR="0089462D" w:rsidRPr="00B53DFD">
        <w:rPr>
          <w:noProof/>
          <w:spacing w:val="-8"/>
        </w:rPr>
        <w:t>the ITS Directive</w:t>
      </w:r>
      <w:r w:rsidR="000C7B09" w:rsidRPr="00B53DFD">
        <w:rPr>
          <w:rStyle w:val="FootnoteReference"/>
          <w:noProof/>
          <w:spacing w:val="-8"/>
        </w:rPr>
        <w:footnoteReference w:id="210"/>
      </w:r>
      <w:r w:rsidR="0089462D" w:rsidRPr="00B53DFD">
        <w:rPr>
          <w:noProof/>
          <w:spacing w:val="-8"/>
        </w:rPr>
        <w:t xml:space="preserve"> and its Delegated Regulation on MMTIS</w:t>
      </w:r>
      <w:r w:rsidR="00F01645" w:rsidRPr="00B53DFD">
        <w:rPr>
          <w:rStyle w:val="FootnoteReference"/>
          <w:noProof/>
          <w:spacing w:val="-8"/>
        </w:rPr>
        <w:footnoteReference w:id="211"/>
      </w:r>
      <w:r w:rsidR="006D459F">
        <w:rPr>
          <w:noProof/>
          <w:spacing w:val="-8"/>
        </w:rPr>
        <w:t>,</w:t>
      </w:r>
      <w:r w:rsidR="0089462D" w:rsidRPr="00B53DFD">
        <w:rPr>
          <w:noProof/>
          <w:spacing w:val="-8"/>
        </w:rPr>
        <w:t xml:space="preserve"> </w:t>
      </w:r>
      <w:r w:rsidR="00B63268" w:rsidRPr="00B53DFD">
        <w:rPr>
          <w:noProof/>
          <w:spacing w:val="-8"/>
        </w:rPr>
        <w:t>fostering</w:t>
      </w:r>
      <w:r w:rsidR="0089462D" w:rsidRPr="00B53DFD">
        <w:rPr>
          <w:noProof/>
          <w:spacing w:val="-8"/>
        </w:rPr>
        <w:t xml:space="preserve"> the development of multimodal travel information services. </w:t>
      </w:r>
      <w:r w:rsidR="0086603E" w:rsidRPr="00B53DFD">
        <w:rPr>
          <w:noProof/>
          <w:spacing w:val="-8"/>
        </w:rPr>
        <w:t xml:space="preserve">All </w:t>
      </w:r>
      <w:r w:rsidR="001E46C5" w:rsidRPr="00B53DFD">
        <w:rPr>
          <w:noProof/>
          <w:spacing w:val="-8"/>
        </w:rPr>
        <w:t xml:space="preserve">policy options </w:t>
      </w:r>
      <w:r w:rsidR="003548E0" w:rsidRPr="00B53DFD">
        <w:rPr>
          <w:noProof/>
          <w:spacing w:val="-8"/>
        </w:rPr>
        <w:t xml:space="preserve">also align with horizontal digital policies such as the </w:t>
      </w:r>
      <w:r w:rsidR="24B051D1" w:rsidRPr="00B53DFD">
        <w:rPr>
          <w:noProof/>
          <w:spacing w:val="-8"/>
        </w:rPr>
        <w:t>DSA</w:t>
      </w:r>
      <w:r w:rsidRPr="00B53DFD">
        <w:rPr>
          <w:rStyle w:val="FootnoteReference"/>
          <w:rFonts w:eastAsiaTheme="minorEastAsia"/>
          <w:noProof/>
          <w:spacing w:val="-8"/>
        </w:rPr>
        <w:footnoteReference w:id="212"/>
      </w:r>
      <w:r w:rsidR="24B051D1" w:rsidRPr="00B53DFD">
        <w:rPr>
          <w:rStyle w:val="FootnoteReference"/>
          <w:rFonts w:eastAsiaTheme="minorEastAsia"/>
          <w:noProof/>
          <w:spacing w:val="-8"/>
        </w:rPr>
        <w:t xml:space="preserve"> </w:t>
      </w:r>
      <w:r w:rsidR="23C2C0CD" w:rsidRPr="00B53DFD">
        <w:rPr>
          <w:noProof/>
          <w:spacing w:val="-8"/>
        </w:rPr>
        <w:t>(especially its Article 27)</w:t>
      </w:r>
      <w:r w:rsidR="003548E0" w:rsidRPr="00B53DFD">
        <w:rPr>
          <w:noProof/>
          <w:spacing w:val="-8"/>
        </w:rPr>
        <w:t xml:space="preserve"> which  reinforce transparency in ranking algorithms</w:t>
      </w:r>
      <w:r w:rsidR="001E46C5" w:rsidRPr="00B53DFD">
        <w:rPr>
          <w:noProof/>
          <w:spacing w:val="-8"/>
        </w:rPr>
        <w:t>,</w:t>
      </w:r>
      <w:r w:rsidR="003548E0" w:rsidRPr="00B53DFD">
        <w:rPr>
          <w:noProof/>
          <w:spacing w:val="-8"/>
        </w:rPr>
        <w:t xml:space="preserve"> a principle further strengthened by the neutrality requirements for MDMS platforms. </w:t>
      </w:r>
      <w:r w:rsidR="00B76083" w:rsidRPr="00B53DFD">
        <w:rPr>
          <w:noProof/>
          <w:spacing w:val="-8"/>
        </w:rPr>
        <w:t xml:space="preserve">In addition, </w:t>
      </w:r>
      <w:r w:rsidR="006C07F4" w:rsidRPr="00B53DFD">
        <w:rPr>
          <w:noProof/>
          <w:spacing w:val="-8"/>
        </w:rPr>
        <w:t>all</w:t>
      </w:r>
      <w:r w:rsidR="00DD3713" w:rsidRPr="00B53DFD">
        <w:rPr>
          <w:noProof/>
          <w:spacing w:val="-8"/>
        </w:rPr>
        <w:t xml:space="preserve"> policy options </w:t>
      </w:r>
      <w:r w:rsidR="00966C40" w:rsidRPr="00B53DFD">
        <w:rPr>
          <w:noProof/>
          <w:spacing w:val="-8"/>
        </w:rPr>
        <w:t>complement the DMA</w:t>
      </w:r>
      <w:r w:rsidRPr="00B53DFD">
        <w:rPr>
          <w:rStyle w:val="FootnoteReference"/>
          <w:rFonts w:eastAsiaTheme="minorEastAsia"/>
          <w:noProof/>
          <w:spacing w:val="-8"/>
        </w:rPr>
        <w:footnoteReference w:id="213"/>
      </w:r>
      <w:r w:rsidR="00966C40" w:rsidRPr="00B53DFD">
        <w:rPr>
          <w:noProof/>
          <w:spacing w:val="-8"/>
        </w:rPr>
        <w:t xml:space="preserve">, by </w:t>
      </w:r>
      <w:r w:rsidR="00897F02" w:rsidRPr="00B53DFD">
        <w:rPr>
          <w:noProof/>
          <w:spacing w:val="-8"/>
        </w:rPr>
        <w:t>applying similar requirements to</w:t>
      </w:r>
      <w:r w:rsidR="00966C40" w:rsidRPr="00B53DFD">
        <w:rPr>
          <w:noProof/>
          <w:spacing w:val="-8"/>
        </w:rPr>
        <w:t xml:space="preserve"> gatekeeping </w:t>
      </w:r>
      <w:r w:rsidR="00A70E89" w:rsidRPr="00B53DFD">
        <w:rPr>
          <w:noProof/>
          <w:spacing w:val="-8"/>
        </w:rPr>
        <w:t xml:space="preserve">transport </w:t>
      </w:r>
      <w:r w:rsidR="00966C40" w:rsidRPr="00B53DFD">
        <w:rPr>
          <w:noProof/>
          <w:spacing w:val="-8"/>
        </w:rPr>
        <w:t xml:space="preserve">ticketing platforms </w:t>
      </w:r>
      <w:r w:rsidR="00897F02" w:rsidRPr="00B53DFD">
        <w:rPr>
          <w:noProof/>
          <w:spacing w:val="-8"/>
        </w:rPr>
        <w:t xml:space="preserve">that are </w:t>
      </w:r>
      <w:r w:rsidR="00E5465B" w:rsidRPr="00B53DFD">
        <w:rPr>
          <w:noProof/>
          <w:spacing w:val="-8"/>
        </w:rPr>
        <w:t xml:space="preserve">not </w:t>
      </w:r>
      <w:r w:rsidR="00897F02" w:rsidRPr="00B53DFD">
        <w:rPr>
          <w:noProof/>
          <w:spacing w:val="-8"/>
        </w:rPr>
        <w:t>covered by</w:t>
      </w:r>
      <w:r w:rsidR="00E5465B" w:rsidRPr="00B53DFD">
        <w:rPr>
          <w:noProof/>
          <w:spacing w:val="-8"/>
        </w:rPr>
        <w:t xml:space="preserve"> the DMA</w:t>
      </w:r>
      <w:r w:rsidR="00897F02" w:rsidRPr="00B53DFD">
        <w:rPr>
          <w:noProof/>
          <w:spacing w:val="-8"/>
        </w:rPr>
        <w:t>.</w:t>
      </w:r>
      <w:r w:rsidR="00B76083" w:rsidRPr="00B53DFD">
        <w:rPr>
          <w:noProof/>
          <w:spacing w:val="-8"/>
        </w:rPr>
        <w:t xml:space="preserve"> </w:t>
      </w:r>
      <w:r w:rsidR="66384EF3" w:rsidRPr="00B53DFD">
        <w:rPr>
          <w:noProof/>
          <w:spacing w:val="-8"/>
        </w:rPr>
        <w:t xml:space="preserve">All POs will be further supported by other EU instruments such as the </w:t>
      </w:r>
      <w:r w:rsidR="65EDCA9D" w:rsidRPr="00B53DFD">
        <w:rPr>
          <w:noProof/>
          <w:spacing w:val="-8"/>
        </w:rPr>
        <w:t>AI Act</w:t>
      </w:r>
      <w:r w:rsidR="66384EF3" w:rsidRPr="00B53DFD">
        <w:rPr>
          <w:noProof/>
          <w:spacing w:val="-8"/>
        </w:rPr>
        <w:t>, complementing action of</w:t>
      </w:r>
      <w:r w:rsidR="65EDCA9D" w:rsidRPr="00B53DFD">
        <w:rPr>
          <w:noProof/>
          <w:spacing w:val="-8"/>
        </w:rPr>
        <w:t xml:space="preserve"> </w:t>
      </w:r>
      <w:r w:rsidR="20C919EF" w:rsidRPr="00B53DFD">
        <w:rPr>
          <w:noProof/>
          <w:spacing w:val="-8"/>
        </w:rPr>
        <w:t>all POs</w:t>
      </w:r>
      <w:r w:rsidR="65EDCA9D" w:rsidRPr="00B53DFD">
        <w:rPr>
          <w:noProof/>
          <w:spacing w:val="-8"/>
        </w:rPr>
        <w:t xml:space="preserve"> by imposing rules on AI systems used by MDMS platforms</w:t>
      </w:r>
      <w:r w:rsidR="009E4D21" w:rsidRPr="00B53DFD">
        <w:rPr>
          <w:noProof/>
          <w:spacing w:val="-8"/>
        </w:rPr>
        <w:t xml:space="preserve"> </w:t>
      </w:r>
      <w:r w:rsidR="64292E74" w:rsidRPr="00B53DFD">
        <w:rPr>
          <w:noProof/>
          <w:spacing w:val="-8"/>
        </w:rPr>
        <w:t>when display</w:t>
      </w:r>
      <w:r w:rsidR="695C7AE0" w:rsidRPr="00B53DFD">
        <w:rPr>
          <w:noProof/>
          <w:spacing w:val="-8"/>
        </w:rPr>
        <w:t>ing</w:t>
      </w:r>
      <w:r w:rsidR="64292E74" w:rsidRPr="00B53DFD">
        <w:rPr>
          <w:noProof/>
          <w:spacing w:val="-8"/>
        </w:rPr>
        <w:t xml:space="preserve"> targeted offers to consumer needs,</w:t>
      </w:r>
      <w:r w:rsidR="65EDCA9D" w:rsidRPr="00B53DFD">
        <w:rPr>
          <w:noProof/>
          <w:spacing w:val="-8"/>
        </w:rPr>
        <w:t xml:space="preserve"> </w:t>
      </w:r>
      <w:r w:rsidR="75BD1C7D" w:rsidRPr="00B53DFD">
        <w:rPr>
          <w:noProof/>
          <w:spacing w:val="-8"/>
        </w:rPr>
        <w:t xml:space="preserve">and therefore </w:t>
      </w:r>
      <w:r w:rsidR="65EDCA9D" w:rsidRPr="00B53DFD">
        <w:rPr>
          <w:noProof/>
          <w:spacing w:val="-8"/>
        </w:rPr>
        <w:t>ensuring safety</w:t>
      </w:r>
      <w:r w:rsidR="478B61C7" w:rsidRPr="00B53DFD">
        <w:rPr>
          <w:noProof/>
          <w:spacing w:val="-8"/>
        </w:rPr>
        <w:t xml:space="preserve"> and</w:t>
      </w:r>
      <w:r w:rsidR="65EDCA9D" w:rsidRPr="00B53DFD">
        <w:rPr>
          <w:noProof/>
          <w:spacing w:val="-8"/>
        </w:rPr>
        <w:t xml:space="preserve"> transparency </w:t>
      </w:r>
      <w:r w:rsidR="1D598456" w:rsidRPr="00B53DFD">
        <w:rPr>
          <w:noProof/>
          <w:spacing w:val="-8"/>
        </w:rPr>
        <w:t>of MDMS platforms’ algorithms</w:t>
      </w:r>
      <w:r w:rsidR="3DB4DE6E" w:rsidRPr="00B53DFD">
        <w:rPr>
          <w:noProof/>
          <w:spacing w:val="-8"/>
        </w:rPr>
        <w:t>.</w:t>
      </w:r>
      <w:r w:rsidR="4E942C3E" w:rsidRPr="00B53DFD">
        <w:rPr>
          <w:noProof/>
          <w:spacing w:val="-8"/>
        </w:rPr>
        <w:t xml:space="preserve"> </w:t>
      </w:r>
      <w:r w:rsidR="14B63DE3" w:rsidRPr="00B53DFD">
        <w:rPr>
          <w:noProof/>
          <w:spacing w:val="-8"/>
        </w:rPr>
        <w:t>Similarly</w:t>
      </w:r>
      <w:r w:rsidR="66384EF3" w:rsidRPr="00B53DFD">
        <w:rPr>
          <w:noProof/>
          <w:spacing w:val="-8"/>
        </w:rPr>
        <w:t xml:space="preserve">, the upcoming Digital Fairness Act will complement all POs </w:t>
      </w:r>
      <w:r w:rsidR="75541B95" w:rsidRPr="00B53DFD">
        <w:rPr>
          <w:noProof/>
          <w:spacing w:val="-8"/>
        </w:rPr>
        <w:t xml:space="preserve">by </w:t>
      </w:r>
      <w:r w:rsidR="55685D10" w:rsidRPr="00B53DFD">
        <w:rPr>
          <w:noProof/>
          <w:spacing w:val="-8"/>
        </w:rPr>
        <w:t>preventing</w:t>
      </w:r>
      <w:r w:rsidR="66384EF3" w:rsidRPr="00B53DFD">
        <w:rPr>
          <w:noProof/>
          <w:spacing w:val="-8"/>
        </w:rPr>
        <w:t xml:space="preserve"> </w:t>
      </w:r>
      <w:r w:rsidR="55685D10" w:rsidRPr="00B53DFD">
        <w:rPr>
          <w:noProof/>
          <w:spacing w:val="-8"/>
        </w:rPr>
        <w:t xml:space="preserve">problematic practices </w:t>
      </w:r>
      <w:r w:rsidR="2F13893A" w:rsidRPr="00B53DFD">
        <w:rPr>
          <w:noProof/>
          <w:spacing w:val="-8"/>
        </w:rPr>
        <w:t>in</w:t>
      </w:r>
      <w:r w:rsidR="55685D10" w:rsidRPr="00B53DFD">
        <w:rPr>
          <w:noProof/>
          <w:spacing w:val="-8"/>
        </w:rPr>
        <w:t xml:space="preserve"> online spaces</w:t>
      </w:r>
      <w:r w:rsidR="543C72F5" w:rsidRPr="00B53DFD">
        <w:rPr>
          <w:noProof/>
          <w:spacing w:val="-8"/>
        </w:rPr>
        <w:t>,</w:t>
      </w:r>
      <w:r w:rsidR="55685D10" w:rsidRPr="00B53DFD">
        <w:rPr>
          <w:noProof/>
          <w:spacing w:val="-8"/>
        </w:rPr>
        <w:t xml:space="preserve"> such as MDMS pla</w:t>
      </w:r>
      <w:r w:rsidR="26BD10CA" w:rsidRPr="00B53DFD">
        <w:rPr>
          <w:noProof/>
          <w:spacing w:val="-8"/>
        </w:rPr>
        <w:t>tforms,</w:t>
      </w:r>
      <w:r w:rsidR="55685D10" w:rsidRPr="00B53DFD">
        <w:rPr>
          <w:noProof/>
          <w:spacing w:val="-8"/>
        </w:rPr>
        <w:t xml:space="preserve"> </w:t>
      </w:r>
      <w:r w:rsidR="3A377D41" w:rsidRPr="00B53DFD">
        <w:rPr>
          <w:noProof/>
          <w:spacing w:val="-8"/>
        </w:rPr>
        <w:t>by prohibiting</w:t>
      </w:r>
      <w:r w:rsidR="55685D10" w:rsidRPr="00B53DFD">
        <w:rPr>
          <w:noProof/>
          <w:spacing w:val="-8"/>
        </w:rPr>
        <w:t xml:space="preserve"> </w:t>
      </w:r>
      <w:r w:rsidR="59A27B8E" w:rsidRPr="00B53DFD">
        <w:rPr>
          <w:noProof/>
          <w:spacing w:val="-8"/>
        </w:rPr>
        <w:t>the use of dark patterns or addic</w:t>
      </w:r>
      <w:r w:rsidR="35F8E0D7" w:rsidRPr="00B53DFD">
        <w:rPr>
          <w:noProof/>
          <w:spacing w:val="-8"/>
        </w:rPr>
        <w:t>ti</w:t>
      </w:r>
      <w:r w:rsidR="59A27B8E" w:rsidRPr="00B53DFD">
        <w:rPr>
          <w:noProof/>
          <w:spacing w:val="-8"/>
        </w:rPr>
        <w:t xml:space="preserve">ve design of platform algorithms. </w:t>
      </w:r>
    </w:p>
    <w:p w14:paraId="2FCBC7CE" w14:textId="539C34FE" w:rsidR="00B739E8" w:rsidRPr="00B76083" w:rsidRDefault="006F7205" w:rsidP="007904D3">
      <w:pPr>
        <w:spacing w:after="240"/>
        <w:jc w:val="both"/>
        <w:rPr>
          <w:noProof/>
        </w:rPr>
      </w:pPr>
      <w:r w:rsidRPr="006F7205">
        <w:rPr>
          <w:noProof/>
          <w:spacing w:val="-8"/>
        </w:rPr>
        <w:t xml:space="preserve">PO2, PO3 and PO4 however </w:t>
      </w:r>
      <w:r>
        <w:rPr>
          <w:noProof/>
          <w:spacing w:val="-8"/>
        </w:rPr>
        <w:t xml:space="preserve">better </w:t>
      </w:r>
      <w:r w:rsidRPr="006F7205">
        <w:rPr>
          <w:noProof/>
          <w:spacing w:val="-8"/>
        </w:rPr>
        <w:t>address the issue of access to real-time fare data, a critical component for seamless ticketing in rail</w:t>
      </w:r>
      <w:r w:rsidR="00A9253E" w:rsidRPr="00A9253E">
        <w:rPr>
          <w:noProof/>
          <w:spacing w:val="-8"/>
        </w:rPr>
        <w:t xml:space="preserve"> and are </w:t>
      </w:r>
      <w:r w:rsidR="00812FFD">
        <w:rPr>
          <w:noProof/>
          <w:spacing w:val="-8"/>
        </w:rPr>
        <w:t>thus</w:t>
      </w:r>
      <w:r w:rsidR="00A9253E" w:rsidRPr="00A9253E">
        <w:rPr>
          <w:noProof/>
          <w:spacing w:val="-8"/>
        </w:rPr>
        <w:t xml:space="preserve"> more coherent with a sustainable and prosperous Union, one of the key political objectives of the European Commission for the 2024-2029 mandate.</w:t>
      </w:r>
      <w:r w:rsidR="00A50CF5" w:rsidRPr="007365F5">
        <w:rPr>
          <w:noProof/>
          <w:spacing w:val="-8"/>
        </w:rPr>
        <w:t xml:space="preserve"> The analysis underlines that whilst some measures mandate contractual agreements, the </w:t>
      </w:r>
      <w:r w:rsidR="009A738D" w:rsidRPr="007365F5">
        <w:rPr>
          <w:noProof/>
          <w:spacing w:val="-8"/>
        </w:rPr>
        <w:t xml:space="preserve">overarching </w:t>
      </w:r>
      <w:r w:rsidR="009A7277" w:rsidRPr="007365F5">
        <w:rPr>
          <w:noProof/>
          <w:spacing w:val="-8"/>
        </w:rPr>
        <w:t xml:space="preserve">objective </w:t>
      </w:r>
      <w:r w:rsidR="00A50CF5" w:rsidRPr="007365F5">
        <w:rPr>
          <w:noProof/>
          <w:spacing w:val="-8"/>
        </w:rPr>
        <w:t xml:space="preserve">to ensure that passengers can access a complete mobility offer can justify the interference in the freedom to conduct business as long as it contributes to increasing multimodality </w:t>
      </w:r>
      <w:r w:rsidR="00F602C6" w:rsidRPr="007365F5">
        <w:rPr>
          <w:noProof/>
          <w:spacing w:val="-8"/>
        </w:rPr>
        <w:t>and support the development of a SERA,</w:t>
      </w:r>
      <w:r w:rsidR="009A7277" w:rsidRPr="007365F5">
        <w:rPr>
          <w:noProof/>
          <w:spacing w:val="-8"/>
        </w:rPr>
        <w:t xml:space="preserve"> </w:t>
      </w:r>
      <w:r w:rsidR="00A50CF5" w:rsidRPr="007365F5">
        <w:rPr>
          <w:noProof/>
          <w:spacing w:val="-8"/>
        </w:rPr>
        <w:t>without imposing undue burdens.</w:t>
      </w:r>
    </w:p>
    <w:p w14:paraId="0D0CBF72" w14:textId="77777777" w:rsidR="00712390" w:rsidRPr="00D71008" w:rsidRDefault="003C4819" w:rsidP="006E3FA1">
      <w:pPr>
        <w:pStyle w:val="Heading2"/>
        <w:keepNext/>
        <w:numPr>
          <w:ilvl w:val="1"/>
          <w:numId w:val="11"/>
        </w:numPr>
        <w:tabs>
          <w:tab w:val="left" w:pos="709"/>
        </w:tabs>
        <w:spacing w:before="240" w:after="240"/>
        <w:ind w:left="1134" w:hanging="708"/>
        <w:rPr>
          <w:noProof/>
        </w:rPr>
      </w:pPr>
      <w:bookmarkStart w:id="215" w:name="_Toc220667507"/>
      <w:bookmarkStart w:id="216" w:name="_Toc223979989"/>
      <w:r w:rsidRPr="00D71008">
        <w:rPr>
          <w:noProof/>
        </w:rPr>
        <w:t>Subsidiarity and proportionality</w:t>
      </w:r>
      <w:bookmarkEnd w:id="215"/>
      <w:bookmarkEnd w:id="216"/>
    </w:p>
    <w:p w14:paraId="06695F19" w14:textId="634A0F1C" w:rsidR="00227189" w:rsidRPr="0035422B" w:rsidRDefault="00A47D95" w:rsidP="00227189">
      <w:pPr>
        <w:spacing w:after="240"/>
        <w:jc w:val="both"/>
        <w:rPr>
          <w:noProof/>
          <w:color w:val="000000" w:themeColor="text1"/>
          <w:spacing w:val="-8"/>
        </w:rPr>
      </w:pPr>
      <w:r w:rsidRPr="0035422B">
        <w:rPr>
          <w:noProof/>
          <w:color w:val="000000" w:themeColor="text1"/>
          <w:spacing w:val="-8"/>
        </w:rPr>
        <w:t xml:space="preserve">EU level action can be justified from the perspective of </w:t>
      </w:r>
      <w:r w:rsidRPr="0035422B">
        <w:rPr>
          <w:b/>
          <w:noProof/>
          <w:color w:val="000000" w:themeColor="text1"/>
          <w:spacing w:val="-8"/>
        </w:rPr>
        <w:t>subsidiarity</w:t>
      </w:r>
      <w:r w:rsidRPr="0035422B">
        <w:rPr>
          <w:noProof/>
          <w:color w:val="000000" w:themeColor="text1"/>
          <w:spacing w:val="-8"/>
        </w:rPr>
        <w:t xml:space="preserve"> for a number of reasons, including if the objectives of the proposed action cannot be sufficiently achieved by the Member States acting on their own and/or if the action can be implemented more successfully at the EU level. </w:t>
      </w:r>
      <w:r w:rsidR="0045439A">
        <w:rPr>
          <w:noProof/>
          <w:color w:val="000000" w:themeColor="text1"/>
          <w:spacing w:val="-8"/>
        </w:rPr>
        <w:t>For</w:t>
      </w:r>
      <w:r>
        <w:rPr>
          <w:noProof/>
          <w:color w:val="000000" w:themeColor="text1"/>
          <w:spacing w:val="-8"/>
        </w:rPr>
        <w:t xml:space="preserve"> the </w:t>
      </w:r>
      <w:r w:rsidR="0045439A">
        <w:rPr>
          <w:noProof/>
          <w:color w:val="000000" w:themeColor="text1"/>
          <w:spacing w:val="-8"/>
        </w:rPr>
        <w:t>policy options under assessment</w:t>
      </w:r>
      <w:r w:rsidRPr="0035422B">
        <w:rPr>
          <w:noProof/>
          <w:color w:val="000000" w:themeColor="text1"/>
          <w:spacing w:val="-8"/>
        </w:rPr>
        <w:t>, both of these points apply. While MDMS services can be developed at regional or national level, the continuity of the EU transport system requires an EU-wide approach</w:t>
      </w:r>
      <w:r w:rsidR="00B60142" w:rsidRPr="0035422B">
        <w:rPr>
          <w:noProof/>
          <w:color w:val="000000" w:themeColor="text1"/>
          <w:spacing w:val="-8"/>
        </w:rPr>
        <w:t>,</w:t>
      </w:r>
      <w:r w:rsidR="00F50D92" w:rsidRPr="0035422B">
        <w:rPr>
          <w:noProof/>
          <w:color w:val="000000" w:themeColor="text1"/>
          <w:spacing w:val="-8"/>
        </w:rPr>
        <w:t xml:space="preserve"> </w:t>
      </w:r>
      <w:r w:rsidR="00D050B8" w:rsidRPr="0035422B">
        <w:rPr>
          <w:noProof/>
          <w:color w:val="000000" w:themeColor="text1"/>
          <w:spacing w:val="-8"/>
        </w:rPr>
        <w:t>particularly in rail</w:t>
      </w:r>
      <w:r w:rsidR="00227189" w:rsidRPr="0035422B">
        <w:rPr>
          <w:noProof/>
          <w:color w:val="000000" w:themeColor="text1"/>
          <w:spacing w:val="-8"/>
        </w:rPr>
        <w:t xml:space="preserve">. </w:t>
      </w:r>
      <w:r w:rsidR="00B60142" w:rsidRPr="0035422B">
        <w:rPr>
          <w:noProof/>
          <w:color w:val="000000" w:themeColor="text1"/>
          <w:spacing w:val="-8"/>
        </w:rPr>
        <w:t>With RUs benefiting</w:t>
      </w:r>
      <w:r w:rsidR="009E58C2" w:rsidRPr="0035422B">
        <w:rPr>
          <w:noProof/>
          <w:color w:val="000000" w:themeColor="text1"/>
          <w:spacing w:val="-8"/>
        </w:rPr>
        <w:t xml:space="preserve"> from </w:t>
      </w:r>
      <w:r w:rsidR="00896B5E" w:rsidRPr="0035422B">
        <w:rPr>
          <w:noProof/>
          <w:color w:val="000000" w:themeColor="text1"/>
          <w:spacing w:val="-8"/>
        </w:rPr>
        <w:t>longstanding operational</w:t>
      </w:r>
      <w:r w:rsidR="009E58C2" w:rsidRPr="0035422B">
        <w:rPr>
          <w:noProof/>
          <w:color w:val="000000" w:themeColor="text1"/>
          <w:spacing w:val="-8"/>
        </w:rPr>
        <w:t xml:space="preserve"> monopolies</w:t>
      </w:r>
      <w:r w:rsidR="00E21B6B" w:rsidRPr="0035422B">
        <w:rPr>
          <w:noProof/>
          <w:color w:val="000000" w:themeColor="text1"/>
          <w:spacing w:val="-8"/>
        </w:rPr>
        <w:t xml:space="preserve"> </w:t>
      </w:r>
      <w:r w:rsidR="00896B5E" w:rsidRPr="0035422B">
        <w:rPr>
          <w:noProof/>
          <w:color w:val="000000" w:themeColor="text1"/>
          <w:spacing w:val="-8"/>
        </w:rPr>
        <w:t>extending into their</w:t>
      </w:r>
      <w:r w:rsidR="00E21B6B" w:rsidRPr="0035422B">
        <w:rPr>
          <w:noProof/>
          <w:color w:val="000000" w:themeColor="text1"/>
          <w:spacing w:val="-8"/>
        </w:rPr>
        <w:t xml:space="preserve"> distribution</w:t>
      </w:r>
      <w:r w:rsidR="00896B5E" w:rsidRPr="0035422B">
        <w:rPr>
          <w:noProof/>
          <w:color w:val="000000" w:themeColor="text1"/>
          <w:spacing w:val="-8"/>
        </w:rPr>
        <w:t xml:space="preserve"> networks</w:t>
      </w:r>
      <w:r w:rsidR="00E21B6B" w:rsidRPr="0035422B">
        <w:rPr>
          <w:noProof/>
          <w:color w:val="000000" w:themeColor="text1"/>
          <w:spacing w:val="-8"/>
        </w:rPr>
        <w:t xml:space="preserve">, </w:t>
      </w:r>
      <w:r w:rsidR="00896B5E" w:rsidRPr="0035422B">
        <w:rPr>
          <w:noProof/>
          <w:color w:val="000000" w:themeColor="text1"/>
          <w:spacing w:val="-8"/>
        </w:rPr>
        <w:t xml:space="preserve">the European rail </w:t>
      </w:r>
      <w:r w:rsidR="00100B91" w:rsidRPr="0035422B">
        <w:rPr>
          <w:noProof/>
          <w:color w:val="000000" w:themeColor="text1"/>
          <w:spacing w:val="-8"/>
        </w:rPr>
        <w:t xml:space="preserve">ticketing </w:t>
      </w:r>
      <w:r w:rsidR="00896B5E" w:rsidRPr="0035422B">
        <w:rPr>
          <w:noProof/>
          <w:color w:val="000000" w:themeColor="text1"/>
          <w:spacing w:val="-8"/>
        </w:rPr>
        <w:t>market is particularly</w:t>
      </w:r>
      <w:r w:rsidR="00227189" w:rsidRPr="0035422B">
        <w:rPr>
          <w:noProof/>
          <w:color w:val="000000" w:themeColor="text1"/>
          <w:spacing w:val="-8"/>
        </w:rPr>
        <w:t xml:space="preserve"> fragmented</w:t>
      </w:r>
      <w:r w:rsidR="00100B91" w:rsidRPr="0035422B">
        <w:rPr>
          <w:noProof/>
          <w:color w:val="000000" w:themeColor="text1"/>
          <w:spacing w:val="-8"/>
        </w:rPr>
        <w:t>, proposing</w:t>
      </w:r>
      <w:r w:rsidR="00227189" w:rsidRPr="0035422B">
        <w:rPr>
          <w:noProof/>
          <w:color w:val="000000" w:themeColor="text1"/>
          <w:spacing w:val="-8"/>
        </w:rPr>
        <w:t xml:space="preserve"> inconsistent rail service offerings across Member States</w:t>
      </w:r>
      <w:r w:rsidR="003F2C2B" w:rsidRPr="0035422B">
        <w:rPr>
          <w:noProof/>
          <w:color w:val="000000" w:themeColor="text1"/>
          <w:spacing w:val="-8"/>
        </w:rPr>
        <w:t>. This creates</w:t>
      </w:r>
      <w:r w:rsidR="00227189" w:rsidRPr="0035422B">
        <w:rPr>
          <w:noProof/>
          <w:color w:val="000000" w:themeColor="text1"/>
          <w:spacing w:val="-8"/>
        </w:rPr>
        <w:t xml:space="preserve"> barriers to seamless international travel and limit</w:t>
      </w:r>
      <w:r w:rsidR="00675C9C" w:rsidRPr="0035422B">
        <w:rPr>
          <w:noProof/>
          <w:color w:val="000000" w:themeColor="text1"/>
          <w:spacing w:val="-8"/>
        </w:rPr>
        <w:t>s</w:t>
      </w:r>
      <w:r w:rsidR="00227189" w:rsidRPr="0035422B">
        <w:rPr>
          <w:noProof/>
          <w:color w:val="000000" w:themeColor="text1"/>
          <w:spacing w:val="-8"/>
        </w:rPr>
        <w:t xml:space="preserve"> the effectiveness of multimodal transport solutions. EU-level intervention can help overcome these obstacles by harmonising data-sharing practices and fostering competition. </w:t>
      </w:r>
    </w:p>
    <w:p w14:paraId="0F0B0ADE" w14:textId="29FFFD75" w:rsidR="00A47D95" w:rsidRPr="0035422B" w:rsidRDefault="00421239" w:rsidP="00BE0889">
      <w:pPr>
        <w:spacing w:after="240"/>
        <w:jc w:val="both"/>
        <w:rPr>
          <w:noProof/>
          <w:color w:val="000000" w:themeColor="text1"/>
          <w:spacing w:val="-8"/>
        </w:rPr>
      </w:pPr>
      <w:r w:rsidRPr="0035422B">
        <w:rPr>
          <w:noProof/>
          <w:color w:val="000000" w:themeColor="text1"/>
          <w:spacing w:val="-8"/>
        </w:rPr>
        <w:t>A</w:t>
      </w:r>
      <w:r w:rsidR="00A47D95" w:rsidRPr="0035422B">
        <w:rPr>
          <w:noProof/>
          <w:color w:val="000000" w:themeColor="text1"/>
          <w:spacing w:val="-8"/>
        </w:rPr>
        <w:t xml:space="preserve">ll POs are in line with the principle of subsidiarity, although the </w:t>
      </w:r>
      <w:r w:rsidR="00CD3D3E" w:rsidRPr="0035422B">
        <w:rPr>
          <w:noProof/>
          <w:color w:val="000000" w:themeColor="text1"/>
          <w:spacing w:val="-8"/>
        </w:rPr>
        <w:t>rules</w:t>
      </w:r>
      <w:r w:rsidR="00A47D95" w:rsidRPr="0035422B">
        <w:rPr>
          <w:noProof/>
          <w:color w:val="000000" w:themeColor="text1"/>
          <w:spacing w:val="-8"/>
        </w:rPr>
        <w:t xml:space="preserve"> mandat</w:t>
      </w:r>
      <w:r w:rsidR="00E358EF" w:rsidRPr="0035422B">
        <w:rPr>
          <w:noProof/>
          <w:color w:val="000000" w:themeColor="text1"/>
          <w:spacing w:val="-8"/>
        </w:rPr>
        <w:t>ing parties to enter into commercial agreements</w:t>
      </w:r>
      <w:r w:rsidR="00A47D95" w:rsidRPr="0035422B">
        <w:rPr>
          <w:noProof/>
          <w:color w:val="000000" w:themeColor="text1"/>
          <w:spacing w:val="-8"/>
        </w:rPr>
        <w:t xml:space="preserve"> included in PO2</w:t>
      </w:r>
      <w:r w:rsidR="00970805" w:rsidRPr="0035422B">
        <w:rPr>
          <w:noProof/>
          <w:color w:val="000000" w:themeColor="text1"/>
          <w:spacing w:val="-8"/>
        </w:rPr>
        <w:t>, PO3</w:t>
      </w:r>
      <w:r w:rsidR="00A47D95" w:rsidRPr="0035422B">
        <w:rPr>
          <w:noProof/>
          <w:color w:val="000000" w:themeColor="text1"/>
          <w:spacing w:val="-8"/>
        </w:rPr>
        <w:t xml:space="preserve"> and PO</w:t>
      </w:r>
      <w:r w:rsidR="00970805" w:rsidRPr="0035422B">
        <w:rPr>
          <w:noProof/>
          <w:color w:val="000000" w:themeColor="text1"/>
          <w:spacing w:val="-8"/>
        </w:rPr>
        <w:t>4</w:t>
      </w:r>
      <w:r w:rsidR="009E29B1" w:rsidRPr="0035422B">
        <w:rPr>
          <w:noProof/>
          <w:color w:val="000000" w:themeColor="text1"/>
          <w:spacing w:val="-8"/>
        </w:rPr>
        <w:t>,</w:t>
      </w:r>
      <w:r w:rsidR="00A47D95" w:rsidRPr="0035422B">
        <w:rPr>
          <w:noProof/>
          <w:color w:val="000000" w:themeColor="text1"/>
          <w:spacing w:val="-8"/>
        </w:rPr>
        <w:t xml:space="preserve"> </w:t>
      </w:r>
      <w:r w:rsidR="00B23FE7" w:rsidRPr="0035422B">
        <w:rPr>
          <w:noProof/>
          <w:color w:val="000000" w:themeColor="text1"/>
          <w:spacing w:val="-8"/>
        </w:rPr>
        <w:t xml:space="preserve">and the unbundling </w:t>
      </w:r>
      <w:r w:rsidR="009E29B1" w:rsidRPr="0035422B">
        <w:rPr>
          <w:noProof/>
          <w:color w:val="000000" w:themeColor="text1"/>
          <w:spacing w:val="-8"/>
        </w:rPr>
        <w:t>obligation</w:t>
      </w:r>
      <w:r w:rsidR="00B23FE7" w:rsidRPr="0035422B">
        <w:rPr>
          <w:noProof/>
          <w:color w:val="000000" w:themeColor="text1"/>
          <w:spacing w:val="-8"/>
        </w:rPr>
        <w:t xml:space="preserve"> included in PO4</w:t>
      </w:r>
      <w:r w:rsidR="00A47D95" w:rsidRPr="0035422B">
        <w:rPr>
          <w:noProof/>
          <w:color w:val="000000" w:themeColor="text1"/>
          <w:spacing w:val="-8"/>
        </w:rPr>
        <w:t xml:space="preserve"> mean that these are more likely to deliver the objectives of the initiative than PO1 (which </w:t>
      </w:r>
      <w:r w:rsidR="003C1F9F" w:rsidRPr="0035422B">
        <w:rPr>
          <w:noProof/>
          <w:color w:val="000000" w:themeColor="text1"/>
          <w:spacing w:val="-8"/>
        </w:rPr>
        <w:t xml:space="preserve">is not expected to fundamentally increase the number of commercial agreements between parties, and therefore </w:t>
      </w:r>
      <w:r w:rsidR="00414C1F" w:rsidRPr="0035422B">
        <w:rPr>
          <w:noProof/>
          <w:color w:val="000000" w:themeColor="text1"/>
          <w:spacing w:val="-8"/>
        </w:rPr>
        <w:t>allow for a more comprehensive transport offer on platforms</w:t>
      </w:r>
      <w:r w:rsidR="00A47D95" w:rsidRPr="0035422B">
        <w:rPr>
          <w:noProof/>
          <w:color w:val="000000" w:themeColor="text1"/>
          <w:spacing w:val="-8"/>
        </w:rPr>
        <w:t xml:space="preserve">). </w:t>
      </w:r>
    </w:p>
    <w:p w14:paraId="2654EE45" w14:textId="77777777" w:rsidR="0055391F" w:rsidRPr="004E4359" w:rsidRDefault="000A4E18" w:rsidP="0055391F">
      <w:pPr>
        <w:spacing w:after="240"/>
        <w:rPr>
          <w:i/>
          <w:iCs/>
          <w:noProof/>
        </w:rPr>
      </w:pPr>
      <w:r w:rsidRPr="0035422B">
        <w:rPr>
          <w:noProof/>
          <w:color w:val="000000" w:themeColor="text1"/>
          <w:spacing w:val="-8"/>
        </w:rPr>
        <w:t xml:space="preserve">All policy options comply with the principle of </w:t>
      </w:r>
      <w:r w:rsidRPr="0035422B">
        <w:rPr>
          <w:b/>
          <w:noProof/>
          <w:color w:val="000000" w:themeColor="text1"/>
          <w:spacing w:val="-8"/>
        </w:rPr>
        <w:t>proportionality</w:t>
      </w:r>
      <w:r>
        <w:rPr>
          <w:b/>
          <w:noProof/>
          <w:color w:val="000000" w:themeColor="text1"/>
          <w:spacing w:val="-8"/>
        </w:rPr>
        <w:t xml:space="preserve">. </w:t>
      </w:r>
      <w:r w:rsidRPr="005D2D60">
        <w:rPr>
          <w:noProof/>
          <w:color w:val="000000" w:themeColor="text1"/>
          <w:spacing w:val="-8"/>
        </w:rPr>
        <w:t xml:space="preserve"> </w:t>
      </w:r>
      <w:r w:rsidRPr="0035422B">
        <w:rPr>
          <w:noProof/>
          <w:color w:val="000000" w:themeColor="text1"/>
          <w:spacing w:val="-8"/>
        </w:rPr>
        <w:t xml:space="preserve">PO1 takes a light touch approach to address the three specific objectives and therefore does not risk </w:t>
      </w:r>
      <w:r w:rsidR="009C3803" w:rsidRPr="0035422B">
        <w:rPr>
          <w:noProof/>
          <w:color w:val="000000" w:themeColor="text1"/>
          <w:spacing w:val="-8"/>
        </w:rPr>
        <w:t>be</w:t>
      </w:r>
      <w:r w:rsidRPr="0035422B">
        <w:rPr>
          <w:noProof/>
          <w:color w:val="000000" w:themeColor="text1"/>
          <w:spacing w:val="-8"/>
        </w:rPr>
        <w:t xml:space="preserve"> considered disproportionate. PO2</w:t>
      </w:r>
      <w:r w:rsidR="0037360B" w:rsidRPr="0035422B">
        <w:rPr>
          <w:noProof/>
          <w:color w:val="000000" w:themeColor="text1"/>
          <w:spacing w:val="-8"/>
        </w:rPr>
        <w:t xml:space="preserve"> introduces a </w:t>
      </w:r>
      <w:r w:rsidRPr="0035422B">
        <w:rPr>
          <w:noProof/>
          <w:color w:val="000000" w:themeColor="text1"/>
          <w:spacing w:val="-8"/>
        </w:rPr>
        <w:t xml:space="preserve">sharing obligation </w:t>
      </w:r>
      <w:r w:rsidRPr="0035422B">
        <w:rPr>
          <w:noProof/>
          <w:spacing w:val="-8"/>
        </w:rPr>
        <w:t xml:space="preserve">fostering access to a complete rail offer on independent platforms. This is a more stringent measure which is however only imposed on RUs dominating the operational services market as illustrated in </w:t>
      </w:r>
      <w:r w:rsidR="002316B8" w:rsidRPr="00723129">
        <w:rPr>
          <w:noProof/>
          <w:spacing w:val="-8"/>
        </w:rPr>
        <w:fldChar w:fldCharType="begin"/>
      </w:r>
      <w:r w:rsidR="002316B8" w:rsidRPr="0035422B">
        <w:rPr>
          <w:noProof/>
          <w:spacing w:val="-8"/>
        </w:rPr>
        <w:instrText xml:space="preserve"> REF _Ref223113070 \h </w:instrText>
      </w:r>
      <w:r w:rsidR="0035422B" w:rsidRPr="0035422B">
        <w:rPr>
          <w:noProof/>
          <w:spacing w:val="-8"/>
        </w:rPr>
        <w:instrText xml:space="preserve"> \* MERGEFORMAT </w:instrText>
      </w:r>
      <w:r w:rsidR="002316B8" w:rsidRPr="00723129">
        <w:rPr>
          <w:noProof/>
          <w:spacing w:val="-8"/>
        </w:rPr>
      </w:r>
      <w:r w:rsidR="002316B8" w:rsidRPr="00723129">
        <w:rPr>
          <w:noProof/>
          <w:spacing w:val="-8"/>
        </w:rPr>
        <w:fldChar w:fldCharType="separate"/>
      </w:r>
      <w:r>
        <w:rPr>
          <w:noProof/>
          <w:spacing w:val="-8"/>
        </w:rPr>
        <w:t xml:space="preserve">All incumbent RUs (except in PL, see </w:t>
      </w:r>
      <w:r>
        <w:rPr>
          <w:b/>
          <w:bCs/>
          <w:i/>
          <w:iCs/>
          <w:noProof/>
          <w:spacing w:val="-8"/>
          <w:lang w:val="en-US"/>
        </w:rPr>
        <w:t>Error! Not a valid bookmark self-reference.</w:t>
      </w:r>
      <w:r>
        <w:rPr>
          <w:noProof/>
          <w:spacing w:val="-8"/>
        </w:rPr>
        <w:t>) have Significant Market Presence (SMP) in the national transport service market, i.e. a market share above 50% in terms of passenger kilometres. All of them also have one or more digital ticket sales channels, 19 of which are MDMS platforms as they also sell tickets of other RUs or operators in other modes, while only 6 sell their own tickets and are greyed out in the chart. The platforms owned by incumbent RUs have a very large customer base and are the standard reference for rail ticket customers. National competition authorities and economic studies consistently show that the vast majority of consumer searches and online ticket sales are concentrated on the RUs with SMP’s proprietary digital channels (websites and mobile applications), while third-party ticketing platforms account for only a limited share of transactions. For example, the 2021 report of the Monopolkommission</w:t>
      </w:r>
      <w:r>
        <w:rPr>
          <w:noProof/>
          <w:spacing w:val="-8"/>
          <w:vertAlign w:val="superscript"/>
        </w:rPr>
        <w:t xml:space="preserve"> </w:t>
      </w:r>
      <w:r>
        <w:rPr>
          <w:noProof/>
          <w:spacing w:val="-8"/>
        </w:rPr>
        <w:t>shows that among major online platforms for long-distance rail tickets in Germany, about 90% of website visits go to Bahn.de, indicating DB’s dominant position in online distribution markets. This renders the incumbent platforms an indispensable distribution channel for any rail operator offering transport services in the respective national market. This is particularly the case of platforms that sell tickets of multiple RUs, as customers may not realise that their offer is incomplete and are thus less likely to make alternative searches. On the other hand, when it is clear for customers that they must look elsewhere to access tickets of competing RUs, they are more likely to use competitors’ or independent platforms. Accordingly, in the rest of this document, the ticketing platforms owned by incumbent RUs (the 19 in blue in Figure 4) are referred to as ‘indispensable RU platforms’, but not when they do not sell third party tickets (the 6 in grey in Figure 4).</w:t>
      </w:r>
    </w:p>
    <w:p w14:paraId="234590E1" w14:textId="77777777" w:rsidR="0055391F" w:rsidRPr="004E4359" w:rsidRDefault="0055391F" w:rsidP="004E4359">
      <w:pPr>
        <w:rPr>
          <w:noProof/>
          <w:lang w:val="en-GB" w:eastAsia="en-US"/>
        </w:rPr>
      </w:pPr>
    </w:p>
    <w:p w14:paraId="33627E03" w14:textId="3ED3C9FA" w:rsidR="002347A3" w:rsidRDefault="0055391F" w:rsidP="0055391F">
      <w:pPr>
        <w:spacing w:after="240"/>
        <w:jc w:val="both"/>
        <w:rPr>
          <w:noProof/>
          <w:color w:val="000000" w:themeColor="text1"/>
          <w:spacing w:val="-8"/>
        </w:rPr>
      </w:pPr>
      <w:r>
        <w:rPr>
          <w:noProof/>
          <w:sz w:val="22"/>
          <w:szCs w:val="22"/>
        </w:rPr>
        <w:t>Figure 4</w:t>
      </w:r>
      <w:r w:rsidR="002316B8" w:rsidRPr="00723129">
        <w:rPr>
          <w:noProof/>
          <w:spacing w:val="-8"/>
        </w:rPr>
        <w:fldChar w:fldCharType="end"/>
      </w:r>
      <w:r w:rsidR="000A4E18" w:rsidRPr="0035422B">
        <w:rPr>
          <w:noProof/>
          <w:spacing w:val="-8"/>
        </w:rPr>
        <w:t>.</w:t>
      </w:r>
      <w:r w:rsidR="000A4E18" w:rsidRPr="0035422B" w:rsidDel="0002612D">
        <w:rPr>
          <w:noProof/>
          <w:color w:val="000000" w:themeColor="text1"/>
          <w:spacing w:val="-8"/>
        </w:rPr>
        <w:t xml:space="preserve"> </w:t>
      </w:r>
      <w:r w:rsidR="00467BA6">
        <w:rPr>
          <w:noProof/>
          <w:color w:val="000000" w:themeColor="text1"/>
          <w:spacing w:val="-8"/>
        </w:rPr>
        <w:t xml:space="preserve">One-off costs for the connection to relevant IT systems will be borne </w:t>
      </w:r>
      <w:r w:rsidR="00A52B16">
        <w:rPr>
          <w:noProof/>
          <w:color w:val="000000" w:themeColor="text1"/>
          <w:spacing w:val="-8"/>
        </w:rPr>
        <w:t xml:space="preserve">by requesting platforms and commission fees </w:t>
      </w:r>
      <w:r w:rsidR="00CE616E">
        <w:rPr>
          <w:noProof/>
          <w:color w:val="000000" w:themeColor="text1"/>
          <w:spacing w:val="-8"/>
        </w:rPr>
        <w:t xml:space="preserve">(to be paid by the </w:t>
      </w:r>
      <w:r w:rsidR="005B0480">
        <w:rPr>
          <w:noProof/>
          <w:color w:val="000000" w:themeColor="text1"/>
          <w:spacing w:val="-8"/>
        </w:rPr>
        <w:t>RU to the platform)</w:t>
      </w:r>
      <w:r w:rsidR="00A52B16">
        <w:rPr>
          <w:noProof/>
          <w:color w:val="000000" w:themeColor="text1"/>
          <w:spacing w:val="-8"/>
        </w:rPr>
        <w:t xml:space="preserve"> </w:t>
      </w:r>
      <w:r w:rsidR="00512CC9">
        <w:rPr>
          <w:noProof/>
          <w:color w:val="000000" w:themeColor="text1"/>
          <w:spacing w:val="-8"/>
        </w:rPr>
        <w:t xml:space="preserve">only </w:t>
      </w:r>
      <w:r w:rsidR="003563D6">
        <w:rPr>
          <w:noProof/>
          <w:color w:val="000000" w:themeColor="text1"/>
          <w:spacing w:val="-8"/>
        </w:rPr>
        <w:t>arise</w:t>
      </w:r>
      <w:r w:rsidR="00512CC9">
        <w:rPr>
          <w:noProof/>
          <w:color w:val="000000" w:themeColor="text1"/>
          <w:spacing w:val="-8"/>
        </w:rPr>
        <w:t xml:space="preserve"> whe</w:t>
      </w:r>
      <w:r w:rsidR="003563D6">
        <w:rPr>
          <w:noProof/>
          <w:color w:val="000000" w:themeColor="text1"/>
          <w:spacing w:val="-8"/>
        </w:rPr>
        <w:t>n</w:t>
      </w:r>
      <w:r w:rsidR="00512CC9">
        <w:rPr>
          <w:noProof/>
          <w:color w:val="000000" w:themeColor="text1"/>
          <w:spacing w:val="-8"/>
        </w:rPr>
        <w:t xml:space="preserve"> tickets </w:t>
      </w:r>
      <w:r w:rsidR="003563D6">
        <w:rPr>
          <w:noProof/>
          <w:color w:val="000000" w:themeColor="text1"/>
          <w:spacing w:val="-8"/>
        </w:rPr>
        <w:t>are</w:t>
      </w:r>
      <w:r w:rsidR="00512CC9">
        <w:rPr>
          <w:noProof/>
          <w:color w:val="000000" w:themeColor="text1"/>
          <w:spacing w:val="-8"/>
        </w:rPr>
        <w:t xml:space="preserve"> sold</w:t>
      </w:r>
      <w:r w:rsidR="00506BF4">
        <w:rPr>
          <w:noProof/>
          <w:color w:val="000000" w:themeColor="text1"/>
          <w:spacing w:val="-8"/>
        </w:rPr>
        <w:t>. The costs for RUs are thus kept to the necessary minimum.</w:t>
      </w:r>
      <w:r w:rsidR="00467BA6">
        <w:rPr>
          <w:noProof/>
          <w:color w:val="000000" w:themeColor="text1"/>
          <w:spacing w:val="-8"/>
        </w:rPr>
        <w:t xml:space="preserve"> </w:t>
      </w:r>
      <w:r w:rsidR="00AB5EFB">
        <w:rPr>
          <w:noProof/>
          <w:color w:val="000000" w:themeColor="text1"/>
          <w:spacing w:val="-8"/>
        </w:rPr>
        <w:t>The sharing obligation is necessary</w:t>
      </w:r>
      <w:r w:rsidR="00FA1582">
        <w:rPr>
          <w:noProof/>
          <w:color w:val="000000" w:themeColor="text1"/>
          <w:spacing w:val="-8"/>
        </w:rPr>
        <w:t xml:space="preserve"> because </w:t>
      </w:r>
      <w:r w:rsidR="0065215A">
        <w:rPr>
          <w:noProof/>
          <w:color w:val="000000" w:themeColor="text1"/>
          <w:spacing w:val="-8"/>
        </w:rPr>
        <w:t xml:space="preserve">a significant part of </w:t>
      </w:r>
      <w:r w:rsidR="007B2DE9">
        <w:rPr>
          <w:noProof/>
          <w:color w:val="000000" w:themeColor="text1"/>
          <w:spacing w:val="-8"/>
        </w:rPr>
        <w:t>RUs</w:t>
      </w:r>
      <w:r w:rsidR="00FA1582">
        <w:rPr>
          <w:noProof/>
          <w:color w:val="000000" w:themeColor="text1"/>
          <w:spacing w:val="-8"/>
        </w:rPr>
        <w:t xml:space="preserve"> </w:t>
      </w:r>
      <w:r w:rsidR="00665126">
        <w:rPr>
          <w:noProof/>
          <w:color w:val="000000" w:themeColor="text1"/>
          <w:spacing w:val="-8"/>
        </w:rPr>
        <w:t xml:space="preserve">have few incentives to sell </w:t>
      </w:r>
      <w:r w:rsidR="00366A0A">
        <w:rPr>
          <w:noProof/>
          <w:color w:val="000000" w:themeColor="text1"/>
          <w:spacing w:val="-8"/>
        </w:rPr>
        <w:t xml:space="preserve">a complete offer of </w:t>
      </w:r>
      <w:r w:rsidR="00A36AA3">
        <w:rPr>
          <w:noProof/>
          <w:color w:val="000000" w:themeColor="text1"/>
          <w:spacing w:val="-8"/>
        </w:rPr>
        <w:t>tickets via third parties</w:t>
      </w:r>
      <w:r w:rsidR="00582F5E">
        <w:rPr>
          <w:noProof/>
          <w:spacing w:val="-8"/>
        </w:rPr>
        <w:t>, especially when they reserve some offers for the clients of their vertically integrated platform</w:t>
      </w:r>
      <w:r w:rsidR="00682C3E">
        <w:rPr>
          <w:noProof/>
          <w:spacing w:val="-8"/>
        </w:rPr>
        <w:t xml:space="preserve"> or when </w:t>
      </w:r>
      <w:r w:rsidR="00682C3E">
        <w:rPr>
          <w:noProof/>
          <w:color w:val="000000" w:themeColor="text1"/>
          <w:spacing w:val="-8"/>
        </w:rPr>
        <w:t>t</w:t>
      </w:r>
      <w:r w:rsidR="007B2DE9">
        <w:rPr>
          <w:noProof/>
          <w:color w:val="000000" w:themeColor="text1"/>
          <w:spacing w:val="-8"/>
        </w:rPr>
        <w:t xml:space="preserve">he focus of their business is on </w:t>
      </w:r>
      <w:r w:rsidR="004F1196">
        <w:rPr>
          <w:noProof/>
          <w:color w:val="000000" w:themeColor="text1"/>
          <w:spacing w:val="-8"/>
        </w:rPr>
        <w:t>local passengers</w:t>
      </w:r>
      <w:r w:rsidR="00AD6999">
        <w:rPr>
          <w:noProof/>
          <w:color w:val="000000" w:themeColor="text1"/>
          <w:spacing w:val="-8"/>
        </w:rPr>
        <w:t xml:space="preserve"> </w:t>
      </w:r>
      <w:r w:rsidR="007C2450">
        <w:rPr>
          <w:noProof/>
          <w:color w:val="000000" w:themeColor="text1"/>
          <w:spacing w:val="-8"/>
        </w:rPr>
        <w:t>mostly reached through their own distribution channels</w:t>
      </w:r>
      <w:r w:rsidR="00CC5688">
        <w:rPr>
          <w:noProof/>
          <w:color w:val="000000" w:themeColor="text1"/>
          <w:spacing w:val="-8"/>
        </w:rPr>
        <w:t>.</w:t>
      </w:r>
      <w:r w:rsidR="00467BA6">
        <w:rPr>
          <w:noProof/>
          <w:color w:val="000000" w:themeColor="text1"/>
          <w:spacing w:val="-8"/>
        </w:rPr>
        <w:t xml:space="preserve"> </w:t>
      </w:r>
      <w:r w:rsidR="000A4E18" w:rsidRPr="0035422B">
        <w:rPr>
          <w:noProof/>
          <w:color w:val="000000" w:themeColor="text1"/>
          <w:spacing w:val="-8"/>
        </w:rPr>
        <w:t>PO3 further increases the availability of rail tickets for passenger</w:t>
      </w:r>
      <w:r w:rsidR="000A4E18">
        <w:rPr>
          <w:noProof/>
          <w:color w:val="000000" w:themeColor="text1"/>
          <w:spacing w:val="-8"/>
        </w:rPr>
        <w:t>s</w:t>
      </w:r>
      <w:r w:rsidR="000A4E18" w:rsidRPr="0035422B">
        <w:rPr>
          <w:noProof/>
          <w:color w:val="000000" w:themeColor="text1"/>
          <w:spacing w:val="-8"/>
        </w:rPr>
        <w:t xml:space="preserve"> by introducing a </w:t>
      </w:r>
      <w:r w:rsidR="0037360B" w:rsidRPr="0035422B">
        <w:rPr>
          <w:noProof/>
          <w:color w:val="000000" w:themeColor="text1"/>
          <w:spacing w:val="-8"/>
        </w:rPr>
        <w:t xml:space="preserve">hosting obligation </w:t>
      </w:r>
      <w:r w:rsidR="000A4E18" w:rsidRPr="0035422B">
        <w:rPr>
          <w:noProof/>
          <w:color w:val="000000" w:themeColor="text1"/>
          <w:spacing w:val="-8"/>
        </w:rPr>
        <w:t>on indispensable RU platforms</w:t>
      </w:r>
      <w:r w:rsidR="000A4E18" w:rsidRPr="000A4E18">
        <w:rPr>
          <w:noProof/>
          <w:color w:val="000000" w:themeColor="text1"/>
          <w:spacing w:val="-8"/>
        </w:rPr>
        <w:t xml:space="preserve"> </w:t>
      </w:r>
      <w:r w:rsidR="000A4E18" w:rsidRPr="0035422B">
        <w:rPr>
          <w:noProof/>
          <w:color w:val="000000" w:themeColor="text1"/>
          <w:spacing w:val="-8"/>
        </w:rPr>
        <w:t>justified by the SMP these platforms enjoy through the vertical integration with a RU dominant in the operational services market.</w:t>
      </w:r>
      <w:r w:rsidR="0037360B" w:rsidRPr="005D2D60">
        <w:rPr>
          <w:noProof/>
          <w:color w:val="000000" w:themeColor="text1"/>
          <w:spacing w:val="-8"/>
        </w:rPr>
        <w:t xml:space="preserve"> </w:t>
      </w:r>
      <w:r w:rsidR="00B03A6D">
        <w:rPr>
          <w:noProof/>
          <w:color w:val="000000" w:themeColor="text1"/>
          <w:spacing w:val="-8"/>
        </w:rPr>
        <w:t>T</w:t>
      </w:r>
      <w:r w:rsidR="000C3482">
        <w:rPr>
          <w:noProof/>
          <w:color w:val="000000" w:themeColor="text1"/>
          <w:spacing w:val="-8"/>
        </w:rPr>
        <w:t xml:space="preserve">he hosting obligation </w:t>
      </w:r>
      <w:r w:rsidR="00263C2C">
        <w:rPr>
          <w:noProof/>
          <w:color w:val="000000" w:themeColor="text1"/>
          <w:spacing w:val="-8"/>
        </w:rPr>
        <w:t>only applies to companies that are already active</w:t>
      </w:r>
      <w:r w:rsidR="00B03A6D">
        <w:rPr>
          <w:noProof/>
          <w:color w:val="000000" w:themeColor="text1"/>
          <w:spacing w:val="-8"/>
        </w:rPr>
        <w:t xml:space="preserve"> in </w:t>
      </w:r>
      <w:r w:rsidR="00955EB7">
        <w:rPr>
          <w:noProof/>
          <w:color w:val="000000" w:themeColor="text1"/>
          <w:spacing w:val="-8"/>
        </w:rPr>
        <w:t xml:space="preserve">distributing tickets of other companies. Such platforms would be required to </w:t>
      </w:r>
      <w:r w:rsidR="00AA0103">
        <w:rPr>
          <w:noProof/>
          <w:color w:val="000000" w:themeColor="text1"/>
          <w:spacing w:val="-8"/>
        </w:rPr>
        <w:t>offer the same kind of service, in a non-discriminatory fashion, to other requesting opera</w:t>
      </w:r>
      <w:r w:rsidR="0040764B">
        <w:rPr>
          <w:noProof/>
          <w:color w:val="000000" w:themeColor="text1"/>
          <w:spacing w:val="-8"/>
        </w:rPr>
        <w:t>tors</w:t>
      </w:r>
      <w:r w:rsidR="00D82C50">
        <w:rPr>
          <w:noProof/>
          <w:color w:val="000000" w:themeColor="text1"/>
          <w:spacing w:val="-8"/>
        </w:rPr>
        <w:t xml:space="preserve"> in the same </w:t>
      </w:r>
      <w:r w:rsidR="005324D5">
        <w:rPr>
          <w:noProof/>
          <w:color w:val="000000" w:themeColor="text1"/>
          <w:spacing w:val="-8"/>
        </w:rPr>
        <w:t>Member State</w:t>
      </w:r>
      <w:r w:rsidR="0040764B">
        <w:rPr>
          <w:noProof/>
          <w:color w:val="000000" w:themeColor="text1"/>
          <w:spacing w:val="-8"/>
        </w:rPr>
        <w:t>.</w:t>
      </w:r>
      <w:r w:rsidR="00523BEC">
        <w:rPr>
          <w:noProof/>
          <w:color w:val="000000" w:themeColor="text1"/>
          <w:spacing w:val="-8"/>
        </w:rPr>
        <w:t xml:space="preserve"> The hosting obligation thus does not require a change in business model.</w:t>
      </w:r>
      <w:r w:rsidR="000C3482">
        <w:rPr>
          <w:noProof/>
          <w:color w:val="000000" w:themeColor="text1"/>
          <w:spacing w:val="-8"/>
        </w:rPr>
        <w:t xml:space="preserve"> </w:t>
      </w:r>
      <w:r w:rsidR="0037360B" w:rsidRPr="005D2D60">
        <w:rPr>
          <w:noProof/>
          <w:color w:val="000000" w:themeColor="text1"/>
          <w:spacing w:val="-8"/>
        </w:rPr>
        <w:t>This targeted intervention is proportionate to the policy objectives, addressing a clear market failure where indispensable RU platforms dominate both rail operations and distribution, thereby restricting competition and consumer choice. The measure is necessary because voluntary approaches have failed to deliver seamless multimodal access</w:t>
      </w:r>
      <w:r w:rsidR="001A5939">
        <w:rPr>
          <w:noProof/>
          <w:color w:val="000000" w:themeColor="text1"/>
          <w:spacing w:val="-8"/>
        </w:rPr>
        <w:t>:</w:t>
      </w:r>
      <w:r w:rsidR="0037360B" w:rsidRPr="005D2D60">
        <w:rPr>
          <w:noProof/>
          <w:color w:val="000000" w:themeColor="text1"/>
          <w:spacing w:val="-8"/>
        </w:rPr>
        <w:t xml:space="preserve"> </w:t>
      </w:r>
      <w:r w:rsidR="00B111CC">
        <w:rPr>
          <w:noProof/>
          <w:color w:val="000000" w:themeColor="text1"/>
          <w:spacing w:val="-8"/>
        </w:rPr>
        <w:t>v</w:t>
      </w:r>
      <w:r w:rsidR="00460619">
        <w:rPr>
          <w:noProof/>
          <w:color w:val="000000" w:themeColor="text1"/>
          <w:spacing w:val="-8"/>
        </w:rPr>
        <w:t>ertically</w:t>
      </w:r>
      <w:r w:rsidR="009E1225">
        <w:rPr>
          <w:noProof/>
          <w:color w:val="000000" w:themeColor="text1"/>
          <w:spacing w:val="-8"/>
        </w:rPr>
        <w:t xml:space="preserve"> integrated platforms see themselves primarily as rail operators</w:t>
      </w:r>
      <w:r w:rsidR="00890656">
        <w:rPr>
          <w:noProof/>
          <w:color w:val="000000" w:themeColor="text1"/>
          <w:spacing w:val="-8"/>
        </w:rPr>
        <w:t xml:space="preserve">, more interested in limiting competition on the railway services market than </w:t>
      </w:r>
      <w:r w:rsidR="00D15C29">
        <w:rPr>
          <w:noProof/>
          <w:color w:val="000000" w:themeColor="text1"/>
          <w:spacing w:val="-8"/>
        </w:rPr>
        <w:t>in expanding their business in the platform market</w:t>
      </w:r>
      <w:r w:rsidR="007528EE">
        <w:rPr>
          <w:noProof/>
          <w:color w:val="000000" w:themeColor="text1"/>
          <w:spacing w:val="-8"/>
        </w:rPr>
        <w:t>.</w:t>
      </w:r>
      <w:r w:rsidR="0037360B" w:rsidRPr="005D2D60">
        <w:rPr>
          <w:noProof/>
          <w:color w:val="000000" w:themeColor="text1"/>
          <w:spacing w:val="-8"/>
        </w:rPr>
        <w:t xml:space="preserve"> PO3 strikes a balance by leveraging existing </w:t>
      </w:r>
      <w:r w:rsidR="001F3713" w:rsidRPr="005D2D60">
        <w:rPr>
          <w:noProof/>
          <w:color w:val="000000" w:themeColor="text1"/>
          <w:spacing w:val="-8"/>
        </w:rPr>
        <w:t>passenger gateways</w:t>
      </w:r>
      <w:r w:rsidR="0037360B" w:rsidRPr="005D2D60">
        <w:rPr>
          <w:noProof/>
          <w:color w:val="000000" w:themeColor="text1"/>
          <w:spacing w:val="-8"/>
        </w:rPr>
        <w:t xml:space="preserve"> </w:t>
      </w:r>
      <w:r w:rsidR="00D15C29">
        <w:rPr>
          <w:noProof/>
          <w:color w:val="000000" w:themeColor="text1"/>
          <w:spacing w:val="-8"/>
        </w:rPr>
        <w:t>–</w:t>
      </w:r>
      <w:r w:rsidR="0037360B" w:rsidRPr="005D2D60">
        <w:rPr>
          <w:noProof/>
          <w:color w:val="000000" w:themeColor="text1"/>
          <w:spacing w:val="-8"/>
        </w:rPr>
        <w:t xml:space="preserve"> requiring indispensable RU platforms to host third-party tickets </w:t>
      </w:r>
      <w:r w:rsidR="00D15C29">
        <w:rPr>
          <w:noProof/>
          <w:color w:val="000000" w:themeColor="text1"/>
          <w:spacing w:val="-8"/>
        </w:rPr>
        <w:t>–</w:t>
      </w:r>
      <w:r w:rsidR="0037360B" w:rsidRPr="005D2D60">
        <w:rPr>
          <w:noProof/>
          <w:color w:val="000000" w:themeColor="text1"/>
          <w:spacing w:val="-8"/>
        </w:rPr>
        <w:t xml:space="preserve"> without </w:t>
      </w:r>
      <w:r w:rsidR="006A11A1" w:rsidRPr="005D2D60">
        <w:rPr>
          <w:noProof/>
          <w:color w:val="000000" w:themeColor="text1"/>
          <w:spacing w:val="-8"/>
        </w:rPr>
        <w:t xml:space="preserve">imposing organisational </w:t>
      </w:r>
      <w:r w:rsidR="0037360B" w:rsidRPr="005D2D60">
        <w:rPr>
          <w:noProof/>
          <w:color w:val="000000" w:themeColor="text1"/>
          <w:spacing w:val="-8"/>
        </w:rPr>
        <w:t>separation. This ensures consumers enjoy easy access to rail and multimodal tickets</w:t>
      </w:r>
      <w:r w:rsidR="00741C09" w:rsidRPr="005D2D60">
        <w:rPr>
          <w:noProof/>
          <w:color w:val="000000" w:themeColor="text1"/>
          <w:spacing w:val="-8"/>
        </w:rPr>
        <w:t>,</w:t>
      </w:r>
      <w:r w:rsidR="0037360B" w:rsidRPr="005D2D60">
        <w:rPr>
          <w:noProof/>
          <w:color w:val="000000" w:themeColor="text1"/>
          <w:spacing w:val="-8"/>
        </w:rPr>
        <w:t xml:space="preserve"> competitors face a level playing field </w:t>
      </w:r>
      <w:r w:rsidR="00741C09" w:rsidRPr="005D2D60">
        <w:rPr>
          <w:noProof/>
          <w:color w:val="000000" w:themeColor="text1"/>
          <w:spacing w:val="-8"/>
        </w:rPr>
        <w:t>and</w:t>
      </w:r>
      <w:r w:rsidR="0037360B" w:rsidRPr="005D2D60">
        <w:rPr>
          <w:noProof/>
          <w:color w:val="000000" w:themeColor="text1"/>
          <w:spacing w:val="-8"/>
        </w:rPr>
        <w:t xml:space="preserve"> indispensable RUs retain their </w:t>
      </w:r>
      <w:r w:rsidR="0056538C" w:rsidRPr="005D2D60">
        <w:rPr>
          <w:noProof/>
          <w:color w:val="000000" w:themeColor="text1"/>
          <w:spacing w:val="-8"/>
        </w:rPr>
        <w:t xml:space="preserve">dominant platforms </w:t>
      </w:r>
      <w:r w:rsidR="0037360B" w:rsidRPr="005D2D60">
        <w:rPr>
          <w:noProof/>
          <w:color w:val="000000" w:themeColor="text1"/>
          <w:spacing w:val="-8"/>
        </w:rPr>
        <w:t xml:space="preserve">but cannot </w:t>
      </w:r>
      <w:r w:rsidR="00CA3FC7" w:rsidRPr="005D2D60">
        <w:rPr>
          <w:noProof/>
          <w:color w:val="000000" w:themeColor="text1"/>
          <w:spacing w:val="-8"/>
        </w:rPr>
        <w:t>exclude competing railway un</w:t>
      </w:r>
      <w:r w:rsidR="00E74A7B" w:rsidRPr="005D2D60">
        <w:rPr>
          <w:noProof/>
          <w:color w:val="000000" w:themeColor="text1"/>
          <w:spacing w:val="-8"/>
        </w:rPr>
        <w:t>d</w:t>
      </w:r>
      <w:r w:rsidR="00CA3FC7" w:rsidRPr="005D2D60">
        <w:rPr>
          <w:noProof/>
          <w:color w:val="000000" w:themeColor="text1"/>
          <w:spacing w:val="-8"/>
        </w:rPr>
        <w:t>ertakings</w:t>
      </w:r>
      <w:r w:rsidR="0037360B" w:rsidRPr="005D2D60">
        <w:rPr>
          <w:noProof/>
          <w:color w:val="000000" w:themeColor="text1"/>
          <w:spacing w:val="-8"/>
        </w:rPr>
        <w:t>.</w:t>
      </w:r>
      <w:r w:rsidR="00504AA8" w:rsidRPr="005D2D60">
        <w:rPr>
          <w:noProof/>
          <w:color w:val="000000" w:themeColor="text1"/>
          <w:spacing w:val="-8"/>
        </w:rPr>
        <w:t xml:space="preserve"> </w:t>
      </w:r>
      <w:r w:rsidR="0037360B" w:rsidRPr="005D2D60">
        <w:rPr>
          <w:noProof/>
          <w:color w:val="000000" w:themeColor="text1"/>
          <w:spacing w:val="-8"/>
        </w:rPr>
        <w:t>PO3 complies with EU proportionality principles, being suitable, necessary, and non-excessive in achieving its goals. Thus, it represents a measured, effective solution aligned with SERA and EU transport policy objectives.</w:t>
      </w:r>
      <w:r w:rsidR="00EB370E" w:rsidRPr="00EB370E">
        <w:rPr>
          <w:noProof/>
        </w:rPr>
        <w:t xml:space="preserve"> </w:t>
      </w:r>
      <w:r w:rsidR="00EB370E" w:rsidRPr="00EB370E">
        <w:rPr>
          <w:noProof/>
          <w:color w:val="000000" w:themeColor="text1"/>
          <w:spacing w:val="-8"/>
        </w:rPr>
        <w:t>PO4 possibly goes somewhat beyond what is necessary to reach the objectives by requiring rail incumbents to unbundle their distribution and operational services, which would result in much higher costs</w:t>
      </w:r>
      <w:r w:rsidR="00EB370E" w:rsidRPr="0035422B">
        <w:rPr>
          <w:noProof/>
          <w:color w:val="000000" w:themeColor="text1"/>
          <w:spacing w:val="-8"/>
        </w:rPr>
        <w:t>.</w:t>
      </w:r>
    </w:p>
    <w:p w14:paraId="2A4EEB4E" w14:textId="6F3CBCFB" w:rsidR="000747B4" w:rsidRPr="00D71008" w:rsidRDefault="003C4819" w:rsidP="00B53DFD">
      <w:pPr>
        <w:pStyle w:val="Heading2"/>
        <w:keepNext/>
        <w:widowControl/>
        <w:numPr>
          <w:ilvl w:val="1"/>
          <w:numId w:val="11"/>
        </w:numPr>
        <w:tabs>
          <w:tab w:val="left" w:pos="709"/>
        </w:tabs>
        <w:spacing w:before="240" w:after="240"/>
        <w:ind w:left="1134" w:hanging="709"/>
        <w:jc w:val="left"/>
        <w:rPr>
          <w:noProof/>
        </w:rPr>
      </w:pPr>
      <w:bookmarkStart w:id="217" w:name="7.5_Summary"/>
      <w:bookmarkStart w:id="218" w:name="_Toc220667508"/>
      <w:bookmarkStart w:id="219" w:name="_Toc223979990"/>
      <w:bookmarkEnd w:id="217"/>
      <w:r w:rsidRPr="00D71008">
        <w:rPr>
          <w:noProof/>
        </w:rPr>
        <w:t>Summary</w:t>
      </w:r>
      <w:bookmarkEnd w:id="218"/>
      <w:r w:rsidR="00C27375">
        <w:rPr>
          <w:noProof/>
        </w:rPr>
        <w:t xml:space="preserve"> of the effectiveness, efficiency, coherence, subsidiarity and proportionality</w:t>
      </w:r>
      <w:bookmarkEnd w:id="219"/>
      <w:r w:rsidR="00C27375">
        <w:rPr>
          <w:noProof/>
        </w:rPr>
        <w:t xml:space="preserve"> </w:t>
      </w:r>
    </w:p>
    <w:p w14:paraId="09EA3996" w14:textId="77777777" w:rsidR="006C7FE5" w:rsidRPr="006C7FE5" w:rsidRDefault="006C7FE5" w:rsidP="006C7FE5">
      <w:pPr>
        <w:spacing w:after="240"/>
        <w:jc w:val="both"/>
        <w:rPr>
          <w:noProof/>
          <w:spacing w:val="-8"/>
        </w:rPr>
      </w:pPr>
      <w:r w:rsidRPr="006C7FE5">
        <w:rPr>
          <w:noProof/>
          <w:spacing w:val="-8"/>
        </w:rPr>
        <w:t>The table below provides a summary of the comparison of the options against the baseline scenario in terms of effectiveness, efficiency, coherence, subsidiarity, and proportionality. The following ranking symbols have been used: from '+' (more effective/efficient/coherent/proportionate than the baseline) to '+++' (much more effective/efficient/coherent/proportionate than the baseline).</w:t>
      </w:r>
    </w:p>
    <w:p w14:paraId="71ED4D3B" w14:textId="5FA9034A" w:rsidR="00D12363" w:rsidRPr="003A7EF7" w:rsidRDefault="00CA340C" w:rsidP="003A7EF7">
      <w:pPr>
        <w:pStyle w:val="Text2"/>
        <w:spacing w:after="0"/>
        <w:ind w:left="0"/>
        <w:rPr>
          <w:rFonts w:cs="Times New Roman"/>
          <w:i/>
          <w:noProof/>
          <w:sz w:val="22"/>
          <w:szCs w:val="22"/>
        </w:rPr>
      </w:pPr>
      <w:bookmarkStart w:id="220" w:name="_Ref150986567"/>
      <w:r w:rsidRPr="00A771F4">
        <w:rPr>
          <w:rFonts w:cs="Times New Roman"/>
          <w:i/>
          <w:noProof/>
          <w:sz w:val="22"/>
          <w:szCs w:val="22"/>
        </w:rPr>
        <w:t xml:space="preserve">Table </w:t>
      </w:r>
      <w:r w:rsidRPr="00A771F4">
        <w:rPr>
          <w:rFonts w:cs="Times New Roman"/>
          <w:i/>
          <w:noProof/>
          <w:sz w:val="22"/>
          <w:szCs w:val="22"/>
        </w:rPr>
        <w:fldChar w:fldCharType="begin"/>
      </w:r>
      <w:r w:rsidRPr="00A771F4">
        <w:rPr>
          <w:rFonts w:cs="Times New Roman"/>
          <w:i/>
          <w:noProof/>
          <w:sz w:val="22"/>
          <w:szCs w:val="22"/>
        </w:rPr>
        <w:instrText xml:space="preserve"> SEQ Table \* ARABIC </w:instrText>
      </w:r>
      <w:r w:rsidRPr="00A771F4">
        <w:rPr>
          <w:rFonts w:cs="Times New Roman"/>
          <w:i/>
          <w:noProof/>
          <w:sz w:val="22"/>
          <w:szCs w:val="22"/>
        </w:rPr>
        <w:fldChar w:fldCharType="separate"/>
      </w:r>
      <w:r w:rsidR="0055391F">
        <w:rPr>
          <w:rFonts w:cs="Times New Roman"/>
          <w:i/>
          <w:noProof/>
          <w:sz w:val="22"/>
          <w:szCs w:val="22"/>
        </w:rPr>
        <w:t>26</w:t>
      </w:r>
      <w:r w:rsidRPr="00A771F4">
        <w:rPr>
          <w:rFonts w:cs="Times New Roman"/>
          <w:i/>
          <w:noProof/>
          <w:sz w:val="22"/>
          <w:szCs w:val="22"/>
        </w:rPr>
        <w:fldChar w:fldCharType="end"/>
      </w:r>
      <w:bookmarkEnd w:id="220"/>
      <w:r w:rsidRPr="00A771F4">
        <w:rPr>
          <w:rFonts w:cs="Times New Roman"/>
          <w:i/>
          <w:noProof/>
          <w:sz w:val="22"/>
          <w:szCs w:val="22"/>
        </w:rPr>
        <w:t>: Comparison of options in terms of effectiveness, efficiency, coherence, subsidiarity and proportionality relative to the baseline</w:t>
      </w:r>
      <w:r w:rsidR="00225351">
        <w:rPr>
          <w:rFonts w:cs="Times New Roman"/>
          <w:i/>
          <w:noProof/>
          <w:sz w:val="22"/>
          <w:szCs w:val="22"/>
        </w:rPr>
        <w:t xml:space="preserve"> (</w:t>
      </w:r>
      <w:r w:rsidR="0091799E">
        <w:rPr>
          <w:rFonts w:cs="Times New Roman"/>
          <w:i/>
          <w:noProof/>
          <w:sz w:val="22"/>
          <w:szCs w:val="22"/>
        </w:rPr>
        <w:t xml:space="preserve">from </w:t>
      </w:r>
      <w:r w:rsidR="00225351">
        <w:rPr>
          <w:rFonts w:cs="Times New Roman"/>
          <w:i/>
          <w:noProof/>
          <w:sz w:val="22"/>
          <w:szCs w:val="22"/>
        </w:rPr>
        <w:t xml:space="preserve"> + to </w:t>
      </w:r>
      <w:r w:rsidR="0091799E">
        <w:rPr>
          <w:rFonts w:cs="Times New Roman"/>
          <w:i/>
          <w:noProof/>
          <w:sz w:val="22"/>
          <w:szCs w:val="22"/>
        </w:rPr>
        <w:t>+++)</w:t>
      </w:r>
    </w:p>
    <w:tbl>
      <w:tblPr>
        <w:tblStyle w:val="TableGrid"/>
        <w:tblW w:w="9654" w:type="dxa"/>
        <w:tblLook w:val="04A0" w:firstRow="1" w:lastRow="0" w:firstColumn="1" w:lastColumn="0" w:noHBand="0" w:noVBand="1"/>
      </w:tblPr>
      <w:tblGrid>
        <w:gridCol w:w="2400"/>
        <w:gridCol w:w="1814"/>
        <w:gridCol w:w="1834"/>
        <w:gridCol w:w="1868"/>
        <w:gridCol w:w="1738"/>
      </w:tblGrid>
      <w:tr w:rsidR="0110A0F6" w14:paraId="100EAB33" w14:textId="77777777" w:rsidTr="00B86067">
        <w:trPr>
          <w:trHeight w:val="300"/>
          <w:tblHeader/>
        </w:trPr>
        <w:tc>
          <w:tcPr>
            <w:tcW w:w="2400"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tcPr>
          <w:p w14:paraId="77A54429" w14:textId="1C309451" w:rsidR="0110A0F6" w:rsidRDefault="0110A0F6" w:rsidP="0110A0F6">
            <w:pPr>
              <w:jc w:val="both"/>
              <w:rPr>
                <w:noProof/>
              </w:rPr>
            </w:pPr>
            <w:r w:rsidRPr="00255F89">
              <w:rPr>
                <w:noProof/>
                <w:color w:val="FFFFFF" w:themeColor="background1"/>
                <w:sz w:val="20"/>
                <w:szCs w:val="20"/>
              </w:rPr>
              <w:t>Criterion</w:t>
            </w:r>
          </w:p>
        </w:tc>
        <w:tc>
          <w:tcPr>
            <w:tcW w:w="1814"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tcPr>
          <w:p w14:paraId="2B9B0496" w14:textId="4AB37E4B" w:rsidR="0110A0F6" w:rsidRDefault="0110A0F6" w:rsidP="0110A0F6">
            <w:pPr>
              <w:jc w:val="center"/>
              <w:rPr>
                <w:noProof/>
              </w:rPr>
            </w:pPr>
            <w:r w:rsidRPr="00255F89">
              <w:rPr>
                <w:noProof/>
                <w:color w:val="FFFFFF" w:themeColor="background1"/>
                <w:sz w:val="20"/>
                <w:szCs w:val="20"/>
              </w:rPr>
              <w:t>PO1</w:t>
            </w:r>
          </w:p>
        </w:tc>
        <w:tc>
          <w:tcPr>
            <w:tcW w:w="1834"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tcPr>
          <w:p w14:paraId="597AB3DE" w14:textId="081E5B22" w:rsidR="0110A0F6" w:rsidRDefault="0110A0F6" w:rsidP="0110A0F6">
            <w:pPr>
              <w:jc w:val="center"/>
              <w:rPr>
                <w:noProof/>
              </w:rPr>
            </w:pPr>
            <w:r w:rsidRPr="00255F89">
              <w:rPr>
                <w:noProof/>
                <w:color w:val="FFFFFF" w:themeColor="background1"/>
                <w:sz w:val="20"/>
                <w:szCs w:val="20"/>
              </w:rPr>
              <w:t>PO2</w:t>
            </w:r>
          </w:p>
        </w:tc>
        <w:tc>
          <w:tcPr>
            <w:tcW w:w="1868"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tcPr>
          <w:p w14:paraId="3D68F753" w14:textId="580B0265" w:rsidR="0110A0F6" w:rsidRDefault="0110A0F6" w:rsidP="0110A0F6">
            <w:pPr>
              <w:jc w:val="center"/>
              <w:rPr>
                <w:noProof/>
              </w:rPr>
            </w:pPr>
            <w:r w:rsidRPr="00255F89">
              <w:rPr>
                <w:noProof/>
                <w:color w:val="FFFFFF" w:themeColor="background1"/>
                <w:sz w:val="20"/>
                <w:szCs w:val="20"/>
              </w:rPr>
              <w:t>PO3</w:t>
            </w:r>
          </w:p>
        </w:tc>
        <w:tc>
          <w:tcPr>
            <w:tcW w:w="1738"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tcPr>
          <w:p w14:paraId="208940D7" w14:textId="2BB41ACF" w:rsidR="0110A0F6" w:rsidRDefault="0110A0F6" w:rsidP="0110A0F6">
            <w:pPr>
              <w:jc w:val="center"/>
              <w:rPr>
                <w:noProof/>
              </w:rPr>
            </w:pPr>
            <w:r w:rsidRPr="00255F89">
              <w:rPr>
                <w:noProof/>
                <w:color w:val="FFFFFF" w:themeColor="background1"/>
                <w:sz w:val="20"/>
                <w:szCs w:val="20"/>
              </w:rPr>
              <w:t>PO4</w:t>
            </w:r>
          </w:p>
        </w:tc>
      </w:tr>
      <w:tr w:rsidR="00054371" w14:paraId="595EDDAF" w14:textId="77777777" w:rsidTr="4726EEE8">
        <w:trPr>
          <w:trHeight w:val="300"/>
        </w:trPr>
        <w:tc>
          <w:tcPr>
            <w:tcW w:w="2400" w:type="dxa"/>
            <w:tcBorders>
              <w:top w:val="single" w:sz="8" w:space="0" w:color="auto"/>
              <w:left w:val="single" w:sz="8" w:space="0" w:color="auto"/>
              <w:bottom w:val="single" w:sz="8" w:space="0" w:color="auto"/>
              <w:right w:val="single" w:sz="8" w:space="0" w:color="auto"/>
            </w:tcBorders>
            <w:tcMar>
              <w:left w:w="108" w:type="dxa"/>
              <w:right w:w="108" w:type="dxa"/>
            </w:tcMar>
          </w:tcPr>
          <w:p w14:paraId="210750EF" w14:textId="1AFEFC71" w:rsidR="0110A0F6" w:rsidRDefault="0110A0F6" w:rsidP="0110A0F6">
            <w:pPr>
              <w:jc w:val="both"/>
              <w:rPr>
                <w:noProof/>
              </w:rPr>
            </w:pPr>
            <w:r w:rsidRPr="00255F89">
              <w:rPr>
                <w:b/>
                <w:noProof/>
                <w:sz w:val="20"/>
                <w:szCs w:val="20"/>
              </w:rPr>
              <w:t>EFFECTIVENESS</w:t>
            </w:r>
          </w:p>
        </w:tc>
        <w:tc>
          <w:tcPr>
            <w:tcW w:w="1814" w:type="dxa"/>
            <w:tcBorders>
              <w:top w:val="single" w:sz="8" w:space="0" w:color="auto"/>
              <w:left w:val="single" w:sz="8" w:space="0" w:color="auto"/>
              <w:bottom w:val="single" w:sz="8" w:space="0" w:color="auto"/>
              <w:right w:val="single" w:sz="8" w:space="0" w:color="auto"/>
            </w:tcBorders>
            <w:shd w:val="clear" w:color="auto" w:fill="EAF1DD" w:themeFill="accent3" w:themeFillTint="33"/>
            <w:tcMar>
              <w:left w:w="108" w:type="dxa"/>
              <w:right w:w="108" w:type="dxa"/>
            </w:tcMar>
          </w:tcPr>
          <w:p w14:paraId="262D24B1" w14:textId="4634F5CA" w:rsidR="0110A0F6" w:rsidRDefault="0110A0F6" w:rsidP="0110A0F6">
            <w:pPr>
              <w:jc w:val="center"/>
              <w:rPr>
                <w:noProof/>
              </w:rPr>
            </w:pPr>
            <w:r w:rsidRPr="00255F89">
              <w:rPr>
                <w:b/>
                <w:noProof/>
                <w:color w:val="000000" w:themeColor="text1"/>
                <w:sz w:val="20"/>
                <w:szCs w:val="20"/>
              </w:rPr>
              <w:t>+</w:t>
            </w:r>
          </w:p>
        </w:tc>
        <w:tc>
          <w:tcPr>
            <w:tcW w:w="1834" w:type="dxa"/>
            <w:tcBorders>
              <w:top w:val="single" w:sz="8" w:space="0" w:color="auto"/>
              <w:left w:val="single" w:sz="8" w:space="0" w:color="auto"/>
              <w:bottom w:val="single" w:sz="8" w:space="0" w:color="auto"/>
              <w:right w:val="single" w:sz="8" w:space="0" w:color="auto"/>
            </w:tcBorders>
            <w:shd w:val="clear" w:color="auto" w:fill="9BBB59" w:themeFill="accent3"/>
            <w:tcMar>
              <w:left w:w="108" w:type="dxa"/>
              <w:right w:w="108" w:type="dxa"/>
            </w:tcMar>
          </w:tcPr>
          <w:p w14:paraId="4CD55C16" w14:textId="120FCFAB" w:rsidR="0110A0F6" w:rsidRDefault="0110A0F6" w:rsidP="0110A0F6">
            <w:pPr>
              <w:jc w:val="center"/>
              <w:rPr>
                <w:noProof/>
              </w:rPr>
            </w:pPr>
            <w:r w:rsidRPr="00255F89">
              <w:rPr>
                <w:b/>
                <w:noProof/>
                <w:color w:val="000000" w:themeColor="text1"/>
                <w:sz w:val="20"/>
                <w:szCs w:val="20"/>
              </w:rPr>
              <w:t>++</w:t>
            </w:r>
          </w:p>
        </w:tc>
        <w:tc>
          <w:tcPr>
            <w:tcW w:w="1868" w:type="dxa"/>
            <w:tcBorders>
              <w:top w:val="single" w:sz="8" w:space="0" w:color="auto"/>
              <w:left w:val="single" w:sz="8" w:space="0" w:color="auto"/>
              <w:bottom w:val="single" w:sz="8" w:space="0" w:color="auto"/>
              <w:right w:val="single" w:sz="8" w:space="0" w:color="auto"/>
            </w:tcBorders>
            <w:shd w:val="clear" w:color="auto" w:fill="3A7C22"/>
            <w:tcMar>
              <w:left w:w="108" w:type="dxa"/>
              <w:right w:w="108" w:type="dxa"/>
            </w:tcMar>
          </w:tcPr>
          <w:p w14:paraId="769B8D08" w14:textId="29357F64" w:rsidR="0110A0F6" w:rsidRDefault="0110A0F6" w:rsidP="0110A0F6">
            <w:pPr>
              <w:jc w:val="center"/>
              <w:rPr>
                <w:noProof/>
              </w:rPr>
            </w:pPr>
            <w:r w:rsidRPr="00255F89">
              <w:rPr>
                <w:b/>
                <w:noProof/>
                <w:color w:val="FFFFFF" w:themeColor="background1"/>
                <w:sz w:val="20"/>
                <w:szCs w:val="20"/>
              </w:rPr>
              <w:t>+++</w:t>
            </w:r>
          </w:p>
        </w:tc>
        <w:tc>
          <w:tcPr>
            <w:tcW w:w="1738" w:type="dxa"/>
            <w:tcBorders>
              <w:top w:val="single" w:sz="8" w:space="0" w:color="auto"/>
              <w:left w:val="single" w:sz="8" w:space="0" w:color="auto"/>
              <w:bottom w:val="single" w:sz="8" w:space="0" w:color="auto"/>
              <w:right w:val="single" w:sz="8" w:space="0" w:color="auto"/>
            </w:tcBorders>
            <w:shd w:val="clear" w:color="auto" w:fill="9BBB59" w:themeFill="accent3"/>
            <w:tcMar>
              <w:left w:w="108" w:type="dxa"/>
              <w:right w:w="108" w:type="dxa"/>
            </w:tcMar>
          </w:tcPr>
          <w:p w14:paraId="74B78567" w14:textId="371F99B0" w:rsidR="0110A0F6" w:rsidRDefault="0110A0F6" w:rsidP="0110A0F6">
            <w:pPr>
              <w:jc w:val="center"/>
              <w:rPr>
                <w:noProof/>
              </w:rPr>
            </w:pPr>
            <w:r w:rsidRPr="00255F89">
              <w:rPr>
                <w:b/>
                <w:noProof/>
                <w:color w:val="000000" w:themeColor="text1"/>
                <w:sz w:val="20"/>
                <w:szCs w:val="20"/>
              </w:rPr>
              <w:t>++</w:t>
            </w:r>
          </w:p>
        </w:tc>
      </w:tr>
      <w:tr w:rsidR="0110A0F6" w14:paraId="10EFC994" w14:textId="77777777" w:rsidTr="7D06EB97">
        <w:trPr>
          <w:trHeight w:val="300"/>
        </w:trPr>
        <w:tc>
          <w:tcPr>
            <w:tcW w:w="9654"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49BFB737" w14:textId="3CD9F5CA" w:rsidR="0110A0F6" w:rsidRDefault="0110A0F6" w:rsidP="0110A0F6">
            <w:pPr>
              <w:jc w:val="both"/>
              <w:rPr>
                <w:noProof/>
              </w:rPr>
            </w:pPr>
            <w:r w:rsidRPr="00255F89">
              <w:rPr>
                <w:b/>
                <w:noProof/>
                <w:sz w:val="20"/>
                <w:szCs w:val="20"/>
              </w:rPr>
              <w:t>SO1:</w:t>
            </w:r>
            <w:r w:rsidRPr="00255F89">
              <w:rPr>
                <w:b/>
                <w:noProof/>
                <w:sz w:val="22"/>
                <w:szCs w:val="22"/>
              </w:rPr>
              <w:t xml:space="preserve"> </w:t>
            </w:r>
            <w:r w:rsidR="00A02C2B">
              <w:rPr>
                <w:noProof/>
                <w:sz w:val="20"/>
                <w:szCs w:val="20"/>
              </w:rPr>
              <w:t>Improve transparency and establish a level playing field for transport operators in terms of access and use of indispensable MDMS</w:t>
            </w:r>
            <w:r w:rsidRPr="00255F89">
              <w:rPr>
                <w:noProof/>
                <w:sz w:val="20"/>
                <w:szCs w:val="20"/>
              </w:rPr>
              <w:t xml:space="preserve"> </w:t>
            </w:r>
          </w:p>
          <w:p w14:paraId="2C2165AD" w14:textId="3C4E1BC9" w:rsidR="0110A0F6" w:rsidRDefault="0110A0F6" w:rsidP="0110A0F6">
            <w:pPr>
              <w:jc w:val="both"/>
              <w:rPr>
                <w:noProof/>
              </w:rPr>
            </w:pPr>
            <w:r w:rsidRPr="00255F89">
              <w:rPr>
                <w:noProof/>
                <w:sz w:val="20"/>
                <w:szCs w:val="20"/>
              </w:rPr>
              <w:t xml:space="preserve"> </w:t>
            </w:r>
          </w:p>
        </w:tc>
      </w:tr>
      <w:tr w:rsidR="00054371" w14:paraId="71F24896" w14:textId="77777777" w:rsidTr="0020523E">
        <w:trPr>
          <w:trHeight w:val="300"/>
        </w:trPr>
        <w:tc>
          <w:tcPr>
            <w:tcW w:w="2400" w:type="dxa"/>
            <w:tcBorders>
              <w:top w:val="single" w:sz="8" w:space="0" w:color="auto"/>
              <w:left w:val="single" w:sz="8" w:space="0" w:color="auto"/>
              <w:bottom w:val="single" w:sz="8" w:space="0" w:color="auto"/>
              <w:right w:val="single" w:sz="8" w:space="0" w:color="auto"/>
            </w:tcBorders>
            <w:tcMar>
              <w:left w:w="108" w:type="dxa"/>
              <w:right w:w="108" w:type="dxa"/>
            </w:tcMar>
          </w:tcPr>
          <w:p w14:paraId="0CDC8003" w14:textId="794EA364" w:rsidR="0110A0F6" w:rsidRDefault="0110A0F6" w:rsidP="0110A0F6">
            <w:pPr>
              <w:jc w:val="both"/>
              <w:rPr>
                <w:noProof/>
              </w:rPr>
            </w:pPr>
            <w:r w:rsidRPr="00255F89">
              <w:rPr>
                <w:noProof/>
                <w:sz w:val="20"/>
                <w:szCs w:val="20"/>
              </w:rPr>
              <w:t xml:space="preserve">% increase in </w:t>
            </w:r>
            <w:r w:rsidR="000B5D68">
              <w:rPr>
                <w:noProof/>
                <w:sz w:val="20"/>
                <w:szCs w:val="20"/>
              </w:rPr>
              <w:t xml:space="preserve">the </w:t>
            </w:r>
            <w:r w:rsidRPr="00255F89">
              <w:rPr>
                <w:noProof/>
                <w:sz w:val="20"/>
                <w:szCs w:val="20"/>
              </w:rPr>
              <w:t>number of agreements between platforms and transport operators</w:t>
            </w:r>
            <w:r w:rsidR="00011091">
              <w:rPr>
                <w:noProof/>
                <w:sz w:val="20"/>
                <w:szCs w:val="20"/>
              </w:rPr>
              <w:t xml:space="preserve"> relative to the baseline</w:t>
            </w:r>
            <w:r w:rsidR="000B5D68">
              <w:rPr>
                <w:noProof/>
                <w:sz w:val="20"/>
                <w:szCs w:val="20"/>
              </w:rPr>
              <w:t>,</w:t>
            </w:r>
            <w:r w:rsidRPr="00255F89">
              <w:rPr>
                <w:noProof/>
                <w:sz w:val="20"/>
                <w:szCs w:val="20"/>
              </w:rPr>
              <w:t xml:space="preserve"> indicating a better functioning of the online distribution markets </w:t>
            </w:r>
          </w:p>
        </w:tc>
        <w:tc>
          <w:tcPr>
            <w:tcW w:w="1814" w:type="dxa"/>
            <w:tcBorders>
              <w:top w:val="nil"/>
              <w:left w:val="single" w:sz="8" w:space="0" w:color="auto"/>
              <w:bottom w:val="single" w:sz="8" w:space="0" w:color="auto"/>
              <w:right w:val="single" w:sz="8" w:space="0" w:color="auto"/>
            </w:tcBorders>
            <w:shd w:val="clear" w:color="auto" w:fill="EAF1DD" w:themeFill="accent3" w:themeFillTint="33"/>
            <w:tcMar>
              <w:left w:w="108" w:type="dxa"/>
              <w:right w:w="108" w:type="dxa"/>
            </w:tcMar>
          </w:tcPr>
          <w:p w14:paraId="6EBFFEAE" w14:textId="6C03C4CD" w:rsidR="0110A0F6" w:rsidRDefault="0110A0F6" w:rsidP="0110A0F6">
            <w:pPr>
              <w:jc w:val="both"/>
              <w:rPr>
                <w:noProof/>
              </w:rPr>
            </w:pPr>
            <w:r w:rsidRPr="00255F89">
              <w:rPr>
                <w:noProof/>
                <w:color w:val="000000" w:themeColor="text1"/>
                <w:sz w:val="20"/>
                <w:szCs w:val="20"/>
              </w:rPr>
              <w:t xml:space="preserve">3% </w:t>
            </w:r>
            <w:r w:rsidR="005A4437">
              <w:rPr>
                <w:noProof/>
                <w:color w:val="000000" w:themeColor="text1"/>
                <w:sz w:val="20"/>
                <w:szCs w:val="20"/>
              </w:rPr>
              <w:t xml:space="preserve">increase </w:t>
            </w:r>
            <w:r w:rsidRPr="00255F89">
              <w:rPr>
                <w:noProof/>
                <w:color w:val="000000" w:themeColor="text1"/>
                <w:sz w:val="20"/>
                <w:szCs w:val="20"/>
              </w:rPr>
              <w:t>in 2030</w:t>
            </w:r>
            <w:r w:rsidR="00011091">
              <w:rPr>
                <w:noProof/>
                <w:color w:val="000000" w:themeColor="text1"/>
                <w:sz w:val="20"/>
                <w:szCs w:val="20"/>
              </w:rPr>
              <w:t>, 11% increase in 2040</w:t>
            </w:r>
            <w:r w:rsidRPr="00255F89">
              <w:rPr>
                <w:noProof/>
                <w:color w:val="000000" w:themeColor="text1"/>
                <w:sz w:val="20"/>
                <w:szCs w:val="20"/>
              </w:rPr>
              <w:t xml:space="preserve"> and 5% </w:t>
            </w:r>
            <w:r w:rsidR="00011091">
              <w:rPr>
                <w:noProof/>
                <w:color w:val="000000" w:themeColor="text1"/>
                <w:sz w:val="20"/>
                <w:szCs w:val="20"/>
              </w:rPr>
              <w:t xml:space="preserve">increase in </w:t>
            </w:r>
            <w:r w:rsidRPr="00255F89">
              <w:rPr>
                <w:noProof/>
                <w:color w:val="000000" w:themeColor="text1"/>
                <w:sz w:val="20"/>
                <w:szCs w:val="20"/>
              </w:rPr>
              <w:t xml:space="preserve">2050 </w:t>
            </w:r>
            <w:r w:rsidR="00CF6F24">
              <w:rPr>
                <w:noProof/>
                <w:color w:val="000000" w:themeColor="text1"/>
                <w:sz w:val="20"/>
                <w:szCs w:val="20"/>
              </w:rPr>
              <w:t>relative</w:t>
            </w:r>
            <w:r w:rsidR="00CF6F24" w:rsidRPr="00255F89">
              <w:rPr>
                <w:noProof/>
                <w:color w:val="000000" w:themeColor="text1"/>
                <w:sz w:val="20"/>
                <w:szCs w:val="20"/>
              </w:rPr>
              <w:t xml:space="preserve"> </w:t>
            </w:r>
            <w:r w:rsidRPr="00255F89">
              <w:rPr>
                <w:noProof/>
                <w:color w:val="000000" w:themeColor="text1"/>
                <w:sz w:val="20"/>
                <w:szCs w:val="20"/>
              </w:rPr>
              <w:t>to the baseline</w:t>
            </w:r>
          </w:p>
        </w:tc>
        <w:tc>
          <w:tcPr>
            <w:tcW w:w="1834" w:type="dxa"/>
            <w:tcBorders>
              <w:top w:val="nil"/>
              <w:left w:val="single" w:sz="8" w:space="0" w:color="auto"/>
              <w:bottom w:val="single" w:sz="8" w:space="0" w:color="auto"/>
              <w:right w:val="single" w:sz="8" w:space="0" w:color="auto"/>
            </w:tcBorders>
            <w:shd w:val="clear" w:color="auto" w:fill="9BBB59" w:themeFill="accent3"/>
            <w:tcMar>
              <w:left w:w="108" w:type="dxa"/>
              <w:right w:w="108" w:type="dxa"/>
            </w:tcMar>
          </w:tcPr>
          <w:p w14:paraId="655CBFE0" w14:textId="0C80FA4F" w:rsidR="0110A0F6" w:rsidRDefault="001D69BE" w:rsidP="0110A0F6">
            <w:pPr>
              <w:jc w:val="both"/>
              <w:rPr>
                <w:noProof/>
              </w:rPr>
            </w:pPr>
            <w:r>
              <w:rPr>
                <w:noProof/>
                <w:color w:val="000000" w:themeColor="text1"/>
                <w:sz w:val="20"/>
                <w:szCs w:val="20"/>
              </w:rPr>
              <w:t>42</w:t>
            </w:r>
            <w:r w:rsidR="0110A0F6" w:rsidRPr="00255F89">
              <w:rPr>
                <w:noProof/>
                <w:color w:val="000000" w:themeColor="text1"/>
                <w:sz w:val="20"/>
                <w:szCs w:val="20"/>
              </w:rPr>
              <w:t xml:space="preserve">% </w:t>
            </w:r>
            <w:r>
              <w:rPr>
                <w:noProof/>
                <w:color w:val="000000" w:themeColor="text1"/>
                <w:sz w:val="20"/>
                <w:szCs w:val="20"/>
              </w:rPr>
              <w:t xml:space="preserve">increase </w:t>
            </w:r>
            <w:r w:rsidR="0110A0F6" w:rsidRPr="00255F89">
              <w:rPr>
                <w:noProof/>
                <w:color w:val="000000" w:themeColor="text1"/>
                <w:sz w:val="20"/>
                <w:szCs w:val="20"/>
              </w:rPr>
              <w:t>in 2030</w:t>
            </w:r>
            <w:r w:rsidR="00A07DFE">
              <w:rPr>
                <w:noProof/>
                <w:color w:val="000000" w:themeColor="text1"/>
                <w:sz w:val="20"/>
                <w:szCs w:val="20"/>
              </w:rPr>
              <w:t>, 125% increase in 2040</w:t>
            </w:r>
            <w:r w:rsidR="0110A0F6" w:rsidRPr="00255F89">
              <w:rPr>
                <w:noProof/>
                <w:color w:val="000000" w:themeColor="text1"/>
                <w:sz w:val="20"/>
                <w:szCs w:val="20"/>
              </w:rPr>
              <w:t xml:space="preserve"> and </w:t>
            </w:r>
            <w:r w:rsidR="00A07DFE">
              <w:rPr>
                <w:noProof/>
                <w:color w:val="000000" w:themeColor="text1"/>
                <w:sz w:val="20"/>
                <w:szCs w:val="20"/>
              </w:rPr>
              <w:t>97</w:t>
            </w:r>
            <w:r w:rsidR="0110A0F6" w:rsidRPr="00255F89">
              <w:rPr>
                <w:noProof/>
                <w:color w:val="000000" w:themeColor="text1"/>
                <w:sz w:val="20"/>
                <w:szCs w:val="20"/>
              </w:rPr>
              <w:t>%</w:t>
            </w:r>
            <w:r w:rsidR="00A07DFE">
              <w:rPr>
                <w:noProof/>
                <w:color w:val="000000" w:themeColor="text1"/>
                <w:sz w:val="20"/>
                <w:szCs w:val="20"/>
              </w:rPr>
              <w:t xml:space="preserve"> increase in</w:t>
            </w:r>
            <w:r w:rsidR="0110A0F6" w:rsidRPr="00255F89" w:rsidDel="00A07DFE">
              <w:rPr>
                <w:noProof/>
                <w:color w:val="000000" w:themeColor="text1"/>
                <w:sz w:val="20"/>
                <w:szCs w:val="20"/>
              </w:rPr>
              <w:t xml:space="preserve"> </w:t>
            </w:r>
            <w:r w:rsidR="0110A0F6" w:rsidRPr="00255F89">
              <w:rPr>
                <w:noProof/>
                <w:color w:val="000000" w:themeColor="text1"/>
                <w:sz w:val="20"/>
                <w:szCs w:val="20"/>
              </w:rPr>
              <w:t xml:space="preserve">2050 </w:t>
            </w:r>
            <w:r w:rsidR="00A07DFE">
              <w:rPr>
                <w:noProof/>
                <w:color w:val="000000" w:themeColor="text1"/>
                <w:sz w:val="20"/>
                <w:szCs w:val="20"/>
              </w:rPr>
              <w:t>relative</w:t>
            </w:r>
            <w:r w:rsidR="00A07DFE" w:rsidRPr="00255F89">
              <w:rPr>
                <w:noProof/>
                <w:color w:val="000000" w:themeColor="text1"/>
                <w:sz w:val="20"/>
                <w:szCs w:val="20"/>
              </w:rPr>
              <w:t xml:space="preserve"> </w:t>
            </w:r>
            <w:r w:rsidR="0110A0F6" w:rsidRPr="00255F89">
              <w:rPr>
                <w:noProof/>
                <w:color w:val="000000" w:themeColor="text1"/>
                <w:sz w:val="20"/>
                <w:szCs w:val="20"/>
              </w:rPr>
              <w:t>to the baseline</w:t>
            </w:r>
          </w:p>
        </w:tc>
        <w:tc>
          <w:tcPr>
            <w:tcW w:w="1868" w:type="dxa"/>
            <w:tcBorders>
              <w:top w:val="nil"/>
              <w:left w:val="single" w:sz="8" w:space="0" w:color="auto"/>
              <w:bottom w:val="single" w:sz="8" w:space="0" w:color="auto"/>
              <w:right w:val="single" w:sz="8" w:space="0" w:color="auto"/>
            </w:tcBorders>
            <w:shd w:val="clear" w:color="auto" w:fill="9BBB59" w:themeFill="accent3"/>
            <w:tcMar>
              <w:left w:w="108" w:type="dxa"/>
              <w:right w:w="108" w:type="dxa"/>
            </w:tcMar>
          </w:tcPr>
          <w:p w14:paraId="763D0B3E" w14:textId="4B0F6012" w:rsidR="0110A0F6" w:rsidRDefault="009F21DE" w:rsidP="0110A0F6">
            <w:pPr>
              <w:jc w:val="both"/>
              <w:rPr>
                <w:noProof/>
              </w:rPr>
            </w:pPr>
            <w:r>
              <w:rPr>
                <w:noProof/>
                <w:color w:val="000000" w:themeColor="text1"/>
                <w:sz w:val="20"/>
                <w:szCs w:val="20"/>
              </w:rPr>
              <w:t>40</w:t>
            </w:r>
            <w:r w:rsidR="004C0EB1" w:rsidRPr="00255F89">
              <w:rPr>
                <w:noProof/>
                <w:color w:val="000000" w:themeColor="text1"/>
                <w:sz w:val="20"/>
                <w:szCs w:val="20"/>
              </w:rPr>
              <w:t xml:space="preserve">% </w:t>
            </w:r>
            <w:r w:rsidR="004C0EB1">
              <w:rPr>
                <w:noProof/>
                <w:color w:val="000000" w:themeColor="text1"/>
                <w:sz w:val="20"/>
                <w:szCs w:val="20"/>
              </w:rPr>
              <w:t xml:space="preserve">increase </w:t>
            </w:r>
            <w:r w:rsidR="004C0EB1" w:rsidRPr="00255F89">
              <w:rPr>
                <w:noProof/>
                <w:color w:val="000000" w:themeColor="text1"/>
                <w:sz w:val="20"/>
                <w:szCs w:val="20"/>
              </w:rPr>
              <w:t>in 2030</w:t>
            </w:r>
            <w:r w:rsidR="004C0EB1">
              <w:rPr>
                <w:noProof/>
                <w:color w:val="000000" w:themeColor="text1"/>
                <w:sz w:val="20"/>
                <w:szCs w:val="20"/>
              </w:rPr>
              <w:t xml:space="preserve">, </w:t>
            </w:r>
            <w:r>
              <w:rPr>
                <w:noProof/>
                <w:color w:val="000000" w:themeColor="text1"/>
                <w:sz w:val="20"/>
                <w:szCs w:val="20"/>
              </w:rPr>
              <w:t>110</w:t>
            </w:r>
            <w:r w:rsidR="004C0EB1">
              <w:rPr>
                <w:noProof/>
                <w:color w:val="000000" w:themeColor="text1"/>
                <w:sz w:val="20"/>
                <w:szCs w:val="20"/>
              </w:rPr>
              <w:t>% increase in 2040</w:t>
            </w:r>
            <w:r w:rsidR="004C0EB1" w:rsidRPr="00255F89">
              <w:rPr>
                <w:noProof/>
                <w:color w:val="000000" w:themeColor="text1"/>
                <w:sz w:val="20"/>
                <w:szCs w:val="20"/>
              </w:rPr>
              <w:t xml:space="preserve"> and </w:t>
            </w:r>
            <w:r w:rsidR="004C0EB1">
              <w:rPr>
                <w:noProof/>
                <w:color w:val="000000" w:themeColor="text1"/>
                <w:sz w:val="20"/>
                <w:szCs w:val="20"/>
              </w:rPr>
              <w:t>97</w:t>
            </w:r>
            <w:r w:rsidR="004C0EB1" w:rsidRPr="00255F89">
              <w:rPr>
                <w:noProof/>
                <w:color w:val="000000" w:themeColor="text1"/>
                <w:sz w:val="20"/>
                <w:szCs w:val="20"/>
              </w:rPr>
              <w:t>%</w:t>
            </w:r>
            <w:r w:rsidR="004C0EB1">
              <w:rPr>
                <w:noProof/>
                <w:color w:val="000000" w:themeColor="text1"/>
                <w:sz w:val="20"/>
                <w:szCs w:val="20"/>
              </w:rPr>
              <w:t xml:space="preserve"> increase in</w:t>
            </w:r>
            <w:r w:rsidR="004C0EB1" w:rsidRPr="00255F89">
              <w:rPr>
                <w:noProof/>
                <w:color w:val="000000" w:themeColor="text1"/>
                <w:sz w:val="20"/>
                <w:szCs w:val="20"/>
              </w:rPr>
              <w:t xml:space="preserve"> 2050 </w:t>
            </w:r>
            <w:r w:rsidR="004C0EB1">
              <w:rPr>
                <w:noProof/>
                <w:color w:val="000000" w:themeColor="text1"/>
                <w:sz w:val="20"/>
                <w:szCs w:val="20"/>
              </w:rPr>
              <w:t>relative</w:t>
            </w:r>
            <w:r w:rsidR="004C0EB1" w:rsidRPr="00255F89">
              <w:rPr>
                <w:noProof/>
                <w:color w:val="000000" w:themeColor="text1"/>
                <w:sz w:val="20"/>
                <w:szCs w:val="20"/>
              </w:rPr>
              <w:t xml:space="preserve"> to the </w:t>
            </w:r>
            <w:r w:rsidR="0110A0F6" w:rsidRPr="00255F89" w:rsidDel="004C0EB1">
              <w:rPr>
                <w:noProof/>
                <w:color w:val="000000" w:themeColor="text1"/>
                <w:sz w:val="20"/>
                <w:szCs w:val="20"/>
              </w:rPr>
              <w:t>baseline</w:t>
            </w:r>
          </w:p>
        </w:tc>
        <w:tc>
          <w:tcPr>
            <w:tcW w:w="1738" w:type="dxa"/>
            <w:tcBorders>
              <w:top w:val="nil"/>
              <w:left w:val="single" w:sz="8" w:space="0" w:color="auto"/>
              <w:bottom w:val="single" w:sz="8" w:space="0" w:color="auto"/>
              <w:right w:val="single" w:sz="8" w:space="0" w:color="auto"/>
            </w:tcBorders>
            <w:shd w:val="clear" w:color="auto" w:fill="9BBB59" w:themeFill="accent3"/>
            <w:tcMar>
              <w:left w:w="108" w:type="dxa"/>
              <w:right w:w="108" w:type="dxa"/>
            </w:tcMar>
          </w:tcPr>
          <w:p w14:paraId="19144176" w14:textId="27E5754C" w:rsidR="0110A0F6" w:rsidRDefault="009F21DE" w:rsidP="0110A0F6">
            <w:pPr>
              <w:jc w:val="both"/>
              <w:rPr>
                <w:noProof/>
              </w:rPr>
            </w:pPr>
            <w:r>
              <w:rPr>
                <w:noProof/>
                <w:color w:val="000000" w:themeColor="text1"/>
                <w:sz w:val="20"/>
                <w:szCs w:val="20"/>
              </w:rPr>
              <w:t>41</w:t>
            </w:r>
            <w:r w:rsidRPr="00255F89">
              <w:rPr>
                <w:noProof/>
                <w:color w:val="000000" w:themeColor="text1"/>
                <w:sz w:val="20"/>
                <w:szCs w:val="20"/>
              </w:rPr>
              <w:t xml:space="preserve">% </w:t>
            </w:r>
            <w:r>
              <w:rPr>
                <w:noProof/>
                <w:color w:val="000000" w:themeColor="text1"/>
                <w:sz w:val="20"/>
                <w:szCs w:val="20"/>
              </w:rPr>
              <w:t xml:space="preserve">increase </w:t>
            </w:r>
            <w:r w:rsidRPr="00255F89">
              <w:rPr>
                <w:noProof/>
                <w:color w:val="000000" w:themeColor="text1"/>
                <w:sz w:val="20"/>
                <w:szCs w:val="20"/>
              </w:rPr>
              <w:t>in 2030</w:t>
            </w:r>
            <w:r>
              <w:rPr>
                <w:noProof/>
                <w:color w:val="000000" w:themeColor="text1"/>
                <w:sz w:val="20"/>
                <w:szCs w:val="20"/>
              </w:rPr>
              <w:t xml:space="preserve">, </w:t>
            </w:r>
            <w:r w:rsidR="0020523E">
              <w:rPr>
                <w:noProof/>
                <w:color w:val="000000" w:themeColor="text1"/>
                <w:sz w:val="20"/>
                <w:szCs w:val="20"/>
              </w:rPr>
              <w:t>117</w:t>
            </w:r>
            <w:r>
              <w:rPr>
                <w:noProof/>
                <w:color w:val="000000" w:themeColor="text1"/>
                <w:sz w:val="20"/>
                <w:szCs w:val="20"/>
              </w:rPr>
              <w:t>% increase in 2040</w:t>
            </w:r>
            <w:r w:rsidRPr="00255F89">
              <w:rPr>
                <w:noProof/>
                <w:color w:val="000000" w:themeColor="text1"/>
                <w:sz w:val="20"/>
                <w:szCs w:val="20"/>
              </w:rPr>
              <w:t xml:space="preserve"> and </w:t>
            </w:r>
            <w:r>
              <w:rPr>
                <w:noProof/>
                <w:color w:val="000000" w:themeColor="text1"/>
                <w:sz w:val="20"/>
                <w:szCs w:val="20"/>
              </w:rPr>
              <w:t>97</w:t>
            </w:r>
            <w:r w:rsidRPr="00255F89">
              <w:rPr>
                <w:noProof/>
                <w:color w:val="000000" w:themeColor="text1"/>
                <w:sz w:val="20"/>
                <w:szCs w:val="20"/>
              </w:rPr>
              <w:t>%</w:t>
            </w:r>
            <w:r>
              <w:rPr>
                <w:noProof/>
                <w:color w:val="000000" w:themeColor="text1"/>
                <w:sz w:val="20"/>
                <w:szCs w:val="20"/>
              </w:rPr>
              <w:t xml:space="preserve"> increase in</w:t>
            </w:r>
            <w:r w:rsidRPr="00255F89">
              <w:rPr>
                <w:noProof/>
                <w:color w:val="000000" w:themeColor="text1"/>
                <w:sz w:val="20"/>
                <w:szCs w:val="20"/>
              </w:rPr>
              <w:t xml:space="preserve"> 2050 </w:t>
            </w:r>
            <w:r>
              <w:rPr>
                <w:noProof/>
                <w:color w:val="000000" w:themeColor="text1"/>
                <w:sz w:val="20"/>
                <w:szCs w:val="20"/>
              </w:rPr>
              <w:t>relative</w:t>
            </w:r>
            <w:r w:rsidRPr="00255F89">
              <w:rPr>
                <w:noProof/>
                <w:color w:val="000000" w:themeColor="text1"/>
                <w:sz w:val="20"/>
                <w:szCs w:val="20"/>
              </w:rPr>
              <w:t xml:space="preserve"> to the </w:t>
            </w:r>
            <w:r w:rsidR="0110A0F6" w:rsidRPr="00255F89" w:rsidDel="009F21DE">
              <w:rPr>
                <w:noProof/>
                <w:color w:val="000000" w:themeColor="text1"/>
                <w:sz w:val="20"/>
                <w:szCs w:val="20"/>
              </w:rPr>
              <w:t>baseline</w:t>
            </w:r>
          </w:p>
        </w:tc>
      </w:tr>
      <w:tr w:rsidR="00054371" w14:paraId="0848AC71" w14:textId="77777777" w:rsidTr="4726EEE8">
        <w:trPr>
          <w:trHeight w:val="300"/>
        </w:trPr>
        <w:tc>
          <w:tcPr>
            <w:tcW w:w="2400" w:type="dxa"/>
            <w:tcBorders>
              <w:top w:val="single" w:sz="8" w:space="0" w:color="auto"/>
              <w:left w:val="single" w:sz="8" w:space="0" w:color="auto"/>
              <w:bottom w:val="single" w:sz="8" w:space="0" w:color="auto"/>
              <w:right w:val="single" w:sz="8" w:space="0" w:color="auto"/>
            </w:tcBorders>
            <w:tcMar>
              <w:left w:w="108" w:type="dxa"/>
              <w:right w:w="108" w:type="dxa"/>
            </w:tcMar>
          </w:tcPr>
          <w:p w14:paraId="46B0FDC4" w14:textId="33E01C83" w:rsidR="0110A0F6" w:rsidRDefault="0110A0F6" w:rsidP="0110A0F6">
            <w:pPr>
              <w:jc w:val="both"/>
              <w:rPr>
                <w:noProof/>
              </w:rPr>
            </w:pPr>
            <w:r w:rsidRPr="00255F89">
              <w:rPr>
                <w:noProof/>
                <w:sz w:val="20"/>
                <w:szCs w:val="20"/>
              </w:rPr>
              <w:t>% decrease in average expenditure per person for interurban mobility</w:t>
            </w:r>
            <w:r w:rsidR="00656162">
              <w:rPr>
                <w:noProof/>
                <w:sz w:val="20"/>
                <w:szCs w:val="20"/>
              </w:rPr>
              <w:t xml:space="preserve"> relative to the baseline</w:t>
            </w:r>
            <w:r w:rsidR="000B5D68">
              <w:rPr>
                <w:noProof/>
                <w:sz w:val="20"/>
                <w:szCs w:val="20"/>
              </w:rPr>
              <w:t>,</w:t>
            </w:r>
            <w:r w:rsidRPr="00255F89">
              <w:rPr>
                <w:noProof/>
                <w:sz w:val="20"/>
                <w:szCs w:val="20"/>
              </w:rPr>
              <w:t xml:space="preserve"> due to </w:t>
            </w:r>
            <w:r w:rsidR="005C4227">
              <w:rPr>
                <w:noProof/>
                <w:sz w:val="20"/>
                <w:szCs w:val="20"/>
              </w:rPr>
              <w:t>an</w:t>
            </w:r>
            <w:r w:rsidRPr="00255F89">
              <w:rPr>
                <w:noProof/>
                <w:sz w:val="20"/>
                <w:szCs w:val="20"/>
              </w:rPr>
              <w:t xml:space="preserve"> increase in competition resulting from better access and use of indispensable MDMS and indispensable RU platforms for transport operators</w:t>
            </w:r>
          </w:p>
        </w:tc>
        <w:tc>
          <w:tcPr>
            <w:tcW w:w="1814" w:type="dxa"/>
            <w:tcBorders>
              <w:top w:val="single" w:sz="8" w:space="0" w:color="auto"/>
              <w:left w:val="single" w:sz="8" w:space="0" w:color="auto"/>
              <w:bottom w:val="single" w:sz="8" w:space="0" w:color="auto"/>
              <w:right w:val="single" w:sz="8" w:space="0" w:color="auto"/>
            </w:tcBorders>
            <w:shd w:val="clear" w:color="auto" w:fill="EAF1DD" w:themeFill="accent3" w:themeFillTint="33"/>
            <w:tcMar>
              <w:left w:w="108" w:type="dxa"/>
              <w:right w:w="108" w:type="dxa"/>
            </w:tcMar>
          </w:tcPr>
          <w:p w14:paraId="29686033" w14:textId="0E147B07" w:rsidR="0110A0F6" w:rsidRPr="00255F89" w:rsidRDefault="0110A0F6" w:rsidP="00DC7D09">
            <w:pPr>
              <w:rPr>
                <w:noProof/>
                <w:color w:val="000000" w:themeColor="text1"/>
                <w:sz w:val="20"/>
                <w:szCs w:val="20"/>
              </w:rPr>
            </w:pPr>
            <w:r w:rsidRPr="00255F89">
              <w:rPr>
                <w:noProof/>
                <w:color w:val="000000" w:themeColor="text1"/>
                <w:sz w:val="20"/>
                <w:szCs w:val="20"/>
              </w:rPr>
              <w:t>0.01% decrease in 2030 and 0.05%</w:t>
            </w:r>
            <w:r w:rsidR="002308A1">
              <w:rPr>
                <w:noProof/>
                <w:color w:val="000000" w:themeColor="text1"/>
                <w:sz w:val="20"/>
                <w:szCs w:val="20"/>
              </w:rPr>
              <w:t xml:space="preserve"> decrease</w:t>
            </w:r>
            <w:r w:rsidRPr="00255F89">
              <w:rPr>
                <w:noProof/>
                <w:color w:val="000000" w:themeColor="text1"/>
                <w:sz w:val="20"/>
                <w:szCs w:val="20"/>
              </w:rPr>
              <w:t xml:space="preserve"> </w:t>
            </w:r>
            <w:r w:rsidR="009B6B7C">
              <w:rPr>
                <w:noProof/>
                <w:color w:val="000000" w:themeColor="text1"/>
                <w:sz w:val="20"/>
                <w:szCs w:val="20"/>
              </w:rPr>
              <w:t>in</w:t>
            </w:r>
            <w:r w:rsidR="009B6B7C" w:rsidRPr="00255F89">
              <w:rPr>
                <w:noProof/>
                <w:color w:val="000000" w:themeColor="text1"/>
                <w:sz w:val="20"/>
                <w:szCs w:val="20"/>
              </w:rPr>
              <w:t xml:space="preserve"> </w:t>
            </w:r>
            <w:r w:rsidRPr="00255F89">
              <w:rPr>
                <w:noProof/>
                <w:color w:val="000000" w:themeColor="text1"/>
                <w:sz w:val="20"/>
                <w:szCs w:val="20"/>
              </w:rPr>
              <w:t>2050 relative to the baseline</w:t>
            </w:r>
          </w:p>
        </w:tc>
        <w:tc>
          <w:tcPr>
            <w:tcW w:w="1834" w:type="dxa"/>
            <w:tcBorders>
              <w:top w:val="single" w:sz="8" w:space="0" w:color="auto"/>
              <w:left w:val="single" w:sz="8" w:space="0" w:color="auto"/>
              <w:bottom w:val="single" w:sz="8" w:space="0" w:color="auto"/>
              <w:right w:val="single" w:sz="8" w:space="0" w:color="auto"/>
            </w:tcBorders>
            <w:shd w:val="clear" w:color="auto" w:fill="9BBB59" w:themeFill="accent3"/>
            <w:tcMar>
              <w:left w:w="108" w:type="dxa"/>
              <w:right w:w="108" w:type="dxa"/>
            </w:tcMar>
          </w:tcPr>
          <w:p w14:paraId="54AC373A" w14:textId="6AA0EDCC" w:rsidR="0110A0F6" w:rsidRDefault="0110A0F6" w:rsidP="0110A0F6">
            <w:pPr>
              <w:jc w:val="both"/>
              <w:rPr>
                <w:noProof/>
              </w:rPr>
            </w:pPr>
            <w:r w:rsidRPr="00255F89">
              <w:rPr>
                <w:noProof/>
                <w:color w:val="000000" w:themeColor="text1"/>
                <w:sz w:val="20"/>
                <w:szCs w:val="20"/>
              </w:rPr>
              <w:t>0.0</w:t>
            </w:r>
            <w:r w:rsidR="005E4F6E">
              <w:rPr>
                <w:noProof/>
                <w:color w:val="000000" w:themeColor="text1"/>
                <w:sz w:val="20"/>
                <w:szCs w:val="20"/>
              </w:rPr>
              <w:t>3</w:t>
            </w:r>
            <w:r w:rsidRPr="00255F89">
              <w:rPr>
                <w:noProof/>
                <w:color w:val="000000" w:themeColor="text1"/>
                <w:sz w:val="20"/>
                <w:szCs w:val="20"/>
              </w:rPr>
              <w:t>% decrease in 2030 and 0.24%</w:t>
            </w:r>
            <w:r w:rsidR="002308A1" w:rsidRPr="00255F89">
              <w:rPr>
                <w:noProof/>
                <w:color w:val="000000" w:themeColor="text1"/>
                <w:sz w:val="20"/>
                <w:szCs w:val="20"/>
              </w:rPr>
              <w:t xml:space="preserve"> decrease</w:t>
            </w:r>
            <w:r w:rsidRPr="00255F89">
              <w:rPr>
                <w:noProof/>
                <w:color w:val="000000" w:themeColor="text1"/>
                <w:sz w:val="20"/>
                <w:szCs w:val="20"/>
              </w:rPr>
              <w:t xml:space="preserve"> </w:t>
            </w:r>
            <w:r w:rsidR="002308A1">
              <w:rPr>
                <w:noProof/>
                <w:color w:val="000000" w:themeColor="text1"/>
                <w:sz w:val="20"/>
                <w:szCs w:val="20"/>
              </w:rPr>
              <w:t>in</w:t>
            </w:r>
            <w:r w:rsidR="002308A1" w:rsidRPr="00255F89">
              <w:rPr>
                <w:noProof/>
                <w:color w:val="000000" w:themeColor="text1"/>
                <w:sz w:val="20"/>
                <w:szCs w:val="20"/>
              </w:rPr>
              <w:t xml:space="preserve"> </w:t>
            </w:r>
            <w:r w:rsidRPr="00255F89">
              <w:rPr>
                <w:noProof/>
                <w:color w:val="000000" w:themeColor="text1"/>
                <w:sz w:val="20"/>
                <w:szCs w:val="20"/>
              </w:rPr>
              <w:t xml:space="preserve">2050 relative to the baseline </w:t>
            </w:r>
          </w:p>
        </w:tc>
        <w:tc>
          <w:tcPr>
            <w:tcW w:w="1868" w:type="dxa"/>
            <w:tcBorders>
              <w:top w:val="single" w:sz="8" w:space="0" w:color="auto"/>
              <w:left w:val="single" w:sz="8" w:space="0" w:color="auto"/>
              <w:bottom w:val="single" w:sz="8" w:space="0" w:color="auto"/>
              <w:right w:val="single" w:sz="8" w:space="0" w:color="auto"/>
            </w:tcBorders>
            <w:shd w:val="clear" w:color="auto" w:fill="3A7C22"/>
            <w:tcMar>
              <w:left w:w="108" w:type="dxa"/>
              <w:right w:w="108" w:type="dxa"/>
            </w:tcMar>
          </w:tcPr>
          <w:p w14:paraId="5072374F" w14:textId="4A53C019" w:rsidR="0110A0F6" w:rsidRDefault="0110A0F6" w:rsidP="0110A0F6">
            <w:pPr>
              <w:jc w:val="both"/>
              <w:rPr>
                <w:noProof/>
              </w:rPr>
            </w:pPr>
            <w:r w:rsidRPr="00255F89">
              <w:rPr>
                <w:noProof/>
                <w:color w:val="FFFFFF" w:themeColor="background1"/>
                <w:sz w:val="20"/>
                <w:szCs w:val="20"/>
              </w:rPr>
              <w:t xml:space="preserve">0.06% decrease in 2030 and 0.34% </w:t>
            </w:r>
            <w:r w:rsidR="002308A1">
              <w:rPr>
                <w:noProof/>
                <w:color w:val="FFFFFF" w:themeColor="background1"/>
                <w:sz w:val="20"/>
                <w:szCs w:val="20"/>
              </w:rPr>
              <w:t xml:space="preserve">decrease in </w:t>
            </w:r>
            <w:r w:rsidRPr="00255F89">
              <w:rPr>
                <w:noProof/>
                <w:color w:val="FFFFFF" w:themeColor="background1"/>
                <w:sz w:val="20"/>
                <w:szCs w:val="20"/>
              </w:rPr>
              <w:t xml:space="preserve">2050 relative to the baseline </w:t>
            </w:r>
          </w:p>
        </w:tc>
        <w:tc>
          <w:tcPr>
            <w:tcW w:w="1738" w:type="dxa"/>
            <w:tcBorders>
              <w:top w:val="single" w:sz="8" w:space="0" w:color="auto"/>
              <w:left w:val="single" w:sz="8" w:space="0" w:color="auto"/>
              <w:bottom w:val="single" w:sz="8" w:space="0" w:color="auto"/>
              <w:right w:val="single" w:sz="8" w:space="0" w:color="auto"/>
            </w:tcBorders>
            <w:shd w:val="clear" w:color="auto" w:fill="9BBB59" w:themeFill="accent3"/>
            <w:tcMar>
              <w:left w:w="108" w:type="dxa"/>
              <w:right w:w="108" w:type="dxa"/>
            </w:tcMar>
          </w:tcPr>
          <w:p w14:paraId="6CCE7F31" w14:textId="1694E49E" w:rsidR="0110A0F6" w:rsidRDefault="0110A0F6" w:rsidP="0110A0F6">
            <w:pPr>
              <w:jc w:val="both"/>
              <w:rPr>
                <w:noProof/>
              </w:rPr>
            </w:pPr>
            <w:r w:rsidRPr="00255F89">
              <w:rPr>
                <w:noProof/>
                <w:color w:val="000000" w:themeColor="text1"/>
                <w:sz w:val="20"/>
                <w:szCs w:val="20"/>
              </w:rPr>
              <w:t>0.04% decrease in 2030 and 0.28%</w:t>
            </w:r>
            <w:r w:rsidR="002308A1">
              <w:rPr>
                <w:noProof/>
                <w:color w:val="000000" w:themeColor="text1"/>
                <w:sz w:val="20"/>
                <w:szCs w:val="20"/>
              </w:rPr>
              <w:t xml:space="preserve"> decrease in</w:t>
            </w:r>
            <w:r w:rsidRPr="00255F89" w:rsidDel="002308A1">
              <w:rPr>
                <w:noProof/>
                <w:color w:val="000000" w:themeColor="text1"/>
                <w:sz w:val="20"/>
                <w:szCs w:val="20"/>
              </w:rPr>
              <w:t xml:space="preserve"> </w:t>
            </w:r>
            <w:r w:rsidRPr="00255F89">
              <w:rPr>
                <w:noProof/>
                <w:color w:val="000000" w:themeColor="text1"/>
                <w:sz w:val="20"/>
                <w:szCs w:val="20"/>
              </w:rPr>
              <w:t xml:space="preserve">2050 relative to the baseline </w:t>
            </w:r>
          </w:p>
        </w:tc>
      </w:tr>
      <w:tr w:rsidR="0110A0F6" w14:paraId="09C83AD7" w14:textId="77777777" w:rsidTr="7D06EB97">
        <w:trPr>
          <w:trHeight w:val="300"/>
        </w:trPr>
        <w:tc>
          <w:tcPr>
            <w:tcW w:w="9654"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189D9934" w14:textId="6913315A" w:rsidR="0110A0F6" w:rsidRDefault="0110A0F6" w:rsidP="0110A0F6">
            <w:pPr>
              <w:jc w:val="both"/>
              <w:rPr>
                <w:noProof/>
              </w:rPr>
            </w:pPr>
            <w:r w:rsidRPr="00255F89">
              <w:rPr>
                <w:b/>
                <w:noProof/>
                <w:sz w:val="20"/>
                <w:szCs w:val="20"/>
              </w:rPr>
              <w:t>SO2</w:t>
            </w:r>
            <w:r w:rsidRPr="00255F89">
              <w:rPr>
                <w:noProof/>
                <w:sz w:val="20"/>
                <w:szCs w:val="20"/>
              </w:rPr>
              <w:t xml:space="preserve">: Improve completeness </w:t>
            </w:r>
            <w:r w:rsidR="00184FF9">
              <w:rPr>
                <w:noProof/>
                <w:sz w:val="20"/>
                <w:szCs w:val="20"/>
              </w:rPr>
              <w:t>of rail offer on MDMS platforms, including indispensable RU platforms</w:t>
            </w:r>
            <w:r w:rsidRPr="00255F89">
              <w:rPr>
                <w:noProof/>
                <w:sz w:val="20"/>
                <w:szCs w:val="20"/>
              </w:rPr>
              <w:t xml:space="preserve"> </w:t>
            </w:r>
          </w:p>
          <w:p w14:paraId="1204273F" w14:textId="6C039E35" w:rsidR="0110A0F6" w:rsidRDefault="0110A0F6" w:rsidP="0110A0F6">
            <w:pPr>
              <w:jc w:val="both"/>
              <w:rPr>
                <w:noProof/>
              </w:rPr>
            </w:pPr>
            <w:r w:rsidRPr="00255F89">
              <w:rPr>
                <w:noProof/>
                <w:sz w:val="20"/>
                <w:szCs w:val="20"/>
              </w:rPr>
              <w:t xml:space="preserve"> </w:t>
            </w:r>
          </w:p>
        </w:tc>
      </w:tr>
      <w:tr w:rsidR="00054371" w14:paraId="2BAB9F54" w14:textId="77777777" w:rsidTr="4726EEE8">
        <w:trPr>
          <w:trHeight w:val="300"/>
        </w:trPr>
        <w:tc>
          <w:tcPr>
            <w:tcW w:w="2400" w:type="dxa"/>
            <w:tcBorders>
              <w:top w:val="single" w:sz="8" w:space="0" w:color="auto"/>
              <w:left w:val="single" w:sz="8" w:space="0" w:color="auto"/>
              <w:bottom w:val="single" w:sz="8" w:space="0" w:color="auto"/>
              <w:right w:val="single" w:sz="8" w:space="0" w:color="auto"/>
            </w:tcBorders>
            <w:tcMar>
              <w:left w:w="108" w:type="dxa"/>
              <w:right w:w="108" w:type="dxa"/>
            </w:tcMar>
          </w:tcPr>
          <w:p w14:paraId="67600629" w14:textId="20592D21" w:rsidR="0110A0F6" w:rsidRDefault="005C4227" w:rsidP="0110A0F6">
            <w:pPr>
              <w:spacing w:after="240"/>
              <w:jc w:val="both"/>
              <w:rPr>
                <w:noProof/>
              </w:rPr>
            </w:pPr>
            <w:r>
              <w:rPr>
                <w:noProof/>
                <w:sz w:val="20"/>
                <w:szCs w:val="20"/>
              </w:rPr>
              <w:t>% i</w:t>
            </w:r>
            <w:r w:rsidR="0110A0F6" w:rsidRPr="00255F89">
              <w:rPr>
                <w:noProof/>
                <w:sz w:val="20"/>
                <w:szCs w:val="20"/>
              </w:rPr>
              <w:t>ncrease in the transport activity by rail</w:t>
            </w:r>
            <w:r w:rsidR="00356611">
              <w:rPr>
                <w:noProof/>
                <w:sz w:val="20"/>
                <w:szCs w:val="20"/>
              </w:rPr>
              <w:t>, relative to the baseline,</w:t>
            </w:r>
            <w:r w:rsidR="0110A0F6" w:rsidRPr="00255F89">
              <w:rPr>
                <w:noProof/>
                <w:sz w:val="20"/>
                <w:szCs w:val="20"/>
              </w:rPr>
              <w:t xml:space="preserve"> due to better visibility and access to these services</w:t>
            </w:r>
          </w:p>
          <w:p w14:paraId="23CC4CFB" w14:textId="78E30A55" w:rsidR="0110A0F6" w:rsidRDefault="0110A0F6" w:rsidP="0110A0F6">
            <w:pPr>
              <w:jc w:val="both"/>
              <w:rPr>
                <w:noProof/>
              </w:rPr>
            </w:pPr>
            <w:r w:rsidRPr="00255F89">
              <w:rPr>
                <w:noProof/>
                <w:sz w:val="20"/>
                <w:szCs w:val="20"/>
              </w:rPr>
              <w:t xml:space="preserve"> </w:t>
            </w:r>
          </w:p>
        </w:tc>
        <w:tc>
          <w:tcPr>
            <w:tcW w:w="1814" w:type="dxa"/>
            <w:tcBorders>
              <w:top w:val="nil"/>
              <w:left w:val="single" w:sz="8" w:space="0" w:color="auto"/>
              <w:bottom w:val="single" w:sz="8" w:space="0" w:color="auto"/>
              <w:right w:val="single" w:sz="8" w:space="0" w:color="auto"/>
            </w:tcBorders>
            <w:shd w:val="clear" w:color="auto" w:fill="EAF1DD" w:themeFill="accent3" w:themeFillTint="33"/>
            <w:tcMar>
              <w:left w:w="108" w:type="dxa"/>
              <w:right w:w="108" w:type="dxa"/>
            </w:tcMar>
          </w:tcPr>
          <w:p w14:paraId="4368435D" w14:textId="6939EAEF" w:rsidR="0110A0F6" w:rsidRDefault="0110A0F6" w:rsidP="0110A0F6">
            <w:pPr>
              <w:jc w:val="both"/>
              <w:rPr>
                <w:noProof/>
              </w:rPr>
            </w:pPr>
            <w:r w:rsidRPr="00255F89">
              <w:rPr>
                <w:noProof/>
                <w:color w:val="000000" w:themeColor="text1"/>
                <w:sz w:val="20"/>
                <w:szCs w:val="20"/>
              </w:rPr>
              <w:t xml:space="preserve">1% increase in transport activity by rail </w:t>
            </w:r>
            <w:r w:rsidR="00C2732C">
              <w:rPr>
                <w:noProof/>
                <w:color w:val="000000" w:themeColor="text1"/>
                <w:sz w:val="20"/>
                <w:szCs w:val="20"/>
              </w:rPr>
              <w:t>in</w:t>
            </w:r>
            <w:r w:rsidRPr="00255F89">
              <w:rPr>
                <w:noProof/>
                <w:color w:val="000000" w:themeColor="text1"/>
                <w:sz w:val="20"/>
                <w:szCs w:val="20"/>
              </w:rPr>
              <w:t xml:space="preserve"> 2030 and 1</w:t>
            </w:r>
            <w:r w:rsidR="00C2732C">
              <w:rPr>
                <w:noProof/>
                <w:color w:val="000000" w:themeColor="text1"/>
                <w:sz w:val="20"/>
                <w:szCs w:val="20"/>
              </w:rPr>
              <w:t>.8</w:t>
            </w:r>
            <w:r w:rsidRPr="00255F89">
              <w:rPr>
                <w:noProof/>
                <w:color w:val="000000" w:themeColor="text1"/>
                <w:sz w:val="20"/>
                <w:szCs w:val="20"/>
              </w:rPr>
              <w:t xml:space="preserve">% increase </w:t>
            </w:r>
            <w:r w:rsidR="00C2732C" w:rsidDel="00B058F8">
              <w:rPr>
                <w:noProof/>
                <w:color w:val="000000" w:themeColor="text1"/>
                <w:sz w:val="20"/>
                <w:szCs w:val="20"/>
              </w:rPr>
              <w:t xml:space="preserve">in </w:t>
            </w:r>
            <w:r w:rsidRPr="00255F89">
              <w:rPr>
                <w:noProof/>
                <w:color w:val="000000" w:themeColor="text1"/>
                <w:sz w:val="20"/>
                <w:szCs w:val="20"/>
              </w:rPr>
              <w:t>2050 relative to the baseline</w:t>
            </w:r>
          </w:p>
        </w:tc>
        <w:tc>
          <w:tcPr>
            <w:tcW w:w="1834" w:type="dxa"/>
            <w:tcBorders>
              <w:top w:val="nil"/>
              <w:left w:val="single" w:sz="8" w:space="0" w:color="auto"/>
              <w:bottom w:val="single" w:sz="8" w:space="0" w:color="auto"/>
              <w:right w:val="single" w:sz="8" w:space="0" w:color="auto"/>
            </w:tcBorders>
            <w:shd w:val="clear" w:color="auto" w:fill="9BBB59" w:themeFill="accent3"/>
            <w:tcMar>
              <w:left w:w="108" w:type="dxa"/>
              <w:right w:w="108" w:type="dxa"/>
            </w:tcMar>
          </w:tcPr>
          <w:p w14:paraId="7568EB0A" w14:textId="09028FCA" w:rsidR="0110A0F6" w:rsidRDefault="005A58D1" w:rsidP="0110A0F6">
            <w:pPr>
              <w:jc w:val="both"/>
              <w:rPr>
                <w:noProof/>
              </w:rPr>
            </w:pPr>
            <w:r>
              <w:rPr>
                <w:noProof/>
                <w:color w:val="000000" w:themeColor="text1"/>
                <w:sz w:val="20"/>
                <w:szCs w:val="20"/>
              </w:rPr>
              <w:t>1.7</w:t>
            </w:r>
            <w:r w:rsidR="0110A0F6" w:rsidRPr="00255F89">
              <w:rPr>
                <w:noProof/>
                <w:color w:val="000000" w:themeColor="text1"/>
                <w:sz w:val="20"/>
                <w:szCs w:val="20"/>
              </w:rPr>
              <w:t xml:space="preserve">% increase in transport activity by rail </w:t>
            </w:r>
            <w:r w:rsidR="00BB227C">
              <w:rPr>
                <w:noProof/>
                <w:color w:val="000000" w:themeColor="text1"/>
                <w:sz w:val="20"/>
                <w:szCs w:val="20"/>
              </w:rPr>
              <w:t>in</w:t>
            </w:r>
            <w:r w:rsidR="0110A0F6" w:rsidRPr="00255F89">
              <w:rPr>
                <w:noProof/>
                <w:color w:val="000000" w:themeColor="text1"/>
                <w:sz w:val="20"/>
                <w:szCs w:val="20"/>
              </w:rPr>
              <w:t xml:space="preserve"> 2030 and </w:t>
            </w:r>
            <w:r w:rsidR="00507786">
              <w:rPr>
                <w:noProof/>
                <w:color w:val="000000" w:themeColor="text1"/>
                <w:sz w:val="20"/>
                <w:szCs w:val="20"/>
              </w:rPr>
              <w:t>3.7</w:t>
            </w:r>
            <w:r w:rsidR="0110A0F6" w:rsidRPr="00255F89">
              <w:rPr>
                <w:noProof/>
                <w:color w:val="000000" w:themeColor="text1"/>
                <w:sz w:val="20"/>
                <w:szCs w:val="20"/>
              </w:rPr>
              <w:t xml:space="preserve">% increase </w:t>
            </w:r>
            <w:r w:rsidR="00507786">
              <w:rPr>
                <w:noProof/>
                <w:color w:val="000000" w:themeColor="text1"/>
                <w:sz w:val="20"/>
                <w:szCs w:val="20"/>
              </w:rPr>
              <w:t>in</w:t>
            </w:r>
            <w:r w:rsidR="0110A0F6" w:rsidRPr="00255F89">
              <w:rPr>
                <w:noProof/>
                <w:color w:val="000000" w:themeColor="text1"/>
                <w:sz w:val="20"/>
                <w:szCs w:val="20"/>
              </w:rPr>
              <w:t xml:space="preserve"> 2050 relative to the baseline</w:t>
            </w:r>
          </w:p>
        </w:tc>
        <w:tc>
          <w:tcPr>
            <w:tcW w:w="1868" w:type="dxa"/>
            <w:tcBorders>
              <w:top w:val="nil"/>
              <w:left w:val="single" w:sz="8" w:space="0" w:color="auto"/>
              <w:bottom w:val="single" w:sz="8" w:space="0" w:color="auto"/>
              <w:right w:val="single" w:sz="8" w:space="0" w:color="auto"/>
            </w:tcBorders>
            <w:shd w:val="clear" w:color="auto" w:fill="3A7C22"/>
            <w:tcMar>
              <w:left w:w="108" w:type="dxa"/>
              <w:right w:w="108" w:type="dxa"/>
            </w:tcMar>
          </w:tcPr>
          <w:p w14:paraId="547BEC67" w14:textId="6DC39F63" w:rsidR="0110A0F6" w:rsidRDefault="00AF4542" w:rsidP="0110A0F6">
            <w:pPr>
              <w:jc w:val="both"/>
              <w:rPr>
                <w:noProof/>
              </w:rPr>
            </w:pPr>
            <w:r>
              <w:rPr>
                <w:noProof/>
                <w:color w:val="FFFFFF" w:themeColor="background1"/>
                <w:sz w:val="20"/>
                <w:szCs w:val="20"/>
              </w:rPr>
              <w:t>2.5</w:t>
            </w:r>
            <w:r w:rsidR="0110A0F6" w:rsidRPr="00255F89">
              <w:rPr>
                <w:noProof/>
                <w:color w:val="FFFFFF" w:themeColor="background1"/>
                <w:sz w:val="20"/>
                <w:szCs w:val="20"/>
              </w:rPr>
              <w:t xml:space="preserve">% increase in transport activity by rail </w:t>
            </w:r>
            <w:r w:rsidR="00C62B74">
              <w:rPr>
                <w:noProof/>
                <w:color w:val="FFFFFF" w:themeColor="background1"/>
                <w:sz w:val="20"/>
                <w:szCs w:val="20"/>
              </w:rPr>
              <w:t>in</w:t>
            </w:r>
            <w:r w:rsidR="0110A0F6" w:rsidRPr="00255F89">
              <w:rPr>
                <w:noProof/>
                <w:color w:val="FFFFFF" w:themeColor="background1"/>
                <w:sz w:val="20"/>
                <w:szCs w:val="20"/>
              </w:rPr>
              <w:t xml:space="preserve"> 2030 and </w:t>
            </w:r>
            <w:r w:rsidR="009C38D0">
              <w:rPr>
                <w:noProof/>
                <w:color w:val="FFFFFF" w:themeColor="background1"/>
                <w:sz w:val="20"/>
                <w:szCs w:val="20"/>
              </w:rPr>
              <w:t>4.8%</w:t>
            </w:r>
            <w:r w:rsidR="0110A0F6" w:rsidRPr="00255F89">
              <w:rPr>
                <w:noProof/>
                <w:color w:val="FFFFFF" w:themeColor="background1"/>
                <w:sz w:val="20"/>
                <w:szCs w:val="20"/>
              </w:rPr>
              <w:t xml:space="preserve"> increase</w:t>
            </w:r>
            <w:r w:rsidR="009C38D0">
              <w:rPr>
                <w:noProof/>
                <w:color w:val="FFFFFF" w:themeColor="background1"/>
                <w:sz w:val="20"/>
                <w:szCs w:val="20"/>
              </w:rPr>
              <w:t xml:space="preserve"> in </w:t>
            </w:r>
            <w:r w:rsidR="0110A0F6" w:rsidRPr="00255F89">
              <w:rPr>
                <w:noProof/>
                <w:color w:val="FFFFFF" w:themeColor="background1"/>
                <w:sz w:val="20"/>
                <w:szCs w:val="20"/>
              </w:rPr>
              <w:t>2050 relative to the baseline</w:t>
            </w:r>
          </w:p>
        </w:tc>
        <w:tc>
          <w:tcPr>
            <w:tcW w:w="1738" w:type="dxa"/>
            <w:tcBorders>
              <w:top w:val="nil"/>
              <w:left w:val="single" w:sz="8" w:space="0" w:color="auto"/>
              <w:bottom w:val="single" w:sz="8" w:space="0" w:color="auto"/>
              <w:right w:val="single" w:sz="8" w:space="0" w:color="auto"/>
            </w:tcBorders>
            <w:shd w:val="clear" w:color="auto" w:fill="9BBB59" w:themeFill="accent3"/>
            <w:tcMar>
              <w:left w:w="108" w:type="dxa"/>
              <w:right w:w="108" w:type="dxa"/>
            </w:tcMar>
          </w:tcPr>
          <w:p w14:paraId="061C8FF5" w14:textId="1845B965" w:rsidR="0110A0F6" w:rsidRDefault="00450BB3" w:rsidP="0110A0F6">
            <w:pPr>
              <w:jc w:val="both"/>
              <w:rPr>
                <w:noProof/>
              </w:rPr>
            </w:pPr>
            <w:r>
              <w:rPr>
                <w:noProof/>
                <w:color w:val="000000" w:themeColor="text1"/>
                <w:sz w:val="20"/>
                <w:szCs w:val="20"/>
              </w:rPr>
              <w:t>1</w:t>
            </w:r>
            <w:r w:rsidR="0110A0F6" w:rsidRPr="00255F89">
              <w:rPr>
                <w:noProof/>
                <w:color w:val="000000" w:themeColor="text1"/>
                <w:sz w:val="20"/>
                <w:szCs w:val="20"/>
              </w:rPr>
              <w:t xml:space="preserve">.9% increase in transport activity by rail </w:t>
            </w:r>
            <w:r w:rsidR="00C62B74">
              <w:rPr>
                <w:noProof/>
                <w:color w:val="000000" w:themeColor="text1"/>
                <w:sz w:val="20"/>
                <w:szCs w:val="20"/>
              </w:rPr>
              <w:t>in</w:t>
            </w:r>
            <w:r w:rsidR="0110A0F6" w:rsidRPr="00255F89">
              <w:rPr>
                <w:noProof/>
                <w:color w:val="000000" w:themeColor="text1"/>
                <w:sz w:val="20"/>
                <w:szCs w:val="20"/>
              </w:rPr>
              <w:t xml:space="preserve"> 2030 and </w:t>
            </w:r>
            <w:r>
              <w:rPr>
                <w:noProof/>
                <w:color w:val="000000" w:themeColor="text1"/>
                <w:sz w:val="20"/>
                <w:szCs w:val="20"/>
              </w:rPr>
              <w:t>4</w:t>
            </w:r>
            <w:r w:rsidR="0110A0F6" w:rsidRPr="00255F89">
              <w:rPr>
                <w:noProof/>
                <w:color w:val="000000" w:themeColor="text1"/>
                <w:sz w:val="20"/>
                <w:szCs w:val="20"/>
              </w:rPr>
              <w:t xml:space="preserve">% increase </w:t>
            </w:r>
            <w:r>
              <w:rPr>
                <w:noProof/>
                <w:color w:val="000000" w:themeColor="text1"/>
                <w:sz w:val="20"/>
                <w:szCs w:val="20"/>
              </w:rPr>
              <w:t xml:space="preserve">in </w:t>
            </w:r>
            <w:r w:rsidR="0110A0F6" w:rsidRPr="00255F89">
              <w:rPr>
                <w:noProof/>
                <w:color w:val="000000" w:themeColor="text1"/>
                <w:sz w:val="20"/>
                <w:szCs w:val="20"/>
              </w:rPr>
              <w:t>2050 relative to the baseline</w:t>
            </w:r>
          </w:p>
        </w:tc>
      </w:tr>
      <w:tr w:rsidR="00054371" w14:paraId="49F1B376" w14:textId="77777777" w:rsidTr="4726EEE8">
        <w:trPr>
          <w:trHeight w:val="300"/>
        </w:trPr>
        <w:tc>
          <w:tcPr>
            <w:tcW w:w="2400" w:type="dxa"/>
            <w:tcBorders>
              <w:top w:val="single" w:sz="8" w:space="0" w:color="auto"/>
              <w:left w:val="single" w:sz="8" w:space="0" w:color="auto"/>
              <w:bottom w:val="single" w:sz="8" w:space="0" w:color="auto"/>
              <w:right w:val="single" w:sz="8" w:space="0" w:color="auto"/>
            </w:tcBorders>
            <w:tcMar>
              <w:left w:w="108" w:type="dxa"/>
              <w:right w:w="108" w:type="dxa"/>
            </w:tcMar>
          </w:tcPr>
          <w:p w14:paraId="406CB6BB" w14:textId="5CDDD923" w:rsidR="0110A0F6" w:rsidRDefault="0110A0F6" w:rsidP="0110A0F6">
            <w:pPr>
              <w:jc w:val="both"/>
              <w:rPr>
                <w:noProof/>
              </w:rPr>
            </w:pPr>
            <w:r w:rsidRPr="00255F89">
              <w:rPr>
                <w:b/>
                <w:noProof/>
                <w:sz w:val="20"/>
                <w:szCs w:val="20"/>
              </w:rPr>
              <w:t>EFFICIENCY</w:t>
            </w:r>
          </w:p>
        </w:tc>
        <w:tc>
          <w:tcPr>
            <w:tcW w:w="1814" w:type="dxa"/>
            <w:tcBorders>
              <w:top w:val="single" w:sz="8" w:space="0" w:color="auto"/>
              <w:left w:val="single" w:sz="8" w:space="0" w:color="auto"/>
              <w:bottom w:val="single" w:sz="8" w:space="0" w:color="auto"/>
              <w:right w:val="single" w:sz="8" w:space="0" w:color="auto"/>
            </w:tcBorders>
            <w:shd w:val="clear" w:color="auto" w:fill="EAF1DD" w:themeFill="accent3" w:themeFillTint="33"/>
            <w:tcMar>
              <w:left w:w="108" w:type="dxa"/>
              <w:right w:w="108" w:type="dxa"/>
            </w:tcMar>
          </w:tcPr>
          <w:p w14:paraId="3420C692" w14:textId="51FD1D65" w:rsidR="0110A0F6" w:rsidRDefault="0110A0F6" w:rsidP="0110A0F6">
            <w:pPr>
              <w:jc w:val="center"/>
              <w:rPr>
                <w:noProof/>
              </w:rPr>
            </w:pPr>
            <w:r w:rsidRPr="00255F89">
              <w:rPr>
                <w:b/>
                <w:noProof/>
                <w:color w:val="000000" w:themeColor="text1"/>
                <w:sz w:val="20"/>
                <w:szCs w:val="20"/>
              </w:rPr>
              <w:t>+</w:t>
            </w:r>
          </w:p>
        </w:tc>
        <w:tc>
          <w:tcPr>
            <w:tcW w:w="1834" w:type="dxa"/>
            <w:tcBorders>
              <w:top w:val="single" w:sz="8" w:space="0" w:color="auto"/>
              <w:left w:val="single" w:sz="8" w:space="0" w:color="auto"/>
              <w:bottom w:val="single" w:sz="8" w:space="0" w:color="auto"/>
              <w:right w:val="single" w:sz="8" w:space="0" w:color="auto"/>
            </w:tcBorders>
            <w:shd w:val="clear" w:color="auto" w:fill="9BBB59" w:themeFill="accent3"/>
            <w:tcMar>
              <w:left w:w="108" w:type="dxa"/>
              <w:right w:w="108" w:type="dxa"/>
            </w:tcMar>
          </w:tcPr>
          <w:p w14:paraId="47D9F3CC" w14:textId="1A421483" w:rsidR="0110A0F6" w:rsidRDefault="0110A0F6" w:rsidP="0110A0F6">
            <w:pPr>
              <w:jc w:val="center"/>
              <w:rPr>
                <w:noProof/>
              </w:rPr>
            </w:pPr>
            <w:r w:rsidRPr="00255F89">
              <w:rPr>
                <w:b/>
                <w:noProof/>
                <w:color w:val="000000" w:themeColor="text1"/>
                <w:sz w:val="20"/>
                <w:szCs w:val="20"/>
              </w:rPr>
              <w:t>++</w:t>
            </w:r>
          </w:p>
        </w:tc>
        <w:tc>
          <w:tcPr>
            <w:tcW w:w="1868" w:type="dxa"/>
            <w:tcBorders>
              <w:top w:val="single" w:sz="8" w:space="0" w:color="auto"/>
              <w:left w:val="single" w:sz="8" w:space="0" w:color="auto"/>
              <w:bottom w:val="single" w:sz="8" w:space="0" w:color="auto"/>
              <w:right w:val="single" w:sz="8" w:space="0" w:color="auto"/>
            </w:tcBorders>
            <w:shd w:val="clear" w:color="auto" w:fill="3A7C22"/>
            <w:tcMar>
              <w:left w:w="108" w:type="dxa"/>
              <w:right w:w="108" w:type="dxa"/>
            </w:tcMar>
          </w:tcPr>
          <w:p w14:paraId="04D8C463" w14:textId="232D10A1" w:rsidR="0110A0F6" w:rsidRDefault="0110A0F6" w:rsidP="0110A0F6">
            <w:pPr>
              <w:jc w:val="center"/>
              <w:rPr>
                <w:noProof/>
              </w:rPr>
            </w:pPr>
            <w:r w:rsidRPr="00255F89">
              <w:rPr>
                <w:b/>
                <w:noProof/>
                <w:color w:val="FFFFFF" w:themeColor="background1"/>
                <w:sz w:val="20"/>
                <w:szCs w:val="20"/>
              </w:rPr>
              <w:t>+++</w:t>
            </w:r>
          </w:p>
        </w:tc>
        <w:tc>
          <w:tcPr>
            <w:tcW w:w="1738" w:type="dxa"/>
            <w:tcBorders>
              <w:top w:val="single" w:sz="8" w:space="0" w:color="auto"/>
              <w:left w:val="single" w:sz="8" w:space="0" w:color="auto"/>
              <w:bottom w:val="single" w:sz="8" w:space="0" w:color="auto"/>
              <w:right w:val="single" w:sz="8" w:space="0" w:color="auto"/>
            </w:tcBorders>
            <w:shd w:val="clear" w:color="auto" w:fill="9BBB59" w:themeFill="accent3"/>
            <w:tcMar>
              <w:left w:w="108" w:type="dxa"/>
              <w:right w:w="108" w:type="dxa"/>
            </w:tcMar>
          </w:tcPr>
          <w:p w14:paraId="0C04262D" w14:textId="2CEB2ADC" w:rsidR="0110A0F6" w:rsidRDefault="0110A0F6" w:rsidP="0110A0F6">
            <w:pPr>
              <w:jc w:val="center"/>
              <w:rPr>
                <w:noProof/>
              </w:rPr>
            </w:pPr>
            <w:r w:rsidRPr="00255F89">
              <w:rPr>
                <w:b/>
                <w:noProof/>
                <w:color w:val="000000" w:themeColor="text1"/>
                <w:sz w:val="20"/>
                <w:szCs w:val="20"/>
              </w:rPr>
              <w:t>++</w:t>
            </w:r>
          </w:p>
        </w:tc>
      </w:tr>
      <w:tr w:rsidR="00F67C34" w14:paraId="345EF16D" w14:textId="77777777" w:rsidTr="4726EEE8">
        <w:trPr>
          <w:trHeight w:val="300"/>
        </w:trPr>
        <w:tc>
          <w:tcPr>
            <w:tcW w:w="2400" w:type="dxa"/>
            <w:tcBorders>
              <w:top w:val="single" w:sz="8" w:space="0" w:color="auto"/>
              <w:left w:val="single" w:sz="8" w:space="0" w:color="auto"/>
              <w:bottom w:val="single" w:sz="8" w:space="0" w:color="auto"/>
              <w:right w:val="single" w:sz="8" w:space="0" w:color="auto"/>
            </w:tcBorders>
            <w:tcMar>
              <w:left w:w="108" w:type="dxa"/>
              <w:right w:w="108" w:type="dxa"/>
            </w:tcMar>
          </w:tcPr>
          <w:p w14:paraId="7EC06752" w14:textId="0C17FD08" w:rsidR="00F67C34" w:rsidRPr="00255F89" w:rsidRDefault="0065712F" w:rsidP="0110A0F6">
            <w:pPr>
              <w:jc w:val="both"/>
              <w:rPr>
                <w:noProof/>
                <w:sz w:val="20"/>
                <w:szCs w:val="20"/>
              </w:rPr>
            </w:pPr>
            <w:r w:rsidRPr="00255F89">
              <w:rPr>
                <w:noProof/>
                <w:sz w:val="20"/>
                <w:szCs w:val="20"/>
              </w:rPr>
              <w:t>Benefit to cost ratio</w:t>
            </w:r>
            <w:r>
              <w:rPr>
                <w:noProof/>
                <w:sz w:val="20"/>
                <w:szCs w:val="20"/>
              </w:rPr>
              <w:t>, excluding external costs savings</w:t>
            </w:r>
            <w:r w:rsidR="007F5243">
              <w:rPr>
                <w:noProof/>
                <w:sz w:val="20"/>
                <w:szCs w:val="20"/>
              </w:rPr>
              <w:t>*</w:t>
            </w:r>
          </w:p>
        </w:tc>
        <w:tc>
          <w:tcPr>
            <w:tcW w:w="1814" w:type="dxa"/>
            <w:tcBorders>
              <w:top w:val="single" w:sz="8" w:space="0" w:color="auto"/>
              <w:left w:val="single" w:sz="8" w:space="0" w:color="auto"/>
              <w:bottom w:val="single" w:sz="8" w:space="0" w:color="auto"/>
              <w:right w:val="single" w:sz="8" w:space="0" w:color="auto"/>
            </w:tcBorders>
            <w:shd w:val="clear" w:color="auto" w:fill="EAF1DD" w:themeFill="accent3" w:themeFillTint="33"/>
            <w:tcMar>
              <w:left w:w="108" w:type="dxa"/>
              <w:right w:w="108" w:type="dxa"/>
            </w:tcMar>
          </w:tcPr>
          <w:p w14:paraId="3648C39A" w14:textId="1274765B" w:rsidR="00F67C34" w:rsidRDefault="003F3B10" w:rsidP="0110A0F6">
            <w:pPr>
              <w:jc w:val="center"/>
              <w:rPr>
                <w:b/>
                <w:noProof/>
                <w:color w:val="000000" w:themeColor="text1"/>
                <w:sz w:val="20"/>
                <w:szCs w:val="20"/>
              </w:rPr>
            </w:pPr>
            <w:r>
              <w:rPr>
                <w:b/>
                <w:noProof/>
                <w:color w:val="000000" w:themeColor="text1"/>
                <w:sz w:val="20"/>
                <w:szCs w:val="20"/>
              </w:rPr>
              <w:t>0.1</w:t>
            </w:r>
          </w:p>
        </w:tc>
        <w:tc>
          <w:tcPr>
            <w:tcW w:w="1834" w:type="dxa"/>
            <w:tcBorders>
              <w:top w:val="single" w:sz="8" w:space="0" w:color="auto"/>
              <w:left w:val="single" w:sz="8" w:space="0" w:color="auto"/>
              <w:bottom w:val="single" w:sz="8" w:space="0" w:color="auto"/>
              <w:right w:val="single" w:sz="8" w:space="0" w:color="auto"/>
            </w:tcBorders>
            <w:shd w:val="clear" w:color="auto" w:fill="9BBB59" w:themeFill="accent3"/>
            <w:tcMar>
              <w:left w:w="108" w:type="dxa"/>
              <w:right w:w="108" w:type="dxa"/>
            </w:tcMar>
          </w:tcPr>
          <w:p w14:paraId="2084CCE1" w14:textId="541E53FF" w:rsidR="00F67C34" w:rsidRDefault="003F3B10" w:rsidP="0110A0F6">
            <w:pPr>
              <w:jc w:val="center"/>
              <w:rPr>
                <w:b/>
                <w:noProof/>
                <w:color w:val="000000" w:themeColor="text1"/>
                <w:sz w:val="20"/>
                <w:szCs w:val="20"/>
              </w:rPr>
            </w:pPr>
            <w:r>
              <w:rPr>
                <w:b/>
                <w:noProof/>
                <w:color w:val="000000" w:themeColor="text1"/>
                <w:sz w:val="20"/>
                <w:szCs w:val="20"/>
              </w:rPr>
              <w:t>0.9</w:t>
            </w:r>
          </w:p>
        </w:tc>
        <w:tc>
          <w:tcPr>
            <w:tcW w:w="1868" w:type="dxa"/>
            <w:tcBorders>
              <w:top w:val="single" w:sz="8" w:space="0" w:color="auto"/>
              <w:left w:val="single" w:sz="8" w:space="0" w:color="auto"/>
              <w:bottom w:val="single" w:sz="8" w:space="0" w:color="auto"/>
              <w:right w:val="single" w:sz="8" w:space="0" w:color="auto"/>
            </w:tcBorders>
            <w:shd w:val="clear" w:color="auto" w:fill="3A7C22"/>
            <w:tcMar>
              <w:left w:w="108" w:type="dxa"/>
              <w:right w:w="108" w:type="dxa"/>
            </w:tcMar>
          </w:tcPr>
          <w:p w14:paraId="21B496BA" w14:textId="069BD0CF" w:rsidR="00F67C34" w:rsidRDefault="003F3B10" w:rsidP="0110A0F6">
            <w:pPr>
              <w:jc w:val="center"/>
              <w:rPr>
                <w:b/>
                <w:noProof/>
                <w:color w:val="FFFFFF" w:themeColor="background1"/>
                <w:sz w:val="20"/>
                <w:szCs w:val="20"/>
              </w:rPr>
            </w:pPr>
            <w:r>
              <w:rPr>
                <w:b/>
                <w:noProof/>
                <w:color w:val="FFFFFF" w:themeColor="background1"/>
                <w:sz w:val="20"/>
                <w:szCs w:val="20"/>
              </w:rPr>
              <w:t>0.9</w:t>
            </w:r>
          </w:p>
        </w:tc>
        <w:tc>
          <w:tcPr>
            <w:tcW w:w="1738" w:type="dxa"/>
            <w:tcBorders>
              <w:top w:val="single" w:sz="8" w:space="0" w:color="auto"/>
              <w:left w:val="single" w:sz="8" w:space="0" w:color="auto"/>
              <w:bottom w:val="single" w:sz="8" w:space="0" w:color="auto"/>
              <w:right w:val="single" w:sz="8" w:space="0" w:color="auto"/>
            </w:tcBorders>
            <w:shd w:val="clear" w:color="auto" w:fill="9BBB59" w:themeFill="accent3"/>
            <w:tcMar>
              <w:left w:w="108" w:type="dxa"/>
              <w:right w:w="108" w:type="dxa"/>
            </w:tcMar>
          </w:tcPr>
          <w:p w14:paraId="28071FE2" w14:textId="3DE10C13" w:rsidR="00F67C34" w:rsidRDefault="003F3B10" w:rsidP="0110A0F6">
            <w:pPr>
              <w:jc w:val="center"/>
              <w:rPr>
                <w:b/>
                <w:noProof/>
                <w:color w:val="000000" w:themeColor="text1"/>
                <w:sz w:val="20"/>
                <w:szCs w:val="20"/>
              </w:rPr>
            </w:pPr>
            <w:r>
              <w:rPr>
                <w:b/>
                <w:noProof/>
                <w:color w:val="000000" w:themeColor="text1"/>
                <w:sz w:val="20"/>
                <w:szCs w:val="20"/>
              </w:rPr>
              <w:t>0.6</w:t>
            </w:r>
          </w:p>
        </w:tc>
      </w:tr>
      <w:tr w:rsidR="00054371" w14:paraId="387F69B4" w14:textId="77777777" w:rsidTr="4726EEE8">
        <w:trPr>
          <w:trHeight w:val="300"/>
        </w:trPr>
        <w:tc>
          <w:tcPr>
            <w:tcW w:w="2400" w:type="dxa"/>
            <w:tcBorders>
              <w:top w:val="single" w:sz="8" w:space="0" w:color="auto"/>
              <w:left w:val="single" w:sz="8" w:space="0" w:color="auto"/>
              <w:bottom w:val="single" w:sz="8" w:space="0" w:color="auto"/>
              <w:right w:val="single" w:sz="8" w:space="0" w:color="auto"/>
            </w:tcBorders>
            <w:tcMar>
              <w:left w:w="108" w:type="dxa"/>
              <w:right w:w="108" w:type="dxa"/>
            </w:tcMar>
          </w:tcPr>
          <w:p w14:paraId="75D38E23" w14:textId="12CB3A5A" w:rsidR="0110A0F6" w:rsidRDefault="0110A0F6" w:rsidP="0110A0F6">
            <w:pPr>
              <w:jc w:val="both"/>
              <w:rPr>
                <w:noProof/>
              </w:rPr>
            </w:pPr>
            <w:r w:rsidRPr="00255F89">
              <w:rPr>
                <w:noProof/>
                <w:sz w:val="20"/>
                <w:szCs w:val="20"/>
              </w:rPr>
              <w:t>Benefit to cost ratio</w:t>
            </w:r>
            <w:r w:rsidR="0065712F">
              <w:rPr>
                <w:noProof/>
                <w:sz w:val="20"/>
                <w:szCs w:val="20"/>
              </w:rPr>
              <w:t>, including external costs savings</w:t>
            </w:r>
          </w:p>
        </w:tc>
        <w:tc>
          <w:tcPr>
            <w:tcW w:w="1814" w:type="dxa"/>
            <w:tcBorders>
              <w:top w:val="single" w:sz="8" w:space="0" w:color="auto"/>
              <w:left w:val="single" w:sz="8" w:space="0" w:color="auto"/>
              <w:bottom w:val="single" w:sz="8" w:space="0" w:color="auto"/>
              <w:right w:val="single" w:sz="8" w:space="0" w:color="auto"/>
            </w:tcBorders>
            <w:shd w:val="clear" w:color="auto" w:fill="EAF1DD" w:themeFill="accent3" w:themeFillTint="33"/>
            <w:tcMar>
              <w:left w:w="108" w:type="dxa"/>
              <w:right w:w="108" w:type="dxa"/>
            </w:tcMar>
          </w:tcPr>
          <w:p w14:paraId="44301D82" w14:textId="502976E4" w:rsidR="0110A0F6" w:rsidRDefault="0110A0F6" w:rsidP="0110A0F6">
            <w:pPr>
              <w:jc w:val="center"/>
              <w:rPr>
                <w:noProof/>
              </w:rPr>
            </w:pPr>
            <w:r w:rsidRPr="00255F89">
              <w:rPr>
                <w:b/>
                <w:noProof/>
                <w:color w:val="000000" w:themeColor="text1"/>
                <w:sz w:val="20"/>
                <w:szCs w:val="20"/>
              </w:rPr>
              <w:t>54</w:t>
            </w:r>
          </w:p>
        </w:tc>
        <w:tc>
          <w:tcPr>
            <w:tcW w:w="1834" w:type="dxa"/>
            <w:tcBorders>
              <w:top w:val="single" w:sz="8" w:space="0" w:color="auto"/>
              <w:left w:val="single" w:sz="8" w:space="0" w:color="auto"/>
              <w:bottom w:val="single" w:sz="8" w:space="0" w:color="auto"/>
              <w:right w:val="single" w:sz="8" w:space="0" w:color="auto"/>
            </w:tcBorders>
            <w:shd w:val="clear" w:color="auto" w:fill="9BBB59" w:themeFill="accent3"/>
            <w:tcMar>
              <w:left w:w="108" w:type="dxa"/>
              <w:right w:w="108" w:type="dxa"/>
            </w:tcMar>
          </w:tcPr>
          <w:p w14:paraId="4E306F50" w14:textId="6A7D5A6A" w:rsidR="0110A0F6" w:rsidRDefault="005321BB" w:rsidP="0110A0F6">
            <w:pPr>
              <w:jc w:val="center"/>
              <w:rPr>
                <w:noProof/>
              </w:rPr>
            </w:pPr>
            <w:r>
              <w:rPr>
                <w:b/>
                <w:noProof/>
                <w:color w:val="000000" w:themeColor="text1"/>
                <w:sz w:val="20"/>
                <w:szCs w:val="20"/>
              </w:rPr>
              <w:t>82</w:t>
            </w:r>
          </w:p>
        </w:tc>
        <w:tc>
          <w:tcPr>
            <w:tcW w:w="1868" w:type="dxa"/>
            <w:tcBorders>
              <w:top w:val="single" w:sz="8" w:space="0" w:color="auto"/>
              <w:left w:val="single" w:sz="8" w:space="0" w:color="auto"/>
              <w:bottom w:val="single" w:sz="8" w:space="0" w:color="auto"/>
              <w:right w:val="single" w:sz="8" w:space="0" w:color="auto"/>
            </w:tcBorders>
            <w:shd w:val="clear" w:color="auto" w:fill="3A7C22"/>
            <w:tcMar>
              <w:left w:w="108" w:type="dxa"/>
              <w:right w:w="108" w:type="dxa"/>
            </w:tcMar>
          </w:tcPr>
          <w:p w14:paraId="39E1294B" w14:textId="338F344C" w:rsidR="0110A0F6" w:rsidRDefault="00DE2712" w:rsidP="0110A0F6">
            <w:pPr>
              <w:jc w:val="center"/>
              <w:rPr>
                <w:noProof/>
              </w:rPr>
            </w:pPr>
            <w:r>
              <w:rPr>
                <w:b/>
                <w:noProof/>
                <w:color w:val="FFFFFF" w:themeColor="background1"/>
                <w:sz w:val="20"/>
                <w:szCs w:val="20"/>
              </w:rPr>
              <w:t>123</w:t>
            </w:r>
          </w:p>
        </w:tc>
        <w:tc>
          <w:tcPr>
            <w:tcW w:w="1738" w:type="dxa"/>
            <w:tcBorders>
              <w:top w:val="single" w:sz="8" w:space="0" w:color="auto"/>
              <w:left w:val="single" w:sz="8" w:space="0" w:color="auto"/>
              <w:bottom w:val="single" w:sz="8" w:space="0" w:color="auto"/>
              <w:right w:val="single" w:sz="8" w:space="0" w:color="auto"/>
            </w:tcBorders>
            <w:shd w:val="clear" w:color="auto" w:fill="9BBB59" w:themeFill="accent3"/>
            <w:tcMar>
              <w:left w:w="108" w:type="dxa"/>
              <w:right w:w="108" w:type="dxa"/>
            </w:tcMar>
          </w:tcPr>
          <w:p w14:paraId="7CF12D93" w14:textId="17D60C3F" w:rsidR="0110A0F6" w:rsidRDefault="00DE2712" w:rsidP="0110A0F6">
            <w:pPr>
              <w:jc w:val="center"/>
              <w:rPr>
                <w:noProof/>
              </w:rPr>
            </w:pPr>
            <w:r>
              <w:rPr>
                <w:b/>
                <w:noProof/>
                <w:color w:val="000000" w:themeColor="text1"/>
                <w:sz w:val="20"/>
                <w:szCs w:val="20"/>
              </w:rPr>
              <w:t>62</w:t>
            </w:r>
          </w:p>
        </w:tc>
      </w:tr>
      <w:tr w:rsidR="00054371" w14:paraId="4AEACC6F" w14:textId="77777777" w:rsidTr="003644F6">
        <w:trPr>
          <w:trHeight w:val="300"/>
        </w:trPr>
        <w:tc>
          <w:tcPr>
            <w:tcW w:w="2400" w:type="dxa"/>
            <w:tcBorders>
              <w:top w:val="single" w:sz="8" w:space="0" w:color="auto"/>
              <w:left w:val="single" w:sz="8" w:space="0" w:color="auto"/>
              <w:bottom w:val="single" w:sz="8" w:space="0" w:color="auto"/>
              <w:right w:val="single" w:sz="8" w:space="0" w:color="auto"/>
            </w:tcBorders>
            <w:tcMar>
              <w:left w:w="108" w:type="dxa"/>
              <w:right w:w="108" w:type="dxa"/>
            </w:tcMar>
          </w:tcPr>
          <w:p w14:paraId="3B792654" w14:textId="6BF0C524" w:rsidR="0110A0F6" w:rsidRDefault="0110A0F6" w:rsidP="0110A0F6">
            <w:pPr>
              <w:jc w:val="both"/>
              <w:rPr>
                <w:noProof/>
              </w:rPr>
            </w:pPr>
            <w:r w:rsidRPr="00255F89">
              <w:rPr>
                <w:b/>
                <w:noProof/>
                <w:sz w:val="20"/>
                <w:szCs w:val="20"/>
              </w:rPr>
              <w:t>COHERENCE</w:t>
            </w:r>
          </w:p>
        </w:tc>
        <w:tc>
          <w:tcPr>
            <w:tcW w:w="1814" w:type="dxa"/>
            <w:tcBorders>
              <w:top w:val="single" w:sz="8" w:space="0" w:color="auto"/>
              <w:left w:val="single" w:sz="8" w:space="0" w:color="auto"/>
              <w:bottom w:val="single" w:sz="8" w:space="0" w:color="auto"/>
              <w:right w:val="single" w:sz="8" w:space="0" w:color="auto"/>
            </w:tcBorders>
            <w:shd w:val="clear" w:color="auto" w:fill="9BBB59" w:themeFill="accent3"/>
            <w:tcMar>
              <w:left w:w="108" w:type="dxa"/>
              <w:right w:w="108" w:type="dxa"/>
            </w:tcMar>
          </w:tcPr>
          <w:p w14:paraId="2B9EE865" w14:textId="49D40292" w:rsidR="0110A0F6" w:rsidRDefault="0110A0F6" w:rsidP="0110A0F6">
            <w:pPr>
              <w:jc w:val="center"/>
              <w:rPr>
                <w:noProof/>
              </w:rPr>
            </w:pPr>
            <w:r w:rsidRPr="00255F89">
              <w:rPr>
                <w:b/>
                <w:noProof/>
                <w:color w:val="000000" w:themeColor="text1"/>
                <w:sz w:val="20"/>
                <w:szCs w:val="20"/>
              </w:rPr>
              <w:t>++</w:t>
            </w:r>
          </w:p>
        </w:tc>
        <w:tc>
          <w:tcPr>
            <w:tcW w:w="1834" w:type="dxa"/>
            <w:tcBorders>
              <w:top w:val="single" w:sz="8" w:space="0" w:color="auto"/>
              <w:left w:val="single" w:sz="8" w:space="0" w:color="auto"/>
              <w:bottom w:val="single" w:sz="8" w:space="0" w:color="auto"/>
              <w:right w:val="single" w:sz="8" w:space="0" w:color="auto"/>
            </w:tcBorders>
            <w:shd w:val="clear" w:color="auto" w:fill="9BBB59" w:themeFill="accent3"/>
            <w:tcMar>
              <w:left w:w="108" w:type="dxa"/>
              <w:right w:w="108" w:type="dxa"/>
            </w:tcMar>
          </w:tcPr>
          <w:p w14:paraId="23398F16" w14:textId="46E2E6D3" w:rsidR="0110A0F6" w:rsidRDefault="0110A0F6" w:rsidP="0110A0F6">
            <w:pPr>
              <w:jc w:val="center"/>
              <w:rPr>
                <w:noProof/>
              </w:rPr>
            </w:pPr>
            <w:r w:rsidRPr="00255F89">
              <w:rPr>
                <w:b/>
                <w:noProof/>
                <w:color w:val="000000" w:themeColor="text1"/>
                <w:sz w:val="20"/>
                <w:szCs w:val="20"/>
              </w:rPr>
              <w:t>++</w:t>
            </w:r>
          </w:p>
        </w:tc>
        <w:tc>
          <w:tcPr>
            <w:tcW w:w="1868" w:type="dxa"/>
            <w:tcBorders>
              <w:top w:val="single" w:sz="8" w:space="0" w:color="auto"/>
              <w:left w:val="single" w:sz="8" w:space="0" w:color="auto"/>
              <w:bottom w:val="single" w:sz="8" w:space="0" w:color="auto"/>
              <w:right w:val="single" w:sz="8" w:space="0" w:color="auto"/>
            </w:tcBorders>
            <w:shd w:val="clear" w:color="auto" w:fill="9BBB59"/>
            <w:tcMar>
              <w:left w:w="108" w:type="dxa"/>
              <w:right w:w="108" w:type="dxa"/>
            </w:tcMar>
          </w:tcPr>
          <w:p w14:paraId="17D3D464" w14:textId="208D96B7" w:rsidR="0110A0F6" w:rsidRDefault="0110A0F6" w:rsidP="0110A0F6">
            <w:pPr>
              <w:jc w:val="center"/>
              <w:rPr>
                <w:noProof/>
              </w:rPr>
            </w:pPr>
            <w:r w:rsidRPr="003644F6">
              <w:rPr>
                <w:b/>
                <w:noProof/>
                <w:sz w:val="20"/>
                <w:szCs w:val="20"/>
              </w:rPr>
              <w:t>++</w:t>
            </w:r>
          </w:p>
        </w:tc>
        <w:tc>
          <w:tcPr>
            <w:tcW w:w="1738" w:type="dxa"/>
            <w:tcBorders>
              <w:top w:val="single" w:sz="8" w:space="0" w:color="auto"/>
              <w:left w:val="single" w:sz="8" w:space="0" w:color="auto"/>
              <w:bottom w:val="single" w:sz="8" w:space="0" w:color="auto"/>
              <w:right w:val="single" w:sz="8" w:space="0" w:color="auto"/>
            </w:tcBorders>
            <w:shd w:val="clear" w:color="auto" w:fill="9BBB59" w:themeFill="accent3"/>
            <w:tcMar>
              <w:left w:w="108" w:type="dxa"/>
              <w:right w:w="108" w:type="dxa"/>
            </w:tcMar>
          </w:tcPr>
          <w:p w14:paraId="7B56C89E" w14:textId="434F294D" w:rsidR="0110A0F6" w:rsidRDefault="0110A0F6" w:rsidP="0110A0F6">
            <w:pPr>
              <w:jc w:val="center"/>
              <w:rPr>
                <w:noProof/>
              </w:rPr>
            </w:pPr>
            <w:r w:rsidRPr="00255F89">
              <w:rPr>
                <w:b/>
                <w:noProof/>
                <w:color w:val="000000" w:themeColor="text1"/>
                <w:sz w:val="20"/>
                <w:szCs w:val="20"/>
              </w:rPr>
              <w:t>++</w:t>
            </w:r>
          </w:p>
        </w:tc>
      </w:tr>
      <w:tr w:rsidR="00054371" w14:paraId="4EFD7CAB" w14:textId="77777777" w:rsidTr="003644F6">
        <w:trPr>
          <w:trHeight w:val="300"/>
        </w:trPr>
        <w:tc>
          <w:tcPr>
            <w:tcW w:w="2400" w:type="dxa"/>
            <w:tcBorders>
              <w:top w:val="single" w:sz="8" w:space="0" w:color="auto"/>
              <w:left w:val="single" w:sz="8" w:space="0" w:color="auto"/>
              <w:bottom w:val="single" w:sz="8" w:space="0" w:color="auto"/>
              <w:right w:val="single" w:sz="8" w:space="0" w:color="auto"/>
            </w:tcBorders>
            <w:tcMar>
              <w:left w:w="108" w:type="dxa"/>
              <w:right w:w="108" w:type="dxa"/>
            </w:tcMar>
          </w:tcPr>
          <w:p w14:paraId="1F7AF6CE" w14:textId="3526EFC6" w:rsidR="0110A0F6" w:rsidRDefault="0110A0F6" w:rsidP="0110A0F6">
            <w:pPr>
              <w:jc w:val="both"/>
              <w:rPr>
                <w:noProof/>
              </w:rPr>
            </w:pPr>
            <w:r w:rsidRPr="00255F89">
              <w:rPr>
                <w:b/>
                <w:noProof/>
                <w:sz w:val="20"/>
                <w:szCs w:val="20"/>
              </w:rPr>
              <w:t>SUBSIDIARITY and PROPORTIONALITY</w:t>
            </w:r>
          </w:p>
        </w:tc>
        <w:tc>
          <w:tcPr>
            <w:tcW w:w="1814" w:type="dxa"/>
            <w:tcBorders>
              <w:top w:val="single" w:sz="8" w:space="0" w:color="auto"/>
              <w:left w:val="single" w:sz="8" w:space="0" w:color="auto"/>
              <w:bottom w:val="single" w:sz="8" w:space="0" w:color="auto"/>
              <w:right w:val="single" w:sz="8" w:space="0" w:color="auto"/>
            </w:tcBorders>
            <w:shd w:val="clear" w:color="auto" w:fill="9BBB59" w:themeFill="accent3"/>
            <w:tcMar>
              <w:left w:w="108" w:type="dxa"/>
              <w:right w:w="108" w:type="dxa"/>
            </w:tcMar>
          </w:tcPr>
          <w:p w14:paraId="7831D7E3" w14:textId="6781C37B" w:rsidR="0110A0F6" w:rsidRDefault="0110A0F6" w:rsidP="0110A0F6">
            <w:pPr>
              <w:jc w:val="center"/>
              <w:rPr>
                <w:noProof/>
              </w:rPr>
            </w:pPr>
            <w:r w:rsidRPr="00255F89">
              <w:rPr>
                <w:b/>
                <w:noProof/>
                <w:color w:val="000000" w:themeColor="text1"/>
                <w:sz w:val="20"/>
                <w:szCs w:val="20"/>
              </w:rPr>
              <w:t>++</w:t>
            </w:r>
          </w:p>
        </w:tc>
        <w:tc>
          <w:tcPr>
            <w:tcW w:w="1834" w:type="dxa"/>
            <w:tcBorders>
              <w:top w:val="single" w:sz="8" w:space="0" w:color="auto"/>
              <w:left w:val="single" w:sz="8" w:space="0" w:color="auto"/>
              <w:bottom w:val="single" w:sz="8" w:space="0" w:color="auto"/>
              <w:right w:val="single" w:sz="8" w:space="0" w:color="auto"/>
            </w:tcBorders>
            <w:shd w:val="clear" w:color="auto" w:fill="9BBB59" w:themeFill="accent3"/>
            <w:tcMar>
              <w:left w:w="108" w:type="dxa"/>
              <w:right w:w="108" w:type="dxa"/>
            </w:tcMar>
          </w:tcPr>
          <w:p w14:paraId="7BB27785" w14:textId="53EC502F" w:rsidR="0110A0F6" w:rsidRDefault="0110A0F6" w:rsidP="0110A0F6">
            <w:pPr>
              <w:jc w:val="center"/>
              <w:rPr>
                <w:noProof/>
              </w:rPr>
            </w:pPr>
            <w:r w:rsidRPr="00255F89">
              <w:rPr>
                <w:b/>
                <w:noProof/>
                <w:color w:val="000000" w:themeColor="text1"/>
                <w:sz w:val="20"/>
                <w:szCs w:val="20"/>
              </w:rPr>
              <w:t>++</w:t>
            </w:r>
          </w:p>
        </w:tc>
        <w:tc>
          <w:tcPr>
            <w:tcW w:w="1868" w:type="dxa"/>
            <w:tcBorders>
              <w:top w:val="single" w:sz="8" w:space="0" w:color="auto"/>
              <w:left w:val="single" w:sz="8" w:space="0" w:color="auto"/>
              <w:bottom w:val="single" w:sz="8" w:space="0" w:color="auto"/>
              <w:right w:val="single" w:sz="8" w:space="0" w:color="auto"/>
            </w:tcBorders>
            <w:shd w:val="clear" w:color="auto" w:fill="9BBB59"/>
            <w:tcMar>
              <w:left w:w="108" w:type="dxa"/>
              <w:right w:w="108" w:type="dxa"/>
            </w:tcMar>
          </w:tcPr>
          <w:p w14:paraId="71AC23CF" w14:textId="5D6A1DC7" w:rsidR="0110A0F6" w:rsidRDefault="0110A0F6" w:rsidP="0110A0F6">
            <w:pPr>
              <w:jc w:val="center"/>
              <w:rPr>
                <w:noProof/>
              </w:rPr>
            </w:pPr>
            <w:r w:rsidRPr="003644F6">
              <w:rPr>
                <w:b/>
                <w:noProof/>
                <w:sz w:val="20"/>
                <w:szCs w:val="20"/>
              </w:rPr>
              <w:t>++</w:t>
            </w:r>
          </w:p>
        </w:tc>
        <w:tc>
          <w:tcPr>
            <w:tcW w:w="1738" w:type="dxa"/>
            <w:tcBorders>
              <w:top w:val="single" w:sz="8" w:space="0" w:color="auto"/>
              <w:left w:val="single" w:sz="8" w:space="0" w:color="auto"/>
              <w:bottom w:val="single" w:sz="8" w:space="0" w:color="auto"/>
              <w:right w:val="single" w:sz="8" w:space="0" w:color="auto"/>
            </w:tcBorders>
            <w:shd w:val="clear" w:color="auto" w:fill="CCDDAB"/>
            <w:tcMar>
              <w:left w:w="108" w:type="dxa"/>
              <w:right w:w="108" w:type="dxa"/>
            </w:tcMar>
          </w:tcPr>
          <w:p w14:paraId="5E0ABC1E" w14:textId="09DFC1DF" w:rsidR="0110A0F6" w:rsidRDefault="0110A0F6" w:rsidP="0110A0F6">
            <w:pPr>
              <w:jc w:val="center"/>
              <w:rPr>
                <w:noProof/>
              </w:rPr>
            </w:pPr>
            <w:r w:rsidRPr="00255F89">
              <w:rPr>
                <w:b/>
                <w:noProof/>
                <w:color w:val="000000" w:themeColor="text1"/>
                <w:sz w:val="20"/>
                <w:szCs w:val="20"/>
              </w:rPr>
              <w:t>+</w:t>
            </w:r>
          </w:p>
        </w:tc>
      </w:tr>
    </w:tbl>
    <w:p w14:paraId="57B24119" w14:textId="2A45E219" w:rsidR="007F5243" w:rsidRPr="00B53DFD" w:rsidRDefault="007F5243" w:rsidP="00B53DFD">
      <w:pPr>
        <w:spacing w:after="240"/>
        <w:jc w:val="both"/>
        <w:rPr>
          <w:i/>
          <w:noProof/>
          <w:spacing w:val="-8"/>
          <w:sz w:val="20"/>
          <w:szCs w:val="20"/>
        </w:rPr>
      </w:pPr>
      <w:bookmarkStart w:id="221" w:name="_Toc223979991"/>
      <w:r w:rsidRPr="00B53DFD">
        <w:rPr>
          <w:i/>
          <w:noProof/>
          <w:spacing w:val="-8"/>
          <w:sz w:val="20"/>
          <w:szCs w:val="20"/>
        </w:rPr>
        <w:t xml:space="preserve">Note: </w:t>
      </w:r>
      <w:r w:rsidR="00A851AF" w:rsidRPr="00B53DFD">
        <w:rPr>
          <w:i/>
          <w:noProof/>
          <w:spacing w:val="-8"/>
          <w:sz w:val="20"/>
          <w:szCs w:val="20"/>
        </w:rPr>
        <w:t>Although not possible to quantify, the overall impact on consumers’ costs savings would be the strongest, as well as the quickest to materialise, in the case of PO3. PO4 would come second in terms of overall impact and but its effects would unfold more gradually, due to the need to restructure the business of indispensable platforms following unbundling. PO2 would have a more moderate impact, since the cost reduction would be generated by the action of independent platforms that have a smaller customer base, although this would grow in time. Finally, only a negligeable impact on user search cost savings can be expected to result from PO1, which would change the presentation, but not the scope of the ticketing offer on the platforms. Taking into account the impacts on user search costs savings,</w:t>
      </w:r>
      <w:r w:rsidR="00A719B9">
        <w:rPr>
          <w:i/>
          <w:iCs/>
          <w:noProof/>
          <w:spacing w:val="-8"/>
          <w:sz w:val="20"/>
          <w:szCs w:val="20"/>
        </w:rPr>
        <w:t xml:space="preserve"> that were not possible to quantify</w:t>
      </w:r>
      <w:r w:rsidR="00A851AF">
        <w:rPr>
          <w:i/>
          <w:noProof/>
          <w:spacing w:val="-8"/>
          <w:sz w:val="20"/>
          <w:szCs w:val="20"/>
        </w:rPr>
        <w:t>,</w:t>
      </w:r>
      <w:r w:rsidR="00A851AF" w:rsidRPr="00B53DFD">
        <w:rPr>
          <w:i/>
          <w:noProof/>
          <w:spacing w:val="-8"/>
          <w:sz w:val="20"/>
          <w:szCs w:val="20"/>
        </w:rPr>
        <w:t xml:space="preserve"> the highest benefits to costs ratio among the policy options is thus expected to be achieved in PO3.</w:t>
      </w:r>
    </w:p>
    <w:p w14:paraId="23CE127C" w14:textId="014054BD" w:rsidR="00CA340C" w:rsidRDefault="007E64BF" w:rsidP="006E3FA1">
      <w:pPr>
        <w:pStyle w:val="Heading2"/>
        <w:keepNext/>
        <w:numPr>
          <w:ilvl w:val="1"/>
          <w:numId w:val="11"/>
        </w:numPr>
        <w:tabs>
          <w:tab w:val="left" w:pos="709"/>
        </w:tabs>
        <w:spacing w:before="240" w:after="240"/>
        <w:ind w:left="1134" w:hanging="708"/>
        <w:rPr>
          <w:noProof/>
        </w:rPr>
      </w:pPr>
      <w:r w:rsidRPr="0053382A">
        <w:rPr>
          <w:noProof/>
        </w:rPr>
        <w:t>Sensitivity analysis</w:t>
      </w:r>
      <w:bookmarkEnd w:id="221"/>
      <w:r w:rsidRPr="0053382A">
        <w:rPr>
          <w:noProof/>
        </w:rPr>
        <w:t xml:space="preserve"> </w:t>
      </w:r>
    </w:p>
    <w:p w14:paraId="42B32C0E" w14:textId="05FDACDA" w:rsidR="00C83B76" w:rsidRDefault="002E5A62" w:rsidP="00301B44">
      <w:pPr>
        <w:spacing w:after="240"/>
        <w:jc w:val="both"/>
        <w:rPr>
          <w:noProof/>
          <w:spacing w:val="-8"/>
        </w:rPr>
      </w:pPr>
      <w:r>
        <w:rPr>
          <w:noProof/>
          <w:spacing w:val="-8"/>
        </w:rPr>
        <w:t xml:space="preserve">As explained in the introduction to section 6, </w:t>
      </w:r>
      <w:r w:rsidRPr="001A29F7">
        <w:rPr>
          <w:noProof/>
          <w:spacing w:val="-8"/>
        </w:rPr>
        <w:t>during the expert workshop and the stakeholders’ workshop</w:t>
      </w:r>
      <w:r>
        <w:rPr>
          <w:noProof/>
          <w:spacing w:val="-8"/>
        </w:rPr>
        <w:t xml:space="preserve"> used to </w:t>
      </w:r>
      <w:r w:rsidR="00B64982">
        <w:rPr>
          <w:noProof/>
          <w:spacing w:val="-8"/>
        </w:rPr>
        <w:t>validate the inputs used in the ASTRA model</w:t>
      </w:r>
      <w:r w:rsidRPr="001A29F7">
        <w:rPr>
          <w:noProof/>
          <w:spacing w:val="-8"/>
        </w:rPr>
        <w:t>, participants indicated the difficulty to derive a modal shift potential linked to the ability to see all offerings on an MDMS platform and the ability to book all visible travel options on an MDMS platform, since there have been little relevant applications of similar initiatives that could allow to deduct lessons.</w:t>
      </w:r>
      <w:r w:rsidR="00205746">
        <w:rPr>
          <w:noProof/>
          <w:spacing w:val="-8"/>
        </w:rPr>
        <w:t xml:space="preserve"> </w:t>
      </w:r>
      <w:r w:rsidR="003F1DAA" w:rsidRPr="00301B44">
        <w:rPr>
          <w:noProof/>
          <w:spacing w:val="-8"/>
        </w:rPr>
        <w:t>To acknowledge the uncertainty and test the robustness of the results, sensitivity analysis has been performed</w:t>
      </w:r>
      <w:r w:rsidR="003F1DAA" w:rsidRPr="00301B44" w:rsidDel="00205746">
        <w:rPr>
          <w:noProof/>
          <w:spacing w:val="-8"/>
        </w:rPr>
        <w:t xml:space="preserve"> </w:t>
      </w:r>
      <w:r w:rsidR="003F1DAA" w:rsidRPr="00301B44">
        <w:rPr>
          <w:noProof/>
          <w:spacing w:val="-8"/>
        </w:rPr>
        <w:t>on the potential modal shift due to the ability to see all offerings on MDMS platforms and the ability to book all visible travel options on MDMS platforms</w:t>
      </w:r>
      <w:r w:rsidR="00205746">
        <w:rPr>
          <w:noProof/>
          <w:spacing w:val="-8"/>
        </w:rPr>
        <w:t xml:space="preserve">. In addition, sensitivity analysis has been performed </w:t>
      </w:r>
      <w:r w:rsidR="00487766">
        <w:rPr>
          <w:noProof/>
          <w:spacing w:val="-8"/>
        </w:rPr>
        <w:t xml:space="preserve">on the </w:t>
      </w:r>
      <w:r w:rsidR="00C731BC">
        <w:rPr>
          <w:noProof/>
          <w:spacing w:val="-8"/>
        </w:rPr>
        <w:t>t</w:t>
      </w:r>
      <w:r w:rsidR="00C731BC" w:rsidRPr="00C731BC">
        <w:rPr>
          <w:noProof/>
          <w:spacing w:val="-8"/>
        </w:rPr>
        <w:t>hresholds to identify B2C MDMS platforms and RUs with SMP</w:t>
      </w:r>
      <w:r w:rsidR="00C366DA">
        <w:rPr>
          <w:noProof/>
          <w:spacing w:val="-8"/>
        </w:rPr>
        <w:t>, as further explained below</w:t>
      </w:r>
      <w:r w:rsidR="003F1DAA" w:rsidRPr="00301B44">
        <w:rPr>
          <w:noProof/>
          <w:spacing w:val="-8"/>
        </w:rPr>
        <w:t xml:space="preserve">. </w:t>
      </w:r>
    </w:p>
    <w:p w14:paraId="006CD11D" w14:textId="5B71FF93" w:rsidR="003F1DAA" w:rsidRPr="00301B44" w:rsidRDefault="0019688D" w:rsidP="00301B44">
      <w:pPr>
        <w:spacing w:after="240"/>
        <w:jc w:val="both"/>
        <w:rPr>
          <w:noProof/>
          <w:spacing w:val="-8"/>
        </w:rPr>
      </w:pPr>
      <w:r w:rsidRPr="003A2F40">
        <w:rPr>
          <w:b/>
          <w:noProof/>
          <w:spacing w:val="-8"/>
        </w:rPr>
        <w:t>Sensitivity analysis on the potential modal shift.</w:t>
      </w:r>
      <w:r>
        <w:rPr>
          <w:noProof/>
          <w:spacing w:val="-8"/>
        </w:rPr>
        <w:t xml:space="preserve"> </w:t>
      </w:r>
      <w:r w:rsidR="003B207C">
        <w:rPr>
          <w:noProof/>
          <w:spacing w:val="-8"/>
        </w:rPr>
        <w:t>A</w:t>
      </w:r>
      <w:r w:rsidR="003B207C" w:rsidRPr="00301B44">
        <w:rPr>
          <w:noProof/>
          <w:spacing w:val="-8"/>
        </w:rPr>
        <w:t xml:space="preserve"> ‘low </w:t>
      </w:r>
      <w:r w:rsidR="00F840FA">
        <w:rPr>
          <w:noProof/>
          <w:spacing w:val="-8"/>
        </w:rPr>
        <w:t>modal shift</w:t>
      </w:r>
      <w:r w:rsidR="001072C3">
        <w:rPr>
          <w:noProof/>
          <w:spacing w:val="-8"/>
        </w:rPr>
        <w:t>’</w:t>
      </w:r>
      <w:r w:rsidR="00F840FA">
        <w:rPr>
          <w:noProof/>
          <w:spacing w:val="-8"/>
        </w:rPr>
        <w:t xml:space="preserve"> </w:t>
      </w:r>
      <w:r w:rsidR="003B207C" w:rsidRPr="00301B44">
        <w:rPr>
          <w:noProof/>
          <w:spacing w:val="-8"/>
        </w:rPr>
        <w:t xml:space="preserve">case </w:t>
      </w:r>
      <w:r w:rsidR="003B207C">
        <w:rPr>
          <w:noProof/>
          <w:spacing w:val="-8"/>
        </w:rPr>
        <w:t>has been assessed</w:t>
      </w:r>
      <w:r w:rsidR="004B21F8">
        <w:rPr>
          <w:noProof/>
          <w:spacing w:val="-8"/>
        </w:rPr>
        <w:t>, assuming</w:t>
      </w:r>
      <w:r w:rsidR="003B207C">
        <w:rPr>
          <w:noProof/>
          <w:spacing w:val="-8"/>
        </w:rPr>
        <w:t xml:space="preserve"> </w:t>
      </w:r>
      <w:r w:rsidR="003F1DAA" w:rsidRPr="00301B44">
        <w:rPr>
          <w:noProof/>
          <w:spacing w:val="-8"/>
        </w:rPr>
        <w:t xml:space="preserve">half </w:t>
      </w:r>
      <w:r w:rsidR="003F1DAA" w:rsidRPr="006676D5">
        <w:rPr>
          <w:noProof/>
          <w:spacing w:val="-8"/>
        </w:rPr>
        <w:t xml:space="preserve">of the potential </w:t>
      </w:r>
      <w:r w:rsidR="004B21F8" w:rsidRPr="006676D5">
        <w:rPr>
          <w:noProof/>
          <w:spacing w:val="-8"/>
        </w:rPr>
        <w:t>identified for modal shift</w:t>
      </w:r>
      <w:r w:rsidR="00B871BC" w:rsidRPr="006676D5">
        <w:rPr>
          <w:noProof/>
          <w:spacing w:val="-8"/>
        </w:rPr>
        <w:t xml:space="preserve"> due to the ability to see all offerings on MDMS platforms and the ability to book all visible travel options on MDMS platforms</w:t>
      </w:r>
      <w:r w:rsidR="003F1DAA" w:rsidRPr="006676D5">
        <w:rPr>
          <w:noProof/>
          <w:spacing w:val="-8"/>
        </w:rPr>
        <w:t>. The impacts on external costs savings and efficiency</w:t>
      </w:r>
      <w:r w:rsidR="00391CFA">
        <w:rPr>
          <w:noProof/>
          <w:spacing w:val="-8"/>
        </w:rPr>
        <w:t xml:space="preserve"> (</w:t>
      </w:r>
      <w:r w:rsidR="000955B9">
        <w:rPr>
          <w:noProof/>
          <w:spacing w:val="-8"/>
        </w:rPr>
        <w:t>including external costs savings</w:t>
      </w:r>
      <w:r w:rsidR="00391CFA">
        <w:rPr>
          <w:noProof/>
          <w:spacing w:val="-8"/>
        </w:rPr>
        <w:t>)</w:t>
      </w:r>
      <w:r w:rsidR="003F1DAA" w:rsidRPr="006676D5">
        <w:rPr>
          <w:noProof/>
          <w:spacing w:val="-8"/>
        </w:rPr>
        <w:t xml:space="preserve"> are further compared to the </w:t>
      </w:r>
      <w:r w:rsidR="00B245F1" w:rsidRPr="006676D5">
        <w:rPr>
          <w:noProof/>
          <w:spacing w:val="-8"/>
        </w:rPr>
        <w:t>‘</w:t>
      </w:r>
      <w:r w:rsidR="003F1DAA" w:rsidRPr="006676D5">
        <w:rPr>
          <w:noProof/>
          <w:spacing w:val="-8"/>
        </w:rPr>
        <w:t>base case</w:t>
      </w:r>
      <w:r w:rsidR="00B245F1" w:rsidRPr="006676D5">
        <w:rPr>
          <w:noProof/>
          <w:spacing w:val="-8"/>
        </w:rPr>
        <w:t>’</w:t>
      </w:r>
      <w:r w:rsidR="003F1DAA" w:rsidRPr="006676D5">
        <w:rPr>
          <w:noProof/>
          <w:spacing w:val="-8"/>
        </w:rPr>
        <w:t xml:space="preserve"> presented in section 6.</w:t>
      </w:r>
      <w:r w:rsidR="006363F1" w:rsidRPr="006676D5">
        <w:rPr>
          <w:noProof/>
          <w:spacing w:val="-8"/>
        </w:rPr>
        <w:t xml:space="preserve"> More details are presented in section </w:t>
      </w:r>
      <w:r w:rsidR="004B4DBA" w:rsidRPr="006676D5">
        <w:rPr>
          <w:noProof/>
          <w:spacing w:val="-8"/>
        </w:rPr>
        <w:t xml:space="preserve">4 </w:t>
      </w:r>
      <w:r w:rsidR="006363F1" w:rsidRPr="006676D5">
        <w:rPr>
          <w:noProof/>
          <w:spacing w:val="-8"/>
        </w:rPr>
        <w:t>of Annex 4.</w:t>
      </w:r>
    </w:p>
    <w:p w14:paraId="699F0333" w14:textId="681E4E71" w:rsidR="003F1DAA" w:rsidRPr="00A84168" w:rsidRDefault="003F1DAA" w:rsidP="00301B44">
      <w:pPr>
        <w:spacing w:after="240"/>
        <w:jc w:val="both"/>
        <w:rPr>
          <w:noProof/>
          <w:spacing w:val="-8"/>
        </w:rPr>
      </w:pPr>
      <w:r w:rsidRPr="00301B44">
        <w:rPr>
          <w:noProof/>
          <w:spacing w:val="-8"/>
          <w:lang w:eastAsia="nl-NL"/>
        </w:rPr>
        <w:t xml:space="preserve">The table below shows that this assumption has important impacts on the external costs savings in the ‘low </w:t>
      </w:r>
      <w:r w:rsidR="00B45C9C">
        <w:rPr>
          <w:noProof/>
          <w:spacing w:val="-8"/>
          <w:lang w:eastAsia="nl-NL"/>
        </w:rPr>
        <w:t>modal shift</w:t>
      </w:r>
      <w:r w:rsidR="0007782E">
        <w:rPr>
          <w:noProof/>
          <w:spacing w:val="-8"/>
          <w:lang w:eastAsia="nl-NL"/>
        </w:rPr>
        <w:t>’</w:t>
      </w:r>
      <w:r w:rsidR="00B45C9C">
        <w:rPr>
          <w:noProof/>
          <w:spacing w:val="-8"/>
          <w:lang w:eastAsia="nl-NL"/>
        </w:rPr>
        <w:t xml:space="preserve"> </w:t>
      </w:r>
      <w:r w:rsidRPr="00301B44">
        <w:rPr>
          <w:noProof/>
          <w:spacing w:val="-8"/>
          <w:lang w:eastAsia="nl-NL"/>
        </w:rPr>
        <w:t xml:space="preserve">case relative to the base case. Total external costs savings, expressed as present value over 2028-2050 relative to the baseline, are 34% lower in the ‘low </w:t>
      </w:r>
      <w:r w:rsidR="00B45C9C">
        <w:rPr>
          <w:noProof/>
          <w:spacing w:val="-8"/>
          <w:lang w:eastAsia="nl-NL"/>
        </w:rPr>
        <w:t>modal shift</w:t>
      </w:r>
      <w:r w:rsidR="001072C3">
        <w:rPr>
          <w:noProof/>
          <w:spacing w:val="-8"/>
          <w:lang w:eastAsia="nl-NL"/>
        </w:rPr>
        <w:t>’</w:t>
      </w:r>
      <w:r w:rsidR="00B45C9C">
        <w:rPr>
          <w:noProof/>
          <w:spacing w:val="-8"/>
          <w:lang w:eastAsia="nl-NL"/>
        </w:rPr>
        <w:t xml:space="preserve"> </w:t>
      </w:r>
      <w:r w:rsidRPr="00301B44">
        <w:rPr>
          <w:noProof/>
          <w:spacing w:val="-8"/>
          <w:lang w:eastAsia="nl-NL"/>
        </w:rPr>
        <w:t>case relative to the base case in PO1, 37% lower in PO2, 39% lower in PO3 and 37% lower in PO4.</w:t>
      </w:r>
    </w:p>
    <w:p w14:paraId="144AA82D" w14:textId="520D0A71" w:rsidR="003F1DAA" w:rsidRPr="00BA0980" w:rsidRDefault="003F1DAA" w:rsidP="005479DE">
      <w:pPr>
        <w:pStyle w:val="Text2"/>
        <w:spacing w:after="0"/>
        <w:ind w:left="0"/>
        <w:rPr>
          <w:rFonts w:cs="Times New Roman"/>
          <w:i/>
          <w:noProof/>
          <w:sz w:val="22"/>
          <w:szCs w:val="22"/>
        </w:rPr>
      </w:pPr>
      <w:r w:rsidRPr="006333F0">
        <w:rPr>
          <w:rFonts w:cs="Times New Roman"/>
          <w:i/>
          <w:noProof/>
          <w:sz w:val="22"/>
          <w:szCs w:val="22"/>
        </w:rPr>
        <w:t xml:space="preserve">Table </w:t>
      </w:r>
      <w:r w:rsidRPr="00BA0980">
        <w:rPr>
          <w:rFonts w:cs="Times New Roman"/>
          <w:i/>
          <w:noProof/>
          <w:sz w:val="22"/>
          <w:szCs w:val="22"/>
        </w:rPr>
        <w:fldChar w:fldCharType="begin"/>
      </w:r>
      <w:r w:rsidRPr="00BA0980">
        <w:rPr>
          <w:rFonts w:cs="Times New Roman"/>
          <w:i/>
          <w:noProof/>
          <w:sz w:val="22"/>
          <w:szCs w:val="22"/>
        </w:rPr>
        <w:instrText xml:space="preserve"> SEQ Table \* ARABIC </w:instrText>
      </w:r>
      <w:r w:rsidRPr="00BA0980">
        <w:rPr>
          <w:rFonts w:cs="Times New Roman"/>
          <w:i/>
          <w:noProof/>
          <w:sz w:val="22"/>
          <w:szCs w:val="22"/>
        </w:rPr>
        <w:fldChar w:fldCharType="separate"/>
      </w:r>
      <w:r w:rsidR="0055391F">
        <w:rPr>
          <w:rFonts w:cs="Times New Roman"/>
          <w:i/>
          <w:noProof/>
          <w:sz w:val="22"/>
          <w:szCs w:val="22"/>
        </w:rPr>
        <w:t>27</w:t>
      </w:r>
      <w:r w:rsidRPr="00BA0980">
        <w:rPr>
          <w:rFonts w:cs="Times New Roman"/>
          <w:i/>
          <w:noProof/>
          <w:sz w:val="22"/>
          <w:szCs w:val="22"/>
        </w:rPr>
        <w:fldChar w:fldCharType="end"/>
      </w:r>
      <w:r w:rsidRPr="006333F0">
        <w:rPr>
          <w:rFonts w:cs="Times New Roman"/>
          <w:i/>
          <w:noProof/>
          <w:sz w:val="22"/>
          <w:szCs w:val="22"/>
        </w:rPr>
        <w:t xml:space="preserve">: </w:t>
      </w:r>
      <w:r>
        <w:rPr>
          <w:rFonts w:cs="Times New Roman"/>
          <w:i/>
          <w:noProof/>
          <w:sz w:val="22"/>
          <w:szCs w:val="22"/>
        </w:rPr>
        <w:t xml:space="preserve">External costs savings in the ‘low </w:t>
      </w:r>
      <w:r w:rsidR="00B45C9C">
        <w:rPr>
          <w:rFonts w:cs="Times New Roman"/>
          <w:i/>
          <w:noProof/>
          <w:sz w:val="22"/>
          <w:szCs w:val="22"/>
        </w:rPr>
        <w:t xml:space="preserve">modal shift </w:t>
      </w:r>
      <w:r>
        <w:rPr>
          <w:rFonts w:cs="Times New Roman"/>
          <w:i/>
          <w:noProof/>
          <w:sz w:val="22"/>
          <w:szCs w:val="22"/>
        </w:rPr>
        <w:t>case’ and base case in the POs relative to the baseline (EU27), expressed as present value over 2028-2050,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r>
        <w:rPr>
          <w:rFonts w:cs="Times New Roman"/>
          <w:i/>
          <w:noProof/>
          <w:sz w:val="22"/>
          <w:szCs w:val="22"/>
        </w:rPr>
        <w:t xml:space="preserve"> </w:t>
      </w:r>
    </w:p>
    <w:tbl>
      <w:tblPr>
        <w:tblW w:w="5000" w:type="pct"/>
        <w:tblLook w:val="04A0" w:firstRow="1" w:lastRow="0" w:firstColumn="1" w:lastColumn="0" w:noHBand="0" w:noVBand="1"/>
      </w:tblPr>
      <w:tblGrid>
        <w:gridCol w:w="4539"/>
        <w:gridCol w:w="1266"/>
        <w:gridCol w:w="1266"/>
        <w:gridCol w:w="1266"/>
        <w:gridCol w:w="1266"/>
      </w:tblGrid>
      <w:tr w:rsidR="003F1DAA" w:rsidRPr="002D10CF" w14:paraId="34C461E1" w14:textId="77777777" w:rsidTr="004B1169">
        <w:trPr>
          <w:trHeight w:val="255"/>
          <w:tblHeader/>
        </w:trPr>
        <w:tc>
          <w:tcPr>
            <w:tcW w:w="2363" w:type="pct"/>
            <w:tcBorders>
              <w:top w:val="single" w:sz="4" w:space="0" w:color="auto"/>
              <w:left w:val="single" w:sz="4" w:space="0" w:color="auto"/>
              <w:bottom w:val="single" w:sz="4" w:space="0" w:color="auto"/>
              <w:right w:val="single" w:sz="4" w:space="0" w:color="auto"/>
            </w:tcBorders>
            <w:shd w:val="clear" w:color="000000" w:fill="0070C0"/>
            <w:hideMark/>
          </w:tcPr>
          <w:p w14:paraId="0F2293D4" w14:textId="77777777" w:rsidR="003F1DAA" w:rsidRPr="002D10CF" w:rsidRDefault="003F1DAA" w:rsidP="00A84168">
            <w:pPr>
              <w:rPr>
                <w:b/>
                <w:bCs/>
                <w:noProof/>
                <w:color w:val="FFFFFF"/>
                <w:sz w:val="20"/>
                <w:szCs w:val="20"/>
              </w:rPr>
            </w:pPr>
            <w:r w:rsidRPr="002D10CF">
              <w:rPr>
                <w:b/>
                <w:bCs/>
                <w:noProof/>
                <w:color w:val="FFFFFF"/>
                <w:sz w:val="20"/>
                <w:szCs w:val="20"/>
              </w:rPr>
              <w:t> </w:t>
            </w:r>
          </w:p>
        </w:tc>
        <w:tc>
          <w:tcPr>
            <w:tcW w:w="659" w:type="pct"/>
            <w:tcBorders>
              <w:top w:val="single" w:sz="4" w:space="0" w:color="auto"/>
              <w:left w:val="nil"/>
              <w:bottom w:val="single" w:sz="4" w:space="0" w:color="auto"/>
              <w:right w:val="single" w:sz="4" w:space="0" w:color="auto"/>
            </w:tcBorders>
            <w:shd w:val="clear" w:color="000000" w:fill="0070C0"/>
            <w:hideMark/>
          </w:tcPr>
          <w:p w14:paraId="3C8DD873" w14:textId="77777777" w:rsidR="003F1DAA" w:rsidRPr="002D10CF" w:rsidRDefault="003F1DAA" w:rsidP="00A84168">
            <w:pPr>
              <w:jc w:val="center"/>
              <w:rPr>
                <w:b/>
                <w:bCs/>
                <w:noProof/>
                <w:color w:val="FFFFFF"/>
                <w:sz w:val="20"/>
                <w:szCs w:val="20"/>
              </w:rPr>
            </w:pPr>
            <w:r w:rsidRPr="002D10CF">
              <w:rPr>
                <w:b/>
                <w:bCs/>
                <w:noProof/>
                <w:color w:val="FFFFFF"/>
                <w:sz w:val="20"/>
                <w:szCs w:val="20"/>
              </w:rPr>
              <w:t>PO1</w:t>
            </w:r>
          </w:p>
        </w:tc>
        <w:tc>
          <w:tcPr>
            <w:tcW w:w="659" w:type="pct"/>
            <w:tcBorders>
              <w:top w:val="single" w:sz="4" w:space="0" w:color="auto"/>
              <w:left w:val="nil"/>
              <w:bottom w:val="single" w:sz="4" w:space="0" w:color="auto"/>
              <w:right w:val="single" w:sz="4" w:space="0" w:color="auto"/>
            </w:tcBorders>
            <w:shd w:val="clear" w:color="000000" w:fill="0070C0"/>
            <w:hideMark/>
          </w:tcPr>
          <w:p w14:paraId="28B5829B" w14:textId="77777777" w:rsidR="003F1DAA" w:rsidRPr="002D10CF" w:rsidRDefault="003F1DAA" w:rsidP="00A84168">
            <w:pPr>
              <w:jc w:val="center"/>
              <w:rPr>
                <w:b/>
                <w:bCs/>
                <w:noProof/>
                <w:color w:val="FFFFFF"/>
                <w:sz w:val="20"/>
                <w:szCs w:val="20"/>
              </w:rPr>
            </w:pPr>
            <w:r w:rsidRPr="002D10CF">
              <w:rPr>
                <w:b/>
                <w:bCs/>
                <w:noProof/>
                <w:color w:val="FFFFFF"/>
                <w:sz w:val="20"/>
                <w:szCs w:val="20"/>
              </w:rPr>
              <w:t>PO2</w:t>
            </w:r>
          </w:p>
        </w:tc>
        <w:tc>
          <w:tcPr>
            <w:tcW w:w="659" w:type="pct"/>
            <w:tcBorders>
              <w:top w:val="single" w:sz="4" w:space="0" w:color="auto"/>
              <w:left w:val="nil"/>
              <w:bottom w:val="single" w:sz="4" w:space="0" w:color="auto"/>
              <w:right w:val="single" w:sz="4" w:space="0" w:color="auto"/>
            </w:tcBorders>
            <w:shd w:val="clear" w:color="000000" w:fill="0070C0"/>
            <w:hideMark/>
          </w:tcPr>
          <w:p w14:paraId="56602B15" w14:textId="77777777" w:rsidR="003F1DAA" w:rsidRPr="002D10CF" w:rsidRDefault="003F1DAA" w:rsidP="00A84168">
            <w:pPr>
              <w:jc w:val="center"/>
              <w:rPr>
                <w:b/>
                <w:bCs/>
                <w:noProof/>
                <w:color w:val="FFFFFF"/>
                <w:sz w:val="20"/>
                <w:szCs w:val="20"/>
              </w:rPr>
            </w:pPr>
            <w:r w:rsidRPr="002D10CF">
              <w:rPr>
                <w:b/>
                <w:bCs/>
                <w:noProof/>
                <w:color w:val="FFFFFF"/>
                <w:sz w:val="20"/>
                <w:szCs w:val="20"/>
              </w:rPr>
              <w:t>PO3</w:t>
            </w:r>
          </w:p>
        </w:tc>
        <w:tc>
          <w:tcPr>
            <w:tcW w:w="659" w:type="pct"/>
            <w:tcBorders>
              <w:top w:val="single" w:sz="4" w:space="0" w:color="auto"/>
              <w:left w:val="nil"/>
              <w:bottom w:val="single" w:sz="4" w:space="0" w:color="auto"/>
              <w:right w:val="single" w:sz="4" w:space="0" w:color="auto"/>
            </w:tcBorders>
            <w:shd w:val="clear" w:color="000000" w:fill="0070C0"/>
            <w:hideMark/>
          </w:tcPr>
          <w:p w14:paraId="42619600" w14:textId="77777777" w:rsidR="003F1DAA" w:rsidRPr="002D10CF" w:rsidRDefault="003F1DAA" w:rsidP="00A84168">
            <w:pPr>
              <w:jc w:val="center"/>
              <w:rPr>
                <w:b/>
                <w:bCs/>
                <w:noProof/>
                <w:color w:val="FFFFFF"/>
                <w:sz w:val="20"/>
                <w:szCs w:val="20"/>
              </w:rPr>
            </w:pPr>
            <w:r w:rsidRPr="002D10CF">
              <w:rPr>
                <w:b/>
                <w:bCs/>
                <w:noProof/>
                <w:color w:val="FFFFFF"/>
                <w:sz w:val="20"/>
                <w:szCs w:val="20"/>
              </w:rPr>
              <w:t>PO4</w:t>
            </w:r>
          </w:p>
        </w:tc>
      </w:tr>
      <w:tr w:rsidR="003F1DAA" w:rsidRPr="002D10CF" w14:paraId="413FF0E2"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BDE3FF"/>
            <w:noWrap/>
            <w:hideMark/>
          </w:tcPr>
          <w:p w14:paraId="6CEBD372" w14:textId="77777777" w:rsidR="003F1DAA" w:rsidRPr="002D10CF" w:rsidRDefault="003F1DAA" w:rsidP="00A84168">
            <w:pPr>
              <w:rPr>
                <w:b/>
                <w:bCs/>
                <w:noProof/>
                <w:color w:val="000000"/>
                <w:sz w:val="20"/>
                <w:szCs w:val="20"/>
              </w:rPr>
            </w:pPr>
            <w:r w:rsidRPr="002D10CF">
              <w:rPr>
                <w:b/>
                <w:bCs/>
                <w:noProof/>
                <w:color w:val="000000"/>
                <w:sz w:val="20"/>
                <w:szCs w:val="20"/>
              </w:rPr>
              <w:t>Base case</w:t>
            </w:r>
          </w:p>
        </w:tc>
        <w:tc>
          <w:tcPr>
            <w:tcW w:w="659" w:type="pct"/>
            <w:tcBorders>
              <w:top w:val="nil"/>
              <w:left w:val="nil"/>
              <w:bottom w:val="single" w:sz="4" w:space="0" w:color="auto"/>
              <w:right w:val="single" w:sz="4" w:space="0" w:color="auto"/>
            </w:tcBorders>
            <w:shd w:val="clear" w:color="000000" w:fill="BDE3FF"/>
            <w:noWrap/>
            <w:hideMark/>
          </w:tcPr>
          <w:p w14:paraId="2E1BAD08" w14:textId="77777777" w:rsidR="003F1DAA" w:rsidRPr="002D10CF" w:rsidRDefault="003F1DAA" w:rsidP="00A84168">
            <w:pPr>
              <w:rPr>
                <w:noProof/>
                <w:color w:val="000000"/>
                <w:sz w:val="20"/>
                <w:szCs w:val="20"/>
              </w:rPr>
            </w:pPr>
            <w:r w:rsidRPr="002D10CF">
              <w:rPr>
                <w:noProof/>
                <w:color w:val="000000"/>
                <w:sz w:val="20"/>
                <w:szCs w:val="20"/>
              </w:rPr>
              <w:t> </w:t>
            </w:r>
          </w:p>
        </w:tc>
        <w:tc>
          <w:tcPr>
            <w:tcW w:w="659" w:type="pct"/>
            <w:tcBorders>
              <w:top w:val="nil"/>
              <w:left w:val="nil"/>
              <w:bottom w:val="single" w:sz="4" w:space="0" w:color="auto"/>
              <w:right w:val="single" w:sz="4" w:space="0" w:color="auto"/>
            </w:tcBorders>
            <w:shd w:val="clear" w:color="000000" w:fill="BDE3FF"/>
            <w:noWrap/>
            <w:hideMark/>
          </w:tcPr>
          <w:p w14:paraId="76C9E60B" w14:textId="77777777" w:rsidR="003F1DAA" w:rsidRPr="002D10CF" w:rsidRDefault="003F1DAA" w:rsidP="00A84168">
            <w:pPr>
              <w:rPr>
                <w:noProof/>
                <w:color w:val="000000"/>
                <w:sz w:val="20"/>
                <w:szCs w:val="20"/>
              </w:rPr>
            </w:pPr>
            <w:r w:rsidRPr="002D10CF">
              <w:rPr>
                <w:noProof/>
                <w:color w:val="000000"/>
                <w:sz w:val="20"/>
                <w:szCs w:val="20"/>
              </w:rPr>
              <w:t> </w:t>
            </w:r>
          </w:p>
        </w:tc>
        <w:tc>
          <w:tcPr>
            <w:tcW w:w="659" w:type="pct"/>
            <w:tcBorders>
              <w:top w:val="nil"/>
              <w:left w:val="nil"/>
              <w:bottom w:val="single" w:sz="4" w:space="0" w:color="auto"/>
              <w:right w:val="single" w:sz="4" w:space="0" w:color="auto"/>
            </w:tcBorders>
            <w:shd w:val="clear" w:color="000000" w:fill="BDE3FF"/>
            <w:noWrap/>
            <w:hideMark/>
          </w:tcPr>
          <w:p w14:paraId="3A8B218B" w14:textId="77777777" w:rsidR="003F1DAA" w:rsidRPr="002D10CF" w:rsidRDefault="003F1DAA" w:rsidP="00A84168">
            <w:pPr>
              <w:rPr>
                <w:noProof/>
                <w:color w:val="000000"/>
                <w:sz w:val="20"/>
                <w:szCs w:val="20"/>
              </w:rPr>
            </w:pPr>
            <w:r w:rsidRPr="002D10CF">
              <w:rPr>
                <w:noProof/>
                <w:color w:val="000000"/>
                <w:sz w:val="20"/>
                <w:szCs w:val="20"/>
              </w:rPr>
              <w:t> </w:t>
            </w:r>
          </w:p>
        </w:tc>
        <w:tc>
          <w:tcPr>
            <w:tcW w:w="659" w:type="pct"/>
            <w:tcBorders>
              <w:top w:val="nil"/>
              <w:left w:val="nil"/>
              <w:bottom w:val="single" w:sz="4" w:space="0" w:color="auto"/>
              <w:right w:val="single" w:sz="4" w:space="0" w:color="auto"/>
            </w:tcBorders>
            <w:shd w:val="clear" w:color="000000" w:fill="BDE3FF"/>
            <w:noWrap/>
            <w:hideMark/>
          </w:tcPr>
          <w:p w14:paraId="06929A8E" w14:textId="77777777" w:rsidR="003F1DAA" w:rsidRPr="002D10CF" w:rsidRDefault="003F1DAA" w:rsidP="00A84168">
            <w:pPr>
              <w:rPr>
                <w:noProof/>
                <w:color w:val="000000"/>
                <w:sz w:val="20"/>
                <w:szCs w:val="20"/>
              </w:rPr>
            </w:pPr>
            <w:r w:rsidRPr="002D10CF">
              <w:rPr>
                <w:noProof/>
                <w:color w:val="000000"/>
                <w:sz w:val="20"/>
                <w:szCs w:val="20"/>
              </w:rPr>
              <w:t> </w:t>
            </w:r>
          </w:p>
        </w:tc>
      </w:tr>
      <w:tr w:rsidR="003F1DAA" w:rsidRPr="002D10CF" w14:paraId="6A2076AF" w14:textId="77777777" w:rsidTr="00A84168">
        <w:trPr>
          <w:trHeight w:val="510"/>
        </w:trPr>
        <w:tc>
          <w:tcPr>
            <w:tcW w:w="2363" w:type="pct"/>
            <w:tcBorders>
              <w:top w:val="nil"/>
              <w:left w:val="single" w:sz="4" w:space="0" w:color="auto"/>
              <w:bottom w:val="single" w:sz="4" w:space="0" w:color="auto"/>
              <w:right w:val="single" w:sz="4" w:space="0" w:color="auto"/>
            </w:tcBorders>
            <w:shd w:val="clear" w:color="000000" w:fill="FFFFFF"/>
            <w:hideMark/>
          </w:tcPr>
          <w:p w14:paraId="4D08E9E3" w14:textId="77777777" w:rsidR="003F1DAA" w:rsidRPr="002D10CF" w:rsidRDefault="003F1DAA" w:rsidP="00A84168">
            <w:pPr>
              <w:rPr>
                <w:b/>
                <w:bCs/>
                <w:noProof/>
                <w:color w:val="000000"/>
                <w:sz w:val="20"/>
                <w:szCs w:val="20"/>
              </w:rPr>
            </w:pPr>
            <w:r w:rsidRPr="002D10CF">
              <w:rPr>
                <w:b/>
                <w:bCs/>
                <w:noProof/>
                <w:color w:val="000000"/>
                <w:sz w:val="20"/>
                <w:szCs w:val="20"/>
              </w:rPr>
              <w:t>Total external costs savings (in million EUR), of which:</w:t>
            </w:r>
          </w:p>
        </w:tc>
        <w:tc>
          <w:tcPr>
            <w:tcW w:w="659" w:type="pct"/>
            <w:tcBorders>
              <w:top w:val="nil"/>
              <w:left w:val="nil"/>
              <w:bottom w:val="single" w:sz="4" w:space="0" w:color="auto"/>
              <w:right w:val="single" w:sz="4" w:space="0" w:color="auto"/>
            </w:tcBorders>
            <w:shd w:val="clear" w:color="000000" w:fill="FFFFFF"/>
            <w:noWrap/>
            <w:hideMark/>
          </w:tcPr>
          <w:p w14:paraId="6A0196DC" w14:textId="77777777" w:rsidR="003F1DAA" w:rsidRPr="002D10CF" w:rsidRDefault="003F1DAA" w:rsidP="00A84168">
            <w:pPr>
              <w:jc w:val="right"/>
              <w:rPr>
                <w:b/>
                <w:bCs/>
                <w:noProof/>
                <w:color w:val="000000"/>
                <w:sz w:val="20"/>
                <w:szCs w:val="20"/>
              </w:rPr>
            </w:pPr>
            <w:r w:rsidRPr="002D10CF">
              <w:rPr>
                <w:b/>
                <w:bCs/>
                <w:noProof/>
                <w:color w:val="000000"/>
                <w:sz w:val="20"/>
                <w:szCs w:val="20"/>
              </w:rPr>
              <w:t>12,685</w:t>
            </w:r>
          </w:p>
        </w:tc>
        <w:tc>
          <w:tcPr>
            <w:tcW w:w="659" w:type="pct"/>
            <w:tcBorders>
              <w:top w:val="nil"/>
              <w:left w:val="nil"/>
              <w:bottom w:val="single" w:sz="4" w:space="0" w:color="auto"/>
              <w:right w:val="single" w:sz="4" w:space="0" w:color="auto"/>
            </w:tcBorders>
            <w:shd w:val="clear" w:color="000000" w:fill="FFFFFF"/>
            <w:noWrap/>
            <w:hideMark/>
          </w:tcPr>
          <w:p w14:paraId="5A055741" w14:textId="77777777" w:rsidR="003F1DAA" w:rsidRPr="002D10CF" w:rsidRDefault="003F1DAA" w:rsidP="00A84168">
            <w:pPr>
              <w:jc w:val="right"/>
              <w:rPr>
                <w:b/>
                <w:bCs/>
                <w:noProof/>
                <w:color w:val="000000"/>
                <w:sz w:val="20"/>
                <w:szCs w:val="20"/>
              </w:rPr>
            </w:pPr>
            <w:r w:rsidRPr="002D10CF">
              <w:rPr>
                <w:b/>
                <w:bCs/>
                <w:noProof/>
                <w:color w:val="000000"/>
                <w:sz w:val="20"/>
                <w:szCs w:val="20"/>
              </w:rPr>
              <w:t>25,820</w:t>
            </w:r>
          </w:p>
        </w:tc>
        <w:tc>
          <w:tcPr>
            <w:tcW w:w="659" w:type="pct"/>
            <w:tcBorders>
              <w:top w:val="nil"/>
              <w:left w:val="nil"/>
              <w:bottom w:val="single" w:sz="4" w:space="0" w:color="auto"/>
              <w:right w:val="single" w:sz="4" w:space="0" w:color="auto"/>
            </w:tcBorders>
            <w:shd w:val="clear" w:color="000000" w:fill="FFFFFF"/>
            <w:noWrap/>
            <w:hideMark/>
          </w:tcPr>
          <w:p w14:paraId="19F13095" w14:textId="77777777" w:rsidR="003F1DAA" w:rsidRPr="002D10CF" w:rsidRDefault="003F1DAA" w:rsidP="00A84168">
            <w:pPr>
              <w:jc w:val="right"/>
              <w:rPr>
                <w:b/>
                <w:bCs/>
                <w:noProof/>
                <w:color w:val="000000"/>
                <w:sz w:val="20"/>
                <w:szCs w:val="20"/>
              </w:rPr>
            </w:pPr>
            <w:r w:rsidRPr="002D10CF">
              <w:rPr>
                <w:b/>
                <w:bCs/>
                <w:noProof/>
                <w:color w:val="000000"/>
                <w:sz w:val="20"/>
                <w:szCs w:val="20"/>
              </w:rPr>
              <w:t>37,329</w:t>
            </w:r>
          </w:p>
        </w:tc>
        <w:tc>
          <w:tcPr>
            <w:tcW w:w="659" w:type="pct"/>
            <w:tcBorders>
              <w:top w:val="nil"/>
              <w:left w:val="nil"/>
              <w:bottom w:val="single" w:sz="4" w:space="0" w:color="auto"/>
              <w:right w:val="single" w:sz="4" w:space="0" w:color="auto"/>
            </w:tcBorders>
            <w:shd w:val="clear" w:color="000000" w:fill="FFFFFF"/>
            <w:noWrap/>
            <w:hideMark/>
          </w:tcPr>
          <w:p w14:paraId="54E1810B" w14:textId="77777777" w:rsidR="003F1DAA" w:rsidRPr="002D10CF" w:rsidRDefault="003F1DAA" w:rsidP="00A84168">
            <w:pPr>
              <w:jc w:val="right"/>
              <w:rPr>
                <w:b/>
                <w:bCs/>
                <w:noProof/>
                <w:color w:val="000000"/>
                <w:sz w:val="20"/>
                <w:szCs w:val="20"/>
              </w:rPr>
            </w:pPr>
            <w:r w:rsidRPr="002D10CF">
              <w:rPr>
                <w:b/>
                <w:bCs/>
                <w:noProof/>
                <w:color w:val="000000"/>
                <w:sz w:val="20"/>
                <w:szCs w:val="20"/>
              </w:rPr>
              <w:t>28,644</w:t>
            </w:r>
          </w:p>
        </w:tc>
      </w:tr>
      <w:tr w:rsidR="003F1DAA" w:rsidRPr="002D10CF" w14:paraId="7D278ED5"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7A7602CB" w14:textId="4081499A" w:rsidR="003F1DAA" w:rsidRPr="002D10CF" w:rsidRDefault="003F1DAA" w:rsidP="00A84168">
            <w:pPr>
              <w:ind w:firstLineChars="100" w:firstLine="200"/>
              <w:rPr>
                <w:noProof/>
                <w:color w:val="000000"/>
                <w:sz w:val="20"/>
                <w:szCs w:val="20"/>
              </w:rPr>
            </w:pPr>
            <w:r w:rsidRPr="002D10CF">
              <w:rPr>
                <w:noProof/>
                <w:color w:val="000000"/>
                <w:sz w:val="20"/>
                <w:szCs w:val="20"/>
              </w:rPr>
              <w:t xml:space="preserve"> </w:t>
            </w:r>
            <w:r w:rsidR="00514383">
              <w:rPr>
                <w:noProof/>
                <w:color w:val="000000"/>
                <w:sz w:val="20"/>
                <w:szCs w:val="20"/>
              </w:rPr>
              <w:t>CO</w:t>
            </w:r>
            <w:r w:rsidR="00514383" w:rsidRPr="00514383">
              <w:rPr>
                <w:noProof/>
                <w:color w:val="000000"/>
                <w:sz w:val="20"/>
                <w:szCs w:val="20"/>
                <w:vertAlign w:val="subscript"/>
              </w:rPr>
              <w:t>2</w:t>
            </w:r>
            <w:r w:rsidR="00514383" w:rsidRPr="002D10CF">
              <w:rPr>
                <w:noProof/>
                <w:color w:val="000000"/>
                <w:sz w:val="20"/>
                <w:szCs w:val="20"/>
              </w:rPr>
              <w:t xml:space="preserve"> </w:t>
            </w:r>
            <w:r w:rsidRPr="002D10CF">
              <w:rPr>
                <w:noProof/>
                <w:color w:val="000000"/>
                <w:sz w:val="20"/>
                <w:szCs w:val="20"/>
              </w:rPr>
              <w:t xml:space="preserve">emissions </w:t>
            </w:r>
          </w:p>
        </w:tc>
        <w:tc>
          <w:tcPr>
            <w:tcW w:w="659" w:type="pct"/>
            <w:tcBorders>
              <w:top w:val="nil"/>
              <w:left w:val="nil"/>
              <w:bottom w:val="single" w:sz="4" w:space="0" w:color="auto"/>
              <w:right w:val="single" w:sz="4" w:space="0" w:color="auto"/>
            </w:tcBorders>
            <w:shd w:val="clear" w:color="000000" w:fill="FFFFFF"/>
            <w:noWrap/>
            <w:hideMark/>
          </w:tcPr>
          <w:p w14:paraId="1C56232E" w14:textId="77777777" w:rsidR="003F1DAA" w:rsidRPr="002D10CF" w:rsidRDefault="003F1DAA" w:rsidP="00A84168">
            <w:pPr>
              <w:jc w:val="right"/>
              <w:rPr>
                <w:noProof/>
                <w:color w:val="000000"/>
                <w:sz w:val="20"/>
                <w:szCs w:val="20"/>
              </w:rPr>
            </w:pPr>
            <w:r w:rsidRPr="002D10CF">
              <w:rPr>
                <w:noProof/>
                <w:color w:val="000000"/>
                <w:sz w:val="20"/>
                <w:szCs w:val="20"/>
              </w:rPr>
              <w:t>2,367</w:t>
            </w:r>
          </w:p>
        </w:tc>
        <w:tc>
          <w:tcPr>
            <w:tcW w:w="659" w:type="pct"/>
            <w:tcBorders>
              <w:top w:val="nil"/>
              <w:left w:val="nil"/>
              <w:bottom w:val="single" w:sz="4" w:space="0" w:color="auto"/>
              <w:right w:val="single" w:sz="4" w:space="0" w:color="auto"/>
            </w:tcBorders>
            <w:shd w:val="clear" w:color="000000" w:fill="FFFFFF"/>
            <w:noWrap/>
            <w:hideMark/>
          </w:tcPr>
          <w:p w14:paraId="2F9051E3" w14:textId="77777777" w:rsidR="003F1DAA" w:rsidRPr="002D10CF" w:rsidRDefault="003F1DAA" w:rsidP="00A84168">
            <w:pPr>
              <w:jc w:val="right"/>
              <w:rPr>
                <w:noProof/>
                <w:color w:val="000000"/>
                <w:sz w:val="20"/>
                <w:szCs w:val="20"/>
              </w:rPr>
            </w:pPr>
            <w:r w:rsidRPr="002D10CF">
              <w:rPr>
                <w:noProof/>
                <w:color w:val="000000"/>
                <w:sz w:val="20"/>
                <w:szCs w:val="20"/>
              </w:rPr>
              <w:t>4,696</w:t>
            </w:r>
          </w:p>
        </w:tc>
        <w:tc>
          <w:tcPr>
            <w:tcW w:w="659" w:type="pct"/>
            <w:tcBorders>
              <w:top w:val="nil"/>
              <w:left w:val="nil"/>
              <w:bottom w:val="single" w:sz="4" w:space="0" w:color="auto"/>
              <w:right w:val="single" w:sz="4" w:space="0" w:color="auto"/>
            </w:tcBorders>
            <w:shd w:val="clear" w:color="000000" w:fill="FFFFFF"/>
            <w:noWrap/>
            <w:hideMark/>
          </w:tcPr>
          <w:p w14:paraId="4EA23174" w14:textId="77777777" w:rsidR="003F1DAA" w:rsidRPr="002D10CF" w:rsidRDefault="003F1DAA" w:rsidP="00A84168">
            <w:pPr>
              <w:jc w:val="right"/>
              <w:rPr>
                <w:noProof/>
                <w:color w:val="000000"/>
                <w:sz w:val="20"/>
                <w:szCs w:val="20"/>
              </w:rPr>
            </w:pPr>
            <w:r w:rsidRPr="002D10CF">
              <w:rPr>
                <w:noProof/>
                <w:color w:val="000000"/>
                <w:sz w:val="20"/>
                <w:szCs w:val="20"/>
              </w:rPr>
              <w:t>6,778</w:t>
            </w:r>
          </w:p>
        </w:tc>
        <w:tc>
          <w:tcPr>
            <w:tcW w:w="659" w:type="pct"/>
            <w:tcBorders>
              <w:top w:val="nil"/>
              <w:left w:val="nil"/>
              <w:bottom w:val="single" w:sz="4" w:space="0" w:color="auto"/>
              <w:right w:val="single" w:sz="4" w:space="0" w:color="auto"/>
            </w:tcBorders>
            <w:shd w:val="clear" w:color="000000" w:fill="FFFFFF"/>
            <w:noWrap/>
            <w:hideMark/>
          </w:tcPr>
          <w:p w14:paraId="3F500DA0" w14:textId="77777777" w:rsidR="003F1DAA" w:rsidRPr="002D10CF" w:rsidRDefault="003F1DAA" w:rsidP="00A84168">
            <w:pPr>
              <w:jc w:val="right"/>
              <w:rPr>
                <w:noProof/>
                <w:color w:val="000000"/>
                <w:sz w:val="20"/>
                <w:szCs w:val="20"/>
              </w:rPr>
            </w:pPr>
            <w:r w:rsidRPr="002D10CF">
              <w:rPr>
                <w:noProof/>
                <w:color w:val="000000"/>
                <w:sz w:val="20"/>
                <w:szCs w:val="20"/>
              </w:rPr>
              <w:t>5,176</w:t>
            </w:r>
          </w:p>
        </w:tc>
      </w:tr>
      <w:tr w:rsidR="003F1DAA" w:rsidRPr="002D10CF" w14:paraId="267F67CD"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719F8E2B" w14:textId="77777777" w:rsidR="003F1DAA" w:rsidRPr="002D10CF" w:rsidRDefault="003F1DAA" w:rsidP="00A84168">
            <w:pPr>
              <w:ind w:firstLineChars="100" w:firstLine="200"/>
              <w:rPr>
                <w:noProof/>
                <w:color w:val="000000"/>
                <w:sz w:val="20"/>
                <w:szCs w:val="20"/>
              </w:rPr>
            </w:pPr>
            <w:r w:rsidRPr="002D10CF">
              <w:rPr>
                <w:noProof/>
                <w:color w:val="000000"/>
                <w:sz w:val="20"/>
                <w:szCs w:val="20"/>
              </w:rPr>
              <w:t xml:space="preserve"> Air pollutant emissions </w:t>
            </w:r>
          </w:p>
        </w:tc>
        <w:tc>
          <w:tcPr>
            <w:tcW w:w="659" w:type="pct"/>
            <w:tcBorders>
              <w:top w:val="nil"/>
              <w:left w:val="nil"/>
              <w:bottom w:val="single" w:sz="4" w:space="0" w:color="auto"/>
              <w:right w:val="single" w:sz="4" w:space="0" w:color="auto"/>
            </w:tcBorders>
            <w:shd w:val="clear" w:color="000000" w:fill="FFFFFF"/>
            <w:noWrap/>
            <w:hideMark/>
          </w:tcPr>
          <w:p w14:paraId="111DED27" w14:textId="77777777" w:rsidR="003F1DAA" w:rsidRPr="002D10CF" w:rsidRDefault="003F1DAA" w:rsidP="00A84168">
            <w:pPr>
              <w:jc w:val="right"/>
              <w:rPr>
                <w:noProof/>
                <w:color w:val="000000"/>
                <w:sz w:val="20"/>
                <w:szCs w:val="20"/>
              </w:rPr>
            </w:pPr>
            <w:r w:rsidRPr="002D10CF">
              <w:rPr>
                <w:noProof/>
                <w:color w:val="000000"/>
                <w:sz w:val="20"/>
                <w:szCs w:val="20"/>
              </w:rPr>
              <w:t>218</w:t>
            </w:r>
          </w:p>
        </w:tc>
        <w:tc>
          <w:tcPr>
            <w:tcW w:w="659" w:type="pct"/>
            <w:tcBorders>
              <w:top w:val="nil"/>
              <w:left w:val="nil"/>
              <w:bottom w:val="single" w:sz="4" w:space="0" w:color="auto"/>
              <w:right w:val="single" w:sz="4" w:space="0" w:color="auto"/>
            </w:tcBorders>
            <w:shd w:val="clear" w:color="000000" w:fill="FFFFFF"/>
            <w:noWrap/>
            <w:hideMark/>
          </w:tcPr>
          <w:p w14:paraId="441FA970" w14:textId="77777777" w:rsidR="003F1DAA" w:rsidRPr="002D10CF" w:rsidRDefault="003F1DAA" w:rsidP="00A84168">
            <w:pPr>
              <w:jc w:val="right"/>
              <w:rPr>
                <w:noProof/>
                <w:color w:val="000000"/>
                <w:sz w:val="20"/>
                <w:szCs w:val="20"/>
              </w:rPr>
            </w:pPr>
            <w:r w:rsidRPr="002D10CF">
              <w:rPr>
                <w:noProof/>
                <w:color w:val="000000"/>
                <w:sz w:val="20"/>
                <w:szCs w:val="20"/>
              </w:rPr>
              <w:t>455</w:t>
            </w:r>
          </w:p>
        </w:tc>
        <w:tc>
          <w:tcPr>
            <w:tcW w:w="659" w:type="pct"/>
            <w:tcBorders>
              <w:top w:val="nil"/>
              <w:left w:val="nil"/>
              <w:bottom w:val="single" w:sz="4" w:space="0" w:color="auto"/>
              <w:right w:val="single" w:sz="4" w:space="0" w:color="auto"/>
            </w:tcBorders>
            <w:shd w:val="clear" w:color="000000" w:fill="FFFFFF"/>
            <w:noWrap/>
            <w:hideMark/>
          </w:tcPr>
          <w:p w14:paraId="0DB41757" w14:textId="77777777" w:rsidR="003F1DAA" w:rsidRPr="002D10CF" w:rsidRDefault="003F1DAA" w:rsidP="00A84168">
            <w:pPr>
              <w:jc w:val="right"/>
              <w:rPr>
                <w:noProof/>
                <w:color w:val="000000"/>
                <w:sz w:val="20"/>
                <w:szCs w:val="20"/>
              </w:rPr>
            </w:pPr>
            <w:r w:rsidRPr="002D10CF">
              <w:rPr>
                <w:noProof/>
                <w:color w:val="000000"/>
                <w:sz w:val="20"/>
                <w:szCs w:val="20"/>
              </w:rPr>
              <w:t>670</w:t>
            </w:r>
          </w:p>
        </w:tc>
        <w:tc>
          <w:tcPr>
            <w:tcW w:w="659" w:type="pct"/>
            <w:tcBorders>
              <w:top w:val="nil"/>
              <w:left w:val="nil"/>
              <w:bottom w:val="single" w:sz="4" w:space="0" w:color="auto"/>
              <w:right w:val="single" w:sz="4" w:space="0" w:color="auto"/>
            </w:tcBorders>
            <w:shd w:val="clear" w:color="000000" w:fill="FFFFFF"/>
            <w:noWrap/>
            <w:hideMark/>
          </w:tcPr>
          <w:p w14:paraId="50F01C6D" w14:textId="77777777" w:rsidR="003F1DAA" w:rsidRPr="002D10CF" w:rsidRDefault="003F1DAA" w:rsidP="00A84168">
            <w:pPr>
              <w:jc w:val="right"/>
              <w:rPr>
                <w:noProof/>
                <w:color w:val="000000"/>
                <w:sz w:val="20"/>
                <w:szCs w:val="20"/>
              </w:rPr>
            </w:pPr>
            <w:r w:rsidRPr="002D10CF">
              <w:rPr>
                <w:noProof/>
                <w:color w:val="000000"/>
                <w:sz w:val="20"/>
                <w:szCs w:val="20"/>
              </w:rPr>
              <w:t>502</w:t>
            </w:r>
          </w:p>
        </w:tc>
      </w:tr>
      <w:tr w:rsidR="003F1DAA" w:rsidRPr="002D10CF" w14:paraId="1D54DDF4"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00BDF406" w14:textId="77777777" w:rsidR="003F1DAA" w:rsidRPr="002D10CF" w:rsidRDefault="003F1DAA" w:rsidP="00A84168">
            <w:pPr>
              <w:ind w:firstLineChars="100" w:firstLine="200"/>
              <w:rPr>
                <w:noProof/>
                <w:color w:val="000000"/>
                <w:sz w:val="20"/>
                <w:szCs w:val="20"/>
              </w:rPr>
            </w:pPr>
            <w:r w:rsidRPr="002D10CF">
              <w:rPr>
                <w:noProof/>
                <w:color w:val="000000"/>
                <w:sz w:val="20"/>
                <w:szCs w:val="20"/>
              </w:rPr>
              <w:t xml:space="preserve"> Fatalities and injuries </w:t>
            </w:r>
          </w:p>
        </w:tc>
        <w:tc>
          <w:tcPr>
            <w:tcW w:w="659" w:type="pct"/>
            <w:tcBorders>
              <w:top w:val="nil"/>
              <w:left w:val="nil"/>
              <w:bottom w:val="single" w:sz="4" w:space="0" w:color="auto"/>
              <w:right w:val="single" w:sz="4" w:space="0" w:color="auto"/>
            </w:tcBorders>
            <w:shd w:val="clear" w:color="000000" w:fill="FFFFFF"/>
            <w:noWrap/>
            <w:hideMark/>
          </w:tcPr>
          <w:p w14:paraId="124747C6" w14:textId="77777777" w:rsidR="003F1DAA" w:rsidRPr="002D10CF" w:rsidRDefault="003F1DAA" w:rsidP="00A84168">
            <w:pPr>
              <w:jc w:val="right"/>
              <w:rPr>
                <w:noProof/>
                <w:color w:val="000000"/>
                <w:sz w:val="20"/>
                <w:szCs w:val="20"/>
              </w:rPr>
            </w:pPr>
            <w:r w:rsidRPr="002D10CF">
              <w:rPr>
                <w:noProof/>
                <w:color w:val="000000"/>
                <w:sz w:val="20"/>
                <w:szCs w:val="20"/>
              </w:rPr>
              <w:t>7,606</w:t>
            </w:r>
          </w:p>
        </w:tc>
        <w:tc>
          <w:tcPr>
            <w:tcW w:w="659" w:type="pct"/>
            <w:tcBorders>
              <w:top w:val="nil"/>
              <w:left w:val="nil"/>
              <w:bottom w:val="single" w:sz="4" w:space="0" w:color="auto"/>
              <w:right w:val="single" w:sz="4" w:space="0" w:color="auto"/>
            </w:tcBorders>
            <w:shd w:val="clear" w:color="000000" w:fill="FFFFFF"/>
            <w:noWrap/>
            <w:hideMark/>
          </w:tcPr>
          <w:p w14:paraId="5399363F" w14:textId="77777777" w:rsidR="003F1DAA" w:rsidRPr="002D10CF" w:rsidRDefault="003F1DAA" w:rsidP="00A84168">
            <w:pPr>
              <w:jc w:val="right"/>
              <w:rPr>
                <w:noProof/>
                <w:color w:val="000000"/>
                <w:sz w:val="20"/>
                <w:szCs w:val="20"/>
              </w:rPr>
            </w:pPr>
            <w:r w:rsidRPr="002D10CF">
              <w:rPr>
                <w:noProof/>
                <w:color w:val="000000"/>
                <w:sz w:val="20"/>
                <w:szCs w:val="20"/>
              </w:rPr>
              <w:t>14,807</w:t>
            </w:r>
          </w:p>
        </w:tc>
        <w:tc>
          <w:tcPr>
            <w:tcW w:w="659" w:type="pct"/>
            <w:tcBorders>
              <w:top w:val="nil"/>
              <w:left w:val="nil"/>
              <w:bottom w:val="single" w:sz="4" w:space="0" w:color="auto"/>
              <w:right w:val="single" w:sz="4" w:space="0" w:color="auto"/>
            </w:tcBorders>
            <w:shd w:val="clear" w:color="000000" w:fill="FFFFFF"/>
            <w:noWrap/>
            <w:hideMark/>
          </w:tcPr>
          <w:p w14:paraId="37C2E086" w14:textId="77777777" w:rsidR="003F1DAA" w:rsidRPr="002D10CF" w:rsidRDefault="003F1DAA" w:rsidP="00A84168">
            <w:pPr>
              <w:jc w:val="right"/>
              <w:rPr>
                <w:noProof/>
                <w:color w:val="000000"/>
                <w:sz w:val="20"/>
                <w:szCs w:val="20"/>
              </w:rPr>
            </w:pPr>
            <w:r w:rsidRPr="002D10CF">
              <w:rPr>
                <w:noProof/>
                <w:color w:val="000000"/>
                <w:sz w:val="20"/>
                <w:szCs w:val="20"/>
              </w:rPr>
              <w:t>21,297</w:t>
            </w:r>
          </w:p>
        </w:tc>
        <w:tc>
          <w:tcPr>
            <w:tcW w:w="659" w:type="pct"/>
            <w:tcBorders>
              <w:top w:val="nil"/>
              <w:left w:val="nil"/>
              <w:bottom w:val="single" w:sz="4" w:space="0" w:color="auto"/>
              <w:right w:val="single" w:sz="4" w:space="0" w:color="auto"/>
            </w:tcBorders>
            <w:shd w:val="clear" w:color="000000" w:fill="FFFFFF"/>
            <w:noWrap/>
            <w:hideMark/>
          </w:tcPr>
          <w:p w14:paraId="4A2C375E" w14:textId="77777777" w:rsidR="003F1DAA" w:rsidRPr="002D10CF" w:rsidRDefault="003F1DAA" w:rsidP="00A84168">
            <w:pPr>
              <w:jc w:val="right"/>
              <w:rPr>
                <w:noProof/>
                <w:color w:val="000000"/>
                <w:sz w:val="20"/>
                <w:szCs w:val="20"/>
              </w:rPr>
            </w:pPr>
            <w:r w:rsidRPr="002D10CF">
              <w:rPr>
                <w:noProof/>
                <w:color w:val="000000"/>
                <w:sz w:val="20"/>
                <w:szCs w:val="20"/>
              </w:rPr>
              <w:t>16,470</w:t>
            </w:r>
          </w:p>
        </w:tc>
      </w:tr>
      <w:tr w:rsidR="003F1DAA" w:rsidRPr="002D10CF" w14:paraId="1161F015"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5BD39415" w14:textId="77777777" w:rsidR="003F1DAA" w:rsidRPr="002D10CF" w:rsidRDefault="003F1DAA" w:rsidP="00A84168">
            <w:pPr>
              <w:ind w:firstLineChars="100" w:firstLine="200"/>
              <w:rPr>
                <w:noProof/>
                <w:color w:val="000000"/>
                <w:sz w:val="20"/>
                <w:szCs w:val="20"/>
              </w:rPr>
            </w:pPr>
            <w:r w:rsidRPr="002D10CF">
              <w:rPr>
                <w:noProof/>
                <w:color w:val="000000"/>
                <w:sz w:val="20"/>
                <w:szCs w:val="20"/>
              </w:rPr>
              <w:t xml:space="preserve"> Road congestion </w:t>
            </w:r>
          </w:p>
        </w:tc>
        <w:tc>
          <w:tcPr>
            <w:tcW w:w="659" w:type="pct"/>
            <w:tcBorders>
              <w:top w:val="nil"/>
              <w:left w:val="nil"/>
              <w:bottom w:val="single" w:sz="4" w:space="0" w:color="auto"/>
              <w:right w:val="single" w:sz="4" w:space="0" w:color="auto"/>
            </w:tcBorders>
            <w:shd w:val="clear" w:color="000000" w:fill="FFFFFF"/>
            <w:noWrap/>
            <w:hideMark/>
          </w:tcPr>
          <w:p w14:paraId="5EE4DD8B" w14:textId="77777777" w:rsidR="003F1DAA" w:rsidRPr="002D10CF" w:rsidRDefault="003F1DAA" w:rsidP="00A84168">
            <w:pPr>
              <w:jc w:val="right"/>
              <w:rPr>
                <w:noProof/>
                <w:color w:val="000000"/>
                <w:sz w:val="20"/>
                <w:szCs w:val="20"/>
              </w:rPr>
            </w:pPr>
            <w:r w:rsidRPr="002D10CF">
              <w:rPr>
                <w:noProof/>
                <w:color w:val="000000"/>
                <w:sz w:val="20"/>
                <w:szCs w:val="20"/>
              </w:rPr>
              <w:t>1,758</w:t>
            </w:r>
          </w:p>
        </w:tc>
        <w:tc>
          <w:tcPr>
            <w:tcW w:w="659" w:type="pct"/>
            <w:tcBorders>
              <w:top w:val="nil"/>
              <w:left w:val="nil"/>
              <w:bottom w:val="single" w:sz="4" w:space="0" w:color="auto"/>
              <w:right w:val="single" w:sz="4" w:space="0" w:color="auto"/>
            </w:tcBorders>
            <w:shd w:val="clear" w:color="000000" w:fill="FFFFFF"/>
            <w:noWrap/>
            <w:hideMark/>
          </w:tcPr>
          <w:p w14:paraId="0D13F743" w14:textId="77777777" w:rsidR="003F1DAA" w:rsidRPr="002D10CF" w:rsidRDefault="003F1DAA" w:rsidP="00A84168">
            <w:pPr>
              <w:jc w:val="right"/>
              <w:rPr>
                <w:noProof/>
                <w:color w:val="000000"/>
                <w:sz w:val="20"/>
                <w:szCs w:val="20"/>
              </w:rPr>
            </w:pPr>
            <w:r w:rsidRPr="002D10CF">
              <w:rPr>
                <w:noProof/>
                <w:color w:val="000000"/>
                <w:sz w:val="20"/>
                <w:szCs w:val="20"/>
              </w:rPr>
              <w:t>4,352</w:t>
            </w:r>
          </w:p>
        </w:tc>
        <w:tc>
          <w:tcPr>
            <w:tcW w:w="659" w:type="pct"/>
            <w:tcBorders>
              <w:top w:val="nil"/>
              <w:left w:val="nil"/>
              <w:bottom w:val="single" w:sz="4" w:space="0" w:color="auto"/>
              <w:right w:val="single" w:sz="4" w:space="0" w:color="auto"/>
            </w:tcBorders>
            <w:shd w:val="clear" w:color="000000" w:fill="FFFFFF"/>
            <w:noWrap/>
            <w:hideMark/>
          </w:tcPr>
          <w:p w14:paraId="5201900B" w14:textId="77777777" w:rsidR="003F1DAA" w:rsidRPr="002D10CF" w:rsidRDefault="003F1DAA" w:rsidP="00A84168">
            <w:pPr>
              <w:jc w:val="right"/>
              <w:rPr>
                <w:noProof/>
                <w:color w:val="000000"/>
                <w:sz w:val="20"/>
                <w:szCs w:val="20"/>
              </w:rPr>
            </w:pPr>
            <w:r w:rsidRPr="002D10CF">
              <w:rPr>
                <w:noProof/>
                <w:color w:val="000000"/>
                <w:sz w:val="20"/>
                <w:szCs w:val="20"/>
              </w:rPr>
              <w:t>6,438</w:t>
            </w:r>
          </w:p>
        </w:tc>
        <w:tc>
          <w:tcPr>
            <w:tcW w:w="659" w:type="pct"/>
            <w:tcBorders>
              <w:top w:val="nil"/>
              <w:left w:val="nil"/>
              <w:bottom w:val="single" w:sz="4" w:space="0" w:color="auto"/>
              <w:right w:val="single" w:sz="4" w:space="0" w:color="auto"/>
            </w:tcBorders>
            <w:shd w:val="clear" w:color="000000" w:fill="FFFFFF"/>
            <w:noWrap/>
            <w:hideMark/>
          </w:tcPr>
          <w:p w14:paraId="20FFD382" w14:textId="77777777" w:rsidR="003F1DAA" w:rsidRPr="002D10CF" w:rsidRDefault="003F1DAA" w:rsidP="00A84168">
            <w:pPr>
              <w:jc w:val="right"/>
              <w:rPr>
                <w:noProof/>
                <w:color w:val="000000"/>
                <w:sz w:val="20"/>
                <w:szCs w:val="20"/>
              </w:rPr>
            </w:pPr>
            <w:r w:rsidRPr="002D10CF">
              <w:rPr>
                <w:noProof/>
                <w:color w:val="000000"/>
                <w:sz w:val="20"/>
                <w:szCs w:val="20"/>
              </w:rPr>
              <w:t>4,833</w:t>
            </w:r>
          </w:p>
        </w:tc>
      </w:tr>
      <w:tr w:rsidR="003F1DAA" w:rsidRPr="002D10CF" w14:paraId="125BAD66"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7543FE89" w14:textId="77777777" w:rsidR="003F1DAA" w:rsidRPr="002D10CF" w:rsidRDefault="003F1DAA" w:rsidP="00A84168">
            <w:pPr>
              <w:ind w:firstLineChars="100" w:firstLine="200"/>
              <w:rPr>
                <w:noProof/>
                <w:color w:val="000000"/>
                <w:sz w:val="20"/>
                <w:szCs w:val="20"/>
              </w:rPr>
            </w:pPr>
            <w:r w:rsidRPr="002D10CF">
              <w:rPr>
                <w:noProof/>
                <w:color w:val="000000"/>
                <w:sz w:val="20"/>
                <w:szCs w:val="20"/>
              </w:rPr>
              <w:t xml:space="preserve"> Noise emissions </w:t>
            </w:r>
          </w:p>
        </w:tc>
        <w:tc>
          <w:tcPr>
            <w:tcW w:w="659" w:type="pct"/>
            <w:tcBorders>
              <w:top w:val="nil"/>
              <w:left w:val="nil"/>
              <w:bottom w:val="single" w:sz="4" w:space="0" w:color="auto"/>
              <w:right w:val="single" w:sz="4" w:space="0" w:color="auto"/>
            </w:tcBorders>
            <w:shd w:val="clear" w:color="000000" w:fill="FFFFFF"/>
            <w:noWrap/>
            <w:hideMark/>
          </w:tcPr>
          <w:p w14:paraId="4C88D4B7" w14:textId="77777777" w:rsidR="003F1DAA" w:rsidRPr="002D10CF" w:rsidRDefault="003F1DAA" w:rsidP="00A84168">
            <w:pPr>
              <w:jc w:val="right"/>
              <w:rPr>
                <w:noProof/>
                <w:color w:val="000000"/>
                <w:sz w:val="20"/>
                <w:szCs w:val="20"/>
              </w:rPr>
            </w:pPr>
            <w:r w:rsidRPr="002D10CF">
              <w:rPr>
                <w:noProof/>
                <w:color w:val="000000"/>
                <w:sz w:val="20"/>
                <w:szCs w:val="20"/>
              </w:rPr>
              <w:t>735</w:t>
            </w:r>
          </w:p>
        </w:tc>
        <w:tc>
          <w:tcPr>
            <w:tcW w:w="659" w:type="pct"/>
            <w:tcBorders>
              <w:top w:val="nil"/>
              <w:left w:val="nil"/>
              <w:bottom w:val="single" w:sz="4" w:space="0" w:color="auto"/>
              <w:right w:val="single" w:sz="4" w:space="0" w:color="auto"/>
            </w:tcBorders>
            <w:shd w:val="clear" w:color="000000" w:fill="FFFFFF"/>
            <w:noWrap/>
            <w:hideMark/>
          </w:tcPr>
          <w:p w14:paraId="38554F91" w14:textId="77777777" w:rsidR="003F1DAA" w:rsidRPr="002D10CF" w:rsidRDefault="003F1DAA" w:rsidP="00A84168">
            <w:pPr>
              <w:jc w:val="right"/>
              <w:rPr>
                <w:noProof/>
                <w:color w:val="000000"/>
                <w:sz w:val="20"/>
                <w:szCs w:val="20"/>
              </w:rPr>
            </w:pPr>
            <w:r w:rsidRPr="002D10CF">
              <w:rPr>
                <w:noProof/>
                <w:color w:val="000000"/>
                <w:sz w:val="20"/>
                <w:szCs w:val="20"/>
              </w:rPr>
              <w:t>1,509</w:t>
            </w:r>
          </w:p>
        </w:tc>
        <w:tc>
          <w:tcPr>
            <w:tcW w:w="659" w:type="pct"/>
            <w:tcBorders>
              <w:top w:val="nil"/>
              <w:left w:val="nil"/>
              <w:bottom w:val="single" w:sz="4" w:space="0" w:color="auto"/>
              <w:right w:val="single" w:sz="4" w:space="0" w:color="auto"/>
            </w:tcBorders>
            <w:shd w:val="clear" w:color="000000" w:fill="FFFFFF"/>
            <w:noWrap/>
            <w:hideMark/>
          </w:tcPr>
          <w:p w14:paraId="3BDA3469" w14:textId="77777777" w:rsidR="003F1DAA" w:rsidRPr="002D10CF" w:rsidRDefault="003F1DAA" w:rsidP="00A84168">
            <w:pPr>
              <w:jc w:val="right"/>
              <w:rPr>
                <w:noProof/>
                <w:color w:val="000000"/>
                <w:sz w:val="20"/>
                <w:szCs w:val="20"/>
              </w:rPr>
            </w:pPr>
            <w:r w:rsidRPr="002D10CF">
              <w:rPr>
                <w:noProof/>
                <w:color w:val="000000"/>
                <w:sz w:val="20"/>
                <w:szCs w:val="20"/>
              </w:rPr>
              <w:t>2,146</w:t>
            </w:r>
          </w:p>
        </w:tc>
        <w:tc>
          <w:tcPr>
            <w:tcW w:w="659" w:type="pct"/>
            <w:tcBorders>
              <w:top w:val="nil"/>
              <w:left w:val="nil"/>
              <w:bottom w:val="single" w:sz="4" w:space="0" w:color="auto"/>
              <w:right w:val="single" w:sz="4" w:space="0" w:color="auto"/>
            </w:tcBorders>
            <w:shd w:val="clear" w:color="000000" w:fill="FFFFFF"/>
            <w:noWrap/>
            <w:hideMark/>
          </w:tcPr>
          <w:p w14:paraId="3D19659B" w14:textId="77777777" w:rsidR="003F1DAA" w:rsidRPr="002D10CF" w:rsidRDefault="003F1DAA" w:rsidP="00A84168">
            <w:pPr>
              <w:jc w:val="right"/>
              <w:rPr>
                <w:noProof/>
                <w:color w:val="000000"/>
                <w:sz w:val="20"/>
                <w:szCs w:val="20"/>
              </w:rPr>
            </w:pPr>
            <w:r w:rsidRPr="002D10CF">
              <w:rPr>
                <w:noProof/>
                <w:color w:val="000000"/>
                <w:sz w:val="20"/>
                <w:szCs w:val="20"/>
              </w:rPr>
              <w:t>1,663</w:t>
            </w:r>
          </w:p>
        </w:tc>
      </w:tr>
      <w:tr w:rsidR="003F1DAA" w:rsidRPr="002D10CF" w14:paraId="530437FE"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BDE3FF"/>
            <w:noWrap/>
            <w:hideMark/>
          </w:tcPr>
          <w:p w14:paraId="6217DD79" w14:textId="5102C1B6" w:rsidR="003F1DAA" w:rsidRPr="002D10CF" w:rsidRDefault="003F1DAA" w:rsidP="00A84168">
            <w:pPr>
              <w:rPr>
                <w:b/>
                <w:bCs/>
                <w:noProof/>
                <w:color w:val="000000"/>
                <w:sz w:val="20"/>
                <w:szCs w:val="20"/>
              </w:rPr>
            </w:pPr>
            <w:r w:rsidRPr="002D10CF">
              <w:rPr>
                <w:b/>
                <w:bCs/>
                <w:noProof/>
                <w:color w:val="000000"/>
                <w:sz w:val="20"/>
                <w:szCs w:val="20"/>
              </w:rPr>
              <w:t xml:space="preserve">Low </w:t>
            </w:r>
            <w:r w:rsidR="00B45C9C">
              <w:rPr>
                <w:b/>
                <w:bCs/>
                <w:noProof/>
                <w:color w:val="000000"/>
                <w:sz w:val="20"/>
                <w:szCs w:val="20"/>
              </w:rPr>
              <w:t xml:space="preserve">modal shift </w:t>
            </w:r>
            <w:r w:rsidRPr="002D10CF">
              <w:rPr>
                <w:b/>
                <w:bCs/>
                <w:noProof/>
                <w:color w:val="000000"/>
                <w:sz w:val="20"/>
                <w:szCs w:val="20"/>
              </w:rPr>
              <w:t>case</w:t>
            </w:r>
          </w:p>
        </w:tc>
        <w:tc>
          <w:tcPr>
            <w:tcW w:w="659" w:type="pct"/>
            <w:tcBorders>
              <w:top w:val="nil"/>
              <w:left w:val="nil"/>
              <w:bottom w:val="single" w:sz="4" w:space="0" w:color="auto"/>
              <w:right w:val="single" w:sz="4" w:space="0" w:color="auto"/>
            </w:tcBorders>
            <w:shd w:val="clear" w:color="000000" w:fill="BDE3FF"/>
            <w:noWrap/>
            <w:hideMark/>
          </w:tcPr>
          <w:p w14:paraId="4898465F" w14:textId="77777777" w:rsidR="003F1DAA" w:rsidRPr="002D10CF" w:rsidRDefault="003F1DAA" w:rsidP="00A84168">
            <w:pPr>
              <w:rPr>
                <w:b/>
                <w:bCs/>
                <w:noProof/>
                <w:color w:val="000000"/>
                <w:sz w:val="20"/>
                <w:szCs w:val="20"/>
              </w:rPr>
            </w:pPr>
            <w:r w:rsidRPr="002D10CF">
              <w:rPr>
                <w:b/>
                <w:bCs/>
                <w:noProof/>
                <w:color w:val="000000"/>
                <w:sz w:val="20"/>
                <w:szCs w:val="20"/>
              </w:rPr>
              <w:t> </w:t>
            </w:r>
          </w:p>
        </w:tc>
        <w:tc>
          <w:tcPr>
            <w:tcW w:w="659" w:type="pct"/>
            <w:tcBorders>
              <w:top w:val="nil"/>
              <w:left w:val="nil"/>
              <w:bottom w:val="single" w:sz="4" w:space="0" w:color="auto"/>
              <w:right w:val="single" w:sz="4" w:space="0" w:color="auto"/>
            </w:tcBorders>
            <w:shd w:val="clear" w:color="000000" w:fill="BDE3FF"/>
            <w:noWrap/>
            <w:hideMark/>
          </w:tcPr>
          <w:p w14:paraId="14D07511" w14:textId="77777777" w:rsidR="003F1DAA" w:rsidRPr="002D10CF" w:rsidRDefault="003F1DAA" w:rsidP="00A84168">
            <w:pPr>
              <w:rPr>
                <w:b/>
                <w:bCs/>
                <w:noProof/>
                <w:color w:val="000000"/>
                <w:sz w:val="20"/>
                <w:szCs w:val="20"/>
              </w:rPr>
            </w:pPr>
            <w:r w:rsidRPr="002D10CF">
              <w:rPr>
                <w:b/>
                <w:bCs/>
                <w:noProof/>
                <w:color w:val="000000"/>
                <w:sz w:val="20"/>
                <w:szCs w:val="20"/>
              </w:rPr>
              <w:t> </w:t>
            </w:r>
          </w:p>
        </w:tc>
        <w:tc>
          <w:tcPr>
            <w:tcW w:w="659" w:type="pct"/>
            <w:tcBorders>
              <w:top w:val="nil"/>
              <w:left w:val="nil"/>
              <w:bottom w:val="single" w:sz="4" w:space="0" w:color="auto"/>
              <w:right w:val="single" w:sz="4" w:space="0" w:color="auto"/>
            </w:tcBorders>
            <w:shd w:val="clear" w:color="000000" w:fill="BDE3FF"/>
            <w:noWrap/>
            <w:hideMark/>
          </w:tcPr>
          <w:p w14:paraId="1C27DCC1" w14:textId="77777777" w:rsidR="003F1DAA" w:rsidRPr="002D10CF" w:rsidRDefault="003F1DAA" w:rsidP="00A84168">
            <w:pPr>
              <w:rPr>
                <w:b/>
                <w:bCs/>
                <w:noProof/>
                <w:color w:val="000000"/>
                <w:sz w:val="20"/>
                <w:szCs w:val="20"/>
              </w:rPr>
            </w:pPr>
            <w:r w:rsidRPr="002D10CF">
              <w:rPr>
                <w:b/>
                <w:bCs/>
                <w:noProof/>
                <w:color w:val="000000"/>
                <w:sz w:val="20"/>
                <w:szCs w:val="20"/>
              </w:rPr>
              <w:t> </w:t>
            </w:r>
          </w:p>
        </w:tc>
        <w:tc>
          <w:tcPr>
            <w:tcW w:w="659" w:type="pct"/>
            <w:tcBorders>
              <w:top w:val="nil"/>
              <w:left w:val="nil"/>
              <w:bottom w:val="single" w:sz="4" w:space="0" w:color="auto"/>
              <w:right w:val="single" w:sz="4" w:space="0" w:color="auto"/>
            </w:tcBorders>
            <w:shd w:val="clear" w:color="000000" w:fill="BDE3FF"/>
            <w:noWrap/>
            <w:hideMark/>
          </w:tcPr>
          <w:p w14:paraId="404C87D8" w14:textId="77777777" w:rsidR="003F1DAA" w:rsidRPr="002D10CF" w:rsidRDefault="003F1DAA" w:rsidP="00A84168">
            <w:pPr>
              <w:rPr>
                <w:b/>
                <w:bCs/>
                <w:noProof/>
                <w:color w:val="000000"/>
                <w:sz w:val="20"/>
                <w:szCs w:val="20"/>
              </w:rPr>
            </w:pPr>
            <w:r w:rsidRPr="002D10CF">
              <w:rPr>
                <w:b/>
                <w:bCs/>
                <w:noProof/>
                <w:color w:val="000000"/>
                <w:sz w:val="20"/>
                <w:szCs w:val="20"/>
              </w:rPr>
              <w:t> </w:t>
            </w:r>
          </w:p>
        </w:tc>
      </w:tr>
      <w:tr w:rsidR="003F1DAA" w:rsidRPr="002D10CF" w14:paraId="10BB73A4" w14:textId="77777777" w:rsidTr="00A84168">
        <w:trPr>
          <w:trHeight w:val="510"/>
        </w:trPr>
        <w:tc>
          <w:tcPr>
            <w:tcW w:w="2363" w:type="pct"/>
            <w:tcBorders>
              <w:top w:val="nil"/>
              <w:left w:val="single" w:sz="4" w:space="0" w:color="auto"/>
              <w:bottom w:val="single" w:sz="4" w:space="0" w:color="auto"/>
              <w:right w:val="single" w:sz="4" w:space="0" w:color="auto"/>
            </w:tcBorders>
            <w:shd w:val="clear" w:color="000000" w:fill="FFFFFF"/>
            <w:hideMark/>
          </w:tcPr>
          <w:p w14:paraId="63E4F2E6" w14:textId="77777777" w:rsidR="003F1DAA" w:rsidRPr="002D10CF" w:rsidRDefault="003F1DAA" w:rsidP="00A84168">
            <w:pPr>
              <w:rPr>
                <w:b/>
                <w:bCs/>
                <w:noProof/>
                <w:color w:val="000000"/>
                <w:sz w:val="20"/>
                <w:szCs w:val="20"/>
              </w:rPr>
            </w:pPr>
            <w:r w:rsidRPr="002D10CF">
              <w:rPr>
                <w:b/>
                <w:bCs/>
                <w:noProof/>
                <w:color w:val="000000"/>
                <w:sz w:val="20"/>
                <w:szCs w:val="20"/>
              </w:rPr>
              <w:t>Total external costs savings (in million EUR), of which:</w:t>
            </w:r>
          </w:p>
        </w:tc>
        <w:tc>
          <w:tcPr>
            <w:tcW w:w="659" w:type="pct"/>
            <w:tcBorders>
              <w:top w:val="nil"/>
              <w:left w:val="nil"/>
              <w:bottom w:val="single" w:sz="4" w:space="0" w:color="auto"/>
              <w:right w:val="single" w:sz="4" w:space="0" w:color="auto"/>
            </w:tcBorders>
            <w:shd w:val="clear" w:color="000000" w:fill="FFFFFF"/>
            <w:noWrap/>
            <w:hideMark/>
          </w:tcPr>
          <w:p w14:paraId="61474369" w14:textId="77777777" w:rsidR="003F1DAA" w:rsidRPr="002D10CF" w:rsidRDefault="003F1DAA" w:rsidP="00A84168">
            <w:pPr>
              <w:jc w:val="right"/>
              <w:rPr>
                <w:b/>
                <w:bCs/>
                <w:noProof/>
                <w:color w:val="000000"/>
                <w:sz w:val="20"/>
                <w:szCs w:val="20"/>
              </w:rPr>
            </w:pPr>
            <w:r w:rsidRPr="002D10CF">
              <w:rPr>
                <w:b/>
                <w:bCs/>
                <w:noProof/>
                <w:color w:val="000000"/>
                <w:sz w:val="20"/>
                <w:szCs w:val="20"/>
              </w:rPr>
              <w:t>8,379</w:t>
            </w:r>
          </w:p>
        </w:tc>
        <w:tc>
          <w:tcPr>
            <w:tcW w:w="659" w:type="pct"/>
            <w:tcBorders>
              <w:top w:val="nil"/>
              <w:left w:val="nil"/>
              <w:bottom w:val="single" w:sz="4" w:space="0" w:color="auto"/>
              <w:right w:val="single" w:sz="4" w:space="0" w:color="auto"/>
            </w:tcBorders>
            <w:shd w:val="clear" w:color="000000" w:fill="FFFFFF"/>
            <w:noWrap/>
            <w:hideMark/>
          </w:tcPr>
          <w:p w14:paraId="05F1F587" w14:textId="77777777" w:rsidR="003F1DAA" w:rsidRPr="002D10CF" w:rsidRDefault="003F1DAA" w:rsidP="00A84168">
            <w:pPr>
              <w:jc w:val="right"/>
              <w:rPr>
                <w:b/>
                <w:bCs/>
                <w:noProof/>
                <w:color w:val="000000"/>
                <w:sz w:val="20"/>
                <w:szCs w:val="20"/>
              </w:rPr>
            </w:pPr>
            <w:r w:rsidRPr="002D10CF">
              <w:rPr>
                <w:b/>
                <w:bCs/>
                <w:noProof/>
                <w:color w:val="000000"/>
                <w:sz w:val="20"/>
                <w:szCs w:val="20"/>
              </w:rPr>
              <w:t>16,255</w:t>
            </w:r>
          </w:p>
        </w:tc>
        <w:tc>
          <w:tcPr>
            <w:tcW w:w="659" w:type="pct"/>
            <w:tcBorders>
              <w:top w:val="nil"/>
              <w:left w:val="nil"/>
              <w:bottom w:val="single" w:sz="4" w:space="0" w:color="auto"/>
              <w:right w:val="single" w:sz="4" w:space="0" w:color="auto"/>
            </w:tcBorders>
            <w:shd w:val="clear" w:color="000000" w:fill="FFFFFF"/>
            <w:noWrap/>
            <w:hideMark/>
          </w:tcPr>
          <w:p w14:paraId="2E65027A" w14:textId="77777777" w:rsidR="003F1DAA" w:rsidRPr="002D10CF" w:rsidRDefault="003F1DAA" w:rsidP="00A84168">
            <w:pPr>
              <w:jc w:val="right"/>
              <w:rPr>
                <w:b/>
                <w:bCs/>
                <w:noProof/>
                <w:color w:val="000000"/>
                <w:sz w:val="20"/>
                <w:szCs w:val="20"/>
              </w:rPr>
            </w:pPr>
            <w:r w:rsidRPr="002D10CF">
              <w:rPr>
                <w:b/>
                <w:bCs/>
                <w:noProof/>
                <w:color w:val="000000"/>
                <w:sz w:val="20"/>
                <w:szCs w:val="20"/>
              </w:rPr>
              <w:t>22,698</w:t>
            </w:r>
          </w:p>
        </w:tc>
        <w:tc>
          <w:tcPr>
            <w:tcW w:w="659" w:type="pct"/>
            <w:tcBorders>
              <w:top w:val="nil"/>
              <w:left w:val="nil"/>
              <w:bottom w:val="single" w:sz="4" w:space="0" w:color="auto"/>
              <w:right w:val="single" w:sz="4" w:space="0" w:color="auto"/>
            </w:tcBorders>
            <w:shd w:val="clear" w:color="000000" w:fill="FFFFFF"/>
            <w:noWrap/>
            <w:hideMark/>
          </w:tcPr>
          <w:p w14:paraId="741CD244" w14:textId="77777777" w:rsidR="003F1DAA" w:rsidRPr="002D10CF" w:rsidRDefault="003F1DAA" w:rsidP="00A84168">
            <w:pPr>
              <w:jc w:val="right"/>
              <w:rPr>
                <w:b/>
                <w:bCs/>
                <w:noProof/>
                <w:color w:val="000000"/>
                <w:sz w:val="20"/>
                <w:szCs w:val="20"/>
              </w:rPr>
            </w:pPr>
            <w:r w:rsidRPr="002D10CF">
              <w:rPr>
                <w:b/>
                <w:bCs/>
                <w:noProof/>
                <w:color w:val="000000"/>
                <w:sz w:val="20"/>
                <w:szCs w:val="20"/>
              </w:rPr>
              <w:t>17,949</w:t>
            </w:r>
          </w:p>
        </w:tc>
      </w:tr>
      <w:tr w:rsidR="003F1DAA" w:rsidRPr="002D10CF" w14:paraId="08EA1C0A"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025014A7" w14:textId="5CE9EDE3" w:rsidR="003F1DAA" w:rsidRPr="002D10CF" w:rsidRDefault="00514383" w:rsidP="00A84168">
            <w:pPr>
              <w:ind w:firstLineChars="100" w:firstLine="200"/>
              <w:rPr>
                <w:noProof/>
                <w:color w:val="000000"/>
                <w:sz w:val="20"/>
                <w:szCs w:val="20"/>
              </w:rPr>
            </w:pPr>
            <w:r>
              <w:rPr>
                <w:noProof/>
                <w:color w:val="000000"/>
                <w:sz w:val="20"/>
                <w:szCs w:val="20"/>
              </w:rPr>
              <w:t>CO</w:t>
            </w:r>
            <w:r w:rsidRPr="00514383">
              <w:rPr>
                <w:noProof/>
                <w:color w:val="000000"/>
                <w:sz w:val="20"/>
                <w:szCs w:val="20"/>
                <w:vertAlign w:val="subscript"/>
              </w:rPr>
              <w:t>2</w:t>
            </w:r>
            <w:r>
              <w:rPr>
                <w:noProof/>
                <w:color w:val="000000"/>
                <w:sz w:val="20"/>
                <w:szCs w:val="20"/>
              </w:rPr>
              <w:t xml:space="preserve"> </w:t>
            </w:r>
            <w:r w:rsidR="003F1DAA" w:rsidRPr="002D10CF">
              <w:rPr>
                <w:noProof/>
                <w:color w:val="000000"/>
                <w:sz w:val="20"/>
                <w:szCs w:val="20"/>
              </w:rPr>
              <w:t xml:space="preserve">emissions </w:t>
            </w:r>
          </w:p>
        </w:tc>
        <w:tc>
          <w:tcPr>
            <w:tcW w:w="659" w:type="pct"/>
            <w:tcBorders>
              <w:top w:val="nil"/>
              <w:left w:val="nil"/>
              <w:bottom w:val="single" w:sz="4" w:space="0" w:color="auto"/>
              <w:right w:val="single" w:sz="4" w:space="0" w:color="auto"/>
            </w:tcBorders>
            <w:shd w:val="clear" w:color="000000" w:fill="FFFFFF"/>
            <w:noWrap/>
            <w:hideMark/>
          </w:tcPr>
          <w:p w14:paraId="5534F560" w14:textId="77777777" w:rsidR="003F1DAA" w:rsidRPr="002D10CF" w:rsidRDefault="003F1DAA" w:rsidP="00A84168">
            <w:pPr>
              <w:jc w:val="right"/>
              <w:rPr>
                <w:noProof/>
                <w:color w:val="000000"/>
                <w:sz w:val="20"/>
                <w:szCs w:val="20"/>
              </w:rPr>
            </w:pPr>
            <w:r w:rsidRPr="002D10CF">
              <w:rPr>
                <w:noProof/>
                <w:color w:val="000000"/>
                <w:sz w:val="20"/>
                <w:szCs w:val="20"/>
              </w:rPr>
              <w:t>1,566</w:t>
            </w:r>
          </w:p>
        </w:tc>
        <w:tc>
          <w:tcPr>
            <w:tcW w:w="659" w:type="pct"/>
            <w:tcBorders>
              <w:top w:val="nil"/>
              <w:left w:val="nil"/>
              <w:bottom w:val="single" w:sz="4" w:space="0" w:color="auto"/>
              <w:right w:val="single" w:sz="4" w:space="0" w:color="auto"/>
            </w:tcBorders>
            <w:shd w:val="clear" w:color="000000" w:fill="FFFFFF"/>
            <w:noWrap/>
            <w:hideMark/>
          </w:tcPr>
          <w:p w14:paraId="6BB6523F" w14:textId="77777777" w:rsidR="003F1DAA" w:rsidRPr="002D10CF" w:rsidRDefault="003F1DAA" w:rsidP="00A84168">
            <w:pPr>
              <w:jc w:val="right"/>
              <w:rPr>
                <w:noProof/>
                <w:color w:val="000000"/>
                <w:sz w:val="20"/>
                <w:szCs w:val="20"/>
              </w:rPr>
            </w:pPr>
            <w:r w:rsidRPr="002D10CF">
              <w:rPr>
                <w:noProof/>
                <w:color w:val="000000"/>
                <w:sz w:val="20"/>
                <w:szCs w:val="20"/>
              </w:rPr>
              <w:t>2,975</w:t>
            </w:r>
          </w:p>
        </w:tc>
        <w:tc>
          <w:tcPr>
            <w:tcW w:w="659" w:type="pct"/>
            <w:tcBorders>
              <w:top w:val="nil"/>
              <w:left w:val="nil"/>
              <w:bottom w:val="single" w:sz="4" w:space="0" w:color="auto"/>
              <w:right w:val="single" w:sz="4" w:space="0" w:color="auto"/>
            </w:tcBorders>
            <w:shd w:val="clear" w:color="000000" w:fill="FFFFFF"/>
            <w:noWrap/>
            <w:hideMark/>
          </w:tcPr>
          <w:p w14:paraId="4C7E1AB8" w14:textId="77777777" w:rsidR="003F1DAA" w:rsidRPr="002D10CF" w:rsidRDefault="003F1DAA" w:rsidP="00A84168">
            <w:pPr>
              <w:jc w:val="right"/>
              <w:rPr>
                <w:noProof/>
                <w:color w:val="000000"/>
                <w:sz w:val="20"/>
                <w:szCs w:val="20"/>
              </w:rPr>
            </w:pPr>
            <w:r w:rsidRPr="002D10CF">
              <w:rPr>
                <w:noProof/>
                <w:color w:val="000000"/>
                <w:sz w:val="20"/>
                <w:szCs w:val="20"/>
              </w:rPr>
              <w:t>4,137</w:t>
            </w:r>
          </w:p>
        </w:tc>
        <w:tc>
          <w:tcPr>
            <w:tcW w:w="659" w:type="pct"/>
            <w:tcBorders>
              <w:top w:val="nil"/>
              <w:left w:val="nil"/>
              <w:bottom w:val="single" w:sz="4" w:space="0" w:color="auto"/>
              <w:right w:val="single" w:sz="4" w:space="0" w:color="auto"/>
            </w:tcBorders>
            <w:shd w:val="clear" w:color="000000" w:fill="FFFFFF"/>
            <w:noWrap/>
            <w:hideMark/>
          </w:tcPr>
          <w:p w14:paraId="1CD3EAF9" w14:textId="77777777" w:rsidR="003F1DAA" w:rsidRPr="002D10CF" w:rsidRDefault="003F1DAA" w:rsidP="00A84168">
            <w:pPr>
              <w:jc w:val="right"/>
              <w:rPr>
                <w:noProof/>
                <w:color w:val="000000"/>
                <w:sz w:val="20"/>
                <w:szCs w:val="20"/>
              </w:rPr>
            </w:pPr>
            <w:r w:rsidRPr="002D10CF">
              <w:rPr>
                <w:noProof/>
                <w:color w:val="000000"/>
                <w:sz w:val="20"/>
                <w:szCs w:val="20"/>
              </w:rPr>
              <w:t>3,264</w:t>
            </w:r>
          </w:p>
        </w:tc>
      </w:tr>
      <w:tr w:rsidR="003F1DAA" w:rsidRPr="002D10CF" w14:paraId="0D943A27"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18426D59" w14:textId="77777777" w:rsidR="003F1DAA" w:rsidRPr="002D10CF" w:rsidRDefault="003F1DAA" w:rsidP="00A84168">
            <w:pPr>
              <w:ind w:firstLineChars="100" w:firstLine="200"/>
              <w:rPr>
                <w:noProof/>
                <w:color w:val="000000"/>
                <w:sz w:val="20"/>
                <w:szCs w:val="20"/>
              </w:rPr>
            </w:pPr>
            <w:r w:rsidRPr="002D10CF">
              <w:rPr>
                <w:noProof/>
                <w:color w:val="000000"/>
                <w:sz w:val="20"/>
                <w:szCs w:val="20"/>
              </w:rPr>
              <w:t xml:space="preserve"> Air pollutant emissions </w:t>
            </w:r>
          </w:p>
        </w:tc>
        <w:tc>
          <w:tcPr>
            <w:tcW w:w="659" w:type="pct"/>
            <w:tcBorders>
              <w:top w:val="nil"/>
              <w:left w:val="nil"/>
              <w:bottom w:val="single" w:sz="4" w:space="0" w:color="auto"/>
              <w:right w:val="single" w:sz="4" w:space="0" w:color="auto"/>
            </w:tcBorders>
            <w:shd w:val="clear" w:color="000000" w:fill="FFFFFF"/>
            <w:noWrap/>
            <w:hideMark/>
          </w:tcPr>
          <w:p w14:paraId="4769AE46" w14:textId="77777777" w:rsidR="003F1DAA" w:rsidRPr="002D10CF" w:rsidRDefault="003F1DAA" w:rsidP="00A84168">
            <w:pPr>
              <w:jc w:val="right"/>
              <w:rPr>
                <w:noProof/>
                <w:color w:val="000000"/>
                <w:sz w:val="20"/>
                <w:szCs w:val="20"/>
              </w:rPr>
            </w:pPr>
            <w:r w:rsidRPr="002D10CF">
              <w:rPr>
                <w:noProof/>
                <w:color w:val="000000"/>
                <w:sz w:val="20"/>
                <w:szCs w:val="20"/>
              </w:rPr>
              <w:t>139</w:t>
            </w:r>
          </w:p>
        </w:tc>
        <w:tc>
          <w:tcPr>
            <w:tcW w:w="659" w:type="pct"/>
            <w:tcBorders>
              <w:top w:val="nil"/>
              <w:left w:val="nil"/>
              <w:bottom w:val="single" w:sz="4" w:space="0" w:color="auto"/>
              <w:right w:val="single" w:sz="4" w:space="0" w:color="auto"/>
            </w:tcBorders>
            <w:shd w:val="clear" w:color="000000" w:fill="FFFFFF"/>
            <w:noWrap/>
            <w:hideMark/>
          </w:tcPr>
          <w:p w14:paraId="3C4F7D16" w14:textId="77777777" w:rsidR="003F1DAA" w:rsidRPr="002D10CF" w:rsidRDefault="003F1DAA" w:rsidP="00A84168">
            <w:pPr>
              <w:jc w:val="right"/>
              <w:rPr>
                <w:noProof/>
                <w:color w:val="000000"/>
                <w:sz w:val="20"/>
                <w:szCs w:val="20"/>
              </w:rPr>
            </w:pPr>
            <w:r w:rsidRPr="002D10CF">
              <w:rPr>
                <w:noProof/>
                <w:color w:val="000000"/>
                <w:sz w:val="20"/>
                <w:szCs w:val="20"/>
              </w:rPr>
              <w:t>274</w:t>
            </w:r>
          </w:p>
        </w:tc>
        <w:tc>
          <w:tcPr>
            <w:tcW w:w="659" w:type="pct"/>
            <w:tcBorders>
              <w:top w:val="nil"/>
              <w:left w:val="nil"/>
              <w:bottom w:val="single" w:sz="4" w:space="0" w:color="auto"/>
              <w:right w:val="single" w:sz="4" w:space="0" w:color="auto"/>
            </w:tcBorders>
            <w:shd w:val="clear" w:color="000000" w:fill="FFFFFF"/>
            <w:noWrap/>
            <w:hideMark/>
          </w:tcPr>
          <w:p w14:paraId="507E7DAC" w14:textId="77777777" w:rsidR="003F1DAA" w:rsidRPr="002D10CF" w:rsidRDefault="003F1DAA" w:rsidP="00A84168">
            <w:pPr>
              <w:jc w:val="right"/>
              <w:rPr>
                <w:noProof/>
                <w:color w:val="000000"/>
                <w:sz w:val="20"/>
                <w:szCs w:val="20"/>
              </w:rPr>
            </w:pPr>
            <w:r w:rsidRPr="002D10CF">
              <w:rPr>
                <w:noProof/>
                <w:color w:val="000000"/>
                <w:sz w:val="20"/>
                <w:szCs w:val="20"/>
              </w:rPr>
              <w:t>389</w:t>
            </w:r>
          </w:p>
        </w:tc>
        <w:tc>
          <w:tcPr>
            <w:tcW w:w="659" w:type="pct"/>
            <w:tcBorders>
              <w:top w:val="nil"/>
              <w:left w:val="nil"/>
              <w:bottom w:val="single" w:sz="4" w:space="0" w:color="auto"/>
              <w:right w:val="single" w:sz="4" w:space="0" w:color="auto"/>
            </w:tcBorders>
            <w:shd w:val="clear" w:color="000000" w:fill="FFFFFF"/>
            <w:noWrap/>
            <w:hideMark/>
          </w:tcPr>
          <w:p w14:paraId="1FA810AB" w14:textId="77777777" w:rsidR="003F1DAA" w:rsidRPr="002D10CF" w:rsidRDefault="003F1DAA" w:rsidP="00A84168">
            <w:pPr>
              <w:jc w:val="right"/>
              <w:rPr>
                <w:noProof/>
                <w:color w:val="000000"/>
                <w:sz w:val="20"/>
                <w:szCs w:val="20"/>
              </w:rPr>
            </w:pPr>
            <w:r w:rsidRPr="002D10CF">
              <w:rPr>
                <w:noProof/>
                <w:color w:val="000000"/>
                <w:sz w:val="20"/>
                <w:szCs w:val="20"/>
              </w:rPr>
              <w:t>301</w:t>
            </w:r>
          </w:p>
        </w:tc>
      </w:tr>
      <w:tr w:rsidR="003F1DAA" w:rsidRPr="002D10CF" w14:paraId="7E19C0AD"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0A87AF55" w14:textId="77777777" w:rsidR="003F1DAA" w:rsidRPr="002D10CF" w:rsidRDefault="003F1DAA" w:rsidP="00A84168">
            <w:pPr>
              <w:ind w:firstLineChars="100" w:firstLine="200"/>
              <w:rPr>
                <w:noProof/>
                <w:color w:val="000000"/>
                <w:sz w:val="20"/>
                <w:szCs w:val="20"/>
              </w:rPr>
            </w:pPr>
            <w:r w:rsidRPr="002D10CF">
              <w:rPr>
                <w:noProof/>
                <w:color w:val="000000"/>
                <w:sz w:val="20"/>
                <w:szCs w:val="20"/>
              </w:rPr>
              <w:t xml:space="preserve"> Fatalities and injuries </w:t>
            </w:r>
          </w:p>
        </w:tc>
        <w:tc>
          <w:tcPr>
            <w:tcW w:w="659" w:type="pct"/>
            <w:tcBorders>
              <w:top w:val="nil"/>
              <w:left w:val="nil"/>
              <w:bottom w:val="single" w:sz="4" w:space="0" w:color="auto"/>
              <w:right w:val="single" w:sz="4" w:space="0" w:color="auto"/>
            </w:tcBorders>
            <w:shd w:val="clear" w:color="000000" w:fill="FFFFFF"/>
            <w:noWrap/>
            <w:hideMark/>
          </w:tcPr>
          <w:p w14:paraId="125DF618" w14:textId="77777777" w:rsidR="003F1DAA" w:rsidRPr="002D10CF" w:rsidRDefault="003F1DAA" w:rsidP="00A84168">
            <w:pPr>
              <w:jc w:val="right"/>
              <w:rPr>
                <w:noProof/>
                <w:color w:val="000000"/>
                <w:sz w:val="20"/>
                <w:szCs w:val="20"/>
              </w:rPr>
            </w:pPr>
            <w:r w:rsidRPr="002D10CF">
              <w:rPr>
                <w:noProof/>
                <w:color w:val="000000"/>
                <w:sz w:val="20"/>
                <w:szCs w:val="20"/>
              </w:rPr>
              <w:t>4,928</w:t>
            </w:r>
          </w:p>
        </w:tc>
        <w:tc>
          <w:tcPr>
            <w:tcW w:w="659" w:type="pct"/>
            <w:tcBorders>
              <w:top w:val="nil"/>
              <w:left w:val="nil"/>
              <w:bottom w:val="single" w:sz="4" w:space="0" w:color="auto"/>
              <w:right w:val="single" w:sz="4" w:space="0" w:color="auto"/>
            </w:tcBorders>
            <w:shd w:val="clear" w:color="000000" w:fill="FFFFFF"/>
            <w:noWrap/>
            <w:hideMark/>
          </w:tcPr>
          <w:p w14:paraId="39B6C29F" w14:textId="77777777" w:rsidR="003F1DAA" w:rsidRPr="002D10CF" w:rsidRDefault="003F1DAA" w:rsidP="00A84168">
            <w:pPr>
              <w:jc w:val="right"/>
              <w:rPr>
                <w:noProof/>
                <w:color w:val="000000"/>
                <w:sz w:val="20"/>
                <w:szCs w:val="20"/>
              </w:rPr>
            </w:pPr>
            <w:r w:rsidRPr="002D10CF">
              <w:rPr>
                <w:noProof/>
                <w:color w:val="000000"/>
                <w:sz w:val="20"/>
                <w:szCs w:val="20"/>
              </w:rPr>
              <w:t>9,421</w:t>
            </w:r>
          </w:p>
        </w:tc>
        <w:tc>
          <w:tcPr>
            <w:tcW w:w="659" w:type="pct"/>
            <w:tcBorders>
              <w:top w:val="nil"/>
              <w:left w:val="nil"/>
              <w:bottom w:val="single" w:sz="4" w:space="0" w:color="auto"/>
              <w:right w:val="single" w:sz="4" w:space="0" w:color="auto"/>
            </w:tcBorders>
            <w:shd w:val="clear" w:color="000000" w:fill="FFFFFF"/>
            <w:noWrap/>
            <w:hideMark/>
          </w:tcPr>
          <w:p w14:paraId="335527AD" w14:textId="77777777" w:rsidR="003F1DAA" w:rsidRPr="002D10CF" w:rsidRDefault="003F1DAA" w:rsidP="00A84168">
            <w:pPr>
              <w:jc w:val="right"/>
              <w:rPr>
                <w:noProof/>
                <w:color w:val="000000"/>
                <w:sz w:val="20"/>
                <w:szCs w:val="20"/>
              </w:rPr>
            </w:pPr>
            <w:r w:rsidRPr="002D10CF">
              <w:rPr>
                <w:noProof/>
                <w:color w:val="000000"/>
                <w:sz w:val="20"/>
                <w:szCs w:val="20"/>
              </w:rPr>
              <w:t>13,087</w:t>
            </w:r>
          </w:p>
        </w:tc>
        <w:tc>
          <w:tcPr>
            <w:tcW w:w="659" w:type="pct"/>
            <w:tcBorders>
              <w:top w:val="nil"/>
              <w:left w:val="nil"/>
              <w:bottom w:val="single" w:sz="4" w:space="0" w:color="auto"/>
              <w:right w:val="single" w:sz="4" w:space="0" w:color="auto"/>
            </w:tcBorders>
            <w:shd w:val="clear" w:color="000000" w:fill="FFFFFF"/>
            <w:noWrap/>
            <w:hideMark/>
          </w:tcPr>
          <w:p w14:paraId="64DFF07C" w14:textId="77777777" w:rsidR="003F1DAA" w:rsidRPr="002D10CF" w:rsidRDefault="003F1DAA" w:rsidP="00A84168">
            <w:pPr>
              <w:jc w:val="right"/>
              <w:rPr>
                <w:noProof/>
                <w:color w:val="000000"/>
                <w:sz w:val="20"/>
                <w:szCs w:val="20"/>
              </w:rPr>
            </w:pPr>
            <w:r w:rsidRPr="002D10CF">
              <w:rPr>
                <w:noProof/>
                <w:color w:val="000000"/>
                <w:sz w:val="20"/>
                <w:szCs w:val="20"/>
              </w:rPr>
              <w:t>10,421</w:t>
            </w:r>
          </w:p>
        </w:tc>
      </w:tr>
      <w:tr w:rsidR="003F1DAA" w:rsidRPr="002D10CF" w14:paraId="1CFCD1BE"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3D01A1D0" w14:textId="77777777" w:rsidR="003F1DAA" w:rsidRPr="002D10CF" w:rsidRDefault="003F1DAA" w:rsidP="00A84168">
            <w:pPr>
              <w:ind w:firstLineChars="100" w:firstLine="200"/>
              <w:rPr>
                <w:noProof/>
                <w:color w:val="000000"/>
                <w:sz w:val="20"/>
                <w:szCs w:val="20"/>
              </w:rPr>
            </w:pPr>
            <w:r w:rsidRPr="002D10CF">
              <w:rPr>
                <w:noProof/>
                <w:color w:val="000000"/>
                <w:sz w:val="20"/>
                <w:szCs w:val="20"/>
              </w:rPr>
              <w:t xml:space="preserve"> Road congestion </w:t>
            </w:r>
          </w:p>
        </w:tc>
        <w:tc>
          <w:tcPr>
            <w:tcW w:w="659" w:type="pct"/>
            <w:tcBorders>
              <w:top w:val="nil"/>
              <w:left w:val="nil"/>
              <w:bottom w:val="single" w:sz="4" w:space="0" w:color="auto"/>
              <w:right w:val="single" w:sz="4" w:space="0" w:color="auto"/>
            </w:tcBorders>
            <w:shd w:val="clear" w:color="000000" w:fill="FFFFFF"/>
            <w:noWrap/>
            <w:hideMark/>
          </w:tcPr>
          <w:p w14:paraId="02A970DF" w14:textId="77777777" w:rsidR="003F1DAA" w:rsidRPr="002D10CF" w:rsidRDefault="003F1DAA" w:rsidP="00A84168">
            <w:pPr>
              <w:jc w:val="right"/>
              <w:rPr>
                <w:noProof/>
                <w:color w:val="000000"/>
                <w:sz w:val="20"/>
                <w:szCs w:val="20"/>
              </w:rPr>
            </w:pPr>
            <w:r w:rsidRPr="002D10CF">
              <w:rPr>
                <w:noProof/>
                <w:color w:val="000000"/>
                <w:sz w:val="20"/>
                <w:szCs w:val="20"/>
              </w:rPr>
              <w:t>1,252</w:t>
            </w:r>
          </w:p>
        </w:tc>
        <w:tc>
          <w:tcPr>
            <w:tcW w:w="659" w:type="pct"/>
            <w:tcBorders>
              <w:top w:val="nil"/>
              <w:left w:val="nil"/>
              <w:bottom w:val="single" w:sz="4" w:space="0" w:color="auto"/>
              <w:right w:val="single" w:sz="4" w:space="0" w:color="auto"/>
            </w:tcBorders>
            <w:shd w:val="clear" w:color="000000" w:fill="FFFFFF"/>
            <w:noWrap/>
            <w:hideMark/>
          </w:tcPr>
          <w:p w14:paraId="395BD95A" w14:textId="77777777" w:rsidR="003F1DAA" w:rsidRPr="002D10CF" w:rsidRDefault="003F1DAA" w:rsidP="00A84168">
            <w:pPr>
              <w:jc w:val="right"/>
              <w:rPr>
                <w:noProof/>
                <w:color w:val="000000"/>
                <w:sz w:val="20"/>
                <w:szCs w:val="20"/>
              </w:rPr>
            </w:pPr>
            <w:r w:rsidRPr="002D10CF">
              <w:rPr>
                <w:noProof/>
                <w:color w:val="000000"/>
                <w:sz w:val="20"/>
                <w:szCs w:val="20"/>
              </w:rPr>
              <w:t>2,616</w:t>
            </w:r>
          </w:p>
        </w:tc>
        <w:tc>
          <w:tcPr>
            <w:tcW w:w="659" w:type="pct"/>
            <w:tcBorders>
              <w:top w:val="nil"/>
              <w:left w:val="nil"/>
              <w:bottom w:val="single" w:sz="4" w:space="0" w:color="auto"/>
              <w:right w:val="single" w:sz="4" w:space="0" w:color="auto"/>
            </w:tcBorders>
            <w:shd w:val="clear" w:color="000000" w:fill="FFFFFF"/>
            <w:noWrap/>
            <w:hideMark/>
          </w:tcPr>
          <w:p w14:paraId="13AE3056" w14:textId="77777777" w:rsidR="003F1DAA" w:rsidRPr="002D10CF" w:rsidRDefault="003F1DAA" w:rsidP="00A84168">
            <w:pPr>
              <w:jc w:val="right"/>
              <w:rPr>
                <w:noProof/>
                <w:color w:val="000000"/>
                <w:sz w:val="20"/>
                <w:szCs w:val="20"/>
              </w:rPr>
            </w:pPr>
            <w:r w:rsidRPr="002D10CF">
              <w:rPr>
                <w:noProof/>
                <w:color w:val="000000"/>
                <w:sz w:val="20"/>
                <w:szCs w:val="20"/>
              </w:rPr>
              <w:t>3,761</w:t>
            </w:r>
          </w:p>
        </w:tc>
        <w:tc>
          <w:tcPr>
            <w:tcW w:w="659" w:type="pct"/>
            <w:tcBorders>
              <w:top w:val="nil"/>
              <w:left w:val="nil"/>
              <w:bottom w:val="single" w:sz="4" w:space="0" w:color="auto"/>
              <w:right w:val="single" w:sz="4" w:space="0" w:color="auto"/>
            </w:tcBorders>
            <w:shd w:val="clear" w:color="000000" w:fill="FFFFFF"/>
            <w:noWrap/>
            <w:hideMark/>
          </w:tcPr>
          <w:p w14:paraId="1C81072C" w14:textId="77777777" w:rsidR="003F1DAA" w:rsidRPr="002D10CF" w:rsidRDefault="003F1DAA" w:rsidP="00A84168">
            <w:pPr>
              <w:jc w:val="right"/>
              <w:rPr>
                <w:noProof/>
                <w:color w:val="000000"/>
                <w:sz w:val="20"/>
                <w:szCs w:val="20"/>
              </w:rPr>
            </w:pPr>
            <w:r w:rsidRPr="002D10CF">
              <w:rPr>
                <w:noProof/>
                <w:color w:val="000000"/>
                <w:sz w:val="20"/>
                <w:szCs w:val="20"/>
              </w:rPr>
              <w:t>2,902</w:t>
            </w:r>
          </w:p>
        </w:tc>
      </w:tr>
      <w:tr w:rsidR="003F1DAA" w:rsidRPr="002D10CF" w14:paraId="063CF9EF" w14:textId="77777777" w:rsidTr="000B7FF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2A0726B0" w14:textId="77777777" w:rsidR="003F1DAA" w:rsidRPr="002D10CF" w:rsidRDefault="003F1DAA" w:rsidP="00A84168">
            <w:pPr>
              <w:ind w:firstLineChars="100" w:firstLine="200"/>
              <w:rPr>
                <w:noProof/>
                <w:color w:val="000000"/>
                <w:sz w:val="20"/>
                <w:szCs w:val="20"/>
              </w:rPr>
            </w:pPr>
            <w:r w:rsidRPr="002D10CF">
              <w:rPr>
                <w:noProof/>
                <w:color w:val="000000"/>
                <w:sz w:val="20"/>
                <w:szCs w:val="20"/>
              </w:rPr>
              <w:t xml:space="preserve"> Noise emissions </w:t>
            </w:r>
          </w:p>
        </w:tc>
        <w:tc>
          <w:tcPr>
            <w:tcW w:w="659" w:type="pct"/>
            <w:tcBorders>
              <w:top w:val="nil"/>
              <w:left w:val="nil"/>
              <w:bottom w:val="single" w:sz="4" w:space="0" w:color="auto"/>
              <w:right w:val="single" w:sz="4" w:space="0" w:color="auto"/>
            </w:tcBorders>
            <w:shd w:val="clear" w:color="000000" w:fill="FFFFFF"/>
            <w:noWrap/>
            <w:hideMark/>
          </w:tcPr>
          <w:p w14:paraId="6F63FE68" w14:textId="77777777" w:rsidR="003F1DAA" w:rsidRPr="002D10CF" w:rsidRDefault="003F1DAA" w:rsidP="00A84168">
            <w:pPr>
              <w:jc w:val="right"/>
              <w:rPr>
                <w:noProof/>
                <w:color w:val="000000"/>
                <w:sz w:val="20"/>
                <w:szCs w:val="20"/>
              </w:rPr>
            </w:pPr>
            <w:r w:rsidRPr="002D10CF">
              <w:rPr>
                <w:noProof/>
                <w:color w:val="000000"/>
                <w:sz w:val="20"/>
                <w:szCs w:val="20"/>
              </w:rPr>
              <w:t>495</w:t>
            </w:r>
          </w:p>
        </w:tc>
        <w:tc>
          <w:tcPr>
            <w:tcW w:w="659" w:type="pct"/>
            <w:tcBorders>
              <w:top w:val="nil"/>
              <w:left w:val="nil"/>
              <w:bottom w:val="single" w:sz="4" w:space="0" w:color="auto"/>
              <w:right w:val="single" w:sz="4" w:space="0" w:color="auto"/>
            </w:tcBorders>
            <w:shd w:val="clear" w:color="000000" w:fill="FFFFFF"/>
            <w:noWrap/>
            <w:hideMark/>
          </w:tcPr>
          <w:p w14:paraId="6A23DF21" w14:textId="77777777" w:rsidR="003F1DAA" w:rsidRPr="002D10CF" w:rsidRDefault="003F1DAA" w:rsidP="00A84168">
            <w:pPr>
              <w:jc w:val="right"/>
              <w:rPr>
                <w:noProof/>
                <w:color w:val="000000"/>
                <w:sz w:val="20"/>
                <w:szCs w:val="20"/>
              </w:rPr>
            </w:pPr>
            <w:r w:rsidRPr="002D10CF">
              <w:rPr>
                <w:noProof/>
                <w:color w:val="000000"/>
                <w:sz w:val="20"/>
                <w:szCs w:val="20"/>
              </w:rPr>
              <w:t>969</w:t>
            </w:r>
          </w:p>
        </w:tc>
        <w:tc>
          <w:tcPr>
            <w:tcW w:w="659" w:type="pct"/>
            <w:tcBorders>
              <w:top w:val="nil"/>
              <w:left w:val="nil"/>
              <w:bottom w:val="single" w:sz="4" w:space="0" w:color="auto"/>
              <w:right w:val="single" w:sz="4" w:space="0" w:color="auto"/>
            </w:tcBorders>
            <w:shd w:val="clear" w:color="000000" w:fill="FFFFFF"/>
            <w:noWrap/>
            <w:hideMark/>
          </w:tcPr>
          <w:p w14:paraId="7D33DEDC" w14:textId="77777777" w:rsidR="003F1DAA" w:rsidRPr="002D10CF" w:rsidRDefault="003F1DAA" w:rsidP="00A84168">
            <w:pPr>
              <w:jc w:val="right"/>
              <w:rPr>
                <w:noProof/>
                <w:color w:val="000000"/>
                <w:sz w:val="20"/>
                <w:szCs w:val="20"/>
              </w:rPr>
            </w:pPr>
            <w:r w:rsidRPr="002D10CF">
              <w:rPr>
                <w:noProof/>
                <w:color w:val="000000"/>
                <w:sz w:val="20"/>
                <w:szCs w:val="20"/>
              </w:rPr>
              <w:t>1,324</w:t>
            </w:r>
          </w:p>
        </w:tc>
        <w:tc>
          <w:tcPr>
            <w:tcW w:w="659" w:type="pct"/>
            <w:tcBorders>
              <w:top w:val="nil"/>
              <w:left w:val="nil"/>
              <w:bottom w:val="single" w:sz="4" w:space="0" w:color="auto"/>
              <w:right w:val="single" w:sz="4" w:space="0" w:color="auto"/>
            </w:tcBorders>
            <w:shd w:val="clear" w:color="000000" w:fill="FFFFFF"/>
            <w:noWrap/>
            <w:hideMark/>
          </w:tcPr>
          <w:p w14:paraId="49F99103" w14:textId="77777777" w:rsidR="003F1DAA" w:rsidRPr="002D10CF" w:rsidRDefault="003F1DAA" w:rsidP="00A84168">
            <w:pPr>
              <w:jc w:val="right"/>
              <w:rPr>
                <w:noProof/>
                <w:color w:val="000000"/>
                <w:sz w:val="20"/>
                <w:szCs w:val="20"/>
              </w:rPr>
            </w:pPr>
            <w:r w:rsidRPr="002D10CF">
              <w:rPr>
                <w:noProof/>
                <w:color w:val="000000"/>
                <w:sz w:val="20"/>
                <w:szCs w:val="20"/>
              </w:rPr>
              <w:t>1,061</w:t>
            </w:r>
          </w:p>
        </w:tc>
      </w:tr>
      <w:tr w:rsidR="003F1DAA" w:rsidRPr="002D10CF" w14:paraId="56CB20B0" w14:textId="77777777" w:rsidTr="000B7FFC">
        <w:trPr>
          <w:trHeight w:val="246"/>
        </w:trPr>
        <w:tc>
          <w:tcPr>
            <w:tcW w:w="2363" w:type="pct"/>
            <w:tcBorders>
              <w:top w:val="single" w:sz="4" w:space="0" w:color="auto"/>
              <w:left w:val="single" w:sz="4" w:space="0" w:color="auto"/>
              <w:bottom w:val="single" w:sz="4" w:space="0" w:color="auto"/>
              <w:right w:val="single" w:sz="4" w:space="0" w:color="auto"/>
            </w:tcBorders>
            <w:shd w:val="clear" w:color="000000" w:fill="BDE3FF"/>
            <w:hideMark/>
          </w:tcPr>
          <w:p w14:paraId="6C4CF121" w14:textId="79886BC5" w:rsidR="003F1DAA" w:rsidRPr="002D10CF" w:rsidRDefault="003F1DAA" w:rsidP="00A84168">
            <w:pPr>
              <w:rPr>
                <w:b/>
                <w:bCs/>
                <w:i/>
                <w:iCs/>
                <w:noProof/>
                <w:color w:val="000000"/>
                <w:sz w:val="20"/>
                <w:szCs w:val="20"/>
              </w:rPr>
            </w:pPr>
            <w:r w:rsidRPr="002D10CF">
              <w:rPr>
                <w:b/>
                <w:bCs/>
                <w:i/>
                <w:iCs/>
                <w:noProof/>
                <w:color w:val="000000"/>
                <w:sz w:val="20"/>
                <w:szCs w:val="20"/>
              </w:rPr>
              <w:t xml:space="preserve">% change 'low </w:t>
            </w:r>
            <w:r w:rsidR="00BF587A">
              <w:rPr>
                <w:b/>
                <w:bCs/>
                <w:i/>
                <w:iCs/>
                <w:noProof/>
                <w:color w:val="000000"/>
                <w:sz w:val="20"/>
                <w:szCs w:val="20"/>
              </w:rPr>
              <w:t xml:space="preserve">modal shift’ </w:t>
            </w:r>
            <w:r w:rsidRPr="002D10CF">
              <w:rPr>
                <w:b/>
                <w:bCs/>
                <w:i/>
                <w:iCs/>
                <w:noProof/>
                <w:color w:val="000000"/>
                <w:sz w:val="20"/>
                <w:szCs w:val="20"/>
              </w:rPr>
              <w:t>case relative to the base case</w:t>
            </w:r>
          </w:p>
        </w:tc>
        <w:tc>
          <w:tcPr>
            <w:tcW w:w="659" w:type="pct"/>
            <w:tcBorders>
              <w:top w:val="single" w:sz="4" w:space="0" w:color="auto"/>
              <w:left w:val="nil"/>
              <w:bottom w:val="single" w:sz="4" w:space="0" w:color="auto"/>
              <w:right w:val="single" w:sz="4" w:space="0" w:color="auto"/>
            </w:tcBorders>
            <w:shd w:val="clear" w:color="000000" w:fill="BDE3FF"/>
            <w:noWrap/>
            <w:hideMark/>
          </w:tcPr>
          <w:p w14:paraId="5ECB7EBD" w14:textId="77777777" w:rsidR="003F1DAA" w:rsidRPr="002D10CF" w:rsidRDefault="003F1DAA" w:rsidP="00A84168">
            <w:pPr>
              <w:rPr>
                <w:rFonts w:ascii="Arial" w:hAnsi="Arial" w:cs="Arial"/>
                <w:noProof/>
                <w:color w:val="000000"/>
                <w:sz w:val="20"/>
                <w:szCs w:val="20"/>
              </w:rPr>
            </w:pPr>
            <w:r w:rsidRPr="002D10CF">
              <w:rPr>
                <w:rFonts w:ascii="Arial" w:hAnsi="Arial" w:cs="Arial"/>
                <w:noProof/>
                <w:color w:val="000000"/>
                <w:sz w:val="20"/>
                <w:szCs w:val="20"/>
              </w:rPr>
              <w:t> </w:t>
            </w:r>
          </w:p>
        </w:tc>
        <w:tc>
          <w:tcPr>
            <w:tcW w:w="659" w:type="pct"/>
            <w:tcBorders>
              <w:top w:val="single" w:sz="4" w:space="0" w:color="auto"/>
              <w:left w:val="nil"/>
              <w:bottom w:val="single" w:sz="4" w:space="0" w:color="auto"/>
              <w:right w:val="single" w:sz="4" w:space="0" w:color="auto"/>
            </w:tcBorders>
            <w:shd w:val="clear" w:color="000000" w:fill="BDE3FF"/>
            <w:noWrap/>
            <w:hideMark/>
          </w:tcPr>
          <w:p w14:paraId="3FCA0D53" w14:textId="77777777" w:rsidR="003F1DAA" w:rsidRPr="002D10CF" w:rsidRDefault="003F1DAA" w:rsidP="00A84168">
            <w:pPr>
              <w:rPr>
                <w:rFonts w:ascii="Arial" w:hAnsi="Arial" w:cs="Arial"/>
                <w:noProof/>
                <w:color w:val="000000"/>
                <w:sz w:val="20"/>
                <w:szCs w:val="20"/>
              </w:rPr>
            </w:pPr>
            <w:r w:rsidRPr="002D10CF">
              <w:rPr>
                <w:rFonts w:ascii="Arial" w:hAnsi="Arial" w:cs="Arial"/>
                <w:noProof/>
                <w:color w:val="000000"/>
                <w:sz w:val="20"/>
                <w:szCs w:val="20"/>
              </w:rPr>
              <w:t> </w:t>
            </w:r>
          </w:p>
        </w:tc>
        <w:tc>
          <w:tcPr>
            <w:tcW w:w="659" w:type="pct"/>
            <w:tcBorders>
              <w:top w:val="single" w:sz="4" w:space="0" w:color="auto"/>
              <w:left w:val="nil"/>
              <w:bottom w:val="single" w:sz="4" w:space="0" w:color="auto"/>
              <w:right w:val="single" w:sz="4" w:space="0" w:color="auto"/>
            </w:tcBorders>
            <w:shd w:val="clear" w:color="000000" w:fill="BDE3FF"/>
            <w:noWrap/>
            <w:hideMark/>
          </w:tcPr>
          <w:p w14:paraId="456DFBE0" w14:textId="77777777" w:rsidR="003F1DAA" w:rsidRPr="002D10CF" w:rsidRDefault="003F1DAA" w:rsidP="00A84168">
            <w:pPr>
              <w:rPr>
                <w:rFonts w:ascii="Arial" w:hAnsi="Arial" w:cs="Arial"/>
                <w:noProof/>
                <w:color w:val="000000"/>
                <w:sz w:val="20"/>
                <w:szCs w:val="20"/>
              </w:rPr>
            </w:pPr>
            <w:r w:rsidRPr="002D10CF">
              <w:rPr>
                <w:rFonts w:ascii="Arial" w:hAnsi="Arial" w:cs="Arial"/>
                <w:noProof/>
                <w:color w:val="000000"/>
                <w:sz w:val="20"/>
                <w:szCs w:val="20"/>
              </w:rPr>
              <w:t> </w:t>
            </w:r>
          </w:p>
        </w:tc>
        <w:tc>
          <w:tcPr>
            <w:tcW w:w="659" w:type="pct"/>
            <w:tcBorders>
              <w:top w:val="single" w:sz="4" w:space="0" w:color="auto"/>
              <w:left w:val="nil"/>
              <w:bottom w:val="single" w:sz="4" w:space="0" w:color="auto"/>
              <w:right w:val="single" w:sz="4" w:space="0" w:color="auto"/>
            </w:tcBorders>
            <w:shd w:val="clear" w:color="000000" w:fill="BDE3FF"/>
            <w:noWrap/>
            <w:hideMark/>
          </w:tcPr>
          <w:p w14:paraId="2764883C" w14:textId="77777777" w:rsidR="003F1DAA" w:rsidRPr="002D10CF" w:rsidRDefault="003F1DAA" w:rsidP="00A84168">
            <w:pPr>
              <w:rPr>
                <w:rFonts w:ascii="Arial" w:hAnsi="Arial" w:cs="Arial"/>
                <w:noProof/>
                <w:color w:val="000000"/>
                <w:sz w:val="20"/>
                <w:szCs w:val="20"/>
              </w:rPr>
            </w:pPr>
            <w:r w:rsidRPr="002D10CF">
              <w:rPr>
                <w:rFonts w:ascii="Arial" w:hAnsi="Arial" w:cs="Arial"/>
                <w:noProof/>
                <w:color w:val="000000"/>
                <w:sz w:val="20"/>
                <w:szCs w:val="20"/>
              </w:rPr>
              <w:t> </w:t>
            </w:r>
          </w:p>
        </w:tc>
      </w:tr>
      <w:tr w:rsidR="003F1DAA" w:rsidRPr="002D10CF" w14:paraId="2C95AF60"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49B1F74C" w14:textId="77777777" w:rsidR="003F1DAA" w:rsidRPr="002D10CF" w:rsidRDefault="003F1DAA" w:rsidP="00A84168">
            <w:pPr>
              <w:rPr>
                <w:noProof/>
                <w:color w:val="000000"/>
                <w:sz w:val="20"/>
                <w:szCs w:val="20"/>
              </w:rPr>
            </w:pPr>
            <w:r w:rsidRPr="002D10CF">
              <w:rPr>
                <w:noProof/>
                <w:color w:val="000000"/>
                <w:sz w:val="20"/>
                <w:szCs w:val="20"/>
              </w:rPr>
              <w:t>Total external costs savings, of which:</w:t>
            </w:r>
          </w:p>
        </w:tc>
        <w:tc>
          <w:tcPr>
            <w:tcW w:w="659" w:type="pct"/>
            <w:tcBorders>
              <w:top w:val="nil"/>
              <w:left w:val="nil"/>
              <w:bottom w:val="single" w:sz="4" w:space="0" w:color="auto"/>
              <w:right w:val="single" w:sz="4" w:space="0" w:color="auto"/>
            </w:tcBorders>
            <w:shd w:val="clear" w:color="000000" w:fill="FFFFFF"/>
            <w:noWrap/>
            <w:hideMark/>
          </w:tcPr>
          <w:p w14:paraId="4B690603" w14:textId="77777777" w:rsidR="003F1DAA" w:rsidRPr="002D10CF" w:rsidRDefault="003F1DAA" w:rsidP="00A84168">
            <w:pPr>
              <w:jc w:val="right"/>
              <w:rPr>
                <w:noProof/>
                <w:color w:val="000000"/>
                <w:sz w:val="20"/>
                <w:szCs w:val="20"/>
              </w:rPr>
            </w:pPr>
            <w:r w:rsidRPr="002D10CF">
              <w:rPr>
                <w:noProof/>
                <w:color w:val="000000"/>
                <w:sz w:val="20"/>
                <w:szCs w:val="20"/>
              </w:rPr>
              <w:t>-34%</w:t>
            </w:r>
          </w:p>
        </w:tc>
        <w:tc>
          <w:tcPr>
            <w:tcW w:w="659" w:type="pct"/>
            <w:tcBorders>
              <w:top w:val="nil"/>
              <w:left w:val="nil"/>
              <w:bottom w:val="single" w:sz="4" w:space="0" w:color="auto"/>
              <w:right w:val="single" w:sz="4" w:space="0" w:color="auto"/>
            </w:tcBorders>
            <w:shd w:val="clear" w:color="000000" w:fill="FFFFFF"/>
            <w:noWrap/>
            <w:hideMark/>
          </w:tcPr>
          <w:p w14:paraId="17186E0B" w14:textId="77777777" w:rsidR="003F1DAA" w:rsidRPr="002D10CF" w:rsidRDefault="003F1DAA" w:rsidP="00A84168">
            <w:pPr>
              <w:jc w:val="right"/>
              <w:rPr>
                <w:noProof/>
                <w:color w:val="000000"/>
                <w:sz w:val="20"/>
                <w:szCs w:val="20"/>
              </w:rPr>
            </w:pPr>
            <w:r w:rsidRPr="002D10CF">
              <w:rPr>
                <w:noProof/>
                <w:color w:val="000000"/>
                <w:sz w:val="20"/>
                <w:szCs w:val="20"/>
              </w:rPr>
              <w:t>-37%</w:t>
            </w:r>
          </w:p>
        </w:tc>
        <w:tc>
          <w:tcPr>
            <w:tcW w:w="659" w:type="pct"/>
            <w:tcBorders>
              <w:top w:val="nil"/>
              <w:left w:val="nil"/>
              <w:bottom w:val="single" w:sz="4" w:space="0" w:color="auto"/>
              <w:right w:val="single" w:sz="4" w:space="0" w:color="auto"/>
            </w:tcBorders>
            <w:shd w:val="clear" w:color="000000" w:fill="FFFFFF"/>
            <w:noWrap/>
            <w:hideMark/>
          </w:tcPr>
          <w:p w14:paraId="1F426461" w14:textId="77777777" w:rsidR="003F1DAA" w:rsidRPr="002D10CF" w:rsidRDefault="003F1DAA" w:rsidP="00A84168">
            <w:pPr>
              <w:jc w:val="right"/>
              <w:rPr>
                <w:noProof/>
                <w:color w:val="000000"/>
                <w:sz w:val="20"/>
                <w:szCs w:val="20"/>
              </w:rPr>
            </w:pPr>
            <w:r w:rsidRPr="002D10CF">
              <w:rPr>
                <w:noProof/>
                <w:color w:val="000000"/>
                <w:sz w:val="20"/>
                <w:szCs w:val="20"/>
              </w:rPr>
              <w:t>-39%</w:t>
            </w:r>
          </w:p>
        </w:tc>
        <w:tc>
          <w:tcPr>
            <w:tcW w:w="659" w:type="pct"/>
            <w:tcBorders>
              <w:top w:val="nil"/>
              <w:left w:val="nil"/>
              <w:bottom w:val="single" w:sz="4" w:space="0" w:color="auto"/>
              <w:right w:val="single" w:sz="4" w:space="0" w:color="auto"/>
            </w:tcBorders>
            <w:shd w:val="clear" w:color="000000" w:fill="FFFFFF"/>
            <w:noWrap/>
            <w:hideMark/>
          </w:tcPr>
          <w:p w14:paraId="5111A28C" w14:textId="77777777" w:rsidR="003F1DAA" w:rsidRPr="002D10CF" w:rsidRDefault="003F1DAA" w:rsidP="00A84168">
            <w:pPr>
              <w:jc w:val="right"/>
              <w:rPr>
                <w:noProof/>
                <w:color w:val="000000"/>
                <w:sz w:val="20"/>
                <w:szCs w:val="20"/>
              </w:rPr>
            </w:pPr>
            <w:r w:rsidRPr="002D10CF">
              <w:rPr>
                <w:noProof/>
                <w:color w:val="000000"/>
                <w:sz w:val="20"/>
                <w:szCs w:val="20"/>
              </w:rPr>
              <w:t>-37%</w:t>
            </w:r>
          </w:p>
        </w:tc>
      </w:tr>
      <w:tr w:rsidR="003F1DAA" w:rsidRPr="002D10CF" w14:paraId="5F1C4931"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0575B98A" w14:textId="155804DE" w:rsidR="003F1DAA" w:rsidRPr="002D10CF" w:rsidRDefault="003F1DAA" w:rsidP="00A84168">
            <w:pPr>
              <w:ind w:firstLineChars="100" w:firstLine="200"/>
              <w:rPr>
                <w:noProof/>
                <w:color w:val="000000"/>
                <w:sz w:val="20"/>
                <w:szCs w:val="20"/>
              </w:rPr>
            </w:pPr>
            <w:r w:rsidRPr="002D10CF">
              <w:rPr>
                <w:noProof/>
                <w:color w:val="000000"/>
                <w:sz w:val="20"/>
                <w:szCs w:val="20"/>
              </w:rPr>
              <w:t xml:space="preserve"> </w:t>
            </w:r>
            <w:r w:rsidR="00514383">
              <w:rPr>
                <w:noProof/>
                <w:color w:val="000000"/>
                <w:sz w:val="20"/>
                <w:szCs w:val="20"/>
              </w:rPr>
              <w:t>CO</w:t>
            </w:r>
            <w:r w:rsidR="00514383" w:rsidRPr="00514383">
              <w:rPr>
                <w:noProof/>
                <w:color w:val="000000"/>
                <w:sz w:val="20"/>
                <w:szCs w:val="20"/>
                <w:vertAlign w:val="subscript"/>
              </w:rPr>
              <w:t>2</w:t>
            </w:r>
            <w:r w:rsidR="00514383" w:rsidRPr="002D10CF">
              <w:rPr>
                <w:noProof/>
                <w:color w:val="000000"/>
                <w:sz w:val="20"/>
                <w:szCs w:val="20"/>
              </w:rPr>
              <w:t xml:space="preserve"> </w:t>
            </w:r>
            <w:r w:rsidRPr="002D10CF">
              <w:rPr>
                <w:noProof/>
                <w:color w:val="000000"/>
                <w:sz w:val="20"/>
                <w:szCs w:val="20"/>
              </w:rPr>
              <w:t xml:space="preserve">emissions </w:t>
            </w:r>
          </w:p>
        </w:tc>
        <w:tc>
          <w:tcPr>
            <w:tcW w:w="659" w:type="pct"/>
            <w:tcBorders>
              <w:top w:val="nil"/>
              <w:left w:val="nil"/>
              <w:bottom w:val="single" w:sz="4" w:space="0" w:color="auto"/>
              <w:right w:val="single" w:sz="4" w:space="0" w:color="auto"/>
            </w:tcBorders>
            <w:shd w:val="clear" w:color="000000" w:fill="FFFFFF"/>
            <w:noWrap/>
            <w:hideMark/>
          </w:tcPr>
          <w:p w14:paraId="105B9770" w14:textId="77777777" w:rsidR="003F1DAA" w:rsidRPr="002D10CF" w:rsidRDefault="003F1DAA" w:rsidP="00A84168">
            <w:pPr>
              <w:jc w:val="right"/>
              <w:rPr>
                <w:noProof/>
                <w:color w:val="000000"/>
                <w:sz w:val="20"/>
                <w:szCs w:val="20"/>
              </w:rPr>
            </w:pPr>
            <w:r w:rsidRPr="002D10CF">
              <w:rPr>
                <w:noProof/>
                <w:color w:val="000000"/>
                <w:sz w:val="20"/>
                <w:szCs w:val="20"/>
              </w:rPr>
              <w:t>-34%</w:t>
            </w:r>
          </w:p>
        </w:tc>
        <w:tc>
          <w:tcPr>
            <w:tcW w:w="659" w:type="pct"/>
            <w:tcBorders>
              <w:top w:val="nil"/>
              <w:left w:val="nil"/>
              <w:bottom w:val="single" w:sz="4" w:space="0" w:color="auto"/>
              <w:right w:val="single" w:sz="4" w:space="0" w:color="auto"/>
            </w:tcBorders>
            <w:shd w:val="clear" w:color="000000" w:fill="FFFFFF"/>
            <w:noWrap/>
            <w:hideMark/>
          </w:tcPr>
          <w:p w14:paraId="24CD4EEC" w14:textId="77777777" w:rsidR="003F1DAA" w:rsidRPr="002D10CF" w:rsidRDefault="003F1DAA" w:rsidP="00A84168">
            <w:pPr>
              <w:jc w:val="right"/>
              <w:rPr>
                <w:noProof/>
                <w:color w:val="000000"/>
                <w:sz w:val="20"/>
                <w:szCs w:val="20"/>
              </w:rPr>
            </w:pPr>
            <w:r w:rsidRPr="002D10CF">
              <w:rPr>
                <w:noProof/>
                <w:color w:val="000000"/>
                <w:sz w:val="20"/>
                <w:szCs w:val="20"/>
              </w:rPr>
              <w:t>-37%</w:t>
            </w:r>
          </w:p>
        </w:tc>
        <w:tc>
          <w:tcPr>
            <w:tcW w:w="659" w:type="pct"/>
            <w:tcBorders>
              <w:top w:val="nil"/>
              <w:left w:val="nil"/>
              <w:bottom w:val="single" w:sz="4" w:space="0" w:color="auto"/>
              <w:right w:val="single" w:sz="4" w:space="0" w:color="auto"/>
            </w:tcBorders>
            <w:shd w:val="clear" w:color="000000" w:fill="FFFFFF"/>
            <w:noWrap/>
            <w:hideMark/>
          </w:tcPr>
          <w:p w14:paraId="73598627" w14:textId="77777777" w:rsidR="003F1DAA" w:rsidRPr="002D10CF" w:rsidRDefault="003F1DAA" w:rsidP="00A84168">
            <w:pPr>
              <w:jc w:val="right"/>
              <w:rPr>
                <w:noProof/>
                <w:color w:val="000000"/>
                <w:sz w:val="20"/>
                <w:szCs w:val="20"/>
              </w:rPr>
            </w:pPr>
            <w:r w:rsidRPr="002D10CF">
              <w:rPr>
                <w:noProof/>
                <w:color w:val="000000"/>
                <w:sz w:val="20"/>
                <w:szCs w:val="20"/>
              </w:rPr>
              <w:t>-39%</w:t>
            </w:r>
          </w:p>
        </w:tc>
        <w:tc>
          <w:tcPr>
            <w:tcW w:w="659" w:type="pct"/>
            <w:tcBorders>
              <w:top w:val="nil"/>
              <w:left w:val="nil"/>
              <w:bottom w:val="single" w:sz="4" w:space="0" w:color="auto"/>
              <w:right w:val="single" w:sz="4" w:space="0" w:color="auto"/>
            </w:tcBorders>
            <w:shd w:val="clear" w:color="000000" w:fill="FFFFFF"/>
            <w:noWrap/>
            <w:hideMark/>
          </w:tcPr>
          <w:p w14:paraId="4C7C7EE1" w14:textId="77777777" w:rsidR="003F1DAA" w:rsidRPr="002D10CF" w:rsidRDefault="003F1DAA" w:rsidP="00A84168">
            <w:pPr>
              <w:jc w:val="right"/>
              <w:rPr>
                <w:noProof/>
                <w:color w:val="000000"/>
                <w:sz w:val="20"/>
                <w:szCs w:val="20"/>
              </w:rPr>
            </w:pPr>
            <w:r w:rsidRPr="002D10CF">
              <w:rPr>
                <w:noProof/>
                <w:color w:val="000000"/>
                <w:sz w:val="20"/>
                <w:szCs w:val="20"/>
              </w:rPr>
              <w:t>-37%</w:t>
            </w:r>
          </w:p>
        </w:tc>
      </w:tr>
      <w:tr w:rsidR="003F1DAA" w:rsidRPr="002D10CF" w14:paraId="1D1697EB"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5B30B344" w14:textId="77777777" w:rsidR="003F1DAA" w:rsidRPr="002D10CF" w:rsidRDefault="003F1DAA" w:rsidP="00A84168">
            <w:pPr>
              <w:ind w:firstLineChars="100" w:firstLine="200"/>
              <w:rPr>
                <w:noProof/>
                <w:color w:val="000000"/>
                <w:sz w:val="20"/>
                <w:szCs w:val="20"/>
              </w:rPr>
            </w:pPr>
            <w:r w:rsidRPr="002D10CF">
              <w:rPr>
                <w:noProof/>
                <w:color w:val="000000"/>
                <w:sz w:val="20"/>
                <w:szCs w:val="20"/>
              </w:rPr>
              <w:t xml:space="preserve"> Air pollutant emissions </w:t>
            </w:r>
          </w:p>
        </w:tc>
        <w:tc>
          <w:tcPr>
            <w:tcW w:w="659" w:type="pct"/>
            <w:tcBorders>
              <w:top w:val="nil"/>
              <w:left w:val="nil"/>
              <w:bottom w:val="single" w:sz="4" w:space="0" w:color="auto"/>
              <w:right w:val="single" w:sz="4" w:space="0" w:color="auto"/>
            </w:tcBorders>
            <w:shd w:val="clear" w:color="000000" w:fill="FFFFFF"/>
            <w:noWrap/>
            <w:hideMark/>
          </w:tcPr>
          <w:p w14:paraId="765A2911" w14:textId="77777777" w:rsidR="003F1DAA" w:rsidRPr="002D10CF" w:rsidRDefault="003F1DAA" w:rsidP="00A84168">
            <w:pPr>
              <w:jc w:val="right"/>
              <w:rPr>
                <w:noProof/>
                <w:color w:val="000000"/>
                <w:sz w:val="20"/>
                <w:szCs w:val="20"/>
              </w:rPr>
            </w:pPr>
            <w:r w:rsidRPr="002D10CF">
              <w:rPr>
                <w:noProof/>
                <w:color w:val="000000"/>
                <w:sz w:val="20"/>
                <w:szCs w:val="20"/>
              </w:rPr>
              <w:t>-37%</w:t>
            </w:r>
          </w:p>
        </w:tc>
        <w:tc>
          <w:tcPr>
            <w:tcW w:w="659" w:type="pct"/>
            <w:tcBorders>
              <w:top w:val="nil"/>
              <w:left w:val="nil"/>
              <w:bottom w:val="single" w:sz="4" w:space="0" w:color="auto"/>
              <w:right w:val="single" w:sz="4" w:space="0" w:color="auto"/>
            </w:tcBorders>
            <w:shd w:val="clear" w:color="000000" w:fill="FFFFFF"/>
            <w:noWrap/>
            <w:hideMark/>
          </w:tcPr>
          <w:p w14:paraId="7BE66A8E" w14:textId="77777777" w:rsidR="003F1DAA" w:rsidRPr="002D10CF" w:rsidRDefault="003F1DAA" w:rsidP="00A84168">
            <w:pPr>
              <w:jc w:val="right"/>
              <w:rPr>
                <w:noProof/>
                <w:color w:val="000000"/>
                <w:sz w:val="20"/>
                <w:szCs w:val="20"/>
              </w:rPr>
            </w:pPr>
            <w:r w:rsidRPr="002D10CF">
              <w:rPr>
                <w:noProof/>
                <w:color w:val="000000"/>
                <w:sz w:val="20"/>
                <w:szCs w:val="20"/>
              </w:rPr>
              <w:t>-40%</w:t>
            </w:r>
          </w:p>
        </w:tc>
        <w:tc>
          <w:tcPr>
            <w:tcW w:w="659" w:type="pct"/>
            <w:tcBorders>
              <w:top w:val="nil"/>
              <w:left w:val="nil"/>
              <w:bottom w:val="single" w:sz="4" w:space="0" w:color="auto"/>
              <w:right w:val="single" w:sz="4" w:space="0" w:color="auto"/>
            </w:tcBorders>
            <w:shd w:val="clear" w:color="000000" w:fill="FFFFFF"/>
            <w:noWrap/>
            <w:hideMark/>
          </w:tcPr>
          <w:p w14:paraId="5192D3AE" w14:textId="77777777" w:rsidR="003F1DAA" w:rsidRPr="002D10CF" w:rsidRDefault="003F1DAA" w:rsidP="00A84168">
            <w:pPr>
              <w:jc w:val="right"/>
              <w:rPr>
                <w:noProof/>
                <w:color w:val="000000"/>
                <w:sz w:val="20"/>
                <w:szCs w:val="20"/>
              </w:rPr>
            </w:pPr>
            <w:r w:rsidRPr="002D10CF">
              <w:rPr>
                <w:noProof/>
                <w:color w:val="000000"/>
                <w:sz w:val="20"/>
                <w:szCs w:val="20"/>
              </w:rPr>
              <w:t>-42%</w:t>
            </w:r>
          </w:p>
        </w:tc>
        <w:tc>
          <w:tcPr>
            <w:tcW w:w="659" w:type="pct"/>
            <w:tcBorders>
              <w:top w:val="nil"/>
              <w:left w:val="nil"/>
              <w:bottom w:val="single" w:sz="4" w:space="0" w:color="auto"/>
              <w:right w:val="single" w:sz="4" w:space="0" w:color="auto"/>
            </w:tcBorders>
            <w:shd w:val="clear" w:color="000000" w:fill="FFFFFF"/>
            <w:noWrap/>
            <w:hideMark/>
          </w:tcPr>
          <w:p w14:paraId="08CF8B10" w14:textId="77777777" w:rsidR="003F1DAA" w:rsidRPr="002D10CF" w:rsidRDefault="003F1DAA" w:rsidP="00A84168">
            <w:pPr>
              <w:jc w:val="right"/>
              <w:rPr>
                <w:noProof/>
                <w:color w:val="000000"/>
                <w:sz w:val="20"/>
                <w:szCs w:val="20"/>
              </w:rPr>
            </w:pPr>
            <w:r w:rsidRPr="002D10CF">
              <w:rPr>
                <w:noProof/>
                <w:color w:val="000000"/>
                <w:sz w:val="20"/>
                <w:szCs w:val="20"/>
              </w:rPr>
              <w:t>-40%</w:t>
            </w:r>
          </w:p>
        </w:tc>
      </w:tr>
      <w:tr w:rsidR="003F1DAA" w:rsidRPr="002D10CF" w14:paraId="0DD40685"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06CEC135" w14:textId="77777777" w:rsidR="003F1DAA" w:rsidRPr="002D10CF" w:rsidRDefault="003F1DAA" w:rsidP="00A84168">
            <w:pPr>
              <w:ind w:firstLineChars="100" w:firstLine="200"/>
              <w:rPr>
                <w:noProof/>
                <w:color w:val="000000"/>
                <w:sz w:val="20"/>
                <w:szCs w:val="20"/>
              </w:rPr>
            </w:pPr>
            <w:r w:rsidRPr="002D10CF">
              <w:rPr>
                <w:noProof/>
                <w:color w:val="000000"/>
                <w:sz w:val="20"/>
                <w:szCs w:val="20"/>
              </w:rPr>
              <w:t xml:space="preserve"> Fatalities and injuries </w:t>
            </w:r>
          </w:p>
        </w:tc>
        <w:tc>
          <w:tcPr>
            <w:tcW w:w="659" w:type="pct"/>
            <w:tcBorders>
              <w:top w:val="nil"/>
              <w:left w:val="nil"/>
              <w:bottom w:val="single" w:sz="4" w:space="0" w:color="auto"/>
              <w:right w:val="single" w:sz="4" w:space="0" w:color="auto"/>
            </w:tcBorders>
            <w:shd w:val="clear" w:color="000000" w:fill="FFFFFF"/>
            <w:noWrap/>
            <w:hideMark/>
          </w:tcPr>
          <w:p w14:paraId="44D6AF86" w14:textId="77777777" w:rsidR="003F1DAA" w:rsidRPr="002D10CF" w:rsidRDefault="003F1DAA" w:rsidP="00A84168">
            <w:pPr>
              <w:jc w:val="right"/>
              <w:rPr>
                <w:noProof/>
                <w:color w:val="000000"/>
                <w:sz w:val="20"/>
                <w:szCs w:val="20"/>
              </w:rPr>
            </w:pPr>
            <w:r w:rsidRPr="002D10CF">
              <w:rPr>
                <w:noProof/>
                <w:color w:val="000000"/>
                <w:sz w:val="20"/>
                <w:szCs w:val="20"/>
              </w:rPr>
              <w:t>-35%</w:t>
            </w:r>
          </w:p>
        </w:tc>
        <w:tc>
          <w:tcPr>
            <w:tcW w:w="659" w:type="pct"/>
            <w:tcBorders>
              <w:top w:val="nil"/>
              <w:left w:val="nil"/>
              <w:bottom w:val="single" w:sz="4" w:space="0" w:color="auto"/>
              <w:right w:val="single" w:sz="4" w:space="0" w:color="auto"/>
            </w:tcBorders>
            <w:shd w:val="clear" w:color="000000" w:fill="FFFFFF"/>
            <w:noWrap/>
            <w:hideMark/>
          </w:tcPr>
          <w:p w14:paraId="7B187407" w14:textId="77777777" w:rsidR="003F1DAA" w:rsidRPr="002D10CF" w:rsidRDefault="003F1DAA" w:rsidP="00A84168">
            <w:pPr>
              <w:jc w:val="right"/>
              <w:rPr>
                <w:noProof/>
                <w:color w:val="000000"/>
                <w:sz w:val="20"/>
                <w:szCs w:val="20"/>
              </w:rPr>
            </w:pPr>
            <w:r w:rsidRPr="002D10CF">
              <w:rPr>
                <w:noProof/>
                <w:color w:val="000000"/>
                <w:sz w:val="20"/>
                <w:szCs w:val="20"/>
              </w:rPr>
              <w:t>-36%</w:t>
            </w:r>
          </w:p>
        </w:tc>
        <w:tc>
          <w:tcPr>
            <w:tcW w:w="659" w:type="pct"/>
            <w:tcBorders>
              <w:top w:val="nil"/>
              <w:left w:val="nil"/>
              <w:bottom w:val="single" w:sz="4" w:space="0" w:color="auto"/>
              <w:right w:val="single" w:sz="4" w:space="0" w:color="auto"/>
            </w:tcBorders>
            <w:shd w:val="clear" w:color="000000" w:fill="FFFFFF"/>
            <w:noWrap/>
            <w:hideMark/>
          </w:tcPr>
          <w:p w14:paraId="74283444" w14:textId="77777777" w:rsidR="003F1DAA" w:rsidRPr="002D10CF" w:rsidRDefault="003F1DAA" w:rsidP="00A84168">
            <w:pPr>
              <w:jc w:val="right"/>
              <w:rPr>
                <w:noProof/>
                <w:color w:val="000000"/>
                <w:sz w:val="20"/>
                <w:szCs w:val="20"/>
              </w:rPr>
            </w:pPr>
            <w:r w:rsidRPr="002D10CF">
              <w:rPr>
                <w:noProof/>
                <w:color w:val="000000"/>
                <w:sz w:val="20"/>
                <w:szCs w:val="20"/>
              </w:rPr>
              <w:t>-39%</w:t>
            </w:r>
          </w:p>
        </w:tc>
        <w:tc>
          <w:tcPr>
            <w:tcW w:w="659" w:type="pct"/>
            <w:tcBorders>
              <w:top w:val="nil"/>
              <w:left w:val="nil"/>
              <w:bottom w:val="single" w:sz="4" w:space="0" w:color="auto"/>
              <w:right w:val="single" w:sz="4" w:space="0" w:color="auto"/>
            </w:tcBorders>
            <w:shd w:val="clear" w:color="000000" w:fill="FFFFFF"/>
            <w:noWrap/>
            <w:hideMark/>
          </w:tcPr>
          <w:p w14:paraId="4569FB21" w14:textId="77777777" w:rsidR="003F1DAA" w:rsidRPr="002D10CF" w:rsidRDefault="003F1DAA" w:rsidP="00A84168">
            <w:pPr>
              <w:jc w:val="right"/>
              <w:rPr>
                <w:noProof/>
                <w:color w:val="000000"/>
                <w:sz w:val="20"/>
                <w:szCs w:val="20"/>
              </w:rPr>
            </w:pPr>
            <w:r w:rsidRPr="002D10CF">
              <w:rPr>
                <w:noProof/>
                <w:color w:val="000000"/>
                <w:sz w:val="20"/>
                <w:szCs w:val="20"/>
              </w:rPr>
              <w:t>-37%</w:t>
            </w:r>
          </w:p>
        </w:tc>
      </w:tr>
      <w:tr w:rsidR="003F1DAA" w:rsidRPr="002D10CF" w14:paraId="021BDF0C"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1A0AD484" w14:textId="77777777" w:rsidR="003F1DAA" w:rsidRPr="002D10CF" w:rsidRDefault="003F1DAA" w:rsidP="00A84168">
            <w:pPr>
              <w:ind w:firstLineChars="100" w:firstLine="200"/>
              <w:rPr>
                <w:noProof/>
                <w:color w:val="000000"/>
                <w:sz w:val="20"/>
                <w:szCs w:val="20"/>
              </w:rPr>
            </w:pPr>
            <w:r w:rsidRPr="002D10CF">
              <w:rPr>
                <w:noProof/>
                <w:color w:val="000000"/>
                <w:sz w:val="20"/>
                <w:szCs w:val="20"/>
              </w:rPr>
              <w:t xml:space="preserve"> Road congestion </w:t>
            </w:r>
          </w:p>
        </w:tc>
        <w:tc>
          <w:tcPr>
            <w:tcW w:w="659" w:type="pct"/>
            <w:tcBorders>
              <w:top w:val="nil"/>
              <w:left w:val="nil"/>
              <w:bottom w:val="single" w:sz="4" w:space="0" w:color="auto"/>
              <w:right w:val="single" w:sz="4" w:space="0" w:color="auto"/>
            </w:tcBorders>
            <w:shd w:val="clear" w:color="000000" w:fill="FFFFFF"/>
            <w:noWrap/>
            <w:hideMark/>
          </w:tcPr>
          <w:p w14:paraId="2C878846" w14:textId="77777777" w:rsidR="003F1DAA" w:rsidRPr="002D10CF" w:rsidRDefault="003F1DAA" w:rsidP="00A84168">
            <w:pPr>
              <w:jc w:val="right"/>
              <w:rPr>
                <w:noProof/>
                <w:color w:val="000000"/>
                <w:sz w:val="20"/>
                <w:szCs w:val="20"/>
              </w:rPr>
            </w:pPr>
            <w:r w:rsidRPr="002D10CF">
              <w:rPr>
                <w:noProof/>
                <w:color w:val="000000"/>
                <w:sz w:val="20"/>
                <w:szCs w:val="20"/>
              </w:rPr>
              <w:t>-29%</w:t>
            </w:r>
          </w:p>
        </w:tc>
        <w:tc>
          <w:tcPr>
            <w:tcW w:w="659" w:type="pct"/>
            <w:tcBorders>
              <w:top w:val="nil"/>
              <w:left w:val="nil"/>
              <w:bottom w:val="single" w:sz="4" w:space="0" w:color="auto"/>
              <w:right w:val="single" w:sz="4" w:space="0" w:color="auto"/>
            </w:tcBorders>
            <w:shd w:val="clear" w:color="000000" w:fill="FFFFFF"/>
            <w:noWrap/>
            <w:hideMark/>
          </w:tcPr>
          <w:p w14:paraId="6683A15F" w14:textId="77777777" w:rsidR="003F1DAA" w:rsidRPr="002D10CF" w:rsidRDefault="003F1DAA" w:rsidP="00A84168">
            <w:pPr>
              <w:jc w:val="right"/>
              <w:rPr>
                <w:noProof/>
                <w:color w:val="000000"/>
                <w:sz w:val="20"/>
                <w:szCs w:val="20"/>
              </w:rPr>
            </w:pPr>
            <w:r w:rsidRPr="002D10CF">
              <w:rPr>
                <w:noProof/>
                <w:color w:val="000000"/>
                <w:sz w:val="20"/>
                <w:szCs w:val="20"/>
              </w:rPr>
              <w:t>-40%</w:t>
            </w:r>
          </w:p>
        </w:tc>
        <w:tc>
          <w:tcPr>
            <w:tcW w:w="659" w:type="pct"/>
            <w:tcBorders>
              <w:top w:val="nil"/>
              <w:left w:val="nil"/>
              <w:bottom w:val="single" w:sz="4" w:space="0" w:color="auto"/>
              <w:right w:val="single" w:sz="4" w:space="0" w:color="auto"/>
            </w:tcBorders>
            <w:shd w:val="clear" w:color="000000" w:fill="FFFFFF"/>
            <w:noWrap/>
            <w:hideMark/>
          </w:tcPr>
          <w:p w14:paraId="62D29F56" w14:textId="77777777" w:rsidR="003F1DAA" w:rsidRPr="002D10CF" w:rsidRDefault="003F1DAA" w:rsidP="00A84168">
            <w:pPr>
              <w:jc w:val="right"/>
              <w:rPr>
                <w:noProof/>
                <w:color w:val="000000"/>
                <w:sz w:val="20"/>
                <w:szCs w:val="20"/>
              </w:rPr>
            </w:pPr>
            <w:r w:rsidRPr="002D10CF">
              <w:rPr>
                <w:noProof/>
                <w:color w:val="000000"/>
                <w:sz w:val="20"/>
                <w:szCs w:val="20"/>
              </w:rPr>
              <w:t>-42%</w:t>
            </w:r>
          </w:p>
        </w:tc>
        <w:tc>
          <w:tcPr>
            <w:tcW w:w="659" w:type="pct"/>
            <w:tcBorders>
              <w:top w:val="nil"/>
              <w:left w:val="nil"/>
              <w:bottom w:val="single" w:sz="4" w:space="0" w:color="auto"/>
              <w:right w:val="single" w:sz="4" w:space="0" w:color="auto"/>
            </w:tcBorders>
            <w:shd w:val="clear" w:color="000000" w:fill="FFFFFF"/>
            <w:noWrap/>
            <w:hideMark/>
          </w:tcPr>
          <w:p w14:paraId="4537A0AD" w14:textId="77777777" w:rsidR="003F1DAA" w:rsidRPr="002D10CF" w:rsidRDefault="003F1DAA" w:rsidP="00A84168">
            <w:pPr>
              <w:jc w:val="right"/>
              <w:rPr>
                <w:noProof/>
                <w:color w:val="000000"/>
                <w:sz w:val="20"/>
                <w:szCs w:val="20"/>
              </w:rPr>
            </w:pPr>
            <w:r w:rsidRPr="002D10CF">
              <w:rPr>
                <w:noProof/>
                <w:color w:val="000000"/>
                <w:sz w:val="20"/>
                <w:szCs w:val="20"/>
              </w:rPr>
              <w:t>-40%</w:t>
            </w:r>
          </w:p>
        </w:tc>
      </w:tr>
      <w:tr w:rsidR="003F1DAA" w:rsidRPr="002D10CF" w14:paraId="12C93510" w14:textId="77777777" w:rsidTr="00A84168">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02488CCE" w14:textId="77777777" w:rsidR="003F1DAA" w:rsidRPr="002D10CF" w:rsidRDefault="003F1DAA" w:rsidP="00A84168">
            <w:pPr>
              <w:ind w:firstLineChars="100" w:firstLine="200"/>
              <w:rPr>
                <w:noProof/>
                <w:color w:val="000000"/>
                <w:sz w:val="20"/>
                <w:szCs w:val="20"/>
              </w:rPr>
            </w:pPr>
            <w:r w:rsidRPr="002D10CF">
              <w:rPr>
                <w:noProof/>
                <w:color w:val="000000"/>
                <w:sz w:val="20"/>
                <w:szCs w:val="20"/>
              </w:rPr>
              <w:t xml:space="preserve"> Noise emissions </w:t>
            </w:r>
          </w:p>
        </w:tc>
        <w:tc>
          <w:tcPr>
            <w:tcW w:w="659" w:type="pct"/>
            <w:tcBorders>
              <w:top w:val="nil"/>
              <w:left w:val="nil"/>
              <w:bottom w:val="single" w:sz="4" w:space="0" w:color="auto"/>
              <w:right w:val="single" w:sz="4" w:space="0" w:color="auto"/>
            </w:tcBorders>
            <w:shd w:val="clear" w:color="000000" w:fill="FFFFFF"/>
            <w:noWrap/>
            <w:hideMark/>
          </w:tcPr>
          <w:p w14:paraId="344E6C38" w14:textId="77777777" w:rsidR="003F1DAA" w:rsidRPr="002D10CF" w:rsidRDefault="003F1DAA" w:rsidP="00A84168">
            <w:pPr>
              <w:jc w:val="right"/>
              <w:rPr>
                <w:noProof/>
                <w:color w:val="000000"/>
                <w:sz w:val="20"/>
                <w:szCs w:val="20"/>
              </w:rPr>
            </w:pPr>
            <w:r w:rsidRPr="002D10CF">
              <w:rPr>
                <w:noProof/>
                <w:color w:val="000000"/>
                <w:sz w:val="20"/>
                <w:szCs w:val="20"/>
              </w:rPr>
              <w:t>-33%</w:t>
            </w:r>
          </w:p>
        </w:tc>
        <w:tc>
          <w:tcPr>
            <w:tcW w:w="659" w:type="pct"/>
            <w:tcBorders>
              <w:top w:val="nil"/>
              <w:left w:val="nil"/>
              <w:bottom w:val="single" w:sz="4" w:space="0" w:color="auto"/>
              <w:right w:val="single" w:sz="4" w:space="0" w:color="auto"/>
            </w:tcBorders>
            <w:shd w:val="clear" w:color="000000" w:fill="FFFFFF"/>
            <w:noWrap/>
            <w:hideMark/>
          </w:tcPr>
          <w:p w14:paraId="3F9A5F5B" w14:textId="77777777" w:rsidR="003F1DAA" w:rsidRPr="002D10CF" w:rsidRDefault="003F1DAA" w:rsidP="00A84168">
            <w:pPr>
              <w:jc w:val="right"/>
              <w:rPr>
                <w:noProof/>
                <w:color w:val="000000"/>
                <w:sz w:val="20"/>
                <w:szCs w:val="20"/>
              </w:rPr>
            </w:pPr>
            <w:r w:rsidRPr="002D10CF">
              <w:rPr>
                <w:noProof/>
                <w:color w:val="000000"/>
                <w:sz w:val="20"/>
                <w:szCs w:val="20"/>
              </w:rPr>
              <w:t>-36%</w:t>
            </w:r>
          </w:p>
        </w:tc>
        <w:tc>
          <w:tcPr>
            <w:tcW w:w="659" w:type="pct"/>
            <w:tcBorders>
              <w:top w:val="nil"/>
              <w:left w:val="nil"/>
              <w:bottom w:val="single" w:sz="4" w:space="0" w:color="auto"/>
              <w:right w:val="single" w:sz="4" w:space="0" w:color="auto"/>
            </w:tcBorders>
            <w:shd w:val="clear" w:color="000000" w:fill="FFFFFF"/>
            <w:noWrap/>
            <w:hideMark/>
          </w:tcPr>
          <w:p w14:paraId="2048EF0A" w14:textId="77777777" w:rsidR="003F1DAA" w:rsidRPr="002D10CF" w:rsidRDefault="003F1DAA" w:rsidP="00A84168">
            <w:pPr>
              <w:jc w:val="right"/>
              <w:rPr>
                <w:noProof/>
                <w:color w:val="000000"/>
                <w:sz w:val="20"/>
                <w:szCs w:val="20"/>
              </w:rPr>
            </w:pPr>
            <w:r w:rsidRPr="002D10CF">
              <w:rPr>
                <w:noProof/>
                <w:color w:val="000000"/>
                <w:sz w:val="20"/>
                <w:szCs w:val="20"/>
              </w:rPr>
              <w:t>-38%</w:t>
            </w:r>
          </w:p>
        </w:tc>
        <w:tc>
          <w:tcPr>
            <w:tcW w:w="659" w:type="pct"/>
            <w:tcBorders>
              <w:top w:val="nil"/>
              <w:left w:val="nil"/>
              <w:bottom w:val="single" w:sz="4" w:space="0" w:color="auto"/>
              <w:right w:val="single" w:sz="4" w:space="0" w:color="auto"/>
            </w:tcBorders>
            <w:shd w:val="clear" w:color="000000" w:fill="FFFFFF"/>
            <w:noWrap/>
            <w:hideMark/>
          </w:tcPr>
          <w:p w14:paraId="29072954" w14:textId="77777777" w:rsidR="003F1DAA" w:rsidRPr="002D10CF" w:rsidRDefault="003F1DAA" w:rsidP="00A84168">
            <w:pPr>
              <w:jc w:val="right"/>
              <w:rPr>
                <w:noProof/>
                <w:color w:val="000000"/>
                <w:sz w:val="20"/>
                <w:szCs w:val="20"/>
              </w:rPr>
            </w:pPr>
            <w:r w:rsidRPr="002D10CF">
              <w:rPr>
                <w:noProof/>
                <w:color w:val="000000"/>
                <w:sz w:val="20"/>
                <w:szCs w:val="20"/>
              </w:rPr>
              <w:t>-36%</w:t>
            </w:r>
          </w:p>
        </w:tc>
      </w:tr>
    </w:tbl>
    <w:p w14:paraId="1CE5DD3A" w14:textId="4846BC30" w:rsidR="004B1169" w:rsidRPr="00D71008" w:rsidRDefault="004B1169" w:rsidP="004B1169">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61EA0DEC" w14:textId="1A5177B5" w:rsidR="007C335E" w:rsidRPr="004E4D57" w:rsidRDefault="00D715E3" w:rsidP="004E4D57">
      <w:pPr>
        <w:pStyle w:val="Text2"/>
        <w:spacing w:after="240"/>
        <w:ind w:left="0"/>
        <w:rPr>
          <w:rFonts w:cs="Times New Roman"/>
          <w:i/>
          <w:noProof/>
          <w:spacing w:val="-8"/>
          <w:sz w:val="22"/>
          <w:szCs w:val="22"/>
        </w:rPr>
      </w:pPr>
      <w:r w:rsidRPr="005D2D60">
        <w:rPr>
          <w:noProof/>
          <w:spacing w:val="-8"/>
          <w:lang w:eastAsia="nl-NL"/>
        </w:rPr>
        <w:t xml:space="preserve">Although this assumption has important impacts on the total external costs savings, it is expected to have no impact on other adjustment costs savings for MDMS platforms and transport operators and on the total costs. </w:t>
      </w:r>
      <w:r w:rsidRPr="004E4D57">
        <w:rPr>
          <w:noProof/>
          <w:color w:val="000000" w:themeColor="text1"/>
          <w:spacing w:val="-8"/>
        </w:rPr>
        <w:t>The table below presents the impacts on total benefits</w:t>
      </w:r>
      <w:r w:rsidR="00391CFA">
        <w:rPr>
          <w:noProof/>
          <w:color w:val="000000" w:themeColor="text1"/>
          <w:spacing w:val="-8"/>
        </w:rPr>
        <w:t xml:space="preserve"> (including external costs savings)</w:t>
      </w:r>
      <w:r w:rsidRPr="004E4D57">
        <w:rPr>
          <w:noProof/>
          <w:color w:val="000000" w:themeColor="text1"/>
          <w:spacing w:val="-8"/>
        </w:rPr>
        <w:t xml:space="preserve">, total costs, net benefits and benefits to costs ratio by policy option in the base case and ‘low </w:t>
      </w:r>
      <w:r w:rsidR="00C83756">
        <w:rPr>
          <w:noProof/>
          <w:color w:val="000000" w:themeColor="text1"/>
          <w:spacing w:val="-8"/>
        </w:rPr>
        <w:t>modal shift</w:t>
      </w:r>
      <w:r w:rsidR="0007782E">
        <w:rPr>
          <w:noProof/>
          <w:color w:val="000000" w:themeColor="text1"/>
          <w:spacing w:val="-8"/>
        </w:rPr>
        <w:t>’</w:t>
      </w:r>
      <w:r w:rsidR="00C83756">
        <w:rPr>
          <w:noProof/>
          <w:color w:val="000000" w:themeColor="text1"/>
          <w:spacing w:val="-8"/>
        </w:rPr>
        <w:t xml:space="preserve"> </w:t>
      </w:r>
      <w:r w:rsidRPr="004E4D57">
        <w:rPr>
          <w:noProof/>
          <w:color w:val="000000" w:themeColor="text1"/>
          <w:spacing w:val="-8"/>
        </w:rPr>
        <w:t>case. It shows that all policy options are still expected to result in net benefits in the ‘low</w:t>
      </w:r>
      <w:r w:rsidR="00C83756">
        <w:rPr>
          <w:noProof/>
          <w:color w:val="000000" w:themeColor="text1"/>
          <w:spacing w:val="-8"/>
        </w:rPr>
        <w:t xml:space="preserve"> modal shift</w:t>
      </w:r>
      <w:r w:rsidR="0007782E">
        <w:rPr>
          <w:noProof/>
          <w:color w:val="000000" w:themeColor="text1"/>
          <w:spacing w:val="-8"/>
        </w:rPr>
        <w:t>’</w:t>
      </w:r>
      <w:r w:rsidRPr="004E4D57">
        <w:rPr>
          <w:noProof/>
          <w:color w:val="000000" w:themeColor="text1"/>
          <w:spacing w:val="-8"/>
        </w:rPr>
        <w:t xml:space="preserve"> case considered. It also shows that the ranking of the policy options is not expected to change in the ‘low </w:t>
      </w:r>
      <w:r w:rsidR="00C83756">
        <w:rPr>
          <w:noProof/>
          <w:color w:val="000000" w:themeColor="text1"/>
          <w:spacing w:val="-8"/>
        </w:rPr>
        <w:t>modal shift</w:t>
      </w:r>
      <w:r w:rsidR="0007782E">
        <w:rPr>
          <w:noProof/>
          <w:color w:val="000000" w:themeColor="text1"/>
          <w:spacing w:val="-8"/>
        </w:rPr>
        <w:t>’</w:t>
      </w:r>
      <w:r w:rsidR="00C83756">
        <w:rPr>
          <w:noProof/>
          <w:color w:val="000000" w:themeColor="text1"/>
          <w:spacing w:val="-8"/>
        </w:rPr>
        <w:t xml:space="preserve"> </w:t>
      </w:r>
      <w:r w:rsidRPr="004E4D57">
        <w:rPr>
          <w:noProof/>
          <w:color w:val="000000" w:themeColor="text1"/>
          <w:spacing w:val="-8"/>
        </w:rPr>
        <w:t>case relative to the base case estimates.</w:t>
      </w:r>
    </w:p>
    <w:p w14:paraId="51D15195" w14:textId="264D967F" w:rsidR="005C2C49" w:rsidRDefault="005C2C49" w:rsidP="005C2C49">
      <w:pPr>
        <w:pStyle w:val="Text2"/>
        <w:spacing w:after="0"/>
        <w:ind w:left="0"/>
        <w:rPr>
          <w:rFonts w:cs="Times New Roman"/>
          <w:i/>
          <w:noProof/>
          <w:sz w:val="22"/>
          <w:szCs w:val="22"/>
        </w:rPr>
      </w:pPr>
      <w:r w:rsidRPr="00F046B6">
        <w:rPr>
          <w:rFonts w:cs="Times New Roman"/>
          <w:i/>
          <w:noProof/>
          <w:sz w:val="22"/>
          <w:szCs w:val="22"/>
        </w:rPr>
        <w:t xml:space="preserve">Table </w:t>
      </w:r>
      <w:r w:rsidRPr="00F046B6">
        <w:rPr>
          <w:rFonts w:cs="Times New Roman"/>
          <w:i/>
          <w:noProof/>
          <w:sz w:val="22"/>
          <w:szCs w:val="22"/>
        </w:rPr>
        <w:fldChar w:fldCharType="begin"/>
      </w:r>
      <w:r w:rsidRPr="00F046B6">
        <w:rPr>
          <w:rFonts w:cs="Times New Roman"/>
          <w:i/>
          <w:noProof/>
          <w:sz w:val="22"/>
          <w:szCs w:val="22"/>
        </w:rPr>
        <w:instrText xml:space="preserve"> SEQ Table \* ARABIC </w:instrText>
      </w:r>
      <w:r w:rsidRPr="00F046B6">
        <w:rPr>
          <w:rFonts w:cs="Times New Roman"/>
          <w:i/>
          <w:noProof/>
          <w:sz w:val="22"/>
          <w:szCs w:val="22"/>
        </w:rPr>
        <w:fldChar w:fldCharType="separate"/>
      </w:r>
      <w:r w:rsidR="0055391F">
        <w:rPr>
          <w:rFonts w:cs="Times New Roman"/>
          <w:i/>
          <w:noProof/>
          <w:sz w:val="22"/>
          <w:szCs w:val="22"/>
        </w:rPr>
        <w:t>28</w:t>
      </w:r>
      <w:r w:rsidRPr="00F046B6">
        <w:rPr>
          <w:rFonts w:cs="Times New Roman"/>
          <w:i/>
          <w:noProof/>
          <w:sz w:val="22"/>
          <w:szCs w:val="22"/>
        </w:rPr>
        <w:fldChar w:fldCharType="end"/>
      </w:r>
      <w:r w:rsidRPr="00F046B6">
        <w:rPr>
          <w:rFonts w:cs="Times New Roman"/>
          <w:i/>
          <w:noProof/>
          <w:sz w:val="22"/>
          <w:szCs w:val="22"/>
        </w:rPr>
        <w:t>: Summary of costs and benefits of policy options</w:t>
      </w:r>
      <w:r w:rsidR="003B5946">
        <w:rPr>
          <w:rFonts w:cs="Times New Roman"/>
          <w:i/>
          <w:noProof/>
          <w:sz w:val="22"/>
          <w:szCs w:val="22"/>
        </w:rPr>
        <w:t>, including external costs savings,</w:t>
      </w:r>
      <w:r>
        <w:rPr>
          <w:rFonts w:cs="Times New Roman"/>
          <w:i/>
          <w:noProof/>
          <w:sz w:val="22"/>
          <w:szCs w:val="22"/>
        </w:rPr>
        <w:t xml:space="preserve"> in the ‘low </w:t>
      </w:r>
      <w:r w:rsidR="005423D8">
        <w:rPr>
          <w:rFonts w:cs="Times New Roman"/>
          <w:i/>
          <w:noProof/>
          <w:sz w:val="22"/>
          <w:szCs w:val="22"/>
        </w:rPr>
        <w:t xml:space="preserve">modal shift </w:t>
      </w:r>
      <w:r>
        <w:rPr>
          <w:rFonts w:cs="Times New Roman"/>
          <w:i/>
          <w:noProof/>
          <w:sz w:val="22"/>
          <w:szCs w:val="22"/>
        </w:rPr>
        <w:t>case’ and base case</w:t>
      </w:r>
      <w:r w:rsidR="006811C4">
        <w:rPr>
          <w:rFonts w:cs="Times New Roman"/>
          <w:i/>
          <w:noProof/>
          <w:sz w:val="22"/>
          <w:szCs w:val="22"/>
        </w:rPr>
        <w:t>, expressed as</w:t>
      </w:r>
      <w:r w:rsidRPr="00F046B6">
        <w:rPr>
          <w:rFonts w:cs="Times New Roman"/>
          <w:i/>
          <w:noProof/>
          <w:sz w:val="22"/>
          <w:szCs w:val="22"/>
        </w:rPr>
        <w:t xml:space="preserve"> present value over 2028-2050 compared to the baseline (in million EUR, 202</w:t>
      </w:r>
      <w:r>
        <w:rPr>
          <w:rFonts w:cs="Times New Roman"/>
          <w:i/>
          <w:noProof/>
          <w:sz w:val="22"/>
          <w:szCs w:val="22"/>
        </w:rPr>
        <w:t>4</w:t>
      </w:r>
      <w:r w:rsidRPr="00F046B6">
        <w:rPr>
          <w:rFonts w:cs="Times New Roman"/>
          <w:i/>
          <w:noProof/>
          <w:sz w:val="22"/>
          <w:szCs w:val="22"/>
        </w:rPr>
        <w:t xml:space="preserve"> prices)</w:t>
      </w:r>
    </w:p>
    <w:tbl>
      <w:tblPr>
        <w:tblW w:w="5000" w:type="pct"/>
        <w:tblLook w:val="04A0" w:firstRow="1" w:lastRow="0" w:firstColumn="1" w:lastColumn="0" w:noHBand="0" w:noVBand="1"/>
      </w:tblPr>
      <w:tblGrid>
        <w:gridCol w:w="4551"/>
        <w:gridCol w:w="1264"/>
        <w:gridCol w:w="1264"/>
        <w:gridCol w:w="1264"/>
        <w:gridCol w:w="1260"/>
      </w:tblGrid>
      <w:tr w:rsidR="009B345C" w14:paraId="553F4BBE" w14:textId="77777777" w:rsidTr="009B345C">
        <w:trPr>
          <w:trHeight w:val="255"/>
          <w:tblHeader/>
        </w:trPr>
        <w:tc>
          <w:tcPr>
            <w:tcW w:w="2370" w:type="pct"/>
            <w:tcBorders>
              <w:top w:val="single" w:sz="4" w:space="0" w:color="auto"/>
              <w:left w:val="single" w:sz="4" w:space="0" w:color="auto"/>
              <w:bottom w:val="single" w:sz="4" w:space="0" w:color="auto"/>
              <w:right w:val="single" w:sz="4" w:space="0" w:color="auto"/>
            </w:tcBorders>
            <w:shd w:val="clear" w:color="000000" w:fill="0070C0"/>
            <w:hideMark/>
          </w:tcPr>
          <w:p w14:paraId="349BBD9C" w14:textId="77777777" w:rsidR="00FD3F39" w:rsidRDefault="00FD3F39">
            <w:pPr>
              <w:rPr>
                <w:b/>
                <w:bCs/>
                <w:noProof/>
                <w:color w:val="FFFFFF"/>
                <w:sz w:val="20"/>
                <w:szCs w:val="20"/>
              </w:rPr>
            </w:pPr>
            <w:r>
              <w:rPr>
                <w:b/>
                <w:bCs/>
                <w:noProof/>
                <w:color w:val="FFFFFF"/>
                <w:sz w:val="20"/>
                <w:szCs w:val="20"/>
              </w:rPr>
              <w:t> </w:t>
            </w:r>
          </w:p>
        </w:tc>
        <w:tc>
          <w:tcPr>
            <w:tcW w:w="658" w:type="pct"/>
            <w:tcBorders>
              <w:top w:val="single" w:sz="4" w:space="0" w:color="auto"/>
              <w:left w:val="nil"/>
              <w:bottom w:val="single" w:sz="4" w:space="0" w:color="auto"/>
              <w:right w:val="single" w:sz="4" w:space="0" w:color="auto"/>
            </w:tcBorders>
            <w:shd w:val="clear" w:color="000000" w:fill="0070C0"/>
            <w:hideMark/>
          </w:tcPr>
          <w:p w14:paraId="55C5E250" w14:textId="77777777" w:rsidR="00FD3F39" w:rsidRDefault="00FD3F39">
            <w:pPr>
              <w:jc w:val="center"/>
              <w:rPr>
                <w:b/>
                <w:bCs/>
                <w:noProof/>
                <w:color w:val="FFFFFF"/>
                <w:sz w:val="20"/>
                <w:szCs w:val="20"/>
              </w:rPr>
            </w:pPr>
            <w:r>
              <w:rPr>
                <w:b/>
                <w:bCs/>
                <w:noProof/>
                <w:color w:val="FFFFFF"/>
                <w:sz w:val="20"/>
                <w:szCs w:val="20"/>
              </w:rPr>
              <w:t>PO1</w:t>
            </w:r>
          </w:p>
        </w:tc>
        <w:tc>
          <w:tcPr>
            <w:tcW w:w="658" w:type="pct"/>
            <w:tcBorders>
              <w:top w:val="single" w:sz="4" w:space="0" w:color="auto"/>
              <w:left w:val="nil"/>
              <w:bottom w:val="single" w:sz="4" w:space="0" w:color="auto"/>
              <w:right w:val="single" w:sz="4" w:space="0" w:color="auto"/>
            </w:tcBorders>
            <w:shd w:val="clear" w:color="000000" w:fill="0070C0"/>
            <w:hideMark/>
          </w:tcPr>
          <w:p w14:paraId="2387EC55" w14:textId="77777777" w:rsidR="00FD3F39" w:rsidRDefault="00FD3F39">
            <w:pPr>
              <w:jc w:val="center"/>
              <w:rPr>
                <w:b/>
                <w:bCs/>
                <w:noProof/>
                <w:color w:val="FFFFFF"/>
                <w:sz w:val="20"/>
                <w:szCs w:val="20"/>
              </w:rPr>
            </w:pPr>
            <w:r>
              <w:rPr>
                <w:b/>
                <w:bCs/>
                <w:noProof/>
                <w:color w:val="FFFFFF"/>
                <w:sz w:val="20"/>
                <w:szCs w:val="20"/>
              </w:rPr>
              <w:t>PO2</w:t>
            </w:r>
          </w:p>
        </w:tc>
        <w:tc>
          <w:tcPr>
            <w:tcW w:w="658" w:type="pct"/>
            <w:tcBorders>
              <w:top w:val="single" w:sz="4" w:space="0" w:color="auto"/>
              <w:left w:val="nil"/>
              <w:bottom w:val="single" w:sz="4" w:space="0" w:color="auto"/>
              <w:right w:val="single" w:sz="4" w:space="0" w:color="auto"/>
            </w:tcBorders>
            <w:shd w:val="clear" w:color="000000" w:fill="0070C0"/>
            <w:hideMark/>
          </w:tcPr>
          <w:p w14:paraId="3082477B" w14:textId="77777777" w:rsidR="00FD3F39" w:rsidRDefault="00FD3F39">
            <w:pPr>
              <w:jc w:val="center"/>
              <w:rPr>
                <w:b/>
                <w:bCs/>
                <w:noProof/>
                <w:color w:val="FFFFFF"/>
                <w:sz w:val="20"/>
                <w:szCs w:val="20"/>
              </w:rPr>
            </w:pPr>
            <w:r>
              <w:rPr>
                <w:b/>
                <w:bCs/>
                <w:noProof/>
                <w:color w:val="FFFFFF"/>
                <w:sz w:val="20"/>
                <w:szCs w:val="20"/>
              </w:rPr>
              <w:t>PO3</w:t>
            </w:r>
          </w:p>
        </w:tc>
        <w:tc>
          <w:tcPr>
            <w:tcW w:w="656" w:type="pct"/>
            <w:tcBorders>
              <w:top w:val="single" w:sz="4" w:space="0" w:color="auto"/>
              <w:left w:val="nil"/>
              <w:bottom w:val="single" w:sz="4" w:space="0" w:color="auto"/>
              <w:right w:val="single" w:sz="4" w:space="0" w:color="auto"/>
            </w:tcBorders>
            <w:shd w:val="clear" w:color="000000" w:fill="0070C0"/>
            <w:hideMark/>
          </w:tcPr>
          <w:p w14:paraId="10FD01EB" w14:textId="77777777" w:rsidR="00FD3F39" w:rsidRDefault="00FD3F39">
            <w:pPr>
              <w:jc w:val="center"/>
              <w:rPr>
                <w:b/>
                <w:bCs/>
                <w:noProof/>
                <w:color w:val="FFFFFF"/>
                <w:sz w:val="20"/>
                <w:szCs w:val="20"/>
              </w:rPr>
            </w:pPr>
            <w:r>
              <w:rPr>
                <w:b/>
                <w:bCs/>
                <w:noProof/>
                <w:color w:val="FFFFFF"/>
                <w:sz w:val="20"/>
                <w:szCs w:val="20"/>
              </w:rPr>
              <w:t>PO4</w:t>
            </w:r>
          </w:p>
        </w:tc>
      </w:tr>
      <w:tr w:rsidR="009B345C" w14:paraId="2CA1B4AC" w14:textId="77777777" w:rsidTr="009B345C">
        <w:trPr>
          <w:trHeight w:val="255"/>
        </w:trPr>
        <w:tc>
          <w:tcPr>
            <w:tcW w:w="2370" w:type="pct"/>
            <w:tcBorders>
              <w:top w:val="nil"/>
              <w:left w:val="single" w:sz="4" w:space="0" w:color="auto"/>
              <w:bottom w:val="single" w:sz="4" w:space="0" w:color="auto"/>
              <w:right w:val="single" w:sz="4" w:space="0" w:color="auto"/>
            </w:tcBorders>
            <w:shd w:val="clear" w:color="000000" w:fill="BDE3FF"/>
            <w:noWrap/>
            <w:hideMark/>
          </w:tcPr>
          <w:p w14:paraId="78499AC7" w14:textId="77777777" w:rsidR="00FD3F39" w:rsidRDefault="00FD3F39">
            <w:pPr>
              <w:rPr>
                <w:b/>
                <w:bCs/>
                <w:noProof/>
                <w:color w:val="000000"/>
                <w:sz w:val="20"/>
                <w:szCs w:val="20"/>
              </w:rPr>
            </w:pPr>
            <w:r>
              <w:rPr>
                <w:b/>
                <w:bCs/>
                <w:noProof/>
                <w:color w:val="000000"/>
                <w:sz w:val="20"/>
                <w:szCs w:val="20"/>
              </w:rPr>
              <w:t>Base case</w:t>
            </w:r>
          </w:p>
        </w:tc>
        <w:tc>
          <w:tcPr>
            <w:tcW w:w="658" w:type="pct"/>
            <w:tcBorders>
              <w:top w:val="nil"/>
              <w:left w:val="nil"/>
              <w:bottom w:val="single" w:sz="4" w:space="0" w:color="auto"/>
              <w:right w:val="single" w:sz="4" w:space="0" w:color="auto"/>
            </w:tcBorders>
            <w:shd w:val="clear" w:color="000000" w:fill="BDE3FF"/>
            <w:noWrap/>
            <w:hideMark/>
          </w:tcPr>
          <w:p w14:paraId="3AC3AD91" w14:textId="77777777" w:rsidR="00FD3F39" w:rsidRDefault="00FD3F39">
            <w:pPr>
              <w:rPr>
                <w:noProof/>
                <w:color w:val="000000"/>
                <w:sz w:val="20"/>
                <w:szCs w:val="20"/>
              </w:rPr>
            </w:pPr>
            <w:r>
              <w:rPr>
                <w:noProof/>
                <w:color w:val="000000"/>
                <w:sz w:val="20"/>
                <w:szCs w:val="20"/>
              </w:rPr>
              <w:t> </w:t>
            </w:r>
          </w:p>
        </w:tc>
        <w:tc>
          <w:tcPr>
            <w:tcW w:w="658" w:type="pct"/>
            <w:tcBorders>
              <w:top w:val="nil"/>
              <w:left w:val="nil"/>
              <w:bottom w:val="single" w:sz="4" w:space="0" w:color="auto"/>
              <w:right w:val="single" w:sz="4" w:space="0" w:color="auto"/>
            </w:tcBorders>
            <w:shd w:val="clear" w:color="000000" w:fill="BDE3FF"/>
            <w:noWrap/>
            <w:hideMark/>
          </w:tcPr>
          <w:p w14:paraId="7FE67574" w14:textId="77777777" w:rsidR="00FD3F39" w:rsidRDefault="00FD3F39">
            <w:pPr>
              <w:rPr>
                <w:noProof/>
                <w:color w:val="000000"/>
                <w:sz w:val="20"/>
                <w:szCs w:val="20"/>
              </w:rPr>
            </w:pPr>
            <w:r>
              <w:rPr>
                <w:noProof/>
                <w:color w:val="000000"/>
                <w:sz w:val="20"/>
                <w:szCs w:val="20"/>
              </w:rPr>
              <w:t> </w:t>
            </w:r>
          </w:p>
        </w:tc>
        <w:tc>
          <w:tcPr>
            <w:tcW w:w="658" w:type="pct"/>
            <w:tcBorders>
              <w:top w:val="nil"/>
              <w:left w:val="nil"/>
              <w:bottom w:val="single" w:sz="4" w:space="0" w:color="auto"/>
              <w:right w:val="single" w:sz="4" w:space="0" w:color="auto"/>
            </w:tcBorders>
            <w:shd w:val="clear" w:color="000000" w:fill="BDE3FF"/>
            <w:noWrap/>
            <w:hideMark/>
          </w:tcPr>
          <w:p w14:paraId="4734E4EB" w14:textId="77777777" w:rsidR="00FD3F39" w:rsidRDefault="00FD3F39">
            <w:pPr>
              <w:rPr>
                <w:noProof/>
                <w:color w:val="000000"/>
                <w:sz w:val="20"/>
                <w:szCs w:val="20"/>
              </w:rPr>
            </w:pPr>
            <w:r>
              <w:rPr>
                <w:noProof/>
                <w:color w:val="000000"/>
                <w:sz w:val="20"/>
                <w:szCs w:val="20"/>
              </w:rPr>
              <w:t> </w:t>
            </w:r>
          </w:p>
        </w:tc>
        <w:tc>
          <w:tcPr>
            <w:tcW w:w="656" w:type="pct"/>
            <w:tcBorders>
              <w:top w:val="nil"/>
              <w:left w:val="nil"/>
              <w:bottom w:val="single" w:sz="4" w:space="0" w:color="auto"/>
              <w:right w:val="single" w:sz="4" w:space="0" w:color="auto"/>
            </w:tcBorders>
            <w:shd w:val="clear" w:color="000000" w:fill="BDE3FF"/>
            <w:noWrap/>
            <w:hideMark/>
          </w:tcPr>
          <w:p w14:paraId="533ED5ED" w14:textId="77777777" w:rsidR="00FD3F39" w:rsidRDefault="00FD3F39">
            <w:pPr>
              <w:rPr>
                <w:noProof/>
                <w:color w:val="000000"/>
                <w:sz w:val="20"/>
                <w:szCs w:val="20"/>
              </w:rPr>
            </w:pPr>
            <w:r>
              <w:rPr>
                <w:noProof/>
                <w:color w:val="000000"/>
                <w:sz w:val="20"/>
                <w:szCs w:val="20"/>
              </w:rPr>
              <w:t> </w:t>
            </w:r>
          </w:p>
        </w:tc>
      </w:tr>
      <w:tr w:rsidR="009B345C" w14:paraId="75A0225B" w14:textId="77777777" w:rsidTr="009B345C">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529D0094" w14:textId="77777777" w:rsidR="00FD3F39" w:rsidRDefault="00FD3F39">
            <w:pPr>
              <w:rPr>
                <w:noProof/>
                <w:color w:val="000000"/>
                <w:sz w:val="20"/>
                <w:szCs w:val="20"/>
              </w:rPr>
            </w:pPr>
            <w:r>
              <w:rPr>
                <w:noProof/>
                <w:color w:val="000000"/>
                <w:sz w:val="20"/>
                <w:szCs w:val="20"/>
              </w:rPr>
              <w:t>Total costs</w:t>
            </w:r>
          </w:p>
        </w:tc>
        <w:tc>
          <w:tcPr>
            <w:tcW w:w="658" w:type="pct"/>
            <w:tcBorders>
              <w:top w:val="nil"/>
              <w:left w:val="nil"/>
              <w:bottom w:val="single" w:sz="4" w:space="0" w:color="auto"/>
              <w:right w:val="single" w:sz="4" w:space="0" w:color="auto"/>
            </w:tcBorders>
            <w:shd w:val="clear" w:color="000000" w:fill="FFFFFF"/>
            <w:noWrap/>
            <w:hideMark/>
          </w:tcPr>
          <w:p w14:paraId="6C2BFC4A" w14:textId="77777777" w:rsidR="00FD3F39" w:rsidRDefault="00FD3F39">
            <w:pPr>
              <w:jc w:val="right"/>
              <w:rPr>
                <w:noProof/>
                <w:color w:val="000000"/>
                <w:sz w:val="20"/>
                <w:szCs w:val="20"/>
              </w:rPr>
            </w:pPr>
            <w:r>
              <w:rPr>
                <w:noProof/>
                <w:color w:val="000000"/>
                <w:sz w:val="20"/>
                <w:szCs w:val="20"/>
              </w:rPr>
              <w:t>234</w:t>
            </w:r>
          </w:p>
        </w:tc>
        <w:tc>
          <w:tcPr>
            <w:tcW w:w="658" w:type="pct"/>
            <w:tcBorders>
              <w:top w:val="nil"/>
              <w:left w:val="nil"/>
              <w:bottom w:val="single" w:sz="4" w:space="0" w:color="auto"/>
              <w:right w:val="single" w:sz="4" w:space="0" w:color="auto"/>
            </w:tcBorders>
            <w:shd w:val="clear" w:color="000000" w:fill="FFFFFF"/>
            <w:noWrap/>
            <w:hideMark/>
          </w:tcPr>
          <w:p w14:paraId="6E7A8A82" w14:textId="77777777" w:rsidR="00FD3F39" w:rsidRDefault="00FD3F39">
            <w:pPr>
              <w:jc w:val="right"/>
              <w:rPr>
                <w:noProof/>
                <w:color w:val="000000"/>
                <w:sz w:val="20"/>
                <w:szCs w:val="20"/>
              </w:rPr>
            </w:pPr>
            <w:r>
              <w:rPr>
                <w:noProof/>
                <w:color w:val="000000"/>
                <w:sz w:val="20"/>
                <w:szCs w:val="20"/>
              </w:rPr>
              <w:t>317</w:t>
            </w:r>
          </w:p>
        </w:tc>
        <w:tc>
          <w:tcPr>
            <w:tcW w:w="658" w:type="pct"/>
            <w:tcBorders>
              <w:top w:val="nil"/>
              <w:left w:val="nil"/>
              <w:bottom w:val="single" w:sz="4" w:space="0" w:color="auto"/>
              <w:right w:val="single" w:sz="4" w:space="0" w:color="auto"/>
            </w:tcBorders>
            <w:shd w:val="clear" w:color="000000" w:fill="FFFFFF"/>
            <w:noWrap/>
            <w:hideMark/>
          </w:tcPr>
          <w:p w14:paraId="6E207F28" w14:textId="77777777" w:rsidR="00FD3F39" w:rsidRDefault="00FD3F39">
            <w:pPr>
              <w:jc w:val="right"/>
              <w:rPr>
                <w:noProof/>
                <w:color w:val="000000"/>
                <w:sz w:val="20"/>
                <w:szCs w:val="20"/>
              </w:rPr>
            </w:pPr>
            <w:r>
              <w:rPr>
                <w:noProof/>
                <w:color w:val="000000"/>
                <w:sz w:val="20"/>
                <w:szCs w:val="20"/>
              </w:rPr>
              <w:t>306</w:t>
            </w:r>
          </w:p>
        </w:tc>
        <w:tc>
          <w:tcPr>
            <w:tcW w:w="656" w:type="pct"/>
            <w:tcBorders>
              <w:top w:val="nil"/>
              <w:left w:val="nil"/>
              <w:bottom w:val="single" w:sz="4" w:space="0" w:color="auto"/>
              <w:right w:val="single" w:sz="4" w:space="0" w:color="auto"/>
            </w:tcBorders>
            <w:shd w:val="clear" w:color="000000" w:fill="FFFFFF"/>
            <w:noWrap/>
            <w:hideMark/>
          </w:tcPr>
          <w:p w14:paraId="6FBB0AF4" w14:textId="77777777" w:rsidR="00FD3F39" w:rsidRDefault="00FD3F39">
            <w:pPr>
              <w:jc w:val="right"/>
              <w:rPr>
                <w:noProof/>
                <w:color w:val="000000"/>
                <w:sz w:val="20"/>
                <w:szCs w:val="20"/>
              </w:rPr>
            </w:pPr>
            <w:r>
              <w:rPr>
                <w:noProof/>
                <w:color w:val="000000"/>
                <w:sz w:val="20"/>
                <w:szCs w:val="20"/>
              </w:rPr>
              <w:t>469</w:t>
            </w:r>
          </w:p>
        </w:tc>
      </w:tr>
      <w:tr w:rsidR="009B345C" w14:paraId="653177A2" w14:textId="77777777" w:rsidTr="009B345C">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1B52F6AB" w14:textId="77777777" w:rsidR="00FD3F39" w:rsidRDefault="00FD3F39">
            <w:pPr>
              <w:rPr>
                <w:noProof/>
                <w:color w:val="000000"/>
                <w:sz w:val="20"/>
                <w:szCs w:val="20"/>
              </w:rPr>
            </w:pPr>
            <w:r>
              <w:rPr>
                <w:noProof/>
                <w:color w:val="000000"/>
                <w:sz w:val="20"/>
                <w:szCs w:val="20"/>
              </w:rPr>
              <w:t>Total benefits, of which:</w:t>
            </w:r>
          </w:p>
        </w:tc>
        <w:tc>
          <w:tcPr>
            <w:tcW w:w="658" w:type="pct"/>
            <w:tcBorders>
              <w:top w:val="nil"/>
              <w:left w:val="nil"/>
              <w:bottom w:val="single" w:sz="4" w:space="0" w:color="auto"/>
              <w:right w:val="single" w:sz="4" w:space="0" w:color="auto"/>
            </w:tcBorders>
            <w:shd w:val="clear" w:color="000000" w:fill="FFFFFF"/>
            <w:noWrap/>
            <w:hideMark/>
          </w:tcPr>
          <w:p w14:paraId="58CDD077" w14:textId="77777777" w:rsidR="00FD3F39" w:rsidRDefault="00FD3F39">
            <w:pPr>
              <w:jc w:val="right"/>
              <w:rPr>
                <w:noProof/>
                <w:color w:val="000000"/>
                <w:sz w:val="20"/>
                <w:szCs w:val="20"/>
              </w:rPr>
            </w:pPr>
            <w:r>
              <w:rPr>
                <w:noProof/>
                <w:color w:val="000000"/>
                <w:sz w:val="20"/>
                <w:szCs w:val="20"/>
              </w:rPr>
              <w:t>12,711</w:t>
            </w:r>
          </w:p>
        </w:tc>
        <w:tc>
          <w:tcPr>
            <w:tcW w:w="658" w:type="pct"/>
            <w:tcBorders>
              <w:top w:val="nil"/>
              <w:left w:val="nil"/>
              <w:bottom w:val="single" w:sz="4" w:space="0" w:color="auto"/>
              <w:right w:val="single" w:sz="4" w:space="0" w:color="auto"/>
            </w:tcBorders>
            <w:shd w:val="clear" w:color="000000" w:fill="FFFFFF"/>
            <w:noWrap/>
            <w:hideMark/>
          </w:tcPr>
          <w:p w14:paraId="6AC356F8" w14:textId="77777777" w:rsidR="00FD3F39" w:rsidRDefault="00FD3F39">
            <w:pPr>
              <w:jc w:val="right"/>
              <w:rPr>
                <w:noProof/>
                <w:color w:val="000000"/>
                <w:sz w:val="20"/>
                <w:szCs w:val="20"/>
              </w:rPr>
            </w:pPr>
            <w:r>
              <w:rPr>
                <w:noProof/>
                <w:color w:val="000000"/>
                <w:sz w:val="20"/>
                <w:szCs w:val="20"/>
              </w:rPr>
              <w:t>26,118</w:t>
            </w:r>
          </w:p>
        </w:tc>
        <w:tc>
          <w:tcPr>
            <w:tcW w:w="658" w:type="pct"/>
            <w:tcBorders>
              <w:top w:val="nil"/>
              <w:left w:val="nil"/>
              <w:bottom w:val="single" w:sz="4" w:space="0" w:color="auto"/>
              <w:right w:val="single" w:sz="4" w:space="0" w:color="auto"/>
            </w:tcBorders>
            <w:shd w:val="clear" w:color="000000" w:fill="FFFFFF"/>
            <w:noWrap/>
            <w:hideMark/>
          </w:tcPr>
          <w:p w14:paraId="62EC5DF4" w14:textId="77777777" w:rsidR="00FD3F39" w:rsidRDefault="00FD3F39">
            <w:pPr>
              <w:jc w:val="right"/>
              <w:rPr>
                <w:noProof/>
                <w:color w:val="000000"/>
                <w:sz w:val="20"/>
                <w:szCs w:val="20"/>
              </w:rPr>
            </w:pPr>
            <w:r>
              <w:rPr>
                <w:noProof/>
                <w:color w:val="000000"/>
                <w:sz w:val="20"/>
                <w:szCs w:val="20"/>
              </w:rPr>
              <w:t>37,597</w:t>
            </w:r>
          </w:p>
        </w:tc>
        <w:tc>
          <w:tcPr>
            <w:tcW w:w="656" w:type="pct"/>
            <w:tcBorders>
              <w:top w:val="nil"/>
              <w:left w:val="nil"/>
              <w:bottom w:val="single" w:sz="4" w:space="0" w:color="auto"/>
              <w:right w:val="single" w:sz="4" w:space="0" w:color="auto"/>
            </w:tcBorders>
            <w:shd w:val="clear" w:color="000000" w:fill="FFFFFF"/>
            <w:noWrap/>
            <w:hideMark/>
          </w:tcPr>
          <w:p w14:paraId="20DD4F21" w14:textId="77777777" w:rsidR="00FD3F39" w:rsidRDefault="00FD3F39">
            <w:pPr>
              <w:jc w:val="right"/>
              <w:rPr>
                <w:noProof/>
                <w:color w:val="000000"/>
                <w:sz w:val="20"/>
                <w:szCs w:val="20"/>
              </w:rPr>
            </w:pPr>
            <w:r>
              <w:rPr>
                <w:noProof/>
                <w:color w:val="000000"/>
                <w:sz w:val="20"/>
                <w:szCs w:val="20"/>
              </w:rPr>
              <w:t>28,930</w:t>
            </w:r>
          </w:p>
        </w:tc>
      </w:tr>
      <w:tr w:rsidR="009B345C" w14:paraId="71109C1E" w14:textId="77777777" w:rsidTr="009B345C">
        <w:trPr>
          <w:trHeight w:val="510"/>
        </w:trPr>
        <w:tc>
          <w:tcPr>
            <w:tcW w:w="2370" w:type="pct"/>
            <w:tcBorders>
              <w:top w:val="nil"/>
              <w:left w:val="single" w:sz="4" w:space="0" w:color="auto"/>
              <w:bottom w:val="single" w:sz="4" w:space="0" w:color="auto"/>
              <w:right w:val="single" w:sz="4" w:space="0" w:color="auto"/>
            </w:tcBorders>
            <w:shd w:val="clear" w:color="000000" w:fill="FFFFFF"/>
            <w:hideMark/>
          </w:tcPr>
          <w:p w14:paraId="35C7691B" w14:textId="77777777" w:rsidR="00FD3F39" w:rsidRDefault="00FD3F39" w:rsidP="009B345C">
            <w:pPr>
              <w:ind w:left="164"/>
              <w:rPr>
                <w:noProof/>
                <w:color w:val="000000"/>
                <w:sz w:val="20"/>
                <w:szCs w:val="20"/>
              </w:rPr>
            </w:pPr>
            <w:r>
              <w:rPr>
                <w:noProof/>
                <w:color w:val="000000"/>
                <w:sz w:val="20"/>
                <w:szCs w:val="20"/>
              </w:rPr>
              <w:t>Adjustment costs savings for MDMS platforms and transport operators</w:t>
            </w:r>
          </w:p>
        </w:tc>
        <w:tc>
          <w:tcPr>
            <w:tcW w:w="658" w:type="pct"/>
            <w:tcBorders>
              <w:top w:val="nil"/>
              <w:left w:val="nil"/>
              <w:bottom w:val="single" w:sz="4" w:space="0" w:color="auto"/>
              <w:right w:val="single" w:sz="4" w:space="0" w:color="auto"/>
            </w:tcBorders>
            <w:shd w:val="clear" w:color="000000" w:fill="FFFFFF"/>
            <w:noWrap/>
            <w:hideMark/>
          </w:tcPr>
          <w:p w14:paraId="3E17EFD3" w14:textId="77777777" w:rsidR="00FD3F39" w:rsidRDefault="00FD3F39">
            <w:pPr>
              <w:jc w:val="right"/>
              <w:rPr>
                <w:noProof/>
                <w:color w:val="000000"/>
                <w:sz w:val="20"/>
                <w:szCs w:val="20"/>
              </w:rPr>
            </w:pPr>
            <w:r>
              <w:rPr>
                <w:noProof/>
                <w:color w:val="000000"/>
                <w:sz w:val="20"/>
                <w:szCs w:val="20"/>
              </w:rPr>
              <w:t>26</w:t>
            </w:r>
          </w:p>
        </w:tc>
        <w:tc>
          <w:tcPr>
            <w:tcW w:w="658" w:type="pct"/>
            <w:tcBorders>
              <w:top w:val="nil"/>
              <w:left w:val="nil"/>
              <w:bottom w:val="single" w:sz="4" w:space="0" w:color="auto"/>
              <w:right w:val="single" w:sz="4" w:space="0" w:color="auto"/>
            </w:tcBorders>
            <w:shd w:val="clear" w:color="000000" w:fill="FFFFFF"/>
            <w:noWrap/>
            <w:hideMark/>
          </w:tcPr>
          <w:p w14:paraId="37584247" w14:textId="77777777" w:rsidR="00FD3F39" w:rsidRDefault="00FD3F39">
            <w:pPr>
              <w:jc w:val="right"/>
              <w:rPr>
                <w:noProof/>
                <w:color w:val="000000"/>
                <w:sz w:val="20"/>
                <w:szCs w:val="20"/>
              </w:rPr>
            </w:pPr>
            <w:r>
              <w:rPr>
                <w:noProof/>
                <w:color w:val="000000"/>
                <w:sz w:val="20"/>
                <w:szCs w:val="20"/>
              </w:rPr>
              <w:t>298</w:t>
            </w:r>
          </w:p>
        </w:tc>
        <w:tc>
          <w:tcPr>
            <w:tcW w:w="658" w:type="pct"/>
            <w:tcBorders>
              <w:top w:val="nil"/>
              <w:left w:val="nil"/>
              <w:bottom w:val="single" w:sz="4" w:space="0" w:color="auto"/>
              <w:right w:val="single" w:sz="4" w:space="0" w:color="auto"/>
            </w:tcBorders>
            <w:shd w:val="clear" w:color="000000" w:fill="FFFFFF"/>
            <w:noWrap/>
            <w:hideMark/>
          </w:tcPr>
          <w:p w14:paraId="4FF3625A" w14:textId="77777777" w:rsidR="00FD3F39" w:rsidRDefault="00FD3F39">
            <w:pPr>
              <w:jc w:val="right"/>
              <w:rPr>
                <w:noProof/>
                <w:color w:val="000000"/>
                <w:sz w:val="20"/>
                <w:szCs w:val="20"/>
              </w:rPr>
            </w:pPr>
            <w:r>
              <w:rPr>
                <w:noProof/>
                <w:color w:val="000000"/>
                <w:sz w:val="20"/>
                <w:szCs w:val="20"/>
              </w:rPr>
              <w:t>268</w:t>
            </w:r>
          </w:p>
        </w:tc>
        <w:tc>
          <w:tcPr>
            <w:tcW w:w="656" w:type="pct"/>
            <w:tcBorders>
              <w:top w:val="nil"/>
              <w:left w:val="nil"/>
              <w:bottom w:val="single" w:sz="4" w:space="0" w:color="auto"/>
              <w:right w:val="single" w:sz="4" w:space="0" w:color="auto"/>
            </w:tcBorders>
            <w:shd w:val="clear" w:color="000000" w:fill="FFFFFF"/>
            <w:noWrap/>
            <w:hideMark/>
          </w:tcPr>
          <w:p w14:paraId="4710F840" w14:textId="77777777" w:rsidR="00FD3F39" w:rsidRDefault="00FD3F39">
            <w:pPr>
              <w:jc w:val="right"/>
              <w:rPr>
                <w:noProof/>
                <w:color w:val="000000"/>
                <w:sz w:val="20"/>
                <w:szCs w:val="20"/>
              </w:rPr>
            </w:pPr>
            <w:r>
              <w:rPr>
                <w:noProof/>
                <w:color w:val="000000"/>
                <w:sz w:val="20"/>
                <w:szCs w:val="20"/>
              </w:rPr>
              <w:t>285</w:t>
            </w:r>
          </w:p>
        </w:tc>
      </w:tr>
      <w:tr w:rsidR="009B345C" w14:paraId="2DE996A8" w14:textId="77777777" w:rsidTr="009B345C">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2542282E" w14:textId="77777777" w:rsidR="00FD3F39" w:rsidRDefault="00FD3F39" w:rsidP="009B345C">
            <w:pPr>
              <w:ind w:left="164"/>
              <w:rPr>
                <w:noProof/>
                <w:color w:val="000000"/>
                <w:sz w:val="20"/>
                <w:szCs w:val="20"/>
              </w:rPr>
            </w:pPr>
            <w:r>
              <w:rPr>
                <w:noProof/>
                <w:color w:val="000000"/>
                <w:sz w:val="20"/>
                <w:szCs w:val="20"/>
              </w:rPr>
              <w:t>External costs savings</w:t>
            </w:r>
          </w:p>
        </w:tc>
        <w:tc>
          <w:tcPr>
            <w:tcW w:w="658" w:type="pct"/>
            <w:tcBorders>
              <w:top w:val="nil"/>
              <w:left w:val="nil"/>
              <w:bottom w:val="single" w:sz="4" w:space="0" w:color="auto"/>
              <w:right w:val="single" w:sz="4" w:space="0" w:color="auto"/>
            </w:tcBorders>
            <w:shd w:val="clear" w:color="000000" w:fill="FFFFFF"/>
            <w:noWrap/>
            <w:hideMark/>
          </w:tcPr>
          <w:p w14:paraId="760C3B28" w14:textId="77777777" w:rsidR="00FD3F39" w:rsidRDefault="00FD3F39">
            <w:pPr>
              <w:jc w:val="right"/>
              <w:rPr>
                <w:noProof/>
                <w:color w:val="000000"/>
                <w:sz w:val="20"/>
                <w:szCs w:val="20"/>
              </w:rPr>
            </w:pPr>
            <w:r>
              <w:rPr>
                <w:noProof/>
                <w:color w:val="000000"/>
                <w:sz w:val="20"/>
                <w:szCs w:val="20"/>
              </w:rPr>
              <w:t>12,685</w:t>
            </w:r>
          </w:p>
        </w:tc>
        <w:tc>
          <w:tcPr>
            <w:tcW w:w="658" w:type="pct"/>
            <w:tcBorders>
              <w:top w:val="nil"/>
              <w:left w:val="nil"/>
              <w:bottom w:val="single" w:sz="4" w:space="0" w:color="auto"/>
              <w:right w:val="single" w:sz="4" w:space="0" w:color="auto"/>
            </w:tcBorders>
            <w:shd w:val="clear" w:color="000000" w:fill="FFFFFF"/>
            <w:noWrap/>
            <w:hideMark/>
          </w:tcPr>
          <w:p w14:paraId="4E46748D" w14:textId="77777777" w:rsidR="00FD3F39" w:rsidRDefault="00FD3F39">
            <w:pPr>
              <w:jc w:val="right"/>
              <w:rPr>
                <w:noProof/>
                <w:color w:val="000000"/>
                <w:sz w:val="20"/>
                <w:szCs w:val="20"/>
              </w:rPr>
            </w:pPr>
            <w:r>
              <w:rPr>
                <w:noProof/>
                <w:color w:val="000000"/>
                <w:sz w:val="20"/>
                <w:szCs w:val="20"/>
              </w:rPr>
              <w:t>25,820</w:t>
            </w:r>
          </w:p>
        </w:tc>
        <w:tc>
          <w:tcPr>
            <w:tcW w:w="658" w:type="pct"/>
            <w:tcBorders>
              <w:top w:val="nil"/>
              <w:left w:val="nil"/>
              <w:bottom w:val="single" w:sz="4" w:space="0" w:color="auto"/>
              <w:right w:val="single" w:sz="4" w:space="0" w:color="auto"/>
            </w:tcBorders>
            <w:shd w:val="clear" w:color="000000" w:fill="FFFFFF"/>
            <w:noWrap/>
            <w:hideMark/>
          </w:tcPr>
          <w:p w14:paraId="7FF22B59" w14:textId="77777777" w:rsidR="00FD3F39" w:rsidRDefault="00FD3F39">
            <w:pPr>
              <w:jc w:val="right"/>
              <w:rPr>
                <w:noProof/>
                <w:color w:val="000000"/>
                <w:sz w:val="20"/>
                <w:szCs w:val="20"/>
              </w:rPr>
            </w:pPr>
            <w:r>
              <w:rPr>
                <w:noProof/>
                <w:color w:val="000000"/>
                <w:sz w:val="20"/>
                <w:szCs w:val="20"/>
              </w:rPr>
              <w:t>37,329</w:t>
            </w:r>
          </w:p>
        </w:tc>
        <w:tc>
          <w:tcPr>
            <w:tcW w:w="656" w:type="pct"/>
            <w:tcBorders>
              <w:top w:val="nil"/>
              <w:left w:val="nil"/>
              <w:bottom w:val="single" w:sz="4" w:space="0" w:color="auto"/>
              <w:right w:val="single" w:sz="4" w:space="0" w:color="auto"/>
            </w:tcBorders>
            <w:shd w:val="clear" w:color="000000" w:fill="FFFFFF"/>
            <w:noWrap/>
            <w:hideMark/>
          </w:tcPr>
          <w:p w14:paraId="0875E547" w14:textId="77777777" w:rsidR="00FD3F39" w:rsidRDefault="00FD3F39">
            <w:pPr>
              <w:jc w:val="right"/>
              <w:rPr>
                <w:noProof/>
                <w:color w:val="000000"/>
                <w:sz w:val="20"/>
                <w:szCs w:val="20"/>
              </w:rPr>
            </w:pPr>
            <w:r>
              <w:rPr>
                <w:noProof/>
                <w:color w:val="000000"/>
                <w:sz w:val="20"/>
                <w:szCs w:val="20"/>
              </w:rPr>
              <w:t>28,644</w:t>
            </w:r>
          </w:p>
        </w:tc>
      </w:tr>
      <w:tr w:rsidR="009B345C" w14:paraId="010ED4D9" w14:textId="77777777" w:rsidTr="009B345C">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754577E8" w14:textId="77777777" w:rsidR="00FD3F39" w:rsidRDefault="00FD3F39">
            <w:pPr>
              <w:rPr>
                <w:noProof/>
                <w:color w:val="000000"/>
                <w:sz w:val="20"/>
                <w:szCs w:val="20"/>
              </w:rPr>
            </w:pPr>
            <w:r>
              <w:rPr>
                <w:noProof/>
                <w:color w:val="000000"/>
                <w:sz w:val="20"/>
                <w:szCs w:val="20"/>
              </w:rPr>
              <w:t>Net benefits</w:t>
            </w:r>
          </w:p>
        </w:tc>
        <w:tc>
          <w:tcPr>
            <w:tcW w:w="658" w:type="pct"/>
            <w:tcBorders>
              <w:top w:val="nil"/>
              <w:left w:val="nil"/>
              <w:bottom w:val="single" w:sz="4" w:space="0" w:color="auto"/>
              <w:right w:val="single" w:sz="4" w:space="0" w:color="auto"/>
            </w:tcBorders>
            <w:shd w:val="clear" w:color="000000" w:fill="FFFFFF"/>
            <w:noWrap/>
            <w:hideMark/>
          </w:tcPr>
          <w:p w14:paraId="0515E710" w14:textId="77777777" w:rsidR="00FD3F39" w:rsidRDefault="00FD3F39">
            <w:pPr>
              <w:jc w:val="right"/>
              <w:rPr>
                <w:noProof/>
                <w:color w:val="000000"/>
                <w:sz w:val="20"/>
                <w:szCs w:val="20"/>
              </w:rPr>
            </w:pPr>
            <w:r>
              <w:rPr>
                <w:noProof/>
                <w:color w:val="000000"/>
                <w:sz w:val="20"/>
                <w:szCs w:val="20"/>
              </w:rPr>
              <w:t>12,477</w:t>
            </w:r>
          </w:p>
        </w:tc>
        <w:tc>
          <w:tcPr>
            <w:tcW w:w="658" w:type="pct"/>
            <w:tcBorders>
              <w:top w:val="nil"/>
              <w:left w:val="nil"/>
              <w:bottom w:val="single" w:sz="4" w:space="0" w:color="auto"/>
              <w:right w:val="single" w:sz="4" w:space="0" w:color="auto"/>
            </w:tcBorders>
            <w:shd w:val="clear" w:color="000000" w:fill="FFFFFF"/>
            <w:noWrap/>
            <w:hideMark/>
          </w:tcPr>
          <w:p w14:paraId="344DF3F4" w14:textId="77777777" w:rsidR="00FD3F39" w:rsidRDefault="00FD3F39">
            <w:pPr>
              <w:jc w:val="right"/>
              <w:rPr>
                <w:noProof/>
                <w:color w:val="000000"/>
                <w:sz w:val="20"/>
                <w:szCs w:val="20"/>
              </w:rPr>
            </w:pPr>
            <w:r>
              <w:rPr>
                <w:noProof/>
                <w:color w:val="000000"/>
                <w:sz w:val="20"/>
                <w:szCs w:val="20"/>
              </w:rPr>
              <w:t>25,801</w:t>
            </w:r>
          </w:p>
        </w:tc>
        <w:tc>
          <w:tcPr>
            <w:tcW w:w="658" w:type="pct"/>
            <w:tcBorders>
              <w:top w:val="nil"/>
              <w:left w:val="nil"/>
              <w:bottom w:val="single" w:sz="4" w:space="0" w:color="auto"/>
              <w:right w:val="single" w:sz="4" w:space="0" w:color="auto"/>
            </w:tcBorders>
            <w:shd w:val="clear" w:color="000000" w:fill="FFFFFF"/>
            <w:noWrap/>
            <w:hideMark/>
          </w:tcPr>
          <w:p w14:paraId="2D94B8C0" w14:textId="77777777" w:rsidR="00FD3F39" w:rsidRDefault="00FD3F39">
            <w:pPr>
              <w:jc w:val="right"/>
              <w:rPr>
                <w:noProof/>
                <w:color w:val="000000"/>
                <w:sz w:val="20"/>
                <w:szCs w:val="20"/>
              </w:rPr>
            </w:pPr>
            <w:r>
              <w:rPr>
                <w:noProof/>
                <w:color w:val="000000"/>
                <w:sz w:val="20"/>
                <w:szCs w:val="20"/>
              </w:rPr>
              <w:t>37,291</w:t>
            </w:r>
          </w:p>
        </w:tc>
        <w:tc>
          <w:tcPr>
            <w:tcW w:w="656" w:type="pct"/>
            <w:tcBorders>
              <w:top w:val="nil"/>
              <w:left w:val="nil"/>
              <w:bottom w:val="single" w:sz="4" w:space="0" w:color="auto"/>
              <w:right w:val="single" w:sz="4" w:space="0" w:color="auto"/>
            </w:tcBorders>
            <w:shd w:val="clear" w:color="000000" w:fill="FFFFFF"/>
            <w:noWrap/>
            <w:hideMark/>
          </w:tcPr>
          <w:p w14:paraId="3D8060D0" w14:textId="77777777" w:rsidR="00FD3F39" w:rsidRDefault="00FD3F39">
            <w:pPr>
              <w:jc w:val="right"/>
              <w:rPr>
                <w:noProof/>
                <w:color w:val="000000"/>
                <w:sz w:val="20"/>
                <w:szCs w:val="20"/>
              </w:rPr>
            </w:pPr>
            <w:r>
              <w:rPr>
                <w:noProof/>
                <w:color w:val="000000"/>
                <w:sz w:val="20"/>
                <w:szCs w:val="20"/>
              </w:rPr>
              <w:t>28,461</w:t>
            </w:r>
          </w:p>
        </w:tc>
      </w:tr>
      <w:tr w:rsidR="009B345C" w14:paraId="1C865455" w14:textId="77777777" w:rsidTr="009B345C">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31082EAC" w14:textId="77777777" w:rsidR="00FD3F39" w:rsidRDefault="00FD3F39">
            <w:pPr>
              <w:rPr>
                <w:noProof/>
                <w:color w:val="000000"/>
                <w:sz w:val="20"/>
                <w:szCs w:val="20"/>
              </w:rPr>
            </w:pPr>
            <w:r>
              <w:rPr>
                <w:noProof/>
                <w:color w:val="000000"/>
                <w:sz w:val="20"/>
                <w:szCs w:val="20"/>
              </w:rPr>
              <w:t>Benefits to costs ratio</w:t>
            </w:r>
          </w:p>
        </w:tc>
        <w:tc>
          <w:tcPr>
            <w:tcW w:w="658" w:type="pct"/>
            <w:tcBorders>
              <w:top w:val="nil"/>
              <w:left w:val="nil"/>
              <w:bottom w:val="single" w:sz="4" w:space="0" w:color="auto"/>
              <w:right w:val="single" w:sz="4" w:space="0" w:color="auto"/>
            </w:tcBorders>
            <w:shd w:val="clear" w:color="000000" w:fill="FFFFFF"/>
            <w:noWrap/>
            <w:hideMark/>
          </w:tcPr>
          <w:p w14:paraId="21F34BE9" w14:textId="77777777" w:rsidR="00FD3F39" w:rsidRDefault="00FD3F39">
            <w:pPr>
              <w:jc w:val="right"/>
              <w:rPr>
                <w:noProof/>
                <w:color w:val="000000"/>
                <w:sz w:val="20"/>
                <w:szCs w:val="20"/>
              </w:rPr>
            </w:pPr>
            <w:r>
              <w:rPr>
                <w:noProof/>
                <w:color w:val="000000"/>
                <w:sz w:val="20"/>
                <w:szCs w:val="20"/>
              </w:rPr>
              <w:t>54</w:t>
            </w:r>
          </w:p>
        </w:tc>
        <w:tc>
          <w:tcPr>
            <w:tcW w:w="658" w:type="pct"/>
            <w:tcBorders>
              <w:top w:val="nil"/>
              <w:left w:val="nil"/>
              <w:bottom w:val="single" w:sz="4" w:space="0" w:color="auto"/>
              <w:right w:val="single" w:sz="4" w:space="0" w:color="auto"/>
            </w:tcBorders>
            <w:shd w:val="clear" w:color="000000" w:fill="FFFFFF"/>
            <w:noWrap/>
            <w:hideMark/>
          </w:tcPr>
          <w:p w14:paraId="0DB3FD4E" w14:textId="77777777" w:rsidR="00FD3F39" w:rsidRDefault="00FD3F39">
            <w:pPr>
              <w:jc w:val="right"/>
              <w:rPr>
                <w:noProof/>
                <w:color w:val="000000"/>
                <w:sz w:val="20"/>
                <w:szCs w:val="20"/>
              </w:rPr>
            </w:pPr>
            <w:r>
              <w:rPr>
                <w:noProof/>
                <w:color w:val="000000"/>
                <w:sz w:val="20"/>
                <w:szCs w:val="20"/>
              </w:rPr>
              <w:t>82</w:t>
            </w:r>
          </w:p>
        </w:tc>
        <w:tc>
          <w:tcPr>
            <w:tcW w:w="658" w:type="pct"/>
            <w:tcBorders>
              <w:top w:val="nil"/>
              <w:left w:val="nil"/>
              <w:bottom w:val="single" w:sz="4" w:space="0" w:color="auto"/>
              <w:right w:val="single" w:sz="4" w:space="0" w:color="auto"/>
            </w:tcBorders>
            <w:shd w:val="clear" w:color="000000" w:fill="FFFFFF"/>
            <w:noWrap/>
            <w:hideMark/>
          </w:tcPr>
          <w:p w14:paraId="4D095863" w14:textId="77777777" w:rsidR="00FD3F39" w:rsidRDefault="00FD3F39">
            <w:pPr>
              <w:jc w:val="right"/>
              <w:rPr>
                <w:noProof/>
                <w:color w:val="000000"/>
                <w:sz w:val="20"/>
                <w:szCs w:val="20"/>
              </w:rPr>
            </w:pPr>
            <w:r>
              <w:rPr>
                <w:noProof/>
                <w:color w:val="000000"/>
                <w:sz w:val="20"/>
                <w:szCs w:val="20"/>
              </w:rPr>
              <w:t>123</w:t>
            </w:r>
          </w:p>
        </w:tc>
        <w:tc>
          <w:tcPr>
            <w:tcW w:w="656" w:type="pct"/>
            <w:tcBorders>
              <w:top w:val="nil"/>
              <w:left w:val="nil"/>
              <w:bottom w:val="single" w:sz="4" w:space="0" w:color="auto"/>
              <w:right w:val="single" w:sz="4" w:space="0" w:color="auto"/>
            </w:tcBorders>
            <w:shd w:val="clear" w:color="000000" w:fill="FFFFFF"/>
            <w:noWrap/>
            <w:hideMark/>
          </w:tcPr>
          <w:p w14:paraId="7A90B540" w14:textId="77777777" w:rsidR="00FD3F39" w:rsidRDefault="00FD3F39">
            <w:pPr>
              <w:jc w:val="right"/>
              <w:rPr>
                <w:noProof/>
                <w:color w:val="000000"/>
                <w:sz w:val="20"/>
                <w:szCs w:val="20"/>
              </w:rPr>
            </w:pPr>
            <w:r>
              <w:rPr>
                <w:noProof/>
                <w:color w:val="000000"/>
                <w:sz w:val="20"/>
                <w:szCs w:val="20"/>
              </w:rPr>
              <w:t>62</w:t>
            </w:r>
          </w:p>
        </w:tc>
      </w:tr>
      <w:tr w:rsidR="009B345C" w14:paraId="7DE7ECD6" w14:textId="77777777" w:rsidTr="009B345C">
        <w:trPr>
          <w:trHeight w:val="255"/>
        </w:trPr>
        <w:tc>
          <w:tcPr>
            <w:tcW w:w="2370" w:type="pct"/>
            <w:tcBorders>
              <w:top w:val="nil"/>
              <w:left w:val="single" w:sz="4" w:space="0" w:color="auto"/>
              <w:bottom w:val="single" w:sz="4" w:space="0" w:color="auto"/>
              <w:right w:val="single" w:sz="4" w:space="0" w:color="auto"/>
            </w:tcBorders>
            <w:shd w:val="clear" w:color="000000" w:fill="BDE3FF"/>
            <w:noWrap/>
            <w:hideMark/>
          </w:tcPr>
          <w:p w14:paraId="685E12EC" w14:textId="77777777" w:rsidR="00FD3F39" w:rsidRDefault="00FD3F39">
            <w:pPr>
              <w:rPr>
                <w:b/>
                <w:bCs/>
                <w:noProof/>
                <w:color w:val="000000"/>
                <w:sz w:val="20"/>
                <w:szCs w:val="20"/>
              </w:rPr>
            </w:pPr>
            <w:r>
              <w:rPr>
                <w:b/>
                <w:bCs/>
                <w:noProof/>
                <w:color w:val="000000"/>
                <w:sz w:val="20"/>
                <w:szCs w:val="20"/>
              </w:rPr>
              <w:t>Low modal shift case</w:t>
            </w:r>
          </w:p>
        </w:tc>
        <w:tc>
          <w:tcPr>
            <w:tcW w:w="658" w:type="pct"/>
            <w:tcBorders>
              <w:top w:val="nil"/>
              <w:left w:val="nil"/>
              <w:bottom w:val="single" w:sz="4" w:space="0" w:color="auto"/>
              <w:right w:val="single" w:sz="4" w:space="0" w:color="auto"/>
            </w:tcBorders>
            <w:shd w:val="clear" w:color="000000" w:fill="BDE3FF"/>
            <w:noWrap/>
            <w:hideMark/>
          </w:tcPr>
          <w:p w14:paraId="7C08E3F6" w14:textId="77777777" w:rsidR="00FD3F39" w:rsidRDefault="00FD3F39">
            <w:pPr>
              <w:rPr>
                <w:b/>
                <w:bCs/>
                <w:noProof/>
                <w:color w:val="000000"/>
                <w:sz w:val="20"/>
                <w:szCs w:val="20"/>
              </w:rPr>
            </w:pPr>
            <w:r>
              <w:rPr>
                <w:b/>
                <w:bCs/>
                <w:noProof/>
                <w:color w:val="000000"/>
                <w:sz w:val="20"/>
                <w:szCs w:val="20"/>
              </w:rPr>
              <w:t> </w:t>
            </w:r>
          </w:p>
        </w:tc>
        <w:tc>
          <w:tcPr>
            <w:tcW w:w="658" w:type="pct"/>
            <w:tcBorders>
              <w:top w:val="nil"/>
              <w:left w:val="nil"/>
              <w:bottom w:val="single" w:sz="4" w:space="0" w:color="auto"/>
              <w:right w:val="single" w:sz="4" w:space="0" w:color="auto"/>
            </w:tcBorders>
            <w:shd w:val="clear" w:color="000000" w:fill="BDE3FF"/>
            <w:noWrap/>
            <w:hideMark/>
          </w:tcPr>
          <w:p w14:paraId="7C1E5AB6" w14:textId="77777777" w:rsidR="00FD3F39" w:rsidRDefault="00FD3F39">
            <w:pPr>
              <w:rPr>
                <w:b/>
                <w:bCs/>
                <w:noProof/>
                <w:color w:val="000000"/>
                <w:sz w:val="20"/>
                <w:szCs w:val="20"/>
              </w:rPr>
            </w:pPr>
            <w:r>
              <w:rPr>
                <w:b/>
                <w:bCs/>
                <w:noProof/>
                <w:color w:val="000000"/>
                <w:sz w:val="20"/>
                <w:szCs w:val="20"/>
              </w:rPr>
              <w:t> </w:t>
            </w:r>
          </w:p>
        </w:tc>
        <w:tc>
          <w:tcPr>
            <w:tcW w:w="658" w:type="pct"/>
            <w:tcBorders>
              <w:top w:val="nil"/>
              <w:left w:val="nil"/>
              <w:bottom w:val="single" w:sz="4" w:space="0" w:color="auto"/>
              <w:right w:val="single" w:sz="4" w:space="0" w:color="auto"/>
            </w:tcBorders>
            <w:shd w:val="clear" w:color="000000" w:fill="BDE3FF"/>
            <w:noWrap/>
            <w:hideMark/>
          </w:tcPr>
          <w:p w14:paraId="338AEC2F" w14:textId="77777777" w:rsidR="00FD3F39" w:rsidRDefault="00FD3F39">
            <w:pPr>
              <w:rPr>
                <w:b/>
                <w:bCs/>
                <w:noProof/>
                <w:color w:val="000000"/>
                <w:sz w:val="20"/>
                <w:szCs w:val="20"/>
              </w:rPr>
            </w:pPr>
            <w:r>
              <w:rPr>
                <w:b/>
                <w:bCs/>
                <w:noProof/>
                <w:color w:val="000000"/>
                <w:sz w:val="20"/>
                <w:szCs w:val="20"/>
              </w:rPr>
              <w:t> </w:t>
            </w:r>
          </w:p>
        </w:tc>
        <w:tc>
          <w:tcPr>
            <w:tcW w:w="656" w:type="pct"/>
            <w:tcBorders>
              <w:top w:val="nil"/>
              <w:left w:val="nil"/>
              <w:bottom w:val="single" w:sz="4" w:space="0" w:color="auto"/>
              <w:right w:val="single" w:sz="4" w:space="0" w:color="auto"/>
            </w:tcBorders>
            <w:shd w:val="clear" w:color="000000" w:fill="BDE3FF"/>
            <w:noWrap/>
            <w:hideMark/>
          </w:tcPr>
          <w:p w14:paraId="7393887C" w14:textId="77777777" w:rsidR="00FD3F39" w:rsidRDefault="00FD3F39">
            <w:pPr>
              <w:rPr>
                <w:b/>
                <w:bCs/>
                <w:noProof/>
                <w:color w:val="000000"/>
                <w:sz w:val="20"/>
                <w:szCs w:val="20"/>
              </w:rPr>
            </w:pPr>
            <w:r>
              <w:rPr>
                <w:b/>
                <w:bCs/>
                <w:noProof/>
                <w:color w:val="000000"/>
                <w:sz w:val="20"/>
                <w:szCs w:val="20"/>
              </w:rPr>
              <w:t> </w:t>
            </w:r>
          </w:p>
        </w:tc>
      </w:tr>
      <w:tr w:rsidR="009B345C" w14:paraId="436218E9" w14:textId="77777777" w:rsidTr="009B345C">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4575CE3F" w14:textId="77777777" w:rsidR="00FD3F39" w:rsidRDefault="00FD3F39">
            <w:pPr>
              <w:rPr>
                <w:noProof/>
                <w:color w:val="000000"/>
                <w:sz w:val="20"/>
                <w:szCs w:val="20"/>
              </w:rPr>
            </w:pPr>
            <w:r>
              <w:rPr>
                <w:noProof/>
                <w:color w:val="000000"/>
                <w:sz w:val="20"/>
                <w:szCs w:val="20"/>
              </w:rPr>
              <w:t>Total costs</w:t>
            </w:r>
          </w:p>
        </w:tc>
        <w:tc>
          <w:tcPr>
            <w:tcW w:w="658" w:type="pct"/>
            <w:tcBorders>
              <w:top w:val="nil"/>
              <w:left w:val="nil"/>
              <w:bottom w:val="single" w:sz="4" w:space="0" w:color="auto"/>
              <w:right w:val="single" w:sz="4" w:space="0" w:color="auto"/>
            </w:tcBorders>
            <w:shd w:val="clear" w:color="000000" w:fill="FFFFFF"/>
            <w:noWrap/>
            <w:hideMark/>
          </w:tcPr>
          <w:p w14:paraId="53760E25" w14:textId="77777777" w:rsidR="00FD3F39" w:rsidRDefault="00FD3F39">
            <w:pPr>
              <w:jc w:val="right"/>
              <w:rPr>
                <w:noProof/>
                <w:color w:val="000000"/>
                <w:sz w:val="20"/>
                <w:szCs w:val="20"/>
              </w:rPr>
            </w:pPr>
            <w:r>
              <w:rPr>
                <w:noProof/>
                <w:color w:val="000000"/>
                <w:sz w:val="20"/>
                <w:szCs w:val="20"/>
              </w:rPr>
              <w:t>234</w:t>
            </w:r>
          </w:p>
        </w:tc>
        <w:tc>
          <w:tcPr>
            <w:tcW w:w="658" w:type="pct"/>
            <w:tcBorders>
              <w:top w:val="nil"/>
              <w:left w:val="nil"/>
              <w:bottom w:val="single" w:sz="4" w:space="0" w:color="auto"/>
              <w:right w:val="single" w:sz="4" w:space="0" w:color="auto"/>
            </w:tcBorders>
            <w:shd w:val="clear" w:color="000000" w:fill="FFFFFF"/>
            <w:noWrap/>
            <w:hideMark/>
          </w:tcPr>
          <w:p w14:paraId="73097150" w14:textId="77777777" w:rsidR="00FD3F39" w:rsidRDefault="00FD3F39">
            <w:pPr>
              <w:jc w:val="right"/>
              <w:rPr>
                <w:noProof/>
                <w:color w:val="000000"/>
                <w:sz w:val="20"/>
                <w:szCs w:val="20"/>
              </w:rPr>
            </w:pPr>
            <w:r>
              <w:rPr>
                <w:noProof/>
                <w:color w:val="000000"/>
                <w:sz w:val="20"/>
                <w:szCs w:val="20"/>
              </w:rPr>
              <w:t>317</w:t>
            </w:r>
          </w:p>
        </w:tc>
        <w:tc>
          <w:tcPr>
            <w:tcW w:w="658" w:type="pct"/>
            <w:tcBorders>
              <w:top w:val="nil"/>
              <w:left w:val="nil"/>
              <w:bottom w:val="single" w:sz="4" w:space="0" w:color="auto"/>
              <w:right w:val="single" w:sz="4" w:space="0" w:color="auto"/>
            </w:tcBorders>
            <w:shd w:val="clear" w:color="000000" w:fill="FFFFFF"/>
            <w:noWrap/>
            <w:hideMark/>
          </w:tcPr>
          <w:p w14:paraId="4C4CFC07" w14:textId="77777777" w:rsidR="00FD3F39" w:rsidRDefault="00FD3F39">
            <w:pPr>
              <w:jc w:val="right"/>
              <w:rPr>
                <w:noProof/>
                <w:color w:val="000000"/>
                <w:sz w:val="20"/>
                <w:szCs w:val="20"/>
              </w:rPr>
            </w:pPr>
            <w:r>
              <w:rPr>
                <w:noProof/>
                <w:color w:val="000000"/>
                <w:sz w:val="20"/>
                <w:szCs w:val="20"/>
              </w:rPr>
              <w:t>306</w:t>
            </w:r>
          </w:p>
        </w:tc>
        <w:tc>
          <w:tcPr>
            <w:tcW w:w="656" w:type="pct"/>
            <w:tcBorders>
              <w:top w:val="nil"/>
              <w:left w:val="nil"/>
              <w:bottom w:val="single" w:sz="4" w:space="0" w:color="auto"/>
              <w:right w:val="single" w:sz="4" w:space="0" w:color="auto"/>
            </w:tcBorders>
            <w:shd w:val="clear" w:color="000000" w:fill="FFFFFF"/>
            <w:noWrap/>
            <w:hideMark/>
          </w:tcPr>
          <w:p w14:paraId="406D7D06" w14:textId="77777777" w:rsidR="00FD3F39" w:rsidRDefault="00FD3F39">
            <w:pPr>
              <w:jc w:val="right"/>
              <w:rPr>
                <w:noProof/>
                <w:color w:val="000000"/>
                <w:sz w:val="20"/>
                <w:szCs w:val="20"/>
              </w:rPr>
            </w:pPr>
            <w:r>
              <w:rPr>
                <w:noProof/>
                <w:color w:val="000000"/>
                <w:sz w:val="20"/>
                <w:szCs w:val="20"/>
              </w:rPr>
              <w:t>469</w:t>
            </w:r>
          </w:p>
        </w:tc>
      </w:tr>
      <w:tr w:rsidR="009B345C" w14:paraId="6EE8B886" w14:textId="77777777" w:rsidTr="009B345C">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2562724C" w14:textId="77777777" w:rsidR="00FD3F39" w:rsidRDefault="00FD3F39">
            <w:pPr>
              <w:rPr>
                <w:noProof/>
                <w:color w:val="000000"/>
                <w:sz w:val="20"/>
                <w:szCs w:val="20"/>
              </w:rPr>
            </w:pPr>
            <w:r>
              <w:rPr>
                <w:noProof/>
                <w:color w:val="000000"/>
                <w:sz w:val="20"/>
                <w:szCs w:val="20"/>
              </w:rPr>
              <w:t>Total benefits, of which:</w:t>
            </w:r>
          </w:p>
        </w:tc>
        <w:tc>
          <w:tcPr>
            <w:tcW w:w="658" w:type="pct"/>
            <w:tcBorders>
              <w:top w:val="nil"/>
              <w:left w:val="nil"/>
              <w:bottom w:val="single" w:sz="4" w:space="0" w:color="auto"/>
              <w:right w:val="single" w:sz="4" w:space="0" w:color="auto"/>
            </w:tcBorders>
            <w:shd w:val="clear" w:color="000000" w:fill="FFFFFF"/>
            <w:noWrap/>
            <w:hideMark/>
          </w:tcPr>
          <w:p w14:paraId="4CC7844E" w14:textId="77777777" w:rsidR="00FD3F39" w:rsidRDefault="00FD3F39">
            <w:pPr>
              <w:jc w:val="right"/>
              <w:rPr>
                <w:noProof/>
                <w:color w:val="000000"/>
                <w:sz w:val="20"/>
                <w:szCs w:val="20"/>
              </w:rPr>
            </w:pPr>
            <w:r>
              <w:rPr>
                <w:noProof/>
                <w:color w:val="000000"/>
                <w:sz w:val="20"/>
                <w:szCs w:val="20"/>
              </w:rPr>
              <w:t>8,405</w:t>
            </w:r>
          </w:p>
        </w:tc>
        <w:tc>
          <w:tcPr>
            <w:tcW w:w="658" w:type="pct"/>
            <w:tcBorders>
              <w:top w:val="nil"/>
              <w:left w:val="nil"/>
              <w:bottom w:val="single" w:sz="4" w:space="0" w:color="auto"/>
              <w:right w:val="single" w:sz="4" w:space="0" w:color="auto"/>
            </w:tcBorders>
            <w:shd w:val="clear" w:color="000000" w:fill="FFFFFF"/>
            <w:noWrap/>
            <w:hideMark/>
          </w:tcPr>
          <w:p w14:paraId="1D2B951B" w14:textId="77777777" w:rsidR="00FD3F39" w:rsidRDefault="00FD3F39">
            <w:pPr>
              <w:jc w:val="right"/>
              <w:rPr>
                <w:noProof/>
                <w:color w:val="000000"/>
                <w:sz w:val="20"/>
                <w:szCs w:val="20"/>
              </w:rPr>
            </w:pPr>
            <w:r>
              <w:rPr>
                <w:noProof/>
                <w:color w:val="000000"/>
                <w:sz w:val="20"/>
                <w:szCs w:val="20"/>
              </w:rPr>
              <w:t>16,553</w:t>
            </w:r>
          </w:p>
        </w:tc>
        <w:tc>
          <w:tcPr>
            <w:tcW w:w="658" w:type="pct"/>
            <w:tcBorders>
              <w:top w:val="nil"/>
              <w:left w:val="nil"/>
              <w:bottom w:val="single" w:sz="4" w:space="0" w:color="auto"/>
              <w:right w:val="single" w:sz="4" w:space="0" w:color="auto"/>
            </w:tcBorders>
            <w:shd w:val="clear" w:color="000000" w:fill="FFFFFF"/>
            <w:noWrap/>
            <w:hideMark/>
          </w:tcPr>
          <w:p w14:paraId="2C03EE73" w14:textId="77777777" w:rsidR="00FD3F39" w:rsidRDefault="00FD3F39">
            <w:pPr>
              <w:jc w:val="right"/>
              <w:rPr>
                <w:noProof/>
                <w:color w:val="000000"/>
                <w:sz w:val="20"/>
                <w:szCs w:val="20"/>
              </w:rPr>
            </w:pPr>
            <w:r>
              <w:rPr>
                <w:noProof/>
                <w:color w:val="000000"/>
                <w:sz w:val="20"/>
                <w:szCs w:val="20"/>
              </w:rPr>
              <w:t>22,966</w:t>
            </w:r>
          </w:p>
        </w:tc>
        <w:tc>
          <w:tcPr>
            <w:tcW w:w="656" w:type="pct"/>
            <w:tcBorders>
              <w:top w:val="nil"/>
              <w:left w:val="nil"/>
              <w:bottom w:val="single" w:sz="4" w:space="0" w:color="auto"/>
              <w:right w:val="single" w:sz="4" w:space="0" w:color="auto"/>
            </w:tcBorders>
            <w:shd w:val="clear" w:color="000000" w:fill="FFFFFF"/>
            <w:noWrap/>
            <w:hideMark/>
          </w:tcPr>
          <w:p w14:paraId="2DDF69C0" w14:textId="77777777" w:rsidR="00FD3F39" w:rsidRDefault="00FD3F39">
            <w:pPr>
              <w:jc w:val="right"/>
              <w:rPr>
                <w:noProof/>
                <w:color w:val="000000"/>
                <w:sz w:val="20"/>
                <w:szCs w:val="20"/>
              </w:rPr>
            </w:pPr>
            <w:r>
              <w:rPr>
                <w:noProof/>
                <w:color w:val="000000"/>
                <w:sz w:val="20"/>
                <w:szCs w:val="20"/>
              </w:rPr>
              <w:t>18,234</w:t>
            </w:r>
          </w:p>
        </w:tc>
      </w:tr>
      <w:tr w:rsidR="009B345C" w14:paraId="389C39B2" w14:textId="77777777" w:rsidTr="009B345C">
        <w:trPr>
          <w:trHeight w:val="510"/>
        </w:trPr>
        <w:tc>
          <w:tcPr>
            <w:tcW w:w="2370" w:type="pct"/>
            <w:tcBorders>
              <w:top w:val="nil"/>
              <w:left w:val="single" w:sz="4" w:space="0" w:color="auto"/>
              <w:bottom w:val="single" w:sz="4" w:space="0" w:color="auto"/>
              <w:right w:val="single" w:sz="4" w:space="0" w:color="auto"/>
            </w:tcBorders>
            <w:shd w:val="clear" w:color="000000" w:fill="FFFFFF"/>
            <w:hideMark/>
          </w:tcPr>
          <w:p w14:paraId="70FBDB59" w14:textId="77777777" w:rsidR="00FD3F39" w:rsidRDefault="00FD3F39" w:rsidP="009B345C">
            <w:pPr>
              <w:ind w:left="164"/>
              <w:rPr>
                <w:noProof/>
                <w:color w:val="000000"/>
                <w:sz w:val="20"/>
                <w:szCs w:val="20"/>
              </w:rPr>
            </w:pPr>
            <w:r>
              <w:rPr>
                <w:noProof/>
                <w:color w:val="000000"/>
                <w:sz w:val="20"/>
                <w:szCs w:val="20"/>
              </w:rPr>
              <w:t>Adjustment costs savings for MDMS platforms and transport operators</w:t>
            </w:r>
          </w:p>
        </w:tc>
        <w:tc>
          <w:tcPr>
            <w:tcW w:w="658" w:type="pct"/>
            <w:tcBorders>
              <w:top w:val="nil"/>
              <w:left w:val="nil"/>
              <w:bottom w:val="single" w:sz="4" w:space="0" w:color="auto"/>
              <w:right w:val="single" w:sz="4" w:space="0" w:color="auto"/>
            </w:tcBorders>
            <w:shd w:val="clear" w:color="000000" w:fill="FFFFFF"/>
            <w:noWrap/>
            <w:hideMark/>
          </w:tcPr>
          <w:p w14:paraId="091ACA1D" w14:textId="77777777" w:rsidR="00FD3F39" w:rsidRDefault="00FD3F39">
            <w:pPr>
              <w:jc w:val="right"/>
              <w:rPr>
                <w:noProof/>
                <w:color w:val="000000"/>
                <w:sz w:val="20"/>
                <w:szCs w:val="20"/>
              </w:rPr>
            </w:pPr>
            <w:r>
              <w:rPr>
                <w:noProof/>
                <w:color w:val="000000"/>
                <w:sz w:val="20"/>
                <w:szCs w:val="20"/>
              </w:rPr>
              <w:t>26</w:t>
            </w:r>
          </w:p>
        </w:tc>
        <w:tc>
          <w:tcPr>
            <w:tcW w:w="658" w:type="pct"/>
            <w:tcBorders>
              <w:top w:val="nil"/>
              <w:left w:val="nil"/>
              <w:bottom w:val="single" w:sz="4" w:space="0" w:color="auto"/>
              <w:right w:val="single" w:sz="4" w:space="0" w:color="auto"/>
            </w:tcBorders>
            <w:shd w:val="clear" w:color="000000" w:fill="FFFFFF"/>
            <w:noWrap/>
            <w:hideMark/>
          </w:tcPr>
          <w:p w14:paraId="63C879D9" w14:textId="77777777" w:rsidR="00FD3F39" w:rsidRDefault="00FD3F39">
            <w:pPr>
              <w:jc w:val="right"/>
              <w:rPr>
                <w:noProof/>
                <w:color w:val="000000"/>
                <w:sz w:val="20"/>
                <w:szCs w:val="20"/>
              </w:rPr>
            </w:pPr>
            <w:r>
              <w:rPr>
                <w:noProof/>
                <w:color w:val="000000"/>
                <w:sz w:val="20"/>
                <w:szCs w:val="20"/>
              </w:rPr>
              <w:t>298</w:t>
            </w:r>
          </w:p>
        </w:tc>
        <w:tc>
          <w:tcPr>
            <w:tcW w:w="658" w:type="pct"/>
            <w:tcBorders>
              <w:top w:val="nil"/>
              <w:left w:val="nil"/>
              <w:bottom w:val="single" w:sz="4" w:space="0" w:color="auto"/>
              <w:right w:val="single" w:sz="4" w:space="0" w:color="auto"/>
            </w:tcBorders>
            <w:shd w:val="clear" w:color="000000" w:fill="FFFFFF"/>
            <w:noWrap/>
            <w:hideMark/>
          </w:tcPr>
          <w:p w14:paraId="1CF76655" w14:textId="77777777" w:rsidR="00FD3F39" w:rsidRDefault="00FD3F39">
            <w:pPr>
              <w:jc w:val="right"/>
              <w:rPr>
                <w:noProof/>
                <w:color w:val="000000"/>
                <w:sz w:val="20"/>
                <w:szCs w:val="20"/>
              </w:rPr>
            </w:pPr>
            <w:r>
              <w:rPr>
                <w:noProof/>
                <w:color w:val="000000"/>
                <w:sz w:val="20"/>
                <w:szCs w:val="20"/>
              </w:rPr>
              <w:t>268</w:t>
            </w:r>
          </w:p>
        </w:tc>
        <w:tc>
          <w:tcPr>
            <w:tcW w:w="656" w:type="pct"/>
            <w:tcBorders>
              <w:top w:val="nil"/>
              <w:left w:val="nil"/>
              <w:bottom w:val="single" w:sz="4" w:space="0" w:color="auto"/>
              <w:right w:val="single" w:sz="4" w:space="0" w:color="auto"/>
            </w:tcBorders>
            <w:shd w:val="clear" w:color="000000" w:fill="FFFFFF"/>
            <w:noWrap/>
            <w:hideMark/>
          </w:tcPr>
          <w:p w14:paraId="5A1D7EF4" w14:textId="77777777" w:rsidR="00FD3F39" w:rsidRDefault="00FD3F39">
            <w:pPr>
              <w:jc w:val="right"/>
              <w:rPr>
                <w:noProof/>
                <w:color w:val="000000"/>
                <w:sz w:val="20"/>
                <w:szCs w:val="20"/>
              </w:rPr>
            </w:pPr>
            <w:r>
              <w:rPr>
                <w:noProof/>
                <w:color w:val="000000"/>
                <w:sz w:val="20"/>
                <w:szCs w:val="20"/>
              </w:rPr>
              <w:t>285</w:t>
            </w:r>
          </w:p>
        </w:tc>
      </w:tr>
      <w:tr w:rsidR="009B345C" w14:paraId="71570741" w14:textId="77777777" w:rsidTr="009B345C">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5C5E4072" w14:textId="77777777" w:rsidR="00FD3F39" w:rsidRDefault="00FD3F39" w:rsidP="009B345C">
            <w:pPr>
              <w:ind w:left="164"/>
              <w:rPr>
                <w:noProof/>
                <w:color w:val="000000"/>
                <w:sz w:val="20"/>
                <w:szCs w:val="20"/>
              </w:rPr>
            </w:pPr>
            <w:r>
              <w:rPr>
                <w:noProof/>
                <w:color w:val="000000"/>
                <w:sz w:val="20"/>
                <w:szCs w:val="20"/>
              </w:rPr>
              <w:t>External costs savings</w:t>
            </w:r>
          </w:p>
        </w:tc>
        <w:tc>
          <w:tcPr>
            <w:tcW w:w="658" w:type="pct"/>
            <w:tcBorders>
              <w:top w:val="nil"/>
              <w:left w:val="nil"/>
              <w:bottom w:val="single" w:sz="4" w:space="0" w:color="auto"/>
              <w:right w:val="single" w:sz="4" w:space="0" w:color="auto"/>
            </w:tcBorders>
            <w:shd w:val="clear" w:color="000000" w:fill="FFFFFF"/>
            <w:noWrap/>
            <w:hideMark/>
          </w:tcPr>
          <w:p w14:paraId="26DB4D00" w14:textId="77777777" w:rsidR="00FD3F39" w:rsidRDefault="00FD3F39">
            <w:pPr>
              <w:jc w:val="right"/>
              <w:rPr>
                <w:noProof/>
                <w:color w:val="000000"/>
                <w:sz w:val="20"/>
                <w:szCs w:val="20"/>
              </w:rPr>
            </w:pPr>
            <w:r>
              <w:rPr>
                <w:noProof/>
                <w:color w:val="000000"/>
                <w:sz w:val="20"/>
                <w:szCs w:val="20"/>
              </w:rPr>
              <w:t>8,379</w:t>
            </w:r>
          </w:p>
        </w:tc>
        <w:tc>
          <w:tcPr>
            <w:tcW w:w="658" w:type="pct"/>
            <w:tcBorders>
              <w:top w:val="nil"/>
              <w:left w:val="nil"/>
              <w:bottom w:val="single" w:sz="4" w:space="0" w:color="auto"/>
              <w:right w:val="single" w:sz="4" w:space="0" w:color="auto"/>
            </w:tcBorders>
            <w:shd w:val="clear" w:color="000000" w:fill="FFFFFF"/>
            <w:noWrap/>
            <w:hideMark/>
          </w:tcPr>
          <w:p w14:paraId="4625CEF1" w14:textId="77777777" w:rsidR="00FD3F39" w:rsidRDefault="00FD3F39">
            <w:pPr>
              <w:jc w:val="right"/>
              <w:rPr>
                <w:noProof/>
                <w:color w:val="000000"/>
                <w:sz w:val="20"/>
                <w:szCs w:val="20"/>
              </w:rPr>
            </w:pPr>
            <w:r>
              <w:rPr>
                <w:noProof/>
                <w:color w:val="000000"/>
                <w:sz w:val="20"/>
                <w:szCs w:val="20"/>
              </w:rPr>
              <w:t>16,255</w:t>
            </w:r>
          </w:p>
        </w:tc>
        <w:tc>
          <w:tcPr>
            <w:tcW w:w="658" w:type="pct"/>
            <w:tcBorders>
              <w:top w:val="nil"/>
              <w:left w:val="nil"/>
              <w:bottom w:val="single" w:sz="4" w:space="0" w:color="auto"/>
              <w:right w:val="single" w:sz="4" w:space="0" w:color="auto"/>
            </w:tcBorders>
            <w:shd w:val="clear" w:color="000000" w:fill="FFFFFF"/>
            <w:noWrap/>
            <w:hideMark/>
          </w:tcPr>
          <w:p w14:paraId="3380DA81" w14:textId="77777777" w:rsidR="00FD3F39" w:rsidRDefault="00FD3F39">
            <w:pPr>
              <w:jc w:val="right"/>
              <w:rPr>
                <w:noProof/>
                <w:color w:val="000000"/>
                <w:sz w:val="20"/>
                <w:szCs w:val="20"/>
              </w:rPr>
            </w:pPr>
            <w:r>
              <w:rPr>
                <w:noProof/>
                <w:color w:val="000000"/>
                <w:sz w:val="20"/>
                <w:szCs w:val="20"/>
              </w:rPr>
              <w:t>22,698</w:t>
            </w:r>
          </w:p>
        </w:tc>
        <w:tc>
          <w:tcPr>
            <w:tcW w:w="656" w:type="pct"/>
            <w:tcBorders>
              <w:top w:val="nil"/>
              <w:left w:val="nil"/>
              <w:bottom w:val="single" w:sz="4" w:space="0" w:color="auto"/>
              <w:right w:val="single" w:sz="4" w:space="0" w:color="auto"/>
            </w:tcBorders>
            <w:shd w:val="clear" w:color="000000" w:fill="FFFFFF"/>
            <w:noWrap/>
            <w:hideMark/>
          </w:tcPr>
          <w:p w14:paraId="714B505E" w14:textId="77777777" w:rsidR="00FD3F39" w:rsidRDefault="00FD3F39">
            <w:pPr>
              <w:jc w:val="right"/>
              <w:rPr>
                <w:noProof/>
                <w:color w:val="000000"/>
                <w:sz w:val="20"/>
                <w:szCs w:val="20"/>
              </w:rPr>
            </w:pPr>
            <w:r>
              <w:rPr>
                <w:noProof/>
                <w:color w:val="000000"/>
                <w:sz w:val="20"/>
                <w:szCs w:val="20"/>
              </w:rPr>
              <w:t>17,949</w:t>
            </w:r>
          </w:p>
        </w:tc>
      </w:tr>
      <w:tr w:rsidR="009B345C" w14:paraId="313E3E4E" w14:textId="77777777" w:rsidTr="009B345C">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32BE320A" w14:textId="77777777" w:rsidR="00FD3F39" w:rsidRDefault="00FD3F39">
            <w:pPr>
              <w:rPr>
                <w:noProof/>
                <w:color w:val="000000"/>
                <w:sz w:val="20"/>
                <w:szCs w:val="20"/>
              </w:rPr>
            </w:pPr>
            <w:r>
              <w:rPr>
                <w:noProof/>
                <w:color w:val="000000"/>
                <w:sz w:val="20"/>
                <w:szCs w:val="20"/>
              </w:rPr>
              <w:t>Net benefits</w:t>
            </w:r>
          </w:p>
        </w:tc>
        <w:tc>
          <w:tcPr>
            <w:tcW w:w="658" w:type="pct"/>
            <w:tcBorders>
              <w:top w:val="nil"/>
              <w:left w:val="nil"/>
              <w:bottom w:val="single" w:sz="4" w:space="0" w:color="auto"/>
              <w:right w:val="single" w:sz="4" w:space="0" w:color="auto"/>
            </w:tcBorders>
            <w:shd w:val="clear" w:color="000000" w:fill="FFFFFF"/>
            <w:noWrap/>
            <w:hideMark/>
          </w:tcPr>
          <w:p w14:paraId="459272FD" w14:textId="77777777" w:rsidR="00FD3F39" w:rsidRDefault="00FD3F39">
            <w:pPr>
              <w:jc w:val="right"/>
              <w:rPr>
                <w:noProof/>
                <w:color w:val="000000"/>
                <w:sz w:val="20"/>
                <w:szCs w:val="20"/>
              </w:rPr>
            </w:pPr>
            <w:r>
              <w:rPr>
                <w:noProof/>
                <w:color w:val="000000"/>
                <w:sz w:val="20"/>
                <w:szCs w:val="20"/>
              </w:rPr>
              <w:t>8,171</w:t>
            </w:r>
          </w:p>
        </w:tc>
        <w:tc>
          <w:tcPr>
            <w:tcW w:w="658" w:type="pct"/>
            <w:tcBorders>
              <w:top w:val="nil"/>
              <w:left w:val="nil"/>
              <w:bottom w:val="single" w:sz="4" w:space="0" w:color="auto"/>
              <w:right w:val="single" w:sz="4" w:space="0" w:color="auto"/>
            </w:tcBorders>
            <w:shd w:val="clear" w:color="000000" w:fill="FFFFFF"/>
            <w:noWrap/>
            <w:hideMark/>
          </w:tcPr>
          <w:p w14:paraId="1E522715" w14:textId="77777777" w:rsidR="00FD3F39" w:rsidRDefault="00FD3F39">
            <w:pPr>
              <w:jc w:val="right"/>
              <w:rPr>
                <w:noProof/>
                <w:color w:val="000000"/>
                <w:sz w:val="20"/>
                <w:szCs w:val="20"/>
              </w:rPr>
            </w:pPr>
            <w:r>
              <w:rPr>
                <w:noProof/>
                <w:color w:val="000000"/>
                <w:sz w:val="20"/>
                <w:szCs w:val="20"/>
              </w:rPr>
              <w:t>16,236</w:t>
            </w:r>
          </w:p>
        </w:tc>
        <w:tc>
          <w:tcPr>
            <w:tcW w:w="658" w:type="pct"/>
            <w:tcBorders>
              <w:top w:val="nil"/>
              <w:left w:val="nil"/>
              <w:bottom w:val="single" w:sz="4" w:space="0" w:color="auto"/>
              <w:right w:val="single" w:sz="4" w:space="0" w:color="auto"/>
            </w:tcBorders>
            <w:shd w:val="clear" w:color="000000" w:fill="FFFFFF"/>
            <w:noWrap/>
            <w:hideMark/>
          </w:tcPr>
          <w:p w14:paraId="50B21BEE" w14:textId="77777777" w:rsidR="00FD3F39" w:rsidRDefault="00FD3F39">
            <w:pPr>
              <w:jc w:val="right"/>
              <w:rPr>
                <w:noProof/>
                <w:color w:val="000000"/>
                <w:sz w:val="20"/>
                <w:szCs w:val="20"/>
              </w:rPr>
            </w:pPr>
            <w:r>
              <w:rPr>
                <w:noProof/>
                <w:color w:val="000000"/>
                <w:sz w:val="20"/>
                <w:szCs w:val="20"/>
              </w:rPr>
              <w:t>22,660</w:t>
            </w:r>
          </w:p>
        </w:tc>
        <w:tc>
          <w:tcPr>
            <w:tcW w:w="656" w:type="pct"/>
            <w:tcBorders>
              <w:top w:val="nil"/>
              <w:left w:val="nil"/>
              <w:bottom w:val="single" w:sz="4" w:space="0" w:color="auto"/>
              <w:right w:val="single" w:sz="4" w:space="0" w:color="auto"/>
            </w:tcBorders>
            <w:shd w:val="clear" w:color="000000" w:fill="FFFFFF"/>
            <w:noWrap/>
            <w:hideMark/>
          </w:tcPr>
          <w:p w14:paraId="5BE6685A" w14:textId="77777777" w:rsidR="00FD3F39" w:rsidRDefault="00FD3F39">
            <w:pPr>
              <w:jc w:val="right"/>
              <w:rPr>
                <w:noProof/>
                <w:color w:val="000000"/>
                <w:sz w:val="20"/>
                <w:szCs w:val="20"/>
              </w:rPr>
            </w:pPr>
            <w:r>
              <w:rPr>
                <w:noProof/>
                <w:color w:val="000000"/>
                <w:sz w:val="20"/>
                <w:szCs w:val="20"/>
              </w:rPr>
              <w:t>17,766</w:t>
            </w:r>
          </w:p>
        </w:tc>
      </w:tr>
      <w:tr w:rsidR="009B345C" w14:paraId="573E951D" w14:textId="77777777" w:rsidTr="009B345C">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3BE9089C" w14:textId="77777777" w:rsidR="00FD3F39" w:rsidRDefault="00FD3F39">
            <w:pPr>
              <w:rPr>
                <w:noProof/>
                <w:color w:val="000000"/>
                <w:sz w:val="20"/>
                <w:szCs w:val="20"/>
              </w:rPr>
            </w:pPr>
            <w:r>
              <w:rPr>
                <w:noProof/>
                <w:color w:val="000000"/>
                <w:sz w:val="20"/>
                <w:szCs w:val="20"/>
              </w:rPr>
              <w:t>Benefits to costs ratio</w:t>
            </w:r>
          </w:p>
        </w:tc>
        <w:tc>
          <w:tcPr>
            <w:tcW w:w="658" w:type="pct"/>
            <w:tcBorders>
              <w:top w:val="nil"/>
              <w:left w:val="nil"/>
              <w:bottom w:val="single" w:sz="4" w:space="0" w:color="auto"/>
              <w:right w:val="single" w:sz="4" w:space="0" w:color="auto"/>
            </w:tcBorders>
            <w:shd w:val="clear" w:color="000000" w:fill="FFFFFF"/>
            <w:noWrap/>
            <w:hideMark/>
          </w:tcPr>
          <w:p w14:paraId="75FC0D14" w14:textId="77777777" w:rsidR="00FD3F39" w:rsidRDefault="00FD3F39">
            <w:pPr>
              <w:jc w:val="right"/>
              <w:rPr>
                <w:noProof/>
                <w:color w:val="000000"/>
                <w:sz w:val="20"/>
                <w:szCs w:val="20"/>
              </w:rPr>
            </w:pPr>
            <w:r>
              <w:rPr>
                <w:noProof/>
                <w:color w:val="000000"/>
                <w:sz w:val="20"/>
                <w:szCs w:val="20"/>
              </w:rPr>
              <w:t>36</w:t>
            </w:r>
          </w:p>
        </w:tc>
        <w:tc>
          <w:tcPr>
            <w:tcW w:w="658" w:type="pct"/>
            <w:tcBorders>
              <w:top w:val="nil"/>
              <w:left w:val="nil"/>
              <w:bottom w:val="single" w:sz="4" w:space="0" w:color="auto"/>
              <w:right w:val="single" w:sz="4" w:space="0" w:color="auto"/>
            </w:tcBorders>
            <w:shd w:val="clear" w:color="000000" w:fill="FFFFFF"/>
            <w:noWrap/>
            <w:hideMark/>
          </w:tcPr>
          <w:p w14:paraId="618EB23F" w14:textId="77777777" w:rsidR="00FD3F39" w:rsidRDefault="00FD3F39">
            <w:pPr>
              <w:jc w:val="right"/>
              <w:rPr>
                <w:noProof/>
                <w:color w:val="000000"/>
                <w:sz w:val="20"/>
                <w:szCs w:val="20"/>
              </w:rPr>
            </w:pPr>
            <w:r>
              <w:rPr>
                <w:noProof/>
                <w:color w:val="000000"/>
                <w:sz w:val="20"/>
                <w:szCs w:val="20"/>
              </w:rPr>
              <w:t>52</w:t>
            </w:r>
          </w:p>
        </w:tc>
        <w:tc>
          <w:tcPr>
            <w:tcW w:w="658" w:type="pct"/>
            <w:tcBorders>
              <w:top w:val="nil"/>
              <w:left w:val="nil"/>
              <w:bottom w:val="single" w:sz="4" w:space="0" w:color="auto"/>
              <w:right w:val="single" w:sz="4" w:space="0" w:color="auto"/>
            </w:tcBorders>
            <w:shd w:val="clear" w:color="000000" w:fill="FFFFFF"/>
            <w:noWrap/>
            <w:hideMark/>
          </w:tcPr>
          <w:p w14:paraId="3A591000" w14:textId="77777777" w:rsidR="00FD3F39" w:rsidRDefault="00FD3F39">
            <w:pPr>
              <w:jc w:val="right"/>
              <w:rPr>
                <w:noProof/>
                <w:color w:val="000000"/>
                <w:sz w:val="20"/>
                <w:szCs w:val="20"/>
              </w:rPr>
            </w:pPr>
            <w:r>
              <w:rPr>
                <w:noProof/>
                <w:color w:val="000000"/>
                <w:sz w:val="20"/>
                <w:szCs w:val="20"/>
              </w:rPr>
              <w:t>75</w:t>
            </w:r>
          </w:p>
        </w:tc>
        <w:tc>
          <w:tcPr>
            <w:tcW w:w="656" w:type="pct"/>
            <w:tcBorders>
              <w:top w:val="nil"/>
              <w:left w:val="nil"/>
              <w:bottom w:val="single" w:sz="4" w:space="0" w:color="auto"/>
              <w:right w:val="single" w:sz="4" w:space="0" w:color="auto"/>
            </w:tcBorders>
            <w:shd w:val="clear" w:color="000000" w:fill="FFFFFF"/>
            <w:noWrap/>
            <w:hideMark/>
          </w:tcPr>
          <w:p w14:paraId="05C7A62C" w14:textId="77777777" w:rsidR="00FD3F39" w:rsidRDefault="00FD3F39">
            <w:pPr>
              <w:jc w:val="right"/>
              <w:rPr>
                <w:noProof/>
                <w:color w:val="000000"/>
                <w:sz w:val="20"/>
                <w:szCs w:val="20"/>
              </w:rPr>
            </w:pPr>
            <w:r>
              <w:rPr>
                <w:noProof/>
                <w:color w:val="000000"/>
                <w:sz w:val="20"/>
                <w:szCs w:val="20"/>
              </w:rPr>
              <w:t>39</w:t>
            </w:r>
          </w:p>
        </w:tc>
      </w:tr>
    </w:tbl>
    <w:p w14:paraId="0D3DF24F" w14:textId="77777777" w:rsidR="00A5754B" w:rsidRDefault="00050AB2" w:rsidP="00622012">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490F6D61" w14:textId="3E89E50B" w:rsidR="00525EFF" w:rsidRDefault="00A5754B" w:rsidP="00622012">
      <w:pPr>
        <w:tabs>
          <w:tab w:val="left" w:pos="2302"/>
        </w:tabs>
        <w:spacing w:after="240"/>
        <w:jc w:val="both"/>
        <w:rPr>
          <w:noProof/>
          <w:spacing w:val="-8"/>
        </w:rPr>
      </w:pPr>
      <w:r w:rsidRPr="003A2F40">
        <w:rPr>
          <w:b/>
          <w:noProof/>
          <w:spacing w:val="-8"/>
        </w:rPr>
        <w:t>Sensitivity analysis on the thresholds to identify B2C MDMS platforms and RUs with SMP.</w:t>
      </w:r>
      <w:r>
        <w:rPr>
          <w:noProof/>
          <w:spacing w:val="-8"/>
        </w:rPr>
        <w:t xml:space="preserve"> </w:t>
      </w:r>
      <w:r w:rsidR="002A4A73">
        <w:rPr>
          <w:noProof/>
          <w:spacing w:val="-8"/>
        </w:rPr>
        <w:t xml:space="preserve">A ‘low </w:t>
      </w:r>
      <w:r w:rsidR="005B1954" w:rsidRPr="005B1954">
        <w:rPr>
          <w:noProof/>
          <w:spacing w:val="-8"/>
        </w:rPr>
        <w:t>SMP threshold</w:t>
      </w:r>
      <w:r w:rsidR="00D756C7">
        <w:rPr>
          <w:noProof/>
          <w:spacing w:val="-8"/>
        </w:rPr>
        <w:t>’</w:t>
      </w:r>
      <w:r w:rsidR="005B1954" w:rsidRPr="005B1954">
        <w:rPr>
          <w:noProof/>
          <w:spacing w:val="-8"/>
        </w:rPr>
        <w:t xml:space="preserve"> case</w:t>
      </w:r>
      <w:r w:rsidR="005B1954">
        <w:rPr>
          <w:noProof/>
          <w:spacing w:val="-8"/>
        </w:rPr>
        <w:t xml:space="preserve"> has been assessed, assuming that the EU level</w:t>
      </w:r>
      <w:r w:rsidR="00576AD4">
        <w:rPr>
          <w:noProof/>
          <w:spacing w:val="-8"/>
        </w:rPr>
        <w:t xml:space="preserve"> </w:t>
      </w:r>
      <w:r w:rsidR="00576AD4" w:rsidRPr="005B1954">
        <w:rPr>
          <w:noProof/>
          <w:spacing w:val="-8"/>
        </w:rPr>
        <w:t>SMP threshold</w:t>
      </w:r>
      <w:r w:rsidR="00576AD4">
        <w:rPr>
          <w:noProof/>
          <w:spacing w:val="-8"/>
        </w:rPr>
        <w:t xml:space="preserve"> is lowered from 10% to 5%. </w:t>
      </w:r>
      <w:r w:rsidR="00C83CEC" w:rsidRPr="00C83CEC">
        <w:rPr>
          <w:noProof/>
          <w:spacing w:val="-8"/>
        </w:rPr>
        <w:t>This would bring three additional OTAs into scope as indispensable MDMS (Etraveli group, Booking.com, Trip.com Group)</w:t>
      </w:r>
      <w:r w:rsidR="005E20BD">
        <w:rPr>
          <w:noProof/>
          <w:spacing w:val="-8"/>
        </w:rPr>
        <w:t xml:space="preserve">. </w:t>
      </w:r>
      <w:r w:rsidR="005E20BD" w:rsidRPr="00301B44">
        <w:rPr>
          <w:noProof/>
          <w:spacing w:val="-8"/>
        </w:rPr>
        <w:t xml:space="preserve">The impacts on </w:t>
      </w:r>
      <w:r w:rsidR="005E20BD">
        <w:rPr>
          <w:noProof/>
          <w:spacing w:val="-8"/>
        </w:rPr>
        <w:t xml:space="preserve">costs and </w:t>
      </w:r>
      <w:r w:rsidR="005E20BD" w:rsidRPr="00301B44">
        <w:rPr>
          <w:noProof/>
          <w:spacing w:val="-8"/>
        </w:rPr>
        <w:t>costs savings are further compared to the base case presented in section 6.</w:t>
      </w:r>
      <w:r w:rsidR="005E20BD">
        <w:rPr>
          <w:noProof/>
          <w:spacing w:val="-8"/>
        </w:rPr>
        <w:t xml:space="preserve"> </w:t>
      </w:r>
    </w:p>
    <w:p w14:paraId="088C3B15" w14:textId="702571B1" w:rsidR="006A58C8" w:rsidRPr="005D2D60" w:rsidRDefault="00525EFF" w:rsidP="00622012">
      <w:pPr>
        <w:tabs>
          <w:tab w:val="left" w:pos="2302"/>
        </w:tabs>
        <w:spacing w:after="240"/>
        <w:jc w:val="both"/>
        <w:rPr>
          <w:rFonts w:cstheme="minorBidi"/>
          <w:i/>
          <w:noProof/>
          <w:sz w:val="22"/>
          <w:szCs w:val="22"/>
          <w:lang w:eastAsia="en-US"/>
        </w:rPr>
      </w:pPr>
      <w:r>
        <w:rPr>
          <w:noProof/>
          <w:spacing w:val="-8"/>
        </w:rPr>
        <w:t xml:space="preserve">The ‘low </w:t>
      </w:r>
      <w:r w:rsidRPr="005B1954">
        <w:rPr>
          <w:noProof/>
          <w:spacing w:val="-8"/>
        </w:rPr>
        <w:t>SMP threshold</w:t>
      </w:r>
      <w:r w:rsidR="00D756C7">
        <w:rPr>
          <w:noProof/>
          <w:spacing w:val="-8"/>
        </w:rPr>
        <w:t>’</w:t>
      </w:r>
      <w:r w:rsidRPr="005B1954">
        <w:rPr>
          <w:noProof/>
          <w:spacing w:val="-8"/>
        </w:rPr>
        <w:t xml:space="preserve"> case</w:t>
      </w:r>
      <w:r>
        <w:rPr>
          <w:noProof/>
          <w:spacing w:val="-8"/>
        </w:rPr>
        <w:t xml:space="preserve"> </w:t>
      </w:r>
      <w:r w:rsidRPr="00525EFF">
        <w:rPr>
          <w:noProof/>
          <w:spacing w:val="-8"/>
        </w:rPr>
        <w:t>results in</w:t>
      </w:r>
      <w:r>
        <w:rPr>
          <w:noProof/>
          <w:spacing w:val="-8"/>
        </w:rPr>
        <w:t xml:space="preserve"> three</w:t>
      </w:r>
      <w:r w:rsidRPr="00525EFF">
        <w:rPr>
          <w:noProof/>
          <w:spacing w:val="-8"/>
        </w:rPr>
        <w:t xml:space="preserve"> more platforms needing to submit information to national authorities (PM10), leading to some additional administrative costs</w:t>
      </w:r>
      <w:r w:rsidR="00E020D7">
        <w:rPr>
          <w:noProof/>
          <w:spacing w:val="-8"/>
        </w:rPr>
        <w:t xml:space="preserve"> (EUR 0.8 million </w:t>
      </w:r>
      <w:r w:rsidR="00CB1C41">
        <w:rPr>
          <w:noProof/>
          <w:spacing w:val="-8"/>
        </w:rPr>
        <w:t xml:space="preserve">one-off administrative costs in the ‘low </w:t>
      </w:r>
      <w:r w:rsidR="00CB1C41" w:rsidRPr="005B1954">
        <w:rPr>
          <w:noProof/>
          <w:spacing w:val="-8"/>
        </w:rPr>
        <w:t>SMP threshold case</w:t>
      </w:r>
      <w:r w:rsidR="00CB1C41">
        <w:rPr>
          <w:noProof/>
          <w:spacing w:val="-8"/>
        </w:rPr>
        <w:t xml:space="preserve">’ </w:t>
      </w:r>
      <w:r w:rsidR="00232310">
        <w:rPr>
          <w:noProof/>
          <w:spacing w:val="-8"/>
        </w:rPr>
        <w:t xml:space="preserve">in all POs </w:t>
      </w:r>
      <w:r w:rsidR="00CB1C41">
        <w:rPr>
          <w:noProof/>
          <w:spacing w:val="-8"/>
        </w:rPr>
        <w:t xml:space="preserve">relative to </w:t>
      </w:r>
      <w:r w:rsidR="00CD2977">
        <w:rPr>
          <w:noProof/>
          <w:spacing w:val="-8"/>
        </w:rPr>
        <w:t>EUR 0.5 million in the base case)</w:t>
      </w:r>
      <w:r w:rsidR="00520EB0">
        <w:rPr>
          <w:noProof/>
          <w:spacing w:val="-8"/>
        </w:rPr>
        <w:t>. It</w:t>
      </w:r>
      <w:r w:rsidRPr="00525EFF">
        <w:rPr>
          <w:noProof/>
          <w:spacing w:val="-8"/>
        </w:rPr>
        <w:t xml:space="preserve"> also </w:t>
      </w:r>
      <w:r w:rsidR="00B60D02">
        <w:rPr>
          <w:noProof/>
          <w:spacing w:val="-8"/>
        </w:rPr>
        <w:t xml:space="preserve">requires </w:t>
      </w:r>
      <w:r w:rsidRPr="00525EFF">
        <w:rPr>
          <w:noProof/>
          <w:spacing w:val="-8"/>
        </w:rPr>
        <w:t xml:space="preserve">more platforms to comply with </w:t>
      </w:r>
      <w:r w:rsidR="0066142F" w:rsidRPr="0066142F">
        <w:rPr>
          <w:noProof/>
          <w:spacing w:val="-8"/>
        </w:rPr>
        <w:t>commercial agreement rules for indispensable MDMS</w:t>
      </w:r>
      <w:r w:rsidR="00691D5A">
        <w:rPr>
          <w:noProof/>
          <w:spacing w:val="-8"/>
        </w:rPr>
        <w:t xml:space="preserve"> (PM11)</w:t>
      </w:r>
      <w:r w:rsidRPr="00525EFF">
        <w:rPr>
          <w:noProof/>
          <w:spacing w:val="-8"/>
        </w:rPr>
        <w:t xml:space="preserve">, leading to additional cost savings </w:t>
      </w:r>
      <w:r w:rsidR="002628CC">
        <w:rPr>
          <w:noProof/>
          <w:spacing w:val="-8"/>
        </w:rPr>
        <w:t xml:space="preserve">for MDMS platforms and transport operators </w:t>
      </w:r>
      <w:r w:rsidRPr="00525EFF">
        <w:rPr>
          <w:noProof/>
          <w:spacing w:val="-8"/>
        </w:rPr>
        <w:t>relative to the base case</w:t>
      </w:r>
      <w:r w:rsidR="008526D9">
        <w:rPr>
          <w:noProof/>
          <w:spacing w:val="-8"/>
        </w:rPr>
        <w:t xml:space="preserve"> (</w:t>
      </w:r>
      <w:r w:rsidR="00DB5553">
        <w:rPr>
          <w:noProof/>
          <w:spacing w:val="-8"/>
        </w:rPr>
        <w:t xml:space="preserve">3% higher adjustment costs savings in PO1 and 6% higher </w:t>
      </w:r>
      <w:r w:rsidR="00EF7D34">
        <w:rPr>
          <w:noProof/>
          <w:spacing w:val="-8"/>
        </w:rPr>
        <w:t xml:space="preserve">adjustment </w:t>
      </w:r>
      <w:r w:rsidR="00DB5553">
        <w:rPr>
          <w:noProof/>
          <w:spacing w:val="-8"/>
        </w:rPr>
        <w:t xml:space="preserve">costs savings </w:t>
      </w:r>
      <w:r w:rsidR="00EF7D34">
        <w:rPr>
          <w:noProof/>
          <w:spacing w:val="-8"/>
        </w:rPr>
        <w:t xml:space="preserve">in PO2, PO3 and PO4 relative to the base case, expressed as present value over </w:t>
      </w:r>
      <w:r w:rsidR="00187B51">
        <w:rPr>
          <w:noProof/>
          <w:spacing w:val="-8"/>
        </w:rPr>
        <w:t>2028-2050)</w:t>
      </w:r>
      <w:r w:rsidR="00266A0E">
        <w:rPr>
          <w:noProof/>
          <w:spacing w:val="-8"/>
        </w:rPr>
        <w:t xml:space="preserve"> as shown in the table below</w:t>
      </w:r>
      <w:r w:rsidRPr="00525EFF">
        <w:rPr>
          <w:noProof/>
          <w:spacing w:val="-8"/>
        </w:rPr>
        <w:t>.</w:t>
      </w:r>
      <w:r w:rsidR="005B1954">
        <w:rPr>
          <w:noProof/>
          <w:spacing w:val="-8"/>
        </w:rPr>
        <w:t xml:space="preserve"> </w:t>
      </w:r>
      <w:r w:rsidR="00A5754B" w:rsidRPr="005D2D60" w:rsidDel="002E6031">
        <w:rPr>
          <w:rFonts w:cstheme="minorBidi"/>
          <w:i/>
          <w:noProof/>
          <w:sz w:val="22"/>
          <w:szCs w:val="22"/>
          <w:lang w:eastAsia="en-US"/>
        </w:rPr>
        <w:t xml:space="preserve"> </w:t>
      </w:r>
    </w:p>
    <w:p w14:paraId="326C57C6" w14:textId="1BD21DC6" w:rsidR="002715E2" w:rsidRDefault="002715E2" w:rsidP="002715E2">
      <w:pPr>
        <w:pStyle w:val="Text2"/>
        <w:spacing w:after="0"/>
        <w:ind w:left="0"/>
        <w:rPr>
          <w:rFonts w:cs="Times New Roman"/>
          <w:i/>
          <w:noProof/>
          <w:sz w:val="22"/>
          <w:szCs w:val="22"/>
        </w:rPr>
      </w:pPr>
      <w:r w:rsidRPr="006333F0">
        <w:rPr>
          <w:rFonts w:cs="Times New Roman"/>
          <w:i/>
          <w:noProof/>
          <w:sz w:val="22"/>
          <w:szCs w:val="22"/>
        </w:rPr>
        <w:t xml:space="preserve">Table </w:t>
      </w:r>
      <w:r w:rsidRPr="00BA0980">
        <w:rPr>
          <w:rFonts w:cs="Times New Roman"/>
          <w:i/>
          <w:noProof/>
          <w:sz w:val="22"/>
          <w:szCs w:val="22"/>
        </w:rPr>
        <w:fldChar w:fldCharType="begin"/>
      </w:r>
      <w:r w:rsidRPr="00BA0980">
        <w:rPr>
          <w:rFonts w:cs="Times New Roman"/>
          <w:i/>
          <w:noProof/>
          <w:sz w:val="22"/>
          <w:szCs w:val="22"/>
        </w:rPr>
        <w:instrText xml:space="preserve"> SEQ Table \* ARABIC </w:instrText>
      </w:r>
      <w:r w:rsidRPr="00BA0980">
        <w:rPr>
          <w:rFonts w:cs="Times New Roman"/>
          <w:i/>
          <w:noProof/>
          <w:sz w:val="22"/>
          <w:szCs w:val="22"/>
        </w:rPr>
        <w:fldChar w:fldCharType="separate"/>
      </w:r>
      <w:r w:rsidR="0055391F">
        <w:rPr>
          <w:rFonts w:cs="Times New Roman"/>
          <w:i/>
          <w:noProof/>
          <w:sz w:val="22"/>
          <w:szCs w:val="22"/>
        </w:rPr>
        <w:t>29</w:t>
      </w:r>
      <w:r w:rsidRPr="00BA0980">
        <w:rPr>
          <w:rFonts w:cs="Times New Roman"/>
          <w:i/>
          <w:noProof/>
          <w:sz w:val="22"/>
          <w:szCs w:val="22"/>
        </w:rPr>
        <w:fldChar w:fldCharType="end"/>
      </w:r>
      <w:r w:rsidRPr="006333F0">
        <w:rPr>
          <w:rFonts w:cs="Times New Roman"/>
          <w:i/>
          <w:noProof/>
          <w:sz w:val="22"/>
          <w:szCs w:val="22"/>
        </w:rPr>
        <w:t xml:space="preserve">: </w:t>
      </w:r>
      <w:r w:rsidR="00E90C34">
        <w:rPr>
          <w:rFonts w:cs="Times New Roman"/>
          <w:i/>
          <w:noProof/>
          <w:sz w:val="22"/>
          <w:szCs w:val="22"/>
        </w:rPr>
        <w:t>A</w:t>
      </w:r>
      <w:r>
        <w:rPr>
          <w:rFonts w:cs="Times New Roman"/>
          <w:i/>
          <w:noProof/>
          <w:sz w:val="22"/>
          <w:szCs w:val="22"/>
        </w:rPr>
        <w:t xml:space="preserve">dministrative costs and adjustment costs savings </w:t>
      </w:r>
      <w:r w:rsidR="00E90C34">
        <w:rPr>
          <w:rFonts w:cs="Times New Roman"/>
          <w:i/>
          <w:noProof/>
          <w:sz w:val="22"/>
          <w:szCs w:val="22"/>
        </w:rPr>
        <w:t>for</w:t>
      </w:r>
      <w:r w:rsidR="00914973">
        <w:rPr>
          <w:rFonts w:cs="Times New Roman"/>
          <w:i/>
          <w:noProof/>
          <w:sz w:val="22"/>
          <w:szCs w:val="22"/>
        </w:rPr>
        <w:t xml:space="preserve"> MDMS platforms and transport operators due to</w:t>
      </w:r>
      <w:r w:rsidR="00E90C34">
        <w:rPr>
          <w:rFonts w:cs="Times New Roman"/>
          <w:i/>
          <w:noProof/>
          <w:sz w:val="22"/>
          <w:szCs w:val="22"/>
        </w:rPr>
        <w:t xml:space="preserve"> PM10 and PM11 in</w:t>
      </w:r>
      <w:r>
        <w:rPr>
          <w:rFonts w:cs="Times New Roman"/>
          <w:i/>
          <w:noProof/>
          <w:sz w:val="22"/>
          <w:szCs w:val="22"/>
        </w:rPr>
        <w:t xml:space="preserve"> </w:t>
      </w:r>
      <w:r w:rsidR="00E90C34">
        <w:rPr>
          <w:rFonts w:cs="Times New Roman"/>
          <w:i/>
          <w:noProof/>
          <w:sz w:val="22"/>
          <w:szCs w:val="22"/>
        </w:rPr>
        <w:t xml:space="preserve">the </w:t>
      </w:r>
      <w:r>
        <w:rPr>
          <w:rFonts w:cs="Times New Roman"/>
          <w:i/>
          <w:noProof/>
          <w:sz w:val="22"/>
          <w:szCs w:val="22"/>
        </w:rPr>
        <w:t xml:space="preserve">‘low </w:t>
      </w:r>
      <w:r w:rsidR="00E90C34">
        <w:rPr>
          <w:rFonts w:cs="Times New Roman"/>
          <w:i/>
          <w:noProof/>
          <w:sz w:val="22"/>
          <w:szCs w:val="22"/>
        </w:rPr>
        <w:t>SMP threshold</w:t>
      </w:r>
      <w:r>
        <w:rPr>
          <w:rFonts w:cs="Times New Roman"/>
          <w:i/>
          <w:noProof/>
          <w:sz w:val="22"/>
          <w:szCs w:val="22"/>
        </w:rPr>
        <w:t xml:space="preserve"> case’ and base case in the POs relative to the baseline (EU27), expressed as present value over 2028-2050,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r>
        <w:rPr>
          <w:rFonts w:cs="Times New Roman"/>
          <w:i/>
          <w:noProof/>
          <w:sz w:val="22"/>
          <w:szCs w:val="22"/>
        </w:rPr>
        <w:t xml:space="preserve"> </w:t>
      </w:r>
    </w:p>
    <w:tbl>
      <w:tblPr>
        <w:tblW w:w="5000" w:type="pct"/>
        <w:tblLook w:val="04A0" w:firstRow="1" w:lastRow="0" w:firstColumn="1" w:lastColumn="0" w:noHBand="0" w:noVBand="1"/>
      </w:tblPr>
      <w:tblGrid>
        <w:gridCol w:w="5365"/>
        <w:gridCol w:w="1060"/>
        <w:gridCol w:w="1060"/>
        <w:gridCol w:w="1060"/>
        <w:gridCol w:w="1058"/>
      </w:tblGrid>
      <w:tr w:rsidR="00EC3A95" w14:paraId="41C67E9D" w14:textId="77777777" w:rsidTr="00EC3A95">
        <w:trPr>
          <w:trHeight w:val="255"/>
          <w:tblHeader/>
        </w:trPr>
        <w:tc>
          <w:tcPr>
            <w:tcW w:w="2793" w:type="pct"/>
            <w:tcBorders>
              <w:top w:val="single" w:sz="4" w:space="0" w:color="auto"/>
              <w:left w:val="single" w:sz="4" w:space="0" w:color="auto"/>
              <w:bottom w:val="single" w:sz="4" w:space="0" w:color="auto"/>
              <w:right w:val="single" w:sz="4" w:space="0" w:color="auto"/>
            </w:tcBorders>
            <w:shd w:val="clear" w:color="000000" w:fill="0070C0"/>
            <w:hideMark/>
          </w:tcPr>
          <w:p w14:paraId="67BEFDE0" w14:textId="77777777" w:rsidR="00EC3A95" w:rsidRDefault="00EC3A95">
            <w:pPr>
              <w:rPr>
                <w:b/>
                <w:bCs/>
                <w:noProof/>
                <w:color w:val="FFFFFF"/>
                <w:sz w:val="20"/>
                <w:szCs w:val="20"/>
              </w:rPr>
            </w:pPr>
            <w:r>
              <w:rPr>
                <w:b/>
                <w:bCs/>
                <w:noProof/>
                <w:color w:val="FFFFFF"/>
                <w:sz w:val="20"/>
                <w:szCs w:val="20"/>
              </w:rPr>
              <w:t> </w:t>
            </w:r>
          </w:p>
        </w:tc>
        <w:tc>
          <w:tcPr>
            <w:tcW w:w="552" w:type="pct"/>
            <w:tcBorders>
              <w:top w:val="single" w:sz="4" w:space="0" w:color="auto"/>
              <w:left w:val="nil"/>
              <w:bottom w:val="single" w:sz="4" w:space="0" w:color="auto"/>
              <w:right w:val="single" w:sz="4" w:space="0" w:color="auto"/>
            </w:tcBorders>
            <w:shd w:val="clear" w:color="000000" w:fill="0070C0"/>
            <w:hideMark/>
          </w:tcPr>
          <w:p w14:paraId="251E63A7" w14:textId="77777777" w:rsidR="00EC3A95" w:rsidRDefault="00EC3A95">
            <w:pPr>
              <w:jc w:val="center"/>
              <w:rPr>
                <w:b/>
                <w:bCs/>
                <w:noProof/>
                <w:color w:val="FFFFFF"/>
                <w:sz w:val="20"/>
                <w:szCs w:val="20"/>
              </w:rPr>
            </w:pPr>
            <w:r>
              <w:rPr>
                <w:b/>
                <w:bCs/>
                <w:noProof/>
                <w:color w:val="FFFFFF"/>
                <w:sz w:val="20"/>
                <w:szCs w:val="20"/>
              </w:rPr>
              <w:t>PO1</w:t>
            </w:r>
          </w:p>
        </w:tc>
        <w:tc>
          <w:tcPr>
            <w:tcW w:w="552" w:type="pct"/>
            <w:tcBorders>
              <w:top w:val="single" w:sz="4" w:space="0" w:color="auto"/>
              <w:left w:val="nil"/>
              <w:bottom w:val="single" w:sz="4" w:space="0" w:color="auto"/>
              <w:right w:val="single" w:sz="4" w:space="0" w:color="auto"/>
            </w:tcBorders>
            <w:shd w:val="clear" w:color="000000" w:fill="0070C0"/>
            <w:hideMark/>
          </w:tcPr>
          <w:p w14:paraId="19E1B904" w14:textId="77777777" w:rsidR="00EC3A95" w:rsidRDefault="00EC3A95">
            <w:pPr>
              <w:jc w:val="center"/>
              <w:rPr>
                <w:b/>
                <w:bCs/>
                <w:noProof/>
                <w:color w:val="FFFFFF"/>
                <w:sz w:val="20"/>
                <w:szCs w:val="20"/>
              </w:rPr>
            </w:pPr>
            <w:r>
              <w:rPr>
                <w:b/>
                <w:bCs/>
                <w:noProof/>
                <w:color w:val="FFFFFF"/>
                <w:sz w:val="20"/>
                <w:szCs w:val="20"/>
              </w:rPr>
              <w:t>PO2</w:t>
            </w:r>
          </w:p>
        </w:tc>
        <w:tc>
          <w:tcPr>
            <w:tcW w:w="552" w:type="pct"/>
            <w:tcBorders>
              <w:top w:val="single" w:sz="4" w:space="0" w:color="auto"/>
              <w:left w:val="nil"/>
              <w:bottom w:val="single" w:sz="4" w:space="0" w:color="auto"/>
              <w:right w:val="single" w:sz="4" w:space="0" w:color="auto"/>
            </w:tcBorders>
            <w:shd w:val="clear" w:color="000000" w:fill="0070C0"/>
            <w:hideMark/>
          </w:tcPr>
          <w:p w14:paraId="03837C8A" w14:textId="77777777" w:rsidR="00EC3A95" w:rsidRDefault="00EC3A95">
            <w:pPr>
              <w:jc w:val="center"/>
              <w:rPr>
                <w:b/>
                <w:bCs/>
                <w:noProof/>
                <w:color w:val="FFFFFF"/>
                <w:sz w:val="20"/>
                <w:szCs w:val="20"/>
              </w:rPr>
            </w:pPr>
            <w:r>
              <w:rPr>
                <w:b/>
                <w:bCs/>
                <w:noProof/>
                <w:color w:val="FFFFFF"/>
                <w:sz w:val="20"/>
                <w:szCs w:val="20"/>
              </w:rPr>
              <w:t>PO3</w:t>
            </w:r>
          </w:p>
        </w:tc>
        <w:tc>
          <w:tcPr>
            <w:tcW w:w="551" w:type="pct"/>
            <w:tcBorders>
              <w:top w:val="single" w:sz="4" w:space="0" w:color="auto"/>
              <w:left w:val="nil"/>
              <w:bottom w:val="single" w:sz="4" w:space="0" w:color="auto"/>
              <w:right w:val="single" w:sz="4" w:space="0" w:color="auto"/>
            </w:tcBorders>
            <w:shd w:val="clear" w:color="000000" w:fill="0070C0"/>
            <w:hideMark/>
          </w:tcPr>
          <w:p w14:paraId="664D6271" w14:textId="77777777" w:rsidR="00EC3A95" w:rsidRDefault="00EC3A95">
            <w:pPr>
              <w:jc w:val="center"/>
              <w:rPr>
                <w:b/>
                <w:bCs/>
                <w:noProof/>
                <w:color w:val="FFFFFF"/>
                <w:sz w:val="20"/>
                <w:szCs w:val="20"/>
              </w:rPr>
            </w:pPr>
            <w:r>
              <w:rPr>
                <w:b/>
                <w:bCs/>
                <w:noProof/>
                <w:color w:val="FFFFFF"/>
                <w:sz w:val="20"/>
                <w:szCs w:val="20"/>
              </w:rPr>
              <w:t>PO4</w:t>
            </w:r>
          </w:p>
        </w:tc>
      </w:tr>
      <w:tr w:rsidR="00EC3A95" w14:paraId="4049F9DD" w14:textId="77777777" w:rsidTr="00EC3A95">
        <w:trPr>
          <w:trHeight w:val="255"/>
        </w:trPr>
        <w:tc>
          <w:tcPr>
            <w:tcW w:w="2793" w:type="pct"/>
            <w:tcBorders>
              <w:top w:val="nil"/>
              <w:left w:val="single" w:sz="4" w:space="0" w:color="auto"/>
              <w:bottom w:val="single" w:sz="4" w:space="0" w:color="auto"/>
              <w:right w:val="single" w:sz="4" w:space="0" w:color="auto"/>
            </w:tcBorders>
            <w:shd w:val="clear" w:color="000000" w:fill="BDE3FF"/>
            <w:noWrap/>
            <w:hideMark/>
          </w:tcPr>
          <w:p w14:paraId="76F426A5" w14:textId="77777777" w:rsidR="00EC3A95" w:rsidRDefault="00EC3A95">
            <w:pPr>
              <w:rPr>
                <w:b/>
                <w:bCs/>
                <w:noProof/>
                <w:color w:val="000000"/>
                <w:sz w:val="20"/>
                <w:szCs w:val="20"/>
              </w:rPr>
            </w:pPr>
            <w:r>
              <w:rPr>
                <w:b/>
                <w:bCs/>
                <w:noProof/>
                <w:color w:val="000000"/>
                <w:sz w:val="20"/>
                <w:szCs w:val="20"/>
              </w:rPr>
              <w:t>Base case</w:t>
            </w:r>
          </w:p>
        </w:tc>
        <w:tc>
          <w:tcPr>
            <w:tcW w:w="552" w:type="pct"/>
            <w:tcBorders>
              <w:top w:val="nil"/>
              <w:left w:val="nil"/>
              <w:bottom w:val="single" w:sz="4" w:space="0" w:color="auto"/>
              <w:right w:val="single" w:sz="4" w:space="0" w:color="auto"/>
            </w:tcBorders>
            <w:shd w:val="clear" w:color="000000" w:fill="BDE3FF"/>
            <w:noWrap/>
            <w:hideMark/>
          </w:tcPr>
          <w:p w14:paraId="0F7B9170" w14:textId="77777777" w:rsidR="00EC3A95" w:rsidRDefault="00EC3A95">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12873528" w14:textId="77777777" w:rsidR="00EC3A95" w:rsidRDefault="00EC3A95">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680EED3C" w14:textId="77777777" w:rsidR="00EC3A95" w:rsidRDefault="00EC3A95">
            <w:pPr>
              <w:rPr>
                <w:noProof/>
                <w:color w:val="000000"/>
                <w:sz w:val="20"/>
                <w:szCs w:val="20"/>
              </w:rPr>
            </w:pPr>
            <w:r>
              <w:rPr>
                <w:noProof/>
                <w:color w:val="000000"/>
                <w:sz w:val="20"/>
                <w:szCs w:val="20"/>
              </w:rPr>
              <w:t> </w:t>
            </w:r>
          </w:p>
        </w:tc>
        <w:tc>
          <w:tcPr>
            <w:tcW w:w="551" w:type="pct"/>
            <w:tcBorders>
              <w:top w:val="nil"/>
              <w:left w:val="nil"/>
              <w:bottom w:val="single" w:sz="4" w:space="0" w:color="auto"/>
              <w:right w:val="single" w:sz="4" w:space="0" w:color="auto"/>
            </w:tcBorders>
            <w:shd w:val="clear" w:color="000000" w:fill="BDE3FF"/>
            <w:noWrap/>
            <w:hideMark/>
          </w:tcPr>
          <w:p w14:paraId="1FB00F5C" w14:textId="77777777" w:rsidR="00EC3A95" w:rsidRDefault="00EC3A95">
            <w:pPr>
              <w:rPr>
                <w:noProof/>
                <w:color w:val="000000"/>
                <w:sz w:val="20"/>
                <w:szCs w:val="20"/>
              </w:rPr>
            </w:pPr>
            <w:r>
              <w:rPr>
                <w:noProof/>
                <w:color w:val="000000"/>
                <w:sz w:val="20"/>
                <w:szCs w:val="20"/>
              </w:rPr>
              <w:t> </w:t>
            </w:r>
          </w:p>
        </w:tc>
      </w:tr>
      <w:tr w:rsidR="00EC3A95" w14:paraId="68D4CAA7" w14:textId="77777777" w:rsidTr="00EC3A95">
        <w:trPr>
          <w:trHeight w:val="255"/>
        </w:trPr>
        <w:tc>
          <w:tcPr>
            <w:tcW w:w="2793" w:type="pct"/>
            <w:tcBorders>
              <w:top w:val="nil"/>
              <w:left w:val="single" w:sz="4" w:space="0" w:color="auto"/>
              <w:bottom w:val="single" w:sz="4" w:space="0" w:color="auto"/>
              <w:right w:val="single" w:sz="4" w:space="0" w:color="auto"/>
            </w:tcBorders>
            <w:shd w:val="clear" w:color="000000" w:fill="E7F5FF"/>
            <w:noWrap/>
            <w:hideMark/>
          </w:tcPr>
          <w:p w14:paraId="71036B06" w14:textId="77777777" w:rsidR="00EC3A95" w:rsidRDefault="00EC3A95">
            <w:pPr>
              <w:rPr>
                <w:noProof/>
                <w:color w:val="000000"/>
                <w:sz w:val="20"/>
                <w:szCs w:val="20"/>
              </w:rPr>
            </w:pPr>
            <w:r>
              <w:rPr>
                <w:noProof/>
                <w:color w:val="000000"/>
                <w:sz w:val="20"/>
                <w:szCs w:val="20"/>
              </w:rPr>
              <w:t xml:space="preserve"> MDMS platforms </w:t>
            </w:r>
          </w:p>
        </w:tc>
        <w:tc>
          <w:tcPr>
            <w:tcW w:w="552" w:type="pct"/>
            <w:tcBorders>
              <w:top w:val="nil"/>
              <w:left w:val="nil"/>
              <w:bottom w:val="single" w:sz="4" w:space="0" w:color="auto"/>
              <w:right w:val="single" w:sz="4" w:space="0" w:color="auto"/>
            </w:tcBorders>
            <w:shd w:val="clear" w:color="000000" w:fill="E7F5FF"/>
            <w:noWrap/>
            <w:hideMark/>
          </w:tcPr>
          <w:p w14:paraId="2B2DB9EB" w14:textId="77777777" w:rsidR="00EC3A95" w:rsidRDefault="00EC3A95">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14424637" w14:textId="77777777" w:rsidR="00EC3A95" w:rsidRDefault="00EC3A95">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4D8C574A" w14:textId="77777777" w:rsidR="00EC3A95" w:rsidRDefault="00EC3A95">
            <w:pPr>
              <w:rPr>
                <w:noProof/>
                <w:color w:val="000000"/>
                <w:sz w:val="20"/>
                <w:szCs w:val="20"/>
              </w:rPr>
            </w:pPr>
            <w:r>
              <w:rPr>
                <w:noProof/>
                <w:color w:val="000000"/>
                <w:sz w:val="20"/>
                <w:szCs w:val="20"/>
              </w:rPr>
              <w:t> </w:t>
            </w:r>
          </w:p>
        </w:tc>
        <w:tc>
          <w:tcPr>
            <w:tcW w:w="551" w:type="pct"/>
            <w:tcBorders>
              <w:top w:val="nil"/>
              <w:left w:val="nil"/>
              <w:bottom w:val="single" w:sz="4" w:space="0" w:color="auto"/>
              <w:right w:val="single" w:sz="4" w:space="0" w:color="auto"/>
            </w:tcBorders>
            <w:shd w:val="clear" w:color="000000" w:fill="E7F5FF"/>
            <w:noWrap/>
            <w:hideMark/>
          </w:tcPr>
          <w:p w14:paraId="1BFD8B46" w14:textId="77777777" w:rsidR="00EC3A95" w:rsidRDefault="00EC3A95">
            <w:pPr>
              <w:rPr>
                <w:noProof/>
                <w:color w:val="000000"/>
                <w:sz w:val="20"/>
                <w:szCs w:val="20"/>
              </w:rPr>
            </w:pPr>
            <w:r>
              <w:rPr>
                <w:noProof/>
                <w:color w:val="000000"/>
                <w:sz w:val="20"/>
                <w:szCs w:val="20"/>
              </w:rPr>
              <w:t> </w:t>
            </w:r>
          </w:p>
        </w:tc>
      </w:tr>
      <w:tr w:rsidR="00EC3A95" w14:paraId="1EFCB882" w14:textId="77777777" w:rsidTr="00EC3A95">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466F5AC9" w14:textId="77777777" w:rsidR="00EC3A95" w:rsidRDefault="00EC3A95" w:rsidP="00EC3A95">
            <w:pPr>
              <w:ind w:left="164"/>
              <w:rPr>
                <w:noProof/>
                <w:color w:val="000000"/>
                <w:sz w:val="20"/>
                <w:szCs w:val="20"/>
              </w:rPr>
            </w:pPr>
            <w:r>
              <w:rPr>
                <w:noProof/>
                <w:color w:val="000000"/>
                <w:sz w:val="20"/>
                <w:szCs w:val="20"/>
              </w:rPr>
              <w:t>Administrative costs for the designation of indispensable MDMS and Rus (PM10)</w:t>
            </w:r>
          </w:p>
        </w:tc>
        <w:tc>
          <w:tcPr>
            <w:tcW w:w="552" w:type="pct"/>
            <w:tcBorders>
              <w:top w:val="nil"/>
              <w:left w:val="nil"/>
              <w:bottom w:val="single" w:sz="4" w:space="0" w:color="auto"/>
              <w:right w:val="single" w:sz="4" w:space="0" w:color="auto"/>
            </w:tcBorders>
            <w:shd w:val="clear" w:color="000000" w:fill="FFFFFF"/>
            <w:noWrap/>
            <w:hideMark/>
          </w:tcPr>
          <w:p w14:paraId="38FA9CFF" w14:textId="77777777" w:rsidR="00EC3A95" w:rsidRDefault="00EC3A95">
            <w:pPr>
              <w:jc w:val="right"/>
              <w:rPr>
                <w:noProof/>
                <w:color w:val="000000"/>
                <w:sz w:val="20"/>
                <w:szCs w:val="20"/>
              </w:rPr>
            </w:pPr>
            <w:r>
              <w:rPr>
                <w:noProof/>
                <w:color w:val="000000"/>
                <w:sz w:val="20"/>
                <w:szCs w:val="20"/>
              </w:rPr>
              <w:t>0.5</w:t>
            </w:r>
          </w:p>
        </w:tc>
        <w:tc>
          <w:tcPr>
            <w:tcW w:w="552" w:type="pct"/>
            <w:tcBorders>
              <w:top w:val="nil"/>
              <w:left w:val="nil"/>
              <w:bottom w:val="single" w:sz="4" w:space="0" w:color="auto"/>
              <w:right w:val="single" w:sz="4" w:space="0" w:color="auto"/>
            </w:tcBorders>
            <w:shd w:val="clear" w:color="000000" w:fill="FFFFFF"/>
            <w:noWrap/>
            <w:hideMark/>
          </w:tcPr>
          <w:p w14:paraId="0165C386" w14:textId="77777777" w:rsidR="00EC3A95" w:rsidRDefault="00EC3A95">
            <w:pPr>
              <w:jc w:val="right"/>
              <w:rPr>
                <w:noProof/>
                <w:color w:val="000000"/>
                <w:sz w:val="20"/>
                <w:szCs w:val="20"/>
              </w:rPr>
            </w:pPr>
            <w:r>
              <w:rPr>
                <w:noProof/>
                <w:color w:val="000000"/>
                <w:sz w:val="20"/>
                <w:szCs w:val="20"/>
              </w:rPr>
              <w:t>0.5</w:t>
            </w:r>
          </w:p>
        </w:tc>
        <w:tc>
          <w:tcPr>
            <w:tcW w:w="552" w:type="pct"/>
            <w:tcBorders>
              <w:top w:val="nil"/>
              <w:left w:val="nil"/>
              <w:bottom w:val="single" w:sz="4" w:space="0" w:color="auto"/>
              <w:right w:val="single" w:sz="4" w:space="0" w:color="auto"/>
            </w:tcBorders>
            <w:shd w:val="clear" w:color="000000" w:fill="FFFFFF"/>
            <w:noWrap/>
            <w:hideMark/>
          </w:tcPr>
          <w:p w14:paraId="380A99D6" w14:textId="77777777" w:rsidR="00EC3A95" w:rsidRDefault="00EC3A95">
            <w:pPr>
              <w:jc w:val="right"/>
              <w:rPr>
                <w:noProof/>
                <w:color w:val="000000"/>
                <w:sz w:val="20"/>
                <w:szCs w:val="20"/>
              </w:rPr>
            </w:pPr>
            <w:r>
              <w:rPr>
                <w:noProof/>
                <w:color w:val="000000"/>
                <w:sz w:val="20"/>
                <w:szCs w:val="20"/>
              </w:rPr>
              <w:t>0.5</w:t>
            </w:r>
          </w:p>
        </w:tc>
        <w:tc>
          <w:tcPr>
            <w:tcW w:w="551" w:type="pct"/>
            <w:tcBorders>
              <w:top w:val="nil"/>
              <w:left w:val="nil"/>
              <w:bottom w:val="single" w:sz="4" w:space="0" w:color="auto"/>
              <w:right w:val="single" w:sz="4" w:space="0" w:color="auto"/>
            </w:tcBorders>
            <w:shd w:val="clear" w:color="000000" w:fill="FFFFFF"/>
            <w:noWrap/>
            <w:hideMark/>
          </w:tcPr>
          <w:p w14:paraId="09BC7C64" w14:textId="77777777" w:rsidR="00EC3A95" w:rsidRDefault="00EC3A95">
            <w:pPr>
              <w:jc w:val="right"/>
              <w:rPr>
                <w:noProof/>
                <w:color w:val="000000"/>
                <w:sz w:val="20"/>
                <w:szCs w:val="20"/>
              </w:rPr>
            </w:pPr>
            <w:r>
              <w:rPr>
                <w:noProof/>
                <w:color w:val="000000"/>
                <w:sz w:val="20"/>
                <w:szCs w:val="20"/>
              </w:rPr>
              <w:t>0.5</w:t>
            </w:r>
          </w:p>
        </w:tc>
      </w:tr>
      <w:tr w:rsidR="00EC3A95" w14:paraId="1D8DB892" w14:textId="77777777" w:rsidTr="00EC3A95">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603F2532" w14:textId="77777777" w:rsidR="00EC3A95" w:rsidRDefault="00EC3A95" w:rsidP="00EC3A95">
            <w:pPr>
              <w:ind w:left="164"/>
              <w:rPr>
                <w:noProof/>
                <w:color w:val="000000"/>
                <w:sz w:val="20"/>
                <w:szCs w:val="20"/>
              </w:rPr>
            </w:pPr>
            <w:r>
              <w:rPr>
                <w:noProof/>
                <w:color w:val="000000"/>
                <w:sz w:val="20"/>
                <w:szCs w:val="20"/>
              </w:rPr>
              <w:t>Adjustment cost savings for commercial agreement rules for indispensable MDMS (PM11)</w:t>
            </w:r>
          </w:p>
        </w:tc>
        <w:tc>
          <w:tcPr>
            <w:tcW w:w="552" w:type="pct"/>
            <w:tcBorders>
              <w:top w:val="nil"/>
              <w:left w:val="nil"/>
              <w:bottom w:val="single" w:sz="4" w:space="0" w:color="auto"/>
              <w:right w:val="single" w:sz="4" w:space="0" w:color="auto"/>
            </w:tcBorders>
            <w:shd w:val="clear" w:color="000000" w:fill="FFFFFF"/>
            <w:noWrap/>
            <w:hideMark/>
          </w:tcPr>
          <w:p w14:paraId="7182E46D" w14:textId="77777777" w:rsidR="00EC3A95" w:rsidRDefault="00EC3A95">
            <w:pPr>
              <w:jc w:val="right"/>
              <w:rPr>
                <w:noProof/>
                <w:color w:val="000000"/>
                <w:sz w:val="20"/>
                <w:szCs w:val="20"/>
              </w:rPr>
            </w:pPr>
            <w:r>
              <w:rPr>
                <w:noProof/>
                <w:color w:val="000000"/>
                <w:sz w:val="20"/>
                <w:szCs w:val="20"/>
              </w:rPr>
              <w:t>12.0</w:t>
            </w:r>
          </w:p>
        </w:tc>
        <w:tc>
          <w:tcPr>
            <w:tcW w:w="552" w:type="pct"/>
            <w:tcBorders>
              <w:top w:val="nil"/>
              <w:left w:val="nil"/>
              <w:bottom w:val="single" w:sz="4" w:space="0" w:color="auto"/>
              <w:right w:val="single" w:sz="4" w:space="0" w:color="auto"/>
            </w:tcBorders>
            <w:shd w:val="clear" w:color="000000" w:fill="FFFFFF"/>
            <w:noWrap/>
            <w:hideMark/>
          </w:tcPr>
          <w:p w14:paraId="45820DB4" w14:textId="77777777" w:rsidR="00EC3A95" w:rsidRDefault="00EC3A95">
            <w:pPr>
              <w:jc w:val="right"/>
              <w:rPr>
                <w:noProof/>
                <w:color w:val="000000"/>
                <w:sz w:val="20"/>
                <w:szCs w:val="20"/>
              </w:rPr>
            </w:pPr>
            <w:r>
              <w:rPr>
                <w:noProof/>
                <w:color w:val="000000"/>
                <w:sz w:val="20"/>
                <w:szCs w:val="20"/>
              </w:rPr>
              <w:t>136.1</w:t>
            </w:r>
          </w:p>
        </w:tc>
        <w:tc>
          <w:tcPr>
            <w:tcW w:w="552" w:type="pct"/>
            <w:tcBorders>
              <w:top w:val="nil"/>
              <w:left w:val="nil"/>
              <w:bottom w:val="single" w:sz="4" w:space="0" w:color="auto"/>
              <w:right w:val="single" w:sz="4" w:space="0" w:color="auto"/>
            </w:tcBorders>
            <w:shd w:val="clear" w:color="000000" w:fill="FFFFFF"/>
            <w:noWrap/>
            <w:hideMark/>
          </w:tcPr>
          <w:p w14:paraId="29547FA5" w14:textId="77777777" w:rsidR="00EC3A95" w:rsidRDefault="00EC3A95">
            <w:pPr>
              <w:jc w:val="right"/>
              <w:rPr>
                <w:noProof/>
                <w:color w:val="000000"/>
                <w:sz w:val="20"/>
                <w:szCs w:val="20"/>
              </w:rPr>
            </w:pPr>
            <w:r>
              <w:rPr>
                <w:noProof/>
                <w:color w:val="000000"/>
                <w:sz w:val="20"/>
                <w:szCs w:val="20"/>
              </w:rPr>
              <w:t>122.3</w:t>
            </w:r>
          </w:p>
        </w:tc>
        <w:tc>
          <w:tcPr>
            <w:tcW w:w="551" w:type="pct"/>
            <w:tcBorders>
              <w:top w:val="nil"/>
              <w:left w:val="nil"/>
              <w:bottom w:val="single" w:sz="4" w:space="0" w:color="auto"/>
              <w:right w:val="single" w:sz="4" w:space="0" w:color="auto"/>
            </w:tcBorders>
            <w:shd w:val="clear" w:color="000000" w:fill="FFFFFF"/>
            <w:noWrap/>
            <w:hideMark/>
          </w:tcPr>
          <w:p w14:paraId="29B19AD5" w14:textId="77777777" w:rsidR="00EC3A95" w:rsidRDefault="00EC3A95">
            <w:pPr>
              <w:jc w:val="right"/>
              <w:rPr>
                <w:noProof/>
                <w:color w:val="000000"/>
                <w:sz w:val="20"/>
                <w:szCs w:val="20"/>
              </w:rPr>
            </w:pPr>
            <w:r>
              <w:rPr>
                <w:noProof/>
                <w:color w:val="000000"/>
                <w:sz w:val="20"/>
                <w:szCs w:val="20"/>
              </w:rPr>
              <w:t>130.4</w:t>
            </w:r>
          </w:p>
        </w:tc>
      </w:tr>
      <w:tr w:rsidR="00EC3A95" w14:paraId="2B17CF5E" w14:textId="77777777" w:rsidTr="00EC3A95">
        <w:trPr>
          <w:trHeight w:val="255"/>
        </w:trPr>
        <w:tc>
          <w:tcPr>
            <w:tcW w:w="2793" w:type="pct"/>
            <w:tcBorders>
              <w:top w:val="nil"/>
              <w:left w:val="single" w:sz="4" w:space="0" w:color="auto"/>
              <w:bottom w:val="single" w:sz="4" w:space="0" w:color="auto"/>
              <w:right w:val="single" w:sz="4" w:space="0" w:color="auto"/>
            </w:tcBorders>
            <w:shd w:val="clear" w:color="000000" w:fill="E7F5FF"/>
            <w:noWrap/>
            <w:hideMark/>
          </w:tcPr>
          <w:p w14:paraId="60EE6EB0" w14:textId="77777777" w:rsidR="00EC3A95" w:rsidRDefault="00EC3A95">
            <w:pPr>
              <w:rPr>
                <w:noProof/>
                <w:color w:val="000000"/>
                <w:sz w:val="20"/>
                <w:szCs w:val="20"/>
              </w:rPr>
            </w:pPr>
            <w:r>
              <w:rPr>
                <w:noProof/>
                <w:color w:val="000000"/>
                <w:sz w:val="20"/>
                <w:szCs w:val="20"/>
              </w:rPr>
              <w:t xml:space="preserve"> Transport operators </w:t>
            </w:r>
          </w:p>
        </w:tc>
        <w:tc>
          <w:tcPr>
            <w:tcW w:w="552" w:type="pct"/>
            <w:tcBorders>
              <w:top w:val="nil"/>
              <w:left w:val="nil"/>
              <w:bottom w:val="single" w:sz="4" w:space="0" w:color="auto"/>
              <w:right w:val="single" w:sz="4" w:space="0" w:color="auto"/>
            </w:tcBorders>
            <w:shd w:val="clear" w:color="000000" w:fill="E7F5FF"/>
            <w:noWrap/>
            <w:hideMark/>
          </w:tcPr>
          <w:p w14:paraId="361931E0" w14:textId="77777777" w:rsidR="00EC3A95" w:rsidRDefault="00EC3A95">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7F9B3357" w14:textId="77777777" w:rsidR="00EC3A95" w:rsidRDefault="00EC3A95">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000D9010" w14:textId="77777777" w:rsidR="00EC3A95" w:rsidRDefault="00EC3A95">
            <w:pPr>
              <w:rPr>
                <w:noProof/>
                <w:color w:val="000000"/>
                <w:sz w:val="20"/>
                <w:szCs w:val="20"/>
              </w:rPr>
            </w:pPr>
            <w:r>
              <w:rPr>
                <w:noProof/>
                <w:color w:val="000000"/>
                <w:sz w:val="20"/>
                <w:szCs w:val="20"/>
              </w:rPr>
              <w:t> </w:t>
            </w:r>
          </w:p>
        </w:tc>
        <w:tc>
          <w:tcPr>
            <w:tcW w:w="551" w:type="pct"/>
            <w:tcBorders>
              <w:top w:val="nil"/>
              <w:left w:val="nil"/>
              <w:bottom w:val="single" w:sz="4" w:space="0" w:color="auto"/>
              <w:right w:val="single" w:sz="4" w:space="0" w:color="auto"/>
            </w:tcBorders>
            <w:shd w:val="clear" w:color="000000" w:fill="E7F5FF"/>
            <w:noWrap/>
            <w:hideMark/>
          </w:tcPr>
          <w:p w14:paraId="235C683E" w14:textId="77777777" w:rsidR="00EC3A95" w:rsidRDefault="00EC3A95">
            <w:pPr>
              <w:rPr>
                <w:noProof/>
                <w:color w:val="000000"/>
                <w:sz w:val="20"/>
                <w:szCs w:val="20"/>
              </w:rPr>
            </w:pPr>
            <w:r>
              <w:rPr>
                <w:noProof/>
                <w:color w:val="000000"/>
                <w:sz w:val="20"/>
                <w:szCs w:val="20"/>
              </w:rPr>
              <w:t> </w:t>
            </w:r>
          </w:p>
        </w:tc>
      </w:tr>
      <w:tr w:rsidR="00EC3A95" w14:paraId="21E08245" w14:textId="77777777" w:rsidTr="00EC3A95">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4B7B1D25" w14:textId="77777777" w:rsidR="00EC3A95" w:rsidRDefault="00EC3A95" w:rsidP="00EC3A95">
            <w:pPr>
              <w:ind w:left="164"/>
              <w:rPr>
                <w:noProof/>
                <w:color w:val="000000"/>
                <w:sz w:val="20"/>
                <w:szCs w:val="20"/>
              </w:rPr>
            </w:pPr>
            <w:r>
              <w:rPr>
                <w:noProof/>
                <w:color w:val="000000"/>
                <w:sz w:val="20"/>
                <w:szCs w:val="20"/>
              </w:rPr>
              <w:t>Adjustment cost savings for commercial agreement rules for indispensable MDMS (PM11)</w:t>
            </w:r>
          </w:p>
        </w:tc>
        <w:tc>
          <w:tcPr>
            <w:tcW w:w="552" w:type="pct"/>
            <w:tcBorders>
              <w:top w:val="nil"/>
              <w:left w:val="nil"/>
              <w:bottom w:val="single" w:sz="4" w:space="0" w:color="auto"/>
              <w:right w:val="single" w:sz="4" w:space="0" w:color="auto"/>
            </w:tcBorders>
            <w:shd w:val="clear" w:color="000000" w:fill="FFFFFF"/>
            <w:noWrap/>
            <w:hideMark/>
          </w:tcPr>
          <w:p w14:paraId="4D19DFAB" w14:textId="77777777" w:rsidR="00EC3A95" w:rsidRDefault="00EC3A95">
            <w:pPr>
              <w:jc w:val="right"/>
              <w:rPr>
                <w:noProof/>
                <w:color w:val="000000"/>
                <w:sz w:val="20"/>
                <w:szCs w:val="20"/>
              </w:rPr>
            </w:pPr>
            <w:r>
              <w:rPr>
                <w:noProof/>
                <w:color w:val="000000"/>
                <w:sz w:val="20"/>
                <w:szCs w:val="20"/>
              </w:rPr>
              <w:t>12.0</w:t>
            </w:r>
          </w:p>
        </w:tc>
        <w:tc>
          <w:tcPr>
            <w:tcW w:w="552" w:type="pct"/>
            <w:tcBorders>
              <w:top w:val="nil"/>
              <w:left w:val="nil"/>
              <w:bottom w:val="single" w:sz="4" w:space="0" w:color="auto"/>
              <w:right w:val="single" w:sz="4" w:space="0" w:color="auto"/>
            </w:tcBorders>
            <w:shd w:val="clear" w:color="000000" w:fill="FFFFFF"/>
            <w:noWrap/>
            <w:hideMark/>
          </w:tcPr>
          <w:p w14:paraId="74A68B0B" w14:textId="77777777" w:rsidR="00EC3A95" w:rsidRDefault="00EC3A95">
            <w:pPr>
              <w:jc w:val="right"/>
              <w:rPr>
                <w:noProof/>
                <w:color w:val="000000"/>
                <w:sz w:val="20"/>
                <w:szCs w:val="20"/>
              </w:rPr>
            </w:pPr>
            <w:r>
              <w:rPr>
                <w:noProof/>
                <w:color w:val="000000"/>
                <w:sz w:val="20"/>
                <w:szCs w:val="20"/>
              </w:rPr>
              <w:t>136.1</w:t>
            </w:r>
          </w:p>
        </w:tc>
        <w:tc>
          <w:tcPr>
            <w:tcW w:w="552" w:type="pct"/>
            <w:tcBorders>
              <w:top w:val="nil"/>
              <w:left w:val="nil"/>
              <w:bottom w:val="single" w:sz="4" w:space="0" w:color="auto"/>
              <w:right w:val="single" w:sz="4" w:space="0" w:color="auto"/>
            </w:tcBorders>
            <w:shd w:val="clear" w:color="000000" w:fill="FFFFFF"/>
            <w:noWrap/>
            <w:hideMark/>
          </w:tcPr>
          <w:p w14:paraId="343122BA" w14:textId="77777777" w:rsidR="00EC3A95" w:rsidRDefault="00EC3A95">
            <w:pPr>
              <w:jc w:val="right"/>
              <w:rPr>
                <w:noProof/>
                <w:color w:val="000000"/>
                <w:sz w:val="20"/>
                <w:szCs w:val="20"/>
              </w:rPr>
            </w:pPr>
            <w:r>
              <w:rPr>
                <w:noProof/>
                <w:color w:val="000000"/>
                <w:sz w:val="20"/>
                <w:szCs w:val="20"/>
              </w:rPr>
              <w:t>122.3</w:t>
            </w:r>
          </w:p>
        </w:tc>
        <w:tc>
          <w:tcPr>
            <w:tcW w:w="551" w:type="pct"/>
            <w:tcBorders>
              <w:top w:val="nil"/>
              <w:left w:val="nil"/>
              <w:bottom w:val="single" w:sz="4" w:space="0" w:color="auto"/>
              <w:right w:val="single" w:sz="4" w:space="0" w:color="auto"/>
            </w:tcBorders>
            <w:shd w:val="clear" w:color="000000" w:fill="FFFFFF"/>
            <w:noWrap/>
            <w:hideMark/>
          </w:tcPr>
          <w:p w14:paraId="5C0E0B9E" w14:textId="77777777" w:rsidR="00EC3A95" w:rsidRDefault="00EC3A95">
            <w:pPr>
              <w:jc w:val="right"/>
              <w:rPr>
                <w:noProof/>
                <w:color w:val="000000"/>
                <w:sz w:val="20"/>
                <w:szCs w:val="20"/>
              </w:rPr>
            </w:pPr>
            <w:r>
              <w:rPr>
                <w:noProof/>
                <w:color w:val="000000"/>
                <w:sz w:val="20"/>
                <w:szCs w:val="20"/>
              </w:rPr>
              <w:t>130.4</w:t>
            </w:r>
          </w:p>
        </w:tc>
      </w:tr>
      <w:tr w:rsidR="00EC3A95" w14:paraId="4636EC04" w14:textId="77777777" w:rsidTr="00EC3A95">
        <w:trPr>
          <w:trHeight w:val="255"/>
        </w:trPr>
        <w:tc>
          <w:tcPr>
            <w:tcW w:w="2793" w:type="pct"/>
            <w:tcBorders>
              <w:top w:val="nil"/>
              <w:left w:val="single" w:sz="4" w:space="0" w:color="auto"/>
              <w:bottom w:val="single" w:sz="4" w:space="0" w:color="auto"/>
              <w:right w:val="single" w:sz="4" w:space="0" w:color="auto"/>
            </w:tcBorders>
            <w:shd w:val="clear" w:color="000000" w:fill="BDE3FF"/>
            <w:noWrap/>
            <w:hideMark/>
          </w:tcPr>
          <w:p w14:paraId="3CF24AB0" w14:textId="77777777" w:rsidR="00EC3A95" w:rsidRDefault="00EC3A95">
            <w:pPr>
              <w:rPr>
                <w:b/>
                <w:bCs/>
                <w:noProof/>
                <w:color w:val="000000"/>
                <w:sz w:val="20"/>
                <w:szCs w:val="20"/>
              </w:rPr>
            </w:pPr>
            <w:r>
              <w:rPr>
                <w:b/>
                <w:bCs/>
                <w:noProof/>
                <w:color w:val="000000"/>
                <w:sz w:val="20"/>
                <w:szCs w:val="20"/>
              </w:rPr>
              <w:t>Low SMP threshold case</w:t>
            </w:r>
          </w:p>
        </w:tc>
        <w:tc>
          <w:tcPr>
            <w:tcW w:w="552" w:type="pct"/>
            <w:tcBorders>
              <w:top w:val="nil"/>
              <w:left w:val="nil"/>
              <w:bottom w:val="single" w:sz="4" w:space="0" w:color="auto"/>
              <w:right w:val="single" w:sz="4" w:space="0" w:color="auto"/>
            </w:tcBorders>
            <w:shd w:val="clear" w:color="000000" w:fill="BDE3FF"/>
            <w:noWrap/>
            <w:hideMark/>
          </w:tcPr>
          <w:p w14:paraId="36280F90" w14:textId="77777777" w:rsidR="00EC3A95" w:rsidRDefault="00EC3A95">
            <w:pPr>
              <w:rPr>
                <w:b/>
                <w:bCs/>
                <w:noProof/>
                <w:color w:val="000000"/>
                <w:sz w:val="20"/>
                <w:szCs w:val="20"/>
              </w:rPr>
            </w:pPr>
            <w:r>
              <w:rPr>
                <w:b/>
                <w:bCs/>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39E9E80C" w14:textId="77777777" w:rsidR="00EC3A95" w:rsidRDefault="00EC3A95">
            <w:pPr>
              <w:rPr>
                <w:b/>
                <w:bCs/>
                <w:noProof/>
                <w:color w:val="000000"/>
                <w:sz w:val="20"/>
                <w:szCs w:val="20"/>
              </w:rPr>
            </w:pPr>
            <w:r>
              <w:rPr>
                <w:b/>
                <w:bCs/>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5D77DAF1" w14:textId="77777777" w:rsidR="00EC3A95" w:rsidRDefault="00EC3A95">
            <w:pPr>
              <w:rPr>
                <w:b/>
                <w:bCs/>
                <w:noProof/>
                <w:color w:val="000000"/>
                <w:sz w:val="20"/>
                <w:szCs w:val="20"/>
              </w:rPr>
            </w:pPr>
            <w:r>
              <w:rPr>
                <w:b/>
                <w:bCs/>
                <w:noProof/>
                <w:color w:val="000000"/>
                <w:sz w:val="20"/>
                <w:szCs w:val="20"/>
              </w:rPr>
              <w:t> </w:t>
            </w:r>
          </w:p>
        </w:tc>
        <w:tc>
          <w:tcPr>
            <w:tcW w:w="551" w:type="pct"/>
            <w:tcBorders>
              <w:top w:val="nil"/>
              <w:left w:val="nil"/>
              <w:bottom w:val="single" w:sz="4" w:space="0" w:color="auto"/>
              <w:right w:val="single" w:sz="4" w:space="0" w:color="auto"/>
            </w:tcBorders>
            <w:shd w:val="clear" w:color="000000" w:fill="BDE3FF"/>
            <w:noWrap/>
            <w:hideMark/>
          </w:tcPr>
          <w:p w14:paraId="5A172D6F" w14:textId="77777777" w:rsidR="00EC3A95" w:rsidRDefault="00EC3A95">
            <w:pPr>
              <w:rPr>
                <w:b/>
                <w:bCs/>
                <w:noProof/>
                <w:color w:val="000000"/>
                <w:sz w:val="20"/>
                <w:szCs w:val="20"/>
              </w:rPr>
            </w:pPr>
            <w:r>
              <w:rPr>
                <w:b/>
                <w:bCs/>
                <w:noProof/>
                <w:color w:val="000000"/>
                <w:sz w:val="20"/>
                <w:szCs w:val="20"/>
              </w:rPr>
              <w:t> </w:t>
            </w:r>
          </w:p>
        </w:tc>
      </w:tr>
      <w:tr w:rsidR="00EC3A95" w14:paraId="6EEAE874" w14:textId="77777777" w:rsidTr="00EC3A95">
        <w:trPr>
          <w:trHeight w:val="255"/>
        </w:trPr>
        <w:tc>
          <w:tcPr>
            <w:tcW w:w="2793" w:type="pct"/>
            <w:tcBorders>
              <w:top w:val="nil"/>
              <w:left w:val="single" w:sz="4" w:space="0" w:color="auto"/>
              <w:bottom w:val="single" w:sz="4" w:space="0" w:color="auto"/>
              <w:right w:val="single" w:sz="4" w:space="0" w:color="auto"/>
            </w:tcBorders>
            <w:shd w:val="clear" w:color="000000" w:fill="E7F5FF"/>
            <w:noWrap/>
            <w:hideMark/>
          </w:tcPr>
          <w:p w14:paraId="4409367C" w14:textId="77777777" w:rsidR="00EC3A95" w:rsidRDefault="00EC3A95">
            <w:pPr>
              <w:rPr>
                <w:noProof/>
                <w:color w:val="000000"/>
                <w:sz w:val="20"/>
                <w:szCs w:val="20"/>
              </w:rPr>
            </w:pPr>
            <w:r>
              <w:rPr>
                <w:noProof/>
                <w:color w:val="000000"/>
                <w:sz w:val="20"/>
                <w:szCs w:val="20"/>
              </w:rPr>
              <w:t xml:space="preserve"> MDMS platforms </w:t>
            </w:r>
          </w:p>
        </w:tc>
        <w:tc>
          <w:tcPr>
            <w:tcW w:w="552" w:type="pct"/>
            <w:tcBorders>
              <w:top w:val="nil"/>
              <w:left w:val="nil"/>
              <w:bottom w:val="single" w:sz="4" w:space="0" w:color="auto"/>
              <w:right w:val="single" w:sz="4" w:space="0" w:color="auto"/>
            </w:tcBorders>
            <w:shd w:val="clear" w:color="000000" w:fill="E7F5FF"/>
            <w:noWrap/>
            <w:hideMark/>
          </w:tcPr>
          <w:p w14:paraId="307C1581" w14:textId="77777777" w:rsidR="00EC3A95" w:rsidRDefault="00EC3A95">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2351C344" w14:textId="77777777" w:rsidR="00EC3A95" w:rsidRDefault="00EC3A95">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12BCD389" w14:textId="77777777" w:rsidR="00EC3A95" w:rsidRDefault="00EC3A95">
            <w:pPr>
              <w:rPr>
                <w:noProof/>
                <w:color w:val="000000"/>
                <w:sz w:val="20"/>
                <w:szCs w:val="20"/>
              </w:rPr>
            </w:pPr>
            <w:r>
              <w:rPr>
                <w:noProof/>
                <w:color w:val="000000"/>
                <w:sz w:val="20"/>
                <w:szCs w:val="20"/>
              </w:rPr>
              <w:t> </w:t>
            </w:r>
          </w:p>
        </w:tc>
        <w:tc>
          <w:tcPr>
            <w:tcW w:w="551" w:type="pct"/>
            <w:tcBorders>
              <w:top w:val="nil"/>
              <w:left w:val="nil"/>
              <w:bottom w:val="single" w:sz="4" w:space="0" w:color="auto"/>
              <w:right w:val="single" w:sz="4" w:space="0" w:color="auto"/>
            </w:tcBorders>
            <w:shd w:val="clear" w:color="000000" w:fill="E7F5FF"/>
            <w:noWrap/>
            <w:hideMark/>
          </w:tcPr>
          <w:p w14:paraId="710BDB59" w14:textId="77777777" w:rsidR="00EC3A95" w:rsidRDefault="00EC3A95">
            <w:pPr>
              <w:rPr>
                <w:noProof/>
                <w:color w:val="000000"/>
                <w:sz w:val="20"/>
                <w:szCs w:val="20"/>
              </w:rPr>
            </w:pPr>
            <w:r>
              <w:rPr>
                <w:noProof/>
                <w:color w:val="000000"/>
                <w:sz w:val="20"/>
                <w:szCs w:val="20"/>
              </w:rPr>
              <w:t> </w:t>
            </w:r>
          </w:p>
        </w:tc>
      </w:tr>
      <w:tr w:rsidR="00EC3A95" w14:paraId="1F0945C7" w14:textId="77777777" w:rsidTr="00EC3A95">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44E4A58C" w14:textId="77777777" w:rsidR="00EC3A95" w:rsidRDefault="00EC3A95" w:rsidP="00EC3A95">
            <w:pPr>
              <w:ind w:left="164"/>
              <w:rPr>
                <w:noProof/>
                <w:color w:val="000000"/>
                <w:sz w:val="20"/>
                <w:szCs w:val="20"/>
              </w:rPr>
            </w:pPr>
            <w:r>
              <w:rPr>
                <w:noProof/>
                <w:color w:val="000000"/>
                <w:sz w:val="20"/>
                <w:szCs w:val="20"/>
              </w:rPr>
              <w:t>Administrative costs for the designation of indispensable MDMS and Rus (PM10)</w:t>
            </w:r>
          </w:p>
        </w:tc>
        <w:tc>
          <w:tcPr>
            <w:tcW w:w="552" w:type="pct"/>
            <w:tcBorders>
              <w:top w:val="nil"/>
              <w:left w:val="nil"/>
              <w:bottom w:val="single" w:sz="4" w:space="0" w:color="auto"/>
              <w:right w:val="single" w:sz="4" w:space="0" w:color="auto"/>
            </w:tcBorders>
            <w:shd w:val="clear" w:color="000000" w:fill="FFFFFF"/>
            <w:noWrap/>
            <w:hideMark/>
          </w:tcPr>
          <w:p w14:paraId="12AFCBFF" w14:textId="77777777" w:rsidR="00EC3A95" w:rsidRDefault="00EC3A95">
            <w:pPr>
              <w:jc w:val="right"/>
              <w:rPr>
                <w:noProof/>
                <w:color w:val="000000"/>
                <w:sz w:val="20"/>
                <w:szCs w:val="20"/>
              </w:rPr>
            </w:pPr>
            <w:r>
              <w:rPr>
                <w:noProof/>
                <w:color w:val="000000"/>
                <w:sz w:val="20"/>
                <w:szCs w:val="20"/>
              </w:rPr>
              <w:t>0.8</w:t>
            </w:r>
          </w:p>
        </w:tc>
        <w:tc>
          <w:tcPr>
            <w:tcW w:w="552" w:type="pct"/>
            <w:tcBorders>
              <w:top w:val="nil"/>
              <w:left w:val="nil"/>
              <w:bottom w:val="single" w:sz="4" w:space="0" w:color="auto"/>
              <w:right w:val="single" w:sz="4" w:space="0" w:color="auto"/>
            </w:tcBorders>
            <w:shd w:val="clear" w:color="000000" w:fill="FFFFFF"/>
            <w:noWrap/>
            <w:hideMark/>
          </w:tcPr>
          <w:p w14:paraId="7D31AAD5" w14:textId="77777777" w:rsidR="00EC3A95" w:rsidRDefault="00EC3A95">
            <w:pPr>
              <w:jc w:val="right"/>
              <w:rPr>
                <w:noProof/>
                <w:color w:val="000000"/>
                <w:sz w:val="20"/>
                <w:szCs w:val="20"/>
              </w:rPr>
            </w:pPr>
            <w:r>
              <w:rPr>
                <w:noProof/>
                <w:color w:val="000000"/>
                <w:sz w:val="20"/>
                <w:szCs w:val="20"/>
              </w:rPr>
              <w:t>0.8</w:t>
            </w:r>
          </w:p>
        </w:tc>
        <w:tc>
          <w:tcPr>
            <w:tcW w:w="552" w:type="pct"/>
            <w:tcBorders>
              <w:top w:val="nil"/>
              <w:left w:val="nil"/>
              <w:bottom w:val="single" w:sz="4" w:space="0" w:color="auto"/>
              <w:right w:val="single" w:sz="4" w:space="0" w:color="auto"/>
            </w:tcBorders>
            <w:shd w:val="clear" w:color="000000" w:fill="FFFFFF"/>
            <w:noWrap/>
            <w:hideMark/>
          </w:tcPr>
          <w:p w14:paraId="7573AC3B" w14:textId="77777777" w:rsidR="00EC3A95" w:rsidRDefault="00EC3A95">
            <w:pPr>
              <w:jc w:val="right"/>
              <w:rPr>
                <w:noProof/>
                <w:color w:val="000000"/>
                <w:sz w:val="20"/>
                <w:szCs w:val="20"/>
              </w:rPr>
            </w:pPr>
            <w:r>
              <w:rPr>
                <w:noProof/>
                <w:color w:val="000000"/>
                <w:sz w:val="20"/>
                <w:szCs w:val="20"/>
              </w:rPr>
              <w:t>0.8</w:t>
            </w:r>
          </w:p>
        </w:tc>
        <w:tc>
          <w:tcPr>
            <w:tcW w:w="551" w:type="pct"/>
            <w:tcBorders>
              <w:top w:val="nil"/>
              <w:left w:val="nil"/>
              <w:bottom w:val="single" w:sz="4" w:space="0" w:color="auto"/>
              <w:right w:val="single" w:sz="4" w:space="0" w:color="auto"/>
            </w:tcBorders>
            <w:shd w:val="clear" w:color="000000" w:fill="FFFFFF"/>
            <w:noWrap/>
            <w:hideMark/>
          </w:tcPr>
          <w:p w14:paraId="71A34133" w14:textId="77777777" w:rsidR="00EC3A95" w:rsidRDefault="00EC3A95">
            <w:pPr>
              <w:jc w:val="right"/>
              <w:rPr>
                <w:noProof/>
                <w:color w:val="000000"/>
                <w:sz w:val="20"/>
                <w:szCs w:val="20"/>
              </w:rPr>
            </w:pPr>
            <w:r>
              <w:rPr>
                <w:noProof/>
                <w:color w:val="000000"/>
                <w:sz w:val="20"/>
                <w:szCs w:val="20"/>
              </w:rPr>
              <w:t>0.8</w:t>
            </w:r>
          </w:p>
        </w:tc>
      </w:tr>
      <w:tr w:rsidR="00EC3A95" w14:paraId="105698A6" w14:textId="77777777" w:rsidTr="00EC3A95">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41C6ADB2" w14:textId="77777777" w:rsidR="00EC3A95" w:rsidRDefault="00EC3A95" w:rsidP="00EC3A95">
            <w:pPr>
              <w:ind w:left="164"/>
              <w:rPr>
                <w:noProof/>
                <w:color w:val="000000"/>
                <w:sz w:val="20"/>
                <w:szCs w:val="20"/>
              </w:rPr>
            </w:pPr>
            <w:r>
              <w:rPr>
                <w:noProof/>
                <w:color w:val="000000"/>
                <w:sz w:val="20"/>
                <w:szCs w:val="20"/>
              </w:rPr>
              <w:t>Adjustment cost savings for commercial agreement rules for indispensable MDMS (PM11)</w:t>
            </w:r>
          </w:p>
        </w:tc>
        <w:tc>
          <w:tcPr>
            <w:tcW w:w="552" w:type="pct"/>
            <w:tcBorders>
              <w:top w:val="nil"/>
              <w:left w:val="nil"/>
              <w:bottom w:val="single" w:sz="4" w:space="0" w:color="auto"/>
              <w:right w:val="single" w:sz="4" w:space="0" w:color="auto"/>
            </w:tcBorders>
            <w:shd w:val="clear" w:color="000000" w:fill="FFFFFF"/>
            <w:noWrap/>
            <w:hideMark/>
          </w:tcPr>
          <w:p w14:paraId="7E026DA9" w14:textId="77777777" w:rsidR="00EC3A95" w:rsidRDefault="00EC3A95">
            <w:pPr>
              <w:jc w:val="right"/>
              <w:rPr>
                <w:noProof/>
                <w:color w:val="000000"/>
                <w:sz w:val="20"/>
                <w:szCs w:val="20"/>
              </w:rPr>
            </w:pPr>
            <w:r>
              <w:rPr>
                <w:noProof/>
                <w:color w:val="000000"/>
                <w:sz w:val="20"/>
                <w:szCs w:val="20"/>
              </w:rPr>
              <w:t>12.4</w:t>
            </w:r>
          </w:p>
        </w:tc>
        <w:tc>
          <w:tcPr>
            <w:tcW w:w="552" w:type="pct"/>
            <w:tcBorders>
              <w:top w:val="nil"/>
              <w:left w:val="nil"/>
              <w:bottom w:val="single" w:sz="4" w:space="0" w:color="auto"/>
              <w:right w:val="single" w:sz="4" w:space="0" w:color="auto"/>
            </w:tcBorders>
            <w:shd w:val="clear" w:color="000000" w:fill="FFFFFF"/>
            <w:noWrap/>
            <w:hideMark/>
          </w:tcPr>
          <w:p w14:paraId="3E35F118" w14:textId="77777777" w:rsidR="00EC3A95" w:rsidRDefault="00EC3A95">
            <w:pPr>
              <w:jc w:val="right"/>
              <w:rPr>
                <w:noProof/>
                <w:color w:val="000000"/>
                <w:sz w:val="20"/>
                <w:szCs w:val="20"/>
              </w:rPr>
            </w:pPr>
            <w:r>
              <w:rPr>
                <w:noProof/>
                <w:color w:val="000000"/>
                <w:sz w:val="20"/>
                <w:szCs w:val="20"/>
              </w:rPr>
              <w:t>144.2</w:t>
            </w:r>
          </w:p>
        </w:tc>
        <w:tc>
          <w:tcPr>
            <w:tcW w:w="552" w:type="pct"/>
            <w:tcBorders>
              <w:top w:val="nil"/>
              <w:left w:val="nil"/>
              <w:bottom w:val="single" w:sz="4" w:space="0" w:color="auto"/>
              <w:right w:val="single" w:sz="4" w:space="0" w:color="auto"/>
            </w:tcBorders>
            <w:shd w:val="clear" w:color="000000" w:fill="FFFFFF"/>
            <w:noWrap/>
            <w:hideMark/>
          </w:tcPr>
          <w:p w14:paraId="366EF392" w14:textId="77777777" w:rsidR="00EC3A95" w:rsidRDefault="00EC3A95">
            <w:pPr>
              <w:jc w:val="right"/>
              <w:rPr>
                <w:noProof/>
                <w:color w:val="000000"/>
                <w:sz w:val="20"/>
                <w:szCs w:val="20"/>
              </w:rPr>
            </w:pPr>
            <w:r>
              <w:rPr>
                <w:noProof/>
                <w:color w:val="000000"/>
                <w:sz w:val="20"/>
                <w:szCs w:val="20"/>
              </w:rPr>
              <w:t>129.8</w:t>
            </w:r>
          </w:p>
        </w:tc>
        <w:tc>
          <w:tcPr>
            <w:tcW w:w="551" w:type="pct"/>
            <w:tcBorders>
              <w:top w:val="nil"/>
              <w:left w:val="nil"/>
              <w:bottom w:val="single" w:sz="4" w:space="0" w:color="auto"/>
              <w:right w:val="single" w:sz="4" w:space="0" w:color="auto"/>
            </w:tcBorders>
            <w:shd w:val="clear" w:color="000000" w:fill="FFFFFF"/>
            <w:noWrap/>
            <w:hideMark/>
          </w:tcPr>
          <w:p w14:paraId="5982F750" w14:textId="77777777" w:rsidR="00EC3A95" w:rsidRDefault="00EC3A95">
            <w:pPr>
              <w:jc w:val="right"/>
              <w:rPr>
                <w:noProof/>
                <w:color w:val="000000"/>
                <w:sz w:val="20"/>
                <w:szCs w:val="20"/>
              </w:rPr>
            </w:pPr>
            <w:r>
              <w:rPr>
                <w:noProof/>
                <w:color w:val="000000"/>
                <w:sz w:val="20"/>
                <w:szCs w:val="20"/>
              </w:rPr>
              <w:t>138.3</w:t>
            </w:r>
          </w:p>
        </w:tc>
      </w:tr>
      <w:tr w:rsidR="00EC3A95" w14:paraId="412185B5" w14:textId="77777777" w:rsidTr="00EC3A95">
        <w:trPr>
          <w:trHeight w:val="255"/>
        </w:trPr>
        <w:tc>
          <w:tcPr>
            <w:tcW w:w="2793" w:type="pct"/>
            <w:tcBorders>
              <w:top w:val="nil"/>
              <w:left w:val="single" w:sz="4" w:space="0" w:color="auto"/>
              <w:bottom w:val="single" w:sz="4" w:space="0" w:color="auto"/>
              <w:right w:val="single" w:sz="4" w:space="0" w:color="auto"/>
            </w:tcBorders>
            <w:shd w:val="clear" w:color="000000" w:fill="E7F5FF"/>
            <w:noWrap/>
            <w:hideMark/>
          </w:tcPr>
          <w:p w14:paraId="652AD0F3" w14:textId="77777777" w:rsidR="00EC3A95" w:rsidRDefault="00EC3A95">
            <w:pPr>
              <w:rPr>
                <w:noProof/>
                <w:color w:val="000000"/>
                <w:sz w:val="20"/>
                <w:szCs w:val="20"/>
              </w:rPr>
            </w:pPr>
            <w:r>
              <w:rPr>
                <w:noProof/>
                <w:color w:val="000000"/>
                <w:sz w:val="20"/>
                <w:szCs w:val="20"/>
              </w:rPr>
              <w:t xml:space="preserve"> Transport operators </w:t>
            </w:r>
          </w:p>
        </w:tc>
        <w:tc>
          <w:tcPr>
            <w:tcW w:w="552" w:type="pct"/>
            <w:tcBorders>
              <w:top w:val="nil"/>
              <w:left w:val="nil"/>
              <w:bottom w:val="single" w:sz="4" w:space="0" w:color="auto"/>
              <w:right w:val="single" w:sz="4" w:space="0" w:color="auto"/>
            </w:tcBorders>
            <w:shd w:val="clear" w:color="000000" w:fill="E7F5FF"/>
            <w:noWrap/>
            <w:hideMark/>
          </w:tcPr>
          <w:p w14:paraId="369EE068" w14:textId="77777777" w:rsidR="00EC3A95" w:rsidRDefault="00EC3A95">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0813BF5D" w14:textId="77777777" w:rsidR="00EC3A95" w:rsidRDefault="00EC3A95">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78A1147E" w14:textId="77777777" w:rsidR="00EC3A95" w:rsidRDefault="00EC3A95">
            <w:pPr>
              <w:rPr>
                <w:noProof/>
                <w:color w:val="000000"/>
                <w:sz w:val="20"/>
                <w:szCs w:val="20"/>
              </w:rPr>
            </w:pPr>
            <w:r>
              <w:rPr>
                <w:noProof/>
                <w:color w:val="000000"/>
                <w:sz w:val="20"/>
                <w:szCs w:val="20"/>
              </w:rPr>
              <w:t> </w:t>
            </w:r>
          </w:p>
        </w:tc>
        <w:tc>
          <w:tcPr>
            <w:tcW w:w="551" w:type="pct"/>
            <w:tcBorders>
              <w:top w:val="nil"/>
              <w:left w:val="nil"/>
              <w:bottom w:val="single" w:sz="4" w:space="0" w:color="auto"/>
              <w:right w:val="single" w:sz="4" w:space="0" w:color="auto"/>
            </w:tcBorders>
            <w:shd w:val="clear" w:color="000000" w:fill="E7F5FF"/>
            <w:noWrap/>
            <w:hideMark/>
          </w:tcPr>
          <w:p w14:paraId="569C3170" w14:textId="77777777" w:rsidR="00EC3A95" w:rsidRDefault="00EC3A95">
            <w:pPr>
              <w:rPr>
                <w:noProof/>
                <w:color w:val="000000"/>
                <w:sz w:val="20"/>
                <w:szCs w:val="20"/>
              </w:rPr>
            </w:pPr>
            <w:r>
              <w:rPr>
                <w:noProof/>
                <w:color w:val="000000"/>
                <w:sz w:val="20"/>
                <w:szCs w:val="20"/>
              </w:rPr>
              <w:t> </w:t>
            </w:r>
          </w:p>
        </w:tc>
      </w:tr>
      <w:tr w:rsidR="00EC3A95" w14:paraId="0B484273" w14:textId="77777777" w:rsidTr="00EC3A95">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3E13396F" w14:textId="77777777" w:rsidR="00EC3A95" w:rsidRDefault="00EC3A95" w:rsidP="00EC3A95">
            <w:pPr>
              <w:ind w:left="164"/>
              <w:rPr>
                <w:noProof/>
                <w:color w:val="000000"/>
                <w:sz w:val="20"/>
                <w:szCs w:val="20"/>
              </w:rPr>
            </w:pPr>
            <w:r>
              <w:rPr>
                <w:noProof/>
                <w:color w:val="000000"/>
                <w:sz w:val="20"/>
                <w:szCs w:val="20"/>
              </w:rPr>
              <w:t>Adjustment cost savings for commercial agreement rules for indispensable MDMS (PM11)</w:t>
            </w:r>
          </w:p>
        </w:tc>
        <w:tc>
          <w:tcPr>
            <w:tcW w:w="552" w:type="pct"/>
            <w:tcBorders>
              <w:top w:val="nil"/>
              <w:left w:val="nil"/>
              <w:bottom w:val="single" w:sz="4" w:space="0" w:color="auto"/>
              <w:right w:val="single" w:sz="4" w:space="0" w:color="auto"/>
            </w:tcBorders>
            <w:shd w:val="clear" w:color="000000" w:fill="FFFFFF"/>
            <w:noWrap/>
            <w:hideMark/>
          </w:tcPr>
          <w:p w14:paraId="028F3883" w14:textId="77777777" w:rsidR="00EC3A95" w:rsidRDefault="00EC3A95">
            <w:pPr>
              <w:jc w:val="right"/>
              <w:rPr>
                <w:noProof/>
                <w:color w:val="000000"/>
                <w:sz w:val="20"/>
                <w:szCs w:val="20"/>
              </w:rPr>
            </w:pPr>
            <w:r>
              <w:rPr>
                <w:noProof/>
                <w:color w:val="000000"/>
                <w:sz w:val="20"/>
                <w:szCs w:val="20"/>
              </w:rPr>
              <w:t>12.4</w:t>
            </w:r>
          </w:p>
        </w:tc>
        <w:tc>
          <w:tcPr>
            <w:tcW w:w="552" w:type="pct"/>
            <w:tcBorders>
              <w:top w:val="nil"/>
              <w:left w:val="nil"/>
              <w:bottom w:val="single" w:sz="4" w:space="0" w:color="auto"/>
              <w:right w:val="single" w:sz="4" w:space="0" w:color="auto"/>
            </w:tcBorders>
            <w:shd w:val="clear" w:color="000000" w:fill="FFFFFF"/>
            <w:noWrap/>
            <w:hideMark/>
          </w:tcPr>
          <w:p w14:paraId="4B779D41" w14:textId="77777777" w:rsidR="00EC3A95" w:rsidRDefault="00EC3A95">
            <w:pPr>
              <w:jc w:val="right"/>
              <w:rPr>
                <w:noProof/>
                <w:color w:val="000000"/>
                <w:sz w:val="20"/>
                <w:szCs w:val="20"/>
              </w:rPr>
            </w:pPr>
            <w:r>
              <w:rPr>
                <w:noProof/>
                <w:color w:val="000000"/>
                <w:sz w:val="20"/>
                <w:szCs w:val="20"/>
              </w:rPr>
              <w:t>144.2</w:t>
            </w:r>
          </w:p>
        </w:tc>
        <w:tc>
          <w:tcPr>
            <w:tcW w:w="552" w:type="pct"/>
            <w:tcBorders>
              <w:top w:val="nil"/>
              <w:left w:val="nil"/>
              <w:bottom w:val="single" w:sz="4" w:space="0" w:color="auto"/>
              <w:right w:val="single" w:sz="4" w:space="0" w:color="auto"/>
            </w:tcBorders>
            <w:shd w:val="clear" w:color="000000" w:fill="FFFFFF"/>
            <w:noWrap/>
            <w:hideMark/>
          </w:tcPr>
          <w:p w14:paraId="46D8B223" w14:textId="77777777" w:rsidR="00EC3A95" w:rsidRDefault="00EC3A95">
            <w:pPr>
              <w:jc w:val="right"/>
              <w:rPr>
                <w:noProof/>
                <w:color w:val="000000"/>
                <w:sz w:val="20"/>
                <w:szCs w:val="20"/>
              </w:rPr>
            </w:pPr>
            <w:r>
              <w:rPr>
                <w:noProof/>
                <w:color w:val="000000"/>
                <w:sz w:val="20"/>
                <w:szCs w:val="20"/>
              </w:rPr>
              <w:t>129.8</w:t>
            </w:r>
          </w:p>
        </w:tc>
        <w:tc>
          <w:tcPr>
            <w:tcW w:w="551" w:type="pct"/>
            <w:tcBorders>
              <w:top w:val="nil"/>
              <w:left w:val="nil"/>
              <w:bottom w:val="single" w:sz="4" w:space="0" w:color="auto"/>
              <w:right w:val="single" w:sz="4" w:space="0" w:color="auto"/>
            </w:tcBorders>
            <w:shd w:val="clear" w:color="000000" w:fill="FFFFFF"/>
            <w:noWrap/>
            <w:hideMark/>
          </w:tcPr>
          <w:p w14:paraId="0236CC4C" w14:textId="77777777" w:rsidR="00EC3A95" w:rsidRDefault="00EC3A95">
            <w:pPr>
              <w:jc w:val="right"/>
              <w:rPr>
                <w:noProof/>
                <w:color w:val="000000"/>
                <w:sz w:val="20"/>
                <w:szCs w:val="20"/>
              </w:rPr>
            </w:pPr>
            <w:r>
              <w:rPr>
                <w:noProof/>
                <w:color w:val="000000"/>
                <w:sz w:val="20"/>
                <w:szCs w:val="20"/>
              </w:rPr>
              <w:t>138.3</w:t>
            </w:r>
          </w:p>
        </w:tc>
      </w:tr>
      <w:tr w:rsidR="00EC3A95" w14:paraId="358BA28C" w14:textId="77777777" w:rsidTr="00EC3A95">
        <w:trPr>
          <w:trHeight w:val="284"/>
        </w:trPr>
        <w:tc>
          <w:tcPr>
            <w:tcW w:w="2793" w:type="pct"/>
            <w:tcBorders>
              <w:top w:val="nil"/>
              <w:left w:val="single" w:sz="4" w:space="0" w:color="auto"/>
              <w:bottom w:val="single" w:sz="4" w:space="0" w:color="auto"/>
              <w:right w:val="single" w:sz="4" w:space="0" w:color="auto"/>
            </w:tcBorders>
            <w:shd w:val="clear" w:color="000000" w:fill="BDE3FF"/>
            <w:hideMark/>
          </w:tcPr>
          <w:p w14:paraId="6E29EA27" w14:textId="77777777" w:rsidR="00EC3A95" w:rsidRDefault="00EC3A95">
            <w:pPr>
              <w:rPr>
                <w:b/>
                <w:bCs/>
                <w:i/>
                <w:iCs/>
                <w:noProof/>
                <w:color w:val="000000"/>
                <w:sz w:val="20"/>
                <w:szCs w:val="20"/>
              </w:rPr>
            </w:pPr>
            <w:r>
              <w:rPr>
                <w:b/>
                <w:bCs/>
                <w:i/>
                <w:iCs/>
                <w:noProof/>
                <w:color w:val="000000"/>
                <w:sz w:val="20"/>
                <w:szCs w:val="20"/>
              </w:rPr>
              <w:t>% change 'low SMP threshold' case relative to the base case</w:t>
            </w:r>
          </w:p>
        </w:tc>
        <w:tc>
          <w:tcPr>
            <w:tcW w:w="552" w:type="pct"/>
            <w:tcBorders>
              <w:top w:val="nil"/>
              <w:left w:val="nil"/>
              <w:bottom w:val="single" w:sz="4" w:space="0" w:color="auto"/>
              <w:right w:val="single" w:sz="4" w:space="0" w:color="auto"/>
            </w:tcBorders>
            <w:shd w:val="clear" w:color="000000" w:fill="BDE3FF"/>
            <w:noWrap/>
            <w:hideMark/>
          </w:tcPr>
          <w:p w14:paraId="5908C9BA" w14:textId="77777777" w:rsidR="00EC3A95" w:rsidRDefault="00EC3A95">
            <w:pPr>
              <w:rPr>
                <w:rFonts w:ascii="Arial" w:hAnsi="Arial" w:cs="Arial"/>
                <w:noProof/>
                <w:color w:val="000000"/>
                <w:sz w:val="20"/>
                <w:szCs w:val="20"/>
              </w:rPr>
            </w:pPr>
            <w:r>
              <w:rPr>
                <w:rFonts w:ascii="Arial" w:hAnsi="Arial" w:cs="Arial"/>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412FC0F5" w14:textId="77777777" w:rsidR="00EC3A95" w:rsidRDefault="00EC3A95">
            <w:pPr>
              <w:rPr>
                <w:rFonts w:ascii="Arial" w:hAnsi="Arial" w:cs="Arial"/>
                <w:noProof/>
                <w:color w:val="000000"/>
                <w:sz w:val="20"/>
                <w:szCs w:val="20"/>
              </w:rPr>
            </w:pPr>
            <w:r>
              <w:rPr>
                <w:rFonts w:ascii="Arial" w:hAnsi="Arial" w:cs="Arial"/>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600A4F6B" w14:textId="77777777" w:rsidR="00EC3A95" w:rsidRDefault="00EC3A95">
            <w:pPr>
              <w:rPr>
                <w:rFonts w:ascii="Arial" w:hAnsi="Arial" w:cs="Arial"/>
                <w:noProof/>
                <w:color w:val="000000"/>
                <w:sz w:val="20"/>
                <w:szCs w:val="20"/>
              </w:rPr>
            </w:pPr>
            <w:r>
              <w:rPr>
                <w:rFonts w:ascii="Arial" w:hAnsi="Arial" w:cs="Arial"/>
                <w:noProof/>
                <w:color w:val="000000"/>
                <w:sz w:val="20"/>
                <w:szCs w:val="20"/>
              </w:rPr>
              <w:t> </w:t>
            </w:r>
          </w:p>
        </w:tc>
        <w:tc>
          <w:tcPr>
            <w:tcW w:w="551" w:type="pct"/>
            <w:tcBorders>
              <w:top w:val="nil"/>
              <w:left w:val="nil"/>
              <w:bottom w:val="single" w:sz="4" w:space="0" w:color="auto"/>
              <w:right w:val="single" w:sz="4" w:space="0" w:color="auto"/>
            </w:tcBorders>
            <w:shd w:val="clear" w:color="000000" w:fill="BDE3FF"/>
            <w:noWrap/>
            <w:hideMark/>
          </w:tcPr>
          <w:p w14:paraId="0695A29A" w14:textId="77777777" w:rsidR="00EC3A95" w:rsidRDefault="00EC3A95">
            <w:pPr>
              <w:rPr>
                <w:rFonts w:ascii="Arial" w:hAnsi="Arial" w:cs="Arial"/>
                <w:noProof/>
                <w:color w:val="000000"/>
                <w:sz w:val="20"/>
                <w:szCs w:val="20"/>
              </w:rPr>
            </w:pPr>
            <w:r>
              <w:rPr>
                <w:rFonts w:ascii="Arial" w:hAnsi="Arial" w:cs="Arial"/>
                <w:noProof/>
                <w:color w:val="000000"/>
                <w:sz w:val="20"/>
                <w:szCs w:val="20"/>
              </w:rPr>
              <w:t> </w:t>
            </w:r>
          </w:p>
        </w:tc>
      </w:tr>
      <w:tr w:rsidR="00EC3A95" w14:paraId="6B373826" w14:textId="77777777" w:rsidTr="00EC3A95">
        <w:trPr>
          <w:trHeight w:val="255"/>
        </w:trPr>
        <w:tc>
          <w:tcPr>
            <w:tcW w:w="2793" w:type="pct"/>
            <w:tcBorders>
              <w:top w:val="nil"/>
              <w:left w:val="single" w:sz="4" w:space="0" w:color="auto"/>
              <w:bottom w:val="single" w:sz="4" w:space="0" w:color="auto"/>
              <w:right w:val="single" w:sz="4" w:space="0" w:color="auto"/>
            </w:tcBorders>
            <w:shd w:val="clear" w:color="000000" w:fill="E7F5FF"/>
            <w:noWrap/>
            <w:hideMark/>
          </w:tcPr>
          <w:p w14:paraId="48E79BF7" w14:textId="77777777" w:rsidR="00EC3A95" w:rsidRDefault="00EC3A95">
            <w:pPr>
              <w:rPr>
                <w:noProof/>
                <w:color w:val="000000"/>
                <w:sz w:val="20"/>
                <w:szCs w:val="20"/>
              </w:rPr>
            </w:pPr>
            <w:r>
              <w:rPr>
                <w:noProof/>
                <w:color w:val="000000"/>
                <w:sz w:val="20"/>
                <w:szCs w:val="20"/>
              </w:rPr>
              <w:t xml:space="preserve"> MDMS platforms </w:t>
            </w:r>
          </w:p>
        </w:tc>
        <w:tc>
          <w:tcPr>
            <w:tcW w:w="552" w:type="pct"/>
            <w:tcBorders>
              <w:top w:val="nil"/>
              <w:left w:val="nil"/>
              <w:bottom w:val="single" w:sz="4" w:space="0" w:color="auto"/>
              <w:right w:val="single" w:sz="4" w:space="0" w:color="auto"/>
            </w:tcBorders>
            <w:shd w:val="clear" w:color="000000" w:fill="E7F5FF"/>
            <w:noWrap/>
            <w:hideMark/>
          </w:tcPr>
          <w:p w14:paraId="78573B07" w14:textId="77777777" w:rsidR="00EC3A95" w:rsidRDefault="00EC3A95">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458075C0" w14:textId="77777777" w:rsidR="00EC3A95" w:rsidRDefault="00EC3A95">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6C322A7A" w14:textId="77777777" w:rsidR="00EC3A95" w:rsidRDefault="00EC3A95">
            <w:pPr>
              <w:rPr>
                <w:noProof/>
                <w:color w:val="000000"/>
                <w:sz w:val="20"/>
                <w:szCs w:val="20"/>
              </w:rPr>
            </w:pPr>
            <w:r>
              <w:rPr>
                <w:noProof/>
                <w:color w:val="000000"/>
                <w:sz w:val="20"/>
                <w:szCs w:val="20"/>
              </w:rPr>
              <w:t> </w:t>
            </w:r>
          </w:p>
        </w:tc>
        <w:tc>
          <w:tcPr>
            <w:tcW w:w="551" w:type="pct"/>
            <w:tcBorders>
              <w:top w:val="nil"/>
              <w:left w:val="nil"/>
              <w:bottom w:val="single" w:sz="4" w:space="0" w:color="auto"/>
              <w:right w:val="single" w:sz="4" w:space="0" w:color="auto"/>
            </w:tcBorders>
            <w:shd w:val="clear" w:color="000000" w:fill="E7F5FF"/>
            <w:noWrap/>
            <w:hideMark/>
          </w:tcPr>
          <w:p w14:paraId="5B948174" w14:textId="77777777" w:rsidR="00EC3A95" w:rsidRDefault="00EC3A95">
            <w:pPr>
              <w:rPr>
                <w:noProof/>
                <w:color w:val="000000"/>
                <w:sz w:val="20"/>
                <w:szCs w:val="20"/>
              </w:rPr>
            </w:pPr>
            <w:r>
              <w:rPr>
                <w:noProof/>
                <w:color w:val="000000"/>
                <w:sz w:val="20"/>
                <w:szCs w:val="20"/>
              </w:rPr>
              <w:t> </w:t>
            </w:r>
          </w:p>
        </w:tc>
      </w:tr>
      <w:tr w:rsidR="00EC3A95" w14:paraId="526E2B88" w14:textId="77777777" w:rsidTr="00EC3A95">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4071F10E" w14:textId="77777777" w:rsidR="00EC3A95" w:rsidRDefault="00EC3A95" w:rsidP="00EC3A95">
            <w:pPr>
              <w:ind w:left="164"/>
              <w:rPr>
                <w:noProof/>
                <w:color w:val="000000"/>
                <w:sz w:val="20"/>
                <w:szCs w:val="20"/>
              </w:rPr>
            </w:pPr>
            <w:r>
              <w:rPr>
                <w:noProof/>
                <w:color w:val="000000"/>
                <w:sz w:val="20"/>
                <w:szCs w:val="20"/>
              </w:rPr>
              <w:t>Administrative costs for the designation of indispensable MDMS and Rus (PM10)</w:t>
            </w:r>
          </w:p>
        </w:tc>
        <w:tc>
          <w:tcPr>
            <w:tcW w:w="552" w:type="pct"/>
            <w:tcBorders>
              <w:top w:val="nil"/>
              <w:left w:val="nil"/>
              <w:bottom w:val="single" w:sz="4" w:space="0" w:color="auto"/>
              <w:right w:val="single" w:sz="4" w:space="0" w:color="auto"/>
            </w:tcBorders>
            <w:shd w:val="clear" w:color="000000" w:fill="FFFFFF"/>
            <w:noWrap/>
            <w:hideMark/>
          </w:tcPr>
          <w:p w14:paraId="6E398B9C" w14:textId="77777777" w:rsidR="00EC3A95" w:rsidRDefault="00EC3A95">
            <w:pPr>
              <w:jc w:val="right"/>
              <w:rPr>
                <w:noProof/>
                <w:color w:val="000000"/>
                <w:sz w:val="20"/>
                <w:szCs w:val="20"/>
              </w:rPr>
            </w:pPr>
            <w:r>
              <w:rPr>
                <w:noProof/>
                <w:color w:val="000000"/>
                <w:sz w:val="20"/>
                <w:szCs w:val="20"/>
              </w:rPr>
              <w:t>75%</w:t>
            </w:r>
          </w:p>
        </w:tc>
        <w:tc>
          <w:tcPr>
            <w:tcW w:w="552" w:type="pct"/>
            <w:tcBorders>
              <w:top w:val="nil"/>
              <w:left w:val="nil"/>
              <w:bottom w:val="single" w:sz="4" w:space="0" w:color="auto"/>
              <w:right w:val="single" w:sz="4" w:space="0" w:color="auto"/>
            </w:tcBorders>
            <w:shd w:val="clear" w:color="000000" w:fill="FFFFFF"/>
            <w:noWrap/>
            <w:hideMark/>
          </w:tcPr>
          <w:p w14:paraId="30ADE499" w14:textId="77777777" w:rsidR="00EC3A95" w:rsidRDefault="00EC3A95">
            <w:pPr>
              <w:jc w:val="right"/>
              <w:rPr>
                <w:noProof/>
                <w:color w:val="000000"/>
                <w:sz w:val="20"/>
                <w:szCs w:val="20"/>
              </w:rPr>
            </w:pPr>
            <w:r>
              <w:rPr>
                <w:noProof/>
                <w:color w:val="000000"/>
                <w:sz w:val="20"/>
                <w:szCs w:val="20"/>
              </w:rPr>
              <w:t>75%</w:t>
            </w:r>
          </w:p>
        </w:tc>
        <w:tc>
          <w:tcPr>
            <w:tcW w:w="552" w:type="pct"/>
            <w:tcBorders>
              <w:top w:val="nil"/>
              <w:left w:val="nil"/>
              <w:bottom w:val="single" w:sz="4" w:space="0" w:color="auto"/>
              <w:right w:val="single" w:sz="4" w:space="0" w:color="auto"/>
            </w:tcBorders>
            <w:shd w:val="clear" w:color="000000" w:fill="FFFFFF"/>
            <w:noWrap/>
            <w:hideMark/>
          </w:tcPr>
          <w:p w14:paraId="1A277E0D" w14:textId="77777777" w:rsidR="00EC3A95" w:rsidRDefault="00EC3A95">
            <w:pPr>
              <w:jc w:val="right"/>
              <w:rPr>
                <w:noProof/>
                <w:color w:val="000000"/>
                <w:sz w:val="20"/>
                <w:szCs w:val="20"/>
              </w:rPr>
            </w:pPr>
            <w:r>
              <w:rPr>
                <w:noProof/>
                <w:color w:val="000000"/>
                <w:sz w:val="20"/>
                <w:szCs w:val="20"/>
              </w:rPr>
              <w:t>75%</w:t>
            </w:r>
          </w:p>
        </w:tc>
        <w:tc>
          <w:tcPr>
            <w:tcW w:w="551" w:type="pct"/>
            <w:tcBorders>
              <w:top w:val="nil"/>
              <w:left w:val="nil"/>
              <w:bottom w:val="single" w:sz="4" w:space="0" w:color="auto"/>
              <w:right w:val="single" w:sz="4" w:space="0" w:color="auto"/>
            </w:tcBorders>
            <w:shd w:val="clear" w:color="000000" w:fill="FFFFFF"/>
            <w:noWrap/>
            <w:hideMark/>
          </w:tcPr>
          <w:p w14:paraId="781B8299" w14:textId="77777777" w:rsidR="00EC3A95" w:rsidRDefault="00EC3A95">
            <w:pPr>
              <w:jc w:val="right"/>
              <w:rPr>
                <w:noProof/>
                <w:color w:val="000000"/>
                <w:sz w:val="20"/>
                <w:szCs w:val="20"/>
              </w:rPr>
            </w:pPr>
            <w:r>
              <w:rPr>
                <w:noProof/>
                <w:color w:val="000000"/>
                <w:sz w:val="20"/>
                <w:szCs w:val="20"/>
              </w:rPr>
              <w:t>75%</w:t>
            </w:r>
          </w:p>
        </w:tc>
      </w:tr>
      <w:tr w:rsidR="00EC3A95" w14:paraId="62C90581" w14:textId="77777777" w:rsidTr="00EC3A95">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6788D54C" w14:textId="77777777" w:rsidR="00EC3A95" w:rsidRDefault="00EC3A95" w:rsidP="00EC3A95">
            <w:pPr>
              <w:ind w:left="164"/>
              <w:rPr>
                <w:noProof/>
                <w:color w:val="000000"/>
                <w:sz w:val="20"/>
                <w:szCs w:val="20"/>
              </w:rPr>
            </w:pPr>
            <w:r>
              <w:rPr>
                <w:noProof/>
                <w:color w:val="000000"/>
                <w:sz w:val="20"/>
                <w:szCs w:val="20"/>
              </w:rPr>
              <w:t>Adjustment cost savings for commercial agreement rules for indispensable MDMS (PM11)</w:t>
            </w:r>
          </w:p>
        </w:tc>
        <w:tc>
          <w:tcPr>
            <w:tcW w:w="552" w:type="pct"/>
            <w:tcBorders>
              <w:top w:val="nil"/>
              <w:left w:val="nil"/>
              <w:bottom w:val="single" w:sz="4" w:space="0" w:color="auto"/>
              <w:right w:val="single" w:sz="4" w:space="0" w:color="auto"/>
            </w:tcBorders>
            <w:shd w:val="clear" w:color="000000" w:fill="FFFFFF"/>
            <w:noWrap/>
            <w:hideMark/>
          </w:tcPr>
          <w:p w14:paraId="076BBD19" w14:textId="77777777" w:rsidR="00EC3A95" w:rsidRDefault="00EC3A95">
            <w:pPr>
              <w:jc w:val="right"/>
              <w:rPr>
                <w:noProof/>
                <w:color w:val="000000"/>
                <w:sz w:val="20"/>
                <w:szCs w:val="20"/>
              </w:rPr>
            </w:pPr>
            <w:r>
              <w:rPr>
                <w:noProof/>
                <w:color w:val="000000"/>
                <w:sz w:val="20"/>
                <w:szCs w:val="20"/>
              </w:rPr>
              <w:t>3%</w:t>
            </w:r>
          </w:p>
        </w:tc>
        <w:tc>
          <w:tcPr>
            <w:tcW w:w="552" w:type="pct"/>
            <w:tcBorders>
              <w:top w:val="nil"/>
              <w:left w:val="nil"/>
              <w:bottom w:val="single" w:sz="4" w:space="0" w:color="auto"/>
              <w:right w:val="single" w:sz="4" w:space="0" w:color="auto"/>
            </w:tcBorders>
            <w:shd w:val="clear" w:color="000000" w:fill="FFFFFF"/>
            <w:noWrap/>
            <w:hideMark/>
          </w:tcPr>
          <w:p w14:paraId="4B421E8E" w14:textId="77777777" w:rsidR="00EC3A95" w:rsidRDefault="00EC3A95">
            <w:pPr>
              <w:jc w:val="right"/>
              <w:rPr>
                <w:noProof/>
                <w:color w:val="000000"/>
                <w:sz w:val="20"/>
                <w:szCs w:val="20"/>
              </w:rPr>
            </w:pPr>
            <w:r>
              <w:rPr>
                <w:noProof/>
                <w:color w:val="000000"/>
                <w:sz w:val="20"/>
                <w:szCs w:val="20"/>
              </w:rPr>
              <w:t>6%</w:t>
            </w:r>
          </w:p>
        </w:tc>
        <w:tc>
          <w:tcPr>
            <w:tcW w:w="552" w:type="pct"/>
            <w:tcBorders>
              <w:top w:val="nil"/>
              <w:left w:val="nil"/>
              <w:bottom w:val="single" w:sz="4" w:space="0" w:color="auto"/>
              <w:right w:val="single" w:sz="4" w:space="0" w:color="auto"/>
            </w:tcBorders>
            <w:shd w:val="clear" w:color="000000" w:fill="FFFFFF"/>
            <w:noWrap/>
            <w:hideMark/>
          </w:tcPr>
          <w:p w14:paraId="429B0973" w14:textId="77777777" w:rsidR="00EC3A95" w:rsidRDefault="00EC3A95">
            <w:pPr>
              <w:jc w:val="right"/>
              <w:rPr>
                <w:noProof/>
                <w:color w:val="000000"/>
                <w:sz w:val="20"/>
                <w:szCs w:val="20"/>
              </w:rPr>
            </w:pPr>
            <w:r>
              <w:rPr>
                <w:noProof/>
                <w:color w:val="000000"/>
                <w:sz w:val="20"/>
                <w:szCs w:val="20"/>
              </w:rPr>
              <w:t>6%</w:t>
            </w:r>
          </w:p>
        </w:tc>
        <w:tc>
          <w:tcPr>
            <w:tcW w:w="551" w:type="pct"/>
            <w:tcBorders>
              <w:top w:val="nil"/>
              <w:left w:val="nil"/>
              <w:bottom w:val="single" w:sz="4" w:space="0" w:color="auto"/>
              <w:right w:val="single" w:sz="4" w:space="0" w:color="auto"/>
            </w:tcBorders>
            <w:shd w:val="clear" w:color="000000" w:fill="FFFFFF"/>
            <w:noWrap/>
            <w:hideMark/>
          </w:tcPr>
          <w:p w14:paraId="50C64EC7" w14:textId="77777777" w:rsidR="00EC3A95" w:rsidRDefault="00EC3A95">
            <w:pPr>
              <w:jc w:val="right"/>
              <w:rPr>
                <w:noProof/>
                <w:color w:val="000000"/>
                <w:sz w:val="20"/>
                <w:szCs w:val="20"/>
              </w:rPr>
            </w:pPr>
            <w:r>
              <w:rPr>
                <w:noProof/>
                <w:color w:val="000000"/>
                <w:sz w:val="20"/>
                <w:szCs w:val="20"/>
              </w:rPr>
              <w:t>6%</w:t>
            </w:r>
          </w:p>
        </w:tc>
      </w:tr>
      <w:tr w:rsidR="00EC3A95" w14:paraId="67C60E68" w14:textId="77777777" w:rsidTr="00EC3A95">
        <w:trPr>
          <w:trHeight w:val="255"/>
        </w:trPr>
        <w:tc>
          <w:tcPr>
            <w:tcW w:w="2793" w:type="pct"/>
            <w:tcBorders>
              <w:top w:val="nil"/>
              <w:left w:val="single" w:sz="4" w:space="0" w:color="auto"/>
              <w:bottom w:val="single" w:sz="4" w:space="0" w:color="auto"/>
              <w:right w:val="single" w:sz="4" w:space="0" w:color="auto"/>
            </w:tcBorders>
            <w:shd w:val="clear" w:color="000000" w:fill="E7F5FF"/>
            <w:noWrap/>
            <w:hideMark/>
          </w:tcPr>
          <w:p w14:paraId="54E4FE34" w14:textId="77777777" w:rsidR="00EC3A95" w:rsidRDefault="00EC3A95">
            <w:pPr>
              <w:rPr>
                <w:noProof/>
                <w:color w:val="000000"/>
                <w:sz w:val="20"/>
                <w:szCs w:val="20"/>
              </w:rPr>
            </w:pPr>
            <w:r>
              <w:rPr>
                <w:noProof/>
                <w:color w:val="000000"/>
                <w:sz w:val="20"/>
                <w:szCs w:val="20"/>
              </w:rPr>
              <w:t xml:space="preserve"> Transport operators </w:t>
            </w:r>
          </w:p>
        </w:tc>
        <w:tc>
          <w:tcPr>
            <w:tcW w:w="552" w:type="pct"/>
            <w:tcBorders>
              <w:top w:val="nil"/>
              <w:left w:val="nil"/>
              <w:bottom w:val="single" w:sz="4" w:space="0" w:color="auto"/>
              <w:right w:val="single" w:sz="4" w:space="0" w:color="auto"/>
            </w:tcBorders>
            <w:shd w:val="clear" w:color="000000" w:fill="E7F5FF"/>
            <w:noWrap/>
            <w:hideMark/>
          </w:tcPr>
          <w:p w14:paraId="6FF8F0A5" w14:textId="77777777" w:rsidR="00EC3A95" w:rsidRDefault="00EC3A95">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3C34EF64" w14:textId="77777777" w:rsidR="00EC3A95" w:rsidRDefault="00EC3A95">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55D09622" w14:textId="77777777" w:rsidR="00EC3A95" w:rsidRDefault="00EC3A95">
            <w:pPr>
              <w:rPr>
                <w:noProof/>
                <w:color w:val="000000"/>
                <w:sz w:val="20"/>
                <w:szCs w:val="20"/>
              </w:rPr>
            </w:pPr>
            <w:r>
              <w:rPr>
                <w:noProof/>
                <w:color w:val="000000"/>
                <w:sz w:val="20"/>
                <w:szCs w:val="20"/>
              </w:rPr>
              <w:t> </w:t>
            </w:r>
          </w:p>
        </w:tc>
        <w:tc>
          <w:tcPr>
            <w:tcW w:w="551" w:type="pct"/>
            <w:tcBorders>
              <w:top w:val="nil"/>
              <w:left w:val="nil"/>
              <w:bottom w:val="single" w:sz="4" w:space="0" w:color="auto"/>
              <w:right w:val="single" w:sz="4" w:space="0" w:color="auto"/>
            </w:tcBorders>
            <w:shd w:val="clear" w:color="000000" w:fill="E7F5FF"/>
            <w:noWrap/>
            <w:hideMark/>
          </w:tcPr>
          <w:p w14:paraId="3E1C8924" w14:textId="77777777" w:rsidR="00EC3A95" w:rsidRDefault="00EC3A95">
            <w:pPr>
              <w:rPr>
                <w:noProof/>
                <w:color w:val="000000"/>
                <w:sz w:val="20"/>
                <w:szCs w:val="20"/>
              </w:rPr>
            </w:pPr>
            <w:r>
              <w:rPr>
                <w:noProof/>
                <w:color w:val="000000"/>
                <w:sz w:val="20"/>
                <w:szCs w:val="20"/>
              </w:rPr>
              <w:t> </w:t>
            </w:r>
          </w:p>
        </w:tc>
      </w:tr>
      <w:tr w:rsidR="00EC3A95" w14:paraId="4DC86FD1" w14:textId="77777777" w:rsidTr="00EC3A95">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34238DF0" w14:textId="77777777" w:rsidR="00EC3A95" w:rsidRDefault="00EC3A95" w:rsidP="00A3064B">
            <w:pPr>
              <w:keepNext/>
              <w:ind w:left="164"/>
              <w:rPr>
                <w:noProof/>
                <w:color w:val="000000"/>
                <w:sz w:val="20"/>
                <w:szCs w:val="20"/>
              </w:rPr>
            </w:pPr>
            <w:r>
              <w:rPr>
                <w:noProof/>
                <w:color w:val="000000"/>
                <w:sz w:val="20"/>
                <w:szCs w:val="20"/>
              </w:rPr>
              <w:t>Adjustment cost savings for commercial agreement rules for indispensable MDMS (PM11)</w:t>
            </w:r>
          </w:p>
        </w:tc>
        <w:tc>
          <w:tcPr>
            <w:tcW w:w="552" w:type="pct"/>
            <w:tcBorders>
              <w:top w:val="nil"/>
              <w:left w:val="nil"/>
              <w:bottom w:val="single" w:sz="4" w:space="0" w:color="auto"/>
              <w:right w:val="single" w:sz="4" w:space="0" w:color="auto"/>
            </w:tcBorders>
            <w:shd w:val="clear" w:color="000000" w:fill="FFFFFF"/>
            <w:noWrap/>
            <w:hideMark/>
          </w:tcPr>
          <w:p w14:paraId="53090814" w14:textId="77777777" w:rsidR="00EC3A95" w:rsidRDefault="00EC3A95" w:rsidP="00A3064B">
            <w:pPr>
              <w:keepNext/>
              <w:jc w:val="right"/>
              <w:rPr>
                <w:noProof/>
                <w:color w:val="000000"/>
                <w:sz w:val="20"/>
                <w:szCs w:val="20"/>
              </w:rPr>
            </w:pPr>
            <w:r>
              <w:rPr>
                <w:noProof/>
                <w:color w:val="000000"/>
                <w:sz w:val="20"/>
                <w:szCs w:val="20"/>
              </w:rPr>
              <w:t>3%</w:t>
            </w:r>
          </w:p>
        </w:tc>
        <w:tc>
          <w:tcPr>
            <w:tcW w:w="552" w:type="pct"/>
            <w:tcBorders>
              <w:top w:val="nil"/>
              <w:left w:val="nil"/>
              <w:bottom w:val="single" w:sz="4" w:space="0" w:color="auto"/>
              <w:right w:val="single" w:sz="4" w:space="0" w:color="auto"/>
            </w:tcBorders>
            <w:shd w:val="clear" w:color="000000" w:fill="FFFFFF"/>
            <w:noWrap/>
            <w:hideMark/>
          </w:tcPr>
          <w:p w14:paraId="1C87C394" w14:textId="77777777" w:rsidR="00EC3A95" w:rsidRDefault="00EC3A95" w:rsidP="00A3064B">
            <w:pPr>
              <w:keepNext/>
              <w:jc w:val="right"/>
              <w:rPr>
                <w:noProof/>
                <w:color w:val="000000"/>
                <w:sz w:val="20"/>
                <w:szCs w:val="20"/>
              </w:rPr>
            </w:pPr>
            <w:r>
              <w:rPr>
                <w:noProof/>
                <w:color w:val="000000"/>
                <w:sz w:val="20"/>
                <w:szCs w:val="20"/>
              </w:rPr>
              <w:t>6%</w:t>
            </w:r>
          </w:p>
        </w:tc>
        <w:tc>
          <w:tcPr>
            <w:tcW w:w="552" w:type="pct"/>
            <w:tcBorders>
              <w:top w:val="nil"/>
              <w:left w:val="nil"/>
              <w:bottom w:val="single" w:sz="4" w:space="0" w:color="auto"/>
              <w:right w:val="single" w:sz="4" w:space="0" w:color="auto"/>
            </w:tcBorders>
            <w:shd w:val="clear" w:color="000000" w:fill="FFFFFF"/>
            <w:noWrap/>
            <w:hideMark/>
          </w:tcPr>
          <w:p w14:paraId="1F66D637" w14:textId="77777777" w:rsidR="00EC3A95" w:rsidRDefault="00EC3A95" w:rsidP="00A3064B">
            <w:pPr>
              <w:keepNext/>
              <w:jc w:val="right"/>
              <w:rPr>
                <w:noProof/>
                <w:color w:val="000000"/>
                <w:sz w:val="20"/>
                <w:szCs w:val="20"/>
              </w:rPr>
            </w:pPr>
            <w:r>
              <w:rPr>
                <w:noProof/>
                <w:color w:val="000000"/>
                <w:sz w:val="20"/>
                <w:szCs w:val="20"/>
              </w:rPr>
              <w:t>6%</w:t>
            </w:r>
          </w:p>
        </w:tc>
        <w:tc>
          <w:tcPr>
            <w:tcW w:w="551" w:type="pct"/>
            <w:tcBorders>
              <w:top w:val="nil"/>
              <w:left w:val="nil"/>
              <w:bottom w:val="single" w:sz="4" w:space="0" w:color="auto"/>
              <w:right w:val="single" w:sz="4" w:space="0" w:color="auto"/>
            </w:tcBorders>
            <w:shd w:val="clear" w:color="000000" w:fill="FFFFFF"/>
            <w:noWrap/>
            <w:hideMark/>
          </w:tcPr>
          <w:p w14:paraId="4734C077" w14:textId="77777777" w:rsidR="00EC3A95" w:rsidRDefault="00EC3A95" w:rsidP="00A3064B">
            <w:pPr>
              <w:keepNext/>
              <w:jc w:val="right"/>
              <w:rPr>
                <w:noProof/>
                <w:color w:val="000000"/>
                <w:sz w:val="20"/>
                <w:szCs w:val="20"/>
              </w:rPr>
            </w:pPr>
            <w:r>
              <w:rPr>
                <w:noProof/>
                <w:color w:val="000000"/>
                <w:sz w:val="20"/>
                <w:szCs w:val="20"/>
              </w:rPr>
              <w:t>6%</w:t>
            </w:r>
          </w:p>
        </w:tc>
      </w:tr>
    </w:tbl>
    <w:p w14:paraId="5643ADAF" w14:textId="77777777" w:rsidR="00166C87" w:rsidRDefault="006A58C8" w:rsidP="00A3064B">
      <w:pPr>
        <w:keepNext/>
        <w:tabs>
          <w:tab w:val="left" w:pos="2302"/>
        </w:tabs>
        <w:spacing w:after="240"/>
        <w:jc w:val="both"/>
        <w:rPr>
          <w:i/>
          <w:iCs/>
          <w:noProof/>
          <w:sz w:val="20"/>
          <w:szCs w:val="20"/>
        </w:rPr>
      </w:pPr>
      <w:r w:rsidRPr="005D2D60" w:rsidDel="002E6031">
        <w:rPr>
          <w:rFonts w:cstheme="minorBidi"/>
          <w:i/>
          <w:noProof/>
          <w:sz w:val="22"/>
          <w:szCs w:val="22"/>
          <w:lang w:eastAsia="en-US"/>
        </w:rPr>
        <w:t xml:space="preserve"> </w:t>
      </w:r>
      <w:r w:rsidR="00166C87" w:rsidRPr="00FB0A72">
        <w:rPr>
          <w:i/>
          <w:iCs/>
          <w:noProof/>
          <w:spacing w:val="-8"/>
          <w:sz w:val="20"/>
          <w:szCs w:val="20"/>
        </w:rPr>
        <w:t xml:space="preserve">Source: </w:t>
      </w:r>
      <w:r w:rsidR="00166C87" w:rsidRPr="00FB0A72">
        <w:rPr>
          <w:i/>
          <w:iCs/>
          <w:noProof/>
          <w:sz w:val="20"/>
          <w:szCs w:val="20"/>
        </w:rPr>
        <w:t>Ricardo et al. (2026), Impact assessment support study</w:t>
      </w:r>
    </w:p>
    <w:p w14:paraId="514AA443" w14:textId="6AD54E38" w:rsidR="00A27C6C" w:rsidRDefault="00AD6196" w:rsidP="00622012">
      <w:pPr>
        <w:tabs>
          <w:tab w:val="left" w:pos="2302"/>
        </w:tabs>
        <w:spacing w:after="240"/>
        <w:jc w:val="both"/>
        <w:rPr>
          <w:noProof/>
          <w:color w:val="000000" w:themeColor="text1"/>
          <w:spacing w:val="-8"/>
        </w:rPr>
      </w:pPr>
      <w:r w:rsidRPr="004E4D57">
        <w:rPr>
          <w:noProof/>
          <w:color w:val="000000" w:themeColor="text1"/>
          <w:spacing w:val="-8"/>
        </w:rPr>
        <w:t xml:space="preserve">The table below </w:t>
      </w:r>
      <w:r>
        <w:rPr>
          <w:noProof/>
          <w:color w:val="000000" w:themeColor="text1"/>
          <w:spacing w:val="-8"/>
        </w:rPr>
        <w:t>shows</w:t>
      </w:r>
      <w:r w:rsidRPr="004E4D57">
        <w:rPr>
          <w:noProof/>
          <w:color w:val="000000" w:themeColor="text1"/>
          <w:spacing w:val="-8"/>
        </w:rPr>
        <w:t xml:space="preserve"> the impacts on total benefits</w:t>
      </w:r>
      <w:r w:rsidR="00185156">
        <w:rPr>
          <w:noProof/>
          <w:color w:val="000000" w:themeColor="text1"/>
          <w:spacing w:val="-8"/>
        </w:rPr>
        <w:t xml:space="preserve"> (</w:t>
      </w:r>
      <w:r w:rsidR="00185156" w:rsidRPr="00111671">
        <w:rPr>
          <w:noProof/>
        </w:rPr>
        <w:t>including external costs savings</w:t>
      </w:r>
      <w:r w:rsidR="00185156">
        <w:rPr>
          <w:noProof/>
        </w:rPr>
        <w:t>)</w:t>
      </w:r>
      <w:r w:rsidRPr="004E4D57">
        <w:rPr>
          <w:noProof/>
          <w:color w:val="000000" w:themeColor="text1"/>
          <w:spacing w:val="-8"/>
        </w:rPr>
        <w:t xml:space="preserve">, total costs, net benefits and benefits to costs ratio by policy option in the base case and ‘low </w:t>
      </w:r>
      <w:r w:rsidR="00BA63F4">
        <w:rPr>
          <w:noProof/>
          <w:color w:val="000000" w:themeColor="text1"/>
          <w:spacing w:val="-8"/>
        </w:rPr>
        <w:t>SMP threshold</w:t>
      </w:r>
      <w:r w:rsidR="008C05D1">
        <w:rPr>
          <w:noProof/>
          <w:color w:val="000000" w:themeColor="text1"/>
          <w:spacing w:val="-8"/>
        </w:rPr>
        <w:t>’</w:t>
      </w:r>
      <w:r>
        <w:rPr>
          <w:noProof/>
          <w:color w:val="000000" w:themeColor="text1"/>
          <w:spacing w:val="-8"/>
        </w:rPr>
        <w:t xml:space="preserve"> </w:t>
      </w:r>
      <w:r w:rsidRPr="004E4D57">
        <w:rPr>
          <w:noProof/>
          <w:color w:val="000000" w:themeColor="text1"/>
          <w:spacing w:val="-8"/>
        </w:rPr>
        <w:t>case. It shows that all policy options are still expected to result in net benefits in the ‘low</w:t>
      </w:r>
      <w:r>
        <w:rPr>
          <w:noProof/>
          <w:color w:val="000000" w:themeColor="text1"/>
          <w:spacing w:val="-8"/>
        </w:rPr>
        <w:t xml:space="preserve"> </w:t>
      </w:r>
      <w:r w:rsidR="00BA63F4">
        <w:rPr>
          <w:noProof/>
          <w:color w:val="000000" w:themeColor="text1"/>
          <w:spacing w:val="-8"/>
        </w:rPr>
        <w:t>SMP threshold</w:t>
      </w:r>
      <w:r w:rsidR="008C05D1">
        <w:rPr>
          <w:noProof/>
          <w:color w:val="000000" w:themeColor="text1"/>
          <w:spacing w:val="-8"/>
        </w:rPr>
        <w:t>’</w:t>
      </w:r>
      <w:r w:rsidR="00BA63F4">
        <w:rPr>
          <w:noProof/>
          <w:color w:val="000000" w:themeColor="text1"/>
          <w:spacing w:val="-8"/>
        </w:rPr>
        <w:t xml:space="preserve"> </w:t>
      </w:r>
      <w:r w:rsidRPr="004E4D57">
        <w:rPr>
          <w:noProof/>
          <w:color w:val="000000" w:themeColor="text1"/>
          <w:spacing w:val="-8"/>
        </w:rPr>
        <w:t xml:space="preserve">case considered. It also shows that the ranking of the policy options is not expected to change in the ‘low </w:t>
      </w:r>
      <w:r w:rsidR="00217CE6">
        <w:rPr>
          <w:noProof/>
          <w:color w:val="000000" w:themeColor="text1"/>
          <w:spacing w:val="-8"/>
        </w:rPr>
        <w:t>SMP threshold</w:t>
      </w:r>
      <w:r w:rsidR="008C05D1">
        <w:rPr>
          <w:noProof/>
          <w:color w:val="000000" w:themeColor="text1"/>
          <w:spacing w:val="-8"/>
        </w:rPr>
        <w:t>’</w:t>
      </w:r>
      <w:r w:rsidR="00217CE6">
        <w:rPr>
          <w:noProof/>
          <w:color w:val="000000" w:themeColor="text1"/>
          <w:spacing w:val="-8"/>
        </w:rPr>
        <w:t xml:space="preserve"> </w:t>
      </w:r>
      <w:r w:rsidRPr="004E4D57">
        <w:rPr>
          <w:noProof/>
          <w:color w:val="000000" w:themeColor="text1"/>
          <w:spacing w:val="-8"/>
        </w:rPr>
        <w:t>case relative to the base case estimates.</w:t>
      </w:r>
    </w:p>
    <w:p w14:paraId="57C36205" w14:textId="3B1C1B83" w:rsidR="00A27C6C" w:rsidRDefault="00A27C6C" w:rsidP="00A27C6C">
      <w:pPr>
        <w:pStyle w:val="Text2"/>
        <w:spacing w:after="0"/>
        <w:ind w:left="0"/>
        <w:rPr>
          <w:rFonts w:cs="Times New Roman"/>
          <w:i/>
          <w:noProof/>
          <w:sz w:val="22"/>
          <w:szCs w:val="22"/>
        </w:rPr>
      </w:pPr>
      <w:r w:rsidRPr="00F046B6">
        <w:rPr>
          <w:rFonts w:cs="Times New Roman"/>
          <w:i/>
          <w:noProof/>
          <w:sz w:val="22"/>
          <w:szCs w:val="22"/>
        </w:rPr>
        <w:t xml:space="preserve">Table </w:t>
      </w:r>
      <w:r w:rsidRPr="00F046B6">
        <w:rPr>
          <w:rFonts w:cs="Times New Roman"/>
          <w:i/>
          <w:noProof/>
          <w:sz w:val="22"/>
          <w:szCs w:val="22"/>
        </w:rPr>
        <w:fldChar w:fldCharType="begin"/>
      </w:r>
      <w:r w:rsidRPr="00F046B6">
        <w:rPr>
          <w:rFonts w:cs="Times New Roman"/>
          <w:i/>
          <w:noProof/>
          <w:sz w:val="22"/>
          <w:szCs w:val="22"/>
        </w:rPr>
        <w:instrText xml:space="preserve"> SEQ Table \* ARABIC </w:instrText>
      </w:r>
      <w:r w:rsidRPr="00F046B6">
        <w:rPr>
          <w:rFonts w:cs="Times New Roman"/>
          <w:i/>
          <w:noProof/>
          <w:sz w:val="22"/>
          <w:szCs w:val="22"/>
        </w:rPr>
        <w:fldChar w:fldCharType="separate"/>
      </w:r>
      <w:r w:rsidR="0055391F">
        <w:rPr>
          <w:rFonts w:cs="Times New Roman"/>
          <w:i/>
          <w:noProof/>
          <w:sz w:val="22"/>
          <w:szCs w:val="22"/>
        </w:rPr>
        <w:t>30</w:t>
      </w:r>
      <w:r w:rsidRPr="00F046B6">
        <w:rPr>
          <w:rFonts w:cs="Times New Roman"/>
          <w:i/>
          <w:noProof/>
          <w:sz w:val="22"/>
          <w:szCs w:val="22"/>
        </w:rPr>
        <w:fldChar w:fldCharType="end"/>
      </w:r>
      <w:r w:rsidRPr="00F046B6">
        <w:rPr>
          <w:rFonts w:cs="Times New Roman"/>
          <w:i/>
          <w:noProof/>
          <w:sz w:val="22"/>
          <w:szCs w:val="22"/>
        </w:rPr>
        <w:t>: Summary of costs and benefits of policy options</w:t>
      </w:r>
      <w:r w:rsidR="0083318D">
        <w:rPr>
          <w:rFonts w:cs="Times New Roman"/>
          <w:i/>
          <w:noProof/>
          <w:sz w:val="22"/>
          <w:szCs w:val="22"/>
        </w:rPr>
        <w:t>, including external costs savings,</w:t>
      </w:r>
      <w:r>
        <w:rPr>
          <w:rFonts w:cs="Times New Roman"/>
          <w:i/>
          <w:noProof/>
          <w:sz w:val="22"/>
          <w:szCs w:val="22"/>
        </w:rPr>
        <w:t xml:space="preserve"> in the ‘low SMP threshold case’ and base case, expressed as</w:t>
      </w:r>
      <w:r w:rsidRPr="00F046B6">
        <w:rPr>
          <w:rFonts w:cs="Times New Roman"/>
          <w:i/>
          <w:noProof/>
          <w:sz w:val="22"/>
          <w:szCs w:val="22"/>
        </w:rPr>
        <w:t xml:space="preserve"> present value over 2028-2050 compared to the baseline (in million EUR, 202</w:t>
      </w:r>
      <w:r>
        <w:rPr>
          <w:rFonts w:cs="Times New Roman"/>
          <w:i/>
          <w:noProof/>
          <w:sz w:val="22"/>
          <w:szCs w:val="22"/>
        </w:rPr>
        <w:t>4</w:t>
      </w:r>
      <w:r w:rsidRPr="00F046B6">
        <w:rPr>
          <w:rFonts w:cs="Times New Roman"/>
          <w:i/>
          <w:noProof/>
          <w:sz w:val="22"/>
          <w:szCs w:val="22"/>
        </w:rPr>
        <w:t xml:space="preserve"> prices)</w:t>
      </w:r>
    </w:p>
    <w:tbl>
      <w:tblPr>
        <w:tblW w:w="5000" w:type="pct"/>
        <w:tblLook w:val="04A0" w:firstRow="1" w:lastRow="0" w:firstColumn="1" w:lastColumn="0" w:noHBand="0" w:noVBand="1"/>
      </w:tblPr>
      <w:tblGrid>
        <w:gridCol w:w="5365"/>
        <w:gridCol w:w="1060"/>
        <w:gridCol w:w="1060"/>
        <w:gridCol w:w="1060"/>
        <w:gridCol w:w="1058"/>
      </w:tblGrid>
      <w:tr w:rsidR="00D105B3" w14:paraId="4E2165AF" w14:textId="77777777" w:rsidTr="00B62DCE">
        <w:trPr>
          <w:trHeight w:val="255"/>
          <w:tblHeader/>
        </w:trPr>
        <w:tc>
          <w:tcPr>
            <w:tcW w:w="2793" w:type="pct"/>
            <w:tcBorders>
              <w:top w:val="single" w:sz="4" w:space="0" w:color="auto"/>
              <w:left w:val="single" w:sz="4" w:space="0" w:color="auto"/>
              <w:bottom w:val="single" w:sz="4" w:space="0" w:color="auto"/>
              <w:right w:val="single" w:sz="4" w:space="0" w:color="auto"/>
            </w:tcBorders>
            <w:shd w:val="clear" w:color="000000" w:fill="0070C0"/>
            <w:hideMark/>
          </w:tcPr>
          <w:p w14:paraId="3EBF98F4" w14:textId="77777777" w:rsidR="00221EC9" w:rsidRDefault="00221EC9">
            <w:pPr>
              <w:rPr>
                <w:b/>
                <w:bCs/>
                <w:noProof/>
                <w:color w:val="FFFFFF"/>
                <w:sz w:val="20"/>
                <w:szCs w:val="20"/>
              </w:rPr>
            </w:pPr>
            <w:r>
              <w:rPr>
                <w:b/>
                <w:bCs/>
                <w:noProof/>
                <w:color w:val="FFFFFF"/>
                <w:sz w:val="20"/>
                <w:szCs w:val="20"/>
              </w:rPr>
              <w:t> </w:t>
            </w:r>
          </w:p>
        </w:tc>
        <w:tc>
          <w:tcPr>
            <w:tcW w:w="552" w:type="pct"/>
            <w:tcBorders>
              <w:top w:val="single" w:sz="4" w:space="0" w:color="auto"/>
              <w:left w:val="nil"/>
              <w:bottom w:val="single" w:sz="4" w:space="0" w:color="auto"/>
              <w:right w:val="single" w:sz="4" w:space="0" w:color="auto"/>
            </w:tcBorders>
            <w:shd w:val="clear" w:color="000000" w:fill="0070C0"/>
            <w:hideMark/>
          </w:tcPr>
          <w:p w14:paraId="575B96A4" w14:textId="77777777" w:rsidR="00221EC9" w:rsidRDefault="00221EC9">
            <w:pPr>
              <w:jc w:val="center"/>
              <w:rPr>
                <w:b/>
                <w:bCs/>
                <w:noProof/>
                <w:color w:val="FFFFFF"/>
                <w:sz w:val="20"/>
                <w:szCs w:val="20"/>
              </w:rPr>
            </w:pPr>
            <w:r>
              <w:rPr>
                <w:b/>
                <w:bCs/>
                <w:noProof/>
                <w:color w:val="FFFFFF"/>
                <w:sz w:val="20"/>
                <w:szCs w:val="20"/>
              </w:rPr>
              <w:t>PO1</w:t>
            </w:r>
          </w:p>
        </w:tc>
        <w:tc>
          <w:tcPr>
            <w:tcW w:w="552" w:type="pct"/>
            <w:tcBorders>
              <w:top w:val="single" w:sz="4" w:space="0" w:color="auto"/>
              <w:left w:val="nil"/>
              <w:bottom w:val="single" w:sz="4" w:space="0" w:color="auto"/>
              <w:right w:val="single" w:sz="4" w:space="0" w:color="auto"/>
            </w:tcBorders>
            <w:shd w:val="clear" w:color="000000" w:fill="0070C0"/>
            <w:hideMark/>
          </w:tcPr>
          <w:p w14:paraId="6FAEEEC9" w14:textId="77777777" w:rsidR="00221EC9" w:rsidRDefault="00221EC9">
            <w:pPr>
              <w:jc w:val="center"/>
              <w:rPr>
                <w:b/>
                <w:bCs/>
                <w:noProof/>
                <w:color w:val="FFFFFF"/>
                <w:sz w:val="20"/>
                <w:szCs w:val="20"/>
              </w:rPr>
            </w:pPr>
            <w:r>
              <w:rPr>
                <w:b/>
                <w:bCs/>
                <w:noProof/>
                <w:color w:val="FFFFFF"/>
                <w:sz w:val="20"/>
                <w:szCs w:val="20"/>
              </w:rPr>
              <w:t>PO2</w:t>
            </w:r>
          </w:p>
        </w:tc>
        <w:tc>
          <w:tcPr>
            <w:tcW w:w="552" w:type="pct"/>
            <w:tcBorders>
              <w:top w:val="single" w:sz="4" w:space="0" w:color="auto"/>
              <w:left w:val="nil"/>
              <w:bottom w:val="single" w:sz="4" w:space="0" w:color="auto"/>
              <w:right w:val="single" w:sz="4" w:space="0" w:color="auto"/>
            </w:tcBorders>
            <w:shd w:val="clear" w:color="000000" w:fill="0070C0"/>
            <w:hideMark/>
          </w:tcPr>
          <w:p w14:paraId="250B93BA" w14:textId="77777777" w:rsidR="00221EC9" w:rsidRDefault="00221EC9">
            <w:pPr>
              <w:jc w:val="center"/>
              <w:rPr>
                <w:b/>
                <w:bCs/>
                <w:noProof/>
                <w:color w:val="FFFFFF"/>
                <w:sz w:val="20"/>
                <w:szCs w:val="20"/>
              </w:rPr>
            </w:pPr>
            <w:r>
              <w:rPr>
                <w:b/>
                <w:bCs/>
                <w:noProof/>
                <w:color w:val="FFFFFF"/>
                <w:sz w:val="20"/>
                <w:szCs w:val="20"/>
              </w:rPr>
              <w:t>PO3</w:t>
            </w:r>
          </w:p>
        </w:tc>
        <w:tc>
          <w:tcPr>
            <w:tcW w:w="551" w:type="pct"/>
            <w:tcBorders>
              <w:top w:val="single" w:sz="4" w:space="0" w:color="auto"/>
              <w:left w:val="nil"/>
              <w:bottom w:val="single" w:sz="4" w:space="0" w:color="auto"/>
              <w:right w:val="single" w:sz="4" w:space="0" w:color="auto"/>
            </w:tcBorders>
            <w:shd w:val="clear" w:color="000000" w:fill="0070C0"/>
            <w:hideMark/>
          </w:tcPr>
          <w:p w14:paraId="482F000A" w14:textId="77777777" w:rsidR="00221EC9" w:rsidRDefault="00221EC9">
            <w:pPr>
              <w:jc w:val="center"/>
              <w:rPr>
                <w:b/>
                <w:bCs/>
                <w:noProof/>
                <w:color w:val="FFFFFF"/>
                <w:sz w:val="20"/>
                <w:szCs w:val="20"/>
              </w:rPr>
            </w:pPr>
            <w:r>
              <w:rPr>
                <w:b/>
                <w:bCs/>
                <w:noProof/>
                <w:color w:val="FFFFFF"/>
                <w:sz w:val="20"/>
                <w:szCs w:val="20"/>
              </w:rPr>
              <w:t>PO4</w:t>
            </w:r>
          </w:p>
        </w:tc>
      </w:tr>
      <w:tr w:rsidR="00B62DCE" w14:paraId="2BE02DFB" w14:textId="77777777" w:rsidTr="004E5FBA">
        <w:trPr>
          <w:trHeight w:val="255"/>
        </w:trPr>
        <w:tc>
          <w:tcPr>
            <w:tcW w:w="2793" w:type="pct"/>
            <w:tcBorders>
              <w:top w:val="nil"/>
              <w:left w:val="single" w:sz="4" w:space="0" w:color="auto"/>
              <w:bottom w:val="single" w:sz="4" w:space="0" w:color="auto"/>
              <w:right w:val="single" w:sz="4" w:space="0" w:color="auto"/>
            </w:tcBorders>
            <w:shd w:val="clear" w:color="000000" w:fill="BDE3FF"/>
            <w:noWrap/>
            <w:hideMark/>
          </w:tcPr>
          <w:p w14:paraId="7246D38C" w14:textId="77777777" w:rsidR="00221EC9" w:rsidRDefault="00221EC9">
            <w:pPr>
              <w:rPr>
                <w:b/>
                <w:bCs/>
                <w:noProof/>
                <w:color w:val="000000"/>
                <w:sz w:val="20"/>
                <w:szCs w:val="20"/>
              </w:rPr>
            </w:pPr>
            <w:r>
              <w:rPr>
                <w:b/>
                <w:bCs/>
                <w:noProof/>
                <w:color w:val="000000"/>
                <w:sz w:val="20"/>
                <w:szCs w:val="20"/>
              </w:rPr>
              <w:t>Base case</w:t>
            </w:r>
          </w:p>
        </w:tc>
        <w:tc>
          <w:tcPr>
            <w:tcW w:w="552" w:type="pct"/>
            <w:tcBorders>
              <w:top w:val="nil"/>
              <w:left w:val="nil"/>
              <w:bottom w:val="single" w:sz="4" w:space="0" w:color="auto"/>
              <w:right w:val="single" w:sz="4" w:space="0" w:color="auto"/>
            </w:tcBorders>
            <w:shd w:val="clear" w:color="000000" w:fill="BDE3FF"/>
            <w:noWrap/>
            <w:hideMark/>
          </w:tcPr>
          <w:p w14:paraId="222E8E0F" w14:textId="77777777" w:rsidR="00221EC9" w:rsidRDefault="00221EC9">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6F0C9403" w14:textId="77777777" w:rsidR="00221EC9" w:rsidRDefault="00221EC9">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50972AA1" w14:textId="77777777" w:rsidR="00221EC9" w:rsidRDefault="00221EC9">
            <w:pPr>
              <w:rPr>
                <w:noProof/>
                <w:color w:val="000000"/>
                <w:sz w:val="20"/>
                <w:szCs w:val="20"/>
              </w:rPr>
            </w:pPr>
            <w:r>
              <w:rPr>
                <w:noProof/>
                <w:color w:val="000000"/>
                <w:sz w:val="20"/>
                <w:szCs w:val="20"/>
              </w:rPr>
              <w:t> </w:t>
            </w:r>
          </w:p>
        </w:tc>
        <w:tc>
          <w:tcPr>
            <w:tcW w:w="551" w:type="pct"/>
            <w:tcBorders>
              <w:top w:val="nil"/>
              <w:left w:val="nil"/>
              <w:bottom w:val="single" w:sz="4" w:space="0" w:color="auto"/>
              <w:right w:val="single" w:sz="4" w:space="0" w:color="auto"/>
            </w:tcBorders>
            <w:shd w:val="clear" w:color="000000" w:fill="BDE3FF"/>
            <w:noWrap/>
            <w:hideMark/>
          </w:tcPr>
          <w:p w14:paraId="524B3FEC" w14:textId="77777777" w:rsidR="00221EC9" w:rsidRDefault="00221EC9">
            <w:pPr>
              <w:rPr>
                <w:noProof/>
                <w:color w:val="000000"/>
                <w:sz w:val="20"/>
                <w:szCs w:val="20"/>
              </w:rPr>
            </w:pPr>
            <w:r>
              <w:rPr>
                <w:noProof/>
                <w:color w:val="000000"/>
                <w:sz w:val="20"/>
                <w:szCs w:val="20"/>
              </w:rPr>
              <w:t> </w:t>
            </w:r>
          </w:p>
        </w:tc>
      </w:tr>
      <w:tr w:rsidR="00B62DCE" w14:paraId="04D25FC7" w14:textId="77777777" w:rsidTr="004E5FBA">
        <w:trPr>
          <w:trHeight w:val="255"/>
        </w:trPr>
        <w:tc>
          <w:tcPr>
            <w:tcW w:w="2793" w:type="pct"/>
            <w:tcBorders>
              <w:top w:val="nil"/>
              <w:left w:val="single" w:sz="4" w:space="0" w:color="auto"/>
              <w:bottom w:val="single" w:sz="4" w:space="0" w:color="auto"/>
              <w:right w:val="single" w:sz="4" w:space="0" w:color="auto"/>
            </w:tcBorders>
            <w:shd w:val="clear" w:color="000000" w:fill="FFFFFF"/>
            <w:noWrap/>
            <w:hideMark/>
          </w:tcPr>
          <w:p w14:paraId="5250C994" w14:textId="77777777" w:rsidR="00221EC9" w:rsidRDefault="00221EC9">
            <w:pPr>
              <w:rPr>
                <w:noProof/>
                <w:color w:val="000000"/>
                <w:sz w:val="20"/>
                <w:szCs w:val="20"/>
              </w:rPr>
            </w:pPr>
            <w:r>
              <w:rPr>
                <w:noProof/>
                <w:color w:val="000000"/>
                <w:sz w:val="20"/>
                <w:szCs w:val="20"/>
              </w:rPr>
              <w:t>Total costs</w:t>
            </w:r>
          </w:p>
        </w:tc>
        <w:tc>
          <w:tcPr>
            <w:tcW w:w="552" w:type="pct"/>
            <w:tcBorders>
              <w:top w:val="nil"/>
              <w:left w:val="nil"/>
              <w:bottom w:val="single" w:sz="4" w:space="0" w:color="auto"/>
              <w:right w:val="single" w:sz="4" w:space="0" w:color="auto"/>
            </w:tcBorders>
            <w:shd w:val="clear" w:color="000000" w:fill="FFFFFF"/>
            <w:noWrap/>
            <w:hideMark/>
          </w:tcPr>
          <w:p w14:paraId="005212FA" w14:textId="77777777" w:rsidR="00221EC9" w:rsidRDefault="00221EC9">
            <w:pPr>
              <w:jc w:val="right"/>
              <w:rPr>
                <w:noProof/>
                <w:color w:val="000000"/>
                <w:sz w:val="20"/>
                <w:szCs w:val="20"/>
              </w:rPr>
            </w:pPr>
            <w:r>
              <w:rPr>
                <w:noProof/>
                <w:color w:val="000000"/>
                <w:sz w:val="20"/>
                <w:szCs w:val="20"/>
              </w:rPr>
              <w:t>234.1</w:t>
            </w:r>
          </w:p>
        </w:tc>
        <w:tc>
          <w:tcPr>
            <w:tcW w:w="552" w:type="pct"/>
            <w:tcBorders>
              <w:top w:val="nil"/>
              <w:left w:val="nil"/>
              <w:bottom w:val="single" w:sz="4" w:space="0" w:color="auto"/>
              <w:right w:val="single" w:sz="4" w:space="0" w:color="auto"/>
            </w:tcBorders>
            <w:shd w:val="clear" w:color="000000" w:fill="FFFFFF"/>
            <w:noWrap/>
            <w:hideMark/>
          </w:tcPr>
          <w:p w14:paraId="67AEBCFC" w14:textId="77777777" w:rsidR="00221EC9" w:rsidRDefault="00221EC9">
            <w:pPr>
              <w:jc w:val="right"/>
              <w:rPr>
                <w:noProof/>
                <w:color w:val="000000"/>
                <w:sz w:val="20"/>
                <w:szCs w:val="20"/>
              </w:rPr>
            </w:pPr>
            <w:r>
              <w:rPr>
                <w:noProof/>
                <w:color w:val="000000"/>
                <w:sz w:val="20"/>
                <w:szCs w:val="20"/>
              </w:rPr>
              <w:t>317.0</w:t>
            </w:r>
          </w:p>
        </w:tc>
        <w:tc>
          <w:tcPr>
            <w:tcW w:w="552" w:type="pct"/>
            <w:tcBorders>
              <w:top w:val="nil"/>
              <w:left w:val="nil"/>
              <w:bottom w:val="single" w:sz="4" w:space="0" w:color="auto"/>
              <w:right w:val="single" w:sz="4" w:space="0" w:color="auto"/>
            </w:tcBorders>
            <w:shd w:val="clear" w:color="000000" w:fill="FFFFFF"/>
            <w:noWrap/>
            <w:hideMark/>
          </w:tcPr>
          <w:p w14:paraId="35950A48" w14:textId="77777777" w:rsidR="00221EC9" w:rsidRDefault="00221EC9">
            <w:pPr>
              <w:jc w:val="right"/>
              <w:rPr>
                <w:noProof/>
                <w:color w:val="000000"/>
                <w:sz w:val="20"/>
                <w:szCs w:val="20"/>
              </w:rPr>
            </w:pPr>
            <w:r>
              <w:rPr>
                <w:noProof/>
                <w:color w:val="000000"/>
                <w:sz w:val="20"/>
                <w:szCs w:val="20"/>
              </w:rPr>
              <w:t>305.6</w:t>
            </w:r>
          </w:p>
        </w:tc>
        <w:tc>
          <w:tcPr>
            <w:tcW w:w="551" w:type="pct"/>
            <w:tcBorders>
              <w:top w:val="nil"/>
              <w:left w:val="nil"/>
              <w:bottom w:val="single" w:sz="4" w:space="0" w:color="auto"/>
              <w:right w:val="single" w:sz="4" w:space="0" w:color="auto"/>
            </w:tcBorders>
            <w:shd w:val="clear" w:color="000000" w:fill="FFFFFF"/>
            <w:noWrap/>
            <w:hideMark/>
          </w:tcPr>
          <w:p w14:paraId="31B84240" w14:textId="77777777" w:rsidR="00221EC9" w:rsidRDefault="00221EC9">
            <w:pPr>
              <w:jc w:val="right"/>
              <w:rPr>
                <w:noProof/>
                <w:color w:val="000000"/>
                <w:sz w:val="20"/>
                <w:szCs w:val="20"/>
              </w:rPr>
            </w:pPr>
            <w:r>
              <w:rPr>
                <w:noProof/>
                <w:color w:val="000000"/>
                <w:sz w:val="20"/>
                <w:szCs w:val="20"/>
              </w:rPr>
              <w:t>468.6</w:t>
            </w:r>
          </w:p>
        </w:tc>
      </w:tr>
      <w:tr w:rsidR="00B62DCE" w14:paraId="7917D62A" w14:textId="77777777" w:rsidTr="004E5FBA">
        <w:trPr>
          <w:trHeight w:val="255"/>
        </w:trPr>
        <w:tc>
          <w:tcPr>
            <w:tcW w:w="2793" w:type="pct"/>
            <w:tcBorders>
              <w:top w:val="nil"/>
              <w:left w:val="single" w:sz="4" w:space="0" w:color="auto"/>
              <w:bottom w:val="single" w:sz="4" w:space="0" w:color="auto"/>
              <w:right w:val="single" w:sz="4" w:space="0" w:color="auto"/>
            </w:tcBorders>
            <w:shd w:val="clear" w:color="000000" w:fill="FFFFFF"/>
            <w:noWrap/>
            <w:hideMark/>
          </w:tcPr>
          <w:p w14:paraId="15B1168F" w14:textId="77777777" w:rsidR="00221EC9" w:rsidRDefault="00221EC9">
            <w:pPr>
              <w:rPr>
                <w:noProof/>
                <w:color w:val="000000"/>
                <w:sz w:val="20"/>
                <w:szCs w:val="20"/>
              </w:rPr>
            </w:pPr>
            <w:r>
              <w:rPr>
                <w:noProof/>
                <w:color w:val="000000"/>
                <w:sz w:val="20"/>
                <w:szCs w:val="20"/>
              </w:rPr>
              <w:t>Total benefits</w:t>
            </w:r>
          </w:p>
        </w:tc>
        <w:tc>
          <w:tcPr>
            <w:tcW w:w="552" w:type="pct"/>
            <w:tcBorders>
              <w:top w:val="nil"/>
              <w:left w:val="nil"/>
              <w:bottom w:val="single" w:sz="4" w:space="0" w:color="auto"/>
              <w:right w:val="single" w:sz="4" w:space="0" w:color="auto"/>
            </w:tcBorders>
            <w:shd w:val="clear" w:color="000000" w:fill="FFFFFF"/>
            <w:noWrap/>
            <w:hideMark/>
          </w:tcPr>
          <w:p w14:paraId="45BB2771" w14:textId="77777777" w:rsidR="00221EC9" w:rsidRDefault="00221EC9">
            <w:pPr>
              <w:jc w:val="right"/>
              <w:rPr>
                <w:noProof/>
                <w:color w:val="000000"/>
                <w:sz w:val="20"/>
                <w:szCs w:val="20"/>
              </w:rPr>
            </w:pPr>
            <w:r>
              <w:rPr>
                <w:noProof/>
                <w:color w:val="000000"/>
                <w:sz w:val="20"/>
                <w:szCs w:val="20"/>
              </w:rPr>
              <w:t>12,710.7</w:t>
            </w:r>
          </w:p>
        </w:tc>
        <w:tc>
          <w:tcPr>
            <w:tcW w:w="552" w:type="pct"/>
            <w:tcBorders>
              <w:top w:val="nil"/>
              <w:left w:val="nil"/>
              <w:bottom w:val="single" w:sz="4" w:space="0" w:color="auto"/>
              <w:right w:val="single" w:sz="4" w:space="0" w:color="auto"/>
            </w:tcBorders>
            <w:shd w:val="clear" w:color="000000" w:fill="FFFFFF"/>
            <w:noWrap/>
            <w:hideMark/>
          </w:tcPr>
          <w:p w14:paraId="37E4FC6F" w14:textId="77777777" w:rsidR="00221EC9" w:rsidRDefault="00221EC9">
            <w:pPr>
              <w:jc w:val="right"/>
              <w:rPr>
                <w:noProof/>
                <w:color w:val="000000"/>
                <w:sz w:val="20"/>
                <w:szCs w:val="20"/>
              </w:rPr>
            </w:pPr>
            <w:r>
              <w:rPr>
                <w:noProof/>
                <w:color w:val="000000"/>
                <w:sz w:val="20"/>
                <w:szCs w:val="20"/>
              </w:rPr>
              <w:t>26,117.9</w:t>
            </w:r>
          </w:p>
        </w:tc>
        <w:tc>
          <w:tcPr>
            <w:tcW w:w="552" w:type="pct"/>
            <w:tcBorders>
              <w:top w:val="nil"/>
              <w:left w:val="nil"/>
              <w:bottom w:val="single" w:sz="4" w:space="0" w:color="auto"/>
              <w:right w:val="single" w:sz="4" w:space="0" w:color="auto"/>
            </w:tcBorders>
            <w:shd w:val="clear" w:color="000000" w:fill="FFFFFF"/>
            <w:noWrap/>
            <w:hideMark/>
          </w:tcPr>
          <w:p w14:paraId="66B4F4C1" w14:textId="77777777" w:rsidR="00221EC9" w:rsidRDefault="00221EC9">
            <w:pPr>
              <w:jc w:val="right"/>
              <w:rPr>
                <w:noProof/>
                <w:color w:val="000000"/>
                <w:sz w:val="20"/>
                <w:szCs w:val="20"/>
              </w:rPr>
            </w:pPr>
            <w:r>
              <w:rPr>
                <w:noProof/>
                <w:color w:val="000000"/>
                <w:sz w:val="20"/>
                <w:szCs w:val="20"/>
              </w:rPr>
              <w:t>37,596.7</w:t>
            </w:r>
          </w:p>
        </w:tc>
        <w:tc>
          <w:tcPr>
            <w:tcW w:w="551" w:type="pct"/>
            <w:tcBorders>
              <w:top w:val="nil"/>
              <w:left w:val="nil"/>
              <w:bottom w:val="single" w:sz="4" w:space="0" w:color="auto"/>
              <w:right w:val="single" w:sz="4" w:space="0" w:color="auto"/>
            </w:tcBorders>
            <w:shd w:val="clear" w:color="000000" w:fill="FFFFFF"/>
            <w:noWrap/>
            <w:hideMark/>
          </w:tcPr>
          <w:p w14:paraId="471E866D" w14:textId="77777777" w:rsidR="00221EC9" w:rsidRDefault="00221EC9">
            <w:pPr>
              <w:jc w:val="right"/>
              <w:rPr>
                <w:noProof/>
                <w:color w:val="000000"/>
                <w:sz w:val="20"/>
                <w:szCs w:val="20"/>
              </w:rPr>
            </w:pPr>
            <w:r>
              <w:rPr>
                <w:noProof/>
                <w:color w:val="000000"/>
                <w:sz w:val="20"/>
                <w:szCs w:val="20"/>
              </w:rPr>
              <w:t>28,929.8</w:t>
            </w:r>
          </w:p>
        </w:tc>
      </w:tr>
      <w:tr w:rsidR="00B62DCE" w14:paraId="1206B093" w14:textId="77777777" w:rsidTr="004E5FBA">
        <w:trPr>
          <w:trHeight w:val="255"/>
        </w:trPr>
        <w:tc>
          <w:tcPr>
            <w:tcW w:w="2793" w:type="pct"/>
            <w:tcBorders>
              <w:top w:val="nil"/>
              <w:left w:val="single" w:sz="4" w:space="0" w:color="auto"/>
              <w:bottom w:val="single" w:sz="4" w:space="0" w:color="auto"/>
              <w:right w:val="single" w:sz="4" w:space="0" w:color="auto"/>
            </w:tcBorders>
            <w:shd w:val="clear" w:color="000000" w:fill="FFFFFF"/>
            <w:noWrap/>
            <w:hideMark/>
          </w:tcPr>
          <w:p w14:paraId="22800FE8" w14:textId="77777777" w:rsidR="00221EC9" w:rsidRDefault="00221EC9">
            <w:pPr>
              <w:rPr>
                <w:noProof/>
                <w:color w:val="000000"/>
                <w:sz w:val="20"/>
                <w:szCs w:val="20"/>
              </w:rPr>
            </w:pPr>
            <w:r>
              <w:rPr>
                <w:noProof/>
                <w:color w:val="000000"/>
                <w:sz w:val="20"/>
                <w:szCs w:val="20"/>
              </w:rPr>
              <w:t>Net benefits</w:t>
            </w:r>
          </w:p>
        </w:tc>
        <w:tc>
          <w:tcPr>
            <w:tcW w:w="552" w:type="pct"/>
            <w:tcBorders>
              <w:top w:val="nil"/>
              <w:left w:val="nil"/>
              <w:bottom w:val="single" w:sz="4" w:space="0" w:color="auto"/>
              <w:right w:val="single" w:sz="4" w:space="0" w:color="auto"/>
            </w:tcBorders>
            <w:shd w:val="clear" w:color="000000" w:fill="FFFFFF"/>
            <w:noWrap/>
            <w:hideMark/>
          </w:tcPr>
          <w:p w14:paraId="25EEFA7E" w14:textId="77777777" w:rsidR="00221EC9" w:rsidRDefault="00221EC9">
            <w:pPr>
              <w:jc w:val="right"/>
              <w:rPr>
                <w:noProof/>
                <w:color w:val="000000"/>
                <w:sz w:val="20"/>
                <w:szCs w:val="20"/>
              </w:rPr>
            </w:pPr>
            <w:r>
              <w:rPr>
                <w:noProof/>
                <w:color w:val="000000"/>
                <w:sz w:val="20"/>
                <w:szCs w:val="20"/>
              </w:rPr>
              <w:t>12,476.7</w:t>
            </w:r>
          </w:p>
        </w:tc>
        <w:tc>
          <w:tcPr>
            <w:tcW w:w="552" w:type="pct"/>
            <w:tcBorders>
              <w:top w:val="nil"/>
              <w:left w:val="nil"/>
              <w:bottom w:val="single" w:sz="4" w:space="0" w:color="auto"/>
              <w:right w:val="single" w:sz="4" w:space="0" w:color="auto"/>
            </w:tcBorders>
            <w:shd w:val="clear" w:color="000000" w:fill="FFFFFF"/>
            <w:noWrap/>
            <w:hideMark/>
          </w:tcPr>
          <w:p w14:paraId="5C0C8AFD" w14:textId="77777777" w:rsidR="00221EC9" w:rsidRDefault="00221EC9">
            <w:pPr>
              <w:jc w:val="right"/>
              <w:rPr>
                <w:noProof/>
                <w:color w:val="000000"/>
                <w:sz w:val="20"/>
                <w:szCs w:val="20"/>
              </w:rPr>
            </w:pPr>
            <w:r>
              <w:rPr>
                <w:noProof/>
                <w:color w:val="000000"/>
                <w:sz w:val="20"/>
                <w:szCs w:val="20"/>
              </w:rPr>
              <w:t>25,800.9</w:t>
            </w:r>
          </w:p>
        </w:tc>
        <w:tc>
          <w:tcPr>
            <w:tcW w:w="552" w:type="pct"/>
            <w:tcBorders>
              <w:top w:val="nil"/>
              <w:left w:val="nil"/>
              <w:bottom w:val="single" w:sz="4" w:space="0" w:color="auto"/>
              <w:right w:val="single" w:sz="4" w:space="0" w:color="auto"/>
            </w:tcBorders>
            <w:shd w:val="clear" w:color="000000" w:fill="FFFFFF"/>
            <w:noWrap/>
            <w:hideMark/>
          </w:tcPr>
          <w:p w14:paraId="683CF63B" w14:textId="77777777" w:rsidR="00221EC9" w:rsidRDefault="00221EC9">
            <w:pPr>
              <w:jc w:val="right"/>
              <w:rPr>
                <w:noProof/>
                <w:color w:val="000000"/>
                <w:sz w:val="20"/>
                <w:szCs w:val="20"/>
              </w:rPr>
            </w:pPr>
            <w:r>
              <w:rPr>
                <w:noProof/>
                <w:color w:val="000000"/>
                <w:sz w:val="20"/>
                <w:szCs w:val="20"/>
              </w:rPr>
              <w:t>37,291.1</w:t>
            </w:r>
          </w:p>
        </w:tc>
        <w:tc>
          <w:tcPr>
            <w:tcW w:w="551" w:type="pct"/>
            <w:tcBorders>
              <w:top w:val="nil"/>
              <w:left w:val="nil"/>
              <w:bottom w:val="single" w:sz="4" w:space="0" w:color="auto"/>
              <w:right w:val="single" w:sz="4" w:space="0" w:color="auto"/>
            </w:tcBorders>
            <w:shd w:val="clear" w:color="000000" w:fill="FFFFFF"/>
            <w:noWrap/>
            <w:hideMark/>
          </w:tcPr>
          <w:p w14:paraId="05BF2BF9" w14:textId="77777777" w:rsidR="00221EC9" w:rsidRDefault="00221EC9">
            <w:pPr>
              <w:jc w:val="right"/>
              <w:rPr>
                <w:noProof/>
                <w:color w:val="000000"/>
                <w:sz w:val="20"/>
                <w:szCs w:val="20"/>
              </w:rPr>
            </w:pPr>
            <w:r>
              <w:rPr>
                <w:noProof/>
                <w:color w:val="000000"/>
                <w:sz w:val="20"/>
                <w:szCs w:val="20"/>
              </w:rPr>
              <w:t>28,461.3</w:t>
            </w:r>
          </w:p>
        </w:tc>
      </w:tr>
      <w:tr w:rsidR="00B62DCE" w14:paraId="6DC6BDB2" w14:textId="77777777" w:rsidTr="004E5FBA">
        <w:trPr>
          <w:trHeight w:val="255"/>
        </w:trPr>
        <w:tc>
          <w:tcPr>
            <w:tcW w:w="2793" w:type="pct"/>
            <w:tcBorders>
              <w:top w:val="nil"/>
              <w:left w:val="single" w:sz="4" w:space="0" w:color="auto"/>
              <w:bottom w:val="single" w:sz="4" w:space="0" w:color="auto"/>
              <w:right w:val="single" w:sz="4" w:space="0" w:color="auto"/>
            </w:tcBorders>
            <w:shd w:val="clear" w:color="000000" w:fill="FFFFFF"/>
            <w:noWrap/>
            <w:hideMark/>
          </w:tcPr>
          <w:p w14:paraId="25B0A4F6" w14:textId="77777777" w:rsidR="00221EC9" w:rsidRDefault="00221EC9">
            <w:pPr>
              <w:rPr>
                <w:noProof/>
                <w:color w:val="000000"/>
                <w:sz w:val="20"/>
                <w:szCs w:val="20"/>
              </w:rPr>
            </w:pPr>
            <w:r>
              <w:rPr>
                <w:noProof/>
                <w:color w:val="000000"/>
                <w:sz w:val="20"/>
                <w:szCs w:val="20"/>
              </w:rPr>
              <w:t>Benefits to costs ratio</w:t>
            </w:r>
          </w:p>
        </w:tc>
        <w:tc>
          <w:tcPr>
            <w:tcW w:w="552" w:type="pct"/>
            <w:tcBorders>
              <w:top w:val="nil"/>
              <w:left w:val="nil"/>
              <w:bottom w:val="single" w:sz="4" w:space="0" w:color="auto"/>
              <w:right w:val="single" w:sz="4" w:space="0" w:color="auto"/>
            </w:tcBorders>
            <w:shd w:val="clear" w:color="000000" w:fill="FFFFFF"/>
            <w:noWrap/>
            <w:hideMark/>
          </w:tcPr>
          <w:p w14:paraId="04B535A1" w14:textId="77777777" w:rsidR="00221EC9" w:rsidRDefault="00221EC9">
            <w:pPr>
              <w:jc w:val="right"/>
              <w:rPr>
                <w:noProof/>
                <w:color w:val="000000"/>
                <w:sz w:val="20"/>
                <w:szCs w:val="20"/>
              </w:rPr>
            </w:pPr>
            <w:r>
              <w:rPr>
                <w:noProof/>
                <w:color w:val="000000"/>
                <w:sz w:val="20"/>
                <w:szCs w:val="20"/>
              </w:rPr>
              <w:t>54.3</w:t>
            </w:r>
          </w:p>
        </w:tc>
        <w:tc>
          <w:tcPr>
            <w:tcW w:w="552" w:type="pct"/>
            <w:tcBorders>
              <w:top w:val="nil"/>
              <w:left w:val="nil"/>
              <w:bottom w:val="single" w:sz="4" w:space="0" w:color="auto"/>
              <w:right w:val="single" w:sz="4" w:space="0" w:color="auto"/>
            </w:tcBorders>
            <w:shd w:val="clear" w:color="000000" w:fill="FFFFFF"/>
            <w:noWrap/>
            <w:hideMark/>
          </w:tcPr>
          <w:p w14:paraId="36D7272C" w14:textId="77777777" w:rsidR="00221EC9" w:rsidRDefault="00221EC9">
            <w:pPr>
              <w:jc w:val="right"/>
              <w:rPr>
                <w:noProof/>
                <w:color w:val="000000"/>
                <w:sz w:val="20"/>
                <w:szCs w:val="20"/>
              </w:rPr>
            </w:pPr>
            <w:r>
              <w:rPr>
                <w:noProof/>
                <w:color w:val="000000"/>
                <w:sz w:val="20"/>
                <w:szCs w:val="20"/>
              </w:rPr>
              <w:t>82.4</w:t>
            </w:r>
          </w:p>
        </w:tc>
        <w:tc>
          <w:tcPr>
            <w:tcW w:w="552" w:type="pct"/>
            <w:tcBorders>
              <w:top w:val="nil"/>
              <w:left w:val="nil"/>
              <w:bottom w:val="single" w:sz="4" w:space="0" w:color="auto"/>
              <w:right w:val="single" w:sz="4" w:space="0" w:color="auto"/>
            </w:tcBorders>
            <w:shd w:val="clear" w:color="000000" w:fill="FFFFFF"/>
            <w:noWrap/>
            <w:hideMark/>
          </w:tcPr>
          <w:p w14:paraId="770699F9" w14:textId="77777777" w:rsidR="00221EC9" w:rsidRDefault="00221EC9">
            <w:pPr>
              <w:jc w:val="right"/>
              <w:rPr>
                <w:noProof/>
                <w:color w:val="000000"/>
                <w:sz w:val="20"/>
                <w:szCs w:val="20"/>
              </w:rPr>
            </w:pPr>
            <w:r>
              <w:rPr>
                <w:noProof/>
                <w:color w:val="000000"/>
                <w:sz w:val="20"/>
                <w:szCs w:val="20"/>
              </w:rPr>
              <w:t>123.0</w:t>
            </w:r>
          </w:p>
        </w:tc>
        <w:tc>
          <w:tcPr>
            <w:tcW w:w="551" w:type="pct"/>
            <w:tcBorders>
              <w:top w:val="nil"/>
              <w:left w:val="nil"/>
              <w:bottom w:val="single" w:sz="4" w:space="0" w:color="auto"/>
              <w:right w:val="single" w:sz="4" w:space="0" w:color="auto"/>
            </w:tcBorders>
            <w:shd w:val="clear" w:color="000000" w:fill="FFFFFF"/>
            <w:noWrap/>
            <w:hideMark/>
          </w:tcPr>
          <w:p w14:paraId="534DE13D" w14:textId="77777777" w:rsidR="00221EC9" w:rsidRDefault="00221EC9">
            <w:pPr>
              <w:jc w:val="right"/>
              <w:rPr>
                <w:noProof/>
                <w:color w:val="000000"/>
                <w:sz w:val="20"/>
                <w:szCs w:val="20"/>
              </w:rPr>
            </w:pPr>
            <w:r>
              <w:rPr>
                <w:noProof/>
                <w:color w:val="000000"/>
                <w:sz w:val="20"/>
                <w:szCs w:val="20"/>
              </w:rPr>
              <w:t>61.7</w:t>
            </w:r>
          </w:p>
        </w:tc>
      </w:tr>
      <w:tr w:rsidR="00B62DCE" w14:paraId="62A44FBF" w14:textId="77777777" w:rsidTr="004E5FBA">
        <w:trPr>
          <w:trHeight w:val="255"/>
        </w:trPr>
        <w:tc>
          <w:tcPr>
            <w:tcW w:w="2793" w:type="pct"/>
            <w:tcBorders>
              <w:top w:val="nil"/>
              <w:left w:val="single" w:sz="4" w:space="0" w:color="auto"/>
              <w:bottom w:val="single" w:sz="4" w:space="0" w:color="auto"/>
              <w:right w:val="single" w:sz="4" w:space="0" w:color="auto"/>
            </w:tcBorders>
            <w:shd w:val="clear" w:color="000000" w:fill="BDE3FF"/>
            <w:noWrap/>
            <w:hideMark/>
          </w:tcPr>
          <w:p w14:paraId="7C683C03" w14:textId="77777777" w:rsidR="00221EC9" w:rsidRDefault="00221EC9">
            <w:pPr>
              <w:rPr>
                <w:b/>
                <w:bCs/>
                <w:noProof/>
                <w:color w:val="000000"/>
                <w:sz w:val="20"/>
                <w:szCs w:val="20"/>
              </w:rPr>
            </w:pPr>
            <w:r>
              <w:rPr>
                <w:b/>
                <w:bCs/>
                <w:noProof/>
                <w:color w:val="000000"/>
                <w:sz w:val="20"/>
                <w:szCs w:val="20"/>
              </w:rPr>
              <w:t>Low SMP threshold case</w:t>
            </w:r>
          </w:p>
        </w:tc>
        <w:tc>
          <w:tcPr>
            <w:tcW w:w="552" w:type="pct"/>
            <w:tcBorders>
              <w:top w:val="nil"/>
              <w:left w:val="nil"/>
              <w:bottom w:val="single" w:sz="4" w:space="0" w:color="auto"/>
              <w:right w:val="single" w:sz="4" w:space="0" w:color="auto"/>
            </w:tcBorders>
            <w:shd w:val="clear" w:color="000000" w:fill="BDE3FF"/>
            <w:noWrap/>
            <w:hideMark/>
          </w:tcPr>
          <w:p w14:paraId="45D34416" w14:textId="77777777" w:rsidR="00221EC9" w:rsidRDefault="00221EC9">
            <w:pPr>
              <w:rPr>
                <w:b/>
                <w:bCs/>
                <w:noProof/>
                <w:color w:val="000000"/>
                <w:sz w:val="20"/>
                <w:szCs w:val="20"/>
              </w:rPr>
            </w:pPr>
            <w:r>
              <w:rPr>
                <w:b/>
                <w:bCs/>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54E7E9B7" w14:textId="77777777" w:rsidR="00221EC9" w:rsidRDefault="00221EC9">
            <w:pPr>
              <w:rPr>
                <w:b/>
                <w:bCs/>
                <w:noProof/>
                <w:color w:val="000000"/>
                <w:sz w:val="20"/>
                <w:szCs w:val="20"/>
              </w:rPr>
            </w:pPr>
            <w:r>
              <w:rPr>
                <w:b/>
                <w:bCs/>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5FFDF6A2" w14:textId="77777777" w:rsidR="00221EC9" w:rsidRDefault="00221EC9">
            <w:pPr>
              <w:rPr>
                <w:b/>
                <w:bCs/>
                <w:noProof/>
                <w:color w:val="000000"/>
                <w:sz w:val="20"/>
                <w:szCs w:val="20"/>
              </w:rPr>
            </w:pPr>
            <w:r>
              <w:rPr>
                <w:b/>
                <w:bCs/>
                <w:noProof/>
                <w:color w:val="000000"/>
                <w:sz w:val="20"/>
                <w:szCs w:val="20"/>
              </w:rPr>
              <w:t> </w:t>
            </w:r>
          </w:p>
        </w:tc>
        <w:tc>
          <w:tcPr>
            <w:tcW w:w="551" w:type="pct"/>
            <w:tcBorders>
              <w:top w:val="nil"/>
              <w:left w:val="nil"/>
              <w:bottom w:val="single" w:sz="4" w:space="0" w:color="auto"/>
              <w:right w:val="single" w:sz="4" w:space="0" w:color="auto"/>
            </w:tcBorders>
            <w:shd w:val="clear" w:color="000000" w:fill="BDE3FF"/>
            <w:noWrap/>
            <w:hideMark/>
          </w:tcPr>
          <w:p w14:paraId="2CEB86EF" w14:textId="77777777" w:rsidR="00221EC9" w:rsidRDefault="00221EC9">
            <w:pPr>
              <w:rPr>
                <w:b/>
                <w:bCs/>
                <w:noProof/>
                <w:color w:val="000000"/>
                <w:sz w:val="20"/>
                <w:szCs w:val="20"/>
              </w:rPr>
            </w:pPr>
            <w:r>
              <w:rPr>
                <w:b/>
                <w:bCs/>
                <w:noProof/>
                <w:color w:val="000000"/>
                <w:sz w:val="20"/>
                <w:szCs w:val="20"/>
              </w:rPr>
              <w:t> </w:t>
            </w:r>
          </w:p>
        </w:tc>
      </w:tr>
      <w:tr w:rsidR="00B62DCE" w14:paraId="27967E78" w14:textId="77777777" w:rsidTr="004E5FBA">
        <w:trPr>
          <w:trHeight w:val="255"/>
        </w:trPr>
        <w:tc>
          <w:tcPr>
            <w:tcW w:w="2793" w:type="pct"/>
            <w:tcBorders>
              <w:top w:val="nil"/>
              <w:left w:val="single" w:sz="4" w:space="0" w:color="auto"/>
              <w:bottom w:val="single" w:sz="4" w:space="0" w:color="auto"/>
              <w:right w:val="single" w:sz="4" w:space="0" w:color="auto"/>
            </w:tcBorders>
            <w:shd w:val="clear" w:color="000000" w:fill="FFFFFF"/>
            <w:noWrap/>
            <w:hideMark/>
          </w:tcPr>
          <w:p w14:paraId="549432D2" w14:textId="77777777" w:rsidR="00221EC9" w:rsidRDefault="00221EC9">
            <w:pPr>
              <w:rPr>
                <w:noProof/>
                <w:color w:val="000000"/>
                <w:sz w:val="20"/>
                <w:szCs w:val="20"/>
              </w:rPr>
            </w:pPr>
            <w:r>
              <w:rPr>
                <w:noProof/>
                <w:color w:val="000000"/>
                <w:sz w:val="20"/>
                <w:szCs w:val="20"/>
              </w:rPr>
              <w:t>Total costs</w:t>
            </w:r>
          </w:p>
        </w:tc>
        <w:tc>
          <w:tcPr>
            <w:tcW w:w="552" w:type="pct"/>
            <w:tcBorders>
              <w:top w:val="nil"/>
              <w:left w:val="nil"/>
              <w:bottom w:val="single" w:sz="4" w:space="0" w:color="auto"/>
              <w:right w:val="single" w:sz="4" w:space="0" w:color="auto"/>
            </w:tcBorders>
            <w:shd w:val="clear" w:color="000000" w:fill="FFFFFF"/>
            <w:noWrap/>
            <w:hideMark/>
          </w:tcPr>
          <w:p w14:paraId="546E735C" w14:textId="77777777" w:rsidR="00221EC9" w:rsidRDefault="00221EC9">
            <w:pPr>
              <w:jc w:val="right"/>
              <w:rPr>
                <w:noProof/>
                <w:color w:val="000000"/>
                <w:sz w:val="20"/>
                <w:szCs w:val="20"/>
              </w:rPr>
            </w:pPr>
            <w:r>
              <w:rPr>
                <w:noProof/>
                <w:color w:val="000000"/>
                <w:sz w:val="20"/>
                <w:szCs w:val="20"/>
              </w:rPr>
              <w:t>234.4</w:t>
            </w:r>
          </w:p>
        </w:tc>
        <w:tc>
          <w:tcPr>
            <w:tcW w:w="552" w:type="pct"/>
            <w:tcBorders>
              <w:top w:val="nil"/>
              <w:left w:val="nil"/>
              <w:bottom w:val="single" w:sz="4" w:space="0" w:color="auto"/>
              <w:right w:val="single" w:sz="4" w:space="0" w:color="auto"/>
            </w:tcBorders>
            <w:shd w:val="clear" w:color="000000" w:fill="FFFFFF"/>
            <w:noWrap/>
            <w:hideMark/>
          </w:tcPr>
          <w:p w14:paraId="2C4C7ECB" w14:textId="77777777" w:rsidR="00221EC9" w:rsidRDefault="00221EC9">
            <w:pPr>
              <w:jc w:val="right"/>
              <w:rPr>
                <w:noProof/>
                <w:color w:val="000000"/>
                <w:sz w:val="20"/>
                <w:szCs w:val="20"/>
              </w:rPr>
            </w:pPr>
            <w:r>
              <w:rPr>
                <w:noProof/>
                <w:color w:val="000000"/>
                <w:sz w:val="20"/>
                <w:szCs w:val="20"/>
              </w:rPr>
              <w:t>317.3</w:t>
            </w:r>
          </w:p>
        </w:tc>
        <w:tc>
          <w:tcPr>
            <w:tcW w:w="552" w:type="pct"/>
            <w:tcBorders>
              <w:top w:val="nil"/>
              <w:left w:val="nil"/>
              <w:bottom w:val="single" w:sz="4" w:space="0" w:color="auto"/>
              <w:right w:val="single" w:sz="4" w:space="0" w:color="auto"/>
            </w:tcBorders>
            <w:shd w:val="clear" w:color="000000" w:fill="FFFFFF"/>
            <w:noWrap/>
            <w:hideMark/>
          </w:tcPr>
          <w:p w14:paraId="0DA8FA94" w14:textId="77777777" w:rsidR="00221EC9" w:rsidRDefault="00221EC9">
            <w:pPr>
              <w:jc w:val="right"/>
              <w:rPr>
                <w:noProof/>
                <w:color w:val="000000"/>
                <w:sz w:val="20"/>
                <w:szCs w:val="20"/>
              </w:rPr>
            </w:pPr>
            <w:r>
              <w:rPr>
                <w:noProof/>
                <w:color w:val="000000"/>
                <w:sz w:val="20"/>
                <w:szCs w:val="20"/>
              </w:rPr>
              <w:t>306.0</w:t>
            </w:r>
          </w:p>
        </w:tc>
        <w:tc>
          <w:tcPr>
            <w:tcW w:w="551" w:type="pct"/>
            <w:tcBorders>
              <w:top w:val="nil"/>
              <w:left w:val="nil"/>
              <w:bottom w:val="single" w:sz="4" w:space="0" w:color="auto"/>
              <w:right w:val="single" w:sz="4" w:space="0" w:color="auto"/>
            </w:tcBorders>
            <w:shd w:val="clear" w:color="000000" w:fill="FFFFFF"/>
            <w:noWrap/>
            <w:hideMark/>
          </w:tcPr>
          <w:p w14:paraId="26A1C886" w14:textId="77777777" w:rsidR="00221EC9" w:rsidRDefault="00221EC9">
            <w:pPr>
              <w:jc w:val="right"/>
              <w:rPr>
                <w:noProof/>
                <w:color w:val="000000"/>
                <w:sz w:val="20"/>
                <w:szCs w:val="20"/>
              </w:rPr>
            </w:pPr>
            <w:r>
              <w:rPr>
                <w:noProof/>
                <w:color w:val="000000"/>
                <w:sz w:val="20"/>
                <w:szCs w:val="20"/>
              </w:rPr>
              <w:t>468.9</w:t>
            </w:r>
          </w:p>
        </w:tc>
      </w:tr>
      <w:tr w:rsidR="00B62DCE" w14:paraId="3DE7D9A7" w14:textId="77777777" w:rsidTr="004E5FBA">
        <w:trPr>
          <w:trHeight w:val="255"/>
        </w:trPr>
        <w:tc>
          <w:tcPr>
            <w:tcW w:w="2793" w:type="pct"/>
            <w:tcBorders>
              <w:top w:val="nil"/>
              <w:left w:val="single" w:sz="4" w:space="0" w:color="auto"/>
              <w:bottom w:val="single" w:sz="4" w:space="0" w:color="auto"/>
              <w:right w:val="single" w:sz="4" w:space="0" w:color="auto"/>
            </w:tcBorders>
            <w:shd w:val="clear" w:color="000000" w:fill="FFFFFF"/>
            <w:noWrap/>
            <w:hideMark/>
          </w:tcPr>
          <w:p w14:paraId="537E8780" w14:textId="77777777" w:rsidR="00221EC9" w:rsidRDefault="00221EC9">
            <w:pPr>
              <w:rPr>
                <w:noProof/>
                <w:color w:val="000000"/>
                <w:sz w:val="20"/>
                <w:szCs w:val="20"/>
              </w:rPr>
            </w:pPr>
            <w:r>
              <w:rPr>
                <w:noProof/>
                <w:color w:val="000000"/>
                <w:sz w:val="20"/>
                <w:szCs w:val="20"/>
              </w:rPr>
              <w:t>Total benefits</w:t>
            </w:r>
          </w:p>
        </w:tc>
        <w:tc>
          <w:tcPr>
            <w:tcW w:w="552" w:type="pct"/>
            <w:tcBorders>
              <w:top w:val="nil"/>
              <w:left w:val="nil"/>
              <w:bottom w:val="single" w:sz="4" w:space="0" w:color="auto"/>
              <w:right w:val="single" w:sz="4" w:space="0" w:color="auto"/>
            </w:tcBorders>
            <w:shd w:val="clear" w:color="000000" w:fill="FFFFFF"/>
            <w:noWrap/>
            <w:hideMark/>
          </w:tcPr>
          <w:p w14:paraId="38212566" w14:textId="77777777" w:rsidR="00221EC9" w:rsidRDefault="00221EC9">
            <w:pPr>
              <w:jc w:val="right"/>
              <w:rPr>
                <w:noProof/>
                <w:color w:val="000000"/>
                <w:sz w:val="20"/>
                <w:szCs w:val="20"/>
              </w:rPr>
            </w:pPr>
            <w:r>
              <w:rPr>
                <w:noProof/>
                <w:color w:val="000000"/>
                <w:sz w:val="20"/>
                <w:szCs w:val="20"/>
              </w:rPr>
              <w:t>12,711.5</w:t>
            </w:r>
          </w:p>
        </w:tc>
        <w:tc>
          <w:tcPr>
            <w:tcW w:w="552" w:type="pct"/>
            <w:tcBorders>
              <w:top w:val="nil"/>
              <w:left w:val="nil"/>
              <w:bottom w:val="single" w:sz="4" w:space="0" w:color="auto"/>
              <w:right w:val="single" w:sz="4" w:space="0" w:color="auto"/>
            </w:tcBorders>
            <w:shd w:val="clear" w:color="000000" w:fill="FFFFFF"/>
            <w:noWrap/>
            <w:hideMark/>
          </w:tcPr>
          <w:p w14:paraId="6AA4831C" w14:textId="77777777" w:rsidR="00221EC9" w:rsidRDefault="00221EC9">
            <w:pPr>
              <w:jc w:val="right"/>
              <w:rPr>
                <w:noProof/>
                <w:color w:val="000000"/>
                <w:sz w:val="20"/>
                <w:szCs w:val="20"/>
              </w:rPr>
            </w:pPr>
            <w:r>
              <w:rPr>
                <w:noProof/>
                <w:color w:val="000000"/>
                <w:sz w:val="20"/>
                <w:szCs w:val="20"/>
              </w:rPr>
              <w:t>26,134.2</w:t>
            </w:r>
          </w:p>
        </w:tc>
        <w:tc>
          <w:tcPr>
            <w:tcW w:w="552" w:type="pct"/>
            <w:tcBorders>
              <w:top w:val="nil"/>
              <w:left w:val="nil"/>
              <w:bottom w:val="single" w:sz="4" w:space="0" w:color="auto"/>
              <w:right w:val="single" w:sz="4" w:space="0" w:color="auto"/>
            </w:tcBorders>
            <w:shd w:val="clear" w:color="000000" w:fill="FFFFFF"/>
            <w:noWrap/>
            <w:hideMark/>
          </w:tcPr>
          <w:p w14:paraId="4446A6D5" w14:textId="77777777" w:rsidR="00221EC9" w:rsidRDefault="00221EC9">
            <w:pPr>
              <w:jc w:val="right"/>
              <w:rPr>
                <w:noProof/>
                <w:color w:val="000000"/>
                <w:sz w:val="20"/>
                <w:szCs w:val="20"/>
              </w:rPr>
            </w:pPr>
            <w:r>
              <w:rPr>
                <w:noProof/>
                <w:color w:val="000000"/>
                <w:sz w:val="20"/>
                <w:szCs w:val="20"/>
              </w:rPr>
              <w:t>37,611.9</w:t>
            </w:r>
          </w:p>
        </w:tc>
        <w:tc>
          <w:tcPr>
            <w:tcW w:w="551" w:type="pct"/>
            <w:tcBorders>
              <w:top w:val="nil"/>
              <w:left w:val="nil"/>
              <w:bottom w:val="single" w:sz="4" w:space="0" w:color="auto"/>
              <w:right w:val="single" w:sz="4" w:space="0" w:color="auto"/>
            </w:tcBorders>
            <w:shd w:val="clear" w:color="000000" w:fill="FFFFFF"/>
            <w:noWrap/>
            <w:hideMark/>
          </w:tcPr>
          <w:p w14:paraId="657B152A" w14:textId="77777777" w:rsidR="00221EC9" w:rsidRDefault="00221EC9">
            <w:pPr>
              <w:jc w:val="right"/>
              <w:rPr>
                <w:noProof/>
                <w:color w:val="000000"/>
                <w:sz w:val="20"/>
                <w:szCs w:val="20"/>
              </w:rPr>
            </w:pPr>
            <w:r>
              <w:rPr>
                <w:noProof/>
                <w:color w:val="000000"/>
                <w:sz w:val="20"/>
                <w:szCs w:val="20"/>
              </w:rPr>
              <w:t>28,945.6</w:t>
            </w:r>
          </w:p>
        </w:tc>
      </w:tr>
      <w:tr w:rsidR="00B62DCE" w14:paraId="1A02754F" w14:textId="77777777" w:rsidTr="004E5FBA">
        <w:trPr>
          <w:trHeight w:val="255"/>
        </w:trPr>
        <w:tc>
          <w:tcPr>
            <w:tcW w:w="2793" w:type="pct"/>
            <w:tcBorders>
              <w:top w:val="nil"/>
              <w:left w:val="single" w:sz="4" w:space="0" w:color="auto"/>
              <w:bottom w:val="single" w:sz="4" w:space="0" w:color="auto"/>
              <w:right w:val="single" w:sz="4" w:space="0" w:color="auto"/>
            </w:tcBorders>
            <w:shd w:val="clear" w:color="000000" w:fill="FFFFFF"/>
            <w:noWrap/>
            <w:hideMark/>
          </w:tcPr>
          <w:p w14:paraId="0295BD01" w14:textId="77777777" w:rsidR="00221EC9" w:rsidRDefault="00221EC9">
            <w:pPr>
              <w:rPr>
                <w:noProof/>
                <w:color w:val="000000"/>
                <w:sz w:val="20"/>
                <w:szCs w:val="20"/>
              </w:rPr>
            </w:pPr>
            <w:r>
              <w:rPr>
                <w:noProof/>
                <w:color w:val="000000"/>
                <w:sz w:val="20"/>
                <w:szCs w:val="20"/>
              </w:rPr>
              <w:t>Net benefits</w:t>
            </w:r>
          </w:p>
        </w:tc>
        <w:tc>
          <w:tcPr>
            <w:tcW w:w="552" w:type="pct"/>
            <w:tcBorders>
              <w:top w:val="nil"/>
              <w:left w:val="nil"/>
              <w:bottom w:val="single" w:sz="4" w:space="0" w:color="auto"/>
              <w:right w:val="single" w:sz="4" w:space="0" w:color="auto"/>
            </w:tcBorders>
            <w:shd w:val="clear" w:color="000000" w:fill="FFFFFF"/>
            <w:noWrap/>
            <w:hideMark/>
          </w:tcPr>
          <w:p w14:paraId="458080F7" w14:textId="77777777" w:rsidR="00221EC9" w:rsidRDefault="00221EC9">
            <w:pPr>
              <w:jc w:val="right"/>
              <w:rPr>
                <w:noProof/>
                <w:color w:val="000000"/>
                <w:sz w:val="20"/>
                <w:szCs w:val="20"/>
              </w:rPr>
            </w:pPr>
            <w:r>
              <w:rPr>
                <w:noProof/>
                <w:color w:val="000000"/>
                <w:sz w:val="20"/>
                <w:szCs w:val="20"/>
              </w:rPr>
              <w:t>12,477.0</w:t>
            </w:r>
          </w:p>
        </w:tc>
        <w:tc>
          <w:tcPr>
            <w:tcW w:w="552" w:type="pct"/>
            <w:tcBorders>
              <w:top w:val="nil"/>
              <w:left w:val="nil"/>
              <w:bottom w:val="single" w:sz="4" w:space="0" w:color="auto"/>
              <w:right w:val="single" w:sz="4" w:space="0" w:color="auto"/>
            </w:tcBorders>
            <w:shd w:val="clear" w:color="000000" w:fill="FFFFFF"/>
            <w:noWrap/>
            <w:hideMark/>
          </w:tcPr>
          <w:p w14:paraId="6DE06703" w14:textId="77777777" w:rsidR="00221EC9" w:rsidRDefault="00221EC9">
            <w:pPr>
              <w:jc w:val="right"/>
              <w:rPr>
                <w:noProof/>
                <w:color w:val="000000"/>
                <w:sz w:val="20"/>
                <w:szCs w:val="20"/>
              </w:rPr>
            </w:pPr>
            <w:r>
              <w:rPr>
                <w:noProof/>
                <w:color w:val="000000"/>
                <w:sz w:val="20"/>
                <w:szCs w:val="20"/>
              </w:rPr>
              <w:t>25,816.9</w:t>
            </w:r>
          </w:p>
        </w:tc>
        <w:tc>
          <w:tcPr>
            <w:tcW w:w="552" w:type="pct"/>
            <w:tcBorders>
              <w:top w:val="nil"/>
              <w:left w:val="nil"/>
              <w:bottom w:val="single" w:sz="4" w:space="0" w:color="auto"/>
              <w:right w:val="single" w:sz="4" w:space="0" w:color="auto"/>
            </w:tcBorders>
            <w:shd w:val="clear" w:color="000000" w:fill="FFFFFF"/>
            <w:noWrap/>
            <w:hideMark/>
          </w:tcPr>
          <w:p w14:paraId="54DCC26B" w14:textId="77777777" w:rsidR="00221EC9" w:rsidRDefault="00221EC9">
            <w:pPr>
              <w:jc w:val="right"/>
              <w:rPr>
                <w:noProof/>
                <w:color w:val="000000"/>
                <w:sz w:val="20"/>
                <w:szCs w:val="20"/>
              </w:rPr>
            </w:pPr>
            <w:r>
              <w:rPr>
                <w:noProof/>
                <w:color w:val="000000"/>
                <w:sz w:val="20"/>
                <w:szCs w:val="20"/>
              </w:rPr>
              <w:t>37,305.9</w:t>
            </w:r>
          </w:p>
        </w:tc>
        <w:tc>
          <w:tcPr>
            <w:tcW w:w="551" w:type="pct"/>
            <w:tcBorders>
              <w:top w:val="nil"/>
              <w:left w:val="nil"/>
              <w:bottom w:val="single" w:sz="4" w:space="0" w:color="auto"/>
              <w:right w:val="single" w:sz="4" w:space="0" w:color="auto"/>
            </w:tcBorders>
            <w:shd w:val="clear" w:color="000000" w:fill="FFFFFF"/>
            <w:noWrap/>
            <w:hideMark/>
          </w:tcPr>
          <w:p w14:paraId="341B651A" w14:textId="77777777" w:rsidR="00221EC9" w:rsidRDefault="00221EC9">
            <w:pPr>
              <w:jc w:val="right"/>
              <w:rPr>
                <w:noProof/>
                <w:color w:val="000000"/>
                <w:sz w:val="20"/>
                <w:szCs w:val="20"/>
              </w:rPr>
            </w:pPr>
            <w:r>
              <w:rPr>
                <w:noProof/>
                <w:color w:val="000000"/>
                <w:sz w:val="20"/>
                <w:szCs w:val="20"/>
              </w:rPr>
              <w:t>28,476.6</w:t>
            </w:r>
          </w:p>
        </w:tc>
      </w:tr>
      <w:tr w:rsidR="00B62DCE" w14:paraId="69A699B9" w14:textId="77777777" w:rsidTr="004E5FBA">
        <w:trPr>
          <w:trHeight w:val="255"/>
        </w:trPr>
        <w:tc>
          <w:tcPr>
            <w:tcW w:w="2793" w:type="pct"/>
            <w:tcBorders>
              <w:top w:val="nil"/>
              <w:left w:val="single" w:sz="4" w:space="0" w:color="auto"/>
              <w:bottom w:val="single" w:sz="4" w:space="0" w:color="auto"/>
              <w:right w:val="single" w:sz="4" w:space="0" w:color="auto"/>
            </w:tcBorders>
            <w:shd w:val="clear" w:color="000000" w:fill="FFFFFF"/>
            <w:noWrap/>
            <w:hideMark/>
          </w:tcPr>
          <w:p w14:paraId="6B5B0986" w14:textId="77777777" w:rsidR="00221EC9" w:rsidRDefault="00221EC9">
            <w:pPr>
              <w:rPr>
                <w:noProof/>
                <w:color w:val="000000"/>
                <w:sz w:val="20"/>
                <w:szCs w:val="20"/>
              </w:rPr>
            </w:pPr>
            <w:r>
              <w:rPr>
                <w:noProof/>
                <w:color w:val="000000"/>
                <w:sz w:val="20"/>
                <w:szCs w:val="20"/>
              </w:rPr>
              <w:t>Benefits to costs ratio</w:t>
            </w:r>
          </w:p>
        </w:tc>
        <w:tc>
          <w:tcPr>
            <w:tcW w:w="552" w:type="pct"/>
            <w:tcBorders>
              <w:top w:val="nil"/>
              <w:left w:val="nil"/>
              <w:bottom w:val="single" w:sz="4" w:space="0" w:color="auto"/>
              <w:right w:val="single" w:sz="4" w:space="0" w:color="auto"/>
            </w:tcBorders>
            <w:shd w:val="clear" w:color="000000" w:fill="FFFFFF"/>
            <w:noWrap/>
            <w:hideMark/>
          </w:tcPr>
          <w:p w14:paraId="1E8951DE" w14:textId="77777777" w:rsidR="00221EC9" w:rsidRDefault="00221EC9">
            <w:pPr>
              <w:jc w:val="right"/>
              <w:rPr>
                <w:noProof/>
                <w:color w:val="000000"/>
                <w:sz w:val="20"/>
                <w:szCs w:val="20"/>
              </w:rPr>
            </w:pPr>
            <w:r>
              <w:rPr>
                <w:noProof/>
                <w:color w:val="000000"/>
                <w:sz w:val="20"/>
                <w:szCs w:val="20"/>
              </w:rPr>
              <w:t>54.2</w:t>
            </w:r>
          </w:p>
        </w:tc>
        <w:tc>
          <w:tcPr>
            <w:tcW w:w="552" w:type="pct"/>
            <w:tcBorders>
              <w:top w:val="nil"/>
              <w:left w:val="nil"/>
              <w:bottom w:val="single" w:sz="4" w:space="0" w:color="auto"/>
              <w:right w:val="single" w:sz="4" w:space="0" w:color="auto"/>
            </w:tcBorders>
            <w:shd w:val="clear" w:color="000000" w:fill="FFFFFF"/>
            <w:noWrap/>
            <w:hideMark/>
          </w:tcPr>
          <w:p w14:paraId="1516729D" w14:textId="77777777" w:rsidR="00221EC9" w:rsidRDefault="00221EC9">
            <w:pPr>
              <w:jc w:val="right"/>
              <w:rPr>
                <w:noProof/>
                <w:color w:val="000000"/>
                <w:sz w:val="20"/>
                <w:szCs w:val="20"/>
              </w:rPr>
            </w:pPr>
            <w:r>
              <w:rPr>
                <w:noProof/>
                <w:color w:val="000000"/>
                <w:sz w:val="20"/>
                <w:szCs w:val="20"/>
              </w:rPr>
              <w:t>82.4</w:t>
            </w:r>
          </w:p>
        </w:tc>
        <w:tc>
          <w:tcPr>
            <w:tcW w:w="552" w:type="pct"/>
            <w:tcBorders>
              <w:top w:val="nil"/>
              <w:left w:val="nil"/>
              <w:bottom w:val="single" w:sz="4" w:space="0" w:color="auto"/>
              <w:right w:val="single" w:sz="4" w:space="0" w:color="auto"/>
            </w:tcBorders>
            <w:shd w:val="clear" w:color="000000" w:fill="FFFFFF"/>
            <w:noWrap/>
            <w:hideMark/>
          </w:tcPr>
          <w:p w14:paraId="1937B705" w14:textId="77777777" w:rsidR="00221EC9" w:rsidRDefault="00221EC9">
            <w:pPr>
              <w:jc w:val="right"/>
              <w:rPr>
                <w:noProof/>
                <w:color w:val="000000"/>
                <w:sz w:val="20"/>
                <w:szCs w:val="20"/>
              </w:rPr>
            </w:pPr>
            <w:r>
              <w:rPr>
                <w:noProof/>
                <w:color w:val="000000"/>
                <w:sz w:val="20"/>
                <w:szCs w:val="20"/>
              </w:rPr>
              <w:t>122.9</w:t>
            </w:r>
          </w:p>
        </w:tc>
        <w:tc>
          <w:tcPr>
            <w:tcW w:w="551" w:type="pct"/>
            <w:tcBorders>
              <w:top w:val="nil"/>
              <w:left w:val="nil"/>
              <w:bottom w:val="single" w:sz="4" w:space="0" w:color="auto"/>
              <w:right w:val="single" w:sz="4" w:space="0" w:color="auto"/>
            </w:tcBorders>
            <w:shd w:val="clear" w:color="000000" w:fill="FFFFFF"/>
            <w:noWrap/>
            <w:hideMark/>
          </w:tcPr>
          <w:p w14:paraId="09750752" w14:textId="77777777" w:rsidR="00221EC9" w:rsidRDefault="00221EC9">
            <w:pPr>
              <w:jc w:val="right"/>
              <w:rPr>
                <w:noProof/>
                <w:color w:val="000000"/>
                <w:sz w:val="20"/>
                <w:szCs w:val="20"/>
              </w:rPr>
            </w:pPr>
            <w:r>
              <w:rPr>
                <w:noProof/>
                <w:color w:val="000000"/>
                <w:sz w:val="20"/>
                <w:szCs w:val="20"/>
              </w:rPr>
              <w:t>61.7</w:t>
            </w:r>
          </w:p>
        </w:tc>
      </w:tr>
    </w:tbl>
    <w:p w14:paraId="4921E5E1" w14:textId="7730BDA5" w:rsidR="00DB12CF" w:rsidRPr="0053382A" w:rsidRDefault="00FA00FB" w:rsidP="00622012">
      <w:pPr>
        <w:tabs>
          <w:tab w:val="left" w:pos="2302"/>
        </w:tabs>
        <w:spacing w:after="240"/>
        <w:jc w:val="both"/>
        <w:rPr>
          <w:noProof/>
          <w:spacing w:val="-8"/>
        </w:rPr>
      </w:pPr>
      <w:r w:rsidRPr="00FB0A72">
        <w:rPr>
          <w:i/>
          <w:iCs/>
          <w:noProof/>
          <w:spacing w:val="-8"/>
          <w:sz w:val="20"/>
          <w:szCs w:val="20"/>
        </w:rPr>
        <w:t xml:space="preserve">Source: </w:t>
      </w:r>
      <w:r w:rsidRPr="00FB0A72">
        <w:rPr>
          <w:i/>
          <w:iCs/>
          <w:noProof/>
          <w:sz w:val="20"/>
          <w:szCs w:val="20"/>
        </w:rPr>
        <w:t>Ricardo et al. (2026), Impact assessment support study</w:t>
      </w:r>
      <w:r w:rsidR="0054140E" w:rsidRPr="005D2D60" w:rsidDel="002E6031">
        <w:rPr>
          <w:rFonts w:cstheme="minorBidi"/>
          <w:i/>
          <w:noProof/>
          <w:sz w:val="22"/>
          <w:szCs w:val="22"/>
          <w:lang w:eastAsia="en-US"/>
        </w:rPr>
        <w:fldChar w:fldCharType="begin"/>
      </w:r>
      <w:r w:rsidR="0054140E" w:rsidRPr="005D2D60" w:rsidDel="002E6031">
        <w:rPr>
          <w:rFonts w:cstheme="minorBidi"/>
          <w:i/>
          <w:noProof/>
          <w:sz w:val="22"/>
          <w:szCs w:val="22"/>
          <w:lang w:eastAsia="en-US"/>
        </w:rPr>
        <w:fldChar w:fldCharType="end"/>
      </w:r>
    </w:p>
    <w:p w14:paraId="354F267A" w14:textId="7E838A1C" w:rsidR="00712390" w:rsidRPr="00D71008" w:rsidRDefault="003C4819" w:rsidP="006E3FA1">
      <w:pPr>
        <w:pStyle w:val="Heading2"/>
        <w:keepNext/>
        <w:numPr>
          <w:ilvl w:val="0"/>
          <w:numId w:val="11"/>
        </w:numPr>
        <w:tabs>
          <w:tab w:val="left" w:pos="1134"/>
        </w:tabs>
        <w:spacing w:before="240" w:after="240"/>
        <w:ind w:left="425" w:hanging="425"/>
        <w:rPr>
          <w:smallCaps/>
          <w:noProof/>
          <w:spacing w:val="-2"/>
        </w:rPr>
      </w:pPr>
      <w:bookmarkStart w:id="222" w:name="8_Preferred_option"/>
      <w:bookmarkStart w:id="223" w:name="_Toc223979992"/>
      <w:bookmarkEnd w:id="222"/>
      <w:r w:rsidRPr="00D71008">
        <w:rPr>
          <w:smallCaps/>
          <w:noProof/>
          <w:spacing w:val="-2"/>
        </w:rPr>
        <w:t>Preferred option</w:t>
      </w:r>
      <w:bookmarkEnd w:id="223"/>
    </w:p>
    <w:p w14:paraId="3883D509" w14:textId="2802722A" w:rsidR="00712390" w:rsidRPr="00D71008" w:rsidRDefault="003C4819" w:rsidP="006E3FA1">
      <w:pPr>
        <w:pStyle w:val="Heading2"/>
        <w:keepNext/>
        <w:numPr>
          <w:ilvl w:val="1"/>
          <w:numId w:val="11"/>
        </w:numPr>
        <w:tabs>
          <w:tab w:val="left" w:pos="709"/>
        </w:tabs>
        <w:spacing w:before="240" w:after="240"/>
        <w:ind w:left="1134" w:hanging="708"/>
        <w:rPr>
          <w:noProof/>
        </w:rPr>
      </w:pPr>
      <w:bookmarkStart w:id="224" w:name="8.1_Identification_of_the_preferred_poli"/>
      <w:bookmarkStart w:id="225" w:name="_Toc220667510"/>
      <w:bookmarkStart w:id="226" w:name="_Toc223979993"/>
      <w:bookmarkEnd w:id="224"/>
      <w:r w:rsidRPr="00D71008">
        <w:rPr>
          <w:noProof/>
        </w:rPr>
        <w:t>Identification of the preferred policy option and stakeholder views</w:t>
      </w:r>
      <w:bookmarkEnd w:id="225"/>
      <w:bookmarkEnd w:id="226"/>
    </w:p>
    <w:p w14:paraId="03A8BAC9" w14:textId="073C3467" w:rsidR="00FF4437" w:rsidRDefault="00096900" w:rsidP="00FF4DDC">
      <w:pPr>
        <w:spacing w:after="240"/>
        <w:jc w:val="both"/>
        <w:rPr>
          <w:noProof/>
          <w:spacing w:val="-8"/>
        </w:rPr>
      </w:pPr>
      <w:r w:rsidRPr="00FF4DDC">
        <w:rPr>
          <w:noProof/>
          <w:spacing w:val="-8"/>
        </w:rPr>
        <w:t>All</w:t>
      </w:r>
      <w:r w:rsidRPr="00FF4DDC" w:rsidDel="00373856">
        <w:rPr>
          <w:noProof/>
          <w:spacing w:val="-8"/>
        </w:rPr>
        <w:t xml:space="preserve"> </w:t>
      </w:r>
      <w:r w:rsidRPr="00FF4DDC">
        <w:rPr>
          <w:noProof/>
          <w:spacing w:val="-8"/>
        </w:rPr>
        <w:t>policy options address the problems identified, their drivers and the specific objectives</w:t>
      </w:r>
      <w:r w:rsidR="00806051">
        <w:rPr>
          <w:noProof/>
          <w:spacing w:val="-8"/>
        </w:rPr>
        <w:t xml:space="preserve">. </w:t>
      </w:r>
      <w:r w:rsidR="00806051" w:rsidRPr="00806051">
        <w:rPr>
          <w:noProof/>
          <w:spacing w:val="-8"/>
        </w:rPr>
        <w:t>However, some options are more effective in achieving the specific and general objectives than others.</w:t>
      </w:r>
      <w:r w:rsidR="003A65CA" w:rsidRPr="00FF4DDC">
        <w:rPr>
          <w:noProof/>
          <w:spacing w:val="-8"/>
        </w:rPr>
        <w:t xml:space="preserve"> </w:t>
      </w:r>
      <w:r w:rsidR="00726FEC">
        <w:rPr>
          <w:noProof/>
          <w:spacing w:val="-8"/>
        </w:rPr>
        <w:t>A</w:t>
      </w:r>
      <w:r w:rsidR="00270043">
        <w:rPr>
          <w:noProof/>
          <w:spacing w:val="-8"/>
        </w:rPr>
        <w:t xml:space="preserve">s explained in </w:t>
      </w:r>
      <w:r w:rsidR="00E225B4">
        <w:rPr>
          <w:noProof/>
          <w:spacing w:val="-8"/>
        </w:rPr>
        <w:t xml:space="preserve">section 7.1 and shown in section 7.5, </w:t>
      </w:r>
      <w:r w:rsidR="00FB0D97">
        <w:rPr>
          <w:noProof/>
          <w:spacing w:val="-8"/>
        </w:rPr>
        <w:t xml:space="preserve">PO3 is the </w:t>
      </w:r>
      <w:r w:rsidR="00505DAA">
        <w:rPr>
          <w:noProof/>
          <w:spacing w:val="-8"/>
        </w:rPr>
        <w:t>most</w:t>
      </w:r>
      <w:r w:rsidR="00FB0D97">
        <w:rPr>
          <w:noProof/>
          <w:spacing w:val="-8"/>
        </w:rPr>
        <w:t xml:space="preserve"> </w:t>
      </w:r>
      <w:r w:rsidR="00FB0D97" w:rsidRPr="00B13BF6">
        <w:rPr>
          <w:b/>
          <w:noProof/>
          <w:spacing w:val="-8"/>
        </w:rPr>
        <w:t>effective</w:t>
      </w:r>
      <w:r w:rsidR="00FB0D97">
        <w:rPr>
          <w:noProof/>
          <w:spacing w:val="-8"/>
        </w:rPr>
        <w:t xml:space="preserve"> </w:t>
      </w:r>
      <w:r w:rsidR="00AE0181" w:rsidRPr="00B13BF6">
        <w:rPr>
          <w:noProof/>
          <w:spacing w:val="-8"/>
        </w:rPr>
        <w:t>policy option</w:t>
      </w:r>
      <w:r w:rsidR="00BA13CC">
        <w:rPr>
          <w:b/>
          <w:bCs/>
          <w:noProof/>
          <w:spacing w:val="-8"/>
        </w:rPr>
        <w:t xml:space="preserve"> </w:t>
      </w:r>
      <w:r w:rsidR="00AE0181" w:rsidRPr="00FF4DDC">
        <w:rPr>
          <w:noProof/>
          <w:spacing w:val="-8"/>
        </w:rPr>
        <w:t>in reaching the policy objectives</w:t>
      </w:r>
      <w:r w:rsidR="00EA322E">
        <w:rPr>
          <w:noProof/>
          <w:spacing w:val="-8"/>
        </w:rPr>
        <w:t>. PO2 and PO4 also contribute significantly to the policy objectives</w:t>
      </w:r>
      <w:r w:rsidR="00ED6B0B">
        <w:rPr>
          <w:noProof/>
          <w:spacing w:val="-8"/>
        </w:rPr>
        <w:t>,</w:t>
      </w:r>
      <w:r w:rsidR="00EA322E">
        <w:rPr>
          <w:noProof/>
          <w:spacing w:val="-8"/>
        </w:rPr>
        <w:t xml:space="preserve"> while PO1 shows a more limited contribution. PO</w:t>
      </w:r>
      <w:r w:rsidR="007D0AD2">
        <w:rPr>
          <w:noProof/>
          <w:spacing w:val="-8"/>
        </w:rPr>
        <w:t>3</w:t>
      </w:r>
      <w:r w:rsidR="004846D3" w:rsidRPr="00FF4DDC">
        <w:rPr>
          <w:noProof/>
          <w:spacing w:val="-8"/>
        </w:rPr>
        <w:t xml:space="preserve"> is </w:t>
      </w:r>
      <w:r w:rsidR="00E81378">
        <w:rPr>
          <w:noProof/>
          <w:spacing w:val="-8"/>
        </w:rPr>
        <w:t>also the</w:t>
      </w:r>
      <w:r w:rsidR="004846D3" w:rsidRPr="00FF4DDC">
        <w:rPr>
          <w:noProof/>
          <w:spacing w:val="-8"/>
        </w:rPr>
        <w:t xml:space="preserve"> </w:t>
      </w:r>
      <w:r w:rsidR="00971177">
        <w:rPr>
          <w:noProof/>
          <w:spacing w:val="-8"/>
        </w:rPr>
        <w:t>most</w:t>
      </w:r>
      <w:r w:rsidR="00971177" w:rsidRPr="00FF4DDC">
        <w:rPr>
          <w:noProof/>
          <w:spacing w:val="-8"/>
        </w:rPr>
        <w:t xml:space="preserve"> </w:t>
      </w:r>
      <w:r w:rsidR="00F7092A" w:rsidRPr="00B13BF6">
        <w:rPr>
          <w:b/>
          <w:noProof/>
          <w:spacing w:val="-8"/>
        </w:rPr>
        <w:t>efficient</w:t>
      </w:r>
      <w:r w:rsidR="007D0AD2">
        <w:rPr>
          <w:noProof/>
          <w:spacing w:val="-8"/>
        </w:rPr>
        <w:t xml:space="preserve"> of the four policy options as it </w:t>
      </w:r>
      <w:r w:rsidR="00F7092A" w:rsidRPr="00FF4DDC">
        <w:rPr>
          <w:noProof/>
          <w:spacing w:val="-8"/>
        </w:rPr>
        <w:t xml:space="preserve">presents the </w:t>
      </w:r>
      <w:r w:rsidR="00476A6F" w:rsidRPr="00FF4DDC">
        <w:rPr>
          <w:noProof/>
          <w:spacing w:val="-8"/>
        </w:rPr>
        <w:t>highest benefits to costs ratio</w:t>
      </w:r>
      <w:r w:rsidR="002E539F" w:rsidRPr="00FF4DDC" w:rsidDel="007D0AD2">
        <w:rPr>
          <w:noProof/>
          <w:spacing w:val="-8"/>
        </w:rPr>
        <w:t xml:space="preserve"> </w:t>
      </w:r>
      <w:r w:rsidR="00116052">
        <w:rPr>
          <w:noProof/>
          <w:spacing w:val="-8"/>
        </w:rPr>
        <w:t>(</w:t>
      </w:r>
      <w:r w:rsidR="00172736">
        <w:rPr>
          <w:noProof/>
        </w:rPr>
        <w:t>0.9 excluding external costs savings</w:t>
      </w:r>
      <w:r w:rsidR="00790633">
        <w:rPr>
          <w:rStyle w:val="FootnoteReference"/>
          <w:noProof/>
          <w:spacing w:val="-8"/>
        </w:rPr>
        <w:footnoteReference w:id="214"/>
      </w:r>
      <w:r w:rsidR="00172736">
        <w:rPr>
          <w:noProof/>
        </w:rPr>
        <w:t xml:space="preserve"> and </w:t>
      </w:r>
      <w:r w:rsidR="007E51AC">
        <w:rPr>
          <w:noProof/>
          <w:spacing w:val="-8"/>
        </w:rPr>
        <w:t>123</w:t>
      </w:r>
      <w:r w:rsidR="00172736">
        <w:rPr>
          <w:noProof/>
        </w:rPr>
        <w:t xml:space="preserve"> including external costs savings</w:t>
      </w:r>
      <w:r w:rsidR="00116052">
        <w:rPr>
          <w:noProof/>
          <w:spacing w:val="-8"/>
        </w:rPr>
        <w:t>)</w:t>
      </w:r>
      <w:r w:rsidR="0063328B" w:rsidRPr="00FF4DDC">
        <w:rPr>
          <w:noProof/>
          <w:spacing w:val="-8"/>
        </w:rPr>
        <w:t>.</w:t>
      </w:r>
      <w:r w:rsidR="006630B4">
        <w:rPr>
          <w:noProof/>
        </w:rPr>
        <w:t xml:space="preserve"> </w:t>
      </w:r>
    </w:p>
    <w:p w14:paraId="6D76D5AF" w14:textId="09DE6148" w:rsidR="008F36A4" w:rsidRPr="005D2D60" w:rsidRDefault="00056153" w:rsidP="00FF4DDC">
      <w:pPr>
        <w:spacing w:after="240"/>
        <w:jc w:val="both"/>
        <w:rPr>
          <w:noProof/>
        </w:rPr>
      </w:pPr>
      <w:r w:rsidRPr="005D2D60">
        <w:rPr>
          <w:noProof/>
          <w:spacing w:val="-8"/>
        </w:rPr>
        <w:t xml:space="preserve">All policy options examined in this </w:t>
      </w:r>
      <w:r w:rsidR="006D6E77" w:rsidRPr="005D2D60">
        <w:rPr>
          <w:noProof/>
          <w:spacing w:val="-8"/>
        </w:rPr>
        <w:t>impact</w:t>
      </w:r>
      <w:r w:rsidRPr="005D2D60" w:rsidDel="006D6E77">
        <w:rPr>
          <w:noProof/>
          <w:spacing w:val="-8"/>
        </w:rPr>
        <w:t xml:space="preserve"> </w:t>
      </w:r>
      <w:r w:rsidR="006D6E77" w:rsidRPr="005D2D60">
        <w:rPr>
          <w:noProof/>
          <w:spacing w:val="-8"/>
        </w:rPr>
        <w:t xml:space="preserve">assessment </w:t>
      </w:r>
      <w:r w:rsidRPr="005D2D60">
        <w:rPr>
          <w:noProof/>
          <w:spacing w:val="-8"/>
        </w:rPr>
        <w:t xml:space="preserve">demonstrate </w:t>
      </w:r>
      <w:r w:rsidRPr="005D2D60">
        <w:rPr>
          <w:b/>
          <w:noProof/>
          <w:spacing w:val="-8"/>
        </w:rPr>
        <w:t>internal coherence</w:t>
      </w:r>
      <w:r w:rsidRPr="005D2D60">
        <w:rPr>
          <w:noProof/>
          <w:spacing w:val="-8"/>
        </w:rPr>
        <w:t xml:space="preserve">, aligning with the overarching objectives of promoting fair competition, enhancing consumer choice, and ensuring seamless access to multimodal travel information and ticketing. </w:t>
      </w:r>
      <w:r w:rsidR="001B50E1" w:rsidRPr="005D2D60">
        <w:rPr>
          <w:noProof/>
          <w:spacing w:val="-8"/>
        </w:rPr>
        <w:t>PO3 enabl</w:t>
      </w:r>
      <w:r w:rsidR="009F43D8" w:rsidRPr="005D2D60">
        <w:rPr>
          <w:noProof/>
          <w:spacing w:val="-8"/>
        </w:rPr>
        <w:t>es</w:t>
      </w:r>
      <w:r w:rsidR="001B50E1" w:rsidRPr="005D2D60">
        <w:rPr>
          <w:noProof/>
          <w:spacing w:val="-8"/>
        </w:rPr>
        <w:t xml:space="preserve"> travellers to search, compare, combine, and purchase rail and multimodal tickets seamlessly, including on indispensable RU platforms that dominate the market. By integrating these functionalities into existing high</w:t>
      </w:r>
      <w:r w:rsidR="00367EC7" w:rsidRPr="005D2D60">
        <w:rPr>
          <w:noProof/>
          <w:spacing w:val="-8"/>
        </w:rPr>
        <w:t xml:space="preserve"> </w:t>
      </w:r>
      <w:r w:rsidR="001B50E1" w:rsidRPr="005D2D60">
        <w:rPr>
          <w:noProof/>
          <w:spacing w:val="-8"/>
        </w:rPr>
        <w:t>market</w:t>
      </w:r>
      <w:r w:rsidR="00367EC7" w:rsidRPr="005D2D60">
        <w:rPr>
          <w:noProof/>
          <w:spacing w:val="-8"/>
        </w:rPr>
        <w:t xml:space="preserve"> </w:t>
      </w:r>
      <w:r w:rsidR="001B50E1" w:rsidRPr="005D2D60">
        <w:rPr>
          <w:noProof/>
          <w:spacing w:val="-8"/>
        </w:rPr>
        <w:t xml:space="preserve">share platforms, this option maximises consumer reach while ensuring compliance with fairness and transparency requirements. It strikes a balance between market-led innovation and regulatory oversight, reducing fragmentation in the ticketing system. Each option has been designed to ensure </w:t>
      </w:r>
      <w:r w:rsidR="00261053" w:rsidRPr="005D2D60">
        <w:rPr>
          <w:noProof/>
          <w:spacing w:val="-8"/>
        </w:rPr>
        <w:t xml:space="preserve">full </w:t>
      </w:r>
      <w:r w:rsidR="00261053" w:rsidRPr="005D2D60">
        <w:rPr>
          <w:b/>
          <w:noProof/>
          <w:spacing w:val="-8"/>
        </w:rPr>
        <w:t>external coherence</w:t>
      </w:r>
      <w:r w:rsidR="00261053" w:rsidRPr="005D2D60">
        <w:rPr>
          <w:noProof/>
          <w:spacing w:val="-8"/>
        </w:rPr>
        <w:t xml:space="preserve"> and </w:t>
      </w:r>
      <w:r w:rsidR="009E2814" w:rsidRPr="005D2D60">
        <w:rPr>
          <w:noProof/>
          <w:spacing w:val="-8"/>
        </w:rPr>
        <w:t xml:space="preserve">seek </w:t>
      </w:r>
      <w:r w:rsidR="001B50E1" w:rsidRPr="005D2D60">
        <w:rPr>
          <w:noProof/>
          <w:spacing w:val="-8"/>
        </w:rPr>
        <w:t>synerg</w:t>
      </w:r>
      <w:r w:rsidR="009E2814" w:rsidRPr="005D2D60">
        <w:rPr>
          <w:noProof/>
          <w:spacing w:val="-8"/>
        </w:rPr>
        <w:t>ies</w:t>
      </w:r>
      <w:r w:rsidR="001B50E1" w:rsidRPr="005D2D60">
        <w:rPr>
          <w:noProof/>
          <w:spacing w:val="-8"/>
        </w:rPr>
        <w:t xml:space="preserve"> with existing EU legislation while addressing identified gaps in the current framework.</w:t>
      </w:r>
    </w:p>
    <w:p w14:paraId="0A3C2393" w14:textId="426A1F3D" w:rsidR="006065AD" w:rsidRDefault="00BA630B" w:rsidP="00FF4DDC">
      <w:pPr>
        <w:spacing w:after="240"/>
        <w:jc w:val="both"/>
        <w:rPr>
          <w:noProof/>
          <w:spacing w:val="-8"/>
        </w:rPr>
      </w:pPr>
      <w:r w:rsidRPr="00FF4DDC">
        <w:rPr>
          <w:noProof/>
          <w:spacing w:val="-8"/>
        </w:rPr>
        <w:t>A</w:t>
      </w:r>
      <w:r w:rsidR="006065AD" w:rsidRPr="00FF4DDC">
        <w:rPr>
          <w:noProof/>
          <w:spacing w:val="-8"/>
        </w:rPr>
        <w:t xml:space="preserve">ll options </w:t>
      </w:r>
      <w:r w:rsidRPr="00FF4DDC">
        <w:rPr>
          <w:noProof/>
          <w:spacing w:val="-8"/>
        </w:rPr>
        <w:t xml:space="preserve">respect the </w:t>
      </w:r>
      <w:r w:rsidR="006065AD" w:rsidRPr="00FF4DDC">
        <w:rPr>
          <w:b/>
          <w:noProof/>
          <w:spacing w:val="-8"/>
        </w:rPr>
        <w:t>subsidiarity</w:t>
      </w:r>
      <w:r w:rsidR="006065AD" w:rsidRPr="00FF4DDC">
        <w:rPr>
          <w:noProof/>
          <w:spacing w:val="-8"/>
        </w:rPr>
        <w:t xml:space="preserve"> principle, </w:t>
      </w:r>
      <w:r w:rsidR="00CE0EA0" w:rsidRPr="00FF4DDC">
        <w:rPr>
          <w:noProof/>
          <w:spacing w:val="-8"/>
        </w:rPr>
        <w:t xml:space="preserve">contributing to </w:t>
      </w:r>
      <w:r w:rsidR="006065AD" w:rsidRPr="00FF4DDC">
        <w:rPr>
          <w:noProof/>
          <w:spacing w:val="-8"/>
        </w:rPr>
        <w:t>harmonis</w:t>
      </w:r>
      <w:r w:rsidRPr="00FF4DDC">
        <w:rPr>
          <w:noProof/>
          <w:spacing w:val="-8"/>
        </w:rPr>
        <w:t>ing</w:t>
      </w:r>
      <w:r w:rsidR="006065AD" w:rsidRPr="00FF4DDC">
        <w:rPr>
          <w:noProof/>
          <w:spacing w:val="-8"/>
        </w:rPr>
        <w:t xml:space="preserve"> the legal framework</w:t>
      </w:r>
      <w:r w:rsidR="00CE0EA0" w:rsidRPr="00FF4DDC">
        <w:rPr>
          <w:noProof/>
          <w:spacing w:val="-8"/>
        </w:rPr>
        <w:t xml:space="preserve"> and fostering cross-border ticketing platforms</w:t>
      </w:r>
      <w:r w:rsidR="006065AD" w:rsidRPr="00FF4DDC">
        <w:rPr>
          <w:noProof/>
          <w:spacing w:val="-8"/>
        </w:rPr>
        <w:t>, albeit at different levels of ambition</w:t>
      </w:r>
      <w:r w:rsidR="00A76928" w:rsidRPr="00FF4DDC">
        <w:rPr>
          <w:noProof/>
          <w:spacing w:val="-8"/>
        </w:rPr>
        <w:t xml:space="preserve">, with </w:t>
      </w:r>
      <w:r w:rsidR="00730992" w:rsidRPr="00FF4DDC">
        <w:rPr>
          <w:noProof/>
          <w:spacing w:val="-8"/>
        </w:rPr>
        <w:t>PO3 allowing for</w:t>
      </w:r>
      <w:r w:rsidR="006065AD" w:rsidRPr="00FF4DDC">
        <w:rPr>
          <w:noProof/>
          <w:spacing w:val="-8"/>
        </w:rPr>
        <w:t xml:space="preserve"> a higher level of </w:t>
      </w:r>
      <w:r w:rsidR="00730992" w:rsidRPr="00FF4DDC">
        <w:rPr>
          <w:noProof/>
          <w:spacing w:val="-8"/>
        </w:rPr>
        <w:t>competition in the rail distribution market.</w:t>
      </w:r>
      <w:r w:rsidR="006065AD" w:rsidRPr="00FF4DDC">
        <w:rPr>
          <w:noProof/>
          <w:spacing w:val="-8"/>
        </w:rPr>
        <w:t xml:space="preserve"> With respect to </w:t>
      </w:r>
      <w:r w:rsidR="006065AD" w:rsidRPr="00FF4DDC">
        <w:rPr>
          <w:b/>
          <w:noProof/>
          <w:spacing w:val="-8"/>
        </w:rPr>
        <w:t>proportionality</w:t>
      </w:r>
      <w:r w:rsidR="006065AD" w:rsidRPr="00FF4DDC">
        <w:rPr>
          <w:noProof/>
          <w:spacing w:val="-8"/>
        </w:rPr>
        <w:t xml:space="preserve">, </w:t>
      </w:r>
      <w:r w:rsidR="00DD7A5D" w:rsidRPr="00FF4DDC">
        <w:rPr>
          <w:noProof/>
          <w:spacing w:val="-8"/>
        </w:rPr>
        <w:t>PO3 achieves best the objectives of the initiative</w:t>
      </w:r>
      <w:r w:rsidR="00FB70A3" w:rsidRPr="00B53DFD">
        <w:rPr>
          <w:noProof/>
          <w:spacing w:val="-8"/>
        </w:rPr>
        <w:t xml:space="preserve">. </w:t>
      </w:r>
      <w:r w:rsidR="006D4A99" w:rsidRPr="00B53DFD">
        <w:rPr>
          <w:noProof/>
          <w:spacing w:val="-8"/>
        </w:rPr>
        <w:t xml:space="preserve">PO3 is </w:t>
      </w:r>
      <w:r w:rsidR="00692211" w:rsidRPr="00B53DFD">
        <w:rPr>
          <w:noProof/>
          <w:spacing w:val="-8"/>
        </w:rPr>
        <w:t>much</w:t>
      </w:r>
      <w:r w:rsidR="006D4A99" w:rsidRPr="00B53DFD">
        <w:rPr>
          <w:noProof/>
          <w:spacing w:val="-8"/>
        </w:rPr>
        <w:t xml:space="preserve"> more effective than PO2 </w:t>
      </w:r>
      <w:r w:rsidR="00FB2414" w:rsidRPr="00B53DFD">
        <w:rPr>
          <w:noProof/>
          <w:spacing w:val="-8"/>
        </w:rPr>
        <w:t xml:space="preserve">since the </w:t>
      </w:r>
      <w:r w:rsidR="005E0213" w:rsidRPr="00B53DFD">
        <w:rPr>
          <w:noProof/>
          <w:spacing w:val="-8"/>
        </w:rPr>
        <w:t xml:space="preserve">addition of the ‘hosting obligation’ </w:t>
      </w:r>
      <w:r w:rsidR="00FB73DA" w:rsidRPr="00B53DFD">
        <w:rPr>
          <w:noProof/>
          <w:spacing w:val="-8"/>
        </w:rPr>
        <w:t>increases</w:t>
      </w:r>
      <w:r w:rsidR="00650F66" w:rsidRPr="00B53DFD">
        <w:rPr>
          <w:noProof/>
          <w:spacing w:val="-8"/>
        </w:rPr>
        <w:t xml:space="preserve"> very substantially </w:t>
      </w:r>
      <w:r w:rsidR="000809B6" w:rsidRPr="00B53DFD">
        <w:rPr>
          <w:noProof/>
          <w:spacing w:val="-8"/>
        </w:rPr>
        <w:t>the number of passenger</w:t>
      </w:r>
      <w:r w:rsidR="00274141" w:rsidRPr="00B53DFD">
        <w:rPr>
          <w:noProof/>
          <w:spacing w:val="-8"/>
        </w:rPr>
        <w:t>s</w:t>
      </w:r>
      <w:r w:rsidR="000809B6" w:rsidRPr="00B53DFD">
        <w:rPr>
          <w:noProof/>
          <w:spacing w:val="-8"/>
        </w:rPr>
        <w:t xml:space="preserve"> who benefit from the </w:t>
      </w:r>
      <w:r w:rsidR="00D26DEE" w:rsidRPr="00B53DFD">
        <w:rPr>
          <w:noProof/>
          <w:spacing w:val="-8"/>
        </w:rPr>
        <w:t xml:space="preserve">policy </w:t>
      </w:r>
      <w:r w:rsidR="000809B6" w:rsidRPr="00B53DFD">
        <w:rPr>
          <w:noProof/>
          <w:spacing w:val="-8"/>
        </w:rPr>
        <w:t>measure</w:t>
      </w:r>
      <w:r w:rsidR="00D26DEE" w:rsidRPr="00B53DFD">
        <w:rPr>
          <w:noProof/>
          <w:spacing w:val="-8"/>
        </w:rPr>
        <w:t>s</w:t>
      </w:r>
      <w:r w:rsidR="0009688F" w:rsidRPr="00B53DFD">
        <w:rPr>
          <w:noProof/>
          <w:spacing w:val="-8"/>
        </w:rPr>
        <w:t xml:space="preserve"> and the market impact of the proposal</w:t>
      </w:r>
      <w:r w:rsidR="00BE7F90" w:rsidRPr="00B53DFD">
        <w:rPr>
          <w:noProof/>
          <w:spacing w:val="-8"/>
        </w:rPr>
        <w:t xml:space="preserve">. On the other hand, the </w:t>
      </w:r>
      <w:r w:rsidR="00C20E25" w:rsidRPr="00B53DFD">
        <w:rPr>
          <w:noProof/>
          <w:spacing w:val="-8"/>
        </w:rPr>
        <w:t xml:space="preserve">hosting obligation does not impose a </w:t>
      </w:r>
      <w:r w:rsidR="00492749" w:rsidRPr="00B53DFD">
        <w:rPr>
          <w:noProof/>
          <w:spacing w:val="-8"/>
        </w:rPr>
        <w:t xml:space="preserve">change in </w:t>
      </w:r>
      <w:r w:rsidR="0009688F" w:rsidRPr="00B53DFD">
        <w:rPr>
          <w:noProof/>
          <w:spacing w:val="-8"/>
        </w:rPr>
        <w:t xml:space="preserve">the </w:t>
      </w:r>
      <w:r w:rsidR="00492749" w:rsidRPr="00B53DFD">
        <w:rPr>
          <w:noProof/>
          <w:spacing w:val="-8"/>
        </w:rPr>
        <w:t xml:space="preserve">business model of the </w:t>
      </w:r>
      <w:r w:rsidR="00AD698C">
        <w:rPr>
          <w:noProof/>
          <w:spacing w:val="-8"/>
        </w:rPr>
        <w:t>indispensable</w:t>
      </w:r>
      <w:r w:rsidR="00AD698C" w:rsidRPr="00B53DFD">
        <w:rPr>
          <w:noProof/>
          <w:spacing w:val="-8"/>
        </w:rPr>
        <w:t xml:space="preserve"> </w:t>
      </w:r>
      <w:r w:rsidR="00492749" w:rsidRPr="00B53DFD">
        <w:rPr>
          <w:noProof/>
          <w:spacing w:val="-8"/>
        </w:rPr>
        <w:t>platforms</w:t>
      </w:r>
      <w:r w:rsidR="00121BA5" w:rsidRPr="00B53DFD">
        <w:rPr>
          <w:noProof/>
          <w:spacing w:val="-8"/>
        </w:rPr>
        <w:t>,</w:t>
      </w:r>
      <w:r w:rsidR="00492749" w:rsidRPr="00B53DFD">
        <w:rPr>
          <w:noProof/>
          <w:spacing w:val="-8"/>
        </w:rPr>
        <w:t xml:space="preserve"> </w:t>
      </w:r>
      <w:r w:rsidR="008854BE" w:rsidRPr="00B53DFD">
        <w:rPr>
          <w:noProof/>
          <w:spacing w:val="-8"/>
        </w:rPr>
        <w:t>n</w:t>
      </w:r>
      <w:r w:rsidR="00492749" w:rsidRPr="00B53DFD">
        <w:rPr>
          <w:noProof/>
          <w:spacing w:val="-8"/>
        </w:rPr>
        <w:t xml:space="preserve">or </w:t>
      </w:r>
      <w:r w:rsidR="006E2F65" w:rsidRPr="00B53DFD">
        <w:rPr>
          <w:noProof/>
          <w:spacing w:val="-8"/>
        </w:rPr>
        <w:t xml:space="preserve">would </w:t>
      </w:r>
      <w:r w:rsidR="00AD698C">
        <w:rPr>
          <w:noProof/>
          <w:spacing w:val="-8"/>
        </w:rPr>
        <w:t xml:space="preserve">it </w:t>
      </w:r>
      <w:r w:rsidR="006E2F65" w:rsidRPr="00B53DFD">
        <w:rPr>
          <w:noProof/>
          <w:spacing w:val="-8"/>
        </w:rPr>
        <w:t>negatively affect t</w:t>
      </w:r>
      <w:r w:rsidR="001614BA" w:rsidRPr="00B53DFD">
        <w:rPr>
          <w:noProof/>
          <w:spacing w:val="-8"/>
        </w:rPr>
        <w:t>heir business</w:t>
      </w:r>
      <w:r w:rsidR="00AD698C">
        <w:rPr>
          <w:noProof/>
          <w:spacing w:val="-8"/>
        </w:rPr>
        <w:t xml:space="preserve">. </w:t>
      </w:r>
      <w:r w:rsidR="00121BA5">
        <w:rPr>
          <w:noProof/>
          <w:spacing w:val="-8"/>
        </w:rPr>
        <w:t xml:space="preserve">The hosting obligation only </w:t>
      </w:r>
      <w:r w:rsidR="007E5811">
        <w:rPr>
          <w:noProof/>
          <w:spacing w:val="-8"/>
        </w:rPr>
        <w:t xml:space="preserve">imposes </w:t>
      </w:r>
      <w:r w:rsidR="00810A97">
        <w:rPr>
          <w:noProof/>
          <w:spacing w:val="-8"/>
        </w:rPr>
        <w:t xml:space="preserve">open access and </w:t>
      </w:r>
      <w:r w:rsidR="00211308" w:rsidRPr="00B53DFD">
        <w:rPr>
          <w:noProof/>
          <w:spacing w:val="-8"/>
        </w:rPr>
        <w:t>non-discriminatory treatment</w:t>
      </w:r>
      <w:r w:rsidR="00831D83" w:rsidRPr="00B53DFD">
        <w:rPr>
          <w:noProof/>
          <w:spacing w:val="-8"/>
        </w:rPr>
        <w:t xml:space="preserve"> of </w:t>
      </w:r>
      <w:r w:rsidR="00677497" w:rsidRPr="00B53DFD">
        <w:rPr>
          <w:noProof/>
          <w:spacing w:val="-8"/>
        </w:rPr>
        <w:t xml:space="preserve">the client </w:t>
      </w:r>
      <w:r w:rsidR="00192752" w:rsidRPr="00B53DFD">
        <w:rPr>
          <w:noProof/>
          <w:spacing w:val="-8"/>
        </w:rPr>
        <w:t>R</w:t>
      </w:r>
      <w:r w:rsidR="005C4B6D" w:rsidRPr="00B53DFD">
        <w:rPr>
          <w:noProof/>
          <w:spacing w:val="-8"/>
        </w:rPr>
        <w:t>U</w:t>
      </w:r>
      <w:r w:rsidR="00192752" w:rsidRPr="00B53DFD">
        <w:rPr>
          <w:noProof/>
          <w:spacing w:val="-8"/>
        </w:rPr>
        <w:t>s</w:t>
      </w:r>
      <w:r w:rsidR="00677497" w:rsidRPr="00B53DFD">
        <w:rPr>
          <w:noProof/>
          <w:spacing w:val="-8"/>
        </w:rPr>
        <w:t xml:space="preserve">, which is a proportionate requirement for </w:t>
      </w:r>
      <w:r w:rsidR="00AC781A" w:rsidRPr="00B53DFD">
        <w:rPr>
          <w:noProof/>
          <w:spacing w:val="-8"/>
        </w:rPr>
        <w:t>entities with such high market share</w:t>
      </w:r>
      <w:r w:rsidR="007E218C">
        <w:rPr>
          <w:noProof/>
          <w:spacing w:val="-8"/>
        </w:rPr>
        <w:t>.</w:t>
      </w:r>
      <w:r w:rsidR="008D445B">
        <w:rPr>
          <w:noProof/>
          <w:spacing w:val="-8"/>
        </w:rPr>
        <w:t xml:space="preserve"> PO4 has similar results to </w:t>
      </w:r>
      <w:r w:rsidR="00787DF6">
        <w:rPr>
          <w:noProof/>
          <w:spacing w:val="-8"/>
        </w:rPr>
        <w:t xml:space="preserve">PO3, but at the higher cost of the </w:t>
      </w:r>
      <w:r w:rsidR="00B6521D">
        <w:rPr>
          <w:noProof/>
          <w:spacing w:val="-8"/>
        </w:rPr>
        <w:t xml:space="preserve">unbundling and </w:t>
      </w:r>
      <w:r w:rsidR="002557A2">
        <w:rPr>
          <w:noProof/>
          <w:spacing w:val="-8"/>
        </w:rPr>
        <w:t xml:space="preserve">organisational </w:t>
      </w:r>
      <w:r w:rsidR="00787DF6">
        <w:rPr>
          <w:noProof/>
          <w:spacing w:val="-8"/>
        </w:rPr>
        <w:t xml:space="preserve">restructuring of </w:t>
      </w:r>
      <w:r w:rsidR="00E6228E">
        <w:rPr>
          <w:noProof/>
          <w:spacing w:val="-8"/>
        </w:rPr>
        <w:t>vertically integrated entities</w:t>
      </w:r>
      <w:r w:rsidR="00DD7A5D" w:rsidRPr="00FF4DDC">
        <w:rPr>
          <w:noProof/>
          <w:spacing w:val="-8"/>
        </w:rPr>
        <w:t>.</w:t>
      </w:r>
      <w:r w:rsidR="00DD7A5D">
        <w:rPr>
          <w:noProof/>
          <w:spacing w:val="-8"/>
        </w:rPr>
        <w:t xml:space="preserve"> </w:t>
      </w:r>
      <w:r w:rsidR="00DB4C57">
        <w:rPr>
          <w:noProof/>
          <w:spacing w:val="-8"/>
        </w:rPr>
        <w:t>Although a</w:t>
      </w:r>
      <w:r w:rsidR="00DB4C57" w:rsidRPr="00DB4C57">
        <w:rPr>
          <w:noProof/>
          <w:spacing w:val="-8"/>
        </w:rPr>
        <w:t>ll policy options comply with the principle of proportionality, PO4 possibly go</w:t>
      </w:r>
      <w:r w:rsidR="0017094E">
        <w:rPr>
          <w:noProof/>
          <w:spacing w:val="-8"/>
        </w:rPr>
        <w:t>es</w:t>
      </w:r>
      <w:r w:rsidR="00DB4C57" w:rsidRPr="00DB4C57">
        <w:rPr>
          <w:noProof/>
          <w:spacing w:val="-8"/>
        </w:rPr>
        <w:t xml:space="preserve"> somewhat beyond what is necessary to reach the objectives.</w:t>
      </w:r>
    </w:p>
    <w:p w14:paraId="2D8C5D90" w14:textId="661433DC" w:rsidR="00726FEC" w:rsidRPr="00B13BF6" w:rsidRDefault="00726FEC" w:rsidP="00FF4DDC">
      <w:pPr>
        <w:spacing w:after="240"/>
        <w:jc w:val="both"/>
        <w:rPr>
          <w:b/>
          <w:noProof/>
          <w:spacing w:val="-8"/>
        </w:rPr>
      </w:pPr>
      <w:r w:rsidRPr="00B13BF6">
        <w:rPr>
          <w:b/>
          <w:noProof/>
          <w:spacing w:val="-8"/>
        </w:rPr>
        <w:t>The analysis above identifies PO3 as the preferred policy option.</w:t>
      </w:r>
    </w:p>
    <w:p w14:paraId="25BDE076" w14:textId="307940F9" w:rsidR="001316E9" w:rsidRPr="00E91609" w:rsidRDefault="001F65A9" w:rsidP="00FF4DDC">
      <w:pPr>
        <w:spacing w:after="240"/>
        <w:jc w:val="both"/>
        <w:rPr>
          <w:noProof/>
          <w:spacing w:val="-8"/>
        </w:rPr>
      </w:pPr>
      <w:r w:rsidRPr="00FF4DDC">
        <w:rPr>
          <w:rFonts w:eastAsiaTheme="minorEastAsia"/>
          <w:b/>
          <w:bCs/>
          <w:noProof/>
          <w:spacing w:val="-8"/>
        </w:rPr>
        <w:t>Stakeholders’ views</w:t>
      </w:r>
      <w:r w:rsidRPr="00FF4DDC">
        <w:rPr>
          <w:rFonts w:eastAsiaTheme="minorEastAsia"/>
          <w:noProof/>
          <w:spacing w:val="-8"/>
        </w:rPr>
        <w:t xml:space="preserve"> on </w:t>
      </w:r>
      <w:r w:rsidR="00AD4B21" w:rsidRPr="00FF4DDC">
        <w:rPr>
          <w:rFonts w:eastAsiaTheme="minorEastAsia"/>
          <w:noProof/>
          <w:spacing w:val="-8"/>
        </w:rPr>
        <w:t>the preferred policy option</w:t>
      </w:r>
      <w:r w:rsidRPr="00FF4DDC">
        <w:rPr>
          <w:rFonts w:eastAsiaTheme="minorEastAsia"/>
          <w:noProof/>
          <w:spacing w:val="-8"/>
        </w:rPr>
        <w:t xml:space="preserve"> were </w:t>
      </w:r>
      <w:r w:rsidR="005D2B28" w:rsidRPr="00FF4DDC">
        <w:rPr>
          <w:rFonts w:eastAsiaTheme="minorEastAsia"/>
          <w:noProof/>
          <w:spacing w:val="-8"/>
        </w:rPr>
        <w:t>collected</w:t>
      </w:r>
      <w:r w:rsidRPr="00FF4DDC">
        <w:rPr>
          <w:rFonts w:eastAsiaTheme="minorEastAsia"/>
          <w:noProof/>
          <w:spacing w:val="-8"/>
        </w:rPr>
        <w:t xml:space="preserve"> </w:t>
      </w:r>
      <w:r w:rsidR="005D2B28" w:rsidRPr="00FF4DDC">
        <w:rPr>
          <w:rFonts w:eastAsiaTheme="minorEastAsia"/>
          <w:noProof/>
          <w:spacing w:val="-8"/>
        </w:rPr>
        <w:t>via</w:t>
      </w:r>
      <w:r w:rsidRPr="00FF4DDC">
        <w:rPr>
          <w:rFonts w:eastAsiaTheme="minorEastAsia"/>
          <w:noProof/>
          <w:spacing w:val="-8"/>
        </w:rPr>
        <w:t xml:space="preserve"> </w:t>
      </w:r>
      <w:r w:rsidR="005D2B28" w:rsidRPr="00FF4DDC">
        <w:rPr>
          <w:rFonts w:eastAsiaTheme="minorEastAsia"/>
          <w:noProof/>
          <w:spacing w:val="-8"/>
        </w:rPr>
        <w:t>many</w:t>
      </w:r>
      <w:r w:rsidR="00D446DA" w:rsidRPr="00FF4DDC">
        <w:rPr>
          <w:rFonts w:eastAsiaTheme="minorEastAsia"/>
          <w:noProof/>
          <w:spacing w:val="-8"/>
        </w:rPr>
        <w:t xml:space="preserve"> stakeholder consultations activities</w:t>
      </w:r>
      <w:r w:rsidR="005D2B28" w:rsidRPr="00FF4DDC">
        <w:rPr>
          <w:rFonts w:eastAsiaTheme="minorEastAsia"/>
          <w:noProof/>
          <w:spacing w:val="-8"/>
        </w:rPr>
        <w:t>, as</w:t>
      </w:r>
      <w:r w:rsidR="00D446DA" w:rsidRPr="00FF4DDC">
        <w:rPr>
          <w:rFonts w:eastAsiaTheme="minorEastAsia"/>
          <w:noProof/>
          <w:spacing w:val="-8"/>
        </w:rPr>
        <w:t xml:space="preserve"> detailed in</w:t>
      </w:r>
      <w:r w:rsidR="000B263C" w:rsidRPr="00FF4DDC">
        <w:rPr>
          <w:rFonts w:eastAsiaTheme="minorEastAsia"/>
          <w:noProof/>
          <w:spacing w:val="-8"/>
        </w:rPr>
        <w:t xml:space="preserve"> </w:t>
      </w:r>
      <w:r w:rsidR="00860253">
        <w:rPr>
          <w:rFonts w:eastAsiaTheme="minorEastAsia"/>
          <w:noProof/>
          <w:spacing w:val="-8"/>
        </w:rPr>
        <w:t>Annex</w:t>
      </w:r>
      <w:r w:rsidR="000B263C" w:rsidRPr="00FF4DDC">
        <w:rPr>
          <w:rFonts w:eastAsiaTheme="minorEastAsia"/>
          <w:noProof/>
          <w:spacing w:val="-8"/>
        </w:rPr>
        <w:t xml:space="preserve"> 2</w:t>
      </w:r>
      <w:r w:rsidR="00D446DA" w:rsidRPr="00FF4DDC">
        <w:rPr>
          <w:rFonts w:eastAsiaTheme="minorEastAsia"/>
          <w:noProof/>
          <w:spacing w:val="-8"/>
        </w:rPr>
        <w:t xml:space="preserve">. </w:t>
      </w:r>
      <w:r w:rsidR="008B6209" w:rsidRPr="00FF4DDC">
        <w:rPr>
          <w:rFonts w:eastAsiaTheme="minorEastAsia"/>
          <w:noProof/>
          <w:spacing w:val="-8"/>
        </w:rPr>
        <w:t xml:space="preserve">The common policy measures </w:t>
      </w:r>
      <w:r w:rsidR="006C58BA" w:rsidRPr="00FF4DDC">
        <w:rPr>
          <w:rFonts w:eastAsiaTheme="minorEastAsia"/>
          <w:noProof/>
          <w:spacing w:val="-8"/>
        </w:rPr>
        <w:t xml:space="preserve">assessed in the OPC </w:t>
      </w:r>
      <w:r w:rsidR="00A0147A" w:rsidRPr="00FF4DDC">
        <w:rPr>
          <w:rFonts w:eastAsiaTheme="minorEastAsia"/>
          <w:noProof/>
          <w:spacing w:val="-8"/>
        </w:rPr>
        <w:t xml:space="preserve">were </w:t>
      </w:r>
      <w:r w:rsidR="006E0439" w:rsidRPr="00FF4DDC">
        <w:rPr>
          <w:rFonts w:eastAsiaTheme="minorEastAsia"/>
          <w:noProof/>
          <w:spacing w:val="-8"/>
        </w:rPr>
        <w:t xml:space="preserve">welcomed by most </w:t>
      </w:r>
      <w:r w:rsidR="006E0439" w:rsidRPr="00FF4DDC" w:rsidDel="00AF0B91">
        <w:rPr>
          <w:rFonts w:eastAsiaTheme="minorEastAsia"/>
          <w:noProof/>
          <w:spacing w:val="-8"/>
        </w:rPr>
        <w:t>respondents</w:t>
      </w:r>
      <w:r w:rsidR="00AF0B91" w:rsidRPr="00FF4DDC">
        <w:rPr>
          <w:rFonts w:eastAsiaTheme="minorEastAsia"/>
          <w:noProof/>
          <w:spacing w:val="-8"/>
        </w:rPr>
        <w:t xml:space="preserve"> but</w:t>
      </w:r>
      <w:r w:rsidR="00497F13" w:rsidRPr="00FF4DDC">
        <w:rPr>
          <w:rFonts w:eastAsiaTheme="minorEastAsia"/>
          <w:noProof/>
          <w:spacing w:val="-8"/>
        </w:rPr>
        <w:t xml:space="preserve"> received less support in the </w:t>
      </w:r>
      <w:r w:rsidR="008D0F95">
        <w:rPr>
          <w:rFonts w:eastAsiaTheme="minorEastAsia"/>
          <w:noProof/>
          <w:spacing w:val="-8"/>
        </w:rPr>
        <w:t xml:space="preserve">targeted </w:t>
      </w:r>
      <w:r w:rsidR="00497F13" w:rsidRPr="00FF4DDC">
        <w:rPr>
          <w:rFonts w:eastAsiaTheme="minorEastAsia"/>
          <w:noProof/>
          <w:spacing w:val="-8"/>
        </w:rPr>
        <w:t>survey</w:t>
      </w:r>
      <w:r w:rsidR="008D0F95">
        <w:rPr>
          <w:rFonts w:eastAsiaTheme="minorEastAsia"/>
          <w:noProof/>
          <w:spacing w:val="-8"/>
        </w:rPr>
        <w:t xml:space="preserve"> conducted in 2025</w:t>
      </w:r>
      <w:r w:rsidR="00497F13" w:rsidRPr="00FF4DDC">
        <w:rPr>
          <w:rFonts w:eastAsiaTheme="minorEastAsia"/>
          <w:noProof/>
          <w:spacing w:val="-8"/>
        </w:rPr>
        <w:t xml:space="preserve">, with MDMS platforms </w:t>
      </w:r>
      <w:r w:rsidR="006C58BA" w:rsidRPr="00FF4DDC">
        <w:rPr>
          <w:rFonts w:eastAsiaTheme="minorEastAsia"/>
          <w:noProof/>
          <w:spacing w:val="-8"/>
        </w:rPr>
        <w:t xml:space="preserve">representing the most sceptical group. </w:t>
      </w:r>
      <w:r w:rsidR="00150673" w:rsidRPr="00FF4DDC">
        <w:rPr>
          <w:rFonts w:eastAsiaTheme="minorEastAsia"/>
          <w:noProof/>
          <w:spacing w:val="-8"/>
        </w:rPr>
        <w:t xml:space="preserve">In particular, </w:t>
      </w:r>
      <w:r w:rsidR="0043129F" w:rsidRPr="00FF4DDC">
        <w:rPr>
          <w:rFonts w:eastAsiaTheme="minorEastAsia"/>
          <w:noProof/>
          <w:spacing w:val="-8"/>
        </w:rPr>
        <w:t>MDMS platforms perceived</w:t>
      </w:r>
      <w:r w:rsidR="00150673" w:rsidRPr="00FF4DDC">
        <w:rPr>
          <w:rFonts w:eastAsiaTheme="minorEastAsia"/>
          <w:noProof/>
          <w:spacing w:val="-8"/>
        </w:rPr>
        <w:t xml:space="preserve"> the introduction of commercial agreements rules </w:t>
      </w:r>
      <w:r w:rsidR="00D444DE" w:rsidRPr="00FF4DDC">
        <w:rPr>
          <w:rFonts w:eastAsiaTheme="minorEastAsia"/>
          <w:noProof/>
          <w:spacing w:val="-8"/>
        </w:rPr>
        <w:t>for indispensable MDMS platforms and RUs</w:t>
      </w:r>
      <w:r w:rsidR="007A7397" w:rsidRPr="00FF4DDC">
        <w:rPr>
          <w:rFonts w:eastAsiaTheme="minorEastAsia"/>
          <w:noProof/>
          <w:spacing w:val="-8"/>
        </w:rPr>
        <w:t xml:space="preserve"> platforms</w:t>
      </w:r>
      <w:r w:rsidR="008141FF" w:rsidRPr="00FF4DDC">
        <w:rPr>
          <w:rFonts w:eastAsiaTheme="minorEastAsia"/>
          <w:noProof/>
          <w:spacing w:val="-8"/>
        </w:rPr>
        <w:t xml:space="preserve"> (PM11)</w:t>
      </w:r>
      <w:r w:rsidR="00D444DE" w:rsidRPr="00FF4DDC">
        <w:rPr>
          <w:rFonts w:eastAsiaTheme="minorEastAsia"/>
          <w:noProof/>
          <w:spacing w:val="-8"/>
        </w:rPr>
        <w:t xml:space="preserve"> </w:t>
      </w:r>
      <w:r w:rsidR="007A7397" w:rsidRPr="00FF4DDC">
        <w:rPr>
          <w:rFonts w:eastAsiaTheme="minorEastAsia"/>
          <w:noProof/>
          <w:spacing w:val="-8"/>
        </w:rPr>
        <w:t xml:space="preserve">as too </w:t>
      </w:r>
      <w:r w:rsidR="00357761" w:rsidRPr="00FF4DDC">
        <w:rPr>
          <w:rFonts w:eastAsiaTheme="minorEastAsia"/>
          <w:noProof/>
          <w:spacing w:val="-8"/>
        </w:rPr>
        <w:t>restrictive and</w:t>
      </w:r>
      <w:r w:rsidR="00234C06" w:rsidRPr="00FF4DDC">
        <w:rPr>
          <w:rFonts w:eastAsiaTheme="minorEastAsia"/>
          <w:noProof/>
          <w:spacing w:val="-8"/>
        </w:rPr>
        <w:t xml:space="preserve"> not targeting the </w:t>
      </w:r>
      <w:r w:rsidR="001F63A5" w:rsidRPr="00FF4DDC">
        <w:rPr>
          <w:rFonts w:eastAsiaTheme="minorEastAsia"/>
          <w:noProof/>
          <w:spacing w:val="-8"/>
        </w:rPr>
        <w:t>right stakeholder group</w:t>
      </w:r>
      <w:r w:rsidR="00357761" w:rsidRPr="00FF4DDC">
        <w:rPr>
          <w:rFonts w:eastAsiaTheme="minorEastAsia"/>
          <w:noProof/>
          <w:spacing w:val="-8"/>
        </w:rPr>
        <w:t>, claiming they would have no incentive to block access to their platform.</w:t>
      </w:r>
      <w:r w:rsidR="008141FF" w:rsidRPr="00FF4DDC">
        <w:rPr>
          <w:rFonts w:eastAsiaTheme="minorEastAsia"/>
          <w:noProof/>
          <w:spacing w:val="-8"/>
        </w:rPr>
        <w:t xml:space="preserve"> Similarly, </w:t>
      </w:r>
      <w:r w:rsidR="00AB7C28" w:rsidRPr="00FF4DDC">
        <w:rPr>
          <w:rFonts w:eastAsiaTheme="minorEastAsia"/>
          <w:noProof/>
          <w:spacing w:val="-8"/>
        </w:rPr>
        <w:t>transport operators mostly disagreed with PM12, with indispensable RUs</w:t>
      </w:r>
      <w:r w:rsidR="00CD2735" w:rsidRPr="00FF4DDC">
        <w:rPr>
          <w:rFonts w:eastAsiaTheme="minorEastAsia"/>
          <w:noProof/>
          <w:spacing w:val="-8"/>
        </w:rPr>
        <w:t xml:space="preserve"> </w:t>
      </w:r>
      <w:r w:rsidR="000C2BA2" w:rsidRPr="00FF4DDC">
        <w:rPr>
          <w:rFonts w:eastAsiaTheme="minorEastAsia"/>
          <w:noProof/>
          <w:spacing w:val="-8"/>
        </w:rPr>
        <w:t xml:space="preserve">fearing </w:t>
      </w:r>
      <w:r w:rsidR="00CD2735" w:rsidRPr="00FF4DDC">
        <w:rPr>
          <w:rFonts w:eastAsiaTheme="minorEastAsia"/>
          <w:noProof/>
          <w:spacing w:val="-8"/>
        </w:rPr>
        <w:t>that requirement</w:t>
      </w:r>
      <w:r w:rsidR="000C2BA2" w:rsidRPr="00FF4DDC">
        <w:rPr>
          <w:rFonts w:eastAsiaTheme="minorEastAsia"/>
          <w:noProof/>
          <w:spacing w:val="-8"/>
        </w:rPr>
        <w:t>s</w:t>
      </w:r>
      <w:r w:rsidR="00CD2735" w:rsidRPr="00FF4DDC">
        <w:rPr>
          <w:rFonts w:eastAsiaTheme="minorEastAsia"/>
          <w:noProof/>
          <w:spacing w:val="-8"/>
        </w:rPr>
        <w:t xml:space="preserve"> on the level of distribution fees </w:t>
      </w:r>
      <w:r w:rsidR="00E53EC3" w:rsidRPr="00FF4DDC">
        <w:rPr>
          <w:rFonts w:eastAsiaTheme="minorEastAsia"/>
          <w:noProof/>
          <w:spacing w:val="-8"/>
        </w:rPr>
        <w:t xml:space="preserve">would distort </w:t>
      </w:r>
      <w:r w:rsidR="00E53EC3" w:rsidRPr="00FF4DDC">
        <w:rPr>
          <w:noProof/>
          <w:spacing w:val="-8"/>
        </w:rPr>
        <w:t xml:space="preserve">the true value of services rendered and overlook the internal costs borne by </w:t>
      </w:r>
      <w:r w:rsidR="0012513B" w:rsidRPr="00FF4DDC">
        <w:rPr>
          <w:noProof/>
          <w:spacing w:val="-8"/>
        </w:rPr>
        <w:t>transport operators</w:t>
      </w:r>
      <w:r w:rsidR="00E53EC3" w:rsidRPr="00FF4DDC">
        <w:rPr>
          <w:noProof/>
          <w:spacing w:val="-8"/>
        </w:rPr>
        <w:t xml:space="preserve">. </w:t>
      </w:r>
      <w:r w:rsidR="00AE34FE" w:rsidRPr="00FF4DDC">
        <w:rPr>
          <w:rFonts w:eastAsiaTheme="minorEastAsia"/>
          <w:noProof/>
          <w:spacing w:val="-8"/>
        </w:rPr>
        <w:t>The sharing obligation (PM13)</w:t>
      </w:r>
      <w:r w:rsidR="005F1F62" w:rsidRPr="00FF4DDC">
        <w:rPr>
          <w:rFonts w:eastAsiaTheme="minorEastAsia"/>
          <w:noProof/>
          <w:spacing w:val="-8"/>
        </w:rPr>
        <w:t xml:space="preserve"> and the hosting obligation (PM14)</w:t>
      </w:r>
      <w:r w:rsidR="00497F13" w:rsidRPr="00FF4DDC">
        <w:rPr>
          <w:rFonts w:eastAsiaTheme="minorEastAsia"/>
          <w:noProof/>
          <w:spacing w:val="-8"/>
        </w:rPr>
        <w:t xml:space="preserve"> </w:t>
      </w:r>
      <w:r w:rsidR="002B0FAD" w:rsidRPr="00FF4DDC">
        <w:rPr>
          <w:rFonts w:eastAsiaTheme="minorEastAsia"/>
          <w:noProof/>
          <w:spacing w:val="-8"/>
        </w:rPr>
        <w:t>ha</w:t>
      </w:r>
      <w:r w:rsidR="005F1F62" w:rsidRPr="00FF4DDC">
        <w:rPr>
          <w:rFonts w:eastAsiaTheme="minorEastAsia"/>
          <w:noProof/>
          <w:spacing w:val="-8"/>
        </w:rPr>
        <w:t>ve</w:t>
      </w:r>
      <w:r w:rsidR="002B0FAD" w:rsidRPr="00FF4DDC">
        <w:rPr>
          <w:rFonts w:eastAsiaTheme="minorEastAsia"/>
          <w:noProof/>
          <w:spacing w:val="-8"/>
        </w:rPr>
        <w:t xml:space="preserve"> been supported in the </w:t>
      </w:r>
      <w:r w:rsidR="004F2B5E">
        <w:rPr>
          <w:rFonts w:eastAsiaTheme="minorEastAsia"/>
          <w:noProof/>
          <w:spacing w:val="-8"/>
        </w:rPr>
        <w:t xml:space="preserve">targeted </w:t>
      </w:r>
      <w:r w:rsidR="002B0FAD" w:rsidRPr="00FF4DDC">
        <w:rPr>
          <w:rFonts w:eastAsiaTheme="minorEastAsia"/>
          <w:noProof/>
          <w:spacing w:val="-8"/>
        </w:rPr>
        <w:t xml:space="preserve">survey by most national authorities and ‘Other’ category, </w:t>
      </w:r>
      <w:r w:rsidR="00A27DAE" w:rsidRPr="00FF4DDC">
        <w:rPr>
          <w:rFonts w:eastAsiaTheme="minorEastAsia"/>
          <w:noProof/>
          <w:spacing w:val="-8"/>
        </w:rPr>
        <w:t xml:space="preserve">moderately supported by MDMS platforms and mostly opposed by transport operators. </w:t>
      </w:r>
      <w:r w:rsidR="002B7C8E" w:rsidRPr="00FF4DDC">
        <w:rPr>
          <w:rFonts w:eastAsiaTheme="minorEastAsia"/>
          <w:noProof/>
          <w:spacing w:val="-8"/>
        </w:rPr>
        <w:t>Some</w:t>
      </w:r>
      <w:r w:rsidR="00ED4410" w:rsidRPr="00FF4DDC">
        <w:rPr>
          <w:rFonts w:eastAsiaTheme="minorEastAsia"/>
          <w:noProof/>
          <w:spacing w:val="-8"/>
        </w:rPr>
        <w:t xml:space="preserve"> indispensable RUs argued that </w:t>
      </w:r>
      <w:r w:rsidR="005F1F62" w:rsidRPr="00FF4DDC">
        <w:rPr>
          <w:noProof/>
          <w:spacing w:val="-8"/>
        </w:rPr>
        <w:t>PM13</w:t>
      </w:r>
      <w:r w:rsidR="00ED4410" w:rsidRPr="00FF4DDC">
        <w:rPr>
          <w:noProof/>
          <w:spacing w:val="-8"/>
        </w:rPr>
        <w:t xml:space="preserve"> might create administrative burden and potentially increase ticket price</w:t>
      </w:r>
      <w:r w:rsidR="005C6FE5">
        <w:rPr>
          <w:noProof/>
          <w:spacing w:val="-8"/>
        </w:rPr>
        <w:t>s</w:t>
      </w:r>
      <w:r w:rsidR="006030B6" w:rsidRPr="00FF4DDC">
        <w:rPr>
          <w:noProof/>
          <w:spacing w:val="-8"/>
        </w:rPr>
        <w:t>, whilst</w:t>
      </w:r>
      <w:r w:rsidR="00685E8B" w:rsidRPr="00FF4DDC">
        <w:rPr>
          <w:noProof/>
          <w:spacing w:val="-8"/>
        </w:rPr>
        <w:t xml:space="preserve"> </w:t>
      </w:r>
      <w:r w:rsidR="00CD116E" w:rsidRPr="00FF4DDC">
        <w:rPr>
          <w:noProof/>
          <w:spacing w:val="-8"/>
        </w:rPr>
        <w:t xml:space="preserve">PM14 </w:t>
      </w:r>
      <w:r w:rsidR="00C10C51" w:rsidRPr="00FF4DDC">
        <w:rPr>
          <w:noProof/>
          <w:spacing w:val="-8"/>
        </w:rPr>
        <w:t xml:space="preserve">could </w:t>
      </w:r>
      <w:r w:rsidR="002B7C8E" w:rsidRPr="00FF4DDC">
        <w:rPr>
          <w:noProof/>
          <w:spacing w:val="-8"/>
        </w:rPr>
        <w:t>increase market concentration</w:t>
      </w:r>
      <w:r w:rsidR="00ED4410" w:rsidRPr="00FF4DDC">
        <w:rPr>
          <w:noProof/>
          <w:spacing w:val="-8"/>
        </w:rPr>
        <w:t>.</w:t>
      </w:r>
      <w:r w:rsidR="00063938" w:rsidRPr="00FF4DDC">
        <w:rPr>
          <w:noProof/>
          <w:spacing w:val="-8"/>
        </w:rPr>
        <w:t xml:space="preserve"> On the contrary, new </w:t>
      </w:r>
      <w:r w:rsidR="00715DC6" w:rsidRPr="00FF4DDC">
        <w:rPr>
          <w:noProof/>
          <w:spacing w:val="-8"/>
        </w:rPr>
        <w:t>entrants</w:t>
      </w:r>
      <w:r w:rsidR="00063938" w:rsidRPr="00FF4DDC">
        <w:rPr>
          <w:noProof/>
          <w:spacing w:val="-8"/>
        </w:rPr>
        <w:t xml:space="preserve"> surveyed emphasized the need </w:t>
      </w:r>
      <w:r w:rsidR="00715DC6" w:rsidRPr="00FF4DDC">
        <w:rPr>
          <w:noProof/>
          <w:spacing w:val="-8"/>
        </w:rPr>
        <w:t xml:space="preserve">to regulate </w:t>
      </w:r>
      <w:r w:rsidR="000D11D3" w:rsidRPr="00FF4DDC">
        <w:rPr>
          <w:noProof/>
          <w:spacing w:val="-8"/>
        </w:rPr>
        <w:t>RUs</w:t>
      </w:r>
      <w:r w:rsidR="00715DC6" w:rsidRPr="00FF4DDC">
        <w:rPr>
          <w:noProof/>
          <w:spacing w:val="-8"/>
        </w:rPr>
        <w:t xml:space="preserve"> operational and distribution branches</w:t>
      </w:r>
      <w:r w:rsidR="000D11D3" w:rsidRPr="00FF4DDC">
        <w:rPr>
          <w:noProof/>
          <w:spacing w:val="-8"/>
        </w:rPr>
        <w:t xml:space="preserve">, therefore supporting both PM13 and PM14. </w:t>
      </w:r>
      <w:r w:rsidR="002B7C8E" w:rsidRPr="00FF4DDC">
        <w:rPr>
          <w:noProof/>
          <w:spacing w:val="-8"/>
        </w:rPr>
        <w:t xml:space="preserve">Specifically, PM14 was perceived by new entrant RUs </w:t>
      </w:r>
      <w:r w:rsidR="008B6209" w:rsidRPr="00FF4DDC">
        <w:rPr>
          <w:noProof/>
          <w:spacing w:val="-8"/>
        </w:rPr>
        <w:t>as a game changer</w:t>
      </w:r>
      <w:r w:rsidR="00BB0158" w:rsidRPr="00FF4DDC">
        <w:rPr>
          <w:noProof/>
          <w:spacing w:val="-8"/>
        </w:rPr>
        <w:t>,</w:t>
      </w:r>
      <w:r w:rsidR="008B6209" w:rsidRPr="00FF4DDC">
        <w:rPr>
          <w:noProof/>
          <w:spacing w:val="-8"/>
        </w:rPr>
        <w:t xml:space="preserve"> potentially doubling the modal shift of rail for long-distance </w:t>
      </w:r>
      <w:r w:rsidR="008B6209" w:rsidRPr="00BE4605">
        <w:rPr>
          <w:noProof/>
          <w:spacing w:val="-8"/>
        </w:rPr>
        <w:t>travel</w:t>
      </w:r>
      <w:r w:rsidR="008B6209" w:rsidRPr="00FF4DDC">
        <w:rPr>
          <w:noProof/>
          <w:spacing w:val="-8"/>
        </w:rPr>
        <w:t>.</w:t>
      </w:r>
    </w:p>
    <w:p w14:paraId="60C254FA" w14:textId="6EE5C48A" w:rsidR="003D0AE6" w:rsidRPr="00D71008" w:rsidRDefault="003D0AE6" w:rsidP="006E3FA1">
      <w:pPr>
        <w:pStyle w:val="Heading2"/>
        <w:keepNext/>
        <w:numPr>
          <w:ilvl w:val="1"/>
          <w:numId w:val="11"/>
        </w:numPr>
        <w:tabs>
          <w:tab w:val="left" w:pos="709"/>
        </w:tabs>
        <w:spacing w:before="240" w:after="240"/>
        <w:ind w:left="1134" w:hanging="708"/>
        <w:rPr>
          <w:noProof/>
        </w:rPr>
      </w:pPr>
      <w:bookmarkStart w:id="227" w:name="_Toc223979994"/>
      <w:r w:rsidRPr="003D0AE6">
        <w:rPr>
          <w:noProof/>
        </w:rPr>
        <w:t>REFIT (simplification and improved efficiency)</w:t>
      </w:r>
      <w:bookmarkEnd w:id="227"/>
    </w:p>
    <w:p w14:paraId="38D668BA" w14:textId="67FD4514" w:rsidR="00A43E39" w:rsidRPr="005D2D60" w:rsidRDefault="00B14C07" w:rsidP="00833AFA">
      <w:pPr>
        <w:spacing w:after="240"/>
        <w:jc w:val="both"/>
        <w:rPr>
          <w:noProof/>
        </w:rPr>
      </w:pPr>
      <w:r w:rsidRPr="00D27621">
        <w:rPr>
          <w:noProof/>
          <w:spacing w:val="-8"/>
        </w:rPr>
        <w:t xml:space="preserve">While the initiative introduces a new obligation for Member States </w:t>
      </w:r>
      <w:r w:rsidR="00BA4720" w:rsidRPr="00D27621">
        <w:rPr>
          <w:noProof/>
          <w:spacing w:val="-8"/>
        </w:rPr>
        <w:t xml:space="preserve">to designate indispensable MDMS platforms and </w:t>
      </w:r>
      <w:r w:rsidR="00593D50" w:rsidRPr="00D27621">
        <w:rPr>
          <w:noProof/>
          <w:spacing w:val="-8"/>
        </w:rPr>
        <w:t>to settle disputes between parties</w:t>
      </w:r>
      <w:r w:rsidRPr="00D27621">
        <w:rPr>
          <w:noProof/>
          <w:spacing w:val="-8"/>
        </w:rPr>
        <w:t>, the additional administrative burden for public authorities is kept to a minimum. The</w:t>
      </w:r>
      <w:r w:rsidRPr="00D27621" w:rsidDel="00A43E39">
        <w:rPr>
          <w:noProof/>
          <w:spacing w:val="-8"/>
        </w:rPr>
        <w:t xml:space="preserve"> </w:t>
      </w:r>
      <w:r w:rsidR="00A43E39">
        <w:rPr>
          <w:noProof/>
          <w:spacing w:val="-8"/>
        </w:rPr>
        <w:t>preferred policy option</w:t>
      </w:r>
      <w:r w:rsidR="00A43E39" w:rsidRPr="00D27621">
        <w:rPr>
          <w:noProof/>
          <w:spacing w:val="-8"/>
        </w:rPr>
        <w:t xml:space="preserve"> </w:t>
      </w:r>
      <w:r w:rsidRPr="00D27621">
        <w:rPr>
          <w:noProof/>
          <w:spacing w:val="-8"/>
        </w:rPr>
        <w:t xml:space="preserve">builds on </w:t>
      </w:r>
      <w:r w:rsidR="00C928E1" w:rsidRPr="00D27621">
        <w:rPr>
          <w:noProof/>
          <w:spacing w:val="-8"/>
        </w:rPr>
        <w:t xml:space="preserve">the fact that </w:t>
      </w:r>
      <w:r w:rsidR="00C928E1" w:rsidRPr="005D2D60">
        <w:rPr>
          <w:noProof/>
          <w:spacing w:val="-8"/>
        </w:rPr>
        <w:t xml:space="preserve">Member States already have competent authorities responsible for resolving disputes in relevant areas, such as competition authorities, transport regulatory authorities, and rail regulators. </w:t>
      </w:r>
      <w:r w:rsidR="00A74154" w:rsidRPr="005D2D60">
        <w:rPr>
          <w:noProof/>
          <w:spacing w:val="-8"/>
        </w:rPr>
        <w:t>Recurrent</w:t>
      </w:r>
      <w:r w:rsidRPr="00D27621">
        <w:rPr>
          <w:noProof/>
          <w:spacing w:val="-8"/>
        </w:rPr>
        <w:t xml:space="preserve"> administrative </w:t>
      </w:r>
      <w:r w:rsidR="00C950E4" w:rsidRPr="00D27621">
        <w:rPr>
          <w:noProof/>
          <w:spacing w:val="-8"/>
        </w:rPr>
        <w:t>costs for national authorities for settling disputes</w:t>
      </w:r>
      <w:r w:rsidR="00211206" w:rsidRPr="00D27621">
        <w:rPr>
          <w:noProof/>
          <w:spacing w:val="-8"/>
        </w:rPr>
        <w:t xml:space="preserve"> are </w:t>
      </w:r>
      <w:r w:rsidR="002C7BA7" w:rsidRPr="005D2D60">
        <w:rPr>
          <w:noProof/>
          <w:spacing w:val="-8"/>
          <w:lang w:eastAsia="en-US"/>
        </w:rPr>
        <w:t>estimated at EUR 1.5</w:t>
      </w:r>
      <w:r w:rsidR="000027FE">
        <w:rPr>
          <w:noProof/>
          <w:spacing w:val="-8"/>
          <w:lang w:eastAsia="en-US"/>
        </w:rPr>
        <w:t>3</w:t>
      </w:r>
      <w:r w:rsidR="002C7BA7" w:rsidRPr="005D2D60">
        <w:rPr>
          <w:noProof/>
          <w:spacing w:val="-8"/>
          <w:lang w:eastAsia="en-US"/>
        </w:rPr>
        <w:t xml:space="preserve"> million per year from 2028 onwards. In addition, one-off administrative costs for national authorities are expected in relation to the obligation to process notifications from platforms with SMP and submit this information to the Commission </w:t>
      </w:r>
      <w:r w:rsidR="006176B1" w:rsidRPr="005D2D60">
        <w:rPr>
          <w:noProof/>
          <w:spacing w:val="-8"/>
          <w:lang w:eastAsia="en-US"/>
        </w:rPr>
        <w:t>and</w:t>
      </w:r>
      <w:r w:rsidR="002C7BA7" w:rsidRPr="005D2D60">
        <w:rPr>
          <w:i/>
          <w:noProof/>
          <w:spacing w:val="-8"/>
          <w:lang w:eastAsia="en-US"/>
        </w:rPr>
        <w:t xml:space="preserve"> </w:t>
      </w:r>
      <w:r w:rsidR="002C7BA7" w:rsidRPr="005D2D60">
        <w:rPr>
          <w:noProof/>
          <w:spacing w:val="-8"/>
          <w:lang w:eastAsia="en-US"/>
        </w:rPr>
        <w:t>are estimated at EUR 3.1 million.</w:t>
      </w:r>
      <w:r w:rsidR="008979E8" w:rsidRPr="005D2D60">
        <w:rPr>
          <w:noProof/>
          <w:spacing w:val="-8"/>
          <w:lang w:eastAsia="en-US"/>
        </w:rPr>
        <w:t xml:space="preserve"> Expressed as annualised net present value</w:t>
      </w:r>
      <w:r w:rsidR="00197EC8" w:rsidRPr="005D2D60">
        <w:rPr>
          <w:noProof/>
          <w:spacing w:val="-8"/>
          <w:lang w:eastAsia="en-US"/>
        </w:rPr>
        <w:t>,</w:t>
      </w:r>
      <w:r w:rsidR="008979E8" w:rsidRPr="005D2D60">
        <w:rPr>
          <w:noProof/>
          <w:spacing w:val="-8"/>
          <w:lang w:eastAsia="en-US"/>
        </w:rPr>
        <w:t xml:space="preserve"> additional one-off administrative costs for </w:t>
      </w:r>
      <w:r w:rsidR="00197EC8" w:rsidRPr="005D2D60">
        <w:rPr>
          <w:noProof/>
          <w:spacing w:val="-8"/>
          <w:lang w:eastAsia="en-US"/>
        </w:rPr>
        <w:t>national authorities</w:t>
      </w:r>
      <w:r w:rsidR="008979E8" w:rsidRPr="005D2D60">
        <w:rPr>
          <w:noProof/>
          <w:spacing w:val="-8"/>
          <w:lang w:eastAsia="en-US"/>
        </w:rPr>
        <w:t xml:space="preserve"> amount to EUR 0.</w:t>
      </w:r>
      <w:r w:rsidR="00B939AC" w:rsidRPr="005D2D60">
        <w:rPr>
          <w:noProof/>
          <w:spacing w:val="-8"/>
          <w:lang w:eastAsia="en-US"/>
        </w:rPr>
        <w:t>36</w:t>
      </w:r>
      <w:r w:rsidR="008979E8" w:rsidRPr="005D2D60">
        <w:rPr>
          <w:noProof/>
          <w:spacing w:val="-8"/>
          <w:lang w:eastAsia="en-US"/>
        </w:rPr>
        <w:t xml:space="preserve"> million</w:t>
      </w:r>
      <w:r w:rsidR="00B939AC" w:rsidRPr="005D2D60">
        <w:rPr>
          <w:noProof/>
          <w:spacing w:val="-8"/>
          <w:lang w:eastAsia="en-US"/>
        </w:rPr>
        <w:t>.</w:t>
      </w:r>
    </w:p>
    <w:p w14:paraId="2758268A" w14:textId="4D4E06DC" w:rsidR="00334ABC" w:rsidRPr="00D71008" w:rsidRDefault="003C4819" w:rsidP="006E3FA1">
      <w:pPr>
        <w:pStyle w:val="Heading2"/>
        <w:keepNext/>
        <w:numPr>
          <w:ilvl w:val="1"/>
          <w:numId w:val="11"/>
        </w:numPr>
        <w:tabs>
          <w:tab w:val="left" w:pos="709"/>
        </w:tabs>
        <w:spacing w:before="240" w:after="240"/>
        <w:ind w:left="1134" w:hanging="708"/>
        <w:rPr>
          <w:noProof/>
        </w:rPr>
      </w:pPr>
      <w:bookmarkStart w:id="228" w:name="8.2_Application_of_the_‘one_in,_one_out’"/>
      <w:bookmarkStart w:id="229" w:name="_Toc220667511"/>
      <w:bookmarkStart w:id="230" w:name="_Toc223979995"/>
      <w:bookmarkEnd w:id="228"/>
      <w:r w:rsidRPr="00D71008">
        <w:rPr>
          <w:noProof/>
        </w:rPr>
        <w:t>Application of the ‘one in, one out’ approach</w:t>
      </w:r>
      <w:bookmarkEnd w:id="229"/>
      <w:bookmarkEnd w:id="230"/>
    </w:p>
    <w:p w14:paraId="47EAAD8A" w14:textId="66B1BF1B" w:rsidR="009F0F1C" w:rsidRPr="00B13BF6" w:rsidRDefault="001057F4" w:rsidP="00101F9C">
      <w:pPr>
        <w:pStyle w:val="BodyText"/>
        <w:spacing w:after="240"/>
        <w:ind w:left="0"/>
        <w:rPr>
          <w:i/>
          <w:noProof/>
          <w:spacing w:val="-8"/>
        </w:rPr>
      </w:pPr>
      <w:r>
        <w:rPr>
          <w:noProof/>
          <w:spacing w:val="-8"/>
        </w:rPr>
        <w:t>For the preferred policy option (PO3), t</w:t>
      </w:r>
      <w:r w:rsidR="009F0F1C">
        <w:rPr>
          <w:noProof/>
          <w:spacing w:val="-8"/>
        </w:rPr>
        <w:t>wo type</w:t>
      </w:r>
      <w:r w:rsidR="00E9105E">
        <w:rPr>
          <w:noProof/>
          <w:spacing w:val="-8"/>
        </w:rPr>
        <w:t>s</w:t>
      </w:r>
      <w:r w:rsidR="009F0F1C">
        <w:rPr>
          <w:noProof/>
          <w:spacing w:val="-8"/>
        </w:rPr>
        <w:t xml:space="preserve"> of costs fall under the ‘one in, one out’ approach: one-off administrative costs for MDMS platforms and one-off administrative costs for transport operators. They are further described below. In addition, this section also reports on the one-off and recurrent administrative costs for national authorities, which fall under the broader scope of the </w:t>
      </w:r>
      <w:r w:rsidR="009F0F1C" w:rsidRPr="00B13BF6">
        <w:rPr>
          <w:i/>
          <w:noProof/>
          <w:spacing w:val="-8"/>
        </w:rPr>
        <w:t>Calculator of Administrative Costs (AC) &amp; Administrative Burdens (AB).</w:t>
      </w:r>
    </w:p>
    <w:p w14:paraId="7B8D40D9" w14:textId="18128BA9" w:rsidR="00101F9C" w:rsidRPr="00366F7D" w:rsidRDefault="00D6513A" w:rsidP="00C71B7E">
      <w:pPr>
        <w:spacing w:after="240"/>
        <w:jc w:val="both"/>
        <w:rPr>
          <w:noProof/>
          <w:spacing w:val="-8"/>
        </w:rPr>
      </w:pPr>
      <w:r>
        <w:rPr>
          <w:b/>
          <w:bCs/>
          <w:i/>
          <w:iCs/>
          <w:noProof/>
          <w:spacing w:val="-8"/>
        </w:rPr>
        <w:t>Additional o</w:t>
      </w:r>
      <w:r w:rsidR="00101F9C" w:rsidRPr="00366F7D">
        <w:rPr>
          <w:b/>
          <w:bCs/>
          <w:i/>
          <w:iCs/>
          <w:noProof/>
          <w:spacing w:val="-8"/>
        </w:rPr>
        <w:t xml:space="preserve">ne-off administrative costs for MDMS platforms. </w:t>
      </w:r>
      <w:r w:rsidR="00101F9C">
        <w:rPr>
          <w:noProof/>
          <w:spacing w:val="-8"/>
        </w:rPr>
        <w:t xml:space="preserve">As explained in section 6.1.1, </w:t>
      </w:r>
      <w:r w:rsidR="00101F9C" w:rsidRPr="00366F7D">
        <w:rPr>
          <w:noProof/>
          <w:spacing w:val="-8"/>
        </w:rPr>
        <w:t xml:space="preserve">MDMS platforms need to notify national authorities and/or the Commission upon reaching the SMP thresholds (PM10). </w:t>
      </w:r>
      <w:r w:rsidR="00AE09BA" w:rsidRPr="003A40BD">
        <w:rPr>
          <w:noProof/>
          <w:spacing w:val="-8"/>
        </w:rPr>
        <w:t>Building on the Impact Assessment of the DMA</w:t>
      </w:r>
      <w:r w:rsidR="00AE09BA">
        <w:rPr>
          <w:rStyle w:val="FootnoteReference"/>
          <w:noProof/>
          <w:spacing w:val="-8"/>
        </w:rPr>
        <w:footnoteReference w:id="215"/>
      </w:r>
      <w:r w:rsidR="00AE09BA" w:rsidRPr="003A40BD">
        <w:rPr>
          <w:noProof/>
          <w:spacing w:val="-8"/>
        </w:rPr>
        <w:t>, the assumption retained for calculat</w:t>
      </w:r>
      <w:r w:rsidR="00AE09BA">
        <w:rPr>
          <w:noProof/>
          <w:spacing w:val="-8"/>
        </w:rPr>
        <w:t>ing</w:t>
      </w:r>
      <w:r w:rsidR="00AE09BA" w:rsidRPr="003A40BD">
        <w:rPr>
          <w:noProof/>
          <w:spacing w:val="-8"/>
        </w:rPr>
        <w:t xml:space="preserve"> the cost incurred on </w:t>
      </w:r>
      <w:r w:rsidR="00AE09BA">
        <w:rPr>
          <w:noProof/>
          <w:spacing w:val="-8"/>
        </w:rPr>
        <w:t>MDMS platforms</w:t>
      </w:r>
      <w:r w:rsidR="00AE09BA" w:rsidRPr="003A40BD">
        <w:rPr>
          <w:noProof/>
          <w:spacing w:val="-8"/>
        </w:rPr>
        <w:t xml:space="preserve"> is that only two </w:t>
      </w:r>
      <w:r w:rsidR="00AE09BA" w:rsidRPr="00966D32">
        <w:rPr>
          <w:noProof/>
          <w:spacing w:val="-8"/>
        </w:rPr>
        <w:t>full time equivalent</w:t>
      </w:r>
      <w:r w:rsidR="00AE09BA">
        <w:rPr>
          <w:noProof/>
          <w:spacing w:val="-8"/>
        </w:rPr>
        <w:t>s</w:t>
      </w:r>
      <w:r w:rsidR="00AE09BA" w:rsidRPr="00966D32">
        <w:rPr>
          <w:noProof/>
          <w:spacing w:val="-8"/>
        </w:rPr>
        <w:t xml:space="preserve"> </w:t>
      </w:r>
      <w:r w:rsidR="00AE09BA">
        <w:rPr>
          <w:noProof/>
          <w:spacing w:val="-8"/>
        </w:rPr>
        <w:t>(</w:t>
      </w:r>
      <w:r w:rsidR="00AE09BA" w:rsidRPr="003A40BD">
        <w:rPr>
          <w:noProof/>
          <w:spacing w:val="-8"/>
        </w:rPr>
        <w:t>FTE</w:t>
      </w:r>
      <w:r w:rsidR="00AE09BA">
        <w:rPr>
          <w:noProof/>
          <w:spacing w:val="-8"/>
        </w:rPr>
        <w:t>s)</w:t>
      </w:r>
      <w:r w:rsidR="00AE09BA" w:rsidRPr="003A40BD">
        <w:rPr>
          <w:noProof/>
          <w:spacing w:val="-8"/>
        </w:rPr>
        <w:t xml:space="preserve"> would be needed to comply with the requirement</w:t>
      </w:r>
      <w:r w:rsidR="00AE09BA">
        <w:rPr>
          <w:noProof/>
          <w:spacing w:val="-8"/>
        </w:rPr>
        <w:t>.</w:t>
      </w:r>
      <w:r w:rsidR="00AE09BA" w:rsidRPr="003A40BD">
        <w:rPr>
          <w:noProof/>
          <w:spacing w:val="-8"/>
        </w:rPr>
        <w:t xml:space="preserve"> </w:t>
      </w:r>
      <w:r w:rsidR="00AE09BA">
        <w:rPr>
          <w:noProof/>
          <w:spacing w:val="-8"/>
        </w:rPr>
        <w:t>This is because only</w:t>
      </w:r>
      <w:r w:rsidR="00AE09BA" w:rsidRPr="003A40BD">
        <w:rPr>
          <w:noProof/>
          <w:spacing w:val="-8"/>
        </w:rPr>
        <w:t xml:space="preserve"> one quantitative indicator is requested, and no further qualitative information is </w:t>
      </w:r>
      <w:r w:rsidR="00AE09BA">
        <w:rPr>
          <w:noProof/>
          <w:spacing w:val="-8"/>
        </w:rPr>
        <w:t>asked</w:t>
      </w:r>
      <w:r w:rsidR="00AE09BA" w:rsidRPr="003A40BD">
        <w:rPr>
          <w:noProof/>
          <w:spacing w:val="-8"/>
        </w:rPr>
        <w:t xml:space="preserve"> to support the decision. </w:t>
      </w:r>
      <w:r w:rsidR="00AE09BA">
        <w:rPr>
          <w:noProof/>
          <w:spacing w:val="-8"/>
        </w:rPr>
        <w:t>The administrative burden is kept to the minimum since the designation process leverages on information already submitted through the</w:t>
      </w:r>
      <w:r w:rsidR="00AE09BA" w:rsidRPr="00F40F03">
        <w:rPr>
          <w:rFonts w:cs="Arial"/>
          <w:noProof/>
          <w:spacing w:val="-8"/>
        </w:rPr>
        <w:t xml:space="preserve"> </w:t>
      </w:r>
      <w:r w:rsidR="00AE09BA" w:rsidRPr="00F40F03">
        <w:rPr>
          <w:noProof/>
          <w:spacing w:val="-8"/>
        </w:rPr>
        <w:t xml:space="preserve">Rail Market Monitoring Scheme. </w:t>
      </w:r>
      <w:r w:rsidR="00AE09BA">
        <w:rPr>
          <w:noProof/>
          <w:spacing w:val="-8"/>
        </w:rPr>
        <w:t>In this context</w:t>
      </w:r>
      <w:r w:rsidR="00AE09BA" w:rsidRPr="00A73FEF">
        <w:rPr>
          <w:noProof/>
          <w:spacing w:val="-8"/>
        </w:rPr>
        <w:t xml:space="preserve">, </w:t>
      </w:r>
      <w:r w:rsidR="00AE09BA">
        <w:rPr>
          <w:noProof/>
          <w:spacing w:val="-8"/>
        </w:rPr>
        <w:t>RU</w:t>
      </w:r>
      <w:r w:rsidR="00AE09BA" w:rsidRPr="00A73FEF">
        <w:rPr>
          <w:noProof/>
          <w:spacing w:val="-8"/>
        </w:rPr>
        <w:t>s must provide</w:t>
      </w:r>
      <w:r w:rsidR="00AE09BA">
        <w:rPr>
          <w:noProof/>
          <w:spacing w:val="-8"/>
        </w:rPr>
        <w:t xml:space="preserve"> information that can support the designation process as MDMS platforms with SMP. Four </w:t>
      </w:r>
      <w:r w:rsidR="00AE09BA" w:rsidRPr="009A6203">
        <w:rPr>
          <w:noProof/>
          <w:spacing w:val="-8"/>
        </w:rPr>
        <w:t>MDMS platforms</w:t>
      </w:r>
      <w:r w:rsidR="00AE09BA">
        <w:rPr>
          <w:noProof/>
          <w:spacing w:val="-8"/>
        </w:rPr>
        <w:t xml:space="preserve"> are</w:t>
      </w:r>
      <w:r w:rsidR="00AE09BA" w:rsidRPr="009A6203">
        <w:rPr>
          <w:noProof/>
          <w:spacing w:val="-8"/>
        </w:rPr>
        <w:t xml:space="preserve"> expected to reach </w:t>
      </w:r>
      <w:r w:rsidR="00AE09BA">
        <w:rPr>
          <w:noProof/>
          <w:spacing w:val="-8"/>
        </w:rPr>
        <w:t xml:space="preserve">the </w:t>
      </w:r>
      <w:r w:rsidR="00AE09BA" w:rsidRPr="009A6203">
        <w:rPr>
          <w:noProof/>
          <w:spacing w:val="-8"/>
        </w:rPr>
        <w:t>SMP</w:t>
      </w:r>
      <w:r w:rsidR="00AE09BA">
        <w:rPr>
          <w:noProof/>
          <w:spacing w:val="-8"/>
        </w:rPr>
        <w:t xml:space="preserve"> thresholds in 2028 (the assumed year of implementation) and the one-off cost per platform is estimated at EUR </w:t>
      </w:r>
      <w:r w:rsidR="00AE09BA" w:rsidRPr="004E7065">
        <w:rPr>
          <w:noProof/>
          <w:spacing w:val="-8"/>
        </w:rPr>
        <w:t>113,053</w:t>
      </w:r>
      <w:r w:rsidR="00AE09BA">
        <w:rPr>
          <w:noProof/>
          <w:spacing w:val="-8"/>
        </w:rPr>
        <w:t xml:space="preserve">. </w:t>
      </w:r>
      <w:r w:rsidR="00101F9C" w:rsidRPr="00366F7D">
        <w:rPr>
          <w:noProof/>
          <w:spacing w:val="-8"/>
        </w:rPr>
        <w:t>This results in one-off</w:t>
      </w:r>
      <w:r w:rsidR="00101F9C" w:rsidRPr="00366F7D" w:rsidDel="00425427">
        <w:rPr>
          <w:noProof/>
          <w:spacing w:val="-8"/>
        </w:rPr>
        <w:t xml:space="preserve"> </w:t>
      </w:r>
      <w:r w:rsidR="00101F9C" w:rsidRPr="00366F7D">
        <w:rPr>
          <w:noProof/>
          <w:spacing w:val="-8"/>
        </w:rPr>
        <w:t>administrative costs borne by MDMS platforms reaching the SMP thresholds, estimated at EUR 0.5 million relative to the baseline.</w:t>
      </w:r>
      <w:r>
        <w:rPr>
          <w:noProof/>
          <w:spacing w:val="-8"/>
        </w:rPr>
        <w:t xml:space="preserve"> </w:t>
      </w:r>
      <w:r w:rsidRPr="005D2D60">
        <w:rPr>
          <w:noProof/>
          <w:spacing w:val="-8"/>
          <w:lang w:eastAsia="en-US"/>
        </w:rPr>
        <w:t xml:space="preserve">Expressed as </w:t>
      </w:r>
      <w:r w:rsidRPr="005D2D60">
        <w:rPr>
          <w:b/>
          <w:noProof/>
          <w:spacing w:val="-8"/>
          <w:lang w:eastAsia="en-US"/>
        </w:rPr>
        <w:t>annualised net present value</w:t>
      </w:r>
      <w:r w:rsidRPr="005D2D60">
        <w:rPr>
          <w:noProof/>
          <w:spacing w:val="-8"/>
          <w:lang w:eastAsia="en-US"/>
        </w:rPr>
        <w:t xml:space="preserve">, additional one-off administrative costs for </w:t>
      </w:r>
      <w:r w:rsidR="00745ABD" w:rsidRPr="005D2D60">
        <w:rPr>
          <w:noProof/>
          <w:spacing w:val="-8"/>
          <w:lang w:eastAsia="en-US"/>
        </w:rPr>
        <w:t>MDMS platforms</w:t>
      </w:r>
      <w:r w:rsidRPr="005D2D60">
        <w:rPr>
          <w:noProof/>
          <w:spacing w:val="-8"/>
          <w:lang w:eastAsia="en-US"/>
        </w:rPr>
        <w:t xml:space="preserve"> amount to </w:t>
      </w:r>
      <w:r w:rsidRPr="005D2D60">
        <w:rPr>
          <w:b/>
          <w:noProof/>
          <w:spacing w:val="-8"/>
          <w:lang w:eastAsia="en-US"/>
        </w:rPr>
        <w:t xml:space="preserve">EUR </w:t>
      </w:r>
      <w:r w:rsidR="00222507" w:rsidRPr="005D2D60">
        <w:rPr>
          <w:b/>
          <w:noProof/>
          <w:spacing w:val="-8"/>
          <w:lang w:eastAsia="en-US"/>
        </w:rPr>
        <w:t>0.06</w:t>
      </w:r>
      <w:r w:rsidRPr="005D2D60">
        <w:rPr>
          <w:b/>
          <w:noProof/>
          <w:spacing w:val="-8"/>
          <w:lang w:eastAsia="en-US"/>
        </w:rPr>
        <w:t xml:space="preserve"> million</w:t>
      </w:r>
      <w:r w:rsidR="005D283E" w:rsidRPr="005D2D60">
        <w:rPr>
          <w:b/>
          <w:noProof/>
          <w:spacing w:val="-8"/>
          <w:lang w:eastAsia="en-US"/>
        </w:rPr>
        <w:t xml:space="preserve"> per year</w:t>
      </w:r>
      <w:r w:rsidR="004F03F5" w:rsidRPr="005D2D60">
        <w:rPr>
          <w:b/>
          <w:noProof/>
          <w:spacing w:val="-8"/>
          <w:lang w:eastAsia="en-US"/>
        </w:rPr>
        <w:t xml:space="preserve"> at EU level</w:t>
      </w:r>
      <w:r w:rsidRPr="005D2D60">
        <w:rPr>
          <w:noProof/>
          <w:spacing w:val="-8"/>
          <w:lang w:eastAsia="en-US"/>
        </w:rPr>
        <w:t>.</w:t>
      </w:r>
      <w:r w:rsidR="00101F9C" w:rsidRPr="00366F7D">
        <w:rPr>
          <w:noProof/>
          <w:spacing w:val="-8"/>
        </w:rPr>
        <w:t xml:space="preserve"> </w:t>
      </w:r>
    </w:p>
    <w:p w14:paraId="74FDB00D" w14:textId="6F333AD6" w:rsidR="00101F9C" w:rsidRPr="00366F7D" w:rsidRDefault="007D7161" w:rsidP="00B13BF6">
      <w:pPr>
        <w:pStyle w:val="BodyText"/>
        <w:spacing w:after="240"/>
        <w:ind w:left="0"/>
        <w:rPr>
          <w:noProof/>
          <w:spacing w:val="-8"/>
        </w:rPr>
      </w:pPr>
      <w:r>
        <w:rPr>
          <w:b/>
          <w:bCs/>
          <w:i/>
          <w:iCs/>
          <w:noProof/>
          <w:spacing w:val="-8"/>
        </w:rPr>
        <w:t>Additional o</w:t>
      </w:r>
      <w:r w:rsidR="00101F9C" w:rsidRPr="00366F7D">
        <w:rPr>
          <w:b/>
          <w:bCs/>
          <w:i/>
          <w:iCs/>
          <w:noProof/>
          <w:spacing w:val="-8"/>
        </w:rPr>
        <w:t>ne-off administrative costs for transport operators</w:t>
      </w:r>
      <w:r w:rsidR="00101F9C" w:rsidRPr="00366F7D">
        <w:rPr>
          <w:noProof/>
          <w:spacing w:val="-8"/>
        </w:rPr>
        <w:t xml:space="preserve">. </w:t>
      </w:r>
      <w:r w:rsidR="00101F9C">
        <w:rPr>
          <w:noProof/>
          <w:spacing w:val="-8"/>
        </w:rPr>
        <w:t>As explained in section 6.1.2, o</w:t>
      </w:r>
      <w:r w:rsidR="00101F9C" w:rsidRPr="00366F7D">
        <w:rPr>
          <w:noProof/>
          <w:spacing w:val="-8"/>
        </w:rPr>
        <w:t>ne-off administrative costs of EUR 1,356 at EU level are expected for RUs</w:t>
      </w:r>
      <w:r w:rsidR="00101F9C" w:rsidRPr="00366F7D" w:rsidDel="00602E5D">
        <w:rPr>
          <w:noProof/>
          <w:spacing w:val="-8"/>
        </w:rPr>
        <w:t xml:space="preserve"> </w:t>
      </w:r>
      <w:r w:rsidR="00101F9C" w:rsidRPr="00366F7D">
        <w:rPr>
          <w:noProof/>
          <w:spacing w:val="-8"/>
        </w:rPr>
        <w:t>with SMP for informing national authorities about their parent platforms (opened to other RUs) in view of considering them as indispensable RU platforms (PM10).</w:t>
      </w:r>
      <w:r>
        <w:rPr>
          <w:noProof/>
          <w:spacing w:val="-8"/>
        </w:rPr>
        <w:t xml:space="preserve"> </w:t>
      </w:r>
      <w:r w:rsidRPr="008979E8">
        <w:rPr>
          <w:noProof/>
          <w:spacing w:val="-8"/>
        </w:rPr>
        <w:t xml:space="preserve">Expressed as </w:t>
      </w:r>
      <w:r w:rsidRPr="00202FA5">
        <w:rPr>
          <w:b/>
          <w:bCs/>
          <w:noProof/>
          <w:spacing w:val="-8"/>
        </w:rPr>
        <w:t>annualised net present value</w:t>
      </w:r>
      <w:r>
        <w:rPr>
          <w:noProof/>
          <w:spacing w:val="-8"/>
        </w:rPr>
        <w:t>,</w:t>
      </w:r>
      <w:r w:rsidRPr="008979E8">
        <w:rPr>
          <w:noProof/>
          <w:spacing w:val="-8"/>
        </w:rPr>
        <w:t xml:space="preserve"> additional one-off administrative costs for </w:t>
      </w:r>
      <w:r>
        <w:rPr>
          <w:noProof/>
          <w:spacing w:val="-8"/>
        </w:rPr>
        <w:t>transport operators</w:t>
      </w:r>
      <w:r w:rsidRPr="008979E8">
        <w:rPr>
          <w:noProof/>
          <w:spacing w:val="-8"/>
        </w:rPr>
        <w:t xml:space="preserve"> amount to </w:t>
      </w:r>
      <w:r w:rsidRPr="00202FA5">
        <w:rPr>
          <w:b/>
          <w:bCs/>
          <w:noProof/>
          <w:spacing w:val="-8"/>
        </w:rPr>
        <w:t xml:space="preserve">EUR </w:t>
      </w:r>
      <w:r w:rsidR="0074626C">
        <w:rPr>
          <w:b/>
          <w:bCs/>
          <w:noProof/>
          <w:spacing w:val="-8"/>
        </w:rPr>
        <w:t>159</w:t>
      </w:r>
      <w:r w:rsidR="004F03F5">
        <w:rPr>
          <w:b/>
          <w:bCs/>
          <w:noProof/>
          <w:spacing w:val="-8"/>
        </w:rPr>
        <w:t xml:space="preserve"> per year at EU level</w:t>
      </w:r>
      <w:r>
        <w:rPr>
          <w:noProof/>
          <w:spacing w:val="-8"/>
        </w:rPr>
        <w:t>.</w:t>
      </w:r>
    </w:p>
    <w:p w14:paraId="53E946E9" w14:textId="0236C03A" w:rsidR="005D1A5A" w:rsidRDefault="00E46071" w:rsidP="00B13BF6">
      <w:pPr>
        <w:widowControl w:val="0"/>
        <w:spacing w:after="240"/>
        <w:jc w:val="both"/>
        <w:rPr>
          <w:noProof/>
          <w:spacing w:val="-8"/>
        </w:rPr>
      </w:pPr>
      <w:r>
        <w:rPr>
          <w:b/>
          <w:i/>
          <w:noProof/>
          <w:spacing w:val="-8"/>
        </w:rPr>
        <w:t>Additional o</w:t>
      </w:r>
      <w:r w:rsidR="00101F9C" w:rsidRPr="00B13BF6">
        <w:rPr>
          <w:b/>
          <w:i/>
          <w:noProof/>
          <w:spacing w:val="-8"/>
        </w:rPr>
        <w:t xml:space="preserve">ne-off and recurrent administrative costs for national authorities. </w:t>
      </w:r>
      <w:r w:rsidR="00101F9C" w:rsidRPr="00B13BF6">
        <w:rPr>
          <w:noProof/>
          <w:spacing w:val="-8"/>
        </w:rPr>
        <w:t>As explained in section 6.1.3 and 8.2, one-off administrative costs for national authorities are expected in relation to the obligation to process notifications from platforms with SMP and submit this information to the Commission and are estimated at EUR 3.1 million</w:t>
      </w:r>
      <w:r w:rsidR="00215FB9">
        <w:rPr>
          <w:rStyle w:val="FootnoteReference"/>
          <w:noProof/>
          <w:spacing w:val="-8"/>
        </w:rPr>
        <w:footnoteReference w:id="216"/>
      </w:r>
      <w:r w:rsidR="00101F9C" w:rsidRPr="00B13BF6">
        <w:rPr>
          <w:noProof/>
          <w:spacing w:val="-8"/>
        </w:rPr>
        <w:t>.</w:t>
      </w:r>
      <w:r w:rsidR="004D5BEE">
        <w:rPr>
          <w:noProof/>
          <w:spacing w:val="-8"/>
        </w:rPr>
        <w:t xml:space="preserve"> </w:t>
      </w:r>
      <w:r w:rsidR="004D5BEE" w:rsidRPr="005D2D60">
        <w:rPr>
          <w:noProof/>
          <w:spacing w:val="-8"/>
          <w:lang w:eastAsia="en-US"/>
        </w:rPr>
        <w:t xml:space="preserve">Expressed as </w:t>
      </w:r>
      <w:r w:rsidR="004D5BEE" w:rsidRPr="005D2D60">
        <w:rPr>
          <w:b/>
          <w:noProof/>
          <w:spacing w:val="-8"/>
          <w:lang w:eastAsia="en-US"/>
        </w:rPr>
        <w:t>annualised net present value</w:t>
      </w:r>
      <w:r w:rsidR="004D5BEE" w:rsidRPr="005D2D60">
        <w:rPr>
          <w:noProof/>
          <w:spacing w:val="-8"/>
          <w:lang w:eastAsia="en-US"/>
        </w:rPr>
        <w:t xml:space="preserve">, additional </w:t>
      </w:r>
      <w:r w:rsidR="004D5BEE" w:rsidRPr="005D2D60">
        <w:rPr>
          <w:b/>
          <w:noProof/>
          <w:spacing w:val="-8"/>
          <w:lang w:eastAsia="en-US"/>
        </w:rPr>
        <w:t>one-off administrative costs</w:t>
      </w:r>
      <w:r w:rsidR="004D5BEE" w:rsidRPr="005D2D60">
        <w:rPr>
          <w:noProof/>
          <w:spacing w:val="-8"/>
          <w:lang w:eastAsia="en-US"/>
        </w:rPr>
        <w:t xml:space="preserve"> for national authorities amount to </w:t>
      </w:r>
      <w:r w:rsidR="004D5BEE" w:rsidRPr="005D2D60">
        <w:rPr>
          <w:b/>
          <w:noProof/>
          <w:spacing w:val="-8"/>
          <w:lang w:eastAsia="en-US"/>
        </w:rPr>
        <w:t>EUR 0.36 million</w:t>
      </w:r>
      <w:r w:rsidR="000F0E2A" w:rsidRPr="005D2D60">
        <w:rPr>
          <w:b/>
          <w:noProof/>
          <w:spacing w:val="-8"/>
          <w:lang w:eastAsia="en-US"/>
        </w:rPr>
        <w:t xml:space="preserve"> per year</w:t>
      </w:r>
      <w:r w:rsidR="004D5BEE" w:rsidRPr="005D2D60">
        <w:rPr>
          <w:noProof/>
          <w:spacing w:val="-8"/>
          <w:lang w:eastAsia="en-US"/>
        </w:rPr>
        <w:t>.</w:t>
      </w:r>
      <w:r w:rsidR="00101F9C" w:rsidRPr="00B13BF6">
        <w:rPr>
          <w:noProof/>
          <w:spacing w:val="-8"/>
        </w:rPr>
        <w:t xml:space="preserve"> In addition, </w:t>
      </w:r>
      <w:r w:rsidR="00101F9C" w:rsidRPr="00C71B7E">
        <w:rPr>
          <w:b/>
          <w:noProof/>
          <w:spacing w:val="-8"/>
        </w:rPr>
        <w:t>recurrent administrative costs</w:t>
      </w:r>
      <w:r w:rsidR="00101F9C" w:rsidRPr="00B13BF6">
        <w:rPr>
          <w:noProof/>
          <w:spacing w:val="-8"/>
        </w:rPr>
        <w:t xml:space="preserve"> for national authorities for settling disputes are estimated at </w:t>
      </w:r>
      <w:r w:rsidR="00101F9C" w:rsidRPr="00C71B7E">
        <w:rPr>
          <w:b/>
          <w:noProof/>
          <w:spacing w:val="-8"/>
        </w:rPr>
        <w:t>EUR 1.5</w:t>
      </w:r>
      <w:r w:rsidR="00674F9C">
        <w:rPr>
          <w:b/>
          <w:noProof/>
          <w:spacing w:val="-8"/>
        </w:rPr>
        <w:t>3</w:t>
      </w:r>
      <w:r w:rsidR="00101F9C" w:rsidRPr="00C71B7E">
        <w:rPr>
          <w:b/>
          <w:noProof/>
          <w:spacing w:val="-8"/>
        </w:rPr>
        <w:t xml:space="preserve"> million</w:t>
      </w:r>
      <w:r w:rsidR="00101F9C" w:rsidRPr="00B13BF6">
        <w:rPr>
          <w:noProof/>
          <w:spacing w:val="-8"/>
        </w:rPr>
        <w:t xml:space="preserve"> per year from 2028 onwards</w:t>
      </w:r>
      <w:r w:rsidR="00101F9C" w:rsidRPr="00366F7D">
        <w:rPr>
          <w:rStyle w:val="FootnoteReference"/>
          <w:noProof/>
          <w:spacing w:val="-8"/>
        </w:rPr>
        <w:footnoteReference w:id="217"/>
      </w:r>
      <w:r w:rsidR="00101F9C" w:rsidRPr="00B13BF6">
        <w:rPr>
          <w:noProof/>
          <w:spacing w:val="-8"/>
        </w:rPr>
        <w:t>.</w:t>
      </w:r>
      <w:r w:rsidR="00935AF7">
        <w:rPr>
          <w:noProof/>
          <w:spacing w:val="-8"/>
        </w:rPr>
        <w:t xml:space="preserve"> </w:t>
      </w:r>
      <w:r w:rsidR="0094786B">
        <w:rPr>
          <w:noProof/>
          <w:spacing w:val="-8"/>
        </w:rPr>
        <w:t>Thus, t</w:t>
      </w:r>
      <w:r w:rsidR="00935AF7" w:rsidRPr="00935AF7">
        <w:rPr>
          <w:noProof/>
          <w:spacing w:val="-8"/>
        </w:rPr>
        <w:t xml:space="preserve">he </w:t>
      </w:r>
      <w:r w:rsidR="00935AF7" w:rsidRPr="00C71B7E">
        <w:rPr>
          <w:b/>
          <w:noProof/>
          <w:spacing w:val="-8"/>
        </w:rPr>
        <w:t>total additional administrative burden for national authorities</w:t>
      </w:r>
      <w:r w:rsidR="00935AF7" w:rsidRPr="00935AF7">
        <w:rPr>
          <w:noProof/>
          <w:spacing w:val="-8"/>
        </w:rPr>
        <w:t xml:space="preserve"> is estimated at </w:t>
      </w:r>
      <w:r w:rsidR="00935AF7" w:rsidRPr="00C71B7E">
        <w:rPr>
          <w:b/>
          <w:noProof/>
          <w:spacing w:val="-8"/>
        </w:rPr>
        <w:t xml:space="preserve">EUR </w:t>
      </w:r>
      <w:r w:rsidR="0046386E" w:rsidRPr="00C71B7E">
        <w:rPr>
          <w:b/>
          <w:noProof/>
          <w:spacing w:val="-8"/>
        </w:rPr>
        <w:t>1.</w:t>
      </w:r>
      <w:r w:rsidR="00437DCE" w:rsidRPr="00C71B7E">
        <w:rPr>
          <w:b/>
          <w:noProof/>
          <w:spacing w:val="-8"/>
        </w:rPr>
        <w:t>8</w:t>
      </w:r>
      <w:r w:rsidR="00437DCE">
        <w:rPr>
          <w:b/>
          <w:noProof/>
          <w:spacing w:val="-8"/>
        </w:rPr>
        <w:t>9</w:t>
      </w:r>
      <w:r w:rsidR="00437DCE" w:rsidRPr="00C71B7E">
        <w:rPr>
          <w:b/>
          <w:noProof/>
          <w:spacing w:val="-8"/>
        </w:rPr>
        <w:t xml:space="preserve"> </w:t>
      </w:r>
      <w:r w:rsidR="00935AF7" w:rsidRPr="00C71B7E">
        <w:rPr>
          <w:b/>
          <w:noProof/>
          <w:spacing w:val="-8"/>
        </w:rPr>
        <w:t>million per year</w:t>
      </w:r>
      <w:r w:rsidR="0046386E">
        <w:rPr>
          <w:noProof/>
          <w:spacing w:val="-8"/>
        </w:rPr>
        <w:t>.</w:t>
      </w:r>
      <w:r w:rsidR="00DC6380">
        <w:rPr>
          <w:noProof/>
          <w:spacing w:val="-8"/>
        </w:rPr>
        <w:t xml:space="preserve"> </w:t>
      </w:r>
      <w:r w:rsidR="008653D7">
        <w:rPr>
          <w:noProof/>
          <w:spacing w:val="-8"/>
        </w:rPr>
        <w:t xml:space="preserve">As explained in sections </w:t>
      </w:r>
      <w:r w:rsidR="003F193B">
        <w:rPr>
          <w:noProof/>
          <w:spacing w:val="-8"/>
        </w:rPr>
        <w:t>6.1.3 and 8.2,</w:t>
      </w:r>
      <w:r w:rsidR="008653D7">
        <w:rPr>
          <w:noProof/>
          <w:spacing w:val="-8"/>
        </w:rPr>
        <w:t xml:space="preserve"> </w:t>
      </w:r>
      <w:r w:rsidR="0051224C">
        <w:rPr>
          <w:noProof/>
          <w:spacing w:val="-8"/>
        </w:rPr>
        <w:t>e</w:t>
      </w:r>
      <w:r w:rsidR="00DC6380" w:rsidRPr="00C05A40">
        <w:rPr>
          <w:noProof/>
          <w:spacing w:val="-8"/>
        </w:rPr>
        <w:t xml:space="preserve">fforts have been made to keep these costs as low as possible, </w:t>
      </w:r>
      <w:r w:rsidR="00DC6380">
        <w:rPr>
          <w:noProof/>
          <w:spacing w:val="-8"/>
        </w:rPr>
        <w:t xml:space="preserve">but </w:t>
      </w:r>
      <w:r w:rsidR="00DC6380" w:rsidRPr="00C05A40">
        <w:rPr>
          <w:noProof/>
          <w:spacing w:val="-8"/>
        </w:rPr>
        <w:t xml:space="preserve">they remain unavoidable, as they are essential to ensure </w:t>
      </w:r>
      <w:r w:rsidR="00DC6380">
        <w:rPr>
          <w:noProof/>
          <w:spacing w:val="-8"/>
        </w:rPr>
        <w:t xml:space="preserve">settling disputes, the </w:t>
      </w:r>
      <w:r w:rsidR="00DC6380" w:rsidRPr="00B341A7">
        <w:rPr>
          <w:noProof/>
          <w:spacing w:val="-8"/>
        </w:rPr>
        <w:t>process</w:t>
      </w:r>
      <w:r w:rsidR="00DC6380">
        <w:rPr>
          <w:noProof/>
          <w:spacing w:val="-8"/>
        </w:rPr>
        <w:t>ing of</w:t>
      </w:r>
      <w:r w:rsidR="00DC6380" w:rsidRPr="00B341A7">
        <w:rPr>
          <w:noProof/>
          <w:spacing w:val="-8"/>
        </w:rPr>
        <w:t xml:space="preserve"> notifications from platforms with SMP and </w:t>
      </w:r>
      <w:r w:rsidR="00DC6380">
        <w:rPr>
          <w:noProof/>
          <w:spacing w:val="-8"/>
        </w:rPr>
        <w:t xml:space="preserve">the </w:t>
      </w:r>
      <w:r w:rsidR="00DC6380" w:rsidRPr="00B341A7">
        <w:rPr>
          <w:noProof/>
          <w:spacing w:val="-8"/>
        </w:rPr>
        <w:t>submi</w:t>
      </w:r>
      <w:r w:rsidR="00DC6380">
        <w:rPr>
          <w:noProof/>
          <w:spacing w:val="-8"/>
        </w:rPr>
        <w:t>ssion of this</w:t>
      </w:r>
      <w:r w:rsidR="00DC6380" w:rsidRPr="00B341A7">
        <w:rPr>
          <w:noProof/>
          <w:spacing w:val="-8"/>
        </w:rPr>
        <w:t xml:space="preserve"> information to the Commission</w:t>
      </w:r>
      <w:r w:rsidR="00DC6380" w:rsidRPr="00C05A40">
        <w:rPr>
          <w:noProof/>
          <w:spacing w:val="-8"/>
        </w:rPr>
        <w:t>.</w:t>
      </w:r>
    </w:p>
    <w:p w14:paraId="4D13D0EA" w14:textId="04B3009C" w:rsidR="00A638EF" w:rsidRPr="005D2D60" w:rsidRDefault="00A638EF" w:rsidP="00B13BF6">
      <w:pPr>
        <w:widowControl w:val="0"/>
        <w:spacing w:after="240"/>
        <w:jc w:val="both"/>
        <w:rPr>
          <w:noProof/>
          <w:spacing w:val="-8"/>
        </w:rPr>
      </w:pPr>
      <w:r w:rsidRPr="00B53DFD">
        <w:rPr>
          <w:b/>
          <w:noProof/>
          <w:spacing w:val="-8"/>
        </w:rPr>
        <w:t xml:space="preserve">Overall, the additional administrative burden for businesses and public authorities is estimated at EUR </w:t>
      </w:r>
      <w:r w:rsidR="00602F63" w:rsidRPr="00B53DFD">
        <w:rPr>
          <w:b/>
          <w:noProof/>
          <w:spacing w:val="-8"/>
        </w:rPr>
        <w:t>1.</w:t>
      </w:r>
      <w:r w:rsidR="00E57777" w:rsidRPr="00B53DFD">
        <w:rPr>
          <w:b/>
          <w:noProof/>
          <w:spacing w:val="-8"/>
        </w:rPr>
        <w:t>9</w:t>
      </w:r>
      <w:r w:rsidR="00E57777">
        <w:rPr>
          <w:b/>
          <w:noProof/>
          <w:spacing w:val="-8"/>
        </w:rPr>
        <w:t>5</w:t>
      </w:r>
      <w:r w:rsidR="00E57777" w:rsidRPr="00B53DFD">
        <w:rPr>
          <w:b/>
          <w:noProof/>
          <w:spacing w:val="-8"/>
        </w:rPr>
        <w:t xml:space="preserve"> </w:t>
      </w:r>
      <w:r w:rsidRPr="00B53DFD">
        <w:rPr>
          <w:b/>
          <w:noProof/>
          <w:spacing w:val="-8"/>
        </w:rPr>
        <w:t>million per year</w:t>
      </w:r>
      <w:r w:rsidR="00602F63" w:rsidRPr="00B53DFD">
        <w:rPr>
          <w:b/>
          <w:noProof/>
          <w:spacing w:val="-8"/>
        </w:rPr>
        <w:t xml:space="preserve"> at EU level, of which </w:t>
      </w:r>
      <w:r w:rsidR="00DB5DDA" w:rsidRPr="00B53DFD">
        <w:rPr>
          <w:b/>
          <w:noProof/>
          <w:spacing w:val="-8"/>
        </w:rPr>
        <w:t xml:space="preserve">EUR 0.06 million for businesses. </w:t>
      </w:r>
    </w:p>
    <w:p w14:paraId="47099F7C" w14:textId="46915A20" w:rsidR="00712390" w:rsidRPr="009449F4" w:rsidRDefault="003C4819" w:rsidP="006E3FA1">
      <w:pPr>
        <w:pStyle w:val="Heading2"/>
        <w:keepNext/>
        <w:numPr>
          <w:ilvl w:val="0"/>
          <w:numId w:val="11"/>
        </w:numPr>
        <w:tabs>
          <w:tab w:val="left" w:pos="1134"/>
        </w:tabs>
        <w:spacing w:before="240" w:after="240"/>
        <w:ind w:left="425" w:hanging="425"/>
        <w:rPr>
          <w:smallCaps/>
          <w:noProof/>
          <w:spacing w:val="-2"/>
        </w:rPr>
      </w:pPr>
      <w:bookmarkStart w:id="231" w:name="9_How_will_actual_impacts_be_monitored_a"/>
      <w:bookmarkStart w:id="232" w:name="_Toc223979996"/>
      <w:bookmarkEnd w:id="231"/>
      <w:r w:rsidRPr="00D71008">
        <w:rPr>
          <w:smallCaps/>
          <w:noProof/>
          <w:spacing w:val="-2"/>
        </w:rPr>
        <w:t>How will actual impacts be monitored and evaluated</w:t>
      </w:r>
      <w:bookmarkEnd w:id="232"/>
    </w:p>
    <w:p w14:paraId="13334E91" w14:textId="26E551D6" w:rsidR="00EA027F" w:rsidRPr="00FF6B57" w:rsidRDefault="00E41FBF" w:rsidP="00B13BF6">
      <w:pPr>
        <w:spacing w:after="240"/>
        <w:jc w:val="both"/>
        <w:rPr>
          <w:noProof/>
          <w:spacing w:val="-8"/>
        </w:rPr>
      </w:pPr>
      <w:r w:rsidRPr="006E3359">
        <w:rPr>
          <w:noProof/>
          <w:spacing w:val="-8"/>
        </w:rPr>
        <w:t xml:space="preserve">The Commission </w:t>
      </w:r>
      <w:r w:rsidR="00426649" w:rsidRPr="00426649">
        <w:rPr>
          <w:noProof/>
          <w:spacing w:val="-8"/>
        </w:rPr>
        <w:t xml:space="preserve">services </w:t>
      </w:r>
      <w:r w:rsidRPr="006E3359">
        <w:rPr>
          <w:noProof/>
          <w:spacing w:val="-8"/>
        </w:rPr>
        <w:t>will monitor the implementation of th</w:t>
      </w:r>
      <w:r w:rsidR="00FA63E0">
        <w:rPr>
          <w:noProof/>
          <w:spacing w:val="-8"/>
        </w:rPr>
        <w:t>e</w:t>
      </w:r>
      <w:r w:rsidRPr="006E3359">
        <w:rPr>
          <w:noProof/>
          <w:spacing w:val="-8"/>
        </w:rPr>
        <w:t>s</w:t>
      </w:r>
      <w:r w:rsidR="00FA63E0">
        <w:rPr>
          <w:noProof/>
          <w:spacing w:val="-8"/>
        </w:rPr>
        <w:t>e</w:t>
      </w:r>
      <w:r w:rsidRPr="006E3359">
        <w:rPr>
          <w:noProof/>
          <w:spacing w:val="-8"/>
        </w:rPr>
        <w:t xml:space="preserve"> initiative</w:t>
      </w:r>
      <w:r w:rsidR="00FA63E0">
        <w:rPr>
          <w:noProof/>
          <w:spacing w:val="-8"/>
        </w:rPr>
        <w:t>s</w:t>
      </w:r>
      <w:r w:rsidRPr="006E3359">
        <w:rPr>
          <w:noProof/>
          <w:spacing w:val="-8"/>
        </w:rPr>
        <w:t xml:space="preserve"> through </w:t>
      </w:r>
      <w:r w:rsidR="00426649" w:rsidRPr="00426649">
        <w:rPr>
          <w:noProof/>
          <w:spacing w:val="-8"/>
        </w:rPr>
        <w:t>a number of</w:t>
      </w:r>
      <w:r w:rsidRPr="006E3359">
        <w:rPr>
          <w:noProof/>
          <w:spacing w:val="-8"/>
        </w:rPr>
        <w:t xml:space="preserve"> actions and a set of core indicators that </w:t>
      </w:r>
      <w:r w:rsidR="00426649" w:rsidRPr="00426649">
        <w:rPr>
          <w:noProof/>
          <w:spacing w:val="-8"/>
        </w:rPr>
        <w:t xml:space="preserve">will </w:t>
      </w:r>
      <w:r w:rsidRPr="006E3359">
        <w:rPr>
          <w:noProof/>
          <w:spacing w:val="-8"/>
        </w:rPr>
        <w:t xml:space="preserve">measure progress towards achieving the objectives. </w:t>
      </w:r>
      <w:r w:rsidR="00100ED3" w:rsidRPr="00FF6B57">
        <w:rPr>
          <w:noProof/>
          <w:spacing w:val="-8"/>
        </w:rPr>
        <w:t>In addition,</w:t>
      </w:r>
      <w:r w:rsidR="00942E6E" w:rsidRPr="00FF6B57">
        <w:rPr>
          <w:noProof/>
          <w:spacing w:val="-8"/>
        </w:rPr>
        <w:t xml:space="preserve"> the National Enforcement Bodies will play a key role in monitoring </w:t>
      </w:r>
      <w:r w:rsidR="00EA027F" w:rsidRPr="00FF6B57">
        <w:rPr>
          <w:noProof/>
          <w:spacing w:val="-8"/>
        </w:rPr>
        <w:t xml:space="preserve">implementation. </w:t>
      </w:r>
    </w:p>
    <w:p w14:paraId="340344E4" w14:textId="016A32A5" w:rsidR="00121ACA" w:rsidRDefault="00FA7E74" w:rsidP="00B13BF6">
      <w:pPr>
        <w:spacing w:after="240"/>
        <w:jc w:val="both"/>
        <w:rPr>
          <w:noProof/>
          <w:spacing w:val="-8"/>
        </w:rPr>
      </w:pPr>
      <w:r w:rsidRPr="00FF6B57">
        <w:rPr>
          <w:noProof/>
          <w:spacing w:val="-8"/>
        </w:rPr>
        <w:t>At least</w:t>
      </w:r>
      <w:r w:rsidR="005B1E00" w:rsidRPr="00FF6B57">
        <w:rPr>
          <w:noProof/>
          <w:spacing w:val="-8"/>
        </w:rPr>
        <w:t xml:space="preserve"> </w:t>
      </w:r>
      <w:r>
        <w:rPr>
          <w:noProof/>
          <w:spacing w:val="-8"/>
        </w:rPr>
        <w:t>f</w:t>
      </w:r>
      <w:r w:rsidR="00E41FBF" w:rsidRPr="006E3359">
        <w:rPr>
          <w:noProof/>
          <w:spacing w:val="-8"/>
        </w:rPr>
        <w:t xml:space="preserve">ive years after the </w:t>
      </w:r>
      <w:r w:rsidR="009F36A7" w:rsidRPr="00FF6B57">
        <w:rPr>
          <w:noProof/>
          <w:spacing w:val="-8"/>
        </w:rPr>
        <w:t>start of</w:t>
      </w:r>
      <w:r w:rsidR="00E41FBF" w:rsidRPr="00FF6B57">
        <w:rPr>
          <w:noProof/>
          <w:spacing w:val="-8"/>
        </w:rPr>
        <w:t xml:space="preserve"> </w:t>
      </w:r>
      <w:r w:rsidR="00426649" w:rsidRPr="00FF6B57">
        <w:rPr>
          <w:noProof/>
          <w:spacing w:val="-8"/>
        </w:rPr>
        <w:t>implementation</w:t>
      </w:r>
      <w:r w:rsidR="00E41FBF" w:rsidRPr="006E3359">
        <w:rPr>
          <w:noProof/>
          <w:spacing w:val="-8"/>
        </w:rPr>
        <w:t xml:space="preserve"> of the </w:t>
      </w:r>
      <w:r w:rsidR="00426649" w:rsidRPr="00426649">
        <w:rPr>
          <w:noProof/>
          <w:spacing w:val="-8"/>
        </w:rPr>
        <w:t>legislation</w:t>
      </w:r>
      <w:r w:rsidR="00133092">
        <w:rPr>
          <w:noProof/>
          <w:spacing w:val="-8"/>
        </w:rPr>
        <w:t>s</w:t>
      </w:r>
      <w:r w:rsidR="00E41FBF" w:rsidRPr="006E3359">
        <w:rPr>
          <w:noProof/>
          <w:spacing w:val="-8"/>
        </w:rPr>
        <w:t xml:space="preserve">, the Commission services should carry out an evaluation to </w:t>
      </w:r>
      <w:r w:rsidR="00DC39B0" w:rsidRPr="00FF6B57">
        <w:rPr>
          <w:noProof/>
          <w:spacing w:val="-8"/>
        </w:rPr>
        <w:t xml:space="preserve">among others </w:t>
      </w:r>
      <w:r w:rsidR="00E41FBF" w:rsidRPr="006E3359">
        <w:rPr>
          <w:noProof/>
          <w:spacing w:val="-8"/>
        </w:rPr>
        <w:t>verify to what extent the objectives of the</w:t>
      </w:r>
      <w:r w:rsidR="00FA63E0">
        <w:rPr>
          <w:noProof/>
          <w:spacing w:val="-8"/>
        </w:rPr>
        <w:t>se</w:t>
      </w:r>
      <w:r w:rsidR="00E41FBF" w:rsidRPr="006E3359">
        <w:rPr>
          <w:noProof/>
          <w:spacing w:val="-8"/>
        </w:rPr>
        <w:t xml:space="preserve"> initiative</w:t>
      </w:r>
      <w:r w:rsidR="00FA63E0">
        <w:rPr>
          <w:noProof/>
          <w:spacing w:val="-8"/>
        </w:rPr>
        <w:t>s</w:t>
      </w:r>
      <w:r w:rsidR="00E41FBF" w:rsidRPr="006E3359">
        <w:rPr>
          <w:noProof/>
          <w:spacing w:val="-8"/>
        </w:rPr>
        <w:t xml:space="preserve"> have been reached. </w:t>
      </w:r>
      <w:r w:rsidRPr="00FF6B57">
        <w:rPr>
          <w:noProof/>
          <w:spacing w:val="-8"/>
        </w:rPr>
        <w:t>Th</w:t>
      </w:r>
      <w:r w:rsidR="00593618" w:rsidRPr="00FF6B57">
        <w:rPr>
          <w:noProof/>
          <w:spacing w:val="-8"/>
        </w:rPr>
        <w:t>e evaluation</w:t>
      </w:r>
      <w:r w:rsidRPr="00FF6B57">
        <w:rPr>
          <w:noProof/>
          <w:spacing w:val="-8"/>
        </w:rPr>
        <w:t xml:space="preserve"> should be undertaken at a point in time when sufficient data is available </w:t>
      </w:r>
      <w:r w:rsidR="00C005C2" w:rsidRPr="00FF6B57">
        <w:rPr>
          <w:noProof/>
          <w:spacing w:val="-8"/>
        </w:rPr>
        <w:t>on actual implementation,</w:t>
      </w:r>
      <w:r w:rsidRPr="00FF6B57">
        <w:rPr>
          <w:noProof/>
          <w:spacing w:val="-8"/>
        </w:rPr>
        <w:t xml:space="preserve"> so that </w:t>
      </w:r>
      <w:r w:rsidR="00882DAD" w:rsidRPr="00FF6B57">
        <w:rPr>
          <w:noProof/>
          <w:spacing w:val="-8"/>
        </w:rPr>
        <w:t>ex</w:t>
      </w:r>
      <w:r w:rsidR="006F271C" w:rsidRPr="00FF6B57">
        <w:rPr>
          <w:noProof/>
          <w:spacing w:val="-8"/>
        </w:rPr>
        <w:t>-</w:t>
      </w:r>
      <w:r w:rsidR="00882DAD" w:rsidRPr="00FF6B57">
        <w:rPr>
          <w:noProof/>
          <w:spacing w:val="-8"/>
        </w:rPr>
        <w:t>post it can be assessed whether the initiatives are efficient</w:t>
      </w:r>
      <w:r w:rsidR="005B1E00" w:rsidRPr="00FF6B57">
        <w:rPr>
          <w:noProof/>
          <w:spacing w:val="-8"/>
        </w:rPr>
        <w:t xml:space="preserve"> (what actual benefits are achieved at what actual cost)</w:t>
      </w:r>
      <w:r w:rsidR="00882DAD" w:rsidRPr="00FF6B57">
        <w:rPr>
          <w:noProof/>
          <w:spacing w:val="-8"/>
        </w:rPr>
        <w:t>,</w:t>
      </w:r>
      <w:r w:rsidR="00DF1B4D" w:rsidRPr="00FF6B57">
        <w:rPr>
          <w:noProof/>
          <w:spacing w:val="-8"/>
        </w:rPr>
        <w:t xml:space="preserve"> effective</w:t>
      </w:r>
      <w:r w:rsidR="005B1E00" w:rsidRPr="00FF6B57">
        <w:rPr>
          <w:noProof/>
          <w:spacing w:val="-8"/>
        </w:rPr>
        <w:t xml:space="preserve"> (</w:t>
      </w:r>
      <w:r w:rsidR="00245E90" w:rsidRPr="00FF6B57">
        <w:rPr>
          <w:noProof/>
          <w:spacing w:val="-8"/>
        </w:rPr>
        <w:t xml:space="preserve">whether they </w:t>
      </w:r>
      <w:r w:rsidR="00D6096E" w:rsidRPr="00FF6B57">
        <w:rPr>
          <w:noProof/>
          <w:spacing w:val="-8"/>
        </w:rPr>
        <w:t>meet</w:t>
      </w:r>
      <w:r w:rsidR="00DF1B4D" w:rsidRPr="00FF6B57">
        <w:rPr>
          <w:noProof/>
          <w:spacing w:val="-8"/>
        </w:rPr>
        <w:t xml:space="preserve"> the objectives</w:t>
      </w:r>
      <w:r w:rsidR="00245E90" w:rsidRPr="00FF6B57">
        <w:rPr>
          <w:noProof/>
          <w:spacing w:val="-8"/>
        </w:rPr>
        <w:t>), coherent, relevant (</w:t>
      </w:r>
      <w:r w:rsidR="00D6096E" w:rsidRPr="00FF6B57">
        <w:rPr>
          <w:noProof/>
          <w:spacing w:val="-8"/>
        </w:rPr>
        <w:t>whether</w:t>
      </w:r>
      <w:r w:rsidR="00245E90" w:rsidRPr="00FF6B57">
        <w:rPr>
          <w:noProof/>
          <w:spacing w:val="-8"/>
        </w:rPr>
        <w:t xml:space="preserve"> </w:t>
      </w:r>
      <w:r w:rsidR="003B54A1" w:rsidRPr="00FF6B57">
        <w:rPr>
          <w:noProof/>
          <w:spacing w:val="-8"/>
        </w:rPr>
        <w:t xml:space="preserve">they respond to </w:t>
      </w:r>
      <w:r w:rsidR="00A93097" w:rsidRPr="00FF6B57">
        <w:rPr>
          <w:noProof/>
          <w:spacing w:val="-8"/>
        </w:rPr>
        <w:t xml:space="preserve">the </w:t>
      </w:r>
      <w:r w:rsidR="00245E90" w:rsidRPr="00FF6B57">
        <w:rPr>
          <w:noProof/>
          <w:spacing w:val="-8"/>
        </w:rPr>
        <w:t>needs</w:t>
      </w:r>
      <w:r w:rsidR="00A93097" w:rsidRPr="00FF6B57">
        <w:rPr>
          <w:noProof/>
          <w:spacing w:val="-8"/>
        </w:rPr>
        <w:t>) and EU added value</w:t>
      </w:r>
      <w:r w:rsidR="003D6923" w:rsidRPr="00FF6B57">
        <w:rPr>
          <w:noProof/>
          <w:spacing w:val="-8"/>
        </w:rPr>
        <w:t>. Also</w:t>
      </w:r>
      <w:r w:rsidR="00D46C07" w:rsidRPr="00FF6B57">
        <w:rPr>
          <w:noProof/>
          <w:spacing w:val="-8"/>
        </w:rPr>
        <w:t>,</w:t>
      </w:r>
      <w:r w:rsidR="003D6923" w:rsidRPr="00FF6B57">
        <w:rPr>
          <w:noProof/>
          <w:spacing w:val="-8"/>
        </w:rPr>
        <w:t xml:space="preserve"> synergies </w:t>
      </w:r>
      <w:r w:rsidR="00993E40" w:rsidRPr="00FF6B57">
        <w:rPr>
          <w:noProof/>
          <w:spacing w:val="-8"/>
        </w:rPr>
        <w:t xml:space="preserve">between the </w:t>
      </w:r>
      <w:r w:rsidR="00DD1391">
        <w:rPr>
          <w:noProof/>
          <w:spacing w:val="-8"/>
        </w:rPr>
        <w:t>RMB</w:t>
      </w:r>
      <w:r w:rsidR="00993E40" w:rsidRPr="00FF6B57">
        <w:rPr>
          <w:noProof/>
          <w:spacing w:val="-8"/>
        </w:rPr>
        <w:t xml:space="preserve"> and the </w:t>
      </w:r>
      <w:r w:rsidR="00DD1391">
        <w:rPr>
          <w:noProof/>
          <w:spacing w:val="-8"/>
        </w:rPr>
        <w:t>RTR</w:t>
      </w:r>
      <w:r w:rsidR="00993E40" w:rsidRPr="00FF6B57">
        <w:rPr>
          <w:noProof/>
          <w:spacing w:val="-8"/>
        </w:rPr>
        <w:t xml:space="preserve"> will need to be analysed, together with the interplay </w:t>
      </w:r>
      <w:r w:rsidR="000F795E" w:rsidRPr="00FF6B57">
        <w:rPr>
          <w:noProof/>
          <w:spacing w:val="-8"/>
        </w:rPr>
        <w:t>with the targeted revision on rail pa</w:t>
      </w:r>
      <w:r w:rsidR="00BC7448" w:rsidRPr="00FF6B57">
        <w:rPr>
          <w:noProof/>
          <w:spacing w:val="-8"/>
        </w:rPr>
        <w:t>ssenger</w:t>
      </w:r>
      <w:r w:rsidR="000F795E" w:rsidRPr="00FF6B57">
        <w:rPr>
          <w:noProof/>
          <w:spacing w:val="-8"/>
        </w:rPr>
        <w:t xml:space="preserve"> rights</w:t>
      </w:r>
      <w:r w:rsidR="00D46C07" w:rsidRPr="00FF6B57">
        <w:rPr>
          <w:noProof/>
          <w:spacing w:val="-8"/>
        </w:rPr>
        <w:t xml:space="preserve">, since these initiatives are very much interlinked. </w:t>
      </w:r>
      <w:r w:rsidR="00993E40" w:rsidRPr="00FF6B57">
        <w:rPr>
          <w:noProof/>
          <w:spacing w:val="-8"/>
        </w:rPr>
        <w:t xml:space="preserve"> </w:t>
      </w:r>
      <w:r w:rsidR="00A93097" w:rsidRPr="00FF6B57">
        <w:rPr>
          <w:noProof/>
          <w:spacing w:val="-8"/>
        </w:rPr>
        <w:t xml:space="preserve"> </w:t>
      </w:r>
      <w:r w:rsidR="00DF1B4D" w:rsidRPr="00FF6B57">
        <w:rPr>
          <w:noProof/>
          <w:spacing w:val="-8"/>
        </w:rPr>
        <w:t xml:space="preserve"> </w:t>
      </w:r>
      <w:r w:rsidRPr="00FF6B57">
        <w:rPr>
          <w:noProof/>
          <w:spacing w:val="-8"/>
        </w:rPr>
        <w:t xml:space="preserve"> </w:t>
      </w:r>
    </w:p>
    <w:p w14:paraId="0D5F436F" w14:textId="6F805CA3" w:rsidR="00121ACA" w:rsidRDefault="00121ACA" w:rsidP="00B13BF6">
      <w:pPr>
        <w:spacing w:after="240"/>
        <w:jc w:val="both"/>
        <w:rPr>
          <w:noProof/>
          <w:spacing w:val="-8"/>
        </w:rPr>
      </w:pPr>
      <w:r>
        <w:rPr>
          <w:noProof/>
          <w:spacing w:val="-8"/>
        </w:rPr>
        <w:t>For t</w:t>
      </w:r>
      <w:r w:rsidR="00426649" w:rsidRPr="00426649">
        <w:rPr>
          <w:noProof/>
          <w:spacing w:val="-8"/>
        </w:rPr>
        <w:t xml:space="preserve">he monitoring of </w:t>
      </w:r>
      <w:r>
        <w:rPr>
          <w:noProof/>
          <w:spacing w:val="-8"/>
        </w:rPr>
        <w:t>S</w:t>
      </w:r>
      <w:r w:rsidR="00426649" w:rsidRPr="00426649">
        <w:rPr>
          <w:noProof/>
          <w:spacing w:val="-8"/>
        </w:rPr>
        <w:t xml:space="preserve">pecific </w:t>
      </w:r>
      <w:r>
        <w:rPr>
          <w:noProof/>
          <w:spacing w:val="-8"/>
        </w:rPr>
        <w:t>O</w:t>
      </w:r>
      <w:r w:rsidR="00426649" w:rsidRPr="00426649">
        <w:rPr>
          <w:noProof/>
          <w:spacing w:val="-8"/>
        </w:rPr>
        <w:t>bjective 1 (</w:t>
      </w:r>
      <w:r w:rsidR="00AB7E89">
        <w:rPr>
          <w:i/>
          <w:noProof/>
          <w:spacing w:val="-8"/>
        </w:rPr>
        <w:t>Improve transparency and establish a level playing field for transport operators in terms of access and use of indispensable MDMS</w:t>
      </w:r>
      <w:r w:rsidR="00426649" w:rsidRPr="00FF6B57">
        <w:rPr>
          <w:noProof/>
          <w:spacing w:val="-8"/>
        </w:rPr>
        <w:t>)</w:t>
      </w:r>
      <w:r w:rsidRPr="00FF6B57">
        <w:rPr>
          <w:noProof/>
          <w:spacing w:val="-8"/>
        </w:rPr>
        <w:t>,</w:t>
      </w:r>
      <w:r w:rsidR="00426649" w:rsidRPr="00FF6B57">
        <w:rPr>
          <w:noProof/>
          <w:spacing w:val="-8"/>
        </w:rPr>
        <w:t xml:space="preserve"> </w:t>
      </w:r>
      <w:r w:rsidRPr="00FF6B57">
        <w:rPr>
          <w:noProof/>
          <w:spacing w:val="-8"/>
        </w:rPr>
        <w:t>t</w:t>
      </w:r>
      <w:r w:rsidR="00426649" w:rsidRPr="00FF6B57">
        <w:rPr>
          <w:noProof/>
          <w:spacing w:val="-8"/>
        </w:rPr>
        <w:t xml:space="preserve">he Commission will </w:t>
      </w:r>
      <w:r w:rsidR="00EB7A7A" w:rsidRPr="00FF6B57">
        <w:rPr>
          <w:noProof/>
          <w:spacing w:val="-8"/>
        </w:rPr>
        <w:t xml:space="preserve">use as an indicator the </w:t>
      </w:r>
      <w:r w:rsidR="00ED4DB4" w:rsidRPr="00FF6B57">
        <w:rPr>
          <w:noProof/>
          <w:spacing w:val="-8"/>
        </w:rPr>
        <w:t xml:space="preserve">number of transport operators </w:t>
      </w:r>
      <w:r w:rsidR="0059164B" w:rsidRPr="00FF6B57">
        <w:rPr>
          <w:noProof/>
          <w:spacing w:val="-8"/>
        </w:rPr>
        <w:t xml:space="preserve">distributing transport products </w:t>
      </w:r>
      <w:r w:rsidR="00ED4DB4" w:rsidRPr="00FF6B57">
        <w:rPr>
          <w:noProof/>
          <w:spacing w:val="-8"/>
        </w:rPr>
        <w:t>on these platforms</w:t>
      </w:r>
      <w:r w:rsidR="00D12B9F" w:rsidRPr="00FF6B57">
        <w:rPr>
          <w:noProof/>
          <w:spacing w:val="-8"/>
        </w:rPr>
        <w:t>. This indicator will be</w:t>
      </w:r>
      <w:r w:rsidR="00ED4DB4" w:rsidRPr="00FF6B57">
        <w:rPr>
          <w:noProof/>
          <w:spacing w:val="-8"/>
        </w:rPr>
        <w:t xml:space="preserve"> assessed in regular intervals e.g. yearly.</w:t>
      </w:r>
      <w:r w:rsidR="0014553F" w:rsidRPr="00FF6B57">
        <w:rPr>
          <w:noProof/>
          <w:spacing w:val="-8"/>
        </w:rPr>
        <w:t xml:space="preserve"> It would be a clear indication </w:t>
      </w:r>
      <w:r w:rsidR="00913E61" w:rsidRPr="00FF6B57">
        <w:rPr>
          <w:noProof/>
          <w:spacing w:val="-8"/>
        </w:rPr>
        <w:t xml:space="preserve">for </w:t>
      </w:r>
      <w:r w:rsidR="00B33730" w:rsidRPr="00FF6B57">
        <w:rPr>
          <w:noProof/>
          <w:spacing w:val="-8"/>
        </w:rPr>
        <w:t xml:space="preserve">a positive trend towards overcoming </w:t>
      </w:r>
      <w:r w:rsidR="005C0100" w:rsidRPr="00FF6B57">
        <w:rPr>
          <w:noProof/>
          <w:spacing w:val="-8"/>
        </w:rPr>
        <w:t xml:space="preserve">distortions of competition and </w:t>
      </w:r>
      <w:r w:rsidR="00B33730" w:rsidRPr="00FF6B57">
        <w:rPr>
          <w:noProof/>
          <w:spacing w:val="-8"/>
        </w:rPr>
        <w:t xml:space="preserve">establishing </w:t>
      </w:r>
      <w:r w:rsidR="00DC4DB1" w:rsidRPr="00FF6B57">
        <w:rPr>
          <w:noProof/>
          <w:spacing w:val="-8"/>
        </w:rPr>
        <w:t>a level playing field for transport operators</w:t>
      </w:r>
      <w:r w:rsidR="009C2880" w:rsidRPr="00FF6B57">
        <w:rPr>
          <w:noProof/>
          <w:spacing w:val="-8"/>
        </w:rPr>
        <w:t xml:space="preserve"> in terms</w:t>
      </w:r>
      <w:r w:rsidR="00793621" w:rsidRPr="00FF6B57">
        <w:rPr>
          <w:noProof/>
          <w:spacing w:val="-8"/>
        </w:rPr>
        <w:t xml:space="preserve"> </w:t>
      </w:r>
      <w:r w:rsidR="009C2880" w:rsidRPr="00FF6B57">
        <w:rPr>
          <w:noProof/>
          <w:spacing w:val="-8"/>
        </w:rPr>
        <w:t>of access and use of indispensable MDMS and indispensable</w:t>
      </w:r>
      <w:r w:rsidR="0076214B" w:rsidRPr="00FF6B57">
        <w:rPr>
          <w:noProof/>
          <w:spacing w:val="-8"/>
        </w:rPr>
        <w:t xml:space="preserve"> RU platforms, if more transport operators are actually using</w:t>
      </w:r>
      <w:r w:rsidR="00793621" w:rsidRPr="00FF6B57">
        <w:rPr>
          <w:noProof/>
          <w:spacing w:val="-8"/>
        </w:rPr>
        <w:t xml:space="preserve"> these platforms for offering their transport products. </w:t>
      </w:r>
      <w:r w:rsidR="00A134FE" w:rsidRPr="00FF6B57">
        <w:rPr>
          <w:noProof/>
          <w:spacing w:val="-8"/>
        </w:rPr>
        <w:t xml:space="preserve">The monitoring </w:t>
      </w:r>
      <w:r w:rsidR="00EB7A7A" w:rsidRPr="00FF6B57">
        <w:rPr>
          <w:noProof/>
          <w:spacing w:val="-8"/>
        </w:rPr>
        <w:t xml:space="preserve">of this indicator </w:t>
      </w:r>
      <w:r w:rsidR="00A134FE" w:rsidRPr="00FF6B57">
        <w:rPr>
          <w:noProof/>
          <w:spacing w:val="-8"/>
        </w:rPr>
        <w:t>would be limited to these indispensable platforms since th</w:t>
      </w:r>
      <w:r w:rsidR="007E22AB" w:rsidRPr="00FF6B57">
        <w:rPr>
          <w:noProof/>
          <w:spacing w:val="-8"/>
        </w:rPr>
        <w:t>ey have the power to restrict access</w:t>
      </w:r>
      <w:r w:rsidR="003B71BC" w:rsidRPr="00FF6B57">
        <w:rPr>
          <w:noProof/>
          <w:spacing w:val="-8"/>
        </w:rPr>
        <w:t xml:space="preserve">. </w:t>
      </w:r>
    </w:p>
    <w:p w14:paraId="54AF63DB" w14:textId="30ECEEC7" w:rsidR="000F5D4B" w:rsidRPr="00FF6B57" w:rsidRDefault="000F5D4B" w:rsidP="00B13BF6">
      <w:pPr>
        <w:spacing w:after="240"/>
        <w:jc w:val="both"/>
        <w:rPr>
          <w:noProof/>
          <w:spacing w:val="-8"/>
        </w:rPr>
      </w:pPr>
      <w:r w:rsidRPr="00FF6B57">
        <w:rPr>
          <w:noProof/>
          <w:spacing w:val="-8"/>
        </w:rPr>
        <w:t>Then another important indicator</w:t>
      </w:r>
      <w:r w:rsidR="0007004E" w:rsidRPr="00FF6B57">
        <w:rPr>
          <w:noProof/>
          <w:spacing w:val="-8"/>
        </w:rPr>
        <w:t xml:space="preserve">, which </w:t>
      </w:r>
      <w:r w:rsidR="00A87DAE">
        <w:rPr>
          <w:noProof/>
          <w:spacing w:val="-8"/>
        </w:rPr>
        <w:t>is also used</w:t>
      </w:r>
      <w:r w:rsidR="0007004E" w:rsidRPr="00FF6B57">
        <w:rPr>
          <w:noProof/>
          <w:spacing w:val="-8"/>
        </w:rPr>
        <w:t xml:space="preserve"> for assessing </w:t>
      </w:r>
      <w:r w:rsidR="002C2DD3">
        <w:rPr>
          <w:noProof/>
          <w:spacing w:val="-8"/>
        </w:rPr>
        <w:t xml:space="preserve">the </w:t>
      </w:r>
      <w:r w:rsidR="0007004E" w:rsidRPr="00FF6B57">
        <w:rPr>
          <w:noProof/>
          <w:spacing w:val="-8"/>
        </w:rPr>
        <w:t>effectiveness of the policy options</w:t>
      </w:r>
      <w:r w:rsidR="006A6785" w:rsidRPr="00FF6B57">
        <w:rPr>
          <w:noProof/>
          <w:spacing w:val="-8"/>
        </w:rPr>
        <w:t xml:space="preserve"> in meeting SO1</w:t>
      </w:r>
      <w:r w:rsidR="0007004E" w:rsidRPr="00FF6B57">
        <w:rPr>
          <w:noProof/>
          <w:spacing w:val="-8"/>
        </w:rPr>
        <w:t>, is the number of agreements</w:t>
      </w:r>
      <w:r w:rsidR="0059164B" w:rsidRPr="00FF6B57">
        <w:rPr>
          <w:noProof/>
          <w:spacing w:val="-8"/>
        </w:rPr>
        <w:t xml:space="preserve"> between platforms and transport operators. </w:t>
      </w:r>
      <w:r w:rsidR="001C48D4" w:rsidRPr="00B13BF6">
        <w:rPr>
          <w:noProof/>
          <w:spacing w:val="-8"/>
        </w:rPr>
        <w:t xml:space="preserve">An increase in </w:t>
      </w:r>
      <w:r w:rsidR="00DD0741">
        <w:rPr>
          <w:noProof/>
          <w:spacing w:val="-8"/>
        </w:rPr>
        <w:t xml:space="preserve">the </w:t>
      </w:r>
      <w:r w:rsidR="001C48D4" w:rsidRPr="00B13BF6">
        <w:rPr>
          <w:noProof/>
          <w:spacing w:val="-8"/>
        </w:rPr>
        <w:t>number of agreements between</w:t>
      </w:r>
      <w:r w:rsidR="00BD14CE">
        <w:rPr>
          <w:noProof/>
          <w:spacing w:val="-8"/>
        </w:rPr>
        <w:t xml:space="preserve"> </w:t>
      </w:r>
      <w:r w:rsidR="009E4486" w:rsidRPr="00B13BF6">
        <w:rPr>
          <w:noProof/>
          <w:spacing w:val="-8"/>
        </w:rPr>
        <w:t xml:space="preserve">MDMS </w:t>
      </w:r>
      <w:r w:rsidR="001C48D4" w:rsidRPr="00B13BF6">
        <w:rPr>
          <w:noProof/>
          <w:spacing w:val="-8"/>
        </w:rPr>
        <w:t xml:space="preserve">platforms and transport operators would indicate a better functioning of the online distribution markets. </w:t>
      </w:r>
      <w:r w:rsidR="0059164B" w:rsidRPr="00FF6B57">
        <w:rPr>
          <w:noProof/>
          <w:spacing w:val="-8"/>
        </w:rPr>
        <w:t xml:space="preserve">Contrary to the above indicator on </w:t>
      </w:r>
      <w:r w:rsidR="00DD0741">
        <w:rPr>
          <w:noProof/>
          <w:spacing w:val="-8"/>
        </w:rPr>
        <w:t xml:space="preserve">the </w:t>
      </w:r>
      <w:r w:rsidR="0059164B" w:rsidRPr="00FF6B57">
        <w:rPr>
          <w:noProof/>
          <w:spacing w:val="-8"/>
        </w:rPr>
        <w:t>number of trans</w:t>
      </w:r>
      <w:r w:rsidR="00BC0035" w:rsidRPr="00FF6B57">
        <w:rPr>
          <w:noProof/>
          <w:spacing w:val="-8"/>
        </w:rPr>
        <w:t>port operators distributing transport products</w:t>
      </w:r>
      <w:r w:rsidR="00096C78" w:rsidRPr="00FF6B57">
        <w:rPr>
          <w:noProof/>
          <w:spacing w:val="-8"/>
        </w:rPr>
        <w:t xml:space="preserve"> on indispensable MDMS and indispensable R</w:t>
      </w:r>
      <w:r w:rsidR="004F2369" w:rsidRPr="00FF6B57">
        <w:rPr>
          <w:noProof/>
          <w:spacing w:val="-8"/>
        </w:rPr>
        <w:t>U</w:t>
      </w:r>
      <w:r w:rsidR="00096C78" w:rsidRPr="00FF6B57">
        <w:rPr>
          <w:noProof/>
          <w:spacing w:val="-8"/>
        </w:rPr>
        <w:t xml:space="preserve"> platforms, this indicator would not be limited to only </w:t>
      </w:r>
      <w:r w:rsidR="004F2369" w:rsidRPr="00FF6B57">
        <w:rPr>
          <w:noProof/>
          <w:spacing w:val="-8"/>
        </w:rPr>
        <w:t>indispensable</w:t>
      </w:r>
      <w:r w:rsidR="00096C78" w:rsidRPr="00FF6B57">
        <w:rPr>
          <w:noProof/>
          <w:spacing w:val="-8"/>
        </w:rPr>
        <w:t xml:space="preserve"> platforms, but would capture all </w:t>
      </w:r>
      <w:r w:rsidR="009E4486" w:rsidRPr="00FF6B57">
        <w:rPr>
          <w:noProof/>
          <w:spacing w:val="-8"/>
        </w:rPr>
        <w:t xml:space="preserve">MDMS </w:t>
      </w:r>
      <w:r w:rsidR="00096C78" w:rsidRPr="00FF6B57">
        <w:rPr>
          <w:noProof/>
          <w:spacing w:val="-8"/>
        </w:rPr>
        <w:t>platforms</w:t>
      </w:r>
      <w:r w:rsidR="004F2369" w:rsidRPr="00FF6B57">
        <w:rPr>
          <w:noProof/>
          <w:spacing w:val="-8"/>
        </w:rPr>
        <w:t>, including independent ones</w:t>
      </w:r>
      <w:r w:rsidR="0007004E" w:rsidRPr="00FF6B57">
        <w:rPr>
          <w:noProof/>
          <w:spacing w:val="-8"/>
        </w:rPr>
        <w:t xml:space="preserve">. </w:t>
      </w:r>
      <w:r w:rsidR="00FD5FF8" w:rsidRPr="00FF6B57">
        <w:rPr>
          <w:noProof/>
          <w:spacing w:val="-8"/>
        </w:rPr>
        <w:t>Therefore the 2 indicators would well complement each other and show market dynamics</w:t>
      </w:r>
      <w:r w:rsidR="001422B9" w:rsidRPr="00FF6B57">
        <w:rPr>
          <w:noProof/>
          <w:spacing w:val="-8"/>
        </w:rPr>
        <w:t xml:space="preserve"> and the evolution of the market in terms of transport </w:t>
      </w:r>
      <w:r w:rsidR="00313B03">
        <w:rPr>
          <w:noProof/>
          <w:spacing w:val="-8"/>
        </w:rPr>
        <w:t>operators’</w:t>
      </w:r>
      <w:r w:rsidR="001422B9" w:rsidRPr="00FF6B57">
        <w:rPr>
          <w:noProof/>
          <w:spacing w:val="-8"/>
        </w:rPr>
        <w:t xml:space="preserve"> access and use of </w:t>
      </w:r>
      <w:r w:rsidR="00563F73" w:rsidRPr="00FF6B57">
        <w:rPr>
          <w:noProof/>
          <w:spacing w:val="-8"/>
        </w:rPr>
        <w:t>platforms</w:t>
      </w:r>
      <w:r w:rsidR="00A461D0">
        <w:rPr>
          <w:noProof/>
          <w:spacing w:val="-8"/>
        </w:rPr>
        <w:t>,</w:t>
      </w:r>
      <w:r w:rsidR="00C942DA" w:rsidRPr="00FF6B57">
        <w:rPr>
          <w:noProof/>
          <w:spacing w:val="-8"/>
        </w:rPr>
        <w:t xml:space="preserve"> including indispensable MDMS and indispensable </w:t>
      </w:r>
      <w:r w:rsidR="00064DE9" w:rsidRPr="00FF6B57">
        <w:rPr>
          <w:noProof/>
          <w:spacing w:val="-8"/>
        </w:rPr>
        <w:t>RU platforms</w:t>
      </w:r>
      <w:r w:rsidR="00FD5FF8" w:rsidRPr="00FF6B57">
        <w:rPr>
          <w:noProof/>
          <w:spacing w:val="-8"/>
        </w:rPr>
        <w:t>.</w:t>
      </w:r>
    </w:p>
    <w:p w14:paraId="2815C356" w14:textId="1342ABE7" w:rsidR="009E0AAA" w:rsidRDefault="00D468F4" w:rsidP="00B13BF6">
      <w:pPr>
        <w:spacing w:after="240"/>
        <w:jc w:val="both"/>
        <w:rPr>
          <w:noProof/>
          <w:spacing w:val="-8"/>
        </w:rPr>
      </w:pPr>
      <w:r>
        <w:rPr>
          <w:noProof/>
          <w:spacing w:val="-8"/>
        </w:rPr>
        <w:t>Finally, another indicator</w:t>
      </w:r>
      <w:r w:rsidRPr="00D468F4">
        <w:rPr>
          <w:noProof/>
          <w:spacing w:val="-8"/>
        </w:rPr>
        <w:t xml:space="preserve"> refers to</w:t>
      </w:r>
      <w:r w:rsidRPr="00D468F4" w:rsidDel="00AA2EEB">
        <w:rPr>
          <w:noProof/>
          <w:spacing w:val="-8"/>
        </w:rPr>
        <w:t xml:space="preserve"> </w:t>
      </w:r>
      <w:r w:rsidRPr="00D468F4">
        <w:rPr>
          <w:noProof/>
          <w:spacing w:val="-8"/>
        </w:rPr>
        <w:t xml:space="preserve">consumer satisfaction scores on travel information availability and bookability measured by periodically conducted Eurobarometer surveys. Assuming the start of implementation in 2028, Eurobarometer surveys would be conducted every 2 years to measure consumer satisfaction on travel information availability and bookability among European citizens. In order to be able to compare their results to the results of the Eurobarometer survey conducted in </w:t>
      </w:r>
      <w:r w:rsidR="003B73BE" w:rsidRPr="00D468F4">
        <w:rPr>
          <w:noProof/>
          <w:spacing w:val="-8"/>
        </w:rPr>
        <w:t>202</w:t>
      </w:r>
      <w:r w:rsidR="003B73BE">
        <w:rPr>
          <w:noProof/>
          <w:spacing w:val="-8"/>
        </w:rPr>
        <w:t>4</w:t>
      </w:r>
      <w:r w:rsidRPr="00D468F4">
        <w:rPr>
          <w:noProof/>
          <w:spacing w:val="-8"/>
        </w:rPr>
        <w:t>, the same set of questions would be used. Since Eurobarometer surveys are representative this indicator would provide a very robust basis to monitor the perception of consumers and therefore a good tool for monitoring progress towards achieving SO</w:t>
      </w:r>
      <w:r>
        <w:rPr>
          <w:noProof/>
          <w:spacing w:val="-8"/>
        </w:rPr>
        <w:t>1.</w:t>
      </w:r>
    </w:p>
    <w:p w14:paraId="730EA6CB" w14:textId="16396D24" w:rsidR="00D468F4" w:rsidRPr="00FF6B57" w:rsidRDefault="00C23E12" w:rsidP="00B13BF6">
      <w:pPr>
        <w:spacing w:after="240"/>
        <w:jc w:val="both"/>
        <w:rPr>
          <w:noProof/>
          <w:spacing w:val="-8"/>
        </w:rPr>
      </w:pPr>
      <w:r w:rsidRPr="00D468F4">
        <w:rPr>
          <w:noProof/>
          <w:spacing w:val="-8"/>
        </w:rPr>
        <w:t>As a complementary indicator the number of sanctions imposed as a result of enforcement activities could provide an indication on how prevention of unfair practices and fair display is respected.</w:t>
      </w:r>
      <w:r w:rsidR="005D4C24">
        <w:rPr>
          <w:noProof/>
          <w:spacing w:val="-8"/>
        </w:rPr>
        <w:t xml:space="preserve"> </w:t>
      </w:r>
      <w:r w:rsidR="00836D5E">
        <w:rPr>
          <w:noProof/>
          <w:spacing w:val="-8"/>
        </w:rPr>
        <w:t xml:space="preserve">In the context of </w:t>
      </w:r>
      <w:r w:rsidR="00630124">
        <w:rPr>
          <w:noProof/>
          <w:spacing w:val="-8"/>
        </w:rPr>
        <w:t>t</w:t>
      </w:r>
      <w:r w:rsidR="008C6502" w:rsidRPr="008C6502">
        <w:rPr>
          <w:noProof/>
          <w:spacing w:val="-8"/>
        </w:rPr>
        <w:t>he EU enforcement network to support coordination</w:t>
      </w:r>
      <w:r w:rsidR="008C6502">
        <w:rPr>
          <w:noProof/>
          <w:spacing w:val="-8"/>
        </w:rPr>
        <w:t xml:space="preserve">; enforcement </w:t>
      </w:r>
      <w:r w:rsidR="00BE49FC">
        <w:rPr>
          <w:noProof/>
          <w:spacing w:val="-8"/>
        </w:rPr>
        <w:t xml:space="preserve">authorities will share information on sanctions allowing for </w:t>
      </w:r>
      <w:r w:rsidR="00130864">
        <w:rPr>
          <w:noProof/>
          <w:spacing w:val="-8"/>
        </w:rPr>
        <w:t xml:space="preserve">a good basis to monitor progress towards achieving SO1. </w:t>
      </w:r>
    </w:p>
    <w:p w14:paraId="6303D6E6" w14:textId="2C4884F4" w:rsidR="08B84DD8" w:rsidRPr="0052153F" w:rsidRDefault="00426649" w:rsidP="00FB2052">
      <w:pPr>
        <w:spacing w:after="240"/>
        <w:jc w:val="both"/>
        <w:rPr>
          <w:noProof/>
        </w:rPr>
      </w:pPr>
      <w:r w:rsidRPr="00426649">
        <w:rPr>
          <w:noProof/>
          <w:spacing w:val="-8"/>
        </w:rPr>
        <w:t xml:space="preserve">The monitoring of </w:t>
      </w:r>
      <w:r w:rsidR="00121ACA">
        <w:rPr>
          <w:noProof/>
          <w:spacing w:val="-8"/>
        </w:rPr>
        <w:t>S</w:t>
      </w:r>
      <w:r w:rsidRPr="00426649">
        <w:rPr>
          <w:noProof/>
          <w:spacing w:val="-8"/>
        </w:rPr>
        <w:t xml:space="preserve">pecific </w:t>
      </w:r>
      <w:r w:rsidR="00121ACA">
        <w:rPr>
          <w:noProof/>
          <w:spacing w:val="-8"/>
        </w:rPr>
        <w:t>O</w:t>
      </w:r>
      <w:r w:rsidRPr="00426649">
        <w:rPr>
          <w:noProof/>
          <w:spacing w:val="-8"/>
        </w:rPr>
        <w:t>bjective 2 (</w:t>
      </w:r>
      <w:r w:rsidR="00121ACA" w:rsidRPr="00760705">
        <w:rPr>
          <w:i/>
          <w:noProof/>
          <w:spacing w:val="-8"/>
        </w:rPr>
        <w:t>Improve completeness</w:t>
      </w:r>
      <w:r w:rsidRPr="00426649">
        <w:rPr>
          <w:noProof/>
          <w:spacing w:val="-8"/>
        </w:rPr>
        <w:t xml:space="preserve">) will be done on the basis of </w:t>
      </w:r>
      <w:r w:rsidR="005C34E6">
        <w:rPr>
          <w:noProof/>
          <w:spacing w:val="-8"/>
        </w:rPr>
        <w:t>several</w:t>
      </w:r>
      <w:r w:rsidR="005C34E6" w:rsidRPr="00FF6B57">
        <w:rPr>
          <w:noProof/>
          <w:spacing w:val="-8"/>
        </w:rPr>
        <w:t xml:space="preserve"> indicators</w:t>
      </w:r>
      <w:r w:rsidR="00760705">
        <w:rPr>
          <w:noProof/>
          <w:spacing w:val="-8"/>
        </w:rPr>
        <w:t>.</w:t>
      </w:r>
      <w:r w:rsidR="003A2F40" w:rsidRPr="00FF6B57">
        <w:rPr>
          <w:noProof/>
        </w:rPr>
        <w:t xml:space="preserve"> </w:t>
      </w:r>
      <w:r w:rsidR="006645CE" w:rsidRPr="00FF6B57">
        <w:rPr>
          <w:noProof/>
        </w:rPr>
        <w:t>The</w:t>
      </w:r>
      <w:r w:rsidR="005C34E6" w:rsidRPr="00FF6B57">
        <w:rPr>
          <w:noProof/>
        </w:rPr>
        <w:t xml:space="preserve"> first indicato</w:t>
      </w:r>
      <w:r w:rsidR="00DA3BCA">
        <w:rPr>
          <w:noProof/>
        </w:rPr>
        <w:t>r</w:t>
      </w:r>
      <w:r w:rsidR="0001079E">
        <w:rPr>
          <w:noProof/>
        </w:rPr>
        <w:t xml:space="preserve"> w</w:t>
      </w:r>
      <w:r w:rsidR="00D468F4">
        <w:rPr>
          <w:noProof/>
        </w:rPr>
        <w:t>hich</w:t>
      </w:r>
      <w:r w:rsidR="00B77B5E">
        <w:rPr>
          <w:noProof/>
        </w:rPr>
        <w:t xml:space="preserve"> </w:t>
      </w:r>
      <w:r w:rsidR="00B77B5E" w:rsidRPr="00D468F4">
        <w:rPr>
          <w:noProof/>
        </w:rPr>
        <w:t xml:space="preserve">contributes to assessing the effectiveness of the policy options in achieving SO2, is the number of </w:t>
      </w:r>
      <w:r w:rsidR="003824DC" w:rsidRPr="00D468F4">
        <w:rPr>
          <w:noProof/>
        </w:rPr>
        <w:t xml:space="preserve">indispensable </w:t>
      </w:r>
      <w:r w:rsidR="00B77B5E" w:rsidRPr="00D468F4">
        <w:rPr>
          <w:noProof/>
        </w:rPr>
        <w:t>RUs present on third-party platforms, measured by the number of agreements in place. An increase in the number of agreements between</w:t>
      </w:r>
      <w:r w:rsidR="00B77B5E">
        <w:rPr>
          <w:noProof/>
        </w:rPr>
        <w:t xml:space="preserve"> </w:t>
      </w:r>
      <w:r w:rsidR="005B5897">
        <w:rPr>
          <w:noProof/>
        </w:rPr>
        <w:t>indispensable</w:t>
      </w:r>
      <w:r w:rsidR="00B77B5E" w:rsidRPr="00D468F4">
        <w:rPr>
          <w:noProof/>
        </w:rPr>
        <w:t xml:space="preserve"> RUs and third-party platforms would signal improved access to </w:t>
      </w:r>
      <w:r w:rsidR="006C36BA">
        <w:rPr>
          <w:noProof/>
        </w:rPr>
        <w:t>rai</w:t>
      </w:r>
      <w:r w:rsidR="00655BA0">
        <w:rPr>
          <w:noProof/>
        </w:rPr>
        <w:t>l offers</w:t>
      </w:r>
      <w:r w:rsidR="008D43BF">
        <w:rPr>
          <w:noProof/>
        </w:rPr>
        <w:t xml:space="preserve"> as it would show that </w:t>
      </w:r>
      <w:r w:rsidR="00CB1C5D">
        <w:rPr>
          <w:noProof/>
        </w:rPr>
        <w:t xml:space="preserve">indispensable RUs are no longer </w:t>
      </w:r>
      <w:r w:rsidR="00D022F6">
        <w:rPr>
          <w:noProof/>
        </w:rPr>
        <w:t>relying mostly on their vertically</w:t>
      </w:r>
      <w:r w:rsidR="00FB2052">
        <w:rPr>
          <w:noProof/>
        </w:rPr>
        <w:t xml:space="preserve"> </w:t>
      </w:r>
      <w:r w:rsidR="00D022F6">
        <w:rPr>
          <w:noProof/>
        </w:rPr>
        <w:t>integrated</w:t>
      </w:r>
      <w:r w:rsidR="00D022F6">
        <w:rPr>
          <w:noProof/>
          <w:spacing w:val="-8"/>
        </w:rPr>
        <w:t xml:space="preserve"> platforms for the distribution of their tickets. </w:t>
      </w:r>
      <w:r w:rsidR="00012C21" w:rsidRPr="00D468F4">
        <w:rPr>
          <w:noProof/>
          <w:spacing w:val="-8"/>
        </w:rPr>
        <w:t>Another relevant indicator is the number of cross-border rail services for which tickets are available on third-party platforms. An increase in the number of cross-border services distributed through third-party platforms would signal a more integrated and competitive market, capturing the evolution of platform coverage in the fastest-moving segment of rail transport.</w:t>
      </w:r>
      <w:r w:rsidR="00FC3681" w:rsidRPr="00D468F4">
        <w:rPr>
          <w:noProof/>
          <w:spacing w:val="-8"/>
        </w:rPr>
        <w:t xml:space="preserve"> </w:t>
      </w:r>
    </w:p>
    <w:p w14:paraId="7EA89AF1" w14:textId="1691C7C8" w:rsidR="00180586" w:rsidRDefault="00426649" w:rsidP="00B13BF6">
      <w:pPr>
        <w:spacing w:after="240"/>
        <w:jc w:val="both"/>
        <w:rPr>
          <w:noProof/>
          <w:spacing w:val="-8"/>
        </w:rPr>
      </w:pPr>
      <w:r w:rsidRPr="00426649">
        <w:rPr>
          <w:noProof/>
          <w:spacing w:val="-8"/>
        </w:rPr>
        <w:t>The list of indicators and data sources is presented in Annex</w:t>
      </w:r>
      <w:r w:rsidR="00EB3574">
        <w:rPr>
          <w:noProof/>
          <w:spacing w:val="-8"/>
        </w:rPr>
        <w:t xml:space="preserve"> </w:t>
      </w:r>
      <w:r w:rsidR="00FA6F8B" w:rsidRPr="000A30CE">
        <w:rPr>
          <w:noProof/>
          <w:spacing w:val="-8"/>
        </w:rPr>
        <w:t>12</w:t>
      </w:r>
      <w:r w:rsidR="00F42065">
        <w:rPr>
          <w:noProof/>
          <w:spacing w:val="-8"/>
        </w:rPr>
        <w:t>.</w:t>
      </w:r>
    </w:p>
    <w:p w14:paraId="0EB18B3B" w14:textId="77777777" w:rsidR="00180586" w:rsidRDefault="00180586" w:rsidP="001A0198">
      <w:pPr>
        <w:jc w:val="both"/>
        <w:rPr>
          <w:noProof/>
          <w:spacing w:val="-8"/>
        </w:rPr>
      </w:pPr>
    </w:p>
    <w:p w14:paraId="440A549F" w14:textId="77777777" w:rsidR="00180586" w:rsidRDefault="00180586" w:rsidP="001A0198">
      <w:pPr>
        <w:jc w:val="both"/>
        <w:rPr>
          <w:noProof/>
          <w:spacing w:val="-8"/>
        </w:rPr>
      </w:pPr>
    </w:p>
    <w:p w14:paraId="147D7FC2" w14:textId="1031C126" w:rsidR="000747B4" w:rsidRPr="00E41FBF" w:rsidRDefault="000747B4" w:rsidP="001A0198">
      <w:pPr>
        <w:jc w:val="both"/>
        <w:rPr>
          <w:noProof/>
          <w:spacing w:val="-8"/>
        </w:rPr>
        <w:sectPr w:rsidR="000747B4" w:rsidRPr="00E41FBF" w:rsidSect="00C67749">
          <w:headerReference w:type="default" r:id="rId30"/>
          <w:footerReference w:type="default" r:id="rId31"/>
          <w:type w:val="nextColumn"/>
          <w:pgSz w:w="11910" w:h="16840"/>
          <w:pgMar w:top="1021" w:right="709" w:bottom="1021" w:left="1588" w:header="0" w:footer="1145" w:gutter="0"/>
          <w:pgNumType w:start="1"/>
          <w:cols w:space="720"/>
        </w:sectPr>
      </w:pPr>
    </w:p>
    <w:p w14:paraId="2D9B0487" w14:textId="77777777" w:rsidR="00712390" w:rsidRPr="00D71008" w:rsidRDefault="003C4819" w:rsidP="00283528">
      <w:pPr>
        <w:pStyle w:val="Heading1"/>
        <w:ind w:left="2160"/>
        <w:rPr>
          <w:noProof/>
        </w:rPr>
      </w:pPr>
      <w:bookmarkStart w:id="233" w:name="Annex_1:_Procedural_information"/>
      <w:bookmarkStart w:id="234" w:name="_Toc223979997"/>
      <w:bookmarkEnd w:id="233"/>
      <w:r w:rsidRPr="00D71008">
        <w:rPr>
          <w:smallCaps/>
          <w:noProof/>
        </w:rPr>
        <w:t>Annex</w:t>
      </w:r>
      <w:r w:rsidRPr="00D71008">
        <w:rPr>
          <w:smallCaps/>
          <w:noProof/>
          <w:spacing w:val="-14"/>
        </w:rPr>
        <w:t xml:space="preserve"> </w:t>
      </w:r>
      <w:r w:rsidRPr="00D71008">
        <w:rPr>
          <w:smallCaps/>
          <w:noProof/>
        </w:rPr>
        <w:t>1:</w:t>
      </w:r>
      <w:r w:rsidRPr="00D71008">
        <w:rPr>
          <w:smallCaps/>
          <w:noProof/>
          <w:spacing w:val="-15"/>
        </w:rPr>
        <w:t xml:space="preserve"> </w:t>
      </w:r>
      <w:r w:rsidRPr="00D71008">
        <w:rPr>
          <w:smallCaps/>
          <w:noProof/>
        </w:rPr>
        <w:t>Procedural</w:t>
      </w:r>
      <w:r w:rsidRPr="00D71008">
        <w:rPr>
          <w:smallCaps/>
          <w:noProof/>
          <w:spacing w:val="-7"/>
        </w:rPr>
        <w:t xml:space="preserve"> </w:t>
      </w:r>
      <w:r w:rsidRPr="00D71008">
        <w:rPr>
          <w:smallCaps/>
          <w:noProof/>
          <w:spacing w:val="-2"/>
        </w:rPr>
        <w:t>information</w:t>
      </w:r>
      <w:bookmarkEnd w:id="234"/>
    </w:p>
    <w:p w14:paraId="2F097AB9" w14:textId="162FC58D" w:rsidR="00712390" w:rsidRPr="00D71008" w:rsidRDefault="003C4819" w:rsidP="007B2D8E">
      <w:pPr>
        <w:pStyle w:val="Heading2"/>
        <w:numPr>
          <w:ilvl w:val="0"/>
          <w:numId w:val="12"/>
        </w:numPr>
        <w:tabs>
          <w:tab w:val="left" w:pos="1134"/>
        </w:tabs>
        <w:spacing w:before="244"/>
        <w:ind w:left="426" w:hanging="426"/>
        <w:rPr>
          <w:noProof/>
        </w:rPr>
      </w:pPr>
      <w:bookmarkStart w:id="235" w:name="1_Lead_DG,_Decide_Planning/CWP_reference"/>
      <w:bookmarkStart w:id="236" w:name="_Toc220667514"/>
      <w:bookmarkStart w:id="237" w:name="_Toc222313504"/>
      <w:bookmarkStart w:id="238" w:name="_Toc222749025"/>
      <w:bookmarkStart w:id="239" w:name="_Toc223979998"/>
      <w:bookmarkEnd w:id="235"/>
      <w:r w:rsidRPr="00D71008">
        <w:rPr>
          <w:smallCaps/>
          <w:noProof/>
        </w:rPr>
        <w:t>Lead</w:t>
      </w:r>
      <w:r w:rsidRPr="00D71008">
        <w:rPr>
          <w:smallCaps/>
          <w:noProof/>
          <w:spacing w:val="-14"/>
        </w:rPr>
        <w:t xml:space="preserve"> </w:t>
      </w:r>
      <w:r w:rsidRPr="00D71008">
        <w:rPr>
          <w:smallCaps/>
          <w:noProof/>
        </w:rPr>
        <w:t>DG,</w:t>
      </w:r>
      <w:r w:rsidRPr="00D71008">
        <w:rPr>
          <w:smallCaps/>
          <w:noProof/>
          <w:spacing w:val="-12"/>
        </w:rPr>
        <w:t xml:space="preserve"> </w:t>
      </w:r>
      <w:r w:rsidRPr="00D71008">
        <w:rPr>
          <w:smallCaps/>
          <w:noProof/>
        </w:rPr>
        <w:t>Decide</w:t>
      </w:r>
      <w:r w:rsidRPr="00D71008">
        <w:rPr>
          <w:smallCaps/>
          <w:noProof/>
          <w:spacing w:val="-7"/>
        </w:rPr>
        <w:t xml:space="preserve"> </w:t>
      </w:r>
      <w:r w:rsidRPr="00D71008">
        <w:rPr>
          <w:smallCaps/>
          <w:noProof/>
        </w:rPr>
        <w:t>Planning/CWP</w:t>
      </w:r>
      <w:r w:rsidRPr="00D71008">
        <w:rPr>
          <w:smallCaps/>
          <w:noProof/>
          <w:spacing w:val="-15"/>
        </w:rPr>
        <w:t xml:space="preserve"> </w:t>
      </w:r>
      <w:r w:rsidRPr="00D71008">
        <w:rPr>
          <w:smallCaps/>
          <w:noProof/>
          <w:spacing w:val="-2"/>
        </w:rPr>
        <w:t>references</w:t>
      </w:r>
      <w:bookmarkEnd w:id="236"/>
      <w:bookmarkEnd w:id="237"/>
      <w:bookmarkEnd w:id="238"/>
      <w:bookmarkEnd w:id="239"/>
    </w:p>
    <w:p w14:paraId="19B5D038" w14:textId="77777777" w:rsidR="00712390" w:rsidRPr="00D71008" w:rsidRDefault="00712390">
      <w:pPr>
        <w:pStyle w:val="BodyText"/>
        <w:spacing w:before="16"/>
        <w:ind w:left="0"/>
        <w:jc w:val="left"/>
        <w:rPr>
          <w:b/>
          <w:noProof/>
          <w:sz w:val="19"/>
        </w:rPr>
      </w:pPr>
    </w:p>
    <w:p w14:paraId="6F01B2FB" w14:textId="74A0772A" w:rsidR="00712390" w:rsidRPr="00DF70A6" w:rsidRDefault="2471901C" w:rsidP="00D402BC">
      <w:pPr>
        <w:pStyle w:val="BodyText"/>
        <w:spacing w:after="240"/>
        <w:ind w:left="0" w:right="113"/>
        <w:rPr>
          <w:noProof/>
          <w:spacing w:val="-8"/>
        </w:rPr>
      </w:pPr>
      <w:r w:rsidRPr="00DF70A6">
        <w:rPr>
          <w:noProof/>
          <w:spacing w:val="-8"/>
        </w:rPr>
        <w:t>The lead DG is Directorate General for Mobility and Transport (DG MOVE), Unit B4, Sustainable &amp; Intelligent Transport</w:t>
      </w:r>
      <w:r w:rsidR="11D91042" w:rsidRPr="00DF70A6">
        <w:rPr>
          <w:noProof/>
          <w:spacing w:val="-8"/>
        </w:rPr>
        <w:t>, Unit C3, Single European Rail Area</w:t>
      </w:r>
      <w:r w:rsidRPr="00DF70A6">
        <w:rPr>
          <w:noProof/>
          <w:spacing w:val="-8"/>
        </w:rPr>
        <w:t xml:space="preserve"> and Unit E1, Aviation Policy.</w:t>
      </w:r>
    </w:p>
    <w:p w14:paraId="26D1C475" w14:textId="6FA0C47D" w:rsidR="00F77F37" w:rsidRPr="00DF70A6" w:rsidRDefault="2471901C" w:rsidP="00D402BC">
      <w:pPr>
        <w:pStyle w:val="BodyText"/>
        <w:spacing w:after="240"/>
        <w:ind w:left="0" w:right="113"/>
        <w:rPr>
          <w:noProof/>
          <w:spacing w:val="-8"/>
        </w:rPr>
      </w:pPr>
      <w:r w:rsidRPr="00DF70A6">
        <w:rPr>
          <w:noProof/>
          <w:spacing w:val="-8"/>
        </w:rPr>
        <w:t xml:space="preserve">DECIDE reference </w:t>
      </w:r>
      <w:r w:rsidR="0C1BBD6C" w:rsidRPr="00DF70A6">
        <w:rPr>
          <w:noProof/>
          <w:spacing w:val="-8"/>
        </w:rPr>
        <w:t>number is</w:t>
      </w:r>
      <w:r w:rsidRPr="00DF70A6">
        <w:rPr>
          <w:noProof/>
          <w:spacing w:val="-8"/>
        </w:rPr>
        <w:t>:</w:t>
      </w:r>
      <w:r w:rsidR="00482540">
        <w:rPr>
          <w:noProof/>
          <w:spacing w:val="-8"/>
        </w:rPr>
        <w:t xml:space="preserve"> </w:t>
      </w:r>
      <w:r w:rsidR="0C1BBD6C" w:rsidRPr="00DF70A6">
        <w:rPr>
          <w:noProof/>
          <w:spacing w:val="-8"/>
        </w:rPr>
        <w:t>PLAN</w:t>
      </w:r>
      <w:r w:rsidR="4712A493" w:rsidRPr="00DF70A6">
        <w:rPr>
          <w:noProof/>
          <w:spacing w:val="-8"/>
        </w:rPr>
        <w:t xml:space="preserve"> (2025)/708</w:t>
      </w:r>
    </w:p>
    <w:p w14:paraId="48579304" w14:textId="48486A86" w:rsidR="00712390" w:rsidRPr="00DF70A6" w:rsidRDefault="7FDB42B2" w:rsidP="00D402BC">
      <w:pPr>
        <w:pStyle w:val="BodyText"/>
        <w:tabs>
          <w:tab w:val="left" w:pos="709"/>
        </w:tabs>
        <w:spacing w:after="240"/>
        <w:ind w:left="0" w:right="113"/>
        <w:rPr>
          <w:noProof/>
          <w:spacing w:val="-8"/>
        </w:rPr>
      </w:pPr>
      <w:r w:rsidRPr="00DF70A6">
        <w:rPr>
          <w:noProof/>
          <w:spacing w:val="-8"/>
        </w:rPr>
        <w:t>The development of this initiative was announced under item 12 in Annex I to the Commission Work Programme 2022</w:t>
      </w:r>
      <w:r w:rsidR="0005472E" w:rsidRPr="00DF70A6">
        <w:rPr>
          <w:rStyle w:val="FootnoteReference"/>
          <w:noProof/>
          <w:spacing w:val="-8"/>
        </w:rPr>
        <w:footnoteReference w:id="218"/>
      </w:r>
      <w:r w:rsidRPr="00DF70A6">
        <w:rPr>
          <w:noProof/>
          <w:spacing w:val="-8"/>
        </w:rPr>
        <w:t xml:space="preserve"> and under actions 37 and 65 of the Sustainable and Smart Mobility Strateg</w:t>
      </w:r>
      <w:r w:rsidR="008CD587" w:rsidRPr="00DF70A6">
        <w:rPr>
          <w:noProof/>
          <w:spacing w:val="-8"/>
        </w:rPr>
        <w:t>y</w:t>
      </w:r>
      <w:r w:rsidR="0005472E" w:rsidRPr="00DF70A6">
        <w:rPr>
          <w:rStyle w:val="FootnoteReference"/>
          <w:noProof/>
          <w:spacing w:val="-8"/>
        </w:rPr>
        <w:footnoteReference w:id="219"/>
      </w:r>
      <w:r w:rsidR="00C41FDA" w:rsidRPr="00DF70A6">
        <w:rPr>
          <w:noProof/>
          <w:spacing w:val="-8"/>
        </w:rPr>
        <w:t>, as well as in the Political Guidelines for 2024-2029</w:t>
      </w:r>
      <w:r w:rsidRPr="00DF70A6">
        <w:rPr>
          <w:noProof/>
          <w:spacing w:val="-8"/>
        </w:rPr>
        <w:t>.</w:t>
      </w:r>
    </w:p>
    <w:p w14:paraId="62AFCBAE" w14:textId="2334CE96" w:rsidR="00712390" w:rsidRPr="00DF70A6" w:rsidRDefault="552566AE" w:rsidP="00D402BC">
      <w:pPr>
        <w:pStyle w:val="BodyText"/>
        <w:spacing w:after="240"/>
        <w:ind w:left="0" w:right="113"/>
        <w:rPr>
          <w:noProof/>
          <w:spacing w:val="-8"/>
        </w:rPr>
      </w:pPr>
      <w:r w:rsidRPr="00DF70A6">
        <w:rPr>
          <w:noProof/>
          <w:spacing w:val="-8"/>
        </w:rPr>
        <w:t>The evaluation on the Regulation on a Code of Conduct was published on 23 January 202</w:t>
      </w:r>
      <w:r w:rsidR="4C70F278" w:rsidRPr="00DF70A6">
        <w:rPr>
          <w:noProof/>
          <w:spacing w:val="-8"/>
        </w:rPr>
        <w:t>0</w:t>
      </w:r>
      <w:r w:rsidR="0005472E" w:rsidRPr="00DF70A6">
        <w:rPr>
          <w:rStyle w:val="FootnoteReference"/>
          <w:noProof/>
          <w:spacing w:val="-8"/>
        </w:rPr>
        <w:footnoteReference w:id="220"/>
      </w:r>
      <w:r w:rsidRPr="00DF70A6">
        <w:rPr>
          <w:noProof/>
          <w:spacing w:val="-8"/>
        </w:rPr>
        <w:t>. The evaluation concludes that due to market and technological changes, there are questions as to whether the objectives of the CRS Code of Conduct are still relevant and whether the CRS Code of Conduct remains fit for purpose.</w:t>
      </w:r>
    </w:p>
    <w:p w14:paraId="0D25BA24" w14:textId="107A15AA" w:rsidR="00712390" w:rsidRPr="00DF70A6" w:rsidRDefault="552566AE" w:rsidP="00D402BC">
      <w:pPr>
        <w:pStyle w:val="BodyText"/>
        <w:spacing w:after="240"/>
        <w:ind w:left="0" w:right="113"/>
        <w:rPr>
          <w:noProof/>
          <w:spacing w:val="-8"/>
        </w:rPr>
      </w:pPr>
      <w:r w:rsidRPr="00DF70A6">
        <w:rPr>
          <w:noProof/>
          <w:spacing w:val="-8"/>
        </w:rPr>
        <w:t>The Inception Impact Assessment for the Revision of the Code of Conduct on Computerised Reservation Systems was published on 9 July 2020</w:t>
      </w:r>
      <w:r w:rsidR="00B522EC" w:rsidRPr="00DF70A6">
        <w:rPr>
          <w:rStyle w:val="FootnoteReference"/>
          <w:noProof/>
          <w:spacing w:val="-8"/>
        </w:rPr>
        <w:footnoteReference w:id="221"/>
      </w:r>
      <w:r w:rsidRPr="00DF70A6">
        <w:rPr>
          <w:noProof/>
          <w:spacing w:val="-8"/>
        </w:rPr>
        <w:t>.</w:t>
      </w:r>
    </w:p>
    <w:p w14:paraId="0EE559D5" w14:textId="29C7C7AE" w:rsidR="00C41FDA" w:rsidRPr="00DF70A6" w:rsidRDefault="552566AE" w:rsidP="00D402BC">
      <w:pPr>
        <w:pStyle w:val="BodyText"/>
        <w:spacing w:after="240"/>
        <w:ind w:left="0" w:right="113"/>
        <w:rPr>
          <w:noProof/>
          <w:spacing w:val="-8"/>
        </w:rPr>
      </w:pPr>
      <w:bookmarkStart w:id="240" w:name="2_Organisation_and_timing"/>
      <w:bookmarkEnd w:id="240"/>
      <w:r w:rsidRPr="00DF70A6">
        <w:rPr>
          <w:noProof/>
          <w:spacing w:val="-8"/>
        </w:rPr>
        <w:t>The Inception Impact Assessment for the initiative on Multimodal Digital Mobility Services was published on 5 October 2021</w:t>
      </w:r>
      <w:r w:rsidR="00A435A5" w:rsidRPr="00DF70A6">
        <w:rPr>
          <w:rStyle w:val="FootnoteReference"/>
          <w:noProof/>
          <w:spacing w:val="-8"/>
        </w:rPr>
        <w:footnoteReference w:id="222"/>
      </w:r>
      <w:r w:rsidRPr="00DF70A6">
        <w:rPr>
          <w:noProof/>
          <w:spacing w:val="-8"/>
        </w:rPr>
        <w:t>.</w:t>
      </w:r>
    </w:p>
    <w:p w14:paraId="12D6FF87" w14:textId="77777777" w:rsidR="00712390" w:rsidRPr="00143775" w:rsidRDefault="003C4819" w:rsidP="007B2D8E">
      <w:pPr>
        <w:pStyle w:val="Heading2"/>
        <w:numPr>
          <w:ilvl w:val="0"/>
          <w:numId w:val="12"/>
        </w:numPr>
        <w:tabs>
          <w:tab w:val="left" w:pos="1134"/>
        </w:tabs>
        <w:spacing w:before="244"/>
        <w:ind w:left="426" w:hanging="426"/>
        <w:rPr>
          <w:smallCaps/>
          <w:noProof/>
        </w:rPr>
      </w:pPr>
      <w:bookmarkStart w:id="241" w:name="_Toc220667515"/>
      <w:bookmarkStart w:id="242" w:name="_Toc222313505"/>
      <w:bookmarkStart w:id="243" w:name="_Toc222749026"/>
      <w:bookmarkStart w:id="244" w:name="_Toc223979999"/>
      <w:r w:rsidRPr="00D71008">
        <w:rPr>
          <w:smallCaps/>
          <w:noProof/>
        </w:rPr>
        <w:t>Organisation</w:t>
      </w:r>
      <w:r w:rsidRPr="00143775">
        <w:rPr>
          <w:smallCaps/>
          <w:noProof/>
        </w:rPr>
        <w:t xml:space="preserve"> </w:t>
      </w:r>
      <w:r w:rsidRPr="00D71008">
        <w:rPr>
          <w:smallCaps/>
          <w:noProof/>
        </w:rPr>
        <w:t>and</w:t>
      </w:r>
      <w:r w:rsidRPr="00143775">
        <w:rPr>
          <w:smallCaps/>
          <w:noProof/>
        </w:rPr>
        <w:t xml:space="preserve"> timing</w:t>
      </w:r>
      <w:bookmarkEnd w:id="241"/>
      <w:bookmarkEnd w:id="242"/>
      <w:bookmarkEnd w:id="243"/>
      <w:bookmarkEnd w:id="244"/>
    </w:p>
    <w:p w14:paraId="5D15A60C" w14:textId="77777777" w:rsidR="00712390" w:rsidRPr="00D71008" w:rsidRDefault="00712390">
      <w:pPr>
        <w:pStyle w:val="BodyText"/>
        <w:spacing w:before="17"/>
        <w:ind w:left="0"/>
        <w:jc w:val="left"/>
        <w:rPr>
          <w:b/>
          <w:noProof/>
          <w:sz w:val="19"/>
        </w:rPr>
      </w:pPr>
    </w:p>
    <w:p w14:paraId="728A7D11" w14:textId="3BB29BB4" w:rsidR="00712390" w:rsidRPr="00DF70A6" w:rsidRDefault="2471901C" w:rsidP="00D402BC">
      <w:pPr>
        <w:pStyle w:val="BodyText"/>
        <w:spacing w:after="240"/>
        <w:ind w:left="0" w:right="115"/>
        <w:rPr>
          <w:noProof/>
          <w:spacing w:val="-8"/>
        </w:rPr>
      </w:pPr>
      <w:r w:rsidRPr="00DF70A6">
        <w:rPr>
          <w:noProof/>
          <w:spacing w:val="-8"/>
        </w:rPr>
        <w:t>The Inter Service Group (ISG) for the impact assessment on the Revision of the Code of Conduct on Computerised Reservation Systems was set up in on 17 July 2017 as a continuation of the ISG set up for the 2020’s evaluation and included the following DGs and Services: SG, SJ, CNECT, COMP, ENER, GROW, JUST, TRADE, JRC, ENV and MOVE.</w:t>
      </w:r>
      <w:r w:rsidR="00334903" w:rsidRPr="00DF70A6">
        <w:rPr>
          <w:noProof/>
          <w:spacing w:val="-8"/>
        </w:rPr>
        <w:t xml:space="preserve"> </w:t>
      </w:r>
      <w:r w:rsidR="003C4819" w:rsidRPr="00DF70A6">
        <w:rPr>
          <w:noProof/>
          <w:spacing w:val="-8"/>
        </w:rPr>
        <w:t>In total, 4 meetings of the ISG were organised to discuss the impact assessment. These meetings took place on 8 September 2020, 23 February 2021, 17 May 2021 and 20 June 2022 (all virtual meetings). Further consultations with the ISG were carried out by e-mail. Members of the ISG were also invited to regular discussions with the contractor in the context of the CRS impact assessment support study</w:t>
      </w:r>
      <w:r w:rsidR="00A435A5" w:rsidRPr="00DF70A6">
        <w:rPr>
          <w:noProof/>
          <w:spacing w:val="-8"/>
        </w:rPr>
        <w:t>.</w:t>
      </w:r>
    </w:p>
    <w:p w14:paraId="618E3B82" w14:textId="146E2FB1" w:rsidR="00712390" w:rsidRPr="00DF70A6" w:rsidRDefault="2471901C" w:rsidP="00D402BC">
      <w:pPr>
        <w:pStyle w:val="BodyText"/>
        <w:spacing w:after="240"/>
        <w:ind w:left="0" w:right="115"/>
        <w:rPr>
          <w:noProof/>
          <w:spacing w:val="-8"/>
        </w:rPr>
      </w:pPr>
      <w:r w:rsidRPr="00DF70A6">
        <w:rPr>
          <w:noProof/>
          <w:spacing w:val="-8"/>
        </w:rPr>
        <w:t>The Inter Service Group (ISG) for the impact assessment on the MDMS initiative was set up in July 2021 and included the following DGs and Services: SG, SJ, AGRI, CLIMA, CNECT, COMP, ENER, GROW, JRC, JUST, REGIO, RTD, TRADE.</w:t>
      </w:r>
    </w:p>
    <w:p w14:paraId="63064211" w14:textId="1A58E55A" w:rsidR="00712390" w:rsidRPr="00DF70A6" w:rsidRDefault="2471901C" w:rsidP="00D402BC">
      <w:pPr>
        <w:pStyle w:val="BodyText"/>
        <w:spacing w:after="240"/>
        <w:ind w:left="0" w:right="115"/>
        <w:rPr>
          <w:noProof/>
          <w:spacing w:val="-8"/>
        </w:rPr>
      </w:pPr>
      <w:r w:rsidRPr="00DF70A6">
        <w:rPr>
          <w:noProof/>
          <w:spacing w:val="-8"/>
        </w:rPr>
        <w:t>In total, 6 meetings of the ISG were organised to discuss the impact assessment</w:t>
      </w:r>
      <w:r w:rsidR="7C330C9B" w:rsidRPr="00DF70A6">
        <w:rPr>
          <w:noProof/>
          <w:spacing w:val="-8"/>
        </w:rPr>
        <w:t xml:space="preserve"> before the first submission to the Regulatory Scrutiny Board</w:t>
      </w:r>
      <w:r w:rsidRPr="00DF70A6">
        <w:rPr>
          <w:noProof/>
          <w:spacing w:val="-8"/>
        </w:rPr>
        <w:t>. These meetings took place on 29 September 2021, 19 October 2021, 14 February 2022, 16 June 2022, 13 March</w:t>
      </w:r>
      <w:r w:rsidR="6B8AD9E4" w:rsidRPr="00DF70A6">
        <w:rPr>
          <w:noProof/>
          <w:spacing w:val="-8"/>
        </w:rPr>
        <w:t xml:space="preserve"> </w:t>
      </w:r>
      <w:r w:rsidR="003C4819" w:rsidRPr="00DF70A6">
        <w:rPr>
          <w:noProof/>
          <w:spacing w:val="-8"/>
        </w:rPr>
        <w:t>2023</w:t>
      </w:r>
      <w:r w:rsidR="362A852C" w:rsidRPr="00DF70A6">
        <w:rPr>
          <w:noProof/>
          <w:spacing w:val="-8"/>
        </w:rPr>
        <w:t>,</w:t>
      </w:r>
      <w:r w:rsidR="003C4819" w:rsidRPr="00DF70A6">
        <w:rPr>
          <w:noProof/>
          <w:spacing w:val="-8"/>
        </w:rPr>
        <w:t xml:space="preserve"> and 13 July 2023 (all virtual meetings).</w:t>
      </w:r>
      <w:r w:rsidR="00AF23D9" w:rsidRPr="00DF70A6">
        <w:rPr>
          <w:noProof/>
          <w:spacing w:val="-8"/>
        </w:rPr>
        <w:t xml:space="preserve"> </w:t>
      </w:r>
    </w:p>
    <w:p w14:paraId="022181E3" w14:textId="45AAE2A1" w:rsidR="00712390" w:rsidRPr="00DF70A6" w:rsidRDefault="2471901C" w:rsidP="006633C5">
      <w:pPr>
        <w:pStyle w:val="BodyText"/>
        <w:spacing w:after="240"/>
        <w:ind w:left="0" w:right="115"/>
        <w:rPr>
          <w:noProof/>
          <w:spacing w:val="-8"/>
        </w:rPr>
      </w:pPr>
      <w:r w:rsidRPr="00DF70A6">
        <w:rPr>
          <w:noProof/>
          <w:spacing w:val="-8"/>
        </w:rPr>
        <w:t>In both instances, the ISG approved the Impact Assessment roadmap, the Terms of Reference for the External Support Study and the questionnaire for the OPC and discussed the main milestones in the process, in particular the different deliverables of the support study.</w:t>
      </w:r>
    </w:p>
    <w:p w14:paraId="3AB72CAF" w14:textId="449BEECF" w:rsidR="008C3ED8" w:rsidRPr="00DF70A6" w:rsidRDefault="644A95C4" w:rsidP="00D402BC">
      <w:pPr>
        <w:pStyle w:val="BodyText"/>
        <w:spacing w:after="240"/>
        <w:ind w:left="0" w:right="425"/>
        <w:rPr>
          <w:noProof/>
          <w:spacing w:val="-8"/>
        </w:rPr>
      </w:pPr>
      <w:r w:rsidRPr="00DF70A6">
        <w:rPr>
          <w:noProof/>
          <w:spacing w:val="-8"/>
        </w:rPr>
        <w:t xml:space="preserve">Following the negative opinion of the </w:t>
      </w:r>
      <w:r w:rsidR="0FE1E133" w:rsidRPr="00DF70A6">
        <w:rPr>
          <w:noProof/>
          <w:spacing w:val="-8"/>
        </w:rPr>
        <w:t xml:space="preserve">Board on the </w:t>
      </w:r>
      <w:r w:rsidR="438FAD3C" w:rsidRPr="00DF70A6">
        <w:rPr>
          <w:noProof/>
          <w:spacing w:val="-8"/>
        </w:rPr>
        <w:t>IA on the MDMS initiative</w:t>
      </w:r>
      <w:r w:rsidR="0FE1E133" w:rsidRPr="00DF70A6">
        <w:rPr>
          <w:noProof/>
          <w:spacing w:val="-8"/>
        </w:rPr>
        <w:t xml:space="preserve">, </w:t>
      </w:r>
      <w:r w:rsidR="00097942" w:rsidRPr="00DF70A6">
        <w:rPr>
          <w:noProof/>
          <w:spacing w:val="-8"/>
        </w:rPr>
        <w:t>two</w:t>
      </w:r>
      <w:r w:rsidR="00EA50AE" w:rsidRPr="00DF70A6">
        <w:rPr>
          <w:noProof/>
          <w:spacing w:val="-8"/>
        </w:rPr>
        <w:t xml:space="preserve"> </w:t>
      </w:r>
      <w:r w:rsidR="0FE1E133" w:rsidRPr="00DF70A6">
        <w:rPr>
          <w:noProof/>
          <w:spacing w:val="-8"/>
        </w:rPr>
        <w:t xml:space="preserve">additional ISG meetings were organised to discuss the revised impact assessment. These meetings took place on </w:t>
      </w:r>
      <w:r w:rsidR="4C26DCB7" w:rsidRPr="00DF70A6">
        <w:rPr>
          <w:noProof/>
          <w:spacing w:val="-8"/>
        </w:rPr>
        <w:t>30 August 2024</w:t>
      </w:r>
      <w:r w:rsidR="3CDB3D39" w:rsidRPr="00DF70A6">
        <w:rPr>
          <w:noProof/>
          <w:spacing w:val="-8"/>
        </w:rPr>
        <w:t xml:space="preserve"> and </w:t>
      </w:r>
      <w:r w:rsidR="00473EE4">
        <w:rPr>
          <w:noProof/>
          <w:spacing w:val="-8"/>
        </w:rPr>
        <w:t>5 March</w:t>
      </w:r>
      <w:r w:rsidR="00DB227D" w:rsidRPr="00DF70A6">
        <w:rPr>
          <w:noProof/>
          <w:spacing w:val="-8"/>
        </w:rPr>
        <w:t xml:space="preserve"> 2026.</w:t>
      </w:r>
      <w:bookmarkStart w:id="245" w:name="3_Consultation_of_the_RSB"/>
      <w:bookmarkStart w:id="246" w:name="_Toc220667516"/>
      <w:bookmarkEnd w:id="245"/>
    </w:p>
    <w:p w14:paraId="5A8090AB" w14:textId="14B339A5" w:rsidR="00712390" w:rsidRPr="00D71008" w:rsidRDefault="003C4819" w:rsidP="007B2D8E">
      <w:pPr>
        <w:pStyle w:val="Heading2"/>
        <w:numPr>
          <w:ilvl w:val="0"/>
          <w:numId w:val="12"/>
        </w:numPr>
        <w:tabs>
          <w:tab w:val="left" w:pos="1134"/>
        </w:tabs>
        <w:spacing w:before="244"/>
        <w:ind w:left="426" w:hanging="426"/>
        <w:rPr>
          <w:smallCaps/>
          <w:noProof/>
        </w:rPr>
      </w:pPr>
      <w:bookmarkStart w:id="247" w:name="_Toc222313506"/>
      <w:bookmarkStart w:id="248" w:name="_Toc222749027"/>
      <w:bookmarkStart w:id="249" w:name="_Toc223980000"/>
      <w:r w:rsidRPr="00D71008">
        <w:rPr>
          <w:smallCaps/>
          <w:noProof/>
        </w:rPr>
        <w:t>Consultation of the RSB</w:t>
      </w:r>
      <w:bookmarkEnd w:id="246"/>
      <w:bookmarkEnd w:id="247"/>
      <w:bookmarkEnd w:id="248"/>
      <w:bookmarkEnd w:id="249"/>
    </w:p>
    <w:p w14:paraId="7DB803E2" w14:textId="77777777" w:rsidR="00283528" w:rsidRPr="00143775" w:rsidRDefault="00283528" w:rsidP="00283528">
      <w:pPr>
        <w:pStyle w:val="BodyText"/>
        <w:spacing w:before="17"/>
        <w:ind w:left="0" w:right="424"/>
        <w:jc w:val="left"/>
        <w:rPr>
          <w:b/>
          <w:noProof/>
        </w:rPr>
      </w:pPr>
    </w:p>
    <w:p w14:paraId="1483B59E" w14:textId="4964D1FB" w:rsidR="00AD7E00" w:rsidRPr="00DF70A6" w:rsidRDefault="76BC541E" w:rsidP="00530AA7">
      <w:pPr>
        <w:pStyle w:val="BodyText"/>
        <w:spacing w:after="240"/>
        <w:ind w:left="0" w:right="113"/>
        <w:rPr>
          <w:noProof/>
          <w:spacing w:val="-8"/>
        </w:rPr>
      </w:pPr>
      <w:r w:rsidRPr="00DF70A6">
        <w:rPr>
          <w:noProof/>
          <w:spacing w:val="-8"/>
        </w:rPr>
        <w:t>The Regulatory Scrutiny Board received the draft version of the impact assessment report on 19 July 2023</w:t>
      </w:r>
      <w:r w:rsidR="4B512E60" w:rsidRPr="00DF70A6">
        <w:rPr>
          <w:noProof/>
          <w:spacing w:val="-8"/>
        </w:rPr>
        <w:t>.</w:t>
      </w:r>
      <w:r w:rsidRPr="00DF70A6">
        <w:rPr>
          <w:noProof/>
          <w:spacing w:val="-8"/>
        </w:rPr>
        <w:t xml:space="preserve"> The Board meeting took place on </w:t>
      </w:r>
      <w:r w:rsidR="5632D40D" w:rsidRPr="00DF70A6">
        <w:rPr>
          <w:noProof/>
          <w:spacing w:val="-8"/>
        </w:rPr>
        <w:t>13 September 2023</w:t>
      </w:r>
      <w:r w:rsidRPr="00DF70A6">
        <w:rPr>
          <w:noProof/>
          <w:spacing w:val="-8"/>
        </w:rPr>
        <w:t>, following which</w:t>
      </w:r>
      <w:r w:rsidR="00283528" w:rsidRPr="00DF70A6">
        <w:rPr>
          <w:noProof/>
          <w:spacing w:val="-8"/>
        </w:rPr>
        <w:t>,</w:t>
      </w:r>
      <w:r w:rsidRPr="00DF70A6">
        <w:rPr>
          <w:noProof/>
          <w:spacing w:val="-8"/>
        </w:rPr>
        <w:t xml:space="preserve"> it gave a negative opinion on the report. The Board made several recommendations which were addressed in the revised impact assessment report as </w:t>
      </w:r>
      <w:r w:rsidR="008967B5">
        <w:rPr>
          <w:noProof/>
          <w:spacing w:val="-8"/>
        </w:rPr>
        <w:t>explained in the table below. The revised draft impact</w:t>
      </w:r>
      <w:r w:rsidRPr="00DF70A6">
        <w:rPr>
          <w:noProof/>
          <w:spacing w:val="-8"/>
        </w:rPr>
        <w:t xml:space="preserve"> </w:t>
      </w:r>
      <w:r w:rsidR="008967B5">
        <w:rPr>
          <w:noProof/>
          <w:spacing w:val="-8"/>
        </w:rPr>
        <w:t xml:space="preserve">assessment report was resubmitted to the </w:t>
      </w:r>
      <w:r w:rsidR="0016797F" w:rsidRPr="00DF70A6">
        <w:rPr>
          <w:noProof/>
          <w:spacing w:val="-8"/>
        </w:rPr>
        <w:t>Regulatory Scrutiny Board</w:t>
      </w:r>
      <w:r w:rsidR="0016797F">
        <w:rPr>
          <w:noProof/>
          <w:spacing w:val="-8"/>
        </w:rPr>
        <w:t xml:space="preserve"> on</w:t>
      </w:r>
      <w:r w:rsidR="0016797F" w:rsidRPr="00207FBD">
        <w:rPr>
          <w:noProof/>
          <w:spacing w:val="-8"/>
        </w:rPr>
        <w:t xml:space="preserve"> </w:t>
      </w:r>
      <w:r w:rsidR="005D00BA" w:rsidRPr="007C2D1B">
        <w:rPr>
          <w:noProof/>
          <w:spacing w:val="-8"/>
        </w:rPr>
        <w:t>10 March 2026.</w:t>
      </w:r>
    </w:p>
    <w:p w14:paraId="1BDB252C" w14:textId="613DECB5" w:rsidR="0019794C" w:rsidRPr="00972D36" w:rsidRDefault="00972D36" w:rsidP="00AD7E00">
      <w:pPr>
        <w:pStyle w:val="BodyText"/>
        <w:spacing w:before="17"/>
        <w:ind w:left="0" w:right="115"/>
        <w:rPr>
          <w:noProof/>
          <w:sz w:val="22"/>
          <w:szCs w:val="22"/>
        </w:rPr>
      </w:pPr>
      <w:r w:rsidRPr="00972D36">
        <w:rPr>
          <w:i/>
          <w:noProof/>
          <w:sz w:val="22"/>
          <w:szCs w:val="22"/>
        </w:rPr>
        <w:t xml:space="preserve">Table </w:t>
      </w:r>
      <w:r w:rsidRPr="00972D36">
        <w:rPr>
          <w:i/>
          <w:noProof/>
          <w:sz w:val="22"/>
          <w:szCs w:val="22"/>
        </w:rPr>
        <w:fldChar w:fldCharType="begin"/>
      </w:r>
      <w:r w:rsidRPr="00972D36">
        <w:rPr>
          <w:i/>
          <w:noProof/>
          <w:sz w:val="22"/>
          <w:szCs w:val="22"/>
        </w:rPr>
        <w:instrText xml:space="preserve"> SEQ Table \* ARABIC </w:instrText>
      </w:r>
      <w:r w:rsidRPr="00972D36">
        <w:rPr>
          <w:i/>
          <w:noProof/>
          <w:sz w:val="22"/>
          <w:szCs w:val="22"/>
        </w:rPr>
        <w:fldChar w:fldCharType="separate"/>
      </w:r>
      <w:r w:rsidR="0055391F">
        <w:rPr>
          <w:i/>
          <w:noProof/>
          <w:sz w:val="22"/>
          <w:szCs w:val="22"/>
        </w:rPr>
        <w:t>31</w:t>
      </w:r>
      <w:r w:rsidRPr="00972D36">
        <w:rPr>
          <w:i/>
          <w:noProof/>
          <w:sz w:val="22"/>
          <w:szCs w:val="22"/>
        </w:rPr>
        <w:fldChar w:fldCharType="end"/>
      </w:r>
      <w:r w:rsidRPr="00972D36">
        <w:rPr>
          <w:i/>
          <w:noProof/>
          <w:sz w:val="22"/>
          <w:szCs w:val="22"/>
        </w:rPr>
        <w:t xml:space="preserve">: </w:t>
      </w:r>
      <w:r w:rsidR="76BC541E" w:rsidRPr="00972D36">
        <w:rPr>
          <w:i/>
          <w:noProof/>
          <w:sz w:val="22"/>
          <w:szCs w:val="22"/>
        </w:rPr>
        <w:t xml:space="preserve">Modification of the </w:t>
      </w:r>
      <w:r w:rsidR="00652D63" w:rsidRPr="00972D36">
        <w:rPr>
          <w:i/>
          <w:iCs/>
          <w:noProof/>
          <w:sz w:val="22"/>
          <w:szCs w:val="22"/>
        </w:rPr>
        <w:t>impact assessment (</w:t>
      </w:r>
      <w:r w:rsidR="76BC541E" w:rsidRPr="00972D36">
        <w:rPr>
          <w:i/>
          <w:noProof/>
          <w:sz w:val="22"/>
          <w:szCs w:val="22"/>
        </w:rPr>
        <w:t>IA</w:t>
      </w:r>
      <w:r w:rsidR="00652D63" w:rsidRPr="00972D36">
        <w:rPr>
          <w:i/>
          <w:iCs/>
          <w:noProof/>
          <w:sz w:val="22"/>
          <w:szCs w:val="22"/>
        </w:rPr>
        <w:t>)</w:t>
      </w:r>
      <w:r w:rsidR="76BC541E" w:rsidRPr="00972D36">
        <w:rPr>
          <w:i/>
          <w:noProof/>
          <w:sz w:val="22"/>
          <w:szCs w:val="22"/>
        </w:rPr>
        <w:t xml:space="preserve"> report in response to RSB recommendations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064"/>
      </w:tblGrid>
      <w:tr w:rsidR="00F61DEB" w:rsidRPr="00D71008" w14:paraId="5ECF26AA" w14:textId="77777777" w:rsidTr="00967368">
        <w:trPr>
          <w:tblHeader/>
        </w:trPr>
        <w:tc>
          <w:tcPr>
            <w:tcW w:w="3539" w:type="dxa"/>
            <w:tcBorders>
              <w:top w:val="single" w:sz="4" w:space="0" w:color="auto"/>
              <w:left w:val="single" w:sz="4" w:space="0" w:color="auto"/>
              <w:bottom w:val="single" w:sz="4" w:space="0" w:color="auto"/>
              <w:right w:val="single" w:sz="4" w:space="0" w:color="auto"/>
            </w:tcBorders>
            <w:shd w:val="clear" w:color="auto" w:fill="4F81BD" w:themeFill="accent1"/>
          </w:tcPr>
          <w:p w14:paraId="33E18151" w14:textId="77777777" w:rsidR="00EC2E10" w:rsidRPr="00143775" w:rsidRDefault="00EC2E10">
            <w:pPr>
              <w:spacing w:after="120"/>
              <w:jc w:val="center"/>
              <w:rPr>
                <w:b/>
                <w:noProof/>
                <w:color w:val="FFFFFF" w:themeColor="background1"/>
                <w:sz w:val="21"/>
                <w:szCs w:val="21"/>
              </w:rPr>
            </w:pPr>
            <w:r w:rsidRPr="00143775">
              <w:rPr>
                <w:b/>
                <w:noProof/>
                <w:color w:val="FFFFFF" w:themeColor="background1"/>
                <w:sz w:val="21"/>
                <w:szCs w:val="21"/>
              </w:rPr>
              <w:t>Detailed RSB comments</w:t>
            </w:r>
          </w:p>
        </w:tc>
        <w:tc>
          <w:tcPr>
            <w:tcW w:w="6064" w:type="dxa"/>
            <w:tcBorders>
              <w:top w:val="single" w:sz="4" w:space="0" w:color="auto"/>
              <w:left w:val="single" w:sz="4" w:space="0" w:color="auto"/>
              <w:bottom w:val="single" w:sz="4" w:space="0" w:color="auto"/>
              <w:right w:val="single" w:sz="4" w:space="0" w:color="auto"/>
            </w:tcBorders>
            <w:shd w:val="clear" w:color="auto" w:fill="4F81BD" w:themeFill="accent1"/>
          </w:tcPr>
          <w:p w14:paraId="6D2AC0A3" w14:textId="2E40D4F0" w:rsidR="00EC2E10" w:rsidRPr="00143775" w:rsidRDefault="00EC2E10">
            <w:pPr>
              <w:spacing w:after="120"/>
              <w:ind w:left="360"/>
              <w:jc w:val="center"/>
              <w:rPr>
                <w:b/>
                <w:noProof/>
                <w:color w:val="FFFFFF" w:themeColor="background1"/>
                <w:sz w:val="21"/>
                <w:szCs w:val="21"/>
              </w:rPr>
            </w:pPr>
            <w:r w:rsidRPr="00143775">
              <w:rPr>
                <w:b/>
                <w:noProof/>
                <w:color w:val="FFFFFF" w:themeColor="background1"/>
                <w:sz w:val="21"/>
                <w:szCs w:val="21"/>
              </w:rPr>
              <w:t xml:space="preserve">How </w:t>
            </w:r>
            <w:r w:rsidR="00366C18" w:rsidRPr="00143775">
              <w:rPr>
                <w:b/>
                <w:noProof/>
                <w:color w:val="FFFFFF" w:themeColor="background1"/>
                <w:sz w:val="21"/>
                <w:szCs w:val="21"/>
              </w:rPr>
              <w:t>the comments were addressed</w:t>
            </w:r>
          </w:p>
        </w:tc>
      </w:tr>
      <w:tr w:rsidR="00F61DEB" w:rsidRPr="00D71008" w14:paraId="20A17996" w14:textId="77777777" w:rsidTr="00456646">
        <w:trPr>
          <w:trHeight w:val="300"/>
        </w:trPr>
        <w:tc>
          <w:tcPr>
            <w:tcW w:w="0" w:type="auto"/>
            <w:gridSpan w:val="2"/>
            <w:tcBorders>
              <w:bottom w:val="single" w:sz="4" w:space="0" w:color="FFFFFF" w:themeColor="background1"/>
            </w:tcBorders>
            <w:shd w:val="clear" w:color="auto" w:fill="DAEEF3" w:themeFill="accent5" w:themeFillTint="33"/>
          </w:tcPr>
          <w:p w14:paraId="0A48A9A9" w14:textId="77777777" w:rsidR="00EC2E10" w:rsidRPr="00143775" w:rsidRDefault="00EC2E10">
            <w:pPr>
              <w:spacing w:after="120"/>
              <w:jc w:val="center"/>
              <w:rPr>
                <w:b/>
                <w:noProof/>
                <w:sz w:val="21"/>
                <w:szCs w:val="21"/>
              </w:rPr>
            </w:pPr>
            <w:r w:rsidRPr="00143775">
              <w:rPr>
                <w:b/>
                <w:noProof/>
                <w:sz w:val="21"/>
                <w:szCs w:val="21"/>
              </w:rPr>
              <w:t>Summary of findings</w:t>
            </w:r>
          </w:p>
        </w:tc>
      </w:tr>
      <w:tr w:rsidR="00F70F1A" w:rsidRPr="00D71008" w14:paraId="7359D66C" w14:textId="77777777" w:rsidTr="00456646">
        <w:trPr>
          <w:trHeight w:val="300"/>
        </w:trPr>
        <w:tc>
          <w:tcPr>
            <w:tcW w:w="3539" w:type="dxa"/>
            <w:tcBorders>
              <w:bottom w:val="single" w:sz="4" w:space="0" w:color="auto"/>
            </w:tcBorders>
          </w:tcPr>
          <w:p w14:paraId="6DC22404" w14:textId="5E5F9E6A" w:rsidR="00EC2E10" w:rsidRPr="00143775" w:rsidRDefault="00EC2E10">
            <w:pPr>
              <w:adjustRightInd w:val="0"/>
              <w:spacing w:after="120"/>
              <w:jc w:val="both"/>
              <w:rPr>
                <w:rFonts w:eastAsia="Calibri"/>
                <w:noProof/>
                <w:sz w:val="21"/>
                <w:szCs w:val="21"/>
              </w:rPr>
            </w:pPr>
            <w:r w:rsidRPr="00143775">
              <w:rPr>
                <w:noProof/>
                <w:sz w:val="21"/>
                <w:szCs w:val="21"/>
              </w:rPr>
              <w:t>(1) The report does not clearly set out the problem (2) and expected contribution to the modal shift to be achieved by the initiative, (3) and which MDMS services will be included/excluded in its scope. (4) It does not clearly explain the initiative’s expected impact on the behavioural change of travellers (5) and transport operators, (6) and its potential to tackle the underlying problem drivers.</w:t>
            </w:r>
          </w:p>
          <w:p w14:paraId="4BEC93F4" w14:textId="77777777" w:rsidR="00EC2E10" w:rsidRPr="00143775" w:rsidRDefault="00EC2E10">
            <w:pPr>
              <w:adjustRightInd w:val="0"/>
              <w:spacing w:after="120"/>
              <w:jc w:val="both"/>
              <w:rPr>
                <w:noProof/>
                <w:sz w:val="21"/>
                <w:szCs w:val="21"/>
              </w:rPr>
            </w:pPr>
          </w:p>
          <w:p w14:paraId="4DF4E410" w14:textId="77777777" w:rsidR="00EC2E10" w:rsidRPr="00143775" w:rsidRDefault="00EC2E10">
            <w:pPr>
              <w:adjustRightInd w:val="0"/>
              <w:spacing w:after="120"/>
              <w:jc w:val="both"/>
              <w:rPr>
                <w:noProof/>
                <w:sz w:val="21"/>
                <w:szCs w:val="21"/>
              </w:rPr>
            </w:pPr>
          </w:p>
        </w:tc>
        <w:tc>
          <w:tcPr>
            <w:tcW w:w="6064" w:type="dxa"/>
          </w:tcPr>
          <w:p w14:paraId="46DE0D48" w14:textId="6ACEB3DC" w:rsidR="00EC2E10" w:rsidRPr="00143775" w:rsidRDefault="00EC2E10">
            <w:pPr>
              <w:spacing w:after="120"/>
              <w:jc w:val="both"/>
              <w:rPr>
                <w:noProof/>
                <w:sz w:val="21"/>
                <w:szCs w:val="21"/>
              </w:rPr>
            </w:pPr>
            <w:r w:rsidRPr="00143775">
              <w:rPr>
                <w:noProof/>
                <w:sz w:val="21"/>
                <w:szCs w:val="21"/>
              </w:rPr>
              <w:t xml:space="preserve">(1) The revised IA </w:t>
            </w:r>
            <w:r w:rsidR="000F3441">
              <w:rPr>
                <w:noProof/>
                <w:sz w:val="21"/>
                <w:szCs w:val="21"/>
              </w:rPr>
              <w:t>report</w:t>
            </w:r>
            <w:r w:rsidRPr="00143775">
              <w:rPr>
                <w:noProof/>
                <w:sz w:val="21"/>
                <w:szCs w:val="21"/>
              </w:rPr>
              <w:t xml:space="preserve"> rephrase</w:t>
            </w:r>
            <w:r w:rsidR="00366C18" w:rsidRPr="00143775">
              <w:rPr>
                <w:noProof/>
                <w:sz w:val="21"/>
                <w:szCs w:val="21"/>
              </w:rPr>
              <w:t>s</w:t>
            </w:r>
            <w:r w:rsidRPr="00143775">
              <w:rPr>
                <w:noProof/>
                <w:sz w:val="21"/>
                <w:szCs w:val="21"/>
              </w:rPr>
              <w:t xml:space="preserve"> the problem definition </w:t>
            </w:r>
            <w:r w:rsidR="00351D76">
              <w:rPr>
                <w:noProof/>
                <w:sz w:val="21"/>
                <w:szCs w:val="21"/>
              </w:rPr>
              <w:t xml:space="preserve">(section 2) </w:t>
            </w:r>
            <w:r w:rsidRPr="00143775">
              <w:rPr>
                <w:noProof/>
                <w:sz w:val="21"/>
                <w:szCs w:val="21"/>
              </w:rPr>
              <w:t>and improve</w:t>
            </w:r>
            <w:r w:rsidR="00B94BC5" w:rsidRPr="00143775">
              <w:rPr>
                <w:noProof/>
                <w:sz w:val="21"/>
                <w:szCs w:val="21"/>
              </w:rPr>
              <w:t>s</w:t>
            </w:r>
            <w:r w:rsidRPr="00143775">
              <w:rPr>
                <w:noProof/>
                <w:sz w:val="21"/>
                <w:szCs w:val="21"/>
              </w:rPr>
              <w:t xml:space="preserve"> the intervention logic. The problems being addressed are </w:t>
            </w:r>
            <w:r w:rsidR="00FC58A0">
              <w:rPr>
                <w:noProof/>
                <w:sz w:val="21"/>
                <w:szCs w:val="21"/>
              </w:rPr>
              <w:t xml:space="preserve">clearly set out and are </w:t>
            </w:r>
            <w:r w:rsidRPr="00143775">
              <w:rPr>
                <w:noProof/>
                <w:sz w:val="21"/>
                <w:szCs w:val="21"/>
              </w:rPr>
              <w:t>t</w:t>
            </w:r>
            <w:r w:rsidR="00D675C3">
              <w:rPr>
                <w:noProof/>
                <w:sz w:val="21"/>
                <w:szCs w:val="21"/>
              </w:rPr>
              <w:t>wo</w:t>
            </w:r>
            <w:r w:rsidRPr="00143775">
              <w:rPr>
                <w:noProof/>
                <w:sz w:val="21"/>
                <w:szCs w:val="21"/>
              </w:rPr>
              <w:t xml:space="preserve">-fold: (i) </w:t>
            </w:r>
            <w:r w:rsidR="00795FF7">
              <w:rPr>
                <w:noProof/>
                <w:sz w:val="21"/>
                <w:szCs w:val="21"/>
              </w:rPr>
              <w:t>L</w:t>
            </w:r>
            <w:r w:rsidR="000152C7">
              <w:rPr>
                <w:noProof/>
                <w:sz w:val="21"/>
                <w:szCs w:val="21"/>
              </w:rPr>
              <w:t xml:space="preserve">ack of transparency, </w:t>
            </w:r>
            <w:r w:rsidR="00F060F4">
              <w:rPr>
                <w:noProof/>
                <w:sz w:val="21"/>
                <w:szCs w:val="21"/>
              </w:rPr>
              <w:t>unfair</w:t>
            </w:r>
            <w:r w:rsidR="000152C7">
              <w:rPr>
                <w:noProof/>
                <w:sz w:val="21"/>
                <w:szCs w:val="21"/>
              </w:rPr>
              <w:t xml:space="preserve"> and</w:t>
            </w:r>
            <w:r w:rsidR="004412A7">
              <w:rPr>
                <w:noProof/>
                <w:sz w:val="21"/>
                <w:szCs w:val="21"/>
              </w:rPr>
              <w:t xml:space="preserve"> </w:t>
            </w:r>
            <w:r w:rsidR="00F060F4">
              <w:rPr>
                <w:noProof/>
                <w:sz w:val="21"/>
                <w:szCs w:val="21"/>
              </w:rPr>
              <w:t>uneven</w:t>
            </w:r>
            <w:r w:rsidR="004412A7">
              <w:rPr>
                <w:noProof/>
                <w:sz w:val="21"/>
                <w:szCs w:val="21"/>
              </w:rPr>
              <w:t xml:space="preserve"> playing field in the online ticketing market</w:t>
            </w:r>
            <w:r w:rsidR="00795FF7">
              <w:rPr>
                <w:noProof/>
                <w:sz w:val="21"/>
                <w:szCs w:val="21"/>
              </w:rPr>
              <w:t xml:space="preserve">, and (ii) </w:t>
            </w:r>
            <w:r w:rsidR="00795FF7" w:rsidRPr="00795FF7">
              <w:rPr>
                <w:noProof/>
                <w:sz w:val="21"/>
                <w:szCs w:val="21"/>
              </w:rPr>
              <w:t>Incomplete offer of rail tickets on (rail) platforms</w:t>
            </w:r>
            <w:r w:rsidR="00FA2817">
              <w:rPr>
                <w:noProof/>
                <w:sz w:val="21"/>
                <w:szCs w:val="21"/>
              </w:rPr>
              <w:t>. Also 4 problem drivers and 2 consequences of the problems</w:t>
            </w:r>
            <w:r w:rsidR="00DF42A2">
              <w:rPr>
                <w:noProof/>
                <w:sz w:val="21"/>
                <w:szCs w:val="21"/>
              </w:rPr>
              <w:t xml:space="preserve"> are identified, set out and explained. </w:t>
            </w:r>
          </w:p>
          <w:p w14:paraId="4FB06A55" w14:textId="050F799C" w:rsidR="00EC2E10" w:rsidRPr="00143775" w:rsidRDefault="00EC2E10">
            <w:pPr>
              <w:spacing w:after="120"/>
              <w:jc w:val="both"/>
              <w:rPr>
                <w:noProof/>
                <w:sz w:val="21"/>
                <w:szCs w:val="21"/>
              </w:rPr>
            </w:pPr>
            <w:r w:rsidRPr="00143775">
              <w:rPr>
                <w:noProof/>
                <w:sz w:val="21"/>
                <w:szCs w:val="21"/>
              </w:rPr>
              <w:t xml:space="preserve">(2) The obstacles in the online ticket distribution market limit consumers’ ability to compare and combine travel options and fares, and purchase tickets, resulting in an untapped potential for modal shift that could otherwise encourage more efficient and sustainable travel patterns. </w:t>
            </w:r>
            <w:r w:rsidR="2F911EAF" w:rsidRPr="00143775">
              <w:rPr>
                <w:noProof/>
                <w:sz w:val="21"/>
                <w:szCs w:val="21"/>
              </w:rPr>
              <w:t xml:space="preserve">Based on evidence collected </w:t>
            </w:r>
            <w:r w:rsidR="00EA5D16" w:rsidRPr="00143775">
              <w:rPr>
                <w:noProof/>
                <w:sz w:val="21"/>
                <w:szCs w:val="21"/>
              </w:rPr>
              <w:t>from a Eurobarometer survey conducted in summer 2024</w:t>
            </w:r>
            <w:r w:rsidR="00EA5D16">
              <w:rPr>
                <w:noProof/>
                <w:sz w:val="21"/>
                <w:szCs w:val="21"/>
              </w:rPr>
              <w:t xml:space="preserve">, </w:t>
            </w:r>
            <w:r w:rsidR="00F14BA4">
              <w:rPr>
                <w:noProof/>
                <w:sz w:val="21"/>
                <w:szCs w:val="21"/>
              </w:rPr>
              <w:t xml:space="preserve">literature review, targeted survey and interviews, </w:t>
            </w:r>
            <w:r w:rsidR="00106756">
              <w:rPr>
                <w:noProof/>
                <w:sz w:val="21"/>
                <w:szCs w:val="21"/>
              </w:rPr>
              <w:t>and two stakeholders</w:t>
            </w:r>
            <w:r w:rsidR="00D252E4">
              <w:rPr>
                <w:noProof/>
                <w:sz w:val="21"/>
                <w:szCs w:val="21"/>
              </w:rPr>
              <w:t>’</w:t>
            </w:r>
            <w:r w:rsidR="00106756">
              <w:rPr>
                <w:noProof/>
                <w:sz w:val="21"/>
                <w:szCs w:val="21"/>
              </w:rPr>
              <w:t xml:space="preserve"> workshop</w:t>
            </w:r>
            <w:r w:rsidR="00515AB2">
              <w:rPr>
                <w:noProof/>
                <w:sz w:val="21"/>
                <w:szCs w:val="21"/>
              </w:rPr>
              <w:t>s</w:t>
            </w:r>
            <w:r w:rsidR="004822D3" w:rsidRPr="00143775">
              <w:rPr>
                <w:noProof/>
                <w:sz w:val="21"/>
                <w:szCs w:val="21"/>
              </w:rPr>
              <w:t>,</w:t>
            </w:r>
            <w:r w:rsidR="2F911EAF" w:rsidRPr="00143775">
              <w:rPr>
                <w:noProof/>
                <w:sz w:val="21"/>
                <w:szCs w:val="21"/>
              </w:rPr>
              <w:t xml:space="preserve"> </w:t>
            </w:r>
            <w:r w:rsidR="00D252E4">
              <w:rPr>
                <w:noProof/>
                <w:sz w:val="21"/>
                <w:szCs w:val="21"/>
              </w:rPr>
              <w:t>t</w:t>
            </w:r>
            <w:r w:rsidR="00D252E4" w:rsidRPr="00D252E4">
              <w:rPr>
                <w:noProof/>
                <w:sz w:val="21"/>
                <w:szCs w:val="21"/>
              </w:rPr>
              <w:t xml:space="preserve">he maximum potential modal shift and the maximum reduction in the travel time due to the ability to see all rail offerings on MDMS platforms and the ability to book all visible travel options on MDMS platforms </w:t>
            </w:r>
            <w:r w:rsidR="00947987">
              <w:rPr>
                <w:noProof/>
                <w:sz w:val="21"/>
                <w:szCs w:val="21"/>
              </w:rPr>
              <w:t>ha</w:t>
            </w:r>
            <w:r w:rsidR="00117C67">
              <w:rPr>
                <w:noProof/>
                <w:sz w:val="21"/>
                <w:szCs w:val="21"/>
              </w:rPr>
              <w:t>ve</w:t>
            </w:r>
            <w:r w:rsidR="00947987">
              <w:rPr>
                <w:noProof/>
                <w:sz w:val="21"/>
                <w:szCs w:val="21"/>
              </w:rPr>
              <w:t xml:space="preserve"> been estimated in the context of the impact assessment support study</w:t>
            </w:r>
            <w:r w:rsidR="00873C88">
              <w:rPr>
                <w:noProof/>
                <w:sz w:val="21"/>
                <w:szCs w:val="21"/>
              </w:rPr>
              <w:t xml:space="preserve"> </w:t>
            </w:r>
            <w:r w:rsidR="00DE1871">
              <w:rPr>
                <w:noProof/>
                <w:sz w:val="21"/>
                <w:szCs w:val="21"/>
              </w:rPr>
              <w:t xml:space="preserve">and are presented </w:t>
            </w:r>
            <w:r w:rsidR="00550D4F">
              <w:rPr>
                <w:noProof/>
                <w:sz w:val="21"/>
                <w:szCs w:val="21"/>
              </w:rPr>
              <w:t xml:space="preserve">and </w:t>
            </w:r>
            <w:r w:rsidR="00305F67">
              <w:rPr>
                <w:noProof/>
                <w:sz w:val="21"/>
                <w:szCs w:val="21"/>
              </w:rPr>
              <w:t xml:space="preserve">explained </w:t>
            </w:r>
            <w:r w:rsidR="00DE1871">
              <w:rPr>
                <w:noProof/>
                <w:sz w:val="21"/>
                <w:szCs w:val="21"/>
              </w:rPr>
              <w:t>in</w:t>
            </w:r>
            <w:r w:rsidR="007F70D3">
              <w:rPr>
                <w:noProof/>
                <w:sz w:val="21"/>
                <w:szCs w:val="21"/>
              </w:rPr>
              <w:t xml:space="preserve"> </w:t>
            </w:r>
            <w:r w:rsidR="00873C88">
              <w:rPr>
                <w:noProof/>
                <w:sz w:val="21"/>
                <w:szCs w:val="21"/>
              </w:rPr>
              <w:t xml:space="preserve">section </w:t>
            </w:r>
            <w:r w:rsidR="003B2313" w:rsidRPr="003B2313">
              <w:rPr>
                <w:noProof/>
                <w:sz w:val="21"/>
                <w:szCs w:val="21"/>
              </w:rPr>
              <w:t>1.3.</w:t>
            </w:r>
            <w:r w:rsidR="00550D4F">
              <w:rPr>
                <w:noProof/>
                <w:sz w:val="21"/>
                <w:szCs w:val="21"/>
              </w:rPr>
              <w:t xml:space="preserve">2 </w:t>
            </w:r>
            <w:r w:rsidR="00830663">
              <w:rPr>
                <w:noProof/>
                <w:sz w:val="21"/>
                <w:szCs w:val="21"/>
              </w:rPr>
              <w:t xml:space="preserve">of </w:t>
            </w:r>
            <w:r w:rsidR="003B2313" w:rsidRPr="003B2313">
              <w:rPr>
                <w:noProof/>
                <w:sz w:val="21"/>
                <w:szCs w:val="21"/>
              </w:rPr>
              <w:t>Annex 4</w:t>
            </w:r>
            <w:r w:rsidR="323892A6" w:rsidRPr="00143775">
              <w:rPr>
                <w:noProof/>
                <w:sz w:val="21"/>
                <w:szCs w:val="21"/>
              </w:rPr>
              <w:t>.</w:t>
            </w:r>
            <w:r w:rsidR="2F911EAF" w:rsidRPr="00143775">
              <w:rPr>
                <w:noProof/>
                <w:sz w:val="21"/>
                <w:szCs w:val="21"/>
              </w:rPr>
              <w:t xml:space="preserve"> </w:t>
            </w:r>
            <w:r w:rsidR="00DE409F">
              <w:rPr>
                <w:noProof/>
                <w:sz w:val="21"/>
                <w:szCs w:val="21"/>
              </w:rPr>
              <w:t xml:space="preserve">In section 2.1 of the revised IA report the maximum </w:t>
            </w:r>
            <w:r w:rsidR="0014435A">
              <w:rPr>
                <w:noProof/>
                <w:sz w:val="21"/>
                <w:szCs w:val="21"/>
              </w:rPr>
              <w:t xml:space="preserve">potential </w:t>
            </w:r>
            <w:r w:rsidR="00DE409F">
              <w:rPr>
                <w:noProof/>
                <w:sz w:val="21"/>
                <w:szCs w:val="21"/>
              </w:rPr>
              <w:t>modal shif</w:t>
            </w:r>
            <w:r w:rsidR="00273CEC">
              <w:rPr>
                <w:noProof/>
                <w:sz w:val="21"/>
                <w:szCs w:val="21"/>
              </w:rPr>
              <w:t xml:space="preserve">t </w:t>
            </w:r>
            <w:r w:rsidR="005B07B8">
              <w:rPr>
                <w:noProof/>
                <w:sz w:val="21"/>
                <w:szCs w:val="21"/>
              </w:rPr>
              <w:t>estimates</w:t>
            </w:r>
            <w:r w:rsidR="00273CEC">
              <w:rPr>
                <w:noProof/>
                <w:sz w:val="21"/>
                <w:szCs w:val="21"/>
              </w:rPr>
              <w:t xml:space="preserve"> the magnitude of the consequences for consumers</w:t>
            </w:r>
            <w:r w:rsidR="00065937">
              <w:rPr>
                <w:noProof/>
                <w:sz w:val="21"/>
                <w:szCs w:val="21"/>
              </w:rPr>
              <w:t>,</w:t>
            </w:r>
            <w:r w:rsidR="00273CEC">
              <w:rPr>
                <w:noProof/>
                <w:sz w:val="21"/>
                <w:szCs w:val="21"/>
              </w:rPr>
              <w:t xml:space="preserve"> </w:t>
            </w:r>
            <w:r w:rsidR="00065937">
              <w:rPr>
                <w:noProof/>
                <w:sz w:val="21"/>
                <w:szCs w:val="21"/>
              </w:rPr>
              <w:t xml:space="preserve">which also illustrates the dimension and size of the underlying </w:t>
            </w:r>
            <w:r w:rsidR="002136DC">
              <w:rPr>
                <w:noProof/>
                <w:sz w:val="21"/>
                <w:szCs w:val="21"/>
              </w:rPr>
              <w:t>two</w:t>
            </w:r>
            <w:r w:rsidR="00BE7036">
              <w:rPr>
                <w:noProof/>
                <w:sz w:val="21"/>
                <w:szCs w:val="21"/>
              </w:rPr>
              <w:t xml:space="preserve"> </w:t>
            </w:r>
            <w:r w:rsidR="00065937">
              <w:rPr>
                <w:noProof/>
                <w:sz w:val="21"/>
                <w:szCs w:val="21"/>
              </w:rPr>
              <w:t>problems</w:t>
            </w:r>
            <w:r w:rsidR="00BE7036">
              <w:rPr>
                <w:noProof/>
                <w:sz w:val="21"/>
                <w:szCs w:val="21"/>
              </w:rPr>
              <w:t>.</w:t>
            </w:r>
          </w:p>
          <w:p w14:paraId="6CD42219" w14:textId="0C87B93F" w:rsidR="003658B3" w:rsidRPr="00143775" w:rsidRDefault="00EC2E10">
            <w:pPr>
              <w:spacing w:after="120"/>
              <w:jc w:val="both"/>
              <w:rPr>
                <w:noProof/>
                <w:sz w:val="21"/>
                <w:szCs w:val="21"/>
              </w:rPr>
            </w:pPr>
            <w:r w:rsidRPr="00143775">
              <w:rPr>
                <w:noProof/>
                <w:sz w:val="21"/>
                <w:szCs w:val="21"/>
              </w:rPr>
              <w:t xml:space="preserve">(3) </w:t>
            </w:r>
            <w:r w:rsidR="10549689" w:rsidRPr="00143775">
              <w:rPr>
                <w:noProof/>
                <w:sz w:val="21"/>
                <w:szCs w:val="21"/>
              </w:rPr>
              <w:t xml:space="preserve">The definition </w:t>
            </w:r>
            <w:r w:rsidR="5A64F644" w:rsidRPr="00143775">
              <w:rPr>
                <w:noProof/>
                <w:sz w:val="21"/>
                <w:szCs w:val="21"/>
              </w:rPr>
              <w:t>of</w:t>
            </w:r>
            <w:r w:rsidR="10549689" w:rsidRPr="00143775">
              <w:rPr>
                <w:noProof/>
                <w:sz w:val="21"/>
                <w:szCs w:val="21"/>
              </w:rPr>
              <w:t xml:space="preserve"> MDMS </w:t>
            </w:r>
            <w:r w:rsidR="00265CA4">
              <w:rPr>
                <w:noProof/>
                <w:sz w:val="21"/>
                <w:szCs w:val="21"/>
              </w:rPr>
              <w:t xml:space="preserve">and which services </w:t>
            </w:r>
            <w:r w:rsidR="00735DC7">
              <w:rPr>
                <w:noProof/>
                <w:sz w:val="21"/>
                <w:szCs w:val="21"/>
              </w:rPr>
              <w:t xml:space="preserve">are </w:t>
            </w:r>
            <w:r w:rsidR="00265CA4">
              <w:rPr>
                <w:noProof/>
                <w:sz w:val="21"/>
                <w:szCs w:val="21"/>
              </w:rPr>
              <w:t>included / excluded is explained and illustrated</w:t>
            </w:r>
            <w:r w:rsidR="10549689" w:rsidRPr="00143775">
              <w:rPr>
                <w:noProof/>
                <w:sz w:val="21"/>
                <w:szCs w:val="21"/>
              </w:rPr>
              <w:t xml:space="preserve"> in </w:t>
            </w:r>
            <w:r w:rsidR="00342239">
              <w:rPr>
                <w:noProof/>
                <w:sz w:val="21"/>
                <w:szCs w:val="21"/>
              </w:rPr>
              <w:t xml:space="preserve">section </w:t>
            </w:r>
            <w:r w:rsidR="004F3577">
              <w:rPr>
                <w:noProof/>
                <w:sz w:val="21"/>
                <w:szCs w:val="21"/>
              </w:rPr>
              <w:fldChar w:fldCharType="begin"/>
            </w:r>
            <w:r w:rsidR="004F3577">
              <w:rPr>
                <w:noProof/>
                <w:sz w:val="21"/>
                <w:szCs w:val="21"/>
              </w:rPr>
              <w:instrText xml:space="preserve"> REF _Ref223914033 \r \h </w:instrText>
            </w:r>
            <w:r w:rsidR="004F3577">
              <w:rPr>
                <w:noProof/>
                <w:sz w:val="21"/>
                <w:szCs w:val="21"/>
              </w:rPr>
            </w:r>
            <w:r w:rsidR="004F3577">
              <w:rPr>
                <w:noProof/>
                <w:sz w:val="21"/>
                <w:szCs w:val="21"/>
              </w:rPr>
              <w:fldChar w:fldCharType="separate"/>
            </w:r>
            <w:r w:rsidR="0055391F">
              <w:rPr>
                <w:noProof/>
                <w:sz w:val="21"/>
                <w:szCs w:val="21"/>
              </w:rPr>
              <w:t>2.1.1</w:t>
            </w:r>
            <w:r w:rsidR="004F3577">
              <w:rPr>
                <w:noProof/>
                <w:sz w:val="21"/>
                <w:szCs w:val="21"/>
              </w:rPr>
              <w:fldChar w:fldCharType="end"/>
            </w:r>
            <w:r w:rsidR="00D17BC0" w:rsidRPr="00143775">
              <w:rPr>
                <w:noProof/>
                <w:sz w:val="21"/>
                <w:szCs w:val="21"/>
              </w:rPr>
              <w:t xml:space="preserve"> </w:t>
            </w:r>
            <w:r w:rsidR="007162D4" w:rsidRPr="00143775">
              <w:rPr>
                <w:noProof/>
                <w:sz w:val="21"/>
                <w:szCs w:val="21"/>
              </w:rPr>
              <w:t xml:space="preserve">of </w:t>
            </w:r>
            <w:r w:rsidR="009C6C3B">
              <w:rPr>
                <w:noProof/>
                <w:sz w:val="21"/>
                <w:szCs w:val="21"/>
              </w:rPr>
              <w:t>the revised IA report</w:t>
            </w:r>
            <w:r w:rsidR="10549689" w:rsidRPr="00143775">
              <w:rPr>
                <w:noProof/>
                <w:sz w:val="21"/>
                <w:szCs w:val="21"/>
              </w:rPr>
              <w:t xml:space="preserve">. </w:t>
            </w:r>
            <w:r w:rsidR="00D0280A" w:rsidRPr="00D0280A">
              <w:rPr>
                <w:noProof/>
                <w:sz w:val="21"/>
                <w:szCs w:val="21"/>
              </w:rPr>
              <w:t>Multimodal Digital Mobility Services (MDMS) are platforms providing traffic and travel information (e.g., schedules, tariffs and availability of services) and enabling the distribution of tickets, directly or via re-linking, for two or more transport operators, operating in one or more transport modes. Online distribution channels of transport operators – used exclusively for the distribution of their own transport services without offering third party tickets – are not considered to be in the ‘platform market’ and do not qualify as MDMS within the meaning of this initiative, therefore falling out of its scope.</w:t>
            </w:r>
          </w:p>
          <w:p w14:paraId="4D0B31B0" w14:textId="7B7A2F98" w:rsidR="00D03A39" w:rsidRPr="00C908B1" w:rsidRDefault="00EC2E10" w:rsidP="009D76A5">
            <w:pPr>
              <w:spacing w:after="120"/>
              <w:jc w:val="both"/>
              <w:rPr>
                <w:noProof/>
                <w:sz w:val="21"/>
                <w:szCs w:val="21"/>
              </w:rPr>
            </w:pPr>
            <w:r w:rsidRPr="00143775">
              <w:rPr>
                <w:noProof/>
                <w:sz w:val="21"/>
                <w:szCs w:val="21"/>
              </w:rPr>
              <w:t xml:space="preserve">(4) The Eurobarometer survey conducted in summer 2024, </w:t>
            </w:r>
            <w:r w:rsidR="00624718">
              <w:rPr>
                <w:noProof/>
                <w:sz w:val="21"/>
                <w:szCs w:val="21"/>
              </w:rPr>
              <w:t xml:space="preserve">which was </w:t>
            </w:r>
            <w:r w:rsidR="00283564">
              <w:rPr>
                <w:noProof/>
                <w:sz w:val="21"/>
                <w:szCs w:val="21"/>
              </w:rPr>
              <w:t>undertaken</w:t>
            </w:r>
            <w:r w:rsidR="00624718">
              <w:rPr>
                <w:noProof/>
                <w:sz w:val="21"/>
                <w:szCs w:val="21"/>
              </w:rPr>
              <w:t xml:space="preserve"> on a representative sample of citizens and ther</w:t>
            </w:r>
            <w:r w:rsidR="006E0FA7">
              <w:rPr>
                <w:noProof/>
                <w:sz w:val="21"/>
                <w:szCs w:val="21"/>
              </w:rPr>
              <w:t>e</w:t>
            </w:r>
            <w:r w:rsidR="00624718">
              <w:rPr>
                <w:noProof/>
                <w:sz w:val="21"/>
                <w:szCs w:val="21"/>
              </w:rPr>
              <w:t>fo</w:t>
            </w:r>
            <w:r w:rsidR="006E0FA7">
              <w:rPr>
                <w:noProof/>
                <w:sz w:val="21"/>
                <w:szCs w:val="21"/>
              </w:rPr>
              <w:t>r</w:t>
            </w:r>
            <w:r w:rsidR="00624718">
              <w:rPr>
                <w:noProof/>
                <w:sz w:val="21"/>
                <w:szCs w:val="21"/>
              </w:rPr>
              <w:t xml:space="preserve">e its results are valid for the </w:t>
            </w:r>
            <w:r w:rsidR="006E0FA7">
              <w:rPr>
                <w:noProof/>
                <w:sz w:val="21"/>
                <w:szCs w:val="21"/>
              </w:rPr>
              <w:t xml:space="preserve">whole EU population, </w:t>
            </w:r>
            <w:r w:rsidR="003B1891">
              <w:rPr>
                <w:noProof/>
                <w:sz w:val="21"/>
                <w:szCs w:val="21"/>
              </w:rPr>
              <w:t>provides robust evidence</w:t>
            </w:r>
            <w:r w:rsidR="00242510">
              <w:rPr>
                <w:noProof/>
                <w:sz w:val="21"/>
                <w:szCs w:val="21"/>
              </w:rPr>
              <w:t xml:space="preserve"> on</w:t>
            </w:r>
            <w:r w:rsidRPr="00143775">
              <w:rPr>
                <w:noProof/>
                <w:sz w:val="21"/>
                <w:szCs w:val="21"/>
              </w:rPr>
              <w:t xml:space="preserve"> how end-users feel limited in their travel choices</w:t>
            </w:r>
            <w:r w:rsidR="005857C3">
              <w:rPr>
                <w:noProof/>
                <w:sz w:val="21"/>
                <w:szCs w:val="21"/>
              </w:rPr>
              <w:t xml:space="preserve"> and on</w:t>
            </w:r>
            <w:r w:rsidR="00283564">
              <w:rPr>
                <w:noProof/>
                <w:sz w:val="21"/>
                <w:szCs w:val="21"/>
              </w:rPr>
              <w:t xml:space="preserve"> the question </w:t>
            </w:r>
            <w:r w:rsidR="005857C3">
              <w:rPr>
                <w:noProof/>
                <w:sz w:val="21"/>
                <w:szCs w:val="21"/>
              </w:rPr>
              <w:t>to which extent</w:t>
            </w:r>
            <w:r w:rsidR="005857C3" w:rsidRPr="00143775">
              <w:rPr>
                <w:noProof/>
                <w:sz w:val="21"/>
                <w:szCs w:val="21"/>
              </w:rPr>
              <w:t xml:space="preserve"> </w:t>
            </w:r>
            <w:r w:rsidRPr="00143775">
              <w:rPr>
                <w:noProof/>
                <w:sz w:val="21"/>
                <w:szCs w:val="21"/>
              </w:rPr>
              <w:t xml:space="preserve">they are willing to opt for more sustainable alternatives. The revised IA </w:t>
            </w:r>
            <w:r w:rsidR="00674AF0">
              <w:rPr>
                <w:noProof/>
                <w:sz w:val="21"/>
                <w:szCs w:val="21"/>
              </w:rPr>
              <w:t>report</w:t>
            </w:r>
            <w:r w:rsidRPr="00143775">
              <w:rPr>
                <w:noProof/>
                <w:sz w:val="21"/>
                <w:szCs w:val="21"/>
              </w:rPr>
              <w:t xml:space="preserve"> also provide</w:t>
            </w:r>
            <w:r w:rsidR="0021371C" w:rsidRPr="00143775">
              <w:rPr>
                <w:noProof/>
                <w:sz w:val="21"/>
                <w:szCs w:val="21"/>
              </w:rPr>
              <w:t>s</w:t>
            </w:r>
            <w:r w:rsidRPr="00143775">
              <w:rPr>
                <w:noProof/>
                <w:sz w:val="21"/>
                <w:szCs w:val="21"/>
              </w:rPr>
              <w:t xml:space="preserve"> further evidence on the </w:t>
            </w:r>
            <w:r w:rsidR="006B3EDC">
              <w:rPr>
                <w:noProof/>
                <w:sz w:val="21"/>
                <w:szCs w:val="21"/>
              </w:rPr>
              <w:t>existence</w:t>
            </w:r>
            <w:r w:rsidR="006B3EDC" w:rsidRPr="00143775">
              <w:rPr>
                <w:noProof/>
                <w:sz w:val="21"/>
                <w:szCs w:val="21"/>
              </w:rPr>
              <w:t xml:space="preserve"> </w:t>
            </w:r>
            <w:r w:rsidR="006B3EDC">
              <w:rPr>
                <w:noProof/>
                <w:sz w:val="21"/>
                <w:szCs w:val="21"/>
              </w:rPr>
              <w:t>of</w:t>
            </w:r>
            <w:r w:rsidRPr="00143775">
              <w:rPr>
                <w:noProof/>
                <w:sz w:val="21"/>
                <w:szCs w:val="21"/>
              </w:rPr>
              <w:t xml:space="preserve"> alternative </w:t>
            </w:r>
            <w:r w:rsidR="00F70540">
              <w:rPr>
                <w:noProof/>
                <w:sz w:val="21"/>
                <w:szCs w:val="21"/>
              </w:rPr>
              <w:t xml:space="preserve">travel </w:t>
            </w:r>
            <w:r w:rsidRPr="00143775">
              <w:rPr>
                <w:noProof/>
                <w:sz w:val="21"/>
                <w:szCs w:val="21"/>
              </w:rPr>
              <w:t xml:space="preserve">choices, and to which extent those alternatives can be easily found and booked. This </w:t>
            </w:r>
            <w:r w:rsidR="0021371C" w:rsidRPr="00143775">
              <w:rPr>
                <w:noProof/>
                <w:sz w:val="21"/>
                <w:szCs w:val="21"/>
              </w:rPr>
              <w:t>is</w:t>
            </w:r>
            <w:r w:rsidRPr="00143775">
              <w:rPr>
                <w:noProof/>
                <w:sz w:val="21"/>
                <w:szCs w:val="21"/>
              </w:rPr>
              <w:t xml:space="preserve"> based on </w:t>
            </w:r>
            <w:r w:rsidR="00666102">
              <w:rPr>
                <w:noProof/>
                <w:sz w:val="21"/>
                <w:szCs w:val="21"/>
              </w:rPr>
              <w:t>an analysis of</w:t>
            </w:r>
            <w:r w:rsidRPr="00143775">
              <w:rPr>
                <w:noProof/>
                <w:sz w:val="21"/>
                <w:szCs w:val="21"/>
              </w:rPr>
              <w:t xml:space="preserve"> 100 routes in the EU identified in the IA support study and an assessment of how easy or cumbersome it is to find all travel options for each route – including those combining different operators and/or modes of transports.</w:t>
            </w:r>
            <w:r w:rsidR="00900BEC" w:rsidRPr="00143775">
              <w:rPr>
                <w:noProof/>
                <w:sz w:val="21"/>
                <w:szCs w:val="21"/>
              </w:rPr>
              <w:t xml:space="preserve"> </w:t>
            </w:r>
            <w:r w:rsidR="00414A8A">
              <w:rPr>
                <w:noProof/>
                <w:sz w:val="21"/>
                <w:szCs w:val="21"/>
              </w:rPr>
              <w:t xml:space="preserve">In chapter 6.1.8 the impact </w:t>
            </w:r>
            <w:r w:rsidR="00A639BE" w:rsidRPr="00A639BE">
              <w:rPr>
                <w:noProof/>
                <w:sz w:val="21"/>
                <w:szCs w:val="21"/>
              </w:rPr>
              <w:t>on transport activity in passenger-kilometres at EU level relative to the baseline</w:t>
            </w:r>
            <w:r w:rsidR="00A639BE">
              <w:rPr>
                <w:noProof/>
                <w:sz w:val="21"/>
                <w:szCs w:val="21"/>
              </w:rPr>
              <w:t xml:space="preserve"> is estimated and further detail is provided </w:t>
            </w:r>
            <w:r w:rsidR="00E513D9">
              <w:rPr>
                <w:noProof/>
                <w:sz w:val="21"/>
                <w:szCs w:val="21"/>
              </w:rPr>
              <w:t xml:space="preserve">on this </w:t>
            </w:r>
            <w:r w:rsidR="00A639BE">
              <w:rPr>
                <w:noProof/>
                <w:sz w:val="21"/>
                <w:szCs w:val="21"/>
              </w:rPr>
              <w:t>in Annex 4.</w:t>
            </w:r>
            <w:r w:rsidR="00E513D9">
              <w:rPr>
                <w:noProof/>
                <w:sz w:val="21"/>
                <w:szCs w:val="21"/>
              </w:rPr>
              <w:t xml:space="preserve"> This estimation is done by mode showing clearly the expected modal shift </w:t>
            </w:r>
            <w:r w:rsidR="009B5B58">
              <w:rPr>
                <w:noProof/>
                <w:sz w:val="21"/>
                <w:szCs w:val="21"/>
              </w:rPr>
              <w:t xml:space="preserve">resulting from the different policy options, assuming </w:t>
            </w:r>
            <w:r w:rsidR="007E55B5">
              <w:rPr>
                <w:noProof/>
                <w:sz w:val="21"/>
                <w:szCs w:val="21"/>
              </w:rPr>
              <w:t>behavioural change from c</w:t>
            </w:r>
            <w:r w:rsidR="004931FF">
              <w:rPr>
                <w:noProof/>
                <w:sz w:val="21"/>
                <w:szCs w:val="21"/>
              </w:rPr>
              <w:t>onsu</w:t>
            </w:r>
            <w:r w:rsidR="007E55B5">
              <w:rPr>
                <w:noProof/>
                <w:sz w:val="21"/>
                <w:szCs w:val="21"/>
              </w:rPr>
              <w:t>mers.</w:t>
            </w:r>
            <w:r w:rsidR="009B5B58">
              <w:rPr>
                <w:noProof/>
                <w:sz w:val="21"/>
                <w:szCs w:val="21"/>
              </w:rPr>
              <w:t xml:space="preserve"> </w:t>
            </w:r>
          </w:p>
          <w:p w14:paraId="128308AD" w14:textId="74362862" w:rsidR="00EC2E10" w:rsidRPr="00143775" w:rsidRDefault="00EC2E10">
            <w:pPr>
              <w:spacing w:after="120"/>
              <w:jc w:val="both"/>
              <w:rPr>
                <w:rFonts w:eastAsia="Calibri"/>
                <w:noProof/>
                <w:color w:val="FF0000"/>
                <w:sz w:val="21"/>
                <w:szCs w:val="21"/>
              </w:rPr>
            </w:pPr>
            <w:r w:rsidRPr="00143775">
              <w:rPr>
                <w:rFonts w:eastAsia="Calibri"/>
                <w:noProof/>
                <w:sz w:val="21"/>
                <w:szCs w:val="21"/>
              </w:rPr>
              <w:t xml:space="preserve">(5) The revised </w:t>
            </w:r>
            <w:r w:rsidR="007823AD">
              <w:rPr>
                <w:rFonts w:eastAsia="Calibri"/>
                <w:noProof/>
                <w:sz w:val="21"/>
                <w:szCs w:val="21"/>
              </w:rPr>
              <w:t xml:space="preserve">IA </w:t>
            </w:r>
            <w:r w:rsidRPr="00143775">
              <w:rPr>
                <w:rFonts w:eastAsia="Calibri"/>
                <w:noProof/>
                <w:sz w:val="21"/>
                <w:szCs w:val="21"/>
              </w:rPr>
              <w:t>report explain</w:t>
            </w:r>
            <w:r w:rsidR="007C6C1C" w:rsidRPr="00143775">
              <w:rPr>
                <w:rFonts w:eastAsia="Calibri"/>
                <w:noProof/>
                <w:sz w:val="21"/>
                <w:szCs w:val="21"/>
              </w:rPr>
              <w:t>s</w:t>
            </w:r>
            <w:r w:rsidRPr="00143775">
              <w:rPr>
                <w:rFonts w:eastAsia="Calibri"/>
                <w:noProof/>
                <w:sz w:val="21"/>
                <w:szCs w:val="21"/>
              </w:rPr>
              <w:t xml:space="preserve"> how the </w:t>
            </w:r>
            <w:r w:rsidR="00BF2D82">
              <w:rPr>
                <w:rFonts w:eastAsia="Calibri"/>
                <w:noProof/>
                <w:sz w:val="21"/>
                <w:szCs w:val="21"/>
              </w:rPr>
              <w:t>policy options are</w:t>
            </w:r>
            <w:r w:rsidRPr="00143775">
              <w:rPr>
                <w:rFonts w:eastAsia="Calibri"/>
                <w:noProof/>
                <w:sz w:val="21"/>
                <w:szCs w:val="21"/>
              </w:rPr>
              <w:t xml:space="preserve"> expected to have a positive impact on transport operators by promoting a level playing field and increasing access to indispensable MDMS</w:t>
            </w:r>
            <w:r w:rsidR="00730252">
              <w:rPr>
                <w:rFonts w:eastAsia="Calibri"/>
                <w:noProof/>
                <w:sz w:val="21"/>
                <w:szCs w:val="21"/>
              </w:rPr>
              <w:t xml:space="preserve"> platforms</w:t>
            </w:r>
            <w:r w:rsidR="00C568E0">
              <w:rPr>
                <w:rFonts w:eastAsia="Calibri"/>
                <w:noProof/>
                <w:sz w:val="21"/>
                <w:szCs w:val="21"/>
              </w:rPr>
              <w:t xml:space="preserve">; </w:t>
            </w:r>
            <w:r w:rsidR="00235EB7">
              <w:rPr>
                <w:rFonts w:eastAsia="Calibri"/>
                <w:noProof/>
                <w:sz w:val="21"/>
                <w:szCs w:val="21"/>
              </w:rPr>
              <w:t>detailed</w:t>
            </w:r>
            <w:r w:rsidR="00C568E0">
              <w:rPr>
                <w:rFonts w:eastAsia="Calibri"/>
                <w:noProof/>
                <w:sz w:val="21"/>
                <w:szCs w:val="21"/>
              </w:rPr>
              <w:t xml:space="preserve"> </w:t>
            </w:r>
            <w:r w:rsidR="00395382">
              <w:rPr>
                <w:rFonts w:eastAsia="Calibri"/>
                <w:noProof/>
                <w:sz w:val="21"/>
                <w:szCs w:val="21"/>
              </w:rPr>
              <w:t xml:space="preserve">quantified </w:t>
            </w:r>
            <w:r w:rsidR="009F345F">
              <w:rPr>
                <w:rFonts w:eastAsia="Calibri"/>
                <w:noProof/>
                <w:sz w:val="21"/>
                <w:szCs w:val="21"/>
              </w:rPr>
              <w:t xml:space="preserve">estimations of </w:t>
            </w:r>
            <w:r w:rsidR="00C568E0">
              <w:rPr>
                <w:rFonts w:eastAsia="Calibri"/>
                <w:noProof/>
                <w:sz w:val="21"/>
                <w:szCs w:val="21"/>
              </w:rPr>
              <w:t xml:space="preserve">costs </w:t>
            </w:r>
            <w:r w:rsidR="00A2698F">
              <w:rPr>
                <w:rFonts w:eastAsia="Calibri"/>
                <w:noProof/>
                <w:sz w:val="21"/>
                <w:szCs w:val="21"/>
              </w:rPr>
              <w:t xml:space="preserve">and </w:t>
            </w:r>
            <w:r w:rsidR="0059743F">
              <w:rPr>
                <w:rFonts w:eastAsia="Calibri"/>
                <w:noProof/>
                <w:sz w:val="21"/>
                <w:szCs w:val="21"/>
              </w:rPr>
              <w:t xml:space="preserve">cost savings </w:t>
            </w:r>
            <w:r w:rsidR="001036C1">
              <w:rPr>
                <w:rFonts w:eastAsia="Calibri"/>
                <w:noProof/>
                <w:sz w:val="21"/>
                <w:szCs w:val="21"/>
              </w:rPr>
              <w:t>for</w:t>
            </w:r>
            <w:r w:rsidR="000411C7">
              <w:rPr>
                <w:rFonts w:eastAsia="Calibri"/>
                <w:noProof/>
                <w:sz w:val="21"/>
                <w:szCs w:val="21"/>
              </w:rPr>
              <w:t xml:space="preserve"> transport operators</w:t>
            </w:r>
            <w:r w:rsidR="00C568E0">
              <w:rPr>
                <w:rFonts w:eastAsia="Calibri"/>
                <w:noProof/>
                <w:sz w:val="21"/>
                <w:szCs w:val="21"/>
              </w:rPr>
              <w:t xml:space="preserve"> are provided in </w:t>
            </w:r>
            <w:r w:rsidR="000411C7">
              <w:rPr>
                <w:rFonts w:eastAsia="Calibri"/>
                <w:noProof/>
                <w:sz w:val="21"/>
                <w:szCs w:val="21"/>
              </w:rPr>
              <w:t>section</w:t>
            </w:r>
            <w:r w:rsidR="00C568E0">
              <w:rPr>
                <w:rFonts w:eastAsia="Calibri"/>
                <w:noProof/>
                <w:sz w:val="21"/>
                <w:szCs w:val="21"/>
              </w:rPr>
              <w:t xml:space="preserve"> 6</w:t>
            </w:r>
            <w:r w:rsidR="00442A23">
              <w:rPr>
                <w:rFonts w:eastAsia="Calibri"/>
                <w:noProof/>
                <w:sz w:val="21"/>
                <w:szCs w:val="21"/>
              </w:rPr>
              <w:t>.1.2 and 6.1.5 specifically on transport operators SMEs</w:t>
            </w:r>
            <w:r w:rsidR="00C568E0">
              <w:rPr>
                <w:rFonts w:eastAsia="Calibri"/>
                <w:noProof/>
                <w:sz w:val="21"/>
                <w:szCs w:val="21"/>
              </w:rPr>
              <w:t>, alongside an analysis of the impact on competition in the passenger transport market</w:t>
            </w:r>
            <w:r w:rsidR="006E2912">
              <w:rPr>
                <w:rFonts w:eastAsia="Calibri"/>
                <w:noProof/>
                <w:sz w:val="21"/>
                <w:szCs w:val="21"/>
              </w:rPr>
              <w:t xml:space="preserve"> </w:t>
            </w:r>
            <w:r w:rsidR="00C27AE2">
              <w:rPr>
                <w:rFonts w:eastAsia="Calibri"/>
                <w:noProof/>
                <w:sz w:val="21"/>
                <w:szCs w:val="21"/>
              </w:rPr>
              <w:t>in section</w:t>
            </w:r>
            <w:r w:rsidR="00DA0060" w:rsidRPr="00DA0060">
              <w:rPr>
                <w:rFonts w:eastAsia="Calibri"/>
                <w:noProof/>
                <w:sz w:val="21"/>
                <w:szCs w:val="21"/>
              </w:rPr>
              <w:t xml:space="preserve"> 6.1.8 </w:t>
            </w:r>
            <w:r w:rsidR="00C27AE2">
              <w:rPr>
                <w:rFonts w:eastAsia="Calibri"/>
                <w:noProof/>
                <w:sz w:val="21"/>
                <w:szCs w:val="21"/>
              </w:rPr>
              <w:t>and competit</w:t>
            </w:r>
            <w:r w:rsidR="003732CF">
              <w:rPr>
                <w:rFonts w:eastAsia="Calibri"/>
                <w:noProof/>
                <w:sz w:val="21"/>
                <w:szCs w:val="21"/>
              </w:rPr>
              <w:t>iveness in section 6.1.7.</w:t>
            </w:r>
            <w:r w:rsidR="006E2912">
              <w:rPr>
                <w:rFonts w:eastAsia="Calibri"/>
                <w:noProof/>
                <w:sz w:val="21"/>
                <w:szCs w:val="21"/>
              </w:rPr>
              <w:t xml:space="preserve"> </w:t>
            </w:r>
            <w:r w:rsidR="003732CF">
              <w:rPr>
                <w:rFonts w:eastAsia="Calibri"/>
                <w:noProof/>
                <w:sz w:val="21"/>
                <w:szCs w:val="21"/>
              </w:rPr>
              <w:t>F</w:t>
            </w:r>
            <w:r w:rsidR="006E2912">
              <w:rPr>
                <w:rFonts w:eastAsia="Calibri"/>
                <w:noProof/>
                <w:sz w:val="21"/>
                <w:szCs w:val="21"/>
              </w:rPr>
              <w:t xml:space="preserve">urther detail </w:t>
            </w:r>
            <w:r w:rsidR="003732CF">
              <w:rPr>
                <w:rFonts w:eastAsia="Calibri"/>
                <w:noProof/>
                <w:sz w:val="21"/>
                <w:szCs w:val="21"/>
              </w:rPr>
              <w:t xml:space="preserve">is provided </w:t>
            </w:r>
            <w:r w:rsidR="006E2912">
              <w:rPr>
                <w:rFonts w:eastAsia="Calibri"/>
                <w:noProof/>
                <w:sz w:val="21"/>
                <w:szCs w:val="21"/>
              </w:rPr>
              <w:t>in Annex 4</w:t>
            </w:r>
            <w:r w:rsidR="00E34220">
              <w:rPr>
                <w:rFonts w:eastAsia="Calibri"/>
                <w:noProof/>
                <w:sz w:val="21"/>
                <w:szCs w:val="21"/>
              </w:rPr>
              <w:t xml:space="preserve"> on these estimations including the underlying methodology. In</w:t>
            </w:r>
            <w:r w:rsidR="00DF7DF3">
              <w:rPr>
                <w:rFonts w:eastAsia="Calibri"/>
                <w:noProof/>
                <w:sz w:val="21"/>
                <w:szCs w:val="21"/>
              </w:rPr>
              <w:t xml:space="preserve"> addition, in Annex 5</w:t>
            </w:r>
            <w:r w:rsidR="00CD4B68">
              <w:rPr>
                <w:rFonts w:eastAsia="Calibri"/>
                <w:noProof/>
                <w:sz w:val="21"/>
                <w:szCs w:val="21"/>
              </w:rPr>
              <w:t xml:space="preserve"> a competitiveness check is performed along with a SME check in Annex 6. </w:t>
            </w:r>
            <w:r w:rsidR="00797338">
              <w:rPr>
                <w:rFonts w:eastAsia="Calibri"/>
                <w:noProof/>
                <w:sz w:val="21"/>
                <w:szCs w:val="21"/>
              </w:rPr>
              <w:t>SME transport operators are exempted fr</w:t>
            </w:r>
            <w:r w:rsidR="002F2686">
              <w:rPr>
                <w:rFonts w:eastAsia="Calibri"/>
                <w:noProof/>
                <w:sz w:val="21"/>
                <w:szCs w:val="21"/>
              </w:rPr>
              <w:t>o</w:t>
            </w:r>
            <w:r w:rsidR="00797338">
              <w:rPr>
                <w:rFonts w:eastAsia="Calibri"/>
                <w:noProof/>
                <w:sz w:val="21"/>
                <w:szCs w:val="21"/>
              </w:rPr>
              <w:t>m the policy measures and are only indirectly affected</w:t>
            </w:r>
            <w:r w:rsidR="002F2686">
              <w:rPr>
                <w:rFonts w:eastAsia="Calibri"/>
                <w:noProof/>
                <w:sz w:val="21"/>
                <w:szCs w:val="21"/>
              </w:rPr>
              <w:t xml:space="preserve"> as explained in Annex 6. </w:t>
            </w:r>
            <w:r w:rsidR="00797338">
              <w:rPr>
                <w:rFonts w:eastAsia="Calibri"/>
                <w:noProof/>
                <w:sz w:val="21"/>
                <w:szCs w:val="21"/>
              </w:rPr>
              <w:t xml:space="preserve"> </w:t>
            </w:r>
          </w:p>
          <w:p w14:paraId="47F09390" w14:textId="6EC50141" w:rsidR="00EC2E10" w:rsidRPr="00143775" w:rsidRDefault="00EC2E10">
            <w:pPr>
              <w:spacing w:after="120"/>
              <w:jc w:val="both"/>
              <w:rPr>
                <w:rFonts w:eastAsia="Calibri"/>
                <w:noProof/>
                <w:sz w:val="21"/>
                <w:szCs w:val="21"/>
              </w:rPr>
            </w:pPr>
            <w:r w:rsidRPr="00143775">
              <w:rPr>
                <w:rFonts w:eastAsia="Calibri"/>
                <w:noProof/>
                <w:sz w:val="21"/>
                <w:szCs w:val="21"/>
              </w:rPr>
              <w:t xml:space="preserve">(6) </w:t>
            </w:r>
            <w:r w:rsidR="003A72C7">
              <w:rPr>
                <w:rFonts w:eastAsia="Calibri"/>
                <w:noProof/>
                <w:sz w:val="21"/>
                <w:szCs w:val="21"/>
              </w:rPr>
              <w:t xml:space="preserve">Section 5.2.2 of the revised IA report includes </w:t>
            </w:r>
            <w:r w:rsidR="000544AF">
              <w:rPr>
                <w:rFonts w:eastAsia="Calibri"/>
                <w:noProof/>
                <w:sz w:val="21"/>
                <w:szCs w:val="21"/>
              </w:rPr>
              <w:fldChar w:fldCharType="begin"/>
            </w:r>
            <w:r w:rsidR="000544AF">
              <w:rPr>
                <w:rFonts w:eastAsia="Calibri"/>
                <w:noProof/>
                <w:sz w:val="21"/>
                <w:szCs w:val="21"/>
              </w:rPr>
              <w:instrText xml:space="preserve"> REF _Ref222127674 \h </w:instrText>
            </w:r>
            <w:r w:rsidR="000544AF">
              <w:rPr>
                <w:rFonts w:eastAsia="Calibri"/>
                <w:noProof/>
                <w:sz w:val="21"/>
                <w:szCs w:val="21"/>
              </w:rPr>
            </w:r>
            <w:r w:rsidR="000544AF">
              <w:rPr>
                <w:rFonts w:eastAsia="Calibri"/>
                <w:noProof/>
                <w:sz w:val="21"/>
                <w:szCs w:val="21"/>
              </w:rPr>
              <w:fldChar w:fldCharType="separate"/>
            </w:r>
            <w:r>
              <w:rPr>
                <w:noProof/>
                <w:sz w:val="22"/>
                <w:szCs w:val="22"/>
              </w:rPr>
              <w:t>Table 1</w:t>
            </w:r>
            <w:r w:rsidR="000544AF">
              <w:rPr>
                <w:rFonts w:eastAsia="Calibri"/>
                <w:noProof/>
                <w:sz w:val="21"/>
                <w:szCs w:val="21"/>
              </w:rPr>
              <w:fldChar w:fldCharType="end"/>
            </w:r>
            <w:r w:rsidR="003A72C7">
              <w:rPr>
                <w:rFonts w:eastAsia="Calibri"/>
                <w:noProof/>
                <w:sz w:val="21"/>
                <w:szCs w:val="21"/>
              </w:rPr>
              <w:t xml:space="preserve"> outlining the links between the policy measures included in each option and the problem drivers </w:t>
            </w:r>
            <w:r w:rsidR="00DC2B5E">
              <w:rPr>
                <w:rFonts w:eastAsia="Calibri"/>
                <w:noProof/>
                <w:sz w:val="21"/>
                <w:szCs w:val="21"/>
              </w:rPr>
              <w:t>they tackle</w:t>
            </w:r>
            <w:r w:rsidRPr="00143775">
              <w:rPr>
                <w:rFonts w:eastAsia="Calibri"/>
                <w:noProof/>
                <w:sz w:val="21"/>
                <w:szCs w:val="21"/>
              </w:rPr>
              <w:t>.</w:t>
            </w:r>
            <w:r w:rsidR="00161DCD">
              <w:rPr>
                <w:rFonts w:eastAsia="Calibri"/>
                <w:noProof/>
                <w:sz w:val="21"/>
                <w:szCs w:val="21"/>
              </w:rPr>
              <w:t xml:space="preserve"> Specific objectives have been elaborated in a way to correspond to the problem drivers, </w:t>
            </w:r>
            <w:r w:rsidR="00706EE5">
              <w:rPr>
                <w:rFonts w:eastAsia="Calibri"/>
                <w:noProof/>
                <w:sz w:val="21"/>
                <w:szCs w:val="21"/>
              </w:rPr>
              <w:t xml:space="preserve">problem driver 1-3 to specific objective 1, and problem driver 4 to specific objective 2. </w:t>
            </w:r>
            <w:r w:rsidR="00CC175B">
              <w:rPr>
                <w:rFonts w:eastAsia="Calibri"/>
                <w:noProof/>
                <w:sz w:val="21"/>
                <w:szCs w:val="21"/>
              </w:rPr>
              <w:t xml:space="preserve">All policy options are designed to meet both specific objectives. </w:t>
            </w:r>
          </w:p>
        </w:tc>
      </w:tr>
      <w:tr w:rsidR="00F70F1A" w:rsidRPr="00D71008" w14:paraId="39A7AFB9" w14:textId="77777777" w:rsidTr="00456646">
        <w:trPr>
          <w:trHeight w:val="300"/>
        </w:trPr>
        <w:tc>
          <w:tcPr>
            <w:tcW w:w="3539" w:type="dxa"/>
            <w:tcBorders>
              <w:bottom w:val="single" w:sz="4" w:space="0" w:color="auto"/>
            </w:tcBorders>
          </w:tcPr>
          <w:p w14:paraId="5883E8A4" w14:textId="77777777" w:rsidR="00EC2E10" w:rsidRPr="00143775" w:rsidRDefault="00EC2E10">
            <w:pPr>
              <w:adjustRightInd w:val="0"/>
              <w:spacing w:after="120"/>
              <w:jc w:val="both"/>
              <w:rPr>
                <w:noProof/>
                <w:sz w:val="21"/>
                <w:szCs w:val="21"/>
              </w:rPr>
            </w:pPr>
            <w:r w:rsidRPr="00143775">
              <w:rPr>
                <w:noProof/>
                <w:sz w:val="21"/>
                <w:szCs w:val="21"/>
              </w:rPr>
              <w:t>(1) The report does not sufficiently explain the design of the options, nor (2) the link between policy options and specific objectives. (3) It does not clearly set out the rationale, content and functioning of key measures, including (3a) the rules on rail journey continuation, (3b) the coverage of SMEs, (3c) the designation of indispensable actors and (3d) the role of competent public authorities.</w:t>
            </w:r>
          </w:p>
        </w:tc>
        <w:tc>
          <w:tcPr>
            <w:tcW w:w="6064" w:type="dxa"/>
            <w:tcBorders>
              <w:bottom w:val="single" w:sz="4" w:space="0" w:color="auto"/>
            </w:tcBorders>
          </w:tcPr>
          <w:p w14:paraId="5780BBB6" w14:textId="61899DAA" w:rsidR="00EC2E10" w:rsidRPr="002500DA" w:rsidRDefault="00EC2E10">
            <w:pPr>
              <w:spacing w:after="120"/>
              <w:jc w:val="both"/>
              <w:rPr>
                <w:rFonts w:eastAsia="Verdana"/>
                <w:noProof/>
                <w:color w:val="000000" w:themeColor="text1"/>
                <w:sz w:val="21"/>
                <w:szCs w:val="21"/>
              </w:rPr>
            </w:pPr>
            <w:r w:rsidRPr="002500DA">
              <w:rPr>
                <w:rFonts w:eastAsia="Verdana"/>
                <w:noProof/>
                <w:color w:val="000000" w:themeColor="text1"/>
                <w:sz w:val="21"/>
                <w:szCs w:val="21"/>
              </w:rPr>
              <w:t xml:space="preserve">(1) To effectively address the objectives and appropriately tackle the problems, in line with the RSB comments, the revised IA </w:t>
            </w:r>
            <w:r w:rsidR="00762624" w:rsidRPr="002500DA">
              <w:rPr>
                <w:rFonts w:eastAsia="Verdana"/>
                <w:noProof/>
                <w:color w:val="000000" w:themeColor="text1"/>
                <w:sz w:val="21"/>
                <w:szCs w:val="21"/>
              </w:rPr>
              <w:t>report</w:t>
            </w:r>
            <w:r w:rsidRPr="002500DA">
              <w:rPr>
                <w:rFonts w:eastAsia="Verdana"/>
                <w:noProof/>
                <w:color w:val="000000" w:themeColor="text1"/>
                <w:sz w:val="21"/>
                <w:szCs w:val="21"/>
              </w:rPr>
              <w:t xml:space="preserve"> present</w:t>
            </w:r>
            <w:r w:rsidR="00E77129" w:rsidRPr="002500DA">
              <w:rPr>
                <w:rFonts w:eastAsia="Verdana"/>
                <w:noProof/>
                <w:color w:val="000000" w:themeColor="text1"/>
                <w:sz w:val="21"/>
                <w:szCs w:val="21"/>
              </w:rPr>
              <w:t>s</w:t>
            </w:r>
            <w:r w:rsidRPr="002500DA">
              <w:rPr>
                <w:rFonts w:eastAsia="Verdana"/>
                <w:noProof/>
                <w:color w:val="000000" w:themeColor="text1"/>
                <w:sz w:val="21"/>
                <w:szCs w:val="21"/>
              </w:rPr>
              <w:t xml:space="preserve"> the revised policy options</w:t>
            </w:r>
            <w:r w:rsidR="000C33FB" w:rsidRPr="002500DA">
              <w:rPr>
                <w:rFonts w:eastAsia="Verdana"/>
                <w:noProof/>
                <w:color w:val="000000" w:themeColor="text1"/>
                <w:sz w:val="21"/>
                <w:szCs w:val="21"/>
              </w:rPr>
              <w:t>:</w:t>
            </w:r>
            <w:r w:rsidR="00356A3F" w:rsidRPr="002500DA">
              <w:rPr>
                <w:rFonts w:eastAsia="Verdana"/>
                <w:noProof/>
                <w:color w:val="000000" w:themeColor="text1"/>
                <w:sz w:val="21"/>
                <w:szCs w:val="21"/>
              </w:rPr>
              <w:t xml:space="preserve"> </w:t>
            </w:r>
            <w:r w:rsidR="000C33FB" w:rsidRPr="002500DA">
              <w:rPr>
                <w:rFonts w:eastAsia="Verdana"/>
                <w:noProof/>
                <w:color w:val="000000" w:themeColor="text1"/>
                <w:sz w:val="21"/>
                <w:szCs w:val="21"/>
              </w:rPr>
              <w:t>PO1 covers</w:t>
            </w:r>
            <w:r w:rsidR="00903EDB" w:rsidRPr="002500DA">
              <w:rPr>
                <w:rFonts w:eastAsia="Verdana"/>
                <w:noProof/>
                <w:color w:val="000000" w:themeColor="text1"/>
                <w:sz w:val="21"/>
                <w:szCs w:val="21"/>
              </w:rPr>
              <w:t xml:space="preserve"> measures that </w:t>
            </w:r>
            <w:r w:rsidR="000C33FB" w:rsidRPr="002500DA">
              <w:rPr>
                <w:rFonts w:eastAsia="Verdana"/>
                <w:noProof/>
                <w:color w:val="000000" w:themeColor="text1"/>
                <w:sz w:val="21"/>
                <w:szCs w:val="21"/>
              </w:rPr>
              <w:t xml:space="preserve">apply across all </w:t>
            </w:r>
            <w:r w:rsidR="00B921D0" w:rsidRPr="002500DA">
              <w:rPr>
                <w:rFonts w:eastAsia="Verdana"/>
                <w:noProof/>
                <w:color w:val="000000" w:themeColor="text1"/>
                <w:sz w:val="21"/>
                <w:szCs w:val="21"/>
              </w:rPr>
              <w:t xml:space="preserve">policy </w:t>
            </w:r>
            <w:r w:rsidR="000C33FB" w:rsidRPr="002500DA">
              <w:rPr>
                <w:rFonts w:eastAsia="Verdana"/>
                <w:noProof/>
                <w:color w:val="000000" w:themeColor="text1"/>
                <w:sz w:val="21"/>
                <w:szCs w:val="21"/>
              </w:rPr>
              <w:t>options, while PO2</w:t>
            </w:r>
            <w:r w:rsidR="006936AC" w:rsidRPr="002500DA">
              <w:rPr>
                <w:rFonts w:eastAsia="Verdana"/>
                <w:noProof/>
                <w:color w:val="000000" w:themeColor="text1"/>
                <w:sz w:val="21"/>
                <w:szCs w:val="21"/>
              </w:rPr>
              <w:t xml:space="preserve"> to </w:t>
            </w:r>
            <w:r w:rsidR="000C33FB" w:rsidRPr="002500DA">
              <w:rPr>
                <w:rFonts w:eastAsia="Verdana"/>
                <w:noProof/>
                <w:color w:val="000000" w:themeColor="text1"/>
                <w:sz w:val="21"/>
                <w:szCs w:val="21"/>
              </w:rPr>
              <w:t>PO4 progressively increase the stringency of obligations placed on RUs to address SO2.</w:t>
            </w:r>
          </w:p>
          <w:p w14:paraId="00AE10AF" w14:textId="768A2B5B" w:rsidR="00EC2E10" w:rsidRPr="002500DA" w:rsidRDefault="00EC2E10">
            <w:pPr>
              <w:spacing w:after="120"/>
              <w:jc w:val="both"/>
              <w:rPr>
                <w:rFonts w:eastAsia="Verdana"/>
                <w:noProof/>
                <w:color w:val="000000" w:themeColor="text1"/>
                <w:sz w:val="21"/>
                <w:szCs w:val="21"/>
              </w:rPr>
            </w:pPr>
            <w:r w:rsidRPr="002500DA">
              <w:rPr>
                <w:rFonts w:eastAsia="Verdana"/>
                <w:noProof/>
                <w:color w:val="000000" w:themeColor="text1"/>
                <w:sz w:val="21"/>
                <w:szCs w:val="21"/>
              </w:rPr>
              <w:t xml:space="preserve">(2) All </w:t>
            </w:r>
            <w:r w:rsidR="005D606F" w:rsidRPr="002500DA">
              <w:rPr>
                <w:rFonts w:eastAsia="Verdana"/>
                <w:noProof/>
                <w:color w:val="000000" w:themeColor="text1"/>
                <w:sz w:val="21"/>
                <w:szCs w:val="21"/>
              </w:rPr>
              <w:t xml:space="preserve">policy </w:t>
            </w:r>
            <w:r w:rsidRPr="002500DA">
              <w:rPr>
                <w:rFonts w:eastAsia="Verdana"/>
                <w:noProof/>
                <w:color w:val="000000" w:themeColor="text1"/>
                <w:sz w:val="21"/>
                <w:szCs w:val="21"/>
              </w:rPr>
              <w:t xml:space="preserve">options are addressing the identified problem drivers and specific objectives with varying levels of effectiveness. </w:t>
            </w:r>
            <w:r w:rsidR="0041207B" w:rsidRPr="002500DA">
              <w:rPr>
                <w:rFonts w:eastAsia="Verdana"/>
                <w:noProof/>
                <w:color w:val="000000" w:themeColor="text1"/>
                <w:sz w:val="21"/>
                <w:szCs w:val="21"/>
              </w:rPr>
              <w:t>Section 5.2</w:t>
            </w:r>
            <w:r w:rsidR="00B2328A" w:rsidRPr="002500DA">
              <w:rPr>
                <w:rFonts w:eastAsia="Verdana"/>
                <w:noProof/>
                <w:color w:val="000000" w:themeColor="text1"/>
                <w:sz w:val="21"/>
                <w:szCs w:val="21"/>
              </w:rPr>
              <w:t xml:space="preserve"> presents an overview of the differences between policy options</w:t>
            </w:r>
            <w:r w:rsidR="00EB44D9" w:rsidRPr="002500DA">
              <w:rPr>
                <w:rFonts w:eastAsia="Verdana"/>
                <w:noProof/>
                <w:color w:val="000000" w:themeColor="text1"/>
                <w:sz w:val="21"/>
                <w:szCs w:val="21"/>
              </w:rPr>
              <w:t xml:space="preserve"> as well as a table showing </w:t>
            </w:r>
            <w:r w:rsidR="004E199C" w:rsidRPr="002500DA">
              <w:rPr>
                <w:rFonts w:eastAsia="Verdana"/>
                <w:noProof/>
                <w:color w:val="000000" w:themeColor="text1"/>
                <w:sz w:val="21"/>
                <w:szCs w:val="21"/>
              </w:rPr>
              <w:t>the links between policy measures</w:t>
            </w:r>
            <w:r w:rsidR="00A82A9B" w:rsidRPr="002500DA">
              <w:rPr>
                <w:rFonts w:eastAsia="Verdana"/>
                <w:noProof/>
                <w:color w:val="000000" w:themeColor="text1"/>
                <w:sz w:val="21"/>
                <w:szCs w:val="21"/>
              </w:rPr>
              <w:t xml:space="preserve"> and </w:t>
            </w:r>
            <w:r w:rsidR="00FE36BF" w:rsidRPr="002500DA">
              <w:rPr>
                <w:rFonts w:eastAsia="Verdana"/>
                <w:noProof/>
                <w:color w:val="000000" w:themeColor="text1"/>
                <w:sz w:val="21"/>
                <w:szCs w:val="21"/>
              </w:rPr>
              <w:t xml:space="preserve">specific objectives </w:t>
            </w:r>
            <w:r w:rsidR="00A82A9B" w:rsidRPr="002500DA">
              <w:rPr>
                <w:rFonts w:eastAsia="Verdana"/>
                <w:noProof/>
                <w:color w:val="000000" w:themeColor="text1"/>
                <w:sz w:val="21"/>
                <w:szCs w:val="21"/>
              </w:rPr>
              <w:t>(</w:t>
            </w:r>
            <w:r w:rsidR="00A82A9B" w:rsidRPr="002500DA">
              <w:rPr>
                <w:rFonts w:eastAsia="Verdana"/>
                <w:noProof/>
                <w:color w:val="000000" w:themeColor="text1"/>
                <w:sz w:val="21"/>
                <w:szCs w:val="21"/>
              </w:rPr>
              <w:fldChar w:fldCharType="begin"/>
            </w:r>
            <w:r w:rsidR="00A82A9B" w:rsidRPr="002500DA">
              <w:rPr>
                <w:rFonts w:eastAsia="Verdana"/>
                <w:noProof/>
                <w:color w:val="000000" w:themeColor="text1"/>
                <w:sz w:val="21"/>
                <w:szCs w:val="21"/>
              </w:rPr>
              <w:instrText xml:space="preserve"> REF _Ref222227488 \h </w:instrText>
            </w:r>
            <w:r w:rsidR="00A82A9B" w:rsidRPr="002500DA">
              <w:rPr>
                <w:rFonts w:eastAsia="Verdana"/>
                <w:noProof/>
                <w:color w:val="000000" w:themeColor="text1"/>
                <w:sz w:val="21"/>
                <w:szCs w:val="21"/>
              </w:rPr>
            </w:r>
            <w:r w:rsidR="00A82A9B" w:rsidRPr="002500DA">
              <w:rPr>
                <w:rFonts w:eastAsia="Verdana"/>
                <w:noProof/>
                <w:color w:val="000000" w:themeColor="text1"/>
                <w:sz w:val="21"/>
                <w:szCs w:val="21"/>
              </w:rPr>
              <w:fldChar w:fldCharType="separate"/>
            </w:r>
            <w:r>
              <w:rPr>
                <w:noProof/>
                <w:sz w:val="22"/>
                <w:szCs w:val="22"/>
              </w:rPr>
              <w:t>Table 2</w:t>
            </w:r>
            <w:r w:rsidR="00A82A9B" w:rsidRPr="002500DA">
              <w:rPr>
                <w:rFonts w:eastAsia="Verdana"/>
                <w:noProof/>
                <w:color w:val="000000" w:themeColor="text1"/>
                <w:sz w:val="21"/>
                <w:szCs w:val="21"/>
              </w:rPr>
              <w:fldChar w:fldCharType="end"/>
            </w:r>
            <w:r w:rsidR="00A82A9B" w:rsidRPr="002500DA">
              <w:rPr>
                <w:rFonts w:eastAsia="Verdana"/>
                <w:noProof/>
                <w:color w:val="000000" w:themeColor="text1"/>
                <w:sz w:val="21"/>
                <w:szCs w:val="21"/>
              </w:rPr>
              <w:t>)</w:t>
            </w:r>
            <w:r w:rsidR="00B2328A" w:rsidRPr="002500DA">
              <w:rPr>
                <w:rFonts w:eastAsia="Verdana"/>
                <w:noProof/>
                <w:color w:val="000000" w:themeColor="text1"/>
                <w:sz w:val="21"/>
                <w:szCs w:val="21"/>
              </w:rPr>
              <w:t>.</w:t>
            </w:r>
          </w:p>
          <w:p w14:paraId="00347D17" w14:textId="2C7EEC9B" w:rsidR="00CE3334" w:rsidRDefault="00EC2E10">
            <w:pPr>
              <w:spacing w:after="120"/>
              <w:jc w:val="both"/>
              <w:rPr>
                <w:rFonts w:eastAsia="Verdana"/>
                <w:noProof/>
                <w:color w:val="000000" w:themeColor="text1"/>
                <w:sz w:val="21"/>
                <w:szCs w:val="21"/>
              </w:rPr>
            </w:pPr>
            <w:r w:rsidRPr="00143775">
              <w:rPr>
                <w:rFonts w:eastAsia="Verdana"/>
                <w:noProof/>
                <w:color w:val="000000" w:themeColor="text1"/>
                <w:sz w:val="21"/>
                <w:szCs w:val="21"/>
              </w:rPr>
              <w:t xml:space="preserve">(3) </w:t>
            </w:r>
            <w:r w:rsidRPr="002500DA">
              <w:rPr>
                <w:rFonts w:eastAsia="Verdana"/>
                <w:noProof/>
                <w:color w:val="000000" w:themeColor="text1"/>
                <w:sz w:val="21"/>
                <w:szCs w:val="21"/>
              </w:rPr>
              <w:t xml:space="preserve">The policy measures </w:t>
            </w:r>
            <w:r w:rsidR="004C1E41" w:rsidRPr="002500DA">
              <w:rPr>
                <w:rFonts w:eastAsia="Verdana"/>
                <w:noProof/>
                <w:color w:val="000000" w:themeColor="text1"/>
                <w:sz w:val="21"/>
                <w:szCs w:val="21"/>
              </w:rPr>
              <w:t>are</w:t>
            </w:r>
            <w:r w:rsidRPr="002500DA">
              <w:rPr>
                <w:rFonts w:eastAsia="Verdana"/>
                <w:noProof/>
                <w:color w:val="000000" w:themeColor="text1"/>
                <w:sz w:val="21"/>
                <w:szCs w:val="21"/>
              </w:rPr>
              <w:t xml:space="preserve"> elaborated in more detail</w:t>
            </w:r>
            <w:r w:rsidR="00D0537C" w:rsidRPr="002500DA">
              <w:rPr>
                <w:rFonts w:eastAsia="Verdana"/>
                <w:noProof/>
                <w:color w:val="000000" w:themeColor="text1"/>
                <w:sz w:val="21"/>
                <w:szCs w:val="21"/>
              </w:rPr>
              <w:t xml:space="preserve"> in </w:t>
            </w:r>
            <w:r w:rsidR="00812E2E" w:rsidRPr="002500DA">
              <w:rPr>
                <w:rFonts w:eastAsia="Verdana"/>
                <w:noProof/>
                <w:color w:val="000000" w:themeColor="text1"/>
                <w:sz w:val="21"/>
                <w:szCs w:val="21"/>
              </w:rPr>
              <w:t>section</w:t>
            </w:r>
            <w:r w:rsidR="00D0537C" w:rsidRPr="002500DA">
              <w:rPr>
                <w:rFonts w:eastAsia="Verdana"/>
                <w:noProof/>
                <w:color w:val="000000" w:themeColor="text1"/>
                <w:sz w:val="21"/>
                <w:szCs w:val="21"/>
              </w:rPr>
              <w:t xml:space="preserve"> 5</w:t>
            </w:r>
            <w:r w:rsidR="00812E2E" w:rsidRPr="002500DA">
              <w:rPr>
                <w:rFonts w:eastAsia="Verdana"/>
                <w:noProof/>
                <w:color w:val="000000" w:themeColor="text1"/>
                <w:sz w:val="21"/>
                <w:szCs w:val="21"/>
              </w:rPr>
              <w:t>.2</w:t>
            </w:r>
            <w:r w:rsidR="00D0537C" w:rsidRPr="002500DA">
              <w:rPr>
                <w:rFonts w:eastAsia="Verdana"/>
                <w:noProof/>
                <w:color w:val="000000" w:themeColor="text1"/>
                <w:sz w:val="21"/>
                <w:szCs w:val="21"/>
              </w:rPr>
              <w:t xml:space="preserve"> and Annex 8</w:t>
            </w:r>
            <w:r w:rsidR="00812E2E" w:rsidRPr="002500DA">
              <w:rPr>
                <w:rFonts w:eastAsia="Verdana"/>
                <w:noProof/>
                <w:color w:val="000000" w:themeColor="text1"/>
                <w:sz w:val="21"/>
                <w:szCs w:val="21"/>
              </w:rPr>
              <w:t xml:space="preserve"> of the revised IA report</w:t>
            </w:r>
            <w:r w:rsidRPr="002500DA">
              <w:rPr>
                <w:rFonts w:eastAsia="Verdana"/>
                <w:noProof/>
                <w:color w:val="000000" w:themeColor="text1"/>
                <w:sz w:val="21"/>
                <w:szCs w:val="21"/>
              </w:rPr>
              <w:t xml:space="preserve">, including their content, </w:t>
            </w:r>
            <w:bookmarkStart w:id="250" w:name="_Int_2bghTljG"/>
            <w:r w:rsidRPr="002500DA">
              <w:rPr>
                <w:rFonts w:eastAsia="Verdana"/>
                <w:noProof/>
                <w:color w:val="000000" w:themeColor="text1"/>
                <w:sz w:val="21"/>
                <w:szCs w:val="21"/>
              </w:rPr>
              <w:t>rationale</w:t>
            </w:r>
            <w:bookmarkEnd w:id="250"/>
            <w:r w:rsidRPr="002500DA">
              <w:rPr>
                <w:rFonts w:eastAsia="Verdana"/>
                <w:noProof/>
                <w:color w:val="000000" w:themeColor="text1"/>
                <w:sz w:val="21"/>
                <w:szCs w:val="21"/>
              </w:rPr>
              <w:t xml:space="preserve"> and the way they would work. </w:t>
            </w:r>
            <w:r w:rsidR="00E04F1B" w:rsidRPr="002500DA">
              <w:rPr>
                <w:rFonts w:eastAsia="Verdana"/>
                <w:noProof/>
                <w:color w:val="000000" w:themeColor="text1"/>
                <w:sz w:val="21"/>
                <w:szCs w:val="21"/>
              </w:rPr>
              <w:t xml:space="preserve">(3a) </w:t>
            </w:r>
            <w:r w:rsidRPr="002500DA">
              <w:rPr>
                <w:rFonts w:eastAsia="Verdana"/>
                <w:noProof/>
                <w:color w:val="000000" w:themeColor="text1"/>
                <w:sz w:val="21"/>
                <w:szCs w:val="21"/>
              </w:rPr>
              <w:t>Following the RSB comments</w:t>
            </w:r>
            <w:r w:rsidRPr="00143775">
              <w:rPr>
                <w:rFonts w:eastAsia="Verdana"/>
                <w:noProof/>
                <w:color w:val="000000" w:themeColor="text1"/>
                <w:sz w:val="21"/>
                <w:szCs w:val="21"/>
              </w:rPr>
              <w:t xml:space="preserve">, </w:t>
            </w:r>
            <w:r w:rsidRPr="002500DA">
              <w:rPr>
                <w:rFonts w:eastAsia="Verdana"/>
                <w:noProof/>
                <w:color w:val="000000" w:themeColor="text1"/>
                <w:sz w:val="21"/>
                <w:szCs w:val="21"/>
              </w:rPr>
              <w:t xml:space="preserve">the rules concerning the continuation of rail journeys are </w:t>
            </w:r>
            <w:r w:rsidR="00B63730" w:rsidRPr="002500DA">
              <w:rPr>
                <w:rFonts w:eastAsia="Verdana"/>
                <w:noProof/>
                <w:color w:val="000000" w:themeColor="text1"/>
                <w:sz w:val="21"/>
                <w:szCs w:val="21"/>
              </w:rPr>
              <w:t>left</w:t>
            </w:r>
            <w:r w:rsidRPr="002500DA">
              <w:rPr>
                <w:rFonts w:eastAsia="Verdana"/>
                <w:noProof/>
                <w:color w:val="000000" w:themeColor="text1"/>
                <w:sz w:val="21"/>
                <w:szCs w:val="21"/>
              </w:rPr>
              <w:t xml:space="preserve"> outside the </w:t>
            </w:r>
            <w:r w:rsidRPr="00143775">
              <w:rPr>
                <w:rFonts w:eastAsia="Verdana"/>
                <w:noProof/>
                <w:color w:val="000000" w:themeColor="text1"/>
                <w:sz w:val="21"/>
                <w:szCs w:val="21"/>
              </w:rPr>
              <w:t xml:space="preserve">scope of this IA </w:t>
            </w:r>
            <w:r w:rsidR="00CD1207">
              <w:rPr>
                <w:rFonts w:eastAsia="Verdana"/>
                <w:noProof/>
                <w:color w:val="000000" w:themeColor="text1"/>
                <w:sz w:val="21"/>
                <w:szCs w:val="21"/>
              </w:rPr>
              <w:t>report</w:t>
            </w:r>
            <w:r w:rsidRPr="002500DA">
              <w:rPr>
                <w:rFonts w:eastAsia="Verdana"/>
                <w:noProof/>
                <w:color w:val="000000" w:themeColor="text1"/>
                <w:sz w:val="21"/>
                <w:szCs w:val="21"/>
              </w:rPr>
              <w:t xml:space="preserve">. </w:t>
            </w:r>
            <w:r w:rsidR="009345B3" w:rsidRPr="002500DA">
              <w:rPr>
                <w:rFonts w:eastAsia="Verdana"/>
                <w:noProof/>
                <w:color w:val="000000" w:themeColor="text1"/>
                <w:sz w:val="21"/>
                <w:szCs w:val="21"/>
              </w:rPr>
              <w:t>Additional rail p</w:t>
            </w:r>
            <w:r w:rsidRPr="002500DA">
              <w:rPr>
                <w:rFonts w:eastAsia="Verdana"/>
                <w:noProof/>
                <w:color w:val="000000" w:themeColor="text1"/>
                <w:sz w:val="21"/>
                <w:szCs w:val="21"/>
              </w:rPr>
              <w:t>assengers’ rights</w:t>
            </w:r>
            <w:r w:rsidR="009345B3" w:rsidRPr="002500DA">
              <w:rPr>
                <w:rFonts w:eastAsia="Verdana"/>
                <w:noProof/>
                <w:color w:val="000000" w:themeColor="text1"/>
                <w:sz w:val="21"/>
                <w:szCs w:val="21"/>
              </w:rPr>
              <w:t xml:space="preserve"> </w:t>
            </w:r>
            <w:r w:rsidR="00EC7CAD" w:rsidRPr="002500DA">
              <w:rPr>
                <w:rFonts w:eastAsia="Verdana"/>
                <w:noProof/>
                <w:color w:val="000000" w:themeColor="text1"/>
                <w:sz w:val="21"/>
                <w:szCs w:val="21"/>
              </w:rPr>
              <w:t>are</w:t>
            </w:r>
            <w:r w:rsidR="009345B3" w:rsidRPr="002500DA">
              <w:rPr>
                <w:rFonts w:eastAsia="Verdana"/>
                <w:noProof/>
                <w:color w:val="000000" w:themeColor="text1"/>
                <w:sz w:val="21"/>
                <w:szCs w:val="21"/>
              </w:rPr>
              <w:t xml:space="preserve"> addressed in the context of a </w:t>
            </w:r>
            <w:r w:rsidRPr="002500DA">
              <w:rPr>
                <w:rFonts w:eastAsia="Verdana"/>
                <w:noProof/>
                <w:color w:val="000000" w:themeColor="text1"/>
                <w:sz w:val="21"/>
                <w:szCs w:val="21"/>
              </w:rPr>
              <w:t>targeted revision of the Rail Passenger Rights Regulation</w:t>
            </w:r>
            <w:r w:rsidR="00E64D5C" w:rsidRPr="002500DA">
              <w:rPr>
                <w:rFonts w:eastAsia="Verdana"/>
                <w:noProof/>
                <w:color w:val="000000" w:themeColor="text1"/>
                <w:sz w:val="21"/>
                <w:szCs w:val="21"/>
              </w:rPr>
              <w:t xml:space="preserve">, updating </w:t>
            </w:r>
            <w:r w:rsidR="00EA5F79" w:rsidRPr="002500DA">
              <w:rPr>
                <w:rFonts w:eastAsia="Verdana"/>
                <w:noProof/>
                <w:color w:val="000000" w:themeColor="text1"/>
                <w:sz w:val="21"/>
                <w:szCs w:val="21"/>
              </w:rPr>
              <w:t xml:space="preserve">the analysis of </w:t>
            </w:r>
            <w:r w:rsidR="00E64D5C" w:rsidRPr="002500DA">
              <w:rPr>
                <w:rFonts w:eastAsia="Verdana"/>
                <w:noProof/>
                <w:color w:val="000000" w:themeColor="text1"/>
                <w:sz w:val="21"/>
                <w:szCs w:val="21"/>
              </w:rPr>
              <w:t xml:space="preserve">a previously assessed measure </w:t>
            </w:r>
            <w:r w:rsidR="00131082" w:rsidRPr="002500DA">
              <w:rPr>
                <w:rFonts w:eastAsia="Verdana"/>
                <w:noProof/>
                <w:color w:val="000000" w:themeColor="text1"/>
                <w:sz w:val="21"/>
                <w:szCs w:val="21"/>
              </w:rPr>
              <w:t>in the context of an impact assessment</w:t>
            </w:r>
            <w:r w:rsidR="008F3DB2" w:rsidRPr="00BB1444">
              <w:rPr>
                <w:rFonts w:eastAsia="Verdana"/>
                <w:noProof/>
                <w:color w:val="000000" w:themeColor="text1"/>
                <w:vertAlign w:val="superscript"/>
              </w:rPr>
              <w:footnoteReference w:id="223"/>
            </w:r>
            <w:r w:rsidRPr="002500DA">
              <w:rPr>
                <w:rFonts w:eastAsia="Verdana"/>
                <w:noProof/>
                <w:color w:val="000000" w:themeColor="text1"/>
                <w:sz w:val="21"/>
                <w:szCs w:val="21"/>
              </w:rPr>
              <w:t>.</w:t>
            </w:r>
            <w:r w:rsidR="00DD257D" w:rsidRPr="002500DA">
              <w:rPr>
                <w:rFonts w:eastAsia="Verdana"/>
                <w:noProof/>
                <w:color w:val="000000" w:themeColor="text1"/>
                <w:sz w:val="21"/>
                <w:szCs w:val="21"/>
              </w:rPr>
              <w:t xml:space="preserve"> </w:t>
            </w:r>
            <w:r w:rsidR="007868DE" w:rsidRPr="68A2A221">
              <w:rPr>
                <w:rFonts w:eastAsia="Verdana"/>
                <w:noProof/>
                <w:color w:val="000000" w:themeColor="text1"/>
                <w:sz w:val="21"/>
                <w:szCs w:val="21"/>
              </w:rPr>
              <w:t>The measure corresponding to the political guidelines on extending rail passenger rights to tickets bought in a single transaction on one platform has been already assessed in the 2017 Impact assessment and the assessment of impact of this measure is being updated to provide for an up</w:t>
            </w:r>
            <w:r w:rsidR="004516F7" w:rsidRPr="68A2A221">
              <w:rPr>
                <w:rFonts w:eastAsia="Verdana"/>
                <w:noProof/>
                <w:color w:val="000000" w:themeColor="text1"/>
                <w:sz w:val="21"/>
                <w:szCs w:val="21"/>
              </w:rPr>
              <w:t>-</w:t>
            </w:r>
            <w:r w:rsidR="007868DE" w:rsidRPr="68A2A221">
              <w:rPr>
                <w:rFonts w:eastAsia="Verdana"/>
                <w:noProof/>
                <w:color w:val="000000" w:themeColor="text1"/>
                <w:sz w:val="21"/>
                <w:szCs w:val="21"/>
              </w:rPr>
              <w:t>to</w:t>
            </w:r>
            <w:r w:rsidR="004516F7" w:rsidRPr="68A2A221">
              <w:rPr>
                <w:rFonts w:eastAsia="Verdana"/>
                <w:noProof/>
                <w:color w:val="000000" w:themeColor="text1"/>
                <w:sz w:val="21"/>
                <w:szCs w:val="21"/>
              </w:rPr>
              <w:t>-</w:t>
            </w:r>
            <w:r w:rsidR="007868DE" w:rsidRPr="68A2A221">
              <w:rPr>
                <w:rFonts w:eastAsia="Verdana"/>
                <w:noProof/>
                <w:color w:val="000000" w:themeColor="text1"/>
                <w:sz w:val="21"/>
                <w:szCs w:val="21"/>
              </w:rPr>
              <w:t>date estimation of the expected impacts of this measure</w:t>
            </w:r>
            <w:r w:rsidR="009D470A" w:rsidRPr="68A2A221">
              <w:rPr>
                <w:rFonts w:eastAsia="Verdana"/>
                <w:noProof/>
                <w:color w:val="000000" w:themeColor="text1"/>
                <w:sz w:val="21"/>
                <w:szCs w:val="21"/>
              </w:rPr>
              <w:t xml:space="preserve"> in the form of a cost-benefit analysis</w:t>
            </w:r>
            <w:r w:rsidR="007868DE" w:rsidRPr="68A2A221">
              <w:rPr>
                <w:rFonts w:eastAsia="Verdana"/>
                <w:noProof/>
                <w:color w:val="000000" w:themeColor="text1"/>
                <w:sz w:val="21"/>
                <w:szCs w:val="21"/>
              </w:rPr>
              <w:t xml:space="preserve">. </w:t>
            </w:r>
            <w:r w:rsidR="004516F7" w:rsidRPr="68A2A221">
              <w:rPr>
                <w:rFonts w:eastAsia="Verdana"/>
                <w:noProof/>
                <w:color w:val="000000" w:themeColor="text1"/>
                <w:sz w:val="21"/>
                <w:szCs w:val="21"/>
              </w:rPr>
              <w:t xml:space="preserve">This </w:t>
            </w:r>
            <w:r w:rsidR="009D470A" w:rsidRPr="68A2A221">
              <w:rPr>
                <w:rFonts w:eastAsia="Verdana"/>
                <w:noProof/>
                <w:color w:val="000000" w:themeColor="text1"/>
                <w:sz w:val="21"/>
                <w:szCs w:val="21"/>
              </w:rPr>
              <w:t>is being</w:t>
            </w:r>
            <w:r w:rsidR="004516F7" w:rsidRPr="68A2A221">
              <w:rPr>
                <w:rFonts w:eastAsia="Verdana"/>
                <w:noProof/>
                <w:color w:val="000000" w:themeColor="text1"/>
                <w:sz w:val="21"/>
                <w:szCs w:val="21"/>
              </w:rPr>
              <w:t xml:space="preserve"> presented in an analytical Staff Working Document</w:t>
            </w:r>
            <w:r w:rsidR="009D470A" w:rsidRPr="68A2A221">
              <w:rPr>
                <w:rFonts w:eastAsia="Verdana"/>
                <w:noProof/>
                <w:color w:val="000000" w:themeColor="text1"/>
                <w:sz w:val="21"/>
                <w:szCs w:val="21"/>
              </w:rPr>
              <w:t xml:space="preserve">. </w:t>
            </w:r>
          </w:p>
          <w:p w14:paraId="5E7C70B3" w14:textId="522832A4" w:rsidR="00CE3334" w:rsidRDefault="00650763">
            <w:pPr>
              <w:spacing w:after="120"/>
              <w:jc w:val="both"/>
              <w:rPr>
                <w:rFonts w:eastAsia="Verdana"/>
                <w:noProof/>
                <w:color w:val="000000" w:themeColor="text1"/>
                <w:sz w:val="21"/>
                <w:szCs w:val="21"/>
              </w:rPr>
            </w:pPr>
            <w:r w:rsidRPr="002500DA">
              <w:rPr>
                <w:rFonts w:eastAsia="Verdana"/>
                <w:noProof/>
                <w:color w:val="000000" w:themeColor="text1"/>
                <w:sz w:val="21"/>
                <w:szCs w:val="21"/>
              </w:rPr>
              <w:t xml:space="preserve">(3b) Section </w:t>
            </w:r>
            <w:r w:rsidR="00446A34" w:rsidRPr="002500DA">
              <w:rPr>
                <w:rFonts w:eastAsia="Verdana"/>
                <w:noProof/>
                <w:color w:val="000000" w:themeColor="text1"/>
                <w:sz w:val="21"/>
                <w:szCs w:val="21"/>
              </w:rPr>
              <w:t>5.2</w:t>
            </w:r>
            <w:r w:rsidR="005A6D0D" w:rsidRPr="002500DA">
              <w:rPr>
                <w:rFonts w:eastAsia="Verdana"/>
                <w:noProof/>
                <w:color w:val="000000" w:themeColor="text1"/>
                <w:sz w:val="21"/>
                <w:szCs w:val="21"/>
              </w:rPr>
              <w:t xml:space="preserve"> clarifies that SMEs are not covered by the obligations included in the policy options</w:t>
            </w:r>
            <w:r w:rsidR="00E60666" w:rsidRPr="002500DA">
              <w:rPr>
                <w:rFonts w:eastAsia="Verdana"/>
                <w:noProof/>
                <w:color w:val="000000" w:themeColor="text1"/>
                <w:sz w:val="21"/>
                <w:szCs w:val="21"/>
              </w:rPr>
              <w:t>, whilst still benefiting from some of the provisions</w:t>
            </w:r>
            <w:r w:rsidR="00655E14" w:rsidRPr="002500DA">
              <w:rPr>
                <w:rFonts w:eastAsia="Verdana"/>
                <w:noProof/>
                <w:color w:val="000000" w:themeColor="text1"/>
                <w:sz w:val="21"/>
                <w:szCs w:val="21"/>
              </w:rPr>
              <w:t>.</w:t>
            </w:r>
            <w:r w:rsidR="00EC2E10" w:rsidRPr="002500DA">
              <w:rPr>
                <w:rFonts w:eastAsia="Verdana"/>
                <w:noProof/>
                <w:color w:val="000000" w:themeColor="text1"/>
                <w:sz w:val="21"/>
                <w:szCs w:val="21"/>
              </w:rPr>
              <w:t xml:space="preserve"> </w:t>
            </w:r>
            <w:r w:rsidR="00643522" w:rsidRPr="002500DA">
              <w:rPr>
                <w:rFonts w:eastAsia="Verdana"/>
                <w:noProof/>
                <w:color w:val="000000" w:themeColor="text1"/>
                <w:sz w:val="21"/>
                <w:szCs w:val="21"/>
              </w:rPr>
              <w:t>The revised IA report explains how the policy options are expected to have a positive impact on transport operators by promoting a level playing field and increasing access to indispensable MDMS platforms; detailed quantified estimations of costs and cost savings for transport operators are provided in section 6.1.2 and 6.1.5 specifically on transport operators SMEs</w:t>
            </w:r>
            <w:r w:rsidR="00C44A09" w:rsidRPr="002500DA">
              <w:rPr>
                <w:rFonts w:eastAsia="Verdana"/>
                <w:noProof/>
                <w:color w:val="000000" w:themeColor="text1"/>
                <w:sz w:val="21"/>
                <w:szCs w:val="21"/>
              </w:rPr>
              <w:t>.</w:t>
            </w:r>
            <w:r w:rsidR="00643522" w:rsidRPr="002500DA">
              <w:rPr>
                <w:rFonts w:eastAsia="Verdana"/>
                <w:noProof/>
                <w:color w:val="000000" w:themeColor="text1"/>
                <w:sz w:val="21"/>
                <w:szCs w:val="21"/>
              </w:rPr>
              <w:t xml:space="preserve"> Further detail is provided in Annex 4 on these estimations including the underlying methodology. In addition, in Annex </w:t>
            </w:r>
            <w:r w:rsidR="00C44A09" w:rsidRPr="002500DA">
              <w:rPr>
                <w:rFonts w:eastAsia="Verdana"/>
                <w:noProof/>
                <w:color w:val="000000" w:themeColor="text1"/>
                <w:sz w:val="21"/>
                <w:szCs w:val="21"/>
              </w:rPr>
              <w:t>6</w:t>
            </w:r>
            <w:r w:rsidR="00643522" w:rsidRPr="002500DA">
              <w:rPr>
                <w:rFonts w:eastAsia="Verdana"/>
                <w:noProof/>
                <w:color w:val="000000" w:themeColor="text1"/>
                <w:sz w:val="21"/>
                <w:szCs w:val="21"/>
              </w:rPr>
              <w:t xml:space="preserve"> a</w:t>
            </w:r>
            <w:r w:rsidR="00C44A09" w:rsidRPr="002500DA">
              <w:rPr>
                <w:rFonts w:eastAsia="Verdana"/>
                <w:noProof/>
                <w:color w:val="000000" w:themeColor="text1"/>
                <w:sz w:val="21"/>
                <w:szCs w:val="21"/>
              </w:rPr>
              <w:t xml:space="preserve">n SME check </w:t>
            </w:r>
            <w:r w:rsidR="00643522" w:rsidRPr="002500DA">
              <w:rPr>
                <w:rFonts w:eastAsia="Verdana"/>
                <w:noProof/>
                <w:color w:val="000000" w:themeColor="text1"/>
                <w:sz w:val="21"/>
                <w:szCs w:val="21"/>
              </w:rPr>
              <w:t>is performed</w:t>
            </w:r>
            <w:r w:rsidR="00C44A09" w:rsidRPr="002500DA">
              <w:rPr>
                <w:rFonts w:eastAsia="Verdana"/>
                <w:noProof/>
                <w:color w:val="000000" w:themeColor="text1"/>
                <w:sz w:val="21"/>
                <w:szCs w:val="21"/>
              </w:rPr>
              <w:t>.</w:t>
            </w:r>
          </w:p>
          <w:p w14:paraId="6284943E" w14:textId="51D9EF28" w:rsidR="00C219B3" w:rsidRDefault="00EC2E10">
            <w:pPr>
              <w:spacing w:after="120"/>
              <w:jc w:val="both"/>
              <w:rPr>
                <w:rFonts w:eastAsia="Verdana"/>
                <w:noProof/>
                <w:color w:val="000000" w:themeColor="text1"/>
                <w:sz w:val="21"/>
                <w:szCs w:val="21"/>
              </w:rPr>
            </w:pPr>
            <w:r w:rsidRPr="00143775">
              <w:rPr>
                <w:rFonts w:eastAsia="Verdana"/>
                <w:noProof/>
                <w:color w:val="000000" w:themeColor="text1"/>
                <w:sz w:val="21"/>
                <w:szCs w:val="21"/>
              </w:rPr>
              <w:t xml:space="preserve">(3c) </w:t>
            </w:r>
            <w:r w:rsidRPr="002500DA">
              <w:rPr>
                <w:rFonts w:eastAsia="Verdana"/>
                <w:noProof/>
                <w:color w:val="000000" w:themeColor="text1"/>
                <w:sz w:val="21"/>
                <w:szCs w:val="21"/>
              </w:rPr>
              <w:t xml:space="preserve">Additionally, the designation of indispensable </w:t>
            </w:r>
            <w:r w:rsidR="001358ED" w:rsidRPr="002500DA">
              <w:rPr>
                <w:rFonts w:eastAsia="Verdana"/>
                <w:noProof/>
                <w:color w:val="000000" w:themeColor="text1"/>
                <w:sz w:val="21"/>
                <w:szCs w:val="21"/>
              </w:rPr>
              <w:t>RU</w:t>
            </w:r>
            <w:r w:rsidRPr="002500DA">
              <w:rPr>
                <w:rFonts w:eastAsia="Verdana"/>
                <w:noProof/>
                <w:color w:val="000000" w:themeColor="text1"/>
                <w:sz w:val="21"/>
                <w:szCs w:val="21"/>
              </w:rPr>
              <w:t xml:space="preserve">s and </w:t>
            </w:r>
            <w:r w:rsidR="00237501" w:rsidRPr="002500DA">
              <w:rPr>
                <w:rFonts w:eastAsia="Verdana"/>
                <w:noProof/>
                <w:color w:val="000000" w:themeColor="text1"/>
                <w:sz w:val="21"/>
                <w:szCs w:val="21"/>
              </w:rPr>
              <w:t xml:space="preserve">B2C </w:t>
            </w:r>
            <w:r w:rsidRPr="002500DA">
              <w:rPr>
                <w:rFonts w:eastAsia="Verdana"/>
                <w:noProof/>
                <w:color w:val="000000" w:themeColor="text1"/>
                <w:sz w:val="21"/>
                <w:szCs w:val="21"/>
              </w:rPr>
              <w:t>MDMS</w:t>
            </w:r>
            <w:r w:rsidR="00237501" w:rsidRPr="002500DA">
              <w:rPr>
                <w:rFonts w:eastAsia="Verdana"/>
                <w:noProof/>
                <w:color w:val="000000" w:themeColor="text1"/>
                <w:sz w:val="21"/>
                <w:szCs w:val="21"/>
              </w:rPr>
              <w:t xml:space="preserve"> platforms</w:t>
            </w:r>
            <w:r w:rsidRPr="002500DA">
              <w:rPr>
                <w:rFonts w:eastAsia="Verdana"/>
                <w:noProof/>
                <w:color w:val="000000" w:themeColor="text1"/>
                <w:sz w:val="21"/>
                <w:szCs w:val="21"/>
              </w:rPr>
              <w:t xml:space="preserve"> </w:t>
            </w:r>
            <w:r w:rsidR="00487BEC" w:rsidRPr="002500DA">
              <w:rPr>
                <w:rFonts w:eastAsia="Verdana"/>
                <w:noProof/>
                <w:color w:val="000000" w:themeColor="text1"/>
                <w:sz w:val="21"/>
                <w:szCs w:val="21"/>
              </w:rPr>
              <w:t>is</w:t>
            </w:r>
            <w:r w:rsidRPr="002500DA">
              <w:rPr>
                <w:rFonts w:eastAsia="Verdana"/>
                <w:noProof/>
                <w:color w:val="000000" w:themeColor="text1"/>
                <w:sz w:val="21"/>
                <w:szCs w:val="21"/>
              </w:rPr>
              <w:t xml:space="preserve"> further clarified, including: (i) an explanation </w:t>
            </w:r>
            <w:r w:rsidR="003762DB" w:rsidRPr="002500DA">
              <w:rPr>
                <w:rFonts w:eastAsia="Verdana"/>
                <w:noProof/>
                <w:color w:val="000000" w:themeColor="text1"/>
                <w:sz w:val="21"/>
                <w:szCs w:val="21"/>
              </w:rPr>
              <w:t xml:space="preserve">in </w:t>
            </w:r>
            <w:r w:rsidR="0030142B" w:rsidRPr="002500DA">
              <w:rPr>
                <w:rFonts w:eastAsia="Verdana"/>
                <w:noProof/>
                <w:color w:val="000000" w:themeColor="text1"/>
                <w:sz w:val="21"/>
                <w:szCs w:val="21"/>
              </w:rPr>
              <w:t>section 5</w:t>
            </w:r>
            <w:r w:rsidR="00984350" w:rsidRPr="002500DA">
              <w:rPr>
                <w:rFonts w:eastAsia="Verdana"/>
                <w:noProof/>
                <w:color w:val="000000" w:themeColor="text1"/>
                <w:sz w:val="21"/>
                <w:szCs w:val="21"/>
              </w:rPr>
              <w:t>.2</w:t>
            </w:r>
            <w:r w:rsidR="003762DB" w:rsidRPr="002500DA">
              <w:rPr>
                <w:rFonts w:eastAsia="Verdana"/>
                <w:noProof/>
                <w:color w:val="000000" w:themeColor="text1"/>
                <w:sz w:val="21"/>
                <w:szCs w:val="21"/>
              </w:rPr>
              <w:t xml:space="preserve"> </w:t>
            </w:r>
            <w:r w:rsidRPr="002500DA">
              <w:rPr>
                <w:rFonts w:eastAsia="Verdana"/>
                <w:noProof/>
                <w:color w:val="000000" w:themeColor="text1"/>
                <w:sz w:val="21"/>
                <w:szCs w:val="21"/>
              </w:rPr>
              <w:t xml:space="preserve">of the </w:t>
            </w:r>
            <w:r w:rsidR="00237501" w:rsidRPr="002500DA">
              <w:rPr>
                <w:rFonts w:eastAsia="Verdana"/>
                <w:noProof/>
                <w:color w:val="000000" w:themeColor="text1"/>
                <w:sz w:val="21"/>
                <w:szCs w:val="21"/>
              </w:rPr>
              <w:t xml:space="preserve">choice of the proxies and </w:t>
            </w:r>
            <w:r w:rsidRPr="002500DA">
              <w:rPr>
                <w:rFonts w:eastAsia="Verdana"/>
                <w:noProof/>
                <w:color w:val="000000" w:themeColor="text1"/>
                <w:sz w:val="21"/>
                <w:szCs w:val="21"/>
              </w:rPr>
              <w:t xml:space="preserve">of the thresholds used to determine significant market </w:t>
            </w:r>
            <w:r w:rsidR="00237501" w:rsidRPr="002500DA">
              <w:rPr>
                <w:rFonts w:eastAsia="Verdana"/>
                <w:noProof/>
                <w:color w:val="000000" w:themeColor="text1"/>
                <w:sz w:val="21"/>
                <w:szCs w:val="21"/>
              </w:rPr>
              <w:t>presence</w:t>
            </w:r>
            <w:r w:rsidRPr="002500DA">
              <w:rPr>
                <w:rFonts w:eastAsia="Verdana"/>
                <w:noProof/>
                <w:color w:val="000000" w:themeColor="text1"/>
                <w:sz w:val="21"/>
                <w:szCs w:val="21"/>
              </w:rPr>
              <w:t xml:space="preserve"> and </w:t>
            </w:r>
            <w:r w:rsidR="00301EDC" w:rsidRPr="002500DA">
              <w:rPr>
                <w:rFonts w:eastAsia="Verdana"/>
                <w:noProof/>
                <w:color w:val="000000" w:themeColor="text1"/>
                <w:sz w:val="21"/>
                <w:szCs w:val="21"/>
              </w:rPr>
              <w:t>tran</w:t>
            </w:r>
            <w:r w:rsidR="00FE5292" w:rsidRPr="002500DA">
              <w:rPr>
                <w:rFonts w:eastAsia="Verdana"/>
                <w:noProof/>
                <w:color w:val="000000" w:themeColor="text1"/>
                <w:sz w:val="21"/>
                <w:szCs w:val="21"/>
              </w:rPr>
              <w:t>scribe</w:t>
            </w:r>
            <w:r w:rsidRPr="002500DA">
              <w:rPr>
                <w:rFonts w:eastAsia="Verdana"/>
                <w:noProof/>
                <w:color w:val="000000" w:themeColor="text1"/>
                <w:sz w:val="21"/>
                <w:szCs w:val="21"/>
              </w:rPr>
              <w:t xml:space="preserve"> indispensability; (ii) the process by which </w:t>
            </w:r>
            <w:r w:rsidR="001358ED" w:rsidRPr="002500DA">
              <w:rPr>
                <w:rFonts w:eastAsia="Verdana"/>
                <w:noProof/>
                <w:color w:val="000000" w:themeColor="text1"/>
                <w:sz w:val="21"/>
                <w:szCs w:val="21"/>
              </w:rPr>
              <w:t>RU</w:t>
            </w:r>
            <w:r w:rsidRPr="002500DA">
              <w:rPr>
                <w:rFonts w:eastAsia="Verdana"/>
                <w:noProof/>
                <w:color w:val="000000" w:themeColor="text1"/>
                <w:sz w:val="21"/>
                <w:szCs w:val="21"/>
              </w:rPr>
              <w:t>s and MDMS</w:t>
            </w:r>
            <w:r w:rsidRPr="00143775">
              <w:rPr>
                <w:rFonts w:eastAsia="Verdana"/>
                <w:noProof/>
                <w:color w:val="000000" w:themeColor="text1"/>
                <w:sz w:val="21"/>
                <w:szCs w:val="21"/>
              </w:rPr>
              <w:t xml:space="preserve"> platforms</w:t>
            </w:r>
            <w:r w:rsidRPr="002500DA">
              <w:rPr>
                <w:rFonts w:eastAsia="Verdana"/>
                <w:noProof/>
                <w:color w:val="000000" w:themeColor="text1"/>
                <w:sz w:val="21"/>
                <w:szCs w:val="21"/>
              </w:rPr>
              <w:t xml:space="preserve"> with significant market p</w:t>
            </w:r>
            <w:r w:rsidR="00382D06" w:rsidRPr="002500DA">
              <w:rPr>
                <w:rFonts w:eastAsia="Verdana"/>
                <w:noProof/>
                <w:color w:val="000000" w:themeColor="text1"/>
                <w:sz w:val="21"/>
                <w:szCs w:val="21"/>
              </w:rPr>
              <w:t>resence</w:t>
            </w:r>
            <w:r w:rsidRPr="002500DA">
              <w:rPr>
                <w:rFonts w:eastAsia="Verdana"/>
                <w:noProof/>
                <w:color w:val="000000" w:themeColor="text1"/>
                <w:sz w:val="21"/>
                <w:szCs w:val="21"/>
              </w:rPr>
              <w:t xml:space="preserve"> </w:t>
            </w:r>
            <w:r w:rsidRPr="00143775">
              <w:rPr>
                <w:rFonts w:eastAsia="Verdana"/>
                <w:noProof/>
                <w:color w:val="000000" w:themeColor="text1"/>
                <w:sz w:val="21"/>
                <w:szCs w:val="21"/>
              </w:rPr>
              <w:t>will be identified and designated</w:t>
            </w:r>
            <w:r w:rsidR="00620576">
              <w:rPr>
                <w:rFonts w:eastAsia="Verdana"/>
                <w:noProof/>
                <w:color w:val="000000" w:themeColor="text1"/>
                <w:sz w:val="21"/>
                <w:szCs w:val="21"/>
              </w:rPr>
              <w:t>.</w:t>
            </w:r>
            <w:r w:rsidR="00E85AE0" w:rsidRPr="00143775" w:rsidDel="00620576">
              <w:rPr>
                <w:rFonts w:eastAsia="Verdana"/>
                <w:noProof/>
                <w:color w:val="000000" w:themeColor="text1"/>
                <w:sz w:val="21"/>
                <w:szCs w:val="21"/>
              </w:rPr>
              <w:t xml:space="preserve"> </w:t>
            </w:r>
            <w:r w:rsidR="0014116A">
              <w:rPr>
                <w:rFonts w:eastAsia="Verdana"/>
                <w:noProof/>
                <w:color w:val="000000" w:themeColor="text1"/>
                <w:sz w:val="21"/>
                <w:szCs w:val="21"/>
              </w:rPr>
              <w:t>T</w:t>
            </w:r>
            <w:r w:rsidR="00620576">
              <w:rPr>
                <w:rFonts w:eastAsia="Verdana"/>
                <w:noProof/>
                <w:color w:val="000000" w:themeColor="text1"/>
                <w:sz w:val="21"/>
                <w:szCs w:val="21"/>
              </w:rPr>
              <w:t>he latter</w:t>
            </w:r>
            <w:r w:rsidR="00E85AE0" w:rsidRPr="00143775">
              <w:rPr>
                <w:rFonts w:eastAsia="Verdana"/>
                <w:noProof/>
                <w:color w:val="000000" w:themeColor="text1"/>
                <w:sz w:val="21"/>
                <w:szCs w:val="21"/>
              </w:rPr>
              <w:t xml:space="preserve"> is presented in the description of the </w:t>
            </w:r>
            <w:r w:rsidR="00327196">
              <w:rPr>
                <w:rFonts w:eastAsia="Verdana"/>
                <w:noProof/>
                <w:color w:val="000000" w:themeColor="text1"/>
                <w:sz w:val="21"/>
                <w:szCs w:val="21"/>
              </w:rPr>
              <w:t xml:space="preserve">policy </w:t>
            </w:r>
            <w:r w:rsidR="00EF5569">
              <w:rPr>
                <w:rFonts w:eastAsia="Verdana"/>
                <w:noProof/>
                <w:color w:val="000000" w:themeColor="text1"/>
                <w:sz w:val="21"/>
                <w:szCs w:val="21"/>
              </w:rPr>
              <w:t>o</w:t>
            </w:r>
            <w:r w:rsidR="00E85AE0" w:rsidRPr="00143775">
              <w:rPr>
                <w:rFonts w:eastAsia="Verdana"/>
                <w:noProof/>
                <w:color w:val="000000" w:themeColor="text1"/>
                <w:sz w:val="21"/>
                <w:szCs w:val="21"/>
              </w:rPr>
              <w:t xml:space="preserve">ptions in </w:t>
            </w:r>
            <w:r w:rsidR="00EF5569">
              <w:rPr>
                <w:rFonts w:eastAsia="Verdana"/>
                <w:noProof/>
                <w:color w:val="000000" w:themeColor="text1"/>
                <w:sz w:val="21"/>
                <w:szCs w:val="21"/>
              </w:rPr>
              <w:t>section</w:t>
            </w:r>
            <w:r w:rsidR="00EF5569" w:rsidRPr="00143775">
              <w:rPr>
                <w:rFonts w:eastAsia="Verdana"/>
                <w:noProof/>
                <w:color w:val="000000" w:themeColor="text1"/>
                <w:sz w:val="21"/>
                <w:szCs w:val="21"/>
              </w:rPr>
              <w:t xml:space="preserve"> </w:t>
            </w:r>
            <w:r w:rsidR="00E85AE0" w:rsidRPr="00143775">
              <w:rPr>
                <w:rFonts w:eastAsia="Verdana"/>
                <w:noProof/>
                <w:color w:val="000000" w:themeColor="text1"/>
                <w:sz w:val="21"/>
                <w:szCs w:val="21"/>
              </w:rPr>
              <w:t>5</w:t>
            </w:r>
            <w:r w:rsidR="00327196">
              <w:rPr>
                <w:rFonts w:eastAsia="Verdana"/>
                <w:noProof/>
                <w:color w:val="000000" w:themeColor="text1"/>
                <w:sz w:val="21"/>
                <w:szCs w:val="21"/>
              </w:rPr>
              <w:t xml:space="preserve"> and in Annex 8</w:t>
            </w:r>
            <w:r w:rsidRPr="002500DA">
              <w:rPr>
                <w:rFonts w:eastAsia="Verdana"/>
                <w:noProof/>
                <w:color w:val="000000" w:themeColor="text1"/>
                <w:sz w:val="21"/>
                <w:szCs w:val="21"/>
              </w:rPr>
              <w:t xml:space="preserve">. </w:t>
            </w:r>
          </w:p>
          <w:p w14:paraId="30C2BBB4" w14:textId="2937F37C" w:rsidR="00EC2E10" w:rsidRPr="002500DA" w:rsidRDefault="00EC2E10">
            <w:pPr>
              <w:spacing w:after="120"/>
              <w:jc w:val="both"/>
              <w:rPr>
                <w:rFonts w:eastAsia="Verdana"/>
                <w:noProof/>
                <w:color w:val="000000" w:themeColor="text1"/>
                <w:sz w:val="21"/>
                <w:szCs w:val="21"/>
              </w:rPr>
            </w:pPr>
            <w:r w:rsidRPr="00143775">
              <w:rPr>
                <w:rFonts w:eastAsia="Verdana"/>
                <w:noProof/>
                <w:color w:val="000000" w:themeColor="text1"/>
                <w:sz w:val="21"/>
                <w:szCs w:val="21"/>
              </w:rPr>
              <w:t xml:space="preserve">(3d) </w:t>
            </w:r>
            <w:r w:rsidRPr="002500DA">
              <w:rPr>
                <w:rFonts w:eastAsia="Verdana"/>
                <w:noProof/>
                <w:color w:val="000000" w:themeColor="text1"/>
                <w:sz w:val="21"/>
                <w:szCs w:val="21"/>
              </w:rPr>
              <w:t xml:space="preserve">Finally, more details </w:t>
            </w:r>
            <w:r w:rsidR="002856CF" w:rsidRPr="002500DA">
              <w:rPr>
                <w:rFonts w:eastAsia="Verdana"/>
                <w:noProof/>
                <w:color w:val="000000" w:themeColor="text1"/>
                <w:sz w:val="21"/>
                <w:szCs w:val="21"/>
              </w:rPr>
              <w:t>are</w:t>
            </w:r>
            <w:r w:rsidRPr="002500DA">
              <w:rPr>
                <w:rFonts w:eastAsia="Verdana"/>
                <w:noProof/>
                <w:color w:val="000000" w:themeColor="text1"/>
                <w:sz w:val="21"/>
                <w:szCs w:val="21"/>
              </w:rPr>
              <w:t xml:space="preserve"> provided regarding the enforcement authority, outlining its responsibilities</w:t>
            </w:r>
            <w:r w:rsidR="004A0199" w:rsidRPr="002500DA">
              <w:rPr>
                <w:rFonts w:eastAsia="Verdana"/>
                <w:noProof/>
                <w:color w:val="000000" w:themeColor="text1"/>
                <w:sz w:val="21"/>
                <w:szCs w:val="21"/>
              </w:rPr>
              <w:t xml:space="preserve"> in section 5.2 and Annex 8</w:t>
            </w:r>
            <w:r w:rsidR="00FE22A2" w:rsidRPr="002500DA">
              <w:rPr>
                <w:rFonts w:eastAsia="Verdana"/>
                <w:noProof/>
                <w:color w:val="000000" w:themeColor="text1"/>
                <w:sz w:val="21"/>
                <w:szCs w:val="21"/>
              </w:rPr>
              <w:t>.</w:t>
            </w:r>
          </w:p>
        </w:tc>
      </w:tr>
      <w:tr w:rsidR="00C25A37" w:rsidRPr="00D71008" w14:paraId="39E0B416" w14:textId="77777777" w:rsidTr="00456646">
        <w:trPr>
          <w:trHeight w:val="558"/>
        </w:trPr>
        <w:tc>
          <w:tcPr>
            <w:tcW w:w="3539" w:type="dxa"/>
            <w:tcBorders>
              <w:top w:val="single" w:sz="4" w:space="0" w:color="auto"/>
            </w:tcBorders>
          </w:tcPr>
          <w:p w14:paraId="710D2E8C" w14:textId="77777777" w:rsidR="00EC2E10" w:rsidRPr="00143775" w:rsidRDefault="00EC2E10">
            <w:pPr>
              <w:adjustRightInd w:val="0"/>
              <w:spacing w:after="120"/>
              <w:jc w:val="both"/>
              <w:rPr>
                <w:noProof/>
                <w:sz w:val="21"/>
                <w:szCs w:val="21"/>
              </w:rPr>
            </w:pPr>
            <w:r w:rsidRPr="00143775">
              <w:rPr>
                <w:noProof/>
                <w:sz w:val="21"/>
                <w:szCs w:val="21"/>
              </w:rPr>
              <w:t>(1) The report does not adequately explain the methodological approach, (2) the limitations of the evidence used, (3) the underlying assumptions, (4) and the robustness of the analytical results presented. (5) The analysis of impacts on SMEs, competitiveness and of administrative costs under the One In, One Out approach is under-developed.</w:t>
            </w:r>
          </w:p>
        </w:tc>
        <w:tc>
          <w:tcPr>
            <w:tcW w:w="6064" w:type="dxa"/>
            <w:tcBorders>
              <w:top w:val="single" w:sz="4" w:space="0" w:color="auto"/>
              <w:bottom w:val="single" w:sz="4" w:space="0" w:color="auto"/>
            </w:tcBorders>
            <w:shd w:val="clear" w:color="auto" w:fill="FFFFFF" w:themeFill="background1"/>
          </w:tcPr>
          <w:p w14:paraId="21BFAD64" w14:textId="15EE0653" w:rsidR="00EC2E10" w:rsidRPr="00143775" w:rsidRDefault="00EC2E10">
            <w:pPr>
              <w:spacing w:after="120"/>
              <w:jc w:val="both"/>
              <w:rPr>
                <w:noProof/>
                <w:sz w:val="21"/>
                <w:szCs w:val="21"/>
              </w:rPr>
            </w:pPr>
            <w:r w:rsidRPr="00143775">
              <w:rPr>
                <w:rFonts w:eastAsia="Calibri"/>
                <w:noProof/>
                <w:sz w:val="21"/>
                <w:szCs w:val="21"/>
              </w:rPr>
              <w:t xml:space="preserve">(1) The methodology to assess </w:t>
            </w:r>
            <w:r w:rsidR="00285904">
              <w:rPr>
                <w:rFonts w:eastAsia="Calibri"/>
                <w:noProof/>
                <w:sz w:val="21"/>
                <w:szCs w:val="21"/>
              </w:rPr>
              <w:t xml:space="preserve">the </w:t>
            </w:r>
            <w:r w:rsidRPr="00143775">
              <w:rPr>
                <w:rFonts w:eastAsia="Calibri"/>
                <w:noProof/>
                <w:sz w:val="21"/>
                <w:szCs w:val="21"/>
              </w:rPr>
              <w:t>impacts</w:t>
            </w:r>
            <w:r w:rsidR="00285904">
              <w:rPr>
                <w:rFonts w:eastAsia="Calibri"/>
                <w:noProof/>
                <w:sz w:val="21"/>
                <w:szCs w:val="21"/>
              </w:rPr>
              <w:t xml:space="preserve"> on modal shift has been </w:t>
            </w:r>
            <w:r w:rsidR="00314CF2">
              <w:rPr>
                <w:rFonts w:eastAsia="Calibri"/>
                <w:noProof/>
                <w:sz w:val="21"/>
                <w:szCs w:val="21"/>
              </w:rPr>
              <w:t xml:space="preserve">thoroughly </w:t>
            </w:r>
            <w:r w:rsidR="004A36D3">
              <w:rPr>
                <w:rFonts w:eastAsia="Calibri"/>
                <w:noProof/>
                <w:sz w:val="21"/>
                <w:szCs w:val="21"/>
              </w:rPr>
              <w:t>revised</w:t>
            </w:r>
            <w:r w:rsidRPr="00143775">
              <w:rPr>
                <w:rFonts w:eastAsia="Calibri"/>
                <w:noProof/>
                <w:sz w:val="21"/>
                <w:szCs w:val="21"/>
              </w:rPr>
              <w:t>,</w:t>
            </w:r>
            <w:r w:rsidR="00D15F52">
              <w:rPr>
                <w:rFonts w:eastAsia="Calibri"/>
                <w:noProof/>
                <w:sz w:val="21"/>
                <w:szCs w:val="21"/>
              </w:rPr>
              <w:t xml:space="preserve"> and builds on </w:t>
            </w:r>
            <w:r w:rsidR="00D15F52" w:rsidRPr="00143775">
              <w:rPr>
                <w:rFonts w:eastAsia="Calibri"/>
                <w:noProof/>
                <w:sz w:val="21"/>
                <w:szCs w:val="21"/>
              </w:rPr>
              <w:t>e</w:t>
            </w:r>
            <w:r w:rsidR="00285904" w:rsidRPr="00143775">
              <w:rPr>
                <w:noProof/>
                <w:sz w:val="21"/>
                <w:szCs w:val="21"/>
              </w:rPr>
              <w:t>vidence collected from a Eurobarometer survey conducted in summer 2024</w:t>
            </w:r>
            <w:r w:rsidR="00285904">
              <w:rPr>
                <w:noProof/>
                <w:sz w:val="21"/>
                <w:szCs w:val="21"/>
              </w:rPr>
              <w:t xml:space="preserve">, literature review, targeted survey and interviews, </w:t>
            </w:r>
            <w:r w:rsidR="00D019FA" w:rsidRPr="00143775">
              <w:rPr>
                <w:rFonts w:eastAsia="Calibri"/>
                <w:noProof/>
                <w:sz w:val="21"/>
                <w:szCs w:val="21"/>
              </w:rPr>
              <w:t xml:space="preserve">market analysis for </w:t>
            </w:r>
            <w:r w:rsidR="00D019FA" w:rsidRPr="00143775">
              <w:rPr>
                <w:noProof/>
                <w:sz w:val="21"/>
                <w:szCs w:val="21"/>
              </w:rPr>
              <w:t>100 routes in the EU</w:t>
            </w:r>
            <w:r w:rsidR="00D019FA">
              <w:rPr>
                <w:noProof/>
                <w:sz w:val="21"/>
                <w:szCs w:val="21"/>
              </w:rPr>
              <w:t xml:space="preserve">, </w:t>
            </w:r>
            <w:r w:rsidR="00285904">
              <w:rPr>
                <w:noProof/>
                <w:sz w:val="21"/>
                <w:szCs w:val="21"/>
              </w:rPr>
              <w:t>and two stakeholders’ workshops</w:t>
            </w:r>
            <w:r w:rsidR="00D15F52" w:rsidRPr="00143775">
              <w:rPr>
                <w:rFonts w:eastAsia="Calibri"/>
                <w:noProof/>
                <w:sz w:val="21"/>
                <w:szCs w:val="21"/>
              </w:rPr>
              <w:t xml:space="preserve"> </w:t>
            </w:r>
            <w:r w:rsidR="00D15F52">
              <w:rPr>
                <w:noProof/>
                <w:sz w:val="21"/>
                <w:szCs w:val="21"/>
              </w:rPr>
              <w:t>to validate the inputs</w:t>
            </w:r>
            <w:r w:rsidR="00312454">
              <w:rPr>
                <w:noProof/>
                <w:sz w:val="21"/>
                <w:szCs w:val="21"/>
              </w:rPr>
              <w:t xml:space="preserve"> </w:t>
            </w:r>
            <w:r w:rsidR="004A4243">
              <w:rPr>
                <w:noProof/>
                <w:sz w:val="21"/>
                <w:szCs w:val="21"/>
              </w:rPr>
              <w:t xml:space="preserve">used </w:t>
            </w:r>
            <w:r w:rsidR="00312454">
              <w:rPr>
                <w:noProof/>
                <w:sz w:val="21"/>
                <w:szCs w:val="21"/>
              </w:rPr>
              <w:t xml:space="preserve">by policy option in the ASTRA model. </w:t>
            </w:r>
            <w:r w:rsidR="00710583">
              <w:rPr>
                <w:noProof/>
                <w:sz w:val="21"/>
                <w:szCs w:val="21"/>
              </w:rPr>
              <w:t xml:space="preserve">The revised methodology is explained in detail in Annex 4 of the revised IA report. </w:t>
            </w:r>
          </w:p>
          <w:p w14:paraId="516BAAF8" w14:textId="5054FA3D" w:rsidR="00EC2E10" w:rsidRPr="00143775" w:rsidRDefault="00EC2E10">
            <w:pPr>
              <w:spacing w:after="120"/>
              <w:jc w:val="both"/>
              <w:rPr>
                <w:rFonts w:eastAsia="Calibri"/>
                <w:noProof/>
                <w:sz w:val="21"/>
                <w:szCs w:val="21"/>
              </w:rPr>
            </w:pPr>
            <w:r w:rsidRPr="00143775">
              <w:rPr>
                <w:rFonts w:eastAsia="Calibri"/>
                <w:noProof/>
                <w:sz w:val="21"/>
                <w:szCs w:val="21"/>
              </w:rPr>
              <w:t xml:space="preserve">(2) The limitations, (3) underlying assumptions and (4) robustness of the analytical results </w:t>
            </w:r>
            <w:r w:rsidR="002856CF" w:rsidRPr="00143775">
              <w:rPr>
                <w:rFonts w:eastAsia="Calibri"/>
                <w:noProof/>
                <w:sz w:val="21"/>
                <w:szCs w:val="21"/>
              </w:rPr>
              <w:t>are</w:t>
            </w:r>
            <w:r w:rsidRPr="00143775">
              <w:rPr>
                <w:rFonts w:eastAsia="Calibri"/>
                <w:noProof/>
                <w:sz w:val="21"/>
                <w:szCs w:val="21"/>
              </w:rPr>
              <w:t xml:space="preserve"> explained in </w:t>
            </w:r>
            <w:r w:rsidR="00CF29CD" w:rsidRPr="00CF29CD">
              <w:rPr>
                <w:rFonts w:eastAsia="Calibri"/>
                <w:noProof/>
                <w:sz w:val="21"/>
                <w:szCs w:val="21"/>
              </w:rPr>
              <w:t>Annex 4</w:t>
            </w:r>
            <w:r w:rsidR="008510AC">
              <w:rPr>
                <w:rFonts w:eastAsia="Calibri"/>
                <w:noProof/>
                <w:sz w:val="21"/>
                <w:szCs w:val="21"/>
              </w:rPr>
              <w:t xml:space="preserve"> of </w:t>
            </w:r>
            <w:r w:rsidRPr="00143775">
              <w:rPr>
                <w:rFonts w:eastAsia="Calibri"/>
                <w:noProof/>
                <w:sz w:val="21"/>
                <w:szCs w:val="21"/>
              </w:rPr>
              <w:t xml:space="preserve">the revised IA </w:t>
            </w:r>
            <w:r w:rsidR="008510AC">
              <w:rPr>
                <w:rFonts w:eastAsia="Calibri"/>
                <w:noProof/>
                <w:sz w:val="21"/>
                <w:szCs w:val="21"/>
              </w:rPr>
              <w:t>report</w:t>
            </w:r>
            <w:r w:rsidRPr="00CF29CD">
              <w:rPr>
                <w:rFonts w:eastAsia="Calibri"/>
                <w:noProof/>
                <w:sz w:val="21"/>
                <w:szCs w:val="21"/>
              </w:rPr>
              <w:t>.</w:t>
            </w:r>
            <w:r w:rsidR="008510AC">
              <w:rPr>
                <w:rFonts w:eastAsia="Calibri"/>
                <w:noProof/>
                <w:sz w:val="21"/>
                <w:szCs w:val="21"/>
              </w:rPr>
              <w:t xml:space="preserve"> In addition,</w:t>
            </w:r>
            <w:r w:rsidR="00FE683A">
              <w:rPr>
                <w:rFonts w:eastAsia="Calibri"/>
                <w:noProof/>
                <w:sz w:val="21"/>
                <w:szCs w:val="21"/>
              </w:rPr>
              <w:t xml:space="preserve"> sensitivity analysis </w:t>
            </w:r>
            <w:r w:rsidR="00D5165F">
              <w:rPr>
                <w:rFonts w:eastAsia="Calibri"/>
                <w:noProof/>
                <w:sz w:val="21"/>
                <w:szCs w:val="21"/>
              </w:rPr>
              <w:t xml:space="preserve">on modal shift </w:t>
            </w:r>
            <w:r w:rsidR="00E34675" w:rsidRPr="00E34675">
              <w:rPr>
                <w:rFonts w:eastAsia="Calibri"/>
                <w:noProof/>
                <w:sz w:val="21"/>
                <w:szCs w:val="21"/>
              </w:rPr>
              <w:t xml:space="preserve">and on thresholds to identify MDMS platforms and railway undertakings with significant market presence </w:t>
            </w:r>
            <w:r w:rsidR="00FE683A">
              <w:rPr>
                <w:rFonts w:eastAsia="Calibri"/>
                <w:noProof/>
                <w:sz w:val="21"/>
                <w:szCs w:val="21"/>
              </w:rPr>
              <w:t>has been performed and is presented</w:t>
            </w:r>
            <w:r w:rsidR="003E54D6" w:rsidRPr="00143775">
              <w:rPr>
                <w:rFonts w:eastAsia="Calibri"/>
                <w:noProof/>
                <w:sz w:val="21"/>
                <w:szCs w:val="21"/>
              </w:rPr>
              <w:t xml:space="preserve"> </w:t>
            </w:r>
            <w:r w:rsidR="003E54D6" w:rsidRPr="00CF29CD">
              <w:rPr>
                <w:rFonts w:eastAsia="Calibri"/>
                <w:noProof/>
                <w:sz w:val="21"/>
                <w:szCs w:val="21"/>
              </w:rPr>
              <w:t xml:space="preserve">in </w:t>
            </w:r>
            <w:r w:rsidR="00FE683A">
              <w:rPr>
                <w:rFonts w:eastAsia="Calibri"/>
                <w:noProof/>
                <w:sz w:val="21"/>
                <w:szCs w:val="21"/>
              </w:rPr>
              <w:t>section 7.6 of the revised IA report</w:t>
            </w:r>
            <w:r w:rsidRPr="00CF29CD">
              <w:rPr>
                <w:rFonts w:eastAsia="Calibri"/>
                <w:noProof/>
                <w:sz w:val="21"/>
                <w:szCs w:val="21"/>
              </w:rPr>
              <w:t>.</w:t>
            </w:r>
            <w:r w:rsidRPr="00143775">
              <w:rPr>
                <w:rFonts w:eastAsia="Calibri"/>
                <w:noProof/>
                <w:sz w:val="21"/>
                <w:szCs w:val="21"/>
              </w:rPr>
              <w:t xml:space="preserve"> </w:t>
            </w:r>
          </w:p>
          <w:p w14:paraId="2C61AAC3" w14:textId="1CAE73B0" w:rsidR="00EC2E10" w:rsidRPr="00143775" w:rsidRDefault="00EC2E10">
            <w:pPr>
              <w:spacing w:after="120"/>
              <w:jc w:val="both"/>
              <w:rPr>
                <w:rFonts w:eastAsia="Calibri"/>
                <w:noProof/>
                <w:sz w:val="21"/>
                <w:szCs w:val="21"/>
              </w:rPr>
            </w:pPr>
            <w:r w:rsidRPr="00143775">
              <w:rPr>
                <w:noProof/>
                <w:sz w:val="21"/>
                <w:szCs w:val="21"/>
              </w:rPr>
              <w:t xml:space="preserve">(5) </w:t>
            </w:r>
            <w:r w:rsidR="00E94E60">
              <w:rPr>
                <w:noProof/>
                <w:sz w:val="21"/>
                <w:szCs w:val="21"/>
              </w:rPr>
              <w:t xml:space="preserve">The </w:t>
            </w:r>
            <w:r w:rsidRPr="00143775">
              <w:rPr>
                <w:noProof/>
                <w:sz w:val="21"/>
                <w:szCs w:val="21"/>
              </w:rPr>
              <w:t xml:space="preserve">SME check </w:t>
            </w:r>
            <w:r w:rsidR="00E02CC0">
              <w:rPr>
                <w:noProof/>
                <w:sz w:val="21"/>
                <w:szCs w:val="21"/>
              </w:rPr>
              <w:t xml:space="preserve">(Annex 6 of the revised IA report) </w:t>
            </w:r>
            <w:r w:rsidRPr="00143775">
              <w:rPr>
                <w:noProof/>
                <w:sz w:val="21"/>
                <w:szCs w:val="21"/>
              </w:rPr>
              <w:t xml:space="preserve">and competitiveness check </w:t>
            </w:r>
            <w:r w:rsidR="00E02CC0">
              <w:rPr>
                <w:noProof/>
                <w:sz w:val="21"/>
                <w:szCs w:val="21"/>
              </w:rPr>
              <w:t xml:space="preserve">(Annex 5 of the revised IA report) </w:t>
            </w:r>
            <w:r w:rsidR="005A3A8D" w:rsidRPr="00143775">
              <w:rPr>
                <w:noProof/>
                <w:sz w:val="21"/>
                <w:szCs w:val="21"/>
              </w:rPr>
              <w:t>have been</w:t>
            </w:r>
            <w:r w:rsidRPr="00143775">
              <w:rPr>
                <w:noProof/>
                <w:sz w:val="21"/>
                <w:szCs w:val="21"/>
              </w:rPr>
              <w:t xml:space="preserve"> performed, and the analysis </w:t>
            </w:r>
            <w:r w:rsidR="0021406D">
              <w:rPr>
                <w:noProof/>
                <w:sz w:val="21"/>
                <w:szCs w:val="21"/>
              </w:rPr>
              <w:t>has been</w:t>
            </w:r>
            <w:r w:rsidR="0021406D" w:rsidRPr="00143775">
              <w:rPr>
                <w:noProof/>
                <w:sz w:val="21"/>
                <w:szCs w:val="21"/>
              </w:rPr>
              <w:t xml:space="preserve"> </w:t>
            </w:r>
            <w:r w:rsidRPr="00143775">
              <w:rPr>
                <w:noProof/>
                <w:sz w:val="21"/>
                <w:szCs w:val="21"/>
              </w:rPr>
              <w:t xml:space="preserve">reinforced. </w:t>
            </w:r>
            <w:r w:rsidR="000207FE">
              <w:rPr>
                <w:noProof/>
                <w:sz w:val="21"/>
                <w:szCs w:val="21"/>
              </w:rPr>
              <w:t xml:space="preserve">A separate Annex </w:t>
            </w:r>
            <w:r w:rsidR="006F503E">
              <w:rPr>
                <w:noProof/>
                <w:sz w:val="21"/>
                <w:szCs w:val="21"/>
              </w:rPr>
              <w:t xml:space="preserve">with detailed assessment of </w:t>
            </w:r>
            <w:r w:rsidR="004C788B">
              <w:rPr>
                <w:noProof/>
                <w:sz w:val="21"/>
                <w:szCs w:val="21"/>
              </w:rPr>
              <w:t>competition</w:t>
            </w:r>
            <w:r w:rsidR="006F503E">
              <w:rPr>
                <w:noProof/>
                <w:sz w:val="21"/>
                <w:szCs w:val="21"/>
              </w:rPr>
              <w:t xml:space="preserve"> has been elaborated in Annex 13.</w:t>
            </w:r>
            <w:r w:rsidR="000207FE">
              <w:rPr>
                <w:noProof/>
                <w:sz w:val="21"/>
                <w:szCs w:val="21"/>
              </w:rPr>
              <w:t xml:space="preserve"> </w:t>
            </w:r>
            <w:r w:rsidR="000F4CDB">
              <w:rPr>
                <w:noProof/>
                <w:sz w:val="21"/>
                <w:szCs w:val="21"/>
              </w:rPr>
              <w:t>The administrative costs,</w:t>
            </w:r>
            <w:r w:rsidR="00B1122A">
              <w:rPr>
                <w:noProof/>
                <w:sz w:val="21"/>
                <w:szCs w:val="21"/>
              </w:rPr>
              <w:t xml:space="preserve"> </w:t>
            </w:r>
            <w:r w:rsidR="000F4CDB">
              <w:rPr>
                <w:noProof/>
                <w:sz w:val="21"/>
                <w:szCs w:val="21"/>
              </w:rPr>
              <w:t>including those that fall under the ‘</w:t>
            </w:r>
            <w:r w:rsidRPr="00143775">
              <w:rPr>
                <w:noProof/>
                <w:sz w:val="21"/>
                <w:szCs w:val="21"/>
              </w:rPr>
              <w:t>One In, One Out</w:t>
            </w:r>
            <w:r w:rsidR="000F4CDB">
              <w:rPr>
                <w:noProof/>
                <w:sz w:val="21"/>
                <w:szCs w:val="21"/>
              </w:rPr>
              <w:t>’ approach</w:t>
            </w:r>
            <w:r w:rsidR="009B18E4">
              <w:rPr>
                <w:noProof/>
                <w:sz w:val="21"/>
                <w:szCs w:val="21"/>
              </w:rPr>
              <w:t>,</w:t>
            </w:r>
            <w:r w:rsidRPr="00143775">
              <w:rPr>
                <w:noProof/>
                <w:sz w:val="21"/>
                <w:szCs w:val="21"/>
              </w:rPr>
              <w:t xml:space="preserve"> </w:t>
            </w:r>
            <w:r w:rsidR="000F4CDB">
              <w:rPr>
                <w:noProof/>
                <w:sz w:val="21"/>
                <w:szCs w:val="21"/>
              </w:rPr>
              <w:t xml:space="preserve">are presented in a </w:t>
            </w:r>
            <w:r w:rsidRPr="00143775">
              <w:rPr>
                <w:noProof/>
                <w:sz w:val="21"/>
                <w:szCs w:val="21"/>
              </w:rPr>
              <w:t>clearer and comparable way</w:t>
            </w:r>
            <w:r w:rsidR="000178F3">
              <w:rPr>
                <w:noProof/>
                <w:sz w:val="21"/>
                <w:szCs w:val="21"/>
              </w:rPr>
              <w:t xml:space="preserve"> in section 8.3</w:t>
            </w:r>
            <w:r w:rsidR="00FE60B5">
              <w:rPr>
                <w:noProof/>
                <w:sz w:val="21"/>
                <w:szCs w:val="21"/>
              </w:rPr>
              <w:t xml:space="preserve"> of the revised IA report</w:t>
            </w:r>
            <w:r w:rsidR="005F5FC6">
              <w:rPr>
                <w:noProof/>
                <w:sz w:val="21"/>
                <w:szCs w:val="21"/>
              </w:rPr>
              <w:t xml:space="preserve"> and in Annex 3</w:t>
            </w:r>
            <w:r w:rsidRPr="00143775">
              <w:rPr>
                <w:noProof/>
                <w:sz w:val="21"/>
                <w:szCs w:val="21"/>
              </w:rPr>
              <w:t xml:space="preserve">. </w:t>
            </w:r>
          </w:p>
        </w:tc>
      </w:tr>
      <w:tr w:rsidR="00F70F1A" w:rsidRPr="00D71008" w14:paraId="21C0A585" w14:textId="77777777" w:rsidTr="00456646">
        <w:trPr>
          <w:trHeight w:val="300"/>
        </w:trPr>
        <w:tc>
          <w:tcPr>
            <w:tcW w:w="3539" w:type="dxa"/>
            <w:tcBorders>
              <w:top w:val="single" w:sz="4" w:space="0" w:color="auto"/>
              <w:left w:val="single" w:sz="4" w:space="0" w:color="auto"/>
              <w:bottom w:val="single" w:sz="4" w:space="0" w:color="auto"/>
              <w:right w:val="single" w:sz="4" w:space="0" w:color="auto"/>
            </w:tcBorders>
          </w:tcPr>
          <w:p w14:paraId="7C698123" w14:textId="77777777" w:rsidR="00EC2E10" w:rsidRPr="00143775" w:rsidRDefault="00EC2E10">
            <w:pPr>
              <w:adjustRightInd w:val="0"/>
              <w:spacing w:after="120"/>
              <w:jc w:val="both"/>
              <w:rPr>
                <w:noProof/>
                <w:sz w:val="21"/>
                <w:szCs w:val="21"/>
              </w:rPr>
            </w:pPr>
            <w:r w:rsidRPr="00143775">
              <w:rPr>
                <w:noProof/>
                <w:sz w:val="21"/>
                <w:szCs w:val="21"/>
              </w:rPr>
              <w:t>(1) When comparing the options, the report does not sufficiently reflect the limitations of the evidence base when assessing the proportionality of measures, including mandatory sales and services obligations, and selecting preferred options. (2) It neither analyses sufficiently, nor clearly presents opposing stakeholders’ views on key issues, on the identified problems, their drivers and the proposed policy measures.</w:t>
            </w:r>
          </w:p>
        </w:tc>
        <w:tc>
          <w:tcPr>
            <w:tcW w:w="6064" w:type="dxa"/>
            <w:tcBorders>
              <w:top w:val="single" w:sz="4" w:space="0" w:color="auto"/>
              <w:left w:val="single" w:sz="4" w:space="0" w:color="auto"/>
              <w:bottom w:val="single" w:sz="4" w:space="0" w:color="auto"/>
              <w:right w:val="single" w:sz="4" w:space="0" w:color="auto"/>
            </w:tcBorders>
          </w:tcPr>
          <w:p w14:paraId="768C110D" w14:textId="7AC4E604" w:rsidR="00EC2E10" w:rsidRPr="00143775" w:rsidRDefault="00EC2E10">
            <w:pPr>
              <w:pStyle w:val="FootnoteText"/>
              <w:spacing w:after="120"/>
              <w:jc w:val="both"/>
              <w:rPr>
                <w:noProof/>
                <w:sz w:val="21"/>
                <w:szCs w:val="21"/>
              </w:rPr>
            </w:pPr>
            <w:r w:rsidRPr="00143775">
              <w:rPr>
                <w:noProof/>
                <w:sz w:val="21"/>
                <w:szCs w:val="21"/>
              </w:rPr>
              <w:t xml:space="preserve">(1) </w:t>
            </w:r>
            <w:r w:rsidR="00C30503">
              <w:rPr>
                <w:noProof/>
                <w:sz w:val="21"/>
                <w:szCs w:val="21"/>
              </w:rPr>
              <w:t>T</w:t>
            </w:r>
            <w:r w:rsidRPr="00143775">
              <w:rPr>
                <w:noProof/>
                <w:sz w:val="21"/>
                <w:szCs w:val="21"/>
              </w:rPr>
              <w:t xml:space="preserve">o </w:t>
            </w:r>
            <w:r w:rsidR="00D36CD2">
              <w:rPr>
                <w:noProof/>
                <w:sz w:val="21"/>
                <w:szCs w:val="21"/>
              </w:rPr>
              <w:t xml:space="preserve">improve the </w:t>
            </w:r>
            <w:r w:rsidRPr="00143775">
              <w:rPr>
                <w:noProof/>
                <w:sz w:val="21"/>
                <w:szCs w:val="21"/>
              </w:rPr>
              <w:t>evidence base</w:t>
            </w:r>
            <w:r w:rsidR="00E44936">
              <w:rPr>
                <w:noProof/>
                <w:sz w:val="21"/>
                <w:szCs w:val="21"/>
              </w:rPr>
              <w:t xml:space="preserve"> of the potential impact of the measures</w:t>
            </w:r>
            <w:r w:rsidRPr="00143775">
              <w:rPr>
                <w:noProof/>
                <w:sz w:val="21"/>
                <w:szCs w:val="21"/>
              </w:rPr>
              <w:t>,</w:t>
            </w:r>
            <w:r w:rsidRPr="00143775" w:rsidDel="008F5513">
              <w:rPr>
                <w:noProof/>
                <w:sz w:val="21"/>
                <w:szCs w:val="21"/>
              </w:rPr>
              <w:t xml:space="preserve"> </w:t>
            </w:r>
            <w:r w:rsidRPr="00143775">
              <w:rPr>
                <w:noProof/>
                <w:sz w:val="21"/>
                <w:szCs w:val="21"/>
              </w:rPr>
              <w:t>a Eurobarometer survey</w:t>
            </w:r>
            <w:r w:rsidR="008126AE">
              <w:rPr>
                <w:noProof/>
                <w:sz w:val="21"/>
                <w:szCs w:val="21"/>
              </w:rPr>
              <w:t xml:space="preserve"> has been</w:t>
            </w:r>
            <w:r w:rsidR="008126AE" w:rsidRPr="00143775">
              <w:rPr>
                <w:noProof/>
                <w:sz w:val="21"/>
                <w:szCs w:val="21"/>
              </w:rPr>
              <w:t xml:space="preserve"> conducted in summer 2024</w:t>
            </w:r>
            <w:r w:rsidR="00E14B64">
              <w:rPr>
                <w:noProof/>
                <w:sz w:val="21"/>
                <w:szCs w:val="21"/>
              </w:rPr>
              <w:t xml:space="preserve">, </w:t>
            </w:r>
            <w:r w:rsidR="00E21442">
              <w:rPr>
                <w:noProof/>
                <w:sz w:val="21"/>
                <w:szCs w:val="21"/>
              </w:rPr>
              <w:t xml:space="preserve">alongside </w:t>
            </w:r>
            <w:r w:rsidR="00E14B64">
              <w:rPr>
                <w:noProof/>
                <w:sz w:val="21"/>
                <w:szCs w:val="21"/>
              </w:rPr>
              <w:t>literature review,</w:t>
            </w:r>
            <w:r w:rsidR="00D85BA1">
              <w:rPr>
                <w:noProof/>
                <w:sz w:val="21"/>
                <w:szCs w:val="21"/>
              </w:rPr>
              <w:t xml:space="preserve"> a</w:t>
            </w:r>
            <w:r w:rsidR="00E14B64">
              <w:rPr>
                <w:noProof/>
                <w:sz w:val="21"/>
                <w:szCs w:val="21"/>
              </w:rPr>
              <w:t xml:space="preserve"> targeted survey and interviews, and two stakeholders’ workshops</w:t>
            </w:r>
            <w:r w:rsidR="00B84673">
              <w:rPr>
                <w:noProof/>
                <w:sz w:val="21"/>
                <w:szCs w:val="21"/>
              </w:rPr>
              <w:t xml:space="preserve"> </w:t>
            </w:r>
            <w:r w:rsidR="00CA6C49">
              <w:rPr>
                <w:noProof/>
                <w:sz w:val="21"/>
                <w:szCs w:val="21"/>
              </w:rPr>
              <w:t>in the context of the impact assessment support study</w:t>
            </w:r>
            <w:r w:rsidR="000C1253">
              <w:rPr>
                <w:noProof/>
                <w:sz w:val="21"/>
                <w:szCs w:val="21"/>
              </w:rPr>
              <w:t>.</w:t>
            </w:r>
            <w:r w:rsidR="00CA6C49">
              <w:rPr>
                <w:noProof/>
                <w:sz w:val="21"/>
                <w:szCs w:val="21"/>
              </w:rPr>
              <w:t xml:space="preserve"> </w:t>
            </w:r>
            <w:r w:rsidR="000C1253">
              <w:rPr>
                <w:noProof/>
                <w:sz w:val="21"/>
                <w:szCs w:val="21"/>
              </w:rPr>
              <w:t>Those activities helped</w:t>
            </w:r>
            <w:r w:rsidR="00B84673">
              <w:rPr>
                <w:noProof/>
                <w:sz w:val="21"/>
                <w:szCs w:val="21"/>
              </w:rPr>
              <w:t xml:space="preserve"> validate the inputs used for assessing the impacts of the policy options on modal </w:t>
            </w:r>
            <w:r w:rsidR="000172C8">
              <w:rPr>
                <w:noProof/>
                <w:sz w:val="21"/>
                <w:szCs w:val="21"/>
              </w:rPr>
              <w:t xml:space="preserve">shift </w:t>
            </w:r>
            <w:r w:rsidR="00E14B64" w:rsidRPr="00D252E4">
              <w:rPr>
                <w:noProof/>
                <w:sz w:val="21"/>
                <w:szCs w:val="21"/>
              </w:rPr>
              <w:t>due to the ability to see all rail offerings on MDMS platforms and the ability to book all visible travel options on MDMS platforms</w:t>
            </w:r>
            <w:r w:rsidR="00E079AA">
              <w:rPr>
                <w:noProof/>
                <w:sz w:val="21"/>
                <w:szCs w:val="21"/>
              </w:rPr>
              <w:t>.</w:t>
            </w:r>
            <w:r w:rsidRPr="00143775">
              <w:rPr>
                <w:noProof/>
                <w:sz w:val="21"/>
                <w:szCs w:val="21"/>
              </w:rPr>
              <w:t xml:space="preserve"> </w:t>
            </w:r>
            <w:r w:rsidR="00445B8B">
              <w:rPr>
                <w:noProof/>
                <w:sz w:val="21"/>
                <w:szCs w:val="21"/>
              </w:rPr>
              <w:t xml:space="preserve">These are explained in Annex 4 of the revised IA report. In addition, </w:t>
            </w:r>
            <w:r w:rsidR="00F23A82">
              <w:rPr>
                <w:rFonts w:eastAsia="Calibri"/>
                <w:noProof/>
                <w:sz w:val="21"/>
                <w:szCs w:val="21"/>
              </w:rPr>
              <w:t>sensitivity analysis on modal shift has been performed and is presented in section 7.6 of the revised IA report.</w:t>
            </w:r>
            <w:r w:rsidR="003E43D9">
              <w:rPr>
                <w:rFonts w:eastAsia="Calibri"/>
                <w:noProof/>
                <w:sz w:val="21"/>
                <w:szCs w:val="21"/>
              </w:rPr>
              <w:t xml:space="preserve"> </w:t>
            </w:r>
            <w:r w:rsidRPr="00143775">
              <w:rPr>
                <w:noProof/>
                <w:sz w:val="21"/>
                <w:szCs w:val="21"/>
              </w:rPr>
              <w:t>Remaining limitations</w:t>
            </w:r>
            <w:r w:rsidR="006D610A">
              <w:rPr>
                <w:noProof/>
                <w:sz w:val="21"/>
                <w:szCs w:val="21"/>
              </w:rPr>
              <w:t xml:space="preserve"> related to the preferred policy option</w:t>
            </w:r>
            <w:r w:rsidRPr="00143775">
              <w:rPr>
                <w:noProof/>
                <w:sz w:val="21"/>
                <w:szCs w:val="21"/>
              </w:rPr>
              <w:t xml:space="preserve">, </w:t>
            </w:r>
            <w:r w:rsidR="003E43D9">
              <w:rPr>
                <w:noProof/>
                <w:sz w:val="21"/>
                <w:szCs w:val="21"/>
              </w:rPr>
              <w:t xml:space="preserve">are further </w:t>
            </w:r>
            <w:r w:rsidRPr="00143775">
              <w:rPr>
                <w:noProof/>
                <w:sz w:val="21"/>
                <w:szCs w:val="21"/>
              </w:rPr>
              <w:t>described</w:t>
            </w:r>
            <w:r w:rsidR="006D610A">
              <w:rPr>
                <w:noProof/>
                <w:sz w:val="21"/>
                <w:szCs w:val="21"/>
              </w:rPr>
              <w:t xml:space="preserve"> in section 8.1</w:t>
            </w:r>
            <w:r w:rsidRPr="00143775">
              <w:rPr>
                <w:noProof/>
                <w:sz w:val="21"/>
                <w:szCs w:val="21"/>
              </w:rPr>
              <w:t>.</w:t>
            </w:r>
          </w:p>
          <w:p w14:paraId="4FEBBD0E" w14:textId="401E78D2" w:rsidR="00EC2E10" w:rsidRPr="00143775" w:rsidRDefault="00EC2E10">
            <w:pPr>
              <w:pStyle w:val="FootnoteText"/>
              <w:spacing w:after="120"/>
              <w:jc w:val="both"/>
              <w:rPr>
                <w:noProof/>
                <w:sz w:val="21"/>
                <w:szCs w:val="21"/>
              </w:rPr>
            </w:pPr>
            <w:r w:rsidRPr="00143775">
              <w:rPr>
                <w:noProof/>
                <w:sz w:val="21"/>
                <w:szCs w:val="21"/>
              </w:rPr>
              <w:t xml:space="preserve">(2) The perspectives of various stakeholders regarding the problems, their drivers and </w:t>
            </w:r>
            <w:r w:rsidR="00CC466B">
              <w:rPr>
                <w:noProof/>
                <w:sz w:val="21"/>
                <w:szCs w:val="21"/>
              </w:rPr>
              <w:t>the</w:t>
            </w:r>
            <w:r w:rsidRPr="00143775">
              <w:rPr>
                <w:noProof/>
                <w:sz w:val="21"/>
                <w:szCs w:val="21"/>
              </w:rPr>
              <w:t xml:space="preserve"> proposed measures </w:t>
            </w:r>
            <w:r w:rsidR="005372BF">
              <w:rPr>
                <w:noProof/>
                <w:sz w:val="21"/>
                <w:szCs w:val="21"/>
              </w:rPr>
              <w:t>are</w:t>
            </w:r>
            <w:r w:rsidRPr="00143775">
              <w:rPr>
                <w:noProof/>
                <w:sz w:val="21"/>
                <w:szCs w:val="21"/>
              </w:rPr>
              <w:t xml:space="preserve"> further elaborated in </w:t>
            </w:r>
            <w:r w:rsidR="00CC466B">
              <w:rPr>
                <w:noProof/>
                <w:sz w:val="21"/>
                <w:szCs w:val="21"/>
              </w:rPr>
              <w:t xml:space="preserve">sections 2, 5 and </w:t>
            </w:r>
            <w:r w:rsidR="003F6956">
              <w:rPr>
                <w:noProof/>
                <w:sz w:val="21"/>
                <w:szCs w:val="21"/>
              </w:rPr>
              <w:t>8.1 of the</w:t>
            </w:r>
            <w:r w:rsidRPr="00143775">
              <w:rPr>
                <w:noProof/>
                <w:sz w:val="21"/>
                <w:szCs w:val="21"/>
              </w:rPr>
              <w:t xml:space="preserve"> </w:t>
            </w:r>
            <w:r w:rsidR="00CC466B">
              <w:rPr>
                <w:noProof/>
                <w:sz w:val="21"/>
                <w:szCs w:val="21"/>
              </w:rPr>
              <w:t>revised IA report</w:t>
            </w:r>
            <w:r w:rsidRPr="00143775">
              <w:rPr>
                <w:noProof/>
                <w:sz w:val="21"/>
                <w:szCs w:val="21"/>
              </w:rPr>
              <w:t xml:space="preserve"> and in Annex 2. </w:t>
            </w:r>
            <w:r w:rsidR="00BD7051">
              <w:rPr>
                <w:noProof/>
                <w:sz w:val="21"/>
                <w:szCs w:val="21"/>
              </w:rPr>
              <w:t xml:space="preserve">The synopsis report has been thoroughly revised </w:t>
            </w:r>
            <w:r w:rsidR="006402A6">
              <w:rPr>
                <w:noProof/>
                <w:sz w:val="21"/>
                <w:szCs w:val="21"/>
              </w:rPr>
              <w:t>and updated with additional stakeholder activities</w:t>
            </w:r>
            <w:r w:rsidR="00BD7051">
              <w:rPr>
                <w:noProof/>
                <w:sz w:val="21"/>
                <w:szCs w:val="21"/>
              </w:rPr>
              <w:t xml:space="preserve"> </w:t>
            </w:r>
            <w:r w:rsidR="006402A6">
              <w:rPr>
                <w:noProof/>
                <w:sz w:val="21"/>
                <w:szCs w:val="21"/>
              </w:rPr>
              <w:t xml:space="preserve">undertaken, in order </w:t>
            </w:r>
            <w:r w:rsidR="00BD7051">
              <w:rPr>
                <w:noProof/>
                <w:sz w:val="21"/>
                <w:szCs w:val="21"/>
              </w:rPr>
              <w:t xml:space="preserve">to better reflect stakeholder views and to </w:t>
            </w:r>
            <w:r w:rsidR="000B5EBF">
              <w:rPr>
                <w:noProof/>
                <w:sz w:val="21"/>
                <w:szCs w:val="21"/>
              </w:rPr>
              <w:t>clearly present opposing views on key issues</w:t>
            </w:r>
            <w:r w:rsidR="00EB398C">
              <w:rPr>
                <w:noProof/>
                <w:sz w:val="21"/>
                <w:szCs w:val="21"/>
              </w:rPr>
              <w:t>, on the problems identified,</w:t>
            </w:r>
            <w:r w:rsidR="00AA35FE">
              <w:rPr>
                <w:noProof/>
                <w:sz w:val="21"/>
                <w:szCs w:val="21"/>
              </w:rPr>
              <w:t xml:space="preserve"> </w:t>
            </w:r>
            <w:r w:rsidR="00EB398C">
              <w:rPr>
                <w:noProof/>
                <w:sz w:val="21"/>
                <w:szCs w:val="21"/>
              </w:rPr>
              <w:t>their drivers and the proposed policy measures</w:t>
            </w:r>
            <w:r w:rsidR="000B5EBF">
              <w:rPr>
                <w:noProof/>
                <w:sz w:val="21"/>
                <w:szCs w:val="21"/>
              </w:rPr>
              <w:t xml:space="preserve">. </w:t>
            </w:r>
          </w:p>
        </w:tc>
      </w:tr>
      <w:tr w:rsidR="00F61DEB" w:rsidRPr="00D71008" w14:paraId="2334E4F6" w14:textId="77777777" w:rsidTr="00456646">
        <w:trPr>
          <w:trHeight w:val="300"/>
        </w:trPr>
        <w:tc>
          <w:tcPr>
            <w:tcW w:w="0" w:type="auto"/>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69A9436" w14:textId="77777777" w:rsidR="00EC2E10" w:rsidRPr="00143775" w:rsidRDefault="00EC2E10">
            <w:pPr>
              <w:pStyle w:val="FootnoteText"/>
              <w:spacing w:after="120"/>
              <w:jc w:val="center"/>
              <w:rPr>
                <w:b/>
                <w:noProof/>
                <w:sz w:val="21"/>
                <w:szCs w:val="21"/>
              </w:rPr>
            </w:pPr>
            <w:r w:rsidRPr="00143775">
              <w:rPr>
                <w:b/>
                <w:noProof/>
                <w:sz w:val="21"/>
                <w:szCs w:val="21"/>
              </w:rPr>
              <w:t>What to improve?</w:t>
            </w:r>
          </w:p>
        </w:tc>
      </w:tr>
      <w:tr w:rsidR="00F61DEB" w:rsidRPr="00D71008" w14:paraId="58A92C67" w14:textId="77777777" w:rsidTr="00456646">
        <w:trPr>
          <w:trHeight w:val="300"/>
        </w:trPr>
        <w:tc>
          <w:tcPr>
            <w:tcW w:w="3539" w:type="dxa"/>
            <w:shd w:val="clear" w:color="auto" w:fill="FFFFFF" w:themeFill="background1"/>
          </w:tcPr>
          <w:p w14:paraId="3F408942" w14:textId="59057D27" w:rsidR="00EC2E10" w:rsidRPr="00143775" w:rsidRDefault="00EC2E10">
            <w:pPr>
              <w:pStyle w:val="FootnoteText"/>
              <w:spacing w:after="120"/>
              <w:jc w:val="both"/>
              <w:rPr>
                <w:noProof/>
                <w:sz w:val="21"/>
                <w:szCs w:val="21"/>
              </w:rPr>
            </w:pPr>
            <w:r w:rsidRPr="00143775">
              <w:rPr>
                <w:noProof/>
                <w:sz w:val="21"/>
                <w:szCs w:val="21"/>
              </w:rPr>
              <w:t>(1) The report should set out a clear definition of the initiative’s scope upfront. It should clearly set out the scope of MDMS including by explaining what “competing operators” implies in practice. (2) It should clarify upfront the scale of the problem, substantiating with evidence the untapped potential of multimodal mobility solutions under the dynamic baseline scenario and by being clear what realistically the expected contribution of the initiative could be, in the context of all current initiatives in multimodality. (3) It should also clarify with evidence in its problem definition, the key market failures justifying EU intervention and the relative importance of the problem drivers. (4) The report should assess to what extent these problem drivers are sufficiently exhaustive and/or to what extent other drivers are relevant for the success of the initiative (but outside the initiative’s scope). It should also better describe the relevance of each of the drivers depending on the transport mode.</w:t>
            </w:r>
          </w:p>
        </w:tc>
        <w:tc>
          <w:tcPr>
            <w:tcW w:w="6064" w:type="dxa"/>
            <w:shd w:val="clear" w:color="auto" w:fill="FFFFFF" w:themeFill="background1"/>
          </w:tcPr>
          <w:p w14:paraId="29DE854A" w14:textId="0EF7AFB2" w:rsidR="00EC2E10" w:rsidRPr="00143775" w:rsidRDefault="00EC2E10">
            <w:pPr>
              <w:pStyle w:val="FootnoteText"/>
              <w:spacing w:after="120"/>
              <w:jc w:val="both"/>
              <w:rPr>
                <w:noProof/>
                <w:sz w:val="21"/>
                <w:szCs w:val="21"/>
              </w:rPr>
            </w:pPr>
            <w:r w:rsidRPr="00143775">
              <w:rPr>
                <w:noProof/>
                <w:sz w:val="21"/>
                <w:szCs w:val="21"/>
              </w:rPr>
              <w:t xml:space="preserve">(1) The revised IA </w:t>
            </w:r>
            <w:r w:rsidR="00432726">
              <w:rPr>
                <w:noProof/>
                <w:sz w:val="21"/>
                <w:szCs w:val="21"/>
              </w:rPr>
              <w:t>report</w:t>
            </w:r>
            <w:r w:rsidRPr="00143775">
              <w:rPr>
                <w:noProof/>
                <w:sz w:val="21"/>
                <w:szCs w:val="21"/>
              </w:rPr>
              <w:t xml:space="preserve"> outline</w:t>
            </w:r>
            <w:r w:rsidR="00C60C7A" w:rsidRPr="00143775">
              <w:rPr>
                <w:noProof/>
                <w:sz w:val="21"/>
                <w:szCs w:val="21"/>
              </w:rPr>
              <w:t>s</w:t>
            </w:r>
            <w:r w:rsidRPr="00143775">
              <w:rPr>
                <w:noProof/>
                <w:sz w:val="21"/>
                <w:szCs w:val="21"/>
              </w:rPr>
              <w:t xml:space="preserve"> in </w:t>
            </w:r>
            <w:r w:rsidR="00E279E9">
              <w:rPr>
                <w:noProof/>
                <w:sz w:val="21"/>
                <w:szCs w:val="21"/>
              </w:rPr>
              <w:t>section</w:t>
            </w:r>
            <w:r w:rsidRPr="00143775">
              <w:rPr>
                <w:noProof/>
                <w:sz w:val="21"/>
                <w:szCs w:val="21"/>
              </w:rPr>
              <w:t xml:space="preserve"> </w:t>
            </w:r>
            <w:r w:rsidR="00646E29">
              <w:rPr>
                <w:noProof/>
                <w:sz w:val="21"/>
                <w:szCs w:val="21"/>
              </w:rPr>
              <w:fldChar w:fldCharType="begin"/>
            </w:r>
            <w:r w:rsidR="00646E29">
              <w:rPr>
                <w:noProof/>
                <w:sz w:val="21"/>
                <w:szCs w:val="21"/>
              </w:rPr>
              <w:instrText xml:space="preserve"> REF _Ref223915490 \n \h </w:instrText>
            </w:r>
            <w:r w:rsidR="00646E29">
              <w:rPr>
                <w:noProof/>
                <w:sz w:val="21"/>
                <w:szCs w:val="21"/>
              </w:rPr>
            </w:r>
            <w:r w:rsidR="00646E29">
              <w:rPr>
                <w:noProof/>
                <w:sz w:val="21"/>
                <w:szCs w:val="21"/>
              </w:rPr>
              <w:fldChar w:fldCharType="separate"/>
            </w:r>
            <w:r w:rsidR="0055391F">
              <w:rPr>
                <w:noProof/>
                <w:sz w:val="21"/>
                <w:szCs w:val="21"/>
              </w:rPr>
              <w:t>2.1.1</w:t>
            </w:r>
            <w:r w:rsidR="00646E29">
              <w:rPr>
                <w:noProof/>
                <w:sz w:val="21"/>
                <w:szCs w:val="21"/>
              </w:rPr>
              <w:fldChar w:fldCharType="end"/>
            </w:r>
            <w:r w:rsidR="00E279E9">
              <w:rPr>
                <w:noProof/>
                <w:sz w:val="21"/>
                <w:szCs w:val="21"/>
              </w:rPr>
              <w:t xml:space="preserve"> </w:t>
            </w:r>
            <w:r w:rsidRPr="00143775">
              <w:rPr>
                <w:noProof/>
                <w:sz w:val="21"/>
                <w:szCs w:val="21"/>
              </w:rPr>
              <w:t>the definition of MDMS</w:t>
            </w:r>
            <w:r w:rsidR="00DC522D">
              <w:rPr>
                <w:noProof/>
                <w:sz w:val="21"/>
                <w:szCs w:val="21"/>
              </w:rPr>
              <w:t xml:space="preserve"> and the scope of the </w:t>
            </w:r>
            <w:r w:rsidR="00AF11FF">
              <w:rPr>
                <w:noProof/>
                <w:sz w:val="21"/>
                <w:szCs w:val="21"/>
              </w:rPr>
              <w:t>initiatives</w:t>
            </w:r>
            <w:r w:rsidR="0053599E" w:rsidRPr="00143775">
              <w:rPr>
                <w:noProof/>
                <w:sz w:val="21"/>
                <w:szCs w:val="21"/>
              </w:rPr>
              <w:t>.</w:t>
            </w:r>
            <w:r w:rsidR="008D2FE0">
              <w:rPr>
                <w:noProof/>
                <w:sz w:val="21"/>
                <w:szCs w:val="21"/>
              </w:rPr>
              <w:t xml:space="preserve"> </w:t>
            </w:r>
            <w:r w:rsidR="004A492F">
              <w:rPr>
                <w:noProof/>
                <w:sz w:val="21"/>
                <w:szCs w:val="21"/>
              </w:rPr>
              <w:t>The definition is complemented by e</w:t>
            </w:r>
            <w:r w:rsidR="00DB15B6">
              <w:rPr>
                <w:noProof/>
                <w:sz w:val="21"/>
                <w:szCs w:val="21"/>
              </w:rPr>
              <w:t>xplanation and illustrat</w:t>
            </w:r>
            <w:r w:rsidR="004A492F">
              <w:rPr>
                <w:noProof/>
                <w:sz w:val="21"/>
                <w:szCs w:val="21"/>
              </w:rPr>
              <w:t>ed wit</w:t>
            </w:r>
            <w:r w:rsidR="00DB15B6">
              <w:rPr>
                <w:noProof/>
                <w:sz w:val="21"/>
                <w:szCs w:val="21"/>
              </w:rPr>
              <w:t>h examples</w:t>
            </w:r>
            <w:r w:rsidR="00371281">
              <w:rPr>
                <w:noProof/>
                <w:sz w:val="21"/>
                <w:szCs w:val="21"/>
              </w:rPr>
              <w:t xml:space="preserve"> in order to facilitate that a layman can understand</w:t>
            </w:r>
            <w:r w:rsidR="004A492F">
              <w:rPr>
                <w:noProof/>
                <w:sz w:val="21"/>
                <w:szCs w:val="21"/>
              </w:rPr>
              <w:t>.</w:t>
            </w:r>
            <w:r w:rsidR="00DB15B6">
              <w:rPr>
                <w:noProof/>
                <w:sz w:val="21"/>
                <w:szCs w:val="21"/>
              </w:rPr>
              <w:t xml:space="preserve"> </w:t>
            </w:r>
          </w:p>
          <w:p w14:paraId="69FBCCE5" w14:textId="7ECEF8BA" w:rsidR="005A0C3A" w:rsidRDefault="00EC2E10">
            <w:pPr>
              <w:pStyle w:val="FootnoteText"/>
              <w:spacing w:after="120"/>
              <w:jc w:val="both"/>
              <w:rPr>
                <w:noProof/>
                <w:sz w:val="21"/>
                <w:szCs w:val="21"/>
              </w:rPr>
            </w:pPr>
            <w:r w:rsidRPr="00143775">
              <w:rPr>
                <w:noProof/>
                <w:sz w:val="21"/>
                <w:szCs w:val="21"/>
              </w:rPr>
              <w:t xml:space="preserve">(2) As regards the scale of the problem, the revised IA </w:t>
            </w:r>
            <w:r w:rsidR="0088168F">
              <w:rPr>
                <w:noProof/>
                <w:sz w:val="21"/>
                <w:szCs w:val="21"/>
              </w:rPr>
              <w:t>report</w:t>
            </w:r>
            <w:r w:rsidR="0088168F" w:rsidRPr="00143775">
              <w:rPr>
                <w:noProof/>
                <w:sz w:val="21"/>
                <w:szCs w:val="21"/>
              </w:rPr>
              <w:t xml:space="preserve"> </w:t>
            </w:r>
            <w:r w:rsidR="008F4C0E">
              <w:rPr>
                <w:noProof/>
                <w:sz w:val="21"/>
                <w:szCs w:val="21"/>
              </w:rPr>
              <w:t xml:space="preserve">upfront in chapter 2 on the problem definition </w:t>
            </w:r>
            <w:r w:rsidR="008C714A">
              <w:rPr>
                <w:noProof/>
                <w:sz w:val="21"/>
                <w:szCs w:val="21"/>
              </w:rPr>
              <w:t>illustrates</w:t>
            </w:r>
            <w:r w:rsidR="008F4C0E">
              <w:rPr>
                <w:noProof/>
                <w:sz w:val="21"/>
                <w:szCs w:val="21"/>
              </w:rPr>
              <w:t xml:space="preserve"> the </w:t>
            </w:r>
            <w:r w:rsidR="00825558">
              <w:rPr>
                <w:noProof/>
                <w:sz w:val="21"/>
                <w:szCs w:val="21"/>
              </w:rPr>
              <w:t xml:space="preserve">magnitude of the problems identified by estimating the consequences for consumers </w:t>
            </w:r>
            <w:r w:rsidR="00EB0D75" w:rsidRPr="00143775">
              <w:rPr>
                <w:noProof/>
                <w:sz w:val="21"/>
                <w:szCs w:val="21"/>
              </w:rPr>
              <w:t>a</w:t>
            </w:r>
            <w:r w:rsidRPr="00143775">
              <w:rPr>
                <w:noProof/>
                <w:sz w:val="21"/>
                <w:szCs w:val="21"/>
              </w:rPr>
              <w:t xml:space="preserve"> on how end-users feel limited in their travel choices, even when they are willing to opt for more sustainable alternatives. </w:t>
            </w:r>
            <w:r w:rsidR="008622E4">
              <w:rPr>
                <w:noProof/>
                <w:sz w:val="21"/>
                <w:szCs w:val="21"/>
              </w:rPr>
              <w:t xml:space="preserve">This is based on the Eurobarometer survey conducted in 2024, which took a representative sample of citizens and its results represent the views of the whole EU population. </w:t>
            </w:r>
            <w:r w:rsidRPr="00143775">
              <w:rPr>
                <w:noProof/>
                <w:sz w:val="21"/>
                <w:szCs w:val="21"/>
              </w:rPr>
              <w:t>Additional evidence</w:t>
            </w:r>
            <w:r w:rsidR="0C1DAAC0" w:rsidRPr="00143775">
              <w:rPr>
                <w:noProof/>
                <w:sz w:val="21"/>
                <w:szCs w:val="21"/>
              </w:rPr>
              <w:t xml:space="preserve"> </w:t>
            </w:r>
            <w:r w:rsidR="0DCBDDBD" w:rsidRPr="00143775">
              <w:rPr>
                <w:noProof/>
                <w:sz w:val="21"/>
                <w:szCs w:val="21"/>
              </w:rPr>
              <w:t>is</w:t>
            </w:r>
            <w:r w:rsidRPr="00143775">
              <w:rPr>
                <w:noProof/>
                <w:sz w:val="21"/>
                <w:szCs w:val="21"/>
              </w:rPr>
              <w:t xml:space="preserve"> based on a market analysis for 100 routes in the EU</w:t>
            </w:r>
            <w:r w:rsidR="00F53CE5" w:rsidRPr="00143775">
              <w:rPr>
                <w:noProof/>
                <w:sz w:val="21"/>
                <w:szCs w:val="21"/>
              </w:rPr>
              <w:t xml:space="preserve"> to assess the level of completeness of information and tickets on MDMS platforms across modes</w:t>
            </w:r>
            <w:r w:rsidRPr="00143775">
              <w:rPr>
                <w:noProof/>
                <w:sz w:val="21"/>
                <w:szCs w:val="21"/>
              </w:rPr>
              <w:t xml:space="preserve">. </w:t>
            </w:r>
            <w:r w:rsidR="00BF1E8A">
              <w:rPr>
                <w:noProof/>
                <w:sz w:val="21"/>
                <w:szCs w:val="21"/>
              </w:rPr>
              <w:t>This also allows to show</w:t>
            </w:r>
            <w:r w:rsidRPr="00143775">
              <w:rPr>
                <w:noProof/>
                <w:sz w:val="21"/>
                <w:szCs w:val="21"/>
              </w:rPr>
              <w:t xml:space="preserve"> to what extent alternative choices for </w:t>
            </w:r>
            <w:r w:rsidR="005C79E8">
              <w:rPr>
                <w:noProof/>
                <w:sz w:val="21"/>
                <w:szCs w:val="21"/>
              </w:rPr>
              <w:t>passengers’</w:t>
            </w:r>
            <w:r w:rsidR="005C79E8" w:rsidRPr="00143775">
              <w:rPr>
                <w:noProof/>
                <w:sz w:val="21"/>
                <w:szCs w:val="21"/>
              </w:rPr>
              <w:t xml:space="preserve"> </w:t>
            </w:r>
            <w:r w:rsidRPr="00143775">
              <w:rPr>
                <w:noProof/>
                <w:sz w:val="21"/>
                <w:szCs w:val="21"/>
              </w:rPr>
              <w:t>long-distance and regional journeys</w:t>
            </w:r>
            <w:r w:rsidR="005C79E8">
              <w:rPr>
                <w:noProof/>
                <w:sz w:val="21"/>
                <w:szCs w:val="21"/>
              </w:rPr>
              <w:t xml:space="preserve"> exist</w:t>
            </w:r>
            <w:r w:rsidRPr="00143775">
              <w:rPr>
                <w:noProof/>
                <w:sz w:val="21"/>
                <w:szCs w:val="21"/>
              </w:rPr>
              <w:t xml:space="preserve">, whether </w:t>
            </w:r>
            <w:r w:rsidR="006F3FB5">
              <w:rPr>
                <w:noProof/>
                <w:sz w:val="21"/>
                <w:szCs w:val="21"/>
              </w:rPr>
              <w:t>they</w:t>
            </w:r>
            <w:r w:rsidRPr="00143775">
              <w:rPr>
                <w:noProof/>
                <w:sz w:val="21"/>
                <w:szCs w:val="21"/>
              </w:rPr>
              <w:t xml:space="preserve"> can easily be accessed, understood and booked.</w:t>
            </w:r>
            <w:r w:rsidR="00526D8C">
              <w:rPr>
                <w:noProof/>
                <w:sz w:val="21"/>
                <w:szCs w:val="21"/>
              </w:rPr>
              <w:t xml:space="preserve"> </w:t>
            </w:r>
            <w:r w:rsidRPr="00143775">
              <w:rPr>
                <w:noProof/>
                <w:sz w:val="21"/>
                <w:szCs w:val="21"/>
              </w:rPr>
              <w:t xml:space="preserve">This data </w:t>
            </w:r>
            <w:r w:rsidR="00BA0DC4">
              <w:rPr>
                <w:noProof/>
                <w:sz w:val="21"/>
                <w:szCs w:val="21"/>
              </w:rPr>
              <w:t xml:space="preserve">is also used </w:t>
            </w:r>
            <w:r w:rsidRPr="00143775">
              <w:rPr>
                <w:noProof/>
                <w:sz w:val="21"/>
                <w:szCs w:val="21"/>
              </w:rPr>
              <w:t xml:space="preserve">in the elaboration of the dynamic baseline scenario and to estimate the modal shift potential. </w:t>
            </w:r>
          </w:p>
          <w:p w14:paraId="0406D81E" w14:textId="784CC52E" w:rsidR="005A0C3A" w:rsidRPr="00143775" w:rsidRDefault="005A0C3A">
            <w:pPr>
              <w:pStyle w:val="FootnoteText"/>
              <w:spacing w:after="120"/>
              <w:jc w:val="both"/>
              <w:rPr>
                <w:noProof/>
                <w:sz w:val="21"/>
                <w:szCs w:val="21"/>
              </w:rPr>
            </w:pPr>
            <w:r w:rsidRPr="00143775">
              <w:rPr>
                <w:noProof/>
                <w:sz w:val="21"/>
                <w:szCs w:val="21"/>
              </w:rPr>
              <w:t xml:space="preserve">Based on evidence collected from </w:t>
            </w:r>
            <w:r w:rsidR="001147DF">
              <w:rPr>
                <w:noProof/>
                <w:sz w:val="21"/>
                <w:szCs w:val="21"/>
              </w:rPr>
              <w:t>the</w:t>
            </w:r>
            <w:r w:rsidRPr="00143775">
              <w:rPr>
                <w:noProof/>
                <w:sz w:val="21"/>
                <w:szCs w:val="21"/>
              </w:rPr>
              <w:t xml:space="preserve"> Eurobarometer survey</w:t>
            </w:r>
            <w:r>
              <w:rPr>
                <w:noProof/>
                <w:sz w:val="21"/>
                <w:szCs w:val="21"/>
              </w:rPr>
              <w:t>, literature review, targeted survey and interviews, and two stakeholders’ workshops</w:t>
            </w:r>
            <w:r w:rsidRPr="00143775">
              <w:rPr>
                <w:noProof/>
                <w:sz w:val="21"/>
                <w:szCs w:val="21"/>
              </w:rPr>
              <w:t xml:space="preserve">, </w:t>
            </w:r>
            <w:r>
              <w:rPr>
                <w:noProof/>
                <w:sz w:val="21"/>
                <w:szCs w:val="21"/>
              </w:rPr>
              <w:t>t</w:t>
            </w:r>
            <w:r w:rsidRPr="00D252E4">
              <w:rPr>
                <w:noProof/>
                <w:sz w:val="21"/>
                <w:szCs w:val="21"/>
              </w:rPr>
              <w:t xml:space="preserve">he maximum potential modal shift and the maximum reduction in the travel time due to the ability to see all rail offerings on MDMS platforms and the ability to book all visible travel options on MDMS platforms </w:t>
            </w:r>
            <w:r>
              <w:rPr>
                <w:noProof/>
                <w:sz w:val="21"/>
                <w:szCs w:val="21"/>
              </w:rPr>
              <w:t>ha</w:t>
            </w:r>
            <w:r w:rsidR="0049730A">
              <w:rPr>
                <w:noProof/>
                <w:sz w:val="21"/>
                <w:szCs w:val="21"/>
              </w:rPr>
              <w:t>ve</w:t>
            </w:r>
            <w:r>
              <w:rPr>
                <w:noProof/>
                <w:sz w:val="21"/>
                <w:szCs w:val="21"/>
              </w:rPr>
              <w:t xml:space="preserve"> been estimated in the context of the impact assessment support study and are presented in section 2.1 </w:t>
            </w:r>
            <w:r w:rsidR="006F3FB5">
              <w:rPr>
                <w:noProof/>
                <w:sz w:val="21"/>
                <w:szCs w:val="21"/>
              </w:rPr>
              <w:t>and section 6</w:t>
            </w:r>
            <w:r>
              <w:rPr>
                <w:noProof/>
                <w:sz w:val="21"/>
                <w:szCs w:val="21"/>
              </w:rPr>
              <w:t xml:space="preserve"> of the revised IA report and explained in </w:t>
            </w:r>
            <w:r w:rsidRPr="003B2313">
              <w:rPr>
                <w:noProof/>
                <w:sz w:val="21"/>
                <w:szCs w:val="21"/>
              </w:rPr>
              <w:t>section 1.3.2 of Annex 4</w:t>
            </w:r>
            <w:r w:rsidRPr="00143775">
              <w:rPr>
                <w:noProof/>
                <w:sz w:val="21"/>
                <w:szCs w:val="21"/>
              </w:rPr>
              <w:t>.</w:t>
            </w:r>
          </w:p>
          <w:p w14:paraId="3BA809BC" w14:textId="48AE0F73" w:rsidR="006E70BC" w:rsidRDefault="00EC2E10" w:rsidP="006E70BC">
            <w:pPr>
              <w:pStyle w:val="FootnoteText"/>
              <w:spacing w:after="120"/>
              <w:jc w:val="both"/>
              <w:rPr>
                <w:noProof/>
                <w:sz w:val="21"/>
                <w:szCs w:val="21"/>
              </w:rPr>
            </w:pPr>
            <w:r w:rsidRPr="00143775">
              <w:rPr>
                <w:noProof/>
                <w:sz w:val="21"/>
                <w:szCs w:val="21"/>
              </w:rPr>
              <w:t xml:space="preserve">(3) Additional data on market failures and identified problem drivers </w:t>
            </w:r>
            <w:r w:rsidR="00C60C7A" w:rsidRPr="00143775">
              <w:rPr>
                <w:noProof/>
                <w:sz w:val="21"/>
                <w:szCs w:val="21"/>
              </w:rPr>
              <w:t xml:space="preserve">is </w:t>
            </w:r>
            <w:r w:rsidRPr="00143775">
              <w:rPr>
                <w:noProof/>
                <w:sz w:val="21"/>
                <w:szCs w:val="21"/>
              </w:rPr>
              <w:t xml:space="preserve">provided in </w:t>
            </w:r>
            <w:r w:rsidR="00726D70">
              <w:rPr>
                <w:noProof/>
                <w:sz w:val="21"/>
                <w:szCs w:val="21"/>
              </w:rPr>
              <w:t>section</w:t>
            </w:r>
            <w:r w:rsidR="00726D70" w:rsidRPr="00143775">
              <w:rPr>
                <w:noProof/>
                <w:sz w:val="21"/>
                <w:szCs w:val="21"/>
              </w:rPr>
              <w:t xml:space="preserve"> </w:t>
            </w:r>
            <w:r w:rsidRPr="00143775">
              <w:rPr>
                <w:noProof/>
                <w:sz w:val="21"/>
                <w:szCs w:val="21"/>
              </w:rPr>
              <w:t>2 of the</w:t>
            </w:r>
            <w:r w:rsidR="00C65221">
              <w:rPr>
                <w:noProof/>
                <w:sz w:val="21"/>
                <w:szCs w:val="21"/>
              </w:rPr>
              <w:t xml:space="preserve"> revised</w:t>
            </w:r>
            <w:r w:rsidRPr="00143775">
              <w:rPr>
                <w:noProof/>
                <w:sz w:val="21"/>
                <w:szCs w:val="21"/>
              </w:rPr>
              <w:t xml:space="preserve"> IA </w:t>
            </w:r>
            <w:r w:rsidR="00C65221">
              <w:rPr>
                <w:noProof/>
                <w:sz w:val="21"/>
                <w:szCs w:val="21"/>
              </w:rPr>
              <w:t>report</w:t>
            </w:r>
            <w:r w:rsidR="00C65221" w:rsidRPr="00143775">
              <w:rPr>
                <w:noProof/>
                <w:sz w:val="21"/>
                <w:szCs w:val="21"/>
              </w:rPr>
              <w:t xml:space="preserve"> </w:t>
            </w:r>
            <w:r w:rsidRPr="00143775">
              <w:rPr>
                <w:noProof/>
                <w:sz w:val="21"/>
                <w:szCs w:val="21"/>
              </w:rPr>
              <w:t xml:space="preserve">based on the market analysis and </w:t>
            </w:r>
            <w:r w:rsidR="001B6252" w:rsidRPr="00143775">
              <w:rPr>
                <w:noProof/>
                <w:sz w:val="21"/>
                <w:szCs w:val="21"/>
              </w:rPr>
              <w:t>Eurobarometer survey</w:t>
            </w:r>
            <w:r w:rsidR="001B6252">
              <w:rPr>
                <w:noProof/>
                <w:sz w:val="21"/>
                <w:szCs w:val="21"/>
              </w:rPr>
              <w:t xml:space="preserve">, as well as literature review, </w:t>
            </w:r>
            <w:r w:rsidR="001D4619">
              <w:rPr>
                <w:noProof/>
                <w:sz w:val="21"/>
                <w:szCs w:val="21"/>
              </w:rPr>
              <w:t>targeted survey and interviews.</w:t>
            </w:r>
            <w:r w:rsidR="001B6252" w:rsidRPr="00143775">
              <w:rPr>
                <w:noProof/>
                <w:sz w:val="21"/>
                <w:szCs w:val="21"/>
              </w:rPr>
              <w:t xml:space="preserve"> </w:t>
            </w:r>
            <w:r w:rsidRPr="00143775">
              <w:rPr>
                <w:noProof/>
                <w:sz w:val="21"/>
                <w:szCs w:val="21"/>
              </w:rPr>
              <w:t xml:space="preserve">For rail, evidence </w:t>
            </w:r>
            <w:r w:rsidR="00767FCC" w:rsidRPr="00143775">
              <w:rPr>
                <w:noProof/>
                <w:sz w:val="21"/>
                <w:szCs w:val="21"/>
              </w:rPr>
              <w:t>also</w:t>
            </w:r>
            <w:r w:rsidRPr="00143775">
              <w:rPr>
                <w:noProof/>
                <w:sz w:val="21"/>
                <w:szCs w:val="21"/>
              </w:rPr>
              <w:t xml:space="preserve"> </w:t>
            </w:r>
            <w:r w:rsidR="001D4619">
              <w:rPr>
                <w:noProof/>
                <w:sz w:val="21"/>
                <w:szCs w:val="21"/>
              </w:rPr>
              <w:t xml:space="preserve">draws on </w:t>
            </w:r>
            <w:r w:rsidRPr="00143775">
              <w:rPr>
                <w:noProof/>
                <w:sz w:val="21"/>
                <w:szCs w:val="21"/>
              </w:rPr>
              <w:t>recent competition cases regarding ticket distribution</w:t>
            </w:r>
            <w:r w:rsidR="004E22A7" w:rsidRPr="00143775">
              <w:rPr>
                <w:noProof/>
                <w:sz w:val="21"/>
                <w:szCs w:val="21"/>
              </w:rPr>
              <w:t>,</w:t>
            </w:r>
            <w:r w:rsidRPr="00143775">
              <w:rPr>
                <w:noProof/>
                <w:sz w:val="21"/>
                <w:szCs w:val="21"/>
              </w:rPr>
              <w:t xml:space="preserve"> presented </w:t>
            </w:r>
            <w:r w:rsidR="004E22A7" w:rsidRPr="00143775">
              <w:rPr>
                <w:noProof/>
                <w:sz w:val="21"/>
                <w:szCs w:val="21"/>
              </w:rPr>
              <w:t xml:space="preserve">in more detail in Annex 11. </w:t>
            </w:r>
            <w:r w:rsidR="002272BF">
              <w:rPr>
                <w:noProof/>
                <w:sz w:val="21"/>
                <w:szCs w:val="21"/>
              </w:rPr>
              <w:t>Therefore</w:t>
            </w:r>
            <w:r w:rsidR="004808B2">
              <w:rPr>
                <w:noProof/>
                <w:sz w:val="21"/>
                <w:szCs w:val="21"/>
              </w:rPr>
              <w:t>,</w:t>
            </w:r>
            <w:r w:rsidR="002272BF">
              <w:rPr>
                <w:noProof/>
                <w:sz w:val="21"/>
                <w:szCs w:val="21"/>
              </w:rPr>
              <w:t xml:space="preserve"> compared to the first submission the evidence base</w:t>
            </w:r>
            <w:r w:rsidR="00D04771">
              <w:rPr>
                <w:noProof/>
                <w:sz w:val="21"/>
                <w:szCs w:val="21"/>
              </w:rPr>
              <w:t xml:space="preserve"> has been significantly strengthened</w:t>
            </w:r>
            <w:r w:rsidR="004961BA">
              <w:rPr>
                <w:noProof/>
                <w:sz w:val="21"/>
                <w:szCs w:val="21"/>
              </w:rPr>
              <w:t xml:space="preserve"> and made more robust</w:t>
            </w:r>
            <w:r w:rsidR="00D04771">
              <w:rPr>
                <w:noProof/>
                <w:sz w:val="21"/>
                <w:szCs w:val="21"/>
              </w:rPr>
              <w:t xml:space="preserve">. </w:t>
            </w:r>
          </w:p>
          <w:p w14:paraId="11094F96" w14:textId="6D4D9FFE" w:rsidR="009C36E7" w:rsidRDefault="00EC2E10" w:rsidP="007A1B81">
            <w:pPr>
              <w:jc w:val="both"/>
              <w:rPr>
                <w:rFonts w:ascii="Calibri" w:hAnsi="Calibri" w:cs="Calibri"/>
                <w:noProof/>
                <w:sz w:val="22"/>
                <w:szCs w:val="22"/>
                <w:lang w:val="en-GB"/>
              </w:rPr>
            </w:pPr>
            <w:r w:rsidRPr="00143775">
              <w:rPr>
                <w:noProof/>
                <w:sz w:val="21"/>
                <w:szCs w:val="21"/>
              </w:rPr>
              <w:t xml:space="preserve">(4) The revised IA </w:t>
            </w:r>
            <w:r w:rsidR="004D7373">
              <w:rPr>
                <w:noProof/>
                <w:sz w:val="21"/>
                <w:szCs w:val="21"/>
              </w:rPr>
              <w:t xml:space="preserve">has redesigned the problem tree </w:t>
            </w:r>
            <w:r w:rsidR="009C5125">
              <w:rPr>
                <w:noProof/>
                <w:sz w:val="21"/>
                <w:szCs w:val="21"/>
              </w:rPr>
              <w:t xml:space="preserve">in section 2.1 </w:t>
            </w:r>
            <w:r w:rsidR="004D7373">
              <w:rPr>
                <w:noProof/>
                <w:sz w:val="21"/>
                <w:szCs w:val="21"/>
              </w:rPr>
              <w:t>and has identified 2 problems which the initiatives address.</w:t>
            </w:r>
            <w:r w:rsidRPr="00143775">
              <w:rPr>
                <w:noProof/>
                <w:sz w:val="21"/>
                <w:szCs w:val="21"/>
              </w:rPr>
              <w:t xml:space="preserve"> </w:t>
            </w:r>
            <w:r w:rsidR="00461F8E">
              <w:rPr>
                <w:noProof/>
                <w:sz w:val="21"/>
                <w:szCs w:val="21"/>
              </w:rPr>
              <w:t>One is multimodal</w:t>
            </w:r>
            <w:r w:rsidR="00124E93">
              <w:rPr>
                <w:noProof/>
                <w:sz w:val="21"/>
                <w:szCs w:val="21"/>
              </w:rPr>
              <w:t>,</w:t>
            </w:r>
            <w:r w:rsidR="00461F8E">
              <w:rPr>
                <w:noProof/>
                <w:sz w:val="21"/>
                <w:szCs w:val="21"/>
              </w:rPr>
              <w:t xml:space="preserve"> the other one is rail specific. </w:t>
            </w:r>
            <w:r w:rsidR="00124E93">
              <w:rPr>
                <w:noProof/>
                <w:sz w:val="21"/>
                <w:szCs w:val="21"/>
              </w:rPr>
              <w:t xml:space="preserve">For </w:t>
            </w:r>
            <w:r w:rsidR="00EB0578">
              <w:rPr>
                <w:noProof/>
                <w:sz w:val="21"/>
                <w:szCs w:val="21"/>
              </w:rPr>
              <w:t>the first</w:t>
            </w:r>
            <w:r w:rsidR="00124E93">
              <w:rPr>
                <w:noProof/>
                <w:sz w:val="21"/>
                <w:szCs w:val="21"/>
              </w:rPr>
              <w:t xml:space="preserve"> problem 3 </w:t>
            </w:r>
            <w:r w:rsidR="003270F8">
              <w:rPr>
                <w:noProof/>
                <w:sz w:val="21"/>
                <w:szCs w:val="21"/>
              </w:rPr>
              <w:t xml:space="preserve">multimodal </w:t>
            </w:r>
            <w:r w:rsidR="00124E93">
              <w:rPr>
                <w:noProof/>
                <w:sz w:val="21"/>
                <w:szCs w:val="21"/>
              </w:rPr>
              <w:t xml:space="preserve">problem </w:t>
            </w:r>
            <w:r w:rsidR="00EB0578">
              <w:rPr>
                <w:noProof/>
                <w:sz w:val="21"/>
                <w:szCs w:val="21"/>
              </w:rPr>
              <w:t>d</w:t>
            </w:r>
            <w:r w:rsidR="00124E93">
              <w:rPr>
                <w:noProof/>
                <w:sz w:val="21"/>
                <w:szCs w:val="21"/>
              </w:rPr>
              <w:t>rivers were identified</w:t>
            </w:r>
            <w:r w:rsidR="003317AA">
              <w:rPr>
                <w:noProof/>
                <w:sz w:val="21"/>
                <w:szCs w:val="21"/>
              </w:rPr>
              <w:t>.</w:t>
            </w:r>
            <w:r w:rsidR="00E4614A">
              <w:rPr>
                <w:noProof/>
                <w:sz w:val="21"/>
                <w:szCs w:val="21"/>
              </w:rPr>
              <w:t xml:space="preserve"> </w:t>
            </w:r>
            <w:r w:rsidR="003317AA">
              <w:rPr>
                <w:noProof/>
                <w:sz w:val="21"/>
                <w:szCs w:val="21"/>
              </w:rPr>
              <w:t>O</w:t>
            </w:r>
            <w:r w:rsidR="00E4614A">
              <w:rPr>
                <w:noProof/>
                <w:sz w:val="21"/>
                <w:szCs w:val="21"/>
              </w:rPr>
              <w:t xml:space="preserve">ne </w:t>
            </w:r>
            <w:r w:rsidR="003317AA">
              <w:rPr>
                <w:noProof/>
                <w:sz w:val="21"/>
                <w:szCs w:val="21"/>
              </w:rPr>
              <w:t>rail specific</w:t>
            </w:r>
            <w:r w:rsidR="00E4614A">
              <w:rPr>
                <w:noProof/>
                <w:sz w:val="21"/>
                <w:szCs w:val="21"/>
              </w:rPr>
              <w:t xml:space="preserve"> problem driver was identified for the second </w:t>
            </w:r>
            <w:r w:rsidR="003317AA">
              <w:rPr>
                <w:noProof/>
                <w:sz w:val="21"/>
                <w:szCs w:val="21"/>
              </w:rPr>
              <w:t>rail specific</w:t>
            </w:r>
            <w:r w:rsidR="00E4614A">
              <w:rPr>
                <w:noProof/>
                <w:sz w:val="21"/>
                <w:szCs w:val="21"/>
              </w:rPr>
              <w:t xml:space="preserve"> problem. </w:t>
            </w:r>
            <w:r w:rsidR="003317AA">
              <w:rPr>
                <w:noProof/>
                <w:sz w:val="21"/>
                <w:szCs w:val="21"/>
              </w:rPr>
              <w:t xml:space="preserve">The revision of the problem tree </w:t>
            </w:r>
            <w:r w:rsidR="005E319D">
              <w:rPr>
                <w:noProof/>
                <w:sz w:val="21"/>
                <w:szCs w:val="21"/>
              </w:rPr>
              <w:t xml:space="preserve">has led to the identification of problem </w:t>
            </w:r>
            <w:r w:rsidR="005E319D" w:rsidRPr="007A1B81">
              <w:rPr>
                <w:noProof/>
                <w:sz w:val="21"/>
                <w:szCs w:val="21"/>
                <w:lang w:val="en-GB" w:eastAsia="en-US"/>
              </w:rPr>
              <w:t xml:space="preserve">drivers which are sufficiently exhaustive. </w:t>
            </w:r>
            <w:r w:rsidR="009C36E7" w:rsidRPr="007A1B81">
              <w:rPr>
                <w:noProof/>
                <w:sz w:val="21"/>
                <w:szCs w:val="21"/>
                <w:lang w:val="en-GB" w:eastAsia="en-US"/>
              </w:rPr>
              <w:t>The issue of journey continuation has been taken out of the scope of this impact assessment and will be assessed in a specific targeted revision of the rail passenger rights regulation, which is accompanied by an analytical staff working document updating the existing IA conducted in 2017 on the Rail Passenger Rights Regulation.</w:t>
            </w:r>
            <w:r w:rsidR="009C36E7">
              <w:rPr>
                <w:rFonts w:ascii="Calibri" w:hAnsi="Calibri" w:cs="Calibri"/>
                <w:noProof/>
                <w:lang w:val="en-GB"/>
              </w:rPr>
              <w:t xml:space="preserve"> </w:t>
            </w:r>
          </w:p>
          <w:p w14:paraId="0AFAF582" w14:textId="09ABB349" w:rsidR="00EC2E10" w:rsidRPr="00143775" w:rsidRDefault="003B3907">
            <w:pPr>
              <w:pStyle w:val="FootnoteText"/>
              <w:spacing w:after="120"/>
              <w:jc w:val="both"/>
              <w:rPr>
                <w:noProof/>
                <w:sz w:val="21"/>
                <w:szCs w:val="21"/>
              </w:rPr>
            </w:pPr>
            <w:r>
              <w:rPr>
                <w:noProof/>
                <w:sz w:val="21"/>
                <w:szCs w:val="21"/>
              </w:rPr>
              <w:t xml:space="preserve">The revised intervention logic </w:t>
            </w:r>
            <w:r w:rsidR="00837614">
              <w:rPr>
                <w:noProof/>
                <w:sz w:val="21"/>
                <w:szCs w:val="21"/>
              </w:rPr>
              <w:t>is more streamlined</w:t>
            </w:r>
            <w:r w:rsidR="001B4EC7">
              <w:rPr>
                <w:noProof/>
                <w:sz w:val="21"/>
                <w:szCs w:val="21"/>
              </w:rPr>
              <w:t xml:space="preserve"> and</w:t>
            </w:r>
            <w:r>
              <w:rPr>
                <w:noProof/>
                <w:sz w:val="21"/>
                <w:szCs w:val="21"/>
              </w:rPr>
              <w:t xml:space="preserve"> has led to </w:t>
            </w:r>
            <w:r w:rsidR="009D52A5">
              <w:rPr>
                <w:noProof/>
                <w:sz w:val="21"/>
                <w:szCs w:val="21"/>
              </w:rPr>
              <w:t xml:space="preserve">more </w:t>
            </w:r>
            <w:r>
              <w:rPr>
                <w:noProof/>
                <w:sz w:val="21"/>
                <w:szCs w:val="21"/>
              </w:rPr>
              <w:t>focused</w:t>
            </w:r>
            <w:r w:rsidR="009D52A5">
              <w:rPr>
                <w:noProof/>
                <w:sz w:val="21"/>
                <w:szCs w:val="21"/>
              </w:rPr>
              <w:t xml:space="preserve"> </w:t>
            </w:r>
            <w:r w:rsidR="008C681D">
              <w:rPr>
                <w:noProof/>
                <w:sz w:val="21"/>
                <w:szCs w:val="21"/>
              </w:rPr>
              <w:t>problem drivers w</w:t>
            </w:r>
            <w:r w:rsidR="001B4EC7">
              <w:rPr>
                <w:noProof/>
                <w:sz w:val="21"/>
                <w:szCs w:val="21"/>
              </w:rPr>
              <w:t>ith increased relevance</w:t>
            </w:r>
            <w:r w:rsidR="00CF1B50">
              <w:rPr>
                <w:noProof/>
                <w:sz w:val="21"/>
                <w:szCs w:val="21"/>
              </w:rPr>
              <w:t>.</w:t>
            </w:r>
          </w:p>
        </w:tc>
      </w:tr>
      <w:tr w:rsidR="00F61DEB" w:rsidRPr="00D71008" w14:paraId="62CF9265" w14:textId="77777777" w:rsidTr="00456646">
        <w:trPr>
          <w:trHeight w:val="300"/>
        </w:trPr>
        <w:tc>
          <w:tcPr>
            <w:tcW w:w="3539" w:type="dxa"/>
            <w:shd w:val="clear" w:color="auto" w:fill="FFFFFF" w:themeFill="background1"/>
          </w:tcPr>
          <w:p w14:paraId="6D1963C0" w14:textId="77777777" w:rsidR="00EC2E10" w:rsidRPr="00143775" w:rsidRDefault="00EC2E10">
            <w:pPr>
              <w:pStyle w:val="FootnoteText"/>
              <w:spacing w:after="120"/>
              <w:jc w:val="both"/>
              <w:rPr>
                <w:noProof/>
                <w:sz w:val="21"/>
                <w:szCs w:val="21"/>
              </w:rPr>
            </w:pPr>
            <w:r w:rsidRPr="00143775">
              <w:rPr>
                <w:noProof/>
                <w:sz w:val="21"/>
                <w:szCs w:val="21"/>
              </w:rPr>
              <w:t>(1) Given the significant decrease of market share of CRSs in the distribution of tickets over the last decade, the report should substantiate with evidence their assumed continued (joint) dominance and (potential) abusive market behaviour. (2) It should better argue why a revision of the Code of conduct for CRS is still relevant, given the market innovation and technology dynamics of the airline ticket distribution sector. (3) Regarding the issue of rail journey continuation, the report should provide an evidence-based analysis supported by a market failure-based rationale for regulatory intervention. Given existing regulations and measures in place, the report should be clear on the size of the remaining gap, both within the same operators and across all operators, including potential developments of the rail markets.</w:t>
            </w:r>
          </w:p>
        </w:tc>
        <w:tc>
          <w:tcPr>
            <w:tcW w:w="6064" w:type="dxa"/>
            <w:shd w:val="clear" w:color="auto" w:fill="FFFFFF" w:themeFill="background1"/>
          </w:tcPr>
          <w:p w14:paraId="6EFE0144" w14:textId="2BCF01D4" w:rsidR="00EC2E10" w:rsidRPr="00143775" w:rsidRDefault="00EC2E10">
            <w:pPr>
              <w:pStyle w:val="FootnoteText"/>
              <w:spacing w:after="120"/>
              <w:jc w:val="both"/>
              <w:rPr>
                <w:noProof/>
                <w:sz w:val="21"/>
                <w:szCs w:val="21"/>
              </w:rPr>
            </w:pPr>
            <w:r w:rsidRPr="00143775">
              <w:rPr>
                <w:noProof/>
                <w:sz w:val="21"/>
                <w:szCs w:val="21"/>
              </w:rPr>
              <w:t xml:space="preserve">(1) The revised IA </w:t>
            </w:r>
            <w:r w:rsidR="00BE767F">
              <w:rPr>
                <w:noProof/>
                <w:sz w:val="21"/>
                <w:szCs w:val="21"/>
              </w:rPr>
              <w:t>report</w:t>
            </w:r>
            <w:r w:rsidRPr="00143775">
              <w:rPr>
                <w:noProof/>
                <w:sz w:val="21"/>
                <w:szCs w:val="21"/>
              </w:rPr>
              <w:t xml:space="preserve"> provide</w:t>
            </w:r>
            <w:r w:rsidR="00EF4651" w:rsidRPr="00143775">
              <w:rPr>
                <w:noProof/>
                <w:sz w:val="21"/>
                <w:szCs w:val="21"/>
              </w:rPr>
              <w:t>s</w:t>
            </w:r>
            <w:r w:rsidR="007A7EFD" w:rsidRPr="00143775">
              <w:rPr>
                <w:noProof/>
                <w:sz w:val="21"/>
                <w:szCs w:val="21"/>
              </w:rPr>
              <w:t xml:space="preserve"> in </w:t>
            </w:r>
            <w:r w:rsidR="00BE767F">
              <w:rPr>
                <w:noProof/>
                <w:sz w:val="21"/>
                <w:szCs w:val="21"/>
              </w:rPr>
              <w:t>section</w:t>
            </w:r>
            <w:r w:rsidR="007A7EFD" w:rsidRPr="00143775">
              <w:rPr>
                <w:noProof/>
                <w:sz w:val="21"/>
                <w:szCs w:val="21"/>
              </w:rPr>
              <w:t xml:space="preserve"> 2</w:t>
            </w:r>
            <w:r w:rsidR="00D3599E">
              <w:rPr>
                <w:noProof/>
                <w:sz w:val="21"/>
                <w:szCs w:val="21"/>
              </w:rPr>
              <w:t>.1</w:t>
            </w:r>
            <w:r w:rsidRPr="00143775">
              <w:rPr>
                <w:noProof/>
                <w:sz w:val="21"/>
                <w:szCs w:val="21"/>
              </w:rPr>
              <w:t xml:space="preserve"> updated evidence on the </w:t>
            </w:r>
            <w:r w:rsidR="00F346F4">
              <w:rPr>
                <w:noProof/>
                <w:sz w:val="21"/>
                <w:szCs w:val="21"/>
              </w:rPr>
              <w:t xml:space="preserve">decreasing </w:t>
            </w:r>
            <w:r w:rsidRPr="00143775">
              <w:rPr>
                <w:noProof/>
                <w:sz w:val="21"/>
                <w:szCs w:val="21"/>
              </w:rPr>
              <w:t xml:space="preserve">market share of CRSs in air ticket distribution, and </w:t>
            </w:r>
            <w:r w:rsidR="00F346F4">
              <w:rPr>
                <w:noProof/>
                <w:sz w:val="21"/>
                <w:szCs w:val="21"/>
              </w:rPr>
              <w:t xml:space="preserve">despite this </w:t>
            </w:r>
            <w:r w:rsidRPr="00143775">
              <w:rPr>
                <w:noProof/>
                <w:sz w:val="21"/>
                <w:szCs w:val="21"/>
              </w:rPr>
              <w:t>of their persistent strategic position in the business-to-business market and the whole ticket value chain</w:t>
            </w:r>
            <w:r w:rsidR="0016431F" w:rsidRPr="00143775">
              <w:rPr>
                <w:noProof/>
                <w:sz w:val="21"/>
                <w:szCs w:val="21"/>
              </w:rPr>
              <w:t xml:space="preserve"> (</w:t>
            </w:r>
            <w:r w:rsidR="00E83CFC" w:rsidRPr="00143775">
              <w:rPr>
                <w:noProof/>
                <w:sz w:val="21"/>
                <w:szCs w:val="21"/>
              </w:rPr>
              <w:t>7</w:t>
            </w:r>
            <w:r w:rsidR="00E83CFC">
              <w:rPr>
                <w:noProof/>
                <w:sz w:val="21"/>
                <w:szCs w:val="21"/>
              </w:rPr>
              <w:t>3</w:t>
            </w:r>
            <w:r w:rsidR="0016431F" w:rsidRPr="00143775">
              <w:rPr>
                <w:noProof/>
                <w:sz w:val="21"/>
                <w:szCs w:val="21"/>
              </w:rPr>
              <w:t>% of all ticket selling channels are connected through a CRS)</w:t>
            </w:r>
            <w:r w:rsidR="006D1F75">
              <w:rPr>
                <w:noProof/>
                <w:sz w:val="21"/>
                <w:szCs w:val="21"/>
              </w:rPr>
              <w:t>. This</w:t>
            </w:r>
            <w:r w:rsidRPr="00143775">
              <w:rPr>
                <w:noProof/>
                <w:sz w:val="21"/>
                <w:szCs w:val="21"/>
              </w:rPr>
              <w:t>, result</w:t>
            </w:r>
            <w:r w:rsidR="006D1F75">
              <w:rPr>
                <w:noProof/>
                <w:sz w:val="21"/>
                <w:szCs w:val="21"/>
              </w:rPr>
              <w:t>s</w:t>
            </w:r>
            <w:r w:rsidRPr="00143775">
              <w:rPr>
                <w:noProof/>
                <w:sz w:val="21"/>
                <w:szCs w:val="21"/>
              </w:rPr>
              <w:t xml:space="preserve"> in </w:t>
            </w:r>
            <w:r w:rsidR="006D1F75">
              <w:rPr>
                <w:noProof/>
                <w:sz w:val="21"/>
                <w:szCs w:val="21"/>
              </w:rPr>
              <w:t>CRSs</w:t>
            </w:r>
            <w:r w:rsidR="004056FC">
              <w:rPr>
                <w:noProof/>
                <w:sz w:val="21"/>
                <w:szCs w:val="21"/>
              </w:rPr>
              <w:t>’</w:t>
            </w:r>
            <w:r w:rsidRPr="00143775">
              <w:rPr>
                <w:noProof/>
                <w:sz w:val="21"/>
                <w:szCs w:val="21"/>
              </w:rPr>
              <w:t xml:space="preserve"> continued dominance, and ability to use their position to impose terms and conditions</w:t>
            </w:r>
            <w:r w:rsidR="00022800" w:rsidRPr="00143775">
              <w:rPr>
                <w:noProof/>
                <w:sz w:val="21"/>
                <w:szCs w:val="21"/>
              </w:rPr>
              <w:t>.</w:t>
            </w:r>
            <w:r w:rsidR="0016431F" w:rsidRPr="00143775">
              <w:rPr>
                <w:noProof/>
                <w:sz w:val="21"/>
                <w:szCs w:val="21"/>
              </w:rPr>
              <w:t xml:space="preserve"> </w:t>
            </w:r>
            <w:r w:rsidRPr="00143775">
              <w:rPr>
                <w:noProof/>
                <w:sz w:val="21"/>
                <w:szCs w:val="21"/>
              </w:rPr>
              <w:t xml:space="preserve">The revised IA </w:t>
            </w:r>
            <w:r w:rsidR="002F7443">
              <w:rPr>
                <w:noProof/>
                <w:sz w:val="21"/>
                <w:szCs w:val="21"/>
              </w:rPr>
              <w:t>report</w:t>
            </w:r>
            <w:r w:rsidRPr="00143775">
              <w:rPr>
                <w:noProof/>
                <w:sz w:val="21"/>
                <w:szCs w:val="21"/>
              </w:rPr>
              <w:t xml:space="preserve"> also provide</w:t>
            </w:r>
            <w:r w:rsidR="005B1C72" w:rsidRPr="00143775">
              <w:rPr>
                <w:noProof/>
                <w:sz w:val="21"/>
                <w:szCs w:val="21"/>
              </w:rPr>
              <w:t>s</w:t>
            </w:r>
            <w:r w:rsidRPr="00143775">
              <w:rPr>
                <w:noProof/>
                <w:sz w:val="21"/>
                <w:szCs w:val="21"/>
              </w:rPr>
              <w:t xml:space="preserve"> a clear overview of the distribution landscape, including new business models </w:t>
            </w:r>
            <w:r w:rsidR="002257B4">
              <w:rPr>
                <w:noProof/>
                <w:sz w:val="21"/>
                <w:szCs w:val="21"/>
              </w:rPr>
              <w:t>(i.e. New Content aggregators)</w:t>
            </w:r>
            <w:r w:rsidRPr="00143775">
              <w:rPr>
                <w:noProof/>
                <w:sz w:val="21"/>
                <w:szCs w:val="21"/>
              </w:rPr>
              <w:t xml:space="preserve"> and new market features. </w:t>
            </w:r>
            <w:r w:rsidR="00847DA2">
              <w:rPr>
                <w:noProof/>
                <w:sz w:val="21"/>
                <w:szCs w:val="21"/>
              </w:rPr>
              <w:t xml:space="preserve">Further details are provided in Annex 9 and 10. </w:t>
            </w:r>
          </w:p>
          <w:p w14:paraId="2183884A" w14:textId="2194310F" w:rsidR="00EC2E10" w:rsidRPr="00143775" w:rsidRDefault="00EC2E10">
            <w:pPr>
              <w:pStyle w:val="FootnoteText"/>
              <w:spacing w:after="120"/>
              <w:jc w:val="both"/>
              <w:rPr>
                <w:noProof/>
                <w:sz w:val="21"/>
                <w:szCs w:val="21"/>
              </w:rPr>
            </w:pPr>
            <w:r w:rsidRPr="00143775">
              <w:rPr>
                <w:noProof/>
                <w:sz w:val="21"/>
                <w:szCs w:val="21"/>
              </w:rPr>
              <w:t>(2) It also provide</w:t>
            </w:r>
            <w:r w:rsidR="005B1C72" w:rsidRPr="00143775">
              <w:rPr>
                <w:noProof/>
                <w:sz w:val="21"/>
                <w:szCs w:val="21"/>
              </w:rPr>
              <w:t>s</w:t>
            </w:r>
            <w:r w:rsidRPr="00143775">
              <w:rPr>
                <w:noProof/>
                <w:sz w:val="21"/>
                <w:szCs w:val="21"/>
              </w:rPr>
              <w:t xml:space="preserve"> the specific reasons for retaining the relevant provisions of the Code of Conduct for CRSs, updating those that require adjustments, in response to the market and technological changes, and repealing those that are no longer relevant. </w:t>
            </w:r>
            <w:r w:rsidR="0016431F" w:rsidRPr="00143775">
              <w:rPr>
                <w:noProof/>
                <w:sz w:val="21"/>
                <w:szCs w:val="21"/>
              </w:rPr>
              <w:t>This aligns with the finding</w:t>
            </w:r>
            <w:r w:rsidR="00E32780">
              <w:rPr>
                <w:noProof/>
                <w:sz w:val="21"/>
                <w:szCs w:val="21"/>
              </w:rPr>
              <w:t>s</w:t>
            </w:r>
            <w:r w:rsidR="0016431F" w:rsidRPr="00143775">
              <w:rPr>
                <w:noProof/>
                <w:sz w:val="21"/>
                <w:szCs w:val="21"/>
              </w:rPr>
              <w:t xml:space="preserve"> of the evaluation of the Code of Conduct.</w:t>
            </w:r>
            <w:r w:rsidR="008A372D">
              <w:rPr>
                <w:noProof/>
                <w:sz w:val="21"/>
                <w:szCs w:val="21"/>
              </w:rPr>
              <w:t xml:space="preserve"> Further details are provided in Annex 9 and 10. </w:t>
            </w:r>
          </w:p>
          <w:p w14:paraId="4E104FBB" w14:textId="37B7FB41" w:rsidR="00EC2E10" w:rsidRPr="00143775" w:rsidRDefault="00EC2E10">
            <w:pPr>
              <w:pStyle w:val="FootnoteText"/>
              <w:spacing w:after="120"/>
              <w:jc w:val="both"/>
              <w:rPr>
                <w:noProof/>
                <w:sz w:val="21"/>
                <w:szCs w:val="21"/>
              </w:rPr>
            </w:pPr>
            <w:r w:rsidRPr="00143775">
              <w:rPr>
                <w:noProof/>
                <w:sz w:val="21"/>
                <w:szCs w:val="21"/>
              </w:rPr>
              <w:t xml:space="preserve">(3) </w:t>
            </w:r>
            <w:r w:rsidRPr="00143775">
              <w:rPr>
                <w:rFonts w:eastAsia="Verdana"/>
                <w:noProof/>
                <w:color w:val="000000"/>
                <w:kern w:val="24"/>
                <w:sz w:val="21"/>
                <w:szCs w:val="21"/>
              </w:rPr>
              <w:t xml:space="preserve">The rules concerning the continuation of rail journeys are outside the scope of this </w:t>
            </w:r>
            <w:r w:rsidR="00821B31">
              <w:rPr>
                <w:rFonts w:eastAsia="Verdana"/>
                <w:noProof/>
                <w:color w:val="000000"/>
                <w:kern w:val="24"/>
                <w:sz w:val="21"/>
                <w:szCs w:val="21"/>
              </w:rPr>
              <w:t xml:space="preserve">revised </w:t>
            </w:r>
            <w:r w:rsidRPr="00143775">
              <w:rPr>
                <w:rFonts w:eastAsia="Verdana"/>
                <w:noProof/>
                <w:color w:val="000000"/>
                <w:kern w:val="24"/>
                <w:sz w:val="21"/>
                <w:szCs w:val="21"/>
              </w:rPr>
              <w:t xml:space="preserve">IA </w:t>
            </w:r>
            <w:r w:rsidR="00DA6AAC">
              <w:rPr>
                <w:rFonts w:eastAsia="Verdana"/>
                <w:noProof/>
                <w:color w:val="000000"/>
                <w:kern w:val="24"/>
                <w:sz w:val="21"/>
                <w:szCs w:val="21"/>
              </w:rPr>
              <w:t>report</w:t>
            </w:r>
            <w:r w:rsidRPr="00143775">
              <w:rPr>
                <w:rFonts w:eastAsia="Verdana"/>
                <w:noProof/>
                <w:color w:val="000000"/>
                <w:kern w:val="24"/>
                <w:sz w:val="21"/>
                <w:szCs w:val="21"/>
              </w:rPr>
              <w:t xml:space="preserve">. </w:t>
            </w:r>
            <w:r w:rsidR="00821B31">
              <w:rPr>
                <w:rFonts w:eastAsia="Verdana"/>
                <w:noProof/>
                <w:color w:val="000000"/>
                <w:kern w:val="24"/>
                <w:sz w:val="21"/>
                <w:szCs w:val="21"/>
              </w:rPr>
              <w:t>R</w:t>
            </w:r>
            <w:r w:rsidR="003C6D6D" w:rsidRPr="00143775">
              <w:rPr>
                <w:rFonts w:eastAsia="Verdana"/>
                <w:noProof/>
                <w:color w:val="000000"/>
                <w:kern w:val="24"/>
                <w:sz w:val="21"/>
                <w:szCs w:val="21"/>
              </w:rPr>
              <w:t xml:space="preserve">ail passengers’ rights </w:t>
            </w:r>
            <w:r w:rsidR="00682460" w:rsidRPr="00143775">
              <w:rPr>
                <w:rFonts w:eastAsia="Verdana"/>
                <w:noProof/>
                <w:color w:val="000000"/>
                <w:kern w:val="24"/>
                <w:sz w:val="21"/>
                <w:szCs w:val="21"/>
              </w:rPr>
              <w:t>are</w:t>
            </w:r>
            <w:r w:rsidR="003C6D6D" w:rsidRPr="00143775">
              <w:rPr>
                <w:rFonts w:eastAsia="Verdana"/>
                <w:noProof/>
                <w:color w:val="000000"/>
                <w:kern w:val="24"/>
                <w:sz w:val="21"/>
                <w:szCs w:val="21"/>
              </w:rPr>
              <w:t xml:space="preserve"> addressed in the context of a targeted revision of the Rail Passenger Rights Regulation</w:t>
            </w:r>
            <w:r w:rsidR="007E7497">
              <w:rPr>
                <w:rFonts w:eastAsia="Verdana"/>
                <w:noProof/>
                <w:color w:val="000000"/>
                <w:kern w:val="24"/>
                <w:sz w:val="21"/>
                <w:szCs w:val="21"/>
              </w:rPr>
              <w:t xml:space="preserve">. The latter will be accompanied by an analytical Staff Working Document which will update the assessment of impact of the existing underlying Impact Assessment carried out in 2017. </w:t>
            </w:r>
          </w:p>
        </w:tc>
      </w:tr>
      <w:tr w:rsidR="00F61DEB" w:rsidRPr="00D71008" w14:paraId="7A74977F" w14:textId="77777777" w:rsidTr="00456646">
        <w:trPr>
          <w:trHeight w:val="300"/>
        </w:trPr>
        <w:tc>
          <w:tcPr>
            <w:tcW w:w="3539" w:type="dxa"/>
            <w:shd w:val="clear" w:color="auto" w:fill="FFFFFF" w:themeFill="background1"/>
          </w:tcPr>
          <w:p w14:paraId="5030283F" w14:textId="2D5F8342" w:rsidR="00EC2E10" w:rsidRPr="00143775" w:rsidRDefault="00EC2E10">
            <w:pPr>
              <w:pStyle w:val="FootnoteText"/>
              <w:spacing w:after="120"/>
              <w:jc w:val="both"/>
              <w:rPr>
                <w:noProof/>
                <w:sz w:val="21"/>
                <w:szCs w:val="21"/>
              </w:rPr>
            </w:pPr>
            <w:r w:rsidRPr="00143775">
              <w:rPr>
                <w:noProof/>
                <w:sz w:val="21"/>
                <w:szCs w:val="21"/>
              </w:rPr>
              <w:t>(1) The report should clarify the intervention logic, in particular, how this initiative would induce behavioural change among users of mobility services and transport operators, as well as the evidence base supporting these expectations. (2) It should make clear how the policy options address the specific objectives. The specific objectives should be phrased in more SMART terms to better understand what the change potential of this initiative is and how “success” is defined. (3) These objectives should be reflected in corresponding evaluation and monitoring indicators measuring the specific impacts of the measures in terms of contribution to the increased multimodality deployment and modal shift, including private road transport reduction.</w:t>
            </w:r>
          </w:p>
        </w:tc>
        <w:tc>
          <w:tcPr>
            <w:tcW w:w="6064" w:type="dxa"/>
            <w:shd w:val="clear" w:color="auto" w:fill="FFFFFF" w:themeFill="background1"/>
          </w:tcPr>
          <w:p w14:paraId="6284E6E1" w14:textId="2CB57709" w:rsidR="00EC2E10" w:rsidRPr="00143775" w:rsidRDefault="00EC2E10">
            <w:pPr>
              <w:pStyle w:val="FootnoteText"/>
              <w:spacing w:after="120"/>
              <w:jc w:val="both"/>
              <w:rPr>
                <w:noProof/>
                <w:sz w:val="21"/>
                <w:szCs w:val="21"/>
              </w:rPr>
            </w:pPr>
            <w:r w:rsidRPr="00143775">
              <w:rPr>
                <w:noProof/>
                <w:sz w:val="21"/>
                <w:szCs w:val="21"/>
              </w:rPr>
              <w:t xml:space="preserve">(1) </w:t>
            </w:r>
            <w:r w:rsidR="004F276C">
              <w:rPr>
                <w:noProof/>
                <w:sz w:val="21"/>
                <w:szCs w:val="21"/>
              </w:rPr>
              <w:t>To address the RSB comments, t</w:t>
            </w:r>
            <w:r w:rsidRPr="00143775">
              <w:rPr>
                <w:noProof/>
                <w:sz w:val="21"/>
                <w:szCs w:val="21"/>
              </w:rPr>
              <w:t xml:space="preserve">he revised IA </w:t>
            </w:r>
            <w:r w:rsidR="002E76C5">
              <w:rPr>
                <w:noProof/>
                <w:sz w:val="21"/>
                <w:szCs w:val="21"/>
              </w:rPr>
              <w:t>report</w:t>
            </w:r>
            <w:r w:rsidRPr="00143775">
              <w:rPr>
                <w:noProof/>
                <w:sz w:val="21"/>
                <w:szCs w:val="21"/>
              </w:rPr>
              <w:t xml:space="preserve"> integrate</w:t>
            </w:r>
            <w:r w:rsidR="005B1C72" w:rsidRPr="00143775">
              <w:rPr>
                <w:noProof/>
                <w:sz w:val="21"/>
                <w:szCs w:val="21"/>
              </w:rPr>
              <w:t>s</w:t>
            </w:r>
            <w:r w:rsidRPr="00143775">
              <w:rPr>
                <w:noProof/>
                <w:sz w:val="21"/>
                <w:szCs w:val="21"/>
              </w:rPr>
              <w:t xml:space="preserve"> a revised intervention logic (2) with revised specific objectives. The revision of the specific objectives </w:t>
            </w:r>
            <w:r w:rsidR="00034923">
              <w:rPr>
                <w:noProof/>
                <w:sz w:val="21"/>
                <w:szCs w:val="21"/>
              </w:rPr>
              <w:t xml:space="preserve">as set out in section 4 </w:t>
            </w:r>
            <w:r w:rsidRPr="00143775">
              <w:rPr>
                <w:noProof/>
                <w:sz w:val="21"/>
                <w:szCs w:val="21"/>
              </w:rPr>
              <w:t>enable</w:t>
            </w:r>
            <w:r w:rsidR="00667C4D" w:rsidRPr="00143775">
              <w:rPr>
                <w:noProof/>
                <w:sz w:val="21"/>
                <w:szCs w:val="21"/>
              </w:rPr>
              <w:t>s</w:t>
            </w:r>
            <w:r w:rsidRPr="00143775">
              <w:rPr>
                <w:noProof/>
                <w:sz w:val="21"/>
                <w:szCs w:val="21"/>
              </w:rPr>
              <w:t xml:space="preserve"> to better describe how the success of the initiative can be achieved</w:t>
            </w:r>
            <w:r w:rsidR="00034923">
              <w:rPr>
                <w:noProof/>
                <w:sz w:val="21"/>
                <w:szCs w:val="21"/>
              </w:rPr>
              <w:t xml:space="preserve">. </w:t>
            </w:r>
            <w:r w:rsidR="00926AE4">
              <w:rPr>
                <w:noProof/>
                <w:sz w:val="21"/>
                <w:szCs w:val="21"/>
              </w:rPr>
              <w:t>Th newly designed intervention logic is</w:t>
            </w:r>
            <w:r w:rsidRPr="00143775">
              <w:rPr>
                <w:noProof/>
                <w:sz w:val="21"/>
                <w:szCs w:val="21"/>
              </w:rPr>
              <w:t xml:space="preserve"> making clear links between the specific objectives and the policy options and allow</w:t>
            </w:r>
            <w:r w:rsidR="00926AE4">
              <w:rPr>
                <w:noProof/>
                <w:sz w:val="21"/>
                <w:szCs w:val="21"/>
              </w:rPr>
              <w:t>s</w:t>
            </w:r>
            <w:r w:rsidRPr="00143775">
              <w:rPr>
                <w:noProof/>
                <w:sz w:val="21"/>
                <w:szCs w:val="21"/>
              </w:rPr>
              <w:t xml:space="preserve"> for a more precise evaluation and monitoring. </w:t>
            </w:r>
          </w:p>
          <w:p w14:paraId="1F9A3875" w14:textId="3988A5B7" w:rsidR="00EC2E10" w:rsidRPr="00143775" w:rsidRDefault="00EC2E10">
            <w:pPr>
              <w:pStyle w:val="FootnoteText"/>
              <w:spacing w:after="120"/>
              <w:jc w:val="both"/>
              <w:rPr>
                <w:noProof/>
                <w:sz w:val="21"/>
                <w:szCs w:val="21"/>
              </w:rPr>
            </w:pPr>
            <w:r w:rsidRPr="00143775">
              <w:rPr>
                <w:noProof/>
                <w:sz w:val="21"/>
                <w:szCs w:val="21"/>
              </w:rPr>
              <w:t>(</w:t>
            </w:r>
            <w:r w:rsidRPr="001D5B48">
              <w:rPr>
                <w:noProof/>
                <w:sz w:val="21"/>
                <w:szCs w:val="21"/>
              </w:rPr>
              <w:t xml:space="preserve">3) The revised IA </w:t>
            </w:r>
            <w:r w:rsidR="004E7776">
              <w:rPr>
                <w:noProof/>
                <w:sz w:val="21"/>
                <w:szCs w:val="21"/>
              </w:rPr>
              <w:t>report</w:t>
            </w:r>
            <w:r w:rsidRPr="001D5B48">
              <w:rPr>
                <w:noProof/>
                <w:sz w:val="21"/>
                <w:szCs w:val="21"/>
              </w:rPr>
              <w:t xml:space="preserve"> also establish</w:t>
            </w:r>
            <w:r w:rsidR="00B11DE8" w:rsidRPr="001D5B48">
              <w:rPr>
                <w:noProof/>
                <w:sz w:val="21"/>
                <w:szCs w:val="21"/>
              </w:rPr>
              <w:t>es</w:t>
            </w:r>
            <w:r w:rsidRPr="001D5B48">
              <w:rPr>
                <w:noProof/>
                <w:sz w:val="21"/>
                <w:szCs w:val="21"/>
              </w:rPr>
              <w:t xml:space="preserve"> a set of monitoring indicators</w:t>
            </w:r>
            <w:r w:rsidR="006E4E2E">
              <w:rPr>
                <w:noProof/>
                <w:sz w:val="21"/>
                <w:szCs w:val="21"/>
              </w:rPr>
              <w:t xml:space="preserve">, with which data would be gathered for monitoring </w:t>
            </w:r>
            <w:r w:rsidR="00AE7998">
              <w:rPr>
                <w:noProof/>
                <w:sz w:val="21"/>
                <w:szCs w:val="21"/>
              </w:rPr>
              <w:t>purposes</w:t>
            </w:r>
            <w:r w:rsidR="006E4E2E">
              <w:rPr>
                <w:noProof/>
                <w:sz w:val="21"/>
                <w:szCs w:val="21"/>
              </w:rPr>
              <w:t xml:space="preserve"> and later on </w:t>
            </w:r>
            <w:r w:rsidR="00AE7998">
              <w:rPr>
                <w:noProof/>
                <w:sz w:val="21"/>
                <w:szCs w:val="21"/>
              </w:rPr>
              <w:t xml:space="preserve">for the </w:t>
            </w:r>
            <w:r w:rsidR="001558EE">
              <w:rPr>
                <w:noProof/>
                <w:sz w:val="21"/>
                <w:szCs w:val="21"/>
              </w:rPr>
              <w:t xml:space="preserve">evaluation </w:t>
            </w:r>
            <w:r w:rsidR="006E4E2E">
              <w:rPr>
                <w:noProof/>
                <w:sz w:val="21"/>
                <w:szCs w:val="21"/>
              </w:rPr>
              <w:t>of t</w:t>
            </w:r>
            <w:r w:rsidR="001558EE">
              <w:rPr>
                <w:noProof/>
                <w:sz w:val="21"/>
                <w:szCs w:val="21"/>
              </w:rPr>
              <w:t>h</w:t>
            </w:r>
            <w:r w:rsidR="006E4E2E">
              <w:rPr>
                <w:noProof/>
                <w:sz w:val="21"/>
                <w:szCs w:val="21"/>
              </w:rPr>
              <w:t xml:space="preserve">e </w:t>
            </w:r>
            <w:r w:rsidR="001558EE">
              <w:rPr>
                <w:noProof/>
                <w:sz w:val="21"/>
                <w:szCs w:val="21"/>
              </w:rPr>
              <w:t>initiatives</w:t>
            </w:r>
            <w:r w:rsidR="00AE7998">
              <w:rPr>
                <w:noProof/>
                <w:sz w:val="21"/>
                <w:szCs w:val="21"/>
              </w:rPr>
              <w:t>’</w:t>
            </w:r>
            <w:r w:rsidR="001558EE">
              <w:rPr>
                <w:noProof/>
                <w:sz w:val="21"/>
                <w:szCs w:val="21"/>
              </w:rPr>
              <w:t xml:space="preserve"> effectiveness, efficiency, relevance, coherence and EU added value</w:t>
            </w:r>
            <w:r w:rsidRPr="001D5B48">
              <w:rPr>
                <w:noProof/>
                <w:sz w:val="21"/>
                <w:szCs w:val="21"/>
              </w:rPr>
              <w:t xml:space="preserve">. These indicators </w:t>
            </w:r>
            <w:r w:rsidR="00B11DE8" w:rsidRPr="001D5B48">
              <w:rPr>
                <w:noProof/>
                <w:sz w:val="21"/>
                <w:szCs w:val="21"/>
              </w:rPr>
              <w:t>are</w:t>
            </w:r>
            <w:r w:rsidRPr="001D5B48">
              <w:rPr>
                <w:noProof/>
                <w:sz w:val="21"/>
                <w:szCs w:val="21"/>
              </w:rPr>
              <w:t xml:space="preserve"> directly linked to the revised specific objectives and enable the assessment of the initiative's progress towards its goals.</w:t>
            </w:r>
            <w:r w:rsidRPr="00143775">
              <w:rPr>
                <w:noProof/>
                <w:sz w:val="21"/>
                <w:szCs w:val="21"/>
              </w:rPr>
              <w:t xml:space="preserve"> </w:t>
            </w:r>
            <w:r w:rsidR="008707A2">
              <w:rPr>
                <w:noProof/>
                <w:sz w:val="21"/>
                <w:szCs w:val="21"/>
              </w:rPr>
              <w:t xml:space="preserve">They are further described in </w:t>
            </w:r>
            <w:r w:rsidR="00E76D84">
              <w:rPr>
                <w:noProof/>
                <w:sz w:val="21"/>
                <w:szCs w:val="21"/>
              </w:rPr>
              <w:t xml:space="preserve">section 9 and </w:t>
            </w:r>
            <w:r w:rsidR="008707A2">
              <w:rPr>
                <w:noProof/>
                <w:sz w:val="21"/>
                <w:szCs w:val="21"/>
              </w:rPr>
              <w:t xml:space="preserve">Annex 12 of the revised IA report. </w:t>
            </w:r>
          </w:p>
        </w:tc>
      </w:tr>
      <w:tr w:rsidR="00F61DEB" w:rsidRPr="00D71008" w14:paraId="5E488A62" w14:textId="77777777" w:rsidTr="00456646">
        <w:trPr>
          <w:trHeight w:val="300"/>
        </w:trPr>
        <w:tc>
          <w:tcPr>
            <w:tcW w:w="3539" w:type="dxa"/>
            <w:shd w:val="clear" w:color="auto" w:fill="FFFFFF" w:themeFill="background1"/>
          </w:tcPr>
          <w:p w14:paraId="65E4EFC6" w14:textId="77777777" w:rsidR="00EC2E10" w:rsidRPr="00143775" w:rsidRDefault="00EC2E10">
            <w:pPr>
              <w:pStyle w:val="FootnoteText"/>
              <w:spacing w:after="120"/>
              <w:jc w:val="both"/>
              <w:rPr>
                <w:noProof/>
                <w:sz w:val="21"/>
                <w:szCs w:val="21"/>
              </w:rPr>
            </w:pPr>
            <w:r w:rsidRPr="00143775">
              <w:rPr>
                <w:noProof/>
                <w:sz w:val="21"/>
                <w:szCs w:val="21"/>
              </w:rPr>
              <w:t xml:space="preserve">(1) The report should better explain the rationale, content and functioning of key policy choices. (2) It should provide greater clarity on how ‘indispensable’ operators and MDMS have been defined and what the supporting economic analysis for choosing a single 50% national market share for all MDMS and transport modes is. It should clarify how alternative thresholds would affect the impacts of the measures. (3) It should also describe in greater detail what the rules for rail journey continuation would look like, including how compensation fees in case of multi-operator journey continuation would be fixed. (4) </w:t>
            </w:r>
            <w:bookmarkStart w:id="251" w:name="_Hlk219903079"/>
            <w:r w:rsidRPr="00143775">
              <w:rPr>
                <w:noProof/>
                <w:sz w:val="21"/>
                <w:szCs w:val="21"/>
              </w:rPr>
              <w:t xml:space="preserve">It should explain the need for all MDMS to have neutral display requirements, even if they do not have market power. </w:t>
            </w:r>
            <w:bookmarkEnd w:id="251"/>
            <w:r w:rsidRPr="00143775">
              <w:rPr>
                <w:noProof/>
                <w:sz w:val="21"/>
                <w:szCs w:val="21"/>
              </w:rPr>
              <w:t>(5) The option chapter should also clarify the relevance of each of the different policy measures to SMEs and whether these might result in adjustment costs should they want to benefit from them. (6) The report should be clearer on the available enforcement options. If enforcement is left to national authorities, it should explain how a level playing enforcement field will be ensured and regulatory implementation fragmentation avoided.</w:t>
            </w:r>
          </w:p>
        </w:tc>
        <w:tc>
          <w:tcPr>
            <w:tcW w:w="6064" w:type="dxa"/>
            <w:shd w:val="clear" w:color="auto" w:fill="FFFFFF" w:themeFill="background1"/>
          </w:tcPr>
          <w:p w14:paraId="011839AC" w14:textId="7B423A02" w:rsidR="00E54561" w:rsidRDefault="00EC2E10">
            <w:pPr>
              <w:pStyle w:val="FootnoteText"/>
              <w:spacing w:after="120"/>
              <w:jc w:val="both"/>
              <w:rPr>
                <w:noProof/>
                <w:sz w:val="21"/>
                <w:szCs w:val="21"/>
              </w:rPr>
            </w:pPr>
            <w:r w:rsidRPr="00143775">
              <w:rPr>
                <w:noProof/>
                <w:sz w:val="21"/>
                <w:szCs w:val="21"/>
              </w:rPr>
              <w:t xml:space="preserve">(1) The revised IA </w:t>
            </w:r>
            <w:r w:rsidR="0049116A">
              <w:rPr>
                <w:noProof/>
                <w:sz w:val="21"/>
                <w:szCs w:val="21"/>
              </w:rPr>
              <w:t>report</w:t>
            </w:r>
            <w:r w:rsidR="0049116A" w:rsidRPr="00143775">
              <w:rPr>
                <w:noProof/>
                <w:sz w:val="21"/>
                <w:szCs w:val="21"/>
              </w:rPr>
              <w:t xml:space="preserve"> </w:t>
            </w:r>
            <w:r w:rsidR="00056D8B">
              <w:rPr>
                <w:noProof/>
                <w:sz w:val="21"/>
                <w:szCs w:val="21"/>
              </w:rPr>
              <w:t>explains in section 5.2</w:t>
            </w:r>
            <w:r w:rsidRPr="00143775">
              <w:rPr>
                <w:noProof/>
                <w:sz w:val="21"/>
                <w:szCs w:val="21"/>
              </w:rPr>
              <w:t xml:space="preserve"> the </w:t>
            </w:r>
            <w:r w:rsidR="00056D8B">
              <w:rPr>
                <w:noProof/>
                <w:sz w:val="21"/>
                <w:szCs w:val="21"/>
              </w:rPr>
              <w:t xml:space="preserve">rationale, content and functioning of the key </w:t>
            </w:r>
            <w:r w:rsidRPr="00143775">
              <w:rPr>
                <w:noProof/>
                <w:sz w:val="21"/>
                <w:szCs w:val="21"/>
              </w:rPr>
              <w:t xml:space="preserve">policy </w:t>
            </w:r>
            <w:r w:rsidR="00056D8B">
              <w:rPr>
                <w:noProof/>
                <w:sz w:val="21"/>
                <w:szCs w:val="21"/>
              </w:rPr>
              <w:t>choices</w:t>
            </w:r>
            <w:r w:rsidR="009157DA">
              <w:rPr>
                <w:noProof/>
                <w:sz w:val="21"/>
                <w:szCs w:val="21"/>
              </w:rPr>
              <w:t xml:space="preserve">, with additional figures </w:t>
            </w:r>
            <w:r w:rsidR="009C7329">
              <w:rPr>
                <w:noProof/>
                <w:sz w:val="21"/>
                <w:szCs w:val="21"/>
              </w:rPr>
              <w:t>clarifying</w:t>
            </w:r>
            <w:r w:rsidR="008917CB">
              <w:rPr>
                <w:noProof/>
                <w:sz w:val="21"/>
                <w:szCs w:val="21"/>
              </w:rPr>
              <w:t xml:space="preserve"> actors </w:t>
            </w:r>
            <w:r w:rsidR="009C7329">
              <w:rPr>
                <w:noProof/>
                <w:sz w:val="21"/>
                <w:szCs w:val="21"/>
              </w:rPr>
              <w:t>in scope</w:t>
            </w:r>
            <w:r w:rsidR="00F209C9">
              <w:rPr>
                <w:noProof/>
                <w:sz w:val="21"/>
                <w:szCs w:val="21"/>
              </w:rPr>
              <w:t>.</w:t>
            </w:r>
            <w:r w:rsidR="00C82322">
              <w:rPr>
                <w:noProof/>
                <w:sz w:val="21"/>
                <w:szCs w:val="21"/>
              </w:rPr>
              <w:t xml:space="preserve"> More detailed explanations of the </w:t>
            </w:r>
            <w:r w:rsidRPr="00143775">
              <w:rPr>
                <w:noProof/>
                <w:sz w:val="21"/>
                <w:szCs w:val="21"/>
              </w:rPr>
              <w:t>measures</w:t>
            </w:r>
            <w:r w:rsidR="00C82322">
              <w:rPr>
                <w:noProof/>
                <w:sz w:val="21"/>
                <w:szCs w:val="21"/>
              </w:rPr>
              <w:t xml:space="preserve"> included in each option are provided in Annex 8.</w:t>
            </w:r>
            <w:r w:rsidR="00056D8B">
              <w:rPr>
                <w:noProof/>
                <w:sz w:val="21"/>
                <w:szCs w:val="21"/>
              </w:rPr>
              <w:t xml:space="preserve"> </w:t>
            </w:r>
          </w:p>
          <w:p w14:paraId="4C8925EE" w14:textId="363AAEDD" w:rsidR="00A700BB" w:rsidRPr="00143775" w:rsidRDefault="00EC2E10">
            <w:pPr>
              <w:pStyle w:val="FootnoteText"/>
              <w:spacing w:after="120"/>
              <w:jc w:val="both"/>
              <w:rPr>
                <w:noProof/>
                <w:sz w:val="21"/>
                <w:szCs w:val="21"/>
              </w:rPr>
            </w:pPr>
            <w:r w:rsidRPr="00143775">
              <w:rPr>
                <w:noProof/>
                <w:sz w:val="21"/>
                <w:szCs w:val="21"/>
              </w:rPr>
              <w:t xml:space="preserve">(2) </w:t>
            </w:r>
            <w:r w:rsidR="003E7E92">
              <w:rPr>
                <w:noProof/>
                <w:sz w:val="21"/>
                <w:szCs w:val="21"/>
              </w:rPr>
              <w:t>Section 5.2</w:t>
            </w:r>
            <w:r w:rsidR="009F5A33">
              <w:rPr>
                <w:noProof/>
                <w:sz w:val="21"/>
                <w:szCs w:val="21"/>
              </w:rPr>
              <w:t xml:space="preserve"> also clarifies</w:t>
            </w:r>
            <w:r w:rsidRPr="00143775">
              <w:rPr>
                <w:noProof/>
                <w:sz w:val="21"/>
                <w:szCs w:val="21"/>
              </w:rPr>
              <w:t xml:space="preserve"> the criteria for designating indispensable </w:t>
            </w:r>
            <w:r w:rsidR="00001841" w:rsidRPr="00001841">
              <w:rPr>
                <w:noProof/>
                <w:sz w:val="21"/>
                <w:szCs w:val="21"/>
              </w:rPr>
              <w:t>RUs</w:t>
            </w:r>
            <w:r w:rsidR="00976851">
              <w:rPr>
                <w:noProof/>
                <w:sz w:val="21"/>
                <w:szCs w:val="21"/>
              </w:rPr>
              <w:t>,</w:t>
            </w:r>
            <w:r w:rsidR="008F7EBA" w:rsidRPr="00143775">
              <w:rPr>
                <w:noProof/>
                <w:sz w:val="21"/>
                <w:szCs w:val="21"/>
              </w:rPr>
              <w:t xml:space="preserve"> indispensable </w:t>
            </w:r>
            <w:r w:rsidR="00976851">
              <w:rPr>
                <w:noProof/>
                <w:sz w:val="21"/>
                <w:szCs w:val="21"/>
              </w:rPr>
              <w:t xml:space="preserve">RU </w:t>
            </w:r>
            <w:r w:rsidR="008F7EBA" w:rsidRPr="00143775">
              <w:rPr>
                <w:noProof/>
                <w:sz w:val="21"/>
                <w:szCs w:val="21"/>
              </w:rPr>
              <w:t>platforms</w:t>
            </w:r>
            <w:r w:rsidRPr="00143775">
              <w:rPr>
                <w:noProof/>
                <w:sz w:val="21"/>
                <w:szCs w:val="21"/>
              </w:rPr>
              <w:t xml:space="preserve"> and indispensable MDMS platforms</w:t>
            </w:r>
            <w:r w:rsidR="00976851">
              <w:rPr>
                <w:noProof/>
                <w:sz w:val="21"/>
                <w:szCs w:val="21"/>
              </w:rPr>
              <w:t>,</w:t>
            </w:r>
            <w:r w:rsidRPr="00143775">
              <w:rPr>
                <w:noProof/>
                <w:sz w:val="21"/>
                <w:szCs w:val="21"/>
              </w:rPr>
              <w:t xml:space="preserve"> </w:t>
            </w:r>
            <w:r w:rsidRPr="00143775" w:rsidDel="00976851">
              <w:rPr>
                <w:noProof/>
                <w:sz w:val="21"/>
                <w:szCs w:val="21"/>
              </w:rPr>
              <w:t xml:space="preserve">and </w:t>
            </w:r>
            <w:r w:rsidRPr="00143775">
              <w:rPr>
                <w:noProof/>
                <w:sz w:val="21"/>
                <w:szCs w:val="21"/>
              </w:rPr>
              <w:t xml:space="preserve">the process for their designation. </w:t>
            </w:r>
            <w:r w:rsidR="00FB3166">
              <w:rPr>
                <w:noProof/>
                <w:sz w:val="21"/>
                <w:szCs w:val="21"/>
              </w:rPr>
              <w:t xml:space="preserve">Each selected criteria is </w:t>
            </w:r>
            <w:r w:rsidR="00162255">
              <w:rPr>
                <w:noProof/>
                <w:sz w:val="21"/>
                <w:szCs w:val="21"/>
              </w:rPr>
              <w:t>presented and dully justified</w:t>
            </w:r>
            <w:r w:rsidR="00F26017">
              <w:rPr>
                <w:noProof/>
                <w:sz w:val="21"/>
                <w:szCs w:val="21"/>
              </w:rPr>
              <w:t xml:space="preserve">, demonstrating its relevance and efficiency in assessing the market. </w:t>
            </w:r>
          </w:p>
          <w:p w14:paraId="1ACF7CE3" w14:textId="4723AE6E" w:rsidR="00EC2E10" w:rsidRPr="00143775" w:rsidRDefault="00A700BB">
            <w:pPr>
              <w:pStyle w:val="FootnoteText"/>
              <w:spacing w:after="120"/>
              <w:jc w:val="both"/>
              <w:rPr>
                <w:noProof/>
                <w:sz w:val="21"/>
                <w:szCs w:val="21"/>
              </w:rPr>
            </w:pPr>
            <w:r w:rsidRPr="00143775">
              <w:rPr>
                <w:noProof/>
                <w:sz w:val="21"/>
                <w:szCs w:val="21"/>
              </w:rPr>
              <w:t>(3)</w:t>
            </w:r>
            <w:r w:rsidR="00EC2E10" w:rsidRPr="00143775">
              <w:rPr>
                <w:noProof/>
                <w:sz w:val="21"/>
                <w:szCs w:val="21"/>
              </w:rPr>
              <w:t xml:space="preserve"> The merits of journey continuation </w:t>
            </w:r>
            <w:r w:rsidR="003B05E0" w:rsidRPr="00143775">
              <w:rPr>
                <w:noProof/>
                <w:sz w:val="21"/>
                <w:szCs w:val="21"/>
              </w:rPr>
              <w:t>are</w:t>
            </w:r>
            <w:r w:rsidR="00C97A2F" w:rsidRPr="00143775">
              <w:rPr>
                <w:noProof/>
                <w:sz w:val="21"/>
                <w:szCs w:val="21"/>
              </w:rPr>
              <w:t xml:space="preserve"> </w:t>
            </w:r>
            <w:r w:rsidR="00EC2E10" w:rsidRPr="00143775">
              <w:rPr>
                <w:noProof/>
                <w:sz w:val="21"/>
                <w:szCs w:val="21"/>
              </w:rPr>
              <w:t xml:space="preserve">now assessed in a targeted revision of the Rail Passenger Rights Regulation, in line with the measure proposed by the Commission in 2017. Therefore, the policy measures on journey continuation </w:t>
            </w:r>
            <w:r w:rsidR="00C97A2F" w:rsidRPr="00143775">
              <w:rPr>
                <w:noProof/>
                <w:sz w:val="21"/>
                <w:szCs w:val="21"/>
              </w:rPr>
              <w:t xml:space="preserve">are </w:t>
            </w:r>
            <w:r w:rsidR="00EC2E10" w:rsidRPr="00143775">
              <w:rPr>
                <w:noProof/>
                <w:sz w:val="21"/>
                <w:szCs w:val="21"/>
              </w:rPr>
              <w:t xml:space="preserve">not in the scope of the revised IA </w:t>
            </w:r>
            <w:r w:rsidR="003B05E0">
              <w:rPr>
                <w:noProof/>
                <w:sz w:val="21"/>
                <w:szCs w:val="21"/>
              </w:rPr>
              <w:t>report</w:t>
            </w:r>
            <w:r w:rsidR="00EC2E10" w:rsidRPr="00143775">
              <w:rPr>
                <w:noProof/>
                <w:sz w:val="21"/>
                <w:szCs w:val="21"/>
              </w:rPr>
              <w:t>.</w:t>
            </w:r>
          </w:p>
          <w:p w14:paraId="24F6D0E8" w14:textId="7E80C6D7" w:rsidR="00EC2E10" w:rsidRPr="00143775" w:rsidRDefault="00EC2E10">
            <w:pPr>
              <w:pStyle w:val="FootnoteText"/>
              <w:spacing w:after="120"/>
              <w:jc w:val="both"/>
              <w:rPr>
                <w:noProof/>
                <w:sz w:val="21"/>
                <w:szCs w:val="21"/>
              </w:rPr>
            </w:pPr>
            <w:r w:rsidRPr="00143775">
              <w:rPr>
                <w:noProof/>
                <w:sz w:val="21"/>
                <w:szCs w:val="21"/>
              </w:rPr>
              <w:t xml:space="preserve">(4) The revised IA </w:t>
            </w:r>
            <w:r w:rsidR="006428B0">
              <w:rPr>
                <w:noProof/>
                <w:sz w:val="21"/>
                <w:szCs w:val="21"/>
              </w:rPr>
              <w:t>report</w:t>
            </w:r>
            <w:r w:rsidR="006428B0" w:rsidRPr="00143775">
              <w:rPr>
                <w:noProof/>
                <w:sz w:val="21"/>
                <w:szCs w:val="21"/>
              </w:rPr>
              <w:t xml:space="preserve"> </w:t>
            </w:r>
            <w:r w:rsidR="00500182">
              <w:rPr>
                <w:noProof/>
                <w:sz w:val="21"/>
                <w:szCs w:val="21"/>
              </w:rPr>
              <w:t>(section 5.2)</w:t>
            </w:r>
            <w:r w:rsidRPr="00143775">
              <w:rPr>
                <w:noProof/>
                <w:sz w:val="21"/>
                <w:szCs w:val="21"/>
              </w:rPr>
              <w:t xml:space="preserve"> explain</w:t>
            </w:r>
            <w:r w:rsidR="00C97A2F" w:rsidRPr="00143775">
              <w:rPr>
                <w:noProof/>
                <w:sz w:val="21"/>
                <w:szCs w:val="21"/>
              </w:rPr>
              <w:t>s</w:t>
            </w:r>
            <w:r w:rsidRPr="00143775">
              <w:rPr>
                <w:noProof/>
                <w:sz w:val="21"/>
                <w:szCs w:val="21"/>
              </w:rPr>
              <w:t xml:space="preserve"> the rationale for obliging all MDMS to adhere to rules on neutral display</w:t>
            </w:r>
            <w:r w:rsidR="00EC333F">
              <w:rPr>
                <w:noProof/>
                <w:sz w:val="21"/>
                <w:szCs w:val="21"/>
              </w:rPr>
              <w:t xml:space="preserve">, in particular </w:t>
            </w:r>
            <w:r w:rsidR="001B46E4">
              <w:rPr>
                <w:noProof/>
                <w:sz w:val="21"/>
                <w:szCs w:val="21"/>
              </w:rPr>
              <w:t>showcasing the increased relevance of new players in the ticketing distribution market such as OTAs and MSEs</w:t>
            </w:r>
            <w:r w:rsidR="00DB1C4A">
              <w:rPr>
                <w:noProof/>
                <w:sz w:val="21"/>
                <w:szCs w:val="21"/>
              </w:rPr>
              <w:t xml:space="preserve"> (section 2.2.2)</w:t>
            </w:r>
            <w:r w:rsidRPr="00143775">
              <w:rPr>
                <w:noProof/>
                <w:sz w:val="21"/>
                <w:szCs w:val="21"/>
              </w:rPr>
              <w:t xml:space="preserve">. These rules promote fairness and transparency for consumers. </w:t>
            </w:r>
          </w:p>
          <w:p w14:paraId="2BB90FDA" w14:textId="28FD4E35" w:rsidR="00EC2E10" w:rsidRPr="00143775" w:rsidRDefault="00EC2E10">
            <w:pPr>
              <w:pStyle w:val="FootnoteText"/>
              <w:spacing w:after="120"/>
              <w:jc w:val="both"/>
              <w:rPr>
                <w:noProof/>
                <w:sz w:val="21"/>
                <w:szCs w:val="21"/>
              </w:rPr>
            </w:pPr>
            <w:r w:rsidRPr="00143775">
              <w:rPr>
                <w:noProof/>
                <w:sz w:val="21"/>
                <w:szCs w:val="21"/>
              </w:rPr>
              <w:t>(5) The report bring</w:t>
            </w:r>
            <w:r w:rsidR="00C97A2F" w:rsidRPr="00143775">
              <w:rPr>
                <w:noProof/>
                <w:sz w:val="21"/>
                <w:szCs w:val="21"/>
              </w:rPr>
              <w:t>s</w:t>
            </w:r>
            <w:r w:rsidRPr="00143775">
              <w:rPr>
                <w:noProof/>
                <w:sz w:val="21"/>
                <w:szCs w:val="21"/>
              </w:rPr>
              <w:t xml:space="preserve"> additional clarification on the impact of the different policy measures on SMEs with a dedicated SME test</w:t>
            </w:r>
            <w:r w:rsidR="00BE233E">
              <w:rPr>
                <w:noProof/>
                <w:sz w:val="21"/>
                <w:szCs w:val="21"/>
              </w:rPr>
              <w:t>, see Annex 6</w:t>
            </w:r>
            <w:r w:rsidRPr="00143775">
              <w:rPr>
                <w:noProof/>
                <w:sz w:val="21"/>
                <w:szCs w:val="21"/>
              </w:rPr>
              <w:t xml:space="preserve">. </w:t>
            </w:r>
            <w:r w:rsidR="00CA3678">
              <w:rPr>
                <w:noProof/>
                <w:sz w:val="21"/>
                <w:szCs w:val="21"/>
              </w:rPr>
              <w:t>Although SMEs are not</w:t>
            </w:r>
            <w:r w:rsidRPr="00143775">
              <w:rPr>
                <w:noProof/>
                <w:sz w:val="21"/>
                <w:szCs w:val="21"/>
              </w:rPr>
              <w:t xml:space="preserve"> in </w:t>
            </w:r>
            <w:r w:rsidR="00CA3678">
              <w:rPr>
                <w:noProof/>
                <w:sz w:val="21"/>
                <w:szCs w:val="21"/>
              </w:rPr>
              <w:t>the scope of obligations included in the policy options</w:t>
            </w:r>
            <w:r w:rsidR="00FD07D5">
              <w:rPr>
                <w:noProof/>
                <w:sz w:val="21"/>
                <w:szCs w:val="21"/>
              </w:rPr>
              <w:t>,</w:t>
            </w:r>
            <w:r w:rsidR="00CA3678">
              <w:rPr>
                <w:noProof/>
                <w:sz w:val="21"/>
                <w:szCs w:val="21"/>
              </w:rPr>
              <w:t xml:space="preserve"> they are expected to benefit </w:t>
            </w:r>
            <w:r w:rsidR="00CD3D3B">
              <w:rPr>
                <w:noProof/>
                <w:sz w:val="21"/>
                <w:szCs w:val="21"/>
              </w:rPr>
              <w:t>from</w:t>
            </w:r>
            <w:r w:rsidR="00CA3678">
              <w:rPr>
                <w:noProof/>
                <w:sz w:val="21"/>
                <w:szCs w:val="21"/>
              </w:rPr>
              <w:t xml:space="preserve"> </w:t>
            </w:r>
            <w:r w:rsidRPr="00143775">
              <w:rPr>
                <w:noProof/>
                <w:sz w:val="21"/>
                <w:szCs w:val="21"/>
              </w:rPr>
              <w:t>adjustment costs</w:t>
            </w:r>
            <w:r w:rsidR="00CA3678">
              <w:rPr>
                <w:noProof/>
                <w:sz w:val="21"/>
                <w:szCs w:val="21"/>
              </w:rPr>
              <w:t xml:space="preserve"> savings as explained in sections 6.1.1</w:t>
            </w:r>
            <w:r w:rsidR="00CD3D3B">
              <w:rPr>
                <w:noProof/>
                <w:sz w:val="21"/>
                <w:szCs w:val="21"/>
              </w:rPr>
              <w:t>,</w:t>
            </w:r>
            <w:r w:rsidR="00CA3678">
              <w:rPr>
                <w:noProof/>
                <w:sz w:val="21"/>
                <w:szCs w:val="21"/>
              </w:rPr>
              <w:t xml:space="preserve"> 6.1.2 </w:t>
            </w:r>
            <w:r w:rsidR="00CD3D3B">
              <w:rPr>
                <w:noProof/>
                <w:sz w:val="21"/>
                <w:szCs w:val="21"/>
              </w:rPr>
              <w:t xml:space="preserve">and 6.1.5 </w:t>
            </w:r>
            <w:r w:rsidR="00CA3678">
              <w:rPr>
                <w:noProof/>
                <w:sz w:val="21"/>
                <w:szCs w:val="21"/>
              </w:rPr>
              <w:t xml:space="preserve">of the revised IA report. </w:t>
            </w:r>
            <w:r w:rsidR="008309CB">
              <w:rPr>
                <w:noProof/>
                <w:sz w:val="21"/>
                <w:szCs w:val="21"/>
              </w:rPr>
              <w:t xml:space="preserve">In the latter section impact on SMEs transport operators are singled out. </w:t>
            </w:r>
            <w:r w:rsidR="00CA3678">
              <w:rPr>
                <w:noProof/>
                <w:sz w:val="21"/>
                <w:szCs w:val="21"/>
              </w:rPr>
              <w:t>No additional costs are expected for SMEs in any of the policy options</w:t>
            </w:r>
            <w:r w:rsidRPr="00143775">
              <w:rPr>
                <w:noProof/>
                <w:sz w:val="21"/>
                <w:szCs w:val="21"/>
              </w:rPr>
              <w:t xml:space="preserve">. </w:t>
            </w:r>
          </w:p>
          <w:p w14:paraId="75A1E12E" w14:textId="74D9F762" w:rsidR="00EC2E10" w:rsidRPr="00143775" w:rsidRDefault="00EC2E10">
            <w:pPr>
              <w:pStyle w:val="FootnoteText"/>
              <w:spacing w:after="120"/>
              <w:jc w:val="both"/>
              <w:rPr>
                <w:noProof/>
                <w:sz w:val="21"/>
                <w:szCs w:val="21"/>
              </w:rPr>
            </w:pPr>
            <w:r w:rsidRPr="00143775">
              <w:rPr>
                <w:noProof/>
                <w:sz w:val="21"/>
                <w:szCs w:val="21"/>
              </w:rPr>
              <w:t xml:space="preserve">(6) </w:t>
            </w:r>
            <w:r w:rsidR="00565EA2">
              <w:rPr>
                <w:noProof/>
                <w:sz w:val="21"/>
                <w:szCs w:val="21"/>
              </w:rPr>
              <w:t>More details on enforcement are included in section 5.2 and Annex 8 of the revised IA report</w:t>
            </w:r>
            <w:r w:rsidRPr="00143775">
              <w:rPr>
                <w:noProof/>
                <w:sz w:val="21"/>
                <w:szCs w:val="21"/>
              </w:rPr>
              <w:t xml:space="preserve">. </w:t>
            </w:r>
          </w:p>
        </w:tc>
      </w:tr>
      <w:tr w:rsidR="00F61DEB" w:rsidRPr="00D71008" w14:paraId="0BCDD8FF" w14:textId="77777777" w:rsidTr="00456646">
        <w:trPr>
          <w:trHeight w:val="300"/>
        </w:trPr>
        <w:tc>
          <w:tcPr>
            <w:tcW w:w="3539" w:type="dxa"/>
            <w:shd w:val="clear" w:color="auto" w:fill="FFFFFF" w:themeFill="background1"/>
          </w:tcPr>
          <w:p w14:paraId="1FF1C85D" w14:textId="2F004595" w:rsidR="00EC2E10" w:rsidRPr="00143775" w:rsidRDefault="00EC2E10">
            <w:pPr>
              <w:pStyle w:val="FootnoteText"/>
              <w:spacing w:after="120"/>
              <w:jc w:val="both"/>
              <w:rPr>
                <w:noProof/>
                <w:sz w:val="21"/>
                <w:szCs w:val="21"/>
              </w:rPr>
            </w:pPr>
            <w:r w:rsidRPr="00143775">
              <w:rPr>
                <w:noProof/>
                <w:sz w:val="21"/>
                <w:szCs w:val="21"/>
              </w:rPr>
              <w:t>(1) The report should significantly improve the explanation and presentation of the impact analysis. The impact section should explain the theory of change, evidence and assumptions used in the analysis while Annex 4 should be clear how all parts of the analysis link together, provide more detail on the approach and assumptions that underpin the ASTRA modelling and its link to the cost-benefit analysis. (2) The report should be more transparent about the methodological limitations and uncertainties. (3) It should be explicit on the reliability of extrapolating specific municipal level evidence to the EU level and on whether the evidence refers to specific modes of transport or specific settings such as urban transport. (4) Given that the benefits related to reduction in external costs of road accidents are significant and drive the net benefit impact of the initiative, it should be clear what evidence underpins the estimates and how robust the analysis is. (5) The report should provide a clear and convincing analysis explaining how the initiative will result in an expected modal shift leading to very high estimated benefits from the reduction of the number of road accidents.</w:t>
            </w:r>
          </w:p>
        </w:tc>
        <w:tc>
          <w:tcPr>
            <w:tcW w:w="6064" w:type="dxa"/>
            <w:shd w:val="clear" w:color="auto" w:fill="FFFFFF" w:themeFill="background1"/>
          </w:tcPr>
          <w:p w14:paraId="2FC6175E" w14:textId="14BAD401" w:rsidR="00720030" w:rsidRDefault="00EC2E10">
            <w:pPr>
              <w:spacing w:after="120"/>
              <w:jc w:val="both"/>
              <w:rPr>
                <w:rFonts w:eastAsia="Calibri"/>
                <w:noProof/>
                <w:sz w:val="21"/>
                <w:szCs w:val="21"/>
              </w:rPr>
            </w:pPr>
            <w:r w:rsidRPr="00143775">
              <w:rPr>
                <w:rFonts w:eastAsia="Calibri"/>
                <w:noProof/>
                <w:sz w:val="21"/>
                <w:szCs w:val="21"/>
              </w:rPr>
              <w:t xml:space="preserve">(1) </w:t>
            </w:r>
            <w:r w:rsidR="00982DCC">
              <w:rPr>
                <w:rFonts w:eastAsia="Calibri"/>
                <w:noProof/>
                <w:sz w:val="21"/>
                <w:szCs w:val="21"/>
              </w:rPr>
              <w:t>In the revised IA, t</w:t>
            </w:r>
            <w:r w:rsidR="00720030" w:rsidRPr="00143775">
              <w:rPr>
                <w:rFonts w:eastAsia="Calibri"/>
                <w:noProof/>
                <w:sz w:val="21"/>
                <w:szCs w:val="21"/>
              </w:rPr>
              <w:t xml:space="preserve">he methodology to assess </w:t>
            </w:r>
            <w:r w:rsidR="00720030">
              <w:rPr>
                <w:rFonts w:eastAsia="Calibri"/>
                <w:noProof/>
                <w:sz w:val="21"/>
                <w:szCs w:val="21"/>
              </w:rPr>
              <w:t xml:space="preserve">the </w:t>
            </w:r>
            <w:r w:rsidR="00720030" w:rsidRPr="00143775">
              <w:rPr>
                <w:rFonts w:eastAsia="Calibri"/>
                <w:noProof/>
                <w:sz w:val="21"/>
                <w:szCs w:val="21"/>
              </w:rPr>
              <w:t>impacts</w:t>
            </w:r>
            <w:r w:rsidR="00720030">
              <w:rPr>
                <w:rFonts w:eastAsia="Calibri"/>
                <w:noProof/>
                <w:sz w:val="21"/>
                <w:szCs w:val="21"/>
              </w:rPr>
              <w:t xml:space="preserve"> </w:t>
            </w:r>
            <w:r w:rsidR="00982DCC">
              <w:rPr>
                <w:rFonts w:eastAsia="Calibri"/>
                <w:noProof/>
                <w:sz w:val="21"/>
                <w:szCs w:val="21"/>
              </w:rPr>
              <w:t>of the policy measures has been revised.</w:t>
            </w:r>
            <w:r w:rsidR="00613312">
              <w:rPr>
                <w:rFonts w:eastAsia="Calibri"/>
                <w:noProof/>
                <w:sz w:val="21"/>
                <w:szCs w:val="21"/>
              </w:rPr>
              <w:t xml:space="preserve"> </w:t>
            </w:r>
            <w:r w:rsidR="00497F43">
              <w:rPr>
                <w:rFonts w:eastAsia="Calibri"/>
                <w:noProof/>
                <w:sz w:val="21"/>
                <w:szCs w:val="21"/>
              </w:rPr>
              <w:t xml:space="preserve">In particular, the approach for </w:t>
            </w:r>
            <w:r w:rsidR="00613312">
              <w:rPr>
                <w:rFonts w:eastAsia="Calibri"/>
                <w:noProof/>
                <w:sz w:val="21"/>
                <w:szCs w:val="21"/>
              </w:rPr>
              <w:t>estimati</w:t>
            </w:r>
            <w:r w:rsidR="00AE1DF9">
              <w:rPr>
                <w:rFonts w:eastAsia="Calibri"/>
                <w:noProof/>
                <w:sz w:val="21"/>
                <w:szCs w:val="21"/>
              </w:rPr>
              <w:t>ng</w:t>
            </w:r>
            <w:r w:rsidR="00720030" w:rsidDel="0058338F">
              <w:rPr>
                <w:rFonts w:eastAsia="Calibri"/>
                <w:noProof/>
                <w:sz w:val="21"/>
                <w:szCs w:val="21"/>
              </w:rPr>
              <w:t xml:space="preserve"> </w:t>
            </w:r>
            <w:r w:rsidR="0058338F">
              <w:rPr>
                <w:rFonts w:eastAsia="Calibri"/>
                <w:noProof/>
                <w:sz w:val="21"/>
                <w:szCs w:val="21"/>
              </w:rPr>
              <w:t xml:space="preserve">the </w:t>
            </w:r>
            <w:r w:rsidR="00720030">
              <w:rPr>
                <w:rFonts w:eastAsia="Calibri"/>
                <w:noProof/>
                <w:sz w:val="21"/>
                <w:szCs w:val="21"/>
              </w:rPr>
              <w:t>modal shift</w:t>
            </w:r>
            <w:r w:rsidR="0058338F">
              <w:rPr>
                <w:rFonts w:eastAsia="Calibri"/>
                <w:noProof/>
                <w:sz w:val="21"/>
                <w:szCs w:val="21"/>
              </w:rPr>
              <w:t xml:space="preserve"> achieved in each policy option</w:t>
            </w:r>
            <w:r w:rsidR="00720030">
              <w:rPr>
                <w:rFonts w:eastAsia="Calibri"/>
                <w:noProof/>
                <w:sz w:val="21"/>
                <w:szCs w:val="21"/>
              </w:rPr>
              <w:t xml:space="preserve"> has been revised</w:t>
            </w:r>
            <w:r w:rsidR="00720030" w:rsidRPr="00143775">
              <w:rPr>
                <w:rFonts w:eastAsia="Calibri"/>
                <w:noProof/>
                <w:sz w:val="21"/>
                <w:szCs w:val="21"/>
              </w:rPr>
              <w:t>,</w:t>
            </w:r>
            <w:r w:rsidR="00720030">
              <w:rPr>
                <w:rFonts w:eastAsia="Calibri"/>
                <w:noProof/>
                <w:sz w:val="21"/>
                <w:szCs w:val="21"/>
              </w:rPr>
              <w:t xml:space="preserve"> and builds on </w:t>
            </w:r>
            <w:r w:rsidR="00AB1B39">
              <w:rPr>
                <w:rFonts w:eastAsia="Calibri"/>
                <w:noProof/>
                <w:sz w:val="21"/>
                <w:szCs w:val="21"/>
              </w:rPr>
              <w:t xml:space="preserve">a more robust evidence base, with </w:t>
            </w:r>
            <w:r w:rsidR="00720030" w:rsidRPr="00143775">
              <w:rPr>
                <w:rFonts w:eastAsia="Calibri"/>
                <w:noProof/>
                <w:sz w:val="21"/>
                <w:szCs w:val="21"/>
              </w:rPr>
              <w:t>e</w:t>
            </w:r>
            <w:r w:rsidR="00720030" w:rsidRPr="00143775">
              <w:rPr>
                <w:noProof/>
                <w:sz w:val="21"/>
                <w:szCs w:val="21"/>
              </w:rPr>
              <w:t>vidence collected from a Eurobarometer survey conducted in summer 2024</w:t>
            </w:r>
            <w:r w:rsidR="00720030">
              <w:rPr>
                <w:noProof/>
                <w:sz w:val="21"/>
                <w:szCs w:val="21"/>
              </w:rPr>
              <w:t xml:space="preserve">, </w:t>
            </w:r>
            <w:r w:rsidR="002431C7">
              <w:rPr>
                <w:noProof/>
                <w:sz w:val="21"/>
                <w:szCs w:val="21"/>
              </w:rPr>
              <w:t>desk research</w:t>
            </w:r>
            <w:r w:rsidR="00720030">
              <w:rPr>
                <w:noProof/>
                <w:sz w:val="21"/>
                <w:szCs w:val="21"/>
              </w:rPr>
              <w:t xml:space="preserve">, targeted survey and interviews, </w:t>
            </w:r>
            <w:r w:rsidR="00720030" w:rsidRPr="00143775">
              <w:rPr>
                <w:rFonts w:eastAsia="Calibri"/>
                <w:noProof/>
                <w:sz w:val="21"/>
                <w:szCs w:val="21"/>
              </w:rPr>
              <w:t xml:space="preserve">market analysis for </w:t>
            </w:r>
            <w:r w:rsidR="00720030" w:rsidRPr="00143775">
              <w:rPr>
                <w:noProof/>
                <w:sz w:val="21"/>
                <w:szCs w:val="21"/>
              </w:rPr>
              <w:t>100 routes in the EU</w:t>
            </w:r>
            <w:r w:rsidR="00720030">
              <w:rPr>
                <w:noProof/>
                <w:sz w:val="21"/>
                <w:szCs w:val="21"/>
              </w:rPr>
              <w:t xml:space="preserve">, </w:t>
            </w:r>
            <w:r w:rsidR="007E31AE">
              <w:rPr>
                <w:noProof/>
                <w:sz w:val="21"/>
                <w:szCs w:val="21"/>
              </w:rPr>
              <w:t>and an expert workshop and a s</w:t>
            </w:r>
            <w:r w:rsidR="00720030">
              <w:rPr>
                <w:noProof/>
                <w:sz w:val="21"/>
                <w:szCs w:val="21"/>
              </w:rPr>
              <w:t>takeholder workshop</w:t>
            </w:r>
            <w:r w:rsidR="00720030" w:rsidRPr="00143775">
              <w:rPr>
                <w:rFonts w:eastAsia="Calibri"/>
                <w:noProof/>
                <w:sz w:val="21"/>
                <w:szCs w:val="21"/>
              </w:rPr>
              <w:t xml:space="preserve"> </w:t>
            </w:r>
            <w:r w:rsidR="00720030">
              <w:rPr>
                <w:noProof/>
                <w:sz w:val="21"/>
                <w:szCs w:val="21"/>
              </w:rPr>
              <w:t>to validate the inputs used in the ASTRA model. The revised methodology is explained in detail in Annex 4 of the revised IA report</w:t>
            </w:r>
            <w:r w:rsidR="00A91643">
              <w:rPr>
                <w:noProof/>
                <w:sz w:val="21"/>
                <w:szCs w:val="21"/>
              </w:rPr>
              <w:t xml:space="preserve"> and also briefly outlined in </w:t>
            </w:r>
            <w:r w:rsidR="00906512">
              <w:rPr>
                <w:noProof/>
                <w:sz w:val="21"/>
                <w:szCs w:val="21"/>
              </w:rPr>
              <w:t>the introduction to section 6</w:t>
            </w:r>
            <w:r w:rsidR="00720030">
              <w:rPr>
                <w:noProof/>
                <w:sz w:val="21"/>
                <w:szCs w:val="21"/>
              </w:rPr>
              <w:t xml:space="preserve">. </w:t>
            </w:r>
            <w:r w:rsidR="00D445AA">
              <w:rPr>
                <w:noProof/>
                <w:sz w:val="21"/>
                <w:szCs w:val="21"/>
              </w:rPr>
              <w:t>This description includes detailed expla</w:t>
            </w:r>
            <w:r w:rsidR="00C1007D">
              <w:rPr>
                <w:noProof/>
                <w:sz w:val="21"/>
                <w:szCs w:val="21"/>
              </w:rPr>
              <w:t>n</w:t>
            </w:r>
            <w:r w:rsidR="00D445AA">
              <w:rPr>
                <w:noProof/>
                <w:sz w:val="21"/>
                <w:szCs w:val="21"/>
              </w:rPr>
              <w:t xml:space="preserve">ations on the </w:t>
            </w:r>
            <w:r w:rsidR="00C1007D">
              <w:rPr>
                <w:noProof/>
                <w:sz w:val="21"/>
                <w:szCs w:val="21"/>
              </w:rPr>
              <w:t xml:space="preserve">evidence used and its limitations, and the underlying assumptions made together with </w:t>
            </w:r>
            <w:r w:rsidR="00032291">
              <w:rPr>
                <w:noProof/>
                <w:sz w:val="21"/>
                <w:szCs w:val="21"/>
              </w:rPr>
              <w:t>links between the different modules used in the modelling</w:t>
            </w:r>
            <w:r w:rsidR="00C1007D">
              <w:rPr>
                <w:noProof/>
                <w:sz w:val="21"/>
                <w:szCs w:val="21"/>
              </w:rPr>
              <w:t xml:space="preserve">. </w:t>
            </w:r>
            <w:r w:rsidR="008932F4">
              <w:rPr>
                <w:noProof/>
                <w:sz w:val="21"/>
                <w:szCs w:val="21"/>
              </w:rPr>
              <w:t xml:space="preserve">In </w:t>
            </w:r>
            <w:r w:rsidR="00341F03">
              <w:rPr>
                <w:noProof/>
                <w:sz w:val="21"/>
                <w:szCs w:val="21"/>
              </w:rPr>
              <w:t>section</w:t>
            </w:r>
            <w:r w:rsidR="008932F4">
              <w:rPr>
                <w:noProof/>
                <w:sz w:val="21"/>
                <w:szCs w:val="21"/>
              </w:rPr>
              <w:t xml:space="preserve"> 7.6 addition</w:t>
            </w:r>
            <w:r w:rsidR="00B02559">
              <w:rPr>
                <w:noProof/>
                <w:sz w:val="21"/>
                <w:szCs w:val="21"/>
              </w:rPr>
              <w:t>al</w:t>
            </w:r>
            <w:r w:rsidR="008932F4">
              <w:rPr>
                <w:noProof/>
                <w:sz w:val="21"/>
                <w:szCs w:val="21"/>
              </w:rPr>
              <w:t xml:space="preserve"> sensitivity an</w:t>
            </w:r>
            <w:r w:rsidR="00B02559">
              <w:rPr>
                <w:noProof/>
                <w:sz w:val="21"/>
                <w:szCs w:val="21"/>
              </w:rPr>
              <w:t>a</w:t>
            </w:r>
            <w:r w:rsidR="008932F4">
              <w:rPr>
                <w:noProof/>
                <w:sz w:val="21"/>
                <w:szCs w:val="21"/>
              </w:rPr>
              <w:t>lysis is undertaken to test key assumptions</w:t>
            </w:r>
            <w:r w:rsidR="00FB00C5">
              <w:rPr>
                <w:noProof/>
                <w:sz w:val="21"/>
                <w:szCs w:val="21"/>
              </w:rPr>
              <w:t>, namely on the potential modal shift</w:t>
            </w:r>
            <w:r w:rsidR="00B02559" w:rsidRPr="00EB0D75">
              <w:rPr>
                <w:noProof/>
                <w:sz w:val="21"/>
                <w:szCs w:val="21"/>
              </w:rPr>
              <w:t xml:space="preserve"> </w:t>
            </w:r>
            <w:r w:rsidR="00FB00C5" w:rsidRPr="00EB0D75">
              <w:rPr>
                <w:noProof/>
                <w:sz w:val="21"/>
                <w:szCs w:val="21"/>
              </w:rPr>
              <w:t xml:space="preserve">on the one hand, </w:t>
            </w:r>
            <w:r w:rsidR="001F1D48" w:rsidRPr="00EB0D75">
              <w:rPr>
                <w:noProof/>
                <w:sz w:val="21"/>
                <w:szCs w:val="21"/>
              </w:rPr>
              <w:t>and</w:t>
            </w:r>
            <w:r w:rsidR="00B02559" w:rsidRPr="001F6CA7">
              <w:rPr>
                <w:noProof/>
                <w:sz w:val="21"/>
                <w:szCs w:val="21"/>
              </w:rPr>
              <w:t xml:space="preserve"> on </w:t>
            </w:r>
            <w:r w:rsidR="00B02559" w:rsidRPr="00B02559">
              <w:rPr>
                <w:noProof/>
                <w:sz w:val="21"/>
                <w:szCs w:val="21"/>
              </w:rPr>
              <w:t>the thresholds to identify B2C MDMS platforms and RUs with S</w:t>
            </w:r>
            <w:r w:rsidR="001F1D48">
              <w:rPr>
                <w:noProof/>
                <w:sz w:val="21"/>
                <w:szCs w:val="21"/>
              </w:rPr>
              <w:t>ignificant Market Presence on the other hand</w:t>
            </w:r>
            <w:r w:rsidR="00B02559">
              <w:rPr>
                <w:noProof/>
                <w:sz w:val="21"/>
                <w:szCs w:val="21"/>
              </w:rPr>
              <w:t xml:space="preserve">. </w:t>
            </w:r>
          </w:p>
          <w:p w14:paraId="5709CB13" w14:textId="013FF2BB" w:rsidR="00EC2E10" w:rsidRPr="00143775" w:rsidRDefault="00EC2E10">
            <w:pPr>
              <w:spacing w:after="120"/>
              <w:jc w:val="both"/>
              <w:rPr>
                <w:rFonts w:eastAsia="Calibri"/>
                <w:noProof/>
                <w:sz w:val="21"/>
                <w:szCs w:val="21"/>
              </w:rPr>
            </w:pPr>
            <w:r w:rsidRPr="00143775">
              <w:rPr>
                <w:rFonts w:eastAsia="Calibri"/>
                <w:noProof/>
                <w:sz w:val="21"/>
                <w:szCs w:val="21"/>
              </w:rPr>
              <w:t xml:space="preserve">(2) The limitations, underlying assumptions and robustness of the analytical results </w:t>
            </w:r>
            <w:r w:rsidR="00C97A2F" w:rsidRPr="00143775">
              <w:rPr>
                <w:rFonts w:eastAsia="Calibri"/>
                <w:noProof/>
                <w:sz w:val="21"/>
                <w:szCs w:val="21"/>
              </w:rPr>
              <w:t>are</w:t>
            </w:r>
            <w:r w:rsidRPr="00143775">
              <w:rPr>
                <w:rFonts w:eastAsia="Calibri"/>
                <w:noProof/>
                <w:sz w:val="21"/>
                <w:szCs w:val="21"/>
              </w:rPr>
              <w:t xml:space="preserve"> explained in more detail</w:t>
            </w:r>
            <w:r w:rsidR="00704223">
              <w:rPr>
                <w:rFonts w:eastAsia="Calibri"/>
                <w:noProof/>
                <w:sz w:val="21"/>
                <w:szCs w:val="21"/>
              </w:rPr>
              <w:t xml:space="preserve"> in Annex 4 of the revised IA report</w:t>
            </w:r>
            <w:r w:rsidR="00125D88">
              <w:rPr>
                <w:rFonts w:eastAsia="Calibri"/>
                <w:noProof/>
                <w:sz w:val="21"/>
                <w:szCs w:val="21"/>
              </w:rPr>
              <w:t xml:space="preserve"> and outlined in </w:t>
            </w:r>
            <w:r w:rsidR="007F09F9">
              <w:rPr>
                <w:rFonts w:eastAsia="Calibri"/>
                <w:noProof/>
                <w:sz w:val="21"/>
                <w:szCs w:val="21"/>
              </w:rPr>
              <w:t>the introduction to section 6</w:t>
            </w:r>
            <w:r w:rsidRPr="00143775">
              <w:rPr>
                <w:rFonts w:eastAsia="Calibri"/>
                <w:noProof/>
                <w:sz w:val="21"/>
                <w:szCs w:val="21"/>
              </w:rPr>
              <w:t xml:space="preserve">. </w:t>
            </w:r>
          </w:p>
          <w:p w14:paraId="2DC07963" w14:textId="7F110AA6" w:rsidR="00EC2E10" w:rsidRPr="00143775" w:rsidRDefault="00EC2E10">
            <w:pPr>
              <w:spacing w:after="120"/>
              <w:jc w:val="both"/>
              <w:rPr>
                <w:rFonts w:eastAsia="Calibri"/>
                <w:noProof/>
                <w:sz w:val="21"/>
                <w:szCs w:val="21"/>
              </w:rPr>
            </w:pPr>
            <w:r w:rsidRPr="00143775">
              <w:rPr>
                <w:rFonts w:eastAsia="Calibri"/>
                <w:noProof/>
                <w:sz w:val="21"/>
                <w:szCs w:val="21"/>
              </w:rPr>
              <w:t xml:space="preserve">(3) The revised IA </w:t>
            </w:r>
            <w:r w:rsidR="00BD3B50">
              <w:rPr>
                <w:rFonts w:eastAsia="Calibri"/>
                <w:noProof/>
                <w:sz w:val="21"/>
                <w:szCs w:val="21"/>
              </w:rPr>
              <w:t>report considers a revised approach for the assessment of impacts on modal shift</w:t>
            </w:r>
            <w:r w:rsidR="00DD38E2">
              <w:rPr>
                <w:rFonts w:eastAsia="Calibri"/>
                <w:noProof/>
                <w:sz w:val="21"/>
                <w:szCs w:val="21"/>
              </w:rPr>
              <w:t xml:space="preserve">, which is </w:t>
            </w:r>
            <w:r w:rsidR="00B3546D">
              <w:rPr>
                <w:rFonts w:eastAsia="Calibri"/>
                <w:noProof/>
                <w:sz w:val="21"/>
                <w:szCs w:val="21"/>
              </w:rPr>
              <w:t xml:space="preserve">more robust </w:t>
            </w:r>
            <w:r w:rsidR="00B10B2A">
              <w:rPr>
                <w:rFonts w:eastAsia="Calibri"/>
                <w:noProof/>
                <w:sz w:val="21"/>
                <w:szCs w:val="21"/>
              </w:rPr>
              <w:t xml:space="preserve">also </w:t>
            </w:r>
            <w:r w:rsidR="00B3546D">
              <w:rPr>
                <w:rFonts w:eastAsia="Calibri"/>
                <w:noProof/>
                <w:sz w:val="21"/>
                <w:szCs w:val="21"/>
              </w:rPr>
              <w:t>due to the representative Eurobarometer survey and</w:t>
            </w:r>
            <w:r w:rsidR="008C5385">
              <w:rPr>
                <w:rFonts w:eastAsia="Calibri"/>
                <w:noProof/>
                <w:sz w:val="21"/>
                <w:szCs w:val="21"/>
              </w:rPr>
              <w:t xml:space="preserve"> the </w:t>
            </w:r>
            <w:r w:rsidR="008C5385" w:rsidRPr="008C5385">
              <w:rPr>
                <w:rFonts w:eastAsia="Calibri"/>
                <w:noProof/>
                <w:sz w:val="21"/>
                <w:szCs w:val="21"/>
              </w:rPr>
              <w:t>in-depth analysis of 100 origin-destination (OD) routes</w:t>
            </w:r>
            <w:r w:rsidR="008C5385">
              <w:rPr>
                <w:rFonts w:eastAsia="Calibri"/>
                <w:noProof/>
                <w:sz w:val="21"/>
                <w:szCs w:val="21"/>
              </w:rPr>
              <w:t xml:space="preserve"> on which it builds. It</w:t>
            </w:r>
            <w:r w:rsidR="00B3546D">
              <w:rPr>
                <w:rFonts w:eastAsia="Calibri"/>
                <w:noProof/>
                <w:sz w:val="21"/>
                <w:szCs w:val="21"/>
              </w:rPr>
              <w:t xml:space="preserve"> is </w:t>
            </w:r>
            <w:r w:rsidR="00DD38E2">
              <w:rPr>
                <w:rFonts w:eastAsia="Calibri"/>
                <w:noProof/>
                <w:sz w:val="21"/>
                <w:szCs w:val="21"/>
              </w:rPr>
              <w:t>explained in detail in Annex 4.</w:t>
            </w:r>
            <w:r w:rsidR="00BD3B50">
              <w:rPr>
                <w:rFonts w:eastAsia="Calibri"/>
                <w:noProof/>
                <w:sz w:val="21"/>
                <w:szCs w:val="21"/>
              </w:rPr>
              <w:t xml:space="preserve"> </w:t>
            </w:r>
            <w:r w:rsidR="002F34BB">
              <w:rPr>
                <w:rFonts w:eastAsia="Calibri"/>
                <w:noProof/>
                <w:sz w:val="21"/>
                <w:szCs w:val="21"/>
              </w:rPr>
              <w:t xml:space="preserve">The urban dimension is out of scope of the analysis. </w:t>
            </w:r>
            <w:r w:rsidR="00BD3B50" w:rsidRPr="00143775">
              <w:rPr>
                <w:rFonts w:eastAsia="Calibri"/>
                <w:noProof/>
                <w:sz w:val="21"/>
                <w:szCs w:val="21"/>
              </w:rPr>
              <w:t xml:space="preserve"> </w:t>
            </w:r>
          </w:p>
          <w:p w14:paraId="4BFD8A81" w14:textId="655559BF" w:rsidR="00EC2E10" w:rsidRPr="00143775" w:rsidRDefault="00EC2E10">
            <w:pPr>
              <w:spacing w:after="120"/>
              <w:jc w:val="both"/>
              <w:rPr>
                <w:rFonts w:eastAsia="Calibri"/>
                <w:noProof/>
                <w:sz w:val="21"/>
                <w:szCs w:val="21"/>
              </w:rPr>
            </w:pPr>
            <w:r w:rsidRPr="00143775">
              <w:rPr>
                <w:rFonts w:eastAsia="Calibri"/>
                <w:noProof/>
                <w:sz w:val="21"/>
                <w:szCs w:val="21"/>
              </w:rPr>
              <w:t xml:space="preserve">(4) Particular attention </w:t>
            </w:r>
            <w:r w:rsidR="00C97A2F" w:rsidRPr="00143775">
              <w:rPr>
                <w:rFonts w:eastAsia="Calibri"/>
                <w:noProof/>
                <w:sz w:val="21"/>
                <w:szCs w:val="21"/>
              </w:rPr>
              <w:t>is</w:t>
            </w:r>
            <w:r w:rsidRPr="00143775">
              <w:rPr>
                <w:rFonts w:eastAsia="Calibri"/>
                <w:noProof/>
                <w:sz w:val="21"/>
                <w:szCs w:val="21"/>
              </w:rPr>
              <w:t xml:space="preserve"> paid to the impacts on external costs </w:t>
            </w:r>
            <w:r w:rsidR="0069734F">
              <w:rPr>
                <w:rFonts w:eastAsia="Calibri"/>
                <w:noProof/>
                <w:sz w:val="21"/>
                <w:szCs w:val="21"/>
              </w:rPr>
              <w:t xml:space="preserve">savings, which are linked to the impact </w:t>
            </w:r>
            <w:r w:rsidRPr="00143775">
              <w:rPr>
                <w:rFonts w:eastAsia="Calibri"/>
                <w:noProof/>
                <w:sz w:val="21"/>
                <w:szCs w:val="21"/>
              </w:rPr>
              <w:t xml:space="preserve">of </w:t>
            </w:r>
            <w:r w:rsidR="0069734F">
              <w:rPr>
                <w:rFonts w:eastAsia="Calibri"/>
                <w:noProof/>
                <w:sz w:val="21"/>
                <w:szCs w:val="21"/>
              </w:rPr>
              <w:t>the policy options on modal shift</w:t>
            </w:r>
            <w:r w:rsidRPr="00143775">
              <w:rPr>
                <w:rFonts w:eastAsia="Calibri"/>
                <w:noProof/>
                <w:sz w:val="21"/>
                <w:szCs w:val="21"/>
              </w:rPr>
              <w:t xml:space="preserve">. </w:t>
            </w:r>
            <w:r w:rsidR="00B10B2A">
              <w:rPr>
                <w:rFonts w:eastAsia="Calibri"/>
                <w:noProof/>
                <w:sz w:val="21"/>
                <w:szCs w:val="21"/>
              </w:rPr>
              <w:t xml:space="preserve">These are </w:t>
            </w:r>
            <w:r w:rsidR="00D84AA9">
              <w:rPr>
                <w:rFonts w:eastAsia="Calibri"/>
                <w:noProof/>
                <w:sz w:val="21"/>
                <w:szCs w:val="21"/>
              </w:rPr>
              <w:t>monetised</w:t>
            </w:r>
            <w:r w:rsidR="00B10B2A">
              <w:rPr>
                <w:rFonts w:eastAsia="Calibri"/>
                <w:noProof/>
                <w:sz w:val="21"/>
                <w:szCs w:val="21"/>
              </w:rPr>
              <w:t xml:space="preserve"> and presented in detail in </w:t>
            </w:r>
            <w:r w:rsidR="00821EF8">
              <w:rPr>
                <w:rFonts w:eastAsia="Calibri"/>
                <w:noProof/>
                <w:sz w:val="21"/>
                <w:szCs w:val="21"/>
              </w:rPr>
              <w:t xml:space="preserve">section </w:t>
            </w:r>
            <w:r w:rsidR="00B10B2A">
              <w:rPr>
                <w:rFonts w:eastAsia="Calibri"/>
                <w:noProof/>
                <w:sz w:val="21"/>
                <w:szCs w:val="21"/>
              </w:rPr>
              <w:t xml:space="preserve">6 and in Annex 4. </w:t>
            </w:r>
            <w:r w:rsidR="00603620">
              <w:rPr>
                <w:rFonts w:eastAsia="Calibri"/>
                <w:noProof/>
                <w:sz w:val="21"/>
                <w:szCs w:val="21"/>
              </w:rPr>
              <w:t xml:space="preserve">The magnitude of the impacts is also lower in the revised IA report. </w:t>
            </w:r>
            <w:r w:rsidR="00821EF8">
              <w:rPr>
                <w:rFonts w:eastAsia="Calibri"/>
                <w:noProof/>
                <w:sz w:val="21"/>
                <w:szCs w:val="21"/>
              </w:rPr>
              <w:t xml:space="preserve"> </w:t>
            </w:r>
          </w:p>
          <w:p w14:paraId="58B751E6" w14:textId="41F624C2" w:rsidR="00EC2E10" w:rsidRPr="00143775" w:rsidRDefault="00EC2E10">
            <w:pPr>
              <w:spacing w:after="120"/>
              <w:jc w:val="both"/>
              <w:rPr>
                <w:noProof/>
                <w:sz w:val="21"/>
                <w:szCs w:val="21"/>
              </w:rPr>
            </w:pPr>
            <w:r w:rsidRPr="00143775">
              <w:rPr>
                <w:rFonts w:eastAsia="Calibri"/>
                <w:noProof/>
                <w:sz w:val="21"/>
                <w:szCs w:val="21"/>
              </w:rPr>
              <w:t xml:space="preserve">(5) The </w:t>
            </w:r>
            <w:r w:rsidR="0047161A">
              <w:rPr>
                <w:rFonts w:eastAsia="Calibri"/>
                <w:noProof/>
                <w:sz w:val="21"/>
                <w:szCs w:val="21"/>
              </w:rPr>
              <w:t>revised IA</w:t>
            </w:r>
            <w:r w:rsidRPr="00143775">
              <w:rPr>
                <w:rFonts w:eastAsia="Calibri"/>
                <w:noProof/>
                <w:sz w:val="21"/>
                <w:szCs w:val="21"/>
              </w:rPr>
              <w:t xml:space="preserve"> report include</w:t>
            </w:r>
            <w:r w:rsidR="00C97A2F" w:rsidRPr="00143775">
              <w:rPr>
                <w:rFonts w:eastAsia="Calibri"/>
                <w:noProof/>
                <w:sz w:val="21"/>
                <w:szCs w:val="21"/>
              </w:rPr>
              <w:t>s</w:t>
            </w:r>
            <w:r w:rsidRPr="00143775">
              <w:rPr>
                <w:rFonts w:eastAsia="Calibri"/>
                <w:noProof/>
                <w:sz w:val="21"/>
                <w:szCs w:val="21"/>
              </w:rPr>
              <w:t xml:space="preserve"> a detailed analysis of how the initiative is expected to lead to modal shift and a reduction in road accidents, including the underlying assumptions and evidence base.</w:t>
            </w:r>
            <w:r w:rsidR="00603620">
              <w:rPr>
                <w:rFonts w:eastAsia="Calibri"/>
                <w:noProof/>
                <w:sz w:val="21"/>
                <w:szCs w:val="21"/>
              </w:rPr>
              <w:t xml:space="preserve"> It should be noted that the reduction in road accidents is directly driven by the reduction in the passenger car activity relative to the baseline, as explained in section </w:t>
            </w:r>
            <w:r w:rsidR="000440C5">
              <w:rPr>
                <w:rFonts w:eastAsia="Calibri"/>
                <w:noProof/>
                <w:sz w:val="21"/>
                <w:szCs w:val="21"/>
              </w:rPr>
              <w:t>6.2.3.</w:t>
            </w:r>
            <w:r w:rsidRPr="00143775">
              <w:rPr>
                <w:rFonts w:eastAsia="Calibri"/>
                <w:noProof/>
                <w:sz w:val="21"/>
                <w:szCs w:val="21"/>
              </w:rPr>
              <w:t xml:space="preserve"> This analysis </w:t>
            </w:r>
            <w:r w:rsidR="00C97A2F" w:rsidRPr="00143775">
              <w:rPr>
                <w:rFonts w:eastAsia="Calibri"/>
                <w:noProof/>
                <w:sz w:val="21"/>
                <w:szCs w:val="21"/>
              </w:rPr>
              <w:t>is</w:t>
            </w:r>
            <w:r w:rsidRPr="00143775">
              <w:rPr>
                <w:rFonts w:eastAsia="Calibri"/>
                <w:noProof/>
                <w:sz w:val="21"/>
                <w:szCs w:val="21"/>
              </w:rPr>
              <w:t xml:space="preserve"> transparent about the uncertainties and limitations of the estimates and </w:t>
            </w:r>
            <w:r w:rsidR="00C97A2F" w:rsidRPr="00143775">
              <w:rPr>
                <w:rFonts w:eastAsia="Calibri"/>
                <w:noProof/>
                <w:sz w:val="21"/>
                <w:szCs w:val="21"/>
              </w:rPr>
              <w:t>is</w:t>
            </w:r>
            <w:r w:rsidRPr="00143775">
              <w:rPr>
                <w:rFonts w:eastAsia="Calibri"/>
                <w:noProof/>
                <w:sz w:val="21"/>
                <w:szCs w:val="21"/>
              </w:rPr>
              <w:t xml:space="preserve"> supported by sensitivity analysis </w:t>
            </w:r>
            <w:r w:rsidR="00FB00C5">
              <w:rPr>
                <w:rFonts w:eastAsia="Calibri"/>
                <w:noProof/>
                <w:sz w:val="21"/>
                <w:szCs w:val="21"/>
              </w:rPr>
              <w:t xml:space="preserve">on potential modal shift, in order </w:t>
            </w:r>
            <w:r w:rsidRPr="00143775">
              <w:rPr>
                <w:rFonts w:eastAsia="Calibri"/>
                <w:noProof/>
                <w:sz w:val="21"/>
                <w:szCs w:val="21"/>
              </w:rPr>
              <w:t>to test the robustness of the results</w:t>
            </w:r>
            <w:r w:rsidR="0053420D">
              <w:rPr>
                <w:rFonts w:eastAsia="Calibri"/>
                <w:noProof/>
                <w:sz w:val="21"/>
                <w:szCs w:val="21"/>
              </w:rPr>
              <w:t xml:space="preserve">, as outlined in </w:t>
            </w:r>
            <w:r w:rsidR="008B5BD3">
              <w:rPr>
                <w:rFonts w:eastAsia="Calibri"/>
                <w:noProof/>
                <w:sz w:val="21"/>
                <w:szCs w:val="21"/>
              </w:rPr>
              <w:t>section</w:t>
            </w:r>
            <w:r w:rsidR="0053420D">
              <w:rPr>
                <w:rFonts w:eastAsia="Calibri"/>
                <w:noProof/>
                <w:sz w:val="21"/>
                <w:szCs w:val="21"/>
              </w:rPr>
              <w:t xml:space="preserve"> 7.6</w:t>
            </w:r>
            <w:r w:rsidRPr="00143775">
              <w:rPr>
                <w:rFonts w:eastAsia="Calibri"/>
                <w:noProof/>
                <w:sz w:val="21"/>
                <w:szCs w:val="21"/>
              </w:rPr>
              <w:t>.</w:t>
            </w:r>
          </w:p>
        </w:tc>
      </w:tr>
      <w:tr w:rsidR="00F61DEB" w:rsidRPr="00D71008" w14:paraId="13EA220F" w14:textId="77777777" w:rsidTr="00456646">
        <w:trPr>
          <w:trHeight w:val="300"/>
        </w:trPr>
        <w:tc>
          <w:tcPr>
            <w:tcW w:w="3539" w:type="dxa"/>
            <w:shd w:val="clear" w:color="auto" w:fill="FFFFFF" w:themeFill="background1"/>
          </w:tcPr>
          <w:p w14:paraId="730A6C73" w14:textId="77777777" w:rsidR="00EC2E10" w:rsidRPr="00143775" w:rsidRDefault="00EC2E10">
            <w:pPr>
              <w:pStyle w:val="FootnoteText"/>
              <w:spacing w:after="120"/>
              <w:jc w:val="both"/>
              <w:rPr>
                <w:noProof/>
                <w:sz w:val="21"/>
                <w:szCs w:val="21"/>
              </w:rPr>
            </w:pPr>
            <w:r w:rsidRPr="00143775">
              <w:rPr>
                <w:noProof/>
                <w:sz w:val="21"/>
                <w:szCs w:val="21"/>
              </w:rPr>
              <w:t>(1) The report should undertake further analysis employing multiple evidence sources to assess the impacts of the options and measures are on competitiveness, SMEs, competition and Member States (in their enforcement role). It should, including through a dedicated SME test, more clearly explain the impacts on SMEs. (2) It should provide a more nuanced and comprehensive assessment of competitiveness of the affected transport and services sectors, both in the main report and in the annexed competitiveness check. (3) It should better assess the impact on market dynamics and market power, competition and innovation, including the risk of collusive behaviour potentially emerging from fixing interline fares or selling tickets of competitors, in particular, in light of the far-reaching nature of some of the measures. (4) The report should further elaborate on the enforcement role of Member States and estimate the enforcement costs that will fall exclusively upon them. (5) It should present the One In, One Out estimates in a clear and comparable way.</w:t>
            </w:r>
          </w:p>
        </w:tc>
        <w:tc>
          <w:tcPr>
            <w:tcW w:w="6064" w:type="dxa"/>
            <w:shd w:val="clear" w:color="auto" w:fill="FFFFFF" w:themeFill="background1"/>
          </w:tcPr>
          <w:p w14:paraId="71EF725B" w14:textId="603DA1F1" w:rsidR="00EC2E10" w:rsidRPr="00143775" w:rsidRDefault="00EC2E10">
            <w:pPr>
              <w:pStyle w:val="FootnoteText"/>
              <w:spacing w:after="120"/>
              <w:jc w:val="both"/>
              <w:rPr>
                <w:noProof/>
                <w:sz w:val="21"/>
                <w:szCs w:val="21"/>
              </w:rPr>
            </w:pPr>
            <w:r w:rsidRPr="00143775">
              <w:rPr>
                <w:noProof/>
                <w:sz w:val="21"/>
                <w:szCs w:val="21"/>
              </w:rPr>
              <w:t xml:space="preserve">(1) The </w:t>
            </w:r>
            <w:r w:rsidR="00CE56D5">
              <w:rPr>
                <w:noProof/>
                <w:sz w:val="21"/>
                <w:szCs w:val="21"/>
              </w:rPr>
              <w:t xml:space="preserve">revised IA </w:t>
            </w:r>
            <w:r w:rsidRPr="00143775">
              <w:rPr>
                <w:noProof/>
                <w:sz w:val="21"/>
                <w:szCs w:val="21"/>
              </w:rPr>
              <w:t>report include</w:t>
            </w:r>
            <w:r w:rsidR="00C97A2F" w:rsidRPr="00143775">
              <w:rPr>
                <w:noProof/>
                <w:sz w:val="21"/>
                <w:szCs w:val="21"/>
              </w:rPr>
              <w:t>s</w:t>
            </w:r>
            <w:r w:rsidRPr="00143775">
              <w:rPr>
                <w:noProof/>
                <w:sz w:val="21"/>
                <w:szCs w:val="21"/>
              </w:rPr>
              <w:t xml:space="preserve"> a dedicated SME test </w:t>
            </w:r>
            <w:r w:rsidR="00CE56D5">
              <w:rPr>
                <w:noProof/>
                <w:sz w:val="21"/>
                <w:szCs w:val="21"/>
              </w:rPr>
              <w:t>(Annex 6)</w:t>
            </w:r>
            <w:r w:rsidRPr="00143775">
              <w:rPr>
                <w:noProof/>
                <w:sz w:val="21"/>
                <w:szCs w:val="21"/>
              </w:rPr>
              <w:t xml:space="preserve"> and competitiveness check</w:t>
            </w:r>
            <w:r w:rsidR="00CE56D5">
              <w:rPr>
                <w:noProof/>
                <w:sz w:val="21"/>
                <w:szCs w:val="21"/>
              </w:rPr>
              <w:t xml:space="preserve"> (Annex 5)</w:t>
            </w:r>
            <w:r w:rsidRPr="00143775">
              <w:rPr>
                <w:noProof/>
                <w:sz w:val="21"/>
                <w:szCs w:val="21"/>
              </w:rPr>
              <w:t xml:space="preserve">. </w:t>
            </w:r>
            <w:r w:rsidR="00896E91">
              <w:rPr>
                <w:noProof/>
                <w:sz w:val="21"/>
                <w:szCs w:val="21"/>
              </w:rPr>
              <w:t>The impacts on national authorities are included in section 6.1.3 of</w:t>
            </w:r>
            <w:r w:rsidRPr="00143775">
              <w:rPr>
                <w:noProof/>
                <w:sz w:val="21"/>
                <w:szCs w:val="21"/>
              </w:rPr>
              <w:t xml:space="preserve"> the </w:t>
            </w:r>
            <w:r w:rsidR="00896E91">
              <w:rPr>
                <w:noProof/>
                <w:sz w:val="21"/>
                <w:szCs w:val="21"/>
              </w:rPr>
              <w:t>revised IA report</w:t>
            </w:r>
            <w:r w:rsidRPr="00143775">
              <w:rPr>
                <w:noProof/>
                <w:sz w:val="21"/>
                <w:szCs w:val="21"/>
              </w:rPr>
              <w:t xml:space="preserve">. </w:t>
            </w:r>
            <w:r w:rsidR="00E078FA">
              <w:rPr>
                <w:noProof/>
                <w:sz w:val="21"/>
                <w:szCs w:val="21"/>
              </w:rPr>
              <w:t xml:space="preserve">Dedicated sections are devoted to impacts on </w:t>
            </w:r>
            <w:r w:rsidR="0030575E">
              <w:rPr>
                <w:noProof/>
                <w:sz w:val="21"/>
                <w:szCs w:val="21"/>
              </w:rPr>
              <w:t xml:space="preserve">competitiveness, SMEs, competition in the revised IA chapter 6. </w:t>
            </w:r>
          </w:p>
          <w:p w14:paraId="0A03138F" w14:textId="3446FAAD" w:rsidR="00EC2E10" w:rsidRPr="00143775" w:rsidRDefault="00EC2E10">
            <w:pPr>
              <w:pStyle w:val="FootnoteText"/>
              <w:spacing w:after="120"/>
              <w:jc w:val="both"/>
              <w:rPr>
                <w:noProof/>
                <w:sz w:val="21"/>
                <w:szCs w:val="21"/>
              </w:rPr>
            </w:pPr>
            <w:r w:rsidRPr="00143775">
              <w:rPr>
                <w:noProof/>
                <w:sz w:val="21"/>
                <w:szCs w:val="21"/>
              </w:rPr>
              <w:t xml:space="preserve">(2) The analysis </w:t>
            </w:r>
            <w:r w:rsidR="00FF68A4">
              <w:rPr>
                <w:noProof/>
                <w:sz w:val="21"/>
                <w:szCs w:val="21"/>
              </w:rPr>
              <w:t>on</w:t>
            </w:r>
            <w:r w:rsidR="00FF68A4" w:rsidRPr="00143775">
              <w:rPr>
                <w:noProof/>
                <w:sz w:val="21"/>
                <w:szCs w:val="21"/>
              </w:rPr>
              <w:t xml:space="preserve"> </w:t>
            </w:r>
            <w:r w:rsidRPr="00143775">
              <w:rPr>
                <w:noProof/>
                <w:sz w:val="21"/>
                <w:szCs w:val="21"/>
              </w:rPr>
              <w:t xml:space="preserve">competitiveness </w:t>
            </w:r>
            <w:r w:rsidR="00C97A2F" w:rsidRPr="00143775">
              <w:rPr>
                <w:noProof/>
                <w:sz w:val="21"/>
                <w:szCs w:val="21"/>
              </w:rPr>
              <w:t>is</w:t>
            </w:r>
            <w:r w:rsidRPr="00143775">
              <w:rPr>
                <w:noProof/>
                <w:sz w:val="21"/>
                <w:szCs w:val="21"/>
              </w:rPr>
              <w:t xml:space="preserve"> enhanced</w:t>
            </w:r>
            <w:r w:rsidR="00C76BA8" w:rsidRPr="00143775">
              <w:rPr>
                <w:noProof/>
                <w:sz w:val="21"/>
                <w:szCs w:val="21"/>
              </w:rPr>
              <w:t xml:space="preserve"> in </w:t>
            </w:r>
            <w:r w:rsidR="00FF68A4">
              <w:rPr>
                <w:noProof/>
                <w:sz w:val="21"/>
                <w:szCs w:val="21"/>
              </w:rPr>
              <w:t>section</w:t>
            </w:r>
            <w:r w:rsidR="00C76BA8" w:rsidRPr="00143775">
              <w:rPr>
                <w:noProof/>
                <w:sz w:val="21"/>
                <w:szCs w:val="21"/>
              </w:rPr>
              <w:t xml:space="preserve"> 6</w:t>
            </w:r>
            <w:r w:rsidR="00FF68A4">
              <w:rPr>
                <w:noProof/>
                <w:sz w:val="21"/>
                <w:szCs w:val="21"/>
              </w:rPr>
              <w:t>.1.7</w:t>
            </w:r>
            <w:r w:rsidR="00C76BA8" w:rsidRPr="00143775">
              <w:rPr>
                <w:noProof/>
                <w:sz w:val="21"/>
                <w:szCs w:val="21"/>
              </w:rPr>
              <w:t xml:space="preserve"> and </w:t>
            </w:r>
            <w:r w:rsidR="00FF68A4">
              <w:rPr>
                <w:noProof/>
                <w:sz w:val="21"/>
                <w:szCs w:val="21"/>
              </w:rPr>
              <w:t>Annex 5</w:t>
            </w:r>
            <w:r w:rsidR="00B218EA">
              <w:rPr>
                <w:noProof/>
                <w:sz w:val="21"/>
                <w:szCs w:val="21"/>
              </w:rPr>
              <w:t xml:space="preserve"> of the revised IA report</w:t>
            </w:r>
            <w:r w:rsidRPr="00143775">
              <w:rPr>
                <w:noProof/>
                <w:sz w:val="21"/>
                <w:szCs w:val="21"/>
              </w:rPr>
              <w:t xml:space="preserve">. </w:t>
            </w:r>
            <w:r w:rsidR="00D254F8">
              <w:rPr>
                <w:noProof/>
                <w:sz w:val="21"/>
                <w:szCs w:val="21"/>
              </w:rPr>
              <w:t xml:space="preserve">The </w:t>
            </w:r>
            <w:r w:rsidR="00E5128B">
              <w:rPr>
                <w:noProof/>
                <w:sz w:val="21"/>
                <w:szCs w:val="21"/>
              </w:rPr>
              <w:t>revised</w:t>
            </w:r>
            <w:r w:rsidR="00D254F8">
              <w:rPr>
                <w:noProof/>
                <w:sz w:val="21"/>
                <w:szCs w:val="21"/>
              </w:rPr>
              <w:t xml:space="preserve"> assessment is more nuanced and comprehensive</w:t>
            </w:r>
            <w:r w:rsidR="002F76B6">
              <w:rPr>
                <w:noProof/>
                <w:sz w:val="21"/>
                <w:szCs w:val="21"/>
              </w:rPr>
              <w:t xml:space="preserve"> of the affected transport sector, by singling out more the impacts on the rail sector.  </w:t>
            </w:r>
          </w:p>
          <w:p w14:paraId="33120A39" w14:textId="26DEFB72" w:rsidR="00EC2E10" w:rsidRPr="00143775" w:rsidRDefault="00EC2E10">
            <w:pPr>
              <w:pStyle w:val="FootnoteText"/>
              <w:spacing w:after="120"/>
              <w:jc w:val="both"/>
              <w:rPr>
                <w:rFonts w:eastAsia="Calibri"/>
                <w:noProof/>
                <w:sz w:val="21"/>
                <w:szCs w:val="21"/>
              </w:rPr>
            </w:pPr>
            <w:r w:rsidRPr="00DB1E26">
              <w:rPr>
                <w:noProof/>
                <w:sz w:val="21"/>
                <w:szCs w:val="21"/>
              </w:rPr>
              <w:t xml:space="preserve">(3) </w:t>
            </w:r>
            <w:r w:rsidR="0000619A">
              <w:rPr>
                <w:noProof/>
                <w:sz w:val="21"/>
                <w:szCs w:val="21"/>
              </w:rPr>
              <w:t xml:space="preserve">Section 6.1.8 of the revised IA report provides </w:t>
            </w:r>
            <w:r w:rsidR="00A3610C">
              <w:rPr>
                <w:noProof/>
                <w:sz w:val="21"/>
                <w:szCs w:val="21"/>
              </w:rPr>
              <w:t xml:space="preserve">a revised analysis and </w:t>
            </w:r>
            <w:r w:rsidR="0000619A">
              <w:rPr>
                <w:noProof/>
                <w:sz w:val="21"/>
                <w:szCs w:val="21"/>
              </w:rPr>
              <w:t xml:space="preserve">further details on </w:t>
            </w:r>
            <w:r w:rsidR="0000619A">
              <w:rPr>
                <w:rFonts w:eastAsia="Calibri"/>
                <w:noProof/>
                <w:sz w:val="21"/>
                <w:szCs w:val="21"/>
              </w:rPr>
              <w:t>t</w:t>
            </w:r>
            <w:r w:rsidRPr="00DB1E26">
              <w:rPr>
                <w:rFonts w:eastAsia="Calibri"/>
                <w:noProof/>
                <w:sz w:val="21"/>
                <w:szCs w:val="21"/>
              </w:rPr>
              <w:t xml:space="preserve">he </w:t>
            </w:r>
            <w:r w:rsidR="00215C6C">
              <w:rPr>
                <w:rFonts w:eastAsia="Calibri"/>
                <w:noProof/>
                <w:sz w:val="21"/>
                <w:szCs w:val="21"/>
              </w:rPr>
              <w:t>impacts on internal market</w:t>
            </w:r>
            <w:r w:rsidR="0069361D">
              <w:rPr>
                <w:rFonts w:eastAsia="Calibri"/>
                <w:noProof/>
                <w:sz w:val="21"/>
                <w:szCs w:val="21"/>
              </w:rPr>
              <w:t>,</w:t>
            </w:r>
            <w:r w:rsidR="00215C6C">
              <w:rPr>
                <w:rFonts w:eastAsia="Calibri"/>
                <w:noProof/>
                <w:sz w:val="21"/>
                <w:szCs w:val="21"/>
              </w:rPr>
              <w:t xml:space="preserve"> competitio</w:t>
            </w:r>
            <w:r w:rsidR="0000619A">
              <w:rPr>
                <w:rFonts w:eastAsia="Calibri"/>
                <w:noProof/>
                <w:sz w:val="21"/>
                <w:szCs w:val="21"/>
              </w:rPr>
              <w:t>n</w:t>
            </w:r>
            <w:r w:rsidR="0069361D">
              <w:rPr>
                <w:rFonts w:eastAsia="Calibri"/>
                <w:noProof/>
                <w:sz w:val="21"/>
                <w:szCs w:val="21"/>
              </w:rPr>
              <w:t xml:space="preserve"> and innovation</w:t>
            </w:r>
            <w:r w:rsidR="0000619A">
              <w:rPr>
                <w:rFonts w:eastAsia="Calibri"/>
                <w:noProof/>
                <w:sz w:val="21"/>
                <w:szCs w:val="21"/>
              </w:rPr>
              <w:t xml:space="preserve">. </w:t>
            </w:r>
            <w:r w:rsidR="0069361D">
              <w:rPr>
                <w:rFonts w:eastAsia="Calibri"/>
                <w:noProof/>
                <w:sz w:val="21"/>
                <w:szCs w:val="21"/>
              </w:rPr>
              <w:t>Moreover, a</w:t>
            </w:r>
            <w:r w:rsidR="00483A92">
              <w:rPr>
                <w:rFonts w:eastAsia="Calibri"/>
                <w:noProof/>
                <w:sz w:val="21"/>
                <w:szCs w:val="21"/>
              </w:rPr>
              <w:t xml:space="preserve">lready the </w:t>
            </w:r>
            <w:r w:rsidR="00976C45">
              <w:rPr>
                <w:rFonts w:eastAsia="Calibri"/>
                <w:noProof/>
                <w:sz w:val="21"/>
                <w:szCs w:val="21"/>
              </w:rPr>
              <w:t xml:space="preserve">problem definition describing the second problem in section 2.2 </w:t>
            </w:r>
            <w:r w:rsidR="00A60C39">
              <w:rPr>
                <w:rFonts w:eastAsia="Calibri"/>
                <w:noProof/>
                <w:sz w:val="21"/>
                <w:szCs w:val="21"/>
              </w:rPr>
              <w:t xml:space="preserve">indicates </w:t>
            </w:r>
            <w:r w:rsidR="00976C45">
              <w:rPr>
                <w:rFonts w:eastAsia="Calibri"/>
                <w:noProof/>
                <w:sz w:val="21"/>
                <w:szCs w:val="21"/>
              </w:rPr>
              <w:t>the underlying m</w:t>
            </w:r>
            <w:r w:rsidR="007C7AE4">
              <w:rPr>
                <w:rFonts w:eastAsia="Calibri"/>
                <w:noProof/>
                <w:sz w:val="21"/>
                <w:szCs w:val="21"/>
              </w:rPr>
              <w:t>a</w:t>
            </w:r>
            <w:r w:rsidR="00976C45">
              <w:rPr>
                <w:rFonts w:eastAsia="Calibri"/>
                <w:noProof/>
                <w:sz w:val="21"/>
                <w:szCs w:val="21"/>
              </w:rPr>
              <w:t>rk</w:t>
            </w:r>
            <w:r w:rsidR="007C7AE4">
              <w:rPr>
                <w:rFonts w:eastAsia="Calibri"/>
                <w:noProof/>
                <w:sz w:val="21"/>
                <w:szCs w:val="21"/>
              </w:rPr>
              <w:t>e</w:t>
            </w:r>
            <w:r w:rsidR="00976C45">
              <w:rPr>
                <w:rFonts w:eastAsia="Calibri"/>
                <w:noProof/>
                <w:sz w:val="21"/>
                <w:szCs w:val="21"/>
              </w:rPr>
              <w:t>t failure ste</w:t>
            </w:r>
            <w:r w:rsidR="007C7AE4">
              <w:rPr>
                <w:rFonts w:eastAsia="Calibri"/>
                <w:noProof/>
                <w:sz w:val="21"/>
                <w:szCs w:val="21"/>
              </w:rPr>
              <w:t>mmi</w:t>
            </w:r>
            <w:r w:rsidR="00976C45">
              <w:rPr>
                <w:rFonts w:eastAsia="Calibri"/>
                <w:noProof/>
                <w:sz w:val="21"/>
                <w:szCs w:val="21"/>
              </w:rPr>
              <w:t>ng f</w:t>
            </w:r>
            <w:r w:rsidR="007C7AE4">
              <w:rPr>
                <w:rFonts w:eastAsia="Calibri"/>
                <w:noProof/>
                <w:sz w:val="21"/>
                <w:szCs w:val="21"/>
              </w:rPr>
              <w:t>r</w:t>
            </w:r>
            <w:r w:rsidR="00976C45">
              <w:rPr>
                <w:rFonts w:eastAsia="Calibri"/>
                <w:noProof/>
                <w:sz w:val="21"/>
                <w:szCs w:val="21"/>
              </w:rPr>
              <w:t xml:space="preserve">om market dominance and </w:t>
            </w:r>
            <w:r w:rsidR="00EF4671">
              <w:rPr>
                <w:rFonts w:eastAsia="Calibri"/>
                <w:noProof/>
                <w:sz w:val="21"/>
                <w:szCs w:val="21"/>
              </w:rPr>
              <w:t xml:space="preserve">resulting </w:t>
            </w:r>
            <w:r w:rsidR="00A60C39">
              <w:rPr>
                <w:rFonts w:eastAsia="Calibri"/>
                <w:noProof/>
                <w:sz w:val="21"/>
                <w:szCs w:val="21"/>
              </w:rPr>
              <w:t>market dynamic</w:t>
            </w:r>
            <w:r w:rsidR="00EF4671">
              <w:rPr>
                <w:rFonts w:eastAsia="Calibri"/>
                <w:noProof/>
                <w:sz w:val="21"/>
                <w:szCs w:val="21"/>
              </w:rPr>
              <w:t>s</w:t>
            </w:r>
            <w:r w:rsidR="00A60C39">
              <w:rPr>
                <w:rFonts w:eastAsia="Calibri"/>
                <w:noProof/>
                <w:sz w:val="21"/>
                <w:szCs w:val="21"/>
              </w:rPr>
              <w:t xml:space="preserve"> in the rail sector</w:t>
            </w:r>
            <w:r w:rsidR="00391435">
              <w:rPr>
                <w:rFonts w:eastAsia="Calibri"/>
                <w:noProof/>
                <w:sz w:val="21"/>
                <w:szCs w:val="21"/>
              </w:rPr>
              <w:t>.</w:t>
            </w:r>
            <w:r w:rsidR="00A60C39">
              <w:rPr>
                <w:rFonts w:eastAsia="Calibri"/>
                <w:noProof/>
                <w:sz w:val="21"/>
                <w:szCs w:val="21"/>
              </w:rPr>
              <w:t xml:space="preserve"> </w:t>
            </w:r>
            <w:r w:rsidR="00976C45">
              <w:rPr>
                <w:rFonts w:eastAsia="Calibri"/>
                <w:noProof/>
                <w:sz w:val="21"/>
                <w:szCs w:val="21"/>
              </w:rPr>
              <w:t xml:space="preserve"> </w:t>
            </w:r>
            <w:r w:rsidR="008B05C5">
              <w:rPr>
                <w:rFonts w:eastAsia="Calibri"/>
                <w:noProof/>
                <w:sz w:val="21"/>
                <w:szCs w:val="21"/>
              </w:rPr>
              <w:t>Furt</w:t>
            </w:r>
            <w:r w:rsidR="000F4473">
              <w:rPr>
                <w:rFonts w:eastAsia="Calibri"/>
                <w:noProof/>
                <w:sz w:val="21"/>
                <w:szCs w:val="21"/>
              </w:rPr>
              <w:t>hermore</w:t>
            </w:r>
            <w:r w:rsidR="004A722E">
              <w:rPr>
                <w:rFonts w:eastAsia="Calibri"/>
                <w:noProof/>
                <w:sz w:val="21"/>
                <w:szCs w:val="21"/>
              </w:rPr>
              <w:t>,</w:t>
            </w:r>
            <w:r w:rsidR="000F4473">
              <w:rPr>
                <w:rFonts w:eastAsia="Calibri"/>
                <w:noProof/>
                <w:sz w:val="21"/>
                <w:szCs w:val="21"/>
              </w:rPr>
              <w:t xml:space="preserve"> </w:t>
            </w:r>
            <w:r w:rsidR="000F4473">
              <w:rPr>
                <w:noProof/>
                <w:sz w:val="21"/>
                <w:szCs w:val="21"/>
              </w:rPr>
              <w:t>a separate Annex with detailed assessment of competition has been elaborated in Annex 13.</w:t>
            </w:r>
          </w:p>
          <w:p w14:paraId="561F0C2A" w14:textId="0D3CA8B5" w:rsidR="00EC2E10" w:rsidRPr="00143775" w:rsidRDefault="00EC2E10">
            <w:pPr>
              <w:pStyle w:val="FootnoteText"/>
              <w:spacing w:after="120"/>
              <w:jc w:val="both"/>
              <w:rPr>
                <w:noProof/>
                <w:sz w:val="21"/>
                <w:szCs w:val="21"/>
              </w:rPr>
            </w:pPr>
            <w:r w:rsidRPr="00143775">
              <w:rPr>
                <w:noProof/>
                <w:sz w:val="21"/>
                <w:szCs w:val="21"/>
              </w:rPr>
              <w:t xml:space="preserve">(4) </w:t>
            </w:r>
            <w:r w:rsidR="000F50F3">
              <w:rPr>
                <w:noProof/>
                <w:sz w:val="21"/>
                <w:szCs w:val="21"/>
              </w:rPr>
              <w:t>T</w:t>
            </w:r>
            <w:r w:rsidRPr="00143775">
              <w:rPr>
                <w:noProof/>
                <w:sz w:val="21"/>
                <w:szCs w:val="21"/>
              </w:rPr>
              <w:t xml:space="preserve">he </w:t>
            </w:r>
            <w:r w:rsidR="000F50F3">
              <w:rPr>
                <w:noProof/>
                <w:sz w:val="21"/>
                <w:szCs w:val="21"/>
              </w:rPr>
              <w:t xml:space="preserve">revised IA </w:t>
            </w:r>
            <w:r w:rsidRPr="00143775">
              <w:rPr>
                <w:noProof/>
                <w:sz w:val="21"/>
                <w:szCs w:val="21"/>
              </w:rPr>
              <w:t>report</w:t>
            </w:r>
            <w:r w:rsidR="000F50F3">
              <w:rPr>
                <w:noProof/>
                <w:sz w:val="21"/>
                <w:szCs w:val="21"/>
              </w:rPr>
              <w:t>, in section 5.2 and Annex 8,</w:t>
            </w:r>
            <w:r w:rsidRPr="00143775">
              <w:rPr>
                <w:noProof/>
                <w:sz w:val="21"/>
                <w:szCs w:val="21"/>
              </w:rPr>
              <w:t xml:space="preserve"> further elaborate</w:t>
            </w:r>
            <w:r w:rsidR="001C5A5A" w:rsidRPr="00143775">
              <w:rPr>
                <w:noProof/>
                <w:sz w:val="21"/>
                <w:szCs w:val="21"/>
              </w:rPr>
              <w:t>s</w:t>
            </w:r>
            <w:r w:rsidRPr="00143775">
              <w:rPr>
                <w:noProof/>
                <w:sz w:val="21"/>
                <w:szCs w:val="21"/>
              </w:rPr>
              <w:t xml:space="preserve"> on how enforcement will be ensured. Enforcement costs </w:t>
            </w:r>
            <w:r w:rsidR="000F50F3" w:rsidRPr="00143775">
              <w:rPr>
                <w:noProof/>
                <w:sz w:val="21"/>
                <w:szCs w:val="21"/>
              </w:rPr>
              <w:t>are</w:t>
            </w:r>
            <w:r w:rsidRPr="00143775">
              <w:rPr>
                <w:noProof/>
                <w:sz w:val="21"/>
                <w:szCs w:val="21"/>
              </w:rPr>
              <w:t xml:space="preserve"> estimated</w:t>
            </w:r>
            <w:r w:rsidR="000F50F3">
              <w:rPr>
                <w:noProof/>
                <w:sz w:val="21"/>
                <w:szCs w:val="21"/>
              </w:rPr>
              <w:t xml:space="preserve"> and presented in section 6.1.3 of the revised IA report and in Annex 4 (section 3)</w:t>
            </w:r>
            <w:r w:rsidRPr="00143775">
              <w:rPr>
                <w:noProof/>
                <w:sz w:val="21"/>
                <w:szCs w:val="21"/>
              </w:rPr>
              <w:t xml:space="preserve">. </w:t>
            </w:r>
          </w:p>
          <w:p w14:paraId="2EA53B8B" w14:textId="420EB682" w:rsidR="00EC2E10" w:rsidRPr="00143775" w:rsidRDefault="00EC2E10">
            <w:pPr>
              <w:pStyle w:val="FootnoteText"/>
              <w:spacing w:after="120"/>
              <w:jc w:val="both"/>
              <w:rPr>
                <w:noProof/>
                <w:sz w:val="21"/>
                <w:szCs w:val="21"/>
              </w:rPr>
            </w:pPr>
            <w:r w:rsidRPr="00143775">
              <w:rPr>
                <w:noProof/>
                <w:sz w:val="21"/>
                <w:szCs w:val="21"/>
              </w:rPr>
              <w:t xml:space="preserve">(5) </w:t>
            </w:r>
            <w:r w:rsidR="00D926F0">
              <w:rPr>
                <w:noProof/>
                <w:sz w:val="21"/>
                <w:szCs w:val="21"/>
              </w:rPr>
              <w:t>The administrative costs, including those that fall under the ‘</w:t>
            </w:r>
            <w:r w:rsidR="00D926F0" w:rsidRPr="00143775">
              <w:rPr>
                <w:noProof/>
                <w:sz w:val="21"/>
                <w:szCs w:val="21"/>
              </w:rPr>
              <w:t>One In, One Out</w:t>
            </w:r>
            <w:r w:rsidR="00D926F0">
              <w:rPr>
                <w:noProof/>
                <w:sz w:val="21"/>
                <w:szCs w:val="21"/>
              </w:rPr>
              <w:t>’ approach,</w:t>
            </w:r>
            <w:r w:rsidR="00D926F0" w:rsidRPr="00143775">
              <w:rPr>
                <w:noProof/>
                <w:sz w:val="21"/>
                <w:szCs w:val="21"/>
              </w:rPr>
              <w:t xml:space="preserve"> </w:t>
            </w:r>
            <w:r w:rsidR="00D926F0">
              <w:rPr>
                <w:noProof/>
                <w:sz w:val="21"/>
                <w:szCs w:val="21"/>
              </w:rPr>
              <w:t xml:space="preserve">are presented in a </w:t>
            </w:r>
            <w:r w:rsidR="00D926F0" w:rsidRPr="00143775">
              <w:rPr>
                <w:noProof/>
                <w:sz w:val="21"/>
                <w:szCs w:val="21"/>
              </w:rPr>
              <w:t>clearer and comparable way</w:t>
            </w:r>
            <w:r w:rsidR="00D926F0">
              <w:rPr>
                <w:noProof/>
                <w:sz w:val="21"/>
                <w:szCs w:val="21"/>
              </w:rPr>
              <w:t xml:space="preserve"> in section 8.3 of the revised IA report</w:t>
            </w:r>
            <w:r w:rsidR="00D926F0" w:rsidRPr="00143775">
              <w:rPr>
                <w:noProof/>
                <w:sz w:val="21"/>
                <w:szCs w:val="21"/>
              </w:rPr>
              <w:t>.</w:t>
            </w:r>
          </w:p>
        </w:tc>
      </w:tr>
      <w:tr w:rsidR="00F61DEB" w:rsidRPr="00D71008" w14:paraId="654F0F5F" w14:textId="77777777" w:rsidTr="00456646">
        <w:trPr>
          <w:trHeight w:val="300"/>
        </w:trPr>
        <w:tc>
          <w:tcPr>
            <w:tcW w:w="3539" w:type="dxa"/>
            <w:shd w:val="clear" w:color="auto" w:fill="FFFFFF" w:themeFill="background1"/>
          </w:tcPr>
          <w:p w14:paraId="182955C5" w14:textId="77777777" w:rsidR="00EC2E10" w:rsidRPr="00143775" w:rsidRDefault="00EC2E10">
            <w:pPr>
              <w:pStyle w:val="FootnoteText"/>
              <w:spacing w:after="120"/>
              <w:jc w:val="both"/>
              <w:rPr>
                <w:noProof/>
                <w:sz w:val="21"/>
                <w:szCs w:val="21"/>
              </w:rPr>
            </w:pPr>
            <w:r w:rsidRPr="00143775">
              <w:rPr>
                <w:noProof/>
                <w:sz w:val="21"/>
                <w:szCs w:val="21"/>
              </w:rPr>
              <w:t>(1) The report should explain better the divergent views of different groups of stakeholders, in particular, on the identified problems, their drivers and the proposed policy options. (2) The report should be more open and nuanced about the limitations of marrying a limited evidence base to ambitious policy measures. (3) It should include a strengthened proportionality assessment regarding mandatory sales and service agreements. (4) Given that no single preferred option is identified, the report should better inform the decision makers in terms of the pros and cons of the two short-listed preferred options.</w:t>
            </w:r>
          </w:p>
        </w:tc>
        <w:tc>
          <w:tcPr>
            <w:tcW w:w="6064" w:type="dxa"/>
            <w:shd w:val="clear" w:color="auto" w:fill="FFFFFF" w:themeFill="background1"/>
          </w:tcPr>
          <w:p w14:paraId="04CC2283" w14:textId="5E25F768" w:rsidR="00EC2E10" w:rsidRPr="00143775" w:rsidRDefault="00EC2E10">
            <w:pPr>
              <w:pStyle w:val="FootnoteText"/>
              <w:spacing w:after="120"/>
              <w:jc w:val="both"/>
              <w:rPr>
                <w:noProof/>
                <w:sz w:val="21"/>
                <w:szCs w:val="21"/>
              </w:rPr>
            </w:pPr>
            <w:r w:rsidRPr="00143775">
              <w:rPr>
                <w:noProof/>
                <w:sz w:val="21"/>
                <w:szCs w:val="21"/>
              </w:rPr>
              <w:t xml:space="preserve">(1) The </w:t>
            </w:r>
            <w:r w:rsidR="00164ECD">
              <w:rPr>
                <w:noProof/>
                <w:sz w:val="21"/>
                <w:szCs w:val="21"/>
              </w:rPr>
              <w:t>revised IA</w:t>
            </w:r>
            <w:r w:rsidRPr="00143775">
              <w:rPr>
                <w:noProof/>
                <w:sz w:val="21"/>
                <w:szCs w:val="21"/>
              </w:rPr>
              <w:t xml:space="preserve"> report provide</w:t>
            </w:r>
            <w:r w:rsidR="001C5A5A" w:rsidRPr="00143775">
              <w:rPr>
                <w:noProof/>
                <w:sz w:val="21"/>
                <w:szCs w:val="21"/>
              </w:rPr>
              <w:t>s</w:t>
            </w:r>
            <w:r w:rsidRPr="00143775">
              <w:rPr>
                <w:noProof/>
                <w:sz w:val="21"/>
                <w:szCs w:val="21"/>
              </w:rPr>
              <w:t xml:space="preserve"> additional information on stakeholders’ views on the problems, problem drivers and policy options</w:t>
            </w:r>
            <w:r w:rsidR="001C7B1D">
              <w:rPr>
                <w:noProof/>
                <w:sz w:val="21"/>
                <w:szCs w:val="21"/>
              </w:rPr>
              <w:t xml:space="preserve"> in sections 2</w:t>
            </w:r>
            <w:r w:rsidRPr="00143775">
              <w:rPr>
                <w:noProof/>
                <w:sz w:val="21"/>
                <w:szCs w:val="21"/>
              </w:rPr>
              <w:t xml:space="preserve"> and </w:t>
            </w:r>
            <w:r w:rsidR="001C7B1D">
              <w:rPr>
                <w:noProof/>
                <w:sz w:val="21"/>
                <w:szCs w:val="21"/>
              </w:rPr>
              <w:t>5.2 as well as in Annex 2</w:t>
            </w:r>
            <w:r w:rsidR="00DC61A4">
              <w:rPr>
                <w:noProof/>
                <w:sz w:val="21"/>
                <w:szCs w:val="21"/>
              </w:rPr>
              <w:t>, detailing views per stakeholder group</w:t>
            </w:r>
            <w:r w:rsidRPr="00143775">
              <w:rPr>
                <w:noProof/>
                <w:sz w:val="21"/>
                <w:szCs w:val="21"/>
              </w:rPr>
              <w:t xml:space="preserve">. </w:t>
            </w:r>
          </w:p>
          <w:p w14:paraId="2654BB0E" w14:textId="1A07229E" w:rsidR="00EC2E10" w:rsidRPr="00143775" w:rsidRDefault="00EC2E10">
            <w:pPr>
              <w:pStyle w:val="FootnoteText"/>
              <w:spacing w:after="120"/>
              <w:jc w:val="both"/>
              <w:rPr>
                <w:rFonts w:eastAsia="Calibri"/>
                <w:noProof/>
                <w:sz w:val="21"/>
                <w:szCs w:val="21"/>
              </w:rPr>
            </w:pPr>
            <w:r w:rsidRPr="00143775">
              <w:rPr>
                <w:noProof/>
                <w:sz w:val="21"/>
                <w:szCs w:val="21"/>
              </w:rPr>
              <w:t xml:space="preserve">(2) </w:t>
            </w:r>
            <w:r w:rsidRPr="00143775">
              <w:rPr>
                <w:rFonts w:eastAsia="Calibri"/>
                <w:noProof/>
                <w:sz w:val="21"/>
                <w:szCs w:val="21"/>
              </w:rPr>
              <w:t xml:space="preserve">The </w:t>
            </w:r>
            <w:r w:rsidR="008B688A">
              <w:rPr>
                <w:rFonts w:eastAsia="Calibri"/>
                <w:noProof/>
                <w:sz w:val="21"/>
                <w:szCs w:val="21"/>
              </w:rPr>
              <w:t xml:space="preserve">revised IA </w:t>
            </w:r>
            <w:r w:rsidRPr="00143775">
              <w:rPr>
                <w:rFonts w:eastAsia="Calibri"/>
                <w:noProof/>
                <w:sz w:val="21"/>
                <w:szCs w:val="21"/>
              </w:rPr>
              <w:t>report provide</w:t>
            </w:r>
            <w:r w:rsidR="001C5A5A" w:rsidRPr="00143775">
              <w:rPr>
                <w:rFonts w:eastAsia="Calibri"/>
                <w:noProof/>
                <w:sz w:val="21"/>
                <w:szCs w:val="21"/>
              </w:rPr>
              <w:t>s</w:t>
            </w:r>
            <w:r w:rsidRPr="00143775">
              <w:rPr>
                <w:rFonts w:eastAsia="Calibri"/>
                <w:noProof/>
                <w:sz w:val="21"/>
                <w:szCs w:val="21"/>
              </w:rPr>
              <w:t xml:space="preserve"> </w:t>
            </w:r>
            <w:r w:rsidR="0035599F">
              <w:rPr>
                <w:rFonts w:eastAsia="Calibri"/>
                <w:noProof/>
                <w:sz w:val="21"/>
                <w:szCs w:val="21"/>
              </w:rPr>
              <w:t>more</w:t>
            </w:r>
            <w:r w:rsidRPr="00143775">
              <w:rPr>
                <w:rFonts w:eastAsia="Calibri"/>
                <w:noProof/>
                <w:sz w:val="21"/>
                <w:szCs w:val="21"/>
              </w:rPr>
              <w:t xml:space="preserve"> evidence</w:t>
            </w:r>
            <w:r w:rsidR="008B688A">
              <w:rPr>
                <w:rFonts w:eastAsia="Calibri"/>
                <w:noProof/>
                <w:sz w:val="21"/>
                <w:szCs w:val="21"/>
              </w:rPr>
              <w:t xml:space="preserve"> </w:t>
            </w:r>
            <w:r w:rsidR="00E20736">
              <w:rPr>
                <w:rFonts w:eastAsia="Calibri"/>
                <w:noProof/>
                <w:sz w:val="21"/>
                <w:szCs w:val="21"/>
              </w:rPr>
              <w:t xml:space="preserve">(e.g. a Eurobarometer survey </w:t>
            </w:r>
            <w:r w:rsidR="007F7BAB">
              <w:rPr>
                <w:rFonts w:eastAsia="Calibri"/>
                <w:noProof/>
                <w:sz w:val="21"/>
                <w:szCs w:val="21"/>
              </w:rPr>
              <w:t>outlining the</w:t>
            </w:r>
            <w:r w:rsidR="00E20736">
              <w:rPr>
                <w:rFonts w:eastAsia="Calibri"/>
                <w:noProof/>
                <w:sz w:val="21"/>
                <w:szCs w:val="21"/>
              </w:rPr>
              <w:t xml:space="preserve"> barriers in booking </w:t>
            </w:r>
            <w:r w:rsidR="00A13F6E">
              <w:rPr>
                <w:rFonts w:eastAsia="Calibri"/>
                <w:noProof/>
                <w:sz w:val="21"/>
                <w:szCs w:val="21"/>
              </w:rPr>
              <w:t>travel options for a representative sample of EU citizens, an a</w:t>
            </w:r>
            <w:r w:rsidR="00C442D2">
              <w:rPr>
                <w:rFonts w:eastAsia="Calibri"/>
                <w:noProof/>
                <w:sz w:val="21"/>
                <w:szCs w:val="21"/>
              </w:rPr>
              <w:t xml:space="preserve">nalysis of </w:t>
            </w:r>
            <w:r w:rsidR="006C4C39">
              <w:rPr>
                <w:rFonts w:eastAsia="Calibri"/>
                <w:noProof/>
                <w:sz w:val="21"/>
                <w:szCs w:val="21"/>
              </w:rPr>
              <w:t>existing travel options on 100 E</w:t>
            </w:r>
            <w:r w:rsidR="001E5571">
              <w:rPr>
                <w:rFonts w:eastAsia="Calibri"/>
                <w:noProof/>
                <w:sz w:val="21"/>
                <w:szCs w:val="21"/>
              </w:rPr>
              <w:t>U</w:t>
            </w:r>
            <w:r w:rsidR="006C4C39">
              <w:rPr>
                <w:rFonts w:eastAsia="Calibri"/>
                <w:noProof/>
                <w:sz w:val="21"/>
                <w:szCs w:val="21"/>
              </w:rPr>
              <w:t xml:space="preserve"> routes, report</w:t>
            </w:r>
            <w:r w:rsidR="001E5BF4">
              <w:rPr>
                <w:rFonts w:eastAsia="Calibri"/>
                <w:noProof/>
                <w:sz w:val="21"/>
                <w:szCs w:val="21"/>
              </w:rPr>
              <w:t>s</w:t>
            </w:r>
            <w:r w:rsidR="006C4C39">
              <w:rPr>
                <w:rFonts w:eastAsia="Calibri"/>
                <w:noProof/>
                <w:sz w:val="21"/>
                <w:szCs w:val="21"/>
              </w:rPr>
              <w:t xml:space="preserve"> on competition case</w:t>
            </w:r>
            <w:r w:rsidR="001E5BF4">
              <w:rPr>
                <w:rFonts w:eastAsia="Calibri"/>
                <w:noProof/>
                <w:sz w:val="21"/>
                <w:szCs w:val="21"/>
              </w:rPr>
              <w:t>s</w:t>
            </w:r>
            <w:r w:rsidR="006C4C39">
              <w:rPr>
                <w:rFonts w:eastAsia="Calibri"/>
                <w:noProof/>
                <w:sz w:val="21"/>
                <w:szCs w:val="21"/>
              </w:rPr>
              <w:t xml:space="preserve"> reflecting abuse of dominance, etc.) </w:t>
            </w:r>
            <w:r w:rsidR="008B688A">
              <w:rPr>
                <w:rFonts w:eastAsia="Calibri"/>
                <w:noProof/>
                <w:sz w:val="21"/>
                <w:szCs w:val="21"/>
              </w:rPr>
              <w:t>for the problems and problem drivers identified</w:t>
            </w:r>
            <w:r w:rsidRPr="00143775">
              <w:rPr>
                <w:rFonts w:eastAsia="Calibri"/>
                <w:noProof/>
                <w:sz w:val="21"/>
                <w:szCs w:val="21"/>
              </w:rPr>
              <w:t>, matching the ambition of the policy measures.</w:t>
            </w:r>
          </w:p>
          <w:p w14:paraId="1B98DC28" w14:textId="47B35418" w:rsidR="00EC2E10" w:rsidRPr="00143775" w:rsidRDefault="00EC2E10">
            <w:pPr>
              <w:pStyle w:val="FootnoteText"/>
              <w:spacing w:after="120"/>
              <w:jc w:val="both"/>
              <w:rPr>
                <w:noProof/>
                <w:sz w:val="21"/>
                <w:szCs w:val="21"/>
              </w:rPr>
            </w:pPr>
            <w:r w:rsidRPr="00143775">
              <w:rPr>
                <w:noProof/>
                <w:sz w:val="21"/>
                <w:szCs w:val="21"/>
              </w:rPr>
              <w:t xml:space="preserve">(3) The </w:t>
            </w:r>
            <w:r w:rsidR="008D00D5">
              <w:rPr>
                <w:noProof/>
                <w:sz w:val="21"/>
                <w:szCs w:val="21"/>
              </w:rPr>
              <w:t>revised IA</w:t>
            </w:r>
            <w:r w:rsidRPr="00143775">
              <w:rPr>
                <w:noProof/>
                <w:sz w:val="21"/>
                <w:szCs w:val="21"/>
              </w:rPr>
              <w:t xml:space="preserve"> report also review</w:t>
            </w:r>
            <w:r w:rsidR="001C5A5A" w:rsidRPr="00143775">
              <w:rPr>
                <w:noProof/>
                <w:sz w:val="21"/>
                <w:szCs w:val="21"/>
              </w:rPr>
              <w:t>s</w:t>
            </w:r>
            <w:r w:rsidRPr="00143775">
              <w:rPr>
                <w:noProof/>
                <w:sz w:val="21"/>
                <w:szCs w:val="21"/>
              </w:rPr>
              <w:t xml:space="preserve"> the policy measures and options, limiting obligations on mandatory sales and service agreements to certain platforms and </w:t>
            </w:r>
            <w:r w:rsidR="001358ED" w:rsidRPr="00255F89">
              <w:rPr>
                <w:noProof/>
                <w:sz w:val="21"/>
                <w:szCs w:val="21"/>
              </w:rPr>
              <w:t>RU</w:t>
            </w:r>
            <w:r w:rsidRPr="00255F89">
              <w:rPr>
                <w:noProof/>
                <w:sz w:val="21"/>
                <w:szCs w:val="21"/>
              </w:rPr>
              <w:t>s</w:t>
            </w:r>
            <w:r w:rsidRPr="00143775">
              <w:rPr>
                <w:noProof/>
                <w:sz w:val="21"/>
                <w:szCs w:val="21"/>
              </w:rPr>
              <w:t xml:space="preserve"> who hold a strong market position</w:t>
            </w:r>
            <w:r w:rsidR="00275C82">
              <w:rPr>
                <w:noProof/>
                <w:sz w:val="21"/>
                <w:szCs w:val="21"/>
              </w:rPr>
              <w:t xml:space="preserve"> (indispensable ones)</w:t>
            </w:r>
            <w:r w:rsidRPr="00143775">
              <w:rPr>
                <w:noProof/>
                <w:sz w:val="21"/>
                <w:szCs w:val="21"/>
              </w:rPr>
              <w:t xml:space="preserve">. The </w:t>
            </w:r>
            <w:r w:rsidR="00D046DC">
              <w:rPr>
                <w:noProof/>
                <w:sz w:val="21"/>
                <w:szCs w:val="21"/>
              </w:rPr>
              <w:t>revised IA</w:t>
            </w:r>
            <w:r w:rsidRPr="00143775">
              <w:rPr>
                <w:noProof/>
                <w:sz w:val="21"/>
                <w:szCs w:val="21"/>
              </w:rPr>
              <w:t xml:space="preserve"> report justif</w:t>
            </w:r>
            <w:r w:rsidR="00BE3C03" w:rsidRPr="00143775">
              <w:rPr>
                <w:noProof/>
                <w:sz w:val="21"/>
                <w:szCs w:val="21"/>
              </w:rPr>
              <w:t>ies</w:t>
            </w:r>
            <w:r w:rsidRPr="00143775">
              <w:rPr>
                <w:noProof/>
                <w:sz w:val="21"/>
                <w:szCs w:val="21"/>
              </w:rPr>
              <w:t xml:space="preserve"> </w:t>
            </w:r>
            <w:r w:rsidR="00D046DC">
              <w:rPr>
                <w:noProof/>
                <w:sz w:val="21"/>
                <w:szCs w:val="21"/>
              </w:rPr>
              <w:t>the</w:t>
            </w:r>
            <w:r w:rsidRPr="00143775">
              <w:rPr>
                <w:noProof/>
                <w:sz w:val="21"/>
                <w:szCs w:val="21"/>
              </w:rPr>
              <w:t xml:space="preserve"> proxies or thresholds used for assessing this market position</w:t>
            </w:r>
            <w:r w:rsidR="00D046DC">
              <w:rPr>
                <w:noProof/>
                <w:sz w:val="21"/>
                <w:szCs w:val="21"/>
              </w:rPr>
              <w:t xml:space="preserve"> in section 5.2</w:t>
            </w:r>
            <w:r w:rsidRPr="00143775">
              <w:rPr>
                <w:noProof/>
                <w:sz w:val="21"/>
                <w:szCs w:val="21"/>
              </w:rPr>
              <w:t xml:space="preserve">. </w:t>
            </w:r>
            <w:r w:rsidR="00FD111E">
              <w:rPr>
                <w:noProof/>
                <w:sz w:val="21"/>
                <w:szCs w:val="21"/>
              </w:rPr>
              <w:t>and presents a sensitivity analysis on the thresholds for B2C MDMS platforms</w:t>
            </w:r>
            <w:r w:rsidR="0072100C">
              <w:rPr>
                <w:noProof/>
                <w:sz w:val="21"/>
                <w:szCs w:val="21"/>
              </w:rPr>
              <w:t xml:space="preserve"> in section 7.6</w:t>
            </w:r>
            <w:r w:rsidR="00FD111E">
              <w:rPr>
                <w:noProof/>
                <w:sz w:val="21"/>
                <w:szCs w:val="21"/>
              </w:rPr>
              <w:t>.</w:t>
            </w:r>
          </w:p>
          <w:p w14:paraId="5242BCBA" w14:textId="7AEE42AA" w:rsidR="00EC2E10" w:rsidRPr="00143775" w:rsidRDefault="00EC2E10">
            <w:pPr>
              <w:pStyle w:val="FootnoteText"/>
              <w:spacing w:after="120"/>
              <w:jc w:val="both"/>
              <w:rPr>
                <w:noProof/>
                <w:sz w:val="21"/>
                <w:szCs w:val="21"/>
              </w:rPr>
            </w:pPr>
            <w:r w:rsidRPr="00143775">
              <w:rPr>
                <w:noProof/>
                <w:sz w:val="21"/>
                <w:szCs w:val="21"/>
              </w:rPr>
              <w:t xml:space="preserve">(4) The report </w:t>
            </w:r>
            <w:r w:rsidR="002547BD">
              <w:rPr>
                <w:noProof/>
                <w:sz w:val="21"/>
                <w:szCs w:val="21"/>
              </w:rPr>
              <w:t>identifies</w:t>
            </w:r>
            <w:r w:rsidR="002547BD" w:rsidRPr="00143775">
              <w:rPr>
                <w:noProof/>
                <w:sz w:val="21"/>
                <w:szCs w:val="21"/>
              </w:rPr>
              <w:t xml:space="preserve"> </w:t>
            </w:r>
            <w:r w:rsidRPr="00143775">
              <w:rPr>
                <w:noProof/>
                <w:sz w:val="21"/>
                <w:szCs w:val="21"/>
              </w:rPr>
              <w:t xml:space="preserve">one preferred policy option, </w:t>
            </w:r>
            <w:r w:rsidR="002547BD">
              <w:rPr>
                <w:noProof/>
                <w:sz w:val="21"/>
                <w:szCs w:val="21"/>
              </w:rPr>
              <w:t xml:space="preserve">standing out as the most </w:t>
            </w:r>
            <w:r w:rsidR="00A8344E">
              <w:rPr>
                <w:noProof/>
                <w:sz w:val="21"/>
                <w:szCs w:val="21"/>
              </w:rPr>
              <w:t>effective and efficient policy option assessed</w:t>
            </w:r>
            <w:r w:rsidRPr="00143775">
              <w:rPr>
                <w:noProof/>
                <w:sz w:val="21"/>
                <w:szCs w:val="21"/>
              </w:rPr>
              <w:t xml:space="preserve">. </w:t>
            </w:r>
          </w:p>
        </w:tc>
      </w:tr>
    </w:tbl>
    <w:p w14:paraId="23062B6B" w14:textId="1F2AFD01" w:rsidR="00D1134C" w:rsidRDefault="003B745B" w:rsidP="00360027">
      <w:pPr>
        <w:pStyle w:val="BodyText"/>
        <w:spacing w:before="240" w:after="240"/>
        <w:ind w:left="0" w:right="113"/>
        <w:rPr>
          <w:noProof/>
          <w:spacing w:val="-8"/>
        </w:rPr>
      </w:pPr>
      <w:bookmarkStart w:id="252" w:name="_Toc220667517"/>
      <w:bookmarkStart w:id="253" w:name="_Toc222313507"/>
      <w:bookmarkStart w:id="254" w:name="_Toc222749028"/>
      <w:bookmarkStart w:id="255" w:name="_Toc223980001"/>
      <w:r>
        <w:rPr>
          <w:noProof/>
          <w:spacing w:val="-8"/>
        </w:rPr>
        <w:t xml:space="preserve">The Regulatory Scrutiny Board </w:t>
      </w:r>
      <w:r w:rsidR="00D1134C" w:rsidRPr="008354FD">
        <w:rPr>
          <w:noProof/>
          <w:spacing w:val="-8"/>
        </w:rPr>
        <w:t xml:space="preserve">issued a </w:t>
      </w:r>
      <w:r w:rsidR="00954DF5">
        <w:rPr>
          <w:noProof/>
          <w:spacing w:val="-8"/>
        </w:rPr>
        <w:t xml:space="preserve">second </w:t>
      </w:r>
      <w:r w:rsidR="00D1134C" w:rsidRPr="00D1134C">
        <w:rPr>
          <w:noProof/>
          <w:spacing w:val="-8"/>
        </w:rPr>
        <w:t>positive</w:t>
      </w:r>
      <w:r w:rsidR="00D1134C" w:rsidRPr="008354FD">
        <w:rPr>
          <w:noProof/>
          <w:spacing w:val="-8"/>
        </w:rPr>
        <w:t xml:space="preserve"> opinion with reservations on </w:t>
      </w:r>
      <w:r>
        <w:rPr>
          <w:noProof/>
          <w:spacing w:val="-8"/>
        </w:rPr>
        <w:t>13 April 2026</w:t>
      </w:r>
      <w:r w:rsidR="00D1134C" w:rsidRPr="008354FD">
        <w:rPr>
          <w:noProof/>
          <w:spacing w:val="-8"/>
        </w:rPr>
        <w:t xml:space="preserve">. </w:t>
      </w:r>
      <w:r w:rsidRPr="00DF70A6">
        <w:rPr>
          <w:noProof/>
          <w:spacing w:val="-8"/>
        </w:rPr>
        <w:t>The Board made several</w:t>
      </w:r>
      <w:r w:rsidR="00D1134C" w:rsidRPr="00DF70A6">
        <w:rPr>
          <w:noProof/>
          <w:spacing w:val="-8"/>
        </w:rPr>
        <w:t xml:space="preserve"> recommendations </w:t>
      </w:r>
      <w:r w:rsidRPr="00DF70A6">
        <w:rPr>
          <w:noProof/>
          <w:spacing w:val="-8"/>
        </w:rPr>
        <w:t xml:space="preserve">which </w:t>
      </w:r>
      <w:r w:rsidR="00D1134C" w:rsidRPr="00DF70A6">
        <w:rPr>
          <w:noProof/>
          <w:spacing w:val="-8"/>
        </w:rPr>
        <w:t xml:space="preserve">were </w:t>
      </w:r>
      <w:r w:rsidRPr="00DF70A6">
        <w:rPr>
          <w:noProof/>
          <w:spacing w:val="-8"/>
        </w:rPr>
        <w:t>addressed</w:t>
      </w:r>
      <w:r w:rsidR="00D1134C" w:rsidRPr="00DF70A6">
        <w:rPr>
          <w:noProof/>
          <w:spacing w:val="-8"/>
        </w:rPr>
        <w:t xml:space="preserve"> in the revised </w:t>
      </w:r>
      <w:r w:rsidRPr="00DF70A6">
        <w:rPr>
          <w:noProof/>
          <w:spacing w:val="-8"/>
        </w:rPr>
        <w:t>impact assessment</w:t>
      </w:r>
      <w:r w:rsidR="00D1134C" w:rsidRPr="00DF70A6">
        <w:rPr>
          <w:noProof/>
          <w:spacing w:val="-8"/>
        </w:rPr>
        <w:t xml:space="preserve"> report as </w:t>
      </w:r>
      <w:r>
        <w:rPr>
          <w:noProof/>
          <w:spacing w:val="-8"/>
        </w:rPr>
        <w:t>explained</w:t>
      </w:r>
      <w:r w:rsidR="00D1134C">
        <w:rPr>
          <w:noProof/>
          <w:spacing w:val="-8"/>
        </w:rPr>
        <w:t xml:space="preserve"> in the table below.</w:t>
      </w:r>
      <w:r>
        <w:rPr>
          <w:noProof/>
          <w:spacing w:val="-8"/>
        </w:rPr>
        <w:t xml:space="preserve"> </w:t>
      </w:r>
    </w:p>
    <w:p w14:paraId="22D61EC7" w14:textId="346B98EE" w:rsidR="00D667A5" w:rsidRPr="00972D36" w:rsidRDefault="00D667A5" w:rsidP="00D667A5">
      <w:pPr>
        <w:pStyle w:val="BodyText"/>
        <w:spacing w:before="17"/>
        <w:ind w:left="0" w:right="115"/>
        <w:rPr>
          <w:noProof/>
          <w:sz w:val="22"/>
          <w:szCs w:val="22"/>
        </w:rPr>
      </w:pPr>
      <w:r w:rsidRPr="00972D36">
        <w:rPr>
          <w:i/>
          <w:noProof/>
          <w:sz w:val="22"/>
          <w:szCs w:val="22"/>
        </w:rPr>
        <w:t xml:space="preserve">Table </w:t>
      </w:r>
      <w:r w:rsidRPr="00972D36">
        <w:rPr>
          <w:i/>
          <w:noProof/>
          <w:sz w:val="22"/>
          <w:szCs w:val="22"/>
        </w:rPr>
        <w:fldChar w:fldCharType="begin"/>
      </w:r>
      <w:r w:rsidRPr="00972D36">
        <w:rPr>
          <w:i/>
          <w:noProof/>
          <w:sz w:val="22"/>
          <w:szCs w:val="22"/>
        </w:rPr>
        <w:instrText xml:space="preserve"> SEQ Table \* ARABIC </w:instrText>
      </w:r>
      <w:r w:rsidRPr="00972D36">
        <w:rPr>
          <w:i/>
          <w:noProof/>
          <w:sz w:val="22"/>
          <w:szCs w:val="22"/>
        </w:rPr>
        <w:fldChar w:fldCharType="separate"/>
      </w:r>
      <w:r w:rsidR="0055391F">
        <w:rPr>
          <w:i/>
          <w:noProof/>
          <w:sz w:val="22"/>
          <w:szCs w:val="22"/>
        </w:rPr>
        <w:t>32</w:t>
      </w:r>
      <w:r w:rsidRPr="00972D36">
        <w:rPr>
          <w:i/>
          <w:noProof/>
          <w:sz w:val="22"/>
          <w:szCs w:val="22"/>
        </w:rPr>
        <w:fldChar w:fldCharType="end"/>
      </w:r>
      <w:r w:rsidRPr="00972D36">
        <w:rPr>
          <w:i/>
          <w:noProof/>
          <w:sz w:val="22"/>
          <w:szCs w:val="22"/>
        </w:rPr>
        <w:t xml:space="preserve">: Modification of the </w:t>
      </w:r>
      <w:r w:rsidRPr="00972D36">
        <w:rPr>
          <w:i/>
          <w:iCs/>
          <w:noProof/>
          <w:sz w:val="22"/>
          <w:szCs w:val="22"/>
        </w:rPr>
        <w:t>impact assessment (</w:t>
      </w:r>
      <w:r w:rsidRPr="00972D36">
        <w:rPr>
          <w:i/>
          <w:noProof/>
          <w:sz w:val="22"/>
          <w:szCs w:val="22"/>
        </w:rPr>
        <w:t>IA</w:t>
      </w:r>
      <w:r w:rsidRPr="00972D36">
        <w:rPr>
          <w:i/>
          <w:iCs/>
          <w:noProof/>
          <w:sz w:val="22"/>
          <w:szCs w:val="22"/>
        </w:rPr>
        <w:t>)</w:t>
      </w:r>
      <w:r w:rsidRPr="00972D36">
        <w:rPr>
          <w:i/>
          <w:noProof/>
          <w:sz w:val="22"/>
          <w:szCs w:val="22"/>
        </w:rPr>
        <w:t xml:space="preserve"> report in response to RSB</w:t>
      </w:r>
      <w:r>
        <w:rPr>
          <w:i/>
          <w:noProof/>
          <w:sz w:val="22"/>
          <w:szCs w:val="22"/>
        </w:rPr>
        <w:t xml:space="preserve"> second set of</w:t>
      </w:r>
      <w:r w:rsidRPr="00972D36">
        <w:rPr>
          <w:i/>
          <w:noProof/>
          <w:sz w:val="22"/>
          <w:szCs w:val="22"/>
        </w:rPr>
        <w:t xml:space="preserve"> recommendations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064"/>
      </w:tblGrid>
      <w:tr w:rsidR="00D667A5" w:rsidRPr="00D71008" w14:paraId="4C8DF618" w14:textId="77777777" w:rsidTr="0D11AB3E">
        <w:trPr>
          <w:tblHeader/>
        </w:trPr>
        <w:tc>
          <w:tcPr>
            <w:tcW w:w="3539" w:type="dxa"/>
            <w:tcBorders>
              <w:top w:val="single" w:sz="4" w:space="0" w:color="auto"/>
              <w:left w:val="single" w:sz="4" w:space="0" w:color="auto"/>
              <w:bottom w:val="single" w:sz="4" w:space="0" w:color="auto"/>
              <w:right w:val="single" w:sz="4" w:space="0" w:color="auto"/>
            </w:tcBorders>
            <w:shd w:val="clear" w:color="auto" w:fill="4F81BD" w:themeFill="accent1"/>
          </w:tcPr>
          <w:p w14:paraId="00B56012" w14:textId="77777777" w:rsidR="00D667A5" w:rsidRPr="00143775" w:rsidRDefault="00D667A5" w:rsidP="00D667A5">
            <w:pPr>
              <w:spacing w:after="120"/>
              <w:jc w:val="center"/>
              <w:rPr>
                <w:b/>
                <w:noProof/>
                <w:color w:val="FFFFFF" w:themeColor="background1"/>
                <w:sz w:val="21"/>
                <w:szCs w:val="21"/>
              </w:rPr>
            </w:pPr>
            <w:r w:rsidRPr="00143775">
              <w:rPr>
                <w:b/>
                <w:noProof/>
                <w:color w:val="FFFFFF" w:themeColor="background1"/>
                <w:sz w:val="21"/>
                <w:szCs w:val="21"/>
              </w:rPr>
              <w:t>Detailed RSB comments</w:t>
            </w:r>
          </w:p>
        </w:tc>
        <w:tc>
          <w:tcPr>
            <w:tcW w:w="6064" w:type="dxa"/>
            <w:tcBorders>
              <w:top w:val="single" w:sz="4" w:space="0" w:color="auto"/>
              <w:left w:val="single" w:sz="4" w:space="0" w:color="auto"/>
              <w:bottom w:val="single" w:sz="4" w:space="0" w:color="auto"/>
              <w:right w:val="single" w:sz="4" w:space="0" w:color="auto"/>
            </w:tcBorders>
            <w:shd w:val="clear" w:color="auto" w:fill="4F81BD" w:themeFill="accent1"/>
          </w:tcPr>
          <w:p w14:paraId="4933353B" w14:textId="77777777" w:rsidR="00D667A5" w:rsidRPr="00143775" w:rsidRDefault="00D667A5" w:rsidP="00D667A5">
            <w:pPr>
              <w:spacing w:after="120"/>
              <w:ind w:left="360"/>
              <w:jc w:val="center"/>
              <w:rPr>
                <w:b/>
                <w:noProof/>
                <w:color w:val="FFFFFF" w:themeColor="background1"/>
                <w:sz w:val="21"/>
                <w:szCs w:val="21"/>
              </w:rPr>
            </w:pPr>
            <w:r w:rsidRPr="00143775">
              <w:rPr>
                <w:b/>
                <w:noProof/>
                <w:color w:val="FFFFFF" w:themeColor="background1"/>
                <w:sz w:val="21"/>
                <w:szCs w:val="21"/>
              </w:rPr>
              <w:t>How the comments were addressed</w:t>
            </w:r>
          </w:p>
        </w:tc>
      </w:tr>
      <w:tr w:rsidR="00D667A5" w:rsidRPr="00D71008" w14:paraId="571E5878" w14:textId="77777777" w:rsidTr="0D11AB3E">
        <w:trPr>
          <w:trHeight w:val="300"/>
        </w:trPr>
        <w:tc>
          <w:tcPr>
            <w:tcW w:w="0" w:type="auto"/>
            <w:gridSpan w:val="2"/>
            <w:tcBorders>
              <w:bottom w:val="single" w:sz="4" w:space="0" w:color="FFFFFF" w:themeColor="background1"/>
            </w:tcBorders>
            <w:shd w:val="clear" w:color="auto" w:fill="DAEEF3" w:themeFill="accent5" w:themeFillTint="33"/>
          </w:tcPr>
          <w:p w14:paraId="7D26DDF7" w14:textId="77777777" w:rsidR="00D667A5" w:rsidRPr="00143775" w:rsidRDefault="00D667A5" w:rsidP="00D667A5">
            <w:pPr>
              <w:spacing w:after="120"/>
              <w:jc w:val="center"/>
              <w:rPr>
                <w:b/>
                <w:noProof/>
                <w:sz w:val="21"/>
                <w:szCs w:val="21"/>
              </w:rPr>
            </w:pPr>
            <w:r w:rsidRPr="00143775">
              <w:rPr>
                <w:b/>
                <w:noProof/>
                <w:sz w:val="21"/>
                <w:szCs w:val="21"/>
              </w:rPr>
              <w:t>Summary of findings</w:t>
            </w:r>
          </w:p>
        </w:tc>
      </w:tr>
      <w:tr w:rsidR="00D667A5" w:rsidRPr="00D71008" w14:paraId="6D64296E" w14:textId="77777777" w:rsidTr="0081046D">
        <w:trPr>
          <w:trHeight w:val="300"/>
        </w:trPr>
        <w:tc>
          <w:tcPr>
            <w:tcW w:w="3539" w:type="dxa"/>
            <w:tcBorders>
              <w:top w:val="single" w:sz="4" w:space="0" w:color="auto"/>
              <w:left w:val="single" w:sz="4" w:space="0" w:color="auto"/>
              <w:bottom w:val="single" w:sz="4" w:space="0" w:color="auto"/>
              <w:right w:val="single" w:sz="4" w:space="0" w:color="auto"/>
            </w:tcBorders>
          </w:tcPr>
          <w:p w14:paraId="3D0B1D63" w14:textId="07AC1723" w:rsidR="00D667A5" w:rsidRPr="00143775" w:rsidRDefault="002555F6" w:rsidP="00D667A5">
            <w:pPr>
              <w:adjustRightInd w:val="0"/>
              <w:spacing w:after="120"/>
              <w:jc w:val="both"/>
              <w:rPr>
                <w:noProof/>
                <w:sz w:val="21"/>
                <w:szCs w:val="21"/>
              </w:rPr>
            </w:pPr>
            <w:r w:rsidRPr="002555F6">
              <w:rPr>
                <w:noProof/>
                <w:sz w:val="21"/>
                <w:szCs w:val="21"/>
              </w:rPr>
              <w:t>(1) The report should further clarify the scope of the intervention, including on multi-modal versus rail and the inclusion of mere transport information services versus on-line ticketing.</w:t>
            </w:r>
          </w:p>
        </w:tc>
        <w:tc>
          <w:tcPr>
            <w:tcW w:w="6064" w:type="dxa"/>
            <w:tcBorders>
              <w:top w:val="single" w:sz="4" w:space="0" w:color="auto"/>
              <w:left w:val="single" w:sz="4" w:space="0" w:color="auto"/>
              <w:bottom w:val="single" w:sz="4" w:space="0" w:color="auto"/>
              <w:right w:val="single" w:sz="4" w:space="0" w:color="auto"/>
            </w:tcBorders>
          </w:tcPr>
          <w:p w14:paraId="0B94FABF" w14:textId="2A0D4372" w:rsidR="00D667A5" w:rsidRPr="00143775" w:rsidRDefault="00B22549" w:rsidP="00D667A5">
            <w:pPr>
              <w:spacing w:after="120"/>
              <w:jc w:val="both"/>
              <w:rPr>
                <w:rFonts w:eastAsia="Calibri"/>
                <w:noProof/>
                <w:sz w:val="21"/>
                <w:szCs w:val="21"/>
              </w:rPr>
            </w:pPr>
            <w:r>
              <w:rPr>
                <w:rFonts w:eastAsia="Calibri"/>
                <w:noProof/>
                <w:sz w:val="21"/>
                <w:szCs w:val="21"/>
              </w:rPr>
              <w:t>Section</w:t>
            </w:r>
            <w:r w:rsidR="00F77897">
              <w:rPr>
                <w:rFonts w:eastAsia="Calibri"/>
                <w:noProof/>
                <w:sz w:val="21"/>
                <w:szCs w:val="21"/>
              </w:rPr>
              <w:t xml:space="preserve"> 2</w:t>
            </w:r>
            <w:r w:rsidR="0070382B">
              <w:rPr>
                <w:rFonts w:eastAsia="Calibri"/>
                <w:noProof/>
                <w:sz w:val="21"/>
                <w:szCs w:val="21"/>
              </w:rPr>
              <w:t>,</w:t>
            </w:r>
            <w:r w:rsidR="00F77897">
              <w:rPr>
                <w:rFonts w:eastAsia="Calibri"/>
                <w:noProof/>
                <w:sz w:val="21"/>
                <w:szCs w:val="21"/>
              </w:rPr>
              <w:t xml:space="preserve"> in relation to the problem definition</w:t>
            </w:r>
            <w:r w:rsidR="0070382B">
              <w:rPr>
                <w:rFonts w:eastAsia="Calibri"/>
                <w:noProof/>
                <w:sz w:val="21"/>
                <w:szCs w:val="21"/>
              </w:rPr>
              <w:t>,</w:t>
            </w:r>
            <w:r w:rsidR="00F77897">
              <w:rPr>
                <w:rFonts w:eastAsia="Calibri"/>
                <w:noProof/>
                <w:sz w:val="21"/>
                <w:szCs w:val="21"/>
              </w:rPr>
              <w:t xml:space="preserve"> was revised to clarify </w:t>
            </w:r>
            <w:r w:rsidR="00FE44B1">
              <w:rPr>
                <w:rFonts w:eastAsia="Calibri"/>
                <w:noProof/>
                <w:sz w:val="21"/>
                <w:szCs w:val="21"/>
              </w:rPr>
              <w:t>the scope of the intervention</w:t>
            </w:r>
            <w:r w:rsidR="00A507D7">
              <w:rPr>
                <w:rFonts w:eastAsia="Calibri"/>
                <w:noProof/>
                <w:sz w:val="21"/>
                <w:szCs w:val="21"/>
              </w:rPr>
              <w:t>.</w:t>
            </w:r>
          </w:p>
        </w:tc>
      </w:tr>
      <w:tr w:rsidR="00DB59B7" w:rsidRPr="00D71008" w14:paraId="79C4D67A" w14:textId="77777777" w:rsidTr="0081046D">
        <w:trPr>
          <w:trHeight w:val="300"/>
        </w:trPr>
        <w:tc>
          <w:tcPr>
            <w:tcW w:w="3539" w:type="dxa"/>
            <w:tcBorders>
              <w:top w:val="single" w:sz="4" w:space="0" w:color="auto"/>
              <w:left w:val="single" w:sz="4" w:space="0" w:color="auto"/>
              <w:bottom w:val="single" w:sz="4" w:space="0" w:color="auto"/>
              <w:right w:val="single" w:sz="4" w:space="0" w:color="auto"/>
            </w:tcBorders>
          </w:tcPr>
          <w:p w14:paraId="02F2F240" w14:textId="4A2F6A83" w:rsidR="00DB59B7" w:rsidRPr="002555F6" w:rsidRDefault="00DB59B7" w:rsidP="00A53ED5">
            <w:pPr>
              <w:adjustRightInd w:val="0"/>
              <w:spacing w:after="120"/>
              <w:jc w:val="both"/>
              <w:rPr>
                <w:noProof/>
                <w:sz w:val="21"/>
                <w:szCs w:val="21"/>
              </w:rPr>
            </w:pPr>
            <w:r w:rsidRPr="00DB59B7">
              <w:rPr>
                <w:noProof/>
                <w:sz w:val="21"/>
                <w:szCs w:val="21"/>
              </w:rPr>
              <w:t>(2) The existence and magnitude of the alleged market failure(s) of ‘uneven playing field in the online ticketing market’ and ‘incomplete offer of rail tickets on (rail) platforms’ are not sufficiently demonstrated.</w:t>
            </w:r>
          </w:p>
        </w:tc>
        <w:tc>
          <w:tcPr>
            <w:tcW w:w="6064" w:type="dxa"/>
            <w:tcBorders>
              <w:top w:val="single" w:sz="4" w:space="0" w:color="auto"/>
              <w:left w:val="single" w:sz="4" w:space="0" w:color="auto"/>
              <w:bottom w:val="single" w:sz="4" w:space="0" w:color="auto"/>
              <w:right w:val="single" w:sz="4" w:space="0" w:color="auto"/>
            </w:tcBorders>
          </w:tcPr>
          <w:p w14:paraId="3D442178" w14:textId="38C48D65" w:rsidR="00DB59B7" w:rsidRPr="00143775" w:rsidRDefault="00A507D7" w:rsidP="00A53ED5">
            <w:pPr>
              <w:spacing w:after="120"/>
              <w:jc w:val="both"/>
              <w:rPr>
                <w:rFonts w:eastAsia="Calibri"/>
                <w:noProof/>
                <w:sz w:val="21"/>
                <w:szCs w:val="21"/>
              </w:rPr>
            </w:pPr>
            <w:r>
              <w:rPr>
                <w:rFonts w:eastAsia="Calibri"/>
                <w:noProof/>
                <w:sz w:val="21"/>
                <w:szCs w:val="21"/>
              </w:rPr>
              <w:t xml:space="preserve">Additional information was </w:t>
            </w:r>
            <w:r w:rsidR="00A420A8">
              <w:rPr>
                <w:rFonts w:eastAsia="Calibri"/>
                <w:noProof/>
                <w:sz w:val="21"/>
                <w:szCs w:val="21"/>
              </w:rPr>
              <w:t>added</w:t>
            </w:r>
            <w:r>
              <w:rPr>
                <w:rFonts w:eastAsia="Calibri"/>
                <w:noProof/>
                <w:sz w:val="21"/>
                <w:szCs w:val="21"/>
              </w:rPr>
              <w:t xml:space="preserve"> </w:t>
            </w:r>
            <w:r w:rsidR="00BF740D">
              <w:rPr>
                <w:rFonts w:eastAsia="Calibri"/>
                <w:noProof/>
                <w:sz w:val="21"/>
                <w:szCs w:val="21"/>
              </w:rPr>
              <w:t xml:space="preserve">in </w:t>
            </w:r>
            <w:r w:rsidR="00A420A8">
              <w:rPr>
                <w:rFonts w:eastAsia="Calibri"/>
                <w:noProof/>
                <w:sz w:val="21"/>
                <w:szCs w:val="21"/>
              </w:rPr>
              <w:t>section</w:t>
            </w:r>
            <w:r w:rsidR="00BF740D">
              <w:rPr>
                <w:rFonts w:eastAsia="Calibri"/>
                <w:noProof/>
                <w:sz w:val="21"/>
                <w:szCs w:val="21"/>
              </w:rPr>
              <w:t xml:space="preserve"> 2 to further underpin the existence and magnitude of the </w:t>
            </w:r>
            <w:r w:rsidR="00A3177D">
              <w:rPr>
                <w:rFonts w:eastAsia="Calibri"/>
                <w:noProof/>
                <w:sz w:val="21"/>
                <w:szCs w:val="21"/>
              </w:rPr>
              <w:t>identified</w:t>
            </w:r>
            <w:r w:rsidR="00BF740D">
              <w:rPr>
                <w:rFonts w:eastAsia="Calibri"/>
                <w:noProof/>
                <w:sz w:val="21"/>
                <w:szCs w:val="21"/>
              </w:rPr>
              <w:t xml:space="preserve"> market failures</w:t>
            </w:r>
            <w:r w:rsidR="00A3177D">
              <w:rPr>
                <w:rFonts w:eastAsia="Calibri"/>
                <w:noProof/>
                <w:sz w:val="21"/>
                <w:szCs w:val="21"/>
              </w:rPr>
              <w:t xml:space="preserve"> and the fact that they are </w:t>
            </w:r>
            <w:r w:rsidR="00B1015F">
              <w:rPr>
                <w:rFonts w:eastAsia="Calibri"/>
                <w:noProof/>
                <w:sz w:val="21"/>
                <w:szCs w:val="21"/>
              </w:rPr>
              <w:t xml:space="preserve">likely to remain despite technological developments and </w:t>
            </w:r>
            <w:r w:rsidR="009A0F8E">
              <w:rPr>
                <w:rFonts w:eastAsia="Calibri"/>
                <w:noProof/>
                <w:sz w:val="21"/>
                <w:szCs w:val="21"/>
              </w:rPr>
              <w:t xml:space="preserve">use of artificial intelligence. </w:t>
            </w:r>
          </w:p>
        </w:tc>
      </w:tr>
      <w:tr w:rsidR="00DB59B7" w:rsidRPr="00D71008" w14:paraId="6472D0A4" w14:textId="77777777" w:rsidTr="0081046D">
        <w:trPr>
          <w:trHeight w:val="300"/>
        </w:trPr>
        <w:tc>
          <w:tcPr>
            <w:tcW w:w="3539" w:type="dxa"/>
            <w:tcBorders>
              <w:top w:val="single" w:sz="4" w:space="0" w:color="auto"/>
              <w:left w:val="single" w:sz="4" w:space="0" w:color="auto"/>
              <w:bottom w:val="single" w:sz="4" w:space="0" w:color="auto"/>
              <w:right w:val="single" w:sz="4" w:space="0" w:color="auto"/>
            </w:tcBorders>
          </w:tcPr>
          <w:p w14:paraId="17660FCF" w14:textId="53FAC4E3" w:rsidR="00DB59B7" w:rsidRPr="00DB59B7" w:rsidRDefault="00DB59B7" w:rsidP="00A53ED5">
            <w:pPr>
              <w:adjustRightInd w:val="0"/>
              <w:spacing w:after="120"/>
              <w:jc w:val="both"/>
              <w:rPr>
                <w:noProof/>
                <w:sz w:val="21"/>
                <w:szCs w:val="21"/>
              </w:rPr>
            </w:pPr>
            <w:r w:rsidRPr="00DB59B7">
              <w:rPr>
                <w:noProof/>
                <w:sz w:val="21"/>
                <w:szCs w:val="21"/>
              </w:rPr>
              <w:t>(3) The report does not take into account the limitations of the methodology for estimating the modal shift and the resulting uncertainties which drive the estimation of the benefits and the identification of the preferred option.</w:t>
            </w:r>
          </w:p>
        </w:tc>
        <w:tc>
          <w:tcPr>
            <w:tcW w:w="6064" w:type="dxa"/>
            <w:tcBorders>
              <w:top w:val="single" w:sz="4" w:space="0" w:color="auto"/>
              <w:left w:val="single" w:sz="4" w:space="0" w:color="auto"/>
              <w:bottom w:val="single" w:sz="4" w:space="0" w:color="auto"/>
              <w:right w:val="single" w:sz="4" w:space="0" w:color="auto"/>
            </w:tcBorders>
          </w:tcPr>
          <w:p w14:paraId="417945AD" w14:textId="0B99CCA1" w:rsidR="00DB59B7" w:rsidRPr="00143775" w:rsidRDefault="00DD4F0B" w:rsidP="00A53ED5">
            <w:pPr>
              <w:spacing w:after="120"/>
              <w:jc w:val="both"/>
              <w:rPr>
                <w:rFonts w:eastAsia="Calibri"/>
                <w:noProof/>
                <w:sz w:val="21"/>
                <w:szCs w:val="21"/>
              </w:rPr>
            </w:pPr>
            <w:r>
              <w:rPr>
                <w:rFonts w:eastAsia="Calibri"/>
                <w:noProof/>
                <w:sz w:val="21"/>
                <w:szCs w:val="21"/>
              </w:rPr>
              <w:t>Further explanation</w:t>
            </w:r>
            <w:r w:rsidR="004F462C">
              <w:rPr>
                <w:rFonts w:eastAsia="Calibri"/>
                <w:noProof/>
                <w:sz w:val="21"/>
                <w:szCs w:val="21"/>
              </w:rPr>
              <w:t>s</w:t>
            </w:r>
            <w:r>
              <w:rPr>
                <w:rFonts w:eastAsia="Calibri"/>
                <w:noProof/>
                <w:sz w:val="21"/>
                <w:szCs w:val="21"/>
              </w:rPr>
              <w:t xml:space="preserve"> ha</w:t>
            </w:r>
            <w:r w:rsidR="004F462C">
              <w:rPr>
                <w:rFonts w:eastAsia="Calibri"/>
                <w:noProof/>
                <w:sz w:val="21"/>
                <w:szCs w:val="21"/>
              </w:rPr>
              <w:t>ve</w:t>
            </w:r>
            <w:r>
              <w:rPr>
                <w:rFonts w:eastAsia="Calibri"/>
                <w:noProof/>
                <w:sz w:val="21"/>
                <w:szCs w:val="21"/>
              </w:rPr>
              <w:t xml:space="preserve"> been </w:t>
            </w:r>
            <w:r w:rsidR="0095104B">
              <w:rPr>
                <w:rFonts w:eastAsia="Calibri"/>
                <w:noProof/>
                <w:sz w:val="21"/>
                <w:szCs w:val="21"/>
              </w:rPr>
              <w:t>added</w:t>
            </w:r>
            <w:r w:rsidR="00D323C5">
              <w:rPr>
                <w:rFonts w:eastAsia="Calibri"/>
                <w:noProof/>
                <w:sz w:val="21"/>
                <w:szCs w:val="21"/>
              </w:rPr>
              <w:t xml:space="preserve"> in </w:t>
            </w:r>
            <w:r w:rsidR="0095104B">
              <w:rPr>
                <w:rFonts w:eastAsia="Calibri"/>
                <w:noProof/>
                <w:sz w:val="21"/>
                <w:szCs w:val="21"/>
              </w:rPr>
              <w:t>section</w:t>
            </w:r>
            <w:r w:rsidR="00D323C5">
              <w:rPr>
                <w:rFonts w:eastAsia="Calibri"/>
                <w:noProof/>
                <w:sz w:val="21"/>
                <w:szCs w:val="21"/>
              </w:rPr>
              <w:t xml:space="preserve"> 6</w:t>
            </w:r>
            <w:r w:rsidR="00E46F4D">
              <w:rPr>
                <w:rFonts w:eastAsia="Calibri"/>
                <w:noProof/>
                <w:sz w:val="21"/>
                <w:szCs w:val="21"/>
              </w:rPr>
              <w:t xml:space="preserve"> </w:t>
            </w:r>
            <w:r w:rsidR="00E967DC">
              <w:rPr>
                <w:rFonts w:eastAsia="Calibri"/>
                <w:noProof/>
                <w:sz w:val="21"/>
                <w:szCs w:val="21"/>
              </w:rPr>
              <w:t xml:space="preserve">on the methodology used to </w:t>
            </w:r>
            <w:r w:rsidR="005270E2">
              <w:rPr>
                <w:rFonts w:eastAsia="Calibri"/>
                <w:noProof/>
                <w:sz w:val="21"/>
                <w:szCs w:val="21"/>
              </w:rPr>
              <w:t>quantitatively estimate modal shift deriving fr</w:t>
            </w:r>
            <w:r w:rsidR="00735DE8">
              <w:rPr>
                <w:rFonts w:eastAsia="Calibri"/>
                <w:noProof/>
                <w:sz w:val="21"/>
                <w:szCs w:val="21"/>
              </w:rPr>
              <w:t>o</w:t>
            </w:r>
            <w:r w:rsidR="005270E2">
              <w:rPr>
                <w:rFonts w:eastAsia="Calibri"/>
                <w:noProof/>
                <w:sz w:val="21"/>
                <w:szCs w:val="21"/>
              </w:rPr>
              <w:t xml:space="preserve">m the different policy options. </w:t>
            </w:r>
            <w:r w:rsidR="1FA7E3E0" w:rsidRPr="358A3CCE">
              <w:rPr>
                <w:rFonts w:eastAsia="Calibri"/>
                <w:noProof/>
                <w:sz w:val="21"/>
                <w:szCs w:val="21"/>
              </w:rPr>
              <w:t>Moreover</w:t>
            </w:r>
            <w:r w:rsidR="008E2F51">
              <w:rPr>
                <w:rFonts w:eastAsia="Calibri"/>
                <w:noProof/>
                <w:sz w:val="21"/>
                <w:szCs w:val="21"/>
              </w:rPr>
              <w:t>,</w:t>
            </w:r>
            <w:r w:rsidR="00EC0BCB">
              <w:rPr>
                <w:rFonts w:eastAsia="Calibri"/>
                <w:noProof/>
                <w:sz w:val="21"/>
                <w:szCs w:val="21"/>
              </w:rPr>
              <w:t xml:space="preserve"> in </w:t>
            </w:r>
            <w:r w:rsidR="008E2F51">
              <w:rPr>
                <w:rFonts w:eastAsia="Calibri"/>
                <w:noProof/>
                <w:sz w:val="21"/>
                <w:szCs w:val="21"/>
              </w:rPr>
              <w:t>section</w:t>
            </w:r>
            <w:r w:rsidR="00EC0BCB">
              <w:rPr>
                <w:rFonts w:eastAsia="Calibri"/>
                <w:noProof/>
                <w:sz w:val="21"/>
                <w:szCs w:val="21"/>
              </w:rPr>
              <w:t xml:space="preserve"> 7</w:t>
            </w:r>
            <w:r w:rsidR="000B2520">
              <w:rPr>
                <w:rFonts w:eastAsia="Calibri"/>
                <w:noProof/>
                <w:sz w:val="21"/>
                <w:szCs w:val="21"/>
              </w:rPr>
              <w:t>.2</w:t>
            </w:r>
            <w:r w:rsidR="00EC0BCB">
              <w:rPr>
                <w:rFonts w:eastAsia="Calibri"/>
                <w:noProof/>
                <w:sz w:val="21"/>
                <w:szCs w:val="21"/>
              </w:rPr>
              <w:t xml:space="preserve"> </w:t>
            </w:r>
            <w:r w:rsidR="00F7697F">
              <w:rPr>
                <w:rFonts w:eastAsia="Calibri"/>
                <w:noProof/>
                <w:sz w:val="21"/>
                <w:szCs w:val="21"/>
              </w:rPr>
              <w:t>the</w:t>
            </w:r>
            <w:r w:rsidR="00EC0BCB">
              <w:rPr>
                <w:rFonts w:eastAsia="Calibri"/>
                <w:noProof/>
                <w:sz w:val="21"/>
                <w:szCs w:val="21"/>
              </w:rPr>
              <w:t xml:space="preserve"> </w:t>
            </w:r>
            <w:r w:rsidR="00501D3D">
              <w:rPr>
                <w:rFonts w:eastAsia="Calibri"/>
                <w:noProof/>
                <w:sz w:val="21"/>
                <w:szCs w:val="21"/>
              </w:rPr>
              <w:t xml:space="preserve">comparison between options </w:t>
            </w:r>
            <w:r w:rsidR="0074621C">
              <w:rPr>
                <w:rFonts w:eastAsia="Calibri"/>
                <w:noProof/>
                <w:sz w:val="21"/>
                <w:szCs w:val="21"/>
              </w:rPr>
              <w:t>wa</w:t>
            </w:r>
            <w:r w:rsidR="00501D3D">
              <w:rPr>
                <w:rFonts w:eastAsia="Calibri"/>
                <w:noProof/>
                <w:sz w:val="21"/>
                <w:szCs w:val="21"/>
              </w:rPr>
              <w:t>s provide</w:t>
            </w:r>
            <w:r w:rsidR="0074621C">
              <w:rPr>
                <w:rFonts w:eastAsia="Calibri"/>
                <w:noProof/>
                <w:sz w:val="21"/>
                <w:szCs w:val="21"/>
              </w:rPr>
              <w:t>d</w:t>
            </w:r>
            <w:r w:rsidR="00501D3D">
              <w:rPr>
                <w:rFonts w:eastAsia="Calibri"/>
                <w:noProof/>
                <w:sz w:val="21"/>
                <w:szCs w:val="21"/>
              </w:rPr>
              <w:t xml:space="preserve"> both </w:t>
            </w:r>
            <w:r w:rsidR="00F7697F">
              <w:rPr>
                <w:rFonts w:eastAsia="Calibri"/>
                <w:noProof/>
                <w:sz w:val="21"/>
                <w:szCs w:val="21"/>
              </w:rPr>
              <w:t>including</w:t>
            </w:r>
            <w:r w:rsidR="00501D3D">
              <w:rPr>
                <w:rFonts w:eastAsia="Calibri"/>
                <w:noProof/>
                <w:sz w:val="21"/>
                <w:szCs w:val="21"/>
              </w:rPr>
              <w:t xml:space="preserve"> and </w:t>
            </w:r>
            <w:r w:rsidR="00F7697F">
              <w:rPr>
                <w:rFonts w:eastAsia="Calibri"/>
                <w:noProof/>
                <w:sz w:val="21"/>
                <w:szCs w:val="21"/>
              </w:rPr>
              <w:t>excluding</w:t>
            </w:r>
            <w:r w:rsidR="00501D3D">
              <w:rPr>
                <w:rFonts w:eastAsia="Calibri"/>
                <w:noProof/>
                <w:sz w:val="21"/>
                <w:szCs w:val="21"/>
              </w:rPr>
              <w:t xml:space="preserve"> external costs savings resulting from the expected modal shift</w:t>
            </w:r>
            <w:r w:rsidR="00610B1C">
              <w:rPr>
                <w:rFonts w:eastAsia="Calibri"/>
                <w:noProof/>
                <w:sz w:val="21"/>
                <w:szCs w:val="21"/>
              </w:rPr>
              <w:t xml:space="preserve">.  </w:t>
            </w:r>
          </w:p>
        </w:tc>
      </w:tr>
      <w:tr w:rsidR="00DB59B7" w:rsidRPr="00D71008" w14:paraId="66ACCB9E" w14:textId="77777777" w:rsidTr="0081046D">
        <w:trPr>
          <w:trHeight w:val="300"/>
        </w:trPr>
        <w:tc>
          <w:tcPr>
            <w:tcW w:w="3539" w:type="dxa"/>
            <w:tcBorders>
              <w:top w:val="single" w:sz="4" w:space="0" w:color="auto"/>
              <w:left w:val="single" w:sz="4" w:space="0" w:color="auto"/>
              <w:bottom w:val="single" w:sz="4" w:space="0" w:color="auto"/>
              <w:right w:val="single" w:sz="4" w:space="0" w:color="auto"/>
            </w:tcBorders>
          </w:tcPr>
          <w:p w14:paraId="4D48F884" w14:textId="2D2F4D74" w:rsidR="00DB59B7" w:rsidRPr="00DB59B7" w:rsidRDefault="00DB59B7" w:rsidP="00A53ED5">
            <w:pPr>
              <w:adjustRightInd w:val="0"/>
              <w:spacing w:after="120"/>
              <w:jc w:val="both"/>
              <w:rPr>
                <w:noProof/>
                <w:sz w:val="21"/>
                <w:szCs w:val="21"/>
              </w:rPr>
            </w:pPr>
            <w:r w:rsidRPr="00DB59B7">
              <w:rPr>
                <w:noProof/>
                <w:sz w:val="21"/>
                <w:szCs w:val="21"/>
              </w:rPr>
              <w:t>(4) The impact on competition and distribution of costs and benefits between different market actors is not sufficiently assessed.</w:t>
            </w:r>
          </w:p>
        </w:tc>
        <w:tc>
          <w:tcPr>
            <w:tcW w:w="6064" w:type="dxa"/>
            <w:tcBorders>
              <w:top w:val="single" w:sz="4" w:space="0" w:color="auto"/>
              <w:left w:val="single" w:sz="4" w:space="0" w:color="auto"/>
              <w:bottom w:val="single" w:sz="4" w:space="0" w:color="auto"/>
              <w:right w:val="single" w:sz="4" w:space="0" w:color="auto"/>
            </w:tcBorders>
          </w:tcPr>
          <w:p w14:paraId="0372D046" w14:textId="264BE39A" w:rsidR="00DB59B7" w:rsidRPr="00143775" w:rsidRDefault="00337D9A" w:rsidP="00A53ED5">
            <w:pPr>
              <w:spacing w:after="120"/>
              <w:jc w:val="both"/>
              <w:rPr>
                <w:rFonts w:eastAsia="Calibri"/>
                <w:noProof/>
                <w:sz w:val="21"/>
                <w:szCs w:val="21"/>
              </w:rPr>
            </w:pPr>
            <w:r>
              <w:rPr>
                <w:rFonts w:eastAsia="Calibri"/>
                <w:noProof/>
                <w:sz w:val="21"/>
                <w:szCs w:val="21"/>
              </w:rPr>
              <w:t xml:space="preserve">In </w:t>
            </w:r>
            <w:r w:rsidR="000F6955">
              <w:rPr>
                <w:rFonts w:eastAsia="Calibri"/>
                <w:noProof/>
                <w:sz w:val="21"/>
                <w:szCs w:val="21"/>
              </w:rPr>
              <w:t>section</w:t>
            </w:r>
            <w:r>
              <w:rPr>
                <w:rFonts w:eastAsia="Calibri"/>
                <w:noProof/>
                <w:sz w:val="21"/>
                <w:szCs w:val="21"/>
              </w:rPr>
              <w:t xml:space="preserve"> 6</w:t>
            </w:r>
            <w:r w:rsidR="008D0328">
              <w:rPr>
                <w:rFonts w:eastAsia="Calibri"/>
                <w:noProof/>
                <w:sz w:val="21"/>
                <w:szCs w:val="21"/>
              </w:rPr>
              <w:t>.1.8</w:t>
            </w:r>
            <w:r>
              <w:rPr>
                <w:rFonts w:eastAsia="Calibri"/>
                <w:noProof/>
                <w:sz w:val="21"/>
                <w:szCs w:val="21"/>
              </w:rPr>
              <w:t xml:space="preserve"> further analysis has been added in order to strengthen the assessment of impact</w:t>
            </w:r>
            <w:r w:rsidR="000F6955">
              <w:rPr>
                <w:rFonts w:eastAsia="Calibri"/>
                <w:noProof/>
                <w:sz w:val="21"/>
                <w:szCs w:val="21"/>
              </w:rPr>
              <w:t>s</w:t>
            </w:r>
            <w:r>
              <w:rPr>
                <w:rFonts w:eastAsia="Calibri"/>
                <w:noProof/>
                <w:sz w:val="21"/>
                <w:szCs w:val="21"/>
              </w:rPr>
              <w:t xml:space="preserve"> on competition </w:t>
            </w:r>
            <w:r w:rsidR="00533C03">
              <w:rPr>
                <w:rFonts w:eastAsia="Calibri"/>
                <w:noProof/>
                <w:sz w:val="21"/>
                <w:szCs w:val="21"/>
              </w:rPr>
              <w:t>and distribution of cost and benefits between different market actors.</w:t>
            </w:r>
            <w:r>
              <w:rPr>
                <w:rFonts w:eastAsia="Calibri"/>
                <w:noProof/>
                <w:sz w:val="21"/>
                <w:szCs w:val="21"/>
              </w:rPr>
              <w:t xml:space="preserve"> </w:t>
            </w:r>
          </w:p>
        </w:tc>
      </w:tr>
      <w:tr w:rsidR="00DB59B7" w:rsidRPr="00D71008" w14:paraId="2776F063" w14:textId="77777777" w:rsidTr="0081046D">
        <w:trPr>
          <w:trHeight w:val="300"/>
        </w:trPr>
        <w:tc>
          <w:tcPr>
            <w:tcW w:w="3539" w:type="dxa"/>
            <w:tcBorders>
              <w:top w:val="single" w:sz="4" w:space="0" w:color="auto"/>
              <w:left w:val="single" w:sz="4" w:space="0" w:color="auto"/>
              <w:bottom w:val="single" w:sz="4" w:space="0" w:color="auto"/>
              <w:right w:val="single" w:sz="4" w:space="0" w:color="auto"/>
            </w:tcBorders>
          </w:tcPr>
          <w:p w14:paraId="3DB02E85" w14:textId="134EF2D1" w:rsidR="00DB59B7" w:rsidRPr="00DB59B7" w:rsidRDefault="00DB59B7" w:rsidP="00A53ED5">
            <w:pPr>
              <w:adjustRightInd w:val="0"/>
              <w:spacing w:after="120"/>
              <w:jc w:val="both"/>
              <w:rPr>
                <w:noProof/>
                <w:sz w:val="21"/>
                <w:szCs w:val="21"/>
              </w:rPr>
            </w:pPr>
            <w:r w:rsidRPr="00DB59B7">
              <w:rPr>
                <w:noProof/>
                <w:sz w:val="21"/>
                <w:szCs w:val="21"/>
              </w:rPr>
              <w:t>(5) The assessment of the proportionality of the preferred option, including sharing and hosting obligations by ‘indispensable’ RU platforms, is not sufficient.</w:t>
            </w:r>
          </w:p>
        </w:tc>
        <w:tc>
          <w:tcPr>
            <w:tcW w:w="6064" w:type="dxa"/>
            <w:tcBorders>
              <w:top w:val="single" w:sz="4" w:space="0" w:color="auto"/>
              <w:left w:val="single" w:sz="4" w:space="0" w:color="auto"/>
              <w:bottom w:val="single" w:sz="4" w:space="0" w:color="auto"/>
              <w:right w:val="single" w:sz="4" w:space="0" w:color="auto"/>
            </w:tcBorders>
          </w:tcPr>
          <w:p w14:paraId="2AF58187" w14:textId="005FCAB9" w:rsidR="00DB59B7" w:rsidRPr="00143775" w:rsidRDefault="000F3528" w:rsidP="00A53ED5">
            <w:pPr>
              <w:spacing w:after="120"/>
              <w:jc w:val="both"/>
              <w:rPr>
                <w:rFonts w:eastAsia="Calibri"/>
                <w:noProof/>
                <w:sz w:val="21"/>
                <w:szCs w:val="21"/>
              </w:rPr>
            </w:pPr>
            <w:r>
              <w:rPr>
                <w:rFonts w:eastAsia="Calibri"/>
                <w:noProof/>
                <w:sz w:val="21"/>
                <w:szCs w:val="21"/>
              </w:rPr>
              <w:t xml:space="preserve">In </w:t>
            </w:r>
            <w:r w:rsidR="00B04906">
              <w:rPr>
                <w:rFonts w:eastAsia="Calibri"/>
                <w:noProof/>
                <w:sz w:val="21"/>
                <w:szCs w:val="21"/>
              </w:rPr>
              <w:t>section</w:t>
            </w:r>
            <w:r>
              <w:rPr>
                <w:rFonts w:eastAsia="Calibri"/>
                <w:noProof/>
                <w:sz w:val="21"/>
                <w:szCs w:val="21"/>
              </w:rPr>
              <w:t xml:space="preserve"> 7</w:t>
            </w:r>
            <w:r w:rsidR="008D0328">
              <w:rPr>
                <w:rFonts w:eastAsia="Calibri"/>
                <w:noProof/>
                <w:sz w:val="21"/>
                <w:szCs w:val="21"/>
              </w:rPr>
              <w:t>.4</w:t>
            </w:r>
            <w:r>
              <w:rPr>
                <w:rFonts w:eastAsia="Calibri"/>
                <w:noProof/>
                <w:sz w:val="21"/>
                <w:szCs w:val="21"/>
              </w:rPr>
              <w:t xml:space="preserve"> the </w:t>
            </w:r>
            <w:r w:rsidR="004A4C23">
              <w:rPr>
                <w:rFonts w:eastAsia="Calibri"/>
                <w:noProof/>
                <w:sz w:val="21"/>
                <w:szCs w:val="21"/>
              </w:rPr>
              <w:t>assessment of the</w:t>
            </w:r>
            <w:r>
              <w:rPr>
                <w:rFonts w:eastAsia="Calibri"/>
                <w:noProof/>
                <w:sz w:val="21"/>
                <w:szCs w:val="21"/>
              </w:rPr>
              <w:t xml:space="preserve"> proportionality</w:t>
            </w:r>
            <w:r w:rsidR="004A4C23">
              <w:rPr>
                <w:rFonts w:eastAsia="Calibri"/>
                <w:noProof/>
                <w:sz w:val="21"/>
                <w:szCs w:val="21"/>
              </w:rPr>
              <w:t xml:space="preserve"> of the preferred policy option </w:t>
            </w:r>
            <w:r>
              <w:rPr>
                <w:rFonts w:eastAsia="Calibri"/>
                <w:noProof/>
                <w:sz w:val="21"/>
                <w:szCs w:val="21"/>
              </w:rPr>
              <w:t xml:space="preserve">has been </w:t>
            </w:r>
            <w:r w:rsidR="00AD441E">
              <w:rPr>
                <w:rFonts w:eastAsia="Calibri"/>
                <w:noProof/>
                <w:sz w:val="21"/>
                <w:szCs w:val="21"/>
              </w:rPr>
              <w:t>enhanced</w:t>
            </w:r>
            <w:r w:rsidR="00485401">
              <w:rPr>
                <w:rFonts w:eastAsia="Calibri"/>
                <w:noProof/>
                <w:sz w:val="21"/>
                <w:szCs w:val="21"/>
              </w:rPr>
              <w:t xml:space="preserve"> </w:t>
            </w:r>
            <w:r w:rsidR="005F7902">
              <w:rPr>
                <w:rFonts w:eastAsia="Calibri"/>
                <w:noProof/>
                <w:sz w:val="21"/>
                <w:szCs w:val="21"/>
              </w:rPr>
              <w:t>in particular in relation to the</w:t>
            </w:r>
            <w:r w:rsidR="005263CB">
              <w:rPr>
                <w:rFonts w:eastAsia="Calibri"/>
                <w:noProof/>
                <w:sz w:val="21"/>
                <w:szCs w:val="21"/>
              </w:rPr>
              <w:t xml:space="preserve"> </w:t>
            </w:r>
            <w:r w:rsidR="005263CB" w:rsidRPr="00DB59B7">
              <w:rPr>
                <w:noProof/>
                <w:sz w:val="21"/>
                <w:szCs w:val="21"/>
              </w:rPr>
              <w:t xml:space="preserve">sharing and hosting obligations by ‘indispensable’ </w:t>
            </w:r>
            <w:r w:rsidR="00B041AE">
              <w:rPr>
                <w:noProof/>
                <w:sz w:val="21"/>
                <w:szCs w:val="21"/>
              </w:rPr>
              <w:t>railway</w:t>
            </w:r>
            <w:r w:rsidR="008568E9">
              <w:rPr>
                <w:noProof/>
                <w:sz w:val="21"/>
                <w:szCs w:val="21"/>
              </w:rPr>
              <w:t xml:space="preserve"> </w:t>
            </w:r>
            <w:r w:rsidR="008F1E72">
              <w:rPr>
                <w:noProof/>
                <w:sz w:val="21"/>
                <w:szCs w:val="21"/>
              </w:rPr>
              <w:t xml:space="preserve">operators and </w:t>
            </w:r>
            <w:r w:rsidR="00E3053C">
              <w:rPr>
                <w:noProof/>
                <w:sz w:val="21"/>
                <w:szCs w:val="21"/>
              </w:rPr>
              <w:t>railway</w:t>
            </w:r>
            <w:r w:rsidR="005263CB" w:rsidRPr="00DB59B7">
              <w:rPr>
                <w:noProof/>
                <w:sz w:val="21"/>
                <w:szCs w:val="21"/>
              </w:rPr>
              <w:t xml:space="preserve"> platforms</w:t>
            </w:r>
            <w:r w:rsidR="005263CB">
              <w:rPr>
                <w:noProof/>
                <w:sz w:val="21"/>
                <w:szCs w:val="21"/>
              </w:rPr>
              <w:t>.</w:t>
            </w:r>
          </w:p>
        </w:tc>
      </w:tr>
      <w:tr w:rsidR="00DB59B7" w:rsidRPr="00D71008" w14:paraId="4EEBA4AE" w14:textId="77777777" w:rsidTr="0D11AB3E">
        <w:trPr>
          <w:trHeight w:val="300"/>
        </w:trPr>
        <w:tc>
          <w:tcPr>
            <w:tcW w:w="0" w:type="auto"/>
            <w:gridSpan w:val="2"/>
            <w:tcBorders>
              <w:bottom w:val="single" w:sz="4" w:space="0" w:color="FFFFFF" w:themeColor="background1"/>
            </w:tcBorders>
            <w:shd w:val="clear" w:color="auto" w:fill="DAEEF3" w:themeFill="accent5" w:themeFillTint="33"/>
          </w:tcPr>
          <w:p w14:paraId="32C1C692" w14:textId="5801F065" w:rsidR="00DB59B7" w:rsidRPr="00143775" w:rsidRDefault="00A53ED5" w:rsidP="00A53ED5">
            <w:pPr>
              <w:spacing w:after="120"/>
              <w:jc w:val="center"/>
              <w:rPr>
                <w:b/>
                <w:noProof/>
                <w:sz w:val="21"/>
                <w:szCs w:val="21"/>
              </w:rPr>
            </w:pPr>
            <w:r w:rsidRPr="00143775">
              <w:rPr>
                <w:b/>
                <w:noProof/>
                <w:sz w:val="21"/>
                <w:szCs w:val="21"/>
              </w:rPr>
              <w:t>What to improve?</w:t>
            </w:r>
          </w:p>
        </w:tc>
      </w:tr>
      <w:tr w:rsidR="00DB59B7" w:rsidRPr="00D71008" w14:paraId="20332F91" w14:textId="77777777" w:rsidTr="00CE5BBD">
        <w:trPr>
          <w:trHeight w:val="300"/>
        </w:trPr>
        <w:tc>
          <w:tcPr>
            <w:tcW w:w="3539" w:type="dxa"/>
            <w:tcBorders>
              <w:top w:val="single" w:sz="4" w:space="0" w:color="auto"/>
              <w:left w:val="single" w:sz="4" w:space="0" w:color="auto"/>
              <w:bottom w:val="single" w:sz="4" w:space="0" w:color="auto"/>
              <w:right w:val="single" w:sz="4" w:space="0" w:color="auto"/>
            </w:tcBorders>
          </w:tcPr>
          <w:p w14:paraId="1E229B6D" w14:textId="0ACBA689" w:rsidR="00DB59B7" w:rsidRPr="00DB59B7" w:rsidRDefault="00525939" w:rsidP="00A53ED5">
            <w:pPr>
              <w:adjustRightInd w:val="0"/>
              <w:spacing w:after="120"/>
              <w:jc w:val="both"/>
              <w:rPr>
                <w:noProof/>
                <w:sz w:val="21"/>
                <w:szCs w:val="21"/>
              </w:rPr>
            </w:pPr>
            <w:r w:rsidRPr="00525939">
              <w:rPr>
                <w:noProof/>
                <w:sz w:val="21"/>
                <w:szCs w:val="21"/>
              </w:rPr>
              <w:t>(1) Regarding the scope of the initiative, the report should explain why platforms that do not sell tickets but only offer transport information and redirect to ticket-selling intermediaries and operators are included in the scope even though the alleged two market failures/problems of uneven playing field in the online ticketing market and incomplete offer of rail tickets on (rail) platforms are about ticketing. Based on an improved analysis of market failures (see point 2 below), the intervention logic should be reviewed to clarify how far market failure/problem 1 on ticketing relates to the wider specific objective 1 and can be addressed by policy measures 1-4 that do not specifically refer to ticketing. Throughout the report and the description of measures and options, ticket selling services and mere transportation information services should be more clearly distinguished.</w:t>
            </w:r>
          </w:p>
        </w:tc>
        <w:tc>
          <w:tcPr>
            <w:tcW w:w="6064" w:type="dxa"/>
            <w:tcBorders>
              <w:top w:val="single" w:sz="4" w:space="0" w:color="auto"/>
              <w:left w:val="single" w:sz="4" w:space="0" w:color="auto"/>
              <w:bottom w:val="single" w:sz="4" w:space="0" w:color="auto"/>
              <w:right w:val="single" w:sz="4" w:space="0" w:color="auto"/>
            </w:tcBorders>
          </w:tcPr>
          <w:p w14:paraId="30B16317" w14:textId="520BEECC" w:rsidR="00DB59B7" w:rsidRPr="00143775" w:rsidRDefault="4508AF65" w:rsidP="00A53ED5">
            <w:pPr>
              <w:spacing w:after="120"/>
              <w:jc w:val="both"/>
              <w:rPr>
                <w:rFonts w:eastAsia="Calibri"/>
                <w:noProof/>
                <w:sz w:val="21"/>
                <w:szCs w:val="21"/>
              </w:rPr>
            </w:pPr>
            <w:r w:rsidRPr="5FB31268">
              <w:rPr>
                <w:rFonts w:eastAsia="Calibri"/>
                <w:noProof/>
                <w:sz w:val="21"/>
                <w:szCs w:val="21"/>
              </w:rPr>
              <w:t xml:space="preserve">Additional elements have been added in </w:t>
            </w:r>
            <w:r w:rsidR="00231E65">
              <w:rPr>
                <w:rFonts w:eastAsia="Calibri"/>
                <w:noProof/>
                <w:sz w:val="21"/>
                <w:szCs w:val="21"/>
              </w:rPr>
              <w:t>section</w:t>
            </w:r>
            <w:r w:rsidRPr="5FB31268">
              <w:rPr>
                <w:rFonts w:eastAsia="Calibri"/>
                <w:noProof/>
                <w:sz w:val="21"/>
                <w:szCs w:val="21"/>
              </w:rPr>
              <w:t xml:space="preserve"> 2, to </w:t>
            </w:r>
            <w:r w:rsidR="00F71C6F">
              <w:rPr>
                <w:rFonts w:eastAsia="Calibri"/>
                <w:noProof/>
                <w:sz w:val="21"/>
                <w:szCs w:val="21"/>
              </w:rPr>
              <w:t xml:space="preserve">explain that </w:t>
            </w:r>
            <w:r w:rsidR="008759BD">
              <w:rPr>
                <w:rFonts w:eastAsia="Calibri"/>
                <w:noProof/>
                <w:sz w:val="21"/>
                <w:szCs w:val="21"/>
              </w:rPr>
              <w:t>(i) all online search platforms are not covered by the Regulation but (ii)</w:t>
            </w:r>
            <w:r w:rsidRPr="5FB31268">
              <w:rPr>
                <w:rFonts w:eastAsia="Calibri"/>
                <w:noProof/>
                <w:sz w:val="21"/>
                <w:szCs w:val="21"/>
              </w:rPr>
              <w:t xml:space="preserve"> re-linking platforms </w:t>
            </w:r>
            <w:r w:rsidR="38465A36" w:rsidRPr="474426A9">
              <w:rPr>
                <w:rFonts w:eastAsia="Calibri"/>
                <w:noProof/>
                <w:sz w:val="21"/>
                <w:szCs w:val="21"/>
              </w:rPr>
              <w:t>(i</w:t>
            </w:r>
            <w:r w:rsidR="00CE5BBD">
              <w:rPr>
                <w:rFonts w:eastAsia="Calibri"/>
                <w:noProof/>
                <w:sz w:val="21"/>
                <w:szCs w:val="21"/>
              </w:rPr>
              <w:t>.</w:t>
            </w:r>
            <w:r w:rsidR="38465A36" w:rsidRPr="474426A9">
              <w:rPr>
                <w:rFonts w:eastAsia="Calibri"/>
                <w:noProof/>
                <w:sz w:val="21"/>
                <w:szCs w:val="21"/>
              </w:rPr>
              <w:t>e. MSEs</w:t>
            </w:r>
            <w:r w:rsidR="008759BD">
              <w:rPr>
                <w:rFonts w:eastAsia="Calibri"/>
                <w:noProof/>
                <w:sz w:val="21"/>
                <w:szCs w:val="21"/>
              </w:rPr>
              <w:t>, only re-li</w:t>
            </w:r>
            <w:r w:rsidR="005D3AC9">
              <w:rPr>
                <w:rFonts w:eastAsia="Calibri"/>
                <w:noProof/>
                <w:sz w:val="21"/>
                <w:szCs w:val="21"/>
              </w:rPr>
              <w:t>nking to OTAs or transport operators websites</w:t>
            </w:r>
            <w:r w:rsidR="38465A36" w:rsidRPr="474426A9">
              <w:rPr>
                <w:rFonts w:eastAsia="Calibri"/>
                <w:noProof/>
                <w:sz w:val="21"/>
                <w:szCs w:val="21"/>
              </w:rPr>
              <w:t xml:space="preserve">) </w:t>
            </w:r>
            <w:r w:rsidRPr="5FB31268">
              <w:rPr>
                <w:rFonts w:eastAsia="Calibri"/>
                <w:noProof/>
                <w:sz w:val="21"/>
                <w:szCs w:val="21"/>
              </w:rPr>
              <w:t xml:space="preserve">are in scope of this initiative, and currently pose </w:t>
            </w:r>
            <w:r w:rsidR="002A0B6B">
              <w:rPr>
                <w:rFonts w:eastAsia="Calibri"/>
                <w:noProof/>
                <w:sz w:val="21"/>
                <w:szCs w:val="21"/>
              </w:rPr>
              <w:t>a problem in the ticketing</w:t>
            </w:r>
            <w:r w:rsidRPr="5FB31268">
              <w:rPr>
                <w:rFonts w:eastAsia="Calibri"/>
                <w:noProof/>
                <w:sz w:val="21"/>
                <w:szCs w:val="21"/>
              </w:rPr>
              <w:t xml:space="preserve"> market. </w:t>
            </w:r>
            <w:r w:rsidR="4C65BB3E" w:rsidRPr="0293A91A">
              <w:rPr>
                <w:rFonts w:eastAsia="Calibri"/>
                <w:noProof/>
                <w:sz w:val="21"/>
                <w:szCs w:val="21"/>
              </w:rPr>
              <w:t xml:space="preserve">In addition, the links between problem 1, specific </w:t>
            </w:r>
            <w:r w:rsidR="4C65BB3E" w:rsidRPr="52EE4E09">
              <w:rPr>
                <w:rFonts w:eastAsia="Calibri"/>
                <w:noProof/>
                <w:sz w:val="21"/>
                <w:szCs w:val="21"/>
              </w:rPr>
              <w:t xml:space="preserve">objective 1 and policy measures 1 to 4 </w:t>
            </w:r>
            <w:r w:rsidR="4C65BB3E" w:rsidRPr="6AECB18B">
              <w:rPr>
                <w:rFonts w:eastAsia="Calibri"/>
                <w:noProof/>
                <w:sz w:val="21"/>
                <w:szCs w:val="21"/>
              </w:rPr>
              <w:t>ha</w:t>
            </w:r>
            <w:r w:rsidR="02682CE9" w:rsidRPr="6AECB18B">
              <w:rPr>
                <w:rFonts w:eastAsia="Calibri"/>
                <w:noProof/>
                <w:sz w:val="21"/>
                <w:szCs w:val="21"/>
              </w:rPr>
              <w:t>ve</w:t>
            </w:r>
            <w:r w:rsidR="4C65BB3E" w:rsidRPr="52EE4E09">
              <w:rPr>
                <w:rFonts w:eastAsia="Calibri"/>
                <w:noProof/>
                <w:sz w:val="21"/>
                <w:szCs w:val="21"/>
              </w:rPr>
              <w:t xml:space="preserve"> been further </w:t>
            </w:r>
            <w:r w:rsidR="004B49A0">
              <w:rPr>
                <w:rFonts w:eastAsia="Calibri"/>
                <w:noProof/>
                <w:sz w:val="21"/>
                <w:szCs w:val="21"/>
              </w:rPr>
              <w:t>explained</w:t>
            </w:r>
            <w:r w:rsidR="00A91248">
              <w:rPr>
                <w:rFonts w:eastAsia="Calibri"/>
                <w:noProof/>
                <w:sz w:val="21"/>
                <w:szCs w:val="21"/>
              </w:rPr>
              <w:t xml:space="preserve"> in section 5.2</w:t>
            </w:r>
            <w:r w:rsidR="4C65BB3E" w:rsidRPr="52EE4E09">
              <w:rPr>
                <w:rFonts w:eastAsia="Calibri"/>
                <w:noProof/>
                <w:sz w:val="21"/>
                <w:szCs w:val="21"/>
              </w:rPr>
              <w:t>.</w:t>
            </w:r>
            <w:r w:rsidR="4C65BB3E" w:rsidRPr="0293A91A">
              <w:rPr>
                <w:rFonts w:eastAsia="Calibri"/>
                <w:noProof/>
                <w:sz w:val="21"/>
                <w:szCs w:val="21"/>
              </w:rPr>
              <w:t xml:space="preserve"> </w:t>
            </w:r>
          </w:p>
        </w:tc>
      </w:tr>
      <w:tr w:rsidR="00DB59B7" w:rsidRPr="00D71008" w14:paraId="3ACC9A02" w14:textId="77777777" w:rsidTr="00CE5BBD">
        <w:trPr>
          <w:trHeight w:val="300"/>
        </w:trPr>
        <w:tc>
          <w:tcPr>
            <w:tcW w:w="3539" w:type="dxa"/>
            <w:tcBorders>
              <w:top w:val="single" w:sz="4" w:space="0" w:color="auto"/>
              <w:left w:val="single" w:sz="4" w:space="0" w:color="auto"/>
              <w:bottom w:val="single" w:sz="4" w:space="0" w:color="auto"/>
              <w:right w:val="single" w:sz="4" w:space="0" w:color="auto"/>
            </w:tcBorders>
          </w:tcPr>
          <w:p w14:paraId="064CC69E" w14:textId="7DB53BCD" w:rsidR="00DB59B7" w:rsidRPr="00DB59B7" w:rsidRDefault="00525939" w:rsidP="006279B6">
            <w:pPr>
              <w:spacing w:after="120" w:line="259" w:lineRule="auto"/>
              <w:jc w:val="both"/>
              <w:rPr>
                <w:noProof/>
                <w:sz w:val="21"/>
                <w:szCs w:val="21"/>
              </w:rPr>
            </w:pPr>
            <w:r w:rsidRPr="00525939">
              <w:rPr>
                <w:noProof/>
                <w:sz w:val="21"/>
                <w:szCs w:val="21"/>
              </w:rPr>
              <w:t>(2) The report should demonstrate more clearly the evidence base for the alleged market failures and their magnitude. In view of the recent technological evolution, including artificial intelligence since the initiative was first put forward in 2023, the report should analyse to which extent these developments would facilitate a level playing field in the concerned markets with regards to transparency.</w:t>
            </w:r>
          </w:p>
        </w:tc>
        <w:tc>
          <w:tcPr>
            <w:tcW w:w="6064" w:type="dxa"/>
            <w:tcBorders>
              <w:top w:val="single" w:sz="4" w:space="0" w:color="auto"/>
              <w:left w:val="single" w:sz="4" w:space="0" w:color="auto"/>
              <w:bottom w:val="single" w:sz="4" w:space="0" w:color="auto"/>
              <w:right w:val="single" w:sz="4" w:space="0" w:color="auto"/>
            </w:tcBorders>
          </w:tcPr>
          <w:p w14:paraId="4A6C60DB" w14:textId="42F40E13" w:rsidR="00DB59B7" w:rsidRPr="00143775" w:rsidRDefault="3D504B3A" w:rsidP="00A53ED5">
            <w:pPr>
              <w:spacing w:after="120"/>
              <w:jc w:val="both"/>
              <w:rPr>
                <w:rFonts w:eastAsia="Calibri"/>
                <w:noProof/>
                <w:sz w:val="21"/>
                <w:szCs w:val="21"/>
              </w:rPr>
            </w:pPr>
            <w:r w:rsidRPr="2F1E451A">
              <w:rPr>
                <w:rFonts w:eastAsia="Calibri"/>
                <w:noProof/>
                <w:sz w:val="21"/>
                <w:szCs w:val="21"/>
              </w:rPr>
              <w:t xml:space="preserve">Additional elements </w:t>
            </w:r>
            <w:r w:rsidR="00E862B8">
              <w:rPr>
                <w:rFonts w:eastAsia="Calibri"/>
                <w:noProof/>
                <w:sz w:val="21"/>
                <w:szCs w:val="21"/>
              </w:rPr>
              <w:t xml:space="preserve">have been added </w:t>
            </w:r>
            <w:r w:rsidRPr="2F1E451A">
              <w:rPr>
                <w:rFonts w:eastAsia="Calibri"/>
                <w:noProof/>
                <w:sz w:val="21"/>
                <w:szCs w:val="21"/>
              </w:rPr>
              <w:t xml:space="preserve">to </w:t>
            </w:r>
            <w:r w:rsidR="00E862B8">
              <w:rPr>
                <w:rFonts w:eastAsia="Calibri"/>
                <w:noProof/>
                <w:sz w:val="21"/>
                <w:szCs w:val="21"/>
              </w:rPr>
              <w:t>section</w:t>
            </w:r>
            <w:r w:rsidRPr="2F1E451A">
              <w:rPr>
                <w:rFonts w:eastAsia="Calibri"/>
                <w:noProof/>
                <w:sz w:val="21"/>
                <w:szCs w:val="21"/>
              </w:rPr>
              <w:t xml:space="preserve"> 2 (section 2.2.2)</w:t>
            </w:r>
            <w:r w:rsidR="7CF4593B" w:rsidRPr="2F1E451A">
              <w:rPr>
                <w:rFonts w:eastAsia="Calibri"/>
                <w:noProof/>
                <w:sz w:val="21"/>
                <w:szCs w:val="21"/>
              </w:rPr>
              <w:t xml:space="preserve">, </w:t>
            </w:r>
            <w:r w:rsidR="6855A5E3" w:rsidRPr="2F1E451A">
              <w:rPr>
                <w:rFonts w:eastAsia="Calibri"/>
                <w:noProof/>
                <w:sz w:val="21"/>
                <w:szCs w:val="21"/>
              </w:rPr>
              <w:t>outli</w:t>
            </w:r>
            <w:r w:rsidR="16054D11" w:rsidRPr="2F1E451A">
              <w:rPr>
                <w:rFonts w:eastAsia="Calibri"/>
                <w:noProof/>
                <w:sz w:val="21"/>
                <w:szCs w:val="21"/>
              </w:rPr>
              <w:t>ning</w:t>
            </w:r>
            <w:r w:rsidR="6855A5E3" w:rsidRPr="2F1E451A">
              <w:rPr>
                <w:rFonts w:eastAsia="Calibri"/>
                <w:noProof/>
                <w:sz w:val="21"/>
                <w:szCs w:val="21"/>
              </w:rPr>
              <w:t xml:space="preserve"> the </w:t>
            </w:r>
            <w:r w:rsidR="458DFB95" w:rsidRPr="2F1E451A">
              <w:rPr>
                <w:rFonts w:eastAsia="Calibri"/>
                <w:noProof/>
                <w:sz w:val="21"/>
                <w:szCs w:val="21"/>
              </w:rPr>
              <w:t xml:space="preserve">potential </w:t>
            </w:r>
            <w:r w:rsidR="6855A5E3" w:rsidRPr="2F1E451A">
              <w:rPr>
                <w:rFonts w:eastAsia="Calibri"/>
                <w:noProof/>
                <w:sz w:val="21"/>
                <w:szCs w:val="21"/>
              </w:rPr>
              <w:t xml:space="preserve">risk linked to the introduction of AI in search algorithms used by MDMS platforms. </w:t>
            </w:r>
            <w:r w:rsidR="00736C8D">
              <w:rPr>
                <w:rFonts w:eastAsia="Calibri"/>
                <w:noProof/>
                <w:sz w:val="21"/>
                <w:szCs w:val="21"/>
              </w:rPr>
              <w:t>Sections</w:t>
            </w:r>
            <w:r w:rsidR="006279B6">
              <w:rPr>
                <w:rFonts w:eastAsia="Calibri"/>
                <w:noProof/>
                <w:sz w:val="21"/>
                <w:szCs w:val="21"/>
              </w:rPr>
              <w:t xml:space="preserve"> 1</w:t>
            </w:r>
            <w:r w:rsidR="00736C8D">
              <w:rPr>
                <w:rFonts w:eastAsia="Calibri"/>
                <w:noProof/>
                <w:sz w:val="21"/>
                <w:szCs w:val="21"/>
              </w:rPr>
              <w:t>.3</w:t>
            </w:r>
            <w:r w:rsidR="006279B6">
              <w:rPr>
                <w:rFonts w:eastAsia="Calibri"/>
                <w:noProof/>
                <w:sz w:val="21"/>
                <w:szCs w:val="21"/>
              </w:rPr>
              <w:t xml:space="preserve"> and</w:t>
            </w:r>
            <w:r w:rsidR="51618D57" w:rsidRPr="2F1E451A">
              <w:rPr>
                <w:rFonts w:eastAsia="Calibri"/>
                <w:noProof/>
                <w:sz w:val="21"/>
                <w:szCs w:val="21"/>
              </w:rPr>
              <w:t xml:space="preserve"> 7</w:t>
            </w:r>
            <w:r w:rsidR="00EE7786">
              <w:rPr>
                <w:rFonts w:eastAsia="Calibri"/>
                <w:noProof/>
                <w:sz w:val="21"/>
                <w:szCs w:val="21"/>
              </w:rPr>
              <w:t>.3</w:t>
            </w:r>
            <w:r w:rsidR="51618D57" w:rsidRPr="2F1E451A">
              <w:rPr>
                <w:rFonts w:eastAsia="Calibri"/>
                <w:noProof/>
                <w:sz w:val="21"/>
                <w:szCs w:val="21"/>
              </w:rPr>
              <w:t xml:space="preserve"> </w:t>
            </w:r>
            <w:r w:rsidR="6C667190" w:rsidRPr="2F1E451A">
              <w:rPr>
                <w:rFonts w:eastAsia="Calibri"/>
                <w:noProof/>
                <w:sz w:val="21"/>
                <w:szCs w:val="21"/>
              </w:rPr>
              <w:t>outline</w:t>
            </w:r>
            <w:r w:rsidR="00A46418">
              <w:rPr>
                <w:rFonts w:eastAsia="Calibri"/>
                <w:noProof/>
                <w:sz w:val="21"/>
                <w:szCs w:val="21"/>
              </w:rPr>
              <w:t xml:space="preserve"> the</w:t>
            </w:r>
            <w:r w:rsidR="6C667190" w:rsidRPr="2F1E451A">
              <w:rPr>
                <w:rFonts w:eastAsia="Calibri"/>
                <w:noProof/>
                <w:sz w:val="21"/>
                <w:szCs w:val="21"/>
              </w:rPr>
              <w:t xml:space="preserve"> </w:t>
            </w:r>
            <w:r w:rsidR="7FCCC413" w:rsidRPr="0D11AB3E">
              <w:rPr>
                <w:rFonts w:eastAsia="Calibri"/>
                <w:noProof/>
                <w:sz w:val="21"/>
                <w:szCs w:val="21"/>
              </w:rPr>
              <w:t xml:space="preserve">coherence between the AI Act and the </w:t>
            </w:r>
            <w:r w:rsidR="00435B3F">
              <w:rPr>
                <w:rFonts w:eastAsia="Calibri"/>
                <w:noProof/>
                <w:sz w:val="21"/>
                <w:szCs w:val="21"/>
              </w:rPr>
              <w:t>RMB</w:t>
            </w:r>
            <w:r w:rsidR="7FCCC413" w:rsidRPr="0D11AB3E">
              <w:rPr>
                <w:rFonts w:eastAsia="Calibri"/>
                <w:noProof/>
                <w:sz w:val="21"/>
                <w:szCs w:val="21"/>
              </w:rPr>
              <w:t xml:space="preserve"> proposal</w:t>
            </w:r>
            <w:r w:rsidR="007B7CD9">
              <w:rPr>
                <w:rFonts w:eastAsia="Calibri"/>
                <w:noProof/>
                <w:sz w:val="21"/>
                <w:szCs w:val="21"/>
              </w:rPr>
              <w:t>. The AI Act</w:t>
            </w:r>
            <w:r w:rsidR="7FCCC413" w:rsidRPr="0D11AB3E">
              <w:rPr>
                <w:rFonts w:eastAsia="Calibri"/>
                <w:noProof/>
                <w:sz w:val="21"/>
                <w:szCs w:val="21"/>
              </w:rPr>
              <w:t xml:space="preserve"> will </w:t>
            </w:r>
            <w:r w:rsidR="6DFBB76B" w:rsidRPr="2F1E451A">
              <w:rPr>
                <w:rFonts w:eastAsia="Calibri"/>
                <w:noProof/>
                <w:sz w:val="21"/>
                <w:szCs w:val="21"/>
              </w:rPr>
              <w:t>complement the proposed measures in this initiative</w:t>
            </w:r>
            <w:r w:rsidR="4CE871BF" w:rsidRPr="2F1E451A">
              <w:rPr>
                <w:rFonts w:eastAsia="Calibri"/>
                <w:noProof/>
                <w:sz w:val="21"/>
                <w:szCs w:val="21"/>
              </w:rPr>
              <w:t>,</w:t>
            </w:r>
            <w:r w:rsidR="34E23C5C" w:rsidRPr="2F1E451A">
              <w:rPr>
                <w:rFonts w:eastAsia="Calibri"/>
                <w:noProof/>
                <w:sz w:val="21"/>
                <w:szCs w:val="21"/>
              </w:rPr>
              <w:t xml:space="preserve"> by</w:t>
            </w:r>
            <w:r w:rsidR="6DFBB76B" w:rsidRPr="2F1E451A">
              <w:rPr>
                <w:rFonts w:eastAsia="Calibri"/>
                <w:noProof/>
                <w:sz w:val="21"/>
                <w:szCs w:val="21"/>
              </w:rPr>
              <w:t xml:space="preserve"> </w:t>
            </w:r>
            <w:r w:rsidR="6C667190" w:rsidRPr="2F1E451A">
              <w:rPr>
                <w:rFonts w:eastAsia="Calibri"/>
                <w:noProof/>
                <w:sz w:val="21"/>
                <w:szCs w:val="21"/>
              </w:rPr>
              <w:t>ensur</w:t>
            </w:r>
            <w:r w:rsidR="65E2E6D3" w:rsidRPr="2F1E451A">
              <w:rPr>
                <w:rFonts w:eastAsia="Calibri"/>
                <w:noProof/>
                <w:sz w:val="21"/>
                <w:szCs w:val="21"/>
              </w:rPr>
              <w:t>ing</w:t>
            </w:r>
            <w:r w:rsidR="7FCCC413" w:rsidRPr="0D11AB3E">
              <w:rPr>
                <w:rFonts w:eastAsia="Calibri"/>
                <w:noProof/>
                <w:sz w:val="21"/>
                <w:szCs w:val="21"/>
              </w:rPr>
              <w:t xml:space="preserve"> </w:t>
            </w:r>
            <w:r w:rsidR="4CF0C3DD" w:rsidRPr="0D11AB3E">
              <w:rPr>
                <w:rFonts w:eastAsia="Calibri"/>
                <w:noProof/>
                <w:sz w:val="21"/>
                <w:szCs w:val="21"/>
              </w:rPr>
              <w:t xml:space="preserve">safety and </w:t>
            </w:r>
            <w:r w:rsidR="7FCCC413" w:rsidRPr="0D11AB3E">
              <w:rPr>
                <w:rFonts w:eastAsia="Calibri"/>
                <w:noProof/>
                <w:sz w:val="21"/>
                <w:szCs w:val="21"/>
              </w:rPr>
              <w:t xml:space="preserve">transparency </w:t>
            </w:r>
            <w:r w:rsidR="095959A8" w:rsidRPr="0D11AB3E">
              <w:rPr>
                <w:rFonts w:eastAsia="Calibri"/>
                <w:noProof/>
                <w:sz w:val="21"/>
                <w:szCs w:val="21"/>
              </w:rPr>
              <w:t xml:space="preserve">of AI </w:t>
            </w:r>
            <w:r w:rsidR="09AD77F3" w:rsidRPr="2F1E451A">
              <w:rPr>
                <w:rFonts w:eastAsia="Calibri"/>
                <w:noProof/>
                <w:sz w:val="21"/>
                <w:szCs w:val="21"/>
              </w:rPr>
              <w:t>systems</w:t>
            </w:r>
            <w:r w:rsidR="6C667190" w:rsidRPr="2F1E451A">
              <w:rPr>
                <w:rFonts w:eastAsia="Calibri"/>
                <w:noProof/>
                <w:sz w:val="21"/>
                <w:szCs w:val="21"/>
              </w:rPr>
              <w:t>.</w:t>
            </w:r>
          </w:p>
        </w:tc>
      </w:tr>
      <w:tr w:rsidR="00525939" w:rsidRPr="00D71008" w14:paraId="7FDBFA44" w14:textId="77777777" w:rsidTr="00CE5BBD">
        <w:trPr>
          <w:trHeight w:val="300"/>
        </w:trPr>
        <w:tc>
          <w:tcPr>
            <w:tcW w:w="3539" w:type="dxa"/>
            <w:tcBorders>
              <w:top w:val="single" w:sz="4" w:space="0" w:color="auto"/>
              <w:left w:val="single" w:sz="4" w:space="0" w:color="auto"/>
              <w:bottom w:val="single" w:sz="4" w:space="0" w:color="auto"/>
              <w:right w:val="single" w:sz="4" w:space="0" w:color="auto"/>
            </w:tcBorders>
          </w:tcPr>
          <w:p w14:paraId="1E7343BA" w14:textId="21B54AF2" w:rsidR="00525939" w:rsidRPr="00525939" w:rsidRDefault="00525939">
            <w:pPr>
              <w:adjustRightInd w:val="0"/>
              <w:spacing w:after="120"/>
              <w:jc w:val="both"/>
              <w:rPr>
                <w:noProof/>
                <w:sz w:val="21"/>
                <w:szCs w:val="21"/>
              </w:rPr>
            </w:pPr>
            <w:r w:rsidRPr="00525939">
              <w:rPr>
                <w:noProof/>
                <w:sz w:val="21"/>
                <w:szCs w:val="21"/>
              </w:rPr>
              <w:t>(3) The report should assess to what extent the problem drivers are sufficiently exhaustive and/or to what extent drivers outside the initiative’s scope might impact the success of the initiative.</w:t>
            </w:r>
          </w:p>
        </w:tc>
        <w:tc>
          <w:tcPr>
            <w:tcW w:w="6064" w:type="dxa"/>
            <w:tcBorders>
              <w:top w:val="single" w:sz="4" w:space="0" w:color="auto"/>
              <w:left w:val="single" w:sz="4" w:space="0" w:color="auto"/>
              <w:bottom w:val="single" w:sz="4" w:space="0" w:color="auto"/>
              <w:right w:val="single" w:sz="4" w:space="0" w:color="auto"/>
            </w:tcBorders>
          </w:tcPr>
          <w:p w14:paraId="46F9FFED" w14:textId="1E8324B2" w:rsidR="00525939" w:rsidRPr="00143775" w:rsidRDefault="004C334E">
            <w:pPr>
              <w:spacing w:after="120"/>
              <w:jc w:val="both"/>
              <w:rPr>
                <w:rFonts w:eastAsia="Calibri"/>
                <w:noProof/>
                <w:sz w:val="21"/>
                <w:szCs w:val="21"/>
              </w:rPr>
            </w:pPr>
            <w:r>
              <w:rPr>
                <w:rFonts w:eastAsia="Calibri"/>
                <w:noProof/>
                <w:sz w:val="21"/>
                <w:szCs w:val="21"/>
              </w:rPr>
              <w:t>S</w:t>
            </w:r>
            <w:r w:rsidR="001C463B">
              <w:rPr>
                <w:rFonts w:eastAsia="Calibri"/>
                <w:noProof/>
                <w:sz w:val="21"/>
                <w:szCs w:val="21"/>
              </w:rPr>
              <w:t>ection</w:t>
            </w:r>
            <w:r w:rsidR="00124E05">
              <w:rPr>
                <w:rFonts w:eastAsia="Calibri"/>
                <w:noProof/>
                <w:sz w:val="21"/>
                <w:szCs w:val="21"/>
              </w:rPr>
              <w:t xml:space="preserve"> 2.2</w:t>
            </w:r>
            <w:r>
              <w:rPr>
                <w:rFonts w:eastAsia="Calibri"/>
                <w:noProof/>
                <w:sz w:val="21"/>
                <w:szCs w:val="21"/>
              </w:rPr>
              <w:t xml:space="preserve"> has been revised</w:t>
            </w:r>
            <w:r w:rsidR="00124E05">
              <w:rPr>
                <w:rFonts w:eastAsia="Calibri"/>
                <w:noProof/>
                <w:sz w:val="21"/>
                <w:szCs w:val="21"/>
              </w:rPr>
              <w:t xml:space="preserve"> to </w:t>
            </w:r>
            <w:r w:rsidR="009C7DC9">
              <w:rPr>
                <w:rFonts w:eastAsia="Calibri"/>
                <w:noProof/>
                <w:sz w:val="21"/>
                <w:szCs w:val="21"/>
              </w:rPr>
              <w:t>explain that other</w:t>
            </w:r>
            <w:r w:rsidR="004248BE">
              <w:rPr>
                <w:rFonts w:eastAsia="Calibri"/>
                <w:noProof/>
                <w:sz w:val="21"/>
                <w:szCs w:val="21"/>
              </w:rPr>
              <w:t xml:space="preserve"> challenges (e.g. rail capacity, infrastructure development, passenger rights)</w:t>
            </w:r>
            <w:r w:rsidR="00757AA8">
              <w:rPr>
                <w:rFonts w:eastAsia="Calibri"/>
                <w:noProof/>
                <w:sz w:val="21"/>
                <w:szCs w:val="21"/>
              </w:rPr>
              <w:t>,</w:t>
            </w:r>
            <w:r w:rsidR="00E13D95">
              <w:rPr>
                <w:rFonts w:eastAsia="Calibri"/>
                <w:noProof/>
                <w:sz w:val="21"/>
                <w:szCs w:val="21"/>
              </w:rPr>
              <w:t xml:space="preserve"> which </w:t>
            </w:r>
            <w:r w:rsidR="00757AA8">
              <w:rPr>
                <w:rFonts w:eastAsia="Calibri"/>
                <w:noProof/>
                <w:sz w:val="21"/>
                <w:szCs w:val="21"/>
              </w:rPr>
              <w:t>fall</w:t>
            </w:r>
            <w:r w:rsidR="00E13D95">
              <w:rPr>
                <w:rFonts w:eastAsia="Calibri"/>
                <w:noProof/>
                <w:sz w:val="21"/>
                <w:szCs w:val="21"/>
              </w:rPr>
              <w:t xml:space="preserve"> </w:t>
            </w:r>
            <w:r w:rsidR="00AD2D5F">
              <w:rPr>
                <w:rFonts w:eastAsia="Calibri"/>
                <w:noProof/>
                <w:sz w:val="21"/>
                <w:szCs w:val="21"/>
              </w:rPr>
              <w:t>outside the scope of the initiative</w:t>
            </w:r>
            <w:r w:rsidR="002240F3">
              <w:rPr>
                <w:rFonts w:eastAsia="Calibri"/>
                <w:noProof/>
                <w:sz w:val="21"/>
                <w:szCs w:val="21"/>
              </w:rPr>
              <w:t>,</w:t>
            </w:r>
            <w:r w:rsidR="00E13D95">
              <w:rPr>
                <w:rFonts w:eastAsia="Calibri"/>
                <w:noProof/>
                <w:sz w:val="21"/>
                <w:szCs w:val="21"/>
              </w:rPr>
              <w:t xml:space="preserve"> and are addressed by other initiatives</w:t>
            </w:r>
            <w:r w:rsidR="002240F3">
              <w:rPr>
                <w:rFonts w:eastAsia="Calibri"/>
                <w:noProof/>
                <w:sz w:val="21"/>
                <w:szCs w:val="21"/>
              </w:rPr>
              <w:t>,</w:t>
            </w:r>
            <w:r w:rsidR="00AD2D5F">
              <w:rPr>
                <w:rFonts w:eastAsia="Calibri"/>
                <w:noProof/>
                <w:sz w:val="21"/>
                <w:szCs w:val="21"/>
              </w:rPr>
              <w:t xml:space="preserve"> </w:t>
            </w:r>
            <w:r w:rsidR="00E13D95">
              <w:rPr>
                <w:rFonts w:eastAsia="Calibri"/>
                <w:noProof/>
                <w:sz w:val="21"/>
                <w:szCs w:val="21"/>
              </w:rPr>
              <w:t>can also contribute to the general objectives of enhancing multimodality and modal shift towards more sustainable modes of transport.</w:t>
            </w:r>
            <w:r w:rsidR="00AD2D5F">
              <w:rPr>
                <w:rFonts w:eastAsia="Calibri"/>
                <w:noProof/>
                <w:sz w:val="21"/>
                <w:szCs w:val="21"/>
              </w:rPr>
              <w:t xml:space="preserve"> </w:t>
            </w:r>
          </w:p>
        </w:tc>
      </w:tr>
      <w:tr w:rsidR="00525939" w:rsidRPr="00D71008" w14:paraId="1E05ECCF" w14:textId="77777777" w:rsidTr="00CE5BBD">
        <w:trPr>
          <w:trHeight w:val="300"/>
        </w:trPr>
        <w:tc>
          <w:tcPr>
            <w:tcW w:w="3539" w:type="dxa"/>
            <w:tcBorders>
              <w:top w:val="single" w:sz="4" w:space="0" w:color="auto"/>
              <w:left w:val="single" w:sz="4" w:space="0" w:color="auto"/>
              <w:bottom w:val="single" w:sz="4" w:space="0" w:color="auto"/>
              <w:right w:val="single" w:sz="4" w:space="0" w:color="auto"/>
            </w:tcBorders>
          </w:tcPr>
          <w:p w14:paraId="7B1BD6D9" w14:textId="1F8754A8" w:rsidR="00525939" w:rsidRPr="00525939" w:rsidRDefault="00B61D85">
            <w:pPr>
              <w:adjustRightInd w:val="0"/>
              <w:spacing w:after="120"/>
              <w:jc w:val="both"/>
              <w:rPr>
                <w:noProof/>
                <w:sz w:val="21"/>
                <w:szCs w:val="21"/>
              </w:rPr>
            </w:pPr>
            <w:r w:rsidRPr="00B61D85">
              <w:rPr>
                <w:noProof/>
                <w:sz w:val="21"/>
                <w:szCs w:val="21"/>
              </w:rPr>
              <w:t>(4) The analysis of unintended consequences should be significantly strengthened, including the risks that incumbent RUs would decide to move out of scope of PM14 (‘hosting obligation’) by only selling tickets of services they operate directly, thus potentially leading to the opposite than the intended effect. The additional administrative burden on undertakings and public authorities for the identification of indispensable actors</w:t>
            </w:r>
            <w:r>
              <w:rPr>
                <w:noProof/>
                <w:sz w:val="21"/>
                <w:szCs w:val="21"/>
              </w:rPr>
              <w:t xml:space="preserve"> </w:t>
            </w:r>
            <w:r w:rsidRPr="00B61D85">
              <w:rPr>
                <w:noProof/>
                <w:sz w:val="21"/>
                <w:szCs w:val="21"/>
              </w:rPr>
              <w:t>and the control of commercial agreements on distribution fees (PM9-12) should be enhanced in light of simplification efforts and the one-in, one-out approach.</w:t>
            </w:r>
          </w:p>
        </w:tc>
        <w:tc>
          <w:tcPr>
            <w:tcW w:w="6064" w:type="dxa"/>
            <w:tcBorders>
              <w:top w:val="single" w:sz="4" w:space="0" w:color="auto"/>
              <w:left w:val="single" w:sz="4" w:space="0" w:color="auto"/>
              <w:bottom w:val="single" w:sz="4" w:space="0" w:color="auto"/>
              <w:right w:val="single" w:sz="4" w:space="0" w:color="auto"/>
            </w:tcBorders>
          </w:tcPr>
          <w:p w14:paraId="059155F5" w14:textId="2E7C263E" w:rsidR="009E3209" w:rsidRDefault="00A00307">
            <w:pPr>
              <w:spacing w:after="120"/>
              <w:jc w:val="both"/>
              <w:rPr>
                <w:rFonts w:eastAsia="Calibri"/>
                <w:noProof/>
                <w:sz w:val="21"/>
                <w:szCs w:val="21"/>
              </w:rPr>
            </w:pPr>
            <w:r>
              <w:rPr>
                <w:rFonts w:eastAsia="Calibri"/>
                <w:noProof/>
                <w:sz w:val="21"/>
                <w:szCs w:val="21"/>
              </w:rPr>
              <w:t xml:space="preserve">Clarification </w:t>
            </w:r>
            <w:r w:rsidR="00C10C6E">
              <w:rPr>
                <w:rFonts w:eastAsia="Calibri"/>
                <w:noProof/>
                <w:sz w:val="21"/>
                <w:szCs w:val="21"/>
              </w:rPr>
              <w:t xml:space="preserve">has been added </w:t>
            </w:r>
            <w:r w:rsidR="00C56B19">
              <w:rPr>
                <w:rFonts w:eastAsia="Calibri"/>
                <w:noProof/>
                <w:sz w:val="21"/>
                <w:szCs w:val="21"/>
              </w:rPr>
              <w:t>in</w:t>
            </w:r>
            <w:r w:rsidR="00C56B19" w:rsidDel="00F01E8D">
              <w:rPr>
                <w:rFonts w:eastAsia="Calibri"/>
                <w:noProof/>
                <w:sz w:val="21"/>
                <w:szCs w:val="21"/>
              </w:rPr>
              <w:t xml:space="preserve"> </w:t>
            </w:r>
            <w:r w:rsidR="00F01E8D">
              <w:rPr>
                <w:rFonts w:eastAsia="Calibri"/>
                <w:noProof/>
                <w:sz w:val="21"/>
                <w:szCs w:val="21"/>
              </w:rPr>
              <w:t>section</w:t>
            </w:r>
            <w:r w:rsidR="00C56B19">
              <w:rPr>
                <w:rFonts w:eastAsia="Calibri"/>
                <w:noProof/>
                <w:sz w:val="21"/>
                <w:szCs w:val="21"/>
              </w:rPr>
              <w:t xml:space="preserve"> 6</w:t>
            </w:r>
            <w:r w:rsidR="004378B9">
              <w:rPr>
                <w:rFonts w:eastAsia="Calibri"/>
                <w:noProof/>
                <w:sz w:val="21"/>
                <w:szCs w:val="21"/>
              </w:rPr>
              <w:t>.1.8</w:t>
            </w:r>
            <w:r w:rsidR="00C56B19">
              <w:rPr>
                <w:rFonts w:eastAsia="Calibri"/>
                <w:noProof/>
                <w:sz w:val="21"/>
                <w:szCs w:val="21"/>
              </w:rPr>
              <w:t xml:space="preserve"> </w:t>
            </w:r>
            <w:r w:rsidR="00C10C6E">
              <w:rPr>
                <w:rFonts w:eastAsia="Calibri"/>
                <w:noProof/>
                <w:sz w:val="21"/>
                <w:szCs w:val="21"/>
              </w:rPr>
              <w:t>on the risk that incumbent RUs would decide to move out of scope of PM14</w:t>
            </w:r>
            <w:r w:rsidR="00C56B19">
              <w:rPr>
                <w:rFonts w:eastAsia="Calibri"/>
                <w:noProof/>
                <w:sz w:val="21"/>
                <w:szCs w:val="21"/>
              </w:rPr>
              <w:t xml:space="preserve"> by only selling tickets of services they operate directly, thus potentially leading to the opposite than the intended effect. </w:t>
            </w:r>
            <w:r w:rsidR="00323751">
              <w:rPr>
                <w:rFonts w:eastAsia="Calibri"/>
                <w:noProof/>
                <w:sz w:val="21"/>
                <w:szCs w:val="21"/>
              </w:rPr>
              <w:t xml:space="preserve">It is explained that the </w:t>
            </w:r>
            <w:r w:rsidR="00184CBC">
              <w:rPr>
                <w:rFonts w:eastAsia="Calibri"/>
                <w:noProof/>
                <w:sz w:val="21"/>
                <w:szCs w:val="21"/>
              </w:rPr>
              <w:t>initiative</w:t>
            </w:r>
            <w:r w:rsidR="00323751">
              <w:rPr>
                <w:rFonts w:eastAsia="Calibri"/>
                <w:noProof/>
                <w:sz w:val="21"/>
                <w:szCs w:val="21"/>
              </w:rPr>
              <w:t xml:space="preserve"> </w:t>
            </w:r>
            <w:r w:rsidR="00D15E05">
              <w:rPr>
                <w:rFonts w:eastAsia="Calibri"/>
                <w:noProof/>
                <w:sz w:val="21"/>
                <w:szCs w:val="21"/>
              </w:rPr>
              <w:t xml:space="preserve">can avoid this risk by referring to the past practice of </w:t>
            </w:r>
            <w:r w:rsidR="00554397">
              <w:rPr>
                <w:rFonts w:eastAsia="Calibri"/>
                <w:noProof/>
                <w:sz w:val="21"/>
                <w:szCs w:val="21"/>
              </w:rPr>
              <w:t>incumbent R</w:t>
            </w:r>
            <w:r w:rsidR="00184CBC">
              <w:rPr>
                <w:rFonts w:eastAsia="Calibri"/>
                <w:noProof/>
                <w:sz w:val="21"/>
                <w:szCs w:val="21"/>
              </w:rPr>
              <w:t>U</w:t>
            </w:r>
            <w:r w:rsidR="00554397">
              <w:rPr>
                <w:rFonts w:eastAsia="Calibri"/>
                <w:noProof/>
                <w:sz w:val="21"/>
                <w:szCs w:val="21"/>
              </w:rPr>
              <w:t>s.</w:t>
            </w:r>
            <w:r w:rsidR="00323751">
              <w:rPr>
                <w:rFonts w:eastAsia="Calibri"/>
                <w:noProof/>
                <w:sz w:val="21"/>
                <w:szCs w:val="21"/>
              </w:rPr>
              <w:t xml:space="preserve"> </w:t>
            </w:r>
          </w:p>
          <w:p w14:paraId="57DF48A6" w14:textId="08A793AD" w:rsidR="00525939" w:rsidRDefault="00B86110">
            <w:pPr>
              <w:spacing w:after="120"/>
              <w:jc w:val="both"/>
              <w:rPr>
                <w:rFonts w:eastAsia="Calibri"/>
                <w:noProof/>
                <w:sz w:val="21"/>
                <w:szCs w:val="21"/>
              </w:rPr>
            </w:pPr>
            <w:r>
              <w:rPr>
                <w:rFonts w:eastAsia="Calibri"/>
                <w:noProof/>
                <w:sz w:val="21"/>
                <w:szCs w:val="21"/>
              </w:rPr>
              <w:t xml:space="preserve">Additional </w:t>
            </w:r>
            <w:r w:rsidR="009E3209">
              <w:rPr>
                <w:rFonts w:eastAsia="Calibri"/>
                <w:noProof/>
                <w:sz w:val="21"/>
                <w:szCs w:val="21"/>
              </w:rPr>
              <w:t>explanations were</w:t>
            </w:r>
            <w:r>
              <w:rPr>
                <w:rFonts w:eastAsia="Calibri"/>
                <w:noProof/>
                <w:sz w:val="21"/>
                <w:szCs w:val="21"/>
              </w:rPr>
              <w:t xml:space="preserve"> provided in </w:t>
            </w:r>
            <w:r w:rsidR="009E3209">
              <w:rPr>
                <w:rFonts w:eastAsia="Calibri"/>
                <w:noProof/>
                <w:sz w:val="21"/>
                <w:szCs w:val="21"/>
              </w:rPr>
              <w:t xml:space="preserve">sections </w:t>
            </w:r>
            <w:r w:rsidR="008611FA">
              <w:rPr>
                <w:rFonts w:eastAsia="Calibri"/>
                <w:noProof/>
                <w:sz w:val="21"/>
                <w:szCs w:val="21"/>
              </w:rPr>
              <w:t xml:space="preserve">6.1.1, 6.1.3 and </w:t>
            </w:r>
            <w:r w:rsidR="00C26CEC">
              <w:rPr>
                <w:rFonts w:eastAsia="Calibri"/>
                <w:noProof/>
                <w:sz w:val="21"/>
                <w:szCs w:val="21"/>
              </w:rPr>
              <w:t>8.3</w:t>
            </w:r>
            <w:r>
              <w:rPr>
                <w:rFonts w:eastAsia="Calibri"/>
                <w:noProof/>
                <w:sz w:val="21"/>
                <w:szCs w:val="21"/>
              </w:rPr>
              <w:t xml:space="preserve"> on the </w:t>
            </w:r>
            <w:r w:rsidR="00C26CEC">
              <w:rPr>
                <w:rFonts w:eastAsia="Calibri"/>
                <w:noProof/>
                <w:sz w:val="21"/>
                <w:szCs w:val="21"/>
              </w:rPr>
              <w:t>additional administrative burden</w:t>
            </w:r>
            <w:r>
              <w:rPr>
                <w:rFonts w:eastAsia="Calibri"/>
                <w:noProof/>
                <w:sz w:val="21"/>
                <w:szCs w:val="21"/>
              </w:rPr>
              <w:t xml:space="preserve"> </w:t>
            </w:r>
            <w:r w:rsidR="00077330">
              <w:rPr>
                <w:rFonts w:eastAsia="Calibri"/>
                <w:noProof/>
                <w:sz w:val="21"/>
                <w:szCs w:val="21"/>
              </w:rPr>
              <w:t xml:space="preserve">for the identification </w:t>
            </w:r>
            <w:r w:rsidR="000438E5">
              <w:rPr>
                <w:rFonts w:eastAsia="Calibri"/>
                <w:noProof/>
                <w:sz w:val="21"/>
                <w:szCs w:val="21"/>
              </w:rPr>
              <w:t>o</w:t>
            </w:r>
            <w:r w:rsidR="00077330">
              <w:rPr>
                <w:rFonts w:eastAsia="Calibri"/>
                <w:noProof/>
                <w:sz w:val="21"/>
                <w:szCs w:val="21"/>
              </w:rPr>
              <w:t>f indispensable actors</w:t>
            </w:r>
            <w:r w:rsidR="000438E5">
              <w:rPr>
                <w:rFonts w:eastAsia="Calibri"/>
                <w:noProof/>
                <w:sz w:val="21"/>
                <w:szCs w:val="21"/>
              </w:rPr>
              <w:t>, building on Annex 4</w:t>
            </w:r>
            <w:r w:rsidR="00077330">
              <w:rPr>
                <w:rFonts w:eastAsia="Calibri"/>
                <w:noProof/>
                <w:sz w:val="21"/>
                <w:szCs w:val="21"/>
              </w:rPr>
              <w:t xml:space="preserve">. </w:t>
            </w:r>
            <w:r w:rsidR="00176FFF">
              <w:rPr>
                <w:rFonts w:eastAsia="Calibri"/>
                <w:noProof/>
                <w:sz w:val="21"/>
                <w:szCs w:val="21"/>
              </w:rPr>
              <w:t xml:space="preserve">It should be noted that these are kept to the minimum and the </w:t>
            </w:r>
            <w:r w:rsidR="00176FFF" w:rsidRPr="002770CC">
              <w:rPr>
                <w:noProof/>
                <w:spacing w:val="-8"/>
                <w:sz w:val="21"/>
                <w:szCs w:val="21"/>
              </w:rPr>
              <w:t>information already submitted through the Rail Market Monitoring Scheme</w:t>
            </w:r>
            <w:r w:rsidR="004A7427" w:rsidRPr="002770CC">
              <w:rPr>
                <w:noProof/>
                <w:spacing w:val="-8"/>
                <w:sz w:val="21"/>
                <w:szCs w:val="21"/>
              </w:rPr>
              <w:t xml:space="preserve"> will be exploited. </w:t>
            </w:r>
          </w:p>
          <w:p w14:paraId="760E4F52" w14:textId="539BDC01" w:rsidR="00525939" w:rsidRPr="00143775" w:rsidRDefault="00525939">
            <w:pPr>
              <w:spacing w:after="120"/>
              <w:jc w:val="both"/>
              <w:rPr>
                <w:rFonts w:eastAsia="Calibri"/>
                <w:noProof/>
                <w:sz w:val="21"/>
                <w:szCs w:val="21"/>
              </w:rPr>
            </w:pPr>
          </w:p>
        </w:tc>
      </w:tr>
      <w:tr w:rsidR="0027771E" w:rsidRPr="00D71008" w14:paraId="26492974" w14:textId="77777777" w:rsidTr="00CE5BBD">
        <w:trPr>
          <w:trHeight w:val="300"/>
        </w:trPr>
        <w:tc>
          <w:tcPr>
            <w:tcW w:w="3539" w:type="dxa"/>
            <w:tcBorders>
              <w:top w:val="single" w:sz="4" w:space="0" w:color="auto"/>
              <w:left w:val="single" w:sz="4" w:space="0" w:color="auto"/>
              <w:bottom w:val="single" w:sz="4" w:space="0" w:color="auto"/>
              <w:right w:val="single" w:sz="4" w:space="0" w:color="auto"/>
            </w:tcBorders>
          </w:tcPr>
          <w:p w14:paraId="529714DF" w14:textId="0B528CD3" w:rsidR="0027771E" w:rsidRPr="00B61D85" w:rsidRDefault="0027771E" w:rsidP="00E01373">
            <w:pPr>
              <w:adjustRightInd w:val="0"/>
              <w:spacing w:after="120"/>
              <w:jc w:val="both"/>
              <w:rPr>
                <w:noProof/>
                <w:sz w:val="21"/>
                <w:szCs w:val="21"/>
              </w:rPr>
            </w:pPr>
            <w:r w:rsidRPr="0027771E">
              <w:rPr>
                <w:noProof/>
                <w:sz w:val="21"/>
                <w:szCs w:val="21"/>
              </w:rPr>
              <w:t>(5) While an effort was made to quantify the benefits, the expected contribution of the intervention to modal shift is based on methodology and assumptions which have limitations as they rely on stated preferences, expert judgment and opinions of stakeholders. Consequently, the benefits resulting from the estimated modal shift should not be included in the cost benefit analysis and the comparison of the options should be revised.</w:t>
            </w:r>
          </w:p>
        </w:tc>
        <w:tc>
          <w:tcPr>
            <w:tcW w:w="6064" w:type="dxa"/>
            <w:tcBorders>
              <w:top w:val="single" w:sz="4" w:space="0" w:color="auto"/>
              <w:left w:val="single" w:sz="4" w:space="0" w:color="auto"/>
              <w:bottom w:val="single" w:sz="4" w:space="0" w:color="auto"/>
              <w:right w:val="single" w:sz="4" w:space="0" w:color="auto"/>
            </w:tcBorders>
          </w:tcPr>
          <w:p w14:paraId="09600014" w14:textId="2E3EED36" w:rsidR="001143CC" w:rsidRDefault="00125667" w:rsidP="00A34EB0">
            <w:pPr>
              <w:spacing w:after="120"/>
              <w:jc w:val="both"/>
              <w:rPr>
                <w:rFonts w:eastAsia="Calibri"/>
                <w:noProof/>
                <w:sz w:val="21"/>
                <w:szCs w:val="21"/>
              </w:rPr>
            </w:pPr>
            <w:r>
              <w:rPr>
                <w:rFonts w:eastAsia="Calibri"/>
                <w:noProof/>
                <w:sz w:val="21"/>
                <w:szCs w:val="21"/>
              </w:rPr>
              <w:t xml:space="preserve">The </w:t>
            </w:r>
            <w:r w:rsidR="006C5403">
              <w:rPr>
                <w:rFonts w:eastAsia="Calibri"/>
                <w:noProof/>
                <w:sz w:val="21"/>
                <w:szCs w:val="21"/>
              </w:rPr>
              <w:t>introduction</w:t>
            </w:r>
            <w:r>
              <w:rPr>
                <w:rFonts w:eastAsia="Calibri"/>
                <w:noProof/>
                <w:sz w:val="21"/>
                <w:szCs w:val="21"/>
              </w:rPr>
              <w:t xml:space="preserve"> to the </w:t>
            </w:r>
            <w:r w:rsidR="006C5403">
              <w:rPr>
                <w:rFonts w:eastAsia="Calibri"/>
                <w:noProof/>
                <w:sz w:val="21"/>
                <w:szCs w:val="21"/>
              </w:rPr>
              <w:t>section 6 has been revised to explain that a</w:t>
            </w:r>
            <w:r w:rsidR="006C5403" w:rsidRPr="006C5403">
              <w:rPr>
                <w:rFonts w:eastAsia="Calibri"/>
                <w:noProof/>
                <w:sz w:val="21"/>
                <w:szCs w:val="21"/>
              </w:rPr>
              <w:t>ssumptions based on stated preferences represent a scientifically sound method to capture expected modal shift, especially when no real-life evidence is available based on historical data.</w:t>
            </w:r>
            <w:r>
              <w:rPr>
                <w:rFonts w:eastAsia="Calibri"/>
                <w:noProof/>
                <w:sz w:val="21"/>
                <w:szCs w:val="21"/>
              </w:rPr>
              <w:t xml:space="preserve"> </w:t>
            </w:r>
            <w:r w:rsidR="001143CC" w:rsidRPr="001143CC">
              <w:rPr>
                <w:rFonts w:eastAsia="Calibri"/>
                <w:noProof/>
                <w:sz w:val="21"/>
                <w:szCs w:val="21"/>
              </w:rPr>
              <w:t>The maximum potential modal shift</w:t>
            </w:r>
            <w:r w:rsidR="001143CC">
              <w:rPr>
                <w:rFonts w:eastAsia="Calibri"/>
                <w:noProof/>
                <w:sz w:val="21"/>
                <w:szCs w:val="21"/>
              </w:rPr>
              <w:t xml:space="preserve"> presented</w:t>
            </w:r>
            <w:r w:rsidR="001143CC" w:rsidRPr="001143CC">
              <w:rPr>
                <w:rFonts w:eastAsia="Calibri"/>
                <w:noProof/>
                <w:sz w:val="21"/>
                <w:szCs w:val="21"/>
              </w:rPr>
              <w:t xml:space="preserve"> is considered to be a conservative estimate, as it does not capture stated preferences on change in behaviour among individuals who already book such journeys but might do so more frequently in the future, due to the improvement of the ticketing system.</w:t>
            </w:r>
          </w:p>
          <w:p w14:paraId="090880FD" w14:textId="6E0579B7" w:rsidR="0027771E" w:rsidRPr="00143775" w:rsidRDefault="00F84570" w:rsidP="00E01373">
            <w:pPr>
              <w:spacing w:after="120"/>
              <w:jc w:val="both"/>
              <w:rPr>
                <w:rFonts w:eastAsia="Calibri"/>
                <w:noProof/>
                <w:sz w:val="21"/>
                <w:szCs w:val="21"/>
              </w:rPr>
            </w:pPr>
            <w:r>
              <w:rPr>
                <w:rFonts w:eastAsia="Calibri"/>
                <w:noProof/>
                <w:sz w:val="21"/>
                <w:szCs w:val="21"/>
              </w:rPr>
              <w:t>However, t</w:t>
            </w:r>
            <w:r w:rsidR="00240E7A">
              <w:rPr>
                <w:rFonts w:eastAsia="Calibri"/>
                <w:noProof/>
                <w:sz w:val="21"/>
                <w:szCs w:val="21"/>
              </w:rPr>
              <w:t>o</w:t>
            </w:r>
            <w:r w:rsidR="00240E7A" w:rsidRPr="00582F5E">
              <w:rPr>
                <w:rFonts w:eastAsia="Calibri"/>
                <w:noProof/>
                <w:sz w:val="21"/>
                <w:szCs w:val="21"/>
              </w:rPr>
              <w:t xml:space="preserve"> </w:t>
            </w:r>
            <w:r w:rsidR="002E1F51">
              <w:rPr>
                <w:rFonts w:eastAsia="Calibri"/>
                <w:noProof/>
                <w:sz w:val="21"/>
                <w:szCs w:val="21"/>
              </w:rPr>
              <w:t xml:space="preserve">further </w:t>
            </w:r>
            <w:r w:rsidR="007E2505" w:rsidRPr="002770CC">
              <w:rPr>
                <w:noProof/>
                <w:sz w:val="21"/>
                <w:szCs w:val="21"/>
              </w:rPr>
              <w:t>acknowledge the uncertainty related to the estimated modal shift</w:t>
            </w:r>
            <w:r w:rsidR="002E1F51">
              <w:rPr>
                <w:noProof/>
                <w:sz w:val="21"/>
                <w:szCs w:val="21"/>
              </w:rPr>
              <w:t xml:space="preserve"> (in addition to the sensitivity analysis presented in section 7.6)</w:t>
            </w:r>
            <w:r w:rsidR="008F47FA">
              <w:rPr>
                <w:rFonts w:eastAsia="Calibri"/>
                <w:noProof/>
                <w:sz w:val="21"/>
                <w:szCs w:val="21"/>
              </w:rPr>
              <w:t>,</w:t>
            </w:r>
            <w:r w:rsidR="003D1149" w:rsidRPr="00582F5E">
              <w:rPr>
                <w:rFonts w:eastAsia="Calibri"/>
                <w:noProof/>
                <w:sz w:val="21"/>
                <w:szCs w:val="21"/>
              </w:rPr>
              <w:t xml:space="preserve"> section 7.2 </w:t>
            </w:r>
            <w:r w:rsidR="005F768A" w:rsidRPr="00582F5E">
              <w:rPr>
                <w:rFonts w:eastAsia="Calibri"/>
                <w:noProof/>
                <w:sz w:val="21"/>
                <w:szCs w:val="21"/>
              </w:rPr>
              <w:t xml:space="preserve">of the revised IA report </w:t>
            </w:r>
            <w:r w:rsidR="003D1149" w:rsidRPr="00582F5E">
              <w:rPr>
                <w:rFonts w:eastAsia="Calibri"/>
                <w:noProof/>
                <w:sz w:val="21"/>
                <w:szCs w:val="21"/>
              </w:rPr>
              <w:t xml:space="preserve">first presents the </w:t>
            </w:r>
            <w:r w:rsidR="00724247" w:rsidRPr="00582F5E">
              <w:rPr>
                <w:rFonts w:eastAsia="Calibri"/>
                <w:noProof/>
                <w:sz w:val="21"/>
                <w:szCs w:val="21"/>
              </w:rPr>
              <w:t>cost benefit analysis ex</w:t>
            </w:r>
            <w:r w:rsidR="00416723" w:rsidRPr="00582F5E">
              <w:rPr>
                <w:rFonts w:eastAsia="Calibri"/>
                <w:noProof/>
                <w:sz w:val="21"/>
                <w:szCs w:val="21"/>
              </w:rPr>
              <w:t xml:space="preserve">cluding the external costs savings </w:t>
            </w:r>
            <w:r w:rsidR="00483AC3" w:rsidRPr="00582F5E">
              <w:rPr>
                <w:rFonts w:eastAsia="Calibri"/>
                <w:noProof/>
                <w:sz w:val="21"/>
                <w:szCs w:val="21"/>
              </w:rPr>
              <w:t xml:space="preserve">(due to modal shift) followed by a presentation </w:t>
            </w:r>
            <w:r w:rsidR="005F768A" w:rsidRPr="00582F5E">
              <w:rPr>
                <w:rFonts w:eastAsia="Calibri"/>
                <w:noProof/>
                <w:sz w:val="21"/>
                <w:szCs w:val="21"/>
              </w:rPr>
              <w:t xml:space="preserve">including the external costs savings. </w:t>
            </w:r>
            <w:r w:rsidR="001D7058" w:rsidRPr="002770CC">
              <w:rPr>
                <w:noProof/>
                <w:sz w:val="21"/>
                <w:szCs w:val="21"/>
              </w:rPr>
              <w:t>It should however be noted that excluding external costs savings represents an extremely conservative approach,</w:t>
            </w:r>
            <w:r w:rsidR="002260DD">
              <w:rPr>
                <w:noProof/>
                <w:sz w:val="21"/>
                <w:szCs w:val="21"/>
              </w:rPr>
              <w:t xml:space="preserve"> </w:t>
            </w:r>
            <w:r w:rsidR="001D7058" w:rsidRPr="002770CC">
              <w:rPr>
                <w:noProof/>
                <w:sz w:val="21"/>
                <w:szCs w:val="21"/>
              </w:rPr>
              <w:t xml:space="preserve">considering that the estimated modal shift and the associated external costs </w:t>
            </w:r>
            <w:r w:rsidR="007E2505" w:rsidRPr="002770CC">
              <w:rPr>
                <w:noProof/>
                <w:sz w:val="21"/>
                <w:szCs w:val="21"/>
              </w:rPr>
              <w:t>savings</w:t>
            </w:r>
            <w:r w:rsidR="001D7058" w:rsidRPr="002770CC">
              <w:rPr>
                <w:noProof/>
                <w:sz w:val="21"/>
                <w:szCs w:val="21"/>
              </w:rPr>
              <w:t xml:space="preserve"> already represent conservative estimates</w:t>
            </w:r>
            <w:r w:rsidR="00B50C8A">
              <w:rPr>
                <w:noProof/>
                <w:sz w:val="21"/>
                <w:szCs w:val="21"/>
              </w:rPr>
              <w:t xml:space="preserve"> </w:t>
            </w:r>
            <w:r w:rsidR="005861B9">
              <w:rPr>
                <w:noProof/>
                <w:sz w:val="21"/>
                <w:szCs w:val="21"/>
              </w:rPr>
              <w:t>and that</w:t>
            </w:r>
            <w:r w:rsidR="00B50C8A">
              <w:rPr>
                <w:noProof/>
                <w:sz w:val="21"/>
                <w:szCs w:val="21"/>
              </w:rPr>
              <w:t xml:space="preserve"> a major benefit of the initiative – that is passengers’ saving</w:t>
            </w:r>
            <w:r w:rsidR="009121D9">
              <w:rPr>
                <w:noProof/>
                <w:sz w:val="21"/>
                <w:szCs w:val="21"/>
              </w:rPr>
              <w:t>s</w:t>
            </w:r>
            <w:r w:rsidR="00B50C8A">
              <w:rPr>
                <w:noProof/>
                <w:sz w:val="21"/>
                <w:szCs w:val="21"/>
              </w:rPr>
              <w:t xml:space="preserve"> on travel time, search time, and ticket price – was only reported in qualitative terms in view of the uncertainty in quantification</w:t>
            </w:r>
            <w:r w:rsidR="001D7058">
              <w:rPr>
                <w:noProof/>
                <w:spacing w:val="-8"/>
              </w:rPr>
              <w:t>.</w:t>
            </w:r>
            <w:r w:rsidR="005861B9">
              <w:rPr>
                <w:noProof/>
                <w:spacing w:val="-8"/>
              </w:rPr>
              <w:t xml:space="preserve"> </w:t>
            </w:r>
            <w:r w:rsidR="001D7058">
              <w:rPr>
                <w:noProof/>
                <w:spacing w:val="-8"/>
              </w:rPr>
              <w:t xml:space="preserve">  </w:t>
            </w:r>
          </w:p>
        </w:tc>
      </w:tr>
      <w:tr w:rsidR="0027771E" w:rsidRPr="00D71008" w14:paraId="6D1EC75C" w14:textId="77777777" w:rsidTr="00CE5BBD">
        <w:trPr>
          <w:trHeight w:val="300"/>
        </w:trPr>
        <w:tc>
          <w:tcPr>
            <w:tcW w:w="3539" w:type="dxa"/>
            <w:tcBorders>
              <w:top w:val="single" w:sz="4" w:space="0" w:color="auto"/>
              <w:left w:val="single" w:sz="4" w:space="0" w:color="auto"/>
              <w:bottom w:val="single" w:sz="4" w:space="0" w:color="auto"/>
              <w:right w:val="single" w:sz="4" w:space="0" w:color="auto"/>
            </w:tcBorders>
          </w:tcPr>
          <w:p w14:paraId="0C08167C" w14:textId="356A78AD" w:rsidR="0027771E" w:rsidRPr="0027771E" w:rsidRDefault="0027771E" w:rsidP="00E01373">
            <w:pPr>
              <w:adjustRightInd w:val="0"/>
              <w:spacing w:after="120"/>
              <w:jc w:val="both"/>
              <w:rPr>
                <w:noProof/>
                <w:sz w:val="21"/>
                <w:szCs w:val="21"/>
              </w:rPr>
            </w:pPr>
            <w:r w:rsidRPr="0027771E">
              <w:rPr>
                <w:noProof/>
                <w:sz w:val="21"/>
                <w:szCs w:val="21"/>
              </w:rPr>
              <w:t>(6) In light of the far-reaching nature of some of the measures (such as PM13, PM14, PM15), the impact on market dynamics and market power, competition and innovation should be better assessed, including on indispensable RUs, willing RUs and willing MDMS platforms. The report should detail better what the impacts are of PM13 (‘sharing obligation’) compared to PM14 (‘hosting obligation’) for incumbent RUs and how the resulting increase in costs for RUs is likely to impact the rail sector operation overall, including potential pass-through costs to consumers. It should discuss the business model underlying the sharing obligation and whether independent platforms are supposed to pay the operators for the provision of transport data or vice-versa.</w:t>
            </w:r>
          </w:p>
        </w:tc>
        <w:tc>
          <w:tcPr>
            <w:tcW w:w="6064" w:type="dxa"/>
            <w:tcBorders>
              <w:top w:val="single" w:sz="4" w:space="0" w:color="auto"/>
              <w:left w:val="single" w:sz="4" w:space="0" w:color="auto"/>
              <w:bottom w:val="single" w:sz="4" w:space="0" w:color="auto"/>
              <w:right w:val="single" w:sz="4" w:space="0" w:color="auto"/>
            </w:tcBorders>
          </w:tcPr>
          <w:p w14:paraId="15376405" w14:textId="3E181197" w:rsidR="00EC3E16" w:rsidRDefault="00B61389" w:rsidP="00E01373">
            <w:pPr>
              <w:spacing w:after="120"/>
              <w:jc w:val="both"/>
              <w:rPr>
                <w:rFonts w:eastAsia="Calibri"/>
                <w:noProof/>
                <w:sz w:val="21"/>
                <w:szCs w:val="21"/>
              </w:rPr>
            </w:pPr>
            <w:r>
              <w:rPr>
                <w:rFonts w:eastAsia="Calibri"/>
                <w:noProof/>
                <w:sz w:val="21"/>
                <w:szCs w:val="21"/>
              </w:rPr>
              <w:t xml:space="preserve">Additional </w:t>
            </w:r>
            <w:r w:rsidR="009267A3">
              <w:rPr>
                <w:rFonts w:eastAsia="Calibri"/>
                <w:noProof/>
                <w:sz w:val="21"/>
                <w:szCs w:val="21"/>
              </w:rPr>
              <w:t>explanations have</w:t>
            </w:r>
            <w:r>
              <w:rPr>
                <w:rFonts w:eastAsia="Calibri"/>
                <w:noProof/>
                <w:sz w:val="21"/>
                <w:szCs w:val="21"/>
              </w:rPr>
              <w:t xml:space="preserve"> been added in </w:t>
            </w:r>
            <w:r w:rsidR="00E62038">
              <w:rPr>
                <w:rFonts w:eastAsia="Calibri"/>
                <w:noProof/>
                <w:sz w:val="21"/>
                <w:szCs w:val="21"/>
              </w:rPr>
              <w:t>s</w:t>
            </w:r>
            <w:r w:rsidR="004E341A">
              <w:rPr>
                <w:rFonts w:eastAsia="Calibri"/>
                <w:noProof/>
                <w:sz w:val="21"/>
                <w:szCs w:val="21"/>
              </w:rPr>
              <w:t>ection</w:t>
            </w:r>
            <w:r>
              <w:rPr>
                <w:rFonts w:eastAsia="Calibri"/>
                <w:noProof/>
                <w:sz w:val="21"/>
                <w:szCs w:val="21"/>
              </w:rPr>
              <w:t xml:space="preserve"> 6.</w:t>
            </w:r>
            <w:r w:rsidR="002F41AE">
              <w:rPr>
                <w:rFonts w:eastAsia="Calibri"/>
                <w:noProof/>
                <w:sz w:val="21"/>
                <w:szCs w:val="21"/>
              </w:rPr>
              <w:t>1.8</w:t>
            </w:r>
            <w:r w:rsidR="008C7B9B">
              <w:rPr>
                <w:rFonts w:eastAsia="Calibri"/>
                <w:noProof/>
                <w:sz w:val="21"/>
                <w:szCs w:val="21"/>
              </w:rPr>
              <w:t xml:space="preserve">. </w:t>
            </w:r>
            <w:r w:rsidR="00154FFC">
              <w:rPr>
                <w:rFonts w:eastAsia="Calibri"/>
                <w:noProof/>
                <w:sz w:val="21"/>
                <w:szCs w:val="21"/>
              </w:rPr>
              <w:t>These concern</w:t>
            </w:r>
            <w:r w:rsidR="00306997">
              <w:rPr>
                <w:rFonts w:eastAsia="Calibri"/>
                <w:noProof/>
                <w:sz w:val="21"/>
                <w:szCs w:val="21"/>
              </w:rPr>
              <w:t xml:space="preserve"> the expected costs o</w:t>
            </w:r>
            <w:r w:rsidR="004C35D7">
              <w:rPr>
                <w:rFonts w:eastAsia="Calibri"/>
                <w:noProof/>
                <w:sz w:val="21"/>
                <w:szCs w:val="21"/>
              </w:rPr>
              <w:t xml:space="preserve">f vertically integrated platforms for offering </w:t>
            </w:r>
            <w:r w:rsidR="0031313B">
              <w:rPr>
                <w:rFonts w:eastAsia="Calibri"/>
                <w:noProof/>
                <w:sz w:val="21"/>
                <w:szCs w:val="21"/>
              </w:rPr>
              <w:t>the</w:t>
            </w:r>
            <w:r w:rsidR="004C35D7">
              <w:rPr>
                <w:rFonts w:eastAsia="Calibri"/>
                <w:noProof/>
                <w:sz w:val="21"/>
                <w:szCs w:val="21"/>
              </w:rPr>
              <w:t xml:space="preserve"> distribution services they already </w:t>
            </w:r>
            <w:r w:rsidR="00C50888">
              <w:rPr>
                <w:rFonts w:eastAsia="Calibri"/>
                <w:noProof/>
                <w:sz w:val="21"/>
                <w:szCs w:val="21"/>
              </w:rPr>
              <w:t>provide for</w:t>
            </w:r>
            <w:r w:rsidR="004C35D7">
              <w:rPr>
                <w:rFonts w:eastAsia="Calibri"/>
                <w:noProof/>
                <w:sz w:val="21"/>
                <w:szCs w:val="21"/>
              </w:rPr>
              <w:t xml:space="preserve"> other operators to additional requesting companies</w:t>
            </w:r>
            <w:r w:rsidR="00967496">
              <w:rPr>
                <w:rFonts w:eastAsia="Calibri"/>
                <w:noProof/>
                <w:sz w:val="21"/>
                <w:szCs w:val="21"/>
              </w:rPr>
              <w:t>, as well as the commission fees that arise when a platform sells a ticket on behalf of an RU.</w:t>
            </w:r>
            <w:r w:rsidR="00FF58A9">
              <w:rPr>
                <w:rFonts w:eastAsia="Calibri"/>
                <w:noProof/>
                <w:sz w:val="21"/>
                <w:szCs w:val="21"/>
              </w:rPr>
              <w:t xml:space="preserve"> It is explained that </w:t>
            </w:r>
            <w:r w:rsidR="00AC0FE7">
              <w:rPr>
                <w:rFonts w:eastAsia="Calibri"/>
                <w:noProof/>
                <w:sz w:val="21"/>
                <w:szCs w:val="21"/>
              </w:rPr>
              <w:t>neither R</w:t>
            </w:r>
            <w:r w:rsidR="006D53DB">
              <w:rPr>
                <w:rFonts w:eastAsia="Calibri"/>
                <w:noProof/>
                <w:sz w:val="21"/>
                <w:szCs w:val="21"/>
              </w:rPr>
              <w:t>U</w:t>
            </w:r>
            <w:r w:rsidR="00AC0FE7">
              <w:rPr>
                <w:rFonts w:eastAsia="Calibri"/>
                <w:noProof/>
                <w:sz w:val="21"/>
                <w:szCs w:val="21"/>
              </w:rPr>
              <w:t>s nor platforms</w:t>
            </w:r>
            <w:r w:rsidR="006D53DB">
              <w:rPr>
                <w:rFonts w:eastAsia="Calibri"/>
                <w:noProof/>
                <w:sz w:val="21"/>
                <w:szCs w:val="21"/>
              </w:rPr>
              <w:t xml:space="preserve"> w</w:t>
            </w:r>
            <w:r w:rsidR="00CC4C0F">
              <w:rPr>
                <w:rFonts w:eastAsia="Calibri"/>
                <w:noProof/>
                <w:sz w:val="21"/>
                <w:szCs w:val="21"/>
              </w:rPr>
              <w:t xml:space="preserve">ould </w:t>
            </w:r>
            <w:r w:rsidR="006D53DB">
              <w:rPr>
                <w:rFonts w:eastAsia="Calibri"/>
                <w:noProof/>
                <w:sz w:val="21"/>
                <w:szCs w:val="21"/>
              </w:rPr>
              <w:t xml:space="preserve">be required to </w:t>
            </w:r>
            <w:r w:rsidR="00FF5484">
              <w:rPr>
                <w:rFonts w:eastAsia="Calibri"/>
                <w:noProof/>
                <w:sz w:val="21"/>
                <w:szCs w:val="21"/>
              </w:rPr>
              <w:t xml:space="preserve">change business model or </w:t>
            </w:r>
            <w:r w:rsidR="00ED5833">
              <w:rPr>
                <w:rFonts w:eastAsia="Calibri"/>
                <w:noProof/>
                <w:sz w:val="21"/>
                <w:szCs w:val="21"/>
              </w:rPr>
              <w:t>engage in new activit</w:t>
            </w:r>
            <w:r w:rsidR="00FF5484">
              <w:rPr>
                <w:rFonts w:eastAsia="Calibri"/>
                <w:noProof/>
                <w:sz w:val="21"/>
                <w:szCs w:val="21"/>
              </w:rPr>
              <w:t xml:space="preserve">ies, but </w:t>
            </w:r>
            <w:r w:rsidR="00702899">
              <w:rPr>
                <w:rFonts w:eastAsia="Calibri"/>
                <w:noProof/>
                <w:sz w:val="21"/>
                <w:szCs w:val="21"/>
              </w:rPr>
              <w:t xml:space="preserve">that they would have </w:t>
            </w:r>
            <w:r w:rsidR="00CC4C0F">
              <w:rPr>
                <w:rFonts w:eastAsia="Calibri"/>
                <w:noProof/>
                <w:sz w:val="21"/>
                <w:szCs w:val="21"/>
              </w:rPr>
              <w:t xml:space="preserve">to provide their </w:t>
            </w:r>
            <w:r w:rsidR="0028629D">
              <w:rPr>
                <w:rFonts w:eastAsia="Calibri"/>
                <w:noProof/>
                <w:sz w:val="21"/>
                <w:szCs w:val="21"/>
              </w:rPr>
              <w:t xml:space="preserve">products or </w:t>
            </w:r>
            <w:r w:rsidR="00CC4C0F">
              <w:rPr>
                <w:rFonts w:eastAsia="Calibri"/>
                <w:noProof/>
                <w:sz w:val="21"/>
                <w:szCs w:val="21"/>
              </w:rPr>
              <w:t>services on non</w:t>
            </w:r>
            <w:r w:rsidR="0028629D">
              <w:rPr>
                <w:rFonts w:eastAsia="Calibri"/>
                <w:noProof/>
                <w:sz w:val="21"/>
                <w:szCs w:val="21"/>
              </w:rPr>
              <w:t>-discriminatory basis.</w:t>
            </w:r>
            <w:r w:rsidR="00021946">
              <w:rPr>
                <w:rFonts w:eastAsia="Calibri"/>
                <w:noProof/>
                <w:sz w:val="21"/>
                <w:szCs w:val="21"/>
              </w:rPr>
              <w:t xml:space="preserve"> Concerning the sharing obligation, it is explained that</w:t>
            </w:r>
            <w:r w:rsidR="00752E0B">
              <w:rPr>
                <w:rFonts w:eastAsia="Calibri"/>
                <w:noProof/>
                <w:sz w:val="21"/>
                <w:szCs w:val="21"/>
              </w:rPr>
              <w:t xml:space="preserve"> the </w:t>
            </w:r>
            <w:r w:rsidR="00A54BD1">
              <w:rPr>
                <w:rFonts w:eastAsia="Calibri"/>
                <w:noProof/>
                <w:sz w:val="21"/>
                <w:szCs w:val="21"/>
              </w:rPr>
              <w:t xml:space="preserve">normal </w:t>
            </w:r>
            <w:r w:rsidR="00752E0B" w:rsidRPr="00752E0B">
              <w:rPr>
                <w:rFonts w:eastAsia="Calibri"/>
                <w:noProof/>
                <w:sz w:val="21"/>
                <w:szCs w:val="21"/>
              </w:rPr>
              <w:t>business model</w:t>
            </w:r>
            <w:r w:rsidR="00A54BD1">
              <w:rPr>
                <w:rFonts w:eastAsia="Calibri"/>
                <w:noProof/>
                <w:sz w:val="21"/>
                <w:szCs w:val="21"/>
              </w:rPr>
              <w:t xml:space="preserve"> would apply</w:t>
            </w:r>
            <w:r w:rsidR="00752E0B" w:rsidRPr="00752E0B">
              <w:rPr>
                <w:rFonts w:eastAsia="Calibri"/>
                <w:noProof/>
                <w:sz w:val="21"/>
                <w:szCs w:val="21"/>
              </w:rPr>
              <w:t>, whereby RUs normally pay a distribution fee to platforms that sell their tickets</w:t>
            </w:r>
            <w:r w:rsidR="00D96B59">
              <w:rPr>
                <w:rFonts w:eastAsia="Calibri"/>
                <w:noProof/>
                <w:sz w:val="21"/>
                <w:szCs w:val="21"/>
              </w:rPr>
              <w:t xml:space="preserve">, while </w:t>
            </w:r>
            <w:r w:rsidR="00400E07">
              <w:rPr>
                <w:rFonts w:eastAsia="Calibri"/>
                <w:noProof/>
                <w:sz w:val="21"/>
                <w:szCs w:val="21"/>
              </w:rPr>
              <w:t>the proposal w</w:t>
            </w:r>
            <w:r w:rsidR="00752E0B" w:rsidRPr="00752E0B">
              <w:rPr>
                <w:rFonts w:eastAsia="Calibri"/>
                <w:noProof/>
                <w:sz w:val="21"/>
                <w:szCs w:val="21"/>
              </w:rPr>
              <w:t xml:space="preserve">ould ensure that distribution agreements are concluded on the basis of fair, reasonable and non-discriminatory (FRAND) conditions. </w:t>
            </w:r>
            <w:r w:rsidR="002C1C50">
              <w:rPr>
                <w:rFonts w:eastAsia="Calibri"/>
                <w:noProof/>
                <w:sz w:val="21"/>
                <w:szCs w:val="21"/>
              </w:rPr>
              <w:t xml:space="preserve">Concerning </w:t>
            </w:r>
            <w:r w:rsidR="00C0326C">
              <w:rPr>
                <w:rFonts w:eastAsia="Calibri"/>
                <w:noProof/>
                <w:sz w:val="21"/>
                <w:szCs w:val="21"/>
              </w:rPr>
              <w:t>the compared impacts of PM13 and PM14</w:t>
            </w:r>
            <w:r w:rsidR="002D463E">
              <w:rPr>
                <w:rFonts w:eastAsia="Calibri"/>
                <w:noProof/>
                <w:sz w:val="21"/>
                <w:szCs w:val="21"/>
              </w:rPr>
              <w:t>, t</w:t>
            </w:r>
            <w:r w:rsidR="00EC3E16" w:rsidRPr="00EC3E16">
              <w:rPr>
                <w:rFonts w:eastAsia="Calibri"/>
                <w:noProof/>
                <w:sz w:val="21"/>
                <w:szCs w:val="21"/>
              </w:rPr>
              <w:t xml:space="preserve">he </w:t>
            </w:r>
            <w:r w:rsidR="00D27613">
              <w:rPr>
                <w:rFonts w:eastAsia="Calibri"/>
                <w:noProof/>
                <w:sz w:val="21"/>
                <w:szCs w:val="21"/>
              </w:rPr>
              <w:t xml:space="preserve">link between the </w:t>
            </w:r>
            <w:r w:rsidR="00A63F7A">
              <w:rPr>
                <w:rFonts w:eastAsia="Calibri"/>
                <w:noProof/>
                <w:sz w:val="21"/>
                <w:szCs w:val="21"/>
              </w:rPr>
              <w:t xml:space="preserve">expected </w:t>
            </w:r>
            <w:r w:rsidR="00D27613">
              <w:rPr>
                <w:rFonts w:eastAsia="Calibri"/>
                <w:noProof/>
                <w:sz w:val="21"/>
                <w:szCs w:val="21"/>
              </w:rPr>
              <w:t>im</w:t>
            </w:r>
            <w:r w:rsidR="002271A3">
              <w:rPr>
                <w:rFonts w:eastAsia="Calibri"/>
                <w:noProof/>
                <w:sz w:val="21"/>
                <w:szCs w:val="21"/>
              </w:rPr>
              <w:t xml:space="preserve">pact of </w:t>
            </w:r>
            <w:r w:rsidR="00EC3E16" w:rsidRPr="00EC3E16">
              <w:rPr>
                <w:rFonts w:eastAsia="Calibri"/>
                <w:noProof/>
                <w:sz w:val="21"/>
                <w:szCs w:val="21"/>
              </w:rPr>
              <w:t>the hosting and sharing obligation</w:t>
            </w:r>
            <w:r w:rsidR="00D27613">
              <w:rPr>
                <w:rFonts w:eastAsia="Calibri"/>
                <w:noProof/>
                <w:sz w:val="21"/>
                <w:szCs w:val="21"/>
              </w:rPr>
              <w:t xml:space="preserve"> and </w:t>
            </w:r>
            <w:r w:rsidR="00EC3E16" w:rsidRPr="00EC3E16">
              <w:rPr>
                <w:rFonts w:eastAsia="Calibri"/>
                <w:noProof/>
                <w:sz w:val="21"/>
                <w:szCs w:val="21"/>
              </w:rPr>
              <w:t>the respective size of the customer base of the incumbent and independent platforms</w:t>
            </w:r>
            <w:r w:rsidR="00F113C3">
              <w:rPr>
                <w:rFonts w:eastAsia="Calibri"/>
                <w:noProof/>
                <w:sz w:val="21"/>
                <w:szCs w:val="21"/>
              </w:rPr>
              <w:t xml:space="preserve"> is also clarified.</w:t>
            </w:r>
          </w:p>
          <w:p w14:paraId="2D533B82" w14:textId="65AA19D6" w:rsidR="00EC3E16" w:rsidRPr="00143775" w:rsidRDefault="008122E5" w:rsidP="00E01373">
            <w:pPr>
              <w:spacing w:after="120"/>
              <w:jc w:val="both"/>
              <w:rPr>
                <w:rFonts w:eastAsia="Calibri"/>
                <w:noProof/>
                <w:sz w:val="21"/>
                <w:szCs w:val="21"/>
              </w:rPr>
            </w:pPr>
            <w:r>
              <w:rPr>
                <w:rFonts w:eastAsia="Calibri"/>
                <w:noProof/>
                <w:sz w:val="21"/>
                <w:szCs w:val="21"/>
              </w:rPr>
              <w:t xml:space="preserve">Finally, </w:t>
            </w:r>
            <w:r w:rsidR="00300339">
              <w:rPr>
                <w:rFonts w:eastAsia="Calibri"/>
                <w:noProof/>
                <w:sz w:val="21"/>
                <w:szCs w:val="21"/>
              </w:rPr>
              <w:t>s</w:t>
            </w:r>
            <w:r w:rsidR="004E341A">
              <w:rPr>
                <w:rFonts w:eastAsia="Calibri"/>
                <w:noProof/>
                <w:sz w:val="21"/>
                <w:szCs w:val="21"/>
              </w:rPr>
              <w:t>ection 6.1.9</w:t>
            </w:r>
            <w:r w:rsidR="00F631FC">
              <w:rPr>
                <w:rFonts w:eastAsia="Calibri"/>
                <w:noProof/>
                <w:sz w:val="21"/>
                <w:szCs w:val="21"/>
              </w:rPr>
              <w:t xml:space="preserve"> provides further details on </w:t>
            </w:r>
            <w:r w:rsidR="00875260">
              <w:rPr>
                <w:rFonts w:eastAsia="Calibri"/>
                <w:noProof/>
                <w:sz w:val="21"/>
                <w:szCs w:val="21"/>
              </w:rPr>
              <w:t>the expected impact on innovation of the policy measures.</w:t>
            </w:r>
          </w:p>
        </w:tc>
      </w:tr>
      <w:tr w:rsidR="0027771E" w:rsidRPr="00D71008" w14:paraId="26650D79" w14:textId="77777777" w:rsidTr="00CE5BBD">
        <w:trPr>
          <w:trHeight w:val="300"/>
        </w:trPr>
        <w:tc>
          <w:tcPr>
            <w:tcW w:w="3539" w:type="dxa"/>
            <w:tcBorders>
              <w:top w:val="single" w:sz="4" w:space="0" w:color="auto"/>
              <w:left w:val="single" w:sz="4" w:space="0" w:color="auto"/>
              <w:bottom w:val="single" w:sz="4" w:space="0" w:color="auto"/>
              <w:right w:val="single" w:sz="4" w:space="0" w:color="auto"/>
            </w:tcBorders>
          </w:tcPr>
          <w:p w14:paraId="0A5664ED" w14:textId="29D5EFEF" w:rsidR="0027771E" w:rsidRPr="0027771E" w:rsidRDefault="00E01373" w:rsidP="00E01373">
            <w:pPr>
              <w:adjustRightInd w:val="0"/>
              <w:spacing w:after="120"/>
              <w:jc w:val="both"/>
              <w:rPr>
                <w:noProof/>
                <w:sz w:val="21"/>
                <w:szCs w:val="21"/>
              </w:rPr>
            </w:pPr>
            <w:r w:rsidRPr="00E01373">
              <w:rPr>
                <w:noProof/>
                <w:sz w:val="21"/>
                <w:szCs w:val="21"/>
              </w:rPr>
              <w:t>(7) The analysis underlying the comparison of options is insufficient for supporting the conclusion on the preferred option, especially regarding the comparison of PO2 and PO3. The report needs to sufficiently assess the relative importance of hosting on indispensable RU’s ticketing system, not least taking into account that the marginal contribution of PM13 on modal shift is substantially higher than for PM14, according to the report. The proportionality of the requirement for a company to host services for its competitors is not sufficiently demonstrated. The alignment of incentives between sellers and buyers should be further analysed.</w:t>
            </w:r>
          </w:p>
        </w:tc>
        <w:tc>
          <w:tcPr>
            <w:tcW w:w="6064" w:type="dxa"/>
            <w:tcBorders>
              <w:top w:val="single" w:sz="4" w:space="0" w:color="auto"/>
              <w:left w:val="single" w:sz="4" w:space="0" w:color="auto"/>
              <w:bottom w:val="single" w:sz="4" w:space="0" w:color="auto"/>
              <w:right w:val="single" w:sz="4" w:space="0" w:color="auto"/>
            </w:tcBorders>
          </w:tcPr>
          <w:p w14:paraId="13A2A637" w14:textId="6C0A9785" w:rsidR="00737967" w:rsidRDefault="00AF0885" w:rsidP="00A34EB0">
            <w:pPr>
              <w:spacing w:after="120"/>
              <w:jc w:val="both"/>
              <w:rPr>
                <w:rFonts w:eastAsia="Calibri"/>
                <w:noProof/>
                <w:sz w:val="21"/>
                <w:szCs w:val="21"/>
              </w:rPr>
            </w:pPr>
            <w:r>
              <w:rPr>
                <w:rFonts w:eastAsia="Calibri"/>
                <w:noProof/>
                <w:sz w:val="21"/>
                <w:szCs w:val="21"/>
              </w:rPr>
              <w:t xml:space="preserve">Additional explanations have been added in </w:t>
            </w:r>
            <w:r w:rsidR="009537F0">
              <w:rPr>
                <w:rFonts w:eastAsia="Calibri"/>
                <w:noProof/>
                <w:sz w:val="21"/>
                <w:szCs w:val="21"/>
              </w:rPr>
              <w:t>s</w:t>
            </w:r>
            <w:r>
              <w:rPr>
                <w:rFonts w:eastAsia="Calibri"/>
                <w:noProof/>
                <w:sz w:val="21"/>
                <w:szCs w:val="21"/>
              </w:rPr>
              <w:t>ection 7.1</w:t>
            </w:r>
            <w:r w:rsidR="00B5285C">
              <w:rPr>
                <w:rFonts w:eastAsia="Calibri"/>
                <w:noProof/>
                <w:sz w:val="21"/>
                <w:szCs w:val="21"/>
              </w:rPr>
              <w:t xml:space="preserve"> to</w:t>
            </w:r>
            <w:r>
              <w:rPr>
                <w:rFonts w:eastAsia="Calibri"/>
                <w:noProof/>
                <w:sz w:val="21"/>
                <w:szCs w:val="21"/>
              </w:rPr>
              <w:t xml:space="preserve"> </w:t>
            </w:r>
            <w:r w:rsidR="006A251C">
              <w:rPr>
                <w:rFonts w:eastAsia="Calibri"/>
                <w:noProof/>
                <w:sz w:val="21"/>
                <w:szCs w:val="21"/>
              </w:rPr>
              <w:t xml:space="preserve">detail the interaction between the </w:t>
            </w:r>
            <w:r w:rsidR="00610378">
              <w:rPr>
                <w:rFonts w:eastAsia="Calibri"/>
                <w:noProof/>
                <w:sz w:val="21"/>
                <w:szCs w:val="21"/>
              </w:rPr>
              <w:t>sharing and hosting obligations</w:t>
            </w:r>
            <w:r w:rsidR="003417D6">
              <w:rPr>
                <w:rFonts w:eastAsia="Calibri"/>
                <w:noProof/>
                <w:sz w:val="21"/>
                <w:szCs w:val="21"/>
              </w:rPr>
              <w:t xml:space="preserve"> and</w:t>
            </w:r>
            <w:r w:rsidR="00610378">
              <w:rPr>
                <w:rFonts w:eastAsia="Calibri"/>
                <w:noProof/>
                <w:sz w:val="21"/>
                <w:szCs w:val="21"/>
              </w:rPr>
              <w:t xml:space="preserve"> their relative importance</w:t>
            </w:r>
            <w:r w:rsidR="00EE7CDD">
              <w:rPr>
                <w:rFonts w:eastAsia="Calibri"/>
                <w:noProof/>
                <w:sz w:val="21"/>
                <w:szCs w:val="21"/>
              </w:rPr>
              <w:t xml:space="preserve"> in view of the strong market presence of </w:t>
            </w:r>
            <w:r w:rsidR="00602ED4">
              <w:rPr>
                <w:rFonts w:eastAsia="Calibri"/>
                <w:noProof/>
                <w:sz w:val="21"/>
                <w:szCs w:val="21"/>
              </w:rPr>
              <w:t>indispensable RU platforms.</w:t>
            </w:r>
            <w:r w:rsidR="006401C7">
              <w:rPr>
                <w:rFonts w:eastAsia="Calibri"/>
                <w:noProof/>
                <w:sz w:val="21"/>
                <w:szCs w:val="21"/>
              </w:rPr>
              <w:t xml:space="preserve"> The proportionality of the hosting obligation </w:t>
            </w:r>
            <w:r w:rsidR="00200E48">
              <w:rPr>
                <w:rFonts w:eastAsia="Calibri"/>
                <w:noProof/>
                <w:sz w:val="21"/>
                <w:szCs w:val="21"/>
              </w:rPr>
              <w:t xml:space="preserve">is further explained </w:t>
            </w:r>
            <w:r w:rsidR="00ED1A67">
              <w:rPr>
                <w:rFonts w:eastAsia="Calibri"/>
                <w:noProof/>
                <w:sz w:val="21"/>
                <w:szCs w:val="21"/>
              </w:rPr>
              <w:t>not only by the</w:t>
            </w:r>
            <w:r w:rsidR="00721059">
              <w:rPr>
                <w:rFonts w:eastAsia="Calibri"/>
                <w:noProof/>
                <w:sz w:val="21"/>
                <w:szCs w:val="21"/>
              </w:rPr>
              <w:t xml:space="preserve"> significant market presence in both the railway services and railway platform markets that </w:t>
            </w:r>
            <w:r w:rsidR="00C977BB">
              <w:rPr>
                <w:rFonts w:eastAsia="Calibri"/>
                <w:noProof/>
                <w:sz w:val="21"/>
                <w:szCs w:val="21"/>
              </w:rPr>
              <w:t xml:space="preserve">create the conditions and incentives for </w:t>
            </w:r>
            <w:r w:rsidR="00C5521B">
              <w:rPr>
                <w:rFonts w:eastAsia="Calibri"/>
                <w:noProof/>
                <w:sz w:val="21"/>
                <w:szCs w:val="21"/>
              </w:rPr>
              <w:t xml:space="preserve">market distortions, but also </w:t>
            </w:r>
            <w:r w:rsidR="00487B42">
              <w:rPr>
                <w:rFonts w:eastAsia="Calibri"/>
                <w:noProof/>
                <w:sz w:val="21"/>
                <w:szCs w:val="21"/>
              </w:rPr>
              <w:t xml:space="preserve">by the consumer behaviour </w:t>
            </w:r>
            <w:r w:rsidR="000614F7">
              <w:rPr>
                <w:rFonts w:eastAsia="Calibri"/>
                <w:noProof/>
                <w:sz w:val="21"/>
                <w:szCs w:val="21"/>
              </w:rPr>
              <w:t xml:space="preserve">that </w:t>
            </w:r>
            <w:r w:rsidR="00591199">
              <w:rPr>
                <w:rFonts w:eastAsia="Calibri"/>
                <w:noProof/>
                <w:sz w:val="21"/>
                <w:szCs w:val="21"/>
              </w:rPr>
              <w:t xml:space="preserve">tends to </w:t>
            </w:r>
            <w:r w:rsidR="00B34C10">
              <w:rPr>
                <w:rFonts w:eastAsia="Calibri"/>
                <w:noProof/>
                <w:sz w:val="21"/>
                <w:szCs w:val="21"/>
              </w:rPr>
              <w:t>react slowly to changing market conditions.</w:t>
            </w:r>
          </w:p>
          <w:p w14:paraId="4B37BBE6" w14:textId="7506C4D8" w:rsidR="00A52FCE" w:rsidRDefault="00366B12" w:rsidP="00A34EB0">
            <w:pPr>
              <w:spacing w:after="120"/>
              <w:jc w:val="both"/>
              <w:rPr>
                <w:rFonts w:eastAsia="Calibri"/>
                <w:noProof/>
                <w:sz w:val="21"/>
                <w:szCs w:val="21"/>
              </w:rPr>
            </w:pPr>
            <w:r>
              <w:rPr>
                <w:rFonts w:eastAsia="Calibri"/>
                <w:noProof/>
                <w:sz w:val="21"/>
                <w:szCs w:val="21"/>
              </w:rPr>
              <w:t xml:space="preserve">Explanations </w:t>
            </w:r>
            <w:r w:rsidR="000C04D4">
              <w:rPr>
                <w:rFonts w:eastAsia="Calibri"/>
                <w:noProof/>
                <w:sz w:val="21"/>
                <w:szCs w:val="21"/>
              </w:rPr>
              <w:t>are added i</w:t>
            </w:r>
            <w:r w:rsidR="00C8142A">
              <w:rPr>
                <w:rFonts w:eastAsia="Calibri"/>
                <w:noProof/>
                <w:sz w:val="21"/>
                <w:szCs w:val="21"/>
              </w:rPr>
              <w:t xml:space="preserve">n </w:t>
            </w:r>
            <w:r w:rsidR="009537F0">
              <w:rPr>
                <w:rFonts w:eastAsia="Calibri"/>
                <w:noProof/>
                <w:sz w:val="21"/>
                <w:szCs w:val="21"/>
              </w:rPr>
              <w:t>s</w:t>
            </w:r>
            <w:r w:rsidR="00C8142A">
              <w:rPr>
                <w:rFonts w:eastAsia="Calibri"/>
                <w:noProof/>
                <w:sz w:val="21"/>
                <w:szCs w:val="21"/>
              </w:rPr>
              <w:t>ection 7.2</w:t>
            </w:r>
            <w:r w:rsidR="000C04D4">
              <w:rPr>
                <w:rFonts w:eastAsia="Calibri"/>
                <w:noProof/>
                <w:sz w:val="21"/>
                <w:szCs w:val="21"/>
              </w:rPr>
              <w:t xml:space="preserve"> on the </w:t>
            </w:r>
            <w:r w:rsidR="009932D4">
              <w:rPr>
                <w:rFonts w:eastAsia="Calibri"/>
                <w:noProof/>
                <w:sz w:val="21"/>
                <w:szCs w:val="21"/>
              </w:rPr>
              <w:t>quantification of benefits of the policy measures</w:t>
            </w:r>
            <w:r>
              <w:rPr>
                <w:rFonts w:eastAsia="Calibri"/>
                <w:noProof/>
                <w:sz w:val="21"/>
                <w:szCs w:val="21"/>
              </w:rPr>
              <w:t xml:space="preserve">. It is clarified that </w:t>
            </w:r>
            <w:r w:rsidR="004E170B">
              <w:rPr>
                <w:rFonts w:eastAsia="Calibri"/>
                <w:noProof/>
                <w:sz w:val="21"/>
                <w:szCs w:val="21"/>
              </w:rPr>
              <w:t xml:space="preserve">quantification of </w:t>
            </w:r>
            <w:r w:rsidR="00A34207">
              <w:rPr>
                <w:rFonts w:eastAsia="Calibri"/>
                <w:noProof/>
                <w:sz w:val="21"/>
                <w:szCs w:val="21"/>
              </w:rPr>
              <w:t xml:space="preserve">modal shift </w:t>
            </w:r>
            <w:r w:rsidR="004E170B">
              <w:rPr>
                <w:rFonts w:eastAsia="Calibri"/>
                <w:noProof/>
                <w:sz w:val="21"/>
                <w:szCs w:val="21"/>
              </w:rPr>
              <w:t xml:space="preserve">is </w:t>
            </w:r>
            <w:r w:rsidR="00A34207">
              <w:rPr>
                <w:rFonts w:eastAsia="Calibri"/>
                <w:noProof/>
                <w:sz w:val="21"/>
                <w:szCs w:val="21"/>
              </w:rPr>
              <w:t xml:space="preserve">conservative and </w:t>
            </w:r>
            <w:r w:rsidR="00D17F88">
              <w:rPr>
                <w:rFonts w:eastAsia="Calibri"/>
                <w:noProof/>
                <w:sz w:val="21"/>
                <w:szCs w:val="21"/>
              </w:rPr>
              <w:t xml:space="preserve">likely </w:t>
            </w:r>
            <w:r w:rsidR="00A34207">
              <w:rPr>
                <w:rFonts w:eastAsia="Calibri"/>
                <w:noProof/>
                <w:sz w:val="21"/>
                <w:szCs w:val="21"/>
              </w:rPr>
              <w:t>underestimate</w:t>
            </w:r>
            <w:r w:rsidR="004E170B">
              <w:rPr>
                <w:rFonts w:eastAsia="Calibri"/>
                <w:noProof/>
                <w:sz w:val="21"/>
                <w:szCs w:val="21"/>
              </w:rPr>
              <w:t>s</w:t>
            </w:r>
            <w:r w:rsidR="00A34207">
              <w:rPr>
                <w:rFonts w:eastAsia="Calibri"/>
                <w:noProof/>
                <w:sz w:val="21"/>
                <w:szCs w:val="21"/>
              </w:rPr>
              <w:t xml:space="preserve"> </w:t>
            </w:r>
            <w:r w:rsidR="00D17F88">
              <w:rPr>
                <w:rFonts w:eastAsia="Calibri"/>
                <w:noProof/>
                <w:sz w:val="21"/>
                <w:szCs w:val="21"/>
              </w:rPr>
              <w:t>the impact of measures.</w:t>
            </w:r>
            <w:r w:rsidR="008C6B46">
              <w:rPr>
                <w:rFonts w:eastAsia="Calibri"/>
                <w:noProof/>
                <w:sz w:val="21"/>
                <w:szCs w:val="21"/>
              </w:rPr>
              <w:t xml:space="preserve"> </w:t>
            </w:r>
            <w:r w:rsidR="00207BF3">
              <w:rPr>
                <w:rFonts w:eastAsia="Calibri"/>
                <w:noProof/>
                <w:sz w:val="21"/>
                <w:szCs w:val="21"/>
              </w:rPr>
              <w:t>Moreover, a</w:t>
            </w:r>
            <w:r w:rsidR="00AB70B0">
              <w:rPr>
                <w:rFonts w:eastAsia="Calibri"/>
                <w:noProof/>
                <w:sz w:val="21"/>
                <w:szCs w:val="21"/>
              </w:rPr>
              <w:t xml:space="preserve"> fair comparison of PM13 and PM14</w:t>
            </w:r>
            <w:r w:rsidR="00207BF3">
              <w:rPr>
                <w:rFonts w:eastAsia="Calibri"/>
                <w:noProof/>
                <w:sz w:val="21"/>
                <w:szCs w:val="21"/>
              </w:rPr>
              <w:t xml:space="preserve"> must take into account the </w:t>
            </w:r>
            <w:r w:rsidR="004642F2">
              <w:rPr>
                <w:rFonts w:eastAsia="Calibri"/>
                <w:noProof/>
                <w:sz w:val="21"/>
                <w:szCs w:val="21"/>
              </w:rPr>
              <w:t xml:space="preserve">expected </w:t>
            </w:r>
            <w:r w:rsidR="00207BF3">
              <w:rPr>
                <w:rFonts w:eastAsia="Calibri"/>
                <w:noProof/>
                <w:sz w:val="21"/>
                <w:szCs w:val="21"/>
              </w:rPr>
              <w:t xml:space="preserve">impact on consumers, </w:t>
            </w:r>
            <w:r w:rsidR="00DD4EC9">
              <w:rPr>
                <w:rFonts w:eastAsia="Calibri"/>
                <w:noProof/>
                <w:sz w:val="21"/>
                <w:szCs w:val="21"/>
              </w:rPr>
              <w:t>which is</w:t>
            </w:r>
            <w:r w:rsidR="007400F2">
              <w:rPr>
                <w:rFonts w:eastAsia="Calibri"/>
                <w:noProof/>
                <w:sz w:val="21"/>
                <w:szCs w:val="21"/>
              </w:rPr>
              <w:t xml:space="preserve"> only expressed in qualitative terms</w:t>
            </w:r>
            <w:r w:rsidR="00275F90">
              <w:rPr>
                <w:rFonts w:eastAsia="Calibri"/>
                <w:noProof/>
                <w:sz w:val="21"/>
                <w:szCs w:val="21"/>
              </w:rPr>
              <w:t>, but is</w:t>
            </w:r>
            <w:r w:rsidR="007400F2">
              <w:rPr>
                <w:rFonts w:eastAsia="Calibri"/>
                <w:noProof/>
                <w:sz w:val="21"/>
                <w:szCs w:val="21"/>
              </w:rPr>
              <w:t xml:space="preserve"> </w:t>
            </w:r>
            <w:r w:rsidR="00DD4EC9">
              <w:rPr>
                <w:rFonts w:eastAsia="Calibri"/>
                <w:noProof/>
                <w:sz w:val="21"/>
                <w:szCs w:val="21"/>
              </w:rPr>
              <w:t xml:space="preserve">considerably higher for PM14. </w:t>
            </w:r>
            <w:r w:rsidR="00207BF3">
              <w:rPr>
                <w:rFonts w:eastAsia="Calibri"/>
                <w:noProof/>
                <w:sz w:val="21"/>
                <w:szCs w:val="21"/>
              </w:rPr>
              <w:t xml:space="preserve"> </w:t>
            </w:r>
            <w:r w:rsidR="00AB70B0">
              <w:rPr>
                <w:rFonts w:eastAsia="Calibri"/>
                <w:noProof/>
                <w:sz w:val="21"/>
                <w:szCs w:val="21"/>
              </w:rPr>
              <w:t xml:space="preserve"> </w:t>
            </w:r>
            <w:r w:rsidR="00487B42">
              <w:rPr>
                <w:rFonts w:eastAsia="Calibri"/>
                <w:noProof/>
                <w:sz w:val="21"/>
                <w:szCs w:val="21"/>
              </w:rPr>
              <w:t xml:space="preserve"> </w:t>
            </w:r>
            <w:r w:rsidR="00ED1A67">
              <w:rPr>
                <w:rFonts w:eastAsia="Calibri"/>
                <w:noProof/>
                <w:sz w:val="21"/>
                <w:szCs w:val="21"/>
              </w:rPr>
              <w:t xml:space="preserve"> </w:t>
            </w:r>
          </w:p>
          <w:p w14:paraId="2F6A91B8" w14:textId="4D9A72A1" w:rsidR="0027771E" w:rsidRPr="00143775" w:rsidRDefault="00893133" w:rsidP="00E01373">
            <w:pPr>
              <w:spacing w:after="120"/>
              <w:jc w:val="both"/>
              <w:rPr>
                <w:rFonts w:eastAsia="Calibri"/>
                <w:noProof/>
                <w:sz w:val="21"/>
                <w:szCs w:val="21"/>
              </w:rPr>
            </w:pPr>
            <w:r>
              <w:rPr>
                <w:rFonts w:eastAsia="Calibri"/>
                <w:noProof/>
                <w:sz w:val="21"/>
                <w:szCs w:val="21"/>
              </w:rPr>
              <w:t xml:space="preserve">In </w:t>
            </w:r>
            <w:r w:rsidR="009537F0">
              <w:rPr>
                <w:rFonts w:eastAsia="Calibri"/>
                <w:noProof/>
                <w:sz w:val="21"/>
                <w:szCs w:val="21"/>
              </w:rPr>
              <w:t>s</w:t>
            </w:r>
            <w:r>
              <w:rPr>
                <w:rFonts w:eastAsia="Calibri"/>
                <w:noProof/>
                <w:sz w:val="21"/>
                <w:szCs w:val="21"/>
              </w:rPr>
              <w:t xml:space="preserve">ection 7.4 the </w:t>
            </w:r>
            <w:r w:rsidR="00A52FCE">
              <w:rPr>
                <w:rFonts w:eastAsia="Calibri"/>
                <w:noProof/>
                <w:sz w:val="21"/>
                <w:szCs w:val="21"/>
              </w:rPr>
              <w:t>analysis of proportionality has been strengthened.</w:t>
            </w:r>
            <w:r w:rsidR="00BC7574">
              <w:rPr>
                <w:rFonts w:eastAsia="Calibri"/>
                <w:noProof/>
                <w:sz w:val="21"/>
                <w:szCs w:val="21"/>
              </w:rPr>
              <w:t xml:space="preserve"> This is also reflected in </w:t>
            </w:r>
            <w:r w:rsidR="00971A8C">
              <w:rPr>
                <w:rFonts w:eastAsia="Calibri"/>
                <w:noProof/>
                <w:sz w:val="21"/>
                <w:szCs w:val="21"/>
              </w:rPr>
              <w:t>s</w:t>
            </w:r>
            <w:r w:rsidR="00BC7574">
              <w:rPr>
                <w:rFonts w:eastAsia="Calibri"/>
                <w:noProof/>
                <w:sz w:val="21"/>
                <w:szCs w:val="21"/>
              </w:rPr>
              <w:t>ection 8.1.</w:t>
            </w:r>
          </w:p>
        </w:tc>
      </w:tr>
      <w:tr w:rsidR="00E01373" w:rsidRPr="00D71008" w14:paraId="29A7B1E9" w14:textId="77777777" w:rsidTr="00CE5BBD">
        <w:trPr>
          <w:trHeight w:val="300"/>
        </w:trPr>
        <w:tc>
          <w:tcPr>
            <w:tcW w:w="3539" w:type="dxa"/>
            <w:tcBorders>
              <w:top w:val="single" w:sz="4" w:space="0" w:color="auto"/>
              <w:left w:val="single" w:sz="4" w:space="0" w:color="auto"/>
              <w:bottom w:val="single" w:sz="4" w:space="0" w:color="auto"/>
              <w:right w:val="single" w:sz="4" w:space="0" w:color="auto"/>
            </w:tcBorders>
          </w:tcPr>
          <w:p w14:paraId="6402CEE0" w14:textId="6CB47425" w:rsidR="00E01373" w:rsidRPr="00E01373" w:rsidRDefault="00E01373" w:rsidP="00E01373">
            <w:pPr>
              <w:adjustRightInd w:val="0"/>
              <w:spacing w:after="120"/>
              <w:jc w:val="both"/>
              <w:rPr>
                <w:noProof/>
                <w:sz w:val="21"/>
                <w:szCs w:val="21"/>
              </w:rPr>
            </w:pPr>
            <w:r w:rsidRPr="00E01373">
              <w:rPr>
                <w:noProof/>
                <w:sz w:val="21"/>
                <w:szCs w:val="21"/>
              </w:rPr>
              <w:t>(8) The report should be clearer on the available enforcement options. If enforcement is left to national authorities, it should explain how a level playing enforcement field will be ensured and regulatory implementation fragmentation avoided.</w:t>
            </w:r>
          </w:p>
        </w:tc>
        <w:tc>
          <w:tcPr>
            <w:tcW w:w="6064" w:type="dxa"/>
            <w:tcBorders>
              <w:top w:val="single" w:sz="4" w:space="0" w:color="auto"/>
              <w:left w:val="single" w:sz="4" w:space="0" w:color="auto"/>
              <w:bottom w:val="single" w:sz="4" w:space="0" w:color="auto"/>
              <w:right w:val="single" w:sz="4" w:space="0" w:color="auto"/>
            </w:tcBorders>
          </w:tcPr>
          <w:p w14:paraId="5AC744CF" w14:textId="50EB24B5" w:rsidR="00E01373" w:rsidRPr="00143775" w:rsidRDefault="00A8369B" w:rsidP="00E01373">
            <w:pPr>
              <w:spacing w:after="120"/>
              <w:jc w:val="both"/>
              <w:rPr>
                <w:rFonts w:eastAsia="Calibri"/>
                <w:noProof/>
                <w:sz w:val="21"/>
                <w:szCs w:val="21"/>
              </w:rPr>
            </w:pPr>
            <w:r>
              <w:rPr>
                <w:rFonts w:eastAsia="Calibri"/>
                <w:noProof/>
                <w:sz w:val="21"/>
                <w:szCs w:val="21"/>
              </w:rPr>
              <w:t xml:space="preserve">Further details have been provided in </w:t>
            </w:r>
            <w:r w:rsidR="00B8153F">
              <w:rPr>
                <w:rFonts w:eastAsia="Calibri"/>
                <w:noProof/>
                <w:sz w:val="21"/>
                <w:szCs w:val="21"/>
              </w:rPr>
              <w:t>section</w:t>
            </w:r>
            <w:r>
              <w:rPr>
                <w:rFonts w:eastAsia="Calibri"/>
                <w:noProof/>
                <w:sz w:val="21"/>
                <w:szCs w:val="21"/>
              </w:rPr>
              <w:t xml:space="preserve"> 5</w:t>
            </w:r>
            <w:r w:rsidR="000A2018">
              <w:rPr>
                <w:rFonts w:eastAsia="Calibri"/>
                <w:noProof/>
                <w:sz w:val="21"/>
                <w:szCs w:val="21"/>
              </w:rPr>
              <w:t>.2.3</w:t>
            </w:r>
            <w:r w:rsidR="006D61E6">
              <w:rPr>
                <w:rFonts w:eastAsia="Calibri"/>
                <w:noProof/>
                <w:sz w:val="21"/>
                <w:szCs w:val="21"/>
              </w:rPr>
              <w:t xml:space="preserve"> </w:t>
            </w:r>
            <w:r w:rsidR="00BD35B4">
              <w:rPr>
                <w:rFonts w:eastAsia="Calibri"/>
                <w:noProof/>
                <w:sz w:val="21"/>
                <w:szCs w:val="21"/>
              </w:rPr>
              <w:t xml:space="preserve">and Annex 8 </w:t>
            </w:r>
            <w:r w:rsidR="006D61E6">
              <w:rPr>
                <w:rFonts w:eastAsia="Calibri"/>
                <w:noProof/>
                <w:sz w:val="21"/>
                <w:szCs w:val="21"/>
              </w:rPr>
              <w:t xml:space="preserve">in relation to </w:t>
            </w:r>
            <w:r w:rsidR="00D631BC">
              <w:rPr>
                <w:rFonts w:eastAsia="Calibri"/>
                <w:noProof/>
                <w:sz w:val="21"/>
                <w:szCs w:val="21"/>
              </w:rPr>
              <w:t>the</w:t>
            </w:r>
            <w:r w:rsidR="00DC0128">
              <w:rPr>
                <w:rFonts w:eastAsia="Calibri"/>
                <w:noProof/>
                <w:sz w:val="21"/>
                <w:szCs w:val="21"/>
              </w:rPr>
              <w:t xml:space="preserve"> </w:t>
            </w:r>
            <w:r w:rsidR="008A01C0">
              <w:rPr>
                <w:rFonts w:eastAsia="Calibri"/>
                <w:noProof/>
                <w:sz w:val="21"/>
                <w:szCs w:val="21"/>
              </w:rPr>
              <w:t xml:space="preserve">envisaged </w:t>
            </w:r>
            <w:r w:rsidR="00DC0128">
              <w:rPr>
                <w:rFonts w:eastAsia="Calibri"/>
                <w:noProof/>
                <w:sz w:val="21"/>
                <w:szCs w:val="21"/>
              </w:rPr>
              <w:t xml:space="preserve">enforcement </w:t>
            </w:r>
            <w:r w:rsidR="008A01C0">
              <w:rPr>
                <w:rFonts w:eastAsia="Calibri"/>
                <w:noProof/>
                <w:sz w:val="21"/>
                <w:szCs w:val="21"/>
              </w:rPr>
              <w:t xml:space="preserve">mechanism and how </w:t>
            </w:r>
            <w:r w:rsidR="000C1117">
              <w:rPr>
                <w:rFonts w:eastAsia="Calibri"/>
                <w:noProof/>
                <w:sz w:val="21"/>
                <w:szCs w:val="21"/>
              </w:rPr>
              <w:t>a level playing enforcement field</w:t>
            </w:r>
            <w:r w:rsidR="006D61E6">
              <w:rPr>
                <w:rFonts w:eastAsia="Calibri"/>
                <w:noProof/>
                <w:sz w:val="21"/>
                <w:szCs w:val="21"/>
              </w:rPr>
              <w:t xml:space="preserve"> </w:t>
            </w:r>
            <w:r w:rsidR="000C1117">
              <w:rPr>
                <w:rFonts w:eastAsia="Calibri"/>
                <w:noProof/>
                <w:sz w:val="21"/>
                <w:szCs w:val="21"/>
              </w:rPr>
              <w:t>would be ensured and regulatory</w:t>
            </w:r>
            <w:r w:rsidR="000E2286">
              <w:rPr>
                <w:rFonts w:eastAsia="Calibri"/>
                <w:noProof/>
                <w:sz w:val="21"/>
                <w:szCs w:val="21"/>
              </w:rPr>
              <w:t xml:space="preserve"> implementation </w:t>
            </w:r>
            <w:r w:rsidR="008F11D7">
              <w:rPr>
                <w:rFonts w:eastAsia="Calibri"/>
                <w:noProof/>
                <w:sz w:val="21"/>
                <w:szCs w:val="21"/>
              </w:rPr>
              <w:t>fragmentation</w:t>
            </w:r>
            <w:r w:rsidR="000E2286">
              <w:rPr>
                <w:rFonts w:eastAsia="Calibri"/>
                <w:noProof/>
                <w:sz w:val="21"/>
                <w:szCs w:val="21"/>
              </w:rPr>
              <w:t xml:space="preserve"> avoided.</w:t>
            </w:r>
          </w:p>
        </w:tc>
      </w:tr>
      <w:tr w:rsidR="00E01373" w:rsidRPr="00D71008" w14:paraId="223D5D23" w14:textId="77777777" w:rsidTr="0D11AB3E">
        <w:trPr>
          <w:trHeight w:val="300"/>
        </w:trPr>
        <w:tc>
          <w:tcPr>
            <w:tcW w:w="3539" w:type="dxa"/>
            <w:tcBorders>
              <w:bottom w:val="single" w:sz="4" w:space="0" w:color="auto"/>
            </w:tcBorders>
          </w:tcPr>
          <w:p w14:paraId="1E80A54F" w14:textId="7FEE8FCE" w:rsidR="00E01373" w:rsidRPr="00E01373" w:rsidRDefault="00E01373" w:rsidP="00E01373">
            <w:pPr>
              <w:adjustRightInd w:val="0"/>
              <w:spacing w:after="120"/>
              <w:jc w:val="both"/>
              <w:rPr>
                <w:noProof/>
                <w:sz w:val="21"/>
                <w:szCs w:val="21"/>
              </w:rPr>
            </w:pPr>
            <w:r w:rsidRPr="00E01373">
              <w:rPr>
                <w:noProof/>
                <w:sz w:val="21"/>
                <w:szCs w:val="21"/>
              </w:rPr>
              <w:t>(9) Regarding coherence, the report should explain better how far the EU consumer and digital legislation – e.g. Unfair Commercial Practices Directive, Platform to Business Regulation, Data Act, Digital Services Act (DSA), Digital Markets Act (DMA), AI Act and the forthcoming Digital Fairness Act –already addresses the identified problems.</w:t>
            </w:r>
          </w:p>
        </w:tc>
        <w:tc>
          <w:tcPr>
            <w:tcW w:w="6064" w:type="dxa"/>
          </w:tcPr>
          <w:p w14:paraId="2BF6B6E6" w14:textId="388206C2" w:rsidR="00E01373" w:rsidRDefault="001D6750" w:rsidP="00E01373">
            <w:pPr>
              <w:spacing w:after="120"/>
              <w:jc w:val="both"/>
              <w:rPr>
                <w:noProof/>
                <w:sz w:val="21"/>
                <w:szCs w:val="21"/>
              </w:rPr>
            </w:pPr>
            <w:r>
              <w:rPr>
                <w:rFonts w:eastAsia="Calibri"/>
                <w:noProof/>
                <w:sz w:val="21"/>
                <w:szCs w:val="21"/>
              </w:rPr>
              <w:t xml:space="preserve">In </w:t>
            </w:r>
            <w:r w:rsidR="00EE405D">
              <w:rPr>
                <w:rFonts w:eastAsia="Calibri"/>
                <w:noProof/>
                <w:sz w:val="21"/>
                <w:szCs w:val="21"/>
              </w:rPr>
              <w:t>section</w:t>
            </w:r>
            <w:r>
              <w:rPr>
                <w:rFonts w:eastAsia="Calibri"/>
                <w:noProof/>
                <w:sz w:val="21"/>
                <w:szCs w:val="21"/>
              </w:rPr>
              <w:t xml:space="preserve"> </w:t>
            </w:r>
            <w:r w:rsidR="001B43D2">
              <w:rPr>
                <w:rFonts w:eastAsia="Calibri"/>
                <w:noProof/>
                <w:sz w:val="21"/>
                <w:szCs w:val="21"/>
              </w:rPr>
              <w:t>1</w:t>
            </w:r>
            <w:r w:rsidR="00F432D9">
              <w:rPr>
                <w:rFonts w:eastAsia="Calibri"/>
                <w:noProof/>
                <w:sz w:val="21"/>
                <w:szCs w:val="21"/>
              </w:rPr>
              <w:t>.3</w:t>
            </w:r>
            <w:r w:rsidR="008223C8">
              <w:rPr>
                <w:rFonts w:eastAsia="Calibri"/>
                <w:noProof/>
                <w:sz w:val="21"/>
                <w:szCs w:val="21"/>
              </w:rPr>
              <w:t xml:space="preserve"> the description of </w:t>
            </w:r>
            <w:r w:rsidR="00BE401D">
              <w:rPr>
                <w:rFonts w:eastAsia="Calibri"/>
                <w:noProof/>
                <w:sz w:val="21"/>
                <w:szCs w:val="21"/>
              </w:rPr>
              <w:t>the context</w:t>
            </w:r>
            <w:r w:rsidR="001B43D2">
              <w:rPr>
                <w:rFonts w:eastAsia="Calibri"/>
                <w:noProof/>
                <w:sz w:val="21"/>
                <w:szCs w:val="21"/>
              </w:rPr>
              <w:t xml:space="preserve"> </w:t>
            </w:r>
            <w:r w:rsidR="008223C8">
              <w:rPr>
                <w:rFonts w:eastAsia="Calibri"/>
                <w:noProof/>
                <w:sz w:val="21"/>
                <w:szCs w:val="21"/>
              </w:rPr>
              <w:t>is broadened. I</w:t>
            </w:r>
            <w:r w:rsidR="00EA3BB6">
              <w:rPr>
                <w:rFonts w:eastAsia="Calibri"/>
                <w:noProof/>
                <w:sz w:val="21"/>
                <w:szCs w:val="21"/>
              </w:rPr>
              <w:t xml:space="preserve">n </w:t>
            </w:r>
            <w:r w:rsidR="00B04375">
              <w:rPr>
                <w:rFonts w:eastAsia="Calibri"/>
                <w:noProof/>
                <w:sz w:val="21"/>
                <w:szCs w:val="21"/>
              </w:rPr>
              <w:t>addition, in</w:t>
            </w:r>
            <w:r w:rsidR="00EA3BB6">
              <w:rPr>
                <w:rFonts w:eastAsia="Calibri"/>
                <w:noProof/>
                <w:sz w:val="21"/>
                <w:szCs w:val="21"/>
              </w:rPr>
              <w:t xml:space="preserve"> </w:t>
            </w:r>
            <w:r w:rsidR="00F432D9">
              <w:rPr>
                <w:rFonts w:eastAsia="Calibri"/>
                <w:noProof/>
                <w:sz w:val="21"/>
                <w:szCs w:val="21"/>
              </w:rPr>
              <w:t>section</w:t>
            </w:r>
            <w:r w:rsidR="00EA3BB6">
              <w:rPr>
                <w:rFonts w:eastAsia="Calibri"/>
                <w:noProof/>
                <w:sz w:val="21"/>
                <w:szCs w:val="21"/>
              </w:rPr>
              <w:t xml:space="preserve"> </w:t>
            </w:r>
            <w:r>
              <w:rPr>
                <w:rFonts w:eastAsia="Calibri"/>
                <w:noProof/>
                <w:sz w:val="21"/>
                <w:szCs w:val="21"/>
              </w:rPr>
              <w:t>7</w:t>
            </w:r>
            <w:r w:rsidR="00F432D9">
              <w:rPr>
                <w:rFonts w:eastAsia="Calibri"/>
                <w:noProof/>
                <w:sz w:val="21"/>
                <w:szCs w:val="21"/>
              </w:rPr>
              <w:t>.3</w:t>
            </w:r>
            <w:r>
              <w:rPr>
                <w:rFonts w:eastAsia="Calibri"/>
                <w:noProof/>
                <w:sz w:val="21"/>
                <w:szCs w:val="21"/>
              </w:rPr>
              <w:t xml:space="preserve"> the analysis on external coherence has been further strengthened with more detailed elaboration of coherence with</w:t>
            </w:r>
            <w:r w:rsidR="002660FA">
              <w:rPr>
                <w:rFonts w:eastAsia="Calibri"/>
                <w:noProof/>
                <w:sz w:val="21"/>
                <w:szCs w:val="21"/>
              </w:rPr>
              <w:t xml:space="preserve"> EU consumer and E</w:t>
            </w:r>
            <w:r w:rsidR="005933FB">
              <w:rPr>
                <w:rFonts w:eastAsia="Calibri"/>
                <w:noProof/>
                <w:sz w:val="21"/>
                <w:szCs w:val="21"/>
              </w:rPr>
              <w:t>U</w:t>
            </w:r>
            <w:r w:rsidR="002660FA">
              <w:rPr>
                <w:rFonts w:eastAsia="Calibri"/>
                <w:noProof/>
                <w:sz w:val="21"/>
                <w:szCs w:val="21"/>
              </w:rPr>
              <w:t xml:space="preserve"> digital legislation, in particular </w:t>
            </w:r>
            <w:r w:rsidR="002660FA" w:rsidRPr="00E01373">
              <w:rPr>
                <w:noProof/>
                <w:sz w:val="21"/>
                <w:szCs w:val="21"/>
              </w:rPr>
              <w:t>Unfair Commercial Practices Directive, Platform to Business Regulation, Data Act, Digital Services Act (DSA), Digital Markets Act (DMA), AI Act</w:t>
            </w:r>
            <w:r w:rsidR="005933FB" w:rsidRPr="00E01373">
              <w:rPr>
                <w:noProof/>
                <w:sz w:val="21"/>
                <w:szCs w:val="21"/>
              </w:rPr>
              <w:t xml:space="preserve"> and the forthcoming Digital Fairness Act</w:t>
            </w:r>
            <w:r w:rsidR="008D7017">
              <w:rPr>
                <w:noProof/>
                <w:sz w:val="21"/>
                <w:szCs w:val="21"/>
              </w:rPr>
              <w:t xml:space="preserve">. </w:t>
            </w:r>
          </w:p>
          <w:p w14:paraId="48528ECE" w14:textId="155DC68F" w:rsidR="00E01373" w:rsidRPr="00143775" w:rsidRDefault="00E01373" w:rsidP="00E01373">
            <w:pPr>
              <w:spacing w:after="120"/>
              <w:jc w:val="both"/>
              <w:rPr>
                <w:rFonts w:eastAsia="Calibri"/>
                <w:noProof/>
                <w:sz w:val="21"/>
                <w:szCs w:val="21"/>
              </w:rPr>
            </w:pPr>
          </w:p>
        </w:tc>
      </w:tr>
    </w:tbl>
    <w:p w14:paraId="327BE6DB" w14:textId="77777777" w:rsidR="00712390" w:rsidRPr="00143775" w:rsidRDefault="003C4819" w:rsidP="007B2D8E">
      <w:pPr>
        <w:pStyle w:val="Heading2"/>
        <w:numPr>
          <w:ilvl w:val="0"/>
          <w:numId w:val="12"/>
        </w:numPr>
        <w:tabs>
          <w:tab w:val="left" w:pos="1134"/>
        </w:tabs>
        <w:spacing w:before="244"/>
        <w:ind w:left="426" w:hanging="426"/>
        <w:rPr>
          <w:smallCaps/>
          <w:noProof/>
        </w:rPr>
      </w:pPr>
      <w:r w:rsidRPr="00D71008">
        <w:rPr>
          <w:smallCaps/>
          <w:noProof/>
        </w:rPr>
        <w:t>Evidence,</w:t>
      </w:r>
      <w:r w:rsidRPr="00143775">
        <w:rPr>
          <w:smallCaps/>
          <w:noProof/>
        </w:rPr>
        <w:t xml:space="preserve"> </w:t>
      </w:r>
      <w:r w:rsidRPr="00D71008">
        <w:rPr>
          <w:smallCaps/>
          <w:noProof/>
        </w:rPr>
        <w:t>sources</w:t>
      </w:r>
      <w:r w:rsidRPr="00143775">
        <w:rPr>
          <w:smallCaps/>
          <w:noProof/>
        </w:rPr>
        <w:t xml:space="preserve"> </w:t>
      </w:r>
      <w:r w:rsidRPr="00D71008">
        <w:rPr>
          <w:smallCaps/>
          <w:noProof/>
        </w:rPr>
        <w:t>and</w:t>
      </w:r>
      <w:r w:rsidRPr="00143775">
        <w:rPr>
          <w:smallCaps/>
          <w:noProof/>
        </w:rPr>
        <w:t xml:space="preserve"> quality</w:t>
      </w:r>
      <w:bookmarkEnd w:id="252"/>
      <w:bookmarkEnd w:id="253"/>
      <w:bookmarkEnd w:id="254"/>
      <w:bookmarkEnd w:id="255"/>
    </w:p>
    <w:p w14:paraId="56541CB3" w14:textId="77777777" w:rsidR="00712390" w:rsidRPr="00D71008" w:rsidRDefault="00712390">
      <w:pPr>
        <w:pStyle w:val="BodyText"/>
        <w:spacing w:before="17"/>
        <w:ind w:left="0"/>
        <w:jc w:val="left"/>
        <w:rPr>
          <w:b/>
          <w:noProof/>
          <w:sz w:val="19"/>
        </w:rPr>
      </w:pPr>
    </w:p>
    <w:p w14:paraId="73DDE141" w14:textId="32CFD979" w:rsidR="00712390" w:rsidRPr="00560880" w:rsidRDefault="552566AE" w:rsidP="000811F9">
      <w:pPr>
        <w:pStyle w:val="BodyText"/>
        <w:spacing w:after="240"/>
        <w:ind w:left="0" w:right="115"/>
        <w:rPr>
          <w:noProof/>
          <w:spacing w:val="-8"/>
        </w:rPr>
      </w:pPr>
      <w:r w:rsidRPr="00560880">
        <w:rPr>
          <w:noProof/>
          <w:spacing w:val="-8"/>
        </w:rPr>
        <w:t>Information provided by the stakeholders through the stakeholder consultation activities were an important source of information (see Annex 2). It was completed by information provided ad hoc by different stakeholders to the Commission</w:t>
      </w:r>
      <w:r w:rsidR="3509363A" w:rsidRPr="00560880">
        <w:rPr>
          <w:noProof/>
          <w:spacing w:val="-8"/>
        </w:rPr>
        <w:t xml:space="preserve"> and by a Eurobarom</w:t>
      </w:r>
      <w:r w:rsidR="3D67EFC5" w:rsidRPr="00560880">
        <w:rPr>
          <w:noProof/>
          <w:spacing w:val="-8"/>
        </w:rPr>
        <w:t>e</w:t>
      </w:r>
      <w:r w:rsidR="3509363A" w:rsidRPr="00560880">
        <w:rPr>
          <w:noProof/>
          <w:spacing w:val="-8"/>
        </w:rPr>
        <w:t>ter Survey</w:t>
      </w:r>
      <w:r w:rsidR="009B0077" w:rsidRPr="00560880">
        <w:rPr>
          <w:rStyle w:val="FootnoteReference"/>
          <w:noProof/>
          <w:spacing w:val="-8"/>
        </w:rPr>
        <w:footnoteReference w:id="224"/>
      </w:r>
      <w:r w:rsidR="6FFFD702" w:rsidRPr="00560880">
        <w:rPr>
          <w:noProof/>
          <w:spacing w:val="-8"/>
        </w:rPr>
        <w:t>.</w:t>
      </w:r>
    </w:p>
    <w:p w14:paraId="0352BE64" w14:textId="52AC4F88" w:rsidR="00712390" w:rsidRPr="00560880" w:rsidRDefault="003C4819" w:rsidP="000811F9">
      <w:pPr>
        <w:pStyle w:val="BodyText"/>
        <w:spacing w:after="240"/>
        <w:ind w:left="0"/>
        <w:rPr>
          <w:noProof/>
          <w:spacing w:val="-8"/>
        </w:rPr>
      </w:pPr>
      <w:r w:rsidRPr="00560880">
        <w:rPr>
          <w:noProof/>
          <w:spacing w:val="-8"/>
        </w:rPr>
        <w:t xml:space="preserve">The Commission sought external expertise through </w:t>
      </w:r>
      <w:r w:rsidR="00E30B37">
        <w:rPr>
          <w:noProof/>
          <w:spacing w:val="-8"/>
        </w:rPr>
        <w:t>an impact assessment</w:t>
      </w:r>
      <w:r>
        <w:rPr>
          <w:noProof/>
          <w:spacing w:val="-8"/>
        </w:rPr>
        <w:t xml:space="preserve"> support </w:t>
      </w:r>
      <w:r w:rsidR="00E30B37">
        <w:rPr>
          <w:noProof/>
          <w:spacing w:val="-8"/>
        </w:rPr>
        <w:t>study</w:t>
      </w:r>
      <w:r w:rsidR="0071555A">
        <w:rPr>
          <w:rStyle w:val="FootnoteReference"/>
          <w:noProof/>
          <w:spacing w:val="-8"/>
        </w:rPr>
        <w:footnoteReference w:id="225"/>
      </w:r>
      <w:r w:rsidRPr="00560880">
        <w:rPr>
          <w:noProof/>
          <w:spacing w:val="-8"/>
        </w:rPr>
        <w:t>.</w:t>
      </w:r>
      <w:bookmarkStart w:id="256" w:name="_Ref223293480"/>
      <w:r w:rsidRPr="00560880">
        <w:rPr>
          <w:noProof/>
          <w:spacing w:val="-8"/>
        </w:rPr>
        <w:t xml:space="preserve"> The external consultants worked in close cooperation with the Commission services throughout the different phases of the </w:t>
      </w:r>
      <w:r w:rsidR="00B6339C" w:rsidRPr="00560880">
        <w:rPr>
          <w:noProof/>
          <w:spacing w:val="-8"/>
        </w:rPr>
        <w:t>stud</w:t>
      </w:r>
      <w:r w:rsidR="00B6339C">
        <w:rPr>
          <w:noProof/>
          <w:spacing w:val="-8"/>
        </w:rPr>
        <w:t>y</w:t>
      </w:r>
      <w:r w:rsidRPr="00560880">
        <w:rPr>
          <w:noProof/>
          <w:spacing w:val="-8"/>
        </w:rPr>
        <w:t xml:space="preserve">, and particularly in the latter stages of assembling a coherent evidence base, in screening and adjusting policy measures and options and in assessing their impacts on various stakeholder </w:t>
      </w:r>
      <w:bookmarkEnd w:id="256"/>
      <w:r w:rsidR="00B6339C">
        <w:rPr>
          <w:noProof/>
          <w:spacing w:val="-8"/>
        </w:rPr>
        <w:t>groups</w:t>
      </w:r>
      <w:r w:rsidRPr="00560880">
        <w:rPr>
          <w:noProof/>
          <w:spacing w:val="-8"/>
        </w:rPr>
        <w:t>.</w:t>
      </w:r>
      <w:r w:rsidR="00B6339C">
        <w:rPr>
          <w:noProof/>
          <w:spacing w:val="-8"/>
        </w:rPr>
        <w:t xml:space="preserve"> </w:t>
      </w:r>
      <w:r w:rsidRPr="00560880">
        <w:rPr>
          <w:noProof/>
          <w:spacing w:val="-8"/>
        </w:rPr>
        <w:t xml:space="preserve">Overall, the sources used for the drafting the </w:t>
      </w:r>
      <w:r w:rsidR="00B6339C">
        <w:rPr>
          <w:noProof/>
          <w:spacing w:val="-8"/>
        </w:rPr>
        <w:t>i</w:t>
      </w:r>
      <w:r w:rsidRPr="00560880">
        <w:rPr>
          <w:noProof/>
          <w:spacing w:val="-8"/>
        </w:rPr>
        <w:t xml:space="preserve">mpact </w:t>
      </w:r>
      <w:r w:rsidR="00B6339C">
        <w:rPr>
          <w:noProof/>
          <w:spacing w:val="-8"/>
        </w:rPr>
        <w:t>a</w:t>
      </w:r>
      <w:r w:rsidRPr="00560880">
        <w:rPr>
          <w:noProof/>
          <w:spacing w:val="-8"/>
        </w:rPr>
        <w:t xml:space="preserve">ssessment report are numerous, diverse and </w:t>
      </w:r>
      <w:r w:rsidR="24BFCB8E" w:rsidRPr="00560880">
        <w:rPr>
          <w:noProof/>
          <w:spacing w:val="-8"/>
        </w:rPr>
        <w:t>inclusive</w:t>
      </w:r>
      <w:r w:rsidRPr="00560880">
        <w:rPr>
          <w:noProof/>
          <w:spacing w:val="-8"/>
        </w:rPr>
        <w:t xml:space="preserve"> of the different stakeholder groups.</w:t>
      </w:r>
    </w:p>
    <w:p w14:paraId="36D7518C" w14:textId="77777777" w:rsidR="00712390" w:rsidRPr="00D71008" w:rsidRDefault="00712390" w:rsidP="000811F9">
      <w:pPr>
        <w:spacing w:after="240"/>
        <w:jc w:val="both"/>
        <w:rPr>
          <w:noProof/>
        </w:rPr>
      </w:pPr>
    </w:p>
    <w:p w14:paraId="717779AE" w14:textId="77777777" w:rsidR="006D0215" w:rsidRPr="00D71008" w:rsidRDefault="006D0215">
      <w:pPr>
        <w:rPr>
          <w:noProof/>
        </w:rPr>
      </w:pPr>
    </w:p>
    <w:p w14:paraId="5366C8BE" w14:textId="77777777" w:rsidR="006D0215" w:rsidRPr="00D71008" w:rsidRDefault="006D0215">
      <w:pPr>
        <w:rPr>
          <w:noProof/>
        </w:rPr>
      </w:pPr>
    </w:p>
    <w:p w14:paraId="185EBB34" w14:textId="77777777" w:rsidR="006D0215" w:rsidRPr="00D71008" w:rsidRDefault="006D0215">
      <w:pPr>
        <w:rPr>
          <w:noProof/>
        </w:rPr>
        <w:sectPr w:rsidR="006D0215" w:rsidRPr="00D71008" w:rsidSect="00C66146">
          <w:headerReference w:type="default" r:id="rId32"/>
          <w:footerReference w:type="default" r:id="rId33"/>
          <w:type w:val="nextColumn"/>
          <w:pgSz w:w="11910" w:h="16840"/>
          <w:pgMar w:top="1021" w:right="709" w:bottom="1021" w:left="1588" w:header="0" w:footer="1146" w:gutter="0"/>
          <w:cols w:space="720"/>
        </w:sectPr>
      </w:pPr>
    </w:p>
    <w:p w14:paraId="05406834" w14:textId="0A691BB2" w:rsidR="00712390" w:rsidRPr="00D71008" w:rsidRDefault="003C4819" w:rsidP="00267E74">
      <w:pPr>
        <w:pStyle w:val="Heading1"/>
        <w:jc w:val="center"/>
        <w:rPr>
          <w:noProof/>
        </w:rPr>
      </w:pPr>
      <w:bookmarkStart w:id="257" w:name="Annex_2:_Stakeholder_consultation_(Synop"/>
      <w:bookmarkStart w:id="258" w:name="_Ref223203087"/>
      <w:bookmarkStart w:id="259" w:name="_Ref223293512"/>
      <w:bookmarkStart w:id="260" w:name="_Ref223293523"/>
      <w:bookmarkStart w:id="261" w:name="_Toc223980002"/>
      <w:bookmarkEnd w:id="257"/>
      <w:r w:rsidRPr="00D71008">
        <w:rPr>
          <w:smallCaps/>
          <w:noProof/>
        </w:rPr>
        <w:t>Annex 2: Stakeholder consultation (Synopsis report)</w:t>
      </w:r>
      <w:bookmarkEnd w:id="258"/>
      <w:bookmarkEnd w:id="259"/>
      <w:bookmarkEnd w:id="260"/>
      <w:bookmarkEnd w:id="261"/>
    </w:p>
    <w:p w14:paraId="12EA40C0" w14:textId="2F5EEFAF" w:rsidR="00712390" w:rsidRPr="00D71008" w:rsidRDefault="003C4819" w:rsidP="007B2D8E">
      <w:pPr>
        <w:pStyle w:val="Heading2"/>
        <w:numPr>
          <w:ilvl w:val="0"/>
          <w:numId w:val="13"/>
        </w:numPr>
        <w:tabs>
          <w:tab w:val="left" w:pos="1561"/>
        </w:tabs>
        <w:spacing w:before="240" w:after="240"/>
        <w:ind w:left="425" w:hanging="425"/>
        <w:rPr>
          <w:noProof/>
        </w:rPr>
      </w:pPr>
      <w:bookmarkStart w:id="262" w:name="1_Overview_of_consultation_activities"/>
      <w:bookmarkStart w:id="263" w:name="_Toc220667519"/>
      <w:bookmarkStart w:id="264" w:name="_Toc222313509"/>
      <w:bookmarkStart w:id="265" w:name="_Toc222749030"/>
      <w:bookmarkStart w:id="266" w:name="_Toc223980003"/>
      <w:bookmarkEnd w:id="262"/>
      <w:r w:rsidRPr="00D71008">
        <w:rPr>
          <w:smallCaps/>
          <w:noProof/>
        </w:rPr>
        <w:t>Overview</w:t>
      </w:r>
      <w:r w:rsidRPr="00D71008">
        <w:rPr>
          <w:smallCaps/>
          <w:noProof/>
          <w:spacing w:val="-11"/>
        </w:rPr>
        <w:t xml:space="preserve"> </w:t>
      </w:r>
      <w:r w:rsidRPr="00D71008">
        <w:rPr>
          <w:smallCaps/>
          <w:noProof/>
        </w:rPr>
        <w:t>of</w:t>
      </w:r>
      <w:r w:rsidRPr="00D71008">
        <w:rPr>
          <w:smallCaps/>
          <w:noProof/>
          <w:spacing w:val="-11"/>
        </w:rPr>
        <w:t xml:space="preserve"> </w:t>
      </w:r>
      <w:r w:rsidRPr="00D71008">
        <w:rPr>
          <w:smallCaps/>
          <w:noProof/>
        </w:rPr>
        <w:t>consultation</w:t>
      </w:r>
      <w:r w:rsidRPr="00D71008">
        <w:rPr>
          <w:smallCaps/>
          <w:noProof/>
          <w:spacing w:val="-11"/>
        </w:rPr>
        <w:t xml:space="preserve"> </w:t>
      </w:r>
      <w:r w:rsidRPr="00D71008">
        <w:rPr>
          <w:smallCaps/>
          <w:noProof/>
          <w:spacing w:val="-2"/>
        </w:rPr>
        <w:t>activities</w:t>
      </w:r>
      <w:bookmarkEnd w:id="263"/>
      <w:bookmarkEnd w:id="264"/>
      <w:bookmarkEnd w:id="265"/>
      <w:bookmarkEnd w:id="266"/>
    </w:p>
    <w:p w14:paraId="3FC2BF85" w14:textId="33177D47" w:rsidR="00712390" w:rsidRPr="00C416D8" w:rsidRDefault="003C4819" w:rsidP="00C416D8">
      <w:pPr>
        <w:pStyle w:val="BodyText"/>
        <w:spacing w:after="240"/>
        <w:ind w:left="0" w:right="113"/>
        <w:rPr>
          <w:noProof/>
          <w:spacing w:val="-8"/>
        </w:rPr>
      </w:pPr>
      <w:r w:rsidRPr="00C416D8">
        <w:rPr>
          <w:noProof/>
          <w:spacing w:val="-8"/>
        </w:rPr>
        <w:t>In the context of the preparation of the Impact Assessment</w:t>
      </w:r>
      <w:r w:rsidR="009D46E0" w:rsidRPr="00C416D8">
        <w:rPr>
          <w:noProof/>
          <w:spacing w:val="-8"/>
        </w:rPr>
        <w:t xml:space="preserve"> (IA)</w:t>
      </w:r>
      <w:r w:rsidRPr="00C416D8">
        <w:rPr>
          <w:noProof/>
          <w:spacing w:val="-8"/>
        </w:rPr>
        <w:t xml:space="preserve">, various stakeholder consultation activities were carried out. </w:t>
      </w:r>
      <w:r w:rsidR="000A6AEF" w:rsidRPr="00C416D8">
        <w:rPr>
          <w:noProof/>
          <w:spacing w:val="-8"/>
        </w:rPr>
        <w:t xml:space="preserve">The process started with </w:t>
      </w:r>
      <w:r w:rsidR="00567EA8" w:rsidRPr="00C416D8">
        <w:rPr>
          <w:noProof/>
          <w:spacing w:val="-8"/>
        </w:rPr>
        <w:t>launching stakeholder consultation activities only related to the review of the CRS Regulation. Then this</w:t>
      </w:r>
      <w:r w:rsidR="00771D92" w:rsidRPr="00C416D8">
        <w:rPr>
          <w:noProof/>
          <w:spacing w:val="-8"/>
        </w:rPr>
        <w:t xml:space="preserve"> rev</w:t>
      </w:r>
      <w:r w:rsidR="00D868CC" w:rsidRPr="00C416D8">
        <w:rPr>
          <w:noProof/>
          <w:spacing w:val="-8"/>
        </w:rPr>
        <w:t>iew</w:t>
      </w:r>
      <w:r w:rsidR="00567EA8" w:rsidRPr="00C416D8">
        <w:rPr>
          <w:noProof/>
          <w:spacing w:val="-8"/>
        </w:rPr>
        <w:t xml:space="preserve"> was integ</w:t>
      </w:r>
      <w:r w:rsidR="0023424D" w:rsidRPr="00C416D8">
        <w:rPr>
          <w:noProof/>
          <w:spacing w:val="-8"/>
        </w:rPr>
        <w:t>rated into the IA on M</w:t>
      </w:r>
      <w:r w:rsidR="1ECF7B85" w:rsidRPr="00C416D8">
        <w:rPr>
          <w:noProof/>
          <w:spacing w:val="-8"/>
        </w:rPr>
        <w:t>ultimodal Digital Mobility Services (M</w:t>
      </w:r>
      <w:r w:rsidR="0023424D" w:rsidRPr="00C416D8">
        <w:rPr>
          <w:noProof/>
          <w:spacing w:val="-8"/>
        </w:rPr>
        <w:t>DMS</w:t>
      </w:r>
      <w:r w:rsidR="51F4BAF5" w:rsidRPr="00C416D8">
        <w:rPr>
          <w:noProof/>
          <w:spacing w:val="-8"/>
        </w:rPr>
        <w:t>)</w:t>
      </w:r>
      <w:r w:rsidR="0023424D" w:rsidRPr="00C416D8">
        <w:rPr>
          <w:noProof/>
          <w:spacing w:val="-8"/>
        </w:rPr>
        <w:t xml:space="preserve">. </w:t>
      </w:r>
      <w:r w:rsidR="006B7D75" w:rsidRPr="00C416D8">
        <w:rPr>
          <w:noProof/>
          <w:spacing w:val="-8"/>
        </w:rPr>
        <w:t>After receiving a negative opi</w:t>
      </w:r>
      <w:r w:rsidR="00FF6BE3" w:rsidRPr="00C416D8">
        <w:rPr>
          <w:noProof/>
          <w:spacing w:val="-8"/>
        </w:rPr>
        <w:t>ni</w:t>
      </w:r>
      <w:r w:rsidR="006B7D75" w:rsidRPr="00C416D8">
        <w:rPr>
          <w:noProof/>
          <w:spacing w:val="-8"/>
        </w:rPr>
        <w:t>on by the RSB</w:t>
      </w:r>
      <w:r w:rsidR="3E5CB4E8" w:rsidRPr="00C416D8">
        <w:rPr>
          <w:noProof/>
          <w:spacing w:val="-8"/>
        </w:rPr>
        <w:t>,</w:t>
      </w:r>
      <w:r w:rsidR="006B7D75" w:rsidRPr="00C416D8">
        <w:rPr>
          <w:noProof/>
          <w:spacing w:val="-8"/>
        </w:rPr>
        <w:t xml:space="preserve"> </w:t>
      </w:r>
      <w:r w:rsidR="02D7BAA1" w:rsidRPr="00C416D8">
        <w:rPr>
          <w:noProof/>
          <w:spacing w:val="-8"/>
        </w:rPr>
        <w:t>the initiative was split into 2 legal</w:t>
      </w:r>
      <w:r w:rsidR="006B7D75" w:rsidRPr="00C416D8">
        <w:rPr>
          <w:noProof/>
          <w:spacing w:val="-8"/>
        </w:rPr>
        <w:t xml:space="preserve"> </w:t>
      </w:r>
      <w:r w:rsidR="02D7BAA1" w:rsidRPr="00C416D8">
        <w:rPr>
          <w:noProof/>
          <w:spacing w:val="-8"/>
        </w:rPr>
        <w:t xml:space="preserve">instruments the Regulation </w:t>
      </w:r>
      <w:r w:rsidR="000D01D5">
        <w:rPr>
          <w:noProof/>
          <w:spacing w:val="-8"/>
        </w:rPr>
        <w:t xml:space="preserve">on Multimodal Booking (RMB) </w:t>
      </w:r>
      <w:r w:rsidR="02D7BAA1" w:rsidRPr="00C416D8">
        <w:rPr>
          <w:noProof/>
          <w:spacing w:val="-8"/>
        </w:rPr>
        <w:t xml:space="preserve">and the </w:t>
      </w:r>
      <w:r w:rsidR="000D01D5">
        <w:rPr>
          <w:noProof/>
          <w:spacing w:val="-8"/>
        </w:rPr>
        <w:t>Rail</w:t>
      </w:r>
      <w:r w:rsidR="02D7BAA1" w:rsidRPr="00C416D8">
        <w:rPr>
          <w:noProof/>
          <w:spacing w:val="-8"/>
        </w:rPr>
        <w:t xml:space="preserve"> Ticketing Regulation</w:t>
      </w:r>
      <w:r w:rsidR="000D01D5">
        <w:rPr>
          <w:noProof/>
          <w:spacing w:val="-8"/>
        </w:rPr>
        <w:t xml:space="preserve"> (RTR)</w:t>
      </w:r>
      <w:r w:rsidR="00AC1246" w:rsidRPr="00C416D8">
        <w:rPr>
          <w:noProof/>
          <w:spacing w:val="-8"/>
        </w:rPr>
        <w:t>, still both covered by this impact assessment</w:t>
      </w:r>
      <w:r w:rsidR="02D7BAA1" w:rsidRPr="00C416D8">
        <w:rPr>
          <w:noProof/>
          <w:spacing w:val="-8"/>
        </w:rPr>
        <w:t xml:space="preserve">. </w:t>
      </w:r>
      <w:r w:rsidR="18663E30" w:rsidRPr="00C416D8">
        <w:rPr>
          <w:noProof/>
          <w:spacing w:val="-8"/>
        </w:rPr>
        <w:t>A</w:t>
      </w:r>
      <w:r w:rsidR="006B7D75" w:rsidRPr="00C416D8">
        <w:rPr>
          <w:noProof/>
          <w:spacing w:val="-8"/>
        </w:rPr>
        <w:t xml:space="preserve">dditional </w:t>
      </w:r>
      <w:r w:rsidR="00703C9F" w:rsidRPr="00C416D8">
        <w:rPr>
          <w:noProof/>
          <w:spacing w:val="-8"/>
        </w:rPr>
        <w:t xml:space="preserve">stakeholder consultation activities were undertaken to </w:t>
      </w:r>
      <w:r w:rsidR="00B6075D" w:rsidRPr="00C416D8">
        <w:rPr>
          <w:noProof/>
          <w:spacing w:val="-8"/>
        </w:rPr>
        <w:t>update</w:t>
      </w:r>
      <w:r w:rsidR="00F90AF7" w:rsidRPr="00C416D8">
        <w:rPr>
          <w:noProof/>
          <w:spacing w:val="-8"/>
        </w:rPr>
        <w:t xml:space="preserve"> stakeholder views</w:t>
      </w:r>
      <w:r w:rsidR="0095176A" w:rsidRPr="00C416D8">
        <w:rPr>
          <w:noProof/>
          <w:spacing w:val="-8"/>
        </w:rPr>
        <w:t xml:space="preserve"> on </w:t>
      </w:r>
      <w:r w:rsidR="00937ABB">
        <w:rPr>
          <w:noProof/>
          <w:spacing w:val="-8"/>
        </w:rPr>
        <w:t>RMB</w:t>
      </w:r>
      <w:r w:rsidR="00937ABB" w:rsidRPr="00C416D8">
        <w:rPr>
          <w:noProof/>
          <w:spacing w:val="-8"/>
        </w:rPr>
        <w:t xml:space="preserve"> </w:t>
      </w:r>
      <w:r w:rsidR="0095176A" w:rsidRPr="00C416D8">
        <w:rPr>
          <w:noProof/>
          <w:spacing w:val="-8"/>
        </w:rPr>
        <w:t xml:space="preserve">and </w:t>
      </w:r>
      <w:r w:rsidR="00937ABB">
        <w:rPr>
          <w:noProof/>
          <w:spacing w:val="-8"/>
        </w:rPr>
        <w:t>RTR</w:t>
      </w:r>
      <w:r w:rsidR="00F90AF7" w:rsidRPr="00C416D8">
        <w:rPr>
          <w:noProof/>
          <w:spacing w:val="-8"/>
        </w:rPr>
        <w:t xml:space="preserve">. </w:t>
      </w:r>
      <w:r w:rsidRPr="00C416D8">
        <w:rPr>
          <w:noProof/>
          <w:spacing w:val="-8"/>
        </w:rPr>
        <w:t xml:space="preserve">Consultation activities sought both qualitative (opinions, views, suggestions) and quantitative (data, statistics) information. </w:t>
      </w:r>
      <w:r w:rsidR="003D40E4" w:rsidRPr="00C416D8">
        <w:rPr>
          <w:noProof/>
          <w:spacing w:val="-8"/>
        </w:rPr>
        <w:t xml:space="preserve">These activities stretched from 2020 to 2025, first </w:t>
      </w:r>
      <w:r w:rsidR="00AF2E0F" w:rsidRPr="00C416D8">
        <w:rPr>
          <w:noProof/>
          <w:spacing w:val="-8"/>
        </w:rPr>
        <w:t xml:space="preserve">launched </w:t>
      </w:r>
      <w:r w:rsidR="003D40E4" w:rsidRPr="00C416D8">
        <w:rPr>
          <w:noProof/>
          <w:spacing w:val="-8"/>
        </w:rPr>
        <w:t xml:space="preserve">only specifically </w:t>
      </w:r>
      <w:r w:rsidR="00650A9F" w:rsidRPr="00C416D8">
        <w:rPr>
          <w:noProof/>
          <w:spacing w:val="-8"/>
        </w:rPr>
        <w:t xml:space="preserve">on the review of the CRS Regulation </w:t>
      </w:r>
      <w:r w:rsidR="00AF2E0F" w:rsidRPr="00C416D8">
        <w:rPr>
          <w:noProof/>
          <w:spacing w:val="-8"/>
        </w:rPr>
        <w:t xml:space="preserve">in December 2020 </w:t>
      </w:r>
      <w:r w:rsidR="00650A9F" w:rsidRPr="00C416D8">
        <w:rPr>
          <w:noProof/>
          <w:spacing w:val="-8"/>
        </w:rPr>
        <w:t xml:space="preserve">and later on </w:t>
      </w:r>
      <w:r w:rsidRPr="00C416D8">
        <w:rPr>
          <w:noProof/>
          <w:spacing w:val="-8"/>
        </w:rPr>
        <w:t xml:space="preserve">for the impact assessment on </w:t>
      </w:r>
      <w:r w:rsidR="00953CDE" w:rsidRPr="00C416D8">
        <w:rPr>
          <w:noProof/>
          <w:spacing w:val="-8"/>
        </w:rPr>
        <w:t xml:space="preserve">the </w:t>
      </w:r>
      <w:r w:rsidR="00937ABB">
        <w:rPr>
          <w:noProof/>
          <w:spacing w:val="-8"/>
        </w:rPr>
        <w:t>RMB</w:t>
      </w:r>
      <w:r w:rsidR="00937ABB" w:rsidRPr="00C416D8">
        <w:rPr>
          <w:noProof/>
          <w:spacing w:val="-8"/>
        </w:rPr>
        <w:t xml:space="preserve"> </w:t>
      </w:r>
      <w:r w:rsidR="003F7539" w:rsidRPr="00C416D8">
        <w:rPr>
          <w:noProof/>
          <w:spacing w:val="-8"/>
        </w:rPr>
        <w:t xml:space="preserve">and </w:t>
      </w:r>
      <w:r w:rsidR="00937ABB">
        <w:rPr>
          <w:noProof/>
          <w:spacing w:val="-8"/>
        </w:rPr>
        <w:t>RTR</w:t>
      </w:r>
      <w:r w:rsidR="00937ABB" w:rsidRPr="00C416D8">
        <w:rPr>
          <w:noProof/>
          <w:spacing w:val="-8"/>
        </w:rPr>
        <w:t xml:space="preserve"> </w:t>
      </w:r>
      <w:r w:rsidRPr="00C416D8">
        <w:rPr>
          <w:noProof/>
          <w:spacing w:val="-8"/>
        </w:rPr>
        <w:t>initiative</w:t>
      </w:r>
      <w:r w:rsidR="003F7539" w:rsidRPr="00C416D8">
        <w:rPr>
          <w:noProof/>
          <w:spacing w:val="-8"/>
        </w:rPr>
        <w:t>s</w:t>
      </w:r>
      <w:r w:rsidRPr="00C416D8">
        <w:rPr>
          <w:noProof/>
          <w:spacing w:val="-8"/>
        </w:rPr>
        <w:t>.</w:t>
      </w:r>
      <w:r w:rsidR="1C781506" w:rsidRPr="00C416D8">
        <w:rPr>
          <w:noProof/>
          <w:spacing w:val="-8"/>
        </w:rPr>
        <w:t xml:space="preserve"> </w:t>
      </w:r>
      <w:r w:rsidR="007C416D" w:rsidRPr="00C416D8">
        <w:rPr>
          <w:noProof/>
          <w:spacing w:val="-8"/>
        </w:rPr>
        <w:t>Overall</w:t>
      </w:r>
      <w:r w:rsidR="000C5395" w:rsidRPr="00C416D8">
        <w:rPr>
          <w:noProof/>
          <w:spacing w:val="-8"/>
        </w:rPr>
        <w:t>,</w:t>
      </w:r>
      <w:r w:rsidR="007C416D" w:rsidRPr="00C416D8">
        <w:rPr>
          <w:noProof/>
          <w:spacing w:val="-8"/>
        </w:rPr>
        <w:t xml:space="preserve"> a</w:t>
      </w:r>
      <w:r w:rsidR="005E7456" w:rsidRPr="00C416D8">
        <w:rPr>
          <w:noProof/>
          <w:spacing w:val="-8"/>
        </w:rPr>
        <w:t xml:space="preserve"> high number of different consultation activities were </w:t>
      </w:r>
      <w:r w:rsidR="00B6075D" w:rsidRPr="00C416D8">
        <w:rPr>
          <w:noProof/>
          <w:spacing w:val="-8"/>
        </w:rPr>
        <w:t>carried out</w:t>
      </w:r>
      <w:r w:rsidR="005E7456" w:rsidRPr="00C416D8">
        <w:rPr>
          <w:noProof/>
          <w:spacing w:val="-8"/>
        </w:rPr>
        <w:t xml:space="preserve"> and stakeholders were consulted intensively</w:t>
      </w:r>
      <w:r w:rsidR="00953CDE" w:rsidRPr="00C416D8">
        <w:rPr>
          <w:noProof/>
          <w:spacing w:val="-8"/>
        </w:rPr>
        <w:t>.</w:t>
      </w:r>
      <w:r w:rsidR="005E7456" w:rsidRPr="00C416D8">
        <w:rPr>
          <w:noProof/>
          <w:spacing w:val="-8"/>
        </w:rPr>
        <w:t xml:space="preserve"> </w:t>
      </w:r>
      <w:r w:rsidR="00953CDE" w:rsidRPr="00C416D8">
        <w:rPr>
          <w:noProof/>
          <w:spacing w:val="-8"/>
        </w:rPr>
        <w:t>F</w:t>
      </w:r>
      <w:r w:rsidR="005E7456" w:rsidRPr="00C416D8">
        <w:rPr>
          <w:noProof/>
          <w:spacing w:val="-8"/>
        </w:rPr>
        <w:t>or instance</w:t>
      </w:r>
      <w:r w:rsidR="0070094F" w:rsidRPr="00C416D8">
        <w:rPr>
          <w:noProof/>
          <w:spacing w:val="-8"/>
        </w:rPr>
        <w:t>,</w:t>
      </w:r>
      <w:r w:rsidR="005E7456" w:rsidRPr="00C416D8">
        <w:rPr>
          <w:noProof/>
          <w:spacing w:val="-8"/>
        </w:rPr>
        <w:t xml:space="preserve"> citizens were asked for their views on 5 occasions, the 2 </w:t>
      </w:r>
      <w:r w:rsidR="009A4F0D" w:rsidRPr="00C416D8">
        <w:rPr>
          <w:noProof/>
          <w:spacing w:val="-8"/>
        </w:rPr>
        <w:t>Inception Impact Assessment</w:t>
      </w:r>
      <w:r w:rsidR="005E7456" w:rsidRPr="00C416D8">
        <w:rPr>
          <w:noProof/>
          <w:spacing w:val="-8"/>
        </w:rPr>
        <w:t>s</w:t>
      </w:r>
      <w:r w:rsidR="00F523E1" w:rsidRPr="00C416D8">
        <w:rPr>
          <w:noProof/>
          <w:spacing w:val="-8"/>
        </w:rPr>
        <w:t xml:space="preserve"> (IIA)</w:t>
      </w:r>
      <w:r w:rsidR="005E7456" w:rsidRPr="00C416D8">
        <w:rPr>
          <w:noProof/>
          <w:spacing w:val="-8"/>
        </w:rPr>
        <w:t>, 2 O</w:t>
      </w:r>
      <w:r w:rsidR="009A4F0D" w:rsidRPr="00C416D8">
        <w:rPr>
          <w:noProof/>
          <w:spacing w:val="-8"/>
        </w:rPr>
        <w:t>nline Public Consultations</w:t>
      </w:r>
      <w:r w:rsidR="005E7456" w:rsidRPr="00C416D8">
        <w:rPr>
          <w:noProof/>
          <w:spacing w:val="-8"/>
        </w:rPr>
        <w:t xml:space="preserve"> </w:t>
      </w:r>
      <w:r w:rsidR="009A4F0D" w:rsidRPr="00C416D8">
        <w:rPr>
          <w:noProof/>
          <w:spacing w:val="-8"/>
        </w:rPr>
        <w:t>(</w:t>
      </w:r>
      <w:r w:rsidR="005E7456" w:rsidRPr="00C416D8">
        <w:rPr>
          <w:noProof/>
          <w:spacing w:val="-8"/>
        </w:rPr>
        <w:t>OPC</w:t>
      </w:r>
      <w:r w:rsidR="009A4F0D" w:rsidRPr="00C416D8">
        <w:rPr>
          <w:noProof/>
          <w:spacing w:val="-8"/>
        </w:rPr>
        <w:t>)</w:t>
      </w:r>
      <w:r w:rsidR="005E7456" w:rsidRPr="00C416D8">
        <w:rPr>
          <w:noProof/>
          <w:spacing w:val="-8"/>
        </w:rPr>
        <w:t xml:space="preserve"> and a Eurobarometer survey. There were no campaigns identified.</w:t>
      </w:r>
    </w:p>
    <w:p w14:paraId="2D3A2CE1" w14:textId="7DE25855" w:rsidR="00712390" w:rsidRPr="00C416D8" w:rsidRDefault="003C4819" w:rsidP="00C416D8">
      <w:pPr>
        <w:pStyle w:val="BodyText"/>
        <w:spacing w:after="240"/>
        <w:ind w:left="0" w:right="113"/>
        <w:rPr>
          <w:noProof/>
          <w:spacing w:val="-8"/>
        </w:rPr>
      </w:pPr>
      <w:r w:rsidRPr="00C416D8">
        <w:rPr>
          <w:noProof/>
          <w:spacing w:val="-8"/>
        </w:rPr>
        <w:t>This annex provides an overview of the stakeholder groups that were consulted as well as a summary and analysis of the responses received</w:t>
      </w:r>
      <w:r w:rsidR="001A621C" w:rsidRPr="00C416D8">
        <w:rPr>
          <w:noProof/>
          <w:spacing w:val="-8"/>
        </w:rPr>
        <w:t xml:space="preserve"> while differentiating the views of the different categories of stakeholders</w:t>
      </w:r>
      <w:r w:rsidRPr="00C416D8">
        <w:rPr>
          <w:noProof/>
          <w:spacing w:val="-8"/>
        </w:rPr>
        <w:t>. The consultations covered all aspects of the impact assessment (problem definition, EU dimension, options and potential impacts).</w:t>
      </w:r>
      <w:r w:rsidR="00DE536A" w:rsidRPr="00C416D8">
        <w:rPr>
          <w:noProof/>
          <w:spacing w:val="-8"/>
        </w:rPr>
        <w:t xml:space="preserve"> This synopsis report</w:t>
      </w:r>
      <w:r w:rsidR="00632140" w:rsidRPr="00C416D8">
        <w:rPr>
          <w:noProof/>
          <w:spacing w:val="-8"/>
        </w:rPr>
        <w:t>’s</w:t>
      </w:r>
      <w:r w:rsidR="00DE536A" w:rsidRPr="00C416D8">
        <w:rPr>
          <w:noProof/>
          <w:spacing w:val="-8"/>
        </w:rPr>
        <w:t xml:space="preserve"> aim is twofold</w:t>
      </w:r>
      <w:r w:rsidR="00632140" w:rsidRPr="00C416D8">
        <w:rPr>
          <w:noProof/>
          <w:spacing w:val="-8"/>
        </w:rPr>
        <w:t>,</w:t>
      </w:r>
      <w:r w:rsidR="00DE536A" w:rsidRPr="00C416D8">
        <w:rPr>
          <w:noProof/>
          <w:spacing w:val="-8"/>
        </w:rPr>
        <w:t xml:space="preserve"> to inform policymaking on the outcome of all consultation activities</w:t>
      </w:r>
      <w:r w:rsidR="00567B83" w:rsidRPr="00C416D8">
        <w:rPr>
          <w:noProof/>
          <w:spacing w:val="-8"/>
        </w:rPr>
        <w:t xml:space="preserve"> and</w:t>
      </w:r>
      <w:r w:rsidR="00DE536A" w:rsidRPr="00C416D8">
        <w:rPr>
          <w:noProof/>
          <w:spacing w:val="-8"/>
        </w:rPr>
        <w:t xml:space="preserve"> to inform stakeholders on how their input has been considered.</w:t>
      </w:r>
    </w:p>
    <w:p w14:paraId="008A7B32" w14:textId="5F47AD34" w:rsidR="000B692E" w:rsidRPr="00D71008" w:rsidRDefault="00AC6F58" w:rsidP="00E924C6">
      <w:pPr>
        <w:pStyle w:val="BodyText"/>
        <w:spacing w:after="240"/>
        <w:ind w:left="0" w:right="113"/>
        <w:rPr>
          <w:noProof/>
        </w:rPr>
      </w:pPr>
      <w:r w:rsidRPr="00C416D8">
        <w:rPr>
          <w:noProof/>
          <w:spacing w:val="-8"/>
        </w:rPr>
        <w:t>The contributions received in the context of the public consultation published on the ‘Have Your Say’ web portal cannot be regarded as the official position of the Commission and its services and thus does not bind the Commission nor that the contributions can be considered as a representative sample of the EU population</w:t>
      </w:r>
      <w:r w:rsidR="00D052D9" w:rsidRPr="00C416D8">
        <w:rPr>
          <w:noProof/>
          <w:spacing w:val="-8"/>
        </w:rPr>
        <w:t>, except for the Eurobarometer survey re</w:t>
      </w:r>
      <w:r w:rsidR="00691288" w:rsidRPr="00C416D8">
        <w:rPr>
          <w:noProof/>
          <w:spacing w:val="-8"/>
        </w:rPr>
        <w:t xml:space="preserve">ferred to. </w:t>
      </w:r>
    </w:p>
    <w:p w14:paraId="578167AE" w14:textId="37548F0B" w:rsidR="0033747E" w:rsidRPr="002B1C57" w:rsidRDefault="000C5395" w:rsidP="007B2D8E">
      <w:pPr>
        <w:numPr>
          <w:ilvl w:val="1"/>
          <w:numId w:val="13"/>
        </w:numPr>
        <w:tabs>
          <w:tab w:val="left" w:pos="993"/>
        </w:tabs>
        <w:spacing w:after="240"/>
        <w:ind w:left="992" w:right="423" w:hanging="567"/>
        <w:rPr>
          <w:b/>
          <w:noProof/>
        </w:rPr>
      </w:pPr>
      <w:r w:rsidRPr="002B1C57">
        <w:rPr>
          <w:b/>
          <w:noProof/>
        </w:rPr>
        <w:t>Consultation process and strategy</w:t>
      </w:r>
    </w:p>
    <w:p w14:paraId="2BD88C3B" w14:textId="2A22968D" w:rsidR="00712390" w:rsidRPr="00E924C6" w:rsidRDefault="003C4819" w:rsidP="00E924C6">
      <w:pPr>
        <w:pStyle w:val="BodyText"/>
        <w:tabs>
          <w:tab w:val="left" w:pos="9214"/>
        </w:tabs>
        <w:spacing w:after="240"/>
        <w:ind w:left="0" w:right="113"/>
        <w:rPr>
          <w:noProof/>
          <w:spacing w:val="-8"/>
        </w:rPr>
      </w:pPr>
      <w:r w:rsidRPr="00E924C6">
        <w:rPr>
          <w:noProof/>
          <w:spacing w:val="-8"/>
        </w:rPr>
        <w:t xml:space="preserve">The consultation </w:t>
      </w:r>
      <w:r w:rsidR="000C358B" w:rsidRPr="00E924C6">
        <w:rPr>
          <w:noProof/>
          <w:spacing w:val="-8"/>
        </w:rPr>
        <w:t>strategy</w:t>
      </w:r>
      <w:r w:rsidRPr="00E924C6">
        <w:rPr>
          <w:noProof/>
          <w:spacing w:val="-8"/>
        </w:rPr>
        <w:t xml:space="preserve"> engaged main target groups through different methods, combining:</w:t>
      </w:r>
    </w:p>
    <w:p w14:paraId="2D887AC4" w14:textId="14F48A02" w:rsidR="00712390" w:rsidRPr="00E924C6" w:rsidRDefault="2471901C" w:rsidP="007B2D8E">
      <w:pPr>
        <w:pStyle w:val="ListParagraph"/>
        <w:numPr>
          <w:ilvl w:val="0"/>
          <w:numId w:val="4"/>
        </w:numPr>
        <w:tabs>
          <w:tab w:val="left" w:pos="1410"/>
          <w:tab w:val="left" w:pos="1412"/>
          <w:tab w:val="left" w:pos="9214"/>
        </w:tabs>
        <w:spacing w:before="0" w:after="240"/>
        <w:ind w:right="113"/>
        <w:jc w:val="both"/>
        <w:rPr>
          <w:noProof/>
          <w:spacing w:val="-8"/>
          <w:sz w:val="24"/>
          <w:szCs w:val="24"/>
        </w:rPr>
      </w:pPr>
      <w:r w:rsidRPr="00E924C6">
        <w:rPr>
          <w:noProof/>
          <w:spacing w:val="-8"/>
          <w:sz w:val="24"/>
          <w:szCs w:val="24"/>
        </w:rPr>
        <w:t xml:space="preserve">Publication of the IIA, and a request for </w:t>
      </w:r>
      <w:r w:rsidR="00C64991" w:rsidRPr="00E924C6">
        <w:rPr>
          <w:noProof/>
          <w:spacing w:val="-8"/>
          <w:sz w:val="24"/>
          <w:szCs w:val="24"/>
        </w:rPr>
        <w:t>feedback</w:t>
      </w:r>
      <w:r w:rsidRPr="00E924C6">
        <w:rPr>
          <w:noProof/>
          <w:spacing w:val="-8"/>
          <w:sz w:val="24"/>
          <w:szCs w:val="24"/>
        </w:rPr>
        <w:t xml:space="preserve"> to the IIA by all interested stakeholders which ran from 09 July 2020 until 04 September 2020 for the CRS Code of Conduct and 05 October 2021 until 02 November 2021 for MDMS.</w:t>
      </w:r>
    </w:p>
    <w:p w14:paraId="67DA880B" w14:textId="42D4FB16" w:rsidR="00712390" w:rsidRPr="00E924C6" w:rsidRDefault="2471901C" w:rsidP="007B2D8E">
      <w:pPr>
        <w:pStyle w:val="ListParagraph"/>
        <w:numPr>
          <w:ilvl w:val="0"/>
          <w:numId w:val="4"/>
        </w:numPr>
        <w:tabs>
          <w:tab w:val="left" w:pos="1410"/>
          <w:tab w:val="left" w:pos="1412"/>
          <w:tab w:val="left" w:pos="9214"/>
        </w:tabs>
        <w:spacing w:before="0" w:after="240"/>
        <w:ind w:right="113"/>
        <w:jc w:val="both"/>
        <w:rPr>
          <w:noProof/>
          <w:spacing w:val="-8"/>
          <w:sz w:val="24"/>
          <w:szCs w:val="24"/>
        </w:rPr>
      </w:pPr>
      <w:r w:rsidRPr="00E924C6">
        <w:rPr>
          <w:noProof/>
          <w:spacing w:val="-8"/>
          <w:sz w:val="24"/>
          <w:szCs w:val="24"/>
        </w:rPr>
        <w:t>An OPC for CRS was launched on 23 February 2021 and remained open until 18 May 2021. For MDMS an OPC was launched on 1 December 2021 and remained open until 23 February 2022.</w:t>
      </w:r>
    </w:p>
    <w:p w14:paraId="2AE39D1A" w14:textId="64BA764C" w:rsidR="5581EDFE" w:rsidRPr="00E924C6" w:rsidRDefault="68DE0616" w:rsidP="007B2D8E">
      <w:pPr>
        <w:pStyle w:val="ListParagraph"/>
        <w:numPr>
          <w:ilvl w:val="0"/>
          <w:numId w:val="4"/>
        </w:numPr>
        <w:tabs>
          <w:tab w:val="left" w:pos="1412"/>
          <w:tab w:val="left" w:pos="9214"/>
        </w:tabs>
        <w:spacing w:before="0" w:after="240"/>
        <w:ind w:right="113" w:hanging="283"/>
        <w:jc w:val="both"/>
        <w:rPr>
          <w:noProof/>
          <w:spacing w:val="-8"/>
          <w:sz w:val="24"/>
          <w:szCs w:val="24"/>
        </w:rPr>
      </w:pPr>
      <w:r w:rsidRPr="00E924C6">
        <w:rPr>
          <w:noProof/>
          <w:spacing w:val="-8"/>
          <w:sz w:val="24"/>
          <w:szCs w:val="24"/>
        </w:rPr>
        <w:t xml:space="preserve">A Eurobarometer survey </w:t>
      </w:r>
      <w:r w:rsidR="009F21E9" w:rsidRPr="00E924C6">
        <w:rPr>
          <w:noProof/>
          <w:spacing w:val="-8"/>
          <w:sz w:val="24"/>
          <w:szCs w:val="24"/>
        </w:rPr>
        <w:t>with a representative sample of the EU population</w:t>
      </w:r>
      <w:r w:rsidRPr="00E924C6">
        <w:rPr>
          <w:noProof/>
          <w:spacing w:val="-8"/>
          <w:sz w:val="24"/>
          <w:szCs w:val="24"/>
        </w:rPr>
        <w:t xml:space="preserve"> conducted during the summer of 2024 and published on </w:t>
      </w:r>
      <w:r w:rsidR="20DEF86D" w:rsidRPr="00E924C6">
        <w:rPr>
          <w:noProof/>
          <w:spacing w:val="-8"/>
          <w:sz w:val="24"/>
          <w:szCs w:val="24"/>
        </w:rPr>
        <w:t>01 April</w:t>
      </w:r>
      <w:r w:rsidRPr="00E924C6">
        <w:rPr>
          <w:noProof/>
          <w:spacing w:val="-8"/>
          <w:sz w:val="24"/>
          <w:szCs w:val="24"/>
        </w:rPr>
        <w:t xml:space="preserve"> 2025</w:t>
      </w:r>
      <w:r w:rsidR="006500D3" w:rsidRPr="00E924C6">
        <w:rPr>
          <w:noProof/>
          <w:spacing w:val="-8"/>
          <w:sz w:val="24"/>
          <w:szCs w:val="24"/>
        </w:rPr>
        <w:t xml:space="preserve"> on the European Commission’s dedicated </w:t>
      </w:r>
      <w:hyperlink r:id="rId34" w:history="1">
        <w:r w:rsidR="006500D3" w:rsidRPr="00E924C6">
          <w:rPr>
            <w:rStyle w:val="Hyperlink"/>
            <w:noProof/>
            <w:spacing w:val="-8"/>
            <w:sz w:val="24"/>
            <w:szCs w:val="24"/>
          </w:rPr>
          <w:t>webpage</w:t>
        </w:r>
      </w:hyperlink>
      <w:r w:rsidRPr="00E924C6">
        <w:rPr>
          <w:noProof/>
          <w:spacing w:val="-8"/>
          <w:sz w:val="24"/>
          <w:szCs w:val="24"/>
        </w:rPr>
        <w:t xml:space="preserve">. </w:t>
      </w:r>
    </w:p>
    <w:p w14:paraId="45A1FBD7" w14:textId="1CE2F1E4" w:rsidR="00712390" w:rsidRPr="00D71008" w:rsidRDefault="003C4819" w:rsidP="00F57113">
      <w:pPr>
        <w:tabs>
          <w:tab w:val="left" w:pos="1412"/>
        </w:tabs>
        <w:spacing w:after="240"/>
        <w:jc w:val="both"/>
        <w:rPr>
          <w:b/>
          <w:noProof/>
        </w:rPr>
      </w:pPr>
      <w:r w:rsidRPr="00D71008">
        <w:rPr>
          <w:b/>
          <w:noProof/>
        </w:rPr>
        <w:t>Targeted</w:t>
      </w:r>
      <w:r w:rsidRPr="00D71008">
        <w:rPr>
          <w:b/>
          <w:noProof/>
          <w:spacing w:val="-4"/>
        </w:rPr>
        <w:t xml:space="preserve"> </w:t>
      </w:r>
      <w:r w:rsidRPr="00D71008">
        <w:rPr>
          <w:b/>
          <w:noProof/>
          <w:spacing w:val="-2"/>
        </w:rPr>
        <w:t>consultation</w:t>
      </w:r>
      <w:r w:rsidR="00F17FF8" w:rsidRPr="00D71008">
        <w:rPr>
          <w:b/>
          <w:noProof/>
          <w:spacing w:val="-2"/>
        </w:rPr>
        <w:t>s</w:t>
      </w:r>
      <w:r w:rsidRPr="00D71008">
        <w:rPr>
          <w:b/>
          <w:noProof/>
          <w:spacing w:val="-2"/>
        </w:rPr>
        <w:t>:</w:t>
      </w:r>
    </w:p>
    <w:p w14:paraId="72474BE2" w14:textId="6A20A34A" w:rsidR="00712390" w:rsidRPr="008C3CB9" w:rsidRDefault="2471901C" w:rsidP="007B2D8E">
      <w:pPr>
        <w:pStyle w:val="ListParagraph"/>
        <w:numPr>
          <w:ilvl w:val="0"/>
          <w:numId w:val="4"/>
        </w:numPr>
        <w:tabs>
          <w:tab w:val="left" w:pos="1410"/>
          <w:tab w:val="left" w:pos="1412"/>
          <w:tab w:val="left" w:pos="9214"/>
        </w:tabs>
        <w:spacing w:before="0" w:after="240"/>
        <w:ind w:right="113"/>
        <w:jc w:val="both"/>
        <w:rPr>
          <w:noProof/>
          <w:spacing w:val="-8"/>
          <w:sz w:val="24"/>
          <w:szCs w:val="24"/>
        </w:rPr>
      </w:pPr>
      <w:r w:rsidRPr="008379F9">
        <w:rPr>
          <w:b/>
          <w:noProof/>
          <w:spacing w:val="-8"/>
          <w:sz w:val="24"/>
          <w:szCs w:val="24"/>
        </w:rPr>
        <w:t>Online survey</w:t>
      </w:r>
      <w:r w:rsidR="00F17FF8" w:rsidRPr="008379F9">
        <w:rPr>
          <w:b/>
          <w:noProof/>
          <w:spacing w:val="-8"/>
          <w:sz w:val="24"/>
          <w:szCs w:val="24"/>
        </w:rPr>
        <w:t>s</w:t>
      </w:r>
      <w:r w:rsidRPr="008C3CB9">
        <w:rPr>
          <w:noProof/>
          <w:spacing w:val="-8"/>
          <w:sz w:val="24"/>
          <w:szCs w:val="24"/>
        </w:rPr>
        <w:t xml:space="preserve">: </w:t>
      </w:r>
      <w:r w:rsidR="00481A89" w:rsidRPr="008C3CB9">
        <w:rPr>
          <w:noProof/>
          <w:spacing w:val="-8"/>
          <w:sz w:val="24"/>
          <w:szCs w:val="24"/>
        </w:rPr>
        <w:t xml:space="preserve">before the first submission </w:t>
      </w:r>
      <w:r w:rsidR="00433C02" w:rsidRPr="008C3CB9">
        <w:rPr>
          <w:noProof/>
          <w:spacing w:val="-8"/>
          <w:sz w:val="24"/>
          <w:szCs w:val="24"/>
        </w:rPr>
        <w:t>of the IA on</w:t>
      </w:r>
      <w:r w:rsidRPr="008C3CB9">
        <w:rPr>
          <w:noProof/>
          <w:spacing w:val="-8"/>
          <w:sz w:val="24"/>
          <w:szCs w:val="24"/>
        </w:rPr>
        <w:t xml:space="preserve"> MDMS, an online survey for all key stakeholder groups was launched on 22nd March 2022 and remained open until 3 June 2022. A total of 55 survey responses were received. For CRS, an online survey for all key stakeholder groups was launched on 29 April 2021 and remained open until 9 June 2021. The Commission received 43 responses.</w:t>
      </w:r>
      <w:r w:rsidR="1FE0048E" w:rsidRPr="008C3CB9">
        <w:rPr>
          <w:noProof/>
          <w:spacing w:val="-8"/>
          <w:sz w:val="24"/>
          <w:szCs w:val="24"/>
        </w:rPr>
        <w:t xml:space="preserve"> </w:t>
      </w:r>
      <w:r w:rsidR="7E7FDF10" w:rsidRPr="008C3CB9">
        <w:rPr>
          <w:noProof/>
          <w:spacing w:val="-8"/>
          <w:sz w:val="24"/>
          <w:szCs w:val="24"/>
        </w:rPr>
        <w:t xml:space="preserve">An additional online survey was launched </w:t>
      </w:r>
      <w:r w:rsidR="00E404D3" w:rsidRPr="008C3CB9">
        <w:rPr>
          <w:noProof/>
          <w:spacing w:val="-8"/>
          <w:sz w:val="24"/>
          <w:szCs w:val="24"/>
        </w:rPr>
        <w:t>on</w:t>
      </w:r>
      <w:r w:rsidR="00F4263D" w:rsidRPr="008C3CB9">
        <w:rPr>
          <w:noProof/>
          <w:spacing w:val="-8"/>
          <w:sz w:val="24"/>
          <w:szCs w:val="24"/>
        </w:rPr>
        <w:t xml:space="preserve"> </w:t>
      </w:r>
      <w:r w:rsidR="005A4D69">
        <w:rPr>
          <w:noProof/>
          <w:spacing w:val="-8"/>
          <w:sz w:val="24"/>
          <w:szCs w:val="24"/>
        </w:rPr>
        <w:t>RMB</w:t>
      </w:r>
      <w:r w:rsidR="005A4D69" w:rsidRPr="008C3CB9">
        <w:rPr>
          <w:noProof/>
          <w:spacing w:val="-8"/>
          <w:sz w:val="24"/>
          <w:szCs w:val="24"/>
        </w:rPr>
        <w:t xml:space="preserve"> </w:t>
      </w:r>
      <w:r w:rsidR="00F4263D" w:rsidRPr="008C3CB9">
        <w:rPr>
          <w:noProof/>
          <w:spacing w:val="-8"/>
          <w:sz w:val="24"/>
          <w:szCs w:val="24"/>
        </w:rPr>
        <w:t xml:space="preserve">and </w:t>
      </w:r>
      <w:r w:rsidR="005A4D69">
        <w:rPr>
          <w:noProof/>
          <w:spacing w:val="-8"/>
          <w:sz w:val="24"/>
          <w:szCs w:val="24"/>
        </w:rPr>
        <w:t>RTR</w:t>
      </w:r>
      <w:r w:rsidR="005A4D69" w:rsidRPr="008C3CB9">
        <w:rPr>
          <w:noProof/>
          <w:spacing w:val="-8"/>
          <w:sz w:val="24"/>
          <w:szCs w:val="24"/>
        </w:rPr>
        <w:t xml:space="preserve"> </w:t>
      </w:r>
      <w:r w:rsidR="7E7FDF10" w:rsidRPr="008C3CB9">
        <w:rPr>
          <w:noProof/>
          <w:spacing w:val="-8"/>
          <w:sz w:val="24"/>
          <w:szCs w:val="24"/>
        </w:rPr>
        <w:t xml:space="preserve">for all key stakeholder groups. </w:t>
      </w:r>
      <w:r w:rsidR="1628CC46" w:rsidRPr="008C3CB9">
        <w:rPr>
          <w:noProof/>
          <w:spacing w:val="-8"/>
          <w:sz w:val="24"/>
          <w:szCs w:val="24"/>
        </w:rPr>
        <w:t xml:space="preserve">The survey was open from 14 February 2025 to 11 April 2025 with an extension granted for a limited number of stakeholders to respond by the 23 April 2025. </w:t>
      </w:r>
      <w:r w:rsidR="0077449C" w:rsidRPr="008C3CB9">
        <w:rPr>
          <w:noProof/>
          <w:spacing w:val="-8"/>
          <w:sz w:val="24"/>
          <w:szCs w:val="24"/>
        </w:rPr>
        <w:t xml:space="preserve">It </w:t>
      </w:r>
      <w:r w:rsidR="1628CC46" w:rsidRPr="008C3CB9">
        <w:rPr>
          <w:noProof/>
          <w:spacing w:val="-8"/>
          <w:sz w:val="24"/>
          <w:szCs w:val="24"/>
        </w:rPr>
        <w:t xml:space="preserve">has received a total of </w:t>
      </w:r>
      <w:r w:rsidR="00FA1217" w:rsidRPr="008C3CB9">
        <w:rPr>
          <w:noProof/>
          <w:spacing w:val="-8"/>
          <w:sz w:val="24"/>
          <w:szCs w:val="24"/>
        </w:rPr>
        <w:t>7</w:t>
      </w:r>
      <w:r w:rsidR="1628CC46" w:rsidRPr="008C3CB9">
        <w:rPr>
          <w:noProof/>
          <w:spacing w:val="-8"/>
          <w:sz w:val="24"/>
          <w:szCs w:val="24"/>
        </w:rPr>
        <w:t>8 completed responses.</w:t>
      </w:r>
    </w:p>
    <w:p w14:paraId="1CA657F3" w14:textId="3AB2DBE1" w:rsidR="00687E6B" w:rsidRPr="008C3CB9" w:rsidRDefault="2471901C" w:rsidP="007B2D8E">
      <w:pPr>
        <w:pStyle w:val="ListParagraph"/>
        <w:numPr>
          <w:ilvl w:val="0"/>
          <w:numId w:val="4"/>
        </w:numPr>
        <w:tabs>
          <w:tab w:val="left" w:pos="1410"/>
          <w:tab w:val="left" w:pos="1412"/>
          <w:tab w:val="left" w:pos="9214"/>
        </w:tabs>
        <w:spacing w:before="0" w:after="240"/>
        <w:ind w:right="113"/>
        <w:jc w:val="both"/>
        <w:rPr>
          <w:noProof/>
          <w:spacing w:val="-8"/>
          <w:sz w:val="24"/>
          <w:szCs w:val="24"/>
        </w:rPr>
      </w:pPr>
      <w:r w:rsidRPr="008C3CB9">
        <w:rPr>
          <w:b/>
          <w:noProof/>
          <w:spacing w:val="-8"/>
          <w:sz w:val="24"/>
          <w:szCs w:val="24"/>
        </w:rPr>
        <w:t>Interview</w:t>
      </w:r>
      <w:r w:rsidR="278BB096" w:rsidRPr="008C3CB9">
        <w:rPr>
          <w:b/>
          <w:noProof/>
          <w:spacing w:val="-8"/>
          <w:sz w:val="24"/>
          <w:szCs w:val="24"/>
        </w:rPr>
        <w:t>s</w:t>
      </w:r>
      <w:r w:rsidRPr="008C3CB9">
        <w:rPr>
          <w:noProof/>
          <w:spacing w:val="-8"/>
          <w:sz w:val="24"/>
          <w:szCs w:val="24"/>
        </w:rPr>
        <w:t xml:space="preserve">: </w:t>
      </w:r>
      <w:r w:rsidR="00C64430" w:rsidRPr="008C3CB9">
        <w:rPr>
          <w:noProof/>
          <w:spacing w:val="-8"/>
          <w:sz w:val="24"/>
          <w:szCs w:val="24"/>
        </w:rPr>
        <w:t>before the first submission</w:t>
      </w:r>
      <w:r w:rsidR="00C64430" w:rsidRPr="008C3CB9">
        <w:rPr>
          <w:b/>
          <w:noProof/>
          <w:spacing w:val="-8"/>
          <w:sz w:val="24"/>
          <w:szCs w:val="24"/>
        </w:rPr>
        <w:t xml:space="preserve"> </w:t>
      </w:r>
      <w:r w:rsidR="00C64430" w:rsidRPr="008C3CB9">
        <w:rPr>
          <w:noProof/>
          <w:spacing w:val="-8"/>
          <w:sz w:val="24"/>
          <w:szCs w:val="24"/>
        </w:rPr>
        <w:t>of the IA on</w:t>
      </w:r>
      <w:r w:rsidRPr="008C3CB9">
        <w:rPr>
          <w:noProof/>
          <w:spacing w:val="-8"/>
          <w:sz w:val="24"/>
          <w:szCs w:val="24"/>
        </w:rPr>
        <w:t xml:space="preserve"> MDMS, 66 interviews have been conducted between January 2022 until July 2022. Furthermore, seven exploratory interviews with key stakeholders were conducted in the </w:t>
      </w:r>
      <w:r w:rsidR="00C34D99" w:rsidRPr="008C3CB9">
        <w:rPr>
          <w:noProof/>
          <w:spacing w:val="-8"/>
          <w:sz w:val="24"/>
          <w:szCs w:val="24"/>
        </w:rPr>
        <w:t>beginning of the process</w:t>
      </w:r>
      <w:r w:rsidRPr="008C3CB9">
        <w:rPr>
          <w:noProof/>
          <w:spacing w:val="-8"/>
          <w:sz w:val="24"/>
          <w:szCs w:val="24"/>
        </w:rPr>
        <w:t xml:space="preserve"> (January/February 2022). </w:t>
      </w:r>
      <w:r w:rsidR="00231222" w:rsidRPr="008C3CB9">
        <w:rPr>
          <w:noProof/>
          <w:spacing w:val="-8"/>
          <w:sz w:val="24"/>
          <w:szCs w:val="24"/>
        </w:rPr>
        <w:t>Specifically f</w:t>
      </w:r>
      <w:r w:rsidRPr="008C3CB9">
        <w:rPr>
          <w:noProof/>
          <w:spacing w:val="-8"/>
          <w:sz w:val="24"/>
          <w:szCs w:val="24"/>
        </w:rPr>
        <w:t>or CRS, the interviews were conducted with 29 stakeholders representing air carriers and their associations, travel agents and their associations</w:t>
      </w:r>
      <w:r w:rsidR="00E46C04" w:rsidRPr="008C3CB9">
        <w:rPr>
          <w:noProof/>
          <w:spacing w:val="-8"/>
          <w:sz w:val="24"/>
          <w:szCs w:val="24"/>
        </w:rPr>
        <w:t>,</w:t>
      </w:r>
      <w:r w:rsidRPr="008C3CB9">
        <w:rPr>
          <w:noProof/>
          <w:spacing w:val="-8"/>
          <w:sz w:val="24"/>
          <w:szCs w:val="24"/>
        </w:rPr>
        <w:t xml:space="preserve"> </w:t>
      </w:r>
      <w:r w:rsidR="00E46C04" w:rsidRPr="008C3CB9">
        <w:rPr>
          <w:noProof/>
          <w:spacing w:val="-8"/>
          <w:sz w:val="24"/>
          <w:szCs w:val="24"/>
        </w:rPr>
        <w:t>m</w:t>
      </w:r>
      <w:r w:rsidRPr="008C3CB9">
        <w:rPr>
          <w:noProof/>
          <w:spacing w:val="-8"/>
          <w:sz w:val="24"/>
          <w:szCs w:val="24"/>
        </w:rPr>
        <w:t xml:space="preserve">eta- search engines, CRS providers, non-CRS </w:t>
      </w:r>
      <w:r w:rsidR="002F4B57" w:rsidRPr="008C3CB9">
        <w:rPr>
          <w:noProof/>
          <w:spacing w:val="-8"/>
          <w:sz w:val="24"/>
          <w:szCs w:val="24"/>
        </w:rPr>
        <w:t>providers</w:t>
      </w:r>
      <w:r w:rsidR="00D51639" w:rsidRPr="008C3CB9">
        <w:rPr>
          <w:noProof/>
          <w:spacing w:val="-8"/>
          <w:sz w:val="24"/>
          <w:szCs w:val="24"/>
        </w:rPr>
        <w:t xml:space="preserve"> </w:t>
      </w:r>
      <w:r w:rsidRPr="008C3CB9">
        <w:rPr>
          <w:noProof/>
          <w:spacing w:val="-8"/>
          <w:sz w:val="24"/>
          <w:szCs w:val="24"/>
        </w:rPr>
        <w:t>and their associations and consumer protection organizations</w:t>
      </w:r>
      <w:r w:rsidR="00E46C04" w:rsidRPr="008C3CB9">
        <w:rPr>
          <w:noProof/>
          <w:spacing w:val="-8"/>
          <w:sz w:val="24"/>
          <w:szCs w:val="24"/>
        </w:rPr>
        <w:t xml:space="preserve"> between April 2021 and July 2021</w:t>
      </w:r>
      <w:r w:rsidRPr="008C3CB9">
        <w:rPr>
          <w:noProof/>
          <w:spacing w:val="-8"/>
          <w:sz w:val="24"/>
          <w:szCs w:val="24"/>
        </w:rPr>
        <w:t>. Moreover, five stakeholders participated in exploratory interviews (EU Travel Tech, ECTAA, A4E, EPF, IATA).</w:t>
      </w:r>
      <w:r w:rsidR="26FEF31E" w:rsidRPr="008C3CB9">
        <w:rPr>
          <w:noProof/>
          <w:spacing w:val="-8"/>
          <w:sz w:val="24"/>
          <w:szCs w:val="24"/>
        </w:rPr>
        <w:t xml:space="preserve"> </w:t>
      </w:r>
      <w:r w:rsidR="00F72526" w:rsidRPr="008C3CB9">
        <w:rPr>
          <w:noProof/>
          <w:spacing w:val="-8"/>
          <w:sz w:val="24"/>
          <w:szCs w:val="24"/>
        </w:rPr>
        <w:t>In 2025 additionally</w:t>
      </w:r>
      <w:r w:rsidR="26FEF31E" w:rsidRPr="008C3CB9">
        <w:rPr>
          <w:noProof/>
          <w:spacing w:val="-8"/>
          <w:sz w:val="24"/>
          <w:szCs w:val="24"/>
        </w:rPr>
        <w:t xml:space="preserve"> </w:t>
      </w:r>
      <w:r w:rsidR="00563B5C" w:rsidRPr="008C3CB9">
        <w:rPr>
          <w:noProof/>
          <w:spacing w:val="-8"/>
          <w:sz w:val="24"/>
          <w:szCs w:val="24"/>
        </w:rPr>
        <w:t>50</w:t>
      </w:r>
      <w:r w:rsidR="26FEF31E" w:rsidRPr="008C3CB9">
        <w:rPr>
          <w:noProof/>
          <w:spacing w:val="-8"/>
          <w:sz w:val="24"/>
          <w:szCs w:val="24"/>
        </w:rPr>
        <w:t xml:space="preserve"> interviews have been conducted</w:t>
      </w:r>
      <w:r w:rsidR="00494265" w:rsidRPr="008C3CB9">
        <w:rPr>
          <w:noProof/>
          <w:spacing w:val="-8"/>
          <w:sz w:val="24"/>
          <w:szCs w:val="24"/>
        </w:rPr>
        <w:t xml:space="preserve"> with a broad range of stakeholders (new entran</w:t>
      </w:r>
      <w:r w:rsidR="001E6382" w:rsidRPr="008C3CB9">
        <w:rPr>
          <w:noProof/>
          <w:spacing w:val="-8"/>
          <w:sz w:val="24"/>
          <w:szCs w:val="24"/>
        </w:rPr>
        <w:t>t</w:t>
      </w:r>
      <w:r w:rsidR="00494265" w:rsidRPr="008C3CB9">
        <w:rPr>
          <w:noProof/>
          <w:spacing w:val="-8"/>
          <w:sz w:val="24"/>
          <w:szCs w:val="24"/>
        </w:rPr>
        <w:t xml:space="preserve"> </w:t>
      </w:r>
      <w:r w:rsidR="001358ED" w:rsidRPr="008C3CB9">
        <w:rPr>
          <w:noProof/>
          <w:spacing w:val="-8"/>
          <w:sz w:val="24"/>
          <w:szCs w:val="24"/>
        </w:rPr>
        <w:t>RU</w:t>
      </w:r>
      <w:r w:rsidR="00494265" w:rsidRPr="008C3CB9">
        <w:rPr>
          <w:noProof/>
          <w:spacing w:val="-8"/>
          <w:sz w:val="24"/>
          <w:szCs w:val="24"/>
        </w:rPr>
        <w:t xml:space="preserve">s, </w:t>
      </w:r>
      <w:r w:rsidR="001E6382" w:rsidRPr="008C3CB9">
        <w:rPr>
          <w:noProof/>
          <w:spacing w:val="-8"/>
          <w:sz w:val="24"/>
          <w:szCs w:val="24"/>
        </w:rPr>
        <w:t xml:space="preserve">incumbent </w:t>
      </w:r>
      <w:r w:rsidR="001358ED" w:rsidRPr="008C3CB9">
        <w:rPr>
          <w:noProof/>
          <w:spacing w:val="-8"/>
          <w:sz w:val="24"/>
          <w:szCs w:val="24"/>
        </w:rPr>
        <w:t>RU</w:t>
      </w:r>
      <w:r w:rsidR="001E6382" w:rsidRPr="008C3CB9">
        <w:rPr>
          <w:noProof/>
          <w:spacing w:val="-8"/>
          <w:sz w:val="24"/>
          <w:szCs w:val="24"/>
        </w:rPr>
        <w:t xml:space="preserve">s, air carriers, CRSs, </w:t>
      </w:r>
      <w:r w:rsidR="00F029C9" w:rsidRPr="008C3CB9">
        <w:rPr>
          <w:noProof/>
          <w:spacing w:val="-8"/>
          <w:sz w:val="24"/>
          <w:szCs w:val="24"/>
        </w:rPr>
        <w:t xml:space="preserve">independent MDMS, vertically integrated MDMS, etc.) </w:t>
      </w:r>
    </w:p>
    <w:p w14:paraId="6D205A1B" w14:textId="4649C65B" w:rsidR="00523C9E" w:rsidRPr="008C3CB9" w:rsidRDefault="2471901C" w:rsidP="007B2D8E">
      <w:pPr>
        <w:pStyle w:val="ListParagraph"/>
        <w:numPr>
          <w:ilvl w:val="0"/>
          <w:numId w:val="4"/>
        </w:numPr>
        <w:tabs>
          <w:tab w:val="left" w:pos="1410"/>
          <w:tab w:val="left" w:pos="1412"/>
          <w:tab w:val="left" w:pos="9214"/>
        </w:tabs>
        <w:spacing w:before="0" w:after="240"/>
        <w:ind w:right="113"/>
        <w:jc w:val="both"/>
        <w:rPr>
          <w:noProof/>
          <w:spacing w:val="-8"/>
          <w:sz w:val="24"/>
          <w:szCs w:val="24"/>
        </w:rPr>
      </w:pPr>
      <w:r w:rsidRPr="008C3CB9">
        <w:rPr>
          <w:b/>
          <w:noProof/>
          <w:spacing w:val="-8"/>
          <w:sz w:val="24"/>
          <w:szCs w:val="24"/>
        </w:rPr>
        <w:t xml:space="preserve">Stakeholder workshops: </w:t>
      </w:r>
      <w:r w:rsidR="004845DE" w:rsidRPr="008C3CB9">
        <w:rPr>
          <w:noProof/>
          <w:spacing w:val="-8"/>
          <w:sz w:val="24"/>
          <w:szCs w:val="24"/>
        </w:rPr>
        <w:t xml:space="preserve">Overall there </w:t>
      </w:r>
      <w:r w:rsidR="000A1BE4" w:rsidRPr="008C3CB9">
        <w:rPr>
          <w:noProof/>
          <w:spacing w:val="-8"/>
          <w:sz w:val="24"/>
          <w:szCs w:val="24"/>
        </w:rPr>
        <w:t xml:space="preserve">were </w:t>
      </w:r>
      <w:r w:rsidR="00BD3B03" w:rsidRPr="008C3CB9">
        <w:rPr>
          <w:noProof/>
          <w:spacing w:val="-8"/>
          <w:sz w:val="24"/>
          <w:szCs w:val="24"/>
        </w:rPr>
        <w:t>8 workshops undertaken</w:t>
      </w:r>
      <w:r w:rsidR="008515D0" w:rsidRPr="008C3CB9">
        <w:rPr>
          <w:noProof/>
          <w:spacing w:val="-8"/>
          <w:sz w:val="24"/>
          <w:szCs w:val="24"/>
        </w:rPr>
        <w:t>.</w:t>
      </w:r>
      <w:r w:rsidR="00BD3B03" w:rsidRPr="008C3CB9">
        <w:rPr>
          <w:noProof/>
          <w:spacing w:val="-8"/>
          <w:sz w:val="24"/>
          <w:szCs w:val="24"/>
        </w:rPr>
        <w:t xml:space="preserve"> </w:t>
      </w:r>
      <w:r w:rsidR="00527726" w:rsidRPr="008C3CB9">
        <w:rPr>
          <w:noProof/>
          <w:spacing w:val="-8"/>
          <w:sz w:val="24"/>
          <w:szCs w:val="24"/>
        </w:rPr>
        <w:t>F</w:t>
      </w:r>
      <w:r w:rsidRPr="008C3CB9">
        <w:rPr>
          <w:noProof/>
          <w:spacing w:val="-8"/>
          <w:sz w:val="24"/>
          <w:szCs w:val="24"/>
        </w:rPr>
        <w:t>or MDMS and CRS, four stakeholder workshops took place between February 2022</w:t>
      </w:r>
      <w:r w:rsidR="00E36834" w:rsidRPr="008C3CB9">
        <w:rPr>
          <w:noProof/>
          <w:spacing w:val="-8"/>
          <w:sz w:val="24"/>
          <w:szCs w:val="24"/>
        </w:rPr>
        <w:t xml:space="preserve"> </w:t>
      </w:r>
      <w:r w:rsidRPr="008C3CB9">
        <w:rPr>
          <w:noProof/>
          <w:spacing w:val="-8"/>
          <w:sz w:val="24"/>
          <w:szCs w:val="24"/>
        </w:rPr>
        <w:t>and June 2023.</w:t>
      </w:r>
      <w:r w:rsidR="0425BCF7" w:rsidRPr="008C3CB9">
        <w:rPr>
          <w:noProof/>
          <w:spacing w:val="-8"/>
          <w:sz w:val="24"/>
          <w:szCs w:val="24"/>
        </w:rPr>
        <w:t xml:space="preserve"> </w:t>
      </w:r>
      <w:r w:rsidR="003B6969" w:rsidRPr="008C3CB9">
        <w:rPr>
          <w:noProof/>
          <w:spacing w:val="-8"/>
          <w:sz w:val="24"/>
          <w:szCs w:val="24"/>
        </w:rPr>
        <w:t>Then f</w:t>
      </w:r>
      <w:r w:rsidR="05A7463B" w:rsidRPr="008C3CB9">
        <w:rPr>
          <w:noProof/>
          <w:spacing w:val="-8"/>
          <w:sz w:val="24"/>
          <w:szCs w:val="24"/>
        </w:rPr>
        <w:t xml:space="preserve">our </w:t>
      </w:r>
      <w:r w:rsidR="0425BCF7" w:rsidRPr="008C3CB9">
        <w:rPr>
          <w:noProof/>
          <w:spacing w:val="-8"/>
          <w:sz w:val="24"/>
          <w:szCs w:val="24"/>
        </w:rPr>
        <w:t xml:space="preserve">additional stakeholder workshops </w:t>
      </w:r>
      <w:r w:rsidR="008E2090" w:rsidRPr="008C3CB9">
        <w:rPr>
          <w:noProof/>
          <w:spacing w:val="-8"/>
          <w:sz w:val="24"/>
          <w:szCs w:val="24"/>
        </w:rPr>
        <w:t>were organised</w:t>
      </w:r>
      <w:r w:rsidR="0425BCF7" w:rsidRPr="008C3CB9">
        <w:rPr>
          <w:noProof/>
          <w:spacing w:val="-8"/>
          <w:sz w:val="24"/>
          <w:szCs w:val="24"/>
        </w:rPr>
        <w:t xml:space="preserve"> </w:t>
      </w:r>
      <w:r w:rsidR="5DD3F548" w:rsidRPr="008C3CB9">
        <w:rPr>
          <w:noProof/>
          <w:spacing w:val="-8"/>
          <w:sz w:val="24"/>
          <w:szCs w:val="24"/>
        </w:rPr>
        <w:t xml:space="preserve">between January 2025 and </w:t>
      </w:r>
      <w:r w:rsidR="1424550D" w:rsidRPr="008C3CB9">
        <w:rPr>
          <w:noProof/>
          <w:spacing w:val="-8"/>
          <w:sz w:val="24"/>
          <w:szCs w:val="24"/>
        </w:rPr>
        <w:t xml:space="preserve">June 2025. </w:t>
      </w:r>
    </w:p>
    <w:p w14:paraId="011F764E" w14:textId="1570A5F3" w:rsidR="00712390" w:rsidRPr="008C3CB9" w:rsidRDefault="2471901C" w:rsidP="008C3CB9">
      <w:pPr>
        <w:pStyle w:val="BodyText"/>
        <w:spacing w:after="240"/>
        <w:ind w:left="0" w:right="113"/>
        <w:rPr>
          <w:noProof/>
          <w:spacing w:val="-8"/>
        </w:rPr>
      </w:pPr>
      <w:r w:rsidRPr="008C3CB9">
        <w:rPr>
          <w:noProof/>
          <w:spacing w:val="-8"/>
        </w:rPr>
        <w:t xml:space="preserve">Throughout the period of preparing the </w:t>
      </w:r>
      <w:r w:rsidR="008408B4" w:rsidRPr="008C3CB9">
        <w:rPr>
          <w:noProof/>
          <w:spacing w:val="-8"/>
        </w:rPr>
        <w:t>IA</w:t>
      </w:r>
      <w:r w:rsidRPr="008C3CB9">
        <w:rPr>
          <w:noProof/>
          <w:spacing w:val="-8"/>
        </w:rPr>
        <w:t xml:space="preserve">, Commission services have additionally met with a wide variety of stakeholders and received several position papers. This consultation </w:t>
      </w:r>
      <w:r w:rsidR="0072464F" w:rsidRPr="008C3CB9">
        <w:rPr>
          <w:noProof/>
          <w:spacing w:val="-8"/>
        </w:rPr>
        <w:t>was complemented by</w:t>
      </w:r>
      <w:r w:rsidRPr="008C3CB9">
        <w:rPr>
          <w:noProof/>
          <w:spacing w:val="-8"/>
        </w:rPr>
        <w:t xml:space="preserve"> the</w:t>
      </w:r>
      <w:r w:rsidR="0072464F" w:rsidRPr="008C3CB9">
        <w:rPr>
          <w:noProof/>
          <w:spacing w:val="-8"/>
        </w:rPr>
        <w:t xml:space="preserve"> work of the</w:t>
      </w:r>
      <w:r w:rsidRPr="008C3CB9">
        <w:rPr>
          <w:noProof/>
          <w:spacing w:val="-8"/>
        </w:rPr>
        <w:t xml:space="preserve"> Multimodal Passenger Mobility Forum expert group, gathering Member States representatives, local authorities and organisations representing MDMS and operators in all modes. The expert group was established in December 2021, with the objective to, amongst other tasks, assist the Commission in the preparation of policy initiatives in the field of sustainable multimodal mobility for passengers. A final report was published on February 2023</w:t>
      </w:r>
      <w:r w:rsidR="003A698A" w:rsidRPr="008C3CB9">
        <w:rPr>
          <w:noProof/>
          <w:spacing w:val="-8"/>
          <w:vertAlign w:val="superscript"/>
        </w:rPr>
        <w:footnoteReference w:id="226"/>
      </w:r>
      <w:r w:rsidRPr="008C3CB9">
        <w:rPr>
          <w:noProof/>
          <w:spacing w:val="-8"/>
        </w:rPr>
        <w:t>.</w:t>
      </w:r>
    </w:p>
    <w:p w14:paraId="2F0A37EC" w14:textId="77777777" w:rsidR="00712390" w:rsidRPr="00073DC4" w:rsidRDefault="003C4819" w:rsidP="007B2D8E">
      <w:pPr>
        <w:pStyle w:val="Heading2"/>
        <w:numPr>
          <w:ilvl w:val="0"/>
          <w:numId w:val="13"/>
        </w:numPr>
        <w:tabs>
          <w:tab w:val="left" w:pos="1561"/>
        </w:tabs>
        <w:spacing w:before="240" w:after="240"/>
        <w:ind w:left="425" w:hanging="425"/>
        <w:rPr>
          <w:smallCaps/>
          <w:noProof/>
        </w:rPr>
      </w:pPr>
      <w:bookmarkStart w:id="267" w:name="2__Stakeholder_groups_consulted"/>
      <w:bookmarkStart w:id="268" w:name="_Toc220667520"/>
      <w:bookmarkStart w:id="269" w:name="_Toc222313510"/>
      <w:bookmarkStart w:id="270" w:name="_Toc222749031"/>
      <w:bookmarkStart w:id="271" w:name="_Toc223980004"/>
      <w:bookmarkEnd w:id="267"/>
      <w:r w:rsidRPr="00073DC4">
        <w:rPr>
          <w:smallCaps/>
          <w:noProof/>
        </w:rPr>
        <w:t>Stakeholder groups consulted</w:t>
      </w:r>
      <w:bookmarkEnd w:id="268"/>
      <w:bookmarkEnd w:id="269"/>
      <w:bookmarkEnd w:id="270"/>
      <w:bookmarkEnd w:id="271"/>
    </w:p>
    <w:p w14:paraId="119AE616" w14:textId="31846617" w:rsidR="00712390" w:rsidRPr="008C3CB9" w:rsidRDefault="2471901C" w:rsidP="00F57113">
      <w:pPr>
        <w:pStyle w:val="BodyText"/>
        <w:spacing w:after="240"/>
        <w:ind w:left="0" w:right="430"/>
        <w:rPr>
          <w:noProof/>
          <w:spacing w:val="-8"/>
        </w:rPr>
      </w:pPr>
      <w:bookmarkStart w:id="272" w:name="2.1_MDMS_study"/>
      <w:bookmarkEnd w:id="272"/>
      <w:r w:rsidRPr="008C3CB9">
        <w:rPr>
          <w:noProof/>
          <w:spacing w:val="-8"/>
        </w:rPr>
        <w:t xml:space="preserve">The consultation strategy </w:t>
      </w:r>
      <w:r w:rsidR="00607E8A" w:rsidRPr="008C3CB9">
        <w:rPr>
          <w:noProof/>
          <w:spacing w:val="-8"/>
        </w:rPr>
        <w:t xml:space="preserve">mapped </w:t>
      </w:r>
      <w:r w:rsidRPr="008C3CB9">
        <w:rPr>
          <w:noProof/>
          <w:spacing w:val="-8"/>
        </w:rPr>
        <w:t>as key stakeholders the following groups:</w:t>
      </w:r>
    </w:p>
    <w:p w14:paraId="79A9455F" w14:textId="71B0D208" w:rsidR="00CD70B8" w:rsidRPr="008C3CB9" w:rsidRDefault="2471901C" w:rsidP="007B2D8E">
      <w:pPr>
        <w:pStyle w:val="ListParagraph"/>
        <w:numPr>
          <w:ilvl w:val="0"/>
          <w:numId w:val="3"/>
        </w:numPr>
        <w:tabs>
          <w:tab w:val="left" w:pos="1486"/>
        </w:tabs>
        <w:spacing w:before="0" w:after="240"/>
        <w:ind w:right="425"/>
        <w:jc w:val="both"/>
        <w:rPr>
          <w:noProof/>
          <w:spacing w:val="-8"/>
          <w:sz w:val="24"/>
          <w:szCs w:val="24"/>
        </w:rPr>
      </w:pPr>
      <w:r w:rsidRPr="008C3CB9">
        <w:rPr>
          <w:noProof/>
          <w:spacing w:val="-8"/>
          <w:sz w:val="24"/>
          <w:szCs w:val="24"/>
        </w:rPr>
        <w:t>Industry stakeholders</w:t>
      </w:r>
      <w:r w:rsidR="000E1A8A" w:rsidRPr="008C3CB9">
        <w:rPr>
          <w:noProof/>
          <w:spacing w:val="-8"/>
          <w:sz w:val="24"/>
          <w:szCs w:val="24"/>
        </w:rPr>
        <w:t>:</w:t>
      </w:r>
      <w:r w:rsidR="00D062D0" w:rsidRPr="008C3CB9">
        <w:rPr>
          <w:noProof/>
          <w:spacing w:val="-8"/>
          <w:sz w:val="24"/>
          <w:szCs w:val="24"/>
        </w:rPr>
        <w:t xml:space="preserve"> </w:t>
      </w:r>
    </w:p>
    <w:p w14:paraId="6B007F12" w14:textId="27F2ACFB" w:rsidR="00355CF4" w:rsidRPr="008C3CB9" w:rsidRDefault="2471901C" w:rsidP="008C3CB9">
      <w:pPr>
        <w:pStyle w:val="ListParagraph"/>
        <w:tabs>
          <w:tab w:val="left" w:pos="1489"/>
        </w:tabs>
        <w:spacing w:before="0" w:after="240"/>
        <w:ind w:left="358" w:firstLine="0"/>
        <w:jc w:val="both"/>
        <w:rPr>
          <w:noProof/>
          <w:spacing w:val="-8"/>
          <w:sz w:val="24"/>
          <w:szCs w:val="24"/>
        </w:rPr>
      </w:pPr>
      <w:r w:rsidRPr="008C3CB9">
        <w:rPr>
          <w:noProof/>
          <w:spacing w:val="-8"/>
          <w:sz w:val="24"/>
          <w:szCs w:val="24"/>
        </w:rPr>
        <w:t xml:space="preserve">including MDMS </w:t>
      </w:r>
      <w:r w:rsidR="004868C2" w:rsidRPr="008C3CB9">
        <w:rPr>
          <w:noProof/>
          <w:spacing w:val="-8"/>
          <w:sz w:val="24"/>
          <w:szCs w:val="24"/>
        </w:rPr>
        <w:t xml:space="preserve">providers </w:t>
      </w:r>
      <w:r w:rsidRPr="008C3CB9">
        <w:rPr>
          <w:noProof/>
          <w:spacing w:val="-8"/>
          <w:sz w:val="24"/>
          <w:szCs w:val="24"/>
        </w:rPr>
        <w:t xml:space="preserve">within and across modes for different geographical scopes </w:t>
      </w:r>
      <w:r w:rsidR="00E8598C" w:rsidRPr="008C3CB9">
        <w:rPr>
          <w:noProof/>
          <w:spacing w:val="-8"/>
          <w:sz w:val="24"/>
          <w:szCs w:val="24"/>
        </w:rPr>
        <w:t>including traditional CRSs,</w:t>
      </w:r>
      <w:r w:rsidR="001179EC" w:rsidRPr="008C3CB9">
        <w:rPr>
          <w:noProof/>
          <w:spacing w:val="-8"/>
          <w:sz w:val="24"/>
          <w:szCs w:val="24"/>
        </w:rPr>
        <w:t xml:space="preserve"> and metasearch engines</w:t>
      </w:r>
      <w:r w:rsidR="00EE2361" w:rsidRPr="008C3CB9">
        <w:rPr>
          <w:noProof/>
          <w:spacing w:val="-8"/>
          <w:sz w:val="24"/>
          <w:szCs w:val="24"/>
        </w:rPr>
        <w:t>;</w:t>
      </w:r>
      <w:r w:rsidRPr="008C3CB9">
        <w:rPr>
          <w:noProof/>
          <w:spacing w:val="-8"/>
          <w:sz w:val="24"/>
          <w:szCs w:val="24"/>
        </w:rPr>
        <w:t xml:space="preserve"> transport operators</w:t>
      </w:r>
      <w:r w:rsidR="00AD75C3" w:rsidRPr="008C3CB9">
        <w:rPr>
          <w:noProof/>
          <w:spacing w:val="-8"/>
          <w:sz w:val="24"/>
          <w:szCs w:val="24"/>
        </w:rPr>
        <w:t xml:space="preserve"> in all modes, with particula</w:t>
      </w:r>
      <w:r w:rsidR="00906DF5" w:rsidRPr="008C3CB9">
        <w:rPr>
          <w:noProof/>
          <w:spacing w:val="-8"/>
          <w:sz w:val="24"/>
          <w:szCs w:val="24"/>
        </w:rPr>
        <w:t>r</w:t>
      </w:r>
      <w:r w:rsidR="00AD75C3" w:rsidRPr="008C3CB9">
        <w:rPr>
          <w:noProof/>
          <w:spacing w:val="-8"/>
          <w:sz w:val="24"/>
          <w:szCs w:val="24"/>
        </w:rPr>
        <w:t xml:space="preserve"> focus on R</w:t>
      </w:r>
      <w:r w:rsidR="00CC1DDF" w:rsidRPr="008C3CB9">
        <w:rPr>
          <w:noProof/>
          <w:spacing w:val="-8"/>
          <w:sz w:val="24"/>
          <w:szCs w:val="24"/>
        </w:rPr>
        <w:t>ailway Undertakings (RUs)</w:t>
      </w:r>
      <w:r w:rsidR="00AD75C3" w:rsidRPr="008C3CB9">
        <w:rPr>
          <w:noProof/>
          <w:spacing w:val="-8"/>
          <w:sz w:val="24"/>
          <w:szCs w:val="24"/>
        </w:rPr>
        <w:t xml:space="preserve"> both incumbent an</w:t>
      </w:r>
      <w:r w:rsidR="00906DF5" w:rsidRPr="008C3CB9">
        <w:rPr>
          <w:noProof/>
          <w:spacing w:val="-8"/>
          <w:sz w:val="24"/>
          <w:szCs w:val="24"/>
        </w:rPr>
        <w:t xml:space="preserve">d new entrants, </w:t>
      </w:r>
      <w:r w:rsidR="004C0482" w:rsidRPr="008C3CB9">
        <w:rPr>
          <w:noProof/>
          <w:spacing w:val="-8"/>
          <w:sz w:val="24"/>
          <w:szCs w:val="24"/>
        </w:rPr>
        <w:t>and</w:t>
      </w:r>
      <w:r w:rsidR="00D1061B" w:rsidRPr="008C3CB9">
        <w:rPr>
          <w:noProof/>
          <w:spacing w:val="-8"/>
          <w:sz w:val="24"/>
          <w:szCs w:val="24"/>
        </w:rPr>
        <w:t xml:space="preserve"> </w:t>
      </w:r>
      <w:r w:rsidR="00E83F93" w:rsidRPr="008C3CB9">
        <w:rPr>
          <w:noProof/>
          <w:spacing w:val="-8"/>
          <w:sz w:val="24"/>
          <w:szCs w:val="24"/>
        </w:rPr>
        <w:t>air carriers; intermediaries like travel agents and T</w:t>
      </w:r>
      <w:r w:rsidR="00355CF4" w:rsidRPr="008C3CB9">
        <w:rPr>
          <w:noProof/>
          <w:spacing w:val="-8"/>
          <w:sz w:val="24"/>
          <w:szCs w:val="24"/>
        </w:rPr>
        <w:t xml:space="preserve">ravel </w:t>
      </w:r>
      <w:r w:rsidR="00E83F93" w:rsidRPr="008C3CB9">
        <w:rPr>
          <w:noProof/>
          <w:spacing w:val="-8"/>
          <w:sz w:val="24"/>
          <w:szCs w:val="24"/>
        </w:rPr>
        <w:t>M</w:t>
      </w:r>
      <w:r w:rsidR="00355CF4" w:rsidRPr="008C3CB9">
        <w:rPr>
          <w:noProof/>
          <w:spacing w:val="-8"/>
          <w:sz w:val="24"/>
          <w:szCs w:val="24"/>
        </w:rPr>
        <w:t xml:space="preserve">anagement </w:t>
      </w:r>
      <w:r w:rsidR="00E83F93" w:rsidRPr="008C3CB9">
        <w:rPr>
          <w:noProof/>
          <w:spacing w:val="-8"/>
          <w:sz w:val="24"/>
          <w:szCs w:val="24"/>
        </w:rPr>
        <w:t>C</w:t>
      </w:r>
      <w:r w:rsidR="00355CF4" w:rsidRPr="008C3CB9">
        <w:rPr>
          <w:noProof/>
          <w:spacing w:val="-8"/>
          <w:sz w:val="24"/>
          <w:szCs w:val="24"/>
        </w:rPr>
        <w:t>ompanie</w:t>
      </w:r>
      <w:r w:rsidR="00E83F93" w:rsidRPr="008C3CB9">
        <w:rPr>
          <w:noProof/>
          <w:spacing w:val="-8"/>
          <w:sz w:val="24"/>
          <w:szCs w:val="24"/>
        </w:rPr>
        <w:t xml:space="preserve">s; </w:t>
      </w:r>
      <w:r w:rsidR="001179EC" w:rsidRPr="008C3CB9">
        <w:rPr>
          <w:noProof/>
          <w:spacing w:val="-8"/>
          <w:sz w:val="24"/>
          <w:szCs w:val="24"/>
        </w:rPr>
        <w:t>alternative suppliers of ticket distribution technology such as new content aggregators and suppliers of D</w:t>
      </w:r>
      <w:r w:rsidR="00EB5361" w:rsidRPr="008C3CB9">
        <w:rPr>
          <w:noProof/>
          <w:spacing w:val="-8"/>
          <w:sz w:val="24"/>
          <w:szCs w:val="24"/>
        </w:rPr>
        <w:t xml:space="preserve">irect </w:t>
      </w:r>
      <w:r w:rsidR="001179EC" w:rsidRPr="008C3CB9">
        <w:rPr>
          <w:noProof/>
          <w:spacing w:val="-8"/>
          <w:sz w:val="24"/>
          <w:szCs w:val="24"/>
        </w:rPr>
        <w:t>C</w:t>
      </w:r>
      <w:r w:rsidR="00EB5361" w:rsidRPr="008C3CB9">
        <w:rPr>
          <w:noProof/>
          <w:spacing w:val="-8"/>
          <w:sz w:val="24"/>
          <w:szCs w:val="24"/>
        </w:rPr>
        <w:t>onnect</w:t>
      </w:r>
      <w:r w:rsidR="001179EC" w:rsidRPr="008C3CB9">
        <w:rPr>
          <w:noProof/>
          <w:spacing w:val="-8"/>
          <w:sz w:val="24"/>
          <w:szCs w:val="24"/>
        </w:rPr>
        <w:t xml:space="preserve"> software</w:t>
      </w:r>
      <w:r w:rsidR="00CD5F9F" w:rsidRPr="008C3CB9">
        <w:rPr>
          <w:noProof/>
          <w:spacing w:val="-8"/>
          <w:sz w:val="24"/>
          <w:szCs w:val="24"/>
        </w:rPr>
        <w:t xml:space="preserve">; industry associations. </w:t>
      </w:r>
    </w:p>
    <w:p w14:paraId="1A3A6EFD" w14:textId="52D73F99" w:rsidR="00712390" w:rsidRPr="008C3CB9" w:rsidRDefault="006A743A" w:rsidP="007B2D8E">
      <w:pPr>
        <w:pStyle w:val="ListParagraph"/>
        <w:numPr>
          <w:ilvl w:val="0"/>
          <w:numId w:val="3"/>
        </w:numPr>
        <w:tabs>
          <w:tab w:val="left" w:pos="1489"/>
        </w:tabs>
        <w:spacing w:before="0" w:after="240"/>
        <w:jc w:val="both"/>
        <w:rPr>
          <w:noProof/>
          <w:spacing w:val="-8"/>
          <w:sz w:val="24"/>
          <w:szCs w:val="24"/>
        </w:rPr>
      </w:pPr>
      <w:r w:rsidRPr="008C3CB9">
        <w:rPr>
          <w:noProof/>
          <w:spacing w:val="-8"/>
          <w:sz w:val="24"/>
          <w:szCs w:val="24"/>
        </w:rPr>
        <w:t>Public</w:t>
      </w:r>
      <w:r w:rsidR="2471901C" w:rsidRPr="008C3CB9">
        <w:rPr>
          <w:noProof/>
          <w:spacing w:val="-8"/>
          <w:sz w:val="24"/>
          <w:szCs w:val="24"/>
        </w:rPr>
        <w:t xml:space="preserve"> authorities</w:t>
      </w:r>
    </w:p>
    <w:p w14:paraId="4EC0AC90" w14:textId="32B3F143" w:rsidR="00712390" w:rsidRPr="008C3CB9" w:rsidRDefault="2471901C" w:rsidP="007B2D8E">
      <w:pPr>
        <w:pStyle w:val="ListParagraph"/>
        <w:numPr>
          <w:ilvl w:val="0"/>
          <w:numId w:val="3"/>
        </w:numPr>
        <w:tabs>
          <w:tab w:val="left" w:pos="1489"/>
        </w:tabs>
        <w:spacing w:before="0" w:after="240"/>
        <w:jc w:val="both"/>
        <w:rPr>
          <w:noProof/>
          <w:spacing w:val="-8"/>
          <w:sz w:val="24"/>
          <w:szCs w:val="24"/>
        </w:rPr>
      </w:pPr>
      <w:r w:rsidRPr="008C3CB9">
        <w:rPr>
          <w:noProof/>
          <w:spacing w:val="-8"/>
          <w:sz w:val="24"/>
          <w:szCs w:val="24"/>
        </w:rPr>
        <w:t>Consumer</w:t>
      </w:r>
      <w:r w:rsidR="00355CF4" w:rsidRPr="008C3CB9">
        <w:rPr>
          <w:noProof/>
          <w:spacing w:val="-8"/>
          <w:sz w:val="24"/>
          <w:szCs w:val="24"/>
        </w:rPr>
        <w:t>, environmental</w:t>
      </w:r>
      <w:r w:rsidR="00F35FDC" w:rsidRPr="008C3CB9">
        <w:rPr>
          <w:noProof/>
          <w:spacing w:val="-8"/>
          <w:sz w:val="24"/>
          <w:szCs w:val="24"/>
        </w:rPr>
        <w:t>,</w:t>
      </w:r>
      <w:r w:rsidRPr="008C3CB9">
        <w:rPr>
          <w:noProof/>
          <w:spacing w:val="-8"/>
          <w:sz w:val="24"/>
          <w:szCs w:val="24"/>
        </w:rPr>
        <w:t xml:space="preserve"> standardisation </w:t>
      </w:r>
      <w:r w:rsidR="00F35FDC" w:rsidRPr="008C3CB9">
        <w:rPr>
          <w:noProof/>
          <w:spacing w:val="-8"/>
          <w:sz w:val="24"/>
          <w:szCs w:val="24"/>
        </w:rPr>
        <w:t xml:space="preserve">and non-governmental </w:t>
      </w:r>
      <w:r w:rsidRPr="008C3CB9">
        <w:rPr>
          <w:noProof/>
          <w:spacing w:val="-8"/>
          <w:sz w:val="24"/>
          <w:szCs w:val="24"/>
        </w:rPr>
        <w:t>organisations</w:t>
      </w:r>
      <w:r w:rsidR="00D90684" w:rsidRPr="008C3CB9">
        <w:rPr>
          <w:noProof/>
          <w:spacing w:val="-8"/>
          <w:sz w:val="24"/>
          <w:szCs w:val="24"/>
        </w:rPr>
        <w:t xml:space="preserve"> </w:t>
      </w:r>
      <w:r w:rsidR="00BB4CD4" w:rsidRPr="008C3CB9">
        <w:rPr>
          <w:noProof/>
          <w:spacing w:val="-8"/>
          <w:sz w:val="24"/>
          <w:szCs w:val="24"/>
        </w:rPr>
        <w:t>(</w:t>
      </w:r>
      <w:r w:rsidR="00D90684" w:rsidRPr="008C3CB9">
        <w:rPr>
          <w:noProof/>
          <w:spacing w:val="-8"/>
          <w:sz w:val="24"/>
          <w:szCs w:val="24"/>
        </w:rPr>
        <w:t>usually categorised as “Other”</w:t>
      </w:r>
      <w:r w:rsidR="00BB4CD4" w:rsidRPr="008C3CB9">
        <w:rPr>
          <w:noProof/>
          <w:spacing w:val="-8"/>
          <w:sz w:val="24"/>
          <w:szCs w:val="24"/>
        </w:rPr>
        <w:t xml:space="preserve"> in the surveys)</w:t>
      </w:r>
      <w:r w:rsidRPr="008C3CB9">
        <w:rPr>
          <w:noProof/>
          <w:spacing w:val="-8"/>
          <w:sz w:val="24"/>
          <w:szCs w:val="24"/>
        </w:rPr>
        <w:t>.</w:t>
      </w:r>
    </w:p>
    <w:p w14:paraId="7D221CCA" w14:textId="55F13CA5" w:rsidR="00AB2114" w:rsidRPr="008C3CB9" w:rsidRDefault="00AB2114" w:rsidP="007B2D8E">
      <w:pPr>
        <w:pStyle w:val="ListParagraph"/>
        <w:numPr>
          <w:ilvl w:val="0"/>
          <w:numId w:val="3"/>
        </w:numPr>
        <w:tabs>
          <w:tab w:val="left" w:pos="1489"/>
        </w:tabs>
        <w:spacing w:before="0" w:after="240"/>
        <w:jc w:val="both"/>
        <w:rPr>
          <w:noProof/>
          <w:spacing w:val="-8"/>
          <w:sz w:val="24"/>
          <w:szCs w:val="24"/>
        </w:rPr>
      </w:pPr>
      <w:r w:rsidRPr="008C3CB9">
        <w:rPr>
          <w:noProof/>
          <w:spacing w:val="-8"/>
          <w:sz w:val="24"/>
          <w:szCs w:val="24"/>
        </w:rPr>
        <w:t>Citizens</w:t>
      </w:r>
      <w:r w:rsidR="00247A88" w:rsidRPr="008C3CB9">
        <w:rPr>
          <w:noProof/>
          <w:spacing w:val="-8"/>
          <w:sz w:val="24"/>
          <w:szCs w:val="24"/>
        </w:rPr>
        <w:t xml:space="preserve"> </w:t>
      </w:r>
    </w:p>
    <w:p w14:paraId="7A2057DD" w14:textId="113829B2" w:rsidR="00712390" w:rsidRDefault="00833B57" w:rsidP="007B2D8E">
      <w:pPr>
        <w:pStyle w:val="ListParagraph"/>
        <w:numPr>
          <w:ilvl w:val="1"/>
          <w:numId w:val="13"/>
        </w:numPr>
        <w:tabs>
          <w:tab w:val="left" w:pos="993"/>
        </w:tabs>
        <w:spacing w:before="0" w:after="240"/>
        <w:ind w:left="992" w:right="423" w:hanging="567"/>
        <w:rPr>
          <w:b/>
          <w:noProof/>
          <w:sz w:val="24"/>
          <w:szCs w:val="24"/>
        </w:rPr>
      </w:pPr>
      <w:r>
        <w:rPr>
          <w:b/>
          <w:noProof/>
          <w:sz w:val="24"/>
          <w:szCs w:val="24"/>
        </w:rPr>
        <w:t>Stakeholder participation per stakeholder activity</w:t>
      </w:r>
    </w:p>
    <w:p w14:paraId="1E5B5546" w14:textId="1E16C1D5" w:rsidR="00AF233F" w:rsidRPr="00D71008" w:rsidRDefault="00F80087" w:rsidP="007B2D8E">
      <w:pPr>
        <w:pStyle w:val="ListParagraph"/>
        <w:numPr>
          <w:ilvl w:val="2"/>
          <w:numId w:val="13"/>
        </w:numPr>
        <w:tabs>
          <w:tab w:val="left" w:pos="1705"/>
        </w:tabs>
        <w:spacing w:before="0" w:after="240"/>
        <w:ind w:left="1134" w:hanging="709"/>
        <w:rPr>
          <w:b/>
          <w:noProof/>
          <w:sz w:val="24"/>
          <w:szCs w:val="24"/>
        </w:rPr>
      </w:pPr>
      <w:r w:rsidRPr="00F80087">
        <w:rPr>
          <w:bCs/>
          <w:i/>
          <w:iCs/>
          <w:noProof/>
          <w:sz w:val="24"/>
          <w:szCs w:val="24"/>
        </w:rPr>
        <w:t>IIA and</w:t>
      </w:r>
      <w:r>
        <w:rPr>
          <w:b/>
          <w:noProof/>
          <w:sz w:val="24"/>
          <w:szCs w:val="24"/>
        </w:rPr>
        <w:t xml:space="preserve"> </w:t>
      </w:r>
      <w:r w:rsidRPr="00F80087">
        <w:rPr>
          <w:bCs/>
          <w:i/>
          <w:iCs/>
          <w:noProof/>
          <w:sz w:val="24"/>
          <w:szCs w:val="24"/>
        </w:rPr>
        <w:t>OPC</w:t>
      </w:r>
    </w:p>
    <w:p w14:paraId="16D135D5" w14:textId="4831F733" w:rsidR="00EC43C6" w:rsidRPr="008C3CB9" w:rsidRDefault="2504E60C" w:rsidP="00602F43">
      <w:pPr>
        <w:pStyle w:val="BodyText"/>
        <w:spacing w:after="240"/>
        <w:ind w:left="0" w:right="430"/>
        <w:rPr>
          <w:noProof/>
          <w:spacing w:val="-8"/>
        </w:rPr>
      </w:pPr>
      <w:r w:rsidRPr="008C3CB9">
        <w:rPr>
          <w:noProof/>
          <w:spacing w:val="-8"/>
        </w:rPr>
        <w:t xml:space="preserve">The Inception Impact Assessment for the initiative on MDMS </w:t>
      </w:r>
      <w:r w:rsidR="00F038B0" w:rsidRPr="008C3CB9">
        <w:rPr>
          <w:noProof/>
          <w:spacing w:val="-8"/>
        </w:rPr>
        <w:t>received 40</w:t>
      </w:r>
      <w:r w:rsidRPr="008C3CB9">
        <w:rPr>
          <w:noProof/>
          <w:spacing w:val="-8"/>
        </w:rPr>
        <w:t xml:space="preserve"> responses. </w:t>
      </w:r>
    </w:p>
    <w:p w14:paraId="69A66FCF" w14:textId="4541AB24" w:rsidR="1704B528" w:rsidRPr="00F0597D" w:rsidRDefault="1704B528" w:rsidP="008C3CB9">
      <w:pPr>
        <w:spacing w:before="238"/>
        <w:jc w:val="both"/>
        <w:rPr>
          <w:i/>
          <w:noProof/>
          <w:sz w:val="22"/>
          <w:szCs w:val="22"/>
        </w:rPr>
      </w:pPr>
      <w:r w:rsidRPr="00F0597D">
        <w:rPr>
          <w:i/>
          <w:noProof/>
          <w:sz w:val="22"/>
          <w:szCs w:val="22"/>
        </w:rPr>
        <w:t xml:space="preserve">Table </w:t>
      </w:r>
      <w:r w:rsidR="00F0597D" w:rsidRPr="00F0597D">
        <w:rPr>
          <w:i/>
          <w:noProof/>
          <w:sz w:val="22"/>
          <w:szCs w:val="22"/>
        </w:rPr>
        <w:fldChar w:fldCharType="begin"/>
      </w:r>
      <w:r w:rsidR="00F0597D" w:rsidRPr="00F0597D">
        <w:rPr>
          <w:i/>
          <w:noProof/>
          <w:sz w:val="22"/>
          <w:szCs w:val="22"/>
        </w:rPr>
        <w:instrText xml:space="preserve"> SEQ Table \* ARABIC </w:instrText>
      </w:r>
      <w:r w:rsidR="00F0597D" w:rsidRPr="00F0597D">
        <w:rPr>
          <w:i/>
          <w:noProof/>
          <w:sz w:val="22"/>
          <w:szCs w:val="22"/>
        </w:rPr>
        <w:fldChar w:fldCharType="separate"/>
      </w:r>
      <w:r w:rsidR="0055391F">
        <w:rPr>
          <w:i/>
          <w:noProof/>
          <w:sz w:val="22"/>
          <w:szCs w:val="22"/>
        </w:rPr>
        <w:t>33</w:t>
      </w:r>
      <w:r w:rsidR="00F0597D" w:rsidRPr="00F0597D">
        <w:rPr>
          <w:i/>
          <w:noProof/>
          <w:sz w:val="22"/>
          <w:szCs w:val="22"/>
        </w:rPr>
        <w:fldChar w:fldCharType="end"/>
      </w:r>
      <w:r w:rsidR="00F0597D" w:rsidRPr="00F0597D">
        <w:rPr>
          <w:i/>
          <w:noProof/>
          <w:sz w:val="22"/>
          <w:szCs w:val="22"/>
        </w:rPr>
        <w:t>:</w:t>
      </w:r>
      <w:r w:rsidRPr="00F0597D">
        <w:rPr>
          <w:i/>
          <w:noProof/>
          <w:sz w:val="22"/>
          <w:szCs w:val="22"/>
        </w:rPr>
        <w:t xml:space="preserve"> Summary of responses by stakeholder type (number and % of responses)</w:t>
      </w:r>
    </w:p>
    <w:tbl>
      <w:tblPr>
        <w:tblW w:w="5000" w:type="pct"/>
        <w:tblLook w:val="01E0" w:firstRow="1" w:lastRow="1" w:firstColumn="1" w:lastColumn="1" w:noHBand="0" w:noVBand="0"/>
      </w:tblPr>
      <w:tblGrid>
        <w:gridCol w:w="3506"/>
        <w:gridCol w:w="3328"/>
        <w:gridCol w:w="2759"/>
      </w:tblGrid>
      <w:tr w:rsidR="00D33378" w:rsidRPr="00D71008" w14:paraId="4DA2B01B" w14:textId="77777777" w:rsidTr="00F0597D">
        <w:trPr>
          <w:trHeight w:val="522"/>
          <w:tblHeader/>
        </w:trPr>
        <w:tc>
          <w:tcPr>
            <w:tcW w:w="1827"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6FC0"/>
          </w:tcPr>
          <w:p w14:paraId="26320326" w14:textId="70FB843C" w:rsidR="00BAA9A3" w:rsidRPr="00D71008" w:rsidRDefault="00BAA9A3">
            <w:pPr>
              <w:ind w:left="942"/>
              <w:rPr>
                <w:b/>
                <w:noProof/>
                <w:color w:val="FFFFFF" w:themeColor="background1"/>
                <w:sz w:val="20"/>
                <w:szCs w:val="20"/>
              </w:rPr>
            </w:pPr>
            <w:r w:rsidRPr="00D71008">
              <w:rPr>
                <w:b/>
                <w:noProof/>
                <w:color w:val="FFFFFF" w:themeColor="background1"/>
                <w:sz w:val="20"/>
                <w:szCs w:val="20"/>
              </w:rPr>
              <w:t>Stakeholder group</w:t>
            </w:r>
          </w:p>
        </w:tc>
        <w:tc>
          <w:tcPr>
            <w:tcW w:w="1734"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6FC0"/>
          </w:tcPr>
          <w:p w14:paraId="20A3E5AB" w14:textId="346F15DC" w:rsidR="00BAA9A3" w:rsidRPr="00D71008" w:rsidRDefault="00BAA9A3" w:rsidP="008C4F69">
            <w:pPr>
              <w:ind w:left="8" w:right="5"/>
              <w:jc w:val="center"/>
              <w:rPr>
                <w:b/>
                <w:noProof/>
                <w:color w:val="FFFFFF" w:themeColor="background1"/>
                <w:sz w:val="20"/>
                <w:szCs w:val="20"/>
              </w:rPr>
            </w:pPr>
            <w:r w:rsidRPr="00D71008">
              <w:rPr>
                <w:b/>
                <w:noProof/>
                <w:color w:val="FFFFFF" w:themeColor="background1"/>
                <w:sz w:val="20"/>
                <w:szCs w:val="20"/>
              </w:rPr>
              <w:t>Number of completed survey</w:t>
            </w:r>
          </w:p>
          <w:p w14:paraId="2C498BEC" w14:textId="5F43DD56" w:rsidR="00BAA9A3" w:rsidRPr="00D71008" w:rsidRDefault="00BAA9A3" w:rsidP="008C4F69">
            <w:pPr>
              <w:spacing w:before="34"/>
              <w:ind w:left="8" w:right="4"/>
              <w:jc w:val="center"/>
              <w:rPr>
                <w:b/>
                <w:noProof/>
                <w:color w:val="FFFFFF" w:themeColor="background1"/>
                <w:sz w:val="20"/>
                <w:szCs w:val="20"/>
              </w:rPr>
            </w:pPr>
            <w:r w:rsidRPr="00D71008">
              <w:rPr>
                <w:b/>
                <w:noProof/>
                <w:color w:val="FFFFFF" w:themeColor="background1"/>
                <w:sz w:val="20"/>
                <w:szCs w:val="20"/>
              </w:rPr>
              <w:t>responses</w:t>
            </w:r>
          </w:p>
        </w:tc>
        <w:tc>
          <w:tcPr>
            <w:tcW w:w="1438"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6FC0"/>
          </w:tcPr>
          <w:p w14:paraId="40CDFE24" w14:textId="7F5E7FBA" w:rsidR="00BAA9A3" w:rsidRPr="00D71008" w:rsidRDefault="00BAA9A3" w:rsidP="008C4F69">
            <w:pPr>
              <w:ind w:left="9" w:right="7"/>
              <w:jc w:val="center"/>
              <w:rPr>
                <w:b/>
                <w:noProof/>
                <w:color w:val="FFFFFF" w:themeColor="background1"/>
                <w:sz w:val="20"/>
                <w:szCs w:val="20"/>
              </w:rPr>
            </w:pPr>
            <w:r w:rsidRPr="00D71008">
              <w:rPr>
                <w:b/>
                <w:noProof/>
                <w:color w:val="FFFFFF" w:themeColor="background1"/>
                <w:sz w:val="20"/>
                <w:szCs w:val="20"/>
              </w:rPr>
              <w:t>% of responses</w:t>
            </w:r>
          </w:p>
        </w:tc>
      </w:tr>
      <w:tr w:rsidR="00D4166E" w:rsidRPr="00D71008" w14:paraId="565901DD" w14:textId="77777777" w:rsidTr="00F0597D">
        <w:trPr>
          <w:trHeight w:val="268"/>
        </w:trPr>
        <w:tc>
          <w:tcPr>
            <w:tcW w:w="1827"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1D4473" w14:textId="489ECF65" w:rsidR="00BAA9A3" w:rsidRPr="00D71008" w:rsidRDefault="00BAA9A3">
            <w:pPr>
              <w:ind w:left="107"/>
              <w:rPr>
                <w:noProof/>
                <w:sz w:val="20"/>
                <w:szCs w:val="20"/>
              </w:rPr>
            </w:pPr>
            <w:r w:rsidRPr="00D71008">
              <w:rPr>
                <w:noProof/>
                <w:sz w:val="20"/>
                <w:szCs w:val="20"/>
              </w:rPr>
              <w:t>Company/business organisation</w:t>
            </w:r>
          </w:p>
        </w:tc>
        <w:tc>
          <w:tcPr>
            <w:tcW w:w="173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920753" w14:textId="31ED7CD2" w:rsidR="00BAA9A3" w:rsidRPr="00D71008" w:rsidRDefault="00BAA9A3" w:rsidP="008C4F69">
            <w:pPr>
              <w:ind w:left="8" w:right="1"/>
              <w:jc w:val="center"/>
              <w:rPr>
                <w:noProof/>
                <w:sz w:val="20"/>
                <w:szCs w:val="20"/>
              </w:rPr>
            </w:pPr>
            <w:r w:rsidRPr="00D71008">
              <w:rPr>
                <w:noProof/>
                <w:sz w:val="20"/>
                <w:szCs w:val="20"/>
              </w:rPr>
              <w:t>12</w:t>
            </w:r>
          </w:p>
        </w:tc>
        <w:tc>
          <w:tcPr>
            <w:tcW w:w="143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EC6306" w14:textId="4B7216D0" w:rsidR="00BAA9A3" w:rsidRPr="00D71008" w:rsidRDefault="00BAA9A3" w:rsidP="008C4F69">
            <w:pPr>
              <w:ind w:left="9" w:right="2"/>
              <w:jc w:val="center"/>
              <w:rPr>
                <w:noProof/>
                <w:sz w:val="20"/>
                <w:szCs w:val="20"/>
              </w:rPr>
            </w:pPr>
            <w:r w:rsidRPr="00D71008">
              <w:rPr>
                <w:noProof/>
                <w:sz w:val="20"/>
                <w:szCs w:val="20"/>
              </w:rPr>
              <w:t>30%</w:t>
            </w:r>
          </w:p>
        </w:tc>
      </w:tr>
      <w:tr w:rsidR="00D4166E" w:rsidRPr="00D71008" w14:paraId="69F15DE4" w14:textId="77777777" w:rsidTr="00F0597D">
        <w:trPr>
          <w:trHeight w:val="268"/>
        </w:trPr>
        <w:tc>
          <w:tcPr>
            <w:tcW w:w="1827"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300003" w14:textId="7966C37C" w:rsidR="00BAA9A3" w:rsidRPr="00D71008" w:rsidRDefault="00BAA9A3">
            <w:pPr>
              <w:ind w:left="107"/>
              <w:rPr>
                <w:noProof/>
                <w:sz w:val="20"/>
                <w:szCs w:val="20"/>
              </w:rPr>
            </w:pPr>
            <w:r w:rsidRPr="00D71008">
              <w:rPr>
                <w:noProof/>
                <w:sz w:val="20"/>
                <w:szCs w:val="20"/>
              </w:rPr>
              <w:t>Business association</w:t>
            </w:r>
          </w:p>
        </w:tc>
        <w:tc>
          <w:tcPr>
            <w:tcW w:w="173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8709BE" w14:textId="359D4645" w:rsidR="00BAA9A3" w:rsidRPr="00D71008" w:rsidRDefault="00BAA9A3" w:rsidP="008C4F69">
            <w:pPr>
              <w:ind w:left="8"/>
              <w:jc w:val="center"/>
              <w:rPr>
                <w:noProof/>
                <w:sz w:val="20"/>
                <w:szCs w:val="20"/>
              </w:rPr>
            </w:pPr>
            <w:r w:rsidRPr="00D71008">
              <w:rPr>
                <w:noProof/>
                <w:sz w:val="20"/>
                <w:szCs w:val="20"/>
              </w:rPr>
              <w:t>11</w:t>
            </w:r>
          </w:p>
        </w:tc>
        <w:tc>
          <w:tcPr>
            <w:tcW w:w="143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7AC06F" w14:textId="67A57EAC" w:rsidR="00BAA9A3" w:rsidRPr="00D71008" w:rsidRDefault="00BAA9A3" w:rsidP="008C4F69">
            <w:pPr>
              <w:ind w:left="9"/>
              <w:jc w:val="center"/>
              <w:rPr>
                <w:noProof/>
                <w:sz w:val="20"/>
                <w:szCs w:val="20"/>
              </w:rPr>
            </w:pPr>
            <w:r w:rsidRPr="00D71008">
              <w:rPr>
                <w:noProof/>
                <w:sz w:val="20"/>
                <w:szCs w:val="20"/>
              </w:rPr>
              <w:t>27.5%</w:t>
            </w:r>
          </w:p>
        </w:tc>
      </w:tr>
      <w:tr w:rsidR="00D4166E" w:rsidRPr="00D71008" w14:paraId="3035101F" w14:textId="77777777" w:rsidTr="00F0597D">
        <w:trPr>
          <w:trHeight w:val="268"/>
        </w:trPr>
        <w:tc>
          <w:tcPr>
            <w:tcW w:w="1827"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FFE8B2" w14:textId="7EB4513B" w:rsidR="00BAA9A3" w:rsidRPr="00D71008" w:rsidRDefault="00BAA9A3">
            <w:pPr>
              <w:ind w:left="107"/>
              <w:rPr>
                <w:noProof/>
                <w:sz w:val="20"/>
                <w:szCs w:val="20"/>
              </w:rPr>
            </w:pPr>
            <w:r w:rsidRPr="00D71008">
              <w:rPr>
                <w:noProof/>
                <w:sz w:val="20"/>
                <w:szCs w:val="20"/>
              </w:rPr>
              <w:t>Civil society</w:t>
            </w:r>
          </w:p>
        </w:tc>
        <w:tc>
          <w:tcPr>
            <w:tcW w:w="173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7536DB" w14:textId="51C45A55" w:rsidR="00BAA9A3" w:rsidRPr="00D71008" w:rsidRDefault="00BAA9A3" w:rsidP="008C4F69">
            <w:pPr>
              <w:ind w:left="8" w:right="1"/>
              <w:jc w:val="center"/>
              <w:rPr>
                <w:noProof/>
                <w:sz w:val="20"/>
                <w:szCs w:val="20"/>
              </w:rPr>
            </w:pPr>
            <w:r w:rsidRPr="00D71008">
              <w:rPr>
                <w:noProof/>
                <w:sz w:val="20"/>
                <w:szCs w:val="20"/>
              </w:rPr>
              <w:t>4</w:t>
            </w:r>
          </w:p>
        </w:tc>
        <w:tc>
          <w:tcPr>
            <w:tcW w:w="143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2D9EC7" w14:textId="77EC219A" w:rsidR="00BAA9A3" w:rsidRPr="00D71008" w:rsidRDefault="00BAA9A3" w:rsidP="008C4F69">
            <w:pPr>
              <w:ind w:left="9" w:right="2"/>
              <w:jc w:val="center"/>
              <w:rPr>
                <w:noProof/>
                <w:sz w:val="20"/>
                <w:szCs w:val="20"/>
              </w:rPr>
            </w:pPr>
            <w:r w:rsidRPr="00D71008">
              <w:rPr>
                <w:noProof/>
                <w:sz w:val="20"/>
                <w:szCs w:val="20"/>
              </w:rPr>
              <w:t>10%</w:t>
            </w:r>
          </w:p>
        </w:tc>
      </w:tr>
      <w:tr w:rsidR="00D4166E" w:rsidRPr="00D71008" w14:paraId="610DD471" w14:textId="77777777" w:rsidTr="00F0597D">
        <w:trPr>
          <w:trHeight w:val="268"/>
        </w:trPr>
        <w:tc>
          <w:tcPr>
            <w:tcW w:w="1827"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3C50C4" w14:textId="36EC3DB8" w:rsidR="00BAA9A3" w:rsidRPr="00D71008" w:rsidRDefault="00BAA9A3">
            <w:pPr>
              <w:ind w:left="107"/>
              <w:rPr>
                <w:noProof/>
                <w:sz w:val="20"/>
                <w:szCs w:val="20"/>
              </w:rPr>
            </w:pPr>
            <w:r w:rsidRPr="00D71008">
              <w:rPr>
                <w:noProof/>
                <w:sz w:val="20"/>
                <w:szCs w:val="20"/>
              </w:rPr>
              <w:t>Public authority</w:t>
            </w:r>
          </w:p>
        </w:tc>
        <w:tc>
          <w:tcPr>
            <w:tcW w:w="173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5868A1" w14:textId="4CFF2DAB" w:rsidR="00BAA9A3" w:rsidRPr="00D71008" w:rsidRDefault="00BAA9A3" w:rsidP="008C4F69">
            <w:pPr>
              <w:ind w:left="8" w:right="1"/>
              <w:jc w:val="center"/>
              <w:rPr>
                <w:noProof/>
                <w:sz w:val="20"/>
                <w:szCs w:val="20"/>
              </w:rPr>
            </w:pPr>
            <w:r w:rsidRPr="00D71008">
              <w:rPr>
                <w:noProof/>
                <w:sz w:val="20"/>
                <w:szCs w:val="20"/>
              </w:rPr>
              <w:t>3</w:t>
            </w:r>
          </w:p>
        </w:tc>
        <w:tc>
          <w:tcPr>
            <w:tcW w:w="143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C4A5EA" w14:textId="5E3D0D79" w:rsidR="00BAA9A3" w:rsidRPr="00D71008" w:rsidRDefault="00BAA9A3" w:rsidP="008C4F69">
            <w:pPr>
              <w:ind w:left="9" w:right="5"/>
              <w:jc w:val="center"/>
              <w:rPr>
                <w:noProof/>
                <w:sz w:val="20"/>
                <w:szCs w:val="20"/>
              </w:rPr>
            </w:pPr>
            <w:r w:rsidRPr="00D71008">
              <w:rPr>
                <w:noProof/>
                <w:sz w:val="20"/>
                <w:szCs w:val="20"/>
              </w:rPr>
              <w:t>7.5%</w:t>
            </w:r>
          </w:p>
        </w:tc>
      </w:tr>
      <w:tr w:rsidR="00D4166E" w:rsidRPr="00D71008" w14:paraId="76538A4E" w14:textId="77777777" w:rsidTr="00F0597D">
        <w:trPr>
          <w:trHeight w:val="268"/>
        </w:trPr>
        <w:tc>
          <w:tcPr>
            <w:tcW w:w="1827"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2F3A89" w14:textId="280F1A69" w:rsidR="00BAA9A3" w:rsidRPr="00D71008" w:rsidRDefault="00BAA9A3">
            <w:pPr>
              <w:ind w:left="107"/>
              <w:rPr>
                <w:noProof/>
                <w:sz w:val="20"/>
                <w:szCs w:val="20"/>
              </w:rPr>
            </w:pPr>
            <w:r w:rsidRPr="00D71008">
              <w:rPr>
                <w:noProof/>
                <w:sz w:val="20"/>
                <w:szCs w:val="20"/>
              </w:rPr>
              <w:t>Consumer organisation</w:t>
            </w:r>
          </w:p>
        </w:tc>
        <w:tc>
          <w:tcPr>
            <w:tcW w:w="173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64F983" w14:textId="73445530" w:rsidR="00BAA9A3" w:rsidRPr="00D71008" w:rsidRDefault="00BAA9A3" w:rsidP="008C4F69">
            <w:pPr>
              <w:ind w:left="8" w:right="1"/>
              <w:jc w:val="center"/>
              <w:rPr>
                <w:noProof/>
                <w:sz w:val="20"/>
                <w:szCs w:val="20"/>
              </w:rPr>
            </w:pPr>
            <w:r w:rsidRPr="00D71008">
              <w:rPr>
                <w:noProof/>
                <w:sz w:val="20"/>
                <w:szCs w:val="20"/>
              </w:rPr>
              <w:t>2</w:t>
            </w:r>
          </w:p>
        </w:tc>
        <w:tc>
          <w:tcPr>
            <w:tcW w:w="143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8125B2" w14:textId="66DBA1B0" w:rsidR="00BAA9A3" w:rsidRPr="00D71008" w:rsidRDefault="00BAA9A3" w:rsidP="008C4F69">
            <w:pPr>
              <w:ind w:left="9" w:right="2"/>
              <w:jc w:val="center"/>
              <w:rPr>
                <w:noProof/>
                <w:sz w:val="20"/>
                <w:szCs w:val="20"/>
              </w:rPr>
            </w:pPr>
            <w:r w:rsidRPr="00D71008">
              <w:rPr>
                <w:noProof/>
                <w:sz w:val="20"/>
                <w:szCs w:val="20"/>
              </w:rPr>
              <w:t>5%</w:t>
            </w:r>
          </w:p>
        </w:tc>
      </w:tr>
      <w:tr w:rsidR="00D4166E" w:rsidRPr="00D71008" w14:paraId="2A5B747A" w14:textId="77777777" w:rsidTr="00F0597D">
        <w:trPr>
          <w:trHeight w:val="268"/>
        </w:trPr>
        <w:tc>
          <w:tcPr>
            <w:tcW w:w="1827"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FEBEAE" w14:textId="32355495" w:rsidR="00BAA9A3" w:rsidRPr="00D71008" w:rsidRDefault="00BAA9A3">
            <w:pPr>
              <w:ind w:left="107"/>
              <w:rPr>
                <w:noProof/>
                <w:sz w:val="20"/>
                <w:szCs w:val="20"/>
              </w:rPr>
            </w:pPr>
            <w:r w:rsidRPr="00D71008">
              <w:rPr>
                <w:noProof/>
                <w:sz w:val="20"/>
                <w:szCs w:val="20"/>
              </w:rPr>
              <w:t>Non-governmental organisation (NGO)</w:t>
            </w:r>
          </w:p>
        </w:tc>
        <w:tc>
          <w:tcPr>
            <w:tcW w:w="173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ABF2DD" w14:textId="5FB4002F" w:rsidR="00BAA9A3" w:rsidRPr="00D71008" w:rsidRDefault="00BAA9A3" w:rsidP="008C4F69">
            <w:pPr>
              <w:ind w:left="8" w:right="1"/>
              <w:jc w:val="center"/>
              <w:rPr>
                <w:noProof/>
                <w:sz w:val="20"/>
                <w:szCs w:val="20"/>
              </w:rPr>
            </w:pPr>
            <w:r w:rsidRPr="00D71008">
              <w:rPr>
                <w:noProof/>
                <w:sz w:val="20"/>
                <w:szCs w:val="20"/>
              </w:rPr>
              <w:t>2</w:t>
            </w:r>
          </w:p>
        </w:tc>
        <w:tc>
          <w:tcPr>
            <w:tcW w:w="143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7B3E77" w14:textId="13322F77" w:rsidR="00BAA9A3" w:rsidRPr="00D71008" w:rsidRDefault="00BAA9A3" w:rsidP="008C4F69">
            <w:pPr>
              <w:ind w:left="9" w:right="2"/>
              <w:jc w:val="center"/>
              <w:rPr>
                <w:noProof/>
                <w:sz w:val="20"/>
                <w:szCs w:val="20"/>
              </w:rPr>
            </w:pPr>
            <w:r w:rsidRPr="00D71008">
              <w:rPr>
                <w:noProof/>
                <w:sz w:val="20"/>
                <w:szCs w:val="20"/>
              </w:rPr>
              <w:t>5%</w:t>
            </w:r>
          </w:p>
        </w:tc>
      </w:tr>
      <w:tr w:rsidR="00D4166E" w:rsidRPr="00D71008" w14:paraId="6B2D776E" w14:textId="77777777" w:rsidTr="00F0597D">
        <w:trPr>
          <w:trHeight w:val="268"/>
        </w:trPr>
        <w:tc>
          <w:tcPr>
            <w:tcW w:w="1827"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11F976" w14:textId="14879915" w:rsidR="00BAA9A3" w:rsidRPr="00D71008" w:rsidRDefault="00BAA9A3">
            <w:pPr>
              <w:ind w:left="107"/>
              <w:rPr>
                <w:noProof/>
                <w:sz w:val="20"/>
                <w:szCs w:val="20"/>
              </w:rPr>
            </w:pPr>
            <w:r w:rsidRPr="00D71008">
              <w:rPr>
                <w:noProof/>
                <w:sz w:val="20"/>
                <w:szCs w:val="20"/>
              </w:rPr>
              <w:t>Other</w:t>
            </w:r>
          </w:p>
        </w:tc>
        <w:tc>
          <w:tcPr>
            <w:tcW w:w="173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5BAB64" w14:textId="6CFD7327" w:rsidR="00BAA9A3" w:rsidRPr="00D71008" w:rsidRDefault="00BAA9A3" w:rsidP="008C4F69">
            <w:pPr>
              <w:ind w:left="8" w:right="1"/>
              <w:jc w:val="center"/>
              <w:rPr>
                <w:noProof/>
                <w:sz w:val="20"/>
                <w:szCs w:val="20"/>
              </w:rPr>
            </w:pPr>
            <w:r w:rsidRPr="00D71008">
              <w:rPr>
                <w:noProof/>
                <w:sz w:val="20"/>
                <w:szCs w:val="20"/>
              </w:rPr>
              <w:t>6</w:t>
            </w:r>
          </w:p>
        </w:tc>
        <w:tc>
          <w:tcPr>
            <w:tcW w:w="143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4BBB1F" w14:textId="6ED4D62E" w:rsidR="00BAA9A3" w:rsidRPr="00D71008" w:rsidRDefault="00BAA9A3" w:rsidP="008C4F69">
            <w:pPr>
              <w:ind w:left="9" w:right="2"/>
              <w:jc w:val="center"/>
              <w:rPr>
                <w:noProof/>
                <w:sz w:val="20"/>
                <w:szCs w:val="20"/>
              </w:rPr>
            </w:pPr>
            <w:r w:rsidRPr="00D71008">
              <w:rPr>
                <w:noProof/>
                <w:sz w:val="20"/>
                <w:szCs w:val="20"/>
              </w:rPr>
              <w:t>15%</w:t>
            </w:r>
          </w:p>
        </w:tc>
      </w:tr>
      <w:tr w:rsidR="00D4166E" w:rsidRPr="00D71008" w14:paraId="0FE2669E" w14:textId="77777777" w:rsidTr="00F0597D">
        <w:trPr>
          <w:trHeight w:val="268"/>
        </w:trPr>
        <w:tc>
          <w:tcPr>
            <w:tcW w:w="1827"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267D7F" w14:textId="6705E9EB" w:rsidR="00BAA9A3" w:rsidRPr="00D71008" w:rsidRDefault="00BAA9A3">
            <w:pPr>
              <w:ind w:left="107"/>
              <w:rPr>
                <w:b/>
                <w:noProof/>
                <w:sz w:val="20"/>
                <w:szCs w:val="20"/>
              </w:rPr>
            </w:pPr>
            <w:r w:rsidRPr="00D71008">
              <w:rPr>
                <w:b/>
                <w:noProof/>
                <w:sz w:val="20"/>
                <w:szCs w:val="20"/>
              </w:rPr>
              <w:t>TOTAL</w:t>
            </w:r>
          </w:p>
        </w:tc>
        <w:tc>
          <w:tcPr>
            <w:tcW w:w="173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E2A1D0" w14:textId="01140E2E" w:rsidR="00BAA9A3" w:rsidRPr="00D71008" w:rsidRDefault="00BAA9A3" w:rsidP="008C4F69">
            <w:pPr>
              <w:ind w:left="8"/>
              <w:jc w:val="center"/>
              <w:rPr>
                <w:b/>
                <w:noProof/>
                <w:sz w:val="20"/>
                <w:szCs w:val="20"/>
              </w:rPr>
            </w:pPr>
            <w:r w:rsidRPr="00D71008">
              <w:rPr>
                <w:b/>
                <w:noProof/>
                <w:sz w:val="20"/>
                <w:szCs w:val="20"/>
              </w:rPr>
              <w:t>40</w:t>
            </w:r>
          </w:p>
        </w:tc>
        <w:tc>
          <w:tcPr>
            <w:tcW w:w="143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DC3E6B" w14:textId="77266BBF" w:rsidR="00BAA9A3" w:rsidRPr="00D71008" w:rsidRDefault="00BAA9A3" w:rsidP="008C4F69">
            <w:pPr>
              <w:ind w:left="9" w:right="2"/>
              <w:jc w:val="center"/>
              <w:rPr>
                <w:b/>
                <w:noProof/>
                <w:sz w:val="20"/>
                <w:szCs w:val="20"/>
              </w:rPr>
            </w:pPr>
            <w:r w:rsidRPr="00D71008">
              <w:rPr>
                <w:b/>
                <w:noProof/>
                <w:sz w:val="20"/>
                <w:szCs w:val="20"/>
              </w:rPr>
              <w:t>100%</w:t>
            </w:r>
          </w:p>
        </w:tc>
      </w:tr>
    </w:tbl>
    <w:p w14:paraId="5D42D3EE" w14:textId="7DD67DB6" w:rsidR="00C210DA" w:rsidRPr="00F0597D" w:rsidRDefault="00267E74" w:rsidP="0078026E">
      <w:pPr>
        <w:tabs>
          <w:tab w:val="left" w:pos="1667"/>
          <w:tab w:val="left" w:pos="1695"/>
          <w:tab w:val="left" w:pos="8505"/>
          <w:tab w:val="left" w:pos="8789"/>
        </w:tabs>
        <w:spacing w:before="240" w:after="240"/>
        <w:ind w:right="-26"/>
        <w:jc w:val="both"/>
        <w:rPr>
          <w:noProof/>
          <w:spacing w:val="-8"/>
        </w:rPr>
      </w:pPr>
      <w:r w:rsidRPr="00F0597D">
        <w:rPr>
          <w:noProof/>
          <w:spacing w:val="-8"/>
        </w:rPr>
        <w:t>T</w:t>
      </w:r>
      <w:r w:rsidR="06E4B7B9" w:rsidRPr="00F0597D">
        <w:rPr>
          <w:noProof/>
          <w:spacing w:val="-8"/>
        </w:rPr>
        <w:t xml:space="preserve">hirteen </w:t>
      </w:r>
      <w:r w:rsidRPr="00F0597D">
        <w:rPr>
          <w:noProof/>
          <w:spacing w:val="-8"/>
        </w:rPr>
        <w:t xml:space="preserve">responses were received </w:t>
      </w:r>
      <w:r w:rsidR="06E4B7B9" w:rsidRPr="00F0597D">
        <w:rPr>
          <w:noProof/>
          <w:spacing w:val="-8"/>
        </w:rPr>
        <w:t xml:space="preserve">for the CRS </w:t>
      </w:r>
      <w:r w:rsidR="00A31F55" w:rsidRPr="00F0597D">
        <w:rPr>
          <w:noProof/>
          <w:spacing w:val="-8"/>
        </w:rPr>
        <w:t>IIA</w:t>
      </w:r>
      <w:r w:rsidR="2471901C" w:rsidRPr="00F0597D">
        <w:rPr>
          <w:noProof/>
          <w:spacing w:val="-8"/>
        </w:rPr>
        <w:t xml:space="preserve">. </w:t>
      </w:r>
      <w:bookmarkStart w:id="273" w:name="2.1.2_Open_Public_Consultation_(OPC)"/>
      <w:bookmarkEnd w:id="273"/>
    </w:p>
    <w:p w14:paraId="4021F791" w14:textId="58CC6C62" w:rsidR="00BAA9A3" w:rsidRPr="00F0597D" w:rsidRDefault="342C15A7" w:rsidP="0078026E">
      <w:pPr>
        <w:pStyle w:val="BodyText"/>
        <w:tabs>
          <w:tab w:val="left" w:pos="8505"/>
          <w:tab w:val="left" w:pos="8789"/>
        </w:tabs>
        <w:spacing w:after="240"/>
        <w:ind w:left="0" w:right="-26"/>
        <w:rPr>
          <w:noProof/>
          <w:spacing w:val="-8"/>
        </w:rPr>
      </w:pPr>
      <w:r w:rsidRPr="00F0597D">
        <w:rPr>
          <w:noProof/>
          <w:spacing w:val="-8"/>
        </w:rPr>
        <w:t>The CRS OPC invited all citizens and organisations to provide input on the potential revision of the CRS Code of Conduct and was targeted mainly at members of the general public and non-experts, as a complement to the targeted consultation. The OPC received 23 responses.</w:t>
      </w:r>
    </w:p>
    <w:p w14:paraId="4131D502" w14:textId="6D4C9A17" w:rsidR="77E6075F" w:rsidRPr="00F0597D" w:rsidRDefault="77E6075F" w:rsidP="000461CE">
      <w:pPr>
        <w:spacing w:after="6"/>
        <w:jc w:val="both"/>
        <w:rPr>
          <w:i/>
          <w:noProof/>
          <w:sz w:val="22"/>
          <w:szCs w:val="22"/>
        </w:rPr>
      </w:pPr>
      <w:r w:rsidRPr="00F0597D">
        <w:rPr>
          <w:i/>
          <w:noProof/>
          <w:sz w:val="22"/>
          <w:szCs w:val="22"/>
        </w:rPr>
        <w:t xml:space="preserve">Table </w:t>
      </w:r>
      <w:r w:rsidR="00F0597D" w:rsidRPr="00F0597D">
        <w:rPr>
          <w:i/>
          <w:noProof/>
          <w:sz w:val="22"/>
          <w:szCs w:val="22"/>
        </w:rPr>
        <w:fldChar w:fldCharType="begin"/>
      </w:r>
      <w:r w:rsidR="00F0597D" w:rsidRPr="00F0597D">
        <w:rPr>
          <w:i/>
          <w:noProof/>
          <w:sz w:val="22"/>
          <w:szCs w:val="22"/>
        </w:rPr>
        <w:instrText xml:space="preserve"> SEQ Table \* ARABIC </w:instrText>
      </w:r>
      <w:r w:rsidR="00F0597D" w:rsidRPr="00F0597D">
        <w:rPr>
          <w:i/>
          <w:noProof/>
          <w:sz w:val="22"/>
          <w:szCs w:val="22"/>
        </w:rPr>
        <w:fldChar w:fldCharType="separate"/>
      </w:r>
      <w:r w:rsidR="0055391F">
        <w:rPr>
          <w:i/>
          <w:noProof/>
          <w:sz w:val="22"/>
          <w:szCs w:val="22"/>
        </w:rPr>
        <w:t>34</w:t>
      </w:r>
      <w:r w:rsidR="00F0597D" w:rsidRPr="00F0597D">
        <w:rPr>
          <w:i/>
          <w:noProof/>
          <w:sz w:val="22"/>
          <w:szCs w:val="22"/>
        </w:rPr>
        <w:fldChar w:fldCharType="end"/>
      </w:r>
      <w:r w:rsidR="00F0597D" w:rsidRPr="00F0597D">
        <w:rPr>
          <w:i/>
          <w:noProof/>
          <w:sz w:val="22"/>
          <w:szCs w:val="22"/>
        </w:rPr>
        <w:t>:</w:t>
      </w:r>
      <w:r w:rsidRPr="00F0597D">
        <w:rPr>
          <w:i/>
          <w:noProof/>
          <w:sz w:val="22"/>
          <w:szCs w:val="22"/>
        </w:rPr>
        <w:t xml:space="preserve"> Classification and number of stakeholders responding to the OPC</w:t>
      </w:r>
      <w:r w:rsidR="00074CD7" w:rsidRPr="00F0597D">
        <w:rPr>
          <w:i/>
          <w:noProof/>
          <w:sz w:val="22"/>
          <w:szCs w:val="22"/>
        </w:rPr>
        <w:t xml:space="preserve"> on CRS</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681"/>
        <w:gridCol w:w="6922"/>
      </w:tblGrid>
      <w:tr w:rsidR="00DD46AA" w:rsidRPr="00D71008" w14:paraId="28E24BEE" w14:textId="77777777" w:rsidTr="00F0597D">
        <w:trPr>
          <w:trHeight w:val="316"/>
        </w:trPr>
        <w:tc>
          <w:tcPr>
            <w:tcW w:w="1396" w:type="pct"/>
            <w:shd w:val="clear" w:color="auto" w:fill="006FC0"/>
          </w:tcPr>
          <w:p w14:paraId="529DCB71" w14:textId="77777777" w:rsidR="00BAA9A3" w:rsidRPr="00D71008" w:rsidRDefault="00BAA9A3" w:rsidP="00BAA9A3">
            <w:pPr>
              <w:pStyle w:val="TableParagraph"/>
              <w:ind w:left="549"/>
              <w:rPr>
                <w:b/>
                <w:noProof/>
                <w:sz w:val="20"/>
                <w:szCs w:val="20"/>
              </w:rPr>
            </w:pPr>
            <w:r w:rsidRPr="00D71008">
              <w:rPr>
                <w:b/>
                <w:noProof/>
                <w:color w:val="FFFFFF" w:themeColor="background1"/>
                <w:sz w:val="20"/>
                <w:szCs w:val="20"/>
              </w:rPr>
              <w:t>Stakeholder group</w:t>
            </w:r>
          </w:p>
        </w:tc>
        <w:tc>
          <w:tcPr>
            <w:tcW w:w="3604" w:type="pct"/>
            <w:shd w:val="clear" w:color="auto" w:fill="006FC0"/>
          </w:tcPr>
          <w:p w14:paraId="66904B9C" w14:textId="77777777" w:rsidR="00BAA9A3" w:rsidRPr="00D71008" w:rsidRDefault="00BAA9A3" w:rsidP="00BAA9A3">
            <w:pPr>
              <w:pStyle w:val="TableParagraph"/>
              <w:ind w:left="1918"/>
              <w:rPr>
                <w:b/>
                <w:noProof/>
                <w:sz w:val="20"/>
                <w:szCs w:val="20"/>
              </w:rPr>
            </w:pPr>
            <w:r w:rsidRPr="00D71008">
              <w:rPr>
                <w:b/>
                <w:noProof/>
                <w:color w:val="FFFFFF" w:themeColor="background1"/>
                <w:sz w:val="20"/>
                <w:szCs w:val="20"/>
              </w:rPr>
              <w:t>Stakeholders who submitted responses</w:t>
            </w:r>
          </w:p>
        </w:tc>
      </w:tr>
      <w:tr w:rsidR="00900DFD" w:rsidRPr="00D71008" w14:paraId="3FDBF644" w14:textId="77777777" w:rsidTr="00F0597D">
        <w:trPr>
          <w:trHeight w:val="316"/>
        </w:trPr>
        <w:tc>
          <w:tcPr>
            <w:tcW w:w="1396" w:type="pct"/>
          </w:tcPr>
          <w:p w14:paraId="34EE786B" w14:textId="77777777" w:rsidR="00BAA9A3" w:rsidRPr="00D71008" w:rsidRDefault="00BAA9A3" w:rsidP="00BAA9A3">
            <w:pPr>
              <w:pStyle w:val="TableParagraph"/>
              <w:spacing w:before="120"/>
              <w:ind w:left="107"/>
              <w:rPr>
                <w:noProof/>
                <w:sz w:val="20"/>
                <w:szCs w:val="20"/>
              </w:rPr>
            </w:pPr>
            <w:r w:rsidRPr="00D71008">
              <w:rPr>
                <w:noProof/>
                <w:sz w:val="20"/>
                <w:szCs w:val="20"/>
              </w:rPr>
              <w:t>Business association</w:t>
            </w:r>
          </w:p>
        </w:tc>
        <w:tc>
          <w:tcPr>
            <w:tcW w:w="3604" w:type="pct"/>
          </w:tcPr>
          <w:p w14:paraId="6144FAEA" w14:textId="77777777" w:rsidR="00BAA9A3" w:rsidRPr="00D71008" w:rsidRDefault="00BAA9A3" w:rsidP="00CC11D6">
            <w:pPr>
              <w:pStyle w:val="TableParagraph"/>
              <w:ind w:left="105"/>
              <w:rPr>
                <w:noProof/>
                <w:sz w:val="20"/>
                <w:szCs w:val="20"/>
              </w:rPr>
            </w:pPr>
            <w:r w:rsidRPr="00D71008">
              <w:rPr>
                <w:noProof/>
                <w:sz w:val="20"/>
                <w:szCs w:val="20"/>
              </w:rPr>
              <w:t>EU Travel Tech, Global Business Travel Organisation (GBTA),</w:t>
            </w:r>
          </w:p>
          <w:p w14:paraId="41E7DCB4" w14:textId="77777777" w:rsidR="00BAA9A3" w:rsidRPr="00D71008" w:rsidRDefault="00BAA9A3" w:rsidP="00BAA9A3">
            <w:pPr>
              <w:pStyle w:val="TableParagraph"/>
              <w:spacing w:before="15"/>
              <w:ind w:left="105"/>
              <w:rPr>
                <w:noProof/>
                <w:sz w:val="20"/>
                <w:szCs w:val="20"/>
              </w:rPr>
            </w:pPr>
            <w:r w:rsidRPr="00D71008">
              <w:rPr>
                <w:noProof/>
                <w:sz w:val="20"/>
                <w:szCs w:val="20"/>
              </w:rPr>
              <w:t>ECTAA, one business association</w:t>
            </w:r>
          </w:p>
        </w:tc>
      </w:tr>
      <w:tr w:rsidR="00900DFD" w:rsidRPr="00D71008" w14:paraId="2ECE734B" w14:textId="77777777" w:rsidTr="00F0597D">
        <w:trPr>
          <w:trHeight w:val="316"/>
        </w:trPr>
        <w:tc>
          <w:tcPr>
            <w:tcW w:w="1396" w:type="pct"/>
          </w:tcPr>
          <w:p w14:paraId="70F32B9D" w14:textId="77777777" w:rsidR="00BAA9A3" w:rsidRPr="00D71008" w:rsidRDefault="00BAA9A3" w:rsidP="00BAA9A3">
            <w:pPr>
              <w:pStyle w:val="TableParagraph"/>
              <w:spacing w:before="12"/>
              <w:rPr>
                <w:i/>
                <w:noProof/>
                <w:sz w:val="20"/>
                <w:szCs w:val="20"/>
              </w:rPr>
            </w:pPr>
          </w:p>
          <w:p w14:paraId="316958CC" w14:textId="77777777" w:rsidR="00BAA9A3" w:rsidRPr="00D71008" w:rsidRDefault="00BAA9A3" w:rsidP="00BAA9A3">
            <w:pPr>
              <w:pStyle w:val="TableParagraph"/>
              <w:ind w:left="107"/>
              <w:rPr>
                <w:noProof/>
                <w:sz w:val="20"/>
                <w:szCs w:val="20"/>
              </w:rPr>
            </w:pPr>
            <w:r w:rsidRPr="00D71008">
              <w:rPr>
                <w:noProof/>
                <w:sz w:val="20"/>
                <w:szCs w:val="20"/>
              </w:rPr>
              <w:t>Company</w:t>
            </w:r>
          </w:p>
        </w:tc>
        <w:tc>
          <w:tcPr>
            <w:tcW w:w="3604" w:type="pct"/>
          </w:tcPr>
          <w:p w14:paraId="0E3752A2" w14:textId="77777777" w:rsidR="00BAA9A3" w:rsidRPr="00D71008" w:rsidRDefault="00BAA9A3" w:rsidP="00CC11D6">
            <w:pPr>
              <w:pStyle w:val="TableParagraph"/>
              <w:ind w:left="105"/>
              <w:rPr>
                <w:noProof/>
                <w:sz w:val="20"/>
                <w:szCs w:val="20"/>
              </w:rPr>
            </w:pPr>
            <w:r w:rsidRPr="00D71008">
              <w:rPr>
                <w:noProof/>
                <w:sz w:val="20"/>
                <w:szCs w:val="20"/>
              </w:rPr>
              <w:t>BEUC (The European Consumer Organisation), European Passengers' Federation,</w:t>
            </w:r>
          </w:p>
          <w:p w14:paraId="65760AFF" w14:textId="77777777" w:rsidR="00BAA9A3" w:rsidRPr="00D71008" w:rsidRDefault="00BAA9A3" w:rsidP="00CC11D6">
            <w:pPr>
              <w:pStyle w:val="TableParagraph"/>
              <w:spacing w:before="7"/>
              <w:ind w:left="105"/>
              <w:rPr>
                <w:noProof/>
                <w:sz w:val="20"/>
                <w:szCs w:val="20"/>
              </w:rPr>
            </w:pPr>
            <w:r w:rsidRPr="00D71008">
              <w:rPr>
                <w:noProof/>
                <w:sz w:val="20"/>
                <w:szCs w:val="20"/>
              </w:rPr>
              <w:t>České dráhy, a.s. (ČD), Lufthansa Group, Amadeus IT Group, S.A., Robert Arrigo &amp; Sons Limited, and three further company/business organisations</w:t>
            </w:r>
          </w:p>
        </w:tc>
      </w:tr>
      <w:tr w:rsidR="00D33378" w:rsidRPr="00121F10" w14:paraId="667BDCF4" w14:textId="77777777" w:rsidTr="00F0597D">
        <w:trPr>
          <w:trHeight w:val="316"/>
        </w:trPr>
        <w:tc>
          <w:tcPr>
            <w:tcW w:w="1396" w:type="pct"/>
          </w:tcPr>
          <w:p w14:paraId="346F1A56" w14:textId="77777777" w:rsidR="00BAA9A3" w:rsidRPr="00D71008" w:rsidRDefault="00BAA9A3" w:rsidP="00BAA9A3">
            <w:pPr>
              <w:pStyle w:val="TableParagraph"/>
              <w:spacing w:before="94"/>
              <w:ind w:left="107"/>
              <w:rPr>
                <w:noProof/>
                <w:sz w:val="20"/>
                <w:szCs w:val="20"/>
              </w:rPr>
            </w:pPr>
            <w:r w:rsidRPr="00D71008">
              <w:rPr>
                <w:noProof/>
                <w:sz w:val="20"/>
                <w:szCs w:val="20"/>
              </w:rPr>
              <w:t>Environmental organisation</w:t>
            </w:r>
          </w:p>
        </w:tc>
        <w:tc>
          <w:tcPr>
            <w:tcW w:w="3604" w:type="pct"/>
          </w:tcPr>
          <w:p w14:paraId="63560C80" w14:textId="1E7F1B65" w:rsidR="00BAA9A3" w:rsidRPr="00BC11CE" w:rsidRDefault="00BAA9A3" w:rsidP="00BAA9A3">
            <w:pPr>
              <w:pStyle w:val="TableParagraph"/>
              <w:spacing w:before="94"/>
              <w:ind w:left="105"/>
              <w:rPr>
                <w:noProof/>
                <w:sz w:val="20"/>
                <w:szCs w:val="20"/>
                <w:lang w:val="de-DE"/>
              </w:rPr>
            </w:pPr>
            <w:r w:rsidRPr="00BC11CE">
              <w:rPr>
                <w:noProof/>
                <w:sz w:val="20"/>
                <w:szCs w:val="20"/>
                <w:lang w:val="de-DE"/>
              </w:rPr>
              <w:t>Bundesvereinigung gegen Fluglärm e.V.</w:t>
            </w:r>
          </w:p>
        </w:tc>
      </w:tr>
      <w:tr w:rsidR="00900DFD" w:rsidRPr="00D71008" w14:paraId="2A1CA141" w14:textId="77777777" w:rsidTr="00F0597D">
        <w:trPr>
          <w:trHeight w:val="316"/>
        </w:trPr>
        <w:tc>
          <w:tcPr>
            <w:tcW w:w="1396" w:type="pct"/>
          </w:tcPr>
          <w:p w14:paraId="70BE1975" w14:textId="77777777" w:rsidR="00BAA9A3" w:rsidRPr="00D71008" w:rsidRDefault="00BAA9A3" w:rsidP="00BAA9A3">
            <w:pPr>
              <w:pStyle w:val="TableParagraph"/>
              <w:spacing w:before="97"/>
              <w:ind w:left="107"/>
              <w:rPr>
                <w:noProof/>
                <w:sz w:val="20"/>
                <w:szCs w:val="20"/>
              </w:rPr>
            </w:pPr>
            <w:r w:rsidRPr="00D71008">
              <w:rPr>
                <w:noProof/>
                <w:sz w:val="20"/>
                <w:szCs w:val="20"/>
              </w:rPr>
              <w:t>EU citizen</w:t>
            </w:r>
          </w:p>
        </w:tc>
        <w:tc>
          <w:tcPr>
            <w:tcW w:w="3604" w:type="pct"/>
          </w:tcPr>
          <w:p w14:paraId="00D73B35" w14:textId="77777777" w:rsidR="00BAA9A3" w:rsidRPr="00D71008" w:rsidRDefault="00BAA9A3" w:rsidP="00BAA9A3">
            <w:pPr>
              <w:pStyle w:val="TableParagraph"/>
              <w:spacing w:before="97"/>
              <w:ind w:left="105"/>
              <w:rPr>
                <w:noProof/>
                <w:sz w:val="20"/>
                <w:szCs w:val="20"/>
              </w:rPr>
            </w:pPr>
            <w:r w:rsidRPr="00D71008">
              <w:rPr>
                <w:noProof/>
                <w:sz w:val="20"/>
                <w:szCs w:val="20"/>
              </w:rPr>
              <w:t>Six EU citizens</w:t>
            </w:r>
          </w:p>
        </w:tc>
      </w:tr>
      <w:tr w:rsidR="00900DFD" w:rsidRPr="00D71008" w14:paraId="66627756" w14:textId="77777777" w:rsidTr="00F0597D">
        <w:trPr>
          <w:trHeight w:val="316"/>
        </w:trPr>
        <w:tc>
          <w:tcPr>
            <w:tcW w:w="1396" w:type="pct"/>
          </w:tcPr>
          <w:p w14:paraId="4E9AA2EA" w14:textId="77777777" w:rsidR="00BAA9A3" w:rsidRPr="00D71008" w:rsidRDefault="00BAA9A3" w:rsidP="00BAA9A3">
            <w:pPr>
              <w:pStyle w:val="TableParagraph"/>
              <w:spacing w:before="94"/>
              <w:ind w:left="107"/>
              <w:rPr>
                <w:noProof/>
                <w:sz w:val="20"/>
                <w:szCs w:val="20"/>
              </w:rPr>
            </w:pPr>
            <w:r w:rsidRPr="00D71008">
              <w:rPr>
                <w:noProof/>
                <w:sz w:val="20"/>
                <w:szCs w:val="20"/>
              </w:rPr>
              <w:t>Public authority</w:t>
            </w:r>
          </w:p>
        </w:tc>
        <w:tc>
          <w:tcPr>
            <w:tcW w:w="3604" w:type="pct"/>
          </w:tcPr>
          <w:p w14:paraId="3E955BDE" w14:textId="77777777" w:rsidR="00BAA9A3" w:rsidRPr="00D71008" w:rsidRDefault="00BAA9A3" w:rsidP="00BAA9A3">
            <w:pPr>
              <w:pStyle w:val="TableParagraph"/>
              <w:spacing w:before="94"/>
              <w:ind w:left="105"/>
              <w:rPr>
                <w:noProof/>
                <w:sz w:val="20"/>
                <w:szCs w:val="20"/>
              </w:rPr>
            </w:pPr>
            <w:r w:rsidRPr="00D71008">
              <w:rPr>
                <w:noProof/>
                <w:sz w:val="20"/>
                <w:szCs w:val="20"/>
              </w:rPr>
              <w:t>Two public authorities</w:t>
            </w:r>
          </w:p>
        </w:tc>
      </w:tr>
      <w:tr w:rsidR="00900DFD" w:rsidRPr="00D71008" w14:paraId="24A4C388" w14:textId="77777777" w:rsidTr="00F0597D">
        <w:trPr>
          <w:trHeight w:val="316"/>
        </w:trPr>
        <w:tc>
          <w:tcPr>
            <w:tcW w:w="1396" w:type="pct"/>
          </w:tcPr>
          <w:p w14:paraId="4EE23319" w14:textId="77777777" w:rsidR="00BAA9A3" w:rsidRPr="00D71008" w:rsidRDefault="00BAA9A3" w:rsidP="00BAA9A3">
            <w:pPr>
              <w:pStyle w:val="TableParagraph"/>
              <w:spacing w:before="94"/>
              <w:ind w:left="107"/>
              <w:rPr>
                <w:noProof/>
                <w:sz w:val="20"/>
                <w:szCs w:val="20"/>
              </w:rPr>
            </w:pPr>
            <w:r w:rsidRPr="00D71008">
              <w:rPr>
                <w:noProof/>
                <w:sz w:val="20"/>
                <w:szCs w:val="20"/>
              </w:rPr>
              <w:t>Other</w:t>
            </w:r>
          </w:p>
        </w:tc>
        <w:tc>
          <w:tcPr>
            <w:tcW w:w="3604" w:type="pct"/>
          </w:tcPr>
          <w:p w14:paraId="6C79F327" w14:textId="77777777" w:rsidR="00BAA9A3" w:rsidRPr="00D71008" w:rsidRDefault="00BAA9A3" w:rsidP="00BAA9A3">
            <w:pPr>
              <w:pStyle w:val="TableParagraph"/>
              <w:spacing w:before="94"/>
              <w:ind w:left="105"/>
              <w:rPr>
                <w:noProof/>
                <w:sz w:val="20"/>
                <w:szCs w:val="20"/>
              </w:rPr>
            </w:pPr>
            <w:r w:rsidRPr="00D71008">
              <w:rPr>
                <w:noProof/>
                <w:sz w:val="20"/>
                <w:szCs w:val="20"/>
              </w:rPr>
              <w:t>Aviation and Competition Law Research</w:t>
            </w:r>
          </w:p>
        </w:tc>
      </w:tr>
      <w:tr w:rsidR="00900DFD" w:rsidRPr="00D71008" w14:paraId="5FD6A07B" w14:textId="77777777" w:rsidTr="00F0597D">
        <w:trPr>
          <w:trHeight w:val="316"/>
        </w:trPr>
        <w:tc>
          <w:tcPr>
            <w:tcW w:w="1396" w:type="pct"/>
          </w:tcPr>
          <w:p w14:paraId="35190EF2" w14:textId="77777777" w:rsidR="00BAA9A3" w:rsidRPr="00D71008" w:rsidRDefault="00BAA9A3" w:rsidP="00BAA9A3">
            <w:pPr>
              <w:pStyle w:val="TableParagraph"/>
              <w:spacing w:before="98"/>
              <w:ind w:left="107"/>
              <w:rPr>
                <w:b/>
                <w:noProof/>
                <w:sz w:val="20"/>
                <w:szCs w:val="20"/>
              </w:rPr>
            </w:pPr>
            <w:r w:rsidRPr="00D71008">
              <w:rPr>
                <w:b/>
                <w:noProof/>
                <w:sz w:val="20"/>
                <w:szCs w:val="20"/>
              </w:rPr>
              <w:t>Total</w:t>
            </w:r>
          </w:p>
        </w:tc>
        <w:tc>
          <w:tcPr>
            <w:tcW w:w="3604" w:type="pct"/>
          </w:tcPr>
          <w:p w14:paraId="5B0E604D" w14:textId="77777777" w:rsidR="00BAA9A3" w:rsidRPr="00D71008" w:rsidRDefault="00BAA9A3" w:rsidP="00BAA9A3">
            <w:pPr>
              <w:pStyle w:val="TableParagraph"/>
              <w:spacing w:before="98"/>
              <w:ind w:left="105"/>
              <w:rPr>
                <w:b/>
                <w:noProof/>
                <w:sz w:val="20"/>
                <w:szCs w:val="20"/>
              </w:rPr>
            </w:pPr>
            <w:r w:rsidRPr="00D71008">
              <w:rPr>
                <w:b/>
                <w:noProof/>
                <w:sz w:val="20"/>
                <w:szCs w:val="20"/>
              </w:rPr>
              <w:t>23</w:t>
            </w:r>
          </w:p>
        </w:tc>
      </w:tr>
    </w:tbl>
    <w:p w14:paraId="5389051D" w14:textId="77777777" w:rsidR="00BAA9A3" w:rsidRPr="00D71008" w:rsidRDefault="00BAA9A3" w:rsidP="00BAA9A3">
      <w:pPr>
        <w:pStyle w:val="BodyText"/>
        <w:spacing w:before="116"/>
        <w:ind w:left="0"/>
        <w:jc w:val="left"/>
        <w:rPr>
          <w:i/>
          <w:noProof/>
          <w:sz w:val="22"/>
          <w:szCs w:val="22"/>
          <w:highlight w:val="green"/>
        </w:rPr>
      </w:pPr>
    </w:p>
    <w:p w14:paraId="580C7015" w14:textId="216A763D" w:rsidR="15329A47" w:rsidRPr="00F0597D" w:rsidRDefault="15329A47" w:rsidP="000461CE">
      <w:pPr>
        <w:spacing w:after="6"/>
        <w:jc w:val="both"/>
        <w:rPr>
          <w:i/>
          <w:noProof/>
          <w:sz w:val="22"/>
          <w:szCs w:val="22"/>
        </w:rPr>
      </w:pPr>
      <w:r w:rsidRPr="00F0597D">
        <w:rPr>
          <w:i/>
          <w:noProof/>
          <w:sz w:val="22"/>
          <w:szCs w:val="22"/>
        </w:rPr>
        <w:t xml:space="preserve">Table </w:t>
      </w:r>
      <w:r w:rsidR="00F0597D" w:rsidRPr="00F0597D">
        <w:rPr>
          <w:i/>
          <w:noProof/>
          <w:sz w:val="22"/>
          <w:szCs w:val="22"/>
        </w:rPr>
        <w:fldChar w:fldCharType="begin"/>
      </w:r>
      <w:r w:rsidR="00F0597D" w:rsidRPr="00F0597D">
        <w:rPr>
          <w:i/>
          <w:noProof/>
          <w:sz w:val="22"/>
          <w:szCs w:val="22"/>
        </w:rPr>
        <w:instrText xml:space="preserve"> SEQ Table \* ARABIC </w:instrText>
      </w:r>
      <w:r w:rsidR="00F0597D" w:rsidRPr="00F0597D">
        <w:rPr>
          <w:i/>
          <w:noProof/>
          <w:sz w:val="22"/>
          <w:szCs w:val="22"/>
        </w:rPr>
        <w:fldChar w:fldCharType="separate"/>
      </w:r>
      <w:r w:rsidR="0055391F">
        <w:rPr>
          <w:i/>
          <w:noProof/>
          <w:sz w:val="22"/>
          <w:szCs w:val="22"/>
        </w:rPr>
        <w:t>35</w:t>
      </w:r>
      <w:r w:rsidR="00F0597D" w:rsidRPr="00F0597D">
        <w:rPr>
          <w:i/>
          <w:noProof/>
          <w:sz w:val="22"/>
          <w:szCs w:val="22"/>
        </w:rPr>
        <w:fldChar w:fldCharType="end"/>
      </w:r>
      <w:r w:rsidR="00F0597D" w:rsidRPr="00F0597D">
        <w:rPr>
          <w:i/>
          <w:noProof/>
          <w:sz w:val="22"/>
          <w:szCs w:val="22"/>
        </w:rPr>
        <w:t>:</w:t>
      </w:r>
      <w:r w:rsidRPr="00F0597D">
        <w:rPr>
          <w:i/>
          <w:noProof/>
          <w:sz w:val="22"/>
          <w:szCs w:val="22"/>
        </w:rPr>
        <w:t xml:space="preserve"> Geographical distribution of responses received</w:t>
      </w:r>
      <w:r w:rsidR="00074CD7" w:rsidRPr="00F0597D">
        <w:rPr>
          <w:i/>
          <w:noProof/>
          <w:sz w:val="22"/>
          <w:szCs w:val="22"/>
        </w:rPr>
        <w:t xml:space="preserve"> to the OPC on CRS</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4046"/>
        <w:gridCol w:w="1802"/>
        <w:gridCol w:w="3755"/>
      </w:tblGrid>
      <w:tr w:rsidR="00011706" w:rsidRPr="00D71008" w14:paraId="75C96E39" w14:textId="77777777" w:rsidTr="00F0597D">
        <w:trPr>
          <w:trHeight w:val="311"/>
        </w:trPr>
        <w:tc>
          <w:tcPr>
            <w:tcW w:w="2107" w:type="pct"/>
            <w:shd w:val="clear" w:color="auto" w:fill="006FC0"/>
          </w:tcPr>
          <w:p w14:paraId="417B2590" w14:textId="77777777" w:rsidR="00BAA9A3" w:rsidRPr="00D71008" w:rsidRDefault="00BAA9A3" w:rsidP="00BAA9A3">
            <w:pPr>
              <w:pStyle w:val="TableParagraph"/>
              <w:ind w:left="1295"/>
              <w:rPr>
                <w:b/>
                <w:noProof/>
                <w:sz w:val="20"/>
                <w:szCs w:val="20"/>
              </w:rPr>
            </w:pPr>
            <w:r w:rsidRPr="00D71008">
              <w:rPr>
                <w:b/>
                <w:noProof/>
                <w:color w:val="FFFFFF" w:themeColor="background1"/>
                <w:sz w:val="20"/>
                <w:szCs w:val="20"/>
              </w:rPr>
              <w:t>Country of origin</w:t>
            </w:r>
          </w:p>
        </w:tc>
        <w:tc>
          <w:tcPr>
            <w:tcW w:w="938" w:type="pct"/>
            <w:shd w:val="clear" w:color="auto" w:fill="006FC0"/>
          </w:tcPr>
          <w:p w14:paraId="16B25DC2" w14:textId="77777777" w:rsidR="00BAA9A3" w:rsidRPr="00D71008" w:rsidRDefault="00BAA9A3" w:rsidP="00CC11D6">
            <w:pPr>
              <w:pStyle w:val="TableParagraph"/>
              <w:ind w:left="396" w:right="328" w:hanging="51"/>
              <w:rPr>
                <w:b/>
                <w:noProof/>
                <w:sz w:val="20"/>
                <w:szCs w:val="20"/>
              </w:rPr>
            </w:pPr>
            <w:r w:rsidRPr="00D71008">
              <w:rPr>
                <w:b/>
                <w:noProof/>
                <w:color w:val="FFFFFF" w:themeColor="background1"/>
                <w:sz w:val="20"/>
                <w:szCs w:val="20"/>
              </w:rPr>
              <w:t>Number of responses</w:t>
            </w:r>
          </w:p>
        </w:tc>
        <w:tc>
          <w:tcPr>
            <w:tcW w:w="1955" w:type="pct"/>
            <w:shd w:val="clear" w:color="auto" w:fill="006FC0"/>
          </w:tcPr>
          <w:p w14:paraId="503EEA46" w14:textId="77777777" w:rsidR="00BAA9A3" w:rsidRPr="00D71008" w:rsidRDefault="00BAA9A3" w:rsidP="00BAA9A3">
            <w:pPr>
              <w:pStyle w:val="TableParagraph"/>
              <w:ind w:left="8" w:right="5"/>
              <w:jc w:val="center"/>
              <w:rPr>
                <w:b/>
                <w:noProof/>
                <w:sz w:val="20"/>
                <w:szCs w:val="20"/>
              </w:rPr>
            </w:pPr>
            <w:r w:rsidRPr="00D71008">
              <w:rPr>
                <w:b/>
                <w:noProof/>
                <w:color w:val="FFFFFF" w:themeColor="background1"/>
                <w:sz w:val="20"/>
                <w:szCs w:val="20"/>
              </w:rPr>
              <w:t>% of responses</w:t>
            </w:r>
          </w:p>
        </w:tc>
      </w:tr>
      <w:tr w:rsidR="00900DFD" w:rsidRPr="00D71008" w14:paraId="3836B279" w14:textId="77777777" w:rsidTr="00F0597D">
        <w:trPr>
          <w:trHeight w:val="311"/>
        </w:trPr>
        <w:tc>
          <w:tcPr>
            <w:tcW w:w="2107" w:type="pct"/>
          </w:tcPr>
          <w:p w14:paraId="3B53E660" w14:textId="77777777" w:rsidR="00BAA9A3" w:rsidRPr="00D71008" w:rsidRDefault="00BAA9A3" w:rsidP="00CC11D6">
            <w:pPr>
              <w:pStyle w:val="TableParagraph"/>
              <w:ind w:left="107"/>
              <w:rPr>
                <w:noProof/>
                <w:sz w:val="20"/>
                <w:szCs w:val="20"/>
              </w:rPr>
            </w:pPr>
            <w:r w:rsidRPr="00D71008">
              <w:rPr>
                <w:noProof/>
                <w:sz w:val="20"/>
                <w:szCs w:val="20"/>
              </w:rPr>
              <w:t>Belgium</w:t>
            </w:r>
          </w:p>
        </w:tc>
        <w:tc>
          <w:tcPr>
            <w:tcW w:w="938" w:type="pct"/>
          </w:tcPr>
          <w:p w14:paraId="39CC7BCB" w14:textId="77777777" w:rsidR="00BAA9A3" w:rsidRPr="00D71008" w:rsidRDefault="00BAA9A3" w:rsidP="00CC11D6">
            <w:pPr>
              <w:pStyle w:val="TableParagraph"/>
              <w:ind w:left="8"/>
              <w:jc w:val="center"/>
              <w:rPr>
                <w:noProof/>
                <w:sz w:val="20"/>
                <w:szCs w:val="20"/>
              </w:rPr>
            </w:pPr>
            <w:r w:rsidRPr="00D71008">
              <w:rPr>
                <w:noProof/>
                <w:sz w:val="20"/>
                <w:szCs w:val="20"/>
              </w:rPr>
              <w:t>5</w:t>
            </w:r>
          </w:p>
        </w:tc>
        <w:tc>
          <w:tcPr>
            <w:tcW w:w="1955" w:type="pct"/>
          </w:tcPr>
          <w:p w14:paraId="6424FEAA" w14:textId="77777777" w:rsidR="00BAA9A3" w:rsidRPr="00D71008" w:rsidRDefault="00BAA9A3" w:rsidP="00CC11D6">
            <w:pPr>
              <w:pStyle w:val="TableParagraph"/>
              <w:ind w:left="8"/>
              <w:jc w:val="center"/>
              <w:rPr>
                <w:noProof/>
                <w:sz w:val="20"/>
                <w:szCs w:val="20"/>
              </w:rPr>
            </w:pPr>
            <w:r w:rsidRPr="00D71008">
              <w:rPr>
                <w:noProof/>
                <w:sz w:val="20"/>
                <w:szCs w:val="20"/>
              </w:rPr>
              <w:t>22%</w:t>
            </w:r>
          </w:p>
        </w:tc>
      </w:tr>
      <w:tr w:rsidR="00900DFD" w:rsidRPr="00D71008" w14:paraId="628A5CC7" w14:textId="77777777" w:rsidTr="00F0597D">
        <w:trPr>
          <w:trHeight w:val="311"/>
        </w:trPr>
        <w:tc>
          <w:tcPr>
            <w:tcW w:w="2107" w:type="pct"/>
          </w:tcPr>
          <w:p w14:paraId="436570B0" w14:textId="77777777" w:rsidR="00BAA9A3" w:rsidRPr="00D71008" w:rsidRDefault="00BAA9A3" w:rsidP="00CC11D6">
            <w:pPr>
              <w:pStyle w:val="TableParagraph"/>
              <w:ind w:left="107"/>
              <w:rPr>
                <w:noProof/>
                <w:sz w:val="20"/>
                <w:szCs w:val="20"/>
              </w:rPr>
            </w:pPr>
            <w:r w:rsidRPr="00D71008">
              <w:rPr>
                <w:noProof/>
                <w:sz w:val="20"/>
                <w:szCs w:val="20"/>
              </w:rPr>
              <w:t>Germany</w:t>
            </w:r>
          </w:p>
        </w:tc>
        <w:tc>
          <w:tcPr>
            <w:tcW w:w="938" w:type="pct"/>
          </w:tcPr>
          <w:p w14:paraId="37892E85" w14:textId="77777777" w:rsidR="00BAA9A3" w:rsidRPr="00D71008" w:rsidRDefault="00BAA9A3" w:rsidP="00CC11D6">
            <w:pPr>
              <w:pStyle w:val="TableParagraph"/>
              <w:ind w:left="8"/>
              <w:jc w:val="center"/>
              <w:rPr>
                <w:noProof/>
                <w:sz w:val="20"/>
                <w:szCs w:val="20"/>
              </w:rPr>
            </w:pPr>
            <w:r w:rsidRPr="00D71008">
              <w:rPr>
                <w:noProof/>
                <w:sz w:val="20"/>
                <w:szCs w:val="20"/>
              </w:rPr>
              <w:t>3</w:t>
            </w:r>
          </w:p>
        </w:tc>
        <w:tc>
          <w:tcPr>
            <w:tcW w:w="1955" w:type="pct"/>
          </w:tcPr>
          <w:p w14:paraId="1316A280" w14:textId="77777777" w:rsidR="00BAA9A3" w:rsidRPr="00D71008" w:rsidRDefault="00BAA9A3" w:rsidP="00CC11D6">
            <w:pPr>
              <w:pStyle w:val="TableParagraph"/>
              <w:ind w:left="8"/>
              <w:jc w:val="center"/>
              <w:rPr>
                <w:noProof/>
                <w:sz w:val="20"/>
                <w:szCs w:val="20"/>
              </w:rPr>
            </w:pPr>
            <w:r w:rsidRPr="00D71008">
              <w:rPr>
                <w:noProof/>
                <w:sz w:val="20"/>
                <w:szCs w:val="20"/>
              </w:rPr>
              <w:t>13%</w:t>
            </w:r>
          </w:p>
        </w:tc>
      </w:tr>
      <w:tr w:rsidR="00900DFD" w:rsidRPr="00D71008" w14:paraId="72D5D3FC" w14:textId="77777777" w:rsidTr="00F0597D">
        <w:trPr>
          <w:trHeight w:val="311"/>
        </w:trPr>
        <w:tc>
          <w:tcPr>
            <w:tcW w:w="2107" w:type="pct"/>
          </w:tcPr>
          <w:p w14:paraId="46943A33" w14:textId="77777777" w:rsidR="00BAA9A3" w:rsidRPr="00D71008" w:rsidRDefault="00BAA9A3" w:rsidP="00CC11D6">
            <w:pPr>
              <w:pStyle w:val="TableParagraph"/>
              <w:ind w:left="107"/>
              <w:rPr>
                <w:noProof/>
                <w:sz w:val="20"/>
                <w:szCs w:val="20"/>
              </w:rPr>
            </w:pPr>
            <w:r w:rsidRPr="00D71008">
              <w:rPr>
                <w:noProof/>
                <w:sz w:val="20"/>
                <w:szCs w:val="20"/>
              </w:rPr>
              <w:t>France</w:t>
            </w:r>
          </w:p>
        </w:tc>
        <w:tc>
          <w:tcPr>
            <w:tcW w:w="938" w:type="pct"/>
          </w:tcPr>
          <w:p w14:paraId="6CD2668B" w14:textId="77777777" w:rsidR="00BAA9A3" w:rsidRPr="00D71008" w:rsidRDefault="00BAA9A3" w:rsidP="00CC11D6">
            <w:pPr>
              <w:pStyle w:val="TableParagraph"/>
              <w:ind w:left="8"/>
              <w:jc w:val="center"/>
              <w:rPr>
                <w:noProof/>
                <w:sz w:val="20"/>
                <w:szCs w:val="20"/>
              </w:rPr>
            </w:pPr>
            <w:r w:rsidRPr="00D71008">
              <w:rPr>
                <w:noProof/>
                <w:sz w:val="20"/>
                <w:szCs w:val="20"/>
              </w:rPr>
              <w:t>2</w:t>
            </w:r>
          </w:p>
        </w:tc>
        <w:tc>
          <w:tcPr>
            <w:tcW w:w="1955" w:type="pct"/>
          </w:tcPr>
          <w:p w14:paraId="4A31B1E1" w14:textId="77777777" w:rsidR="00BAA9A3" w:rsidRPr="00D71008" w:rsidRDefault="00BAA9A3" w:rsidP="00CC11D6">
            <w:pPr>
              <w:pStyle w:val="TableParagraph"/>
              <w:ind w:left="8"/>
              <w:jc w:val="center"/>
              <w:rPr>
                <w:noProof/>
                <w:sz w:val="20"/>
                <w:szCs w:val="20"/>
              </w:rPr>
            </w:pPr>
            <w:r w:rsidRPr="00D71008">
              <w:rPr>
                <w:noProof/>
                <w:sz w:val="20"/>
                <w:szCs w:val="20"/>
              </w:rPr>
              <w:t>9%</w:t>
            </w:r>
          </w:p>
        </w:tc>
      </w:tr>
      <w:tr w:rsidR="00900DFD" w:rsidRPr="00D71008" w14:paraId="29933CF7" w14:textId="77777777" w:rsidTr="00F0597D">
        <w:trPr>
          <w:trHeight w:val="311"/>
        </w:trPr>
        <w:tc>
          <w:tcPr>
            <w:tcW w:w="2107" w:type="pct"/>
          </w:tcPr>
          <w:p w14:paraId="5E765860" w14:textId="77777777" w:rsidR="00BAA9A3" w:rsidRPr="00D71008" w:rsidRDefault="00BAA9A3" w:rsidP="00CC11D6">
            <w:pPr>
              <w:pStyle w:val="TableParagraph"/>
              <w:ind w:left="107"/>
              <w:rPr>
                <w:noProof/>
                <w:sz w:val="20"/>
                <w:szCs w:val="20"/>
              </w:rPr>
            </w:pPr>
            <w:r w:rsidRPr="00D71008">
              <w:rPr>
                <w:noProof/>
                <w:sz w:val="20"/>
                <w:szCs w:val="20"/>
              </w:rPr>
              <w:t>Spain</w:t>
            </w:r>
          </w:p>
        </w:tc>
        <w:tc>
          <w:tcPr>
            <w:tcW w:w="938" w:type="pct"/>
          </w:tcPr>
          <w:p w14:paraId="56CDB5DF" w14:textId="77777777" w:rsidR="00BAA9A3" w:rsidRPr="00D71008" w:rsidRDefault="00BAA9A3" w:rsidP="00CC11D6">
            <w:pPr>
              <w:pStyle w:val="TableParagraph"/>
              <w:ind w:left="8"/>
              <w:jc w:val="center"/>
              <w:rPr>
                <w:noProof/>
                <w:sz w:val="20"/>
                <w:szCs w:val="20"/>
              </w:rPr>
            </w:pPr>
            <w:r w:rsidRPr="00D71008">
              <w:rPr>
                <w:noProof/>
                <w:sz w:val="20"/>
                <w:szCs w:val="20"/>
              </w:rPr>
              <w:t>2</w:t>
            </w:r>
          </w:p>
        </w:tc>
        <w:tc>
          <w:tcPr>
            <w:tcW w:w="1955" w:type="pct"/>
          </w:tcPr>
          <w:p w14:paraId="7DA131E0" w14:textId="77777777" w:rsidR="00BAA9A3" w:rsidRPr="00D71008" w:rsidRDefault="00BAA9A3" w:rsidP="00CC11D6">
            <w:pPr>
              <w:pStyle w:val="TableParagraph"/>
              <w:ind w:left="8"/>
              <w:jc w:val="center"/>
              <w:rPr>
                <w:noProof/>
                <w:sz w:val="20"/>
                <w:szCs w:val="20"/>
              </w:rPr>
            </w:pPr>
            <w:r w:rsidRPr="00D71008">
              <w:rPr>
                <w:noProof/>
                <w:sz w:val="20"/>
                <w:szCs w:val="20"/>
              </w:rPr>
              <w:t>9%</w:t>
            </w:r>
          </w:p>
        </w:tc>
      </w:tr>
      <w:tr w:rsidR="00900DFD" w:rsidRPr="00D71008" w14:paraId="4B140295" w14:textId="77777777" w:rsidTr="00F0597D">
        <w:trPr>
          <w:trHeight w:val="311"/>
        </w:trPr>
        <w:tc>
          <w:tcPr>
            <w:tcW w:w="2107" w:type="pct"/>
          </w:tcPr>
          <w:p w14:paraId="34F5093F" w14:textId="77777777" w:rsidR="00BAA9A3" w:rsidRPr="00D71008" w:rsidRDefault="00BAA9A3" w:rsidP="00CC11D6">
            <w:pPr>
              <w:pStyle w:val="TableParagraph"/>
              <w:ind w:left="107"/>
              <w:rPr>
                <w:noProof/>
                <w:sz w:val="20"/>
                <w:szCs w:val="20"/>
              </w:rPr>
            </w:pPr>
            <w:r w:rsidRPr="00D71008">
              <w:rPr>
                <w:noProof/>
                <w:sz w:val="20"/>
                <w:szCs w:val="20"/>
              </w:rPr>
              <w:t>Netherlands</w:t>
            </w:r>
          </w:p>
        </w:tc>
        <w:tc>
          <w:tcPr>
            <w:tcW w:w="938" w:type="pct"/>
          </w:tcPr>
          <w:p w14:paraId="1E17B488" w14:textId="77777777" w:rsidR="00BAA9A3" w:rsidRPr="00D71008" w:rsidRDefault="00BAA9A3" w:rsidP="00CC11D6">
            <w:pPr>
              <w:pStyle w:val="TableParagraph"/>
              <w:ind w:left="8"/>
              <w:jc w:val="center"/>
              <w:rPr>
                <w:noProof/>
                <w:sz w:val="20"/>
                <w:szCs w:val="20"/>
              </w:rPr>
            </w:pPr>
            <w:r w:rsidRPr="00D71008">
              <w:rPr>
                <w:noProof/>
                <w:sz w:val="20"/>
                <w:szCs w:val="20"/>
              </w:rPr>
              <w:t>2</w:t>
            </w:r>
          </w:p>
        </w:tc>
        <w:tc>
          <w:tcPr>
            <w:tcW w:w="1955" w:type="pct"/>
          </w:tcPr>
          <w:p w14:paraId="10331360" w14:textId="77777777" w:rsidR="00BAA9A3" w:rsidRPr="00D71008" w:rsidRDefault="00BAA9A3" w:rsidP="00CC11D6">
            <w:pPr>
              <w:pStyle w:val="TableParagraph"/>
              <w:ind w:left="8"/>
              <w:jc w:val="center"/>
              <w:rPr>
                <w:noProof/>
                <w:sz w:val="20"/>
                <w:szCs w:val="20"/>
              </w:rPr>
            </w:pPr>
            <w:r w:rsidRPr="00D71008">
              <w:rPr>
                <w:noProof/>
                <w:sz w:val="20"/>
                <w:szCs w:val="20"/>
              </w:rPr>
              <w:t>9%</w:t>
            </w:r>
          </w:p>
        </w:tc>
      </w:tr>
      <w:tr w:rsidR="00900DFD" w:rsidRPr="00D71008" w14:paraId="230D33CD" w14:textId="77777777" w:rsidTr="00F0597D">
        <w:trPr>
          <w:trHeight w:val="311"/>
        </w:trPr>
        <w:tc>
          <w:tcPr>
            <w:tcW w:w="2107" w:type="pct"/>
          </w:tcPr>
          <w:p w14:paraId="36CCD1AB" w14:textId="77777777" w:rsidR="00BAA9A3" w:rsidRPr="00D71008" w:rsidRDefault="00BAA9A3" w:rsidP="00CC11D6">
            <w:pPr>
              <w:pStyle w:val="TableParagraph"/>
              <w:ind w:left="107"/>
              <w:rPr>
                <w:noProof/>
                <w:sz w:val="20"/>
                <w:szCs w:val="20"/>
              </w:rPr>
            </w:pPr>
            <w:r w:rsidRPr="00D71008">
              <w:rPr>
                <w:noProof/>
                <w:sz w:val="20"/>
                <w:szCs w:val="20"/>
              </w:rPr>
              <w:t>Latvia</w:t>
            </w:r>
          </w:p>
        </w:tc>
        <w:tc>
          <w:tcPr>
            <w:tcW w:w="938" w:type="pct"/>
          </w:tcPr>
          <w:p w14:paraId="166A6367" w14:textId="77777777" w:rsidR="00BAA9A3" w:rsidRPr="00D71008" w:rsidRDefault="00BAA9A3" w:rsidP="00CC11D6">
            <w:pPr>
              <w:pStyle w:val="TableParagraph"/>
              <w:ind w:left="8"/>
              <w:jc w:val="center"/>
              <w:rPr>
                <w:noProof/>
                <w:sz w:val="20"/>
                <w:szCs w:val="20"/>
              </w:rPr>
            </w:pPr>
            <w:r w:rsidRPr="00D71008">
              <w:rPr>
                <w:noProof/>
                <w:sz w:val="20"/>
                <w:szCs w:val="20"/>
              </w:rPr>
              <w:t>2</w:t>
            </w:r>
          </w:p>
        </w:tc>
        <w:tc>
          <w:tcPr>
            <w:tcW w:w="1955" w:type="pct"/>
          </w:tcPr>
          <w:p w14:paraId="48162331" w14:textId="77777777" w:rsidR="00BAA9A3" w:rsidRPr="00D71008" w:rsidRDefault="00BAA9A3" w:rsidP="00CC11D6">
            <w:pPr>
              <w:pStyle w:val="TableParagraph"/>
              <w:ind w:left="8"/>
              <w:jc w:val="center"/>
              <w:rPr>
                <w:noProof/>
                <w:sz w:val="20"/>
                <w:szCs w:val="20"/>
              </w:rPr>
            </w:pPr>
            <w:r w:rsidRPr="00D71008">
              <w:rPr>
                <w:noProof/>
                <w:sz w:val="20"/>
                <w:szCs w:val="20"/>
              </w:rPr>
              <w:t>9%</w:t>
            </w:r>
          </w:p>
        </w:tc>
      </w:tr>
      <w:tr w:rsidR="00900DFD" w:rsidRPr="00D71008" w14:paraId="75C2158F" w14:textId="77777777" w:rsidTr="00F0597D">
        <w:trPr>
          <w:trHeight w:val="311"/>
        </w:trPr>
        <w:tc>
          <w:tcPr>
            <w:tcW w:w="2107" w:type="pct"/>
          </w:tcPr>
          <w:p w14:paraId="745AF143" w14:textId="77777777" w:rsidR="00BAA9A3" w:rsidRPr="00D71008" w:rsidRDefault="00BAA9A3" w:rsidP="00CC11D6">
            <w:pPr>
              <w:pStyle w:val="TableParagraph"/>
              <w:ind w:left="107"/>
              <w:rPr>
                <w:noProof/>
                <w:sz w:val="20"/>
                <w:szCs w:val="20"/>
              </w:rPr>
            </w:pPr>
            <w:r w:rsidRPr="00D71008">
              <w:rPr>
                <w:noProof/>
                <w:sz w:val="20"/>
                <w:szCs w:val="20"/>
              </w:rPr>
              <w:t>United Kingdom</w:t>
            </w:r>
          </w:p>
        </w:tc>
        <w:tc>
          <w:tcPr>
            <w:tcW w:w="938" w:type="pct"/>
          </w:tcPr>
          <w:p w14:paraId="58A77D5F" w14:textId="77777777" w:rsidR="00BAA9A3" w:rsidRPr="00D71008" w:rsidRDefault="00BAA9A3" w:rsidP="00CC11D6">
            <w:pPr>
              <w:pStyle w:val="TableParagraph"/>
              <w:ind w:left="8"/>
              <w:jc w:val="center"/>
              <w:rPr>
                <w:noProof/>
                <w:sz w:val="20"/>
                <w:szCs w:val="20"/>
              </w:rPr>
            </w:pPr>
            <w:r w:rsidRPr="00D71008">
              <w:rPr>
                <w:noProof/>
                <w:sz w:val="20"/>
                <w:szCs w:val="20"/>
              </w:rPr>
              <w:t>2</w:t>
            </w:r>
          </w:p>
        </w:tc>
        <w:tc>
          <w:tcPr>
            <w:tcW w:w="1955" w:type="pct"/>
          </w:tcPr>
          <w:p w14:paraId="2CDCA591" w14:textId="77777777" w:rsidR="00BAA9A3" w:rsidRPr="00D71008" w:rsidRDefault="00BAA9A3" w:rsidP="00CC11D6">
            <w:pPr>
              <w:pStyle w:val="TableParagraph"/>
              <w:ind w:left="8"/>
              <w:jc w:val="center"/>
              <w:rPr>
                <w:noProof/>
                <w:sz w:val="20"/>
                <w:szCs w:val="20"/>
              </w:rPr>
            </w:pPr>
            <w:r w:rsidRPr="00D71008">
              <w:rPr>
                <w:noProof/>
                <w:sz w:val="20"/>
                <w:szCs w:val="20"/>
              </w:rPr>
              <w:t>9%</w:t>
            </w:r>
          </w:p>
        </w:tc>
      </w:tr>
      <w:tr w:rsidR="00900DFD" w:rsidRPr="00D71008" w14:paraId="5003E056" w14:textId="77777777" w:rsidTr="00F0597D">
        <w:trPr>
          <w:trHeight w:val="311"/>
        </w:trPr>
        <w:tc>
          <w:tcPr>
            <w:tcW w:w="2107" w:type="pct"/>
          </w:tcPr>
          <w:p w14:paraId="0991066A" w14:textId="77777777" w:rsidR="00BAA9A3" w:rsidRPr="00D71008" w:rsidRDefault="00BAA9A3" w:rsidP="00CC11D6">
            <w:pPr>
              <w:pStyle w:val="TableParagraph"/>
              <w:ind w:left="107"/>
              <w:rPr>
                <w:noProof/>
                <w:sz w:val="20"/>
                <w:szCs w:val="20"/>
              </w:rPr>
            </w:pPr>
            <w:r w:rsidRPr="00D71008">
              <w:rPr>
                <w:noProof/>
                <w:sz w:val="20"/>
                <w:szCs w:val="20"/>
              </w:rPr>
              <w:t>Finland</w:t>
            </w:r>
          </w:p>
        </w:tc>
        <w:tc>
          <w:tcPr>
            <w:tcW w:w="938" w:type="pct"/>
          </w:tcPr>
          <w:p w14:paraId="1BD285FD" w14:textId="77777777" w:rsidR="00BAA9A3" w:rsidRPr="00D71008" w:rsidRDefault="00BAA9A3" w:rsidP="00CC11D6">
            <w:pPr>
              <w:pStyle w:val="TableParagraph"/>
              <w:ind w:left="8"/>
              <w:jc w:val="center"/>
              <w:rPr>
                <w:noProof/>
                <w:sz w:val="20"/>
                <w:szCs w:val="20"/>
              </w:rPr>
            </w:pPr>
            <w:r w:rsidRPr="00D71008">
              <w:rPr>
                <w:noProof/>
                <w:sz w:val="20"/>
                <w:szCs w:val="20"/>
              </w:rPr>
              <w:t>1</w:t>
            </w:r>
          </w:p>
        </w:tc>
        <w:tc>
          <w:tcPr>
            <w:tcW w:w="1955" w:type="pct"/>
          </w:tcPr>
          <w:p w14:paraId="7983BFB3" w14:textId="77777777" w:rsidR="00BAA9A3" w:rsidRPr="00D71008" w:rsidRDefault="00BAA9A3" w:rsidP="00CC11D6">
            <w:pPr>
              <w:pStyle w:val="TableParagraph"/>
              <w:ind w:left="8"/>
              <w:jc w:val="center"/>
              <w:rPr>
                <w:noProof/>
                <w:sz w:val="20"/>
                <w:szCs w:val="20"/>
              </w:rPr>
            </w:pPr>
            <w:r w:rsidRPr="00D71008">
              <w:rPr>
                <w:noProof/>
                <w:sz w:val="20"/>
                <w:szCs w:val="20"/>
              </w:rPr>
              <w:t>4%</w:t>
            </w:r>
          </w:p>
        </w:tc>
      </w:tr>
      <w:tr w:rsidR="00900DFD" w:rsidRPr="00D71008" w14:paraId="43200AE1" w14:textId="77777777" w:rsidTr="00F0597D">
        <w:trPr>
          <w:trHeight w:val="311"/>
        </w:trPr>
        <w:tc>
          <w:tcPr>
            <w:tcW w:w="2107" w:type="pct"/>
          </w:tcPr>
          <w:p w14:paraId="1844DDD2" w14:textId="77777777" w:rsidR="00BAA9A3" w:rsidRPr="00D71008" w:rsidRDefault="00BAA9A3" w:rsidP="00CC11D6">
            <w:pPr>
              <w:pStyle w:val="TableParagraph"/>
              <w:ind w:left="107"/>
              <w:rPr>
                <w:noProof/>
                <w:sz w:val="20"/>
                <w:szCs w:val="20"/>
              </w:rPr>
            </w:pPr>
            <w:r w:rsidRPr="00D71008">
              <w:rPr>
                <w:noProof/>
                <w:sz w:val="20"/>
                <w:szCs w:val="20"/>
              </w:rPr>
              <w:t>Austria</w:t>
            </w:r>
          </w:p>
        </w:tc>
        <w:tc>
          <w:tcPr>
            <w:tcW w:w="938" w:type="pct"/>
          </w:tcPr>
          <w:p w14:paraId="145B648B" w14:textId="77777777" w:rsidR="00BAA9A3" w:rsidRPr="00D71008" w:rsidRDefault="00BAA9A3" w:rsidP="00CC11D6">
            <w:pPr>
              <w:pStyle w:val="TableParagraph"/>
              <w:ind w:left="8"/>
              <w:jc w:val="center"/>
              <w:rPr>
                <w:noProof/>
                <w:sz w:val="20"/>
                <w:szCs w:val="20"/>
              </w:rPr>
            </w:pPr>
            <w:r w:rsidRPr="00D71008">
              <w:rPr>
                <w:noProof/>
                <w:sz w:val="20"/>
                <w:szCs w:val="20"/>
              </w:rPr>
              <w:t>1</w:t>
            </w:r>
          </w:p>
        </w:tc>
        <w:tc>
          <w:tcPr>
            <w:tcW w:w="1955" w:type="pct"/>
          </w:tcPr>
          <w:p w14:paraId="49ECC4C2" w14:textId="77777777" w:rsidR="00BAA9A3" w:rsidRPr="00D71008" w:rsidRDefault="00BAA9A3" w:rsidP="00CC11D6">
            <w:pPr>
              <w:pStyle w:val="TableParagraph"/>
              <w:ind w:left="8"/>
              <w:jc w:val="center"/>
              <w:rPr>
                <w:noProof/>
                <w:sz w:val="20"/>
                <w:szCs w:val="20"/>
              </w:rPr>
            </w:pPr>
            <w:r w:rsidRPr="00D71008">
              <w:rPr>
                <w:noProof/>
                <w:sz w:val="20"/>
                <w:szCs w:val="20"/>
              </w:rPr>
              <w:t>4%</w:t>
            </w:r>
          </w:p>
        </w:tc>
      </w:tr>
      <w:tr w:rsidR="00900DFD" w:rsidRPr="00D71008" w14:paraId="485F68C2" w14:textId="77777777" w:rsidTr="00F0597D">
        <w:trPr>
          <w:trHeight w:val="311"/>
        </w:trPr>
        <w:tc>
          <w:tcPr>
            <w:tcW w:w="2107" w:type="pct"/>
          </w:tcPr>
          <w:p w14:paraId="40978F40" w14:textId="7823F03D" w:rsidR="00BAA9A3" w:rsidRPr="00D71008" w:rsidRDefault="466E5AE5" w:rsidP="00CC11D6">
            <w:pPr>
              <w:pStyle w:val="TableParagraph"/>
              <w:ind w:left="107"/>
              <w:rPr>
                <w:noProof/>
                <w:sz w:val="20"/>
                <w:szCs w:val="20"/>
              </w:rPr>
            </w:pPr>
            <w:r w:rsidRPr="00D71008">
              <w:rPr>
                <w:noProof/>
                <w:sz w:val="20"/>
                <w:szCs w:val="20"/>
              </w:rPr>
              <w:t>Lithuania</w:t>
            </w:r>
          </w:p>
        </w:tc>
        <w:tc>
          <w:tcPr>
            <w:tcW w:w="938" w:type="pct"/>
          </w:tcPr>
          <w:p w14:paraId="7704A256" w14:textId="77777777" w:rsidR="00BAA9A3" w:rsidRPr="00D71008" w:rsidRDefault="00BAA9A3" w:rsidP="00CC11D6">
            <w:pPr>
              <w:pStyle w:val="TableParagraph"/>
              <w:ind w:left="8"/>
              <w:jc w:val="center"/>
              <w:rPr>
                <w:noProof/>
                <w:sz w:val="20"/>
                <w:szCs w:val="20"/>
              </w:rPr>
            </w:pPr>
            <w:r w:rsidRPr="00D71008">
              <w:rPr>
                <w:noProof/>
                <w:sz w:val="20"/>
                <w:szCs w:val="20"/>
              </w:rPr>
              <w:t>1</w:t>
            </w:r>
          </w:p>
        </w:tc>
        <w:tc>
          <w:tcPr>
            <w:tcW w:w="1955" w:type="pct"/>
          </w:tcPr>
          <w:p w14:paraId="035DB3F1" w14:textId="77777777" w:rsidR="00BAA9A3" w:rsidRPr="00D71008" w:rsidRDefault="00BAA9A3" w:rsidP="00CC11D6">
            <w:pPr>
              <w:pStyle w:val="TableParagraph"/>
              <w:ind w:left="8"/>
              <w:jc w:val="center"/>
              <w:rPr>
                <w:noProof/>
                <w:sz w:val="20"/>
                <w:szCs w:val="20"/>
              </w:rPr>
            </w:pPr>
            <w:r w:rsidRPr="00D71008">
              <w:rPr>
                <w:noProof/>
                <w:sz w:val="20"/>
                <w:szCs w:val="20"/>
              </w:rPr>
              <w:t>4%</w:t>
            </w:r>
          </w:p>
        </w:tc>
      </w:tr>
      <w:tr w:rsidR="00900DFD" w:rsidRPr="00D71008" w14:paraId="7E946427" w14:textId="77777777" w:rsidTr="00F0597D">
        <w:trPr>
          <w:trHeight w:val="311"/>
        </w:trPr>
        <w:tc>
          <w:tcPr>
            <w:tcW w:w="2107" w:type="pct"/>
          </w:tcPr>
          <w:p w14:paraId="0F18B8DF" w14:textId="77777777" w:rsidR="00BAA9A3" w:rsidRPr="00D71008" w:rsidRDefault="00BAA9A3" w:rsidP="00CC11D6">
            <w:pPr>
              <w:pStyle w:val="TableParagraph"/>
              <w:ind w:left="107"/>
              <w:rPr>
                <w:noProof/>
                <w:sz w:val="20"/>
                <w:szCs w:val="20"/>
              </w:rPr>
            </w:pPr>
            <w:r w:rsidRPr="00D71008">
              <w:rPr>
                <w:noProof/>
                <w:sz w:val="20"/>
                <w:szCs w:val="20"/>
              </w:rPr>
              <w:t>Malta</w:t>
            </w:r>
          </w:p>
        </w:tc>
        <w:tc>
          <w:tcPr>
            <w:tcW w:w="938" w:type="pct"/>
          </w:tcPr>
          <w:p w14:paraId="18BF73CD" w14:textId="77777777" w:rsidR="00BAA9A3" w:rsidRPr="00D71008" w:rsidRDefault="00BAA9A3" w:rsidP="00CC11D6">
            <w:pPr>
              <w:pStyle w:val="TableParagraph"/>
              <w:ind w:left="8"/>
              <w:jc w:val="center"/>
              <w:rPr>
                <w:noProof/>
                <w:sz w:val="20"/>
                <w:szCs w:val="20"/>
              </w:rPr>
            </w:pPr>
            <w:r w:rsidRPr="00D71008">
              <w:rPr>
                <w:noProof/>
                <w:sz w:val="20"/>
                <w:szCs w:val="20"/>
              </w:rPr>
              <w:t>1</w:t>
            </w:r>
          </w:p>
        </w:tc>
        <w:tc>
          <w:tcPr>
            <w:tcW w:w="1955" w:type="pct"/>
          </w:tcPr>
          <w:p w14:paraId="31EB3157" w14:textId="77777777" w:rsidR="00BAA9A3" w:rsidRPr="00D71008" w:rsidRDefault="00BAA9A3" w:rsidP="00CC11D6">
            <w:pPr>
              <w:pStyle w:val="TableParagraph"/>
              <w:ind w:left="8"/>
              <w:jc w:val="center"/>
              <w:rPr>
                <w:noProof/>
                <w:sz w:val="20"/>
                <w:szCs w:val="20"/>
              </w:rPr>
            </w:pPr>
            <w:r w:rsidRPr="00D71008">
              <w:rPr>
                <w:noProof/>
                <w:sz w:val="20"/>
                <w:szCs w:val="20"/>
              </w:rPr>
              <w:t>4%</w:t>
            </w:r>
          </w:p>
        </w:tc>
      </w:tr>
      <w:tr w:rsidR="00900DFD" w:rsidRPr="00D71008" w14:paraId="4DB15A62" w14:textId="77777777" w:rsidTr="00F0597D">
        <w:trPr>
          <w:trHeight w:val="311"/>
        </w:trPr>
        <w:tc>
          <w:tcPr>
            <w:tcW w:w="2107" w:type="pct"/>
          </w:tcPr>
          <w:p w14:paraId="115CD57C" w14:textId="77777777" w:rsidR="00BAA9A3" w:rsidRPr="00D71008" w:rsidRDefault="00BAA9A3" w:rsidP="00CC11D6">
            <w:pPr>
              <w:pStyle w:val="TableParagraph"/>
              <w:ind w:left="107"/>
              <w:rPr>
                <w:noProof/>
                <w:sz w:val="20"/>
                <w:szCs w:val="20"/>
              </w:rPr>
            </w:pPr>
            <w:r w:rsidRPr="00D71008">
              <w:rPr>
                <w:noProof/>
                <w:sz w:val="20"/>
                <w:szCs w:val="20"/>
              </w:rPr>
              <w:t>Czechia</w:t>
            </w:r>
          </w:p>
        </w:tc>
        <w:tc>
          <w:tcPr>
            <w:tcW w:w="938" w:type="pct"/>
          </w:tcPr>
          <w:p w14:paraId="2D9E4601" w14:textId="77777777" w:rsidR="00BAA9A3" w:rsidRPr="00D71008" w:rsidRDefault="00BAA9A3" w:rsidP="00CC11D6">
            <w:pPr>
              <w:pStyle w:val="TableParagraph"/>
              <w:ind w:left="8"/>
              <w:jc w:val="center"/>
              <w:rPr>
                <w:noProof/>
                <w:sz w:val="20"/>
                <w:szCs w:val="20"/>
              </w:rPr>
            </w:pPr>
            <w:r w:rsidRPr="00D71008">
              <w:rPr>
                <w:noProof/>
                <w:sz w:val="20"/>
                <w:szCs w:val="20"/>
              </w:rPr>
              <w:t>1</w:t>
            </w:r>
          </w:p>
        </w:tc>
        <w:tc>
          <w:tcPr>
            <w:tcW w:w="1955" w:type="pct"/>
          </w:tcPr>
          <w:p w14:paraId="39255172" w14:textId="77777777" w:rsidR="00BAA9A3" w:rsidRPr="00D71008" w:rsidRDefault="00BAA9A3" w:rsidP="00CC11D6">
            <w:pPr>
              <w:pStyle w:val="TableParagraph"/>
              <w:ind w:left="8"/>
              <w:jc w:val="center"/>
              <w:rPr>
                <w:noProof/>
                <w:sz w:val="20"/>
                <w:szCs w:val="20"/>
              </w:rPr>
            </w:pPr>
            <w:r w:rsidRPr="00D71008">
              <w:rPr>
                <w:noProof/>
                <w:sz w:val="20"/>
                <w:szCs w:val="20"/>
              </w:rPr>
              <w:t>4%</w:t>
            </w:r>
          </w:p>
        </w:tc>
      </w:tr>
    </w:tbl>
    <w:p w14:paraId="63233E75" w14:textId="59E2DC93" w:rsidR="00712390" w:rsidRPr="00F0597D" w:rsidRDefault="2471901C" w:rsidP="0078026E">
      <w:pPr>
        <w:pStyle w:val="BodyText"/>
        <w:tabs>
          <w:tab w:val="left" w:pos="7230"/>
        </w:tabs>
        <w:spacing w:before="240" w:after="240"/>
        <w:ind w:left="0" w:right="-26"/>
        <w:rPr>
          <w:noProof/>
          <w:spacing w:val="-8"/>
        </w:rPr>
      </w:pPr>
      <w:r w:rsidRPr="00F0597D">
        <w:rPr>
          <w:noProof/>
          <w:spacing w:val="-8"/>
        </w:rPr>
        <w:t>The</w:t>
      </w:r>
      <w:r w:rsidR="5A88364F" w:rsidRPr="00F0597D">
        <w:rPr>
          <w:noProof/>
          <w:spacing w:val="-8"/>
        </w:rPr>
        <w:t xml:space="preserve"> </w:t>
      </w:r>
      <w:r w:rsidR="00A356B2">
        <w:rPr>
          <w:noProof/>
          <w:spacing w:val="-8"/>
        </w:rPr>
        <w:t>RMB</w:t>
      </w:r>
      <w:r w:rsidR="00A356B2" w:rsidRPr="00F0597D">
        <w:rPr>
          <w:noProof/>
          <w:spacing w:val="-8"/>
        </w:rPr>
        <w:t xml:space="preserve"> </w:t>
      </w:r>
      <w:r w:rsidRPr="00F0597D">
        <w:rPr>
          <w:noProof/>
          <w:spacing w:val="-8"/>
        </w:rPr>
        <w:t>OPC</w:t>
      </w:r>
      <w:r w:rsidR="007316CF" w:rsidRPr="00F0597D">
        <w:rPr>
          <w:rStyle w:val="FootnoteReference"/>
          <w:noProof/>
          <w:spacing w:val="-8"/>
        </w:rPr>
        <w:footnoteReference w:id="227"/>
      </w:r>
      <w:r w:rsidR="008B2111" w:rsidRPr="00F0597D">
        <w:rPr>
          <w:noProof/>
          <w:spacing w:val="-8"/>
        </w:rPr>
        <w:t xml:space="preserve"> </w:t>
      </w:r>
      <w:r w:rsidR="003C4819" w:rsidRPr="00F0597D">
        <w:rPr>
          <w:noProof/>
          <w:spacing w:val="-8"/>
        </w:rPr>
        <w:t>received 336 responses, of which only 10 respondents were based outside the EU.</w:t>
      </w:r>
    </w:p>
    <w:p w14:paraId="43B8C893" w14:textId="7F989BD1" w:rsidR="00712390" w:rsidRPr="00D71008" w:rsidRDefault="2471901C" w:rsidP="007316CF">
      <w:pPr>
        <w:spacing w:before="75" w:after="8"/>
        <w:rPr>
          <w:i/>
          <w:noProof/>
        </w:rPr>
      </w:pPr>
      <w:r w:rsidRPr="00F0597D">
        <w:rPr>
          <w:i/>
          <w:noProof/>
          <w:sz w:val="22"/>
          <w:szCs w:val="22"/>
        </w:rPr>
        <w:t xml:space="preserve">Table </w:t>
      </w:r>
      <w:r w:rsidR="00F0597D" w:rsidRPr="00F0597D">
        <w:rPr>
          <w:i/>
          <w:noProof/>
          <w:sz w:val="22"/>
          <w:szCs w:val="22"/>
        </w:rPr>
        <w:fldChar w:fldCharType="begin"/>
      </w:r>
      <w:r w:rsidR="00F0597D" w:rsidRPr="00F0597D">
        <w:rPr>
          <w:i/>
          <w:noProof/>
          <w:sz w:val="22"/>
          <w:szCs w:val="22"/>
        </w:rPr>
        <w:instrText xml:space="preserve"> SEQ Table \* ARABIC </w:instrText>
      </w:r>
      <w:r w:rsidR="00F0597D" w:rsidRPr="00F0597D">
        <w:rPr>
          <w:i/>
          <w:noProof/>
          <w:sz w:val="22"/>
          <w:szCs w:val="22"/>
        </w:rPr>
        <w:fldChar w:fldCharType="separate"/>
      </w:r>
      <w:r w:rsidR="0055391F">
        <w:rPr>
          <w:i/>
          <w:noProof/>
          <w:sz w:val="22"/>
          <w:szCs w:val="22"/>
        </w:rPr>
        <w:t>36</w:t>
      </w:r>
      <w:r w:rsidR="00F0597D" w:rsidRPr="00F0597D">
        <w:rPr>
          <w:i/>
          <w:noProof/>
          <w:sz w:val="22"/>
          <w:szCs w:val="22"/>
        </w:rPr>
        <w:fldChar w:fldCharType="end"/>
      </w:r>
      <w:r w:rsidR="00F0597D" w:rsidRPr="00F0597D">
        <w:rPr>
          <w:i/>
          <w:noProof/>
          <w:sz w:val="22"/>
          <w:szCs w:val="22"/>
        </w:rPr>
        <w:t>:</w:t>
      </w:r>
      <w:r w:rsidRPr="00F0597D">
        <w:rPr>
          <w:i/>
          <w:noProof/>
          <w:sz w:val="22"/>
          <w:szCs w:val="22"/>
        </w:rPr>
        <w:t xml:space="preserve"> </w:t>
      </w:r>
      <w:r w:rsidRPr="00D71008">
        <w:rPr>
          <w:i/>
          <w:noProof/>
        </w:rPr>
        <w:t>Geographical</w:t>
      </w:r>
      <w:r w:rsidRPr="00D71008">
        <w:rPr>
          <w:i/>
          <w:noProof/>
          <w:spacing w:val="-3"/>
        </w:rPr>
        <w:t xml:space="preserve"> </w:t>
      </w:r>
      <w:r w:rsidRPr="00D71008">
        <w:rPr>
          <w:i/>
          <w:noProof/>
        </w:rPr>
        <w:t>distribution</w:t>
      </w:r>
      <w:r w:rsidRPr="00D71008">
        <w:rPr>
          <w:i/>
          <w:noProof/>
          <w:spacing w:val="-5"/>
        </w:rPr>
        <w:t xml:space="preserve"> </w:t>
      </w:r>
      <w:r w:rsidRPr="00D71008">
        <w:rPr>
          <w:i/>
          <w:noProof/>
        </w:rPr>
        <w:t>of</w:t>
      </w:r>
      <w:r w:rsidRPr="00D71008">
        <w:rPr>
          <w:i/>
          <w:noProof/>
          <w:spacing w:val="-3"/>
        </w:rPr>
        <w:t xml:space="preserve"> </w:t>
      </w:r>
      <w:r w:rsidRPr="00D71008">
        <w:rPr>
          <w:i/>
          <w:noProof/>
        </w:rPr>
        <w:t>responses</w:t>
      </w:r>
      <w:r w:rsidRPr="00D71008">
        <w:rPr>
          <w:i/>
          <w:noProof/>
          <w:spacing w:val="-6"/>
        </w:rPr>
        <w:t xml:space="preserve"> </w:t>
      </w:r>
      <w:r w:rsidRPr="00D71008">
        <w:rPr>
          <w:i/>
          <w:noProof/>
          <w:spacing w:val="-2"/>
        </w:rPr>
        <w:t>received</w:t>
      </w:r>
      <w:r w:rsidR="00074CD7">
        <w:rPr>
          <w:i/>
          <w:noProof/>
          <w:spacing w:val="-2"/>
        </w:rPr>
        <w:t xml:space="preserve"> to the OPC on </w:t>
      </w:r>
      <w:r w:rsidR="00A356B2">
        <w:rPr>
          <w:i/>
          <w:noProof/>
          <w:spacing w:val="-2"/>
        </w:rPr>
        <w:t>RMB</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03"/>
        <w:gridCol w:w="1598"/>
        <w:gridCol w:w="1600"/>
        <w:gridCol w:w="1604"/>
        <w:gridCol w:w="1600"/>
        <w:gridCol w:w="1598"/>
      </w:tblGrid>
      <w:tr w:rsidR="00712390" w:rsidRPr="00D71008" w14:paraId="2B5C17C4" w14:textId="77777777" w:rsidTr="00F0597D">
        <w:trPr>
          <w:trHeight w:val="507"/>
        </w:trPr>
        <w:tc>
          <w:tcPr>
            <w:tcW w:w="835" w:type="pct"/>
            <w:shd w:val="clear" w:color="auto" w:fill="006FC0"/>
          </w:tcPr>
          <w:p w14:paraId="22F37DA1" w14:textId="77777777" w:rsidR="00712390" w:rsidRPr="00D71008" w:rsidRDefault="2471901C" w:rsidP="00CC11D6">
            <w:pPr>
              <w:pStyle w:val="TableParagraph"/>
              <w:ind w:left="563" w:right="340" w:hanging="214"/>
              <w:rPr>
                <w:b/>
                <w:noProof/>
                <w:sz w:val="20"/>
                <w:szCs w:val="20"/>
              </w:rPr>
            </w:pPr>
            <w:r w:rsidRPr="00D71008">
              <w:rPr>
                <w:b/>
                <w:noProof/>
                <w:color w:val="FFFFFF"/>
                <w:sz w:val="20"/>
                <w:szCs w:val="20"/>
              </w:rPr>
              <w:t>Country</w:t>
            </w:r>
            <w:r w:rsidRPr="00D71008">
              <w:rPr>
                <w:b/>
                <w:noProof/>
                <w:color w:val="FFFFFF"/>
                <w:spacing w:val="-13"/>
                <w:sz w:val="20"/>
                <w:szCs w:val="20"/>
              </w:rPr>
              <w:t xml:space="preserve"> </w:t>
            </w:r>
            <w:r w:rsidRPr="00D71008">
              <w:rPr>
                <w:b/>
                <w:noProof/>
                <w:color w:val="FFFFFF"/>
                <w:sz w:val="20"/>
                <w:szCs w:val="20"/>
              </w:rPr>
              <w:t xml:space="preserve">of </w:t>
            </w:r>
            <w:r w:rsidRPr="00D71008">
              <w:rPr>
                <w:b/>
                <w:noProof/>
                <w:color w:val="FFFFFF"/>
                <w:spacing w:val="-2"/>
                <w:sz w:val="20"/>
                <w:szCs w:val="20"/>
              </w:rPr>
              <w:t>origin</w:t>
            </w:r>
          </w:p>
        </w:tc>
        <w:tc>
          <w:tcPr>
            <w:tcW w:w="832" w:type="pct"/>
            <w:shd w:val="clear" w:color="auto" w:fill="006FC0"/>
          </w:tcPr>
          <w:p w14:paraId="7227553D" w14:textId="77777777" w:rsidR="00712390" w:rsidRPr="00D71008" w:rsidRDefault="2471901C" w:rsidP="00CC11D6">
            <w:pPr>
              <w:pStyle w:val="TableParagraph"/>
              <w:ind w:left="405" w:right="338" w:hanging="53"/>
              <w:rPr>
                <w:b/>
                <w:noProof/>
                <w:sz w:val="20"/>
                <w:szCs w:val="20"/>
              </w:rPr>
            </w:pPr>
            <w:r w:rsidRPr="00D71008">
              <w:rPr>
                <w:b/>
                <w:noProof/>
                <w:color w:val="FFFFFF"/>
                <w:sz w:val="20"/>
                <w:szCs w:val="20"/>
              </w:rPr>
              <w:t>Number</w:t>
            </w:r>
            <w:r w:rsidRPr="00D71008">
              <w:rPr>
                <w:b/>
                <w:noProof/>
                <w:color w:val="FFFFFF"/>
                <w:spacing w:val="-13"/>
                <w:sz w:val="20"/>
                <w:szCs w:val="20"/>
              </w:rPr>
              <w:t xml:space="preserve"> </w:t>
            </w:r>
            <w:r w:rsidRPr="00D71008">
              <w:rPr>
                <w:b/>
                <w:noProof/>
                <w:color w:val="FFFFFF"/>
                <w:sz w:val="20"/>
                <w:szCs w:val="20"/>
              </w:rPr>
              <w:t xml:space="preserve">of </w:t>
            </w:r>
            <w:r w:rsidRPr="00D71008">
              <w:rPr>
                <w:b/>
                <w:noProof/>
                <w:color w:val="FFFFFF"/>
                <w:spacing w:val="-2"/>
                <w:sz w:val="20"/>
                <w:szCs w:val="20"/>
              </w:rPr>
              <w:t>responses</w:t>
            </w:r>
          </w:p>
        </w:tc>
        <w:tc>
          <w:tcPr>
            <w:tcW w:w="833" w:type="pct"/>
            <w:shd w:val="clear" w:color="auto" w:fill="006FC0"/>
          </w:tcPr>
          <w:p w14:paraId="69FDF780" w14:textId="77777777" w:rsidR="00712390" w:rsidRPr="00D71008" w:rsidRDefault="2471901C" w:rsidP="00BAA9A3">
            <w:pPr>
              <w:pStyle w:val="TableParagraph"/>
              <w:ind w:left="7" w:right="5"/>
              <w:jc w:val="center"/>
              <w:rPr>
                <w:b/>
                <w:noProof/>
                <w:sz w:val="20"/>
                <w:szCs w:val="20"/>
              </w:rPr>
            </w:pPr>
            <w:r w:rsidRPr="00D71008">
              <w:rPr>
                <w:b/>
                <w:noProof/>
                <w:color w:val="FFFFFF"/>
                <w:sz w:val="20"/>
                <w:szCs w:val="20"/>
              </w:rPr>
              <w:t>%</w:t>
            </w:r>
            <w:r w:rsidRPr="00D71008">
              <w:rPr>
                <w:b/>
                <w:noProof/>
                <w:color w:val="FFFFFF"/>
                <w:spacing w:val="-2"/>
                <w:sz w:val="20"/>
                <w:szCs w:val="20"/>
              </w:rPr>
              <w:t xml:space="preserve"> </w:t>
            </w:r>
            <w:r w:rsidRPr="00D71008">
              <w:rPr>
                <w:b/>
                <w:noProof/>
                <w:color w:val="FFFFFF"/>
                <w:sz w:val="20"/>
                <w:szCs w:val="20"/>
              </w:rPr>
              <w:t>of</w:t>
            </w:r>
            <w:r w:rsidRPr="00D71008">
              <w:rPr>
                <w:b/>
                <w:noProof/>
                <w:color w:val="FFFFFF"/>
                <w:spacing w:val="-1"/>
                <w:sz w:val="20"/>
                <w:szCs w:val="20"/>
              </w:rPr>
              <w:t xml:space="preserve"> </w:t>
            </w:r>
            <w:r w:rsidRPr="00D71008">
              <w:rPr>
                <w:b/>
                <w:noProof/>
                <w:color w:val="FFFFFF"/>
                <w:spacing w:val="-2"/>
                <w:sz w:val="20"/>
                <w:szCs w:val="20"/>
              </w:rPr>
              <w:t>responses</w:t>
            </w:r>
          </w:p>
        </w:tc>
        <w:tc>
          <w:tcPr>
            <w:tcW w:w="835" w:type="pct"/>
            <w:shd w:val="clear" w:color="auto" w:fill="006FC0"/>
          </w:tcPr>
          <w:p w14:paraId="4F0CCA88" w14:textId="77777777" w:rsidR="00712390" w:rsidRPr="00D71008" w:rsidRDefault="2471901C" w:rsidP="00CC11D6">
            <w:pPr>
              <w:pStyle w:val="TableParagraph"/>
              <w:ind w:left="563" w:right="339" w:hanging="216"/>
              <w:rPr>
                <w:b/>
                <w:noProof/>
                <w:sz w:val="20"/>
                <w:szCs w:val="20"/>
              </w:rPr>
            </w:pPr>
            <w:r w:rsidRPr="00D71008">
              <w:rPr>
                <w:b/>
                <w:noProof/>
                <w:color w:val="FFFFFF"/>
                <w:sz w:val="20"/>
                <w:szCs w:val="20"/>
              </w:rPr>
              <w:t>Country</w:t>
            </w:r>
            <w:r w:rsidRPr="00D71008">
              <w:rPr>
                <w:b/>
                <w:noProof/>
                <w:color w:val="FFFFFF"/>
                <w:spacing w:val="-13"/>
                <w:sz w:val="20"/>
                <w:szCs w:val="20"/>
              </w:rPr>
              <w:t xml:space="preserve"> </w:t>
            </w:r>
            <w:r w:rsidRPr="00D71008">
              <w:rPr>
                <w:b/>
                <w:noProof/>
                <w:color w:val="FFFFFF"/>
                <w:sz w:val="20"/>
                <w:szCs w:val="20"/>
              </w:rPr>
              <w:t xml:space="preserve">of </w:t>
            </w:r>
            <w:r w:rsidRPr="00D71008">
              <w:rPr>
                <w:b/>
                <w:noProof/>
                <w:color w:val="FFFFFF"/>
                <w:spacing w:val="-2"/>
                <w:sz w:val="20"/>
                <w:szCs w:val="20"/>
              </w:rPr>
              <w:t>origin</w:t>
            </w:r>
          </w:p>
        </w:tc>
        <w:tc>
          <w:tcPr>
            <w:tcW w:w="833" w:type="pct"/>
            <w:shd w:val="clear" w:color="auto" w:fill="006FC0"/>
          </w:tcPr>
          <w:p w14:paraId="38C2A5DD" w14:textId="77777777" w:rsidR="00712390" w:rsidRPr="00D71008" w:rsidRDefault="2471901C" w:rsidP="00CC11D6">
            <w:pPr>
              <w:pStyle w:val="TableParagraph"/>
              <w:ind w:left="405" w:right="340" w:hanging="53"/>
              <w:rPr>
                <w:b/>
                <w:noProof/>
                <w:sz w:val="20"/>
                <w:szCs w:val="20"/>
              </w:rPr>
            </w:pPr>
            <w:r w:rsidRPr="00D71008">
              <w:rPr>
                <w:b/>
                <w:noProof/>
                <w:color w:val="FFFFFF"/>
                <w:sz w:val="20"/>
                <w:szCs w:val="20"/>
              </w:rPr>
              <w:t>Number</w:t>
            </w:r>
            <w:r w:rsidRPr="00D71008">
              <w:rPr>
                <w:b/>
                <w:noProof/>
                <w:color w:val="FFFFFF"/>
                <w:spacing w:val="-13"/>
                <w:sz w:val="20"/>
                <w:szCs w:val="20"/>
              </w:rPr>
              <w:t xml:space="preserve"> </w:t>
            </w:r>
            <w:r w:rsidRPr="00D71008">
              <w:rPr>
                <w:b/>
                <w:noProof/>
                <w:color w:val="FFFFFF"/>
                <w:sz w:val="20"/>
                <w:szCs w:val="20"/>
              </w:rPr>
              <w:t xml:space="preserve">of </w:t>
            </w:r>
            <w:r w:rsidRPr="00D71008">
              <w:rPr>
                <w:b/>
                <w:noProof/>
                <w:color w:val="FFFFFF"/>
                <w:spacing w:val="-2"/>
                <w:sz w:val="20"/>
                <w:szCs w:val="20"/>
              </w:rPr>
              <w:t>responses</w:t>
            </w:r>
          </w:p>
        </w:tc>
        <w:tc>
          <w:tcPr>
            <w:tcW w:w="832" w:type="pct"/>
            <w:shd w:val="clear" w:color="auto" w:fill="006FC0"/>
          </w:tcPr>
          <w:p w14:paraId="1E61DCB0" w14:textId="77777777" w:rsidR="00712390" w:rsidRPr="00D71008" w:rsidRDefault="2471901C" w:rsidP="00BAA9A3">
            <w:pPr>
              <w:pStyle w:val="TableParagraph"/>
              <w:ind w:left="11" w:right="11"/>
              <w:jc w:val="center"/>
              <w:rPr>
                <w:b/>
                <w:noProof/>
                <w:sz w:val="20"/>
                <w:szCs w:val="20"/>
              </w:rPr>
            </w:pPr>
            <w:r w:rsidRPr="00D71008">
              <w:rPr>
                <w:b/>
                <w:noProof/>
                <w:color w:val="FFFFFF"/>
                <w:sz w:val="20"/>
                <w:szCs w:val="20"/>
              </w:rPr>
              <w:t>%</w:t>
            </w:r>
            <w:r w:rsidRPr="00D71008">
              <w:rPr>
                <w:b/>
                <w:noProof/>
                <w:color w:val="FFFFFF"/>
                <w:spacing w:val="-2"/>
                <w:sz w:val="20"/>
                <w:szCs w:val="20"/>
              </w:rPr>
              <w:t xml:space="preserve"> </w:t>
            </w:r>
            <w:r w:rsidRPr="00D71008">
              <w:rPr>
                <w:b/>
                <w:noProof/>
                <w:color w:val="FFFFFF"/>
                <w:sz w:val="20"/>
                <w:szCs w:val="20"/>
              </w:rPr>
              <w:t>of</w:t>
            </w:r>
            <w:r w:rsidRPr="00D71008">
              <w:rPr>
                <w:b/>
                <w:noProof/>
                <w:color w:val="FFFFFF"/>
                <w:spacing w:val="-1"/>
                <w:sz w:val="20"/>
                <w:szCs w:val="20"/>
              </w:rPr>
              <w:t xml:space="preserve"> </w:t>
            </w:r>
            <w:r w:rsidRPr="00D71008">
              <w:rPr>
                <w:b/>
                <w:noProof/>
                <w:color w:val="FFFFFF"/>
                <w:spacing w:val="-2"/>
                <w:sz w:val="20"/>
                <w:szCs w:val="20"/>
              </w:rPr>
              <w:t>responses</w:t>
            </w:r>
          </w:p>
        </w:tc>
      </w:tr>
      <w:tr w:rsidR="00712390" w:rsidRPr="00D71008" w14:paraId="4980AF63" w14:textId="77777777" w:rsidTr="00F0597D">
        <w:trPr>
          <w:trHeight w:val="253"/>
        </w:trPr>
        <w:tc>
          <w:tcPr>
            <w:tcW w:w="835" w:type="pct"/>
          </w:tcPr>
          <w:p w14:paraId="07088D27" w14:textId="77777777" w:rsidR="00712390" w:rsidRPr="00D71008" w:rsidRDefault="2471901C" w:rsidP="00CC11D6">
            <w:pPr>
              <w:pStyle w:val="TableParagraph"/>
              <w:ind w:left="107"/>
              <w:rPr>
                <w:noProof/>
                <w:sz w:val="20"/>
                <w:szCs w:val="20"/>
              </w:rPr>
            </w:pPr>
            <w:r w:rsidRPr="00D71008">
              <w:rPr>
                <w:noProof/>
                <w:spacing w:val="-2"/>
                <w:sz w:val="20"/>
                <w:szCs w:val="20"/>
              </w:rPr>
              <w:t>Germany</w:t>
            </w:r>
          </w:p>
        </w:tc>
        <w:tc>
          <w:tcPr>
            <w:tcW w:w="832" w:type="pct"/>
          </w:tcPr>
          <w:p w14:paraId="6E1BC790" w14:textId="77777777" w:rsidR="00712390" w:rsidRPr="00D71008" w:rsidRDefault="2471901C" w:rsidP="00CC11D6">
            <w:pPr>
              <w:pStyle w:val="TableParagraph"/>
              <w:ind w:left="11"/>
              <w:jc w:val="center"/>
              <w:rPr>
                <w:noProof/>
                <w:sz w:val="20"/>
                <w:szCs w:val="20"/>
              </w:rPr>
            </w:pPr>
            <w:r w:rsidRPr="00D71008">
              <w:rPr>
                <w:noProof/>
                <w:spacing w:val="-5"/>
                <w:sz w:val="20"/>
                <w:szCs w:val="20"/>
              </w:rPr>
              <w:t>133</w:t>
            </w:r>
          </w:p>
        </w:tc>
        <w:tc>
          <w:tcPr>
            <w:tcW w:w="833" w:type="pct"/>
          </w:tcPr>
          <w:p w14:paraId="3AC3DA92" w14:textId="77777777" w:rsidR="00712390" w:rsidRPr="00D71008" w:rsidRDefault="2471901C" w:rsidP="00CC11D6">
            <w:pPr>
              <w:pStyle w:val="TableParagraph"/>
              <w:ind w:left="7"/>
              <w:jc w:val="center"/>
              <w:rPr>
                <w:noProof/>
                <w:sz w:val="20"/>
                <w:szCs w:val="20"/>
              </w:rPr>
            </w:pPr>
            <w:r w:rsidRPr="00D71008">
              <w:rPr>
                <w:noProof/>
                <w:spacing w:val="-2"/>
                <w:sz w:val="20"/>
                <w:szCs w:val="20"/>
              </w:rPr>
              <w:t>39.6%</w:t>
            </w:r>
          </w:p>
        </w:tc>
        <w:tc>
          <w:tcPr>
            <w:tcW w:w="835" w:type="pct"/>
          </w:tcPr>
          <w:p w14:paraId="06A4E53D" w14:textId="77777777" w:rsidR="00712390" w:rsidRPr="00D71008" w:rsidRDefault="2471901C" w:rsidP="00CC11D6">
            <w:pPr>
              <w:pStyle w:val="TableParagraph"/>
              <w:ind w:left="105"/>
              <w:rPr>
                <w:noProof/>
                <w:sz w:val="20"/>
                <w:szCs w:val="20"/>
              </w:rPr>
            </w:pPr>
            <w:r w:rsidRPr="00D71008">
              <w:rPr>
                <w:noProof/>
                <w:spacing w:val="-2"/>
                <w:sz w:val="20"/>
                <w:szCs w:val="20"/>
              </w:rPr>
              <w:t>Romania</w:t>
            </w:r>
          </w:p>
        </w:tc>
        <w:tc>
          <w:tcPr>
            <w:tcW w:w="833" w:type="pct"/>
          </w:tcPr>
          <w:p w14:paraId="7EFB1299" w14:textId="77777777" w:rsidR="00712390" w:rsidRPr="00D71008" w:rsidRDefault="2471901C" w:rsidP="00CC11D6">
            <w:pPr>
              <w:pStyle w:val="TableParagraph"/>
              <w:ind w:left="7" w:right="4"/>
              <w:jc w:val="center"/>
              <w:rPr>
                <w:noProof/>
                <w:sz w:val="20"/>
                <w:szCs w:val="20"/>
              </w:rPr>
            </w:pPr>
            <w:r w:rsidRPr="00D71008">
              <w:rPr>
                <w:noProof/>
                <w:spacing w:val="-10"/>
                <w:sz w:val="20"/>
                <w:szCs w:val="20"/>
              </w:rPr>
              <w:t>2</w:t>
            </w:r>
          </w:p>
        </w:tc>
        <w:tc>
          <w:tcPr>
            <w:tcW w:w="832" w:type="pct"/>
          </w:tcPr>
          <w:p w14:paraId="010575B1" w14:textId="77777777" w:rsidR="00712390" w:rsidRPr="00D71008" w:rsidRDefault="2471901C" w:rsidP="00CC11D6">
            <w:pPr>
              <w:pStyle w:val="TableParagraph"/>
              <w:ind w:left="11" w:right="11"/>
              <w:jc w:val="center"/>
              <w:rPr>
                <w:noProof/>
                <w:sz w:val="20"/>
                <w:szCs w:val="20"/>
              </w:rPr>
            </w:pPr>
            <w:r w:rsidRPr="00D71008">
              <w:rPr>
                <w:noProof/>
                <w:spacing w:val="-4"/>
                <w:sz w:val="20"/>
                <w:szCs w:val="20"/>
              </w:rPr>
              <w:t>0.6%</w:t>
            </w:r>
          </w:p>
        </w:tc>
      </w:tr>
      <w:tr w:rsidR="00712390" w:rsidRPr="00D71008" w14:paraId="1172391B" w14:textId="77777777" w:rsidTr="00F0597D">
        <w:trPr>
          <w:trHeight w:val="253"/>
        </w:trPr>
        <w:tc>
          <w:tcPr>
            <w:tcW w:w="835" w:type="pct"/>
          </w:tcPr>
          <w:p w14:paraId="68D5499F" w14:textId="77777777" w:rsidR="00712390" w:rsidRPr="00D71008" w:rsidRDefault="2471901C" w:rsidP="00CC11D6">
            <w:pPr>
              <w:pStyle w:val="TableParagraph"/>
              <w:ind w:left="107"/>
              <w:rPr>
                <w:noProof/>
                <w:sz w:val="20"/>
                <w:szCs w:val="20"/>
              </w:rPr>
            </w:pPr>
            <w:r w:rsidRPr="00D71008">
              <w:rPr>
                <w:noProof/>
                <w:spacing w:val="-2"/>
                <w:sz w:val="20"/>
                <w:szCs w:val="20"/>
              </w:rPr>
              <w:t>Italy</w:t>
            </w:r>
          </w:p>
        </w:tc>
        <w:tc>
          <w:tcPr>
            <w:tcW w:w="832" w:type="pct"/>
          </w:tcPr>
          <w:p w14:paraId="59764A34" w14:textId="77777777" w:rsidR="00712390" w:rsidRPr="00D71008" w:rsidRDefault="2471901C" w:rsidP="00CC11D6">
            <w:pPr>
              <w:pStyle w:val="TableParagraph"/>
              <w:ind w:left="11"/>
              <w:jc w:val="center"/>
              <w:rPr>
                <w:noProof/>
                <w:sz w:val="20"/>
                <w:szCs w:val="20"/>
              </w:rPr>
            </w:pPr>
            <w:r w:rsidRPr="00D71008">
              <w:rPr>
                <w:noProof/>
                <w:spacing w:val="-5"/>
                <w:sz w:val="20"/>
                <w:szCs w:val="20"/>
              </w:rPr>
              <w:t>35</w:t>
            </w:r>
          </w:p>
        </w:tc>
        <w:tc>
          <w:tcPr>
            <w:tcW w:w="833" w:type="pct"/>
          </w:tcPr>
          <w:p w14:paraId="2A0986E2" w14:textId="77777777" w:rsidR="00712390" w:rsidRPr="00D71008" w:rsidRDefault="2471901C" w:rsidP="00CC11D6">
            <w:pPr>
              <w:pStyle w:val="TableParagraph"/>
              <w:ind w:left="7"/>
              <w:jc w:val="center"/>
              <w:rPr>
                <w:noProof/>
                <w:sz w:val="20"/>
                <w:szCs w:val="20"/>
              </w:rPr>
            </w:pPr>
            <w:r w:rsidRPr="00D71008">
              <w:rPr>
                <w:noProof/>
                <w:spacing w:val="-2"/>
                <w:sz w:val="20"/>
                <w:szCs w:val="20"/>
              </w:rPr>
              <w:t>10.4%</w:t>
            </w:r>
          </w:p>
        </w:tc>
        <w:tc>
          <w:tcPr>
            <w:tcW w:w="835" w:type="pct"/>
          </w:tcPr>
          <w:p w14:paraId="4A884559" w14:textId="77777777" w:rsidR="00712390" w:rsidRPr="00D71008" w:rsidRDefault="2471901C" w:rsidP="00CC11D6">
            <w:pPr>
              <w:pStyle w:val="TableParagraph"/>
              <w:ind w:left="105"/>
              <w:rPr>
                <w:noProof/>
                <w:sz w:val="20"/>
                <w:szCs w:val="20"/>
              </w:rPr>
            </w:pPr>
            <w:r w:rsidRPr="00D71008">
              <w:rPr>
                <w:noProof/>
                <w:spacing w:val="-2"/>
                <w:sz w:val="20"/>
                <w:szCs w:val="20"/>
              </w:rPr>
              <w:t>Slovakia</w:t>
            </w:r>
          </w:p>
        </w:tc>
        <w:tc>
          <w:tcPr>
            <w:tcW w:w="833" w:type="pct"/>
          </w:tcPr>
          <w:p w14:paraId="68D9387A" w14:textId="77777777" w:rsidR="00712390" w:rsidRPr="00D71008" w:rsidRDefault="2471901C" w:rsidP="00CC11D6">
            <w:pPr>
              <w:pStyle w:val="TableParagraph"/>
              <w:ind w:left="7" w:right="4"/>
              <w:jc w:val="center"/>
              <w:rPr>
                <w:noProof/>
                <w:sz w:val="20"/>
                <w:szCs w:val="20"/>
              </w:rPr>
            </w:pPr>
            <w:r w:rsidRPr="00D71008">
              <w:rPr>
                <w:noProof/>
                <w:spacing w:val="-10"/>
                <w:sz w:val="20"/>
                <w:szCs w:val="20"/>
              </w:rPr>
              <w:t>2</w:t>
            </w:r>
          </w:p>
        </w:tc>
        <w:tc>
          <w:tcPr>
            <w:tcW w:w="832" w:type="pct"/>
          </w:tcPr>
          <w:p w14:paraId="705895A8" w14:textId="77777777" w:rsidR="00712390" w:rsidRPr="00D71008" w:rsidRDefault="2471901C" w:rsidP="00CC11D6">
            <w:pPr>
              <w:pStyle w:val="TableParagraph"/>
              <w:ind w:left="11" w:right="11"/>
              <w:jc w:val="center"/>
              <w:rPr>
                <w:noProof/>
                <w:sz w:val="20"/>
                <w:szCs w:val="20"/>
              </w:rPr>
            </w:pPr>
            <w:r w:rsidRPr="00D71008">
              <w:rPr>
                <w:noProof/>
                <w:spacing w:val="-4"/>
                <w:sz w:val="20"/>
                <w:szCs w:val="20"/>
              </w:rPr>
              <w:t>0.6%</w:t>
            </w:r>
          </w:p>
        </w:tc>
      </w:tr>
      <w:tr w:rsidR="00712390" w:rsidRPr="00D71008" w14:paraId="1791B05F" w14:textId="77777777" w:rsidTr="00F0597D">
        <w:trPr>
          <w:trHeight w:val="253"/>
        </w:trPr>
        <w:tc>
          <w:tcPr>
            <w:tcW w:w="835" w:type="pct"/>
          </w:tcPr>
          <w:p w14:paraId="66058A03" w14:textId="77777777" w:rsidR="00712390" w:rsidRPr="00D71008" w:rsidRDefault="2471901C" w:rsidP="00CC11D6">
            <w:pPr>
              <w:pStyle w:val="TableParagraph"/>
              <w:ind w:left="107"/>
              <w:rPr>
                <w:noProof/>
                <w:sz w:val="20"/>
                <w:szCs w:val="20"/>
              </w:rPr>
            </w:pPr>
            <w:r w:rsidRPr="00D71008">
              <w:rPr>
                <w:noProof/>
                <w:spacing w:val="-2"/>
                <w:sz w:val="20"/>
                <w:szCs w:val="20"/>
              </w:rPr>
              <w:t>Belgium</w:t>
            </w:r>
          </w:p>
        </w:tc>
        <w:tc>
          <w:tcPr>
            <w:tcW w:w="832" w:type="pct"/>
          </w:tcPr>
          <w:p w14:paraId="7D8C80AF" w14:textId="77777777" w:rsidR="00712390" w:rsidRPr="00D71008" w:rsidRDefault="2471901C" w:rsidP="00CC11D6">
            <w:pPr>
              <w:pStyle w:val="TableParagraph"/>
              <w:ind w:left="11"/>
              <w:jc w:val="center"/>
              <w:rPr>
                <w:noProof/>
                <w:sz w:val="20"/>
                <w:szCs w:val="20"/>
              </w:rPr>
            </w:pPr>
            <w:r w:rsidRPr="00D71008">
              <w:rPr>
                <w:noProof/>
                <w:spacing w:val="-5"/>
                <w:sz w:val="20"/>
                <w:szCs w:val="20"/>
              </w:rPr>
              <w:t>30</w:t>
            </w:r>
          </w:p>
        </w:tc>
        <w:tc>
          <w:tcPr>
            <w:tcW w:w="833" w:type="pct"/>
          </w:tcPr>
          <w:p w14:paraId="1231B37C" w14:textId="77777777" w:rsidR="00712390" w:rsidRPr="00D71008" w:rsidRDefault="2471901C" w:rsidP="00CC11D6">
            <w:pPr>
              <w:pStyle w:val="TableParagraph"/>
              <w:ind w:left="7" w:right="4"/>
              <w:jc w:val="center"/>
              <w:rPr>
                <w:noProof/>
                <w:sz w:val="20"/>
                <w:szCs w:val="20"/>
              </w:rPr>
            </w:pPr>
            <w:r w:rsidRPr="00D71008">
              <w:rPr>
                <w:noProof/>
                <w:spacing w:val="-4"/>
                <w:sz w:val="20"/>
                <w:szCs w:val="20"/>
              </w:rPr>
              <w:t>8.9%</w:t>
            </w:r>
          </w:p>
        </w:tc>
        <w:tc>
          <w:tcPr>
            <w:tcW w:w="835" w:type="pct"/>
          </w:tcPr>
          <w:p w14:paraId="17BF63E8" w14:textId="77777777" w:rsidR="00712390" w:rsidRPr="00D71008" w:rsidRDefault="2471901C" w:rsidP="00CC11D6">
            <w:pPr>
              <w:pStyle w:val="TableParagraph"/>
              <w:ind w:left="105"/>
              <w:rPr>
                <w:noProof/>
                <w:sz w:val="20"/>
                <w:szCs w:val="20"/>
              </w:rPr>
            </w:pPr>
            <w:r w:rsidRPr="00D71008">
              <w:rPr>
                <w:noProof/>
                <w:sz w:val="20"/>
                <w:szCs w:val="20"/>
              </w:rPr>
              <w:t>United</w:t>
            </w:r>
            <w:r w:rsidRPr="00D71008">
              <w:rPr>
                <w:noProof/>
                <w:spacing w:val="-6"/>
                <w:sz w:val="20"/>
                <w:szCs w:val="20"/>
              </w:rPr>
              <w:t xml:space="preserve"> </w:t>
            </w:r>
            <w:r w:rsidRPr="00D71008">
              <w:rPr>
                <w:noProof/>
                <w:spacing w:val="-2"/>
                <w:sz w:val="20"/>
                <w:szCs w:val="20"/>
              </w:rPr>
              <w:t>States</w:t>
            </w:r>
          </w:p>
        </w:tc>
        <w:tc>
          <w:tcPr>
            <w:tcW w:w="833" w:type="pct"/>
          </w:tcPr>
          <w:p w14:paraId="2468762D" w14:textId="77777777" w:rsidR="00712390" w:rsidRPr="00D71008" w:rsidRDefault="2471901C" w:rsidP="00CC11D6">
            <w:pPr>
              <w:pStyle w:val="TableParagraph"/>
              <w:ind w:left="7" w:right="4"/>
              <w:jc w:val="center"/>
              <w:rPr>
                <w:noProof/>
                <w:sz w:val="20"/>
                <w:szCs w:val="20"/>
              </w:rPr>
            </w:pPr>
            <w:r w:rsidRPr="00D71008">
              <w:rPr>
                <w:noProof/>
                <w:spacing w:val="-10"/>
                <w:sz w:val="20"/>
                <w:szCs w:val="20"/>
              </w:rPr>
              <w:t>2</w:t>
            </w:r>
          </w:p>
        </w:tc>
        <w:tc>
          <w:tcPr>
            <w:tcW w:w="832" w:type="pct"/>
          </w:tcPr>
          <w:p w14:paraId="568A6D58" w14:textId="77777777" w:rsidR="00712390" w:rsidRPr="00D71008" w:rsidRDefault="2471901C" w:rsidP="00CC11D6">
            <w:pPr>
              <w:pStyle w:val="TableParagraph"/>
              <w:ind w:left="11" w:right="11"/>
              <w:jc w:val="center"/>
              <w:rPr>
                <w:noProof/>
                <w:sz w:val="20"/>
                <w:szCs w:val="20"/>
              </w:rPr>
            </w:pPr>
            <w:r w:rsidRPr="00D71008">
              <w:rPr>
                <w:noProof/>
                <w:spacing w:val="-4"/>
                <w:sz w:val="20"/>
                <w:szCs w:val="20"/>
              </w:rPr>
              <w:t>0.6%</w:t>
            </w:r>
          </w:p>
        </w:tc>
      </w:tr>
      <w:tr w:rsidR="00712390" w:rsidRPr="00D71008" w14:paraId="5AB5AC77" w14:textId="77777777" w:rsidTr="00F0597D">
        <w:trPr>
          <w:trHeight w:val="253"/>
        </w:trPr>
        <w:tc>
          <w:tcPr>
            <w:tcW w:w="835" w:type="pct"/>
          </w:tcPr>
          <w:p w14:paraId="4B27F976" w14:textId="77777777" w:rsidR="00712390" w:rsidRPr="00D71008" w:rsidRDefault="2471901C" w:rsidP="00CC11D6">
            <w:pPr>
              <w:pStyle w:val="TableParagraph"/>
              <w:ind w:left="107"/>
              <w:rPr>
                <w:noProof/>
                <w:sz w:val="20"/>
                <w:szCs w:val="20"/>
              </w:rPr>
            </w:pPr>
            <w:r w:rsidRPr="00D71008">
              <w:rPr>
                <w:noProof/>
                <w:spacing w:val="-2"/>
                <w:sz w:val="20"/>
                <w:szCs w:val="20"/>
              </w:rPr>
              <w:t>Austria</w:t>
            </w:r>
          </w:p>
        </w:tc>
        <w:tc>
          <w:tcPr>
            <w:tcW w:w="832" w:type="pct"/>
          </w:tcPr>
          <w:p w14:paraId="579A129C" w14:textId="77777777" w:rsidR="00712390" w:rsidRPr="00D71008" w:rsidRDefault="2471901C" w:rsidP="00CC11D6">
            <w:pPr>
              <w:pStyle w:val="TableParagraph"/>
              <w:ind w:left="11"/>
              <w:jc w:val="center"/>
              <w:rPr>
                <w:noProof/>
                <w:sz w:val="20"/>
                <w:szCs w:val="20"/>
              </w:rPr>
            </w:pPr>
            <w:r w:rsidRPr="00D71008">
              <w:rPr>
                <w:noProof/>
                <w:spacing w:val="-5"/>
                <w:sz w:val="20"/>
                <w:szCs w:val="20"/>
              </w:rPr>
              <w:t>23</w:t>
            </w:r>
          </w:p>
        </w:tc>
        <w:tc>
          <w:tcPr>
            <w:tcW w:w="833" w:type="pct"/>
          </w:tcPr>
          <w:p w14:paraId="4CC8D658" w14:textId="77777777" w:rsidR="00712390" w:rsidRPr="00D71008" w:rsidRDefault="2471901C" w:rsidP="00CC11D6">
            <w:pPr>
              <w:pStyle w:val="TableParagraph"/>
              <w:ind w:left="7" w:right="4"/>
              <w:jc w:val="center"/>
              <w:rPr>
                <w:noProof/>
                <w:sz w:val="20"/>
                <w:szCs w:val="20"/>
              </w:rPr>
            </w:pPr>
            <w:r w:rsidRPr="00D71008">
              <w:rPr>
                <w:noProof/>
                <w:spacing w:val="-4"/>
                <w:sz w:val="20"/>
                <w:szCs w:val="20"/>
              </w:rPr>
              <w:t>6.8%</w:t>
            </w:r>
          </w:p>
        </w:tc>
        <w:tc>
          <w:tcPr>
            <w:tcW w:w="835" w:type="pct"/>
          </w:tcPr>
          <w:p w14:paraId="4FD3C87B" w14:textId="77777777" w:rsidR="00712390" w:rsidRPr="00D71008" w:rsidRDefault="2471901C" w:rsidP="00CC11D6">
            <w:pPr>
              <w:pStyle w:val="TableParagraph"/>
              <w:ind w:left="105"/>
              <w:rPr>
                <w:noProof/>
                <w:sz w:val="20"/>
                <w:szCs w:val="20"/>
              </w:rPr>
            </w:pPr>
            <w:r w:rsidRPr="00D71008">
              <w:rPr>
                <w:noProof/>
                <w:spacing w:val="-2"/>
                <w:sz w:val="20"/>
                <w:szCs w:val="20"/>
              </w:rPr>
              <w:t>Australia</w:t>
            </w:r>
          </w:p>
        </w:tc>
        <w:tc>
          <w:tcPr>
            <w:tcW w:w="833" w:type="pct"/>
          </w:tcPr>
          <w:p w14:paraId="0ABF00B6" w14:textId="77777777" w:rsidR="00712390" w:rsidRPr="00D71008" w:rsidRDefault="2471901C" w:rsidP="00CC11D6">
            <w:pPr>
              <w:pStyle w:val="TableParagraph"/>
              <w:ind w:left="7" w:right="4"/>
              <w:jc w:val="center"/>
              <w:rPr>
                <w:noProof/>
                <w:sz w:val="20"/>
                <w:szCs w:val="20"/>
              </w:rPr>
            </w:pPr>
            <w:r w:rsidRPr="00D71008">
              <w:rPr>
                <w:noProof/>
                <w:spacing w:val="-10"/>
                <w:sz w:val="20"/>
                <w:szCs w:val="20"/>
              </w:rPr>
              <w:t>1</w:t>
            </w:r>
          </w:p>
        </w:tc>
        <w:tc>
          <w:tcPr>
            <w:tcW w:w="832" w:type="pct"/>
          </w:tcPr>
          <w:p w14:paraId="5C8AFA6A" w14:textId="77777777" w:rsidR="00712390" w:rsidRPr="00D71008" w:rsidRDefault="2471901C" w:rsidP="00CC11D6">
            <w:pPr>
              <w:pStyle w:val="TableParagraph"/>
              <w:ind w:left="11" w:right="11"/>
              <w:jc w:val="center"/>
              <w:rPr>
                <w:noProof/>
                <w:sz w:val="20"/>
                <w:szCs w:val="20"/>
              </w:rPr>
            </w:pPr>
            <w:r w:rsidRPr="00D71008">
              <w:rPr>
                <w:noProof/>
                <w:spacing w:val="-4"/>
                <w:sz w:val="20"/>
                <w:szCs w:val="20"/>
              </w:rPr>
              <w:t>0.3%</w:t>
            </w:r>
          </w:p>
        </w:tc>
      </w:tr>
      <w:tr w:rsidR="00712390" w:rsidRPr="00D71008" w14:paraId="1DDFDCCC" w14:textId="77777777" w:rsidTr="00F0597D">
        <w:trPr>
          <w:trHeight w:val="253"/>
        </w:trPr>
        <w:tc>
          <w:tcPr>
            <w:tcW w:w="835" w:type="pct"/>
          </w:tcPr>
          <w:p w14:paraId="06A64A05" w14:textId="77777777" w:rsidR="00712390" w:rsidRPr="00D71008" w:rsidRDefault="2471901C" w:rsidP="00CC11D6">
            <w:pPr>
              <w:pStyle w:val="TableParagraph"/>
              <w:ind w:left="107"/>
              <w:rPr>
                <w:noProof/>
                <w:sz w:val="20"/>
                <w:szCs w:val="20"/>
              </w:rPr>
            </w:pPr>
            <w:r w:rsidRPr="00D71008">
              <w:rPr>
                <w:noProof/>
                <w:spacing w:val="-2"/>
                <w:sz w:val="20"/>
                <w:szCs w:val="20"/>
              </w:rPr>
              <w:t>France</w:t>
            </w:r>
          </w:p>
        </w:tc>
        <w:tc>
          <w:tcPr>
            <w:tcW w:w="832" w:type="pct"/>
          </w:tcPr>
          <w:p w14:paraId="34724DCD" w14:textId="77777777" w:rsidR="00712390" w:rsidRPr="00D71008" w:rsidRDefault="2471901C" w:rsidP="00CC11D6">
            <w:pPr>
              <w:pStyle w:val="TableParagraph"/>
              <w:ind w:left="11"/>
              <w:jc w:val="center"/>
              <w:rPr>
                <w:noProof/>
                <w:sz w:val="20"/>
                <w:szCs w:val="20"/>
              </w:rPr>
            </w:pPr>
            <w:r w:rsidRPr="00D71008">
              <w:rPr>
                <w:noProof/>
                <w:spacing w:val="-5"/>
                <w:sz w:val="20"/>
                <w:szCs w:val="20"/>
              </w:rPr>
              <w:t>22</w:t>
            </w:r>
          </w:p>
        </w:tc>
        <w:tc>
          <w:tcPr>
            <w:tcW w:w="833" w:type="pct"/>
          </w:tcPr>
          <w:p w14:paraId="201F7CDA" w14:textId="77777777" w:rsidR="00712390" w:rsidRPr="00D71008" w:rsidRDefault="2471901C" w:rsidP="00CC11D6">
            <w:pPr>
              <w:pStyle w:val="TableParagraph"/>
              <w:ind w:left="7" w:right="4"/>
              <w:jc w:val="center"/>
              <w:rPr>
                <w:noProof/>
                <w:sz w:val="20"/>
                <w:szCs w:val="20"/>
              </w:rPr>
            </w:pPr>
            <w:r w:rsidRPr="00D71008">
              <w:rPr>
                <w:noProof/>
                <w:spacing w:val="-4"/>
                <w:sz w:val="20"/>
                <w:szCs w:val="20"/>
              </w:rPr>
              <w:t>6.5%</w:t>
            </w:r>
          </w:p>
        </w:tc>
        <w:tc>
          <w:tcPr>
            <w:tcW w:w="835" w:type="pct"/>
          </w:tcPr>
          <w:p w14:paraId="730586B1" w14:textId="77777777" w:rsidR="00712390" w:rsidRPr="00D71008" w:rsidRDefault="2471901C" w:rsidP="00CC11D6">
            <w:pPr>
              <w:pStyle w:val="TableParagraph"/>
              <w:ind w:left="105"/>
              <w:rPr>
                <w:noProof/>
                <w:sz w:val="20"/>
                <w:szCs w:val="20"/>
              </w:rPr>
            </w:pPr>
            <w:r w:rsidRPr="00D71008">
              <w:rPr>
                <w:noProof/>
                <w:spacing w:val="-2"/>
                <w:sz w:val="20"/>
                <w:szCs w:val="20"/>
              </w:rPr>
              <w:t>Bulgaria</w:t>
            </w:r>
          </w:p>
        </w:tc>
        <w:tc>
          <w:tcPr>
            <w:tcW w:w="833" w:type="pct"/>
          </w:tcPr>
          <w:p w14:paraId="360D29CA" w14:textId="77777777" w:rsidR="00712390" w:rsidRPr="00D71008" w:rsidRDefault="2471901C" w:rsidP="00CC11D6">
            <w:pPr>
              <w:pStyle w:val="TableParagraph"/>
              <w:ind w:left="7" w:right="4"/>
              <w:jc w:val="center"/>
              <w:rPr>
                <w:noProof/>
                <w:sz w:val="20"/>
                <w:szCs w:val="20"/>
              </w:rPr>
            </w:pPr>
            <w:r w:rsidRPr="00D71008">
              <w:rPr>
                <w:noProof/>
                <w:spacing w:val="-10"/>
                <w:sz w:val="20"/>
                <w:szCs w:val="20"/>
              </w:rPr>
              <w:t>1</w:t>
            </w:r>
          </w:p>
        </w:tc>
        <w:tc>
          <w:tcPr>
            <w:tcW w:w="832" w:type="pct"/>
          </w:tcPr>
          <w:p w14:paraId="3208FD08" w14:textId="77777777" w:rsidR="00712390" w:rsidRPr="00D71008" w:rsidRDefault="2471901C" w:rsidP="00CC11D6">
            <w:pPr>
              <w:pStyle w:val="TableParagraph"/>
              <w:ind w:left="11" w:right="11"/>
              <w:jc w:val="center"/>
              <w:rPr>
                <w:noProof/>
                <w:sz w:val="20"/>
                <w:szCs w:val="20"/>
              </w:rPr>
            </w:pPr>
            <w:r w:rsidRPr="00D71008">
              <w:rPr>
                <w:noProof/>
                <w:spacing w:val="-4"/>
                <w:sz w:val="20"/>
                <w:szCs w:val="20"/>
              </w:rPr>
              <w:t>0.3%</w:t>
            </w:r>
          </w:p>
        </w:tc>
      </w:tr>
      <w:tr w:rsidR="00712390" w:rsidRPr="00D71008" w14:paraId="3D416611" w14:textId="77777777" w:rsidTr="00F0597D">
        <w:trPr>
          <w:trHeight w:val="253"/>
        </w:trPr>
        <w:tc>
          <w:tcPr>
            <w:tcW w:w="835" w:type="pct"/>
          </w:tcPr>
          <w:p w14:paraId="30263D20" w14:textId="77777777" w:rsidR="00712390" w:rsidRPr="00D71008" w:rsidRDefault="2471901C" w:rsidP="00CC11D6">
            <w:pPr>
              <w:pStyle w:val="TableParagraph"/>
              <w:ind w:left="107"/>
              <w:rPr>
                <w:noProof/>
                <w:sz w:val="20"/>
                <w:szCs w:val="20"/>
              </w:rPr>
            </w:pPr>
            <w:r w:rsidRPr="00D71008">
              <w:rPr>
                <w:noProof/>
                <w:spacing w:val="-2"/>
                <w:sz w:val="20"/>
                <w:szCs w:val="20"/>
              </w:rPr>
              <w:t>Spain</w:t>
            </w:r>
          </w:p>
        </w:tc>
        <w:tc>
          <w:tcPr>
            <w:tcW w:w="832" w:type="pct"/>
          </w:tcPr>
          <w:p w14:paraId="4603C53F" w14:textId="77777777" w:rsidR="00712390" w:rsidRPr="00D71008" w:rsidRDefault="2471901C" w:rsidP="00CC11D6">
            <w:pPr>
              <w:pStyle w:val="TableParagraph"/>
              <w:ind w:left="11"/>
              <w:jc w:val="center"/>
              <w:rPr>
                <w:noProof/>
                <w:sz w:val="20"/>
                <w:szCs w:val="20"/>
              </w:rPr>
            </w:pPr>
            <w:r w:rsidRPr="00D71008">
              <w:rPr>
                <w:noProof/>
                <w:spacing w:val="-5"/>
                <w:sz w:val="20"/>
                <w:szCs w:val="20"/>
              </w:rPr>
              <w:t>17</w:t>
            </w:r>
          </w:p>
        </w:tc>
        <w:tc>
          <w:tcPr>
            <w:tcW w:w="833" w:type="pct"/>
          </w:tcPr>
          <w:p w14:paraId="19B2ECD0" w14:textId="77777777" w:rsidR="00712390" w:rsidRPr="00D71008" w:rsidRDefault="2471901C" w:rsidP="00CC11D6">
            <w:pPr>
              <w:pStyle w:val="TableParagraph"/>
              <w:ind w:left="7" w:right="4"/>
              <w:jc w:val="center"/>
              <w:rPr>
                <w:noProof/>
                <w:sz w:val="20"/>
                <w:szCs w:val="20"/>
              </w:rPr>
            </w:pPr>
            <w:r w:rsidRPr="00D71008">
              <w:rPr>
                <w:noProof/>
                <w:spacing w:val="-4"/>
                <w:sz w:val="20"/>
                <w:szCs w:val="20"/>
              </w:rPr>
              <w:t>5.1%</w:t>
            </w:r>
          </w:p>
        </w:tc>
        <w:tc>
          <w:tcPr>
            <w:tcW w:w="835" w:type="pct"/>
          </w:tcPr>
          <w:p w14:paraId="0033A2C3" w14:textId="77777777" w:rsidR="00712390" w:rsidRPr="00D71008" w:rsidRDefault="2471901C" w:rsidP="00CC11D6">
            <w:pPr>
              <w:pStyle w:val="TableParagraph"/>
              <w:ind w:left="105"/>
              <w:rPr>
                <w:noProof/>
                <w:sz w:val="20"/>
                <w:szCs w:val="20"/>
              </w:rPr>
            </w:pPr>
            <w:r w:rsidRPr="00D71008">
              <w:rPr>
                <w:noProof/>
                <w:spacing w:val="-2"/>
                <w:sz w:val="20"/>
                <w:szCs w:val="20"/>
              </w:rPr>
              <w:t>Canada</w:t>
            </w:r>
          </w:p>
        </w:tc>
        <w:tc>
          <w:tcPr>
            <w:tcW w:w="833" w:type="pct"/>
          </w:tcPr>
          <w:p w14:paraId="57F7B2FC" w14:textId="77777777" w:rsidR="00712390" w:rsidRPr="00D71008" w:rsidRDefault="2471901C" w:rsidP="00CC11D6">
            <w:pPr>
              <w:pStyle w:val="TableParagraph"/>
              <w:ind w:left="7" w:right="4"/>
              <w:jc w:val="center"/>
              <w:rPr>
                <w:noProof/>
                <w:sz w:val="20"/>
                <w:szCs w:val="20"/>
              </w:rPr>
            </w:pPr>
            <w:r w:rsidRPr="00D71008">
              <w:rPr>
                <w:noProof/>
                <w:spacing w:val="-10"/>
                <w:sz w:val="20"/>
                <w:szCs w:val="20"/>
              </w:rPr>
              <w:t>1</w:t>
            </w:r>
          </w:p>
        </w:tc>
        <w:tc>
          <w:tcPr>
            <w:tcW w:w="832" w:type="pct"/>
          </w:tcPr>
          <w:p w14:paraId="549A4477" w14:textId="77777777" w:rsidR="00712390" w:rsidRPr="00D71008" w:rsidRDefault="2471901C" w:rsidP="00CC11D6">
            <w:pPr>
              <w:pStyle w:val="TableParagraph"/>
              <w:ind w:left="11" w:right="11"/>
              <w:jc w:val="center"/>
              <w:rPr>
                <w:noProof/>
                <w:sz w:val="20"/>
                <w:szCs w:val="20"/>
              </w:rPr>
            </w:pPr>
            <w:r w:rsidRPr="00D71008">
              <w:rPr>
                <w:noProof/>
                <w:spacing w:val="-4"/>
                <w:sz w:val="20"/>
                <w:szCs w:val="20"/>
              </w:rPr>
              <w:t>0.3%</w:t>
            </w:r>
          </w:p>
        </w:tc>
      </w:tr>
      <w:tr w:rsidR="00712390" w:rsidRPr="00D71008" w14:paraId="3352E0CF" w14:textId="77777777" w:rsidTr="00F0597D">
        <w:trPr>
          <w:trHeight w:val="253"/>
        </w:trPr>
        <w:tc>
          <w:tcPr>
            <w:tcW w:w="835" w:type="pct"/>
          </w:tcPr>
          <w:p w14:paraId="10F5760B" w14:textId="77777777" w:rsidR="00712390" w:rsidRPr="00D71008" w:rsidRDefault="2471901C" w:rsidP="00CC11D6">
            <w:pPr>
              <w:pStyle w:val="TableParagraph"/>
              <w:ind w:left="107"/>
              <w:rPr>
                <w:noProof/>
                <w:sz w:val="20"/>
                <w:szCs w:val="20"/>
              </w:rPr>
            </w:pPr>
            <w:r w:rsidRPr="00D71008">
              <w:rPr>
                <w:noProof/>
                <w:spacing w:val="-2"/>
                <w:sz w:val="20"/>
                <w:szCs w:val="20"/>
              </w:rPr>
              <w:t>Sweden</w:t>
            </w:r>
          </w:p>
        </w:tc>
        <w:tc>
          <w:tcPr>
            <w:tcW w:w="832" w:type="pct"/>
          </w:tcPr>
          <w:p w14:paraId="33BE2BA2" w14:textId="77777777" w:rsidR="00712390" w:rsidRPr="00D71008" w:rsidRDefault="2471901C" w:rsidP="00CC11D6">
            <w:pPr>
              <w:pStyle w:val="TableParagraph"/>
              <w:ind w:left="11"/>
              <w:jc w:val="center"/>
              <w:rPr>
                <w:noProof/>
                <w:sz w:val="20"/>
                <w:szCs w:val="20"/>
              </w:rPr>
            </w:pPr>
            <w:r w:rsidRPr="00D71008">
              <w:rPr>
                <w:noProof/>
                <w:spacing w:val="-5"/>
                <w:sz w:val="20"/>
                <w:szCs w:val="20"/>
              </w:rPr>
              <w:t>11</w:t>
            </w:r>
          </w:p>
        </w:tc>
        <w:tc>
          <w:tcPr>
            <w:tcW w:w="833" w:type="pct"/>
          </w:tcPr>
          <w:p w14:paraId="219CC311" w14:textId="77777777" w:rsidR="00712390" w:rsidRPr="00D71008" w:rsidRDefault="2471901C" w:rsidP="00CC11D6">
            <w:pPr>
              <w:pStyle w:val="TableParagraph"/>
              <w:ind w:left="7" w:right="4"/>
              <w:jc w:val="center"/>
              <w:rPr>
                <w:noProof/>
                <w:sz w:val="20"/>
                <w:szCs w:val="20"/>
              </w:rPr>
            </w:pPr>
            <w:r w:rsidRPr="00D71008">
              <w:rPr>
                <w:noProof/>
                <w:spacing w:val="-4"/>
                <w:sz w:val="20"/>
                <w:szCs w:val="20"/>
              </w:rPr>
              <w:t>3.3%</w:t>
            </w:r>
          </w:p>
        </w:tc>
        <w:tc>
          <w:tcPr>
            <w:tcW w:w="835" w:type="pct"/>
          </w:tcPr>
          <w:p w14:paraId="15F41528" w14:textId="77777777" w:rsidR="00712390" w:rsidRPr="00D71008" w:rsidRDefault="2471901C" w:rsidP="00CC11D6">
            <w:pPr>
              <w:pStyle w:val="TableParagraph"/>
              <w:ind w:left="105"/>
              <w:rPr>
                <w:noProof/>
                <w:sz w:val="20"/>
                <w:szCs w:val="20"/>
              </w:rPr>
            </w:pPr>
            <w:r w:rsidRPr="00D71008">
              <w:rPr>
                <w:noProof/>
                <w:spacing w:val="-2"/>
                <w:sz w:val="20"/>
                <w:szCs w:val="20"/>
              </w:rPr>
              <w:t>Croatia</w:t>
            </w:r>
          </w:p>
        </w:tc>
        <w:tc>
          <w:tcPr>
            <w:tcW w:w="833" w:type="pct"/>
          </w:tcPr>
          <w:p w14:paraId="4FDC58ED" w14:textId="77777777" w:rsidR="00712390" w:rsidRPr="00D71008" w:rsidRDefault="2471901C" w:rsidP="00CC11D6">
            <w:pPr>
              <w:pStyle w:val="TableParagraph"/>
              <w:ind w:left="7" w:right="4"/>
              <w:jc w:val="center"/>
              <w:rPr>
                <w:noProof/>
                <w:sz w:val="20"/>
                <w:szCs w:val="20"/>
              </w:rPr>
            </w:pPr>
            <w:r w:rsidRPr="00D71008">
              <w:rPr>
                <w:noProof/>
                <w:spacing w:val="-10"/>
                <w:sz w:val="20"/>
                <w:szCs w:val="20"/>
              </w:rPr>
              <w:t>1</w:t>
            </w:r>
          </w:p>
        </w:tc>
        <w:tc>
          <w:tcPr>
            <w:tcW w:w="832" w:type="pct"/>
          </w:tcPr>
          <w:p w14:paraId="534C5B2E" w14:textId="77777777" w:rsidR="00712390" w:rsidRPr="00D71008" w:rsidRDefault="2471901C" w:rsidP="00CC11D6">
            <w:pPr>
              <w:pStyle w:val="TableParagraph"/>
              <w:ind w:left="11" w:right="11"/>
              <w:jc w:val="center"/>
              <w:rPr>
                <w:noProof/>
                <w:sz w:val="20"/>
                <w:szCs w:val="20"/>
              </w:rPr>
            </w:pPr>
            <w:r w:rsidRPr="00D71008">
              <w:rPr>
                <w:noProof/>
                <w:spacing w:val="-4"/>
                <w:sz w:val="20"/>
                <w:szCs w:val="20"/>
              </w:rPr>
              <w:t>0.3%</w:t>
            </w:r>
          </w:p>
        </w:tc>
      </w:tr>
      <w:tr w:rsidR="00712390" w:rsidRPr="00D71008" w14:paraId="53662635" w14:textId="77777777" w:rsidTr="00F0597D">
        <w:trPr>
          <w:trHeight w:val="253"/>
        </w:trPr>
        <w:tc>
          <w:tcPr>
            <w:tcW w:w="835" w:type="pct"/>
          </w:tcPr>
          <w:p w14:paraId="0D872AA9" w14:textId="77777777" w:rsidR="00712390" w:rsidRPr="00D71008" w:rsidRDefault="2471901C" w:rsidP="00CC11D6">
            <w:pPr>
              <w:pStyle w:val="TableParagraph"/>
              <w:ind w:left="107"/>
              <w:rPr>
                <w:noProof/>
                <w:sz w:val="20"/>
                <w:szCs w:val="20"/>
              </w:rPr>
            </w:pPr>
            <w:r w:rsidRPr="00D71008">
              <w:rPr>
                <w:noProof/>
                <w:spacing w:val="-2"/>
                <w:sz w:val="20"/>
                <w:szCs w:val="20"/>
              </w:rPr>
              <w:t>Netherlands</w:t>
            </w:r>
          </w:p>
        </w:tc>
        <w:tc>
          <w:tcPr>
            <w:tcW w:w="832" w:type="pct"/>
          </w:tcPr>
          <w:p w14:paraId="157C577C" w14:textId="77777777" w:rsidR="00712390" w:rsidRPr="00D71008" w:rsidRDefault="2471901C" w:rsidP="00CC11D6">
            <w:pPr>
              <w:pStyle w:val="TableParagraph"/>
              <w:ind w:left="11" w:right="6"/>
              <w:jc w:val="center"/>
              <w:rPr>
                <w:noProof/>
                <w:sz w:val="20"/>
                <w:szCs w:val="20"/>
              </w:rPr>
            </w:pPr>
            <w:r w:rsidRPr="00D71008">
              <w:rPr>
                <w:noProof/>
                <w:spacing w:val="-10"/>
                <w:sz w:val="20"/>
                <w:szCs w:val="20"/>
              </w:rPr>
              <w:t>8</w:t>
            </w:r>
          </w:p>
        </w:tc>
        <w:tc>
          <w:tcPr>
            <w:tcW w:w="833" w:type="pct"/>
          </w:tcPr>
          <w:p w14:paraId="5E34EB77" w14:textId="77777777" w:rsidR="00712390" w:rsidRPr="00D71008" w:rsidRDefault="2471901C" w:rsidP="00CC11D6">
            <w:pPr>
              <w:pStyle w:val="TableParagraph"/>
              <w:ind w:left="7" w:right="4"/>
              <w:jc w:val="center"/>
              <w:rPr>
                <w:noProof/>
                <w:sz w:val="20"/>
                <w:szCs w:val="20"/>
              </w:rPr>
            </w:pPr>
            <w:r w:rsidRPr="00D71008">
              <w:rPr>
                <w:noProof/>
                <w:spacing w:val="-4"/>
                <w:sz w:val="20"/>
                <w:szCs w:val="20"/>
              </w:rPr>
              <w:t>2.4%</w:t>
            </w:r>
          </w:p>
        </w:tc>
        <w:tc>
          <w:tcPr>
            <w:tcW w:w="835" w:type="pct"/>
          </w:tcPr>
          <w:p w14:paraId="2F3A0FA5" w14:textId="77777777" w:rsidR="00712390" w:rsidRPr="00D71008" w:rsidRDefault="2471901C" w:rsidP="00CC11D6">
            <w:pPr>
              <w:pStyle w:val="TableParagraph"/>
              <w:ind w:left="105"/>
              <w:rPr>
                <w:noProof/>
                <w:sz w:val="20"/>
                <w:szCs w:val="20"/>
              </w:rPr>
            </w:pPr>
            <w:r w:rsidRPr="00D71008">
              <w:rPr>
                <w:noProof/>
                <w:spacing w:val="-2"/>
                <w:sz w:val="20"/>
                <w:szCs w:val="20"/>
              </w:rPr>
              <w:t>Cyprus</w:t>
            </w:r>
          </w:p>
        </w:tc>
        <w:tc>
          <w:tcPr>
            <w:tcW w:w="833" w:type="pct"/>
          </w:tcPr>
          <w:p w14:paraId="6176F77E" w14:textId="77777777" w:rsidR="00712390" w:rsidRPr="00D71008" w:rsidRDefault="2471901C" w:rsidP="00CC11D6">
            <w:pPr>
              <w:pStyle w:val="TableParagraph"/>
              <w:ind w:left="7" w:right="4"/>
              <w:jc w:val="center"/>
              <w:rPr>
                <w:noProof/>
                <w:sz w:val="20"/>
                <w:szCs w:val="20"/>
              </w:rPr>
            </w:pPr>
            <w:r w:rsidRPr="00D71008">
              <w:rPr>
                <w:noProof/>
                <w:spacing w:val="-10"/>
                <w:sz w:val="20"/>
                <w:szCs w:val="20"/>
              </w:rPr>
              <w:t>1</w:t>
            </w:r>
          </w:p>
        </w:tc>
        <w:tc>
          <w:tcPr>
            <w:tcW w:w="832" w:type="pct"/>
          </w:tcPr>
          <w:p w14:paraId="2C0192B6" w14:textId="77777777" w:rsidR="00712390" w:rsidRPr="00D71008" w:rsidRDefault="2471901C" w:rsidP="00CC11D6">
            <w:pPr>
              <w:pStyle w:val="TableParagraph"/>
              <w:ind w:left="11" w:right="11"/>
              <w:jc w:val="center"/>
              <w:rPr>
                <w:noProof/>
                <w:sz w:val="20"/>
                <w:szCs w:val="20"/>
              </w:rPr>
            </w:pPr>
            <w:r w:rsidRPr="00D71008">
              <w:rPr>
                <w:noProof/>
                <w:spacing w:val="-4"/>
                <w:sz w:val="20"/>
                <w:szCs w:val="20"/>
              </w:rPr>
              <w:t>0.3%</w:t>
            </w:r>
          </w:p>
        </w:tc>
      </w:tr>
      <w:tr w:rsidR="00712390" w:rsidRPr="00D71008" w14:paraId="46B47359" w14:textId="77777777" w:rsidTr="00F0597D">
        <w:trPr>
          <w:trHeight w:val="253"/>
        </w:trPr>
        <w:tc>
          <w:tcPr>
            <w:tcW w:w="835" w:type="pct"/>
          </w:tcPr>
          <w:p w14:paraId="10D4B425" w14:textId="77777777" w:rsidR="00712390" w:rsidRPr="00D71008" w:rsidRDefault="2471901C" w:rsidP="00CC11D6">
            <w:pPr>
              <w:pStyle w:val="TableParagraph"/>
              <w:ind w:left="107"/>
              <w:rPr>
                <w:noProof/>
                <w:sz w:val="20"/>
                <w:szCs w:val="20"/>
              </w:rPr>
            </w:pPr>
            <w:r w:rsidRPr="00D71008">
              <w:rPr>
                <w:noProof/>
                <w:spacing w:val="-2"/>
                <w:sz w:val="20"/>
                <w:szCs w:val="20"/>
              </w:rPr>
              <w:t>Czechia</w:t>
            </w:r>
          </w:p>
        </w:tc>
        <w:tc>
          <w:tcPr>
            <w:tcW w:w="832" w:type="pct"/>
          </w:tcPr>
          <w:p w14:paraId="4B0FB0B4" w14:textId="77777777" w:rsidR="00712390" w:rsidRPr="00D71008" w:rsidRDefault="2471901C" w:rsidP="00CC11D6">
            <w:pPr>
              <w:pStyle w:val="TableParagraph"/>
              <w:ind w:left="11" w:right="6"/>
              <w:jc w:val="center"/>
              <w:rPr>
                <w:noProof/>
                <w:sz w:val="20"/>
                <w:szCs w:val="20"/>
              </w:rPr>
            </w:pPr>
            <w:r w:rsidRPr="00D71008">
              <w:rPr>
                <w:noProof/>
                <w:spacing w:val="-10"/>
                <w:sz w:val="20"/>
                <w:szCs w:val="20"/>
              </w:rPr>
              <w:t>7</w:t>
            </w:r>
          </w:p>
        </w:tc>
        <w:tc>
          <w:tcPr>
            <w:tcW w:w="833" w:type="pct"/>
          </w:tcPr>
          <w:p w14:paraId="33FACB3F" w14:textId="77777777" w:rsidR="00712390" w:rsidRPr="00D71008" w:rsidRDefault="2471901C" w:rsidP="00CC11D6">
            <w:pPr>
              <w:pStyle w:val="TableParagraph"/>
              <w:ind w:left="7" w:right="4"/>
              <w:jc w:val="center"/>
              <w:rPr>
                <w:noProof/>
                <w:sz w:val="20"/>
                <w:szCs w:val="20"/>
              </w:rPr>
            </w:pPr>
            <w:r w:rsidRPr="00D71008">
              <w:rPr>
                <w:noProof/>
                <w:spacing w:val="-4"/>
                <w:sz w:val="20"/>
                <w:szCs w:val="20"/>
              </w:rPr>
              <w:t>2.1%</w:t>
            </w:r>
          </w:p>
        </w:tc>
        <w:tc>
          <w:tcPr>
            <w:tcW w:w="835" w:type="pct"/>
          </w:tcPr>
          <w:p w14:paraId="37541245" w14:textId="77777777" w:rsidR="00712390" w:rsidRPr="00D71008" w:rsidRDefault="2471901C" w:rsidP="00CC11D6">
            <w:pPr>
              <w:pStyle w:val="TableParagraph"/>
              <w:ind w:left="105"/>
              <w:rPr>
                <w:noProof/>
                <w:sz w:val="20"/>
                <w:szCs w:val="20"/>
              </w:rPr>
            </w:pPr>
            <w:r w:rsidRPr="00D71008">
              <w:rPr>
                <w:noProof/>
                <w:spacing w:val="-2"/>
                <w:sz w:val="20"/>
                <w:szCs w:val="20"/>
              </w:rPr>
              <w:t>Denmark</w:t>
            </w:r>
          </w:p>
        </w:tc>
        <w:tc>
          <w:tcPr>
            <w:tcW w:w="833" w:type="pct"/>
          </w:tcPr>
          <w:p w14:paraId="2F4DA780" w14:textId="77777777" w:rsidR="00712390" w:rsidRPr="00D71008" w:rsidRDefault="2471901C" w:rsidP="00CC11D6">
            <w:pPr>
              <w:pStyle w:val="TableParagraph"/>
              <w:ind w:left="7" w:right="4"/>
              <w:jc w:val="center"/>
              <w:rPr>
                <w:noProof/>
                <w:sz w:val="20"/>
                <w:szCs w:val="20"/>
              </w:rPr>
            </w:pPr>
            <w:r w:rsidRPr="00D71008">
              <w:rPr>
                <w:noProof/>
                <w:spacing w:val="-10"/>
                <w:sz w:val="20"/>
                <w:szCs w:val="20"/>
              </w:rPr>
              <w:t>1</w:t>
            </w:r>
          </w:p>
        </w:tc>
        <w:tc>
          <w:tcPr>
            <w:tcW w:w="832" w:type="pct"/>
          </w:tcPr>
          <w:p w14:paraId="511FA973" w14:textId="77777777" w:rsidR="00712390" w:rsidRPr="00D71008" w:rsidRDefault="2471901C" w:rsidP="00CC11D6">
            <w:pPr>
              <w:pStyle w:val="TableParagraph"/>
              <w:ind w:left="11" w:right="11"/>
              <w:jc w:val="center"/>
              <w:rPr>
                <w:noProof/>
                <w:sz w:val="20"/>
                <w:szCs w:val="20"/>
              </w:rPr>
            </w:pPr>
            <w:r w:rsidRPr="00D71008">
              <w:rPr>
                <w:noProof/>
                <w:spacing w:val="-4"/>
                <w:sz w:val="20"/>
                <w:szCs w:val="20"/>
              </w:rPr>
              <w:t>0.3%</w:t>
            </w:r>
          </w:p>
        </w:tc>
      </w:tr>
      <w:tr w:rsidR="00712390" w:rsidRPr="00D71008" w14:paraId="61314C9B" w14:textId="77777777" w:rsidTr="00F0597D">
        <w:trPr>
          <w:trHeight w:val="253"/>
        </w:trPr>
        <w:tc>
          <w:tcPr>
            <w:tcW w:w="835" w:type="pct"/>
          </w:tcPr>
          <w:p w14:paraId="13B9FD9E" w14:textId="77777777" w:rsidR="00712390" w:rsidRPr="00D71008" w:rsidRDefault="2471901C" w:rsidP="00CC11D6">
            <w:pPr>
              <w:pStyle w:val="TableParagraph"/>
              <w:ind w:left="107"/>
              <w:rPr>
                <w:noProof/>
                <w:sz w:val="20"/>
                <w:szCs w:val="20"/>
              </w:rPr>
            </w:pPr>
            <w:r w:rsidRPr="00D71008">
              <w:rPr>
                <w:noProof/>
                <w:spacing w:val="-2"/>
                <w:sz w:val="20"/>
                <w:szCs w:val="20"/>
              </w:rPr>
              <w:t>Norway</w:t>
            </w:r>
          </w:p>
        </w:tc>
        <w:tc>
          <w:tcPr>
            <w:tcW w:w="832" w:type="pct"/>
          </w:tcPr>
          <w:p w14:paraId="61435988" w14:textId="77777777" w:rsidR="00712390" w:rsidRPr="00D71008" w:rsidRDefault="2471901C" w:rsidP="00CC11D6">
            <w:pPr>
              <w:pStyle w:val="TableParagraph"/>
              <w:ind w:left="11" w:right="6"/>
              <w:jc w:val="center"/>
              <w:rPr>
                <w:noProof/>
                <w:sz w:val="20"/>
                <w:szCs w:val="20"/>
              </w:rPr>
            </w:pPr>
            <w:r w:rsidRPr="00D71008">
              <w:rPr>
                <w:noProof/>
                <w:spacing w:val="-10"/>
                <w:sz w:val="20"/>
                <w:szCs w:val="20"/>
              </w:rPr>
              <w:t>7</w:t>
            </w:r>
          </w:p>
        </w:tc>
        <w:tc>
          <w:tcPr>
            <w:tcW w:w="833" w:type="pct"/>
          </w:tcPr>
          <w:p w14:paraId="6FCEAD04" w14:textId="77777777" w:rsidR="00712390" w:rsidRPr="00D71008" w:rsidRDefault="2471901C" w:rsidP="00CC11D6">
            <w:pPr>
              <w:pStyle w:val="TableParagraph"/>
              <w:ind w:left="7" w:right="4"/>
              <w:jc w:val="center"/>
              <w:rPr>
                <w:noProof/>
                <w:sz w:val="20"/>
                <w:szCs w:val="20"/>
              </w:rPr>
            </w:pPr>
            <w:r w:rsidRPr="00D71008">
              <w:rPr>
                <w:noProof/>
                <w:spacing w:val="-4"/>
                <w:sz w:val="20"/>
                <w:szCs w:val="20"/>
              </w:rPr>
              <w:t>2.1%</w:t>
            </w:r>
          </w:p>
        </w:tc>
        <w:tc>
          <w:tcPr>
            <w:tcW w:w="835" w:type="pct"/>
          </w:tcPr>
          <w:p w14:paraId="66D060E5" w14:textId="77777777" w:rsidR="00712390" w:rsidRPr="00D71008" w:rsidRDefault="2471901C" w:rsidP="00CC11D6">
            <w:pPr>
              <w:pStyle w:val="TableParagraph"/>
              <w:ind w:left="105"/>
              <w:rPr>
                <w:noProof/>
                <w:sz w:val="20"/>
                <w:szCs w:val="20"/>
              </w:rPr>
            </w:pPr>
            <w:r w:rsidRPr="00D71008">
              <w:rPr>
                <w:noProof/>
                <w:spacing w:val="-2"/>
                <w:sz w:val="20"/>
                <w:szCs w:val="20"/>
              </w:rPr>
              <w:t>Greece</w:t>
            </w:r>
          </w:p>
        </w:tc>
        <w:tc>
          <w:tcPr>
            <w:tcW w:w="833" w:type="pct"/>
          </w:tcPr>
          <w:p w14:paraId="63222780" w14:textId="77777777" w:rsidR="00712390" w:rsidRPr="00D71008" w:rsidRDefault="2471901C" w:rsidP="00CC11D6">
            <w:pPr>
              <w:pStyle w:val="TableParagraph"/>
              <w:ind w:left="7" w:right="4"/>
              <w:jc w:val="center"/>
              <w:rPr>
                <w:noProof/>
                <w:sz w:val="20"/>
                <w:szCs w:val="20"/>
              </w:rPr>
            </w:pPr>
            <w:r w:rsidRPr="00D71008">
              <w:rPr>
                <w:noProof/>
                <w:spacing w:val="-10"/>
                <w:sz w:val="20"/>
                <w:szCs w:val="20"/>
              </w:rPr>
              <w:t>1</w:t>
            </w:r>
          </w:p>
        </w:tc>
        <w:tc>
          <w:tcPr>
            <w:tcW w:w="832" w:type="pct"/>
          </w:tcPr>
          <w:p w14:paraId="3052526F" w14:textId="77777777" w:rsidR="00712390" w:rsidRPr="00D71008" w:rsidRDefault="2471901C" w:rsidP="00CC11D6">
            <w:pPr>
              <w:pStyle w:val="TableParagraph"/>
              <w:ind w:left="11" w:right="11"/>
              <w:jc w:val="center"/>
              <w:rPr>
                <w:noProof/>
                <w:sz w:val="20"/>
                <w:szCs w:val="20"/>
              </w:rPr>
            </w:pPr>
            <w:r w:rsidRPr="00D71008">
              <w:rPr>
                <w:noProof/>
                <w:spacing w:val="-4"/>
                <w:sz w:val="20"/>
                <w:szCs w:val="20"/>
              </w:rPr>
              <w:t>0.3%</w:t>
            </w:r>
          </w:p>
        </w:tc>
      </w:tr>
      <w:tr w:rsidR="00712390" w:rsidRPr="00D71008" w14:paraId="0DE5FC3E" w14:textId="77777777" w:rsidTr="00F0597D">
        <w:trPr>
          <w:trHeight w:val="253"/>
        </w:trPr>
        <w:tc>
          <w:tcPr>
            <w:tcW w:w="835" w:type="pct"/>
          </w:tcPr>
          <w:p w14:paraId="3B54BFCF" w14:textId="77777777" w:rsidR="00712390" w:rsidRPr="00D71008" w:rsidRDefault="2471901C" w:rsidP="00CC11D6">
            <w:pPr>
              <w:pStyle w:val="TableParagraph"/>
              <w:ind w:left="107"/>
              <w:rPr>
                <w:noProof/>
                <w:sz w:val="20"/>
                <w:szCs w:val="20"/>
              </w:rPr>
            </w:pPr>
            <w:r w:rsidRPr="00D71008">
              <w:rPr>
                <w:noProof/>
                <w:sz w:val="20"/>
                <w:szCs w:val="20"/>
              </w:rPr>
              <w:t>United</w:t>
            </w:r>
            <w:r w:rsidRPr="00D71008">
              <w:rPr>
                <w:noProof/>
                <w:spacing w:val="-6"/>
                <w:sz w:val="20"/>
                <w:szCs w:val="20"/>
              </w:rPr>
              <w:t xml:space="preserve"> </w:t>
            </w:r>
            <w:r w:rsidRPr="00D71008">
              <w:rPr>
                <w:noProof/>
                <w:spacing w:val="-2"/>
                <w:sz w:val="20"/>
                <w:szCs w:val="20"/>
              </w:rPr>
              <w:t>Kingdom</w:t>
            </w:r>
          </w:p>
        </w:tc>
        <w:tc>
          <w:tcPr>
            <w:tcW w:w="832" w:type="pct"/>
          </w:tcPr>
          <w:p w14:paraId="3D4F3873" w14:textId="77777777" w:rsidR="00712390" w:rsidRPr="00D71008" w:rsidRDefault="2471901C" w:rsidP="00CC11D6">
            <w:pPr>
              <w:pStyle w:val="TableParagraph"/>
              <w:ind w:left="11" w:right="6"/>
              <w:jc w:val="center"/>
              <w:rPr>
                <w:noProof/>
                <w:sz w:val="20"/>
                <w:szCs w:val="20"/>
                <w:highlight w:val="green"/>
              </w:rPr>
            </w:pPr>
            <w:r w:rsidRPr="00D71008">
              <w:rPr>
                <w:noProof/>
                <w:spacing w:val="-10"/>
                <w:sz w:val="20"/>
                <w:szCs w:val="20"/>
              </w:rPr>
              <w:t>6</w:t>
            </w:r>
          </w:p>
        </w:tc>
        <w:tc>
          <w:tcPr>
            <w:tcW w:w="833" w:type="pct"/>
          </w:tcPr>
          <w:p w14:paraId="23355BDC" w14:textId="77777777" w:rsidR="00712390" w:rsidRPr="00D71008" w:rsidRDefault="2471901C" w:rsidP="00CC11D6">
            <w:pPr>
              <w:pStyle w:val="TableParagraph"/>
              <w:ind w:left="7" w:right="4"/>
              <w:jc w:val="center"/>
              <w:rPr>
                <w:noProof/>
                <w:sz w:val="20"/>
                <w:szCs w:val="20"/>
              </w:rPr>
            </w:pPr>
            <w:r w:rsidRPr="00D71008">
              <w:rPr>
                <w:noProof/>
                <w:spacing w:val="-4"/>
                <w:sz w:val="20"/>
                <w:szCs w:val="20"/>
              </w:rPr>
              <w:t>1.8%</w:t>
            </w:r>
          </w:p>
        </w:tc>
        <w:tc>
          <w:tcPr>
            <w:tcW w:w="835" w:type="pct"/>
          </w:tcPr>
          <w:p w14:paraId="5111D6B8" w14:textId="77777777" w:rsidR="00712390" w:rsidRPr="00D71008" w:rsidRDefault="2471901C" w:rsidP="00CC11D6">
            <w:pPr>
              <w:pStyle w:val="TableParagraph"/>
              <w:ind w:left="105"/>
              <w:rPr>
                <w:noProof/>
                <w:sz w:val="20"/>
                <w:szCs w:val="20"/>
              </w:rPr>
            </w:pPr>
            <w:r w:rsidRPr="00D71008">
              <w:rPr>
                <w:noProof/>
                <w:spacing w:val="-2"/>
                <w:sz w:val="20"/>
                <w:szCs w:val="20"/>
              </w:rPr>
              <w:t>Ireland</w:t>
            </w:r>
          </w:p>
        </w:tc>
        <w:tc>
          <w:tcPr>
            <w:tcW w:w="833" w:type="pct"/>
          </w:tcPr>
          <w:p w14:paraId="34673BD8" w14:textId="77777777" w:rsidR="00712390" w:rsidRPr="00D71008" w:rsidRDefault="2471901C" w:rsidP="00CC11D6">
            <w:pPr>
              <w:pStyle w:val="TableParagraph"/>
              <w:ind w:left="7" w:right="4"/>
              <w:jc w:val="center"/>
              <w:rPr>
                <w:noProof/>
                <w:sz w:val="20"/>
                <w:szCs w:val="20"/>
              </w:rPr>
            </w:pPr>
            <w:r w:rsidRPr="00D71008">
              <w:rPr>
                <w:noProof/>
                <w:spacing w:val="-10"/>
                <w:sz w:val="20"/>
                <w:szCs w:val="20"/>
              </w:rPr>
              <w:t>1</w:t>
            </w:r>
          </w:p>
        </w:tc>
        <w:tc>
          <w:tcPr>
            <w:tcW w:w="832" w:type="pct"/>
          </w:tcPr>
          <w:p w14:paraId="776F8FA1" w14:textId="77777777" w:rsidR="00712390" w:rsidRPr="00D71008" w:rsidRDefault="2471901C" w:rsidP="00CC11D6">
            <w:pPr>
              <w:pStyle w:val="TableParagraph"/>
              <w:ind w:left="11" w:right="11"/>
              <w:jc w:val="center"/>
              <w:rPr>
                <w:noProof/>
                <w:sz w:val="20"/>
                <w:szCs w:val="20"/>
              </w:rPr>
            </w:pPr>
            <w:r w:rsidRPr="00D71008">
              <w:rPr>
                <w:noProof/>
                <w:spacing w:val="-4"/>
                <w:sz w:val="20"/>
                <w:szCs w:val="20"/>
              </w:rPr>
              <w:t>0.3%</w:t>
            </w:r>
          </w:p>
        </w:tc>
      </w:tr>
      <w:tr w:rsidR="00712390" w:rsidRPr="00D71008" w14:paraId="62AECD81" w14:textId="77777777" w:rsidTr="00F0597D">
        <w:trPr>
          <w:trHeight w:val="253"/>
        </w:trPr>
        <w:tc>
          <w:tcPr>
            <w:tcW w:w="835" w:type="pct"/>
          </w:tcPr>
          <w:p w14:paraId="4B0A879A" w14:textId="77777777" w:rsidR="00712390" w:rsidRPr="00D71008" w:rsidRDefault="2471901C" w:rsidP="00CC11D6">
            <w:pPr>
              <w:pStyle w:val="TableParagraph"/>
              <w:ind w:left="107"/>
              <w:rPr>
                <w:noProof/>
                <w:sz w:val="20"/>
                <w:szCs w:val="20"/>
              </w:rPr>
            </w:pPr>
            <w:r w:rsidRPr="00D71008">
              <w:rPr>
                <w:noProof/>
                <w:spacing w:val="-2"/>
                <w:sz w:val="20"/>
                <w:szCs w:val="20"/>
              </w:rPr>
              <w:t>Portugal</w:t>
            </w:r>
          </w:p>
        </w:tc>
        <w:tc>
          <w:tcPr>
            <w:tcW w:w="832" w:type="pct"/>
          </w:tcPr>
          <w:p w14:paraId="6E00F7CF" w14:textId="77777777" w:rsidR="00712390" w:rsidRPr="00D71008" w:rsidRDefault="2471901C" w:rsidP="00CC11D6">
            <w:pPr>
              <w:pStyle w:val="TableParagraph"/>
              <w:ind w:left="11" w:right="6"/>
              <w:jc w:val="center"/>
              <w:rPr>
                <w:noProof/>
                <w:sz w:val="20"/>
                <w:szCs w:val="20"/>
              </w:rPr>
            </w:pPr>
            <w:r w:rsidRPr="00D71008">
              <w:rPr>
                <w:noProof/>
                <w:spacing w:val="-10"/>
                <w:sz w:val="20"/>
                <w:szCs w:val="20"/>
              </w:rPr>
              <w:t>5</w:t>
            </w:r>
          </w:p>
        </w:tc>
        <w:tc>
          <w:tcPr>
            <w:tcW w:w="833" w:type="pct"/>
          </w:tcPr>
          <w:p w14:paraId="362FAA60" w14:textId="77777777" w:rsidR="00712390" w:rsidRPr="00D71008" w:rsidRDefault="2471901C" w:rsidP="00CC11D6">
            <w:pPr>
              <w:pStyle w:val="TableParagraph"/>
              <w:ind w:left="7" w:right="4"/>
              <w:jc w:val="center"/>
              <w:rPr>
                <w:noProof/>
                <w:sz w:val="20"/>
                <w:szCs w:val="20"/>
              </w:rPr>
            </w:pPr>
            <w:r w:rsidRPr="00D71008">
              <w:rPr>
                <w:noProof/>
                <w:spacing w:val="-4"/>
                <w:sz w:val="20"/>
                <w:szCs w:val="20"/>
              </w:rPr>
              <w:t>1.5%</w:t>
            </w:r>
          </w:p>
        </w:tc>
        <w:tc>
          <w:tcPr>
            <w:tcW w:w="835" w:type="pct"/>
          </w:tcPr>
          <w:p w14:paraId="5DA7E72F" w14:textId="77777777" w:rsidR="00712390" w:rsidRPr="00D71008" w:rsidRDefault="2471901C" w:rsidP="00CC11D6">
            <w:pPr>
              <w:pStyle w:val="TableParagraph"/>
              <w:ind w:left="105"/>
              <w:rPr>
                <w:noProof/>
                <w:sz w:val="20"/>
                <w:szCs w:val="20"/>
              </w:rPr>
            </w:pPr>
            <w:r w:rsidRPr="00D71008">
              <w:rPr>
                <w:noProof/>
                <w:spacing w:val="-2"/>
                <w:sz w:val="20"/>
                <w:szCs w:val="20"/>
              </w:rPr>
              <w:t>Lithuania</w:t>
            </w:r>
          </w:p>
        </w:tc>
        <w:tc>
          <w:tcPr>
            <w:tcW w:w="833" w:type="pct"/>
          </w:tcPr>
          <w:p w14:paraId="0D5CECC4" w14:textId="77777777" w:rsidR="00712390" w:rsidRPr="00D71008" w:rsidRDefault="2471901C" w:rsidP="00CC11D6">
            <w:pPr>
              <w:pStyle w:val="TableParagraph"/>
              <w:ind w:left="7" w:right="4"/>
              <w:jc w:val="center"/>
              <w:rPr>
                <w:noProof/>
                <w:sz w:val="20"/>
                <w:szCs w:val="20"/>
              </w:rPr>
            </w:pPr>
            <w:r w:rsidRPr="00D71008">
              <w:rPr>
                <w:noProof/>
                <w:spacing w:val="-10"/>
                <w:sz w:val="20"/>
                <w:szCs w:val="20"/>
              </w:rPr>
              <w:t>1</w:t>
            </w:r>
          </w:p>
        </w:tc>
        <w:tc>
          <w:tcPr>
            <w:tcW w:w="832" w:type="pct"/>
          </w:tcPr>
          <w:p w14:paraId="40F3C3E4" w14:textId="77777777" w:rsidR="00712390" w:rsidRPr="00D71008" w:rsidRDefault="2471901C" w:rsidP="00CC11D6">
            <w:pPr>
              <w:pStyle w:val="TableParagraph"/>
              <w:ind w:left="11" w:right="11"/>
              <w:jc w:val="center"/>
              <w:rPr>
                <w:noProof/>
                <w:sz w:val="20"/>
                <w:szCs w:val="20"/>
              </w:rPr>
            </w:pPr>
            <w:r w:rsidRPr="00D71008">
              <w:rPr>
                <w:noProof/>
                <w:spacing w:val="-4"/>
                <w:sz w:val="20"/>
                <w:szCs w:val="20"/>
              </w:rPr>
              <w:t>0.3%</w:t>
            </w:r>
          </w:p>
        </w:tc>
      </w:tr>
      <w:tr w:rsidR="00712390" w:rsidRPr="00D71008" w14:paraId="3971C544" w14:textId="77777777" w:rsidTr="00F0597D">
        <w:trPr>
          <w:trHeight w:val="253"/>
        </w:trPr>
        <w:tc>
          <w:tcPr>
            <w:tcW w:w="835" w:type="pct"/>
          </w:tcPr>
          <w:p w14:paraId="670EB93C" w14:textId="77777777" w:rsidR="00712390" w:rsidRPr="00D71008" w:rsidRDefault="2471901C" w:rsidP="00CC11D6">
            <w:pPr>
              <w:pStyle w:val="TableParagraph"/>
              <w:ind w:left="107"/>
              <w:rPr>
                <w:noProof/>
                <w:sz w:val="20"/>
                <w:szCs w:val="20"/>
              </w:rPr>
            </w:pPr>
            <w:r w:rsidRPr="00D71008">
              <w:rPr>
                <w:noProof/>
                <w:spacing w:val="-2"/>
                <w:sz w:val="20"/>
                <w:szCs w:val="20"/>
              </w:rPr>
              <w:t>Finland</w:t>
            </w:r>
          </w:p>
        </w:tc>
        <w:tc>
          <w:tcPr>
            <w:tcW w:w="832" w:type="pct"/>
          </w:tcPr>
          <w:p w14:paraId="3AE517CD" w14:textId="77777777" w:rsidR="00712390" w:rsidRPr="00D71008" w:rsidRDefault="2471901C" w:rsidP="00CC11D6">
            <w:pPr>
              <w:pStyle w:val="TableParagraph"/>
              <w:ind w:left="11" w:right="6"/>
              <w:jc w:val="center"/>
              <w:rPr>
                <w:noProof/>
                <w:sz w:val="20"/>
                <w:szCs w:val="20"/>
              </w:rPr>
            </w:pPr>
            <w:r w:rsidRPr="00D71008">
              <w:rPr>
                <w:noProof/>
                <w:spacing w:val="-10"/>
                <w:sz w:val="20"/>
                <w:szCs w:val="20"/>
              </w:rPr>
              <w:t>4</w:t>
            </w:r>
          </w:p>
        </w:tc>
        <w:tc>
          <w:tcPr>
            <w:tcW w:w="833" w:type="pct"/>
          </w:tcPr>
          <w:p w14:paraId="01CEE79F" w14:textId="77777777" w:rsidR="00712390" w:rsidRPr="00D71008" w:rsidRDefault="2471901C" w:rsidP="00CC11D6">
            <w:pPr>
              <w:pStyle w:val="TableParagraph"/>
              <w:ind w:left="7" w:right="4"/>
              <w:jc w:val="center"/>
              <w:rPr>
                <w:noProof/>
                <w:sz w:val="20"/>
                <w:szCs w:val="20"/>
              </w:rPr>
            </w:pPr>
            <w:r w:rsidRPr="00D71008">
              <w:rPr>
                <w:noProof/>
                <w:spacing w:val="-4"/>
                <w:sz w:val="20"/>
                <w:szCs w:val="20"/>
              </w:rPr>
              <w:t>1.2%</w:t>
            </w:r>
          </w:p>
        </w:tc>
        <w:tc>
          <w:tcPr>
            <w:tcW w:w="835" w:type="pct"/>
          </w:tcPr>
          <w:p w14:paraId="7998718F" w14:textId="77777777" w:rsidR="00712390" w:rsidRPr="00D71008" w:rsidRDefault="2471901C" w:rsidP="00CC11D6">
            <w:pPr>
              <w:pStyle w:val="TableParagraph"/>
              <w:ind w:left="105"/>
              <w:rPr>
                <w:noProof/>
                <w:sz w:val="20"/>
                <w:szCs w:val="20"/>
              </w:rPr>
            </w:pPr>
            <w:r w:rsidRPr="00D71008">
              <w:rPr>
                <w:noProof/>
                <w:spacing w:val="-2"/>
                <w:sz w:val="20"/>
                <w:szCs w:val="20"/>
              </w:rPr>
              <w:t>Luxembourg</w:t>
            </w:r>
          </w:p>
        </w:tc>
        <w:tc>
          <w:tcPr>
            <w:tcW w:w="833" w:type="pct"/>
          </w:tcPr>
          <w:p w14:paraId="684980FF" w14:textId="77777777" w:rsidR="00712390" w:rsidRPr="00D71008" w:rsidRDefault="2471901C" w:rsidP="00CC11D6">
            <w:pPr>
              <w:pStyle w:val="TableParagraph"/>
              <w:ind w:left="7" w:right="4"/>
              <w:jc w:val="center"/>
              <w:rPr>
                <w:noProof/>
                <w:sz w:val="20"/>
                <w:szCs w:val="20"/>
              </w:rPr>
            </w:pPr>
            <w:r w:rsidRPr="00D71008">
              <w:rPr>
                <w:noProof/>
                <w:spacing w:val="-10"/>
                <w:sz w:val="20"/>
                <w:szCs w:val="20"/>
              </w:rPr>
              <w:t>1</w:t>
            </w:r>
          </w:p>
        </w:tc>
        <w:tc>
          <w:tcPr>
            <w:tcW w:w="832" w:type="pct"/>
          </w:tcPr>
          <w:p w14:paraId="66E6A5C1" w14:textId="77777777" w:rsidR="00712390" w:rsidRPr="00D71008" w:rsidRDefault="2471901C" w:rsidP="00CC11D6">
            <w:pPr>
              <w:pStyle w:val="TableParagraph"/>
              <w:ind w:left="11" w:right="11"/>
              <w:jc w:val="center"/>
              <w:rPr>
                <w:noProof/>
                <w:sz w:val="20"/>
                <w:szCs w:val="20"/>
              </w:rPr>
            </w:pPr>
            <w:r w:rsidRPr="00D71008">
              <w:rPr>
                <w:noProof/>
                <w:spacing w:val="-4"/>
                <w:sz w:val="20"/>
                <w:szCs w:val="20"/>
              </w:rPr>
              <w:t>0.3%</w:t>
            </w:r>
          </w:p>
        </w:tc>
      </w:tr>
      <w:tr w:rsidR="00712390" w:rsidRPr="00D71008" w14:paraId="280119B3" w14:textId="77777777" w:rsidTr="00F0597D">
        <w:trPr>
          <w:trHeight w:val="253"/>
        </w:trPr>
        <w:tc>
          <w:tcPr>
            <w:tcW w:w="835" w:type="pct"/>
          </w:tcPr>
          <w:p w14:paraId="5CA9879C" w14:textId="77777777" w:rsidR="00712390" w:rsidRPr="00D71008" w:rsidRDefault="2471901C" w:rsidP="00CC11D6">
            <w:pPr>
              <w:pStyle w:val="TableParagraph"/>
              <w:ind w:left="107"/>
              <w:rPr>
                <w:noProof/>
                <w:sz w:val="20"/>
                <w:szCs w:val="20"/>
              </w:rPr>
            </w:pPr>
            <w:r w:rsidRPr="00D71008">
              <w:rPr>
                <w:noProof/>
                <w:spacing w:val="-2"/>
                <w:sz w:val="20"/>
                <w:szCs w:val="20"/>
              </w:rPr>
              <w:t>Hungary</w:t>
            </w:r>
          </w:p>
        </w:tc>
        <w:tc>
          <w:tcPr>
            <w:tcW w:w="832" w:type="pct"/>
          </w:tcPr>
          <w:p w14:paraId="6EC45791" w14:textId="77777777" w:rsidR="00712390" w:rsidRPr="00D71008" w:rsidRDefault="2471901C" w:rsidP="00CC11D6">
            <w:pPr>
              <w:pStyle w:val="TableParagraph"/>
              <w:ind w:left="11" w:right="6"/>
              <w:jc w:val="center"/>
              <w:rPr>
                <w:noProof/>
                <w:sz w:val="20"/>
                <w:szCs w:val="20"/>
              </w:rPr>
            </w:pPr>
            <w:r w:rsidRPr="00D71008">
              <w:rPr>
                <w:noProof/>
                <w:spacing w:val="-10"/>
                <w:sz w:val="20"/>
                <w:szCs w:val="20"/>
              </w:rPr>
              <w:t>4</w:t>
            </w:r>
          </w:p>
        </w:tc>
        <w:tc>
          <w:tcPr>
            <w:tcW w:w="833" w:type="pct"/>
          </w:tcPr>
          <w:p w14:paraId="7D604517" w14:textId="77777777" w:rsidR="00712390" w:rsidRPr="00D71008" w:rsidRDefault="2471901C" w:rsidP="00CC11D6">
            <w:pPr>
              <w:pStyle w:val="TableParagraph"/>
              <w:ind w:left="7" w:right="4"/>
              <w:jc w:val="center"/>
              <w:rPr>
                <w:noProof/>
                <w:sz w:val="20"/>
                <w:szCs w:val="20"/>
              </w:rPr>
            </w:pPr>
            <w:r w:rsidRPr="00D71008">
              <w:rPr>
                <w:noProof/>
                <w:spacing w:val="-4"/>
                <w:sz w:val="20"/>
                <w:szCs w:val="20"/>
              </w:rPr>
              <w:t>1.2%</w:t>
            </w:r>
          </w:p>
        </w:tc>
        <w:tc>
          <w:tcPr>
            <w:tcW w:w="835" w:type="pct"/>
          </w:tcPr>
          <w:p w14:paraId="71478774" w14:textId="77777777" w:rsidR="00712390" w:rsidRPr="00D71008" w:rsidRDefault="2471901C" w:rsidP="00CC11D6">
            <w:pPr>
              <w:pStyle w:val="TableParagraph"/>
              <w:ind w:left="105"/>
              <w:rPr>
                <w:noProof/>
                <w:sz w:val="20"/>
                <w:szCs w:val="20"/>
              </w:rPr>
            </w:pPr>
            <w:r w:rsidRPr="00D71008">
              <w:rPr>
                <w:noProof/>
                <w:spacing w:val="-2"/>
                <w:sz w:val="20"/>
                <w:szCs w:val="20"/>
              </w:rPr>
              <w:t>Poland</w:t>
            </w:r>
          </w:p>
        </w:tc>
        <w:tc>
          <w:tcPr>
            <w:tcW w:w="833" w:type="pct"/>
          </w:tcPr>
          <w:p w14:paraId="60244FF8" w14:textId="77777777" w:rsidR="00712390" w:rsidRPr="00D71008" w:rsidRDefault="2471901C" w:rsidP="00CC11D6">
            <w:pPr>
              <w:pStyle w:val="TableParagraph"/>
              <w:ind w:left="7" w:right="4"/>
              <w:jc w:val="center"/>
              <w:rPr>
                <w:noProof/>
                <w:sz w:val="20"/>
                <w:szCs w:val="20"/>
              </w:rPr>
            </w:pPr>
            <w:r w:rsidRPr="00D71008">
              <w:rPr>
                <w:noProof/>
                <w:spacing w:val="-10"/>
                <w:sz w:val="20"/>
                <w:szCs w:val="20"/>
              </w:rPr>
              <w:t>1</w:t>
            </w:r>
          </w:p>
        </w:tc>
        <w:tc>
          <w:tcPr>
            <w:tcW w:w="832" w:type="pct"/>
          </w:tcPr>
          <w:p w14:paraId="6C1CCD69" w14:textId="77777777" w:rsidR="00712390" w:rsidRPr="00D71008" w:rsidRDefault="2471901C" w:rsidP="00CC11D6">
            <w:pPr>
              <w:pStyle w:val="TableParagraph"/>
              <w:ind w:left="11" w:right="11"/>
              <w:jc w:val="center"/>
              <w:rPr>
                <w:noProof/>
                <w:sz w:val="20"/>
                <w:szCs w:val="20"/>
              </w:rPr>
            </w:pPr>
            <w:r w:rsidRPr="00D71008">
              <w:rPr>
                <w:noProof/>
                <w:spacing w:val="-4"/>
                <w:sz w:val="20"/>
                <w:szCs w:val="20"/>
              </w:rPr>
              <w:t>0.3%</w:t>
            </w:r>
          </w:p>
        </w:tc>
      </w:tr>
      <w:tr w:rsidR="00712390" w:rsidRPr="00D71008" w14:paraId="33942443" w14:textId="77777777" w:rsidTr="00F0597D">
        <w:trPr>
          <w:trHeight w:val="113"/>
        </w:trPr>
        <w:tc>
          <w:tcPr>
            <w:tcW w:w="835" w:type="pct"/>
          </w:tcPr>
          <w:p w14:paraId="4D43B8E0" w14:textId="77777777" w:rsidR="00712390" w:rsidRPr="00D71008" w:rsidRDefault="2471901C" w:rsidP="00CC11D6">
            <w:pPr>
              <w:pStyle w:val="TableParagraph"/>
              <w:ind w:left="107"/>
              <w:rPr>
                <w:noProof/>
                <w:sz w:val="20"/>
                <w:szCs w:val="20"/>
              </w:rPr>
            </w:pPr>
            <w:r w:rsidRPr="00D71008">
              <w:rPr>
                <w:noProof/>
                <w:spacing w:val="-2"/>
                <w:sz w:val="20"/>
                <w:szCs w:val="20"/>
              </w:rPr>
              <w:t>Latvia</w:t>
            </w:r>
          </w:p>
        </w:tc>
        <w:tc>
          <w:tcPr>
            <w:tcW w:w="832" w:type="pct"/>
          </w:tcPr>
          <w:p w14:paraId="3A1842D7" w14:textId="77777777" w:rsidR="00712390" w:rsidRPr="00D71008" w:rsidRDefault="2471901C" w:rsidP="00CC11D6">
            <w:pPr>
              <w:pStyle w:val="TableParagraph"/>
              <w:ind w:left="11" w:right="6"/>
              <w:jc w:val="center"/>
              <w:rPr>
                <w:noProof/>
                <w:sz w:val="20"/>
                <w:szCs w:val="20"/>
              </w:rPr>
            </w:pPr>
            <w:r w:rsidRPr="00D71008">
              <w:rPr>
                <w:noProof/>
                <w:spacing w:val="-10"/>
                <w:sz w:val="20"/>
                <w:szCs w:val="20"/>
              </w:rPr>
              <w:t>3</w:t>
            </w:r>
          </w:p>
        </w:tc>
        <w:tc>
          <w:tcPr>
            <w:tcW w:w="833" w:type="pct"/>
          </w:tcPr>
          <w:p w14:paraId="4FC9074C" w14:textId="77777777" w:rsidR="00712390" w:rsidRPr="00D71008" w:rsidRDefault="2471901C" w:rsidP="00CC11D6">
            <w:pPr>
              <w:pStyle w:val="TableParagraph"/>
              <w:ind w:left="7" w:right="4"/>
              <w:jc w:val="center"/>
              <w:rPr>
                <w:noProof/>
                <w:sz w:val="20"/>
                <w:szCs w:val="20"/>
              </w:rPr>
            </w:pPr>
            <w:r w:rsidRPr="00D71008">
              <w:rPr>
                <w:noProof/>
                <w:spacing w:val="-4"/>
                <w:sz w:val="20"/>
                <w:szCs w:val="20"/>
              </w:rPr>
              <w:t>0.9%</w:t>
            </w:r>
          </w:p>
        </w:tc>
        <w:tc>
          <w:tcPr>
            <w:tcW w:w="835" w:type="pct"/>
          </w:tcPr>
          <w:p w14:paraId="6E29DC9A" w14:textId="77777777" w:rsidR="00712390" w:rsidRPr="00D71008" w:rsidRDefault="2471901C" w:rsidP="00CC11D6">
            <w:pPr>
              <w:pStyle w:val="TableParagraph"/>
              <w:ind w:left="105"/>
              <w:rPr>
                <w:noProof/>
                <w:sz w:val="20"/>
                <w:szCs w:val="20"/>
              </w:rPr>
            </w:pPr>
            <w:r w:rsidRPr="00D71008">
              <w:rPr>
                <w:noProof/>
                <w:spacing w:val="-2"/>
                <w:sz w:val="20"/>
                <w:szCs w:val="20"/>
              </w:rPr>
              <w:t>Russia</w:t>
            </w:r>
          </w:p>
        </w:tc>
        <w:tc>
          <w:tcPr>
            <w:tcW w:w="833" w:type="pct"/>
          </w:tcPr>
          <w:p w14:paraId="5700F2A9" w14:textId="77777777" w:rsidR="00712390" w:rsidRPr="00D71008" w:rsidRDefault="2471901C" w:rsidP="00CC11D6">
            <w:pPr>
              <w:pStyle w:val="TableParagraph"/>
              <w:ind w:left="7" w:right="4"/>
              <w:jc w:val="center"/>
              <w:rPr>
                <w:noProof/>
                <w:sz w:val="20"/>
                <w:szCs w:val="20"/>
              </w:rPr>
            </w:pPr>
            <w:r w:rsidRPr="00D71008">
              <w:rPr>
                <w:noProof/>
                <w:spacing w:val="-10"/>
                <w:sz w:val="20"/>
                <w:szCs w:val="20"/>
              </w:rPr>
              <w:t>1</w:t>
            </w:r>
          </w:p>
        </w:tc>
        <w:tc>
          <w:tcPr>
            <w:tcW w:w="832" w:type="pct"/>
          </w:tcPr>
          <w:p w14:paraId="5A6A1AD4" w14:textId="77777777" w:rsidR="00712390" w:rsidRPr="00D71008" w:rsidRDefault="2471901C" w:rsidP="00CC11D6">
            <w:pPr>
              <w:pStyle w:val="TableParagraph"/>
              <w:ind w:left="11" w:right="11"/>
              <w:jc w:val="center"/>
              <w:rPr>
                <w:noProof/>
                <w:sz w:val="20"/>
                <w:szCs w:val="20"/>
              </w:rPr>
            </w:pPr>
            <w:r w:rsidRPr="00D71008">
              <w:rPr>
                <w:noProof/>
                <w:spacing w:val="-4"/>
                <w:sz w:val="20"/>
                <w:szCs w:val="20"/>
              </w:rPr>
              <w:t>0.3%</w:t>
            </w:r>
          </w:p>
        </w:tc>
      </w:tr>
      <w:tr w:rsidR="00712390" w:rsidRPr="00D71008" w14:paraId="37A51775" w14:textId="77777777" w:rsidTr="00F0597D">
        <w:trPr>
          <w:trHeight w:val="253"/>
        </w:trPr>
        <w:tc>
          <w:tcPr>
            <w:tcW w:w="835" w:type="pct"/>
          </w:tcPr>
          <w:p w14:paraId="553FF1BC" w14:textId="77777777" w:rsidR="00712390" w:rsidRPr="00D71008" w:rsidRDefault="2471901C" w:rsidP="00CC11D6">
            <w:pPr>
              <w:pStyle w:val="TableParagraph"/>
              <w:ind w:left="107"/>
              <w:rPr>
                <w:noProof/>
                <w:sz w:val="20"/>
                <w:szCs w:val="20"/>
              </w:rPr>
            </w:pPr>
            <w:r w:rsidRPr="00D71008">
              <w:rPr>
                <w:noProof/>
                <w:spacing w:val="-2"/>
                <w:sz w:val="20"/>
                <w:szCs w:val="20"/>
              </w:rPr>
              <w:t>Estonia</w:t>
            </w:r>
          </w:p>
        </w:tc>
        <w:tc>
          <w:tcPr>
            <w:tcW w:w="832" w:type="pct"/>
          </w:tcPr>
          <w:p w14:paraId="11299982" w14:textId="77777777" w:rsidR="00712390" w:rsidRPr="00D71008" w:rsidRDefault="2471901C" w:rsidP="00CC11D6">
            <w:pPr>
              <w:pStyle w:val="TableParagraph"/>
              <w:ind w:left="11" w:right="6"/>
              <w:jc w:val="center"/>
              <w:rPr>
                <w:noProof/>
                <w:sz w:val="20"/>
                <w:szCs w:val="20"/>
              </w:rPr>
            </w:pPr>
            <w:r w:rsidRPr="00D71008">
              <w:rPr>
                <w:noProof/>
                <w:spacing w:val="-10"/>
                <w:sz w:val="20"/>
                <w:szCs w:val="20"/>
              </w:rPr>
              <w:t>2</w:t>
            </w:r>
          </w:p>
        </w:tc>
        <w:tc>
          <w:tcPr>
            <w:tcW w:w="833" w:type="pct"/>
          </w:tcPr>
          <w:p w14:paraId="03F2CC66" w14:textId="77777777" w:rsidR="00712390" w:rsidRPr="00D71008" w:rsidRDefault="2471901C" w:rsidP="00CC11D6">
            <w:pPr>
              <w:pStyle w:val="TableParagraph"/>
              <w:ind w:left="7" w:right="4"/>
              <w:jc w:val="center"/>
              <w:rPr>
                <w:noProof/>
                <w:sz w:val="20"/>
                <w:szCs w:val="20"/>
              </w:rPr>
            </w:pPr>
            <w:r w:rsidRPr="00D71008">
              <w:rPr>
                <w:noProof/>
                <w:spacing w:val="-4"/>
                <w:sz w:val="20"/>
                <w:szCs w:val="20"/>
              </w:rPr>
              <w:t>0.6%</w:t>
            </w:r>
          </w:p>
        </w:tc>
        <w:tc>
          <w:tcPr>
            <w:tcW w:w="835" w:type="pct"/>
          </w:tcPr>
          <w:p w14:paraId="14981310" w14:textId="77777777" w:rsidR="00712390" w:rsidRPr="00D71008" w:rsidRDefault="2471901C" w:rsidP="00CC11D6">
            <w:pPr>
              <w:pStyle w:val="TableParagraph"/>
              <w:ind w:left="105"/>
              <w:rPr>
                <w:noProof/>
                <w:sz w:val="20"/>
                <w:szCs w:val="20"/>
              </w:rPr>
            </w:pPr>
            <w:r w:rsidRPr="00D71008">
              <w:rPr>
                <w:noProof/>
                <w:spacing w:val="-2"/>
                <w:sz w:val="20"/>
                <w:szCs w:val="20"/>
              </w:rPr>
              <w:t>Switzerland</w:t>
            </w:r>
          </w:p>
        </w:tc>
        <w:tc>
          <w:tcPr>
            <w:tcW w:w="833" w:type="pct"/>
          </w:tcPr>
          <w:p w14:paraId="29201485" w14:textId="77777777" w:rsidR="00712390" w:rsidRPr="00D71008" w:rsidRDefault="2471901C" w:rsidP="00CC11D6">
            <w:pPr>
              <w:pStyle w:val="TableParagraph"/>
              <w:ind w:left="7" w:right="4"/>
              <w:jc w:val="center"/>
              <w:rPr>
                <w:noProof/>
                <w:sz w:val="20"/>
                <w:szCs w:val="20"/>
              </w:rPr>
            </w:pPr>
            <w:r w:rsidRPr="00D71008">
              <w:rPr>
                <w:noProof/>
                <w:spacing w:val="-10"/>
                <w:sz w:val="20"/>
                <w:szCs w:val="20"/>
              </w:rPr>
              <w:t>1</w:t>
            </w:r>
          </w:p>
        </w:tc>
        <w:tc>
          <w:tcPr>
            <w:tcW w:w="832" w:type="pct"/>
          </w:tcPr>
          <w:p w14:paraId="4EC005A3" w14:textId="77777777" w:rsidR="00712390" w:rsidRPr="00D71008" w:rsidRDefault="2471901C" w:rsidP="00CC11D6">
            <w:pPr>
              <w:pStyle w:val="TableParagraph"/>
              <w:ind w:left="11" w:right="11"/>
              <w:jc w:val="center"/>
              <w:rPr>
                <w:noProof/>
                <w:sz w:val="20"/>
                <w:szCs w:val="20"/>
              </w:rPr>
            </w:pPr>
            <w:r w:rsidRPr="00D71008">
              <w:rPr>
                <w:noProof/>
                <w:spacing w:val="-4"/>
                <w:sz w:val="20"/>
                <w:szCs w:val="20"/>
              </w:rPr>
              <w:t>0.3%</w:t>
            </w:r>
          </w:p>
        </w:tc>
      </w:tr>
    </w:tbl>
    <w:p w14:paraId="5381A3CB" w14:textId="77777777" w:rsidR="00712390" w:rsidRPr="00D71008" w:rsidRDefault="00712390" w:rsidP="00BAA9A3">
      <w:pPr>
        <w:pStyle w:val="BodyText"/>
        <w:spacing w:before="59"/>
        <w:ind w:left="0"/>
        <w:jc w:val="left"/>
        <w:rPr>
          <w:i/>
          <w:noProof/>
          <w:sz w:val="22"/>
          <w:szCs w:val="22"/>
        </w:rPr>
      </w:pPr>
    </w:p>
    <w:p w14:paraId="2F7576BE" w14:textId="6ACD82B8" w:rsidR="00712390" w:rsidRPr="00D71008" w:rsidRDefault="2471901C" w:rsidP="007316CF">
      <w:pPr>
        <w:spacing w:after="6"/>
        <w:rPr>
          <w:i/>
          <w:noProof/>
        </w:rPr>
      </w:pPr>
      <w:r w:rsidRPr="00F0597D">
        <w:rPr>
          <w:i/>
          <w:noProof/>
          <w:sz w:val="22"/>
          <w:szCs w:val="22"/>
        </w:rPr>
        <w:t xml:space="preserve">Table </w:t>
      </w:r>
      <w:r w:rsidR="00F0597D" w:rsidRPr="00F0597D">
        <w:rPr>
          <w:i/>
          <w:noProof/>
          <w:sz w:val="22"/>
          <w:szCs w:val="22"/>
        </w:rPr>
        <w:fldChar w:fldCharType="begin"/>
      </w:r>
      <w:r w:rsidR="00F0597D" w:rsidRPr="00F0597D">
        <w:rPr>
          <w:i/>
          <w:noProof/>
          <w:sz w:val="22"/>
          <w:szCs w:val="22"/>
        </w:rPr>
        <w:instrText xml:space="preserve"> SEQ Table \* ARABIC </w:instrText>
      </w:r>
      <w:r w:rsidR="00F0597D" w:rsidRPr="00F0597D">
        <w:rPr>
          <w:i/>
          <w:noProof/>
          <w:sz w:val="22"/>
          <w:szCs w:val="22"/>
        </w:rPr>
        <w:fldChar w:fldCharType="separate"/>
      </w:r>
      <w:r w:rsidR="0055391F">
        <w:rPr>
          <w:i/>
          <w:noProof/>
          <w:sz w:val="22"/>
          <w:szCs w:val="22"/>
        </w:rPr>
        <w:t>37</w:t>
      </w:r>
      <w:r w:rsidR="00F0597D" w:rsidRPr="00F0597D">
        <w:rPr>
          <w:i/>
          <w:noProof/>
          <w:sz w:val="22"/>
          <w:szCs w:val="22"/>
        </w:rPr>
        <w:fldChar w:fldCharType="end"/>
      </w:r>
      <w:r w:rsidR="00F0597D" w:rsidRPr="00F0597D">
        <w:rPr>
          <w:i/>
          <w:noProof/>
          <w:sz w:val="22"/>
          <w:szCs w:val="22"/>
        </w:rPr>
        <w:t>:</w:t>
      </w:r>
      <w:r w:rsidRPr="00F0597D">
        <w:rPr>
          <w:i/>
          <w:noProof/>
          <w:sz w:val="22"/>
          <w:szCs w:val="22"/>
        </w:rPr>
        <w:t xml:space="preserve"> </w:t>
      </w:r>
      <w:r w:rsidRPr="00D71008">
        <w:rPr>
          <w:i/>
          <w:noProof/>
        </w:rPr>
        <w:t>Classification</w:t>
      </w:r>
      <w:r w:rsidRPr="00D71008">
        <w:rPr>
          <w:i/>
          <w:noProof/>
          <w:spacing w:val="-3"/>
        </w:rPr>
        <w:t xml:space="preserve"> </w:t>
      </w:r>
      <w:r w:rsidRPr="00D71008">
        <w:rPr>
          <w:i/>
          <w:noProof/>
        </w:rPr>
        <w:t>and</w:t>
      </w:r>
      <w:r w:rsidRPr="00D71008">
        <w:rPr>
          <w:i/>
          <w:noProof/>
          <w:spacing w:val="-4"/>
        </w:rPr>
        <w:t xml:space="preserve"> </w:t>
      </w:r>
      <w:r w:rsidRPr="00D71008">
        <w:rPr>
          <w:i/>
          <w:noProof/>
        </w:rPr>
        <w:t>number</w:t>
      </w:r>
      <w:r w:rsidRPr="00D71008">
        <w:rPr>
          <w:i/>
          <w:noProof/>
          <w:spacing w:val="-4"/>
        </w:rPr>
        <w:t xml:space="preserve"> </w:t>
      </w:r>
      <w:r w:rsidRPr="00D71008">
        <w:rPr>
          <w:i/>
          <w:noProof/>
        </w:rPr>
        <w:t>of</w:t>
      </w:r>
      <w:r w:rsidRPr="00D71008">
        <w:rPr>
          <w:i/>
          <w:noProof/>
          <w:spacing w:val="-2"/>
        </w:rPr>
        <w:t xml:space="preserve"> </w:t>
      </w:r>
      <w:r w:rsidRPr="00D71008">
        <w:rPr>
          <w:i/>
          <w:noProof/>
        </w:rPr>
        <w:t>stakeholders</w:t>
      </w:r>
      <w:r w:rsidRPr="00D71008">
        <w:rPr>
          <w:i/>
          <w:noProof/>
          <w:spacing w:val="-4"/>
        </w:rPr>
        <w:t xml:space="preserve"> </w:t>
      </w:r>
      <w:r w:rsidRPr="00D71008">
        <w:rPr>
          <w:i/>
          <w:noProof/>
        </w:rPr>
        <w:t>responding</w:t>
      </w:r>
      <w:r w:rsidRPr="00D71008">
        <w:rPr>
          <w:i/>
          <w:noProof/>
          <w:spacing w:val="-6"/>
        </w:rPr>
        <w:t xml:space="preserve"> </w:t>
      </w:r>
      <w:r w:rsidRPr="00D71008">
        <w:rPr>
          <w:i/>
          <w:noProof/>
        </w:rPr>
        <w:t>to</w:t>
      </w:r>
      <w:r w:rsidRPr="00D71008">
        <w:rPr>
          <w:i/>
          <w:noProof/>
          <w:spacing w:val="-7"/>
        </w:rPr>
        <w:t xml:space="preserve"> </w:t>
      </w:r>
      <w:r w:rsidRPr="00D71008">
        <w:rPr>
          <w:i/>
          <w:noProof/>
        </w:rPr>
        <w:t>the</w:t>
      </w:r>
      <w:r w:rsidRPr="00D71008">
        <w:rPr>
          <w:i/>
          <w:noProof/>
          <w:spacing w:val="-3"/>
        </w:rPr>
        <w:t xml:space="preserve"> </w:t>
      </w:r>
      <w:r w:rsidRPr="00D71008">
        <w:rPr>
          <w:i/>
          <w:noProof/>
          <w:spacing w:val="-5"/>
        </w:rPr>
        <w:t>OPC</w:t>
      </w:r>
      <w:r w:rsidR="00074CD7">
        <w:rPr>
          <w:i/>
          <w:noProof/>
          <w:spacing w:val="-5"/>
        </w:rPr>
        <w:t xml:space="preserve"> on </w:t>
      </w:r>
      <w:r w:rsidR="00A356B2">
        <w:rPr>
          <w:i/>
          <w:noProof/>
          <w:spacing w:val="-5"/>
        </w:rPr>
        <w:t>RMB</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00"/>
        <w:gridCol w:w="2401"/>
        <w:gridCol w:w="2401"/>
        <w:gridCol w:w="2401"/>
      </w:tblGrid>
      <w:tr w:rsidR="007316CF" w:rsidRPr="00D71008" w14:paraId="496A112B" w14:textId="77777777" w:rsidTr="00F0597D">
        <w:trPr>
          <w:trHeight w:val="113"/>
        </w:trPr>
        <w:tc>
          <w:tcPr>
            <w:tcW w:w="1250" w:type="pct"/>
            <w:shd w:val="clear" w:color="auto" w:fill="006FC0"/>
            <w:vAlign w:val="center"/>
          </w:tcPr>
          <w:p w14:paraId="48592240" w14:textId="77777777" w:rsidR="00712390" w:rsidRPr="00D71008" w:rsidRDefault="2471901C" w:rsidP="007316CF">
            <w:pPr>
              <w:pStyle w:val="TableParagraph"/>
              <w:ind w:left="436"/>
              <w:jc w:val="center"/>
              <w:rPr>
                <w:b/>
                <w:noProof/>
                <w:sz w:val="20"/>
                <w:szCs w:val="20"/>
              </w:rPr>
            </w:pPr>
            <w:r w:rsidRPr="00D71008">
              <w:rPr>
                <w:b/>
                <w:noProof/>
                <w:color w:val="FFFFFF"/>
                <w:sz w:val="20"/>
                <w:szCs w:val="20"/>
              </w:rPr>
              <w:t>Stakeholder</w:t>
            </w:r>
            <w:r w:rsidRPr="00D71008">
              <w:rPr>
                <w:b/>
                <w:noProof/>
                <w:color w:val="FFFFFF"/>
                <w:spacing w:val="-10"/>
                <w:sz w:val="20"/>
                <w:szCs w:val="20"/>
              </w:rPr>
              <w:t xml:space="preserve"> </w:t>
            </w:r>
            <w:r w:rsidRPr="00D71008">
              <w:rPr>
                <w:b/>
                <w:noProof/>
                <w:color w:val="FFFFFF"/>
                <w:spacing w:val="-2"/>
                <w:sz w:val="20"/>
                <w:szCs w:val="20"/>
              </w:rPr>
              <w:t>group</w:t>
            </w:r>
          </w:p>
        </w:tc>
        <w:tc>
          <w:tcPr>
            <w:tcW w:w="1250" w:type="pct"/>
            <w:shd w:val="clear" w:color="auto" w:fill="006FC0"/>
            <w:vAlign w:val="center"/>
          </w:tcPr>
          <w:p w14:paraId="1E83D92E" w14:textId="77777777" w:rsidR="00712390" w:rsidRPr="00D71008" w:rsidRDefault="2471901C" w:rsidP="007316CF">
            <w:pPr>
              <w:pStyle w:val="TableParagraph"/>
              <w:ind w:left="7" w:right="3"/>
              <w:jc w:val="center"/>
              <w:rPr>
                <w:b/>
                <w:noProof/>
                <w:sz w:val="20"/>
                <w:szCs w:val="20"/>
              </w:rPr>
            </w:pPr>
            <w:r w:rsidRPr="00D71008">
              <w:rPr>
                <w:b/>
                <w:noProof/>
                <w:color w:val="FFFFFF"/>
                <w:sz w:val="20"/>
                <w:szCs w:val="20"/>
              </w:rPr>
              <w:t>High</w:t>
            </w:r>
            <w:r w:rsidRPr="00D71008">
              <w:rPr>
                <w:b/>
                <w:noProof/>
                <w:color w:val="FFFFFF"/>
                <w:spacing w:val="-5"/>
                <w:sz w:val="20"/>
                <w:szCs w:val="20"/>
              </w:rPr>
              <w:t xml:space="preserve"> </w:t>
            </w:r>
            <w:r w:rsidRPr="00D71008">
              <w:rPr>
                <w:b/>
                <w:noProof/>
                <w:color w:val="FFFFFF"/>
                <w:sz w:val="20"/>
                <w:szCs w:val="20"/>
              </w:rPr>
              <w:t>level</w:t>
            </w:r>
            <w:r w:rsidRPr="00D71008">
              <w:rPr>
                <w:b/>
                <w:noProof/>
                <w:color w:val="FFFFFF"/>
                <w:spacing w:val="-4"/>
                <w:sz w:val="20"/>
                <w:szCs w:val="20"/>
              </w:rPr>
              <w:t xml:space="preserve"> </w:t>
            </w:r>
            <w:r w:rsidRPr="00D71008">
              <w:rPr>
                <w:b/>
                <w:noProof/>
                <w:color w:val="FFFFFF"/>
                <w:spacing w:val="-2"/>
                <w:sz w:val="20"/>
                <w:szCs w:val="20"/>
              </w:rPr>
              <w:t>grouping</w:t>
            </w:r>
          </w:p>
        </w:tc>
        <w:tc>
          <w:tcPr>
            <w:tcW w:w="1250" w:type="pct"/>
            <w:shd w:val="clear" w:color="auto" w:fill="006FC0"/>
            <w:vAlign w:val="center"/>
          </w:tcPr>
          <w:p w14:paraId="432F6AB7" w14:textId="77777777" w:rsidR="00712390" w:rsidRPr="00D71008" w:rsidRDefault="2471901C" w:rsidP="007316CF">
            <w:pPr>
              <w:pStyle w:val="TableParagraph"/>
              <w:ind w:left="8" w:right="4"/>
              <w:jc w:val="center"/>
              <w:rPr>
                <w:b/>
                <w:noProof/>
                <w:sz w:val="20"/>
                <w:szCs w:val="20"/>
              </w:rPr>
            </w:pPr>
            <w:r w:rsidRPr="00D71008">
              <w:rPr>
                <w:b/>
                <w:noProof/>
                <w:color w:val="FFFFFF"/>
                <w:sz w:val="20"/>
                <w:szCs w:val="20"/>
              </w:rPr>
              <w:t>Number</w:t>
            </w:r>
            <w:r w:rsidRPr="00D71008">
              <w:rPr>
                <w:b/>
                <w:noProof/>
                <w:color w:val="FFFFFF"/>
                <w:spacing w:val="-5"/>
                <w:sz w:val="20"/>
                <w:szCs w:val="20"/>
              </w:rPr>
              <w:t xml:space="preserve"> </w:t>
            </w:r>
            <w:r w:rsidRPr="00D71008">
              <w:rPr>
                <w:b/>
                <w:noProof/>
                <w:color w:val="FFFFFF"/>
                <w:sz w:val="20"/>
                <w:szCs w:val="20"/>
              </w:rPr>
              <w:t>of</w:t>
            </w:r>
            <w:r w:rsidRPr="00D71008">
              <w:rPr>
                <w:b/>
                <w:noProof/>
                <w:color w:val="FFFFFF"/>
                <w:spacing w:val="-4"/>
                <w:sz w:val="20"/>
                <w:szCs w:val="20"/>
              </w:rPr>
              <w:t xml:space="preserve"> </w:t>
            </w:r>
            <w:r w:rsidRPr="00D71008">
              <w:rPr>
                <w:b/>
                <w:noProof/>
                <w:color w:val="FFFFFF"/>
                <w:spacing w:val="-2"/>
                <w:sz w:val="20"/>
                <w:szCs w:val="20"/>
              </w:rPr>
              <w:t>responses</w:t>
            </w:r>
          </w:p>
        </w:tc>
        <w:tc>
          <w:tcPr>
            <w:tcW w:w="1250" w:type="pct"/>
            <w:shd w:val="clear" w:color="auto" w:fill="006FC0"/>
            <w:vAlign w:val="center"/>
          </w:tcPr>
          <w:p w14:paraId="0D1DC061" w14:textId="77777777" w:rsidR="00712390" w:rsidRPr="00D71008" w:rsidRDefault="2471901C" w:rsidP="007316CF">
            <w:pPr>
              <w:pStyle w:val="TableParagraph"/>
              <w:ind w:left="8" w:right="6"/>
              <w:jc w:val="center"/>
              <w:rPr>
                <w:b/>
                <w:noProof/>
                <w:sz w:val="20"/>
                <w:szCs w:val="20"/>
              </w:rPr>
            </w:pPr>
            <w:r w:rsidRPr="00D71008">
              <w:rPr>
                <w:b/>
                <w:noProof/>
                <w:color w:val="FFFFFF"/>
                <w:sz w:val="20"/>
                <w:szCs w:val="20"/>
              </w:rPr>
              <w:t>%</w:t>
            </w:r>
            <w:r w:rsidRPr="00D71008">
              <w:rPr>
                <w:b/>
                <w:noProof/>
                <w:color w:val="FFFFFF"/>
                <w:spacing w:val="-2"/>
                <w:sz w:val="20"/>
                <w:szCs w:val="20"/>
              </w:rPr>
              <w:t xml:space="preserve"> </w:t>
            </w:r>
            <w:r w:rsidRPr="00D71008">
              <w:rPr>
                <w:b/>
                <w:noProof/>
                <w:color w:val="FFFFFF"/>
                <w:sz w:val="20"/>
                <w:szCs w:val="20"/>
              </w:rPr>
              <w:t xml:space="preserve">of </w:t>
            </w:r>
            <w:r w:rsidRPr="00D71008">
              <w:rPr>
                <w:b/>
                <w:noProof/>
                <w:color w:val="FFFFFF"/>
                <w:spacing w:val="-2"/>
                <w:sz w:val="20"/>
                <w:szCs w:val="20"/>
              </w:rPr>
              <w:t>responses</w:t>
            </w:r>
          </w:p>
        </w:tc>
      </w:tr>
      <w:tr w:rsidR="007316CF" w:rsidRPr="00D71008" w14:paraId="1A8387D4" w14:textId="77777777" w:rsidTr="00F0597D">
        <w:trPr>
          <w:trHeight w:val="113"/>
        </w:trPr>
        <w:tc>
          <w:tcPr>
            <w:tcW w:w="1250" w:type="pct"/>
            <w:vAlign w:val="center"/>
          </w:tcPr>
          <w:p w14:paraId="052186DA" w14:textId="77777777" w:rsidR="00712390" w:rsidRPr="00D71008" w:rsidRDefault="2471901C" w:rsidP="007316CF">
            <w:pPr>
              <w:pStyle w:val="TableParagraph"/>
              <w:ind w:left="107"/>
              <w:jc w:val="center"/>
              <w:rPr>
                <w:noProof/>
                <w:sz w:val="20"/>
                <w:szCs w:val="20"/>
              </w:rPr>
            </w:pPr>
            <w:r w:rsidRPr="00D71008">
              <w:rPr>
                <w:noProof/>
                <w:sz w:val="20"/>
                <w:szCs w:val="20"/>
              </w:rPr>
              <w:t>Business</w:t>
            </w:r>
            <w:r w:rsidRPr="00D71008">
              <w:rPr>
                <w:noProof/>
                <w:spacing w:val="-11"/>
                <w:sz w:val="20"/>
                <w:szCs w:val="20"/>
              </w:rPr>
              <w:t xml:space="preserve"> </w:t>
            </w:r>
            <w:r w:rsidRPr="00D71008">
              <w:rPr>
                <w:noProof/>
                <w:spacing w:val="-2"/>
                <w:sz w:val="20"/>
                <w:szCs w:val="20"/>
              </w:rPr>
              <w:t>association</w:t>
            </w:r>
          </w:p>
        </w:tc>
        <w:tc>
          <w:tcPr>
            <w:tcW w:w="1250" w:type="pct"/>
            <w:vAlign w:val="center"/>
          </w:tcPr>
          <w:p w14:paraId="723EFFB5" w14:textId="77777777" w:rsidR="00712390" w:rsidRPr="00D71008" w:rsidRDefault="2471901C" w:rsidP="007316CF">
            <w:pPr>
              <w:pStyle w:val="TableParagraph"/>
              <w:ind w:left="7" w:right="2"/>
              <w:jc w:val="center"/>
              <w:rPr>
                <w:noProof/>
                <w:sz w:val="20"/>
                <w:szCs w:val="20"/>
              </w:rPr>
            </w:pPr>
            <w:r w:rsidRPr="00D71008">
              <w:rPr>
                <w:noProof/>
                <w:spacing w:val="-2"/>
                <w:sz w:val="20"/>
                <w:szCs w:val="20"/>
              </w:rPr>
              <w:t>Industry</w:t>
            </w:r>
          </w:p>
        </w:tc>
        <w:tc>
          <w:tcPr>
            <w:tcW w:w="1250" w:type="pct"/>
            <w:vAlign w:val="center"/>
          </w:tcPr>
          <w:p w14:paraId="75E4AA87" w14:textId="77777777" w:rsidR="00712390" w:rsidRPr="00D71008" w:rsidRDefault="2471901C" w:rsidP="007316CF">
            <w:pPr>
              <w:pStyle w:val="TableParagraph"/>
              <w:ind w:left="8"/>
              <w:jc w:val="center"/>
              <w:rPr>
                <w:noProof/>
                <w:sz w:val="20"/>
                <w:szCs w:val="20"/>
              </w:rPr>
            </w:pPr>
            <w:r w:rsidRPr="00D71008">
              <w:rPr>
                <w:noProof/>
                <w:spacing w:val="-5"/>
                <w:sz w:val="20"/>
                <w:szCs w:val="20"/>
              </w:rPr>
              <w:t>17</w:t>
            </w:r>
          </w:p>
        </w:tc>
        <w:tc>
          <w:tcPr>
            <w:tcW w:w="1250" w:type="pct"/>
            <w:vAlign w:val="center"/>
          </w:tcPr>
          <w:p w14:paraId="606EECE9" w14:textId="77777777" w:rsidR="00712390" w:rsidRPr="00D71008" w:rsidRDefault="2471901C" w:rsidP="007316CF">
            <w:pPr>
              <w:pStyle w:val="TableParagraph"/>
              <w:ind w:left="8" w:right="2"/>
              <w:jc w:val="center"/>
              <w:rPr>
                <w:noProof/>
                <w:sz w:val="20"/>
                <w:szCs w:val="20"/>
              </w:rPr>
            </w:pPr>
            <w:r w:rsidRPr="00D71008">
              <w:rPr>
                <w:noProof/>
                <w:spacing w:val="-4"/>
                <w:sz w:val="20"/>
                <w:szCs w:val="20"/>
              </w:rPr>
              <w:t>5.1%</w:t>
            </w:r>
          </w:p>
        </w:tc>
      </w:tr>
      <w:tr w:rsidR="007316CF" w:rsidRPr="00D71008" w14:paraId="02E294A3" w14:textId="77777777" w:rsidTr="00F0597D">
        <w:trPr>
          <w:trHeight w:val="113"/>
        </w:trPr>
        <w:tc>
          <w:tcPr>
            <w:tcW w:w="1250" w:type="pct"/>
            <w:vAlign w:val="center"/>
          </w:tcPr>
          <w:p w14:paraId="42FE9A0C" w14:textId="77777777" w:rsidR="00712390" w:rsidRPr="00D71008" w:rsidRDefault="2471901C" w:rsidP="007316CF">
            <w:pPr>
              <w:pStyle w:val="TableParagraph"/>
              <w:ind w:left="107"/>
              <w:jc w:val="center"/>
              <w:rPr>
                <w:noProof/>
                <w:sz w:val="20"/>
                <w:szCs w:val="20"/>
              </w:rPr>
            </w:pPr>
            <w:r w:rsidRPr="00D71008">
              <w:rPr>
                <w:noProof/>
                <w:spacing w:val="-2"/>
                <w:sz w:val="20"/>
                <w:szCs w:val="20"/>
              </w:rPr>
              <w:t>Company</w:t>
            </w:r>
          </w:p>
        </w:tc>
        <w:tc>
          <w:tcPr>
            <w:tcW w:w="1250" w:type="pct"/>
            <w:vAlign w:val="center"/>
          </w:tcPr>
          <w:p w14:paraId="3C688385" w14:textId="77777777" w:rsidR="00712390" w:rsidRPr="00D71008" w:rsidRDefault="2471901C" w:rsidP="007316CF">
            <w:pPr>
              <w:pStyle w:val="TableParagraph"/>
              <w:ind w:left="7" w:right="2"/>
              <w:jc w:val="center"/>
              <w:rPr>
                <w:noProof/>
                <w:sz w:val="20"/>
                <w:szCs w:val="20"/>
              </w:rPr>
            </w:pPr>
            <w:r w:rsidRPr="00D71008">
              <w:rPr>
                <w:noProof/>
                <w:spacing w:val="-2"/>
                <w:sz w:val="20"/>
                <w:szCs w:val="20"/>
              </w:rPr>
              <w:t>Industry</w:t>
            </w:r>
          </w:p>
        </w:tc>
        <w:tc>
          <w:tcPr>
            <w:tcW w:w="1250" w:type="pct"/>
            <w:vAlign w:val="center"/>
          </w:tcPr>
          <w:p w14:paraId="108A51E5" w14:textId="77777777" w:rsidR="00712390" w:rsidRPr="00D71008" w:rsidRDefault="2471901C" w:rsidP="007316CF">
            <w:pPr>
              <w:pStyle w:val="TableParagraph"/>
              <w:ind w:left="8"/>
              <w:jc w:val="center"/>
              <w:rPr>
                <w:noProof/>
                <w:sz w:val="20"/>
                <w:szCs w:val="20"/>
              </w:rPr>
            </w:pPr>
            <w:r w:rsidRPr="00D71008">
              <w:rPr>
                <w:noProof/>
                <w:spacing w:val="-5"/>
                <w:sz w:val="20"/>
                <w:szCs w:val="20"/>
              </w:rPr>
              <w:t>62</w:t>
            </w:r>
          </w:p>
        </w:tc>
        <w:tc>
          <w:tcPr>
            <w:tcW w:w="1250" w:type="pct"/>
            <w:vAlign w:val="center"/>
          </w:tcPr>
          <w:p w14:paraId="25748A19" w14:textId="77777777" w:rsidR="00712390" w:rsidRPr="00D71008" w:rsidRDefault="2471901C" w:rsidP="007316CF">
            <w:pPr>
              <w:pStyle w:val="TableParagraph"/>
              <w:ind w:left="8" w:right="2"/>
              <w:jc w:val="center"/>
              <w:rPr>
                <w:noProof/>
                <w:sz w:val="20"/>
                <w:szCs w:val="20"/>
              </w:rPr>
            </w:pPr>
            <w:r w:rsidRPr="00D71008">
              <w:rPr>
                <w:noProof/>
                <w:spacing w:val="-2"/>
                <w:sz w:val="20"/>
                <w:szCs w:val="20"/>
              </w:rPr>
              <w:t>18.5%</w:t>
            </w:r>
          </w:p>
        </w:tc>
      </w:tr>
      <w:tr w:rsidR="007316CF" w:rsidRPr="00D71008" w14:paraId="3D41C0BB" w14:textId="77777777" w:rsidTr="00F0597D">
        <w:trPr>
          <w:trHeight w:val="113"/>
        </w:trPr>
        <w:tc>
          <w:tcPr>
            <w:tcW w:w="1250" w:type="pct"/>
            <w:vAlign w:val="center"/>
          </w:tcPr>
          <w:p w14:paraId="496CE37E" w14:textId="77777777" w:rsidR="00712390" w:rsidRPr="00D71008" w:rsidRDefault="2471901C" w:rsidP="007316CF">
            <w:pPr>
              <w:pStyle w:val="TableParagraph"/>
              <w:ind w:left="107"/>
              <w:jc w:val="center"/>
              <w:rPr>
                <w:noProof/>
                <w:sz w:val="20"/>
                <w:szCs w:val="20"/>
              </w:rPr>
            </w:pPr>
            <w:r w:rsidRPr="00D71008">
              <w:rPr>
                <w:noProof/>
                <w:sz w:val="20"/>
                <w:szCs w:val="20"/>
              </w:rPr>
              <w:t>EU</w:t>
            </w:r>
            <w:r w:rsidRPr="00D71008">
              <w:rPr>
                <w:noProof/>
                <w:spacing w:val="-3"/>
                <w:sz w:val="20"/>
                <w:szCs w:val="20"/>
              </w:rPr>
              <w:t xml:space="preserve"> </w:t>
            </w:r>
            <w:r w:rsidRPr="00D71008">
              <w:rPr>
                <w:noProof/>
                <w:spacing w:val="-2"/>
                <w:sz w:val="20"/>
                <w:szCs w:val="20"/>
              </w:rPr>
              <w:t>citizen</w:t>
            </w:r>
          </w:p>
        </w:tc>
        <w:tc>
          <w:tcPr>
            <w:tcW w:w="1250" w:type="pct"/>
            <w:vAlign w:val="center"/>
          </w:tcPr>
          <w:p w14:paraId="71602E0B" w14:textId="77777777" w:rsidR="00712390" w:rsidRPr="00D71008" w:rsidRDefault="2471901C" w:rsidP="007316CF">
            <w:pPr>
              <w:pStyle w:val="TableParagraph"/>
              <w:ind w:left="7"/>
              <w:jc w:val="center"/>
              <w:rPr>
                <w:noProof/>
                <w:sz w:val="20"/>
                <w:szCs w:val="20"/>
              </w:rPr>
            </w:pPr>
            <w:r w:rsidRPr="00D71008">
              <w:rPr>
                <w:noProof/>
                <w:spacing w:val="-2"/>
                <w:sz w:val="20"/>
                <w:szCs w:val="20"/>
              </w:rPr>
              <w:t>Citizen</w:t>
            </w:r>
          </w:p>
        </w:tc>
        <w:tc>
          <w:tcPr>
            <w:tcW w:w="1250" w:type="pct"/>
            <w:vAlign w:val="center"/>
          </w:tcPr>
          <w:p w14:paraId="11D3419A" w14:textId="77777777" w:rsidR="00712390" w:rsidRPr="00D71008" w:rsidRDefault="2471901C" w:rsidP="007316CF">
            <w:pPr>
              <w:pStyle w:val="TableParagraph"/>
              <w:ind w:left="8"/>
              <w:jc w:val="center"/>
              <w:rPr>
                <w:noProof/>
                <w:sz w:val="20"/>
                <w:szCs w:val="20"/>
              </w:rPr>
            </w:pPr>
            <w:r w:rsidRPr="00D71008">
              <w:rPr>
                <w:noProof/>
                <w:spacing w:val="-5"/>
                <w:sz w:val="20"/>
                <w:szCs w:val="20"/>
              </w:rPr>
              <w:t>173</w:t>
            </w:r>
          </w:p>
        </w:tc>
        <w:tc>
          <w:tcPr>
            <w:tcW w:w="1250" w:type="pct"/>
            <w:vAlign w:val="center"/>
          </w:tcPr>
          <w:p w14:paraId="7088701B" w14:textId="77777777" w:rsidR="00712390" w:rsidRPr="00D71008" w:rsidRDefault="2471901C" w:rsidP="007316CF">
            <w:pPr>
              <w:pStyle w:val="TableParagraph"/>
              <w:ind w:left="8" w:right="2"/>
              <w:jc w:val="center"/>
              <w:rPr>
                <w:noProof/>
                <w:sz w:val="20"/>
                <w:szCs w:val="20"/>
              </w:rPr>
            </w:pPr>
            <w:r w:rsidRPr="00D71008">
              <w:rPr>
                <w:noProof/>
                <w:spacing w:val="-2"/>
                <w:sz w:val="20"/>
                <w:szCs w:val="20"/>
              </w:rPr>
              <w:t>51.5%</w:t>
            </w:r>
          </w:p>
        </w:tc>
      </w:tr>
      <w:tr w:rsidR="007316CF" w:rsidRPr="00D71008" w14:paraId="44C23D7F" w14:textId="77777777" w:rsidTr="00F0597D">
        <w:trPr>
          <w:trHeight w:val="113"/>
        </w:trPr>
        <w:tc>
          <w:tcPr>
            <w:tcW w:w="1250" w:type="pct"/>
            <w:vAlign w:val="center"/>
          </w:tcPr>
          <w:p w14:paraId="1E8BA8C4" w14:textId="77777777" w:rsidR="00712390" w:rsidRPr="00D71008" w:rsidRDefault="2471901C" w:rsidP="007316CF">
            <w:pPr>
              <w:pStyle w:val="TableParagraph"/>
              <w:ind w:left="107"/>
              <w:jc w:val="center"/>
              <w:rPr>
                <w:noProof/>
                <w:sz w:val="20"/>
                <w:szCs w:val="20"/>
              </w:rPr>
            </w:pPr>
            <w:r w:rsidRPr="00D71008">
              <w:rPr>
                <w:noProof/>
                <w:sz w:val="20"/>
                <w:szCs w:val="20"/>
              </w:rPr>
              <w:t>Non-EU</w:t>
            </w:r>
            <w:r w:rsidRPr="00D71008">
              <w:rPr>
                <w:noProof/>
                <w:spacing w:val="-10"/>
                <w:sz w:val="20"/>
                <w:szCs w:val="20"/>
              </w:rPr>
              <w:t xml:space="preserve"> </w:t>
            </w:r>
            <w:r w:rsidRPr="00D71008">
              <w:rPr>
                <w:noProof/>
                <w:spacing w:val="-2"/>
                <w:sz w:val="20"/>
                <w:szCs w:val="20"/>
              </w:rPr>
              <w:t>citizen</w:t>
            </w:r>
          </w:p>
        </w:tc>
        <w:tc>
          <w:tcPr>
            <w:tcW w:w="1250" w:type="pct"/>
            <w:vAlign w:val="center"/>
          </w:tcPr>
          <w:p w14:paraId="6ED63114" w14:textId="77777777" w:rsidR="00712390" w:rsidRPr="00D71008" w:rsidRDefault="2471901C" w:rsidP="007316CF">
            <w:pPr>
              <w:pStyle w:val="TableParagraph"/>
              <w:ind w:left="7"/>
              <w:jc w:val="center"/>
              <w:rPr>
                <w:noProof/>
                <w:sz w:val="20"/>
                <w:szCs w:val="20"/>
              </w:rPr>
            </w:pPr>
            <w:r w:rsidRPr="00D71008">
              <w:rPr>
                <w:noProof/>
                <w:spacing w:val="-2"/>
                <w:sz w:val="20"/>
                <w:szCs w:val="20"/>
              </w:rPr>
              <w:t>Citizen</w:t>
            </w:r>
          </w:p>
        </w:tc>
        <w:tc>
          <w:tcPr>
            <w:tcW w:w="1250" w:type="pct"/>
            <w:vAlign w:val="center"/>
          </w:tcPr>
          <w:p w14:paraId="2A25D037" w14:textId="77777777" w:rsidR="00712390" w:rsidRPr="00D71008" w:rsidRDefault="2471901C" w:rsidP="007316CF">
            <w:pPr>
              <w:pStyle w:val="TableParagraph"/>
              <w:ind w:left="8" w:right="1"/>
              <w:jc w:val="center"/>
              <w:rPr>
                <w:noProof/>
                <w:sz w:val="20"/>
                <w:szCs w:val="20"/>
              </w:rPr>
            </w:pPr>
            <w:r w:rsidRPr="00D71008">
              <w:rPr>
                <w:noProof/>
                <w:spacing w:val="-10"/>
                <w:sz w:val="20"/>
                <w:szCs w:val="20"/>
              </w:rPr>
              <w:t>6</w:t>
            </w:r>
          </w:p>
        </w:tc>
        <w:tc>
          <w:tcPr>
            <w:tcW w:w="1250" w:type="pct"/>
            <w:vAlign w:val="center"/>
          </w:tcPr>
          <w:p w14:paraId="07B1A2E1" w14:textId="77777777" w:rsidR="00712390" w:rsidRPr="00D71008" w:rsidRDefault="2471901C" w:rsidP="007316CF">
            <w:pPr>
              <w:pStyle w:val="TableParagraph"/>
              <w:ind w:left="8" w:right="2"/>
              <w:jc w:val="center"/>
              <w:rPr>
                <w:noProof/>
                <w:sz w:val="20"/>
                <w:szCs w:val="20"/>
              </w:rPr>
            </w:pPr>
            <w:r w:rsidRPr="00D71008">
              <w:rPr>
                <w:noProof/>
                <w:spacing w:val="-4"/>
                <w:sz w:val="20"/>
                <w:szCs w:val="20"/>
              </w:rPr>
              <w:t>1.8%</w:t>
            </w:r>
          </w:p>
        </w:tc>
      </w:tr>
      <w:tr w:rsidR="007316CF" w:rsidRPr="00D71008" w14:paraId="11478190" w14:textId="77777777" w:rsidTr="00F0597D">
        <w:trPr>
          <w:trHeight w:val="113"/>
        </w:trPr>
        <w:tc>
          <w:tcPr>
            <w:tcW w:w="1250" w:type="pct"/>
            <w:vAlign w:val="center"/>
          </w:tcPr>
          <w:p w14:paraId="6ABE0DF8" w14:textId="77777777" w:rsidR="00712390" w:rsidRPr="00D71008" w:rsidRDefault="2471901C" w:rsidP="007316CF">
            <w:pPr>
              <w:pStyle w:val="TableParagraph"/>
              <w:ind w:left="107"/>
              <w:jc w:val="center"/>
              <w:rPr>
                <w:noProof/>
                <w:sz w:val="20"/>
                <w:szCs w:val="20"/>
              </w:rPr>
            </w:pPr>
            <w:r w:rsidRPr="00D71008">
              <w:rPr>
                <w:noProof/>
                <w:sz w:val="20"/>
                <w:szCs w:val="20"/>
              </w:rPr>
              <w:t>Public</w:t>
            </w:r>
            <w:r w:rsidRPr="00D71008">
              <w:rPr>
                <w:noProof/>
                <w:spacing w:val="-6"/>
                <w:sz w:val="20"/>
                <w:szCs w:val="20"/>
              </w:rPr>
              <w:t xml:space="preserve"> </w:t>
            </w:r>
            <w:r w:rsidRPr="00D71008">
              <w:rPr>
                <w:noProof/>
                <w:spacing w:val="-2"/>
                <w:sz w:val="20"/>
                <w:szCs w:val="20"/>
              </w:rPr>
              <w:t>authority</w:t>
            </w:r>
          </w:p>
        </w:tc>
        <w:tc>
          <w:tcPr>
            <w:tcW w:w="1250" w:type="pct"/>
            <w:vAlign w:val="center"/>
          </w:tcPr>
          <w:p w14:paraId="182AE552" w14:textId="77777777" w:rsidR="00712390" w:rsidRPr="00D71008" w:rsidRDefault="2471901C" w:rsidP="007316CF">
            <w:pPr>
              <w:pStyle w:val="TableParagraph"/>
              <w:ind w:left="7" w:right="1"/>
              <w:jc w:val="center"/>
              <w:rPr>
                <w:noProof/>
                <w:sz w:val="20"/>
                <w:szCs w:val="20"/>
              </w:rPr>
            </w:pPr>
            <w:r w:rsidRPr="00D71008">
              <w:rPr>
                <w:noProof/>
                <w:sz w:val="20"/>
                <w:szCs w:val="20"/>
              </w:rPr>
              <w:t>Public</w:t>
            </w:r>
            <w:r w:rsidRPr="00D71008">
              <w:rPr>
                <w:noProof/>
                <w:spacing w:val="-6"/>
                <w:sz w:val="20"/>
                <w:szCs w:val="20"/>
              </w:rPr>
              <w:t xml:space="preserve"> </w:t>
            </w:r>
            <w:r w:rsidRPr="00D71008">
              <w:rPr>
                <w:noProof/>
                <w:spacing w:val="-2"/>
                <w:sz w:val="20"/>
                <w:szCs w:val="20"/>
              </w:rPr>
              <w:t>authority</w:t>
            </w:r>
          </w:p>
        </w:tc>
        <w:tc>
          <w:tcPr>
            <w:tcW w:w="1250" w:type="pct"/>
            <w:vAlign w:val="center"/>
          </w:tcPr>
          <w:p w14:paraId="40AC48CA" w14:textId="77777777" w:rsidR="00712390" w:rsidRPr="00D71008" w:rsidRDefault="2471901C" w:rsidP="007316CF">
            <w:pPr>
              <w:pStyle w:val="TableParagraph"/>
              <w:ind w:left="8"/>
              <w:jc w:val="center"/>
              <w:rPr>
                <w:noProof/>
                <w:sz w:val="20"/>
                <w:szCs w:val="20"/>
              </w:rPr>
            </w:pPr>
            <w:r w:rsidRPr="00D71008">
              <w:rPr>
                <w:noProof/>
                <w:spacing w:val="-5"/>
                <w:sz w:val="20"/>
                <w:szCs w:val="20"/>
              </w:rPr>
              <w:t>40</w:t>
            </w:r>
          </w:p>
        </w:tc>
        <w:tc>
          <w:tcPr>
            <w:tcW w:w="1250" w:type="pct"/>
            <w:vAlign w:val="center"/>
          </w:tcPr>
          <w:p w14:paraId="2C714A98" w14:textId="77777777" w:rsidR="00712390" w:rsidRPr="00D71008" w:rsidRDefault="2471901C" w:rsidP="007316CF">
            <w:pPr>
              <w:pStyle w:val="TableParagraph"/>
              <w:ind w:left="8" w:right="2"/>
              <w:jc w:val="center"/>
              <w:rPr>
                <w:noProof/>
                <w:sz w:val="20"/>
                <w:szCs w:val="20"/>
              </w:rPr>
            </w:pPr>
            <w:r w:rsidRPr="00D71008">
              <w:rPr>
                <w:noProof/>
                <w:spacing w:val="-2"/>
                <w:sz w:val="20"/>
                <w:szCs w:val="20"/>
              </w:rPr>
              <w:t>11.9%</w:t>
            </w:r>
          </w:p>
        </w:tc>
      </w:tr>
      <w:tr w:rsidR="007316CF" w:rsidRPr="00D71008" w14:paraId="0A4A7DA9" w14:textId="77777777" w:rsidTr="00F0597D">
        <w:trPr>
          <w:trHeight w:val="113"/>
        </w:trPr>
        <w:tc>
          <w:tcPr>
            <w:tcW w:w="1250" w:type="pct"/>
            <w:vAlign w:val="center"/>
          </w:tcPr>
          <w:p w14:paraId="7F422AB4" w14:textId="77777777" w:rsidR="00712390" w:rsidRPr="00D71008" w:rsidRDefault="2471901C" w:rsidP="007316CF">
            <w:pPr>
              <w:pStyle w:val="TableParagraph"/>
              <w:ind w:left="107" w:right="85"/>
              <w:jc w:val="center"/>
              <w:rPr>
                <w:noProof/>
                <w:sz w:val="20"/>
                <w:szCs w:val="20"/>
              </w:rPr>
            </w:pPr>
            <w:r w:rsidRPr="00D71008">
              <w:rPr>
                <w:noProof/>
                <w:spacing w:val="-2"/>
                <w:sz w:val="20"/>
                <w:szCs w:val="20"/>
              </w:rPr>
              <w:t>Academic/research institution</w:t>
            </w:r>
          </w:p>
        </w:tc>
        <w:tc>
          <w:tcPr>
            <w:tcW w:w="1250" w:type="pct"/>
            <w:vAlign w:val="center"/>
          </w:tcPr>
          <w:p w14:paraId="286D40D7" w14:textId="77777777" w:rsidR="00712390" w:rsidRPr="00D71008" w:rsidRDefault="2471901C" w:rsidP="007316CF">
            <w:pPr>
              <w:pStyle w:val="TableParagraph"/>
              <w:ind w:left="7" w:right="4"/>
              <w:jc w:val="center"/>
              <w:rPr>
                <w:noProof/>
                <w:sz w:val="20"/>
                <w:szCs w:val="20"/>
              </w:rPr>
            </w:pPr>
            <w:r w:rsidRPr="00D71008">
              <w:rPr>
                <w:noProof/>
                <w:spacing w:val="-2"/>
                <w:sz w:val="20"/>
                <w:szCs w:val="20"/>
              </w:rPr>
              <w:t>Other</w:t>
            </w:r>
          </w:p>
        </w:tc>
        <w:tc>
          <w:tcPr>
            <w:tcW w:w="1250" w:type="pct"/>
            <w:vAlign w:val="center"/>
          </w:tcPr>
          <w:p w14:paraId="025D3EEB" w14:textId="77777777" w:rsidR="00712390" w:rsidRPr="00D71008" w:rsidRDefault="2471901C" w:rsidP="007316CF">
            <w:pPr>
              <w:pStyle w:val="TableParagraph"/>
              <w:ind w:left="8" w:right="1"/>
              <w:jc w:val="center"/>
              <w:rPr>
                <w:noProof/>
                <w:sz w:val="20"/>
                <w:szCs w:val="20"/>
              </w:rPr>
            </w:pPr>
            <w:r w:rsidRPr="00D71008">
              <w:rPr>
                <w:noProof/>
                <w:spacing w:val="-10"/>
                <w:sz w:val="20"/>
                <w:szCs w:val="20"/>
              </w:rPr>
              <w:t>3</w:t>
            </w:r>
          </w:p>
        </w:tc>
        <w:tc>
          <w:tcPr>
            <w:tcW w:w="1250" w:type="pct"/>
            <w:vAlign w:val="center"/>
          </w:tcPr>
          <w:p w14:paraId="4E43636F" w14:textId="77777777" w:rsidR="00712390" w:rsidRPr="00D71008" w:rsidRDefault="2471901C" w:rsidP="007316CF">
            <w:pPr>
              <w:pStyle w:val="TableParagraph"/>
              <w:ind w:left="8" w:right="2"/>
              <w:jc w:val="center"/>
              <w:rPr>
                <w:noProof/>
                <w:sz w:val="20"/>
                <w:szCs w:val="20"/>
              </w:rPr>
            </w:pPr>
            <w:r w:rsidRPr="00D71008">
              <w:rPr>
                <w:noProof/>
                <w:spacing w:val="-4"/>
                <w:sz w:val="20"/>
                <w:szCs w:val="20"/>
              </w:rPr>
              <w:t>0.9%</w:t>
            </w:r>
          </w:p>
        </w:tc>
      </w:tr>
      <w:tr w:rsidR="007316CF" w:rsidRPr="00D71008" w14:paraId="0C3927F2" w14:textId="77777777" w:rsidTr="00F0597D">
        <w:trPr>
          <w:trHeight w:val="113"/>
        </w:trPr>
        <w:tc>
          <w:tcPr>
            <w:tcW w:w="1250" w:type="pct"/>
            <w:vAlign w:val="center"/>
          </w:tcPr>
          <w:p w14:paraId="66C368D3" w14:textId="77777777" w:rsidR="00712390" w:rsidRPr="00D71008" w:rsidRDefault="2471901C" w:rsidP="007316CF">
            <w:pPr>
              <w:pStyle w:val="TableParagraph"/>
              <w:ind w:left="107"/>
              <w:jc w:val="center"/>
              <w:rPr>
                <w:noProof/>
                <w:sz w:val="20"/>
                <w:szCs w:val="20"/>
              </w:rPr>
            </w:pPr>
            <w:r w:rsidRPr="00D71008">
              <w:rPr>
                <w:noProof/>
                <w:sz w:val="20"/>
                <w:szCs w:val="20"/>
              </w:rPr>
              <w:t>Consumer</w:t>
            </w:r>
            <w:r w:rsidRPr="00D71008">
              <w:rPr>
                <w:noProof/>
                <w:spacing w:val="-10"/>
                <w:sz w:val="20"/>
                <w:szCs w:val="20"/>
              </w:rPr>
              <w:t xml:space="preserve"> </w:t>
            </w:r>
            <w:r w:rsidRPr="00D71008">
              <w:rPr>
                <w:noProof/>
                <w:spacing w:val="-2"/>
                <w:sz w:val="20"/>
                <w:szCs w:val="20"/>
              </w:rPr>
              <w:t>organisation</w:t>
            </w:r>
          </w:p>
        </w:tc>
        <w:tc>
          <w:tcPr>
            <w:tcW w:w="1250" w:type="pct"/>
            <w:vAlign w:val="center"/>
          </w:tcPr>
          <w:p w14:paraId="71995BD6" w14:textId="77777777" w:rsidR="00712390" w:rsidRPr="00D71008" w:rsidRDefault="2471901C" w:rsidP="007316CF">
            <w:pPr>
              <w:pStyle w:val="TableParagraph"/>
              <w:ind w:left="7" w:right="4"/>
              <w:jc w:val="center"/>
              <w:rPr>
                <w:noProof/>
                <w:sz w:val="20"/>
                <w:szCs w:val="20"/>
              </w:rPr>
            </w:pPr>
            <w:r w:rsidRPr="00D71008">
              <w:rPr>
                <w:noProof/>
                <w:spacing w:val="-2"/>
                <w:sz w:val="20"/>
                <w:szCs w:val="20"/>
              </w:rPr>
              <w:t>Other</w:t>
            </w:r>
          </w:p>
        </w:tc>
        <w:tc>
          <w:tcPr>
            <w:tcW w:w="1250" w:type="pct"/>
            <w:vAlign w:val="center"/>
          </w:tcPr>
          <w:p w14:paraId="2365243E" w14:textId="77777777" w:rsidR="00712390" w:rsidRPr="00D71008" w:rsidRDefault="2471901C" w:rsidP="007316CF">
            <w:pPr>
              <w:pStyle w:val="TableParagraph"/>
              <w:ind w:left="8" w:right="1"/>
              <w:jc w:val="center"/>
              <w:rPr>
                <w:noProof/>
                <w:sz w:val="20"/>
                <w:szCs w:val="20"/>
              </w:rPr>
            </w:pPr>
            <w:r w:rsidRPr="00D71008">
              <w:rPr>
                <w:noProof/>
                <w:spacing w:val="-10"/>
                <w:sz w:val="20"/>
                <w:szCs w:val="20"/>
              </w:rPr>
              <w:t>6</w:t>
            </w:r>
          </w:p>
        </w:tc>
        <w:tc>
          <w:tcPr>
            <w:tcW w:w="1250" w:type="pct"/>
            <w:vAlign w:val="center"/>
          </w:tcPr>
          <w:p w14:paraId="7A2C2FF8" w14:textId="77777777" w:rsidR="00712390" w:rsidRPr="00D71008" w:rsidRDefault="2471901C" w:rsidP="007316CF">
            <w:pPr>
              <w:pStyle w:val="TableParagraph"/>
              <w:ind w:left="8" w:right="2"/>
              <w:jc w:val="center"/>
              <w:rPr>
                <w:noProof/>
                <w:sz w:val="20"/>
                <w:szCs w:val="20"/>
              </w:rPr>
            </w:pPr>
            <w:r w:rsidRPr="00D71008">
              <w:rPr>
                <w:noProof/>
                <w:spacing w:val="-4"/>
                <w:sz w:val="20"/>
                <w:szCs w:val="20"/>
              </w:rPr>
              <w:t>1.8%</w:t>
            </w:r>
          </w:p>
        </w:tc>
      </w:tr>
      <w:tr w:rsidR="007316CF" w:rsidRPr="00D71008" w14:paraId="206EB6C5" w14:textId="77777777" w:rsidTr="00F0597D">
        <w:trPr>
          <w:trHeight w:val="113"/>
        </w:trPr>
        <w:tc>
          <w:tcPr>
            <w:tcW w:w="1250" w:type="pct"/>
            <w:vAlign w:val="center"/>
          </w:tcPr>
          <w:p w14:paraId="07BE234B" w14:textId="77777777" w:rsidR="00712390" w:rsidRPr="00D71008" w:rsidRDefault="2471901C" w:rsidP="007316CF">
            <w:pPr>
              <w:pStyle w:val="TableParagraph"/>
              <w:ind w:left="107"/>
              <w:jc w:val="center"/>
              <w:rPr>
                <w:noProof/>
                <w:sz w:val="20"/>
                <w:szCs w:val="20"/>
              </w:rPr>
            </w:pPr>
            <w:r w:rsidRPr="00D71008">
              <w:rPr>
                <w:noProof/>
                <w:spacing w:val="-2"/>
                <w:sz w:val="20"/>
                <w:szCs w:val="20"/>
              </w:rPr>
              <w:t>Environmental</w:t>
            </w:r>
            <w:r w:rsidRPr="00D71008">
              <w:rPr>
                <w:noProof/>
                <w:spacing w:val="10"/>
                <w:sz w:val="20"/>
                <w:szCs w:val="20"/>
              </w:rPr>
              <w:t xml:space="preserve"> </w:t>
            </w:r>
            <w:r w:rsidRPr="00D71008">
              <w:rPr>
                <w:noProof/>
                <w:spacing w:val="-2"/>
                <w:sz w:val="20"/>
                <w:szCs w:val="20"/>
              </w:rPr>
              <w:t>organisation</w:t>
            </w:r>
          </w:p>
        </w:tc>
        <w:tc>
          <w:tcPr>
            <w:tcW w:w="1250" w:type="pct"/>
            <w:vAlign w:val="center"/>
          </w:tcPr>
          <w:p w14:paraId="245CA673" w14:textId="77777777" w:rsidR="00712390" w:rsidRPr="00D71008" w:rsidRDefault="2471901C" w:rsidP="007316CF">
            <w:pPr>
              <w:pStyle w:val="TableParagraph"/>
              <w:ind w:left="7" w:right="4"/>
              <w:jc w:val="center"/>
              <w:rPr>
                <w:noProof/>
                <w:sz w:val="20"/>
                <w:szCs w:val="20"/>
              </w:rPr>
            </w:pPr>
            <w:r w:rsidRPr="00D71008">
              <w:rPr>
                <w:noProof/>
                <w:spacing w:val="-2"/>
                <w:sz w:val="20"/>
                <w:szCs w:val="20"/>
              </w:rPr>
              <w:t>Other</w:t>
            </w:r>
          </w:p>
        </w:tc>
        <w:tc>
          <w:tcPr>
            <w:tcW w:w="1250" w:type="pct"/>
            <w:vAlign w:val="center"/>
          </w:tcPr>
          <w:p w14:paraId="116A5815" w14:textId="77777777" w:rsidR="00712390" w:rsidRPr="00D71008" w:rsidRDefault="2471901C" w:rsidP="007316CF">
            <w:pPr>
              <w:pStyle w:val="TableParagraph"/>
              <w:ind w:left="8" w:right="1"/>
              <w:jc w:val="center"/>
              <w:rPr>
                <w:noProof/>
                <w:sz w:val="20"/>
                <w:szCs w:val="20"/>
              </w:rPr>
            </w:pPr>
            <w:r w:rsidRPr="00D71008">
              <w:rPr>
                <w:noProof/>
                <w:spacing w:val="-10"/>
                <w:sz w:val="20"/>
                <w:szCs w:val="20"/>
              </w:rPr>
              <w:t>3</w:t>
            </w:r>
          </w:p>
        </w:tc>
        <w:tc>
          <w:tcPr>
            <w:tcW w:w="1250" w:type="pct"/>
            <w:vAlign w:val="center"/>
          </w:tcPr>
          <w:p w14:paraId="37C1C9FD" w14:textId="77777777" w:rsidR="00712390" w:rsidRPr="00D71008" w:rsidRDefault="2471901C" w:rsidP="007316CF">
            <w:pPr>
              <w:pStyle w:val="TableParagraph"/>
              <w:ind w:left="8" w:right="2"/>
              <w:jc w:val="center"/>
              <w:rPr>
                <w:noProof/>
                <w:sz w:val="20"/>
                <w:szCs w:val="20"/>
              </w:rPr>
            </w:pPr>
            <w:r w:rsidRPr="00D71008">
              <w:rPr>
                <w:noProof/>
                <w:spacing w:val="-4"/>
                <w:sz w:val="20"/>
                <w:szCs w:val="20"/>
              </w:rPr>
              <w:t>0.9%</w:t>
            </w:r>
          </w:p>
        </w:tc>
      </w:tr>
      <w:tr w:rsidR="007316CF" w:rsidRPr="00D71008" w14:paraId="420C7E13" w14:textId="77777777" w:rsidTr="00F0597D">
        <w:trPr>
          <w:trHeight w:val="113"/>
        </w:trPr>
        <w:tc>
          <w:tcPr>
            <w:tcW w:w="1250" w:type="pct"/>
            <w:vAlign w:val="center"/>
          </w:tcPr>
          <w:p w14:paraId="52665E76" w14:textId="78055BC9" w:rsidR="00712390" w:rsidRPr="00D71008" w:rsidRDefault="2471901C" w:rsidP="007316CF">
            <w:pPr>
              <w:pStyle w:val="TableParagraph"/>
              <w:tabs>
                <w:tab w:val="left" w:pos="894"/>
              </w:tabs>
              <w:ind w:left="107"/>
              <w:jc w:val="center"/>
              <w:rPr>
                <w:noProof/>
                <w:sz w:val="20"/>
                <w:szCs w:val="20"/>
              </w:rPr>
            </w:pPr>
            <w:r w:rsidRPr="00D71008">
              <w:rPr>
                <w:noProof/>
                <w:spacing w:val="-2"/>
                <w:sz w:val="20"/>
                <w:szCs w:val="20"/>
              </w:rPr>
              <w:t>Other</w:t>
            </w:r>
            <w:r w:rsidR="007316CF" w:rsidRPr="00D71008">
              <w:rPr>
                <w:noProof/>
                <w:sz w:val="20"/>
              </w:rPr>
              <w:t xml:space="preserve"> </w:t>
            </w:r>
            <w:r w:rsidRPr="00D71008">
              <w:rPr>
                <w:noProof/>
                <w:spacing w:val="-2"/>
                <w:sz w:val="20"/>
                <w:szCs w:val="20"/>
              </w:rPr>
              <w:t>non-governmental</w:t>
            </w:r>
          </w:p>
          <w:p w14:paraId="3C42A5DD" w14:textId="77777777" w:rsidR="00712390" w:rsidRPr="00D71008" w:rsidRDefault="2471901C" w:rsidP="007316CF">
            <w:pPr>
              <w:pStyle w:val="TableParagraph"/>
              <w:ind w:left="107"/>
              <w:jc w:val="center"/>
              <w:rPr>
                <w:noProof/>
                <w:sz w:val="20"/>
                <w:szCs w:val="20"/>
              </w:rPr>
            </w:pPr>
            <w:r w:rsidRPr="00D71008">
              <w:rPr>
                <w:noProof/>
                <w:sz w:val="20"/>
                <w:szCs w:val="20"/>
              </w:rPr>
              <w:t>organisation</w:t>
            </w:r>
            <w:r w:rsidRPr="00D71008">
              <w:rPr>
                <w:noProof/>
                <w:spacing w:val="-12"/>
                <w:sz w:val="20"/>
                <w:szCs w:val="20"/>
              </w:rPr>
              <w:t xml:space="preserve"> </w:t>
            </w:r>
            <w:r w:rsidRPr="00D71008">
              <w:rPr>
                <w:noProof/>
                <w:spacing w:val="-2"/>
                <w:sz w:val="20"/>
                <w:szCs w:val="20"/>
              </w:rPr>
              <w:t>(NGO)</w:t>
            </w:r>
          </w:p>
        </w:tc>
        <w:tc>
          <w:tcPr>
            <w:tcW w:w="1250" w:type="pct"/>
            <w:vAlign w:val="center"/>
          </w:tcPr>
          <w:p w14:paraId="63E1F6AF" w14:textId="77777777" w:rsidR="00712390" w:rsidRPr="00D71008" w:rsidRDefault="2471901C" w:rsidP="007316CF">
            <w:pPr>
              <w:pStyle w:val="TableParagraph"/>
              <w:ind w:left="7" w:right="4"/>
              <w:jc w:val="center"/>
              <w:rPr>
                <w:noProof/>
                <w:sz w:val="20"/>
                <w:szCs w:val="20"/>
              </w:rPr>
            </w:pPr>
            <w:r w:rsidRPr="00D71008">
              <w:rPr>
                <w:noProof/>
                <w:spacing w:val="-2"/>
                <w:sz w:val="20"/>
                <w:szCs w:val="20"/>
              </w:rPr>
              <w:t>Other</w:t>
            </w:r>
          </w:p>
        </w:tc>
        <w:tc>
          <w:tcPr>
            <w:tcW w:w="1250" w:type="pct"/>
            <w:vAlign w:val="center"/>
          </w:tcPr>
          <w:p w14:paraId="6EC18AE3" w14:textId="77777777" w:rsidR="00712390" w:rsidRPr="00D71008" w:rsidRDefault="2471901C" w:rsidP="007316CF">
            <w:pPr>
              <w:pStyle w:val="TableParagraph"/>
              <w:ind w:left="8"/>
              <w:jc w:val="center"/>
              <w:rPr>
                <w:noProof/>
                <w:sz w:val="20"/>
                <w:szCs w:val="20"/>
              </w:rPr>
            </w:pPr>
            <w:r w:rsidRPr="00D71008">
              <w:rPr>
                <w:noProof/>
                <w:spacing w:val="-5"/>
                <w:sz w:val="20"/>
                <w:szCs w:val="20"/>
              </w:rPr>
              <w:t>17</w:t>
            </w:r>
          </w:p>
        </w:tc>
        <w:tc>
          <w:tcPr>
            <w:tcW w:w="1250" w:type="pct"/>
            <w:vAlign w:val="center"/>
          </w:tcPr>
          <w:p w14:paraId="11FA1536" w14:textId="77777777" w:rsidR="00712390" w:rsidRPr="00D71008" w:rsidRDefault="2471901C" w:rsidP="007316CF">
            <w:pPr>
              <w:pStyle w:val="TableParagraph"/>
              <w:ind w:left="8" w:right="2"/>
              <w:jc w:val="center"/>
              <w:rPr>
                <w:noProof/>
                <w:sz w:val="20"/>
                <w:szCs w:val="20"/>
              </w:rPr>
            </w:pPr>
            <w:r w:rsidRPr="00D71008">
              <w:rPr>
                <w:noProof/>
                <w:spacing w:val="-4"/>
                <w:sz w:val="20"/>
                <w:szCs w:val="20"/>
              </w:rPr>
              <w:t>5.1%</w:t>
            </w:r>
          </w:p>
        </w:tc>
      </w:tr>
      <w:tr w:rsidR="007316CF" w:rsidRPr="00D71008" w14:paraId="00B2CAAA" w14:textId="77777777" w:rsidTr="00F0597D">
        <w:trPr>
          <w:trHeight w:val="113"/>
        </w:trPr>
        <w:tc>
          <w:tcPr>
            <w:tcW w:w="1250" w:type="pct"/>
            <w:vAlign w:val="center"/>
          </w:tcPr>
          <w:p w14:paraId="744D8759" w14:textId="77777777" w:rsidR="00712390" w:rsidRPr="00D71008" w:rsidRDefault="2471901C" w:rsidP="007316CF">
            <w:pPr>
              <w:pStyle w:val="TableParagraph"/>
              <w:ind w:left="107"/>
              <w:jc w:val="center"/>
              <w:rPr>
                <w:noProof/>
                <w:sz w:val="20"/>
                <w:szCs w:val="20"/>
              </w:rPr>
            </w:pPr>
            <w:r w:rsidRPr="00D71008">
              <w:rPr>
                <w:noProof/>
                <w:spacing w:val="-2"/>
                <w:sz w:val="20"/>
                <w:szCs w:val="20"/>
              </w:rPr>
              <w:t>Other</w:t>
            </w:r>
          </w:p>
        </w:tc>
        <w:tc>
          <w:tcPr>
            <w:tcW w:w="1250" w:type="pct"/>
            <w:vAlign w:val="center"/>
          </w:tcPr>
          <w:p w14:paraId="5D4E697A" w14:textId="77777777" w:rsidR="00712390" w:rsidRPr="00D71008" w:rsidRDefault="2471901C" w:rsidP="007316CF">
            <w:pPr>
              <w:pStyle w:val="TableParagraph"/>
              <w:ind w:left="7" w:right="4"/>
              <w:jc w:val="center"/>
              <w:rPr>
                <w:noProof/>
                <w:sz w:val="20"/>
                <w:szCs w:val="20"/>
              </w:rPr>
            </w:pPr>
            <w:r w:rsidRPr="00D71008">
              <w:rPr>
                <w:noProof/>
                <w:spacing w:val="-2"/>
                <w:sz w:val="20"/>
                <w:szCs w:val="20"/>
              </w:rPr>
              <w:t>Other</w:t>
            </w:r>
          </w:p>
        </w:tc>
        <w:tc>
          <w:tcPr>
            <w:tcW w:w="1250" w:type="pct"/>
            <w:vAlign w:val="center"/>
          </w:tcPr>
          <w:p w14:paraId="243148CF" w14:textId="77777777" w:rsidR="00712390" w:rsidRPr="00D71008" w:rsidRDefault="2471901C" w:rsidP="007316CF">
            <w:pPr>
              <w:pStyle w:val="TableParagraph"/>
              <w:ind w:left="8" w:right="1"/>
              <w:jc w:val="center"/>
              <w:rPr>
                <w:noProof/>
                <w:sz w:val="20"/>
                <w:szCs w:val="20"/>
              </w:rPr>
            </w:pPr>
            <w:r w:rsidRPr="00D71008">
              <w:rPr>
                <w:noProof/>
                <w:spacing w:val="-10"/>
                <w:sz w:val="20"/>
                <w:szCs w:val="20"/>
              </w:rPr>
              <w:t>9</w:t>
            </w:r>
          </w:p>
        </w:tc>
        <w:tc>
          <w:tcPr>
            <w:tcW w:w="1250" w:type="pct"/>
            <w:vAlign w:val="center"/>
          </w:tcPr>
          <w:p w14:paraId="11C2FEB9" w14:textId="77777777" w:rsidR="00712390" w:rsidRPr="00D71008" w:rsidRDefault="2471901C" w:rsidP="000D5943">
            <w:pPr>
              <w:pStyle w:val="TableParagraph"/>
              <w:ind w:left="563" w:right="340" w:hanging="214"/>
              <w:jc w:val="center"/>
              <w:rPr>
                <w:noProof/>
                <w:sz w:val="20"/>
                <w:szCs w:val="20"/>
              </w:rPr>
            </w:pPr>
            <w:r w:rsidRPr="00D71008">
              <w:rPr>
                <w:noProof/>
                <w:spacing w:val="-4"/>
                <w:sz w:val="20"/>
                <w:szCs w:val="20"/>
              </w:rPr>
              <w:t>2.7%</w:t>
            </w:r>
          </w:p>
        </w:tc>
      </w:tr>
    </w:tbl>
    <w:p w14:paraId="5A4838FD" w14:textId="77777777" w:rsidR="00A905E0" w:rsidRPr="00D71008" w:rsidRDefault="00A905E0" w:rsidP="00BAA9A3">
      <w:pPr>
        <w:pStyle w:val="BodyText"/>
        <w:spacing w:before="120"/>
        <w:ind w:left="0"/>
        <w:rPr>
          <w:noProof/>
        </w:rPr>
      </w:pPr>
    </w:p>
    <w:p w14:paraId="040B0A3C" w14:textId="12E89886" w:rsidR="00A905E0" w:rsidRPr="00D71008" w:rsidRDefault="2471901C" w:rsidP="007B2D8E">
      <w:pPr>
        <w:pStyle w:val="ListParagraph"/>
        <w:numPr>
          <w:ilvl w:val="2"/>
          <w:numId w:val="13"/>
        </w:numPr>
        <w:tabs>
          <w:tab w:val="left" w:pos="1705"/>
        </w:tabs>
        <w:spacing w:before="0" w:after="240"/>
        <w:ind w:left="1134" w:hanging="709"/>
        <w:jc w:val="both"/>
        <w:rPr>
          <w:bCs/>
          <w:i/>
          <w:iCs/>
          <w:noProof/>
          <w:sz w:val="24"/>
          <w:szCs w:val="24"/>
        </w:rPr>
      </w:pPr>
      <w:r w:rsidRPr="00D71008">
        <w:rPr>
          <w:bCs/>
          <w:i/>
          <w:iCs/>
          <w:noProof/>
          <w:sz w:val="24"/>
          <w:szCs w:val="24"/>
        </w:rPr>
        <w:t>Targeted consultation</w:t>
      </w:r>
      <w:r w:rsidR="006751FF" w:rsidRPr="00D71008">
        <w:rPr>
          <w:bCs/>
          <w:i/>
          <w:iCs/>
          <w:noProof/>
          <w:sz w:val="24"/>
          <w:szCs w:val="24"/>
        </w:rPr>
        <w:t>s</w:t>
      </w:r>
      <w:r w:rsidR="00B76AA7">
        <w:rPr>
          <w:bCs/>
          <w:i/>
          <w:iCs/>
          <w:noProof/>
          <w:sz w:val="24"/>
          <w:szCs w:val="24"/>
        </w:rPr>
        <w:t xml:space="preserve"> organised only in relation to CRS</w:t>
      </w:r>
      <w:r w:rsidR="00A0358E">
        <w:rPr>
          <w:bCs/>
          <w:i/>
          <w:iCs/>
          <w:noProof/>
          <w:sz w:val="24"/>
          <w:szCs w:val="24"/>
        </w:rPr>
        <w:t xml:space="preserve"> at the beginning of the IA process</w:t>
      </w:r>
    </w:p>
    <w:p w14:paraId="5D31B88D" w14:textId="2F448DC4" w:rsidR="3788DE81" w:rsidRPr="0032558B" w:rsidRDefault="3788DE81" w:rsidP="0078026E">
      <w:pPr>
        <w:pStyle w:val="BodyText"/>
        <w:tabs>
          <w:tab w:val="left" w:pos="8505"/>
          <w:tab w:val="left" w:pos="8647"/>
        </w:tabs>
        <w:spacing w:after="240"/>
        <w:ind w:left="0" w:right="-26"/>
        <w:rPr>
          <w:noProof/>
          <w:spacing w:val="-8"/>
        </w:rPr>
      </w:pPr>
      <w:r w:rsidRPr="0032558B">
        <w:rPr>
          <w:noProof/>
          <w:spacing w:val="-8"/>
        </w:rPr>
        <w:t>The survey</w:t>
      </w:r>
      <w:r w:rsidR="006D55B8" w:rsidRPr="0032558B">
        <w:rPr>
          <w:noProof/>
          <w:spacing w:val="-8"/>
        </w:rPr>
        <w:t xml:space="preserve"> in relation to the</w:t>
      </w:r>
      <w:r w:rsidRPr="0032558B">
        <w:rPr>
          <w:noProof/>
          <w:spacing w:val="-8"/>
        </w:rPr>
        <w:t xml:space="preserve"> </w:t>
      </w:r>
      <w:r w:rsidR="006D55B8" w:rsidRPr="0032558B">
        <w:rPr>
          <w:noProof/>
          <w:spacing w:val="-8"/>
        </w:rPr>
        <w:t>CRS Regulation</w:t>
      </w:r>
      <w:r w:rsidRPr="0032558B">
        <w:rPr>
          <w:noProof/>
          <w:spacing w:val="-8"/>
        </w:rPr>
        <w:t xml:space="preserve"> was aimed at industry stakeholders (including trade associations) and public authorities. The survey was launched on 29 April 2021 and remained open until 9 June 2021. The aim of the survey was to gather evidence and opinions on specific questions related to the potential revision of the Code of Conduct. The survey was first piloted with trade associations representing the interests of airlines, travel agents and CRS providers, and later distributed through these organisations to a total of 91 stakeholders.</w:t>
      </w:r>
    </w:p>
    <w:p w14:paraId="5781F11B" w14:textId="77777777" w:rsidR="3788DE81" w:rsidRPr="0032558B" w:rsidRDefault="3788DE81" w:rsidP="0078026E">
      <w:pPr>
        <w:pStyle w:val="BodyText"/>
        <w:tabs>
          <w:tab w:val="left" w:pos="8505"/>
          <w:tab w:val="left" w:pos="8647"/>
        </w:tabs>
        <w:spacing w:after="240"/>
        <w:ind w:left="0" w:right="-26"/>
        <w:rPr>
          <w:noProof/>
          <w:spacing w:val="-8"/>
        </w:rPr>
      </w:pPr>
      <w:r w:rsidRPr="0032558B">
        <w:rPr>
          <w:noProof/>
          <w:spacing w:val="-8"/>
        </w:rPr>
        <w:t>Eu Travel Tech, A4E, IATA and ECTAA accepted to disseminate the survey among their members. For national competition authorities, the survey was distributed to the authorities that agreed to respond to it using contacts provided by the Commission (DG COMP). For direct distribution the consultant prioritised stakeholders such as non-CRS content aggregators and suppliers of direct connect software which are not represented by the above-mentioned trade associations, as well as a selection of MSEs, air and rail carriers, and travel agents. The survey received 43 responses.</w:t>
      </w:r>
    </w:p>
    <w:p w14:paraId="6461E030" w14:textId="77777777" w:rsidR="007523C3" w:rsidRPr="0032558B" w:rsidRDefault="00584897" w:rsidP="0078026E">
      <w:pPr>
        <w:pStyle w:val="BodyText"/>
        <w:tabs>
          <w:tab w:val="left" w:pos="8505"/>
          <w:tab w:val="left" w:pos="8647"/>
        </w:tabs>
        <w:spacing w:after="240"/>
        <w:ind w:left="0" w:right="-26"/>
        <w:rPr>
          <w:noProof/>
          <w:spacing w:val="-8"/>
        </w:rPr>
      </w:pPr>
      <w:r w:rsidRPr="0032558B">
        <w:rPr>
          <w:noProof/>
          <w:spacing w:val="-8"/>
        </w:rPr>
        <w:t>In relation to CR</w:t>
      </w:r>
      <w:r w:rsidR="00072245" w:rsidRPr="0032558B">
        <w:rPr>
          <w:noProof/>
          <w:spacing w:val="-8"/>
        </w:rPr>
        <w:t>S</w:t>
      </w:r>
      <w:r w:rsidRPr="0032558B">
        <w:rPr>
          <w:noProof/>
          <w:spacing w:val="-8"/>
        </w:rPr>
        <w:t xml:space="preserve"> t</w:t>
      </w:r>
      <w:r w:rsidR="3788DE81" w:rsidRPr="0032558B">
        <w:rPr>
          <w:noProof/>
          <w:spacing w:val="-8"/>
        </w:rPr>
        <w:t>he interview</w:t>
      </w:r>
      <w:r w:rsidR="00594843" w:rsidRPr="0032558B">
        <w:rPr>
          <w:noProof/>
          <w:spacing w:val="-8"/>
        </w:rPr>
        <w:t>s</w:t>
      </w:r>
      <w:r w:rsidR="3788DE81" w:rsidRPr="0032558B">
        <w:rPr>
          <w:noProof/>
          <w:spacing w:val="-8"/>
        </w:rPr>
        <w:t xml:space="preserve"> </w:t>
      </w:r>
      <w:r w:rsidR="00594843" w:rsidRPr="0032558B">
        <w:rPr>
          <w:noProof/>
          <w:spacing w:val="-8"/>
        </w:rPr>
        <w:t>were conducted from</w:t>
      </w:r>
      <w:r w:rsidR="3788DE81" w:rsidRPr="0032558B">
        <w:rPr>
          <w:noProof/>
          <w:spacing w:val="-8"/>
        </w:rPr>
        <w:t xml:space="preserve"> 29 April </w:t>
      </w:r>
      <w:r w:rsidR="00594843" w:rsidRPr="0032558B">
        <w:rPr>
          <w:noProof/>
          <w:spacing w:val="-8"/>
        </w:rPr>
        <w:t>to</w:t>
      </w:r>
      <w:r w:rsidR="3788DE81" w:rsidRPr="0032558B">
        <w:rPr>
          <w:noProof/>
          <w:spacing w:val="-8"/>
        </w:rPr>
        <w:t xml:space="preserve"> 19 July 2021. The aim of the interviews was to follow up on responses to the surveys and engage in a more nuanced discussion of potential impacts of various policy options. A total of 29 interviews were conducted.</w:t>
      </w:r>
      <w:r w:rsidR="00C5156D" w:rsidRPr="0032558B">
        <w:rPr>
          <w:noProof/>
          <w:spacing w:val="-8"/>
        </w:rPr>
        <w:t xml:space="preserve"> </w:t>
      </w:r>
    </w:p>
    <w:p w14:paraId="4062C5CF" w14:textId="77777777" w:rsidR="001272A8" w:rsidRPr="0032558B" w:rsidRDefault="006D3D31" w:rsidP="0078026E">
      <w:pPr>
        <w:pStyle w:val="BodyText"/>
        <w:tabs>
          <w:tab w:val="left" w:pos="8505"/>
          <w:tab w:val="left" w:pos="8647"/>
        </w:tabs>
        <w:spacing w:after="240"/>
        <w:ind w:left="0" w:right="-26"/>
        <w:rPr>
          <w:noProof/>
          <w:spacing w:val="-8"/>
        </w:rPr>
      </w:pPr>
      <w:r w:rsidRPr="0032558B">
        <w:rPr>
          <w:noProof/>
          <w:spacing w:val="-8"/>
        </w:rPr>
        <w:t>In addition</w:t>
      </w:r>
      <w:r w:rsidR="00993DE2" w:rsidRPr="0032558B">
        <w:rPr>
          <w:noProof/>
          <w:spacing w:val="-8"/>
        </w:rPr>
        <w:t>,</w:t>
      </w:r>
      <w:r w:rsidR="3788DE81" w:rsidRPr="0032558B">
        <w:rPr>
          <w:noProof/>
          <w:spacing w:val="-8"/>
        </w:rPr>
        <w:t xml:space="preserve"> </w:t>
      </w:r>
      <w:r w:rsidR="00993DE2" w:rsidRPr="0032558B">
        <w:rPr>
          <w:noProof/>
          <w:spacing w:val="-8"/>
        </w:rPr>
        <w:t>4</w:t>
      </w:r>
      <w:r w:rsidR="3788DE81" w:rsidRPr="0032558B">
        <w:rPr>
          <w:noProof/>
          <w:spacing w:val="-8"/>
        </w:rPr>
        <w:t xml:space="preserve"> exploratory interviews were conducted in February 2021. These interviews were used to discuss early the main topics </w:t>
      </w:r>
      <w:r w:rsidR="009F2A8C" w:rsidRPr="0032558B">
        <w:rPr>
          <w:noProof/>
          <w:spacing w:val="-8"/>
        </w:rPr>
        <w:t xml:space="preserve">on </w:t>
      </w:r>
      <w:r w:rsidR="00124179" w:rsidRPr="0032558B">
        <w:rPr>
          <w:noProof/>
          <w:spacing w:val="-8"/>
        </w:rPr>
        <w:t>CRS</w:t>
      </w:r>
      <w:r w:rsidR="3788DE81" w:rsidRPr="0032558B">
        <w:rPr>
          <w:noProof/>
          <w:spacing w:val="-8"/>
        </w:rPr>
        <w:t>, as well as data collection tools (surveys and interviews). These interviews were conducted with 5 associations: Eu Travel Tech, European Travel Agents and Tour Operators Associations (ECTAA), Airlines for Europe (A4E) Europe Passengers Federation (EPF) and IATA.</w:t>
      </w:r>
    </w:p>
    <w:p w14:paraId="2F8CBCC4" w14:textId="5B7DF2C6" w:rsidR="004B59EB" w:rsidRPr="0032558B" w:rsidRDefault="0081330C" w:rsidP="0078026E">
      <w:pPr>
        <w:pStyle w:val="BodyText"/>
        <w:tabs>
          <w:tab w:val="left" w:pos="8505"/>
          <w:tab w:val="left" w:pos="8647"/>
        </w:tabs>
        <w:spacing w:after="240"/>
        <w:ind w:left="0" w:right="-26"/>
        <w:rPr>
          <w:noProof/>
          <w:spacing w:val="-8"/>
        </w:rPr>
      </w:pPr>
      <w:r w:rsidRPr="0032558B">
        <w:rPr>
          <w:noProof/>
          <w:spacing w:val="-8"/>
        </w:rPr>
        <w:t>O</w:t>
      </w:r>
      <w:r w:rsidR="004B59EB" w:rsidRPr="0032558B">
        <w:rPr>
          <w:noProof/>
          <w:spacing w:val="-8"/>
        </w:rPr>
        <w:t>n 16 March 2021</w:t>
      </w:r>
      <w:r w:rsidRPr="0032558B">
        <w:rPr>
          <w:noProof/>
          <w:spacing w:val="-8"/>
        </w:rPr>
        <w:t xml:space="preserve"> a </w:t>
      </w:r>
      <w:r w:rsidR="004B59EB" w:rsidRPr="0032558B">
        <w:rPr>
          <w:noProof/>
          <w:spacing w:val="-8"/>
        </w:rPr>
        <w:t>legal workshop with the participation of experts with a track record in the analysis of the Code of Conduct and airline ticket distribution in Europe</w:t>
      </w:r>
      <w:r w:rsidRPr="0032558B">
        <w:rPr>
          <w:noProof/>
          <w:spacing w:val="-8"/>
        </w:rPr>
        <w:t xml:space="preserve"> was held</w:t>
      </w:r>
      <w:r w:rsidR="004B59EB" w:rsidRPr="0032558B">
        <w:rPr>
          <w:noProof/>
          <w:spacing w:val="-8"/>
        </w:rPr>
        <w:t xml:space="preserve">. The legal workshop had the participation of three experts. </w:t>
      </w:r>
      <w:r w:rsidR="007C3CDE" w:rsidRPr="0032558B">
        <w:rPr>
          <w:noProof/>
          <w:spacing w:val="-8"/>
        </w:rPr>
        <w:t>Topics</w:t>
      </w:r>
      <w:r w:rsidR="004B59EB" w:rsidRPr="0032558B">
        <w:rPr>
          <w:noProof/>
          <w:spacing w:val="-8"/>
        </w:rPr>
        <w:t xml:space="preserve"> under discussion included the Code of Conduct scope and its terminology, and the possibly anticompetitive effects of parity clauses.</w:t>
      </w:r>
      <w:r w:rsidR="00461674" w:rsidRPr="0032558B">
        <w:rPr>
          <w:noProof/>
          <w:spacing w:val="-8"/>
        </w:rPr>
        <w:t xml:space="preserve"> </w:t>
      </w:r>
      <w:r w:rsidR="004B59EB" w:rsidRPr="0032558B">
        <w:rPr>
          <w:noProof/>
          <w:spacing w:val="-8"/>
        </w:rPr>
        <w:t xml:space="preserve">On 14 July 2022, the Commission organized a workshop devoted to fair treatment provisions of the Code of Conduct. The purpose of this workshop was to </w:t>
      </w:r>
      <w:r w:rsidR="00461674" w:rsidRPr="0032558B">
        <w:rPr>
          <w:noProof/>
          <w:spacing w:val="-8"/>
        </w:rPr>
        <w:t>obtain</w:t>
      </w:r>
      <w:r w:rsidR="004B59EB" w:rsidRPr="0032558B">
        <w:rPr>
          <w:noProof/>
          <w:spacing w:val="-8"/>
        </w:rPr>
        <w:t xml:space="preserve"> opinions of the workshop participants on </w:t>
      </w:r>
      <w:r w:rsidR="00A172A8" w:rsidRPr="0032558B">
        <w:rPr>
          <w:noProof/>
          <w:spacing w:val="-8"/>
        </w:rPr>
        <w:t xml:space="preserve">CRS Regulation, </w:t>
      </w:r>
      <w:r w:rsidR="004B59EB" w:rsidRPr="0032558B">
        <w:rPr>
          <w:noProof/>
          <w:spacing w:val="-8"/>
        </w:rPr>
        <w:t>in particular Articles 3 and 6 of the Code, and their future. In the workshop participated the representatives of: Eu Travel Tech, Amadeus, Travelport, BEUC, IATA, AF-KLM, A4E, Sabre and ECTAA.</w:t>
      </w:r>
    </w:p>
    <w:p w14:paraId="3804AA10" w14:textId="1F1E2C93" w:rsidR="00D1791F" w:rsidRPr="0032558B" w:rsidRDefault="00552F11" w:rsidP="0078026E">
      <w:pPr>
        <w:pStyle w:val="BodyText"/>
        <w:tabs>
          <w:tab w:val="left" w:pos="8505"/>
          <w:tab w:val="left" w:pos="8647"/>
        </w:tabs>
        <w:spacing w:after="240"/>
        <w:ind w:left="0" w:right="-26"/>
        <w:rPr>
          <w:noProof/>
          <w:spacing w:val="-8"/>
        </w:rPr>
      </w:pPr>
      <w:r w:rsidRPr="0032558B">
        <w:rPr>
          <w:noProof/>
          <w:spacing w:val="-8"/>
        </w:rPr>
        <w:t>The views expressed in the workshop</w:t>
      </w:r>
      <w:r w:rsidR="00615547" w:rsidRPr="0032558B">
        <w:rPr>
          <w:noProof/>
          <w:spacing w:val="-8"/>
        </w:rPr>
        <w:t xml:space="preserve"> by stakeholders with reference to fair treatment provision</w:t>
      </w:r>
      <w:r w:rsidRPr="0032558B">
        <w:rPr>
          <w:noProof/>
          <w:spacing w:val="-8"/>
        </w:rPr>
        <w:t xml:space="preserve"> </w:t>
      </w:r>
      <w:r w:rsidR="003A7709" w:rsidRPr="0032558B">
        <w:rPr>
          <w:noProof/>
          <w:spacing w:val="-8"/>
        </w:rPr>
        <w:t xml:space="preserve">were </w:t>
      </w:r>
      <w:r w:rsidR="004C5B1E" w:rsidRPr="0032558B">
        <w:rPr>
          <w:noProof/>
          <w:spacing w:val="-8"/>
        </w:rPr>
        <w:t>diverging</w:t>
      </w:r>
      <w:r w:rsidR="733B0BB8" w:rsidRPr="0032558B">
        <w:rPr>
          <w:noProof/>
          <w:spacing w:val="-8"/>
        </w:rPr>
        <w:t>.</w:t>
      </w:r>
      <w:r w:rsidR="0F1F46CD" w:rsidRPr="0032558B">
        <w:rPr>
          <w:noProof/>
          <w:spacing w:val="-8"/>
        </w:rPr>
        <w:t xml:space="preserve"> </w:t>
      </w:r>
      <w:r w:rsidR="6FB89F77" w:rsidRPr="0032558B">
        <w:rPr>
          <w:noProof/>
          <w:spacing w:val="-8"/>
        </w:rPr>
        <w:t>While</w:t>
      </w:r>
      <w:r w:rsidR="00615547" w:rsidRPr="0032558B">
        <w:rPr>
          <w:noProof/>
          <w:spacing w:val="-8"/>
        </w:rPr>
        <w:t xml:space="preserve"> </w:t>
      </w:r>
      <w:r w:rsidR="007E6368" w:rsidRPr="0032558B">
        <w:rPr>
          <w:noProof/>
          <w:spacing w:val="-8"/>
        </w:rPr>
        <w:t xml:space="preserve">EU Travel Tech and the </w:t>
      </w:r>
      <w:r w:rsidR="532214F5" w:rsidRPr="0032558B">
        <w:rPr>
          <w:noProof/>
          <w:spacing w:val="-8"/>
        </w:rPr>
        <w:t>3</w:t>
      </w:r>
      <w:r w:rsidR="007E6368" w:rsidRPr="0032558B">
        <w:rPr>
          <w:noProof/>
          <w:spacing w:val="-8"/>
        </w:rPr>
        <w:t xml:space="preserve"> CRSs</w:t>
      </w:r>
      <w:r w:rsidR="001E45F0" w:rsidRPr="0032558B">
        <w:rPr>
          <w:noProof/>
          <w:spacing w:val="-8"/>
        </w:rPr>
        <w:t xml:space="preserve"> were</w:t>
      </w:r>
      <w:r w:rsidR="007E6368" w:rsidRPr="0032558B">
        <w:rPr>
          <w:noProof/>
          <w:spacing w:val="-8"/>
        </w:rPr>
        <w:t xml:space="preserve"> </w:t>
      </w:r>
      <w:r w:rsidR="004C73CB" w:rsidRPr="0032558B">
        <w:rPr>
          <w:noProof/>
          <w:spacing w:val="-8"/>
        </w:rPr>
        <w:t>in favour of repealing</w:t>
      </w:r>
      <w:r w:rsidR="007E6368" w:rsidRPr="0032558B">
        <w:rPr>
          <w:noProof/>
          <w:spacing w:val="-8"/>
        </w:rPr>
        <w:t xml:space="preserve"> </w:t>
      </w:r>
      <w:r w:rsidR="00102411" w:rsidRPr="0032558B">
        <w:rPr>
          <w:noProof/>
          <w:spacing w:val="-8"/>
        </w:rPr>
        <w:t xml:space="preserve">the </w:t>
      </w:r>
      <w:r w:rsidR="00BE1ED0" w:rsidRPr="0032558B">
        <w:rPr>
          <w:noProof/>
          <w:spacing w:val="-8"/>
        </w:rPr>
        <w:t>fair treatment provisions</w:t>
      </w:r>
      <w:r w:rsidR="6FB89F77" w:rsidRPr="0032558B">
        <w:rPr>
          <w:noProof/>
          <w:spacing w:val="-8"/>
        </w:rPr>
        <w:t>,</w:t>
      </w:r>
      <w:r w:rsidR="52FAE4DE" w:rsidRPr="0032558B">
        <w:rPr>
          <w:noProof/>
          <w:spacing w:val="-8"/>
        </w:rPr>
        <w:t xml:space="preserve"> </w:t>
      </w:r>
      <w:r w:rsidR="00D4354F" w:rsidRPr="0032558B">
        <w:rPr>
          <w:noProof/>
          <w:spacing w:val="-8"/>
        </w:rPr>
        <w:t xml:space="preserve"> </w:t>
      </w:r>
      <w:r w:rsidR="00AD722E" w:rsidRPr="0032558B">
        <w:rPr>
          <w:noProof/>
          <w:spacing w:val="-8"/>
        </w:rPr>
        <w:t xml:space="preserve">IATA, A4E and AF-KLM </w:t>
      </w:r>
      <w:r w:rsidR="00860AB2" w:rsidRPr="0032558B">
        <w:rPr>
          <w:noProof/>
          <w:spacing w:val="-8"/>
        </w:rPr>
        <w:t xml:space="preserve">were </w:t>
      </w:r>
      <w:r w:rsidR="00AD722E" w:rsidRPr="0032558B">
        <w:rPr>
          <w:noProof/>
          <w:spacing w:val="-8"/>
        </w:rPr>
        <w:t>in favour of retaining and strengthening those rules</w:t>
      </w:r>
      <w:r w:rsidR="002318A6" w:rsidRPr="0032558B">
        <w:rPr>
          <w:noProof/>
          <w:spacing w:val="-8"/>
        </w:rPr>
        <w:t>, also calling for</w:t>
      </w:r>
      <w:r w:rsidR="00AD722E" w:rsidRPr="0032558B">
        <w:rPr>
          <w:noProof/>
          <w:spacing w:val="-8"/>
        </w:rPr>
        <w:t xml:space="preserve"> stronger enforcement of the</w:t>
      </w:r>
      <w:r w:rsidR="002318A6" w:rsidRPr="0032558B">
        <w:rPr>
          <w:noProof/>
          <w:spacing w:val="-8"/>
        </w:rPr>
        <w:t xml:space="preserve"> </w:t>
      </w:r>
      <w:r w:rsidR="00870A8C" w:rsidRPr="0032558B">
        <w:rPr>
          <w:noProof/>
          <w:spacing w:val="-8"/>
        </w:rPr>
        <w:t xml:space="preserve">Code of Conduct. </w:t>
      </w:r>
    </w:p>
    <w:p w14:paraId="4C748469" w14:textId="251E0F6A" w:rsidR="00C9540B" w:rsidRPr="009C1195" w:rsidRDefault="00D1791F" w:rsidP="007B2D8E">
      <w:pPr>
        <w:pStyle w:val="ListParagraph"/>
        <w:numPr>
          <w:ilvl w:val="2"/>
          <w:numId w:val="13"/>
        </w:numPr>
        <w:tabs>
          <w:tab w:val="left" w:pos="1705"/>
        </w:tabs>
        <w:spacing w:before="0" w:after="240"/>
        <w:ind w:left="1134" w:hanging="709"/>
        <w:jc w:val="both"/>
        <w:rPr>
          <w:bCs/>
          <w:i/>
          <w:iCs/>
          <w:noProof/>
          <w:sz w:val="24"/>
          <w:szCs w:val="24"/>
        </w:rPr>
      </w:pPr>
      <w:r w:rsidRPr="009C1195">
        <w:rPr>
          <w:bCs/>
          <w:i/>
          <w:iCs/>
          <w:noProof/>
          <w:sz w:val="24"/>
          <w:szCs w:val="24"/>
        </w:rPr>
        <w:t xml:space="preserve">Targeted consultations organised in relation to </w:t>
      </w:r>
      <w:r w:rsidR="00A356B2">
        <w:rPr>
          <w:bCs/>
          <w:i/>
          <w:iCs/>
          <w:noProof/>
          <w:sz w:val="24"/>
          <w:szCs w:val="24"/>
        </w:rPr>
        <w:t>RMB</w:t>
      </w:r>
      <w:r w:rsidR="00A356B2" w:rsidRPr="009C1195">
        <w:rPr>
          <w:bCs/>
          <w:i/>
          <w:iCs/>
          <w:noProof/>
          <w:sz w:val="24"/>
          <w:szCs w:val="24"/>
        </w:rPr>
        <w:t xml:space="preserve"> </w:t>
      </w:r>
      <w:r w:rsidR="00E826D3">
        <w:rPr>
          <w:bCs/>
          <w:i/>
          <w:iCs/>
          <w:noProof/>
          <w:sz w:val="24"/>
          <w:szCs w:val="24"/>
        </w:rPr>
        <w:t xml:space="preserve">after the </w:t>
      </w:r>
      <w:r w:rsidR="008B3060">
        <w:rPr>
          <w:bCs/>
          <w:i/>
          <w:iCs/>
          <w:noProof/>
          <w:sz w:val="24"/>
          <w:szCs w:val="24"/>
        </w:rPr>
        <w:t>integration of the</w:t>
      </w:r>
      <w:r w:rsidR="00600C63">
        <w:rPr>
          <w:bCs/>
          <w:i/>
          <w:iCs/>
          <w:noProof/>
          <w:sz w:val="24"/>
          <w:szCs w:val="24"/>
        </w:rPr>
        <w:t xml:space="preserve"> revision on the Code of Conduct for CRS into the initiative</w:t>
      </w:r>
    </w:p>
    <w:p w14:paraId="4B7E30E7" w14:textId="39CF739D" w:rsidR="00B65207" w:rsidRPr="00E1177A" w:rsidRDefault="00F0463E" w:rsidP="00E1177A">
      <w:pPr>
        <w:pStyle w:val="BodyText"/>
        <w:spacing w:after="240"/>
        <w:ind w:left="0" w:right="-26"/>
        <w:rPr>
          <w:noProof/>
          <w:spacing w:val="-8"/>
        </w:rPr>
      </w:pPr>
      <w:r w:rsidRPr="00E1177A">
        <w:rPr>
          <w:noProof/>
          <w:spacing w:val="-8"/>
        </w:rPr>
        <w:t xml:space="preserve">After integrating the revision of the CRS Regulation into the initiative on </w:t>
      </w:r>
      <w:r w:rsidR="00A356B2">
        <w:rPr>
          <w:noProof/>
          <w:spacing w:val="-8"/>
        </w:rPr>
        <w:t>RMB</w:t>
      </w:r>
      <w:r w:rsidRPr="00E1177A">
        <w:rPr>
          <w:noProof/>
          <w:spacing w:val="-8"/>
        </w:rPr>
        <w:t xml:space="preserve">, </w:t>
      </w:r>
      <w:r w:rsidR="00B548DC" w:rsidRPr="00E1177A">
        <w:rPr>
          <w:noProof/>
          <w:spacing w:val="-8"/>
        </w:rPr>
        <w:t>a</w:t>
      </w:r>
      <w:r w:rsidR="2471901C" w:rsidRPr="00E1177A">
        <w:rPr>
          <w:noProof/>
          <w:spacing w:val="-8"/>
        </w:rPr>
        <w:t>n online survey was launched on 22 March 2022. The survey focused on obtaining input on the expected impacts (economic, social and environmental) of the measures under consideration in comparison to the baseline, the possible issues that may arise, to help assess the level of support for specific measures, and where relevant, input on the cost implications of each measure.</w:t>
      </w:r>
      <w:r w:rsidR="00B548DC" w:rsidRPr="00E1177A">
        <w:rPr>
          <w:noProof/>
          <w:spacing w:val="-8"/>
        </w:rPr>
        <w:t xml:space="preserve"> </w:t>
      </w:r>
      <w:r w:rsidR="2471901C" w:rsidRPr="00E1177A">
        <w:rPr>
          <w:noProof/>
          <w:spacing w:val="-8"/>
        </w:rPr>
        <w:t>A total of 55 responses were received.</w:t>
      </w:r>
    </w:p>
    <w:p w14:paraId="13E226CF" w14:textId="3857AC7D" w:rsidR="00712390" w:rsidRPr="00E1177A" w:rsidRDefault="2471901C" w:rsidP="00E1177A">
      <w:pPr>
        <w:pStyle w:val="BodyText"/>
        <w:spacing w:after="240"/>
        <w:ind w:left="0" w:right="-26"/>
        <w:rPr>
          <w:noProof/>
          <w:spacing w:val="-8"/>
        </w:rPr>
      </w:pPr>
      <w:r w:rsidRPr="00E1177A">
        <w:rPr>
          <w:noProof/>
          <w:spacing w:val="-8"/>
        </w:rPr>
        <w:t>The interview</w:t>
      </w:r>
      <w:r w:rsidR="00595F1A" w:rsidRPr="00E1177A">
        <w:rPr>
          <w:noProof/>
          <w:spacing w:val="-8"/>
        </w:rPr>
        <w:t>s</w:t>
      </w:r>
      <w:r w:rsidRPr="00E1177A">
        <w:rPr>
          <w:noProof/>
          <w:spacing w:val="-8"/>
        </w:rPr>
        <w:t xml:space="preserve"> </w:t>
      </w:r>
      <w:r w:rsidR="00595F1A" w:rsidRPr="00E1177A">
        <w:rPr>
          <w:noProof/>
          <w:spacing w:val="-8"/>
        </w:rPr>
        <w:t xml:space="preserve">were conducted </w:t>
      </w:r>
      <w:r w:rsidRPr="00E1177A">
        <w:rPr>
          <w:noProof/>
          <w:spacing w:val="-8"/>
        </w:rPr>
        <w:t xml:space="preserve">between April to July 2022. Just like the survey, the aim of the interviews was to allow discussing </w:t>
      </w:r>
      <w:r w:rsidR="00C15BFF" w:rsidRPr="00E1177A">
        <w:rPr>
          <w:noProof/>
          <w:spacing w:val="-8"/>
        </w:rPr>
        <w:t>IA</w:t>
      </w:r>
      <w:r w:rsidRPr="00E1177A">
        <w:rPr>
          <w:noProof/>
          <w:spacing w:val="-8"/>
        </w:rPr>
        <w:t xml:space="preserve"> parameters and to validate the choice of policy measures (following initial screening) and policy options (following the initial packaging). They focused on obtaining detailed input on the expected impacts (economic, social and environmental) of the measures under consideration in comparison to the baseline, the possible issues that may arise and to identify the level of support for specific measures, and, where relevant, the cost implications of each measure.</w:t>
      </w:r>
      <w:r w:rsidR="00B76AA7" w:rsidRPr="00E1177A">
        <w:rPr>
          <w:noProof/>
          <w:spacing w:val="-8"/>
        </w:rPr>
        <w:t xml:space="preserve"> </w:t>
      </w:r>
      <w:r w:rsidRPr="00E1177A">
        <w:rPr>
          <w:noProof/>
          <w:spacing w:val="-8"/>
        </w:rPr>
        <w:t xml:space="preserve">A total of 66 interviews (plus </w:t>
      </w:r>
      <w:r w:rsidR="0099445A" w:rsidRPr="00E1177A">
        <w:rPr>
          <w:noProof/>
          <w:spacing w:val="-8"/>
        </w:rPr>
        <w:t>7</w:t>
      </w:r>
      <w:r w:rsidRPr="00E1177A">
        <w:rPr>
          <w:noProof/>
          <w:spacing w:val="-8"/>
        </w:rPr>
        <w:t xml:space="preserve"> exploratory interviews), were undertaken with stakeholders.</w:t>
      </w:r>
      <w:r w:rsidR="006D6359" w:rsidRPr="00E1177A">
        <w:rPr>
          <w:noProof/>
          <w:spacing w:val="-8"/>
        </w:rPr>
        <w:t xml:space="preserve"> </w:t>
      </w:r>
      <w:r w:rsidRPr="00E1177A">
        <w:rPr>
          <w:noProof/>
          <w:spacing w:val="-8"/>
        </w:rPr>
        <w:t>The table below outlines the interviews conducted and responses received to the online survey, as</w:t>
      </w:r>
      <w:r w:rsidR="007316CF" w:rsidRPr="00E1177A">
        <w:rPr>
          <w:noProof/>
          <w:spacing w:val="-8"/>
        </w:rPr>
        <w:t xml:space="preserve"> </w:t>
      </w:r>
      <w:r w:rsidRPr="00E1177A">
        <w:rPr>
          <w:noProof/>
          <w:spacing w:val="-8"/>
        </w:rPr>
        <w:t>well as the total number of unique stakeholders involved in the targeted consultation.</w:t>
      </w:r>
      <w:bookmarkStart w:id="274" w:name="2.1.3_Stakeholder_workshops"/>
      <w:bookmarkEnd w:id="274"/>
    </w:p>
    <w:p w14:paraId="7582FF39" w14:textId="71B9125D" w:rsidR="006E0DCA" w:rsidRPr="00E1177A" w:rsidRDefault="00FF62AB" w:rsidP="00E1177A">
      <w:pPr>
        <w:pStyle w:val="BodyText"/>
        <w:spacing w:after="240"/>
        <w:ind w:left="0" w:right="-26"/>
        <w:rPr>
          <w:noProof/>
          <w:spacing w:val="-8"/>
        </w:rPr>
      </w:pPr>
      <w:r w:rsidRPr="00E1177A">
        <w:rPr>
          <w:noProof/>
          <w:spacing w:val="-8"/>
        </w:rPr>
        <w:t>A</w:t>
      </w:r>
      <w:r w:rsidR="2471901C" w:rsidRPr="00E1177A">
        <w:rPr>
          <w:noProof/>
          <w:spacing w:val="-8"/>
        </w:rPr>
        <w:t xml:space="preserve"> series of three workshops were organised to support the </w:t>
      </w:r>
      <w:r w:rsidR="006748C2" w:rsidRPr="00E1177A">
        <w:rPr>
          <w:noProof/>
          <w:spacing w:val="-8"/>
        </w:rPr>
        <w:t>IA</w:t>
      </w:r>
      <w:r w:rsidR="2471901C" w:rsidRPr="00E1177A">
        <w:rPr>
          <w:noProof/>
          <w:spacing w:val="-8"/>
        </w:rPr>
        <w:t>.</w:t>
      </w:r>
      <w:r w:rsidR="00E933B5" w:rsidRPr="00E1177A">
        <w:rPr>
          <w:noProof/>
          <w:spacing w:val="-8"/>
        </w:rPr>
        <w:t xml:space="preserve"> A</w:t>
      </w:r>
      <w:r w:rsidR="00E527FD" w:rsidRPr="00E1177A">
        <w:rPr>
          <w:noProof/>
          <w:spacing w:val="-8"/>
        </w:rPr>
        <w:t xml:space="preserve"> first workshop was organised on 22 February 2022</w:t>
      </w:r>
      <w:r w:rsidRPr="00E1177A">
        <w:rPr>
          <w:noProof/>
          <w:spacing w:val="-8"/>
        </w:rPr>
        <w:t xml:space="preserve"> providing</w:t>
      </w:r>
      <w:r w:rsidR="00397DBC" w:rsidRPr="00E1177A">
        <w:rPr>
          <w:noProof/>
          <w:spacing w:val="-8"/>
        </w:rPr>
        <w:t xml:space="preserve"> a summary of the IIA responses and a presentation on the problem</w:t>
      </w:r>
      <w:r w:rsidR="008D5EC7" w:rsidRPr="00E1177A">
        <w:rPr>
          <w:noProof/>
          <w:spacing w:val="-8"/>
        </w:rPr>
        <w:t xml:space="preserve"> and </w:t>
      </w:r>
      <w:r w:rsidR="00397DBC" w:rsidRPr="00E1177A">
        <w:rPr>
          <w:noProof/>
          <w:spacing w:val="-8"/>
        </w:rPr>
        <w:t>driver</w:t>
      </w:r>
      <w:r w:rsidR="008D5EC7" w:rsidRPr="00E1177A">
        <w:rPr>
          <w:noProof/>
          <w:spacing w:val="-8"/>
        </w:rPr>
        <w:t>s</w:t>
      </w:r>
      <w:r w:rsidR="00CD57CB" w:rsidRPr="00E1177A">
        <w:rPr>
          <w:noProof/>
          <w:spacing w:val="-8"/>
        </w:rPr>
        <w:t>. This workshop was followed by 312</w:t>
      </w:r>
      <w:r w:rsidR="00190624" w:rsidRPr="00E1177A">
        <w:rPr>
          <w:noProof/>
          <w:spacing w:val="-8"/>
        </w:rPr>
        <w:t xml:space="preserve"> </w:t>
      </w:r>
      <w:r w:rsidR="00BE7A04" w:rsidRPr="00E1177A">
        <w:rPr>
          <w:noProof/>
          <w:spacing w:val="-8"/>
        </w:rPr>
        <w:t>stakeholders. On 19 April 2022, a second works</w:t>
      </w:r>
      <w:r w:rsidR="008C7211" w:rsidRPr="00E1177A">
        <w:rPr>
          <w:noProof/>
          <w:spacing w:val="-8"/>
        </w:rPr>
        <w:t xml:space="preserve">hop </w:t>
      </w:r>
      <w:r w:rsidR="009C4E78" w:rsidRPr="00E1177A">
        <w:rPr>
          <w:noProof/>
          <w:spacing w:val="-8"/>
        </w:rPr>
        <w:t xml:space="preserve">presented the considered policy measures. It was followed by 140 </w:t>
      </w:r>
      <w:r w:rsidR="00F226D0" w:rsidRPr="00E1177A">
        <w:rPr>
          <w:noProof/>
          <w:spacing w:val="-8"/>
        </w:rPr>
        <w:t xml:space="preserve">stakeholders. </w:t>
      </w:r>
      <w:r w:rsidR="002D742C" w:rsidRPr="00E1177A">
        <w:rPr>
          <w:noProof/>
          <w:spacing w:val="-8"/>
        </w:rPr>
        <w:t xml:space="preserve">A closed workshop was then organised on 28 February </w:t>
      </w:r>
      <w:r w:rsidR="00F3366C" w:rsidRPr="00E1177A">
        <w:rPr>
          <w:noProof/>
          <w:spacing w:val="-8"/>
        </w:rPr>
        <w:t>2023</w:t>
      </w:r>
      <w:r w:rsidR="00321509" w:rsidRPr="00E1177A">
        <w:rPr>
          <w:noProof/>
          <w:spacing w:val="-8"/>
        </w:rPr>
        <w:t xml:space="preserve"> to gather feedback on the </w:t>
      </w:r>
      <w:r w:rsidR="008A6341" w:rsidRPr="00E1177A">
        <w:rPr>
          <w:noProof/>
          <w:spacing w:val="-8"/>
        </w:rPr>
        <w:t>preferred policy option</w:t>
      </w:r>
      <w:r w:rsidR="00B65207" w:rsidRPr="00E1177A">
        <w:rPr>
          <w:noProof/>
          <w:spacing w:val="-8"/>
        </w:rPr>
        <w:t xml:space="preserve"> and its feasibility. It was followed by 285 stakeholders. A final workshop was conducted on 19 June 2023 to present the final policy options </w:t>
      </w:r>
      <w:r w:rsidR="00435AB6" w:rsidRPr="00E1177A">
        <w:rPr>
          <w:noProof/>
          <w:spacing w:val="-8"/>
        </w:rPr>
        <w:t>for the fi</w:t>
      </w:r>
      <w:r w:rsidR="003D18E8" w:rsidRPr="00E1177A">
        <w:rPr>
          <w:noProof/>
          <w:spacing w:val="-8"/>
        </w:rPr>
        <w:t>r</w:t>
      </w:r>
      <w:r w:rsidR="00435AB6" w:rsidRPr="00E1177A">
        <w:rPr>
          <w:noProof/>
          <w:spacing w:val="-8"/>
        </w:rPr>
        <w:t>st submission to the Reg</w:t>
      </w:r>
      <w:r w:rsidR="003D18E8" w:rsidRPr="00E1177A">
        <w:rPr>
          <w:noProof/>
          <w:spacing w:val="-8"/>
        </w:rPr>
        <w:t xml:space="preserve">ulatory Scrutiny Board </w:t>
      </w:r>
      <w:r w:rsidR="00B65207" w:rsidRPr="00E1177A">
        <w:rPr>
          <w:noProof/>
          <w:spacing w:val="-8"/>
        </w:rPr>
        <w:t xml:space="preserve">and was followed by 131 stakeholders. </w:t>
      </w:r>
    </w:p>
    <w:p w14:paraId="74597FC2" w14:textId="5506600B" w:rsidR="00921E4F" w:rsidRPr="00E1177A" w:rsidRDefault="00743D66" w:rsidP="00E1177A">
      <w:pPr>
        <w:pStyle w:val="BodyText"/>
        <w:spacing w:after="240"/>
        <w:ind w:left="0" w:right="-26"/>
        <w:rPr>
          <w:noProof/>
          <w:spacing w:val="-8"/>
        </w:rPr>
      </w:pPr>
      <w:r w:rsidRPr="00E1177A">
        <w:rPr>
          <w:noProof/>
          <w:spacing w:val="-8"/>
        </w:rPr>
        <w:t>After receiving a negative opinion of the Regulatory Scrutiny Board</w:t>
      </w:r>
      <w:r w:rsidR="00026219" w:rsidRPr="00E1177A">
        <w:rPr>
          <w:noProof/>
          <w:spacing w:val="-8"/>
        </w:rPr>
        <w:t xml:space="preserve"> </w:t>
      </w:r>
      <w:r w:rsidR="00896EBE" w:rsidRPr="00E1177A">
        <w:rPr>
          <w:noProof/>
          <w:spacing w:val="-8"/>
        </w:rPr>
        <w:t xml:space="preserve">on the </w:t>
      </w:r>
      <w:r w:rsidR="009643CB" w:rsidRPr="00E1177A">
        <w:rPr>
          <w:noProof/>
          <w:spacing w:val="-8"/>
        </w:rPr>
        <w:t xml:space="preserve">draft IA </w:t>
      </w:r>
      <w:r w:rsidR="00026219" w:rsidRPr="00E1177A">
        <w:rPr>
          <w:noProof/>
          <w:spacing w:val="-8"/>
        </w:rPr>
        <w:t>additional surveys, interviews</w:t>
      </w:r>
      <w:r w:rsidRPr="00E1177A">
        <w:rPr>
          <w:noProof/>
          <w:spacing w:val="-8"/>
        </w:rPr>
        <w:t xml:space="preserve"> </w:t>
      </w:r>
      <w:r w:rsidR="00026219" w:rsidRPr="00E1177A">
        <w:rPr>
          <w:noProof/>
          <w:spacing w:val="-8"/>
        </w:rPr>
        <w:t>and workshops were launched in order to gather the views of stakeholders on the updated in</w:t>
      </w:r>
      <w:r w:rsidR="009643CB" w:rsidRPr="00E1177A">
        <w:rPr>
          <w:noProof/>
          <w:spacing w:val="-8"/>
        </w:rPr>
        <w:t>itiative</w:t>
      </w:r>
      <w:r w:rsidR="009E4EB9" w:rsidRPr="00E1177A">
        <w:rPr>
          <w:noProof/>
          <w:spacing w:val="-8"/>
        </w:rPr>
        <w:t xml:space="preserve"> and its underlying intervention logic</w:t>
      </w:r>
      <w:r w:rsidR="00097DE4" w:rsidRPr="00E1177A">
        <w:rPr>
          <w:noProof/>
          <w:spacing w:val="-8"/>
        </w:rPr>
        <w:t xml:space="preserve">. </w:t>
      </w:r>
      <w:r w:rsidR="009643CB" w:rsidRPr="00E1177A">
        <w:rPr>
          <w:noProof/>
          <w:spacing w:val="-8"/>
        </w:rPr>
        <w:t>T</w:t>
      </w:r>
      <w:r w:rsidR="00097DE4" w:rsidRPr="00E1177A">
        <w:rPr>
          <w:noProof/>
          <w:spacing w:val="-8"/>
        </w:rPr>
        <w:t>he initiative was split into 2 legal proposals</w:t>
      </w:r>
      <w:r w:rsidR="007F474C" w:rsidRPr="00E1177A">
        <w:rPr>
          <w:noProof/>
          <w:spacing w:val="-8"/>
        </w:rPr>
        <w:t>,</w:t>
      </w:r>
      <w:r w:rsidR="00097DE4" w:rsidRPr="00E1177A">
        <w:rPr>
          <w:noProof/>
          <w:spacing w:val="-8"/>
        </w:rPr>
        <w:t xml:space="preserve"> </w:t>
      </w:r>
      <w:r w:rsidR="00050E42" w:rsidRPr="00E1177A">
        <w:rPr>
          <w:noProof/>
          <w:spacing w:val="-8"/>
        </w:rPr>
        <w:t>on one hand the R</w:t>
      </w:r>
      <w:r w:rsidR="00E37169">
        <w:rPr>
          <w:noProof/>
          <w:spacing w:val="-8"/>
        </w:rPr>
        <w:t>MB</w:t>
      </w:r>
      <w:r w:rsidR="00050E42" w:rsidRPr="00E1177A">
        <w:rPr>
          <w:noProof/>
          <w:spacing w:val="-8"/>
        </w:rPr>
        <w:t xml:space="preserve"> and on the other hand the </w:t>
      </w:r>
      <w:r w:rsidR="00E37169">
        <w:rPr>
          <w:noProof/>
          <w:spacing w:val="-8"/>
        </w:rPr>
        <w:t>RTR</w:t>
      </w:r>
      <w:r w:rsidR="00050E42" w:rsidRPr="00E1177A">
        <w:rPr>
          <w:noProof/>
          <w:spacing w:val="-8"/>
        </w:rPr>
        <w:t xml:space="preserve"> related only to rail. </w:t>
      </w:r>
      <w:r w:rsidR="3D196924" w:rsidRPr="00E1177A">
        <w:rPr>
          <w:noProof/>
          <w:spacing w:val="-8"/>
        </w:rPr>
        <w:t xml:space="preserve">Following the consultation process, the </w:t>
      </w:r>
      <w:r w:rsidR="007B33E7" w:rsidRPr="00E1177A">
        <w:rPr>
          <w:noProof/>
          <w:spacing w:val="-8"/>
        </w:rPr>
        <w:t xml:space="preserve">views gathered </w:t>
      </w:r>
      <w:r w:rsidR="3D196924" w:rsidRPr="00E1177A">
        <w:rPr>
          <w:noProof/>
          <w:spacing w:val="-8"/>
        </w:rPr>
        <w:t xml:space="preserve">were considered </w:t>
      </w:r>
      <w:r w:rsidR="007B33E7" w:rsidRPr="00E1177A">
        <w:rPr>
          <w:noProof/>
          <w:spacing w:val="-8"/>
        </w:rPr>
        <w:t xml:space="preserve">to </w:t>
      </w:r>
      <w:r w:rsidR="009E4EB9" w:rsidRPr="00E1177A">
        <w:rPr>
          <w:noProof/>
          <w:spacing w:val="-8"/>
        </w:rPr>
        <w:t>update</w:t>
      </w:r>
      <w:r w:rsidR="3D196924" w:rsidRPr="00E1177A">
        <w:rPr>
          <w:noProof/>
          <w:spacing w:val="-8"/>
        </w:rPr>
        <w:t xml:space="preserve"> the problem definition, the identification of different measures and policy options as well as the analysis of impacts and the design of the preferred policy option.</w:t>
      </w:r>
      <w:bookmarkStart w:id="275" w:name="2.2.3_Targeted_consultation"/>
      <w:bookmarkEnd w:id="275"/>
      <w:r w:rsidR="00921E4F" w:rsidRPr="00E1177A">
        <w:rPr>
          <w:noProof/>
          <w:spacing w:val="-8"/>
        </w:rPr>
        <w:t xml:space="preserve"> </w:t>
      </w:r>
    </w:p>
    <w:p w14:paraId="23714A9D" w14:textId="044E615E" w:rsidR="00BF4592" w:rsidRPr="00E1177A" w:rsidRDefault="00921E4F" w:rsidP="00E1177A">
      <w:pPr>
        <w:pStyle w:val="BodyText"/>
        <w:spacing w:after="240"/>
        <w:ind w:left="0" w:right="-26"/>
        <w:rPr>
          <w:noProof/>
          <w:spacing w:val="-8"/>
        </w:rPr>
      </w:pPr>
      <w:r w:rsidRPr="00E1177A">
        <w:rPr>
          <w:noProof/>
          <w:spacing w:val="-8"/>
        </w:rPr>
        <w:t>T</w:t>
      </w:r>
      <w:r w:rsidR="008056EF" w:rsidRPr="00E1177A">
        <w:rPr>
          <w:noProof/>
          <w:spacing w:val="-8"/>
        </w:rPr>
        <w:t>he survey was initially open from 14 February to 11 April 2025, although the deadline was extended for a limited number of stakeholders until 23 April 2025. The survey received a total of 73 completed responses. Transport operators make up the largest group of respondents, with 32 respondents</w:t>
      </w:r>
      <w:r w:rsidR="00097655" w:rsidRPr="00E1177A">
        <w:rPr>
          <w:noProof/>
          <w:spacing w:val="-8"/>
        </w:rPr>
        <w:t xml:space="preserve">. </w:t>
      </w:r>
      <w:r w:rsidR="008056EF" w:rsidRPr="00E1177A">
        <w:rPr>
          <w:noProof/>
          <w:spacing w:val="-8"/>
        </w:rPr>
        <w:t xml:space="preserve"> MDMS </w:t>
      </w:r>
      <w:r w:rsidR="0097162A" w:rsidRPr="00E1177A">
        <w:rPr>
          <w:noProof/>
          <w:spacing w:val="-8"/>
        </w:rPr>
        <w:t>platforms</w:t>
      </w:r>
      <w:r w:rsidR="008056EF" w:rsidRPr="00E1177A">
        <w:rPr>
          <w:noProof/>
          <w:spacing w:val="-8"/>
        </w:rPr>
        <w:t xml:space="preserve"> were the second largest, with 19 responses, followed by national authorities, which account for 12 responses. The remaining 10 responses came from other stakeholders, including experts and consumer groups.</w:t>
      </w:r>
    </w:p>
    <w:p w14:paraId="1FFE5DD0" w14:textId="1CBBB34A" w:rsidR="006A1FCE" w:rsidRPr="00E1177A" w:rsidRDefault="005B02FA" w:rsidP="00E1177A">
      <w:pPr>
        <w:pStyle w:val="BodyText"/>
        <w:spacing w:after="240"/>
        <w:ind w:left="0" w:right="-26"/>
        <w:rPr>
          <w:noProof/>
          <w:spacing w:val="-8"/>
        </w:rPr>
      </w:pPr>
      <w:r w:rsidRPr="00E1177A">
        <w:rPr>
          <w:noProof/>
          <w:spacing w:val="-8"/>
        </w:rPr>
        <w:t>Additional i</w:t>
      </w:r>
      <w:r w:rsidR="00134ECA" w:rsidRPr="00E1177A">
        <w:rPr>
          <w:noProof/>
          <w:spacing w:val="-8"/>
        </w:rPr>
        <w:t>n-depth</w:t>
      </w:r>
      <w:r w:rsidR="00781DAD" w:rsidRPr="00E1177A">
        <w:rPr>
          <w:noProof/>
          <w:spacing w:val="-8"/>
        </w:rPr>
        <w:t xml:space="preserve"> interviews were held between </w:t>
      </w:r>
      <w:r w:rsidR="00F77EA6" w:rsidRPr="00E1177A">
        <w:rPr>
          <w:noProof/>
          <w:spacing w:val="-8"/>
        </w:rPr>
        <w:t>1 April and 16</w:t>
      </w:r>
      <w:r w:rsidR="00660620" w:rsidRPr="00E1177A">
        <w:rPr>
          <w:noProof/>
          <w:spacing w:val="-8"/>
          <w:vertAlign w:val="superscript"/>
        </w:rPr>
        <w:t xml:space="preserve"> </w:t>
      </w:r>
      <w:r w:rsidR="00660620" w:rsidRPr="00E1177A">
        <w:rPr>
          <w:noProof/>
          <w:spacing w:val="-8"/>
        </w:rPr>
        <w:t xml:space="preserve">May 2025. </w:t>
      </w:r>
      <w:r w:rsidR="00726282" w:rsidRPr="00E1177A">
        <w:rPr>
          <w:noProof/>
          <w:spacing w:val="-8"/>
        </w:rPr>
        <w:t xml:space="preserve">Overall, 51 interviews were undertaken. Nineteen with transport operators, including nine </w:t>
      </w:r>
      <w:r w:rsidR="001358ED" w:rsidRPr="00E1177A">
        <w:rPr>
          <w:noProof/>
          <w:spacing w:val="-8"/>
        </w:rPr>
        <w:t>RU</w:t>
      </w:r>
      <w:r w:rsidR="00726282" w:rsidRPr="00E1177A">
        <w:rPr>
          <w:noProof/>
          <w:spacing w:val="-8"/>
        </w:rPr>
        <w:t>s (</w:t>
      </w:r>
      <w:r w:rsidR="008B52A9" w:rsidRPr="00E1177A">
        <w:rPr>
          <w:noProof/>
          <w:spacing w:val="-8"/>
        </w:rPr>
        <w:t xml:space="preserve">5 </w:t>
      </w:r>
      <w:r w:rsidR="00726282" w:rsidRPr="00E1177A">
        <w:rPr>
          <w:noProof/>
          <w:spacing w:val="-8"/>
        </w:rPr>
        <w:t xml:space="preserve">incumbents and </w:t>
      </w:r>
      <w:r w:rsidR="008B52A9" w:rsidRPr="00E1177A">
        <w:rPr>
          <w:noProof/>
          <w:spacing w:val="-8"/>
        </w:rPr>
        <w:t xml:space="preserve">4 </w:t>
      </w:r>
      <w:r w:rsidR="00726282" w:rsidRPr="00E1177A">
        <w:rPr>
          <w:noProof/>
          <w:spacing w:val="-8"/>
        </w:rPr>
        <w:t>open access</w:t>
      </w:r>
      <w:r w:rsidR="008B52A9" w:rsidRPr="00E1177A">
        <w:rPr>
          <w:noProof/>
          <w:spacing w:val="-8"/>
        </w:rPr>
        <w:t xml:space="preserve"> </w:t>
      </w:r>
      <w:r w:rsidR="001358ED" w:rsidRPr="00E1177A">
        <w:rPr>
          <w:noProof/>
          <w:spacing w:val="-8"/>
        </w:rPr>
        <w:t>RU</w:t>
      </w:r>
      <w:r w:rsidR="00726282" w:rsidRPr="00E1177A">
        <w:rPr>
          <w:noProof/>
          <w:spacing w:val="-8"/>
        </w:rPr>
        <w:t xml:space="preserve">s), </w:t>
      </w:r>
      <w:r w:rsidR="0024529F" w:rsidRPr="00E1177A">
        <w:rPr>
          <w:noProof/>
          <w:spacing w:val="-8"/>
        </w:rPr>
        <w:t>6</w:t>
      </w:r>
      <w:r w:rsidR="00726282" w:rsidRPr="00E1177A">
        <w:rPr>
          <w:noProof/>
          <w:spacing w:val="-8"/>
        </w:rPr>
        <w:t xml:space="preserve"> airlines, </w:t>
      </w:r>
      <w:r w:rsidR="0024529F" w:rsidRPr="00E1177A">
        <w:rPr>
          <w:noProof/>
          <w:spacing w:val="-8"/>
        </w:rPr>
        <w:t>3</w:t>
      </w:r>
      <w:r w:rsidR="00726282" w:rsidRPr="00E1177A">
        <w:rPr>
          <w:noProof/>
          <w:spacing w:val="-8"/>
        </w:rPr>
        <w:t xml:space="preserve"> bus/coach operators and </w:t>
      </w:r>
      <w:r w:rsidR="0024529F" w:rsidRPr="00E1177A">
        <w:rPr>
          <w:noProof/>
          <w:spacing w:val="-8"/>
        </w:rPr>
        <w:t>1</w:t>
      </w:r>
      <w:r w:rsidR="00726282" w:rsidRPr="00E1177A">
        <w:rPr>
          <w:noProof/>
          <w:spacing w:val="-8"/>
        </w:rPr>
        <w:t xml:space="preserve"> maritime interview that involved the trade association and two operators. The next largest group interviewed was MDMS </w:t>
      </w:r>
      <w:r w:rsidR="0066278F" w:rsidRPr="00E1177A">
        <w:rPr>
          <w:noProof/>
          <w:spacing w:val="-8"/>
        </w:rPr>
        <w:t>platforms</w:t>
      </w:r>
      <w:r w:rsidR="00726282" w:rsidRPr="00E1177A">
        <w:rPr>
          <w:noProof/>
          <w:spacing w:val="-8"/>
        </w:rPr>
        <w:t xml:space="preserve">, of which 16 were interviewed. Finally, </w:t>
      </w:r>
      <w:r w:rsidR="0024529F" w:rsidRPr="00E1177A">
        <w:rPr>
          <w:noProof/>
          <w:spacing w:val="-8"/>
        </w:rPr>
        <w:t>8</w:t>
      </w:r>
      <w:r w:rsidR="00726282" w:rsidRPr="00E1177A">
        <w:rPr>
          <w:noProof/>
          <w:spacing w:val="-8"/>
        </w:rPr>
        <w:t xml:space="preserve"> interviews</w:t>
      </w:r>
      <w:r w:rsidR="00DD3CF5" w:rsidRPr="00E1177A">
        <w:rPr>
          <w:noProof/>
          <w:spacing w:val="-8"/>
        </w:rPr>
        <w:t xml:space="preserve"> </w:t>
      </w:r>
      <w:r w:rsidR="00726282" w:rsidRPr="00E1177A">
        <w:rPr>
          <w:noProof/>
          <w:spacing w:val="-8"/>
        </w:rPr>
        <w:t xml:space="preserve">were undertaken </w:t>
      </w:r>
      <w:r w:rsidR="00E52F30" w:rsidRPr="00E1177A">
        <w:rPr>
          <w:noProof/>
          <w:spacing w:val="-8"/>
        </w:rPr>
        <w:t xml:space="preserve">respectively </w:t>
      </w:r>
      <w:r w:rsidR="00726282" w:rsidRPr="00E1177A">
        <w:rPr>
          <w:noProof/>
          <w:spacing w:val="-8"/>
        </w:rPr>
        <w:t xml:space="preserve">with national authorities and other stakeholders, which included consumer </w:t>
      </w:r>
      <w:r w:rsidR="00371180" w:rsidRPr="00E1177A">
        <w:rPr>
          <w:noProof/>
          <w:spacing w:val="-8"/>
        </w:rPr>
        <w:t>organizations</w:t>
      </w:r>
      <w:r w:rsidR="00726282" w:rsidRPr="00E1177A">
        <w:rPr>
          <w:noProof/>
          <w:spacing w:val="-8"/>
        </w:rPr>
        <w:t xml:space="preserve"> and representatives of sub-national public authorities.</w:t>
      </w:r>
      <w:r w:rsidR="00046546" w:rsidRPr="00E1177A">
        <w:rPr>
          <w:noProof/>
          <w:spacing w:val="-8"/>
        </w:rPr>
        <w:t xml:space="preserve"> </w:t>
      </w:r>
      <w:r w:rsidR="006A1FCE" w:rsidRPr="00E1177A">
        <w:rPr>
          <w:noProof/>
          <w:spacing w:val="-8"/>
        </w:rPr>
        <w:t xml:space="preserve">These interviews </w:t>
      </w:r>
      <w:r w:rsidR="00781DAD" w:rsidRPr="00E1177A">
        <w:rPr>
          <w:noProof/>
          <w:spacing w:val="-8"/>
        </w:rPr>
        <w:t>aimed at completing the results from the survey</w:t>
      </w:r>
      <w:r w:rsidR="00660620" w:rsidRPr="00E1177A">
        <w:rPr>
          <w:noProof/>
          <w:spacing w:val="-8"/>
        </w:rPr>
        <w:t xml:space="preserve"> by </w:t>
      </w:r>
      <w:r w:rsidR="005C0235" w:rsidRPr="00E1177A">
        <w:rPr>
          <w:noProof/>
          <w:spacing w:val="-8"/>
        </w:rPr>
        <w:t xml:space="preserve">developing </w:t>
      </w:r>
      <w:r w:rsidR="004B2164" w:rsidRPr="00E1177A">
        <w:rPr>
          <w:noProof/>
          <w:spacing w:val="-8"/>
        </w:rPr>
        <w:t>targeted</w:t>
      </w:r>
      <w:r w:rsidR="005C0235" w:rsidRPr="00E1177A">
        <w:rPr>
          <w:noProof/>
          <w:spacing w:val="-8"/>
        </w:rPr>
        <w:t xml:space="preserve"> </w:t>
      </w:r>
      <w:r w:rsidR="00B35FF1" w:rsidRPr="00E1177A">
        <w:rPr>
          <w:noProof/>
          <w:spacing w:val="-8"/>
        </w:rPr>
        <w:t>questions</w:t>
      </w:r>
      <w:r w:rsidR="005C0235" w:rsidRPr="00E1177A">
        <w:rPr>
          <w:noProof/>
          <w:spacing w:val="-8"/>
        </w:rPr>
        <w:t xml:space="preserve"> for each stakeholder </w:t>
      </w:r>
      <w:r w:rsidR="00B35FF1" w:rsidRPr="00E1177A">
        <w:rPr>
          <w:noProof/>
          <w:spacing w:val="-8"/>
        </w:rPr>
        <w:t xml:space="preserve">to </w:t>
      </w:r>
      <w:r w:rsidR="005C0235" w:rsidRPr="00E1177A">
        <w:rPr>
          <w:noProof/>
          <w:spacing w:val="-8"/>
        </w:rPr>
        <w:t xml:space="preserve">fill gaps in their respective survey response or elaborate </w:t>
      </w:r>
      <w:r w:rsidR="006D1E4B" w:rsidRPr="00E1177A">
        <w:rPr>
          <w:noProof/>
          <w:spacing w:val="-8"/>
        </w:rPr>
        <w:t xml:space="preserve">further </w:t>
      </w:r>
      <w:r w:rsidR="005C0235" w:rsidRPr="00E1177A">
        <w:rPr>
          <w:noProof/>
          <w:spacing w:val="-8"/>
        </w:rPr>
        <w:t xml:space="preserve">on their responses to </w:t>
      </w:r>
      <w:r w:rsidR="00BF1917" w:rsidRPr="00E1177A">
        <w:rPr>
          <w:noProof/>
          <w:spacing w:val="-8"/>
        </w:rPr>
        <w:t>specific</w:t>
      </w:r>
      <w:r w:rsidR="005C0235" w:rsidRPr="00E1177A">
        <w:rPr>
          <w:noProof/>
          <w:spacing w:val="-8"/>
        </w:rPr>
        <w:t xml:space="preserve"> questions.</w:t>
      </w:r>
      <w:r w:rsidR="007444A2" w:rsidRPr="00E1177A">
        <w:rPr>
          <w:noProof/>
          <w:spacing w:val="-8"/>
        </w:rPr>
        <w:t xml:space="preserve"> As a result, the interviews </w:t>
      </w:r>
      <w:r w:rsidR="00723087" w:rsidRPr="00E1177A">
        <w:rPr>
          <w:noProof/>
          <w:spacing w:val="-8"/>
        </w:rPr>
        <w:t xml:space="preserve">refined the data collected </w:t>
      </w:r>
      <w:r w:rsidR="000A7811" w:rsidRPr="00E1177A">
        <w:rPr>
          <w:noProof/>
          <w:spacing w:val="-8"/>
        </w:rPr>
        <w:t>within the survey</w:t>
      </w:r>
      <w:r w:rsidR="00556749" w:rsidRPr="00E1177A">
        <w:rPr>
          <w:noProof/>
          <w:spacing w:val="-8"/>
        </w:rPr>
        <w:t xml:space="preserve">. </w:t>
      </w:r>
    </w:p>
    <w:p w14:paraId="054BF34C" w14:textId="012AA3E0" w:rsidR="007D1B27" w:rsidRPr="00D71008" w:rsidRDefault="00683889" w:rsidP="00E1177A">
      <w:pPr>
        <w:pStyle w:val="BodyText"/>
        <w:spacing w:after="240"/>
        <w:ind w:left="0" w:right="-26"/>
        <w:rPr>
          <w:noProof/>
        </w:rPr>
      </w:pPr>
      <w:bookmarkStart w:id="276" w:name="2.2.4_Legal_workshops"/>
      <w:bookmarkEnd w:id="276"/>
      <w:r w:rsidRPr="00E1177A">
        <w:rPr>
          <w:noProof/>
          <w:spacing w:val="-8"/>
        </w:rPr>
        <w:t>4</w:t>
      </w:r>
      <w:r w:rsidR="004C3172" w:rsidRPr="00E1177A">
        <w:rPr>
          <w:noProof/>
          <w:spacing w:val="-8"/>
        </w:rPr>
        <w:t xml:space="preserve"> </w:t>
      </w:r>
      <w:r w:rsidR="000077B1" w:rsidRPr="00E1177A">
        <w:rPr>
          <w:noProof/>
          <w:spacing w:val="-8"/>
        </w:rPr>
        <w:t xml:space="preserve">additional </w:t>
      </w:r>
      <w:r w:rsidR="004C3172" w:rsidRPr="00E1177A">
        <w:rPr>
          <w:noProof/>
          <w:spacing w:val="-8"/>
        </w:rPr>
        <w:t>workshops were held</w:t>
      </w:r>
      <w:r w:rsidR="003658AD" w:rsidRPr="00E1177A">
        <w:rPr>
          <w:noProof/>
          <w:spacing w:val="-8"/>
        </w:rPr>
        <w:t xml:space="preserve">. </w:t>
      </w:r>
      <w:r w:rsidR="00EA4109" w:rsidRPr="00E1177A">
        <w:rPr>
          <w:noProof/>
          <w:spacing w:val="-8"/>
        </w:rPr>
        <w:t xml:space="preserve">Three of those workshops were open to all stakeholders, and one </w:t>
      </w:r>
      <w:r w:rsidR="00A01049" w:rsidRPr="00E1177A">
        <w:rPr>
          <w:noProof/>
          <w:spacing w:val="-8"/>
        </w:rPr>
        <w:t xml:space="preserve">was a closed workshop, </w:t>
      </w:r>
      <w:r w:rsidR="002D191A" w:rsidRPr="00E1177A">
        <w:rPr>
          <w:noProof/>
          <w:spacing w:val="-8"/>
        </w:rPr>
        <w:t>targeting</w:t>
      </w:r>
      <w:r w:rsidR="00A01049" w:rsidRPr="00E1177A">
        <w:rPr>
          <w:noProof/>
          <w:spacing w:val="-8"/>
        </w:rPr>
        <w:t xml:space="preserve"> national experts. </w:t>
      </w:r>
      <w:r w:rsidR="00515AAE" w:rsidRPr="00E1177A">
        <w:rPr>
          <w:noProof/>
          <w:spacing w:val="-8"/>
        </w:rPr>
        <w:t xml:space="preserve">The first workshop took place in January 2025 and presented </w:t>
      </w:r>
      <w:r w:rsidR="00EE0F27" w:rsidRPr="00E1177A">
        <w:rPr>
          <w:noProof/>
          <w:spacing w:val="-8"/>
        </w:rPr>
        <w:t xml:space="preserve">together with the problem definition </w:t>
      </w:r>
      <w:r w:rsidR="00515AAE" w:rsidRPr="00E1177A">
        <w:rPr>
          <w:noProof/>
          <w:spacing w:val="-8"/>
        </w:rPr>
        <w:t>the</w:t>
      </w:r>
      <w:r w:rsidR="007A78BC" w:rsidRPr="00E1177A">
        <w:rPr>
          <w:noProof/>
          <w:spacing w:val="-8"/>
        </w:rPr>
        <w:t xml:space="preserve"> main objective</w:t>
      </w:r>
      <w:r w:rsidR="00EE0F27" w:rsidRPr="00E1177A">
        <w:rPr>
          <w:noProof/>
          <w:spacing w:val="-8"/>
        </w:rPr>
        <w:t>s</w:t>
      </w:r>
      <w:r w:rsidR="007A78BC" w:rsidRPr="00E1177A">
        <w:rPr>
          <w:noProof/>
          <w:spacing w:val="-8"/>
        </w:rPr>
        <w:t xml:space="preserve"> of the</w:t>
      </w:r>
      <w:r w:rsidR="00515AAE" w:rsidRPr="00E1177A">
        <w:rPr>
          <w:noProof/>
          <w:spacing w:val="-8"/>
        </w:rPr>
        <w:t xml:space="preserve"> initiative to stakeholders</w:t>
      </w:r>
      <w:r w:rsidR="00A96990" w:rsidRPr="00E1177A">
        <w:rPr>
          <w:noProof/>
          <w:spacing w:val="-8"/>
        </w:rPr>
        <w:t xml:space="preserve">. A second </w:t>
      </w:r>
      <w:r w:rsidR="007A78BC" w:rsidRPr="00E1177A">
        <w:rPr>
          <w:noProof/>
          <w:spacing w:val="-8"/>
        </w:rPr>
        <w:t xml:space="preserve">workshop was held in March 2025 and presented the </w:t>
      </w:r>
      <w:r w:rsidR="00035453" w:rsidRPr="00E1177A">
        <w:rPr>
          <w:noProof/>
          <w:spacing w:val="-8"/>
        </w:rPr>
        <w:t>list of policy measures a</w:t>
      </w:r>
      <w:r w:rsidR="00AC7113" w:rsidRPr="00E1177A">
        <w:rPr>
          <w:noProof/>
          <w:spacing w:val="-8"/>
        </w:rPr>
        <w:t>n</w:t>
      </w:r>
      <w:r w:rsidR="00035453" w:rsidRPr="00E1177A">
        <w:rPr>
          <w:noProof/>
          <w:spacing w:val="-8"/>
        </w:rPr>
        <w:t xml:space="preserve">d policy options, while the last </w:t>
      </w:r>
      <w:r w:rsidR="00E022EB" w:rsidRPr="00E1177A">
        <w:rPr>
          <w:noProof/>
          <w:spacing w:val="-8"/>
        </w:rPr>
        <w:t xml:space="preserve">stakeholder workshop </w:t>
      </w:r>
      <w:r w:rsidR="00116504" w:rsidRPr="00E1177A">
        <w:rPr>
          <w:noProof/>
          <w:spacing w:val="-8"/>
        </w:rPr>
        <w:t>to</w:t>
      </w:r>
      <w:r w:rsidR="00A164A8" w:rsidRPr="00E1177A">
        <w:rPr>
          <w:noProof/>
          <w:spacing w:val="-8"/>
        </w:rPr>
        <w:t>o</w:t>
      </w:r>
      <w:r w:rsidR="00116504" w:rsidRPr="00E1177A">
        <w:rPr>
          <w:noProof/>
          <w:spacing w:val="-8"/>
        </w:rPr>
        <w:t>k place in June</w:t>
      </w:r>
      <w:r w:rsidR="0063770A" w:rsidRPr="00E1177A">
        <w:rPr>
          <w:noProof/>
          <w:spacing w:val="-8"/>
        </w:rPr>
        <w:t xml:space="preserve"> 2025</w:t>
      </w:r>
      <w:r w:rsidR="00116504" w:rsidRPr="00E1177A">
        <w:rPr>
          <w:noProof/>
          <w:spacing w:val="-8"/>
        </w:rPr>
        <w:t xml:space="preserve">, presenting the </w:t>
      </w:r>
      <w:r w:rsidR="006D45E2" w:rsidRPr="00E1177A">
        <w:rPr>
          <w:noProof/>
          <w:spacing w:val="-8"/>
        </w:rPr>
        <w:t xml:space="preserve">expected impact of all policy options, and </w:t>
      </w:r>
      <w:r w:rsidR="00CB0833" w:rsidRPr="00E1177A">
        <w:rPr>
          <w:noProof/>
          <w:spacing w:val="-8"/>
        </w:rPr>
        <w:t>the underlying methodology</w:t>
      </w:r>
      <w:r w:rsidR="006D45E2" w:rsidRPr="00E1177A">
        <w:rPr>
          <w:noProof/>
          <w:spacing w:val="-8"/>
        </w:rPr>
        <w:t xml:space="preserve">. </w:t>
      </w:r>
      <w:r w:rsidR="00AE00FC" w:rsidRPr="00E1177A">
        <w:rPr>
          <w:noProof/>
          <w:spacing w:val="-8"/>
        </w:rPr>
        <w:t>Finally, t</w:t>
      </w:r>
      <w:r w:rsidR="006D45E2" w:rsidRPr="00E1177A">
        <w:rPr>
          <w:noProof/>
          <w:spacing w:val="-8"/>
        </w:rPr>
        <w:t xml:space="preserve">he </w:t>
      </w:r>
      <w:r w:rsidR="00AE00FC" w:rsidRPr="00E1177A">
        <w:rPr>
          <w:noProof/>
          <w:spacing w:val="-8"/>
        </w:rPr>
        <w:t>closed workshop involving national expert was organized in May</w:t>
      </w:r>
      <w:r w:rsidR="00861721" w:rsidRPr="00E1177A">
        <w:rPr>
          <w:noProof/>
          <w:spacing w:val="-8"/>
        </w:rPr>
        <w:t xml:space="preserve"> 202</w:t>
      </w:r>
      <w:r w:rsidR="00982A20" w:rsidRPr="00E1177A">
        <w:rPr>
          <w:noProof/>
          <w:spacing w:val="-8"/>
        </w:rPr>
        <w:t>5</w:t>
      </w:r>
      <w:r w:rsidR="00AE00FC" w:rsidRPr="00E1177A">
        <w:rPr>
          <w:noProof/>
          <w:spacing w:val="-8"/>
        </w:rPr>
        <w:t xml:space="preserve">, to </w:t>
      </w:r>
      <w:r w:rsidR="00D56430" w:rsidRPr="00E1177A">
        <w:rPr>
          <w:noProof/>
          <w:spacing w:val="-8"/>
        </w:rPr>
        <w:t>validate</w:t>
      </w:r>
      <w:r w:rsidR="003D6A2C" w:rsidRPr="00E1177A">
        <w:rPr>
          <w:noProof/>
          <w:spacing w:val="-8"/>
        </w:rPr>
        <w:t xml:space="preserve"> </w:t>
      </w:r>
      <w:r w:rsidR="009E5895" w:rsidRPr="00E1177A">
        <w:rPr>
          <w:noProof/>
          <w:spacing w:val="-8"/>
        </w:rPr>
        <w:t xml:space="preserve">key </w:t>
      </w:r>
      <w:r w:rsidR="003D6A2C" w:rsidRPr="00E1177A">
        <w:rPr>
          <w:noProof/>
          <w:spacing w:val="-8"/>
        </w:rPr>
        <w:t xml:space="preserve">assumptions </w:t>
      </w:r>
      <w:r w:rsidR="00AD26C3" w:rsidRPr="00E1177A">
        <w:rPr>
          <w:noProof/>
          <w:spacing w:val="-8"/>
        </w:rPr>
        <w:t xml:space="preserve">on </w:t>
      </w:r>
      <w:r w:rsidR="00D56430" w:rsidRPr="00E1177A">
        <w:rPr>
          <w:noProof/>
          <w:spacing w:val="-8"/>
        </w:rPr>
        <w:t xml:space="preserve">the assessment of </w:t>
      </w:r>
      <w:r w:rsidR="00AD26C3" w:rsidRPr="00E1177A">
        <w:rPr>
          <w:noProof/>
          <w:spacing w:val="-8"/>
        </w:rPr>
        <w:t>impacts.</w:t>
      </w:r>
      <w:r w:rsidR="00AD26C3" w:rsidRPr="00D71008">
        <w:rPr>
          <w:noProof/>
        </w:rPr>
        <w:t xml:space="preserve">  </w:t>
      </w:r>
    </w:p>
    <w:p w14:paraId="6884505B" w14:textId="14EF7ED4" w:rsidR="00804306" w:rsidRPr="00F70E22" w:rsidRDefault="003E5C23" w:rsidP="00B56CB3">
      <w:pPr>
        <w:pStyle w:val="Heading2"/>
        <w:numPr>
          <w:ilvl w:val="0"/>
          <w:numId w:val="13"/>
        </w:numPr>
        <w:tabs>
          <w:tab w:val="left" w:pos="1561"/>
        </w:tabs>
        <w:spacing w:before="240" w:after="240"/>
        <w:ind w:left="425" w:hanging="425"/>
        <w:rPr>
          <w:b w:val="0"/>
          <w:noProof/>
        </w:rPr>
      </w:pPr>
      <w:bookmarkStart w:id="277" w:name="_Toc223980005"/>
      <w:r w:rsidRPr="00B56CB3">
        <w:rPr>
          <w:smallCaps/>
          <w:noProof/>
        </w:rPr>
        <w:t>Results of the consultation</w:t>
      </w:r>
      <w:r w:rsidRPr="00F70E22">
        <w:rPr>
          <w:b w:val="0"/>
          <w:noProof/>
        </w:rPr>
        <w:t xml:space="preserve"> activities</w:t>
      </w:r>
      <w:bookmarkEnd w:id="277"/>
    </w:p>
    <w:p w14:paraId="51C813A3" w14:textId="2E68AD41" w:rsidR="00804306" w:rsidRPr="00E1177A" w:rsidRDefault="00804306" w:rsidP="00E1177A">
      <w:pPr>
        <w:pStyle w:val="BodyText"/>
        <w:spacing w:after="240"/>
        <w:ind w:left="0" w:right="-26"/>
        <w:rPr>
          <w:noProof/>
          <w:spacing w:val="-8"/>
        </w:rPr>
      </w:pPr>
      <w:r w:rsidRPr="00E1177A">
        <w:rPr>
          <w:noProof/>
          <w:spacing w:val="-8"/>
        </w:rPr>
        <w:t>The objective of the consultation for this IA aimed to gather the views of stakeholders on the problem definition, objectives, policy measures and expected impact of policy measures.</w:t>
      </w:r>
      <w:r w:rsidR="003B0540" w:rsidRPr="00E1177A">
        <w:rPr>
          <w:noProof/>
          <w:spacing w:val="-8"/>
        </w:rPr>
        <w:t xml:space="preserve"> </w:t>
      </w:r>
      <w:r w:rsidR="00996147" w:rsidRPr="00E1177A">
        <w:rPr>
          <w:noProof/>
          <w:spacing w:val="-8"/>
        </w:rPr>
        <w:t>O</w:t>
      </w:r>
      <w:r w:rsidR="00870F5E" w:rsidRPr="00E1177A">
        <w:rPr>
          <w:noProof/>
          <w:spacing w:val="-8"/>
        </w:rPr>
        <w:t xml:space="preserve">bjectives </w:t>
      </w:r>
      <w:r w:rsidR="00816586" w:rsidRPr="00E1177A">
        <w:rPr>
          <w:noProof/>
          <w:spacing w:val="-8"/>
        </w:rPr>
        <w:t xml:space="preserve">were tested through </w:t>
      </w:r>
      <w:r w:rsidR="00996147" w:rsidRPr="00E1177A">
        <w:rPr>
          <w:noProof/>
          <w:spacing w:val="-8"/>
        </w:rPr>
        <w:t xml:space="preserve">stakeholder </w:t>
      </w:r>
      <w:r w:rsidR="00816586" w:rsidRPr="00E1177A">
        <w:rPr>
          <w:noProof/>
          <w:spacing w:val="-8"/>
        </w:rPr>
        <w:t xml:space="preserve">workshops, </w:t>
      </w:r>
      <w:r w:rsidR="00996147" w:rsidRPr="00E1177A">
        <w:rPr>
          <w:noProof/>
          <w:spacing w:val="-8"/>
        </w:rPr>
        <w:t>as were key assumptions for the methodology on</w:t>
      </w:r>
      <w:r w:rsidR="00816586" w:rsidRPr="00E1177A">
        <w:rPr>
          <w:noProof/>
          <w:spacing w:val="-8"/>
        </w:rPr>
        <w:t xml:space="preserve"> e</w:t>
      </w:r>
      <w:r w:rsidR="00594898" w:rsidRPr="00E1177A">
        <w:rPr>
          <w:noProof/>
          <w:spacing w:val="-8"/>
        </w:rPr>
        <w:t>xpected impact</w:t>
      </w:r>
      <w:r w:rsidR="009D5A30" w:rsidRPr="00E1177A">
        <w:rPr>
          <w:noProof/>
          <w:spacing w:val="-8"/>
        </w:rPr>
        <w:t xml:space="preserve">s, </w:t>
      </w:r>
      <w:r w:rsidR="00594898" w:rsidRPr="00E1177A">
        <w:rPr>
          <w:noProof/>
          <w:spacing w:val="-8"/>
        </w:rPr>
        <w:t xml:space="preserve">which </w:t>
      </w:r>
      <w:r w:rsidR="00096644" w:rsidRPr="00E1177A">
        <w:rPr>
          <w:noProof/>
          <w:spacing w:val="-8"/>
        </w:rPr>
        <w:t xml:space="preserve">led </w:t>
      </w:r>
      <w:r w:rsidR="00594898" w:rsidRPr="00E1177A">
        <w:rPr>
          <w:noProof/>
          <w:spacing w:val="-8"/>
        </w:rPr>
        <w:t>to refin</w:t>
      </w:r>
      <w:r w:rsidR="009D5A30" w:rsidRPr="00E1177A">
        <w:rPr>
          <w:noProof/>
          <w:spacing w:val="-8"/>
        </w:rPr>
        <w:t>e</w:t>
      </w:r>
      <w:r w:rsidR="00096644" w:rsidRPr="00E1177A">
        <w:rPr>
          <w:noProof/>
          <w:spacing w:val="-8"/>
        </w:rPr>
        <w:t>ments in</w:t>
      </w:r>
      <w:r w:rsidR="00594898" w:rsidRPr="00E1177A">
        <w:rPr>
          <w:noProof/>
          <w:spacing w:val="-8"/>
        </w:rPr>
        <w:t xml:space="preserve"> the</w:t>
      </w:r>
      <w:r w:rsidR="00816586" w:rsidRPr="00E1177A">
        <w:rPr>
          <w:noProof/>
          <w:spacing w:val="-8"/>
        </w:rPr>
        <w:t xml:space="preserve"> methodology for the assessment of impacts. </w:t>
      </w:r>
      <w:r w:rsidR="003B0540" w:rsidRPr="00E1177A">
        <w:rPr>
          <w:noProof/>
          <w:spacing w:val="-8"/>
        </w:rPr>
        <w:t xml:space="preserve">The survey results refer to the latest survey as </w:t>
      </w:r>
      <w:r w:rsidRPr="00E1177A">
        <w:rPr>
          <w:noProof/>
          <w:spacing w:val="-8"/>
        </w:rPr>
        <w:t>additional</w:t>
      </w:r>
      <w:r w:rsidR="00AE45E9" w:rsidRPr="00E1177A">
        <w:rPr>
          <w:noProof/>
          <w:spacing w:val="-8"/>
        </w:rPr>
        <w:t xml:space="preserve"> surveys were undertaken </w:t>
      </w:r>
      <w:r w:rsidR="003D13A1" w:rsidRPr="00E1177A">
        <w:rPr>
          <w:noProof/>
          <w:spacing w:val="-8"/>
        </w:rPr>
        <w:t>to show stakeholder views on the latest intervention logic</w:t>
      </w:r>
      <w:r w:rsidR="00AE45E9" w:rsidRPr="00E1177A">
        <w:rPr>
          <w:noProof/>
          <w:spacing w:val="-8"/>
        </w:rPr>
        <w:t xml:space="preserve">. Outdated survey results are not presented in the below summary. </w:t>
      </w:r>
    </w:p>
    <w:p w14:paraId="409B15F7" w14:textId="5A146A88" w:rsidR="005478ED" w:rsidRPr="005478ED" w:rsidRDefault="00B56CB3" w:rsidP="00B56CB3">
      <w:pPr>
        <w:pStyle w:val="ListParagraph"/>
        <w:numPr>
          <w:ilvl w:val="1"/>
          <w:numId w:val="13"/>
        </w:numPr>
        <w:tabs>
          <w:tab w:val="left" w:pos="993"/>
        </w:tabs>
        <w:spacing w:before="0" w:after="240"/>
        <w:ind w:hanging="76"/>
        <w:rPr>
          <w:b/>
          <w:noProof/>
          <w:sz w:val="24"/>
          <w:szCs w:val="24"/>
        </w:rPr>
      </w:pPr>
      <w:r>
        <w:rPr>
          <w:b/>
          <w:noProof/>
          <w:sz w:val="24"/>
          <w:szCs w:val="24"/>
        </w:rPr>
        <w:t xml:space="preserve"> </w:t>
      </w:r>
      <w:r w:rsidR="007A5D8D">
        <w:rPr>
          <w:b/>
          <w:noProof/>
          <w:sz w:val="24"/>
          <w:szCs w:val="24"/>
        </w:rPr>
        <w:t xml:space="preserve">Representative </w:t>
      </w:r>
      <w:r w:rsidR="005478ED" w:rsidRPr="005478ED">
        <w:rPr>
          <w:b/>
          <w:noProof/>
          <w:sz w:val="24"/>
          <w:szCs w:val="24"/>
        </w:rPr>
        <w:t>Eurobarometer</w:t>
      </w:r>
      <w:r w:rsidR="007A5D8D">
        <w:rPr>
          <w:b/>
          <w:noProof/>
          <w:sz w:val="24"/>
          <w:szCs w:val="24"/>
        </w:rPr>
        <w:t xml:space="preserve"> survey</w:t>
      </w:r>
    </w:p>
    <w:p w14:paraId="18A66ACB" w14:textId="77777777" w:rsidR="005478ED" w:rsidRPr="00E1177A" w:rsidRDefault="005478ED" w:rsidP="00E1177A">
      <w:pPr>
        <w:pStyle w:val="BodyText"/>
        <w:spacing w:after="240"/>
        <w:ind w:left="0" w:right="-26"/>
        <w:rPr>
          <w:noProof/>
          <w:spacing w:val="-8"/>
        </w:rPr>
      </w:pPr>
      <w:r w:rsidRPr="00E1177A">
        <w:rPr>
          <w:noProof/>
          <w:spacing w:val="-8"/>
        </w:rPr>
        <w:t xml:space="preserve">A Eurobarometer survey has been conducted, during the summer of 2024, and published by Commission services on 1 April 2025. </w:t>
      </w:r>
      <w:r w:rsidRPr="00E1177A">
        <w:rPr>
          <w:b/>
          <w:noProof/>
          <w:spacing w:val="-8"/>
        </w:rPr>
        <w:t>This survey collected the booking and ticketing practices and experiences of a representative sample of the EU population</w:t>
      </w:r>
      <w:r w:rsidRPr="00E1177A">
        <w:rPr>
          <w:noProof/>
          <w:spacing w:val="-8"/>
        </w:rPr>
        <w:t xml:space="preserve">, aged 15 and over, in each of the 27 Member States of the EU. In total, </w:t>
      </w:r>
      <w:r w:rsidRPr="00E1177A">
        <w:rPr>
          <w:b/>
          <w:noProof/>
          <w:spacing w:val="-8"/>
        </w:rPr>
        <w:t>25 805 interviews</w:t>
      </w:r>
      <w:r w:rsidRPr="00E1177A">
        <w:rPr>
          <w:noProof/>
          <w:spacing w:val="-8"/>
        </w:rPr>
        <w:t xml:space="preserve"> were conducted via an online survey. This survey provides insights on EU citizens’ travel habits, preferences and experiences, particularly for regional and long-distance journeys. It examines key aspects, such as: (1) frequency of travel for leisure and work, (2) factors influencing travel planning and booking decisions, (3) attitudes towards environmentally friendly travel, (4) usage of different transport modes and multimodal journeys, (5) ease of booking multimodal and multi-operator journeys, and (6) barriers to combining different transport modes or operators. </w:t>
      </w:r>
      <w:r w:rsidRPr="00E1177A">
        <w:rPr>
          <w:b/>
          <w:noProof/>
          <w:spacing w:val="-8"/>
        </w:rPr>
        <w:t>The results notably highlight the obstacles encountered by citizens when looking for sustainable travel options online, as well as their willingness to book such journeys</w:t>
      </w:r>
      <w:r w:rsidRPr="00E1177A">
        <w:rPr>
          <w:noProof/>
          <w:spacing w:val="-8"/>
        </w:rPr>
        <w:t xml:space="preserve">. It outlines the difficulty for citizens to book multimodal and multi-operator journeys, and the extra burden citizens face when booking multi-operator rail journeys. </w:t>
      </w:r>
    </w:p>
    <w:p w14:paraId="435B9ADA" w14:textId="77777777" w:rsidR="005478ED" w:rsidRPr="00E1177A" w:rsidRDefault="005478ED" w:rsidP="00E1177A">
      <w:pPr>
        <w:pStyle w:val="BodyText"/>
        <w:spacing w:after="240"/>
        <w:ind w:left="0" w:right="-26"/>
        <w:rPr>
          <w:noProof/>
          <w:spacing w:val="-8"/>
        </w:rPr>
      </w:pPr>
      <w:r w:rsidRPr="00E1177A">
        <w:rPr>
          <w:noProof/>
          <w:spacing w:val="-8"/>
        </w:rPr>
        <w:t xml:space="preserve">Key findings outline that </w:t>
      </w:r>
      <w:r w:rsidRPr="00E1177A">
        <w:rPr>
          <w:b/>
          <w:noProof/>
          <w:spacing w:val="-8"/>
        </w:rPr>
        <w:t>76% of respondents book transport tickets online, but barriers remain</w:t>
      </w:r>
      <w:r w:rsidRPr="00E1177A">
        <w:rPr>
          <w:noProof/>
          <w:spacing w:val="-8"/>
        </w:rPr>
        <w:t>. In particular, among those who did not book a journey online, 14% cited the lack of complete information as one of the main barriers, and the same proportion cited the unavailability of all fares, while 10% did not find enough information on all travel options. The ease to find travel options and book tickets rank among the top five and six most important factors for respondents when booking a journey.</w:t>
      </w:r>
    </w:p>
    <w:p w14:paraId="2C508460" w14:textId="77777777" w:rsidR="005478ED" w:rsidRPr="00E1177A" w:rsidRDefault="005478ED" w:rsidP="00E1177A">
      <w:pPr>
        <w:pStyle w:val="BodyText"/>
        <w:spacing w:after="240"/>
        <w:ind w:left="0" w:right="-26"/>
        <w:rPr>
          <w:noProof/>
          <w:spacing w:val="-8"/>
        </w:rPr>
      </w:pPr>
      <w:r w:rsidRPr="00E1177A">
        <w:rPr>
          <w:noProof/>
          <w:spacing w:val="-8"/>
        </w:rPr>
        <w:t xml:space="preserve">Additionally, while </w:t>
      </w:r>
      <w:r w:rsidRPr="00E1177A">
        <w:rPr>
          <w:b/>
          <w:noProof/>
          <w:spacing w:val="-8"/>
        </w:rPr>
        <w:t>78% of respondents are concerned about the environmental impact of travel, only 21% act accordingly</w:t>
      </w:r>
      <w:r w:rsidRPr="00E1177A">
        <w:rPr>
          <w:noProof/>
          <w:spacing w:val="-8"/>
        </w:rPr>
        <w:t xml:space="preserve">. The ease of finding an environmentally friendly alternative is cited by 22% as a key factor that would encourage them to book more sustainable travel options. </w:t>
      </w:r>
      <w:r w:rsidRPr="00E1177A">
        <w:rPr>
          <w:b/>
          <w:noProof/>
          <w:spacing w:val="-8"/>
        </w:rPr>
        <w:t>Sustainable travel options remain however difficult to find, with reported barriers in combining multimodal/ multi-operator journeys, and especially rail journeys involving multiple operators.</w:t>
      </w:r>
      <w:r w:rsidRPr="00E1177A">
        <w:rPr>
          <w:noProof/>
          <w:spacing w:val="-8"/>
        </w:rPr>
        <w:t xml:space="preserve"> Indeed, more than 30% of respondents could not plan a multimodal/multi-operator journey because of barriers in ticketing, such as lack of suitable information (17%), of knowledge about the possibility of booking such journeys (7%), knowledge on how to search for such travel information (5%) or the inability to buy all tickets in one place (5%). For rail, the barriers in ticketing seem more important, with more than half of respondents reporting those same barriers. </w:t>
      </w:r>
    </w:p>
    <w:p w14:paraId="050F2E7E" w14:textId="3DC7BC23" w:rsidR="005478ED" w:rsidRPr="00D71008" w:rsidRDefault="005478ED" w:rsidP="00E1177A">
      <w:pPr>
        <w:pStyle w:val="BodyText"/>
        <w:spacing w:after="240"/>
        <w:ind w:left="0" w:right="-26"/>
        <w:rPr>
          <w:noProof/>
        </w:rPr>
      </w:pPr>
      <w:r w:rsidRPr="00E1177A">
        <w:rPr>
          <w:noProof/>
          <w:spacing w:val="-8"/>
        </w:rPr>
        <w:t xml:space="preserve">The overview of results stemming from the Eurobarometer </w:t>
      </w:r>
      <w:r w:rsidR="00611DC3" w:rsidRPr="00E1177A">
        <w:rPr>
          <w:noProof/>
          <w:spacing w:val="-8"/>
        </w:rPr>
        <w:t>sur</w:t>
      </w:r>
      <w:r w:rsidR="0020704C" w:rsidRPr="00E1177A">
        <w:rPr>
          <w:noProof/>
          <w:spacing w:val="-8"/>
        </w:rPr>
        <w:t xml:space="preserve">vey </w:t>
      </w:r>
      <w:r w:rsidRPr="00E1177A">
        <w:rPr>
          <w:noProof/>
          <w:spacing w:val="-8"/>
        </w:rPr>
        <w:t xml:space="preserve">and further details are available </w:t>
      </w:r>
      <w:r w:rsidR="00970BE6" w:rsidRPr="00E1177A">
        <w:rPr>
          <w:noProof/>
          <w:spacing w:val="-8"/>
        </w:rPr>
        <w:t xml:space="preserve">on the European Commission’s dedicated </w:t>
      </w:r>
      <w:hyperlink r:id="rId35" w:history="1">
        <w:r w:rsidR="00970BE6" w:rsidRPr="00E1177A">
          <w:rPr>
            <w:rStyle w:val="Hyperlink"/>
            <w:noProof/>
            <w:spacing w:val="-8"/>
          </w:rPr>
          <w:t>webpage</w:t>
        </w:r>
      </w:hyperlink>
      <w:r w:rsidRPr="00E1177A">
        <w:rPr>
          <w:noProof/>
          <w:spacing w:val="-8"/>
        </w:rPr>
        <w:t xml:space="preserve">. </w:t>
      </w:r>
      <w:r w:rsidR="00E03241" w:rsidRPr="00E1177A">
        <w:rPr>
          <w:noProof/>
          <w:spacing w:val="-8"/>
        </w:rPr>
        <w:t xml:space="preserve">The results of the Eurobarometer survey are </w:t>
      </w:r>
      <w:r w:rsidR="00A7692A" w:rsidRPr="00E1177A">
        <w:rPr>
          <w:noProof/>
          <w:spacing w:val="-8"/>
        </w:rPr>
        <w:t xml:space="preserve">an </w:t>
      </w:r>
      <w:r w:rsidR="005A27A9" w:rsidRPr="00E1177A">
        <w:rPr>
          <w:noProof/>
          <w:spacing w:val="-8"/>
        </w:rPr>
        <w:t>important underlying evidence</w:t>
      </w:r>
      <w:r w:rsidR="00E03241" w:rsidRPr="00E1177A">
        <w:rPr>
          <w:noProof/>
          <w:spacing w:val="-8"/>
        </w:rPr>
        <w:t xml:space="preserve"> for the </w:t>
      </w:r>
      <w:r w:rsidR="00154738" w:rsidRPr="00E1177A">
        <w:rPr>
          <w:noProof/>
          <w:spacing w:val="-8"/>
        </w:rPr>
        <w:t>problem definition of this initiative.</w:t>
      </w:r>
      <w:r w:rsidR="00154738">
        <w:rPr>
          <w:noProof/>
        </w:rPr>
        <w:t xml:space="preserve"> </w:t>
      </w:r>
    </w:p>
    <w:p w14:paraId="636961C3" w14:textId="7D45F6C4" w:rsidR="00053BC7" w:rsidRPr="0096542A" w:rsidRDefault="00B56CB3" w:rsidP="00B56CB3">
      <w:pPr>
        <w:pStyle w:val="ListParagraph"/>
        <w:numPr>
          <w:ilvl w:val="1"/>
          <w:numId w:val="13"/>
        </w:numPr>
        <w:tabs>
          <w:tab w:val="left" w:pos="993"/>
        </w:tabs>
        <w:spacing w:before="0" w:after="240"/>
        <w:ind w:hanging="76"/>
        <w:rPr>
          <w:b/>
          <w:noProof/>
          <w:sz w:val="24"/>
          <w:szCs w:val="24"/>
        </w:rPr>
      </w:pPr>
      <w:bookmarkStart w:id="278" w:name="3_Feedback_received_on_problems_definiti"/>
      <w:bookmarkStart w:id="279" w:name="_Toc220667524"/>
      <w:bookmarkEnd w:id="278"/>
      <w:r>
        <w:rPr>
          <w:b/>
          <w:noProof/>
          <w:sz w:val="24"/>
          <w:szCs w:val="24"/>
        </w:rPr>
        <w:t xml:space="preserve"> </w:t>
      </w:r>
      <w:r w:rsidR="2471901C" w:rsidRPr="00D71008">
        <w:rPr>
          <w:b/>
          <w:noProof/>
          <w:sz w:val="24"/>
          <w:szCs w:val="24"/>
        </w:rPr>
        <w:t xml:space="preserve">Feedback received on </w:t>
      </w:r>
      <w:r w:rsidR="00982A20" w:rsidRPr="00D71008">
        <w:rPr>
          <w:b/>
          <w:noProof/>
          <w:sz w:val="24"/>
          <w:szCs w:val="24"/>
        </w:rPr>
        <w:t xml:space="preserve">the </w:t>
      </w:r>
      <w:r w:rsidR="2471901C" w:rsidRPr="00D71008">
        <w:rPr>
          <w:b/>
          <w:noProof/>
          <w:sz w:val="24"/>
          <w:szCs w:val="24"/>
        </w:rPr>
        <w:t>problem definition</w:t>
      </w:r>
      <w:bookmarkEnd w:id="279"/>
    </w:p>
    <w:p w14:paraId="3A9E99BD" w14:textId="0A0CED54" w:rsidR="00A537A2" w:rsidRPr="00E1177A" w:rsidRDefault="2471901C" w:rsidP="00E1177A">
      <w:pPr>
        <w:pStyle w:val="BodyText"/>
        <w:spacing w:after="240"/>
        <w:ind w:left="0" w:right="-26"/>
        <w:rPr>
          <w:b/>
          <w:noProof/>
          <w:spacing w:val="-8"/>
        </w:rPr>
      </w:pPr>
      <w:r w:rsidRPr="00E1177A">
        <w:rPr>
          <w:noProof/>
          <w:spacing w:val="-8"/>
        </w:rPr>
        <w:t xml:space="preserve">Stakeholders provided significant input that helped validate the definition of the problems and development of policy options. The section below </w:t>
      </w:r>
      <w:r w:rsidR="00FE6F8D" w:rsidRPr="00E1177A">
        <w:rPr>
          <w:noProof/>
          <w:spacing w:val="-8"/>
        </w:rPr>
        <w:t>summarizes</w:t>
      </w:r>
      <w:r w:rsidRPr="00E1177A">
        <w:rPr>
          <w:noProof/>
          <w:spacing w:val="-8"/>
        </w:rPr>
        <w:t xml:space="preserve"> the input provided across all stakeholder consultation activities</w:t>
      </w:r>
      <w:r w:rsidR="00D852B0" w:rsidRPr="00E1177A">
        <w:rPr>
          <w:noProof/>
          <w:spacing w:val="-8"/>
        </w:rPr>
        <w:t xml:space="preserve">, </w:t>
      </w:r>
      <w:r w:rsidRPr="00E1177A">
        <w:rPr>
          <w:noProof/>
          <w:spacing w:val="-8"/>
        </w:rPr>
        <w:t xml:space="preserve">primarily </w:t>
      </w:r>
      <w:r w:rsidR="00ED2B1B" w:rsidRPr="00E1177A">
        <w:rPr>
          <w:noProof/>
          <w:spacing w:val="-8"/>
        </w:rPr>
        <w:t>the targeted</w:t>
      </w:r>
      <w:r w:rsidRPr="00E1177A">
        <w:rPr>
          <w:noProof/>
          <w:spacing w:val="-8"/>
        </w:rPr>
        <w:t xml:space="preserve"> consultation activities </w:t>
      </w:r>
      <w:r w:rsidR="00E02F36" w:rsidRPr="00E1177A">
        <w:rPr>
          <w:noProof/>
          <w:spacing w:val="-8"/>
        </w:rPr>
        <w:t xml:space="preserve">which were </w:t>
      </w:r>
      <w:r w:rsidRPr="00E1177A">
        <w:rPr>
          <w:noProof/>
          <w:spacing w:val="-8"/>
        </w:rPr>
        <w:t>validated through the workshops.</w:t>
      </w:r>
    </w:p>
    <w:p w14:paraId="45E10B81" w14:textId="77777777" w:rsidR="00AA5A6D" w:rsidRPr="00E1177A" w:rsidRDefault="00AA5A6D" w:rsidP="00E1177A">
      <w:pPr>
        <w:pStyle w:val="BodyText"/>
        <w:spacing w:after="240"/>
        <w:ind w:left="0" w:right="-26"/>
        <w:rPr>
          <w:noProof/>
          <w:spacing w:val="-8"/>
        </w:rPr>
      </w:pPr>
      <w:r w:rsidRPr="00E1177A">
        <w:rPr>
          <w:noProof/>
          <w:spacing w:val="-8"/>
        </w:rPr>
        <w:t xml:space="preserve">While these stakeholders were consulted on problems which are partially outdated since the intervention logic has evolved, stakeholder positions on key elements still relevant to this IA are outlined below. </w:t>
      </w:r>
    </w:p>
    <w:p w14:paraId="658327C8" w14:textId="77777777" w:rsidR="00AA5A6D" w:rsidRPr="00E1177A" w:rsidRDefault="00AA5A6D" w:rsidP="00E1177A">
      <w:pPr>
        <w:spacing w:after="240"/>
        <w:ind w:right="-26"/>
        <w:jc w:val="both"/>
        <w:rPr>
          <w:noProof/>
          <w:spacing w:val="-8"/>
        </w:rPr>
      </w:pPr>
      <w:r w:rsidRPr="00E1177A">
        <w:rPr>
          <w:noProof/>
          <w:spacing w:val="-8"/>
        </w:rPr>
        <w:t>As regards, the first problem driver ‘opaque conditions for combining and reselling mobility products in land-based modes, waterborne and maritime transport’. A number of public transport operators and city representatives underlined that MDMS should not have an adverse effect on policy, and so public transport authorities should remain central to regulating mobility. ČD</w:t>
      </w:r>
      <w:r>
        <w:rPr>
          <w:rStyle w:val="FootnoteReference"/>
          <w:noProof/>
          <w:spacing w:val="-8"/>
        </w:rPr>
        <w:footnoteReference w:id="228"/>
      </w:r>
      <w:r w:rsidRPr="00E1177A">
        <w:rPr>
          <w:noProof/>
          <w:spacing w:val="-8"/>
        </w:rPr>
        <w:t xml:space="preserve"> noted that they had had negative experiences with ticket resellers manipulating or increasing the price of their tickets, which had had a negative impact on consumers and reflected badly on the operator. CER suggested that issues around the transparency of data collection and analysis had not yet been addressed. CONFEBUS</w:t>
      </w:r>
      <w:r>
        <w:rPr>
          <w:rStyle w:val="FootnoteReference"/>
          <w:noProof/>
          <w:spacing w:val="-8"/>
        </w:rPr>
        <w:footnoteReference w:id="229"/>
      </w:r>
      <w:r w:rsidRPr="00E1177A">
        <w:rPr>
          <w:noProof/>
          <w:spacing w:val="-8"/>
        </w:rPr>
        <w:t xml:space="preserve"> argued that there should be no separation of the marketing and operation of services, as a result of the specific conditions around the delivery of the services, while SNCF</w:t>
      </w:r>
      <w:r>
        <w:rPr>
          <w:rStyle w:val="FootnoteReference"/>
          <w:noProof/>
          <w:spacing w:val="-8"/>
        </w:rPr>
        <w:footnoteReference w:id="230"/>
      </w:r>
      <w:r w:rsidRPr="00E1177A">
        <w:rPr>
          <w:noProof/>
          <w:spacing w:val="-8"/>
        </w:rPr>
        <w:t xml:space="preserve"> argued that a distinction was needed between open data and booking and ticketing services in order to ensure certainty and transparency. On the other hand, ALLRAIL argued that there was no evidence that data had been misappropriated, while Trainline, a comparison and booking website, argued that there was a power asymmetry in negotiations, which prevented market entry and innovation on the part of MDMS providers. Both EPTO</w:t>
      </w:r>
      <w:r>
        <w:rPr>
          <w:rStyle w:val="FootnoteReference"/>
          <w:noProof/>
          <w:spacing w:val="-8"/>
        </w:rPr>
        <w:footnoteReference w:id="231"/>
      </w:r>
      <w:r w:rsidRPr="00E1177A">
        <w:rPr>
          <w:noProof/>
          <w:spacing w:val="-8"/>
          <w:vertAlign w:val="superscript"/>
        </w:rPr>
        <w:t xml:space="preserve"> </w:t>
      </w:r>
      <w:r w:rsidRPr="00E1177A">
        <w:rPr>
          <w:noProof/>
          <w:spacing w:val="-8"/>
        </w:rPr>
        <w:t>and Move EU</w:t>
      </w:r>
      <w:r>
        <w:rPr>
          <w:rStyle w:val="FootnoteReference"/>
          <w:noProof/>
          <w:spacing w:val="-8"/>
        </w:rPr>
        <w:footnoteReference w:id="232"/>
      </w:r>
      <w:r w:rsidRPr="00E1177A">
        <w:rPr>
          <w:noProof/>
          <w:spacing w:val="-8"/>
        </w:rPr>
        <w:t xml:space="preserve"> underlined the importance of ensuring the commercial freedom of MDMS providers to choose whether or not to enter into any agreement. </w:t>
      </w:r>
    </w:p>
    <w:p w14:paraId="6A50AA83" w14:textId="77777777" w:rsidR="0020419A" w:rsidRPr="00E1177A" w:rsidRDefault="0020419A" w:rsidP="00E1177A">
      <w:pPr>
        <w:spacing w:after="240"/>
        <w:ind w:right="-26"/>
        <w:jc w:val="both"/>
        <w:rPr>
          <w:noProof/>
          <w:spacing w:val="-8"/>
        </w:rPr>
      </w:pPr>
      <w:r w:rsidRPr="00E1177A">
        <w:rPr>
          <w:noProof/>
          <w:spacing w:val="-8"/>
        </w:rPr>
        <w:t xml:space="preserve">The second problem in the IIA was specified as </w:t>
      </w:r>
      <w:r w:rsidRPr="00E1177A">
        <w:rPr>
          <w:i/>
          <w:noProof/>
          <w:spacing w:val="-8"/>
        </w:rPr>
        <w:t>‘’difficulty to ensure that incumbent MDMS do not adopt anti-competitive practices or that deployment of MDMS is not limited by anti-competitive practices’</w:t>
      </w:r>
      <w:r w:rsidRPr="00E1177A">
        <w:rPr>
          <w:noProof/>
          <w:spacing w:val="-8"/>
        </w:rPr>
        <w:t>. A sentiment that was raised by a number of respondents was that it is a challenge to create a fair MDMS eco-system for both public and private companies. From the perspective of incumbents, UTP</w:t>
      </w:r>
      <w:r w:rsidRPr="00E1177A">
        <w:rPr>
          <w:rStyle w:val="FootnoteReference"/>
          <w:noProof/>
          <w:spacing w:val="-8"/>
        </w:rPr>
        <w:footnoteReference w:id="233"/>
      </w:r>
      <w:r w:rsidRPr="00E1177A">
        <w:rPr>
          <w:noProof/>
          <w:spacing w:val="-8"/>
        </w:rPr>
        <w:t xml:space="preserve"> and SNCF both noted that public transport authorities and operators were already able to develop MDMS, as long as they respected competition law. From the perspective of the railway sector, NS</w:t>
      </w:r>
      <w:r w:rsidRPr="00E1177A">
        <w:rPr>
          <w:rStyle w:val="FootnoteReference"/>
          <w:noProof/>
          <w:spacing w:val="-8"/>
        </w:rPr>
        <w:footnoteReference w:id="234"/>
      </w:r>
      <w:r w:rsidRPr="00E1177A">
        <w:rPr>
          <w:noProof/>
          <w:spacing w:val="-8"/>
        </w:rPr>
        <w:t xml:space="preserve"> underlined the importance of ensuring that there were more than one or two online MDMS platforms, otherwise these would effectively become the gatekeepers for MDMS. In relation to buses, CONFEBUS called for the harmonisation of the approach taken towards data protection and commercial information for operators when sharing information with platforms. Data issues were of particular concern for new entrants. Trainline, Amadeus IT group and EU travel tech argued that legal certainty and enforceability were needed for MDMS on access to relevant data. Move EU underlined that there needed to be free and fair market access and competition principles in order to overcome the current fragmentation in the market. From the perspective of passengers, EPF noted that access to data, including to real-time information on disruptions, was an enabler of MDMS, while UNIFE</w:t>
      </w:r>
      <w:r w:rsidRPr="00E1177A">
        <w:rPr>
          <w:rStyle w:val="FootnoteReference"/>
          <w:noProof/>
          <w:spacing w:val="-8"/>
        </w:rPr>
        <w:footnoteReference w:id="235"/>
      </w:r>
      <w:r w:rsidRPr="00E1177A">
        <w:rPr>
          <w:noProof/>
          <w:spacing w:val="-8"/>
        </w:rPr>
        <w:t xml:space="preserve"> noted that access to mobility data was the main challenge for suppliers. Amadeus also suggested that it was important for intermediaries to have information on the different price components of fares in order to enable consumers to effectively compare different options. The focus of EU MDMS regulation should be on operator owned MDMS, according to EU travel tech, particularly in relation to self-preferencing and neutral display. They also called for independent distributors to be able to market and price as they wished to, as long as they accepted the economic risk. ALLRAIL called for incumbent MDMS to rebrand, so that they were not able to make use of the high level of awareness of their brand that already existed in the market.</w:t>
      </w:r>
    </w:p>
    <w:p w14:paraId="12E5EADA" w14:textId="747A45D7" w:rsidR="00B65369" w:rsidRPr="00E1177A" w:rsidRDefault="00B65369" w:rsidP="00E1177A">
      <w:pPr>
        <w:spacing w:after="240"/>
        <w:ind w:right="-26"/>
        <w:jc w:val="both"/>
        <w:rPr>
          <w:noProof/>
          <w:spacing w:val="-8"/>
        </w:rPr>
      </w:pPr>
      <w:r w:rsidRPr="00E1177A">
        <w:rPr>
          <w:noProof/>
          <w:spacing w:val="-8"/>
        </w:rPr>
        <w:t>In the OPC, respondents were asked to express their level of agreement with six statements that set out potential problems regarding the commercial relationships between operators and multimodal digital mobility services</w:t>
      </w:r>
      <w:r w:rsidR="00A41EDF" w:rsidRPr="00E1177A">
        <w:rPr>
          <w:noProof/>
          <w:spacing w:val="-8"/>
        </w:rPr>
        <w:t xml:space="preserve"> platforms</w:t>
      </w:r>
      <w:r w:rsidRPr="00E1177A">
        <w:rPr>
          <w:noProof/>
          <w:spacing w:val="-8"/>
        </w:rPr>
        <w:t xml:space="preserve">. The highest level of agreement was with the statement that a lack of data sharing hampers the deployment of multimodal digital mobility services between modes, with which 60% (101 out of 168) of respondents ‘fully agreed’, this was supported by </w:t>
      </w:r>
      <w:r w:rsidR="00155ABA" w:rsidRPr="00E1177A">
        <w:rPr>
          <w:noProof/>
          <w:spacing w:val="-8"/>
        </w:rPr>
        <w:t xml:space="preserve">responding </w:t>
      </w:r>
      <w:r w:rsidRPr="00E1177A">
        <w:rPr>
          <w:noProof/>
          <w:spacing w:val="-8"/>
        </w:rPr>
        <w:t xml:space="preserve">citizens, industry and public authorities. The majority of respondents ‘fully agreed’ or ‘somewhat agreed’ that both increased funding from EU programmes (85%; 142 out of 168) and legislative action by the European Commission (72%; 121 out of 168) would help to accomplish the objective of the </w:t>
      </w:r>
      <w:r w:rsidR="00C963D0">
        <w:rPr>
          <w:noProof/>
          <w:spacing w:val="-8"/>
        </w:rPr>
        <w:t>RMB</w:t>
      </w:r>
      <w:r w:rsidR="00C963D0" w:rsidRPr="00E1177A">
        <w:rPr>
          <w:noProof/>
          <w:spacing w:val="-8"/>
        </w:rPr>
        <w:t xml:space="preserve"> </w:t>
      </w:r>
      <w:r w:rsidRPr="00E1177A">
        <w:rPr>
          <w:noProof/>
          <w:spacing w:val="-8"/>
        </w:rPr>
        <w:t xml:space="preserve">initiative. </w:t>
      </w:r>
    </w:p>
    <w:p w14:paraId="12A54072" w14:textId="6C9D8292" w:rsidR="00F86F61" w:rsidRPr="00A2488E" w:rsidRDefault="004E4A93" w:rsidP="002240B9">
      <w:pPr>
        <w:pStyle w:val="BodyText"/>
        <w:spacing w:after="240"/>
        <w:ind w:left="0" w:right="-26"/>
        <w:rPr>
          <w:noProof/>
          <w:spacing w:val="-8"/>
        </w:rPr>
      </w:pPr>
      <w:r>
        <w:rPr>
          <w:noProof/>
          <w:spacing w:val="-8"/>
        </w:rPr>
        <w:t>In the survey, s</w:t>
      </w:r>
      <w:r w:rsidR="00A2488E" w:rsidRPr="00A2488E">
        <w:rPr>
          <w:noProof/>
          <w:spacing w:val="-8"/>
        </w:rPr>
        <w:t xml:space="preserve">takeholders were consulted on problems </w:t>
      </w:r>
      <w:r w:rsidR="00F86F61">
        <w:rPr>
          <w:noProof/>
          <w:spacing w:val="-8"/>
        </w:rPr>
        <w:t xml:space="preserve">and problem drivers </w:t>
      </w:r>
      <w:r w:rsidR="00A2488E" w:rsidRPr="00A2488E">
        <w:rPr>
          <w:noProof/>
          <w:spacing w:val="-8"/>
        </w:rPr>
        <w:t xml:space="preserve">which </w:t>
      </w:r>
      <w:r>
        <w:rPr>
          <w:noProof/>
          <w:spacing w:val="-8"/>
        </w:rPr>
        <w:t xml:space="preserve">were then </w:t>
      </w:r>
      <w:r w:rsidR="00890AE6">
        <w:rPr>
          <w:noProof/>
          <w:spacing w:val="-8"/>
        </w:rPr>
        <w:t>re</w:t>
      </w:r>
      <w:r w:rsidR="00F86A11">
        <w:rPr>
          <w:noProof/>
          <w:spacing w:val="-8"/>
        </w:rPr>
        <w:t>-organise</w:t>
      </w:r>
      <w:r w:rsidR="00890AE6">
        <w:rPr>
          <w:noProof/>
          <w:spacing w:val="-8"/>
        </w:rPr>
        <w:t>d</w:t>
      </w:r>
      <w:r w:rsidR="00A2488E" w:rsidRPr="00A2488E">
        <w:rPr>
          <w:noProof/>
          <w:spacing w:val="-8"/>
        </w:rPr>
        <w:t xml:space="preserve"> since the intervention logic has evolved</w:t>
      </w:r>
      <w:r w:rsidR="00C35689">
        <w:rPr>
          <w:noProof/>
          <w:spacing w:val="-8"/>
        </w:rPr>
        <w:t xml:space="preserve">. </w:t>
      </w:r>
      <w:r w:rsidR="003C08DC">
        <w:rPr>
          <w:noProof/>
          <w:spacing w:val="-8"/>
        </w:rPr>
        <w:t>S</w:t>
      </w:r>
      <w:r w:rsidR="00A2488E" w:rsidRPr="00A2488E">
        <w:rPr>
          <w:noProof/>
          <w:spacing w:val="-8"/>
        </w:rPr>
        <w:t xml:space="preserve">takeholder positions are </w:t>
      </w:r>
      <w:r w:rsidR="003C08DC">
        <w:rPr>
          <w:noProof/>
          <w:spacing w:val="-8"/>
        </w:rPr>
        <w:t xml:space="preserve">presented below based on the </w:t>
      </w:r>
      <w:r w:rsidR="002240B9">
        <w:rPr>
          <w:noProof/>
          <w:spacing w:val="-8"/>
        </w:rPr>
        <w:t xml:space="preserve">current intervention logic. </w:t>
      </w:r>
    </w:p>
    <w:p w14:paraId="704A4874" w14:textId="024C5456" w:rsidR="009D218A" w:rsidRPr="004C73BA" w:rsidRDefault="009D218A" w:rsidP="008612C3">
      <w:pPr>
        <w:pStyle w:val="BodyText"/>
        <w:spacing w:after="240"/>
        <w:ind w:left="0" w:right="-26"/>
        <w:rPr>
          <w:i/>
          <w:iCs/>
          <w:noProof/>
          <w:spacing w:val="-8"/>
        </w:rPr>
      </w:pPr>
      <w:r w:rsidRPr="004C73BA">
        <w:rPr>
          <w:i/>
          <w:iCs/>
          <w:noProof/>
          <w:spacing w:val="-8"/>
        </w:rPr>
        <w:t xml:space="preserve">Problem 1: Lack of transparency, </w:t>
      </w:r>
      <w:r w:rsidR="009C2AF3" w:rsidRPr="004C73BA">
        <w:rPr>
          <w:i/>
          <w:iCs/>
          <w:noProof/>
          <w:spacing w:val="-8"/>
        </w:rPr>
        <w:t xml:space="preserve">unfair conditions and uneven playing field in the </w:t>
      </w:r>
      <w:r w:rsidR="0045059C">
        <w:rPr>
          <w:i/>
          <w:iCs/>
          <w:noProof/>
          <w:spacing w:val="-8"/>
        </w:rPr>
        <w:t>online</w:t>
      </w:r>
      <w:r w:rsidR="009C2AF3" w:rsidRPr="004C73BA">
        <w:rPr>
          <w:i/>
          <w:iCs/>
          <w:noProof/>
          <w:spacing w:val="-8"/>
        </w:rPr>
        <w:t xml:space="preserve"> ticketing </w:t>
      </w:r>
      <w:r w:rsidR="0045059C">
        <w:rPr>
          <w:i/>
          <w:iCs/>
          <w:noProof/>
          <w:spacing w:val="-8"/>
        </w:rPr>
        <w:t>market</w:t>
      </w:r>
    </w:p>
    <w:p w14:paraId="40EB3483" w14:textId="0D209EFB" w:rsidR="00CB2B76" w:rsidRPr="00593DFB" w:rsidRDefault="00CB2B76" w:rsidP="008612C3">
      <w:pPr>
        <w:pStyle w:val="BodyText"/>
        <w:spacing w:after="240"/>
        <w:ind w:left="0" w:right="-26"/>
        <w:rPr>
          <w:noProof/>
          <w:spacing w:val="-8"/>
        </w:rPr>
      </w:pPr>
      <w:r w:rsidRPr="00593DFB">
        <w:rPr>
          <w:noProof/>
          <w:spacing w:val="-8"/>
        </w:rPr>
        <w:t xml:space="preserve">Problem 1 now reflects the responses of stakeholders who originally answered </w:t>
      </w:r>
      <w:r w:rsidR="00D11EF3">
        <w:rPr>
          <w:noProof/>
          <w:spacing w:val="-8"/>
        </w:rPr>
        <w:t>on whether they agreed with</w:t>
      </w:r>
      <w:r w:rsidRPr="00593DFB">
        <w:rPr>
          <w:noProof/>
          <w:spacing w:val="-8"/>
        </w:rPr>
        <w:t xml:space="preserve"> </w:t>
      </w:r>
      <w:r w:rsidR="00A14596" w:rsidRPr="00593DFB">
        <w:rPr>
          <w:noProof/>
          <w:spacing w:val="-8"/>
        </w:rPr>
        <w:t xml:space="preserve">the two following problems: </w:t>
      </w:r>
    </w:p>
    <w:p w14:paraId="37781E0B" w14:textId="22418B45" w:rsidR="001D4EED" w:rsidRPr="001D4EED" w:rsidRDefault="001D4EED" w:rsidP="001979E4">
      <w:pPr>
        <w:pStyle w:val="BodyText"/>
        <w:numPr>
          <w:ilvl w:val="0"/>
          <w:numId w:val="43"/>
        </w:numPr>
        <w:spacing w:after="240"/>
        <w:ind w:right="-26"/>
        <w:rPr>
          <w:i/>
          <w:noProof/>
          <w:spacing w:val="-8"/>
        </w:rPr>
      </w:pPr>
      <w:r>
        <w:rPr>
          <w:i/>
          <w:noProof/>
          <w:spacing w:val="-8"/>
        </w:rPr>
        <w:t>Potential distortion of competition between CRSs and non-regulated B2B distribution channels performing similar functions to CRSs</w:t>
      </w:r>
    </w:p>
    <w:p w14:paraId="2EDCC5E8" w14:textId="2A55DFEE" w:rsidR="00A14596" w:rsidRPr="00A14596" w:rsidRDefault="00A14596" w:rsidP="001979E4">
      <w:pPr>
        <w:pStyle w:val="BodyText"/>
        <w:numPr>
          <w:ilvl w:val="0"/>
          <w:numId w:val="43"/>
        </w:numPr>
        <w:spacing w:after="240"/>
        <w:ind w:right="-26"/>
        <w:rPr>
          <w:i/>
          <w:noProof/>
          <w:spacing w:val="-8"/>
        </w:rPr>
      </w:pPr>
      <w:r>
        <w:rPr>
          <w:i/>
          <w:iCs/>
          <w:noProof/>
          <w:spacing w:val="-8"/>
        </w:rPr>
        <w:t xml:space="preserve">Uneven access of operators to indispensable MDMS platforms and indispensable RU platforms </w:t>
      </w:r>
    </w:p>
    <w:p w14:paraId="12B3D293" w14:textId="0977A739" w:rsidR="001D4EED" w:rsidRPr="003C5D25" w:rsidRDefault="00E93004" w:rsidP="001D4EED">
      <w:pPr>
        <w:pStyle w:val="BodyText"/>
        <w:spacing w:after="240"/>
        <w:ind w:left="0" w:right="-26"/>
        <w:rPr>
          <w:noProof/>
          <w:spacing w:val="-8"/>
        </w:rPr>
      </w:pPr>
      <w:r>
        <w:rPr>
          <w:iCs/>
          <w:noProof/>
          <w:spacing w:val="-8"/>
        </w:rPr>
        <w:t>First</w:t>
      </w:r>
      <w:r w:rsidR="001D4EED" w:rsidRPr="00752971">
        <w:rPr>
          <w:noProof/>
          <w:spacing w:val="-8"/>
        </w:rPr>
        <w:t>,</w:t>
      </w:r>
      <w:r w:rsidR="001D4EED">
        <w:rPr>
          <w:iCs/>
          <w:noProof/>
          <w:spacing w:val="-8"/>
        </w:rPr>
        <w:t xml:space="preserve"> </w:t>
      </w:r>
      <w:r w:rsidR="00A13FBD">
        <w:rPr>
          <w:iCs/>
          <w:noProof/>
          <w:spacing w:val="-8"/>
        </w:rPr>
        <w:t>stakeholders’</w:t>
      </w:r>
      <w:r w:rsidR="001D4EED">
        <w:rPr>
          <w:iCs/>
          <w:noProof/>
          <w:spacing w:val="-8"/>
        </w:rPr>
        <w:t xml:space="preserve"> views were gathered through </w:t>
      </w:r>
      <w:r w:rsidR="00A13FBD">
        <w:rPr>
          <w:iCs/>
          <w:noProof/>
          <w:spacing w:val="-8"/>
        </w:rPr>
        <w:t>a survey specific to the review of the CRS’s Code of Conduct, a survey conducted in the context of the support study to this impact assessment and interviews.</w:t>
      </w:r>
      <w:r w:rsidR="001D4EED">
        <w:rPr>
          <w:i/>
          <w:noProof/>
          <w:spacing w:val="-8"/>
        </w:rPr>
        <w:t xml:space="preserve"> </w:t>
      </w:r>
      <w:r w:rsidR="001D4EED" w:rsidRPr="003C5D25">
        <w:rPr>
          <w:noProof/>
          <w:spacing w:val="-8"/>
        </w:rPr>
        <w:t xml:space="preserve">In the survey conducted specifically for CRS in 2021, 20 of 37 respondents either agreed or strongly agreed that there is a potential risk of uneven regulatory treatment of B2B air ticket intermediation services. In particular, all participating public authorities, CRS providers and “other” stakeholders agreed or strongly agreed with this statement. The 3 CRS providers believed that the uneven regulatory treatment leads to the erosion of the indirect distribution channels. In their view, discriminatory initiatives implemented by big airline groups through surcharges, withdrawal of content, and other practices are intended to undermine indirect distribution of air tickets. Therefore, according to them the revised Code may still have value only if the scope is expanded to all competing players, definitions are clarified, and neutral display and transparency obligations are balanced with content quality commitments by airlines participating in CRSs, to ensure that the neutral display offers genuine value to travel agencies and consumers. On the other hand, air carriers (7 out of 14) noted that non-CRS content aggregators did not have the same market power and thus should not be subject to the same provisions as incumbent providers from the outset, as the former may still be relatively small and trying to develop a competitive commercial position. </w:t>
      </w:r>
    </w:p>
    <w:p w14:paraId="17A21AE9" w14:textId="77777777" w:rsidR="001D4EED" w:rsidRPr="003C5D25" w:rsidRDefault="001D4EED" w:rsidP="001D4EED">
      <w:pPr>
        <w:pStyle w:val="BodyText"/>
        <w:spacing w:after="240"/>
        <w:ind w:left="0" w:right="-26"/>
        <w:rPr>
          <w:noProof/>
          <w:spacing w:val="-8"/>
        </w:rPr>
      </w:pPr>
      <w:r w:rsidRPr="003C5D25">
        <w:rPr>
          <w:noProof/>
          <w:spacing w:val="-8"/>
        </w:rPr>
        <w:t xml:space="preserve">Moreover, consumer protection association BEUC believed that if the CRS Code of Conduct is maintained and revised, it is essential that its scope is broadened to include all players operating/competing in the airline distribution market that have CRS functionalities, features, or offer CRS technical solutions. The association agreed with CRS providers that transparency of all offers (including ancillary services) is essential for fair competition and a focus on enforcement is necessary. </w:t>
      </w:r>
    </w:p>
    <w:p w14:paraId="40EF1763" w14:textId="468A7F0B" w:rsidR="001D4EED" w:rsidRPr="003C5D25" w:rsidRDefault="001D4EED" w:rsidP="001D4EED">
      <w:pPr>
        <w:pStyle w:val="BodyText"/>
        <w:spacing w:after="240"/>
        <w:ind w:left="0" w:right="-26"/>
        <w:rPr>
          <w:noProof/>
          <w:spacing w:val="-8"/>
        </w:rPr>
      </w:pPr>
      <w:r w:rsidRPr="003C5D25">
        <w:rPr>
          <w:noProof/>
          <w:spacing w:val="-8"/>
        </w:rPr>
        <w:t xml:space="preserve">Finally, in the survey conducted in 2025, stakeholders were asked to express their level of agreement with the identification of </w:t>
      </w:r>
      <w:r w:rsidR="00FC56CB">
        <w:rPr>
          <w:noProof/>
          <w:spacing w:val="-8"/>
        </w:rPr>
        <w:t>p</w:t>
      </w:r>
      <w:r w:rsidR="00FC56CB" w:rsidRPr="00FC56CB">
        <w:rPr>
          <w:noProof/>
          <w:spacing w:val="-8"/>
        </w:rPr>
        <w:t>otential distortion of competition between CRSs and non-regulated B2B distribution channels performing similar functions to CRSs</w:t>
      </w:r>
      <w:r w:rsidR="0043051C">
        <w:rPr>
          <w:noProof/>
          <w:spacing w:val="-8"/>
        </w:rPr>
        <w:t xml:space="preserve"> </w:t>
      </w:r>
      <w:r w:rsidR="002D3E68">
        <w:rPr>
          <w:noProof/>
          <w:spacing w:val="-8"/>
        </w:rPr>
        <w:t xml:space="preserve">as a problem </w:t>
      </w:r>
      <w:r w:rsidRPr="003C5D25">
        <w:rPr>
          <w:noProof/>
          <w:spacing w:val="-8"/>
        </w:rPr>
        <w:t xml:space="preserve">and the problem drivers leading to this problem. Stakeholders were also asked to identify specific cases in which they encountered </w:t>
      </w:r>
      <w:r w:rsidR="0043051C">
        <w:rPr>
          <w:noProof/>
          <w:spacing w:val="-8"/>
        </w:rPr>
        <w:t xml:space="preserve">this </w:t>
      </w:r>
      <w:r w:rsidRPr="003C5D25">
        <w:rPr>
          <w:noProof/>
          <w:spacing w:val="-8"/>
        </w:rPr>
        <w:t xml:space="preserve">problem . Stakeholders’ views on </w:t>
      </w:r>
      <w:r w:rsidR="0043051C">
        <w:rPr>
          <w:noProof/>
          <w:spacing w:val="-8"/>
        </w:rPr>
        <w:t xml:space="preserve">this </w:t>
      </w:r>
      <w:r w:rsidR="00CF7876">
        <w:rPr>
          <w:noProof/>
          <w:spacing w:val="-8"/>
        </w:rPr>
        <w:t>issue</w:t>
      </w:r>
      <w:r w:rsidRPr="003C5D25">
        <w:rPr>
          <w:noProof/>
          <w:spacing w:val="-8"/>
        </w:rPr>
        <w:t xml:space="preserve"> are summarized below. </w:t>
      </w:r>
    </w:p>
    <w:p w14:paraId="2F611A64" w14:textId="4A1D5685" w:rsidR="001D4EED" w:rsidRPr="001A3222" w:rsidRDefault="001D4EED" w:rsidP="001D4EED">
      <w:pPr>
        <w:pStyle w:val="BodyText"/>
        <w:spacing w:after="240"/>
        <w:ind w:left="0" w:right="-26"/>
        <w:rPr>
          <w:i/>
          <w:noProof/>
          <w:spacing w:val="-8"/>
        </w:rPr>
      </w:pPr>
      <w:r w:rsidRPr="003C5D25">
        <w:rPr>
          <w:noProof/>
          <w:spacing w:val="-8"/>
        </w:rPr>
        <w:t xml:space="preserve">In the </w:t>
      </w:r>
      <w:r w:rsidR="00202DF2">
        <w:rPr>
          <w:noProof/>
          <w:spacing w:val="-8"/>
        </w:rPr>
        <w:t xml:space="preserve">targeted </w:t>
      </w:r>
      <w:r w:rsidRPr="003C5D25">
        <w:rPr>
          <w:noProof/>
          <w:spacing w:val="-8"/>
        </w:rPr>
        <w:t>survey</w:t>
      </w:r>
      <w:r w:rsidR="00202DF2">
        <w:rPr>
          <w:noProof/>
          <w:spacing w:val="-8"/>
        </w:rPr>
        <w:t>,</w:t>
      </w:r>
      <w:r w:rsidRPr="003C5D25">
        <w:rPr>
          <w:noProof/>
          <w:spacing w:val="-8"/>
        </w:rPr>
        <w:t xml:space="preserve"> across all stakeholder groups, 36 agreed (19 </w:t>
      </w:r>
      <w:r w:rsidR="00202DF2">
        <w:rPr>
          <w:noProof/>
          <w:spacing w:val="-8"/>
        </w:rPr>
        <w:t>‘</w:t>
      </w:r>
      <w:r w:rsidRPr="003C5D25">
        <w:rPr>
          <w:noProof/>
          <w:spacing w:val="-8"/>
        </w:rPr>
        <w:t>fully</w:t>
      </w:r>
      <w:r w:rsidR="00202DF2">
        <w:rPr>
          <w:noProof/>
          <w:spacing w:val="-8"/>
        </w:rPr>
        <w:t>’</w:t>
      </w:r>
      <w:r w:rsidRPr="003C5D25">
        <w:rPr>
          <w:noProof/>
          <w:spacing w:val="-8"/>
        </w:rPr>
        <w:t xml:space="preserve">, 17 </w:t>
      </w:r>
      <w:r w:rsidR="00202DF2">
        <w:rPr>
          <w:noProof/>
          <w:spacing w:val="-8"/>
        </w:rPr>
        <w:t>‘</w:t>
      </w:r>
      <w:r w:rsidRPr="003C5D25">
        <w:rPr>
          <w:noProof/>
          <w:spacing w:val="-8"/>
        </w:rPr>
        <w:t>partially</w:t>
      </w:r>
      <w:r w:rsidR="00202DF2">
        <w:rPr>
          <w:noProof/>
          <w:spacing w:val="-8"/>
        </w:rPr>
        <w:t>’</w:t>
      </w:r>
      <w:r w:rsidRPr="003C5D25">
        <w:rPr>
          <w:noProof/>
          <w:spacing w:val="-8"/>
        </w:rPr>
        <w:t xml:space="preserve">), </w:t>
      </w:r>
      <w:r w:rsidR="007673E9">
        <w:rPr>
          <w:noProof/>
          <w:spacing w:val="-8"/>
        </w:rPr>
        <w:t xml:space="preserve">that there is a </w:t>
      </w:r>
      <w:r w:rsidR="007673E9">
        <w:rPr>
          <w:i/>
          <w:noProof/>
          <w:spacing w:val="-8"/>
        </w:rPr>
        <w:t xml:space="preserve">potential distortion of competition between CRSs and non-regulated B2B distribution channels performing similar functions to CRSs, </w:t>
      </w:r>
      <w:r w:rsidRPr="003C5D25">
        <w:rPr>
          <w:noProof/>
          <w:spacing w:val="-8"/>
        </w:rPr>
        <w:t xml:space="preserve">whereas seven stakeholders disagreed (3 ‘fully’, 4 ‘partially’). However, a much higher number of stakeholders (31) neither agreed nor disagreed (7) or did not know (24) compared to the previous two problems. Among MDMS platforms surveyed, 68% ‘fully’ or ‘partially’ agreed with PB3 (13 out of 19). Among transport operators surveyed, 44% agreed ‘fully’ or ‘partially’. 46% of national authorities participating in the survey agreed, and the same proportion did not know or neither agreed nor disagreed. Finally, 55% of ‘Other’ stakeholders surveyed also agreed. </w:t>
      </w:r>
    </w:p>
    <w:p w14:paraId="3B3E379C" w14:textId="451BC755" w:rsidR="001D4EED" w:rsidRPr="003C5D25" w:rsidRDefault="001D4EED" w:rsidP="001D4EED">
      <w:pPr>
        <w:pStyle w:val="BodyText"/>
        <w:spacing w:after="240"/>
        <w:ind w:left="0" w:right="-26"/>
        <w:rPr>
          <w:noProof/>
          <w:spacing w:val="-8"/>
        </w:rPr>
      </w:pPr>
      <w:r w:rsidRPr="003C5D25">
        <w:rPr>
          <w:noProof/>
          <w:spacing w:val="-8"/>
        </w:rPr>
        <w:t xml:space="preserve">A common view among those who agreed with </w:t>
      </w:r>
      <w:r w:rsidR="00202DF2">
        <w:rPr>
          <w:noProof/>
          <w:spacing w:val="-8"/>
        </w:rPr>
        <w:t>this problem</w:t>
      </w:r>
      <w:r w:rsidRPr="003C5D25">
        <w:rPr>
          <w:noProof/>
          <w:spacing w:val="-8"/>
        </w:rPr>
        <w:t xml:space="preserve"> in the survey and interviews was that the current regulation under the CRS Code of Conduct (CoC) is effective for traditional GDSs but no longer reflects market realities. They noted that new content aggregators, OTAs, metasearch engines, and other MDMS platforms now play a dominant role in distribution but are not subject to similar rules. All 3 main CRSs agreed with </w:t>
      </w:r>
      <w:r w:rsidR="002C5047">
        <w:rPr>
          <w:noProof/>
          <w:spacing w:val="-8"/>
        </w:rPr>
        <w:t>this problem</w:t>
      </w:r>
      <w:r w:rsidRPr="003C5D25">
        <w:rPr>
          <w:noProof/>
          <w:spacing w:val="-8"/>
        </w:rPr>
        <w:t xml:space="preserve"> sharing that existing rules unfairly constrain regulated CRSs while allowing newer, non-regulated actors to compete without equivalent obligations. MDMS who agreed with </w:t>
      </w:r>
      <w:r w:rsidR="002C5047">
        <w:rPr>
          <w:noProof/>
          <w:spacing w:val="-8"/>
        </w:rPr>
        <w:t>this problem</w:t>
      </w:r>
      <w:r w:rsidRPr="003C5D25">
        <w:rPr>
          <w:noProof/>
          <w:spacing w:val="-8"/>
        </w:rPr>
        <w:t xml:space="preserve"> highlighted a lack of fair competition between regulated CRSs and unregulated B2B aggregators, arguing that CRSs must comply with strict rules, such as neutral display requirements, while other distribution channels performing similar functions face no such obligations, leading to market distortion. Six airlines agreed with </w:t>
      </w:r>
      <w:r w:rsidR="00CF7876">
        <w:rPr>
          <w:noProof/>
          <w:spacing w:val="-8"/>
        </w:rPr>
        <w:t>this problem</w:t>
      </w:r>
      <w:r w:rsidRPr="003C5D25">
        <w:rPr>
          <w:noProof/>
          <w:spacing w:val="-8"/>
        </w:rPr>
        <w:t xml:space="preserve"> specifying that the Code should be extended or updated to apply its core principles, such as transparency, equal access, and fairness, to all MDMS actors, 4 out of 6 also stressing the importance of stronger enforcement. Those who disagreed with the problem in the survey and interviews had various reasons. One large airline warned that applying the CRS Code of Conduct rules to small or emerging B2B MDMS platforms could harm innovation, as these actors lack the scale and content of established CRSs. A B2B new content aggregator operating in the rail sector argued that existing national and EU regulations were sufficient, highlighting the growth of independent platforms like Trainline and Omio as evidence of a competitive market. </w:t>
      </w:r>
    </w:p>
    <w:p w14:paraId="27208CD9" w14:textId="1B66DCD6" w:rsidR="004C06B2" w:rsidRPr="006266D4" w:rsidRDefault="001D4EED" w:rsidP="004C06B2">
      <w:pPr>
        <w:pStyle w:val="BodyText"/>
        <w:spacing w:after="240"/>
        <w:ind w:left="0" w:right="-26"/>
        <w:rPr>
          <w:noProof/>
        </w:rPr>
      </w:pPr>
      <w:r w:rsidRPr="003C5D25">
        <w:rPr>
          <w:noProof/>
          <w:spacing w:val="-8"/>
        </w:rPr>
        <w:t xml:space="preserve">When asked if the </w:t>
      </w:r>
      <w:r w:rsidRPr="007461DE">
        <w:rPr>
          <w:i/>
          <w:noProof/>
          <w:spacing w:val="-8"/>
        </w:rPr>
        <w:t>regulatory framework is indeed no longer fit for purpose due to market and technological changes in the air distribution market</w:t>
      </w:r>
      <w:r w:rsidRPr="003C5D25">
        <w:rPr>
          <w:noProof/>
          <w:spacing w:val="-8"/>
        </w:rPr>
        <w:t xml:space="preserve"> (PD</w:t>
      </w:r>
      <w:r>
        <w:rPr>
          <w:noProof/>
          <w:spacing w:val="-8"/>
        </w:rPr>
        <w:t>1</w:t>
      </w:r>
      <w:r w:rsidRPr="003C5D25">
        <w:rPr>
          <w:noProof/>
          <w:spacing w:val="-8"/>
        </w:rPr>
        <w:t xml:space="preserve">) leading to </w:t>
      </w:r>
      <w:r w:rsidR="00202DF2" w:rsidRPr="00900F13">
        <w:rPr>
          <w:i/>
          <w:noProof/>
          <w:spacing w:val="-8"/>
        </w:rPr>
        <w:t xml:space="preserve">potential distortion of competition in the </w:t>
      </w:r>
      <w:r w:rsidR="00900F13" w:rsidRPr="00900F13">
        <w:rPr>
          <w:i/>
          <w:iCs/>
          <w:noProof/>
          <w:spacing w:val="-8"/>
        </w:rPr>
        <w:t>B2B market</w:t>
      </w:r>
      <w:r w:rsidRPr="00900F13">
        <w:rPr>
          <w:i/>
          <w:noProof/>
          <w:spacing w:val="-8"/>
        </w:rPr>
        <w:t>,</w:t>
      </w:r>
      <w:r w:rsidRPr="003C5D25">
        <w:rPr>
          <w:noProof/>
          <w:spacing w:val="-8"/>
        </w:rPr>
        <w:t xml:space="preserve"> 26 stakeholders surveyed ‘fully’ or ‘partially’ agreed. Furthermore, 11 stakeholders surveyed partially disagreed and 28 stakeholders neither agreed nor disagreed. Among MDMS platforms surveyed, 73% (13 out of 18) tend to agree with PD</w:t>
      </w:r>
      <w:r>
        <w:rPr>
          <w:noProof/>
          <w:spacing w:val="-8"/>
        </w:rPr>
        <w:t>1</w:t>
      </w:r>
      <w:r w:rsidRPr="003C5D25">
        <w:rPr>
          <w:noProof/>
          <w:spacing w:val="-8"/>
        </w:rPr>
        <w:t xml:space="preserve"> while the rest of MDMS platforms surveyed neither agreed nor disagreed. No clear disagreement, even partial, has been reported from this stakeholder group. On the contrary, transport operators participating in the survey expressed opposite views, with 48% sharing that they did not know (13 out of 27), and 41% that they ‘partially’ disagreed with PD</w:t>
      </w:r>
      <w:r>
        <w:rPr>
          <w:noProof/>
          <w:spacing w:val="-8"/>
        </w:rPr>
        <w:t>1</w:t>
      </w:r>
      <w:r w:rsidRPr="003C5D25">
        <w:rPr>
          <w:noProof/>
          <w:spacing w:val="-8"/>
        </w:rPr>
        <w:t xml:space="preserve"> (11 out of 27). Additionally, almost 50% of national authorities expressing a view in the survey and 66% of ‘Others’ surveyed agreed with PD</w:t>
      </w:r>
      <w:r>
        <w:rPr>
          <w:noProof/>
          <w:spacing w:val="-8"/>
        </w:rPr>
        <w:t>1</w:t>
      </w:r>
      <w:r w:rsidRPr="003C5D25">
        <w:rPr>
          <w:noProof/>
          <w:spacing w:val="-8"/>
        </w:rPr>
        <w:t>.</w:t>
      </w:r>
      <w:r w:rsidRPr="00D71008">
        <w:rPr>
          <w:noProof/>
        </w:rPr>
        <w:t xml:space="preserve"> </w:t>
      </w:r>
    </w:p>
    <w:p w14:paraId="1D557B50" w14:textId="729CC965" w:rsidR="00C2188B" w:rsidRPr="007461DE" w:rsidRDefault="00E93004" w:rsidP="007673E9">
      <w:pPr>
        <w:pStyle w:val="BodyText"/>
        <w:spacing w:after="240"/>
        <w:ind w:left="0" w:right="-26"/>
        <w:rPr>
          <w:i/>
          <w:noProof/>
          <w:spacing w:val="-8"/>
        </w:rPr>
      </w:pPr>
      <w:r>
        <w:rPr>
          <w:noProof/>
          <w:spacing w:val="-8"/>
        </w:rPr>
        <w:t>S</w:t>
      </w:r>
      <w:r w:rsidR="00C2188B" w:rsidRPr="008612C3">
        <w:rPr>
          <w:noProof/>
          <w:spacing w:val="-8"/>
        </w:rPr>
        <w:t xml:space="preserve">takeholders were asked </w:t>
      </w:r>
      <w:r w:rsidR="00A13FBD">
        <w:rPr>
          <w:noProof/>
          <w:spacing w:val="-8"/>
        </w:rPr>
        <w:t xml:space="preserve">in a 2025 survey </w:t>
      </w:r>
      <w:r w:rsidR="00C2188B" w:rsidRPr="008612C3">
        <w:rPr>
          <w:noProof/>
          <w:spacing w:val="-8"/>
        </w:rPr>
        <w:t xml:space="preserve">to express their level of agreement with the identification of </w:t>
      </w:r>
      <w:r>
        <w:rPr>
          <w:noProof/>
          <w:spacing w:val="-8"/>
        </w:rPr>
        <w:t xml:space="preserve">the </w:t>
      </w:r>
      <w:r>
        <w:rPr>
          <w:i/>
          <w:iCs/>
          <w:noProof/>
          <w:spacing w:val="-8"/>
        </w:rPr>
        <w:t xml:space="preserve">uneven access of operators to indispensable MDMS platforms and indispensable RU platforms </w:t>
      </w:r>
      <w:r w:rsidRPr="007461DE">
        <w:rPr>
          <w:noProof/>
          <w:spacing w:val="-8"/>
        </w:rPr>
        <w:t>as a problem</w:t>
      </w:r>
      <w:r>
        <w:rPr>
          <w:noProof/>
          <w:spacing w:val="-8"/>
        </w:rPr>
        <w:t>,</w:t>
      </w:r>
      <w:r>
        <w:rPr>
          <w:i/>
          <w:iCs/>
          <w:noProof/>
          <w:spacing w:val="-8"/>
        </w:rPr>
        <w:t xml:space="preserve"> </w:t>
      </w:r>
      <w:r w:rsidR="00C2188B" w:rsidRPr="008612C3">
        <w:rPr>
          <w:noProof/>
          <w:spacing w:val="-8"/>
        </w:rPr>
        <w:t xml:space="preserve">and the problem drivers leading to this problem. Stakeholders were also asked to identify specific cases in which they encountered </w:t>
      </w:r>
      <w:r>
        <w:rPr>
          <w:noProof/>
          <w:spacing w:val="-8"/>
        </w:rPr>
        <w:t xml:space="preserve">this </w:t>
      </w:r>
      <w:r w:rsidR="00C2188B" w:rsidRPr="008612C3">
        <w:rPr>
          <w:noProof/>
          <w:spacing w:val="-8"/>
        </w:rPr>
        <w:t xml:space="preserve">problem. Stakeholders’ views are summarized below. </w:t>
      </w:r>
    </w:p>
    <w:p w14:paraId="736875DD" w14:textId="00A77B2A" w:rsidR="00C2188B" w:rsidRPr="008612C3" w:rsidRDefault="00C2188B" w:rsidP="008612C3">
      <w:pPr>
        <w:pStyle w:val="BodyText"/>
        <w:spacing w:after="240"/>
        <w:ind w:left="0" w:right="-26"/>
        <w:rPr>
          <w:noProof/>
          <w:spacing w:val="-8"/>
        </w:rPr>
      </w:pPr>
      <w:r w:rsidRPr="008612C3">
        <w:rPr>
          <w:noProof/>
          <w:spacing w:val="-8"/>
        </w:rPr>
        <w:t xml:space="preserve">Overall, </w:t>
      </w:r>
      <w:r w:rsidR="003C35D3" w:rsidRPr="008612C3">
        <w:rPr>
          <w:noProof/>
          <w:spacing w:val="-8"/>
        </w:rPr>
        <w:t xml:space="preserve">in the survey </w:t>
      </w:r>
      <w:r w:rsidRPr="008612C3">
        <w:rPr>
          <w:noProof/>
          <w:spacing w:val="-8"/>
        </w:rPr>
        <w:t xml:space="preserve">34 agreed (10 fully, 24 partially), while 28 stakeholders disagreed (12 fully, 16 partially) and 13 stakeholders neither agreed nor disagreed (10) or did not know (3). MDMS providers represent the group in which most </w:t>
      </w:r>
      <w:r w:rsidR="003C35D3" w:rsidRPr="008612C3">
        <w:rPr>
          <w:noProof/>
          <w:spacing w:val="-8"/>
        </w:rPr>
        <w:t xml:space="preserve">survey </w:t>
      </w:r>
      <w:r w:rsidRPr="008612C3">
        <w:rPr>
          <w:noProof/>
          <w:spacing w:val="-8"/>
        </w:rPr>
        <w:t xml:space="preserve">respondents challenged </w:t>
      </w:r>
      <w:r w:rsidR="009F64FB">
        <w:rPr>
          <w:noProof/>
          <w:spacing w:val="-8"/>
        </w:rPr>
        <w:t>this problem</w:t>
      </w:r>
      <w:r w:rsidRPr="008612C3">
        <w:rPr>
          <w:noProof/>
          <w:spacing w:val="-8"/>
        </w:rPr>
        <w:t xml:space="preserve">. Only 3 agreed (2 fully, 1 partially), whereas 14 disagreed (5 fully, 9 partially). For each of the other stakeholder types, a majority </w:t>
      </w:r>
      <w:r w:rsidR="003C35D3" w:rsidRPr="008612C3">
        <w:rPr>
          <w:noProof/>
          <w:spacing w:val="-8"/>
        </w:rPr>
        <w:t xml:space="preserve">of survey respondents </w:t>
      </w:r>
      <w:r w:rsidRPr="008612C3">
        <w:rPr>
          <w:noProof/>
          <w:spacing w:val="-8"/>
        </w:rPr>
        <w:t xml:space="preserve">agreed with </w:t>
      </w:r>
      <w:r w:rsidR="00430F48" w:rsidRPr="00430F48">
        <w:rPr>
          <w:bCs/>
          <w:noProof/>
          <w:spacing w:val="-8"/>
        </w:rPr>
        <w:t>this problem</w:t>
      </w:r>
      <w:r w:rsidRPr="008612C3">
        <w:rPr>
          <w:noProof/>
          <w:spacing w:val="-8"/>
        </w:rPr>
        <w:t>. Among transport operators</w:t>
      </w:r>
      <w:r w:rsidR="003C35D3" w:rsidRPr="008612C3">
        <w:rPr>
          <w:noProof/>
          <w:spacing w:val="-8"/>
        </w:rPr>
        <w:t xml:space="preserve"> surveyed</w:t>
      </w:r>
      <w:r w:rsidRPr="008612C3">
        <w:rPr>
          <w:noProof/>
          <w:spacing w:val="-8"/>
        </w:rPr>
        <w:t>, 16 agreed (3 fully, 13 partially), whereas 8 disagreed (5 fully, 3 partially). For national authorities</w:t>
      </w:r>
      <w:r w:rsidR="003C35D3" w:rsidRPr="008612C3">
        <w:rPr>
          <w:noProof/>
          <w:spacing w:val="-8"/>
        </w:rPr>
        <w:t xml:space="preserve"> surveyed</w:t>
      </w:r>
      <w:r w:rsidRPr="008612C3">
        <w:rPr>
          <w:noProof/>
          <w:spacing w:val="-8"/>
        </w:rPr>
        <w:t xml:space="preserve">, 8 agreed (1 fully, 7 partially), as opposed to 4 who disagreed (2 fully, 2 partially). ‘Other’ stakeholders </w:t>
      </w:r>
      <w:r w:rsidR="00EF6B0A" w:rsidRPr="008612C3">
        <w:rPr>
          <w:noProof/>
          <w:spacing w:val="-8"/>
        </w:rPr>
        <w:t xml:space="preserve">expressing a view </w:t>
      </w:r>
      <w:r w:rsidRPr="008612C3">
        <w:rPr>
          <w:noProof/>
          <w:spacing w:val="-8"/>
        </w:rPr>
        <w:t>were particularly supportive, as 7 agreed (4 fully, 3 partially), whereas only 2 partially disagreed.</w:t>
      </w:r>
    </w:p>
    <w:p w14:paraId="097E9C45" w14:textId="053FA6D2" w:rsidR="00C2188B" w:rsidRPr="008612C3" w:rsidRDefault="00C2188B" w:rsidP="008612C3">
      <w:pPr>
        <w:pStyle w:val="BodyText"/>
        <w:spacing w:after="240"/>
        <w:ind w:left="0" w:right="-26"/>
        <w:rPr>
          <w:rFonts w:cs="Arial"/>
          <w:noProof/>
          <w:spacing w:val="-8"/>
        </w:rPr>
      </w:pPr>
      <w:r w:rsidRPr="008612C3">
        <w:rPr>
          <w:b/>
          <w:noProof/>
          <w:spacing w:val="-8"/>
        </w:rPr>
        <w:t>MDMS providers</w:t>
      </w:r>
      <w:r w:rsidRPr="008612C3">
        <w:rPr>
          <w:noProof/>
          <w:spacing w:val="-8"/>
        </w:rPr>
        <w:t xml:space="preserve"> </w:t>
      </w:r>
      <w:r w:rsidR="00071B16" w:rsidRPr="008612C3">
        <w:rPr>
          <w:noProof/>
          <w:spacing w:val="-8"/>
        </w:rPr>
        <w:t xml:space="preserve">surveyed </w:t>
      </w:r>
      <w:r w:rsidRPr="008612C3">
        <w:rPr>
          <w:noProof/>
          <w:spacing w:val="-8"/>
        </w:rPr>
        <w:t xml:space="preserve">that disagreed with </w:t>
      </w:r>
      <w:r w:rsidR="00430F48">
        <w:rPr>
          <w:noProof/>
          <w:spacing w:val="-8"/>
        </w:rPr>
        <w:t>this problem</w:t>
      </w:r>
      <w:r w:rsidRPr="008612C3">
        <w:rPr>
          <w:noProof/>
          <w:spacing w:val="-8"/>
        </w:rPr>
        <w:t xml:space="preserve"> argued that their business model depends on offering a wide range of content. </w:t>
      </w:r>
      <w:r w:rsidR="00071B16" w:rsidRPr="008612C3">
        <w:rPr>
          <w:noProof/>
          <w:spacing w:val="-8"/>
        </w:rPr>
        <w:t>In their view a</w:t>
      </w:r>
      <w:r w:rsidRPr="008612C3">
        <w:rPr>
          <w:noProof/>
          <w:spacing w:val="-8"/>
        </w:rPr>
        <w:t>ny absence of certain operators is typically due to restrictive or economically unviable contractual terms by those operators or, in rare cases, concerns about poor customer service.</w:t>
      </w:r>
      <w:r w:rsidRPr="008612C3">
        <w:rPr>
          <w:b/>
          <w:noProof/>
          <w:spacing w:val="-8"/>
        </w:rPr>
        <w:t xml:space="preserve"> Transport operators</w:t>
      </w:r>
      <w:r w:rsidRPr="008612C3">
        <w:rPr>
          <w:noProof/>
          <w:spacing w:val="-8"/>
        </w:rPr>
        <w:t xml:space="preserve"> </w:t>
      </w:r>
      <w:r w:rsidR="00413035" w:rsidRPr="008612C3">
        <w:rPr>
          <w:noProof/>
          <w:spacing w:val="-8"/>
        </w:rPr>
        <w:t xml:space="preserve">surveyed </w:t>
      </w:r>
      <w:r w:rsidRPr="008612C3">
        <w:rPr>
          <w:noProof/>
          <w:spacing w:val="-8"/>
        </w:rPr>
        <w:t xml:space="preserve">presented mixed views on </w:t>
      </w:r>
      <w:r w:rsidR="0024408F">
        <w:rPr>
          <w:noProof/>
          <w:spacing w:val="-8"/>
        </w:rPr>
        <w:t>this problem</w:t>
      </w:r>
      <w:r w:rsidRPr="008612C3">
        <w:rPr>
          <w:noProof/>
          <w:spacing w:val="-8"/>
        </w:rPr>
        <w:t xml:space="preserve">. Those that agreed were mostly operators from the air sector, highlighting that uneven </w:t>
      </w:r>
      <w:r w:rsidR="006029AE">
        <w:rPr>
          <w:noProof/>
          <w:spacing w:val="-8"/>
        </w:rPr>
        <w:t>playing field</w:t>
      </w:r>
      <w:r w:rsidRPr="008612C3">
        <w:rPr>
          <w:noProof/>
          <w:spacing w:val="-8"/>
        </w:rPr>
        <w:t xml:space="preserve"> </w:t>
      </w:r>
      <w:r w:rsidR="005F5548">
        <w:rPr>
          <w:noProof/>
          <w:spacing w:val="-8"/>
        </w:rPr>
        <w:t>in the online ticketing market</w:t>
      </w:r>
      <w:r w:rsidRPr="008612C3">
        <w:rPr>
          <w:noProof/>
          <w:spacing w:val="-8"/>
        </w:rPr>
        <w:t xml:space="preserve"> is a significant issue, often caused by exploitative practices by dominant CRS providers. One operator mentioned that regional airlines in particular struggle to compete fairly due to limited economies of scale and the prioritization of major carriers by gatekeeping platforms.</w:t>
      </w:r>
    </w:p>
    <w:p w14:paraId="6EDE9DE8" w14:textId="52710747" w:rsidR="006F592F" w:rsidRDefault="00625494" w:rsidP="008066DC">
      <w:pPr>
        <w:pStyle w:val="BodyText"/>
        <w:spacing w:after="240"/>
        <w:ind w:left="0" w:right="-26"/>
        <w:rPr>
          <w:noProof/>
          <w:spacing w:val="-8"/>
        </w:rPr>
      </w:pPr>
      <w:r w:rsidRPr="008612C3">
        <w:rPr>
          <w:noProof/>
          <w:spacing w:val="-8"/>
        </w:rPr>
        <w:t xml:space="preserve">As to uneven access to and use of indirect distribution channels (B2B) by air carriers, 23 out of 38 stakeholders either agreed or strongly agreed that a level playing field is not fully ensured by current Regulation. These came largely from air carriers (15) and travel agents and MSEs (7). The only stakeholders to disagree with the definition of the problem were the 3 CRS providers, of which all strongly disagreed. They noted that there was no evidence of an imbalance between air carriers and suggested large air carriers use of direct distribution channels were the cause of imbalances. Air carriers surveyed highlighted the dominant position of traditional CRS providers as the reason for an unlevel playing field. The CRS providers stated that uncompetitive practices used by dominant airlines put them at risk of not complying with their transparency and unbiased display obligations towards travel agents. </w:t>
      </w:r>
    </w:p>
    <w:p w14:paraId="20B2ACB3" w14:textId="055ADEF8" w:rsidR="009637B7" w:rsidRPr="008612C3" w:rsidRDefault="009637B7" w:rsidP="00B93F5E">
      <w:pPr>
        <w:pStyle w:val="BodyText"/>
        <w:ind w:left="0"/>
        <w:rPr>
          <w:noProof/>
          <w:spacing w:val="-8"/>
        </w:rPr>
      </w:pPr>
      <w:r w:rsidRPr="009637B7">
        <w:rPr>
          <w:noProof/>
          <w:spacing w:val="-8"/>
        </w:rPr>
        <w:t>Overall, 52% (</w:t>
      </w:r>
      <w:r w:rsidR="007C2AAD">
        <w:rPr>
          <w:noProof/>
          <w:spacing w:val="-8"/>
        </w:rPr>
        <w:t>3</w:t>
      </w:r>
      <w:r w:rsidRPr="009637B7">
        <w:rPr>
          <w:noProof/>
          <w:spacing w:val="-8"/>
        </w:rPr>
        <w:t xml:space="preserve">8 out of 73) of stakeholders surveyed agreed either ‘fully’ or ‘partially’ that </w:t>
      </w:r>
      <w:r w:rsidRPr="009637B7">
        <w:rPr>
          <w:i/>
          <w:noProof/>
          <w:spacing w:val="-8"/>
        </w:rPr>
        <w:t>MDMS platforms have commercial incentives to promote certain operators or products</w:t>
      </w:r>
      <w:r w:rsidRPr="009637B7">
        <w:rPr>
          <w:noProof/>
          <w:spacing w:val="-8"/>
        </w:rPr>
        <w:t xml:space="preserve"> (</w:t>
      </w:r>
      <w:r w:rsidRPr="009637B7">
        <w:rPr>
          <w:b/>
          <w:noProof/>
          <w:spacing w:val="-8"/>
        </w:rPr>
        <w:t>PD2</w:t>
      </w:r>
      <w:r w:rsidRPr="009637B7">
        <w:rPr>
          <w:noProof/>
          <w:spacing w:val="-8"/>
        </w:rPr>
        <w:t xml:space="preserve">), leading to </w:t>
      </w:r>
      <w:r w:rsidR="002D7C08" w:rsidRPr="005D2D60">
        <w:rPr>
          <w:i/>
          <w:noProof/>
          <w:spacing w:val="-8"/>
        </w:rPr>
        <w:t>uneven</w:t>
      </w:r>
      <w:r w:rsidR="006509B9" w:rsidRPr="005D2D60">
        <w:rPr>
          <w:i/>
          <w:noProof/>
          <w:spacing w:val="-8"/>
        </w:rPr>
        <w:t> access of operators to indispensable MDMS platforms</w:t>
      </w:r>
      <w:r w:rsidRPr="009637B7">
        <w:rPr>
          <w:noProof/>
          <w:spacing w:val="-8"/>
        </w:rPr>
        <w:t xml:space="preserve">. A clear split in views has been identified between MDMS platforms and transport operators surveyed, with 60% of MDMS platforms ‘fully’ disagreeing (12 out of 20) with PD2, while 60% of transport operators surveyed, ‘fully’ or ‘partially’ agreed (18 out of 30) with this problem driver. Additionally, most national authorities responding to the survey ‘fully’ or ‘partially’ agreed, except for one respondent who fully disagreed and three who did not know or neither fully agreed nor disagreed. </w:t>
      </w:r>
      <w:r w:rsidR="003363BF">
        <w:rPr>
          <w:noProof/>
          <w:spacing w:val="-8"/>
        </w:rPr>
        <w:t>Similarly, 6 out of 10 ‘Others’ also agreed.</w:t>
      </w:r>
    </w:p>
    <w:p w14:paraId="0E0412DC" w14:textId="77777777" w:rsidR="00B93F5E" w:rsidRPr="008612C3" w:rsidRDefault="00B93F5E" w:rsidP="00F1066B">
      <w:pPr>
        <w:pStyle w:val="BodyText"/>
        <w:ind w:left="0"/>
        <w:rPr>
          <w:noProof/>
          <w:spacing w:val="-8"/>
        </w:rPr>
      </w:pPr>
    </w:p>
    <w:p w14:paraId="461A5290" w14:textId="0D5BAB7B" w:rsidR="00A537A2" w:rsidRPr="008612C3" w:rsidRDefault="4CAE418E" w:rsidP="008612C3">
      <w:pPr>
        <w:pStyle w:val="BodyText"/>
        <w:spacing w:after="240"/>
        <w:ind w:left="0" w:right="-26"/>
        <w:rPr>
          <w:noProof/>
          <w:spacing w:val="-8"/>
        </w:rPr>
      </w:pPr>
      <w:r w:rsidRPr="008612C3">
        <w:rPr>
          <w:noProof/>
          <w:spacing w:val="-8"/>
        </w:rPr>
        <w:t>A</w:t>
      </w:r>
      <w:r w:rsidR="6FC8F3B9" w:rsidRPr="008612C3">
        <w:rPr>
          <w:noProof/>
          <w:spacing w:val="-8"/>
        </w:rPr>
        <w:t xml:space="preserve"> majority</w:t>
      </w:r>
      <w:r w:rsidR="1FF36005" w:rsidRPr="008612C3">
        <w:rPr>
          <w:noProof/>
          <w:spacing w:val="-8"/>
        </w:rPr>
        <w:t xml:space="preserve"> of respondents</w:t>
      </w:r>
      <w:r w:rsidR="6FC8F3B9" w:rsidRPr="008612C3">
        <w:rPr>
          <w:noProof/>
          <w:spacing w:val="-8"/>
        </w:rPr>
        <w:t xml:space="preserve"> in a</w:t>
      </w:r>
      <w:r w:rsidR="0192A4CD" w:rsidRPr="008612C3">
        <w:rPr>
          <w:noProof/>
          <w:spacing w:val="-8"/>
        </w:rPr>
        <w:t xml:space="preserve">ll stakeholder groups </w:t>
      </w:r>
      <w:r w:rsidR="38C5FEE0" w:rsidRPr="008612C3">
        <w:rPr>
          <w:noProof/>
          <w:spacing w:val="-8"/>
        </w:rPr>
        <w:t>identified</w:t>
      </w:r>
      <w:r w:rsidR="51A37B6C" w:rsidRPr="008612C3">
        <w:rPr>
          <w:noProof/>
          <w:spacing w:val="-8"/>
        </w:rPr>
        <w:t xml:space="preserve"> </w:t>
      </w:r>
      <w:r w:rsidR="05F4C85C" w:rsidRPr="008612C3">
        <w:rPr>
          <w:noProof/>
          <w:spacing w:val="-8"/>
        </w:rPr>
        <w:t xml:space="preserve">the </w:t>
      </w:r>
      <w:r w:rsidR="05F4C85C" w:rsidRPr="007461DE">
        <w:rPr>
          <w:noProof/>
          <w:spacing w:val="-8"/>
        </w:rPr>
        <w:t xml:space="preserve">imbalanced commercial </w:t>
      </w:r>
      <w:r w:rsidR="00D53464" w:rsidRPr="007461DE">
        <w:rPr>
          <w:noProof/>
        </w:rPr>
        <w:t xml:space="preserve">relations </w:t>
      </w:r>
      <w:r w:rsidR="05F4C85C" w:rsidRPr="007461DE">
        <w:rPr>
          <w:noProof/>
          <w:spacing w:val="-8"/>
        </w:rPr>
        <w:t xml:space="preserve">between </w:t>
      </w:r>
      <w:r w:rsidR="00F1066B">
        <w:rPr>
          <w:noProof/>
        </w:rPr>
        <w:t xml:space="preserve">indispensable </w:t>
      </w:r>
      <w:r w:rsidR="05F4C85C" w:rsidRPr="007461DE">
        <w:rPr>
          <w:noProof/>
          <w:spacing w:val="-8"/>
        </w:rPr>
        <w:t>MDMS platforms and transport operators</w:t>
      </w:r>
      <w:r w:rsidR="24016923" w:rsidRPr="008612C3">
        <w:rPr>
          <w:noProof/>
          <w:spacing w:val="-8"/>
        </w:rPr>
        <w:t xml:space="preserve"> (</w:t>
      </w:r>
      <w:r w:rsidR="24016923" w:rsidRPr="008612C3">
        <w:rPr>
          <w:b/>
          <w:noProof/>
          <w:spacing w:val="-8"/>
        </w:rPr>
        <w:t>PD3</w:t>
      </w:r>
      <w:r w:rsidR="24016923" w:rsidRPr="008612C3">
        <w:rPr>
          <w:noProof/>
          <w:spacing w:val="-8"/>
        </w:rPr>
        <w:t>)</w:t>
      </w:r>
      <w:r w:rsidR="05F4C85C" w:rsidRPr="008612C3">
        <w:rPr>
          <w:noProof/>
          <w:spacing w:val="-8"/>
        </w:rPr>
        <w:t xml:space="preserve"> </w:t>
      </w:r>
      <w:r w:rsidR="38C5FEE0" w:rsidRPr="008612C3">
        <w:rPr>
          <w:noProof/>
          <w:spacing w:val="-8"/>
        </w:rPr>
        <w:t xml:space="preserve">as a factor </w:t>
      </w:r>
      <w:r w:rsidR="05F4C85C" w:rsidRPr="008612C3">
        <w:rPr>
          <w:noProof/>
          <w:spacing w:val="-8"/>
        </w:rPr>
        <w:t>le</w:t>
      </w:r>
      <w:r w:rsidR="38C5FEE0" w:rsidRPr="008612C3">
        <w:rPr>
          <w:noProof/>
          <w:spacing w:val="-8"/>
        </w:rPr>
        <w:t>a</w:t>
      </w:r>
      <w:r w:rsidR="05F4C85C" w:rsidRPr="008612C3">
        <w:rPr>
          <w:noProof/>
          <w:spacing w:val="-8"/>
        </w:rPr>
        <w:t>d</w:t>
      </w:r>
      <w:r w:rsidR="38C5FEE0" w:rsidRPr="008612C3">
        <w:rPr>
          <w:noProof/>
          <w:spacing w:val="-8"/>
        </w:rPr>
        <w:t>ing</w:t>
      </w:r>
      <w:r w:rsidR="05F4C85C" w:rsidRPr="008612C3">
        <w:rPr>
          <w:noProof/>
          <w:spacing w:val="-8"/>
        </w:rPr>
        <w:t xml:space="preserve"> to</w:t>
      </w:r>
      <w:r w:rsidR="05F4C85C">
        <w:rPr>
          <w:noProof/>
        </w:rPr>
        <w:t xml:space="preserve"> </w:t>
      </w:r>
      <w:r w:rsidR="002D7C08" w:rsidRPr="007461DE">
        <w:rPr>
          <w:i/>
          <w:noProof/>
        </w:rPr>
        <w:t>limited and distorted information on MDMS platforms</w:t>
      </w:r>
      <w:r w:rsidR="05F4C85C" w:rsidRPr="008612C3">
        <w:rPr>
          <w:noProof/>
          <w:spacing w:val="-8"/>
        </w:rPr>
        <w:t>.</w:t>
      </w:r>
      <w:r w:rsidR="7D846934" w:rsidRPr="008612C3">
        <w:rPr>
          <w:noProof/>
          <w:spacing w:val="-8"/>
        </w:rPr>
        <w:t xml:space="preserve"> In total, </w:t>
      </w:r>
      <w:r w:rsidR="003902D3">
        <w:rPr>
          <w:noProof/>
          <w:spacing w:val="-8"/>
        </w:rPr>
        <w:t>64</w:t>
      </w:r>
      <w:r w:rsidR="7D846934" w:rsidRPr="008612C3">
        <w:rPr>
          <w:noProof/>
          <w:spacing w:val="-8"/>
        </w:rPr>
        <w:t>% (</w:t>
      </w:r>
      <w:r w:rsidR="550A60FE" w:rsidRPr="008612C3">
        <w:rPr>
          <w:noProof/>
          <w:spacing w:val="-8"/>
        </w:rPr>
        <w:t xml:space="preserve">46 out of </w:t>
      </w:r>
      <w:r w:rsidR="003902D3">
        <w:rPr>
          <w:noProof/>
          <w:spacing w:val="-8"/>
        </w:rPr>
        <w:t>72</w:t>
      </w:r>
      <w:r w:rsidR="550A60FE" w:rsidRPr="008612C3">
        <w:rPr>
          <w:noProof/>
          <w:spacing w:val="-8"/>
        </w:rPr>
        <w:t xml:space="preserve">) of stakeholders </w:t>
      </w:r>
      <w:r w:rsidR="20FFFB92" w:rsidRPr="008612C3">
        <w:rPr>
          <w:noProof/>
          <w:spacing w:val="-8"/>
        </w:rPr>
        <w:t xml:space="preserve">surveyed </w:t>
      </w:r>
      <w:r w:rsidR="550A60FE" w:rsidRPr="008612C3">
        <w:rPr>
          <w:noProof/>
          <w:spacing w:val="-8"/>
        </w:rPr>
        <w:t>agreed either ‘fully’ or ‘partially’ with PD3.</w:t>
      </w:r>
      <w:r w:rsidR="05F4C85C" w:rsidRPr="008612C3">
        <w:rPr>
          <w:noProof/>
          <w:spacing w:val="-8"/>
        </w:rPr>
        <w:t xml:space="preserve"> </w:t>
      </w:r>
      <w:r w:rsidR="008C1B39">
        <w:rPr>
          <w:noProof/>
          <w:spacing w:val="-8"/>
        </w:rPr>
        <w:t xml:space="preserve">Specifically, </w:t>
      </w:r>
      <w:r w:rsidR="00E826B5">
        <w:rPr>
          <w:noProof/>
          <w:spacing w:val="-8"/>
        </w:rPr>
        <w:t>68% (</w:t>
      </w:r>
      <w:r w:rsidR="008C1B39">
        <w:rPr>
          <w:noProof/>
          <w:spacing w:val="-8"/>
        </w:rPr>
        <w:t>13 of 19</w:t>
      </w:r>
      <w:r w:rsidR="00E826B5">
        <w:rPr>
          <w:noProof/>
          <w:spacing w:val="-8"/>
        </w:rPr>
        <w:t>)</w:t>
      </w:r>
      <w:r w:rsidR="008C1B39">
        <w:rPr>
          <w:noProof/>
          <w:spacing w:val="-8"/>
        </w:rPr>
        <w:t xml:space="preserve"> MDMS platforms agreed, </w:t>
      </w:r>
      <w:r w:rsidR="00E826B5">
        <w:rPr>
          <w:noProof/>
          <w:spacing w:val="-8"/>
        </w:rPr>
        <w:t>52% (</w:t>
      </w:r>
      <w:r w:rsidR="00C82CF3">
        <w:rPr>
          <w:noProof/>
          <w:spacing w:val="-8"/>
        </w:rPr>
        <w:t>16 of 31</w:t>
      </w:r>
      <w:r w:rsidR="00E826B5">
        <w:rPr>
          <w:noProof/>
          <w:spacing w:val="-8"/>
        </w:rPr>
        <w:t>)</w:t>
      </w:r>
      <w:r w:rsidR="00C82CF3">
        <w:rPr>
          <w:noProof/>
          <w:spacing w:val="-8"/>
        </w:rPr>
        <w:t xml:space="preserve"> transport operators, 9 of 11 national authorities and 8 of 11 ‘Others’.</w:t>
      </w:r>
      <w:r w:rsidR="008C1B39">
        <w:rPr>
          <w:noProof/>
          <w:spacing w:val="-8"/>
        </w:rPr>
        <w:t xml:space="preserve"> </w:t>
      </w:r>
      <w:r w:rsidR="40836D4A" w:rsidRPr="008612C3">
        <w:rPr>
          <w:rFonts w:cs="Arial"/>
          <w:noProof/>
          <w:spacing w:val="-8"/>
        </w:rPr>
        <w:t>In particular, s</w:t>
      </w:r>
      <w:r w:rsidR="00FB3B31" w:rsidRPr="008612C3">
        <w:rPr>
          <w:rFonts w:cs="Arial"/>
          <w:noProof/>
          <w:spacing w:val="-8"/>
        </w:rPr>
        <w:t>ome</w:t>
      </w:r>
      <w:r w:rsidR="40836D4A" w:rsidRPr="008612C3">
        <w:rPr>
          <w:rFonts w:cs="Arial"/>
          <w:noProof/>
          <w:spacing w:val="-8"/>
        </w:rPr>
        <w:t xml:space="preserve"> stakeholders</w:t>
      </w:r>
      <w:r w:rsidR="00FB3B31" w:rsidRPr="008612C3">
        <w:rPr>
          <w:rFonts w:cs="Arial"/>
          <w:noProof/>
          <w:spacing w:val="-8"/>
        </w:rPr>
        <w:t xml:space="preserve">, </w:t>
      </w:r>
      <w:r w:rsidR="00C9758B" w:rsidRPr="008612C3">
        <w:rPr>
          <w:rFonts w:cs="Arial"/>
          <w:noProof/>
          <w:spacing w:val="-8"/>
        </w:rPr>
        <w:t>inclu</w:t>
      </w:r>
      <w:r w:rsidR="00C45864" w:rsidRPr="008612C3">
        <w:rPr>
          <w:rFonts w:cs="Arial"/>
          <w:noProof/>
          <w:spacing w:val="-8"/>
        </w:rPr>
        <w:t>di</w:t>
      </w:r>
      <w:r w:rsidR="00FB3B31" w:rsidRPr="008612C3">
        <w:rPr>
          <w:rFonts w:cs="Arial"/>
          <w:noProof/>
          <w:spacing w:val="-8"/>
        </w:rPr>
        <w:t>ng 3 MDMS</w:t>
      </w:r>
      <w:r w:rsidR="002A38C9">
        <w:rPr>
          <w:rFonts w:cs="Arial"/>
          <w:noProof/>
          <w:spacing w:val="-8"/>
        </w:rPr>
        <w:t>,</w:t>
      </w:r>
      <w:r w:rsidR="40836D4A" w:rsidRPr="008612C3">
        <w:rPr>
          <w:rFonts w:cs="Arial"/>
          <w:noProof/>
          <w:spacing w:val="-8"/>
        </w:rPr>
        <w:t xml:space="preserve"> describe a lack of coordination as a structural issue that impedes seamless integration, mainly independent MDMS providers who believe transport operators retain information</w:t>
      </w:r>
      <w:r w:rsidR="00944551" w:rsidRPr="008612C3">
        <w:rPr>
          <w:rStyle w:val="FootnoteReference"/>
          <w:rFonts w:cs="Arial"/>
          <w:noProof/>
          <w:spacing w:val="-8"/>
        </w:rPr>
        <w:footnoteReference w:id="236"/>
      </w:r>
      <w:r w:rsidR="40836D4A" w:rsidRPr="008612C3">
        <w:rPr>
          <w:rFonts w:cs="Arial"/>
          <w:noProof/>
          <w:spacing w:val="-8"/>
        </w:rPr>
        <w:t xml:space="preserve">. </w:t>
      </w:r>
      <w:r w:rsidR="1FB21681" w:rsidRPr="008612C3">
        <w:rPr>
          <w:rFonts w:cs="Arial"/>
          <w:noProof/>
          <w:spacing w:val="-8"/>
        </w:rPr>
        <w:t xml:space="preserve">The industry consensus among independent MDMS providers appears to be that the real barrier lies </w:t>
      </w:r>
      <w:r w:rsidR="60F7D1EF" w:rsidRPr="008612C3">
        <w:rPr>
          <w:rFonts w:cs="Arial"/>
          <w:noProof/>
          <w:spacing w:val="-8"/>
        </w:rPr>
        <w:t>in</w:t>
      </w:r>
      <w:r w:rsidR="1FB21681" w:rsidRPr="008612C3">
        <w:rPr>
          <w:rFonts w:cs="Arial"/>
          <w:noProof/>
          <w:spacing w:val="-8"/>
        </w:rPr>
        <w:t xml:space="preserve"> the </w:t>
      </w:r>
      <w:r w:rsidR="60F7D1EF" w:rsidRPr="008612C3">
        <w:rPr>
          <w:rFonts w:cs="Arial"/>
          <w:noProof/>
          <w:spacing w:val="-8"/>
        </w:rPr>
        <w:t>unfavo</w:t>
      </w:r>
      <w:r w:rsidR="00607C8D" w:rsidRPr="008612C3">
        <w:rPr>
          <w:rFonts w:cs="Arial"/>
          <w:noProof/>
          <w:spacing w:val="-8"/>
        </w:rPr>
        <w:t>u</w:t>
      </w:r>
      <w:r w:rsidR="60F7D1EF" w:rsidRPr="008612C3">
        <w:rPr>
          <w:rFonts w:cs="Arial"/>
          <w:noProof/>
          <w:spacing w:val="-8"/>
        </w:rPr>
        <w:t>rable</w:t>
      </w:r>
      <w:r w:rsidR="1FB21681" w:rsidRPr="008612C3">
        <w:rPr>
          <w:rFonts w:cs="Arial"/>
          <w:noProof/>
          <w:spacing w:val="-8"/>
        </w:rPr>
        <w:t xml:space="preserve"> contractual terms set by incumbent operators</w:t>
      </w:r>
      <w:r w:rsidR="007C6DFA" w:rsidRPr="008612C3">
        <w:rPr>
          <w:rStyle w:val="FootnoteReference"/>
          <w:rFonts w:cs="Arial"/>
          <w:noProof/>
          <w:spacing w:val="-8"/>
        </w:rPr>
        <w:footnoteReference w:id="237"/>
      </w:r>
      <w:r w:rsidR="00B668AF" w:rsidRPr="008612C3">
        <w:rPr>
          <w:rFonts w:cs="Arial"/>
          <w:noProof/>
          <w:spacing w:val="-8"/>
        </w:rPr>
        <w:t xml:space="preserve">. </w:t>
      </w:r>
      <w:r w:rsidR="00140C9E">
        <w:rPr>
          <w:rFonts w:cs="Arial"/>
          <w:noProof/>
          <w:spacing w:val="-8"/>
        </w:rPr>
        <w:t xml:space="preserve">In rail, </w:t>
      </w:r>
      <w:r w:rsidR="00140C9E" w:rsidRPr="008612C3">
        <w:rPr>
          <w:rFonts w:cs="Arial"/>
          <w:noProof/>
          <w:spacing w:val="-8"/>
        </w:rPr>
        <w:t>one consumer organization highlighted that Trainline users were able to purchase DB tickets but could not apply DB discount cards—an exclusion attributed to DB’s own commercial strategy rather than technical limitations</w:t>
      </w:r>
    </w:p>
    <w:p w14:paraId="40D259F4" w14:textId="564D4ECB" w:rsidR="0081749A" w:rsidRDefault="002D7C08" w:rsidP="008612C3">
      <w:pPr>
        <w:pStyle w:val="BodyText"/>
        <w:spacing w:after="240"/>
        <w:ind w:left="0" w:right="-26"/>
        <w:rPr>
          <w:rFonts w:cs="Arial"/>
          <w:noProof/>
        </w:rPr>
      </w:pPr>
      <w:r>
        <w:rPr>
          <w:noProof/>
        </w:rPr>
        <w:t>In</w:t>
      </w:r>
      <w:r w:rsidRPr="008612C3">
        <w:rPr>
          <w:noProof/>
          <w:spacing w:val="-8"/>
        </w:rPr>
        <w:t xml:space="preserve"> addition</w:t>
      </w:r>
      <w:r w:rsidR="13588611" w:rsidRPr="008612C3">
        <w:rPr>
          <w:noProof/>
          <w:spacing w:val="-8"/>
        </w:rPr>
        <w:t>,</w:t>
      </w:r>
      <w:r w:rsidR="63EAAEAD" w:rsidRPr="008612C3">
        <w:rPr>
          <w:noProof/>
          <w:spacing w:val="-8"/>
        </w:rPr>
        <w:t xml:space="preserve"> 50</w:t>
      </w:r>
      <w:r w:rsidR="3DE1696F" w:rsidRPr="008612C3">
        <w:rPr>
          <w:noProof/>
          <w:spacing w:val="-8"/>
        </w:rPr>
        <w:t xml:space="preserve">% </w:t>
      </w:r>
      <w:r w:rsidR="6E6587B2" w:rsidRPr="008612C3">
        <w:rPr>
          <w:noProof/>
          <w:spacing w:val="-8"/>
        </w:rPr>
        <w:t>(3</w:t>
      </w:r>
      <w:r w:rsidR="791BA3CE" w:rsidRPr="008612C3">
        <w:rPr>
          <w:noProof/>
          <w:spacing w:val="-8"/>
        </w:rPr>
        <w:t>6</w:t>
      </w:r>
      <w:r w:rsidR="6E6587B2" w:rsidRPr="008612C3">
        <w:rPr>
          <w:noProof/>
          <w:spacing w:val="-8"/>
        </w:rPr>
        <w:t xml:space="preserve"> out of 7</w:t>
      </w:r>
      <w:r w:rsidR="2E8B8CB0" w:rsidRPr="008612C3">
        <w:rPr>
          <w:noProof/>
          <w:spacing w:val="-8"/>
        </w:rPr>
        <w:t>2</w:t>
      </w:r>
      <w:r w:rsidR="6E6587B2" w:rsidRPr="008612C3">
        <w:rPr>
          <w:noProof/>
          <w:spacing w:val="-8"/>
        </w:rPr>
        <w:t xml:space="preserve">) </w:t>
      </w:r>
      <w:r w:rsidR="3DE1696F" w:rsidRPr="008612C3">
        <w:rPr>
          <w:noProof/>
          <w:spacing w:val="-8"/>
        </w:rPr>
        <w:t xml:space="preserve">of stakeholders </w:t>
      </w:r>
      <w:r w:rsidR="6116968F" w:rsidRPr="008612C3">
        <w:rPr>
          <w:noProof/>
          <w:spacing w:val="-8"/>
        </w:rPr>
        <w:t xml:space="preserve">surveyed </w:t>
      </w:r>
      <w:r w:rsidR="3DE1696F" w:rsidRPr="008612C3">
        <w:rPr>
          <w:noProof/>
          <w:spacing w:val="-8"/>
        </w:rPr>
        <w:t>agree</w:t>
      </w:r>
      <w:r w:rsidR="382A827B" w:rsidRPr="008612C3">
        <w:rPr>
          <w:noProof/>
          <w:spacing w:val="-8"/>
        </w:rPr>
        <w:t xml:space="preserve"> that </w:t>
      </w:r>
      <w:r w:rsidR="0CFF66A2" w:rsidRPr="008612C3">
        <w:rPr>
          <w:noProof/>
          <w:spacing w:val="-8"/>
        </w:rPr>
        <w:t>the</w:t>
      </w:r>
      <w:r w:rsidR="382A827B" w:rsidRPr="008612C3">
        <w:rPr>
          <w:i/>
          <w:noProof/>
          <w:spacing w:val="-8"/>
        </w:rPr>
        <w:t xml:space="preserve"> imbalanced commercial relationship between MDMS platforms and </w:t>
      </w:r>
      <w:r w:rsidR="0CFF66A2" w:rsidRPr="008612C3">
        <w:rPr>
          <w:i/>
          <w:noProof/>
          <w:spacing w:val="-8"/>
        </w:rPr>
        <w:t xml:space="preserve">transport operators </w:t>
      </w:r>
      <w:r w:rsidR="0CFF66A2" w:rsidRPr="008612C3">
        <w:rPr>
          <w:b/>
          <w:noProof/>
          <w:spacing w:val="-8"/>
        </w:rPr>
        <w:t>(</w:t>
      </w:r>
      <w:r w:rsidR="00B7402A" w:rsidRPr="008612C3">
        <w:rPr>
          <w:b/>
          <w:noProof/>
          <w:spacing w:val="-8"/>
        </w:rPr>
        <w:t>PD</w:t>
      </w:r>
      <w:r w:rsidR="00B7402A">
        <w:rPr>
          <w:b/>
          <w:noProof/>
          <w:spacing w:val="-8"/>
        </w:rPr>
        <w:t>3</w:t>
      </w:r>
      <w:r w:rsidR="0CFF66A2" w:rsidRPr="008612C3">
        <w:rPr>
          <w:i/>
          <w:noProof/>
          <w:spacing w:val="-8"/>
        </w:rPr>
        <w:t xml:space="preserve">) </w:t>
      </w:r>
      <w:r w:rsidR="0CFF66A2" w:rsidRPr="005D2D60">
        <w:rPr>
          <w:noProof/>
        </w:rPr>
        <w:t xml:space="preserve">leads to </w:t>
      </w:r>
      <w:r w:rsidRPr="005D2D60">
        <w:rPr>
          <w:i/>
          <w:noProof/>
          <w:spacing w:val="-8"/>
        </w:rPr>
        <w:t>uneven access of operators to indispensable MDMS platforms</w:t>
      </w:r>
      <w:r w:rsidR="0CFF66A2" w:rsidRPr="008612C3">
        <w:rPr>
          <w:noProof/>
          <w:spacing w:val="-8"/>
        </w:rPr>
        <w:t xml:space="preserve">. </w:t>
      </w:r>
      <w:r w:rsidR="00BC0273" w:rsidRPr="008612C3">
        <w:rPr>
          <w:noProof/>
          <w:spacing w:val="-8"/>
        </w:rPr>
        <w:t xml:space="preserve">Views </w:t>
      </w:r>
      <w:r w:rsidR="00875493" w:rsidRPr="008612C3">
        <w:rPr>
          <w:noProof/>
          <w:spacing w:val="-8"/>
        </w:rPr>
        <w:t>expressed in the survey</w:t>
      </w:r>
      <w:r w:rsidR="00BC0273" w:rsidRPr="008612C3">
        <w:rPr>
          <w:noProof/>
          <w:spacing w:val="-8"/>
        </w:rPr>
        <w:t xml:space="preserve"> are divided by</w:t>
      </w:r>
      <w:r w:rsidR="62AD0585" w:rsidRPr="008612C3">
        <w:rPr>
          <w:noProof/>
          <w:spacing w:val="-8"/>
        </w:rPr>
        <w:t xml:space="preserve"> stakeholder groups, </w:t>
      </w:r>
      <w:r w:rsidR="2FBDCD3E" w:rsidRPr="008612C3">
        <w:rPr>
          <w:noProof/>
          <w:spacing w:val="-8"/>
        </w:rPr>
        <w:t xml:space="preserve">as </w:t>
      </w:r>
      <w:r w:rsidR="62AD0585" w:rsidRPr="008612C3">
        <w:rPr>
          <w:noProof/>
          <w:spacing w:val="-8"/>
        </w:rPr>
        <w:t xml:space="preserve">60% </w:t>
      </w:r>
      <w:r w:rsidR="79332C30" w:rsidRPr="008612C3">
        <w:rPr>
          <w:noProof/>
          <w:spacing w:val="-8"/>
        </w:rPr>
        <w:t xml:space="preserve">(12 out of 20) </w:t>
      </w:r>
      <w:r w:rsidR="62AD0585" w:rsidRPr="008612C3">
        <w:rPr>
          <w:noProof/>
          <w:spacing w:val="-8"/>
        </w:rPr>
        <w:t>of MDMS platforms</w:t>
      </w:r>
      <w:r w:rsidR="1C078DD0" w:rsidRPr="008612C3">
        <w:rPr>
          <w:noProof/>
          <w:spacing w:val="-8"/>
        </w:rPr>
        <w:t xml:space="preserve"> surveyed</w:t>
      </w:r>
      <w:r w:rsidR="62AD0585" w:rsidRPr="008612C3">
        <w:rPr>
          <w:noProof/>
          <w:spacing w:val="-8"/>
        </w:rPr>
        <w:t xml:space="preserve"> </w:t>
      </w:r>
      <w:r w:rsidR="6CB2A9B4" w:rsidRPr="008612C3">
        <w:rPr>
          <w:noProof/>
          <w:spacing w:val="-8"/>
        </w:rPr>
        <w:t xml:space="preserve">‘fully’ disagree with PD3 while </w:t>
      </w:r>
      <w:r w:rsidR="4413E2B9" w:rsidRPr="008612C3">
        <w:rPr>
          <w:noProof/>
          <w:spacing w:val="-8"/>
        </w:rPr>
        <w:t xml:space="preserve">56% </w:t>
      </w:r>
      <w:r w:rsidR="79332C30" w:rsidRPr="008612C3">
        <w:rPr>
          <w:noProof/>
          <w:spacing w:val="-8"/>
        </w:rPr>
        <w:t xml:space="preserve">(17 out of 30) </w:t>
      </w:r>
      <w:r w:rsidR="4413E2B9" w:rsidRPr="008612C3">
        <w:rPr>
          <w:noProof/>
          <w:spacing w:val="-8"/>
        </w:rPr>
        <w:t xml:space="preserve">of transport operators </w:t>
      </w:r>
      <w:r w:rsidR="1A385C2F" w:rsidRPr="008612C3">
        <w:rPr>
          <w:noProof/>
          <w:spacing w:val="-8"/>
        </w:rPr>
        <w:t xml:space="preserve">surveyed </w:t>
      </w:r>
      <w:r w:rsidR="4413E2B9" w:rsidRPr="008612C3">
        <w:rPr>
          <w:noProof/>
          <w:spacing w:val="-8"/>
        </w:rPr>
        <w:t xml:space="preserve">either ‘fully’ or ‘partially’ agreed with </w:t>
      </w:r>
      <w:r w:rsidR="2FBDCD3E" w:rsidRPr="008612C3">
        <w:rPr>
          <w:noProof/>
          <w:spacing w:val="-8"/>
        </w:rPr>
        <w:t xml:space="preserve">that statement. </w:t>
      </w:r>
      <w:r w:rsidR="00E979DC" w:rsidRPr="008612C3">
        <w:rPr>
          <w:noProof/>
          <w:spacing w:val="-8"/>
        </w:rPr>
        <w:t>A</w:t>
      </w:r>
      <w:r w:rsidR="7574E4CC" w:rsidRPr="008612C3">
        <w:rPr>
          <w:noProof/>
          <w:spacing w:val="-8"/>
        </w:rPr>
        <w:t xml:space="preserve"> large majority </w:t>
      </w:r>
      <w:r w:rsidR="00782D3E">
        <w:rPr>
          <w:noProof/>
          <w:spacing w:val="-8"/>
        </w:rPr>
        <w:t>(9 out of 12)</w:t>
      </w:r>
      <w:r w:rsidR="7574E4CC" w:rsidRPr="008612C3">
        <w:rPr>
          <w:noProof/>
          <w:spacing w:val="-8"/>
        </w:rPr>
        <w:t xml:space="preserve"> of national authorities </w:t>
      </w:r>
      <w:r w:rsidR="3E98C146" w:rsidRPr="008612C3">
        <w:rPr>
          <w:noProof/>
          <w:spacing w:val="-8"/>
        </w:rPr>
        <w:t>express</w:t>
      </w:r>
      <w:r w:rsidR="00E979DC" w:rsidRPr="008612C3">
        <w:rPr>
          <w:noProof/>
          <w:spacing w:val="-8"/>
        </w:rPr>
        <w:t>ed</w:t>
      </w:r>
      <w:r w:rsidR="3E98C146" w:rsidRPr="008612C3">
        <w:rPr>
          <w:noProof/>
          <w:spacing w:val="-8"/>
        </w:rPr>
        <w:t xml:space="preserve"> a view </w:t>
      </w:r>
      <w:r w:rsidR="7574E4CC" w:rsidRPr="008612C3">
        <w:rPr>
          <w:noProof/>
          <w:spacing w:val="-8"/>
        </w:rPr>
        <w:t xml:space="preserve">agreeing with </w:t>
      </w:r>
      <w:r w:rsidR="00B7402A" w:rsidRPr="008612C3">
        <w:rPr>
          <w:noProof/>
          <w:spacing w:val="-8"/>
        </w:rPr>
        <w:t>PD</w:t>
      </w:r>
      <w:r w:rsidR="00B7402A">
        <w:rPr>
          <w:noProof/>
          <w:spacing w:val="-8"/>
        </w:rPr>
        <w:t>3</w:t>
      </w:r>
      <w:r w:rsidR="20982810" w:rsidRPr="008612C3">
        <w:rPr>
          <w:noProof/>
          <w:spacing w:val="-8"/>
        </w:rPr>
        <w:t xml:space="preserve">. </w:t>
      </w:r>
      <w:r w:rsidR="00957368">
        <w:rPr>
          <w:noProof/>
        </w:rPr>
        <w:t>In particular, airlines</w:t>
      </w:r>
      <w:r w:rsidR="00957368" w:rsidRPr="008612C3">
        <w:rPr>
          <w:rStyle w:val="FootnoteReference"/>
          <w:noProof/>
          <w:spacing w:val="-8"/>
        </w:rPr>
        <w:footnoteReference w:id="238"/>
      </w:r>
      <w:r w:rsidR="00957368" w:rsidRPr="008612C3">
        <w:rPr>
          <w:noProof/>
          <w:spacing w:val="-8"/>
        </w:rPr>
        <w:t xml:space="preserve">￼. </w:t>
      </w:r>
      <w:r w:rsidR="757ECD67" w:rsidRPr="008612C3">
        <w:rPr>
          <w:noProof/>
          <w:spacing w:val="-8"/>
        </w:rPr>
        <w:t xml:space="preserve">Those MDMS </w:t>
      </w:r>
      <w:r w:rsidR="431152B2" w:rsidRPr="008612C3">
        <w:rPr>
          <w:noProof/>
          <w:spacing w:val="-8"/>
        </w:rPr>
        <w:t xml:space="preserve">surveyed </w:t>
      </w:r>
      <w:r w:rsidR="757ECD67" w:rsidRPr="008612C3">
        <w:rPr>
          <w:noProof/>
          <w:spacing w:val="-8"/>
        </w:rPr>
        <w:t xml:space="preserve">that agreed were mostly independent MDMS selling rail or coach tickets. </w:t>
      </w:r>
      <w:r w:rsidR="757ECD67" w:rsidRPr="14F1E751">
        <w:rPr>
          <w:noProof/>
          <w:spacing w:val="-8"/>
        </w:rPr>
        <w:t xml:space="preserve">They </w:t>
      </w:r>
      <w:r w:rsidR="757ECD67" w:rsidRPr="14F1E751">
        <w:rPr>
          <w:rFonts w:cs="Arial"/>
          <w:noProof/>
          <w:spacing w:val="-8"/>
        </w:rPr>
        <w:t>highlighted that the</w:t>
      </w:r>
      <w:r w:rsidR="00453FC6" w:rsidRPr="008612C3">
        <w:rPr>
          <w:rStyle w:val="FootnoteReference"/>
          <w:noProof/>
          <w:spacing w:val="-8"/>
        </w:rPr>
        <w:footnoteReference w:id="239"/>
      </w:r>
      <w:r w:rsidR="00453FC6" w:rsidRPr="008612C3">
        <w:rPr>
          <w:noProof/>
          <w:spacing w:val="-8"/>
        </w:rPr>
        <w:t>￼</w:t>
      </w:r>
      <w:r w:rsidR="757ECD67">
        <w:rPr>
          <w:noProof/>
        </w:rPr>
        <w:t>.</w:t>
      </w:r>
    </w:p>
    <w:p w14:paraId="17EAE65E" w14:textId="6ED4A94B" w:rsidR="00166C9F" w:rsidRPr="009F6A24" w:rsidRDefault="00166C9F" w:rsidP="003C5D25">
      <w:pPr>
        <w:pStyle w:val="BodyText"/>
        <w:spacing w:after="240"/>
        <w:ind w:left="0" w:right="-26"/>
        <w:rPr>
          <w:b/>
          <w:i/>
          <w:noProof/>
        </w:rPr>
      </w:pPr>
      <w:r w:rsidRPr="00D71008">
        <w:rPr>
          <w:b/>
          <w:bCs/>
          <w:noProof/>
        </w:rPr>
        <w:t xml:space="preserve">Problem </w:t>
      </w:r>
      <w:r>
        <w:rPr>
          <w:b/>
          <w:bCs/>
          <w:noProof/>
        </w:rPr>
        <w:t>2</w:t>
      </w:r>
      <w:r w:rsidRPr="00D71008">
        <w:rPr>
          <w:b/>
          <w:bCs/>
          <w:noProof/>
        </w:rPr>
        <w:t xml:space="preserve">: </w:t>
      </w:r>
      <w:r w:rsidR="009D2A4F">
        <w:rPr>
          <w:b/>
          <w:bCs/>
          <w:i/>
          <w:iCs/>
          <w:noProof/>
        </w:rPr>
        <w:t>Incomplete offer of rail tickets on (rail</w:t>
      </w:r>
      <w:r w:rsidR="00654CA5">
        <w:rPr>
          <w:b/>
          <w:bCs/>
          <w:i/>
          <w:iCs/>
          <w:noProof/>
        </w:rPr>
        <w:t>)</w:t>
      </w:r>
      <w:r w:rsidR="009D2A4F">
        <w:rPr>
          <w:b/>
          <w:bCs/>
          <w:i/>
          <w:iCs/>
          <w:noProof/>
        </w:rPr>
        <w:t xml:space="preserve"> platforms</w:t>
      </w:r>
    </w:p>
    <w:p w14:paraId="462E8D5F" w14:textId="5D063494" w:rsidR="00F820ED" w:rsidRPr="009521DC" w:rsidRDefault="00F820ED" w:rsidP="003C5D25">
      <w:pPr>
        <w:pStyle w:val="BodyText"/>
        <w:spacing w:after="240"/>
        <w:ind w:left="0" w:right="-26"/>
        <w:rPr>
          <w:noProof/>
          <w:spacing w:val="-8"/>
        </w:rPr>
      </w:pPr>
      <w:r w:rsidRPr="00593DFB">
        <w:rPr>
          <w:noProof/>
          <w:spacing w:val="-8"/>
        </w:rPr>
        <w:t>Problem</w:t>
      </w:r>
      <w:r>
        <w:rPr>
          <w:noProof/>
          <w:spacing w:val="-8"/>
        </w:rPr>
        <w:t xml:space="preserve"> 2</w:t>
      </w:r>
      <w:r w:rsidRPr="00593DFB">
        <w:rPr>
          <w:noProof/>
          <w:spacing w:val="-8"/>
        </w:rPr>
        <w:t xml:space="preserve"> now reflects the responses of stakeholders who originally answered to the following problem</w:t>
      </w:r>
      <w:r>
        <w:rPr>
          <w:noProof/>
          <w:spacing w:val="-8"/>
        </w:rPr>
        <w:t xml:space="preserve">: </w:t>
      </w:r>
      <w:r w:rsidRPr="009521DC">
        <w:rPr>
          <w:i/>
          <w:noProof/>
          <w:spacing w:val="-8"/>
        </w:rPr>
        <w:t>Limited and distorted information and access to tickets for consumers on MDMS, in particular for rail</w:t>
      </w:r>
    </w:p>
    <w:p w14:paraId="1BF577DC" w14:textId="6F6FA37F" w:rsidR="004D34B6" w:rsidRPr="003C5D25" w:rsidRDefault="00166C9F" w:rsidP="003C5D25">
      <w:pPr>
        <w:pStyle w:val="BodyText"/>
        <w:spacing w:after="240"/>
        <w:ind w:left="0" w:right="-26"/>
        <w:rPr>
          <w:noProof/>
          <w:spacing w:val="-8"/>
        </w:rPr>
      </w:pPr>
      <w:r w:rsidRPr="003C5D25">
        <w:rPr>
          <w:noProof/>
          <w:spacing w:val="-8"/>
        </w:rPr>
        <w:t xml:space="preserve">In the survey, stakeholders were asked to express their level of agreement with the identification of problem 2(PB2) and the problem drivers leading to this problem. Stakeholders were also asked to identify specific cases in which they encountered PB2. </w:t>
      </w:r>
      <w:r w:rsidR="00CC3262" w:rsidRPr="005D2D60">
        <w:rPr>
          <w:noProof/>
          <w:spacing w:val="-8"/>
        </w:rPr>
        <w:t>It must be highlighted that in the survey the problem was not limited to the  rail sector and was looking a</w:t>
      </w:r>
      <w:r w:rsidR="002578F4" w:rsidRPr="005D2D60">
        <w:rPr>
          <w:noProof/>
          <w:spacing w:val="-8"/>
        </w:rPr>
        <w:t>t</w:t>
      </w:r>
      <w:r w:rsidR="00CC3262" w:rsidRPr="005D2D60">
        <w:rPr>
          <w:noProof/>
          <w:spacing w:val="-8"/>
        </w:rPr>
        <w:t xml:space="preserve"> </w:t>
      </w:r>
      <w:r w:rsidR="00D31EF8" w:rsidRPr="005D2D60">
        <w:rPr>
          <w:noProof/>
          <w:spacing w:val="-8"/>
        </w:rPr>
        <w:t>limited access to tickets for consumers</w:t>
      </w:r>
      <w:r w:rsidR="00CC3262" w:rsidRPr="005D2D60">
        <w:rPr>
          <w:noProof/>
          <w:spacing w:val="-8"/>
        </w:rPr>
        <w:t xml:space="preserve">. </w:t>
      </w:r>
    </w:p>
    <w:p w14:paraId="3E847DAC" w14:textId="4D7BE781" w:rsidR="00166C9F" w:rsidRPr="003C5D25" w:rsidRDefault="00166C9F" w:rsidP="003C5D25">
      <w:pPr>
        <w:pStyle w:val="BodyText"/>
        <w:spacing w:after="240"/>
        <w:ind w:left="0" w:right="-26"/>
        <w:rPr>
          <w:noProof/>
          <w:spacing w:val="-8"/>
        </w:rPr>
      </w:pPr>
      <w:r w:rsidRPr="003C5D25">
        <w:rPr>
          <w:noProof/>
          <w:spacing w:val="-8"/>
        </w:rPr>
        <w:t xml:space="preserve">There was a distinct split in views, with the majority of transport operators surveyed disagreeing with </w:t>
      </w:r>
      <w:r w:rsidRPr="003C5D25">
        <w:rPr>
          <w:b/>
          <w:noProof/>
          <w:spacing w:val="-8"/>
        </w:rPr>
        <w:t>PB2</w:t>
      </w:r>
      <w:r w:rsidRPr="003C5D25">
        <w:rPr>
          <w:noProof/>
          <w:spacing w:val="-8"/>
        </w:rPr>
        <w:t xml:space="preserve">, whereas there was broad support from the other stakeholder groups, who participated in the survey. Among transport operators, only 6 agreed with PB2 (two fully while four partially), whereas 19 disagreed (14 fully and 5 partially). However, it must be highlighted that all new entrant </w:t>
      </w:r>
      <w:r w:rsidR="001358ED" w:rsidRPr="003C5D25">
        <w:rPr>
          <w:noProof/>
          <w:spacing w:val="-8"/>
        </w:rPr>
        <w:t>RU</w:t>
      </w:r>
      <w:r w:rsidRPr="003C5D25">
        <w:rPr>
          <w:noProof/>
          <w:spacing w:val="-8"/>
        </w:rPr>
        <w:t xml:space="preserve">s surveyed agreed with PB2 (3 out of 3). All 20 MDMS providers surveyed agreed with PB2 (11 fully, 9 partially), as did all 11 ‘Other’ stakeholders (six fully, five partially) taking part in the survey. There were a few dissenting voices among national authorities, although 10 agreed (four fully, six partially), whereas two disagreed (one fully, one partially). </w:t>
      </w:r>
    </w:p>
    <w:p w14:paraId="7BD602BA" w14:textId="3A13AA95" w:rsidR="00166C9F" w:rsidRPr="003C5D25" w:rsidRDefault="00166C9F" w:rsidP="003C5D25">
      <w:pPr>
        <w:pStyle w:val="BodyText"/>
        <w:spacing w:after="240"/>
        <w:ind w:left="0" w:right="-26"/>
        <w:rPr>
          <w:noProof/>
          <w:spacing w:val="-8"/>
        </w:rPr>
      </w:pPr>
      <w:r w:rsidRPr="003C5D25">
        <w:rPr>
          <w:noProof/>
          <w:spacing w:val="-8"/>
        </w:rPr>
        <w:t xml:space="preserve">In particular, </w:t>
      </w:r>
      <w:r w:rsidR="000D5E75" w:rsidRPr="003C5D25">
        <w:rPr>
          <w:noProof/>
          <w:spacing w:val="-8"/>
        </w:rPr>
        <w:t>14 out of 19</w:t>
      </w:r>
      <w:r w:rsidRPr="003C5D25">
        <w:rPr>
          <w:noProof/>
          <w:spacing w:val="-8"/>
        </w:rPr>
        <w:t xml:space="preserve"> air </w:t>
      </w:r>
      <w:r w:rsidR="000D5E75" w:rsidRPr="003C5D25">
        <w:rPr>
          <w:noProof/>
          <w:spacing w:val="-8"/>
        </w:rPr>
        <w:t>carriers</w:t>
      </w:r>
      <w:r w:rsidRPr="003C5D25">
        <w:rPr>
          <w:noProof/>
          <w:spacing w:val="-8"/>
        </w:rPr>
        <w:t xml:space="preserve"> surveyed</w:t>
      </w:r>
      <w:r w:rsidRPr="003C5D25" w:rsidDel="00533773">
        <w:rPr>
          <w:noProof/>
          <w:spacing w:val="-8"/>
        </w:rPr>
        <w:t xml:space="preserve"> </w:t>
      </w:r>
      <w:r w:rsidR="00533773">
        <w:rPr>
          <w:noProof/>
          <w:spacing w:val="-8"/>
        </w:rPr>
        <w:t>underlined</w:t>
      </w:r>
      <w:r w:rsidRPr="003C5D25">
        <w:rPr>
          <w:noProof/>
          <w:spacing w:val="-8"/>
        </w:rPr>
        <w:t xml:space="preserve"> that PB2 does not apply to the air sector, where they believe the market is highly transparent and competitive</w:t>
      </w:r>
      <w:r w:rsidR="000D5E75" w:rsidRPr="003C5D25">
        <w:rPr>
          <w:noProof/>
          <w:spacing w:val="-8"/>
        </w:rPr>
        <w:t xml:space="preserve"> and</w:t>
      </w:r>
      <w:r w:rsidR="000D5E75" w:rsidRPr="003C5D25">
        <w:rPr>
          <w:rFonts w:cs="Arial"/>
          <w:noProof/>
          <w:spacing w:val="-8"/>
        </w:rPr>
        <w:t xml:space="preserve"> that transport operators should retain the commercial freedom to decide who can sell their tickets and which offers to display on their own ticketing platforms.</w:t>
      </w:r>
      <w:r w:rsidRPr="003C5D25">
        <w:rPr>
          <w:noProof/>
          <w:spacing w:val="-8"/>
        </w:rPr>
        <w:t xml:space="preserve"> Consumers associations BEUC, T&amp;E and Polis indicated that problem 2 is not relevant for the air travel sector, as airlines already operate in a transparent and competitive market with multiple channels including OTAs, and MSE, highlighting dynamic pricing and the wide availability of ticket options ensure sufficient access for consumers. MDMS platforms surveyed on the other hand considered that PB2 was both prevalent in the rail and air sector alike. </w:t>
      </w:r>
      <w:r w:rsidR="00D26AE0" w:rsidRPr="003C5D25">
        <w:rPr>
          <w:noProof/>
          <w:spacing w:val="-8"/>
        </w:rPr>
        <w:t>Eight of</w:t>
      </w:r>
      <w:r w:rsidR="009D058D" w:rsidRPr="003C5D25">
        <w:rPr>
          <w:noProof/>
          <w:spacing w:val="-8"/>
        </w:rPr>
        <w:t xml:space="preserve"> 13</w:t>
      </w:r>
      <w:r w:rsidRPr="003C5D25">
        <w:rPr>
          <w:noProof/>
          <w:spacing w:val="-8"/>
        </w:rPr>
        <w:t xml:space="preserve"> national and regional authorities participating in the survey confirmed that, </w:t>
      </w:r>
      <w:r w:rsidR="009D058D" w:rsidRPr="003C5D25">
        <w:rPr>
          <w:noProof/>
          <w:spacing w:val="-8"/>
        </w:rPr>
        <w:t>problem 2 reflect</w:t>
      </w:r>
      <w:r w:rsidR="00CB190B" w:rsidRPr="003C5D25">
        <w:rPr>
          <w:noProof/>
          <w:spacing w:val="-8"/>
        </w:rPr>
        <w:t>s some real challenges in the current MDMS landscape</w:t>
      </w:r>
      <w:r w:rsidRPr="003C5D25">
        <w:rPr>
          <w:noProof/>
          <w:spacing w:val="-8"/>
        </w:rPr>
        <w:t xml:space="preserve">. However, two highlighted that, in their respective country, they did not identify such problem. </w:t>
      </w:r>
    </w:p>
    <w:p w14:paraId="7C7BF61B" w14:textId="1FB09DBC" w:rsidR="00B0768C" w:rsidRDefault="000F2034" w:rsidP="003C5D25">
      <w:pPr>
        <w:pStyle w:val="BodyText"/>
        <w:spacing w:after="240"/>
        <w:ind w:left="0" w:right="-26"/>
        <w:rPr>
          <w:noProof/>
          <w:spacing w:val="-8"/>
        </w:rPr>
      </w:pPr>
      <w:r w:rsidRPr="003C5D25">
        <w:rPr>
          <w:noProof/>
          <w:spacing w:val="-8"/>
        </w:rPr>
        <w:t xml:space="preserve">When asked about the problem drivers leading to </w:t>
      </w:r>
      <w:r w:rsidR="002A38C9">
        <w:rPr>
          <w:i/>
          <w:iCs/>
          <w:noProof/>
          <w:spacing w:val="-8"/>
        </w:rPr>
        <w:t>l</w:t>
      </w:r>
      <w:r w:rsidR="002A38C9" w:rsidRPr="009521DC">
        <w:rPr>
          <w:i/>
          <w:iCs/>
          <w:noProof/>
          <w:spacing w:val="-8"/>
        </w:rPr>
        <w:t>imited and distorted information and access to tickets for consumers on MDMS, in particular for rail</w:t>
      </w:r>
      <w:r w:rsidRPr="003C5D25">
        <w:rPr>
          <w:noProof/>
          <w:spacing w:val="-8"/>
        </w:rPr>
        <w:t xml:space="preserve">, the majority of stakeholder groups surveyed, except for transport operators, agreed either ‘fully’ or ‘partially’ that there is a </w:t>
      </w:r>
      <w:r w:rsidRPr="003D1BA4">
        <w:rPr>
          <w:i/>
          <w:noProof/>
          <w:spacing w:val="-8"/>
        </w:rPr>
        <w:t>limited</w:t>
      </w:r>
      <w:r w:rsidRPr="003D1BA4">
        <w:rPr>
          <w:b/>
          <w:i/>
          <w:noProof/>
          <w:spacing w:val="-8"/>
        </w:rPr>
        <w:t xml:space="preserve"> </w:t>
      </w:r>
      <w:r w:rsidRPr="003D1BA4">
        <w:rPr>
          <w:i/>
          <w:noProof/>
          <w:spacing w:val="-8"/>
        </w:rPr>
        <w:t xml:space="preserve">willingness of indispensable </w:t>
      </w:r>
      <w:r w:rsidR="001358ED" w:rsidRPr="003D1BA4">
        <w:rPr>
          <w:i/>
          <w:noProof/>
          <w:spacing w:val="-8"/>
        </w:rPr>
        <w:t>RU</w:t>
      </w:r>
      <w:r w:rsidRPr="003D1BA4">
        <w:rPr>
          <w:i/>
          <w:noProof/>
          <w:spacing w:val="-8"/>
        </w:rPr>
        <w:t xml:space="preserve">s to provide: (i) their full offer on fair terms to MDMS platforms; (ii) their competitors’ offer on their platforms </w:t>
      </w:r>
      <w:r w:rsidR="009B2A42" w:rsidRPr="003D1BA4">
        <w:rPr>
          <w:i/>
          <w:noProof/>
          <w:spacing w:val="-8"/>
        </w:rPr>
        <w:t>due to vertical integration</w:t>
      </w:r>
      <w:r w:rsidRPr="003C5D25">
        <w:rPr>
          <w:noProof/>
          <w:spacing w:val="-8"/>
        </w:rPr>
        <w:t xml:space="preserve"> (</w:t>
      </w:r>
      <w:r w:rsidR="00BB3A98" w:rsidRPr="003C5D25">
        <w:rPr>
          <w:b/>
          <w:noProof/>
          <w:spacing w:val="-8"/>
        </w:rPr>
        <w:t>PD</w:t>
      </w:r>
      <w:r w:rsidR="00BB3A98">
        <w:rPr>
          <w:b/>
          <w:noProof/>
          <w:spacing w:val="-8"/>
        </w:rPr>
        <w:t>4</w:t>
      </w:r>
      <w:r w:rsidRPr="003C5D25">
        <w:rPr>
          <w:noProof/>
          <w:spacing w:val="-8"/>
        </w:rPr>
        <w:t xml:space="preserve">) that lead to </w:t>
      </w:r>
      <w:r w:rsidR="002A38C9">
        <w:rPr>
          <w:noProof/>
          <w:spacing w:val="-8"/>
        </w:rPr>
        <w:t>this problem</w:t>
      </w:r>
      <w:r w:rsidRPr="003C5D25">
        <w:rPr>
          <w:noProof/>
          <w:spacing w:val="-8"/>
        </w:rPr>
        <w:t xml:space="preserve">. </w:t>
      </w:r>
    </w:p>
    <w:p w14:paraId="200374F4" w14:textId="3684F4FF" w:rsidR="00702794" w:rsidRPr="003C5D25" w:rsidRDefault="000F2034" w:rsidP="003C5D25">
      <w:pPr>
        <w:pStyle w:val="BodyText"/>
        <w:spacing w:after="240"/>
        <w:ind w:left="0" w:right="-26"/>
        <w:rPr>
          <w:noProof/>
          <w:spacing w:val="-8"/>
        </w:rPr>
      </w:pPr>
      <w:r w:rsidRPr="003C5D25">
        <w:rPr>
          <w:noProof/>
          <w:spacing w:val="-8"/>
        </w:rPr>
        <w:t>Expressing contrasting views, 8</w:t>
      </w:r>
      <w:r w:rsidR="00C16DF0">
        <w:rPr>
          <w:noProof/>
          <w:spacing w:val="-8"/>
        </w:rPr>
        <w:t>5</w:t>
      </w:r>
      <w:r w:rsidRPr="003C5D25">
        <w:rPr>
          <w:noProof/>
          <w:spacing w:val="-8"/>
        </w:rPr>
        <w:t xml:space="preserve">% (17 out of </w:t>
      </w:r>
      <w:r w:rsidR="00E308EB">
        <w:rPr>
          <w:noProof/>
          <w:spacing w:val="-8"/>
        </w:rPr>
        <w:t>20</w:t>
      </w:r>
      <w:r w:rsidRPr="003C5D25">
        <w:rPr>
          <w:noProof/>
          <w:spacing w:val="-8"/>
        </w:rPr>
        <w:t xml:space="preserve">) of MDMS surveyed agreed with </w:t>
      </w:r>
      <w:r w:rsidR="00B0768C" w:rsidRPr="005D2D60">
        <w:rPr>
          <w:i/>
          <w:noProof/>
        </w:rPr>
        <w:t>the limited willingness</w:t>
      </w:r>
      <w:r w:rsidRPr="005D2D60">
        <w:rPr>
          <w:i/>
          <w:noProof/>
        </w:rPr>
        <w:t xml:space="preserve"> of </w:t>
      </w:r>
      <w:r w:rsidR="00B0768C" w:rsidRPr="005D2D60">
        <w:rPr>
          <w:i/>
          <w:noProof/>
        </w:rPr>
        <w:t xml:space="preserve">indispensable rail </w:t>
      </w:r>
      <w:r w:rsidRPr="005D2D60">
        <w:rPr>
          <w:i/>
          <w:noProof/>
        </w:rPr>
        <w:t xml:space="preserve">operators </w:t>
      </w:r>
      <w:r w:rsidR="00B0768C" w:rsidRPr="005D2D60">
        <w:rPr>
          <w:i/>
          <w:noProof/>
        </w:rPr>
        <w:t>to provide their full offer on fair terms to MDMS</w:t>
      </w:r>
      <w:r w:rsidR="00B0768C" w:rsidRPr="005D2D60" w:rsidDel="00B0768C">
        <w:rPr>
          <w:noProof/>
        </w:rPr>
        <w:t xml:space="preserve"> </w:t>
      </w:r>
      <w:r w:rsidRPr="003C5D25">
        <w:rPr>
          <w:noProof/>
          <w:spacing w:val="-8"/>
        </w:rPr>
        <w:t xml:space="preserve">while 70% (21 out of 30) of transport operators surveyed disagreed. While this split in views is clear, it is important to highlight that </w:t>
      </w:r>
      <w:r w:rsidRPr="003C5D25">
        <w:rPr>
          <w:rFonts w:cs="Arial"/>
          <w:noProof/>
          <w:spacing w:val="-8"/>
        </w:rPr>
        <w:t xml:space="preserve">9 out of 16 MDMS and 6 out of 19 transport operators (representing mostly new entrants/ small </w:t>
      </w:r>
      <w:r w:rsidR="001358ED" w:rsidRPr="003C5D25">
        <w:rPr>
          <w:noProof/>
          <w:spacing w:val="-8"/>
        </w:rPr>
        <w:t>RU</w:t>
      </w:r>
      <w:r w:rsidRPr="003C5D25">
        <w:rPr>
          <w:rFonts w:cs="Arial"/>
          <w:noProof/>
          <w:spacing w:val="-8"/>
        </w:rPr>
        <w:t xml:space="preserve">s) interviewed explicitly expressed concerns with market dominance of incumbent </w:t>
      </w:r>
      <w:r w:rsidR="001358ED" w:rsidRPr="003C5D25">
        <w:rPr>
          <w:noProof/>
          <w:spacing w:val="-8"/>
        </w:rPr>
        <w:t>RU</w:t>
      </w:r>
      <w:r w:rsidRPr="003C5D25">
        <w:rPr>
          <w:rFonts w:cs="Arial"/>
          <w:noProof/>
          <w:spacing w:val="-8"/>
        </w:rPr>
        <w:t xml:space="preserve">s and their integrated platforms. MDMS surveyed </w:t>
      </w:r>
      <w:r w:rsidRPr="003C5D25">
        <w:rPr>
          <w:noProof/>
          <w:spacing w:val="-8"/>
        </w:rPr>
        <w:t xml:space="preserve">underlined however that both dominant </w:t>
      </w:r>
      <w:r w:rsidR="001358ED" w:rsidRPr="003C5D25">
        <w:rPr>
          <w:noProof/>
          <w:spacing w:val="-8"/>
        </w:rPr>
        <w:t>RU</w:t>
      </w:r>
      <w:r w:rsidRPr="003C5D25">
        <w:rPr>
          <w:noProof/>
          <w:spacing w:val="-8"/>
        </w:rPr>
        <w:t xml:space="preserve">s and air carriers are limiting and distorting information in MDMS platforms, therefore extending </w:t>
      </w:r>
      <w:r w:rsidR="00BB3A98" w:rsidRPr="003C5D25">
        <w:rPr>
          <w:noProof/>
          <w:spacing w:val="-8"/>
        </w:rPr>
        <w:t>PD</w:t>
      </w:r>
      <w:r w:rsidR="00BB3A98">
        <w:rPr>
          <w:noProof/>
          <w:spacing w:val="-8"/>
        </w:rPr>
        <w:t>4</w:t>
      </w:r>
      <w:r w:rsidR="00BB3A98" w:rsidRPr="003C5D25">
        <w:rPr>
          <w:noProof/>
          <w:spacing w:val="-8"/>
        </w:rPr>
        <w:t xml:space="preserve"> </w:t>
      </w:r>
      <w:r w:rsidRPr="003C5D25">
        <w:rPr>
          <w:noProof/>
          <w:spacing w:val="-8"/>
        </w:rPr>
        <w:t>to air carriers</w:t>
      </w:r>
      <w:r w:rsidRPr="003C5D25">
        <w:rPr>
          <w:rStyle w:val="FootnoteReference"/>
          <w:noProof/>
          <w:spacing w:val="-8"/>
        </w:rPr>
        <w:footnoteReference w:id="240"/>
      </w:r>
      <w:r w:rsidRPr="003C5D25">
        <w:rPr>
          <w:noProof/>
          <w:spacing w:val="-8"/>
        </w:rPr>
        <w:t>. One French MDMS’s association reports states that those operators tightly controlling how their inventory is distributed, setting strict conditions like commissions, distribution limits, and "look to book" restrictions, and retaining information from platforms</w:t>
      </w:r>
      <w:r w:rsidRPr="003C5D25">
        <w:rPr>
          <w:rStyle w:val="FootnoteReference"/>
          <w:i/>
          <w:noProof/>
          <w:spacing w:val="-8"/>
        </w:rPr>
        <w:footnoteReference w:id="241"/>
      </w:r>
      <w:r w:rsidRPr="003C5D25">
        <w:rPr>
          <w:i/>
          <w:noProof/>
          <w:spacing w:val="-8"/>
        </w:rPr>
        <w:t>.</w:t>
      </w:r>
      <w:r w:rsidRPr="003C5D25">
        <w:rPr>
          <w:noProof/>
          <w:spacing w:val="-8"/>
        </w:rPr>
        <w:t xml:space="preserve"> 2 </w:t>
      </w:r>
      <w:r w:rsidRPr="003C5D25">
        <w:rPr>
          <w:rFonts w:cs="Arial"/>
          <w:noProof/>
          <w:spacing w:val="-8"/>
        </w:rPr>
        <w:t>new rail entrants</w:t>
      </w:r>
      <w:r w:rsidRPr="003C5D25">
        <w:rPr>
          <w:rStyle w:val="FootnoteReference"/>
          <w:rFonts w:cs="Arial"/>
          <w:noProof/>
          <w:spacing w:val="-8"/>
        </w:rPr>
        <w:footnoteReference w:id="242"/>
      </w:r>
      <w:r w:rsidRPr="003C5D25">
        <w:rPr>
          <w:rFonts w:cs="Arial"/>
          <w:noProof/>
          <w:spacing w:val="-8"/>
        </w:rPr>
        <w:t xml:space="preserve"> highlighted that although third-party </w:t>
      </w:r>
      <w:r w:rsidR="00DB1A85" w:rsidRPr="003C5D25">
        <w:rPr>
          <w:rFonts w:cs="Arial"/>
          <w:noProof/>
          <w:spacing w:val="-8"/>
        </w:rPr>
        <w:t xml:space="preserve">rail </w:t>
      </w:r>
      <w:r w:rsidRPr="003C5D25">
        <w:rPr>
          <w:rFonts w:cs="Arial"/>
          <w:noProof/>
          <w:spacing w:val="-8"/>
        </w:rPr>
        <w:t xml:space="preserve">services may be listed on </w:t>
      </w:r>
      <w:r w:rsidR="00BB5DD1" w:rsidRPr="003C5D25">
        <w:rPr>
          <w:rFonts w:cs="Arial"/>
          <w:noProof/>
          <w:spacing w:val="-8"/>
        </w:rPr>
        <w:t>indispensable RU</w:t>
      </w:r>
      <w:r w:rsidRPr="003C5D25">
        <w:rPr>
          <w:rFonts w:cs="Arial"/>
          <w:noProof/>
          <w:spacing w:val="-8"/>
        </w:rPr>
        <w:t xml:space="preserve"> platforms, they are reported to be not bookable, undermining effective competition.</w:t>
      </w:r>
      <w:r w:rsidRPr="003C5D25">
        <w:rPr>
          <w:rStyle w:val="FootnoteReference"/>
          <w:rFonts w:cs="Arial"/>
          <w:noProof/>
          <w:spacing w:val="-8"/>
        </w:rPr>
        <w:footnoteReference w:id="243"/>
      </w:r>
      <w:r w:rsidRPr="003C5D25">
        <w:rPr>
          <w:rFonts w:cs="Arial"/>
          <w:noProof/>
          <w:spacing w:val="-8"/>
        </w:rPr>
        <w:t xml:space="preserve"> As an example, </w:t>
      </w:r>
      <w:r w:rsidR="00F5564D">
        <w:rPr>
          <w:rFonts w:cs="Arial"/>
          <w:noProof/>
          <w:spacing w:val="-8"/>
        </w:rPr>
        <w:t>a bus and rail operator</w:t>
      </w:r>
      <w:r w:rsidRPr="003C5D25">
        <w:rPr>
          <w:rFonts w:cs="Arial"/>
          <w:noProof/>
          <w:spacing w:val="-8"/>
        </w:rPr>
        <w:t xml:space="preserve"> reported that Deutsche Bahn selectively downplays or obscures competing services, including omitting price information or relegating listings to less visible positions, despite legal obligations for fair visibility.</w:t>
      </w:r>
    </w:p>
    <w:p w14:paraId="6AA69FD3" w14:textId="679D6F73" w:rsidR="009F6A24" w:rsidRPr="003C5D25" w:rsidRDefault="009F6A24" w:rsidP="003C5D25">
      <w:pPr>
        <w:pStyle w:val="BodyText"/>
        <w:spacing w:after="240"/>
        <w:ind w:left="0" w:right="-26"/>
        <w:rPr>
          <w:noProof/>
          <w:spacing w:val="-8"/>
        </w:rPr>
      </w:pPr>
      <w:r>
        <w:rPr>
          <w:noProof/>
        </w:rPr>
        <w:t xml:space="preserve">Views on </w:t>
      </w:r>
      <w:r w:rsidR="00F5564D">
        <w:rPr>
          <w:noProof/>
          <w:spacing w:val="-8"/>
        </w:rPr>
        <w:t>the</w:t>
      </w:r>
      <w:r w:rsidR="00B6070F">
        <w:rPr>
          <w:noProof/>
          <w:spacing w:val="-8"/>
        </w:rPr>
        <w:t xml:space="preserve"> </w:t>
      </w:r>
      <w:r w:rsidR="009F6B8E" w:rsidRPr="205FD1BA">
        <w:rPr>
          <w:i/>
          <w:noProof/>
        </w:rPr>
        <w:t>limited</w:t>
      </w:r>
      <w:r w:rsidR="009F6B8E" w:rsidRPr="205FD1BA">
        <w:rPr>
          <w:b/>
          <w:i/>
          <w:noProof/>
        </w:rPr>
        <w:t xml:space="preserve"> </w:t>
      </w:r>
      <w:r w:rsidR="009F6B8E" w:rsidRPr="205FD1BA">
        <w:rPr>
          <w:i/>
          <w:noProof/>
        </w:rPr>
        <w:t>willingness of indispensable RUs to provide</w:t>
      </w:r>
      <w:r w:rsidR="009F6B8E" w:rsidDel="009F6B8E">
        <w:rPr>
          <w:noProof/>
        </w:rPr>
        <w:t xml:space="preserve"> </w:t>
      </w:r>
      <w:r w:rsidR="009F6B8E" w:rsidRPr="205FD1BA">
        <w:rPr>
          <w:i/>
          <w:noProof/>
        </w:rPr>
        <w:t>their competitors’ offer on their platforms due to vertical integration</w:t>
      </w:r>
      <w:r>
        <w:rPr>
          <w:noProof/>
        </w:rPr>
        <w:t xml:space="preserve">, leading to </w:t>
      </w:r>
      <w:r w:rsidR="002A38C9" w:rsidRPr="205FD1BA">
        <w:rPr>
          <w:i/>
          <w:noProof/>
        </w:rPr>
        <w:t>limited and distorted information and access to tickets for consumers</w:t>
      </w:r>
      <w:r w:rsidRPr="205FD1BA">
        <w:rPr>
          <w:i/>
          <w:noProof/>
        </w:rPr>
        <w:t xml:space="preserve"> on </w:t>
      </w:r>
      <w:r w:rsidR="002A38C9" w:rsidRPr="205FD1BA">
        <w:rPr>
          <w:i/>
          <w:noProof/>
        </w:rPr>
        <w:t>MDMS, in particular for rail</w:t>
      </w:r>
      <w:r w:rsidR="002A38C9" w:rsidDel="002A38C9">
        <w:rPr>
          <w:noProof/>
        </w:rPr>
        <w:t xml:space="preserve"> </w:t>
      </w:r>
      <w:r>
        <w:rPr>
          <w:noProof/>
        </w:rPr>
        <w:t xml:space="preserve">are diverging depending on the type of stakeholder who responded to the survey.  </w:t>
      </w:r>
      <w:r w:rsidR="00EF3E9A">
        <w:rPr>
          <w:noProof/>
        </w:rPr>
        <w:t>8</w:t>
      </w:r>
      <w:r>
        <w:rPr>
          <w:noProof/>
        </w:rPr>
        <w:t>0% of MDMS platforms (1</w:t>
      </w:r>
      <w:r w:rsidR="0032264D">
        <w:rPr>
          <w:noProof/>
        </w:rPr>
        <w:t>6</w:t>
      </w:r>
      <w:r>
        <w:rPr>
          <w:noProof/>
        </w:rPr>
        <w:t xml:space="preserve"> out of </w:t>
      </w:r>
      <w:r w:rsidR="0032264D">
        <w:rPr>
          <w:noProof/>
        </w:rPr>
        <w:t>19</w:t>
      </w:r>
      <w:r>
        <w:rPr>
          <w:noProof/>
        </w:rPr>
        <w:t xml:space="preserve">) and </w:t>
      </w:r>
      <w:r w:rsidR="00714D65">
        <w:rPr>
          <w:noProof/>
        </w:rPr>
        <w:t>56</w:t>
      </w:r>
      <w:r>
        <w:rPr>
          <w:noProof/>
        </w:rPr>
        <w:t>% of transport operators (1</w:t>
      </w:r>
      <w:r w:rsidR="007F4C9D">
        <w:rPr>
          <w:noProof/>
        </w:rPr>
        <w:t>7</w:t>
      </w:r>
      <w:r>
        <w:rPr>
          <w:noProof/>
        </w:rPr>
        <w:t xml:space="preserve"> out of 30) disagreed with </w:t>
      </w:r>
      <w:r w:rsidR="00714D65">
        <w:rPr>
          <w:noProof/>
        </w:rPr>
        <w:t>this statement</w:t>
      </w:r>
      <w:r>
        <w:rPr>
          <w:noProof/>
        </w:rPr>
        <w:t xml:space="preserve">. Overall, incumbent RUs </w:t>
      </w:r>
      <w:r w:rsidRPr="205FD1BA">
        <w:rPr>
          <w:rFonts w:cs="Arial"/>
          <w:noProof/>
        </w:rPr>
        <w:t>stress that including new rail services—especially long-distance or international connections—must make commercial sense</w:t>
      </w:r>
      <w:r w:rsidRPr="008612C3">
        <w:rPr>
          <w:rStyle w:val="FootnoteReference"/>
          <w:rFonts w:cs="Arial"/>
          <w:noProof/>
          <w:spacing w:val="-8"/>
        </w:rPr>
        <w:footnoteReference w:id="244"/>
      </w:r>
      <w:r w:rsidRPr="205FD1BA">
        <w:rPr>
          <w:rFonts w:cs="Arial"/>
          <w:noProof/>
        </w:rPr>
        <w:t>. With little public subsidy and low passenger volumes on many of the longer and less frequent routes, the cost of integration is considered disproportionate to the demand</w:t>
      </w:r>
      <w:r w:rsidRPr="008612C3">
        <w:rPr>
          <w:rStyle w:val="FootnoteReference"/>
          <w:rFonts w:cs="Arial"/>
          <w:noProof/>
          <w:spacing w:val="-8"/>
        </w:rPr>
        <w:footnoteReference w:id="245"/>
      </w:r>
      <w:r w:rsidRPr="205FD1BA">
        <w:rPr>
          <w:rFonts w:cs="Arial"/>
          <w:noProof/>
        </w:rPr>
        <w:t>.</w:t>
      </w:r>
      <w:r>
        <w:rPr>
          <w:noProof/>
        </w:rPr>
        <w:t xml:space="preserve"> On the contrary, the new rail entrant industry association outlined that their offers are badly displayed on incumbents’ platforms, and with around 95% of bookings made through dominant sales channels (often owned by incumbent RUs), limited visibility can severely undermine an operator's viability. Additionally, almost all the 12 national authorities surveyed (except for one) agreed ‘fully’ or ‘partially’ with </w:t>
      </w:r>
      <w:r w:rsidR="00840E45">
        <w:rPr>
          <w:noProof/>
        </w:rPr>
        <w:t xml:space="preserve">this </w:t>
      </w:r>
      <w:r w:rsidR="003B71A8">
        <w:rPr>
          <w:noProof/>
        </w:rPr>
        <w:t>driver</w:t>
      </w:r>
      <w:r>
        <w:rPr>
          <w:noProof/>
        </w:rPr>
        <w:t xml:space="preserve">, as well as </w:t>
      </w:r>
      <w:r w:rsidR="008C039A">
        <w:rPr>
          <w:noProof/>
        </w:rPr>
        <w:t>82</w:t>
      </w:r>
      <w:r>
        <w:rPr>
          <w:noProof/>
        </w:rPr>
        <w:t>% of the ‘Other’ stakeholders surveyed (</w:t>
      </w:r>
      <w:r w:rsidR="003B71A8">
        <w:rPr>
          <w:noProof/>
        </w:rPr>
        <w:t>9</w:t>
      </w:r>
      <w:r>
        <w:rPr>
          <w:noProof/>
        </w:rPr>
        <w:t>out of 1</w:t>
      </w:r>
      <w:r w:rsidR="003B71A8">
        <w:rPr>
          <w:noProof/>
        </w:rPr>
        <w:t>1</w:t>
      </w:r>
      <w:r>
        <w:rPr>
          <w:noProof/>
        </w:rPr>
        <w:t xml:space="preserve">). </w:t>
      </w:r>
    </w:p>
    <w:p w14:paraId="3463EB71" w14:textId="722331F2" w:rsidR="00712390" w:rsidRPr="00B56CB3" w:rsidRDefault="003C4819" w:rsidP="00B56CB3">
      <w:pPr>
        <w:pStyle w:val="ListParagraph"/>
        <w:numPr>
          <w:ilvl w:val="1"/>
          <w:numId w:val="13"/>
        </w:numPr>
        <w:tabs>
          <w:tab w:val="left" w:pos="993"/>
        </w:tabs>
        <w:spacing w:before="0" w:after="240"/>
        <w:ind w:hanging="76"/>
        <w:rPr>
          <w:b/>
          <w:noProof/>
          <w:sz w:val="24"/>
          <w:szCs w:val="24"/>
        </w:rPr>
      </w:pPr>
      <w:bookmarkStart w:id="280" w:name="3.1_MDMS_Study"/>
      <w:bookmarkStart w:id="281" w:name="3.2_CRS_Study"/>
      <w:bookmarkStart w:id="282" w:name="4_Feedback_received_on_the_policy_option"/>
      <w:bookmarkStart w:id="283" w:name="_Toc220667525"/>
      <w:bookmarkStart w:id="284" w:name="_Toc222313511"/>
      <w:bookmarkStart w:id="285" w:name="_Toc222749032"/>
      <w:bookmarkEnd w:id="280"/>
      <w:bookmarkEnd w:id="281"/>
      <w:bookmarkEnd w:id="282"/>
      <w:r w:rsidRPr="00B56CB3">
        <w:rPr>
          <w:b/>
          <w:noProof/>
          <w:sz w:val="24"/>
          <w:szCs w:val="24"/>
        </w:rPr>
        <w:t>Feedback received on the policy options</w:t>
      </w:r>
      <w:bookmarkEnd w:id="283"/>
      <w:bookmarkEnd w:id="284"/>
      <w:bookmarkEnd w:id="285"/>
    </w:p>
    <w:p w14:paraId="155DB722" w14:textId="72973AE1" w:rsidR="00542D30" w:rsidRPr="003C5D25" w:rsidRDefault="00711BF1" w:rsidP="003C5D25">
      <w:pPr>
        <w:pStyle w:val="BodyText"/>
        <w:spacing w:after="240"/>
        <w:ind w:left="0" w:right="-26"/>
        <w:rPr>
          <w:noProof/>
          <w:spacing w:val="-8"/>
        </w:rPr>
      </w:pPr>
      <w:r w:rsidRPr="003C5D25">
        <w:rPr>
          <w:noProof/>
          <w:spacing w:val="-8"/>
        </w:rPr>
        <w:t>The</w:t>
      </w:r>
      <w:r w:rsidR="003C4819" w:rsidRPr="003C5D25" w:rsidDel="00D623ED">
        <w:rPr>
          <w:noProof/>
          <w:spacing w:val="-8"/>
        </w:rPr>
        <w:t xml:space="preserve"> </w:t>
      </w:r>
      <w:r w:rsidR="00497DE9" w:rsidRPr="003C5D25">
        <w:rPr>
          <w:noProof/>
          <w:spacing w:val="-8"/>
        </w:rPr>
        <w:t>final</w:t>
      </w:r>
      <w:r w:rsidR="003C4819" w:rsidRPr="003C5D25" w:rsidDel="00D623ED">
        <w:rPr>
          <w:noProof/>
          <w:spacing w:val="-8"/>
        </w:rPr>
        <w:t xml:space="preserve"> list of policy options</w:t>
      </w:r>
      <w:r w:rsidR="00AC7884" w:rsidRPr="003C5D25">
        <w:rPr>
          <w:noProof/>
          <w:spacing w:val="-8"/>
        </w:rPr>
        <w:t xml:space="preserve"> and policy measures </w:t>
      </w:r>
      <w:r w:rsidR="003C4819" w:rsidRPr="003C5D25" w:rsidDel="00D623ED">
        <w:rPr>
          <w:noProof/>
          <w:spacing w:val="-8"/>
        </w:rPr>
        <w:t xml:space="preserve">was presented to </w:t>
      </w:r>
      <w:r w:rsidRPr="003C5D25">
        <w:rPr>
          <w:noProof/>
          <w:spacing w:val="-8"/>
        </w:rPr>
        <w:t>stakeholder</w:t>
      </w:r>
      <w:r w:rsidR="003C4819" w:rsidRPr="003C5D25" w:rsidDel="00D623ED">
        <w:rPr>
          <w:noProof/>
          <w:spacing w:val="-8"/>
        </w:rPr>
        <w:t xml:space="preserve"> during the </w:t>
      </w:r>
      <w:r w:rsidRPr="003C5D25">
        <w:rPr>
          <w:noProof/>
          <w:spacing w:val="-8"/>
        </w:rPr>
        <w:t>second</w:t>
      </w:r>
      <w:r w:rsidR="003C4819" w:rsidRPr="003C5D25" w:rsidDel="00D623ED">
        <w:rPr>
          <w:noProof/>
          <w:spacing w:val="-8"/>
        </w:rPr>
        <w:t xml:space="preserve"> workshop held on </w:t>
      </w:r>
      <w:r w:rsidRPr="003C5D25">
        <w:rPr>
          <w:noProof/>
          <w:spacing w:val="-8"/>
        </w:rPr>
        <w:t>2 April 2025.</w:t>
      </w:r>
      <w:r w:rsidR="003C4819" w:rsidRPr="003C5D25" w:rsidDel="00D623ED">
        <w:rPr>
          <w:noProof/>
          <w:spacing w:val="-8"/>
        </w:rPr>
        <w:t xml:space="preserve"> Following the workshop</w:t>
      </w:r>
      <w:r w:rsidR="00044359" w:rsidRPr="003C5D25">
        <w:rPr>
          <w:noProof/>
          <w:spacing w:val="-8"/>
        </w:rPr>
        <w:t>,</w:t>
      </w:r>
      <w:r w:rsidR="003C4819" w:rsidRPr="003C5D25" w:rsidDel="00D623ED">
        <w:rPr>
          <w:noProof/>
          <w:spacing w:val="-8"/>
        </w:rPr>
        <w:t xml:space="preserve"> </w:t>
      </w:r>
      <w:r w:rsidR="00542D30" w:rsidRPr="003C5D25">
        <w:rPr>
          <w:noProof/>
          <w:spacing w:val="-8"/>
        </w:rPr>
        <w:t>views</w:t>
      </w:r>
      <w:r w:rsidR="003C4819" w:rsidRPr="003C5D25" w:rsidDel="00D623ED">
        <w:rPr>
          <w:noProof/>
          <w:spacing w:val="-8"/>
        </w:rPr>
        <w:t xml:space="preserve"> w</w:t>
      </w:r>
      <w:r w:rsidR="00542D30" w:rsidRPr="003C5D25">
        <w:rPr>
          <w:noProof/>
          <w:spacing w:val="-8"/>
        </w:rPr>
        <w:t>ere</w:t>
      </w:r>
      <w:r w:rsidR="003C4819" w:rsidRPr="003C5D25" w:rsidDel="00D623ED">
        <w:rPr>
          <w:noProof/>
          <w:spacing w:val="-8"/>
        </w:rPr>
        <w:t xml:space="preserve"> received on stakeholder’s positions on each of the policy </w:t>
      </w:r>
      <w:r w:rsidR="006D009F" w:rsidRPr="003C5D25">
        <w:rPr>
          <w:noProof/>
          <w:spacing w:val="-8"/>
        </w:rPr>
        <w:t>measures</w:t>
      </w:r>
      <w:r w:rsidR="007E549B" w:rsidRPr="003C5D25">
        <w:rPr>
          <w:noProof/>
          <w:spacing w:val="-8"/>
        </w:rPr>
        <w:t xml:space="preserve"> (PMs)</w:t>
      </w:r>
      <w:r w:rsidR="00DA553A" w:rsidRPr="003C5D25">
        <w:rPr>
          <w:noProof/>
          <w:spacing w:val="-8"/>
        </w:rPr>
        <w:t xml:space="preserve">, </w:t>
      </w:r>
      <w:r w:rsidR="00E944B6" w:rsidRPr="003C5D25">
        <w:rPr>
          <w:noProof/>
          <w:spacing w:val="-8"/>
        </w:rPr>
        <w:t>via the survey</w:t>
      </w:r>
      <w:r w:rsidR="006D7F0E" w:rsidRPr="003C5D25">
        <w:rPr>
          <w:noProof/>
          <w:spacing w:val="-8"/>
        </w:rPr>
        <w:t xml:space="preserve"> and interviews</w:t>
      </w:r>
      <w:r w:rsidR="006D009F" w:rsidRPr="003C5D25">
        <w:rPr>
          <w:noProof/>
          <w:spacing w:val="-8"/>
        </w:rPr>
        <w:t xml:space="preserve">. </w:t>
      </w:r>
    </w:p>
    <w:p w14:paraId="4274D825" w14:textId="4A20F57B" w:rsidR="000C3316" w:rsidRPr="003C5D25" w:rsidRDefault="00645EA4" w:rsidP="003C5D25">
      <w:pPr>
        <w:pStyle w:val="BodyText"/>
        <w:spacing w:after="240"/>
        <w:ind w:left="0" w:right="-26"/>
        <w:rPr>
          <w:noProof/>
          <w:spacing w:val="-8"/>
        </w:rPr>
      </w:pPr>
      <w:r w:rsidRPr="003C5D25">
        <w:rPr>
          <w:noProof/>
          <w:spacing w:val="-8"/>
        </w:rPr>
        <w:t xml:space="preserve">In the survey, </w:t>
      </w:r>
      <w:r w:rsidR="00612529" w:rsidRPr="003C5D25">
        <w:rPr>
          <w:i/>
          <w:noProof/>
          <w:spacing w:val="-8"/>
        </w:rPr>
        <w:t>the obligation for all MDMS to apply the CRS Code of Conduct’s neutral display obligations</w:t>
      </w:r>
      <w:r w:rsidR="00BB2E76" w:rsidRPr="003C5D25">
        <w:rPr>
          <w:i/>
          <w:noProof/>
          <w:spacing w:val="-8"/>
        </w:rPr>
        <w:t xml:space="preserve"> and </w:t>
      </w:r>
      <w:r w:rsidR="00B4128C" w:rsidRPr="003C5D25">
        <w:rPr>
          <w:i/>
          <w:noProof/>
          <w:spacing w:val="-8"/>
        </w:rPr>
        <w:t>for transport operators the obligation to apply data accuracy rules</w:t>
      </w:r>
      <w:r w:rsidR="00B4128C" w:rsidRPr="003C5D25">
        <w:rPr>
          <w:noProof/>
          <w:spacing w:val="-8"/>
        </w:rPr>
        <w:t xml:space="preserve"> (</w:t>
      </w:r>
      <w:r w:rsidR="00B4128C" w:rsidRPr="003C5D25">
        <w:rPr>
          <w:b/>
          <w:noProof/>
          <w:spacing w:val="-8"/>
        </w:rPr>
        <w:t>PM1</w:t>
      </w:r>
      <w:r w:rsidR="00B4128C" w:rsidRPr="003C5D25">
        <w:rPr>
          <w:noProof/>
          <w:spacing w:val="-8"/>
        </w:rPr>
        <w:t xml:space="preserve">), </w:t>
      </w:r>
      <w:r w:rsidR="005057CE" w:rsidRPr="003C5D25">
        <w:rPr>
          <w:noProof/>
          <w:spacing w:val="-8"/>
        </w:rPr>
        <w:t>was found effective by 29 out of 72 stakeholders</w:t>
      </w:r>
      <w:r w:rsidR="00A038D4" w:rsidRPr="003C5D25">
        <w:rPr>
          <w:noProof/>
          <w:spacing w:val="-8"/>
        </w:rPr>
        <w:t xml:space="preserve"> participating in the workshop</w:t>
      </w:r>
      <w:r w:rsidR="005057CE" w:rsidRPr="003C5D25">
        <w:rPr>
          <w:noProof/>
          <w:spacing w:val="-8"/>
        </w:rPr>
        <w:t xml:space="preserve">, while 11 found it ineffective, and 32 were </w:t>
      </w:r>
      <w:r w:rsidR="00E80BDD" w:rsidRPr="003C5D25">
        <w:rPr>
          <w:noProof/>
          <w:spacing w:val="-8"/>
        </w:rPr>
        <w:t xml:space="preserve">either neutral (26) or did not know (6). </w:t>
      </w:r>
      <w:r w:rsidR="00006B99" w:rsidRPr="003C5D25">
        <w:rPr>
          <w:noProof/>
          <w:spacing w:val="-8"/>
        </w:rPr>
        <w:t>9 out of 12</w:t>
      </w:r>
      <w:r w:rsidR="00E80BDD" w:rsidRPr="003C5D25">
        <w:rPr>
          <w:noProof/>
          <w:spacing w:val="-8"/>
        </w:rPr>
        <w:t xml:space="preserve"> n</w:t>
      </w:r>
      <w:r w:rsidR="002B60FE" w:rsidRPr="003C5D25">
        <w:rPr>
          <w:noProof/>
          <w:spacing w:val="-8"/>
        </w:rPr>
        <w:t xml:space="preserve">ational authorities and </w:t>
      </w:r>
      <w:r w:rsidR="00357A5B" w:rsidRPr="003C5D25">
        <w:rPr>
          <w:noProof/>
          <w:spacing w:val="-8"/>
        </w:rPr>
        <w:t xml:space="preserve">5 out of 10 </w:t>
      </w:r>
      <w:r w:rsidR="002B60FE" w:rsidRPr="003C5D25">
        <w:rPr>
          <w:noProof/>
          <w:spacing w:val="-8"/>
        </w:rPr>
        <w:t xml:space="preserve">Others </w:t>
      </w:r>
      <w:r w:rsidR="00A038D4" w:rsidRPr="003C5D25">
        <w:rPr>
          <w:noProof/>
          <w:spacing w:val="-8"/>
        </w:rPr>
        <w:t xml:space="preserve">expressing a view </w:t>
      </w:r>
      <w:r w:rsidR="002B60FE" w:rsidRPr="003C5D25">
        <w:rPr>
          <w:noProof/>
          <w:spacing w:val="-8"/>
        </w:rPr>
        <w:t xml:space="preserve">found the measure effective, </w:t>
      </w:r>
      <w:r w:rsidR="00B479DC" w:rsidRPr="003C5D25">
        <w:rPr>
          <w:noProof/>
          <w:spacing w:val="-8"/>
        </w:rPr>
        <w:t xml:space="preserve">while </w:t>
      </w:r>
      <w:r w:rsidR="00226305" w:rsidRPr="003C5D25">
        <w:rPr>
          <w:noProof/>
          <w:spacing w:val="-8"/>
        </w:rPr>
        <w:t xml:space="preserve">17 of 30 </w:t>
      </w:r>
      <w:r w:rsidR="00B479DC" w:rsidRPr="003C5D25">
        <w:rPr>
          <w:noProof/>
          <w:spacing w:val="-8"/>
        </w:rPr>
        <w:t xml:space="preserve"> transport operators were neutral</w:t>
      </w:r>
      <w:r w:rsidR="003A471F" w:rsidRPr="003C5D25">
        <w:rPr>
          <w:noProof/>
          <w:spacing w:val="-8"/>
        </w:rPr>
        <w:t xml:space="preserve">/ did not </w:t>
      </w:r>
      <w:r w:rsidR="004359AC" w:rsidRPr="003C5D25">
        <w:rPr>
          <w:noProof/>
          <w:spacing w:val="-8"/>
        </w:rPr>
        <w:t>know</w:t>
      </w:r>
      <w:r w:rsidR="004359AC" w:rsidRPr="003C5D25">
        <w:rPr>
          <w:rStyle w:val="CommentReference"/>
          <w:noProof/>
          <w:spacing w:val="-8"/>
          <w:sz w:val="24"/>
          <w:szCs w:val="24"/>
        </w:rPr>
        <w:t xml:space="preserve"> and </w:t>
      </w:r>
      <w:r w:rsidR="008765D4" w:rsidRPr="003C5D25">
        <w:rPr>
          <w:noProof/>
          <w:spacing w:val="-8"/>
        </w:rPr>
        <w:t xml:space="preserve">11 of 30 </w:t>
      </w:r>
      <w:r w:rsidR="000849F6" w:rsidRPr="003C5D25">
        <w:rPr>
          <w:noProof/>
          <w:spacing w:val="-8"/>
        </w:rPr>
        <w:t xml:space="preserve">air </w:t>
      </w:r>
      <w:r w:rsidR="004359AC" w:rsidRPr="003C5D25">
        <w:rPr>
          <w:noProof/>
          <w:spacing w:val="-8"/>
        </w:rPr>
        <w:t>transport operators</w:t>
      </w:r>
      <w:r w:rsidR="00EE3A4B" w:rsidRPr="003C5D25">
        <w:rPr>
          <w:noProof/>
          <w:spacing w:val="-8"/>
        </w:rPr>
        <w:t>/airline associations</w:t>
      </w:r>
      <w:r w:rsidR="008765D4" w:rsidRPr="003C5D25">
        <w:rPr>
          <w:noProof/>
          <w:spacing w:val="-8"/>
        </w:rPr>
        <w:t xml:space="preserve"> found</w:t>
      </w:r>
      <w:r w:rsidR="004626FE" w:rsidRPr="003C5D25">
        <w:rPr>
          <w:noProof/>
          <w:spacing w:val="-8"/>
        </w:rPr>
        <w:t xml:space="preserve"> the measure effective </w:t>
      </w:r>
      <w:r w:rsidR="00B479DC" w:rsidRPr="003C5D25">
        <w:rPr>
          <w:noProof/>
          <w:spacing w:val="-8"/>
        </w:rPr>
        <w:t xml:space="preserve">and </w:t>
      </w:r>
      <w:r w:rsidR="00615DB6" w:rsidRPr="003C5D25">
        <w:rPr>
          <w:noProof/>
          <w:spacing w:val="-8"/>
        </w:rPr>
        <w:t xml:space="preserve">MDMS platforms </w:t>
      </w:r>
      <w:r w:rsidR="001439D8" w:rsidRPr="003C5D25">
        <w:rPr>
          <w:noProof/>
          <w:spacing w:val="-8"/>
        </w:rPr>
        <w:t>present in the workshop</w:t>
      </w:r>
      <w:r w:rsidR="00615DB6" w:rsidRPr="003C5D25">
        <w:rPr>
          <w:noProof/>
          <w:spacing w:val="-8"/>
        </w:rPr>
        <w:t xml:space="preserve"> had </w:t>
      </w:r>
      <w:r w:rsidR="008F30D2" w:rsidRPr="003C5D25">
        <w:rPr>
          <w:noProof/>
          <w:spacing w:val="-8"/>
        </w:rPr>
        <w:t xml:space="preserve">various views, </w:t>
      </w:r>
      <w:r w:rsidR="00802DC6" w:rsidRPr="003C5D25">
        <w:rPr>
          <w:noProof/>
          <w:spacing w:val="-8"/>
        </w:rPr>
        <w:t xml:space="preserve">with 8 out of </w:t>
      </w:r>
      <w:r w:rsidR="00CA67ED" w:rsidRPr="003C5D25">
        <w:rPr>
          <w:noProof/>
          <w:spacing w:val="-8"/>
        </w:rPr>
        <w:t xml:space="preserve">20 finding it ineffective, 7 were neutral, 1 did not know and 4 found it effective. </w:t>
      </w:r>
    </w:p>
    <w:p w14:paraId="3B0590BF" w14:textId="19EBF1C2" w:rsidR="007331AB" w:rsidRPr="003C5D25" w:rsidRDefault="005D3518" w:rsidP="003C5D25">
      <w:pPr>
        <w:pStyle w:val="BodyText"/>
        <w:spacing w:after="240"/>
        <w:ind w:left="0" w:right="-26"/>
        <w:rPr>
          <w:noProof/>
          <w:spacing w:val="-8"/>
        </w:rPr>
      </w:pPr>
      <w:r w:rsidRPr="003C5D25">
        <w:rPr>
          <w:noProof/>
          <w:spacing w:val="-8"/>
        </w:rPr>
        <w:t xml:space="preserve">Participants of the OPC for </w:t>
      </w:r>
      <w:r w:rsidR="00AF12F4">
        <w:rPr>
          <w:noProof/>
          <w:spacing w:val="-8"/>
        </w:rPr>
        <w:t>RMB</w:t>
      </w:r>
      <w:r w:rsidRPr="003C5D25">
        <w:rPr>
          <w:noProof/>
          <w:spacing w:val="-8"/>
        </w:rPr>
        <w:t xml:space="preserve"> were asked how important different measures are in their opinion to ensure fair access for all operators to relevant multimodal digital mobility services</w:t>
      </w:r>
      <w:r w:rsidR="004D15F4" w:rsidRPr="003C5D25">
        <w:rPr>
          <w:noProof/>
          <w:spacing w:val="-8"/>
        </w:rPr>
        <w:t xml:space="preserve"> platforms</w:t>
      </w:r>
      <w:r w:rsidRPr="003C5D25">
        <w:rPr>
          <w:noProof/>
          <w:spacing w:val="-8"/>
        </w:rPr>
        <w:t xml:space="preserve">. </w:t>
      </w:r>
      <w:r w:rsidR="00827841" w:rsidRPr="003C5D25">
        <w:rPr>
          <w:noProof/>
          <w:spacing w:val="-8"/>
        </w:rPr>
        <w:t xml:space="preserve">The outcome is far more favourable than the above survey, with </w:t>
      </w:r>
      <w:r w:rsidR="00AC75D9" w:rsidRPr="003C5D25">
        <w:rPr>
          <w:noProof/>
          <w:spacing w:val="-8"/>
        </w:rPr>
        <w:t>1</w:t>
      </w:r>
      <w:r w:rsidR="00DE0E22" w:rsidRPr="003C5D25">
        <w:rPr>
          <w:noProof/>
          <w:spacing w:val="-8"/>
        </w:rPr>
        <w:t>49</w:t>
      </w:r>
      <w:r w:rsidR="00AC75D9" w:rsidRPr="003C5D25">
        <w:rPr>
          <w:noProof/>
          <w:spacing w:val="-8"/>
        </w:rPr>
        <w:t xml:space="preserve"> out of 16</w:t>
      </w:r>
      <w:r w:rsidR="00684666" w:rsidRPr="003C5D25">
        <w:rPr>
          <w:noProof/>
          <w:spacing w:val="-8"/>
        </w:rPr>
        <w:t>9</w:t>
      </w:r>
      <w:r w:rsidR="00DE0E22" w:rsidRPr="003C5D25">
        <w:rPr>
          <w:noProof/>
          <w:spacing w:val="-8"/>
        </w:rPr>
        <w:t xml:space="preserve"> respondent</w:t>
      </w:r>
      <w:r w:rsidR="00201212" w:rsidRPr="003C5D25">
        <w:rPr>
          <w:noProof/>
          <w:spacing w:val="-8"/>
        </w:rPr>
        <w:t>s</w:t>
      </w:r>
      <w:r w:rsidR="00DE0E22" w:rsidRPr="003C5D25">
        <w:rPr>
          <w:noProof/>
          <w:spacing w:val="-8"/>
        </w:rPr>
        <w:t xml:space="preserve"> indicating that </w:t>
      </w:r>
      <w:r w:rsidR="00201212" w:rsidRPr="003C5D25">
        <w:rPr>
          <w:noProof/>
          <w:spacing w:val="-8"/>
        </w:rPr>
        <w:t xml:space="preserve">neutral display </w:t>
      </w:r>
      <w:r w:rsidR="00F358FF" w:rsidRPr="003C5D25">
        <w:rPr>
          <w:noProof/>
          <w:spacing w:val="-8"/>
        </w:rPr>
        <w:t xml:space="preserve">as a policy measure </w:t>
      </w:r>
      <w:r w:rsidR="00201212" w:rsidRPr="003C5D25">
        <w:rPr>
          <w:noProof/>
          <w:spacing w:val="-8"/>
        </w:rPr>
        <w:t>is important to them</w:t>
      </w:r>
      <w:r w:rsidR="001E5610" w:rsidRPr="003C5D25">
        <w:rPr>
          <w:noProof/>
          <w:spacing w:val="-8"/>
        </w:rPr>
        <w:t xml:space="preserve"> to ensure fair access for opera</w:t>
      </w:r>
      <w:r w:rsidR="00F358FF" w:rsidRPr="003C5D25">
        <w:rPr>
          <w:noProof/>
          <w:spacing w:val="-8"/>
        </w:rPr>
        <w:t>tors</w:t>
      </w:r>
      <w:r w:rsidR="00201212" w:rsidRPr="003C5D25">
        <w:rPr>
          <w:noProof/>
          <w:spacing w:val="-8"/>
        </w:rPr>
        <w:t>. Only 13 respondent</w:t>
      </w:r>
      <w:r w:rsidR="00684666" w:rsidRPr="003C5D25">
        <w:rPr>
          <w:noProof/>
          <w:spacing w:val="-8"/>
        </w:rPr>
        <w:t>s</w:t>
      </w:r>
      <w:r w:rsidR="00201212" w:rsidRPr="003C5D25">
        <w:rPr>
          <w:noProof/>
          <w:spacing w:val="-8"/>
        </w:rPr>
        <w:t xml:space="preserve"> found it not important. </w:t>
      </w:r>
      <w:r w:rsidR="00996AAB" w:rsidRPr="003C5D25">
        <w:rPr>
          <w:noProof/>
          <w:spacing w:val="-8"/>
        </w:rPr>
        <w:t xml:space="preserve">Moreover, </w:t>
      </w:r>
      <w:r w:rsidR="00736E31" w:rsidRPr="003C5D25">
        <w:rPr>
          <w:noProof/>
          <w:spacing w:val="-8"/>
        </w:rPr>
        <w:t>70</w:t>
      </w:r>
      <w:r w:rsidR="00996AAB" w:rsidRPr="003C5D25">
        <w:rPr>
          <w:noProof/>
          <w:spacing w:val="-8"/>
        </w:rPr>
        <w:t xml:space="preserve"> out of </w:t>
      </w:r>
      <w:r w:rsidR="00736E31" w:rsidRPr="003C5D25">
        <w:rPr>
          <w:noProof/>
          <w:spacing w:val="-8"/>
        </w:rPr>
        <w:t>8</w:t>
      </w:r>
      <w:r w:rsidR="00996AAB" w:rsidRPr="003C5D25">
        <w:rPr>
          <w:noProof/>
          <w:spacing w:val="-8"/>
        </w:rPr>
        <w:t>0</w:t>
      </w:r>
      <w:r w:rsidR="00736E31" w:rsidRPr="003C5D25">
        <w:rPr>
          <w:noProof/>
          <w:spacing w:val="-8"/>
        </w:rPr>
        <w:t xml:space="preserve"> </w:t>
      </w:r>
      <w:r w:rsidR="00E47581" w:rsidRPr="003C5D25">
        <w:rPr>
          <w:noProof/>
          <w:spacing w:val="-8"/>
        </w:rPr>
        <w:t xml:space="preserve">respondents from industry </w:t>
      </w:r>
      <w:r w:rsidR="00B952E6" w:rsidRPr="003C5D25">
        <w:rPr>
          <w:noProof/>
          <w:spacing w:val="-8"/>
        </w:rPr>
        <w:t>indicated it to be important versus only 7 who found it not importan</w:t>
      </w:r>
      <w:r w:rsidR="00326435" w:rsidRPr="003C5D25">
        <w:rPr>
          <w:noProof/>
          <w:spacing w:val="-8"/>
        </w:rPr>
        <w:t xml:space="preserve">t. </w:t>
      </w:r>
    </w:p>
    <w:p w14:paraId="5412C9E0" w14:textId="404B3D8B" w:rsidR="002170E3" w:rsidRPr="003C5D25" w:rsidRDefault="00C5109F" w:rsidP="003C5D25">
      <w:pPr>
        <w:pStyle w:val="BodyText"/>
        <w:spacing w:after="240"/>
        <w:ind w:left="0" w:right="-26"/>
        <w:rPr>
          <w:noProof/>
          <w:spacing w:val="-8"/>
        </w:rPr>
      </w:pPr>
      <w:r w:rsidRPr="003C5D25">
        <w:rPr>
          <w:noProof/>
          <w:spacing w:val="-8"/>
        </w:rPr>
        <w:t xml:space="preserve">In the </w:t>
      </w:r>
      <w:r w:rsidR="007A560F" w:rsidRPr="003C5D25">
        <w:rPr>
          <w:noProof/>
          <w:spacing w:val="-8"/>
        </w:rPr>
        <w:t xml:space="preserve">specific </w:t>
      </w:r>
      <w:r w:rsidR="00C04EA9" w:rsidRPr="003C5D25">
        <w:rPr>
          <w:noProof/>
          <w:spacing w:val="-8"/>
        </w:rPr>
        <w:t>consultation</w:t>
      </w:r>
      <w:r w:rsidR="000670C9" w:rsidRPr="003C5D25">
        <w:rPr>
          <w:noProof/>
          <w:spacing w:val="-8"/>
        </w:rPr>
        <w:t>s</w:t>
      </w:r>
      <w:r w:rsidR="008324AB" w:rsidRPr="003C5D25">
        <w:rPr>
          <w:noProof/>
          <w:spacing w:val="-8"/>
        </w:rPr>
        <w:t xml:space="preserve"> for the revision of CRS Code of Conduct</w:t>
      </w:r>
      <w:r w:rsidR="001020E0" w:rsidRPr="003C5D25">
        <w:rPr>
          <w:noProof/>
          <w:spacing w:val="-8"/>
        </w:rPr>
        <w:t xml:space="preserve"> of 2021</w:t>
      </w:r>
      <w:r w:rsidRPr="003C5D25">
        <w:rPr>
          <w:noProof/>
          <w:spacing w:val="-8"/>
        </w:rPr>
        <w:t>, r</w:t>
      </w:r>
      <w:r w:rsidR="00F444EA" w:rsidRPr="003C5D25">
        <w:rPr>
          <w:noProof/>
          <w:spacing w:val="-8"/>
        </w:rPr>
        <w:t>egarding the neutral display provision (Article 5), the majority of air carriers (10 out of 11) and stakeholders in the “other” category (3 out of 4) either disagreed or strongly disagreed with repealing this provision. No CRS providers disagreed, whilst 2 out of 3 either agreed or strongly agreed</w:t>
      </w:r>
      <w:r w:rsidR="00D406BB" w:rsidRPr="003C5D25">
        <w:rPr>
          <w:noProof/>
          <w:spacing w:val="-8"/>
        </w:rPr>
        <w:t xml:space="preserve"> to the repeal</w:t>
      </w:r>
      <w:r w:rsidR="001020E0" w:rsidRPr="003C5D25">
        <w:rPr>
          <w:noProof/>
          <w:spacing w:val="-8"/>
        </w:rPr>
        <w:t xml:space="preserve"> of the provision</w:t>
      </w:r>
      <w:r w:rsidR="00F444EA" w:rsidRPr="003C5D25">
        <w:rPr>
          <w:noProof/>
          <w:spacing w:val="-8"/>
        </w:rPr>
        <w:t xml:space="preserve">. TAs and MSEs were more evenly split with 3 out of 8 agreeing and two disagreeing. Most </w:t>
      </w:r>
      <w:r w:rsidR="00697829" w:rsidRPr="003C5D25">
        <w:rPr>
          <w:noProof/>
          <w:spacing w:val="-8"/>
        </w:rPr>
        <w:t>of the 11</w:t>
      </w:r>
      <w:r w:rsidR="00F444EA" w:rsidRPr="003C5D25">
        <w:rPr>
          <w:noProof/>
          <w:spacing w:val="-8"/>
        </w:rPr>
        <w:t xml:space="preserve"> air carriers and </w:t>
      </w:r>
      <w:r w:rsidR="00234E66" w:rsidRPr="003C5D25">
        <w:rPr>
          <w:noProof/>
          <w:spacing w:val="-8"/>
        </w:rPr>
        <w:t xml:space="preserve"> 8</w:t>
      </w:r>
      <w:r w:rsidR="00F444EA" w:rsidRPr="003C5D25">
        <w:rPr>
          <w:noProof/>
          <w:spacing w:val="-8"/>
        </w:rPr>
        <w:t xml:space="preserve"> travel agents suggested CRS providers would adopt a display bias as a result of a repeal, while two CRS providers and Eu Travel Tech suggested that they had no incentive to adopt a bias.</w:t>
      </w:r>
      <w:r w:rsidR="00B03960" w:rsidRPr="003C5D25">
        <w:rPr>
          <w:noProof/>
          <w:spacing w:val="-8"/>
        </w:rPr>
        <w:t xml:space="preserve"> </w:t>
      </w:r>
    </w:p>
    <w:p w14:paraId="72892A79" w14:textId="23A1A292" w:rsidR="00645EA4" w:rsidRPr="003C5D25" w:rsidRDefault="00B03960" w:rsidP="003C5D25">
      <w:pPr>
        <w:pStyle w:val="BodyText"/>
        <w:spacing w:after="240"/>
        <w:ind w:left="0" w:right="-26"/>
        <w:rPr>
          <w:noProof/>
          <w:spacing w:val="-8"/>
        </w:rPr>
      </w:pPr>
      <w:r w:rsidRPr="003C5D25">
        <w:rPr>
          <w:noProof/>
          <w:spacing w:val="-8"/>
        </w:rPr>
        <w:t>BEUC and EPF, along with three CRS providers, t</w:t>
      </w:r>
      <w:r w:rsidR="00FC03B9" w:rsidRPr="003C5D25">
        <w:rPr>
          <w:noProof/>
          <w:spacing w:val="-8"/>
        </w:rPr>
        <w:t>hree</w:t>
      </w:r>
      <w:r w:rsidRPr="003C5D25">
        <w:rPr>
          <w:noProof/>
          <w:spacing w:val="-8"/>
        </w:rPr>
        <w:t xml:space="preserve"> travel agents and ECTAA believed that all players operating/competing in airline ticket distribution that have functionalities, features or offer technical solutions of CRSs (by offering access to prices, schedules etc.) should be included in the scope of the CRS Code of Conduct. These include MSEs, OTAs and non-CRS aggregators.</w:t>
      </w:r>
      <w:r w:rsidR="001A7927" w:rsidRPr="003C5D25">
        <w:rPr>
          <w:noProof/>
          <w:spacing w:val="-8"/>
        </w:rPr>
        <w:t xml:space="preserve"> Two LCCs and ERA commented in interviews that the CRS Code of Conduct should be expanded in scope and revised to regulate the practices of MSEs and OTAs. </w:t>
      </w:r>
      <w:r w:rsidR="006A7EF1" w:rsidRPr="003C5D25">
        <w:rPr>
          <w:noProof/>
          <w:spacing w:val="-8"/>
        </w:rPr>
        <w:t>Two</w:t>
      </w:r>
      <w:r w:rsidR="001A7927" w:rsidRPr="003C5D25">
        <w:rPr>
          <w:noProof/>
          <w:spacing w:val="-8"/>
        </w:rPr>
        <w:t xml:space="preserve"> CRS provider</w:t>
      </w:r>
      <w:r w:rsidR="006A7EF1" w:rsidRPr="003C5D25">
        <w:rPr>
          <w:noProof/>
          <w:spacing w:val="-8"/>
        </w:rPr>
        <w:t>s</w:t>
      </w:r>
      <w:r w:rsidR="001A7927" w:rsidRPr="003C5D25">
        <w:rPr>
          <w:noProof/>
          <w:spacing w:val="-8"/>
        </w:rPr>
        <w:t xml:space="preserve"> noted that an expansion to B2C should be considered. </w:t>
      </w:r>
      <w:r w:rsidR="006A7EF1" w:rsidRPr="003C5D25">
        <w:rPr>
          <w:noProof/>
          <w:spacing w:val="-8"/>
        </w:rPr>
        <w:t>One</w:t>
      </w:r>
      <w:r w:rsidR="001A7927" w:rsidRPr="003C5D25">
        <w:rPr>
          <w:noProof/>
          <w:spacing w:val="-8"/>
        </w:rPr>
        <w:t xml:space="preserve"> CRS provider a</w:t>
      </w:r>
      <w:r w:rsidR="006A7EF1" w:rsidRPr="003C5D25">
        <w:rPr>
          <w:noProof/>
          <w:spacing w:val="-8"/>
        </w:rPr>
        <w:t>lso</w:t>
      </w:r>
      <w:r w:rsidR="001A7927" w:rsidRPr="003C5D25">
        <w:rPr>
          <w:noProof/>
          <w:spacing w:val="-8"/>
        </w:rPr>
        <w:t xml:space="preserve"> noted that both B2C and B2B distribution channels ultimately face the consumer, and that the Code of Conduct should protect consumer choice, fair competition and innovation, regardless of the channel.</w:t>
      </w:r>
      <w:r w:rsidR="0004200A" w:rsidRPr="003C5D25">
        <w:rPr>
          <w:noProof/>
          <w:spacing w:val="-8"/>
        </w:rPr>
        <w:t xml:space="preserve"> </w:t>
      </w:r>
      <w:r w:rsidR="00ED3B32" w:rsidRPr="003C5D25">
        <w:rPr>
          <w:noProof/>
          <w:spacing w:val="-8"/>
        </w:rPr>
        <w:t>Similarly</w:t>
      </w:r>
      <w:r w:rsidR="00F31EE9" w:rsidRPr="003C5D25">
        <w:rPr>
          <w:rFonts w:eastAsiaTheme="minorEastAsia"/>
          <w:noProof/>
          <w:spacing w:val="-8"/>
        </w:rPr>
        <w:t xml:space="preserve"> in the </w:t>
      </w:r>
      <w:r w:rsidR="00ED3B32" w:rsidRPr="003C5D25">
        <w:rPr>
          <w:noProof/>
          <w:spacing w:val="-8"/>
        </w:rPr>
        <w:t xml:space="preserve">context of </w:t>
      </w:r>
      <w:r w:rsidR="00F31EE9" w:rsidRPr="003C5D25">
        <w:rPr>
          <w:rFonts w:eastAsiaTheme="minorEastAsia"/>
          <w:noProof/>
          <w:spacing w:val="-8"/>
        </w:rPr>
        <w:t xml:space="preserve">the </w:t>
      </w:r>
      <w:r w:rsidR="00ED3B32" w:rsidRPr="003C5D25">
        <w:rPr>
          <w:noProof/>
          <w:spacing w:val="-8"/>
        </w:rPr>
        <w:t xml:space="preserve">Inception Impact Assessment for the revision of the Regulation on </w:t>
      </w:r>
      <w:r w:rsidR="00F31EE9" w:rsidRPr="003C5D25">
        <w:rPr>
          <w:rFonts w:eastAsiaTheme="minorEastAsia"/>
          <w:noProof/>
          <w:spacing w:val="-8"/>
        </w:rPr>
        <w:t xml:space="preserve">Code of Conduct, the </w:t>
      </w:r>
      <w:r w:rsidR="001E3369" w:rsidRPr="003C5D25">
        <w:rPr>
          <w:rFonts w:eastAsiaTheme="minorEastAsia"/>
          <w:noProof/>
          <w:spacing w:val="-8"/>
        </w:rPr>
        <w:t xml:space="preserve">4 </w:t>
      </w:r>
      <w:r w:rsidR="00F31EE9" w:rsidRPr="003C5D25">
        <w:rPr>
          <w:rFonts w:eastAsiaTheme="minorEastAsia"/>
          <w:noProof/>
          <w:spacing w:val="-8"/>
        </w:rPr>
        <w:t xml:space="preserve">airlines </w:t>
      </w:r>
      <w:r w:rsidR="00ED3B32" w:rsidRPr="003C5D25">
        <w:rPr>
          <w:rFonts w:eastAsiaTheme="minorEastAsia"/>
          <w:noProof/>
          <w:spacing w:val="-8"/>
        </w:rPr>
        <w:t>providing</w:t>
      </w:r>
      <w:r w:rsidR="00C91D35" w:rsidRPr="003C5D25">
        <w:rPr>
          <w:rFonts w:eastAsiaTheme="minorEastAsia"/>
          <w:noProof/>
          <w:spacing w:val="-8"/>
        </w:rPr>
        <w:t xml:space="preserve"> </w:t>
      </w:r>
      <w:r w:rsidR="00ED3B32" w:rsidRPr="003C5D25">
        <w:rPr>
          <w:rFonts w:eastAsiaTheme="minorEastAsia"/>
          <w:noProof/>
          <w:spacing w:val="-8"/>
        </w:rPr>
        <w:t>feedback</w:t>
      </w:r>
      <w:r w:rsidR="00C91D35" w:rsidRPr="003C5D25">
        <w:rPr>
          <w:rFonts w:eastAsiaTheme="minorEastAsia"/>
          <w:noProof/>
          <w:spacing w:val="-8"/>
        </w:rPr>
        <w:t xml:space="preserve"> indicated that</w:t>
      </w:r>
      <w:r w:rsidR="00F31EE9" w:rsidRPr="003C5D25">
        <w:rPr>
          <w:rFonts w:eastAsiaTheme="minorEastAsia"/>
          <w:noProof/>
          <w:spacing w:val="-8"/>
        </w:rPr>
        <w:t xml:space="preserve"> Art. 5 of the Code of conduct should be revised.</w:t>
      </w:r>
      <w:r w:rsidR="0040074A" w:rsidRPr="003C5D25">
        <w:rPr>
          <w:rFonts w:eastAsiaTheme="minorEastAsia"/>
          <w:noProof/>
          <w:spacing w:val="-8"/>
        </w:rPr>
        <w:t xml:space="preserve"> </w:t>
      </w:r>
      <w:r w:rsidR="00645EA4" w:rsidRPr="003C5D25">
        <w:rPr>
          <w:noProof/>
          <w:spacing w:val="-8"/>
        </w:rPr>
        <w:t xml:space="preserve">The </w:t>
      </w:r>
      <w:r w:rsidR="00645EA4" w:rsidRPr="003C5D25">
        <w:rPr>
          <w:i/>
          <w:noProof/>
          <w:spacing w:val="-8"/>
        </w:rPr>
        <w:t xml:space="preserve">obligation for all MDMS to apply the CRS Code of Conduct’s rules on fair treatment of transport operators </w:t>
      </w:r>
      <w:r w:rsidR="007C6016" w:rsidRPr="003C5D25">
        <w:rPr>
          <w:i/>
          <w:noProof/>
          <w:spacing w:val="-8"/>
        </w:rPr>
        <w:t xml:space="preserve">limited to load and process </w:t>
      </w:r>
      <w:r w:rsidR="00A661B5" w:rsidRPr="003C5D25">
        <w:rPr>
          <w:i/>
          <w:noProof/>
          <w:spacing w:val="-8"/>
        </w:rPr>
        <w:t xml:space="preserve">data </w:t>
      </w:r>
      <w:r w:rsidR="00CC154D" w:rsidRPr="003C5D25">
        <w:rPr>
          <w:i/>
          <w:noProof/>
          <w:spacing w:val="-8"/>
        </w:rPr>
        <w:t xml:space="preserve">provided with equal </w:t>
      </w:r>
      <w:r w:rsidR="00E50BFC" w:rsidRPr="003C5D25">
        <w:rPr>
          <w:i/>
          <w:noProof/>
          <w:spacing w:val="-8"/>
        </w:rPr>
        <w:t>care and timeline</w:t>
      </w:r>
      <w:r w:rsidR="00BF2BBA" w:rsidRPr="003C5D25">
        <w:rPr>
          <w:i/>
          <w:noProof/>
          <w:spacing w:val="-8"/>
        </w:rPr>
        <w:t>s</w:t>
      </w:r>
      <w:r w:rsidR="00E50BFC" w:rsidRPr="003C5D25">
        <w:rPr>
          <w:i/>
          <w:noProof/>
          <w:spacing w:val="-8"/>
        </w:rPr>
        <w:t>s</w:t>
      </w:r>
      <w:r w:rsidR="00EC47A9" w:rsidRPr="003C5D25">
        <w:rPr>
          <w:noProof/>
          <w:spacing w:val="-8"/>
        </w:rPr>
        <w:t xml:space="preserve"> (</w:t>
      </w:r>
      <w:r w:rsidR="00EC47A9" w:rsidRPr="003C5D25">
        <w:rPr>
          <w:b/>
          <w:noProof/>
          <w:spacing w:val="-8"/>
        </w:rPr>
        <w:t>PM2</w:t>
      </w:r>
      <w:r w:rsidR="00EC47A9" w:rsidRPr="003C5D25">
        <w:rPr>
          <w:noProof/>
          <w:spacing w:val="-8"/>
        </w:rPr>
        <w:t>)</w:t>
      </w:r>
      <w:r w:rsidR="00BA25A6" w:rsidRPr="003C5D25">
        <w:rPr>
          <w:noProof/>
          <w:spacing w:val="-8"/>
        </w:rPr>
        <w:t xml:space="preserve"> </w:t>
      </w:r>
      <w:r w:rsidR="00BE43B0">
        <w:rPr>
          <w:noProof/>
          <w:spacing w:val="-8"/>
        </w:rPr>
        <w:t xml:space="preserve">in tackling problem 1 </w:t>
      </w:r>
      <w:r w:rsidR="00BA25A6" w:rsidRPr="003C5D25">
        <w:rPr>
          <w:noProof/>
          <w:spacing w:val="-8"/>
        </w:rPr>
        <w:t xml:space="preserve">was perceived as </w:t>
      </w:r>
      <w:r w:rsidR="00314D30" w:rsidRPr="003C5D25">
        <w:rPr>
          <w:noProof/>
          <w:spacing w:val="-8"/>
        </w:rPr>
        <w:t>effective by 2</w:t>
      </w:r>
      <w:r w:rsidR="00636BDB">
        <w:rPr>
          <w:noProof/>
          <w:spacing w:val="-8"/>
        </w:rPr>
        <w:t>7</w:t>
      </w:r>
      <w:r w:rsidR="00314D30" w:rsidRPr="003C5D25">
        <w:rPr>
          <w:noProof/>
          <w:spacing w:val="-8"/>
        </w:rPr>
        <w:t xml:space="preserve"> out of </w:t>
      </w:r>
      <w:r w:rsidR="00636BDB">
        <w:rPr>
          <w:noProof/>
          <w:spacing w:val="-8"/>
        </w:rPr>
        <w:t>72</w:t>
      </w:r>
      <w:r w:rsidR="00AE6F96" w:rsidRPr="003C5D25">
        <w:rPr>
          <w:noProof/>
          <w:spacing w:val="-8"/>
        </w:rPr>
        <w:t xml:space="preserve"> stakeholders surveyed</w:t>
      </w:r>
      <w:r w:rsidR="00810636" w:rsidRPr="003C5D25">
        <w:rPr>
          <w:noProof/>
          <w:spacing w:val="-8"/>
        </w:rPr>
        <w:t xml:space="preserve">, </w:t>
      </w:r>
      <w:r w:rsidR="00B438B9" w:rsidRPr="003C5D25">
        <w:rPr>
          <w:noProof/>
          <w:spacing w:val="-8"/>
        </w:rPr>
        <w:t>ineffective by 2</w:t>
      </w:r>
      <w:r w:rsidR="00636BDB">
        <w:rPr>
          <w:noProof/>
          <w:spacing w:val="-8"/>
        </w:rPr>
        <w:t>4</w:t>
      </w:r>
      <w:r w:rsidR="004757BC" w:rsidRPr="003C5D25">
        <w:rPr>
          <w:noProof/>
          <w:spacing w:val="-8"/>
        </w:rPr>
        <w:t xml:space="preserve">, and </w:t>
      </w:r>
      <w:r w:rsidR="00E3363D">
        <w:rPr>
          <w:noProof/>
          <w:spacing w:val="-8"/>
        </w:rPr>
        <w:t>21</w:t>
      </w:r>
      <w:r w:rsidR="004757BC" w:rsidRPr="003C5D25">
        <w:rPr>
          <w:noProof/>
          <w:spacing w:val="-8"/>
        </w:rPr>
        <w:t xml:space="preserve"> were either neutral (</w:t>
      </w:r>
      <w:r w:rsidR="00E3363D">
        <w:rPr>
          <w:noProof/>
          <w:spacing w:val="-8"/>
        </w:rPr>
        <w:t>12</w:t>
      </w:r>
      <w:r w:rsidR="004757BC" w:rsidRPr="003C5D25">
        <w:rPr>
          <w:noProof/>
          <w:spacing w:val="-8"/>
        </w:rPr>
        <w:t>) or did not know (</w:t>
      </w:r>
      <w:r w:rsidR="00E3363D">
        <w:rPr>
          <w:noProof/>
          <w:spacing w:val="-8"/>
        </w:rPr>
        <w:t>9</w:t>
      </w:r>
      <w:r w:rsidR="004757BC" w:rsidRPr="003C5D25">
        <w:rPr>
          <w:noProof/>
          <w:spacing w:val="-8"/>
        </w:rPr>
        <w:t xml:space="preserve">). </w:t>
      </w:r>
      <w:r w:rsidR="004930CB" w:rsidRPr="003C5D25">
        <w:rPr>
          <w:noProof/>
          <w:spacing w:val="-8"/>
        </w:rPr>
        <w:t xml:space="preserve">Among stakeholder groups, transport operators and MDMS were the most </w:t>
      </w:r>
      <w:r w:rsidR="00922096" w:rsidRPr="003C5D25">
        <w:rPr>
          <w:noProof/>
          <w:spacing w:val="-8"/>
        </w:rPr>
        <w:t>sceptical</w:t>
      </w:r>
      <w:r w:rsidR="004930CB" w:rsidRPr="003C5D25">
        <w:rPr>
          <w:noProof/>
          <w:spacing w:val="-8"/>
        </w:rPr>
        <w:t xml:space="preserve">, with </w:t>
      </w:r>
      <w:r w:rsidR="00922096" w:rsidRPr="003C5D25">
        <w:rPr>
          <w:noProof/>
          <w:spacing w:val="-8"/>
        </w:rPr>
        <w:t>respectively 1</w:t>
      </w:r>
      <w:r w:rsidR="00377A4B">
        <w:rPr>
          <w:noProof/>
          <w:spacing w:val="-8"/>
        </w:rPr>
        <w:t>2</w:t>
      </w:r>
      <w:r w:rsidR="00922096" w:rsidRPr="003C5D25">
        <w:rPr>
          <w:noProof/>
          <w:spacing w:val="-8"/>
        </w:rPr>
        <w:t xml:space="preserve"> out of </w:t>
      </w:r>
      <w:r w:rsidR="00377A4B">
        <w:rPr>
          <w:noProof/>
          <w:spacing w:val="-8"/>
        </w:rPr>
        <w:t>30</w:t>
      </w:r>
      <w:r w:rsidR="003E25C5" w:rsidRPr="003C5D25">
        <w:rPr>
          <w:noProof/>
          <w:spacing w:val="-8"/>
        </w:rPr>
        <w:t xml:space="preserve"> </w:t>
      </w:r>
      <w:r w:rsidR="0040647D" w:rsidRPr="003C5D25">
        <w:rPr>
          <w:noProof/>
          <w:spacing w:val="-8"/>
        </w:rPr>
        <w:t>and 1</w:t>
      </w:r>
      <w:r w:rsidR="00377A4B">
        <w:rPr>
          <w:noProof/>
          <w:spacing w:val="-8"/>
        </w:rPr>
        <w:t>0</w:t>
      </w:r>
      <w:r w:rsidR="0040647D" w:rsidRPr="003C5D25">
        <w:rPr>
          <w:noProof/>
          <w:spacing w:val="-8"/>
        </w:rPr>
        <w:t xml:space="preserve"> out of 20 finding it ineffective</w:t>
      </w:r>
      <w:r w:rsidR="00F40AED" w:rsidRPr="003C5D25">
        <w:rPr>
          <w:noProof/>
          <w:spacing w:val="-8"/>
        </w:rPr>
        <w:t xml:space="preserve">, while national authorities and ‘Others’ </w:t>
      </w:r>
      <w:r w:rsidR="00F8269E" w:rsidRPr="003C5D25">
        <w:rPr>
          <w:noProof/>
          <w:spacing w:val="-8"/>
        </w:rPr>
        <w:t xml:space="preserve">were more positive, with respectively </w:t>
      </w:r>
      <w:r w:rsidR="007F7598">
        <w:rPr>
          <w:noProof/>
          <w:spacing w:val="-8"/>
        </w:rPr>
        <w:t>10</w:t>
      </w:r>
      <w:r w:rsidR="0044263C" w:rsidRPr="003C5D25">
        <w:rPr>
          <w:noProof/>
          <w:spacing w:val="-8"/>
        </w:rPr>
        <w:t xml:space="preserve"> out of 1</w:t>
      </w:r>
      <w:r w:rsidR="007F7598">
        <w:rPr>
          <w:noProof/>
          <w:spacing w:val="-8"/>
        </w:rPr>
        <w:t>2</w:t>
      </w:r>
      <w:r w:rsidR="0044263C" w:rsidRPr="003C5D25">
        <w:rPr>
          <w:noProof/>
          <w:spacing w:val="-8"/>
        </w:rPr>
        <w:t xml:space="preserve"> and </w:t>
      </w:r>
      <w:r w:rsidR="007F7598">
        <w:rPr>
          <w:noProof/>
          <w:spacing w:val="-8"/>
        </w:rPr>
        <w:t>4</w:t>
      </w:r>
      <w:r w:rsidR="006A0098" w:rsidRPr="003C5D25">
        <w:rPr>
          <w:noProof/>
          <w:spacing w:val="-8"/>
        </w:rPr>
        <w:t xml:space="preserve"> out of 10 </w:t>
      </w:r>
      <w:r w:rsidR="007E3E41">
        <w:rPr>
          <w:noProof/>
          <w:spacing w:val="-8"/>
        </w:rPr>
        <w:t>(and 4 did not know</w:t>
      </w:r>
      <w:r w:rsidR="00A25570">
        <w:rPr>
          <w:noProof/>
          <w:spacing w:val="-8"/>
        </w:rPr>
        <w:t>)</w:t>
      </w:r>
      <w:r w:rsidR="006A0098" w:rsidRPr="003C5D25">
        <w:rPr>
          <w:noProof/>
          <w:spacing w:val="-8"/>
        </w:rPr>
        <w:t xml:space="preserve"> finding it effective. </w:t>
      </w:r>
      <w:r w:rsidR="00823367">
        <w:rPr>
          <w:noProof/>
          <w:spacing w:val="-8"/>
        </w:rPr>
        <w:t>PM2 was overall perceived as effective in tackling problem 2</w:t>
      </w:r>
      <w:r w:rsidR="00140841">
        <w:rPr>
          <w:noProof/>
          <w:spacing w:val="-8"/>
        </w:rPr>
        <w:t xml:space="preserve"> with 24 out of 68 finding it effective. </w:t>
      </w:r>
      <w:r w:rsidR="005635D3">
        <w:rPr>
          <w:noProof/>
          <w:spacing w:val="-8"/>
        </w:rPr>
        <w:t xml:space="preserve">The views of stakeholder group </w:t>
      </w:r>
      <w:r w:rsidR="0097609B">
        <w:rPr>
          <w:noProof/>
          <w:spacing w:val="-8"/>
        </w:rPr>
        <w:t>did not vary significantly in relation to this problem</w:t>
      </w:r>
      <w:r w:rsidR="00B118A5">
        <w:rPr>
          <w:noProof/>
          <w:spacing w:val="-8"/>
        </w:rPr>
        <w:t>, with MDMS platforms and transport operators questioning it most while national authorities found to be most supportive.</w:t>
      </w:r>
      <w:r w:rsidR="0097609B">
        <w:rPr>
          <w:noProof/>
          <w:spacing w:val="-8"/>
        </w:rPr>
        <w:t xml:space="preserve"> </w:t>
      </w:r>
    </w:p>
    <w:p w14:paraId="7A2762C8" w14:textId="7F072D38" w:rsidR="00117A18" w:rsidRPr="003C5D25" w:rsidRDefault="00117A18" w:rsidP="003C5D25">
      <w:pPr>
        <w:pStyle w:val="BodyText"/>
        <w:spacing w:after="240"/>
        <w:ind w:left="0" w:right="-26"/>
        <w:rPr>
          <w:noProof/>
          <w:spacing w:val="-8"/>
        </w:rPr>
      </w:pPr>
      <w:r w:rsidRPr="003C5D25">
        <w:rPr>
          <w:noProof/>
          <w:spacing w:val="-8"/>
        </w:rPr>
        <w:t xml:space="preserve">In the OPC </w:t>
      </w:r>
      <w:r w:rsidR="00F85D46" w:rsidRPr="003C5D25">
        <w:rPr>
          <w:noProof/>
          <w:spacing w:val="-8"/>
        </w:rPr>
        <w:t xml:space="preserve">on the question whether respondents find </w:t>
      </w:r>
      <w:r w:rsidR="001B732C" w:rsidRPr="003C5D25">
        <w:rPr>
          <w:noProof/>
          <w:spacing w:val="-8"/>
        </w:rPr>
        <w:t xml:space="preserve">it important to integrate a provision </w:t>
      </w:r>
      <w:r w:rsidR="00A70A8D" w:rsidRPr="003C5D25">
        <w:rPr>
          <w:noProof/>
          <w:spacing w:val="-8"/>
        </w:rPr>
        <w:t xml:space="preserve">to ensure </w:t>
      </w:r>
      <w:r w:rsidR="00362588" w:rsidRPr="003C5D25">
        <w:rPr>
          <w:noProof/>
          <w:spacing w:val="-8"/>
        </w:rPr>
        <w:t xml:space="preserve">non-discriminatory </w:t>
      </w:r>
      <w:r w:rsidR="009C1D8B" w:rsidRPr="003C5D25">
        <w:rPr>
          <w:noProof/>
          <w:spacing w:val="-8"/>
        </w:rPr>
        <w:t xml:space="preserve">treatment of the parties across commercial agreements </w:t>
      </w:r>
      <w:r w:rsidR="004074FD" w:rsidRPr="003C5D25">
        <w:rPr>
          <w:noProof/>
          <w:spacing w:val="-8"/>
        </w:rPr>
        <w:t xml:space="preserve">154 out of </w:t>
      </w:r>
      <w:r w:rsidR="00EC2709" w:rsidRPr="003C5D25">
        <w:rPr>
          <w:noProof/>
          <w:spacing w:val="-8"/>
        </w:rPr>
        <w:t>169</w:t>
      </w:r>
      <w:r w:rsidR="002D4EFA" w:rsidRPr="003C5D25">
        <w:rPr>
          <w:noProof/>
          <w:spacing w:val="-8"/>
        </w:rPr>
        <w:t xml:space="preserve"> and only </w:t>
      </w:r>
      <w:r w:rsidR="00EC2709" w:rsidRPr="003C5D25">
        <w:rPr>
          <w:noProof/>
          <w:spacing w:val="-8"/>
        </w:rPr>
        <w:t>6</w:t>
      </w:r>
      <w:r w:rsidR="002D4EFA" w:rsidRPr="003C5D25">
        <w:rPr>
          <w:noProof/>
          <w:spacing w:val="-8"/>
        </w:rPr>
        <w:t xml:space="preserve"> respondents found this measure as not important. </w:t>
      </w:r>
    </w:p>
    <w:p w14:paraId="0403DDEA" w14:textId="7896BCBD" w:rsidR="0040647D" w:rsidRPr="003C5D25" w:rsidRDefault="0040647D" w:rsidP="003C5D25">
      <w:pPr>
        <w:pStyle w:val="BodyText"/>
        <w:spacing w:after="240"/>
        <w:ind w:left="0" w:right="-26"/>
        <w:rPr>
          <w:noProof/>
          <w:spacing w:val="-8"/>
        </w:rPr>
      </w:pPr>
      <w:r w:rsidRPr="003C5D25">
        <w:rPr>
          <w:noProof/>
          <w:spacing w:val="-8"/>
        </w:rPr>
        <w:t xml:space="preserve">Similarly, the </w:t>
      </w:r>
      <w:r w:rsidRPr="003C5D25">
        <w:rPr>
          <w:i/>
          <w:noProof/>
          <w:spacing w:val="-8"/>
        </w:rPr>
        <w:t>obligation for all MDMS to apply the CRS Code of Conduct’s rules on marketing and booking data</w:t>
      </w:r>
      <w:r w:rsidR="002677E0" w:rsidRPr="003C5D25">
        <w:rPr>
          <w:noProof/>
          <w:spacing w:val="-8"/>
        </w:rPr>
        <w:t xml:space="preserve"> (</w:t>
      </w:r>
      <w:r w:rsidR="002677E0" w:rsidRPr="003C5D25">
        <w:rPr>
          <w:b/>
          <w:noProof/>
          <w:spacing w:val="-8"/>
        </w:rPr>
        <w:t>PM3</w:t>
      </w:r>
      <w:r w:rsidR="002677E0" w:rsidRPr="003C5D25">
        <w:rPr>
          <w:noProof/>
          <w:spacing w:val="-8"/>
        </w:rPr>
        <w:t>)</w:t>
      </w:r>
      <w:r w:rsidR="00C06E12" w:rsidRPr="003C5D25">
        <w:rPr>
          <w:noProof/>
          <w:spacing w:val="-8"/>
        </w:rPr>
        <w:t xml:space="preserve"> </w:t>
      </w:r>
      <w:r w:rsidR="001A7249" w:rsidRPr="003C5D25">
        <w:rPr>
          <w:noProof/>
          <w:spacing w:val="-8"/>
        </w:rPr>
        <w:t xml:space="preserve">is viewed as </w:t>
      </w:r>
      <w:r w:rsidR="00212B60" w:rsidRPr="003C5D25">
        <w:rPr>
          <w:noProof/>
          <w:spacing w:val="-8"/>
        </w:rPr>
        <w:t>effective by 1</w:t>
      </w:r>
      <w:r w:rsidR="005029DB">
        <w:rPr>
          <w:noProof/>
          <w:spacing w:val="-8"/>
        </w:rPr>
        <w:t>9</w:t>
      </w:r>
      <w:r w:rsidR="00212B60" w:rsidRPr="003C5D25">
        <w:rPr>
          <w:noProof/>
          <w:spacing w:val="-8"/>
        </w:rPr>
        <w:t xml:space="preserve"> </w:t>
      </w:r>
      <w:r w:rsidR="00B21910" w:rsidRPr="003C5D25">
        <w:rPr>
          <w:noProof/>
          <w:spacing w:val="-8"/>
        </w:rPr>
        <w:t>out of 6</w:t>
      </w:r>
      <w:r w:rsidR="005029DB">
        <w:rPr>
          <w:noProof/>
          <w:spacing w:val="-8"/>
        </w:rPr>
        <w:t>9</w:t>
      </w:r>
      <w:r w:rsidR="00B21910" w:rsidRPr="003C5D25">
        <w:rPr>
          <w:noProof/>
          <w:spacing w:val="-8"/>
        </w:rPr>
        <w:t xml:space="preserve"> </w:t>
      </w:r>
      <w:r w:rsidR="008515AF" w:rsidRPr="003C5D25">
        <w:rPr>
          <w:noProof/>
          <w:spacing w:val="-8"/>
        </w:rPr>
        <w:t>stakeholders</w:t>
      </w:r>
      <w:r w:rsidR="00372024" w:rsidRPr="003C5D25">
        <w:rPr>
          <w:noProof/>
          <w:spacing w:val="-8"/>
        </w:rPr>
        <w:t xml:space="preserve"> surveyed</w:t>
      </w:r>
      <w:r w:rsidR="009C331B">
        <w:rPr>
          <w:noProof/>
          <w:spacing w:val="-8"/>
        </w:rPr>
        <w:t xml:space="preserve"> in tackling problem 1</w:t>
      </w:r>
      <w:r w:rsidR="0050218B" w:rsidRPr="003C5D25">
        <w:rPr>
          <w:noProof/>
          <w:spacing w:val="-8"/>
        </w:rPr>
        <w:t xml:space="preserve">, </w:t>
      </w:r>
      <w:r w:rsidR="002C6F64" w:rsidRPr="003C5D25">
        <w:rPr>
          <w:noProof/>
          <w:spacing w:val="-8"/>
        </w:rPr>
        <w:t>ineffective by 2</w:t>
      </w:r>
      <w:r w:rsidR="000B1286">
        <w:rPr>
          <w:noProof/>
          <w:spacing w:val="-8"/>
        </w:rPr>
        <w:t>5</w:t>
      </w:r>
      <w:r w:rsidR="002C6F64" w:rsidRPr="003C5D25">
        <w:rPr>
          <w:noProof/>
          <w:spacing w:val="-8"/>
        </w:rPr>
        <w:t xml:space="preserve"> and </w:t>
      </w:r>
      <w:r w:rsidR="00AD7D4E" w:rsidRPr="003C5D25">
        <w:rPr>
          <w:noProof/>
          <w:spacing w:val="-8"/>
        </w:rPr>
        <w:t>2</w:t>
      </w:r>
      <w:r w:rsidR="00F02EE2">
        <w:rPr>
          <w:noProof/>
          <w:spacing w:val="-8"/>
        </w:rPr>
        <w:t>5</w:t>
      </w:r>
      <w:r w:rsidR="00AD7D4E" w:rsidRPr="003C5D25">
        <w:rPr>
          <w:noProof/>
          <w:spacing w:val="-8"/>
        </w:rPr>
        <w:t xml:space="preserve"> were neutral (1</w:t>
      </w:r>
      <w:r w:rsidR="00300677">
        <w:rPr>
          <w:noProof/>
          <w:spacing w:val="-8"/>
        </w:rPr>
        <w:t>3</w:t>
      </w:r>
      <w:r w:rsidR="00AD7D4E" w:rsidRPr="003C5D25">
        <w:rPr>
          <w:noProof/>
          <w:spacing w:val="-8"/>
        </w:rPr>
        <w:t>) or did not know (12). Among stakeholder</w:t>
      </w:r>
      <w:r w:rsidR="00B75DF6" w:rsidRPr="003C5D25">
        <w:rPr>
          <w:noProof/>
          <w:spacing w:val="-8"/>
        </w:rPr>
        <w:t xml:space="preserve"> groups, MDMS </w:t>
      </w:r>
      <w:r w:rsidR="00B30124" w:rsidRPr="003C5D25">
        <w:rPr>
          <w:noProof/>
          <w:spacing w:val="-8"/>
        </w:rPr>
        <w:t xml:space="preserve">platforms </w:t>
      </w:r>
      <w:r w:rsidR="004B3621" w:rsidRPr="003C5D25">
        <w:rPr>
          <w:noProof/>
          <w:spacing w:val="-8"/>
        </w:rPr>
        <w:t xml:space="preserve">expressing a view </w:t>
      </w:r>
      <w:r w:rsidR="00CE22AF" w:rsidRPr="003C5D25">
        <w:rPr>
          <w:noProof/>
          <w:spacing w:val="-8"/>
        </w:rPr>
        <w:t>questioned most this PM, with 1</w:t>
      </w:r>
      <w:r w:rsidR="00300677">
        <w:rPr>
          <w:noProof/>
          <w:spacing w:val="-8"/>
        </w:rPr>
        <w:t>2</w:t>
      </w:r>
      <w:r w:rsidR="00CE22AF" w:rsidRPr="003C5D25">
        <w:rPr>
          <w:noProof/>
          <w:spacing w:val="-8"/>
        </w:rPr>
        <w:t xml:space="preserve"> out of </w:t>
      </w:r>
      <w:r w:rsidR="00300677">
        <w:rPr>
          <w:noProof/>
          <w:spacing w:val="-8"/>
        </w:rPr>
        <w:t>19</w:t>
      </w:r>
      <w:r w:rsidR="00987411" w:rsidRPr="003C5D25">
        <w:rPr>
          <w:noProof/>
          <w:spacing w:val="-8"/>
        </w:rPr>
        <w:t xml:space="preserve"> finding it ineffective</w:t>
      </w:r>
      <w:r w:rsidR="00F11F38" w:rsidRPr="003C5D25">
        <w:rPr>
          <w:noProof/>
          <w:spacing w:val="-8"/>
        </w:rPr>
        <w:t>. On the con</w:t>
      </w:r>
      <w:r w:rsidR="004F4A83" w:rsidRPr="003C5D25">
        <w:rPr>
          <w:noProof/>
          <w:spacing w:val="-8"/>
        </w:rPr>
        <w:t>trary,</w:t>
      </w:r>
      <w:r w:rsidR="00B30124" w:rsidRPr="003C5D25">
        <w:rPr>
          <w:noProof/>
          <w:spacing w:val="-8"/>
        </w:rPr>
        <w:t xml:space="preserve"> </w:t>
      </w:r>
      <w:r w:rsidR="00E87F4B" w:rsidRPr="003C5D25">
        <w:rPr>
          <w:noProof/>
          <w:spacing w:val="-8"/>
        </w:rPr>
        <w:t xml:space="preserve">national authorities </w:t>
      </w:r>
      <w:r w:rsidR="008949EB" w:rsidRPr="003C5D25">
        <w:rPr>
          <w:noProof/>
          <w:spacing w:val="-8"/>
        </w:rPr>
        <w:t xml:space="preserve">surveyed </w:t>
      </w:r>
      <w:r w:rsidR="00E87F4B" w:rsidRPr="003C5D25">
        <w:rPr>
          <w:noProof/>
          <w:spacing w:val="-8"/>
        </w:rPr>
        <w:t xml:space="preserve">supported </w:t>
      </w:r>
      <w:r w:rsidR="000E5B08" w:rsidRPr="003C5D25">
        <w:rPr>
          <w:noProof/>
          <w:spacing w:val="-8"/>
        </w:rPr>
        <w:t xml:space="preserve">it with </w:t>
      </w:r>
      <w:r w:rsidR="00EF2372" w:rsidRPr="003C5D25">
        <w:rPr>
          <w:noProof/>
          <w:spacing w:val="-8"/>
        </w:rPr>
        <w:t>6 out of 11</w:t>
      </w:r>
      <w:r w:rsidR="003E77B8" w:rsidRPr="003C5D25">
        <w:rPr>
          <w:noProof/>
          <w:spacing w:val="-8"/>
        </w:rPr>
        <w:t xml:space="preserve"> </w:t>
      </w:r>
      <w:r w:rsidR="0093263B" w:rsidRPr="003C5D25">
        <w:rPr>
          <w:noProof/>
          <w:spacing w:val="-8"/>
        </w:rPr>
        <w:t xml:space="preserve">finding it </w:t>
      </w:r>
      <w:r w:rsidR="003E77B8" w:rsidRPr="003C5D25">
        <w:rPr>
          <w:noProof/>
          <w:spacing w:val="-8"/>
        </w:rPr>
        <w:t>effective</w:t>
      </w:r>
      <w:r w:rsidR="00C956F9" w:rsidRPr="003C5D25">
        <w:rPr>
          <w:noProof/>
          <w:spacing w:val="-8"/>
        </w:rPr>
        <w:t xml:space="preserve">. Transport operators </w:t>
      </w:r>
      <w:r w:rsidR="00EA042F" w:rsidRPr="003C5D25">
        <w:rPr>
          <w:noProof/>
          <w:spacing w:val="-8"/>
        </w:rPr>
        <w:t xml:space="preserve">and </w:t>
      </w:r>
      <w:r w:rsidR="008D4F45" w:rsidRPr="003C5D25">
        <w:rPr>
          <w:noProof/>
          <w:spacing w:val="-8"/>
        </w:rPr>
        <w:t xml:space="preserve">‘Others’ </w:t>
      </w:r>
      <w:r w:rsidR="00790363" w:rsidRPr="003C5D25">
        <w:rPr>
          <w:noProof/>
          <w:spacing w:val="-8"/>
        </w:rPr>
        <w:t>surveyed</w:t>
      </w:r>
      <w:r w:rsidR="008D4F45" w:rsidRPr="003C5D25">
        <w:rPr>
          <w:noProof/>
          <w:spacing w:val="-8"/>
        </w:rPr>
        <w:t xml:space="preserve"> were more nuanced, </w:t>
      </w:r>
      <w:r w:rsidR="001629A2" w:rsidRPr="003C5D25">
        <w:rPr>
          <w:noProof/>
          <w:spacing w:val="-8"/>
        </w:rPr>
        <w:t xml:space="preserve">with 5 out of </w:t>
      </w:r>
      <w:r w:rsidR="00A54DD6" w:rsidRPr="003C5D25">
        <w:rPr>
          <w:noProof/>
          <w:spacing w:val="-8"/>
        </w:rPr>
        <w:t>2</w:t>
      </w:r>
      <w:r w:rsidR="000D1543">
        <w:rPr>
          <w:noProof/>
          <w:spacing w:val="-8"/>
        </w:rPr>
        <w:t>9</w:t>
      </w:r>
      <w:r w:rsidR="00A54DD6" w:rsidRPr="003C5D25">
        <w:rPr>
          <w:noProof/>
          <w:spacing w:val="-8"/>
        </w:rPr>
        <w:t xml:space="preserve"> </w:t>
      </w:r>
      <w:r w:rsidR="007B158C" w:rsidRPr="003C5D25">
        <w:rPr>
          <w:noProof/>
          <w:spacing w:val="-8"/>
        </w:rPr>
        <w:t xml:space="preserve">transport operators finding it effective, </w:t>
      </w:r>
      <w:r w:rsidR="00EA4764" w:rsidRPr="003C5D25">
        <w:rPr>
          <w:noProof/>
          <w:spacing w:val="-8"/>
        </w:rPr>
        <w:t>1</w:t>
      </w:r>
      <w:r w:rsidR="000D1543">
        <w:rPr>
          <w:noProof/>
          <w:spacing w:val="-8"/>
        </w:rPr>
        <w:t>1</w:t>
      </w:r>
      <w:r w:rsidR="00EA4764" w:rsidRPr="003C5D25">
        <w:rPr>
          <w:noProof/>
          <w:spacing w:val="-8"/>
        </w:rPr>
        <w:t xml:space="preserve"> ineffective, </w:t>
      </w:r>
      <w:r w:rsidR="009F2028">
        <w:rPr>
          <w:noProof/>
          <w:spacing w:val="-8"/>
        </w:rPr>
        <w:t>6</w:t>
      </w:r>
      <w:r w:rsidR="00EA4764" w:rsidRPr="003C5D25">
        <w:rPr>
          <w:noProof/>
          <w:spacing w:val="-8"/>
        </w:rPr>
        <w:t xml:space="preserve"> neutral and </w:t>
      </w:r>
      <w:r w:rsidR="000D1543">
        <w:rPr>
          <w:noProof/>
          <w:spacing w:val="-8"/>
        </w:rPr>
        <w:t>6</w:t>
      </w:r>
      <w:r w:rsidR="00EA4764" w:rsidRPr="003C5D25">
        <w:rPr>
          <w:noProof/>
          <w:spacing w:val="-8"/>
        </w:rPr>
        <w:t xml:space="preserve"> did not know, and </w:t>
      </w:r>
      <w:r w:rsidR="001E7640" w:rsidRPr="003C5D25">
        <w:rPr>
          <w:noProof/>
          <w:spacing w:val="-8"/>
        </w:rPr>
        <w:t>4</w:t>
      </w:r>
      <w:r w:rsidR="00BC2A82" w:rsidRPr="003C5D25">
        <w:rPr>
          <w:noProof/>
          <w:spacing w:val="-8"/>
        </w:rPr>
        <w:t xml:space="preserve"> out of </w:t>
      </w:r>
      <w:r w:rsidR="001E7640" w:rsidRPr="003C5D25">
        <w:rPr>
          <w:noProof/>
          <w:spacing w:val="-8"/>
        </w:rPr>
        <w:t xml:space="preserve">10 </w:t>
      </w:r>
      <w:r w:rsidR="00BC2A82" w:rsidRPr="003C5D25">
        <w:rPr>
          <w:noProof/>
          <w:spacing w:val="-8"/>
        </w:rPr>
        <w:t xml:space="preserve">Others </w:t>
      </w:r>
      <w:r w:rsidR="001E7640" w:rsidRPr="003C5D25">
        <w:rPr>
          <w:noProof/>
          <w:spacing w:val="-8"/>
        </w:rPr>
        <w:t xml:space="preserve">finding it effective, 2 ineffective, 1 neutral and 3 who do not know. </w:t>
      </w:r>
      <w:r w:rsidR="00762538">
        <w:rPr>
          <w:noProof/>
          <w:spacing w:val="-8"/>
        </w:rPr>
        <w:t>Views of stakeholders on PM3 in relation to problem</w:t>
      </w:r>
      <w:r w:rsidR="001032F3">
        <w:rPr>
          <w:noProof/>
          <w:spacing w:val="-8"/>
        </w:rPr>
        <w:t xml:space="preserve"> 2 are almost identical. </w:t>
      </w:r>
    </w:p>
    <w:p w14:paraId="15244769" w14:textId="1EFDD75D" w:rsidR="0094422C" w:rsidRPr="003C5D25" w:rsidRDefault="0094422C" w:rsidP="003C5D25">
      <w:pPr>
        <w:pStyle w:val="BodyText"/>
        <w:spacing w:after="240"/>
        <w:ind w:left="0" w:right="-26"/>
        <w:rPr>
          <w:noProof/>
          <w:spacing w:val="-8"/>
        </w:rPr>
      </w:pPr>
      <w:r w:rsidRPr="003C5D25">
        <w:rPr>
          <w:noProof/>
          <w:spacing w:val="-8"/>
        </w:rPr>
        <w:t xml:space="preserve">In the OPC on </w:t>
      </w:r>
      <w:r w:rsidR="00BF1803">
        <w:rPr>
          <w:noProof/>
          <w:spacing w:val="-8"/>
        </w:rPr>
        <w:t>RMB</w:t>
      </w:r>
      <w:r w:rsidRPr="003C5D25">
        <w:rPr>
          <w:noProof/>
          <w:spacing w:val="-8"/>
        </w:rPr>
        <w:t xml:space="preserve">, “Requirements for commercial agreements on marketing conditions” were deemed important </w:t>
      </w:r>
      <w:r w:rsidR="00A57691" w:rsidRPr="003C5D25">
        <w:rPr>
          <w:noProof/>
          <w:spacing w:val="-8"/>
        </w:rPr>
        <w:t>by</w:t>
      </w:r>
      <w:r w:rsidRPr="003C5D25">
        <w:rPr>
          <w:noProof/>
          <w:spacing w:val="-8"/>
        </w:rPr>
        <w:t xml:space="preserve"> 107 out of 157 respondents</w:t>
      </w:r>
      <w:r w:rsidR="00A57691" w:rsidRPr="003C5D25">
        <w:rPr>
          <w:noProof/>
          <w:spacing w:val="-8"/>
        </w:rPr>
        <w:t xml:space="preserve">. </w:t>
      </w:r>
    </w:p>
    <w:p w14:paraId="1F895865" w14:textId="73C47C51" w:rsidR="006C6FF1" w:rsidRPr="003C5D25" w:rsidRDefault="004A137C" w:rsidP="003C5D25">
      <w:pPr>
        <w:pStyle w:val="BodyText"/>
        <w:spacing w:after="240"/>
        <w:ind w:left="0" w:right="-26"/>
        <w:rPr>
          <w:noProof/>
          <w:spacing w:val="-8"/>
        </w:rPr>
      </w:pPr>
      <w:r w:rsidRPr="003C5D25">
        <w:rPr>
          <w:i/>
          <w:noProof/>
          <w:spacing w:val="-8"/>
        </w:rPr>
        <w:t>Obligation for all B2B MDMS platforms to treat subscribers fairly and clearly identify in their display banned airline</w:t>
      </w:r>
      <w:r w:rsidR="009613A4" w:rsidRPr="003C5D25">
        <w:rPr>
          <w:i/>
          <w:noProof/>
          <w:spacing w:val="-8"/>
        </w:rPr>
        <w:t xml:space="preserve">s and </w:t>
      </w:r>
      <w:r w:rsidRPr="003C5D25">
        <w:rPr>
          <w:i/>
          <w:noProof/>
          <w:spacing w:val="-8"/>
        </w:rPr>
        <w:t>for third countries B2B MDMS to ensure equ</w:t>
      </w:r>
      <w:r w:rsidR="00012EA3" w:rsidRPr="003C5D25">
        <w:rPr>
          <w:i/>
          <w:noProof/>
          <w:spacing w:val="-8"/>
        </w:rPr>
        <w:t>ivalent</w:t>
      </w:r>
      <w:r w:rsidRPr="003C5D25">
        <w:rPr>
          <w:i/>
          <w:noProof/>
          <w:spacing w:val="-8"/>
        </w:rPr>
        <w:t xml:space="preserve"> treatment of EU air carriers</w:t>
      </w:r>
      <w:r w:rsidR="004E6E74" w:rsidRPr="003C5D25">
        <w:rPr>
          <w:noProof/>
          <w:spacing w:val="-8"/>
        </w:rPr>
        <w:t xml:space="preserve">, </w:t>
      </w:r>
      <w:r w:rsidR="00173E62" w:rsidRPr="003C5D25">
        <w:rPr>
          <w:noProof/>
          <w:spacing w:val="-8"/>
        </w:rPr>
        <w:t>(</w:t>
      </w:r>
      <w:r w:rsidR="00173E62" w:rsidRPr="003C5D25">
        <w:rPr>
          <w:b/>
          <w:noProof/>
          <w:spacing w:val="-8"/>
        </w:rPr>
        <w:t>PM4</w:t>
      </w:r>
      <w:r w:rsidR="00173E62" w:rsidRPr="003C5D25">
        <w:rPr>
          <w:noProof/>
          <w:spacing w:val="-8"/>
        </w:rPr>
        <w:t xml:space="preserve">) </w:t>
      </w:r>
      <w:r w:rsidR="004E6E74" w:rsidRPr="003C5D25">
        <w:rPr>
          <w:noProof/>
          <w:spacing w:val="-8"/>
        </w:rPr>
        <w:t xml:space="preserve">was perceived as </w:t>
      </w:r>
      <w:r w:rsidR="006E217A" w:rsidRPr="003C5D25">
        <w:rPr>
          <w:noProof/>
          <w:spacing w:val="-8"/>
        </w:rPr>
        <w:t>effective by 26</w:t>
      </w:r>
      <w:r w:rsidR="00F03529" w:rsidRPr="003C5D25">
        <w:rPr>
          <w:noProof/>
          <w:spacing w:val="-8"/>
        </w:rPr>
        <w:t xml:space="preserve"> out of 66 stakeholders</w:t>
      </w:r>
      <w:r w:rsidR="00790363" w:rsidRPr="003C5D25">
        <w:rPr>
          <w:noProof/>
          <w:spacing w:val="-8"/>
        </w:rPr>
        <w:t xml:space="preserve"> surveyed</w:t>
      </w:r>
      <w:r w:rsidR="00F03529" w:rsidRPr="003C5D25">
        <w:rPr>
          <w:noProof/>
          <w:spacing w:val="-8"/>
        </w:rPr>
        <w:t xml:space="preserve">, ineffective by 11 and </w:t>
      </w:r>
      <w:r w:rsidR="00BE6656" w:rsidRPr="003C5D25">
        <w:rPr>
          <w:noProof/>
          <w:spacing w:val="-8"/>
        </w:rPr>
        <w:t xml:space="preserve">29 were either neutral (4) or did not know (25). </w:t>
      </w:r>
      <w:r w:rsidR="002F2FDA" w:rsidRPr="003C5D25">
        <w:rPr>
          <w:noProof/>
          <w:spacing w:val="-8"/>
        </w:rPr>
        <w:t xml:space="preserve">The high level of “unknown” </w:t>
      </w:r>
      <w:r w:rsidR="007F0A9B" w:rsidRPr="003C5D25">
        <w:rPr>
          <w:noProof/>
          <w:spacing w:val="-8"/>
        </w:rPr>
        <w:t xml:space="preserve">responses </w:t>
      </w:r>
      <w:r w:rsidR="002F2FDA" w:rsidRPr="003C5D25">
        <w:rPr>
          <w:noProof/>
          <w:spacing w:val="-8"/>
        </w:rPr>
        <w:t>can be explained by the fact that stakeholders</w:t>
      </w:r>
      <w:r w:rsidR="00171A5C" w:rsidRPr="003C5D25" w:rsidDel="002F2FDA">
        <w:rPr>
          <w:noProof/>
          <w:spacing w:val="-8"/>
        </w:rPr>
        <w:t xml:space="preserve"> </w:t>
      </w:r>
      <w:r w:rsidR="007F0A9B" w:rsidRPr="003C5D25">
        <w:rPr>
          <w:noProof/>
          <w:spacing w:val="-8"/>
        </w:rPr>
        <w:t xml:space="preserve">surveyed </w:t>
      </w:r>
      <w:r w:rsidR="00CE3C85" w:rsidRPr="003C5D25">
        <w:rPr>
          <w:noProof/>
          <w:spacing w:val="-8"/>
        </w:rPr>
        <w:t>are</w:t>
      </w:r>
      <w:r w:rsidR="004008A8" w:rsidRPr="003C5D25">
        <w:rPr>
          <w:noProof/>
          <w:spacing w:val="-8"/>
        </w:rPr>
        <w:t xml:space="preserve"> not all </w:t>
      </w:r>
      <w:r w:rsidR="00CE3C85" w:rsidRPr="003C5D25">
        <w:rPr>
          <w:noProof/>
          <w:spacing w:val="-8"/>
        </w:rPr>
        <w:t xml:space="preserve">involved in the B2B market and </w:t>
      </w:r>
      <w:r w:rsidR="00904046" w:rsidRPr="003C5D25">
        <w:rPr>
          <w:noProof/>
          <w:spacing w:val="-8"/>
        </w:rPr>
        <w:t xml:space="preserve">therefore </w:t>
      </w:r>
      <w:r w:rsidR="00CE3C85" w:rsidRPr="003C5D25">
        <w:rPr>
          <w:noProof/>
          <w:spacing w:val="-8"/>
        </w:rPr>
        <w:t xml:space="preserve">might not have a clear view of </w:t>
      </w:r>
      <w:r w:rsidR="005C684E" w:rsidRPr="003C5D25">
        <w:rPr>
          <w:noProof/>
          <w:spacing w:val="-8"/>
        </w:rPr>
        <w:t xml:space="preserve">what </w:t>
      </w:r>
      <w:r w:rsidR="0007214A" w:rsidRPr="003C5D25">
        <w:rPr>
          <w:noProof/>
          <w:spacing w:val="-8"/>
        </w:rPr>
        <w:t>effect</w:t>
      </w:r>
      <w:r w:rsidR="005C684E" w:rsidRPr="003C5D25">
        <w:rPr>
          <w:noProof/>
          <w:spacing w:val="-8"/>
        </w:rPr>
        <w:t xml:space="preserve"> </w:t>
      </w:r>
      <w:r w:rsidR="005F2F54" w:rsidRPr="003C5D25">
        <w:rPr>
          <w:noProof/>
          <w:spacing w:val="-8"/>
        </w:rPr>
        <w:t xml:space="preserve">this measure </w:t>
      </w:r>
      <w:r w:rsidR="00CB1096" w:rsidRPr="003C5D25">
        <w:rPr>
          <w:noProof/>
          <w:spacing w:val="-8"/>
        </w:rPr>
        <w:t xml:space="preserve">might </w:t>
      </w:r>
      <w:r w:rsidR="0007214A" w:rsidRPr="003C5D25">
        <w:rPr>
          <w:noProof/>
          <w:spacing w:val="-8"/>
        </w:rPr>
        <w:t>have</w:t>
      </w:r>
      <w:r w:rsidR="00CB1096" w:rsidRPr="003C5D25">
        <w:rPr>
          <w:noProof/>
          <w:spacing w:val="-8"/>
        </w:rPr>
        <w:t>.</w:t>
      </w:r>
      <w:r w:rsidR="00171A5C" w:rsidRPr="003C5D25" w:rsidDel="002F2FDA">
        <w:rPr>
          <w:noProof/>
          <w:spacing w:val="-8"/>
        </w:rPr>
        <w:t xml:space="preserve"> </w:t>
      </w:r>
      <w:r w:rsidR="00E156A8" w:rsidRPr="003C5D25">
        <w:rPr>
          <w:noProof/>
          <w:spacing w:val="-8"/>
        </w:rPr>
        <w:t>M</w:t>
      </w:r>
      <w:r w:rsidR="00171A5C" w:rsidRPr="003C5D25">
        <w:rPr>
          <w:noProof/>
          <w:spacing w:val="-8"/>
        </w:rPr>
        <w:t xml:space="preserve">DMS platforms </w:t>
      </w:r>
      <w:r w:rsidR="0026350F" w:rsidRPr="003C5D25">
        <w:rPr>
          <w:noProof/>
          <w:spacing w:val="-8"/>
        </w:rPr>
        <w:t>participating in the survey</w:t>
      </w:r>
      <w:r w:rsidR="00171A5C" w:rsidRPr="003C5D25">
        <w:rPr>
          <w:noProof/>
          <w:spacing w:val="-8"/>
        </w:rPr>
        <w:t xml:space="preserve"> were the most </w:t>
      </w:r>
      <w:r w:rsidR="001A6526" w:rsidRPr="003C5D25">
        <w:rPr>
          <w:noProof/>
          <w:spacing w:val="-8"/>
        </w:rPr>
        <w:t xml:space="preserve">sceptical, with 9 out of </w:t>
      </w:r>
      <w:r w:rsidR="00781429" w:rsidRPr="003C5D25">
        <w:rPr>
          <w:noProof/>
          <w:spacing w:val="-8"/>
        </w:rPr>
        <w:t xml:space="preserve">20 finding it ineffective. On the other </w:t>
      </w:r>
      <w:r w:rsidR="00F95284" w:rsidRPr="003C5D25">
        <w:rPr>
          <w:noProof/>
          <w:spacing w:val="-8"/>
        </w:rPr>
        <w:t xml:space="preserve">hand, </w:t>
      </w:r>
      <w:r w:rsidR="00FF3FC4" w:rsidRPr="003C5D25">
        <w:rPr>
          <w:noProof/>
          <w:spacing w:val="-8"/>
        </w:rPr>
        <w:t xml:space="preserve">no transport operators </w:t>
      </w:r>
      <w:r w:rsidR="00BB4D62" w:rsidRPr="003C5D25">
        <w:rPr>
          <w:noProof/>
          <w:spacing w:val="-8"/>
        </w:rPr>
        <w:t>nor national authorit</w:t>
      </w:r>
      <w:r w:rsidR="0026350F" w:rsidRPr="003C5D25">
        <w:rPr>
          <w:noProof/>
          <w:spacing w:val="-8"/>
        </w:rPr>
        <w:t>y</w:t>
      </w:r>
      <w:r w:rsidR="00BB4D62" w:rsidRPr="003C5D25">
        <w:rPr>
          <w:noProof/>
          <w:spacing w:val="-8"/>
        </w:rPr>
        <w:t xml:space="preserve"> </w:t>
      </w:r>
      <w:r w:rsidR="0026350F" w:rsidRPr="003C5D25">
        <w:rPr>
          <w:noProof/>
          <w:spacing w:val="-8"/>
        </w:rPr>
        <w:t>surveyed</w:t>
      </w:r>
      <w:r w:rsidR="00BB4D62" w:rsidRPr="003C5D25">
        <w:rPr>
          <w:noProof/>
          <w:spacing w:val="-8"/>
        </w:rPr>
        <w:t xml:space="preserve"> </w:t>
      </w:r>
      <w:r w:rsidR="00CB769D" w:rsidRPr="003C5D25">
        <w:rPr>
          <w:noProof/>
          <w:spacing w:val="-8"/>
        </w:rPr>
        <w:t>found the measure ineffective</w:t>
      </w:r>
      <w:r w:rsidR="00793FF1" w:rsidRPr="003C5D25">
        <w:rPr>
          <w:noProof/>
          <w:spacing w:val="-8"/>
        </w:rPr>
        <w:t>,</w:t>
      </w:r>
      <w:r w:rsidR="007D24D8" w:rsidRPr="003C5D25">
        <w:rPr>
          <w:noProof/>
          <w:spacing w:val="-8"/>
        </w:rPr>
        <w:t xml:space="preserve"> </w:t>
      </w:r>
      <w:r w:rsidR="004130B6" w:rsidRPr="003C5D25">
        <w:rPr>
          <w:noProof/>
          <w:spacing w:val="-8"/>
        </w:rPr>
        <w:t xml:space="preserve">rather expressing a positive </w:t>
      </w:r>
      <w:r w:rsidR="002E6A6C" w:rsidRPr="003C5D25">
        <w:rPr>
          <w:noProof/>
          <w:spacing w:val="-8"/>
        </w:rPr>
        <w:t xml:space="preserve">or neutral </w:t>
      </w:r>
      <w:r w:rsidR="004130B6" w:rsidRPr="003C5D25">
        <w:rPr>
          <w:noProof/>
          <w:spacing w:val="-8"/>
        </w:rPr>
        <w:t>view of PM</w:t>
      </w:r>
      <w:r w:rsidR="00C52927" w:rsidRPr="003C5D25">
        <w:rPr>
          <w:noProof/>
          <w:spacing w:val="-8"/>
        </w:rPr>
        <w:t xml:space="preserve">4. Finally, </w:t>
      </w:r>
      <w:r w:rsidR="00CD3417" w:rsidRPr="003C5D25">
        <w:rPr>
          <w:noProof/>
          <w:spacing w:val="-8"/>
        </w:rPr>
        <w:t>a majority of stakeholders expressing a view in</w:t>
      </w:r>
      <w:r w:rsidR="00C52927" w:rsidRPr="003C5D25">
        <w:rPr>
          <w:noProof/>
          <w:spacing w:val="-8"/>
        </w:rPr>
        <w:t xml:space="preserve"> </w:t>
      </w:r>
      <w:r w:rsidR="002E6A6C" w:rsidRPr="003C5D25">
        <w:rPr>
          <w:noProof/>
          <w:spacing w:val="-8"/>
        </w:rPr>
        <w:t>‘</w:t>
      </w:r>
      <w:r w:rsidR="00C52927" w:rsidRPr="003C5D25">
        <w:rPr>
          <w:noProof/>
          <w:spacing w:val="-8"/>
        </w:rPr>
        <w:t>Other</w:t>
      </w:r>
      <w:r w:rsidR="002E6A6C" w:rsidRPr="003C5D25">
        <w:rPr>
          <w:noProof/>
          <w:spacing w:val="-8"/>
        </w:rPr>
        <w:t>’</w:t>
      </w:r>
      <w:r w:rsidR="00C52927" w:rsidRPr="003C5D25">
        <w:rPr>
          <w:noProof/>
          <w:spacing w:val="-8"/>
        </w:rPr>
        <w:t xml:space="preserve"> category </w:t>
      </w:r>
      <w:r w:rsidR="00CD3417" w:rsidRPr="003C5D25">
        <w:rPr>
          <w:noProof/>
          <w:spacing w:val="-8"/>
        </w:rPr>
        <w:t>found</w:t>
      </w:r>
      <w:r w:rsidR="00C52927" w:rsidRPr="003C5D25">
        <w:rPr>
          <w:noProof/>
          <w:spacing w:val="-8"/>
        </w:rPr>
        <w:t xml:space="preserve"> PM4 effective </w:t>
      </w:r>
      <w:r w:rsidR="00173E62" w:rsidRPr="003C5D25">
        <w:rPr>
          <w:noProof/>
          <w:spacing w:val="-8"/>
        </w:rPr>
        <w:t xml:space="preserve">(5 out of 9). </w:t>
      </w:r>
    </w:p>
    <w:p w14:paraId="1BD3197D" w14:textId="4ED75575" w:rsidR="00FF6EA8" w:rsidRPr="003C5D25" w:rsidRDefault="00681590" w:rsidP="003C5D25">
      <w:pPr>
        <w:pStyle w:val="BodyText"/>
        <w:spacing w:after="240"/>
        <w:ind w:left="0" w:right="-26"/>
        <w:rPr>
          <w:noProof/>
          <w:spacing w:val="-8"/>
        </w:rPr>
      </w:pPr>
      <w:r w:rsidRPr="003C5D25">
        <w:rPr>
          <w:noProof/>
          <w:spacing w:val="-8"/>
        </w:rPr>
        <w:t xml:space="preserve">In the OPC on </w:t>
      </w:r>
      <w:r w:rsidR="009124DD">
        <w:rPr>
          <w:noProof/>
          <w:spacing w:val="-8"/>
        </w:rPr>
        <w:t>RMB</w:t>
      </w:r>
      <w:r w:rsidRPr="003C5D25">
        <w:rPr>
          <w:noProof/>
          <w:spacing w:val="-8"/>
        </w:rPr>
        <w:t xml:space="preserve"> </w:t>
      </w:r>
      <w:r w:rsidR="00FF6EA8" w:rsidRPr="003C5D25">
        <w:rPr>
          <w:noProof/>
          <w:spacing w:val="-8"/>
        </w:rPr>
        <w:t>“Requirements for commercial agreements on avoiding the misuse of data reuse by third parties” were important to 134 out of 159 respondents.</w:t>
      </w:r>
    </w:p>
    <w:p w14:paraId="1A5B912A" w14:textId="191AC2DC" w:rsidR="00173E62" w:rsidRPr="003C5D25" w:rsidRDefault="0071069F" w:rsidP="003C5D25">
      <w:pPr>
        <w:pStyle w:val="BodyText"/>
        <w:spacing w:after="240"/>
        <w:ind w:left="0" w:right="-26"/>
        <w:rPr>
          <w:noProof/>
          <w:spacing w:val="-8"/>
        </w:rPr>
      </w:pPr>
      <w:r w:rsidRPr="003C5D25">
        <w:rPr>
          <w:noProof/>
          <w:spacing w:val="-8"/>
        </w:rPr>
        <w:t xml:space="preserve">The </w:t>
      </w:r>
      <w:r w:rsidRPr="003C5D25">
        <w:rPr>
          <w:i/>
          <w:noProof/>
          <w:spacing w:val="-8"/>
        </w:rPr>
        <w:t xml:space="preserve">removal of </w:t>
      </w:r>
      <w:r w:rsidR="001E2388" w:rsidRPr="003C5D25">
        <w:rPr>
          <w:i/>
          <w:noProof/>
          <w:spacing w:val="-8"/>
        </w:rPr>
        <w:t xml:space="preserve">provisions from the CRS Code of Conduct on data protection </w:t>
      </w:r>
      <w:r w:rsidR="00EC1161" w:rsidRPr="003C5D25">
        <w:rPr>
          <w:i/>
          <w:noProof/>
          <w:spacing w:val="-8"/>
        </w:rPr>
        <w:t>no longer necessary due to GDPR</w:t>
      </w:r>
      <w:r w:rsidR="00EC1161" w:rsidRPr="003C5D25">
        <w:rPr>
          <w:noProof/>
          <w:spacing w:val="-8"/>
        </w:rPr>
        <w:t xml:space="preserve"> (</w:t>
      </w:r>
      <w:r w:rsidR="00EC1161" w:rsidRPr="003C5D25">
        <w:rPr>
          <w:b/>
          <w:noProof/>
          <w:spacing w:val="-8"/>
        </w:rPr>
        <w:t>PM5</w:t>
      </w:r>
      <w:r w:rsidR="00EC1161" w:rsidRPr="003C5D25">
        <w:rPr>
          <w:noProof/>
          <w:spacing w:val="-8"/>
        </w:rPr>
        <w:t>) was perceived as effective by 9 out of 66 stakeholders</w:t>
      </w:r>
      <w:r w:rsidR="00E959CF" w:rsidRPr="003C5D25">
        <w:rPr>
          <w:noProof/>
          <w:spacing w:val="-8"/>
        </w:rPr>
        <w:t xml:space="preserve"> surveyed</w:t>
      </w:r>
      <w:r w:rsidR="00EC1161" w:rsidRPr="003C5D25">
        <w:rPr>
          <w:noProof/>
          <w:spacing w:val="-8"/>
        </w:rPr>
        <w:t xml:space="preserve">, ineffective by 10 and 47 were either neutral (22) or did not know (25). </w:t>
      </w:r>
      <w:r w:rsidR="0074424A" w:rsidRPr="003C5D25">
        <w:rPr>
          <w:noProof/>
          <w:spacing w:val="-8"/>
        </w:rPr>
        <w:t>In a</w:t>
      </w:r>
      <w:r w:rsidR="00D020F0" w:rsidRPr="003C5D25">
        <w:rPr>
          <w:noProof/>
          <w:spacing w:val="-8"/>
        </w:rPr>
        <w:t xml:space="preserve">ll stakeholder groups </w:t>
      </w:r>
      <w:r w:rsidR="0074424A" w:rsidRPr="003C5D25">
        <w:rPr>
          <w:noProof/>
          <w:spacing w:val="-8"/>
        </w:rPr>
        <w:t xml:space="preserve">a majority participants </w:t>
      </w:r>
      <w:r w:rsidR="003E55EB" w:rsidRPr="003C5D25">
        <w:rPr>
          <w:noProof/>
          <w:spacing w:val="-8"/>
        </w:rPr>
        <w:t>express</w:t>
      </w:r>
      <w:r w:rsidR="0074424A" w:rsidRPr="003C5D25">
        <w:rPr>
          <w:noProof/>
          <w:spacing w:val="-8"/>
        </w:rPr>
        <w:t>ed</w:t>
      </w:r>
      <w:r w:rsidR="003E55EB" w:rsidRPr="003C5D25">
        <w:rPr>
          <w:noProof/>
          <w:spacing w:val="-8"/>
        </w:rPr>
        <w:t xml:space="preserve"> a neutral opinion, or did not know the effect of PM5. </w:t>
      </w:r>
    </w:p>
    <w:p w14:paraId="394615B3" w14:textId="1FAD62BB" w:rsidR="00E87FD2" w:rsidRPr="003C5D25" w:rsidRDefault="008D41A6" w:rsidP="003C5D25">
      <w:pPr>
        <w:pStyle w:val="BodyText"/>
        <w:spacing w:after="240"/>
        <w:ind w:left="0" w:right="-26"/>
        <w:rPr>
          <w:noProof/>
          <w:spacing w:val="-8"/>
        </w:rPr>
      </w:pPr>
      <w:r w:rsidRPr="003C5D25">
        <w:rPr>
          <w:noProof/>
          <w:spacing w:val="-8"/>
        </w:rPr>
        <w:t xml:space="preserve">In the stakeholder consultation related to the revision of the CRS Code of Conduct, air carriers, CRS providers and MSEs </w:t>
      </w:r>
      <w:r w:rsidR="001229E6" w:rsidRPr="003C5D25">
        <w:rPr>
          <w:noProof/>
          <w:spacing w:val="-8"/>
        </w:rPr>
        <w:t xml:space="preserve">who </w:t>
      </w:r>
      <w:r w:rsidR="00665FBD" w:rsidRPr="003C5D25">
        <w:rPr>
          <w:noProof/>
          <w:spacing w:val="-8"/>
        </w:rPr>
        <w:t xml:space="preserve">participated in the survey </w:t>
      </w:r>
      <w:r w:rsidRPr="003C5D25">
        <w:rPr>
          <w:noProof/>
          <w:spacing w:val="-8"/>
        </w:rPr>
        <w:t xml:space="preserve">stated that Article 11 could be repealed as protections on personal data are now covered under GDPR. </w:t>
      </w:r>
    </w:p>
    <w:p w14:paraId="232CCC15" w14:textId="284B39DE" w:rsidR="001E7640" w:rsidRPr="003C5D25" w:rsidRDefault="006554B7" w:rsidP="003C5D25">
      <w:pPr>
        <w:pStyle w:val="BodyText"/>
        <w:spacing w:after="240"/>
        <w:ind w:left="0" w:right="-26"/>
        <w:rPr>
          <w:noProof/>
          <w:spacing w:val="-8"/>
        </w:rPr>
      </w:pPr>
      <w:r w:rsidRPr="003C5D25">
        <w:rPr>
          <w:noProof/>
          <w:spacing w:val="-8"/>
        </w:rPr>
        <w:t xml:space="preserve">The </w:t>
      </w:r>
      <w:r w:rsidRPr="003C5D25">
        <w:rPr>
          <w:i/>
          <w:noProof/>
          <w:spacing w:val="-8"/>
        </w:rPr>
        <w:t xml:space="preserve">obligation for Member States to appoint </w:t>
      </w:r>
      <w:r w:rsidR="00C729EC" w:rsidRPr="003C5D25">
        <w:rPr>
          <w:i/>
          <w:noProof/>
          <w:spacing w:val="-8"/>
        </w:rPr>
        <w:t xml:space="preserve">a national authority </w:t>
      </w:r>
      <w:r w:rsidR="00B60076" w:rsidRPr="003C5D25">
        <w:rPr>
          <w:i/>
          <w:noProof/>
          <w:spacing w:val="-8"/>
        </w:rPr>
        <w:t>to settle disputes between parties</w:t>
      </w:r>
      <w:r w:rsidR="00B60076" w:rsidRPr="003C5D25">
        <w:rPr>
          <w:noProof/>
          <w:spacing w:val="-8"/>
        </w:rPr>
        <w:t xml:space="preserve"> </w:t>
      </w:r>
      <w:r w:rsidR="000C7BF5" w:rsidRPr="003C5D25">
        <w:rPr>
          <w:noProof/>
          <w:spacing w:val="-8"/>
        </w:rPr>
        <w:t>(</w:t>
      </w:r>
      <w:r w:rsidR="000C7BF5" w:rsidRPr="003C5D25">
        <w:rPr>
          <w:b/>
          <w:noProof/>
          <w:spacing w:val="-8"/>
        </w:rPr>
        <w:t>PM6</w:t>
      </w:r>
      <w:r w:rsidR="000C7BF5" w:rsidRPr="003C5D25">
        <w:rPr>
          <w:noProof/>
          <w:spacing w:val="-8"/>
        </w:rPr>
        <w:t xml:space="preserve">) </w:t>
      </w:r>
      <w:r w:rsidR="0026796D" w:rsidRPr="003C5D25">
        <w:rPr>
          <w:noProof/>
          <w:spacing w:val="-8"/>
        </w:rPr>
        <w:t>was p</w:t>
      </w:r>
      <w:r w:rsidR="004E254D" w:rsidRPr="003C5D25">
        <w:rPr>
          <w:noProof/>
          <w:spacing w:val="-8"/>
        </w:rPr>
        <w:t xml:space="preserve">erceived as effective by </w:t>
      </w:r>
      <w:r w:rsidR="002B114D">
        <w:rPr>
          <w:noProof/>
          <w:spacing w:val="-8"/>
        </w:rPr>
        <w:t>36</w:t>
      </w:r>
      <w:r w:rsidR="008E3899" w:rsidRPr="003C5D25">
        <w:rPr>
          <w:noProof/>
          <w:spacing w:val="-8"/>
        </w:rPr>
        <w:t xml:space="preserve"> </w:t>
      </w:r>
      <w:r w:rsidR="00F164A8" w:rsidRPr="003C5D25">
        <w:rPr>
          <w:noProof/>
          <w:spacing w:val="-8"/>
        </w:rPr>
        <w:t xml:space="preserve">out of </w:t>
      </w:r>
      <w:r w:rsidR="002B114D">
        <w:rPr>
          <w:noProof/>
          <w:spacing w:val="-8"/>
        </w:rPr>
        <w:t>71</w:t>
      </w:r>
      <w:r w:rsidR="00F164A8" w:rsidRPr="003C5D25">
        <w:rPr>
          <w:noProof/>
          <w:spacing w:val="-8"/>
        </w:rPr>
        <w:t xml:space="preserve"> stakeholders</w:t>
      </w:r>
      <w:r w:rsidR="00086BA6" w:rsidRPr="003C5D25">
        <w:rPr>
          <w:noProof/>
          <w:spacing w:val="-8"/>
        </w:rPr>
        <w:t xml:space="preserve"> surveyed</w:t>
      </w:r>
      <w:r w:rsidR="003D3E79">
        <w:rPr>
          <w:noProof/>
          <w:spacing w:val="-8"/>
        </w:rPr>
        <w:t xml:space="preserve"> in tackling problem 1</w:t>
      </w:r>
      <w:r w:rsidR="000C7BF5" w:rsidRPr="003C5D25">
        <w:rPr>
          <w:noProof/>
          <w:spacing w:val="-8"/>
        </w:rPr>
        <w:t xml:space="preserve">, </w:t>
      </w:r>
      <w:r w:rsidR="003B6CF3" w:rsidRPr="003C5D25">
        <w:rPr>
          <w:noProof/>
          <w:spacing w:val="-8"/>
        </w:rPr>
        <w:t>1</w:t>
      </w:r>
      <w:r w:rsidR="00F4605B">
        <w:rPr>
          <w:noProof/>
          <w:spacing w:val="-8"/>
        </w:rPr>
        <w:t>4</w:t>
      </w:r>
      <w:r w:rsidR="003B6CF3" w:rsidRPr="003C5D25">
        <w:rPr>
          <w:noProof/>
          <w:spacing w:val="-8"/>
        </w:rPr>
        <w:t xml:space="preserve"> f</w:t>
      </w:r>
      <w:r w:rsidR="00086BA6" w:rsidRPr="003C5D25">
        <w:rPr>
          <w:noProof/>
          <w:spacing w:val="-8"/>
        </w:rPr>
        <w:t>ou</w:t>
      </w:r>
      <w:r w:rsidR="003B6CF3" w:rsidRPr="003C5D25">
        <w:rPr>
          <w:noProof/>
          <w:spacing w:val="-8"/>
        </w:rPr>
        <w:t xml:space="preserve">nd it ineffective and </w:t>
      </w:r>
      <w:r w:rsidR="0020600F" w:rsidRPr="003C5D25">
        <w:rPr>
          <w:noProof/>
          <w:spacing w:val="-8"/>
        </w:rPr>
        <w:t>2</w:t>
      </w:r>
      <w:r w:rsidR="00F4605B">
        <w:rPr>
          <w:noProof/>
          <w:spacing w:val="-8"/>
        </w:rPr>
        <w:t>1</w:t>
      </w:r>
      <w:r w:rsidR="0020600F" w:rsidRPr="003C5D25">
        <w:rPr>
          <w:noProof/>
          <w:spacing w:val="-8"/>
        </w:rPr>
        <w:t xml:space="preserve"> were either neutral (1</w:t>
      </w:r>
      <w:r w:rsidR="00F4605B">
        <w:rPr>
          <w:noProof/>
          <w:spacing w:val="-8"/>
        </w:rPr>
        <w:t>4</w:t>
      </w:r>
      <w:r w:rsidR="0020600F" w:rsidRPr="003C5D25">
        <w:rPr>
          <w:noProof/>
          <w:spacing w:val="-8"/>
        </w:rPr>
        <w:t>) or did not know (</w:t>
      </w:r>
      <w:r w:rsidR="00F4605B">
        <w:rPr>
          <w:noProof/>
          <w:spacing w:val="-8"/>
        </w:rPr>
        <w:t>7</w:t>
      </w:r>
      <w:r w:rsidR="0020600F" w:rsidRPr="003C5D25">
        <w:rPr>
          <w:noProof/>
          <w:spacing w:val="-8"/>
        </w:rPr>
        <w:t xml:space="preserve">). </w:t>
      </w:r>
      <w:r w:rsidR="00D24BAA" w:rsidRPr="003C5D25">
        <w:rPr>
          <w:noProof/>
          <w:spacing w:val="-8"/>
        </w:rPr>
        <w:t xml:space="preserve">Among neither of the stakeholder groups surveyed </w:t>
      </w:r>
      <w:r w:rsidR="005965D9" w:rsidRPr="003C5D25">
        <w:rPr>
          <w:noProof/>
          <w:spacing w:val="-8"/>
        </w:rPr>
        <w:t xml:space="preserve">was gathered a majority of </w:t>
      </w:r>
      <w:r w:rsidR="00470F6D" w:rsidRPr="003C5D25">
        <w:rPr>
          <w:noProof/>
          <w:spacing w:val="-8"/>
        </w:rPr>
        <w:t>sceptical opinion on PM6</w:t>
      </w:r>
      <w:r w:rsidR="001B31BC" w:rsidRPr="003C5D25">
        <w:rPr>
          <w:noProof/>
          <w:spacing w:val="-8"/>
        </w:rPr>
        <w:t xml:space="preserve">, with a majority of answers </w:t>
      </w:r>
      <w:r w:rsidR="00AE0059" w:rsidRPr="003C5D25">
        <w:rPr>
          <w:noProof/>
          <w:spacing w:val="-8"/>
        </w:rPr>
        <w:t xml:space="preserve">collected presenting </w:t>
      </w:r>
      <w:r w:rsidR="00AD3EDE" w:rsidRPr="003C5D25">
        <w:rPr>
          <w:noProof/>
          <w:spacing w:val="-8"/>
        </w:rPr>
        <w:t>a majority of</w:t>
      </w:r>
      <w:r w:rsidR="00AE0059" w:rsidRPr="003C5D25">
        <w:rPr>
          <w:noProof/>
          <w:spacing w:val="-8"/>
        </w:rPr>
        <w:t xml:space="preserve"> positive position towards PM6</w:t>
      </w:r>
      <w:r w:rsidR="00AE0059" w:rsidRPr="003C5D25">
        <w:rPr>
          <w:rStyle w:val="FootnoteReference"/>
          <w:noProof/>
          <w:spacing w:val="-8"/>
        </w:rPr>
        <w:footnoteReference w:id="246"/>
      </w:r>
      <w:r w:rsidR="00AE0059" w:rsidRPr="003C5D25">
        <w:rPr>
          <w:noProof/>
          <w:spacing w:val="-8"/>
        </w:rPr>
        <w:t xml:space="preserve">. </w:t>
      </w:r>
      <w:r w:rsidR="000A7B8C">
        <w:rPr>
          <w:noProof/>
          <w:spacing w:val="-8"/>
        </w:rPr>
        <w:t>Regarding stakeholders’ views on PM6 in relation to problem 2, stakeholders appeared more neutral</w:t>
      </w:r>
      <w:r w:rsidR="00D438ED">
        <w:rPr>
          <w:noProof/>
          <w:spacing w:val="-8"/>
        </w:rPr>
        <w:t>, with 27 of 56 respondents being neutral to PM6 in relation to problem 2</w:t>
      </w:r>
    </w:p>
    <w:p w14:paraId="65D82AA5" w14:textId="6D2D9A63" w:rsidR="00FC277C" w:rsidRPr="003C5D25" w:rsidRDefault="00796E12" w:rsidP="003C5D25">
      <w:pPr>
        <w:pStyle w:val="BodyText"/>
        <w:spacing w:after="240"/>
        <w:ind w:left="0" w:right="-26"/>
        <w:rPr>
          <w:noProof/>
          <w:spacing w:val="-8"/>
        </w:rPr>
      </w:pPr>
      <w:r w:rsidRPr="003C5D25">
        <w:rPr>
          <w:noProof/>
          <w:spacing w:val="-8"/>
        </w:rPr>
        <w:t xml:space="preserve">The </w:t>
      </w:r>
      <w:r w:rsidRPr="003C5D25">
        <w:rPr>
          <w:i/>
          <w:noProof/>
          <w:spacing w:val="-8"/>
        </w:rPr>
        <w:t xml:space="preserve">obligation for </w:t>
      </w:r>
      <w:r w:rsidR="00086420" w:rsidRPr="003C5D25">
        <w:rPr>
          <w:i/>
          <w:noProof/>
          <w:spacing w:val="-8"/>
        </w:rPr>
        <w:t xml:space="preserve">all B2C MDMS to share non-personal data for mobility </w:t>
      </w:r>
      <w:r w:rsidR="00C57D5B" w:rsidRPr="003C5D25">
        <w:rPr>
          <w:i/>
          <w:noProof/>
          <w:spacing w:val="-8"/>
        </w:rPr>
        <w:t xml:space="preserve">management </w:t>
      </w:r>
      <w:r w:rsidR="008A2449" w:rsidRPr="003C5D25">
        <w:rPr>
          <w:i/>
          <w:noProof/>
          <w:spacing w:val="-8"/>
        </w:rPr>
        <w:t>with public authorities</w:t>
      </w:r>
      <w:r w:rsidR="008A2449" w:rsidRPr="003C5D25">
        <w:rPr>
          <w:noProof/>
          <w:spacing w:val="-8"/>
        </w:rPr>
        <w:t xml:space="preserve"> </w:t>
      </w:r>
      <w:r w:rsidR="00373A48" w:rsidRPr="003C5D25">
        <w:rPr>
          <w:noProof/>
          <w:spacing w:val="-8"/>
        </w:rPr>
        <w:t>(</w:t>
      </w:r>
      <w:r w:rsidR="00373A48" w:rsidRPr="003C5D25">
        <w:rPr>
          <w:b/>
          <w:noProof/>
          <w:spacing w:val="-8"/>
        </w:rPr>
        <w:t>PM7</w:t>
      </w:r>
      <w:r w:rsidR="00373A48" w:rsidRPr="003C5D25">
        <w:rPr>
          <w:noProof/>
          <w:spacing w:val="-8"/>
        </w:rPr>
        <w:t xml:space="preserve">) </w:t>
      </w:r>
      <w:r w:rsidR="00E70C77" w:rsidRPr="003C5D25">
        <w:rPr>
          <w:noProof/>
          <w:spacing w:val="-8"/>
        </w:rPr>
        <w:t>was seen as effective by 15 out of 71 stakeholders</w:t>
      </w:r>
      <w:r w:rsidR="00CA61D6" w:rsidRPr="003C5D25">
        <w:rPr>
          <w:noProof/>
          <w:spacing w:val="-8"/>
        </w:rPr>
        <w:t xml:space="preserve"> surveyed</w:t>
      </w:r>
      <w:r w:rsidR="00E70C77" w:rsidRPr="003C5D25">
        <w:rPr>
          <w:noProof/>
          <w:spacing w:val="-8"/>
        </w:rPr>
        <w:t xml:space="preserve">, ineffective by 20 and </w:t>
      </w:r>
      <w:r w:rsidR="00A250BE" w:rsidRPr="003C5D25">
        <w:rPr>
          <w:noProof/>
          <w:spacing w:val="-8"/>
        </w:rPr>
        <w:t>36</w:t>
      </w:r>
      <w:r w:rsidR="00DF2021" w:rsidRPr="003C5D25">
        <w:rPr>
          <w:noProof/>
          <w:spacing w:val="-8"/>
        </w:rPr>
        <w:t xml:space="preserve"> were either neutral </w:t>
      </w:r>
      <w:r w:rsidR="00A250BE" w:rsidRPr="003C5D25">
        <w:rPr>
          <w:noProof/>
          <w:spacing w:val="-8"/>
        </w:rPr>
        <w:t>(27) or did not know (9)</w:t>
      </w:r>
      <w:r w:rsidR="00DE2D3F" w:rsidRPr="003C5D25">
        <w:rPr>
          <w:noProof/>
          <w:spacing w:val="-8"/>
        </w:rPr>
        <w:t xml:space="preserve">. MDMS platforms </w:t>
      </w:r>
      <w:r w:rsidR="00BA3CE5" w:rsidRPr="003C5D25">
        <w:rPr>
          <w:noProof/>
          <w:spacing w:val="-8"/>
        </w:rPr>
        <w:t>surveyed</w:t>
      </w:r>
      <w:r w:rsidR="00DE2D3F" w:rsidRPr="003C5D25">
        <w:rPr>
          <w:noProof/>
          <w:spacing w:val="-8"/>
        </w:rPr>
        <w:t xml:space="preserve"> </w:t>
      </w:r>
      <w:r w:rsidR="0048204A" w:rsidRPr="003C5D25">
        <w:rPr>
          <w:noProof/>
          <w:spacing w:val="-8"/>
        </w:rPr>
        <w:t>appeared to be the most sce</w:t>
      </w:r>
      <w:r w:rsidR="00373A48" w:rsidRPr="003C5D25">
        <w:rPr>
          <w:noProof/>
          <w:spacing w:val="-8"/>
        </w:rPr>
        <w:t>p</w:t>
      </w:r>
      <w:r w:rsidR="0048204A" w:rsidRPr="003C5D25">
        <w:rPr>
          <w:noProof/>
          <w:spacing w:val="-8"/>
        </w:rPr>
        <w:t xml:space="preserve">tical group, </w:t>
      </w:r>
      <w:r w:rsidR="00A7169C" w:rsidRPr="003C5D25">
        <w:rPr>
          <w:noProof/>
          <w:spacing w:val="-8"/>
        </w:rPr>
        <w:t xml:space="preserve">with 11 out of </w:t>
      </w:r>
      <w:r w:rsidR="00373A48" w:rsidRPr="003C5D25">
        <w:rPr>
          <w:noProof/>
          <w:spacing w:val="-8"/>
        </w:rPr>
        <w:t xml:space="preserve">20 to find it ineffective. </w:t>
      </w:r>
    </w:p>
    <w:p w14:paraId="0D121BAE" w14:textId="16B8DEEA" w:rsidR="00187610" w:rsidRPr="003C5D25" w:rsidRDefault="00187610" w:rsidP="003C5D25">
      <w:pPr>
        <w:pStyle w:val="BodyText"/>
        <w:spacing w:after="240"/>
        <w:ind w:left="0" w:right="-26"/>
        <w:rPr>
          <w:rFonts w:eastAsiaTheme="minorEastAsia"/>
          <w:noProof/>
          <w:spacing w:val="-8"/>
        </w:rPr>
      </w:pPr>
      <w:r w:rsidRPr="003C5D25">
        <w:rPr>
          <w:rFonts w:eastAsiaTheme="minorEastAsia"/>
          <w:noProof/>
          <w:spacing w:val="-8"/>
        </w:rPr>
        <w:t xml:space="preserve">The passenger organisation </w:t>
      </w:r>
      <w:r w:rsidR="003E06DF" w:rsidRPr="003C5D25">
        <w:rPr>
          <w:rFonts w:eastAsiaTheme="minorEastAsia"/>
          <w:noProof/>
          <w:spacing w:val="-8"/>
        </w:rPr>
        <w:t>providing feedback to</w:t>
      </w:r>
      <w:r w:rsidR="00566980" w:rsidRPr="003C5D25">
        <w:rPr>
          <w:rFonts w:eastAsiaTheme="minorEastAsia"/>
          <w:noProof/>
          <w:spacing w:val="-8"/>
        </w:rPr>
        <w:t xml:space="preserve"> the IIA on Code of Conduct for CRSs </w:t>
      </w:r>
      <w:r w:rsidRPr="003C5D25">
        <w:rPr>
          <w:rFonts w:eastAsiaTheme="minorEastAsia"/>
          <w:noProof/>
          <w:spacing w:val="-8"/>
        </w:rPr>
        <w:t>postulated that the access to transport service providers data should be ensured in order to provide travellers with more information both on air and non-air travel options.</w:t>
      </w:r>
    </w:p>
    <w:p w14:paraId="568212FE" w14:textId="1BBA4941" w:rsidR="00F6379D" w:rsidRPr="003C5D25" w:rsidRDefault="00462181" w:rsidP="003C5D25">
      <w:pPr>
        <w:pStyle w:val="BodyText"/>
        <w:spacing w:after="240"/>
        <w:ind w:left="0" w:right="-26"/>
        <w:rPr>
          <w:noProof/>
          <w:spacing w:val="-8"/>
        </w:rPr>
      </w:pPr>
      <w:r w:rsidRPr="003C5D25">
        <w:rPr>
          <w:noProof/>
          <w:spacing w:val="-8"/>
        </w:rPr>
        <w:t xml:space="preserve">The </w:t>
      </w:r>
      <w:r w:rsidRPr="003C5D25">
        <w:rPr>
          <w:i/>
          <w:noProof/>
          <w:spacing w:val="-8"/>
        </w:rPr>
        <w:t xml:space="preserve">obligation for all B2B and B2C MDMS to display </w:t>
      </w:r>
      <w:r w:rsidR="005C0F14" w:rsidRPr="003C5D25">
        <w:rPr>
          <w:i/>
          <w:noProof/>
          <w:spacing w:val="-8"/>
        </w:rPr>
        <w:t xml:space="preserve">information on GHG emissions of trips only when the data is provided </w:t>
      </w:r>
      <w:r w:rsidR="0063017C" w:rsidRPr="003C5D25">
        <w:rPr>
          <w:i/>
          <w:noProof/>
          <w:spacing w:val="-8"/>
        </w:rPr>
        <w:t>by the operators</w:t>
      </w:r>
      <w:r w:rsidR="0063017C" w:rsidRPr="003C5D25">
        <w:rPr>
          <w:noProof/>
          <w:spacing w:val="-8"/>
        </w:rPr>
        <w:t xml:space="preserve"> </w:t>
      </w:r>
      <w:r w:rsidR="003942CC" w:rsidRPr="003C5D25">
        <w:rPr>
          <w:noProof/>
          <w:spacing w:val="-8"/>
        </w:rPr>
        <w:t>(</w:t>
      </w:r>
      <w:r w:rsidR="003942CC" w:rsidRPr="003C5D25">
        <w:rPr>
          <w:b/>
          <w:noProof/>
          <w:spacing w:val="-8"/>
        </w:rPr>
        <w:t>PM8</w:t>
      </w:r>
      <w:r w:rsidR="003942CC" w:rsidRPr="003C5D25">
        <w:rPr>
          <w:noProof/>
          <w:spacing w:val="-8"/>
        </w:rPr>
        <w:t xml:space="preserve">) </w:t>
      </w:r>
      <w:r w:rsidR="0063017C" w:rsidRPr="003C5D25">
        <w:rPr>
          <w:noProof/>
          <w:spacing w:val="-8"/>
        </w:rPr>
        <w:t xml:space="preserve">was perceived as effective by 28 out of 71 </w:t>
      </w:r>
      <w:r w:rsidR="001B4D91" w:rsidRPr="003C5D25">
        <w:rPr>
          <w:noProof/>
          <w:spacing w:val="-8"/>
        </w:rPr>
        <w:t>stakeholders</w:t>
      </w:r>
      <w:r w:rsidR="00BA3CE5" w:rsidRPr="003C5D25">
        <w:rPr>
          <w:noProof/>
          <w:spacing w:val="-8"/>
        </w:rPr>
        <w:t xml:space="preserve"> surveyed</w:t>
      </w:r>
      <w:r w:rsidR="001B4D91" w:rsidRPr="003C5D25">
        <w:rPr>
          <w:noProof/>
          <w:spacing w:val="-8"/>
        </w:rPr>
        <w:t xml:space="preserve">, </w:t>
      </w:r>
      <w:r w:rsidR="00CF7F05" w:rsidRPr="003C5D25">
        <w:rPr>
          <w:noProof/>
          <w:spacing w:val="-8"/>
        </w:rPr>
        <w:t xml:space="preserve">ineffective by 25 and </w:t>
      </w:r>
      <w:r w:rsidR="00991026" w:rsidRPr="003C5D25">
        <w:rPr>
          <w:noProof/>
          <w:spacing w:val="-8"/>
        </w:rPr>
        <w:t xml:space="preserve">18 were either neutral (16) or did not know (2). </w:t>
      </w:r>
      <w:r w:rsidR="00170D8E" w:rsidRPr="003C5D25">
        <w:rPr>
          <w:noProof/>
          <w:spacing w:val="-8"/>
        </w:rPr>
        <w:t>Stakeholders in</w:t>
      </w:r>
      <w:r w:rsidR="00B94B7A" w:rsidRPr="003C5D25">
        <w:rPr>
          <w:noProof/>
          <w:spacing w:val="-8"/>
        </w:rPr>
        <w:t xml:space="preserve"> </w:t>
      </w:r>
      <w:r w:rsidR="00170D8E" w:rsidRPr="003C5D25">
        <w:rPr>
          <w:noProof/>
          <w:spacing w:val="-8"/>
        </w:rPr>
        <w:t>“</w:t>
      </w:r>
      <w:r w:rsidR="00B94B7A" w:rsidRPr="003C5D25">
        <w:rPr>
          <w:noProof/>
          <w:spacing w:val="-8"/>
        </w:rPr>
        <w:t>Other</w:t>
      </w:r>
      <w:r w:rsidR="00170D8E" w:rsidRPr="003C5D25">
        <w:rPr>
          <w:noProof/>
          <w:spacing w:val="-8"/>
        </w:rPr>
        <w:t>”</w:t>
      </w:r>
      <w:r w:rsidR="00B94B7A" w:rsidRPr="003C5D25">
        <w:rPr>
          <w:noProof/>
          <w:spacing w:val="-8"/>
        </w:rPr>
        <w:t xml:space="preserve"> category </w:t>
      </w:r>
      <w:r w:rsidR="006E458F" w:rsidRPr="003C5D25">
        <w:rPr>
          <w:noProof/>
          <w:spacing w:val="-8"/>
        </w:rPr>
        <w:t xml:space="preserve">gathered the biggest proportion of positive </w:t>
      </w:r>
      <w:r w:rsidR="00927C15" w:rsidRPr="003C5D25">
        <w:rPr>
          <w:noProof/>
          <w:spacing w:val="-8"/>
        </w:rPr>
        <w:t xml:space="preserve">response to PM8, with 6 out of 10 finding it effective. </w:t>
      </w:r>
    </w:p>
    <w:p w14:paraId="2A019F30" w14:textId="3C7B2EF2" w:rsidR="00AE0059" w:rsidRPr="003C5D25" w:rsidRDefault="00FB1249" w:rsidP="003C5D25">
      <w:pPr>
        <w:pStyle w:val="BodyText"/>
        <w:spacing w:after="240"/>
        <w:ind w:left="0" w:right="-26"/>
        <w:rPr>
          <w:noProof/>
          <w:spacing w:val="-8"/>
        </w:rPr>
      </w:pPr>
      <w:r w:rsidRPr="003C5D25">
        <w:rPr>
          <w:noProof/>
          <w:spacing w:val="-8"/>
        </w:rPr>
        <w:t xml:space="preserve">In the OPC </w:t>
      </w:r>
      <w:r w:rsidR="005C4BB2" w:rsidRPr="003C5D25">
        <w:rPr>
          <w:noProof/>
          <w:spacing w:val="-8"/>
        </w:rPr>
        <w:t>on the issue of “ensuring that multimodal digital mobility services enhance the efficiency and sustainability of the transport system”, a large share of the responses (85%) stated that carbon footprint information was moderately or very important (144 out of 169 respondents). Of those who chose to respond to this question only 12% stated that this measure was not important (20 out of 169 respondents).</w:t>
      </w:r>
      <w:r w:rsidR="00AD3EDE" w:rsidRPr="003C5D25">
        <w:rPr>
          <w:noProof/>
          <w:spacing w:val="-8"/>
        </w:rPr>
        <w:t xml:space="preserve">The </w:t>
      </w:r>
      <w:r w:rsidR="00AD3EDE" w:rsidRPr="003C5D25">
        <w:rPr>
          <w:i/>
          <w:noProof/>
          <w:spacing w:val="-8"/>
        </w:rPr>
        <w:t xml:space="preserve">establishment of thresholds to identify </w:t>
      </w:r>
      <w:r w:rsidR="00236F41" w:rsidRPr="003C5D25">
        <w:rPr>
          <w:i/>
          <w:noProof/>
          <w:spacing w:val="-8"/>
        </w:rPr>
        <w:t xml:space="preserve">B2C </w:t>
      </w:r>
      <w:r w:rsidR="00AD3EDE" w:rsidRPr="003C5D25">
        <w:rPr>
          <w:i/>
          <w:noProof/>
          <w:spacing w:val="-8"/>
        </w:rPr>
        <w:t>MDMS</w:t>
      </w:r>
      <w:r w:rsidR="00432AC5" w:rsidRPr="003C5D25">
        <w:rPr>
          <w:i/>
          <w:noProof/>
          <w:spacing w:val="-8"/>
        </w:rPr>
        <w:t xml:space="preserve"> and </w:t>
      </w:r>
      <w:r w:rsidR="001358ED" w:rsidRPr="003C5D25">
        <w:rPr>
          <w:i/>
          <w:noProof/>
          <w:spacing w:val="-8"/>
        </w:rPr>
        <w:t>RU</w:t>
      </w:r>
      <w:r w:rsidR="00432AC5" w:rsidRPr="003C5D25">
        <w:rPr>
          <w:i/>
          <w:noProof/>
          <w:spacing w:val="-8"/>
        </w:rPr>
        <w:t>s with SMP</w:t>
      </w:r>
      <w:r w:rsidR="00C72984" w:rsidRPr="003C5D25">
        <w:rPr>
          <w:noProof/>
          <w:spacing w:val="-8"/>
        </w:rPr>
        <w:t xml:space="preserve"> (</w:t>
      </w:r>
      <w:r w:rsidR="00C72984" w:rsidRPr="003C5D25">
        <w:rPr>
          <w:b/>
          <w:noProof/>
          <w:spacing w:val="-8"/>
        </w:rPr>
        <w:t>PM9</w:t>
      </w:r>
      <w:r w:rsidR="00C72984" w:rsidRPr="003C5D25">
        <w:rPr>
          <w:noProof/>
          <w:spacing w:val="-8"/>
        </w:rPr>
        <w:t xml:space="preserve">) was perceived as </w:t>
      </w:r>
      <w:r w:rsidR="009A6621" w:rsidRPr="003C5D25">
        <w:rPr>
          <w:noProof/>
          <w:spacing w:val="-8"/>
        </w:rPr>
        <w:t xml:space="preserve">effective by </w:t>
      </w:r>
      <w:r w:rsidR="003C5E2F" w:rsidRPr="003C5D25">
        <w:rPr>
          <w:noProof/>
          <w:spacing w:val="-8"/>
        </w:rPr>
        <w:t>14 out of 67 stakeholders</w:t>
      </w:r>
      <w:r w:rsidR="002C6FC2" w:rsidRPr="003C5D25">
        <w:rPr>
          <w:noProof/>
          <w:spacing w:val="-8"/>
        </w:rPr>
        <w:t xml:space="preserve"> surveyed</w:t>
      </w:r>
      <w:r w:rsidR="00401C44">
        <w:rPr>
          <w:noProof/>
          <w:spacing w:val="-8"/>
        </w:rPr>
        <w:t xml:space="preserve"> in tackling problem 2</w:t>
      </w:r>
      <w:r w:rsidR="001B4D08" w:rsidRPr="003C5D25">
        <w:rPr>
          <w:noProof/>
          <w:spacing w:val="-8"/>
        </w:rPr>
        <w:t xml:space="preserve">, ineffective by 15 while 38 were either neutral (17) or did not know (21). </w:t>
      </w:r>
      <w:r w:rsidR="00C02232">
        <w:rPr>
          <w:noProof/>
          <w:spacing w:val="-8"/>
        </w:rPr>
        <w:t xml:space="preserve">Similar responses were found in relation to PM9 in tackling problem 1. </w:t>
      </w:r>
      <w:r w:rsidR="001B4D08" w:rsidRPr="003C5D25">
        <w:rPr>
          <w:noProof/>
          <w:spacing w:val="-8"/>
        </w:rPr>
        <w:t xml:space="preserve">The high </w:t>
      </w:r>
      <w:r w:rsidR="00287F3D" w:rsidRPr="003C5D25">
        <w:rPr>
          <w:noProof/>
          <w:spacing w:val="-8"/>
        </w:rPr>
        <w:t xml:space="preserve">portion of </w:t>
      </w:r>
      <w:r w:rsidR="008E11CA" w:rsidRPr="003C5D25">
        <w:rPr>
          <w:noProof/>
          <w:spacing w:val="-8"/>
        </w:rPr>
        <w:t xml:space="preserve">neutral/ unknown answers can be explained by the fact that </w:t>
      </w:r>
      <w:r w:rsidR="000F2F16" w:rsidRPr="003C5D25">
        <w:rPr>
          <w:noProof/>
          <w:spacing w:val="-8"/>
        </w:rPr>
        <w:t xml:space="preserve">the </w:t>
      </w:r>
      <w:r w:rsidR="002C23D3" w:rsidRPr="003C5D25">
        <w:rPr>
          <w:noProof/>
          <w:spacing w:val="-8"/>
        </w:rPr>
        <w:t xml:space="preserve">exact </w:t>
      </w:r>
      <w:r w:rsidR="000F2F16" w:rsidRPr="003C5D25">
        <w:rPr>
          <w:noProof/>
          <w:spacing w:val="-8"/>
        </w:rPr>
        <w:t>thresholds</w:t>
      </w:r>
      <w:r w:rsidR="00D07DF6" w:rsidRPr="003C5D25">
        <w:rPr>
          <w:noProof/>
          <w:spacing w:val="-8"/>
        </w:rPr>
        <w:t xml:space="preserve"> </w:t>
      </w:r>
      <w:r w:rsidR="002C23D3" w:rsidRPr="003C5D25">
        <w:rPr>
          <w:noProof/>
          <w:spacing w:val="-8"/>
        </w:rPr>
        <w:t>had not been shared with stakeholders</w:t>
      </w:r>
      <w:r w:rsidR="00D07DF6" w:rsidRPr="003C5D25">
        <w:rPr>
          <w:noProof/>
          <w:spacing w:val="-8"/>
        </w:rPr>
        <w:t xml:space="preserve"> at the time of the consultation</w:t>
      </w:r>
      <w:r w:rsidR="00C60DD5" w:rsidRPr="003C5D25">
        <w:rPr>
          <w:noProof/>
          <w:spacing w:val="-8"/>
        </w:rPr>
        <w:t xml:space="preserve">, resulting in a lack of clarity on the effect such a measure could have on the market. </w:t>
      </w:r>
      <w:r w:rsidR="00EE2310" w:rsidRPr="003C5D25">
        <w:rPr>
          <w:noProof/>
          <w:spacing w:val="-8"/>
        </w:rPr>
        <w:t xml:space="preserve">As a result, </w:t>
      </w:r>
      <w:r w:rsidR="00C522E7" w:rsidRPr="003C5D25">
        <w:rPr>
          <w:noProof/>
          <w:spacing w:val="-8"/>
        </w:rPr>
        <w:t>a majority of stakeholders surveyed in</w:t>
      </w:r>
      <w:r w:rsidR="00EE2310" w:rsidRPr="003C5D25">
        <w:rPr>
          <w:noProof/>
          <w:spacing w:val="-8"/>
        </w:rPr>
        <w:t xml:space="preserve"> all stakeholder</w:t>
      </w:r>
      <w:r w:rsidR="001C3A37" w:rsidRPr="003C5D25">
        <w:rPr>
          <w:noProof/>
          <w:spacing w:val="-8"/>
        </w:rPr>
        <w:t xml:space="preserve"> groups </w:t>
      </w:r>
      <w:r w:rsidR="003124DE" w:rsidRPr="003C5D25">
        <w:rPr>
          <w:noProof/>
          <w:spacing w:val="-8"/>
        </w:rPr>
        <w:t xml:space="preserve">expressed </w:t>
      </w:r>
      <w:r w:rsidR="001C3A37" w:rsidRPr="003C5D25">
        <w:rPr>
          <w:noProof/>
          <w:spacing w:val="-8"/>
        </w:rPr>
        <w:t xml:space="preserve">neutral/unknown </w:t>
      </w:r>
      <w:r w:rsidR="00B93DB6" w:rsidRPr="003C5D25">
        <w:rPr>
          <w:noProof/>
          <w:spacing w:val="-8"/>
        </w:rPr>
        <w:t>effectiveness</w:t>
      </w:r>
      <w:r w:rsidR="001C3A37" w:rsidRPr="003C5D25">
        <w:rPr>
          <w:rStyle w:val="FootnoteReference"/>
          <w:noProof/>
          <w:spacing w:val="-8"/>
        </w:rPr>
        <w:footnoteReference w:id="247"/>
      </w:r>
      <w:r w:rsidR="001C3A37" w:rsidRPr="003C5D25">
        <w:rPr>
          <w:noProof/>
          <w:spacing w:val="-8"/>
        </w:rPr>
        <w:t xml:space="preserve">. </w:t>
      </w:r>
    </w:p>
    <w:p w14:paraId="2BF43C4B" w14:textId="3A7934C3" w:rsidR="006C5939" w:rsidRPr="003C5D25" w:rsidRDefault="003C349E" w:rsidP="003C5D25">
      <w:pPr>
        <w:pStyle w:val="BodyText"/>
        <w:spacing w:after="240"/>
        <w:ind w:left="0" w:right="-26"/>
        <w:rPr>
          <w:noProof/>
          <w:spacing w:val="-8"/>
        </w:rPr>
      </w:pPr>
      <w:r w:rsidRPr="003C5D25">
        <w:rPr>
          <w:noProof/>
          <w:spacing w:val="-8"/>
        </w:rPr>
        <w:t xml:space="preserve">The </w:t>
      </w:r>
      <w:r w:rsidR="00EC74E8" w:rsidRPr="003C5D25">
        <w:rPr>
          <w:noProof/>
          <w:spacing w:val="-8"/>
        </w:rPr>
        <w:t xml:space="preserve">adoption of </w:t>
      </w:r>
      <w:r w:rsidR="00EC74E8" w:rsidRPr="003C5D25">
        <w:rPr>
          <w:i/>
          <w:noProof/>
          <w:spacing w:val="-8"/>
        </w:rPr>
        <w:t xml:space="preserve">a decision by the EC to </w:t>
      </w:r>
      <w:r w:rsidR="00904352" w:rsidRPr="003C5D25">
        <w:rPr>
          <w:i/>
          <w:noProof/>
          <w:spacing w:val="-8"/>
        </w:rPr>
        <w:t xml:space="preserve">designate indispensable </w:t>
      </w:r>
      <w:r w:rsidR="002E1D85" w:rsidRPr="003C5D25">
        <w:rPr>
          <w:i/>
          <w:noProof/>
          <w:spacing w:val="-8"/>
        </w:rPr>
        <w:t xml:space="preserve">MDMS platforms and </w:t>
      </w:r>
      <w:r w:rsidR="001358ED" w:rsidRPr="003C5D25">
        <w:rPr>
          <w:i/>
          <w:noProof/>
          <w:spacing w:val="-8"/>
        </w:rPr>
        <w:t>RU</w:t>
      </w:r>
      <w:r w:rsidR="00C5699F" w:rsidRPr="003C5D25">
        <w:rPr>
          <w:i/>
          <w:noProof/>
          <w:spacing w:val="-8"/>
        </w:rPr>
        <w:t xml:space="preserve">s </w:t>
      </w:r>
      <w:r w:rsidR="00222460" w:rsidRPr="003C5D25">
        <w:rPr>
          <w:i/>
          <w:noProof/>
          <w:spacing w:val="-8"/>
        </w:rPr>
        <w:t>with SMP at EU and national level</w:t>
      </w:r>
      <w:r w:rsidR="00222460" w:rsidRPr="003C5D25">
        <w:rPr>
          <w:noProof/>
          <w:spacing w:val="-8"/>
        </w:rPr>
        <w:t xml:space="preserve"> </w:t>
      </w:r>
      <w:r w:rsidR="007C042D" w:rsidRPr="003C5D25">
        <w:rPr>
          <w:noProof/>
          <w:spacing w:val="-8"/>
        </w:rPr>
        <w:t>(</w:t>
      </w:r>
      <w:r w:rsidR="007C042D" w:rsidRPr="003C5D25">
        <w:rPr>
          <w:b/>
          <w:noProof/>
          <w:spacing w:val="-8"/>
        </w:rPr>
        <w:t>PM10</w:t>
      </w:r>
      <w:r w:rsidR="007C042D" w:rsidRPr="003C5D25">
        <w:rPr>
          <w:noProof/>
          <w:spacing w:val="-8"/>
        </w:rPr>
        <w:t xml:space="preserve">) </w:t>
      </w:r>
      <w:r w:rsidR="00105361" w:rsidRPr="003C5D25">
        <w:rPr>
          <w:noProof/>
          <w:spacing w:val="-8"/>
        </w:rPr>
        <w:t>was perceived as effective by 16 out of 67 stakeholders</w:t>
      </w:r>
      <w:r w:rsidR="00514ED7" w:rsidRPr="003C5D25">
        <w:rPr>
          <w:noProof/>
          <w:spacing w:val="-8"/>
        </w:rPr>
        <w:t xml:space="preserve"> surveyed</w:t>
      </w:r>
      <w:r w:rsidR="00105361" w:rsidRPr="003C5D25">
        <w:rPr>
          <w:noProof/>
          <w:spacing w:val="-8"/>
        </w:rPr>
        <w:t xml:space="preserve">, </w:t>
      </w:r>
      <w:r w:rsidR="00EB3D65" w:rsidRPr="003C5D25">
        <w:rPr>
          <w:noProof/>
          <w:spacing w:val="-8"/>
        </w:rPr>
        <w:t xml:space="preserve">ineffective by 19, and </w:t>
      </w:r>
      <w:r w:rsidR="00D70FF5" w:rsidRPr="003C5D25">
        <w:rPr>
          <w:noProof/>
          <w:spacing w:val="-8"/>
        </w:rPr>
        <w:t xml:space="preserve">32 were either neutral (14) or did not know (18). As per above, the lack of specific information regarding the </w:t>
      </w:r>
      <w:r w:rsidR="00024846" w:rsidRPr="003C5D25">
        <w:rPr>
          <w:noProof/>
          <w:spacing w:val="-8"/>
        </w:rPr>
        <w:t xml:space="preserve">criteria leading to this designation </w:t>
      </w:r>
      <w:r w:rsidR="007C042D" w:rsidRPr="003C5D25">
        <w:rPr>
          <w:noProof/>
          <w:spacing w:val="-8"/>
        </w:rPr>
        <w:t xml:space="preserve">can explain the high number of </w:t>
      </w:r>
      <w:r w:rsidR="00C51FA4" w:rsidRPr="003C5D25">
        <w:rPr>
          <w:noProof/>
          <w:spacing w:val="-8"/>
        </w:rPr>
        <w:t>“</w:t>
      </w:r>
      <w:r w:rsidR="007C042D" w:rsidRPr="003C5D25">
        <w:rPr>
          <w:noProof/>
          <w:spacing w:val="-8"/>
        </w:rPr>
        <w:t>neutral</w:t>
      </w:r>
      <w:r w:rsidR="00C51FA4" w:rsidRPr="003C5D25">
        <w:rPr>
          <w:noProof/>
          <w:spacing w:val="-8"/>
        </w:rPr>
        <w:t>”</w:t>
      </w:r>
      <w:r w:rsidR="007C042D" w:rsidRPr="003C5D25">
        <w:rPr>
          <w:noProof/>
          <w:spacing w:val="-8"/>
        </w:rPr>
        <w:t>/</w:t>
      </w:r>
      <w:r w:rsidR="00C51FA4" w:rsidRPr="003C5D25">
        <w:rPr>
          <w:noProof/>
          <w:spacing w:val="-8"/>
        </w:rPr>
        <w:t>”</w:t>
      </w:r>
      <w:r w:rsidR="007C042D" w:rsidRPr="003C5D25">
        <w:rPr>
          <w:noProof/>
          <w:spacing w:val="-8"/>
        </w:rPr>
        <w:t>unknown</w:t>
      </w:r>
      <w:r w:rsidR="00C51FA4" w:rsidRPr="003C5D25">
        <w:rPr>
          <w:noProof/>
          <w:spacing w:val="-8"/>
        </w:rPr>
        <w:t>”</w:t>
      </w:r>
      <w:r w:rsidR="007C042D" w:rsidRPr="003C5D25">
        <w:rPr>
          <w:noProof/>
          <w:spacing w:val="-8"/>
        </w:rPr>
        <w:t xml:space="preserve"> answers. </w:t>
      </w:r>
    </w:p>
    <w:p w14:paraId="757C638E" w14:textId="7C876D2F" w:rsidR="00712390" w:rsidRPr="003C5D25" w:rsidRDefault="00A87ECB" w:rsidP="003C5D25">
      <w:pPr>
        <w:pStyle w:val="BodyText"/>
        <w:spacing w:after="240"/>
        <w:ind w:left="0" w:right="-26"/>
        <w:rPr>
          <w:noProof/>
          <w:spacing w:val="-8"/>
        </w:rPr>
      </w:pPr>
      <w:r w:rsidRPr="003C5D25">
        <w:rPr>
          <w:i/>
          <w:noProof/>
          <w:spacing w:val="-8"/>
        </w:rPr>
        <w:t>T</w:t>
      </w:r>
      <w:r w:rsidR="5CB9D352" w:rsidRPr="003C5D25">
        <w:rPr>
          <w:i/>
          <w:noProof/>
          <w:spacing w:val="-8"/>
        </w:rPr>
        <w:t>he</w:t>
      </w:r>
      <w:r w:rsidR="047C8FE3" w:rsidRPr="003C5D25">
        <w:rPr>
          <w:i/>
          <w:noProof/>
          <w:spacing w:val="-8"/>
        </w:rPr>
        <w:t xml:space="preserve"> obligation to respect </w:t>
      </w:r>
      <w:r w:rsidR="00AA076C" w:rsidRPr="003C5D25">
        <w:rPr>
          <w:i/>
          <w:noProof/>
          <w:spacing w:val="-8"/>
        </w:rPr>
        <w:t>fair</w:t>
      </w:r>
      <w:r w:rsidR="047C8FE3" w:rsidRPr="003C5D25">
        <w:rPr>
          <w:i/>
          <w:noProof/>
          <w:spacing w:val="-8"/>
        </w:rPr>
        <w:t xml:space="preserve"> </w:t>
      </w:r>
      <w:r w:rsidR="51337A37" w:rsidRPr="003C5D25">
        <w:rPr>
          <w:i/>
          <w:noProof/>
          <w:spacing w:val="-8"/>
        </w:rPr>
        <w:t>principles when entering into</w:t>
      </w:r>
      <w:r w:rsidR="047C8FE3" w:rsidRPr="003C5D25">
        <w:rPr>
          <w:i/>
          <w:noProof/>
          <w:spacing w:val="-8"/>
        </w:rPr>
        <w:t xml:space="preserve"> commercial agreements for indispensable MDMS and </w:t>
      </w:r>
      <w:r w:rsidR="001358ED" w:rsidRPr="003C5D25">
        <w:rPr>
          <w:i/>
          <w:noProof/>
          <w:spacing w:val="-8"/>
        </w:rPr>
        <w:t>RU</w:t>
      </w:r>
      <w:r w:rsidR="047C8FE3" w:rsidRPr="003C5D25">
        <w:rPr>
          <w:i/>
          <w:noProof/>
          <w:spacing w:val="-8"/>
        </w:rPr>
        <w:t>s</w:t>
      </w:r>
      <w:r w:rsidR="00BC0595" w:rsidRPr="003C5D25">
        <w:rPr>
          <w:i/>
          <w:noProof/>
          <w:spacing w:val="-8"/>
        </w:rPr>
        <w:t xml:space="preserve"> </w:t>
      </w:r>
      <w:r w:rsidR="00485AA5" w:rsidRPr="003C5D25">
        <w:rPr>
          <w:i/>
          <w:noProof/>
          <w:spacing w:val="-8"/>
        </w:rPr>
        <w:t>platforms</w:t>
      </w:r>
      <w:r w:rsidR="00BC0595" w:rsidRPr="003C5D25">
        <w:rPr>
          <w:noProof/>
          <w:spacing w:val="-8"/>
        </w:rPr>
        <w:t xml:space="preserve"> </w:t>
      </w:r>
      <w:r w:rsidR="0088679F" w:rsidRPr="003C5D25">
        <w:rPr>
          <w:noProof/>
          <w:spacing w:val="-8"/>
        </w:rPr>
        <w:t>(</w:t>
      </w:r>
      <w:r w:rsidR="0088679F" w:rsidRPr="003C5D25">
        <w:rPr>
          <w:b/>
          <w:noProof/>
          <w:spacing w:val="-8"/>
        </w:rPr>
        <w:t>PM1</w:t>
      </w:r>
      <w:r w:rsidR="00AD599E" w:rsidRPr="003C5D25">
        <w:rPr>
          <w:b/>
          <w:noProof/>
          <w:spacing w:val="-8"/>
        </w:rPr>
        <w:t>1</w:t>
      </w:r>
      <w:r w:rsidR="0088679F" w:rsidRPr="003C5D25">
        <w:rPr>
          <w:noProof/>
          <w:spacing w:val="-8"/>
        </w:rPr>
        <w:t xml:space="preserve">) </w:t>
      </w:r>
      <w:r w:rsidR="2D4B9F74" w:rsidRPr="003C5D25">
        <w:rPr>
          <w:noProof/>
          <w:spacing w:val="-8"/>
        </w:rPr>
        <w:t>generally</w:t>
      </w:r>
      <w:r w:rsidR="38840DFD" w:rsidRPr="003C5D25">
        <w:rPr>
          <w:noProof/>
          <w:spacing w:val="-8"/>
        </w:rPr>
        <w:t xml:space="preserve"> </w:t>
      </w:r>
      <w:r w:rsidR="000233FD" w:rsidRPr="003C5D25">
        <w:rPr>
          <w:noProof/>
          <w:spacing w:val="-8"/>
        </w:rPr>
        <w:t>seen as effective</w:t>
      </w:r>
      <w:r w:rsidR="00D01F82" w:rsidRPr="003C5D25">
        <w:rPr>
          <w:noProof/>
          <w:spacing w:val="-8"/>
        </w:rPr>
        <w:t xml:space="preserve"> by surveyed stakeholders</w:t>
      </w:r>
      <w:r w:rsidR="00A94B52" w:rsidRPr="003C5D25">
        <w:rPr>
          <w:noProof/>
          <w:spacing w:val="-8"/>
        </w:rPr>
        <w:t xml:space="preserve"> as</w:t>
      </w:r>
      <w:r w:rsidR="38840DFD" w:rsidRPr="003C5D25" w:rsidDel="00D01F82">
        <w:rPr>
          <w:noProof/>
          <w:spacing w:val="-8"/>
        </w:rPr>
        <w:t xml:space="preserve"> PM</w:t>
      </w:r>
      <w:r w:rsidR="6D8FD3E5" w:rsidRPr="003C5D25" w:rsidDel="00D01F82">
        <w:rPr>
          <w:noProof/>
          <w:spacing w:val="-8"/>
        </w:rPr>
        <w:t>12</w:t>
      </w:r>
      <w:r w:rsidR="77779F98" w:rsidRPr="003C5D25">
        <w:rPr>
          <w:noProof/>
          <w:spacing w:val="-8"/>
        </w:rPr>
        <w:t>.</w:t>
      </w:r>
      <w:r w:rsidR="38840DFD" w:rsidRPr="003C5D25">
        <w:rPr>
          <w:noProof/>
          <w:spacing w:val="-8"/>
        </w:rPr>
        <w:t xml:space="preserve"> </w:t>
      </w:r>
      <w:r w:rsidR="6D8FD3E5" w:rsidRPr="003C5D25">
        <w:rPr>
          <w:noProof/>
          <w:spacing w:val="-8"/>
        </w:rPr>
        <w:t>I</w:t>
      </w:r>
      <w:r w:rsidR="5D7453E0" w:rsidRPr="003C5D25">
        <w:rPr>
          <w:noProof/>
          <w:spacing w:val="-8"/>
        </w:rPr>
        <w:t xml:space="preserve">n total, 31 expected it to be </w:t>
      </w:r>
      <w:r w:rsidR="780A4248" w:rsidRPr="003C5D25">
        <w:rPr>
          <w:noProof/>
          <w:spacing w:val="-8"/>
        </w:rPr>
        <w:t>‘</w:t>
      </w:r>
      <w:r w:rsidR="5D7453E0" w:rsidRPr="003C5D25">
        <w:rPr>
          <w:noProof/>
          <w:spacing w:val="-8"/>
        </w:rPr>
        <w:t>very</w:t>
      </w:r>
      <w:r w:rsidR="780A4248" w:rsidRPr="003C5D25">
        <w:rPr>
          <w:noProof/>
          <w:spacing w:val="-8"/>
        </w:rPr>
        <w:t>’</w:t>
      </w:r>
      <w:r w:rsidR="5D7453E0" w:rsidRPr="003C5D25">
        <w:rPr>
          <w:noProof/>
          <w:spacing w:val="-8"/>
        </w:rPr>
        <w:t xml:space="preserve"> </w:t>
      </w:r>
      <w:r w:rsidR="43AAA516" w:rsidRPr="003C5D25">
        <w:rPr>
          <w:noProof/>
          <w:spacing w:val="-8"/>
        </w:rPr>
        <w:t>(</w:t>
      </w:r>
      <w:r w:rsidR="2D71A072" w:rsidRPr="003C5D25">
        <w:rPr>
          <w:noProof/>
          <w:spacing w:val="-8"/>
        </w:rPr>
        <w:t xml:space="preserve">6) </w:t>
      </w:r>
      <w:r w:rsidR="5D7453E0" w:rsidRPr="003C5D25">
        <w:rPr>
          <w:noProof/>
          <w:spacing w:val="-8"/>
        </w:rPr>
        <w:t xml:space="preserve">or </w:t>
      </w:r>
      <w:r w:rsidR="780A4248" w:rsidRPr="003C5D25">
        <w:rPr>
          <w:noProof/>
          <w:spacing w:val="-8"/>
        </w:rPr>
        <w:t>‘</w:t>
      </w:r>
      <w:r w:rsidR="5D7453E0" w:rsidRPr="003C5D25">
        <w:rPr>
          <w:noProof/>
          <w:spacing w:val="-8"/>
        </w:rPr>
        <w:t>somewhat</w:t>
      </w:r>
      <w:r w:rsidR="780A4248" w:rsidRPr="003C5D25">
        <w:rPr>
          <w:noProof/>
          <w:spacing w:val="-8"/>
        </w:rPr>
        <w:t>’</w:t>
      </w:r>
      <w:r w:rsidR="5D7453E0" w:rsidRPr="003C5D25">
        <w:rPr>
          <w:noProof/>
          <w:spacing w:val="-8"/>
        </w:rPr>
        <w:t xml:space="preserve"> effective (</w:t>
      </w:r>
      <w:r w:rsidR="2D71A072" w:rsidRPr="003C5D25">
        <w:rPr>
          <w:noProof/>
          <w:spacing w:val="-8"/>
        </w:rPr>
        <w:t>25</w:t>
      </w:r>
      <w:r w:rsidR="5D7453E0" w:rsidRPr="003C5D25">
        <w:rPr>
          <w:noProof/>
          <w:spacing w:val="-8"/>
        </w:rPr>
        <w:t>)</w:t>
      </w:r>
      <w:r w:rsidR="417FAF09" w:rsidRPr="003C5D25">
        <w:rPr>
          <w:noProof/>
          <w:spacing w:val="-8"/>
        </w:rPr>
        <w:t>.</w:t>
      </w:r>
      <w:r w:rsidR="417FAF09" w:rsidRPr="005D2D60">
        <w:rPr>
          <w:rFonts w:ascii="Arial" w:hAnsi="Arial" w:cs="Arial"/>
          <w:noProof/>
          <w:color w:val="8764B8"/>
          <w:spacing w:val="-8"/>
          <w:sz w:val="20"/>
          <w:szCs w:val="20"/>
          <w:u w:val="single"/>
          <w:shd w:val="clear" w:color="auto" w:fill="FFFFFF"/>
          <w:lang w:eastAsia="en-IE"/>
        </w:rPr>
        <w:t xml:space="preserve"> </w:t>
      </w:r>
      <w:r w:rsidR="00C52213" w:rsidRPr="005D2D60">
        <w:rPr>
          <w:noProof/>
          <w:spacing w:val="-8"/>
        </w:rPr>
        <w:t>15 of 27</w:t>
      </w:r>
      <w:r w:rsidR="00576C9C" w:rsidRPr="005D2D60">
        <w:rPr>
          <w:noProof/>
          <w:spacing w:val="-8"/>
        </w:rPr>
        <w:t xml:space="preserve"> transport operators, expected the measure to be very effective (2</w:t>
      </w:r>
      <w:r w:rsidR="00C86AA7" w:rsidRPr="005D2D60">
        <w:rPr>
          <w:noProof/>
          <w:spacing w:val="-8"/>
        </w:rPr>
        <w:t>)</w:t>
      </w:r>
      <w:r w:rsidR="00576C9C" w:rsidRPr="005D2D60">
        <w:rPr>
          <w:noProof/>
          <w:spacing w:val="-8"/>
        </w:rPr>
        <w:t xml:space="preserve"> </w:t>
      </w:r>
      <w:r w:rsidR="00C86AA7" w:rsidRPr="005D2D60">
        <w:rPr>
          <w:noProof/>
          <w:spacing w:val="-8"/>
        </w:rPr>
        <w:t xml:space="preserve">or </w:t>
      </w:r>
      <w:r w:rsidR="00576C9C" w:rsidRPr="005D2D60">
        <w:rPr>
          <w:noProof/>
          <w:spacing w:val="-8"/>
        </w:rPr>
        <w:t>somewhat effective</w:t>
      </w:r>
      <w:r w:rsidR="00C86AA7" w:rsidRPr="005D2D60">
        <w:rPr>
          <w:noProof/>
          <w:spacing w:val="-8"/>
        </w:rPr>
        <w:t xml:space="preserve"> (</w:t>
      </w:r>
      <w:r w:rsidR="00576C9C" w:rsidRPr="005D2D60">
        <w:rPr>
          <w:noProof/>
          <w:spacing w:val="-8"/>
        </w:rPr>
        <w:t>13)</w:t>
      </w:r>
      <w:r w:rsidR="0054373E">
        <w:rPr>
          <w:noProof/>
          <w:spacing w:val="-8"/>
        </w:rPr>
        <w:t xml:space="preserve"> and in total</w:t>
      </w:r>
      <w:r w:rsidR="5D7453E0" w:rsidRPr="003C5D25">
        <w:rPr>
          <w:noProof/>
          <w:spacing w:val="-8"/>
        </w:rPr>
        <w:t xml:space="preserve"> 20 stakeholders </w:t>
      </w:r>
      <w:r w:rsidR="000738CE" w:rsidRPr="003C5D25">
        <w:rPr>
          <w:noProof/>
          <w:spacing w:val="-8"/>
        </w:rPr>
        <w:t>surveyed</w:t>
      </w:r>
      <w:r w:rsidR="5D7453E0" w:rsidRPr="003C5D25">
        <w:rPr>
          <w:noProof/>
          <w:spacing w:val="-8"/>
        </w:rPr>
        <w:t xml:space="preserve"> expected it to be </w:t>
      </w:r>
      <w:r w:rsidR="780A4248" w:rsidRPr="003C5D25">
        <w:rPr>
          <w:noProof/>
          <w:spacing w:val="-8"/>
        </w:rPr>
        <w:t>‘</w:t>
      </w:r>
      <w:r w:rsidR="5D7453E0" w:rsidRPr="003C5D25">
        <w:rPr>
          <w:noProof/>
          <w:spacing w:val="-8"/>
        </w:rPr>
        <w:t>very</w:t>
      </w:r>
      <w:r w:rsidR="780A4248" w:rsidRPr="003C5D25">
        <w:rPr>
          <w:noProof/>
          <w:spacing w:val="-8"/>
        </w:rPr>
        <w:t>’</w:t>
      </w:r>
      <w:r w:rsidR="5D7453E0" w:rsidRPr="003C5D25">
        <w:rPr>
          <w:noProof/>
          <w:spacing w:val="-8"/>
        </w:rPr>
        <w:t xml:space="preserve"> ineffective (15) or </w:t>
      </w:r>
      <w:r w:rsidR="780A4248" w:rsidRPr="003C5D25">
        <w:rPr>
          <w:noProof/>
          <w:spacing w:val="-8"/>
        </w:rPr>
        <w:t>‘</w:t>
      </w:r>
      <w:r w:rsidR="5D7453E0" w:rsidRPr="003C5D25">
        <w:rPr>
          <w:noProof/>
          <w:spacing w:val="-8"/>
        </w:rPr>
        <w:t>somewhat</w:t>
      </w:r>
      <w:r w:rsidR="780A4248" w:rsidRPr="003C5D25">
        <w:rPr>
          <w:noProof/>
          <w:spacing w:val="-8"/>
        </w:rPr>
        <w:t>’</w:t>
      </w:r>
      <w:r w:rsidR="5D7453E0" w:rsidRPr="003C5D25">
        <w:rPr>
          <w:noProof/>
          <w:spacing w:val="-8"/>
        </w:rPr>
        <w:t xml:space="preserve"> ineffective (5). Finally, 18 stakeholders </w:t>
      </w:r>
      <w:r w:rsidR="000738CE" w:rsidRPr="003C5D25">
        <w:rPr>
          <w:noProof/>
          <w:spacing w:val="-8"/>
        </w:rPr>
        <w:t>surveyed</w:t>
      </w:r>
      <w:r w:rsidR="5D7453E0" w:rsidRPr="003C5D25">
        <w:rPr>
          <w:noProof/>
          <w:spacing w:val="-8"/>
        </w:rPr>
        <w:t xml:space="preserve"> were neutral (9) or did not know (9).</w:t>
      </w:r>
      <w:r w:rsidR="417FAF09" w:rsidRPr="003C5D25">
        <w:rPr>
          <w:noProof/>
          <w:spacing w:val="-8"/>
        </w:rPr>
        <w:t xml:space="preserve"> </w:t>
      </w:r>
      <w:r w:rsidR="583B4441" w:rsidRPr="003C5D25">
        <w:rPr>
          <w:noProof/>
          <w:spacing w:val="-8"/>
        </w:rPr>
        <w:t>Responses were more moderate f</w:t>
      </w:r>
      <w:r w:rsidR="417FAF09" w:rsidRPr="003C5D25">
        <w:rPr>
          <w:noProof/>
          <w:spacing w:val="-8"/>
        </w:rPr>
        <w:t xml:space="preserve">or </w:t>
      </w:r>
      <w:r w:rsidR="417FAF09" w:rsidRPr="003C5D25">
        <w:rPr>
          <w:b/>
          <w:noProof/>
          <w:spacing w:val="-8"/>
        </w:rPr>
        <w:t>PM</w:t>
      </w:r>
      <w:r w:rsidR="0553D169" w:rsidRPr="003C5D25">
        <w:rPr>
          <w:b/>
          <w:noProof/>
          <w:spacing w:val="-8"/>
        </w:rPr>
        <w:t>1</w:t>
      </w:r>
      <w:r w:rsidR="00422805" w:rsidRPr="003C5D25">
        <w:rPr>
          <w:b/>
          <w:noProof/>
          <w:spacing w:val="-8"/>
        </w:rPr>
        <w:t>2</w:t>
      </w:r>
      <w:r w:rsidR="002E3829" w:rsidRPr="003C5D25">
        <w:rPr>
          <w:noProof/>
          <w:spacing w:val="-8"/>
        </w:rPr>
        <w:t xml:space="preserve"> </w:t>
      </w:r>
      <w:r w:rsidR="005C32D7" w:rsidRPr="003C5D25">
        <w:rPr>
          <w:noProof/>
          <w:spacing w:val="-8"/>
        </w:rPr>
        <w:t xml:space="preserve">- </w:t>
      </w:r>
      <w:r w:rsidR="005C32D7" w:rsidRPr="003C5D25">
        <w:rPr>
          <w:i/>
          <w:noProof/>
          <w:spacing w:val="-8"/>
        </w:rPr>
        <w:t>Obligation for</w:t>
      </w:r>
      <w:r w:rsidR="002E3829" w:rsidRPr="003C5D25">
        <w:rPr>
          <w:i/>
          <w:noProof/>
          <w:spacing w:val="-8"/>
        </w:rPr>
        <w:t xml:space="preserve"> indispensable RUs</w:t>
      </w:r>
      <w:r w:rsidR="005C32D7" w:rsidRPr="003C5D25">
        <w:rPr>
          <w:i/>
          <w:noProof/>
          <w:spacing w:val="-8"/>
        </w:rPr>
        <w:t xml:space="preserve"> to respect fair principles when entering into commercial agreements with MDMS</w:t>
      </w:r>
      <w:r w:rsidR="0553D169" w:rsidRPr="003C5D25">
        <w:rPr>
          <w:noProof/>
          <w:spacing w:val="-8"/>
        </w:rPr>
        <w:t>,</w:t>
      </w:r>
      <w:r w:rsidR="583B4441" w:rsidRPr="003C5D25">
        <w:rPr>
          <w:noProof/>
          <w:spacing w:val="-8"/>
        </w:rPr>
        <w:t xml:space="preserve"> as</w:t>
      </w:r>
      <w:r w:rsidR="0553D169" w:rsidRPr="003C5D25">
        <w:rPr>
          <w:noProof/>
          <w:spacing w:val="-8"/>
        </w:rPr>
        <w:t xml:space="preserve"> </w:t>
      </w:r>
      <w:r w:rsidR="18BDFDCB" w:rsidRPr="003C5D25">
        <w:rPr>
          <w:noProof/>
          <w:spacing w:val="-8"/>
        </w:rPr>
        <w:t>19</w:t>
      </w:r>
      <w:r w:rsidR="00A94B52" w:rsidRPr="003C5D25">
        <w:rPr>
          <w:noProof/>
          <w:spacing w:val="-8"/>
        </w:rPr>
        <w:t xml:space="preserve"> </w:t>
      </w:r>
      <w:r w:rsidR="00BC2A9A">
        <w:rPr>
          <w:noProof/>
          <w:spacing w:val="-8"/>
        </w:rPr>
        <w:t xml:space="preserve">of 69 </w:t>
      </w:r>
      <w:r w:rsidR="00A94B52" w:rsidRPr="003C5D25">
        <w:rPr>
          <w:noProof/>
          <w:spacing w:val="-8"/>
        </w:rPr>
        <w:t>stakeholders surveyed</w:t>
      </w:r>
      <w:r w:rsidR="18BDFDCB" w:rsidRPr="003C5D25">
        <w:rPr>
          <w:noProof/>
          <w:spacing w:val="-8"/>
        </w:rPr>
        <w:t xml:space="preserve"> expected it to be very (5) or somewhat effective (14)</w:t>
      </w:r>
      <w:r w:rsidR="583B4441" w:rsidRPr="003C5D25">
        <w:rPr>
          <w:noProof/>
          <w:spacing w:val="-8"/>
        </w:rPr>
        <w:t xml:space="preserve"> and </w:t>
      </w:r>
      <w:r w:rsidR="18BDFDCB" w:rsidRPr="003C5D25">
        <w:rPr>
          <w:noProof/>
          <w:spacing w:val="-8"/>
        </w:rPr>
        <w:t xml:space="preserve">14 stakeholders expected it to be very ineffective (11) or somewhat ineffective (3). </w:t>
      </w:r>
      <w:r w:rsidR="091FECEF" w:rsidRPr="003C5D25">
        <w:rPr>
          <w:noProof/>
          <w:spacing w:val="-8"/>
        </w:rPr>
        <w:t>A majority (</w:t>
      </w:r>
      <w:r w:rsidR="18BDFDCB" w:rsidRPr="003C5D25">
        <w:rPr>
          <w:noProof/>
          <w:spacing w:val="-8"/>
        </w:rPr>
        <w:t>36</w:t>
      </w:r>
      <w:r w:rsidR="091FECEF" w:rsidRPr="003C5D25">
        <w:rPr>
          <w:noProof/>
          <w:spacing w:val="-8"/>
        </w:rPr>
        <w:t>) of</w:t>
      </w:r>
      <w:r w:rsidR="18BDFDCB" w:rsidRPr="003C5D25">
        <w:rPr>
          <w:noProof/>
          <w:spacing w:val="-8"/>
        </w:rPr>
        <w:t xml:space="preserve"> stakeholders </w:t>
      </w:r>
      <w:r w:rsidR="0050228F" w:rsidRPr="003C5D25">
        <w:rPr>
          <w:noProof/>
          <w:spacing w:val="-8"/>
        </w:rPr>
        <w:t>expressing a view</w:t>
      </w:r>
      <w:r w:rsidR="18BDFDCB" w:rsidRPr="003C5D25">
        <w:rPr>
          <w:noProof/>
          <w:spacing w:val="-8"/>
        </w:rPr>
        <w:t xml:space="preserve"> were neutral (16) or did not know (20).</w:t>
      </w:r>
      <w:r w:rsidR="5CB9D352" w:rsidRPr="003C5D25">
        <w:rPr>
          <w:noProof/>
          <w:spacing w:val="-8"/>
        </w:rPr>
        <w:t xml:space="preserve"> </w:t>
      </w:r>
      <w:r w:rsidR="1CF4F824" w:rsidRPr="003C5D25">
        <w:rPr>
          <w:noProof/>
          <w:spacing w:val="-8"/>
        </w:rPr>
        <w:t>As expected, for PM1</w:t>
      </w:r>
      <w:r w:rsidR="00422805" w:rsidRPr="003C5D25">
        <w:rPr>
          <w:noProof/>
          <w:spacing w:val="-8"/>
        </w:rPr>
        <w:t>1</w:t>
      </w:r>
      <w:r w:rsidR="1CF4F824" w:rsidRPr="003C5D25">
        <w:rPr>
          <w:noProof/>
          <w:spacing w:val="-8"/>
        </w:rPr>
        <w:t xml:space="preserve">, </w:t>
      </w:r>
      <w:r w:rsidR="5CB9D352" w:rsidRPr="003C5D25">
        <w:rPr>
          <w:noProof/>
          <w:spacing w:val="-8"/>
        </w:rPr>
        <w:t>MDMS</w:t>
      </w:r>
      <w:r w:rsidR="274E9C98" w:rsidRPr="003C5D25">
        <w:rPr>
          <w:noProof/>
          <w:spacing w:val="-8"/>
        </w:rPr>
        <w:t xml:space="preserve"> platforms</w:t>
      </w:r>
      <w:r w:rsidR="5CB9D352" w:rsidRPr="003C5D25">
        <w:rPr>
          <w:noProof/>
          <w:spacing w:val="-8"/>
        </w:rPr>
        <w:t xml:space="preserve"> </w:t>
      </w:r>
      <w:r w:rsidR="0050228F" w:rsidRPr="003C5D25">
        <w:rPr>
          <w:noProof/>
          <w:spacing w:val="-8"/>
        </w:rPr>
        <w:t xml:space="preserve">surveyed </w:t>
      </w:r>
      <w:r w:rsidR="67CA3070" w:rsidRPr="003C5D25">
        <w:rPr>
          <w:noProof/>
          <w:spacing w:val="-8"/>
        </w:rPr>
        <w:t>generally</w:t>
      </w:r>
      <w:r w:rsidR="5CB9D352" w:rsidRPr="003C5D25">
        <w:rPr>
          <w:noProof/>
          <w:spacing w:val="-8"/>
        </w:rPr>
        <w:t xml:space="preserve"> opposed the measure</w:t>
      </w:r>
      <w:r w:rsidR="488F0292" w:rsidRPr="003C5D25">
        <w:rPr>
          <w:noProof/>
          <w:spacing w:val="-8"/>
        </w:rPr>
        <w:t xml:space="preserve"> (</w:t>
      </w:r>
      <w:r w:rsidR="00931880">
        <w:rPr>
          <w:noProof/>
          <w:spacing w:val="-8"/>
        </w:rPr>
        <w:t>13 of 20</w:t>
      </w:r>
      <w:r w:rsidR="488F0292" w:rsidRPr="003C5D25">
        <w:rPr>
          <w:noProof/>
          <w:spacing w:val="-8"/>
        </w:rPr>
        <w:t xml:space="preserve"> against)</w:t>
      </w:r>
      <w:r w:rsidR="5CB9D352" w:rsidRPr="003C5D25">
        <w:rPr>
          <w:noProof/>
          <w:spacing w:val="-8"/>
        </w:rPr>
        <w:t xml:space="preserve"> while transport operators </w:t>
      </w:r>
      <w:r w:rsidR="0050228F" w:rsidRPr="003C5D25">
        <w:rPr>
          <w:noProof/>
          <w:spacing w:val="-8"/>
        </w:rPr>
        <w:t xml:space="preserve">surveyed </w:t>
      </w:r>
      <w:r w:rsidR="3885E8CA" w:rsidRPr="003C5D25">
        <w:rPr>
          <w:noProof/>
          <w:spacing w:val="-8"/>
        </w:rPr>
        <w:t>expressed more support</w:t>
      </w:r>
      <w:r w:rsidR="36A4DA98" w:rsidRPr="003C5D25">
        <w:rPr>
          <w:noProof/>
          <w:spacing w:val="-8"/>
        </w:rPr>
        <w:t xml:space="preserve"> (</w:t>
      </w:r>
      <w:r w:rsidR="0012424F">
        <w:rPr>
          <w:noProof/>
          <w:spacing w:val="-8"/>
        </w:rPr>
        <w:t>15 of 27</w:t>
      </w:r>
      <w:r w:rsidR="36A4DA98" w:rsidRPr="003C5D25">
        <w:rPr>
          <w:noProof/>
          <w:spacing w:val="-8"/>
        </w:rPr>
        <w:t xml:space="preserve"> in favo</w:t>
      </w:r>
      <w:r w:rsidR="0050228F" w:rsidRPr="003C5D25">
        <w:rPr>
          <w:noProof/>
          <w:spacing w:val="-8"/>
        </w:rPr>
        <w:t>u</w:t>
      </w:r>
      <w:r w:rsidR="36A4DA98" w:rsidRPr="003C5D25">
        <w:rPr>
          <w:noProof/>
          <w:spacing w:val="-8"/>
        </w:rPr>
        <w:t>r</w:t>
      </w:r>
      <w:r w:rsidR="5688473C" w:rsidRPr="003C5D25">
        <w:rPr>
          <w:noProof/>
          <w:spacing w:val="-8"/>
        </w:rPr>
        <w:t>)</w:t>
      </w:r>
      <w:r w:rsidR="3885E8CA" w:rsidRPr="003C5D25">
        <w:rPr>
          <w:noProof/>
          <w:spacing w:val="-8"/>
        </w:rPr>
        <w:t>.</w:t>
      </w:r>
      <w:r w:rsidR="5CB9D352" w:rsidRPr="003C5D25">
        <w:rPr>
          <w:noProof/>
          <w:spacing w:val="-8"/>
        </w:rPr>
        <w:t xml:space="preserve"> PM1</w:t>
      </w:r>
      <w:r w:rsidR="00422805" w:rsidRPr="003C5D25">
        <w:rPr>
          <w:noProof/>
          <w:spacing w:val="-8"/>
        </w:rPr>
        <w:t>2</w:t>
      </w:r>
      <w:r w:rsidR="5CB9D352" w:rsidRPr="003C5D25">
        <w:rPr>
          <w:noProof/>
          <w:spacing w:val="-8"/>
        </w:rPr>
        <w:t xml:space="preserve"> </w:t>
      </w:r>
      <w:r w:rsidR="274E9C98" w:rsidRPr="003C5D25">
        <w:rPr>
          <w:noProof/>
          <w:spacing w:val="-8"/>
        </w:rPr>
        <w:t xml:space="preserve">showed </w:t>
      </w:r>
      <w:r w:rsidR="006A5831" w:rsidRPr="003C5D25">
        <w:rPr>
          <w:noProof/>
          <w:spacing w:val="-8"/>
        </w:rPr>
        <w:t>divergent</w:t>
      </w:r>
      <w:r w:rsidR="3544FDA1" w:rsidRPr="003C5D25">
        <w:rPr>
          <w:noProof/>
          <w:spacing w:val="-8"/>
        </w:rPr>
        <w:t xml:space="preserve"> results, as most transport operators </w:t>
      </w:r>
      <w:r w:rsidR="006A5831" w:rsidRPr="003C5D25">
        <w:rPr>
          <w:noProof/>
          <w:spacing w:val="-8"/>
        </w:rPr>
        <w:t xml:space="preserve">surveyed </w:t>
      </w:r>
      <w:r w:rsidR="1ABA90B4" w:rsidRPr="003C5D25">
        <w:rPr>
          <w:noProof/>
          <w:spacing w:val="-8"/>
        </w:rPr>
        <w:t>‘</w:t>
      </w:r>
      <w:r w:rsidR="4847CF3A" w:rsidRPr="003C5D25">
        <w:rPr>
          <w:noProof/>
          <w:spacing w:val="-8"/>
        </w:rPr>
        <w:t>did not know</w:t>
      </w:r>
      <w:r w:rsidR="1ABA90B4" w:rsidRPr="003C5D25">
        <w:rPr>
          <w:noProof/>
          <w:spacing w:val="-8"/>
        </w:rPr>
        <w:t>’</w:t>
      </w:r>
      <w:r w:rsidR="4847CF3A" w:rsidRPr="003C5D25">
        <w:rPr>
          <w:noProof/>
          <w:spacing w:val="-8"/>
        </w:rPr>
        <w:t xml:space="preserve"> (</w:t>
      </w:r>
      <w:r w:rsidR="00204CDE">
        <w:rPr>
          <w:noProof/>
          <w:spacing w:val="-8"/>
        </w:rPr>
        <w:t>17 of 2</w:t>
      </w:r>
      <w:r w:rsidR="006161A0">
        <w:rPr>
          <w:noProof/>
          <w:spacing w:val="-8"/>
        </w:rPr>
        <w:t>9</w:t>
      </w:r>
      <w:r w:rsidR="006161A0" w:rsidRPr="003C5D25">
        <w:rPr>
          <w:noProof/>
          <w:spacing w:val="-8"/>
        </w:rPr>
        <w:t>).</w:t>
      </w:r>
      <w:r w:rsidR="5CB9D352" w:rsidRPr="003C5D25">
        <w:rPr>
          <w:noProof/>
          <w:spacing w:val="-8"/>
        </w:rPr>
        <w:t xml:space="preserve"> </w:t>
      </w:r>
      <w:r w:rsidR="001203BC">
        <w:rPr>
          <w:noProof/>
          <w:spacing w:val="-8"/>
        </w:rPr>
        <w:t xml:space="preserve">Overall, the high level of neutral/did not know answers has often been adopted because of the perceived lack of clarity on what is meant by </w:t>
      </w:r>
      <w:r w:rsidR="00C4403E">
        <w:rPr>
          <w:noProof/>
          <w:spacing w:val="-8"/>
        </w:rPr>
        <w:t>the measure, especially</w:t>
      </w:r>
      <w:r w:rsidR="001203BC">
        <w:rPr>
          <w:noProof/>
          <w:spacing w:val="-8"/>
        </w:rPr>
        <w:t xml:space="preserve"> </w:t>
      </w:r>
      <w:r w:rsidR="00C4403E">
        <w:rPr>
          <w:noProof/>
          <w:spacing w:val="-8"/>
        </w:rPr>
        <w:t xml:space="preserve">“respecting principles on distribution fees and without imposing restrictive clauses”. </w:t>
      </w:r>
      <w:r w:rsidR="00DE15FD">
        <w:rPr>
          <w:noProof/>
          <w:spacing w:val="-8"/>
        </w:rPr>
        <w:t>In interviews,</w:t>
      </w:r>
      <w:r w:rsidR="67CA3070" w:rsidRPr="003C5D25">
        <w:rPr>
          <w:noProof/>
          <w:spacing w:val="-8"/>
        </w:rPr>
        <w:t xml:space="preserve"> multiple independent MDMS platforms </w:t>
      </w:r>
      <w:r w:rsidR="0D2D3D35" w:rsidRPr="003C5D25">
        <w:rPr>
          <w:noProof/>
          <w:spacing w:val="-8"/>
        </w:rPr>
        <w:t xml:space="preserve">and consumer organizations </w:t>
      </w:r>
      <w:r w:rsidR="6777AA9E" w:rsidRPr="003C5D25">
        <w:rPr>
          <w:noProof/>
          <w:spacing w:val="-8"/>
        </w:rPr>
        <w:t xml:space="preserve">highlighted </w:t>
      </w:r>
      <w:r w:rsidR="0D2D3D35" w:rsidRPr="003C5D25">
        <w:rPr>
          <w:rFonts w:cs="Arial"/>
          <w:noProof/>
          <w:spacing w:val="-8"/>
        </w:rPr>
        <w:t xml:space="preserve">the necessity of </w:t>
      </w:r>
      <w:r w:rsidR="6777AA9E" w:rsidRPr="003C5D25">
        <w:rPr>
          <w:rFonts w:cs="Arial"/>
          <w:noProof/>
          <w:spacing w:val="-8"/>
        </w:rPr>
        <w:t xml:space="preserve">implementing </w:t>
      </w:r>
      <w:r w:rsidR="0D2D3D35" w:rsidRPr="003C5D25">
        <w:rPr>
          <w:rFonts w:cs="Arial"/>
          <w:noProof/>
          <w:spacing w:val="-8"/>
        </w:rPr>
        <w:t>explicit FRAND principles to enable transparency and efficiency within the ecosystem</w:t>
      </w:r>
      <w:r w:rsidR="005B4201" w:rsidRPr="003C5D25">
        <w:rPr>
          <w:rStyle w:val="FootnoteReference"/>
          <w:rFonts w:cs="Arial"/>
          <w:noProof/>
          <w:spacing w:val="-8"/>
        </w:rPr>
        <w:footnoteReference w:id="248"/>
      </w:r>
      <w:r w:rsidR="0D2D3D35" w:rsidRPr="003C5D25">
        <w:rPr>
          <w:rFonts w:cs="Arial"/>
          <w:noProof/>
          <w:spacing w:val="-8"/>
        </w:rPr>
        <w:t>.</w:t>
      </w:r>
      <w:r w:rsidR="004E5732" w:rsidRPr="003C5D25">
        <w:rPr>
          <w:rFonts w:cs="Arial"/>
          <w:noProof/>
          <w:spacing w:val="-8"/>
        </w:rPr>
        <w:t xml:space="preserve"> </w:t>
      </w:r>
      <w:r w:rsidR="00091674" w:rsidRPr="003C5D25">
        <w:rPr>
          <w:rFonts w:cs="Arial"/>
          <w:noProof/>
          <w:spacing w:val="-8"/>
        </w:rPr>
        <w:t xml:space="preserve">Several </w:t>
      </w:r>
      <w:r w:rsidR="001358ED" w:rsidRPr="003C5D25">
        <w:rPr>
          <w:rFonts w:cs="Arial"/>
          <w:noProof/>
          <w:spacing w:val="-8"/>
        </w:rPr>
        <w:t>RU</w:t>
      </w:r>
      <w:r w:rsidR="00012657" w:rsidRPr="003C5D25">
        <w:rPr>
          <w:noProof/>
          <w:spacing w:val="-8"/>
        </w:rPr>
        <w:t>s</w:t>
      </w:r>
      <w:r w:rsidR="67047C6E" w:rsidRPr="003C5D25">
        <w:rPr>
          <w:rFonts w:cs="Arial"/>
          <w:noProof/>
          <w:spacing w:val="-8"/>
        </w:rPr>
        <w:t xml:space="preserve"> on the other hand </w:t>
      </w:r>
      <w:r w:rsidR="0018275C" w:rsidRPr="003C5D25">
        <w:rPr>
          <w:rFonts w:cs="Arial"/>
          <w:noProof/>
          <w:spacing w:val="-8"/>
        </w:rPr>
        <w:t xml:space="preserve">raised </w:t>
      </w:r>
      <w:r w:rsidR="67047C6E" w:rsidRPr="003C5D25">
        <w:rPr>
          <w:rFonts w:cs="Arial"/>
          <w:noProof/>
          <w:spacing w:val="-8"/>
        </w:rPr>
        <w:t>concerns</w:t>
      </w:r>
      <w:r w:rsidR="2C195CEC" w:rsidRPr="003C5D25">
        <w:rPr>
          <w:rFonts w:cs="Arial"/>
          <w:noProof/>
          <w:spacing w:val="-8"/>
        </w:rPr>
        <w:t xml:space="preserve"> </w:t>
      </w:r>
      <w:r w:rsidR="3E05B044" w:rsidRPr="003C5D25">
        <w:rPr>
          <w:rFonts w:cs="Arial"/>
          <w:noProof/>
          <w:spacing w:val="-8"/>
        </w:rPr>
        <w:t xml:space="preserve">that </w:t>
      </w:r>
      <w:r w:rsidR="2C195CEC" w:rsidRPr="003C5D25">
        <w:rPr>
          <w:rFonts w:cs="Arial"/>
          <w:noProof/>
          <w:spacing w:val="-8"/>
        </w:rPr>
        <w:t>imposing levels of fee defined by regulation could distort the true value of services rendered and overlook the internal costs borne by providers</w:t>
      </w:r>
      <w:r w:rsidR="00063924" w:rsidRPr="003C5D25">
        <w:rPr>
          <w:rStyle w:val="FootnoteReference"/>
          <w:rFonts w:cs="Arial"/>
          <w:noProof/>
          <w:spacing w:val="-8"/>
        </w:rPr>
        <w:footnoteReference w:id="249"/>
      </w:r>
      <w:r w:rsidR="2C195CEC" w:rsidRPr="003C5D25">
        <w:rPr>
          <w:rFonts w:cs="Arial"/>
          <w:noProof/>
          <w:spacing w:val="-8"/>
        </w:rPr>
        <w:t>.</w:t>
      </w:r>
    </w:p>
    <w:p w14:paraId="06F9DEBE" w14:textId="77777777" w:rsidR="00C741ED" w:rsidRPr="003C5D25" w:rsidRDefault="00C741ED" w:rsidP="003C5D25">
      <w:pPr>
        <w:pStyle w:val="BodyText"/>
        <w:spacing w:after="240"/>
        <w:ind w:left="0" w:right="-26"/>
        <w:rPr>
          <w:noProof/>
          <w:spacing w:val="-8"/>
        </w:rPr>
      </w:pPr>
      <w:r>
        <w:rPr>
          <w:rFonts w:eastAsiaTheme="minorEastAsia"/>
          <w:noProof/>
          <w:spacing w:val="-8"/>
        </w:rPr>
        <w:t>E</w:t>
      </w:r>
      <w:r w:rsidRPr="003C5D25">
        <w:rPr>
          <w:noProof/>
          <w:spacing w:val="-8"/>
        </w:rPr>
        <w:t>ight MDMS platforms/ MDMS industry association and 14 transport operators participated in 2022 to the Multimodal Passenger Mobility Forum (MPMF) to support the Commission in its preparatory work for this initiative. In the MPMF final report, the need to “feature FRAND as a core standard </w:t>
      </w:r>
      <w:r w:rsidRPr="006A474C">
        <w:rPr>
          <w:rStyle w:val="FootnoteReference"/>
          <w:noProof/>
          <w:spacing w:val="-8"/>
        </w:rPr>
        <w:footnoteReference w:id="250"/>
      </w:r>
      <w:r w:rsidRPr="003C5D25">
        <w:rPr>
          <w:noProof/>
          <w:spacing w:val="-8"/>
        </w:rPr>
        <w:t>” for the contractual provisions between MDMS platforms and transport operators is outlined. In particular, the use of FRAND is mentioned as a principle that could “guide points to calculate compensation (…), access to data, (…) look to book ration and marketing restrictions; transparency on terms and conditions</w:t>
      </w:r>
      <w:r w:rsidRPr="003C5D25">
        <w:rPr>
          <w:rStyle w:val="FootnoteReference"/>
          <w:noProof/>
          <w:spacing w:val="-8"/>
        </w:rPr>
        <w:footnoteReference w:id="251"/>
      </w:r>
      <w:r w:rsidRPr="003C5D25">
        <w:rPr>
          <w:noProof/>
          <w:spacing w:val="-8"/>
        </w:rPr>
        <w:t>.”</w:t>
      </w:r>
    </w:p>
    <w:p w14:paraId="1B42269E" w14:textId="0A17BB58" w:rsidR="00AA076C" w:rsidRPr="003C5D25" w:rsidRDefault="00C66053" w:rsidP="003C5D25">
      <w:pPr>
        <w:pStyle w:val="BodyText"/>
        <w:spacing w:after="240"/>
        <w:ind w:left="0" w:right="-26"/>
        <w:rPr>
          <w:noProof/>
          <w:spacing w:val="-8"/>
        </w:rPr>
      </w:pPr>
      <w:r w:rsidRPr="003C5D25">
        <w:rPr>
          <w:rFonts w:cs="Arial"/>
          <w:noProof/>
          <w:spacing w:val="-8"/>
        </w:rPr>
        <w:t>In the specifi</w:t>
      </w:r>
      <w:r w:rsidR="0075140E" w:rsidRPr="003C5D25">
        <w:rPr>
          <w:rFonts w:cs="Arial"/>
          <w:noProof/>
          <w:spacing w:val="-8"/>
        </w:rPr>
        <w:t>c</w:t>
      </w:r>
      <w:r w:rsidRPr="003C5D25">
        <w:rPr>
          <w:rFonts w:cs="Arial"/>
          <w:noProof/>
          <w:spacing w:val="-8"/>
        </w:rPr>
        <w:t xml:space="preserve"> survey on the </w:t>
      </w:r>
      <w:r w:rsidR="0075140E" w:rsidRPr="003C5D25">
        <w:rPr>
          <w:noProof/>
          <w:spacing w:val="-8"/>
        </w:rPr>
        <w:t>related to the revision of the CRS Code of Conduct</w:t>
      </w:r>
      <w:r w:rsidR="0029025B" w:rsidRPr="003C5D25">
        <w:rPr>
          <w:noProof/>
          <w:spacing w:val="-8"/>
        </w:rPr>
        <w:t>,</w:t>
      </w:r>
      <w:r w:rsidR="0075140E" w:rsidRPr="003C5D25">
        <w:rPr>
          <w:rFonts w:cs="Arial"/>
          <w:noProof/>
          <w:spacing w:val="-8"/>
        </w:rPr>
        <w:t xml:space="preserve"> </w:t>
      </w:r>
      <w:r w:rsidR="0029025B" w:rsidRPr="003C5D25">
        <w:rPr>
          <w:rFonts w:cs="Arial"/>
          <w:noProof/>
          <w:spacing w:val="-8"/>
        </w:rPr>
        <w:t>r</w:t>
      </w:r>
      <w:r w:rsidR="00AA076C" w:rsidRPr="003C5D25">
        <w:rPr>
          <w:rFonts w:cs="Arial"/>
          <w:noProof/>
          <w:spacing w:val="-8"/>
        </w:rPr>
        <w:t xml:space="preserve">egarding the provisions on fair treatment </w:t>
      </w:r>
      <w:r w:rsidR="00B4545B" w:rsidRPr="003C5D25">
        <w:rPr>
          <w:rFonts w:cs="Arial"/>
          <w:noProof/>
          <w:spacing w:val="-8"/>
        </w:rPr>
        <w:t>of transport operators</w:t>
      </w:r>
      <w:r w:rsidR="00AA076C" w:rsidRPr="003C5D25">
        <w:rPr>
          <w:rFonts w:cs="Arial"/>
          <w:noProof/>
          <w:spacing w:val="-8"/>
        </w:rPr>
        <w:t xml:space="preserve"> and </w:t>
      </w:r>
      <w:r w:rsidR="00110EE8" w:rsidRPr="003C5D25">
        <w:rPr>
          <w:rFonts w:cs="Arial"/>
          <w:noProof/>
          <w:spacing w:val="-8"/>
        </w:rPr>
        <w:t>subscribers</w:t>
      </w:r>
      <w:r w:rsidR="00AA076C" w:rsidRPr="003C5D25">
        <w:rPr>
          <w:rFonts w:cs="Arial"/>
          <w:noProof/>
          <w:spacing w:val="-8"/>
        </w:rPr>
        <w:t xml:space="preserve">, </w:t>
      </w:r>
      <w:r w:rsidR="00665FBD" w:rsidRPr="003C5D25">
        <w:rPr>
          <w:rFonts w:cs="Arial"/>
          <w:noProof/>
          <w:spacing w:val="-8"/>
        </w:rPr>
        <w:t xml:space="preserve">the 3 </w:t>
      </w:r>
      <w:r w:rsidR="00AA076C" w:rsidRPr="003C5D25">
        <w:rPr>
          <w:rFonts w:cs="Arial"/>
          <w:noProof/>
          <w:spacing w:val="-8"/>
        </w:rPr>
        <w:t>CRS providers and some travel agents’ and platforms’ associations, were in favour of their repeal. In their view, there is no need for such provisions as there is no market failure. CRSs are not as powerful as in the past. There is also no issue to address for relations between CRSs and travel agents. On the other hand, air</w:t>
      </w:r>
      <w:r w:rsidR="00AE605C" w:rsidRPr="003C5D25">
        <w:rPr>
          <w:rFonts w:cs="Arial"/>
          <w:noProof/>
          <w:spacing w:val="-8"/>
        </w:rPr>
        <w:t>lines</w:t>
      </w:r>
      <w:r w:rsidR="00AA076C" w:rsidRPr="003C5D25">
        <w:rPr>
          <w:rFonts w:cs="Arial"/>
          <w:noProof/>
          <w:spacing w:val="-8"/>
        </w:rPr>
        <w:t xml:space="preserve">' associations underlined that </w:t>
      </w:r>
      <w:r w:rsidR="00742FB1" w:rsidRPr="003C5D25">
        <w:rPr>
          <w:rFonts w:cs="Arial"/>
          <w:noProof/>
          <w:spacing w:val="-8"/>
        </w:rPr>
        <w:t>these provisions</w:t>
      </w:r>
      <w:r w:rsidR="00AA076C" w:rsidRPr="003C5D25">
        <w:rPr>
          <w:rFonts w:cs="Arial"/>
          <w:noProof/>
          <w:spacing w:val="-8"/>
        </w:rPr>
        <w:t xml:space="preserve"> should be retained as the commercial relationship between CRSs and airlines need to be regulated and the weaker party (in particular regional airlines) should be protected. CRSs are still powerful, particularly because they are regionally focused and do not compete on regional markets. Airlines do not have a choice if they want to reach consumers in a particular market of choice but to cooperate with a CRSs that is focused on this market. Therefore, airlines' bargaining position vis-à-vis CRSs is still weak and needs to be protected by provisions on fair treatment.</w:t>
      </w:r>
    </w:p>
    <w:p w14:paraId="7BE3E74B" w14:textId="40B67F2E" w:rsidR="00AE605C" w:rsidRPr="003C5D25" w:rsidRDefault="00A71FB9" w:rsidP="003C5D25">
      <w:pPr>
        <w:pStyle w:val="BodyText"/>
        <w:spacing w:after="240"/>
        <w:ind w:left="0" w:right="-26"/>
        <w:rPr>
          <w:rFonts w:eastAsiaTheme="minorEastAsia" w:cs="Arial"/>
          <w:noProof/>
          <w:spacing w:val="-8"/>
        </w:rPr>
      </w:pPr>
      <w:r w:rsidRPr="003C5D25">
        <w:rPr>
          <w:noProof/>
          <w:spacing w:val="-8"/>
        </w:rPr>
        <w:t xml:space="preserve">Similarly in the </w:t>
      </w:r>
      <w:r w:rsidR="00ED3B32" w:rsidRPr="003C5D25">
        <w:rPr>
          <w:noProof/>
          <w:spacing w:val="-8"/>
        </w:rPr>
        <w:t>context of</w:t>
      </w:r>
      <w:r w:rsidRPr="003C5D25">
        <w:rPr>
          <w:noProof/>
          <w:spacing w:val="-8"/>
        </w:rPr>
        <w:t xml:space="preserve"> the Inception Impact Assessment for the revision of the Regulation on Code of Conduct</w:t>
      </w:r>
      <w:r w:rsidRPr="003C5D25">
        <w:rPr>
          <w:rFonts w:eastAsiaTheme="minorEastAsia" w:cs="Arial"/>
          <w:noProof/>
          <w:spacing w:val="-8"/>
        </w:rPr>
        <w:t xml:space="preserve">, all </w:t>
      </w:r>
      <w:r w:rsidR="00AD0319" w:rsidRPr="003C5D25">
        <w:rPr>
          <w:rFonts w:eastAsiaTheme="minorEastAsia" w:cs="Arial"/>
          <w:noProof/>
          <w:spacing w:val="-8"/>
        </w:rPr>
        <w:t xml:space="preserve">13 </w:t>
      </w:r>
      <w:r w:rsidRPr="003C5D25">
        <w:rPr>
          <w:rFonts w:eastAsiaTheme="minorEastAsia" w:cs="Arial"/>
          <w:noProof/>
          <w:spacing w:val="-8"/>
        </w:rPr>
        <w:t xml:space="preserve">stakeholders </w:t>
      </w:r>
      <w:r w:rsidR="00AD0319" w:rsidRPr="003C5D25">
        <w:rPr>
          <w:rFonts w:eastAsiaTheme="minorEastAsia" w:cs="Arial"/>
          <w:noProof/>
          <w:spacing w:val="-8"/>
        </w:rPr>
        <w:t xml:space="preserve">providing feedback </w:t>
      </w:r>
      <w:r w:rsidRPr="003C5D25">
        <w:rPr>
          <w:rFonts w:eastAsiaTheme="minorEastAsia" w:cs="Arial"/>
          <w:noProof/>
          <w:spacing w:val="-8"/>
        </w:rPr>
        <w:t xml:space="preserve">except for </w:t>
      </w:r>
      <w:r w:rsidR="00ED3F92" w:rsidRPr="003C5D25">
        <w:rPr>
          <w:rFonts w:eastAsiaTheme="minorEastAsia" w:cs="Arial"/>
          <w:noProof/>
          <w:spacing w:val="-8"/>
        </w:rPr>
        <w:t xml:space="preserve">the 4 </w:t>
      </w:r>
      <w:r w:rsidRPr="003C5D25">
        <w:rPr>
          <w:rFonts w:eastAsiaTheme="minorEastAsia" w:cs="Arial"/>
          <w:noProof/>
          <w:spacing w:val="-8"/>
        </w:rPr>
        <w:t xml:space="preserve">airlines, advocated for expanding the scope of the (modified) sectoral rules to include all ticket distribution channels. The </w:t>
      </w:r>
      <w:r w:rsidR="00AD0319" w:rsidRPr="003C5D25">
        <w:rPr>
          <w:rFonts w:eastAsiaTheme="minorEastAsia" w:cs="Arial"/>
          <w:noProof/>
          <w:spacing w:val="-8"/>
        </w:rPr>
        <w:t xml:space="preserve">4 </w:t>
      </w:r>
      <w:r w:rsidRPr="003C5D25">
        <w:rPr>
          <w:rFonts w:eastAsiaTheme="minorEastAsia" w:cs="Arial"/>
          <w:noProof/>
          <w:spacing w:val="-8"/>
        </w:rPr>
        <w:t xml:space="preserve">airlines postulated to limit the scope of the (modified) rules to large CRSs with dominant position on the market only. </w:t>
      </w:r>
    </w:p>
    <w:p w14:paraId="2F343447" w14:textId="525660E1" w:rsidR="00BB70E6" w:rsidRPr="003C5D25" w:rsidRDefault="002201A5" w:rsidP="003C5D25">
      <w:pPr>
        <w:pStyle w:val="BodyText"/>
        <w:spacing w:after="240"/>
        <w:ind w:left="0" w:right="-26"/>
        <w:rPr>
          <w:rFonts w:cs="Arial"/>
          <w:noProof/>
          <w:spacing w:val="-8"/>
        </w:rPr>
      </w:pPr>
      <w:r w:rsidRPr="003C5D25">
        <w:rPr>
          <w:i/>
          <w:noProof/>
          <w:spacing w:val="-8"/>
        </w:rPr>
        <w:t>T</w:t>
      </w:r>
      <w:r w:rsidR="000265FD" w:rsidRPr="003C5D25">
        <w:rPr>
          <w:i/>
          <w:noProof/>
          <w:spacing w:val="-8"/>
        </w:rPr>
        <w:t xml:space="preserve">he obligation for </w:t>
      </w:r>
      <w:r w:rsidR="001358ED" w:rsidRPr="003C5D25">
        <w:rPr>
          <w:i/>
          <w:noProof/>
          <w:spacing w:val="-8"/>
        </w:rPr>
        <w:t>RU</w:t>
      </w:r>
      <w:r w:rsidR="00542FDE" w:rsidRPr="003C5D25">
        <w:rPr>
          <w:i/>
          <w:noProof/>
          <w:spacing w:val="-8"/>
        </w:rPr>
        <w:t>s</w:t>
      </w:r>
      <w:r w:rsidR="001455E3" w:rsidRPr="003C5D25">
        <w:rPr>
          <w:i/>
          <w:noProof/>
          <w:spacing w:val="-8"/>
        </w:rPr>
        <w:t xml:space="preserve"> with SMP </w:t>
      </w:r>
      <w:r w:rsidR="00AB0299" w:rsidRPr="003C5D25">
        <w:rPr>
          <w:i/>
          <w:noProof/>
          <w:spacing w:val="-8"/>
        </w:rPr>
        <w:t xml:space="preserve">and all other </w:t>
      </w:r>
      <w:r w:rsidR="001358ED" w:rsidRPr="003C5D25">
        <w:rPr>
          <w:i/>
          <w:noProof/>
          <w:spacing w:val="-8"/>
        </w:rPr>
        <w:t>RU</w:t>
      </w:r>
      <w:r w:rsidR="00AB0299" w:rsidRPr="003C5D25">
        <w:rPr>
          <w:i/>
          <w:noProof/>
          <w:spacing w:val="-8"/>
        </w:rPr>
        <w:t xml:space="preserve">s in relation to cross-border or PSO services, </w:t>
      </w:r>
      <w:r w:rsidR="00A25C5D" w:rsidRPr="003C5D25">
        <w:rPr>
          <w:i/>
          <w:noProof/>
          <w:spacing w:val="-8"/>
        </w:rPr>
        <w:t xml:space="preserve">to enter into a commercial agreement with </w:t>
      </w:r>
      <w:r w:rsidR="0057470C" w:rsidRPr="003C5D25">
        <w:rPr>
          <w:i/>
          <w:noProof/>
          <w:spacing w:val="-8"/>
        </w:rPr>
        <w:t xml:space="preserve">requesting </w:t>
      </w:r>
      <w:r w:rsidR="00AB0299" w:rsidRPr="003C5D25">
        <w:rPr>
          <w:i/>
          <w:noProof/>
          <w:spacing w:val="-8"/>
        </w:rPr>
        <w:t xml:space="preserve">MDMS platforms </w:t>
      </w:r>
      <w:r w:rsidR="004807B6" w:rsidRPr="003C5D25">
        <w:rPr>
          <w:i/>
          <w:noProof/>
          <w:spacing w:val="-8"/>
        </w:rPr>
        <w:t>to enable t</w:t>
      </w:r>
      <w:r w:rsidR="00793A62" w:rsidRPr="003C5D25">
        <w:rPr>
          <w:i/>
          <w:noProof/>
          <w:spacing w:val="-8"/>
        </w:rPr>
        <w:t>he sale of rail tickets</w:t>
      </w:r>
      <w:r w:rsidR="00AB0299" w:rsidRPr="003C5D25">
        <w:rPr>
          <w:i/>
          <w:noProof/>
          <w:spacing w:val="-8"/>
        </w:rPr>
        <w:t xml:space="preserve"> </w:t>
      </w:r>
      <w:r w:rsidR="00D01B47" w:rsidRPr="003C5D25">
        <w:rPr>
          <w:i/>
          <w:noProof/>
          <w:spacing w:val="-8"/>
        </w:rPr>
        <w:t>(</w:t>
      </w:r>
      <w:r w:rsidR="00D01B47" w:rsidRPr="00F7605F">
        <w:rPr>
          <w:b/>
          <w:noProof/>
          <w:spacing w:val="-8"/>
        </w:rPr>
        <w:t>PM13</w:t>
      </w:r>
      <w:r w:rsidR="00D01B47" w:rsidRPr="003C5D25">
        <w:rPr>
          <w:i/>
          <w:noProof/>
          <w:spacing w:val="-8"/>
        </w:rPr>
        <w:t xml:space="preserve">) </w:t>
      </w:r>
      <w:r w:rsidR="00CF56F8" w:rsidRPr="003C5D25">
        <w:rPr>
          <w:noProof/>
          <w:spacing w:val="-8"/>
        </w:rPr>
        <w:t>divided stakeholders</w:t>
      </w:r>
      <w:r w:rsidR="00AC480A" w:rsidRPr="003C5D25">
        <w:rPr>
          <w:noProof/>
          <w:spacing w:val="-8"/>
        </w:rPr>
        <w:t xml:space="preserve"> surveyed</w:t>
      </w:r>
      <w:r w:rsidR="00CF56F8" w:rsidRPr="003C5D25">
        <w:rPr>
          <w:noProof/>
          <w:spacing w:val="-8"/>
        </w:rPr>
        <w:t>, with 22 of 77 f</w:t>
      </w:r>
      <w:r w:rsidR="003D4075" w:rsidRPr="003C5D25">
        <w:rPr>
          <w:noProof/>
          <w:spacing w:val="-8"/>
        </w:rPr>
        <w:t>i</w:t>
      </w:r>
      <w:r w:rsidR="00C91DB4" w:rsidRPr="003C5D25">
        <w:rPr>
          <w:noProof/>
          <w:spacing w:val="-8"/>
        </w:rPr>
        <w:t>n</w:t>
      </w:r>
      <w:r w:rsidR="00CF56F8" w:rsidRPr="003C5D25">
        <w:rPr>
          <w:noProof/>
          <w:spacing w:val="-8"/>
        </w:rPr>
        <w:t xml:space="preserve">ding it </w:t>
      </w:r>
      <w:r w:rsidR="00E343C5" w:rsidRPr="003C5D25">
        <w:rPr>
          <w:noProof/>
          <w:spacing w:val="-8"/>
        </w:rPr>
        <w:t>very (8) or somewhat (</w:t>
      </w:r>
      <w:r w:rsidR="00AD0A8B" w:rsidRPr="003C5D25">
        <w:rPr>
          <w:noProof/>
          <w:spacing w:val="-8"/>
        </w:rPr>
        <w:t xml:space="preserve">14) </w:t>
      </w:r>
      <w:r w:rsidR="00CF56F8" w:rsidRPr="003C5D25">
        <w:rPr>
          <w:noProof/>
          <w:spacing w:val="-8"/>
        </w:rPr>
        <w:t xml:space="preserve">effective, </w:t>
      </w:r>
      <w:r w:rsidR="00AD0A8B" w:rsidRPr="003C5D25">
        <w:rPr>
          <w:noProof/>
          <w:spacing w:val="-8"/>
        </w:rPr>
        <w:t xml:space="preserve">14 </w:t>
      </w:r>
      <w:r w:rsidR="008D7D60" w:rsidRPr="003C5D25" w:rsidDel="00551F92">
        <w:rPr>
          <w:noProof/>
          <w:spacing w:val="-8"/>
        </w:rPr>
        <w:t>f</w:t>
      </w:r>
      <w:r w:rsidR="008D7D60" w:rsidRPr="003C5D25" w:rsidDel="001D451B">
        <w:rPr>
          <w:noProof/>
          <w:spacing w:val="-8"/>
        </w:rPr>
        <w:t>inding</w:t>
      </w:r>
      <w:r w:rsidR="008D7D60" w:rsidRPr="003C5D25">
        <w:rPr>
          <w:noProof/>
          <w:spacing w:val="-8"/>
        </w:rPr>
        <w:t xml:space="preserve"> it </w:t>
      </w:r>
      <w:r w:rsidR="00FE2E38" w:rsidRPr="003C5D25">
        <w:rPr>
          <w:noProof/>
          <w:spacing w:val="-8"/>
        </w:rPr>
        <w:t xml:space="preserve">very (10) or </w:t>
      </w:r>
      <w:r w:rsidR="00D4639C" w:rsidRPr="003C5D25">
        <w:rPr>
          <w:noProof/>
          <w:spacing w:val="-8"/>
        </w:rPr>
        <w:t>somewhat (4) ineffective, and 34 to be either neutral (13) or to</w:t>
      </w:r>
      <w:r w:rsidR="00D4639C" w:rsidRPr="003C5D25" w:rsidDel="00CD6B51">
        <w:rPr>
          <w:noProof/>
          <w:spacing w:val="-8"/>
        </w:rPr>
        <w:t xml:space="preserve"> </w:t>
      </w:r>
      <w:r w:rsidR="00D4639C" w:rsidRPr="003C5D25">
        <w:rPr>
          <w:noProof/>
          <w:spacing w:val="-8"/>
        </w:rPr>
        <w:t>not know</w:t>
      </w:r>
      <w:r w:rsidR="003D4075" w:rsidRPr="003C5D25">
        <w:rPr>
          <w:noProof/>
          <w:spacing w:val="-8"/>
        </w:rPr>
        <w:t xml:space="preserve"> </w:t>
      </w:r>
      <w:r w:rsidR="00D4639C" w:rsidRPr="003C5D25">
        <w:rPr>
          <w:noProof/>
          <w:spacing w:val="-8"/>
        </w:rPr>
        <w:t>(21) the effect of this measure.</w:t>
      </w:r>
      <w:r w:rsidR="00D4639C" w:rsidRPr="003C5D25">
        <w:rPr>
          <w:i/>
          <w:noProof/>
          <w:spacing w:val="-8"/>
        </w:rPr>
        <w:t xml:space="preserve"> </w:t>
      </w:r>
      <w:r w:rsidR="007C4E20" w:rsidRPr="003C5D25">
        <w:rPr>
          <w:i/>
          <w:noProof/>
          <w:spacing w:val="-8"/>
        </w:rPr>
        <w:t xml:space="preserve">Transport operators </w:t>
      </w:r>
      <w:r w:rsidR="0092384F" w:rsidRPr="003C5D25">
        <w:rPr>
          <w:i/>
          <w:noProof/>
          <w:spacing w:val="-8"/>
        </w:rPr>
        <w:t>surveyed</w:t>
      </w:r>
      <w:r w:rsidR="007C4E20" w:rsidRPr="003C5D25">
        <w:rPr>
          <w:i/>
          <w:noProof/>
          <w:spacing w:val="-8"/>
        </w:rPr>
        <w:t xml:space="preserve"> appeared to be the most </w:t>
      </w:r>
      <w:r w:rsidR="00152687" w:rsidRPr="003C5D25">
        <w:rPr>
          <w:i/>
          <w:noProof/>
          <w:spacing w:val="-8"/>
        </w:rPr>
        <w:t>sceptical</w:t>
      </w:r>
      <w:r w:rsidR="007C4E20" w:rsidRPr="003C5D25">
        <w:rPr>
          <w:i/>
          <w:noProof/>
          <w:spacing w:val="-8"/>
        </w:rPr>
        <w:t xml:space="preserve"> towards this obligation, </w:t>
      </w:r>
      <w:r w:rsidR="007C4E20" w:rsidRPr="003C5D25">
        <w:rPr>
          <w:noProof/>
          <w:spacing w:val="-8"/>
        </w:rPr>
        <w:t xml:space="preserve">with </w:t>
      </w:r>
      <w:r w:rsidR="002044EF" w:rsidRPr="003C5D25">
        <w:rPr>
          <w:noProof/>
          <w:spacing w:val="-8"/>
        </w:rPr>
        <w:t xml:space="preserve">8 of </w:t>
      </w:r>
      <w:r w:rsidR="005C490E" w:rsidRPr="003C5D25">
        <w:rPr>
          <w:noProof/>
          <w:spacing w:val="-8"/>
        </w:rPr>
        <w:t xml:space="preserve">29 </w:t>
      </w:r>
      <w:r w:rsidR="000E400D" w:rsidRPr="003C5D25">
        <w:rPr>
          <w:noProof/>
          <w:spacing w:val="-8"/>
        </w:rPr>
        <w:t>f</w:t>
      </w:r>
      <w:r w:rsidR="003A1CBA" w:rsidRPr="003C5D25">
        <w:rPr>
          <w:noProof/>
          <w:spacing w:val="-8"/>
        </w:rPr>
        <w:t>i</w:t>
      </w:r>
      <w:r w:rsidR="000E400D" w:rsidRPr="003C5D25">
        <w:rPr>
          <w:noProof/>
          <w:spacing w:val="-8"/>
        </w:rPr>
        <w:t>nding i</w:t>
      </w:r>
      <w:r w:rsidR="003A1CBA" w:rsidRPr="003C5D25">
        <w:rPr>
          <w:noProof/>
          <w:spacing w:val="-8"/>
        </w:rPr>
        <w:t>t</w:t>
      </w:r>
      <w:r w:rsidR="000E400D" w:rsidRPr="003C5D25">
        <w:rPr>
          <w:noProof/>
          <w:spacing w:val="-8"/>
        </w:rPr>
        <w:t xml:space="preserve"> very (</w:t>
      </w:r>
      <w:r w:rsidR="003A1CBA" w:rsidRPr="003C5D25">
        <w:rPr>
          <w:noProof/>
          <w:spacing w:val="-8"/>
        </w:rPr>
        <w:t xml:space="preserve">6) or somewhat (2) </w:t>
      </w:r>
      <w:r w:rsidR="000E400D" w:rsidRPr="003C5D25">
        <w:rPr>
          <w:noProof/>
          <w:spacing w:val="-8"/>
        </w:rPr>
        <w:t>ineffective and 17 to ‘not know’ its effect</w:t>
      </w:r>
      <w:r w:rsidR="000E400D" w:rsidRPr="003C5D25">
        <w:rPr>
          <w:i/>
          <w:noProof/>
          <w:spacing w:val="-8"/>
        </w:rPr>
        <w:t xml:space="preserve">. </w:t>
      </w:r>
      <w:r w:rsidR="000650C0" w:rsidRPr="003C5D25">
        <w:rPr>
          <w:noProof/>
          <w:spacing w:val="-8"/>
        </w:rPr>
        <w:t>Additionally, 35%</w:t>
      </w:r>
      <w:r w:rsidR="0040322A" w:rsidRPr="003C5D25">
        <w:rPr>
          <w:noProof/>
          <w:spacing w:val="-8"/>
        </w:rPr>
        <w:t xml:space="preserve"> (7 out of 20)</w:t>
      </w:r>
      <w:r w:rsidR="000650C0" w:rsidRPr="003C5D25">
        <w:rPr>
          <w:noProof/>
          <w:spacing w:val="-8"/>
        </w:rPr>
        <w:t xml:space="preserve"> of MDMS platforms found the effect to be neutral, and the same proportion effective. </w:t>
      </w:r>
      <w:r w:rsidR="00881DD6" w:rsidRPr="003C5D25">
        <w:rPr>
          <w:noProof/>
          <w:spacing w:val="-8"/>
        </w:rPr>
        <w:t xml:space="preserve">Majority </w:t>
      </w:r>
      <w:r w:rsidR="00D00339" w:rsidRPr="003C5D25">
        <w:rPr>
          <w:noProof/>
          <w:spacing w:val="-8"/>
        </w:rPr>
        <w:t>of national</w:t>
      </w:r>
      <w:r w:rsidR="000650C0" w:rsidRPr="003C5D25">
        <w:rPr>
          <w:noProof/>
          <w:spacing w:val="-8"/>
        </w:rPr>
        <w:t xml:space="preserve"> authorities </w:t>
      </w:r>
      <w:r w:rsidR="004F16CB" w:rsidRPr="003C5D25">
        <w:rPr>
          <w:noProof/>
          <w:spacing w:val="-8"/>
        </w:rPr>
        <w:t>(</w:t>
      </w:r>
      <w:r w:rsidR="0011257E" w:rsidRPr="003C5D25">
        <w:rPr>
          <w:noProof/>
          <w:spacing w:val="-8"/>
        </w:rPr>
        <w:t>7 out of 11)</w:t>
      </w:r>
      <w:r w:rsidR="000650C0" w:rsidRPr="003C5D25">
        <w:rPr>
          <w:noProof/>
          <w:spacing w:val="-8"/>
        </w:rPr>
        <w:t xml:space="preserve"> and ‘other’ stakeholders </w:t>
      </w:r>
      <w:r w:rsidR="00E07AD7" w:rsidRPr="003C5D25">
        <w:rPr>
          <w:noProof/>
          <w:spacing w:val="-8"/>
        </w:rPr>
        <w:t xml:space="preserve">(6 out 10) </w:t>
      </w:r>
      <w:r w:rsidR="000650C0" w:rsidRPr="003C5D25" w:rsidDel="00551F92">
        <w:rPr>
          <w:noProof/>
          <w:spacing w:val="-8"/>
        </w:rPr>
        <w:t>expect</w:t>
      </w:r>
      <w:r w:rsidR="00E07AD7" w:rsidRPr="003C5D25">
        <w:rPr>
          <w:noProof/>
          <w:spacing w:val="-8"/>
        </w:rPr>
        <w:t>ed</w:t>
      </w:r>
      <w:r w:rsidR="000650C0" w:rsidRPr="003C5D25">
        <w:rPr>
          <w:noProof/>
          <w:spacing w:val="-8"/>
        </w:rPr>
        <w:t xml:space="preserve"> PM1</w:t>
      </w:r>
      <w:r w:rsidR="00166507" w:rsidRPr="003C5D25">
        <w:rPr>
          <w:noProof/>
          <w:spacing w:val="-8"/>
        </w:rPr>
        <w:t>3</w:t>
      </w:r>
      <w:r w:rsidR="00F54300" w:rsidRPr="003C5D25">
        <w:rPr>
          <w:noProof/>
          <w:spacing w:val="-8"/>
        </w:rPr>
        <w:t xml:space="preserve"> to be effective</w:t>
      </w:r>
      <w:r w:rsidR="000650C0" w:rsidRPr="003C5D25">
        <w:rPr>
          <w:noProof/>
          <w:spacing w:val="-8"/>
        </w:rPr>
        <w:t xml:space="preserve">. </w:t>
      </w:r>
      <w:r w:rsidR="007D0AB6" w:rsidRPr="003C5D25">
        <w:rPr>
          <w:noProof/>
          <w:spacing w:val="-8"/>
        </w:rPr>
        <w:t xml:space="preserve">During interviews, </w:t>
      </w:r>
      <w:r w:rsidR="00BA551D" w:rsidRPr="003C5D25">
        <w:rPr>
          <w:noProof/>
          <w:spacing w:val="-8"/>
        </w:rPr>
        <w:t>some</w:t>
      </w:r>
      <w:r w:rsidR="007D0AB6" w:rsidRPr="003C5D25">
        <w:rPr>
          <w:noProof/>
          <w:spacing w:val="-8"/>
        </w:rPr>
        <w:t xml:space="preserve"> </w:t>
      </w:r>
      <w:r w:rsidR="00422805" w:rsidRPr="003C5D25">
        <w:rPr>
          <w:noProof/>
          <w:spacing w:val="-8"/>
        </w:rPr>
        <w:t>transport operators</w:t>
      </w:r>
      <w:r w:rsidR="007D0AB6" w:rsidRPr="003C5D25">
        <w:rPr>
          <w:noProof/>
          <w:spacing w:val="-8"/>
        </w:rPr>
        <w:t xml:space="preserve"> emphasized that mutual commercial interest must guide coll</w:t>
      </w:r>
      <w:r w:rsidR="00422805" w:rsidRPr="003C5D25">
        <w:rPr>
          <w:noProof/>
          <w:spacing w:val="-8"/>
        </w:rPr>
        <w:t>aboration</w:t>
      </w:r>
      <w:r w:rsidR="00422805" w:rsidRPr="003C5D25">
        <w:rPr>
          <w:rStyle w:val="FootnoteReference"/>
          <w:noProof/>
          <w:spacing w:val="-8"/>
        </w:rPr>
        <w:footnoteReference w:id="252"/>
      </w:r>
      <w:r w:rsidR="00422805" w:rsidRPr="003C5D25">
        <w:rPr>
          <w:noProof/>
          <w:spacing w:val="-8"/>
        </w:rPr>
        <w:t>.</w:t>
      </w:r>
      <w:r w:rsidR="007C4E20" w:rsidRPr="003C5D25">
        <w:rPr>
          <w:noProof/>
          <w:spacing w:val="-8"/>
        </w:rPr>
        <w:t xml:space="preserve"> </w:t>
      </w:r>
      <w:r w:rsidR="00BD462D" w:rsidRPr="003C5D25">
        <w:rPr>
          <w:rFonts w:cs="Arial"/>
          <w:noProof/>
          <w:spacing w:val="-8"/>
        </w:rPr>
        <w:t>2 air carriers</w:t>
      </w:r>
      <w:r w:rsidR="007C4E20" w:rsidRPr="003C5D25">
        <w:rPr>
          <w:rFonts w:cs="Arial"/>
          <w:noProof/>
          <w:spacing w:val="-8"/>
        </w:rPr>
        <w:t>, one MDMS provider and A4E, generally reject</w:t>
      </w:r>
      <w:r w:rsidR="0034659D" w:rsidRPr="003C5D25">
        <w:rPr>
          <w:rFonts w:cs="Arial"/>
          <w:noProof/>
          <w:spacing w:val="-8"/>
        </w:rPr>
        <w:t>ed</w:t>
      </w:r>
      <w:r w:rsidR="007C4E20" w:rsidRPr="003C5D25">
        <w:rPr>
          <w:rFonts w:cs="Arial"/>
          <w:noProof/>
          <w:spacing w:val="-8"/>
        </w:rPr>
        <w:t xml:space="preserve"> </w:t>
      </w:r>
      <w:r w:rsidR="00B70B7A" w:rsidRPr="003C5D25">
        <w:rPr>
          <w:rFonts w:cs="Arial"/>
          <w:noProof/>
          <w:spacing w:val="-8"/>
        </w:rPr>
        <w:t>in their interviews</w:t>
      </w:r>
      <w:r w:rsidR="007C4E20" w:rsidRPr="003C5D25">
        <w:rPr>
          <w:rFonts w:cs="Arial"/>
          <w:noProof/>
          <w:spacing w:val="-8"/>
        </w:rPr>
        <w:t xml:space="preserve"> the applicability of such regulatory obligations to their market. By contrast, </w:t>
      </w:r>
      <w:r w:rsidR="00002E71" w:rsidRPr="003C5D25">
        <w:rPr>
          <w:rFonts w:cs="Arial"/>
          <w:noProof/>
          <w:spacing w:val="-8"/>
        </w:rPr>
        <w:t>EPF and WestBahn</w:t>
      </w:r>
      <w:r w:rsidR="007C4E20" w:rsidRPr="003C5D25">
        <w:rPr>
          <w:rFonts w:cs="Arial"/>
          <w:noProof/>
          <w:spacing w:val="-8"/>
        </w:rPr>
        <w:t xml:space="preserve"> strongly support</w:t>
      </w:r>
      <w:r w:rsidR="002534C5" w:rsidRPr="003C5D25">
        <w:rPr>
          <w:rFonts w:cs="Arial"/>
          <w:noProof/>
          <w:spacing w:val="-8"/>
        </w:rPr>
        <w:t>ed in their interviews</w:t>
      </w:r>
      <w:r w:rsidR="007C4E20" w:rsidRPr="003C5D25">
        <w:rPr>
          <w:rFonts w:cs="Arial"/>
          <w:noProof/>
          <w:spacing w:val="-8"/>
        </w:rPr>
        <w:t xml:space="preserve"> a broader application of the obligation</w:t>
      </w:r>
      <w:r w:rsidR="001A1327" w:rsidRPr="003C5D25">
        <w:rPr>
          <w:rFonts w:cs="Arial"/>
          <w:noProof/>
          <w:spacing w:val="-8"/>
        </w:rPr>
        <w:t xml:space="preserve">, </w:t>
      </w:r>
      <w:r w:rsidR="0063582A" w:rsidRPr="003C5D25">
        <w:rPr>
          <w:rFonts w:cs="Arial"/>
          <w:noProof/>
          <w:spacing w:val="-8"/>
        </w:rPr>
        <w:t>and</w:t>
      </w:r>
      <w:r w:rsidR="001A1327" w:rsidRPr="003C5D25">
        <w:rPr>
          <w:rFonts w:cs="Arial"/>
          <w:noProof/>
          <w:spacing w:val="-8"/>
        </w:rPr>
        <w:t xml:space="preserve"> </w:t>
      </w:r>
      <w:r w:rsidR="007C4E20" w:rsidRPr="003C5D25">
        <w:rPr>
          <w:rFonts w:cs="Arial"/>
          <w:noProof/>
          <w:spacing w:val="-8"/>
        </w:rPr>
        <w:t xml:space="preserve">believe that all MDMS, </w:t>
      </w:r>
      <w:r w:rsidR="001358ED" w:rsidRPr="003C5D25">
        <w:rPr>
          <w:noProof/>
          <w:spacing w:val="-8"/>
        </w:rPr>
        <w:t>RU</w:t>
      </w:r>
      <w:r w:rsidR="007C4E20" w:rsidRPr="003C5D25">
        <w:rPr>
          <w:rFonts w:cs="Arial"/>
          <w:noProof/>
          <w:spacing w:val="-8"/>
        </w:rPr>
        <w:t>, and transport modes should be included within the regulatory scope</w:t>
      </w:r>
      <w:r w:rsidR="00207794">
        <w:rPr>
          <w:rFonts w:cs="Arial"/>
          <w:noProof/>
          <w:spacing w:val="-8"/>
        </w:rPr>
        <w:t xml:space="preserve"> of PM13</w:t>
      </w:r>
      <w:r w:rsidR="007C4E20" w:rsidRPr="003C5D25">
        <w:rPr>
          <w:rFonts w:cs="Arial"/>
          <w:noProof/>
          <w:spacing w:val="-8"/>
        </w:rPr>
        <w:t>.</w:t>
      </w:r>
      <w:r w:rsidR="003A1CBA" w:rsidRPr="003C5D25">
        <w:rPr>
          <w:rFonts w:cs="Arial"/>
          <w:noProof/>
          <w:spacing w:val="-8"/>
        </w:rPr>
        <w:t xml:space="preserve"> </w:t>
      </w:r>
      <w:r w:rsidR="00C30886" w:rsidRPr="003C5D25">
        <w:rPr>
          <w:noProof/>
          <w:spacing w:val="-8"/>
        </w:rPr>
        <w:t xml:space="preserve"> </w:t>
      </w:r>
      <w:r w:rsidR="009256E6" w:rsidRPr="003C5D25">
        <w:rPr>
          <w:i/>
          <w:noProof/>
          <w:spacing w:val="-8"/>
        </w:rPr>
        <w:t xml:space="preserve">Regarding </w:t>
      </w:r>
      <w:r w:rsidR="009256E6" w:rsidRPr="003C5D25">
        <w:rPr>
          <w:b/>
          <w:noProof/>
          <w:spacing w:val="-8"/>
        </w:rPr>
        <w:t>P</w:t>
      </w:r>
      <w:r w:rsidR="00175F7E" w:rsidRPr="003C5D25">
        <w:rPr>
          <w:b/>
          <w:noProof/>
          <w:spacing w:val="-8"/>
        </w:rPr>
        <w:t>M1</w:t>
      </w:r>
      <w:r w:rsidR="00166507" w:rsidRPr="003C5D25">
        <w:rPr>
          <w:b/>
          <w:noProof/>
          <w:spacing w:val="-8"/>
        </w:rPr>
        <w:t>4</w:t>
      </w:r>
      <w:r w:rsidR="009256E6" w:rsidRPr="003C5D25">
        <w:rPr>
          <w:i/>
          <w:noProof/>
          <w:spacing w:val="-8"/>
        </w:rPr>
        <w:t xml:space="preserve"> and the obligation </w:t>
      </w:r>
      <w:r w:rsidR="00B91C1D" w:rsidRPr="003C5D25">
        <w:rPr>
          <w:i/>
          <w:noProof/>
          <w:spacing w:val="-8"/>
        </w:rPr>
        <w:t xml:space="preserve">for </w:t>
      </w:r>
      <w:r w:rsidR="00BB5DD1" w:rsidRPr="003C5D25">
        <w:rPr>
          <w:i/>
          <w:noProof/>
          <w:spacing w:val="-8"/>
        </w:rPr>
        <w:t>indispensable RU</w:t>
      </w:r>
      <w:r w:rsidR="00B91C1D" w:rsidRPr="003C5D25">
        <w:rPr>
          <w:i/>
          <w:noProof/>
          <w:spacing w:val="-8"/>
        </w:rPr>
        <w:t xml:space="preserve"> platforms to </w:t>
      </w:r>
      <w:r w:rsidR="00733372" w:rsidRPr="003C5D25">
        <w:rPr>
          <w:i/>
          <w:noProof/>
          <w:spacing w:val="-8"/>
        </w:rPr>
        <w:t>enter into commercial agre</w:t>
      </w:r>
      <w:r w:rsidR="00C43537" w:rsidRPr="003C5D25">
        <w:rPr>
          <w:i/>
          <w:noProof/>
          <w:spacing w:val="-8"/>
        </w:rPr>
        <w:t xml:space="preserve">ements with </w:t>
      </w:r>
      <w:r w:rsidR="00AC59D0" w:rsidRPr="003C5D25">
        <w:rPr>
          <w:i/>
          <w:noProof/>
          <w:spacing w:val="-8"/>
        </w:rPr>
        <w:t xml:space="preserve">requesting </w:t>
      </w:r>
      <w:r w:rsidR="001358ED" w:rsidRPr="003C5D25">
        <w:rPr>
          <w:noProof/>
          <w:spacing w:val="-8"/>
        </w:rPr>
        <w:t>RU</w:t>
      </w:r>
      <w:r w:rsidR="001743D1" w:rsidRPr="003C5D25">
        <w:rPr>
          <w:i/>
          <w:noProof/>
          <w:spacing w:val="-8"/>
        </w:rPr>
        <w:t>s</w:t>
      </w:r>
      <w:r w:rsidR="00DE2CD7" w:rsidRPr="003C5D25">
        <w:rPr>
          <w:i/>
          <w:noProof/>
          <w:spacing w:val="-8"/>
        </w:rPr>
        <w:t>,</w:t>
      </w:r>
      <w:r w:rsidR="00BF2D41" w:rsidRPr="003C5D25">
        <w:rPr>
          <w:i/>
          <w:noProof/>
          <w:spacing w:val="-8"/>
        </w:rPr>
        <w:t xml:space="preserve"> </w:t>
      </w:r>
      <w:r w:rsidR="00BF2D41" w:rsidRPr="003C5D25">
        <w:rPr>
          <w:noProof/>
          <w:spacing w:val="-8"/>
        </w:rPr>
        <w:t xml:space="preserve">stakeholders also provided </w:t>
      </w:r>
      <w:r w:rsidR="00924CA3" w:rsidRPr="003C5D25">
        <w:rPr>
          <w:noProof/>
          <w:spacing w:val="-8"/>
        </w:rPr>
        <w:t xml:space="preserve">diverging views. In total, </w:t>
      </w:r>
      <w:r w:rsidR="04EFF017" w:rsidRPr="003C5D25">
        <w:rPr>
          <w:noProof/>
          <w:spacing w:val="-8"/>
        </w:rPr>
        <w:t xml:space="preserve">22 </w:t>
      </w:r>
      <w:r w:rsidR="00924CA3" w:rsidRPr="003C5D25">
        <w:rPr>
          <w:noProof/>
          <w:spacing w:val="-8"/>
        </w:rPr>
        <w:t xml:space="preserve">out of 68 </w:t>
      </w:r>
      <w:r w:rsidR="0025728B" w:rsidRPr="003C5D25">
        <w:rPr>
          <w:noProof/>
          <w:spacing w:val="-8"/>
        </w:rPr>
        <w:t>stakeholders surveyed</w:t>
      </w:r>
      <w:r w:rsidR="00924CA3" w:rsidRPr="003C5D25">
        <w:rPr>
          <w:noProof/>
          <w:spacing w:val="-8"/>
        </w:rPr>
        <w:t xml:space="preserve"> </w:t>
      </w:r>
      <w:r w:rsidR="04EFF017" w:rsidRPr="003C5D25">
        <w:rPr>
          <w:noProof/>
          <w:spacing w:val="-8"/>
        </w:rPr>
        <w:t xml:space="preserve">expected it to be very (10) or somewhat effective (12). Furthermore, 20 stakeholders </w:t>
      </w:r>
      <w:r w:rsidR="00246845" w:rsidRPr="003C5D25">
        <w:rPr>
          <w:noProof/>
          <w:spacing w:val="-8"/>
        </w:rPr>
        <w:t>surveyed</w:t>
      </w:r>
      <w:r w:rsidR="04EFF017" w:rsidRPr="003C5D25">
        <w:rPr>
          <w:noProof/>
          <w:spacing w:val="-8"/>
        </w:rPr>
        <w:t xml:space="preserve"> expected it to be very ineffective (19) or somewhat ineffective (1). Finally, 26 stakeholders </w:t>
      </w:r>
      <w:r w:rsidR="00246845" w:rsidRPr="003C5D25">
        <w:rPr>
          <w:noProof/>
          <w:spacing w:val="-8"/>
        </w:rPr>
        <w:t>expressed a</w:t>
      </w:r>
      <w:r w:rsidR="04EFF017" w:rsidRPr="003C5D25">
        <w:rPr>
          <w:noProof/>
          <w:spacing w:val="-8"/>
        </w:rPr>
        <w:t xml:space="preserve"> neutral </w:t>
      </w:r>
      <w:r w:rsidR="00246845" w:rsidRPr="003C5D25">
        <w:rPr>
          <w:noProof/>
          <w:spacing w:val="-8"/>
        </w:rPr>
        <w:t>view</w:t>
      </w:r>
      <w:r w:rsidR="008D5E52" w:rsidRPr="003C5D25">
        <w:rPr>
          <w:noProof/>
          <w:spacing w:val="-8"/>
        </w:rPr>
        <w:t xml:space="preserve"> </w:t>
      </w:r>
      <w:r w:rsidR="04EFF017" w:rsidRPr="003C5D25">
        <w:rPr>
          <w:noProof/>
          <w:spacing w:val="-8"/>
        </w:rPr>
        <w:t xml:space="preserve">(17) or did not know (9). </w:t>
      </w:r>
      <w:r w:rsidR="008D5E52" w:rsidRPr="003C5D25">
        <w:rPr>
          <w:noProof/>
          <w:spacing w:val="-8"/>
        </w:rPr>
        <w:t>A</w:t>
      </w:r>
      <w:r w:rsidR="193B6E98" w:rsidRPr="003C5D25">
        <w:rPr>
          <w:noProof/>
          <w:spacing w:val="-8"/>
        </w:rPr>
        <w:t xml:space="preserve"> </w:t>
      </w:r>
      <w:r w:rsidR="1AE6F6CC" w:rsidRPr="003C5D25">
        <w:rPr>
          <w:noProof/>
          <w:spacing w:val="-8"/>
        </w:rPr>
        <w:t xml:space="preserve">majority </w:t>
      </w:r>
      <w:r w:rsidR="514BFA1B" w:rsidRPr="003C5D25">
        <w:rPr>
          <w:noProof/>
          <w:spacing w:val="-8"/>
        </w:rPr>
        <w:t xml:space="preserve">52% </w:t>
      </w:r>
      <w:r w:rsidR="5276C22D" w:rsidRPr="003C5D25">
        <w:rPr>
          <w:noProof/>
          <w:spacing w:val="-8"/>
        </w:rPr>
        <w:t>(1</w:t>
      </w:r>
      <w:r w:rsidR="309F6AB5" w:rsidRPr="003C5D25">
        <w:rPr>
          <w:noProof/>
          <w:spacing w:val="-8"/>
        </w:rPr>
        <w:t>5</w:t>
      </w:r>
      <w:r w:rsidR="5276C22D" w:rsidRPr="003C5D25">
        <w:rPr>
          <w:noProof/>
          <w:spacing w:val="-8"/>
        </w:rPr>
        <w:t xml:space="preserve"> out of 2</w:t>
      </w:r>
      <w:r w:rsidR="309F6AB5" w:rsidRPr="003C5D25">
        <w:rPr>
          <w:noProof/>
          <w:spacing w:val="-8"/>
        </w:rPr>
        <w:t>7</w:t>
      </w:r>
      <w:r w:rsidR="5276C22D" w:rsidRPr="003C5D25">
        <w:rPr>
          <w:noProof/>
          <w:spacing w:val="-8"/>
        </w:rPr>
        <w:t xml:space="preserve">) </w:t>
      </w:r>
      <w:r w:rsidR="1AE6F6CC" w:rsidRPr="003C5D25">
        <w:rPr>
          <w:noProof/>
          <w:spacing w:val="-8"/>
        </w:rPr>
        <w:t>of transport</w:t>
      </w:r>
      <w:r w:rsidR="2214DA3C" w:rsidRPr="003C5D25">
        <w:rPr>
          <w:noProof/>
          <w:spacing w:val="-8"/>
        </w:rPr>
        <w:t xml:space="preserve"> operators</w:t>
      </w:r>
      <w:r w:rsidR="1AE6F6CC" w:rsidRPr="003C5D25">
        <w:rPr>
          <w:noProof/>
          <w:spacing w:val="-8"/>
        </w:rPr>
        <w:t xml:space="preserve"> </w:t>
      </w:r>
      <w:r w:rsidR="008D5E52" w:rsidRPr="003C5D25">
        <w:rPr>
          <w:noProof/>
          <w:spacing w:val="-8"/>
        </w:rPr>
        <w:t xml:space="preserve">surveyed </w:t>
      </w:r>
      <w:r w:rsidR="00C86F4C" w:rsidRPr="003C5D25">
        <w:rPr>
          <w:noProof/>
          <w:spacing w:val="-8"/>
        </w:rPr>
        <w:t xml:space="preserve">believed this obligation </w:t>
      </w:r>
      <w:r w:rsidR="1AE6F6CC" w:rsidRPr="003C5D25">
        <w:rPr>
          <w:noProof/>
          <w:spacing w:val="-8"/>
        </w:rPr>
        <w:t>would be very ineffective</w:t>
      </w:r>
      <w:r w:rsidR="363AC077" w:rsidRPr="003C5D25">
        <w:rPr>
          <w:noProof/>
          <w:spacing w:val="-8"/>
        </w:rPr>
        <w:t xml:space="preserve"> while a</w:t>
      </w:r>
      <w:r w:rsidR="7E7F65BF" w:rsidRPr="003C5D25">
        <w:rPr>
          <w:noProof/>
          <w:spacing w:val="-8"/>
        </w:rPr>
        <w:t xml:space="preserve"> </w:t>
      </w:r>
      <w:r w:rsidR="193B6E98" w:rsidRPr="003C5D25">
        <w:rPr>
          <w:noProof/>
          <w:spacing w:val="-8"/>
        </w:rPr>
        <w:t xml:space="preserve">majority of </w:t>
      </w:r>
      <w:r w:rsidR="6C93E04A" w:rsidRPr="003C5D25">
        <w:rPr>
          <w:noProof/>
          <w:spacing w:val="-8"/>
        </w:rPr>
        <w:t xml:space="preserve">MDMS platforms </w:t>
      </w:r>
      <w:r w:rsidR="008D5E52" w:rsidRPr="003C5D25">
        <w:rPr>
          <w:noProof/>
          <w:spacing w:val="-8"/>
        </w:rPr>
        <w:t xml:space="preserve">surveyed </w:t>
      </w:r>
      <w:r w:rsidR="21755921" w:rsidRPr="003C5D25">
        <w:rPr>
          <w:noProof/>
          <w:spacing w:val="-8"/>
        </w:rPr>
        <w:t>thought the effect of PM1</w:t>
      </w:r>
      <w:r w:rsidR="00430322">
        <w:rPr>
          <w:noProof/>
          <w:spacing w:val="-8"/>
        </w:rPr>
        <w:t>4</w:t>
      </w:r>
      <w:r w:rsidR="21755921" w:rsidRPr="003C5D25">
        <w:rPr>
          <w:noProof/>
          <w:spacing w:val="-8"/>
        </w:rPr>
        <w:t xml:space="preserve"> would be </w:t>
      </w:r>
      <w:r w:rsidR="26BDB416" w:rsidRPr="003C5D25">
        <w:rPr>
          <w:noProof/>
          <w:spacing w:val="-8"/>
        </w:rPr>
        <w:t xml:space="preserve">either </w:t>
      </w:r>
      <w:r w:rsidR="21755921" w:rsidRPr="003C5D25">
        <w:rPr>
          <w:noProof/>
          <w:spacing w:val="-8"/>
        </w:rPr>
        <w:t>neutral (</w:t>
      </w:r>
      <w:r w:rsidR="67B188FD" w:rsidRPr="003C5D25">
        <w:rPr>
          <w:noProof/>
          <w:spacing w:val="-8"/>
        </w:rPr>
        <w:t>3</w:t>
      </w:r>
      <w:r w:rsidR="21755921" w:rsidRPr="003C5D25">
        <w:rPr>
          <w:noProof/>
          <w:spacing w:val="-8"/>
        </w:rPr>
        <w:t>5%</w:t>
      </w:r>
      <w:r w:rsidR="38D0A3D3" w:rsidRPr="003C5D25">
        <w:rPr>
          <w:noProof/>
          <w:spacing w:val="-8"/>
        </w:rPr>
        <w:t>, 7 out of 20</w:t>
      </w:r>
      <w:r w:rsidR="21755921" w:rsidRPr="003C5D25">
        <w:rPr>
          <w:noProof/>
          <w:spacing w:val="-8"/>
        </w:rPr>
        <w:t xml:space="preserve">) or </w:t>
      </w:r>
      <w:r w:rsidR="363AC077" w:rsidRPr="003C5D25">
        <w:rPr>
          <w:noProof/>
          <w:spacing w:val="-8"/>
        </w:rPr>
        <w:t>‘</w:t>
      </w:r>
      <w:r w:rsidR="752F6566" w:rsidRPr="003C5D25">
        <w:rPr>
          <w:noProof/>
          <w:spacing w:val="-8"/>
        </w:rPr>
        <w:t>very</w:t>
      </w:r>
      <w:r w:rsidR="363AC077" w:rsidRPr="003C5D25">
        <w:rPr>
          <w:noProof/>
          <w:spacing w:val="-8"/>
        </w:rPr>
        <w:t>’</w:t>
      </w:r>
      <w:r w:rsidR="752F6566" w:rsidRPr="003C5D25">
        <w:rPr>
          <w:noProof/>
          <w:spacing w:val="-8"/>
        </w:rPr>
        <w:t xml:space="preserve"> </w:t>
      </w:r>
      <w:r w:rsidR="21755921" w:rsidRPr="003C5D25">
        <w:rPr>
          <w:noProof/>
          <w:spacing w:val="-8"/>
        </w:rPr>
        <w:t>ineffective</w:t>
      </w:r>
      <w:r w:rsidR="458DB312" w:rsidRPr="003C5D25">
        <w:rPr>
          <w:noProof/>
          <w:spacing w:val="-8"/>
        </w:rPr>
        <w:t xml:space="preserve"> (</w:t>
      </w:r>
      <w:r w:rsidR="752F6566" w:rsidRPr="003C5D25">
        <w:rPr>
          <w:noProof/>
          <w:spacing w:val="-8"/>
        </w:rPr>
        <w:t>2</w:t>
      </w:r>
      <w:r w:rsidR="458DB312" w:rsidRPr="003C5D25">
        <w:rPr>
          <w:noProof/>
          <w:spacing w:val="-8"/>
        </w:rPr>
        <w:t>5%)</w:t>
      </w:r>
      <w:r w:rsidR="21755921" w:rsidRPr="003C5D25">
        <w:rPr>
          <w:noProof/>
          <w:spacing w:val="-8"/>
        </w:rPr>
        <w:t xml:space="preserve">. </w:t>
      </w:r>
      <w:r w:rsidR="57041387" w:rsidRPr="003C5D25">
        <w:rPr>
          <w:noProof/>
          <w:spacing w:val="-8"/>
        </w:rPr>
        <w:t xml:space="preserve">On the contrary, </w:t>
      </w:r>
      <w:r w:rsidR="1649F934" w:rsidRPr="003C5D25">
        <w:rPr>
          <w:noProof/>
          <w:spacing w:val="-8"/>
        </w:rPr>
        <w:t xml:space="preserve">55% of </w:t>
      </w:r>
      <w:r w:rsidR="57041387" w:rsidRPr="003C5D25">
        <w:rPr>
          <w:noProof/>
          <w:spacing w:val="-8"/>
        </w:rPr>
        <w:t>national authorities</w:t>
      </w:r>
      <w:r w:rsidR="400A36EB" w:rsidRPr="003C5D25">
        <w:rPr>
          <w:noProof/>
          <w:spacing w:val="-8"/>
        </w:rPr>
        <w:t xml:space="preserve"> </w:t>
      </w:r>
      <w:r w:rsidR="00331E6F" w:rsidRPr="003C5D25">
        <w:rPr>
          <w:noProof/>
          <w:spacing w:val="-8"/>
        </w:rPr>
        <w:t>surveyed</w:t>
      </w:r>
      <w:r w:rsidR="400A36EB" w:rsidRPr="003C5D25">
        <w:rPr>
          <w:noProof/>
          <w:spacing w:val="-8"/>
        </w:rPr>
        <w:t xml:space="preserve"> (</w:t>
      </w:r>
      <w:r w:rsidR="3D164DB0" w:rsidRPr="003C5D25">
        <w:rPr>
          <w:noProof/>
          <w:spacing w:val="-8"/>
        </w:rPr>
        <w:t>6 out of 11</w:t>
      </w:r>
      <w:r w:rsidR="400A36EB" w:rsidRPr="003C5D25">
        <w:rPr>
          <w:noProof/>
          <w:spacing w:val="-8"/>
        </w:rPr>
        <w:t>)</w:t>
      </w:r>
      <w:r w:rsidR="57041387" w:rsidRPr="003C5D25">
        <w:rPr>
          <w:noProof/>
          <w:spacing w:val="-8"/>
        </w:rPr>
        <w:t xml:space="preserve"> and </w:t>
      </w:r>
      <w:r w:rsidR="1649F934" w:rsidRPr="003C5D25">
        <w:rPr>
          <w:noProof/>
          <w:spacing w:val="-8"/>
        </w:rPr>
        <w:t xml:space="preserve">60% of </w:t>
      </w:r>
      <w:r w:rsidR="57041387" w:rsidRPr="003C5D25">
        <w:rPr>
          <w:noProof/>
          <w:spacing w:val="-8"/>
        </w:rPr>
        <w:t xml:space="preserve">‘other’ </w:t>
      </w:r>
      <w:r w:rsidR="00331E6F" w:rsidRPr="003C5D25">
        <w:rPr>
          <w:noProof/>
          <w:spacing w:val="-8"/>
        </w:rPr>
        <w:t>stakeholders surveyed</w:t>
      </w:r>
      <w:r w:rsidR="57041387" w:rsidRPr="003C5D25">
        <w:rPr>
          <w:noProof/>
          <w:spacing w:val="-8"/>
        </w:rPr>
        <w:t xml:space="preserve"> </w:t>
      </w:r>
      <w:r w:rsidR="1AE6F6CC" w:rsidRPr="003C5D25">
        <w:rPr>
          <w:noProof/>
          <w:spacing w:val="-8"/>
        </w:rPr>
        <w:t>(6</w:t>
      </w:r>
      <w:r w:rsidR="3CD29552" w:rsidRPr="003C5D25">
        <w:rPr>
          <w:noProof/>
          <w:spacing w:val="-8"/>
        </w:rPr>
        <w:t xml:space="preserve"> out of 10</w:t>
      </w:r>
      <w:r w:rsidR="1AE6F6CC" w:rsidRPr="003C5D25">
        <w:rPr>
          <w:noProof/>
          <w:spacing w:val="-8"/>
        </w:rPr>
        <w:t>)</w:t>
      </w:r>
      <w:r w:rsidR="57041387" w:rsidRPr="003C5D25">
        <w:rPr>
          <w:noProof/>
          <w:spacing w:val="-8"/>
        </w:rPr>
        <w:t xml:space="preserve"> declared that PM1</w:t>
      </w:r>
      <w:r w:rsidR="0028633B" w:rsidRPr="003C5D25">
        <w:rPr>
          <w:noProof/>
          <w:spacing w:val="-8"/>
        </w:rPr>
        <w:t>4</w:t>
      </w:r>
      <w:r w:rsidR="57041387" w:rsidRPr="003C5D25">
        <w:rPr>
          <w:noProof/>
          <w:spacing w:val="-8"/>
        </w:rPr>
        <w:t xml:space="preserve"> would be effective</w:t>
      </w:r>
      <w:r w:rsidR="3CD29552" w:rsidRPr="003C5D25">
        <w:rPr>
          <w:noProof/>
          <w:spacing w:val="-8"/>
        </w:rPr>
        <w:t xml:space="preserve">, therefore </w:t>
      </w:r>
      <w:r w:rsidR="5749C0BE" w:rsidRPr="003C5D25">
        <w:rPr>
          <w:noProof/>
          <w:spacing w:val="-8"/>
        </w:rPr>
        <w:t xml:space="preserve">counterbalancing the position of platforms and operators. </w:t>
      </w:r>
      <w:r w:rsidR="774C8D01" w:rsidRPr="003C5D25">
        <w:rPr>
          <w:rFonts w:cs="Arial"/>
          <w:noProof/>
          <w:spacing w:val="-8"/>
        </w:rPr>
        <w:t>A strong concern</w:t>
      </w:r>
      <w:r w:rsidR="002216DA" w:rsidRPr="003C5D25">
        <w:rPr>
          <w:rFonts w:cs="Arial"/>
          <w:noProof/>
          <w:spacing w:val="-8"/>
        </w:rPr>
        <w:t xml:space="preserve"> </w:t>
      </w:r>
      <w:r w:rsidR="00A44A35" w:rsidRPr="003C5D25">
        <w:rPr>
          <w:rFonts w:cs="Arial"/>
          <w:noProof/>
          <w:spacing w:val="-8"/>
        </w:rPr>
        <w:t>voiced</w:t>
      </w:r>
      <w:r w:rsidR="002216DA" w:rsidRPr="003C5D25">
        <w:rPr>
          <w:rFonts w:cs="Arial"/>
          <w:noProof/>
          <w:spacing w:val="-8"/>
        </w:rPr>
        <w:t xml:space="preserve"> by rail incumbent</w:t>
      </w:r>
      <w:r w:rsidR="00EF2E39" w:rsidRPr="003C5D25">
        <w:rPr>
          <w:rFonts w:cs="Arial"/>
          <w:noProof/>
          <w:spacing w:val="-8"/>
        </w:rPr>
        <w:t xml:space="preserve"> and independent MDMS platforms</w:t>
      </w:r>
      <w:r w:rsidR="774C8D01" w:rsidRPr="003C5D25">
        <w:rPr>
          <w:rFonts w:cs="Arial"/>
          <w:noProof/>
          <w:spacing w:val="-8"/>
        </w:rPr>
        <w:t xml:space="preserve"> </w:t>
      </w:r>
      <w:r w:rsidR="00A44A35" w:rsidRPr="003C5D25">
        <w:rPr>
          <w:rFonts w:cs="Arial"/>
          <w:noProof/>
          <w:spacing w:val="-8"/>
        </w:rPr>
        <w:t>is</w:t>
      </w:r>
      <w:r w:rsidR="774C8D01" w:rsidRPr="003C5D25">
        <w:rPr>
          <w:rFonts w:cs="Arial"/>
          <w:noProof/>
          <w:spacing w:val="-8"/>
        </w:rPr>
        <w:t xml:space="preserve"> the risk of increased market concentration</w:t>
      </w:r>
      <w:r w:rsidR="002216DA" w:rsidRPr="003C5D25">
        <w:rPr>
          <w:rFonts w:cs="Arial"/>
          <w:noProof/>
          <w:spacing w:val="-8"/>
        </w:rPr>
        <w:t xml:space="preserve"> that such an obligation would result in</w:t>
      </w:r>
      <w:r w:rsidR="00C91C05" w:rsidRPr="003C5D25">
        <w:rPr>
          <w:rStyle w:val="FootnoteReference"/>
          <w:rFonts w:cs="Arial"/>
          <w:noProof/>
          <w:spacing w:val="-8"/>
        </w:rPr>
        <w:footnoteReference w:id="253"/>
      </w:r>
      <w:r w:rsidR="774C8D01" w:rsidRPr="003C5D25">
        <w:rPr>
          <w:rFonts w:cs="Arial"/>
          <w:noProof/>
          <w:spacing w:val="-8"/>
        </w:rPr>
        <w:t xml:space="preserve">. </w:t>
      </w:r>
      <w:r w:rsidR="00D8735C" w:rsidRPr="003C5D25">
        <w:rPr>
          <w:rFonts w:cs="Arial"/>
          <w:noProof/>
          <w:spacing w:val="-8"/>
        </w:rPr>
        <w:t xml:space="preserve">Conversely, </w:t>
      </w:r>
      <w:r w:rsidR="00F76492" w:rsidRPr="003C5D25">
        <w:rPr>
          <w:rFonts w:cs="Arial"/>
          <w:noProof/>
          <w:spacing w:val="-8"/>
        </w:rPr>
        <w:t xml:space="preserve">new entrant </w:t>
      </w:r>
      <w:r w:rsidR="001358ED" w:rsidRPr="003C5D25">
        <w:rPr>
          <w:noProof/>
          <w:spacing w:val="-8"/>
        </w:rPr>
        <w:t>RU</w:t>
      </w:r>
      <w:r w:rsidR="00F76492" w:rsidRPr="003C5D25">
        <w:rPr>
          <w:rFonts w:cs="Arial"/>
          <w:noProof/>
          <w:spacing w:val="-8"/>
        </w:rPr>
        <w:t xml:space="preserve">s represented by </w:t>
      </w:r>
      <w:r w:rsidR="00D8735C" w:rsidRPr="003C5D25">
        <w:rPr>
          <w:rFonts w:cs="Arial"/>
          <w:noProof/>
          <w:spacing w:val="-8"/>
        </w:rPr>
        <w:t>ALLRAIL supported targeted intervention where it applies only to dominant vertically integrated MDMS</w:t>
      </w:r>
      <w:r w:rsidR="003C2F8B" w:rsidRPr="003C5D25">
        <w:rPr>
          <w:rFonts w:cs="Arial"/>
          <w:noProof/>
          <w:spacing w:val="-8"/>
        </w:rPr>
        <w:t>.</w:t>
      </w:r>
    </w:p>
    <w:p w14:paraId="5F391BCB" w14:textId="18BCE2CB" w:rsidR="0028679F" w:rsidRPr="003C5D25" w:rsidRDefault="0028679F" w:rsidP="003C5D25">
      <w:pPr>
        <w:pStyle w:val="BodyText"/>
        <w:spacing w:after="240"/>
        <w:ind w:left="0" w:right="-26"/>
        <w:rPr>
          <w:noProof/>
          <w:spacing w:val="-8"/>
        </w:rPr>
      </w:pPr>
      <w:r w:rsidRPr="003C5D25">
        <w:rPr>
          <w:rFonts w:cs="Arial"/>
          <w:noProof/>
          <w:spacing w:val="-8"/>
        </w:rPr>
        <w:t xml:space="preserve">In the OPC participants were asked about whether they find </w:t>
      </w:r>
      <w:r w:rsidR="00EE1DF0" w:rsidRPr="003C5D25">
        <w:rPr>
          <w:rFonts w:cs="Arial"/>
          <w:noProof/>
          <w:spacing w:val="-8"/>
        </w:rPr>
        <w:t xml:space="preserve">it important to establish an obligation </w:t>
      </w:r>
      <w:r w:rsidR="00AF1155" w:rsidRPr="003C5D25">
        <w:rPr>
          <w:rFonts w:cs="Arial"/>
          <w:noProof/>
          <w:spacing w:val="-8"/>
        </w:rPr>
        <w:t>on the integration, on the basis of reasonable terms, of operators willing to be part of an MDMS platform. This corresponds</w:t>
      </w:r>
      <w:r w:rsidR="00C300EF" w:rsidRPr="003C5D25">
        <w:rPr>
          <w:rFonts w:cs="Arial"/>
          <w:noProof/>
          <w:spacing w:val="-8"/>
        </w:rPr>
        <w:t xml:space="preserve"> to PM14</w:t>
      </w:r>
      <w:r w:rsidR="0000277B" w:rsidRPr="003C5D25">
        <w:rPr>
          <w:rFonts w:cs="Arial"/>
          <w:noProof/>
          <w:spacing w:val="-8"/>
        </w:rPr>
        <w:t xml:space="preserve"> </w:t>
      </w:r>
      <w:r w:rsidR="002A430D" w:rsidRPr="003C5D25">
        <w:rPr>
          <w:rFonts w:cs="Arial"/>
          <w:noProof/>
          <w:spacing w:val="-8"/>
        </w:rPr>
        <w:t xml:space="preserve">but compared to the OPC question, the </w:t>
      </w:r>
      <w:r w:rsidR="0000277B" w:rsidRPr="003C5D25">
        <w:rPr>
          <w:rFonts w:cs="Arial"/>
          <w:noProof/>
          <w:spacing w:val="-8"/>
        </w:rPr>
        <w:t>PM14</w:t>
      </w:r>
      <w:r w:rsidR="002A430D" w:rsidRPr="003C5D25">
        <w:rPr>
          <w:rFonts w:cs="Arial"/>
          <w:noProof/>
          <w:spacing w:val="-8"/>
        </w:rPr>
        <w:t xml:space="preserve"> is </w:t>
      </w:r>
      <w:r w:rsidR="00342A34" w:rsidRPr="003C5D25">
        <w:rPr>
          <w:rFonts w:cs="Arial"/>
          <w:noProof/>
          <w:spacing w:val="-8"/>
        </w:rPr>
        <w:t>restricted</w:t>
      </w:r>
      <w:r w:rsidR="002A430D" w:rsidRPr="003C5D25">
        <w:rPr>
          <w:rFonts w:cs="Arial"/>
          <w:noProof/>
          <w:spacing w:val="-8"/>
        </w:rPr>
        <w:t xml:space="preserve"> to </w:t>
      </w:r>
      <w:r w:rsidR="0000277B" w:rsidRPr="003C5D25">
        <w:rPr>
          <w:rFonts w:cs="Arial"/>
          <w:noProof/>
          <w:spacing w:val="-8"/>
        </w:rPr>
        <w:t>indispensable rail platforms only</w:t>
      </w:r>
      <w:r w:rsidR="00BB4446" w:rsidRPr="003C5D25">
        <w:rPr>
          <w:rFonts w:cs="Arial"/>
          <w:noProof/>
          <w:spacing w:val="-8"/>
        </w:rPr>
        <w:t xml:space="preserve"> instead of MDMS platforms</w:t>
      </w:r>
      <w:r w:rsidR="0000277B" w:rsidRPr="003C5D25">
        <w:rPr>
          <w:rFonts w:cs="Arial"/>
          <w:noProof/>
          <w:spacing w:val="-8"/>
        </w:rPr>
        <w:t xml:space="preserve">. </w:t>
      </w:r>
      <w:r w:rsidR="004805A8" w:rsidRPr="003C5D25">
        <w:rPr>
          <w:rFonts w:cs="Arial"/>
          <w:noProof/>
          <w:spacing w:val="-8"/>
        </w:rPr>
        <w:t xml:space="preserve">In the OPC 152 out of </w:t>
      </w:r>
      <w:r w:rsidR="00F05A3B" w:rsidRPr="003C5D25">
        <w:rPr>
          <w:rFonts w:cs="Arial"/>
          <w:noProof/>
          <w:spacing w:val="-8"/>
        </w:rPr>
        <w:t>168</w:t>
      </w:r>
      <w:r w:rsidR="0000277B" w:rsidRPr="003C5D25">
        <w:rPr>
          <w:rFonts w:cs="Arial"/>
          <w:noProof/>
          <w:spacing w:val="-8"/>
        </w:rPr>
        <w:t xml:space="preserve"> </w:t>
      </w:r>
      <w:r w:rsidR="004805A8" w:rsidRPr="003C5D25">
        <w:rPr>
          <w:rFonts w:cs="Arial"/>
          <w:noProof/>
          <w:spacing w:val="-8"/>
        </w:rPr>
        <w:t>respondents</w:t>
      </w:r>
      <w:r w:rsidR="00087D36" w:rsidRPr="003C5D25">
        <w:rPr>
          <w:rFonts w:cs="Arial"/>
          <w:noProof/>
          <w:spacing w:val="-8"/>
        </w:rPr>
        <w:t xml:space="preserve"> </w:t>
      </w:r>
      <w:r w:rsidR="00B54F7D" w:rsidRPr="003C5D25">
        <w:rPr>
          <w:rFonts w:cs="Arial"/>
          <w:noProof/>
          <w:spacing w:val="-8"/>
        </w:rPr>
        <w:t>who expressed an opinion found it important</w:t>
      </w:r>
      <w:r w:rsidR="001A0595" w:rsidRPr="003C5D25">
        <w:rPr>
          <w:rFonts w:cs="Arial"/>
          <w:noProof/>
          <w:spacing w:val="-8"/>
        </w:rPr>
        <w:t xml:space="preserve"> while 6 did not</w:t>
      </w:r>
      <w:r w:rsidR="00B54F7D" w:rsidRPr="003C5D25">
        <w:rPr>
          <w:rFonts w:cs="Arial"/>
          <w:noProof/>
          <w:spacing w:val="-8"/>
        </w:rPr>
        <w:t xml:space="preserve">. </w:t>
      </w:r>
      <w:r w:rsidR="00A56771" w:rsidRPr="003C5D25">
        <w:rPr>
          <w:rFonts w:cs="Arial"/>
          <w:noProof/>
          <w:spacing w:val="-8"/>
        </w:rPr>
        <w:t xml:space="preserve">77 out of </w:t>
      </w:r>
      <w:r w:rsidR="00241711" w:rsidRPr="003C5D25">
        <w:rPr>
          <w:rFonts w:cs="Arial"/>
          <w:noProof/>
          <w:spacing w:val="-8"/>
        </w:rPr>
        <w:t>80 stakeholders f</w:t>
      </w:r>
      <w:r w:rsidR="00C44EE1" w:rsidRPr="003C5D25">
        <w:rPr>
          <w:rFonts w:cs="Arial"/>
          <w:noProof/>
          <w:spacing w:val="-8"/>
        </w:rPr>
        <w:t>r</w:t>
      </w:r>
      <w:r w:rsidR="00241711" w:rsidRPr="003C5D25">
        <w:rPr>
          <w:rFonts w:cs="Arial"/>
          <w:noProof/>
          <w:spacing w:val="-8"/>
        </w:rPr>
        <w:t>om industry</w:t>
      </w:r>
      <w:r w:rsidR="00C44EE1" w:rsidRPr="003C5D25">
        <w:rPr>
          <w:rFonts w:cs="Arial"/>
          <w:noProof/>
          <w:spacing w:val="-8"/>
        </w:rPr>
        <w:t xml:space="preserve"> </w:t>
      </w:r>
      <w:r w:rsidR="00D4069C" w:rsidRPr="003C5D25">
        <w:rPr>
          <w:rFonts w:cs="Arial"/>
          <w:noProof/>
          <w:spacing w:val="-8"/>
        </w:rPr>
        <w:t>expressing a view</w:t>
      </w:r>
      <w:r w:rsidR="00241711" w:rsidRPr="003C5D25">
        <w:rPr>
          <w:rFonts w:cs="Arial"/>
          <w:noProof/>
          <w:spacing w:val="-8"/>
        </w:rPr>
        <w:t xml:space="preserve"> </w:t>
      </w:r>
      <w:r w:rsidR="00C44EE1" w:rsidRPr="003C5D25">
        <w:rPr>
          <w:rFonts w:cs="Arial"/>
          <w:noProof/>
          <w:spacing w:val="-8"/>
        </w:rPr>
        <w:t xml:space="preserve">found it important versus 2 who did not. </w:t>
      </w:r>
    </w:p>
    <w:p w14:paraId="5C45B3CE" w14:textId="2B172880" w:rsidR="007212E8" w:rsidRPr="003C5D25" w:rsidRDefault="0029025B" w:rsidP="003C5D25">
      <w:pPr>
        <w:pStyle w:val="BodyText"/>
        <w:spacing w:after="240"/>
        <w:ind w:left="0" w:right="-26"/>
        <w:rPr>
          <w:rFonts w:cs="Arial"/>
          <w:noProof/>
          <w:spacing w:val="-8"/>
        </w:rPr>
      </w:pPr>
      <w:r w:rsidRPr="003C5D25">
        <w:rPr>
          <w:rFonts w:cs="Arial"/>
          <w:noProof/>
          <w:spacing w:val="-8"/>
        </w:rPr>
        <w:t xml:space="preserve">In the </w:t>
      </w:r>
      <w:r w:rsidR="000D115B" w:rsidRPr="003C5D25">
        <w:rPr>
          <w:rFonts w:cs="Arial"/>
          <w:noProof/>
          <w:spacing w:val="-8"/>
        </w:rPr>
        <w:t xml:space="preserve">specific survey </w:t>
      </w:r>
      <w:r w:rsidR="000D115B" w:rsidRPr="003C5D25">
        <w:rPr>
          <w:noProof/>
          <w:spacing w:val="-8"/>
        </w:rPr>
        <w:t>related to the revision of the CRS Code of Conduct</w:t>
      </w:r>
      <w:r w:rsidR="000D115B" w:rsidRPr="003C5D25">
        <w:rPr>
          <w:rFonts w:cs="Arial"/>
          <w:noProof/>
          <w:spacing w:val="-8"/>
        </w:rPr>
        <w:t xml:space="preserve"> s</w:t>
      </w:r>
      <w:r w:rsidR="007212E8" w:rsidRPr="003C5D25">
        <w:rPr>
          <w:rFonts w:cs="Arial"/>
          <w:noProof/>
          <w:spacing w:val="-8"/>
        </w:rPr>
        <w:t xml:space="preserve">takeholders were asked which provisions of the CRS Code of Conduct (if any) should be repealed. IATA and three air carriers highlighted Article 10 as no longer relevant, because airlines no longer have significant ownership stakes in the CRSs. </w:t>
      </w:r>
    </w:p>
    <w:p w14:paraId="3E892C12" w14:textId="02783EB1" w:rsidR="00BB70E6" w:rsidRPr="003C5D25" w:rsidRDefault="17329899" w:rsidP="003C5D25">
      <w:pPr>
        <w:pStyle w:val="BodyText"/>
        <w:spacing w:after="240"/>
        <w:ind w:left="0" w:right="-26"/>
        <w:rPr>
          <w:noProof/>
          <w:spacing w:val="-8"/>
        </w:rPr>
      </w:pPr>
      <w:r w:rsidRPr="003C5D25">
        <w:rPr>
          <w:noProof/>
          <w:spacing w:val="-8"/>
        </w:rPr>
        <w:t xml:space="preserve">Finally </w:t>
      </w:r>
      <w:r w:rsidR="46361CC8" w:rsidRPr="003C5D25">
        <w:rPr>
          <w:i/>
          <w:noProof/>
          <w:spacing w:val="-8"/>
        </w:rPr>
        <w:t xml:space="preserve">requiring </w:t>
      </w:r>
      <w:r w:rsidR="00BB5DD1" w:rsidRPr="003C5D25">
        <w:rPr>
          <w:i/>
          <w:noProof/>
          <w:spacing w:val="-8"/>
        </w:rPr>
        <w:t>indispensable RU</w:t>
      </w:r>
      <w:r w:rsidR="3CB532DE" w:rsidRPr="003C5D25">
        <w:rPr>
          <w:i/>
          <w:noProof/>
          <w:spacing w:val="-8"/>
        </w:rPr>
        <w:t xml:space="preserve"> platforms to unbundle with their parent operator</w:t>
      </w:r>
      <w:r w:rsidR="3CB532DE" w:rsidRPr="003C5D25">
        <w:rPr>
          <w:noProof/>
          <w:spacing w:val="-8"/>
        </w:rPr>
        <w:t>,</w:t>
      </w:r>
      <w:r w:rsidR="46361CC8" w:rsidRPr="003C5D25" w:rsidDel="003867CE">
        <w:rPr>
          <w:noProof/>
          <w:spacing w:val="-8"/>
        </w:rPr>
        <w:t xml:space="preserve"> </w:t>
      </w:r>
      <w:r w:rsidR="004F6C76" w:rsidRPr="003C5D25">
        <w:rPr>
          <w:noProof/>
          <w:spacing w:val="-8"/>
        </w:rPr>
        <w:t xml:space="preserve">in </w:t>
      </w:r>
      <w:r w:rsidR="004F6C76" w:rsidRPr="003C5D25">
        <w:rPr>
          <w:b/>
          <w:noProof/>
          <w:spacing w:val="-8"/>
        </w:rPr>
        <w:t>P</w:t>
      </w:r>
      <w:r w:rsidR="001B7461" w:rsidRPr="003C5D25">
        <w:rPr>
          <w:b/>
          <w:noProof/>
          <w:spacing w:val="-8"/>
        </w:rPr>
        <w:t>M15</w:t>
      </w:r>
      <w:r w:rsidR="00664336" w:rsidRPr="003C5D25">
        <w:rPr>
          <w:noProof/>
          <w:spacing w:val="-8"/>
        </w:rPr>
        <w:t xml:space="preserve"> </w:t>
      </w:r>
      <w:r w:rsidR="000C5123" w:rsidRPr="003C5D25">
        <w:rPr>
          <w:noProof/>
          <w:spacing w:val="-8"/>
        </w:rPr>
        <w:t>has sparked very diverging views among stakeholders</w:t>
      </w:r>
      <w:r w:rsidR="009101C8" w:rsidRPr="003C5D25">
        <w:rPr>
          <w:noProof/>
          <w:spacing w:val="-8"/>
        </w:rPr>
        <w:t xml:space="preserve"> surveyed</w:t>
      </w:r>
      <w:r w:rsidR="46361CC8" w:rsidRPr="003C5D25">
        <w:rPr>
          <w:noProof/>
          <w:spacing w:val="-8"/>
        </w:rPr>
        <w:t>.</w:t>
      </w:r>
      <w:r w:rsidR="3CB532DE" w:rsidRPr="003C5D25">
        <w:rPr>
          <w:noProof/>
          <w:spacing w:val="-8"/>
        </w:rPr>
        <w:t xml:space="preserve"> </w:t>
      </w:r>
      <w:r w:rsidR="167193C6" w:rsidRPr="003C5D25">
        <w:rPr>
          <w:noProof/>
          <w:spacing w:val="-8"/>
        </w:rPr>
        <w:t xml:space="preserve">22 </w:t>
      </w:r>
      <w:r w:rsidR="00846DE8">
        <w:rPr>
          <w:noProof/>
          <w:spacing w:val="-8"/>
        </w:rPr>
        <w:t>of 69</w:t>
      </w:r>
      <w:r w:rsidR="167193C6" w:rsidRPr="003C5D25">
        <w:rPr>
          <w:noProof/>
          <w:spacing w:val="-8"/>
        </w:rPr>
        <w:t xml:space="preserve"> expected </w:t>
      </w:r>
      <w:r w:rsidR="000C5123" w:rsidRPr="003C5D25">
        <w:rPr>
          <w:noProof/>
          <w:spacing w:val="-8"/>
        </w:rPr>
        <w:t>this measure</w:t>
      </w:r>
      <w:r w:rsidR="167193C6" w:rsidRPr="003C5D25">
        <w:rPr>
          <w:noProof/>
          <w:spacing w:val="-8"/>
        </w:rPr>
        <w:t xml:space="preserve"> to be very (10) or somewhat effective (12)</w:t>
      </w:r>
      <w:r w:rsidR="6F8966AD" w:rsidRPr="003C5D25">
        <w:rPr>
          <w:noProof/>
          <w:spacing w:val="-8"/>
        </w:rPr>
        <w:t xml:space="preserve">; </w:t>
      </w:r>
      <w:r w:rsidR="167193C6" w:rsidRPr="003C5D25">
        <w:rPr>
          <w:noProof/>
          <w:spacing w:val="-8"/>
        </w:rPr>
        <w:t xml:space="preserve">20 stakeholders </w:t>
      </w:r>
      <w:r w:rsidR="009101C8" w:rsidRPr="003C5D25">
        <w:rPr>
          <w:noProof/>
          <w:spacing w:val="-8"/>
        </w:rPr>
        <w:t>surveyed</w:t>
      </w:r>
      <w:r w:rsidR="167193C6" w:rsidRPr="003C5D25">
        <w:rPr>
          <w:noProof/>
          <w:spacing w:val="-8"/>
        </w:rPr>
        <w:t xml:space="preserve"> expected it to be very ineffective (19) or somewhat ineffective (1)</w:t>
      </w:r>
      <w:r w:rsidR="5A064EF5" w:rsidRPr="003C5D25">
        <w:rPr>
          <w:noProof/>
          <w:spacing w:val="-8"/>
        </w:rPr>
        <w:t>; and</w:t>
      </w:r>
      <w:r w:rsidR="167193C6" w:rsidRPr="003C5D25">
        <w:rPr>
          <w:noProof/>
          <w:spacing w:val="-8"/>
        </w:rPr>
        <w:t xml:space="preserve"> 26 stakeholders </w:t>
      </w:r>
      <w:r w:rsidR="009101C8" w:rsidRPr="003C5D25">
        <w:rPr>
          <w:noProof/>
          <w:spacing w:val="-8"/>
        </w:rPr>
        <w:t xml:space="preserve">expressed </w:t>
      </w:r>
      <w:r w:rsidR="0074224E" w:rsidRPr="003C5D25">
        <w:rPr>
          <w:noProof/>
          <w:spacing w:val="-8"/>
        </w:rPr>
        <w:t xml:space="preserve">either </w:t>
      </w:r>
      <w:r w:rsidR="009101C8" w:rsidRPr="003C5D25">
        <w:rPr>
          <w:noProof/>
          <w:spacing w:val="-8"/>
        </w:rPr>
        <w:t>a</w:t>
      </w:r>
      <w:r w:rsidR="167193C6" w:rsidRPr="003C5D25">
        <w:rPr>
          <w:noProof/>
          <w:spacing w:val="-8"/>
        </w:rPr>
        <w:t xml:space="preserve"> neutral </w:t>
      </w:r>
      <w:r w:rsidR="009101C8" w:rsidRPr="003C5D25">
        <w:rPr>
          <w:noProof/>
          <w:spacing w:val="-8"/>
        </w:rPr>
        <w:t xml:space="preserve">view </w:t>
      </w:r>
      <w:r w:rsidR="167193C6" w:rsidRPr="003C5D25">
        <w:rPr>
          <w:noProof/>
          <w:spacing w:val="-8"/>
        </w:rPr>
        <w:t>(17) or did not know (</w:t>
      </w:r>
      <w:r w:rsidR="1284E9E2" w:rsidRPr="003C5D25">
        <w:rPr>
          <w:noProof/>
          <w:spacing w:val="-8"/>
        </w:rPr>
        <w:t>9</w:t>
      </w:r>
      <w:r w:rsidR="167193C6" w:rsidRPr="003C5D25">
        <w:rPr>
          <w:noProof/>
          <w:spacing w:val="-8"/>
        </w:rPr>
        <w:t>).</w:t>
      </w:r>
      <w:r w:rsidR="286BA772" w:rsidRPr="003C5D25">
        <w:rPr>
          <w:noProof/>
          <w:spacing w:val="-8"/>
        </w:rPr>
        <w:t xml:space="preserve"> </w:t>
      </w:r>
      <w:r w:rsidR="4789C752" w:rsidRPr="003C5D25">
        <w:rPr>
          <w:noProof/>
          <w:spacing w:val="-8"/>
        </w:rPr>
        <w:t xml:space="preserve">Expectedly, a majority of transport operators </w:t>
      </w:r>
      <w:r w:rsidR="0074224E" w:rsidRPr="003C5D25">
        <w:rPr>
          <w:noProof/>
          <w:spacing w:val="-8"/>
        </w:rPr>
        <w:t>surveyed</w:t>
      </w:r>
      <w:r w:rsidR="4789C752" w:rsidRPr="003C5D25">
        <w:rPr>
          <w:noProof/>
          <w:spacing w:val="-8"/>
        </w:rPr>
        <w:t xml:space="preserve"> </w:t>
      </w:r>
      <w:r w:rsidR="201FCB12" w:rsidRPr="003C5D25">
        <w:rPr>
          <w:noProof/>
          <w:spacing w:val="-8"/>
        </w:rPr>
        <w:t xml:space="preserve">(54%, 15 out of 28) </w:t>
      </w:r>
      <w:r w:rsidR="4789C752" w:rsidRPr="003C5D25">
        <w:rPr>
          <w:noProof/>
          <w:spacing w:val="-8"/>
        </w:rPr>
        <w:t xml:space="preserve">found the measure to be </w:t>
      </w:r>
      <w:r w:rsidR="201FCB12" w:rsidRPr="003C5D25">
        <w:rPr>
          <w:noProof/>
          <w:spacing w:val="-8"/>
        </w:rPr>
        <w:t>very ineffective</w:t>
      </w:r>
      <w:r w:rsidR="33EB9352" w:rsidRPr="003C5D25">
        <w:rPr>
          <w:noProof/>
          <w:spacing w:val="-8"/>
        </w:rPr>
        <w:t xml:space="preserve">, while </w:t>
      </w:r>
      <w:r w:rsidR="004337EC" w:rsidRPr="003C5D25">
        <w:rPr>
          <w:noProof/>
          <w:spacing w:val="-8"/>
        </w:rPr>
        <w:t xml:space="preserve">surveyed </w:t>
      </w:r>
      <w:r w:rsidR="33EB9352" w:rsidRPr="003C5D25">
        <w:rPr>
          <w:noProof/>
          <w:spacing w:val="-8"/>
        </w:rPr>
        <w:t xml:space="preserve">MDMS </w:t>
      </w:r>
      <w:r w:rsidR="004337EC" w:rsidRPr="003C5D25">
        <w:rPr>
          <w:noProof/>
          <w:spacing w:val="-8"/>
        </w:rPr>
        <w:t>platforms’</w:t>
      </w:r>
      <w:r w:rsidR="33EB9352" w:rsidRPr="003C5D25">
        <w:rPr>
          <w:noProof/>
          <w:spacing w:val="-8"/>
        </w:rPr>
        <w:t xml:space="preserve"> position </w:t>
      </w:r>
      <w:r w:rsidR="00995332" w:rsidRPr="003C5D25">
        <w:rPr>
          <w:noProof/>
          <w:spacing w:val="-8"/>
        </w:rPr>
        <w:t>wa</w:t>
      </w:r>
      <w:r w:rsidR="33EB9352" w:rsidRPr="003C5D25">
        <w:rPr>
          <w:noProof/>
          <w:spacing w:val="-8"/>
        </w:rPr>
        <w:t xml:space="preserve">s more nuanced, with </w:t>
      </w:r>
      <w:r w:rsidR="66FC7F10" w:rsidRPr="003C5D25">
        <w:rPr>
          <w:noProof/>
          <w:spacing w:val="-8"/>
        </w:rPr>
        <w:t>30</w:t>
      </w:r>
      <w:r w:rsidR="45391CE8" w:rsidRPr="003C5D25">
        <w:rPr>
          <w:noProof/>
          <w:spacing w:val="-8"/>
        </w:rPr>
        <w:t>%</w:t>
      </w:r>
      <w:r w:rsidR="13B4C166" w:rsidRPr="003C5D25">
        <w:rPr>
          <w:noProof/>
          <w:spacing w:val="-8"/>
        </w:rPr>
        <w:t xml:space="preserve"> </w:t>
      </w:r>
      <w:r w:rsidR="3364F77E" w:rsidRPr="003C5D25">
        <w:rPr>
          <w:noProof/>
          <w:spacing w:val="-8"/>
        </w:rPr>
        <w:t>(</w:t>
      </w:r>
      <w:r w:rsidR="66FC7F10" w:rsidRPr="003C5D25">
        <w:rPr>
          <w:noProof/>
          <w:spacing w:val="-8"/>
        </w:rPr>
        <w:t>6</w:t>
      </w:r>
      <w:r w:rsidR="3364F77E" w:rsidRPr="003C5D25">
        <w:rPr>
          <w:noProof/>
          <w:spacing w:val="-8"/>
        </w:rPr>
        <w:t xml:space="preserve"> out of 20)</w:t>
      </w:r>
      <w:r w:rsidR="45391CE8" w:rsidRPr="003C5D25">
        <w:rPr>
          <w:noProof/>
          <w:spacing w:val="-8"/>
        </w:rPr>
        <w:t xml:space="preserve"> finding the measure effective, </w:t>
      </w:r>
      <w:r w:rsidR="1284E9E2" w:rsidRPr="003C5D25">
        <w:rPr>
          <w:noProof/>
          <w:spacing w:val="-8"/>
        </w:rPr>
        <w:t>35%</w:t>
      </w:r>
      <w:r w:rsidR="05FDBCB6" w:rsidRPr="003C5D25">
        <w:rPr>
          <w:noProof/>
          <w:spacing w:val="-8"/>
        </w:rPr>
        <w:t xml:space="preserve"> </w:t>
      </w:r>
      <w:r w:rsidR="1284E9E2" w:rsidRPr="003C5D25">
        <w:rPr>
          <w:noProof/>
          <w:spacing w:val="-8"/>
        </w:rPr>
        <w:t>to have a neutral effect</w:t>
      </w:r>
      <w:r w:rsidR="1AA7FD62" w:rsidRPr="003C5D25">
        <w:rPr>
          <w:noProof/>
          <w:spacing w:val="-8"/>
        </w:rPr>
        <w:t xml:space="preserve"> and 20% found it ineffective</w:t>
      </w:r>
      <w:r w:rsidR="1284E9E2" w:rsidRPr="003C5D25">
        <w:rPr>
          <w:noProof/>
          <w:spacing w:val="-8"/>
        </w:rPr>
        <w:t xml:space="preserve">. </w:t>
      </w:r>
      <w:r w:rsidR="00EA6DE8">
        <w:rPr>
          <w:noProof/>
          <w:spacing w:val="-8"/>
        </w:rPr>
        <w:t>6</w:t>
      </w:r>
      <w:r w:rsidR="00643942" w:rsidRPr="003C5D25">
        <w:rPr>
          <w:noProof/>
          <w:spacing w:val="-8"/>
        </w:rPr>
        <w:t xml:space="preserve"> out of 11 n</w:t>
      </w:r>
      <w:r w:rsidR="1AA7FD62" w:rsidRPr="003C5D25">
        <w:rPr>
          <w:noProof/>
          <w:spacing w:val="-8"/>
        </w:rPr>
        <w:t xml:space="preserve">ational authorities </w:t>
      </w:r>
      <w:r w:rsidR="00995332" w:rsidRPr="003C5D25">
        <w:rPr>
          <w:noProof/>
          <w:spacing w:val="-8"/>
        </w:rPr>
        <w:t>participating in the survey</w:t>
      </w:r>
      <w:r w:rsidR="1AA7FD62" w:rsidRPr="003C5D25">
        <w:rPr>
          <w:noProof/>
          <w:spacing w:val="-8"/>
        </w:rPr>
        <w:t xml:space="preserve"> </w:t>
      </w:r>
      <w:r w:rsidR="00643942" w:rsidRPr="003C5D25">
        <w:rPr>
          <w:noProof/>
          <w:spacing w:val="-8"/>
        </w:rPr>
        <w:t>found</w:t>
      </w:r>
      <w:r w:rsidR="1E707780" w:rsidRPr="003C5D25">
        <w:rPr>
          <w:noProof/>
          <w:spacing w:val="-8"/>
        </w:rPr>
        <w:t xml:space="preserve"> the measure effective</w:t>
      </w:r>
      <w:r w:rsidR="00385FAE">
        <w:rPr>
          <w:noProof/>
          <w:spacing w:val="-8"/>
        </w:rPr>
        <w:t xml:space="preserve"> as did 4 of 10 ‘Others’</w:t>
      </w:r>
      <w:r w:rsidR="00BC097E" w:rsidRPr="003C5D25">
        <w:rPr>
          <w:noProof/>
          <w:spacing w:val="-8"/>
        </w:rPr>
        <w:t>.</w:t>
      </w:r>
      <w:r w:rsidR="1E707780" w:rsidRPr="003C5D25">
        <w:rPr>
          <w:noProof/>
          <w:spacing w:val="-8"/>
        </w:rPr>
        <w:t xml:space="preserve"> </w:t>
      </w:r>
      <w:r w:rsidR="2F128D80" w:rsidRPr="003C5D25">
        <w:rPr>
          <w:noProof/>
          <w:spacing w:val="-8"/>
        </w:rPr>
        <w:t xml:space="preserve">In </w:t>
      </w:r>
      <w:r w:rsidR="2CE73EDC" w:rsidRPr="003C5D25">
        <w:rPr>
          <w:noProof/>
          <w:spacing w:val="-8"/>
        </w:rPr>
        <w:t>interviews</w:t>
      </w:r>
      <w:r w:rsidR="2F128D80" w:rsidRPr="003C5D25">
        <w:rPr>
          <w:noProof/>
          <w:spacing w:val="-8"/>
        </w:rPr>
        <w:t xml:space="preserve">, many </w:t>
      </w:r>
      <w:r w:rsidR="001358ED" w:rsidRPr="003C5D25">
        <w:rPr>
          <w:noProof/>
          <w:spacing w:val="-8"/>
        </w:rPr>
        <w:t>RU</w:t>
      </w:r>
      <w:r w:rsidR="64FCB238" w:rsidRPr="003C5D25">
        <w:rPr>
          <w:noProof/>
          <w:spacing w:val="-8"/>
        </w:rPr>
        <w:t>s</w:t>
      </w:r>
      <w:r w:rsidR="2F128D80" w:rsidRPr="003C5D25">
        <w:rPr>
          <w:noProof/>
          <w:spacing w:val="-8"/>
        </w:rPr>
        <w:t xml:space="preserve"> </w:t>
      </w:r>
      <w:r w:rsidR="2F128D80" w:rsidRPr="003C5D25">
        <w:rPr>
          <w:rFonts w:cs="Arial"/>
          <w:noProof/>
          <w:spacing w:val="-8"/>
        </w:rPr>
        <w:t>emphasize</w:t>
      </w:r>
      <w:r w:rsidR="2CE73EDC" w:rsidRPr="003C5D25">
        <w:rPr>
          <w:rFonts w:cs="Arial"/>
          <w:noProof/>
          <w:spacing w:val="-8"/>
        </w:rPr>
        <w:t>d</w:t>
      </w:r>
      <w:r w:rsidR="2F128D80" w:rsidRPr="003C5D25">
        <w:rPr>
          <w:rFonts w:cs="Arial"/>
          <w:noProof/>
          <w:spacing w:val="-8"/>
        </w:rPr>
        <w:t xml:space="preserve"> that ticket revenue is essential for sustaining rail operations, arguing that the ticketing process directly funds train services</w:t>
      </w:r>
      <w:r w:rsidR="64FCB238" w:rsidRPr="003C5D25">
        <w:rPr>
          <w:rFonts w:cs="Arial"/>
          <w:noProof/>
          <w:spacing w:val="-8"/>
        </w:rPr>
        <w:t xml:space="preserve">, and that unbundling </w:t>
      </w:r>
      <w:r w:rsidR="090A76D9" w:rsidRPr="003C5D25">
        <w:rPr>
          <w:rFonts w:cs="Arial"/>
          <w:noProof/>
          <w:spacing w:val="-8"/>
        </w:rPr>
        <w:t>is disruptive and would not bring added value to con</w:t>
      </w:r>
      <w:r w:rsidR="74B76ACF" w:rsidRPr="003C5D25">
        <w:rPr>
          <w:rFonts w:cs="Arial"/>
          <w:noProof/>
          <w:spacing w:val="-8"/>
        </w:rPr>
        <w:t>s</w:t>
      </w:r>
      <w:r w:rsidR="090A76D9" w:rsidRPr="003C5D25">
        <w:rPr>
          <w:rFonts w:cs="Arial"/>
          <w:noProof/>
          <w:spacing w:val="-8"/>
        </w:rPr>
        <w:t>umers</w:t>
      </w:r>
      <w:r w:rsidR="00061875" w:rsidRPr="003C5D25">
        <w:rPr>
          <w:rStyle w:val="FootnoteReference"/>
          <w:rFonts w:cs="Arial"/>
          <w:noProof/>
          <w:spacing w:val="-8"/>
        </w:rPr>
        <w:footnoteReference w:id="254"/>
      </w:r>
      <w:r w:rsidR="2F128D80" w:rsidRPr="003C5D25">
        <w:rPr>
          <w:rFonts w:cs="Arial"/>
          <w:noProof/>
          <w:spacing w:val="-8"/>
        </w:rPr>
        <w:t>.</w:t>
      </w:r>
      <w:r w:rsidR="74B76ACF" w:rsidRPr="003C5D25">
        <w:rPr>
          <w:rFonts w:cs="Arial"/>
          <w:noProof/>
          <w:spacing w:val="-8"/>
        </w:rPr>
        <w:t xml:space="preserve"> A new entrant </w:t>
      </w:r>
      <w:r w:rsidR="001358ED" w:rsidRPr="003C5D25">
        <w:rPr>
          <w:noProof/>
          <w:spacing w:val="-8"/>
        </w:rPr>
        <w:t>RU</w:t>
      </w:r>
      <w:r w:rsidR="74B76ACF" w:rsidRPr="003C5D25">
        <w:rPr>
          <w:rFonts w:cs="Arial"/>
          <w:noProof/>
          <w:spacing w:val="-8"/>
        </w:rPr>
        <w:t xml:space="preserve"> notes the delicate balance between acknowledging the real challenges posed by incumbent dominance in vertically integrated ticketing and the risk that introducing such a measure might jeopardi</w:t>
      </w:r>
      <w:r w:rsidR="5ADF4295" w:rsidRPr="003C5D25">
        <w:rPr>
          <w:rFonts w:cs="Arial"/>
          <w:noProof/>
          <w:spacing w:val="-8"/>
        </w:rPr>
        <w:t>z</w:t>
      </w:r>
      <w:r w:rsidR="74B76ACF" w:rsidRPr="003C5D25">
        <w:rPr>
          <w:rFonts w:cs="Arial"/>
          <w:noProof/>
          <w:spacing w:val="-8"/>
        </w:rPr>
        <w:t xml:space="preserve">e the entire regulatory framework, describing the situation as a “mixed bag”. Complexity is also underlined by the MDMS EU Travel Tech, which points to the inherent difficulties in establishing a fully independent MDMS that can operate without ties to incumbent </w:t>
      </w:r>
      <w:r w:rsidR="001358ED" w:rsidRPr="003C5D25">
        <w:rPr>
          <w:noProof/>
          <w:spacing w:val="-8"/>
        </w:rPr>
        <w:t>RU</w:t>
      </w:r>
      <w:r w:rsidR="004203F7" w:rsidRPr="003C5D25">
        <w:rPr>
          <w:noProof/>
          <w:spacing w:val="-8"/>
        </w:rPr>
        <w:t>s</w:t>
      </w:r>
      <w:r w:rsidR="74B76ACF" w:rsidRPr="003C5D25">
        <w:rPr>
          <w:rFonts w:cs="Arial"/>
          <w:noProof/>
          <w:spacing w:val="-8"/>
        </w:rPr>
        <w:t>.</w:t>
      </w:r>
      <w:r w:rsidR="2E3F6E46" w:rsidRPr="003C5D25">
        <w:rPr>
          <w:rFonts w:cs="Arial"/>
          <w:noProof/>
          <w:spacing w:val="-8"/>
        </w:rPr>
        <w:t xml:space="preserve"> Contrasting these concerns, </w:t>
      </w:r>
      <w:r w:rsidR="65EF0994" w:rsidRPr="003C5D25">
        <w:rPr>
          <w:rFonts w:cs="Arial"/>
          <w:noProof/>
          <w:spacing w:val="-8"/>
        </w:rPr>
        <w:t xml:space="preserve">new rail </w:t>
      </w:r>
      <w:r w:rsidR="63614FB7" w:rsidRPr="003C5D25">
        <w:rPr>
          <w:rFonts w:cs="Arial"/>
          <w:noProof/>
          <w:spacing w:val="-8"/>
        </w:rPr>
        <w:t>entrants</w:t>
      </w:r>
      <w:r w:rsidR="65EF0994" w:rsidRPr="003C5D25">
        <w:rPr>
          <w:rFonts w:cs="Arial"/>
          <w:noProof/>
          <w:spacing w:val="-8"/>
        </w:rPr>
        <w:t xml:space="preserve"> </w:t>
      </w:r>
      <w:r w:rsidR="2E3F6E46" w:rsidRPr="003C5D25">
        <w:rPr>
          <w:rFonts w:cs="Arial"/>
          <w:noProof/>
          <w:spacing w:val="-8"/>
        </w:rPr>
        <w:t>argue</w:t>
      </w:r>
      <w:r w:rsidR="02D929F0" w:rsidRPr="003C5D25">
        <w:rPr>
          <w:rFonts w:cs="Arial"/>
          <w:noProof/>
          <w:spacing w:val="-8"/>
        </w:rPr>
        <w:t>d</w:t>
      </w:r>
      <w:r w:rsidR="2E3F6E46" w:rsidRPr="003C5D25">
        <w:rPr>
          <w:rFonts w:cs="Arial"/>
          <w:noProof/>
          <w:spacing w:val="-8"/>
        </w:rPr>
        <w:t xml:space="preserve"> </w:t>
      </w:r>
      <w:r w:rsidR="78B138D8" w:rsidRPr="003C5D25">
        <w:rPr>
          <w:rFonts w:cs="Arial"/>
          <w:noProof/>
          <w:spacing w:val="-8"/>
        </w:rPr>
        <w:t>that</w:t>
      </w:r>
      <w:r w:rsidR="2E3F6E46" w:rsidRPr="003C5D25">
        <w:rPr>
          <w:rFonts w:cs="Arial"/>
          <w:noProof/>
          <w:spacing w:val="-8"/>
        </w:rPr>
        <w:t xml:space="preserve"> incumbent sales channels a</w:t>
      </w:r>
      <w:r w:rsidR="78B138D8" w:rsidRPr="003C5D25">
        <w:rPr>
          <w:rFonts w:cs="Arial"/>
          <w:noProof/>
          <w:spacing w:val="-8"/>
        </w:rPr>
        <w:t>re</w:t>
      </w:r>
      <w:r w:rsidR="2E3F6E46" w:rsidRPr="003C5D25">
        <w:rPr>
          <w:rFonts w:cs="Arial"/>
          <w:noProof/>
          <w:spacing w:val="-8"/>
        </w:rPr>
        <w:t xml:space="preserve"> a form of inherited public property that must be accessible to all market participants</w:t>
      </w:r>
      <w:r w:rsidR="00FD41E3" w:rsidRPr="003C5D25">
        <w:rPr>
          <w:rStyle w:val="FootnoteReference"/>
          <w:rFonts w:cs="Arial"/>
          <w:noProof/>
          <w:spacing w:val="-8"/>
        </w:rPr>
        <w:footnoteReference w:id="255"/>
      </w:r>
      <w:r w:rsidR="2E3F6E46" w:rsidRPr="003C5D25">
        <w:rPr>
          <w:rFonts w:cs="Arial"/>
          <w:noProof/>
          <w:spacing w:val="-8"/>
        </w:rPr>
        <w:t>.</w:t>
      </w:r>
    </w:p>
    <w:p w14:paraId="2E1ED221" w14:textId="5731708D" w:rsidR="00712390" w:rsidRPr="00D71008" w:rsidRDefault="00712390" w:rsidP="00D6784E">
      <w:pPr>
        <w:pStyle w:val="BodyText"/>
        <w:spacing w:before="115"/>
        <w:ind w:left="0" w:right="428"/>
        <w:rPr>
          <w:noProof/>
        </w:rPr>
        <w:sectPr w:rsidR="00712390" w:rsidRPr="00D71008" w:rsidSect="00C66146">
          <w:headerReference w:type="default" r:id="rId36"/>
          <w:footerReference w:type="default" r:id="rId37"/>
          <w:type w:val="nextColumn"/>
          <w:pgSz w:w="11910" w:h="16840"/>
          <w:pgMar w:top="1021" w:right="709" w:bottom="1021" w:left="1588" w:header="0" w:footer="1146" w:gutter="0"/>
          <w:cols w:space="720"/>
        </w:sectPr>
      </w:pPr>
    </w:p>
    <w:p w14:paraId="1B7105CB" w14:textId="6158CB55" w:rsidR="000166E3" w:rsidRPr="00D71008" w:rsidRDefault="003C4819" w:rsidP="00DD17A6">
      <w:pPr>
        <w:pStyle w:val="Heading1"/>
        <w:spacing w:after="240"/>
        <w:jc w:val="center"/>
        <w:rPr>
          <w:smallCaps/>
          <w:noProof/>
          <w:spacing w:val="-4"/>
        </w:rPr>
      </w:pPr>
      <w:bookmarkStart w:id="286" w:name="_Toc223980006"/>
      <w:r w:rsidRPr="00D71008">
        <w:rPr>
          <w:smallCaps/>
          <w:noProof/>
        </w:rPr>
        <w:t>Annex</w:t>
      </w:r>
      <w:r w:rsidRPr="00D71008">
        <w:rPr>
          <w:smallCaps/>
          <w:noProof/>
          <w:spacing w:val="-8"/>
        </w:rPr>
        <w:t xml:space="preserve"> </w:t>
      </w:r>
      <w:r w:rsidRPr="00D71008">
        <w:rPr>
          <w:smallCaps/>
          <w:noProof/>
        </w:rPr>
        <w:t>3:</w:t>
      </w:r>
      <w:r w:rsidRPr="00D71008">
        <w:rPr>
          <w:smallCaps/>
          <w:noProof/>
          <w:spacing w:val="-15"/>
        </w:rPr>
        <w:t xml:space="preserve"> </w:t>
      </w:r>
      <w:r w:rsidRPr="00D71008">
        <w:rPr>
          <w:smallCaps/>
          <w:noProof/>
        </w:rPr>
        <w:t>Who</w:t>
      </w:r>
      <w:r w:rsidRPr="00D71008">
        <w:rPr>
          <w:smallCaps/>
          <w:noProof/>
          <w:spacing w:val="-3"/>
        </w:rPr>
        <w:t xml:space="preserve"> </w:t>
      </w:r>
      <w:r w:rsidRPr="00D71008">
        <w:rPr>
          <w:smallCaps/>
          <w:noProof/>
        </w:rPr>
        <w:t>is</w:t>
      </w:r>
      <w:r w:rsidRPr="00D71008">
        <w:rPr>
          <w:smallCaps/>
          <w:noProof/>
          <w:spacing w:val="-3"/>
        </w:rPr>
        <w:t xml:space="preserve"> </w:t>
      </w:r>
      <w:r w:rsidRPr="00D71008">
        <w:rPr>
          <w:smallCaps/>
          <w:noProof/>
        </w:rPr>
        <w:t>affected</w:t>
      </w:r>
      <w:r w:rsidRPr="00D71008">
        <w:rPr>
          <w:smallCaps/>
          <w:noProof/>
          <w:spacing w:val="-5"/>
        </w:rPr>
        <w:t xml:space="preserve"> </w:t>
      </w:r>
      <w:r w:rsidRPr="00D71008">
        <w:rPr>
          <w:smallCaps/>
          <w:noProof/>
        </w:rPr>
        <w:t>and</w:t>
      </w:r>
      <w:r w:rsidRPr="00D71008">
        <w:rPr>
          <w:smallCaps/>
          <w:noProof/>
          <w:spacing w:val="-4"/>
        </w:rPr>
        <w:t xml:space="preserve"> how?</w:t>
      </w:r>
      <w:bookmarkEnd w:id="286"/>
    </w:p>
    <w:p w14:paraId="3522AFD1" w14:textId="7EDD251A" w:rsidR="00712390" w:rsidRPr="00D71008" w:rsidRDefault="003C4819" w:rsidP="007B2D8E">
      <w:pPr>
        <w:pStyle w:val="Heading2"/>
        <w:numPr>
          <w:ilvl w:val="0"/>
          <w:numId w:val="2"/>
        </w:numPr>
        <w:tabs>
          <w:tab w:val="left" w:pos="426"/>
        </w:tabs>
        <w:spacing w:before="0" w:after="240"/>
        <w:ind w:left="425" w:hanging="425"/>
        <w:rPr>
          <w:noProof/>
        </w:rPr>
      </w:pPr>
      <w:bookmarkStart w:id="287" w:name="1_Practical_implications_of_the_initiati"/>
      <w:bookmarkStart w:id="288" w:name="_Toc220667527"/>
      <w:bookmarkStart w:id="289" w:name="_Toc222313513"/>
      <w:bookmarkStart w:id="290" w:name="_Toc222749034"/>
      <w:bookmarkStart w:id="291" w:name="_Toc223980007"/>
      <w:bookmarkEnd w:id="287"/>
      <w:r w:rsidRPr="00D71008">
        <w:rPr>
          <w:smallCaps/>
          <w:noProof/>
        </w:rPr>
        <w:t>Practical</w:t>
      </w:r>
      <w:r w:rsidRPr="00D71008">
        <w:rPr>
          <w:smallCaps/>
          <w:noProof/>
          <w:spacing w:val="-10"/>
        </w:rPr>
        <w:t xml:space="preserve"> </w:t>
      </w:r>
      <w:r w:rsidRPr="00D71008">
        <w:rPr>
          <w:smallCaps/>
          <w:noProof/>
        </w:rPr>
        <w:t>implications</w:t>
      </w:r>
      <w:r w:rsidRPr="00D71008">
        <w:rPr>
          <w:smallCaps/>
          <w:noProof/>
          <w:spacing w:val="-9"/>
        </w:rPr>
        <w:t xml:space="preserve"> </w:t>
      </w:r>
      <w:r w:rsidRPr="00D71008">
        <w:rPr>
          <w:smallCaps/>
          <w:noProof/>
        </w:rPr>
        <w:t>of</w:t>
      </w:r>
      <w:r w:rsidRPr="00D71008">
        <w:rPr>
          <w:smallCaps/>
          <w:noProof/>
          <w:spacing w:val="-10"/>
        </w:rPr>
        <w:t xml:space="preserve"> </w:t>
      </w:r>
      <w:r w:rsidRPr="00D71008">
        <w:rPr>
          <w:smallCaps/>
          <w:noProof/>
        </w:rPr>
        <w:t>the</w:t>
      </w:r>
      <w:r w:rsidRPr="00D71008">
        <w:rPr>
          <w:smallCaps/>
          <w:noProof/>
          <w:spacing w:val="-10"/>
        </w:rPr>
        <w:t xml:space="preserve"> </w:t>
      </w:r>
      <w:r w:rsidRPr="00D71008">
        <w:rPr>
          <w:smallCaps/>
          <w:noProof/>
          <w:spacing w:val="-2"/>
        </w:rPr>
        <w:t>initiative</w:t>
      </w:r>
      <w:bookmarkEnd w:id="288"/>
      <w:bookmarkEnd w:id="289"/>
      <w:bookmarkEnd w:id="290"/>
      <w:bookmarkEnd w:id="291"/>
    </w:p>
    <w:p w14:paraId="3E96A05E" w14:textId="1B70626F" w:rsidR="00D67F1B" w:rsidRPr="0056504F" w:rsidRDefault="00D67F1B" w:rsidP="0056504F">
      <w:pPr>
        <w:pStyle w:val="BodyText"/>
        <w:spacing w:after="240"/>
        <w:ind w:left="0" w:right="-26"/>
        <w:rPr>
          <w:noProof/>
          <w:spacing w:val="-8"/>
        </w:rPr>
      </w:pPr>
      <w:r w:rsidRPr="0056504F">
        <w:rPr>
          <w:noProof/>
          <w:spacing w:val="-8"/>
        </w:rPr>
        <w:t xml:space="preserve">The </w:t>
      </w:r>
      <w:r w:rsidR="003E2E63">
        <w:rPr>
          <w:noProof/>
          <w:spacing w:val="-8"/>
        </w:rPr>
        <w:t>preferred policy option (PO3) is</w:t>
      </w:r>
      <w:r w:rsidRPr="0056504F">
        <w:rPr>
          <w:noProof/>
          <w:spacing w:val="-8"/>
        </w:rPr>
        <w:t xml:space="preserve"> expected to lead to a number of benefits</w:t>
      </w:r>
      <w:r w:rsidR="00DC1DF9">
        <w:rPr>
          <w:noProof/>
          <w:spacing w:val="-8"/>
        </w:rPr>
        <w:t xml:space="preserve"> and costs</w:t>
      </w:r>
      <w:r w:rsidRPr="0056504F">
        <w:rPr>
          <w:noProof/>
          <w:spacing w:val="-8"/>
        </w:rPr>
        <w:t xml:space="preserve"> for various stakeholder</w:t>
      </w:r>
      <w:r w:rsidR="003E2E63">
        <w:rPr>
          <w:noProof/>
          <w:spacing w:val="-8"/>
        </w:rPr>
        <w:t xml:space="preserve"> groups</w:t>
      </w:r>
      <w:r w:rsidRPr="0056504F">
        <w:rPr>
          <w:noProof/>
          <w:spacing w:val="-8"/>
        </w:rPr>
        <w:t>:</w:t>
      </w:r>
    </w:p>
    <w:p w14:paraId="1870400E" w14:textId="787BB171" w:rsidR="00D67F1B" w:rsidRPr="0056504F" w:rsidRDefault="00D67F1B" w:rsidP="00230DDC">
      <w:pPr>
        <w:pStyle w:val="BodyText"/>
        <w:numPr>
          <w:ilvl w:val="0"/>
          <w:numId w:val="15"/>
        </w:numPr>
        <w:spacing w:after="240"/>
        <w:ind w:left="284" w:right="-26" w:hanging="284"/>
        <w:rPr>
          <w:noProof/>
          <w:spacing w:val="-8"/>
        </w:rPr>
      </w:pPr>
      <w:r w:rsidRPr="0056504F">
        <w:rPr>
          <w:noProof/>
          <w:spacing w:val="-8"/>
        </w:rPr>
        <w:t xml:space="preserve">Transport service users first and foremost as they will be able to </w:t>
      </w:r>
      <w:r w:rsidR="00BA0B5E">
        <w:rPr>
          <w:noProof/>
          <w:spacing w:val="-8"/>
        </w:rPr>
        <w:t xml:space="preserve">benefit from </w:t>
      </w:r>
      <w:r w:rsidR="005A4620">
        <w:rPr>
          <w:noProof/>
          <w:spacing w:val="-8"/>
        </w:rPr>
        <w:t xml:space="preserve">(i) </w:t>
      </w:r>
      <w:r w:rsidR="00BA0B5E">
        <w:rPr>
          <w:noProof/>
          <w:spacing w:val="-8"/>
        </w:rPr>
        <w:t xml:space="preserve">a reduction of search costs; </w:t>
      </w:r>
      <w:r w:rsidR="005A4620">
        <w:rPr>
          <w:noProof/>
          <w:spacing w:val="-8"/>
        </w:rPr>
        <w:t>(ii)</w:t>
      </w:r>
      <w:r w:rsidR="00BA0B5E">
        <w:rPr>
          <w:noProof/>
          <w:spacing w:val="-8"/>
        </w:rPr>
        <w:t xml:space="preserve"> an increase in competition in the platform market</w:t>
      </w:r>
      <w:r w:rsidR="008913FD">
        <w:rPr>
          <w:noProof/>
          <w:spacing w:val="-8"/>
        </w:rPr>
        <w:t>, and (iii) an increase in competition in the transport market</w:t>
      </w:r>
      <w:r w:rsidRPr="0056504F">
        <w:rPr>
          <w:noProof/>
          <w:spacing w:val="-8"/>
        </w:rPr>
        <w:t>.</w:t>
      </w:r>
      <w:r w:rsidR="007E4A69" w:rsidRPr="005D2D60">
        <w:rPr>
          <w:rFonts w:ascii="Segoe UI" w:hAnsi="Segoe UI" w:cs="Segoe UI"/>
          <w:noProof/>
          <w:sz w:val="18"/>
          <w:szCs w:val="18"/>
          <w:lang w:eastAsia="en-IE"/>
        </w:rPr>
        <w:t xml:space="preserve"> </w:t>
      </w:r>
      <w:r w:rsidR="007E4A69" w:rsidRPr="005D2D60">
        <w:rPr>
          <w:noProof/>
          <w:spacing w:val="-8"/>
        </w:rPr>
        <w:t>The most direct effect would be the reduction in search cost, as travellers would be able to find, compare and purchase tickets in a single place without having to perform longer searches and visit multiple platforms. This is expected to be particularly true for rail</w:t>
      </w:r>
      <w:r w:rsidR="007E4A69" w:rsidRPr="00D41B68">
        <w:rPr>
          <w:noProof/>
          <w:spacing w:val="-8"/>
        </w:rPr>
        <w:t xml:space="preserve">. </w:t>
      </w:r>
      <w:r w:rsidR="00D41B68" w:rsidRPr="005D2D60">
        <w:rPr>
          <w:noProof/>
          <w:spacing w:val="-8"/>
        </w:rPr>
        <w:t>Increased competition in the platform market would also lead to greater innovation efforts, widening of services available on platforms, improvements in the overall ticketing experience, and possibly reduction of transaction costs for users.</w:t>
      </w:r>
      <w:r w:rsidR="00180322" w:rsidRPr="005D2D60">
        <w:rPr>
          <w:noProof/>
          <w:spacing w:val="-8"/>
        </w:rPr>
        <w:t xml:space="preserve"> Finally, greater competition in the transport market is expected to </w:t>
      </w:r>
      <w:r w:rsidR="00884383" w:rsidRPr="005D2D60">
        <w:rPr>
          <w:noProof/>
          <w:spacing w:val="-8"/>
        </w:rPr>
        <w:t xml:space="preserve">lead to </w:t>
      </w:r>
      <w:r w:rsidR="00180322" w:rsidRPr="005D2D60">
        <w:rPr>
          <w:noProof/>
          <w:spacing w:val="-8"/>
        </w:rPr>
        <w:t>lower prices and increase the quality and frequency of transport services.</w:t>
      </w:r>
      <w:r w:rsidR="00732896" w:rsidRPr="005D2D60">
        <w:rPr>
          <w:noProof/>
          <w:spacing w:val="-8"/>
        </w:rPr>
        <w:t xml:space="preserve"> </w:t>
      </w:r>
    </w:p>
    <w:p w14:paraId="30A7CF36" w14:textId="25002996" w:rsidR="00D67F1B" w:rsidRPr="0056504F" w:rsidRDefault="003100C4" w:rsidP="00230DDC">
      <w:pPr>
        <w:pStyle w:val="BodyText"/>
        <w:numPr>
          <w:ilvl w:val="0"/>
          <w:numId w:val="15"/>
        </w:numPr>
        <w:spacing w:after="240"/>
        <w:ind w:left="284" w:right="-26" w:hanging="284"/>
        <w:rPr>
          <w:noProof/>
          <w:spacing w:val="-8"/>
        </w:rPr>
      </w:pPr>
      <w:r>
        <w:rPr>
          <w:noProof/>
          <w:spacing w:val="-8"/>
        </w:rPr>
        <w:t>National authorities</w:t>
      </w:r>
      <w:r w:rsidR="00D67F1B" w:rsidRPr="0056504F">
        <w:rPr>
          <w:noProof/>
          <w:spacing w:val="-8"/>
        </w:rPr>
        <w:t xml:space="preserve"> </w:t>
      </w:r>
      <w:r w:rsidR="00D67F1B" w:rsidRPr="0046027B">
        <w:rPr>
          <w:noProof/>
          <w:spacing w:val="-8"/>
        </w:rPr>
        <w:t xml:space="preserve">are </w:t>
      </w:r>
      <w:r w:rsidR="00F90DB0" w:rsidRPr="0046027B">
        <w:rPr>
          <w:noProof/>
          <w:spacing w:val="-8"/>
        </w:rPr>
        <w:t xml:space="preserve">expected to </w:t>
      </w:r>
      <w:r w:rsidR="0046027B" w:rsidRPr="0046027B">
        <w:rPr>
          <w:noProof/>
          <w:spacing w:val="-8"/>
        </w:rPr>
        <w:t>incur enforcement costs for monitoring the online ticketing market for potential entities with SMP, as well as the correct implementation of the legislation. They are also expected to incur administrative costs for settling disputes and for processing notifications from platforms with SMP and submit this information to the Commission.</w:t>
      </w:r>
    </w:p>
    <w:p w14:paraId="03083D10" w14:textId="6CD23DAA" w:rsidR="00E1617F" w:rsidRPr="00E1617F" w:rsidRDefault="00D11F0B" w:rsidP="00E1617F">
      <w:pPr>
        <w:pStyle w:val="BodyText"/>
        <w:numPr>
          <w:ilvl w:val="0"/>
          <w:numId w:val="15"/>
        </w:numPr>
        <w:spacing w:after="240"/>
        <w:ind w:left="284" w:right="-26" w:hanging="284"/>
        <w:rPr>
          <w:noProof/>
          <w:spacing w:val="-8"/>
        </w:rPr>
      </w:pPr>
      <w:r>
        <w:rPr>
          <w:noProof/>
          <w:spacing w:val="-8"/>
        </w:rPr>
        <w:t xml:space="preserve">The </w:t>
      </w:r>
      <w:r w:rsidR="00E1617F">
        <w:rPr>
          <w:noProof/>
          <w:spacing w:val="-8"/>
        </w:rPr>
        <w:t>European Commission is expect</w:t>
      </w:r>
      <w:r w:rsidR="00A55D5B">
        <w:rPr>
          <w:noProof/>
          <w:spacing w:val="-8"/>
        </w:rPr>
        <w:t>ed</w:t>
      </w:r>
      <w:r w:rsidR="00E1617F">
        <w:rPr>
          <w:noProof/>
          <w:spacing w:val="-8"/>
        </w:rPr>
        <w:t xml:space="preserve"> to incur </w:t>
      </w:r>
      <w:r w:rsidR="00E1617F" w:rsidRPr="000152C7">
        <w:rPr>
          <w:noProof/>
          <w:spacing w:val="-8"/>
        </w:rPr>
        <w:t xml:space="preserve">adjustment costs </w:t>
      </w:r>
      <w:r w:rsidR="00C82626" w:rsidRPr="000152C7">
        <w:rPr>
          <w:noProof/>
          <w:spacing w:val="-8"/>
        </w:rPr>
        <w:t>for the designation process</w:t>
      </w:r>
      <w:r w:rsidR="00E1617F" w:rsidRPr="00E1617F">
        <w:rPr>
          <w:noProof/>
          <w:spacing w:val="-8"/>
        </w:rPr>
        <w:t xml:space="preserve"> and </w:t>
      </w:r>
      <w:r w:rsidR="00C82626" w:rsidRPr="000152C7">
        <w:rPr>
          <w:noProof/>
          <w:spacing w:val="-8"/>
        </w:rPr>
        <w:t>the monitoring of the market</w:t>
      </w:r>
      <w:r w:rsidR="00E1617F" w:rsidRPr="000152C7">
        <w:rPr>
          <w:noProof/>
          <w:spacing w:val="-8"/>
        </w:rPr>
        <w:t xml:space="preserve"> </w:t>
      </w:r>
      <w:r w:rsidR="00E1617F" w:rsidRPr="00E1617F">
        <w:rPr>
          <w:noProof/>
          <w:spacing w:val="-8"/>
        </w:rPr>
        <w:t>and due to the support for the coordination of enforcement with an EU-wide enforcement network</w:t>
      </w:r>
      <w:r w:rsidR="000152C7" w:rsidRPr="000152C7">
        <w:rPr>
          <w:noProof/>
          <w:spacing w:val="-8"/>
        </w:rPr>
        <w:t>.</w:t>
      </w:r>
    </w:p>
    <w:p w14:paraId="2B0A39D0" w14:textId="4D70FBB8" w:rsidR="00D67F1B" w:rsidRPr="0056504F" w:rsidRDefault="00D67F1B" w:rsidP="00230DDC">
      <w:pPr>
        <w:pStyle w:val="BodyText"/>
        <w:numPr>
          <w:ilvl w:val="0"/>
          <w:numId w:val="15"/>
        </w:numPr>
        <w:spacing w:after="240"/>
        <w:ind w:left="284" w:right="-26" w:hanging="284"/>
        <w:rPr>
          <w:noProof/>
          <w:spacing w:val="-8"/>
        </w:rPr>
      </w:pPr>
      <w:r w:rsidRPr="0056504F">
        <w:rPr>
          <w:noProof/>
          <w:spacing w:val="-8"/>
        </w:rPr>
        <w:t xml:space="preserve">MDMS </w:t>
      </w:r>
      <w:r w:rsidR="002E10A6">
        <w:rPr>
          <w:noProof/>
          <w:spacing w:val="-8"/>
        </w:rPr>
        <w:t>platforms</w:t>
      </w:r>
      <w:r w:rsidRPr="0056504F">
        <w:rPr>
          <w:noProof/>
          <w:spacing w:val="-8"/>
        </w:rPr>
        <w:t xml:space="preserve"> that rely on access to </w:t>
      </w:r>
      <w:r w:rsidR="00391D6C">
        <w:rPr>
          <w:noProof/>
          <w:spacing w:val="-8"/>
        </w:rPr>
        <w:t>operator’s offers to</w:t>
      </w:r>
      <w:r w:rsidRPr="0056504F">
        <w:rPr>
          <w:noProof/>
          <w:spacing w:val="-8"/>
        </w:rPr>
        <w:t xml:space="preserve"> provide their services can also be expected to see an increase in their capacity to develop and offer services at optimal cost and quality levels.</w:t>
      </w:r>
      <w:r w:rsidR="002234CD">
        <w:rPr>
          <w:noProof/>
          <w:spacing w:val="-8"/>
        </w:rPr>
        <w:t xml:space="preserve"> In particular,</w:t>
      </w:r>
      <w:r w:rsidR="00304EC8">
        <w:rPr>
          <w:noProof/>
          <w:spacing w:val="-8"/>
        </w:rPr>
        <w:t xml:space="preserve"> </w:t>
      </w:r>
      <w:r w:rsidR="00391D6C">
        <w:rPr>
          <w:noProof/>
          <w:spacing w:val="-8"/>
        </w:rPr>
        <w:t>independent</w:t>
      </w:r>
      <w:r w:rsidR="00304EC8">
        <w:rPr>
          <w:noProof/>
          <w:spacing w:val="-8"/>
        </w:rPr>
        <w:t xml:space="preserve"> MDMS </w:t>
      </w:r>
      <w:r w:rsidR="002E10A6">
        <w:rPr>
          <w:noProof/>
          <w:spacing w:val="-8"/>
        </w:rPr>
        <w:t>platforms</w:t>
      </w:r>
      <w:r w:rsidR="00304EC8">
        <w:rPr>
          <w:noProof/>
          <w:spacing w:val="-8"/>
        </w:rPr>
        <w:t xml:space="preserve"> are expected to </w:t>
      </w:r>
      <w:r w:rsidR="00297165">
        <w:rPr>
          <w:noProof/>
          <w:spacing w:val="-8"/>
        </w:rPr>
        <w:t xml:space="preserve">get a better access to </w:t>
      </w:r>
      <w:r w:rsidR="00A74BF2">
        <w:rPr>
          <w:noProof/>
          <w:spacing w:val="-8"/>
        </w:rPr>
        <w:t xml:space="preserve">rail tickets, therefore improving their ability to offer more sustainable travel options to their customers. </w:t>
      </w:r>
      <w:r w:rsidR="00C70FE7">
        <w:rPr>
          <w:noProof/>
          <w:spacing w:val="-8"/>
        </w:rPr>
        <w:t xml:space="preserve">MDMS </w:t>
      </w:r>
      <w:r w:rsidR="00D3743D">
        <w:rPr>
          <w:noProof/>
          <w:spacing w:val="-8"/>
        </w:rPr>
        <w:t>platforms</w:t>
      </w:r>
      <w:r w:rsidR="00C70FE7">
        <w:rPr>
          <w:noProof/>
          <w:spacing w:val="-8"/>
        </w:rPr>
        <w:t xml:space="preserve"> will also benefit from the rules on commercial agreements established by the legislation that will allow them to </w:t>
      </w:r>
      <w:r w:rsidR="00FB5619">
        <w:rPr>
          <w:noProof/>
          <w:spacing w:val="-8"/>
        </w:rPr>
        <w:t xml:space="preserve">streamline negotiation processes with operators. </w:t>
      </w:r>
      <w:r w:rsidR="00732896">
        <w:rPr>
          <w:noProof/>
          <w:spacing w:val="-8"/>
        </w:rPr>
        <w:t>On the other ha</w:t>
      </w:r>
      <w:r w:rsidR="00B32B67">
        <w:rPr>
          <w:noProof/>
          <w:spacing w:val="-8"/>
        </w:rPr>
        <w:t xml:space="preserve">nd, MDMS platforms are expected to incur </w:t>
      </w:r>
      <w:r w:rsidR="00B32B67" w:rsidRPr="005D2D60">
        <w:rPr>
          <w:noProof/>
          <w:spacing w:val="-8"/>
        </w:rPr>
        <w:t>adjustment and administrative costs</w:t>
      </w:r>
      <w:r w:rsidR="00AE4720" w:rsidRPr="005D2D60">
        <w:rPr>
          <w:noProof/>
          <w:spacing w:val="-8"/>
        </w:rPr>
        <w:t xml:space="preserve"> for adjusting their platforms to </w:t>
      </w:r>
      <w:r w:rsidR="00E1617F" w:rsidRPr="005D2D60">
        <w:rPr>
          <w:noProof/>
          <w:spacing w:val="-8"/>
        </w:rPr>
        <w:t>fairness requirements and reporting to authorities.</w:t>
      </w:r>
    </w:p>
    <w:p w14:paraId="24F7B028" w14:textId="027590E6" w:rsidR="00D67F1B" w:rsidRPr="0056504F" w:rsidRDefault="00D67F1B" w:rsidP="00230DDC">
      <w:pPr>
        <w:pStyle w:val="BodyText"/>
        <w:numPr>
          <w:ilvl w:val="0"/>
          <w:numId w:val="15"/>
        </w:numPr>
        <w:spacing w:after="240"/>
        <w:ind w:left="284" w:right="-26" w:hanging="284"/>
        <w:rPr>
          <w:noProof/>
          <w:spacing w:val="-8"/>
        </w:rPr>
      </w:pPr>
      <w:r w:rsidRPr="0056504F">
        <w:rPr>
          <w:noProof/>
          <w:spacing w:val="-8"/>
        </w:rPr>
        <w:t xml:space="preserve">Transport operators can be expected to benefit from </w:t>
      </w:r>
      <w:r w:rsidR="00A74BF2">
        <w:rPr>
          <w:noProof/>
          <w:spacing w:val="-8"/>
        </w:rPr>
        <w:t>fairer access and display</w:t>
      </w:r>
      <w:r w:rsidRPr="0056504F">
        <w:rPr>
          <w:noProof/>
          <w:spacing w:val="-8"/>
        </w:rPr>
        <w:t xml:space="preserve"> </w:t>
      </w:r>
      <w:r w:rsidR="00A74BF2">
        <w:rPr>
          <w:noProof/>
          <w:spacing w:val="-8"/>
        </w:rPr>
        <w:t>of their offers on MDMS platforms</w:t>
      </w:r>
      <w:r w:rsidRPr="0056504F">
        <w:rPr>
          <w:noProof/>
          <w:spacing w:val="-8"/>
        </w:rPr>
        <w:t xml:space="preserve">, making it easier to sell more tickets </w:t>
      </w:r>
      <w:r w:rsidR="00856BC7">
        <w:rPr>
          <w:noProof/>
          <w:spacing w:val="-8"/>
        </w:rPr>
        <w:t>and reach</w:t>
      </w:r>
      <w:r w:rsidR="00243299">
        <w:rPr>
          <w:noProof/>
          <w:spacing w:val="-8"/>
        </w:rPr>
        <w:t xml:space="preserve"> more consumers</w:t>
      </w:r>
      <w:r w:rsidR="004F1F43">
        <w:rPr>
          <w:noProof/>
          <w:spacing w:val="-8"/>
        </w:rPr>
        <w:t xml:space="preserve"> </w:t>
      </w:r>
      <w:r w:rsidR="007F0164">
        <w:rPr>
          <w:noProof/>
          <w:spacing w:val="-8"/>
        </w:rPr>
        <w:t>thereby</w:t>
      </w:r>
      <w:r w:rsidR="00550ACD" w:rsidRPr="0056504F">
        <w:rPr>
          <w:noProof/>
          <w:spacing w:val="-8"/>
        </w:rPr>
        <w:t xml:space="preserve"> </w:t>
      </w:r>
      <w:r w:rsidRPr="0056504F">
        <w:rPr>
          <w:noProof/>
          <w:spacing w:val="-8"/>
        </w:rPr>
        <w:t>maximising the efficiency of their operations.</w:t>
      </w:r>
      <w:r w:rsidR="00243299">
        <w:rPr>
          <w:noProof/>
          <w:spacing w:val="-8"/>
        </w:rPr>
        <w:t xml:space="preserve"> On top of this, new entrant RUs will be able to access </w:t>
      </w:r>
      <w:r w:rsidR="007F0164">
        <w:rPr>
          <w:noProof/>
          <w:spacing w:val="-8"/>
        </w:rPr>
        <w:t>indispensable RU</w:t>
      </w:r>
      <w:r w:rsidR="00243299">
        <w:rPr>
          <w:noProof/>
          <w:spacing w:val="-8"/>
        </w:rPr>
        <w:t xml:space="preserve"> platforms</w:t>
      </w:r>
      <w:r w:rsidR="00FC4FEE">
        <w:rPr>
          <w:noProof/>
          <w:spacing w:val="-8"/>
        </w:rPr>
        <w:t>,</w:t>
      </w:r>
      <w:r w:rsidR="00243299">
        <w:rPr>
          <w:noProof/>
          <w:spacing w:val="-8"/>
        </w:rPr>
        <w:t xml:space="preserve"> </w:t>
      </w:r>
      <w:r w:rsidR="00EA150B">
        <w:rPr>
          <w:noProof/>
          <w:spacing w:val="-8"/>
        </w:rPr>
        <w:t xml:space="preserve">increasing their visibility towards consumers, </w:t>
      </w:r>
      <w:r w:rsidR="00FC4FEE">
        <w:rPr>
          <w:noProof/>
          <w:spacing w:val="-8"/>
        </w:rPr>
        <w:t>and</w:t>
      </w:r>
      <w:r w:rsidR="00EA150B">
        <w:rPr>
          <w:noProof/>
          <w:spacing w:val="-8"/>
        </w:rPr>
        <w:t xml:space="preserve"> further supporting their development. </w:t>
      </w:r>
      <w:r w:rsidR="00FC4FEE">
        <w:rPr>
          <w:noProof/>
          <w:spacing w:val="-8"/>
        </w:rPr>
        <w:t xml:space="preserve">Transport operators </w:t>
      </w:r>
      <w:r w:rsidR="00FC4FEE" w:rsidRPr="005D2D60">
        <w:rPr>
          <w:noProof/>
          <w:spacing w:val="-8"/>
        </w:rPr>
        <w:t xml:space="preserve">will also benefit from the rules on commercial agreements established by the legislation that will allow them to streamline negotiation processes with </w:t>
      </w:r>
      <w:r w:rsidR="002E10A6" w:rsidRPr="005D2D60">
        <w:rPr>
          <w:noProof/>
          <w:spacing w:val="-8"/>
        </w:rPr>
        <w:t>MDMS platforms.</w:t>
      </w:r>
      <w:r w:rsidR="00AB4F99" w:rsidRPr="005D2D60">
        <w:rPr>
          <w:noProof/>
          <w:spacing w:val="-8"/>
        </w:rPr>
        <w:t xml:space="preserve"> On the other hand,</w:t>
      </w:r>
      <w:r w:rsidR="00CE4A29" w:rsidRPr="005D2D60">
        <w:rPr>
          <w:noProof/>
          <w:spacing w:val="-8"/>
        </w:rPr>
        <w:t xml:space="preserve"> (rail)</w:t>
      </w:r>
      <w:r w:rsidR="00AB4F99" w:rsidRPr="005D2D60">
        <w:rPr>
          <w:noProof/>
          <w:spacing w:val="-8"/>
        </w:rPr>
        <w:t xml:space="preserve"> transport operators are </w:t>
      </w:r>
      <w:r w:rsidR="00B32B67" w:rsidRPr="005D2D60">
        <w:rPr>
          <w:noProof/>
          <w:spacing w:val="-8"/>
        </w:rPr>
        <w:t>expect</w:t>
      </w:r>
      <w:r w:rsidR="004F1F43" w:rsidRPr="005D2D60">
        <w:rPr>
          <w:noProof/>
          <w:spacing w:val="-8"/>
        </w:rPr>
        <w:t>ed</w:t>
      </w:r>
      <w:r w:rsidR="00B32B67" w:rsidRPr="005D2D60">
        <w:rPr>
          <w:noProof/>
          <w:spacing w:val="-8"/>
        </w:rPr>
        <w:t xml:space="preserve"> to incur adjustment and administrative costs </w:t>
      </w:r>
      <w:r w:rsidR="00CE4A29" w:rsidRPr="005D2D60">
        <w:rPr>
          <w:noProof/>
          <w:spacing w:val="-8"/>
        </w:rPr>
        <w:t xml:space="preserve">for sharing their offers and reporting </w:t>
      </w:r>
      <w:r w:rsidR="00067DE6" w:rsidRPr="005D2D60">
        <w:rPr>
          <w:noProof/>
          <w:spacing w:val="-8"/>
        </w:rPr>
        <w:t>to authorities.</w:t>
      </w:r>
    </w:p>
    <w:p w14:paraId="5B1BD825" w14:textId="1DF8F9A2" w:rsidR="003777B9" w:rsidRPr="0056504F" w:rsidRDefault="00D67F1B" w:rsidP="00230DDC">
      <w:pPr>
        <w:pStyle w:val="BodyText"/>
        <w:numPr>
          <w:ilvl w:val="0"/>
          <w:numId w:val="15"/>
        </w:numPr>
        <w:spacing w:after="240"/>
        <w:ind w:left="284" w:right="-26" w:hanging="284"/>
        <w:rPr>
          <w:noProof/>
          <w:spacing w:val="-8"/>
        </w:rPr>
      </w:pPr>
      <w:r w:rsidRPr="0056504F">
        <w:rPr>
          <w:noProof/>
          <w:spacing w:val="-8"/>
        </w:rPr>
        <w:t xml:space="preserve">Society as a whole is expected to benefit from a reduction of external costs of transport, achieved by better travel traffic management, improved transport system performance and the promotion of a modal shift towards </w:t>
      </w:r>
      <w:r w:rsidR="00B96ACF">
        <w:rPr>
          <w:noProof/>
          <w:spacing w:val="-8"/>
        </w:rPr>
        <w:t>rail and coach</w:t>
      </w:r>
      <w:r w:rsidR="00A81135">
        <w:rPr>
          <w:noProof/>
          <w:spacing w:val="-8"/>
        </w:rPr>
        <w:t xml:space="preserve">, which will reduce negative impacts linked to </w:t>
      </w:r>
      <w:r w:rsidR="006F7012">
        <w:rPr>
          <w:noProof/>
          <w:spacing w:val="-8"/>
        </w:rPr>
        <w:t>car</w:t>
      </w:r>
      <w:r w:rsidR="00A81135">
        <w:rPr>
          <w:noProof/>
          <w:spacing w:val="-8"/>
        </w:rPr>
        <w:t xml:space="preserve"> traffic</w:t>
      </w:r>
      <w:r w:rsidR="00106480">
        <w:rPr>
          <w:noProof/>
          <w:spacing w:val="-8"/>
        </w:rPr>
        <w:t xml:space="preserve"> </w:t>
      </w:r>
      <w:r w:rsidR="006F7012">
        <w:rPr>
          <w:noProof/>
          <w:spacing w:val="-8"/>
        </w:rPr>
        <w:t>such as reduced</w:t>
      </w:r>
      <w:r w:rsidR="006F7012" w:rsidRPr="005D2D60">
        <w:rPr>
          <w:noProof/>
          <w:sz w:val="20"/>
          <w:lang w:eastAsia="en-IE"/>
        </w:rPr>
        <w:t xml:space="preserve"> </w:t>
      </w:r>
      <w:r w:rsidR="00DA61C0" w:rsidRPr="005D2D60">
        <w:rPr>
          <w:noProof/>
          <w:spacing w:val="-8"/>
        </w:rPr>
        <w:t>CO</w:t>
      </w:r>
      <w:r w:rsidR="00DA61C0" w:rsidRPr="005D2D60">
        <w:rPr>
          <w:noProof/>
          <w:spacing w:val="-8"/>
          <w:vertAlign w:val="subscript"/>
        </w:rPr>
        <w:t>2</w:t>
      </w:r>
      <w:r w:rsidR="00DA61C0" w:rsidRPr="005D2D60">
        <w:rPr>
          <w:noProof/>
          <w:spacing w:val="-8"/>
        </w:rPr>
        <w:t xml:space="preserve"> and air pollutants emissions</w:t>
      </w:r>
      <w:r w:rsidR="00A81135">
        <w:rPr>
          <w:noProof/>
          <w:spacing w:val="-8"/>
        </w:rPr>
        <w:t>,</w:t>
      </w:r>
      <w:r w:rsidR="00DA61C0">
        <w:rPr>
          <w:noProof/>
          <w:spacing w:val="-8"/>
        </w:rPr>
        <w:t xml:space="preserve"> noise</w:t>
      </w:r>
      <w:r w:rsidR="00A81135">
        <w:rPr>
          <w:noProof/>
          <w:spacing w:val="-8"/>
        </w:rPr>
        <w:t xml:space="preserve">, </w:t>
      </w:r>
      <w:r w:rsidR="006F7012">
        <w:rPr>
          <w:noProof/>
          <w:spacing w:val="-8"/>
        </w:rPr>
        <w:t>fatalities and injuries</w:t>
      </w:r>
      <w:r w:rsidR="00A81135">
        <w:rPr>
          <w:noProof/>
          <w:spacing w:val="-8"/>
        </w:rPr>
        <w:t xml:space="preserve">, </w:t>
      </w:r>
      <w:r w:rsidR="00DA61C0">
        <w:rPr>
          <w:noProof/>
          <w:spacing w:val="-8"/>
        </w:rPr>
        <w:t>accidents and congestion</w:t>
      </w:r>
      <w:r w:rsidRPr="0056504F">
        <w:rPr>
          <w:noProof/>
          <w:spacing w:val="-8"/>
        </w:rPr>
        <w:t>.</w:t>
      </w:r>
    </w:p>
    <w:p w14:paraId="1EC14231" w14:textId="5177E90A" w:rsidR="00712390" w:rsidRPr="007809E2" w:rsidRDefault="003C4819" w:rsidP="007B2D8E">
      <w:pPr>
        <w:pStyle w:val="Heading2"/>
        <w:numPr>
          <w:ilvl w:val="0"/>
          <w:numId w:val="2"/>
        </w:numPr>
        <w:tabs>
          <w:tab w:val="left" w:pos="426"/>
        </w:tabs>
        <w:spacing w:before="0" w:after="240"/>
        <w:ind w:left="425" w:hanging="425"/>
        <w:rPr>
          <w:smallCaps/>
          <w:noProof/>
        </w:rPr>
      </w:pPr>
      <w:bookmarkStart w:id="292" w:name="2_Summary_of_costs_and_benefits"/>
      <w:bookmarkStart w:id="293" w:name="_Toc220667528"/>
      <w:bookmarkStart w:id="294" w:name="_Toc222313514"/>
      <w:bookmarkStart w:id="295" w:name="_Toc222749035"/>
      <w:bookmarkStart w:id="296" w:name="_Toc223980008"/>
      <w:bookmarkEnd w:id="292"/>
      <w:r w:rsidRPr="00D71008">
        <w:rPr>
          <w:smallCaps/>
          <w:noProof/>
        </w:rPr>
        <w:t>Summary</w:t>
      </w:r>
      <w:r w:rsidRPr="007809E2">
        <w:rPr>
          <w:smallCaps/>
          <w:noProof/>
        </w:rPr>
        <w:t xml:space="preserve"> </w:t>
      </w:r>
      <w:r w:rsidRPr="00D71008">
        <w:rPr>
          <w:smallCaps/>
          <w:noProof/>
        </w:rPr>
        <w:t>of</w:t>
      </w:r>
      <w:r w:rsidRPr="007809E2">
        <w:rPr>
          <w:smallCaps/>
          <w:noProof/>
        </w:rPr>
        <w:t xml:space="preserve"> </w:t>
      </w:r>
      <w:r w:rsidRPr="00D71008">
        <w:rPr>
          <w:smallCaps/>
          <w:noProof/>
        </w:rPr>
        <w:t>costs</w:t>
      </w:r>
      <w:r w:rsidRPr="007809E2">
        <w:rPr>
          <w:smallCaps/>
          <w:noProof/>
        </w:rPr>
        <w:t xml:space="preserve"> </w:t>
      </w:r>
      <w:r w:rsidRPr="00D71008">
        <w:rPr>
          <w:smallCaps/>
          <w:noProof/>
        </w:rPr>
        <w:t>and</w:t>
      </w:r>
      <w:r w:rsidRPr="007809E2">
        <w:rPr>
          <w:smallCaps/>
          <w:noProof/>
        </w:rPr>
        <w:t xml:space="preserve"> benefits</w:t>
      </w:r>
      <w:bookmarkEnd w:id="293"/>
      <w:bookmarkEnd w:id="294"/>
      <w:bookmarkEnd w:id="295"/>
      <w:bookmarkEnd w:id="296"/>
    </w:p>
    <w:tbl>
      <w:tblPr>
        <w:tblStyle w:val="CV12"/>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359"/>
        <w:gridCol w:w="3797"/>
        <w:gridCol w:w="3427"/>
      </w:tblGrid>
      <w:tr w:rsidR="00E87AFA" w:rsidRPr="00F92EAE" w14:paraId="2C420CAF" w14:textId="77777777" w:rsidTr="00C544E6">
        <w:trPr>
          <w:tblHeader/>
        </w:trPr>
        <w:tc>
          <w:tcPr>
            <w:tcW w:w="5000" w:type="pct"/>
            <w:gridSpan w:val="3"/>
            <w:tcBorders>
              <w:top w:val="double" w:sz="4" w:space="0" w:color="auto"/>
              <w:bottom w:val="single" w:sz="4" w:space="0" w:color="auto"/>
            </w:tcBorders>
            <w:shd w:val="clear" w:color="auto" w:fill="C6D9F1" w:themeFill="text2" w:themeFillTint="33"/>
          </w:tcPr>
          <w:p w14:paraId="65C75CDA" w14:textId="6FEF6C35" w:rsidR="00E87AFA" w:rsidRPr="00F92EAE" w:rsidRDefault="00E87AFA" w:rsidP="001A0453">
            <w:pPr>
              <w:rPr>
                <w:b/>
                <w:noProof/>
                <w:sz w:val="20"/>
              </w:rPr>
            </w:pPr>
            <w:bookmarkStart w:id="297" w:name="3_Relevant_sustainable_development_goals"/>
            <w:bookmarkEnd w:id="297"/>
            <w:r w:rsidRPr="00F92EAE">
              <w:rPr>
                <w:b/>
                <w:noProof/>
                <w:sz w:val="20"/>
              </w:rPr>
              <w:t>I. Overview of Benefits (total for all provisions) – Preferred Option</w:t>
            </w:r>
            <w:r>
              <w:rPr>
                <w:b/>
                <w:noProof/>
                <w:sz w:val="20"/>
              </w:rPr>
              <w:t xml:space="preserve"> (PO3)</w:t>
            </w:r>
          </w:p>
        </w:tc>
      </w:tr>
      <w:tr w:rsidR="00E87AFA" w:rsidRPr="00F92EAE" w14:paraId="55A0E4F2" w14:textId="77777777" w:rsidTr="005C3A3A">
        <w:trPr>
          <w:tblHeader/>
        </w:trPr>
        <w:tc>
          <w:tcPr>
            <w:tcW w:w="1231" w:type="pct"/>
            <w:tcBorders>
              <w:top w:val="single" w:sz="4" w:space="0" w:color="auto"/>
            </w:tcBorders>
            <w:shd w:val="clear" w:color="auto" w:fill="C6D9F1" w:themeFill="text2" w:themeFillTint="33"/>
          </w:tcPr>
          <w:p w14:paraId="7CED6837" w14:textId="77777777" w:rsidR="00E87AFA" w:rsidRPr="00F92EAE" w:rsidRDefault="00E87AFA" w:rsidP="001A0453">
            <w:pPr>
              <w:jc w:val="center"/>
              <w:rPr>
                <w:b/>
                <w:i/>
                <w:noProof/>
                <w:sz w:val="20"/>
              </w:rPr>
            </w:pPr>
            <w:r w:rsidRPr="00F92EAE">
              <w:rPr>
                <w:b/>
                <w:i/>
                <w:noProof/>
                <w:sz w:val="20"/>
              </w:rPr>
              <w:t>Description</w:t>
            </w:r>
          </w:p>
        </w:tc>
        <w:tc>
          <w:tcPr>
            <w:tcW w:w="1981" w:type="pct"/>
            <w:tcBorders>
              <w:top w:val="single" w:sz="4" w:space="0" w:color="auto"/>
            </w:tcBorders>
            <w:shd w:val="clear" w:color="auto" w:fill="C6D9F1" w:themeFill="text2" w:themeFillTint="33"/>
          </w:tcPr>
          <w:p w14:paraId="3AC41398" w14:textId="77777777" w:rsidR="00E87AFA" w:rsidRPr="00F92EAE" w:rsidRDefault="00E87AFA" w:rsidP="001A0453">
            <w:pPr>
              <w:jc w:val="center"/>
              <w:rPr>
                <w:b/>
                <w:i/>
                <w:noProof/>
                <w:sz w:val="20"/>
              </w:rPr>
            </w:pPr>
            <w:r w:rsidRPr="00F92EAE">
              <w:rPr>
                <w:b/>
                <w:i/>
                <w:noProof/>
                <w:sz w:val="20"/>
              </w:rPr>
              <w:t>Amount</w:t>
            </w:r>
          </w:p>
        </w:tc>
        <w:tc>
          <w:tcPr>
            <w:tcW w:w="1788" w:type="pct"/>
            <w:tcBorders>
              <w:top w:val="single" w:sz="4" w:space="0" w:color="auto"/>
            </w:tcBorders>
            <w:shd w:val="clear" w:color="auto" w:fill="C6D9F1" w:themeFill="text2" w:themeFillTint="33"/>
            <w:tcMar>
              <w:top w:w="57" w:type="dxa"/>
              <w:left w:w="57" w:type="dxa"/>
              <w:bottom w:w="57" w:type="dxa"/>
              <w:right w:w="57" w:type="dxa"/>
            </w:tcMar>
          </w:tcPr>
          <w:p w14:paraId="0F3093C0" w14:textId="77777777" w:rsidR="00E87AFA" w:rsidRPr="00F92EAE" w:rsidRDefault="00E87AFA" w:rsidP="001A0453">
            <w:pPr>
              <w:jc w:val="center"/>
              <w:rPr>
                <w:b/>
                <w:i/>
                <w:noProof/>
                <w:sz w:val="20"/>
              </w:rPr>
            </w:pPr>
            <w:r w:rsidRPr="00F92EAE">
              <w:rPr>
                <w:b/>
                <w:i/>
                <w:noProof/>
                <w:sz w:val="20"/>
              </w:rPr>
              <w:t>Comments</w:t>
            </w:r>
          </w:p>
        </w:tc>
      </w:tr>
      <w:tr w:rsidR="00E87AFA" w:rsidRPr="00F92EAE" w14:paraId="67497B86" w14:textId="77777777" w:rsidTr="00C544E6">
        <w:tc>
          <w:tcPr>
            <w:tcW w:w="5000" w:type="pct"/>
            <w:gridSpan w:val="3"/>
            <w:tcBorders>
              <w:top w:val="double" w:sz="4" w:space="0" w:color="auto"/>
            </w:tcBorders>
            <w:shd w:val="clear" w:color="auto" w:fill="F2F2F2" w:themeFill="background1" w:themeFillShade="F2"/>
          </w:tcPr>
          <w:p w14:paraId="187BFA99" w14:textId="77777777" w:rsidR="00E87AFA" w:rsidRPr="00F92EAE" w:rsidRDefault="00E87AFA" w:rsidP="001A0453">
            <w:pPr>
              <w:jc w:val="center"/>
              <w:rPr>
                <w:b/>
                <w:i/>
                <w:noProof/>
                <w:sz w:val="20"/>
              </w:rPr>
            </w:pPr>
            <w:r w:rsidRPr="00F92EAE">
              <w:rPr>
                <w:b/>
                <w:i/>
                <w:noProof/>
                <w:sz w:val="20"/>
              </w:rPr>
              <w:t>Direct benefits</w:t>
            </w:r>
          </w:p>
        </w:tc>
      </w:tr>
      <w:tr w:rsidR="00E87AFA" w:rsidRPr="00F92EAE" w14:paraId="3EF557B7" w14:textId="77777777" w:rsidTr="002B3321">
        <w:tc>
          <w:tcPr>
            <w:tcW w:w="1231" w:type="pct"/>
            <w:tcBorders>
              <w:top w:val="double" w:sz="4" w:space="0" w:color="auto"/>
              <w:bottom w:val="single" w:sz="4" w:space="0" w:color="auto"/>
            </w:tcBorders>
          </w:tcPr>
          <w:p w14:paraId="0914A983" w14:textId="1E703F2D" w:rsidR="00E87AFA" w:rsidRPr="00F92EAE" w:rsidRDefault="00197E03" w:rsidP="001A0453">
            <w:pPr>
              <w:rPr>
                <w:noProof/>
                <w:sz w:val="20"/>
              </w:rPr>
            </w:pPr>
            <w:r>
              <w:rPr>
                <w:noProof/>
                <w:sz w:val="20"/>
              </w:rPr>
              <w:t xml:space="preserve">Adjustment costs savings for </w:t>
            </w:r>
            <w:r w:rsidR="00B91234">
              <w:rPr>
                <w:noProof/>
                <w:sz w:val="20"/>
              </w:rPr>
              <w:t xml:space="preserve">non-SME </w:t>
            </w:r>
            <w:r>
              <w:rPr>
                <w:noProof/>
                <w:sz w:val="20"/>
              </w:rPr>
              <w:t xml:space="preserve">MDMS platforms </w:t>
            </w:r>
            <w:r>
              <w:rPr>
                <w:noProof/>
                <w:sz w:val="20"/>
                <w:szCs w:val="20"/>
              </w:rPr>
              <w:t>(expressed as present value over 2028-2050, relative to the baseline)</w:t>
            </w:r>
          </w:p>
        </w:tc>
        <w:tc>
          <w:tcPr>
            <w:tcW w:w="1981" w:type="pct"/>
            <w:tcBorders>
              <w:top w:val="double" w:sz="4" w:space="0" w:color="auto"/>
              <w:bottom w:val="single" w:sz="4" w:space="0" w:color="auto"/>
            </w:tcBorders>
            <w:tcMar>
              <w:top w:w="57" w:type="dxa"/>
              <w:left w:w="57" w:type="dxa"/>
              <w:bottom w:w="57" w:type="dxa"/>
              <w:right w:w="57" w:type="dxa"/>
            </w:tcMar>
          </w:tcPr>
          <w:p w14:paraId="78B7B44B" w14:textId="06B87136" w:rsidR="00E87AFA" w:rsidRPr="00F92EAE" w:rsidRDefault="007E1036" w:rsidP="007E1036">
            <w:pPr>
              <w:jc w:val="center"/>
              <w:rPr>
                <w:noProof/>
                <w:sz w:val="20"/>
              </w:rPr>
            </w:pPr>
            <w:r>
              <w:rPr>
                <w:noProof/>
                <w:sz w:val="20"/>
              </w:rPr>
              <w:t xml:space="preserve">EUR </w:t>
            </w:r>
            <w:r w:rsidR="00494306">
              <w:rPr>
                <w:noProof/>
                <w:sz w:val="20"/>
              </w:rPr>
              <w:t>43.5</w:t>
            </w:r>
            <w:r w:rsidR="00B91234">
              <w:rPr>
                <w:noProof/>
                <w:sz w:val="20"/>
              </w:rPr>
              <w:t xml:space="preserve"> </w:t>
            </w:r>
            <w:r>
              <w:rPr>
                <w:noProof/>
                <w:sz w:val="20"/>
              </w:rPr>
              <w:t>million</w:t>
            </w:r>
            <w:r w:rsidR="008F5FCE">
              <w:rPr>
                <w:noProof/>
                <w:sz w:val="20"/>
              </w:rPr>
              <w:t xml:space="preserve"> </w:t>
            </w:r>
          </w:p>
        </w:tc>
        <w:tc>
          <w:tcPr>
            <w:tcW w:w="1788" w:type="pct"/>
            <w:tcBorders>
              <w:top w:val="double" w:sz="4" w:space="0" w:color="auto"/>
              <w:bottom w:val="single" w:sz="4" w:space="0" w:color="auto"/>
            </w:tcBorders>
            <w:tcMar>
              <w:top w:w="57" w:type="dxa"/>
              <w:left w:w="57" w:type="dxa"/>
              <w:bottom w:w="57" w:type="dxa"/>
              <w:right w:w="57" w:type="dxa"/>
            </w:tcMar>
          </w:tcPr>
          <w:p w14:paraId="3A8C99CE" w14:textId="34424985" w:rsidR="00E87AFA" w:rsidRPr="00F92EAE" w:rsidRDefault="008F5FCE" w:rsidP="007B06B2">
            <w:pPr>
              <w:jc w:val="both"/>
              <w:rPr>
                <w:noProof/>
                <w:sz w:val="20"/>
              </w:rPr>
            </w:pPr>
            <w:r>
              <w:rPr>
                <w:noProof/>
                <w:sz w:val="20"/>
              </w:rPr>
              <w:t xml:space="preserve">Adjustment costs savings for </w:t>
            </w:r>
            <w:r w:rsidR="00B91234">
              <w:rPr>
                <w:noProof/>
                <w:sz w:val="20"/>
              </w:rPr>
              <w:t xml:space="preserve">non-SME </w:t>
            </w:r>
            <w:r>
              <w:rPr>
                <w:noProof/>
                <w:sz w:val="20"/>
              </w:rPr>
              <w:t>MDMS platforms</w:t>
            </w:r>
            <w:r w:rsidR="00946686">
              <w:rPr>
                <w:noProof/>
                <w:sz w:val="20"/>
              </w:rPr>
              <w:t xml:space="preserve"> d</w:t>
            </w:r>
            <w:r w:rsidR="00946686" w:rsidRPr="00946686">
              <w:rPr>
                <w:noProof/>
                <w:sz w:val="20"/>
              </w:rPr>
              <w:t>ue to the introduction of commercial agreement rules for indispensable MDMS platforms (PM11) and indispensable RUs (PM12) with third parties that are expected to streamline the negotiation processes</w:t>
            </w:r>
            <w:r w:rsidR="00E74756">
              <w:rPr>
                <w:noProof/>
                <w:sz w:val="20"/>
              </w:rPr>
              <w:t xml:space="preserve">. The adjustment costs savings are estimated at EUR </w:t>
            </w:r>
            <w:r w:rsidR="00494306">
              <w:rPr>
                <w:noProof/>
                <w:sz w:val="20"/>
              </w:rPr>
              <w:t>43.5</w:t>
            </w:r>
            <w:r w:rsidR="00B91234">
              <w:rPr>
                <w:noProof/>
                <w:sz w:val="20"/>
              </w:rPr>
              <w:t xml:space="preserve"> </w:t>
            </w:r>
            <w:r w:rsidR="00E74756">
              <w:rPr>
                <w:noProof/>
                <w:sz w:val="20"/>
              </w:rPr>
              <w:t xml:space="preserve">million, expressed as present value over 2028-2050 relative to the baseline.  </w:t>
            </w:r>
          </w:p>
        </w:tc>
      </w:tr>
      <w:tr w:rsidR="005C3A3A" w:rsidRPr="00F92EAE" w14:paraId="173093C1" w14:textId="77777777" w:rsidTr="004A622B">
        <w:tc>
          <w:tcPr>
            <w:tcW w:w="1231" w:type="pct"/>
            <w:tcBorders>
              <w:top w:val="single" w:sz="4" w:space="0" w:color="auto"/>
              <w:bottom w:val="single" w:sz="4" w:space="0" w:color="auto"/>
            </w:tcBorders>
          </w:tcPr>
          <w:p w14:paraId="742F7122" w14:textId="4FF869BA" w:rsidR="005C3A3A" w:rsidRPr="00F92EAE" w:rsidRDefault="00CF0AA2" w:rsidP="001A0453">
            <w:pPr>
              <w:rPr>
                <w:noProof/>
                <w:sz w:val="20"/>
              </w:rPr>
            </w:pPr>
            <w:r>
              <w:rPr>
                <w:noProof/>
                <w:sz w:val="20"/>
              </w:rPr>
              <w:t xml:space="preserve">Adjustment costs savings for </w:t>
            </w:r>
            <w:r w:rsidR="00107584">
              <w:rPr>
                <w:noProof/>
                <w:sz w:val="20"/>
              </w:rPr>
              <w:t xml:space="preserve">non-SME </w:t>
            </w:r>
            <w:r>
              <w:rPr>
                <w:noProof/>
                <w:sz w:val="20"/>
              </w:rPr>
              <w:t xml:space="preserve">transport operators </w:t>
            </w:r>
            <w:r>
              <w:rPr>
                <w:noProof/>
                <w:sz w:val="20"/>
                <w:szCs w:val="20"/>
              </w:rPr>
              <w:t>(expressed as present value over 2028-2050, relative to the baseline)</w:t>
            </w:r>
          </w:p>
        </w:tc>
        <w:tc>
          <w:tcPr>
            <w:tcW w:w="1981" w:type="pct"/>
            <w:tcBorders>
              <w:top w:val="single" w:sz="4" w:space="0" w:color="auto"/>
              <w:bottom w:val="single" w:sz="4" w:space="0" w:color="auto"/>
            </w:tcBorders>
            <w:tcMar>
              <w:top w:w="57" w:type="dxa"/>
              <w:left w:w="57" w:type="dxa"/>
              <w:bottom w:w="57" w:type="dxa"/>
              <w:right w:w="57" w:type="dxa"/>
            </w:tcMar>
          </w:tcPr>
          <w:p w14:paraId="5B141E6F" w14:textId="4B30E24F" w:rsidR="005C3A3A" w:rsidRPr="00F92EAE" w:rsidRDefault="00CF0AA2" w:rsidP="00CF0AA2">
            <w:pPr>
              <w:jc w:val="center"/>
              <w:rPr>
                <w:noProof/>
                <w:sz w:val="20"/>
              </w:rPr>
            </w:pPr>
            <w:r>
              <w:rPr>
                <w:noProof/>
                <w:sz w:val="20"/>
              </w:rPr>
              <w:t xml:space="preserve">EUR </w:t>
            </w:r>
            <w:r w:rsidR="00494306">
              <w:rPr>
                <w:noProof/>
                <w:sz w:val="20"/>
              </w:rPr>
              <w:t>37.9</w:t>
            </w:r>
            <w:r>
              <w:rPr>
                <w:noProof/>
                <w:sz w:val="20"/>
              </w:rPr>
              <w:t xml:space="preserve"> million</w:t>
            </w:r>
          </w:p>
        </w:tc>
        <w:tc>
          <w:tcPr>
            <w:tcW w:w="1788" w:type="pct"/>
            <w:tcBorders>
              <w:top w:val="single" w:sz="4" w:space="0" w:color="auto"/>
              <w:bottom w:val="single" w:sz="4" w:space="0" w:color="auto"/>
            </w:tcBorders>
            <w:tcMar>
              <w:top w:w="57" w:type="dxa"/>
              <w:left w:w="57" w:type="dxa"/>
              <w:bottom w:w="57" w:type="dxa"/>
              <w:right w:w="57" w:type="dxa"/>
            </w:tcMar>
          </w:tcPr>
          <w:p w14:paraId="2DE0768C" w14:textId="5C57F1AB" w:rsidR="005C3A3A" w:rsidRPr="00F92EAE" w:rsidRDefault="007B06B2" w:rsidP="001A0453">
            <w:pPr>
              <w:rPr>
                <w:noProof/>
                <w:sz w:val="20"/>
              </w:rPr>
            </w:pPr>
            <w:r>
              <w:rPr>
                <w:noProof/>
                <w:sz w:val="20"/>
              </w:rPr>
              <w:t xml:space="preserve">Adjustment costs savings for </w:t>
            </w:r>
            <w:r w:rsidR="006A7B4C">
              <w:rPr>
                <w:noProof/>
                <w:sz w:val="20"/>
              </w:rPr>
              <w:t xml:space="preserve">non-SME </w:t>
            </w:r>
            <w:r>
              <w:rPr>
                <w:noProof/>
                <w:sz w:val="20"/>
              </w:rPr>
              <w:t>transport operators d</w:t>
            </w:r>
            <w:r w:rsidRPr="00946686">
              <w:rPr>
                <w:noProof/>
                <w:sz w:val="20"/>
              </w:rPr>
              <w:t>ue to the introduction of commercial agreement rules for indispensable MDMS platforms (PM11) and indispensable RUs (PM12) with third parties that are expected to streamline the negotiation processes</w:t>
            </w:r>
            <w:r>
              <w:rPr>
                <w:noProof/>
                <w:sz w:val="20"/>
              </w:rPr>
              <w:t xml:space="preserve">. The adjustment costs savings are estimated at EUR </w:t>
            </w:r>
            <w:r w:rsidR="006A7B4C">
              <w:rPr>
                <w:noProof/>
                <w:sz w:val="20"/>
              </w:rPr>
              <w:t>37.9</w:t>
            </w:r>
            <w:r>
              <w:rPr>
                <w:noProof/>
                <w:sz w:val="20"/>
              </w:rPr>
              <w:t xml:space="preserve"> million, expressed as present value over 2028-2050 relative to the baseline.  </w:t>
            </w:r>
          </w:p>
        </w:tc>
      </w:tr>
      <w:tr w:rsidR="00E87AFA" w:rsidRPr="00F92EAE" w14:paraId="752A0F87" w14:textId="77777777" w:rsidTr="004A622B">
        <w:tc>
          <w:tcPr>
            <w:tcW w:w="1231" w:type="pct"/>
            <w:tcBorders>
              <w:top w:val="single" w:sz="4" w:space="0" w:color="auto"/>
              <w:bottom w:val="single" w:sz="4" w:space="0" w:color="auto"/>
            </w:tcBorders>
          </w:tcPr>
          <w:p w14:paraId="6532E630" w14:textId="1314E431" w:rsidR="00E87AFA" w:rsidRPr="00F92EAE" w:rsidRDefault="004A085F" w:rsidP="001A0453">
            <w:pPr>
              <w:rPr>
                <w:noProof/>
                <w:sz w:val="20"/>
              </w:rPr>
            </w:pPr>
            <w:r w:rsidRPr="00F01537">
              <w:rPr>
                <w:noProof/>
                <w:sz w:val="20"/>
                <w:szCs w:val="20"/>
              </w:rPr>
              <w:t>Decrease in</w:t>
            </w:r>
            <w:r>
              <w:rPr>
                <w:noProof/>
                <w:sz w:val="20"/>
                <w:szCs w:val="20"/>
              </w:rPr>
              <w:t xml:space="preserve"> the</w:t>
            </w:r>
            <w:r w:rsidRPr="00F01537">
              <w:rPr>
                <w:noProof/>
                <w:sz w:val="20"/>
                <w:szCs w:val="20"/>
              </w:rPr>
              <w:t xml:space="preserve"> average expenditure per person for interurban mobility, </w:t>
            </w:r>
            <w:r w:rsidR="003C7278">
              <w:rPr>
                <w:noProof/>
                <w:sz w:val="20"/>
                <w:szCs w:val="20"/>
              </w:rPr>
              <w:t>relative to the baseline</w:t>
            </w:r>
          </w:p>
        </w:tc>
        <w:tc>
          <w:tcPr>
            <w:tcW w:w="1981" w:type="pct"/>
            <w:tcBorders>
              <w:top w:val="single" w:sz="4" w:space="0" w:color="auto"/>
              <w:bottom w:val="single" w:sz="4" w:space="0" w:color="auto"/>
            </w:tcBorders>
            <w:tcMar>
              <w:top w:w="57" w:type="dxa"/>
              <w:left w:w="57" w:type="dxa"/>
              <w:bottom w:w="57" w:type="dxa"/>
              <w:right w:w="57" w:type="dxa"/>
            </w:tcMar>
          </w:tcPr>
          <w:p w14:paraId="6CB5B00D" w14:textId="1E956FCA" w:rsidR="00E87AFA" w:rsidRPr="00886383" w:rsidRDefault="00886383" w:rsidP="00886383">
            <w:pPr>
              <w:jc w:val="center"/>
              <w:rPr>
                <w:noProof/>
                <w:sz w:val="20"/>
              </w:rPr>
            </w:pPr>
            <w:r w:rsidRPr="00886383">
              <w:rPr>
                <w:noProof/>
                <w:sz w:val="20"/>
                <w:szCs w:val="20"/>
              </w:rPr>
              <w:t xml:space="preserve">0.06% decrease in average expenditure per person for interurban mobility </w:t>
            </w:r>
            <w:r>
              <w:rPr>
                <w:noProof/>
                <w:sz w:val="20"/>
                <w:szCs w:val="20"/>
              </w:rPr>
              <w:t>in</w:t>
            </w:r>
            <w:r w:rsidRPr="00886383">
              <w:rPr>
                <w:noProof/>
                <w:sz w:val="20"/>
                <w:szCs w:val="20"/>
              </w:rPr>
              <w:t xml:space="preserve"> 2030 and 0.34% </w:t>
            </w:r>
            <w:r>
              <w:rPr>
                <w:noProof/>
                <w:sz w:val="20"/>
                <w:szCs w:val="20"/>
              </w:rPr>
              <w:t>in</w:t>
            </w:r>
            <w:r w:rsidRPr="00886383">
              <w:rPr>
                <w:noProof/>
                <w:sz w:val="20"/>
                <w:szCs w:val="20"/>
              </w:rPr>
              <w:t xml:space="preserve"> 2050 relative to the baseline</w:t>
            </w:r>
          </w:p>
        </w:tc>
        <w:tc>
          <w:tcPr>
            <w:tcW w:w="1788" w:type="pct"/>
            <w:tcBorders>
              <w:top w:val="single" w:sz="4" w:space="0" w:color="auto"/>
              <w:bottom w:val="single" w:sz="4" w:space="0" w:color="auto"/>
            </w:tcBorders>
            <w:tcMar>
              <w:top w:w="57" w:type="dxa"/>
              <w:left w:w="57" w:type="dxa"/>
              <w:bottom w:w="57" w:type="dxa"/>
              <w:right w:w="57" w:type="dxa"/>
            </w:tcMar>
          </w:tcPr>
          <w:p w14:paraId="112FE327" w14:textId="743220A6" w:rsidR="00E87AFA" w:rsidRPr="00F92EAE" w:rsidRDefault="004A085F" w:rsidP="001A0453">
            <w:pPr>
              <w:rPr>
                <w:noProof/>
                <w:sz w:val="20"/>
              </w:rPr>
            </w:pPr>
            <w:r>
              <w:rPr>
                <w:noProof/>
                <w:sz w:val="20"/>
                <w:szCs w:val="20"/>
              </w:rPr>
              <w:t xml:space="preserve">Benefits for </w:t>
            </w:r>
            <w:r w:rsidR="003C7278">
              <w:rPr>
                <w:noProof/>
                <w:sz w:val="20"/>
                <w:szCs w:val="20"/>
              </w:rPr>
              <w:t xml:space="preserve">citizens. </w:t>
            </w:r>
            <w:r w:rsidRPr="00F01537">
              <w:rPr>
                <w:noProof/>
                <w:sz w:val="20"/>
                <w:szCs w:val="20"/>
              </w:rPr>
              <w:t>Decrease in</w:t>
            </w:r>
            <w:r>
              <w:rPr>
                <w:noProof/>
                <w:sz w:val="20"/>
                <w:szCs w:val="20"/>
              </w:rPr>
              <w:t xml:space="preserve"> the</w:t>
            </w:r>
            <w:r w:rsidRPr="00F01537">
              <w:rPr>
                <w:noProof/>
                <w:sz w:val="20"/>
                <w:szCs w:val="20"/>
              </w:rPr>
              <w:t xml:space="preserve"> average expenditure per person for interurban mobility, due to </w:t>
            </w:r>
            <w:r w:rsidR="003C7278">
              <w:rPr>
                <w:noProof/>
                <w:sz w:val="20"/>
                <w:szCs w:val="20"/>
              </w:rPr>
              <w:t xml:space="preserve">the </w:t>
            </w:r>
            <w:r w:rsidRPr="00F01537">
              <w:rPr>
                <w:noProof/>
                <w:sz w:val="20"/>
                <w:szCs w:val="20"/>
              </w:rPr>
              <w:t>increase in competition resulting from better access and use of indispensable MDMS for transport operators</w:t>
            </w:r>
            <w:r w:rsidR="003C7278">
              <w:rPr>
                <w:noProof/>
                <w:sz w:val="20"/>
                <w:szCs w:val="20"/>
              </w:rPr>
              <w:t>.</w:t>
            </w:r>
          </w:p>
        </w:tc>
      </w:tr>
      <w:tr w:rsidR="00860C21" w:rsidRPr="00F92EAE" w14:paraId="47441C0B" w14:textId="77777777" w:rsidTr="004A622B">
        <w:tc>
          <w:tcPr>
            <w:tcW w:w="1231" w:type="pct"/>
            <w:tcBorders>
              <w:top w:val="single" w:sz="4" w:space="0" w:color="auto"/>
              <w:bottom w:val="double" w:sz="4" w:space="0" w:color="auto"/>
            </w:tcBorders>
          </w:tcPr>
          <w:p w14:paraId="5ACC37CF" w14:textId="5FEA7412" w:rsidR="00860C21" w:rsidRPr="00F01537" w:rsidRDefault="005F28A5" w:rsidP="001A0453">
            <w:pPr>
              <w:rPr>
                <w:noProof/>
                <w:sz w:val="20"/>
                <w:szCs w:val="20"/>
              </w:rPr>
            </w:pPr>
            <w:r w:rsidRPr="00D214D0">
              <w:rPr>
                <w:noProof/>
                <w:sz w:val="20"/>
                <w:szCs w:val="20"/>
              </w:rPr>
              <w:t>Reduction of search costs</w:t>
            </w:r>
            <w:r w:rsidR="005343BC" w:rsidRPr="00D214D0">
              <w:rPr>
                <w:noProof/>
                <w:sz w:val="20"/>
                <w:szCs w:val="20"/>
              </w:rPr>
              <w:t xml:space="preserve"> for transport services users</w:t>
            </w:r>
          </w:p>
        </w:tc>
        <w:tc>
          <w:tcPr>
            <w:tcW w:w="1981" w:type="pct"/>
            <w:tcBorders>
              <w:top w:val="single" w:sz="4" w:space="0" w:color="auto"/>
              <w:bottom w:val="double" w:sz="4" w:space="0" w:color="auto"/>
            </w:tcBorders>
            <w:tcMar>
              <w:top w:w="57" w:type="dxa"/>
              <w:left w:w="57" w:type="dxa"/>
              <w:bottom w:w="57" w:type="dxa"/>
              <w:right w:w="57" w:type="dxa"/>
            </w:tcMar>
          </w:tcPr>
          <w:p w14:paraId="6785E2BA" w14:textId="48DA8FD6" w:rsidR="00860C21" w:rsidRPr="00886383" w:rsidRDefault="00C363A3" w:rsidP="00886383">
            <w:pPr>
              <w:jc w:val="center"/>
              <w:rPr>
                <w:noProof/>
                <w:sz w:val="20"/>
                <w:szCs w:val="20"/>
              </w:rPr>
            </w:pPr>
            <w:r>
              <w:rPr>
                <w:noProof/>
                <w:sz w:val="20"/>
                <w:szCs w:val="20"/>
              </w:rPr>
              <w:t>n/a</w:t>
            </w:r>
          </w:p>
        </w:tc>
        <w:tc>
          <w:tcPr>
            <w:tcW w:w="1788" w:type="pct"/>
            <w:tcBorders>
              <w:top w:val="single" w:sz="4" w:space="0" w:color="auto"/>
              <w:bottom w:val="double" w:sz="4" w:space="0" w:color="auto"/>
            </w:tcBorders>
            <w:tcMar>
              <w:top w:w="57" w:type="dxa"/>
              <w:left w:w="57" w:type="dxa"/>
              <w:bottom w:w="57" w:type="dxa"/>
              <w:right w:w="57" w:type="dxa"/>
            </w:tcMar>
          </w:tcPr>
          <w:p w14:paraId="1657F44E" w14:textId="4E169443" w:rsidR="00860C21" w:rsidRDefault="005343BC" w:rsidP="001A0453">
            <w:pPr>
              <w:rPr>
                <w:noProof/>
                <w:sz w:val="20"/>
                <w:szCs w:val="20"/>
              </w:rPr>
            </w:pPr>
            <w:r>
              <w:rPr>
                <w:noProof/>
                <w:sz w:val="20"/>
                <w:szCs w:val="20"/>
              </w:rPr>
              <w:t xml:space="preserve">Benefits for citizens. </w:t>
            </w:r>
            <w:r w:rsidR="00D214D0">
              <w:rPr>
                <w:noProof/>
                <w:sz w:val="20"/>
                <w:szCs w:val="20"/>
              </w:rPr>
              <w:t>Reduction in search costs, as travellers would be able to find, compare and purchase tickets in a single place without having to do long searches or visit several platforms.</w:t>
            </w:r>
          </w:p>
        </w:tc>
      </w:tr>
      <w:tr w:rsidR="004C5FF3" w:rsidRPr="00F92EAE" w14:paraId="3E71754E" w14:textId="77777777" w:rsidTr="004A622B">
        <w:tc>
          <w:tcPr>
            <w:tcW w:w="1231" w:type="pct"/>
            <w:tcBorders>
              <w:top w:val="single" w:sz="4" w:space="0" w:color="auto"/>
              <w:bottom w:val="double" w:sz="4" w:space="0" w:color="auto"/>
            </w:tcBorders>
          </w:tcPr>
          <w:p w14:paraId="39ED57F2" w14:textId="47BE6B54" w:rsidR="004C5FF3" w:rsidRPr="00D214D0" w:rsidRDefault="005C2F7D" w:rsidP="001A0453">
            <w:pPr>
              <w:rPr>
                <w:noProof/>
                <w:sz w:val="20"/>
                <w:szCs w:val="20"/>
              </w:rPr>
            </w:pPr>
            <w:r>
              <w:rPr>
                <w:noProof/>
                <w:sz w:val="20"/>
                <w:szCs w:val="20"/>
              </w:rPr>
              <w:t xml:space="preserve">Increased competition in the transport </w:t>
            </w:r>
            <w:r w:rsidR="00972AD7">
              <w:rPr>
                <w:noProof/>
                <w:sz w:val="20"/>
                <w:szCs w:val="20"/>
              </w:rPr>
              <w:t>market</w:t>
            </w:r>
          </w:p>
        </w:tc>
        <w:tc>
          <w:tcPr>
            <w:tcW w:w="1981" w:type="pct"/>
            <w:tcBorders>
              <w:top w:val="single" w:sz="4" w:space="0" w:color="auto"/>
              <w:bottom w:val="double" w:sz="4" w:space="0" w:color="auto"/>
            </w:tcBorders>
            <w:tcMar>
              <w:top w:w="57" w:type="dxa"/>
              <w:left w:w="57" w:type="dxa"/>
              <w:bottom w:w="57" w:type="dxa"/>
              <w:right w:w="57" w:type="dxa"/>
            </w:tcMar>
          </w:tcPr>
          <w:p w14:paraId="6153C26B" w14:textId="64B4BC6E" w:rsidR="004C5FF3" w:rsidRDefault="00972AD7" w:rsidP="00886383">
            <w:pPr>
              <w:jc w:val="center"/>
              <w:rPr>
                <w:noProof/>
                <w:sz w:val="20"/>
                <w:szCs w:val="20"/>
              </w:rPr>
            </w:pPr>
            <w:r>
              <w:rPr>
                <w:noProof/>
                <w:sz w:val="20"/>
                <w:szCs w:val="20"/>
              </w:rPr>
              <w:t>n/a</w:t>
            </w:r>
          </w:p>
        </w:tc>
        <w:tc>
          <w:tcPr>
            <w:tcW w:w="1788" w:type="pct"/>
            <w:tcBorders>
              <w:top w:val="single" w:sz="4" w:space="0" w:color="auto"/>
              <w:bottom w:val="double" w:sz="4" w:space="0" w:color="auto"/>
            </w:tcBorders>
            <w:tcMar>
              <w:top w:w="57" w:type="dxa"/>
              <w:left w:w="57" w:type="dxa"/>
              <w:bottom w:w="57" w:type="dxa"/>
              <w:right w:w="57" w:type="dxa"/>
            </w:tcMar>
          </w:tcPr>
          <w:p w14:paraId="6556651A" w14:textId="1AB31D51" w:rsidR="004C5FF3" w:rsidRDefault="00FE06FF" w:rsidP="001A0453">
            <w:pPr>
              <w:rPr>
                <w:noProof/>
                <w:sz w:val="20"/>
                <w:szCs w:val="20"/>
              </w:rPr>
            </w:pPr>
            <w:r>
              <w:rPr>
                <w:noProof/>
                <w:sz w:val="20"/>
                <w:szCs w:val="20"/>
              </w:rPr>
              <w:t>Benefits for citizens</w:t>
            </w:r>
            <w:r w:rsidR="00972AD7">
              <w:rPr>
                <w:noProof/>
                <w:sz w:val="20"/>
                <w:szCs w:val="20"/>
              </w:rPr>
              <w:t xml:space="preserve">. </w:t>
            </w:r>
            <w:r w:rsidR="00B62C85">
              <w:rPr>
                <w:noProof/>
                <w:sz w:val="20"/>
                <w:szCs w:val="20"/>
              </w:rPr>
              <w:t>G</w:t>
            </w:r>
            <w:r w:rsidR="00B62C85" w:rsidRPr="00B62C85">
              <w:rPr>
                <w:noProof/>
                <w:sz w:val="20"/>
                <w:szCs w:val="20"/>
              </w:rPr>
              <w:t>reater competition in the transport market would tend to lower prices and increase the quality and frequency of transport services</w:t>
            </w:r>
            <w:r w:rsidR="00D97767">
              <w:rPr>
                <w:noProof/>
                <w:sz w:val="20"/>
                <w:szCs w:val="20"/>
              </w:rPr>
              <w:t xml:space="preserve">. </w:t>
            </w:r>
          </w:p>
        </w:tc>
      </w:tr>
      <w:tr w:rsidR="005C2F7D" w:rsidRPr="00F92EAE" w14:paraId="601EC3D1" w14:textId="77777777" w:rsidTr="004A622B">
        <w:tc>
          <w:tcPr>
            <w:tcW w:w="1231" w:type="pct"/>
            <w:tcBorders>
              <w:top w:val="single" w:sz="4" w:space="0" w:color="auto"/>
              <w:bottom w:val="double" w:sz="4" w:space="0" w:color="auto"/>
            </w:tcBorders>
          </w:tcPr>
          <w:p w14:paraId="0D7DD5A9" w14:textId="2187F60F" w:rsidR="005C2F7D" w:rsidRDefault="005C2F7D" w:rsidP="001A0453">
            <w:pPr>
              <w:rPr>
                <w:noProof/>
                <w:sz w:val="20"/>
                <w:szCs w:val="20"/>
              </w:rPr>
            </w:pPr>
            <w:r>
              <w:rPr>
                <w:noProof/>
                <w:sz w:val="20"/>
                <w:szCs w:val="20"/>
              </w:rPr>
              <w:t xml:space="preserve">Increased competition </w:t>
            </w:r>
            <w:r w:rsidR="00972AD7">
              <w:rPr>
                <w:noProof/>
                <w:sz w:val="20"/>
                <w:szCs w:val="20"/>
              </w:rPr>
              <w:t>in the platform market</w:t>
            </w:r>
          </w:p>
        </w:tc>
        <w:tc>
          <w:tcPr>
            <w:tcW w:w="1981" w:type="pct"/>
            <w:tcBorders>
              <w:top w:val="single" w:sz="4" w:space="0" w:color="auto"/>
              <w:bottom w:val="double" w:sz="4" w:space="0" w:color="auto"/>
            </w:tcBorders>
            <w:tcMar>
              <w:top w:w="57" w:type="dxa"/>
              <w:left w:w="57" w:type="dxa"/>
              <w:bottom w:w="57" w:type="dxa"/>
              <w:right w:w="57" w:type="dxa"/>
            </w:tcMar>
          </w:tcPr>
          <w:p w14:paraId="2F7A5D02" w14:textId="4563EB68" w:rsidR="005C2F7D" w:rsidRDefault="007B48E3" w:rsidP="00886383">
            <w:pPr>
              <w:jc w:val="center"/>
              <w:rPr>
                <w:noProof/>
                <w:sz w:val="20"/>
                <w:szCs w:val="20"/>
              </w:rPr>
            </w:pPr>
            <w:r>
              <w:rPr>
                <w:noProof/>
                <w:sz w:val="20"/>
                <w:szCs w:val="20"/>
              </w:rPr>
              <w:t>n/a</w:t>
            </w:r>
          </w:p>
        </w:tc>
        <w:tc>
          <w:tcPr>
            <w:tcW w:w="1788" w:type="pct"/>
            <w:tcBorders>
              <w:top w:val="single" w:sz="4" w:space="0" w:color="auto"/>
              <w:bottom w:val="double" w:sz="4" w:space="0" w:color="auto"/>
            </w:tcBorders>
            <w:tcMar>
              <w:top w:w="57" w:type="dxa"/>
              <w:left w:w="57" w:type="dxa"/>
              <w:bottom w:w="57" w:type="dxa"/>
              <w:right w:w="57" w:type="dxa"/>
            </w:tcMar>
          </w:tcPr>
          <w:p w14:paraId="044EDA71" w14:textId="6D34F223" w:rsidR="005C2F7D" w:rsidRDefault="00972AD7" w:rsidP="001A0453">
            <w:pPr>
              <w:rPr>
                <w:noProof/>
                <w:sz w:val="20"/>
                <w:szCs w:val="20"/>
              </w:rPr>
            </w:pPr>
            <w:r>
              <w:rPr>
                <w:noProof/>
                <w:sz w:val="20"/>
                <w:szCs w:val="20"/>
              </w:rPr>
              <w:t>Benefits for citizens.</w:t>
            </w:r>
            <w:r w:rsidR="007E5C04" w:rsidRPr="007E5C04">
              <w:rPr>
                <w:rFonts w:ascii="Segoe UI" w:hAnsi="Segoe UI" w:cs="Segoe UI"/>
                <w:noProof/>
                <w:sz w:val="18"/>
                <w:szCs w:val="18"/>
              </w:rPr>
              <w:t xml:space="preserve"> </w:t>
            </w:r>
            <w:r w:rsidR="007E5C04" w:rsidRPr="007E5C04">
              <w:rPr>
                <w:noProof/>
                <w:sz w:val="20"/>
                <w:szCs w:val="20"/>
              </w:rPr>
              <w:t>Increased competition in the platform market would lead to greater innovation efforts, widening of services available on platforms, improvements in the overall ticketing experience, and possibly reduction of transaction costs for users</w:t>
            </w:r>
          </w:p>
        </w:tc>
      </w:tr>
      <w:tr w:rsidR="00E87AFA" w:rsidRPr="00F92EAE" w14:paraId="212E96C5" w14:textId="77777777" w:rsidTr="00472C93">
        <w:tc>
          <w:tcPr>
            <w:tcW w:w="5000" w:type="pct"/>
            <w:gridSpan w:val="3"/>
            <w:tcBorders>
              <w:bottom w:val="double" w:sz="4" w:space="0" w:color="auto"/>
            </w:tcBorders>
            <w:shd w:val="clear" w:color="auto" w:fill="F2F2F2" w:themeFill="background1" w:themeFillShade="F2"/>
          </w:tcPr>
          <w:p w14:paraId="69A2AF5E" w14:textId="77777777" w:rsidR="00E87AFA" w:rsidRPr="00F92EAE" w:rsidRDefault="00E87AFA" w:rsidP="001A0453">
            <w:pPr>
              <w:jc w:val="center"/>
              <w:rPr>
                <w:b/>
                <w:i/>
                <w:noProof/>
                <w:sz w:val="20"/>
              </w:rPr>
            </w:pPr>
            <w:r w:rsidRPr="00F92EAE">
              <w:rPr>
                <w:b/>
                <w:i/>
                <w:noProof/>
                <w:sz w:val="20"/>
              </w:rPr>
              <w:t>Indirect benefits</w:t>
            </w:r>
          </w:p>
        </w:tc>
      </w:tr>
      <w:tr w:rsidR="005769C0" w:rsidRPr="00F92EAE" w14:paraId="26888B8E" w14:textId="77777777" w:rsidTr="00472C93">
        <w:tc>
          <w:tcPr>
            <w:tcW w:w="1231" w:type="pct"/>
            <w:tcBorders>
              <w:top w:val="double" w:sz="4" w:space="0" w:color="auto"/>
              <w:bottom w:val="single" w:sz="4" w:space="0" w:color="auto"/>
            </w:tcBorders>
          </w:tcPr>
          <w:p w14:paraId="6163E3BE" w14:textId="662D1A65" w:rsidR="005769C0" w:rsidRPr="00DA1EDC" w:rsidRDefault="005769C0" w:rsidP="005769C0">
            <w:pPr>
              <w:rPr>
                <w:noProof/>
                <w:sz w:val="20"/>
              </w:rPr>
            </w:pPr>
            <w:r>
              <w:rPr>
                <w:noProof/>
                <w:sz w:val="20"/>
              </w:rPr>
              <w:t xml:space="preserve">Adjustment costs savings for SME MDMS platforms </w:t>
            </w:r>
            <w:r>
              <w:rPr>
                <w:noProof/>
                <w:sz w:val="20"/>
                <w:szCs w:val="20"/>
              </w:rPr>
              <w:t>(expressed as present value over 2028-2050, relative to the baseline)</w:t>
            </w:r>
          </w:p>
        </w:tc>
        <w:tc>
          <w:tcPr>
            <w:tcW w:w="1981" w:type="pct"/>
            <w:tcBorders>
              <w:top w:val="double" w:sz="4" w:space="0" w:color="auto"/>
              <w:bottom w:val="single" w:sz="4" w:space="0" w:color="auto"/>
            </w:tcBorders>
            <w:tcMar>
              <w:top w:w="57" w:type="dxa"/>
              <w:left w:w="57" w:type="dxa"/>
              <w:bottom w:w="57" w:type="dxa"/>
              <w:right w:w="57" w:type="dxa"/>
            </w:tcMar>
          </w:tcPr>
          <w:p w14:paraId="5024ECB4" w14:textId="1ABDEE40" w:rsidR="005769C0" w:rsidRDefault="005769C0" w:rsidP="005769C0">
            <w:pPr>
              <w:jc w:val="center"/>
              <w:rPr>
                <w:noProof/>
                <w:sz w:val="20"/>
              </w:rPr>
            </w:pPr>
            <w:r>
              <w:rPr>
                <w:noProof/>
                <w:sz w:val="20"/>
              </w:rPr>
              <w:t xml:space="preserve">EUR </w:t>
            </w:r>
            <w:r w:rsidRPr="008F5FCE">
              <w:rPr>
                <w:noProof/>
                <w:sz w:val="20"/>
              </w:rPr>
              <w:t>90.5</w:t>
            </w:r>
            <w:r>
              <w:rPr>
                <w:noProof/>
                <w:sz w:val="20"/>
              </w:rPr>
              <w:t xml:space="preserve"> million</w:t>
            </w:r>
          </w:p>
        </w:tc>
        <w:tc>
          <w:tcPr>
            <w:tcW w:w="1788" w:type="pct"/>
            <w:tcBorders>
              <w:top w:val="double" w:sz="4" w:space="0" w:color="auto"/>
              <w:bottom w:val="single" w:sz="4" w:space="0" w:color="auto"/>
            </w:tcBorders>
            <w:tcMar>
              <w:top w:w="57" w:type="dxa"/>
              <w:left w:w="57" w:type="dxa"/>
              <w:bottom w:w="57" w:type="dxa"/>
              <w:right w:w="57" w:type="dxa"/>
            </w:tcMar>
          </w:tcPr>
          <w:p w14:paraId="339998D2" w14:textId="110E61C5" w:rsidR="005769C0" w:rsidRPr="00304D16" w:rsidRDefault="005769C0" w:rsidP="005769C0">
            <w:pPr>
              <w:rPr>
                <w:noProof/>
                <w:sz w:val="20"/>
              </w:rPr>
            </w:pPr>
            <w:r>
              <w:rPr>
                <w:noProof/>
                <w:sz w:val="20"/>
              </w:rPr>
              <w:t>Adjustment costs savings for SME MDMS platforms d</w:t>
            </w:r>
            <w:r w:rsidRPr="00946686">
              <w:rPr>
                <w:noProof/>
                <w:sz w:val="20"/>
              </w:rPr>
              <w:t>ue to the introduction of commercial agreement rules for indispensable MDMS platforms (PM11) and indispensable RUs (PM12) with third parties that are expected to streamline the negotiation processes</w:t>
            </w:r>
            <w:r>
              <w:rPr>
                <w:noProof/>
                <w:sz w:val="20"/>
              </w:rPr>
              <w:t xml:space="preserve">. The adjustment costs savings are estimated at EUR </w:t>
            </w:r>
            <w:r w:rsidR="00396627">
              <w:rPr>
                <w:noProof/>
                <w:sz w:val="20"/>
              </w:rPr>
              <w:t>90.5</w:t>
            </w:r>
            <w:r>
              <w:rPr>
                <w:noProof/>
                <w:sz w:val="20"/>
              </w:rPr>
              <w:t xml:space="preserve"> million, expressed as present value over 2028-2050 relative to the baseline.  </w:t>
            </w:r>
          </w:p>
        </w:tc>
      </w:tr>
      <w:tr w:rsidR="00FF1DC0" w:rsidRPr="00F92EAE" w14:paraId="4A935A4F" w14:textId="77777777" w:rsidTr="00313BA6">
        <w:tc>
          <w:tcPr>
            <w:tcW w:w="1231" w:type="pct"/>
            <w:tcBorders>
              <w:top w:val="single" w:sz="4" w:space="0" w:color="auto"/>
            </w:tcBorders>
          </w:tcPr>
          <w:p w14:paraId="259C57EC" w14:textId="768EE3DB" w:rsidR="00FF1DC0" w:rsidRPr="00DA1EDC" w:rsidRDefault="00FF1DC0" w:rsidP="00FF1DC0">
            <w:pPr>
              <w:rPr>
                <w:noProof/>
                <w:sz w:val="20"/>
              </w:rPr>
            </w:pPr>
            <w:r>
              <w:rPr>
                <w:noProof/>
                <w:sz w:val="20"/>
              </w:rPr>
              <w:t xml:space="preserve">Adjustment costs savings for SME transport operators </w:t>
            </w:r>
            <w:r>
              <w:rPr>
                <w:noProof/>
                <w:sz w:val="20"/>
                <w:szCs w:val="20"/>
              </w:rPr>
              <w:t>(expressed as present value over 2028-2050, relative to the baseline)</w:t>
            </w:r>
          </w:p>
        </w:tc>
        <w:tc>
          <w:tcPr>
            <w:tcW w:w="1981" w:type="pct"/>
            <w:tcBorders>
              <w:top w:val="single" w:sz="4" w:space="0" w:color="auto"/>
            </w:tcBorders>
            <w:tcMar>
              <w:top w:w="57" w:type="dxa"/>
              <w:left w:w="57" w:type="dxa"/>
              <w:bottom w:w="57" w:type="dxa"/>
              <w:right w:w="57" w:type="dxa"/>
            </w:tcMar>
          </w:tcPr>
          <w:p w14:paraId="79E5BD5E" w14:textId="576C1EA1" w:rsidR="00FF1DC0" w:rsidRDefault="00FF1DC0" w:rsidP="00FF1DC0">
            <w:pPr>
              <w:jc w:val="center"/>
              <w:rPr>
                <w:noProof/>
                <w:sz w:val="20"/>
              </w:rPr>
            </w:pPr>
            <w:r>
              <w:rPr>
                <w:noProof/>
                <w:sz w:val="20"/>
              </w:rPr>
              <w:t xml:space="preserve">EUR </w:t>
            </w:r>
            <w:r w:rsidRPr="008F5FCE">
              <w:rPr>
                <w:noProof/>
                <w:sz w:val="20"/>
              </w:rPr>
              <w:t>9</w:t>
            </w:r>
            <w:r>
              <w:rPr>
                <w:noProof/>
                <w:sz w:val="20"/>
              </w:rPr>
              <w:t xml:space="preserve">6.1 million </w:t>
            </w:r>
          </w:p>
        </w:tc>
        <w:tc>
          <w:tcPr>
            <w:tcW w:w="1788" w:type="pct"/>
            <w:tcBorders>
              <w:top w:val="single" w:sz="4" w:space="0" w:color="auto"/>
            </w:tcBorders>
            <w:tcMar>
              <w:top w:w="57" w:type="dxa"/>
              <w:left w:w="57" w:type="dxa"/>
              <w:bottom w:w="57" w:type="dxa"/>
              <w:right w:w="57" w:type="dxa"/>
            </w:tcMar>
          </w:tcPr>
          <w:p w14:paraId="7D9EA7AC" w14:textId="556F6F13" w:rsidR="00FF1DC0" w:rsidRPr="00304D16" w:rsidRDefault="00FF1DC0" w:rsidP="00FF1DC0">
            <w:pPr>
              <w:rPr>
                <w:noProof/>
                <w:sz w:val="20"/>
              </w:rPr>
            </w:pPr>
            <w:r>
              <w:rPr>
                <w:noProof/>
                <w:sz w:val="20"/>
              </w:rPr>
              <w:t>Adjustment costs savings for SME transport operators d</w:t>
            </w:r>
            <w:r w:rsidRPr="00946686">
              <w:rPr>
                <w:noProof/>
                <w:sz w:val="20"/>
              </w:rPr>
              <w:t>ue to the introduction of commercial agreement rules for indispensable MDMS platforms (PM11) and indispensable RUs (PM12) with third parties that are expected to streamline the negotiation processes</w:t>
            </w:r>
            <w:r>
              <w:rPr>
                <w:noProof/>
                <w:sz w:val="20"/>
              </w:rPr>
              <w:t xml:space="preserve">. The adjustment costs savings are estimated at EUR 96.1 million, expressed as present value over 2028-2050 relative to the baseline.  </w:t>
            </w:r>
          </w:p>
        </w:tc>
      </w:tr>
      <w:tr w:rsidR="00E87AFA" w:rsidRPr="00F92EAE" w14:paraId="59FF23AA" w14:textId="77777777" w:rsidTr="00CF006C">
        <w:tc>
          <w:tcPr>
            <w:tcW w:w="1231" w:type="pct"/>
            <w:tcBorders>
              <w:top w:val="single" w:sz="4" w:space="0" w:color="auto"/>
            </w:tcBorders>
          </w:tcPr>
          <w:p w14:paraId="135AD371" w14:textId="049F907E" w:rsidR="00E87AFA" w:rsidRPr="00F92EAE" w:rsidRDefault="00DA1EDC" w:rsidP="001A0453">
            <w:pPr>
              <w:rPr>
                <w:noProof/>
                <w:sz w:val="20"/>
              </w:rPr>
            </w:pPr>
            <w:r w:rsidRPr="00DA1EDC">
              <w:rPr>
                <w:noProof/>
                <w:sz w:val="20"/>
              </w:rPr>
              <w:t>Reduction in CO2 emissions (cumulative over 202</w:t>
            </w:r>
            <w:r>
              <w:rPr>
                <w:noProof/>
                <w:sz w:val="20"/>
              </w:rPr>
              <w:t>8</w:t>
            </w:r>
            <w:r w:rsidRPr="00DA1EDC">
              <w:rPr>
                <w:noProof/>
                <w:sz w:val="20"/>
              </w:rPr>
              <w:t>-2050 relative to the baseline)</w:t>
            </w:r>
          </w:p>
        </w:tc>
        <w:tc>
          <w:tcPr>
            <w:tcW w:w="1981" w:type="pct"/>
            <w:tcBorders>
              <w:top w:val="single" w:sz="4" w:space="0" w:color="auto"/>
            </w:tcBorders>
            <w:tcMar>
              <w:top w:w="57" w:type="dxa"/>
              <w:left w:w="57" w:type="dxa"/>
              <w:bottom w:w="57" w:type="dxa"/>
              <w:right w:w="57" w:type="dxa"/>
            </w:tcMar>
          </w:tcPr>
          <w:p w14:paraId="1E6E61A8" w14:textId="2666C39C" w:rsidR="00E87AFA" w:rsidRPr="00F92EAE" w:rsidRDefault="00FA2D0D" w:rsidP="002B3321">
            <w:pPr>
              <w:jc w:val="center"/>
              <w:rPr>
                <w:noProof/>
                <w:sz w:val="20"/>
              </w:rPr>
            </w:pPr>
            <w:r>
              <w:rPr>
                <w:noProof/>
                <w:sz w:val="20"/>
              </w:rPr>
              <w:t>23.8</w:t>
            </w:r>
            <w:r w:rsidRPr="00FA2D0D">
              <w:rPr>
                <w:noProof/>
                <w:sz w:val="20"/>
              </w:rPr>
              <w:t xml:space="preserve"> million tonnes</w:t>
            </w:r>
            <w:r w:rsidR="00814AAB">
              <w:rPr>
                <w:noProof/>
                <w:sz w:val="20"/>
              </w:rPr>
              <w:t xml:space="preserve"> </w:t>
            </w:r>
            <w:r w:rsidR="00814AAB" w:rsidRPr="00E75148">
              <w:rPr>
                <w:noProof/>
                <w:sz w:val="20"/>
              </w:rPr>
              <w:t>saved over 202</w:t>
            </w:r>
            <w:r w:rsidR="00814AAB">
              <w:rPr>
                <w:noProof/>
                <w:sz w:val="20"/>
              </w:rPr>
              <w:t>8</w:t>
            </w:r>
            <w:r w:rsidR="00814AAB" w:rsidRPr="00E75148">
              <w:rPr>
                <w:noProof/>
                <w:sz w:val="20"/>
              </w:rPr>
              <w:t>-2050 relative to the baseline</w:t>
            </w:r>
          </w:p>
        </w:tc>
        <w:tc>
          <w:tcPr>
            <w:tcW w:w="1788" w:type="pct"/>
            <w:tcBorders>
              <w:top w:val="single" w:sz="4" w:space="0" w:color="auto"/>
            </w:tcBorders>
            <w:tcMar>
              <w:top w:w="57" w:type="dxa"/>
              <w:left w:w="57" w:type="dxa"/>
              <w:bottom w:w="57" w:type="dxa"/>
              <w:right w:w="57" w:type="dxa"/>
            </w:tcMar>
          </w:tcPr>
          <w:p w14:paraId="0BA52813" w14:textId="3AD831F4" w:rsidR="00E87AFA" w:rsidRPr="00F92EAE" w:rsidRDefault="00304D16" w:rsidP="001A0453">
            <w:pPr>
              <w:rPr>
                <w:noProof/>
                <w:sz w:val="20"/>
              </w:rPr>
            </w:pPr>
            <w:r w:rsidRPr="00304D16">
              <w:rPr>
                <w:noProof/>
                <w:sz w:val="20"/>
              </w:rPr>
              <w:t>Indirect benefit to society at large. The reduction in CO</w:t>
            </w:r>
            <w:r w:rsidRPr="002B3321">
              <w:rPr>
                <w:noProof/>
                <w:sz w:val="20"/>
                <w:vertAlign w:val="subscript"/>
              </w:rPr>
              <w:t>2</w:t>
            </w:r>
            <w:r w:rsidRPr="00304D16">
              <w:rPr>
                <w:noProof/>
                <w:sz w:val="20"/>
              </w:rPr>
              <w:t xml:space="preserve"> emissions is estimated at </w:t>
            </w:r>
            <w:r w:rsidR="00BB4304">
              <w:rPr>
                <w:noProof/>
                <w:sz w:val="20"/>
              </w:rPr>
              <w:t>23.8</w:t>
            </w:r>
            <w:r w:rsidRPr="00304D16">
              <w:rPr>
                <w:noProof/>
                <w:sz w:val="20"/>
              </w:rPr>
              <w:t xml:space="preserve"> million tonnes, cumulatively over 202</w:t>
            </w:r>
            <w:r w:rsidR="00BB4304">
              <w:rPr>
                <w:noProof/>
                <w:sz w:val="20"/>
              </w:rPr>
              <w:t>8</w:t>
            </w:r>
            <w:r w:rsidRPr="00304D16">
              <w:rPr>
                <w:noProof/>
                <w:sz w:val="20"/>
              </w:rPr>
              <w:t>-2050 relative to the baseline.</w:t>
            </w:r>
          </w:p>
        </w:tc>
      </w:tr>
      <w:tr w:rsidR="00E87AFA" w:rsidRPr="00F92EAE" w14:paraId="5792982A" w14:textId="77777777" w:rsidTr="005C3A3A">
        <w:tc>
          <w:tcPr>
            <w:tcW w:w="1231" w:type="pct"/>
          </w:tcPr>
          <w:p w14:paraId="2C080487" w14:textId="4FAC205F" w:rsidR="00E87AFA" w:rsidRPr="00F92EAE" w:rsidRDefault="003B2559" w:rsidP="001A0453">
            <w:pPr>
              <w:rPr>
                <w:noProof/>
                <w:sz w:val="20"/>
              </w:rPr>
            </w:pPr>
            <w:r w:rsidRPr="003B2559">
              <w:rPr>
                <w:noProof/>
                <w:sz w:val="20"/>
              </w:rPr>
              <w:t>Savings in external costs of CO</w:t>
            </w:r>
            <w:r w:rsidRPr="002B3321">
              <w:rPr>
                <w:noProof/>
                <w:sz w:val="20"/>
                <w:vertAlign w:val="subscript"/>
              </w:rPr>
              <w:t>2</w:t>
            </w:r>
            <w:r w:rsidRPr="003B2559">
              <w:rPr>
                <w:noProof/>
                <w:sz w:val="20"/>
              </w:rPr>
              <w:t xml:space="preserve"> emissions</w:t>
            </w:r>
            <w:r w:rsidR="0086400D">
              <w:rPr>
                <w:noProof/>
                <w:sz w:val="20"/>
              </w:rPr>
              <w:t xml:space="preserve"> (</w:t>
            </w:r>
            <w:r w:rsidRPr="003B2559">
              <w:rPr>
                <w:noProof/>
                <w:sz w:val="20"/>
              </w:rPr>
              <w:t>expressed as present value over 202</w:t>
            </w:r>
            <w:r>
              <w:rPr>
                <w:noProof/>
                <w:sz w:val="20"/>
              </w:rPr>
              <w:t>8</w:t>
            </w:r>
            <w:r w:rsidRPr="003B2559">
              <w:rPr>
                <w:noProof/>
                <w:sz w:val="20"/>
              </w:rPr>
              <w:t>-2050 relative to the baseline</w:t>
            </w:r>
            <w:r w:rsidR="0086400D">
              <w:rPr>
                <w:noProof/>
                <w:sz w:val="20"/>
              </w:rPr>
              <w:t>)</w:t>
            </w:r>
          </w:p>
        </w:tc>
        <w:tc>
          <w:tcPr>
            <w:tcW w:w="1981" w:type="pct"/>
            <w:tcMar>
              <w:top w:w="57" w:type="dxa"/>
              <w:left w:w="57" w:type="dxa"/>
              <w:bottom w:w="57" w:type="dxa"/>
              <w:right w:w="57" w:type="dxa"/>
            </w:tcMar>
          </w:tcPr>
          <w:p w14:paraId="4AA28BBB" w14:textId="37F3D0F6" w:rsidR="00E87AFA" w:rsidRPr="00F92EAE" w:rsidRDefault="001C5F14" w:rsidP="002B3321">
            <w:pPr>
              <w:jc w:val="center"/>
              <w:rPr>
                <w:noProof/>
                <w:sz w:val="20"/>
              </w:rPr>
            </w:pPr>
            <w:r>
              <w:rPr>
                <w:noProof/>
                <w:sz w:val="20"/>
              </w:rPr>
              <w:t>EUR 6.8 billion</w:t>
            </w:r>
          </w:p>
        </w:tc>
        <w:tc>
          <w:tcPr>
            <w:tcW w:w="1788" w:type="pct"/>
            <w:tcMar>
              <w:top w:w="57" w:type="dxa"/>
              <w:left w:w="57" w:type="dxa"/>
              <w:bottom w:w="57" w:type="dxa"/>
              <w:right w:w="57" w:type="dxa"/>
            </w:tcMar>
          </w:tcPr>
          <w:p w14:paraId="58D752DC" w14:textId="666E909D" w:rsidR="00E87AFA" w:rsidRPr="00F92EAE" w:rsidRDefault="00641644" w:rsidP="001A0453">
            <w:pPr>
              <w:rPr>
                <w:noProof/>
                <w:sz w:val="20"/>
              </w:rPr>
            </w:pPr>
            <w:r w:rsidRPr="00641644">
              <w:rPr>
                <w:noProof/>
                <w:sz w:val="20"/>
              </w:rPr>
              <w:t>Indirect benefit to society at large. Savings in external costs of CO</w:t>
            </w:r>
            <w:r w:rsidRPr="002B3321">
              <w:rPr>
                <w:noProof/>
                <w:sz w:val="20"/>
                <w:vertAlign w:val="subscript"/>
              </w:rPr>
              <w:t>2</w:t>
            </w:r>
            <w:r w:rsidRPr="00641644">
              <w:rPr>
                <w:noProof/>
                <w:sz w:val="20"/>
              </w:rPr>
              <w:t xml:space="preserve"> emissions due to the </w:t>
            </w:r>
            <w:r>
              <w:rPr>
                <w:noProof/>
                <w:sz w:val="20"/>
              </w:rPr>
              <w:t>modal shift</w:t>
            </w:r>
            <w:r w:rsidRPr="00641644">
              <w:rPr>
                <w:noProof/>
                <w:sz w:val="20"/>
              </w:rPr>
              <w:t>. The savings in external costs of CO2 emissions are estimated at EUR 6.8 billion expressed as present value over 202</w:t>
            </w:r>
            <w:r>
              <w:rPr>
                <w:noProof/>
                <w:sz w:val="20"/>
              </w:rPr>
              <w:t>8</w:t>
            </w:r>
            <w:r w:rsidRPr="00641644">
              <w:rPr>
                <w:noProof/>
                <w:sz w:val="20"/>
              </w:rPr>
              <w:t>-2050 relative to the baseline.</w:t>
            </w:r>
          </w:p>
        </w:tc>
      </w:tr>
      <w:tr w:rsidR="002B3321" w:rsidRPr="00F92EAE" w14:paraId="51E60152" w14:textId="77777777" w:rsidTr="003E1A47">
        <w:tc>
          <w:tcPr>
            <w:tcW w:w="1231" w:type="pct"/>
            <w:tcBorders>
              <w:bottom w:val="single" w:sz="4" w:space="0" w:color="auto"/>
            </w:tcBorders>
          </w:tcPr>
          <w:p w14:paraId="6D59C8A8" w14:textId="560060F2" w:rsidR="002B3321" w:rsidRPr="00F92EAE" w:rsidRDefault="003E1A47" w:rsidP="001A0453">
            <w:pPr>
              <w:rPr>
                <w:noProof/>
                <w:sz w:val="20"/>
              </w:rPr>
            </w:pPr>
            <w:r w:rsidRPr="00DA1EDC">
              <w:rPr>
                <w:noProof/>
                <w:sz w:val="20"/>
              </w:rPr>
              <w:t xml:space="preserve">Reduction in </w:t>
            </w:r>
            <w:r>
              <w:rPr>
                <w:noProof/>
                <w:sz w:val="20"/>
              </w:rPr>
              <w:t>air pollutant</w:t>
            </w:r>
            <w:r w:rsidRPr="00DA1EDC">
              <w:rPr>
                <w:noProof/>
                <w:sz w:val="20"/>
              </w:rPr>
              <w:t xml:space="preserve"> emissions (cumulative over 202</w:t>
            </w:r>
            <w:r>
              <w:rPr>
                <w:noProof/>
                <w:sz w:val="20"/>
              </w:rPr>
              <w:t>8</w:t>
            </w:r>
            <w:r w:rsidRPr="00DA1EDC">
              <w:rPr>
                <w:noProof/>
                <w:sz w:val="20"/>
              </w:rPr>
              <w:t>-2050 relative to the baseline)</w:t>
            </w:r>
          </w:p>
        </w:tc>
        <w:tc>
          <w:tcPr>
            <w:tcW w:w="1981" w:type="pct"/>
            <w:tcBorders>
              <w:bottom w:val="single" w:sz="4" w:space="0" w:color="auto"/>
            </w:tcBorders>
            <w:tcMar>
              <w:top w:w="57" w:type="dxa"/>
              <w:left w:w="57" w:type="dxa"/>
              <w:bottom w:w="57" w:type="dxa"/>
              <w:right w:w="57" w:type="dxa"/>
            </w:tcMar>
          </w:tcPr>
          <w:p w14:paraId="111203FD" w14:textId="3AC69542" w:rsidR="00814AAB" w:rsidRDefault="00814AAB" w:rsidP="00D17F6A">
            <w:pPr>
              <w:jc w:val="center"/>
              <w:rPr>
                <w:noProof/>
                <w:sz w:val="20"/>
              </w:rPr>
            </w:pPr>
            <w:r>
              <w:rPr>
                <w:noProof/>
                <w:sz w:val="20"/>
              </w:rPr>
              <w:t>23.9</w:t>
            </w:r>
            <w:r w:rsidRPr="00E75148">
              <w:rPr>
                <w:noProof/>
                <w:sz w:val="20"/>
              </w:rPr>
              <w:t xml:space="preserve"> </w:t>
            </w:r>
            <w:r>
              <w:rPr>
                <w:noProof/>
                <w:sz w:val="20"/>
              </w:rPr>
              <w:t>thousand tonnes</w:t>
            </w:r>
            <w:r w:rsidRPr="00E75148">
              <w:rPr>
                <w:noProof/>
                <w:sz w:val="20"/>
              </w:rPr>
              <w:t xml:space="preserve"> of </w:t>
            </w:r>
            <w:r>
              <w:rPr>
                <w:noProof/>
                <w:sz w:val="20"/>
              </w:rPr>
              <w:t>NOx</w:t>
            </w:r>
            <w:r w:rsidRPr="00E75148">
              <w:rPr>
                <w:noProof/>
                <w:sz w:val="20"/>
              </w:rPr>
              <w:t xml:space="preserve"> saved over 202</w:t>
            </w:r>
            <w:r>
              <w:rPr>
                <w:noProof/>
                <w:sz w:val="20"/>
              </w:rPr>
              <w:t>8</w:t>
            </w:r>
            <w:r w:rsidRPr="00E75148">
              <w:rPr>
                <w:noProof/>
                <w:sz w:val="20"/>
              </w:rPr>
              <w:t>-2050 relative to the baseline</w:t>
            </w:r>
          </w:p>
          <w:p w14:paraId="4895B7D4" w14:textId="77777777" w:rsidR="002B3321" w:rsidRDefault="002B3321" w:rsidP="00814AAB">
            <w:pPr>
              <w:jc w:val="center"/>
              <w:rPr>
                <w:noProof/>
                <w:sz w:val="20"/>
              </w:rPr>
            </w:pPr>
          </w:p>
          <w:p w14:paraId="2873BAC9" w14:textId="4E952B0F" w:rsidR="004156C5" w:rsidRPr="00F92EAE" w:rsidRDefault="004156C5" w:rsidP="00D17F6A">
            <w:pPr>
              <w:jc w:val="center"/>
              <w:rPr>
                <w:noProof/>
                <w:sz w:val="20"/>
              </w:rPr>
            </w:pPr>
            <w:r>
              <w:rPr>
                <w:noProof/>
                <w:sz w:val="20"/>
              </w:rPr>
              <w:t>1.5</w:t>
            </w:r>
            <w:r w:rsidRPr="00E75148">
              <w:rPr>
                <w:noProof/>
                <w:sz w:val="20"/>
              </w:rPr>
              <w:t xml:space="preserve"> </w:t>
            </w:r>
            <w:r>
              <w:rPr>
                <w:noProof/>
                <w:sz w:val="20"/>
              </w:rPr>
              <w:t>thousand tonnes</w:t>
            </w:r>
            <w:r w:rsidRPr="00E75148">
              <w:rPr>
                <w:noProof/>
                <w:sz w:val="20"/>
              </w:rPr>
              <w:t xml:space="preserve"> of </w:t>
            </w:r>
            <w:r>
              <w:rPr>
                <w:noProof/>
                <w:sz w:val="20"/>
              </w:rPr>
              <w:t>PM2.5</w:t>
            </w:r>
            <w:r w:rsidRPr="00E75148">
              <w:rPr>
                <w:noProof/>
                <w:sz w:val="20"/>
              </w:rPr>
              <w:t xml:space="preserve"> saved over 202</w:t>
            </w:r>
            <w:r>
              <w:rPr>
                <w:noProof/>
                <w:sz w:val="20"/>
              </w:rPr>
              <w:t>8</w:t>
            </w:r>
            <w:r w:rsidRPr="00E75148">
              <w:rPr>
                <w:noProof/>
                <w:sz w:val="20"/>
              </w:rPr>
              <w:t>-2050 relative to the baseline</w:t>
            </w:r>
          </w:p>
        </w:tc>
        <w:tc>
          <w:tcPr>
            <w:tcW w:w="1788" w:type="pct"/>
            <w:tcBorders>
              <w:bottom w:val="single" w:sz="4" w:space="0" w:color="auto"/>
            </w:tcBorders>
            <w:tcMar>
              <w:top w:w="57" w:type="dxa"/>
              <w:left w:w="57" w:type="dxa"/>
              <w:bottom w:w="57" w:type="dxa"/>
              <w:right w:w="57" w:type="dxa"/>
            </w:tcMar>
          </w:tcPr>
          <w:p w14:paraId="7AD17E44" w14:textId="27779534" w:rsidR="002B3321" w:rsidRPr="00F92EAE" w:rsidRDefault="0086400D" w:rsidP="001A0453">
            <w:pPr>
              <w:rPr>
                <w:noProof/>
                <w:sz w:val="20"/>
              </w:rPr>
            </w:pPr>
            <w:r w:rsidRPr="00304D16">
              <w:rPr>
                <w:noProof/>
                <w:sz w:val="20"/>
              </w:rPr>
              <w:t xml:space="preserve">Indirect benefit to society at large. The reduction in </w:t>
            </w:r>
            <w:r>
              <w:rPr>
                <w:noProof/>
                <w:sz w:val="20"/>
              </w:rPr>
              <w:t>NOx</w:t>
            </w:r>
            <w:r w:rsidRPr="00304D16">
              <w:rPr>
                <w:noProof/>
                <w:sz w:val="20"/>
              </w:rPr>
              <w:t xml:space="preserve"> emissions is estimated at </w:t>
            </w:r>
            <w:r>
              <w:rPr>
                <w:noProof/>
                <w:sz w:val="20"/>
              </w:rPr>
              <w:t>23.9</w:t>
            </w:r>
            <w:r w:rsidRPr="00304D16">
              <w:rPr>
                <w:noProof/>
                <w:sz w:val="20"/>
              </w:rPr>
              <w:t xml:space="preserve"> </w:t>
            </w:r>
            <w:r>
              <w:rPr>
                <w:noProof/>
                <w:sz w:val="20"/>
              </w:rPr>
              <w:t>thousand</w:t>
            </w:r>
            <w:r w:rsidRPr="00304D16">
              <w:rPr>
                <w:noProof/>
                <w:sz w:val="20"/>
              </w:rPr>
              <w:t xml:space="preserve"> tonnes, cumulatively over 202</w:t>
            </w:r>
            <w:r>
              <w:rPr>
                <w:noProof/>
                <w:sz w:val="20"/>
              </w:rPr>
              <w:t>8</w:t>
            </w:r>
            <w:r w:rsidRPr="00304D16">
              <w:rPr>
                <w:noProof/>
                <w:sz w:val="20"/>
              </w:rPr>
              <w:t>-2050 relative to the baseline</w:t>
            </w:r>
            <w:r>
              <w:rPr>
                <w:noProof/>
                <w:sz w:val="20"/>
              </w:rPr>
              <w:t>, while the reduction in particulate matter (PM2.5) emissions at 1.5</w:t>
            </w:r>
            <w:r w:rsidRPr="00E75148">
              <w:rPr>
                <w:noProof/>
                <w:sz w:val="20"/>
              </w:rPr>
              <w:t xml:space="preserve"> </w:t>
            </w:r>
            <w:r>
              <w:rPr>
                <w:noProof/>
                <w:sz w:val="20"/>
              </w:rPr>
              <w:t xml:space="preserve">thousand tonnes over the same period. </w:t>
            </w:r>
          </w:p>
        </w:tc>
      </w:tr>
      <w:tr w:rsidR="008A3B40" w:rsidRPr="00F92EAE" w14:paraId="66209ED5" w14:textId="77777777" w:rsidTr="003E1A47">
        <w:tc>
          <w:tcPr>
            <w:tcW w:w="1231" w:type="pct"/>
            <w:tcBorders>
              <w:top w:val="single" w:sz="4" w:space="0" w:color="auto"/>
              <w:bottom w:val="single" w:sz="4" w:space="0" w:color="auto"/>
            </w:tcBorders>
          </w:tcPr>
          <w:p w14:paraId="556F024C" w14:textId="7086BFCD" w:rsidR="008A3B40" w:rsidRPr="00F92EAE" w:rsidRDefault="008A3B40" w:rsidP="008A3B40">
            <w:pPr>
              <w:rPr>
                <w:noProof/>
                <w:sz w:val="20"/>
              </w:rPr>
            </w:pPr>
            <w:r w:rsidRPr="003B2559">
              <w:rPr>
                <w:noProof/>
                <w:sz w:val="20"/>
              </w:rPr>
              <w:t xml:space="preserve">Savings in external costs of </w:t>
            </w:r>
            <w:r>
              <w:rPr>
                <w:noProof/>
                <w:sz w:val="20"/>
              </w:rPr>
              <w:t>air pollutant</w:t>
            </w:r>
            <w:r w:rsidRPr="003B2559">
              <w:rPr>
                <w:noProof/>
                <w:sz w:val="20"/>
              </w:rPr>
              <w:t xml:space="preserve"> emissions</w:t>
            </w:r>
            <w:r>
              <w:rPr>
                <w:noProof/>
                <w:sz w:val="20"/>
              </w:rPr>
              <w:t xml:space="preserve"> (</w:t>
            </w:r>
            <w:r w:rsidRPr="003B2559">
              <w:rPr>
                <w:noProof/>
                <w:sz w:val="20"/>
              </w:rPr>
              <w:t>expressed as present value over 202</w:t>
            </w:r>
            <w:r>
              <w:rPr>
                <w:noProof/>
                <w:sz w:val="20"/>
              </w:rPr>
              <w:t>8</w:t>
            </w:r>
            <w:r w:rsidRPr="003B2559">
              <w:rPr>
                <w:noProof/>
                <w:sz w:val="20"/>
              </w:rPr>
              <w:t>-2050 relative to the baseline</w:t>
            </w:r>
            <w:r>
              <w:rPr>
                <w:noProof/>
                <w:sz w:val="20"/>
              </w:rPr>
              <w:t>)</w:t>
            </w:r>
          </w:p>
        </w:tc>
        <w:tc>
          <w:tcPr>
            <w:tcW w:w="1981" w:type="pct"/>
            <w:tcBorders>
              <w:top w:val="single" w:sz="4" w:space="0" w:color="auto"/>
              <w:bottom w:val="single" w:sz="4" w:space="0" w:color="auto"/>
            </w:tcBorders>
            <w:tcMar>
              <w:top w:w="57" w:type="dxa"/>
              <w:left w:w="57" w:type="dxa"/>
              <w:bottom w:w="57" w:type="dxa"/>
              <w:right w:w="57" w:type="dxa"/>
            </w:tcMar>
          </w:tcPr>
          <w:p w14:paraId="1EB80EFA" w14:textId="43744190" w:rsidR="008A3B40" w:rsidRPr="00F92EAE" w:rsidRDefault="008A3B40" w:rsidP="00D17F6A">
            <w:pPr>
              <w:jc w:val="center"/>
              <w:rPr>
                <w:noProof/>
                <w:sz w:val="20"/>
              </w:rPr>
            </w:pPr>
            <w:r w:rsidRPr="00312034">
              <w:rPr>
                <w:noProof/>
                <w:sz w:val="20"/>
              </w:rPr>
              <w:t xml:space="preserve">EUR </w:t>
            </w:r>
            <w:r>
              <w:rPr>
                <w:noProof/>
                <w:sz w:val="20"/>
              </w:rPr>
              <w:t>0.7</w:t>
            </w:r>
            <w:r w:rsidRPr="00312034">
              <w:rPr>
                <w:noProof/>
                <w:sz w:val="20"/>
              </w:rPr>
              <w:t xml:space="preserve"> billion</w:t>
            </w:r>
          </w:p>
        </w:tc>
        <w:tc>
          <w:tcPr>
            <w:tcW w:w="1788" w:type="pct"/>
            <w:tcBorders>
              <w:top w:val="single" w:sz="4" w:space="0" w:color="auto"/>
              <w:bottom w:val="single" w:sz="4" w:space="0" w:color="auto"/>
            </w:tcBorders>
            <w:tcMar>
              <w:top w:w="57" w:type="dxa"/>
              <w:left w:w="57" w:type="dxa"/>
              <w:bottom w:w="57" w:type="dxa"/>
              <w:right w:w="57" w:type="dxa"/>
            </w:tcMar>
          </w:tcPr>
          <w:p w14:paraId="16235FD8" w14:textId="5D0A1D19" w:rsidR="008A3B40" w:rsidRPr="00F92EAE" w:rsidRDefault="008A3B40" w:rsidP="008A3B40">
            <w:pPr>
              <w:rPr>
                <w:noProof/>
                <w:sz w:val="20"/>
              </w:rPr>
            </w:pPr>
            <w:r w:rsidRPr="00641644">
              <w:rPr>
                <w:noProof/>
                <w:sz w:val="20"/>
              </w:rPr>
              <w:t xml:space="preserve">Indirect benefit to society at large. Savings in external costs of </w:t>
            </w:r>
            <w:r>
              <w:rPr>
                <w:noProof/>
                <w:sz w:val="20"/>
              </w:rPr>
              <w:t>air pollutant</w:t>
            </w:r>
            <w:r w:rsidRPr="00641644">
              <w:rPr>
                <w:noProof/>
                <w:sz w:val="20"/>
              </w:rPr>
              <w:t xml:space="preserve"> emissions due to the </w:t>
            </w:r>
            <w:r>
              <w:rPr>
                <w:noProof/>
                <w:sz w:val="20"/>
              </w:rPr>
              <w:t>modal shift</w:t>
            </w:r>
            <w:r w:rsidRPr="00641644">
              <w:rPr>
                <w:noProof/>
                <w:sz w:val="20"/>
              </w:rPr>
              <w:t xml:space="preserve">. The savings in external costs of </w:t>
            </w:r>
            <w:r>
              <w:rPr>
                <w:noProof/>
                <w:sz w:val="20"/>
              </w:rPr>
              <w:t xml:space="preserve">air pollutant </w:t>
            </w:r>
            <w:r w:rsidRPr="00641644">
              <w:rPr>
                <w:noProof/>
                <w:sz w:val="20"/>
              </w:rPr>
              <w:t xml:space="preserve">emissions are estimated at EUR </w:t>
            </w:r>
            <w:r>
              <w:rPr>
                <w:noProof/>
                <w:sz w:val="20"/>
              </w:rPr>
              <w:t>0.7</w:t>
            </w:r>
            <w:r w:rsidRPr="00641644">
              <w:rPr>
                <w:noProof/>
                <w:sz w:val="20"/>
              </w:rPr>
              <w:t xml:space="preserve"> billion expressed as present value over 202</w:t>
            </w:r>
            <w:r>
              <w:rPr>
                <w:noProof/>
                <w:sz w:val="20"/>
              </w:rPr>
              <w:t>8</w:t>
            </w:r>
            <w:r w:rsidRPr="00641644">
              <w:rPr>
                <w:noProof/>
                <w:sz w:val="20"/>
              </w:rPr>
              <w:t>-2050 relative to the baseline.</w:t>
            </w:r>
          </w:p>
        </w:tc>
      </w:tr>
      <w:tr w:rsidR="00C12D5B" w:rsidRPr="00F92EAE" w14:paraId="00664A91" w14:textId="77777777" w:rsidTr="003E1A47">
        <w:tc>
          <w:tcPr>
            <w:tcW w:w="1231" w:type="pct"/>
            <w:tcBorders>
              <w:top w:val="single" w:sz="4" w:space="0" w:color="auto"/>
              <w:bottom w:val="single" w:sz="4" w:space="0" w:color="auto"/>
            </w:tcBorders>
          </w:tcPr>
          <w:p w14:paraId="6609F835" w14:textId="4E803620" w:rsidR="00C12D5B" w:rsidRPr="00F92EAE" w:rsidRDefault="00C12D5B" w:rsidP="00C12D5B">
            <w:pPr>
              <w:rPr>
                <w:noProof/>
                <w:sz w:val="20"/>
              </w:rPr>
            </w:pPr>
            <w:r w:rsidRPr="003B2559">
              <w:rPr>
                <w:noProof/>
                <w:sz w:val="20"/>
              </w:rPr>
              <w:t xml:space="preserve">Savings in external costs of </w:t>
            </w:r>
            <w:r w:rsidR="00202C8D">
              <w:rPr>
                <w:noProof/>
                <w:sz w:val="20"/>
              </w:rPr>
              <w:t>noise</w:t>
            </w:r>
            <w:r w:rsidRPr="003B2559">
              <w:rPr>
                <w:noProof/>
                <w:sz w:val="20"/>
              </w:rPr>
              <w:t xml:space="preserve"> emissions</w:t>
            </w:r>
            <w:r>
              <w:rPr>
                <w:noProof/>
                <w:sz w:val="20"/>
              </w:rPr>
              <w:t xml:space="preserve"> (</w:t>
            </w:r>
            <w:r w:rsidRPr="003B2559">
              <w:rPr>
                <w:noProof/>
                <w:sz w:val="20"/>
              </w:rPr>
              <w:t>expressed as present value over 202</w:t>
            </w:r>
            <w:r>
              <w:rPr>
                <w:noProof/>
                <w:sz w:val="20"/>
              </w:rPr>
              <w:t>8</w:t>
            </w:r>
            <w:r w:rsidRPr="003B2559">
              <w:rPr>
                <w:noProof/>
                <w:sz w:val="20"/>
              </w:rPr>
              <w:t>-2050 relative to the baseline</w:t>
            </w:r>
            <w:r>
              <w:rPr>
                <w:noProof/>
                <w:sz w:val="20"/>
              </w:rPr>
              <w:t>)</w:t>
            </w:r>
          </w:p>
        </w:tc>
        <w:tc>
          <w:tcPr>
            <w:tcW w:w="1981" w:type="pct"/>
            <w:tcBorders>
              <w:top w:val="single" w:sz="4" w:space="0" w:color="auto"/>
              <w:bottom w:val="single" w:sz="4" w:space="0" w:color="auto"/>
            </w:tcBorders>
            <w:tcMar>
              <w:top w:w="57" w:type="dxa"/>
              <w:left w:w="57" w:type="dxa"/>
              <w:bottom w:w="57" w:type="dxa"/>
              <w:right w:w="57" w:type="dxa"/>
            </w:tcMar>
          </w:tcPr>
          <w:p w14:paraId="2783E5F1" w14:textId="5F1355C2" w:rsidR="00C12D5B" w:rsidRPr="00F92EAE" w:rsidRDefault="00C12D5B" w:rsidP="00D17F6A">
            <w:pPr>
              <w:jc w:val="center"/>
              <w:rPr>
                <w:noProof/>
                <w:sz w:val="20"/>
              </w:rPr>
            </w:pPr>
            <w:r w:rsidRPr="00312034">
              <w:rPr>
                <w:noProof/>
                <w:sz w:val="20"/>
              </w:rPr>
              <w:t xml:space="preserve">EUR </w:t>
            </w:r>
            <w:r w:rsidR="00202C8D">
              <w:rPr>
                <w:noProof/>
                <w:sz w:val="20"/>
              </w:rPr>
              <w:t>2.1</w:t>
            </w:r>
            <w:r w:rsidRPr="00312034">
              <w:rPr>
                <w:noProof/>
                <w:sz w:val="20"/>
              </w:rPr>
              <w:t xml:space="preserve"> billion</w:t>
            </w:r>
          </w:p>
        </w:tc>
        <w:tc>
          <w:tcPr>
            <w:tcW w:w="1788" w:type="pct"/>
            <w:tcBorders>
              <w:top w:val="single" w:sz="4" w:space="0" w:color="auto"/>
              <w:bottom w:val="single" w:sz="4" w:space="0" w:color="auto"/>
            </w:tcBorders>
            <w:tcMar>
              <w:top w:w="57" w:type="dxa"/>
              <w:left w:w="57" w:type="dxa"/>
              <w:bottom w:w="57" w:type="dxa"/>
              <w:right w:w="57" w:type="dxa"/>
            </w:tcMar>
          </w:tcPr>
          <w:p w14:paraId="0A191C7B" w14:textId="138E2E9D" w:rsidR="00C12D5B" w:rsidRPr="00F92EAE" w:rsidRDefault="00C12D5B" w:rsidP="00C12D5B">
            <w:pPr>
              <w:rPr>
                <w:noProof/>
                <w:sz w:val="20"/>
              </w:rPr>
            </w:pPr>
            <w:r w:rsidRPr="00641644">
              <w:rPr>
                <w:noProof/>
                <w:sz w:val="20"/>
              </w:rPr>
              <w:t xml:space="preserve">Indirect benefit to society at large. Savings in external costs of </w:t>
            </w:r>
            <w:r w:rsidR="00923DF6">
              <w:rPr>
                <w:noProof/>
                <w:sz w:val="20"/>
              </w:rPr>
              <w:t>noise</w:t>
            </w:r>
            <w:r w:rsidRPr="00641644">
              <w:rPr>
                <w:noProof/>
                <w:sz w:val="20"/>
              </w:rPr>
              <w:t xml:space="preserve"> emissions due to the </w:t>
            </w:r>
            <w:r>
              <w:rPr>
                <w:noProof/>
                <w:sz w:val="20"/>
              </w:rPr>
              <w:t>modal shift</w:t>
            </w:r>
            <w:r w:rsidRPr="00641644">
              <w:rPr>
                <w:noProof/>
                <w:sz w:val="20"/>
              </w:rPr>
              <w:t xml:space="preserve">. The savings in external costs of </w:t>
            </w:r>
            <w:r w:rsidR="00923DF6">
              <w:rPr>
                <w:noProof/>
                <w:sz w:val="20"/>
              </w:rPr>
              <w:t>noise</w:t>
            </w:r>
            <w:r>
              <w:rPr>
                <w:noProof/>
                <w:sz w:val="20"/>
              </w:rPr>
              <w:t xml:space="preserve"> </w:t>
            </w:r>
            <w:r w:rsidRPr="00641644">
              <w:rPr>
                <w:noProof/>
                <w:sz w:val="20"/>
              </w:rPr>
              <w:t xml:space="preserve">emissions are estimated at EUR </w:t>
            </w:r>
            <w:r w:rsidR="00923DF6">
              <w:rPr>
                <w:noProof/>
                <w:sz w:val="20"/>
              </w:rPr>
              <w:t>2.1</w:t>
            </w:r>
            <w:r w:rsidRPr="00641644">
              <w:rPr>
                <w:noProof/>
                <w:sz w:val="20"/>
              </w:rPr>
              <w:t xml:space="preserve"> billion expressed as present value over 202</w:t>
            </w:r>
            <w:r>
              <w:rPr>
                <w:noProof/>
                <w:sz w:val="20"/>
              </w:rPr>
              <w:t>8</w:t>
            </w:r>
            <w:r w:rsidRPr="00641644">
              <w:rPr>
                <w:noProof/>
                <w:sz w:val="20"/>
              </w:rPr>
              <w:t>-2050 relative to the baseline.</w:t>
            </w:r>
          </w:p>
        </w:tc>
      </w:tr>
      <w:tr w:rsidR="00060435" w:rsidRPr="00F92EAE" w14:paraId="08A62A00" w14:textId="77777777" w:rsidTr="003E1A47">
        <w:tc>
          <w:tcPr>
            <w:tcW w:w="1231" w:type="pct"/>
            <w:tcBorders>
              <w:top w:val="single" w:sz="4" w:space="0" w:color="auto"/>
              <w:bottom w:val="single" w:sz="4" w:space="0" w:color="auto"/>
            </w:tcBorders>
          </w:tcPr>
          <w:p w14:paraId="0B3F9529" w14:textId="5D52B3E5" w:rsidR="00060435" w:rsidRPr="003B2559" w:rsidRDefault="00060435" w:rsidP="00060435">
            <w:pPr>
              <w:rPr>
                <w:noProof/>
                <w:sz w:val="20"/>
              </w:rPr>
            </w:pPr>
            <w:r w:rsidRPr="00D17F6A">
              <w:rPr>
                <w:bCs/>
                <w:noProof/>
                <w:sz w:val="20"/>
              </w:rPr>
              <w:t>Decrease in the number of fatalities and injuries</w:t>
            </w:r>
            <w:r w:rsidRPr="00DF5626">
              <w:rPr>
                <w:bCs/>
                <w:i/>
                <w:iCs/>
                <w:noProof/>
                <w:sz w:val="20"/>
              </w:rPr>
              <w:t xml:space="preserve"> </w:t>
            </w:r>
            <w:r w:rsidRPr="00DA1EDC">
              <w:rPr>
                <w:noProof/>
                <w:sz w:val="20"/>
              </w:rPr>
              <w:t>(cumulative over 202</w:t>
            </w:r>
            <w:r>
              <w:rPr>
                <w:noProof/>
                <w:sz w:val="20"/>
              </w:rPr>
              <w:t>8</w:t>
            </w:r>
            <w:r w:rsidRPr="00DA1EDC">
              <w:rPr>
                <w:noProof/>
                <w:sz w:val="20"/>
              </w:rPr>
              <w:t>-2050 relative to the baseline)</w:t>
            </w:r>
          </w:p>
        </w:tc>
        <w:tc>
          <w:tcPr>
            <w:tcW w:w="1981" w:type="pct"/>
            <w:tcBorders>
              <w:top w:val="single" w:sz="4" w:space="0" w:color="auto"/>
              <w:bottom w:val="single" w:sz="4" w:space="0" w:color="auto"/>
            </w:tcBorders>
            <w:tcMar>
              <w:top w:w="57" w:type="dxa"/>
              <w:left w:w="57" w:type="dxa"/>
              <w:bottom w:w="57" w:type="dxa"/>
              <w:right w:w="57" w:type="dxa"/>
            </w:tcMar>
          </w:tcPr>
          <w:p w14:paraId="3C50C77D" w14:textId="77777777" w:rsidR="00D17F6A" w:rsidRDefault="00060435" w:rsidP="00060435">
            <w:pPr>
              <w:jc w:val="center"/>
              <w:rPr>
                <w:bCs/>
                <w:noProof/>
                <w:sz w:val="20"/>
              </w:rPr>
            </w:pPr>
            <w:r w:rsidRPr="0098096E">
              <w:rPr>
                <w:bCs/>
                <w:noProof/>
                <w:sz w:val="20"/>
              </w:rPr>
              <w:t>2,113</w:t>
            </w:r>
            <w:r w:rsidRPr="005E175B">
              <w:rPr>
                <w:bCs/>
                <w:noProof/>
                <w:sz w:val="20"/>
              </w:rPr>
              <w:t xml:space="preserve"> lives saved</w:t>
            </w:r>
            <w:r w:rsidR="00D17F6A">
              <w:rPr>
                <w:bCs/>
                <w:noProof/>
                <w:sz w:val="20"/>
              </w:rPr>
              <w:t>,</w:t>
            </w:r>
            <w:r w:rsidRPr="005E175B">
              <w:rPr>
                <w:bCs/>
                <w:noProof/>
                <w:sz w:val="20"/>
              </w:rPr>
              <w:t xml:space="preserve"> and </w:t>
            </w:r>
          </w:p>
          <w:p w14:paraId="0F899A2B" w14:textId="07FE27FD" w:rsidR="00060435" w:rsidRPr="005E175B" w:rsidRDefault="00060435" w:rsidP="00D17F6A">
            <w:pPr>
              <w:jc w:val="center"/>
              <w:rPr>
                <w:bCs/>
                <w:iCs/>
                <w:noProof/>
                <w:sz w:val="20"/>
              </w:rPr>
            </w:pPr>
            <w:r>
              <w:rPr>
                <w:bCs/>
                <w:noProof/>
                <w:sz w:val="20"/>
              </w:rPr>
              <w:t>136.9</w:t>
            </w:r>
            <w:r w:rsidRPr="005E175B">
              <w:rPr>
                <w:bCs/>
                <w:noProof/>
                <w:sz w:val="20"/>
              </w:rPr>
              <w:t xml:space="preserve"> thousand injuries avoided over 202</w:t>
            </w:r>
            <w:r>
              <w:rPr>
                <w:bCs/>
                <w:noProof/>
                <w:sz w:val="20"/>
              </w:rPr>
              <w:t>8</w:t>
            </w:r>
            <w:r w:rsidRPr="005E175B">
              <w:rPr>
                <w:bCs/>
                <w:noProof/>
                <w:sz w:val="20"/>
              </w:rPr>
              <w:t>-2050 relative to the baseline</w:t>
            </w:r>
          </w:p>
          <w:p w14:paraId="2149FD1E" w14:textId="77777777" w:rsidR="00060435" w:rsidRPr="00312034" w:rsidRDefault="00060435" w:rsidP="00D17F6A">
            <w:pPr>
              <w:jc w:val="center"/>
              <w:rPr>
                <w:noProof/>
                <w:sz w:val="20"/>
              </w:rPr>
            </w:pPr>
          </w:p>
        </w:tc>
        <w:tc>
          <w:tcPr>
            <w:tcW w:w="1788" w:type="pct"/>
            <w:tcBorders>
              <w:top w:val="single" w:sz="4" w:space="0" w:color="auto"/>
              <w:bottom w:val="single" w:sz="4" w:space="0" w:color="auto"/>
            </w:tcBorders>
            <w:tcMar>
              <w:top w:w="57" w:type="dxa"/>
              <w:left w:w="57" w:type="dxa"/>
              <w:bottom w:w="57" w:type="dxa"/>
              <w:right w:w="57" w:type="dxa"/>
            </w:tcMar>
          </w:tcPr>
          <w:p w14:paraId="2E803CB8" w14:textId="2717E69F" w:rsidR="00060435" w:rsidRPr="00641644" w:rsidRDefault="00060435" w:rsidP="00060435">
            <w:pPr>
              <w:rPr>
                <w:noProof/>
                <w:sz w:val="20"/>
              </w:rPr>
            </w:pPr>
            <w:r w:rsidRPr="00304D16">
              <w:rPr>
                <w:noProof/>
                <w:sz w:val="20"/>
              </w:rPr>
              <w:t>Indirect benefit to society at large. The</w:t>
            </w:r>
            <w:r>
              <w:rPr>
                <w:noProof/>
                <w:sz w:val="20"/>
              </w:rPr>
              <w:t xml:space="preserve"> number of lives saved</w:t>
            </w:r>
            <w:r w:rsidR="00172A61">
              <w:rPr>
                <w:noProof/>
                <w:sz w:val="20"/>
              </w:rPr>
              <w:t xml:space="preserve"> due to </w:t>
            </w:r>
            <w:r w:rsidR="00172A61" w:rsidRPr="00172A61">
              <w:rPr>
                <w:noProof/>
                <w:sz w:val="20"/>
              </w:rPr>
              <w:t>the reduction in the passenger car transport activity</w:t>
            </w:r>
            <w:r>
              <w:rPr>
                <w:noProof/>
                <w:sz w:val="20"/>
              </w:rPr>
              <w:t xml:space="preserve"> is estimated at 2,113</w:t>
            </w:r>
            <w:r w:rsidRPr="00304D16">
              <w:rPr>
                <w:noProof/>
                <w:sz w:val="20"/>
              </w:rPr>
              <w:t xml:space="preserve"> cumulatively over 202</w:t>
            </w:r>
            <w:r>
              <w:rPr>
                <w:noProof/>
                <w:sz w:val="20"/>
              </w:rPr>
              <w:t>8</w:t>
            </w:r>
            <w:r w:rsidRPr="00304D16">
              <w:rPr>
                <w:noProof/>
                <w:sz w:val="20"/>
              </w:rPr>
              <w:t>-2050 relative to the baseline</w:t>
            </w:r>
            <w:r>
              <w:rPr>
                <w:noProof/>
                <w:sz w:val="20"/>
              </w:rPr>
              <w:t xml:space="preserve">, while the reduction in </w:t>
            </w:r>
            <w:r w:rsidR="00327971">
              <w:rPr>
                <w:noProof/>
                <w:sz w:val="20"/>
              </w:rPr>
              <w:t>the number of injuries at 136.9 thousand</w:t>
            </w:r>
            <w:r>
              <w:rPr>
                <w:noProof/>
                <w:sz w:val="20"/>
              </w:rPr>
              <w:t xml:space="preserve"> over the same period. </w:t>
            </w:r>
          </w:p>
        </w:tc>
      </w:tr>
      <w:tr w:rsidR="00161026" w:rsidRPr="00F92EAE" w14:paraId="6845DA6D" w14:textId="77777777" w:rsidTr="003E1A47">
        <w:tc>
          <w:tcPr>
            <w:tcW w:w="1231" w:type="pct"/>
            <w:tcBorders>
              <w:top w:val="single" w:sz="4" w:space="0" w:color="auto"/>
              <w:bottom w:val="single" w:sz="4" w:space="0" w:color="auto"/>
            </w:tcBorders>
          </w:tcPr>
          <w:p w14:paraId="36DFEB31" w14:textId="0B3434B3" w:rsidR="00161026" w:rsidRPr="00161026" w:rsidRDefault="00161026" w:rsidP="00161026">
            <w:pPr>
              <w:rPr>
                <w:bCs/>
                <w:noProof/>
                <w:sz w:val="20"/>
              </w:rPr>
            </w:pPr>
            <w:r w:rsidRPr="003B2559">
              <w:rPr>
                <w:noProof/>
                <w:sz w:val="20"/>
              </w:rPr>
              <w:t xml:space="preserve">Savings in external costs of </w:t>
            </w:r>
            <w:r>
              <w:rPr>
                <w:noProof/>
                <w:sz w:val="20"/>
              </w:rPr>
              <w:t>accidents (</w:t>
            </w:r>
            <w:r w:rsidRPr="003B2559">
              <w:rPr>
                <w:noProof/>
                <w:sz w:val="20"/>
              </w:rPr>
              <w:t>expressed as present value over 202</w:t>
            </w:r>
            <w:r>
              <w:rPr>
                <w:noProof/>
                <w:sz w:val="20"/>
              </w:rPr>
              <w:t>8</w:t>
            </w:r>
            <w:r w:rsidRPr="003B2559">
              <w:rPr>
                <w:noProof/>
                <w:sz w:val="20"/>
              </w:rPr>
              <w:t>-2050 relative to the baseline</w:t>
            </w:r>
            <w:r>
              <w:rPr>
                <w:noProof/>
                <w:sz w:val="20"/>
              </w:rPr>
              <w:t>)</w:t>
            </w:r>
          </w:p>
        </w:tc>
        <w:tc>
          <w:tcPr>
            <w:tcW w:w="1981" w:type="pct"/>
            <w:tcBorders>
              <w:top w:val="single" w:sz="4" w:space="0" w:color="auto"/>
              <w:bottom w:val="single" w:sz="4" w:space="0" w:color="auto"/>
            </w:tcBorders>
            <w:tcMar>
              <w:top w:w="57" w:type="dxa"/>
              <w:left w:w="57" w:type="dxa"/>
              <w:bottom w:w="57" w:type="dxa"/>
              <w:right w:w="57" w:type="dxa"/>
            </w:tcMar>
          </w:tcPr>
          <w:p w14:paraId="474E7E48" w14:textId="3A22A04E" w:rsidR="00161026" w:rsidRPr="0098096E" w:rsidRDefault="00161026" w:rsidP="00161026">
            <w:pPr>
              <w:jc w:val="center"/>
              <w:rPr>
                <w:bCs/>
                <w:noProof/>
                <w:sz w:val="20"/>
              </w:rPr>
            </w:pPr>
            <w:r w:rsidRPr="00312034">
              <w:rPr>
                <w:noProof/>
                <w:sz w:val="20"/>
              </w:rPr>
              <w:t xml:space="preserve">EUR </w:t>
            </w:r>
            <w:r w:rsidR="00B3218C">
              <w:rPr>
                <w:noProof/>
                <w:sz w:val="20"/>
              </w:rPr>
              <w:t>21.3</w:t>
            </w:r>
            <w:r w:rsidRPr="00312034">
              <w:rPr>
                <w:noProof/>
                <w:sz w:val="20"/>
              </w:rPr>
              <w:t xml:space="preserve"> billion</w:t>
            </w:r>
          </w:p>
        </w:tc>
        <w:tc>
          <w:tcPr>
            <w:tcW w:w="1788" w:type="pct"/>
            <w:tcBorders>
              <w:top w:val="single" w:sz="4" w:space="0" w:color="auto"/>
              <w:bottom w:val="single" w:sz="4" w:space="0" w:color="auto"/>
            </w:tcBorders>
            <w:tcMar>
              <w:top w:w="57" w:type="dxa"/>
              <w:left w:w="57" w:type="dxa"/>
              <w:bottom w:w="57" w:type="dxa"/>
              <w:right w:w="57" w:type="dxa"/>
            </w:tcMar>
          </w:tcPr>
          <w:p w14:paraId="294F74F0" w14:textId="66061C73" w:rsidR="00161026" w:rsidRPr="00304D16" w:rsidRDefault="00161026" w:rsidP="00161026">
            <w:pPr>
              <w:rPr>
                <w:noProof/>
                <w:sz w:val="20"/>
              </w:rPr>
            </w:pPr>
            <w:r w:rsidRPr="00641644">
              <w:rPr>
                <w:noProof/>
                <w:sz w:val="20"/>
              </w:rPr>
              <w:t xml:space="preserve">Indirect benefit to society at large. Savings in external costs of </w:t>
            </w:r>
            <w:r w:rsidR="00B3218C">
              <w:rPr>
                <w:noProof/>
                <w:sz w:val="20"/>
              </w:rPr>
              <w:t>accidents due to the reduction in the passenger car transport activity</w:t>
            </w:r>
            <w:r w:rsidRPr="00641644">
              <w:rPr>
                <w:noProof/>
                <w:sz w:val="20"/>
              </w:rPr>
              <w:t xml:space="preserve">. The savings in external costs of </w:t>
            </w:r>
            <w:r w:rsidR="00B3218C">
              <w:rPr>
                <w:noProof/>
                <w:sz w:val="20"/>
              </w:rPr>
              <w:t>accidents</w:t>
            </w:r>
            <w:r w:rsidRPr="00641644">
              <w:rPr>
                <w:noProof/>
                <w:sz w:val="20"/>
              </w:rPr>
              <w:t xml:space="preserve"> are estimated at EUR </w:t>
            </w:r>
            <w:r w:rsidR="00B3218C">
              <w:rPr>
                <w:noProof/>
                <w:sz w:val="20"/>
              </w:rPr>
              <w:t>21.3</w:t>
            </w:r>
            <w:r w:rsidRPr="00641644">
              <w:rPr>
                <w:noProof/>
                <w:sz w:val="20"/>
              </w:rPr>
              <w:t xml:space="preserve"> billion expressed as present value over 202</w:t>
            </w:r>
            <w:r>
              <w:rPr>
                <w:noProof/>
                <w:sz w:val="20"/>
              </w:rPr>
              <w:t>8</w:t>
            </w:r>
            <w:r w:rsidRPr="00641644">
              <w:rPr>
                <w:noProof/>
                <w:sz w:val="20"/>
              </w:rPr>
              <w:t>-2050 relative to the baseline.</w:t>
            </w:r>
          </w:p>
        </w:tc>
      </w:tr>
      <w:tr w:rsidR="00355B47" w:rsidRPr="00F92EAE" w14:paraId="7F688C2F" w14:textId="77777777" w:rsidTr="003E1A47">
        <w:tc>
          <w:tcPr>
            <w:tcW w:w="1231" w:type="pct"/>
            <w:tcBorders>
              <w:top w:val="single" w:sz="4" w:space="0" w:color="auto"/>
              <w:bottom w:val="double" w:sz="4" w:space="0" w:color="auto"/>
            </w:tcBorders>
          </w:tcPr>
          <w:p w14:paraId="2DE45FB9" w14:textId="61436CF5" w:rsidR="00355B47" w:rsidRPr="00F92EAE" w:rsidRDefault="00355B47" w:rsidP="00355B47">
            <w:pPr>
              <w:rPr>
                <w:noProof/>
                <w:sz w:val="20"/>
              </w:rPr>
            </w:pPr>
            <w:r w:rsidRPr="003B2559">
              <w:rPr>
                <w:noProof/>
                <w:sz w:val="20"/>
              </w:rPr>
              <w:t xml:space="preserve">Savings in external costs of </w:t>
            </w:r>
            <w:r w:rsidR="00343E11">
              <w:rPr>
                <w:noProof/>
                <w:sz w:val="20"/>
              </w:rPr>
              <w:t xml:space="preserve">road </w:t>
            </w:r>
            <w:r>
              <w:rPr>
                <w:noProof/>
                <w:sz w:val="20"/>
              </w:rPr>
              <w:t>congestion (</w:t>
            </w:r>
            <w:r w:rsidRPr="003B2559">
              <w:rPr>
                <w:noProof/>
                <w:sz w:val="20"/>
              </w:rPr>
              <w:t>expressed as present value over 202</w:t>
            </w:r>
            <w:r>
              <w:rPr>
                <w:noProof/>
                <w:sz w:val="20"/>
              </w:rPr>
              <w:t>8</w:t>
            </w:r>
            <w:r w:rsidRPr="003B2559">
              <w:rPr>
                <w:noProof/>
                <w:sz w:val="20"/>
              </w:rPr>
              <w:t>-2050 relative to the baseline</w:t>
            </w:r>
            <w:r>
              <w:rPr>
                <w:noProof/>
                <w:sz w:val="20"/>
              </w:rPr>
              <w:t>)</w:t>
            </w:r>
          </w:p>
        </w:tc>
        <w:tc>
          <w:tcPr>
            <w:tcW w:w="1981" w:type="pct"/>
            <w:tcBorders>
              <w:top w:val="single" w:sz="4" w:space="0" w:color="auto"/>
              <w:bottom w:val="double" w:sz="4" w:space="0" w:color="auto"/>
            </w:tcBorders>
            <w:tcMar>
              <w:top w:w="57" w:type="dxa"/>
              <w:left w:w="57" w:type="dxa"/>
              <w:bottom w:w="57" w:type="dxa"/>
              <w:right w:w="57" w:type="dxa"/>
            </w:tcMar>
          </w:tcPr>
          <w:p w14:paraId="2D38F53B" w14:textId="21BEB58F" w:rsidR="00355B47" w:rsidRPr="00F92EAE" w:rsidRDefault="00355B47" w:rsidP="00D17F6A">
            <w:pPr>
              <w:jc w:val="center"/>
              <w:rPr>
                <w:noProof/>
                <w:sz w:val="20"/>
              </w:rPr>
            </w:pPr>
            <w:r w:rsidRPr="00312034">
              <w:rPr>
                <w:noProof/>
                <w:sz w:val="20"/>
              </w:rPr>
              <w:t xml:space="preserve">EUR </w:t>
            </w:r>
            <w:r w:rsidR="00074699">
              <w:rPr>
                <w:noProof/>
                <w:sz w:val="20"/>
              </w:rPr>
              <w:t>6.4</w:t>
            </w:r>
            <w:r w:rsidRPr="00312034">
              <w:rPr>
                <w:noProof/>
                <w:sz w:val="20"/>
              </w:rPr>
              <w:t xml:space="preserve"> billion</w:t>
            </w:r>
          </w:p>
        </w:tc>
        <w:tc>
          <w:tcPr>
            <w:tcW w:w="1788" w:type="pct"/>
            <w:tcBorders>
              <w:top w:val="single" w:sz="4" w:space="0" w:color="auto"/>
              <w:bottom w:val="double" w:sz="4" w:space="0" w:color="auto"/>
            </w:tcBorders>
            <w:tcMar>
              <w:top w:w="57" w:type="dxa"/>
              <w:left w:w="57" w:type="dxa"/>
              <w:bottom w:w="57" w:type="dxa"/>
              <w:right w:w="57" w:type="dxa"/>
            </w:tcMar>
          </w:tcPr>
          <w:p w14:paraId="7D2494AC" w14:textId="7ED29887" w:rsidR="00355B47" w:rsidRPr="00F92EAE" w:rsidRDefault="00355B47" w:rsidP="00355B47">
            <w:pPr>
              <w:rPr>
                <w:noProof/>
                <w:sz w:val="20"/>
              </w:rPr>
            </w:pPr>
            <w:r w:rsidRPr="00641644">
              <w:rPr>
                <w:noProof/>
                <w:sz w:val="20"/>
              </w:rPr>
              <w:t xml:space="preserve">Indirect benefit to society at large. Savings in external costs of </w:t>
            </w:r>
            <w:r w:rsidR="00343E11">
              <w:rPr>
                <w:noProof/>
                <w:sz w:val="20"/>
              </w:rPr>
              <w:t xml:space="preserve">road </w:t>
            </w:r>
            <w:r w:rsidR="0006573C">
              <w:rPr>
                <w:noProof/>
                <w:sz w:val="20"/>
              </w:rPr>
              <w:t>congestion</w:t>
            </w:r>
            <w:r>
              <w:rPr>
                <w:noProof/>
                <w:sz w:val="20"/>
              </w:rPr>
              <w:t xml:space="preserve"> due to the reduction in the passenger car transport activity</w:t>
            </w:r>
            <w:r w:rsidRPr="00641644">
              <w:rPr>
                <w:noProof/>
                <w:sz w:val="20"/>
              </w:rPr>
              <w:t xml:space="preserve">. The savings in external costs of </w:t>
            </w:r>
            <w:r w:rsidR="00343E11">
              <w:rPr>
                <w:noProof/>
                <w:sz w:val="20"/>
              </w:rPr>
              <w:t>road congestion</w:t>
            </w:r>
            <w:r w:rsidRPr="00641644">
              <w:rPr>
                <w:noProof/>
                <w:sz w:val="20"/>
              </w:rPr>
              <w:t xml:space="preserve"> are estimated at EUR </w:t>
            </w:r>
            <w:r w:rsidR="00343E11">
              <w:rPr>
                <w:noProof/>
                <w:sz w:val="20"/>
              </w:rPr>
              <w:t>6.4</w:t>
            </w:r>
            <w:r w:rsidRPr="00641644">
              <w:rPr>
                <w:noProof/>
                <w:sz w:val="20"/>
              </w:rPr>
              <w:t xml:space="preserve"> billion expressed as present value over 202</w:t>
            </w:r>
            <w:r>
              <w:rPr>
                <w:noProof/>
                <w:sz w:val="20"/>
              </w:rPr>
              <w:t>8</w:t>
            </w:r>
            <w:r w:rsidRPr="00641644">
              <w:rPr>
                <w:noProof/>
                <w:sz w:val="20"/>
              </w:rPr>
              <w:t>-2050 relative to the baseline.</w:t>
            </w:r>
          </w:p>
        </w:tc>
      </w:tr>
    </w:tbl>
    <w:p w14:paraId="2DC0CEAC" w14:textId="77777777" w:rsidR="00E87AFA" w:rsidRDefault="00E87AFA" w:rsidP="00294BAB">
      <w:pPr>
        <w:rPr>
          <w:noProof/>
        </w:rPr>
      </w:pPr>
    </w:p>
    <w:tbl>
      <w:tblPr>
        <w:tblStyle w:val="CV11"/>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392"/>
        <w:gridCol w:w="1043"/>
        <w:gridCol w:w="1328"/>
        <w:gridCol w:w="1303"/>
        <w:gridCol w:w="1303"/>
        <w:gridCol w:w="1043"/>
        <w:gridCol w:w="1171"/>
      </w:tblGrid>
      <w:tr w:rsidR="00EF697A" w:rsidRPr="00F92EAE" w14:paraId="63ACF9A3" w14:textId="77777777" w:rsidTr="005E7A18">
        <w:trPr>
          <w:tblHeader/>
        </w:trPr>
        <w:tc>
          <w:tcPr>
            <w:tcW w:w="5000" w:type="pct"/>
            <w:gridSpan w:val="7"/>
            <w:shd w:val="clear" w:color="auto" w:fill="C6D9F1" w:themeFill="text2" w:themeFillTint="33"/>
            <w:tcMar>
              <w:top w:w="57" w:type="dxa"/>
              <w:left w:w="57" w:type="dxa"/>
              <w:bottom w:w="57" w:type="dxa"/>
              <w:right w:w="57" w:type="dxa"/>
            </w:tcMar>
          </w:tcPr>
          <w:p w14:paraId="2E32888B" w14:textId="1FDCEA5C" w:rsidR="00EF697A" w:rsidRPr="00F92EAE" w:rsidRDefault="00EF697A" w:rsidP="001A0453">
            <w:pPr>
              <w:rPr>
                <w:b/>
                <w:noProof/>
                <w:sz w:val="20"/>
                <w:szCs w:val="20"/>
              </w:rPr>
            </w:pPr>
            <w:r w:rsidRPr="00F92EAE">
              <w:rPr>
                <w:b/>
                <w:noProof/>
                <w:sz w:val="20"/>
                <w:szCs w:val="20"/>
              </w:rPr>
              <w:t>II. Overview of costs – Preferred option</w:t>
            </w:r>
            <w:r w:rsidR="003C7C05">
              <w:rPr>
                <w:b/>
                <w:noProof/>
                <w:sz w:val="20"/>
                <w:szCs w:val="20"/>
              </w:rPr>
              <w:t xml:space="preserve"> (PO3)</w:t>
            </w:r>
          </w:p>
        </w:tc>
      </w:tr>
      <w:tr w:rsidR="00EF697A" w:rsidRPr="00F92EAE" w14:paraId="5103853C" w14:textId="77777777" w:rsidTr="005E7A18">
        <w:trPr>
          <w:tblHeader/>
        </w:trPr>
        <w:tc>
          <w:tcPr>
            <w:tcW w:w="1248" w:type="pct"/>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7DF1C471" w14:textId="77777777" w:rsidR="00EF697A" w:rsidRPr="00F92EAE" w:rsidRDefault="00EF697A" w:rsidP="001A0453">
            <w:pPr>
              <w:rPr>
                <w:b/>
                <w:noProof/>
                <w:sz w:val="20"/>
                <w:szCs w:val="20"/>
              </w:rPr>
            </w:pPr>
          </w:p>
        </w:tc>
        <w:tc>
          <w:tcPr>
            <w:tcW w:w="1237" w:type="pct"/>
            <w:gridSpan w:val="2"/>
            <w:tcBorders>
              <w:left w:val="double" w:sz="4" w:space="0" w:color="auto"/>
            </w:tcBorders>
            <w:tcMar>
              <w:top w:w="57" w:type="dxa"/>
              <w:left w:w="57" w:type="dxa"/>
              <w:bottom w:w="57" w:type="dxa"/>
              <w:right w:w="57" w:type="dxa"/>
            </w:tcMar>
          </w:tcPr>
          <w:p w14:paraId="3F0A2846" w14:textId="77777777" w:rsidR="00EF697A" w:rsidRPr="00F92EAE" w:rsidRDefault="00EF697A" w:rsidP="001A0453">
            <w:pPr>
              <w:jc w:val="center"/>
              <w:rPr>
                <w:b/>
                <w:noProof/>
                <w:sz w:val="20"/>
                <w:szCs w:val="20"/>
              </w:rPr>
            </w:pPr>
            <w:r w:rsidRPr="00F92EAE">
              <w:rPr>
                <w:b/>
                <w:noProof/>
                <w:sz w:val="20"/>
                <w:szCs w:val="20"/>
              </w:rPr>
              <w:t>Citizens/Consumers</w:t>
            </w:r>
          </w:p>
        </w:tc>
        <w:tc>
          <w:tcPr>
            <w:tcW w:w="1359" w:type="pct"/>
            <w:gridSpan w:val="2"/>
            <w:tcMar>
              <w:top w:w="57" w:type="dxa"/>
              <w:left w:w="57" w:type="dxa"/>
              <w:bottom w:w="57" w:type="dxa"/>
              <w:right w:w="57" w:type="dxa"/>
            </w:tcMar>
          </w:tcPr>
          <w:p w14:paraId="03B7DDC6" w14:textId="77777777" w:rsidR="00EF697A" w:rsidRPr="00F92EAE" w:rsidRDefault="00EF697A" w:rsidP="001A0453">
            <w:pPr>
              <w:jc w:val="center"/>
              <w:rPr>
                <w:b/>
                <w:noProof/>
                <w:sz w:val="20"/>
                <w:szCs w:val="20"/>
              </w:rPr>
            </w:pPr>
            <w:r w:rsidRPr="00F92EAE">
              <w:rPr>
                <w:b/>
                <w:noProof/>
                <w:sz w:val="20"/>
                <w:szCs w:val="20"/>
              </w:rPr>
              <w:t>Businesses</w:t>
            </w:r>
          </w:p>
        </w:tc>
        <w:tc>
          <w:tcPr>
            <w:tcW w:w="1156" w:type="pct"/>
            <w:gridSpan w:val="2"/>
            <w:tcMar>
              <w:top w:w="57" w:type="dxa"/>
              <w:left w:w="57" w:type="dxa"/>
              <w:bottom w:w="57" w:type="dxa"/>
              <w:right w:w="57" w:type="dxa"/>
            </w:tcMar>
          </w:tcPr>
          <w:p w14:paraId="3FC3AE53" w14:textId="77777777" w:rsidR="00EF697A" w:rsidRPr="00F92EAE" w:rsidRDefault="00EF697A" w:rsidP="001A0453">
            <w:pPr>
              <w:jc w:val="center"/>
              <w:rPr>
                <w:b/>
                <w:noProof/>
                <w:sz w:val="20"/>
                <w:szCs w:val="20"/>
              </w:rPr>
            </w:pPr>
            <w:r w:rsidRPr="00F92EAE">
              <w:rPr>
                <w:b/>
                <w:noProof/>
                <w:sz w:val="20"/>
                <w:szCs w:val="20"/>
              </w:rPr>
              <w:t>Administrations</w:t>
            </w:r>
          </w:p>
        </w:tc>
      </w:tr>
      <w:tr w:rsidR="00EF697A" w:rsidRPr="00F92EAE" w14:paraId="433DB94B" w14:textId="77777777" w:rsidTr="005E7A18">
        <w:trPr>
          <w:tblHeader/>
        </w:trPr>
        <w:tc>
          <w:tcPr>
            <w:tcW w:w="1248" w:type="pct"/>
            <w:vMerge/>
            <w:tcBorders>
              <w:bottom w:val="double" w:sz="4" w:space="0" w:color="auto"/>
              <w:right w:val="double" w:sz="4" w:space="0" w:color="auto"/>
              <w:tl2br w:val="double" w:sz="4" w:space="0" w:color="auto"/>
            </w:tcBorders>
            <w:tcMar>
              <w:top w:w="57" w:type="dxa"/>
              <w:left w:w="57" w:type="dxa"/>
              <w:bottom w:w="57" w:type="dxa"/>
              <w:right w:w="57" w:type="dxa"/>
            </w:tcMar>
          </w:tcPr>
          <w:p w14:paraId="0F1B3BE5" w14:textId="77777777" w:rsidR="00EF697A" w:rsidRPr="00F92EAE" w:rsidRDefault="00EF697A" w:rsidP="001A0453">
            <w:pPr>
              <w:rPr>
                <w:b/>
                <w:noProof/>
                <w:sz w:val="20"/>
                <w:szCs w:val="20"/>
              </w:rPr>
            </w:pPr>
          </w:p>
        </w:tc>
        <w:tc>
          <w:tcPr>
            <w:tcW w:w="544" w:type="pct"/>
            <w:tcBorders>
              <w:left w:val="double" w:sz="4" w:space="0" w:color="auto"/>
              <w:bottom w:val="double" w:sz="4" w:space="0" w:color="auto"/>
            </w:tcBorders>
            <w:tcMar>
              <w:top w:w="57" w:type="dxa"/>
              <w:left w:w="57" w:type="dxa"/>
              <w:bottom w:w="57" w:type="dxa"/>
              <w:right w:w="57" w:type="dxa"/>
            </w:tcMar>
          </w:tcPr>
          <w:p w14:paraId="22D585A7" w14:textId="77777777" w:rsidR="00EF697A" w:rsidRPr="00F92EAE" w:rsidRDefault="00EF697A" w:rsidP="001A0453">
            <w:pPr>
              <w:jc w:val="center"/>
              <w:rPr>
                <w:b/>
                <w:noProof/>
                <w:sz w:val="20"/>
                <w:szCs w:val="20"/>
              </w:rPr>
            </w:pPr>
            <w:r w:rsidRPr="00F92EAE">
              <w:rPr>
                <w:b/>
                <w:noProof/>
                <w:sz w:val="20"/>
                <w:szCs w:val="20"/>
              </w:rPr>
              <w:t>One-off</w:t>
            </w:r>
          </w:p>
        </w:tc>
        <w:tc>
          <w:tcPr>
            <w:tcW w:w="693" w:type="pct"/>
            <w:tcBorders>
              <w:bottom w:val="double" w:sz="4" w:space="0" w:color="auto"/>
            </w:tcBorders>
            <w:tcMar>
              <w:top w:w="57" w:type="dxa"/>
              <w:left w:w="57" w:type="dxa"/>
              <w:bottom w:w="57" w:type="dxa"/>
              <w:right w:w="57" w:type="dxa"/>
            </w:tcMar>
          </w:tcPr>
          <w:p w14:paraId="747519C0" w14:textId="77777777" w:rsidR="00EF697A" w:rsidRPr="00F92EAE" w:rsidRDefault="00EF697A" w:rsidP="001A0453">
            <w:pPr>
              <w:jc w:val="center"/>
              <w:rPr>
                <w:b/>
                <w:noProof/>
                <w:sz w:val="20"/>
                <w:szCs w:val="20"/>
              </w:rPr>
            </w:pPr>
            <w:r w:rsidRPr="00F92EAE">
              <w:rPr>
                <w:b/>
                <w:noProof/>
                <w:sz w:val="20"/>
                <w:szCs w:val="20"/>
              </w:rPr>
              <w:t>Recurrent</w:t>
            </w:r>
          </w:p>
        </w:tc>
        <w:tc>
          <w:tcPr>
            <w:tcW w:w="680" w:type="pct"/>
            <w:tcBorders>
              <w:bottom w:val="double" w:sz="4" w:space="0" w:color="auto"/>
            </w:tcBorders>
            <w:tcMar>
              <w:top w:w="57" w:type="dxa"/>
              <w:left w:w="57" w:type="dxa"/>
              <w:bottom w:w="57" w:type="dxa"/>
              <w:right w:w="57" w:type="dxa"/>
            </w:tcMar>
          </w:tcPr>
          <w:p w14:paraId="4B69E2E5" w14:textId="77777777" w:rsidR="00EF697A" w:rsidRPr="00F92EAE" w:rsidRDefault="00EF697A" w:rsidP="001A0453">
            <w:pPr>
              <w:jc w:val="center"/>
              <w:rPr>
                <w:b/>
                <w:noProof/>
                <w:sz w:val="20"/>
                <w:szCs w:val="20"/>
              </w:rPr>
            </w:pPr>
            <w:r w:rsidRPr="00F92EAE">
              <w:rPr>
                <w:b/>
                <w:noProof/>
                <w:sz w:val="20"/>
                <w:szCs w:val="20"/>
              </w:rPr>
              <w:t>One-off</w:t>
            </w:r>
          </w:p>
        </w:tc>
        <w:tc>
          <w:tcPr>
            <w:tcW w:w="680" w:type="pct"/>
            <w:tcBorders>
              <w:bottom w:val="double" w:sz="4" w:space="0" w:color="auto"/>
            </w:tcBorders>
            <w:tcMar>
              <w:top w:w="57" w:type="dxa"/>
              <w:left w:w="57" w:type="dxa"/>
              <w:bottom w:w="57" w:type="dxa"/>
              <w:right w:w="57" w:type="dxa"/>
            </w:tcMar>
          </w:tcPr>
          <w:p w14:paraId="383246AE" w14:textId="77777777" w:rsidR="00EF697A" w:rsidRPr="00F92EAE" w:rsidRDefault="00EF697A" w:rsidP="001A0453">
            <w:pPr>
              <w:jc w:val="center"/>
              <w:rPr>
                <w:b/>
                <w:noProof/>
                <w:sz w:val="20"/>
                <w:szCs w:val="20"/>
              </w:rPr>
            </w:pPr>
            <w:r w:rsidRPr="00F92EAE">
              <w:rPr>
                <w:b/>
                <w:noProof/>
                <w:sz w:val="20"/>
                <w:szCs w:val="20"/>
              </w:rPr>
              <w:t>Recurrent</w:t>
            </w:r>
          </w:p>
        </w:tc>
        <w:tc>
          <w:tcPr>
            <w:tcW w:w="544" w:type="pct"/>
            <w:tcBorders>
              <w:bottom w:val="double" w:sz="4" w:space="0" w:color="auto"/>
            </w:tcBorders>
            <w:tcMar>
              <w:top w:w="57" w:type="dxa"/>
              <w:left w:w="57" w:type="dxa"/>
              <w:bottom w:w="57" w:type="dxa"/>
              <w:right w:w="57" w:type="dxa"/>
            </w:tcMar>
          </w:tcPr>
          <w:p w14:paraId="7BCE52BB" w14:textId="77777777" w:rsidR="00EF697A" w:rsidRPr="00F92EAE" w:rsidRDefault="00EF697A" w:rsidP="001A0453">
            <w:pPr>
              <w:jc w:val="center"/>
              <w:rPr>
                <w:b/>
                <w:noProof/>
                <w:sz w:val="20"/>
                <w:szCs w:val="20"/>
              </w:rPr>
            </w:pPr>
            <w:r w:rsidRPr="00F92EAE">
              <w:rPr>
                <w:b/>
                <w:noProof/>
                <w:sz w:val="20"/>
                <w:szCs w:val="20"/>
              </w:rPr>
              <w:t>One-off</w:t>
            </w:r>
          </w:p>
        </w:tc>
        <w:tc>
          <w:tcPr>
            <w:tcW w:w="612" w:type="pct"/>
            <w:tcBorders>
              <w:bottom w:val="double" w:sz="4" w:space="0" w:color="auto"/>
            </w:tcBorders>
            <w:tcMar>
              <w:top w:w="57" w:type="dxa"/>
              <w:left w:w="57" w:type="dxa"/>
              <w:bottom w:w="57" w:type="dxa"/>
              <w:right w:w="57" w:type="dxa"/>
            </w:tcMar>
          </w:tcPr>
          <w:p w14:paraId="3548C1C0" w14:textId="77777777" w:rsidR="00EF697A" w:rsidRPr="00F92EAE" w:rsidRDefault="00EF697A" w:rsidP="001A0453">
            <w:pPr>
              <w:jc w:val="center"/>
              <w:rPr>
                <w:b/>
                <w:noProof/>
                <w:sz w:val="20"/>
                <w:szCs w:val="20"/>
              </w:rPr>
            </w:pPr>
            <w:r w:rsidRPr="00F92EAE">
              <w:rPr>
                <w:b/>
                <w:noProof/>
                <w:sz w:val="20"/>
                <w:szCs w:val="20"/>
              </w:rPr>
              <w:t>Recurrent</w:t>
            </w:r>
          </w:p>
        </w:tc>
      </w:tr>
      <w:tr w:rsidR="00EF697A" w:rsidRPr="00F92EAE" w14:paraId="2C32ED91" w14:textId="77777777" w:rsidTr="005E7A18">
        <w:trPr>
          <w:trHeight w:val="307"/>
        </w:trPr>
        <w:tc>
          <w:tcPr>
            <w:tcW w:w="1248" w:type="pct"/>
            <w:tcBorders>
              <w:right w:val="double" w:sz="4" w:space="0" w:color="auto"/>
            </w:tcBorders>
            <w:tcMar>
              <w:top w:w="57" w:type="dxa"/>
              <w:left w:w="57" w:type="dxa"/>
              <w:bottom w:w="57" w:type="dxa"/>
              <w:right w:w="57" w:type="dxa"/>
            </w:tcMar>
          </w:tcPr>
          <w:p w14:paraId="6917E73E" w14:textId="62BE8144" w:rsidR="00EF697A" w:rsidRPr="00F92EAE" w:rsidRDefault="00EF697A" w:rsidP="001A0453">
            <w:pPr>
              <w:rPr>
                <w:noProof/>
                <w:sz w:val="20"/>
                <w:szCs w:val="20"/>
              </w:rPr>
            </w:pPr>
            <w:r w:rsidRPr="00F92EAE">
              <w:rPr>
                <w:noProof/>
                <w:sz w:val="20"/>
                <w:szCs w:val="20"/>
              </w:rPr>
              <w:t>Direct adjustment costs</w:t>
            </w:r>
            <w:r w:rsidR="00D50C13">
              <w:rPr>
                <w:noProof/>
                <w:sz w:val="20"/>
                <w:szCs w:val="20"/>
              </w:rPr>
              <w:t xml:space="preserve"> (</w:t>
            </w:r>
            <w:r w:rsidR="00D50C13" w:rsidRPr="00450D3D">
              <w:rPr>
                <w:b/>
                <w:bCs/>
                <w:noProof/>
                <w:sz w:val="20"/>
                <w:szCs w:val="20"/>
              </w:rPr>
              <w:t>expressed as present value over 2028-2050</w:t>
            </w:r>
            <w:r w:rsidR="00D50C13">
              <w:rPr>
                <w:noProof/>
                <w:sz w:val="20"/>
                <w:szCs w:val="20"/>
              </w:rPr>
              <w:t>, relative to the baseline)</w:t>
            </w:r>
          </w:p>
        </w:tc>
        <w:tc>
          <w:tcPr>
            <w:tcW w:w="544" w:type="pct"/>
            <w:tcBorders>
              <w:left w:val="double" w:sz="4" w:space="0" w:color="auto"/>
            </w:tcBorders>
            <w:tcMar>
              <w:top w:w="57" w:type="dxa"/>
              <w:left w:w="57" w:type="dxa"/>
              <w:bottom w:w="57" w:type="dxa"/>
              <w:right w:w="57" w:type="dxa"/>
            </w:tcMar>
          </w:tcPr>
          <w:p w14:paraId="550F19A0" w14:textId="15794E32" w:rsidR="00EF697A" w:rsidRPr="00F92EAE" w:rsidRDefault="004036E8" w:rsidP="00FE2D52">
            <w:pPr>
              <w:jc w:val="center"/>
              <w:rPr>
                <w:noProof/>
                <w:sz w:val="20"/>
                <w:szCs w:val="20"/>
              </w:rPr>
            </w:pPr>
            <w:r>
              <w:rPr>
                <w:noProof/>
                <w:sz w:val="20"/>
                <w:szCs w:val="20"/>
              </w:rPr>
              <w:t>-</w:t>
            </w:r>
          </w:p>
        </w:tc>
        <w:tc>
          <w:tcPr>
            <w:tcW w:w="693" w:type="pct"/>
            <w:tcMar>
              <w:top w:w="57" w:type="dxa"/>
              <w:left w:w="57" w:type="dxa"/>
              <w:bottom w:w="57" w:type="dxa"/>
              <w:right w:w="57" w:type="dxa"/>
            </w:tcMar>
          </w:tcPr>
          <w:p w14:paraId="3F5702BD" w14:textId="5E68E4EC" w:rsidR="00EF697A" w:rsidRPr="00F92EAE" w:rsidRDefault="004036E8" w:rsidP="00FE2D52">
            <w:pPr>
              <w:jc w:val="center"/>
              <w:rPr>
                <w:noProof/>
                <w:sz w:val="20"/>
                <w:szCs w:val="20"/>
              </w:rPr>
            </w:pPr>
            <w:r>
              <w:rPr>
                <w:noProof/>
                <w:sz w:val="20"/>
                <w:szCs w:val="20"/>
              </w:rPr>
              <w:t>-</w:t>
            </w:r>
          </w:p>
        </w:tc>
        <w:tc>
          <w:tcPr>
            <w:tcW w:w="680" w:type="pct"/>
            <w:tcMar>
              <w:top w:w="57" w:type="dxa"/>
              <w:left w:w="57" w:type="dxa"/>
              <w:bottom w:w="57" w:type="dxa"/>
              <w:right w:w="57" w:type="dxa"/>
            </w:tcMar>
          </w:tcPr>
          <w:p w14:paraId="3FF31D69" w14:textId="222EEA66" w:rsidR="00EF697A" w:rsidRDefault="00EA5461" w:rsidP="005E7A18">
            <w:pPr>
              <w:jc w:val="center"/>
              <w:rPr>
                <w:noProof/>
                <w:sz w:val="20"/>
                <w:szCs w:val="20"/>
              </w:rPr>
            </w:pPr>
            <w:r>
              <w:rPr>
                <w:noProof/>
                <w:sz w:val="20"/>
                <w:szCs w:val="20"/>
              </w:rPr>
              <w:t xml:space="preserve">For MDMS platforms: </w:t>
            </w:r>
            <w:r w:rsidR="001B2EB3">
              <w:rPr>
                <w:noProof/>
                <w:sz w:val="20"/>
                <w:szCs w:val="20"/>
              </w:rPr>
              <w:t>EUR 50.1 million</w:t>
            </w:r>
          </w:p>
          <w:p w14:paraId="2F228CDA" w14:textId="77777777" w:rsidR="001B2EB3" w:rsidRDefault="001B2EB3" w:rsidP="005E7A18">
            <w:pPr>
              <w:jc w:val="center"/>
              <w:rPr>
                <w:noProof/>
                <w:sz w:val="20"/>
                <w:szCs w:val="20"/>
              </w:rPr>
            </w:pPr>
          </w:p>
          <w:p w14:paraId="2F81999B" w14:textId="7FBB4470" w:rsidR="001B2EB3" w:rsidRDefault="001B2EB3" w:rsidP="005E7A18">
            <w:pPr>
              <w:jc w:val="center"/>
              <w:rPr>
                <w:noProof/>
                <w:sz w:val="20"/>
                <w:szCs w:val="20"/>
              </w:rPr>
            </w:pPr>
            <w:r>
              <w:rPr>
                <w:noProof/>
                <w:sz w:val="20"/>
                <w:szCs w:val="20"/>
              </w:rPr>
              <w:t>For transport operators: EUR 42.2 million</w:t>
            </w:r>
          </w:p>
          <w:p w14:paraId="0810F0EB" w14:textId="40FDA15A" w:rsidR="005E7A18" w:rsidRPr="00F92EAE" w:rsidRDefault="005E7A18" w:rsidP="005E7A18">
            <w:pPr>
              <w:jc w:val="center"/>
              <w:rPr>
                <w:noProof/>
                <w:sz w:val="20"/>
                <w:szCs w:val="20"/>
              </w:rPr>
            </w:pPr>
          </w:p>
        </w:tc>
        <w:tc>
          <w:tcPr>
            <w:tcW w:w="680" w:type="pct"/>
            <w:tcMar>
              <w:top w:w="57" w:type="dxa"/>
              <w:left w:w="57" w:type="dxa"/>
              <w:bottom w:w="57" w:type="dxa"/>
              <w:right w:w="57" w:type="dxa"/>
            </w:tcMar>
          </w:tcPr>
          <w:p w14:paraId="501550EE" w14:textId="7AD0EDB5" w:rsidR="006D7B7C" w:rsidRDefault="006D7B7C" w:rsidP="006D7B7C">
            <w:pPr>
              <w:jc w:val="center"/>
              <w:rPr>
                <w:noProof/>
                <w:sz w:val="20"/>
                <w:szCs w:val="20"/>
              </w:rPr>
            </w:pPr>
            <w:r>
              <w:rPr>
                <w:noProof/>
                <w:sz w:val="20"/>
                <w:szCs w:val="20"/>
              </w:rPr>
              <w:t>For MDMS platforms: EUR 72.2 million</w:t>
            </w:r>
          </w:p>
          <w:p w14:paraId="0CF71C33" w14:textId="77777777" w:rsidR="00EF697A" w:rsidRPr="00F92EAE" w:rsidRDefault="00EF697A" w:rsidP="001A0453">
            <w:pPr>
              <w:rPr>
                <w:noProof/>
                <w:sz w:val="20"/>
                <w:szCs w:val="20"/>
              </w:rPr>
            </w:pPr>
          </w:p>
        </w:tc>
        <w:tc>
          <w:tcPr>
            <w:tcW w:w="544" w:type="pct"/>
            <w:tcMar>
              <w:top w:w="57" w:type="dxa"/>
              <w:left w:w="57" w:type="dxa"/>
              <w:bottom w:w="57" w:type="dxa"/>
              <w:right w:w="57" w:type="dxa"/>
            </w:tcMar>
          </w:tcPr>
          <w:p w14:paraId="7F01862C" w14:textId="50215C1D" w:rsidR="00EF697A" w:rsidRPr="00F92EAE" w:rsidRDefault="003A6D93" w:rsidP="003A6D93">
            <w:pPr>
              <w:jc w:val="center"/>
              <w:rPr>
                <w:noProof/>
                <w:sz w:val="20"/>
                <w:szCs w:val="20"/>
              </w:rPr>
            </w:pPr>
            <w:r>
              <w:rPr>
                <w:noProof/>
                <w:sz w:val="20"/>
                <w:szCs w:val="20"/>
              </w:rPr>
              <w:t>-</w:t>
            </w:r>
          </w:p>
        </w:tc>
        <w:tc>
          <w:tcPr>
            <w:tcW w:w="612" w:type="pct"/>
            <w:tcMar>
              <w:top w:w="57" w:type="dxa"/>
              <w:left w:w="57" w:type="dxa"/>
              <w:bottom w:w="57" w:type="dxa"/>
              <w:right w:w="57" w:type="dxa"/>
            </w:tcMar>
          </w:tcPr>
          <w:p w14:paraId="78854848" w14:textId="7175B581" w:rsidR="00EF697A" w:rsidRPr="00F92EAE" w:rsidRDefault="003A6D93" w:rsidP="001A0453">
            <w:pPr>
              <w:rPr>
                <w:noProof/>
                <w:sz w:val="20"/>
                <w:szCs w:val="20"/>
              </w:rPr>
            </w:pPr>
            <w:r>
              <w:rPr>
                <w:noProof/>
                <w:sz w:val="20"/>
                <w:szCs w:val="20"/>
              </w:rPr>
              <w:t>For the European Commission: EUR 5.3 million</w:t>
            </w:r>
          </w:p>
        </w:tc>
      </w:tr>
      <w:tr w:rsidR="00EF697A" w:rsidRPr="00F92EAE" w14:paraId="4F4312F8" w14:textId="77777777" w:rsidTr="005E7A18">
        <w:trPr>
          <w:trHeight w:val="307"/>
        </w:trPr>
        <w:tc>
          <w:tcPr>
            <w:tcW w:w="1248" w:type="pct"/>
            <w:tcBorders>
              <w:right w:val="double" w:sz="4" w:space="0" w:color="auto"/>
            </w:tcBorders>
            <w:tcMar>
              <w:top w:w="57" w:type="dxa"/>
              <w:left w:w="57" w:type="dxa"/>
              <w:bottom w:w="57" w:type="dxa"/>
              <w:right w:w="57" w:type="dxa"/>
            </w:tcMar>
          </w:tcPr>
          <w:p w14:paraId="33CF29FA" w14:textId="06EA74A1" w:rsidR="00D50C13" w:rsidRPr="00F92EAE" w:rsidRDefault="00EF697A" w:rsidP="001A0453">
            <w:pPr>
              <w:rPr>
                <w:noProof/>
                <w:sz w:val="20"/>
                <w:szCs w:val="20"/>
              </w:rPr>
            </w:pPr>
            <w:r w:rsidRPr="00F92EAE">
              <w:rPr>
                <w:noProof/>
                <w:sz w:val="20"/>
                <w:szCs w:val="20"/>
              </w:rPr>
              <w:t>Direct administrative costs</w:t>
            </w:r>
            <w:r w:rsidR="00D50C13">
              <w:rPr>
                <w:noProof/>
                <w:sz w:val="20"/>
                <w:szCs w:val="20"/>
              </w:rPr>
              <w:t xml:space="preserve"> (</w:t>
            </w:r>
            <w:r w:rsidR="00D50C13" w:rsidRPr="00450D3D">
              <w:rPr>
                <w:b/>
                <w:bCs/>
                <w:noProof/>
                <w:sz w:val="20"/>
                <w:szCs w:val="20"/>
              </w:rPr>
              <w:t>expressed as present value over 2028-2050</w:t>
            </w:r>
            <w:r w:rsidR="00D50C13">
              <w:rPr>
                <w:noProof/>
                <w:sz w:val="20"/>
                <w:szCs w:val="20"/>
              </w:rPr>
              <w:t>, relative to the baseline)</w:t>
            </w:r>
          </w:p>
        </w:tc>
        <w:tc>
          <w:tcPr>
            <w:tcW w:w="544" w:type="pct"/>
            <w:tcBorders>
              <w:left w:val="double" w:sz="4" w:space="0" w:color="auto"/>
            </w:tcBorders>
            <w:tcMar>
              <w:top w:w="57" w:type="dxa"/>
              <w:left w:w="57" w:type="dxa"/>
              <w:bottom w:w="57" w:type="dxa"/>
              <w:right w:w="57" w:type="dxa"/>
            </w:tcMar>
          </w:tcPr>
          <w:p w14:paraId="2D8A3450" w14:textId="1F2ED6A3" w:rsidR="00EF697A" w:rsidRPr="00F92EAE" w:rsidRDefault="004036E8" w:rsidP="00FE2D52">
            <w:pPr>
              <w:jc w:val="center"/>
              <w:rPr>
                <w:noProof/>
                <w:sz w:val="20"/>
                <w:szCs w:val="20"/>
              </w:rPr>
            </w:pPr>
            <w:r>
              <w:rPr>
                <w:noProof/>
                <w:sz w:val="20"/>
                <w:szCs w:val="20"/>
              </w:rPr>
              <w:t>-</w:t>
            </w:r>
          </w:p>
        </w:tc>
        <w:tc>
          <w:tcPr>
            <w:tcW w:w="693" w:type="pct"/>
            <w:tcMar>
              <w:top w:w="57" w:type="dxa"/>
              <w:left w:w="57" w:type="dxa"/>
              <w:bottom w:w="57" w:type="dxa"/>
              <w:right w:w="57" w:type="dxa"/>
            </w:tcMar>
          </w:tcPr>
          <w:p w14:paraId="2A05A865" w14:textId="4550309F" w:rsidR="00EF697A" w:rsidRPr="00F92EAE" w:rsidRDefault="004036E8" w:rsidP="00FE2D52">
            <w:pPr>
              <w:jc w:val="center"/>
              <w:rPr>
                <w:noProof/>
                <w:sz w:val="20"/>
                <w:szCs w:val="20"/>
              </w:rPr>
            </w:pPr>
            <w:r>
              <w:rPr>
                <w:noProof/>
                <w:sz w:val="20"/>
                <w:szCs w:val="20"/>
              </w:rPr>
              <w:t>-</w:t>
            </w:r>
          </w:p>
        </w:tc>
        <w:tc>
          <w:tcPr>
            <w:tcW w:w="680" w:type="pct"/>
            <w:tcMar>
              <w:top w:w="57" w:type="dxa"/>
              <w:left w:w="57" w:type="dxa"/>
              <w:bottom w:w="57" w:type="dxa"/>
              <w:right w:w="57" w:type="dxa"/>
            </w:tcMar>
          </w:tcPr>
          <w:p w14:paraId="2F383375" w14:textId="39296BE5" w:rsidR="00791905" w:rsidRDefault="00791905" w:rsidP="00791905">
            <w:pPr>
              <w:jc w:val="center"/>
              <w:rPr>
                <w:noProof/>
                <w:sz w:val="20"/>
                <w:szCs w:val="20"/>
              </w:rPr>
            </w:pPr>
            <w:r>
              <w:rPr>
                <w:noProof/>
                <w:sz w:val="20"/>
                <w:szCs w:val="20"/>
              </w:rPr>
              <w:t>For MDMS platforms: EUR 0.5 million</w:t>
            </w:r>
          </w:p>
          <w:p w14:paraId="007D57ED" w14:textId="77777777" w:rsidR="00177C8F" w:rsidRDefault="00177C8F" w:rsidP="00791905">
            <w:pPr>
              <w:jc w:val="center"/>
              <w:rPr>
                <w:noProof/>
                <w:sz w:val="20"/>
                <w:szCs w:val="20"/>
              </w:rPr>
            </w:pPr>
          </w:p>
          <w:p w14:paraId="361A0189" w14:textId="09494438" w:rsidR="00EF697A" w:rsidRPr="00F92EAE" w:rsidRDefault="00177C8F" w:rsidP="00B0132B">
            <w:pPr>
              <w:jc w:val="center"/>
              <w:rPr>
                <w:noProof/>
                <w:sz w:val="20"/>
                <w:szCs w:val="20"/>
              </w:rPr>
            </w:pPr>
            <w:r>
              <w:rPr>
                <w:noProof/>
                <w:sz w:val="20"/>
                <w:szCs w:val="20"/>
              </w:rPr>
              <w:t xml:space="preserve">For transport operators: EUR </w:t>
            </w:r>
            <w:r w:rsidR="004F4304" w:rsidRPr="004F4304">
              <w:rPr>
                <w:noProof/>
                <w:sz w:val="20"/>
                <w:szCs w:val="20"/>
              </w:rPr>
              <w:t>1,356 at EU level</w:t>
            </w:r>
          </w:p>
        </w:tc>
        <w:tc>
          <w:tcPr>
            <w:tcW w:w="680" w:type="pct"/>
            <w:tcMar>
              <w:top w:w="57" w:type="dxa"/>
              <w:left w:w="57" w:type="dxa"/>
              <w:bottom w:w="57" w:type="dxa"/>
              <w:right w:w="57" w:type="dxa"/>
            </w:tcMar>
          </w:tcPr>
          <w:p w14:paraId="1EB9AC41" w14:textId="051CFBCC" w:rsidR="00EF697A" w:rsidRPr="00F92EAE" w:rsidRDefault="00791905" w:rsidP="00791905">
            <w:pPr>
              <w:jc w:val="center"/>
              <w:rPr>
                <w:noProof/>
                <w:sz w:val="20"/>
                <w:szCs w:val="20"/>
              </w:rPr>
            </w:pPr>
            <w:r>
              <w:rPr>
                <w:noProof/>
                <w:sz w:val="20"/>
                <w:szCs w:val="20"/>
              </w:rPr>
              <w:t>-</w:t>
            </w:r>
          </w:p>
        </w:tc>
        <w:tc>
          <w:tcPr>
            <w:tcW w:w="544" w:type="pct"/>
            <w:tcMar>
              <w:top w:w="57" w:type="dxa"/>
              <w:left w:w="57" w:type="dxa"/>
              <w:bottom w:w="57" w:type="dxa"/>
              <w:right w:w="57" w:type="dxa"/>
            </w:tcMar>
          </w:tcPr>
          <w:p w14:paraId="5411F807" w14:textId="7FB3DDBD" w:rsidR="00EF697A" w:rsidRPr="00F92EAE" w:rsidRDefault="00945B7E" w:rsidP="00945B7E">
            <w:pPr>
              <w:jc w:val="center"/>
              <w:rPr>
                <w:noProof/>
                <w:sz w:val="20"/>
                <w:szCs w:val="20"/>
              </w:rPr>
            </w:pPr>
            <w:r>
              <w:rPr>
                <w:noProof/>
                <w:sz w:val="20"/>
                <w:szCs w:val="20"/>
              </w:rPr>
              <w:t>For national authorities: EUR 3.1 million</w:t>
            </w:r>
          </w:p>
        </w:tc>
        <w:tc>
          <w:tcPr>
            <w:tcW w:w="612" w:type="pct"/>
            <w:tcMar>
              <w:top w:w="57" w:type="dxa"/>
              <w:left w:w="57" w:type="dxa"/>
              <w:bottom w:w="57" w:type="dxa"/>
              <w:right w:w="57" w:type="dxa"/>
            </w:tcMar>
          </w:tcPr>
          <w:p w14:paraId="50650A25" w14:textId="6835D9B1" w:rsidR="00EF697A" w:rsidRPr="00F92EAE" w:rsidRDefault="00945B7E" w:rsidP="001A0453">
            <w:pPr>
              <w:rPr>
                <w:noProof/>
                <w:sz w:val="20"/>
                <w:szCs w:val="20"/>
              </w:rPr>
            </w:pPr>
            <w:r>
              <w:rPr>
                <w:noProof/>
                <w:sz w:val="20"/>
                <w:szCs w:val="20"/>
              </w:rPr>
              <w:t>For national authorities: EUR 25.8 million</w:t>
            </w:r>
          </w:p>
        </w:tc>
      </w:tr>
      <w:tr w:rsidR="00EF697A" w:rsidRPr="00F92EAE" w14:paraId="5399EA42" w14:textId="77777777" w:rsidTr="005E7A18">
        <w:trPr>
          <w:trHeight w:val="307"/>
        </w:trPr>
        <w:tc>
          <w:tcPr>
            <w:tcW w:w="1248" w:type="pct"/>
            <w:tcBorders>
              <w:right w:val="double" w:sz="4" w:space="0" w:color="auto"/>
            </w:tcBorders>
            <w:tcMar>
              <w:top w:w="57" w:type="dxa"/>
              <w:left w:w="57" w:type="dxa"/>
              <w:bottom w:w="57" w:type="dxa"/>
              <w:right w:w="57" w:type="dxa"/>
            </w:tcMar>
          </w:tcPr>
          <w:p w14:paraId="029E9004" w14:textId="44CD6CAF" w:rsidR="00EF697A" w:rsidRPr="00F92EAE" w:rsidRDefault="00EF697A" w:rsidP="001A0453">
            <w:pPr>
              <w:rPr>
                <w:noProof/>
                <w:sz w:val="20"/>
                <w:szCs w:val="20"/>
              </w:rPr>
            </w:pPr>
            <w:r w:rsidRPr="00F92EAE">
              <w:rPr>
                <w:noProof/>
                <w:sz w:val="20"/>
                <w:szCs w:val="20"/>
              </w:rPr>
              <w:t>Direct enforcement costs</w:t>
            </w:r>
            <w:r w:rsidR="00D50C13">
              <w:rPr>
                <w:noProof/>
                <w:sz w:val="20"/>
                <w:szCs w:val="20"/>
              </w:rPr>
              <w:t xml:space="preserve"> (</w:t>
            </w:r>
            <w:r w:rsidR="00D50C13" w:rsidRPr="00450D3D">
              <w:rPr>
                <w:b/>
                <w:bCs/>
                <w:noProof/>
                <w:sz w:val="20"/>
                <w:szCs w:val="20"/>
              </w:rPr>
              <w:t>expressed as present value over 2028-2050</w:t>
            </w:r>
            <w:r w:rsidR="00D50C13">
              <w:rPr>
                <w:noProof/>
                <w:sz w:val="20"/>
                <w:szCs w:val="20"/>
              </w:rPr>
              <w:t>, relative to the baseline)</w:t>
            </w:r>
          </w:p>
        </w:tc>
        <w:tc>
          <w:tcPr>
            <w:tcW w:w="544" w:type="pct"/>
            <w:tcBorders>
              <w:left w:val="double" w:sz="4" w:space="0" w:color="auto"/>
            </w:tcBorders>
            <w:tcMar>
              <w:top w:w="57" w:type="dxa"/>
              <w:left w:w="57" w:type="dxa"/>
              <w:bottom w:w="57" w:type="dxa"/>
              <w:right w:w="57" w:type="dxa"/>
            </w:tcMar>
          </w:tcPr>
          <w:p w14:paraId="1807A0FA" w14:textId="6E1B2FEB" w:rsidR="00EF697A" w:rsidRPr="00F92EAE" w:rsidRDefault="004036E8" w:rsidP="00FE2D52">
            <w:pPr>
              <w:jc w:val="center"/>
              <w:rPr>
                <w:noProof/>
                <w:sz w:val="20"/>
                <w:szCs w:val="20"/>
              </w:rPr>
            </w:pPr>
            <w:r>
              <w:rPr>
                <w:noProof/>
                <w:sz w:val="20"/>
                <w:szCs w:val="20"/>
              </w:rPr>
              <w:t>-</w:t>
            </w:r>
          </w:p>
        </w:tc>
        <w:tc>
          <w:tcPr>
            <w:tcW w:w="693" w:type="pct"/>
            <w:tcMar>
              <w:top w:w="57" w:type="dxa"/>
              <w:left w:w="57" w:type="dxa"/>
              <w:bottom w:w="57" w:type="dxa"/>
              <w:right w:w="57" w:type="dxa"/>
            </w:tcMar>
          </w:tcPr>
          <w:p w14:paraId="77B76126" w14:textId="10EBCB3A" w:rsidR="00EF697A" w:rsidRPr="00F92EAE" w:rsidRDefault="004036E8" w:rsidP="00FE2D52">
            <w:pPr>
              <w:jc w:val="center"/>
              <w:rPr>
                <w:noProof/>
                <w:sz w:val="20"/>
                <w:szCs w:val="20"/>
              </w:rPr>
            </w:pPr>
            <w:r>
              <w:rPr>
                <w:noProof/>
                <w:sz w:val="20"/>
                <w:szCs w:val="20"/>
              </w:rPr>
              <w:t>-</w:t>
            </w:r>
          </w:p>
        </w:tc>
        <w:tc>
          <w:tcPr>
            <w:tcW w:w="680" w:type="pct"/>
            <w:tcMar>
              <w:top w:w="57" w:type="dxa"/>
              <w:left w:w="57" w:type="dxa"/>
              <w:bottom w:w="57" w:type="dxa"/>
              <w:right w:w="57" w:type="dxa"/>
            </w:tcMar>
          </w:tcPr>
          <w:p w14:paraId="5116E6D7" w14:textId="602C4A66" w:rsidR="00EF697A" w:rsidRPr="00F92EAE" w:rsidRDefault="00CA0907" w:rsidP="00FE2D52">
            <w:pPr>
              <w:jc w:val="center"/>
              <w:rPr>
                <w:noProof/>
                <w:sz w:val="20"/>
                <w:szCs w:val="20"/>
              </w:rPr>
            </w:pPr>
            <w:r>
              <w:rPr>
                <w:noProof/>
                <w:sz w:val="20"/>
                <w:szCs w:val="20"/>
              </w:rPr>
              <w:t>-</w:t>
            </w:r>
          </w:p>
        </w:tc>
        <w:tc>
          <w:tcPr>
            <w:tcW w:w="680" w:type="pct"/>
            <w:tcMar>
              <w:top w:w="57" w:type="dxa"/>
              <w:left w:w="57" w:type="dxa"/>
              <w:bottom w:w="57" w:type="dxa"/>
              <w:right w:w="57" w:type="dxa"/>
            </w:tcMar>
          </w:tcPr>
          <w:p w14:paraId="76A29FA4" w14:textId="1F55057D" w:rsidR="00EF697A" w:rsidRPr="00F92EAE" w:rsidRDefault="00CA0907" w:rsidP="00FE2D52">
            <w:pPr>
              <w:jc w:val="center"/>
              <w:rPr>
                <w:noProof/>
                <w:sz w:val="20"/>
                <w:szCs w:val="20"/>
              </w:rPr>
            </w:pPr>
            <w:r>
              <w:rPr>
                <w:noProof/>
                <w:sz w:val="20"/>
                <w:szCs w:val="20"/>
              </w:rPr>
              <w:t>-</w:t>
            </w:r>
          </w:p>
        </w:tc>
        <w:tc>
          <w:tcPr>
            <w:tcW w:w="544" w:type="pct"/>
            <w:tcMar>
              <w:top w:w="57" w:type="dxa"/>
              <w:left w:w="57" w:type="dxa"/>
              <w:bottom w:w="57" w:type="dxa"/>
              <w:right w:w="57" w:type="dxa"/>
            </w:tcMar>
          </w:tcPr>
          <w:p w14:paraId="57D3591A" w14:textId="450138E0" w:rsidR="00EF697A" w:rsidRPr="00F92EAE" w:rsidRDefault="00AC04E0" w:rsidP="00AC04E0">
            <w:pPr>
              <w:jc w:val="center"/>
              <w:rPr>
                <w:noProof/>
                <w:sz w:val="20"/>
                <w:szCs w:val="20"/>
              </w:rPr>
            </w:pPr>
            <w:r>
              <w:rPr>
                <w:noProof/>
                <w:sz w:val="20"/>
                <w:szCs w:val="20"/>
              </w:rPr>
              <w:t>-</w:t>
            </w:r>
          </w:p>
        </w:tc>
        <w:tc>
          <w:tcPr>
            <w:tcW w:w="612" w:type="pct"/>
            <w:tcMar>
              <w:top w:w="57" w:type="dxa"/>
              <w:left w:w="57" w:type="dxa"/>
              <w:bottom w:w="57" w:type="dxa"/>
              <w:right w:w="57" w:type="dxa"/>
            </w:tcMar>
          </w:tcPr>
          <w:p w14:paraId="620E2478" w14:textId="66AC123C" w:rsidR="00EF697A" w:rsidRPr="00F92EAE" w:rsidRDefault="00AC04E0" w:rsidP="00AC04E0">
            <w:pPr>
              <w:jc w:val="center"/>
              <w:rPr>
                <w:noProof/>
                <w:sz w:val="20"/>
                <w:szCs w:val="20"/>
              </w:rPr>
            </w:pPr>
            <w:r>
              <w:rPr>
                <w:noProof/>
                <w:sz w:val="20"/>
                <w:szCs w:val="20"/>
              </w:rPr>
              <w:t>For national authorities: EUR 106.5 million</w:t>
            </w:r>
          </w:p>
        </w:tc>
      </w:tr>
    </w:tbl>
    <w:p w14:paraId="585DDEA3" w14:textId="77777777" w:rsidR="00294BAB" w:rsidRDefault="00294BAB" w:rsidP="00294BAB">
      <w:pPr>
        <w:rPr>
          <w:noProof/>
        </w:rPr>
      </w:pPr>
    </w:p>
    <w:p w14:paraId="2AB43704" w14:textId="77777777" w:rsidR="00D67F1B" w:rsidRDefault="00D67F1B" w:rsidP="00294BAB">
      <w:pPr>
        <w:rPr>
          <w:noProof/>
        </w:rPr>
      </w:pPr>
    </w:p>
    <w:tbl>
      <w:tblPr>
        <w:tblpPr w:leftFromText="180" w:rightFromText="180" w:vertAnchor="text" w:tblpY="1"/>
        <w:tblOverlap w:val="never"/>
        <w:tblW w:w="5000" w:type="pct"/>
        <w:tblLook w:val="04A0" w:firstRow="1" w:lastRow="0" w:firstColumn="1" w:lastColumn="0" w:noHBand="0" w:noVBand="1"/>
      </w:tblPr>
      <w:tblGrid>
        <w:gridCol w:w="1995"/>
        <w:gridCol w:w="1286"/>
        <w:gridCol w:w="1288"/>
        <w:gridCol w:w="1286"/>
        <w:gridCol w:w="1867"/>
        <w:gridCol w:w="1861"/>
      </w:tblGrid>
      <w:tr w:rsidR="00372E1A" w14:paraId="70807285" w14:textId="77777777" w:rsidTr="008A09A2">
        <w:trPr>
          <w:trHeight w:val="300"/>
          <w:tblHeader/>
        </w:trPr>
        <w:tc>
          <w:tcPr>
            <w:tcW w:w="5000" w:type="pct"/>
            <w:gridSpan w:val="6"/>
            <w:tcBorders>
              <w:top w:val="double" w:sz="4" w:space="0" w:color="auto"/>
              <w:left w:val="double" w:sz="4" w:space="0" w:color="auto"/>
              <w:bottom w:val="single" w:sz="8" w:space="0" w:color="auto"/>
              <w:right w:val="double" w:sz="4" w:space="0" w:color="auto"/>
            </w:tcBorders>
            <w:shd w:val="clear" w:color="auto" w:fill="C6D9F1"/>
            <w:tcMar>
              <w:top w:w="0" w:type="dxa"/>
              <w:left w:w="108" w:type="dxa"/>
              <w:bottom w:w="0" w:type="dxa"/>
              <w:right w:w="108" w:type="dxa"/>
            </w:tcMar>
            <w:vAlign w:val="center"/>
          </w:tcPr>
          <w:p w14:paraId="0B5FAD1A" w14:textId="73904764" w:rsidR="00372E1A" w:rsidRDefault="00372E1A">
            <w:pPr>
              <w:rPr>
                <w:b/>
                <w:bCs/>
                <w:noProof/>
                <w:sz w:val="20"/>
                <w:szCs w:val="20"/>
              </w:rPr>
            </w:pPr>
            <w:bookmarkStart w:id="298" w:name="_Hlk126312867"/>
            <w:r w:rsidRPr="000D7F96">
              <w:rPr>
                <w:b/>
                <w:noProof/>
                <w:sz w:val="20"/>
                <w:szCs w:val="20"/>
              </w:rPr>
              <w:t>III. Contribution to the administrative burden reduction targets – Preferred option</w:t>
            </w:r>
            <w:r w:rsidR="008C5EC0">
              <w:rPr>
                <w:b/>
                <w:noProof/>
                <w:sz w:val="20"/>
                <w:szCs w:val="20"/>
              </w:rPr>
              <w:t xml:space="preserve"> </w:t>
            </w:r>
            <w:r w:rsidRPr="000D7F96">
              <w:rPr>
                <w:b/>
                <w:noProof/>
                <w:sz w:val="20"/>
                <w:szCs w:val="20"/>
              </w:rPr>
              <w:t>(</w:t>
            </w:r>
            <w:r w:rsidR="008C5EC0">
              <w:rPr>
                <w:b/>
                <w:noProof/>
                <w:sz w:val="20"/>
                <w:szCs w:val="20"/>
              </w:rPr>
              <w:t>PO3</w:t>
            </w:r>
            <w:r w:rsidRPr="000D7F96">
              <w:rPr>
                <w:b/>
                <w:noProof/>
                <w:sz w:val="20"/>
                <w:szCs w:val="20"/>
              </w:rPr>
              <w:t>)</w:t>
            </w:r>
          </w:p>
        </w:tc>
      </w:tr>
      <w:tr w:rsidR="00372E1A" w14:paraId="01F1C037" w14:textId="77777777" w:rsidTr="008A09A2">
        <w:trPr>
          <w:trHeight w:val="300"/>
          <w:tblHeader/>
        </w:trPr>
        <w:tc>
          <w:tcPr>
            <w:tcW w:w="1041"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14:paraId="0AB63B60" w14:textId="77777777" w:rsidR="00372E1A" w:rsidRDefault="00372E1A">
            <w:pPr>
              <w:spacing w:before="60" w:after="60"/>
              <w:jc w:val="center"/>
              <w:rPr>
                <w:b/>
                <w:bCs/>
                <w:noProof/>
                <w:sz w:val="20"/>
                <w:szCs w:val="20"/>
              </w:rPr>
            </w:pPr>
            <w:r>
              <w:rPr>
                <w:b/>
                <w:bCs/>
                <w:noProof/>
                <w:sz w:val="20"/>
                <w:szCs w:val="20"/>
              </w:rPr>
              <w:t>Administrative costs</w:t>
            </w:r>
          </w:p>
          <w:p w14:paraId="0C108A73" w14:textId="77777777" w:rsidR="00372E1A" w:rsidRPr="005B4026" w:rsidRDefault="00372E1A">
            <w:pPr>
              <w:spacing w:before="60" w:after="60"/>
              <w:jc w:val="center"/>
              <w:rPr>
                <w:rFonts w:ascii="Calibri" w:eastAsia="Calibri" w:hAnsi="Calibri" w:cs="Calibri"/>
                <w:b/>
                <w:bCs/>
                <w:noProof/>
                <w:sz w:val="20"/>
                <w:szCs w:val="20"/>
              </w:rPr>
            </w:pPr>
            <w:r w:rsidRPr="005B4026">
              <w:rPr>
                <w:rFonts w:eastAsia="Calibri"/>
                <w:b/>
                <w:bCs/>
                <w:noProof/>
                <w:sz w:val="20"/>
                <w:szCs w:val="20"/>
              </w:rPr>
              <w:t xml:space="preserve"> [M€]</w:t>
            </w:r>
          </w:p>
        </w:tc>
        <w:tc>
          <w:tcPr>
            <w:tcW w:w="671" w:type="pct"/>
            <w:tcBorders>
              <w:top w:val="nil"/>
              <w:left w:val="nil"/>
              <w:bottom w:val="single" w:sz="8" w:space="0" w:color="auto"/>
              <w:right w:val="single" w:sz="4" w:space="0" w:color="auto"/>
            </w:tcBorders>
            <w:tcMar>
              <w:top w:w="0" w:type="dxa"/>
              <w:left w:w="108" w:type="dxa"/>
              <w:bottom w:w="0" w:type="dxa"/>
              <w:right w:w="108" w:type="dxa"/>
            </w:tcMar>
          </w:tcPr>
          <w:p w14:paraId="719C1692" w14:textId="77777777" w:rsidR="00372E1A" w:rsidRDefault="00372E1A">
            <w:pPr>
              <w:spacing w:before="60" w:after="120"/>
              <w:jc w:val="center"/>
              <w:rPr>
                <w:b/>
                <w:bCs/>
                <w:noProof/>
                <w:sz w:val="20"/>
                <w:szCs w:val="20"/>
              </w:rPr>
            </w:pPr>
            <w:r>
              <w:rPr>
                <w:b/>
                <w:bCs/>
                <w:noProof/>
                <w:sz w:val="20"/>
                <w:szCs w:val="20"/>
              </w:rPr>
              <w:t>New recurrent costs (INs)</w:t>
            </w:r>
          </w:p>
          <w:p w14:paraId="0C1AD31B" w14:textId="77777777" w:rsidR="00372E1A" w:rsidRDefault="00372E1A">
            <w:pPr>
              <w:spacing w:before="60" w:after="120"/>
              <w:jc w:val="center"/>
              <w:rPr>
                <w:b/>
                <w:bCs/>
                <w:noProof/>
                <w:sz w:val="20"/>
                <w:szCs w:val="20"/>
              </w:rPr>
            </w:pPr>
            <w:r w:rsidRPr="52C81EED">
              <w:rPr>
                <w:noProof/>
                <w:sz w:val="20"/>
                <w:szCs w:val="20"/>
              </w:rPr>
              <w:t>(nominal values per year)</w:t>
            </w:r>
          </w:p>
        </w:tc>
        <w:tc>
          <w:tcPr>
            <w:tcW w:w="672" w:type="pct"/>
            <w:tcBorders>
              <w:top w:val="nil"/>
              <w:left w:val="nil"/>
              <w:bottom w:val="single" w:sz="8" w:space="0" w:color="auto"/>
              <w:right w:val="single" w:sz="4" w:space="0" w:color="auto"/>
            </w:tcBorders>
          </w:tcPr>
          <w:p w14:paraId="7C217438" w14:textId="77777777" w:rsidR="00372E1A" w:rsidRDefault="00372E1A">
            <w:pPr>
              <w:spacing w:before="60" w:after="120"/>
              <w:jc w:val="center"/>
              <w:rPr>
                <w:b/>
                <w:bCs/>
                <w:noProof/>
                <w:sz w:val="20"/>
                <w:szCs w:val="20"/>
              </w:rPr>
            </w:pPr>
            <w:r>
              <w:rPr>
                <w:b/>
                <w:bCs/>
                <w:noProof/>
                <w:sz w:val="20"/>
                <w:szCs w:val="20"/>
              </w:rPr>
              <w:t>Removed recurrent costs (OUTs)</w:t>
            </w:r>
          </w:p>
          <w:p w14:paraId="2A747823" w14:textId="77777777" w:rsidR="00372E1A" w:rsidRDefault="00372E1A">
            <w:pPr>
              <w:spacing w:before="60" w:after="120"/>
              <w:jc w:val="center"/>
              <w:rPr>
                <w:b/>
                <w:bCs/>
                <w:noProof/>
                <w:sz w:val="20"/>
                <w:szCs w:val="20"/>
              </w:rPr>
            </w:pPr>
            <w:r w:rsidRPr="52C81EED">
              <w:rPr>
                <w:noProof/>
                <w:sz w:val="20"/>
                <w:szCs w:val="20"/>
              </w:rPr>
              <w:t>(nominal values per year)</w:t>
            </w:r>
          </w:p>
        </w:tc>
        <w:tc>
          <w:tcPr>
            <w:tcW w:w="671" w:type="pct"/>
            <w:tcBorders>
              <w:top w:val="nil"/>
              <w:left w:val="single" w:sz="4" w:space="0" w:color="auto"/>
              <w:bottom w:val="single" w:sz="8" w:space="0" w:color="auto"/>
              <w:right w:val="single" w:sz="4" w:space="0" w:color="auto"/>
            </w:tcBorders>
          </w:tcPr>
          <w:p w14:paraId="5131B0DA" w14:textId="77777777" w:rsidR="00372E1A" w:rsidRDefault="00372E1A">
            <w:pPr>
              <w:spacing w:before="60" w:after="60"/>
              <w:jc w:val="center"/>
              <w:rPr>
                <w:b/>
                <w:bCs/>
                <w:noProof/>
                <w:sz w:val="20"/>
                <w:szCs w:val="20"/>
              </w:rPr>
            </w:pPr>
            <w:r>
              <w:rPr>
                <w:b/>
                <w:bCs/>
                <w:noProof/>
                <w:sz w:val="20"/>
                <w:szCs w:val="20"/>
              </w:rPr>
              <w:t xml:space="preserve">Net </w:t>
            </w:r>
            <w:r w:rsidRPr="005B4026">
              <w:rPr>
                <w:b/>
                <w:bCs/>
                <w:noProof/>
                <w:sz w:val="20"/>
                <w:szCs w:val="20"/>
              </w:rPr>
              <w:t>cost</w:t>
            </w:r>
            <w:r>
              <w:rPr>
                <w:b/>
                <w:bCs/>
                <w:noProof/>
                <w:sz w:val="20"/>
                <w:szCs w:val="20"/>
              </w:rPr>
              <w:t xml:space="preserve">   (INs – OUTs)</w:t>
            </w:r>
          </w:p>
          <w:p w14:paraId="7A5A88BD" w14:textId="77777777" w:rsidR="00372E1A" w:rsidRDefault="00372E1A">
            <w:pPr>
              <w:spacing w:before="60" w:after="60"/>
              <w:jc w:val="center"/>
              <w:rPr>
                <w:noProof/>
                <w:sz w:val="20"/>
                <w:szCs w:val="20"/>
              </w:rPr>
            </w:pPr>
          </w:p>
          <w:p w14:paraId="7E3CA9ED" w14:textId="77777777" w:rsidR="00372E1A" w:rsidRPr="004F7893" w:rsidRDefault="00372E1A">
            <w:pPr>
              <w:spacing w:before="60" w:after="60"/>
              <w:jc w:val="center"/>
              <w:rPr>
                <w:b/>
                <w:bCs/>
                <w:noProof/>
                <w:sz w:val="20"/>
                <w:szCs w:val="20"/>
              </w:rPr>
            </w:pPr>
            <w:r w:rsidRPr="52C81EED">
              <w:rPr>
                <w:noProof/>
                <w:sz w:val="20"/>
                <w:szCs w:val="20"/>
              </w:rPr>
              <w:t>(nominal values per year)</w:t>
            </w:r>
            <w:r>
              <w:rPr>
                <w:b/>
                <w:bCs/>
                <w:noProof/>
                <w:sz w:val="20"/>
                <w:szCs w:val="20"/>
              </w:rPr>
              <w:t xml:space="preserve"> </w:t>
            </w:r>
          </w:p>
        </w:tc>
        <w:tc>
          <w:tcPr>
            <w:tcW w:w="974" w:type="pct"/>
            <w:tcBorders>
              <w:top w:val="nil"/>
              <w:left w:val="single" w:sz="4" w:space="0" w:color="auto"/>
              <w:bottom w:val="single" w:sz="8" w:space="0" w:color="auto"/>
              <w:right w:val="single" w:sz="4" w:space="0" w:color="auto"/>
            </w:tcBorders>
          </w:tcPr>
          <w:p w14:paraId="784FDF42" w14:textId="77777777" w:rsidR="00372E1A" w:rsidRDefault="00372E1A">
            <w:pPr>
              <w:spacing w:before="60" w:after="60"/>
              <w:jc w:val="center"/>
              <w:rPr>
                <w:noProof/>
                <w:sz w:val="20"/>
                <w:szCs w:val="20"/>
              </w:rPr>
            </w:pPr>
            <w:r>
              <w:rPr>
                <w:b/>
                <w:bCs/>
                <w:noProof/>
                <w:sz w:val="20"/>
                <w:szCs w:val="20"/>
              </w:rPr>
              <w:t>New one-off costs (INs)</w:t>
            </w:r>
            <w:r w:rsidRPr="52C81EED">
              <w:rPr>
                <w:noProof/>
                <w:sz w:val="20"/>
                <w:szCs w:val="20"/>
              </w:rPr>
              <w:t xml:space="preserve"> </w:t>
            </w:r>
          </w:p>
          <w:p w14:paraId="2B34D20D" w14:textId="77777777" w:rsidR="00372E1A" w:rsidRDefault="00372E1A">
            <w:pPr>
              <w:spacing w:before="60" w:after="60"/>
              <w:jc w:val="center"/>
              <w:rPr>
                <w:rFonts w:eastAsia="Calibri"/>
                <w:b/>
                <w:bCs/>
                <w:noProof/>
                <w:sz w:val="20"/>
                <w:szCs w:val="20"/>
              </w:rPr>
            </w:pPr>
            <w:r w:rsidRPr="52C81EED">
              <w:rPr>
                <w:noProof/>
                <w:sz w:val="20"/>
                <w:szCs w:val="20"/>
              </w:rPr>
              <w:t>(</w:t>
            </w:r>
            <w:r>
              <w:rPr>
                <w:noProof/>
                <w:sz w:val="20"/>
                <w:szCs w:val="20"/>
              </w:rPr>
              <w:t>annualised</w:t>
            </w:r>
            <w:r w:rsidRPr="52C81EED">
              <w:rPr>
                <w:noProof/>
                <w:sz w:val="20"/>
                <w:szCs w:val="20"/>
              </w:rPr>
              <w:t xml:space="preserve"> </w:t>
            </w:r>
            <w:r w:rsidRPr="00F33281">
              <w:rPr>
                <w:rFonts w:eastAsia="Calibri"/>
                <w:noProof/>
                <w:sz w:val="20"/>
                <w:szCs w:val="20"/>
              </w:rPr>
              <w:t>total net present value over the relevant period</w:t>
            </w:r>
            <w:r w:rsidRPr="52C81EED">
              <w:rPr>
                <w:noProof/>
                <w:sz w:val="20"/>
                <w:szCs w:val="20"/>
              </w:rPr>
              <w:t>)</w:t>
            </w:r>
          </w:p>
        </w:tc>
        <w:tc>
          <w:tcPr>
            <w:tcW w:w="971" w:type="pct"/>
            <w:tcBorders>
              <w:top w:val="nil"/>
              <w:left w:val="single" w:sz="4" w:space="0" w:color="auto"/>
              <w:bottom w:val="single" w:sz="8" w:space="0" w:color="auto"/>
              <w:right w:val="double" w:sz="4" w:space="0" w:color="auto"/>
            </w:tcBorders>
          </w:tcPr>
          <w:p w14:paraId="246B05EE" w14:textId="77777777" w:rsidR="00372E1A" w:rsidRDefault="00372E1A">
            <w:pPr>
              <w:spacing w:before="60" w:after="60"/>
              <w:jc w:val="center"/>
              <w:rPr>
                <w:b/>
                <w:bCs/>
                <w:noProof/>
                <w:sz w:val="20"/>
                <w:szCs w:val="20"/>
              </w:rPr>
            </w:pPr>
            <w:r>
              <w:rPr>
                <w:b/>
                <w:bCs/>
                <w:noProof/>
                <w:sz w:val="20"/>
                <w:szCs w:val="20"/>
              </w:rPr>
              <w:t>Removed one-off costs (OUTs)</w:t>
            </w:r>
          </w:p>
          <w:p w14:paraId="38CF40B2" w14:textId="77777777" w:rsidR="00372E1A" w:rsidRDefault="00372E1A">
            <w:pPr>
              <w:spacing w:before="60" w:after="60"/>
              <w:jc w:val="center"/>
              <w:rPr>
                <w:rFonts w:eastAsia="Calibri"/>
                <w:b/>
                <w:bCs/>
                <w:noProof/>
                <w:sz w:val="20"/>
                <w:szCs w:val="20"/>
              </w:rPr>
            </w:pPr>
            <w:r w:rsidRPr="52C81EED">
              <w:rPr>
                <w:noProof/>
                <w:sz w:val="20"/>
                <w:szCs w:val="20"/>
              </w:rPr>
              <w:t>(</w:t>
            </w:r>
            <w:r>
              <w:rPr>
                <w:noProof/>
                <w:sz w:val="20"/>
                <w:szCs w:val="20"/>
              </w:rPr>
              <w:t>annualised</w:t>
            </w:r>
            <w:r w:rsidRPr="52C81EED">
              <w:rPr>
                <w:noProof/>
                <w:sz w:val="20"/>
                <w:szCs w:val="20"/>
              </w:rPr>
              <w:t xml:space="preserve"> </w:t>
            </w:r>
            <w:r w:rsidRPr="00F33281">
              <w:rPr>
                <w:rFonts w:eastAsia="Calibri"/>
                <w:noProof/>
                <w:sz w:val="20"/>
                <w:szCs w:val="20"/>
              </w:rPr>
              <w:t>total net present value over the relevant period</w:t>
            </w:r>
            <w:r w:rsidRPr="52C81EED">
              <w:rPr>
                <w:noProof/>
                <w:sz w:val="20"/>
                <w:szCs w:val="20"/>
              </w:rPr>
              <w:t>)</w:t>
            </w:r>
          </w:p>
        </w:tc>
      </w:tr>
      <w:tr w:rsidR="00372E1A" w14:paraId="5A47AD99" w14:textId="77777777" w:rsidTr="008A09A2">
        <w:trPr>
          <w:trHeight w:val="300"/>
        </w:trPr>
        <w:tc>
          <w:tcPr>
            <w:tcW w:w="1041" w:type="pct"/>
            <w:tcBorders>
              <w:top w:val="single" w:sz="8" w:space="0" w:color="auto"/>
              <w:left w:val="double" w:sz="4" w:space="0" w:color="auto"/>
              <w:bottom w:val="single" w:sz="8" w:space="0" w:color="auto"/>
              <w:right w:val="single" w:sz="8" w:space="0" w:color="auto"/>
            </w:tcBorders>
            <w:tcMar>
              <w:top w:w="0" w:type="dxa"/>
              <w:left w:w="108" w:type="dxa"/>
              <w:bottom w:w="0" w:type="dxa"/>
              <w:right w:w="108" w:type="dxa"/>
            </w:tcMar>
            <w:vAlign w:val="center"/>
          </w:tcPr>
          <w:p w14:paraId="32679F66" w14:textId="56A90AC1" w:rsidR="00372E1A" w:rsidRDefault="00372E1A">
            <w:pPr>
              <w:spacing w:before="60" w:after="60"/>
              <w:rPr>
                <w:noProof/>
                <w:sz w:val="20"/>
                <w:szCs w:val="20"/>
              </w:rPr>
            </w:pPr>
            <w:r w:rsidRPr="52C81EED">
              <w:rPr>
                <w:noProof/>
                <w:sz w:val="20"/>
                <w:szCs w:val="20"/>
              </w:rPr>
              <w:t>All businesses</w:t>
            </w:r>
            <w:r w:rsidR="008D46B2">
              <w:rPr>
                <w:noProof/>
                <w:sz w:val="20"/>
                <w:szCs w:val="20"/>
              </w:rPr>
              <w:t xml:space="preserve"> (relative to the baseline)</w:t>
            </w:r>
          </w:p>
        </w:tc>
        <w:tc>
          <w:tcPr>
            <w:tcW w:w="671" w:type="pct"/>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4C5AE658" w14:textId="3B38AB4D" w:rsidR="00372E1A" w:rsidRDefault="00153499">
            <w:pPr>
              <w:jc w:val="center"/>
              <w:rPr>
                <w:rFonts w:eastAsia="Calibri"/>
                <w:noProof/>
                <w:sz w:val="20"/>
                <w:szCs w:val="20"/>
                <w:lang w:eastAsia="en-GB"/>
              </w:rPr>
            </w:pPr>
            <w:r>
              <w:rPr>
                <w:rFonts w:eastAsia="Calibri"/>
                <w:noProof/>
                <w:sz w:val="20"/>
                <w:szCs w:val="20"/>
                <w:lang w:eastAsia="en-GB"/>
              </w:rPr>
              <w:t>-</w:t>
            </w:r>
          </w:p>
        </w:tc>
        <w:tc>
          <w:tcPr>
            <w:tcW w:w="672" w:type="pct"/>
            <w:tcBorders>
              <w:top w:val="single" w:sz="8" w:space="0" w:color="auto"/>
              <w:left w:val="nil"/>
              <w:bottom w:val="single" w:sz="8" w:space="0" w:color="auto"/>
              <w:right w:val="single" w:sz="4" w:space="0" w:color="auto"/>
            </w:tcBorders>
            <w:vAlign w:val="center"/>
          </w:tcPr>
          <w:p w14:paraId="5643AA17" w14:textId="5A925313" w:rsidR="00372E1A" w:rsidRDefault="00BC6008">
            <w:pPr>
              <w:jc w:val="center"/>
              <w:rPr>
                <w:rFonts w:eastAsia="Calibri"/>
                <w:noProof/>
                <w:sz w:val="20"/>
                <w:szCs w:val="20"/>
                <w:lang w:eastAsia="en-GB"/>
              </w:rPr>
            </w:pPr>
            <w:r>
              <w:rPr>
                <w:rFonts w:eastAsia="Calibri"/>
                <w:noProof/>
                <w:sz w:val="20"/>
                <w:szCs w:val="20"/>
                <w:lang w:eastAsia="en-GB"/>
              </w:rPr>
              <w:t>-</w:t>
            </w:r>
          </w:p>
        </w:tc>
        <w:tc>
          <w:tcPr>
            <w:tcW w:w="671" w:type="pct"/>
            <w:tcBorders>
              <w:top w:val="single" w:sz="8" w:space="0" w:color="auto"/>
              <w:left w:val="single" w:sz="4" w:space="0" w:color="auto"/>
              <w:bottom w:val="single" w:sz="8" w:space="0" w:color="auto"/>
              <w:right w:val="single" w:sz="4" w:space="0" w:color="auto"/>
            </w:tcBorders>
            <w:vAlign w:val="center"/>
          </w:tcPr>
          <w:p w14:paraId="7CE11250" w14:textId="1E7B2922" w:rsidR="00372E1A" w:rsidRPr="00155194" w:rsidRDefault="00CE7CCD">
            <w:pPr>
              <w:jc w:val="center"/>
              <w:rPr>
                <w:rFonts w:eastAsia="Calibri"/>
                <w:b/>
                <w:bCs/>
                <w:noProof/>
                <w:sz w:val="20"/>
                <w:szCs w:val="20"/>
                <w:lang w:eastAsia="en-GB"/>
              </w:rPr>
            </w:pPr>
            <w:r w:rsidRPr="00155194">
              <w:rPr>
                <w:rFonts w:eastAsia="Calibri"/>
                <w:b/>
                <w:bCs/>
                <w:noProof/>
                <w:sz w:val="20"/>
                <w:szCs w:val="20"/>
                <w:lang w:eastAsia="en-GB"/>
              </w:rPr>
              <w:t>EUR 0.06 million (additional costs)</w:t>
            </w:r>
          </w:p>
        </w:tc>
        <w:tc>
          <w:tcPr>
            <w:tcW w:w="974" w:type="pct"/>
            <w:tcBorders>
              <w:top w:val="single" w:sz="8" w:space="0" w:color="auto"/>
              <w:left w:val="single" w:sz="4" w:space="0" w:color="auto"/>
              <w:bottom w:val="single" w:sz="8" w:space="0" w:color="auto"/>
              <w:right w:val="single" w:sz="4" w:space="0" w:color="auto"/>
            </w:tcBorders>
            <w:vAlign w:val="center"/>
          </w:tcPr>
          <w:p w14:paraId="38A40EC5" w14:textId="77777777" w:rsidR="00372E1A" w:rsidRDefault="00EC0319">
            <w:pPr>
              <w:jc w:val="center"/>
              <w:rPr>
                <w:rFonts w:eastAsia="Calibri"/>
                <w:noProof/>
                <w:sz w:val="20"/>
                <w:szCs w:val="20"/>
                <w:lang w:eastAsia="en-GB"/>
              </w:rPr>
            </w:pPr>
            <w:r>
              <w:rPr>
                <w:rFonts w:eastAsia="Calibri"/>
                <w:noProof/>
                <w:sz w:val="20"/>
                <w:szCs w:val="20"/>
                <w:lang w:eastAsia="en-GB"/>
              </w:rPr>
              <w:t>EUR 0.06 m</w:t>
            </w:r>
            <w:r w:rsidR="0093203A">
              <w:rPr>
                <w:rFonts w:eastAsia="Calibri"/>
                <w:noProof/>
                <w:sz w:val="20"/>
                <w:szCs w:val="20"/>
                <w:lang w:eastAsia="en-GB"/>
              </w:rPr>
              <w:t>illion, of which:</w:t>
            </w:r>
          </w:p>
          <w:p w14:paraId="61887EB9" w14:textId="186C11D7" w:rsidR="0093203A" w:rsidRDefault="0093203A">
            <w:pPr>
              <w:jc w:val="center"/>
              <w:rPr>
                <w:rFonts w:eastAsia="Calibri"/>
                <w:noProof/>
                <w:sz w:val="20"/>
                <w:szCs w:val="20"/>
                <w:lang w:eastAsia="en-GB"/>
              </w:rPr>
            </w:pPr>
            <w:r>
              <w:rPr>
                <w:rFonts w:eastAsia="Calibri"/>
                <w:noProof/>
                <w:sz w:val="20"/>
                <w:szCs w:val="20"/>
                <w:lang w:eastAsia="en-GB"/>
              </w:rPr>
              <w:t xml:space="preserve">EUR 0.06 million for MDMS platforms and negligible </w:t>
            </w:r>
            <w:r w:rsidR="00DE69DB">
              <w:rPr>
                <w:rFonts w:eastAsia="Calibri"/>
                <w:noProof/>
                <w:sz w:val="20"/>
                <w:szCs w:val="20"/>
                <w:lang w:eastAsia="en-GB"/>
              </w:rPr>
              <w:t xml:space="preserve">(EUR 159) </w:t>
            </w:r>
            <w:r w:rsidR="00DA1175">
              <w:rPr>
                <w:rFonts w:eastAsia="Calibri"/>
                <w:noProof/>
                <w:sz w:val="20"/>
                <w:szCs w:val="20"/>
                <w:lang w:eastAsia="en-GB"/>
              </w:rPr>
              <w:t xml:space="preserve">for transport operators </w:t>
            </w:r>
          </w:p>
        </w:tc>
        <w:tc>
          <w:tcPr>
            <w:tcW w:w="971" w:type="pct"/>
            <w:tcBorders>
              <w:top w:val="single" w:sz="8" w:space="0" w:color="auto"/>
              <w:left w:val="single" w:sz="4" w:space="0" w:color="auto"/>
              <w:bottom w:val="single" w:sz="8" w:space="0" w:color="auto"/>
              <w:right w:val="double" w:sz="4" w:space="0" w:color="auto"/>
            </w:tcBorders>
            <w:vAlign w:val="center"/>
          </w:tcPr>
          <w:p w14:paraId="4C725C31" w14:textId="61ACEB5C" w:rsidR="00372E1A" w:rsidRDefault="00DE69DB">
            <w:pPr>
              <w:jc w:val="center"/>
              <w:rPr>
                <w:rFonts w:eastAsia="Calibri"/>
                <w:noProof/>
                <w:sz w:val="20"/>
                <w:szCs w:val="20"/>
                <w:lang w:eastAsia="en-GB"/>
              </w:rPr>
            </w:pPr>
            <w:r>
              <w:rPr>
                <w:rFonts w:eastAsia="Calibri"/>
                <w:noProof/>
                <w:sz w:val="20"/>
                <w:szCs w:val="20"/>
                <w:lang w:eastAsia="en-GB"/>
              </w:rPr>
              <w:t>-</w:t>
            </w:r>
          </w:p>
        </w:tc>
      </w:tr>
      <w:tr w:rsidR="00372E1A" w14:paraId="6580987A" w14:textId="77777777" w:rsidTr="008A09A2">
        <w:trPr>
          <w:trHeight w:val="300"/>
        </w:trPr>
        <w:tc>
          <w:tcPr>
            <w:tcW w:w="1041"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14:paraId="0ADBB2B5" w14:textId="51B95AE7" w:rsidR="00372E1A" w:rsidRDefault="003D1CE3">
            <w:pPr>
              <w:pStyle w:val="ListParagraph"/>
              <w:widowControl/>
              <w:numPr>
                <w:ilvl w:val="0"/>
                <w:numId w:val="42"/>
              </w:numPr>
              <w:autoSpaceDE/>
              <w:autoSpaceDN/>
              <w:spacing w:before="0" w:line="257" w:lineRule="auto"/>
              <w:ind w:left="475"/>
              <w:contextualSpacing/>
              <w:jc w:val="both"/>
              <w:rPr>
                <w:noProof/>
                <w:sz w:val="20"/>
                <w:szCs w:val="20"/>
              </w:rPr>
            </w:pPr>
            <w:r>
              <w:rPr>
                <w:noProof/>
                <w:sz w:val="20"/>
                <w:szCs w:val="20"/>
              </w:rPr>
              <w:t>of</w:t>
            </w:r>
            <w:r w:rsidRPr="52C81EED">
              <w:rPr>
                <w:noProof/>
                <w:sz w:val="20"/>
                <w:szCs w:val="20"/>
              </w:rPr>
              <w:t xml:space="preserve"> </w:t>
            </w:r>
            <w:r w:rsidR="00372E1A" w:rsidRPr="52C81EED">
              <w:rPr>
                <w:noProof/>
                <w:sz w:val="20"/>
                <w:szCs w:val="20"/>
              </w:rPr>
              <w:t>which SMEs</w:t>
            </w:r>
          </w:p>
        </w:tc>
        <w:tc>
          <w:tcPr>
            <w:tcW w:w="671" w:type="pct"/>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2963815A" w14:textId="0A0EF448" w:rsidR="00372E1A" w:rsidRDefault="00153499">
            <w:pPr>
              <w:jc w:val="center"/>
              <w:rPr>
                <w:rFonts w:eastAsia="Calibri"/>
                <w:noProof/>
                <w:sz w:val="20"/>
                <w:szCs w:val="20"/>
                <w:lang w:eastAsia="en-GB"/>
              </w:rPr>
            </w:pPr>
            <w:r>
              <w:rPr>
                <w:rFonts w:eastAsia="Calibri"/>
                <w:noProof/>
                <w:sz w:val="20"/>
                <w:szCs w:val="20"/>
                <w:lang w:eastAsia="en-GB"/>
              </w:rPr>
              <w:t>-</w:t>
            </w:r>
          </w:p>
        </w:tc>
        <w:tc>
          <w:tcPr>
            <w:tcW w:w="672" w:type="pct"/>
            <w:tcBorders>
              <w:top w:val="single" w:sz="8" w:space="0" w:color="auto"/>
              <w:left w:val="nil"/>
              <w:bottom w:val="single" w:sz="8" w:space="0" w:color="auto"/>
              <w:right w:val="single" w:sz="4" w:space="0" w:color="auto"/>
            </w:tcBorders>
            <w:vAlign w:val="center"/>
          </w:tcPr>
          <w:p w14:paraId="69662AFE" w14:textId="32EAD1FB" w:rsidR="00372E1A" w:rsidRDefault="00BC6008">
            <w:pPr>
              <w:jc w:val="center"/>
              <w:rPr>
                <w:rFonts w:eastAsia="Calibri"/>
                <w:noProof/>
                <w:sz w:val="20"/>
                <w:szCs w:val="20"/>
                <w:lang w:eastAsia="en-GB"/>
              </w:rPr>
            </w:pPr>
            <w:r>
              <w:rPr>
                <w:rFonts w:eastAsia="Calibri"/>
                <w:noProof/>
                <w:sz w:val="20"/>
                <w:szCs w:val="20"/>
                <w:lang w:eastAsia="en-GB"/>
              </w:rPr>
              <w:t>-</w:t>
            </w:r>
          </w:p>
        </w:tc>
        <w:tc>
          <w:tcPr>
            <w:tcW w:w="671" w:type="pct"/>
            <w:tcBorders>
              <w:top w:val="single" w:sz="8" w:space="0" w:color="auto"/>
              <w:left w:val="single" w:sz="4" w:space="0" w:color="auto"/>
              <w:bottom w:val="single" w:sz="8" w:space="0" w:color="auto"/>
              <w:right w:val="single" w:sz="4" w:space="0" w:color="auto"/>
            </w:tcBorders>
            <w:vAlign w:val="center"/>
          </w:tcPr>
          <w:p w14:paraId="0F8C2F30" w14:textId="20C16A1F" w:rsidR="00372E1A" w:rsidRDefault="00167489">
            <w:pPr>
              <w:jc w:val="center"/>
              <w:rPr>
                <w:rFonts w:eastAsia="Calibri"/>
                <w:noProof/>
                <w:sz w:val="20"/>
                <w:szCs w:val="20"/>
                <w:lang w:eastAsia="en-GB"/>
              </w:rPr>
            </w:pPr>
            <w:r>
              <w:rPr>
                <w:rFonts w:eastAsia="Calibri"/>
                <w:noProof/>
                <w:sz w:val="20"/>
                <w:szCs w:val="20"/>
                <w:lang w:eastAsia="en-GB"/>
              </w:rPr>
              <w:t>-</w:t>
            </w:r>
          </w:p>
        </w:tc>
        <w:tc>
          <w:tcPr>
            <w:tcW w:w="974" w:type="pct"/>
            <w:tcBorders>
              <w:top w:val="single" w:sz="8" w:space="0" w:color="auto"/>
              <w:left w:val="single" w:sz="4" w:space="0" w:color="auto"/>
              <w:bottom w:val="single" w:sz="8" w:space="0" w:color="auto"/>
              <w:right w:val="single" w:sz="4" w:space="0" w:color="auto"/>
            </w:tcBorders>
            <w:vAlign w:val="center"/>
          </w:tcPr>
          <w:p w14:paraId="0FFB00E8" w14:textId="27812BA2" w:rsidR="00372E1A" w:rsidRDefault="00DE69DB">
            <w:pPr>
              <w:jc w:val="center"/>
              <w:rPr>
                <w:rFonts w:eastAsia="Calibri"/>
                <w:noProof/>
                <w:sz w:val="20"/>
                <w:szCs w:val="20"/>
                <w:lang w:eastAsia="en-GB"/>
              </w:rPr>
            </w:pPr>
            <w:r>
              <w:rPr>
                <w:rFonts w:eastAsia="Calibri"/>
                <w:noProof/>
                <w:sz w:val="20"/>
                <w:szCs w:val="20"/>
                <w:lang w:eastAsia="en-GB"/>
              </w:rPr>
              <w:t>-</w:t>
            </w:r>
          </w:p>
        </w:tc>
        <w:tc>
          <w:tcPr>
            <w:tcW w:w="971" w:type="pct"/>
            <w:tcBorders>
              <w:top w:val="single" w:sz="8" w:space="0" w:color="auto"/>
              <w:left w:val="single" w:sz="4" w:space="0" w:color="auto"/>
              <w:bottom w:val="single" w:sz="8" w:space="0" w:color="auto"/>
              <w:right w:val="double" w:sz="4" w:space="0" w:color="auto"/>
            </w:tcBorders>
            <w:vAlign w:val="center"/>
          </w:tcPr>
          <w:p w14:paraId="2B5E8E2A" w14:textId="6E832D1E" w:rsidR="00372E1A" w:rsidRDefault="00DE69DB">
            <w:pPr>
              <w:jc w:val="center"/>
              <w:rPr>
                <w:rFonts w:eastAsia="Calibri"/>
                <w:noProof/>
                <w:sz w:val="20"/>
                <w:szCs w:val="20"/>
                <w:lang w:eastAsia="en-GB"/>
              </w:rPr>
            </w:pPr>
            <w:r>
              <w:rPr>
                <w:rFonts w:eastAsia="Calibri"/>
                <w:noProof/>
                <w:sz w:val="20"/>
                <w:szCs w:val="20"/>
                <w:lang w:eastAsia="en-GB"/>
              </w:rPr>
              <w:t>-</w:t>
            </w:r>
          </w:p>
        </w:tc>
      </w:tr>
      <w:tr w:rsidR="00372E1A" w14:paraId="7E722AFB" w14:textId="77777777" w:rsidTr="008A09A2">
        <w:trPr>
          <w:trHeight w:val="300"/>
        </w:trPr>
        <w:tc>
          <w:tcPr>
            <w:tcW w:w="1041" w:type="pct"/>
            <w:tcBorders>
              <w:top w:val="nil"/>
              <w:left w:val="double" w:sz="4" w:space="0" w:color="auto"/>
              <w:bottom w:val="single" w:sz="8" w:space="0" w:color="auto"/>
              <w:right w:val="single" w:sz="8" w:space="0" w:color="auto"/>
            </w:tcBorders>
            <w:tcMar>
              <w:top w:w="0" w:type="dxa"/>
              <w:left w:w="108" w:type="dxa"/>
              <w:bottom w:w="0" w:type="dxa"/>
              <w:right w:w="108" w:type="dxa"/>
            </w:tcMar>
            <w:vAlign w:val="center"/>
          </w:tcPr>
          <w:p w14:paraId="11667B81" w14:textId="6C5906F5" w:rsidR="00372E1A" w:rsidRPr="008A0394" w:rsidRDefault="00372E1A">
            <w:pPr>
              <w:spacing w:line="257" w:lineRule="auto"/>
              <w:rPr>
                <w:noProof/>
                <w:sz w:val="20"/>
                <w:szCs w:val="20"/>
              </w:rPr>
            </w:pPr>
            <w:r w:rsidRPr="008A0394">
              <w:rPr>
                <w:noProof/>
                <w:sz w:val="20"/>
                <w:szCs w:val="20"/>
              </w:rPr>
              <w:t>Public administrations</w:t>
            </w:r>
            <w:r w:rsidR="00153499">
              <w:rPr>
                <w:noProof/>
                <w:sz w:val="20"/>
                <w:szCs w:val="20"/>
              </w:rPr>
              <w:t xml:space="preserve"> (relative to the baseline)</w:t>
            </w:r>
          </w:p>
        </w:tc>
        <w:tc>
          <w:tcPr>
            <w:tcW w:w="671" w:type="pct"/>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239CCF05" w14:textId="152AC38D" w:rsidR="00372E1A" w:rsidRDefault="00153499">
            <w:pPr>
              <w:jc w:val="center"/>
              <w:rPr>
                <w:rFonts w:eastAsia="Calibri"/>
                <w:noProof/>
                <w:sz w:val="20"/>
                <w:szCs w:val="20"/>
                <w:lang w:eastAsia="en-GB"/>
              </w:rPr>
            </w:pPr>
            <w:r>
              <w:rPr>
                <w:rFonts w:eastAsia="Calibri"/>
                <w:noProof/>
                <w:sz w:val="20"/>
                <w:szCs w:val="20"/>
                <w:lang w:eastAsia="en-GB"/>
              </w:rPr>
              <w:t xml:space="preserve">EUR </w:t>
            </w:r>
            <w:r w:rsidR="000A2902">
              <w:rPr>
                <w:rFonts w:eastAsia="Calibri"/>
                <w:noProof/>
                <w:sz w:val="20"/>
                <w:szCs w:val="20"/>
                <w:lang w:eastAsia="en-GB"/>
              </w:rPr>
              <w:t>1.5</w:t>
            </w:r>
            <w:r w:rsidR="00391B5A">
              <w:rPr>
                <w:rFonts w:eastAsia="Calibri"/>
                <w:noProof/>
                <w:sz w:val="20"/>
                <w:szCs w:val="20"/>
                <w:lang w:eastAsia="en-GB"/>
              </w:rPr>
              <w:t>3</w:t>
            </w:r>
            <w:r>
              <w:rPr>
                <w:rFonts w:eastAsia="Calibri"/>
                <w:noProof/>
                <w:sz w:val="20"/>
                <w:szCs w:val="20"/>
                <w:lang w:eastAsia="en-GB"/>
              </w:rPr>
              <w:t xml:space="preserve"> million</w:t>
            </w:r>
          </w:p>
        </w:tc>
        <w:tc>
          <w:tcPr>
            <w:tcW w:w="672" w:type="pct"/>
            <w:tcBorders>
              <w:top w:val="single" w:sz="8" w:space="0" w:color="auto"/>
              <w:left w:val="nil"/>
              <w:bottom w:val="single" w:sz="8" w:space="0" w:color="auto"/>
              <w:right w:val="single" w:sz="4" w:space="0" w:color="auto"/>
            </w:tcBorders>
            <w:vAlign w:val="center"/>
          </w:tcPr>
          <w:p w14:paraId="51BEAD69" w14:textId="472A276E" w:rsidR="00372E1A" w:rsidRDefault="00BC6008">
            <w:pPr>
              <w:jc w:val="center"/>
              <w:rPr>
                <w:rFonts w:eastAsia="Calibri"/>
                <w:noProof/>
                <w:sz w:val="20"/>
                <w:szCs w:val="20"/>
                <w:lang w:eastAsia="en-GB"/>
              </w:rPr>
            </w:pPr>
            <w:r>
              <w:rPr>
                <w:rFonts w:eastAsia="Calibri"/>
                <w:noProof/>
                <w:sz w:val="20"/>
                <w:szCs w:val="20"/>
                <w:lang w:eastAsia="en-GB"/>
              </w:rPr>
              <w:t>-</w:t>
            </w:r>
          </w:p>
        </w:tc>
        <w:tc>
          <w:tcPr>
            <w:tcW w:w="671" w:type="pct"/>
            <w:tcBorders>
              <w:top w:val="single" w:sz="8" w:space="0" w:color="auto"/>
              <w:left w:val="single" w:sz="4" w:space="0" w:color="auto"/>
              <w:bottom w:val="single" w:sz="8" w:space="0" w:color="auto"/>
              <w:right w:val="single" w:sz="4" w:space="0" w:color="auto"/>
            </w:tcBorders>
            <w:vAlign w:val="center"/>
          </w:tcPr>
          <w:p w14:paraId="1B0F70A2" w14:textId="2B00BC5D" w:rsidR="00372E1A" w:rsidRPr="00155194" w:rsidRDefault="00167489">
            <w:pPr>
              <w:jc w:val="center"/>
              <w:rPr>
                <w:rFonts w:eastAsia="Calibri"/>
                <w:b/>
                <w:bCs/>
                <w:noProof/>
                <w:sz w:val="20"/>
                <w:szCs w:val="20"/>
                <w:lang w:eastAsia="en-GB"/>
              </w:rPr>
            </w:pPr>
            <w:r w:rsidRPr="00155194">
              <w:rPr>
                <w:rFonts w:eastAsia="Calibri"/>
                <w:b/>
                <w:bCs/>
                <w:noProof/>
                <w:sz w:val="20"/>
                <w:szCs w:val="20"/>
                <w:lang w:eastAsia="en-GB"/>
              </w:rPr>
              <w:t xml:space="preserve">EUR </w:t>
            </w:r>
            <w:r w:rsidR="000A2902" w:rsidRPr="00155194">
              <w:rPr>
                <w:rFonts w:eastAsia="Calibri"/>
                <w:b/>
                <w:bCs/>
                <w:noProof/>
                <w:sz w:val="20"/>
                <w:szCs w:val="20"/>
                <w:lang w:eastAsia="en-GB"/>
              </w:rPr>
              <w:t>1.</w:t>
            </w:r>
            <w:r w:rsidR="00391B5A" w:rsidRPr="00155194">
              <w:rPr>
                <w:rFonts w:eastAsia="Calibri"/>
                <w:b/>
                <w:bCs/>
                <w:noProof/>
                <w:sz w:val="20"/>
                <w:szCs w:val="20"/>
                <w:lang w:eastAsia="en-GB"/>
              </w:rPr>
              <w:t>8</w:t>
            </w:r>
            <w:r w:rsidR="00391B5A">
              <w:rPr>
                <w:rFonts w:eastAsia="Calibri"/>
                <w:b/>
                <w:bCs/>
                <w:noProof/>
                <w:sz w:val="20"/>
                <w:szCs w:val="20"/>
                <w:lang w:eastAsia="en-GB"/>
              </w:rPr>
              <w:t>9</w:t>
            </w:r>
            <w:r w:rsidR="00391B5A" w:rsidRPr="00155194">
              <w:rPr>
                <w:rFonts w:eastAsia="Calibri"/>
                <w:b/>
                <w:bCs/>
                <w:noProof/>
                <w:sz w:val="20"/>
                <w:szCs w:val="20"/>
                <w:lang w:eastAsia="en-GB"/>
              </w:rPr>
              <w:t xml:space="preserve"> </w:t>
            </w:r>
            <w:r w:rsidRPr="00155194">
              <w:rPr>
                <w:rFonts w:eastAsia="Calibri"/>
                <w:b/>
                <w:bCs/>
                <w:noProof/>
                <w:sz w:val="20"/>
                <w:szCs w:val="20"/>
                <w:lang w:eastAsia="en-GB"/>
              </w:rPr>
              <w:t>million</w:t>
            </w:r>
            <w:r w:rsidR="00CE7CCD" w:rsidRPr="00155194">
              <w:rPr>
                <w:rFonts w:eastAsia="Calibri"/>
                <w:b/>
                <w:bCs/>
                <w:noProof/>
                <w:sz w:val="20"/>
                <w:szCs w:val="20"/>
                <w:lang w:eastAsia="en-GB"/>
              </w:rPr>
              <w:t xml:space="preserve"> (additional costs)</w:t>
            </w:r>
          </w:p>
        </w:tc>
        <w:tc>
          <w:tcPr>
            <w:tcW w:w="974" w:type="pct"/>
            <w:tcBorders>
              <w:top w:val="single" w:sz="8" w:space="0" w:color="auto"/>
              <w:left w:val="single" w:sz="4" w:space="0" w:color="auto"/>
              <w:bottom w:val="single" w:sz="8" w:space="0" w:color="auto"/>
              <w:right w:val="single" w:sz="4" w:space="0" w:color="auto"/>
            </w:tcBorders>
            <w:vAlign w:val="center"/>
          </w:tcPr>
          <w:p w14:paraId="3A60C860" w14:textId="5CAD7C7A" w:rsidR="00372E1A" w:rsidRDefault="000A2902">
            <w:pPr>
              <w:jc w:val="center"/>
              <w:rPr>
                <w:rFonts w:eastAsia="Calibri"/>
                <w:noProof/>
                <w:sz w:val="20"/>
                <w:szCs w:val="20"/>
                <w:lang w:eastAsia="en-GB"/>
              </w:rPr>
            </w:pPr>
            <w:r>
              <w:rPr>
                <w:rFonts w:eastAsia="Calibri"/>
                <w:noProof/>
                <w:sz w:val="20"/>
                <w:szCs w:val="20"/>
                <w:lang w:eastAsia="en-GB"/>
              </w:rPr>
              <w:t>EUR 0.36 million</w:t>
            </w:r>
          </w:p>
        </w:tc>
        <w:tc>
          <w:tcPr>
            <w:tcW w:w="971" w:type="pct"/>
            <w:tcBorders>
              <w:top w:val="single" w:sz="8" w:space="0" w:color="auto"/>
              <w:left w:val="single" w:sz="4" w:space="0" w:color="auto"/>
              <w:bottom w:val="single" w:sz="8" w:space="0" w:color="auto"/>
              <w:right w:val="double" w:sz="4" w:space="0" w:color="auto"/>
            </w:tcBorders>
            <w:vAlign w:val="center"/>
          </w:tcPr>
          <w:p w14:paraId="2DF3D654" w14:textId="42DA3A0E" w:rsidR="00372E1A" w:rsidRDefault="000A2902">
            <w:pPr>
              <w:ind w:right="-2"/>
              <w:jc w:val="center"/>
              <w:rPr>
                <w:rFonts w:eastAsia="Calibri"/>
                <w:noProof/>
                <w:sz w:val="20"/>
                <w:szCs w:val="20"/>
                <w:lang w:eastAsia="en-GB"/>
              </w:rPr>
            </w:pPr>
            <w:r>
              <w:rPr>
                <w:rFonts w:eastAsia="Calibri"/>
                <w:noProof/>
                <w:sz w:val="20"/>
                <w:szCs w:val="20"/>
                <w:lang w:eastAsia="en-GB"/>
              </w:rPr>
              <w:t>-</w:t>
            </w:r>
          </w:p>
        </w:tc>
      </w:tr>
      <w:tr w:rsidR="00372E1A" w14:paraId="5361C49B" w14:textId="77777777" w:rsidTr="008A09A2">
        <w:trPr>
          <w:trHeight w:val="300"/>
        </w:trPr>
        <w:tc>
          <w:tcPr>
            <w:tcW w:w="1041" w:type="pct"/>
            <w:tcBorders>
              <w:top w:val="nil"/>
              <w:left w:val="double" w:sz="4" w:space="0" w:color="auto"/>
              <w:bottom w:val="double" w:sz="4" w:space="0" w:color="auto"/>
              <w:right w:val="single" w:sz="8" w:space="0" w:color="auto"/>
            </w:tcBorders>
            <w:tcMar>
              <w:top w:w="0" w:type="dxa"/>
              <w:left w:w="108" w:type="dxa"/>
              <w:bottom w:w="0" w:type="dxa"/>
              <w:right w:w="108" w:type="dxa"/>
            </w:tcMar>
            <w:vAlign w:val="center"/>
          </w:tcPr>
          <w:p w14:paraId="7CE7D08C" w14:textId="5A3AEDB6" w:rsidR="00372E1A" w:rsidRPr="008A0394" w:rsidRDefault="00372E1A">
            <w:pPr>
              <w:spacing w:before="60" w:after="60"/>
              <w:rPr>
                <w:noProof/>
                <w:sz w:val="20"/>
                <w:szCs w:val="20"/>
              </w:rPr>
            </w:pPr>
            <w:r w:rsidRPr="008A0394">
              <w:rPr>
                <w:noProof/>
                <w:sz w:val="20"/>
                <w:szCs w:val="20"/>
              </w:rPr>
              <w:t>Citizens</w:t>
            </w:r>
            <w:r w:rsidR="00E8438E">
              <w:rPr>
                <w:noProof/>
                <w:sz w:val="20"/>
                <w:szCs w:val="20"/>
              </w:rPr>
              <w:t xml:space="preserve"> (relative to the baseline)</w:t>
            </w:r>
          </w:p>
        </w:tc>
        <w:tc>
          <w:tcPr>
            <w:tcW w:w="671" w:type="pct"/>
            <w:tcBorders>
              <w:top w:val="single" w:sz="8" w:space="0" w:color="auto"/>
              <w:left w:val="nil"/>
              <w:bottom w:val="double" w:sz="4" w:space="0" w:color="auto"/>
              <w:right w:val="single" w:sz="4" w:space="0" w:color="auto"/>
            </w:tcBorders>
            <w:tcMar>
              <w:top w:w="0" w:type="dxa"/>
              <w:left w:w="108" w:type="dxa"/>
              <w:bottom w:w="0" w:type="dxa"/>
              <w:right w:w="108" w:type="dxa"/>
            </w:tcMar>
            <w:vAlign w:val="center"/>
          </w:tcPr>
          <w:p w14:paraId="64388451" w14:textId="5793DCDE" w:rsidR="00372E1A" w:rsidRDefault="002F1E20">
            <w:pPr>
              <w:tabs>
                <w:tab w:val="left" w:pos="0"/>
              </w:tabs>
              <w:jc w:val="center"/>
              <w:rPr>
                <w:rFonts w:eastAsia="Calibri"/>
                <w:noProof/>
                <w:sz w:val="20"/>
                <w:szCs w:val="20"/>
                <w:lang w:eastAsia="en-GB"/>
              </w:rPr>
            </w:pPr>
            <w:r>
              <w:rPr>
                <w:rFonts w:eastAsia="Calibri"/>
                <w:noProof/>
                <w:sz w:val="20"/>
                <w:szCs w:val="20"/>
                <w:lang w:eastAsia="en-GB"/>
              </w:rPr>
              <w:t>-</w:t>
            </w:r>
          </w:p>
        </w:tc>
        <w:tc>
          <w:tcPr>
            <w:tcW w:w="672" w:type="pct"/>
            <w:tcBorders>
              <w:top w:val="single" w:sz="8" w:space="0" w:color="auto"/>
              <w:left w:val="nil"/>
              <w:bottom w:val="double" w:sz="4" w:space="0" w:color="auto"/>
              <w:right w:val="single" w:sz="4" w:space="0" w:color="auto"/>
            </w:tcBorders>
            <w:vAlign w:val="center"/>
          </w:tcPr>
          <w:p w14:paraId="67390232" w14:textId="55B8217A" w:rsidR="00372E1A" w:rsidRDefault="002F1E20">
            <w:pPr>
              <w:jc w:val="center"/>
              <w:rPr>
                <w:rFonts w:eastAsia="Calibri"/>
                <w:noProof/>
                <w:sz w:val="20"/>
                <w:szCs w:val="20"/>
                <w:lang w:eastAsia="en-GB"/>
              </w:rPr>
            </w:pPr>
            <w:r>
              <w:rPr>
                <w:rFonts w:eastAsia="Calibri"/>
                <w:noProof/>
                <w:sz w:val="20"/>
                <w:szCs w:val="20"/>
                <w:lang w:eastAsia="en-GB"/>
              </w:rPr>
              <w:t>-</w:t>
            </w:r>
          </w:p>
        </w:tc>
        <w:tc>
          <w:tcPr>
            <w:tcW w:w="671" w:type="pct"/>
            <w:tcBorders>
              <w:top w:val="single" w:sz="8" w:space="0" w:color="auto"/>
              <w:left w:val="single" w:sz="4" w:space="0" w:color="auto"/>
              <w:bottom w:val="double" w:sz="4" w:space="0" w:color="auto"/>
              <w:right w:val="single" w:sz="4" w:space="0" w:color="auto"/>
              <w:tl2br w:val="single" w:sz="4" w:space="0" w:color="auto"/>
              <w:tr2bl w:val="single" w:sz="4" w:space="0" w:color="auto"/>
            </w:tcBorders>
            <w:vAlign w:val="center"/>
          </w:tcPr>
          <w:p w14:paraId="11163227" w14:textId="77777777" w:rsidR="00372E1A" w:rsidRDefault="00372E1A">
            <w:pPr>
              <w:ind w:right="739"/>
              <w:jc w:val="right"/>
              <w:rPr>
                <w:rFonts w:eastAsia="Calibri"/>
                <w:noProof/>
                <w:sz w:val="20"/>
                <w:szCs w:val="20"/>
                <w:lang w:eastAsia="en-GB"/>
              </w:rPr>
            </w:pPr>
          </w:p>
        </w:tc>
        <w:tc>
          <w:tcPr>
            <w:tcW w:w="974" w:type="pct"/>
            <w:tcBorders>
              <w:top w:val="single" w:sz="8" w:space="0" w:color="auto"/>
              <w:left w:val="single" w:sz="4" w:space="0" w:color="auto"/>
              <w:bottom w:val="double" w:sz="4" w:space="0" w:color="auto"/>
              <w:right w:val="single" w:sz="4" w:space="0" w:color="auto"/>
            </w:tcBorders>
            <w:vAlign w:val="center"/>
          </w:tcPr>
          <w:p w14:paraId="1B8EAA8F" w14:textId="17E3ACD8" w:rsidR="00372E1A" w:rsidRDefault="00A931C5">
            <w:pPr>
              <w:jc w:val="center"/>
              <w:rPr>
                <w:rFonts w:eastAsia="Calibri"/>
                <w:noProof/>
                <w:sz w:val="20"/>
                <w:szCs w:val="20"/>
                <w:lang w:eastAsia="en-GB"/>
              </w:rPr>
            </w:pPr>
            <w:r>
              <w:rPr>
                <w:rFonts w:eastAsia="Calibri"/>
                <w:noProof/>
                <w:sz w:val="20"/>
                <w:szCs w:val="20"/>
                <w:lang w:eastAsia="en-GB"/>
              </w:rPr>
              <w:t>-</w:t>
            </w:r>
          </w:p>
        </w:tc>
        <w:tc>
          <w:tcPr>
            <w:tcW w:w="971" w:type="pct"/>
            <w:tcBorders>
              <w:top w:val="single" w:sz="8" w:space="0" w:color="auto"/>
              <w:left w:val="single" w:sz="4" w:space="0" w:color="auto"/>
              <w:bottom w:val="double" w:sz="4" w:space="0" w:color="auto"/>
              <w:right w:val="double" w:sz="4" w:space="0" w:color="auto"/>
            </w:tcBorders>
            <w:vAlign w:val="center"/>
          </w:tcPr>
          <w:p w14:paraId="4B31DFC1" w14:textId="570A90AB" w:rsidR="00372E1A" w:rsidRDefault="00A931C5">
            <w:pPr>
              <w:jc w:val="center"/>
              <w:rPr>
                <w:rFonts w:eastAsia="Calibri"/>
                <w:noProof/>
                <w:sz w:val="20"/>
                <w:szCs w:val="20"/>
                <w:lang w:eastAsia="en-GB"/>
              </w:rPr>
            </w:pPr>
            <w:r>
              <w:rPr>
                <w:rFonts w:eastAsia="Calibri"/>
                <w:noProof/>
                <w:sz w:val="20"/>
                <w:szCs w:val="20"/>
                <w:lang w:eastAsia="en-GB"/>
              </w:rPr>
              <w:t>-</w:t>
            </w:r>
          </w:p>
        </w:tc>
      </w:tr>
    </w:tbl>
    <w:bookmarkEnd w:id="298"/>
    <w:p w14:paraId="12B0428B" w14:textId="2FD5CB2B" w:rsidR="007D1345" w:rsidRPr="00315B43" w:rsidRDefault="00D25CD3" w:rsidP="007D1345">
      <w:pPr>
        <w:spacing w:after="240"/>
        <w:rPr>
          <w:i/>
          <w:iCs/>
          <w:noProof/>
          <w:sz w:val="20"/>
          <w:szCs w:val="20"/>
        </w:rPr>
      </w:pPr>
      <w:r>
        <w:rPr>
          <w:i/>
          <w:iCs/>
          <w:noProof/>
          <w:sz w:val="20"/>
          <w:szCs w:val="20"/>
        </w:rPr>
        <w:br w:type="textWrapping" w:clear="all"/>
      </w:r>
      <w:r w:rsidR="007D1345" w:rsidRPr="008B7AE4">
        <w:rPr>
          <w:i/>
          <w:iCs/>
          <w:noProof/>
          <w:sz w:val="20"/>
          <w:szCs w:val="20"/>
        </w:rPr>
        <w:t xml:space="preserve">Note: </w:t>
      </w:r>
      <w:r w:rsidR="00A13D89" w:rsidRPr="008B7AE4">
        <w:rPr>
          <w:i/>
          <w:iCs/>
          <w:noProof/>
          <w:sz w:val="20"/>
          <w:szCs w:val="20"/>
        </w:rPr>
        <w:t xml:space="preserve">This table presents the </w:t>
      </w:r>
      <w:r w:rsidR="007D1345" w:rsidRPr="008B7AE4">
        <w:rPr>
          <w:i/>
          <w:iCs/>
          <w:noProof/>
          <w:sz w:val="20"/>
          <w:szCs w:val="20"/>
        </w:rPr>
        <w:t xml:space="preserve">average annual values </w:t>
      </w:r>
      <w:r w:rsidR="00CE23C8" w:rsidRPr="008B7AE4">
        <w:rPr>
          <w:i/>
          <w:iCs/>
          <w:noProof/>
          <w:sz w:val="20"/>
          <w:szCs w:val="20"/>
        </w:rPr>
        <w:t>relative to the baseline</w:t>
      </w:r>
      <w:r w:rsidR="007D1345" w:rsidRPr="008B7AE4">
        <w:rPr>
          <w:i/>
          <w:iCs/>
          <w:noProof/>
          <w:sz w:val="20"/>
          <w:szCs w:val="20"/>
        </w:rPr>
        <w:t xml:space="preserve">. By contrast, the Table II above (Overview of costs) presents the present value over 2028-2050, relative to the baseline, an approach also used for the efficiency table in section 7.2. </w:t>
      </w:r>
    </w:p>
    <w:p w14:paraId="7715208C" w14:textId="0FBABB68" w:rsidR="00712390" w:rsidRPr="00D71008" w:rsidRDefault="003C4819" w:rsidP="00450D3D">
      <w:pPr>
        <w:pStyle w:val="Heading2"/>
        <w:keepNext/>
        <w:numPr>
          <w:ilvl w:val="0"/>
          <w:numId w:val="2"/>
        </w:numPr>
        <w:tabs>
          <w:tab w:val="left" w:pos="426"/>
        </w:tabs>
        <w:spacing w:before="0" w:after="240"/>
        <w:ind w:left="425" w:hanging="425"/>
        <w:rPr>
          <w:b w:val="0"/>
          <w:noProof/>
        </w:rPr>
      </w:pPr>
      <w:bookmarkStart w:id="299" w:name="_Toc222313515"/>
      <w:bookmarkStart w:id="300" w:name="_Toc222749036"/>
      <w:bookmarkStart w:id="301" w:name="_Toc223980009"/>
      <w:r w:rsidRPr="007809E2">
        <w:rPr>
          <w:smallCaps/>
          <w:noProof/>
        </w:rPr>
        <w:t>Relevant</w:t>
      </w:r>
      <w:r w:rsidRPr="00D71008">
        <w:rPr>
          <w:smallCaps/>
          <w:noProof/>
          <w:spacing w:val="6"/>
        </w:rPr>
        <w:t xml:space="preserve"> </w:t>
      </w:r>
      <w:r w:rsidRPr="00D71008">
        <w:rPr>
          <w:smallCaps/>
          <w:noProof/>
          <w:spacing w:val="-2"/>
        </w:rPr>
        <w:t>sustainable</w:t>
      </w:r>
      <w:r w:rsidRPr="00D71008">
        <w:rPr>
          <w:smallCaps/>
          <w:noProof/>
          <w:spacing w:val="8"/>
        </w:rPr>
        <w:t xml:space="preserve"> </w:t>
      </w:r>
      <w:r w:rsidRPr="00D71008">
        <w:rPr>
          <w:smallCaps/>
          <w:noProof/>
          <w:spacing w:val="-2"/>
        </w:rPr>
        <w:t>development</w:t>
      </w:r>
      <w:r w:rsidRPr="00D71008">
        <w:rPr>
          <w:smallCaps/>
          <w:noProof/>
          <w:spacing w:val="8"/>
        </w:rPr>
        <w:t xml:space="preserve"> </w:t>
      </w:r>
      <w:r w:rsidRPr="00D71008">
        <w:rPr>
          <w:smallCaps/>
          <w:noProof/>
          <w:spacing w:val="-4"/>
        </w:rPr>
        <w:t>goals</w:t>
      </w:r>
      <w:bookmarkEnd w:id="299"/>
      <w:bookmarkEnd w:id="300"/>
      <w:bookmarkEnd w:id="301"/>
    </w:p>
    <w:tbl>
      <w:tblPr>
        <w:tblStyle w:val="CV11"/>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357"/>
        <w:gridCol w:w="3797"/>
        <w:gridCol w:w="3429"/>
      </w:tblGrid>
      <w:tr w:rsidR="00DC0A84" w:rsidRPr="00F92EAE" w14:paraId="0C520C0F" w14:textId="77777777" w:rsidTr="003543C0">
        <w:trPr>
          <w:tblHeader/>
        </w:trPr>
        <w:tc>
          <w:tcPr>
            <w:tcW w:w="5000" w:type="pct"/>
            <w:gridSpan w:val="3"/>
            <w:tcBorders>
              <w:top w:val="double" w:sz="4" w:space="0" w:color="auto"/>
              <w:bottom w:val="single" w:sz="4" w:space="0" w:color="auto"/>
            </w:tcBorders>
            <w:shd w:val="clear" w:color="auto" w:fill="C6D9F1" w:themeFill="text2" w:themeFillTint="33"/>
          </w:tcPr>
          <w:p w14:paraId="63C4B49E" w14:textId="0B4DBCF6" w:rsidR="00DC0A84" w:rsidRPr="00F92EAE" w:rsidRDefault="00DC0A84" w:rsidP="00450D3D">
            <w:pPr>
              <w:keepNext/>
              <w:rPr>
                <w:b/>
                <w:noProof/>
                <w:sz w:val="20"/>
              </w:rPr>
            </w:pPr>
            <w:r w:rsidRPr="00F92EAE">
              <w:rPr>
                <w:b/>
                <w:noProof/>
                <w:sz w:val="20"/>
              </w:rPr>
              <w:t>I</w:t>
            </w:r>
            <w:r>
              <w:rPr>
                <w:b/>
                <w:noProof/>
                <w:sz w:val="20"/>
              </w:rPr>
              <w:t>V</w:t>
            </w:r>
            <w:r w:rsidRPr="00F92EAE">
              <w:rPr>
                <w:b/>
                <w:noProof/>
                <w:sz w:val="20"/>
              </w:rPr>
              <w:t>. Overview of relevant Sustainable Development Goals – Preferred Option</w:t>
            </w:r>
            <w:r w:rsidR="008C5EC0">
              <w:rPr>
                <w:b/>
                <w:noProof/>
                <w:sz w:val="20"/>
              </w:rPr>
              <w:t xml:space="preserve"> </w:t>
            </w:r>
            <w:r w:rsidRPr="00F92EAE">
              <w:rPr>
                <w:b/>
                <w:noProof/>
                <w:sz w:val="20"/>
              </w:rPr>
              <w:t>(</w:t>
            </w:r>
            <w:r w:rsidR="008C5EC0">
              <w:rPr>
                <w:b/>
                <w:noProof/>
                <w:sz w:val="20"/>
              </w:rPr>
              <w:t>PO3</w:t>
            </w:r>
            <w:r w:rsidRPr="00F92EAE">
              <w:rPr>
                <w:b/>
                <w:noProof/>
                <w:sz w:val="20"/>
              </w:rPr>
              <w:t>)</w:t>
            </w:r>
          </w:p>
        </w:tc>
      </w:tr>
      <w:tr w:rsidR="00DC0A84" w:rsidRPr="00F92EAE" w14:paraId="3A2B621F" w14:textId="77777777" w:rsidTr="003543C0">
        <w:trPr>
          <w:tblHeader/>
        </w:trPr>
        <w:tc>
          <w:tcPr>
            <w:tcW w:w="1230" w:type="pct"/>
            <w:tcBorders>
              <w:top w:val="single" w:sz="4" w:space="0" w:color="auto"/>
            </w:tcBorders>
            <w:shd w:val="clear" w:color="auto" w:fill="C6D9F1" w:themeFill="text2" w:themeFillTint="33"/>
          </w:tcPr>
          <w:p w14:paraId="42A55C30" w14:textId="77777777" w:rsidR="00DC0A84" w:rsidRPr="00F92EAE" w:rsidRDefault="00DC0A84" w:rsidP="00450D3D">
            <w:pPr>
              <w:keepNext/>
              <w:rPr>
                <w:b/>
                <w:noProof/>
                <w:sz w:val="20"/>
              </w:rPr>
            </w:pPr>
            <w:r w:rsidRPr="00F92EAE">
              <w:rPr>
                <w:b/>
                <w:noProof/>
                <w:sz w:val="20"/>
              </w:rPr>
              <w:t>Relevant SDG</w:t>
            </w:r>
          </w:p>
        </w:tc>
        <w:tc>
          <w:tcPr>
            <w:tcW w:w="1981" w:type="pct"/>
            <w:tcBorders>
              <w:top w:val="single" w:sz="4" w:space="0" w:color="auto"/>
            </w:tcBorders>
            <w:shd w:val="clear" w:color="auto" w:fill="C6D9F1" w:themeFill="text2" w:themeFillTint="33"/>
          </w:tcPr>
          <w:p w14:paraId="5CCE74E1" w14:textId="77777777" w:rsidR="00DC0A84" w:rsidRPr="00F92EAE" w:rsidRDefault="00DC0A84" w:rsidP="00450D3D">
            <w:pPr>
              <w:keepNext/>
              <w:rPr>
                <w:b/>
                <w:noProof/>
                <w:sz w:val="20"/>
              </w:rPr>
            </w:pPr>
            <w:r w:rsidRPr="00F92EAE">
              <w:rPr>
                <w:b/>
                <w:noProof/>
                <w:sz w:val="20"/>
              </w:rPr>
              <w:t>Expected progress towards the Goal</w:t>
            </w:r>
          </w:p>
        </w:tc>
        <w:tc>
          <w:tcPr>
            <w:tcW w:w="1790" w:type="pct"/>
            <w:tcBorders>
              <w:top w:val="single" w:sz="4" w:space="0" w:color="auto"/>
            </w:tcBorders>
            <w:shd w:val="clear" w:color="auto" w:fill="C6D9F1" w:themeFill="text2" w:themeFillTint="33"/>
            <w:tcMar>
              <w:top w:w="57" w:type="dxa"/>
              <w:left w:w="57" w:type="dxa"/>
              <w:bottom w:w="57" w:type="dxa"/>
              <w:right w:w="57" w:type="dxa"/>
            </w:tcMar>
          </w:tcPr>
          <w:p w14:paraId="7766B49A" w14:textId="77777777" w:rsidR="00DC0A84" w:rsidRPr="00F92EAE" w:rsidRDefault="00DC0A84" w:rsidP="00450D3D">
            <w:pPr>
              <w:keepNext/>
              <w:rPr>
                <w:b/>
                <w:noProof/>
                <w:sz w:val="20"/>
              </w:rPr>
            </w:pPr>
            <w:r w:rsidRPr="00F92EAE">
              <w:rPr>
                <w:b/>
                <w:noProof/>
                <w:sz w:val="20"/>
              </w:rPr>
              <w:t>Comments</w:t>
            </w:r>
          </w:p>
        </w:tc>
      </w:tr>
      <w:tr w:rsidR="00DC0A84" w:rsidRPr="00F92EAE" w14:paraId="297DA971" w14:textId="77777777" w:rsidTr="00C544E6">
        <w:tc>
          <w:tcPr>
            <w:tcW w:w="1230" w:type="pct"/>
            <w:tcBorders>
              <w:top w:val="double" w:sz="4" w:space="0" w:color="auto"/>
              <w:bottom w:val="single" w:sz="4" w:space="0" w:color="auto"/>
            </w:tcBorders>
          </w:tcPr>
          <w:p w14:paraId="2D600193" w14:textId="5ACB28B9" w:rsidR="00DC0A84" w:rsidRPr="00F92EAE" w:rsidRDefault="0088015E" w:rsidP="00450D3D">
            <w:pPr>
              <w:keepNext/>
              <w:rPr>
                <w:noProof/>
                <w:sz w:val="20"/>
              </w:rPr>
            </w:pPr>
            <w:r w:rsidRPr="0088015E">
              <w:rPr>
                <w:noProof/>
                <w:sz w:val="20"/>
              </w:rPr>
              <w:t>SDG</w:t>
            </w:r>
            <w:r w:rsidR="00CD40F0">
              <w:rPr>
                <w:noProof/>
                <w:sz w:val="20"/>
              </w:rPr>
              <w:t>#</w:t>
            </w:r>
            <w:r w:rsidRPr="0088015E">
              <w:rPr>
                <w:noProof/>
                <w:sz w:val="20"/>
              </w:rPr>
              <w:t>13 (</w:t>
            </w:r>
            <w:r w:rsidR="00CD40F0" w:rsidRPr="00CD40F0">
              <w:rPr>
                <w:noProof/>
                <w:sz w:val="20"/>
              </w:rPr>
              <w:t>Climate Action</w:t>
            </w:r>
            <w:r w:rsidRPr="0088015E">
              <w:rPr>
                <w:noProof/>
                <w:sz w:val="20"/>
              </w:rPr>
              <w:t>)</w:t>
            </w:r>
          </w:p>
        </w:tc>
        <w:tc>
          <w:tcPr>
            <w:tcW w:w="1981" w:type="pct"/>
            <w:tcBorders>
              <w:top w:val="double" w:sz="4" w:space="0" w:color="auto"/>
              <w:bottom w:val="single" w:sz="4" w:space="0" w:color="auto"/>
            </w:tcBorders>
            <w:tcMar>
              <w:top w:w="57" w:type="dxa"/>
              <w:left w:w="57" w:type="dxa"/>
              <w:bottom w:w="57" w:type="dxa"/>
              <w:right w:w="57" w:type="dxa"/>
            </w:tcMar>
          </w:tcPr>
          <w:p w14:paraId="572934B9" w14:textId="0C2521BB" w:rsidR="00DC0A84" w:rsidRPr="00F92EAE" w:rsidRDefault="008E019F" w:rsidP="00450D3D">
            <w:pPr>
              <w:keepNext/>
              <w:rPr>
                <w:noProof/>
                <w:sz w:val="20"/>
              </w:rPr>
            </w:pPr>
            <w:r w:rsidRPr="0040606F">
              <w:rPr>
                <w:i/>
                <w:iCs/>
                <w:noProof/>
                <w:sz w:val="20"/>
              </w:rPr>
              <w:t xml:space="preserve">Decrease in </w:t>
            </w:r>
            <w:r w:rsidRPr="00514383">
              <w:rPr>
                <w:i/>
                <w:iCs/>
                <w:noProof/>
                <w:sz w:val="20"/>
              </w:rPr>
              <w:t>CO</w:t>
            </w:r>
            <w:r w:rsidRPr="00514383">
              <w:rPr>
                <w:i/>
                <w:iCs/>
                <w:noProof/>
                <w:sz w:val="20"/>
                <w:vertAlign w:val="subscript"/>
              </w:rPr>
              <w:t>2</w:t>
            </w:r>
            <w:r w:rsidRPr="00514383">
              <w:rPr>
                <w:i/>
                <w:iCs/>
                <w:noProof/>
                <w:sz w:val="20"/>
              </w:rPr>
              <w:t xml:space="preserve"> emissions:</w:t>
            </w:r>
            <w:r w:rsidR="002A119D">
              <w:rPr>
                <w:noProof/>
                <w:sz w:val="20"/>
              </w:rPr>
              <w:t>23.8</w:t>
            </w:r>
            <w:r w:rsidRPr="00E75148">
              <w:rPr>
                <w:noProof/>
                <w:sz w:val="20"/>
              </w:rPr>
              <w:t xml:space="preserve"> million </w:t>
            </w:r>
            <w:r w:rsidR="00B46C0E">
              <w:rPr>
                <w:noProof/>
                <w:sz w:val="20"/>
              </w:rPr>
              <w:t xml:space="preserve">tonnes </w:t>
            </w:r>
            <w:r w:rsidRPr="00E75148">
              <w:rPr>
                <w:noProof/>
                <w:sz w:val="20"/>
              </w:rPr>
              <w:t>of CO</w:t>
            </w:r>
            <w:r w:rsidRPr="00E75148">
              <w:rPr>
                <w:noProof/>
                <w:sz w:val="20"/>
                <w:vertAlign w:val="subscript"/>
              </w:rPr>
              <w:t>2</w:t>
            </w:r>
            <w:r w:rsidRPr="00E75148">
              <w:rPr>
                <w:noProof/>
                <w:sz w:val="20"/>
              </w:rPr>
              <w:t xml:space="preserve"> saved over 202</w:t>
            </w:r>
            <w:r w:rsidR="002A119D">
              <w:rPr>
                <w:noProof/>
                <w:sz w:val="20"/>
              </w:rPr>
              <w:t>8</w:t>
            </w:r>
            <w:r w:rsidRPr="00E75148">
              <w:rPr>
                <w:noProof/>
                <w:sz w:val="20"/>
              </w:rPr>
              <w:t>-2050 relative to the baseline</w:t>
            </w:r>
          </w:p>
        </w:tc>
        <w:tc>
          <w:tcPr>
            <w:tcW w:w="1790" w:type="pct"/>
            <w:tcBorders>
              <w:top w:val="double" w:sz="4" w:space="0" w:color="auto"/>
              <w:bottom w:val="single" w:sz="4" w:space="0" w:color="auto"/>
            </w:tcBorders>
            <w:tcMar>
              <w:top w:w="57" w:type="dxa"/>
              <w:left w:w="57" w:type="dxa"/>
              <w:bottom w:w="57" w:type="dxa"/>
              <w:right w:w="57" w:type="dxa"/>
            </w:tcMar>
          </w:tcPr>
          <w:p w14:paraId="62D8929E" w14:textId="4176AE3B" w:rsidR="00DC0A84" w:rsidRPr="00F92EAE" w:rsidRDefault="00A65043" w:rsidP="00450D3D">
            <w:pPr>
              <w:keepNext/>
              <w:rPr>
                <w:noProof/>
                <w:sz w:val="20"/>
              </w:rPr>
            </w:pPr>
            <w:r w:rsidRPr="00A65043">
              <w:rPr>
                <w:noProof/>
                <w:sz w:val="20"/>
              </w:rPr>
              <w:t xml:space="preserve">The reduction in </w:t>
            </w:r>
            <w:r w:rsidR="00805C6D">
              <w:rPr>
                <w:noProof/>
                <w:sz w:val="20"/>
              </w:rPr>
              <w:t>CO</w:t>
            </w:r>
            <w:r w:rsidR="00805C6D" w:rsidRPr="00D76033">
              <w:rPr>
                <w:noProof/>
                <w:sz w:val="20"/>
                <w:vertAlign w:val="subscript"/>
              </w:rPr>
              <w:t>2</w:t>
            </w:r>
            <w:r w:rsidRPr="00A65043">
              <w:rPr>
                <w:noProof/>
                <w:sz w:val="20"/>
              </w:rPr>
              <w:t xml:space="preserve"> emissions will result in cost savings associated with lower climate-related externalities, such as avoided environmental damage and health impacts from climate change. Expressed as present value over 202</w:t>
            </w:r>
            <w:r>
              <w:rPr>
                <w:noProof/>
                <w:sz w:val="20"/>
              </w:rPr>
              <w:t>8-</w:t>
            </w:r>
            <w:r w:rsidRPr="00A65043">
              <w:rPr>
                <w:noProof/>
                <w:sz w:val="20"/>
              </w:rPr>
              <w:t xml:space="preserve">2050, these costs savings are estimated at EUR </w:t>
            </w:r>
            <w:r w:rsidR="00FA22AB">
              <w:rPr>
                <w:noProof/>
                <w:sz w:val="20"/>
              </w:rPr>
              <w:t>6.8</w:t>
            </w:r>
            <w:r w:rsidRPr="00A65043">
              <w:rPr>
                <w:noProof/>
                <w:sz w:val="20"/>
              </w:rPr>
              <w:t xml:space="preserve"> billion relative to the baseline.</w:t>
            </w:r>
          </w:p>
        </w:tc>
      </w:tr>
      <w:tr w:rsidR="00DC0A84" w:rsidRPr="00F92EAE" w14:paraId="605728AF" w14:textId="77777777" w:rsidTr="00C544E6">
        <w:tc>
          <w:tcPr>
            <w:tcW w:w="1230" w:type="pct"/>
            <w:tcBorders>
              <w:top w:val="single" w:sz="4" w:space="0" w:color="auto"/>
              <w:bottom w:val="single" w:sz="4" w:space="0" w:color="auto"/>
            </w:tcBorders>
          </w:tcPr>
          <w:p w14:paraId="54DA190F" w14:textId="3EE6386B" w:rsidR="00DC0A84" w:rsidRPr="00F92EAE" w:rsidRDefault="00907A55" w:rsidP="001A0453">
            <w:pPr>
              <w:rPr>
                <w:noProof/>
                <w:sz w:val="20"/>
              </w:rPr>
            </w:pPr>
            <w:r w:rsidRPr="00907A55">
              <w:rPr>
                <w:noProof/>
                <w:sz w:val="20"/>
              </w:rPr>
              <w:t>SDG</w:t>
            </w:r>
            <w:r w:rsidR="00CD40F0">
              <w:rPr>
                <w:noProof/>
                <w:sz w:val="20"/>
              </w:rPr>
              <w:t>#</w:t>
            </w:r>
            <w:r w:rsidRPr="00907A55">
              <w:rPr>
                <w:noProof/>
                <w:sz w:val="20"/>
              </w:rPr>
              <w:t>3 (Ensure healthy lives and promote wellbeing for all at all ages, including target 3.9: By 2030, substantially reduce the number of deaths and illnesses from hazardous chemicals and air, water and soil pollution and contamination.)</w:t>
            </w:r>
          </w:p>
        </w:tc>
        <w:tc>
          <w:tcPr>
            <w:tcW w:w="1981" w:type="pct"/>
            <w:tcBorders>
              <w:top w:val="single" w:sz="4" w:space="0" w:color="auto"/>
              <w:bottom w:val="single" w:sz="4" w:space="0" w:color="auto"/>
            </w:tcBorders>
            <w:tcMar>
              <w:top w:w="57" w:type="dxa"/>
              <w:left w:w="57" w:type="dxa"/>
              <w:bottom w:w="57" w:type="dxa"/>
              <w:right w:w="57" w:type="dxa"/>
            </w:tcMar>
          </w:tcPr>
          <w:p w14:paraId="4ACCA1F0" w14:textId="1E0A30CE" w:rsidR="00DC0A84" w:rsidRDefault="00EE4F40" w:rsidP="001A0453">
            <w:pPr>
              <w:rPr>
                <w:noProof/>
                <w:sz w:val="20"/>
              </w:rPr>
            </w:pPr>
            <w:r w:rsidRPr="0040606F">
              <w:rPr>
                <w:i/>
                <w:iCs/>
                <w:noProof/>
                <w:sz w:val="20"/>
              </w:rPr>
              <w:t xml:space="preserve">Decrease in </w:t>
            </w:r>
            <w:r>
              <w:rPr>
                <w:i/>
                <w:iCs/>
                <w:noProof/>
                <w:sz w:val="20"/>
              </w:rPr>
              <w:t>NOx</w:t>
            </w:r>
            <w:r w:rsidRPr="00514383">
              <w:rPr>
                <w:i/>
                <w:iCs/>
                <w:noProof/>
                <w:sz w:val="20"/>
              </w:rPr>
              <w:t xml:space="preserve"> emissions:</w:t>
            </w:r>
            <w:r w:rsidR="00312034">
              <w:rPr>
                <w:i/>
                <w:iCs/>
                <w:noProof/>
                <w:sz w:val="20"/>
              </w:rPr>
              <w:t xml:space="preserve"> </w:t>
            </w:r>
            <w:r w:rsidR="00B46C0E">
              <w:rPr>
                <w:noProof/>
                <w:sz w:val="20"/>
              </w:rPr>
              <w:t>23.9</w:t>
            </w:r>
            <w:r w:rsidRPr="00E75148">
              <w:rPr>
                <w:noProof/>
                <w:sz w:val="20"/>
              </w:rPr>
              <w:t xml:space="preserve"> </w:t>
            </w:r>
            <w:r w:rsidR="00B46C0E">
              <w:rPr>
                <w:noProof/>
                <w:sz w:val="20"/>
              </w:rPr>
              <w:t>thousand tonnes</w:t>
            </w:r>
            <w:r w:rsidRPr="00E75148">
              <w:rPr>
                <w:noProof/>
                <w:sz w:val="20"/>
              </w:rPr>
              <w:t xml:space="preserve"> of </w:t>
            </w:r>
            <w:r w:rsidR="00C400BF">
              <w:rPr>
                <w:noProof/>
                <w:sz w:val="20"/>
              </w:rPr>
              <w:t>NOx</w:t>
            </w:r>
            <w:r w:rsidRPr="00E75148">
              <w:rPr>
                <w:noProof/>
                <w:sz w:val="20"/>
              </w:rPr>
              <w:t xml:space="preserve"> saved over 202</w:t>
            </w:r>
            <w:r>
              <w:rPr>
                <w:noProof/>
                <w:sz w:val="20"/>
              </w:rPr>
              <w:t>8</w:t>
            </w:r>
            <w:r w:rsidRPr="00E75148">
              <w:rPr>
                <w:noProof/>
                <w:sz w:val="20"/>
              </w:rPr>
              <w:t>-2050 relative to the baseline</w:t>
            </w:r>
          </w:p>
          <w:p w14:paraId="491CA44F" w14:textId="77777777" w:rsidR="00C400BF" w:rsidRDefault="00C400BF" w:rsidP="001A0453">
            <w:pPr>
              <w:rPr>
                <w:noProof/>
                <w:sz w:val="20"/>
              </w:rPr>
            </w:pPr>
          </w:p>
          <w:p w14:paraId="0281BDD3" w14:textId="77777777" w:rsidR="00C400BF" w:rsidRDefault="00C400BF" w:rsidP="00312034">
            <w:pPr>
              <w:rPr>
                <w:noProof/>
                <w:sz w:val="20"/>
              </w:rPr>
            </w:pPr>
            <w:r w:rsidRPr="0040606F">
              <w:rPr>
                <w:i/>
                <w:iCs/>
                <w:noProof/>
                <w:sz w:val="20"/>
              </w:rPr>
              <w:t xml:space="preserve">Decrease in </w:t>
            </w:r>
            <w:r>
              <w:rPr>
                <w:i/>
                <w:iCs/>
                <w:noProof/>
                <w:sz w:val="20"/>
              </w:rPr>
              <w:t>particulate matter (PM2.5)</w:t>
            </w:r>
            <w:r w:rsidRPr="00514383">
              <w:rPr>
                <w:i/>
                <w:iCs/>
                <w:noProof/>
                <w:sz w:val="20"/>
              </w:rPr>
              <w:t xml:space="preserve"> emissions:</w:t>
            </w:r>
            <w:r w:rsidR="00127D87">
              <w:rPr>
                <w:noProof/>
                <w:sz w:val="20"/>
              </w:rPr>
              <w:t>1.5</w:t>
            </w:r>
            <w:r w:rsidRPr="00E75148">
              <w:rPr>
                <w:noProof/>
                <w:sz w:val="20"/>
              </w:rPr>
              <w:t xml:space="preserve"> </w:t>
            </w:r>
            <w:r>
              <w:rPr>
                <w:noProof/>
                <w:sz w:val="20"/>
              </w:rPr>
              <w:t>thousand tonnes</w:t>
            </w:r>
            <w:r w:rsidRPr="00E75148">
              <w:rPr>
                <w:noProof/>
                <w:sz w:val="20"/>
              </w:rPr>
              <w:t xml:space="preserve"> of </w:t>
            </w:r>
            <w:r w:rsidR="00127D87">
              <w:rPr>
                <w:noProof/>
                <w:sz w:val="20"/>
              </w:rPr>
              <w:t>PM2.5</w:t>
            </w:r>
            <w:r w:rsidRPr="00E75148">
              <w:rPr>
                <w:noProof/>
                <w:sz w:val="20"/>
              </w:rPr>
              <w:t xml:space="preserve"> saved over 202</w:t>
            </w:r>
            <w:r>
              <w:rPr>
                <w:noProof/>
                <w:sz w:val="20"/>
              </w:rPr>
              <w:t>8</w:t>
            </w:r>
            <w:r w:rsidRPr="00E75148">
              <w:rPr>
                <w:noProof/>
                <w:sz w:val="20"/>
              </w:rPr>
              <w:t>-2050 relative to the baseline</w:t>
            </w:r>
          </w:p>
          <w:p w14:paraId="4B453564" w14:textId="77777777" w:rsidR="00312034" w:rsidRDefault="00312034" w:rsidP="00312034">
            <w:pPr>
              <w:rPr>
                <w:noProof/>
                <w:sz w:val="20"/>
              </w:rPr>
            </w:pPr>
          </w:p>
          <w:p w14:paraId="4E003974" w14:textId="181C3D35" w:rsidR="00312034" w:rsidRPr="00F92EAE" w:rsidRDefault="00312034" w:rsidP="00312034">
            <w:pPr>
              <w:rPr>
                <w:noProof/>
                <w:sz w:val="20"/>
              </w:rPr>
            </w:pPr>
            <w:r w:rsidRPr="00E06D26">
              <w:rPr>
                <w:i/>
                <w:iCs/>
                <w:noProof/>
                <w:sz w:val="20"/>
              </w:rPr>
              <w:t>Decrease in noise emissions:</w:t>
            </w:r>
            <w:r>
              <w:rPr>
                <w:noProof/>
                <w:sz w:val="20"/>
              </w:rPr>
              <w:t xml:space="preserve"> T</w:t>
            </w:r>
            <w:r w:rsidRPr="00312034">
              <w:rPr>
                <w:noProof/>
                <w:sz w:val="20"/>
              </w:rPr>
              <w:t xml:space="preserve">he savings in external costs of noise emissions are estimated at EUR </w:t>
            </w:r>
            <w:r w:rsidR="00456506">
              <w:rPr>
                <w:noProof/>
                <w:sz w:val="20"/>
              </w:rPr>
              <w:t>2.1</w:t>
            </w:r>
            <w:r w:rsidRPr="00312034">
              <w:rPr>
                <w:noProof/>
                <w:sz w:val="20"/>
              </w:rPr>
              <w:t xml:space="preserve"> billion, expressed as present value over 202</w:t>
            </w:r>
            <w:r>
              <w:rPr>
                <w:noProof/>
                <w:sz w:val="20"/>
              </w:rPr>
              <w:t>8</w:t>
            </w:r>
            <w:r w:rsidRPr="00312034">
              <w:rPr>
                <w:noProof/>
                <w:sz w:val="20"/>
              </w:rPr>
              <w:t>-2050 relative to the baseline.</w:t>
            </w:r>
          </w:p>
        </w:tc>
        <w:tc>
          <w:tcPr>
            <w:tcW w:w="1790" w:type="pct"/>
            <w:tcBorders>
              <w:top w:val="single" w:sz="4" w:space="0" w:color="auto"/>
              <w:bottom w:val="single" w:sz="4" w:space="0" w:color="auto"/>
            </w:tcBorders>
            <w:tcMar>
              <w:top w:w="57" w:type="dxa"/>
              <w:left w:w="57" w:type="dxa"/>
              <w:bottom w:w="57" w:type="dxa"/>
              <w:right w:w="57" w:type="dxa"/>
            </w:tcMar>
          </w:tcPr>
          <w:p w14:paraId="79A8EB48" w14:textId="77B09B3E" w:rsidR="00DC0A84" w:rsidRPr="00F92EAE" w:rsidRDefault="00312034" w:rsidP="001A0453">
            <w:pPr>
              <w:rPr>
                <w:noProof/>
                <w:sz w:val="20"/>
              </w:rPr>
            </w:pPr>
            <w:r w:rsidRPr="00312034">
              <w:rPr>
                <w:noProof/>
                <w:sz w:val="20"/>
              </w:rPr>
              <w:t>The reduction of air pollutant emissions and of noise emissions will result in cost savings associated with improved air quality, reduced health impacts, and enhanced well-being. Expressed as present value over 202</w:t>
            </w:r>
            <w:r w:rsidR="00753870">
              <w:rPr>
                <w:noProof/>
                <w:sz w:val="20"/>
              </w:rPr>
              <w:t>8</w:t>
            </w:r>
            <w:r w:rsidRPr="00312034">
              <w:rPr>
                <w:noProof/>
                <w:sz w:val="20"/>
              </w:rPr>
              <w:t xml:space="preserve">-2050, these costs savings are estimated at EUR </w:t>
            </w:r>
            <w:r w:rsidR="002D14D2">
              <w:rPr>
                <w:noProof/>
                <w:sz w:val="20"/>
              </w:rPr>
              <w:t>0.7</w:t>
            </w:r>
            <w:r w:rsidRPr="00312034">
              <w:rPr>
                <w:noProof/>
                <w:sz w:val="20"/>
              </w:rPr>
              <w:t xml:space="preserve"> billion for air pollutant emissions, and at EUR </w:t>
            </w:r>
            <w:r w:rsidR="002D14D2">
              <w:rPr>
                <w:noProof/>
                <w:sz w:val="20"/>
              </w:rPr>
              <w:t>2.1</w:t>
            </w:r>
            <w:r w:rsidRPr="00312034">
              <w:rPr>
                <w:noProof/>
                <w:sz w:val="20"/>
              </w:rPr>
              <w:t xml:space="preserve"> billion for noise emissions relative to the baseline.</w:t>
            </w:r>
          </w:p>
        </w:tc>
      </w:tr>
      <w:tr w:rsidR="00DC0A84" w:rsidRPr="00F92EAE" w14:paraId="4F98AD06" w14:textId="77777777" w:rsidTr="00C544E6">
        <w:tc>
          <w:tcPr>
            <w:tcW w:w="1230" w:type="pct"/>
            <w:tcBorders>
              <w:bottom w:val="double" w:sz="4" w:space="0" w:color="auto"/>
            </w:tcBorders>
          </w:tcPr>
          <w:p w14:paraId="0A9E23C3" w14:textId="210F3A56" w:rsidR="00DC0A84" w:rsidRPr="00F92EAE" w:rsidRDefault="009417CA" w:rsidP="001A0453">
            <w:pPr>
              <w:rPr>
                <w:noProof/>
                <w:sz w:val="20"/>
              </w:rPr>
            </w:pPr>
            <w:r w:rsidRPr="003B71F0">
              <w:rPr>
                <w:noProof/>
                <w:sz w:val="20"/>
              </w:rPr>
              <w:t>SDG</w:t>
            </w:r>
            <w:r w:rsidR="00CD40F0">
              <w:rPr>
                <w:noProof/>
                <w:sz w:val="20"/>
              </w:rPr>
              <w:t>#</w:t>
            </w:r>
            <w:r w:rsidRPr="003B71F0">
              <w:rPr>
                <w:noProof/>
                <w:sz w:val="20"/>
              </w:rPr>
              <w:t>9</w:t>
            </w:r>
            <w:r>
              <w:rPr>
                <w:noProof/>
                <w:sz w:val="20"/>
              </w:rPr>
              <w:t xml:space="preserve"> (</w:t>
            </w:r>
            <w:r w:rsidRPr="003B71F0">
              <w:rPr>
                <w:noProof/>
                <w:sz w:val="20"/>
              </w:rPr>
              <w:t>Make cities and human settlements inclusive, safe, resilient and sustainable</w:t>
            </w:r>
            <w:r>
              <w:rPr>
                <w:noProof/>
                <w:sz w:val="20"/>
              </w:rPr>
              <w:t>)</w:t>
            </w:r>
          </w:p>
        </w:tc>
        <w:tc>
          <w:tcPr>
            <w:tcW w:w="1981" w:type="pct"/>
            <w:tcBorders>
              <w:bottom w:val="double" w:sz="4" w:space="0" w:color="auto"/>
            </w:tcBorders>
            <w:tcMar>
              <w:top w:w="57" w:type="dxa"/>
              <w:left w:w="57" w:type="dxa"/>
              <w:bottom w:w="57" w:type="dxa"/>
              <w:right w:w="57" w:type="dxa"/>
            </w:tcMar>
          </w:tcPr>
          <w:p w14:paraId="37511ECE" w14:textId="263EAD86" w:rsidR="00BC5244" w:rsidRPr="005E175B" w:rsidRDefault="00BC5244" w:rsidP="00BC5244">
            <w:pPr>
              <w:rPr>
                <w:bCs/>
                <w:iCs/>
                <w:noProof/>
                <w:sz w:val="20"/>
              </w:rPr>
            </w:pPr>
            <w:r w:rsidRPr="00DF5626">
              <w:rPr>
                <w:bCs/>
                <w:i/>
                <w:iCs/>
                <w:noProof/>
                <w:sz w:val="20"/>
              </w:rPr>
              <w:t xml:space="preserve">Decrease in the number of fatalities and injuries relative to the baseline: </w:t>
            </w:r>
            <w:r w:rsidR="0098096E" w:rsidRPr="0098096E">
              <w:rPr>
                <w:bCs/>
                <w:noProof/>
                <w:sz w:val="20"/>
              </w:rPr>
              <w:t>2,113</w:t>
            </w:r>
            <w:r w:rsidRPr="005E175B">
              <w:rPr>
                <w:bCs/>
                <w:noProof/>
                <w:sz w:val="20"/>
              </w:rPr>
              <w:t xml:space="preserve"> lives saved and </w:t>
            </w:r>
            <w:r w:rsidR="0098096E">
              <w:rPr>
                <w:bCs/>
                <w:noProof/>
                <w:sz w:val="20"/>
              </w:rPr>
              <w:t>136.9</w:t>
            </w:r>
            <w:r w:rsidRPr="005E175B">
              <w:rPr>
                <w:bCs/>
                <w:noProof/>
                <w:sz w:val="20"/>
              </w:rPr>
              <w:t xml:space="preserve"> thousand injuries avoided over 202</w:t>
            </w:r>
            <w:r>
              <w:rPr>
                <w:bCs/>
                <w:noProof/>
                <w:sz w:val="20"/>
              </w:rPr>
              <w:t>8</w:t>
            </w:r>
            <w:r w:rsidRPr="005E175B">
              <w:rPr>
                <w:bCs/>
                <w:noProof/>
                <w:sz w:val="20"/>
              </w:rPr>
              <w:t>-2050 relative to the baseline</w:t>
            </w:r>
          </w:p>
          <w:p w14:paraId="6FCE96A6" w14:textId="77777777" w:rsidR="00DC0A84" w:rsidRPr="00F92EAE" w:rsidRDefault="00DC0A84" w:rsidP="001A0453">
            <w:pPr>
              <w:rPr>
                <w:noProof/>
                <w:sz w:val="20"/>
              </w:rPr>
            </w:pPr>
          </w:p>
        </w:tc>
        <w:tc>
          <w:tcPr>
            <w:tcW w:w="1790" w:type="pct"/>
            <w:tcBorders>
              <w:bottom w:val="double" w:sz="4" w:space="0" w:color="auto"/>
            </w:tcBorders>
            <w:tcMar>
              <w:top w:w="57" w:type="dxa"/>
              <w:left w:w="57" w:type="dxa"/>
              <w:bottom w:w="57" w:type="dxa"/>
              <w:right w:w="57" w:type="dxa"/>
            </w:tcMar>
          </w:tcPr>
          <w:p w14:paraId="637661F4" w14:textId="484F7731" w:rsidR="00DC0A84" w:rsidRPr="00F92EAE" w:rsidRDefault="009355F4" w:rsidP="001A0453">
            <w:pPr>
              <w:rPr>
                <w:noProof/>
                <w:sz w:val="20"/>
              </w:rPr>
            </w:pPr>
            <w:r>
              <w:rPr>
                <w:noProof/>
                <w:sz w:val="20"/>
              </w:rPr>
              <w:t>The reduction in the number of fatalities and injuries will result in external costs savings associated to accidents</w:t>
            </w:r>
            <w:r w:rsidR="00945A75">
              <w:rPr>
                <w:noProof/>
                <w:sz w:val="20"/>
              </w:rPr>
              <w:t xml:space="preserve"> estimated at EUR 21.3 billion, e</w:t>
            </w:r>
            <w:r w:rsidR="00945A75" w:rsidRPr="00312034">
              <w:rPr>
                <w:noProof/>
                <w:sz w:val="20"/>
              </w:rPr>
              <w:t>xpressed as present value over 202</w:t>
            </w:r>
            <w:r w:rsidR="00945A75">
              <w:rPr>
                <w:noProof/>
                <w:sz w:val="20"/>
              </w:rPr>
              <w:t>8</w:t>
            </w:r>
            <w:r w:rsidR="00945A75" w:rsidRPr="00312034">
              <w:rPr>
                <w:noProof/>
                <w:sz w:val="20"/>
              </w:rPr>
              <w:t>-2050</w:t>
            </w:r>
            <w:r w:rsidR="00945A75">
              <w:rPr>
                <w:noProof/>
                <w:sz w:val="20"/>
              </w:rPr>
              <w:t xml:space="preserve"> relative to the baseline</w:t>
            </w:r>
          </w:p>
        </w:tc>
      </w:tr>
    </w:tbl>
    <w:p w14:paraId="43F4F60E" w14:textId="77777777" w:rsidR="00DC0A84" w:rsidRPr="003543C0" w:rsidRDefault="00DC0A84" w:rsidP="003543C0">
      <w:pPr>
        <w:pStyle w:val="BodyText"/>
        <w:spacing w:after="240"/>
        <w:ind w:left="0" w:right="-26"/>
        <w:rPr>
          <w:noProof/>
          <w:spacing w:val="-8"/>
        </w:rPr>
      </w:pPr>
    </w:p>
    <w:p w14:paraId="5DD77DFF" w14:textId="77777777" w:rsidR="003543C0" w:rsidRPr="003543C0" w:rsidRDefault="003543C0" w:rsidP="003543C0">
      <w:pPr>
        <w:pStyle w:val="BodyText"/>
        <w:spacing w:after="240"/>
        <w:ind w:left="0" w:right="-26"/>
        <w:rPr>
          <w:noProof/>
          <w:spacing w:val="-8"/>
        </w:rPr>
      </w:pPr>
    </w:p>
    <w:p w14:paraId="52F3C39E" w14:textId="77777777" w:rsidR="00DC0A84" w:rsidRPr="003543C0" w:rsidRDefault="00DC0A84" w:rsidP="003543C0">
      <w:pPr>
        <w:pStyle w:val="BodyText"/>
        <w:spacing w:after="240"/>
        <w:ind w:left="0" w:right="-26"/>
        <w:rPr>
          <w:noProof/>
          <w:spacing w:val="-8"/>
        </w:rPr>
        <w:sectPr w:rsidR="00DC0A84" w:rsidRPr="003543C0" w:rsidSect="00C66146">
          <w:headerReference w:type="default" r:id="rId38"/>
          <w:footerReference w:type="default" r:id="rId39"/>
          <w:type w:val="nextColumn"/>
          <w:pgSz w:w="11910" w:h="16840"/>
          <w:pgMar w:top="1021" w:right="709" w:bottom="1021" w:left="1588" w:header="0" w:footer="1147" w:gutter="0"/>
          <w:cols w:space="720"/>
        </w:sectPr>
      </w:pPr>
    </w:p>
    <w:p w14:paraId="008E9765" w14:textId="77777777" w:rsidR="00712390" w:rsidRPr="00D71008" w:rsidRDefault="00712390">
      <w:pPr>
        <w:pStyle w:val="BodyText"/>
        <w:spacing w:before="21"/>
        <w:ind w:left="0"/>
        <w:jc w:val="left"/>
        <w:rPr>
          <w:b/>
          <w:noProof/>
          <w:sz w:val="20"/>
        </w:rPr>
      </w:pPr>
    </w:p>
    <w:p w14:paraId="25C03783" w14:textId="191ED804" w:rsidR="00712390" w:rsidRPr="00D71008" w:rsidRDefault="003C4819" w:rsidP="00A93E55">
      <w:pPr>
        <w:pStyle w:val="Heading1"/>
        <w:spacing w:before="0" w:after="240"/>
        <w:jc w:val="center"/>
        <w:rPr>
          <w:smallCaps/>
          <w:noProof/>
        </w:rPr>
      </w:pPr>
      <w:bookmarkStart w:id="302" w:name="Annex_4:_Analytical_methods"/>
      <w:bookmarkStart w:id="303" w:name="_Toc223980010"/>
      <w:bookmarkEnd w:id="302"/>
      <w:r w:rsidRPr="00D71008">
        <w:rPr>
          <w:smallCaps/>
          <w:noProof/>
        </w:rPr>
        <w:t>Annex 4: Analytical methods</w:t>
      </w:r>
      <w:bookmarkEnd w:id="303"/>
    </w:p>
    <w:p w14:paraId="5A1E7514" w14:textId="061304BF" w:rsidR="00712390" w:rsidRPr="00D71008" w:rsidRDefault="003C4819" w:rsidP="007B2D8E">
      <w:pPr>
        <w:pStyle w:val="Heading2"/>
        <w:numPr>
          <w:ilvl w:val="0"/>
          <w:numId w:val="10"/>
        </w:numPr>
        <w:tabs>
          <w:tab w:val="left" w:pos="426"/>
        </w:tabs>
        <w:spacing w:before="240" w:after="240"/>
        <w:ind w:left="425" w:hanging="425"/>
        <w:rPr>
          <w:noProof/>
        </w:rPr>
      </w:pPr>
      <w:bookmarkStart w:id="304" w:name="1_Description_of_the_analytical_methods_"/>
      <w:bookmarkStart w:id="305" w:name="_Toc220667530"/>
      <w:bookmarkStart w:id="306" w:name="_Toc222313517"/>
      <w:bookmarkStart w:id="307" w:name="_Toc222749038"/>
      <w:bookmarkStart w:id="308" w:name="_Toc223980011"/>
      <w:bookmarkEnd w:id="304"/>
      <w:r w:rsidRPr="00D71008">
        <w:rPr>
          <w:smallCaps/>
          <w:noProof/>
        </w:rPr>
        <w:t>Description</w:t>
      </w:r>
      <w:r w:rsidRPr="00D71008">
        <w:rPr>
          <w:smallCaps/>
          <w:noProof/>
          <w:spacing w:val="-11"/>
        </w:rPr>
        <w:t xml:space="preserve"> </w:t>
      </w:r>
      <w:r w:rsidRPr="00D71008">
        <w:rPr>
          <w:smallCaps/>
          <w:noProof/>
        </w:rPr>
        <w:t>of</w:t>
      </w:r>
      <w:r w:rsidRPr="00D71008">
        <w:rPr>
          <w:smallCaps/>
          <w:noProof/>
          <w:spacing w:val="-10"/>
        </w:rPr>
        <w:t xml:space="preserve"> </w:t>
      </w:r>
      <w:r w:rsidRPr="00D71008">
        <w:rPr>
          <w:smallCaps/>
          <w:noProof/>
        </w:rPr>
        <w:t>the</w:t>
      </w:r>
      <w:r w:rsidRPr="00D71008">
        <w:rPr>
          <w:smallCaps/>
          <w:noProof/>
          <w:spacing w:val="-9"/>
        </w:rPr>
        <w:t xml:space="preserve"> </w:t>
      </w:r>
      <w:r w:rsidRPr="00D71008">
        <w:rPr>
          <w:smallCaps/>
          <w:noProof/>
        </w:rPr>
        <w:t>analytical</w:t>
      </w:r>
      <w:r w:rsidRPr="00D71008">
        <w:rPr>
          <w:smallCaps/>
          <w:noProof/>
          <w:spacing w:val="-9"/>
        </w:rPr>
        <w:t xml:space="preserve"> </w:t>
      </w:r>
      <w:r w:rsidRPr="00D71008">
        <w:rPr>
          <w:smallCaps/>
          <w:noProof/>
        </w:rPr>
        <w:t>methods</w:t>
      </w:r>
      <w:r w:rsidRPr="00D71008">
        <w:rPr>
          <w:smallCaps/>
          <w:noProof/>
          <w:spacing w:val="-9"/>
        </w:rPr>
        <w:t xml:space="preserve"> </w:t>
      </w:r>
      <w:r w:rsidRPr="00D71008">
        <w:rPr>
          <w:smallCaps/>
          <w:noProof/>
          <w:spacing w:val="-4"/>
        </w:rPr>
        <w:t>used</w:t>
      </w:r>
      <w:bookmarkEnd w:id="305"/>
      <w:bookmarkEnd w:id="306"/>
      <w:bookmarkEnd w:id="307"/>
      <w:bookmarkEnd w:id="308"/>
    </w:p>
    <w:p w14:paraId="3AA1FF4A" w14:textId="0F247E31" w:rsidR="00A01EDD" w:rsidRPr="00D71008" w:rsidRDefault="00A01EDD" w:rsidP="007503A6">
      <w:pPr>
        <w:pStyle w:val="Normaldense"/>
        <w:spacing w:after="240"/>
        <w:rPr>
          <w:rFonts w:ascii="Times New Roman" w:hAnsi="Times New Roman" w:cs="Times New Roman"/>
          <w:noProof/>
          <w:spacing w:val="-8"/>
          <w:sz w:val="24"/>
          <w:szCs w:val="24"/>
        </w:rPr>
      </w:pPr>
      <w:r w:rsidRPr="00D71008">
        <w:rPr>
          <w:rFonts w:ascii="Times New Roman" w:hAnsi="Times New Roman" w:cs="Times New Roman"/>
          <w:noProof/>
          <w:spacing w:val="-8"/>
          <w:sz w:val="24"/>
          <w:szCs w:val="24"/>
        </w:rPr>
        <w:t xml:space="preserve">The analytical framework used for the purpose of this impact assessment builds on the </w:t>
      </w:r>
      <w:r w:rsidRPr="00D71008">
        <w:rPr>
          <w:rFonts w:ascii="Times New Roman" w:hAnsi="Times New Roman" w:cs="Times New Roman"/>
          <w:i/>
          <w:iCs/>
          <w:noProof/>
          <w:spacing w:val="-8"/>
          <w:sz w:val="24"/>
          <w:szCs w:val="24"/>
        </w:rPr>
        <w:t>PRIMES-TREMOVE and ASTRA models</w:t>
      </w:r>
      <w:r w:rsidRPr="00D71008">
        <w:rPr>
          <w:rFonts w:ascii="Times New Roman" w:hAnsi="Times New Roman" w:cs="Times New Roman"/>
          <w:noProof/>
          <w:spacing w:val="-8"/>
          <w:sz w:val="24"/>
          <w:szCs w:val="24"/>
        </w:rPr>
        <w:t xml:space="preserve">, as well as on </w:t>
      </w:r>
      <w:r w:rsidR="00A94473" w:rsidRPr="00D71008">
        <w:rPr>
          <w:rFonts w:ascii="Times New Roman" w:hAnsi="Times New Roman" w:cs="Times New Roman"/>
          <w:noProof/>
          <w:spacing w:val="-8"/>
          <w:sz w:val="24"/>
          <w:szCs w:val="24"/>
        </w:rPr>
        <w:t xml:space="preserve">a suite of inputs and </w:t>
      </w:r>
      <w:r w:rsidRPr="00D71008">
        <w:rPr>
          <w:rFonts w:ascii="Times New Roman" w:hAnsi="Times New Roman" w:cs="Times New Roman"/>
          <w:noProof/>
          <w:spacing w:val="-8"/>
          <w:sz w:val="24"/>
          <w:szCs w:val="24"/>
        </w:rPr>
        <w:t>ad-hoc tools developed for the purpose of this impact assessment</w:t>
      </w:r>
      <w:r w:rsidR="00AD7C68">
        <w:rPr>
          <w:rFonts w:ascii="Times New Roman" w:hAnsi="Times New Roman" w:cs="Times New Roman"/>
          <w:noProof/>
          <w:spacing w:val="-8"/>
          <w:sz w:val="24"/>
          <w:szCs w:val="24"/>
        </w:rPr>
        <w:t xml:space="preserve"> in the context of the impact assessment support study</w:t>
      </w:r>
      <w:r w:rsidRPr="00D71008">
        <w:rPr>
          <w:rFonts w:ascii="Times New Roman" w:hAnsi="Times New Roman" w:cs="Times New Roman"/>
          <w:noProof/>
          <w:spacing w:val="-8"/>
          <w:sz w:val="24"/>
          <w:szCs w:val="24"/>
          <w:vertAlign w:val="superscript"/>
        </w:rPr>
        <w:footnoteReference w:id="256"/>
      </w:r>
      <w:r w:rsidRPr="00D71008">
        <w:rPr>
          <w:rFonts w:ascii="Times New Roman" w:hAnsi="Times New Roman" w:cs="Times New Roman"/>
          <w:noProof/>
          <w:spacing w:val="-8"/>
          <w:sz w:val="24"/>
          <w:szCs w:val="24"/>
        </w:rPr>
        <w:t>.</w:t>
      </w:r>
    </w:p>
    <w:p w14:paraId="74A54245" w14:textId="0B447AA8" w:rsidR="006E465B" w:rsidRPr="00D71008" w:rsidRDefault="006E465B" w:rsidP="007503A6">
      <w:pPr>
        <w:spacing w:after="240"/>
        <w:jc w:val="both"/>
        <w:rPr>
          <w:noProof/>
          <w:spacing w:val="-8"/>
        </w:rPr>
      </w:pPr>
      <w:r w:rsidRPr="00D71008">
        <w:rPr>
          <w:noProof/>
          <w:spacing w:val="-8"/>
        </w:rPr>
        <w:t>The main model used for developing the baseline scenario for this initiative is the PRIMES-TREMOVE transport model by E3Modelling, a specific module of the PRIMES models. The model has a successful record of use in the Commission's energy, transport and climate policy assessments. In particular, it has been used for the impact assessments underpinning the Communication on a 2040 climate target</w:t>
      </w:r>
      <w:r w:rsidRPr="00D71008">
        <w:rPr>
          <w:rStyle w:val="FootnoteReference"/>
          <w:noProof/>
          <w:spacing w:val="-8"/>
        </w:rPr>
        <w:footnoteReference w:id="257"/>
      </w:r>
      <w:r w:rsidRPr="00D71008">
        <w:rPr>
          <w:noProof/>
          <w:spacing w:val="-8"/>
        </w:rPr>
        <w:t>, the “Fit for 55” package</w:t>
      </w:r>
      <w:r w:rsidRPr="00D71008">
        <w:rPr>
          <w:rStyle w:val="FootnoteReference"/>
          <w:noProof/>
          <w:spacing w:val="-8"/>
        </w:rPr>
        <w:footnoteReference w:id="258"/>
      </w:r>
      <w:r w:rsidRPr="00D71008">
        <w:rPr>
          <w:noProof/>
          <w:spacing w:val="-8"/>
        </w:rPr>
        <w:t>, the impact assessments accompanying the 2030 Climate Target Plan</w:t>
      </w:r>
      <w:r w:rsidRPr="00D71008">
        <w:rPr>
          <w:noProof/>
          <w:spacing w:val="-8"/>
          <w:vertAlign w:val="superscript"/>
        </w:rPr>
        <w:footnoteReference w:id="259"/>
      </w:r>
      <w:r w:rsidRPr="00D71008">
        <w:rPr>
          <w:noProof/>
          <w:spacing w:val="-8"/>
        </w:rPr>
        <w:t xml:space="preserve"> and the Staff Working Document accompanying the Sustainable and Smart Mobility Strategy</w:t>
      </w:r>
      <w:r w:rsidRPr="00D71008">
        <w:rPr>
          <w:rStyle w:val="FootnoteReference"/>
          <w:noProof/>
          <w:spacing w:val="-8"/>
        </w:rPr>
        <w:footnoteReference w:id="260"/>
      </w:r>
      <w:r w:rsidRPr="00D71008">
        <w:rPr>
          <w:noProof/>
          <w:spacing w:val="-8"/>
        </w:rPr>
        <w:t>, the Commission’s proposal for a Long Term Strategy</w:t>
      </w:r>
      <w:r w:rsidRPr="00D71008">
        <w:rPr>
          <w:noProof/>
          <w:spacing w:val="-8"/>
          <w:vertAlign w:val="superscript"/>
        </w:rPr>
        <w:footnoteReference w:id="261"/>
      </w:r>
      <w:r w:rsidRPr="00D71008">
        <w:rPr>
          <w:noProof/>
          <w:spacing w:val="-8"/>
          <w:vertAlign w:val="superscript"/>
        </w:rPr>
        <w:t xml:space="preserve"> </w:t>
      </w:r>
      <w:r w:rsidRPr="00D71008">
        <w:rPr>
          <w:noProof/>
          <w:spacing w:val="-8"/>
        </w:rPr>
        <w:t xml:space="preserve">as well as for the 2020 and 2030 EU’s climate and energy policy framework. </w:t>
      </w:r>
    </w:p>
    <w:p w14:paraId="73A3019B" w14:textId="75C5A89E" w:rsidR="006A6F34" w:rsidRDefault="00A01EDD" w:rsidP="007503A6">
      <w:pPr>
        <w:tabs>
          <w:tab w:val="left" w:pos="2302"/>
        </w:tabs>
        <w:spacing w:after="240"/>
        <w:jc w:val="both"/>
        <w:rPr>
          <w:noProof/>
          <w:spacing w:val="-8"/>
        </w:rPr>
      </w:pPr>
      <w:r w:rsidRPr="00D71008">
        <w:rPr>
          <w:noProof/>
          <w:spacing w:val="-8"/>
        </w:rPr>
        <w:t xml:space="preserve">ASTRA is the main model used to assess the policy options presented in this impact assessment. </w:t>
      </w:r>
      <w:r w:rsidR="00F83F48" w:rsidRPr="00D71008">
        <w:rPr>
          <w:noProof/>
          <w:spacing w:val="-8"/>
        </w:rPr>
        <w:t>It</w:t>
      </w:r>
      <w:r w:rsidR="008D0992" w:rsidRPr="00D71008">
        <w:rPr>
          <w:noProof/>
          <w:spacing w:val="-8"/>
        </w:rPr>
        <w:t xml:space="preserve"> provides </w:t>
      </w:r>
      <w:r w:rsidR="00F83F48" w:rsidRPr="00D71008">
        <w:rPr>
          <w:noProof/>
          <w:spacing w:val="-8"/>
        </w:rPr>
        <w:t>results</w:t>
      </w:r>
      <w:r w:rsidR="008D0992" w:rsidRPr="00D71008">
        <w:rPr>
          <w:noProof/>
          <w:spacing w:val="-8"/>
        </w:rPr>
        <w:t xml:space="preserve"> at Member State and EU level on economic, social and environmental indicators, including external costs. </w:t>
      </w:r>
      <w:r w:rsidR="00107010" w:rsidRPr="00D71008">
        <w:rPr>
          <w:noProof/>
          <w:spacing w:val="-8"/>
        </w:rPr>
        <w:t>The ASTRA model is a well-established model that has been used for numerous impact assessments in the energy, transport and climate action fields for the past 15 years</w:t>
      </w:r>
      <w:r w:rsidR="0088495D" w:rsidRPr="00D71008">
        <w:rPr>
          <w:rStyle w:val="FootnoteReference"/>
          <w:noProof/>
          <w:spacing w:val="-8"/>
        </w:rPr>
        <w:footnoteReference w:id="262"/>
      </w:r>
      <w:r w:rsidR="00107010" w:rsidRPr="00D71008">
        <w:rPr>
          <w:noProof/>
          <w:spacing w:val="-8"/>
        </w:rPr>
        <w:t xml:space="preserve">. </w:t>
      </w:r>
      <w:r w:rsidR="008F7F79" w:rsidRPr="00D71008">
        <w:rPr>
          <w:noProof/>
          <w:spacing w:val="-8"/>
        </w:rPr>
        <w:t xml:space="preserve">The baseline scenario of the ASTRA model has been </w:t>
      </w:r>
      <w:r w:rsidR="00E1513C" w:rsidRPr="00D71008">
        <w:rPr>
          <w:noProof/>
          <w:spacing w:val="-8"/>
        </w:rPr>
        <w:t xml:space="preserve">calibrated on the PRIMES-TREMOVE results. </w:t>
      </w:r>
    </w:p>
    <w:p w14:paraId="36FF425C" w14:textId="6063C33C" w:rsidR="00AB3983" w:rsidRPr="005D2D60" w:rsidRDefault="00AB3983" w:rsidP="00AB3983">
      <w:pPr>
        <w:tabs>
          <w:tab w:val="left" w:pos="2302"/>
        </w:tabs>
        <w:spacing w:after="240"/>
        <w:jc w:val="both"/>
        <w:rPr>
          <w:noProof/>
          <w:spacing w:val="-8"/>
        </w:rPr>
      </w:pPr>
      <w:r w:rsidRPr="00202FA5">
        <w:rPr>
          <w:b/>
          <w:bCs/>
          <w:noProof/>
          <w:spacing w:val="-8"/>
        </w:rPr>
        <w:t xml:space="preserve">The assessment of impacts </w:t>
      </w:r>
      <w:r>
        <w:rPr>
          <w:b/>
          <w:bCs/>
          <w:noProof/>
          <w:spacing w:val="-8"/>
        </w:rPr>
        <w:t xml:space="preserve">builds </w:t>
      </w:r>
      <w:r w:rsidRPr="00202FA5">
        <w:rPr>
          <w:b/>
          <w:bCs/>
          <w:noProof/>
          <w:spacing w:val="-8"/>
        </w:rPr>
        <w:t xml:space="preserve">significantly on evidence from a </w:t>
      </w:r>
      <w:r w:rsidRPr="009F40CE">
        <w:rPr>
          <w:b/>
          <w:bCs/>
          <w:noProof/>
          <w:spacing w:val="-8"/>
        </w:rPr>
        <w:t>2024 Eurobarometer survey on ticketing</w:t>
      </w:r>
      <w:r w:rsidRPr="00202FA5">
        <w:rPr>
          <w:rStyle w:val="FootnoteReference"/>
          <w:b/>
          <w:bCs/>
          <w:noProof/>
          <w:spacing w:val="-8"/>
        </w:rPr>
        <w:footnoteReference w:id="263"/>
      </w:r>
      <w:r w:rsidRPr="005D2D60">
        <w:rPr>
          <w:b/>
          <w:noProof/>
          <w:spacing w:val="-8"/>
        </w:rPr>
        <w:t xml:space="preserve"> and the in-depth analysis of </w:t>
      </w:r>
      <w:r w:rsidRPr="00202FA5">
        <w:rPr>
          <w:b/>
          <w:bCs/>
          <w:noProof/>
          <w:spacing w:val="-8"/>
        </w:rPr>
        <w:t>100 origin-destination (OD) routes</w:t>
      </w:r>
      <w:r>
        <w:rPr>
          <w:noProof/>
          <w:spacing w:val="-8"/>
        </w:rPr>
        <w:t xml:space="preserve">, conducted in the context of the impact assessment support study. </w:t>
      </w:r>
      <w:r w:rsidR="00B25C98">
        <w:rPr>
          <w:noProof/>
          <w:spacing w:val="-8"/>
        </w:rPr>
        <w:t xml:space="preserve">In addition, </w:t>
      </w:r>
      <w:r w:rsidR="00624CDB">
        <w:rPr>
          <w:b/>
          <w:bCs/>
          <w:noProof/>
          <w:spacing w:val="-8"/>
        </w:rPr>
        <w:t xml:space="preserve">an expert </w:t>
      </w:r>
      <w:r w:rsidR="006E20F3" w:rsidRPr="00BD5897">
        <w:rPr>
          <w:b/>
          <w:noProof/>
          <w:spacing w:val="-8"/>
        </w:rPr>
        <w:t>workshop</w:t>
      </w:r>
      <w:r w:rsidR="00624CDB">
        <w:rPr>
          <w:b/>
          <w:bCs/>
          <w:noProof/>
          <w:spacing w:val="-8"/>
        </w:rPr>
        <w:t xml:space="preserve"> </w:t>
      </w:r>
      <w:r w:rsidR="00355B5D">
        <w:rPr>
          <w:b/>
          <w:bCs/>
          <w:noProof/>
          <w:spacing w:val="-8"/>
        </w:rPr>
        <w:t>was</w:t>
      </w:r>
      <w:r w:rsidR="006E20F3" w:rsidRPr="00BD5897">
        <w:rPr>
          <w:b/>
          <w:noProof/>
          <w:spacing w:val="-8"/>
        </w:rPr>
        <w:t xml:space="preserve"> organised to </w:t>
      </w:r>
      <w:r w:rsidR="00DB4147">
        <w:rPr>
          <w:b/>
          <w:bCs/>
          <w:noProof/>
          <w:spacing w:val="-8"/>
        </w:rPr>
        <w:t>discuss</w:t>
      </w:r>
      <w:r w:rsidR="006E20F3" w:rsidRPr="00537F3B">
        <w:rPr>
          <w:b/>
          <w:noProof/>
          <w:spacing w:val="-8"/>
        </w:rPr>
        <w:t xml:space="preserve"> the</w:t>
      </w:r>
      <w:r w:rsidR="000D4C08">
        <w:rPr>
          <w:b/>
          <w:bCs/>
          <w:noProof/>
          <w:spacing w:val="-8"/>
        </w:rPr>
        <w:t xml:space="preserve"> maximum potential modal shift </w:t>
      </w:r>
      <w:r w:rsidR="00355B5D" w:rsidRPr="00355B5D">
        <w:rPr>
          <w:b/>
          <w:bCs/>
          <w:noProof/>
          <w:spacing w:val="-8"/>
        </w:rPr>
        <w:t>due to the ability to see all offerings on MDMS platforms and the ability to book all visible travel options on MDMS platforms</w:t>
      </w:r>
      <w:r w:rsidR="00355B5D">
        <w:rPr>
          <w:b/>
          <w:bCs/>
          <w:noProof/>
          <w:spacing w:val="-8"/>
        </w:rPr>
        <w:t>, and an additional stakeholders</w:t>
      </w:r>
      <w:r w:rsidR="007A10A5">
        <w:rPr>
          <w:b/>
          <w:bCs/>
          <w:noProof/>
          <w:spacing w:val="-8"/>
        </w:rPr>
        <w:t>’ workshop was organised to validate the</w:t>
      </w:r>
      <w:r w:rsidR="006E20F3" w:rsidRPr="00972BDA">
        <w:rPr>
          <w:b/>
          <w:noProof/>
          <w:spacing w:val="-8"/>
        </w:rPr>
        <w:t xml:space="preserve"> inputs used</w:t>
      </w:r>
      <w:r w:rsidR="007A10A5">
        <w:rPr>
          <w:b/>
          <w:bCs/>
          <w:noProof/>
          <w:spacing w:val="-8"/>
        </w:rPr>
        <w:t xml:space="preserve"> for the policy options</w:t>
      </w:r>
      <w:r w:rsidR="006E20F3" w:rsidRPr="00972BDA">
        <w:rPr>
          <w:b/>
          <w:noProof/>
          <w:spacing w:val="-8"/>
        </w:rPr>
        <w:t xml:space="preserve"> </w:t>
      </w:r>
      <w:r w:rsidR="005A450C" w:rsidRPr="00972BDA">
        <w:rPr>
          <w:b/>
          <w:noProof/>
          <w:spacing w:val="-8"/>
        </w:rPr>
        <w:t xml:space="preserve">in </w:t>
      </w:r>
      <w:r w:rsidR="00A508DB">
        <w:rPr>
          <w:b/>
          <w:bCs/>
          <w:noProof/>
          <w:spacing w:val="-8"/>
        </w:rPr>
        <w:t xml:space="preserve">the </w:t>
      </w:r>
      <w:r w:rsidR="005A450C" w:rsidRPr="00972BDA">
        <w:rPr>
          <w:b/>
          <w:noProof/>
          <w:spacing w:val="-8"/>
        </w:rPr>
        <w:t>ASTRA</w:t>
      </w:r>
      <w:r w:rsidR="00A508DB">
        <w:rPr>
          <w:b/>
          <w:bCs/>
          <w:noProof/>
          <w:spacing w:val="-8"/>
        </w:rPr>
        <w:t xml:space="preserve"> model</w:t>
      </w:r>
      <w:r w:rsidR="005A450C">
        <w:rPr>
          <w:noProof/>
          <w:spacing w:val="-8"/>
        </w:rPr>
        <w:t xml:space="preserve">. </w:t>
      </w:r>
      <w:r w:rsidR="004E2E42">
        <w:rPr>
          <w:noProof/>
          <w:spacing w:val="-8"/>
        </w:rPr>
        <w:t xml:space="preserve">More details on how this evidence was used are provided in the sections below. </w:t>
      </w:r>
    </w:p>
    <w:p w14:paraId="211586F0" w14:textId="4E05F34F" w:rsidR="008F7F79" w:rsidRPr="00D71008" w:rsidRDefault="00B1416B" w:rsidP="007503A6">
      <w:pPr>
        <w:tabs>
          <w:tab w:val="left" w:pos="2302"/>
        </w:tabs>
        <w:spacing w:after="240"/>
        <w:jc w:val="both"/>
        <w:rPr>
          <w:noProof/>
          <w:spacing w:val="-8"/>
        </w:rPr>
      </w:pPr>
      <w:r w:rsidRPr="00D71008">
        <w:rPr>
          <w:noProof/>
          <w:spacing w:val="-8"/>
        </w:rPr>
        <w:t>A</w:t>
      </w:r>
      <w:r w:rsidR="00DD4335" w:rsidRPr="00D71008">
        <w:rPr>
          <w:noProof/>
          <w:spacing w:val="-8"/>
        </w:rPr>
        <w:t xml:space="preserve"> </w:t>
      </w:r>
      <w:r w:rsidR="00CE75BD" w:rsidRPr="00D71008">
        <w:rPr>
          <w:noProof/>
          <w:spacing w:val="-8"/>
        </w:rPr>
        <w:t xml:space="preserve">suite of inputs and ad-hoc tools have been developed </w:t>
      </w:r>
      <w:r w:rsidR="00794FE3">
        <w:rPr>
          <w:noProof/>
          <w:spacing w:val="-8"/>
        </w:rPr>
        <w:t xml:space="preserve">in the context of the impact assessment support study </w:t>
      </w:r>
      <w:r w:rsidR="00F2438F" w:rsidRPr="00D71008">
        <w:rPr>
          <w:noProof/>
          <w:spacing w:val="-8"/>
        </w:rPr>
        <w:t>that feed into the ASTRA model</w:t>
      </w:r>
      <w:r w:rsidR="002A02F1" w:rsidRPr="00D71008">
        <w:rPr>
          <w:noProof/>
          <w:spacing w:val="-8"/>
        </w:rPr>
        <w:t>:</w:t>
      </w:r>
    </w:p>
    <w:p w14:paraId="05204744" w14:textId="08189210" w:rsidR="00DF521C" w:rsidRPr="00D71008" w:rsidRDefault="00C35E94" w:rsidP="007B2D8E">
      <w:pPr>
        <w:pStyle w:val="ListParagraph"/>
        <w:numPr>
          <w:ilvl w:val="0"/>
          <w:numId w:val="7"/>
        </w:numPr>
        <w:tabs>
          <w:tab w:val="left" w:pos="2302"/>
        </w:tabs>
        <w:spacing w:after="240"/>
        <w:ind w:left="426" w:hanging="426"/>
        <w:jc w:val="both"/>
        <w:rPr>
          <w:noProof/>
          <w:spacing w:val="-8"/>
          <w:sz w:val="24"/>
          <w:szCs w:val="24"/>
        </w:rPr>
      </w:pPr>
      <w:r w:rsidRPr="00D71008">
        <w:rPr>
          <w:i/>
          <w:iCs/>
          <w:noProof/>
          <w:spacing w:val="-8"/>
          <w:sz w:val="24"/>
          <w:szCs w:val="24"/>
        </w:rPr>
        <w:t>Route clustering.</w:t>
      </w:r>
      <w:r w:rsidRPr="00D71008">
        <w:rPr>
          <w:noProof/>
          <w:spacing w:val="-8"/>
          <w:sz w:val="24"/>
          <w:szCs w:val="24"/>
        </w:rPr>
        <w:t xml:space="preserve"> </w:t>
      </w:r>
      <w:r w:rsidR="007373CE" w:rsidRPr="00D71008">
        <w:rPr>
          <w:noProof/>
          <w:spacing w:val="-8"/>
          <w:sz w:val="24"/>
          <w:szCs w:val="24"/>
        </w:rPr>
        <w:t xml:space="preserve">The policy measures assessed </w:t>
      </w:r>
      <w:r w:rsidR="00403458" w:rsidRPr="00D71008">
        <w:rPr>
          <w:noProof/>
          <w:spacing w:val="-8"/>
          <w:sz w:val="24"/>
          <w:szCs w:val="24"/>
        </w:rPr>
        <w:t xml:space="preserve">are expected to </w:t>
      </w:r>
      <w:r w:rsidR="007373CE" w:rsidRPr="00D71008">
        <w:rPr>
          <w:noProof/>
          <w:spacing w:val="-8"/>
          <w:sz w:val="24"/>
          <w:szCs w:val="24"/>
        </w:rPr>
        <w:t xml:space="preserve">have an impact on </w:t>
      </w:r>
      <w:r w:rsidR="00540798" w:rsidRPr="00D71008">
        <w:rPr>
          <w:noProof/>
          <w:spacing w:val="-8"/>
          <w:sz w:val="24"/>
          <w:szCs w:val="24"/>
        </w:rPr>
        <w:t>modal shares</w:t>
      </w:r>
      <w:r w:rsidR="001F382F" w:rsidRPr="00D71008">
        <w:rPr>
          <w:noProof/>
          <w:spacing w:val="-8"/>
          <w:sz w:val="24"/>
          <w:szCs w:val="24"/>
        </w:rPr>
        <w:t xml:space="preserve">. </w:t>
      </w:r>
      <w:r w:rsidR="00755ABA" w:rsidRPr="00D71008">
        <w:rPr>
          <w:noProof/>
          <w:spacing w:val="-8"/>
          <w:sz w:val="24"/>
          <w:szCs w:val="24"/>
        </w:rPr>
        <w:t>Depending on factors such as geography, existing transport service</w:t>
      </w:r>
      <w:r w:rsidR="00C55F90" w:rsidRPr="00D71008">
        <w:rPr>
          <w:noProof/>
          <w:spacing w:val="-8"/>
          <w:sz w:val="24"/>
          <w:szCs w:val="24"/>
        </w:rPr>
        <w:t>s</w:t>
      </w:r>
      <w:r w:rsidR="00755ABA" w:rsidRPr="00D71008">
        <w:rPr>
          <w:noProof/>
          <w:spacing w:val="-8"/>
          <w:sz w:val="24"/>
          <w:szCs w:val="24"/>
        </w:rPr>
        <w:t xml:space="preserve"> offering and MDMS </w:t>
      </w:r>
      <w:r w:rsidR="00C55F90" w:rsidRPr="00D71008">
        <w:rPr>
          <w:noProof/>
          <w:spacing w:val="-8"/>
          <w:sz w:val="24"/>
          <w:szCs w:val="24"/>
        </w:rPr>
        <w:t>platforms</w:t>
      </w:r>
      <w:r w:rsidR="00755ABA" w:rsidRPr="00D71008">
        <w:rPr>
          <w:noProof/>
          <w:spacing w:val="-8"/>
          <w:sz w:val="24"/>
          <w:szCs w:val="24"/>
        </w:rPr>
        <w:t xml:space="preserve"> maturity</w:t>
      </w:r>
      <w:r w:rsidR="00CF3C7D" w:rsidRPr="00D71008">
        <w:rPr>
          <w:noProof/>
          <w:spacing w:val="-8"/>
          <w:sz w:val="24"/>
          <w:szCs w:val="24"/>
        </w:rPr>
        <w:t>,</w:t>
      </w:r>
      <w:r w:rsidR="003D444D" w:rsidRPr="00D71008">
        <w:rPr>
          <w:noProof/>
          <w:spacing w:val="-8"/>
          <w:sz w:val="24"/>
          <w:szCs w:val="24"/>
        </w:rPr>
        <w:t xml:space="preserve"> the changes in modal shares are likely to be route-dependent</w:t>
      </w:r>
      <w:r w:rsidR="00535DCA" w:rsidRPr="00D71008">
        <w:rPr>
          <w:noProof/>
          <w:spacing w:val="-8"/>
          <w:sz w:val="24"/>
          <w:szCs w:val="24"/>
        </w:rPr>
        <w:t>.</w:t>
      </w:r>
      <w:r w:rsidR="003D444D" w:rsidRPr="00D71008">
        <w:rPr>
          <w:noProof/>
          <w:spacing w:val="-8"/>
          <w:sz w:val="24"/>
          <w:szCs w:val="24"/>
        </w:rPr>
        <w:t xml:space="preserve"> </w:t>
      </w:r>
      <w:r w:rsidR="00CD7109" w:rsidRPr="00D71008">
        <w:rPr>
          <w:noProof/>
          <w:spacing w:val="-8"/>
          <w:sz w:val="24"/>
          <w:szCs w:val="24"/>
        </w:rPr>
        <w:t>100 origin-destination (OD) routes are selected for in-depth analysis</w:t>
      </w:r>
      <w:r w:rsidR="00837854" w:rsidRPr="00D71008">
        <w:rPr>
          <w:noProof/>
          <w:spacing w:val="-8"/>
          <w:sz w:val="24"/>
          <w:szCs w:val="24"/>
        </w:rPr>
        <w:t xml:space="preserve">. </w:t>
      </w:r>
      <w:r w:rsidR="00B13DFB" w:rsidRPr="00D71008">
        <w:rPr>
          <w:noProof/>
          <w:spacing w:val="-8"/>
          <w:sz w:val="24"/>
          <w:szCs w:val="24"/>
        </w:rPr>
        <w:t xml:space="preserve">They are grouped into ‘clusters’ </w:t>
      </w:r>
      <w:r w:rsidR="00621D65" w:rsidRPr="00D71008">
        <w:rPr>
          <w:noProof/>
          <w:spacing w:val="-8"/>
          <w:sz w:val="24"/>
          <w:szCs w:val="24"/>
        </w:rPr>
        <w:t xml:space="preserve">that capture the full range of impacts expected across different routes in the EU </w:t>
      </w:r>
      <w:r w:rsidR="00AF3508" w:rsidRPr="00D71008">
        <w:rPr>
          <w:noProof/>
          <w:spacing w:val="-8"/>
          <w:sz w:val="24"/>
          <w:szCs w:val="24"/>
        </w:rPr>
        <w:t xml:space="preserve">and are further used </w:t>
      </w:r>
      <w:r w:rsidR="00F7522D" w:rsidRPr="00D71008">
        <w:rPr>
          <w:noProof/>
          <w:spacing w:val="-8"/>
          <w:sz w:val="24"/>
          <w:szCs w:val="24"/>
        </w:rPr>
        <w:t xml:space="preserve">in the Multi Parameter Analysis (MPA) module. </w:t>
      </w:r>
    </w:p>
    <w:p w14:paraId="32B28E53" w14:textId="06FEE6C5" w:rsidR="00FC6D35" w:rsidRPr="00D71008" w:rsidRDefault="00C35E94" w:rsidP="007B2D8E">
      <w:pPr>
        <w:pStyle w:val="ListParagraph"/>
        <w:numPr>
          <w:ilvl w:val="0"/>
          <w:numId w:val="7"/>
        </w:numPr>
        <w:tabs>
          <w:tab w:val="left" w:pos="2302"/>
        </w:tabs>
        <w:spacing w:after="240"/>
        <w:ind w:left="426" w:hanging="426"/>
        <w:jc w:val="both"/>
        <w:rPr>
          <w:noProof/>
          <w:spacing w:val="-8"/>
          <w:sz w:val="24"/>
          <w:szCs w:val="24"/>
        </w:rPr>
      </w:pPr>
      <w:r w:rsidRPr="00117904">
        <w:rPr>
          <w:i/>
          <w:noProof/>
          <w:spacing w:val="-8"/>
          <w:sz w:val="24"/>
          <w:szCs w:val="24"/>
        </w:rPr>
        <w:t xml:space="preserve">Multi Parameter Analysis (MPA) module. </w:t>
      </w:r>
      <w:r w:rsidRPr="00D71008">
        <w:rPr>
          <w:noProof/>
          <w:spacing w:val="-8"/>
          <w:sz w:val="24"/>
          <w:szCs w:val="24"/>
        </w:rPr>
        <w:t>Th</w:t>
      </w:r>
      <w:r w:rsidR="00FC6D35" w:rsidRPr="00D71008">
        <w:rPr>
          <w:noProof/>
          <w:spacing w:val="-8"/>
          <w:sz w:val="24"/>
          <w:szCs w:val="24"/>
        </w:rPr>
        <w:t>e</w:t>
      </w:r>
      <w:r w:rsidRPr="00D71008">
        <w:rPr>
          <w:noProof/>
          <w:spacing w:val="-8"/>
          <w:sz w:val="24"/>
          <w:szCs w:val="24"/>
        </w:rPr>
        <w:t xml:space="preserve"> module </w:t>
      </w:r>
      <w:r w:rsidR="004C5F37" w:rsidRPr="00D71008">
        <w:rPr>
          <w:noProof/>
          <w:spacing w:val="-8"/>
          <w:sz w:val="24"/>
          <w:szCs w:val="24"/>
        </w:rPr>
        <w:t>translates</w:t>
      </w:r>
      <w:r w:rsidR="002303FE" w:rsidRPr="00D71008">
        <w:rPr>
          <w:noProof/>
          <w:spacing w:val="-8"/>
          <w:sz w:val="24"/>
          <w:szCs w:val="24"/>
        </w:rPr>
        <w:t>, through a scoring,</w:t>
      </w:r>
      <w:r w:rsidR="004C5F37" w:rsidRPr="00D71008">
        <w:rPr>
          <w:noProof/>
          <w:spacing w:val="-8"/>
          <w:sz w:val="24"/>
          <w:szCs w:val="24"/>
        </w:rPr>
        <w:t xml:space="preserve"> the </w:t>
      </w:r>
      <w:r w:rsidR="00A02F5C" w:rsidRPr="00D71008">
        <w:rPr>
          <w:noProof/>
          <w:spacing w:val="-8"/>
          <w:sz w:val="24"/>
          <w:szCs w:val="24"/>
        </w:rPr>
        <w:t xml:space="preserve">impact of the </w:t>
      </w:r>
      <w:r w:rsidR="00BF25FF" w:rsidRPr="00D71008">
        <w:rPr>
          <w:noProof/>
          <w:spacing w:val="-8"/>
          <w:sz w:val="24"/>
          <w:szCs w:val="24"/>
        </w:rPr>
        <w:t xml:space="preserve">policy </w:t>
      </w:r>
      <w:r w:rsidR="00A02F5C" w:rsidRPr="00D71008">
        <w:rPr>
          <w:noProof/>
          <w:spacing w:val="-8"/>
          <w:sz w:val="24"/>
          <w:szCs w:val="24"/>
        </w:rPr>
        <w:t>measures</w:t>
      </w:r>
      <w:r w:rsidR="00BF25FF" w:rsidRPr="00D71008">
        <w:rPr>
          <w:noProof/>
          <w:spacing w:val="-8"/>
          <w:sz w:val="24"/>
          <w:szCs w:val="24"/>
        </w:rPr>
        <w:t xml:space="preserve"> assessed</w:t>
      </w:r>
      <w:r w:rsidR="00A02F5C" w:rsidRPr="00D71008">
        <w:rPr>
          <w:noProof/>
          <w:spacing w:val="-8"/>
          <w:sz w:val="24"/>
          <w:szCs w:val="24"/>
        </w:rPr>
        <w:t xml:space="preserve"> </w:t>
      </w:r>
      <w:r w:rsidR="00BF25FF" w:rsidRPr="00D71008">
        <w:rPr>
          <w:noProof/>
          <w:spacing w:val="-8"/>
          <w:sz w:val="24"/>
          <w:szCs w:val="24"/>
        </w:rPr>
        <w:t xml:space="preserve">on </w:t>
      </w:r>
      <w:r w:rsidR="000C0017">
        <w:rPr>
          <w:noProof/>
          <w:spacing w:val="-8"/>
          <w:sz w:val="24"/>
          <w:szCs w:val="24"/>
        </w:rPr>
        <w:t>the c</w:t>
      </w:r>
      <w:r w:rsidR="00BF25FF" w:rsidRPr="00D71008">
        <w:rPr>
          <w:noProof/>
          <w:spacing w:val="-8"/>
          <w:sz w:val="24"/>
          <w:szCs w:val="24"/>
        </w:rPr>
        <w:t xml:space="preserve">ompleteness </w:t>
      </w:r>
      <w:r w:rsidR="007830BB" w:rsidRPr="00D71008">
        <w:rPr>
          <w:noProof/>
          <w:spacing w:val="-8"/>
          <w:sz w:val="24"/>
          <w:szCs w:val="24"/>
        </w:rPr>
        <w:t>and</w:t>
      </w:r>
      <w:r w:rsidR="00BF25FF" w:rsidRPr="00D71008">
        <w:rPr>
          <w:noProof/>
          <w:spacing w:val="-8"/>
          <w:sz w:val="24"/>
          <w:szCs w:val="24"/>
        </w:rPr>
        <w:t xml:space="preserve"> accuracy of service information, and </w:t>
      </w:r>
      <w:r w:rsidR="000C0017">
        <w:rPr>
          <w:noProof/>
          <w:spacing w:val="-8"/>
          <w:sz w:val="24"/>
          <w:szCs w:val="24"/>
        </w:rPr>
        <w:t>the a</w:t>
      </w:r>
      <w:r w:rsidR="00BF25FF" w:rsidRPr="00D71008">
        <w:rPr>
          <w:noProof/>
          <w:spacing w:val="-8"/>
          <w:sz w:val="24"/>
          <w:szCs w:val="24"/>
        </w:rPr>
        <w:t>bility to book service offerings</w:t>
      </w:r>
      <w:r w:rsidR="00511DFB" w:rsidRPr="00D71008">
        <w:rPr>
          <w:noProof/>
          <w:spacing w:val="-8"/>
          <w:sz w:val="24"/>
          <w:szCs w:val="24"/>
        </w:rPr>
        <w:t xml:space="preserve"> for each cluster. </w:t>
      </w:r>
      <w:r w:rsidR="00FD5BDB" w:rsidRPr="00D71008">
        <w:rPr>
          <w:noProof/>
          <w:spacing w:val="-8"/>
          <w:sz w:val="24"/>
          <w:szCs w:val="24"/>
        </w:rPr>
        <w:t>The completeness and accuracy of service information</w:t>
      </w:r>
      <w:r w:rsidR="00CC5616" w:rsidRPr="00D71008">
        <w:rPr>
          <w:noProof/>
          <w:spacing w:val="-8"/>
          <w:sz w:val="24"/>
          <w:szCs w:val="24"/>
        </w:rPr>
        <w:t xml:space="preserve"> and the ability to book service offerings have </w:t>
      </w:r>
      <w:r w:rsidR="001661FE">
        <w:rPr>
          <w:noProof/>
          <w:spacing w:val="-8"/>
          <w:sz w:val="24"/>
          <w:szCs w:val="24"/>
        </w:rPr>
        <w:t xml:space="preserve">in turn </w:t>
      </w:r>
      <w:r w:rsidR="00CC5616" w:rsidRPr="00D71008">
        <w:rPr>
          <w:noProof/>
          <w:spacing w:val="-8"/>
          <w:sz w:val="24"/>
          <w:szCs w:val="24"/>
        </w:rPr>
        <w:t>an impact on modal shift</w:t>
      </w:r>
      <w:r w:rsidR="00BC7EBC">
        <w:rPr>
          <w:noProof/>
          <w:spacing w:val="-8"/>
          <w:sz w:val="24"/>
          <w:szCs w:val="24"/>
        </w:rPr>
        <w:t xml:space="preserve"> and </w:t>
      </w:r>
      <w:r w:rsidR="00BC7EBC" w:rsidRPr="00BC7EBC">
        <w:rPr>
          <w:noProof/>
          <w:spacing w:val="-8"/>
          <w:sz w:val="24"/>
          <w:szCs w:val="24"/>
        </w:rPr>
        <w:t>journey time</w:t>
      </w:r>
      <w:r w:rsidR="00CC5616" w:rsidRPr="00D71008">
        <w:rPr>
          <w:noProof/>
          <w:spacing w:val="-8"/>
          <w:sz w:val="24"/>
          <w:szCs w:val="24"/>
        </w:rPr>
        <w:t xml:space="preserve">. </w:t>
      </w:r>
      <w:r w:rsidR="00332AE3" w:rsidRPr="00D71008">
        <w:rPr>
          <w:noProof/>
          <w:spacing w:val="-8"/>
          <w:sz w:val="24"/>
          <w:szCs w:val="24"/>
        </w:rPr>
        <w:t xml:space="preserve">The scoring </w:t>
      </w:r>
      <w:r w:rsidR="008469F1" w:rsidRPr="00D71008">
        <w:rPr>
          <w:noProof/>
          <w:spacing w:val="-8"/>
          <w:sz w:val="24"/>
          <w:szCs w:val="24"/>
        </w:rPr>
        <w:t xml:space="preserve">is used to </w:t>
      </w:r>
      <w:r w:rsidR="00DD33AD" w:rsidRPr="00D71008">
        <w:rPr>
          <w:noProof/>
          <w:spacing w:val="-8"/>
          <w:sz w:val="24"/>
          <w:szCs w:val="24"/>
        </w:rPr>
        <w:t xml:space="preserve">assess the progress that could be achieved towards </w:t>
      </w:r>
      <w:r w:rsidR="00773F2D" w:rsidRPr="00D71008">
        <w:rPr>
          <w:noProof/>
          <w:spacing w:val="-8"/>
          <w:sz w:val="24"/>
          <w:szCs w:val="24"/>
        </w:rPr>
        <w:t xml:space="preserve">the maximum potential modal shift </w:t>
      </w:r>
      <w:r w:rsidR="00BC7EBC">
        <w:rPr>
          <w:noProof/>
          <w:spacing w:val="-8"/>
          <w:sz w:val="24"/>
          <w:szCs w:val="24"/>
        </w:rPr>
        <w:t xml:space="preserve">and </w:t>
      </w:r>
      <w:r w:rsidR="00BC7EBC">
        <w:rPr>
          <w:noProof/>
          <w:sz w:val="24"/>
          <w:szCs w:val="24"/>
        </w:rPr>
        <w:t xml:space="preserve">maximum potential </w:t>
      </w:r>
      <w:r w:rsidR="00BC7EBC" w:rsidRPr="00C26BC3">
        <w:rPr>
          <w:noProof/>
          <w:sz w:val="24"/>
          <w:szCs w:val="24"/>
        </w:rPr>
        <w:t xml:space="preserve">journey time reduction </w:t>
      </w:r>
      <w:r w:rsidR="00773F2D" w:rsidRPr="00D71008">
        <w:rPr>
          <w:noProof/>
          <w:spacing w:val="-8"/>
          <w:sz w:val="24"/>
          <w:szCs w:val="24"/>
        </w:rPr>
        <w:t>due to the ability to see all offerings on MDMS platforms and the ability to book all visible travel options on MDMS platforms</w:t>
      </w:r>
      <w:r w:rsidR="002C0F7D" w:rsidRPr="00D71008">
        <w:rPr>
          <w:noProof/>
          <w:spacing w:val="-8"/>
          <w:sz w:val="24"/>
          <w:szCs w:val="24"/>
        </w:rPr>
        <w:t>.</w:t>
      </w:r>
      <w:r w:rsidR="00832046">
        <w:rPr>
          <w:noProof/>
          <w:spacing w:val="-8"/>
          <w:sz w:val="24"/>
          <w:szCs w:val="24"/>
        </w:rPr>
        <w:t xml:space="preserve"> </w:t>
      </w:r>
    </w:p>
    <w:p w14:paraId="51CCB7FC" w14:textId="27959005" w:rsidR="002A02F1" w:rsidRPr="00D71008" w:rsidRDefault="00C35E94" w:rsidP="007B2D8E">
      <w:pPr>
        <w:pStyle w:val="ListParagraph"/>
        <w:numPr>
          <w:ilvl w:val="0"/>
          <w:numId w:val="7"/>
        </w:numPr>
        <w:tabs>
          <w:tab w:val="left" w:pos="2302"/>
        </w:tabs>
        <w:spacing w:after="240"/>
        <w:ind w:left="426" w:hanging="426"/>
        <w:jc w:val="both"/>
        <w:rPr>
          <w:noProof/>
          <w:spacing w:val="-8"/>
          <w:sz w:val="24"/>
          <w:szCs w:val="24"/>
        </w:rPr>
      </w:pPr>
      <w:r w:rsidRPr="00D71008">
        <w:rPr>
          <w:i/>
          <w:iCs/>
          <w:noProof/>
          <w:spacing w:val="-8"/>
          <w:sz w:val="24"/>
          <w:szCs w:val="24"/>
        </w:rPr>
        <w:t>Interface module.</w:t>
      </w:r>
      <w:r w:rsidRPr="00D71008">
        <w:rPr>
          <w:noProof/>
          <w:spacing w:val="-8"/>
          <w:sz w:val="24"/>
          <w:szCs w:val="24"/>
        </w:rPr>
        <w:t xml:space="preserve"> This module </w:t>
      </w:r>
      <w:r w:rsidR="00364585" w:rsidRPr="00D71008">
        <w:rPr>
          <w:noProof/>
          <w:spacing w:val="-8"/>
          <w:sz w:val="24"/>
          <w:szCs w:val="24"/>
        </w:rPr>
        <w:t xml:space="preserve">translates </w:t>
      </w:r>
      <w:r w:rsidRPr="00D71008">
        <w:rPr>
          <w:noProof/>
          <w:spacing w:val="-8"/>
          <w:sz w:val="24"/>
          <w:szCs w:val="24"/>
        </w:rPr>
        <w:t xml:space="preserve">the outputs of the MPA </w:t>
      </w:r>
      <w:r w:rsidR="00D94589" w:rsidRPr="00D71008">
        <w:rPr>
          <w:noProof/>
          <w:spacing w:val="-8"/>
          <w:sz w:val="24"/>
          <w:szCs w:val="24"/>
        </w:rPr>
        <w:t>module</w:t>
      </w:r>
      <w:r w:rsidRPr="00D71008">
        <w:rPr>
          <w:noProof/>
          <w:spacing w:val="-8"/>
          <w:sz w:val="24"/>
          <w:szCs w:val="24"/>
        </w:rPr>
        <w:t xml:space="preserve"> </w:t>
      </w:r>
      <w:r w:rsidR="00CD2F53">
        <w:rPr>
          <w:noProof/>
          <w:spacing w:val="-8"/>
          <w:sz w:val="24"/>
          <w:szCs w:val="24"/>
        </w:rPr>
        <w:t>in</w:t>
      </w:r>
      <w:r w:rsidRPr="00D71008">
        <w:rPr>
          <w:noProof/>
          <w:spacing w:val="-8"/>
          <w:sz w:val="24"/>
          <w:szCs w:val="24"/>
        </w:rPr>
        <w:t xml:space="preserve">to </w:t>
      </w:r>
      <w:r w:rsidR="000D3113" w:rsidRPr="00D71008">
        <w:rPr>
          <w:noProof/>
          <w:spacing w:val="-8"/>
          <w:sz w:val="24"/>
          <w:szCs w:val="24"/>
        </w:rPr>
        <w:t>origin-destination p</w:t>
      </w:r>
      <w:r w:rsidRPr="00D71008">
        <w:rPr>
          <w:noProof/>
          <w:spacing w:val="-8"/>
          <w:sz w:val="24"/>
          <w:szCs w:val="24"/>
        </w:rPr>
        <w:t>airs at NUTS3 level</w:t>
      </w:r>
      <w:r w:rsidR="001D5626">
        <w:rPr>
          <w:rStyle w:val="FootnoteReference"/>
          <w:noProof/>
          <w:spacing w:val="-8"/>
          <w:sz w:val="24"/>
          <w:szCs w:val="24"/>
        </w:rPr>
        <w:footnoteReference w:id="264"/>
      </w:r>
      <w:r w:rsidR="007B02F9" w:rsidRPr="00D71008">
        <w:rPr>
          <w:noProof/>
          <w:spacing w:val="-8"/>
          <w:sz w:val="24"/>
          <w:szCs w:val="24"/>
        </w:rPr>
        <w:t xml:space="preserve">, that </w:t>
      </w:r>
      <w:r w:rsidR="000D3113" w:rsidRPr="00D71008">
        <w:rPr>
          <w:noProof/>
          <w:spacing w:val="-8"/>
          <w:sz w:val="24"/>
          <w:szCs w:val="24"/>
        </w:rPr>
        <w:t xml:space="preserve">further </w:t>
      </w:r>
      <w:r w:rsidR="007B02F9" w:rsidRPr="00D71008">
        <w:rPr>
          <w:noProof/>
          <w:spacing w:val="-8"/>
          <w:sz w:val="24"/>
          <w:szCs w:val="24"/>
        </w:rPr>
        <w:t>feed as input in</w:t>
      </w:r>
      <w:r w:rsidR="00B5113E" w:rsidRPr="00D71008">
        <w:rPr>
          <w:noProof/>
          <w:spacing w:val="-8"/>
          <w:sz w:val="24"/>
          <w:szCs w:val="24"/>
        </w:rPr>
        <w:t>to</w:t>
      </w:r>
      <w:r w:rsidR="007B02F9" w:rsidRPr="00D71008">
        <w:rPr>
          <w:noProof/>
          <w:spacing w:val="-8"/>
          <w:sz w:val="24"/>
          <w:szCs w:val="24"/>
        </w:rPr>
        <w:t xml:space="preserve"> </w:t>
      </w:r>
      <w:r w:rsidRPr="00D71008">
        <w:rPr>
          <w:noProof/>
          <w:spacing w:val="-8"/>
          <w:sz w:val="24"/>
          <w:szCs w:val="24"/>
        </w:rPr>
        <w:t>the ASTRA model.</w:t>
      </w:r>
    </w:p>
    <w:p w14:paraId="26B9E272" w14:textId="6DFF7528" w:rsidR="00C572C5" w:rsidRDefault="00A01EDD" w:rsidP="007503A6">
      <w:pPr>
        <w:tabs>
          <w:tab w:val="left" w:pos="2302"/>
        </w:tabs>
        <w:spacing w:after="240"/>
        <w:jc w:val="both"/>
        <w:rPr>
          <w:noProof/>
          <w:spacing w:val="-8"/>
        </w:rPr>
      </w:pPr>
      <w:r w:rsidRPr="00D71008">
        <w:rPr>
          <w:noProof/>
          <w:spacing w:val="-8"/>
        </w:rPr>
        <w:t xml:space="preserve">In addition, </w:t>
      </w:r>
      <w:r w:rsidR="00D734C9" w:rsidRPr="00D71008">
        <w:rPr>
          <w:noProof/>
          <w:spacing w:val="-8"/>
        </w:rPr>
        <w:t>a</w:t>
      </w:r>
      <w:r w:rsidRPr="00D71008">
        <w:rPr>
          <w:noProof/>
          <w:spacing w:val="-8"/>
        </w:rPr>
        <w:t xml:space="preserve">n </w:t>
      </w:r>
      <w:r w:rsidRPr="00D71008">
        <w:rPr>
          <w:i/>
          <w:noProof/>
          <w:spacing w:val="-8"/>
        </w:rPr>
        <w:t>excel-based tool</w:t>
      </w:r>
      <w:r w:rsidR="00C572C5" w:rsidRPr="00D71008">
        <w:rPr>
          <w:i/>
          <w:noProof/>
          <w:spacing w:val="-8"/>
        </w:rPr>
        <w:t xml:space="preserve"> </w:t>
      </w:r>
      <w:r w:rsidRPr="00D71008">
        <w:rPr>
          <w:noProof/>
          <w:spacing w:val="-8"/>
        </w:rPr>
        <w:t xml:space="preserve">has been </w:t>
      </w:r>
      <w:r w:rsidR="00C572C5" w:rsidRPr="00D71008">
        <w:rPr>
          <w:noProof/>
          <w:spacing w:val="-8"/>
        </w:rPr>
        <w:t xml:space="preserve">developed </w:t>
      </w:r>
      <w:r w:rsidRPr="00D71008">
        <w:rPr>
          <w:noProof/>
          <w:spacing w:val="-8"/>
        </w:rPr>
        <w:t>in the context of the impact assessment support study, drawing on the standard cost model, to calculate the costs and costs savings</w:t>
      </w:r>
      <w:r w:rsidR="0011475B" w:rsidRPr="00D71008">
        <w:rPr>
          <w:noProof/>
          <w:spacing w:val="-8"/>
        </w:rPr>
        <w:t>, that feed into the cost-benefit analysis (CBA) module</w:t>
      </w:r>
      <w:r w:rsidRPr="00D71008">
        <w:rPr>
          <w:rStyle w:val="FootnoteReference"/>
          <w:rFonts w:eastAsiaTheme="majorEastAsia"/>
          <w:noProof/>
          <w:spacing w:val="-8"/>
        </w:rPr>
        <w:footnoteReference w:id="265"/>
      </w:r>
      <w:r w:rsidRPr="00D71008">
        <w:rPr>
          <w:noProof/>
          <w:spacing w:val="-8"/>
        </w:rPr>
        <w:t xml:space="preserve">. </w:t>
      </w:r>
      <w:r w:rsidR="00410067" w:rsidRPr="00D71008">
        <w:rPr>
          <w:noProof/>
          <w:spacing w:val="-8"/>
        </w:rPr>
        <w:t xml:space="preserve">A schematic representation of various </w:t>
      </w:r>
      <w:r w:rsidR="00B836EE" w:rsidRPr="00D71008">
        <w:rPr>
          <w:noProof/>
          <w:spacing w:val="-8"/>
        </w:rPr>
        <w:t xml:space="preserve">inputs, </w:t>
      </w:r>
      <w:r w:rsidR="00FB2F56" w:rsidRPr="00D71008">
        <w:rPr>
          <w:noProof/>
          <w:spacing w:val="-8"/>
        </w:rPr>
        <w:t>modules</w:t>
      </w:r>
      <w:r w:rsidR="00050A7D" w:rsidRPr="00D71008">
        <w:rPr>
          <w:noProof/>
          <w:spacing w:val="-8"/>
        </w:rPr>
        <w:t xml:space="preserve"> and model that </w:t>
      </w:r>
      <w:r w:rsidR="00B77479" w:rsidRPr="00D71008">
        <w:rPr>
          <w:noProof/>
          <w:spacing w:val="-8"/>
        </w:rPr>
        <w:t>contribute to the quantitative assessment of impacts is</w:t>
      </w:r>
      <w:r w:rsidR="00FB2F56" w:rsidRPr="00D71008">
        <w:rPr>
          <w:noProof/>
          <w:spacing w:val="-8"/>
        </w:rPr>
        <w:t xml:space="preserve"> provided in </w:t>
      </w:r>
      <w:r w:rsidR="004F7BE8" w:rsidRPr="00D71008">
        <w:rPr>
          <w:noProof/>
          <w:spacing w:val="-8"/>
        </w:rPr>
        <w:t>the figure below.</w:t>
      </w:r>
      <w:r w:rsidR="006C6203" w:rsidRPr="00D71008">
        <w:rPr>
          <w:noProof/>
          <w:spacing w:val="-8"/>
        </w:rPr>
        <w:t xml:space="preserve"> More detailed explanations on each of the components are provided in the following sections. </w:t>
      </w:r>
    </w:p>
    <w:p w14:paraId="2E14E348" w14:textId="0E2E5865" w:rsidR="00666784" w:rsidRPr="00D71008" w:rsidRDefault="00666784" w:rsidP="00666784">
      <w:pPr>
        <w:pStyle w:val="BodyText"/>
        <w:keepNext/>
        <w:spacing w:after="120"/>
        <w:ind w:left="0" w:right="108"/>
        <w:rPr>
          <w:i/>
          <w:noProof/>
          <w:sz w:val="22"/>
          <w:szCs w:val="22"/>
        </w:rPr>
      </w:pPr>
      <w:bookmarkStart w:id="309" w:name="_Ref221690959"/>
      <w:r w:rsidRPr="00D71008">
        <w:rPr>
          <w:i/>
          <w:noProof/>
          <w:sz w:val="22"/>
          <w:szCs w:val="22"/>
        </w:rPr>
        <w:t xml:space="preserve">Figure </w:t>
      </w:r>
      <w:r w:rsidR="00980256">
        <w:rPr>
          <w:i/>
          <w:noProof/>
          <w:sz w:val="22"/>
          <w:szCs w:val="22"/>
        </w:rPr>
        <w:fldChar w:fldCharType="begin"/>
      </w:r>
      <w:r w:rsidR="00980256">
        <w:rPr>
          <w:i/>
          <w:noProof/>
          <w:sz w:val="22"/>
          <w:szCs w:val="22"/>
        </w:rPr>
        <w:instrText xml:space="preserve"> SEQ Figure \* ARABIC </w:instrText>
      </w:r>
      <w:r w:rsidR="00980256">
        <w:rPr>
          <w:i/>
          <w:noProof/>
          <w:sz w:val="22"/>
          <w:szCs w:val="22"/>
        </w:rPr>
        <w:fldChar w:fldCharType="separate"/>
      </w:r>
      <w:r w:rsidR="0055391F">
        <w:rPr>
          <w:i/>
          <w:noProof/>
          <w:sz w:val="22"/>
          <w:szCs w:val="22"/>
        </w:rPr>
        <w:t>8</w:t>
      </w:r>
      <w:r w:rsidR="00980256">
        <w:rPr>
          <w:i/>
          <w:noProof/>
          <w:sz w:val="22"/>
          <w:szCs w:val="22"/>
        </w:rPr>
        <w:fldChar w:fldCharType="end"/>
      </w:r>
      <w:bookmarkEnd w:id="309"/>
      <w:r w:rsidRPr="00D71008">
        <w:rPr>
          <w:i/>
          <w:noProof/>
          <w:sz w:val="22"/>
          <w:szCs w:val="22"/>
        </w:rPr>
        <w:t xml:space="preserve">: </w:t>
      </w:r>
      <w:r w:rsidR="00004AA4" w:rsidRPr="00D71008">
        <w:rPr>
          <w:i/>
          <w:noProof/>
          <w:sz w:val="22"/>
          <w:szCs w:val="22"/>
        </w:rPr>
        <w:t>Schematic representation of the quantitative assessment of impacts</w:t>
      </w:r>
    </w:p>
    <w:p w14:paraId="24C77C1F" w14:textId="2483F346" w:rsidR="00C572C5" w:rsidRPr="00D71008" w:rsidRDefault="00A83DA2" w:rsidP="007503A6">
      <w:pPr>
        <w:tabs>
          <w:tab w:val="left" w:pos="2302"/>
        </w:tabs>
        <w:spacing w:after="240"/>
        <w:jc w:val="both"/>
        <w:rPr>
          <w:noProof/>
          <w:spacing w:val="-8"/>
        </w:rPr>
      </w:pPr>
      <w:r w:rsidRPr="00D71008">
        <w:rPr>
          <w:noProof/>
          <w:lang w:val="en-GB" w:eastAsia="en-GB"/>
        </w:rPr>
        <w:drawing>
          <wp:inline distT="0" distB="0" distL="0" distR="0" wp14:anchorId="751893ED" wp14:editId="7ED1AD09">
            <wp:extent cx="5731510" cy="2790825"/>
            <wp:effectExtent l="0" t="0" r="2540" b="9525"/>
            <wp:docPr id="289372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31510" cy="2790825"/>
                    </a:xfrm>
                    <a:prstGeom prst="rect">
                      <a:avLst/>
                    </a:prstGeom>
                    <a:noFill/>
                    <a:ln>
                      <a:noFill/>
                    </a:ln>
                  </pic:spPr>
                </pic:pic>
              </a:graphicData>
            </a:graphic>
          </wp:inline>
        </w:drawing>
      </w:r>
    </w:p>
    <w:p w14:paraId="2F1FB36B" w14:textId="721B7B97" w:rsidR="00C572C5" w:rsidRDefault="00FB3388" w:rsidP="007503A6">
      <w:pPr>
        <w:tabs>
          <w:tab w:val="left" w:pos="2302"/>
        </w:tabs>
        <w:spacing w:after="240"/>
        <w:jc w:val="both"/>
        <w:rPr>
          <w:i/>
          <w:iCs/>
          <w:noProof/>
          <w:sz w:val="20"/>
          <w:szCs w:val="20"/>
        </w:rPr>
      </w:pPr>
      <w:r w:rsidRPr="00D71008">
        <w:rPr>
          <w:i/>
          <w:iCs/>
          <w:noProof/>
          <w:spacing w:val="-8"/>
          <w:sz w:val="20"/>
          <w:szCs w:val="20"/>
        </w:rPr>
        <w:t xml:space="preserve">Source: </w:t>
      </w:r>
      <w:r w:rsidR="0026060B" w:rsidRPr="00D71008">
        <w:rPr>
          <w:i/>
          <w:iCs/>
          <w:noProof/>
          <w:sz w:val="20"/>
          <w:szCs w:val="20"/>
        </w:rPr>
        <w:t>Ricardo et al. (2026), Impact assessment support study</w:t>
      </w:r>
    </w:p>
    <w:p w14:paraId="607F5973" w14:textId="22722C4B" w:rsidR="00A01EDD" w:rsidRPr="00D71008" w:rsidRDefault="00A01EDD" w:rsidP="007503A6">
      <w:pPr>
        <w:tabs>
          <w:tab w:val="left" w:pos="2302"/>
        </w:tabs>
        <w:spacing w:after="240"/>
        <w:jc w:val="both"/>
        <w:rPr>
          <w:noProof/>
          <w:spacing w:val="-8"/>
        </w:rPr>
      </w:pPr>
      <w:r w:rsidRPr="00D71008">
        <w:rPr>
          <w:noProof/>
          <w:spacing w:val="-8"/>
        </w:rPr>
        <w:t>The proposed measures are assumed to be implemented from 202</w:t>
      </w:r>
      <w:r w:rsidR="0069116C" w:rsidRPr="00D71008">
        <w:rPr>
          <w:noProof/>
          <w:spacing w:val="-8"/>
        </w:rPr>
        <w:t>8</w:t>
      </w:r>
      <w:r w:rsidRPr="00D71008">
        <w:rPr>
          <w:noProof/>
          <w:spacing w:val="-8"/>
        </w:rPr>
        <w:t xml:space="preserve"> onwards. The assessment has been undertaken for the 202</w:t>
      </w:r>
      <w:r w:rsidR="0069116C" w:rsidRPr="00D71008">
        <w:rPr>
          <w:noProof/>
          <w:spacing w:val="-8"/>
        </w:rPr>
        <w:t>8</w:t>
      </w:r>
      <w:r w:rsidRPr="00D71008">
        <w:rPr>
          <w:noProof/>
          <w:spacing w:val="-8"/>
        </w:rPr>
        <w:t>-2050 period and refers to EU27. Costs and benefits are expressed as present value over the 202</w:t>
      </w:r>
      <w:r w:rsidR="0069116C" w:rsidRPr="00D71008">
        <w:rPr>
          <w:noProof/>
          <w:spacing w:val="-8"/>
        </w:rPr>
        <w:t>8</w:t>
      </w:r>
      <w:r w:rsidRPr="00D71008">
        <w:rPr>
          <w:noProof/>
          <w:spacing w:val="-8"/>
        </w:rPr>
        <w:t>-2050 period, using a 3% discount rate.</w:t>
      </w:r>
      <w:r w:rsidR="002D34D7">
        <w:rPr>
          <w:noProof/>
          <w:spacing w:val="-8"/>
        </w:rPr>
        <w:t xml:space="preserve"> All costs and benefits are expressed in 2024 prices. </w:t>
      </w:r>
    </w:p>
    <w:p w14:paraId="524A1BDC" w14:textId="714DD1FD" w:rsidR="00712390" w:rsidRPr="00D71008" w:rsidRDefault="003C4819" w:rsidP="007B2D8E">
      <w:pPr>
        <w:pStyle w:val="Heading2"/>
        <w:numPr>
          <w:ilvl w:val="1"/>
          <w:numId w:val="10"/>
        </w:numPr>
        <w:tabs>
          <w:tab w:val="left" w:pos="426"/>
          <w:tab w:val="left" w:pos="1705"/>
        </w:tabs>
        <w:spacing w:before="0" w:after="240"/>
        <w:ind w:left="1134" w:hanging="708"/>
        <w:rPr>
          <w:noProof/>
        </w:rPr>
      </w:pPr>
      <w:bookmarkStart w:id="310" w:name="1.1_PRIMES-TREMOVE_model"/>
      <w:bookmarkStart w:id="311" w:name="_Toc220667531"/>
      <w:bookmarkStart w:id="312" w:name="_Toc222313518"/>
      <w:bookmarkStart w:id="313" w:name="_Toc222749039"/>
      <w:bookmarkStart w:id="314" w:name="_Toc223980012"/>
      <w:bookmarkEnd w:id="310"/>
      <w:r w:rsidRPr="00D71008">
        <w:rPr>
          <w:noProof/>
        </w:rPr>
        <w:t>PRIMES-TREMOVE</w:t>
      </w:r>
      <w:r w:rsidRPr="00D71008">
        <w:rPr>
          <w:noProof/>
          <w:spacing w:val="-4"/>
        </w:rPr>
        <w:t xml:space="preserve"> </w:t>
      </w:r>
      <w:r w:rsidRPr="00D71008">
        <w:rPr>
          <w:noProof/>
          <w:spacing w:val="-2"/>
        </w:rPr>
        <w:t>model</w:t>
      </w:r>
      <w:bookmarkEnd w:id="311"/>
      <w:bookmarkEnd w:id="312"/>
      <w:bookmarkEnd w:id="313"/>
      <w:bookmarkEnd w:id="314"/>
    </w:p>
    <w:p w14:paraId="65AA7CDF" w14:textId="2F905019" w:rsidR="00072FD9" w:rsidRPr="00D71008" w:rsidRDefault="00072FD9" w:rsidP="00454DE5">
      <w:pPr>
        <w:spacing w:after="240"/>
        <w:jc w:val="both"/>
        <w:rPr>
          <w:noProof/>
          <w:spacing w:val="-8"/>
        </w:rPr>
      </w:pPr>
      <w:r w:rsidRPr="00D71008">
        <w:rPr>
          <w:noProof/>
          <w:spacing w:val="-8"/>
        </w:rPr>
        <w:t>The PRIMES-TREMOVE transport model projects the evolution of demand for passengers and freight transport, by transport mode, and transport vehicle/technology, following a formulation based on microeconomic foundation of decisions of multiple actors</w:t>
      </w:r>
      <w:r w:rsidR="001449C8">
        <w:rPr>
          <w:rStyle w:val="FootnoteReference"/>
          <w:noProof/>
          <w:spacing w:val="-8"/>
        </w:rPr>
        <w:footnoteReference w:id="266"/>
      </w:r>
      <w:r w:rsidRPr="00D71008">
        <w:rPr>
          <w:noProof/>
          <w:spacing w:val="-8"/>
        </w:rPr>
        <w:t xml:space="preserve">. Operation, investment and emission costs, various policy measures, utility factors and congestion are among the drivers that influence the projections of the model. The projections of activity, equipment (fleet), usage of equipment, energy consumption and emissions (and other externalities) constitute the set of model outputs. </w:t>
      </w:r>
    </w:p>
    <w:p w14:paraId="58856275" w14:textId="77777777" w:rsidR="00072FD9" w:rsidRPr="00D71008" w:rsidRDefault="00072FD9" w:rsidP="008E2471">
      <w:pPr>
        <w:spacing w:after="240"/>
        <w:jc w:val="both"/>
        <w:rPr>
          <w:noProof/>
          <w:spacing w:val="-8"/>
        </w:rPr>
      </w:pPr>
      <w:r w:rsidRPr="00D71008">
        <w:rPr>
          <w:noProof/>
          <w:spacing w:val="-8"/>
        </w:rPr>
        <w:t>The PRIMES-TREMOVE transport model can therefore provide the quantitative analysis for the transport sector in the EU, candidate and neighbouring countries covering activity, equipment, energy and emissions. The model accounts for each country separately which means that the detailed long-term outlooks are available both for each country and in aggregate forms (e.g. EU level).</w:t>
      </w:r>
    </w:p>
    <w:p w14:paraId="101F0E7B" w14:textId="77777777" w:rsidR="00072FD9" w:rsidRPr="00D71008" w:rsidRDefault="00072FD9" w:rsidP="008E2471">
      <w:pPr>
        <w:spacing w:after="240"/>
        <w:jc w:val="both"/>
        <w:rPr>
          <w:noProof/>
          <w:spacing w:val="-8"/>
        </w:rPr>
      </w:pPr>
      <w:r w:rsidRPr="00D71008">
        <w:rPr>
          <w:noProof/>
          <w:spacing w:val="-8"/>
        </w:rPr>
        <w:t xml:space="preserve">In the transport field, PRIMES-TREMOVE is suitable for modelling </w:t>
      </w:r>
      <w:r w:rsidRPr="00D71008">
        <w:rPr>
          <w:i/>
          <w:noProof/>
          <w:spacing w:val="-8"/>
        </w:rPr>
        <w:t>soft measures</w:t>
      </w:r>
      <w:r w:rsidRPr="00D71008">
        <w:rPr>
          <w:noProof/>
          <w:spacing w:val="-8"/>
        </w:rPr>
        <w:t xml:space="preserve"> (e.g. eco-driving, labelling); </w:t>
      </w:r>
      <w:r w:rsidRPr="00D71008">
        <w:rPr>
          <w:i/>
          <w:noProof/>
          <w:spacing w:val="-8"/>
        </w:rPr>
        <w:t>economic measures</w:t>
      </w:r>
      <w:r w:rsidRPr="00D71008">
        <w:rPr>
          <w:noProof/>
          <w:spacing w:val="-8"/>
        </w:rPr>
        <w:t xml:space="preserve"> (e.g. subsidies and taxes on fuels, vehicles, emissions; ETS for transport when linked with PRIMES; pricing of congestion and other externalities such as air pollution, accidents and noise; measures supporting R&amp;D); </w:t>
      </w:r>
      <w:r w:rsidRPr="00D71008">
        <w:rPr>
          <w:i/>
          <w:noProof/>
          <w:spacing w:val="-8"/>
        </w:rPr>
        <w:t>regulatory measures</w:t>
      </w:r>
      <w:r w:rsidRPr="00D71008">
        <w:rPr>
          <w:noProof/>
          <w:spacing w:val="-8"/>
        </w:rPr>
        <w:t xml:space="preserve"> (e.g. CO</w:t>
      </w:r>
      <w:r w:rsidRPr="00D71008">
        <w:rPr>
          <w:noProof/>
          <w:spacing w:val="-8"/>
          <w:vertAlign w:val="subscript"/>
        </w:rPr>
        <w:t>2</w:t>
      </w:r>
      <w:r w:rsidRPr="00D71008">
        <w:rPr>
          <w:noProof/>
          <w:spacing w:val="-8"/>
        </w:rPr>
        <w:t xml:space="preserve"> emission performance standards for new light-duty vehicles and heavy-duty vehicles; EURO standards on road transport vehicles; technology standards for non-road transport technologies, deployment of Intelligent Transport Systems) and </w:t>
      </w:r>
      <w:r w:rsidRPr="00D71008">
        <w:rPr>
          <w:i/>
          <w:noProof/>
          <w:spacing w:val="-8"/>
        </w:rPr>
        <w:t>infrastructure policies for alternative fuels</w:t>
      </w:r>
      <w:r w:rsidRPr="00D71008">
        <w:rPr>
          <w:noProof/>
          <w:spacing w:val="-8"/>
        </w:rPr>
        <w:t xml:space="preserve"> (e.g. deployment of refuelling/recharging infrastructure for electricity, hydrogen, LNG, CNG). Used as a module that contributes to the PRIMES energy system model, PRIMES-TREMOVE can show how policies and trends in the field of transport contribute to economy-wide trends in energy use and emissions. Using data disaggregated per Member State, the model can show differentiated trends across Member States. </w:t>
      </w:r>
    </w:p>
    <w:p w14:paraId="127B2E59" w14:textId="7FCB6177" w:rsidR="00072FD9" w:rsidRPr="00D71008" w:rsidRDefault="00072FD9" w:rsidP="008E2471">
      <w:pPr>
        <w:spacing w:after="240"/>
        <w:jc w:val="both"/>
        <w:rPr>
          <w:noProof/>
          <w:color w:val="000000" w:themeColor="text1"/>
          <w:spacing w:val="-8"/>
        </w:rPr>
      </w:pPr>
      <w:r w:rsidRPr="00D71008">
        <w:rPr>
          <w:noProof/>
          <w:spacing w:val="-8"/>
        </w:rPr>
        <w:t>The PRIMES-TREMOVE has been developed and is maintained by E3Modelling, based on, but extending features of, the open source TREMOVE model developed by the TREMOVE</w:t>
      </w:r>
      <w:r w:rsidRPr="00D71008">
        <w:rPr>
          <w:rStyle w:val="FootnoteReference"/>
          <w:noProof/>
          <w:spacing w:val="-8"/>
        </w:rPr>
        <w:footnoteReference w:id="267"/>
      </w:r>
      <w:r w:rsidRPr="00D71008">
        <w:rPr>
          <w:noProof/>
          <w:spacing w:val="-8"/>
        </w:rPr>
        <w:t xml:space="preserve"> modelling community. </w:t>
      </w:r>
      <w:r w:rsidRPr="00D71008">
        <w:rPr>
          <w:noProof/>
          <w:color w:val="000000" w:themeColor="text1"/>
          <w:spacing w:val="-8"/>
        </w:rPr>
        <w:t>Part of the model (e.g. the utility nested tree) was built following the TREMOVE model</w:t>
      </w:r>
      <w:r w:rsidRPr="00D71008">
        <w:rPr>
          <w:rStyle w:val="FootnoteReference"/>
          <w:noProof/>
          <w:color w:val="000000"/>
          <w:spacing w:val="-8"/>
        </w:rPr>
        <w:footnoteReference w:id="268"/>
      </w:r>
      <w:r w:rsidR="00B36114">
        <w:rPr>
          <w:noProof/>
          <w:color w:val="000000" w:themeColor="text1"/>
          <w:spacing w:val="-8"/>
        </w:rPr>
        <w:t>.</w:t>
      </w:r>
      <w:r w:rsidRPr="00D71008">
        <w:rPr>
          <w:noProof/>
          <w:color w:val="000000" w:themeColor="text1"/>
          <w:spacing w:val="-8"/>
        </w:rPr>
        <w:t xml:space="preserve"> Other parts, like the component on fuel consumption and emissions, follow the COPERT model</w:t>
      </w:r>
      <w:r w:rsidR="00FD4FDD" w:rsidRPr="00D71008">
        <w:rPr>
          <w:rStyle w:val="FootnoteReference"/>
          <w:noProof/>
          <w:color w:val="000000" w:themeColor="text1"/>
          <w:spacing w:val="-8"/>
        </w:rPr>
        <w:footnoteReference w:id="269"/>
      </w:r>
      <w:r w:rsidRPr="00D71008">
        <w:rPr>
          <w:noProof/>
          <w:color w:val="000000" w:themeColor="text1"/>
          <w:spacing w:val="-8"/>
        </w:rPr>
        <w:t>.</w:t>
      </w:r>
    </w:p>
    <w:p w14:paraId="7A53A73C" w14:textId="77777777" w:rsidR="007A0C40" w:rsidRPr="00D71008" w:rsidRDefault="007A0C40" w:rsidP="007A0C40">
      <w:pPr>
        <w:spacing w:after="240"/>
        <w:jc w:val="both"/>
        <w:rPr>
          <w:i/>
          <w:noProof/>
          <w:u w:val="single"/>
        </w:rPr>
      </w:pPr>
      <w:r w:rsidRPr="00D71008">
        <w:rPr>
          <w:i/>
          <w:noProof/>
          <w:u w:val="single"/>
        </w:rPr>
        <w:t>Data inputs</w:t>
      </w:r>
    </w:p>
    <w:p w14:paraId="7643A1E1" w14:textId="2085780C" w:rsidR="007A0C40" w:rsidRPr="00D71008" w:rsidRDefault="007A0C40" w:rsidP="007A0C40">
      <w:pPr>
        <w:spacing w:after="240"/>
        <w:jc w:val="both"/>
        <w:rPr>
          <w:noProof/>
          <w:spacing w:val="-8"/>
        </w:rPr>
      </w:pPr>
      <w:r w:rsidRPr="00D71008">
        <w:rPr>
          <w:noProof/>
          <w:spacing w:val="-8"/>
        </w:rPr>
        <w:t>The main data sources for inputs to the PRIMES-TREMOVE model, such as for activity and energy consumption, come from EUROSTAT databases and from the Statistical Pocketbook EU transport in figures</w:t>
      </w:r>
      <w:r w:rsidRPr="00D71008">
        <w:rPr>
          <w:rStyle w:val="FootnoteReference"/>
          <w:noProof/>
          <w:spacing w:val="-8"/>
        </w:rPr>
        <w:footnoteReference w:id="270"/>
      </w:r>
      <w:r w:rsidRPr="00D71008">
        <w:rPr>
          <w:noProof/>
          <w:spacing w:val="-8"/>
        </w:rPr>
        <w:t>. Excise taxes are derived from DG TAXUD excise duty tables. Other data comes from different sources such as research projects (e.g. TRACCS and New Mobility Pattern projects) and reports. In the context of this exercise, the PRIMES-TREMOVE transport model is calibrated to 2005, 2010, 2015 and 2020-2023 historical data, as well as the most recent data on the structure of the road transport vehicle fleet for the first half of 2025 from the European Alternative Fuels Observatory (EAFO)</w:t>
      </w:r>
      <w:r w:rsidRPr="00D71008">
        <w:rPr>
          <w:rStyle w:val="FootnoteReference"/>
          <w:noProof/>
          <w:spacing w:val="-8"/>
        </w:rPr>
        <w:footnoteReference w:id="271"/>
      </w:r>
      <w:r w:rsidRPr="00D71008">
        <w:rPr>
          <w:noProof/>
          <w:spacing w:val="-8"/>
        </w:rPr>
        <w:t xml:space="preserve">. </w:t>
      </w:r>
    </w:p>
    <w:p w14:paraId="5EC54ED7" w14:textId="77777777" w:rsidR="00712390" w:rsidRPr="00D71008" w:rsidRDefault="003C4819" w:rsidP="007B2D8E">
      <w:pPr>
        <w:pStyle w:val="Heading2"/>
        <w:numPr>
          <w:ilvl w:val="1"/>
          <w:numId w:val="10"/>
        </w:numPr>
        <w:tabs>
          <w:tab w:val="left" w:pos="426"/>
          <w:tab w:val="left" w:pos="1705"/>
        </w:tabs>
        <w:spacing w:before="0" w:after="240"/>
        <w:ind w:left="1134" w:hanging="708"/>
        <w:rPr>
          <w:noProof/>
        </w:rPr>
      </w:pPr>
      <w:bookmarkStart w:id="315" w:name="1.2_ASTRA_-_ASsessment_of_TRAnsport_Stra"/>
      <w:bookmarkStart w:id="316" w:name="_Toc220667532"/>
      <w:bookmarkStart w:id="317" w:name="_Toc222313519"/>
      <w:bookmarkStart w:id="318" w:name="_Toc222749040"/>
      <w:bookmarkStart w:id="319" w:name="_Toc223980013"/>
      <w:bookmarkEnd w:id="315"/>
      <w:r w:rsidRPr="00D71008">
        <w:rPr>
          <w:noProof/>
        </w:rPr>
        <w:t>ASTRA - ASsessment of TRAnsport Strategies</w:t>
      </w:r>
      <w:bookmarkEnd w:id="316"/>
      <w:bookmarkEnd w:id="317"/>
      <w:bookmarkEnd w:id="318"/>
      <w:bookmarkEnd w:id="319"/>
    </w:p>
    <w:p w14:paraId="21C77ECC" w14:textId="77777777" w:rsidR="00601A87" w:rsidRPr="00D71008" w:rsidRDefault="00601A87" w:rsidP="00256301">
      <w:pPr>
        <w:shd w:val="clear" w:color="auto" w:fill="FFFFFF"/>
        <w:spacing w:after="240"/>
        <w:jc w:val="both"/>
        <w:rPr>
          <w:rFonts w:eastAsia="Calibri"/>
          <w:noProof/>
          <w:spacing w:val="-8"/>
        </w:rPr>
      </w:pPr>
      <w:r w:rsidRPr="00D71008">
        <w:rPr>
          <w:rFonts w:eastAsia="Calibri"/>
          <w:noProof/>
          <w:spacing w:val="-8"/>
        </w:rPr>
        <w:t>ASTRA is a strategic model based on the Systems Dynamics Modelling approach simulating the transport system development in combination with the economy and the environment until the year 2050</w:t>
      </w:r>
      <w:r w:rsidRPr="00D71008">
        <w:rPr>
          <w:rStyle w:val="FootnoteReference"/>
          <w:rFonts w:eastAsia="Calibri"/>
          <w:noProof/>
          <w:spacing w:val="-8"/>
        </w:rPr>
        <w:footnoteReference w:id="272"/>
      </w:r>
      <w:r w:rsidRPr="00D71008">
        <w:rPr>
          <w:rFonts w:eastAsia="Calibri"/>
          <w:noProof/>
          <w:spacing w:val="-8"/>
        </w:rPr>
        <w:t xml:space="preserve">. </w:t>
      </w:r>
    </w:p>
    <w:p w14:paraId="4A45D2D6" w14:textId="77777777" w:rsidR="00F038FE" w:rsidRPr="00D71008" w:rsidRDefault="00F038FE" w:rsidP="00256301">
      <w:pPr>
        <w:spacing w:after="240"/>
        <w:jc w:val="both"/>
        <w:rPr>
          <w:rFonts w:eastAsia="Calibri"/>
          <w:noProof/>
          <w:spacing w:val="-8"/>
        </w:rPr>
      </w:pPr>
      <w:r w:rsidRPr="00D71008">
        <w:rPr>
          <w:rFonts w:eastAsia="Calibri"/>
          <w:noProof/>
          <w:spacing w:val="-8"/>
        </w:rPr>
        <w:t>ASTRA consists of different modules, each related to one specific aspect such as the economy, transport demand or the vehicle fleet. The main modules cover the following aspects:</w:t>
      </w:r>
    </w:p>
    <w:p w14:paraId="73B6301C" w14:textId="77777777" w:rsidR="00F038FE" w:rsidRPr="00D71008" w:rsidRDefault="00F038FE" w:rsidP="007B2D8E">
      <w:pPr>
        <w:numPr>
          <w:ilvl w:val="0"/>
          <w:numId w:val="8"/>
        </w:numPr>
        <w:tabs>
          <w:tab w:val="num" w:pos="360"/>
        </w:tabs>
        <w:spacing w:after="120"/>
        <w:ind w:left="284" w:hanging="284"/>
        <w:jc w:val="both"/>
        <w:rPr>
          <w:rFonts w:eastAsia="Calibri"/>
          <w:noProof/>
          <w:spacing w:val="-8"/>
        </w:rPr>
      </w:pPr>
      <w:r w:rsidRPr="00D71008">
        <w:rPr>
          <w:rFonts w:eastAsia="Calibri"/>
          <w:noProof/>
          <w:spacing w:val="-8"/>
        </w:rPr>
        <w:t>Population and social structure (age cohorts and income groups)</w:t>
      </w:r>
    </w:p>
    <w:p w14:paraId="2F60903E" w14:textId="77777777" w:rsidR="00F038FE" w:rsidRPr="00D71008" w:rsidRDefault="00F038FE" w:rsidP="007B2D8E">
      <w:pPr>
        <w:numPr>
          <w:ilvl w:val="0"/>
          <w:numId w:val="8"/>
        </w:numPr>
        <w:tabs>
          <w:tab w:val="num" w:pos="360"/>
        </w:tabs>
        <w:spacing w:after="120"/>
        <w:ind w:left="284" w:hanging="284"/>
        <w:jc w:val="both"/>
        <w:rPr>
          <w:rFonts w:eastAsia="Calibri"/>
          <w:noProof/>
          <w:spacing w:val="-8"/>
        </w:rPr>
      </w:pPr>
      <w:r w:rsidRPr="00D71008">
        <w:rPr>
          <w:rFonts w:eastAsia="Calibri"/>
          <w:noProof/>
          <w:spacing w:val="-8"/>
        </w:rPr>
        <w:t>Economy (e.g. GDP, input-output tables, employment, consumption and investment both at aggregate and at sectoral level)</w:t>
      </w:r>
    </w:p>
    <w:p w14:paraId="268A6DEC" w14:textId="77777777" w:rsidR="00F038FE" w:rsidRPr="00D71008" w:rsidRDefault="00F038FE" w:rsidP="007B2D8E">
      <w:pPr>
        <w:numPr>
          <w:ilvl w:val="0"/>
          <w:numId w:val="8"/>
        </w:numPr>
        <w:tabs>
          <w:tab w:val="num" w:pos="360"/>
        </w:tabs>
        <w:spacing w:after="120"/>
        <w:ind w:left="284" w:hanging="284"/>
        <w:jc w:val="both"/>
        <w:rPr>
          <w:rFonts w:eastAsia="Calibri"/>
          <w:noProof/>
          <w:spacing w:val="-8"/>
        </w:rPr>
      </w:pPr>
      <w:r w:rsidRPr="00D71008">
        <w:rPr>
          <w:rFonts w:eastAsia="Calibri"/>
          <w:noProof/>
          <w:spacing w:val="-8"/>
        </w:rPr>
        <w:t>Foreign trade (inside EU and to partners from outside EU)</w:t>
      </w:r>
    </w:p>
    <w:p w14:paraId="088EB5E8" w14:textId="77777777" w:rsidR="00F038FE" w:rsidRPr="00D71008" w:rsidRDefault="00F038FE" w:rsidP="007B2D8E">
      <w:pPr>
        <w:numPr>
          <w:ilvl w:val="0"/>
          <w:numId w:val="8"/>
        </w:numPr>
        <w:tabs>
          <w:tab w:val="num" w:pos="360"/>
        </w:tabs>
        <w:spacing w:after="120"/>
        <w:ind w:left="284" w:hanging="284"/>
        <w:jc w:val="both"/>
        <w:rPr>
          <w:rFonts w:eastAsia="Calibri"/>
          <w:noProof/>
          <w:spacing w:val="-8"/>
        </w:rPr>
      </w:pPr>
      <w:r w:rsidRPr="00D71008">
        <w:rPr>
          <w:rFonts w:eastAsia="Calibri"/>
          <w:noProof/>
          <w:spacing w:val="-8"/>
        </w:rPr>
        <w:t>Transport (including demand estimation, modal split, transport cost and infrastructure networks)</w:t>
      </w:r>
    </w:p>
    <w:p w14:paraId="672E004B" w14:textId="77777777" w:rsidR="00F038FE" w:rsidRPr="00D71008" w:rsidRDefault="00F038FE" w:rsidP="007B2D8E">
      <w:pPr>
        <w:numPr>
          <w:ilvl w:val="0"/>
          <w:numId w:val="8"/>
        </w:numPr>
        <w:tabs>
          <w:tab w:val="num" w:pos="360"/>
        </w:tabs>
        <w:spacing w:after="120"/>
        <w:ind w:left="284" w:hanging="284"/>
        <w:jc w:val="both"/>
        <w:rPr>
          <w:rFonts w:eastAsia="Calibri"/>
          <w:noProof/>
          <w:spacing w:val="-8"/>
        </w:rPr>
      </w:pPr>
      <w:r w:rsidRPr="00D71008">
        <w:rPr>
          <w:rFonts w:eastAsia="Calibri"/>
          <w:noProof/>
          <w:spacing w:val="-8"/>
        </w:rPr>
        <w:t>Vehicle fleet (passenger and freight road vehicles by segment and drivetrain)</w:t>
      </w:r>
    </w:p>
    <w:p w14:paraId="6ACE37FA" w14:textId="77777777" w:rsidR="00F038FE" w:rsidRPr="00D71008" w:rsidRDefault="00F038FE" w:rsidP="007B2D8E">
      <w:pPr>
        <w:numPr>
          <w:ilvl w:val="0"/>
          <w:numId w:val="8"/>
        </w:numPr>
        <w:tabs>
          <w:tab w:val="num" w:pos="360"/>
        </w:tabs>
        <w:spacing w:after="240"/>
        <w:ind w:left="284" w:hanging="284"/>
        <w:jc w:val="both"/>
        <w:rPr>
          <w:rFonts w:eastAsia="Calibri"/>
          <w:noProof/>
          <w:spacing w:val="-8"/>
        </w:rPr>
      </w:pPr>
      <w:r w:rsidRPr="00D71008">
        <w:rPr>
          <w:rFonts w:eastAsia="Calibri"/>
          <w:noProof/>
          <w:spacing w:val="-8"/>
        </w:rPr>
        <w:t>Environment (including air pollutant emissions, CO</w:t>
      </w:r>
      <w:r w:rsidRPr="00D71008">
        <w:rPr>
          <w:rFonts w:eastAsia="Calibri"/>
          <w:noProof/>
          <w:spacing w:val="-8"/>
          <w:vertAlign w:val="subscript"/>
        </w:rPr>
        <w:t>2</w:t>
      </w:r>
      <w:r w:rsidRPr="00D71008">
        <w:rPr>
          <w:rFonts w:eastAsia="Calibri"/>
          <w:noProof/>
          <w:spacing w:val="-8"/>
        </w:rPr>
        <w:t xml:space="preserve"> emissions, energy consumption).</w:t>
      </w:r>
    </w:p>
    <w:p w14:paraId="26907268" w14:textId="4BC5518C" w:rsidR="00D74BE7" w:rsidRDefault="00D74BE7" w:rsidP="00D74BE7">
      <w:pPr>
        <w:spacing w:after="240"/>
        <w:jc w:val="both"/>
        <w:rPr>
          <w:rFonts w:eastAsia="Calibri"/>
          <w:noProof/>
          <w:spacing w:val="-8"/>
        </w:rPr>
      </w:pPr>
      <w:r w:rsidRPr="00D71008">
        <w:rPr>
          <w:rFonts w:eastAsia="Calibri"/>
          <w:noProof/>
          <w:spacing w:val="-8"/>
        </w:rPr>
        <w:t xml:space="preserve">The economy module simulates the main economic variables. Some of these variables (e.g. GDP) are transferred to the transport generation module, which uses the input to generate a distributed transport demand. </w:t>
      </w:r>
    </w:p>
    <w:p w14:paraId="03A8E6BC" w14:textId="189E1B03" w:rsidR="00F43FFB" w:rsidRPr="00D71008" w:rsidRDefault="00CA3DE7" w:rsidP="00D74BE7">
      <w:pPr>
        <w:spacing w:after="240"/>
        <w:jc w:val="both"/>
        <w:rPr>
          <w:rFonts w:eastAsia="Calibri"/>
          <w:noProof/>
          <w:spacing w:val="-8"/>
        </w:rPr>
      </w:pPr>
      <w:r w:rsidRPr="00175325">
        <w:rPr>
          <w:rFonts w:eastAsia="Calibri"/>
          <w:noProof/>
          <w:spacing w:val="-8"/>
        </w:rPr>
        <w:t>The </w:t>
      </w:r>
      <w:r w:rsidRPr="006969B7">
        <w:rPr>
          <w:rFonts w:eastAsia="Calibri"/>
          <w:noProof/>
          <w:spacing w:val="-8"/>
        </w:rPr>
        <w:t>transport </w:t>
      </w:r>
      <w:r w:rsidRPr="00175325">
        <w:rPr>
          <w:rFonts w:eastAsia="Calibri"/>
          <w:noProof/>
          <w:spacing w:val="-8"/>
        </w:rPr>
        <w:t xml:space="preserve">component is represented by means of two classical 4-stage transport models, one for passenger and one for freight transport, including endogenous feedback on all stages. Even if a full origin-destination matrix is not modelled, demand is segmented according to trip purpose and in different distance bands to better consider the competition between alternative modes. The transport network is not explicitly represented but information on network capacity is considered in a simplified way for the different transport modes drawing on </w:t>
      </w:r>
      <w:r>
        <w:rPr>
          <w:rFonts w:eastAsia="Calibri"/>
          <w:noProof/>
          <w:spacing w:val="-8"/>
        </w:rPr>
        <w:t xml:space="preserve">the </w:t>
      </w:r>
      <w:r w:rsidRPr="00175325">
        <w:rPr>
          <w:rFonts w:eastAsia="Calibri"/>
          <w:noProof/>
          <w:spacing w:val="-8"/>
        </w:rPr>
        <w:t>TRUST network transport model.</w:t>
      </w:r>
      <w:r w:rsidR="0086754F">
        <w:rPr>
          <w:rFonts w:eastAsia="Calibri"/>
          <w:noProof/>
          <w:spacing w:val="-8"/>
        </w:rPr>
        <w:t xml:space="preserve"> </w:t>
      </w:r>
      <w:r w:rsidR="0086754F" w:rsidRPr="00D71008">
        <w:rPr>
          <w:rFonts w:eastAsia="Calibri"/>
          <w:noProof/>
          <w:spacing w:val="-8"/>
        </w:rPr>
        <w:t>In the transport module, demand is split by mode of transport. The traffic performance by mode is associated with the composition of the fleet (computed in the vehicle fleet module) and the emissions factors (defined in the environmental module), in order to estimate total emissions.</w:t>
      </w:r>
    </w:p>
    <w:p w14:paraId="0E81D221" w14:textId="77777777" w:rsidR="00D74BE7" w:rsidRPr="00D71008" w:rsidRDefault="00D74BE7" w:rsidP="00D74BE7">
      <w:pPr>
        <w:spacing w:after="240"/>
        <w:jc w:val="both"/>
        <w:rPr>
          <w:rFonts w:eastAsia="Calibri"/>
          <w:noProof/>
          <w:spacing w:val="-8"/>
        </w:rPr>
      </w:pPr>
      <w:r w:rsidRPr="00D71008">
        <w:rPr>
          <w:rFonts w:eastAsia="Calibri"/>
          <w:noProof/>
          <w:spacing w:val="-8"/>
        </w:rPr>
        <w:t>Several feedback effects take place in the ASTRA model. For instance, the economy module provides the level of income to the fleet module, in order to estimate vehicle purchase. The economy module then receives information on the total number of purchased vehicles from the fleet module to account for this item of transport consumption and investment. Furthermore, changes in the economic system feed into changes of the transport behaviour and alter origins, destinations and volumes of European transport flows.</w:t>
      </w:r>
    </w:p>
    <w:p w14:paraId="2D4BBF2C" w14:textId="6FC3418B" w:rsidR="00D004F4" w:rsidRPr="00D71008" w:rsidRDefault="00D004F4" w:rsidP="00D004F4">
      <w:pPr>
        <w:spacing w:after="240"/>
        <w:jc w:val="both"/>
        <w:rPr>
          <w:rFonts w:eastAsia="Calibri"/>
          <w:noProof/>
          <w:spacing w:val="-8"/>
        </w:rPr>
      </w:pPr>
      <w:r w:rsidRPr="00D71008">
        <w:rPr>
          <w:rFonts w:eastAsia="Calibri"/>
          <w:noProof/>
          <w:spacing w:val="-8"/>
        </w:rPr>
        <w:t>The indicators that ASTRA can produce cover a wide range of impacts</w:t>
      </w:r>
      <w:r w:rsidR="006871A3" w:rsidRPr="00D71008">
        <w:rPr>
          <w:rFonts w:eastAsia="Calibri"/>
          <w:noProof/>
          <w:spacing w:val="-8"/>
        </w:rPr>
        <w:t>,</w:t>
      </w:r>
      <w:r w:rsidRPr="00D71008">
        <w:rPr>
          <w:rFonts w:eastAsia="Calibri"/>
          <w:noProof/>
          <w:spacing w:val="-8"/>
        </w:rPr>
        <w:t xml:space="preserve"> in particular transport system operation, economic, environmental and social indicators. The environment module uses input from the transport module (in terms of vehicle-kilometres</w:t>
      </w:r>
      <w:r w:rsidR="006871A3" w:rsidRPr="00D71008">
        <w:rPr>
          <w:rFonts w:eastAsia="Calibri"/>
          <w:noProof/>
          <w:spacing w:val="-8"/>
        </w:rPr>
        <w:t xml:space="preserve"> </w:t>
      </w:r>
      <w:r w:rsidRPr="00D71008">
        <w:rPr>
          <w:rFonts w:eastAsia="Calibri"/>
          <w:noProof/>
          <w:spacing w:val="-8"/>
        </w:rPr>
        <w:t>travelled per mode and geographical context) and from the vehicle fleet module (in terms of composition of vehicle fleets</w:t>
      </w:r>
      <w:r w:rsidR="00C31030" w:rsidRPr="00D71008">
        <w:rPr>
          <w:rFonts w:eastAsia="Calibri"/>
          <w:noProof/>
          <w:spacing w:val="-8"/>
        </w:rPr>
        <w:t xml:space="preserve"> by type of powertrain</w:t>
      </w:r>
      <w:r w:rsidRPr="00D71008">
        <w:rPr>
          <w:rFonts w:eastAsia="Calibri"/>
          <w:noProof/>
          <w:spacing w:val="-8"/>
        </w:rPr>
        <w:t xml:space="preserve">), in order to compute fuel consumption, greenhouse gas emissions and air pollutant emissions from transport. </w:t>
      </w:r>
    </w:p>
    <w:p w14:paraId="4DF1C7A3" w14:textId="77777777" w:rsidR="00D004F4" w:rsidRPr="00D71008" w:rsidRDefault="00D004F4" w:rsidP="00D004F4">
      <w:pPr>
        <w:shd w:val="clear" w:color="auto" w:fill="FFFFFF"/>
        <w:spacing w:after="240"/>
        <w:jc w:val="both"/>
        <w:rPr>
          <w:rFonts w:eastAsia="Calibri"/>
          <w:noProof/>
          <w:spacing w:val="-8"/>
        </w:rPr>
      </w:pPr>
      <w:r w:rsidRPr="00D71008">
        <w:rPr>
          <w:rFonts w:eastAsia="Calibri"/>
          <w:noProof/>
          <w:spacing w:val="-8"/>
        </w:rPr>
        <w:t xml:space="preserve">Strategic assessment capabilities in ASTRA cover a wide range of transport measures and investments with flexible timing and levels of implementation. </w:t>
      </w:r>
    </w:p>
    <w:p w14:paraId="0AADCA35" w14:textId="2A55B2EB" w:rsidR="00851D41" w:rsidRPr="00D71008" w:rsidRDefault="00851D41" w:rsidP="00851D41">
      <w:pPr>
        <w:pStyle w:val="Body"/>
        <w:spacing w:after="240" w:line="240" w:lineRule="auto"/>
        <w:jc w:val="both"/>
        <w:rPr>
          <w:rFonts w:ascii="Times New Roman" w:hAnsi="Times New Roman" w:cs="Times New Roman"/>
          <w:noProof/>
          <w:spacing w:val="-8"/>
          <w:sz w:val="24"/>
          <w:szCs w:val="24"/>
        </w:rPr>
      </w:pPr>
      <w:r w:rsidRPr="00D71008">
        <w:rPr>
          <w:rFonts w:ascii="Times New Roman" w:hAnsi="Times New Roman" w:cs="Times New Roman"/>
          <w:noProof/>
          <w:spacing w:val="-8"/>
          <w:sz w:val="24"/>
          <w:szCs w:val="24"/>
        </w:rPr>
        <w:t xml:space="preserve">Geographically, ASTRA covers all EU Member States plus the United Kingdom, Norway and Switzerland. The model is built in </w:t>
      </w:r>
      <w:r w:rsidR="00512576" w:rsidRPr="00D71008">
        <w:rPr>
          <w:rFonts w:ascii="Times New Roman" w:hAnsi="Times New Roman" w:cs="Times New Roman"/>
          <w:noProof/>
          <w:spacing w:val="-8"/>
          <w:sz w:val="24"/>
          <w:szCs w:val="24"/>
        </w:rPr>
        <w:t xml:space="preserve">the </w:t>
      </w:r>
      <w:r w:rsidRPr="00D71008">
        <w:rPr>
          <w:rFonts w:ascii="Times New Roman" w:hAnsi="Times New Roman" w:cs="Times New Roman"/>
          <w:noProof/>
          <w:spacing w:val="-8"/>
          <w:sz w:val="24"/>
          <w:szCs w:val="24"/>
        </w:rPr>
        <w:t>Vensim software and is developed and maintained by TRT, M-Five and ISI Fraunhofer.</w:t>
      </w:r>
    </w:p>
    <w:p w14:paraId="48330ED2" w14:textId="6CD68C09" w:rsidR="00851D41" w:rsidRPr="00D71008" w:rsidRDefault="00851D41" w:rsidP="00851D41">
      <w:pPr>
        <w:pStyle w:val="Body"/>
        <w:spacing w:after="240" w:line="240" w:lineRule="auto"/>
        <w:jc w:val="both"/>
        <w:rPr>
          <w:rFonts w:ascii="Times New Roman" w:hAnsi="Times New Roman" w:cs="Times New Roman"/>
          <w:noProof/>
          <w:spacing w:val="-8"/>
          <w:sz w:val="24"/>
          <w:szCs w:val="24"/>
        </w:rPr>
      </w:pPr>
      <w:r w:rsidRPr="00D71008">
        <w:rPr>
          <w:rFonts w:ascii="Times New Roman" w:hAnsi="Times New Roman" w:cs="Times New Roman"/>
          <w:noProof/>
          <w:spacing w:val="-8"/>
          <w:sz w:val="24"/>
          <w:szCs w:val="24"/>
        </w:rPr>
        <w:t xml:space="preserve">The ASTRA model is a well-established model that has been used for numerous impact assessments in the energy, transport and climate action fields for the past 15 years. A dedicated version of the ASTRA model was developed by TRT and M-Five on behalf of JRC and is being used since 2013, when the first version was developed as part of the ASSIST project. </w:t>
      </w:r>
    </w:p>
    <w:p w14:paraId="69CC77A3" w14:textId="33FA7604" w:rsidR="00851D41" w:rsidRPr="00D71008" w:rsidRDefault="00851D41" w:rsidP="00851D41">
      <w:pPr>
        <w:pStyle w:val="Body"/>
        <w:spacing w:after="240" w:line="240" w:lineRule="auto"/>
        <w:jc w:val="both"/>
        <w:rPr>
          <w:rFonts w:ascii="Times New Roman" w:hAnsi="Times New Roman" w:cs="Times New Roman"/>
          <w:noProof/>
          <w:spacing w:val="-8"/>
          <w:sz w:val="24"/>
          <w:szCs w:val="24"/>
        </w:rPr>
      </w:pPr>
      <w:r w:rsidRPr="00D71008">
        <w:rPr>
          <w:rFonts w:ascii="Times New Roman" w:hAnsi="Times New Roman" w:cs="Times New Roman"/>
          <w:noProof/>
          <w:spacing w:val="-8"/>
          <w:sz w:val="24"/>
          <w:szCs w:val="24"/>
        </w:rPr>
        <w:t xml:space="preserve">In the context of this impact assessment, the ASTRA model was used to estimate the impacts of the policy options </w:t>
      </w:r>
      <w:r w:rsidR="004D23E5">
        <w:rPr>
          <w:rFonts w:ascii="Times New Roman" w:hAnsi="Times New Roman" w:cs="Times New Roman"/>
          <w:noProof/>
          <w:spacing w:val="-8"/>
          <w:sz w:val="24"/>
          <w:szCs w:val="24"/>
        </w:rPr>
        <w:t>on</w:t>
      </w:r>
      <w:r w:rsidRPr="00D71008">
        <w:rPr>
          <w:rFonts w:ascii="Times New Roman" w:hAnsi="Times New Roman" w:cs="Times New Roman"/>
          <w:noProof/>
          <w:spacing w:val="-8"/>
          <w:sz w:val="24"/>
          <w:szCs w:val="24"/>
        </w:rPr>
        <w:t xml:space="preserve"> </w:t>
      </w:r>
      <w:r w:rsidR="007B5FA3">
        <w:rPr>
          <w:rFonts w:ascii="Times New Roman" w:hAnsi="Times New Roman" w:cs="Times New Roman"/>
          <w:noProof/>
          <w:spacing w:val="-8"/>
          <w:sz w:val="24"/>
          <w:szCs w:val="24"/>
        </w:rPr>
        <w:t xml:space="preserve">transport activity, </w:t>
      </w:r>
      <w:r w:rsidR="004D23E5">
        <w:rPr>
          <w:rFonts w:ascii="Times New Roman" w:hAnsi="Times New Roman" w:cs="Times New Roman"/>
          <w:noProof/>
          <w:spacing w:val="-8"/>
          <w:sz w:val="24"/>
          <w:szCs w:val="24"/>
        </w:rPr>
        <w:t>CO</w:t>
      </w:r>
      <w:r w:rsidR="004D23E5" w:rsidRPr="004D23E5">
        <w:rPr>
          <w:rFonts w:ascii="Times New Roman" w:hAnsi="Times New Roman" w:cs="Times New Roman"/>
          <w:noProof/>
          <w:spacing w:val="-8"/>
          <w:sz w:val="24"/>
          <w:szCs w:val="24"/>
          <w:vertAlign w:val="subscript"/>
        </w:rPr>
        <w:t>2</w:t>
      </w:r>
      <w:r w:rsidRPr="00D71008">
        <w:rPr>
          <w:rFonts w:ascii="Times New Roman" w:hAnsi="Times New Roman" w:cs="Times New Roman"/>
          <w:noProof/>
          <w:spacing w:val="-8"/>
          <w:sz w:val="24"/>
          <w:szCs w:val="24"/>
        </w:rPr>
        <w:t xml:space="preserve"> emissions, air </w:t>
      </w:r>
      <w:r w:rsidR="00AD21DC">
        <w:rPr>
          <w:rFonts w:ascii="Times New Roman" w:hAnsi="Times New Roman" w:cs="Times New Roman"/>
          <w:noProof/>
          <w:spacing w:val="-8"/>
          <w:sz w:val="24"/>
          <w:szCs w:val="24"/>
        </w:rPr>
        <w:t>pollutant</w:t>
      </w:r>
      <w:r w:rsidRPr="00D71008">
        <w:rPr>
          <w:rFonts w:ascii="Times New Roman" w:hAnsi="Times New Roman" w:cs="Times New Roman"/>
          <w:noProof/>
          <w:spacing w:val="-8"/>
          <w:sz w:val="24"/>
          <w:szCs w:val="24"/>
        </w:rPr>
        <w:t xml:space="preserve"> emissions and other external costs of transport</w:t>
      </w:r>
      <w:r w:rsidR="00C43B28">
        <w:rPr>
          <w:rFonts w:ascii="Times New Roman" w:hAnsi="Times New Roman" w:cs="Times New Roman"/>
          <w:noProof/>
          <w:spacing w:val="-8"/>
          <w:sz w:val="24"/>
          <w:szCs w:val="24"/>
        </w:rPr>
        <w:t>, as well as the impacts on user costs</w:t>
      </w:r>
      <w:r w:rsidRPr="00D71008">
        <w:rPr>
          <w:rFonts w:ascii="Times New Roman" w:hAnsi="Times New Roman" w:cs="Times New Roman"/>
          <w:noProof/>
          <w:spacing w:val="-8"/>
          <w:sz w:val="24"/>
          <w:szCs w:val="24"/>
        </w:rPr>
        <w:t xml:space="preserve">. To monetise the external costs, the unit values from the </w:t>
      </w:r>
      <w:r w:rsidR="00F42066" w:rsidRPr="00D71008">
        <w:rPr>
          <w:rFonts w:ascii="Times New Roman" w:hAnsi="Times New Roman" w:cs="Times New Roman"/>
          <w:noProof/>
          <w:spacing w:val="-8"/>
          <w:sz w:val="24"/>
          <w:szCs w:val="24"/>
        </w:rPr>
        <w:t xml:space="preserve">2019 </w:t>
      </w:r>
      <w:r w:rsidRPr="00D71008">
        <w:rPr>
          <w:rFonts w:ascii="Times New Roman" w:hAnsi="Times New Roman" w:cs="Times New Roman"/>
          <w:noProof/>
          <w:spacing w:val="-8"/>
          <w:sz w:val="24"/>
          <w:szCs w:val="24"/>
        </w:rPr>
        <w:t>Handbook on the external costs of transport</w:t>
      </w:r>
      <w:r w:rsidRPr="00D71008">
        <w:rPr>
          <w:rFonts w:ascii="Times New Roman" w:hAnsi="Times New Roman" w:cs="Times New Roman"/>
          <w:noProof/>
          <w:spacing w:val="-8"/>
          <w:sz w:val="24"/>
          <w:szCs w:val="24"/>
          <w:vertAlign w:val="superscript"/>
        </w:rPr>
        <w:footnoteReference w:id="273"/>
      </w:r>
      <w:r w:rsidRPr="00D71008">
        <w:rPr>
          <w:rFonts w:ascii="Times New Roman" w:hAnsi="Times New Roman" w:cs="Times New Roman"/>
          <w:noProof/>
          <w:spacing w:val="-8"/>
          <w:sz w:val="24"/>
          <w:szCs w:val="24"/>
        </w:rPr>
        <w:t xml:space="preserve"> have been used.</w:t>
      </w:r>
    </w:p>
    <w:p w14:paraId="7AE14DD3" w14:textId="77777777" w:rsidR="008D5682" w:rsidRDefault="008D5682" w:rsidP="008D5682">
      <w:pPr>
        <w:tabs>
          <w:tab w:val="left" w:pos="2302"/>
        </w:tabs>
        <w:spacing w:after="240"/>
        <w:jc w:val="both"/>
        <w:rPr>
          <w:noProof/>
          <w:spacing w:val="-8"/>
        </w:rPr>
      </w:pPr>
      <w:r w:rsidRPr="00D71008">
        <w:rPr>
          <w:noProof/>
          <w:spacing w:val="-8"/>
        </w:rPr>
        <w:t xml:space="preserve">The baseline scenario of the ASTRA model has been calibrated on the PRIMES-TREMOVE results. </w:t>
      </w:r>
    </w:p>
    <w:p w14:paraId="3CD5C029" w14:textId="77777777" w:rsidR="00011DC3" w:rsidRPr="00D71008" w:rsidRDefault="00011DC3" w:rsidP="00011DC3">
      <w:pPr>
        <w:spacing w:after="240"/>
        <w:jc w:val="both"/>
        <w:rPr>
          <w:i/>
          <w:noProof/>
          <w:u w:val="single"/>
        </w:rPr>
      </w:pPr>
      <w:r w:rsidRPr="00D71008">
        <w:rPr>
          <w:i/>
          <w:noProof/>
          <w:u w:val="single"/>
        </w:rPr>
        <w:t>Data inputs</w:t>
      </w:r>
    </w:p>
    <w:p w14:paraId="6F39B271" w14:textId="00DEF0BE" w:rsidR="00011DC3" w:rsidRPr="00D71008" w:rsidRDefault="00011DC3" w:rsidP="00011DC3">
      <w:pPr>
        <w:spacing w:after="240"/>
        <w:jc w:val="both"/>
        <w:rPr>
          <w:noProof/>
          <w:spacing w:val="-8"/>
        </w:rPr>
      </w:pPr>
      <w:r>
        <w:rPr>
          <w:noProof/>
        </w:rPr>
        <w:t>The main data sources for inputs to the ASTRA model, such as for activity and energy consumption, come from EUROSTAT databases and from the Statistical Pocketbook EU transport in figures</w:t>
      </w:r>
      <w:r w:rsidRPr="00D71008">
        <w:rPr>
          <w:rStyle w:val="FootnoteReference"/>
          <w:noProof/>
          <w:spacing w:val="-8"/>
        </w:rPr>
        <w:footnoteReference w:id="274"/>
      </w:r>
      <w:r>
        <w:rPr>
          <w:noProof/>
        </w:rPr>
        <w:t xml:space="preserve">. Excise taxes are derived from DG TAXUD excise duty tables. Other data comes from different sources such as research projects (e.g. New Mobility Pattern projects) and reports. In the context of this exercise, the </w:t>
      </w:r>
      <w:r w:rsidR="00856D58">
        <w:rPr>
          <w:noProof/>
          <w:spacing w:val="-8"/>
        </w:rPr>
        <w:t>ASTRA</w:t>
      </w:r>
      <w:r>
        <w:rPr>
          <w:noProof/>
        </w:rPr>
        <w:t xml:space="preserve"> transport model is calibrated to 2005, 2010, 2015 and 2020-2023 historical data. </w:t>
      </w:r>
      <w:r w:rsidR="00B538D4">
        <w:rPr>
          <w:noProof/>
        </w:rPr>
        <w:t>As explained above, the baseline scenario of the ASTRA model has been calibrated on the PRIMES-TREMOVE results.</w:t>
      </w:r>
    </w:p>
    <w:p w14:paraId="7DE4B24E" w14:textId="7A87181B" w:rsidR="000324F6" w:rsidRPr="00D71008" w:rsidRDefault="000324F6" w:rsidP="007B2D8E">
      <w:pPr>
        <w:pStyle w:val="Heading2"/>
        <w:numPr>
          <w:ilvl w:val="1"/>
          <w:numId w:val="10"/>
        </w:numPr>
        <w:tabs>
          <w:tab w:val="left" w:pos="426"/>
          <w:tab w:val="left" w:pos="1705"/>
        </w:tabs>
        <w:spacing w:before="0" w:after="240"/>
        <w:ind w:left="1134" w:hanging="708"/>
        <w:rPr>
          <w:noProof/>
        </w:rPr>
      </w:pPr>
      <w:bookmarkStart w:id="320" w:name="_Toc222313520"/>
      <w:bookmarkStart w:id="321" w:name="_Toc222749041"/>
      <w:bookmarkStart w:id="322" w:name="_Toc223980014"/>
      <w:r w:rsidRPr="00D71008">
        <w:rPr>
          <w:noProof/>
        </w:rPr>
        <w:t xml:space="preserve">Other inputs and ad hoc tools part of the </w:t>
      </w:r>
      <w:r w:rsidR="006233A7" w:rsidRPr="00D71008">
        <w:rPr>
          <w:noProof/>
        </w:rPr>
        <w:t>assessment of impacts framework</w:t>
      </w:r>
      <w:bookmarkEnd w:id="320"/>
      <w:bookmarkEnd w:id="321"/>
      <w:bookmarkEnd w:id="322"/>
    </w:p>
    <w:p w14:paraId="3EC13F78" w14:textId="17025D4B" w:rsidR="00200828" w:rsidRDefault="00977B64" w:rsidP="00FA3B78">
      <w:pPr>
        <w:pStyle w:val="Body"/>
        <w:spacing w:after="240" w:line="240" w:lineRule="auto"/>
        <w:jc w:val="both"/>
        <w:rPr>
          <w:rFonts w:ascii="Times New Roman" w:hAnsi="Times New Roman" w:cs="Times New Roman"/>
          <w:noProof/>
          <w:spacing w:val="-8"/>
          <w:sz w:val="24"/>
          <w:szCs w:val="24"/>
        </w:rPr>
      </w:pPr>
      <w:r w:rsidRPr="00D71008">
        <w:rPr>
          <w:rFonts w:ascii="Times New Roman" w:hAnsi="Times New Roman" w:cs="Times New Roman"/>
          <w:noProof/>
          <w:spacing w:val="-8"/>
          <w:sz w:val="24"/>
          <w:szCs w:val="24"/>
        </w:rPr>
        <w:t>As explained in section 1 of Annex 4</w:t>
      </w:r>
      <w:r w:rsidR="00A41A9A" w:rsidRPr="00D71008">
        <w:rPr>
          <w:rFonts w:ascii="Times New Roman" w:hAnsi="Times New Roman" w:cs="Times New Roman"/>
          <w:noProof/>
          <w:spacing w:val="-8"/>
          <w:sz w:val="24"/>
          <w:szCs w:val="24"/>
        </w:rPr>
        <w:t>,</w:t>
      </w:r>
      <w:r w:rsidRPr="00D71008">
        <w:rPr>
          <w:rFonts w:ascii="Times New Roman" w:hAnsi="Times New Roman" w:cs="Times New Roman"/>
          <w:noProof/>
          <w:spacing w:val="-8"/>
          <w:sz w:val="24"/>
          <w:szCs w:val="24"/>
        </w:rPr>
        <w:t xml:space="preserve"> a suite of inputs and ad-hoc tools have been developed that feed into the ASTRA model. </w:t>
      </w:r>
      <w:r w:rsidR="00D91024" w:rsidRPr="00D71008">
        <w:rPr>
          <w:rFonts w:ascii="Times New Roman" w:hAnsi="Times New Roman" w:cs="Times New Roman"/>
          <w:noProof/>
          <w:spacing w:val="-8"/>
          <w:sz w:val="24"/>
          <w:szCs w:val="24"/>
        </w:rPr>
        <w:t xml:space="preserve">This is complemented by a cost module and a cost-benefit analysis </w:t>
      </w:r>
      <w:r w:rsidR="00FA3B78" w:rsidRPr="00D71008">
        <w:rPr>
          <w:rFonts w:ascii="Times New Roman" w:hAnsi="Times New Roman" w:cs="Times New Roman"/>
          <w:noProof/>
          <w:spacing w:val="-8"/>
          <w:sz w:val="24"/>
          <w:szCs w:val="24"/>
        </w:rPr>
        <w:t xml:space="preserve">(CBA) </w:t>
      </w:r>
      <w:r w:rsidR="00D91024" w:rsidRPr="00D71008">
        <w:rPr>
          <w:rFonts w:ascii="Times New Roman" w:hAnsi="Times New Roman" w:cs="Times New Roman"/>
          <w:noProof/>
          <w:spacing w:val="-8"/>
          <w:sz w:val="24"/>
          <w:szCs w:val="24"/>
        </w:rPr>
        <w:t xml:space="preserve">module </w:t>
      </w:r>
      <w:r w:rsidR="00FA3B78" w:rsidRPr="00D71008">
        <w:rPr>
          <w:rFonts w:ascii="Times New Roman" w:hAnsi="Times New Roman" w:cs="Times New Roman"/>
          <w:noProof/>
          <w:spacing w:val="-8"/>
          <w:sz w:val="24"/>
          <w:szCs w:val="24"/>
        </w:rPr>
        <w:t xml:space="preserve">as shown in </w:t>
      </w:r>
      <w:r w:rsidR="00FA3B78" w:rsidRPr="00D71008">
        <w:rPr>
          <w:rFonts w:ascii="Times New Roman" w:hAnsi="Times New Roman" w:cs="Times New Roman"/>
          <w:noProof/>
          <w:spacing w:val="-8"/>
          <w:sz w:val="24"/>
          <w:szCs w:val="24"/>
        </w:rPr>
        <w:fldChar w:fldCharType="begin"/>
      </w:r>
      <w:r w:rsidR="00FA3B78" w:rsidRPr="00D71008">
        <w:rPr>
          <w:rFonts w:ascii="Times New Roman" w:hAnsi="Times New Roman" w:cs="Times New Roman"/>
          <w:noProof/>
          <w:spacing w:val="-8"/>
          <w:sz w:val="24"/>
          <w:szCs w:val="24"/>
        </w:rPr>
        <w:instrText xml:space="preserve"> REF _Ref221690959 \h  \* MERGEFORMAT </w:instrText>
      </w:r>
      <w:r w:rsidR="00FA3B78" w:rsidRPr="00D71008">
        <w:rPr>
          <w:rFonts w:ascii="Times New Roman" w:hAnsi="Times New Roman" w:cs="Times New Roman"/>
          <w:noProof/>
          <w:spacing w:val="-8"/>
          <w:sz w:val="24"/>
          <w:szCs w:val="24"/>
        </w:rPr>
      </w:r>
      <w:r w:rsidR="00FA3B78" w:rsidRPr="00D71008">
        <w:rPr>
          <w:rFonts w:ascii="Times New Roman" w:hAnsi="Times New Roman" w:cs="Times New Roman"/>
          <w:noProof/>
          <w:spacing w:val="-8"/>
          <w:sz w:val="24"/>
          <w:szCs w:val="24"/>
        </w:rPr>
        <w:fldChar w:fldCharType="separate"/>
      </w:r>
      <w:r>
        <w:rPr>
          <w:rFonts w:ascii="Times New Roman" w:hAnsi="Times New Roman" w:cs="Times New Roman"/>
          <w:noProof/>
          <w:spacing w:val="-8"/>
          <w:sz w:val="24"/>
          <w:szCs w:val="24"/>
        </w:rPr>
        <w:t>Figure 8</w:t>
      </w:r>
      <w:r w:rsidR="00FA3B78" w:rsidRPr="00D71008">
        <w:rPr>
          <w:rFonts w:ascii="Times New Roman" w:hAnsi="Times New Roman" w:cs="Times New Roman"/>
          <w:noProof/>
          <w:spacing w:val="-8"/>
          <w:sz w:val="24"/>
          <w:szCs w:val="24"/>
        </w:rPr>
        <w:fldChar w:fldCharType="end"/>
      </w:r>
      <w:r w:rsidR="00FA3B78" w:rsidRPr="00D71008">
        <w:rPr>
          <w:rFonts w:ascii="Times New Roman" w:hAnsi="Times New Roman" w:cs="Times New Roman"/>
          <w:noProof/>
          <w:spacing w:val="-8"/>
          <w:sz w:val="24"/>
          <w:szCs w:val="24"/>
        </w:rPr>
        <w:t>.</w:t>
      </w:r>
      <w:r w:rsidR="00CD765C" w:rsidRPr="00D71008">
        <w:rPr>
          <w:rFonts w:ascii="Times New Roman" w:hAnsi="Times New Roman" w:cs="Times New Roman"/>
          <w:noProof/>
          <w:spacing w:val="-8"/>
          <w:sz w:val="24"/>
          <w:szCs w:val="24"/>
        </w:rPr>
        <w:t xml:space="preserve"> More details on each component </w:t>
      </w:r>
      <w:r w:rsidR="001B3733" w:rsidRPr="00D71008">
        <w:rPr>
          <w:rFonts w:ascii="Times New Roman" w:hAnsi="Times New Roman" w:cs="Times New Roman"/>
          <w:noProof/>
          <w:spacing w:val="-8"/>
          <w:sz w:val="24"/>
          <w:szCs w:val="24"/>
        </w:rPr>
        <w:t>are</w:t>
      </w:r>
      <w:r w:rsidR="00CD765C" w:rsidRPr="00D71008">
        <w:rPr>
          <w:rFonts w:ascii="Times New Roman" w:hAnsi="Times New Roman" w:cs="Times New Roman"/>
          <w:noProof/>
          <w:spacing w:val="-8"/>
          <w:sz w:val="24"/>
          <w:szCs w:val="24"/>
        </w:rPr>
        <w:t xml:space="preserve"> provided below.</w:t>
      </w:r>
      <w:r w:rsidR="00B31E8C">
        <w:rPr>
          <w:rFonts w:ascii="Times New Roman" w:hAnsi="Times New Roman" w:cs="Times New Roman"/>
          <w:noProof/>
          <w:spacing w:val="-8"/>
          <w:sz w:val="24"/>
          <w:szCs w:val="24"/>
        </w:rPr>
        <w:t xml:space="preserve"> </w:t>
      </w:r>
    </w:p>
    <w:p w14:paraId="561609C2" w14:textId="44E50177" w:rsidR="00977B64" w:rsidRPr="00844668" w:rsidRDefault="00B31E8C" w:rsidP="00FA3B78">
      <w:pPr>
        <w:pStyle w:val="Body"/>
        <w:spacing w:after="240" w:line="240" w:lineRule="auto"/>
        <w:jc w:val="both"/>
        <w:rPr>
          <w:rFonts w:ascii="Times New Roman" w:hAnsi="Times New Roman" w:cs="Times New Roman"/>
          <w:noProof/>
          <w:spacing w:val="-8"/>
          <w:sz w:val="24"/>
          <w:szCs w:val="24"/>
        </w:rPr>
      </w:pPr>
      <w:r w:rsidRPr="00844668">
        <w:rPr>
          <w:rFonts w:ascii="Times New Roman" w:hAnsi="Times New Roman" w:cs="Times New Roman"/>
          <w:b/>
          <w:noProof/>
          <w:spacing w:val="-8"/>
          <w:sz w:val="24"/>
          <w:szCs w:val="24"/>
        </w:rPr>
        <w:t>The assessment of impacts builds significantly on evidence from a 2024 Eurobarometer survey on ticketing</w:t>
      </w:r>
      <w:r w:rsidRPr="00844668">
        <w:rPr>
          <w:rStyle w:val="FootnoteReference"/>
          <w:rFonts w:ascii="Times New Roman" w:hAnsi="Times New Roman" w:cs="Times New Roman"/>
          <w:b/>
          <w:noProof/>
          <w:spacing w:val="-8"/>
          <w:sz w:val="24"/>
          <w:szCs w:val="24"/>
        </w:rPr>
        <w:footnoteReference w:id="275"/>
      </w:r>
      <w:r w:rsidRPr="00844668">
        <w:rPr>
          <w:rFonts w:ascii="Times New Roman" w:hAnsi="Times New Roman" w:cs="Times New Roman"/>
          <w:b/>
          <w:noProof/>
          <w:spacing w:val="-8"/>
          <w:sz w:val="24"/>
          <w:szCs w:val="24"/>
        </w:rPr>
        <w:t xml:space="preserve"> and the in-depth analysis of 100 origin-destination (OD) routes</w:t>
      </w:r>
      <w:r w:rsidRPr="00844668">
        <w:rPr>
          <w:rFonts w:ascii="Times New Roman" w:hAnsi="Times New Roman" w:cs="Times New Roman"/>
          <w:noProof/>
          <w:spacing w:val="-8"/>
          <w:sz w:val="24"/>
          <w:szCs w:val="24"/>
        </w:rPr>
        <w:t>, conducted in the context of the impact assessment support study</w:t>
      </w:r>
      <w:r w:rsidR="00FD31B9" w:rsidRPr="00844668">
        <w:rPr>
          <w:rFonts w:ascii="Times New Roman" w:hAnsi="Times New Roman" w:cs="Times New Roman"/>
          <w:noProof/>
          <w:spacing w:val="-8"/>
          <w:sz w:val="24"/>
          <w:szCs w:val="24"/>
        </w:rPr>
        <w:t>, as further explained below</w:t>
      </w:r>
      <w:r w:rsidRPr="00844668">
        <w:rPr>
          <w:rFonts w:ascii="Times New Roman" w:hAnsi="Times New Roman" w:cs="Times New Roman"/>
          <w:noProof/>
          <w:spacing w:val="-8"/>
          <w:sz w:val="24"/>
          <w:szCs w:val="24"/>
        </w:rPr>
        <w:t>.</w:t>
      </w:r>
      <w:r w:rsidR="00200828" w:rsidRPr="00844668">
        <w:rPr>
          <w:rFonts w:ascii="Times New Roman" w:hAnsi="Times New Roman" w:cs="Times New Roman"/>
          <w:noProof/>
          <w:spacing w:val="-8"/>
          <w:sz w:val="24"/>
          <w:szCs w:val="24"/>
        </w:rPr>
        <w:t xml:space="preserve"> </w:t>
      </w:r>
      <w:r w:rsidR="00796B78" w:rsidRPr="00844668">
        <w:rPr>
          <w:rFonts w:ascii="Times New Roman" w:hAnsi="Times New Roman" w:cs="Times New Roman"/>
          <w:noProof/>
          <w:spacing w:val="-8"/>
          <w:sz w:val="24"/>
          <w:szCs w:val="24"/>
        </w:rPr>
        <w:t xml:space="preserve">In addition, </w:t>
      </w:r>
      <w:r w:rsidR="00796B78" w:rsidRPr="00844668">
        <w:rPr>
          <w:rFonts w:ascii="Times New Roman" w:hAnsi="Times New Roman" w:cs="Times New Roman"/>
          <w:b/>
          <w:noProof/>
          <w:spacing w:val="-8"/>
          <w:sz w:val="24"/>
          <w:szCs w:val="24"/>
        </w:rPr>
        <w:t>an expert workshop was organised to discuss the maximum potential modal shift due to the ability to see all offerings on MDMS platforms and the ability to book all visible travel options on MDMS platforms, and an additional stakeholders’ workshop was organised to validate the inputs used for the policy options in the ASTRA model</w:t>
      </w:r>
      <w:r w:rsidR="00796B78" w:rsidRPr="00844668">
        <w:rPr>
          <w:rFonts w:ascii="Times New Roman" w:hAnsi="Times New Roman" w:cs="Times New Roman"/>
          <w:noProof/>
          <w:spacing w:val="-8"/>
          <w:sz w:val="24"/>
          <w:szCs w:val="24"/>
        </w:rPr>
        <w:t>.</w:t>
      </w:r>
    </w:p>
    <w:p w14:paraId="493EE167" w14:textId="7160A5D8" w:rsidR="00A103AE" w:rsidRPr="00A97E4C" w:rsidRDefault="00A103AE" w:rsidP="007B2D8E">
      <w:pPr>
        <w:pStyle w:val="ListParagraph"/>
        <w:keepNext/>
        <w:widowControl/>
        <w:numPr>
          <w:ilvl w:val="2"/>
          <w:numId w:val="10"/>
        </w:numPr>
        <w:autoSpaceDE/>
        <w:autoSpaceDN/>
        <w:spacing w:after="240"/>
        <w:jc w:val="both"/>
        <w:outlineLvl w:val="2"/>
        <w:rPr>
          <w:i/>
          <w:noProof/>
          <w:sz w:val="24"/>
          <w:szCs w:val="24"/>
        </w:rPr>
      </w:pPr>
      <w:bookmarkStart w:id="323" w:name="_Toc222313521"/>
      <w:bookmarkStart w:id="324" w:name="_Toc222749042"/>
      <w:bookmarkStart w:id="325" w:name="_Toc223980015"/>
      <w:r w:rsidRPr="00A97E4C">
        <w:rPr>
          <w:i/>
          <w:noProof/>
          <w:sz w:val="24"/>
          <w:szCs w:val="24"/>
        </w:rPr>
        <w:t>Route clustering</w:t>
      </w:r>
      <w:bookmarkEnd w:id="323"/>
      <w:bookmarkEnd w:id="324"/>
      <w:bookmarkEnd w:id="325"/>
    </w:p>
    <w:p w14:paraId="5A40F568" w14:textId="6BF1D43B" w:rsidR="00E838DF" w:rsidRPr="00D71008" w:rsidRDefault="00E838DF" w:rsidP="00E838DF">
      <w:pPr>
        <w:spacing w:after="240"/>
        <w:jc w:val="both"/>
        <w:rPr>
          <w:noProof/>
          <w:spacing w:val="-8"/>
        </w:rPr>
      </w:pPr>
      <w:r w:rsidRPr="00D71008">
        <w:rPr>
          <w:noProof/>
          <w:spacing w:val="-8"/>
        </w:rPr>
        <w:t xml:space="preserve">To assess the extent to which EU passengers have access to alternative options for long-distance and regional travel, and whether the combinations of operators within transport modes or combinations between different transport modes are sufficient, an </w:t>
      </w:r>
      <w:r w:rsidR="00D05134" w:rsidRPr="00D71008">
        <w:rPr>
          <w:noProof/>
          <w:spacing w:val="-8"/>
        </w:rPr>
        <w:t xml:space="preserve">in-depth </w:t>
      </w:r>
      <w:r w:rsidRPr="00D71008">
        <w:rPr>
          <w:noProof/>
          <w:spacing w:val="-8"/>
        </w:rPr>
        <w:t xml:space="preserve">analysis of 100 </w:t>
      </w:r>
      <w:r w:rsidR="001E43CE" w:rsidRPr="00D71008">
        <w:rPr>
          <w:noProof/>
          <w:spacing w:val="-8"/>
        </w:rPr>
        <w:t xml:space="preserve">representative </w:t>
      </w:r>
      <w:r w:rsidRPr="00D71008">
        <w:rPr>
          <w:noProof/>
          <w:spacing w:val="-8"/>
        </w:rPr>
        <w:t>transport routes, also known as origin-destination (OD) pairs</w:t>
      </w:r>
      <w:r w:rsidR="00622239" w:rsidRPr="00D71008">
        <w:rPr>
          <w:noProof/>
          <w:spacing w:val="-8"/>
        </w:rPr>
        <w:t>, has been performed</w:t>
      </w:r>
      <w:r w:rsidRPr="00D71008">
        <w:rPr>
          <w:noProof/>
          <w:spacing w:val="-8"/>
        </w:rPr>
        <w:t xml:space="preserve">. </w:t>
      </w:r>
    </w:p>
    <w:p w14:paraId="7D93324D" w14:textId="13CA4B18" w:rsidR="00DD5CEC" w:rsidRPr="00D71008" w:rsidRDefault="00DC4501" w:rsidP="00E838DF">
      <w:pPr>
        <w:spacing w:after="240"/>
        <w:jc w:val="both"/>
        <w:rPr>
          <w:noProof/>
          <w:spacing w:val="-8"/>
        </w:rPr>
      </w:pPr>
      <w:r w:rsidRPr="00D71008">
        <w:rPr>
          <w:noProof/>
          <w:spacing w:val="-8"/>
        </w:rPr>
        <w:t>To select the 100 transport routes, g</w:t>
      </w:r>
      <w:r w:rsidR="00A20642" w:rsidRPr="00D71008">
        <w:rPr>
          <w:noProof/>
          <w:spacing w:val="-8"/>
        </w:rPr>
        <w:t xml:space="preserve">iven the </w:t>
      </w:r>
      <w:r w:rsidR="00352C2B" w:rsidRPr="00D71008">
        <w:rPr>
          <w:noProof/>
          <w:spacing w:val="-8"/>
        </w:rPr>
        <w:t>large</w:t>
      </w:r>
      <w:r w:rsidR="00A20642" w:rsidRPr="00D71008">
        <w:rPr>
          <w:noProof/>
          <w:spacing w:val="-8"/>
        </w:rPr>
        <w:t xml:space="preserve"> variety of possible routes to consider</w:t>
      </w:r>
      <w:r w:rsidR="00A20642" w:rsidRPr="00D71008">
        <w:rPr>
          <w:noProof/>
          <w:spacing w:val="-8"/>
          <w:vertAlign w:val="superscript"/>
        </w:rPr>
        <w:footnoteReference w:id="276"/>
      </w:r>
      <w:r w:rsidR="00A20642" w:rsidRPr="00D71008">
        <w:rPr>
          <w:noProof/>
          <w:spacing w:val="-8"/>
        </w:rPr>
        <w:t>, priority was</w:t>
      </w:r>
      <w:r w:rsidR="00147A62" w:rsidRPr="00D71008">
        <w:rPr>
          <w:noProof/>
          <w:spacing w:val="-8"/>
        </w:rPr>
        <w:t xml:space="preserve"> first</w:t>
      </w:r>
      <w:r w:rsidR="00A20642" w:rsidRPr="00D71008">
        <w:rPr>
          <w:noProof/>
          <w:spacing w:val="-8"/>
        </w:rPr>
        <w:t xml:space="preserve"> given to identifying a balanced selection of high traffic routes that can be considered highly relevant for EU passenger transport. </w:t>
      </w:r>
      <w:r w:rsidR="004D032D" w:rsidRPr="00D71008">
        <w:rPr>
          <w:noProof/>
          <w:spacing w:val="-8"/>
        </w:rPr>
        <w:t>To do this, m</w:t>
      </w:r>
      <w:r w:rsidR="00147A62" w:rsidRPr="00D71008">
        <w:rPr>
          <w:noProof/>
          <w:spacing w:val="-8"/>
        </w:rPr>
        <w:t>ultiple data sources</w:t>
      </w:r>
      <w:r w:rsidR="00CB7259" w:rsidRPr="00D71008">
        <w:rPr>
          <w:rStyle w:val="FootnoteReference"/>
          <w:noProof/>
          <w:spacing w:val="-8"/>
        </w:rPr>
        <w:footnoteReference w:id="277"/>
      </w:r>
      <w:r w:rsidR="00147A62" w:rsidRPr="00D71008">
        <w:rPr>
          <w:noProof/>
          <w:spacing w:val="-8"/>
        </w:rPr>
        <w:t xml:space="preserve"> were compiled into a list of </w:t>
      </w:r>
      <w:r w:rsidR="006D4733">
        <w:rPr>
          <w:noProof/>
          <w:spacing w:val="-8"/>
        </w:rPr>
        <w:t>high</w:t>
      </w:r>
      <w:r w:rsidR="00147A62" w:rsidRPr="00D71008">
        <w:rPr>
          <w:noProof/>
          <w:spacing w:val="-8"/>
        </w:rPr>
        <w:t xml:space="preserve"> traffic routes and nodes in the EU </w:t>
      </w:r>
      <w:r w:rsidR="00C85F50">
        <w:rPr>
          <w:noProof/>
          <w:spacing w:val="-8"/>
        </w:rPr>
        <w:t>using</w:t>
      </w:r>
      <w:r w:rsidR="00147A62" w:rsidRPr="00D71008">
        <w:rPr>
          <w:noProof/>
          <w:spacing w:val="-8"/>
        </w:rPr>
        <w:t xml:space="preserve"> a NUTS3-to-NUTS3 approach</w:t>
      </w:r>
      <w:r w:rsidR="00CB7259" w:rsidRPr="00D71008">
        <w:rPr>
          <w:noProof/>
          <w:spacing w:val="-8"/>
        </w:rPr>
        <w:t>.</w:t>
      </w:r>
      <w:r w:rsidR="00D34A55" w:rsidRPr="00D71008">
        <w:rPr>
          <w:noProof/>
          <w:spacing w:val="-8"/>
        </w:rPr>
        <w:t xml:space="preserve"> </w:t>
      </w:r>
      <w:r w:rsidR="00147A62" w:rsidRPr="00D71008">
        <w:rPr>
          <w:noProof/>
          <w:spacing w:val="-8"/>
        </w:rPr>
        <w:t>This step of the analysis also considered the relevance of OD pairs between capital cities</w:t>
      </w:r>
      <w:r w:rsidR="00D34A55" w:rsidRPr="00D71008">
        <w:rPr>
          <w:rStyle w:val="FootnoteReference"/>
          <w:noProof/>
          <w:spacing w:val="-8"/>
        </w:rPr>
        <w:footnoteReference w:id="278"/>
      </w:r>
      <w:r w:rsidR="0010638A" w:rsidRPr="00D71008">
        <w:rPr>
          <w:noProof/>
          <w:spacing w:val="-8"/>
        </w:rPr>
        <w:t>.</w:t>
      </w:r>
      <w:r w:rsidR="00147A62" w:rsidRPr="00D71008">
        <w:rPr>
          <w:noProof/>
          <w:spacing w:val="-8"/>
        </w:rPr>
        <w:t xml:space="preserve">The most relevant routes for each mode were compiled into a preliminary list. These high traffic routes were then screened to ensure geographic diversity by removing any duplicate nodes and ensuring no two routes are part of the same NUTS2 </w:t>
      </w:r>
      <w:r w:rsidR="002830F8">
        <w:rPr>
          <w:noProof/>
          <w:spacing w:val="-8"/>
        </w:rPr>
        <w:t>-</w:t>
      </w:r>
      <w:r w:rsidR="00147A62" w:rsidRPr="00D71008">
        <w:rPr>
          <w:noProof/>
          <w:spacing w:val="-8"/>
        </w:rPr>
        <w:t xml:space="preserve"> NUTS2 combination. Th</w:t>
      </w:r>
      <w:r w:rsidR="002A78DD" w:rsidRPr="00D71008">
        <w:rPr>
          <w:noProof/>
          <w:spacing w:val="-8"/>
        </w:rPr>
        <w:t>is</w:t>
      </w:r>
      <w:r w:rsidR="00147A62" w:rsidRPr="00D71008">
        <w:rPr>
          <w:noProof/>
          <w:spacing w:val="-8"/>
        </w:rPr>
        <w:t xml:space="preserve"> resulted in a list of 94 high-traffic OD routes.</w:t>
      </w:r>
      <w:r w:rsidR="0010638A" w:rsidRPr="00D71008">
        <w:rPr>
          <w:noProof/>
          <w:spacing w:val="-8"/>
        </w:rPr>
        <w:t xml:space="preserve"> In a second step, t</w:t>
      </w:r>
      <w:r w:rsidR="00A20642" w:rsidRPr="00D71008">
        <w:rPr>
          <w:noProof/>
          <w:spacing w:val="-8"/>
        </w:rPr>
        <w:t>o select a sample of lower traffic routes, a randomisation element has been used to remove bias from the route selection process</w:t>
      </w:r>
      <w:r w:rsidR="00E203BA" w:rsidRPr="00D71008">
        <w:rPr>
          <w:noProof/>
          <w:spacing w:val="-8"/>
        </w:rPr>
        <w:t xml:space="preserve">: </w:t>
      </w:r>
      <w:r w:rsidR="00A57B8D" w:rsidRPr="00D71008">
        <w:rPr>
          <w:noProof/>
          <w:spacing w:val="-8"/>
        </w:rPr>
        <w:t>all cities with a population above 50</w:t>
      </w:r>
      <w:r w:rsidR="002C5F80">
        <w:rPr>
          <w:noProof/>
          <w:spacing w:val="-8"/>
        </w:rPr>
        <w:t>,</w:t>
      </w:r>
      <w:r w:rsidR="00A57B8D" w:rsidRPr="00D71008">
        <w:rPr>
          <w:noProof/>
          <w:spacing w:val="-8"/>
        </w:rPr>
        <w:t xml:space="preserve">000 people were listed along with their relevant NUTS3 </w:t>
      </w:r>
      <w:r w:rsidR="004C5067">
        <w:rPr>
          <w:noProof/>
          <w:spacing w:val="-8"/>
        </w:rPr>
        <w:t>region</w:t>
      </w:r>
      <w:r w:rsidR="00A57B8D" w:rsidRPr="00D71008">
        <w:rPr>
          <w:noProof/>
          <w:spacing w:val="-8"/>
        </w:rPr>
        <w:t xml:space="preserve"> and the output of the attractiveness analysis</w:t>
      </w:r>
      <w:r w:rsidR="002E5DDD">
        <w:rPr>
          <w:rStyle w:val="FootnoteReference"/>
          <w:noProof/>
          <w:spacing w:val="-8"/>
        </w:rPr>
        <w:footnoteReference w:id="279"/>
      </w:r>
      <w:r w:rsidR="002E19B1" w:rsidRPr="00D71008">
        <w:rPr>
          <w:noProof/>
          <w:spacing w:val="-8"/>
        </w:rPr>
        <w:t xml:space="preserve">. </w:t>
      </w:r>
      <w:r w:rsidR="00A57B8D" w:rsidRPr="00D71008">
        <w:rPr>
          <w:noProof/>
          <w:spacing w:val="-8"/>
        </w:rPr>
        <w:t>Node pairs were then randomised within two groups up to the target number of routes: attractive-less attractive</w:t>
      </w:r>
      <w:r w:rsidR="00412B93">
        <w:rPr>
          <w:noProof/>
          <w:spacing w:val="-8"/>
        </w:rPr>
        <w:t xml:space="preserve"> </w:t>
      </w:r>
      <w:r w:rsidR="00412B93" w:rsidRPr="00412B93">
        <w:rPr>
          <w:noProof/>
          <w:spacing w:val="-8"/>
        </w:rPr>
        <w:t>(moderate traffic, 270</w:t>
      </w:r>
      <w:r w:rsidR="001523BE">
        <w:rPr>
          <w:noProof/>
          <w:spacing w:val="-8"/>
        </w:rPr>
        <w:t xml:space="preserve"> routes</w:t>
      </w:r>
      <w:r w:rsidR="00412B93" w:rsidRPr="00412B93">
        <w:rPr>
          <w:noProof/>
          <w:spacing w:val="-8"/>
        </w:rPr>
        <w:t>)</w:t>
      </w:r>
      <w:r w:rsidR="00C560D9" w:rsidRPr="00D71008">
        <w:rPr>
          <w:noProof/>
          <w:spacing w:val="-8"/>
        </w:rPr>
        <w:t xml:space="preserve">, </w:t>
      </w:r>
      <w:r w:rsidR="00A57B8D" w:rsidRPr="00D71008">
        <w:rPr>
          <w:noProof/>
          <w:spacing w:val="-8"/>
        </w:rPr>
        <w:t>and less attractive-less attractive</w:t>
      </w:r>
      <w:r w:rsidR="000A2978">
        <w:rPr>
          <w:noProof/>
          <w:spacing w:val="-8"/>
        </w:rPr>
        <w:t xml:space="preserve"> </w:t>
      </w:r>
      <w:r w:rsidR="000A2978" w:rsidRPr="000A2978">
        <w:rPr>
          <w:noProof/>
          <w:spacing w:val="-8"/>
        </w:rPr>
        <w:t>(low traffic, 90</w:t>
      </w:r>
      <w:r w:rsidR="000A2978">
        <w:rPr>
          <w:noProof/>
          <w:spacing w:val="-8"/>
        </w:rPr>
        <w:t xml:space="preserve"> routes</w:t>
      </w:r>
      <w:r w:rsidR="000A2978" w:rsidRPr="000A2978">
        <w:rPr>
          <w:noProof/>
          <w:spacing w:val="-8"/>
        </w:rPr>
        <w:t>)</w:t>
      </w:r>
      <w:r w:rsidR="004D2E36" w:rsidRPr="00D71008">
        <w:rPr>
          <w:noProof/>
          <w:spacing w:val="-8"/>
        </w:rPr>
        <w:t>.</w:t>
      </w:r>
      <w:r w:rsidR="00271E53" w:rsidRPr="00D71008">
        <w:rPr>
          <w:noProof/>
          <w:spacing w:val="-8"/>
        </w:rPr>
        <w:t xml:space="preserve"> </w:t>
      </w:r>
      <w:r w:rsidR="00F35B58" w:rsidRPr="00D71008">
        <w:rPr>
          <w:noProof/>
          <w:spacing w:val="-8"/>
        </w:rPr>
        <w:t>Th</w:t>
      </w:r>
      <w:r w:rsidR="00271E53" w:rsidRPr="00D71008">
        <w:rPr>
          <w:noProof/>
          <w:spacing w:val="-8"/>
        </w:rPr>
        <w:t xml:space="preserve">ese two steps </w:t>
      </w:r>
      <w:r w:rsidR="00F35B58" w:rsidRPr="00D71008">
        <w:rPr>
          <w:noProof/>
          <w:spacing w:val="-8"/>
        </w:rPr>
        <w:t xml:space="preserve">were combined to produce a </w:t>
      </w:r>
      <w:r w:rsidR="00C42B65" w:rsidRPr="00D71008">
        <w:rPr>
          <w:noProof/>
          <w:spacing w:val="-8"/>
        </w:rPr>
        <w:t>long list</w:t>
      </w:r>
      <w:r w:rsidR="00F35B58" w:rsidRPr="00D71008">
        <w:rPr>
          <w:noProof/>
          <w:spacing w:val="-8"/>
        </w:rPr>
        <w:t xml:space="preserve"> of </w:t>
      </w:r>
      <w:r w:rsidR="00747007">
        <w:rPr>
          <w:noProof/>
          <w:spacing w:val="-8"/>
        </w:rPr>
        <w:t>454</w:t>
      </w:r>
      <w:r w:rsidR="00F35B58" w:rsidRPr="00D71008">
        <w:rPr>
          <w:noProof/>
          <w:spacing w:val="-8"/>
        </w:rPr>
        <w:t xml:space="preserve"> routes</w:t>
      </w:r>
      <w:r w:rsidR="00D71E23" w:rsidRPr="00D71008">
        <w:rPr>
          <w:noProof/>
          <w:spacing w:val="-8"/>
        </w:rPr>
        <w:t xml:space="preserve">. </w:t>
      </w:r>
      <w:r w:rsidR="00F35B58" w:rsidRPr="00D71008">
        <w:rPr>
          <w:noProof/>
          <w:spacing w:val="-8"/>
        </w:rPr>
        <w:t xml:space="preserve">The Google Maps API was used to extract characteristics for each route in the </w:t>
      </w:r>
      <w:r w:rsidR="00C42B65" w:rsidRPr="00D71008">
        <w:rPr>
          <w:noProof/>
          <w:spacing w:val="-8"/>
        </w:rPr>
        <w:t>long list</w:t>
      </w:r>
      <w:r w:rsidR="00F35B58" w:rsidRPr="00D71008">
        <w:rPr>
          <w:noProof/>
          <w:spacing w:val="-8"/>
        </w:rPr>
        <w:t xml:space="preserve">, including the distance of the node </w:t>
      </w:r>
      <w:r w:rsidR="00F2494D" w:rsidRPr="00D71008">
        <w:rPr>
          <w:noProof/>
          <w:spacing w:val="-8"/>
        </w:rPr>
        <w:t>pair</w:t>
      </w:r>
      <w:r w:rsidR="00F2494D">
        <w:rPr>
          <w:noProof/>
          <w:spacing w:val="-8"/>
        </w:rPr>
        <w:t>s</w:t>
      </w:r>
      <w:r w:rsidR="00F35B58" w:rsidRPr="00D71008">
        <w:rPr>
          <w:noProof/>
          <w:spacing w:val="-8"/>
        </w:rPr>
        <w:t xml:space="preserve">, modal options for the quickest route, and the number of connections required. This API only covers connectivity by land and sea, excluding flight options. Therefore, IATA </w:t>
      </w:r>
      <w:r w:rsidR="00C42B65" w:rsidRPr="00D71008">
        <w:rPr>
          <w:noProof/>
          <w:spacing w:val="-8"/>
        </w:rPr>
        <w:t>data listing</w:t>
      </w:r>
      <w:r w:rsidR="009549E5">
        <w:rPr>
          <w:rStyle w:val="FootnoteReference"/>
          <w:noProof/>
          <w:spacing w:val="-8"/>
        </w:rPr>
        <w:footnoteReference w:id="280"/>
      </w:r>
      <w:r w:rsidR="00F35B58" w:rsidRPr="00D71008">
        <w:rPr>
          <w:noProof/>
          <w:spacing w:val="-8"/>
        </w:rPr>
        <w:t xml:space="preserve"> </w:t>
      </w:r>
      <w:r w:rsidR="000D4335">
        <w:rPr>
          <w:noProof/>
          <w:spacing w:val="-8"/>
        </w:rPr>
        <w:t>of</w:t>
      </w:r>
      <w:r w:rsidR="00F35B58" w:rsidRPr="00D71008">
        <w:rPr>
          <w:noProof/>
          <w:spacing w:val="-8"/>
        </w:rPr>
        <w:t xml:space="preserve"> the location and size of airports globally was used to indicate whether a medium or large airport was within 50km of the origin or destination. If such an airport was present, it was assumed that the node was accessible by air. </w:t>
      </w:r>
      <w:r w:rsidR="00143207" w:rsidRPr="00D71008">
        <w:rPr>
          <w:noProof/>
          <w:spacing w:val="-8"/>
        </w:rPr>
        <w:t>The</w:t>
      </w:r>
      <w:r w:rsidR="00F35B58" w:rsidRPr="00D71008">
        <w:rPr>
          <w:noProof/>
          <w:spacing w:val="-8"/>
        </w:rPr>
        <w:t xml:space="preserve"> long</w:t>
      </w:r>
      <w:r w:rsidR="00D06323">
        <w:rPr>
          <w:noProof/>
          <w:spacing w:val="-8"/>
        </w:rPr>
        <w:t xml:space="preserve"> </w:t>
      </w:r>
      <w:r w:rsidR="00F35B58" w:rsidRPr="00D71008">
        <w:rPr>
          <w:noProof/>
          <w:spacing w:val="-8"/>
        </w:rPr>
        <w:t xml:space="preserve">list was checked for duplicates, and for any similar routes that either began </w:t>
      </w:r>
      <w:r w:rsidR="00C40946">
        <w:rPr>
          <w:noProof/>
          <w:spacing w:val="-8"/>
        </w:rPr>
        <w:t>or</w:t>
      </w:r>
      <w:r w:rsidR="00F35B58" w:rsidRPr="00D71008">
        <w:rPr>
          <w:noProof/>
          <w:spacing w:val="-8"/>
        </w:rPr>
        <w:t xml:space="preserve"> ended in the same NUTS3 </w:t>
      </w:r>
      <w:r w:rsidR="00C40946">
        <w:rPr>
          <w:noProof/>
          <w:spacing w:val="-8"/>
        </w:rPr>
        <w:t xml:space="preserve">region </w:t>
      </w:r>
      <w:r w:rsidR="00F35B58" w:rsidRPr="00D71008">
        <w:rPr>
          <w:noProof/>
          <w:spacing w:val="-8"/>
        </w:rPr>
        <w:t xml:space="preserve">or shared large proportions of the routes, with any such duplicate/similar routes removed. </w:t>
      </w:r>
      <w:r w:rsidR="006716B8" w:rsidRPr="00D71008">
        <w:rPr>
          <w:noProof/>
          <w:spacing w:val="-8"/>
        </w:rPr>
        <w:t xml:space="preserve">As a final step, </w:t>
      </w:r>
      <w:r w:rsidR="002F6596">
        <w:rPr>
          <w:noProof/>
          <w:spacing w:val="-8"/>
        </w:rPr>
        <w:t xml:space="preserve">100 </w:t>
      </w:r>
      <w:r w:rsidR="006716B8" w:rsidRPr="00D71008">
        <w:rPr>
          <w:noProof/>
          <w:spacing w:val="-8"/>
        </w:rPr>
        <w:t xml:space="preserve">routes were shortlisted </w:t>
      </w:r>
      <w:r w:rsidR="002F6596">
        <w:rPr>
          <w:noProof/>
          <w:spacing w:val="-8"/>
        </w:rPr>
        <w:t>while</w:t>
      </w:r>
      <w:r w:rsidR="00F35B58" w:rsidRPr="00D71008">
        <w:rPr>
          <w:noProof/>
          <w:spacing w:val="-8"/>
        </w:rPr>
        <w:t xml:space="preserve"> </w:t>
      </w:r>
      <w:r w:rsidR="002F6596" w:rsidRPr="00D71008">
        <w:rPr>
          <w:noProof/>
          <w:spacing w:val="-8"/>
        </w:rPr>
        <w:t>ensur</w:t>
      </w:r>
      <w:r w:rsidR="002F6596">
        <w:rPr>
          <w:noProof/>
          <w:spacing w:val="-8"/>
        </w:rPr>
        <w:t>ing</w:t>
      </w:r>
      <w:r w:rsidR="0090206C">
        <w:rPr>
          <w:noProof/>
          <w:spacing w:val="-8"/>
        </w:rPr>
        <w:t xml:space="preserve"> the</w:t>
      </w:r>
      <w:r w:rsidR="002F6596" w:rsidRPr="00D71008">
        <w:rPr>
          <w:noProof/>
          <w:spacing w:val="-8"/>
        </w:rPr>
        <w:t xml:space="preserve"> </w:t>
      </w:r>
      <w:r w:rsidR="00F35B58" w:rsidRPr="00D71008">
        <w:rPr>
          <w:noProof/>
          <w:spacing w:val="-8"/>
        </w:rPr>
        <w:t xml:space="preserve">inclusion of routes with a diversity </w:t>
      </w:r>
      <w:r w:rsidR="00292E3A">
        <w:rPr>
          <w:noProof/>
          <w:spacing w:val="-8"/>
        </w:rPr>
        <w:t>regarding</w:t>
      </w:r>
      <w:r w:rsidR="00292E3A" w:rsidRPr="00D71008">
        <w:rPr>
          <w:noProof/>
          <w:spacing w:val="-8"/>
        </w:rPr>
        <w:t xml:space="preserve"> </w:t>
      </w:r>
      <w:r w:rsidR="00F35B58" w:rsidRPr="00D71008">
        <w:rPr>
          <w:noProof/>
          <w:spacing w:val="-8"/>
        </w:rPr>
        <w:t>the following factors</w:t>
      </w:r>
      <w:r w:rsidR="00E74B14" w:rsidRPr="00D71008">
        <w:rPr>
          <w:noProof/>
          <w:spacing w:val="-8"/>
        </w:rPr>
        <w:t>: a</w:t>
      </w:r>
      <w:r w:rsidR="00F35B58" w:rsidRPr="00D71008">
        <w:rPr>
          <w:noProof/>
          <w:spacing w:val="-8"/>
        </w:rPr>
        <w:t>ttractiveness (traffic)</w:t>
      </w:r>
      <w:r w:rsidR="0082265C" w:rsidRPr="00D71008">
        <w:rPr>
          <w:rStyle w:val="FootnoteReference"/>
          <w:noProof/>
          <w:spacing w:val="-8"/>
        </w:rPr>
        <w:footnoteReference w:id="281"/>
      </w:r>
      <w:r w:rsidR="00143207" w:rsidRPr="00D71008">
        <w:rPr>
          <w:noProof/>
          <w:spacing w:val="-8"/>
        </w:rPr>
        <w:t>,</w:t>
      </w:r>
      <w:r w:rsidR="00E74B14" w:rsidRPr="00D71008">
        <w:rPr>
          <w:noProof/>
          <w:spacing w:val="-8"/>
        </w:rPr>
        <w:t xml:space="preserve"> geography</w:t>
      </w:r>
      <w:r w:rsidR="000521AB" w:rsidRPr="00D71008">
        <w:rPr>
          <w:rStyle w:val="FootnoteReference"/>
          <w:noProof/>
          <w:spacing w:val="-8"/>
        </w:rPr>
        <w:footnoteReference w:id="282"/>
      </w:r>
      <w:r w:rsidR="00143207" w:rsidRPr="00D71008">
        <w:rPr>
          <w:noProof/>
          <w:spacing w:val="-8"/>
        </w:rPr>
        <w:t xml:space="preserve">, </w:t>
      </w:r>
      <w:r w:rsidR="00E74B14" w:rsidRPr="00D71008">
        <w:rPr>
          <w:noProof/>
          <w:spacing w:val="-8"/>
        </w:rPr>
        <w:t>distance</w:t>
      </w:r>
      <w:r w:rsidR="00ED331B" w:rsidRPr="00D71008">
        <w:rPr>
          <w:rStyle w:val="FootnoteReference"/>
          <w:noProof/>
          <w:spacing w:val="-8"/>
        </w:rPr>
        <w:footnoteReference w:id="283"/>
      </w:r>
      <w:r w:rsidR="0087682C">
        <w:rPr>
          <w:noProof/>
          <w:spacing w:val="-8"/>
        </w:rPr>
        <w:t xml:space="preserve"> and</w:t>
      </w:r>
      <w:r w:rsidR="00143207" w:rsidRPr="00D71008">
        <w:rPr>
          <w:noProof/>
          <w:spacing w:val="-8"/>
        </w:rPr>
        <w:t xml:space="preserve"> modal use</w:t>
      </w:r>
      <w:r w:rsidR="00143207" w:rsidRPr="00D71008">
        <w:rPr>
          <w:rStyle w:val="FootnoteReference"/>
          <w:noProof/>
          <w:spacing w:val="-8"/>
        </w:rPr>
        <w:footnoteReference w:id="284"/>
      </w:r>
      <w:r w:rsidR="001562D1" w:rsidRPr="00D71008">
        <w:rPr>
          <w:noProof/>
          <w:spacing w:val="-8"/>
        </w:rPr>
        <w:t>.</w:t>
      </w:r>
      <w:r w:rsidR="00DD5CEC" w:rsidRPr="00D71008">
        <w:rPr>
          <w:noProof/>
          <w:spacing w:val="-8"/>
        </w:rPr>
        <w:t xml:space="preserve"> </w:t>
      </w:r>
      <w:r w:rsidR="00AC21A9" w:rsidRPr="00D71008">
        <w:rPr>
          <w:noProof/>
          <w:spacing w:val="-8"/>
        </w:rPr>
        <w:t>The table below show</w:t>
      </w:r>
      <w:r w:rsidR="00814E8C" w:rsidRPr="00D71008">
        <w:rPr>
          <w:noProof/>
          <w:spacing w:val="-8"/>
        </w:rPr>
        <w:t>s</w:t>
      </w:r>
      <w:r w:rsidR="00AC21A9" w:rsidRPr="00D71008">
        <w:rPr>
          <w:noProof/>
          <w:spacing w:val="-8"/>
        </w:rPr>
        <w:t xml:space="preserve"> the 100 OD routes</w:t>
      </w:r>
      <w:r w:rsidR="00B83EEB">
        <w:rPr>
          <w:noProof/>
          <w:spacing w:val="-8"/>
        </w:rPr>
        <w:t xml:space="preserve"> </w:t>
      </w:r>
      <w:r w:rsidR="00B83EEB" w:rsidRPr="00D71008">
        <w:rPr>
          <w:noProof/>
          <w:spacing w:val="-8"/>
        </w:rPr>
        <w:t>shortlisted</w:t>
      </w:r>
      <w:r w:rsidR="00B83EEB">
        <w:rPr>
          <w:noProof/>
          <w:spacing w:val="-8"/>
        </w:rPr>
        <w:t>.</w:t>
      </w:r>
    </w:p>
    <w:p w14:paraId="58C77B81" w14:textId="1833ED28" w:rsidR="008913C5" w:rsidRPr="0073123B" w:rsidRDefault="008913C5" w:rsidP="008913C5">
      <w:pPr>
        <w:tabs>
          <w:tab w:val="left" w:pos="1134"/>
        </w:tabs>
        <w:rPr>
          <w:i/>
          <w:noProof/>
          <w:sz w:val="22"/>
          <w:szCs w:val="22"/>
        </w:rPr>
      </w:pPr>
      <w:r w:rsidRPr="0073123B">
        <w:rPr>
          <w:i/>
          <w:noProof/>
          <w:sz w:val="22"/>
          <w:szCs w:val="22"/>
        </w:rPr>
        <w:t xml:space="preserve">Table </w:t>
      </w:r>
      <w:r w:rsidRPr="0073123B">
        <w:rPr>
          <w:i/>
          <w:noProof/>
          <w:sz w:val="22"/>
          <w:szCs w:val="22"/>
        </w:rPr>
        <w:fldChar w:fldCharType="begin"/>
      </w:r>
      <w:r w:rsidRPr="0073123B">
        <w:rPr>
          <w:i/>
          <w:noProof/>
          <w:sz w:val="22"/>
          <w:szCs w:val="22"/>
        </w:rPr>
        <w:instrText xml:space="preserve"> SEQ Table \* ARABIC </w:instrText>
      </w:r>
      <w:r w:rsidRPr="0073123B">
        <w:rPr>
          <w:i/>
          <w:noProof/>
          <w:sz w:val="22"/>
          <w:szCs w:val="22"/>
        </w:rPr>
        <w:fldChar w:fldCharType="separate"/>
      </w:r>
      <w:r w:rsidR="0055391F">
        <w:rPr>
          <w:i/>
          <w:noProof/>
          <w:sz w:val="22"/>
          <w:szCs w:val="22"/>
        </w:rPr>
        <w:t>38</w:t>
      </w:r>
      <w:r w:rsidRPr="0073123B">
        <w:rPr>
          <w:i/>
          <w:noProof/>
          <w:sz w:val="22"/>
          <w:szCs w:val="22"/>
        </w:rPr>
        <w:fldChar w:fldCharType="end"/>
      </w:r>
      <w:r w:rsidRPr="0073123B">
        <w:rPr>
          <w:i/>
          <w:noProof/>
          <w:sz w:val="22"/>
          <w:szCs w:val="22"/>
        </w:rPr>
        <w:t xml:space="preserve">: </w:t>
      </w:r>
      <w:r w:rsidR="00FA68BD" w:rsidRPr="0073123B">
        <w:rPr>
          <w:i/>
          <w:noProof/>
          <w:sz w:val="22"/>
          <w:szCs w:val="22"/>
        </w:rPr>
        <w:t xml:space="preserve">100 EU transport routes selected for </w:t>
      </w:r>
      <w:r w:rsidR="00977A9A">
        <w:rPr>
          <w:i/>
          <w:noProof/>
          <w:sz w:val="22"/>
          <w:szCs w:val="22"/>
        </w:rPr>
        <w:t xml:space="preserve">in-depth </w:t>
      </w:r>
      <w:r w:rsidR="00FA68BD" w:rsidRPr="0073123B">
        <w:rPr>
          <w:i/>
          <w:noProof/>
          <w:sz w:val="22"/>
          <w:szCs w:val="22"/>
        </w:rPr>
        <w:t>analysis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
        <w:gridCol w:w="1746"/>
        <w:gridCol w:w="1569"/>
        <w:gridCol w:w="1571"/>
        <w:gridCol w:w="1571"/>
        <w:gridCol w:w="1577"/>
      </w:tblGrid>
      <w:tr w:rsidR="00EA6B82" w:rsidRPr="008B1FE3" w14:paraId="0F6F4B11" w14:textId="77777777" w:rsidTr="008B1FE3">
        <w:trPr>
          <w:trHeight w:val="317"/>
          <w:tblHeader/>
        </w:trPr>
        <w:tc>
          <w:tcPr>
            <w:tcW w:w="817" w:type="pct"/>
            <w:shd w:val="clear" w:color="auto" w:fill="0070C0"/>
          </w:tcPr>
          <w:p w14:paraId="42C9E6D7" w14:textId="4A203DE6" w:rsidR="00C9752B" w:rsidRPr="004E336D" w:rsidRDefault="00C9752B" w:rsidP="00A20642">
            <w:pPr>
              <w:jc w:val="center"/>
              <w:rPr>
                <w:b/>
                <w:noProof/>
                <w:color w:val="FFFFFF"/>
                <w:sz w:val="18"/>
                <w:szCs w:val="18"/>
                <w:lang w:eastAsia="en-GB"/>
              </w:rPr>
            </w:pPr>
          </w:p>
        </w:tc>
        <w:tc>
          <w:tcPr>
            <w:tcW w:w="909" w:type="pct"/>
            <w:shd w:val="clear" w:color="auto" w:fill="0070C0"/>
            <w:hideMark/>
          </w:tcPr>
          <w:p w14:paraId="56A9AFE7" w14:textId="61A685E4" w:rsidR="00C9752B" w:rsidRPr="008B1FE3" w:rsidRDefault="00C9752B" w:rsidP="00A20642">
            <w:pPr>
              <w:jc w:val="center"/>
              <w:rPr>
                <w:b/>
                <w:noProof/>
                <w:color w:val="FFFFFF"/>
                <w:sz w:val="18"/>
                <w:szCs w:val="18"/>
                <w:lang w:eastAsia="en-GB"/>
              </w:rPr>
            </w:pPr>
            <w:r w:rsidRPr="008B1FE3">
              <w:rPr>
                <w:b/>
                <w:noProof/>
                <w:color w:val="FFFFFF"/>
                <w:sz w:val="18"/>
                <w:szCs w:val="18"/>
                <w:lang w:eastAsia="en-GB"/>
              </w:rPr>
              <w:t>Origin city</w:t>
            </w:r>
          </w:p>
        </w:tc>
        <w:tc>
          <w:tcPr>
            <w:tcW w:w="817" w:type="pct"/>
            <w:shd w:val="clear" w:color="auto" w:fill="0070C0"/>
            <w:hideMark/>
          </w:tcPr>
          <w:p w14:paraId="46CE1D0A" w14:textId="4F26973F" w:rsidR="00C9752B" w:rsidRPr="008B1FE3" w:rsidRDefault="00C9752B" w:rsidP="00A20642">
            <w:pPr>
              <w:jc w:val="center"/>
              <w:rPr>
                <w:b/>
                <w:noProof/>
                <w:color w:val="FFFFFF"/>
                <w:sz w:val="18"/>
                <w:szCs w:val="18"/>
                <w:lang w:eastAsia="en-GB"/>
              </w:rPr>
            </w:pPr>
            <w:r w:rsidRPr="008B1FE3">
              <w:rPr>
                <w:b/>
                <w:noProof/>
                <w:color w:val="FFFFFF"/>
                <w:sz w:val="18"/>
                <w:szCs w:val="18"/>
                <w:lang w:eastAsia="en-GB"/>
              </w:rPr>
              <w:t>Origin country</w:t>
            </w:r>
          </w:p>
        </w:tc>
        <w:tc>
          <w:tcPr>
            <w:tcW w:w="818" w:type="pct"/>
            <w:shd w:val="clear" w:color="auto" w:fill="0070C0"/>
            <w:hideMark/>
          </w:tcPr>
          <w:p w14:paraId="6C3CE697" w14:textId="060436D9" w:rsidR="00C9752B" w:rsidRPr="008B1FE3" w:rsidRDefault="00C9752B" w:rsidP="00A20642">
            <w:pPr>
              <w:jc w:val="center"/>
              <w:rPr>
                <w:b/>
                <w:noProof/>
                <w:color w:val="FFFFFF"/>
                <w:sz w:val="18"/>
                <w:szCs w:val="18"/>
                <w:lang w:eastAsia="en-GB"/>
              </w:rPr>
            </w:pPr>
            <w:r w:rsidRPr="008B1FE3">
              <w:rPr>
                <w:b/>
                <w:noProof/>
                <w:color w:val="FFFFFF"/>
                <w:sz w:val="18"/>
                <w:szCs w:val="18"/>
                <w:lang w:eastAsia="en-GB"/>
              </w:rPr>
              <w:t>Destination city</w:t>
            </w:r>
          </w:p>
        </w:tc>
        <w:tc>
          <w:tcPr>
            <w:tcW w:w="818" w:type="pct"/>
            <w:shd w:val="clear" w:color="auto" w:fill="0070C0"/>
            <w:hideMark/>
          </w:tcPr>
          <w:p w14:paraId="77672683" w14:textId="77777777" w:rsidR="00C9752B" w:rsidRPr="008B1FE3" w:rsidRDefault="00C9752B" w:rsidP="00A20642">
            <w:pPr>
              <w:jc w:val="center"/>
              <w:rPr>
                <w:b/>
                <w:noProof/>
                <w:color w:val="FFFFFF"/>
                <w:sz w:val="18"/>
                <w:szCs w:val="18"/>
                <w:lang w:eastAsia="en-GB"/>
              </w:rPr>
            </w:pPr>
            <w:r w:rsidRPr="008B1FE3">
              <w:rPr>
                <w:b/>
                <w:noProof/>
                <w:color w:val="FFFFFF"/>
                <w:sz w:val="18"/>
                <w:szCs w:val="18"/>
                <w:lang w:eastAsia="en-GB"/>
              </w:rPr>
              <w:t>Destination country</w:t>
            </w:r>
          </w:p>
        </w:tc>
        <w:tc>
          <w:tcPr>
            <w:tcW w:w="821" w:type="pct"/>
            <w:shd w:val="clear" w:color="auto" w:fill="0070C0"/>
          </w:tcPr>
          <w:p w14:paraId="4B3D72F0" w14:textId="77777777" w:rsidR="00C9752B" w:rsidRPr="008B1FE3" w:rsidRDefault="00C9752B" w:rsidP="00A20642">
            <w:pPr>
              <w:jc w:val="center"/>
              <w:rPr>
                <w:b/>
                <w:noProof/>
                <w:color w:val="FFFFFF"/>
                <w:sz w:val="18"/>
                <w:szCs w:val="18"/>
                <w:lang w:eastAsia="en-GB"/>
              </w:rPr>
            </w:pPr>
            <w:r w:rsidRPr="008B1FE3">
              <w:rPr>
                <w:b/>
                <w:noProof/>
                <w:color w:val="FFFFFF"/>
                <w:sz w:val="18"/>
                <w:szCs w:val="18"/>
                <w:lang w:eastAsia="en-GB"/>
              </w:rPr>
              <w:t>Land/sea based distance (km)</w:t>
            </w:r>
          </w:p>
        </w:tc>
      </w:tr>
      <w:tr w:rsidR="00C9752B" w:rsidRPr="00D71008" w14:paraId="6ED394F8" w14:textId="77777777" w:rsidTr="23484F07">
        <w:trPr>
          <w:trHeight w:val="290"/>
        </w:trPr>
        <w:tc>
          <w:tcPr>
            <w:tcW w:w="5000" w:type="pct"/>
            <w:gridSpan w:val="6"/>
            <w:shd w:val="clear" w:color="auto" w:fill="F79646" w:themeFill="accent6"/>
          </w:tcPr>
          <w:p w14:paraId="3B9F718A" w14:textId="77777777" w:rsidR="00C9752B" w:rsidRPr="00D71008" w:rsidRDefault="00C9752B" w:rsidP="00A20642">
            <w:pPr>
              <w:jc w:val="center"/>
              <w:rPr>
                <w:noProof/>
                <w:sz w:val="18"/>
                <w:szCs w:val="18"/>
                <w:lang w:eastAsia="en-GB"/>
              </w:rPr>
            </w:pPr>
            <w:r w:rsidRPr="00D71008">
              <w:rPr>
                <w:noProof/>
                <w:sz w:val="18"/>
                <w:szCs w:val="18"/>
                <w:lang w:eastAsia="en-GB"/>
              </w:rPr>
              <w:t>Cluster A</w:t>
            </w:r>
          </w:p>
        </w:tc>
      </w:tr>
      <w:tr w:rsidR="00C9752B" w:rsidRPr="00D71008" w14:paraId="2A90C2A5" w14:textId="77777777" w:rsidTr="00090A1B">
        <w:trPr>
          <w:trHeight w:val="290"/>
        </w:trPr>
        <w:tc>
          <w:tcPr>
            <w:tcW w:w="817" w:type="pct"/>
          </w:tcPr>
          <w:p w14:paraId="4606E621" w14:textId="77777777" w:rsidR="00C9752B" w:rsidRPr="00D71008" w:rsidRDefault="00C9752B" w:rsidP="00A20642">
            <w:pPr>
              <w:jc w:val="center"/>
              <w:rPr>
                <w:noProof/>
                <w:sz w:val="18"/>
                <w:szCs w:val="18"/>
                <w:lang w:eastAsia="en-GB"/>
              </w:rPr>
            </w:pPr>
            <w:r w:rsidRPr="00D71008">
              <w:rPr>
                <w:noProof/>
                <w:sz w:val="18"/>
                <w:szCs w:val="18"/>
                <w:lang w:eastAsia="en-GB"/>
              </w:rPr>
              <w:t>1</w:t>
            </w:r>
          </w:p>
        </w:tc>
        <w:tc>
          <w:tcPr>
            <w:tcW w:w="909" w:type="pct"/>
            <w:noWrap/>
            <w:hideMark/>
          </w:tcPr>
          <w:p w14:paraId="11B75988" w14:textId="4D5309F4" w:rsidR="00C9752B" w:rsidRPr="00D71008" w:rsidRDefault="00C9752B" w:rsidP="00A20642">
            <w:pPr>
              <w:jc w:val="center"/>
              <w:rPr>
                <w:noProof/>
                <w:sz w:val="18"/>
                <w:szCs w:val="18"/>
                <w:lang w:eastAsia="en-GB"/>
              </w:rPr>
            </w:pPr>
            <w:r w:rsidRPr="00D71008">
              <w:rPr>
                <w:noProof/>
                <w:sz w:val="18"/>
                <w:szCs w:val="18"/>
                <w:lang w:eastAsia="en-GB"/>
              </w:rPr>
              <w:t>Barcelona</w:t>
            </w:r>
          </w:p>
        </w:tc>
        <w:tc>
          <w:tcPr>
            <w:tcW w:w="817" w:type="pct"/>
            <w:noWrap/>
            <w:hideMark/>
          </w:tcPr>
          <w:p w14:paraId="41F26C34" w14:textId="0CA5D35C" w:rsidR="00C9752B" w:rsidRPr="00D71008" w:rsidRDefault="00C9752B" w:rsidP="00A20642">
            <w:pPr>
              <w:jc w:val="center"/>
              <w:rPr>
                <w:noProof/>
                <w:sz w:val="18"/>
                <w:szCs w:val="18"/>
                <w:lang w:eastAsia="en-GB"/>
              </w:rPr>
            </w:pPr>
            <w:r w:rsidRPr="00D71008">
              <w:rPr>
                <w:noProof/>
                <w:sz w:val="18"/>
                <w:szCs w:val="18"/>
                <w:lang w:eastAsia="en-GB"/>
              </w:rPr>
              <w:t>Spain</w:t>
            </w:r>
          </w:p>
        </w:tc>
        <w:tc>
          <w:tcPr>
            <w:tcW w:w="818" w:type="pct"/>
            <w:noWrap/>
            <w:hideMark/>
          </w:tcPr>
          <w:p w14:paraId="0C2DF0C5" w14:textId="2A1EC101" w:rsidR="00C9752B" w:rsidRPr="00D71008" w:rsidRDefault="00C9752B" w:rsidP="00A20642">
            <w:pPr>
              <w:jc w:val="center"/>
              <w:rPr>
                <w:noProof/>
                <w:sz w:val="18"/>
                <w:szCs w:val="18"/>
                <w:lang w:eastAsia="en-GB"/>
              </w:rPr>
            </w:pPr>
            <w:r w:rsidRPr="00D71008">
              <w:rPr>
                <w:noProof/>
                <w:sz w:val="18"/>
                <w:szCs w:val="18"/>
                <w:lang w:eastAsia="en-GB"/>
              </w:rPr>
              <w:t>Palma</w:t>
            </w:r>
          </w:p>
        </w:tc>
        <w:tc>
          <w:tcPr>
            <w:tcW w:w="818" w:type="pct"/>
            <w:noWrap/>
            <w:hideMark/>
          </w:tcPr>
          <w:p w14:paraId="597A5BEE" w14:textId="2053BDE1" w:rsidR="00C9752B" w:rsidRPr="00D71008" w:rsidRDefault="00C9752B" w:rsidP="00A20642">
            <w:pPr>
              <w:jc w:val="center"/>
              <w:rPr>
                <w:noProof/>
                <w:sz w:val="18"/>
                <w:szCs w:val="18"/>
                <w:lang w:eastAsia="en-GB"/>
              </w:rPr>
            </w:pPr>
            <w:r w:rsidRPr="00D71008">
              <w:rPr>
                <w:noProof/>
                <w:sz w:val="18"/>
                <w:szCs w:val="18"/>
                <w:lang w:eastAsia="en-GB"/>
              </w:rPr>
              <w:t>Spain</w:t>
            </w:r>
          </w:p>
        </w:tc>
        <w:tc>
          <w:tcPr>
            <w:tcW w:w="821" w:type="pct"/>
          </w:tcPr>
          <w:p w14:paraId="4625934D" w14:textId="1730473D" w:rsidR="00C9752B" w:rsidRPr="00D71008" w:rsidRDefault="00C9752B" w:rsidP="00A20642">
            <w:pPr>
              <w:jc w:val="center"/>
              <w:rPr>
                <w:noProof/>
                <w:sz w:val="18"/>
                <w:szCs w:val="18"/>
                <w:lang w:eastAsia="en-GB"/>
              </w:rPr>
            </w:pPr>
            <w:r w:rsidRPr="00D71008">
              <w:rPr>
                <w:noProof/>
                <w:sz w:val="18"/>
                <w:szCs w:val="18"/>
                <w:lang w:eastAsia="en-GB"/>
              </w:rPr>
              <w:t>250 km</w:t>
            </w:r>
          </w:p>
        </w:tc>
      </w:tr>
      <w:tr w:rsidR="00C9752B" w:rsidRPr="00D71008" w14:paraId="48BA5FDA" w14:textId="77777777" w:rsidTr="00090A1B">
        <w:trPr>
          <w:trHeight w:val="290"/>
        </w:trPr>
        <w:tc>
          <w:tcPr>
            <w:tcW w:w="817" w:type="pct"/>
          </w:tcPr>
          <w:p w14:paraId="0E880D56" w14:textId="77777777" w:rsidR="00C9752B" w:rsidRPr="00D71008" w:rsidRDefault="00C9752B" w:rsidP="00A20642">
            <w:pPr>
              <w:jc w:val="center"/>
              <w:rPr>
                <w:noProof/>
                <w:sz w:val="18"/>
                <w:szCs w:val="18"/>
                <w:lang w:eastAsia="en-GB"/>
              </w:rPr>
            </w:pPr>
            <w:r w:rsidRPr="00D71008">
              <w:rPr>
                <w:noProof/>
                <w:sz w:val="18"/>
                <w:szCs w:val="18"/>
                <w:lang w:eastAsia="en-GB"/>
              </w:rPr>
              <w:t>2</w:t>
            </w:r>
          </w:p>
        </w:tc>
        <w:tc>
          <w:tcPr>
            <w:tcW w:w="909" w:type="pct"/>
            <w:noWrap/>
            <w:hideMark/>
          </w:tcPr>
          <w:p w14:paraId="1474441B" w14:textId="3229BC90" w:rsidR="00C9752B" w:rsidRPr="00D71008" w:rsidRDefault="00C9752B" w:rsidP="00A20642">
            <w:pPr>
              <w:jc w:val="center"/>
              <w:rPr>
                <w:noProof/>
                <w:sz w:val="18"/>
                <w:szCs w:val="18"/>
                <w:lang w:eastAsia="en-GB"/>
              </w:rPr>
            </w:pPr>
            <w:r w:rsidRPr="00D71008">
              <w:rPr>
                <w:noProof/>
                <w:sz w:val="18"/>
                <w:szCs w:val="18"/>
                <w:lang w:eastAsia="en-GB"/>
              </w:rPr>
              <w:t>Freising / Munich</w:t>
            </w:r>
          </w:p>
        </w:tc>
        <w:tc>
          <w:tcPr>
            <w:tcW w:w="817" w:type="pct"/>
            <w:noWrap/>
            <w:hideMark/>
          </w:tcPr>
          <w:p w14:paraId="4B658B90" w14:textId="075FB407"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18" w:type="pct"/>
            <w:noWrap/>
            <w:hideMark/>
          </w:tcPr>
          <w:p w14:paraId="11A7DF4B" w14:textId="3804C072" w:rsidR="00C9752B" w:rsidRPr="00D71008" w:rsidRDefault="00C9752B" w:rsidP="00A20642">
            <w:pPr>
              <w:jc w:val="center"/>
              <w:rPr>
                <w:noProof/>
                <w:sz w:val="18"/>
                <w:szCs w:val="18"/>
                <w:lang w:eastAsia="en-GB"/>
              </w:rPr>
            </w:pPr>
            <w:r w:rsidRPr="00D71008">
              <w:rPr>
                <w:noProof/>
                <w:sz w:val="18"/>
                <w:szCs w:val="18"/>
                <w:lang w:eastAsia="en-GB"/>
              </w:rPr>
              <w:t>Hamburg</w:t>
            </w:r>
          </w:p>
        </w:tc>
        <w:tc>
          <w:tcPr>
            <w:tcW w:w="818" w:type="pct"/>
            <w:noWrap/>
            <w:hideMark/>
          </w:tcPr>
          <w:p w14:paraId="702DFAC3" w14:textId="22C5EF7A"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21" w:type="pct"/>
          </w:tcPr>
          <w:p w14:paraId="2EFA05B9" w14:textId="53F97B30" w:rsidR="00C9752B" w:rsidRPr="00D71008" w:rsidRDefault="00C9752B" w:rsidP="00A20642">
            <w:pPr>
              <w:jc w:val="center"/>
              <w:rPr>
                <w:noProof/>
                <w:sz w:val="18"/>
                <w:szCs w:val="18"/>
                <w:lang w:eastAsia="en-GB"/>
              </w:rPr>
            </w:pPr>
            <w:r w:rsidRPr="00D71008">
              <w:rPr>
                <w:noProof/>
                <w:sz w:val="18"/>
                <w:szCs w:val="18"/>
                <w:lang w:eastAsia="en-GB"/>
              </w:rPr>
              <w:t>849 km</w:t>
            </w:r>
          </w:p>
        </w:tc>
      </w:tr>
      <w:tr w:rsidR="00C9752B" w:rsidRPr="00D71008" w14:paraId="5CAC42B2" w14:textId="77777777" w:rsidTr="00090A1B">
        <w:trPr>
          <w:trHeight w:val="290"/>
        </w:trPr>
        <w:tc>
          <w:tcPr>
            <w:tcW w:w="817" w:type="pct"/>
          </w:tcPr>
          <w:p w14:paraId="30FBF946" w14:textId="77777777" w:rsidR="00C9752B" w:rsidRPr="00D71008" w:rsidRDefault="00C9752B" w:rsidP="00A20642">
            <w:pPr>
              <w:jc w:val="center"/>
              <w:rPr>
                <w:noProof/>
                <w:sz w:val="18"/>
                <w:szCs w:val="18"/>
                <w:lang w:eastAsia="en-GB"/>
              </w:rPr>
            </w:pPr>
            <w:r w:rsidRPr="00D71008">
              <w:rPr>
                <w:noProof/>
                <w:sz w:val="18"/>
                <w:szCs w:val="18"/>
                <w:lang w:eastAsia="en-GB"/>
              </w:rPr>
              <w:t>3</w:t>
            </w:r>
          </w:p>
        </w:tc>
        <w:tc>
          <w:tcPr>
            <w:tcW w:w="909" w:type="pct"/>
            <w:noWrap/>
            <w:hideMark/>
          </w:tcPr>
          <w:p w14:paraId="4D96CC6B" w14:textId="4EAC47B9" w:rsidR="00C9752B" w:rsidRPr="00D71008" w:rsidRDefault="00C9752B" w:rsidP="00A20642">
            <w:pPr>
              <w:jc w:val="center"/>
              <w:rPr>
                <w:noProof/>
                <w:sz w:val="18"/>
                <w:szCs w:val="18"/>
                <w:lang w:eastAsia="en-GB"/>
              </w:rPr>
            </w:pPr>
            <w:r w:rsidRPr="00D71008">
              <w:rPr>
                <w:noProof/>
                <w:sz w:val="18"/>
                <w:szCs w:val="18"/>
                <w:lang w:eastAsia="en-GB"/>
              </w:rPr>
              <w:t>Copenhagen</w:t>
            </w:r>
          </w:p>
        </w:tc>
        <w:tc>
          <w:tcPr>
            <w:tcW w:w="817" w:type="pct"/>
            <w:noWrap/>
            <w:hideMark/>
          </w:tcPr>
          <w:p w14:paraId="2D2D047B" w14:textId="6E77B694" w:rsidR="00C9752B" w:rsidRPr="00D71008" w:rsidRDefault="00C9752B" w:rsidP="00A20642">
            <w:pPr>
              <w:jc w:val="center"/>
              <w:rPr>
                <w:noProof/>
                <w:sz w:val="18"/>
                <w:szCs w:val="18"/>
                <w:lang w:eastAsia="en-GB"/>
              </w:rPr>
            </w:pPr>
            <w:r w:rsidRPr="00D71008">
              <w:rPr>
                <w:noProof/>
                <w:sz w:val="18"/>
                <w:szCs w:val="18"/>
                <w:lang w:eastAsia="en-GB"/>
              </w:rPr>
              <w:t>Denmark</w:t>
            </w:r>
          </w:p>
        </w:tc>
        <w:tc>
          <w:tcPr>
            <w:tcW w:w="818" w:type="pct"/>
            <w:noWrap/>
            <w:hideMark/>
          </w:tcPr>
          <w:p w14:paraId="3311B3D5" w14:textId="15F50700" w:rsidR="00C9752B" w:rsidRPr="00D71008" w:rsidRDefault="00C9752B" w:rsidP="00A20642">
            <w:pPr>
              <w:jc w:val="center"/>
              <w:rPr>
                <w:noProof/>
                <w:sz w:val="18"/>
                <w:szCs w:val="18"/>
                <w:lang w:eastAsia="en-GB"/>
              </w:rPr>
            </w:pPr>
            <w:r w:rsidRPr="00D71008">
              <w:rPr>
                <w:noProof/>
                <w:sz w:val="18"/>
                <w:szCs w:val="18"/>
                <w:lang w:eastAsia="en-GB"/>
              </w:rPr>
              <w:t>Aalborg</w:t>
            </w:r>
          </w:p>
        </w:tc>
        <w:tc>
          <w:tcPr>
            <w:tcW w:w="818" w:type="pct"/>
            <w:noWrap/>
            <w:hideMark/>
          </w:tcPr>
          <w:p w14:paraId="492CC15A" w14:textId="2F6579C7" w:rsidR="00C9752B" w:rsidRPr="00D71008" w:rsidRDefault="00C9752B" w:rsidP="00A20642">
            <w:pPr>
              <w:jc w:val="center"/>
              <w:rPr>
                <w:noProof/>
                <w:sz w:val="18"/>
                <w:szCs w:val="18"/>
                <w:lang w:eastAsia="en-GB"/>
              </w:rPr>
            </w:pPr>
            <w:r w:rsidRPr="00D71008">
              <w:rPr>
                <w:noProof/>
                <w:sz w:val="18"/>
                <w:szCs w:val="18"/>
                <w:lang w:eastAsia="en-GB"/>
              </w:rPr>
              <w:t>Denmark</w:t>
            </w:r>
          </w:p>
        </w:tc>
        <w:tc>
          <w:tcPr>
            <w:tcW w:w="821" w:type="pct"/>
          </w:tcPr>
          <w:p w14:paraId="550284C4" w14:textId="62FD93F1" w:rsidR="00C9752B" w:rsidRPr="00D71008" w:rsidRDefault="00C9752B" w:rsidP="00A20642">
            <w:pPr>
              <w:jc w:val="center"/>
              <w:rPr>
                <w:noProof/>
                <w:sz w:val="18"/>
                <w:szCs w:val="18"/>
                <w:lang w:eastAsia="en-GB"/>
              </w:rPr>
            </w:pPr>
            <w:r w:rsidRPr="00D71008">
              <w:rPr>
                <w:noProof/>
                <w:sz w:val="18"/>
                <w:szCs w:val="18"/>
                <w:lang w:eastAsia="en-GB"/>
              </w:rPr>
              <w:t xml:space="preserve">466 km </w:t>
            </w:r>
          </w:p>
        </w:tc>
      </w:tr>
      <w:tr w:rsidR="00C9752B" w:rsidRPr="00D71008" w14:paraId="1B287B16" w14:textId="77777777" w:rsidTr="00090A1B">
        <w:trPr>
          <w:trHeight w:val="290"/>
        </w:trPr>
        <w:tc>
          <w:tcPr>
            <w:tcW w:w="817" w:type="pct"/>
          </w:tcPr>
          <w:p w14:paraId="57878B4B" w14:textId="77777777" w:rsidR="00C9752B" w:rsidRPr="00D71008" w:rsidRDefault="00C9752B" w:rsidP="00A20642">
            <w:pPr>
              <w:jc w:val="center"/>
              <w:rPr>
                <w:noProof/>
                <w:sz w:val="18"/>
                <w:szCs w:val="18"/>
                <w:lang w:eastAsia="en-GB"/>
              </w:rPr>
            </w:pPr>
            <w:r w:rsidRPr="00D71008">
              <w:rPr>
                <w:noProof/>
                <w:sz w:val="18"/>
                <w:szCs w:val="18"/>
                <w:lang w:eastAsia="en-GB"/>
              </w:rPr>
              <w:t>4</w:t>
            </w:r>
          </w:p>
        </w:tc>
        <w:tc>
          <w:tcPr>
            <w:tcW w:w="909" w:type="pct"/>
            <w:noWrap/>
            <w:hideMark/>
          </w:tcPr>
          <w:p w14:paraId="05F793EB" w14:textId="60E35DD0" w:rsidR="00C9752B" w:rsidRPr="00D71008" w:rsidRDefault="00C9752B" w:rsidP="00A20642">
            <w:pPr>
              <w:jc w:val="center"/>
              <w:rPr>
                <w:noProof/>
                <w:sz w:val="18"/>
                <w:szCs w:val="18"/>
                <w:lang w:eastAsia="en-GB"/>
              </w:rPr>
            </w:pPr>
            <w:r w:rsidRPr="00D71008">
              <w:rPr>
                <w:noProof/>
                <w:sz w:val="18"/>
                <w:szCs w:val="18"/>
                <w:lang w:eastAsia="en-GB"/>
              </w:rPr>
              <w:t>Ingolstadt</w:t>
            </w:r>
          </w:p>
        </w:tc>
        <w:tc>
          <w:tcPr>
            <w:tcW w:w="817" w:type="pct"/>
            <w:noWrap/>
            <w:hideMark/>
          </w:tcPr>
          <w:p w14:paraId="05F23F6B" w14:textId="53E57883"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18" w:type="pct"/>
            <w:noWrap/>
            <w:hideMark/>
          </w:tcPr>
          <w:p w14:paraId="3977A352" w14:textId="19E94962" w:rsidR="00C9752B" w:rsidRPr="00D71008" w:rsidRDefault="00C9752B" w:rsidP="00A20642">
            <w:pPr>
              <w:jc w:val="center"/>
              <w:rPr>
                <w:noProof/>
                <w:sz w:val="18"/>
                <w:szCs w:val="18"/>
                <w:lang w:eastAsia="en-GB"/>
              </w:rPr>
            </w:pPr>
            <w:r w:rsidRPr="00D71008">
              <w:rPr>
                <w:noProof/>
                <w:sz w:val="18"/>
                <w:szCs w:val="18"/>
                <w:lang w:eastAsia="en-GB"/>
              </w:rPr>
              <w:t>Munich</w:t>
            </w:r>
          </w:p>
        </w:tc>
        <w:tc>
          <w:tcPr>
            <w:tcW w:w="818" w:type="pct"/>
            <w:noWrap/>
            <w:hideMark/>
          </w:tcPr>
          <w:p w14:paraId="3DC14426" w14:textId="1275CE64"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21" w:type="pct"/>
          </w:tcPr>
          <w:p w14:paraId="3A604AF5" w14:textId="3D8076B4" w:rsidR="00C9752B" w:rsidRPr="00D71008" w:rsidRDefault="00C9752B" w:rsidP="00A20642">
            <w:pPr>
              <w:jc w:val="center"/>
              <w:rPr>
                <w:noProof/>
                <w:sz w:val="18"/>
                <w:szCs w:val="18"/>
                <w:lang w:eastAsia="en-GB"/>
              </w:rPr>
            </w:pPr>
            <w:r w:rsidRPr="00D71008">
              <w:rPr>
                <w:noProof/>
                <w:sz w:val="18"/>
                <w:szCs w:val="18"/>
                <w:lang w:eastAsia="en-GB"/>
              </w:rPr>
              <w:t>80.3 km</w:t>
            </w:r>
          </w:p>
        </w:tc>
      </w:tr>
      <w:tr w:rsidR="00C9752B" w:rsidRPr="00D71008" w14:paraId="5B1245E7" w14:textId="77777777" w:rsidTr="00090A1B">
        <w:trPr>
          <w:trHeight w:val="290"/>
        </w:trPr>
        <w:tc>
          <w:tcPr>
            <w:tcW w:w="817" w:type="pct"/>
          </w:tcPr>
          <w:p w14:paraId="7B06CBE9" w14:textId="77777777" w:rsidR="00C9752B" w:rsidRPr="00D71008" w:rsidRDefault="00C9752B" w:rsidP="00A20642">
            <w:pPr>
              <w:jc w:val="center"/>
              <w:rPr>
                <w:noProof/>
                <w:sz w:val="18"/>
                <w:szCs w:val="18"/>
                <w:lang w:eastAsia="en-GB"/>
              </w:rPr>
            </w:pPr>
            <w:r w:rsidRPr="00D71008">
              <w:rPr>
                <w:noProof/>
                <w:sz w:val="18"/>
                <w:szCs w:val="18"/>
                <w:lang w:eastAsia="en-GB"/>
              </w:rPr>
              <w:t>5</w:t>
            </w:r>
          </w:p>
        </w:tc>
        <w:tc>
          <w:tcPr>
            <w:tcW w:w="909" w:type="pct"/>
            <w:noWrap/>
            <w:hideMark/>
          </w:tcPr>
          <w:p w14:paraId="4EC9B071" w14:textId="09957BBE" w:rsidR="00C9752B" w:rsidRPr="00D71008" w:rsidRDefault="00C9752B" w:rsidP="00A20642">
            <w:pPr>
              <w:jc w:val="center"/>
              <w:rPr>
                <w:noProof/>
                <w:sz w:val="18"/>
                <w:szCs w:val="18"/>
                <w:lang w:eastAsia="en-GB"/>
              </w:rPr>
            </w:pPr>
            <w:r w:rsidRPr="00D71008">
              <w:rPr>
                <w:noProof/>
                <w:sz w:val="18"/>
                <w:szCs w:val="18"/>
                <w:lang w:eastAsia="en-GB"/>
              </w:rPr>
              <w:t>Barcelona</w:t>
            </w:r>
          </w:p>
        </w:tc>
        <w:tc>
          <w:tcPr>
            <w:tcW w:w="817" w:type="pct"/>
            <w:noWrap/>
            <w:hideMark/>
          </w:tcPr>
          <w:p w14:paraId="2A82B033" w14:textId="3E369EBF" w:rsidR="00C9752B" w:rsidRPr="00D71008" w:rsidRDefault="00C9752B" w:rsidP="00A20642">
            <w:pPr>
              <w:jc w:val="center"/>
              <w:rPr>
                <w:noProof/>
                <w:sz w:val="18"/>
                <w:szCs w:val="18"/>
                <w:lang w:eastAsia="en-GB"/>
              </w:rPr>
            </w:pPr>
            <w:r w:rsidRPr="00D71008">
              <w:rPr>
                <w:noProof/>
                <w:sz w:val="18"/>
                <w:szCs w:val="18"/>
                <w:lang w:eastAsia="en-GB"/>
              </w:rPr>
              <w:t>Spain</w:t>
            </w:r>
          </w:p>
        </w:tc>
        <w:tc>
          <w:tcPr>
            <w:tcW w:w="818" w:type="pct"/>
            <w:noWrap/>
            <w:hideMark/>
          </w:tcPr>
          <w:p w14:paraId="72AE6380" w14:textId="30A14EDA" w:rsidR="00C9752B" w:rsidRPr="00D71008" w:rsidRDefault="00C9752B" w:rsidP="00A20642">
            <w:pPr>
              <w:jc w:val="center"/>
              <w:rPr>
                <w:noProof/>
                <w:sz w:val="18"/>
                <w:szCs w:val="18"/>
                <w:lang w:eastAsia="en-GB"/>
              </w:rPr>
            </w:pPr>
            <w:r w:rsidRPr="00D71008">
              <w:rPr>
                <w:noProof/>
                <w:sz w:val="18"/>
                <w:szCs w:val="18"/>
                <w:lang w:eastAsia="en-GB"/>
              </w:rPr>
              <w:t>Girona</w:t>
            </w:r>
          </w:p>
        </w:tc>
        <w:tc>
          <w:tcPr>
            <w:tcW w:w="818" w:type="pct"/>
            <w:noWrap/>
            <w:hideMark/>
          </w:tcPr>
          <w:p w14:paraId="272C1093" w14:textId="336C5BA0" w:rsidR="00C9752B" w:rsidRPr="00D71008" w:rsidRDefault="00C9752B" w:rsidP="00A20642">
            <w:pPr>
              <w:jc w:val="center"/>
              <w:rPr>
                <w:noProof/>
                <w:sz w:val="18"/>
                <w:szCs w:val="18"/>
                <w:lang w:eastAsia="en-GB"/>
              </w:rPr>
            </w:pPr>
            <w:r w:rsidRPr="00D71008">
              <w:rPr>
                <w:noProof/>
                <w:sz w:val="18"/>
                <w:szCs w:val="18"/>
                <w:lang w:eastAsia="en-GB"/>
              </w:rPr>
              <w:t>Spain</w:t>
            </w:r>
          </w:p>
        </w:tc>
        <w:tc>
          <w:tcPr>
            <w:tcW w:w="821" w:type="pct"/>
          </w:tcPr>
          <w:p w14:paraId="6084A09B" w14:textId="2F9D7824" w:rsidR="00C9752B" w:rsidRPr="00D71008" w:rsidRDefault="00C9752B" w:rsidP="00A20642">
            <w:pPr>
              <w:jc w:val="center"/>
              <w:rPr>
                <w:noProof/>
                <w:sz w:val="18"/>
                <w:szCs w:val="18"/>
                <w:lang w:eastAsia="en-GB"/>
              </w:rPr>
            </w:pPr>
            <w:r w:rsidRPr="00D71008">
              <w:rPr>
                <w:noProof/>
                <w:sz w:val="18"/>
                <w:szCs w:val="18"/>
                <w:lang w:eastAsia="en-GB"/>
              </w:rPr>
              <w:t>94.6 km</w:t>
            </w:r>
          </w:p>
        </w:tc>
      </w:tr>
      <w:tr w:rsidR="00C9752B" w:rsidRPr="00D71008" w14:paraId="1709454D" w14:textId="77777777" w:rsidTr="00090A1B">
        <w:trPr>
          <w:trHeight w:val="290"/>
        </w:trPr>
        <w:tc>
          <w:tcPr>
            <w:tcW w:w="817" w:type="pct"/>
          </w:tcPr>
          <w:p w14:paraId="6710A8D3" w14:textId="77777777" w:rsidR="00C9752B" w:rsidRPr="00D71008" w:rsidRDefault="00C9752B" w:rsidP="00A20642">
            <w:pPr>
              <w:jc w:val="center"/>
              <w:rPr>
                <w:noProof/>
                <w:sz w:val="18"/>
                <w:szCs w:val="18"/>
                <w:lang w:eastAsia="en-GB"/>
              </w:rPr>
            </w:pPr>
            <w:r w:rsidRPr="00D71008">
              <w:rPr>
                <w:noProof/>
                <w:sz w:val="18"/>
                <w:szCs w:val="18"/>
                <w:lang w:eastAsia="en-GB"/>
              </w:rPr>
              <w:t>6</w:t>
            </w:r>
          </w:p>
        </w:tc>
        <w:tc>
          <w:tcPr>
            <w:tcW w:w="909" w:type="pct"/>
            <w:noWrap/>
            <w:hideMark/>
          </w:tcPr>
          <w:p w14:paraId="052994CD" w14:textId="513FF28D" w:rsidR="00C9752B" w:rsidRPr="00D71008" w:rsidRDefault="00C9752B" w:rsidP="00A20642">
            <w:pPr>
              <w:jc w:val="center"/>
              <w:rPr>
                <w:noProof/>
                <w:sz w:val="18"/>
                <w:szCs w:val="18"/>
                <w:lang w:eastAsia="en-GB"/>
              </w:rPr>
            </w:pPr>
            <w:r w:rsidRPr="00D71008">
              <w:rPr>
                <w:noProof/>
                <w:sz w:val="18"/>
                <w:szCs w:val="18"/>
                <w:lang w:eastAsia="en-GB"/>
              </w:rPr>
              <w:t>Helsinki</w:t>
            </w:r>
          </w:p>
        </w:tc>
        <w:tc>
          <w:tcPr>
            <w:tcW w:w="817" w:type="pct"/>
            <w:noWrap/>
            <w:hideMark/>
          </w:tcPr>
          <w:p w14:paraId="273E3066" w14:textId="13B02426" w:rsidR="00C9752B" w:rsidRPr="00D71008" w:rsidRDefault="00C9752B" w:rsidP="00A20642">
            <w:pPr>
              <w:jc w:val="center"/>
              <w:rPr>
                <w:noProof/>
                <w:sz w:val="18"/>
                <w:szCs w:val="18"/>
                <w:lang w:eastAsia="en-GB"/>
              </w:rPr>
            </w:pPr>
            <w:r w:rsidRPr="00D71008">
              <w:rPr>
                <w:noProof/>
                <w:sz w:val="18"/>
                <w:szCs w:val="18"/>
                <w:lang w:eastAsia="en-GB"/>
              </w:rPr>
              <w:t>Finland</w:t>
            </w:r>
          </w:p>
        </w:tc>
        <w:tc>
          <w:tcPr>
            <w:tcW w:w="818" w:type="pct"/>
            <w:noWrap/>
            <w:hideMark/>
          </w:tcPr>
          <w:p w14:paraId="17D38E2D" w14:textId="06823DE5" w:rsidR="00C9752B" w:rsidRPr="00D71008" w:rsidRDefault="00C9752B" w:rsidP="00A20642">
            <w:pPr>
              <w:jc w:val="center"/>
              <w:rPr>
                <w:noProof/>
                <w:sz w:val="18"/>
                <w:szCs w:val="18"/>
                <w:lang w:eastAsia="en-GB"/>
              </w:rPr>
            </w:pPr>
            <w:r w:rsidRPr="00D71008">
              <w:rPr>
                <w:noProof/>
                <w:sz w:val="18"/>
                <w:szCs w:val="18"/>
                <w:lang w:eastAsia="en-GB"/>
              </w:rPr>
              <w:t>Oulu</w:t>
            </w:r>
          </w:p>
        </w:tc>
        <w:tc>
          <w:tcPr>
            <w:tcW w:w="818" w:type="pct"/>
            <w:noWrap/>
            <w:hideMark/>
          </w:tcPr>
          <w:p w14:paraId="2A021503" w14:textId="3B2F3587" w:rsidR="00C9752B" w:rsidRPr="00D71008" w:rsidRDefault="00C9752B" w:rsidP="00A20642">
            <w:pPr>
              <w:jc w:val="center"/>
              <w:rPr>
                <w:noProof/>
                <w:sz w:val="18"/>
                <w:szCs w:val="18"/>
                <w:lang w:eastAsia="en-GB"/>
              </w:rPr>
            </w:pPr>
            <w:r w:rsidRPr="00D71008">
              <w:rPr>
                <w:noProof/>
                <w:sz w:val="18"/>
                <w:szCs w:val="18"/>
                <w:lang w:eastAsia="en-GB"/>
              </w:rPr>
              <w:t>Finland</w:t>
            </w:r>
          </w:p>
        </w:tc>
        <w:tc>
          <w:tcPr>
            <w:tcW w:w="821" w:type="pct"/>
          </w:tcPr>
          <w:p w14:paraId="2CECE490" w14:textId="3BCFB71C" w:rsidR="00C9752B" w:rsidRPr="00D71008" w:rsidRDefault="00C9752B" w:rsidP="00A20642">
            <w:pPr>
              <w:jc w:val="center"/>
              <w:rPr>
                <w:noProof/>
                <w:sz w:val="18"/>
                <w:szCs w:val="18"/>
                <w:lang w:eastAsia="en-GB"/>
              </w:rPr>
            </w:pPr>
            <w:r w:rsidRPr="00D71008">
              <w:rPr>
                <w:noProof/>
                <w:sz w:val="18"/>
                <w:szCs w:val="18"/>
                <w:lang w:eastAsia="en-GB"/>
              </w:rPr>
              <w:t>680 km</w:t>
            </w:r>
          </w:p>
        </w:tc>
      </w:tr>
      <w:tr w:rsidR="00C9752B" w:rsidRPr="00D71008" w14:paraId="42C7A2C8" w14:textId="77777777" w:rsidTr="00090A1B">
        <w:trPr>
          <w:trHeight w:val="290"/>
        </w:trPr>
        <w:tc>
          <w:tcPr>
            <w:tcW w:w="817" w:type="pct"/>
          </w:tcPr>
          <w:p w14:paraId="59B45E68" w14:textId="77777777" w:rsidR="00C9752B" w:rsidRPr="00D71008" w:rsidRDefault="00C9752B" w:rsidP="00A20642">
            <w:pPr>
              <w:jc w:val="center"/>
              <w:rPr>
                <w:noProof/>
                <w:sz w:val="18"/>
                <w:szCs w:val="18"/>
                <w:lang w:eastAsia="en-GB"/>
              </w:rPr>
            </w:pPr>
            <w:r w:rsidRPr="00D71008">
              <w:rPr>
                <w:noProof/>
                <w:sz w:val="18"/>
                <w:szCs w:val="18"/>
                <w:lang w:eastAsia="en-GB"/>
              </w:rPr>
              <w:t>7</w:t>
            </w:r>
          </w:p>
        </w:tc>
        <w:tc>
          <w:tcPr>
            <w:tcW w:w="909" w:type="pct"/>
            <w:noWrap/>
            <w:hideMark/>
          </w:tcPr>
          <w:p w14:paraId="7796A7E6" w14:textId="52AB1F14" w:rsidR="00C9752B" w:rsidRPr="00D71008" w:rsidRDefault="00C9752B" w:rsidP="00A20642">
            <w:pPr>
              <w:jc w:val="center"/>
              <w:rPr>
                <w:noProof/>
                <w:sz w:val="18"/>
                <w:szCs w:val="18"/>
                <w:lang w:eastAsia="en-GB"/>
              </w:rPr>
            </w:pPr>
            <w:r w:rsidRPr="00D71008">
              <w:rPr>
                <w:noProof/>
                <w:sz w:val="18"/>
                <w:szCs w:val="18"/>
                <w:lang w:eastAsia="en-GB"/>
              </w:rPr>
              <w:t>Hoorn</w:t>
            </w:r>
          </w:p>
        </w:tc>
        <w:tc>
          <w:tcPr>
            <w:tcW w:w="817" w:type="pct"/>
            <w:noWrap/>
            <w:hideMark/>
          </w:tcPr>
          <w:p w14:paraId="69B426E0" w14:textId="2A07A0D1" w:rsidR="00C9752B" w:rsidRPr="00D71008" w:rsidRDefault="00C9752B" w:rsidP="00A20642">
            <w:pPr>
              <w:jc w:val="center"/>
              <w:rPr>
                <w:noProof/>
                <w:sz w:val="18"/>
                <w:szCs w:val="18"/>
                <w:lang w:eastAsia="en-GB"/>
              </w:rPr>
            </w:pPr>
            <w:r w:rsidRPr="00D71008">
              <w:rPr>
                <w:noProof/>
                <w:sz w:val="18"/>
                <w:szCs w:val="18"/>
                <w:lang w:eastAsia="en-GB"/>
              </w:rPr>
              <w:t>Netherlands</w:t>
            </w:r>
          </w:p>
        </w:tc>
        <w:tc>
          <w:tcPr>
            <w:tcW w:w="818" w:type="pct"/>
            <w:noWrap/>
            <w:hideMark/>
          </w:tcPr>
          <w:p w14:paraId="3F445730" w14:textId="0880DDB7" w:rsidR="00C9752B" w:rsidRPr="00D71008" w:rsidRDefault="00C9752B" w:rsidP="00A20642">
            <w:pPr>
              <w:jc w:val="center"/>
              <w:rPr>
                <w:noProof/>
                <w:sz w:val="18"/>
                <w:szCs w:val="18"/>
                <w:lang w:eastAsia="en-GB"/>
              </w:rPr>
            </w:pPr>
            <w:r w:rsidRPr="00D71008">
              <w:rPr>
                <w:noProof/>
                <w:sz w:val="18"/>
                <w:szCs w:val="18"/>
                <w:lang w:eastAsia="en-GB"/>
              </w:rPr>
              <w:t>Amsterdam</w:t>
            </w:r>
          </w:p>
        </w:tc>
        <w:tc>
          <w:tcPr>
            <w:tcW w:w="818" w:type="pct"/>
            <w:noWrap/>
            <w:hideMark/>
          </w:tcPr>
          <w:p w14:paraId="3BD190EC" w14:textId="237B67BA" w:rsidR="00C9752B" w:rsidRPr="00D71008" w:rsidRDefault="00C9752B" w:rsidP="00A20642">
            <w:pPr>
              <w:jc w:val="center"/>
              <w:rPr>
                <w:noProof/>
                <w:sz w:val="18"/>
                <w:szCs w:val="18"/>
                <w:lang w:eastAsia="en-GB"/>
              </w:rPr>
            </w:pPr>
            <w:r w:rsidRPr="00D71008">
              <w:rPr>
                <w:noProof/>
                <w:sz w:val="18"/>
                <w:szCs w:val="18"/>
                <w:lang w:eastAsia="en-GB"/>
              </w:rPr>
              <w:t>Netherlands</w:t>
            </w:r>
          </w:p>
        </w:tc>
        <w:tc>
          <w:tcPr>
            <w:tcW w:w="821" w:type="pct"/>
          </w:tcPr>
          <w:p w14:paraId="71B18852" w14:textId="53442DB7" w:rsidR="00C9752B" w:rsidRPr="00D71008" w:rsidRDefault="00C9752B" w:rsidP="00A20642">
            <w:pPr>
              <w:jc w:val="center"/>
              <w:rPr>
                <w:noProof/>
                <w:sz w:val="18"/>
                <w:szCs w:val="18"/>
                <w:lang w:eastAsia="en-GB"/>
              </w:rPr>
            </w:pPr>
            <w:r w:rsidRPr="00D71008">
              <w:rPr>
                <w:noProof/>
                <w:sz w:val="18"/>
                <w:szCs w:val="18"/>
                <w:lang w:eastAsia="en-GB"/>
              </w:rPr>
              <w:t>40.2 km</w:t>
            </w:r>
          </w:p>
        </w:tc>
      </w:tr>
      <w:tr w:rsidR="00C9752B" w:rsidRPr="00D71008" w14:paraId="03B3DB81" w14:textId="77777777" w:rsidTr="23484F07">
        <w:trPr>
          <w:trHeight w:val="290"/>
        </w:trPr>
        <w:tc>
          <w:tcPr>
            <w:tcW w:w="5000" w:type="pct"/>
            <w:gridSpan w:val="6"/>
            <w:shd w:val="clear" w:color="auto" w:fill="F79646" w:themeFill="accent6"/>
          </w:tcPr>
          <w:p w14:paraId="7FBCA932" w14:textId="77777777" w:rsidR="00C9752B" w:rsidRPr="00D71008" w:rsidRDefault="00C9752B" w:rsidP="00A20642">
            <w:pPr>
              <w:jc w:val="center"/>
              <w:rPr>
                <w:noProof/>
                <w:sz w:val="18"/>
                <w:szCs w:val="18"/>
                <w:lang w:eastAsia="en-GB"/>
              </w:rPr>
            </w:pPr>
            <w:r w:rsidRPr="00D71008">
              <w:rPr>
                <w:noProof/>
                <w:sz w:val="18"/>
                <w:szCs w:val="18"/>
                <w:lang w:eastAsia="en-GB"/>
              </w:rPr>
              <w:t>Cluster B</w:t>
            </w:r>
          </w:p>
        </w:tc>
      </w:tr>
      <w:tr w:rsidR="00C9752B" w:rsidRPr="00D71008" w14:paraId="14976981" w14:textId="77777777" w:rsidTr="00090A1B">
        <w:trPr>
          <w:trHeight w:val="290"/>
        </w:trPr>
        <w:tc>
          <w:tcPr>
            <w:tcW w:w="817" w:type="pct"/>
          </w:tcPr>
          <w:p w14:paraId="25F88C8D" w14:textId="77777777" w:rsidR="00C9752B" w:rsidRPr="00D71008" w:rsidRDefault="00C9752B" w:rsidP="00A20642">
            <w:pPr>
              <w:jc w:val="center"/>
              <w:rPr>
                <w:noProof/>
                <w:sz w:val="18"/>
                <w:szCs w:val="18"/>
                <w:lang w:eastAsia="en-GB"/>
              </w:rPr>
            </w:pPr>
            <w:r w:rsidRPr="00D71008">
              <w:rPr>
                <w:noProof/>
                <w:sz w:val="18"/>
                <w:szCs w:val="18"/>
                <w:lang w:eastAsia="en-GB"/>
              </w:rPr>
              <w:t>8</w:t>
            </w:r>
          </w:p>
        </w:tc>
        <w:tc>
          <w:tcPr>
            <w:tcW w:w="909" w:type="pct"/>
            <w:noWrap/>
            <w:hideMark/>
          </w:tcPr>
          <w:p w14:paraId="4B34C8E6" w14:textId="3B2126FF" w:rsidR="00C9752B" w:rsidRPr="00D71008" w:rsidRDefault="00C9752B" w:rsidP="00A20642">
            <w:pPr>
              <w:jc w:val="center"/>
              <w:rPr>
                <w:noProof/>
                <w:sz w:val="18"/>
                <w:szCs w:val="18"/>
                <w:lang w:eastAsia="en-GB"/>
              </w:rPr>
            </w:pPr>
            <w:r w:rsidRPr="00D71008">
              <w:rPr>
                <w:noProof/>
                <w:sz w:val="18"/>
                <w:szCs w:val="18"/>
                <w:lang w:eastAsia="en-GB"/>
              </w:rPr>
              <w:t>Paris</w:t>
            </w:r>
          </w:p>
        </w:tc>
        <w:tc>
          <w:tcPr>
            <w:tcW w:w="817" w:type="pct"/>
            <w:noWrap/>
            <w:hideMark/>
          </w:tcPr>
          <w:p w14:paraId="430C0AED" w14:textId="5193BAD2" w:rsidR="00C9752B" w:rsidRPr="00D71008" w:rsidRDefault="00C9752B" w:rsidP="00A20642">
            <w:pPr>
              <w:jc w:val="center"/>
              <w:rPr>
                <w:noProof/>
                <w:sz w:val="18"/>
                <w:szCs w:val="18"/>
                <w:lang w:eastAsia="en-GB"/>
              </w:rPr>
            </w:pPr>
            <w:r w:rsidRPr="00D71008">
              <w:rPr>
                <w:noProof/>
                <w:sz w:val="18"/>
                <w:szCs w:val="18"/>
                <w:lang w:eastAsia="en-GB"/>
              </w:rPr>
              <w:t>France</w:t>
            </w:r>
          </w:p>
        </w:tc>
        <w:tc>
          <w:tcPr>
            <w:tcW w:w="818" w:type="pct"/>
            <w:noWrap/>
            <w:hideMark/>
          </w:tcPr>
          <w:p w14:paraId="400C0B1A" w14:textId="6FE08318" w:rsidR="00C9752B" w:rsidRPr="00D71008" w:rsidRDefault="00C9752B" w:rsidP="00A20642">
            <w:pPr>
              <w:jc w:val="center"/>
              <w:rPr>
                <w:noProof/>
                <w:sz w:val="18"/>
                <w:szCs w:val="18"/>
                <w:lang w:eastAsia="en-GB"/>
              </w:rPr>
            </w:pPr>
            <w:r w:rsidRPr="00D71008">
              <w:rPr>
                <w:noProof/>
                <w:sz w:val="18"/>
                <w:szCs w:val="18"/>
                <w:lang w:eastAsia="en-GB"/>
              </w:rPr>
              <w:t>Nice</w:t>
            </w:r>
          </w:p>
        </w:tc>
        <w:tc>
          <w:tcPr>
            <w:tcW w:w="818" w:type="pct"/>
            <w:noWrap/>
            <w:hideMark/>
          </w:tcPr>
          <w:p w14:paraId="2912B897" w14:textId="3A2FF4CB" w:rsidR="00C9752B" w:rsidRPr="00D71008" w:rsidRDefault="00C9752B" w:rsidP="00A20642">
            <w:pPr>
              <w:jc w:val="center"/>
              <w:rPr>
                <w:noProof/>
                <w:sz w:val="18"/>
                <w:szCs w:val="18"/>
                <w:lang w:eastAsia="en-GB"/>
              </w:rPr>
            </w:pPr>
            <w:r w:rsidRPr="00D71008">
              <w:rPr>
                <w:noProof/>
                <w:sz w:val="18"/>
                <w:szCs w:val="18"/>
                <w:lang w:eastAsia="en-GB"/>
              </w:rPr>
              <w:t>France</w:t>
            </w:r>
          </w:p>
        </w:tc>
        <w:tc>
          <w:tcPr>
            <w:tcW w:w="821" w:type="pct"/>
          </w:tcPr>
          <w:p w14:paraId="4E405205" w14:textId="06013268" w:rsidR="00C9752B" w:rsidRPr="00D71008" w:rsidRDefault="00C9752B" w:rsidP="00A20642">
            <w:pPr>
              <w:jc w:val="center"/>
              <w:rPr>
                <w:noProof/>
                <w:sz w:val="18"/>
                <w:szCs w:val="18"/>
                <w:lang w:eastAsia="en-GB"/>
              </w:rPr>
            </w:pPr>
            <w:r w:rsidRPr="00D71008">
              <w:rPr>
                <w:noProof/>
                <w:sz w:val="18"/>
                <w:szCs w:val="18"/>
                <w:lang w:eastAsia="en-GB"/>
              </w:rPr>
              <w:t>969 km</w:t>
            </w:r>
          </w:p>
        </w:tc>
      </w:tr>
      <w:tr w:rsidR="00C9752B" w:rsidRPr="00D71008" w14:paraId="7C19F078" w14:textId="77777777" w:rsidTr="00090A1B">
        <w:trPr>
          <w:trHeight w:val="290"/>
        </w:trPr>
        <w:tc>
          <w:tcPr>
            <w:tcW w:w="817" w:type="pct"/>
          </w:tcPr>
          <w:p w14:paraId="0FB72B9E" w14:textId="77777777" w:rsidR="00C9752B" w:rsidRPr="00D71008" w:rsidRDefault="00C9752B" w:rsidP="00A20642">
            <w:pPr>
              <w:jc w:val="center"/>
              <w:rPr>
                <w:noProof/>
                <w:sz w:val="18"/>
                <w:szCs w:val="18"/>
                <w:lang w:eastAsia="en-GB"/>
              </w:rPr>
            </w:pPr>
            <w:r w:rsidRPr="00D71008">
              <w:rPr>
                <w:noProof/>
                <w:sz w:val="18"/>
                <w:szCs w:val="18"/>
                <w:lang w:eastAsia="en-GB"/>
              </w:rPr>
              <w:t>9</w:t>
            </w:r>
          </w:p>
        </w:tc>
        <w:tc>
          <w:tcPr>
            <w:tcW w:w="909" w:type="pct"/>
            <w:noWrap/>
            <w:hideMark/>
          </w:tcPr>
          <w:p w14:paraId="01111742" w14:textId="0BBA776C" w:rsidR="00C9752B" w:rsidRPr="00D71008" w:rsidRDefault="00C9752B" w:rsidP="00A20642">
            <w:pPr>
              <w:jc w:val="center"/>
              <w:rPr>
                <w:noProof/>
                <w:sz w:val="18"/>
                <w:szCs w:val="18"/>
                <w:lang w:eastAsia="en-GB"/>
              </w:rPr>
            </w:pPr>
            <w:r w:rsidRPr="00D71008">
              <w:rPr>
                <w:noProof/>
                <w:sz w:val="18"/>
                <w:szCs w:val="18"/>
                <w:lang w:eastAsia="en-GB"/>
              </w:rPr>
              <w:t>Catania</w:t>
            </w:r>
          </w:p>
        </w:tc>
        <w:tc>
          <w:tcPr>
            <w:tcW w:w="817" w:type="pct"/>
            <w:noWrap/>
            <w:hideMark/>
          </w:tcPr>
          <w:p w14:paraId="07B5DDB3" w14:textId="67C211C9" w:rsidR="00C9752B" w:rsidRPr="00D71008" w:rsidRDefault="00C9752B" w:rsidP="00A20642">
            <w:pPr>
              <w:jc w:val="center"/>
              <w:rPr>
                <w:noProof/>
                <w:sz w:val="18"/>
                <w:szCs w:val="18"/>
                <w:lang w:eastAsia="en-GB"/>
              </w:rPr>
            </w:pPr>
            <w:r w:rsidRPr="00D71008">
              <w:rPr>
                <w:noProof/>
                <w:sz w:val="18"/>
                <w:szCs w:val="18"/>
                <w:lang w:eastAsia="en-GB"/>
              </w:rPr>
              <w:t>Italy</w:t>
            </w:r>
          </w:p>
        </w:tc>
        <w:tc>
          <w:tcPr>
            <w:tcW w:w="818" w:type="pct"/>
            <w:noWrap/>
            <w:hideMark/>
          </w:tcPr>
          <w:p w14:paraId="6706E1A3" w14:textId="4A8E57AD" w:rsidR="00C9752B" w:rsidRPr="00D71008" w:rsidRDefault="00C9752B" w:rsidP="00A20642">
            <w:pPr>
              <w:jc w:val="center"/>
              <w:rPr>
                <w:noProof/>
                <w:sz w:val="18"/>
                <w:szCs w:val="18"/>
                <w:lang w:eastAsia="en-GB"/>
              </w:rPr>
            </w:pPr>
            <w:r w:rsidRPr="00D71008">
              <w:rPr>
                <w:noProof/>
                <w:sz w:val="18"/>
                <w:szCs w:val="18"/>
                <w:lang w:eastAsia="en-GB"/>
              </w:rPr>
              <w:t>Rome</w:t>
            </w:r>
          </w:p>
        </w:tc>
        <w:tc>
          <w:tcPr>
            <w:tcW w:w="818" w:type="pct"/>
            <w:noWrap/>
            <w:hideMark/>
          </w:tcPr>
          <w:p w14:paraId="0E0B05BE" w14:textId="42876FA5" w:rsidR="00C9752B" w:rsidRPr="00D71008" w:rsidRDefault="00C9752B" w:rsidP="00A20642">
            <w:pPr>
              <w:jc w:val="center"/>
              <w:rPr>
                <w:noProof/>
                <w:sz w:val="18"/>
                <w:szCs w:val="18"/>
                <w:lang w:eastAsia="en-GB"/>
              </w:rPr>
            </w:pPr>
            <w:r w:rsidRPr="00D71008">
              <w:rPr>
                <w:noProof/>
                <w:sz w:val="18"/>
                <w:szCs w:val="18"/>
                <w:lang w:eastAsia="en-GB"/>
              </w:rPr>
              <w:t>Italy</w:t>
            </w:r>
          </w:p>
        </w:tc>
        <w:tc>
          <w:tcPr>
            <w:tcW w:w="821" w:type="pct"/>
          </w:tcPr>
          <w:p w14:paraId="57E80BCF" w14:textId="150C226B" w:rsidR="00C9752B" w:rsidRPr="00D71008" w:rsidRDefault="00C9752B" w:rsidP="00A20642">
            <w:pPr>
              <w:jc w:val="center"/>
              <w:rPr>
                <w:noProof/>
                <w:sz w:val="18"/>
                <w:szCs w:val="18"/>
                <w:lang w:eastAsia="en-GB"/>
              </w:rPr>
            </w:pPr>
            <w:r w:rsidRPr="00D71008">
              <w:rPr>
                <w:noProof/>
                <w:sz w:val="18"/>
                <w:szCs w:val="18"/>
                <w:lang w:eastAsia="en-GB"/>
              </w:rPr>
              <w:t>534 km</w:t>
            </w:r>
          </w:p>
        </w:tc>
      </w:tr>
      <w:tr w:rsidR="00C9752B" w:rsidRPr="00D71008" w14:paraId="43A4A54F" w14:textId="77777777" w:rsidTr="00090A1B">
        <w:trPr>
          <w:trHeight w:val="290"/>
        </w:trPr>
        <w:tc>
          <w:tcPr>
            <w:tcW w:w="817" w:type="pct"/>
          </w:tcPr>
          <w:p w14:paraId="0A2B177E" w14:textId="77777777" w:rsidR="00C9752B" w:rsidRPr="00D71008" w:rsidRDefault="00C9752B" w:rsidP="00A20642">
            <w:pPr>
              <w:jc w:val="center"/>
              <w:rPr>
                <w:noProof/>
                <w:sz w:val="18"/>
                <w:szCs w:val="18"/>
                <w:lang w:eastAsia="en-GB"/>
              </w:rPr>
            </w:pPr>
            <w:r w:rsidRPr="00D71008">
              <w:rPr>
                <w:noProof/>
                <w:sz w:val="18"/>
                <w:szCs w:val="18"/>
                <w:lang w:eastAsia="en-GB"/>
              </w:rPr>
              <w:t>10</w:t>
            </w:r>
          </w:p>
        </w:tc>
        <w:tc>
          <w:tcPr>
            <w:tcW w:w="909" w:type="pct"/>
            <w:noWrap/>
            <w:hideMark/>
          </w:tcPr>
          <w:p w14:paraId="323105D4" w14:textId="142F8DB2" w:rsidR="00C9752B" w:rsidRPr="00D71008" w:rsidRDefault="00C9752B" w:rsidP="00A20642">
            <w:pPr>
              <w:jc w:val="center"/>
              <w:rPr>
                <w:noProof/>
                <w:sz w:val="18"/>
                <w:szCs w:val="18"/>
                <w:lang w:eastAsia="en-GB"/>
              </w:rPr>
            </w:pPr>
            <w:r w:rsidRPr="00D71008">
              <w:rPr>
                <w:noProof/>
                <w:sz w:val="18"/>
                <w:szCs w:val="18"/>
                <w:lang w:eastAsia="en-GB"/>
              </w:rPr>
              <w:t>Athens</w:t>
            </w:r>
          </w:p>
        </w:tc>
        <w:tc>
          <w:tcPr>
            <w:tcW w:w="817" w:type="pct"/>
            <w:noWrap/>
            <w:hideMark/>
          </w:tcPr>
          <w:p w14:paraId="1DB973AE" w14:textId="76DE1975" w:rsidR="00C9752B" w:rsidRPr="00D71008" w:rsidRDefault="00C9752B" w:rsidP="00A20642">
            <w:pPr>
              <w:jc w:val="center"/>
              <w:rPr>
                <w:noProof/>
                <w:sz w:val="18"/>
                <w:szCs w:val="18"/>
                <w:lang w:eastAsia="en-GB"/>
              </w:rPr>
            </w:pPr>
            <w:r w:rsidRPr="00D71008">
              <w:rPr>
                <w:noProof/>
                <w:sz w:val="18"/>
                <w:szCs w:val="18"/>
                <w:lang w:eastAsia="en-GB"/>
              </w:rPr>
              <w:t>Greece</w:t>
            </w:r>
          </w:p>
        </w:tc>
        <w:tc>
          <w:tcPr>
            <w:tcW w:w="818" w:type="pct"/>
            <w:noWrap/>
            <w:hideMark/>
          </w:tcPr>
          <w:p w14:paraId="6E978FA2" w14:textId="6DAE23E2" w:rsidR="00C9752B" w:rsidRPr="00D71008" w:rsidRDefault="00C9752B" w:rsidP="00A20642">
            <w:pPr>
              <w:jc w:val="center"/>
              <w:rPr>
                <w:noProof/>
                <w:sz w:val="18"/>
                <w:szCs w:val="18"/>
                <w:lang w:eastAsia="en-GB"/>
              </w:rPr>
            </w:pPr>
            <w:r w:rsidRPr="00D71008">
              <w:rPr>
                <w:noProof/>
                <w:sz w:val="18"/>
                <w:szCs w:val="18"/>
                <w:lang w:eastAsia="en-GB"/>
              </w:rPr>
              <w:t>Thessaloníki</w:t>
            </w:r>
          </w:p>
        </w:tc>
        <w:tc>
          <w:tcPr>
            <w:tcW w:w="818" w:type="pct"/>
            <w:noWrap/>
            <w:hideMark/>
          </w:tcPr>
          <w:p w14:paraId="476E273F" w14:textId="3805E14B" w:rsidR="00C9752B" w:rsidRPr="00D71008" w:rsidRDefault="00C9752B" w:rsidP="00A20642">
            <w:pPr>
              <w:jc w:val="center"/>
              <w:rPr>
                <w:noProof/>
                <w:sz w:val="18"/>
                <w:szCs w:val="18"/>
                <w:lang w:eastAsia="en-GB"/>
              </w:rPr>
            </w:pPr>
            <w:r w:rsidRPr="00D71008">
              <w:rPr>
                <w:noProof/>
                <w:sz w:val="18"/>
                <w:szCs w:val="18"/>
                <w:lang w:eastAsia="en-GB"/>
              </w:rPr>
              <w:t>Greece</w:t>
            </w:r>
          </w:p>
        </w:tc>
        <w:tc>
          <w:tcPr>
            <w:tcW w:w="821" w:type="pct"/>
          </w:tcPr>
          <w:p w14:paraId="67E47D37" w14:textId="3565EAA9" w:rsidR="00C9752B" w:rsidRPr="00D71008" w:rsidRDefault="00C9752B" w:rsidP="00A20642">
            <w:pPr>
              <w:jc w:val="center"/>
              <w:rPr>
                <w:noProof/>
                <w:sz w:val="18"/>
                <w:szCs w:val="18"/>
                <w:lang w:eastAsia="en-GB"/>
              </w:rPr>
            </w:pPr>
            <w:r w:rsidRPr="00D71008">
              <w:rPr>
                <w:noProof/>
                <w:sz w:val="18"/>
                <w:szCs w:val="18"/>
                <w:lang w:eastAsia="en-GB"/>
              </w:rPr>
              <w:t>499 km</w:t>
            </w:r>
          </w:p>
        </w:tc>
      </w:tr>
      <w:tr w:rsidR="00C9752B" w:rsidRPr="00D71008" w14:paraId="5C8E55F7" w14:textId="77777777" w:rsidTr="00090A1B">
        <w:trPr>
          <w:trHeight w:val="290"/>
        </w:trPr>
        <w:tc>
          <w:tcPr>
            <w:tcW w:w="817" w:type="pct"/>
          </w:tcPr>
          <w:p w14:paraId="1E66AAFB" w14:textId="77777777" w:rsidR="00C9752B" w:rsidRPr="00D71008" w:rsidRDefault="00C9752B" w:rsidP="00A20642">
            <w:pPr>
              <w:jc w:val="center"/>
              <w:rPr>
                <w:noProof/>
                <w:sz w:val="18"/>
                <w:szCs w:val="18"/>
                <w:lang w:eastAsia="en-GB"/>
              </w:rPr>
            </w:pPr>
            <w:r w:rsidRPr="00D71008">
              <w:rPr>
                <w:noProof/>
                <w:sz w:val="18"/>
                <w:szCs w:val="18"/>
                <w:lang w:eastAsia="en-GB"/>
              </w:rPr>
              <w:t>11</w:t>
            </w:r>
          </w:p>
        </w:tc>
        <w:tc>
          <w:tcPr>
            <w:tcW w:w="909" w:type="pct"/>
            <w:noWrap/>
            <w:hideMark/>
          </w:tcPr>
          <w:p w14:paraId="63BA2C82" w14:textId="63A53FC0" w:rsidR="00C9752B" w:rsidRPr="00D71008" w:rsidRDefault="00C9752B" w:rsidP="00A20642">
            <w:pPr>
              <w:jc w:val="center"/>
              <w:rPr>
                <w:noProof/>
                <w:sz w:val="18"/>
                <w:szCs w:val="18"/>
                <w:lang w:eastAsia="en-GB"/>
              </w:rPr>
            </w:pPr>
            <w:r w:rsidRPr="00D71008">
              <w:rPr>
                <w:noProof/>
                <w:sz w:val="18"/>
                <w:szCs w:val="18"/>
                <w:lang w:eastAsia="en-GB"/>
              </w:rPr>
              <w:t>Messina</w:t>
            </w:r>
          </w:p>
        </w:tc>
        <w:tc>
          <w:tcPr>
            <w:tcW w:w="817" w:type="pct"/>
            <w:noWrap/>
            <w:hideMark/>
          </w:tcPr>
          <w:p w14:paraId="784A6272" w14:textId="68539C07" w:rsidR="00C9752B" w:rsidRPr="00D71008" w:rsidRDefault="00C9752B" w:rsidP="00A20642">
            <w:pPr>
              <w:jc w:val="center"/>
              <w:rPr>
                <w:noProof/>
                <w:sz w:val="18"/>
                <w:szCs w:val="18"/>
                <w:lang w:eastAsia="en-GB"/>
              </w:rPr>
            </w:pPr>
            <w:r w:rsidRPr="00D71008">
              <w:rPr>
                <w:noProof/>
                <w:sz w:val="18"/>
                <w:szCs w:val="18"/>
                <w:lang w:eastAsia="en-GB"/>
              </w:rPr>
              <w:t>Italy</w:t>
            </w:r>
          </w:p>
        </w:tc>
        <w:tc>
          <w:tcPr>
            <w:tcW w:w="818" w:type="pct"/>
            <w:noWrap/>
            <w:hideMark/>
          </w:tcPr>
          <w:p w14:paraId="58AFACD8" w14:textId="0B2B3C97" w:rsidR="00C9752B" w:rsidRPr="00D71008" w:rsidRDefault="00C9752B" w:rsidP="00A20642">
            <w:pPr>
              <w:jc w:val="center"/>
              <w:rPr>
                <w:noProof/>
                <w:sz w:val="18"/>
                <w:szCs w:val="18"/>
                <w:lang w:eastAsia="en-GB"/>
              </w:rPr>
            </w:pPr>
            <w:r w:rsidRPr="00D71008">
              <w:rPr>
                <w:noProof/>
                <w:sz w:val="18"/>
                <w:szCs w:val="18"/>
                <w:lang w:eastAsia="en-GB"/>
              </w:rPr>
              <w:t>Reggio Calabria</w:t>
            </w:r>
          </w:p>
        </w:tc>
        <w:tc>
          <w:tcPr>
            <w:tcW w:w="818" w:type="pct"/>
            <w:noWrap/>
            <w:hideMark/>
          </w:tcPr>
          <w:p w14:paraId="6686B701" w14:textId="2AD8C0B7" w:rsidR="00C9752B" w:rsidRPr="00D71008" w:rsidRDefault="00C9752B" w:rsidP="00A20642">
            <w:pPr>
              <w:jc w:val="center"/>
              <w:rPr>
                <w:noProof/>
                <w:sz w:val="18"/>
                <w:szCs w:val="18"/>
                <w:lang w:eastAsia="en-GB"/>
              </w:rPr>
            </w:pPr>
            <w:r w:rsidRPr="00D71008">
              <w:rPr>
                <w:noProof/>
                <w:sz w:val="18"/>
                <w:szCs w:val="18"/>
                <w:lang w:eastAsia="en-GB"/>
              </w:rPr>
              <w:t>Italy</w:t>
            </w:r>
          </w:p>
        </w:tc>
        <w:tc>
          <w:tcPr>
            <w:tcW w:w="821" w:type="pct"/>
          </w:tcPr>
          <w:p w14:paraId="592787B7" w14:textId="5A24CAF4" w:rsidR="00C9752B" w:rsidRPr="00D71008" w:rsidRDefault="00C9752B" w:rsidP="00A20642">
            <w:pPr>
              <w:jc w:val="center"/>
              <w:rPr>
                <w:noProof/>
                <w:sz w:val="18"/>
                <w:szCs w:val="18"/>
                <w:lang w:eastAsia="en-GB"/>
              </w:rPr>
            </w:pPr>
            <w:r w:rsidRPr="00D71008">
              <w:rPr>
                <w:noProof/>
                <w:sz w:val="18"/>
                <w:szCs w:val="18"/>
                <w:lang w:eastAsia="en-GB"/>
              </w:rPr>
              <w:t>10.6 km</w:t>
            </w:r>
          </w:p>
        </w:tc>
      </w:tr>
      <w:tr w:rsidR="00C9752B" w:rsidRPr="00D71008" w14:paraId="43C77241" w14:textId="77777777" w:rsidTr="00090A1B">
        <w:trPr>
          <w:trHeight w:val="290"/>
        </w:trPr>
        <w:tc>
          <w:tcPr>
            <w:tcW w:w="817" w:type="pct"/>
          </w:tcPr>
          <w:p w14:paraId="5B84C071" w14:textId="77777777" w:rsidR="00C9752B" w:rsidRPr="00D71008" w:rsidRDefault="00C9752B" w:rsidP="00A20642">
            <w:pPr>
              <w:jc w:val="center"/>
              <w:rPr>
                <w:noProof/>
                <w:sz w:val="18"/>
                <w:szCs w:val="18"/>
                <w:lang w:eastAsia="en-GB"/>
              </w:rPr>
            </w:pPr>
            <w:r w:rsidRPr="00D71008">
              <w:rPr>
                <w:noProof/>
                <w:sz w:val="18"/>
                <w:szCs w:val="18"/>
                <w:lang w:eastAsia="en-GB"/>
              </w:rPr>
              <w:t>12</w:t>
            </w:r>
          </w:p>
        </w:tc>
        <w:tc>
          <w:tcPr>
            <w:tcW w:w="909" w:type="pct"/>
            <w:noWrap/>
            <w:hideMark/>
          </w:tcPr>
          <w:p w14:paraId="0ED7957B" w14:textId="7C7C46AF" w:rsidR="00C9752B" w:rsidRPr="00D71008" w:rsidRDefault="00C9752B" w:rsidP="00A20642">
            <w:pPr>
              <w:jc w:val="center"/>
              <w:rPr>
                <w:noProof/>
                <w:sz w:val="18"/>
                <w:szCs w:val="18"/>
                <w:lang w:eastAsia="en-GB"/>
              </w:rPr>
            </w:pPr>
            <w:r w:rsidRPr="00D71008">
              <w:rPr>
                <w:noProof/>
                <w:sz w:val="18"/>
                <w:szCs w:val="18"/>
                <w:lang w:eastAsia="en-GB"/>
              </w:rPr>
              <w:t>Piraeus</w:t>
            </w:r>
          </w:p>
        </w:tc>
        <w:tc>
          <w:tcPr>
            <w:tcW w:w="817" w:type="pct"/>
            <w:noWrap/>
            <w:hideMark/>
          </w:tcPr>
          <w:p w14:paraId="7F8E4EC5" w14:textId="7EBA5626" w:rsidR="00C9752B" w:rsidRPr="00D71008" w:rsidRDefault="00C9752B" w:rsidP="00A20642">
            <w:pPr>
              <w:jc w:val="center"/>
              <w:rPr>
                <w:noProof/>
                <w:sz w:val="18"/>
                <w:szCs w:val="18"/>
                <w:lang w:eastAsia="en-GB"/>
              </w:rPr>
            </w:pPr>
            <w:r w:rsidRPr="00D71008">
              <w:rPr>
                <w:noProof/>
                <w:sz w:val="18"/>
                <w:szCs w:val="18"/>
                <w:lang w:eastAsia="en-GB"/>
              </w:rPr>
              <w:t>Greece</w:t>
            </w:r>
          </w:p>
        </w:tc>
        <w:tc>
          <w:tcPr>
            <w:tcW w:w="818" w:type="pct"/>
            <w:noWrap/>
            <w:hideMark/>
          </w:tcPr>
          <w:p w14:paraId="1170D986" w14:textId="70660D32" w:rsidR="00C9752B" w:rsidRPr="00D71008" w:rsidRDefault="00C9752B" w:rsidP="00A20642">
            <w:pPr>
              <w:jc w:val="center"/>
              <w:rPr>
                <w:noProof/>
                <w:sz w:val="18"/>
                <w:szCs w:val="18"/>
                <w:lang w:eastAsia="en-GB"/>
              </w:rPr>
            </w:pPr>
            <w:r w:rsidRPr="00D71008">
              <w:rPr>
                <w:noProof/>
                <w:sz w:val="18"/>
                <w:szCs w:val="18"/>
                <w:lang w:eastAsia="en-GB"/>
              </w:rPr>
              <w:t>Ermoúpolis</w:t>
            </w:r>
          </w:p>
        </w:tc>
        <w:tc>
          <w:tcPr>
            <w:tcW w:w="818" w:type="pct"/>
            <w:noWrap/>
            <w:hideMark/>
          </w:tcPr>
          <w:p w14:paraId="3155AA32" w14:textId="45E30F84" w:rsidR="00C9752B" w:rsidRPr="00D71008" w:rsidRDefault="00C9752B" w:rsidP="00A20642">
            <w:pPr>
              <w:jc w:val="center"/>
              <w:rPr>
                <w:noProof/>
                <w:sz w:val="18"/>
                <w:szCs w:val="18"/>
                <w:lang w:eastAsia="en-GB"/>
              </w:rPr>
            </w:pPr>
            <w:r w:rsidRPr="00D71008">
              <w:rPr>
                <w:noProof/>
                <w:sz w:val="18"/>
                <w:szCs w:val="18"/>
                <w:lang w:eastAsia="en-GB"/>
              </w:rPr>
              <w:t>Greece</w:t>
            </w:r>
          </w:p>
        </w:tc>
        <w:tc>
          <w:tcPr>
            <w:tcW w:w="821" w:type="pct"/>
          </w:tcPr>
          <w:p w14:paraId="3E6F02B3" w14:textId="7EF5308C" w:rsidR="00C9752B" w:rsidRPr="00D71008" w:rsidRDefault="00C9752B" w:rsidP="00A20642">
            <w:pPr>
              <w:jc w:val="center"/>
              <w:rPr>
                <w:noProof/>
                <w:sz w:val="18"/>
                <w:szCs w:val="18"/>
                <w:lang w:eastAsia="en-GB"/>
              </w:rPr>
            </w:pPr>
            <w:r w:rsidRPr="00D71008">
              <w:rPr>
                <w:noProof/>
                <w:sz w:val="18"/>
                <w:szCs w:val="18"/>
                <w:lang w:eastAsia="en-GB"/>
              </w:rPr>
              <w:t>160 km</w:t>
            </w:r>
          </w:p>
        </w:tc>
      </w:tr>
      <w:tr w:rsidR="00C9752B" w:rsidRPr="00D71008" w14:paraId="0058CBEF" w14:textId="77777777" w:rsidTr="00090A1B">
        <w:trPr>
          <w:trHeight w:val="290"/>
        </w:trPr>
        <w:tc>
          <w:tcPr>
            <w:tcW w:w="817" w:type="pct"/>
          </w:tcPr>
          <w:p w14:paraId="557710A9" w14:textId="77777777" w:rsidR="00C9752B" w:rsidRPr="00D71008" w:rsidRDefault="00C9752B" w:rsidP="00A20642">
            <w:pPr>
              <w:jc w:val="center"/>
              <w:rPr>
                <w:noProof/>
                <w:sz w:val="18"/>
                <w:szCs w:val="18"/>
                <w:lang w:eastAsia="en-GB"/>
              </w:rPr>
            </w:pPr>
            <w:r w:rsidRPr="00D71008">
              <w:rPr>
                <w:noProof/>
                <w:sz w:val="18"/>
                <w:szCs w:val="18"/>
                <w:lang w:eastAsia="en-GB"/>
              </w:rPr>
              <w:t>13</w:t>
            </w:r>
          </w:p>
        </w:tc>
        <w:tc>
          <w:tcPr>
            <w:tcW w:w="909" w:type="pct"/>
            <w:noWrap/>
            <w:hideMark/>
          </w:tcPr>
          <w:p w14:paraId="53C7168F" w14:textId="1F545A0E" w:rsidR="00C9752B" w:rsidRPr="00D71008" w:rsidRDefault="00C9752B" w:rsidP="00A20642">
            <w:pPr>
              <w:jc w:val="center"/>
              <w:rPr>
                <w:noProof/>
                <w:sz w:val="18"/>
                <w:szCs w:val="18"/>
                <w:lang w:eastAsia="en-GB"/>
              </w:rPr>
            </w:pPr>
            <w:r w:rsidRPr="00D71008">
              <w:rPr>
                <w:noProof/>
                <w:sz w:val="18"/>
                <w:szCs w:val="18"/>
                <w:lang w:eastAsia="en-GB"/>
              </w:rPr>
              <w:t>Busto Arsizio</w:t>
            </w:r>
          </w:p>
        </w:tc>
        <w:tc>
          <w:tcPr>
            <w:tcW w:w="817" w:type="pct"/>
            <w:noWrap/>
            <w:hideMark/>
          </w:tcPr>
          <w:p w14:paraId="17B94CC2" w14:textId="2AA78742" w:rsidR="00C9752B" w:rsidRPr="00D71008" w:rsidRDefault="00C9752B" w:rsidP="00A20642">
            <w:pPr>
              <w:jc w:val="center"/>
              <w:rPr>
                <w:noProof/>
                <w:sz w:val="18"/>
                <w:szCs w:val="18"/>
                <w:lang w:eastAsia="en-GB"/>
              </w:rPr>
            </w:pPr>
            <w:r w:rsidRPr="00D71008">
              <w:rPr>
                <w:noProof/>
                <w:sz w:val="18"/>
                <w:szCs w:val="18"/>
                <w:lang w:eastAsia="en-GB"/>
              </w:rPr>
              <w:t>Italy</w:t>
            </w:r>
          </w:p>
        </w:tc>
        <w:tc>
          <w:tcPr>
            <w:tcW w:w="818" w:type="pct"/>
            <w:noWrap/>
            <w:hideMark/>
          </w:tcPr>
          <w:p w14:paraId="3AC27C07" w14:textId="34B44501" w:rsidR="00C9752B" w:rsidRPr="00D71008" w:rsidRDefault="00C9752B" w:rsidP="00A20642">
            <w:pPr>
              <w:jc w:val="center"/>
              <w:rPr>
                <w:noProof/>
                <w:sz w:val="18"/>
                <w:szCs w:val="18"/>
                <w:lang w:eastAsia="en-GB"/>
              </w:rPr>
            </w:pPr>
            <w:r w:rsidRPr="00D71008">
              <w:rPr>
                <w:noProof/>
                <w:sz w:val="18"/>
                <w:szCs w:val="18"/>
                <w:lang w:eastAsia="en-GB"/>
              </w:rPr>
              <w:t>Milan</w:t>
            </w:r>
          </w:p>
        </w:tc>
        <w:tc>
          <w:tcPr>
            <w:tcW w:w="818" w:type="pct"/>
            <w:noWrap/>
            <w:hideMark/>
          </w:tcPr>
          <w:p w14:paraId="521CF24E" w14:textId="4C6BF60D" w:rsidR="00C9752B" w:rsidRPr="00D71008" w:rsidRDefault="00C9752B" w:rsidP="00A20642">
            <w:pPr>
              <w:jc w:val="center"/>
              <w:rPr>
                <w:noProof/>
                <w:sz w:val="18"/>
                <w:szCs w:val="18"/>
                <w:lang w:eastAsia="en-GB"/>
              </w:rPr>
            </w:pPr>
            <w:r w:rsidRPr="00D71008">
              <w:rPr>
                <w:noProof/>
                <w:sz w:val="18"/>
                <w:szCs w:val="18"/>
                <w:lang w:eastAsia="en-GB"/>
              </w:rPr>
              <w:t>Italy</w:t>
            </w:r>
          </w:p>
        </w:tc>
        <w:tc>
          <w:tcPr>
            <w:tcW w:w="821" w:type="pct"/>
          </w:tcPr>
          <w:p w14:paraId="3B888B67" w14:textId="60D682DE" w:rsidR="00C9752B" w:rsidRPr="00D71008" w:rsidRDefault="00C9752B" w:rsidP="00A20642">
            <w:pPr>
              <w:jc w:val="center"/>
              <w:rPr>
                <w:noProof/>
                <w:sz w:val="18"/>
                <w:szCs w:val="18"/>
                <w:lang w:eastAsia="en-GB"/>
              </w:rPr>
            </w:pPr>
            <w:r w:rsidRPr="00D71008">
              <w:rPr>
                <w:noProof/>
                <w:sz w:val="18"/>
                <w:szCs w:val="18"/>
                <w:lang w:eastAsia="en-GB"/>
              </w:rPr>
              <w:t>35.3 km</w:t>
            </w:r>
          </w:p>
        </w:tc>
      </w:tr>
      <w:tr w:rsidR="00C9752B" w:rsidRPr="00D71008" w14:paraId="423952FE" w14:textId="77777777" w:rsidTr="00090A1B">
        <w:trPr>
          <w:trHeight w:val="290"/>
        </w:trPr>
        <w:tc>
          <w:tcPr>
            <w:tcW w:w="817" w:type="pct"/>
          </w:tcPr>
          <w:p w14:paraId="6994374F" w14:textId="77777777" w:rsidR="00C9752B" w:rsidRPr="00D71008" w:rsidRDefault="00C9752B" w:rsidP="00A20642">
            <w:pPr>
              <w:jc w:val="center"/>
              <w:rPr>
                <w:noProof/>
                <w:sz w:val="18"/>
                <w:szCs w:val="18"/>
                <w:lang w:eastAsia="en-GB"/>
              </w:rPr>
            </w:pPr>
            <w:r w:rsidRPr="00D71008">
              <w:rPr>
                <w:noProof/>
                <w:sz w:val="18"/>
                <w:szCs w:val="18"/>
                <w:lang w:eastAsia="en-GB"/>
              </w:rPr>
              <w:t>14</w:t>
            </w:r>
          </w:p>
        </w:tc>
        <w:tc>
          <w:tcPr>
            <w:tcW w:w="909" w:type="pct"/>
            <w:noWrap/>
            <w:hideMark/>
          </w:tcPr>
          <w:p w14:paraId="761AC756" w14:textId="379526C4" w:rsidR="00C9752B" w:rsidRPr="00D71008" w:rsidRDefault="00C9752B" w:rsidP="00A20642">
            <w:pPr>
              <w:jc w:val="center"/>
              <w:rPr>
                <w:noProof/>
                <w:sz w:val="18"/>
                <w:szCs w:val="18"/>
                <w:lang w:eastAsia="en-GB"/>
              </w:rPr>
            </w:pPr>
            <w:r w:rsidRPr="00D71008">
              <w:rPr>
                <w:noProof/>
                <w:sz w:val="18"/>
                <w:szCs w:val="18"/>
                <w:lang w:eastAsia="en-GB"/>
              </w:rPr>
              <w:t>Gdańsk</w:t>
            </w:r>
          </w:p>
        </w:tc>
        <w:tc>
          <w:tcPr>
            <w:tcW w:w="817" w:type="pct"/>
            <w:noWrap/>
            <w:hideMark/>
          </w:tcPr>
          <w:p w14:paraId="7C5E1D35" w14:textId="557A8B68" w:rsidR="00C9752B" w:rsidRPr="00D71008" w:rsidRDefault="00C9752B" w:rsidP="00A20642">
            <w:pPr>
              <w:jc w:val="center"/>
              <w:rPr>
                <w:noProof/>
                <w:sz w:val="18"/>
                <w:szCs w:val="18"/>
                <w:lang w:eastAsia="en-GB"/>
              </w:rPr>
            </w:pPr>
            <w:r w:rsidRPr="00D71008">
              <w:rPr>
                <w:noProof/>
                <w:sz w:val="18"/>
                <w:szCs w:val="18"/>
                <w:lang w:eastAsia="en-GB"/>
              </w:rPr>
              <w:t>Poland</w:t>
            </w:r>
          </w:p>
        </w:tc>
        <w:tc>
          <w:tcPr>
            <w:tcW w:w="818" w:type="pct"/>
            <w:noWrap/>
            <w:hideMark/>
          </w:tcPr>
          <w:p w14:paraId="41937AE8" w14:textId="76CC26D0" w:rsidR="00C9752B" w:rsidRPr="00D71008" w:rsidRDefault="00C9752B" w:rsidP="00A20642">
            <w:pPr>
              <w:jc w:val="center"/>
              <w:rPr>
                <w:noProof/>
                <w:sz w:val="18"/>
                <w:szCs w:val="18"/>
                <w:lang w:eastAsia="en-GB"/>
              </w:rPr>
            </w:pPr>
            <w:r w:rsidRPr="00D71008">
              <w:rPr>
                <w:noProof/>
                <w:sz w:val="18"/>
                <w:szCs w:val="18"/>
                <w:lang w:eastAsia="en-GB"/>
              </w:rPr>
              <w:t>Wejherowo</w:t>
            </w:r>
          </w:p>
        </w:tc>
        <w:tc>
          <w:tcPr>
            <w:tcW w:w="818" w:type="pct"/>
            <w:noWrap/>
            <w:hideMark/>
          </w:tcPr>
          <w:p w14:paraId="51DEEB79" w14:textId="5DB98AF0" w:rsidR="00C9752B" w:rsidRPr="00D71008" w:rsidRDefault="00C9752B" w:rsidP="00A20642">
            <w:pPr>
              <w:jc w:val="center"/>
              <w:rPr>
                <w:noProof/>
                <w:sz w:val="18"/>
                <w:szCs w:val="18"/>
                <w:lang w:eastAsia="en-GB"/>
              </w:rPr>
            </w:pPr>
            <w:r w:rsidRPr="00D71008">
              <w:rPr>
                <w:noProof/>
                <w:sz w:val="18"/>
                <w:szCs w:val="18"/>
                <w:lang w:eastAsia="en-GB"/>
              </w:rPr>
              <w:t>Poland</w:t>
            </w:r>
          </w:p>
        </w:tc>
        <w:tc>
          <w:tcPr>
            <w:tcW w:w="821" w:type="pct"/>
          </w:tcPr>
          <w:p w14:paraId="6FFC6EF3" w14:textId="41C10C54" w:rsidR="00C9752B" w:rsidRPr="00D71008" w:rsidRDefault="00C9752B" w:rsidP="00A20642">
            <w:pPr>
              <w:jc w:val="center"/>
              <w:rPr>
                <w:noProof/>
                <w:sz w:val="18"/>
                <w:szCs w:val="18"/>
                <w:lang w:eastAsia="en-GB"/>
              </w:rPr>
            </w:pPr>
            <w:r w:rsidRPr="00D71008">
              <w:rPr>
                <w:noProof/>
                <w:sz w:val="18"/>
                <w:szCs w:val="18"/>
                <w:lang w:eastAsia="en-GB"/>
              </w:rPr>
              <w:t>37.1 km</w:t>
            </w:r>
          </w:p>
        </w:tc>
      </w:tr>
      <w:tr w:rsidR="00C9752B" w:rsidRPr="00D71008" w14:paraId="21FD165D" w14:textId="77777777" w:rsidTr="00090A1B">
        <w:trPr>
          <w:trHeight w:val="290"/>
        </w:trPr>
        <w:tc>
          <w:tcPr>
            <w:tcW w:w="817" w:type="pct"/>
          </w:tcPr>
          <w:p w14:paraId="2C31B7B6" w14:textId="77777777" w:rsidR="00C9752B" w:rsidRPr="00D71008" w:rsidRDefault="00C9752B" w:rsidP="00A20642">
            <w:pPr>
              <w:jc w:val="center"/>
              <w:rPr>
                <w:noProof/>
                <w:sz w:val="18"/>
                <w:szCs w:val="18"/>
                <w:lang w:eastAsia="en-GB"/>
              </w:rPr>
            </w:pPr>
            <w:r w:rsidRPr="00D71008">
              <w:rPr>
                <w:noProof/>
                <w:sz w:val="18"/>
                <w:szCs w:val="18"/>
                <w:lang w:eastAsia="en-GB"/>
              </w:rPr>
              <w:t>15</w:t>
            </w:r>
          </w:p>
        </w:tc>
        <w:tc>
          <w:tcPr>
            <w:tcW w:w="909" w:type="pct"/>
            <w:noWrap/>
            <w:hideMark/>
          </w:tcPr>
          <w:p w14:paraId="0A618801" w14:textId="53CE3795" w:rsidR="00C9752B" w:rsidRPr="00D71008" w:rsidRDefault="00C9752B" w:rsidP="00A20642">
            <w:pPr>
              <w:jc w:val="center"/>
              <w:rPr>
                <w:noProof/>
                <w:sz w:val="18"/>
                <w:szCs w:val="18"/>
                <w:lang w:eastAsia="en-GB"/>
              </w:rPr>
            </w:pPr>
            <w:r w:rsidRPr="00D71008">
              <w:rPr>
                <w:noProof/>
                <w:sz w:val="18"/>
                <w:szCs w:val="18"/>
                <w:lang w:eastAsia="en-GB"/>
              </w:rPr>
              <w:t>Khalándrion</w:t>
            </w:r>
          </w:p>
        </w:tc>
        <w:tc>
          <w:tcPr>
            <w:tcW w:w="817" w:type="pct"/>
            <w:noWrap/>
            <w:hideMark/>
          </w:tcPr>
          <w:p w14:paraId="5AAB3B65" w14:textId="4816B6A1" w:rsidR="00C9752B" w:rsidRPr="00D71008" w:rsidRDefault="00C9752B" w:rsidP="00A20642">
            <w:pPr>
              <w:jc w:val="center"/>
              <w:rPr>
                <w:noProof/>
                <w:sz w:val="18"/>
                <w:szCs w:val="18"/>
                <w:lang w:eastAsia="en-GB"/>
              </w:rPr>
            </w:pPr>
            <w:r w:rsidRPr="00D71008">
              <w:rPr>
                <w:noProof/>
                <w:sz w:val="18"/>
                <w:szCs w:val="18"/>
                <w:lang w:eastAsia="en-GB"/>
              </w:rPr>
              <w:t>Greece</w:t>
            </w:r>
          </w:p>
        </w:tc>
        <w:tc>
          <w:tcPr>
            <w:tcW w:w="818" w:type="pct"/>
            <w:noWrap/>
            <w:hideMark/>
          </w:tcPr>
          <w:p w14:paraId="761271E5" w14:textId="1FB41F36" w:rsidR="00C9752B" w:rsidRPr="00D71008" w:rsidRDefault="00C9752B" w:rsidP="00A20642">
            <w:pPr>
              <w:jc w:val="center"/>
              <w:rPr>
                <w:noProof/>
                <w:sz w:val="18"/>
                <w:szCs w:val="18"/>
                <w:lang w:eastAsia="en-GB"/>
              </w:rPr>
            </w:pPr>
            <w:r w:rsidRPr="00D71008">
              <w:rPr>
                <w:noProof/>
                <w:sz w:val="18"/>
                <w:szCs w:val="18"/>
                <w:lang w:eastAsia="en-GB"/>
              </w:rPr>
              <w:t>Athens</w:t>
            </w:r>
          </w:p>
        </w:tc>
        <w:tc>
          <w:tcPr>
            <w:tcW w:w="818" w:type="pct"/>
            <w:noWrap/>
            <w:hideMark/>
          </w:tcPr>
          <w:p w14:paraId="3CA86716" w14:textId="0B7C38F3" w:rsidR="00C9752B" w:rsidRPr="00D71008" w:rsidRDefault="00C9752B" w:rsidP="00A20642">
            <w:pPr>
              <w:jc w:val="center"/>
              <w:rPr>
                <w:noProof/>
                <w:sz w:val="18"/>
                <w:szCs w:val="18"/>
                <w:lang w:eastAsia="en-GB"/>
              </w:rPr>
            </w:pPr>
            <w:r w:rsidRPr="00D71008">
              <w:rPr>
                <w:noProof/>
                <w:sz w:val="18"/>
                <w:szCs w:val="18"/>
                <w:lang w:eastAsia="en-GB"/>
              </w:rPr>
              <w:t>Greece</w:t>
            </w:r>
          </w:p>
        </w:tc>
        <w:tc>
          <w:tcPr>
            <w:tcW w:w="821" w:type="pct"/>
          </w:tcPr>
          <w:p w14:paraId="23878B70" w14:textId="37A17E5F" w:rsidR="00C9752B" w:rsidRPr="00D71008" w:rsidRDefault="00C9752B" w:rsidP="00A20642">
            <w:pPr>
              <w:jc w:val="center"/>
              <w:rPr>
                <w:noProof/>
                <w:sz w:val="18"/>
                <w:szCs w:val="18"/>
                <w:lang w:eastAsia="en-GB"/>
              </w:rPr>
            </w:pPr>
            <w:r w:rsidRPr="00D71008">
              <w:rPr>
                <w:noProof/>
                <w:sz w:val="18"/>
                <w:szCs w:val="18"/>
                <w:lang w:eastAsia="en-GB"/>
              </w:rPr>
              <w:t xml:space="preserve">17.0 km </w:t>
            </w:r>
          </w:p>
        </w:tc>
      </w:tr>
      <w:tr w:rsidR="00C9752B" w:rsidRPr="00D71008" w14:paraId="736FD0CE" w14:textId="77777777" w:rsidTr="00090A1B">
        <w:trPr>
          <w:trHeight w:val="290"/>
        </w:trPr>
        <w:tc>
          <w:tcPr>
            <w:tcW w:w="817" w:type="pct"/>
          </w:tcPr>
          <w:p w14:paraId="054FBCFD" w14:textId="77777777" w:rsidR="00C9752B" w:rsidRPr="00D71008" w:rsidRDefault="00C9752B" w:rsidP="00A20642">
            <w:pPr>
              <w:jc w:val="center"/>
              <w:rPr>
                <w:noProof/>
                <w:sz w:val="18"/>
                <w:szCs w:val="18"/>
                <w:lang w:eastAsia="en-GB"/>
              </w:rPr>
            </w:pPr>
            <w:r w:rsidRPr="00D71008">
              <w:rPr>
                <w:noProof/>
                <w:sz w:val="18"/>
                <w:szCs w:val="18"/>
                <w:lang w:eastAsia="en-GB"/>
              </w:rPr>
              <w:t>16</w:t>
            </w:r>
          </w:p>
        </w:tc>
        <w:tc>
          <w:tcPr>
            <w:tcW w:w="909" w:type="pct"/>
            <w:noWrap/>
            <w:hideMark/>
          </w:tcPr>
          <w:p w14:paraId="5F11E929" w14:textId="612A0FD5" w:rsidR="00C9752B" w:rsidRPr="00D71008" w:rsidRDefault="00C9752B" w:rsidP="00A20642">
            <w:pPr>
              <w:jc w:val="center"/>
              <w:rPr>
                <w:noProof/>
                <w:sz w:val="18"/>
                <w:szCs w:val="18"/>
                <w:lang w:eastAsia="en-GB"/>
              </w:rPr>
            </w:pPr>
            <w:r w:rsidRPr="00D71008">
              <w:rPr>
                <w:noProof/>
                <w:sz w:val="18"/>
                <w:szCs w:val="18"/>
                <w:lang w:eastAsia="en-GB"/>
              </w:rPr>
              <w:t>Luleå</w:t>
            </w:r>
          </w:p>
        </w:tc>
        <w:tc>
          <w:tcPr>
            <w:tcW w:w="817" w:type="pct"/>
            <w:noWrap/>
            <w:hideMark/>
          </w:tcPr>
          <w:p w14:paraId="4D2AAD06" w14:textId="2C66D7B3" w:rsidR="00C9752B" w:rsidRPr="00D71008" w:rsidRDefault="00C9752B" w:rsidP="00A20642">
            <w:pPr>
              <w:jc w:val="center"/>
              <w:rPr>
                <w:noProof/>
                <w:sz w:val="18"/>
                <w:szCs w:val="18"/>
                <w:lang w:eastAsia="en-GB"/>
              </w:rPr>
            </w:pPr>
            <w:r w:rsidRPr="00D71008">
              <w:rPr>
                <w:noProof/>
                <w:sz w:val="18"/>
                <w:szCs w:val="18"/>
                <w:lang w:eastAsia="en-GB"/>
              </w:rPr>
              <w:t>Sweden</w:t>
            </w:r>
          </w:p>
        </w:tc>
        <w:tc>
          <w:tcPr>
            <w:tcW w:w="818" w:type="pct"/>
            <w:noWrap/>
            <w:hideMark/>
          </w:tcPr>
          <w:p w14:paraId="793CA4EE" w14:textId="0DDBA9DC" w:rsidR="00C9752B" w:rsidRPr="00D71008" w:rsidRDefault="00C9752B" w:rsidP="00A20642">
            <w:pPr>
              <w:jc w:val="center"/>
              <w:rPr>
                <w:noProof/>
                <w:sz w:val="18"/>
                <w:szCs w:val="18"/>
                <w:lang w:eastAsia="en-GB"/>
              </w:rPr>
            </w:pPr>
            <w:r w:rsidRPr="00D71008">
              <w:rPr>
                <w:noProof/>
                <w:sz w:val="18"/>
                <w:szCs w:val="18"/>
                <w:lang w:eastAsia="en-GB"/>
              </w:rPr>
              <w:t>Stockholm</w:t>
            </w:r>
          </w:p>
        </w:tc>
        <w:tc>
          <w:tcPr>
            <w:tcW w:w="818" w:type="pct"/>
            <w:noWrap/>
            <w:hideMark/>
          </w:tcPr>
          <w:p w14:paraId="269031ED" w14:textId="66C4F10E" w:rsidR="00C9752B" w:rsidRPr="00D71008" w:rsidRDefault="00C9752B" w:rsidP="00A20642">
            <w:pPr>
              <w:jc w:val="center"/>
              <w:rPr>
                <w:noProof/>
                <w:sz w:val="18"/>
                <w:szCs w:val="18"/>
                <w:lang w:eastAsia="en-GB"/>
              </w:rPr>
            </w:pPr>
            <w:r w:rsidRPr="00D71008">
              <w:rPr>
                <w:noProof/>
                <w:sz w:val="18"/>
                <w:szCs w:val="18"/>
                <w:lang w:eastAsia="en-GB"/>
              </w:rPr>
              <w:t>Sweden</w:t>
            </w:r>
          </w:p>
        </w:tc>
        <w:tc>
          <w:tcPr>
            <w:tcW w:w="821" w:type="pct"/>
          </w:tcPr>
          <w:p w14:paraId="04D8277E" w14:textId="0D82D3FD" w:rsidR="00C9752B" w:rsidRPr="00D71008" w:rsidRDefault="00C9752B" w:rsidP="00A20642">
            <w:pPr>
              <w:jc w:val="center"/>
              <w:rPr>
                <w:noProof/>
                <w:sz w:val="18"/>
                <w:szCs w:val="18"/>
                <w:lang w:eastAsia="en-GB"/>
              </w:rPr>
            </w:pPr>
            <w:r w:rsidRPr="00D71008">
              <w:rPr>
                <w:noProof/>
                <w:sz w:val="18"/>
                <w:szCs w:val="18"/>
                <w:lang w:eastAsia="en-GB"/>
              </w:rPr>
              <w:t>934 km</w:t>
            </w:r>
          </w:p>
        </w:tc>
      </w:tr>
      <w:tr w:rsidR="00C9752B" w:rsidRPr="00D71008" w14:paraId="435D3D91" w14:textId="77777777" w:rsidTr="00090A1B">
        <w:trPr>
          <w:trHeight w:val="290"/>
        </w:trPr>
        <w:tc>
          <w:tcPr>
            <w:tcW w:w="817" w:type="pct"/>
          </w:tcPr>
          <w:p w14:paraId="23AA6C58" w14:textId="77777777" w:rsidR="00C9752B" w:rsidRPr="00D71008" w:rsidRDefault="00C9752B" w:rsidP="00A20642">
            <w:pPr>
              <w:jc w:val="center"/>
              <w:rPr>
                <w:noProof/>
                <w:sz w:val="18"/>
                <w:szCs w:val="18"/>
                <w:lang w:eastAsia="en-GB"/>
              </w:rPr>
            </w:pPr>
            <w:r w:rsidRPr="00D71008">
              <w:rPr>
                <w:noProof/>
                <w:sz w:val="18"/>
                <w:szCs w:val="18"/>
                <w:lang w:eastAsia="en-GB"/>
              </w:rPr>
              <w:t>17</w:t>
            </w:r>
          </w:p>
        </w:tc>
        <w:tc>
          <w:tcPr>
            <w:tcW w:w="909" w:type="pct"/>
            <w:noWrap/>
            <w:hideMark/>
          </w:tcPr>
          <w:p w14:paraId="5C0B2909" w14:textId="1E5F7ABC" w:rsidR="00C9752B" w:rsidRPr="00D71008" w:rsidRDefault="00C9752B" w:rsidP="00A20642">
            <w:pPr>
              <w:jc w:val="center"/>
              <w:rPr>
                <w:noProof/>
                <w:sz w:val="18"/>
                <w:szCs w:val="18"/>
                <w:lang w:eastAsia="en-GB"/>
              </w:rPr>
            </w:pPr>
            <w:r w:rsidRPr="00D71008">
              <w:rPr>
                <w:noProof/>
                <w:sz w:val="18"/>
                <w:szCs w:val="18"/>
                <w:lang w:eastAsia="en-GB"/>
              </w:rPr>
              <w:t>Dubrovnik</w:t>
            </w:r>
          </w:p>
        </w:tc>
        <w:tc>
          <w:tcPr>
            <w:tcW w:w="817" w:type="pct"/>
            <w:noWrap/>
            <w:hideMark/>
          </w:tcPr>
          <w:p w14:paraId="33321989" w14:textId="6784FAD2" w:rsidR="00C9752B" w:rsidRPr="00D71008" w:rsidRDefault="00C9752B" w:rsidP="00A20642">
            <w:pPr>
              <w:jc w:val="center"/>
              <w:rPr>
                <w:noProof/>
                <w:sz w:val="18"/>
                <w:szCs w:val="18"/>
                <w:lang w:eastAsia="en-GB"/>
              </w:rPr>
            </w:pPr>
            <w:r w:rsidRPr="00D71008">
              <w:rPr>
                <w:noProof/>
                <w:sz w:val="18"/>
                <w:szCs w:val="18"/>
                <w:lang w:eastAsia="en-GB"/>
              </w:rPr>
              <w:t>Croatia</w:t>
            </w:r>
          </w:p>
        </w:tc>
        <w:tc>
          <w:tcPr>
            <w:tcW w:w="818" w:type="pct"/>
            <w:noWrap/>
            <w:hideMark/>
          </w:tcPr>
          <w:p w14:paraId="240A5963" w14:textId="0D651D35" w:rsidR="00C9752B" w:rsidRPr="00D71008" w:rsidRDefault="00C9752B" w:rsidP="00A20642">
            <w:pPr>
              <w:jc w:val="center"/>
              <w:rPr>
                <w:noProof/>
                <w:sz w:val="18"/>
                <w:szCs w:val="18"/>
                <w:lang w:eastAsia="en-GB"/>
              </w:rPr>
            </w:pPr>
            <w:r w:rsidRPr="00D71008">
              <w:rPr>
                <w:noProof/>
                <w:sz w:val="18"/>
                <w:szCs w:val="18"/>
                <w:lang w:eastAsia="en-GB"/>
              </w:rPr>
              <w:t>Split</w:t>
            </w:r>
          </w:p>
        </w:tc>
        <w:tc>
          <w:tcPr>
            <w:tcW w:w="818" w:type="pct"/>
            <w:noWrap/>
            <w:hideMark/>
          </w:tcPr>
          <w:p w14:paraId="3C1402C8" w14:textId="525113A3" w:rsidR="00C9752B" w:rsidRPr="00D71008" w:rsidRDefault="00C9752B" w:rsidP="00A20642">
            <w:pPr>
              <w:jc w:val="center"/>
              <w:rPr>
                <w:noProof/>
                <w:sz w:val="18"/>
                <w:szCs w:val="18"/>
                <w:lang w:eastAsia="en-GB"/>
              </w:rPr>
            </w:pPr>
            <w:r w:rsidRPr="00D71008">
              <w:rPr>
                <w:noProof/>
                <w:sz w:val="18"/>
                <w:szCs w:val="18"/>
                <w:lang w:eastAsia="en-GB"/>
              </w:rPr>
              <w:t>Croatia</w:t>
            </w:r>
          </w:p>
        </w:tc>
        <w:tc>
          <w:tcPr>
            <w:tcW w:w="821" w:type="pct"/>
          </w:tcPr>
          <w:p w14:paraId="66BB87FF" w14:textId="296B256A" w:rsidR="00C9752B" w:rsidRPr="00D71008" w:rsidRDefault="00C9752B" w:rsidP="00A20642">
            <w:pPr>
              <w:jc w:val="center"/>
              <w:rPr>
                <w:noProof/>
                <w:sz w:val="18"/>
                <w:szCs w:val="18"/>
                <w:lang w:eastAsia="en-GB"/>
              </w:rPr>
            </w:pPr>
            <w:r w:rsidRPr="00D71008">
              <w:rPr>
                <w:noProof/>
                <w:sz w:val="18"/>
                <w:szCs w:val="18"/>
                <w:lang w:eastAsia="en-GB"/>
              </w:rPr>
              <w:t>270 km</w:t>
            </w:r>
          </w:p>
        </w:tc>
      </w:tr>
      <w:tr w:rsidR="00C9752B" w:rsidRPr="00D71008" w14:paraId="4BED4C5F" w14:textId="77777777" w:rsidTr="00090A1B">
        <w:trPr>
          <w:trHeight w:val="290"/>
        </w:trPr>
        <w:tc>
          <w:tcPr>
            <w:tcW w:w="817" w:type="pct"/>
          </w:tcPr>
          <w:p w14:paraId="6B0FCE26" w14:textId="77777777" w:rsidR="00C9752B" w:rsidRPr="00D71008" w:rsidRDefault="00C9752B" w:rsidP="00A20642">
            <w:pPr>
              <w:jc w:val="center"/>
              <w:rPr>
                <w:noProof/>
                <w:sz w:val="18"/>
                <w:szCs w:val="18"/>
                <w:lang w:eastAsia="en-GB"/>
              </w:rPr>
            </w:pPr>
            <w:r w:rsidRPr="00D71008">
              <w:rPr>
                <w:noProof/>
                <w:sz w:val="18"/>
                <w:szCs w:val="18"/>
                <w:lang w:eastAsia="en-GB"/>
              </w:rPr>
              <w:t>18</w:t>
            </w:r>
          </w:p>
        </w:tc>
        <w:tc>
          <w:tcPr>
            <w:tcW w:w="909" w:type="pct"/>
            <w:noWrap/>
            <w:hideMark/>
          </w:tcPr>
          <w:p w14:paraId="586465EA" w14:textId="720ECA92" w:rsidR="00C9752B" w:rsidRPr="00D71008" w:rsidRDefault="00C9752B" w:rsidP="00A20642">
            <w:pPr>
              <w:jc w:val="center"/>
              <w:rPr>
                <w:noProof/>
                <w:sz w:val="18"/>
                <w:szCs w:val="18"/>
                <w:lang w:eastAsia="en-GB"/>
              </w:rPr>
            </w:pPr>
            <w:r w:rsidRPr="00D71008">
              <w:rPr>
                <w:noProof/>
                <w:sz w:val="18"/>
                <w:szCs w:val="18"/>
                <w:lang w:eastAsia="en-GB"/>
              </w:rPr>
              <w:t>Dublin</w:t>
            </w:r>
          </w:p>
        </w:tc>
        <w:tc>
          <w:tcPr>
            <w:tcW w:w="817" w:type="pct"/>
            <w:noWrap/>
            <w:hideMark/>
          </w:tcPr>
          <w:p w14:paraId="1EA6A13E" w14:textId="528A7768" w:rsidR="00C9752B" w:rsidRPr="00D71008" w:rsidRDefault="00C9752B" w:rsidP="00A20642">
            <w:pPr>
              <w:jc w:val="center"/>
              <w:rPr>
                <w:noProof/>
                <w:sz w:val="18"/>
                <w:szCs w:val="18"/>
                <w:lang w:eastAsia="en-GB"/>
              </w:rPr>
            </w:pPr>
            <w:r w:rsidRPr="00D71008">
              <w:rPr>
                <w:noProof/>
                <w:sz w:val="18"/>
                <w:szCs w:val="18"/>
                <w:lang w:eastAsia="en-GB"/>
              </w:rPr>
              <w:t>Ireland</w:t>
            </w:r>
          </w:p>
        </w:tc>
        <w:tc>
          <w:tcPr>
            <w:tcW w:w="818" w:type="pct"/>
            <w:noWrap/>
            <w:hideMark/>
          </w:tcPr>
          <w:p w14:paraId="79849C30" w14:textId="02035F38" w:rsidR="00C9752B" w:rsidRPr="00D71008" w:rsidRDefault="00C9752B" w:rsidP="00A20642">
            <w:pPr>
              <w:jc w:val="center"/>
              <w:rPr>
                <w:noProof/>
                <w:sz w:val="18"/>
                <w:szCs w:val="18"/>
                <w:lang w:eastAsia="en-GB"/>
              </w:rPr>
            </w:pPr>
            <w:r w:rsidRPr="00D71008">
              <w:rPr>
                <w:noProof/>
                <w:sz w:val="18"/>
                <w:szCs w:val="18"/>
                <w:lang w:eastAsia="en-GB"/>
              </w:rPr>
              <w:t>Drogheda</w:t>
            </w:r>
          </w:p>
        </w:tc>
        <w:tc>
          <w:tcPr>
            <w:tcW w:w="818" w:type="pct"/>
            <w:noWrap/>
            <w:hideMark/>
          </w:tcPr>
          <w:p w14:paraId="6F68E761" w14:textId="039E37C6" w:rsidR="00C9752B" w:rsidRPr="00D71008" w:rsidRDefault="00C9752B" w:rsidP="00A20642">
            <w:pPr>
              <w:jc w:val="center"/>
              <w:rPr>
                <w:noProof/>
                <w:sz w:val="18"/>
                <w:szCs w:val="18"/>
                <w:lang w:eastAsia="en-GB"/>
              </w:rPr>
            </w:pPr>
            <w:r w:rsidRPr="00D71008">
              <w:rPr>
                <w:noProof/>
                <w:sz w:val="18"/>
                <w:szCs w:val="18"/>
                <w:lang w:eastAsia="en-GB"/>
              </w:rPr>
              <w:t>Ireland</w:t>
            </w:r>
          </w:p>
        </w:tc>
        <w:tc>
          <w:tcPr>
            <w:tcW w:w="821" w:type="pct"/>
          </w:tcPr>
          <w:p w14:paraId="26815D84" w14:textId="709D6E67" w:rsidR="00C9752B" w:rsidRPr="00D71008" w:rsidRDefault="00C9752B" w:rsidP="00A20642">
            <w:pPr>
              <w:jc w:val="center"/>
              <w:rPr>
                <w:noProof/>
                <w:sz w:val="18"/>
                <w:szCs w:val="18"/>
                <w:lang w:eastAsia="en-GB"/>
              </w:rPr>
            </w:pPr>
            <w:r w:rsidRPr="00D71008">
              <w:rPr>
                <w:noProof/>
                <w:sz w:val="18"/>
                <w:szCs w:val="18"/>
                <w:lang w:eastAsia="en-GB"/>
              </w:rPr>
              <w:t>52.2 km</w:t>
            </w:r>
          </w:p>
        </w:tc>
      </w:tr>
      <w:tr w:rsidR="00C9752B" w:rsidRPr="00D71008" w14:paraId="3C9AF6AF" w14:textId="77777777" w:rsidTr="00090A1B">
        <w:trPr>
          <w:trHeight w:val="290"/>
        </w:trPr>
        <w:tc>
          <w:tcPr>
            <w:tcW w:w="817" w:type="pct"/>
          </w:tcPr>
          <w:p w14:paraId="6997B3EC" w14:textId="77777777" w:rsidR="00C9752B" w:rsidRPr="00D71008" w:rsidRDefault="00C9752B" w:rsidP="00A20642">
            <w:pPr>
              <w:jc w:val="center"/>
              <w:rPr>
                <w:noProof/>
                <w:sz w:val="18"/>
                <w:szCs w:val="18"/>
                <w:lang w:eastAsia="en-GB"/>
              </w:rPr>
            </w:pPr>
            <w:r w:rsidRPr="00D71008">
              <w:rPr>
                <w:noProof/>
                <w:sz w:val="18"/>
                <w:szCs w:val="18"/>
                <w:lang w:eastAsia="en-GB"/>
              </w:rPr>
              <w:t>19</w:t>
            </w:r>
          </w:p>
        </w:tc>
        <w:tc>
          <w:tcPr>
            <w:tcW w:w="909" w:type="pct"/>
            <w:noWrap/>
            <w:hideMark/>
          </w:tcPr>
          <w:p w14:paraId="7BDE55A6" w14:textId="61437EDB" w:rsidR="00C9752B" w:rsidRPr="00D71008" w:rsidRDefault="00C9752B" w:rsidP="00A20642">
            <w:pPr>
              <w:jc w:val="center"/>
              <w:rPr>
                <w:noProof/>
                <w:sz w:val="18"/>
                <w:szCs w:val="18"/>
                <w:lang w:eastAsia="en-GB"/>
              </w:rPr>
            </w:pPr>
            <w:r w:rsidRPr="00D71008">
              <w:rPr>
                <w:noProof/>
                <w:sz w:val="18"/>
                <w:szCs w:val="18"/>
                <w:lang w:eastAsia="en-GB"/>
              </w:rPr>
              <w:t>Riga</w:t>
            </w:r>
          </w:p>
        </w:tc>
        <w:tc>
          <w:tcPr>
            <w:tcW w:w="817" w:type="pct"/>
            <w:noWrap/>
            <w:hideMark/>
          </w:tcPr>
          <w:p w14:paraId="1B88B73F" w14:textId="7A0A1A54" w:rsidR="00C9752B" w:rsidRPr="00D71008" w:rsidRDefault="00C9752B" w:rsidP="00A20642">
            <w:pPr>
              <w:jc w:val="center"/>
              <w:rPr>
                <w:noProof/>
                <w:sz w:val="18"/>
                <w:szCs w:val="18"/>
                <w:lang w:eastAsia="en-GB"/>
              </w:rPr>
            </w:pPr>
            <w:r w:rsidRPr="00D71008">
              <w:rPr>
                <w:noProof/>
                <w:sz w:val="18"/>
                <w:szCs w:val="18"/>
                <w:lang w:eastAsia="en-GB"/>
              </w:rPr>
              <w:t>Latvia</w:t>
            </w:r>
          </w:p>
        </w:tc>
        <w:tc>
          <w:tcPr>
            <w:tcW w:w="818" w:type="pct"/>
            <w:noWrap/>
            <w:hideMark/>
          </w:tcPr>
          <w:p w14:paraId="66EA9BC4" w14:textId="6E7BF9B5" w:rsidR="00C9752B" w:rsidRPr="00D71008" w:rsidRDefault="00C9752B" w:rsidP="00A20642">
            <w:pPr>
              <w:jc w:val="center"/>
              <w:rPr>
                <w:noProof/>
                <w:sz w:val="18"/>
                <w:szCs w:val="18"/>
                <w:lang w:eastAsia="en-GB"/>
              </w:rPr>
            </w:pPr>
            <w:r w:rsidRPr="00D71008">
              <w:rPr>
                <w:noProof/>
                <w:sz w:val="18"/>
                <w:szCs w:val="18"/>
                <w:lang w:eastAsia="en-GB"/>
              </w:rPr>
              <w:t>Valmiera</w:t>
            </w:r>
          </w:p>
        </w:tc>
        <w:tc>
          <w:tcPr>
            <w:tcW w:w="818" w:type="pct"/>
            <w:noWrap/>
            <w:hideMark/>
          </w:tcPr>
          <w:p w14:paraId="51668AAA" w14:textId="77992EA2" w:rsidR="00C9752B" w:rsidRPr="00D71008" w:rsidRDefault="00C9752B" w:rsidP="00A20642">
            <w:pPr>
              <w:jc w:val="center"/>
              <w:rPr>
                <w:noProof/>
                <w:sz w:val="18"/>
                <w:szCs w:val="18"/>
                <w:lang w:eastAsia="en-GB"/>
              </w:rPr>
            </w:pPr>
            <w:r w:rsidRPr="00D71008">
              <w:rPr>
                <w:noProof/>
                <w:sz w:val="18"/>
                <w:szCs w:val="18"/>
                <w:lang w:eastAsia="en-GB"/>
              </w:rPr>
              <w:t>Latvia</w:t>
            </w:r>
          </w:p>
        </w:tc>
        <w:tc>
          <w:tcPr>
            <w:tcW w:w="821" w:type="pct"/>
          </w:tcPr>
          <w:p w14:paraId="65E27B24" w14:textId="4C6DE127" w:rsidR="00C9752B" w:rsidRPr="00D71008" w:rsidRDefault="00C9752B" w:rsidP="00A20642">
            <w:pPr>
              <w:jc w:val="center"/>
              <w:rPr>
                <w:noProof/>
                <w:sz w:val="18"/>
                <w:szCs w:val="18"/>
                <w:lang w:eastAsia="en-GB"/>
              </w:rPr>
            </w:pPr>
            <w:r w:rsidRPr="00D71008">
              <w:rPr>
                <w:noProof/>
                <w:sz w:val="18"/>
                <w:szCs w:val="18"/>
                <w:lang w:eastAsia="en-GB"/>
              </w:rPr>
              <w:t>117 km</w:t>
            </w:r>
          </w:p>
        </w:tc>
      </w:tr>
      <w:tr w:rsidR="00C9752B" w:rsidRPr="00D71008" w14:paraId="08BB3EB1" w14:textId="77777777" w:rsidTr="00090A1B">
        <w:trPr>
          <w:trHeight w:val="290"/>
        </w:trPr>
        <w:tc>
          <w:tcPr>
            <w:tcW w:w="817" w:type="pct"/>
          </w:tcPr>
          <w:p w14:paraId="1FF672EA" w14:textId="77777777" w:rsidR="00C9752B" w:rsidRPr="00D71008" w:rsidRDefault="00C9752B" w:rsidP="00A20642">
            <w:pPr>
              <w:jc w:val="center"/>
              <w:rPr>
                <w:noProof/>
                <w:sz w:val="18"/>
                <w:szCs w:val="18"/>
                <w:lang w:eastAsia="en-GB"/>
              </w:rPr>
            </w:pPr>
            <w:r w:rsidRPr="00D71008">
              <w:rPr>
                <w:noProof/>
                <w:sz w:val="18"/>
                <w:szCs w:val="18"/>
                <w:lang w:eastAsia="en-GB"/>
              </w:rPr>
              <w:t>20</w:t>
            </w:r>
          </w:p>
        </w:tc>
        <w:tc>
          <w:tcPr>
            <w:tcW w:w="909" w:type="pct"/>
            <w:noWrap/>
            <w:hideMark/>
          </w:tcPr>
          <w:p w14:paraId="4CA33E98" w14:textId="35E325B4" w:rsidR="00C9752B" w:rsidRPr="00D71008" w:rsidRDefault="00C9752B" w:rsidP="00A20642">
            <w:pPr>
              <w:jc w:val="center"/>
              <w:rPr>
                <w:noProof/>
                <w:sz w:val="18"/>
                <w:szCs w:val="18"/>
                <w:lang w:eastAsia="en-GB"/>
              </w:rPr>
            </w:pPr>
            <w:r w:rsidRPr="00D71008">
              <w:rPr>
                <w:noProof/>
                <w:sz w:val="18"/>
                <w:szCs w:val="18"/>
                <w:lang w:eastAsia="en-GB"/>
              </w:rPr>
              <w:t>Vilnius</w:t>
            </w:r>
          </w:p>
        </w:tc>
        <w:tc>
          <w:tcPr>
            <w:tcW w:w="817" w:type="pct"/>
            <w:noWrap/>
            <w:hideMark/>
          </w:tcPr>
          <w:p w14:paraId="2DA520EA" w14:textId="7DB0C6CD" w:rsidR="00C9752B" w:rsidRPr="00D71008" w:rsidRDefault="00C9752B" w:rsidP="00A20642">
            <w:pPr>
              <w:jc w:val="center"/>
              <w:rPr>
                <w:noProof/>
                <w:sz w:val="18"/>
                <w:szCs w:val="18"/>
                <w:lang w:eastAsia="en-GB"/>
              </w:rPr>
            </w:pPr>
            <w:r w:rsidRPr="00D71008">
              <w:rPr>
                <w:noProof/>
                <w:sz w:val="18"/>
                <w:szCs w:val="18"/>
                <w:lang w:eastAsia="en-GB"/>
              </w:rPr>
              <w:t>Lithuania</w:t>
            </w:r>
          </w:p>
        </w:tc>
        <w:tc>
          <w:tcPr>
            <w:tcW w:w="818" w:type="pct"/>
            <w:noWrap/>
            <w:hideMark/>
          </w:tcPr>
          <w:p w14:paraId="32EC86BA" w14:textId="639429B1" w:rsidR="00C9752B" w:rsidRPr="00D71008" w:rsidRDefault="00C9752B" w:rsidP="00A20642">
            <w:pPr>
              <w:jc w:val="center"/>
              <w:rPr>
                <w:noProof/>
                <w:sz w:val="18"/>
                <w:szCs w:val="18"/>
                <w:lang w:eastAsia="en-GB"/>
              </w:rPr>
            </w:pPr>
            <w:r w:rsidRPr="00D71008">
              <w:rPr>
                <w:noProof/>
                <w:sz w:val="18"/>
                <w:szCs w:val="18"/>
                <w:lang w:eastAsia="en-GB"/>
              </w:rPr>
              <w:t>Kaunas</w:t>
            </w:r>
          </w:p>
        </w:tc>
        <w:tc>
          <w:tcPr>
            <w:tcW w:w="818" w:type="pct"/>
            <w:noWrap/>
            <w:hideMark/>
          </w:tcPr>
          <w:p w14:paraId="36F95F9E" w14:textId="7E49C46C" w:rsidR="00C9752B" w:rsidRPr="00D71008" w:rsidRDefault="00C9752B" w:rsidP="00A20642">
            <w:pPr>
              <w:jc w:val="center"/>
              <w:rPr>
                <w:noProof/>
                <w:sz w:val="18"/>
                <w:szCs w:val="18"/>
                <w:lang w:eastAsia="en-GB"/>
              </w:rPr>
            </w:pPr>
            <w:r w:rsidRPr="00D71008">
              <w:rPr>
                <w:noProof/>
                <w:sz w:val="18"/>
                <w:szCs w:val="18"/>
                <w:lang w:eastAsia="en-GB"/>
              </w:rPr>
              <w:t>Lithuania</w:t>
            </w:r>
          </w:p>
        </w:tc>
        <w:tc>
          <w:tcPr>
            <w:tcW w:w="821" w:type="pct"/>
          </w:tcPr>
          <w:p w14:paraId="17D60645" w14:textId="2510FD43" w:rsidR="00C9752B" w:rsidRPr="00D71008" w:rsidRDefault="00C9752B" w:rsidP="00A20642">
            <w:pPr>
              <w:jc w:val="center"/>
              <w:rPr>
                <w:noProof/>
                <w:sz w:val="18"/>
                <w:szCs w:val="18"/>
                <w:lang w:eastAsia="en-GB"/>
              </w:rPr>
            </w:pPr>
            <w:r w:rsidRPr="00D71008">
              <w:rPr>
                <w:noProof/>
                <w:sz w:val="18"/>
                <w:szCs w:val="18"/>
                <w:lang w:eastAsia="en-GB"/>
              </w:rPr>
              <w:t>103 km</w:t>
            </w:r>
          </w:p>
        </w:tc>
      </w:tr>
      <w:tr w:rsidR="00C9752B" w:rsidRPr="00D71008" w14:paraId="22D57C0C" w14:textId="77777777" w:rsidTr="23484F07">
        <w:trPr>
          <w:trHeight w:val="290"/>
        </w:trPr>
        <w:tc>
          <w:tcPr>
            <w:tcW w:w="5000" w:type="pct"/>
            <w:gridSpan w:val="6"/>
            <w:shd w:val="clear" w:color="auto" w:fill="F79646" w:themeFill="accent6"/>
          </w:tcPr>
          <w:p w14:paraId="1260B391" w14:textId="77777777" w:rsidR="00C9752B" w:rsidRPr="00D71008" w:rsidRDefault="00C9752B" w:rsidP="00A20642">
            <w:pPr>
              <w:jc w:val="center"/>
              <w:rPr>
                <w:noProof/>
                <w:sz w:val="18"/>
                <w:szCs w:val="18"/>
                <w:lang w:eastAsia="en-GB"/>
              </w:rPr>
            </w:pPr>
            <w:r w:rsidRPr="00D71008">
              <w:rPr>
                <w:noProof/>
                <w:sz w:val="18"/>
                <w:szCs w:val="18"/>
                <w:lang w:eastAsia="en-GB"/>
              </w:rPr>
              <w:t>Cluster C</w:t>
            </w:r>
          </w:p>
        </w:tc>
      </w:tr>
      <w:tr w:rsidR="00C9752B" w:rsidRPr="00D71008" w14:paraId="675CCEE6" w14:textId="77777777" w:rsidTr="00090A1B">
        <w:trPr>
          <w:trHeight w:val="290"/>
        </w:trPr>
        <w:tc>
          <w:tcPr>
            <w:tcW w:w="817" w:type="pct"/>
          </w:tcPr>
          <w:p w14:paraId="73049EF0" w14:textId="77777777" w:rsidR="00C9752B" w:rsidRPr="00D71008" w:rsidRDefault="00C9752B" w:rsidP="00A20642">
            <w:pPr>
              <w:jc w:val="center"/>
              <w:rPr>
                <w:noProof/>
                <w:sz w:val="18"/>
                <w:szCs w:val="18"/>
                <w:lang w:eastAsia="en-GB"/>
              </w:rPr>
            </w:pPr>
            <w:r w:rsidRPr="00D71008">
              <w:rPr>
                <w:noProof/>
                <w:sz w:val="18"/>
                <w:szCs w:val="18"/>
                <w:lang w:eastAsia="en-GB"/>
              </w:rPr>
              <w:t>21</w:t>
            </w:r>
          </w:p>
        </w:tc>
        <w:tc>
          <w:tcPr>
            <w:tcW w:w="909" w:type="pct"/>
            <w:noWrap/>
            <w:hideMark/>
          </w:tcPr>
          <w:p w14:paraId="13526170" w14:textId="3CFDD62E" w:rsidR="00C9752B" w:rsidRPr="00D71008" w:rsidRDefault="00C9752B" w:rsidP="00A20642">
            <w:pPr>
              <w:jc w:val="center"/>
              <w:rPr>
                <w:noProof/>
                <w:sz w:val="18"/>
                <w:szCs w:val="18"/>
                <w:lang w:eastAsia="en-GB"/>
              </w:rPr>
            </w:pPr>
            <w:r w:rsidRPr="00D71008">
              <w:rPr>
                <w:noProof/>
                <w:sz w:val="18"/>
                <w:szCs w:val="18"/>
                <w:lang w:eastAsia="en-GB"/>
              </w:rPr>
              <w:t>Paris</w:t>
            </w:r>
          </w:p>
        </w:tc>
        <w:tc>
          <w:tcPr>
            <w:tcW w:w="817" w:type="pct"/>
            <w:noWrap/>
            <w:hideMark/>
          </w:tcPr>
          <w:p w14:paraId="5A70D017" w14:textId="550930AB" w:rsidR="00C9752B" w:rsidRPr="00D71008" w:rsidRDefault="00C9752B" w:rsidP="00A20642">
            <w:pPr>
              <w:jc w:val="center"/>
              <w:rPr>
                <w:noProof/>
                <w:sz w:val="18"/>
                <w:szCs w:val="18"/>
                <w:lang w:eastAsia="en-GB"/>
              </w:rPr>
            </w:pPr>
            <w:r w:rsidRPr="00D71008">
              <w:rPr>
                <w:noProof/>
                <w:sz w:val="18"/>
                <w:szCs w:val="18"/>
                <w:lang w:eastAsia="en-GB"/>
              </w:rPr>
              <w:t>France</w:t>
            </w:r>
          </w:p>
        </w:tc>
        <w:tc>
          <w:tcPr>
            <w:tcW w:w="818" w:type="pct"/>
            <w:noWrap/>
            <w:hideMark/>
          </w:tcPr>
          <w:p w14:paraId="34EBEA5B" w14:textId="0BC548A9" w:rsidR="00C9752B" w:rsidRPr="00D71008" w:rsidRDefault="00C9752B" w:rsidP="00A20642">
            <w:pPr>
              <w:jc w:val="center"/>
              <w:rPr>
                <w:noProof/>
                <w:sz w:val="18"/>
                <w:szCs w:val="18"/>
                <w:lang w:eastAsia="en-GB"/>
              </w:rPr>
            </w:pPr>
            <w:r w:rsidRPr="00D71008">
              <w:rPr>
                <w:noProof/>
                <w:sz w:val="18"/>
                <w:szCs w:val="18"/>
                <w:lang w:eastAsia="en-GB"/>
              </w:rPr>
              <w:t>Madrid</w:t>
            </w:r>
          </w:p>
        </w:tc>
        <w:tc>
          <w:tcPr>
            <w:tcW w:w="818" w:type="pct"/>
            <w:noWrap/>
            <w:hideMark/>
          </w:tcPr>
          <w:p w14:paraId="598A8364" w14:textId="3C038F40" w:rsidR="00C9752B" w:rsidRPr="00D71008" w:rsidRDefault="00C9752B" w:rsidP="00A20642">
            <w:pPr>
              <w:jc w:val="center"/>
              <w:rPr>
                <w:noProof/>
                <w:sz w:val="18"/>
                <w:szCs w:val="18"/>
                <w:lang w:eastAsia="en-GB"/>
              </w:rPr>
            </w:pPr>
            <w:r w:rsidRPr="00D71008">
              <w:rPr>
                <w:noProof/>
                <w:sz w:val="18"/>
                <w:szCs w:val="18"/>
                <w:lang w:eastAsia="en-GB"/>
              </w:rPr>
              <w:t>Spain</w:t>
            </w:r>
          </w:p>
        </w:tc>
        <w:tc>
          <w:tcPr>
            <w:tcW w:w="821" w:type="pct"/>
          </w:tcPr>
          <w:p w14:paraId="31DF8778" w14:textId="34CC3584" w:rsidR="00C9752B" w:rsidRPr="00D71008" w:rsidRDefault="00C9752B" w:rsidP="00A20642">
            <w:pPr>
              <w:jc w:val="center"/>
              <w:rPr>
                <w:noProof/>
                <w:sz w:val="18"/>
                <w:szCs w:val="18"/>
                <w:lang w:eastAsia="en-GB"/>
              </w:rPr>
            </w:pPr>
            <w:r w:rsidRPr="00D71008">
              <w:rPr>
                <w:noProof/>
                <w:sz w:val="18"/>
                <w:szCs w:val="18"/>
                <w:lang w:eastAsia="en-GB"/>
              </w:rPr>
              <w:t>1,731 km</w:t>
            </w:r>
          </w:p>
        </w:tc>
      </w:tr>
      <w:tr w:rsidR="00C9752B" w:rsidRPr="00D71008" w14:paraId="66A07EBE" w14:textId="77777777" w:rsidTr="00090A1B">
        <w:trPr>
          <w:trHeight w:val="290"/>
        </w:trPr>
        <w:tc>
          <w:tcPr>
            <w:tcW w:w="817" w:type="pct"/>
          </w:tcPr>
          <w:p w14:paraId="6E7A3241" w14:textId="77777777" w:rsidR="00C9752B" w:rsidRPr="00D71008" w:rsidRDefault="00C9752B" w:rsidP="00A20642">
            <w:pPr>
              <w:jc w:val="center"/>
              <w:rPr>
                <w:noProof/>
                <w:sz w:val="18"/>
                <w:szCs w:val="18"/>
                <w:lang w:eastAsia="en-GB"/>
              </w:rPr>
            </w:pPr>
            <w:r w:rsidRPr="00D71008">
              <w:rPr>
                <w:noProof/>
                <w:sz w:val="18"/>
                <w:szCs w:val="18"/>
                <w:lang w:eastAsia="en-GB"/>
              </w:rPr>
              <w:t>22</w:t>
            </w:r>
          </w:p>
        </w:tc>
        <w:tc>
          <w:tcPr>
            <w:tcW w:w="909" w:type="pct"/>
            <w:noWrap/>
            <w:hideMark/>
          </w:tcPr>
          <w:p w14:paraId="60E6EC9C" w14:textId="0D6B7990" w:rsidR="00C9752B" w:rsidRPr="00D71008" w:rsidRDefault="00C9752B" w:rsidP="00A20642">
            <w:pPr>
              <w:jc w:val="center"/>
              <w:rPr>
                <w:noProof/>
                <w:sz w:val="18"/>
                <w:szCs w:val="18"/>
                <w:lang w:eastAsia="en-GB"/>
              </w:rPr>
            </w:pPr>
            <w:r w:rsidRPr="00D71008">
              <w:rPr>
                <w:noProof/>
                <w:sz w:val="18"/>
                <w:szCs w:val="18"/>
                <w:lang w:eastAsia="en-GB"/>
              </w:rPr>
              <w:t>Palma</w:t>
            </w:r>
          </w:p>
        </w:tc>
        <w:tc>
          <w:tcPr>
            <w:tcW w:w="817" w:type="pct"/>
            <w:noWrap/>
            <w:hideMark/>
          </w:tcPr>
          <w:p w14:paraId="16100666" w14:textId="37DF8C09" w:rsidR="00C9752B" w:rsidRPr="00D71008" w:rsidRDefault="00C9752B" w:rsidP="00A20642">
            <w:pPr>
              <w:jc w:val="center"/>
              <w:rPr>
                <w:noProof/>
                <w:sz w:val="18"/>
                <w:szCs w:val="18"/>
                <w:lang w:eastAsia="en-GB"/>
              </w:rPr>
            </w:pPr>
            <w:r w:rsidRPr="00D71008">
              <w:rPr>
                <w:noProof/>
                <w:sz w:val="18"/>
                <w:szCs w:val="18"/>
                <w:lang w:eastAsia="en-GB"/>
              </w:rPr>
              <w:t>Spain</w:t>
            </w:r>
          </w:p>
        </w:tc>
        <w:tc>
          <w:tcPr>
            <w:tcW w:w="818" w:type="pct"/>
            <w:noWrap/>
            <w:hideMark/>
          </w:tcPr>
          <w:p w14:paraId="7FD235D7" w14:textId="66E8FFA3" w:rsidR="00C9752B" w:rsidRPr="00D71008" w:rsidRDefault="00C9752B" w:rsidP="00A20642">
            <w:pPr>
              <w:jc w:val="center"/>
              <w:rPr>
                <w:noProof/>
                <w:sz w:val="18"/>
                <w:szCs w:val="18"/>
                <w:lang w:eastAsia="en-GB"/>
              </w:rPr>
            </w:pPr>
            <w:r w:rsidRPr="00D71008">
              <w:rPr>
                <w:noProof/>
                <w:sz w:val="18"/>
                <w:szCs w:val="18"/>
                <w:lang w:eastAsia="en-GB"/>
              </w:rPr>
              <w:t>Düsseldorf</w:t>
            </w:r>
          </w:p>
        </w:tc>
        <w:tc>
          <w:tcPr>
            <w:tcW w:w="818" w:type="pct"/>
            <w:noWrap/>
            <w:hideMark/>
          </w:tcPr>
          <w:p w14:paraId="3E68818D" w14:textId="1406195D"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21" w:type="pct"/>
          </w:tcPr>
          <w:p w14:paraId="4A3ECF38" w14:textId="477CBC4A" w:rsidR="00C9752B" w:rsidRPr="00D71008" w:rsidRDefault="00C9752B" w:rsidP="00A20642">
            <w:pPr>
              <w:jc w:val="center"/>
              <w:rPr>
                <w:noProof/>
                <w:sz w:val="18"/>
                <w:szCs w:val="18"/>
                <w:lang w:eastAsia="en-GB"/>
              </w:rPr>
            </w:pPr>
            <w:r w:rsidRPr="00D71008">
              <w:rPr>
                <w:noProof/>
                <w:sz w:val="18"/>
                <w:szCs w:val="18"/>
                <w:lang w:eastAsia="en-GB"/>
              </w:rPr>
              <w:t>1,814 km</w:t>
            </w:r>
          </w:p>
        </w:tc>
      </w:tr>
      <w:tr w:rsidR="00C9752B" w:rsidRPr="00D71008" w14:paraId="7C0EB2A3" w14:textId="77777777" w:rsidTr="00090A1B">
        <w:trPr>
          <w:trHeight w:val="290"/>
        </w:trPr>
        <w:tc>
          <w:tcPr>
            <w:tcW w:w="817" w:type="pct"/>
          </w:tcPr>
          <w:p w14:paraId="362B3257" w14:textId="77777777" w:rsidR="00C9752B" w:rsidRPr="00D71008" w:rsidRDefault="00C9752B" w:rsidP="00A20642">
            <w:pPr>
              <w:jc w:val="center"/>
              <w:rPr>
                <w:noProof/>
                <w:sz w:val="18"/>
                <w:szCs w:val="18"/>
                <w:lang w:eastAsia="en-GB"/>
              </w:rPr>
            </w:pPr>
            <w:r w:rsidRPr="00D71008">
              <w:rPr>
                <w:noProof/>
                <w:sz w:val="18"/>
                <w:szCs w:val="18"/>
                <w:lang w:eastAsia="en-GB"/>
              </w:rPr>
              <w:t>23</w:t>
            </w:r>
          </w:p>
        </w:tc>
        <w:tc>
          <w:tcPr>
            <w:tcW w:w="909" w:type="pct"/>
            <w:noWrap/>
            <w:hideMark/>
          </w:tcPr>
          <w:p w14:paraId="3236FBFD" w14:textId="7B6D1FEE" w:rsidR="00C9752B" w:rsidRPr="00D71008" w:rsidRDefault="00C9752B" w:rsidP="00A20642">
            <w:pPr>
              <w:jc w:val="center"/>
              <w:rPr>
                <w:noProof/>
                <w:sz w:val="18"/>
                <w:szCs w:val="18"/>
                <w:lang w:eastAsia="en-GB"/>
              </w:rPr>
            </w:pPr>
            <w:r w:rsidRPr="00D71008">
              <w:rPr>
                <w:noProof/>
                <w:sz w:val="18"/>
                <w:szCs w:val="18"/>
                <w:lang w:eastAsia="en-GB"/>
              </w:rPr>
              <w:t>Rome</w:t>
            </w:r>
          </w:p>
        </w:tc>
        <w:tc>
          <w:tcPr>
            <w:tcW w:w="817" w:type="pct"/>
            <w:noWrap/>
            <w:hideMark/>
          </w:tcPr>
          <w:p w14:paraId="026DDE39" w14:textId="4BCC0518" w:rsidR="00C9752B" w:rsidRPr="00D71008" w:rsidRDefault="00C9752B" w:rsidP="00A20642">
            <w:pPr>
              <w:jc w:val="center"/>
              <w:rPr>
                <w:noProof/>
                <w:sz w:val="18"/>
                <w:szCs w:val="18"/>
                <w:lang w:eastAsia="en-GB"/>
              </w:rPr>
            </w:pPr>
            <w:r w:rsidRPr="00D71008">
              <w:rPr>
                <w:noProof/>
                <w:sz w:val="18"/>
                <w:szCs w:val="18"/>
                <w:lang w:eastAsia="en-GB"/>
              </w:rPr>
              <w:t>Italy</w:t>
            </w:r>
          </w:p>
        </w:tc>
        <w:tc>
          <w:tcPr>
            <w:tcW w:w="818" w:type="pct"/>
            <w:noWrap/>
            <w:hideMark/>
          </w:tcPr>
          <w:p w14:paraId="4BF2E4DB" w14:textId="404A26B7" w:rsidR="00C9752B" w:rsidRPr="00D71008" w:rsidRDefault="00C9752B" w:rsidP="00A20642">
            <w:pPr>
              <w:jc w:val="center"/>
              <w:rPr>
                <w:noProof/>
                <w:sz w:val="18"/>
                <w:szCs w:val="18"/>
                <w:lang w:eastAsia="en-GB"/>
              </w:rPr>
            </w:pPr>
            <w:r w:rsidRPr="00D71008">
              <w:rPr>
                <w:noProof/>
                <w:sz w:val="18"/>
                <w:szCs w:val="18"/>
                <w:lang w:eastAsia="en-GB"/>
              </w:rPr>
              <w:t>Barcelona</w:t>
            </w:r>
          </w:p>
        </w:tc>
        <w:tc>
          <w:tcPr>
            <w:tcW w:w="818" w:type="pct"/>
            <w:noWrap/>
            <w:hideMark/>
          </w:tcPr>
          <w:p w14:paraId="40428F96" w14:textId="041CAE35" w:rsidR="00C9752B" w:rsidRPr="00D71008" w:rsidRDefault="00C9752B" w:rsidP="00A20642">
            <w:pPr>
              <w:jc w:val="center"/>
              <w:rPr>
                <w:noProof/>
                <w:sz w:val="18"/>
                <w:szCs w:val="18"/>
                <w:lang w:eastAsia="en-GB"/>
              </w:rPr>
            </w:pPr>
            <w:r w:rsidRPr="00D71008">
              <w:rPr>
                <w:noProof/>
                <w:sz w:val="18"/>
                <w:szCs w:val="18"/>
                <w:lang w:eastAsia="en-GB"/>
              </w:rPr>
              <w:t>Spain</w:t>
            </w:r>
          </w:p>
        </w:tc>
        <w:tc>
          <w:tcPr>
            <w:tcW w:w="821" w:type="pct"/>
          </w:tcPr>
          <w:p w14:paraId="548B38CB" w14:textId="3C53FA16" w:rsidR="00C9752B" w:rsidRPr="00D71008" w:rsidRDefault="00C9752B" w:rsidP="00A20642">
            <w:pPr>
              <w:jc w:val="center"/>
              <w:rPr>
                <w:noProof/>
                <w:sz w:val="18"/>
                <w:szCs w:val="18"/>
                <w:lang w:eastAsia="en-GB"/>
              </w:rPr>
            </w:pPr>
            <w:r w:rsidRPr="00D71008">
              <w:rPr>
                <w:noProof/>
                <w:sz w:val="18"/>
                <w:szCs w:val="18"/>
                <w:lang w:eastAsia="en-GB"/>
              </w:rPr>
              <w:t>1,536 km</w:t>
            </w:r>
          </w:p>
        </w:tc>
      </w:tr>
      <w:tr w:rsidR="00C9752B" w:rsidRPr="00D71008" w14:paraId="075F7703" w14:textId="77777777" w:rsidTr="00090A1B">
        <w:trPr>
          <w:trHeight w:val="290"/>
        </w:trPr>
        <w:tc>
          <w:tcPr>
            <w:tcW w:w="817" w:type="pct"/>
          </w:tcPr>
          <w:p w14:paraId="5AE810D2" w14:textId="77777777" w:rsidR="00C9752B" w:rsidRPr="00D71008" w:rsidRDefault="00C9752B" w:rsidP="00A20642">
            <w:pPr>
              <w:jc w:val="center"/>
              <w:rPr>
                <w:noProof/>
                <w:sz w:val="18"/>
                <w:szCs w:val="18"/>
                <w:lang w:eastAsia="en-GB"/>
              </w:rPr>
            </w:pPr>
            <w:r w:rsidRPr="00D71008">
              <w:rPr>
                <w:noProof/>
                <w:sz w:val="18"/>
                <w:szCs w:val="18"/>
                <w:lang w:eastAsia="en-GB"/>
              </w:rPr>
              <w:t>24</w:t>
            </w:r>
          </w:p>
        </w:tc>
        <w:tc>
          <w:tcPr>
            <w:tcW w:w="909" w:type="pct"/>
            <w:noWrap/>
            <w:hideMark/>
          </w:tcPr>
          <w:p w14:paraId="13DA4100" w14:textId="39993196" w:rsidR="00C9752B" w:rsidRPr="00D71008" w:rsidRDefault="00C9752B" w:rsidP="00A20642">
            <w:pPr>
              <w:jc w:val="center"/>
              <w:rPr>
                <w:noProof/>
                <w:sz w:val="18"/>
                <w:szCs w:val="18"/>
                <w:lang w:eastAsia="en-GB"/>
              </w:rPr>
            </w:pPr>
            <w:r w:rsidRPr="00D71008">
              <w:rPr>
                <w:noProof/>
                <w:sz w:val="18"/>
                <w:szCs w:val="18"/>
                <w:lang w:eastAsia="en-GB"/>
              </w:rPr>
              <w:t>Budapest</w:t>
            </w:r>
          </w:p>
        </w:tc>
        <w:tc>
          <w:tcPr>
            <w:tcW w:w="817" w:type="pct"/>
            <w:noWrap/>
            <w:hideMark/>
          </w:tcPr>
          <w:p w14:paraId="36FC6861" w14:textId="14A824E7" w:rsidR="00C9752B" w:rsidRPr="00D71008" w:rsidRDefault="00C9752B" w:rsidP="00A20642">
            <w:pPr>
              <w:jc w:val="center"/>
              <w:rPr>
                <w:noProof/>
                <w:sz w:val="18"/>
                <w:szCs w:val="18"/>
                <w:lang w:eastAsia="en-GB"/>
              </w:rPr>
            </w:pPr>
            <w:r w:rsidRPr="00D71008">
              <w:rPr>
                <w:noProof/>
                <w:sz w:val="18"/>
                <w:szCs w:val="18"/>
                <w:lang w:eastAsia="en-GB"/>
              </w:rPr>
              <w:t>Hungary</w:t>
            </w:r>
          </w:p>
        </w:tc>
        <w:tc>
          <w:tcPr>
            <w:tcW w:w="818" w:type="pct"/>
            <w:noWrap/>
            <w:hideMark/>
          </w:tcPr>
          <w:p w14:paraId="0C3D20BE" w14:textId="3829E285" w:rsidR="00C9752B" w:rsidRPr="00D71008" w:rsidRDefault="00C9752B" w:rsidP="00A20642">
            <w:pPr>
              <w:jc w:val="center"/>
              <w:rPr>
                <w:noProof/>
                <w:sz w:val="18"/>
                <w:szCs w:val="18"/>
                <w:lang w:eastAsia="en-GB"/>
              </w:rPr>
            </w:pPr>
            <w:r w:rsidRPr="00D71008">
              <w:rPr>
                <w:noProof/>
                <w:sz w:val="18"/>
                <w:szCs w:val="18"/>
                <w:lang w:eastAsia="en-GB"/>
              </w:rPr>
              <w:t>Madrid</w:t>
            </w:r>
          </w:p>
        </w:tc>
        <w:tc>
          <w:tcPr>
            <w:tcW w:w="818" w:type="pct"/>
            <w:noWrap/>
            <w:hideMark/>
          </w:tcPr>
          <w:p w14:paraId="201DC1C9" w14:textId="74400308" w:rsidR="00C9752B" w:rsidRPr="00D71008" w:rsidRDefault="00C9752B" w:rsidP="00A20642">
            <w:pPr>
              <w:jc w:val="center"/>
              <w:rPr>
                <w:noProof/>
                <w:sz w:val="18"/>
                <w:szCs w:val="18"/>
                <w:lang w:eastAsia="en-GB"/>
              </w:rPr>
            </w:pPr>
            <w:r w:rsidRPr="00D71008">
              <w:rPr>
                <w:noProof/>
                <w:sz w:val="18"/>
                <w:szCs w:val="18"/>
                <w:lang w:eastAsia="en-GB"/>
              </w:rPr>
              <w:t>Spain</w:t>
            </w:r>
          </w:p>
        </w:tc>
        <w:tc>
          <w:tcPr>
            <w:tcW w:w="821" w:type="pct"/>
          </w:tcPr>
          <w:p w14:paraId="30A00EAB" w14:textId="4E0BBF86" w:rsidR="00C9752B" w:rsidRPr="00D71008" w:rsidRDefault="00C9752B" w:rsidP="00A20642">
            <w:pPr>
              <w:jc w:val="center"/>
              <w:rPr>
                <w:noProof/>
                <w:sz w:val="18"/>
                <w:szCs w:val="18"/>
                <w:lang w:eastAsia="en-GB"/>
              </w:rPr>
            </w:pPr>
            <w:r w:rsidRPr="00D71008">
              <w:rPr>
                <w:noProof/>
                <w:sz w:val="18"/>
                <w:szCs w:val="18"/>
                <w:lang w:eastAsia="en-GB"/>
              </w:rPr>
              <w:t>3,065 km</w:t>
            </w:r>
          </w:p>
        </w:tc>
      </w:tr>
      <w:tr w:rsidR="00C9752B" w:rsidRPr="00D71008" w14:paraId="331C5E65" w14:textId="77777777" w:rsidTr="00090A1B">
        <w:trPr>
          <w:trHeight w:val="290"/>
        </w:trPr>
        <w:tc>
          <w:tcPr>
            <w:tcW w:w="817" w:type="pct"/>
          </w:tcPr>
          <w:p w14:paraId="74656D1A" w14:textId="77777777" w:rsidR="00C9752B" w:rsidRPr="00D71008" w:rsidRDefault="00C9752B" w:rsidP="00A20642">
            <w:pPr>
              <w:jc w:val="center"/>
              <w:rPr>
                <w:noProof/>
                <w:sz w:val="18"/>
                <w:szCs w:val="18"/>
                <w:lang w:eastAsia="en-GB"/>
              </w:rPr>
            </w:pPr>
            <w:r w:rsidRPr="00D71008">
              <w:rPr>
                <w:noProof/>
                <w:sz w:val="18"/>
                <w:szCs w:val="18"/>
                <w:lang w:eastAsia="en-GB"/>
              </w:rPr>
              <w:t>25</w:t>
            </w:r>
          </w:p>
        </w:tc>
        <w:tc>
          <w:tcPr>
            <w:tcW w:w="909" w:type="pct"/>
            <w:noWrap/>
            <w:hideMark/>
          </w:tcPr>
          <w:p w14:paraId="7217756E" w14:textId="502DEFE4" w:rsidR="00C9752B" w:rsidRPr="00D71008" w:rsidRDefault="00C9752B" w:rsidP="00A20642">
            <w:pPr>
              <w:jc w:val="center"/>
              <w:rPr>
                <w:noProof/>
                <w:sz w:val="18"/>
                <w:szCs w:val="18"/>
                <w:lang w:eastAsia="en-GB"/>
              </w:rPr>
            </w:pPr>
            <w:r w:rsidRPr="00D71008">
              <w:rPr>
                <w:noProof/>
                <w:sz w:val="18"/>
                <w:szCs w:val="18"/>
                <w:lang w:eastAsia="en-GB"/>
              </w:rPr>
              <w:t>Tallinn</w:t>
            </w:r>
          </w:p>
        </w:tc>
        <w:tc>
          <w:tcPr>
            <w:tcW w:w="817" w:type="pct"/>
            <w:noWrap/>
            <w:hideMark/>
          </w:tcPr>
          <w:p w14:paraId="0900E7E3" w14:textId="234B38D3" w:rsidR="00C9752B" w:rsidRPr="00D71008" w:rsidRDefault="00C9752B" w:rsidP="00A20642">
            <w:pPr>
              <w:jc w:val="center"/>
              <w:rPr>
                <w:noProof/>
                <w:sz w:val="18"/>
                <w:szCs w:val="18"/>
                <w:lang w:eastAsia="en-GB"/>
              </w:rPr>
            </w:pPr>
            <w:r w:rsidRPr="00D71008">
              <w:rPr>
                <w:noProof/>
                <w:sz w:val="18"/>
                <w:szCs w:val="18"/>
                <w:lang w:eastAsia="en-GB"/>
              </w:rPr>
              <w:t>Estonia</w:t>
            </w:r>
          </w:p>
        </w:tc>
        <w:tc>
          <w:tcPr>
            <w:tcW w:w="818" w:type="pct"/>
            <w:noWrap/>
            <w:hideMark/>
          </w:tcPr>
          <w:p w14:paraId="02CCAABD" w14:textId="149EE716" w:rsidR="00C9752B" w:rsidRPr="00D71008" w:rsidRDefault="00C9752B" w:rsidP="00A20642">
            <w:pPr>
              <w:jc w:val="center"/>
              <w:rPr>
                <w:noProof/>
                <w:sz w:val="18"/>
                <w:szCs w:val="18"/>
                <w:lang w:eastAsia="en-GB"/>
              </w:rPr>
            </w:pPr>
            <w:r w:rsidRPr="00D71008">
              <w:rPr>
                <w:noProof/>
                <w:sz w:val="18"/>
                <w:szCs w:val="18"/>
                <w:lang w:eastAsia="en-GB"/>
              </w:rPr>
              <w:t>Helsinki</w:t>
            </w:r>
          </w:p>
        </w:tc>
        <w:tc>
          <w:tcPr>
            <w:tcW w:w="818" w:type="pct"/>
            <w:noWrap/>
            <w:hideMark/>
          </w:tcPr>
          <w:p w14:paraId="00BEBBC7" w14:textId="2B10E404" w:rsidR="00C9752B" w:rsidRPr="00D71008" w:rsidRDefault="00C9752B" w:rsidP="00A20642">
            <w:pPr>
              <w:jc w:val="center"/>
              <w:rPr>
                <w:noProof/>
                <w:sz w:val="18"/>
                <w:szCs w:val="18"/>
                <w:lang w:eastAsia="en-GB"/>
              </w:rPr>
            </w:pPr>
            <w:r w:rsidRPr="00D71008">
              <w:rPr>
                <w:noProof/>
                <w:sz w:val="18"/>
                <w:szCs w:val="18"/>
                <w:lang w:eastAsia="en-GB"/>
              </w:rPr>
              <w:t>Finland</w:t>
            </w:r>
          </w:p>
        </w:tc>
        <w:tc>
          <w:tcPr>
            <w:tcW w:w="821" w:type="pct"/>
          </w:tcPr>
          <w:p w14:paraId="30366DBB" w14:textId="5095D195" w:rsidR="00C9752B" w:rsidRPr="00D71008" w:rsidRDefault="00C9752B" w:rsidP="00A20642">
            <w:pPr>
              <w:jc w:val="center"/>
              <w:rPr>
                <w:noProof/>
                <w:sz w:val="18"/>
                <w:szCs w:val="18"/>
                <w:lang w:eastAsia="en-GB"/>
              </w:rPr>
            </w:pPr>
            <w:r w:rsidRPr="00D71008">
              <w:rPr>
                <w:noProof/>
                <w:sz w:val="18"/>
                <w:szCs w:val="18"/>
                <w:lang w:eastAsia="en-GB"/>
              </w:rPr>
              <w:t>85.9 km</w:t>
            </w:r>
          </w:p>
        </w:tc>
      </w:tr>
      <w:tr w:rsidR="00C9752B" w:rsidRPr="00D71008" w14:paraId="33F6E87D" w14:textId="77777777" w:rsidTr="00090A1B">
        <w:trPr>
          <w:trHeight w:val="290"/>
        </w:trPr>
        <w:tc>
          <w:tcPr>
            <w:tcW w:w="817" w:type="pct"/>
          </w:tcPr>
          <w:p w14:paraId="625E099D" w14:textId="77777777" w:rsidR="00C9752B" w:rsidRPr="00D71008" w:rsidRDefault="00C9752B" w:rsidP="00A20642">
            <w:pPr>
              <w:jc w:val="center"/>
              <w:rPr>
                <w:noProof/>
                <w:sz w:val="18"/>
                <w:szCs w:val="18"/>
                <w:lang w:eastAsia="en-GB"/>
              </w:rPr>
            </w:pPr>
            <w:r w:rsidRPr="00D71008">
              <w:rPr>
                <w:noProof/>
                <w:sz w:val="18"/>
                <w:szCs w:val="18"/>
                <w:lang w:eastAsia="en-GB"/>
              </w:rPr>
              <w:t>26</w:t>
            </w:r>
          </w:p>
        </w:tc>
        <w:tc>
          <w:tcPr>
            <w:tcW w:w="909" w:type="pct"/>
            <w:noWrap/>
            <w:hideMark/>
          </w:tcPr>
          <w:p w14:paraId="4CA3C814" w14:textId="034CE2F6" w:rsidR="00C9752B" w:rsidRPr="00D71008" w:rsidRDefault="00C9752B" w:rsidP="00A20642">
            <w:pPr>
              <w:jc w:val="center"/>
              <w:rPr>
                <w:noProof/>
                <w:sz w:val="18"/>
                <w:szCs w:val="18"/>
                <w:lang w:eastAsia="en-GB"/>
              </w:rPr>
            </w:pPr>
            <w:r w:rsidRPr="00D71008">
              <w:rPr>
                <w:noProof/>
                <w:sz w:val="18"/>
                <w:szCs w:val="18"/>
                <w:lang w:eastAsia="en-GB"/>
              </w:rPr>
              <w:t>Helsinki</w:t>
            </w:r>
          </w:p>
        </w:tc>
        <w:tc>
          <w:tcPr>
            <w:tcW w:w="817" w:type="pct"/>
            <w:noWrap/>
            <w:hideMark/>
          </w:tcPr>
          <w:p w14:paraId="423F88F9" w14:textId="52413590" w:rsidR="00C9752B" w:rsidRPr="00D71008" w:rsidRDefault="00C9752B" w:rsidP="00A20642">
            <w:pPr>
              <w:jc w:val="center"/>
              <w:rPr>
                <w:noProof/>
                <w:sz w:val="18"/>
                <w:szCs w:val="18"/>
                <w:lang w:eastAsia="en-GB"/>
              </w:rPr>
            </w:pPr>
            <w:r w:rsidRPr="00D71008">
              <w:rPr>
                <w:noProof/>
                <w:sz w:val="18"/>
                <w:szCs w:val="18"/>
                <w:lang w:eastAsia="en-GB"/>
              </w:rPr>
              <w:t>Finland</w:t>
            </w:r>
          </w:p>
        </w:tc>
        <w:tc>
          <w:tcPr>
            <w:tcW w:w="818" w:type="pct"/>
            <w:noWrap/>
            <w:hideMark/>
          </w:tcPr>
          <w:p w14:paraId="1A768CE7" w14:textId="565C06ED" w:rsidR="00C9752B" w:rsidRPr="00D71008" w:rsidRDefault="00C9752B" w:rsidP="00A20642">
            <w:pPr>
              <w:jc w:val="center"/>
              <w:rPr>
                <w:noProof/>
                <w:sz w:val="18"/>
                <w:szCs w:val="18"/>
                <w:lang w:eastAsia="en-GB"/>
              </w:rPr>
            </w:pPr>
            <w:r w:rsidRPr="00D71008">
              <w:rPr>
                <w:noProof/>
                <w:sz w:val="18"/>
                <w:szCs w:val="18"/>
                <w:lang w:eastAsia="en-GB"/>
              </w:rPr>
              <w:t>Stockholm</w:t>
            </w:r>
          </w:p>
        </w:tc>
        <w:tc>
          <w:tcPr>
            <w:tcW w:w="818" w:type="pct"/>
            <w:noWrap/>
            <w:hideMark/>
          </w:tcPr>
          <w:p w14:paraId="51084898" w14:textId="645BAF8B" w:rsidR="00C9752B" w:rsidRPr="00D71008" w:rsidRDefault="00C9752B" w:rsidP="00A20642">
            <w:pPr>
              <w:jc w:val="center"/>
              <w:rPr>
                <w:noProof/>
                <w:sz w:val="18"/>
                <w:szCs w:val="18"/>
                <w:lang w:eastAsia="en-GB"/>
              </w:rPr>
            </w:pPr>
            <w:r w:rsidRPr="00D71008">
              <w:rPr>
                <w:noProof/>
                <w:sz w:val="18"/>
                <w:szCs w:val="18"/>
                <w:lang w:eastAsia="en-GB"/>
              </w:rPr>
              <w:t>Sweden</w:t>
            </w:r>
          </w:p>
        </w:tc>
        <w:tc>
          <w:tcPr>
            <w:tcW w:w="821" w:type="pct"/>
          </w:tcPr>
          <w:p w14:paraId="45D5BE6B" w14:textId="07E85D69" w:rsidR="00C9752B" w:rsidRPr="00D71008" w:rsidRDefault="00C9752B" w:rsidP="00A20642">
            <w:pPr>
              <w:jc w:val="center"/>
              <w:rPr>
                <w:noProof/>
                <w:sz w:val="18"/>
                <w:szCs w:val="18"/>
                <w:lang w:eastAsia="en-GB"/>
              </w:rPr>
            </w:pPr>
            <w:r w:rsidRPr="00D71008">
              <w:rPr>
                <w:noProof/>
                <w:sz w:val="18"/>
                <w:szCs w:val="18"/>
                <w:lang w:eastAsia="en-GB"/>
              </w:rPr>
              <w:t>488 km</w:t>
            </w:r>
          </w:p>
        </w:tc>
      </w:tr>
      <w:tr w:rsidR="00C9752B" w:rsidRPr="00D71008" w14:paraId="6ED26790" w14:textId="77777777" w:rsidTr="00090A1B">
        <w:trPr>
          <w:trHeight w:val="290"/>
        </w:trPr>
        <w:tc>
          <w:tcPr>
            <w:tcW w:w="817" w:type="pct"/>
          </w:tcPr>
          <w:p w14:paraId="2241C02E" w14:textId="77777777" w:rsidR="00C9752B" w:rsidRPr="00D71008" w:rsidRDefault="00C9752B" w:rsidP="00A20642">
            <w:pPr>
              <w:jc w:val="center"/>
              <w:rPr>
                <w:noProof/>
                <w:sz w:val="18"/>
                <w:szCs w:val="18"/>
                <w:lang w:eastAsia="en-GB"/>
              </w:rPr>
            </w:pPr>
            <w:r w:rsidRPr="00D71008">
              <w:rPr>
                <w:noProof/>
                <w:sz w:val="18"/>
                <w:szCs w:val="18"/>
                <w:lang w:eastAsia="en-GB"/>
              </w:rPr>
              <w:t>27</w:t>
            </w:r>
          </w:p>
        </w:tc>
        <w:tc>
          <w:tcPr>
            <w:tcW w:w="909" w:type="pct"/>
            <w:noWrap/>
            <w:hideMark/>
          </w:tcPr>
          <w:p w14:paraId="4F76641A" w14:textId="78544701" w:rsidR="00C9752B" w:rsidRPr="00D71008" w:rsidRDefault="00C9752B" w:rsidP="00A20642">
            <w:pPr>
              <w:jc w:val="center"/>
              <w:rPr>
                <w:noProof/>
                <w:sz w:val="18"/>
                <w:szCs w:val="18"/>
                <w:lang w:eastAsia="en-GB"/>
              </w:rPr>
            </w:pPr>
            <w:r w:rsidRPr="00D71008">
              <w:rPr>
                <w:noProof/>
                <w:sz w:val="18"/>
                <w:szCs w:val="18"/>
                <w:lang w:eastAsia="en-GB"/>
              </w:rPr>
              <w:t xml:space="preserve">Busto Arsizio </w:t>
            </w:r>
          </w:p>
        </w:tc>
        <w:tc>
          <w:tcPr>
            <w:tcW w:w="817" w:type="pct"/>
            <w:noWrap/>
            <w:hideMark/>
          </w:tcPr>
          <w:p w14:paraId="0BEB068D" w14:textId="0C32CFE0" w:rsidR="00C9752B" w:rsidRPr="00D71008" w:rsidRDefault="00C9752B" w:rsidP="00A20642">
            <w:pPr>
              <w:jc w:val="center"/>
              <w:rPr>
                <w:noProof/>
                <w:sz w:val="18"/>
                <w:szCs w:val="18"/>
                <w:lang w:eastAsia="en-GB"/>
              </w:rPr>
            </w:pPr>
            <w:r w:rsidRPr="00D71008">
              <w:rPr>
                <w:noProof/>
                <w:sz w:val="18"/>
                <w:szCs w:val="18"/>
                <w:lang w:eastAsia="en-GB"/>
              </w:rPr>
              <w:t>Italy</w:t>
            </w:r>
          </w:p>
        </w:tc>
        <w:tc>
          <w:tcPr>
            <w:tcW w:w="818" w:type="pct"/>
            <w:noWrap/>
            <w:hideMark/>
          </w:tcPr>
          <w:p w14:paraId="5266FF2D" w14:textId="606CDC22" w:rsidR="00C9752B" w:rsidRPr="00D71008" w:rsidRDefault="00C9752B" w:rsidP="00A20642">
            <w:pPr>
              <w:jc w:val="center"/>
              <w:rPr>
                <w:noProof/>
                <w:sz w:val="18"/>
                <w:szCs w:val="18"/>
                <w:lang w:eastAsia="en-GB"/>
              </w:rPr>
            </w:pPr>
            <w:r w:rsidRPr="00D71008">
              <w:rPr>
                <w:noProof/>
                <w:sz w:val="18"/>
                <w:szCs w:val="18"/>
                <w:lang w:eastAsia="en-GB"/>
              </w:rPr>
              <w:t>Barcelona</w:t>
            </w:r>
          </w:p>
        </w:tc>
        <w:tc>
          <w:tcPr>
            <w:tcW w:w="818" w:type="pct"/>
            <w:noWrap/>
            <w:hideMark/>
          </w:tcPr>
          <w:p w14:paraId="545844C7" w14:textId="557A8C2A" w:rsidR="00C9752B" w:rsidRPr="00D71008" w:rsidRDefault="00C9752B" w:rsidP="00A20642">
            <w:pPr>
              <w:jc w:val="center"/>
              <w:rPr>
                <w:noProof/>
                <w:sz w:val="18"/>
                <w:szCs w:val="18"/>
                <w:lang w:eastAsia="en-GB"/>
              </w:rPr>
            </w:pPr>
            <w:r w:rsidRPr="00D71008">
              <w:rPr>
                <w:noProof/>
                <w:sz w:val="18"/>
                <w:szCs w:val="18"/>
                <w:lang w:eastAsia="en-GB"/>
              </w:rPr>
              <w:t>Spain</w:t>
            </w:r>
          </w:p>
        </w:tc>
        <w:tc>
          <w:tcPr>
            <w:tcW w:w="821" w:type="pct"/>
          </w:tcPr>
          <w:p w14:paraId="5953618E" w14:textId="56E561E9" w:rsidR="00C9752B" w:rsidRPr="00D71008" w:rsidRDefault="00C9752B" w:rsidP="00A20642">
            <w:pPr>
              <w:jc w:val="center"/>
              <w:rPr>
                <w:noProof/>
                <w:sz w:val="18"/>
                <w:szCs w:val="18"/>
                <w:lang w:eastAsia="en-GB"/>
              </w:rPr>
            </w:pPr>
            <w:r w:rsidRPr="00D71008">
              <w:rPr>
                <w:noProof/>
                <w:sz w:val="18"/>
                <w:szCs w:val="18"/>
                <w:lang w:eastAsia="en-GB"/>
              </w:rPr>
              <w:t>1,081 km</w:t>
            </w:r>
          </w:p>
        </w:tc>
      </w:tr>
      <w:tr w:rsidR="00C9752B" w:rsidRPr="00D71008" w14:paraId="4D4DF7F7" w14:textId="77777777" w:rsidTr="00090A1B">
        <w:trPr>
          <w:trHeight w:val="290"/>
        </w:trPr>
        <w:tc>
          <w:tcPr>
            <w:tcW w:w="817" w:type="pct"/>
          </w:tcPr>
          <w:p w14:paraId="18DBFD7F" w14:textId="77777777" w:rsidR="00C9752B" w:rsidRPr="00D71008" w:rsidRDefault="00C9752B" w:rsidP="00A20642">
            <w:pPr>
              <w:jc w:val="center"/>
              <w:rPr>
                <w:noProof/>
                <w:sz w:val="18"/>
                <w:szCs w:val="18"/>
                <w:lang w:eastAsia="en-GB"/>
              </w:rPr>
            </w:pPr>
            <w:r w:rsidRPr="00D71008">
              <w:rPr>
                <w:noProof/>
                <w:sz w:val="18"/>
                <w:szCs w:val="18"/>
                <w:lang w:eastAsia="en-GB"/>
              </w:rPr>
              <w:t>28</w:t>
            </w:r>
          </w:p>
        </w:tc>
        <w:tc>
          <w:tcPr>
            <w:tcW w:w="909" w:type="pct"/>
            <w:noWrap/>
            <w:hideMark/>
          </w:tcPr>
          <w:p w14:paraId="4A98A01E" w14:textId="0791FDD4" w:rsidR="00C9752B" w:rsidRPr="00D71008" w:rsidRDefault="00C9752B" w:rsidP="00A20642">
            <w:pPr>
              <w:jc w:val="center"/>
              <w:rPr>
                <w:noProof/>
                <w:sz w:val="18"/>
                <w:szCs w:val="18"/>
                <w:lang w:eastAsia="en-GB"/>
              </w:rPr>
            </w:pPr>
            <w:r w:rsidRPr="00D71008">
              <w:rPr>
                <w:noProof/>
                <w:sz w:val="18"/>
                <w:szCs w:val="18"/>
                <w:lang w:eastAsia="en-GB"/>
              </w:rPr>
              <w:t>Amsterdam</w:t>
            </w:r>
          </w:p>
        </w:tc>
        <w:tc>
          <w:tcPr>
            <w:tcW w:w="817" w:type="pct"/>
            <w:noWrap/>
            <w:hideMark/>
          </w:tcPr>
          <w:p w14:paraId="5C437477" w14:textId="1373EE70" w:rsidR="00C9752B" w:rsidRPr="00D71008" w:rsidRDefault="00C9752B" w:rsidP="00A20642">
            <w:pPr>
              <w:jc w:val="center"/>
              <w:rPr>
                <w:noProof/>
                <w:sz w:val="18"/>
                <w:szCs w:val="18"/>
                <w:lang w:eastAsia="en-GB"/>
              </w:rPr>
            </w:pPr>
            <w:r w:rsidRPr="00D71008">
              <w:rPr>
                <w:noProof/>
                <w:sz w:val="18"/>
                <w:szCs w:val="18"/>
                <w:lang w:eastAsia="en-GB"/>
              </w:rPr>
              <w:t>Netherlands</w:t>
            </w:r>
          </w:p>
        </w:tc>
        <w:tc>
          <w:tcPr>
            <w:tcW w:w="818" w:type="pct"/>
            <w:noWrap/>
            <w:hideMark/>
          </w:tcPr>
          <w:p w14:paraId="22D7E3B5" w14:textId="4268F864" w:rsidR="00C9752B" w:rsidRPr="00D71008" w:rsidRDefault="00C9752B" w:rsidP="00A20642">
            <w:pPr>
              <w:jc w:val="center"/>
              <w:rPr>
                <w:noProof/>
                <w:sz w:val="18"/>
                <w:szCs w:val="18"/>
                <w:lang w:eastAsia="en-GB"/>
              </w:rPr>
            </w:pPr>
            <w:r w:rsidRPr="00D71008">
              <w:rPr>
                <w:noProof/>
                <w:sz w:val="18"/>
                <w:szCs w:val="18"/>
                <w:lang w:eastAsia="en-GB"/>
              </w:rPr>
              <w:t>Rome</w:t>
            </w:r>
          </w:p>
        </w:tc>
        <w:tc>
          <w:tcPr>
            <w:tcW w:w="818" w:type="pct"/>
            <w:noWrap/>
            <w:hideMark/>
          </w:tcPr>
          <w:p w14:paraId="4F474E80" w14:textId="3E887B0C" w:rsidR="00C9752B" w:rsidRPr="00D71008" w:rsidRDefault="00C9752B" w:rsidP="00A20642">
            <w:pPr>
              <w:jc w:val="center"/>
              <w:rPr>
                <w:noProof/>
                <w:sz w:val="18"/>
                <w:szCs w:val="18"/>
                <w:lang w:eastAsia="en-GB"/>
              </w:rPr>
            </w:pPr>
            <w:r w:rsidRPr="00D71008">
              <w:rPr>
                <w:noProof/>
                <w:sz w:val="18"/>
                <w:szCs w:val="18"/>
                <w:lang w:eastAsia="en-GB"/>
              </w:rPr>
              <w:t>Italy</w:t>
            </w:r>
          </w:p>
        </w:tc>
        <w:tc>
          <w:tcPr>
            <w:tcW w:w="821" w:type="pct"/>
          </w:tcPr>
          <w:p w14:paraId="7D9B63BB" w14:textId="3D27B585" w:rsidR="00C9752B" w:rsidRPr="00D71008" w:rsidRDefault="00C9752B" w:rsidP="00A20642">
            <w:pPr>
              <w:jc w:val="center"/>
              <w:rPr>
                <w:noProof/>
                <w:sz w:val="18"/>
                <w:szCs w:val="18"/>
                <w:lang w:eastAsia="en-GB"/>
              </w:rPr>
            </w:pPr>
            <w:r w:rsidRPr="00D71008">
              <w:rPr>
                <w:noProof/>
                <w:sz w:val="18"/>
                <w:szCs w:val="18"/>
                <w:lang w:eastAsia="en-GB"/>
              </w:rPr>
              <w:t>1,615 km</w:t>
            </w:r>
          </w:p>
        </w:tc>
      </w:tr>
      <w:tr w:rsidR="00C9752B" w:rsidRPr="00D71008" w14:paraId="2D2FF319" w14:textId="77777777" w:rsidTr="00090A1B">
        <w:trPr>
          <w:trHeight w:val="290"/>
        </w:trPr>
        <w:tc>
          <w:tcPr>
            <w:tcW w:w="817" w:type="pct"/>
          </w:tcPr>
          <w:p w14:paraId="432EA276" w14:textId="77777777" w:rsidR="00C9752B" w:rsidRPr="00D71008" w:rsidRDefault="00C9752B" w:rsidP="00A20642">
            <w:pPr>
              <w:jc w:val="center"/>
              <w:rPr>
                <w:noProof/>
                <w:sz w:val="18"/>
                <w:szCs w:val="18"/>
                <w:lang w:eastAsia="en-GB"/>
              </w:rPr>
            </w:pPr>
            <w:r w:rsidRPr="00D71008">
              <w:rPr>
                <w:noProof/>
                <w:sz w:val="18"/>
                <w:szCs w:val="18"/>
                <w:lang w:eastAsia="en-GB"/>
              </w:rPr>
              <w:t>29</w:t>
            </w:r>
          </w:p>
        </w:tc>
        <w:tc>
          <w:tcPr>
            <w:tcW w:w="909" w:type="pct"/>
            <w:noWrap/>
            <w:hideMark/>
          </w:tcPr>
          <w:p w14:paraId="6F1B59A3" w14:textId="3120D03C" w:rsidR="00C9752B" w:rsidRPr="00D71008" w:rsidRDefault="00C9752B" w:rsidP="00A20642">
            <w:pPr>
              <w:jc w:val="center"/>
              <w:rPr>
                <w:noProof/>
                <w:sz w:val="18"/>
                <w:szCs w:val="18"/>
                <w:lang w:eastAsia="en-GB"/>
              </w:rPr>
            </w:pPr>
            <w:r w:rsidRPr="00D71008">
              <w:rPr>
                <w:noProof/>
                <w:sz w:val="18"/>
                <w:szCs w:val="18"/>
                <w:lang w:eastAsia="en-GB"/>
              </w:rPr>
              <w:t>Frankfurt am Main</w:t>
            </w:r>
          </w:p>
        </w:tc>
        <w:tc>
          <w:tcPr>
            <w:tcW w:w="817" w:type="pct"/>
            <w:noWrap/>
            <w:hideMark/>
          </w:tcPr>
          <w:p w14:paraId="074ABB14" w14:textId="2918AF01"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18" w:type="pct"/>
            <w:noWrap/>
            <w:hideMark/>
          </w:tcPr>
          <w:p w14:paraId="58F7A14A" w14:textId="6A56AF96" w:rsidR="00C9752B" w:rsidRPr="00D71008" w:rsidRDefault="00C9752B" w:rsidP="00A20642">
            <w:pPr>
              <w:jc w:val="center"/>
              <w:rPr>
                <w:noProof/>
                <w:sz w:val="18"/>
                <w:szCs w:val="18"/>
                <w:lang w:eastAsia="en-GB"/>
              </w:rPr>
            </w:pPr>
            <w:r w:rsidRPr="00D71008">
              <w:rPr>
                <w:noProof/>
                <w:sz w:val="18"/>
                <w:szCs w:val="18"/>
                <w:lang w:eastAsia="en-GB"/>
              </w:rPr>
              <w:t>Vienna</w:t>
            </w:r>
          </w:p>
        </w:tc>
        <w:tc>
          <w:tcPr>
            <w:tcW w:w="818" w:type="pct"/>
            <w:noWrap/>
            <w:hideMark/>
          </w:tcPr>
          <w:p w14:paraId="2EF38879" w14:textId="494998C2" w:rsidR="00C9752B" w:rsidRPr="00D71008" w:rsidRDefault="00C9752B" w:rsidP="00A20642">
            <w:pPr>
              <w:jc w:val="center"/>
              <w:rPr>
                <w:noProof/>
                <w:sz w:val="18"/>
                <w:szCs w:val="18"/>
                <w:lang w:eastAsia="en-GB"/>
              </w:rPr>
            </w:pPr>
            <w:r w:rsidRPr="00D71008">
              <w:rPr>
                <w:noProof/>
                <w:sz w:val="18"/>
                <w:szCs w:val="18"/>
                <w:lang w:eastAsia="en-GB"/>
              </w:rPr>
              <w:t>Austria</w:t>
            </w:r>
          </w:p>
        </w:tc>
        <w:tc>
          <w:tcPr>
            <w:tcW w:w="821" w:type="pct"/>
          </w:tcPr>
          <w:p w14:paraId="4FC755B5" w14:textId="7B561DD8" w:rsidR="00C9752B" w:rsidRPr="00D71008" w:rsidRDefault="00C9752B" w:rsidP="00A20642">
            <w:pPr>
              <w:jc w:val="center"/>
              <w:rPr>
                <w:noProof/>
                <w:sz w:val="18"/>
                <w:szCs w:val="18"/>
                <w:lang w:eastAsia="en-GB"/>
              </w:rPr>
            </w:pPr>
            <w:r w:rsidRPr="00D71008">
              <w:rPr>
                <w:noProof/>
                <w:sz w:val="18"/>
                <w:szCs w:val="18"/>
                <w:lang w:eastAsia="en-GB"/>
              </w:rPr>
              <w:t>768 km</w:t>
            </w:r>
          </w:p>
        </w:tc>
      </w:tr>
      <w:tr w:rsidR="00C9752B" w:rsidRPr="00D71008" w14:paraId="5857E5BA" w14:textId="77777777" w:rsidTr="00090A1B">
        <w:trPr>
          <w:trHeight w:val="290"/>
        </w:trPr>
        <w:tc>
          <w:tcPr>
            <w:tcW w:w="817" w:type="pct"/>
          </w:tcPr>
          <w:p w14:paraId="238DC09A" w14:textId="77777777" w:rsidR="00C9752B" w:rsidRPr="00D71008" w:rsidRDefault="00C9752B" w:rsidP="00A20642">
            <w:pPr>
              <w:jc w:val="center"/>
              <w:rPr>
                <w:noProof/>
                <w:sz w:val="18"/>
                <w:szCs w:val="18"/>
                <w:lang w:eastAsia="en-GB"/>
              </w:rPr>
            </w:pPr>
            <w:r w:rsidRPr="00D71008">
              <w:rPr>
                <w:noProof/>
                <w:sz w:val="18"/>
                <w:szCs w:val="18"/>
                <w:lang w:eastAsia="en-GB"/>
              </w:rPr>
              <w:t>30</w:t>
            </w:r>
          </w:p>
        </w:tc>
        <w:tc>
          <w:tcPr>
            <w:tcW w:w="909" w:type="pct"/>
            <w:noWrap/>
            <w:hideMark/>
          </w:tcPr>
          <w:p w14:paraId="1022A878" w14:textId="418D7AD3" w:rsidR="00C9752B" w:rsidRPr="00D71008" w:rsidRDefault="00C9752B" w:rsidP="00A20642">
            <w:pPr>
              <w:jc w:val="center"/>
              <w:rPr>
                <w:noProof/>
                <w:sz w:val="18"/>
                <w:szCs w:val="18"/>
                <w:lang w:eastAsia="en-GB"/>
              </w:rPr>
            </w:pPr>
            <w:r w:rsidRPr="00D71008">
              <w:rPr>
                <w:noProof/>
                <w:sz w:val="18"/>
                <w:szCs w:val="18"/>
                <w:lang w:eastAsia="en-GB"/>
              </w:rPr>
              <w:t>Sofia</w:t>
            </w:r>
          </w:p>
        </w:tc>
        <w:tc>
          <w:tcPr>
            <w:tcW w:w="817" w:type="pct"/>
            <w:noWrap/>
            <w:hideMark/>
          </w:tcPr>
          <w:p w14:paraId="1CA5B2E0" w14:textId="0335CCDB" w:rsidR="00C9752B" w:rsidRPr="00D71008" w:rsidRDefault="00C9752B" w:rsidP="00A20642">
            <w:pPr>
              <w:jc w:val="center"/>
              <w:rPr>
                <w:noProof/>
                <w:sz w:val="18"/>
                <w:szCs w:val="18"/>
                <w:lang w:eastAsia="en-GB"/>
              </w:rPr>
            </w:pPr>
            <w:r w:rsidRPr="00D71008">
              <w:rPr>
                <w:noProof/>
                <w:sz w:val="18"/>
                <w:szCs w:val="18"/>
                <w:lang w:eastAsia="en-GB"/>
              </w:rPr>
              <w:t>Bulgaria</w:t>
            </w:r>
          </w:p>
        </w:tc>
        <w:tc>
          <w:tcPr>
            <w:tcW w:w="818" w:type="pct"/>
            <w:noWrap/>
            <w:hideMark/>
          </w:tcPr>
          <w:p w14:paraId="1BCC0675" w14:textId="2FACCB3C" w:rsidR="00C9752B" w:rsidRPr="00D71008" w:rsidRDefault="00C9752B" w:rsidP="00A20642">
            <w:pPr>
              <w:jc w:val="center"/>
              <w:rPr>
                <w:noProof/>
                <w:sz w:val="18"/>
                <w:szCs w:val="18"/>
                <w:lang w:eastAsia="en-GB"/>
              </w:rPr>
            </w:pPr>
            <w:r w:rsidRPr="00D71008">
              <w:rPr>
                <w:noProof/>
                <w:sz w:val="18"/>
                <w:szCs w:val="18"/>
                <w:lang w:eastAsia="en-GB"/>
              </w:rPr>
              <w:t>Vienna</w:t>
            </w:r>
          </w:p>
        </w:tc>
        <w:tc>
          <w:tcPr>
            <w:tcW w:w="818" w:type="pct"/>
            <w:noWrap/>
            <w:hideMark/>
          </w:tcPr>
          <w:p w14:paraId="7D206A20" w14:textId="240A6E17" w:rsidR="00C9752B" w:rsidRPr="00D71008" w:rsidRDefault="00C9752B" w:rsidP="00A20642">
            <w:pPr>
              <w:jc w:val="center"/>
              <w:rPr>
                <w:noProof/>
                <w:sz w:val="18"/>
                <w:szCs w:val="18"/>
                <w:lang w:eastAsia="en-GB"/>
              </w:rPr>
            </w:pPr>
            <w:r w:rsidRPr="00D71008">
              <w:rPr>
                <w:noProof/>
                <w:sz w:val="18"/>
                <w:szCs w:val="18"/>
                <w:lang w:eastAsia="en-GB"/>
              </w:rPr>
              <w:t>Austria</w:t>
            </w:r>
          </w:p>
        </w:tc>
        <w:tc>
          <w:tcPr>
            <w:tcW w:w="821" w:type="pct"/>
          </w:tcPr>
          <w:p w14:paraId="5F945398" w14:textId="6883D9D0" w:rsidR="00C9752B" w:rsidRPr="00D71008" w:rsidRDefault="00C9752B" w:rsidP="00A20642">
            <w:pPr>
              <w:jc w:val="center"/>
              <w:rPr>
                <w:noProof/>
                <w:sz w:val="18"/>
                <w:szCs w:val="18"/>
                <w:lang w:eastAsia="en-GB"/>
              </w:rPr>
            </w:pPr>
            <w:r w:rsidRPr="00D71008">
              <w:rPr>
                <w:noProof/>
                <w:sz w:val="18"/>
                <w:szCs w:val="18"/>
                <w:lang w:eastAsia="en-GB"/>
              </w:rPr>
              <w:t>1,002 km</w:t>
            </w:r>
          </w:p>
        </w:tc>
      </w:tr>
      <w:tr w:rsidR="00C9752B" w:rsidRPr="00D71008" w14:paraId="3A9FB530" w14:textId="77777777" w:rsidTr="00090A1B">
        <w:trPr>
          <w:trHeight w:val="290"/>
        </w:trPr>
        <w:tc>
          <w:tcPr>
            <w:tcW w:w="817" w:type="pct"/>
          </w:tcPr>
          <w:p w14:paraId="3F1505E9" w14:textId="77777777" w:rsidR="00C9752B" w:rsidRPr="00D71008" w:rsidRDefault="00C9752B" w:rsidP="00A20642">
            <w:pPr>
              <w:jc w:val="center"/>
              <w:rPr>
                <w:noProof/>
                <w:sz w:val="18"/>
                <w:szCs w:val="18"/>
                <w:lang w:eastAsia="en-GB"/>
              </w:rPr>
            </w:pPr>
            <w:r w:rsidRPr="00D71008">
              <w:rPr>
                <w:noProof/>
                <w:sz w:val="18"/>
                <w:szCs w:val="18"/>
                <w:lang w:eastAsia="en-GB"/>
              </w:rPr>
              <w:t>31</w:t>
            </w:r>
          </w:p>
        </w:tc>
        <w:tc>
          <w:tcPr>
            <w:tcW w:w="909" w:type="pct"/>
            <w:noWrap/>
            <w:hideMark/>
          </w:tcPr>
          <w:p w14:paraId="2490805B" w14:textId="55695B59" w:rsidR="00C9752B" w:rsidRPr="00D71008" w:rsidRDefault="00C9752B" w:rsidP="00A20642">
            <w:pPr>
              <w:jc w:val="center"/>
              <w:rPr>
                <w:noProof/>
                <w:sz w:val="18"/>
                <w:szCs w:val="18"/>
                <w:lang w:eastAsia="en-GB"/>
              </w:rPr>
            </w:pPr>
            <w:r w:rsidRPr="00D71008">
              <w:rPr>
                <w:noProof/>
                <w:sz w:val="18"/>
                <w:szCs w:val="18"/>
                <w:lang w:eastAsia="en-GB"/>
              </w:rPr>
              <w:t>Luxembourg</w:t>
            </w:r>
          </w:p>
        </w:tc>
        <w:tc>
          <w:tcPr>
            <w:tcW w:w="817" w:type="pct"/>
            <w:noWrap/>
            <w:hideMark/>
          </w:tcPr>
          <w:p w14:paraId="5698EC30" w14:textId="1794FF02" w:rsidR="00C9752B" w:rsidRPr="00D71008" w:rsidRDefault="00C9752B" w:rsidP="00A20642">
            <w:pPr>
              <w:jc w:val="center"/>
              <w:rPr>
                <w:noProof/>
                <w:sz w:val="18"/>
                <w:szCs w:val="18"/>
                <w:lang w:eastAsia="en-GB"/>
              </w:rPr>
            </w:pPr>
            <w:r w:rsidRPr="00D71008">
              <w:rPr>
                <w:noProof/>
                <w:sz w:val="18"/>
                <w:szCs w:val="18"/>
                <w:lang w:eastAsia="en-GB"/>
              </w:rPr>
              <w:t>Luxembourg</w:t>
            </w:r>
          </w:p>
        </w:tc>
        <w:tc>
          <w:tcPr>
            <w:tcW w:w="818" w:type="pct"/>
            <w:noWrap/>
            <w:hideMark/>
          </w:tcPr>
          <w:p w14:paraId="43A9D211" w14:textId="22716F0A" w:rsidR="00C9752B" w:rsidRPr="00D71008" w:rsidRDefault="00C9752B" w:rsidP="00A20642">
            <w:pPr>
              <w:jc w:val="center"/>
              <w:rPr>
                <w:noProof/>
                <w:sz w:val="18"/>
                <w:szCs w:val="18"/>
                <w:lang w:eastAsia="en-GB"/>
              </w:rPr>
            </w:pPr>
            <w:r w:rsidRPr="00D71008">
              <w:rPr>
                <w:noProof/>
                <w:sz w:val="18"/>
                <w:szCs w:val="18"/>
                <w:lang w:eastAsia="en-GB"/>
              </w:rPr>
              <w:t>Porto</w:t>
            </w:r>
          </w:p>
        </w:tc>
        <w:tc>
          <w:tcPr>
            <w:tcW w:w="818" w:type="pct"/>
            <w:noWrap/>
            <w:hideMark/>
          </w:tcPr>
          <w:p w14:paraId="64ECADD7" w14:textId="271F02B7" w:rsidR="00C9752B" w:rsidRPr="00D71008" w:rsidRDefault="00C9752B" w:rsidP="00A20642">
            <w:pPr>
              <w:jc w:val="center"/>
              <w:rPr>
                <w:noProof/>
                <w:sz w:val="18"/>
                <w:szCs w:val="18"/>
                <w:lang w:eastAsia="en-GB"/>
              </w:rPr>
            </w:pPr>
            <w:r w:rsidRPr="00D71008">
              <w:rPr>
                <w:noProof/>
                <w:sz w:val="18"/>
                <w:szCs w:val="18"/>
                <w:lang w:eastAsia="en-GB"/>
              </w:rPr>
              <w:t>Portugal</w:t>
            </w:r>
          </w:p>
        </w:tc>
        <w:tc>
          <w:tcPr>
            <w:tcW w:w="821" w:type="pct"/>
          </w:tcPr>
          <w:p w14:paraId="66D5FEE0" w14:textId="099E41BF" w:rsidR="00C9752B" w:rsidRPr="00D71008" w:rsidRDefault="00C9752B" w:rsidP="00A20642">
            <w:pPr>
              <w:jc w:val="center"/>
              <w:rPr>
                <w:noProof/>
                <w:sz w:val="18"/>
                <w:szCs w:val="18"/>
                <w:lang w:eastAsia="en-GB"/>
              </w:rPr>
            </w:pPr>
            <w:r w:rsidRPr="00D71008">
              <w:rPr>
                <w:noProof/>
                <w:sz w:val="18"/>
                <w:szCs w:val="18"/>
                <w:lang w:eastAsia="en-GB"/>
              </w:rPr>
              <w:t>1,991 km</w:t>
            </w:r>
          </w:p>
        </w:tc>
      </w:tr>
      <w:tr w:rsidR="00C9752B" w:rsidRPr="00D71008" w14:paraId="65787CD7" w14:textId="77777777" w:rsidTr="00090A1B">
        <w:trPr>
          <w:trHeight w:val="290"/>
        </w:trPr>
        <w:tc>
          <w:tcPr>
            <w:tcW w:w="817" w:type="pct"/>
          </w:tcPr>
          <w:p w14:paraId="1BF6B5CD" w14:textId="77777777" w:rsidR="00C9752B" w:rsidRPr="00D71008" w:rsidRDefault="00C9752B" w:rsidP="00A20642">
            <w:pPr>
              <w:jc w:val="center"/>
              <w:rPr>
                <w:noProof/>
                <w:sz w:val="18"/>
                <w:szCs w:val="18"/>
                <w:lang w:eastAsia="en-GB"/>
              </w:rPr>
            </w:pPr>
            <w:r w:rsidRPr="00D71008">
              <w:rPr>
                <w:noProof/>
                <w:sz w:val="18"/>
                <w:szCs w:val="18"/>
                <w:lang w:eastAsia="en-GB"/>
              </w:rPr>
              <w:t>32</w:t>
            </w:r>
          </w:p>
        </w:tc>
        <w:tc>
          <w:tcPr>
            <w:tcW w:w="909" w:type="pct"/>
            <w:noWrap/>
            <w:hideMark/>
          </w:tcPr>
          <w:p w14:paraId="62A93843" w14:textId="7C6450EC" w:rsidR="00C9752B" w:rsidRPr="00D71008" w:rsidRDefault="00C9752B" w:rsidP="00A20642">
            <w:pPr>
              <w:jc w:val="center"/>
              <w:rPr>
                <w:noProof/>
                <w:sz w:val="18"/>
                <w:szCs w:val="18"/>
                <w:lang w:eastAsia="en-GB"/>
              </w:rPr>
            </w:pPr>
            <w:r w:rsidRPr="00D71008">
              <w:rPr>
                <w:noProof/>
                <w:sz w:val="18"/>
                <w:szCs w:val="18"/>
                <w:lang w:eastAsia="en-GB"/>
              </w:rPr>
              <w:t>Copenhagen</w:t>
            </w:r>
          </w:p>
        </w:tc>
        <w:tc>
          <w:tcPr>
            <w:tcW w:w="817" w:type="pct"/>
            <w:noWrap/>
            <w:hideMark/>
          </w:tcPr>
          <w:p w14:paraId="10E0446D" w14:textId="1107BD19" w:rsidR="00C9752B" w:rsidRPr="00D71008" w:rsidRDefault="00C9752B" w:rsidP="00A20642">
            <w:pPr>
              <w:jc w:val="center"/>
              <w:rPr>
                <w:noProof/>
                <w:sz w:val="18"/>
                <w:szCs w:val="18"/>
                <w:lang w:eastAsia="en-GB"/>
              </w:rPr>
            </w:pPr>
            <w:r w:rsidRPr="00D71008">
              <w:rPr>
                <w:noProof/>
                <w:sz w:val="18"/>
                <w:szCs w:val="18"/>
                <w:lang w:eastAsia="en-GB"/>
              </w:rPr>
              <w:t>Denmark</w:t>
            </w:r>
          </w:p>
        </w:tc>
        <w:tc>
          <w:tcPr>
            <w:tcW w:w="818" w:type="pct"/>
            <w:noWrap/>
            <w:hideMark/>
          </w:tcPr>
          <w:p w14:paraId="06ADB429" w14:textId="78148098" w:rsidR="00C9752B" w:rsidRPr="00D71008" w:rsidRDefault="00C9752B" w:rsidP="00A20642">
            <w:pPr>
              <w:jc w:val="center"/>
              <w:rPr>
                <w:noProof/>
                <w:sz w:val="18"/>
                <w:szCs w:val="18"/>
                <w:lang w:eastAsia="en-GB"/>
              </w:rPr>
            </w:pPr>
            <w:r w:rsidRPr="00D71008">
              <w:rPr>
                <w:noProof/>
                <w:sz w:val="18"/>
                <w:szCs w:val="18"/>
                <w:lang w:eastAsia="en-GB"/>
              </w:rPr>
              <w:t>Hamburg</w:t>
            </w:r>
          </w:p>
        </w:tc>
        <w:tc>
          <w:tcPr>
            <w:tcW w:w="818" w:type="pct"/>
            <w:noWrap/>
            <w:hideMark/>
          </w:tcPr>
          <w:p w14:paraId="50E542F7" w14:textId="30CBD128"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21" w:type="pct"/>
          </w:tcPr>
          <w:p w14:paraId="0646CECF" w14:textId="7246E27D" w:rsidR="00C9752B" w:rsidRPr="00D71008" w:rsidRDefault="00C9752B" w:rsidP="00A20642">
            <w:pPr>
              <w:jc w:val="center"/>
              <w:rPr>
                <w:noProof/>
                <w:sz w:val="18"/>
                <w:szCs w:val="18"/>
                <w:lang w:eastAsia="en-GB"/>
              </w:rPr>
            </w:pPr>
            <w:r w:rsidRPr="00D71008">
              <w:rPr>
                <w:noProof/>
                <w:sz w:val="18"/>
                <w:szCs w:val="18"/>
                <w:lang w:eastAsia="en-GB"/>
              </w:rPr>
              <w:t>473 km</w:t>
            </w:r>
          </w:p>
        </w:tc>
      </w:tr>
      <w:tr w:rsidR="00C9752B" w:rsidRPr="00D71008" w14:paraId="23C880FA" w14:textId="77777777" w:rsidTr="00090A1B">
        <w:trPr>
          <w:trHeight w:val="290"/>
        </w:trPr>
        <w:tc>
          <w:tcPr>
            <w:tcW w:w="817" w:type="pct"/>
          </w:tcPr>
          <w:p w14:paraId="5A5A334C" w14:textId="77777777" w:rsidR="00C9752B" w:rsidRPr="00D71008" w:rsidRDefault="00C9752B" w:rsidP="00A20642">
            <w:pPr>
              <w:jc w:val="center"/>
              <w:rPr>
                <w:noProof/>
                <w:sz w:val="18"/>
                <w:szCs w:val="18"/>
                <w:lang w:eastAsia="en-GB"/>
              </w:rPr>
            </w:pPr>
            <w:r w:rsidRPr="00D71008">
              <w:rPr>
                <w:noProof/>
                <w:sz w:val="18"/>
                <w:szCs w:val="18"/>
                <w:lang w:eastAsia="en-GB"/>
              </w:rPr>
              <w:t>33</w:t>
            </w:r>
          </w:p>
        </w:tc>
        <w:tc>
          <w:tcPr>
            <w:tcW w:w="909" w:type="pct"/>
            <w:noWrap/>
            <w:hideMark/>
          </w:tcPr>
          <w:p w14:paraId="516ED9BA" w14:textId="53FDC719" w:rsidR="00C9752B" w:rsidRPr="00D71008" w:rsidRDefault="00C9752B" w:rsidP="00A20642">
            <w:pPr>
              <w:jc w:val="center"/>
              <w:rPr>
                <w:noProof/>
                <w:sz w:val="18"/>
                <w:szCs w:val="18"/>
                <w:lang w:eastAsia="en-GB"/>
              </w:rPr>
            </w:pPr>
            <w:r w:rsidRPr="00D71008">
              <w:rPr>
                <w:noProof/>
                <w:sz w:val="18"/>
                <w:szCs w:val="18"/>
                <w:lang w:eastAsia="en-GB"/>
              </w:rPr>
              <w:t>Prague</w:t>
            </w:r>
          </w:p>
        </w:tc>
        <w:tc>
          <w:tcPr>
            <w:tcW w:w="817" w:type="pct"/>
            <w:noWrap/>
            <w:hideMark/>
          </w:tcPr>
          <w:p w14:paraId="24A39CB9" w14:textId="31F0187F" w:rsidR="00C9752B" w:rsidRPr="00D71008" w:rsidRDefault="00C9752B" w:rsidP="00A20642">
            <w:pPr>
              <w:jc w:val="center"/>
              <w:rPr>
                <w:noProof/>
                <w:sz w:val="18"/>
                <w:szCs w:val="18"/>
                <w:lang w:eastAsia="en-GB"/>
              </w:rPr>
            </w:pPr>
            <w:r w:rsidRPr="00D71008">
              <w:rPr>
                <w:noProof/>
                <w:sz w:val="18"/>
                <w:szCs w:val="18"/>
                <w:lang w:eastAsia="en-GB"/>
              </w:rPr>
              <w:t>Czech Republic</w:t>
            </w:r>
          </w:p>
        </w:tc>
        <w:tc>
          <w:tcPr>
            <w:tcW w:w="818" w:type="pct"/>
            <w:noWrap/>
            <w:hideMark/>
          </w:tcPr>
          <w:p w14:paraId="33C02B1E" w14:textId="0F904732" w:rsidR="00C9752B" w:rsidRPr="00D71008" w:rsidRDefault="00C9752B" w:rsidP="00A20642">
            <w:pPr>
              <w:jc w:val="center"/>
              <w:rPr>
                <w:noProof/>
                <w:sz w:val="18"/>
                <w:szCs w:val="18"/>
                <w:lang w:eastAsia="en-GB"/>
              </w:rPr>
            </w:pPr>
            <w:r w:rsidRPr="00D71008">
              <w:rPr>
                <w:noProof/>
                <w:sz w:val="18"/>
                <w:szCs w:val="18"/>
                <w:lang w:eastAsia="en-GB"/>
              </w:rPr>
              <w:t>Vienna</w:t>
            </w:r>
          </w:p>
        </w:tc>
        <w:tc>
          <w:tcPr>
            <w:tcW w:w="818" w:type="pct"/>
            <w:noWrap/>
            <w:hideMark/>
          </w:tcPr>
          <w:p w14:paraId="6E42E36E" w14:textId="26B60E47" w:rsidR="00C9752B" w:rsidRPr="00D71008" w:rsidRDefault="00C9752B" w:rsidP="00A20642">
            <w:pPr>
              <w:jc w:val="center"/>
              <w:rPr>
                <w:noProof/>
                <w:sz w:val="18"/>
                <w:szCs w:val="18"/>
                <w:lang w:eastAsia="en-GB"/>
              </w:rPr>
            </w:pPr>
            <w:r w:rsidRPr="00D71008">
              <w:rPr>
                <w:noProof/>
                <w:sz w:val="18"/>
                <w:szCs w:val="18"/>
                <w:lang w:eastAsia="en-GB"/>
              </w:rPr>
              <w:t>Austria</w:t>
            </w:r>
          </w:p>
        </w:tc>
        <w:tc>
          <w:tcPr>
            <w:tcW w:w="821" w:type="pct"/>
          </w:tcPr>
          <w:p w14:paraId="171BE262" w14:textId="2BBC7F78" w:rsidR="00C9752B" w:rsidRPr="00D71008" w:rsidRDefault="00C9752B" w:rsidP="00A20642">
            <w:pPr>
              <w:jc w:val="center"/>
              <w:rPr>
                <w:noProof/>
                <w:sz w:val="18"/>
                <w:szCs w:val="18"/>
                <w:lang w:eastAsia="en-GB"/>
              </w:rPr>
            </w:pPr>
            <w:r w:rsidRPr="00D71008">
              <w:rPr>
                <w:noProof/>
                <w:sz w:val="18"/>
                <w:szCs w:val="18"/>
                <w:lang w:eastAsia="en-GB"/>
              </w:rPr>
              <w:t>332 km</w:t>
            </w:r>
          </w:p>
        </w:tc>
      </w:tr>
      <w:tr w:rsidR="00C9752B" w:rsidRPr="00D71008" w14:paraId="0ED007E5" w14:textId="77777777" w:rsidTr="23484F07">
        <w:trPr>
          <w:trHeight w:val="290"/>
        </w:trPr>
        <w:tc>
          <w:tcPr>
            <w:tcW w:w="5000" w:type="pct"/>
            <w:gridSpan w:val="6"/>
            <w:shd w:val="clear" w:color="auto" w:fill="F79646" w:themeFill="accent6"/>
          </w:tcPr>
          <w:p w14:paraId="5E08B336" w14:textId="77777777" w:rsidR="00C9752B" w:rsidRPr="00D71008" w:rsidRDefault="00C9752B" w:rsidP="00A20642">
            <w:pPr>
              <w:jc w:val="center"/>
              <w:rPr>
                <w:noProof/>
                <w:sz w:val="18"/>
                <w:szCs w:val="18"/>
                <w:lang w:eastAsia="en-GB"/>
              </w:rPr>
            </w:pPr>
            <w:r w:rsidRPr="00D71008">
              <w:rPr>
                <w:noProof/>
                <w:sz w:val="18"/>
                <w:szCs w:val="18"/>
                <w:lang w:eastAsia="en-GB"/>
              </w:rPr>
              <w:t>Cluster D</w:t>
            </w:r>
          </w:p>
        </w:tc>
      </w:tr>
      <w:tr w:rsidR="00C9752B" w:rsidRPr="00D71008" w14:paraId="1CC8D02A" w14:textId="77777777" w:rsidTr="00090A1B">
        <w:trPr>
          <w:trHeight w:val="290"/>
        </w:trPr>
        <w:tc>
          <w:tcPr>
            <w:tcW w:w="817" w:type="pct"/>
          </w:tcPr>
          <w:p w14:paraId="5DCB9788" w14:textId="77777777" w:rsidR="00C9752B" w:rsidRPr="00D71008" w:rsidRDefault="00C9752B" w:rsidP="00A20642">
            <w:pPr>
              <w:jc w:val="center"/>
              <w:rPr>
                <w:noProof/>
                <w:sz w:val="18"/>
                <w:szCs w:val="18"/>
                <w:lang w:eastAsia="en-GB"/>
              </w:rPr>
            </w:pPr>
            <w:r w:rsidRPr="00D71008">
              <w:rPr>
                <w:noProof/>
                <w:sz w:val="18"/>
                <w:szCs w:val="18"/>
                <w:lang w:eastAsia="en-GB"/>
              </w:rPr>
              <w:t>34</w:t>
            </w:r>
          </w:p>
        </w:tc>
        <w:tc>
          <w:tcPr>
            <w:tcW w:w="909" w:type="pct"/>
            <w:noWrap/>
            <w:hideMark/>
          </w:tcPr>
          <w:p w14:paraId="66813736" w14:textId="47F14BAE" w:rsidR="00C9752B" w:rsidRPr="00D71008" w:rsidRDefault="00C9752B" w:rsidP="00A20642">
            <w:pPr>
              <w:jc w:val="center"/>
              <w:rPr>
                <w:noProof/>
                <w:sz w:val="18"/>
                <w:szCs w:val="18"/>
                <w:lang w:eastAsia="en-GB"/>
              </w:rPr>
            </w:pPr>
            <w:r w:rsidRPr="00D71008">
              <w:rPr>
                <w:noProof/>
                <w:sz w:val="18"/>
                <w:szCs w:val="18"/>
                <w:lang w:eastAsia="en-GB"/>
              </w:rPr>
              <w:t>Trbovlje</w:t>
            </w:r>
          </w:p>
        </w:tc>
        <w:tc>
          <w:tcPr>
            <w:tcW w:w="817" w:type="pct"/>
            <w:noWrap/>
            <w:hideMark/>
          </w:tcPr>
          <w:p w14:paraId="063007A9" w14:textId="56F9EBF6" w:rsidR="00C9752B" w:rsidRPr="00D71008" w:rsidRDefault="00C9752B" w:rsidP="00A20642">
            <w:pPr>
              <w:jc w:val="center"/>
              <w:rPr>
                <w:noProof/>
                <w:sz w:val="18"/>
                <w:szCs w:val="18"/>
                <w:lang w:eastAsia="en-GB"/>
              </w:rPr>
            </w:pPr>
            <w:r w:rsidRPr="00D71008">
              <w:rPr>
                <w:noProof/>
                <w:sz w:val="18"/>
                <w:szCs w:val="18"/>
                <w:lang w:eastAsia="en-GB"/>
              </w:rPr>
              <w:t>Slovenia</w:t>
            </w:r>
          </w:p>
        </w:tc>
        <w:tc>
          <w:tcPr>
            <w:tcW w:w="818" w:type="pct"/>
            <w:noWrap/>
            <w:hideMark/>
          </w:tcPr>
          <w:p w14:paraId="7BA2873A" w14:textId="7F1DBFE3" w:rsidR="00C9752B" w:rsidRPr="00D71008" w:rsidRDefault="00C9752B" w:rsidP="00A20642">
            <w:pPr>
              <w:jc w:val="center"/>
              <w:rPr>
                <w:noProof/>
                <w:sz w:val="18"/>
                <w:szCs w:val="18"/>
                <w:lang w:eastAsia="en-GB"/>
              </w:rPr>
            </w:pPr>
            <w:r w:rsidRPr="00D71008">
              <w:rPr>
                <w:noProof/>
                <w:sz w:val="18"/>
                <w:szCs w:val="18"/>
                <w:lang w:eastAsia="en-GB"/>
              </w:rPr>
              <w:t>Zagreb</w:t>
            </w:r>
          </w:p>
        </w:tc>
        <w:tc>
          <w:tcPr>
            <w:tcW w:w="818" w:type="pct"/>
            <w:noWrap/>
            <w:hideMark/>
          </w:tcPr>
          <w:p w14:paraId="252ABC0D" w14:textId="3BEE9455" w:rsidR="00C9752B" w:rsidRPr="00D71008" w:rsidRDefault="00C9752B" w:rsidP="00A20642">
            <w:pPr>
              <w:jc w:val="center"/>
              <w:rPr>
                <w:noProof/>
                <w:sz w:val="18"/>
                <w:szCs w:val="18"/>
                <w:lang w:eastAsia="en-GB"/>
              </w:rPr>
            </w:pPr>
            <w:r w:rsidRPr="00D71008">
              <w:rPr>
                <w:noProof/>
                <w:sz w:val="18"/>
                <w:szCs w:val="18"/>
                <w:lang w:eastAsia="en-GB"/>
              </w:rPr>
              <w:t>Croatia</w:t>
            </w:r>
          </w:p>
        </w:tc>
        <w:tc>
          <w:tcPr>
            <w:tcW w:w="821" w:type="pct"/>
          </w:tcPr>
          <w:p w14:paraId="737CFB7D" w14:textId="5DC3F136" w:rsidR="00C9752B" w:rsidRPr="00D71008" w:rsidRDefault="00C9752B" w:rsidP="00A20642">
            <w:pPr>
              <w:jc w:val="center"/>
              <w:rPr>
                <w:noProof/>
                <w:sz w:val="18"/>
                <w:szCs w:val="18"/>
                <w:lang w:eastAsia="en-GB"/>
              </w:rPr>
            </w:pPr>
            <w:r w:rsidRPr="00D71008">
              <w:rPr>
                <w:noProof/>
                <w:sz w:val="18"/>
                <w:szCs w:val="18"/>
                <w:lang w:eastAsia="en-GB"/>
              </w:rPr>
              <w:t>192 km</w:t>
            </w:r>
          </w:p>
        </w:tc>
      </w:tr>
      <w:tr w:rsidR="00C9752B" w:rsidRPr="00D71008" w14:paraId="1FDDEDBE" w14:textId="77777777" w:rsidTr="00090A1B">
        <w:trPr>
          <w:trHeight w:val="290"/>
        </w:trPr>
        <w:tc>
          <w:tcPr>
            <w:tcW w:w="817" w:type="pct"/>
          </w:tcPr>
          <w:p w14:paraId="5EE6A882" w14:textId="77777777" w:rsidR="00C9752B" w:rsidRPr="00D71008" w:rsidRDefault="00C9752B" w:rsidP="00A20642">
            <w:pPr>
              <w:jc w:val="center"/>
              <w:rPr>
                <w:noProof/>
                <w:sz w:val="18"/>
                <w:szCs w:val="18"/>
                <w:lang w:eastAsia="en-GB"/>
              </w:rPr>
            </w:pPr>
            <w:r w:rsidRPr="00D71008">
              <w:rPr>
                <w:noProof/>
                <w:sz w:val="18"/>
                <w:szCs w:val="18"/>
                <w:lang w:eastAsia="en-GB"/>
              </w:rPr>
              <w:t>35</w:t>
            </w:r>
          </w:p>
        </w:tc>
        <w:tc>
          <w:tcPr>
            <w:tcW w:w="909" w:type="pct"/>
            <w:noWrap/>
            <w:hideMark/>
          </w:tcPr>
          <w:p w14:paraId="51DB677B" w14:textId="27A09982" w:rsidR="00C9752B" w:rsidRPr="00D71008" w:rsidRDefault="00C9752B" w:rsidP="00A20642">
            <w:pPr>
              <w:jc w:val="center"/>
              <w:rPr>
                <w:noProof/>
                <w:sz w:val="18"/>
                <w:szCs w:val="18"/>
                <w:lang w:eastAsia="en-GB"/>
              </w:rPr>
            </w:pPr>
            <w:r w:rsidRPr="00D71008">
              <w:rPr>
                <w:noProof/>
                <w:sz w:val="18"/>
                <w:szCs w:val="18"/>
                <w:lang w:eastAsia="en-GB"/>
              </w:rPr>
              <w:t>Bratislava</w:t>
            </w:r>
          </w:p>
        </w:tc>
        <w:tc>
          <w:tcPr>
            <w:tcW w:w="817" w:type="pct"/>
            <w:noWrap/>
            <w:hideMark/>
          </w:tcPr>
          <w:p w14:paraId="691DB4DF" w14:textId="16B8C884" w:rsidR="00C9752B" w:rsidRPr="00D71008" w:rsidRDefault="00C9752B" w:rsidP="00A20642">
            <w:pPr>
              <w:jc w:val="center"/>
              <w:rPr>
                <w:noProof/>
                <w:sz w:val="18"/>
                <w:szCs w:val="18"/>
                <w:lang w:eastAsia="en-GB"/>
              </w:rPr>
            </w:pPr>
            <w:r w:rsidRPr="00D71008">
              <w:rPr>
                <w:noProof/>
                <w:sz w:val="18"/>
                <w:szCs w:val="18"/>
                <w:lang w:eastAsia="en-GB"/>
              </w:rPr>
              <w:t>Slovakia</w:t>
            </w:r>
          </w:p>
        </w:tc>
        <w:tc>
          <w:tcPr>
            <w:tcW w:w="818" w:type="pct"/>
            <w:noWrap/>
            <w:hideMark/>
          </w:tcPr>
          <w:p w14:paraId="33B0AB06" w14:textId="43FA1859" w:rsidR="00C9752B" w:rsidRPr="00D71008" w:rsidRDefault="00C9752B" w:rsidP="00A20642">
            <w:pPr>
              <w:jc w:val="center"/>
              <w:rPr>
                <w:noProof/>
                <w:sz w:val="18"/>
                <w:szCs w:val="18"/>
                <w:lang w:eastAsia="en-GB"/>
              </w:rPr>
            </w:pPr>
            <w:r w:rsidRPr="00D71008">
              <w:rPr>
                <w:noProof/>
                <w:sz w:val="18"/>
                <w:szCs w:val="18"/>
                <w:lang w:eastAsia="en-GB"/>
              </w:rPr>
              <w:t>Prague</w:t>
            </w:r>
          </w:p>
        </w:tc>
        <w:tc>
          <w:tcPr>
            <w:tcW w:w="818" w:type="pct"/>
            <w:noWrap/>
            <w:hideMark/>
          </w:tcPr>
          <w:p w14:paraId="1B9DE11F" w14:textId="408CA003" w:rsidR="00C9752B" w:rsidRPr="00D71008" w:rsidRDefault="00C9752B" w:rsidP="00A20642">
            <w:pPr>
              <w:jc w:val="center"/>
              <w:rPr>
                <w:noProof/>
                <w:sz w:val="18"/>
                <w:szCs w:val="18"/>
                <w:lang w:eastAsia="en-GB"/>
              </w:rPr>
            </w:pPr>
            <w:r w:rsidRPr="00D71008">
              <w:rPr>
                <w:noProof/>
                <w:sz w:val="18"/>
                <w:szCs w:val="18"/>
                <w:lang w:eastAsia="en-GB"/>
              </w:rPr>
              <w:t>Czech Republic</w:t>
            </w:r>
          </w:p>
        </w:tc>
        <w:tc>
          <w:tcPr>
            <w:tcW w:w="821" w:type="pct"/>
          </w:tcPr>
          <w:p w14:paraId="12D210DF" w14:textId="48583DD3" w:rsidR="00C9752B" w:rsidRPr="00D71008" w:rsidRDefault="00C9752B" w:rsidP="00A20642">
            <w:pPr>
              <w:jc w:val="center"/>
              <w:rPr>
                <w:noProof/>
                <w:sz w:val="18"/>
                <w:szCs w:val="18"/>
                <w:lang w:eastAsia="en-GB"/>
              </w:rPr>
            </w:pPr>
            <w:r w:rsidRPr="00D71008">
              <w:rPr>
                <w:noProof/>
                <w:sz w:val="18"/>
                <w:szCs w:val="18"/>
                <w:lang w:eastAsia="en-GB"/>
              </w:rPr>
              <w:t>396 km</w:t>
            </w:r>
          </w:p>
        </w:tc>
      </w:tr>
      <w:tr w:rsidR="00C9752B" w:rsidRPr="00D71008" w14:paraId="48A08F6E" w14:textId="77777777" w:rsidTr="00090A1B">
        <w:trPr>
          <w:trHeight w:val="290"/>
        </w:trPr>
        <w:tc>
          <w:tcPr>
            <w:tcW w:w="817" w:type="pct"/>
          </w:tcPr>
          <w:p w14:paraId="1FF64461" w14:textId="77777777" w:rsidR="00C9752B" w:rsidRPr="00D71008" w:rsidRDefault="00C9752B" w:rsidP="00A20642">
            <w:pPr>
              <w:jc w:val="center"/>
              <w:rPr>
                <w:noProof/>
                <w:sz w:val="18"/>
                <w:szCs w:val="18"/>
                <w:lang w:eastAsia="en-GB"/>
              </w:rPr>
            </w:pPr>
            <w:r w:rsidRPr="00D71008">
              <w:rPr>
                <w:noProof/>
                <w:sz w:val="18"/>
                <w:szCs w:val="18"/>
                <w:lang w:eastAsia="en-GB"/>
              </w:rPr>
              <w:t>36</w:t>
            </w:r>
          </w:p>
        </w:tc>
        <w:tc>
          <w:tcPr>
            <w:tcW w:w="909" w:type="pct"/>
            <w:noWrap/>
            <w:hideMark/>
          </w:tcPr>
          <w:p w14:paraId="45A9F31D" w14:textId="07CA4312" w:rsidR="00C9752B" w:rsidRPr="00D71008" w:rsidRDefault="00C9752B" w:rsidP="00A20642">
            <w:pPr>
              <w:jc w:val="center"/>
              <w:rPr>
                <w:noProof/>
                <w:sz w:val="18"/>
                <w:szCs w:val="18"/>
                <w:lang w:eastAsia="en-GB"/>
              </w:rPr>
            </w:pPr>
            <w:r w:rsidRPr="00D71008">
              <w:rPr>
                <w:noProof/>
                <w:sz w:val="18"/>
                <w:szCs w:val="18"/>
                <w:lang w:eastAsia="en-GB"/>
              </w:rPr>
              <w:t>Cluj-Napoca</w:t>
            </w:r>
          </w:p>
        </w:tc>
        <w:tc>
          <w:tcPr>
            <w:tcW w:w="817" w:type="pct"/>
            <w:noWrap/>
            <w:hideMark/>
          </w:tcPr>
          <w:p w14:paraId="23E06A04" w14:textId="29B5759B" w:rsidR="00C9752B" w:rsidRPr="00D71008" w:rsidRDefault="00C9752B" w:rsidP="00A20642">
            <w:pPr>
              <w:jc w:val="center"/>
              <w:rPr>
                <w:noProof/>
                <w:sz w:val="18"/>
                <w:szCs w:val="18"/>
                <w:lang w:eastAsia="en-GB"/>
              </w:rPr>
            </w:pPr>
            <w:r w:rsidRPr="00D71008">
              <w:rPr>
                <w:noProof/>
                <w:sz w:val="18"/>
                <w:szCs w:val="18"/>
                <w:lang w:eastAsia="en-GB"/>
              </w:rPr>
              <w:t>Romania</w:t>
            </w:r>
          </w:p>
        </w:tc>
        <w:tc>
          <w:tcPr>
            <w:tcW w:w="818" w:type="pct"/>
            <w:noWrap/>
            <w:hideMark/>
          </w:tcPr>
          <w:p w14:paraId="734FE40E" w14:textId="51EEBC46" w:rsidR="00C9752B" w:rsidRPr="00D71008" w:rsidRDefault="00C9752B" w:rsidP="00A20642">
            <w:pPr>
              <w:jc w:val="center"/>
              <w:rPr>
                <w:noProof/>
                <w:sz w:val="18"/>
                <w:szCs w:val="18"/>
                <w:lang w:eastAsia="en-GB"/>
              </w:rPr>
            </w:pPr>
            <w:r w:rsidRPr="00D71008">
              <w:rPr>
                <w:noProof/>
                <w:sz w:val="18"/>
                <w:szCs w:val="18"/>
                <w:lang w:eastAsia="en-GB"/>
              </w:rPr>
              <w:t>Budapest</w:t>
            </w:r>
          </w:p>
        </w:tc>
        <w:tc>
          <w:tcPr>
            <w:tcW w:w="818" w:type="pct"/>
            <w:noWrap/>
            <w:hideMark/>
          </w:tcPr>
          <w:p w14:paraId="5AECEDA9" w14:textId="414F3009" w:rsidR="00C9752B" w:rsidRPr="00D71008" w:rsidRDefault="00C9752B" w:rsidP="00A20642">
            <w:pPr>
              <w:jc w:val="center"/>
              <w:rPr>
                <w:noProof/>
                <w:sz w:val="18"/>
                <w:szCs w:val="18"/>
                <w:lang w:eastAsia="en-GB"/>
              </w:rPr>
            </w:pPr>
            <w:r w:rsidRPr="00D71008">
              <w:rPr>
                <w:noProof/>
                <w:sz w:val="18"/>
                <w:szCs w:val="18"/>
                <w:lang w:eastAsia="en-GB"/>
              </w:rPr>
              <w:t>Hungary</w:t>
            </w:r>
          </w:p>
        </w:tc>
        <w:tc>
          <w:tcPr>
            <w:tcW w:w="821" w:type="pct"/>
          </w:tcPr>
          <w:p w14:paraId="4E6660E8" w14:textId="15AADA67" w:rsidR="00C9752B" w:rsidRPr="00D71008" w:rsidRDefault="00C9752B" w:rsidP="00A20642">
            <w:pPr>
              <w:jc w:val="center"/>
              <w:rPr>
                <w:noProof/>
                <w:sz w:val="18"/>
                <w:szCs w:val="18"/>
                <w:lang w:eastAsia="en-GB"/>
              </w:rPr>
            </w:pPr>
            <w:r w:rsidRPr="00D71008">
              <w:rPr>
                <w:noProof/>
                <w:sz w:val="18"/>
                <w:szCs w:val="18"/>
                <w:lang w:eastAsia="en-GB"/>
              </w:rPr>
              <w:t>584 km</w:t>
            </w:r>
          </w:p>
        </w:tc>
      </w:tr>
      <w:tr w:rsidR="00C9752B" w:rsidRPr="00D71008" w14:paraId="17AB2030" w14:textId="77777777" w:rsidTr="00090A1B">
        <w:trPr>
          <w:trHeight w:val="290"/>
        </w:trPr>
        <w:tc>
          <w:tcPr>
            <w:tcW w:w="817" w:type="pct"/>
          </w:tcPr>
          <w:p w14:paraId="52AB3F0F" w14:textId="77777777" w:rsidR="00C9752B" w:rsidRPr="00D71008" w:rsidRDefault="00C9752B" w:rsidP="00A20642">
            <w:pPr>
              <w:jc w:val="center"/>
              <w:rPr>
                <w:noProof/>
                <w:sz w:val="18"/>
                <w:szCs w:val="18"/>
                <w:lang w:eastAsia="en-GB"/>
              </w:rPr>
            </w:pPr>
            <w:r w:rsidRPr="00D71008">
              <w:rPr>
                <w:noProof/>
                <w:sz w:val="18"/>
                <w:szCs w:val="18"/>
                <w:lang w:eastAsia="en-GB"/>
              </w:rPr>
              <w:t>37</w:t>
            </w:r>
          </w:p>
        </w:tc>
        <w:tc>
          <w:tcPr>
            <w:tcW w:w="909" w:type="pct"/>
            <w:noWrap/>
            <w:hideMark/>
          </w:tcPr>
          <w:p w14:paraId="0E9F02F6" w14:textId="6EAFD9AB" w:rsidR="00C9752B" w:rsidRPr="00D71008" w:rsidRDefault="00C9752B" w:rsidP="00A20642">
            <w:pPr>
              <w:jc w:val="center"/>
              <w:rPr>
                <w:noProof/>
                <w:sz w:val="18"/>
                <w:szCs w:val="18"/>
                <w:lang w:eastAsia="en-GB"/>
              </w:rPr>
            </w:pPr>
            <w:r w:rsidRPr="00D71008">
              <w:rPr>
                <w:noProof/>
                <w:sz w:val="18"/>
                <w:szCs w:val="18"/>
                <w:lang w:eastAsia="en-GB"/>
              </w:rPr>
              <w:t>Paris</w:t>
            </w:r>
          </w:p>
        </w:tc>
        <w:tc>
          <w:tcPr>
            <w:tcW w:w="817" w:type="pct"/>
            <w:noWrap/>
            <w:hideMark/>
          </w:tcPr>
          <w:p w14:paraId="0541490C" w14:textId="5655C0D4" w:rsidR="00C9752B" w:rsidRPr="00D71008" w:rsidRDefault="00C9752B" w:rsidP="00A20642">
            <w:pPr>
              <w:jc w:val="center"/>
              <w:rPr>
                <w:noProof/>
                <w:sz w:val="18"/>
                <w:szCs w:val="18"/>
                <w:lang w:eastAsia="en-GB"/>
              </w:rPr>
            </w:pPr>
            <w:r w:rsidRPr="00D71008">
              <w:rPr>
                <w:noProof/>
                <w:sz w:val="18"/>
                <w:szCs w:val="18"/>
                <w:lang w:eastAsia="en-GB"/>
              </w:rPr>
              <w:t>France</w:t>
            </w:r>
          </w:p>
        </w:tc>
        <w:tc>
          <w:tcPr>
            <w:tcW w:w="818" w:type="pct"/>
            <w:noWrap/>
            <w:hideMark/>
          </w:tcPr>
          <w:p w14:paraId="349C153F" w14:textId="7485AB39" w:rsidR="00C9752B" w:rsidRPr="00D71008" w:rsidRDefault="00C9752B" w:rsidP="00A20642">
            <w:pPr>
              <w:jc w:val="center"/>
              <w:rPr>
                <w:noProof/>
                <w:sz w:val="18"/>
                <w:szCs w:val="18"/>
                <w:lang w:eastAsia="en-GB"/>
              </w:rPr>
            </w:pPr>
            <w:r w:rsidRPr="00D71008">
              <w:rPr>
                <w:noProof/>
                <w:sz w:val="18"/>
                <w:szCs w:val="18"/>
                <w:lang w:eastAsia="en-GB"/>
              </w:rPr>
              <w:t>Lisbon</w:t>
            </w:r>
          </w:p>
        </w:tc>
        <w:tc>
          <w:tcPr>
            <w:tcW w:w="818" w:type="pct"/>
            <w:noWrap/>
            <w:hideMark/>
          </w:tcPr>
          <w:p w14:paraId="62E7DB17" w14:textId="6612DCFE" w:rsidR="00C9752B" w:rsidRPr="00D71008" w:rsidRDefault="00C9752B" w:rsidP="00A20642">
            <w:pPr>
              <w:jc w:val="center"/>
              <w:rPr>
                <w:noProof/>
                <w:sz w:val="18"/>
                <w:szCs w:val="18"/>
                <w:lang w:eastAsia="en-GB"/>
              </w:rPr>
            </w:pPr>
            <w:r w:rsidRPr="00D71008">
              <w:rPr>
                <w:noProof/>
                <w:sz w:val="18"/>
                <w:szCs w:val="18"/>
                <w:lang w:eastAsia="en-GB"/>
              </w:rPr>
              <w:t>Portugal</w:t>
            </w:r>
          </w:p>
        </w:tc>
        <w:tc>
          <w:tcPr>
            <w:tcW w:w="821" w:type="pct"/>
          </w:tcPr>
          <w:p w14:paraId="73CCECF3" w14:textId="4380A5F0" w:rsidR="00C9752B" w:rsidRPr="00D71008" w:rsidRDefault="00C9752B" w:rsidP="00A20642">
            <w:pPr>
              <w:jc w:val="center"/>
              <w:rPr>
                <w:noProof/>
                <w:sz w:val="18"/>
                <w:szCs w:val="18"/>
                <w:lang w:eastAsia="en-GB"/>
              </w:rPr>
            </w:pPr>
            <w:r w:rsidRPr="00D71008">
              <w:rPr>
                <w:noProof/>
                <w:sz w:val="18"/>
                <w:szCs w:val="18"/>
                <w:lang w:eastAsia="en-GB"/>
              </w:rPr>
              <w:t>2,651 km</w:t>
            </w:r>
          </w:p>
        </w:tc>
      </w:tr>
      <w:tr w:rsidR="00C9752B" w:rsidRPr="00D71008" w14:paraId="664A4D1C" w14:textId="77777777" w:rsidTr="00090A1B">
        <w:trPr>
          <w:trHeight w:val="290"/>
        </w:trPr>
        <w:tc>
          <w:tcPr>
            <w:tcW w:w="817" w:type="pct"/>
          </w:tcPr>
          <w:p w14:paraId="1AFE994C" w14:textId="77777777" w:rsidR="00C9752B" w:rsidRPr="00D71008" w:rsidRDefault="00C9752B" w:rsidP="00A20642">
            <w:pPr>
              <w:jc w:val="center"/>
              <w:rPr>
                <w:noProof/>
                <w:sz w:val="18"/>
                <w:szCs w:val="18"/>
                <w:lang w:eastAsia="en-GB"/>
              </w:rPr>
            </w:pPr>
            <w:r w:rsidRPr="00D71008">
              <w:rPr>
                <w:noProof/>
                <w:sz w:val="18"/>
                <w:szCs w:val="18"/>
                <w:lang w:eastAsia="en-GB"/>
              </w:rPr>
              <w:t>38</w:t>
            </w:r>
          </w:p>
        </w:tc>
        <w:tc>
          <w:tcPr>
            <w:tcW w:w="909" w:type="pct"/>
            <w:noWrap/>
            <w:hideMark/>
          </w:tcPr>
          <w:p w14:paraId="344BB381" w14:textId="4CE4F7C5" w:rsidR="00C9752B" w:rsidRPr="00D71008" w:rsidRDefault="00C9752B" w:rsidP="00A20642">
            <w:pPr>
              <w:jc w:val="center"/>
              <w:rPr>
                <w:noProof/>
                <w:sz w:val="18"/>
                <w:szCs w:val="18"/>
                <w:lang w:eastAsia="en-GB"/>
              </w:rPr>
            </w:pPr>
            <w:r w:rsidRPr="00D71008">
              <w:rPr>
                <w:noProof/>
                <w:sz w:val="18"/>
                <w:szCs w:val="18"/>
                <w:lang w:eastAsia="en-GB"/>
              </w:rPr>
              <w:t>Lyon</w:t>
            </w:r>
          </w:p>
        </w:tc>
        <w:tc>
          <w:tcPr>
            <w:tcW w:w="817" w:type="pct"/>
            <w:noWrap/>
            <w:hideMark/>
          </w:tcPr>
          <w:p w14:paraId="57322CDC" w14:textId="77E10C42" w:rsidR="00C9752B" w:rsidRPr="00D71008" w:rsidRDefault="00C9752B" w:rsidP="00A20642">
            <w:pPr>
              <w:jc w:val="center"/>
              <w:rPr>
                <w:noProof/>
                <w:sz w:val="18"/>
                <w:szCs w:val="18"/>
                <w:lang w:eastAsia="en-GB"/>
              </w:rPr>
            </w:pPr>
            <w:r w:rsidRPr="00D71008">
              <w:rPr>
                <w:noProof/>
                <w:sz w:val="18"/>
                <w:szCs w:val="18"/>
                <w:lang w:eastAsia="en-GB"/>
              </w:rPr>
              <w:t>France</w:t>
            </w:r>
          </w:p>
        </w:tc>
        <w:tc>
          <w:tcPr>
            <w:tcW w:w="818" w:type="pct"/>
            <w:noWrap/>
            <w:hideMark/>
          </w:tcPr>
          <w:p w14:paraId="3AEFDB53" w14:textId="11F8F464" w:rsidR="00C9752B" w:rsidRPr="00D71008" w:rsidRDefault="00C9752B" w:rsidP="00A20642">
            <w:pPr>
              <w:jc w:val="center"/>
              <w:rPr>
                <w:noProof/>
                <w:sz w:val="18"/>
                <w:szCs w:val="18"/>
                <w:lang w:eastAsia="en-GB"/>
              </w:rPr>
            </w:pPr>
            <w:r w:rsidRPr="00D71008">
              <w:rPr>
                <w:noProof/>
                <w:sz w:val="18"/>
                <w:szCs w:val="18"/>
                <w:lang w:eastAsia="en-GB"/>
              </w:rPr>
              <w:t>Turin</w:t>
            </w:r>
          </w:p>
        </w:tc>
        <w:tc>
          <w:tcPr>
            <w:tcW w:w="818" w:type="pct"/>
            <w:noWrap/>
            <w:hideMark/>
          </w:tcPr>
          <w:p w14:paraId="1EBDCC1B" w14:textId="0767D9A3" w:rsidR="00C9752B" w:rsidRPr="00D71008" w:rsidRDefault="00C9752B" w:rsidP="00A20642">
            <w:pPr>
              <w:jc w:val="center"/>
              <w:rPr>
                <w:noProof/>
                <w:sz w:val="18"/>
                <w:szCs w:val="18"/>
                <w:lang w:eastAsia="en-GB"/>
              </w:rPr>
            </w:pPr>
            <w:r w:rsidRPr="00D71008">
              <w:rPr>
                <w:noProof/>
                <w:sz w:val="18"/>
                <w:szCs w:val="18"/>
                <w:lang w:eastAsia="en-GB"/>
              </w:rPr>
              <w:t>Italy</w:t>
            </w:r>
          </w:p>
        </w:tc>
        <w:tc>
          <w:tcPr>
            <w:tcW w:w="821" w:type="pct"/>
          </w:tcPr>
          <w:p w14:paraId="724BF030" w14:textId="5E222D76" w:rsidR="00C9752B" w:rsidRPr="00D71008" w:rsidRDefault="00C9752B" w:rsidP="00A20642">
            <w:pPr>
              <w:jc w:val="center"/>
              <w:rPr>
                <w:noProof/>
                <w:sz w:val="18"/>
                <w:szCs w:val="18"/>
                <w:lang w:eastAsia="en-GB"/>
              </w:rPr>
            </w:pPr>
            <w:r w:rsidRPr="00D71008">
              <w:rPr>
                <w:noProof/>
                <w:sz w:val="18"/>
                <w:szCs w:val="18"/>
                <w:lang w:eastAsia="en-GB"/>
              </w:rPr>
              <w:t>249 km</w:t>
            </w:r>
          </w:p>
        </w:tc>
      </w:tr>
      <w:tr w:rsidR="00C9752B" w:rsidRPr="00D71008" w14:paraId="6FEBEF61" w14:textId="77777777" w:rsidTr="00090A1B">
        <w:trPr>
          <w:trHeight w:val="290"/>
        </w:trPr>
        <w:tc>
          <w:tcPr>
            <w:tcW w:w="817" w:type="pct"/>
          </w:tcPr>
          <w:p w14:paraId="4B7D05C3" w14:textId="77777777" w:rsidR="00C9752B" w:rsidRPr="00D71008" w:rsidRDefault="00C9752B" w:rsidP="00A20642">
            <w:pPr>
              <w:jc w:val="center"/>
              <w:rPr>
                <w:noProof/>
                <w:sz w:val="18"/>
                <w:szCs w:val="18"/>
                <w:lang w:eastAsia="en-GB"/>
              </w:rPr>
            </w:pPr>
            <w:r w:rsidRPr="00D71008">
              <w:rPr>
                <w:noProof/>
                <w:sz w:val="18"/>
                <w:szCs w:val="18"/>
                <w:lang w:eastAsia="en-GB"/>
              </w:rPr>
              <w:t>39</w:t>
            </w:r>
          </w:p>
        </w:tc>
        <w:tc>
          <w:tcPr>
            <w:tcW w:w="909" w:type="pct"/>
            <w:noWrap/>
            <w:hideMark/>
          </w:tcPr>
          <w:p w14:paraId="1652D479" w14:textId="36F3321B" w:rsidR="00C9752B" w:rsidRPr="00D71008" w:rsidRDefault="00C9752B" w:rsidP="00A20642">
            <w:pPr>
              <w:jc w:val="center"/>
              <w:rPr>
                <w:noProof/>
                <w:sz w:val="18"/>
                <w:szCs w:val="18"/>
                <w:lang w:eastAsia="en-GB"/>
              </w:rPr>
            </w:pPr>
            <w:r w:rsidRPr="00D71008">
              <w:rPr>
                <w:noProof/>
                <w:sz w:val="18"/>
                <w:szCs w:val="18"/>
                <w:lang w:eastAsia="en-GB"/>
              </w:rPr>
              <w:t>Paris</w:t>
            </w:r>
          </w:p>
        </w:tc>
        <w:tc>
          <w:tcPr>
            <w:tcW w:w="817" w:type="pct"/>
            <w:noWrap/>
            <w:hideMark/>
          </w:tcPr>
          <w:p w14:paraId="02ADD624" w14:textId="6E0CA88A" w:rsidR="00C9752B" w:rsidRPr="00D71008" w:rsidRDefault="00C9752B" w:rsidP="00A20642">
            <w:pPr>
              <w:jc w:val="center"/>
              <w:rPr>
                <w:noProof/>
                <w:sz w:val="18"/>
                <w:szCs w:val="18"/>
                <w:lang w:eastAsia="en-GB"/>
              </w:rPr>
            </w:pPr>
            <w:r w:rsidRPr="00D71008">
              <w:rPr>
                <w:noProof/>
                <w:sz w:val="18"/>
                <w:szCs w:val="18"/>
                <w:lang w:eastAsia="en-GB"/>
              </w:rPr>
              <w:t>France</w:t>
            </w:r>
          </w:p>
        </w:tc>
        <w:tc>
          <w:tcPr>
            <w:tcW w:w="818" w:type="pct"/>
            <w:noWrap/>
            <w:hideMark/>
          </w:tcPr>
          <w:p w14:paraId="61FCCEAF" w14:textId="0B6D123C" w:rsidR="00C9752B" w:rsidRPr="00D71008" w:rsidRDefault="00C9752B" w:rsidP="00A20642">
            <w:pPr>
              <w:jc w:val="center"/>
              <w:rPr>
                <w:noProof/>
                <w:sz w:val="18"/>
                <w:szCs w:val="18"/>
                <w:lang w:eastAsia="en-GB"/>
              </w:rPr>
            </w:pPr>
            <w:r w:rsidRPr="00D71008">
              <w:rPr>
                <w:noProof/>
                <w:sz w:val="18"/>
                <w:szCs w:val="18"/>
                <w:lang w:eastAsia="en-GB"/>
              </w:rPr>
              <w:t>Porto</w:t>
            </w:r>
          </w:p>
        </w:tc>
        <w:tc>
          <w:tcPr>
            <w:tcW w:w="818" w:type="pct"/>
            <w:noWrap/>
            <w:hideMark/>
          </w:tcPr>
          <w:p w14:paraId="3A9204D7" w14:textId="18902E11" w:rsidR="00C9752B" w:rsidRPr="00D71008" w:rsidRDefault="00C9752B" w:rsidP="00A20642">
            <w:pPr>
              <w:jc w:val="center"/>
              <w:rPr>
                <w:noProof/>
                <w:sz w:val="18"/>
                <w:szCs w:val="18"/>
                <w:lang w:eastAsia="en-GB"/>
              </w:rPr>
            </w:pPr>
            <w:r w:rsidRPr="00D71008">
              <w:rPr>
                <w:noProof/>
                <w:sz w:val="18"/>
                <w:szCs w:val="18"/>
                <w:lang w:eastAsia="en-GB"/>
              </w:rPr>
              <w:t>Portugal</w:t>
            </w:r>
          </w:p>
        </w:tc>
        <w:tc>
          <w:tcPr>
            <w:tcW w:w="821" w:type="pct"/>
          </w:tcPr>
          <w:p w14:paraId="0ED080DA" w14:textId="4410ACDA" w:rsidR="00C9752B" w:rsidRPr="00D71008" w:rsidRDefault="00C9752B" w:rsidP="00A20642">
            <w:pPr>
              <w:jc w:val="center"/>
              <w:rPr>
                <w:noProof/>
                <w:sz w:val="18"/>
                <w:szCs w:val="18"/>
                <w:lang w:eastAsia="en-GB"/>
              </w:rPr>
            </w:pPr>
            <w:r w:rsidRPr="00D71008">
              <w:rPr>
                <w:noProof/>
                <w:sz w:val="18"/>
                <w:szCs w:val="18"/>
                <w:lang w:eastAsia="en-GB"/>
              </w:rPr>
              <w:t>2,604 km</w:t>
            </w:r>
          </w:p>
        </w:tc>
      </w:tr>
      <w:tr w:rsidR="00C9752B" w:rsidRPr="00D71008" w14:paraId="5F0E6A46" w14:textId="77777777" w:rsidTr="00090A1B">
        <w:trPr>
          <w:trHeight w:val="290"/>
        </w:trPr>
        <w:tc>
          <w:tcPr>
            <w:tcW w:w="817" w:type="pct"/>
          </w:tcPr>
          <w:p w14:paraId="494B4151" w14:textId="77777777" w:rsidR="00C9752B" w:rsidRPr="00D71008" w:rsidRDefault="00C9752B" w:rsidP="00A20642">
            <w:pPr>
              <w:jc w:val="center"/>
              <w:rPr>
                <w:noProof/>
                <w:sz w:val="18"/>
                <w:szCs w:val="18"/>
                <w:lang w:eastAsia="en-GB"/>
              </w:rPr>
            </w:pPr>
            <w:r w:rsidRPr="00D71008">
              <w:rPr>
                <w:noProof/>
                <w:sz w:val="18"/>
                <w:szCs w:val="18"/>
                <w:lang w:eastAsia="en-GB"/>
              </w:rPr>
              <w:t>40</w:t>
            </w:r>
          </w:p>
        </w:tc>
        <w:tc>
          <w:tcPr>
            <w:tcW w:w="909" w:type="pct"/>
            <w:noWrap/>
            <w:hideMark/>
          </w:tcPr>
          <w:p w14:paraId="67159B9D" w14:textId="50A2055B" w:rsidR="00C9752B" w:rsidRPr="00D71008" w:rsidRDefault="00C9752B" w:rsidP="00A20642">
            <w:pPr>
              <w:jc w:val="center"/>
              <w:rPr>
                <w:noProof/>
                <w:sz w:val="18"/>
                <w:szCs w:val="18"/>
                <w:lang w:eastAsia="en-GB"/>
              </w:rPr>
            </w:pPr>
            <w:r w:rsidRPr="00D71008">
              <w:rPr>
                <w:noProof/>
                <w:sz w:val="18"/>
                <w:szCs w:val="18"/>
                <w:lang w:eastAsia="en-GB"/>
              </w:rPr>
              <w:t>Dublin</w:t>
            </w:r>
          </w:p>
        </w:tc>
        <w:tc>
          <w:tcPr>
            <w:tcW w:w="817" w:type="pct"/>
            <w:noWrap/>
            <w:hideMark/>
          </w:tcPr>
          <w:p w14:paraId="42FFB20C" w14:textId="09318CD6" w:rsidR="00C9752B" w:rsidRPr="00D71008" w:rsidRDefault="00C9752B" w:rsidP="00A20642">
            <w:pPr>
              <w:jc w:val="center"/>
              <w:rPr>
                <w:noProof/>
                <w:sz w:val="18"/>
                <w:szCs w:val="18"/>
                <w:lang w:eastAsia="en-GB"/>
              </w:rPr>
            </w:pPr>
            <w:r w:rsidRPr="00D71008">
              <w:rPr>
                <w:noProof/>
                <w:sz w:val="18"/>
                <w:szCs w:val="18"/>
                <w:lang w:eastAsia="en-GB"/>
              </w:rPr>
              <w:t>Ireland</w:t>
            </w:r>
          </w:p>
        </w:tc>
        <w:tc>
          <w:tcPr>
            <w:tcW w:w="818" w:type="pct"/>
            <w:noWrap/>
            <w:hideMark/>
          </w:tcPr>
          <w:p w14:paraId="665E524B" w14:textId="5EAEC077" w:rsidR="00C9752B" w:rsidRPr="00D71008" w:rsidRDefault="00C9752B" w:rsidP="00A20642">
            <w:pPr>
              <w:jc w:val="center"/>
              <w:rPr>
                <w:noProof/>
                <w:sz w:val="18"/>
                <w:szCs w:val="18"/>
                <w:lang w:eastAsia="en-GB"/>
              </w:rPr>
            </w:pPr>
            <w:r w:rsidRPr="00D71008">
              <w:rPr>
                <w:noProof/>
                <w:sz w:val="18"/>
                <w:szCs w:val="18"/>
                <w:lang w:eastAsia="en-GB"/>
              </w:rPr>
              <w:t>Paris</w:t>
            </w:r>
          </w:p>
        </w:tc>
        <w:tc>
          <w:tcPr>
            <w:tcW w:w="818" w:type="pct"/>
            <w:noWrap/>
            <w:hideMark/>
          </w:tcPr>
          <w:p w14:paraId="4B880294" w14:textId="1F0F8C9C" w:rsidR="00C9752B" w:rsidRPr="00D71008" w:rsidRDefault="00C9752B" w:rsidP="00A20642">
            <w:pPr>
              <w:jc w:val="center"/>
              <w:rPr>
                <w:noProof/>
                <w:sz w:val="18"/>
                <w:szCs w:val="18"/>
                <w:lang w:eastAsia="en-GB"/>
              </w:rPr>
            </w:pPr>
            <w:r w:rsidRPr="00D71008">
              <w:rPr>
                <w:noProof/>
                <w:sz w:val="18"/>
                <w:szCs w:val="18"/>
                <w:lang w:eastAsia="en-GB"/>
              </w:rPr>
              <w:t>France</w:t>
            </w:r>
          </w:p>
        </w:tc>
        <w:tc>
          <w:tcPr>
            <w:tcW w:w="821" w:type="pct"/>
          </w:tcPr>
          <w:p w14:paraId="3BD7C0DB" w14:textId="24BF2795" w:rsidR="00C9752B" w:rsidRPr="00D71008" w:rsidRDefault="00C9752B" w:rsidP="00A20642">
            <w:pPr>
              <w:jc w:val="center"/>
              <w:rPr>
                <w:noProof/>
                <w:sz w:val="18"/>
                <w:szCs w:val="18"/>
                <w:lang w:eastAsia="en-GB"/>
              </w:rPr>
            </w:pPr>
            <w:r w:rsidRPr="00D71008">
              <w:rPr>
                <w:noProof/>
                <w:sz w:val="18"/>
                <w:szCs w:val="18"/>
                <w:lang w:eastAsia="en-GB"/>
              </w:rPr>
              <w:t>1,041 km</w:t>
            </w:r>
          </w:p>
        </w:tc>
      </w:tr>
      <w:tr w:rsidR="00C9752B" w:rsidRPr="00D71008" w14:paraId="3C5854ED" w14:textId="77777777" w:rsidTr="00090A1B">
        <w:trPr>
          <w:trHeight w:val="290"/>
        </w:trPr>
        <w:tc>
          <w:tcPr>
            <w:tcW w:w="817" w:type="pct"/>
          </w:tcPr>
          <w:p w14:paraId="470FDBAB" w14:textId="77777777" w:rsidR="00C9752B" w:rsidRPr="00D71008" w:rsidRDefault="00C9752B" w:rsidP="00A20642">
            <w:pPr>
              <w:jc w:val="center"/>
              <w:rPr>
                <w:noProof/>
                <w:sz w:val="18"/>
                <w:szCs w:val="18"/>
                <w:lang w:eastAsia="en-GB"/>
              </w:rPr>
            </w:pPr>
            <w:r w:rsidRPr="00D71008">
              <w:rPr>
                <w:noProof/>
                <w:sz w:val="18"/>
                <w:szCs w:val="18"/>
                <w:lang w:eastAsia="en-GB"/>
              </w:rPr>
              <w:t>41</w:t>
            </w:r>
          </w:p>
        </w:tc>
        <w:tc>
          <w:tcPr>
            <w:tcW w:w="909" w:type="pct"/>
            <w:noWrap/>
            <w:hideMark/>
          </w:tcPr>
          <w:p w14:paraId="466AF99A" w14:textId="3D636EFF" w:rsidR="00C9752B" w:rsidRPr="00D71008" w:rsidRDefault="00C9752B" w:rsidP="00A20642">
            <w:pPr>
              <w:jc w:val="center"/>
              <w:rPr>
                <w:noProof/>
                <w:sz w:val="18"/>
                <w:szCs w:val="18"/>
                <w:lang w:eastAsia="en-GB"/>
              </w:rPr>
            </w:pPr>
            <w:r w:rsidRPr="00D71008">
              <w:rPr>
                <w:noProof/>
                <w:sz w:val="18"/>
                <w:szCs w:val="18"/>
                <w:lang w:eastAsia="en-GB"/>
              </w:rPr>
              <w:t>Lisbon</w:t>
            </w:r>
          </w:p>
        </w:tc>
        <w:tc>
          <w:tcPr>
            <w:tcW w:w="817" w:type="pct"/>
            <w:noWrap/>
            <w:hideMark/>
          </w:tcPr>
          <w:p w14:paraId="10F6518E" w14:textId="3F673B94" w:rsidR="00C9752B" w:rsidRPr="00D71008" w:rsidRDefault="00C9752B" w:rsidP="00A20642">
            <w:pPr>
              <w:jc w:val="center"/>
              <w:rPr>
                <w:noProof/>
                <w:sz w:val="18"/>
                <w:szCs w:val="18"/>
                <w:lang w:eastAsia="en-GB"/>
              </w:rPr>
            </w:pPr>
            <w:r w:rsidRPr="00D71008">
              <w:rPr>
                <w:noProof/>
                <w:sz w:val="18"/>
                <w:szCs w:val="18"/>
                <w:lang w:eastAsia="en-GB"/>
              </w:rPr>
              <w:t>Portugal</w:t>
            </w:r>
          </w:p>
        </w:tc>
        <w:tc>
          <w:tcPr>
            <w:tcW w:w="818" w:type="pct"/>
            <w:noWrap/>
            <w:hideMark/>
          </w:tcPr>
          <w:p w14:paraId="54A3686F" w14:textId="2BA6BF73" w:rsidR="00C9752B" w:rsidRPr="00D71008" w:rsidRDefault="00C9752B" w:rsidP="00A20642">
            <w:pPr>
              <w:jc w:val="center"/>
              <w:rPr>
                <w:noProof/>
                <w:sz w:val="18"/>
                <w:szCs w:val="18"/>
                <w:lang w:eastAsia="en-GB"/>
              </w:rPr>
            </w:pPr>
            <w:r w:rsidRPr="00D71008">
              <w:rPr>
                <w:noProof/>
                <w:sz w:val="18"/>
                <w:szCs w:val="18"/>
                <w:lang w:eastAsia="en-GB"/>
              </w:rPr>
              <w:t>Brussels</w:t>
            </w:r>
          </w:p>
        </w:tc>
        <w:tc>
          <w:tcPr>
            <w:tcW w:w="818" w:type="pct"/>
            <w:noWrap/>
            <w:hideMark/>
          </w:tcPr>
          <w:p w14:paraId="1BEA5ED7" w14:textId="4D16A2F8" w:rsidR="00C9752B" w:rsidRPr="00D71008" w:rsidRDefault="00C9752B" w:rsidP="00A20642">
            <w:pPr>
              <w:jc w:val="center"/>
              <w:rPr>
                <w:noProof/>
                <w:sz w:val="18"/>
                <w:szCs w:val="18"/>
                <w:lang w:eastAsia="en-GB"/>
              </w:rPr>
            </w:pPr>
            <w:r w:rsidRPr="00D71008">
              <w:rPr>
                <w:noProof/>
                <w:sz w:val="18"/>
                <w:szCs w:val="18"/>
                <w:lang w:eastAsia="en-GB"/>
              </w:rPr>
              <w:t>Belgium</w:t>
            </w:r>
          </w:p>
        </w:tc>
        <w:tc>
          <w:tcPr>
            <w:tcW w:w="821" w:type="pct"/>
          </w:tcPr>
          <w:p w14:paraId="094522E5" w14:textId="026F3409" w:rsidR="00C9752B" w:rsidRPr="00D71008" w:rsidRDefault="00C9752B" w:rsidP="00A20642">
            <w:pPr>
              <w:jc w:val="center"/>
              <w:rPr>
                <w:noProof/>
                <w:sz w:val="18"/>
                <w:szCs w:val="18"/>
                <w:lang w:eastAsia="en-GB"/>
              </w:rPr>
            </w:pPr>
            <w:r w:rsidRPr="00D71008">
              <w:rPr>
                <w:noProof/>
                <w:sz w:val="18"/>
                <w:szCs w:val="18"/>
                <w:lang w:eastAsia="en-GB"/>
              </w:rPr>
              <w:t>1,980 km</w:t>
            </w:r>
          </w:p>
        </w:tc>
      </w:tr>
      <w:tr w:rsidR="00C9752B" w:rsidRPr="00D71008" w14:paraId="21CFF0BA" w14:textId="77777777" w:rsidTr="00090A1B">
        <w:trPr>
          <w:trHeight w:val="290"/>
        </w:trPr>
        <w:tc>
          <w:tcPr>
            <w:tcW w:w="817" w:type="pct"/>
          </w:tcPr>
          <w:p w14:paraId="23BEE89B" w14:textId="77777777" w:rsidR="00C9752B" w:rsidRPr="00D71008" w:rsidRDefault="00C9752B" w:rsidP="00A20642">
            <w:pPr>
              <w:jc w:val="center"/>
              <w:rPr>
                <w:noProof/>
                <w:sz w:val="18"/>
                <w:szCs w:val="18"/>
                <w:lang w:eastAsia="en-GB"/>
              </w:rPr>
            </w:pPr>
            <w:r w:rsidRPr="00D71008">
              <w:rPr>
                <w:noProof/>
                <w:sz w:val="18"/>
                <w:szCs w:val="18"/>
                <w:lang w:eastAsia="en-GB"/>
              </w:rPr>
              <w:t>42</w:t>
            </w:r>
          </w:p>
        </w:tc>
        <w:tc>
          <w:tcPr>
            <w:tcW w:w="909" w:type="pct"/>
            <w:noWrap/>
            <w:hideMark/>
          </w:tcPr>
          <w:p w14:paraId="6DEE5A59" w14:textId="54329BE3" w:rsidR="00C9752B" w:rsidRPr="00D71008" w:rsidRDefault="00C9752B" w:rsidP="00A20642">
            <w:pPr>
              <w:jc w:val="center"/>
              <w:rPr>
                <w:noProof/>
                <w:sz w:val="18"/>
                <w:szCs w:val="18"/>
                <w:lang w:eastAsia="en-GB"/>
              </w:rPr>
            </w:pPr>
            <w:r w:rsidRPr="00D71008">
              <w:rPr>
                <w:noProof/>
                <w:sz w:val="18"/>
                <w:szCs w:val="18"/>
                <w:lang w:eastAsia="en-GB"/>
              </w:rPr>
              <w:t>Bucharest</w:t>
            </w:r>
          </w:p>
        </w:tc>
        <w:tc>
          <w:tcPr>
            <w:tcW w:w="817" w:type="pct"/>
            <w:noWrap/>
            <w:hideMark/>
          </w:tcPr>
          <w:p w14:paraId="6C0CF294" w14:textId="0EED079D" w:rsidR="00C9752B" w:rsidRPr="00D71008" w:rsidRDefault="00C9752B" w:rsidP="00A20642">
            <w:pPr>
              <w:jc w:val="center"/>
              <w:rPr>
                <w:noProof/>
                <w:sz w:val="18"/>
                <w:szCs w:val="18"/>
                <w:lang w:eastAsia="en-GB"/>
              </w:rPr>
            </w:pPr>
            <w:r w:rsidRPr="00D71008">
              <w:rPr>
                <w:noProof/>
                <w:sz w:val="18"/>
                <w:szCs w:val="18"/>
                <w:lang w:eastAsia="en-GB"/>
              </w:rPr>
              <w:t>Romania</w:t>
            </w:r>
          </w:p>
        </w:tc>
        <w:tc>
          <w:tcPr>
            <w:tcW w:w="818" w:type="pct"/>
            <w:noWrap/>
            <w:hideMark/>
          </w:tcPr>
          <w:p w14:paraId="47C3077C" w14:textId="46730C8A" w:rsidR="00C9752B" w:rsidRPr="00D71008" w:rsidRDefault="00C9752B" w:rsidP="00A20642">
            <w:pPr>
              <w:jc w:val="center"/>
              <w:rPr>
                <w:noProof/>
                <w:sz w:val="18"/>
                <w:szCs w:val="18"/>
                <w:lang w:eastAsia="en-GB"/>
              </w:rPr>
            </w:pPr>
            <w:r w:rsidRPr="00D71008">
              <w:rPr>
                <w:noProof/>
                <w:sz w:val="18"/>
                <w:szCs w:val="18"/>
                <w:lang w:eastAsia="en-GB"/>
              </w:rPr>
              <w:t>Vienna</w:t>
            </w:r>
          </w:p>
        </w:tc>
        <w:tc>
          <w:tcPr>
            <w:tcW w:w="818" w:type="pct"/>
            <w:noWrap/>
            <w:hideMark/>
          </w:tcPr>
          <w:p w14:paraId="2002F34B" w14:textId="23D1622F" w:rsidR="00C9752B" w:rsidRPr="00D71008" w:rsidRDefault="00C9752B" w:rsidP="00A20642">
            <w:pPr>
              <w:jc w:val="center"/>
              <w:rPr>
                <w:noProof/>
                <w:sz w:val="18"/>
                <w:szCs w:val="18"/>
                <w:lang w:eastAsia="en-GB"/>
              </w:rPr>
            </w:pPr>
            <w:r w:rsidRPr="00D71008">
              <w:rPr>
                <w:noProof/>
                <w:sz w:val="18"/>
                <w:szCs w:val="18"/>
                <w:lang w:eastAsia="en-GB"/>
              </w:rPr>
              <w:t>Austria</w:t>
            </w:r>
          </w:p>
        </w:tc>
        <w:tc>
          <w:tcPr>
            <w:tcW w:w="821" w:type="pct"/>
          </w:tcPr>
          <w:p w14:paraId="2C3C5685" w14:textId="352D4945" w:rsidR="00C9752B" w:rsidRPr="00D71008" w:rsidRDefault="00C9752B" w:rsidP="00A20642">
            <w:pPr>
              <w:jc w:val="center"/>
              <w:rPr>
                <w:noProof/>
                <w:sz w:val="18"/>
                <w:szCs w:val="18"/>
                <w:lang w:eastAsia="en-GB"/>
              </w:rPr>
            </w:pPr>
            <w:r w:rsidRPr="00D71008">
              <w:rPr>
                <w:noProof/>
                <w:sz w:val="18"/>
                <w:szCs w:val="18"/>
                <w:lang w:eastAsia="en-GB"/>
              </w:rPr>
              <w:t>1,133 km</w:t>
            </w:r>
          </w:p>
        </w:tc>
      </w:tr>
      <w:tr w:rsidR="00C9752B" w:rsidRPr="00D71008" w14:paraId="7263D6AD" w14:textId="77777777" w:rsidTr="00090A1B">
        <w:trPr>
          <w:trHeight w:val="290"/>
        </w:trPr>
        <w:tc>
          <w:tcPr>
            <w:tcW w:w="817" w:type="pct"/>
          </w:tcPr>
          <w:p w14:paraId="4152E331" w14:textId="77777777" w:rsidR="00C9752B" w:rsidRPr="00D71008" w:rsidRDefault="00C9752B" w:rsidP="00A20642">
            <w:pPr>
              <w:jc w:val="center"/>
              <w:rPr>
                <w:noProof/>
                <w:sz w:val="18"/>
                <w:szCs w:val="18"/>
                <w:lang w:eastAsia="en-GB"/>
              </w:rPr>
            </w:pPr>
            <w:r w:rsidRPr="00D71008">
              <w:rPr>
                <w:noProof/>
                <w:sz w:val="18"/>
                <w:szCs w:val="18"/>
                <w:lang w:eastAsia="en-GB"/>
              </w:rPr>
              <w:t>43</w:t>
            </w:r>
          </w:p>
        </w:tc>
        <w:tc>
          <w:tcPr>
            <w:tcW w:w="909" w:type="pct"/>
            <w:noWrap/>
            <w:hideMark/>
          </w:tcPr>
          <w:p w14:paraId="23E29D8D" w14:textId="0A859314" w:rsidR="00C9752B" w:rsidRPr="00D71008" w:rsidRDefault="00C9752B" w:rsidP="00A20642">
            <w:pPr>
              <w:jc w:val="center"/>
              <w:rPr>
                <w:noProof/>
                <w:sz w:val="18"/>
                <w:szCs w:val="18"/>
                <w:lang w:eastAsia="en-GB"/>
              </w:rPr>
            </w:pPr>
            <w:r w:rsidRPr="00D71008">
              <w:rPr>
                <w:noProof/>
                <w:sz w:val="18"/>
                <w:szCs w:val="18"/>
                <w:lang w:eastAsia="en-GB"/>
              </w:rPr>
              <w:t>Brussels</w:t>
            </w:r>
          </w:p>
        </w:tc>
        <w:tc>
          <w:tcPr>
            <w:tcW w:w="817" w:type="pct"/>
            <w:noWrap/>
            <w:hideMark/>
          </w:tcPr>
          <w:p w14:paraId="47C30064" w14:textId="50576F37" w:rsidR="00C9752B" w:rsidRPr="00D71008" w:rsidRDefault="00C9752B" w:rsidP="00A20642">
            <w:pPr>
              <w:jc w:val="center"/>
              <w:rPr>
                <w:noProof/>
                <w:sz w:val="18"/>
                <w:szCs w:val="18"/>
                <w:lang w:eastAsia="en-GB"/>
              </w:rPr>
            </w:pPr>
            <w:r w:rsidRPr="00D71008">
              <w:rPr>
                <w:noProof/>
                <w:sz w:val="18"/>
                <w:szCs w:val="18"/>
                <w:lang w:eastAsia="en-GB"/>
              </w:rPr>
              <w:t>Belgium</w:t>
            </w:r>
          </w:p>
        </w:tc>
        <w:tc>
          <w:tcPr>
            <w:tcW w:w="818" w:type="pct"/>
            <w:noWrap/>
            <w:hideMark/>
          </w:tcPr>
          <w:p w14:paraId="1EF2D1D3" w14:textId="052693FC" w:rsidR="00C9752B" w:rsidRPr="00D71008" w:rsidRDefault="00C9752B" w:rsidP="00A20642">
            <w:pPr>
              <w:jc w:val="center"/>
              <w:rPr>
                <w:noProof/>
                <w:sz w:val="18"/>
                <w:szCs w:val="18"/>
                <w:lang w:eastAsia="en-GB"/>
              </w:rPr>
            </w:pPr>
            <w:r w:rsidRPr="00D71008">
              <w:rPr>
                <w:noProof/>
                <w:sz w:val="18"/>
                <w:szCs w:val="18"/>
                <w:lang w:eastAsia="en-GB"/>
              </w:rPr>
              <w:t>Rome</w:t>
            </w:r>
          </w:p>
        </w:tc>
        <w:tc>
          <w:tcPr>
            <w:tcW w:w="818" w:type="pct"/>
            <w:noWrap/>
            <w:hideMark/>
          </w:tcPr>
          <w:p w14:paraId="646848CB" w14:textId="2AD7F522" w:rsidR="00C9752B" w:rsidRPr="00D71008" w:rsidRDefault="00C9752B" w:rsidP="00A20642">
            <w:pPr>
              <w:jc w:val="center"/>
              <w:rPr>
                <w:noProof/>
                <w:sz w:val="18"/>
                <w:szCs w:val="18"/>
                <w:lang w:eastAsia="en-GB"/>
              </w:rPr>
            </w:pPr>
            <w:r w:rsidRPr="00D71008">
              <w:rPr>
                <w:noProof/>
                <w:sz w:val="18"/>
                <w:szCs w:val="18"/>
                <w:lang w:eastAsia="en-GB"/>
              </w:rPr>
              <w:t>Italy</w:t>
            </w:r>
          </w:p>
        </w:tc>
        <w:tc>
          <w:tcPr>
            <w:tcW w:w="821" w:type="pct"/>
          </w:tcPr>
          <w:p w14:paraId="0FBD75FB" w14:textId="7512DD37" w:rsidR="00C9752B" w:rsidRPr="00D71008" w:rsidRDefault="00C9752B" w:rsidP="00A20642">
            <w:pPr>
              <w:jc w:val="center"/>
              <w:rPr>
                <w:noProof/>
                <w:sz w:val="18"/>
                <w:szCs w:val="18"/>
                <w:lang w:eastAsia="en-GB"/>
              </w:rPr>
            </w:pPr>
            <w:r w:rsidRPr="00D71008">
              <w:rPr>
                <w:noProof/>
                <w:sz w:val="18"/>
                <w:szCs w:val="18"/>
                <w:lang w:eastAsia="en-GB"/>
              </w:rPr>
              <w:t>1,770 km</w:t>
            </w:r>
          </w:p>
        </w:tc>
      </w:tr>
      <w:tr w:rsidR="00C9752B" w:rsidRPr="00D71008" w14:paraId="66C13398" w14:textId="77777777" w:rsidTr="00090A1B">
        <w:trPr>
          <w:trHeight w:val="290"/>
        </w:trPr>
        <w:tc>
          <w:tcPr>
            <w:tcW w:w="817" w:type="pct"/>
          </w:tcPr>
          <w:p w14:paraId="7B2FA966" w14:textId="77777777" w:rsidR="00C9752B" w:rsidRPr="00D71008" w:rsidRDefault="00C9752B" w:rsidP="00A20642">
            <w:pPr>
              <w:jc w:val="center"/>
              <w:rPr>
                <w:noProof/>
                <w:sz w:val="18"/>
                <w:szCs w:val="18"/>
                <w:lang w:eastAsia="en-GB"/>
              </w:rPr>
            </w:pPr>
            <w:r w:rsidRPr="00D71008">
              <w:rPr>
                <w:noProof/>
                <w:sz w:val="18"/>
                <w:szCs w:val="18"/>
                <w:lang w:eastAsia="en-GB"/>
              </w:rPr>
              <w:t>44</w:t>
            </w:r>
          </w:p>
        </w:tc>
        <w:tc>
          <w:tcPr>
            <w:tcW w:w="909" w:type="pct"/>
            <w:noWrap/>
            <w:hideMark/>
          </w:tcPr>
          <w:p w14:paraId="6E82A650" w14:textId="55DDDD79" w:rsidR="00C9752B" w:rsidRPr="00D71008" w:rsidRDefault="00C9752B" w:rsidP="00A20642">
            <w:pPr>
              <w:jc w:val="center"/>
              <w:rPr>
                <w:noProof/>
                <w:sz w:val="18"/>
                <w:szCs w:val="18"/>
                <w:lang w:eastAsia="en-GB"/>
              </w:rPr>
            </w:pPr>
            <w:r w:rsidRPr="00D71008">
              <w:rPr>
                <w:noProof/>
                <w:sz w:val="18"/>
                <w:szCs w:val="18"/>
                <w:lang w:eastAsia="en-GB"/>
              </w:rPr>
              <w:t>Vilnius</w:t>
            </w:r>
          </w:p>
        </w:tc>
        <w:tc>
          <w:tcPr>
            <w:tcW w:w="817" w:type="pct"/>
            <w:noWrap/>
            <w:hideMark/>
          </w:tcPr>
          <w:p w14:paraId="2533396F" w14:textId="2C5CF181" w:rsidR="00C9752B" w:rsidRPr="00D71008" w:rsidRDefault="00C9752B" w:rsidP="00A20642">
            <w:pPr>
              <w:jc w:val="center"/>
              <w:rPr>
                <w:noProof/>
                <w:sz w:val="18"/>
                <w:szCs w:val="18"/>
                <w:lang w:eastAsia="en-GB"/>
              </w:rPr>
            </w:pPr>
            <w:r w:rsidRPr="00D71008">
              <w:rPr>
                <w:noProof/>
                <w:sz w:val="18"/>
                <w:szCs w:val="18"/>
                <w:lang w:eastAsia="en-GB"/>
              </w:rPr>
              <w:t>Lithuania</w:t>
            </w:r>
          </w:p>
        </w:tc>
        <w:tc>
          <w:tcPr>
            <w:tcW w:w="818" w:type="pct"/>
            <w:noWrap/>
            <w:hideMark/>
          </w:tcPr>
          <w:p w14:paraId="392F203B" w14:textId="79ECAF9A" w:rsidR="00C9752B" w:rsidRPr="00D71008" w:rsidRDefault="00C9752B" w:rsidP="00A20642">
            <w:pPr>
              <w:jc w:val="center"/>
              <w:rPr>
                <w:noProof/>
                <w:sz w:val="18"/>
                <w:szCs w:val="18"/>
                <w:lang w:eastAsia="en-GB"/>
              </w:rPr>
            </w:pPr>
            <w:r w:rsidRPr="00D71008">
              <w:rPr>
                <w:noProof/>
                <w:sz w:val="18"/>
                <w:szCs w:val="18"/>
                <w:lang w:eastAsia="en-GB"/>
              </w:rPr>
              <w:t>Warsaw</w:t>
            </w:r>
          </w:p>
        </w:tc>
        <w:tc>
          <w:tcPr>
            <w:tcW w:w="818" w:type="pct"/>
            <w:noWrap/>
            <w:hideMark/>
          </w:tcPr>
          <w:p w14:paraId="5FF44728" w14:textId="5814D23F" w:rsidR="00C9752B" w:rsidRPr="00D71008" w:rsidRDefault="00C9752B" w:rsidP="00A20642">
            <w:pPr>
              <w:jc w:val="center"/>
              <w:rPr>
                <w:noProof/>
                <w:sz w:val="18"/>
                <w:szCs w:val="18"/>
                <w:lang w:eastAsia="en-GB"/>
              </w:rPr>
            </w:pPr>
            <w:r w:rsidRPr="00D71008">
              <w:rPr>
                <w:noProof/>
                <w:sz w:val="18"/>
                <w:szCs w:val="18"/>
                <w:lang w:eastAsia="en-GB"/>
              </w:rPr>
              <w:t>Poland</w:t>
            </w:r>
          </w:p>
        </w:tc>
        <w:tc>
          <w:tcPr>
            <w:tcW w:w="821" w:type="pct"/>
          </w:tcPr>
          <w:p w14:paraId="395AAD90" w14:textId="75952144" w:rsidR="00C9752B" w:rsidRPr="00D71008" w:rsidRDefault="00C9752B" w:rsidP="00A20642">
            <w:pPr>
              <w:jc w:val="center"/>
              <w:rPr>
                <w:noProof/>
                <w:sz w:val="18"/>
                <w:szCs w:val="18"/>
                <w:lang w:eastAsia="en-GB"/>
              </w:rPr>
            </w:pPr>
            <w:r w:rsidRPr="00D71008">
              <w:rPr>
                <w:noProof/>
                <w:sz w:val="18"/>
                <w:szCs w:val="18"/>
                <w:lang w:eastAsia="en-GB"/>
              </w:rPr>
              <w:t>506 km</w:t>
            </w:r>
          </w:p>
        </w:tc>
      </w:tr>
      <w:tr w:rsidR="00C9752B" w:rsidRPr="00D71008" w14:paraId="14D19376" w14:textId="77777777" w:rsidTr="00090A1B">
        <w:trPr>
          <w:trHeight w:val="290"/>
        </w:trPr>
        <w:tc>
          <w:tcPr>
            <w:tcW w:w="817" w:type="pct"/>
          </w:tcPr>
          <w:p w14:paraId="1CE53699" w14:textId="77777777" w:rsidR="00C9752B" w:rsidRPr="00D71008" w:rsidRDefault="00C9752B" w:rsidP="00A20642">
            <w:pPr>
              <w:jc w:val="center"/>
              <w:rPr>
                <w:noProof/>
                <w:sz w:val="18"/>
                <w:szCs w:val="18"/>
                <w:lang w:eastAsia="en-GB"/>
              </w:rPr>
            </w:pPr>
            <w:r w:rsidRPr="00D71008">
              <w:rPr>
                <w:noProof/>
                <w:sz w:val="18"/>
                <w:szCs w:val="18"/>
                <w:lang w:eastAsia="en-GB"/>
              </w:rPr>
              <w:t>45</w:t>
            </w:r>
          </w:p>
        </w:tc>
        <w:tc>
          <w:tcPr>
            <w:tcW w:w="909" w:type="pct"/>
            <w:noWrap/>
            <w:hideMark/>
          </w:tcPr>
          <w:p w14:paraId="206C4009" w14:textId="6E105060" w:rsidR="00C9752B" w:rsidRPr="00D71008" w:rsidRDefault="00C9752B" w:rsidP="00A20642">
            <w:pPr>
              <w:jc w:val="center"/>
              <w:rPr>
                <w:noProof/>
                <w:sz w:val="18"/>
                <w:szCs w:val="18"/>
                <w:lang w:eastAsia="en-GB"/>
              </w:rPr>
            </w:pPr>
            <w:r w:rsidRPr="00D71008">
              <w:rPr>
                <w:noProof/>
                <w:sz w:val="18"/>
                <w:szCs w:val="18"/>
                <w:lang w:eastAsia="en-GB"/>
              </w:rPr>
              <w:t>Trbovlje</w:t>
            </w:r>
          </w:p>
        </w:tc>
        <w:tc>
          <w:tcPr>
            <w:tcW w:w="817" w:type="pct"/>
            <w:noWrap/>
            <w:hideMark/>
          </w:tcPr>
          <w:p w14:paraId="73E15270" w14:textId="25D0CED9" w:rsidR="00C9752B" w:rsidRPr="00D71008" w:rsidRDefault="00C9752B" w:rsidP="00A20642">
            <w:pPr>
              <w:jc w:val="center"/>
              <w:rPr>
                <w:noProof/>
                <w:sz w:val="18"/>
                <w:szCs w:val="18"/>
                <w:lang w:eastAsia="en-GB"/>
              </w:rPr>
            </w:pPr>
            <w:r w:rsidRPr="00D71008">
              <w:rPr>
                <w:noProof/>
                <w:sz w:val="18"/>
                <w:szCs w:val="18"/>
                <w:lang w:eastAsia="en-GB"/>
              </w:rPr>
              <w:t>Slovenia</w:t>
            </w:r>
          </w:p>
        </w:tc>
        <w:tc>
          <w:tcPr>
            <w:tcW w:w="818" w:type="pct"/>
            <w:noWrap/>
            <w:hideMark/>
          </w:tcPr>
          <w:p w14:paraId="2624833B" w14:textId="3FFCC5E9" w:rsidR="00C9752B" w:rsidRPr="00D71008" w:rsidRDefault="00C9752B" w:rsidP="00A20642">
            <w:pPr>
              <w:jc w:val="center"/>
              <w:rPr>
                <w:noProof/>
                <w:sz w:val="18"/>
                <w:szCs w:val="18"/>
                <w:lang w:eastAsia="en-GB"/>
              </w:rPr>
            </w:pPr>
            <w:r w:rsidRPr="00D71008">
              <w:rPr>
                <w:noProof/>
                <w:sz w:val="18"/>
                <w:szCs w:val="18"/>
                <w:lang w:eastAsia="en-GB"/>
              </w:rPr>
              <w:t>Paris</w:t>
            </w:r>
          </w:p>
        </w:tc>
        <w:tc>
          <w:tcPr>
            <w:tcW w:w="818" w:type="pct"/>
            <w:noWrap/>
            <w:hideMark/>
          </w:tcPr>
          <w:p w14:paraId="61CB41AD" w14:textId="6A5C31FD" w:rsidR="00C9752B" w:rsidRPr="00D71008" w:rsidRDefault="00C9752B" w:rsidP="00A20642">
            <w:pPr>
              <w:jc w:val="center"/>
              <w:rPr>
                <w:noProof/>
                <w:sz w:val="18"/>
                <w:szCs w:val="18"/>
                <w:lang w:eastAsia="en-GB"/>
              </w:rPr>
            </w:pPr>
            <w:r w:rsidRPr="00D71008">
              <w:rPr>
                <w:noProof/>
                <w:sz w:val="18"/>
                <w:szCs w:val="18"/>
                <w:lang w:eastAsia="en-GB"/>
              </w:rPr>
              <w:t>France</w:t>
            </w:r>
          </w:p>
        </w:tc>
        <w:tc>
          <w:tcPr>
            <w:tcW w:w="821" w:type="pct"/>
          </w:tcPr>
          <w:p w14:paraId="4DA3827B" w14:textId="2C856917" w:rsidR="00C9752B" w:rsidRPr="00D71008" w:rsidRDefault="00C9752B" w:rsidP="00A20642">
            <w:pPr>
              <w:jc w:val="center"/>
              <w:rPr>
                <w:noProof/>
                <w:sz w:val="18"/>
                <w:szCs w:val="18"/>
                <w:lang w:eastAsia="en-GB"/>
              </w:rPr>
            </w:pPr>
            <w:r w:rsidRPr="00D71008">
              <w:rPr>
                <w:noProof/>
                <w:sz w:val="18"/>
                <w:szCs w:val="18"/>
                <w:lang w:eastAsia="en-GB"/>
              </w:rPr>
              <w:t>1,356 km</w:t>
            </w:r>
          </w:p>
        </w:tc>
      </w:tr>
      <w:tr w:rsidR="00C9752B" w:rsidRPr="00D71008" w14:paraId="35D47160" w14:textId="77777777" w:rsidTr="23484F07">
        <w:trPr>
          <w:trHeight w:val="290"/>
        </w:trPr>
        <w:tc>
          <w:tcPr>
            <w:tcW w:w="5000" w:type="pct"/>
            <w:gridSpan w:val="6"/>
            <w:shd w:val="clear" w:color="auto" w:fill="F79646" w:themeFill="accent6"/>
          </w:tcPr>
          <w:p w14:paraId="4712C320" w14:textId="77777777" w:rsidR="00C9752B" w:rsidRPr="00D71008" w:rsidRDefault="00C9752B" w:rsidP="00A20642">
            <w:pPr>
              <w:jc w:val="center"/>
              <w:rPr>
                <w:noProof/>
                <w:sz w:val="18"/>
                <w:szCs w:val="18"/>
                <w:lang w:eastAsia="en-GB"/>
              </w:rPr>
            </w:pPr>
            <w:r w:rsidRPr="00D71008">
              <w:rPr>
                <w:noProof/>
                <w:sz w:val="18"/>
                <w:szCs w:val="18"/>
                <w:lang w:eastAsia="en-GB"/>
              </w:rPr>
              <w:t>Cluster E</w:t>
            </w:r>
          </w:p>
        </w:tc>
      </w:tr>
      <w:tr w:rsidR="00C9752B" w:rsidRPr="00D71008" w14:paraId="3C37238C" w14:textId="77777777" w:rsidTr="00090A1B">
        <w:trPr>
          <w:trHeight w:val="290"/>
        </w:trPr>
        <w:tc>
          <w:tcPr>
            <w:tcW w:w="817" w:type="pct"/>
          </w:tcPr>
          <w:p w14:paraId="320E460B" w14:textId="77777777" w:rsidR="00C9752B" w:rsidRPr="00D71008" w:rsidRDefault="00C9752B" w:rsidP="00A20642">
            <w:pPr>
              <w:jc w:val="center"/>
              <w:rPr>
                <w:noProof/>
                <w:sz w:val="18"/>
                <w:szCs w:val="18"/>
                <w:lang w:eastAsia="en-GB"/>
              </w:rPr>
            </w:pPr>
            <w:r w:rsidRPr="00D71008">
              <w:rPr>
                <w:noProof/>
                <w:sz w:val="18"/>
                <w:szCs w:val="18"/>
                <w:lang w:eastAsia="en-GB"/>
              </w:rPr>
              <w:t>46</w:t>
            </w:r>
          </w:p>
        </w:tc>
        <w:tc>
          <w:tcPr>
            <w:tcW w:w="909" w:type="pct"/>
            <w:noWrap/>
            <w:hideMark/>
          </w:tcPr>
          <w:p w14:paraId="68A1E97D" w14:textId="77777777" w:rsidR="00C9752B" w:rsidRPr="00D71008" w:rsidRDefault="00C9752B" w:rsidP="00A20642">
            <w:pPr>
              <w:jc w:val="center"/>
              <w:rPr>
                <w:noProof/>
                <w:sz w:val="18"/>
                <w:szCs w:val="18"/>
                <w:lang w:eastAsia="en-GB"/>
              </w:rPr>
            </w:pPr>
            <w:r w:rsidRPr="00D71008">
              <w:rPr>
                <w:noProof/>
                <w:sz w:val="18"/>
                <w:szCs w:val="18"/>
                <w:lang w:eastAsia="en-GB"/>
              </w:rPr>
              <w:t>Gijón</w:t>
            </w:r>
          </w:p>
        </w:tc>
        <w:tc>
          <w:tcPr>
            <w:tcW w:w="817" w:type="pct"/>
            <w:noWrap/>
            <w:hideMark/>
          </w:tcPr>
          <w:p w14:paraId="268743EB" w14:textId="77777777" w:rsidR="00C9752B" w:rsidRPr="00D71008" w:rsidRDefault="00C9752B" w:rsidP="00A20642">
            <w:pPr>
              <w:jc w:val="center"/>
              <w:rPr>
                <w:noProof/>
                <w:sz w:val="18"/>
                <w:szCs w:val="18"/>
                <w:lang w:eastAsia="en-GB"/>
              </w:rPr>
            </w:pPr>
            <w:r w:rsidRPr="00D71008">
              <w:rPr>
                <w:noProof/>
                <w:sz w:val="18"/>
                <w:szCs w:val="18"/>
                <w:lang w:eastAsia="en-GB"/>
              </w:rPr>
              <w:t>Spain</w:t>
            </w:r>
          </w:p>
        </w:tc>
        <w:tc>
          <w:tcPr>
            <w:tcW w:w="818" w:type="pct"/>
            <w:noWrap/>
            <w:hideMark/>
          </w:tcPr>
          <w:p w14:paraId="2E454A3D" w14:textId="77777777" w:rsidR="00C9752B" w:rsidRPr="00D71008" w:rsidRDefault="00C9752B" w:rsidP="00A20642">
            <w:pPr>
              <w:jc w:val="center"/>
              <w:rPr>
                <w:noProof/>
                <w:sz w:val="18"/>
                <w:szCs w:val="18"/>
                <w:lang w:eastAsia="en-GB"/>
              </w:rPr>
            </w:pPr>
            <w:r w:rsidRPr="00D71008">
              <w:rPr>
                <w:noProof/>
                <w:sz w:val="18"/>
                <w:szCs w:val="18"/>
                <w:lang w:eastAsia="en-GB"/>
              </w:rPr>
              <w:t>Córdoba</w:t>
            </w:r>
          </w:p>
        </w:tc>
        <w:tc>
          <w:tcPr>
            <w:tcW w:w="818" w:type="pct"/>
            <w:noWrap/>
            <w:hideMark/>
          </w:tcPr>
          <w:p w14:paraId="333DE505" w14:textId="21031116" w:rsidR="00C9752B" w:rsidRPr="00D71008" w:rsidRDefault="00C9752B" w:rsidP="00A20642">
            <w:pPr>
              <w:jc w:val="center"/>
              <w:rPr>
                <w:noProof/>
                <w:sz w:val="18"/>
                <w:szCs w:val="18"/>
                <w:lang w:eastAsia="en-GB"/>
              </w:rPr>
            </w:pPr>
            <w:r w:rsidRPr="00D71008">
              <w:rPr>
                <w:noProof/>
                <w:sz w:val="18"/>
                <w:szCs w:val="18"/>
                <w:lang w:eastAsia="en-GB"/>
              </w:rPr>
              <w:t>Spain</w:t>
            </w:r>
          </w:p>
        </w:tc>
        <w:tc>
          <w:tcPr>
            <w:tcW w:w="821" w:type="pct"/>
          </w:tcPr>
          <w:p w14:paraId="6887C901" w14:textId="77777777" w:rsidR="00C9752B" w:rsidRPr="00D71008" w:rsidRDefault="00C9752B" w:rsidP="00A20642">
            <w:pPr>
              <w:jc w:val="center"/>
              <w:rPr>
                <w:noProof/>
                <w:sz w:val="18"/>
                <w:szCs w:val="18"/>
                <w:lang w:eastAsia="en-GB"/>
              </w:rPr>
            </w:pPr>
            <w:r w:rsidRPr="00D71008">
              <w:rPr>
                <w:noProof/>
                <w:sz w:val="18"/>
                <w:szCs w:val="18"/>
                <w:lang w:eastAsia="en-GB"/>
              </w:rPr>
              <w:t>835 km</w:t>
            </w:r>
          </w:p>
        </w:tc>
      </w:tr>
      <w:tr w:rsidR="00C9752B" w:rsidRPr="00D71008" w14:paraId="72DB3887" w14:textId="77777777" w:rsidTr="00090A1B">
        <w:trPr>
          <w:trHeight w:val="290"/>
        </w:trPr>
        <w:tc>
          <w:tcPr>
            <w:tcW w:w="817" w:type="pct"/>
          </w:tcPr>
          <w:p w14:paraId="2A5B9930" w14:textId="77777777" w:rsidR="00C9752B" w:rsidRPr="00D71008" w:rsidRDefault="00C9752B" w:rsidP="00A20642">
            <w:pPr>
              <w:jc w:val="center"/>
              <w:rPr>
                <w:noProof/>
                <w:sz w:val="18"/>
                <w:szCs w:val="18"/>
                <w:lang w:eastAsia="en-GB"/>
              </w:rPr>
            </w:pPr>
            <w:r w:rsidRPr="00D71008">
              <w:rPr>
                <w:noProof/>
                <w:sz w:val="18"/>
                <w:szCs w:val="18"/>
                <w:lang w:eastAsia="en-GB"/>
              </w:rPr>
              <w:t>47</w:t>
            </w:r>
          </w:p>
        </w:tc>
        <w:tc>
          <w:tcPr>
            <w:tcW w:w="909" w:type="pct"/>
            <w:noWrap/>
            <w:hideMark/>
          </w:tcPr>
          <w:p w14:paraId="17108C6C" w14:textId="77777777" w:rsidR="00C9752B" w:rsidRPr="00D71008" w:rsidRDefault="00C9752B" w:rsidP="00A20642">
            <w:pPr>
              <w:jc w:val="center"/>
              <w:rPr>
                <w:noProof/>
                <w:sz w:val="18"/>
                <w:szCs w:val="18"/>
                <w:lang w:eastAsia="en-GB"/>
              </w:rPr>
            </w:pPr>
            <w:r w:rsidRPr="00D71008">
              <w:rPr>
                <w:noProof/>
                <w:sz w:val="18"/>
                <w:szCs w:val="18"/>
                <w:lang w:eastAsia="en-GB"/>
              </w:rPr>
              <w:t>Vejle</w:t>
            </w:r>
          </w:p>
        </w:tc>
        <w:tc>
          <w:tcPr>
            <w:tcW w:w="817" w:type="pct"/>
            <w:noWrap/>
            <w:hideMark/>
          </w:tcPr>
          <w:p w14:paraId="70E7D7BC" w14:textId="77777777" w:rsidR="00C9752B" w:rsidRPr="00D71008" w:rsidRDefault="00C9752B" w:rsidP="00A20642">
            <w:pPr>
              <w:jc w:val="center"/>
              <w:rPr>
                <w:noProof/>
                <w:sz w:val="18"/>
                <w:szCs w:val="18"/>
                <w:lang w:eastAsia="en-GB"/>
              </w:rPr>
            </w:pPr>
            <w:r w:rsidRPr="00D71008">
              <w:rPr>
                <w:noProof/>
                <w:sz w:val="18"/>
                <w:szCs w:val="18"/>
                <w:lang w:eastAsia="en-GB"/>
              </w:rPr>
              <w:t>Denmark</w:t>
            </w:r>
          </w:p>
        </w:tc>
        <w:tc>
          <w:tcPr>
            <w:tcW w:w="818" w:type="pct"/>
            <w:noWrap/>
            <w:hideMark/>
          </w:tcPr>
          <w:p w14:paraId="094C3299" w14:textId="77777777" w:rsidR="00C9752B" w:rsidRPr="00D71008" w:rsidRDefault="00C9752B" w:rsidP="00A20642">
            <w:pPr>
              <w:jc w:val="center"/>
              <w:rPr>
                <w:noProof/>
                <w:sz w:val="18"/>
                <w:szCs w:val="18"/>
                <w:lang w:eastAsia="en-GB"/>
              </w:rPr>
            </w:pPr>
            <w:r w:rsidRPr="00D71008">
              <w:rPr>
                <w:noProof/>
                <w:sz w:val="18"/>
                <w:szCs w:val="18"/>
                <w:lang w:eastAsia="en-GB"/>
              </w:rPr>
              <w:t>Roskilde</w:t>
            </w:r>
          </w:p>
        </w:tc>
        <w:tc>
          <w:tcPr>
            <w:tcW w:w="818" w:type="pct"/>
            <w:noWrap/>
            <w:hideMark/>
          </w:tcPr>
          <w:p w14:paraId="4B3DCF41" w14:textId="2FF6EFA9" w:rsidR="00C9752B" w:rsidRPr="00D71008" w:rsidRDefault="00C9752B" w:rsidP="00A20642">
            <w:pPr>
              <w:jc w:val="center"/>
              <w:rPr>
                <w:noProof/>
                <w:sz w:val="18"/>
                <w:szCs w:val="18"/>
                <w:lang w:eastAsia="en-GB"/>
              </w:rPr>
            </w:pPr>
            <w:r w:rsidRPr="00D71008">
              <w:rPr>
                <w:noProof/>
                <w:sz w:val="18"/>
                <w:szCs w:val="18"/>
                <w:lang w:eastAsia="en-GB"/>
              </w:rPr>
              <w:t>Denmark</w:t>
            </w:r>
          </w:p>
        </w:tc>
        <w:tc>
          <w:tcPr>
            <w:tcW w:w="821" w:type="pct"/>
          </w:tcPr>
          <w:p w14:paraId="1D44C8E2" w14:textId="77777777" w:rsidR="00C9752B" w:rsidRPr="00D71008" w:rsidRDefault="00C9752B" w:rsidP="00A20642">
            <w:pPr>
              <w:jc w:val="center"/>
              <w:rPr>
                <w:noProof/>
                <w:sz w:val="18"/>
                <w:szCs w:val="18"/>
                <w:lang w:eastAsia="en-GB"/>
              </w:rPr>
            </w:pPr>
            <w:r w:rsidRPr="00D71008">
              <w:rPr>
                <w:noProof/>
                <w:sz w:val="18"/>
                <w:szCs w:val="18"/>
                <w:lang w:eastAsia="en-GB"/>
              </w:rPr>
              <w:t>215 km</w:t>
            </w:r>
          </w:p>
        </w:tc>
      </w:tr>
      <w:tr w:rsidR="00C9752B" w:rsidRPr="00D71008" w14:paraId="4FD51DB3" w14:textId="77777777" w:rsidTr="00090A1B">
        <w:trPr>
          <w:trHeight w:val="290"/>
        </w:trPr>
        <w:tc>
          <w:tcPr>
            <w:tcW w:w="817" w:type="pct"/>
          </w:tcPr>
          <w:p w14:paraId="5F14763F" w14:textId="77777777" w:rsidR="00C9752B" w:rsidRPr="00D71008" w:rsidRDefault="00C9752B" w:rsidP="00A20642">
            <w:pPr>
              <w:jc w:val="center"/>
              <w:rPr>
                <w:noProof/>
                <w:sz w:val="18"/>
                <w:szCs w:val="18"/>
                <w:lang w:eastAsia="en-GB"/>
              </w:rPr>
            </w:pPr>
            <w:r w:rsidRPr="00D71008">
              <w:rPr>
                <w:noProof/>
                <w:sz w:val="18"/>
                <w:szCs w:val="18"/>
                <w:lang w:eastAsia="en-GB"/>
              </w:rPr>
              <w:t>48</w:t>
            </w:r>
          </w:p>
        </w:tc>
        <w:tc>
          <w:tcPr>
            <w:tcW w:w="909" w:type="pct"/>
            <w:noWrap/>
            <w:hideMark/>
          </w:tcPr>
          <w:p w14:paraId="2F093B9C" w14:textId="77777777" w:rsidR="00C9752B" w:rsidRPr="00D71008" w:rsidRDefault="00C9752B" w:rsidP="00A20642">
            <w:pPr>
              <w:jc w:val="center"/>
              <w:rPr>
                <w:noProof/>
                <w:sz w:val="18"/>
                <w:szCs w:val="18"/>
                <w:lang w:eastAsia="en-GB"/>
              </w:rPr>
            </w:pPr>
            <w:r w:rsidRPr="00D71008">
              <w:rPr>
                <w:noProof/>
                <w:sz w:val="18"/>
                <w:szCs w:val="18"/>
                <w:lang w:eastAsia="en-GB"/>
              </w:rPr>
              <w:t>El Ejido</w:t>
            </w:r>
          </w:p>
        </w:tc>
        <w:tc>
          <w:tcPr>
            <w:tcW w:w="817" w:type="pct"/>
            <w:noWrap/>
            <w:hideMark/>
          </w:tcPr>
          <w:p w14:paraId="104098A8" w14:textId="77777777" w:rsidR="00C9752B" w:rsidRPr="00D71008" w:rsidRDefault="00C9752B" w:rsidP="00A20642">
            <w:pPr>
              <w:jc w:val="center"/>
              <w:rPr>
                <w:noProof/>
                <w:sz w:val="18"/>
                <w:szCs w:val="18"/>
                <w:lang w:eastAsia="en-GB"/>
              </w:rPr>
            </w:pPr>
            <w:r w:rsidRPr="00D71008">
              <w:rPr>
                <w:noProof/>
                <w:sz w:val="18"/>
                <w:szCs w:val="18"/>
                <w:lang w:eastAsia="en-GB"/>
              </w:rPr>
              <w:t>Spain</w:t>
            </w:r>
          </w:p>
        </w:tc>
        <w:tc>
          <w:tcPr>
            <w:tcW w:w="818" w:type="pct"/>
            <w:noWrap/>
            <w:hideMark/>
          </w:tcPr>
          <w:p w14:paraId="192D155D" w14:textId="77777777" w:rsidR="00C9752B" w:rsidRPr="00D71008" w:rsidRDefault="00C9752B" w:rsidP="00A20642">
            <w:pPr>
              <w:jc w:val="center"/>
              <w:rPr>
                <w:noProof/>
                <w:sz w:val="18"/>
                <w:szCs w:val="18"/>
                <w:lang w:eastAsia="en-GB"/>
              </w:rPr>
            </w:pPr>
            <w:r w:rsidRPr="00D71008">
              <w:rPr>
                <w:noProof/>
                <w:sz w:val="18"/>
                <w:szCs w:val="18"/>
                <w:lang w:eastAsia="en-GB"/>
              </w:rPr>
              <w:t>Moratalaz</w:t>
            </w:r>
          </w:p>
        </w:tc>
        <w:tc>
          <w:tcPr>
            <w:tcW w:w="818" w:type="pct"/>
            <w:noWrap/>
            <w:hideMark/>
          </w:tcPr>
          <w:p w14:paraId="71994A54" w14:textId="6958E217" w:rsidR="00C9752B" w:rsidRPr="00D71008" w:rsidRDefault="00C9752B" w:rsidP="00A20642">
            <w:pPr>
              <w:jc w:val="center"/>
              <w:rPr>
                <w:noProof/>
                <w:sz w:val="18"/>
                <w:szCs w:val="18"/>
                <w:lang w:eastAsia="en-GB"/>
              </w:rPr>
            </w:pPr>
            <w:r w:rsidRPr="00D71008">
              <w:rPr>
                <w:noProof/>
                <w:sz w:val="18"/>
                <w:szCs w:val="18"/>
                <w:lang w:eastAsia="en-GB"/>
              </w:rPr>
              <w:t>Spain</w:t>
            </w:r>
          </w:p>
        </w:tc>
        <w:tc>
          <w:tcPr>
            <w:tcW w:w="821" w:type="pct"/>
          </w:tcPr>
          <w:p w14:paraId="20C5658A" w14:textId="77777777" w:rsidR="00C9752B" w:rsidRPr="00D71008" w:rsidRDefault="00C9752B" w:rsidP="00A20642">
            <w:pPr>
              <w:jc w:val="center"/>
              <w:rPr>
                <w:noProof/>
                <w:sz w:val="18"/>
                <w:szCs w:val="18"/>
                <w:lang w:eastAsia="en-GB"/>
              </w:rPr>
            </w:pPr>
            <w:r w:rsidRPr="00D71008">
              <w:rPr>
                <w:noProof/>
                <w:sz w:val="18"/>
                <w:szCs w:val="18"/>
                <w:lang w:eastAsia="en-GB"/>
              </w:rPr>
              <w:t>464 km</w:t>
            </w:r>
          </w:p>
        </w:tc>
      </w:tr>
      <w:tr w:rsidR="00C9752B" w:rsidRPr="00D71008" w14:paraId="14A9CD42" w14:textId="77777777" w:rsidTr="00090A1B">
        <w:trPr>
          <w:trHeight w:val="290"/>
        </w:trPr>
        <w:tc>
          <w:tcPr>
            <w:tcW w:w="817" w:type="pct"/>
          </w:tcPr>
          <w:p w14:paraId="3DE12934" w14:textId="77777777" w:rsidR="00C9752B" w:rsidRPr="00D71008" w:rsidRDefault="00C9752B" w:rsidP="00A20642">
            <w:pPr>
              <w:jc w:val="center"/>
              <w:rPr>
                <w:noProof/>
                <w:sz w:val="18"/>
                <w:szCs w:val="18"/>
                <w:lang w:eastAsia="en-GB"/>
              </w:rPr>
            </w:pPr>
            <w:r w:rsidRPr="00D71008">
              <w:rPr>
                <w:noProof/>
                <w:sz w:val="18"/>
                <w:szCs w:val="18"/>
                <w:lang w:eastAsia="en-GB"/>
              </w:rPr>
              <w:t>49</w:t>
            </w:r>
          </w:p>
        </w:tc>
        <w:tc>
          <w:tcPr>
            <w:tcW w:w="909" w:type="pct"/>
            <w:noWrap/>
            <w:hideMark/>
          </w:tcPr>
          <w:p w14:paraId="01F68D2E" w14:textId="77777777" w:rsidR="00C9752B" w:rsidRPr="00D71008" w:rsidRDefault="00C9752B" w:rsidP="00A20642">
            <w:pPr>
              <w:jc w:val="center"/>
              <w:rPr>
                <w:noProof/>
                <w:sz w:val="18"/>
                <w:szCs w:val="18"/>
                <w:lang w:eastAsia="en-GB"/>
              </w:rPr>
            </w:pPr>
            <w:r w:rsidRPr="00D71008">
              <w:rPr>
                <w:noProof/>
                <w:sz w:val="18"/>
                <w:szCs w:val="18"/>
                <w:lang w:eastAsia="en-GB"/>
              </w:rPr>
              <w:t>Kraków</w:t>
            </w:r>
          </w:p>
        </w:tc>
        <w:tc>
          <w:tcPr>
            <w:tcW w:w="817" w:type="pct"/>
            <w:noWrap/>
            <w:hideMark/>
          </w:tcPr>
          <w:p w14:paraId="6A92D6A7" w14:textId="77777777" w:rsidR="00C9752B" w:rsidRPr="00D71008" w:rsidRDefault="00C9752B" w:rsidP="00A20642">
            <w:pPr>
              <w:jc w:val="center"/>
              <w:rPr>
                <w:noProof/>
                <w:sz w:val="18"/>
                <w:szCs w:val="18"/>
                <w:lang w:eastAsia="en-GB"/>
              </w:rPr>
            </w:pPr>
            <w:r w:rsidRPr="00D71008">
              <w:rPr>
                <w:noProof/>
                <w:sz w:val="18"/>
                <w:szCs w:val="18"/>
                <w:lang w:eastAsia="en-GB"/>
              </w:rPr>
              <w:t>Poland</w:t>
            </w:r>
          </w:p>
        </w:tc>
        <w:tc>
          <w:tcPr>
            <w:tcW w:w="818" w:type="pct"/>
            <w:noWrap/>
            <w:hideMark/>
          </w:tcPr>
          <w:p w14:paraId="1E41C6AC" w14:textId="77777777" w:rsidR="00C9752B" w:rsidRPr="00D71008" w:rsidRDefault="00C9752B" w:rsidP="00A20642">
            <w:pPr>
              <w:jc w:val="center"/>
              <w:rPr>
                <w:noProof/>
                <w:sz w:val="18"/>
                <w:szCs w:val="18"/>
                <w:lang w:eastAsia="en-GB"/>
              </w:rPr>
            </w:pPr>
            <w:r w:rsidRPr="00D71008">
              <w:rPr>
                <w:noProof/>
                <w:sz w:val="18"/>
                <w:szCs w:val="18"/>
                <w:lang w:eastAsia="en-GB"/>
              </w:rPr>
              <w:t>Wrocław</w:t>
            </w:r>
          </w:p>
        </w:tc>
        <w:tc>
          <w:tcPr>
            <w:tcW w:w="818" w:type="pct"/>
            <w:noWrap/>
            <w:hideMark/>
          </w:tcPr>
          <w:p w14:paraId="5C6F8495" w14:textId="518BFF93" w:rsidR="00C9752B" w:rsidRPr="00D71008" w:rsidRDefault="00C9752B" w:rsidP="00A20642">
            <w:pPr>
              <w:jc w:val="center"/>
              <w:rPr>
                <w:noProof/>
                <w:sz w:val="18"/>
                <w:szCs w:val="18"/>
                <w:lang w:eastAsia="en-GB"/>
              </w:rPr>
            </w:pPr>
            <w:r w:rsidRPr="00D71008">
              <w:rPr>
                <w:noProof/>
                <w:sz w:val="18"/>
                <w:szCs w:val="18"/>
                <w:lang w:eastAsia="en-GB"/>
              </w:rPr>
              <w:t>Poland</w:t>
            </w:r>
          </w:p>
        </w:tc>
        <w:tc>
          <w:tcPr>
            <w:tcW w:w="821" w:type="pct"/>
          </w:tcPr>
          <w:p w14:paraId="3D3E28A3" w14:textId="77777777" w:rsidR="00C9752B" w:rsidRPr="00D71008" w:rsidRDefault="00C9752B" w:rsidP="00A20642">
            <w:pPr>
              <w:jc w:val="center"/>
              <w:rPr>
                <w:noProof/>
                <w:sz w:val="18"/>
                <w:szCs w:val="18"/>
                <w:lang w:eastAsia="en-GB"/>
              </w:rPr>
            </w:pPr>
            <w:r w:rsidRPr="00D71008">
              <w:rPr>
                <w:noProof/>
                <w:sz w:val="18"/>
                <w:szCs w:val="18"/>
                <w:lang w:eastAsia="en-GB"/>
              </w:rPr>
              <w:t>264 km</w:t>
            </w:r>
          </w:p>
        </w:tc>
      </w:tr>
      <w:tr w:rsidR="00C9752B" w:rsidRPr="00D71008" w14:paraId="2E510524" w14:textId="77777777" w:rsidTr="00090A1B">
        <w:trPr>
          <w:trHeight w:val="290"/>
        </w:trPr>
        <w:tc>
          <w:tcPr>
            <w:tcW w:w="817" w:type="pct"/>
          </w:tcPr>
          <w:p w14:paraId="513420DC" w14:textId="77777777" w:rsidR="00C9752B" w:rsidRPr="00D71008" w:rsidRDefault="00C9752B" w:rsidP="00A20642">
            <w:pPr>
              <w:jc w:val="center"/>
              <w:rPr>
                <w:noProof/>
                <w:sz w:val="18"/>
                <w:szCs w:val="18"/>
                <w:lang w:eastAsia="en-GB"/>
              </w:rPr>
            </w:pPr>
            <w:r w:rsidRPr="00D71008">
              <w:rPr>
                <w:noProof/>
                <w:sz w:val="18"/>
                <w:szCs w:val="18"/>
                <w:lang w:eastAsia="en-GB"/>
              </w:rPr>
              <w:t>50</w:t>
            </w:r>
          </w:p>
        </w:tc>
        <w:tc>
          <w:tcPr>
            <w:tcW w:w="909" w:type="pct"/>
            <w:noWrap/>
            <w:hideMark/>
          </w:tcPr>
          <w:p w14:paraId="57DD877D" w14:textId="77777777" w:rsidR="00C9752B" w:rsidRPr="00D71008" w:rsidRDefault="00C9752B" w:rsidP="00A20642">
            <w:pPr>
              <w:jc w:val="center"/>
              <w:rPr>
                <w:noProof/>
                <w:sz w:val="18"/>
                <w:szCs w:val="18"/>
                <w:lang w:eastAsia="en-GB"/>
              </w:rPr>
            </w:pPr>
            <w:r w:rsidRPr="00D71008">
              <w:rPr>
                <w:noProof/>
                <w:sz w:val="18"/>
                <w:szCs w:val="18"/>
                <w:lang w:eastAsia="en-GB"/>
              </w:rPr>
              <w:t>Pori</w:t>
            </w:r>
          </w:p>
        </w:tc>
        <w:tc>
          <w:tcPr>
            <w:tcW w:w="817" w:type="pct"/>
            <w:noWrap/>
            <w:hideMark/>
          </w:tcPr>
          <w:p w14:paraId="68A3B201" w14:textId="77777777" w:rsidR="00C9752B" w:rsidRPr="00D71008" w:rsidRDefault="00C9752B" w:rsidP="00A20642">
            <w:pPr>
              <w:jc w:val="center"/>
              <w:rPr>
                <w:noProof/>
                <w:sz w:val="18"/>
                <w:szCs w:val="18"/>
                <w:lang w:eastAsia="en-GB"/>
              </w:rPr>
            </w:pPr>
            <w:r w:rsidRPr="00D71008">
              <w:rPr>
                <w:noProof/>
                <w:sz w:val="18"/>
                <w:szCs w:val="18"/>
                <w:lang w:eastAsia="en-GB"/>
              </w:rPr>
              <w:t>Finland</w:t>
            </w:r>
          </w:p>
        </w:tc>
        <w:tc>
          <w:tcPr>
            <w:tcW w:w="818" w:type="pct"/>
            <w:noWrap/>
            <w:hideMark/>
          </w:tcPr>
          <w:p w14:paraId="6AF0CA45" w14:textId="77777777" w:rsidR="00C9752B" w:rsidRPr="00D71008" w:rsidRDefault="00C9752B" w:rsidP="00A20642">
            <w:pPr>
              <w:jc w:val="center"/>
              <w:rPr>
                <w:noProof/>
                <w:sz w:val="18"/>
                <w:szCs w:val="18"/>
                <w:lang w:eastAsia="en-GB"/>
              </w:rPr>
            </w:pPr>
            <w:r w:rsidRPr="00D71008">
              <w:rPr>
                <w:noProof/>
                <w:sz w:val="18"/>
                <w:szCs w:val="18"/>
                <w:lang w:eastAsia="en-GB"/>
              </w:rPr>
              <w:t>Rovaniemi</w:t>
            </w:r>
          </w:p>
        </w:tc>
        <w:tc>
          <w:tcPr>
            <w:tcW w:w="818" w:type="pct"/>
            <w:noWrap/>
            <w:hideMark/>
          </w:tcPr>
          <w:p w14:paraId="328CA736" w14:textId="467B9A06" w:rsidR="00C9752B" w:rsidRPr="00D71008" w:rsidRDefault="00C9752B" w:rsidP="00A20642">
            <w:pPr>
              <w:jc w:val="center"/>
              <w:rPr>
                <w:noProof/>
                <w:sz w:val="18"/>
                <w:szCs w:val="18"/>
                <w:lang w:eastAsia="en-GB"/>
              </w:rPr>
            </w:pPr>
            <w:r w:rsidRPr="00D71008">
              <w:rPr>
                <w:noProof/>
                <w:sz w:val="18"/>
                <w:szCs w:val="18"/>
                <w:lang w:eastAsia="en-GB"/>
              </w:rPr>
              <w:t>Finland</w:t>
            </w:r>
          </w:p>
        </w:tc>
        <w:tc>
          <w:tcPr>
            <w:tcW w:w="821" w:type="pct"/>
          </w:tcPr>
          <w:p w14:paraId="58F79D0E" w14:textId="77777777" w:rsidR="00C9752B" w:rsidRPr="00D71008" w:rsidRDefault="00C9752B" w:rsidP="00A20642">
            <w:pPr>
              <w:jc w:val="center"/>
              <w:rPr>
                <w:noProof/>
                <w:sz w:val="18"/>
                <w:szCs w:val="18"/>
                <w:lang w:eastAsia="en-GB"/>
              </w:rPr>
            </w:pPr>
            <w:r w:rsidRPr="00D71008">
              <w:rPr>
                <w:noProof/>
                <w:sz w:val="18"/>
                <w:szCs w:val="18"/>
                <w:lang w:eastAsia="en-GB"/>
              </w:rPr>
              <w:t>843 km</w:t>
            </w:r>
          </w:p>
        </w:tc>
      </w:tr>
      <w:tr w:rsidR="00C9752B" w:rsidRPr="00D71008" w14:paraId="205B1064" w14:textId="77777777" w:rsidTr="00090A1B">
        <w:trPr>
          <w:trHeight w:val="290"/>
        </w:trPr>
        <w:tc>
          <w:tcPr>
            <w:tcW w:w="817" w:type="pct"/>
          </w:tcPr>
          <w:p w14:paraId="753F14DC" w14:textId="77777777" w:rsidR="00C9752B" w:rsidRPr="00D71008" w:rsidRDefault="00C9752B" w:rsidP="00A20642">
            <w:pPr>
              <w:jc w:val="center"/>
              <w:rPr>
                <w:noProof/>
                <w:sz w:val="18"/>
                <w:szCs w:val="18"/>
                <w:lang w:eastAsia="en-GB"/>
              </w:rPr>
            </w:pPr>
            <w:r w:rsidRPr="00D71008">
              <w:rPr>
                <w:noProof/>
                <w:sz w:val="18"/>
                <w:szCs w:val="18"/>
                <w:lang w:eastAsia="en-GB"/>
              </w:rPr>
              <w:t>51</w:t>
            </w:r>
          </w:p>
        </w:tc>
        <w:tc>
          <w:tcPr>
            <w:tcW w:w="909" w:type="pct"/>
            <w:noWrap/>
            <w:hideMark/>
          </w:tcPr>
          <w:p w14:paraId="10103383" w14:textId="77777777" w:rsidR="00C9752B" w:rsidRPr="00D71008" w:rsidRDefault="00C9752B" w:rsidP="00A20642">
            <w:pPr>
              <w:jc w:val="center"/>
              <w:rPr>
                <w:noProof/>
                <w:sz w:val="18"/>
                <w:szCs w:val="18"/>
                <w:lang w:eastAsia="en-GB"/>
              </w:rPr>
            </w:pPr>
            <w:r w:rsidRPr="00D71008">
              <w:rPr>
                <w:noProof/>
                <w:sz w:val="18"/>
                <w:szCs w:val="18"/>
                <w:lang w:eastAsia="en-GB"/>
              </w:rPr>
              <w:t>Lippstadt</w:t>
            </w:r>
          </w:p>
        </w:tc>
        <w:tc>
          <w:tcPr>
            <w:tcW w:w="817" w:type="pct"/>
            <w:noWrap/>
            <w:hideMark/>
          </w:tcPr>
          <w:p w14:paraId="5894D82B" w14:textId="77777777"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18" w:type="pct"/>
            <w:noWrap/>
            <w:hideMark/>
          </w:tcPr>
          <w:p w14:paraId="6135D092" w14:textId="77777777" w:rsidR="00C9752B" w:rsidRPr="00D71008" w:rsidRDefault="00C9752B" w:rsidP="00A20642">
            <w:pPr>
              <w:jc w:val="center"/>
              <w:rPr>
                <w:noProof/>
                <w:sz w:val="18"/>
                <w:szCs w:val="18"/>
                <w:lang w:eastAsia="en-GB"/>
              </w:rPr>
            </w:pPr>
            <w:r w:rsidRPr="00D71008">
              <w:rPr>
                <w:noProof/>
                <w:sz w:val="18"/>
                <w:szCs w:val="18"/>
                <w:lang w:eastAsia="en-GB"/>
              </w:rPr>
              <w:t>Eschweiler</w:t>
            </w:r>
          </w:p>
        </w:tc>
        <w:tc>
          <w:tcPr>
            <w:tcW w:w="818" w:type="pct"/>
            <w:noWrap/>
            <w:hideMark/>
          </w:tcPr>
          <w:p w14:paraId="688F60E8" w14:textId="782A8867"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21" w:type="pct"/>
          </w:tcPr>
          <w:p w14:paraId="5F858563" w14:textId="77777777" w:rsidR="00C9752B" w:rsidRPr="00D71008" w:rsidRDefault="00C9752B" w:rsidP="00A20642">
            <w:pPr>
              <w:jc w:val="center"/>
              <w:rPr>
                <w:noProof/>
                <w:sz w:val="18"/>
                <w:szCs w:val="18"/>
                <w:lang w:eastAsia="en-GB"/>
              </w:rPr>
            </w:pPr>
            <w:r w:rsidRPr="00D71008">
              <w:rPr>
                <w:noProof/>
                <w:sz w:val="18"/>
                <w:szCs w:val="18"/>
                <w:lang w:eastAsia="en-GB"/>
              </w:rPr>
              <w:t>223 km</w:t>
            </w:r>
          </w:p>
        </w:tc>
      </w:tr>
      <w:tr w:rsidR="00C9752B" w:rsidRPr="00D71008" w14:paraId="7863504F" w14:textId="77777777" w:rsidTr="00090A1B">
        <w:trPr>
          <w:trHeight w:val="290"/>
        </w:trPr>
        <w:tc>
          <w:tcPr>
            <w:tcW w:w="817" w:type="pct"/>
          </w:tcPr>
          <w:p w14:paraId="6090959B" w14:textId="77777777" w:rsidR="00C9752B" w:rsidRPr="00D71008" w:rsidRDefault="00C9752B" w:rsidP="00A20642">
            <w:pPr>
              <w:jc w:val="center"/>
              <w:rPr>
                <w:noProof/>
                <w:sz w:val="18"/>
                <w:szCs w:val="18"/>
                <w:lang w:eastAsia="en-GB"/>
              </w:rPr>
            </w:pPr>
            <w:r w:rsidRPr="00D71008">
              <w:rPr>
                <w:noProof/>
                <w:sz w:val="18"/>
                <w:szCs w:val="18"/>
                <w:lang w:eastAsia="en-GB"/>
              </w:rPr>
              <w:t>52</w:t>
            </w:r>
          </w:p>
        </w:tc>
        <w:tc>
          <w:tcPr>
            <w:tcW w:w="909" w:type="pct"/>
            <w:noWrap/>
            <w:hideMark/>
          </w:tcPr>
          <w:p w14:paraId="25C84DE0" w14:textId="77777777" w:rsidR="00C9752B" w:rsidRPr="00D71008" w:rsidRDefault="00C9752B" w:rsidP="00A20642">
            <w:pPr>
              <w:jc w:val="center"/>
              <w:rPr>
                <w:noProof/>
                <w:sz w:val="18"/>
                <w:szCs w:val="18"/>
                <w:lang w:eastAsia="en-GB"/>
              </w:rPr>
            </w:pPr>
            <w:r w:rsidRPr="00D71008">
              <w:rPr>
                <w:noProof/>
                <w:sz w:val="18"/>
                <w:szCs w:val="18"/>
                <w:lang w:eastAsia="en-GB"/>
              </w:rPr>
              <w:t>Zaandam</w:t>
            </w:r>
          </w:p>
        </w:tc>
        <w:tc>
          <w:tcPr>
            <w:tcW w:w="817" w:type="pct"/>
            <w:noWrap/>
            <w:hideMark/>
          </w:tcPr>
          <w:p w14:paraId="106059CD" w14:textId="77777777" w:rsidR="00C9752B" w:rsidRPr="00D71008" w:rsidRDefault="00C9752B" w:rsidP="00A20642">
            <w:pPr>
              <w:jc w:val="center"/>
              <w:rPr>
                <w:noProof/>
                <w:sz w:val="18"/>
                <w:szCs w:val="18"/>
                <w:lang w:eastAsia="en-GB"/>
              </w:rPr>
            </w:pPr>
            <w:r w:rsidRPr="00D71008">
              <w:rPr>
                <w:noProof/>
                <w:sz w:val="18"/>
                <w:szCs w:val="18"/>
                <w:lang w:eastAsia="en-GB"/>
              </w:rPr>
              <w:t>Netherlands</w:t>
            </w:r>
          </w:p>
        </w:tc>
        <w:tc>
          <w:tcPr>
            <w:tcW w:w="818" w:type="pct"/>
            <w:noWrap/>
            <w:hideMark/>
          </w:tcPr>
          <w:p w14:paraId="5B61D5A1" w14:textId="77777777" w:rsidR="00C9752B" w:rsidRPr="00D71008" w:rsidRDefault="00C9752B" w:rsidP="00A20642">
            <w:pPr>
              <w:jc w:val="center"/>
              <w:rPr>
                <w:noProof/>
                <w:sz w:val="18"/>
                <w:szCs w:val="18"/>
                <w:lang w:eastAsia="en-GB"/>
              </w:rPr>
            </w:pPr>
            <w:r w:rsidRPr="00D71008">
              <w:rPr>
                <w:noProof/>
                <w:sz w:val="18"/>
                <w:szCs w:val="18"/>
                <w:lang w:eastAsia="en-GB"/>
              </w:rPr>
              <w:t>Oss</w:t>
            </w:r>
          </w:p>
        </w:tc>
        <w:tc>
          <w:tcPr>
            <w:tcW w:w="818" w:type="pct"/>
            <w:noWrap/>
            <w:hideMark/>
          </w:tcPr>
          <w:p w14:paraId="534D5841" w14:textId="61250A18" w:rsidR="00C9752B" w:rsidRPr="00D71008" w:rsidRDefault="00C9752B" w:rsidP="00A20642">
            <w:pPr>
              <w:jc w:val="center"/>
              <w:rPr>
                <w:noProof/>
                <w:sz w:val="18"/>
                <w:szCs w:val="18"/>
                <w:lang w:eastAsia="en-GB"/>
              </w:rPr>
            </w:pPr>
            <w:r w:rsidRPr="00D71008">
              <w:rPr>
                <w:noProof/>
                <w:sz w:val="18"/>
                <w:szCs w:val="18"/>
                <w:lang w:eastAsia="en-GB"/>
              </w:rPr>
              <w:t>Netherlands</w:t>
            </w:r>
          </w:p>
        </w:tc>
        <w:tc>
          <w:tcPr>
            <w:tcW w:w="821" w:type="pct"/>
          </w:tcPr>
          <w:p w14:paraId="593F9C7D" w14:textId="77777777" w:rsidR="00C9752B" w:rsidRPr="00D71008" w:rsidRDefault="00C9752B" w:rsidP="00A20642">
            <w:pPr>
              <w:jc w:val="center"/>
              <w:rPr>
                <w:noProof/>
                <w:sz w:val="18"/>
                <w:szCs w:val="18"/>
                <w:lang w:eastAsia="en-GB"/>
              </w:rPr>
            </w:pPr>
            <w:r w:rsidRPr="00D71008">
              <w:rPr>
                <w:noProof/>
                <w:sz w:val="18"/>
                <w:szCs w:val="18"/>
                <w:lang w:eastAsia="en-GB"/>
              </w:rPr>
              <w:t>119 km</w:t>
            </w:r>
          </w:p>
        </w:tc>
      </w:tr>
      <w:tr w:rsidR="00C9752B" w:rsidRPr="00D71008" w14:paraId="72EC501A" w14:textId="77777777" w:rsidTr="00090A1B">
        <w:trPr>
          <w:trHeight w:val="290"/>
        </w:trPr>
        <w:tc>
          <w:tcPr>
            <w:tcW w:w="817" w:type="pct"/>
          </w:tcPr>
          <w:p w14:paraId="150CCBEE" w14:textId="77777777" w:rsidR="00C9752B" w:rsidRPr="00D71008" w:rsidRDefault="00C9752B" w:rsidP="00A20642">
            <w:pPr>
              <w:jc w:val="center"/>
              <w:rPr>
                <w:noProof/>
                <w:sz w:val="18"/>
                <w:szCs w:val="18"/>
                <w:lang w:eastAsia="en-GB"/>
              </w:rPr>
            </w:pPr>
            <w:r w:rsidRPr="00D71008">
              <w:rPr>
                <w:noProof/>
                <w:sz w:val="18"/>
                <w:szCs w:val="18"/>
                <w:lang w:eastAsia="en-GB"/>
              </w:rPr>
              <w:t>53</w:t>
            </w:r>
          </w:p>
        </w:tc>
        <w:tc>
          <w:tcPr>
            <w:tcW w:w="909" w:type="pct"/>
            <w:noWrap/>
            <w:hideMark/>
          </w:tcPr>
          <w:p w14:paraId="26F82C39" w14:textId="77777777" w:rsidR="00C9752B" w:rsidRPr="00D71008" w:rsidRDefault="00C9752B" w:rsidP="00A20642">
            <w:pPr>
              <w:jc w:val="center"/>
              <w:rPr>
                <w:noProof/>
                <w:sz w:val="18"/>
                <w:szCs w:val="18"/>
                <w:lang w:eastAsia="en-GB"/>
              </w:rPr>
            </w:pPr>
            <w:r w:rsidRPr="00D71008">
              <w:rPr>
                <w:noProof/>
                <w:sz w:val="18"/>
                <w:szCs w:val="18"/>
                <w:lang w:eastAsia="en-GB"/>
              </w:rPr>
              <w:t>Zaanstad</w:t>
            </w:r>
          </w:p>
        </w:tc>
        <w:tc>
          <w:tcPr>
            <w:tcW w:w="817" w:type="pct"/>
            <w:noWrap/>
            <w:hideMark/>
          </w:tcPr>
          <w:p w14:paraId="19C55A7B" w14:textId="77777777" w:rsidR="00C9752B" w:rsidRPr="00D71008" w:rsidRDefault="00C9752B" w:rsidP="00A20642">
            <w:pPr>
              <w:jc w:val="center"/>
              <w:rPr>
                <w:noProof/>
                <w:sz w:val="18"/>
                <w:szCs w:val="18"/>
                <w:lang w:eastAsia="en-GB"/>
              </w:rPr>
            </w:pPr>
            <w:r w:rsidRPr="00D71008">
              <w:rPr>
                <w:noProof/>
                <w:sz w:val="18"/>
                <w:szCs w:val="18"/>
                <w:lang w:eastAsia="en-GB"/>
              </w:rPr>
              <w:t>Netherlands</w:t>
            </w:r>
          </w:p>
        </w:tc>
        <w:tc>
          <w:tcPr>
            <w:tcW w:w="818" w:type="pct"/>
            <w:noWrap/>
            <w:hideMark/>
          </w:tcPr>
          <w:p w14:paraId="432CD702" w14:textId="77777777" w:rsidR="00C9752B" w:rsidRPr="00D71008" w:rsidRDefault="00C9752B" w:rsidP="00A20642">
            <w:pPr>
              <w:jc w:val="center"/>
              <w:rPr>
                <w:noProof/>
                <w:sz w:val="18"/>
                <w:szCs w:val="18"/>
                <w:lang w:eastAsia="en-GB"/>
              </w:rPr>
            </w:pPr>
            <w:r w:rsidRPr="00D71008">
              <w:rPr>
                <w:noProof/>
                <w:sz w:val="18"/>
                <w:szCs w:val="18"/>
                <w:lang w:eastAsia="en-GB"/>
              </w:rPr>
              <w:t>Almelo</w:t>
            </w:r>
          </w:p>
        </w:tc>
        <w:tc>
          <w:tcPr>
            <w:tcW w:w="818" w:type="pct"/>
            <w:noWrap/>
            <w:hideMark/>
          </w:tcPr>
          <w:p w14:paraId="2A4135A7" w14:textId="7A49EC65" w:rsidR="00C9752B" w:rsidRPr="00D71008" w:rsidRDefault="00C9752B" w:rsidP="00A20642">
            <w:pPr>
              <w:jc w:val="center"/>
              <w:rPr>
                <w:noProof/>
                <w:sz w:val="18"/>
                <w:szCs w:val="18"/>
                <w:lang w:eastAsia="en-GB"/>
              </w:rPr>
            </w:pPr>
            <w:r w:rsidRPr="00D71008">
              <w:rPr>
                <w:noProof/>
                <w:sz w:val="18"/>
                <w:szCs w:val="18"/>
                <w:lang w:eastAsia="en-GB"/>
              </w:rPr>
              <w:t>Netherlands</w:t>
            </w:r>
          </w:p>
        </w:tc>
        <w:tc>
          <w:tcPr>
            <w:tcW w:w="821" w:type="pct"/>
          </w:tcPr>
          <w:p w14:paraId="22B41DEA" w14:textId="77777777" w:rsidR="00C9752B" w:rsidRPr="00D71008" w:rsidRDefault="00C9752B" w:rsidP="00A20642">
            <w:pPr>
              <w:jc w:val="center"/>
              <w:rPr>
                <w:noProof/>
                <w:sz w:val="18"/>
                <w:szCs w:val="18"/>
                <w:lang w:eastAsia="en-GB"/>
              </w:rPr>
            </w:pPr>
            <w:r w:rsidRPr="00D71008">
              <w:rPr>
                <w:noProof/>
                <w:sz w:val="18"/>
                <w:szCs w:val="18"/>
                <w:lang w:eastAsia="en-GB"/>
              </w:rPr>
              <w:t>180 km</w:t>
            </w:r>
          </w:p>
        </w:tc>
      </w:tr>
      <w:tr w:rsidR="00C9752B" w:rsidRPr="00D71008" w14:paraId="55B6697B" w14:textId="77777777" w:rsidTr="23484F07">
        <w:trPr>
          <w:trHeight w:val="290"/>
        </w:trPr>
        <w:tc>
          <w:tcPr>
            <w:tcW w:w="5000" w:type="pct"/>
            <w:gridSpan w:val="6"/>
            <w:shd w:val="clear" w:color="auto" w:fill="F79646" w:themeFill="accent6"/>
          </w:tcPr>
          <w:p w14:paraId="6EC9FB31" w14:textId="77777777" w:rsidR="00C9752B" w:rsidRPr="00D71008" w:rsidRDefault="00C9752B" w:rsidP="00A20642">
            <w:pPr>
              <w:jc w:val="center"/>
              <w:rPr>
                <w:noProof/>
                <w:sz w:val="18"/>
                <w:szCs w:val="18"/>
                <w:lang w:eastAsia="en-GB"/>
              </w:rPr>
            </w:pPr>
            <w:r w:rsidRPr="00D71008">
              <w:rPr>
                <w:noProof/>
                <w:sz w:val="18"/>
                <w:szCs w:val="18"/>
                <w:lang w:eastAsia="en-GB"/>
              </w:rPr>
              <w:t>Cluster F</w:t>
            </w:r>
          </w:p>
        </w:tc>
      </w:tr>
      <w:tr w:rsidR="00C9752B" w:rsidRPr="00D71008" w14:paraId="54072BF0" w14:textId="77777777" w:rsidTr="00090A1B">
        <w:trPr>
          <w:trHeight w:val="290"/>
        </w:trPr>
        <w:tc>
          <w:tcPr>
            <w:tcW w:w="817" w:type="pct"/>
          </w:tcPr>
          <w:p w14:paraId="51F97610" w14:textId="77777777" w:rsidR="00C9752B" w:rsidRPr="00D71008" w:rsidRDefault="00C9752B" w:rsidP="00A20642">
            <w:pPr>
              <w:jc w:val="center"/>
              <w:rPr>
                <w:noProof/>
                <w:sz w:val="18"/>
                <w:szCs w:val="18"/>
                <w:lang w:eastAsia="en-GB"/>
              </w:rPr>
            </w:pPr>
            <w:r w:rsidRPr="00D71008">
              <w:rPr>
                <w:noProof/>
                <w:sz w:val="18"/>
                <w:szCs w:val="18"/>
                <w:lang w:eastAsia="en-GB"/>
              </w:rPr>
              <w:t>54</w:t>
            </w:r>
          </w:p>
        </w:tc>
        <w:tc>
          <w:tcPr>
            <w:tcW w:w="909" w:type="pct"/>
            <w:noWrap/>
            <w:hideMark/>
          </w:tcPr>
          <w:p w14:paraId="6A33309B" w14:textId="4D6920F9" w:rsidR="00C9752B" w:rsidRPr="00D71008" w:rsidRDefault="00C9752B" w:rsidP="00A20642">
            <w:pPr>
              <w:jc w:val="center"/>
              <w:rPr>
                <w:noProof/>
                <w:sz w:val="18"/>
                <w:szCs w:val="18"/>
                <w:lang w:eastAsia="en-GB"/>
              </w:rPr>
            </w:pPr>
            <w:r w:rsidRPr="00D71008">
              <w:rPr>
                <w:noProof/>
                <w:sz w:val="18"/>
                <w:szCs w:val="18"/>
                <w:lang w:eastAsia="en-GB"/>
              </w:rPr>
              <w:t>Verviers</w:t>
            </w:r>
          </w:p>
        </w:tc>
        <w:tc>
          <w:tcPr>
            <w:tcW w:w="817" w:type="pct"/>
            <w:noWrap/>
            <w:hideMark/>
          </w:tcPr>
          <w:p w14:paraId="48DCA09F" w14:textId="3538A5E8" w:rsidR="00C9752B" w:rsidRPr="00D71008" w:rsidRDefault="00C9752B" w:rsidP="00A20642">
            <w:pPr>
              <w:jc w:val="center"/>
              <w:rPr>
                <w:noProof/>
                <w:sz w:val="18"/>
                <w:szCs w:val="18"/>
                <w:lang w:eastAsia="en-GB"/>
              </w:rPr>
            </w:pPr>
            <w:r w:rsidRPr="00D71008">
              <w:rPr>
                <w:noProof/>
                <w:sz w:val="18"/>
                <w:szCs w:val="18"/>
                <w:lang w:eastAsia="en-GB"/>
              </w:rPr>
              <w:t>Belgium</w:t>
            </w:r>
          </w:p>
        </w:tc>
        <w:tc>
          <w:tcPr>
            <w:tcW w:w="818" w:type="pct"/>
            <w:noWrap/>
            <w:hideMark/>
          </w:tcPr>
          <w:p w14:paraId="530AC655" w14:textId="4219B593" w:rsidR="00C9752B" w:rsidRPr="00D71008" w:rsidRDefault="00C9752B" w:rsidP="00A20642">
            <w:pPr>
              <w:jc w:val="center"/>
              <w:rPr>
                <w:noProof/>
                <w:sz w:val="18"/>
                <w:szCs w:val="18"/>
                <w:lang w:eastAsia="en-GB"/>
              </w:rPr>
            </w:pPr>
            <w:r w:rsidRPr="00D71008">
              <w:rPr>
                <w:noProof/>
                <w:sz w:val="18"/>
                <w:szCs w:val="18"/>
                <w:lang w:eastAsia="en-GB"/>
              </w:rPr>
              <w:t>Sint-Niklaas</w:t>
            </w:r>
          </w:p>
        </w:tc>
        <w:tc>
          <w:tcPr>
            <w:tcW w:w="818" w:type="pct"/>
            <w:noWrap/>
            <w:hideMark/>
          </w:tcPr>
          <w:p w14:paraId="5F678B29" w14:textId="0DFE0CF6" w:rsidR="00C9752B" w:rsidRPr="00D71008" w:rsidRDefault="00C9752B" w:rsidP="00A20642">
            <w:pPr>
              <w:jc w:val="center"/>
              <w:rPr>
                <w:noProof/>
                <w:sz w:val="18"/>
                <w:szCs w:val="18"/>
                <w:lang w:eastAsia="en-GB"/>
              </w:rPr>
            </w:pPr>
            <w:r w:rsidRPr="00D71008">
              <w:rPr>
                <w:noProof/>
                <w:sz w:val="18"/>
                <w:szCs w:val="18"/>
                <w:lang w:eastAsia="en-GB"/>
              </w:rPr>
              <w:t>Belgium</w:t>
            </w:r>
          </w:p>
        </w:tc>
        <w:tc>
          <w:tcPr>
            <w:tcW w:w="821" w:type="pct"/>
          </w:tcPr>
          <w:p w14:paraId="22528D65" w14:textId="564C72DD" w:rsidR="00C9752B" w:rsidRPr="00D71008" w:rsidRDefault="00C9752B" w:rsidP="00A20642">
            <w:pPr>
              <w:jc w:val="center"/>
              <w:rPr>
                <w:noProof/>
                <w:sz w:val="18"/>
                <w:szCs w:val="18"/>
                <w:lang w:eastAsia="en-GB"/>
              </w:rPr>
            </w:pPr>
            <w:r w:rsidRPr="00D71008">
              <w:rPr>
                <w:noProof/>
                <w:sz w:val="18"/>
                <w:szCs w:val="18"/>
                <w:lang w:eastAsia="en-GB"/>
              </w:rPr>
              <w:t>206 km</w:t>
            </w:r>
          </w:p>
        </w:tc>
      </w:tr>
      <w:tr w:rsidR="00C9752B" w:rsidRPr="00D71008" w14:paraId="6A7C7D4B" w14:textId="77777777" w:rsidTr="00090A1B">
        <w:trPr>
          <w:trHeight w:val="290"/>
        </w:trPr>
        <w:tc>
          <w:tcPr>
            <w:tcW w:w="817" w:type="pct"/>
          </w:tcPr>
          <w:p w14:paraId="322D84A2" w14:textId="77777777" w:rsidR="00C9752B" w:rsidRPr="00D71008" w:rsidRDefault="00C9752B" w:rsidP="00A20642">
            <w:pPr>
              <w:jc w:val="center"/>
              <w:rPr>
                <w:noProof/>
                <w:sz w:val="18"/>
                <w:szCs w:val="18"/>
                <w:lang w:eastAsia="en-GB"/>
              </w:rPr>
            </w:pPr>
            <w:r w:rsidRPr="00D71008">
              <w:rPr>
                <w:noProof/>
                <w:sz w:val="18"/>
                <w:szCs w:val="18"/>
                <w:lang w:eastAsia="en-GB"/>
              </w:rPr>
              <w:t>55</w:t>
            </w:r>
          </w:p>
        </w:tc>
        <w:tc>
          <w:tcPr>
            <w:tcW w:w="909" w:type="pct"/>
            <w:noWrap/>
            <w:hideMark/>
          </w:tcPr>
          <w:p w14:paraId="17460AA7" w14:textId="77777777" w:rsidR="00C9752B" w:rsidRPr="00D71008" w:rsidRDefault="00C9752B" w:rsidP="00A20642">
            <w:pPr>
              <w:jc w:val="center"/>
              <w:rPr>
                <w:noProof/>
                <w:sz w:val="18"/>
                <w:szCs w:val="18"/>
                <w:lang w:eastAsia="en-GB"/>
              </w:rPr>
            </w:pPr>
            <w:r w:rsidRPr="00D71008">
              <w:rPr>
                <w:noProof/>
                <w:sz w:val="18"/>
                <w:szCs w:val="18"/>
                <w:lang w:eastAsia="en-GB"/>
              </w:rPr>
              <w:t>Rijeka</w:t>
            </w:r>
          </w:p>
        </w:tc>
        <w:tc>
          <w:tcPr>
            <w:tcW w:w="817" w:type="pct"/>
            <w:noWrap/>
            <w:hideMark/>
          </w:tcPr>
          <w:p w14:paraId="75136D4D" w14:textId="77777777" w:rsidR="00C9752B" w:rsidRPr="00D71008" w:rsidRDefault="00C9752B" w:rsidP="00A20642">
            <w:pPr>
              <w:jc w:val="center"/>
              <w:rPr>
                <w:noProof/>
                <w:sz w:val="18"/>
                <w:szCs w:val="18"/>
                <w:lang w:eastAsia="en-GB"/>
              </w:rPr>
            </w:pPr>
            <w:r w:rsidRPr="00D71008">
              <w:rPr>
                <w:noProof/>
                <w:sz w:val="18"/>
                <w:szCs w:val="18"/>
                <w:lang w:eastAsia="en-GB"/>
              </w:rPr>
              <w:t>Croatia</w:t>
            </w:r>
          </w:p>
        </w:tc>
        <w:tc>
          <w:tcPr>
            <w:tcW w:w="818" w:type="pct"/>
            <w:noWrap/>
            <w:hideMark/>
          </w:tcPr>
          <w:p w14:paraId="05550B80" w14:textId="77777777" w:rsidR="00C9752B" w:rsidRPr="00D71008" w:rsidRDefault="00C9752B" w:rsidP="00A20642">
            <w:pPr>
              <w:jc w:val="center"/>
              <w:rPr>
                <w:noProof/>
                <w:sz w:val="18"/>
                <w:szCs w:val="18"/>
                <w:lang w:eastAsia="en-GB"/>
              </w:rPr>
            </w:pPr>
            <w:r w:rsidRPr="00D71008">
              <w:rPr>
                <w:noProof/>
                <w:sz w:val="18"/>
                <w:szCs w:val="18"/>
                <w:lang w:eastAsia="en-GB"/>
              </w:rPr>
              <w:t>Zagreb</w:t>
            </w:r>
          </w:p>
        </w:tc>
        <w:tc>
          <w:tcPr>
            <w:tcW w:w="818" w:type="pct"/>
            <w:noWrap/>
            <w:hideMark/>
          </w:tcPr>
          <w:p w14:paraId="2AA6EFF7" w14:textId="11115147" w:rsidR="00C9752B" w:rsidRPr="00D71008" w:rsidRDefault="00C9752B" w:rsidP="00A20642">
            <w:pPr>
              <w:jc w:val="center"/>
              <w:rPr>
                <w:noProof/>
                <w:sz w:val="18"/>
                <w:szCs w:val="18"/>
                <w:lang w:eastAsia="en-GB"/>
              </w:rPr>
            </w:pPr>
            <w:r w:rsidRPr="00D71008">
              <w:rPr>
                <w:noProof/>
                <w:sz w:val="18"/>
                <w:szCs w:val="18"/>
                <w:lang w:eastAsia="en-GB"/>
              </w:rPr>
              <w:t>Croatia</w:t>
            </w:r>
          </w:p>
        </w:tc>
        <w:tc>
          <w:tcPr>
            <w:tcW w:w="821" w:type="pct"/>
          </w:tcPr>
          <w:p w14:paraId="61508EA0" w14:textId="77777777" w:rsidR="00C9752B" w:rsidRPr="00D71008" w:rsidRDefault="00C9752B" w:rsidP="00A20642">
            <w:pPr>
              <w:jc w:val="center"/>
              <w:rPr>
                <w:noProof/>
                <w:sz w:val="18"/>
                <w:szCs w:val="18"/>
                <w:lang w:eastAsia="en-GB"/>
              </w:rPr>
            </w:pPr>
            <w:r w:rsidRPr="00D71008">
              <w:rPr>
                <w:noProof/>
                <w:sz w:val="18"/>
                <w:szCs w:val="18"/>
                <w:lang w:eastAsia="en-GB"/>
              </w:rPr>
              <w:t>174 km</w:t>
            </w:r>
          </w:p>
        </w:tc>
      </w:tr>
      <w:tr w:rsidR="00C9752B" w:rsidRPr="00D71008" w14:paraId="2B245DD4" w14:textId="77777777" w:rsidTr="00090A1B">
        <w:trPr>
          <w:trHeight w:val="290"/>
        </w:trPr>
        <w:tc>
          <w:tcPr>
            <w:tcW w:w="817" w:type="pct"/>
          </w:tcPr>
          <w:p w14:paraId="44DF9909" w14:textId="77777777" w:rsidR="00C9752B" w:rsidRPr="00D71008" w:rsidRDefault="00C9752B" w:rsidP="00A20642">
            <w:pPr>
              <w:jc w:val="center"/>
              <w:rPr>
                <w:noProof/>
                <w:sz w:val="18"/>
                <w:szCs w:val="18"/>
                <w:lang w:eastAsia="en-GB"/>
              </w:rPr>
            </w:pPr>
            <w:r w:rsidRPr="00D71008">
              <w:rPr>
                <w:noProof/>
                <w:sz w:val="18"/>
                <w:szCs w:val="18"/>
                <w:lang w:eastAsia="en-GB"/>
              </w:rPr>
              <w:t>56</w:t>
            </w:r>
          </w:p>
        </w:tc>
        <w:tc>
          <w:tcPr>
            <w:tcW w:w="909" w:type="pct"/>
            <w:noWrap/>
            <w:hideMark/>
          </w:tcPr>
          <w:p w14:paraId="50FED299" w14:textId="77777777" w:rsidR="00C9752B" w:rsidRPr="00D71008" w:rsidRDefault="00C9752B" w:rsidP="00A20642">
            <w:pPr>
              <w:jc w:val="center"/>
              <w:rPr>
                <w:noProof/>
                <w:sz w:val="18"/>
                <w:szCs w:val="18"/>
                <w:lang w:eastAsia="en-GB"/>
              </w:rPr>
            </w:pPr>
            <w:r w:rsidRPr="00D71008">
              <w:rPr>
                <w:noProof/>
                <w:sz w:val="18"/>
                <w:szCs w:val="18"/>
                <w:lang w:eastAsia="en-GB"/>
              </w:rPr>
              <w:t>Split</w:t>
            </w:r>
          </w:p>
        </w:tc>
        <w:tc>
          <w:tcPr>
            <w:tcW w:w="817" w:type="pct"/>
            <w:noWrap/>
            <w:hideMark/>
          </w:tcPr>
          <w:p w14:paraId="5AE219BD" w14:textId="77777777" w:rsidR="00C9752B" w:rsidRPr="00D71008" w:rsidRDefault="00C9752B" w:rsidP="00A20642">
            <w:pPr>
              <w:jc w:val="center"/>
              <w:rPr>
                <w:noProof/>
                <w:sz w:val="18"/>
                <w:szCs w:val="18"/>
                <w:lang w:eastAsia="en-GB"/>
              </w:rPr>
            </w:pPr>
            <w:r w:rsidRPr="00D71008">
              <w:rPr>
                <w:noProof/>
                <w:sz w:val="18"/>
                <w:szCs w:val="18"/>
                <w:lang w:eastAsia="en-GB"/>
              </w:rPr>
              <w:t>Croatia</w:t>
            </w:r>
          </w:p>
        </w:tc>
        <w:tc>
          <w:tcPr>
            <w:tcW w:w="818" w:type="pct"/>
            <w:noWrap/>
            <w:hideMark/>
          </w:tcPr>
          <w:p w14:paraId="2F023F8D" w14:textId="77777777" w:rsidR="00C9752B" w:rsidRPr="00D71008" w:rsidRDefault="00C9752B" w:rsidP="00A20642">
            <w:pPr>
              <w:jc w:val="center"/>
              <w:rPr>
                <w:noProof/>
                <w:sz w:val="18"/>
                <w:szCs w:val="18"/>
                <w:lang w:eastAsia="en-GB"/>
              </w:rPr>
            </w:pPr>
            <w:r w:rsidRPr="00D71008">
              <w:rPr>
                <w:noProof/>
                <w:sz w:val="18"/>
                <w:szCs w:val="18"/>
                <w:lang w:eastAsia="en-GB"/>
              </w:rPr>
              <w:t>Pula</w:t>
            </w:r>
          </w:p>
        </w:tc>
        <w:tc>
          <w:tcPr>
            <w:tcW w:w="818" w:type="pct"/>
            <w:noWrap/>
            <w:hideMark/>
          </w:tcPr>
          <w:p w14:paraId="044CE08A" w14:textId="0A3741D8" w:rsidR="00C9752B" w:rsidRPr="00D71008" w:rsidRDefault="00C9752B" w:rsidP="00A20642">
            <w:pPr>
              <w:jc w:val="center"/>
              <w:rPr>
                <w:noProof/>
                <w:sz w:val="18"/>
                <w:szCs w:val="18"/>
                <w:lang w:eastAsia="en-GB"/>
              </w:rPr>
            </w:pPr>
            <w:r w:rsidRPr="00D71008">
              <w:rPr>
                <w:noProof/>
                <w:sz w:val="18"/>
                <w:szCs w:val="18"/>
                <w:lang w:eastAsia="en-GB"/>
              </w:rPr>
              <w:t>Croatia</w:t>
            </w:r>
          </w:p>
        </w:tc>
        <w:tc>
          <w:tcPr>
            <w:tcW w:w="821" w:type="pct"/>
          </w:tcPr>
          <w:p w14:paraId="144EB938" w14:textId="77777777" w:rsidR="00C9752B" w:rsidRPr="00D71008" w:rsidRDefault="00C9752B" w:rsidP="00A20642">
            <w:pPr>
              <w:jc w:val="center"/>
              <w:rPr>
                <w:noProof/>
                <w:sz w:val="18"/>
                <w:szCs w:val="18"/>
                <w:lang w:eastAsia="en-GB"/>
              </w:rPr>
            </w:pPr>
            <w:r w:rsidRPr="00D71008">
              <w:rPr>
                <w:noProof/>
                <w:sz w:val="18"/>
                <w:szCs w:val="18"/>
                <w:lang w:eastAsia="en-GB"/>
              </w:rPr>
              <w:t>685 km</w:t>
            </w:r>
          </w:p>
        </w:tc>
      </w:tr>
      <w:tr w:rsidR="00C9752B" w:rsidRPr="00D71008" w14:paraId="31859E2E" w14:textId="77777777" w:rsidTr="00090A1B">
        <w:trPr>
          <w:trHeight w:val="290"/>
        </w:trPr>
        <w:tc>
          <w:tcPr>
            <w:tcW w:w="817" w:type="pct"/>
          </w:tcPr>
          <w:p w14:paraId="2D30689B" w14:textId="77777777" w:rsidR="00C9752B" w:rsidRPr="00D71008" w:rsidRDefault="00C9752B" w:rsidP="00A20642">
            <w:pPr>
              <w:jc w:val="center"/>
              <w:rPr>
                <w:noProof/>
                <w:sz w:val="18"/>
                <w:szCs w:val="18"/>
                <w:lang w:eastAsia="en-GB"/>
              </w:rPr>
            </w:pPr>
            <w:r w:rsidRPr="00D71008">
              <w:rPr>
                <w:noProof/>
                <w:sz w:val="18"/>
                <w:szCs w:val="18"/>
                <w:lang w:eastAsia="en-GB"/>
              </w:rPr>
              <w:t>57</w:t>
            </w:r>
          </w:p>
        </w:tc>
        <w:tc>
          <w:tcPr>
            <w:tcW w:w="909" w:type="pct"/>
            <w:noWrap/>
            <w:hideMark/>
          </w:tcPr>
          <w:p w14:paraId="3529CCF0" w14:textId="77777777" w:rsidR="00C9752B" w:rsidRPr="00D71008" w:rsidRDefault="00C9752B" w:rsidP="00A20642">
            <w:pPr>
              <w:jc w:val="center"/>
              <w:rPr>
                <w:noProof/>
                <w:sz w:val="18"/>
                <w:szCs w:val="18"/>
                <w:lang w:eastAsia="en-GB"/>
              </w:rPr>
            </w:pPr>
            <w:r w:rsidRPr="00D71008">
              <w:rPr>
                <w:noProof/>
                <w:sz w:val="18"/>
                <w:szCs w:val="18"/>
                <w:lang w:eastAsia="en-GB"/>
              </w:rPr>
              <w:t>Prievidza</w:t>
            </w:r>
          </w:p>
        </w:tc>
        <w:tc>
          <w:tcPr>
            <w:tcW w:w="817" w:type="pct"/>
            <w:noWrap/>
            <w:hideMark/>
          </w:tcPr>
          <w:p w14:paraId="1FA7E9BB" w14:textId="77777777" w:rsidR="00C9752B" w:rsidRPr="00D71008" w:rsidRDefault="00C9752B" w:rsidP="00A20642">
            <w:pPr>
              <w:jc w:val="center"/>
              <w:rPr>
                <w:noProof/>
                <w:sz w:val="18"/>
                <w:szCs w:val="18"/>
                <w:lang w:eastAsia="en-GB"/>
              </w:rPr>
            </w:pPr>
            <w:r w:rsidRPr="00D71008">
              <w:rPr>
                <w:noProof/>
                <w:sz w:val="18"/>
                <w:szCs w:val="18"/>
                <w:lang w:eastAsia="en-GB"/>
              </w:rPr>
              <w:t>Slovakia</w:t>
            </w:r>
          </w:p>
        </w:tc>
        <w:tc>
          <w:tcPr>
            <w:tcW w:w="818" w:type="pct"/>
            <w:noWrap/>
            <w:hideMark/>
          </w:tcPr>
          <w:p w14:paraId="07BE7CE9" w14:textId="77777777" w:rsidR="00C9752B" w:rsidRPr="00D71008" w:rsidRDefault="00C9752B" w:rsidP="00A20642">
            <w:pPr>
              <w:jc w:val="center"/>
              <w:rPr>
                <w:noProof/>
                <w:sz w:val="18"/>
                <w:szCs w:val="18"/>
                <w:lang w:eastAsia="en-GB"/>
              </w:rPr>
            </w:pPr>
            <w:r w:rsidRPr="00D71008">
              <w:rPr>
                <w:noProof/>
                <w:sz w:val="18"/>
                <w:szCs w:val="18"/>
                <w:lang w:eastAsia="en-GB"/>
              </w:rPr>
              <w:t>Martin</w:t>
            </w:r>
          </w:p>
        </w:tc>
        <w:tc>
          <w:tcPr>
            <w:tcW w:w="818" w:type="pct"/>
            <w:noWrap/>
            <w:hideMark/>
          </w:tcPr>
          <w:p w14:paraId="31CA9F2F" w14:textId="786A231F" w:rsidR="00C9752B" w:rsidRPr="00D71008" w:rsidRDefault="00C9752B" w:rsidP="00A20642">
            <w:pPr>
              <w:jc w:val="center"/>
              <w:rPr>
                <w:noProof/>
                <w:sz w:val="18"/>
                <w:szCs w:val="18"/>
                <w:lang w:eastAsia="en-GB"/>
              </w:rPr>
            </w:pPr>
            <w:r w:rsidRPr="00D71008">
              <w:rPr>
                <w:noProof/>
                <w:sz w:val="18"/>
                <w:szCs w:val="18"/>
                <w:lang w:eastAsia="en-GB"/>
              </w:rPr>
              <w:t>Slovakia</w:t>
            </w:r>
          </w:p>
        </w:tc>
        <w:tc>
          <w:tcPr>
            <w:tcW w:w="821" w:type="pct"/>
          </w:tcPr>
          <w:p w14:paraId="45498BD1" w14:textId="77777777" w:rsidR="00C9752B" w:rsidRPr="00D71008" w:rsidRDefault="00C9752B" w:rsidP="00A20642">
            <w:pPr>
              <w:jc w:val="center"/>
              <w:rPr>
                <w:noProof/>
                <w:sz w:val="18"/>
                <w:szCs w:val="18"/>
                <w:lang w:eastAsia="en-GB"/>
              </w:rPr>
            </w:pPr>
            <w:r w:rsidRPr="00D71008">
              <w:rPr>
                <w:noProof/>
                <w:sz w:val="18"/>
                <w:szCs w:val="18"/>
                <w:lang w:eastAsia="en-GB"/>
              </w:rPr>
              <w:t>81.7 km</w:t>
            </w:r>
          </w:p>
        </w:tc>
      </w:tr>
      <w:tr w:rsidR="00C9752B" w:rsidRPr="00D71008" w14:paraId="35AA43EC" w14:textId="77777777" w:rsidTr="00090A1B">
        <w:trPr>
          <w:trHeight w:val="290"/>
        </w:trPr>
        <w:tc>
          <w:tcPr>
            <w:tcW w:w="817" w:type="pct"/>
          </w:tcPr>
          <w:p w14:paraId="6E120899" w14:textId="77777777" w:rsidR="00C9752B" w:rsidRPr="00D71008" w:rsidRDefault="00C9752B" w:rsidP="00A20642">
            <w:pPr>
              <w:jc w:val="center"/>
              <w:rPr>
                <w:noProof/>
                <w:sz w:val="18"/>
                <w:szCs w:val="18"/>
                <w:lang w:eastAsia="en-GB"/>
              </w:rPr>
            </w:pPr>
            <w:r w:rsidRPr="00D71008">
              <w:rPr>
                <w:noProof/>
                <w:sz w:val="18"/>
                <w:szCs w:val="18"/>
                <w:lang w:eastAsia="en-GB"/>
              </w:rPr>
              <w:t>58</w:t>
            </w:r>
          </w:p>
        </w:tc>
        <w:tc>
          <w:tcPr>
            <w:tcW w:w="909" w:type="pct"/>
            <w:noWrap/>
            <w:hideMark/>
          </w:tcPr>
          <w:p w14:paraId="44E0D722" w14:textId="77777777" w:rsidR="00C9752B" w:rsidRPr="00D71008" w:rsidRDefault="00C9752B" w:rsidP="00A20642">
            <w:pPr>
              <w:jc w:val="center"/>
              <w:rPr>
                <w:noProof/>
                <w:sz w:val="18"/>
                <w:szCs w:val="18"/>
                <w:lang w:eastAsia="en-GB"/>
              </w:rPr>
            </w:pPr>
            <w:r w:rsidRPr="00D71008">
              <w:rPr>
                <w:noProof/>
                <w:sz w:val="18"/>
                <w:szCs w:val="18"/>
                <w:lang w:eastAsia="en-GB"/>
              </w:rPr>
              <w:t>Prešov</w:t>
            </w:r>
          </w:p>
        </w:tc>
        <w:tc>
          <w:tcPr>
            <w:tcW w:w="817" w:type="pct"/>
            <w:noWrap/>
            <w:hideMark/>
          </w:tcPr>
          <w:p w14:paraId="00AA0F71" w14:textId="77777777" w:rsidR="00C9752B" w:rsidRPr="00D71008" w:rsidRDefault="00C9752B" w:rsidP="00A20642">
            <w:pPr>
              <w:jc w:val="center"/>
              <w:rPr>
                <w:noProof/>
                <w:sz w:val="18"/>
                <w:szCs w:val="18"/>
                <w:lang w:eastAsia="en-GB"/>
              </w:rPr>
            </w:pPr>
            <w:r w:rsidRPr="00D71008">
              <w:rPr>
                <w:noProof/>
                <w:sz w:val="18"/>
                <w:szCs w:val="18"/>
                <w:lang w:eastAsia="en-GB"/>
              </w:rPr>
              <w:t>Slovakia</w:t>
            </w:r>
          </w:p>
        </w:tc>
        <w:tc>
          <w:tcPr>
            <w:tcW w:w="818" w:type="pct"/>
            <w:noWrap/>
            <w:hideMark/>
          </w:tcPr>
          <w:p w14:paraId="171F1E98" w14:textId="77777777" w:rsidR="00C9752B" w:rsidRPr="00D71008" w:rsidRDefault="00C9752B" w:rsidP="00A20642">
            <w:pPr>
              <w:jc w:val="center"/>
              <w:rPr>
                <w:noProof/>
                <w:sz w:val="18"/>
                <w:szCs w:val="18"/>
                <w:lang w:eastAsia="en-GB"/>
              </w:rPr>
            </w:pPr>
            <w:r w:rsidRPr="00D71008">
              <w:rPr>
                <w:noProof/>
                <w:sz w:val="18"/>
                <w:szCs w:val="18"/>
                <w:lang w:eastAsia="en-GB"/>
              </w:rPr>
              <w:t>Bratislava</w:t>
            </w:r>
          </w:p>
        </w:tc>
        <w:tc>
          <w:tcPr>
            <w:tcW w:w="818" w:type="pct"/>
            <w:noWrap/>
            <w:hideMark/>
          </w:tcPr>
          <w:p w14:paraId="1FE57E12" w14:textId="108BB180" w:rsidR="00C9752B" w:rsidRPr="00D71008" w:rsidRDefault="00C9752B" w:rsidP="00A20642">
            <w:pPr>
              <w:jc w:val="center"/>
              <w:rPr>
                <w:noProof/>
                <w:sz w:val="18"/>
                <w:szCs w:val="18"/>
                <w:lang w:eastAsia="en-GB"/>
              </w:rPr>
            </w:pPr>
            <w:r w:rsidRPr="00D71008">
              <w:rPr>
                <w:noProof/>
                <w:sz w:val="18"/>
                <w:szCs w:val="18"/>
                <w:lang w:eastAsia="en-GB"/>
              </w:rPr>
              <w:t>Slovakia</w:t>
            </w:r>
          </w:p>
        </w:tc>
        <w:tc>
          <w:tcPr>
            <w:tcW w:w="821" w:type="pct"/>
          </w:tcPr>
          <w:p w14:paraId="42223724" w14:textId="77777777" w:rsidR="00C9752B" w:rsidRPr="00D71008" w:rsidRDefault="00C9752B" w:rsidP="00A20642">
            <w:pPr>
              <w:jc w:val="center"/>
              <w:rPr>
                <w:noProof/>
                <w:sz w:val="18"/>
                <w:szCs w:val="18"/>
                <w:lang w:eastAsia="en-GB"/>
              </w:rPr>
            </w:pPr>
            <w:r w:rsidRPr="00D71008">
              <w:rPr>
                <w:noProof/>
                <w:sz w:val="18"/>
                <w:szCs w:val="18"/>
                <w:lang w:eastAsia="en-GB"/>
              </w:rPr>
              <w:t>440 km</w:t>
            </w:r>
          </w:p>
        </w:tc>
      </w:tr>
      <w:tr w:rsidR="00C9752B" w:rsidRPr="00D71008" w14:paraId="037D8000" w14:textId="77777777" w:rsidTr="00090A1B">
        <w:trPr>
          <w:trHeight w:val="290"/>
        </w:trPr>
        <w:tc>
          <w:tcPr>
            <w:tcW w:w="817" w:type="pct"/>
          </w:tcPr>
          <w:p w14:paraId="5FFC7CD0" w14:textId="77777777" w:rsidR="00C9752B" w:rsidRPr="00D71008" w:rsidRDefault="00C9752B" w:rsidP="00A20642">
            <w:pPr>
              <w:jc w:val="center"/>
              <w:rPr>
                <w:noProof/>
                <w:sz w:val="18"/>
                <w:szCs w:val="18"/>
                <w:lang w:eastAsia="en-GB"/>
              </w:rPr>
            </w:pPr>
            <w:r w:rsidRPr="00D71008">
              <w:rPr>
                <w:noProof/>
                <w:sz w:val="18"/>
                <w:szCs w:val="18"/>
                <w:lang w:eastAsia="en-GB"/>
              </w:rPr>
              <w:t>59</w:t>
            </w:r>
          </w:p>
        </w:tc>
        <w:tc>
          <w:tcPr>
            <w:tcW w:w="909" w:type="pct"/>
            <w:noWrap/>
            <w:hideMark/>
          </w:tcPr>
          <w:p w14:paraId="744D2DB9" w14:textId="77777777" w:rsidR="00C9752B" w:rsidRPr="00D71008" w:rsidRDefault="00C9752B" w:rsidP="00A20642">
            <w:pPr>
              <w:jc w:val="center"/>
              <w:rPr>
                <w:noProof/>
                <w:sz w:val="18"/>
                <w:szCs w:val="18"/>
                <w:lang w:eastAsia="en-GB"/>
              </w:rPr>
            </w:pPr>
            <w:r w:rsidRPr="00D71008">
              <w:rPr>
                <w:noProof/>
                <w:sz w:val="18"/>
                <w:szCs w:val="18"/>
                <w:lang w:eastAsia="en-GB"/>
              </w:rPr>
              <w:t>Limerick</w:t>
            </w:r>
          </w:p>
        </w:tc>
        <w:tc>
          <w:tcPr>
            <w:tcW w:w="817" w:type="pct"/>
            <w:noWrap/>
            <w:hideMark/>
          </w:tcPr>
          <w:p w14:paraId="4FDFFD34" w14:textId="77777777" w:rsidR="00C9752B" w:rsidRPr="00D71008" w:rsidRDefault="00C9752B" w:rsidP="00A20642">
            <w:pPr>
              <w:jc w:val="center"/>
              <w:rPr>
                <w:noProof/>
                <w:sz w:val="18"/>
                <w:szCs w:val="18"/>
                <w:lang w:eastAsia="en-GB"/>
              </w:rPr>
            </w:pPr>
            <w:r w:rsidRPr="00D71008">
              <w:rPr>
                <w:noProof/>
                <w:sz w:val="18"/>
                <w:szCs w:val="18"/>
                <w:lang w:eastAsia="en-GB"/>
              </w:rPr>
              <w:t>Ireland</w:t>
            </w:r>
          </w:p>
        </w:tc>
        <w:tc>
          <w:tcPr>
            <w:tcW w:w="818" w:type="pct"/>
            <w:noWrap/>
            <w:hideMark/>
          </w:tcPr>
          <w:p w14:paraId="5F019C6A" w14:textId="77777777" w:rsidR="00C9752B" w:rsidRPr="00D71008" w:rsidRDefault="00C9752B" w:rsidP="00A20642">
            <w:pPr>
              <w:jc w:val="center"/>
              <w:rPr>
                <w:noProof/>
                <w:sz w:val="18"/>
                <w:szCs w:val="18"/>
                <w:lang w:eastAsia="en-GB"/>
              </w:rPr>
            </w:pPr>
            <w:r w:rsidRPr="00D71008">
              <w:rPr>
                <w:noProof/>
                <w:sz w:val="18"/>
                <w:szCs w:val="18"/>
                <w:lang w:eastAsia="en-GB"/>
              </w:rPr>
              <w:t>Galway</w:t>
            </w:r>
          </w:p>
        </w:tc>
        <w:tc>
          <w:tcPr>
            <w:tcW w:w="818" w:type="pct"/>
            <w:noWrap/>
            <w:hideMark/>
          </w:tcPr>
          <w:p w14:paraId="5BDA7742" w14:textId="62877BF6" w:rsidR="00C9752B" w:rsidRPr="00D71008" w:rsidRDefault="00C9752B" w:rsidP="00A20642">
            <w:pPr>
              <w:jc w:val="center"/>
              <w:rPr>
                <w:noProof/>
                <w:sz w:val="18"/>
                <w:szCs w:val="18"/>
                <w:lang w:eastAsia="en-GB"/>
              </w:rPr>
            </w:pPr>
            <w:r w:rsidRPr="00D71008">
              <w:rPr>
                <w:noProof/>
                <w:sz w:val="18"/>
                <w:szCs w:val="18"/>
                <w:lang w:eastAsia="en-GB"/>
              </w:rPr>
              <w:t>Ireland</w:t>
            </w:r>
          </w:p>
        </w:tc>
        <w:tc>
          <w:tcPr>
            <w:tcW w:w="821" w:type="pct"/>
          </w:tcPr>
          <w:p w14:paraId="671DF644" w14:textId="77777777" w:rsidR="00C9752B" w:rsidRPr="00D71008" w:rsidRDefault="00C9752B" w:rsidP="00A20642">
            <w:pPr>
              <w:jc w:val="center"/>
              <w:rPr>
                <w:noProof/>
                <w:sz w:val="18"/>
                <w:szCs w:val="18"/>
                <w:lang w:eastAsia="en-GB"/>
              </w:rPr>
            </w:pPr>
            <w:r w:rsidRPr="00D71008">
              <w:rPr>
                <w:noProof/>
                <w:sz w:val="18"/>
                <w:szCs w:val="18"/>
                <w:lang w:eastAsia="en-GB"/>
              </w:rPr>
              <w:t>280 km</w:t>
            </w:r>
          </w:p>
        </w:tc>
      </w:tr>
      <w:tr w:rsidR="00C9752B" w:rsidRPr="00D71008" w14:paraId="5F6A99CC" w14:textId="77777777" w:rsidTr="00090A1B">
        <w:trPr>
          <w:trHeight w:val="290"/>
        </w:trPr>
        <w:tc>
          <w:tcPr>
            <w:tcW w:w="817" w:type="pct"/>
          </w:tcPr>
          <w:p w14:paraId="00A425B1" w14:textId="77777777" w:rsidR="00C9752B" w:rsidRPr="00D71008" w:rsidRDefault="00C9752B" w:rsidP="00A20642">
            <w:pPr>
              <w:jc w:val="center"/>
              <w:rPr>
                <w:noProof/>
                <w:sz w:val="18"/>
                <w:szCs w:val="18"/>
                <w:lang w:eastAsia="en-GB"/>
              </w:rPr>
            </w:pPr>
            <w:r w:rsidRPr="00D71008">
              <w:rPr>
                <w:noProof/>
                <w:sz w:val="18"/>
                <w:szCs w:val="18"/>
                <w:lang w:eastAsia="en-GB"/>
              </w:rPr>
              <w:t>60</w:t>
            </w:r>
          </w:p>
        </w:tc>
        <w:tc>
          <w:tcPr>
            <w:tcW w:w="909" w:type="pct"/>
            <w:noWrap/>
            <w:hideMark/>
          </w:tcPr>
          <w:p w14:paraId="3446B8CA" w14:textId="77777777" w:rsidR="00C9752B" w:rsidRPr="00D71008" w:rsidRDefault="00C9752B" w:rsidP="00A20642">
            <w:pPr>
              <w:jc w:val="center"/>
              <w:rPr>
                <w:noProof/>
                <w:sz w:val="18"/>
                <w:szCs w:val="18"/>
                <w:lang w:eastAsia="en-GB"/>
              </w:rPr>
            </w:pPr>
            <w:r w:rsidRPr="00D71008">
              <w:rPr>
                <w:noProof/>
                <w:sz w:val="18"/>
                <w:szCs w:val="18"/>
                <w:lang w:eastAsia="en-GB"/>
              </w:rPr>
              <w:t>Riga</w:t>
            </w:r>
          </w:p>
        </w:tc>
        <w:tc>
          <w:tcPr>
            <w:tcW w:w="817" w:type="pct"/>
            <w:noWrap/>
            <w:hideMark/>
          </w:tcPr>
          <w:p w14:paraId="182BEDC9" w14:textId="77777777" w:rsidR="00C9752B" w:rsidRPr="00D71008" w:rsidRDefault="00C9752B" w:rsidP="00A20642">
            <w:pPr>
              <w:jc w:val="center"/>
              <w:rPr>
                <w:noProof/>
                <w:sz w:val="18"/>
                <w:szCs w:val="18"/>
                <w:lang w:eastAsia="en-GB"/>
              </w:rPr>
            </w:pPr>
            <w:r w:rsidRPr="00D71008">
              <w:rPr>
                <w:noProof/>
                <w:sz w:val="18"/>
                <w:szCs w:val="18"/>
                <w:lang w:eastAsia="en-GB"/>
              </w:rPr>
              <w:t>Latvia</w:t>
            </w:r>
          </w:p>
        </w:tc>
        <w:tc>
          <w:tcPr>
            <w:tcW w:w="818" w:type="pct"/>
            <w:noWrap/>
            <w:hideMark/>
          </w:tcPr>
          <w:p w14:paraId="684DF32C" w14:textId="77777777" w:rsidR="00C9752B" w:rsidRPr="00D71008" w:rsidRDefault="00C9752B" w:rsidP="00A20642">
            <w:pPr>
              <w:jc w:val="center"/>
              <w:rPr>
                <w:noProof/>
                <w:sz w:val="18"/>
                <w:szCs w:val="18"/>
                <w:lang w:eastAsia="en-GB"/>
              </w:rPr>
            </w:pPr>
            <w:r w:rsidRPr="00D71008">
              <w:rPr>
                <w:noProof/>
                <w:sz w:val="18"/>
                <w:szCs w:val="18"/>
                <w:lang w:eastAsia="en-GB"/>
              </w:rPr>
              <w:t>Jelgava</w:t>
            </w:r>
          </w:p>
        </w:tc>
        <w:tc>
          <w:tcPr>
            <w:tcW w:w="818" w:type="pct"/>
            <w:noWrap/>
            <w:hideMark/>
          </w:tcPr>
          <w:p w14:paraId="1176DB8E" w14:textId="06401CA0" w:rsidR="00C9752B" w:rsidRPr="00D71008" w:rsidRDefault="00C9752B" w:rsidP="00A20642">
            <w:pPr>
              <w:jc w:val="center"/>
              <w:rPr>
                <w:noProof/>
                <w:sz w:val="18"/>
                <w:szCs w:val="18"/>
                <w:lang w:eastAsia="en-GB"/>
              </w:rPr>
            </w:pPr>
            <w:r w:rsidRPr="00D71008">
              <w:rPr>
                <w:noProof/>
                <w:sz w:val="18"/>
                <w:szCs w:val="18"/>
                <w:lang w:eastAsia="en-GB"/>
              </w:rPr>
              <w:t>Latvia</w:t>
            </w:r>
          </w:p>
        </w:tc>
        <w:tc>
          <w:tcPr>
            <w:tcW w:w="821" w:type="pct"/>
          </w:tcPr>
          <w:p w14:paraId="17D19C6C" w14:textId="77777777" w:rsidR="00C9752B" w:rsidRPr="00D71008" w:rsidRDefault="00C9752B" w:rsidP="00A20642">
            <w:pPr>
              <w:jc w:val="center"/>
              <w:rPr>
                <w:noProof/>
                <w:sz w:val="18"/>
                <w:szCs w:val="18"/>
                <w:lang w:eastAsia="en-GB"/>
              </w:rPr>
            </w:pPr>
            <w:r w:rsidRPr="00D71008">
              <w:rPr>
                <w:noProof/>
                <w:sz w:val="18"/>
                <w:szCs w:val="18"/>
                <w:lang w:eastAsia="en-GB"/>
              </w:rPr>
              <w:t>42.8 km</w:t>
            </w:r>
          </w:p>
        </w:tc>
      </w:tr>
      <w:tr w:rsidR="00C9752B" w:rsidRPr="00D71008" w14:paraId="793D5D1F" w14:textId="77777777" w:rsidTr="00090A1B">
        <w:trPr>
          <w:trHeight w:val="290"/>
        </w:trPr>
        <w:tc>
          <w:tcPr>
            <w:tcW w:w="817" w:type="pct"/>
          </w:tcPr>
          <w:p w14:paraId="179B1AA7" w14:textId="77777777" w:rsidR="00C9752B" w:rsidRPr="00D71008" w:rsidRDefault="00C9752B" w:rsidP="00A20642">
            <w:pPr>
              <w:jc w:val="center"/>
              <w:rPr>
                <w:noProof/>
                <w:sz w:val="18"/>
                <w:szCs w:val="18"/>
                <w:lang w:eastAsia="en-GB"/>
              </w:rPr>
            </w:pPr>
            <w:r w:rsidRPr="00D71008">
              <w:rPr>
                <w:noProof/>
                <w:sz w:val="18"/>
                <w:szCs w:val="18"/>
                <w:lang w:eastAsia="en-GB"/>
              </w:rPr>
              <w:t>61</w:t>
            </w:r>
          </w:p>
        </w:tc>
        <w:tc>
          <w:tcPr>
            <w:tcW w:w="909" w:type="pct"/>
            <w:noWrap/>
            <w:hideMark/>
          </w:tcPr>
          <w:p w14:paraId="345A2F97" w14:textId="77777777" w:rsidR="00C9752B" w:rsidRPr="00D71008" w:rsidRDefault="00C9752B" w:rsidP="00A20642">
            <w:pPr>
              <w:jc w:val="center"/>
              <w:rPr>
                <w:noProof/>
                <w:sz w:val="18"/>
                <w:szCs w:val="18"/>
                <w:lang w:eastAsia="en-GB"/>
              </w:rPr>
            </w:pPr>
            <w:r w:rsidRPr="00D71008">
              <w:rPr>
                <w:noProof/>
                <w:sz w:val="18"/>
                <w:szCs w:val="18"/>
                <w:lang w:eastAsia="en-GB"/>
              </w:rPr>
              <w:t>Zalaegerszeg</w:t>
            </w:r>
          </w:p>
        </w:tc>
        <w:tc>
          <w:tcPr>
            <w:tcW w:w="817" w:type="pct"/>
            <w:noWrap/>
            <w:hideMark/>
          </w:tcPr>
          <w:p w14:paraId="02E0932B" w14:textId="77777777" w:rsidR="00C9752B" w:rsidRPr="00D71008" w:rsidRDefault="00C9752B" w:rsidP="00A20642">
            <w:pPr>
              <w:jc w:val="center"/>
              <w:rPr>
                <w:noProof/>
                <w:sz w:val="18"/>
                <w:szCs w:val="18"/>
                <w:lang w:eastAsia="en-GB"/>
              </w:rPr>
            </w:pPr>
            <w:r w:rsidRPr="00D71008">
              <w:rPr>
                <w:noProof/>
                <w:sz w:val="18"/>
                <w:szCs w:val="18"/>
                <w:lang w:eastAsia="en-GB"/>
              </w:rPr>
              <w:t>Hungary</w:t>
            </w:r>
          </w:p>
        </w:tc>
        <w:tc>
          <w:tcPr>
            <w:tcW w:w="818" w:type="pct"/>
            <w:noWrap/>
            <w:hideMark/>
          </w:tcPr>
          <w:p w14:paraId="7C7A8DE4" w14:textId="77777777" w:rsidR="00C9752B" w:rsidRPr="00D71008" w:rsidRDefault="00C9752B" w:rsidP="00A20642">
            <w:pPr>
              <w:jc w:val="center"/>
              <w:rPr>
                <w:noProof/>
                <w:sz w:val="18"/>
                <w:szCs w:val="18"/>
                <w:lang w:eastAsia="en-GB"/>
              </w:rPr>
            </w:pPr>
            <w:r w:rsidRPr="00D71008">
              <w:rPr>
                <w:noProof/>
                <w:sz w:val="18"/>
                <w:szCs w:val="18"/>
                <w:lang w:eastAsia="en-GB"/>
              </w:rPr>
              <w:t>Szeged</w:t>
            </w:r>
          </w:p>
        </w:tc>
        <w:tc>
          <w:tcPr>
            <w:tcW w:w="818" w:type="pct"/>
            <w:noWrap/>
            <w:hideMark/>
          </w:tcPr>
          <w:p w14:paraId="04A269A8" w14:textId="0ADBE978" w:rsidR="00C9752B" w:rsidRPr="00D71008" w:rsidRDefault="00C9752B" w:rsidP="00A20642">
            <w:pPr>
              <w:jc w:val="center"/>
              <w:rPr>
                <w:noProof/>
                <w:sz w:val="18"/>
                <w:szCs w:val="18"/>
                <w:lang w:eastAsia="en-GB"/>
              </w:rPr>
            </w:pPr>
            <w:r w:rsidRPr="00D71008">
              <w:rPr>
                <w:noProof/>
                <w:sz w:val="18"/>
                <w:szCs w:val="18"/>
                <w:lang w:eastAsia="en-GB"/>
              </w:rPr>
              <w:t>Hungary</w:t>
            </w:r>
          </w:p>
        </w:tc>
        <w:tc>
          <w:tcPr>
            <w:tcW w:w="821" w:type="pct"/>
          </w:tcPr>
          <w:p w14:paraId="65BC05F4" w14:textId="77777777" w:rsidR="00C9752B" w:rsidRPr="00D71008" w:rsidRDefault="00C9752B" w:rsidP="00A20642">
            <w:pPr>
              <w:jc w:val="center"/>
              <w:rPr>
                <w:noProof/>
                <w:sz w:val="18"/>
                <w:szCs w:val="18"/>
                <w:lang w:eastAsia="en-GB"/>
              </w:rPr>
            </w:pPr>
            <w:r w:rsidRPr="00D71008">
              <w:rPr>
                <w:noProof/>
                <w:sz w:val="18"/>
                <w:szCs w:val="18"/>
                <w:lang w:eastAsia="en-GB"/>
              </w:rPr>
              <w:t>454 km</w:t>
            </w:r>
          </w:p>
        </w:tc>
      </w:tr>
      <w:tr w:rsidR="00C9752B" w:rsidRPr="00D71008" w14:paraId="174E3CBF" w14:textId="77777777" w:rsidTr="00090A1B">
        <w:trPr>
          <w:trHeight w:val="290"/>
        </w:trPr>
        <w:tc>
          <w:tcPr>
            <w:tcW w:w="817" w:type="pct"/>
          </w:tcPr>
          <w:p w14:paraId="422A554A" w14:textId="77777777" w:rsidR="00C9752B" w:rsidRPr="00D71008" w:rsidRDefault="00C9752B" w:rsidP="00A20642">
            <w:pPr>
              <w:jc w:val="center"/>
              <w:rPr>
                <w:noProof/>
                <w:sz w:val="18"/>
                <w:szCs w:val="18"/>
                <w:lang w:eastAsia="en-GB"/>
              </w:rPr>
            </w:pPr>
            <w:r w:rsidRPr="00D71008">
              <w:rPr>
                <w:noProof/>
                <w:sz w:val="18"/>
                <w:szCs w:val="18"/>
                <w:lang w:eastAsia="en-GB"/>
              </w:rPr>
              <w:t>62</w:t>
            </w:r>
          </w:p>
        </w:tc>
        <w:tc>
          <w:tcPr>
            <w:tcW w:w="909" w:type="pct"/>
            <w:noWrap/>
            <w:hideMark/>
          </w:tcPr>
          <w:p w14:paraId="6D16C86E" w14:textId="77777777" w:rsidR="00C9752B" w:rsidRPr="00D71008" w:rsidRDefault="00C9752B" w:rsidP="00A20642">
            <w:pPr>
              <w:jc w:val="center"/>
              <w:rPr>
                <w:noProof/>
                <w:sz w:val="18"/>
                <w:szCs w:val="18"/>
                <w:lang w:eastAsia="en-GB"/>
              </w:rPr>
            </w:pPr>
            <w:r w:rsidRPr="00D71008">
              <w:rPr>
                <w:noProof/>
                <w:sz w:val="18"/>
                <w:szCs w:val="18"/>
                <w:lang w:eastAsia="en-GB"/>
              </w:rPr>
              <w:t>Galátsi</w:t>
            </w:r>
          </w:p>
        </w:tc>
        <w:tc>
          <w:tcPr>
            <w:tcW w:w="817" w:type="pct"/>
            <w:noWrap/>
            <w:hideMark/>
          </w:tcPr>
          <w:p w14:paraId="1E1407EB" w14:textId="77777777" w:rsidR="00C9752B" w:rsidRPr="00D71008" w:rsidRDefault="00C9752B" w:rsidP="00A20642">
            <w:pPr>
              <w:jc w:val="center"/>
              <w:rPr>
                <w:noProof/>
                <w:sz w:val="18"/>
                <w:szCs w:val="18"/>
                <w:lang w:eastAsia="en-GB"/>
              </w:rPr>
            </w:pPr>
            <w:r w:rsidRPr="00D71008">
              <w:rPr>
                <w:noProof/>
                <w:sz w:val="18"/>
                <w:szCs w:val="18"/>
                <w:lang w:eastAsia="en-GB"/>
              </w:rPr>
              <w:t>Greece</w:t>
            </w:r>
          </w:p>
        </w:tc>
        <w:tc>
          <w:tcPr>
            <w:tcW w:w="818" w:type="pct"/>
            <w:noWrap/>
            <w:hideMark/>
          </w:tcPr>
          <w:p w14:paraId="018081D7" w14:textId="77777777" w:rsidR="00C9752B" w:rsidRPr="00D71008" w:rsidRDefault="00C9752B" w:rsidP="00A20642">
            <w:pPr>
              <w:jc w:val="center"/>
              <w:rPr>
                <w:noProof/>
                <w:sz w:val="18"/>
                <w:szCs w:val="18"/>
                <w:lang w:eastAsia="en-GB"/>
              </w:rPr>
            </w:pPr>
            <w:r w:rsidRPr="00D71008">
              <w:rPr>
                <w:noProof/>
                <w:sz w:val="18"/>
                <w:szCs w:val="18"/>
                <w:lang w:eastAsia="en-GB"/>
              </w:rPr>
              <w:t>Irákleion</w:t>
            </w:r>
          </w:p>
        </w:tc>
        <w:tc>
          <w:tcPr>
            <w:tcW w:w="818" w:type="pct"/>
            <w:noWrap/>
            <w:hideMark/>
          </w:tcPr>
          <w:p w14:paraId="3A01C2D0" w14:textId="397CA3A1" w:rsidR="00C9752B" w:rsidRPr="00D71008" w:rsidRDefault="00C9752B" w:rsidP="00A20642">
            <w:pPr>
              <w:jc w:val="center"/>
              <w:rPr>
                <w:noProof/>
                <w:sz w:val="18"/>
                <w:szCs w:val="18"/>
                <w:lang w:eastAsia="en-GB"/>
              </w:rPr>
            </w:pPr>
            <w:r w:rsidRPr="00D71008">
              <w:rPr>
                <w:noProof/>
                <w:sz w:val="18"/>
                <w:szCs w:val="18"/>
                <w:lang w:eastAsia="en-GB"/>
              </w:rPr>
              <w:t>Greece</w:t>
            </w:r>
          </w:p>
        </w:tc>
        <w:tc>
          <w:tcPr>
            <w:tcW w:w="821" w:type="pct"/>
          </w:tcPr>
          <w:p w14:paraId="709B77C2" w14:textId="77777777" w:rsidR="00C9752B" w:rsidRPr="00D71008" w:rsidRDefault="00C9752B" w:rsidP="00A20642">
            <w:pPr>
              <w:jc w:val="center"/>
              <w:rPr>
                <w:noProof/>
                <w:sz w:val="18"/>
                <w:szCs w:val="18"/>
                <w:lang w:eastAsia="en-GB"/>
              </w:rPr>
            </w:pPr>
            <w:r w:rsidRPr="00D71008">
              <w:rPr>
                <w:noProof/>
                <w:sz w:val="18"/>
                <w:szCs w:val="18"/>
                <w:lang w:eastAsia="en-GB"/>
              </w:rPr>
              <w:t>450 km</w:t>
            </w:r>
          </w:p>
        </w:tc>
      </w:tr>
      <w:tr w:rsidR="00C9752B" w:rsidRPr="00D71008" w14:paraId="5CDFA66A" w14:textId="77777777" w:rsidTr="00090A1B">
        <w:trPr>
          <w:trHeight w:val="290"/>
        </w:trPr>
        <w:tc>
          <w:tcPr>
            <w:tcW w:w="817" w:type="pct"/>
          </w:tcPr>
          <w:p w14:paraId="2F7D3B30" w14:textId="77777777" w:rsidR="00C9752B" w:rsidRPr="00D71008" w:rsidRDefault="00C9752B" w:rsidP="00A20642">
            <w:pPr>
              <w:jc w:val="center"/>
              <w:rPr>
                <w:noProof/>
                <w:sz w:val="18"/>
                <w:szCs w:val="18"/>
                <w:lang w:eastAsia="en-GB"/>
              </w:rPr>
            </w:pPr>
            <w:r w:rsidRPr="00D71008">
              <w:rPr>
                <w:noProof/>
                <w:sz w:val="18"/>
                <w:szCs w:val="18"/>
                <w:lang w:eastAsia="en-GB"/>
              </w:rPr>
              <w:t>63</w:t>
            </w:r>
          </w:p>
        </w:tc>
        <w:tc>
          <w:tcPr>
            <w:tcW w:w="909" w:type="pct"/>
            <w:noWrap/>
            <w:hideMark/>
          </w:tcPr>
          <w:p w14:paraId="72546512" w14:textId="77777777" w:rsidR="00C9752B" w:rsidRPr="00D71008" w:rsidRDefault="00C9752B" w:rsidP="00A20642">
            <w:pPr>
              <w:jc w:val="center"/>
              <w:rPr>
                <w:noProof/>
                <w:sz w:val="18"/>
                <w:szCs w:val="18"/>
                <w:lang w:eastAsia="en-GB"/>
              </w:rPr>
            </w:pPr>
            <w:r w:rsidRPr="00D71008">
              <w:rPr>
                <w:noProof/>
                <w:sz w:val="18"/>
                <w:szCs w:val="18"/>
                <w:lang w:eastAsia="en-GB"/>
              </w:rPr>
              <w:t>Brussels</w:t>
            </w:r>
          </w:p>
        </w:tc>
        <w:tc>
          <w:tcPr>
            <w:tcW w:w="817" w:type="pct"/>
            <w:noWrap/>
            <w:hideMark/>
          </w:tcPr>
          <w:p w14:paraId="2AB64C11" w14:textId="77777777" w:rsidR="00C9752B" w:rsidRPr="00D71008" w:rsidRDefault="00C9752B" w:rsidP="00A20642">
            <w:pPr>
              <w:jc w:val="center"/>
              <w:rPr>
                <w:noProof/>
                <w:sz w:val="18"/>
                <w:szCs w:val="18"/>
                <w:lang w:eastAsia="en-GB"/>
              </w:rPr>
            </w:pPr>
            <w:r w:rsidRPr="00D71008">
              <w:rPr>
                <w:noProof/>
                <w:sz w:val="18"/>
                <w:szCs w:val="18"/>
                <w:lang w:eastAsia="en-GB"/>
              </w:rPr>
              <w:t>Belgium</w:t>
            </w:r>
          </w:p>
        </w:tc>
        <w:tc>
          <w:tcPr>
            <w:tcW w:w="818" w:type="pct"/>
            <w:noWrap/>
            <w:hideMark/>
          </w:tcPr>
          <w:p w14:paraId="2E90EAA3" w14:textId="77777777" w:rsidR="00C9752B" w:rsidRPr="00D71008" w:rsidRDefault="00C9752B" w:rsidP="00A20642">
            <w:pPr>
              <w:jc w:val="center"/>
              <w:rPr>
                <w:noProof/>
                <w:sz w:val="18"/>
                <w:szCs w:val="18"/>
                <w:lang w:eastAsia="en-GB"/>
              </w:rPr>
            </w:pPr>
            <w:r w:rsidRPr="00D71008">
              <w:rPr>
                <w:noProof/>
                <w:sz w:val="18"/>
                <w:szCs w:val="18"/>
                <w:lang w:eastAsia="en-GB"/>
              </w:rPr>
              <w:t>Roeselare</w:t>
            </w:r>
          </w:p>
        </w:tc>
        <w:tc>
          <w:tcPr>
            <w:tcW w:w="818" w:type="pct"/>
            <w:noWrap/>
            <w:hideMark/>
          </w:tcPr>
          <w:p w14:paraId="08864D7A" w14:textId="377884F7" w:rsidR="00C9752B" w:rsidRPr="00D71008" w:rsidRDefault="00C9752B" w:rsidP="00A20642">
            <w:pPr>
              <w:jc w:val="center"/>
              <w:rPr>
                <w:noProof/>
                <w:sz w:val="18"/>
                <w:szCs w:val="18"/>
                <w:lang w:eastAsia="en-GB"/>
              </w:rPr>
            </w:pPr>
            <w:r w:rsidRPr="00D71008">
              <w:rPr>
                <w:noProof/>
                <w:sz w:val="18"/>
                <w:szCs w:val="18"/>
                <w:lang w:eastAsia="en-GB"/>
              </w:rPr>
              <w:t>Belgium</w:t>
            </w:r>
          </w:p>
        </w:tc>
        <w:tc>
          <w:tcPr>
            <w:tcW w:w="821" w:type="pct"/>
          </w:tcPr>
          <w:p w14:paraId="23570821" w14:textId="77777777" w:rsidR="00C9752B" w:rsidRPr="00D71008" w:rsidRDefault="00C9752B" w:rsidP="00A20642">
            <w:pPr>
              <w:jc w:val="center"/>
              <w:rPr>
                <w:noProof/>
                <w:sz w:val="18"/>
                <w:szCs w:val="18"/>
                <w:lang w:eastAsia="en-GB"/>
              </w:rPr>
            </w:pPr>
            <w:r w:rsidRPr="00D71008">
              <w:rPr>
                <w:noProof/>
                <w:sz w:val="18"/>
                <w:szCs w:val="18"/>
                <w:lang w:eastAsia="en-GB"/>
              </w:rPr>
              <w:t>118 km</w:t>
            </w:r>
          </w:p>
        </w:tc>
      </w:tr>
      <w:tr w:rsidR="00C9752B" w:rsidRPr="00D71008" w14:paraId="62D2708F" w14:textId="77777777" w:rsidTr="00090A1B">
        <w:trPr>
          <w:trHeight w:val="290"/>
        </w:trPr>
        <w:tc>
          <w:tcPr>
            <w:tcW w:w="817" w:type="pct"/>
          </w:tcPr>
          <w:p w14:paraId="0B0014D7" w14:textId="77777777" w:rsidR="00C9752B" w:rsidRPr="00D71008" w:rsidRDefault="00C9752B" w:rsidP="00A20642">
            <w:pPr>
              <w:jc w:val="center"/>
              <w:rPr>
                <w:noProof/>
                <w:sz w:val="18"/>
                <w:szCs w:val="18"/>
                <w:lang w:eastAsia="en-GB"/>
              </w:rPr>
            </w:pPr>
            <w:r w:rsidRPr="00D71008">
              <w:rPr>
                <w:noProof/>
                <w:sz w:val="18"/>
                <w:szCs w:val="18"/>
                <w:lang w:eastAsia="en-GB"/>
              </w:rPr>
              <w:t>64</w:t>
            </w:r>
          </w:p>
        </w:tc>
        <w:tc>
          <w:tcPr>
            <w:tcW w:w="909" w:type="pct"/>
            <w:noWrap/>
            <w:hideMark/>
          </w:tcPr>
          <w:p w14:paraId="1D2C37E7" w14:textId="77777777" w:rsidR="00C9752B" w:rsidRPr="00D71008" w:rsidRDefault="00C9752B" w:rsidP="00A20642">
            <w:pPr>
              <w:jc w:val="center"/>
              <w:rPr>
                <w:noProof/>
                <w:sz w:val="18"/>
                <w:szCs w:val="18"/>
                <w:lang w:eastAsia="en-GB"/>
              </w:rPr>
            </w:pPr>
            <w:r w:rsidRPr="00D71008">
              <w:rPr>
                <w:noProof/>
                <w:sz w:val="18"/>
                <w:szCs w:val="18"/>
                <w:lang w:eastAsia="en-GB"/>
              </w:rPr>
              <w:t>Grudziądz</w:t>
            </w:r>
          </w:p>
        </w:tc>
        <w:tc>
          <w:tcPr>
            <w:tcW w:w="817" w:type="pct"/>
            <w:noWrap/>
            <w:hideMark/>
          </w:tcPr>
          <w:p w14:paraId="44694A72" w14:textId="77777777" w:rsidR="00C9752B" w:rsidRPr="00D71008" w:rsidRDefault="00C9752B" w:rsidP="00A20642">
            <w:pPr>
              <w:jc w:val="center"/>
              <w:rPr>
                <w:noProof/>
                <w:sz w:val="18"/>
                <w:szCs w:val="18"/>
                <w:lang w:eastAsia="en-GB"/>
              </w:rPr>
            </w:pPr>
            <w:r w:rsidRPr="00D71008">
              <w:rPr>
                <w:noProof/>
                <w:sz w:val="18"/>
                <w:szCs w:val="18"/>
                <w:lang w:eastAsia="en-GB"/>
              </w:rPr>
              <w:t>Poland</w:t>
            </w:r>
          </w:p>
        </w:tc>
        <w:tc>
          <w:tcPr>
            <w:tcW w:w="818" w:type="pct"/>
            <w:noWrap/>
            <w:hideMark/>
          </w:tcPr>
          <w:p w14:paraId="1659D3BB" w14:textId="77777777" w:rsidR="00C9752B" w:rsidRPr="00D71008" w:rsidRDefault="00C9752B" w:rsidP="00A20642">
            <w:pPr>
              <w:jc w:val="center"/>
              <w:rPr>
                <w:noProof/>
                <w:sz w:val="18"/>
                <w:szCs w:val="18"/>
                <w:lang w:eastAsia="en-GB"/>
              </w:rPr>
            </w:pPr>
            <w:r w:rsidRPr="00D71008">
              <w:rPr>
                <w:noProof/>
                <w:sz w:val="18"/>
                <w:szCs w:val="18"/>
                <w:lang w:eastAsia="en-GB"/>
              </w:rPr>
              <w:t>Płock</w:t>
            </w:r>
          </w:p>
        </w:tc>
        <w:tc>
          <w:tcPr>
            <w:tcW w:w="818" w:type="pct"/>
            <w:noWrap/>
            <w:hideMark/>
          </w:tcPr>
          <w:p w14:paraId="0F1C5805" w14:textId="66AB9980" w:rsidR="00C9752B" w:rsidRPr="00D71008" w:rsidRDefault="00C9752B" w:rsidP="00A20642">
            <w:pPr>
              <w:jc w:val="center"/>
              <w:rPr>
                <w:noProof/>
                <w:sz w:val="18"/>
                <w:szCs w:val="18"/>
                <w:lang w:eastAsia="en-GB"/>
              </w:rPr>
            </w:pPr>
            <w:r w:rsidRPr="00D71008">
              <w:rPr>
                <w:noProof/>
                <w:sz w:val="18"/>
                <w:szCs w:val="18"/>
                <w:lang w:eastAsia="en-GB"/>
              </w:rPr>
              <w:t>Poland</w:t>
            </w:r>
          </w:p>
        </w:tc>
        <w:tc>
          <w:tcPr>
            <w:tcW w:w="821" w:type="pct"/>
          </w:tcPr>
          <w:p w14:paraId="4D697C4D" w14:textId="77777777" w:rsidR="00C9752B" w:rsidRPr="00D71008" w:rsidRDefault="00C9752B" w:rsidP="00A20642">
            <w:pPr>
              <w:jc w:val="center"/>
              <w:rPr>
                <w:noProof/>
                <w:sz w:val="18"/>
                <w:szCs w:val="18"/>
                <w:lang w:eastAsia="en-GB"/>
              </w:rPr>
            </w:pPr>
            <w:r w:rsidRPr="00D71008">
              <w:rPr>
                <w:noProof/>
                <w:sz w:val="18"/>
                <w:szCs w:val="18"/>
                <w:lang w:eastAsia="en-GB"/>
              </w:rPr>
              <w:t>180 km</w:t>
            </w:r>
          </w:p>
        </w:tc>
      </w:tr>
      <w:tr w:rsidR="00C9752B" w:rsidRPr="00D71008" w14:paraId="0C514AB4" w14:textId="77777777" w:rsidTr="00090A1B">
        <w:trPr>
          <w:trHeight w:val="290"/>
        </w:trPr>
        <w:tc>
          <w:tcPr>
            <w:tcW w:w="817" w:type="pct"/>
          </w:tcPr>
          <w:p w14:paraId="3E350EF1" w14:textId="77777777" w:rsidR="00C9752B" w:rsidRPr="00D71008" w:rsidRDefault="00C9752B" w:rsidP="00A20642">
            <w:pPr>
              <w:jc w:val="center"/>
              <w:rPr>
                <w:noProof/>
                <w:sz w:val="18"/>
                <w:szCs w:val="18"/>
                <w:lang w:eastAsia="en-GB"/>
              </w:rPr>
            </w:pPr>
            <w:r w:rsidRPr="00D71008">
              <w:rPr>
                <w:noProof/>
                <w:sz w:val="18"/>
                <w:szCs w:val="18"/>
                <w:lang w:eastAsia="en-GB"/>
              </w:rPr>
              <w:t>65</w:t>
            </w:r>
          </w:p>
        </w:tc>
        <w:tc>
          <w:tcPr>
            <w:tcW w:w="909" w:type="pct"/>
            <w:noWrap/>
            <w:hideMark/>
          </w:tcPr>
          <w:p w14:paraId="148B0A19" w14:textId="77777777" w:rsidR="00C9752B" w:rsidRPr="00D71008" w:rsidRDefault="00C9752B" w:rsidP="00A20642">
            <w:pPr>
              <w:jc w:val="center"/>
              <w:rPr>
                <w:noProof/>
                <w:sz w:val="18"/>
                <w:szCs w:val="18"/>
                <w:lang w:eastAsia="en-GB"/>
              </w:rPr>
            </w:pPr>
            <w:r w:rsidRPr="00D71008">
              <w:rPr>
                <w:noProof/>
                <w:sz w:val="18"/>
                <w:szCs w:val="18"/>
                <w:lang w:eastAsia="en-GB"/>
              </w:rPr>
              <w:t>Liberec</w:t>
            </w:r>
          </w:p>
        </w:tc>
        <w:tc>
          <w:tcPr>
            <w:tcW w:w="817" w:type="pct"/>
            <w:noWrap/>
            <w:hideMark/>
          </w:tcPr>
          <w:p w14:paraId="350F0CB1" w14:textId="77777777" w:rsidR="00C9752B" w:rsidRPr="00D71008" w:rsidRDefault="00C9752B" w:rsidP="00A20642">
            <w:pPr>
              <w:jc w:val="center"/>
              <w:rPr>
                <w:noProof/>
                <w:sz w:val="18"/>
                <w:szCs w:val="18"/>
                <w:lang w:eastAsia="en-GB"/>
              </w:rPr>
            </w:pPr>
            <w:r w:rsidRPr="00D71008">
              <w:rPr>
                <w:noProof/>
                <w:sz w:val="18"/>
                <w:szCs w:val="18"/>
                <w:lang w:eastAsia="en-GB"/>
              </w:rPr>
              <w:t>Czech Republic</w:t>
            </w:r>
          </w:p>
        </w:tc>
        <w:tc>
          <w:tcPr>
            <w:tcW w:w="818" w:type="pct"/>
            <w:noWrap/>
            <w:hideMark/>
          </w:tcPr>
          <w:p w14:paraId="1D66B134" w14:textId="77777777" w:rsidR="00C9752B" w:rsidRPr="00D71008" w:rsidRDefault="00C9752B" w:rsidP="00A20642">
            <w:pPr>
              <w:jc w:val="center"/>
              <w:rPr>
                <w:noProof/>
                <w:sz w:val="18"/>
                <w:szCs w:val="18"/>
                <w:lang w:eastAsia="en-GB"/>
              </w:rPr>
            </w:pPr>
            <w:r w:rsidRPr="00D71008">
              <w:rPr>
                <w:noProof/>
                <w:sz w:val="18"/>
                <w:szCs w:val="18"/>
                <w:lang w:eastAsia="en-GB"/>
              </w:rPr>
              <w:t>Opava</w:t>
            </w:r>
          </w:p>
        </w:tc>
        <w:tc>
          <w:tcPr>
            <w:tcW w:w="818" w:type="pct"/>
            <w:noWrap/>
            <w:hideMark/>
          </w:tcPr>
          <w:p w14:paraId="07A8D5A3" w14:textId="2F656D30" w:rsidR="00C9752B" w:rsidRPr="00D71008" w:rsidRDefault="00C9752B" w:rsidP="00A20642">
            <w:pPr>
              <w:jc w:val="center"/>
              <w:rPr>
                <w:noProof/>
                <w:sz w:val="18"/>
                <w:szCs w:val="18"/>
                <w:lang w:eastAsia="en-GB"/>
              </w:rPr>
            </w:pPr>
            <w:r w:rsidRPr="00D71008">
              <w:rPr>
                <w:noProof/>
                <w:sz w:val="18"/>
                <w:szCs w:val="18"/>
                <w:lang w:eastAsia="en-GB"/>
              </w:rPr>
              <w:t>Czech Republic</w:t>
            </w:r>
          </w:p>
        </w:tc>
        <w:tc>
          <w:tcPr>
            <w:tcW w:w="821" w:type="pct"/>
          </w:tcPr>
          <w:p w14:paraId="7318751A" w14:textId="77777777" w:rsidR="00C9752B" w:rsidRPr="00D71008" w:rsidRDefault="00C9752B" w:rsidP="00A20642">
            <w:pPr>
              <w:jc w:val="center"/>
              <w:rPr>
                <w:noProof/>
                <w:sz w:val="18"/>
                <w:szCs w:val="18"/>
                <w:lang w:eastAsia="en-GB"/>
              </w:rPr>
            </w:pPr>
            <w:r w:rsidRPr="00D71008">
              <w:rPr>
                <w:noProof/>
                <w:sz w:val="18"/>
                <w:szCs w:val="18"/>
                <w:lang w:eastAsia="en-GB"/>
              </w:rPr>
              <w:t>472 km</w:t>
            </w:r>
          </w:p>
        </w:tc>
      </w:tr>
      <w:tr w:rsidR="00C9752B" w:rsidRPr="00D71008" w14:paraId="7C9D5F03" w14:textId="77777777" w:rsidTr="00090A1B">
        <w:trPr>
          <w:trHeight w:val="290"/>
        </w:trPr>
        <w:tc>
          <w:tcPr>
            <w:tcW w:w="817" w:type="pct"/>
          </w:tcPr>
          <w:p w14:paraId="25AB905E" w14:textId="77777777" w:rsidR="00C9752B" w:rsidRPr="00D71008" w:rsidRDefault="00C9752B" w:rsidP="00A20642">
            <w:pPr>
              <w:jc w:val="center"/>
              <w:rPr>
                <w:noProof/>
                <w:sz w:val="18"/>
                <w:szCs w:val="18"/>
                <w:lang w:eastAsia="en-GB"/>
              </w:rPr>
            </w:pPr>
            <w:r w:rsidRPr="00D71008">
              <w:rPr>
                <w:noProof/>
                <w:sz w:val="18"/>
                <w:szCs w:val="18"/>
                <w:lang w:eastAsia="en-GB"/>
              </w:rPr>
              <w:t>66</w:t>
            </w:r>
          </w:p>
        </w:tc>
        <w:tc>
          <w:tcPr>
            <w:tcW w:w="909" w:type="pct"/>
            <w:noWrap/>
            <w:hideMark/>
          </w:tcPr>
          <w:p w14:paraId="41CE29BC" w14:textId="611A869A" w:rsidR="00C9752B" w:rsidRPr="00D71008" w:rsidRDefault="00C9752B" w:rsidP="00A20642">
            <w:pPr>
              <w:jc w:val="center"/>
              <w:rPr>
                <w:noProof/>
                <w:sz w:val="18"/>
                <w:szCs w:val="18"/>
                <w:lang w:eastAsia="en-GB"/>
              </w:rPr>
            </w:pPr>
            <w:r w:rsidRPr="00D71008">
              <w:rPr>
                <w:noProof/>
                <w:sz w:val="18"/>
                <w:szCs w:val="18"/>
                <w:lang w:eastAsia="en-GB"/>
              </w:rPr>
              <w:t>Bucharest</w:t>
            </w:r>
          </w:p>
        </w:tc>
        <w:tc>
          <w:tcPr>
            <w:tcW w:w="817" w:type="pct"/>
            <w:noWrap/>
            <w:hideMark/>
          </w:tcPr>
          <w:p w14:paraId="1D23E4FF" w14:textId="77777777" w:rsidR="00C9752B" w:rsidRPr="00D71008" w:rsidRDefault="00C9752B" w:rsidP="00A20642">
            <w:pPr>
              <w:jc w:val="center"/>
              <w:rPr>
                <w:noProof/>
                <w:sz w:val="18"/>
                <w:szCs w:val="18"/>
                <w:lang w:eastAsia="en-GB"/>
              </w:rPr>
            </w:pPr>
            <w:r w:rsidRPr="00D71008">
              <w:rPr>
                <w:noProof/>
                <w:sz w:val="18"/>
                <w:szCs w:val="18"/>
                <w:lang w:eastAsia="en-GB"/>
              </w:rPr>
              <w:t>Romania</w:t>
            </w:r>
          </w:p>
        </w:tc>
        <w:tc>
          <w:tcPr>
            <w:tcW w:w="818" w:type="pct"/>
            <w:noWrap/>
            <w:hideMark/>
          </w:tcPr>
          <w:p w14:paraId="0514B9FF" w14:textId="77777777" w:rsidR="00C9752B" w:rsidRPr="00D71008" w:rsidRDefault="00C9752B" w:rsidP="00A20642">
            <w:pPr>
              <w:jc w:val="center"/>
              <w:rPr>
                <w:noProof/>
                <w:sz w:val="18"/>
                <w:szCs w:val="18"/>
                <w:lang w:eastAsia="en-GB"/>
              </w:rPr>
            </w:pPr>
            <w:r w:rsidRPr="00D71008">
              <w:rPr>
                <w:noProof/>
                <w:sz w:val="18"/>
                <w:szCs w:val="18"/>
                <w:lang w:eastAsia="en-GB"/>
              </w:rPr>
              <w:t>Turda</w:t>
            </w:r>
          </w:p>
        </w:tc>
        <w:tc>
          <w:tcPr>
            <w:tcW w:w="818" w:type="pct"/>
            <w:noWrap/>
            <w:hideMark/>
          </w:tcPr>
          <w:p w14:paraId="07301753" w14:textId="1E1526EB" w:rsidR="00C9752B" w:rsidRPr="00D71008" w:rsidRDefault="00C9752B" w:rsidP="00A20642">
            <w:pPr>
              <w:jc w:val="center"/>
              <w:rPr>
                <w:noProof/>
                <w:sz w:val="18"/>
                <w:szCs w:val="18"/>
                <w:lang w:eastAsia="en-GB"/>
              </w:rPr>
            </w:pPr>
            <w:r w:rsidRPr="00D71008">
              <w:rPr>
                <w:noProof/>
                <w:sz w:val="18"/>
                <w:szCs w:val="18"/>
                <w:lang w:eastAsia="en-GB"/>
              </w:rPr>
              <w:t>Romania</w:t>
            </w:r>
          </w:p>
        </w:tc>
        <w:tc>
          <w:tcPr>
            <w:tcW w:w="821" w:type="pct"/>
          </w:tcPr>
          <w:p w14:paraId="5AFB7AA8" w14:textId="77777777" w:rsidR="00C9752B" w:rsidRPr="00D71008" w:rsidRDefault="00C9752B" w:rsidP="00A20642">
            <w:pPr>
              <w:jc w:val="center"/>
              <w:rPr>
                <w:noProof/>
                <w:sz w:val="18"/>
                <w:szCs w:val="18"/>
                <w:lang w:eastAsia="en-GB"/>
              </w:rPr>
            </w:pPr>
            <w:r w:rsidRPr="00D71008">
              <w:rPr>
                <w:noProof/>
                <w:sz w:val="18"/>
                <w:szCs w:val="18"/>
                <w:lang w:eastAsia="en-GB"/>
              </w:rPr>
              <w:t>564 km</w:t>
            </w:r>
          </w:p>
        </w:tc>
      </w:tr>
      <w:tr w:rsidR="00C9752B" w:rsidRPr="00D71008" w14:paraId="41111649" w14:textId="77777777" w:rsidTr="00090A1B">
        <w:trPr>
          <w:trHeight w:val="290"/>
        </w:trPr>
        <w:tc>
          <w:tcPr>
            <w:tcW w:w="817" w:type="pct"/>
          </w:tcPr>
          <w:p w14:paraId="3C52EA14" w14:textId="77777777" w:rsidR="00C9752B" w:rsidRPr="00D71008" w:rsidRDefault="00C9752B" w:rsidP="00A20642">
            <w:pPr>
              <w:jc w:val="center"/>
              <w:rPr>
                <w:noProof/>
                <w:sz w:val="18"/>
                <w:szCs w:val="18"/>
                <w:lang w:eastAsia="en-GB"/>
              </w:rPr>
            </w:pPr>
            <w:r w:rsidRPr="00D71008">
              <w:rPr>
                <w:noProof/>
                <w:sz w:val="18"/>
                <w:szCs w:val="18"/>
                <w:lang w:eastAsia="en-GB"/>
              </w:rPr>
              <w:t>67</w:t>
            </w:r>
          </w:p>
        </w:tc>
        <w:tc>
          <w:tcPr>
            <w:tcW w:w="909" w:type="pct"/>
            <w:noWrap/>
            <w:hideMark/>
          </w:tcPr>
          <w:p w14:paraId="53EAE1FF" w14:textId="77777777" w:rsidR="00C9752B" w:rsidRPr="00D71008" w:rsidRDefault="00C9752B" w:rsidP="00A20642">
            <w:pPr>
              <w:jc w:val="center"/>
              <w:rPr>
                <w:noProof/>
                <w:sz w:val="18"/>
                <w:szCs w:val="18"/>
                <w:lang w:eastAsia="en-GB"/>
              </w:rPr>
            </w:pPr>
            <w:r w:rsidRPr="00D71008">
              <w:rPr>
                <w:noProof/>
                <w:sz w:val="18"/>
                <w:szCs w:val="18"/>
                <w:lang w:eastAsia="en-GB"/>
              </w:rPr>
              <w:t>Halmstad</w:t>
            </w:r>
          </w:p>
        </w:tc>
        <w:tc>
          <w:tcPr>
            <w:tcW w:w="817" w:type="pct"/>
            <w:noWrap/>
            <w:hideMark/>
          </w:tcPr>
          <w:p w14:paraId="74ECE094" w14:textId="77777777" w:rsidR="00C9752B" w:rsidRPr="00D71008" w:rsidRDefault="00C9752B" w:rsidP="00A20642">
            <w:pPr>
              <w:jc w:val="center"/>
              <w:rPr>
                <w:noProof/>
                <w:sz w:val="18"/>
                <w:szCs w:val="18"/>
                <w:lang w:eastAsia="en-GB"/>
              </w:rPr>
            </w:pPr>
            <w:r w:rsidRPr="00D71008">
              <w:rPr>
                <w:noProof/>
                <w:sz w:val="18"/>
                <w:szCs w:val="18"/>
                <w:lang w:eastAsia="en-GB"/>
              </w:rPr>
              <w:t>Sweden</w:t>
            </w:r>
          </w:p>
        </w:tc>
        <w:tc>
          <w:tcPr>
            <w:tcW w:w="818" w:type="pct"/>
            <w:noWrap/>
            <w:hideMark/>
          </w:tcPr>
          <w:p w14:paraId="3E709204" w14:textId="77777777" w:rsidR="00C9752B" w:rsidRPr="00D71008" w:rsidRDefault="00C9752B" w:rsidP="00A20642">
            <w:pPr>
              <w:jc w:val="center"/>
              <w:rPr>
                <w:noProof/>
                <w:sz w:val="18"/>
                <w:szCs w:val="18"/>
                <w:lang w:eastAsia="en-GB"/>
              </w:rPr>
            </w:pPr>
            <w:r w:rsidRPr="00D71008">
              <w:rPr>
                <w:noProof/>
                <w:sz w:val="18"/>
                <w:szCs w:val="18"/>
                <w:lang w:eastAsia="en-GB"/>
              </w:rPr>
              <w:t>Täby</w:t>
            </w:r>
          </w:p>
        </w:tc>
        <w:tc>
          <w:tcPr>
            <w:tcW w:w="818" w:type="pct"/>
            <w:noWrap/>
            <w:hideMark/>
          </w:tcPr>
          <w:p w14:paraId="7F9E6DDA" w14:textId="77777777" w:rsidR="00C9752B" w:rsidRPr="00D71008" w:rsidRDefault="00C9752B" w:rsidP="00A20642">
            <w:pPr>
              <w:jc w:val="center"/>
              <w:rPr>
                <w:noProof/>
                <w:sz w:val="18"/>
                <w:szCs w:val="18"/>
                <w:lang w:eastAsia="en-GB"/>
              </w:rPr>
            </w:pPr>
            <w:r w:rsidRPr="00D71008">
              <w:rPr>
                <w:noProof/>
                <w:sz w:val="18"/>
                <w:szCs w:val="18"/>
                <w:lang w:eastAsia="en-GB"/>
              </w:rPr>
              <w:t>Sweden</w:t>
            </w:r>
          </w:p>
        </w:tc>
        <w:tc>
          <w:tcPr>
            <w:tcW w:w="821" w:type="pct"/>
          </w:tcPr>
          <w:p w14:paraId="7BE9528E" w14:textId="77777777" w:rsidR="00C9752B" w:rsidRPr="00D71008" w:rsidRDefault="00C9752B" w:rsidP="00A20642">
            <w:pPr>
              <w:jc w:val="center"/>
              <w:rPr>
                <w:noProof/>
                <w:sz w:val="18"/>
                <w:szCs w:val="18"/>
                <w:lang w:eastAsia="en-GB"/>
              </w:rPr>
            </w:pPr>
            <w:r w:rsidRPr="00D71008">
              <w:rPr>
                <w:noProof/>
                <w:sz w:val="18"/>
                <w:szCs w:val="18"/>
                <w:lang w:eastAsia="en-GB"/>
              </w:rPr>
              <w:t>615 km</w:t>
            </w:r>
          </w:p>
        </w:tc>
      </w:tr>
      <w:tr w:rsidR="00C9752B" w:rsidRPr="00D71008" w14:paraId="46954085" w14:textId="77777777" w:rsidTr="00090A1B">
        <w:trPr>
          <w:trHeight w:val="290"/>
        </w:trPr>
        <w:tc>
          <w:tcPr>
            <w:tcW w:w="817" w:type="pct"/>
          </w:tcPr>
          <w:p w14:paraId="4790BC5F" w14:textId="77777777" w:rsidR="00C9752B" w:rsidRPr="00D71008" w:rsidRDefault="00C9752B" w:rsidP="00A20642">
            <w:pPr>
              <w:jc w:val="center"/>
              <w:rPr>
                <w:noProof/>
                <w:sz w:val="18"/>
                <w:szCs w:val="18"/>
                <w:lang w:eastAsia="en-GB"/>
              </w:rPr>
            </w:pPr>
            <w:r w:rsidRPr="00D71008">
              <w:rPr>
                <w:noProof/>
                <w:sz w:val="18"/>
                <w:szCs w:val="18"/>
                <w:lang w:eastAsia="en-GB"/>
              </w:rPr>
              <w:t>68</w:t>
            </w:r>
          </w:p>
        </w:tc>
        <w:tc>
          <w:tcPr>
            <w:tcW w:w="909" w:type="pct"/>
            <w:noWrap/>
            <w:hideMark/>
          </w:tcPr>
          <w:p w14:paraId="169757CA" w14:textId="77777777" w:rsidR="00C9752B" w:rsidRPr="00D71008" w:rsidRDefault="00C9752B" w:rsidP="00A20642">
            <w:pPr>
              <w:jc w:val="center"/>
              <w:rPr>
                <w:noProof/>
                <w:sz w:val="18"/>
                <w:szCs w:val="18"/>
                <w:lang w:eastAsia="en-GB"/>
              </w:rPr>
            </w:pPr>
            <w:r w:rsidRPr="00D71008">
              <w:rPr>
                <w:noProof/>
                <w:sz w:val="18"/>
                <w:szCs w:val="18"/>
                <w:lang w:eastAsia="en-GB"/>
              </w:rPr>
              <w:t>Klaipėda</w:t>
            </w:r>
          </w:p>
        </w:tc>
        <w:tc>
          <w:tcPr>
            <w:tcW w:w="817" w:type="pct"/>
            <w:noWrap/>
            <w:hideMark/>
          </w:tcPr>
          <w:p w14:paraId="470F9A9A" w14:textId="77777777" w:rsidR="00C9752B" w:rsidRPr="00D71008" w:rsidRDefault="00C9752B" w:rsidP="00A20642">
            <w:pPr>
              <w:jc w:val="center"/>
              <w:rPr>
                <w:noProof/>
                <w:sz w:val="18"/>
                <w:szCs w:val="18"/>
                <w:lang w:eastAsia="en-GB"/>
              </w:rPr>
            </w:pPr>
            <w:r w:rsidRPr="00D71008">
              <w:rPr>
                <w:noProof/>
                <w:sz w:val="18"/>
                <w:szCs w:val="18"/>
                <w:lang w:eastAsia="en-GB"/>
              </w:rPr>
              <w:t>Lithuania</w:t>
            </w:r>
          </w:p>
        </w:tc>
        <w:tc>
          <w:tcPr>
            <w:tcW w:w="818" w:type="pct"/>
            <w:noWrap/>
            <w:hideMark/>
          </w:tcPr>
          <w:p w14:paraId="3CAAE4F4" w14:textId="77777777" w:rsidR="00C9752B" w:rsidRPr="00D71008" w:rsidRDefault="00C9752B" w:rsidP="00A20642">
            <w:pPr>
              <w:jc w:val="center"/>
              <w:rPr>
                <w:noProof/>
                <w:sz w:val="18"/>
                <w:szCs w:val="18"/>
                <w:lang w:eastAsia="en-GB"/>
              </w:rPr>
            </w:pPr>
            <w:r w:rsidRPr="00D71008">
              <w:rPr>
                <w:noProof/>
                <w:sz w:val="18"/>
                <w:szCs w:val="18"/>
                <w:lang w:eastAsia="en-GB"/>
              </w:rPr>
              <w:t>Kaunas</w:t>
            </w:r>
          </w:p>
        </w:tc>
        <w:tc>
          <w:tcPr>
            <w:tcW w:w="818" w:type="pct"/>
            <w:noWrap/>
            <w:hideMark/>
          </w:tcPr>
          <w:p w14:paraId="031E4AC6" w14:textId="32BFD78B" w:rsidR="00C9752B" w:rsidRPr="00D71008" w:rsidRDefault="00C9752B" w:rsidP="00A20642">
            <w:pPr>
              <w:jc w:val="center"/>
              <w:rPr>
                <w:noProof/>
                <w:sz w:val="18"/>
                <w:szCs w:val="18"/>
                <w:lang w:eastAsia="en-GB"/>
              </w:rPr>
            </w:pPr>
            <w:r w:rsidRPr="00D71008">
              <w:rPr>
                <w:noProof/>
                <w:sz w:val="18"/>
                <w:szCs w:val="18"/>
                <w:lang w:eastAsia="en-GB"/>
              </w:rPr>
              <w:t>Lithuania</w:t>
            </w:r>
          </w:p>
        </w:tc>
        <w:tc>
          <w:tcPr>
            <w:tcW w:w="821" w:type="pct"/>
          </w:tcPr>
          <w:p w14:paraId="3C273126" w14:textId="77777777" w:rsidR="00C9752B" w:rsidRPr="00D71008" w:rsidRDefault="00C9752B" w:rsidP="00A20642">
            <w:pPr>
              <w:jc w:val="center"/>
              <w:rPr>
                <w:noProof/>
                <w:sz w:val="18"/>
                <w:szCs w:val="18"/>
                <w:lang w:eastAsia="en-GB"/>
              </w:rPr>
            </w:pPr>
            <w:r w:rsidRPr="00D71008">
              <w:rPr>
                <w:noProof/>
                <w:sz w:val="18"/>
                <w:szCs w:val="18"/>
                <w:lang w:eastAsia="en-GB"/>
              </w:rPr>
              <w:t>225 km</w:t>
            </w:r>
          </w:p>
        </w:tc>
      </w:tr>
      <w:tr w:rsidR="00C9752B" w:rsidRPr="00D71008" w14:paraId="2E853EEE" w14:textId="77777777" w:rsidTr="23484F07">
        <w:trPr>
          <w:trHeight w:val="290"/>
        </w:trPr>
        <w:tc>
          <w:tcPr>
            <w:tcW w:w="5000" w:type="pct"/>
            <w:gridSpan w:val="6"/>
            <w:shd w:val="clear" w:color="auto" w:fill="F79646" w:themeFill="accent6"/>
          </w:tcPr>
          <w:p w14:paraId="66D90442" w14:textId="77777777" w:rsidR="00C9752B" w:rsidRPr="00D71008" w:rsidRDefault="00C9752B" w:rsidP="00A20642">
            <w:pPr>
              <w:jc w:val="center"/>
              <w:rPr>
                <w:noProof/>
                <w:sz w:val="18"/>
                <w:szCs w:val="18"/>
                <w:lang w:eastAsia="en-GB"/>
              </w:rPr>
            </w:pPr>
            <w:r w:rsidRPr="00D71008">
              <w:rPr>
                <w:noProof/>
                <w:sz w:val="18"/>
                <w:szCs w:val="18"/>
                <w:lang w:eastAsia="en-GB"/>
              </w:rPr>
              <w:t>Cluster G</w:t>
            </w:r>
          </w:p>
        </w:tc>
      </w:tr>
      <w:tr w:rsidR="00C9752B" w:rsidRPr="00D71008" w14:paraId="7676D7F6" w14:textId="77777777" w:rsidTr="00090A1B">
        <w:trPr>
          <w:trHeight w:val="290"/>
        </w:trPr>
        <w:tc>
          <w:tcPr>
            <w:tcW w:w="817" w:type="pct"/>
          </w:tcPr>
          <w:p w14:paraId="48CBF9F7" w14:textId="77777777" w:rsidR="00C9752B" w:rsidRPr="00D71008" w:rsidRDefault="00C9752B" w:rsidP="00A20642">
            <w:pPr>
              <w:jc w:val="center"/>
              <w:rPr>
                <w:noProof/>
                <w:sz w:val="18"/>
                <w:szCs w:val="18"/>
                <w:lang w:eastAsia="en-GB"/>
              </w:rPr>
            </w:pPr>
            <w:r w:rsidRPr="00D71008">
              <w:rPr>
                <w:noProof/>
                <w:sz w:val="18"/>
                <w:szCs w:val="18"/>
                <w:lang w:eastAsia="en-GB"/>
              </w:rPr>
              <w:t>69</w:t>
            </w:r>
          </w:p>
        </w:tc>
        <w:tc>
          <w:tcPr>
            <w:tcW w:w="909" w:type="pct"/>
            <w:noWrap/>
            <w:hideMark/>
          </w:tcPr>
          <w:p w14:paraId="544159D6" w14:textId="77777777" w:rsidR="00C9752B" w:rsidRPr="00D71008" w:rsidRDefault="00C9752B" w:rsidP="00A20642">
            <w:pPr>
              <w:jc w:val="center"/>
              <w:rPr>
                <w:noProof/>
                <w:sz w:val="18"/>
                <w:szCs w:val="18"/>
                <w:lang w:eastAsia="en-GB"/>
              </w:rPr>
            </w:pPr>
            <w:r w:rsidRPr="00D71008">
              <w:rPr>
                <w:noProof/>
                <w:sz w:val="18"/>
                <w:szCs w:val="18"/>
                <w:lang w:eastAsia="en-GB"/>
              </w:rPr>
              <w:t>Tourcoing</w:t>
            </w:r>
          </w:p>
        </w:tc>
        <w:tc>
          <w:tcPr>
            <w:tcW w:w="817" w:type="pct"/>
            <w:noWrap/>
            <w:hideMark/>
          </w:tcPr>
          <w:p w14:paraId="6A20502A" w14:textId="77777777" w:rsidR="00C9752B" w:rsidRPr="00D71008" w:rsidRDefault="00C9752B" w:rsidP="00A20642">
            <w:pPr>
              <w:jc w:val="center"/>
              <w:rPr>
                <w:noProof/>
                <w:sz w:val="18"/>
                <w:szCs w:val="18"/>
                <w:lang w:eastAsia="en-GB"/>
              </w:rPr>
            </w:pPr>
            <w:r w:rsidRPr="00D71008">
              <w:rPr>
                <w:noProof/>
                <w:sz w:val="18"/>
                <w:szCs w:val="18"/>
                <w:lang w:eastAsia="en-GB"/>
              </w:rPr>
              <w:t>France</w:t>
            </w:r>
          </w:p>
        </w:tc>
        <w:tc>
          <w:tcPr>
            <w:tcW w:w="818" w:type="pct"/>
            <w:noWrap/>
            <w:hideMark/>
          </w:tcPr>
          <w:p w14:paraId="74B04AE6" w14:textId="77777777" w:rsidR="00C9752B" w:rsidRPr="00D71008" w:rsidRDefault="00C9752B" w:rsidP="00A20642">
            <w:pPr>
              <w:jc w:val="center"/>
              <w:rPr>
                <w:noProof/>
                <w:sz w:val="18"/>
                <w:szCs w:val="18"/>
                <w:lang w:eastAsia="en-GB"/>
              </w:rPr>
            </w:pPr>
            <w:r w:rsidRPr="00D71008">
              <w:rPr>
                <w:noProof/>
                <w:sz w:val="18"/>
                <w:szCs w:val="18"/>
                <w:lang w:eastAsia="en-GB"/>
              </w:rPr>
              <w:t>Dordrecht</w:t>
            </w:r>
          </w:p>
        </w:tc>
        <w:tc>
          <w:tcPr>
            <w:tcW w:w="818" w:type="pct"/>
            <w:noWrap/>
            <w:hideMark/>
          </w:tcPr>
          <w:p w14:paraId="2A364C1F" w14:textId="55B08603" w:rsidR="00C9752B" w:rsidRPr="00D71008" w:rsidRDefault="00C9752B" w:rsidP="00A20642">
            <w:pPr>
              <w:jc w:val="center"/>
              <w:rPr>
                <w:noProof/>
                <w:sz w:val="18"/>
                <w:szCs w:val="18"/>
                <w:lang w:eastAsia="en-GB"/>
              </w:rPr>
            </w:pPr>
            <w:r w:rsidRPr="00D71008">
              <w:rPr>
                <w:noProof/>
                <w:sz w:val="18"/>
                <w:szCs w:val="18"/>
                <w:lang w:eastAsia="en-GB"/>
              </w:rPr>
              <w:t>Netherlands</w:t>
            </w:r>
          </w:p>
        </w:tc>
        <w:tc>
          <w:tcPr>
            <w:tcW w:w="821" w:type="pct"/>
          </w:tcPr>
          <w:p w14:paraId="001310C4" w14:textId="77777777" w:rsidR="00C9752B" w:rsidRPr="00D71008" w:rsidRDefault="00C9752B" w:rsidP="00A20642">
            <w:pPr>
              <w:jc w:val="center"/>
              <w:rPr>
                <w:noProof/>
                <w:sz w:val="18"/>
                <w:szCs w:val="18"/>
                <w:lang w:eastAsia="en-GB"/>
              </w:rPr>
            </w:pPr>
            <w:r w:rsidRPr="00D71008">
              <w:rPr>
                <w:noProof/>
                <w:sz w:val="18"/>
                <w:szCs w:val="18"/>
                <w:lang w:eastAsia="en-GB"/>
              </w:rPr>
              <w:t>239 km</w:t>
            </w:r>
          </w:p>
        </w:tc>
      </w:tr>
      <w:tr w:rsidR="00C9752B" w:rsidRPr="00D71008" w14:paraId="49FCB38E" w14:textId="77777777" w:rsidTr="00090A1B">
        <w:trPr>
          <w:trHeight w:val="290"/>
        </w:trPr>
        <w:tc>
          <w:tcPr>
            <w:tcW w:w="817" w:type="pct"/>
          </w:tcPr>
          <w:p w14:paraId="4847F161" w14:textId="77777777" w:rsidR="00C9752B" w:rsidRPr="00D71008" w:rsidRDefault="00C9752B" w:rsidP="00A20642">
            <w:pPr>
              <w:jc w:val="center"/>
              <w:rPr>
                <w:noProof/>
                <w:sz w:val="18"/>
                <w:szCs w:val="18"/>
                <w:lang w:eastAsia="en-GB"/>
              </w:rPr>
            </w:pPr>
            <w:r w:rsidRPr="00D71008">
              <w:rPr>
                <w:noProof/>
                <w:sz w:val="18"/>
                <w:szCs w:val="18"/>
                <w:lang w:eastAsia="en-GB"/>
              </w:rPr>
              <w:t>70</w:t>
            </w:r>
          </w:p>
        </w:tc>
        <w:tc>
          <w:tcPr>
            <w:tcW w:w="909" w:type="pct"/>
            <w:noWrap/>
            <w:hideMark/>
          </w:tcPr>
          <w:p w14:paraId="0B03E4D7" w14:textId="77777777" w:rsidR="00C9752B" w:rsidRPr="00D71008" w:rsidRDefault="00C9752B" w:rsidP="00A20642">
            <w:pPr>
              <w:jc w:val="center"/>
              <w:rPr>
                <w:noProof/>
                <w:sz w:val="18"/>
                <w:szCs w:val="18"/>
                <w:lang w:eastAsia="en-GB"/>
              </w:rPr>
            </w:pPr>
            <w:r w:rsidRPr="00D71008">
              <w:rPr>
                <w:noProof/>
                <w:sz w:val="18"/>
                <w:szCs w:val="18"/>
                <w:lang w:eastAsia="en-GB"/>
              </w:rPr>
              <w:t>Bonn</w:t>
            </w:r>
          </w:p>
        </w:tc>
        <w:tc>
          <w:tcPr>
            <w:tcW w:w="817" w:type="pct"/>
            <w:noWrap/>
            <w:hideMark/>
          </w:tcPr>
          <w:p w14:paraId="2F6ED456" w14:textId="77777777"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18" w:type="pct"/>
            <w:noWrap/>
            <w:hideMark/>
          </w:tcPr>
          <w:p w14:paraId="49D4C4FA" w14:textId="77777777" w:rsidR="00C9752B" w:rsidRPr="00D71008" w:rsidRDefault="00C9752B" w:rsidP="00A20642">
            <w:pPr>
              <w:jc w:val="center"/>
              <w:rPr>
                <w:noProof/>
                <w:sz w:val="18"/>
                <w:szCs w:val="18"/>
                <w:lang w:eastAsia="en-GB"/>
              </w:rPr>
            </w:pPr>
            <w:r w:rsidRPr="00D71008">
              <w:rPr>
                <w:noProof/>
                <w:sz w:val="18"/>
                <w:szCs w:val="18"/>
                <w:lang w:eastAsia="en-GB"/>
              </w:rPr>
              <w:t>Ostend</w:t>
            </w:r>
          </w:p>
        </w:tc>
        <w:tc>
          <w:tcPr>
            <w:tcW w:w="818" w:type="pct"/>
            <w:noWrap/>
            <w:hideMark/>
          </w:tcPr>
          <w:p w14:paraId="02958D94" w14:textId="00638524" w:rsidR="00C9752B" w:rsidRPr="00D71008" w:rsidRDefault="00C9752B" w:rsidP="00A20642">
            <w:pPr>
              <w:jc w:val="center"/>
              <w:rPr>
                <w:noProof/>
                <w:sz w:val="18"/>
                <w:szCs w:val="18"/>
                <w:lang w:eastAsia="en-GB"/>
              </w:rPr>
            </w:pPr>
            <w:r w:rsidRPr="00D71008">
              <w:rPr>
                <w:noProof/>
                <w:sz w:val="18"/>
                <w:szCs w:val="18"/>
                <w:lang w:eastAsia="en-GB"/>
              </w:rPr>
              <w:t>Belgium</w:t>
            </w:r>
          </w:p>
        </w:tc>
        <w:tc>
          <w:tcPr>
            <w:tcW w:w="821" w:type="pct"/>
          </w:tcPr>
          <w:p w14:paraId="3E6529AD" w14:textId="77777777" w:rsidR="00C9752B" w:rsidRPr="00D71008" w:rsidRDefault="00C9752B" w:rsidP="00A20642">
            <w:pPr>
              <w:jc w:val="center"/>
              <w:rPr>
                <w:noProof/>
                <w:sz w:val="18"/>
                <w:szCs w:val="18"/>
                <w:lang w:eastAsia="en-GB"/>
              </w:rPr>
            </w:pPr>
            <w:r w:rsidRPr="00D71008">
              <w:rPr>
                <w:noProof/>
                <w:sz w:val="18"/>
                <w:szCs w:val="18"/>
                <w:lang w:eastAsia="en-GB"/>
              </w:rPr>
              <w:t>370 km</w:t>
            </w:r>
          </w:p>
        </w:tc>
      </w:tr>
      <w:tr w:rsidR="00C9752B" w:rsidRPr="00D71008" w14:paraId="5696C68E" w14:textId="77777777" w:rsidTr="00090A1B">
        <w:trPr>
          <w:trHeight w:val="290"/>
        </w:trPr>
        <w:tc>
          <w:tcPr>
            <w:tcW w:w="817" w:type="pct"/>
          </w:tcPr>
          <w:p w14:paraId="7E813A08" w14:textId="77777777" w:rsidR="00C9752B" w:rsidRPr="00D71008" w:rsidRDefault="00C9752B" w:rsidP="00A20642">
            <w:pPr>
              <w:jc w:val="center"/>
              <w:rPr>
                <w:noProof/>
                <w:sz w:val="18"/>
                <w:szCs w:val="18"/>
                <w:lang w:eastAsia="en-GB"/>
              </w:rPr>
            </w:pPr>
            <w:r w:rsidRPr="00D71008">
              <w:rPr>
                <w:noProof/>
                <w:sz w:val="18"/>
                <w:szCs w:val="18"/>
                <w:lang w:eastAsia="en-GB"/>
              </w:rPr>
              <w:t>71</w:t>
            </w:r>
          </w:p>
        </w:tc>
        <w:tc>
          <w:tcPr>
            <w:tcW w:w="909" w:type="pct"/>
            <w:noWrap/>
            <w:hideMark/>
          </w:tcPr>
          <w:p w14:paraId="3E9C30E1" w14:textId="77777777" w:rsidR="00C9752B" w:rsidRPr="00D71008" w:rsidRDefault="00C9752B" w:rsidP="00A20642">
            <w:pPr>
              <w:jc w:val="center"/>
              <w:rPr>
                <w:noProof/>
                <w:sz w:val="18"/>
                <w:szCs w:val="18"/>
                <w:lang w:eastAsia="en-GB"/>
              </w:rPr>
            </w:pPr>
            <w:r w:rsidRPr="00D71008">
              <w:rPr>
                <w:noProof/>
                <w:sz w:val="18"/>
                <w:szCs w:val="18"/>
                <w:lang w:eastAsia="en-GB"/>
              </w:rPr>
              <w:t>Bergisch Gladbach</w:t>
            </w:r>
          </w:p>
        </w:tc>
        <w:tc>
          <w:tcPr>
            <w:tcW w:w="817" w:type="pct"/>
            <w:noWrap/>
            <w:hideMark/>
          </w:tcPr>
          <w:p w14:paraId="090BF7D7" w14:textId="77777777"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18" w:type="pct"/>
            <w:noWrap/>
            <w:hideMark/>
          </w:tcPr>
          <w:p w14:paraId="2B2FAD40" w14:textId="77777777" w:rsidR="00C9752B" w:rsidRPr="00D71008" w:rsidRDefault="00C9752B" w:rsidP="00A20642">
            <w:pPr>
              <w:jc w:val="center"/>
              <w:rPr>
                <w:noProof/>
                <w:sz w:val="18"/>
                <w:szCs w:val="18"/>
                <w:lang w:eastAsia="en-GB"/>
              </w:rPr>
            </w:pPr>
            <w:r w:rsidRPr="00D71008">
              <w:rPr>
                <w:noProof/>
                <w:sz w:val="18"/>
                <w:szCs w:val="18"/>
                <w:lang w:eastAsia="en-GB"/>
              </w:rPr>
              <w:t>Žilina</w:t>
            </w:r>
          </w:p>
        </w:tc>
        <w:tc>
          <w:tcPr>
            <w:tcW w:w="818" w:type="pct"/>
            <w:noWrap/>
            <w:hideMark/>
          </w:tcPr>
          <w:p w14:paraId="5F16484A" w14:textId="223D4266" w:rsidR="00C9752B" w:rsidRPr="00D71008" w:rsidRDefault="00C9752B" w:rsidP="00A20642">
            <w:pPr>
              <w:jc w:val="center"/>
              <w:rPr>
                <w:noProof/>
                <w:sz w:val="18"/>
                <w:szCs w:val="18"/>
                <w:lang w:eastAsia="en-GB"/>
              </w:rPr>
            </w:pPr>
            <w:r w:rsidRPr="00D71008">
              <w:rPr>
                <w:noProof/>
                <w:sz w:val="18"/>
                <w:szCs w:val="18"/>
                <w:lang w:eastAsia="en-GB"/>
              </w:rPr>
              <w:t>Slovakia</w:t>
            </w:r>
          </w:p>
        </w:tc>
        <w:tc>
          <w:tcPr>
            <w:tcW w:w="821" w:type="pct"/>
          </w:tcPr>
          <w:p w14:paraId="74E02921" w14:textId="77777777" w:rsidR="00C9752B" w:rsidRPr="00D71008" w:rsidRDefault="00C9752B" w:rsidP="00A20642">
            <w:pPr>
              <w:jc w:val="center"/>
              <w:rPr>
                <w:noProof/>
                <w:sz w:val="18"/>
                <w:szCs w:val="18"/>
                <w:lang w:eastAsia="en-GB"/>
              </w:rPr>
            </w:pPr>
            <w:r w:rsidRPr="00D71008">
              <w:rPr>
                <w:noProof/>
                <w:sz w:val="18"/>
                <w:szCs w:val="18"/>
                <w:lang w:eastAsia="en-GB"/>
              </w:rPr>
              <w:t>1,170 km</w:t>
            </w:r>
          </w:p>
        </w:tc>
      </w:tr>
      <w:tr w:rsidR="00C9752B" w:rsidRPr="00D71008" w14:paraId="55B4BEA6" w14:textId="77777777" w:rsidTr="00090A1B">
        <w:trPr>
          <w:trHeight w:val="290"/>
        </w:trPr>
        <w:tc>
          <w:tcPr>
            <w:tcW w:w="817" w:type="pct"/>
          </w:tcPr>
          <w:p w14:paraId="714C2141" w14:textId="77777777" w:rsidR="00C9752B" w:rsidRPr="00D71008" w:rsidRDefault="00C9752B" w:rsidP="00A20642">
            <w:pPr>
              <w:jc w:val="center"/>
              <w:rPr>
                <w:noProof/>
                <w:sz w:val="18"/>
                <w:szCs w:val="18"/>
                <w:lang w:eastAsia="en-GB"/>
              </w:rPr>
            </w:pPr>
            <w:r w:rsidRPr="00D71008">
              <w:rPr>
                <w:noProof/>
                <w:sz w:val="18"/>
                <w:szCs w:val="18"/>
                <w:lang w:eastAsia="en-GB"/>
              </w:rPr>
              <w:t>72</w:t>
            </w:r>
          </w:p>
        </w:tc>
        <w:tc>
          <w:tcPr>
            <w:tcW w:w="909" w:type="pct"/>
            <w:noWrap/>
            <w:hideMark/>
          </w:tcPr>
          <w:p w14:paraId="10A4BB7E" w14:textId="77777777" w:rsidR="00C9752B" w:rsidRPr="00D71008" w:rsidRDefault="00C9752B" w:rsidP="00A20642">
            <w:pPr>
              <w:jc w:val="center"/>
              <w:rPr>
                <w:noProof/>
                <w:sz w:val="18"/>
                <w:szCs w:val="18"/>
                <w:lang w:eastAsia="en-GB"/>
              </w:rPr>
            </w:pPr>
            <w:r w:rsidRPr="00D71008">
              <w:rPr>
                <w:noProof/>
                <w:sz w:val="18"/>
                <w:szCs w:val="18"/>
                <w:lang w:eastAsia="en-GB"/>
              </w:rPr>
              <w:t>Leiden</w:t>
            </w:r>
          </w:p>
        </w:tc>
        <w:tc>
          <w:tcPr>
            <w:tcW w:w="817" w:type="pct"/>
            <w:noWrap/>
            <w:hideMark/>
          </w:tcPr>
          <w:p w14:paraId="1AB99470" w14:textId="77777777" w:rsidR="00C9752B" w:rsidRPr="00D71008" w:rsidRDefault="00C9752B" w:rsidP="00A20642">
            <w:pPr>
              <w:jc w:val="center"/>
              <w:rPr>
                <w:noProof/>
                <w:sz w:val="18"/>
                <w:szCs w:val="18"/>
                <w:lang w:eastAsia="en-GB"/>
              </w:rPr>
            </w:pPr>
            <w:r w:rsidRPr="00D71008">
              <w:rPr>
                <w:noProof/>
                <w:sz w:val="18"/>
                <w:szCs w:val="18"/>
                <w:lang w:eastAsia="en-GB"/>
              </w:rPr>
              <w:t>Netherlands</w:t>
            </w:r>
          </w:p>
        </w:tc>
        <w:tc>
          <w:tcPr>
            <w:tcW w:w="818" w:type="pct"/>
            <w:noWrap/>
            <w:hideMark/>
          </w:tcPr>
          <w:p w14:paraId="5C8040FC" w14:textId="77777777" w:rsidR="00C9752B" w:rsidRPr="00D71008" w:rsidRDefault="00C9752B" w:rsidP="00A20642">
            <w:pPr>
              <w:jc w:val="center"/>
              <w:rPr>
                <w:noProof/>
                <w:sz w:val="18"/>
                <w:szCs w:val="18"/>
                <w:lang w:eastAsia="en-GB"/>
              </w:rPr>
            </w:pPr>
            <w:r w:rsidRPr="00D71008">
              <w:rPr>
                <w:noProof/>
                <w:sz w:val="18"/>
                <w:szCs w:val="18"/>
                <w:lang w:eastAsia="en-GB"/>
              </w:rPr>
              <w:t>Tarbes</w:t>
            </w:r>
          </w:p>
        </w:tc>
        <w:tc>
          <w:tcPr>
            <w:tcW w:w="818" w:type="pct"/>
            <w:noWrap/>
            <w:hideMark/>
          </w:tcPr>
          <w:p w14:paraId="3F49FB82" w14:textId="7A209212" w:rsidR="00C9752B" w:rsidRPr="00D71008" w:rsidRDefault="00C9752B" w:rsidP="00A20642">
            <w:pPr>
              <w:jc w:val="center"/>
              <w:rPr>
                <w:noProof/>
                <w:sz w:val="18"/>
                <w:szCs w:val="18"/>
                <w:lang w:eastAsia="en-GB"/>
              </w:rPr>
            </w:pPr>
            <w:r w:rsidRPr="00D71008">
              <w:rPr>
                <w:noProof/>
                <w:sz w:val="18"/>
                <w:szCs w:val="18"/>
                <w:lang w:eastAsia="en-GB"/>
              </w:rPr>
              <w:t>France</w:t>
            </w:r>
          </w:p>
        </w:tc>
        <w:tc>
          <w:tcPr>
            <w:tcW w:w="821" w:type="pct"/>
          </w:tcPr>
          <w:p w14:paraId="14427CA7" w14:textId="77777777" w:rsidR="00C9752B" w:rsidRPr="00D71008" w:rsidRDefault="00C9752B" w:rsidP="00A20642">
            <w:pPr>
              <w:jc w:val="center"/>
              <w:rPr>
                <w:noProof/>
                <w:sz w:val="18"/>
                <w:szCs w:val="18"/>
                <w:lang w:eastAsia="en-GB"/>
              </w:rPr>
            </w:pPr>
            <w:r w:rsidRPr="00D71008">
              <w:rPr>
                <w:noProof/>
                <w:sz w:val="18"/>
                <w:szCs w:val="18"/>
                <w:lang w:eastAsia="en-GB"/>
              </w:rPr>
              <w:t>1,379 km</w:t>
            </w:r>
          </w:p>
        </w:tc>
      </w:tr>
      <w:tr w:rsidR="00C9752B" w:rsidRPr="00D71008" w14:paraId="5A71D849" w14:textId="77777777" w:rsidTr="00090A1B">
        <w:trPr>
          <w:trHeight w:val="290"/>
        </w:trPr>
        <w:tc>
          <w:tcPr>
            <w:tcW w:w="817" w:type="pct"/>
          </w:tcPr>
          <w:p w14:paraId="1202D80D" w14:textId="77777777" w:rsidR="00C9752B" w:rsidRPr="00D71008" w:rsidRDefault="00C9752B" w:rsidP="00A20642">
            <w:pPr>
              <w:jc w:val="center"/>
              <w:rPr>
                <w:noProof/>
                <w:sz w:val="18"/>
                <w:szCs w:val="18"/>
                <w:lang w:eastAsia="en-GB"/>
              </w:rPr>
            </w:pPr>
            <w:r w:rsidRPr="00D71008">
              <w:rPr>
                <w:noProof/>
                <w:sz w:val="18"/>
                <w:szCs w:val="18"/>
                <w:lang w:eastAsia="en-GB"/>
              </w:rPr>
              <w:t>73</w:t>
            </w:r>
          </w:p>
        </w:tc>
        <w:tc>
          <w:tcPr>
            <w:tcW w:w="909" w:type="pct"/>
            <w:noWrap/>
            <w:hideMark/>
          </w:tcPr>
          <w:p w14:paraId="122713DD" w14:textId="77777777" w:rsidR="00C9752B" w:rsidRPr="00D71008" w:rsidRDefault="00C9752B" w:rsidP="00A20642">
            <w:pPr>
              <w:jc w:val="center"/>
              <w:rPr>
                <w:noProof/>
                <w:sz w:val="18"/>
                <w:szCs w:val="18"/>
                <w:lang w:eastAsia="en-GB"/>
              </w:rPr>
            </w:pPr>
            <w:r w:rsidRPr="00D71008">
              <w:rPr>
                <w:noProof/>
                <w:sz w:val="18"/>
                <w:szCs w:val="18"/>
                <w:lang w:eastAsia="en-GB"/>
              </w:rPr>
              <w:t>Sundsvall</w:t>
            </w:r>
          </w:p>
        </w:tc>
        <w:tc>
          <w:tcPr>
            <w:tcW w:w="817" w:type="pct"/>
            <w:noWrap/>
            <w:hideMark/>
          </w:tcPr>
          <w:p w14:paraId="0031AE0D" w14:textId="77777777" w:rsidR="00C9752B" w:rsidRPr="00D71008" w:rsidRDefault="00C9752B" w:rsidP="00A20642">
            <w:pPr>
              <w:jc w:val="center"/>
              <w:rPr>
                <w:noProof/>
                <w:sz w:val="18"/>
                <w:szCs w:val="18"/>
                <w:lang w:eastAsia="en-GB"/>
              </w:rPr>
            </w:pPr>
            <w:r w:rsidRPr="00D71008">
              <w:rPr>
                <w:noProof/>
                <w:sz w:val="18"/>
                <w:szCs w:val="18"/>
                <w:lang w:eastAsia="en-GB"/>
              </w:rPr>
              <w:t>Sweden</w:t>
            </w:r>
          </w:p>
        </w:tc>
        <w:tc>
          <w:tcPr>
            <w:tcW w:w="818" w:type="pct"/>
            <w:noWrap/>
            <w:hideMark/>
          </w:tcPr>
          <w:p w14:paraId="0CEED502" w14:textId="77777777" w:rsidR="00C9752B" w:rsidRPr="00D71008" w:rsidRDefault="00C9752B" w:rsidP="00A20642">
            <w:pPr>
              <w:jc w:val="center"/>
              <w:rPr>
                <w:noProof/>
                <w:sz w:val="18"/>
                <w:szCs w:val="18"/>
                <w:lang w:eastAsia="en-GB"/>
              </w:rPr>
            </w:pPr>
            <w:r w:rsidRPr="00D71008">
              <w:rPr>
                <w:noProof/>
                <w:sz w:val="18"/>
                <w:szCs w:val="18"/>
                <w:lang w:eastAsia="en-GB"/>
              </w:rPr>
              <w:t>Odense</w:t>
            </w:r>
          </w:p>
        </w:tc>
        <w:tc>
          <w:tcPr>
            <w:tcW w:w="818" w:type="pct"/>
            <w:noWrap/>
            <w:hideMark/>
          </w:tcPr>
          <w:p w14:paraId="416E6E9E" w14:textId="216209C6" w:rsidR="00C9752B" w:rsidRPr="00D71008" w:rsidRDefault="00C9752B" w:rsidP="00A20642">
            <w:pPr>
              <w:jc w:val="center"/>
              <w:rPr>
                <w:noProof/>
                <w:sz w:val="18"/>
                <w:szCs w:val="18"/>
                <w:lang w:eastAsia="en-GB"/>
              </w:rPr>
            </w:pPr>
            <w:r w:rsidRPr="00D71008">
              <w:rPr>
                <w:noProof/>
                <w:sz w:val="18"/>
                <w:szCs w:val="18"/>
                <w:lang w:eastAsia="en-GB"/>
              </w:rPr>
              <w:t>Denmark</w:t>
            </w:r>
          </w:p>
        </w:tc>
        <w:tc>
          <w:tcPr>
            <w:tcW w:w="821" w:type="pct"/>
          </w:tcPr>
          <w:p w14:paraId="449670CA" w14:textId="77777777" w:rsidR="00C9752B" w:rsidRPr="00D71008" w:rsidRDefault="00C9752B" w:rsidP="00A20642">
            <w:pPr>
              <w:jc w:val="center"/>
              <w:rPr>
                <w:noProof/>
                <w:sz w:val="18"/>
                <w:szCs w:val="18"/>
                <w:lang w:eastAsia="en-GB"/>
              </w:rPr>
            </w:pPr>
            <w:r w:rsidRPr="00D71008">
              <w:rPr>
                <w:noProof/>
                <w:sz w:val="18"/>
                <w:szCs w:val="18"/>
                <w:lang w:eastAsia="en-GB"/>
              </w:rPr>
              <w:t>1,169 km</w:t>
            </w:r>
          </w:p>
        </w:tc>
      </w:tr>
      <w:tr w:rsidR="00C9752B" w:rsidRPr="00D71008" w14:paraId="1C217FC8" w14:textId="77777777" w:rsidTr="00090A1B">
        <w:trPr>
          <w:trHeight w:val="290"/>
        </w:trPr>
        <w:tc>
          <w:tcPr>
            <w:tcW w:w="817" w:type="pct"/>
          </w:tcPr>
          <w:p w14:paraId="5C835FBB" w14:textId="77777777" w:rsidR="00C9752B" w:rsidRPr="00D71008" w:rsidRDefault="00C9752B" w:rsidP="00A20642">
            <w:pPr>
              <w:jc w:val="center"/>
              <w:rPr>
                <w:noProof/>
                <w:sz w:val="18"/>
                <w:szCs w:val="18"/>
                <w:lang w:eastAsia="en-GB"/>
              </w:rPr>
            </w:pPr>
            <w:r w:rsidRPr="00D71008">
              <w:rPr>
                <w:noProof/>
                <w:sz w:val="18"/>
                <w:szCs w:val="18"/>
                <w:lang w:eastAsia="en-GB"/>
              </w:rPr>
              <w:t>74</w:t>
            </w:r>
          </w:p>
        </w:tc>
        <w:tc>
          <w:tcPr>
            <w:tcW w:w="909" w:type="pct"/>
            <w:noWrap/>
            <w:hideMark/>
          </w:tcPr>
          <w:p w14:paraId="36FC6266" w14:textId="77777777" w:rsidR="00C9752B" w:rsidRPr="00D71008" w:rsidRDefault="00C9752B" w:rsidP="00A20642">
            <w:pPr>
              <w:jc w:val="center"/>
              <w:rPr>
                <w:noProof/>
                <w:sz w:val="18"/>
                <w:szCs w:val="18"/>
                <w:lang w:eastAsia="en-GB"/>
              </w:rPr>
            </w:pPr>
            <w:r w:rsidRPr="00D71008">
              <w:rPr>
                <w:noProof/>
                <w:sz w:val="18"/>
                <w:szCs w:val="18"/>
                <w:lang w:eastAsia="en-GB"/>
              </w:rPr>
              <w:t>Saint-Malo</w:t>
            </w:r>
          </w:p>
        </w:tc>
        <w:tc>
          <w:tcPr>
            <w:tcW w:w="817" w:type="pct"/>
            <w:noWrap/>
            <w:hideMark/>
          </w:tcPr>
          <w:p w14:paraId="0B57B840" w14:textId="77777777" w:rsidR="00C9752B" w:rsidRPr="00D71008" w:rsidRDefault="00C9752B" w:rsidP="00A20642">
            <w:pPr>
              <w:jc w:val="center"/>
              <w:rPr>
                <w:noProof/>
                <w:sz w:val="18"/>
                <w:szCs w:val="18"/>
                <w:lang w:eastAsia="en-GB"/>
              </w:rPr>
            </w:pPr>
            <w:r w:rsidRPr="00D71008">
              <w:rPr>
                <w:noProof/>
                <w:sz w:val="18"/>
                <w:szCs w:val="18"/>
                <w:lang w:eastAsia="en-GB"/>
              </w:rPr>
              <w:t>France</w:t>
            </w:r>
          </w:p>
        </w:tc>
        <w:tc>
          <w:tcPr>
            <w:tcW w:w="818" w:type="pct"/>
            <w:noWrap/>
            <w:hideMark/>
          </w:tcPr>
          <w:p w14:paraId="3F4436E2" w14:textId="77777777" w:rsidR="00C9752B" w:rsidRPr="00D71008" w:rsidRDefault="00C9752B" w:rsidP="00A20642">
            <w:pPr>
              <w:jc w:val="center"/>
              <w:rPr>
                <w:noProof/>
                <w:sz w:val="18"/>
                <w:szCs w:val="18"/>
                <w:lang w:eastAsia="en-GB"/>
              </w:rPr>
            </w:pPr>
            <w:r w:rsidRPr="00D71008">
              <w:rPr>
                <w:noProof/>
                <w:sz w:val="18"/>
                <w:szCs w:val="18"/>
                <w:lang w:eastAsia="en-GB"/>
              </w:rPr>
              <w:t>Kaiserslautern</w:t>
            </w:r>
          </w:p>
        </w:tc>
        <w:tc>
          <w:tcPr>
            <w:tcW w:w="818" w:type="pct"/>
            <w:noWrap/>
            <w:hideMark/>
          </w:tcPr>
          <w:p w14:paraId="36FA4874" w14:textId="14B1337F"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21" w:type="pct"/>
          </w:tcPr>
          <w:p w14:paraId="3ABA6780" w14:textId="77777777" w:rsidR="00C9752B" w:rsidRPr="00D71008" w:rsidRDefault="00C9752B" w:rsidP="00A20642">
            <w:pPr>
              <w:jc w:val="center"/>
              <w:rPr>
                <w:noProof/>
                <w:sz w:val="18"/>
                <w:szCs w:val="18"/>
                <w:lang w:eastAsia="en-GB"/>
              </w:rPr>
            </w:pPr>
            <w:r w:rsidRPr="00D71008">
              <w:rPr>
                <w:noProof/>
                <w:sz w:val="18"/>
                <w:szCs w:val="18"/>
                <w:lang w:eastAsia="en-GB"/>
              </w:rPr>
              <w:t>902 km</w:t>
            </w:r>
          </w:p>
        </w:tc>
      </w:tr>
      <w:tr w:rsidR="00C9752B" w:rsidRPr="00D71008" w14:paraId="41F09DC7" w14:textId="77777777" w:rsidTr="00090A1B">
        <w:trPr>
          <w:trHeight w:val="290"/>
        </w:trPr>
        <w:tc>
          <w:tcPr>
            <w:tcW w:w="817" w:type="pct"/>
          </w:tcPr>
          <w:p w14:paraId="4C2FCCCF" w14:textId="77777777" w:rsidR="00C9752B" w:rsidRPr="00D71008" w:rsidRDefault="00C9752B" w:rsidP="00A20642">
            <w:pPr>
              <w:jc w:val="center"/>
              <w:rPr>
                <w:noProof/>
                <w:sz w:val="18"/>
                <w:szCs w:val="18"/>
                <w:lang w:eastAsia="en-GB"/>
              </w:rPr>
            </w:pPr>
            <w:r w:rsidRPr="00D71008">
              <w:rPr>
                <w:noProof/>
                <w:sz w:val="18"/>
                <w:szCs w:val="18"/>
                <w:lang w:eastAsia="en-GB"/>
              </w:rPr>
              <w:t>75</w:t>
            </w:r>
          </w:p>
        </w:tc>
        <w:tc>
          <w:tcPr>
            <w:tcW w:w="909" w:type="pct"/>
            <w:noWrap/>
            <w:hideMark/>
          </w:tcPr>
          <w:p w14:paraId="60D10108" w14:textId="77777777" w:rsidR="00C9752B" w:rsidRPr="00D71008" w:rsidRDefault="00C9752B" w:rsidP="00A20642">
            <w:pPr>
              <w:jc w:val="center"/>
              <w:rPr>
                <w:noProof/>
                <w:sz w:val="18"/>
                <w:szCs w:val="18"/>
                <w:lang w:eastAsia="en-GB"/>
              </w:rPr>
            </w:pPr>
            <w:r w:rsidRPr="00D71008">
              <w:rPr>
                <w:noProof/>
                <w:sz w:val="18"/>
                <w:szCs w:val="18"/>
                <w:lang w:eastAsia="en-GB"/>
              </w:rPr>
              <w:t>Innsbruck</w:t>
            </w:r>
          </w:p>
        </w:tc>
        <w:tc>
          <w:tcPr>
            <w:tcW w:w="817" w:type="pct"/>
            <w:noWrap/>
            <w:hideMark/>
          </w:tcPr>
          <w:p w14:paraId="4D2175F5" w14:textId="77777777" w:rsidR="00C9752B" w:rsidRPr="00D71008" w:rsidRDefault="00C9752B" w:rsidP="00A20642">
            <w:pPr>
              <w:jc w:val="center"/>
              <w:rPr>
                <w:noProof/>
                <w:sz w:val="18"/>
                <w:szCs w:val="18"/>
                <w:lang w:eastAsia="en-GB"/>
              </w:rPr>
            </w:pPr>
            <w:r w:rsidRPr="00D71008">
              <w:rPr>
                <w:noProof/>
                <w:sz w:val="18"/>
                <w:szCs w:val="18"/>
                <w:lang w:eastAsia="en-GB"/>
              </w:rPr>
              <w:t>Austria</w:t>
            </w:r>
          </w:p>
        </w:tc>
        <w:tc>
          <w:tcPr>
            <w:tcW w:w="818" w:type="pct"/>
            <w:noWrap/>
            <w:hideMark/>
          </w:tcPr>
          <w:p w14:paraId="17B720FB" w14:textId="77777777" w:rsidR="00C9752B" w:rsidRPr="00D71008" w:rsidRDefault="00C9752B" w:rsidP="00A20642">
            <w:pPr>
              <w:jc w:val="center"/>
              <w:rPr>
                <w:noProof/>
                <w:sz w:val="18"/>
                <w:szCs w:val="18"/>
                <w:lang w:eastAsia="en-GB"/>
              </w:rPr>
            </w:pPr>
            <w:r w:rsidRPr="00D71008">
              <w:rPr>
                <w:noProof/>
                <w:sz w:val="18"/>
                <w:szCs w:val="18"/>
                <w:lang w:eastAsia="en-GB"/>
              </w:rPr>
              <w:t>Grenoble</w:t>
            </w:r>
          </w:p>
        </w:tc>
        <w:tc>
          <w:tcPr>
            <w:tcW w:w="818" w:type="pct"/>
            <w:noWrap/>
            <w:hideMark/>
          </w:tcPr>
          <w:p w14:paraId="67790304" w14:textId="49078049" w:rsidR="00C9752B" w:rsidRPr="00D71008" w:rsidRDefault="00C9752B" w:rsidP="00A20642">
            <w:pPr>
              <w:jc w:val="center"/>
              <w:rPr>
                <w:noProof/>
                <w:sz w:val="18"/>
                <w:szCs w:val="18"/>
                <w:lang w:eastAsia="en-GB"/>
              </w:rPr>
            </w:pPr>
            <w:r w:rsidRPr="00D71008">
              <w:rPr>
                <w:noProof/>
                <w:sz w:val="18"/>
                <w:szCs w:val="18"/>
                <w:lang w:eastAsia="en-GB"/>
              </w:rPr>
              <w:t>France</w:t>
            </w:r>
          </w:p>
        </w:tc>
        <w:tc>
          <w:tcPr>
            <w:tcW w:w="821" w:type="pct"/>
          </w:tcPr>
          <w:p w14:paraId="28759562" w14:textId="77777777" w:rsidR="00C9752B" w:rsidRPr="00D71008" w:rsidRDefault="00C9752B" w:rsidP="00A20642">
            <w:pPr>
              <w:jc w:val="center"/>
              <w:rPr>
                <w:noProof/>
                <w:sz w:val="18"/>
                <w:szCs w:val="18"/>
                <w:lang w:eastAsia="en-GB"/>
              </w:rPr>
            </w:pPr>
            <w:r w:rsidRPr="00D71008">
              <w:rPr>
                <w:noProof/>
                <w:sz w:val="18"/>
                <w:szCs w:val="18"/>
                <w:lang w:eastAsia="en-GB"/>
              </w:rPr>
              <w:t>724 km</w:t>
            </w:r>
          </w:p>
        </w:tc>
      </w:tr>
      <w:tr w:rsidR="00C9752B" w:rsidRPr="00D71008" w14:paraId="4B6DDFAC" w14:textId="77777777" w:rsidTr="00090A1B">
        <w:trPr>
          <w:trHeight w:val="290"/>
        </w:trPr>
        <w:tc>
          <w:tcPr>
            <w:tcW w:w="817" w:type="pct"/>
          </w:tcPr>
          <w:p w14:paraId="46E1B894" w14:textId="77777777" w:rsidR="00C9752B" w:rsidRPr="00D71008" w:rsidRDefault="00C9752B" w:rsidP="00A20642">
            <w:pPr>
              <w:jc w:val="center"/>
              <w:rPr>
                <w:noProof/>
                <w:sz w:val="18"/>
                <w:szCs w:val="18"/>
                <w:lang w:eastAsia="en-GB"/>
              </w:rPr>
            </w:pPr>
            <w:r w:rsidRPr="00D71008">
              <w:rPr>
                <w:noProof/>
                <w:sz w:val="18"/>
                <w:szCs w:val="18"/>
                <w:lang w:eastAsia="en-GB"/>
              </w:rPr>
              <w:t>76</w:t>
            </w:r>
          </w:p>
        </w:tc>
        <w:tc>
          <w:tcPr>
            <w:tcW w:w="909" w:type="pct"/>
            <w:noWrap/>
            <w:hideMark/>
          </w:tcPr>
          <w:p w14:paraId="5C72E513" w14:textId="77777777" w:rsidR="00C9752B" w:rsidRPr="00D71008" w:rsidRDefault="00C9752B" w:rsidP="00A20642">
            <w:pPr>
              <w:jc w:val="center"/>
              <w:rPr>
                <w:noProof/>
                <w:sz w:val="18"/>
                <w:szCs w:val="18"/>
                <w:lang w:eastAsia="en-GB"/>
              </w:rPr>
            </w:pPr>
            <w:r w:rsidRPr="00D71008">
              <w:rPr>
                <w:noProof/>
                <w:sz w:val="18"/>
                <w:szCs w:val="18"/>
                <w:lang w:eastAsia="en-GB"/>
              </w:rPr>
              <w:t>Livorno</w:t>
            </w:r>
          </w:p>
        </w:tc>
        <w:tc>
          <w:tcPr>
            <w:tcW w:w="817" w:type="pct"/>
            <w:noWrap/>
            <w:hideMark/>
          </w:tcPr>
          <w:p w14:paraId="3ECAE58A" w14:textId="77777777" w:rsidR="00C9752B" w:rsidRPr="00D71008" w:rsidRDefault="00C9752B" w:rsidP="00A20642">
            <w:pPr>
              <w:jc w:val="center"/>
              <w:rPr>
                <w:noProof/>
                <w:sz w:val="18"/>
                <w:szCs w:val="18"/>
                <w:lang w:eastAsia="en-GB"/>
              </w:rPr>
            </w:pPr>
            <w:r w:rsidRPr="00D71008">
              <w:rPr>
                <w:noProof/>
                <w:sz w:val="18"/>
                <w:szCs w:val="18"/>
                <w:lang w:eastAsia="en-GB"/>
              </w:rPr>
              <w:t>Italy</w:t>
            </w:r>
          </w:p>
        </w:tc>
        <w:tc>
          <w:tcPr>
            <w:tcW w:w="818" w:type="pct"/>
            <w:noWrap/>
            <w:hideMark/>
          </w:tcPr>
          <w:p w14:paraId="08D4BE98" w14:textId="77777777" w:rsidR="00C9752B" w:rsidRPr="00D71008" w:rsidRDefault="00C9752B" w:rsidP="00A20642">
            <w:pPr>
              <w:jc w:val="center"/>
              <w:rPr>
                <w:noProof/>
                <w:sz w:val="18"/>
                <w:szCs w:val="18"/>
                <w:lang w:eastAsia="en-GB"/>
              </w:rPr>
            </w:pPr>
            <w:r w:rsidRPr="00D71008">
              <w:rPr>
                <w:noProof/>
                <w:sz w:val="18"/>
                <w:szCs w:val="18"/>
                <w:lang w:eastAsia="en-GB"/>
              </w:rPr>
              <w:t>Kempten (Allgäu)</w:t>
            </w:r>
          </w:p>
        </w:tc>
        <w:tc>
          <w:tcPr>
            <w:tcW w:w="818" w:type="pct"/>
            <w:noWrap/>
            <w:hideMark/>
          </w:tcPr>
          <w:p w14:paraId="64A0906D" w14:textId="5CAB2B3F"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21" w:type="pct"/>
          </w:tcPr>
          <w:p w14:paraId="7ED1A32D" w14:textId="77777777" w:rsidR="00C9752B" w:rsidRPr="00D71008" w:rsidRDefault="00C9752B" w:rsidP="00A20642">
            <w:pPr>
              <w:jc w:val="center"/>
              <w:rPr>
                <w:noProof/>
                <w:sz w:val="18"/>
                <w:szCs w:val="18"/>
                <w:lang w:eastAsia="en-GB"/>
              </w:rPr>
            </w:pPr>
            <w:r w:rsidRPr="00D71008">
              <w:rPr>
                <w:noProof/>
                <w:sz w:val="18"/>
                <w:szCs w:val="18"/>
                <w:lang w:eastAsia="en-GB"/>
              </w:rPr>
              <w:t>860 km</w:t>
            </w:r>
          </w:p>
        </w:tc>
      </w:tr>
      <w:tr w:rsidR="00C9752B" w:rsidRPr="00D71008" w14:paraId="316F5795" w14:textId="77777777" w:rsidTr="00090A1B">
        <w:trPr>
          <w:trHeight w:val="290"/>
        </w:trPr>
        <w:tc>
          <w:tcPr>
            <w:tcW w:w="817" w:type="pct"/>
          </w:tcPr>
          <w:p w14:paraId="512A99BB" w14:textId="77777777" w:rsidR="00C9752B" w:rsidRPr="00D71008" w:rsidRDefault="00C9752B" w:rsidP="00A20642">
            <w:pPr>
              <w:jc w:val="center"/>
              <w:rPr>
                <w:noProof/>
                <w:sz w:val="18"/>
                <w:szCs w:val="18"/>
                <w:lang w:eastAsia="en-GB"/>
              </w:rPr>
            </w:pPr>
            <w:r w:rsidRPr="00D71008">
              <w:rPr>
                <w:noProof/>
                <w:sz w:val="18"/>
                <w:szCs w:val="18"/>
                <w:lang w:eastAsia="en-GB"/>
              </w:rPr>
              <w:t>77</w:t>
            </w:r>
          </w:p>
        </w:tc>
        <w:tc>
          <w:tcPr>
            <w:tcW w:w="909" w:type="pct"/>
            <w:noWrap/>
            <w:hideMark/>
          </w:tcPr>
          <w:p w14:paraId="6A588960" w14:textId="77777777" w:rsidR="00C9752B" w:rsidRPr="00D71008" w:rsidRDefault="00C9752B" w:rsidP="00A20642">
            <w:pPr>
              <w:jc w:val="center"/>
              <w:rPr>
                <w:noProof/>
                <w:sz w:val="18"/>
                <w:szCs w:val="18"/>
                <w:lang w:eastAsia="en-GB"/>
              </w:rPr>
            </w:pPr>
            <w:r w:rsidRPr="00D71008">
              <w:rPr>
                <w:noProof/>
                <w:sz w:val="18"/>
                <w:szCs w:val="18"/>
                <w:lang w:eastAsia="en-GB"/>
              </w:rPr>
              <w:t>San Severo</w:t>
            </w:r>
          </w:p>
        </w:tc>
        <w:tc>
          <w:tcPr>
            <w:tcW w:w="817" w:type="pct"/>
            <w:noWrap/>
            <w:hideMark/>
          </w:tcPr>
          <w:p w14:paraId="619B1E09" w14:textId="77777777" w:rsidR="00C9752B" w:rsidRPr="00D71008" w:rsidRDefault="00C9752B" w:rsidP="00A20642">
            <w:pPr>
              <w:jc w:val="center"/>
              <w:rPr>
                <w:noProof/>
                <w:sz w:val="18"/>
                <w:szCs w:val="18"/>
                <w:lang w:eastAsia="en-GB"/>
              </w:rPr>
            </w:pPr>
            <w:r w:rsidRPr="00D71008">
              <w:rPr>
                <w:noProof/>
                <w:sz w:val="18"/>
                <w:szCs w:val="18"/>
                <w:lang w:eastAsia="en-GB"/>
              </w:rPr>
              <w:t>Italy</w:t>
            </w:r>
          </w:p>
        </w:tc>
        <w:tc>
          <w:tcPr>
            <w:tcW w:w="818" w:type="pct"/>
            <w:noWrap/>
            <w:hideMark/>
          </w:tcPr>
          <w:p w14:paraId="16DC2A45" w14:textId="77777777" w:rsidR="00C9752B" w:rsidRPr="00D71008" w:rsidRDefault="00C9752B" w:rsidP="00A20642">
            <w:pPr>
              <w:jc w:val="center"/>
              <w:rPr>
                <w:noProof/>
                <w:sz w:val="18"/>
                <w:szCs w:val="18"/>
                <w:lang w:eastAsia="en-GB"/>
              </w:rPr>
            </w:pPr>
            <w:r w:rsidRPr="00D71008">
              <w:rPr>
                <w:noProof/>
                <w:sz w:val="18"/>
                <w:szCs w:val="18"/>
                <w:lang w:eastAsia="en-GB"/>
              </w:rPr>
              <w:t>Lleida</w:t>
            </w:r>
          </w:p>
        </w:tc>
        <w:tc>
          <w:tcPr>
            <w:tcW w:w="818" w:type="pct"/>
            <w:noWrap/>
            <w:hideMark/>
          </w:tcPr>
          <w:p w14:paraId="174E5B3B" w14:textId="7852CB60" w:rsidR="00C9752B" w:rsidRPr="00D71008" w:rsidRDefault="00C9752B" w:rsidP="00A20642">
            <w:pPr>
              <w:jc w:val="center"/>
              <w:rPr>
                <w:noProof/>
                <w:sz w:val="18"/>
                <w:szCs w:val="18"/>
                <w:lang w:eastAsia="en-GB"/>
              </w:rPr>
            </w:pPr>
            <w:r w:rsidRPr="00D71008">
              <w:rPr>
                <w:noProof/>
                <w:sz w:val="18"/>
                <w:szCs w:val="18"/>
                <w:lang w:eastAsia="en-GB"/>
              </w:rPr>
              <w:t>Spain</w:t>
            </w:r>
          </w:p>
        </w:tc>
        <w:tc>
          <w:tcPr>
            <w:tcW w:w="821" w:type="pct"/>
          </w:tcPr>
          <w:p w14:paraId="340EA8D2" w14:textId="77777777" w:rsidR="00C9752B" w:rsidRPr="00D71008" w:rsidRDefault="00C9752B" w:rsidP="00A20642">
            <w:pPr>
              <w:jc w:val="center"/>
              <w:rPr>
                <w:noProof/>
                <w:sz w:val="18"/>
                <w:szCs w:val="18"/>
                <w:lang w:eastAsia="en-GB"/>
              </w:rPr>
            </w:pPr>
            <w:r w:rsidRPr="00D71008">
              <w:rPr>
                <w:noProof/>
                <w:sz w:val="18"/>
                <w:szCs w:val="18"/>
                <w:lang w:eastAsia="en-GB"/>
              </w:rPr>
              <w:t>1,794 km</w:t>
            </w:r>
          </w:p>
        </w:tc>
      </w:tr>
      <w:tr w:rsidR="00C9752B" w:rsidRPr="00D71008" w14:paraId="264DC9CE" w14:textId="77777777" w:rsidTr="00090A1B">
        <w:trPr>
          <w:trHeight w:val="290"/>
        </w:trPr>
        <w:tc>
          <w:tcPr>
            <w:tcW w:w="817" w:type="pct"/>
          </w:tcPr>
          <w:p w14:paraId="177FBA0F" w14:textId="77777777" w:rsidR="00C9752B" w:rsidRPr="00D71008" w:rsidRDefault="00C9752B" w:rsidP="00A20642">
            <w:pPr>
              <w:jc w:val="center"/>
              <w:rPr>
                <w:noProof/>
                <w:sz w:val="18"/>
                <w:szCs w:val="18"/>
                <w:lang w:eastAsia="en-GB"/>
              </w:rPr>
            </w:pPr>
            <w:r w:rsidRPr="00D71008">
              <w:rPr>
                <w:noProof/>
                <w:sz w:val="18"/>
                <w:szCs w:val="18"/>
                <w:lang w:eastAsia="en-GB"/>
              </w:rPr>
              <w:t>78</w:t>
            </w:r>
          </w:p>
        </w:tc>
        <w:tc>
          <w:tcPr>
            <w:tcW w:w="909" w:type="pct"/>
            <w:noWrap/>
            <w:hideMark/>
          </w:tcPr>
          <w:p w14:paraId="1A119D81" w14:textId="77777777" w:rsidR="00C9752B" w:rsidRPr="00D71008" w:rsidRDefault="00C9752B" w:rsidP="00A20642">
            <w:pPr>
              <w:jc w:val="center"/>
              <w:rPr>
                <w:noProof/>
                <w:sz w:val="18"/>
                <w:szCs w:val="18"/>
                <w:lang w:eastAsia="en-GB"/>
              </w:rPr>
            </w:pPr>
            <w:r w:rsidRPr="00D71008">
              <w:rPr>
                <w:noProof/>
                <w:sz w:val="18"/>
                <w:szCs w:val="18"/>
                <w:lang w:eastAsia="en-GB"/>
              </w:rPr>
              <w:t>Luxembourg</w:t>
            </w:r>
          </w:p>
        </w:tc>
        <w:tc>
          <w:tcPr>
            <w:tcW w:w="817" w:type="pct"/>
            <w:noWrap/>
            <w:hideMark/>
          </w:tcPr>
          <w:p w14:paraId="30D41F5A" w14:textId="77777777" w:rsidR="00C9752B" w:rsidRPr="00D71008" w:rsidRDefault="00C9752B" w:rsidP="00A20642">
            <w:pPr>
              <w:jc w:val="center"/>
              <w:rPr>
                <w:noProof/>
                <w:sz w:val="18"/>
                <w:szCs w:val="18"/>
                <w:lang w:eastAsia="en-GB"/>
              </w:rPr>
            </w:pPr>
            <w:r w:rsidRPr="00D71008">
              <w:rPr>
                <w:noProof/>
                <w:sz w:val="18"/>
                <w:szCs w:val="18"/>
                <w:lang w:eastAsia="en-GB"/>
              </w:rPr>
              <w:t>Luxembourg</w:t>
            </w:r>
          </w:p>
        </w:tc>
        <w:tc>
          <w:tcPr>
            <w:tcW w:w="818" w:type="pct"/>
            <w:noWrap/>
            <w:hideMark/>
          </w:tcPr>
          <w:p w14:paraId="54C39018" w14:textId="77777777" w:rsidR="00C9752B" w:rsidRPr="00D71008" w:rsidRDefault="00C9752B" w:rsidP="00A20642">
            <w:pPr>
              <w:jc w:val="center"/>
              <w:rPr>
                <w:noProof/>
                <w:sz w:val="18"/>
                <w:szCs w:val="18"/>
                <w:lang w:eastAsia="en-GB"/>
              </w:rPr>
            </w:pPr>
            <w:r w:rsidRPr="00D71008">
              <w:rPr>
                <w:noProof/>
                <w:sz w:val="18"/>
                <w:szCs w:val="18"/>
                <w:lang w:eastAsia="en-GB"/>
              </w:rPr>
              <w:t>Orléans</w:t>
            </w:r>
          </w:p>
        </w:tc>
        <w:tc>
          <w:tcPr>
            <w:tcW w:w="818" w:type="pct"/>
            <w:noWrap/>
            <w:hideMark/>
          </w:tcPr>
          <w:p w14:paraId="6D7BBEBC" w14:textId="12616D58" w:rsidR="00C9752B" w:rsidRPr="00D71008" w:rsidRDefault="00C9752B" w:rsidP="00A20642">
            <w:pPr>
              <w:jc w:val="center"/>
              <w:rPr>
                <w:noProof/>
                <w:sz w:val="18"/>
                <w:szCs w:val="18"/>
                <w:lang w:eastAsia="en-GB"/>
              </w:rPr>
            </w:pPr>
            <w:r w:rsidRPr="00D71008">
              <w:rPr>
                <w:noProof/>
                <w:sz w:val="18"/>
                <w:szCs w:val="18"/>
                <w:lang w:eastAsia="en-GB"/>
              </w:rPr>
              <w:t>France</w:t>
            </w:r>
          </w:p>
        </w:tc>
        <w:tc>
          <w:tcPr>
            <w:tcW w:w="821" w:type="pct"/>
          </w:tcPr>
          <w:p w14:paraId="3F512038" w14:textId="77777777" w:rsidR="00C9752B" w:rsidRPr="00D71008" w:rsidRDefault="00C9752B" w:rsidP="00A20642">
            <w:pPr>
              <w:jc w:val="center"/>
              <w:rPr>
                <w:noProof/>
                <w:sz w:val="18"/>
                <w:szCs w:val="18"/>
                <w:lang w:eastAsia="en-GB"/>
              </w:rPr>
            </w:pPr>
            <w:r w:rsidRPr="00D71008">
              <w:rPr>
                <w:noProof/>
                <w:sz w:val="18"/>
                <w:szCs w:val="18"/>
                <w:lang w:eastAsia="en-GB"/>
              </w:rPr>
              <w:t>531 km</w:t>
            </w:r>
          </w:p>
        </w:tc>
      </w:tr>
      <w:tr w:rsidR="00C9752B" w:rsidRPr="00D71008" w14:paraId="6B413083" w14:textId="77777777" w:rsidTr="23484F07">
        <w:trPr>
          <w:trHeight w:val="290"/>
        </w:trPr>
        <w:tc>
          <w:tcPr>
            <w:tcW w:w="5000" w:type="pct"/>
            <w:gridSpan w:val="6"/>
            <w:shd w:val="clear" w:color="auto" w:fill="F79646" w:themeFill="accent6"/>
          </w:tcPr>
          <w:p w14:paraId="1143A5ED" w14:textId="77777777" w:rsidR="00C9752B" w:rsidRPr="00D71008" w:rsidRDefault="00C9752B" w:rsidP="00A20642">
            <w:pPr>
              <w:jc w:val="center"/>
              <w:rPr>
                <w:noProof/>
                <w:sz w:val="18"/>
                <w:szCs w:val="18"/>
                <w:lang w:eastAsia="en-GB"/>
              </w:rPr>
            </w:pPr>
            <w:r w:rsidRPr="00D71008">
              <w:rPr>
                <w:noProof/>
                <w:sz w:val="18"/>
                <w:szCs w:val="18"/>
                <w:lang w:eastAsia="en-GB"/>
              </w:rPr>
              <w:t>Cluster H</w:t>
            </w:r>
          </w:p>
        </w:tc>
      </w:tr>
      <w:tr w:rsidR="00C9752B" w:rsidRPr="00D71008" w14:paraId="316418B8" w14:textId="77777777" w:rsidTr="00090A1B">
        <w:trPr>
          <w:trHeight w:val="290"/>
        </w:trPr>
        <w:tc>
          <w:tcPr>
            <w:tcW w:w="817" w:type="pct"/>
          </w:tcPr>
          <w:p w14:paraId="3EEF135E" w14:textId="77777777" w:rsidR="00C9752B" w:rsidRPr="00D71008" w:rsidRDefault="00C9752B" w:rsidP="00A20642">
            <w:pPr>
              <w:jc w:val="center"/>
              <w:rPr>
                <w:noProof/>
                <w:sz w:val="18"/>
                <w:szCs w:val="18"/>
                <w:lang w:eastAsia="en-GB"/>
              </w:rPr>
            </w:pPr>
            <w:r w:rsidRPr="00D71008">
              <w:rPr>
                <w:noProof/>
                <w:sz w:val="18"/>
                <w:szCs w:val="18"/>
                <w:lang w:eastAsia="en-GB"/>
              </w:rPr>
              <w:t>79</w:t>
            </w:r>
          </w:p>
        </w:tc>
        <w:tc>
          <w:tcPr>
            <w:tcW w:w="909" w:type="pct"/>
            <w:noWrap/>
            <w:hideMark/>
          </w:tcPr>
          <w:p w14:paraId="74C6C7B3" w14:textId="77777777" w:rsidR="00C9752B" w:rsidRPr="00D71008" w:rsidRDefault="00C9752B" w:rsidP="00A20642">
            <w:pPr>
              <w:jc w:val="center"/>
              <w:rPr>
                <w:noProof/>
                <w:sz w:val="18"/>
                <w:szCs w:val="18"/>
                <w:lang w:eastAsia="en-GB"/>
              </w:rPr>
            </w:pPr>
            <w:r w:rsidRPr="00D71008">
              <w:rPr>
                <w:noProof/>
                <w:sz w:val="18"/>
                <w:szCs w:val="18"/>
                <w:lang w:eastAsia="en-GB"/>
              </w:rPr>
              <w:t>Haskovo</w:t>
            </w:r>
          </w:p>
        </w:tc>
        <w:tc>
          <w:tcPr>
            <w:tcW w:w="817" w:type="pct"/>
            <w:noWrap/>
            <w:hideMark/>
          </w:tcPr>
          <w:p w14:paraId="08E813F8" w14:textId="77777777" w:rsidR="00C9752B" w:rsidRPr="00D71008" w:rsidRDefault="00C9752B" w:rsidP="00A20642">
            <w:pPr>
              <w:jc w:val="center"/>
              <w:rPr>
                <w:noProof/>
                <w:sz w:val="18"/>
                <w:szCs w:val="18"/>
                <w:lang w:eastAsia="en-GB"/>
              </w:rPr>
            </w:pPr>
            <w:r w:rsidRPr="00D71008">
              <w:rPr>
                <w:noProof/>
                <w:sz w:val="18"/>
                <w:szCs w:val="18"/>
                <w:lang w:eastAsia="en-GB"/>
              </w:rPr>
              <w:t>Bulgaria</w:t>
            </w:r>
          </w:p>
        </w:tc>
        <w:tc>
          <w:tcPr>
            <w:tcW w:w="818" w:type="pct"/>
            <w:noWrap/>
            <w:hideMark/>
          </w:tcPr>
          <w:p w14:paraId="4A52C0F9" w14:textId="77777777" w:rsidR="00C9752B" w:rsidRPr="00D71008" w:rsidRDefault="00C9752B" w:rsidP="00A20642">
            <w:pPr>
              <w:jc w:val="center"/>
              <w:rPr>
                <w:noProof/>
                <w:sz w:val="18"/>
                <w:szCs w:val="18"/>
                <w:lang w:eastAsia="en-GB"/>
              </w:rPr>
            </w:pPr>
            <w:r w:rsidRPr="00D71008">
              <w:rPr>
                <w:noProof/>
                <w:sz w:val="18"/>
                <w:szCs w:val="18"/>
                <w:lang w:eastAsia="en-GB"/>
              </w:rPr>
              <w:t>Sassari</w:t>
            </w:r>
          </w:p>
        </w:tc>
        <w:tc>
          <w:tcPr>
            <w:tcW w:w="818" w:type="pct"/>
            <w:noWrap/>
            <w:hideMark/>
          </w:tcPr>
          <w:p w14:paraId="63C1ECEB" w14:textId="7AC74C3A" w:rsidR="00C9752B" w:rsidRPr="00D71008" w:rsidRDefault="00C9752B" w:rsidP="00A20642">
            <w:pPr>
              <w:jc w:val="center"/>
              <w:rPr>
                <w:noProof/>
                <w:sz w:val="18"/>
                <w:szCs w:val="18"/>
                <w:lang w:eastAsia="en-GB"/>
              </w:rPr>
            </w:pPr>
            <w:r w:rsidRPr="00D71008">
              <w:rPr>
                <w:noProof/>
                <w:sz w:val="18"/>
                <w:szCs w:val="18"/>
                <w:lang w:eastAsia="en-GB"/>
              </w:rPr>
              <w:t>Italy</w:t>
            </w:r>
          </w:p>
        </w:tc>
        <w:tc>
          <w:tcPr>
            <w:tcW w:w="821" w:type="pct"/>
          </w:tcPr>
          <w:p w14:paraId="21AAD2C2" w14:textId="77777777" w:rsidR="00C9752B" w:rsidRPr="00D71008" w:rsidRDefault="00C9752B" w:rsidP="00A20642">
            <w:pPr>
              <w:jc w:val="center"/>
              <w:rPr>
                <w:noProof/>
                <w:sz w:val="18"/>
                <w:szCs w:val="18"/>
                <w:lang w:eastAsia="en-GB"/>
              </w:rPr>
            </w:pPr>
            <w:r w:rsidRPr="00D71008">
              <w:rPr>
                <w:noProof/>
                <w:sz w:val="18"/>
                <w:szCs w:val="18"/>
                <w:lang w:eastAsia="en-GB"/>
              </w:rPr>
              <w:t>2,603 km</w:t>
            </w:r>
          </w:p>
        </w:tc>
      </w:tr>
      <w:tr w:rsidR="00C9752B" w:rsidRPr="00D71008" w14:paraId="243BD094" w14:textId="77777777" w:rsidTr="00090A1B">
        <w:trPr>
          <w:trHeight w:val="290"/>
        </w:trPr>
        <w:tc>
          <w:tcPr>
            <w:tcW w:w="817" w:type="pct"/>
          </w:tcPr>
          <w:p w14:paraId="6815262E" w14:textId="77777777" w:rsidR="00C9752B" w:rsidRPr="00D71008" w:rsidRDefault="00C9752B" w:rsidP="00A20642">
            <w:pPr>
              <w:jc w:val="center"/>
              <w:rPr>
                <w:noProof/>
                <w:sz w:val="18"/>
                <w:szCs w:val="18"/>
                <w:lang w:eastAsia="en-GB"/>
              </w:rPr>
            </w:pPr>
            <w:r w:rsidRPr="00D71008">
              <w:rPr>
                <w:noProof/>
                <w:sz w:val="18"/>
                <w:szCs w:val="18"/>
                <w:lang w:eastAsia="en-GB"/>
              </w:rPr>
              <w:t>80</w:t>
            </w:r>
          </w:p>
        </w:tc>
        <w:tc>
          <w:tcPr>
            <w:tcW w:w="909" w:type="pct"/>
            <w:noWrap/>
            <w:hideMark/>
          </w:tcPr>
          <w:p w14:paraId="0E669CAA" w14:textId="77777777" w:rsidR="00C9752B" w:rsidRPr="00D71008" w:rsidRDefault="00C9752B" w:rsidP="00A20642">
            <w:pPr>
              <w:jc w:val="center"/>
              <w:rPr>
                <w:noProof/>
                <w:sz w:val="18"/>
                <w:szCs w:val="18"/>
                <w:lang w:eastAsia="en-GB"/>
              </w:rPr>
            </w:pPr>
            <w:r w:rsidRPr="00D71008">
              <w:rPr>
                <w:noProof/>
                <w:sz w:val="18"/>
                <w:szCs w:val="18"/>
                <w:lang w:eastAsia="en-GB"/>
              </w:rPr>
              <w:t>Mérignac / Bordeaux</w:t>
            </w:r>
          </w:p>
        </w:tc>
        <w:tc>
          <w:tcPr>
            <w:tcW w:w="817" w:type="pct"/>
            <w:noWrap/>
            <w:hideMark/>
          </w:tcPr>
          <w:p w14:paraId="1194D318" w14:textId="77777777" w:rsidR="00C9752B" w:rsidRPr="00D71008" w:rsidRDefault="00C9752B" w:rsidP="00A20642">
            <w:pPr>
              <w:jc w:val="center"/>
              <w:rPr>
                <w:noProof/>
                <w:sz w:val="18"/>
                <w:szCs w:val="18"/>
                <w:lang w:eastAsia="en-GB"/>
              </w:rPr>
            </w:pPr>
            <w:r w:rsidRPr="00D71008">
              <w:rPr>
                <w:noProof/>
                <w:sz w:val="18"/>
                <w:szCs w:val="18"/>
                <w:lang w:eastAsia="en-GB"/>
              </w:rPr>
              <w:t>France</w:t>
            </w:r>
          </w:p>
        </w:tc>
        <w:tc>
          <w:tcPr>
            <w:tcW w:w="818" w:type="pct"/>
            <w:noWrap/>
            <w:hideMark/>
          </w:tcPr>
          <w:p w14:paraId="1572EF14" w14:textId="77777777" w:rsidR="00C9752B" w:rsidRPr="00D71008" w:rsidRDefault="00C9752B" w:rsidP="00A20642">
            <w:pPr>
              <w:jc w:val="center"/>
              <w:rPr>
                <w:noProof/>
                <w:sz w:val="18"/>
                <w:szCs w:val="18"/>
                <w:lang w:eastAsia="en-GB"/>
              </w:rPr>
            </w:pPr>
            <w:r w:rsidRPr="00D71008">
              <w:rPr>
                <w:noProof/>
                <w:sz w:val="18"/>
                <w:szCs w:val="18"/>
                <w:lang w:eastAsia="en-GB"/>
              </w:rPr>
              <w:t>Matera</w:t>
            </w:r>
          </w:p>
        </w:tc>
        <w:tc>
          <w:tcPr>
            <w:tcW w:w="818" w:type="pct"/>
            <w:noWrap/>
            <w:hideMark/>
          </w:tcPr>
          <w:p w14:paraId="754A7DF2" w14:textId="698754B9" w:rsidR="00C9752B" w:rsidRPr="00D71008" w:rsidRDefault="00C9752B" w:rsidP="00A20642">
            <w:pPr>
              <w:jc w:val="center"/>
              <w:rPr>
                <w:noProof/>
                <w:sz w:val="18"/>
                <w:szCs w:val="18"/>
                <w:lang w:eastAsia="en-GB"/>
              </w:rPr>
            </w:pPr>
            <w:r w:rsidRPr="00D71008">
              <w:rPr>
                <w:noProof/>
                <w:sz w:val="18"/>
                <w:szCs w:val="18"/>
                <w:lang w:eastAsia="en-GB"/>
              </w:rPr>
              <w:t>Italy</w:t>
            </w:r>
          </w:p>
        </w:tc>
        <w:tc>
          <w:tcPr>
            <w:tcW w:w="821" w:type="pct"/>
          </w:tcPr>
          <w:p w14:paraId="45CEA925" w14:textId="77777777" w:rsidR="00C9752B" w:rsidRPr="00D71008" w:rsidRDefault="00C9752B" w:rsidP="00A20642">
            <w:pPr>
              <w:jc w:val="center"/>
              <w:rPr>
                <w:noProof/>
                <w:sz w:val="18"/>
                <w:szCs w:val="18"/>
                <w:lang w:eastAsia="en-GB"/>
              </w:rPr>
            </w:pPr>
            <w:r w:rsidRPr="00D71008">
              <w:rPr>
                <w:noProof/>
                <w:sz w:val="18"/>
                <w:szCs w:val="18"/>
                <w:lang w:eastAsia="en-GB"/>
              </w:rPr>
              <w:t>2,384 km</w:t>
            </w:r>
          </w:p>
        </w:tc>
      </w:tr>
      <w:tr w:rsidR="00C9752B" w:rsidRPr="00D71008" w14:paraId="01AF24BF" w14:textId="77777777" w:rsidTr="00090A1B">
        <w:trPr>
          <w:trHeight w:val="290"/>
        </w:trPr>
        <w:tc>
          <w:tcPr>
            <w:tcW w:w="817" w:type="pct"/>
          </w:tcPr>
          <w:p w14:paraId="25BD72F7" w14:textId="77777777" w:rsidR="00C9752B" w:rsidRPr="00D71008" w:rsidRDefault="00C9752B" w:rsidP="00A20642">
            <w:pPr>
              <w:jc w:val="center"/>
              <w:rPr>
                <w:noProof/>
                <w:sz w:val="18"/>
                <w:szCs w:val="18"/>
                <w:lang w:eastAsia="en-GB"/>
              </w:rPr>
            </w:pPr>
            <w:r w:rsidRPr="00D71008">
              <w:rPr>
                <w:noProof/>
                <w:sz w:val="18"/>
                <w:szCs w:val="18"/>
                <w:lang w:eastAsia="en-GB"/>
              </w:rPr>
              <w:t>81</w:t>
            </w:r>
          </w:p>
        </w:tc>
        <w:tc>
          <w:tcPr>
            <w:tcW w:w="909" w:type="pct"/>
            <w:noWrap/>
            <w:hideMark/>
          </w:tcPr>
          <w:p w14:paraId="6FF04638" w14:textId="77777777" w:rsidR="00C9752B" w:rsidRPr="00D71008" w:rsidRDefault="00C9752B" w:rsidP="00A20642">
            <w:pPr>
              <w:jc w:val="center"/>
              <w:rPr>
                <w:noProof/>
                <w:sz w:val="18"/>
                <w:szCs w:val="18"/>
                <w:lang w:eastAsia="en-GB"/>
              </w:rPr>
            </w:pPr>
            <w:r w:rsidRPr="00D71008">
              <w:rPr>
                <w:noProof/>
                <w:sz w:val="18"/>
                <w:szCs w:val="18"/>
                <w:lang w:eastAsia="en-GB"/>
              </w:rPr>
              <w:t>Budapest</w:t>
            </w:r>
          </w:p>
        </w:tc>
        <w:tc>
          <w:tcPr>
            <w:tcW w:w="817" w:type="pct"/>
            <w:noWrap/>
            <w:hideMark/>
          </w:tcPr>
          <w:p w14:paraId="6FC2C009" w14:textId="77777777" w:rsidR="00C9752B" w:rsidRPr="00D71008" w:rsidRDefault="00C9752B" w:rsidP="00A20642">
            <w:pPr>
              <w:jc w:val="center"/>
              <w:rPr>
                <w:noProof/>
                <w:sz w:val="18"/>
                <w:szCs w:val="18"/>
                <w:lang w:eastAsia="en-GB"/>
              </w:rPr>
            </w:pPr>
            <w:r w:rsidRPr="00D71008">
              <w:rPr>
                <w:noProof/>
                <w:sz w:val="18"/>
                <w:szCs w:val="18"/>
                <w:lang w:eastAsia="en-GB"/>
              </w:rPr>
              <w:t>Hungary</w:t>
            </w:r>
          </w:p>
        </w:tc>
        <w:tc>
          <w:tcPr>
            <w:tcW w:w="818" w:type="pct"/>
            <w:noWrap/>
            <w:hideMark/>
          </w:tcPr>
          <w:p w14:paraId="1D4E167A" w14:textId="77777777" w:rsidR="00C9752B" w:rsidRPr="00D71008" w:rsidRDefault="00C9752B" w:rsidP="00A20642">
            <w:pPr>
              <w:jc w:val="center"/>
              <w:rPr>
                <w:noProof/>
                <w:sz w:val="18"/>
                <w:szCs w:val="18"/>
                <w:lang w:eastAsia="en-GB"/>
              </w:rPr>
            </w:pPr>
            <w:r w:rsidRPr="00D71008">
              <w:rPr>
                <w:noProof/>
                <w:sz w:val="18"/>
                <w:szCs w:val="18"/>
                <w:lang w:eastAsia="en-GB"/>
              </w:rPr>
              <w:t>Padova</w:t>
            </w:r>
          </w:p>
        </w:tc>
        <w:tc>
          <w:tcPr>
            <w:tcW w:w="818" w:type="pct"/>
            <w:noWrap/>
            <w:hideMark/>
          </w:tcPr>
          <w:p w14:paraId="57C10DE0" w14:textId="6FA3905D" w:rsidR="00C9752B" w:rsidRPr="00D71008" w:rsidRDefault="00C9752B" w:rsidP="00A20642">
            <w:pPr>
              <w:jc w:val="center"/>
              <w:rPr>
                <w:noProof/>
                <w:sz w:val="18"/>
                <w:szCs w:val="18"/>
                <w:lang w:eastAsia="en-GB"/>
              </w:rPr>
            </w:pPr>
            <w:r w:rsidRPr="00D71008">
              <w:rPr>
                <w:noProof/>
                <w:sz w:val="18"/>
                <w:szCs w:val="18"/>
                <w:lang w:eastAsia="en-GB"/>
              </w:rPr>
              <w:t>Italy</w:t>
            </w:r>
          </w:p>
        </w:tc>
        <w:tc>
          <w:tcPr>
            <w:tcW w:w="821" w:type="pct"/>
          </w:tcPr>
          <w:p w14:paraId="243E3620" w14:textId="77777777" w:rsidR="00C9752B" w:rsidRPr="00D71008" w:rsidRDefault="00C9752B" w:rsidP="00A20642">
            <w:pPr>
              <w:jc w:val="center"/>
              <w:rPr>
                <w:noProof/>
                <w:sz w:val="18"/>
                <w:szCs w:val="18"/>
                <w:lang w:eastAsia="en-GB"/>
              </w:rPr>
            </w:pPr>
            <w:r w:rsidRPr="00D71008">
              <w:rPr>
                <w:noProof/>
                <w:sz w:val="18"/>
                <w:szCs w:val="18"/>
                <w:lang w:eastAsia="en-GB"/>
              </w:rPr>
              <w:t>1,104 km</w:t>
            </w:r>
          </w:p>
        </w:tc>
      </w:tr>
      <w:tr w:rsidR="00C9752B" w:rsidRPr="00D71008" w14:paraId="1969C321" w14:textId="77777777" w:rsidTr="00090A1B">
        <w:trPr>
          <w:trHeight w:val="290"/>
        </w:trPr>
        <w:tc>
          <w:tcPr>
            <w:tcW w:w="817" w:type="pct"/>
          </w:tcPr>
          <w:p w14:paraId="372172ED" w14:textId="77777777" w:rsidR="00C9752B" w:rsidRPr="00D71008" w:rsidRDefault="00C9752B" w:rsidP="00A20642">
            <w:pPr>
              <w:jc w:val="center"/>
              <w:rPr>
                <w:noProof/>
                <w:sz w:val="18"/>
                <w:szCs w:val="18"/>
                <w:lang w:eastAsia="en-GB"/>
              </w:rPr>
            </w:pPr>
            <w:r w:rsidRPr="00D71008">
              <w:rPr>
                <w:noProof/>
                <w:sz w:val="18"/>
                <w:szCs w:val="18"/>
                <w:lang w:eastAsia="en-GB"/>
              </w:rPr>
              <w:t>82</w:t>
            </w:r>
          </w:p>
        </w:tc>
        <w:tc>
          <w:tcPr>
            <w:tcW w:w="909" w:type="pct"/>
            <w:noWrap/>
            <w:hideMark/>
          </w:tcPr>
          <w:p w14:paraId="1942C924" w14:textId="77777777" w:rsidR="00C9752B" w:rsidRPr="00D71008" w:rsidRDefault="00C9752B" w:rsidP="00A20642">
            <w:pPr>
              <w:jc w:val="center"/>
              <w:rPr>
                <w:noProof/>
                <w:sz w:val="18"/>
                <w:szCs w:val="18"/>
                <w:lang w:eastAsia="en-GB"/>
              </w:rPr>
            </w:pPr>
            <w:r w:rsidRPr="00D71008">
              <w:rPr>
                <w:noProof/>
                <w:sz w:val="18"/>
                <w:szCs w:val="18"/>
                <w:lang w:eastAsia="en-GB"/>
              </w:rPr>
              <w:t>Stalowa Wola</w:t>
            </w:r>
          </w:p>
        </w:tc>
        <w:tc>
          <w:tcPr>
            <w:tcW w:w="817" w:type="pct"/>
            <w:noWrap/>
            <w:hideMark/>
          </w:tcPr>
          <w:p w14:paraId="322B28CB" w14:textId="77777777" w:rsidR="00C9752B" w:rsidRPr="00D71008" w:rsidRDefault="00C9752B" w:rsidP="00A20642">
            <w:pPr>
              <w:jc w:val="center"/>
              <w:rPr>
                <w:noProof/>
                <w:sz w:val="18"/>
                <w:szCs w:val="18"/>
                <w:lang w:eastAsia="en-GB"/>
              </w:rPr>
            </w:pPr>
            <w:r w:rsidRPr="00D71008">
              <w:rPr>
                <w:noProof/>
                <w:sz w:val="18"/>
                <w:szCs w:val="18"/>
                <w:lang w:eastAsia="en-GB"/>
              </w:rPr>
              <w:t>Poland</w:t>
            </w:r>
          </w:p>
        </w:tc>
        <w:tc>
          <w:tcPr>
            <w:tcW w:w="818" w:type="pct"/>
            <w:noWrap/>
            <w:hideMark/>
          </w:tcPr>
          <w:p w14:paraId="3CC8CEDC" w14:textId="77777777" w:rsidR="00C9752B" w:rsidRPr="00D71008" w:rsidRDefault="00C9752B" w:rsidP="00A20642">
            <w:pPr>
              <w:jc w:val="center"/>
              <w:rPr>
                <w:noProof/>
                <w:sz w:val="18"/>
                <w:szCs w:val="18"/>
                <w:lang w:eastAsia="en-GB"/>
              </w:rPr>
            </w:pPr>
            <w:r w:rsidRPr="00D71008">
              <w:rPr>
                <w:noProof/>
                <w:sz w:val="18"/>
                <w:szCs w:val="18"/>
                <w:lang w:eastAsia="en-GB"/>
              </w:rPr>
              <w:t>Varna</w:t>
            </w:r>
          </w:p>
        </w:tc>
        <w:tc>
          <w:tcPr>
            <w:tcW w:w="818" w:type="pct"/>
            <w:noWrap/>
            <w:hideMark/>
          </w:tcPr>
          <w:p w14:paraId="7EB4A2F6" w14:textId="4AFE0C6B" w:rsidR="00C9752B" w:rsidRPr="00D71008" w:rsidRDefault="00C9752B" w:rsidP="00A20642">
            <w:pPr>
              <w:jc w:val="center"/>
              <w:rPr>
                <w:noProof/>
                <w:sz w:val="18"/>
                <w:szCs w:val="18"/>
                <w:lang w:eastAsia="en-GB"/>
              </w:rPr>
            </w:pPr>
            <w:r w:rsidRPr="00D71008">
              <w:rPr>
                <w:noProof/>
                <w:sz w:val="18"/>
                <w:szCs w:val="18"/>
                <w:lang w:eastAsia="en-GB"/>
              </w:rPr>
              <w:t>Bulgaria</w:t>
            </w:r>
          </w:p>
        </w:tc>
        <w:tc>
          <w:tcPr>
            <w:tcW w:w="821" w:type="pct"/>
          </w:tcPr>
          <w:p w14:paraId="72DCBDC9" w14:textId="77777777" w:rsidR="00C9752B" w:rsidRPr="00D71008" w:rsidRDefault="00C9752B" w:rsidP="00A20642">
            <w:pPr>
              <w:jc w:val="center"/>
              <w:rPr>
                <w:noProof/>
                <w:sz w:val="18"/>
                <w:szCs w:val="18"/>
                <w:lang w:eastAsia="en-GB"/>
              </w:rPr>
            </w:pPr>
            <w:r w:rsidRPr="00D71008">
              <w:rPr>
                <w:noProof/>
                <w:sz w:val="18"/>
                <w:szCs w:val="18"/>
                <w:lang w:eastAsia="en-GB"/>
              </w:rPr>
              <w:t>2,046 km</w:t>
            </w:r>
          </w:p>
        </w:tc>
      </w:tr>
      <w:tr w:rsidR="00C9752B" w:rsidRPr="00D71008" w14:paraId="5CD2029D" w14:textId="77777777" w:rsidTr="00090A1B">
        <w:trPr>
          <w:trHeight w:val="290"/>
        </w:trPr>
        <w:tc>
          <w:tcPr>
            <w:tcW w:w="817" w:type="pct"/>
          </w:tcPr>
          <w:p w14:paraId="096F8D40" w14:textId="77777777" w:rsidR="00C9752B" w:rsidRPr="00D71008" w:rsidRDefault="00C9752B" w:rsidP="00A20642">
            <w:pPr>
              <w:jc w:val="center"/>
              <w:rPr>
                <w:noProof/>
                <w:sz w:val="18"/>
                <w:szCs w:val="18"/>
                <w:lang w:eastAsia="en-GB"/>
              </w:rPr>
            </w:pPr>
            <w:r w:rsidRPr="00D71008">
              <w:rPr>
                <w:noProof/>
                <w:sz w:val="18"/>
                <w:szCs w:val="18"/>
                <w:lang w:eastAsia="en-GB"/>
              </w:rPr>
              <w:t>83</w:t>
            </w:r>
          </w:p>
        </w:tc>
        <w:tc>
          <w:tcPr>
            <w:tcW w:w="909" w:type="pct"/>
            <w:noWrap/>
            <w:hideMark/>
          </w:tcPr>
          <w:p w14:paraId="178A95F0" w14:textId="77777777" w:rsidR="00C9752B" w:rsidRPr="00D71008" w:rsidRDefault="00C9752B" w:rsidP="00A20642">
            <w:pPr>
              <w:jc w:val="center"/>
              <w:rPr>
                <w:noProof/>
                <w:sz w:val="18"/>
                <w:szCs w:val="18"/>
                <w:lang w:eastAsia="en-GB"/>
              </w:rPr>
            </w:pPr>
            <w:r w:rsidRPr="00D71008">
              <w:rPr>
                <w:noProof/>
                <w:sz w:val="18"/>
                <w:szCs w:val="18"/>
                <w:lang w:eastAsia="en-GB"/>
              </w:rPr>
              <w:t>Narva</w:t>
            </w:r>
          </w:p>
        </w:tc>
        <w:tc>
          <w:tcPr>
            <w:tcW w:w="817" w:type="pct"/>
            <w:noWrap/>
            <w:hideMark/>
          </w:tcPr>
          <w:p w14:paraId="3AA6C8D1" w14:textId="77777777" w:rsidR="00C9752B" w:rsidRPr="00D71008" w:rsidRDefault="00C9752B" w:rsidP="00A20642">
            <w:pPr>
              <w:jc w:val="center"/>
              <w:rPr>
                <w:noProof/>
                <w:sz w:val="18"/>
                <w:szCs w:val="18"/>
                <w:lang w:eastAsia="en-GB"/>
              </w:rPr>
            </w:pPr>
            <w:r w:rsidRPr="00D71008">
              <w:rPr>
                <w:noProof/>
                <w:sz w:val="18"/>
                <w:szCs w:val="18"/>
                <w:lang w:eastAsia="en-GB"/>
              </w:rPr>
              <w:t>Estonia</w:t>
            </w:r>
          </w:p>
        </w:tc>
        <w:tc>
          <w:tcPr>
            <w:tcW w:w="818" w:type="pct"/>
            <w:noWrap/>
            <w:hideMark/>
          </w:tcPr>
          <w:p w14:paraId="2B72CF58" w14:textId="77777777" w:rsidR="00C9752B" w:rsidRPr="00D71008" w:rsidRDefault="00C9752B" w:rsidP="00A20642">
            <w:pPr>
              <w:jc w:val="center"/>
              <w:rPr>
                <w:noProof/>
                <w:sz w:val="18"/>
                <w:szCs w:val="18"/>
                <w:lang w:eastAsia="en-GB"/>
              </w:rPr>
            </w:pPr>
            <w:r w:rsidRPr="00D71008">
              <w:rPr>
                <w:noProof/>
                <w:sz w:val="18"/>
                <w:szCs w:val="18"/>
                <w:lang w:eastAsia="en-GB"/>
              </w:rPr>
              <w:t>Como</w:t>
            </w:r>
          </w:p>
        </w:tc>
        <w:tc>
          <w:tcPr>
            <w:tcW w:w="818" w:type="pct"/>
            <w:noWrap/>
            <w:hideMark/>
          </w:tcPr>
          <w:p w14:paraId="6E893F81" w14:textId="254E7DB8" w:rsidR="00C9752B" w:rsidRPr="00D71008" w:rsidRDefault="00C9752B" w:rsidP="00A20642">
            <w:pPr>
              <w:jc w:val="center"/>
              <w:rPr>
                <w:noProof/>
                <w:sz w:val="18"/>
                <w:szCs w:val="18"/>
                <w:lang w:eastAsia="en-GB"/>
              </w:rPr>
            </w:pPr>
            <w:r w:rsidRPr="00D71008">
              <w:rPr>
                <w:noProof/>
                <w:sz w:val="18"/>
                <w:szCs w:val="18"/>
                <w:lang w:eastAsia="en-GB"/>
              </w:rPr>
              <w:t>Italy</w:t>
            </w:r>
          </w:p>
        </w:tc>
        <w:tc>
          <w:tcPr>
            <w:tcW w:w="821" w:type="pct"/>
          </w:tcPr>
          <w:p w14:paraId="22561E38" w14:textId="77777777" w:rsidR="00C9752B" w:rsidRPr="00D71008" w:rsidRDefault="00C9752B" w:rsidP="00A20642">
            <w:pPr>
              <w:jc w:val="center"/>
              <w:rPr>
                <w:noProof/>
                <w:sz w:val="18"/>
                <w:szCs w:val="18"/>
                <w:lang w:eastAsia="en-GB"/>
              </w:rPr>
            </w:pPr>
            <w:r w:rsidRPr="00D71008">
              <w:rPr>
                <w:noProof/>
                <w:sz w:val="18"/>
                <w:szCs w:val="18"/>
                <w:lang w:eastAsia="en-GB"/>
              </w:rPr>
              <w:t>2,888 km</w:t>
            </w:r>
          </w:p>
        </w:tc>
      </w:tr>
      <w:tr w:rsidR="00C9752B" w:rsidRPr="00D71008" w14:paraId="1A09E015" w14:textId="77777777" w:rsidTr="00090A1B">
        <w:trPr>
          <w:trHeight w:val="290"/>
        </w:trPr>
        <w:tc>
          <w:tcPr>
            <w:tcW w:w="817" w:type="pct"/>
          </w:tcPr>
          <w:p w14:paraId="7FBB2AAE" w14:textId="77777777" w:rsidR="00C9752B" w:rsidRPr="00D71008" w:rsidRDefault="00C9752B" w:rsidP="00A20642">
            <w:pPr>
              <w:jc w:val="center"/>
              <w:rPr>
                <w:noProof/>
                <w:sz w:val="18"/>
                <w:szCs w:val="18"/>
                <w:lang w:eastAsia="en-GB"/>
              </w:rPr>
            </w:pPr>
            <w:r w:rsidRPr="00D71008">
              <w:rPr>
                <w:noProof/>
                <w:sz w:val="18"/>
                <w:szCs w:val="18"/>
                <w:lang w:eastAsia="en-GB"/>
              </w:rPr>
              <w:t>84</w:t>
            </w:r>
          </w:p>
        </w:tc>
        <w:tc>
          <w:tcPr>
            <w:tcW w:w="909" w:type="pct"/>
            <w:noWrap/>
            <w:hideMark/>
          </w:tcPr>
          <w:p w14:paraId="4A6159C2" w14:textId="77777777" w:rsidR="00C9752B" w:rsidRPr="00D71008" w:rsidRDefault="00C9752B" w:rsidP="00A20642">
            <w:pPr>
              <w:jc w:val="center"/>
              <w:rPr>
                <w:noProof/>
                <w:sz w:val="18"/>
                <w:szCs w:val="18"/>
                <w:lang w:eastAsia="en-GB"/>
              </w:rPr>
            </w:pPr>
            <w:r w:rsidRPr="00D71008">
              <w:rPr>
                <w:noProof/>
                <w:sz w:val="18"/>
                <w:szCs w:val="18"/>
                <w:lang w:eastAsia="en-GB"/>
              </w:rPr>
              <w:t>Olbia</w:t>
            </w:r>
          </w:p>
        </w:tc>
        <w:tc>
          <w:tcPr>
            <w:tcW w:w="817" w:type="pct"/>
            <w:noWrap/>
            <w:hideMark/>
          </w:tcPr>
          <w:p w14:paraId="13BD4DC2" w14:textId="77777777" w:rsidR="00C9752B" w:rsidRPr="00D71008" w:rsidRDefault="00C9752B" w:rsidP="00A20642">
            <w:pPr>
              <w:jc w:val="center"/>
              <w:rPr>
                <w:noProof/>
                <w:sz w:val="18"/>
                <w:szCs w:val="18"/>
                <w:lang w:eastAsia="en-GB"/>
              </w:rPr>
            </w:pPr>
            <w:r w:rsidRPr="00D71008">
              <w:rPr>
                <w:noProof/>
                <w:sz w:val="18"/>
                <w:szCs w:val="18"/>
                <w:lang w:eastAsia="en-GB"/>
              </w:rPr>
              <w:t>Italy</w:t>
            </w:r>
          </w:p>
        </w:tc>
        <w:tc>
          <w:tcPr>
            <w:tcW w:w="818" w:type="pct"/>
            <w:noWrap/>
            <w:hideMark/>
          </w:tcPr>
          <w:p w14:paraId="605CBCA1" w14:textId="77777777" w:rsidR="00C9752B" w:rsidRPr="00D71008" w:rsidRDefault="00C9752B" w:rsidP="00A20642">
            <w:pPr>
              <w:jc w:val="center"/>
              <w:rPr>
                <w:noProof/>
                <w:sz w:val="18"/>
                <w:szCs w:val="18"/>
                <w:lang w:eastAsia="en-GB"/>
              </w:rPr>
            </w:pPr>
            <w:r w:rsidRPr="00D71008">
              <w:rPr>
                <w:noProof/>
                <w:sz w:val="18"/>
                <w:szCs w:val="18"/>
                <w:lang w:eastAsia="en-GB"/>
              </w:rPr>
              <w:t>Volos</w:t>
            </w:r>
          </w:p>
        </w:tc>
        <w:tc>
          <w:tcPr>
            <w:tcW w:w="818" w:type="pct"/>
            <w:noWrap/>
            <w:hideMark/>
          </w:tcPr>
          <w:p w14:paraId="60BD4C52" w14:textId="75075770" w:rsidR="00C9752B" w:rsidRPr="00D71008" w:rsidRDefault="00C9752B" w:rsidP="00A20642">
            <w:pPr>
              <w:jc w:val="center"/>
              <w:rPr>
                <w:noProof/>
                <w:sz w:val="18"/>
                <w:szCs w:val="18"/>
                <w:lang w:eastAsia="en-GB"/>
              </w:rPr>
            </w:pPr>
            <w:r w:rsidRPr="00D71008">
              <w:rPr>
                <w:noProof/>
                <w:sz w:val="18"/>
                <w:szCs w:val="18"/>
                <w:lang w:eastAsia="en-GB"/>
              </w:rPr>
              <w:t>Greece</w:t>
            </w:r>
          </w:p>
        </w:tc>
        <w:tc>
          <w:tcPr>
            <w:tcW w:w="821" w:type="pct"/>
          </w:tcPr>
          <w:p w14:paraId="5925CBD7" w14:textId="77777777" w:rsidR="00C9752B" w:rsidRPr="00D71008" w:rsidRDefault="00C9752B" w:rsidP="00A20642">
            <w:pPr>
              <w:jc w:val="center"/>
              <w:rPr>
                <w:noProof/>
                <w:sz w:val="18"/>
                <w:szCs w:val="18"/>
                <w:lang w:eastAsia="en-GB"/>
              </w:rPr>
            </w:pPr>
            <w:r w:rsidRPr="00D71008">
              <w:rPr>
                <w:noProof/>
                <w:sz w:val="18"/>
                <w:szCs w:val="18"/>
                <w:lang w:eastAsia="en-GB"/>
              </w:rPr>
              <w:t>2,410 km</w:t>
            </w:r>
          </w:p>
        </w:tc>
      </w:tr>
      <w:tr w:rsidR="00C9752B" w:rsidRPr="00D71008" w14:paraId="799771B9" w14:textId="77777777" w:rsidTr="00090A1B">
        <w:trPr>
          <w:trHeight w:val="290"/>
        </w:trPr>
        <w:tc>
          <w:tcPr>
            <w:tcW w:w="817" w:type="pct"/>
          </w:tcPr>
          <w:p w14:paraId="07E64B77" w14:textId="77777777" w:rsidR="00C9752B" w:rsidRPr="00D71008" w:rsidRDefault="00C9752B" w:rsidP="00A20642">
            <w:pPr>
              <w:jc w:val="center"/>
              <w:rPr>
                <w:noProof/>
                <w:sz w:val="18"/>
                <w:szCs w:val="18"/>
                <w:lang w:eastAsia="en-GB"/>
              </w:rPr>
            </w:pPr>
            <w:r w:rsidRPr="00D71008">
              <w:rPr>
                <w:noProof/>
                <w:sz w:val="18"/>
                <w:szCs w:val="18"/>
                <w:lang w:eastAsia="en-GB"/>
              </w:rPr>
              <w:t>85</w:t>
            </w:r>
          </w:p>
        </w:tc>
        <w:tc>
          <w:tcPr>
            <w:tcW w:w="909" w:type="pct"/>
            <w:noWrap/>
            <w:hideMark/>
          </w:tcPr>
          <w:p w14:paraId="28E9D2CC" w14:textId="77777777" w:rsidR="00C9752B" w:rsidRPr="00D71008" w:rsidRDefault="00C9752B" w:rsidP="00A20642">
            <w:pPr>
              <w:jc w:val="center"/>
              <w:rPr>
                <w:noProof/>
                <w:sz w:val="18"/>
                <w:szCs w:val="18"/>
                <w:lang w:eastAsia="en-GB"/>
              </w:rPr>
            </w:pPr>
            <w:r w:rsidRPr="00D71008">
              <w:rPr>
                <w:noProof/>
                <w:sz w:val="18"/>
                <w:szCs w:val="18"/>
                <w:lang w:eastAsia="en-GB"/>
              </w:rPr>
              <w:t>Slobozia</w:t>
            </w:r>
          </w:p>
        </w:tc>
        <w:tc>
          <w:tcPr>
            <w:tcW w:w="817" w:type="pct"/>
            <w:noWrap/>
            <w:hideMark/>
          </w:tcPr>
          <w:p w14:paraId="2D48A949" w14:textId="77777777" w:rsidR="00C9752B" w:rsidRPr="00D71008" w:rsidRDefault="00C9752B" w:rsidP="00A20642">
            <w:pPr>
              <w:jc w:val="center"/>
              <w:rPr>
                <w:noProof/>
                <w:sz w:val="18"/>
                <w:szCs w:val="18"/>
                <w:lang w:eastAsia="en-GB"/>
              </w:rPr>
            </w:pPr>
            <w:r w:rsidRPr="00D71008">
              <w:rPr>
                <w:noProof/>
                <w:sz w:val="18"/>
                <w:szCs w:val="18"/>
                <w:lang w:eastAsia="en-GB"/>
              </w:rPr>
              <w:t>Romania</w:t>
            </w:r>
          </w:p>
        </w:tc>
        <w:tc>
          <w:tcPr>
            <w:tcW w:w="818" w:type="pct"/>
            <w:noWrap/>
            <w:hideMark/>
          </w:tcPr>
          <w:p w14:paraId="579332CE" w14:textId="77777777" w:rsidR="00C9752B" w:rsidRPr="00D71008" w:rsidRDefault="00C9752B" w:rsidP="00A20642">
            <w:pPr>
              <w:jc w:val="center"/>
              <w:rPr>
                <w:noProof/>
                <w:sz w:val="18"/>
                <w:szCs w:val="18"/>
                <w:lang w:eastAsia="en-GB"/>
              </w:rPr>
            </w:pPr>
            <w:r w:rsidRPr="00D71008">
              <w:rPr>
                <w:noProof/>
                <w:sz w:val="18"/>
                <w:szCs w:val="18"/>
                <w:lang w:eastAsia="en-GB"/>
              </w:rPr>
              <w:t>České Budějovice</w:t>
            </w:r>
          </w:p>
        </w:tc>
        <w:tc>
          <w:tcPr>
            <w:tcW w:w="818" w:type="pct"/>
            <w:noWrap/>
            <w:hideMark/>
          </w:tcPr>
          <w:p w14:paraId="4510E825" w14:textId="16EB7C5F" w:rsidR="00C9752B" w:rsidRPr="00D71008" w:rsidRDefault="00C9752B" w:rsidP="00A20642">
            <w:pPr>
              <w:jc w:val="center"/>
              <w:rPr>
                <w:noProof/>
                <w:sz w:val="18"/>
                <w:szCs w:val="18"/>
                <w:lang w:eastAsia="en-GB"/>
              </w:rPr>
            </w:pPr>
            <w:r w:rsidRPr="00D71008">
              <w:rPr>
                <w:noProof/>
                <w:sz w:val="18"/>
                <w:szCs w:val="18"/>
                <w:lang w:eastAsia="en-GB"/>
              </w:rPr>
              <w:t>Czech Republic</w:t>
            </w:r>
          </w:p>
        </w:tc>
        <w:tc>
          <w:tcPr>
            <w:tcW w:w="821" w:type="pct"/>
          </w:tcPr>
          <w:p w14:paraId="34A6AF14" w14:textId="77777777" w:rsidR="00C9752B" w:rsidRPr="00D71008" w:rsidRDefault="00C9752B" w:rsidP="00A20642">
            <w:pPr>
              <w:jc w:val="center"/>
              <w:rPr>
                <w:noProof/>
                <w:sz w:val="18"/>
                <w:szCs w:val="18"/>
                <w:lang w:eastAsia="en-GB"/>
              </w:rPr>
            </w:pPr>
            <w:r w:rsidRPr="00D71008">
              <w:rPr>
                <w:noProof/>
                <w:sz w:val="18"/>
                <w:szCs w:val="18"/>
                <w:lang w:eastAsia="en-GB"/>
              </w:rPr>
              <w:t>1,724 km</w:t>
            </w:r>
          </w:p>
        </w:tc>
      </w:tr>
      <w:tr w:rsidR="00C9752B" w:rsidRPr="00D71008" w14:paraId="164E62F3" w14:textId="77777777" w:rsidTr="23484F07">
        <w:trPr>
          <w:trHeight w:val="290"/>
        </w:trPr>
        <w:tc>
          <w:tcPr>
            <w:tcW w:w="5000" w:type="pct"/>
            <w:gridSpan w:val="6"/>
            <w:shd w:val="clear" w:color="auto" w:fill="F79646" w:themeFill="accent6"/>
          </w:tcPr>
          <w:p w14:paraId="41F2AFC8" w14:textId="77777777" w:rsidR="00C9752B" w:rsidRPr="00D71008" w:rsidRDefault="00C9752B" w:rsidP="00A20642">
            <w:pPr>
              <w:jc w:val="center"/>
              <w:rPr>
                <w:noProof/>
                <w:sz w:val="18"/>
                <w:szCs w:val="18"/>
                <w:lang w:eastAsia="en-GB"/>
              </w:rPr>
            </w:pPr>
            <w:r w:rsidRPr="00D71008">
              <w:rPr>
                <w:noProof/>
                <w:sz w:val="18"/>
                <w:szCs w:val="18"/>
                <w:lang w:eastAsia="en-GB"/>
              </w:rPr>
              <w:t>Cluster I</w:t>
            </w:r>
          </w:p>
        </w:tc>
      </w:tr>
      <w:tr w:rsidR="00C9752B" w:rsidRPr="00D71008" w14:paraId="7E1BBA6F" w14:textId="77777777" w:rsidTr="00090A1B">
        <w:trPr>
          <w:trHeight w:val="290"/>
        </w:trPr>
        <w:tc>
          <w:tcPr>
            <w:tcW w:w="817" w:type="pct"/>
          </w:tcPr>
          <w:p w14:paraId="5836CF34" w14:textId="77777777" w:rsidR="00C9752B" w:rsidRPr="00D71008" w:rsidRDefault="00C9752B" w:rsidP="00A20642">
            <w:pPr>
              <w:jc w:val="center"/>
              <w:rPr>
                <w:noProof/>
                <w:sz w:val="18"/>
                <w:szCs w:val="18"/>
                <w:lang w:eastAsia="en-GB"/>
              </w:rPr>
            </w:pPr>
            <w:r w:rsidRPr="00D71008">
              <w:rPr>
                <w:noProof/>
                <w:sz w:val="18"/>
                <w:szCs w:val="18"/>
                <w:lang w:eastAsia="en-GB"/>
              </w:rPr>
              <w:t>86</w:t>
            </w:r>
          </w:p>
        </w:tc>
        <w:tc>
          <w:tcPr>
            <w:tcW w:w="909" w:type="pct"/>
            <w:noWrap/>
            <w:hideMark/>
          </w:tcPr>
          <w:p w14:paraId="49B7F04E" w14:textId="77777777" w:rsidR="00C9752B" w:rsidRPr="00D71008" w:rsidRDefault="00C9752B" w:rsidP="00A20642">
            <w:pPr>
              <w:jc w:val="center"/>
              <w:rPr>
                <w:noProof/>
                <w:sz w:val="18"/>
                <w:szCs w:val="18"/>
                <w:lang w:eastAsia="en-GB"/>
              </w:rPr>
            </w:pPr>
            <w:r w:rsidRPr="00D71008">
              <w:rPr>
                <w:noProof/>
                <w:sz w:val="18"/>
                <w:szCs w:val="18"/>
                <w:lang w:eastAsia="en-GB"/>
              </w:rPr>
              <w:t>Gummersbach</w:t>
            </w:r>
          </w:p>
        </w:tc>
        <w:tc>
          <w:tcPr>
            <w:tcW w:w="817" w:type="pct"/>
            <w:noWrap/>
            <w:hideMark/>
          </w:tcPr>
          <w:p w14:paraId="308AC830" w14:textId="77777777"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18" w:type="pct"/>
            <w:noWrap/>
            <w:hideMark/>
          </w:tcPr>
          <w:p w14:paraId="572EA9D6" w14:textId="77777777" w:rsidR="00C9752B" w:rsidRPr="00D71008" w:rsidRDefault="00C9752B" w:rsidP="00A20642">
            <w:pPr>
              <w:jc w:val="center"/>
              <w:rPr>
                <w:noProof/>
                <w:sz w:val="18"/>
                <w:szCs w:val="18"/>
                <w:lang w:eastAsia="en-GB"/>
              </w:rPr>
            </w:pPr>
            <w:r w:rsidRPr="00D71008">
              <w:rPr>
                <w:noProof/>
                <w:sz w:val="18"/>
                <w:szCs w:val="18"/>
                <w:lang w:eastAsia="en-GB"/>
              </w:rPr>
              <w:t>Fulda</w:t>
            </w:r>
          </w:p>
        </w:tc>
        <w:tc>
          <w:tcPr>
            <w:tcW w:w="818" w:type="pct"/>
            <w:noWrap/>
            <w:hideMark/>
          </w:tcPr>
          <w:p w14:paraId="34364CC3" w14:textId="53A06B28"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21" w:type="pct"/>
          </w:tcPr>
          <w:p w14:paraId="222B9C66" w14:textId="77777777" w:rsidR="00C9752B" w:rsidRPr="00D71008" w:rsidRDefault="00C9752B" w:rsidP="00A20642">
            <w:pPr>
              <w:jc w:val="center"/>
              <w:rPr>
                <w:noProof/>
                <w:sz w:val="18"/>
                <w:szCs w:val="18"/>
                <w:lang w:eastAsia="en-GB"/>
              </w:rPr>
            </w:pPr>
            <w:r w:rsidRPr="00D71008">
              <w:rPr>
                <w:noProof/>
                <w:sz w:val="18"/>
                <w:szCs w:val="18"/>
                <w:lang w:eastAsia="en-GB"/>
              </w:rPr>
              <w:t>338 km</w:t>
            </w:r>
          </w:p>
        </w:tc>
      </w:tr>
      <w:tr w:rsidR="00C9752B" w:rsidRPr="00D71008" w14:paraId="233FAC18" w14:textId="77777777" w:rsidTr="00090A1B">
        <w:trPr>
          <w:trHeight w:val="290"/>
        </w:trPr>
        <w:tc>
          <w:tcPr>
            <w:tcW w:w="817" w:type="pct"/>
          </w:tcPr>
          <w:p w14:paraId="08CC3C2C" w14:textId="77777777" w:rsidR="00C9752B" w:rsidRPr="00D71008" w:rsidRDefault="00C9752B" w:rsidP="00A20642">
            <w:pPr>
              <w:jc w:val="center"/>
              <w:rPr>
                <w:noProof/>
                <w:sz w:val="18"/>
                <w:szCs w:val="18"/>
                <w:lang w:eastAsia="en-GB"/>
              </w:rPr>
            </w:pPr>
            <w:r w:rsidRPr="00D71008">
              <w:rPr>
                <w:noProof/>
                <w:sz w:val="18"/>
                <w:szCs w:val="18"/>
                <w:lang w:eastAsia="en-GB"/>
              </w:rPr>
              <w:t>87</w:t>
            </w:r>
          </w:p>
        </w:tc>
        <w:tc>
          <w:tcPr>
            <w:tcW w:w="909" w:type="pct"/>
            <w:noWrap/>
            <w:hideMark/>
          </w:tcPr>
          <w:p w14:paraId="1E2D239A" w14:textId="77777777" w:rsidR="00C9752B" w:rsidRPr="00D71008" w:rsidRDefault="00C9752B" w:rsidP="00A20642">
            <w:pPr>
              <w:jc w:val="center"/>
              <w:rPr>
                <w:noProof/>
                <w:sz w:val="18"/>
                <w:szCs w:val="18"/>
                <w:lang w:eastAsia="en-GB"/>
              </w:rPr>
            </w:pPr>
            <w:r w:rsidRPr="00D71008">
              <w:rPr>
                <w:noProof/>
                <w:sz w:val="18"/>
                <w:szCs w:val="18"/>
                <w:lang w:eastAsia="en-GB"/>
              </w:rPr>
              <w:t>Cottbus</w:t>
            </w:r>
          </w:p>
        </w:tc>
        <w:tc>
          <w:tcPr>
            <w:tcW w:w="817" w:type="pct"/>
            <w:noWrap/>
            <w:hideMark/>
          </w:tcPr>
          <w:p w14:paraId="44BB8697" w14:textId="77777777"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18" w:type="pct"/>
            <w:noWrap/>
            <w:hideMark/>
          </w:tcPr>
          <w:p w14:paraId="692718CF" w14:textId="77777777" w:rsidR="00C9752B" w:rsidRPr="00D71008" w:rsidRDefault="00C9752B" w:rsidP="00A20642">
            <w:pPr>
              <w:jc w:val="center"/>
              <w:rPr>
                <w:noProof/>
                <w:sz w:val="18"/>
                <w:szCs w:val="18"/>
                <w:lang w:eastAsia="en-GB"/>
              </w:rPr>
            </w:pPr>
            <w:r w:rsidRPr="00D71008">
              <w:rPr>
                <w:noProof/>
                <w:sz w:val="18"/>
                <w:szCs w:val="18"/>
                <w:lang w:eastAsia="en-GB"/>
              </w:rPr>
              <w:t>Bremerhaven</w:t>
            </w:r>
          </w:p>
        </w:tc>
        <w:tc>
          <w:tcPr>
            <w:tcW w:w="818" w:type="pct"/>
            <w:noWrap/>
            <w:hideMark/>
          </w:tcPr>
          <w:p w14:paraId="1BEFA1C1" w14:textId="294CF0D1"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21" w:type="pct"/>
          </w:tcPr>
          <w:p w14:paraId="531D39CF" w14:textId="77777777" w:rsidR="00C9752B" w:rsidRPr="00D71008" w:rsidRDefault="00C9752B" w:rsidP="00A20642">
            <w:pPr>
              <w:jc w:val="center"/>
              <w:rPr>
                <w:noProof/>
                <w:sz w:val="18"/>
                <w:szCs w:val="18"/>
                <w:lang w:eastAsia="en-GB"/>
              </w:rPr>
            </w:pPr>
            <w:r w:rsidRPr="00D71008">
              <w:rPr>
                <w:noProof/>
                <w:sz w:val="18"/>
                <w:szCs w:val="18"/>
                <w:lang w:eastAsia="en-GB"/>
              </w:rPr>
              <w:t>575 km</w:t>
            </w:r>
          </w:p>
        </w:tc>
      </w:tr>
      <w:tr w:rsidR="00C9752B" w:rsidRPr="00D71008" w14:paraId="1A7E3C8C" w14:textId="77777777" w:rsidTr="00090A1B">
        <w:trPr>
          <w:trHeight w:val="290"/>
        </w:trPr>
        <w:tc>
          <w:tcPr>
            <w:tcW w:w="817" w:type="pct"/>
          </w:tcPr>
          <w:p w14:paraId="5CB9CBCA" w14:textId="77777777" w:rsidR="00C9752B" w:rsidRPr="00D71008" w:rsidRDefault="00C9752B" w:rsidP="00A20642">
            <w:pPr>
              <w:jc w:val="center"/>
              <w:rPr>
                <w:noProof/>
                <w:sz w:val="18"/>
                <w:szCs w:val="18"/>
                <w:lang w:eastAsia="en-GB"/>
              </w:rPr>
            </w:pPr>
            <w:r w:rsidRPr="00D71008">
              <w:rPr>
                <w:noProof/>
                <w:sz w:val="18"/>
                <w:szCs w:val="18"/>
                <w:lang w:eastAsia="en-GB"/>
              </w:rPr>
              <w:t>88</w:t>
            </w:r>
          </w:p>
        </w:tc>
        <w:tc>
          <w:tcPr>
            <w:tcW w:w="909" w:type="pct"/>
            <w:noWrap/>
            <w:hideMark/>
          </w:tcPr>
          <w:p w14:paraId="5ECBF1A0" w14:textId="77777777" w:rsidR="00C9752B" w:rsidRPr="00D71008" w:rsidRDefault="00C9752B" w:rsidP="00A20642">
            <w:pPr>
              <w:jc w:val="center"/>
              <w:rPr>
                <w:noProof/>
                <w:sz w:val="18"/>
                <w:szCs w:val="18"/>
                <w:lang w:eastAsia="en-GB"/>
              </w:rPr>
            </w:pPr>
            <w:r w:rsidRPr="00D71008">
              <w:rPr>
                <w:noProof/>
                <w:sz w:val="18"/>
                <w:szCs w:val="18"/>
                <w:lang w:eastAsia="en-GB"/>
              </w:rPr>
              <w:t>Bayreuth</w:t>
            </w:r>
          </w:p>
        </w:tc>
        <w:tc>
          <w:tcPr>
            <w:tcW w:w="817" w:type="pct"/>
            <w:noWrap/>
            <w:hideMark/>
          </w:tcPr>
          <w:p w14:paraId="510180E2" w14:textId="77777777"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18" w:type="pct"/>
            <w:noWrap/>
            <w:hideMark/>
          </w:tcPr>
          <w:p w14:paraId="41BA3E4F" w14:textId="77777777" w:rsidR="00C9752B" w:rsidRPr="00D71008" w:rsidRDefault="00C9752B" w:rsidP="00A20642">
            <w:pPr>
              <w:jc w:val="center"/>
              <w:rPr>
                <w:noProof/>
                <w:sz w:val="18"/>
                <w:szCs w:val="18"/>
                <w:lang w:eastAsia="en-GB"/>
              </w:rPr>
            </w:pPr>
            <w:r w:rsidRPr="00D71008">
              <w:rPr>
                <w:noProof/>
                <w:sz w:val="18"/>
                <w:szCs w:val="18"/>
                <w:lang w:eastAsia="en-GB"/>
              </w:rPr>
              <w:t>Aalen</w:t>
            </w:r>
          </w:p>
        </w:tc>
        <w:tc>
          <w:tcPr>
            <w:tcW w:w="818" w:type="pct"/>
            <w:noWrap/>
            <w:hideMark/>
          </w:tcPr>
          <w:p w14:paraId="20F53F3B" w14:textId="4F508C7E"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21" w:type="pct"/>
          </w:tcPr>
          <w:p w14:paraId="7B878ECD" w14:textId="77777777" w:rsidR="00C9752B" w:rsidRPr="00D71008" w:rsidRDefault="00C9752B" w:rsidP="00A20642">
            <w:pPr>
              <w:jc w:val="center"/>
              <w:rPr>
                <w:noProof/>
                <w:sz w:val="18"/>
                <w:szCs w:val="18"/>
                <w:lang w:eastAsia="en-GB"/>
              </w:rPr>
            </w:pPr>
            <w:r w:rsidRPr="00D71008">
              <w:rPr>
                <w:noProof/>
                <w:sz w:val="18"/>
                <w:szCs w:val="18"/>
                <w:lang w:eastAsia="en-GB"/>
              </w:rPr>
              <w:t>221 km</w:t>
            </w:r>
          </w:p>
        </w:tc>
      </w:tr>
      <w:tr w:rsidR="00C9752B" w:rsidRPr="00D71008" w14:paraId="12574D5D" w14:textId="77777777" w:rsidTr="00090A1B">
        <w:trPr>
          <w:trHeight w:val="290"/>
        </w:trPr>
        <w:tc>
          <w:tcPr>
            <w:tcW w:w="817" w:type="pct"/>
          </w:tcPr>
          <w:p w14:paraId="77E573E3" w14:textId="77777777" w:rsidR="00C9752B" w:rsidRPr="00D71008" w:rsidRDefault="00C9752B" w:rsidP="00A20642">
            <w:pPr>
              <w:jc w:val="center"/>
              <w:rPr>
                <w:noProof/>
                <w:sz w:val="18"/>
                <w:szCs w:val="18"/>
                <w:lang w:eastAsia="en-GB"/>
              </w:rPr>
            </w:pPr>
            <w:r w:rsidRPr="00D71008">
              <w:rPr>
                <w:noProof/>
                <w:sz w:val="18"/>
                <w:szCs w:val="18"/>
                <w:lang w:eastAsia="en-GB"/>
              </w:rPr>
              <w:t>89</w:t>
            </w:r>
          </w:p>
        </w:tc>
        <w:tc>
          <w:tcPr>
            <w:tcW w:w="909" w:type="pct"/>
            <w:noWrap/>
            <w:hideMark/>
          </w:tcPr>
          <w:p w14:paraId="389BD209" w14:textId="77777777" w:rsidR="00C9752B" w:rsidRPr="00D71008" w:rsidRDefault="00C9752B" w:rsidP="00A20642">
            <w:pPr>
              <w:jc w:val="center"/>
              <w:rPr>
                <w:noProof/>
                <w:sz w:val="18"/>
                <w:szCs w:val="18"/>
                <w:lang w:eastAsia="en-GB"/>
              </w:rPr>
            </w:pPr>
            <w:r w:rsidRPr="00D71008">
              <w:rPr>
                <w:noProof/>
                <w:sz w:val="18"/>
                <w:szCs w:val="18"/>
                <w:lang w:eastAsia="en-GB"/>
              </w:rPr>
              <w:t>Sliven</w:t>
            </w:r>
          </w:p>
        </w:tc>
        <w:tc>
          <w:tcPr>
            <w:tcW w:w="817" w:type="pct"/>
            <w:noWrap/>
            <w:hideMark/>
          </w:tcPr>
          <w:p w14:paraId="4CD585CD" w14:textId="77777777" w:rsidR="00C9752B" w:rsidRPr="00D71008" w:rsidRDefault="00C9752B" w:rsidP="00A20642">
            <w:pPr>
              <w:jc w:val="center"/>
              <w:rPr>
                <w:noProof/>
                <w:sz w:val="18"/>
                <w:szCs w:val="18"/>
                <w:lang w:eastAsia="en-GB"/>
              </w:rPr>
            </w:pPr>
            <w:r w:rsidRPr="00D71008">
              <w:rPr>
                <w:noProof/>
                <w:sz w:val="18"/>
                <w:szCs w:val="18"/>
                <w:lang w:eastAsia="en-GB"/>
              </w:rPr>
              <w:t>Bulgaria</w:t>
            </w:r>
          </w:p>
        </w:tc>
        <w:tc>
          <w:tcPr>
            <w:tcW w:w="818" w:type="pct"/>
            <w:noWrap/>
            <w:hideMark/>
          </w:tcPr>
          <w:p w14:paraId="367ADDD8" w14:textId="77777777" w:rsidR="00C9752B" w:rsidRPr="00D71008" w:rsidRDefault="00C9752B" w:rsidP="00A20642">
            <w:pPr>
              <w:jc w:val="center"/>
              <w:rPr>
                <w:noProof/>
                <w:sz w:val="18"/>
                <w:szCs w:val="18"/>
                <w:lang w:eastAsia="en-GB"/>
              </w:rPr>
            </w:pPr>
            <w:r w:rsidRPr="00D71008">
              <w:rPr>
                <w:noProof/>
                <w:sz w:val="18"/>
                <w:szCs w:val="18"/>
                <w:lang w:eastAsia="en-GB"/>
              </w:rPr>
              <w:t>Shumen</w:t>
            </w:r>
          </w:p>
        </w:tc>
        <w:tc>
          <w:tcPr>
            <w:tcW w:w="818" w:type="pct"/>
            <w:noWrap/>
            <w:hideMark/>
          </w:tcPr>
          <w:p w14:paraId="229D6F2D" w14:textId="5D4F1079" w:rsidR="00C9752B" w:rsidRPr="00D71008" w:rsidRDefault="00C9752B" w:rsidP="00A20642">
            <w:pPr>
              <w:jc w:val="center"/>
              <w:rPr>
                <w:noProof/>
                <w:sz w:val="18"/>
                <w:szCs w:val="18"/>
                <w:lang w:eastAsia="en-GB"/>
              </w:rPr>
            </w:pPr>
            <w:r w:rsidRPr="00D71008">
              <w:rPr>
                <w:noProof/>
                <w:sz w:val="18"/>
                <w:szCs w:val="18"/>
                <w:lang w:eastAsia="en-GB"/>
              </w:rPr>
              <w:t>Bulgaria</w:t>
            </w:r>
          </w:p>
        </w:tc>
        <w:tc>
          <w:tcPr>
            <w:tcW w:w="821" w:type="pct"/>
          </w:tcPr>
          <w:p w14:paraId="0CBEE4AC" w14:textId="77777777" w:rsidR="00C9752B" w:rsidRPr="00D71008" w:rsidRDefault="00C9752B" w:rsidP="00A20642">
            <w:pPr>
              <w:jc w:val="center"/>
              <w:rPr>
                <w:noProof/>
                <w:sz w:val="18"/>
                <w:szCs w:val="18"/>
                <w:lang w:eastAsia="en-GB"/>
              </w:rPr>
            </w:pPr>
            <w:r w:rsidRPr="00D71008">
              <w:rPr>
                <w:noProof/>
                <w:sz w:val="18"/>
                <w:szCs w:val="18"/>
                <w:lang w:eastAsia="en-GB"/>
              </w:rPr>
              <w:t>194 km</w:t>
            </w:r>
          </w:p>
        </w:tc>
      </w:tr>
      <w:tr w:rsidR="00C9752B" w:rsidRPr="00D71008" w14:paraId="54AB1533" w14:textId="77777777" w:rsidTr="00090A1B">
        <w:trPr>
          <w:trHeight w:val="290"/>
        </w:trPr>
        <w:tc>
          <w:tcPr>
            <w:tcW w:w="817" w:type="pct"/>
          </w:tcPr>
          <w:p w14:paraId="3A3FA913" w14:textId="77777777" w:rsidR="00C9752B" w:rsidRPr="00D71008" w:rsidRDefault="00C9752B" w:rsidP="00A20642">
            <w:pPr>
              <w:jc w:val="center"/>
              <w:rPr>
                <w:noProof/>
                <w:sz w:val="18"/>
                <w:szCs w:val="18"/>
                <w:lang w:eastAsia="en-GB"/>
              </w:rPr>
            </w:pPr>
            <w:r w:rsidRPr="00D71008">
              <w:rPr>
                <w:noProof/>
                <w:sz w:val="18"/>
                <w:szCs w:val="18"/>
                <w:lang w:eastAsia="en-GB"/>
              </w:rPr>
              <w:t>90</w:t>
            </w:r>
          </w:p>
        </w:tc>
        <w:tc>
          <w:tcPr>
            <w:tcW w:w="909" w:type="pct"/>
            <w:noWrap/>
            <w:hideMark/>
          </w:tcPr>
          <w:p w14:paraId="374611E6" w14:textId="77777777" w:rsidR="00C9752B" w:rsidRPr="00D71008" w:rsidRDefault="00C9752B" w:rsidP="00A20642">
            <w:pPr>
              <w:jc w:val="center"/>
              <w:rPr>
                <w:noProof/>
                <w:sz w:val="18"/>
                <w:szCs w:val="18"/>
                <w:lang w:eastAsia="en-GB"/>
              </w:rPr>
            </w:pPr>
            <w:r w:rsidRPr="00D71008">
              <w:rPr>
                <w:noProof/>
                <w:sz w:val="18"/>
                <w:szCs w:val="18"/>
                <w:lang w:eastAsia="en-GB"/>
              </w:rPr>
              <w:t>Szczecin</w:t>
            </w:r>
          </w:p>
        </w:tc>
        <w:tc>
          <w:tcPr>
            <w:tcW w:w="817" w:type="pct"/>
            <w:noWrap/>
            <w:hideMark/>
          </w:tcPr>
          <w:p w14:paraId="16296FC9" w14:textId="77777777" w:rsidR="00C9752B" w:rsidRPr="00D71008" w:rsidRDefault="00C9752B" w:rsidP="00A20642">
            <w:pPr>
              <w:jc w:val="center"/>
              <w:rPr>
                <w:noProof/>
                <w:sz w:val="18"/>
                <w:szCs w:val="18"/>
                <w:lang w:eastAsia="en-GB"/>
              </w:rPr>
            </w:pPr>
            <w:r w:rsidRPr="00D71008">
              <w:rPr>
                <w:noProof/>
                <w:sz w:val="18"/>
                <w:szCs w:val="18"/>
                <w:lang w:eastAsia="en-GB"/>
              </w:rPr>
              <w:t>Poland</w:t>
            </w:r>
          </w:p>
        </w:tc>
        <w:tc>
          <w:tcPr>
            <w:tcW w:w="818" w:type="pct"/>
            <w:noWrap/>
            <w:hideMark/>
          </w:tcPr>
          <w:p w14:paraId="4EB23395" w14:textId="77777777" w:rsidR="00C9752B" w:rsidRPr="00D71008" w:rsidRDefault="00C9752B" w:rsidP="00A20642">
            <w:pPr>
              <w:jc w:val="center"/>
              <w:rPr>
                <w:noProof/>
                <w:sz w:val="18"/>
                <w:szCs w:val="18"/>
                <w:lang w:eastAsia="en-GB"/>
              </w:rPr>
            </w:pPr>
            <w:r w:rsidRPr="00D71008">
              <w:rPr>
                <w:noProof/>
                <w:sz w:val="18"/>
                <w:szCs w:val="18"/>
                <w:lang w:eastAsia="en-GB"/>
              </w:rPr>
              <w:t>Białystok</w:t>
            </w:r>
          </w:p>
        </w:tc>
        <w:tc>
          <w:tcPr>
            <w:tcW w:w="818" w:type="pct"/>
            <w:noWrap/>
            <w:hideMark/>
          </w:tcPr>
          <w:p w14:paraId="2571B27F" w14:textId="224FAEBD" w:rsidR="00C9752B" w:rsidRPr="00D71008" w:rsidRDefault="00C9752B" w:rsidP="00A20642">
            <w:pPr>
              <w:jc w:val="center"/>
              <w:rPr>
                <w:noProof/>
                <w:sz w:val="18"/>
                <w:szCs w:val="18"/>
                <w:lang w:eastAsia="en-GB"/>
              </w:rPr>
            </w:pPr>
            <w:r w:rsidRPr="00D71008">
              <w:rPr>
                <w:noProof/>
                <w:sz w:val="18"/>
                <w:szCs w:val="18"/>
                <w:lang w:eastAsia="en-GB"/>
              </w:rPr>
              <w:t>Poland</w:t>
            </w:r>
          </w:p>
        </w:tc>
        <w:tc>
          <w:tcPr>
            <w:tcW w:w="821" w:type="pct"/>
          </w:tcPr>
          <w:p w14:paraId="15D98409" w14:textId="77777777" w:rsidR="00C9752B" w:rsidRPr="00D71008" w:rsidRDefault="00C9752B" w:rsidP="00A20642">
            <w:pPr>
              <w:jc w:val="center"/>
              <w:rPr>
                <w:noProof/>
                <w:sz w:val="18"/>
                <w:szCs w:val="18"/>
                <w:lang w:eastAsia="en-GB"/>
              </w:rPr>
            </w:pPr>
            <w:r w:rsidRPr="00D71008">
              <w:rPr>
                <w:noProof/>
                <w:sz w:val="18"/>
                <w:szCs w:val="18"/>
                <w:lang w:eastAsia="en-GB"/>
              </w:rPr>
              <w:t>690 km</w:t>
            </w:r>
          </w:p>
        </w:tc>
      </w:tr>
      <w:tr w:rsidR="00C9752B" w:rsidRPr="00D71008" w14:paraId="16B5E649" w14:textId="77777777" w:rsidTr="00090A1B">
        <w:trPr>
          <w:trHeight w:val="290"/>
        </w:trPr>
        <w:tc>
          <w:tcPr>
            <w:tcW w:w="817" w:type="pct"/>
          </w:tcPr>
          <w:p w14:paraId="42592DC1" w14:textId="77777777" w:rsidR="00C9752B" w:rsidRPr="00D71008" w:rsidRDefault="00C9752B" w:rsidP="00A20642">
            <w:pPr>
              <w:jc w:val="center"/>
              <w:rPr>
                <w:noProof/>
                <w:sz w:val="18"/>
                <w:szCs w:val="18"/>
                <w:lang w:eastAsia="en-GB"/>
              </w:rPr>
            </w:pPr>
            <w:r w:rsidRPr="00D71008">
              <w:rPr>
                <w:noProof/>
                <w:sz w:val="18"/>
                <w:szCs w:val="18"/>
                <w:lang w:eastAsia="en-GB"/>
              </w:rPr>
              <w:t>91</w:t>
            </w:r>
          </w:p>
        </w:tc>
        <w:tc>
          <w:tcPr>
            <w:tcW w:w="909" w:type="pct"/>
            <w:noWrap/>
            <w:hideMark/>
          </w:tcPr>
          <w:p w14:paraId="723D11FD" w14:textId="77777777" w:rsidR="00C9752B" w:rsidRPr="00D71008" w:rsidRDefault="00C9752B" w:rsidP="00A20642">
            <w:pPr>
              <w:jc w:val="center"/>
              <w:rPr>
                <w:noProof/>
                <w:sz w:val="18"/>
                <w:szCs w:val="18"/>
                <w:lang w:eastAsia="en-GB"/>
              </w:rPr>
            </w:pPr>
            <w:r w:rsidRPr="00D71008">
              <w:rPr>
                <w:noProof/>
                <w:sz w:val="18"/>
                <w:szCs w:val="18"/>
                <w:lang w:eastAsia="en-GB"/>
              </w:rPr>
              <w:t>Łódź</w:t>
            </w:r>
          </w:p>
        </w:tc>
        <w:tc>
          <w:tcPr>
            <w:tcW w:w="817" w:type="pct"/>
            <w:noWrap/>
            <w:hideMark/>
          </w:tcPr>
          <w:p w14:paraId="2BE7FEB0" w14:textId="77777777" w:rsidR="00C9752B" w:rsidRPr="00D71008" w:rsidRDefault="00C9752B" w:rsidP="00A20642">
            <w:pPr>
              <w:jc w:val="center"/>
              <w:rPr>
                <w:noProof/>
                <w:sz w:val="18"/>
                <w:szCs w:val="18"/>
                <w:lang w:eastAsia="en-GB"/>
              </w:rPr>
            </w:pPr>
            <w:r w:rsidRPr="00D71008">
              <w:rPr>
                <w:noProof/>
                <w:sz w:val="18"/>
                <w:szCs w:val="18"/>
                <w:lang w:eastAsia="en-GB"/>
              </w:rPr>
              <w:t>Poland</w:t>
            </w:r>
          </w:p>
        </w:tc>
        <w:tc>
          <w:tcPr>
            <w:tcW w:w="818" w:type="pct"/>
            <w:noWrap/>
            <w:hideMark/>
          </w:tcPr>
          <w:p w14:paraId="7E226F70" w14:textId="77777777" w:rsidR="00C9752B" w:rsidRPr="00D71008" w:rsidRDefault="00C9752B" w:rsidP="00A20642">
            <w:pPr>
              <w:jc w:val="center"/>
              <w:rPr>
                <w:noProof/>
                <w:sz w:val="18"/>
                <w:szCs w:val="18"/>
                <w:lang w:eastAsia="en-GB"/>
              </w:rPr>
            </w:pPr>
            <w:r w:rsidRPr="00D71008">
              <w:rPr>
                <w:noProof/>
                <w:sz w:val="18"/>
                <w:szCs w:val="18"/>
                <w:lang w:eastAsia="en-GB"/>
              </w:rPr>
              <w:t>Tarnów</w:t>
            </w:r>
          </w:p>
        </w:tc>
        <w:tc>
          <w:tcPr>
            <w:tcW w:w="818" w:type="pct"/>
            <w:noWrap/>
            <w:hideMark/>
          </w:tcPr>
          <w:p w14:paraId="0A1A2329" w14:textId="27D42604" w:rsidR="00C9752B" w:rsidRPr="00D71008" w:rsidRDefault="00C9752B" w:rsidP="00A20642">
            <w:pPr>
              <w:jc w:val="center"/>
              <w:rPr>
                <w:noProof/>
                <w:sz w:val="18"/>
                <w:szCs w:val="18"/>
                <w:lang w:eastAsia="en-GB"/>
              </w:rPr>
            </w:pPr>
            <w:r w:rsidRPr="00D71008">
              <w:rPr>
                <w:noProof/>
                <w:sz w:val="18"/>
                <w:szCs w:val="18"/>
                <w:lang w:eastAsia="en-GB"/>
              </w:rPr>
              <w:t>Poland</w:t>
            </w:r>
          </w:p>
        </w:tc>
        <w:tc>
          <w:tcPr>
            <w:tcW w:w="821" w:type="pct"/>
          </w:tcPr>
          <w:p w14:paraId="27C39EF5" w14:textId="77777777" w:rsidR="00C9752B" w:rsidRPr="00D71008" w:rsidRDefault="00C9752B" w:rsidP="00A20642">
            <w:pPr>
              <w:jc w:val="center"/>
              <w:rPr>
                <w:noProof/>
                <w:sz w:val="18"/>
                <w:szCs w:val="18"/>
                <w:lang w:eastAsia="en-GB"/>
              </w:rPr>
            </w:pPr>
            <w:r w:rsidRPr="00D71008">
              <w:rPr>
                <w:noProof/>
                <w:sz w:val="18"/>
                <w:szCs w:val="18"/>
                <w:lang w:eastAsia="en-GB"/>
              </w:rPr>
              <w:t>350 km</w:t>
            </w:r>
          </w:p>
        </w:tc>
      </w:tr>
      <w:tr w:rsidR="00C9752B" w:rsidRPr="00D71008" w14:paraId="1581CD1F" w14:textId="77777777" w:rsidTr="00090A1B">
        <w:trPr>
          <w:trHeight w:val="290"/>
        </w:trPr>
        <w:tc>
          <w:tcPr>
            <w:tcW w:w="817" w:type="pct"/>
          </w:tcPr>
          <w:p w14:paraId="5B504AB8" w14:textId="77777777" w:rsidR="00C9752B" w:rsidRPr="00D71008" w:rsidRDefault="00C9752B" w:rsidP="00A20642">
            <w:pPr>
              <w:jc w:val="center"/>
              <w:rPr>
                <w:noProof/>
                <w:sz w:val="18"/>
                <w:szCs w:val="18"/>
                <w:lang w:eastAsia="en-GB"/>
              </w:rPr>
            </w:pPr>
            <w:r w:rsidRPr="00D71008">
              <w:rPr>
                <w:noProof/>
                <w:sz w:val="18"/>
                <w:szCs w:val="18"/>
                <w:lang w:eastAsia="en-GB"/>
              </w:rPr>
              <w:t>92</w:t>
            </w:r>
          </w:p>
        </w:tc>
        <w:tc>
          <w:tcPr>
            <w:tcW w:w="909" w:type="pct"/>
            <w:noWrap/>
            <w:hideMark/>
          </w:tcPr>
          <w:p w14:paraId="324F6AA2" w14:textId="77777777" w:rsidR="00C9752B" w:rsidRPr="00D71008" w:rsidRDefault="00C9752B" w:rsidP="00A20642">
            <w:pPr>
              <w:jc w:val="center"/>
              <w:rPr>
                <w:noProof/>
                <w:sz w:val="18"/>
                <w:szCs w:val="18"/>
                <w:lang w:eastAsia="en-GB"/>
              </w:rPr>
            </w:pPr>
            <w:r w:rsidRPr="00D71008">
              <w:rPr>
                <w:noProof/>
                <w:sz w:val="18"/>
                <w:szCs w:val="18"/>
                <w:lang w:eastAsia="en-GB"/>
              </w:rPr>
              <w:t>Botoşani</w:t>
            </w:r>
          </w:p>
        </w:tc>
        <w:tc>
          <w:tcPr>
            <w:tcW w:w="817" w:type="pct"/>
            <w:noWrap/>
            <w:hideMark/>
          </w:tcPr>
          <w:p w14:paraId="2BBA9102" w14:textId="77777777" w:rsidR="00C9752B" w:rsidRPr="00D71008" w:rsidRDefault="00C9752B" w:rsidP="00A20642">
            <w:pPr>
              <w:jc w:val="center"/>
              <w:rPr>
                <w:noProof/>
                <w:sz w:val="18"/>
                <w:szCs w:val="18"/>
                <w:lang w:eastAsia="en-GB"/>
              </w:rPr>
            </w:pPr>
            <w:r w:rsidRPr="00D71008">
              <w:rPr>
                <w:noProof/>
                <w:sz w:val="18"/>
                <w:szCs w:val="18"/>
                <w:lang w:eastAsia="en-GB"/>
              </w:rPr>
              <w:t>Romania</w:t>
            </w:r>
          </w:p>
        </w:tc>
        <w:tc>
          <w:tcPr>
            <w:tcW w:w="818" w:type="pct"/>
            <w:noWrap/>
            <w:hideMark/>
          </w:tcPr>
          <w:p w14:paraId="2F59D07F" w14:textId="77777777" w:rsidR="00C9752B" w:rsidRPr="00D71008" w:rsidRDefault="00C9752B" w:rsidP="00A20642">
            <w:pPr>
              <w:jc w:val="center"/>
              <w:rPr>
                <w:noProof/>
                <w:sz w:val="18"/>
                <w:szCs w:val="18"/>
                <w:lang w:eastAsia="en-GB"/>
              </w:rPr>
            </w:pPr>
            <w:r w:rsidRPr="00D71008">
              <w:rPr>
                <w:noProof/>
                <w:sz w:val="18"/>
                <w:szCs w:val="18"/>
                <w:lang w:eastAsia="en-GB"/>
              </w:rPr>
              <w:t>Buzău</w:t>
            </w:r>
          </w:p>
        </w:tc>
        <w:tc>
          <w:tcPr>
            <w:tcW w:w="818" w:type="pct"/>
            <w:noWrap/>
            <w:hideMark/>
          </w:tcPr>
          <w:p w14:paraId="23A058A7" w14:textId="2A3FF35D" w:rsidR="00C9752B" w:rsidRPr="00D71008" w:rsidRDefault="00C9752B" w:rsidP="00A20642">
            <w:pPr>
              <w:jc w:val="center"/>
              <w:rPr>
                <w:noProof/>
                <w:sz w:val="18"/>
                <w:szCs w:val="18"/>
                <w:lang w:eastAsia="en-GB"/>
              </w:rPr>
            </w:pPr>
            <w:r w:rsidRPr="00D71008">
              <w:rPr>
                <w:noProof/>
                <w:sz w:val="18"/>
                <w:szCs w:val="18"/>
                <w:lang w:eastAsia="en-GB"/>
              </w:rPr>
              <w:t>Romania</w:t>
            </w:r>
          </w:p>
        </w:tc>
        <w:tc>
          <w:tcPr>
            <w:tcW w:w="821" w:type="pct"/>
          </w:tcPr>
          <w:p w14:paraId="5975C134" w14:textId="77777777" w:rsidR="00C9752B" w:rsidRPr="00D71008" w:rsidRDefault="00C9752B" w:rsidP="00A20642">
            <w:pPr>
              <w:jc w:val="center"/>
              <w:rPr>
                <w:noProof/>
                <w:sz w:val="18"/>
                <w:szCs w:val="18"/>
                <w:lang w:eastAsia="en-GB"/>
              </w:rPr>
            </w:pPr>
            <w:r w:rsidRPr="00D71008">
              <w:rPr>
                <w:noProof/>
                <w:sz w:val="18"/>
                <w:szCs w:val="18"/>
                <w:lang w:eastAsia="en-GB"/>
              </w:rPr>
              <w:t>448 km</w:t>
            </w:r>
          </w:p>
        </w:tc>
      </w:tr>
      <w:tr w:rsidR="00C9752B" w:rsidRPr="00D71008" w14:paraId="30109715" w14:textId="77777777" w:rsidTr="23484F07">
        <w:trPr>
          <w:trHeight w:val="290"/>
        </w:trPr>
        <w:tc>
          <w:tcPr>
            <w:tcW w:w="5000" w:type="pct"/>
            <w:gridSpan w:val="6"/>
            <w:shd w:val="clear" w:color="auto" w:fill="F79646" w:themeFill="accent6"/>
          </w:tcPr>
          <w:p w14:paraId="2FA6E0F3" w14:textId="77777777" w:rsidR="00C9752B" w:rsidRPr="00D71008" w:rsidRDefault="00C9752B" w:rsidP="00A20642">
            <w:pPr>
              <w:jc w:val="center"/>
              <w:rPr>
                <w:noProof/>
                <w:sz w:val="18"/>
                <w:szCs w:val="18"/>
                <w:lang w:eastAsia="en-GB"/>
              </w:rPr>
            </w:pPr>
            <w:r w:rsidRPr="00D71008">
              <w:rPr>
                <w:noProof/>
                <w:sz w:val="18"/>
                <w:szCs w:val="18"/>
                <w:lang w:eastAsia="en-GB"/>
              </w:rPr>
              <w:t>Cluster J</w:t>
            </w:r>
          </w:p>
        </w:tc>
      </w:tr>
      <w:tr w:rsidR="00C9752B" w:rsidRPr="00D71008" w14:paraId="4CE9BD65" w14:textId="77777777" w:rsidTr="00090A1B">
        <w:trPr>
          <w:trHeight w:val="290"/>
        </w:trPr>
        <w:tc>
          <w:tcPr>
            <w:tcW w:w="817" w:type="pct"/>
          </w:tcPr>
          <w:p w14:paraId="0780BB14" w14:textId="77777777" w:rsidR="00C9752B" w:rsidRPr="00D71008" w:rsidRDefault="00C9752B" w:rsidP="00A20642">
            <w:pPr>
              <w:jc w:val="center"/>
              <w:rPr>
                <w:noProof/>
                <w:sz w:val="18"/>
                <w:szCs w:val="18"/>
                <w:lang w:eastAsia="en-GB"/>
              </w:rPr>
            </w:pPr>
            <w:r w:rsidRPr="00D71008">
              <w:rPr>
                <w:noProof/>
                <w:sz w:val="18"/>
                <w:szCs w:val="18"/>
                <w:lang w:eastAsia="en-GB"/>
              </w:rPr>
              <w:t>93</w:t>
            </w:r>
          </w:p>
        </w:tc>
        <w:tc>
          <w:tcPr>
            <w:tcW w:w="909" w:type="pct"/>
            <w:noWrap/>
            <w:hideMark/>
          </w:tcPr>
          <w:p w14:paraId="70959573" w14:textId="77777777" w:rsidR="00C9752B" w:rsidRPr="00D71008" w:rsidRDefault="00C9752B" w:rsidP="00A20642">
            <w:pPr>
              <w:jc w:val="center"/>
              <w:rPr>
                <w:noProof/>
                <w:sz w:val="18"/>
                <w:szCs w:val="18"/>
                <w:lang w:eastAsia="en-GB"/>
              </w:rPr>
            </w:pPr>
            <w:r w:rsidRPr="00D71008">
              <w:rPr>
                <w:noProof/>
                <w:sz w:val="18"/>
                <w:szCs w:val="18"/>
                <w:lang w:eastAsia="en-GB"/>
              </w:rPr>
              <w:t>Schweinfurt</w:t>
            </w:r>
          </w:p>
        </w:tc>
        <w:tc>
          <w:tcPr>
            <w:tcW w:w="817" w:type="pct"/>
            <w:noWrap/>
            <w:hideMark/>
          </w:tcPr>
          <w:p w14:paraId="35935CE8" w14:textId="77777777"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18" w:type="pct"/>
            <w:noWrap/>
            <w:hideMark/>
          </w:tcPr>
          <w:p w14:paraId="715FFB22" w14:textId="77777777" w:rsidR="00C9752B" w:rsidRPr="00D71008" w:rsidRDefault="00C9752B" w:rsidP="00A20642">
            <w:pPr>
              <w:jc w:val="center"/>
              <w:rPr>
                <w:noProof/>
                <w:sz w:val="18"/>
                <w:szCs w:val="18"/>
                <w:lang w:eastAsia="en-GB"/>
              </w:rPr>
            </w:pPr>
            <w:r w:rsidRPr="00D71008">
              <w:rPr>
                <w:noProof/>
                <w:sz w:val="18"/>
                <w:szCs w:val="18"/>
                <w:lang w:eastAsia="en-GB"/>
              </w:rPr>
              <w:t>Vigevano</w:t>
            </w:r>
          </w:p>
        </w:tc>
        <w:tc>
          <w:tcPr>
            <w:tcW w:w="818" w:type="pct"/>
            <w:noWrap/>
            <w:hideMark/>
          </w:tcPr>
          <w:p w14:paraId="0A3232CD" w14:textId="1BE58C39" w:rsidR="00C9752B" w:rsidRPr="00D71008" w:rsidRDefault="00C9752B" w:rsidP="00A20642">
            <w:pPr>
              <w:jc w:val="center"/>
              <w:rPr>
                <w:noProof/>
                <w:sz w:val="18"/>
                <w:szCs w:val="18"/>
                <w:lang w:eastAsia="en-GB"/>
              </w:rPr>
            </w:pPr>
            <w:r w:rsidRPr="00D71008">
              <w:rPr>
                <w:noProof/>
                <w:sz w:val="18"/>
                <w:szCs w:val="18"/>
                <w:lang w:eastAsia="en-GB"/>
              </w:rPr>
              <w:t>Italy</w:t>
            </w:r>
          </w:p>
        </w:tc>
        <w:tc>
          <w:tcPr>
            <w:tcW w:w="821" w:type="pct"/>
          </w:tcPr>
          <w:p w14:paraId="42D3A83B" w14:textId="77777777" w:rsidR="00C9752B" w:rsidRPr="00D71008" w:rsidRDefault="00C9752B" w:rsidP="00A20642">
            <w:pPr>
              <w:jc w:val="center"/>
              <w:rPr>
                <w:noProof/>
                <w:sz w:val="18"/>
                <w:szCs w:val="18"/>
                <w:lang w:eastAsia="en-GB"/>
              </w:rPr>
            </w:pPr>
            <w:r w:rsidRPr="00D71008">
              <w:rPr>
                <w:noProof/>
                <w:sz w:val="18"/>
                <w:szCs w:val="18"/>
                <w:lang w:eastAsia="en-GB"/>
              </w:rPr>
              <w:t>940 km</w:t>
            </w:r>
          </w:p>
        </w:tc>
      </w:tr>
      <w:tr w:rsidR="00C9752B" w:rsidRPr="00D71008" w14:paraId="42A720EB" w14:textId="77777777" w:rsidTr="00090A1B">
        <w:trPr>
          <w:trHeight w:val="290"/>
        </w:trPr>
        <w:tc>
          <w:tcPr>
            <w:tcW w:w="817" w:type="pct"/>
          </w:tcPr>
          <w:p w14:paraId="3E139CFD" w14:textId="77777777" w:rsidR="00C9752B" w:rsidRPr="00D71008" w:rsidRDefault="00C9752B" w:rsidP="00A20642">
            <w:pPr>
              <w:jc w:val="center"/>
              <w:rPr>
                <w:noProof/>
                <w:sz w:val="18"/>
                <w:szCs w:val="18"/>
                <w:lang w:eastAsia="en-GB"/>
              </w:rPr>
            </w:pPr>
            <w:r w:rsidRPr="00D71008">
              <w:rPr>
                <w:noProof/>
                <w:sz w:val="18"/>
                <w:szCs w:val="18"/>
                <w:lang w:eastAsia="en-GB"/>
              </w:rPr>
              <w:t>94</w:t>
            </w:r>
          </w:p>
        </w:tc>
        <w:tc>
          <w:tcPr>
            <w:tcW w:w="909" w:type="pct"/>
            <w:noWrap/>
            <w:hideMark/>
          </w:tcPr>
          <w:p w14:paraId="117A72D3" w14:textId="77777777" w:rsidR="00C9752B" w:rsidRPr="00D71008" w:rsidRDefault="00C9752B" w:rsidP="00A20642">
            <w:pPr>
              <w:jc w:val="center"/>
              <w:rPr>
                <w:noProof/>
                <w:sz w:val="18"/>
                <w:szCs w:val="18"/>
                <w:lang w:eastAsia="en-GB"/>
              </w:rPr>
            </w:pPr>
            <w:r w:rsidRPr="00D71008">
              <w:rPr>
                <w:noProof/>
                <w:sz w:val="18"/>
                <w:szCs w:val="18"/>
                <w:lang w:eastAsia="en-GB"/>
              </w:rPr>
              <w:t>Seinäjoki</w:t>
            </w:r>
          </w:p>
        </w:tc>
        <w:tc>
          <w:tcPr>
            <w:tcW w:w="817" w:type="pct"/>
            <w:noWrap/>
            <w:hideMark/>
          </w:tcPr>
          <w:p w14:paraId="2193C51F" w14:textId="77777777" w:rsidR="00C9752B" w:rsidRPr="00D71008" w:rsidRDefault="00C9752B" w:rsidP="00A20642">
            <w:pPr>
              <w:jc w:val="center"/>
              <w:rPr>
                <w:noProof/>
                <w:sz w:val="18"/>
                <w:szCs w:val="18"/>
                <w:lang w:eastAsia="en-GB"/>
              </w:rPr>
            </w:pPr>
            <w:r w:rsidRPr="00D71008">
              <w:rPr>
                <w:noProof/>
                <w:sz w:val="18"/>
                <w:szCs w:val="18"/>
                <w:lang w:eastAsia="en-GB"/>
              </w:rPr>
              <w:t>Finland</w:t>
            </w:r>
          </w:p>
        </w:tc>
        <w:tc>
          <w:tcPr>
            <w:tcW w:w="818" w:type="pct"/>
            <w:noWrap/>
            <w:hideMark/>
          </w:tcPr>
          <w:p w14:paraId="3CFE0024" w14:textId="77777777" w:rsidR="00C9752B" w:rsidRPr="00D71008" w:rsidRDefault="00C9752B" w:rsidP="00A20642">
            <w:pPr>
              <w:jc w:val="center"/>
              <w:rPr>
                <w:noProof/>
                <w:sz w:val="18"/>
                <w:szCs w:val="18"/>
                <w:lang w:eastAsia="en-GB"/>
              </w:rPr>
            </w:pPr>
            <w:r w:rsidRPr="00D71008">
              <w:rPr>
                <w:noProof/>
                <w:sz w:val="18"/>
                <w:szCs w:val="18"/>
                <w:lang w:eastAsia="en-GB"/>
              </w:rPr>
              <w:t>Mülheim</w:t>
            </w:r>
          </w:p>
        </w:tc>
        <w:tc>
          <w:tcPr>
            <w:tcW w:w="818" w:type="pct"/>
            <w:noWrap/>
            <w:hideMark/>
          </w:tcPr>
          <w:p w14:paraId="775842A9" w14:textId="7039A4D8"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21" w:type="pct"/>
          </w:tcPr>
          <w:p w14:paraId="10024894" w14:textId="77777777" w:rsidR="00C9752B" w:rsidRPr="00D71008" w:rsidRDefault="00C9752B" w:rsidP="00A20642">
            <w:pPr>
              <w:jc w:val="center"/>
              <w:rPr>
                <w:noProof/>
                <w:sz w:val="18"/>
                <w:szCs w:val="18"/>
                <w:lang w:eastAsia="en-GB"/>
              </w:rPr>
            </w:pPr>
            <w:r w:rsidRPr="00D71008">
              <w:rPr>
                <w:noProof/>
                <w:sz w:val="18"/>
                <w:szCs w:val="18"/>
                <w:lang w:eastAsia="en-GB"/>
              </w:rPr>
              <w:t>2,377 km</w:t>
            </w:r>
          </w:p>
        </w:tc>
      </w:tr>
      <w:tr w:rsidR="00C9752B" w:rsidRPr="00D71008" w14:paraId="11D78532" w14:textId="77777777" w:rsidTr="00090A1B">
        <w:trPr>
          <w:trHeight w:val="290"/>
        </w:trPr>
        <w:tc>
          <w:tcPr>
            <w:tcW w:w="817" w:type="pct"/>
          </w:tcPr>
          <w:p w14:paraId="20A6B855" w14:textId="77777777" w:rsidR="00C9752B" w:rsidRPr="00D71008" w:rsidRDefault="00C9752B" w:rsidP="00A20642">
            <w:pPr>
              <w:jc w:val="center"/>
              <w:rPr>
                <w:noProof/>
                <w:sz w:val="18"/>
                <w:szCs w:val="18"/>
                <w:lang w:eastAsia="en-GB"/>
              </w:rPr>
            </w:pPr>
            <w:r w:rsidRPr="00D71008">
              <w:rPr>
                <w:noProof/>
                <w:sz w:val="18"/>
                <w:szCs w:val="18"/>
                <w:lang w:eastAsia="en-GB"/>
              </w:rPr>
              <w:t>95</w:t>
            </w:r>
          </w:p>
        </w:tc>
        <w:tc>
          <w:tcPr>
            <w:tcW w:w="909" w:type="pct"/>
            <w:noWrap/>
            <w:hideMark/>
          </w:tcPr>
          <w:p w14:paraId="36FA4A01" w14:textId="77777777" w:rsidR="00C9752B" w:rsidRPr="00D71008" w:rsidRDefault="00C9752B" w:rsidP="00A20642">
            <w:pPr>
              <w:jc w:val="center"/>
              <w:rPr>
                <w:noProof/>
                <w:sz w:val="18"/>
                <w:szCs w:val="18"/>
                <w:lang w:eastAsia="en-GB"/>
              </w:rPr>
            </w:pPr>
            <w:r w:rsidRPr="00D71008">
              <w:rPr>
                <w:noProof/>
                <w:sz w:val="18"/>
                <w:szCs w:val="18"/>
                <w:lang w:eastAsia="en-GB"/>
              </w:rPr>
              <w:t>Tübingen</w:t>
            </w:r>
          </w:p>
        </w:tc>
        <w:tc>
          <w:tcPr>
            <w:tcW w:w="817" w:type="pct"/>
            <w:noWrap/>
            <w:hideMark/>
          </w:tcPr>
          <w:p w14:paraId="3AF5D9E3" w14:textId="77777777"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18" w:type="pct"/>
            <w:noWrap/>
            <w:hideMark/>
          </w:tcPr>
          <w:p w14:paraId="04B4A4EC" w14:textId="77777777" w:rsidR="00C9752B" w:rsidRPr="00D71008" w:rsidRDefault="00C9752B" w:rsidP="00A20642">
            <w:pPr>
              <w:jc w:val="center"/>
              <w:rPr>
                <w:noProof/>
                <w:sz w:val="18"/>
                <w:szCs w:val="18"/>
                <w:lang w:eastAsia="en-GB"/>
              </w:rPr>
            </w:pPr>
            <w:r w:rsidRPr="00D71008">
              <w:rPr>
                <w:noProof/>
                <w:sz w:val="18"/>
                <w:szCs w:val="18"/>
                <w:lang w:eastAsia="en-GB"/>
              </w:rPr>
              <w:t>Tulcea</w:t>
            </w:r>
          </w:p>
        </w:tc>
        <w:tc>
          <w:tcPr>
            <w:tcW w:w="818" w:type="pct"/>
            <w:noWrap/>
            <w:hideMark/>
          </w:tcPr>
          <w:p w14:paraId="2127A1D7" w14:textId="3939F84A" w:rsidR="00C9752B" w:rsidRPr="00D71008" w:rsidRDefault="00C9752B" w:rsidP="00A20642">
            <w:pPr>
              <w:jc w:val="center"/>
              <w:rPr>
                <w:noProof/>
                <w:sz w:val="18"/>
                <w:szCs w:val="18"/>
                <w:lang w:eastAsia="en-GB"/>
              </w:rPr>
            </w:pPr>
            <w:r w:rsidRPr="00D71008">
              <w:rPr>
                <w:noProof/>
                <w:sz w:val="18"/>
                <w:szCs w:val="18"/>
                <w:lang w:eastAsia="en-GB"/>
              </w:rPr>
              <w:t>Romania</w:t>
            </w:r>
          </w:p>
        </w:tc>
        <w:tc>
          <w:tcPr>
            <w:tcW w:w="821" w:type="pct"/>
          </w:tcPr>
          <w:p w14:paraId="0878801D" w14:textId="77777777" w:rsidR="00C9752B" w:rsidRPr="00D71008" w:rsidRDefault="00C9752B" w:rsidP="00A20642">
            <w:pPr>
              <w:jc w:val="center"/>
              <w:rPr>
                <w:noProof/>
                <w:sz w:val="18"/>
                <w:szCs w:val="18"/>
                <w:lang w:eastAsia="en-GB"/>
              </w:rPr>
            </w:pPr>
            <w:r w:rsidRPr="00D71008">
              <w:rPr>
                <w:noProof/>
                <w:sz w:val="18"/>
                <w:szCs w:val="18"/>
                <w:lang w:eastAsia="en-GB"/>
              </w:rPr>
              <w:t>2,144 km</w:t>
            </w:r>
          </w:p>
        </w:tc>
      </w:tr>
      <w:tr w:rsidR="00C9752B" w:rsidRPr="00D71008" w14:paraId="22C11EA7" w14:textId="77777777" w:rsidTr="00090A1B">
        <w:trPr>
          <w:trHeight w:val="290"/>
        </w:trPr>
        <w:tc>
          <w:tcPr>
            <w:tcW w:w="817" w:type="pct"/>
          </w:tcPr>
          <w:p w14:paraId="141D8C89" w14:textId="77777777" w:rsidR="00C9752B" w:rsidRPr="00D71008" w:rsidRDefault="00C9752B" w:rsidP="00A20642">
            <w:pPr>
              <w:jc w:val="center"/>
              <w:rPr>
                <w:noProof/>
                <w:sz w:val="18"/>
                <w:szCs w:val="18"/>
                <w:lang w:eastAsia="en-GB"/>
              </w:rPr>
            </w:pPr>
            <w:r w:rsidRPr="00D71008">
              <w:rPr>
                <w:noProof/>
                <w:sz w:val="18"/>
                <w:szCs w:val="18"/>
                <w:lang w:eastAsia="en-GB"/>
              </w:rPr>
              <w:t>96</w:t>
            </w:r>
          </w:p>
        </w:tc>
        <w:tc>
          <w:tcPr>
            <w:tcW w:w="909" w:type="pct"/>
            <w:noWrap/>
            <w:hideMark/>
          </w:tcPr>
          <w:p w14:paraId="4CA50E2E" w14:textId="77777777" w:rsidR="00C9752B" w:rsidRPr="00D71008" w:rsidRDefault="00C9752B" w:rsidP="00A20642">
            <w:pPr>
              <w:jc w:val="center"/>
              <w:rPr>
                <w:noProof/>
                <w:sz w:val="18"/>
                <w:szCs w:val="18"/>
                <w:lang w:eastAsia="en-GB"/>
              </w:rPr>
            </w:pPr>
            <w:r w:rsidRPr="00D71008">
              <w:rPr>
                <w:noProof/>
                <w:sz w:val="18"/>
                <w:szCs w:val="18"/>
                <w:lang w:eastAsia="en-GB"/>
              </w:rPr>
              <w:t>Albi</w:t>
            </w:r>
          </w:p>
        </w:tc>
        <w:tc>
          <w:tcPr>
            <w:tcW w:w="817" w:type="pct"/>
            <w:noWrap/>
            <w:hideMark/>
          </w:tcPr>
          <w:p w14:paraId="731DCD34" w14:textId="77777777" w:rsidR="00C9752B" w:rsidRPr="00D71008" w:rsidRDefault="00C9752B" w:rsidP="00A20642">
            <w:pPr>
              <w:jc w:val="center"/>
              <w:rPr>
                <w:noProof/>
                <w:sz w:val="18"/>
                <w:szCs w:val="18"/>
                <w:lang w:eastAsia="en-GB"/>
              </w:rPr>
            </w:pPr>
            <w:r w:rsidRPr="00D71008">
              <w:rPr>
                <w:noProof/>
                <w:sz w:val="18"/>
                <w:szCs w:val="18"/>
                <w:lang w:eastAsia="en-GB"/>
              </w:rPr>
              <w:t>France</w:t>
            </w:r>
          </w:p>
        </w:tc>
        <w:tc>
          <w:tcPr>
            <w:tcW w:w="818" w:type="pct"/>
            <w:noWrap/>
            <w:hideMark/>
          </w:tcPr>
          <w:p w14:paraId="59564391" w14:textId="77777777" w:rsidR="00C9752B" w:rsidRPr="00D71008" w:rsidRDefault="00C9752B" w:rsidP="00A20642">
            <w:pPr>
              <w:jc w:val="center"/>
              <w:rPr>
                <w:noProof/>
                <w:sz w:val="18"/>
                <w:szCs w:val="18"/>
                <w:lang w:eastAsia="en-GB"/>
              </w:rPr>
            </w:pPr>
            <w:r w:rsidRPr="00D71008">
              <w:rPr>
                <w:noProof/>
                <w:sz w:val="18"/>
                <w:szCs w:val="18"/>
                <w:lang w:eastAsia="en-GB"/>
              </w:rPr>
              <w:t>Flensburg</w:t>
            </w:r>
          </w:p>
        </w:tc>
        <w:tc>
          <w:tcPr>
            <w:tcW w:w="818" w:type="pct"/>
            <w:noWrap/>
            <w:hideMark/>
          </w:tcPr>
          <w:p w14:paraId="5D6AFF4B" w14:textId="4383ADF7"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21" w:type="pct"/>
          </w:tcPr>
          <w:p w14:paraId="6CD0D67B" w14:textId="77777777" w:rsidR="00C9752B" w:rsidRPr="00D71008" w:rsidRDefault="00C9752B" w:rsidP="00A20642">
            <w:pPr>
              <w:jc w:val="center"/>
              <w:rPr>
                <w:noProof/>
                <w:sz w:val="18"/>
                <w:szCs w:val="18"/>
                <w:lang w:eastAsia="en-GB"/>
              </w:rPr>
            </w:pPr>
            <w:r w:rsidRPr="00D71008">
              <w:rPr>
                <w:noProof/>
                <w:sz w:val="18"/>
                <w:szCs w:val="18"/>
                <w:lang w:eastAsia="en-GB"/>
              </w:rPr>
              <w:t>2,228 km</w:t>
            </w:r>
          </w:p>
        </w:tc>
      </w:tr>
      <w:tr w:rsidR="00C9752B" w:rsidRPr="00D71008" w14:paraId="629551CA" w14:textId="77777777" w:rsidTr="00090A1B">
        <w:trPr>
          <w:trHeight w:val="290"/>
        </w:trPr>
        <w:tc>
          <w:tcPr>
            <w:tcW w:w="817" w:type="pct"/>
          </w:tcPr>
          <w:p w14:paraId="65C1AAC8" w14:textId="77777777" w:rsidR="00C9752B" w:rsidRPr="00D71008" w:rsidRDefault="00C9752B" w:rsidP="00A20642">
            <w:pPr>
              <w:jc w:val="center"/>
              <w:rPr>
                <w:noProof/>
                <w:sz w:val="18"/>
                <w:szCs w:val="18"/>
                <w:lang w:eastAsia="en-GB"/>
              </w:rPr>
            </w:pPr>
            <w:r w:rsidRPr="00D71008">
              <w:rPr>
                <w:noProof/>
                <w:sz w:val="18"/>
                <w:szCs w:val="18"/>
                <w:lang w:eastAsia="en-GB"/>
              </w:rPr>
              <w:t>97</w:t>
            </w:r>
          </w:p>
        </w:tc>
        <w:tc>
          <w:tcPr>
            <w:tcW w:w="909" w:type="pct"/>
            <w:noWrap/>
            <w:hideMark/>
          </w:tcPr>
          <w:p w14:paraId="51C1AAC0" w14:textId="77777777" w:rsidR="00C9752B" w:rsidRPr="00D71008" w:rsidRDefault="00C9752B" w:rsidP="00A20642">
            <w:pPr>
              <w:jc w:val="center"/>
              <w:rPr>
                <w:noProof/>
                <w:sz w:val="18"/>
                <w:szCs w:val="18"/>
                <w:lang w:eastAsia="en-GB"/>
              </w:rPr>
            </w:pPr>
            <w:r w:rsidRPr="00D71008">
              <w:rPr>
                <w:noProof/>
                <w:sz w:val="18"/>
                <w:szCs w:val="18"/>
                <w:lang w:eastAsia="en-GB"/>
              </w:rPr>
              <w:t>Bad Salzuflen</w:t>
            </w:r>
          </w:p>
        </w:tc>
        <w:tc>
          <w:tcPr>
            <w:tcW w:w="817" w:type="pct"/>
            <w:noWrap/>
            <w:hideMark/>
          </w:tcPr>
          <w:p w14:paraId="0DC05767" w14:textId="77777777"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18" w:type="pct"/>
            <w:noWrap/>
            <w:hideMark/>
          </w:tcPr>
          <w:p w14:paraId="26E5C11E" w14:textId="77777777" w:rsidR="00C9752B" w:rsidRPr="00D71008" w:rsidRDefault="00C9752B" w:rsidP="00A20642">
            <w:pPr>
              <w:jc w:val="center"/>
              <w:rPr>
                <w:noProof/>
                <w:sz w:val="18"/>
                <w:szCs w:val="18"/>
                <w:lang w:eastAsia="en-GB"/>
              </w:rPr>
            </w:pPr>
            <w:r w:rsidRPr="00D71008">
              <w:rPr>
                <w:noProof/>
                <w:sz w:val="18"/>
                <w:szCs w:val="18"/>
                <w:lang w:eastAsia="en-GB"/>
              </w:rPr>
              <w:t>Pardubice</w:t>
            </w:r>
          </w:p>
        </w:tc>
        <w:tc>
          <w:tcPr>
            <w:tcW w:w="818" w:type="pct"/>
            <w:noWrap/>
            <w:hideMark/>
          </w:tcPr>
          <w:p w14:paraId="572E664D" w14:textId="2E9FD6EC" w:rsidR="00C9752B" w:rsidRPr="00D71008" w:rsidRDefault="00C9752B" w:rsidP="00A20642">
            <w:pPr>
              <w:jc w:val="center"/>
              <w:rPr>
                <w:noProof/>
                <w:sz w:val="18"/>
                <w:szCs w:val="18"/>
                <w:lang w:eastAsia="en-GB"/>
              </w:rPr>
            </w:pPr>
            <w:r w:rsidRPr="00D71008">
              <w:rPr>
                <w:noProof/>
                <w:sz w:val="18"/>
                <w:szCs w:val="18"/>
                <w:lang w:eastAsia="en-GB"/>
              </w:rPr>
              <w:t>Czech Republic</w:t>
            </w:r>
          </w:p>
        </w:tc>
        <w:tc>
          <w:tcPr>
            <w:tcW w:w="821" w:type="pct"/>
          </w:tcPr>
          <w:p w14:paraId="2A177FFA" w14:textId="77777777" w:rsidR="00C9752B" w:rsidRPr="00D71008" w:rsidRDefault="00C9752B" w:rsidP="00A20642">
            <w:pPr>
              <w:jc w:val="center"/>
              <w:rPr>
                <w:noProof/>
                <w:sz w:val="18"/>
                <w:szCs w:val="18"/>
                <w:lang w:eastAsia="en-GB"/>
              </w:rPr>
            </w:pPr>
            <w:r w:rsidRPr="00D71008">
              <w:rPr>
                <w:noProof/>
                <w:sz w:val="18"/>
                <w:szCs w:val="18"/>
                <w:lang w:eastAsia="en-GB"/>
              </w:rPr>
              <w:t>868 km</w:t>
            </w:r>
          </w:p>
        </w:tc>
      </w:tr>
      <w:tr w:rsidR="00C9752B" w:rsidRPr="00D71008" w14:paraId="5AFCE9EA" w14:textId="77777777" w:rsidTr="00090A1B">
        <w:trPr>
          <w:trHeight w:val="290"/>
        </w:trPr>
        <w:tc>
          <w:tcPr>
            <w:tcW w:w="817" w:type="pct"/>
          </w:tcPr>
          <w:p w14:paraId="156FA686" w14:textId="77777777" w:rsidR="00C9752B" w:rsidRPr="00D71008" w:rsidRDefault="00C9752B" w:rsidP="00A20642">
            <w:pPr>
              <w:jc w:val="center"/>
              <w:rPr>
                <w:noProof/>
                <w:sz w:val="18"/>
                <w:szCs w:val="18"/>
                <w:lang w:eastAsia="en-GB"/>
              </w:rPr>
            </w:pPr>
            <w:r w:rsidRPr="00D71008">
              <w:rPr>
                <w:noProof/>
                <w:sz w:val="18"/>
                <w:szCs w:val="18"/>
                <w:lang w:eastAsia="en-GB"/>
              </w:rPr>
              <w:t>98</w:t>
            </w:r>
          </w:p>
        </w:tc>
        <w:tc>
          <w:tcPr>
            <w:tcW w:w="909" w:type="pct"/>
            <w:noWrap/>
            <w:hideMark/>
          </w:tcPr>
          <w:p w14:paraId="77542AFC" w14:textId="77777777" w:rsidR="00C9752B" w:rsidRPr="00D71008" w:rsidRDefault="00C9752B" w:rsidP="00A20642">
            <w:pPr>
              <w:jc w:val="center"/>
              <w:rPr>
                <w:noProof/>
                <w:sz w:val="18"/>
                <w:szCs w:val="18"/>
                <w:lang w:eastAsia="en-GB"/>
              </w:rPr>
            </w:pPr>
            <w:r w:rsidRPr="00D71008">
              <w:rPr>
                <w:noProof/>
                <w:sz w:val="18"/>
                <w:szCs w:val="18"/>
                <w:lang w:eastAsia="en-GB"/>
              </w:rPr>
              <w:t>Crotone</w:t>
            </w:r>
          </w:p>
        </w:tc>
        <w:tc>
          <w:tcPr>
            <w:tcW w:w="817" w:type="pct"/>
            <w:noWrap/>
            <w:hideMark/>
          </w:tcPr>
          <w:p w14:paraId="7301EA3F" w14:textId="77777777" w:rsidR="00C9752B" w:rsidRPr="00D71008" w:rsidRDefault="00C9752B" w:rsidP="00A20642">
            <w:pPr>
              <w:jc w:val="center"/>
              <w:rPr>
                <w:noProof/>
                <w:sz w:val="18"/>
                <w:szCs w:val="18"/>
                <w:lang w:eastAsia="en-GB"/>
              </w:rPr>
            </w:pPr>
            <w:r w:rsidRPr="00D71008">
              <w:rPr>
                <w:noProof/>
                <w:sz w:val="18"/>
                <w:szCs w:val="18"/>
                <w:lang w:eastAsia="en-GB"/>
              </w:rPr>
              <w:t>Italy</w:t>
            </w:r>
          </w:p>
        </w:tc>
        <w:tc>
          <w:tcPr>
            <w:tcW w:w="818" w:type="pct"/>
            <w:noWrap/>
            <w:hideMark/>
          </w:tcPr>
          <w:p w14:paraId="2B8477E3" w14:textId="77777777" w:rsidR="00C9752B" w:rsidRPr="00D71008" w:rsidRDefault="00C9752B" w:rsidP="00A20642">
            <w:pPr>
              <w:jc w:val="center"/>
              <w:rPr>
                <w:noProof/>
                <w:sz w:val="18"/>
                <w:szCs w:val="18"/>
                <w:lang w:eastAsia="en-GB"/>
              </w:rPr>
            </w:pPr>
            <w:r w:rsidRPr="00D71008">
              <w:rPr>
                <w:noProof/>
                <w:sz w:val="18"/>
                <w:szCs w:val="18"/>
                <w:lang w:eastAsia="en-GB"/>
              </w:rPr>
              <w:t>Schwerte</w:t>
            </w:r>
          </w:p>
        </w:tc>
        <w:tc>
          <w:tcPr>
            <w:tcW w:w="818" w:type="pct"/>
            <w:noWrap/>
            <w:hideMark/>
          </w:tcPr>
          <w:p w14:paraId="13F802D4" w14:textId="6562D2B8" w:rsidR="00C9752B" w:rsidRPr="00D71008" w:rsidRDefault="00C9752B" w:rsidP="00A20642">
            <w:pPr>
              <w:jc w:val="center"/>
              <w:rPr>
                <w:noProof/>
                <w:sz w:val="18"/>
                <w:szCs w:val="18"/>
                <w:lang w:eastAsia="en-GB"/>
              </w:rPr>
            </w:pPr>
            <w:r w:rsidRPr="00D71008">
              <w:rPr>
                <w:noProof/>
                <w:sz w:val="18"/>
                <w:szCs w:val="18"/>
                <w:lang w:eastAsia="en-GB"/>
              </w:rPr>
              <w:t>Germany</w:t>
            </w:r>
          </w:p>
        </w:tc>
        <w:tc>
          <w:tcPr>
            <w:tcW w:w="821" w:type="pct"/>
          </w:tcPr>
          <w:p w14:paraId="2C913DCF" w14:textId="77777777" w:rsidR="00C9752B" w:rsidRPr="00D71008" w:rsidRDefault="00C9752B" w:rsidP="00A20642">
            <w:pPr>
              <w:jc w:val="center"/>
              <w:rPr>
                <w:noProof/>
                <w:sz w:val="18"/>
                <w:szCs w:val="18"/>
                <w:lang w:eastAsia="en-GB"/>
              </w:rPr>
            </w:pPr>
            <w:r w:rsidRPr="00D71008">
              <w:rPr>
                <w:noProof/>
                <w:sz w:val="18"/>
                <w:szCs w:val="18"/>
                <w:lang w:eastAsia="en-GB"/>
              </w:rPr>
              <w:t>2,147 km</w:t>
            </w:r>
          </w:p>
        </w:tc>
      </w:tr>
      <w:tr w:rsidR="00C9752B" w:rsidRPr="00D71008" w14:paraId="268F6124" w14:textId="77777777" w:rsidTr="00090A1B">
        <w:trPr>
          <w:trHeight w:val="290"/>
        </w:trPr>
        <w:tc>
          <w:tcPr>
            <w:tcW w:w="817" w:type="pct"/>
          </w:tcPr>
          <w:p w14:paraId="33A6AD4B" w14:textId="77777777" w:rsidR="00C9752B" w:rsidRPr="00D71008" w:rsidRDefault="00C9752B" w:rsidP="00A20642">
            <w:pPr>
              <w:jc w:val="center"/>
              <w:rPr>
                <w:noProof/>
                <w:sz w:val="18"/>
                <w:szCs w:val="18"/>
                <w:lang w:eastAsia="en-GB"/>
              </w:rPr>
            </w:pPr>
            <w:r w:rsidRPr="00D71008">
              <w:rPr>
                <w:noProof/>
                <w:sz w:val="18"/>
                <w:szCs w:val="18"/>
                <w:lang w:eastAsia="en-GB"/>
              </w:rPr>
              <w:t>99</w:t>
            </w:r>
          </w:p>
        </w:tc>
        <w:tc>
          <w:tcPr>
            <w:tcW w:w="909" w:type="pct"/>
            <w:noWrap/>
            <w:hideMark/>
          </w:tcPr>
          <w:p w14:paraId="1C52F6AE" w14:textId="77777777" w:rsidR="00C9752B" w:rsidRPr="00D71008" w:rsidRDefault="00C9752B" w:rsidP="00A20642">
            <w:pPr>
              <w:jc w:val="center"/>
              <w:rPr>
                <w:noProof/>
                <w:sz w:val="18"/>
                <w:szCs w:val="18"/>
                <w:lang w:eastAsia="en-GB"/>
              </w:rPr>
            </w:pPr>
            <w:r w:rsidRPr="00D71008">
              <w:rPr>
                <w:noProof/>
                <w:sz w:val="18"/>
                <w:szCs w:val="18"/>
                <w:lang w:eastAsia="en-GB"/>
              </w:rPr>
              <w:t>Lahti</w:t>
            </w:r>
          </w:p>
        </w:tc>
        <w:tc>
          <w:tcPr>
            <w:tcW w:w="817" w:type="pct"/>
            <w:noWrap/>
            <w:hideMark/>
          </w:tcPr>
          <w:p w14:paraId="35CE4249" w14:textId="77777777" w:rsidR="00C9752B" w:rsidRPr="00D71008" w:rsidRDefault="00C9752B" w:rsidP="00A20642">
            <w:pPr>
              <w:jc w:val="center"/>
              <w:rPr>
                <w:noProof/>
                <w:sz w:val="18"/>
                <w:szCs w:val="18"/>
                <w:lang w:eastAsia="en-GB"/>
              </w:rPr>
            </w:pPr>
            <w:r w:rsidRPr="00D71008">
              <w:rPr>
                <w:noProof/>
                <w:sz w:val="18"/>
                <w:szCs w:val="18"/>
                <w:lang w:eastAsia="en-GB"/>
              </w:rPr>
              <w:t>Finland</w:t>
            </w:r>
          </w:p>
        </w:tc>
        <w:tc>
          <w:tcPr>
            <w:tcW w:w="818" w:type="pct"/>
            <w:noWrap/>
            <w:hideMark/>
          </w:tcPr>
          <w:p w14:paraId="44D1B287" w14:textId="77777777" w:rsidR="00C9752B" w:rsidRPr="00D71008" w:rsidRDefault="00C9752B" w:rsidP="00A20642">
            <w:pPr>
              <w:jc w:val="center"/>
              <w:rPr>
                <w:noProof/>
                <w:sz w:val="18"/>
                <w:szCs w:val="18"/>
                <w:lang w:eastAsia="en-GB"/>
              </w:rPr>
            </w:pPr>
            <w:r w:rsidRPr="00D71008">
              <w:rPr>
                <w:noProof/>
                <w:sz w:val="18"/>
                <w:szCs w:val="18"/>
                <w:lang w:eastAsia="en-GB"/>
              </w:rPr>
              <w:t>Jönköping</w:t>
            </w:r>
          </w:p>
        </w:tc>
        <w:tc>
          <w:tcPr>
            <w:tcW w:w="818" w:type="pct"/>
            <w:noWrap/>
            <w:hideMark/>
          </w:tcPr>
          <w:p w14:paraId="3BBAADE0" w14:textId="36B8A6A9" w:rsidR="00C9752B" w:rsidRPr="00D71008" w:rsidRDefault="00C9752B" w:rsidP="00A20642">
            <w:pPr>
              <w:jc w:val="center"/>
              <w:rPr>
                <w:noProof/>
                <w:sz w:val="18"/>
                <w:szCs w:val="18"/>
                <w:lang w:eastAsia="en-GB"/>
              </w:rPr>
            </w:pPr>
            <w:r w:rsidRPr="00D71008">
              <w:rPr>
                <w:noProof/>
                <w:sz w:val="18"/>
                <w:szCs w:val="18"/>
                <w:lang w:eastAsia="en-GB"/>
              </w:rPr>
              <w:t>Sweden</w:t>
            </w:r>
          </w:p>
        </w:tc>
        <w:tc>
          <w:tcPr>
            <w:tcW w:w="821" w:type="pct"/>
          </w:tcPr>
          <w:p w14:paraId="03AD3322" w14:textId="77777777" w:rsidR="00C9752B" w:rsidRPr="00D71008" w:rsidRDefault="00C9752B" w:rsidP="00A20642">
            <w:pPr>
              <w:jc w:val="center"/>
              <w:rPr>
                <w:noProof/>
                <w:sz w:val="18"/>
                <w:szCs w:val="18"/>
                <w:lang w:eastAsia="en-GB"/>
              </w:rPr>
            </w:pPr>
            <w:r w:rsidRPr="00D71008">
              <w:rPr>
                <w:noProof/>
                <w:sz w:val="18"/>
                <w:szCs w:val="18"/>
                <w:lang w:eastAsia="en-GB"/>
              </w:rPr>
              <w:t>987 km</w:t>
            </w:r>
          </w:p>
        </w:tc>
      </w:tr>
      <w:tr w:rsidR="00C9752B" w:rsidRPr="00D71008" w14:paraId="1CF3691D" w14:textId="77777777" w:rsidTr="00090A1B">
        <w:trPr>
          <w:trHeight w:val="290"/>
        </w:trPr>
        <w:tc>
          <w:tcPr>
            <w:tcW w:w="817" w:type="pct"/>
          </w:tcPr>
          <w:p w14:paraId="658E67FC" w14:textId="77777777" w:rsidR="00C9752B" w:rsidRPr="00D71008" w:rsidRDefault="00C9752B" w:rsidP="00A20642">
            <w:pPr>
              <w:jc w:val="center"/>
              <w:rPr>
                <w:noProof/>
                <w:sz w:val="18"/>
                <w:szCs w:val="18"/>
                <w:lang w:eastAsia="en-GB"/>
              </w:rPr>
            </w:pPr>
            <w:r w:rsidRPr="00D71008">
              <w:rPr>
                <w:noProof/>
                <w:sz w:val="18"/>
                <w:szCs w:val="18"/>
                <w:lang w:eastAsia="en-GB"/>
              </w:rPr>
              <w:t>100</w:t>
            </w:r>
          </w:p>
        </w:tc>
        <w:tc>
          <w:tcPr>
            <w:tcW w:w="909" w:type="pct"/>
            <w:noWrap/>
            <w:hideMark/>
          </w:tcPr>
          <w:p w14:paraId="23381A72" w14:textId="77777777" w:rsidR="00C9752B" w:rsidRPr="00D71008" w:rsidRDefault="00C9752B" w:rsidP="00A20642">
            <w:pPr>
              <w:jc w:val="center"/>
              <w:rPr>
                <w:noProof/>
                <w:sz w:val="18"/>
                <w:szCs w:val="18"/>
                <w:lang w:eastAsia="en-GB"/>
              </w:rPr>
            </w:pPr>
            <w:r w:rsidRPr="00D71008">
              <w:rPr>
                <w:noProof/>
                <w:sz w:val="18"/>
                <w:szCs w:val="18"/>
                <w:lang w:eastAsia="en-GB"/>
              </w:rPr>
              <w:t>Pardubice</w:t>
            </w:r>
          </w:p>
        </w:tc>
        <w:tc>
          <w:tcPr>
            <w:tcW w:w="817" w:type="pct"/>
            <w:noWrap/>
            <w:hideMark/>
          </w:tcPr>
          <w:p w14:paraId="3A5B5078" w14:textId="77777777" w:rsidR="00C9752B" w:rsidRPr="00D71008" w:rsidRDefault="00C9752B" w:rsidP="00A20642">
            <w:pPr>
              <w:jc w:val="center"/>
              <w:rPr>
                <w:noProof/>
                <w:sz w:val="18"/>
                <w:szCs w:val="18"/>
                <w:lang w:eastAsia="en-GB"/>
              </w:rPr>
            </w:pPr>
            <w:r w:rsidRPr="00D71008">
              <w:rPr>
                <w:noProof/>
                <w:sz w:val="18"/>
                <w:szCs w:val="18"/>
                <w:lang w:eastAsia="en-GB"/>
              </w:rPr>
              <w:t>Czech Republic</w:t>
            </w:r>
          </w:p>
        </w:tc>
        <w:tc>
          <w:tcPr>
            <w:tcW w:w="818" w:type="pct"/>
            <w:noWrap/>
            <w:hideMark/>
          </w:tcPr>
          <w:p w14:paraId="5C2AE941" w14:textId="77777777" w:rsidR="00C9752B" w:rsidRPr="00D71008" w:rsidRDefault="00C9752B" w:rsidP="00A20642">
            <w:pPr>
              <w:jc w:val="center"/>
              <w:rPr>
                <w:noProof/>
                <w:sz w:val="18"/>
                <w:szCs w:val="18"/>
                <w:lang w:eastAsia="en-GB"/>
              </w:rPr>
            </w:pPr>
            <w:r w:rsidRPr="00D71008">
              <w:rPr>
                <w:noProof/>
                <w:sz w:val="18"/>
                <w:szCs w:val="18"/>
                <w:lang w:eastAsia="en-GB"/>
              </w:rPr>
              <w:t>Nyíregyháza</w:t>
            </w:r>
          </w:p>
        </w:tc>
        <w:tc>
          <w:tcPr>
            <w:tcW w:w="818" w:type="pct"/>
            <w:noWrap/>
            <w:hideMark/>
          </w:tcPr>
          <w:p w14:paraId="75433E66" w14:textId="453EC913" w:rsidR="00C9752B" w:rsidRPr="00D71008" w:rsidRDefault="00C9752B" w:rsidP="00A20642">
            <w:pPr>
              <w:jc w:val="center"/>
              <w:rPr>
                <w:noProof/>
                <w:sz w:val="18"/>
                <w:szCs w:val="18"/>
                <w:lang w:eastAsia="en-GB"/>
              </w:rPr>
            </w:pPr>
            <w:r w:rsidRPr="00D71008">
              <w:rPr>
                <w:noProof/>
                <w:sz w:val="18"/>
                <w:szCs w:val="18"/>
                <w:lang w:eastAsia="en-GB"/>
              </w:rPr>
              <w:t>Hungary</w:t>
            </w:r>
          </w:p>
        </w:tc>
        <w:tc>
          <w:tcPr>
            <w:tcW w:w="821" w:type="pct"/>
          </w:tcPr>
          <w:p w14:paraId="2FBDBC74" w14:textId="77777777" w:rsidR="00C9752B" w:rsidRPr="00D71008" w:rsidRDefault="00C9752B" w:rsidP="00A20642">
            <w:pPr>
              <w:keepNext/>
              <w:jc w:val="center"/>
              <w:rPr>
                <w:noProof/>
                <w:sz w:val="18"/>
                <w:szCs w:val="18"/>
                <w:lang w:eastAsia="en-GB"/>
              </w:rPr>
            </w:pPr>
            <w:r w:rsidRPr="00D71008">
              <w:rPr>
                <w:noProof/>
                <w:sz w:val="18"/>
                <w:szCs w:val="18"/>
                <w:lang w:eastAsia="en-GB"/>
              </w:rPr>
              <w:t>820 km</w:t>
            </w:r>
          </w:p>
        </w:tc>
      </w:tr>
    </w:tbl>
    <w:p w14:paraId="212D5014" w14:textId="77777777" w:rsidR="00330108" w:rsidRPr="00D71008" w:rsidRDefault="00330108" w:rsidP="00330108">
      <w:pPr>
        <w:tabs>
          <w:tab w:val="left" w:pos="2302"/>
        </w:tabs>
        <w:spacing w:after="240"/>
        <w:jc w:val="both"/>
        <w:rPr>
          <w:i/>
          <w:iCs/>
          <w:noProof/>
          <w:sz w:val="20"/>
          <w:szCs w:val="20"/>
        </w:rPr>
      </w:pPr>
      <w:r w:rsidRPr="00D71008">
        <w:rPr>
          <w:i/>
          <w:iCs/>
          <w:noProof/>
          <w:spacing w:val="-8"/>
          <w:sz w:val="20"/>
          <w:szCs w:val="20"/>
        </w:rPr>
        <w:t xml:space="preserve">Source: </w:t>
      </w:r>
      <w:r w:rsidRPr="00D71008">
        <w:rPr>
          <w:i/>
          <w:iCs/>
          <w:noProof/>
          <w:sz w:val="20"/>
          <w:szCs w:val="20"/>
        </w:rPr>
        <w:t>Ricardo et al. (2026), Impact assessment support study</w:t>
      </w:r>
    </w:p>
    <w:p w14:paraId="5B8FC2EE" w14:textId="4038579A" w:rsidR="00BB1D60" w:rsidRDefault="00355001" w:rsidP="00C95C50">
      <w:pPr>
        <w:spacing w:after="120"/>
        <w:rPr>
          <w:noProof/>
          <w:spacing w:val="-8"/>
        </w:rPr>
      </w:pPr>
      <w:r>
        <w:rPr>
          <w:noProof/>
          <w:spacing w:val="-8"/>
        </w:rPr>
        <w:t xml:space="preserve">The </w:t>
      </w:r>
      <w:r w:rsidRPr="00D71008">
        <w:rPr>
          <w:noProof/>
          <w:spacing w:val="-8"/>
        </w:rPr>
        <w:t xml:space="preserve">in-depth analysis of </w:t>
      </w:r>
      <w:r w:rsidR="001A5299">
        <w:rPr>
          <w:noProof/>
          <w:spacing w:val="-8"/>
        </w:rPr>
        <w:t xml:space="preserve">the </w:t>
      </w:r>
      <w:r w:rsidRPr="00D71008">
        <w:rPr>
          <w:noProof/>
          <w:spacing w:val="-8"/>
        </w:rPr>
        <w:t>100 transport routes</w:t>
      </w:r>
      <w:r>
        <w:rPr>
          <w:noProof/>
          <w:spacing w:val="-8"/>
        </w:rPr>
        <w:t xml:space="preserve"> shows that:</w:t>
      </w:r>
    </w:p>
    <w:p w14:paraId="64D5D177" w14:textId="352BDF34" w:rsidR="00EB70AE" w:rsidRPr="00E370D3" w:rsidRDefault="00EB70AE" w:rsidP="007B2D8E">
      <w:pPr>
        <w:pStyle w:val="ListParagraph"/>
        <w:numPr>
          <w:ilvl w:val="0"/>
          <w:numId w:val="9"/>
        </w:numPr>
        <w:spacing w:before="0" w:after="120"/>
        <w:ind w:left="284" w:hanging="284"/>
        <w:jc w:val="both"/>
        <w:rPr>
          <w:noProof/>
          <w:spacing w:val="-8"/>
          <w:sz w:val="24"/>
          <w:szCs w:val="24"/>
          <w:lang w:eastAsia="zh-CN"/>
        </w:rPr>
      </w:pPr>
      <w:r w:rsidRPr="00E370D3">
        <w:rPr>
          <w:noProof/>
          <w:spacing w:val="-8"/>
          <w:sz w:val="24"/>
          <w:szCs w:val="24"/>
          <w:lang w:eastAsia="zh-CN"/>
        </w:rPr>
        <w:t>For waterborne and land-based travel, m</w:t>
      </w:r>
      <w:r w:rsidR="006225B7" w:rsidRPr="00E370D3">
        <w:rPr>
          <w:noProof/>
          <w:spacing w:val="-8"/>
          <w:sz w:val="24"/>
          <w:szCs w:val="24"/>
          <w:lang w:eastAsia="zh-CN"/>
        </w:rPr>
        <w:t xml:space="preserve">ultimodal connections were possible in 76 out of the 100 assessed routes (76%) when booking directly through operators. The lack of multimodal booking functionality in MDMS could therefore be argued to limit options for consumers in 76% of routes. </w:t>
      </w:r>
    </w:p>
    <w:p w14:paraId="740F285F" w14:textId="4C857C1F" w:rsidR="00EA0769" w:rsidRPr="00E370D3" w:rsidRDefault="00EA0769" w:rsidP="007B2D8E">
      <w:pPr>
        <w:pStyle w:val="ListParagraph"/>
        <w:numPr>
          <w:ilvl w:val="0"/>
          <w:numId w:val="9"/>
        </w:numPr>
        <w:spacing w:before="0" w:after="120"/>
        <w:ind w:left="284" w:hanging="284"/>
        <w:jc w:val="both"/>
        <w:rPr>
          <w:noProof/>
          <w:spacing w:val="-8"/>
          <w:sz w:val="24"/>
          <w:szCs w:val="24"/>
          <w:lang w:eastAsia="zh-CN"/>
        </w:rPr>
      </w:pPr>
      <w:r w:rsidRPr="00E370D3">
        <w:rPr>
          <w:noProof/>
          <w:spacing w:val="-8"/>
          <w:sz w:val="24"/>
          <w:szCs w:val="24"/>
          <w:lang w:eastAsia="zh-CN"/>
        </w:rPr>
        <w:t xml:space="preserve">MDMS platforms missed rail or coach connections in 32 out of 83 cases (39%) where such connections were possible through direct operator booking (in 17 cases no land-based routes were identified). </w:t>
      </w:r>
    </w:p>
    <w:p w14:paraId="4BBCDDA0" w14:textId="32205163" w:rsidR="00EA0769" w:rsidRPr="00E370D3" w:rsidRDefault="00DA5A08" w:rsidP="007B2D8E">
      <w:pPr>
        <w:pStyle w:val="ListParagraph"/>
        <w:numPr>
          <w:ilvl w:val="0"/>
          <w:numId w:val="9"/>
        </w:numPr>
        <w:spacing w:before="0" w:after="120"/>
        <w:ind w:left="284" w:hanging="284"/>
        <w:jc w:val="both"/>
        <w:rPr>
          <w:noProof/>
          <w:spacing w:val="-8"/>
          <w:sz w:val="24"/>
          <w:szCs w:val="24"/>
          <w:lang w:eastAsia="zh-CN"/>
        </w:rPr>
      </w:pPr>
      <w:r w:rsidRPr="00E370D3">
        <w:rPr>
          <w:noProof/>
          <w:spacing w:val="-8"/>
          <w:sz w:val="24"/>
          <w:szCs w:val="24"/>
          <w:lang w:eastAsia="zh-CN"/>
        </w:rPr>
        <w:t>Booking</w:t>
      </w:r>
      <w:r w:rsidR="00EA0769" w:rsidRPr="00E370D3">
        <w:rPr>
          <w:noProof/>
          <w:spacing w:val="-8"/>
          <w:sz w:val="24"/>
          <w:szCs w:val="24"/>
          <w:lang w:eastAsia="zh-CN"/>
        </w:rPr>
        <w:t xml:space="preserve"> directly via operators provided faster connections than those available in an MDMS platform in 17% of the </w:t>
      </w:r>
      <w:r w:rsidR="002A1442" w:rsidRPr="00E370D3">
        <w:rPr>
          <w:noProof/>
          <w:spacing w:val="-8"/>
          <w:sz w:val="24"/>
          <w:szCs w:val="24"/>
          <w:lang w:eastAsia="zh-CN"/>
        </w:rPr>
        <w:t xml:space="preserve">waterborne and land-based </w:t>
      </w:r>
      <w:r w:rsidR="00EA0769" w:rsidRPr="00E370D3">
        <w:rPr>
          <w:noProof/>
          <w:spacing w:val="-8"/>
          <w:sz w:val="24"/>
          <w:szCs w:val="24"/>
          <w:lang w:eastAsia="zh-CN"/>
        </w:rPr>
        <w:t>assessed routes</w:t>
      </w:r>
      <w:r w:rsidR="00BA7E7D">
        <w:rPr>
          <w:noProof/>
          <w:spacing w:val="-8"/>
          <w:sz w:val="24"/>
          <w:szCs w:val="24"/>
          <w:lang w:eastAsia="zh-CN"/>
        </w:rPr>
        <w:t>.</w:t>
      </w:r>
      <w:r w:rsidR="00EA0769" w:rsidRPr="00E370D3">
        <w:rPr>
          <w:noProof/>
          <w:spacing w:val="-8"/>
          <w:sz w:val="24"/>
          <w:szCs w:val="24"/>
          <w:lang w:eastAsia="zh-CN"/>
        </w:rPr>
        <w:t xml:space="preserve"> </w:t>
      </w:r>
      <w:r w:rsidR="00BA7E7D">
        <w:rPr>
          <w:noProof/>
          <w:spacing w:val="-8"/>
          <w:sz w:val="24"/>
          <w:szCs w:val="24"/>
          <w:lang w:eastAsia="zh-CN"/>
        </w:rPr>
        <w:t>T</w:t>
      </w:r>
      <w:r w:rsidR="00EA0769" w:rsidRPr="00E370D3">
        <w:rPr>
          <w:noProof/>
          <w:spacing w:val="-8"/>
          <w:sz w:val="24"/>
          <w:szCs w:val="24"/>
          <w:lang w:eastAsia="zh-CN"/>
        </w:rPr>
        <w:t>his is strong evidence supporting</w:t>
      </w:r>
      <w:r w:rsidR="00695F05">
        <w:rPr>
          <w:noProof/>
          <w:spacing w:val="-8"/>
          <w:sz w:val="24"/>
          <w:szCs w:val="24"/>
          <w:lang w:eastAsia="zh-CN"/>
        </w:rPr>
        <w:t xml:space="preserve"> the fact</w:t>
      </w:r>
      <w:r w:rsidR="00EA0769" w:rsidRPr="00E370D3">
        <w:rPr>
          <w:noProof/>
          <w:spacing w:val="-8"/>
          <w:sz w:val="24"/>
          <w:szCs w:val="24"/>
          <w:lang w:eastAsia="zh-CN"/>
        </w:rPr>
        <w:t xml:space="preserve"> that travellers cannot see all options available to them on MDMS platforms, and that these missed options are sometimes faster, implying that travellers may be making suboptimal travel decisions. </w:t>
      </w:r>
    </w:p>
    <w:p w14:paraId="2997EAF6" w14:textId="37F78E8C" w:rsidR="00EA0769" w:rsidRPr="00E370D3" w:rsidRDefault="00EA0769" w:rsidP="007B2D8E">
      <w:pPr>
        <w:pStyle w:val="ListParagraph"/>
        <w:numPr>
          <w:ilvl w:val="0"/>
          <w:numId w:val="9"/>
        </w:numPr>
        <w:spacing w:before="0" w:after="120"/>
        <w:ind w:left="284" w:hanging="284"/>
        <w:jc w:val="both"/>
        <w:rPr>
          <w:noProof/>
          <w:spacing w:val="-8"/>
          <w:sz w:val="24"/>
          <w:szCs w:val="24"/>
          <w:lang w:eastAsia="zh-CN"/>
        </w:rPr>
      </w:pPr>
      <w:r w:rsidRPr="00E370D3">
        <w:rPr>
          <w:noProof/>
          <w:spacing w:val="-8"/>
          <w:sz w:val="24"/>
          <w:szCs w:val="24"/>
          <w:lang w:eastAsia="zh-CN"/>
        </w:rPr>
        <w:t xml:space="preserve">In 29 out of the 100 pairs assessed (29%), it was not possible to see a train connection in the MDMS platform where one was available on the website of the operator(s). This problem seems to be slightly more concentrated in domestic routes (17 of 29 instances). The problem also persists in </w:t>
      </w:r>
      <w:r w:rsidR="00042857">
        <w:rPr>
          <w:noProof/>
          <w:spacing w:val="-8"/>
          <w:sz w:val="24"/>
          <w:szCs w:val="24"/>
          <w:lang w:eastAsia="zh-CN"/>
        </w:rPr>
        <w:t>coach</w:t>
      </w:r>
      <w:r w:rsidR="00042857" w:rsidRPr="00E370D3">
        <w:rPr>
          <w:noProof/>
          <w:spacing w:val="-8"/>
          <w:sz w:val="24"/>
          <w:szCs w:val="24"/>
          <w:lang w:eastAsia="zh-CN"/>
        </w:rPr>
        <w:t xml:space="preserve"> </w:t>
      </w:r>
      <w:r w:rsidRPr="00E370D3">
        <w:rPr>
          <w:noProof/>
          <w:spacing w:val="-8"/>
          <w:sz w:val="24"/>
          <w:szCs w:val="24"/>
          <w:lang w:eastAsia="zh-CN"/>
        </w:rPr>
        <w:t xml:space="preserve">travel, although to a lesser extent (7 out of 100, or 7%). This is indicative that platforms are not displaying all possible operators, which could be reflective of uneven access. </w:t>
      </w:r>
    </w:p>
    <w:p w14:paraId="441DB1F0" w14:textId="6F1EA867" w:rsidR="00EA0769" w:rsidRPr="00E370D3" w:rsidRDefault="00EA0769" w:rsidP="007B2D8E">
      <w:pPr>
        <w:pStyle w:val="ListParagraph"/>
        <w:numPr>
          <w:ilvl w:val="0"/>
          <w:numId w:val="9"/>
        </w:numPr>
        <w:spacing w:before="0" w:after="120"/>
        <w:ind w:left="284" w:hanging="284"/>
        <w:jc w:val="both"/>
        <w:rPr>
          <w:noProof/>
          <w:spacing w:val="-8"/>
          <w:sz w:val="24"/>
          <w:szCs w:val="24"/>
          <w:lang w:eastAsia="zh-CN"/>
        </w:rPr>
      </w:pPr>
      <w:r w:rsidRPr="00E370D3">
        <w:rPr>
          <w:noProof/>
          <w:spacing w:val="-8"/>
          <w:sz w:val="24"/>
          <w:szCs w:val="24"/>
          <w:lang w:eastAsia="zh-CN"/>
        </w:rPr>
        <w:t xml:space="preserve">Out of 100 OD pairs, direct bookings offered cheaper connections in 34 cases (34%). Among these, direct train bookings were cheaper in 19 pairs, while direct coach bookings were cheaper in 12 pairs. Additionally, in 22 of the 34 cases, a multimodal option was cheaper through direct booking (note that various modes can be cheaper within the same OD pair, so these numbers </w:t>
      </w:r>
      <w:r w:rsidR="00846598" w:rsidRPr="00E370D3">
        <w:rPr>
          <w:noProof/>
          <w:spacing w:val="-8"/>
          <w:sz w:val="24"/>
          <w:szCs w:val="24"/>
          <w:lang w:eastAsia="zh-CN"/>
        </w:rPr>
        <w:t>do</w:t>
      </w:r>
      <w:r w:rsidRPr="00E370D3">
        <w:rPr>
          <w:noProof/>
          <w:spacing w:val="-8"/>
          <w:sz w:val="24"/>
          <w:szCs w:val="24"/>
          <w:lang w:eastAsia="zh-CN"/>
        </w:rPr>
        <w:t xml:space="preserve"> not total to 34). However, it must be stressed that the cost data collected directly via operator websites was for a point further in the future (Wednesday 17th September 2025) than the costs extracted from Omio (Wednesday 16th July 2025). This limits the comparability of the results, since tickets booked further in advance are typically priced cheaper by operators to encourage smoothing of expected demand. It is therefore likely that the indicated proportion of routes where MDMS are not showing the cheapest connections is overestimated. Moreover, comparisons in cost</w:t>
      </w:r>
      <w:r w:rsidR="0088224F">
        <w:rPr>
          <w:noProof/>
          <w:spacing w:val="-8"/>
          <w:sz w:val="24"/>
          <w:szCs w:val="24"/>
          <w:lang w:eastAsia="zh-CN"/>
        </w:rPr>
        <w:t>s</w:t>
      </w:r>
      <w:r w:rsidRPr="00E370D3">
        <w:rPr>
          <w:noProof/>
          <w:spacing w:val="-8"/>
          <w:sz w:val="24"/>
          <w:szCs w:val="24"/>
          <w:lang w:eastAsia="zh-CN"/>
        </w:rPr>
        <w:t xml:space="preserve"> were only directly available in 56/100 of the OD pairs, bringing into question the representativeness of the sample in an already targeted selection of 100 OD pairs.</w:t>
      </w:r>
      <w:r w:rsidRPr="00E370D3" w:rsidDel="008F6FF2">
        <w:rPr>
          <w:noProof/>
          <w:spacing w:val="-8"/>
          <w:sz w:val="24"/>
          <w:szCs w:val="24"/>
          <w:lang w:eastAsia="zh-CN"/>
        </w:rPr>
        <w:t xml:space="preserve"> </w:t>
      </w:r>
      <w:r w:rsidR="00832046">
        <w:rPr>
          <w:noProof/>
          <w:spacing w:val="-8"/>
          <w:sz w:val="24"/>
          <w:szCs w:val="24"/>
          <w:lang w:eastAsia="zh-CN"/>
        </w:rPr>
        <w:t xml:space="preserve"> </w:t>
      </w:r>
    </w:p>
    <w:p w14:paraId="31C3F918" w14:textId="60D27A79" w:rsidR="00EA0769" w:rsidRPr="00E370D3" w:rsidRDefault="00EA0769" w:rsidP="007B2D8E">
      <w:pPr>
        <w:pStyle w:val="ListParagraph"/>
        <w:numPr>
          <w:ilvl w:val="0"/>
          <w:numId w:val="9"/>
        </w:numPr>
        <w:spacing w:before="0" w:after="120"/>
        <w:ind w:left="284" w:hanging="284"/>
        <w:jc w:val="both"/>
        <w:rPr>
          <w:noProof/>
          <w:spacing w:val="-8"/>
          <w:sz w:val="24"/>
          <w:szCs w:val="24"/>
          <w:lang w:eastAsia="zh-CN"/>
        </w:rPr>
      </w:pPr>
      <w:r w:rsidRPr="00E370D3">
        <w:rPr>
          <w:noProof/>
          <w:spacing w:val="-8"/>
          <w:sz w:val="24"/>
          <w:szCs w:val="24"/>
          <w:lang w:eastAsia="zh-CN"/>
        </w:rPr>
        <w:t>A separate set of conclusions is presented for flights given limitations</w:t>
      </w:r>
      <w:r w:rsidR="00AE2D3A" w:rsidRPr="00E370D3">
        <w:rPr>
          <w:noProof/>
          <w:spacing w:val="-8"/>
          <w:sz w:val="24"/>
          <w:szCs w:val="24"/>
          <w:lang w:eastAsia="zh-CN"/>
        </w:rPr>
        <w:t xml:space="preserve"> to the analysis in this mode</w:t>
      </w:r>
      <w:r w:rsidRPr="00E370D3">
        <w:rPr>
          <w:noProof/>
          <w:spacing w:val="-8"/>
          <w:sz w:val="24"/>
          <w:szCs w:val="24"/>
          <w:lang w:eastAsia="zh-CN"/>
        </w:rPr>
        <w:t xml:space="preserve">. Firstly, in order to create comparability with land- and sea-based forms of travel, it is necessary to account for the considerable time spent at airports checking in and going through security. </w:t>
      </w:r>
      <w:r w:rsidR="00AB2F77">
        <w:rPr>
          <w:noProof/>
          <w:spacing w:val="-8"/>
          <w:sz w:val="24"/>
          <w:szCs w:val="24"/>
          <w:lang w:eastAsia="zh-CN"/>
        </w:rPr>
        <w:t>T</w:t>
      </w:r>
      <w:r w:rsidRPr="00E370D3">
        <w:rPr>
          <w:noProof/>
          <w:spacing w:val="-8"/>
          <w:sz w:val="24"/>
          <w:szCs w:val="24"/>
          <w:lang w:eastAsia="zh-CN"/>
        </w:rPr>
        <w:t>herefore</w:t>
      </w:r>
      <w:r w:rsidR="00AB2F77">
        <w:rPr>
          <w:noProof/>
          <w:spacing w:val="-8"/>
          <w:sz w:val="24"/>
          <w:szCs w:val="24"/>
          <w:lang w:eastAsia="zh-CN"/>
        </w:rPr>
        <w:t>,</w:t>
      </w:r>
      <w:r w:rsidRPr="00E370D3" w:rsidDel="00AB2F77">
        <w:rPr>
          <w:noProof/>
          <w:spacing w:val="-8"/>
          <w:sz w:val="24"/>
          <w:szCs w:val="24"/>
          <w:lang w:eastAsia="zh-CN"/>
        </w:rPr>
        <w:t xml:space="preserve"> </w:t>
      </w:r>
      <w:r w:rsidRPr="00E370D3">
        <w:rPr>
          <w:noProof/>
          <w:spacing w:val="-8"/>
          <w:sz w:val="24"/>
          <w:szCs w:val="24"/>
          <w:lang w:eastAsia="zh-CN"/>
        </w:rPr>
        <w:t xml:space="preserve">two hours of additional time </w:t>
      </w:r>
      <w:r w:rsidR="00AB2F77">
        <w:rPr>
          <w:noProof/>
          <w:spacing w:val="-8"/>
          <w:sz w:val="24"/>
          <w:szCs w:val="24"/>
          <w:lang w:eastAsia="zh-CN"/>
        </w:rPr>
        <w:t xml:space="preserve">has been assumed </w:t>
      </w:r>
      <w:r w:rsidRPr="00E370D3">
        <w:rPr>
          <w:noProof/>
          <w:spacing w:val="-8"/>
          <w:sz w:val="24"/>
          <w:szCs w:val="24"/>
          <w:lang w:eastAsia="zh-CN"/>
        </w:rPr>
        <w:t xml:space="preserve">for this, applied to both the direct booking and MDMS channels, although this will vary in reality based on passenger attitudes towards risk of delays and recommendations from each airport and service carrier. Secondly, it </w:t>
      </w:r>
      <w:r w:rsidR="003765C2">
        <w:rPr>
          <w:noProof/>
          <w:spacing w:val="-8"/>
          <w:sz w:val="24"/>
          <w:szCs w:val="24"/>
          <w:lang w:eastAsia="zh-CN"/>
        </w:rPr>
        <w:t>should be stressed</w:t>
      </w:r>
      <w:r w:rsidRPr="00E370D3">
        <w:rPr>
          <w:noProof/>
          <w:spacing w:val="-8"/>
          <w:sz w:val="24"/>
          <w:szCs w:val="24"/>
          <w:lang w:eastAsia="zh-CN"/>
        </w:rPr>
        <w:t xml:space="preserve"> that Omio only considers the time spent in flight and waiting between connections for their estimated time duration. </w:t>
      </w:r>
      <w:r w:rsidR="00CE3F27" w:rsidRPr="00E370D3">
        <w:rPr>
          <w:noProof/>
          <w:spacing w:val="-8"/>
          <w:sz w:val="24"/>
          <w:szCs w:val="24"/>
          <w:lang w:eastAsia="zh-CN"/>
        </w:rPr>
        <w:t>I</w:t>
      </w:r>
      <w:r w:rsidRPr="00E370D3">
        <w:rPr>
          <w:noProof/>
          <w:spacing w:val="-8"/>
          <w:sz w:val="24"/>
          <w:szCs w:val="24"/>
          <w:lang w:eastAsia="zh-CN"/>
        </w:rPr>
        <w:t xml:space="preserve">t was therefore necessary to assume some additional time needed to travel to/from the airport for the Omio results only. </w:t>
      </w:r>
      <w:r w:rsidR="00433D8C">
        <w:rPr>
          <w:noProof/>
          <w:spacing w:val="-8"/>
          <w:sz w:val="24"/>
          <w:szCs w:val="24"/>
          <w:lang w:eastAsia="zh-CN"/>
        </w:rPr>
        <w:t>A</w:t>
      </w:r>
      <w:r w:rsidRPr="00E370D3">
        <w:rPr>
          <w:noProof/>
          <w:spacing w:val="-8"/>
          <w:sz w:val="24"/>
          <w:szCs w:val="24"/>
          <w:lang w:eastAsia="zh-CN"/>
        </w:rPr>
        <w:t xml:space="preserve">n average of two hours </w:t>
      </w:r>
      <w:r w:rsidR="00433D8C">
        <w:rPr>
          <w:noProof/>
          <w:spacing w:val="-8"/>
          <w:sz w:val="24"/>
          <w:szCs w:val="24"/>
          <w:lang w:eastAsia="zh-CN"/>
        </w:rPr>
        <w:t xml:space="preserve">was assumed </w:t>
      </w:r>
      <w:r w:rsidRPr="00E370D3">
        <w:rPr>
          <w:noProof/>
          <w:spacing w:val="-8"/>
          <w:sz w:val="24"/>
          <w:szCs w:val="24"/>
          <w:lang w:eastAsia="zh-CN"/>
        </w:rPr>
        <w:t xml:space="preserve">in each case, additional to the two-hour check-in time noted above; one hour to get to the origin airport, and another hour to reach the city centre from the destination airport. Finally, it should be noted that Omio is more focussed on land-based travel while other platforms that focus more on air travel might have found improved air offerings (e.g. Edreams or Etraveli). </w:t>
      </w:r>
    </w:p>
    <w:p w14:paraId="684B3B2C" w14:textId="77777777" w:rsidR="00EA0769" w:rsidRPr="00E370D3" w:rsidRDefault="00EA0769" w:rsidP="007B2D8E">
      <w:pPr>
        <w:pStyle w:val="ListParagraph"/>
        <w:numPr>
          <w:ilvl w:val="0"/>
          <w:numId w:val="9"/>
        </w:numPr>
        <w:spacing w:before="0" w:after="120"/>
        <w:ind w:left="284" w:hanging="284"/>
        <w:jc w:val="both"/>
        <w:rPr>
          <w:noProof/>
          <w:spacing w:val="-8"/>
          <w:sz w:val="24"/>
          <w:szCs w:val="24"/>
          <w:lang w:eastAsia="zh-CN"/>
        </w:rPr>
      </w:pPr>
      <w:r w:rsidRPr="00E370D3">
        <w:rPr>
          <w:noProof/>
          <w:spacing w:val="-8"/>
          <w:sz w:val="24"/>
          <w:szCs w:val="24"/>
          <w:lang w:eastAsia="zh-CN"/>
        </w:rPr>
        <w:t>In 16 out of 100 OD pairs (16%), land-based transport modes remained competitive with air travel, offering journey durations that were within ±20% of flight travel time.</w:t>
      </w:r>
    </w:p>
    <w:p w14:paraId="2929FD26" w14:textId="02DF04CA" w:rsidR="00EA0769" w:rsidRPr="00E370D3" w:rsidRDefault="00EA0769" w:rsidP="007B2D8E">
      <w:pPr>
        <w:pStyle w:val="ListParagraph"/>
        <w:numPr>
          <w:ilvl w:val="0"/>
          <w:numId w:val="9"/>
        </w:numPr>
        <w:spacing w:before="0" w:after="120"/>
        <w:ind w:left="284" w:hanging="284"/>
        <w:jc w:val="both"/>
        <w:rPr>
          <w:noProof/>
          <w:spacing w:val="-8"/>
          <w:sz w:val="24"/>
          <w:szCs w:val="24"/>
          <w:lang w:eastAsia="zh-CN"/>
        </w:rPr>
      </w:pPr>
      <w:r w:rsidRPr="00E370D3">
        <w:rPr>
          <w:noProof/>
          <w:spacing w:val="-8"/>
          <w:sz w:val="24"/>
          <w:szCs w:val="24"/>
          <w:lang w:eastAsia="zh-CN"/>
        </w:rPr>
        <w:t>In 33 out of 100</w:t>
      </w:r>
      <w:r w:rsidRPr="00E370D3" w:rsidDel="00EF7DB7">
        <w:rPr>
          <w:noProof/>
          <w:spacing w:val="-8"/>
          <w:sz w:val="24"/>
          <w:szCs w:val="24"/>
          <w:lang w:eastAsia="zh-CN"/>
        </w:rPr>
        <w:t xml:space="preserve"> </w:t>
      </w:r>
      <w:r w:rsidRPr="00E370D3">
        <w:rPr>
          <w:noProof/>
          <w:spacing w:val="-8"/>
          <w:sz w:val="24"/>
          <w:szCs w:val="24"/>
          <w:lang w:eastAsia="zh-CN"/>
        </w:rPr>
        <w:t>OD pairs (33%), MDMS failed to identify bookings that were available directly via operators. This suggests that direct airline booking platforms may offer a broader range of flight connections than those aggregated by MDMS, highlighting a potential gap in coverage for air travel options on the platform.</w:t>
      </w:r>
    </w:p>
    <w:p w14:paraId="4AE15F70" w14:textId="40C758B4" w:rsidR="00EA0769" w:rsidRPr="00E370D3" w:rsidRDefault="00EA0769" w:rsidP="007B2D8E">
      <w:pPr>
        <w:pStyle w:val="ListParagraph"/>
        <w:numPr>
          <w:ilvl w:val="0"/>
          <w:numId w:val="9"/>
        </w:numPr>
        <w:spacing w:before="0" w:after="240"/>
        <w:ind w:left="284" w:hanging="284"/>
        <w:jc w:val="both"/>
        <w:rPr>
          <w:noProof/>
          <w:spacing w:val="-8"/>
          <w:sz w:val="24"/>
          <w:szCs w:val="24"/>
          <w:lang w:eastAsia="zh-CN"/>
        </w:rPr>
      </w:pPr>
      <w:r w:rsidRPr="00E370D3">
        <w:rPr>
          <w:noProof/>
          <w:spacing w:val="-8"/>
          <w:sz w:val="24"/>
          <w:szCs w:val="24"/>
          <w:lang w:eastAsia="zh-CN"/>
        </w:rPr>
        <w:t>In 32 out of 100 OD pairs (32%), direct booking flights were found to be faster than the options listed on Omio. This suggests that direct operator bookings can also offer significant time savings compared to MDMS.</w:t>
      </w:r>
    </w:p>
    <w:p w14:paraId="27DC4BE9" w14:textId="5AC63956" w:rsidR="00F1793D" w:rsidRDefault="003E4822" w:rsidP="00F1793D">
      <w:pPr>
        <w:spacing w:after="240"/>
        <w:jc w:val="both"/>
        <w:rPr>
          <w:noProof/>
          <w:spacing w:val="-8"/>
          <w:lang w:eastAsia="zh-CN"/>
        </w:rPr>
      </w:pPr>
      <w:r>
        <w:rPr>
          <w:noProof/>
          <w:spacing w:val="-8"/>
          <w:lang w:eastAsia="zh-CN"/>
        </w:rPr>
        <w:t>C</w:t>
      </w:r>
      <w:r w:rsidRPr="008035CB">
        <w:rPr>
          <w:noProof/>
          <w:spacing w:val="-8"/>
          <w:lang w:eastAsia="zh-CN"/>
        </w:rPr>
        <w:t>lusters of routes</w:t>
      </w:r>
      <w:r w:rsidDel="00CF4DC2">
        <w:rPr>
          <w:noProof/>
          <w:spacing w:val="-8"/>
          <w:lang w:eastAsia="zh-CN"/>
        </w:rPr>
        <w:t xml:space="preserve"> </w:t>
      </w:r>
      <w:r w:rsidR="00CF4DC2">
        <w:rPr>
          <w:noProof/>
          <w:spacing w:val="-8"/>
          <w:lang w:eastAsia="zh-CN"/>
        </w:rPr>
        <w:t xml:space="preserve">were </w:t>
      </w:r>
      <w:r>
        <w:rPr>
          <w:noProof/>
          <w:spacing w:val="-8"/>
          <w:lang w:eastAsia="zh-CN"/>
        </w:rPr>
        <w:t>further defined</w:t>
      </w:r>
      <w:r w:rsidR="005A6A94">
        <w:rPr>
          <w:noProof/>
          <w:spacing w:val="-8"/>
          <w:lang w:eastAsia="zh-CN"/>
        </w:rPr>
        <w:t xml:space="preserve"> in the context of the impact assessment support study,</w:t>
      </w:r>
      <w:r w:rsidR="006212F0">
        <w:rPr>
          <w:noProof/>
          <w:spacing w:val="-8"/>
          <w:lang w:eastAsia="zh-CN"/>
        </w:rPr>
        <w:t xml:space="preserve"> based on the </w:t>
      </w:r>
      <w:r w:rsidR="006212F0" w:rsidRPr="006212F0">
        <w:rPr>
          <w:noProof/>
          <w:spacing w:val="-8"/>
          <w:lang w:eastAsia="zh-CN"/>
        </w:rPr>
        <w:t>100 representative EU transport routes</w:t>
      </w:r>
      <w:r w:rsidR="00B33668">
        <w:rPr>
          <w:noProof/>
          <w:spacing w:val="-8"/>
          <w:lang w:eastAsia="zh-CN"/>
        </w:rPr>
        <w:t>. These clusters</w:t>
      </w:r>
      <w:r>
        <w:rPr>
          <w:noProof/>
          <w:spacing w:val="-8"/>
          <w:lang w:eastAsia="zh-CN"/>
        </w:rPr>
        <w:t xml:space="preserve"> </w:t>
      </w:r>
      <w:r w:rsidR="00332774">
        <w:rPr>
          <w:noProof/>
          <w:spacing w:val="-8"/>
          <w:lang w:eastAsia="zh-CN"/>
        </w:rPr>
        <w:t xml:space="preserve">are used </w:t>
      </w:r>
      <w:r w:rsidR="00C27DB4">
        <w:rPr>
          <w:noProof/>
          <w:spacing w:val="-8"/>
          <w:lang w:eastAsia="zh-CN"/>
        </w:rPr>
        <w:t>in</w:t>
      </w:r>
      <w:r>
        <w:rPr>
          <w:noProof/>
          <w:spacing w:val="-8"/>
          <w:lang w:eastAsia="zh-CN"/>
        </w:rPr>
        <w:t xml:space="preserve"> </w:t>
      </w:r>
      <w:r w:rsidR="000A0C0D" w:rsidRPr="008035CB">
        <w:rPr>
          <w:noProof/>
          <w:spacing w:val="-8"/>
          <w:lang w:eastAsia="zh-CN"/>
        </w:rPr>
        <w:t>the</w:t>
      </w:r>
      <w:r w:rsidR="00846BD0" w:rsidRPr="008035CB">
        <w:rPr>
          <w:noProof/>
          <w:spacing w:val="-8"/>
          <w:lang w:eastAsia="zh-CN"/>
        </w:rPr>
        <w:t xml:space="preserve"> </w:t>
      </w:r>
      <w:r w:rsidR="00F215EE" w:rsidRPr="008035CB">
        <w:rPr>
          <w:noProof/>
          <w:spacing w:val="-8"/>
          <w:lang w:eastAsia="zh-CN"/>
        </w:rPr>
        <w:t>analys</w:t>
      </w:r>
      <w:r w:rsidR="000A0C0D" w:rsidRPr="008035CB">
        <w:rPr>
          <w:noProof/>
          <w:spacing w:val="-8"/>
          <w:lang w:eastAsia="zh-CN"/>
        </w:rPr>
        <w:t>is of</w:t>
      </w:r>
      <w:r w:rsidR="00152FEC" w:rsidRPr="008035CB">
        <w:rPr>
          <w:noProof/>
          <w:spacing w:val="-8"/>
          <w:lang w:eastAsia="zh-CN"/>
        </w:rPr>
        <w:t xml:space="preserve"> impact</w:t>
      </w:r>
      <w:r w:rsidR="00741BF1" w:rsidRPr="008035CB">
        <w:rPr>
          <w:noProof/>
          <w:spacing w:val="-8"/>
          <w:lang w:eastAsia="zh-CN"/>
        </w:rPr>
        <w:t>s</w:t>
      </w:r>
      <w:r w:rsidR="00152FEC" w:rsidRPr="008035CB">
        <w:rPr>
          <w:noProof/>
          <w:spacing w:val="-8"/>
          <w:lang w:eastAsia="zh-CN"/>
        </w:rPr>
        <w:t xml:space="preserve"> of </w:t>
      </w:r>
      <w:r w:rsidR="009D0D5E" w:rsidRPr="008035CB">
        <w:rPr>
          <w:noProof/>
          <w:spacing w:val="-8"/>
          <w:lang w:eastAsia="zh-CN"/>
        </w:rPr>
        <w:t xml:space="preserve">the </w:t>
      </w:r>
      <w:r w:rsidR="00152FEC" w:rsidRPr="008035CB">
        <w:rPr>
          <w:noProof/>
          <w:spacing w:val="-8"/>
          <w:lang w:eastAsia="zh-CN"/>
        </w:rPr>
        <w:t xml:space="preserve">policy measures on modal shift </w:t>
      </w:r>
      <w:r w:rsidR="005420F4" w:rsidRPr="008035CB">
        <w:rPr>
          <w:noProof/>
          <w:spacing w:val="-8"/>
          <w:lang w:eastAsia="zh-CN"/>
        </w:rPr>
        <w:t xml:space="preserve">in the </w:t>
      </w:r>
      <w:r w:rsidR="005420F4" w:rsidRPr="008035CB">
        <w:rPr>
          <w:i/>
          <w:noProof/>
          <w:spacing w:val="-8"/>
        </w:rPr>
        <w:t>Multi Parameter Analysis (MPA) module</w:t>
      </w:r>
      <w:r w:rsidR="0033731A" w:rsidRPr="008035CB">
        <w:rPr>
          <w:noProof/>
          <w:spacing w:val="-8"/>
          <w:lang w:eastAsia="zh-CN"/>
        </w:rPr>
        <w:t>.</w:t>
      </w:r>
      <w:r w:rsidR="003C0DDC" w:rsidRPr="008035CB">
        <w:rPr>
          <w:noProof/>
          <w:spacing w:val="-8"/>
          <w:lang w:eastAsia="zh-CN"/>
        </w:rPr>
        <w:t xml:space="preserve"> </w:t>
      </w:r>
      <w:r w:rsidR="00EB3856">
        <w:rPr>
          <w:noProof/>
          <w:spacing w:val="-8"/>
          <w:lang w:eastAsia="zh-CN"/>
        </w:rPr>
        <w:t>The clusters</w:t>
      </w:r>
      <w:r w:rsidR="003C0DDC" w:rsidRPr="008035CB">
        <w:rPr>
          <w:noProof/>
          <w:spacing w:val="-8"/>
          <w:lang w:eastAsia="zh-CN"/>
        </w:rPr>
        <w:t xml:space="preserve"> allow</w:t>
      </w:r>
      <w:r w:rsidR="00152FEC" w:rsidRPr="008035CB">
        <w:rPr>
          <w:noProof/>
          <w:spacing w:val="-8"/>
          <w:lang w:eastAsia="zh-CN"/>
        </w:rPr>
        <w:t xml:space="preserve"> to consider the fact that policy measures may have different impacts </w:t>
      </w:r>
      <w:r w:rsidR="00090503">
        <w:rPr>
          <w:noProof/>
          <w:spacing w:val="-8"/>
          <w:lang w:eastAsia="zh-CN"/>
        </w:rPr>
        <w:t xml:space="preserve">on modal shift </w:t>
      </w:r>
      <w:r w:rsidR="00152FEC" w:rsidRPr="008035CB">
        <w:rPr>
          <w:noProof/>
          <w:spacing w:val="-8"/>
          <w:lang w:eastAsia="zh-CN"/>
        </w:rPr>
        <w:t xml:space="preserve">depending on the characteristics of routes where MDMS may be deployed. </w:t>
      </w:r>
      <w:r w:rsidR="00E72A48">
        <w:rPr>
          <w:noProof/>
          <w:spacing w:val="-8"/>
          <w:lang w:eastAsia="zh-CN"/>
        </w:rPr>
        <w:t>They</w:t>
      </w:r>
      <w:r w:rsidR="00152FEC" w:rsidRPr="008035CB">
        <w:rPr>
          <w:noProof/>
          <w:spacing w:val="-8"/>
          <w:lang w:eastAsia="zh-CN"/>
        </w:rPr>
        <w:t xml:space="preserve"> capture differences between routes with complex transport choices, including multimodal and multi-operator combinations, and those with simpler transport choices, as the latter would be expected to benefit less from MDMS. In addition, some policy measures only affect specific transport modes (e.g. rail), and/or</w:t>
      </w:r>
      <w:r w:rsidR="00A41306">
        <w:rPr>
          <w:noProof/>
          <w:spacing w:val="-8"/>
          <w:lang w:eastAsia="zh-CN"/>
        </w:rPr>
        <w:t xml:space="preserve"> situations</w:t>
      </w:r>
      <w:r w:rsidR="00152FEC" w:rsidRPr="008035CB">
        <w:rPr>
          <w:noProof/>
          <w:spacing w:val="-8"/>
          <w:lang w:eastAsia="zh-CN"/>
        </w:rPr>
        <w:t xml:space="preserve"> where there is </w:t>
      </w:r>
      <w:r w:rsidR="00C662C3">
        <w:rPr>
          <w:noProof/>
          <w:spacing w:val="-8"/>
          <w:lang w:eastAsia="zh-CN"/>
        </w:rPr>
        <w:t>no</w:t>
      </w:r>
      <w:r w:rsidR="00152FEC" w:rsidRPr="008035CB">
        <w:rPr>
          <w:noProof/>
          <w:spacing w:val="-8"/>
          <w:lang w:eastAsia="zh-CN"/>
        </w:rPr>
        <w:t xml:space="preserve"> competition between MDMS </w:t>
      </w:r>
      <w:r w:rsidR="00BC3EBA">
        <w:rPr>
          <w:noProof/>
          <w:spacing w:val="-8"/>
          <w:lang w:eastAsia="zh-CN"/>
        </w:rPr>
        <w:t>platforms</w:t>
      </w:r>
      <w:r w:rsidR="00BC3EBA" w:rsidRPr="008035CB">
        <w:rPr>
          <w:noProof/>
          <w:spacing w:val="-8"/>
          <w:lang w:eastAsia="zh-CN"/>
        </w:rPr>
        <w:t xml:space="preserve"> </w:t>
      </w:r>
      <w:r w:rsidR="00152FEC" w:rsidRPr="008035CB">
        <w:rPr>
          <w:noProof/>
          <w:spacing w:val="-8"/>
          <w:lang w:eastAsia="zh-CN"/>
        </w:rPr>
        <w:t xml:space="preserve">or </w:t>
      </w:r>
      <w:r w:rsidR="009E2648">
        <w:rPr>
          <w:noProof/>
          <w:spacing w:val="-8"/>
          <w:lang w:eastAsia="zh-CN"/>
        </w:rPr>
        <w:t>transport</w:t>
      </w:r>
      <w:r w:rsidR="009E2648" w:rsidRPr="008035CB">
        <w:rPr>
          <w:noProof/>
          <w:spacing w:val="-8"/>
          <w:lang w:eastAsia="zh-CN"/>
        </w:rPr>
        <w:t xml:space="preserve"> </w:t>
      </w:r>
      <w:r w:rsidR="00152FEC" w:rsidRPr="008035CB">
        <w:rPr>
          <w:noProof/>
          <w:spacing w:val="-8"/>
          <w:lang w:eastAsia="zh-CN"/>
        </w:rPr>
        <w:t xml:space="preserve">operators. </w:t>
      </w:r>
      <w:r w:rsidR="00D66EA1">
        <w:rPr>
          <w:noProof/>
          <w:spacing w:val="-8"/>
          <w:lang w:eastAsia="zh-CN"/>
        </w:rPr>
        <w:t>The</w:t>
      </w:r>
      <w:r w:rsidR="00152FEC" w:rsidRPr="008035CB">
        <w:rPr>
          <w:noProof/>
          <w:spacing w:val="-8"/>
          <w:lang w:eastAsia="zh-CN"/>
        </w:rPr>
        <w:t xml:space="preserve"> clusters are representative of the scope of routes </w:t>
      </w:r>
      <w:r w:rsidR="00F90389">
        <w:rPr>
          <w:noProof/>
          <w:spacing w:val="-8"/>
          <w:lang w:eastAsia="zh-CN"/>
        </w:rPr>
        <w:t xml:space="preserve">relevant for this impact assessment </w:t>
      </w:r>
      <w:r w:rsidR="00152FEC" w:rsidRPr="008035CB">
        <w:rPr>
          <w:noProof/>
          <w:spacing w:val="-8"/>
          <w:lang w:eastAsia="zh-CN"/>
        </w:rPr>
        <w:t>(i.e. regional, national long-distance and international) for the extrapolation of results at Member State and EU level.</w:t>
      </w:r>
    </w:p>
    <w:p w14:paraId="760D028C" w14:textId="438A1F50" w:rsidR="00F741B7" w:rsidRPr="00EB4B3E" w:rsidRDefault="00F741B7" w:rsidP="00F741B7">
      <w:pPr>
        <w:spacing w:after="120"/>
        <w:jc w:val="both"/>
        <w:rPr>
          <w:noProof/>
          <w:spacing w:val="-8"/>
          <w:lang w:eastAsia="zh-CN"/>
        </w:rPr>
      </w:pPr>
      <w:r w:rsidRPr="00EB4B3E">
        <w:rPr>
          <w:noProof/>
          <w:spacing w:val="-8"/>
          <w:lang w:eastAsia="zh-CN"/>
        </w:rPr>
        <w:t>The following three criteria were used to define the clusters</w:t>
      </w:r>
      <w:r w:rsidR="00D92221">
        <w:rPr>
          <w:noProof/>
          <w:spacing w:val="-8"/>
          <w:lang w:eastAsia="zh-CN"/>
        </w:rPr>
        <w:t>, that are presented in the table below</w:t>
      </w:r>
      <w:r w:rsidRPr="00EB4B3E">
        <w:rPr>
          <w:noProof/>
          <w:spacing w:val="-8"/>
          <w:lang w:eastAsia="zh-CN"/>
        </w:rPr>
        <w:t>:</w:t>
      </w:r>
    </w:p>
    <w:p w14:paraId="6C27AF4A" w14:textId="77777777" w:rsidR="00F741B7" w:rsidRPr="00EB4B3E" w:rsidRDefault="00F741B7" w:rsidP="007B2D8E">
      <w:pPr>
        <w:numPr>
          <w:ilvl w:val="0"/>
          <w:numId w:val="14"/>
        </w:numPr>
        <w:spacing w:after="120"/>
        <w:ind w:left="360"/>
        <w:jc w:val="both"/>
        <w:rPr>
          <w:noProof/>
          <w:spacing w:val="-8"/>
          <w:lang w:eastAsia="zh-CN"/>
        </w:rPr>
      </w:pPr>
      <w:r w:rsidRPr="00EB4B3E">
        <w:rPr>
          <w:b/>
          <w:noProof/>
          <w:spacing w:val="-8"/>
          <w:lang w:eastAsia="zh-CN"/>
        </w:rPr>
        <w:t>Journey type:</w:t>
      </w:r>
      <w:r w:rsidRPr="00EB4B3E">
        <w:rPr>
          <w:noProof/>
          <w:spacing w:val="-8"/>
          <w:lang w:eastAsia="zh-CN"/>
        </w:rPr>
        <w:t xml:space="preserve"> </w:t>
      </w:r>
      <w:r>
        <w:rPr>
          <w:noProof/>
          <w:spacing w:val="-8"/>
          <w:lang w:eastAsia="zh-CN"/>
        </w:rPr>
        <w:t>T</w:t>
      </w:r>
      <w:r w:rsidRPr="00EB4B3E">
        <w:rPr>
          <w:noProof/>
          <w:spacing w:val="-8"/>
          <w:lang w:eastAsia="zh-CN"/>
        </w:rPr>
        <w:t xml:space="preserve">his criterion ensures that </w:t>
      </w:r>
      <w:r>
        <w:rPr>
          <w:noProof/>
          <w:spacing w:val="-8"/>
          <w:lang w:eastAsia="zh-CN"/>
        </w:rPr>
        <w:t>the</w:t>
      </w:r>
      <w:r w:rsidRPr="00EB4B3E">
        <w:rPr>
          <w:noProof/>
          <w:spacing w:val="-8"/>
          <w:lang w:eastAsia="zh-CN"/>
        </w:rPr>
        <w:t xml:space="preserve"> differentiated impacts between national and international routes (including cross-border)</w:t>
      </w:r>
      <w:r>
        <w:rPr>
          <w:noProof/>
          <w:spacing w:val="-8"/>
          <w:lang w:eastAsia="zh-CN"/>
        </w:rPr>
        <w:t xml:space="preserve"> are captured</w:t>
      </w:r>
      <w:r w:rsidRPr="00EB4B3E">
        <w:rPr>
          <w:noProof/>
          <w:spacing w:val="-8"/>
          <w:lang w:eastAsia="zh-CN"/>
        </w:rPr>
        <w:t xml:space="preserve">. Only inter-NUTS3 trips </w:t>
      </w:r>
      <w:r>
        <w:rPr>
          <w:noProof/>
          <w:spacing w:val="-8"/>
          <w:lang w:eastAsia="zh-CN"/>
        </w:rPr>
        <w:t>are</w:t>
      </w:r>
      <w:r w:rsidRPr="00EB4B3E">
        <w:rPr>
          <w:noProof/>
          <w:spacing w:val="-8"/>
          <w:lang w:eastAsia="zh-CN"/>
        </w:rPr>
        <w:t xml:space="preserve"> considered. </w:t>
      </w:r>
    </w:p>
    <w:p w14:paraId="497CA298" w14:textId="4D86BE96" w:rsidR="00F741B7" w:rsidRDefault="00F741B7" w:rsidP="007B2D8E">
      <w:pPr>
        <w:pStyle w:val="ListParagraph"/>
        <w:widowControl/>
        <w:numPr>
          <w:ilvl w:val="0"/>
          <w:numId w:val="14"/>
        </w:numPr>
        <w:autoSpaceDE/>
        <w:autoSpaceDN/>
        <w:spacing w:before="0" w:after="120"/>
        <w:ind w:left="360"/>
        <w:jc w:val="both"/>
        <w:rPr>
          <w:noProof/>
          <w:spacing w:val="-8"/>
          <w:sz w:val="24"/>
          <w:szCs w:val="24"/>
          <w:lang w:eastAsia="zh-CN"/>
        </w:rPr>
      </w:pPr>
      <w:r w:rsidRPr="00EB4B3E">
        <w:rPr>
          <w:b/>
          <w:noProof/>
          <w:spacing w:val="-8"/>
          <w:sz w:val="24"/>
          <w:szCs w:val="24"/>
          <w:lang w:eastAsia="zh-CN"/>
        </w:rPr>
        <w:t xml:space="preserve">Member State advancement </w:t>
      </w:r>
      <w:r>
        <w:rPr>
          <w:b/>
          <w:noProof/>
          <w:spacing w:val="-8"/>
          <w:sz w:val="24"/>
          <w:szCs w:val="24"/>
          <w:lang w:eastAsia="zh-CN"/>
        </w:rPr>
        <w:t>on</w:t>
      </w:r>
      <w:r w:rsidRPr="00EB4B3E">
        <w:rPr>
          <w:b/>
          <w:noProof/>
          <w:spacing w:val="-8"/>
          <w:sz w:val="24"/>
          <w:szCs w:val="24"/>
          <w:lang w:eastAsia="zh-CN"/>
        </w:rPr>
        <w:t xml:space="preserve"> MDMS</w:t>
      </w:r>
      <w:r w:rsidRPr="00EB4B3E">
        <w:rPr>
          <w:noProof/>
          <w:spacing w:val="-8"/>
          <w:sz w:val="24"/>
          <w:szCs w:val="24"/>
          <w:lang w:eastAsia="zh-CN"/>
        </w:rPr>
        <w:t xml:space="preserve">: </w:t>
      </w:r>
      <w:r>
        <w:rPr>
          <w:noProof/>
          <w:spacing w:val="-8"/>
          <w:sz w:val="24"/>
          <w:szCs w:val="24"/>
          <w:lang w:eastAsia="zh-CN"/>
        </w:rPr>
        <w:t>T</w:t>
      </w:r>
      <w:r w:rsidRPr="00EB4B3E">
        <w:rPr>
          <w:noProof/>
          <w:spacing w:val="-8"/>
          <w:sz w:val="24"/>
          <w:szCs w:val="24"/>
          <w:lang w:eastAsia="zh-CN"/>
        </w:rPr>
        <w:t xml:space="preserve">his criterion ensures that </w:t>
      </w:r>
      <w:r>
        <w:rPr>
          <w:noProof/>
          <w:spacing w:val="-8"/>
          <w:sz w:val="24"/>
          <w:szCs w:val="24"/>
          <w:lang w:eastAsia="zh-CN"/>
        </w:rPr>
        <w:t>the</w:t>
      </w:r>
      <w:r w:rsidRPr="00EB4B3E">
        <w:rPr>
          <w:noProof/>
          <w:spacing w:val="-8"/>
          <w:sz w:val="24"/>
          <w:szCs w:val="24"/>
          <w:lang w:eastAsia="zh-CN"/>
        </w:rPr>
        <w:t xml:space="preserve"> differentiated impacts between </w:t>
      </w:r>
      <w:r>
        <w:rPr>
          <w:noProof/>
          <w:spacing w:val="-8"/>
          <w:sz w:val="24"/>
          <w:szCs w:val="24"/>
          <w:lang w:eastAsia="zh-CN"/>
        </w:rPr>
        <w:t>Member States</w:t>
      </w:r>
      <w:r w:rsidRPr="00EB4B3E">
        <w:rPr>
          <w:noProof/>
          <w:spacing w:val="-8"/>
          <w:sz w:val="24"/>
          <w:szCs w:val="24"/>
          <w:lang w:eastAsia="zh-CN"/>
        </w:rPr>
        <w:t xml:space="preserve"> with different levels of MDMS market maturity</w:t>
      </w:r>
      <w:r>
        <w:rPr>
          <w:noProof/>
          <w:spacing w:val="-8"/>
          <w:sz w:val="24"/>
          <w:szCs w:val="24"/>
          <w:lang w:eastAsia="zh-CN"/>
        </w:rPr>
        <w:t xml:space="preserve"> are captured</w:t>
      </w:r>
      <w:r w:rsidRPr="00EB4B3E">
        <w:rPr>
          <w:noProof/>
          <w:spacing w:val="-8"/>
          <w:sz w:val="24"/>
          <w:szCs w:val="24"/>
          <w:lang w:eastAsia="zh-CN"/>
        </w:rPr>
        <w:t xml:space="preserve">. </w:t>
      </w:r>
      <w:r w:rsidR="00A66E96">
        <w:rPr>
          <w:noProof/>
          <w:spacing w:val="-8"/>
          <w:sz w:val="24"/>
          <w:szCs w:val="24"/>
          <w:lang w:eastAsia="zh-CN"/>
        </w:rPr>
        <w:t>Member States</w:t>
      </w:r>
      <w:r w:rsidR="00A66E96" w:rsidRPr="00EB4B3E">
        <w:rPr>
          <w:noProof/>
          <w:spacing w:val="-8"/>
          <w:sz w:val="24"/>
          <w:szCs w:val="24"/>
          <w:lang w:eastAsia="zh-CN"/>
        </w:rPr>
        <w:t xml:space="preserve"> </w:t>
      </w:r>
      <w:r>
        <w:rPr>
          <w:noProof/>
          <w:spacing w:val="-8"/>
          <w:sz w:val="24"/>
          <w:szCs w:val="24"/>
          <w:lang w:eastAsia="zh-CN"/>
        </w:rPr>
        <w:t>are</w:t>
      </w:r>
      <w:r w:rsidRPr="00EB4B3E">
        <w:rPr>
          <w:noProof/>
          <w:spacing w:val="-8"/>
          <w:sz w:val="24"/>
          <w:szCs w:val="24"/>
          <w:lang w:eastAsia="zh-CN"/>
        </w:rPr>
        <w:t xml:space="preserve"> grouped into three categories based on the availability of platforms and the number of users</w:t>
      </w:r>
      <w:r>
        <w:rPr>
          <w:noProof/>
          <w:spacing w:val="-8"/>
          <w:sz w:val="24"/>
          <w:szCs w:val="24"/>
          <w:lang w:eastAsia="zh-CN"/>
        </w:rPr>
        <w:t>:</w:t>
      </w:r>
      <w:r w:rsidRPr="00EB4B3E">
        <w:rPr>
          <w:noProof/>
          <w:spacing w:val="-8"/>
          <w:sz w:val="24"/>
          <w:szCs w:val="24"/>
          <w:lang w:eastAsia="zh-CN"/>
        </w:rPr>
        <w:t xml:space="preserve"> </w:t>
      </w:r>
      <w:r>
        <w:rPr>
          <w:noProof/>
          <w:spacing w:val="-8"/>
          <w:sz w:val="24"/>
          <w:szCs w:val="24"/>
          <w:lang w:eastAsia="zh-CN"/>
        </w:rPr>
        <w:t>l</w:t>
      </w:r>
      <w:r w:rsidRPr="00EB4B3E">
        <w:rPr>
          <w:noProof/>
          <w:spacing w:val="-8"/>
          <w:sz w:val="24"/>
          <w:szCs w:val="24"/>
          <w:lang w:eastAsia="zh-CN"/>
        </w:rPr>
        <w:t xml:space="preserve">eaders, </w:t>
      </w:r>
      <w:r>
        <w:rPr>
          <w:noProof/>
          <w:spacing w:val="-8"/>
          <w:sz w:val="24"/>
          <w:szCs w:val="24"/>
          <w:lang w:eastAsia="zh-CN"/>
        </w:rPr>
        <w:t>p</w:t>
      </w:r>
      <w:r w:rsidRPr="00EB4B3E">
        <w:rPr>
          <w:noProof/>
          <w:spacing w:val="-8"/>
          <w:sz w:val="24"/>
          <w:szCs w:val="24"/>
          <w:lang w:eastAsia="zh-CN"/>
        </w:rPr>
        <w:t xml:space="preserve">lanned </w:t>
      </w:r>
      <w:r>
        <w:rPr>
          <w:noProof/>
          <w:spacing w:val="-8"/>
          <w:sz w:val="24"/>
          <w:szCs w:val="24"/>
          <w:lang w:eastAsia="zh-CN"/>
        </w:rPr>
        <w:t>a</w:t>
      </w:r>
      <w:r w:rsidRPr="00EB4B3E">
        <w:rPr>
          <w:noProof/>
          <w:spacing w:val="-8"/>
          <w:sz w:val="24"/>
          <w:szCs w:val="24"/>
          <w:lang w:eastAsia="zh-CN"/>
        </w:rPr>
        <w:t xml:space="preserve">dopters, and </w:t>
      </w:r>
      <w:r>
        <w:rPr>
          <w:noProof/>
          <w:spacing w:val="-8"/>
          <w:sz w:val="24"/>
          <w:szCs w:val="24"/>
          <w:lang w:eastAsia="zh-CN"/>
        </w:rPr>
        <w:t>f</w:t>
      </w:r>
      <w:r w:rsidRPr="00EB4B3E">
        <w:rPr>
          <w:noProof/>
          <w:spacing w:val="-8"/>
          <w:sz w:val="24"/>
          <w:szCs w:val="24"/>
          <w:lang w:eastAsia="zh-CN"/>
        </w:rPr>
        <w:t xml:space="preserve">ollowers. </w:t>
      </w:r>
      <w:r w:rsidR="006961F2">
        <w:rPr>
          <w:noProof/>
          <w:spacing w:val="-8"/>
          <w:sz w:val="24"/>
          <w:szCs w:val="24"/>
          <w:lang w:eastAsia="zh-CN"/>
        </w:rPr>
        <w:t>I</w:t>
      </w:r>
      <w:r w:rsidR="00113AB9" w:rsidRPr="00113AB9">
        <w:rPr>
          <w:noProof/>
          <w:spacing w:val="-8"/>
          <w:sz w:val="24"/>
          <w:szCs w:val="24"/>
          <w:lang w:eastAsia="zh-CN"/>
        </w:rPr>
        <w:t xml:space="preserve">t should </w:t>
      </w:r>
      <w:r w:rsidR="006961F2">
        <w:rPr>
          <w:noProof/>
          <w:spacing w:val="-8"/>
          <w:sz w:val="24"/>
          <w:szCs w:val="24"/>
          <w:lang w:eastAsia="zh-CN"/>
        </w:rPr>
        <w:t xml:space="preserve">however </w:t>
      </w:r>
      <w:r w:rsidR="00113AB9" w:rsidRPr="00113AB9">
        <w:rPr>
          <w:noProof/>
          <w:spacing w:val="-8"/>
          <w:sz w:val="24"/>
          <w:szCs w:val="24"/>
          <w:lang w:eastAsia="zh-CN"/>
        </w:rPr>
        <w:t>be noted that planned adopter/follower groups exhibit similar behaviour. Conversely, policy measures that encourage competition among platforms and/or transport operators are likely to impact leaders and planned adopters/followers differently: (i) in leader Member States, enforcing fair data practices and limiting the power of platforms/operators with significant market presence may be more effective, given the availability of other national platforms with similar functionality that could capture the market share; (ii) in planned adopter/follower Member States, the effect may be limited, as alternatives for platform substitution are scarce (such as in Malta and Cyprus), or the user base is insufficient to foster significant growth in a competitor platform (such as in Belgium), or both (such as in Hungary).</w:t>
      </w:r>
    </w:p>
    <w:p w14:paraId="4D766CAC" w14:textId="7CB46DA5" w:rsidR="00F741B7" w:rsidRPr="00EB4B3E" w:rsidRDefault="00F741B7" w:rsidP="007B2D8E">
      <w:pPr>
        <w:numPr>
          <w:ilvl w:val="0"/>
          <w:numId w:val="14"/>
        </w:numPr>
        <w:spacing w:after="240"/>
        <w:ind w:left="360"/>
        <w:jc w:val="both"/>
        <w:rPr>
          <w:noProof/>
          <w:spacing w:val="-8"/>
          <w:lang w:eastAsia="zh-CN"/>
        </w:rPr>
      </w:pPr>
      <w:r w:rsidRPr="00EB4B3E">
        <w:rPr>
          <w:b/>
          <w:noProof/>
          <w:spacing w:val="-8"/>
          <w:lang w:eastAsia="zh-CN"/>
        </w:rPr>
        <w:t>Attractiveness of origin or destination nodes</w:t>
      </w:r>
      <w:r w:rsidRPr="00EB4B3E">
        <w:rPr>
          <w:noProof/>
          <w:spacing w:val="-8"/>
          <w:lang w:eastAsia="zh-CN"/>
        </w:rPr>
        <w:t xml:space="preserve">: This criterion </w:t>
      </w:r>
      <w:r>
        <w:rPr>
          <w:noProof/>
          <w:spacing w:val="-8"/>
          <w:lang w:eastAsia="zh-CN"/>
        </w:rPr>
        <w:t>is</w:t>
      </w:r>
      <w:r w:rsidRPr="00EB4B3E">
        <w:rPr>
          <w:noProof/>
          <w:spacing w:val="-8"/>
          <w:lang w:eastAsia="zh-CN"/>
        </w:rPr>
        <w:t xml:space="preserve"> selected as a proxy of the route’s characteristics, availability of connections, competition between operators, and attitude of passengers, which can contribute to the differentiated</w:t>
      </w:r>
      <w:r>
        <w:rPr>
          <w:noProof/>
          <w:spacing w:val="-8"/>
          <w:lang w:eastAsia="zh-CN"/>
        </w:rPr>
        <w:t xml:space="preserve"> impacts</w:t>
      </w:r>
      <w:r w:rsidRPr="00EB4B3E">
        <w:rPr>
          <w:noProof/>
          <w:spacing w:val="-8"/>
          <w:lang w:eastAsia="zh-CN"/>
        </w:rPr>
        <w:t xml:space="preserve"> of the policy measure</w:t>
      </w:r>
      <w:r>
        <w:rPr>
          <w:noProof/>
          <w:spacing w:val="-8"/>
          <w:lang w:eastAsia="zh-CN"/>
        </w:rPr>
        <w:t>s</w:t>
      </w:r>
      <w:r w:rsidRPr="00EB4B3E">
        <w:rPr>
          <w:noProof/>
          <w:spacing w:val="-8"/>
          <w:lang w:eastAsia="zh-CN"/>
        </w:rPr>
        <w:t>. A more attractive route</w:t>
      </w:r>
      <w:r>
        <w:rPr>
          <w:noProof/>
          <w:spacing w:val="-8"/>
          <w:lang w:eastAsia="zh-CN"/>
        </w:rPr>
        <w:t xml:space="preserve">, </w:t>
      </w:r>
      <w:r w:rsidRPr="00EB4B3E">
        <w:rPr>
          <w:noProof/>
          <w:spacing w:val="-8"/>
          <w:lang w:eastAsia="zh-CN"/>
        </w:rPr>
        <w:t>involving higher demand</w:t>
      </w:r>
      <w:r>
        <w:rPr>
          <w:noProof/>
          <w:spacing w:val="-8"/>
          <w:lang w:eastAsia="zh-CN"/>
        </w:rPr>
        <w:t>,</w:t>
      </w:r>
      <w:r w:rsidRPr="00EB4B3E">
        <w:rPr>
          <w:noProof/>
          <w:spacing w:val="-8"/>
          <w:lang w:eastAsia="zh-CN"/>
        </w:rPr>
        <w:t xml:space="preserve"> is likely to have more transport options available and more complex choices, so there might be a higher added value of MDMS platforms</w:t>
      </w:r>
      <w:r>
        <w:rPr>
          <w:noProof/>
          <w:spacing w:val="-8"/>
          <w:lang w:eastAsia="zh-CN"/>
        </w:rPr>
        <w:t xml:space="preserve"> for such route</w:t>
      </w:r>
      <w:r w:rsidRPr="00EB4B3E">
        <w:rPr>
          <w:noProof/>
          <w:spacing w:val="-8"/>
          <w:lang w:eastAsia="zh-CN"/>
        </w:rPr>
        <w:t>. NUTS3 regions were grouped into ‘Attractive’ and ‘Moderately attractive’ based on their economic output (GDP) and touristic attractiveness (</w:t>
      </w:r>
      <w:r>
        <w:rPr>
          <w:noProof/>
          <w:spacing w:val="-8"/>
          <w:lang w:eastAsia="zh-CN"/>
        </w:rPr>
        <w:t xml:space="preserve">number of </w:t>
      </w:r>
      <w:r w:rsidRPr="00EB4B3E">
        <w:rPr>
          <w:noProof/>
          <w:spacing w:val="-8"/>
          <w:lang w:eastAsia="zh-CN"/>
        </w:rPr>
        <w:t xml:space="preserve">bed </w:t>
      </w:r>
      <w:r>
        <w:rPr>
          <w:noProof/>
          <w:spacing w:val="-8"/>
          <w:lang w:eastAsia="zh-CN"/>
        </w:rPr>
        <w:t>places</w:t>
      </w:r>
      <w:r w:rsidRPr="00EB4B3E">
        <w:rPr>
          <w:noProof/>
          <w:spacing w:val="-8"/>
          <w:lang w:eastAsia="zh-CN"/>
        </w:rPr>
        <w:t xml:space="preserve"> for tourism), with routes categorised according to the combination of origin and destination </w:t>
      </w:r>
      <w:r>
        <w:rPr>
          <w:noProof/>
          <w:spacing w:val="-8"/>
          <w:lang w:eastAsia="zh-CN"/>
        </w:rPr>
        <w:t xml:space="preserve">at </w:t>
      </w:r>
      <w:r w:rsidRPr="00EB4B3E">
        <w:rPr>
          <w:noProof/>
          <w:spacing w:val="-8"/>
          <w:lang w:eastAsia="zh-CN"/>
        </w:rPr>
        <w:t xml:space="preserve">NUTS3 </w:t>
      </w:r>
      <w:r>
        <w:rPr>
          <w:noProof/>
          <w:spacing w:val="-8"/>
          <w:lang w:eastAsia="zh-CN"/>
        </w:rPr>
        <w:t>level</w:t>
      </w:r>
      <w:r w:rsidRPr="00EB4B3E">
        <w:rPr>
          <w:noProof/>
          <w:spacing w:val="-8"/>
          <w:lang w:eastAsia="zh-CN"/>
        </w:rPr>
        <w:t xml:space="preserve">. </w:t>
      </w:r>
    </w:p>
    <w:p w14:paraId="4DF35700" w14:textId="5378E653" w:rsidR="00F0609A" w:rsidRPr="00BB05EB" w:rsidRDefault="00F0609A" w:rsidP="004530C7">
      <w:pPr>
        <w:keepNext/>
        <w:tabs>
          <w:tab w:val="left" w:pos="1134"/>
        </w:tabs>
        <w:rPr>
          <w:i/>
          <w:noProof/>
          <w:sz w:val="22"/>
          <w:szCs w:val="22"/>
        </w:rPr>
      </w:pPr>
      <w:bookmarkStart w:id="326" w:name="_Ref222156488"/>
      <w:r w:rsidRPr="00BB05EB">
        <w:rPr>
          <w:i/>
          <w:noProof/>
          <w:sz w:val="22"/>
          <w:szCs w:val="22"/>
        </w:rPr>
        <w:t>Table</w:t>
      </w:r>
      <w:bookmarkEnd w:id="326"/>
      <w:r w:rsidRPr="00BB05EB">
        <w:rPr>
          <w:i/>
          <w:noProof/>
          <w:sz w:val="22"/>
          <w:szCs w:val="22"/>
        </w:rPr>
        <w:t xml:space="preserve"> </w:t>
      </w:r>
      <w:r w:rsidRPr="00BB05EB">
        <w:rPr>
          <w:bCs/>
          <w:i/>
          <w:iCs/>
          <w:noProof/>
          <w:sz w:val="22"/>
          <w:szCs w:val="22"/>
        </w:rPr>
        <w:fldChar w:fldCharType="begin"/>
      </w:r>
      <w:r w:rsidRPr="00BB05EB">
        <w:rPr>
          <w:i/>
          <w:noProof/>
          <w:sz w:val="22"/>
          <w:szCs w:val="22"/>
        </w:rPr>
        <w:instrText xml:space="preserve"> SEQ Table \* ARABIC </w:instrText>
      </w:r>
      <w:r w:rsidRPr="00BB05EB">
        <w:rPr>
          <w:bCs/>
          <w:i/>
          <w:iCs/>
          <w:noProof/>
          <w:sz w:val="22"/>
          <w:szCs w:val="22"/>
        </w:rPr>
        <w:fldChar w:fldCharType="separate"/>
      </w:r>
      <w:r w:rsidR="0055391F">
        <w:rPr>
          <w:i/>
          <w:noProof/>
          <w:sz w:val="22"/>
          <w:szCs w:val="22"/>
        </w:rPr>
        <w:t>39</w:t>
      </w:r>
      <w:r w:rsidRPr="00BB05EB">
        <w:rPr>
          <w:bCs/>
          <w:i/>
          <w:iCs/>
          <w:noProof/>
          <w:sz w:val="22"/>
          <w:szCs w:val="22"/>
        </w:rPr>
        <w:fldChar w:fldCharType="end"/>
      </w:r>
      <w:r w:rsidRPr="00BB05EB">
        <w:rPr>
          <w:i/>
          <w:noProof/>
          <w:sz w:val="22"/>
          <w:szCs w:val="22"/>
        </w:rPr>
        <w:t xml:space="preserve">: </w:t>
      </w:r>
      <w:r w:rsidR="00CC4232" w:rsidRPr="00BB05EB">
        <w:rPr>
          <w:i/>
          <w:noProof/>
          <w:sz w:val="22"/>
          <w:szCs w:val="22"/>
        </w:rPr>
        <w:t>Clusters of OD routes used in the modelling framework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123"/>
        <w:gridCol w:w="2971"/>
        <w:gridCol w:w="2950"/>
      </w:tblGrid>
      <w:tr w:rsidR="002708AD" w:rsidRPr="00F0609A" w14:paraId="160C8C3B" w14:textId="3D136B6F" w:rsidTr="0061597C">
        <w:trPr>
          <w:trHeight w:val="485"/>
          <w:tblHeader/>
        </w:trPr>
        <w:tc>
          <w:tcPr>
            <w:tcW w:w="811" w:type="pct"/>
            <w:shd w:val="clear" w:color="auto" w:fill="0070C0"/>
            <w:hideMark/>
          </w:tcPr>
          <w:p w14:paraId="5BDA40F8" w14:textId="77777777" w:rsidR="002708AD" w:rsidRPr="00F0609A" w:rsidRDefault="002708AD" w:rsidP="004530C7">
            <w:pPr>
              <w:keepNext/>
              <w:rPr>
                <w:b/>
                <w:bCs/>
                <w:noProof/>
                <w:color w:val="FFFFFF" w:themeColor="background1"/>
                <w:sz w:val="20"/>
                <w:szCs w:val="20"/>
              </w:rPr>
            </w:pPr>
            <w:r w:rsidRPr="00F0609A">
              <w:rPr>
                <w:b/>
                <w:bCs/>
                <w:noProof/>
                <w:color w:val="FFFFFF" w:themeColor="background1"/>
                <w:sz w:val="20"/>
                <w:szCs w:val="20"/>
              </w:rPr>
              <w:t>Cluster ID</w:t>
            </w:r>
          </w:p>
        </w:tc>
        <w:tc>
          <w:tcPr>
            <w:tcW w:w="1105" w:type="pct"/>
            <w:shd w:val="clear" w:color="auto" w:fill="0070C0"/>
            <w:hideMark/>
          </w:tcPr>
          <w:p w14:paraId="5EFB6353" w14:textId="25CEEB78" w:rsidR="002708AD" w:rsidRPr="00F0609A" w:rsidRDefault="002D52D9" w:rsidP="004530C7">
            <w:pPr>
              <w:keepNext/>
              <w:rPr>
                <w:b/>
                <w:bCs/>
                <w:noProof/>
                <w:color w:val="FFFFFF" w:themeColor="background1"/>
                <w:sz w:val="20"/>
                <w:szCs w:val="20"/>
              </w:rPr>
            </w:pPr>
            <w:r>
              <w:rPr>
                <w:b/>
                <w:bCs/>
                <w:noProof/>
                <w:color w:val="FFFFFF" w:themeColor="background1"/>
                <w:sz w:val="20"/>
                <w:szCs w:val="20"/>
              </w:rPr>
              <w:t>J</w:t>
            </w:r>
            <w:r w:rsidR="009B05EC" w:rsidRPr="00F0609A">
              <w:rPr>
                <w:b/>
                <w:bCs/>
                <w:noProof/>
                <w:color w:val="FFFFFF" w:themeColor="background1"/>
                <w:sz w:val="20"/>
                <w:szCs w:val="20"/>
              </w:rPr>
              <w:t>ourney type</w:t>
            </w:r>
          </w:p>
        </w:tc>
        <w:tc>
          <w:tcPr>
            <w:tcW w:w="1547" w:type="pct"/>
            <w:shd w:val="clear" w:color="auto" w:fill="0070C0"/>
            <w:hideMark/>
          </w:tcPr>
          <w:p w14:paraId="6D1E634E" w14:textId="26934A25" w:rsidR="002708AD" w:rsidRPr="00F0609A" w:rsidRDefault="00396318" w:rsidP="004530C7">
            <w:pPr>
              <w:keepNext/>
              <w:rPr>
                <w:b/>
                <w:bCs/>
                <w:noProof/>
                <w:color w:val="FFFFFF" w:themeColor="background1"/>
                <w:sz w:val="20"/>
                <w:szCs w:val="20"/>
              </w:rPr>
            </w:pPr>
            <w:r>
              <w:rPr>
                <w:b/>
                <w:bCs/>
                <w:noProof/>
                <w:color w:val="FFFFFF" w:themeColor="background1"/>
                <w:sz w:val="20"/>
                <w:szCs w:val="20"/>
              </w:rPr>
              <w:t>M</w:t>
            </w:r>
            <w:r w:rsidR="00817D53">
              <w:rPr>
                <w:b/>
                <w:bCs/>
                <w:noProof/>
                <w:color w:val="FFFFFF" w:themeColor="background1"/>
                <w:sz w:val="20"/>
                <w:szCs w:val="20"/>
              </w:rPr>
              <w:t>ember State</w:t>
            </w:r>
            <w:r w:rsidR="00B001ED">
              <w:rPr>
                <w:b/>
                <w:bCs/>
                <w:noProof/>
                <w:color w:val="FFFFFF" w:themeColor="background1"/>
                <w:sz w:val="20"/>
                <w:szCs w:val="20"/>
              </w:rPr>
              <w:t xml:space="preserve"> advancement on </w:t>
            </w:r>
            <w:r w:rsidR="002708AD" w:rsidRPr="00F0609A">
              <w:rPr>
                <w:b/>
                <w:bCs/>
                <w:noProof/>
                <w:color w:val="FFFFFF" w:themeColor="background1"/>
                <w:sz w:val="20"/>
                <w:szCs w:val="20"/>
              </w:rPr>
              <w:t xml:space="preserve">MDMS </w:t>
            </w:r>
          </w:p>
        </w:tc>
        <w:tc>
          <w:tcPr>
            <w:tcW w:w="1536" w:type="pct"/>
            <w:shd w:val="clear" w:color="auto" w:fill="0070C0"/>
            <w:hideMark/>
          </w:tcPr>
          <w:p w14:paraId="41D4A6B7" w14:textId="77777777" w:rsidR="002708AD" w:rsidRPr="00F0609A" w:rsidRDefault="002708AD" w:rsidP="004530C7">
            <w:pPr>
              <w:keepNext/>
              <w:rPr>
                <w:b/>
                <w:bCs/>
                <w:noProof/>
                <w:color w:val="FFFFFF" w:themeColor="background1"/>
                <w:sz w:val="20"/>
                <w:szCs w:val="20"/>
              </w:rPr>
            </w:pPr>
            <w:r w:rsidRPr="00F0609A">
              <w:rPr>
                <w:b/>
                <w:bCs/>
                <w:noProof/>
                <w:color w:val="FFFFFF" w:themeColor="background1"/>
                <w:sz w:val="20"/>
                <w:szCs w:val="20"/>
              </w:rPr>
              <w:t>OD node attractiveness</w:t>
            </w:r>
          </w:p>
        </w:tc>
      </w:tr>
      <w:tr w:rsidR="002708AD" w:rsidRPr="002A0C50" w14:paraId="08CBACEB" w14:textId="73EABF46" w:rsidTr="0061597C">
        <w:trPr>
          <w:trHeight w:val="242"/>
        </w:trPr>
        <w:tc>
          <w:tcPr>
            <w:tcW w:w="811" w:type="pct"/>
            <w:noWrap/>
            <w:hideMark/>
          </w:tcPr>
          <w:p w14:paraId="7A6C6D6D" w14:textId="77777777" w:rsidR="002708AD" w:rsidRPr="002A0C50" w:rsidRDefault="002708AD" w:rsidP="004530C7">
            <w:pPr>
              <w:keepNext/>
              <w:rPr>
                <w:noProof/>
                <w:sz w:val="20"/>
                <w:szCs w:val="20"/>
              </w:rPr>
            </w:pPr>
            <w:r w:rsidRPr="002A0C50">
              <w:rPr>
                <w:noProof/>
                <w:sz w:val="20"/>
                <w:szCs w:val="20"/>
              </w:rPr>
              <w:t>A</w:t>
            </w:r>
          </w:p>
        </w:tc>
        <w:tc>
          <w:tcPr>
            <w:tcW w:w="1105" w:type="pct"/>
            <w:noWrap/>
            <w:hideMark/>
          </w:tcPr>
          <w:p w14:paraId="2CAEDF11" w14:textId="77777777" w:rsidR="002708AD" w:rsidRPr="002A0C50" w:rsidRDefault="002708AD" w:rsidP="004530C7">
            <w:pPr>
              <w:keepNext/>
              <w:rPr>
                <w:noProof/>
                <w:sz w:val="20"/>
                <w:szCs w:val="20"/>
              </w:rPr>
            </w:pPr>
            <w:r w:rsidRPr="002A0C50">
              <w:rPr>
                <w:noProof/>
                <w:sz w:val="20"/>
                <w:szCs w:val="20"/>
              </w:rPr>
              <w:t>National</w:t>
            </w:r>
          </w:p>
        </w:tc>
        <w:tc>
          <w:tcPr>
            <w:tcW w:w="1547" w:type="pct"/>
            <w:noWrap/>
            <w:hideMark/>
          </w:tcPr>
          <w:p w14:paraId="4BB05B61" w14:textId="77777777" w:rsidR="002708AD" w:rsidRPr="002A0C50" w:rsidRDefault="002708AD" w:rsidP="004530C7">
            <w:pPr>
              <w:keepNext/>
              <w:rPr>
                <w:noProof/>
                <w:sz w:val="20"/>
                <w:szCs w:val="20"/>
              </w:rPr>
            </w:pPr>
            <w:r w:rsidRPr="002A0C50">
              <w:rPr>
                <w:noProof/>
                <w:sz w:val="20"/>
                <w:szCs w:val="20"/>
              </w:rPr>
              <w:t>Leader</w:t>
            </w:r>
          </w:p>
        </w:tc>
        <w:tc>
          <w:tcPr>
            <w:tcW w:w="1536" w:type="pct"/>
            <w:hideMark/>
          </w:tcPr>
          <w:p w14:paraId="47AE67AA" w14:textId="77777777" w:rsidR="002708AD" w:rsidRPr="002A0C50" w:rsidRDefault="002708AD" w:rsidP="004530C7">
            <w:pPr>
              <w:keepNext/>
              <w:rPr>
                <w:noProof/>
                <w:sz w:val="20"/>
                <w:szCs w:val="20"/>
              </w:rPr>
            </w:pPr>
            <w:r w:rsidRPr="002A0C50">
              <w:rPr>
                <w:noProof/>
                <w:sz w:val="20"/>
                <w:szCs w:val="20"/>
              </w:rPr>
              <w:t>Both attractive</w:t>
            </w:r>
          </w:p>
        </w:tc>
      </w:tr>
      <w:tr w:rsidR="002708AD" w:rsidRPr="002A0C50" w14:paraId="48AC16BB" w14:textId="68033722" w:rsidTr="0061597C">
        <w:trPr>
          <w:trHeight w:val="267"/>
        </w:trPr>
        <w:tc>
          <w:tcPr>
            <w:tcW w:w="811" w:type="pct"/>
            <w:noWrap/>
            <w:hideMark/>
          </w:tcPr>
          <w:p w14:paraId="08B563C7" w14:textId="77777777" w:rsidR="002708AD" w:rsidRPr="002A0C50" w:rsidRDefault="002708AD" w:rsidP="00277E3F">
            <w:pPr>
              <w:rPr>
                <w:noProof/>
                <w:sz w:val="20"/>
                <w:szCs w:val="20"/>
              </w:rPr>
            </w:pPr>
            <w:r w:rsidRPr="002A0C50">
              <w:rPr>
                <w:noProof/>
                <w:sz w:val="20"/>
                <w:szCs w:val="20"/>
              </w:rPr>
              <w:t>B</w:t>
            </w:r>
          </w:p>
        </w:tc>
        <w:tc>
          <w:tcPr>
            <w:tcW w:w="1105" w:type="pct"/>
            <w:noWrap/>
            <w:hideMark/>
          </w:tcPr>
          <w:p w14:paraId="31C189CF" w14:textId="77777777" w:rsidR="002708AD" w:rsidRPr="002A0C50" w:rsidRDefault="002708AD" w:rsidP="00277E3F">
            <w:pPr>
              <w:rPr>
                <w:noProof/>
                <w:sz w:val="20"/>
                <w:szCs w:val="20"/>
              </w:rPr>
            </w:pPr>
            <w:r w:rsidRPr="002A0C50">
              <w:rPr>
                <w:noProof/>
                <w:sz w:val="20"/>
                <w:szCs w:val="20"/>
              </w:rPr>
              <w:t>National</w:t>
            </w:r>
          </w:p>
        </w:tc>
        <w:tc>
          <w:tcPr>
            <w:tcW w:w="1547" w:type="pct"/>
            <w:hideMark/>
          </w:tcPr>
          <w:p w14:paraId="68D08CBC" w14:textId="27CDB184" w:rsidR="002708AD" w:rsidRPr="002A0C50" w:rsidRDefault="00B23980" w:rsidP="00277E3F">
            <w:pPr>
              <w:rPr>
                <w:noProof/>
                <w:sz w:val="20"/>
                <w:szCs w:val="20"/>
              </w:rPr>
            </w:pPr>
            <w:r>
              <w:rPr>
                <w:noProof/>
                <w:sz w:val="20"/>
                <w:szCs w:val="20"/>
              </w:rPr>
              <w:t>P</w:t>
            </w:r>
            <w:r w:rsidRPr="00B23980">
              <w:rPr>
                <w:noProof/>
                <w:sz w:val="20"/>
                <w:szCs w:val="20"/>
              </w:rPr>
              <w:t>lanned adopters and followers</w:t>
            </w:r>
          </w:p>
        </w:tc>
        <w:tc>
          <w:tcPr>
            <w:tcW w:w="1536" w:type="pct"/>
            <w:hideMark/>
          </w:tcPr>
          <w:p w14:paraId="23B3ED87" w14:textId="77777777" w:rsidR="002708AD" w:rsidRPr="002A0C50" w:rsidRDefault="002708AD" w:rsidP="00277E3F">
            <w:pPr>
              <w:rPr>
                <w:noProof/>
                <w:sz w:val="20"/>
                <w:szCs w:val="20"/>
              </w:rPr>
            </w:pPr>
            <w:r w:rsidRPr="002A0C50">
              <w:rPr>
                <w:noProof/>
                <w:sz w:val="20"/>
                <w:szCs w:val="20"/>
              </w:rPr>
              <w:t>Both attractive</w:t>
            </w:r>
          </w:p>
        </w:tc>
      </w:tr>
      <w:tr w:rsidR="002708AD" w:rsidRPr="002A0C50" w14:paraId="44A1A524" w14:textId="01A52E8A" w:rsidTr="0061597C">
        <w:trPr>
          <w:trHeight w:val="242"/>
        </w:trPr>
        <w:tc>
          <w:tcPr>
            <w:tcW w:w="811" w:type="pct"/>
            <w:noWrap/>
            <w:hideMark/>
          </w:tcPr>
          <w:p w14:paraId="0CF0D0BD" w14:textId="77777777" w:rsidR="002708AD" w:rsidRPr="002A0C50" w:rsidRDefault="002708AD" w:rsidP="00277E3F">
            <w:pPr>
              <w:rPr>
                <w:noProof/>
                <w:sz w:val="20"/>
                <w:szCs w:val="20"/>
              </w:rPr>
            </w:pPr>
            <w:r w:rsidRPr="002A0C50">
              <w:rPr>
                <w:noProof/>
                <w:sz w:val="20"/>
                <w:szCs w:val="20"/>
              </w:rPr>
              <w:t>C</w:t>
            </w:r>
          </w:p>
        </w:tc>
        <w:tc>
          <w:tcPr>
            <w:tcW w:w="1105" w:type="pct"/>
            <w:noWrap/>
            <w:hideMark/>
          </w:tcPr>
          <w:p w14:paraId="0D849D1C" w14:textId="77777777" w:rsidR="002708AD" w:rsidRPr="002A0C50" w:rsidRDefault="002708AD" w:rsidP="00277E3F">
            <w:pPr>
              <w:rPr>
                <w:noProof/>
                <w:sz w:val="20"/>
                <w:szCs w:val="20"/>
              </w:rPr>
            </w:pPr>
            <w:r w:rsidRPr="002A0C50">
              <w:rPr>
                <w:noProof/>
                <w:sz w:val="20"/>
                <w:szCs w:val="20"/>
              </w:rPr>
              <w:t>International</w:t>
            </w:r>
          </w:p>
        </w:tc>
        <w:tc>
          <w:tcPr>
            <w:tcW w:w="1547" w:type="pct"/>
            <w:hideMark/>
          </w:tcPr>
          <w:p w14:paraId="338BE25C" w14:textId="77777777" w:rsidR="002708AD" w:rsidRPr="002A0C50" w:rsidRDefault="002708AD" w:rsidP="00277E3F">
            <w:pPr>
              <w:rPr>
                <w:noProof/>
                <w:sz w:val="20"/>
                <w:szCs w:val="20"/>
              </w:rPr>
            </w:pPr>
            <w:r w:rsidRPr="002A0C50">
              <w:rPr>
                <w:noProof/>
                <w:sz w:val="20"/>
                <w:szCs w:val="20"/>
              </w:rPr>
              <w:t>At least one leader</w:t>
            </w:r>
          </w:p>
        </w:tc>
        <w:tc>
          <w:tcPr>
            <w:tcW w:w="1536" w:type="pct"/>
            <w:hideMark/>
          </w:tcPr>
          <w:p w14:paraId="1877BD30" w14:textId="77777777" w:rsidR="002708AD" w:rsidRPr="002A0C50" w:rsidRDefault="002708AD" w:rsidP="00277E3F">
            <w:pPr>
              <w:rPr>
                <w:noProof/>
                <w:sz w:val="20"/>
                <w:szCs w:val="20"/>
              </w:rPr>
            </w:pPr>
            <w:r w:rsidRPr="002A0C50">
              <w:rPr>
                <w:noProof/>
                <w:sz w:val="20"/>
                <w:szCs w:val="20"/>
              </w:rPr>
              <w:t>Both attractive</w:t>
            </w:r>
          </w:p>
        </w:tc>
      </w:tr>
      <w:tr w:rsidR="002708AD" w:rsidRPr="002A0C50" w14:paraId="160AF361" w14:textId="33005D1B" w:rsidTr="0061597C">
        <w:trPr>
          <w:trHeight w:val="239"/>
        </w:trPr>
        <w:tc>
          <w:tcPr>
            <w:tcW w:w="811" w:type="pct"/>
            <w:noWrap/>
            <w:hideMark/>
          </w:tcPr>
          <w:p w14:paraId="08493398" w14:textId="77777777" w:rsidR="002708AD" w:rsidRPr="002A0C50" w:rsidRDefault="002708AD" w:rsidP="00277E3F">
            <w:pPr>
              <w:rPr>
                <w:noProof/>
                <w:sz w:val="20"/>
                <w:szCs w:val="20"/>
              </w:rPr>
            </w:pPr>
            <w:r w:rsidRPr="002A0C50">
              <w:rPr>
                <w:noProof/>
                <w:sz w:val="20"/>
                <w:szCs w:val="20"/>
              </w:rPr>
              <w:t>D</w:t>
            </w:r>
          </w:p>
        </w:tc>
        <w:tc>
          <w:tcPr>
            <w:tcW w:w="1105" w:type="pct"/>
            <w:noWrap/>
            <w:hideMark/>
          </w:tcPr>
          <w:p w14:paraId="7B4CF5B4" w14:textId="77777777" w:rsidR="002708AD" w:rsidRPr="002A0C50" w:rsidRDefault="002708AD" w:rsidP="00277E3F">
            <w:pPr>
              <w:rPr>
                <w:noProof/>
                <w:sz w:val="20"/>
                <w:szCs w:val="20"/>
              </w:rPr>
            </w:pPr>
            <w:r w:rsidRPr="002A0C50">
              <w:rPr>
                <w:noProof/>
                <w:sz w:val="20"/>
                <w:szCs w:val="20"/>
              </w:rPr>
              <w:t>International</w:t>
            </w:r>
          </w:p>
        </w:tc>
        <w:tc>
          <w:tcPr>
            <w:tcW w:w="1547" w:type="pct"/>
            <w:hideMark/>
          </w:tcPr>
          <w:p w14:paraId="527AF007" w14:textId="66636848" w:rsidR="002708AD" w:rsidRPr="002A0C50" w:rsidRDefault="00A00536" w:rsidP="00277E3F">
            <w:pPr>
              <w:rPr>
                <w:noProof/>
                <w:sz w:val="20"/>
                <w:szCs w:val="20"/>
              </w:rPr>
            </w:pPr>
            <w:r w:rsidRPr="00A00536">
              <w:rPr>
                <w:noProof/>
                <w:sz w:val="20"/>
                <w:szCs w:val="20"/>
              </w:rPr>
              <w:t>Planned adopters and followers</w:t>
            </w:r>
          </w:p>
        </w:tc>
        <w:tc>
          <w:tcPr>
            <w:tcW w:w="1536" w:type="pct"/>
            <w:hideMark/>
          </w:tcPr>
          <w:p w14:paraId="51571D46" w14:textId="77777777" w:rsidR="002708AD" w:rsidRPr="002A0C50" w:rsidRDefault="002708AD" w:rsidP="00277E3F">
            <w:pPr>
              <w:rPr>
                <w:noProof/>
                <w:sz w:val="20"/>
                <w:szCs w:val="20"/>
              </w:rPr>
            </w:pPr>
            <w:r w:rsidRPr="002A0C50">
              <w:rPr>
                <w:noProof/>
                <w:sz w:val="20"/>
                <w:szCs w:val="20"/>
              </w:rPr>
              <w:t>Both attractive</w:t>
            </w:r>
          </w:p>
        </w:tc>
      </w:tr>
      <w:tr w:rsidR="002708AD" w:rsidRPr="002A0C50" w14:paraId="53E2E606" w14:textId="062804A5" w:rsidTr="0061597C">
        <w:trPr>
          <w:trHeight w:val="242"/>
        </w:trPr>
        <w:tc>
          <w:tcPr>
            <w:tcW w:w="811" w:type="pct"/>
            <w:noWrap/>
            <w:hideMark/>
          </w:tcPr>
          <w:p w14:paraId="3D2787C3" w14:textId="77777777" w:rsidR="002708AD" w:rsidRPr="002A0C50" w:rsidRDefault="002708AD" w:rsidP="00277E3F">
            <w:pPr>
              <w:rPr>
                <w:noProof/>
                <w:sz w:val="20"/>
                <w:szCs w:val="20"/>
              </w:rPr>
            </w:pPr>
            <w:r w:rsidRPr="002A0C50">
              <w:rPr>
                <w:noProof/>
                <w:sz w:val="20"/>
                <w:szCs w:val="20"/>
              </w:rPr>
              <w:t>E</w:t>
            </w:r>
          </w:p>
        </w:tc>
        <w:tc>
          <w:tcPr>
            <w:tcW w:w="1105" w:type="pct"/>
            <w:noWrap/>
            <w:hideMark/>
          </w:tcPr>
          <w:p w14:paraId="30900E2C" w14:textId="77777777" w:rsidR="002708AD" w:rsidRPr="002A0C50" w:rsidRDefault="002708AD" w:rsidP="00277E3F">
            <w:pPr>
              <w:rPr>
                <w:noProof/>
                <w:sz w:val="20"/>
                <w:szCs w:val="20"/>
              </w:rPr>
            </w:pPr>
            <w:r w:rsidRPr="002A0C50">
              <w:rPr>
                <w:noProof/>
                <w:sz w:val="20"/>
                <w:szCs w:val="20"/>
              </w:rPr>
              <w:t>National</w:t>
            </w:r>
          </w:p>
        </w:tc>
        <w:tc>
          <w:tcPr>
            <w:tcW w:w="1547" w:type="pct"/>
            <w:hideMark/>
          </w:tcPr>
          <w:p w14:paraId="217C68A8" w14:textId="77777777" w:rsidR="002708AD" w:rsidRPr="002A0C50" w:rsidRDefault="002708AD" w:rsidP="00277E3F">
            <w:pPr>
              <w:rPr>
                <w:noProof/>
                <w:sz w:val="20"/>
                <w:szCs w:val="20"/>
              </w:rPr>
            </w:pPr>
            <w:r w:rsidRPr="002A0C50">
              <w:rPr>
                <w:noProof/>
                <w:sz w:val="20"/>
                <w:szCs w:val="20"/>
              </w:rPr>
              <w:t>Leader</w:t>
            </w:r>
          </w:p>
        </w:tc>
        <w:tc>
          <w:tcPr>
            <w:tcW w:w="1536" w:type="pct"/>
            <w:hideMark/>
          </w:tcPr>
          <w:p w14:paraId="3CC7B120" w14:textId="0DC60BB9" w:rsidR="002708AD" w:rsidRPr="002A0C50" w:rsidRDefault="002708AD" w:rsidP="00277E3F">
            <w:pPr>
              <w:rPr>
                <w:noProof/>
                <w:sz w:val="20"/>
                <w:szCs w:val="20"/>
              </w:rPr>
            </w:pPr>
            <w:r w:rsidRPr="002A0C50">
              <w:rPr>
                <w:noProof/>
                <w:sz w:val="20"/>
                <w:szCs w:val="20"/>
              </w:rPr>
              <w:t>Hybrid</w:t>
            </w:r>
            <w:r w:rsidR="00FE5430">
              <w:rPr>
                <w:rStyle w:val="FootnoteReference"/>
                <w:noProof/>
                <w:sz w:val="20"/>
                <w:szCs w:val="20"/>
              </w:rPr>
              <w:footnoteReference w:id="285"/>
            </w:r>
          </w:p>
        </w:tc>
      </w:tr>
      <w:tr w:rsidR="002708AD" w:rsidRPr="002A0C50" w14:paraId="421E2E72" w14:textId="1DD40E1A" w:rsidTr="0061597C">
        <w:trPr>
          <w:trHeight w:val="246"/>
        </w:trPr>
        <w:tc>
          <w:tcPr>
            <w:tcW w:w="811" w:type="pct"/>
            <w:noWrap/>
            <w:hideMark/>
          </w:tcPr>
          <w:p w14:paraId="429F665F" w14:textId="77777777" w:rsidR="002708AD" w:rsidRPr="002A0C50" w:rsidRDefault="002708AD" w:rsidP="00277E3F">
            <w:pPr>
              <w:rPr>
                <w:noProof/>
                <w:sz w:val="20"/>
                <w:szCs w:val="20"/>
              </w:rPr>
            </w:pPr>
            <w:r w:rsidRPr="002A0C50">
              <w:rPr>
                <w:noProof/>
                <w:sz w:val="20"/>
                <w:szCs w:val="20"/>
              </w:rPr>
              <w:t>F</w:t>
            </w:r>
          </w:p>
        </w:tc>
        <w:tc>
          <w:tcPr>
            <w:tcW w:w="1105" w:type="pct"/>
            <w:noWrap/>
            <w:hideMark/>
          </w:tcPr>
          <w:p w14:paraId="78271D74" w14:textId="77777777" w:rsidR="002708AD" w:rsidRPr="002A0C50" w:rsidRDefault="002708AD" w:rsidP="00277E3F">
            <w:pPr>
              <w:rPr>
                <w:noProof/>
                <w:sz w:val="20"/>
                <w:szCs w:val="20"/>
              </w:rPr>
            </w:pPr>
            <w:r w:rsidRPr="002A0C50">
              <w:rPr>
                <w:noProof/>
                <w:sz w:val="20"/>
                <w:szCs w:val="20"/>
              </w:rPr>
              <w:t>National</w:t>
            </w:r>
          </w:p>
        </w:tc>
        <w:tc>
          <w:tcPr>
            <w:tcW w:w="1547" w:type="pct"/>
            <w:hideMark/>
          </w:tcPr>
          <w:p w14:paraId="0FA1EE45" w14:textId="48F84E50" w:rsidR="002708AD" w:rsidRPr="002A0C50" w:rsidRDefault="00B2746E" w:rsidP="00277E3F">
            <w:pPr>
              <w:rPr>
                <w:noProof/>
                <w:sz w:val="20"/>
                <w:szCs w:val="20"/>
              </w:rPr>
            </w:pPr>
            <w:r w:rsidRPr="00B2746E">
              <w:rPr>
                <w:noProof/>
                <w:sz w:val="20"/>
                <w:szCs w:val="20"/>
              </w:rPr>
              <w:t>Planned adopters and followers</w:t>
            </w:r>
          </w:p>
        </w:tc>
        <w:tc>
          <w:tcPr>
            <w:tcW w:w="1536" w:type="pct"/>
            <w:hideMark/>
          </w:tcPr>
          <w:p w14:paraId="523E7BBF" w14:textId="77777777" w:rsidR="002708AD" w:rsidRPr="002A0C50" w:rsidRDefault="002708AD" w:rsidP="00277E3F">
            <w:pPr>
              <w:rPr>
                <w:noProof/>
                <w:sz w:val="20"/>
                <w:szCs w:val="20"/>
              </w:rPr>
            </w:pPr>
            <w:r w:rsidRPr="002A0C50">
              <w:rPr>
                <w:noProof/>
                <w:sz w:val="20"/>
                <w:szCs w:val="20"/>
              </w:rPr>
              <w:t>Hybrid</w:t>
            </w:r>
          </w:p>
        </w:tc>
      </w:tr>
      <w:tr w:rsidR="002708AD" w:rsidRPr="002A0C50" w14:paraId="43657BEF" w14:textId="2B8081F9" w:rsidTr="0061597C">
        <w:trPr>
          <w:trHeight w:val="242"/>
        </w:trPr>
        <w:tc>
          <w:tcPr>
            <w:tcW w:w="811" w:type="pct"/>
            <w:noWrap/>
            <w:hideMark/>
          </w:tcPr>
          <w:p w14:paraId="1AE8A003" w14:textId="77777777" w:rsidR="002708AD" w:rsidRPr="002A0C50" w:rsidRDefault="002708AD" w:rsidP="00277E3F">
            <w:pPr>
              <w:rPr>
                <w:noProof/>
                <w:sz w:val="20"/>
                <w:szCs w:val="20"/>
              </w:rPr>
            </w:pPr>
            <w:r w:rsidRPr="002A0C50">
              <w:rPr>
                <w:noProof/>
                <w:sz w:val="20"/>
                <w:szCs w:val="20"/>
              </w:rPr>
              <w:t>G</w:t>
            </w:r>
          </w:p>
        </w:tc>
        <w:tc>
          <w:tcPr>
            <w:tcW w:w="1105" w:type="pct"/>
            <w:noWrap/>
            <w:hideMark/>
          </w:tcPr>
          <w:p w14:paraId="694F4956" w14:textId="77777777" w:rsidR="002708AD" w:rsidRPr="002A0C50" w:rsidRDefault="002708AD" w:rsidP="00277E3F">
            <w:pPr>
              <w:rPr>
                <w:noProof/>
                <w:sz w:val="20"/>
                <w:szCs w:val="20"/>
              </w:rPr>
            </w:pPr>
            <w:r w:rsidRPr="002A0C50">
              <w:rPr>
                <w:noProof/>
                <w:sz w:val="20"/>
                <w:szCs w:val="20"/>
              </w:rPr>
              <w:t>International</w:t>
            </w:r>
          </w:p>
        </w:tc>
        <w:tc>
          <w:tcPr>
            <w:tcW w:w="1547" w:type="pct"/>
            <w:hideMark/>
          </w:tcPr>
          <w:p w14:paraId="21BD5591" w14:textId="77777777" w:rsidR="002708AD" w:rsidRPr="002A0C50" w:rsidRDefault="002708AD" w:rsidP="00277E3F">
            <w:pPr>
              <w:rPr>
                <w:noProof/>
                <w:sz w:val="20"/>
                <w:szCs w:val="20"/>
              </w:rPr>
            </w:pPr>
            <w:r w:rsidRPr="002A0C50">
              <w:rPr>
                <w:noProof/>
                <w:sz w:val="20"/>
                <w:szCs w:val="20"/>
              </w:rPr>
              <w:t>At least one leader</w:t>
            </w:r>
          </w:p>
        </w:tc>
        <w:tc>
          <w:tcPr>
            <w:tcW w:w="1536" w:type="pct"/>
            <w:hideMark/>
          </w:tcPr>
          <w:p w14:paraId="77884FAC" w14:textId="77777777" w:rsidR="002708AD" w:rsidRPr="002A0C50" w:rsidRDefault="002708AD" w:rsidP="00277E3F">
            <w:pPr>
              <w:rPr>
                <w:noProof/>
                <w:sz w:val="20"/>
                <w:szCs w:val="20"/>
              </w:rPr>
            </w:pPr>
            <w:r w:rsidRPr="002A0C50">
              <w:rPr>
                <w:noProof/>
                <w:sz w:val="20"/>
                <w:szCs w:val="20"/>
              </w:rPr>
              <w:t>Hybrid</w:t>
            </w:r>
          </w:p>
        </w:tc>
      </w:tr>
      <w:tr w:rsidR="002708AD" w:rsidRPr="002A0C50" w14:paraId="2FE78B81" w14:textId="5A96D1D1" w:rsidTr="0061597C">
        <w:trPr>
          <w:trHeight w:val="239"/>
        </w:trPr>
        <w:tc>
          <w:tcPr>
            <w:tcW w:w="811" w:type="pct"/>
            <w:noWrap/>
            <w:hideMark/>
          </w:tcPr>
          <w:p w14:paraId="275062CE" w14:textId="77777777" w:rsidR="002708AD" w:rsidRPr="002A0C50" w:rsidRDefault="002708AD" w:rsidP="00277E3F">
            <w:pPr>
              <w:rPr>
                <w:noProof/>
                <w:sz w:val="20"/>
                <w:szCs w:val="20"/>
              </w:rPr>
            </w:pPr>
            <w:r w:rsidRPr="002A0C50">
              <w:rPr>
                <w:noProof/>
                <w:sz w:val="20"/>
                <w:szCs w:val="20"/>
              </w:rPr>
              <w:t>H</w:t>
            </w:r>
          </w:p>
        </w:tc>
        <w:tc>
          <w:tcPr>
            <w:tcW w:w="1105" w:type="pct"/>
            <w:noWrap/>
            <w:hideMark/>
          </w:tcPr>
          <w:p w14:paraId="51EB50A7" w14:textId="77777777" w:rsidR="002708AD" w:rsidRPr="002A0C50" w:rsidRDefault="002708AD" w:rsidP="00277E3F">
            <w:pPr>
              <w:rPr>
                <w:noProof/>
                <w:sz w:val="20"/>
                <w:szCs w:val="20"/>
              </w:rPr>
            </w:pPr>
            <w:r w:rsidRPr="002A0C50">
              <w:rPr>
                <w:noProof/>
                <w:sz w:val="20"/>
                <w:szCs w:val="20"/>
              </w:rPr>
              <w:t>International</w:t>
            </w:r>
          </w:p>
        </w:tc>
        <w:tc>
          <w:tcPr>
            <w:tcW w:w="1547" w:type="pct"/>
            <w:hideMark/>
          </w:tcPr>
          <w:p w14:paraId="4B81EC03" w14:textId="4B81B3BB" w:rsidR="002708AD" w:rsidRPr="002A0C50" w:rsidRDefault="002112A1" w:rsidP="00277E3F">
            <w:pPr>
              <w:rPr>
                <w:noProof/>
                <w:sz w:val="20"/>
                <w:szCs w:val="20"/>
              </w:rPr>
            </w:pPr>
            <w:r>
              <w:rPr>
                <w:noProof/>
                <w:sz w:val="20"/>
                <w:szCs w:val="20"/>
              </w:rPr>
              <w:t>P</w:t>
            </w:r>
            <w:r w:rsidR="00501B19">
              <w:rPr>
                <w:noProof/>
                <w:sz w:val="20"/>
                <w:szCs w:val="20"/>
              </w:rPr>
              <w:t>lanned adopter and followers</w:t>
            </w:r>
          </w:p>
        </w:tc>
        <w:tc>
          <w:tcPr>
            <w:tcW w:w="1536" w:type="pct"/>
            <w:hideMark/>
          </w:tcPr>
          <w:p w14:paraId="524804A8" w14:textId="77777777" w:rsidR="002708AD" w:rsidRPr="002A0C50" w:rsidRDefault="002708AD" w:rsidP="00277E3F">
            <w:pPr>
              <w:rPr>
                <w:noProof/>
                <w:sz w:val="20"/>
                <w:szCs w:val="20"/>
              </w:rPr>
            </w:pPr>
            <w:r w:rsidRPr="002A0C50">
              <w:rPr>
                <w:noProof/>
                <w:sz w:val="20"/>
                <w:szCs w:val="20"/>
              </w:rPr>
              <w:t>Hybrid</w:t>
            </w:r>
          </w:p>
        </w:tc>
      </w:tr>
      <w:tr w:rsidR="002708AD" w:rsidRPr="002A0C50" w14:paraId="20248A30" w14:textId="56217E65" w:rsidTr="0061597C">
        <w:trPr>
          <w:trHeight w:val="242"/>
        </w:trPr>
        <w:tc>
          <w:tcPr>
            <w:tcW w:w="811" w:type="pct"/>
            <w:noWrap/>
            <w:hideMark/>
          </w:tcPr>
          <w:p w14:paraId="60DFB1F9" w14:textId="77777777" w:rsidR="002708AD" w:rsidRPr="002A0C50" w:rsidRDefault="002708AD" w:rsidP="00277E3F">
            <w:pPr>
              <w:rPr>
                <w:noProof/>
                <w:sz w:val="20"/>
                <w:szCs w:val="20"/>
              </w:rPr>
            </w:pPr>
            <w:r w:rsidRPr="002A0C50">
              <w:rPr>
                <w:noProof/>
                <w:sz w:val="20"/>
                <w:szCs w:val="20"/>
              </w:rPr>
              <w:t>I</w:t>
            </w:r>
          </w:p>
        </w:tc>
        <w:tc>
          <w:tcPr>
            <w:tcW w:w="1105" w:type="pct"/>
            <w:noWrap/>
            <w:hideMark/>
          </w:tcPr>
          <w:p w14:paraId="00BB7CB2" w14:textId="77777777" w:rsidR="002708AD" w:rsidRPr="002A0C50" w:rsidRDefault="002708AD" w:rsidP="00277E3F">
            <w:pPr>
              <w:rPr>
                <w:noProof/>
                <w:sz w:val="20"/>
                <w:szCs w:val="20"/>
              </w:rPr>
            </w:pPr>
            <w:r w:rsidRPr="002A0C50">
              <w:rPr>
                <w:noProof/>
                <w:sz w:val="20"/>
                <w:szCs w:val="20"/>
              </w:rPr>
              <w:t>National</w:t>
            </w:r>
          </w:p>
        </w:tc>
        <w:tc>
          <w:tcPr>
            <w:tcW w:w="1547" w:type="pct"/>
            <w:noWrap/>
            <w:hideMark/>
          </w:tcPr>
          <w:p w14:paraId="33AB66F9" w14:textId="77777777" w:rsidR="002708AD" w:rsidRPr="002A0C50" w:rsidRDefault="002708AD" w:rsidP="00277E3F">
            <w:pPr>
              <w:rPr>
                <w:noProof/>
                <w:sz w:val="20"/>
                <w:szCs w:val="20"/>
              </w:rPr>
            </w:pPr>
            <w:r w:rsidRPr="002A0C50">
              <w:rPr>
                <w:noProof/>
                <w:sz w:val="20"/>
                <w:szCs w:val="20"/>
              </w:rPr>
              <w:t>Any</w:t>
            </w:r>
          </w:p>
        </w:tc>
        <w:tc>
          <w:tcPr>
            <w:tcW w:w="1536" w:type="pct"/>
            <w:hideMark/>
          </w:tcPr>
          <w:p w14:paraId="519A1BAD" w14:textId="77777777" w:rsidR="002708AD" w:rsidRPr="002A0C50" w:rsidRDefault="002708AD" w:rsidP="00277E3F">
            <w:pPr>
              <w:rPr>
                <w:noProof/>
                <w:sz w:val="20"/>
                <w:szCs w:val="20"/>
              </w:rPr>
            </w:pPr>
            <w:r w:rsidRPr="002A0C50">
              <w:rPr>
                <w:noProof/>
                <w:sz w:val="20"/>
                <w:szCs w:val="20"/>
              </w:rPr>
              <w:t>Both moderately attractive</w:t>
            </w:r>
          </w:p>
        </w:tc>
      </w:tr>
      <w:tr w:rsidR="002708AD" w:rsidRPr="002A0C50" w14:paraId="7E263F1E" w14:textId="5CF8803D" w:rsidTr="0061597C">
        <w:trPr>
          <w:trHeight w:val="242"/>
        </w:trPr>
        <w:tc>
          <w:tcPr>
            <w:tcW w:w="811" w:type="pct"/>
            <w:noWrap/>
            <w:hideMark/>
          </w:tcPr>
          <w:p w14:paraId="34D6166D" w14:textId="77777777" w:rsidR="002708AD" w:rsidRPr="002A0C50" w:rsidRDefault="002708AD" w:rsidP="0008564A">
            <w:pPr>
              <w:keepNext/>
              <w:rPr>
                <w:noProof/>
                <w:sz w:val="20"/>
                <w:szCs w:val="20"/>
              </w:rPr>
            </w:pPr>
            <w:r w:rsidRPr="002A0C50">
              <w:rPr>
                <w:noProof/>
                <w:sz w:val="20"/>
                <w:szCs w:val="20"/>
              </w:rPr>
              <w:t>J</w:t>
            </w:r>
          </w:p>
        </w:tc>
        <w:tc>
          <w:tcPr>
            <w:tcW w:w="1105" w:type="pct"/>
            <w:noWrap/>
            <w:hideMark/>
          </w:tcPr>
          <w:p w14:paraId="142715EA" w14:textId="77777777" w:rsidR="002708AD" w:rsidRPr="002A0C50" w:rsidRDefault="002708AD" w:rsidP="0008564A">
            <w:pPr>
              <w:keepNext/>
              <w:rPr>
                <w:noProof/>
                <w:sz w:val="20"/>
                <w:szCs w:val="20"/>
              </w:rPr>
            </w:pPr>
            <w:r w:rsidRPr="002A0C50">
              <w:rPr>
                <w:noProof/>
                <w:sz w:val="20"/>
                <w:szCs w:val="20"/>
              </w:rPr>
              <w:t>International</w:t>
            </w:r>
          </w:p>
        </w:tc>
        <w:tc>
          <w:tcPr>
            <w:tcW w:w="1547" w:type="pct"/>
            <w:noWrap/>
            <w:hideMark/>
          </w:tcPr>
          <w:p w14:paraId="3A805BF8" w14:textId="77777777" w:rsidR="002708AD" w:rsidRPr="002A0C50" w:rsidRDefault="002708AD" w:rsidP="0008564A">
            <w:pPr>
              <w:keepNext/>
              <w:rPr>
                <w:noProof/>
                <w:sz w:val="20"/>
                <w:szCs w:val="20"/>
              </w:rPr>
            </w:pPr>
            <w:r w:rsidRPr="002A0C50">
              <w:rPr>
                <w:noProof/>
                <w:sz w:val="20"/>
                <w:szCs w:val="20"/>
              </w:rPr>
              <w:t>Any</w:t>
            </w:r>
          </w:p>
        </w:tc>
        <w:tc>
          <w:tcPr>
            <w:tcW w:w="1536" w:type="pct"/>
            <w:hideMark/>
          </w:tcPr>
          <w:p w14:paraId="69550824" w14:textId="77777777" w:rsidR="002708AD" w:rsidRPr="002A0C50" w:rsidRDefault="002708AD" w:rsidP="0008564A">
            <w:pPr>
              <w:keepNext/>
              <w:rPr>
                <w:noProof/>
                <w:sz w:val="20"/>
                <w:szCs w:val="20"/>
              </w:rPr>
            </w:pPr>
            <w:r w:rsidRPr="002A0C50">
              <w:rPr>
                <w:noProof/>
                <w:sz w:val="20"/>
                <w:szCs w:val="20"/>
              </w:rPr>
              <w:t>Both moderately attractive</w:t>
            </w:r>
          </w:p>
        </w:tc>
      </w:tr>
    </w:tbl>
    <w:p w14:paraId="46B8CC51" w14:textId="3934E878" w:rsidR="00B55A8E" w:rsidRDefault="00B55A8E" w:rsidP="0008564A">
      <w:pPr>
        <w:keepNext/>
        <w:tabs>
          <w:tab w:val="left" w:pos="2302"/>
        </w:tabs>
        <w:spacing w:after="240"/>
        <w:jc w:val="both"/>
        <w:rPr>
          <w:i/>
          <w:iCs/>
          <w:noProof/>
          <w:sz w:val="20"/>
          <w:szCs w:val="20"/>
        </w:rPr>
      </w:pPr>
      <w:r w:rsidRPr="00D71008">
        <w:rPr>
          <w:i/>
          <w:iCs/>
          <w:noProof/>
          <w:spacing w:val="-8"/>
          <w:sz w:val="20"/>
          <w:szCs w:val="20"/>
        </w:rPr>
        <w:t xml:space="preserve">Source: </w:t>
      </w:r>
      <w:r w:rsidRPr="00D71008">
        <w:rPr>
          <w:i/>
          <w:iCs/>
          <w:noProof/>
          <w:sz w:val="20"/>
          <w:szCs w:val="20"/>
        </w:rPr>
        <w:t>Ricardo et al. (2026), Impact assessment support study</w:t>
      </w:r>
    </w:p>
    <w:p w14:paraId="746BA222" w14:textId="23FC8021" w:rsidR="004629A1" w:rsidRPr="00844668" w:rsidRDefault="004629A1" w:rsidP="004629A1">
      <w:pPr>
        <w:spacing w:after="240"/>
        <w:jc w:val="both"/>
        <w:rPr>
          <w:noProof/>
          <w:spacing w:val="-8"/>
        </w:rPr>
      </w:pPr>
      <w:r w:rsidRPr="00844668">
        <w:rPr>
          <w:noProof/>
          <w:spacing w:val="-8"/>
        </w:rPr>
        <w:t xml:space="preserve">The grouping of the Member States according to the </w:t>
      </w:r>
      <w:r w:rsidRPr="00844668">
        <w:rPr>
          <w:noProof/>
          <w:spacing w:val="-8"/>
          <w:lang w:eastAsia="zh-CN"/>
        </w:rPr>
        <w:t>advancement on MDMS</w:t>
      </w:r>
      <w:r w:rsidRPr="00844668">
        <w:rPr>
          <w:noProof/>
          <w:spacing w:val="-8"/>
        </w:rPr>
        <w:t xml:space="preserve"> (leaders, planned adopters, and followers) was performed based on the number of platforms that offer relinking or direct booking functionality and the</w:t>
      </w:r>
      <w:r w:rsidR="00C71D07" w:rsidRPr="00844668">
        <w:rPr>
          <w:noProof/>
          <w:spacing w:val="-8"/>
        </w:rPr>
        <w:t xml:space="preserve"> 2024</w:t>
      </w:r>
      <w:r w:rsidRPr="00844668">
        <w:rPr>
          <w:noProof/>
          <w:spacing w:val="-8"/>
        </w:rPr>
        <w:t xml:space="preserve"> Eurobarometer results on the percentage of consumers using digital channels to book travel as a proxy for usage</w:t>
      </w:r>
      <w:r w:rsidRPr="00844668">
        <w:rPr>
          <w:rStyle w:val="FootnoteReference"/>
          <w:noProof/>
          <w:spacing w:val="-8"/>
        </w:rPr>
        <w:footnoteReference w:id="286"/>
      </w:r>
      <w:r w:rsidRPr="00844668">
        <w:rPr>
          <w:noProof/>
          <w:spacing w:val="-8"/>
        </w:rPr>
        <w:t xml:space="preserve">, in the absence of other data. Analysis was then performed in the context of the impact assessment support study to understand which Member States performed better than the EU average on both metrics. Seven Member States, simultaneously having greater than average platform availability and user base (DE, AT, DK, LU, FI, ES, NL), were included in the ‘leaders’ group in terms of MDMS market maturity. Ten Member States, having both low platform availability and a low user base (HR, LT, HU, SE, CZ, IE, </w:t>
      </w:r>
      <w:r w:rsidR="004E706E" w:rsidRPr="00844668">
        <w:rPr>
          <w:noProof/>
          <w:spacing w:val="-8"/>
        </w:rPr>
        <w:t>SI</w:t>
      </w:r>
      <w:r w:rsidRPr="00844668">
        <w:rPr>
          <w:noProof/>
          <w:spacing w:val="-8"/>
        </w:rPr>
        <w:t>, LV, RO, SK), were included in the ‘</w:t>
      </w:r>
      <w:r w:rsidR="004E706E" w:rsidRPr="00844668">
        <w:rPr>
          <w:noProof/>
          <w:spacing w:val="-8"/>
        </w:rPr>
        <w:t>follower</w:t>
      </w:r>
      <w:r w:rsidRPr="00844668">
        <w:rPr>
          <w:noProof/>
          <w:spacing w:val="-8"/>
        </w:rPr>
        <w:t xml:space="preserve">’ group in terms of MDMS market maturity. The remaining Member States, that had </w:t>
      </w:r>
      <w:r w:rsidRPr="00844668">
        <w:rPr>
          <w:i/>
          <w:noProof/>
          <w:spacing w:val="-8"/>
        </w:rPr>
        <w:t>either</w:t>
      </w:r>
      <w:r w:rsidRPr="00844668">
        <w:rPr>
          <w:noProof/>
          <w:spacing w:val="-8"/>
        </w:rPr>
        <w:t xml:space="preserve"> many platforms </w:t>
      </w:r>
      <w:r w:rsidRPr="00844668">
        <w:rPr>
          <w:i/>
          <w:noProof/>
          <w:spacing w:val="-8"/>
        </w:rPr>
        <w:t>or</w:t>
      </w:r>
      <w:r w:rsidRPr="00844668">
        <w:rPr>
          <w:noProof/>
          <w:spacing w:val="-8"/>
        </w:rPr>
        <w:t xml:space="preserve"> a large user base, but not both were included in the ‘</w:t>
      </w:r>
      <w:r w:rsidR="004E706E" w:rsidRPr="00844668">
        <w:rPr>
          <w:noProof/>
          <w:spacing w:val="-8"/>
        </w:rPr>
        <w:t>planned adopter</w:t>
      </w:r>
      <w:r w:rsidRPr="00844668">
        <w:rPr>
          <w:noProof/>
          <w:spacing w:val="-8"/>
        </w:rPr>
        <w:t xml:space="preserve">’ group. </w:t>
      </w:r>
    </w:p>
    <w:p w14:paraId="6037E969" w14:textId="32CE550A" w:rsidR="004629A1" w:rsidRPr="00BB05EB" w:rsidRDefault="004629A1" w:rsidP="004629A1">
      <w:pPr>
        <w:keepNext/>
        <w:tabs>
          <w:tab w:val="left" w:pos="1134"/>
        </w:tabs>
        <w:rPr>
          <w:i/>
          <w:noProof/>
          <w:sz w:val="22"/>
          <w:szCs w:val="22"/>
        </w:rPr>
      </w:pPr>
      <w:bookmarkStart w:id="327" w:name="_Ref210398283"/>
      <w:r w:rsidRPr="00BB05EB">
        <w:rPr>
          <w:i/>
          <w:noProof/>
          <w:sz w:val="22"/>
          <w:szCs w:val="22"/>
        </w:rPr>
        <w:t xml:space="preserve">Table </w:t>
      </w:r>
      <w:r w:rsidRPr="00BB05EB">
        <w:rPr>
          <w:i/>
          <w:noProof/>
          <w:sz w:val="22"/>
          <w:szCs w:val="22"/>
        </w:rPr>
        <w:fldChar w:fldCharType="begin"/>
      </w:r>
      <w:r w:rsidRPr="00BB05EB">
        <w:rPr>
          <w:i/>
          <w:noProof/>
          <w:sz w:val="22"/>
          <w:szCs w:val="22"/>
        </w:rPr>
        <w:instrText xml:space="preserve"> SEQ Table \* ARABIC </w:instrText>
      </w:r>
      <w:r w:rsidRPr="00BB05EB">
        <w:rPr>
          <w:i/>
          <w:noProof/>
          <w:sz w:val="22"/>
          <w:szCs w:val="22"/>
        </w:rPr>
        <w:fldChar w:fldCharType="separate"/>
      </w:r>
      <w:r w:rsidR="0055391F">
        <w:rPr>
          <w:i/>
          <w:noProof/>
          <w:sz w:val="22"/>
          <w:szCs w:val="22"/>
        </w:rPr>
        <w:t>40</w:t>
      </w:r>
      <w:r w:rsidRPr="00BB05EB">
        <w:rPr>
          <w:i/>
          <w:noProof/>
          <w:sz w:val="22"/>
          <w:szCs w:val="22"/>
        </w:rPr>
        <w:fldChar w:fldCharType="end"/>
      </w:r>
      <w:bookmarkEnd w:id="327"/>
      <w:r w:rsidRPr="00BB05EB">
        <w:rPr>
          <w:i/>
          <w:noProof/>
          <w:sz w:val="22"/>
          <w:szCs w:val="22"/>
        </w:rPr>
        <w:t>: Categorisation of EU Member States into levels of MDMS advancement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2"/>
        <w:gridCol w:w="5241"/>
      </w:tblGrid>
      <w:tr w:rsidR="004629A1" w:rsidRPr="000036A3" w14:paraId="5BB61986" w14:textId="77777777" w:rsidTr="00197B24">
        <w:trPr>
          <w:trHeight w:val="330"/>
          <w:tblHeader/>
        </w:trPr>
        <w:tc>
          <w:tcPr>
            <w:tcW w:w="2271" w:type="pct"/>
            <w:shd w:val="clear" w:color="auto" w:fill="0070C0"/>
            <w:noWrap/>
            <w:hideMark/>
          </w:tcPr>
          <w:p w14:paraId="5C02531C" w14:textId="77777777" w:rsidR="004629A1" w:rsidRPr="000036A3" w:rsidRDefault="004629A1" w:rsidP="008B3A3A">
            <w:pPr>
              <w:rPr>
                <w:noProof/>
                <w:color w:val="FFFFFF" w:themeColor="background1"/>
                <w:sz w:val="20"/>
                <w:szCs w:val="20"/>
              </w:rPr>
            </w:pPr>
            <w:r w:rsidRPr="000036A3">
              <w:rPr>
                <w:noProof/>
                <w:color w:val="FFFFFF" w:themeColor="background1"/>
                <w:sz w:val="20"/>
                <w:szCs w:val="20"/>
              </w:rPr>
              <w:t>Member State</w:t>
            </w:r>
          </w:p>
        </w:tc>
        <w:tc>
          <w:tcPr>
            <w:tcW w:w="2729" w:type="pct"/>
            <w:shd w:val="clear" w:color="auto" w:fill="0070C0"/>
            <w:noWrap/>
            <w:hideMark/>
          </w:tcPr>
          <w:p w14:paraId="603B3D93" w14:textId="77777777" w:rsidR="004629A1" w:rsidRPr="000036A3" w:rsidRDefault="004629A1" w:rsidP="00332434">
            <w:pPr>
              <w:jc w:val="center"/>
              <w:rPr>
                <w:noProof/>
                <w:color w:val="FFFFFF" w:themeColor="background1"/>
                <w:sz w:val="20"/>
                <w:szCs w:val="20"/>
              </w:rPr>
            </w:pPr>
            <w:r w:rsidRPr="005D2D60">
              <w:rPr>
                <w:noProof/>
                <w:color w:val="FFFFFF" w:themeColor="background1"/>
                <w:sz w:val="20"/>
                <w:szCs w:val="20"/>
              </w:rPr>
              <w:t>MDMS advancement</w:t>
            </w:r>
          </w:p>
        </w:tc>
      </w:tr>
      <w:tr w:rsidR="004629A1" w:rsidRPr="000036A3" w14:paraId="52A5C840" w14:textId="77777777" w:rsidTr="008B3A3A">
        <w:trPr>
          <w:trHeight w:val="249"/>
        </w:trPr>
        <w:tc>
          <w:tcPr>
            <w:tcW w:w="2271" w:type="pct"/>
            <w:noWrap/>
            <w:hideMark/>
          </w:tcPr>
          <w:p w14:paraId="73FE23CF" w14:textId="77777777" w:rsidR="004629A1" w:rsidRPr="000036A3" w:rsidRDefault="004629A1" w:rsidP="008B3A3A">
            <w:pPr>
              <w:rPr>
                <w:b/>
                <w:noProof/>
                <w:sz w:val="20"/>
                <w:szCs w:val="20"/>
              </w:rPr>
            </w:pPr>
            <w:r w:rsidRPr="000036A3">
              <w:rPr>
                <w:noProof/>
                <w:sz w:val="20"/>
                <w:szCs w:val="20"/>
              </w:rPr>
              <w:t>Germany</w:t>
            </w:r>
          </w:p>
        </w:tc>
        <w:tc>
          <w:tcPr>
            <w:tcW w:w="2729" w:type="pct"/>
            <w:noWrap/>
            <w:hideMark/>
          </w:tcPr>
          <w:p w14:paraId="77B0BF3F" w14:textId="77777777" w:rsidR="004629A1" w:rsidRPr="000036A3" w:rsidRDefault="004629A1" w:rsidP="00332434">
            <w:pPr>
              <w:jc w:val="center"/>
              <w:rPr>
                <w:noProof/>
                <w:color w:val="00B050"/>
                <w:sz w:val="20"/>
                <w:szCs w:val="20"/>
              </w:rPr>
            </w:pPr>
            <w:r w:rsidRPr="000036A3">
              <w:rPr>
                <w:noProof/>
                <w:color w:val="00B050"/>
                <w:sz w:val="20"/>
                <w:szCs w:val="20"/>
              </w:rPr>
              <w:t>Leader</w:t>
            </w:r>
          </w:p>
        </w:tc>
      </w:tr>
      <w:tr w:rsidR="004629A1" w:rsidRPr="000036A3" w14:paraId="493E41E7" w14:textId="77777777" w:rsidTr="008B3A3A">
        <w:trPr>
          <w:trHeight w:val="249"/>
        </w:trPr>
        <w:tc>
          <w:tcPr>
            <w:tcW w:w="2271" w:type="pct"/>
            <w:noWrap/>
            <w:hideMark/>
          </w:tcPr>
          <w:p w14:paraId="3D001C89" w14:textId="77777777" w:rsidR="004629A1" w:rsidRPr="000036A3" w:rsidRDefault="004629A1" w:rsidP="008B3A3A">
            <w:pPr>
              <w:rPr>
                <w:b/>
                <w:noProof/>
                <w:sz w:val="20"/>
                <w:szCs w:val="20"/>
              </w:rPr>
            </w:pPr>
            <w:r w:rsidRPr="000036A3">
              <w:rPr>
                <w:noProof/>
                <w:sz w:val="20"/>
                <w:szCs w:val="20"/>
              </w:rPr>
              <w:t>Austria</w:t>
            </w:r>
          </w:p>
        </w:tc>
        <w:tc>
          <w:tcPr>
            <w:tcW w:w="2729" w:type="pct"/>
            <w:noWrap/>
            <w:hideMark/>
          </w:tcPr>
          <w:p w14:paraId="48539314" w14:textId="77777777" w:rsidR="004629A1" w:rsidRPr="000036A3" w:rsidRDefault="004629A1" w:rsidP="00332434">
            <w:pPr>
              <w:jc w:val="center"/>
              <w:rPr>
                <w:noProof/>
                <w:color w:val="00B050"/>
                <w:sz w:val="20"/>
                <w:szCs w:val="20"/>
              </w:rPr>
            </w:pPr>
            <w:r w:rsidRPr="000036A3">
              <w:rPr>
                <w:noProof/>
                <w:color w:val="00B050"/>
                <w:sz w:val="20"/>
                <w:szCs w:val="20"/>
              </w:rPr>
              <w:t>Leader</w:t>
            </w:r>
          </w:p>
        </w:tc>
      </w:tr>
      <w:tr w:rsidR="004629A1" w:rsidRPr="000036A3" w14:paraId="4FE21911" w14:textId="77777777" w:rsidTr="008B3A3A">
        <w:trPr>
          <w:trHeight w:val="249"/>
        </w:trPr>
        <w:tc>
          <w:tcPr>
            <w:tcW w:w="2271" w:type="pct"/>
            <w:noWrap/>
            <w:hideMark/>
          </w:tcPr>
          <w:p w14:paraId="74731A60" w14:textId="77777777" w:rsidR="004629A1" w:rsidRPr="000036A3" w:rsidRDefault="004629A1" w:rsidP="008B3A3A">
            <w:pPr>
              <w:rPr>
                <w:b/>
                <w:noProof/>
                <w:sz w:val="20"/>
                <w:szCs w:val="20"/>
              </w:rPr>
            </w:pPr>
            <w:r w:rsidRPr="000036A3">
              <w:rPr>
                <w:noProof/>
                <w:sz w:val="20"/>
                <w:szCs w:val="20"/>
              </w:rPr>
              <w:t>Denmark</w:t>
            </w:r>
          </w:p>
        </w:tc>
        <w:tc>
          <w:tcPr>
            <w:tcW w:w="2729" w:type="pct"/>
            <w:noWrap/>
            <w:hideMark/>
          </w:tcPr>
          <w:p w14:paraId="7EC7BE72" w14:textId="77777777" w:rsidR="004629A1" w:rsidRPr="000036A3" w:rsidRDefault="004629A1" w:rsidP="00332434">
            <w:pPr>
              <w:jc w:val="center"/>
              <w:rPr>
                <w:noProof/>
                <w:color w:val="00B050"/>
                <w:sz w:val="20"/>
                <w:szCs w:val="20"/>
              </w:rPr>
            </w:pPr>
            <w:r w:rsidRPr="000036A3">
              <w:rPr>
                <w:noProof/>
                <w:color w:val="00B050"/>
                <w:sz w:val="20"/>
                <w:szCs w:val="20"/>
              </w:rPr>
              <w:t>Leader</w:t>
            </w:r>
          </w:p>
        </w:tc>
      </w:tr>
      <w:tr w:rsidR="004629A1" w:rsidRPr="000036A3" w14:paraId="3488F8AF" w14:textId="77777777" w:rsidTr="008B3A3A">
        <w:trPr>
          <w:trHeight w:val="249"/>
        </w:trPr>
        <w:tc>
          <w:tcPr>
            <w:tcW w:w="2271" w:type="pct"/>
            <w:noWrap/>
            <w:hideMark/>
          </w:tcPr>
          <w:p w14:paraId="2FE8928B" w14:textId="77777777" w:rsidR="004629A1" w:rsidRPr="000036A3" w:rsidRDefault="004629A1" w:rsidP="008B3A3A">
            <w:pPr>
              <w:rPr>
                <w:b/>
                <w:noProof/>
                <w:sz w:val="20"/>
                <w:szCs w:val="20"/>
              </w:rPr>
            </w:pPr>
            <w:r w:rsidRPr="000036A3">
              <w:rPr>
                <w:noProof/>
                <w:sz w:val="20"/>
                <w:szCs w:val="20"/>
              </w:rPr>
              <w:t>Luxembourg</w:t>
            </w:r>
          </w:p>
        </w:tc>
        <w:tc>
          <w:tcPr>
            <w:tcW w:w="2729" w:type="pct"/>
            <w:noWrap/>
            <w:hideMark/>
          </w:tcPr>
          <w:p w14:paraId="084AB185" w14:textId="77777777" w:rsidR="004629A1" w:rsidRPr="000036A3" w:rsidRDefault="004629A1" w:rsidP="00332434">
            <w:pPr>
              <w:jc w:val="center"/>
              <w:rPr>
                <w:noProof/>
                <w:color w:val="00B050"/>
                <w:sz w:val="20"/>
                <w:szCs w:val="20"/>
              </w:rPr>
            </w:pPr>
            <w:r w:rsidRPr="000036A3">
              <w:rPr>
                <w:noProof/>
                <w:color w:val="00B050"/>
                <w:sz w:val="20"/>
                <w:szCs w:val="20"/>
              </w:rPr>
              <w:t>Leader</w:t>
            </w:r>
          </w:p>
        </w:tc>
      </w:tr>
      <w:tr w:rsidR="004629A1" w:rsidRPr="000036A3" w14:paraId="6012D854" w14:textId="77777777" w:rsidTr="008B3A3A">
        <w:trPr>
          <w:trHeight w:val="249"/>
        </w:trPr>
        <w:tc>
          <w:tcPr>
            <w:tcW w:w="2271" w:type="pct"/>
            <w:noWrap/>
            <w:hideMark/>
          </w:tcPr>
          <w:p w14:paraId="05B9225A" w14:textId="77777777" w:rsidR="004629A1" w:rsidRPr="000036A3" w:rsidRDefault="004629A1" w:rsidP="008B3A3A">
            <w:pPr>
              <w:rPr>
                <w:b/>
                <w:noProof/>
                <w:sz w:val="20"/>
                <w:szCs w:val="20"/>
              </w:rPr>
            </w:pPr>
            <w:r w:rsidRPr="000036A3">
              <w:rPr>
                <w:noProof/>
                <w:sz w:val="20"/>
                <w:szCs w:val="20"/>
              </w:rPr>
              <w:t>Finland</w:t>
            </w:r>
          </w:p>
        </w:tc>
        <w:tc>
          <w:tcPr>
            <w:tcW w:w="2729" w:type="pct"/>
            <w:noWrap/>
            <w:hideMark/>
          </w:tcPr>
          <w:p w14:paraId="2A6782D4" w14:textId="77777777" w:rsidR="004629A1" w:rsidRPr="000036A3" w:rsidRDefault="004629A1" w:rsidP="00332434">
            <w:pPr>
              <w:jc w:val="center"/>
              <w:rPr>
                <w:noProof/>
                <w:color w:val="00B050"/>
                <w:sz w:val="20"/>
                <w:szCs w:val="20"/>
              </w:rPr>
            </w:pPr>
            <w:r w:rsidRPr="000036A3">
              <w:rPr>
                <w:noProof/>
                <w:color w:val="00B050"/>
                <w:sz w:val="20"/>
                <w:szCs w:val="20"/>
              </w:rPr>
              <w:t>Leader</w:t>
            </w:r>
          </w:p>
        </w:tc>
      </w:tr>
      <w:tr w:rsidR="004629A1" w:rsidRPr="000036A3" w14:paraId="59615E75" w14:textId="77777777" w:rsidTr="008B3A3A">
        <w:trPr>
          <w:trHeight w:val="249"/>
        </w:trPr>
        <w:tc>
          <w:tcPr>
            <w:tcW w:w="2271" w:type="pct"/>
            <w:noWrap/>
            <w:hideMark/>
          </w:tcPr>
          <w:p w14:paraId="4E01FC23" w14:textId="77777777" w:rsidR="004629A1" w:rsidRPr="000036A3" w:rsidRDefault="004629A1" w:rsidP="008B3A3A">
            <w:pPr>
              <w:rPr>
                <w:b/>
                <w:noProof/>
                <w:sz w:val="20"/>
                <w:szCs w:val="20"/>
              </w:rPr>
            </w:pPr>
            <w:r w:rsidRPr="000036A3">
              <w:rPr>
                <w:noProof/>
                <w:sz w:val="20"/>
                <w:szCs w:val="20"/>
              </w:rPr>
              <w:t>Spain</w:t>
            </w:r>
          </w:p>
        </w:tc>
        <w:tc>
          <w:tcPr>
            <w:tcW w:w="2729" w:type="pct"/>
            <w:noWrap/>
            <w:hideMark/>
          </w:tcPr>
          <w:p w14:paraId="3D329A97" w14:textId="77777777" w:rsidR="004629A1" w:rsidRPr="000036A3" w:rsidRDefault="004629A1" w:rsidP="00332434">
            <w:pPr>
              <w:jc w:val="center"/>
              <w:rPr>
                <w:noProof/>
                <w:color w:val="00B050"/>
                <w:sz w:val="20"/>
                <w:szCs w:val="20"/>
              </w:rPr>
            </w:pPr>
            <w:r w:rsidRPr="000036A3">
              <w:rPr>
                <w:noProof/>
                <w:color w:val="00B050"/>
                <w:sz w:val="20"/>
                <w:szCs w:val="20"/>
              </w:rPr>
              <w:t>Leader</w:t>
            </w:r>
          </w:p>
        </w:tc>
      </w:tr>
      <w:tr w:rsidR="004629A1" w:rsidRPr="000036A3" w14:paraId="2E11E48D" w14:textId="77777777" w:rsidTr="008B3A3A">
        <w:trPr>
          <w:trHeight w:val="249"/>
        </w:trPr>
        <w:tc>
          <w:tcPr>
            <w:tcW w:w="2271" w:type="pct"/>
            <w:noWrap/>
            <w:hideMark/>
          </w:tcPr>
          <w:p w14:paraId="077192E9" w14:textId="77777777" w:rsidR="004629A1" w:rsidRPr="000036A3" w:rsidRDefault="004629A1" w:rsidP="008B3A3A">
            <w:pPr>
              <w:rPr>
                <w:b/>
                <w:noProof/>
                <w:sz w:val="20"/>
                <w:szCs w:val="20"/>
              </w:rPr>
            </w:pPr>
            <w:r w:rsidRPr="000036A3">
              <w:rPr>
                <w:noProof/>
                <w:sz w:val="20"/>
                <w:szCs w:val="20"/>
              </w:rPr>
              <w:t>Netherlands</w:t>
            </w:r>
          </w:p>
        </w:tc>
        <w:tc>
          <w:tcPr>
            <w:tcW w:w="2729" w:type="pct"/>
            <w:noWrap/>
            <w:hideMark/>
          </w:tcPr>
          <w:p w14:paraId="2B1DB768" w14:textId="77777777" w:rsidR="004629A1" w:rsidRPr="000036A3" w:rsidRDefault="004629A1" w:rsidP="00332434">
            <w:pPr>
              <w:jc w:val="center"/>
              <w:rPr>
                <w:noProof/>
                <w:color w:val="00B050"/>
                <w:sz w:val="20"/>
                <w:szCs w:val="20"/>
              </w:rPr>
            </w:pPr>
            <w:r w:rsidRPr="000036A3">
              <w:rPr>
                <w:noProof/>
                <w:color w:val="00B050"/>
                <w:sz w:val="20"/>
                <w:szCs w:val="20"/>
              </w:rPr>
              <w:t>Leader</w:t>
            </w:r>
          </w:p>
        </w:tc>
      </w:tr>
      <w:tr w:rsidR="004629A1" w:rsidRPr="000036A3" w14:paraId="05BAA849" w14:textId="77777777" w:rsidTr="008B3A3A">
        <w:trPr>
          <w:trHeight w:val="249"/>
        </w:trPr>
        <w:tc>
          <w:tcPr>
            <w:tcW w:w="2271" w:type="pct"/>
            <w:noWrap/>
            <w:hideMark/>
          </w:tcPr>
          <w:p w14:paraId="7F79D1E8" w14:textId="77777777" w:rsidR="004629A1" w:rsidRPr="000036A3" w:rsidRDefault="004629A1" w:rsidP="008B3A3A">
            <w:pPr>
              <w:rPr>
                <w:b/>
                <w:noProof/>
                <w:sz w:val="20"/>
                <w:szCs w:val="20"/>
              </w:rPr>
            </w:pPr>
            <w:r w:rsidRPr="000036A3">
              <w:rPr>
                <w:noProof/>
                <w:sz w:val="20"/>
                <w:szCs w:val="20"/>
              </w:rPr>
              <w:t>France</w:t>
            </w:r>
          </w:p>
        </w:tc>
        <w:tc>
          <w:tcPr>
            <w:tcW w:w="2729" w:type="pct"/>
            <w:noWrap/>
            <w:hideMark/>
          </w:tcPr>
          <w:p w14:paraId="7F76A591" w14:textId="77777777" w:rsidR="004629A1" w:rsidRPr="000036A3" w:rsidRDefault="004629A1" w:rsidP="00332434">
            <w:pPr>
              <w:jc w:val="center"/>
              <w:rPr>
                <w:noProof/>
                <w:color w:val="F79646" w:themeColor="accent6"/>
                <w:sz w:val="20"/>
                <w:szCs w:val="20"/>
              </w:rPr>
            </w:pPr>
            <w:r w:rsidRPr="000036A3">
              <w:rPr>
                <w:noProof/>
                <w:color w:val="F79646" w:themeColor="accent6"/>
                <w:sz w:val="20"/>
                <w:szCs w:val="20"/>
              </w:rPr>
              <w:t>Planned adopter</w:t>
            </w:r>
          </w:p>
        </w:tc>
      </w:tr>
      <w:tr w:rsidR="004629A1" w:rsidRPr="000036A3" w14:paraId="4F84BF27" w14:textId="77777777" w:rsidTr="008B3A3A">
        <w:trPr>
          <w:trHeight w:val="249"/>
        </w:trPr>
        <w:tc>
          <w:tcPr>
            <w:tcW w:w="2271" w:type="pct"/>
            <w:noWrap/>
            <w:hideMark/>
          </w:tcPr>
          <w:p w14:paraId="64D6AEB1" w14:textId="77777777" w:rsidR="004629A1" w:rsidRPr="000036A3" w:rsidRDefault="004629A1" w:rsidP="008B3A3A">
            <w:pPr>
              <w:rPr>
                <w:b/>
                <w:noProof/>
                <w:sz w:val="20"/>
                <w:szCs w:val="20"/>
              </w:rPr>
            </w:pPr>
            <w:r w:rsidRPr="000036A3">
              <w:rPr>
                <w:noProof/>
                <w:sz w:val="20"/>
                <w:szCs w:val="20"/>
              </w:rPr>
              <w:t>Poland</w:t>
            </w:r>
          </w:p>
        </w:tc>
        <w:tc>
          <w:tcPr>
            <w:tcW w:w="2729" w:type="pct"/>
            <w:noWrap/>
            <w:hideMark/>
          </w:tcPr>
          <w:p w14:paraId="1AF8A2A8" w14:textId="77777777" w:rsidR="004629A1" w:rsidRPr="000036A3" w:rsidRDefault="004629A1" w:rsidP="00332434">
            <w:pPr>
              <w:jc w:val="center"/>
              <w:rPr>
                <w:noProof/>
                <w:color w:val="F79646" w:themeColor="accent6"/>
                <w:sz w:val="20"/>
                <w:szCs w:val="20"/>
              </w:rPr>
            </w:pPr>
            <w:r w:rsidRPr="000036A3">
              <w:rPr>
                <w:noProof/>
                <w:color w:val="F79646" w:themeColor="accent6"/>
                <w:sz w:val="20"/>
                <w:szCs w:val="20"/>
              </w:rPr>
              <w:t>Planned adopter</w:t>
            </w:r>
          </w:p>
        </w:tc>
      </w:tr>
      <w:tr w:rsidR="004629A1" w:rsidRPr="000036A3" w14:paraId="331BDCB6" w14:textId="77777777" w:rsidTr="008B3A3A">
        <w:trPr>
          <w:trHeight w:val="249"/>
        </w:trPr>
        <w:tc>
          <w:tcPr>
            <w:tcW w:w="2271" w:type="pct"/>
            <w:noWrap/>
            <w:hideMark/>
          </w:tcPr>
          <w:p w14:paraId="32A616E2" w14:textId="77777777" w:rsidR="004629A1" w:rsidRPr="000036A3" w:rsidRDefault="004629A1" w:rsidP="008B3A3A">
            <w:pPr>
              <w:rPr>
                <w:b/>
                <w:noProof/>
                <w:sz w:val="20"/>
                <w:szCs w:val="20"/>
              </w:rPr>
            </w:pPr>
            <w:r w:rsidRPr="000036A3">
              <w:rPr>
                <w:noProof/>
                <w:sz w:val="20"/>
                <w:szCs w:val="20"/>
              </w:rPr>
              <w:t>Italy</w:t>
            </w:r>
          </w:p>
        </w:tc>
        <w:tc>
          <w:tcPr>
            <w:tcW w:w="2729" w:type="pct"/>
            <w:noWrap/>
            <w:hideMark/>
          </w:tcPr>
          <w:p w14:paraId="28C89C2B" w14:textId="77777777" w:rsidR="004629A1" w:rsidRPr="000036A3" w:rsidRDefault="004629A1" w:rsidP="00332434">
            <w:pPr>
              <w:jc w:val="center"/>
              <w:rPr>
                <w:noProof/>
                <w:color w:val="F79646" w:themeColor="accent6"/>
                <w:sz w:val="20"/>
                <w:szCs w:val="20"/>
              </w:rPr>
            </w:pPr>
            <w:r w:rsidRPr="000036A3">
              <w:rPr>
                <w:noProof/>
                <w:color w:val="F79646" w:themeColor="accent6"/>
                <w:sz w:val="20"/>
                <w:szCs w:val="20"/>
              </w:rPr>
              <w:t>Planned adopter</w:t>
            </w:r>
          </w:p>
        </w:tc>
      </w:tr>
      <w:tr w:rsidR="004629A1" w:rsidRPr="000036A3" w14:paraId="13E36885" w14:textId="77777777" w:rsidTr="008B3A3A">
        <w:trPr>
          <w:trHeight w:val="249"/>
        </w:trPr>
        <w:tc>
          <w:tcPr>
            <w:tcW w:w="2271" w:type="pct"/>
            <w:noWrap/>
            <w:hideMark/>
          </w:tcPr>
          <w:p w14:paraId="4EEF09B5" w14:textId="77777777" w:rsidR="004629A1" w:rsidRPr="000036A3" w:rsidRDefault="004629A1" w:rsidP="008B3A3A">
            <w:pPr>
              <w:rPr>
                <w:b/>
                <w:noProof/>
                <w:sz w:val="20"/>
                <w:szCs w:val="20"/>
              </w:rPr>
            </w:pPr>
            <w:r w:rsidRPr="000036A3">
              <w:rPr>
                <w:noProof/>
                <w:sz w:val="20"/>
                <w:szCs w:val="20"/>
              </w:rPr>
              <w:t>Belgium</w:t>
            </w:r>
          </w:p>
        </w:tc>
        <w:tc>
          <w:tcPr>
            <w:tcW w:w="2729" w:type="pct"/>
            <w:noWrap/>
            <w:hideMark/>
          </w:tcPr>
          <w:p w14:paraId="43544B8E" w14:textId="77777777" w:rsidR="004629A1" w:rsidRPr="000036A3" w:rsidRDefault="004629A1" w:rsidP="00332434">
            <w:pPr>
              <w:jc w:val="center"/>
              <w:rPr>
                <w:noProof/>
                <w:color w:val="F79646" w:themeColor="accent6"/>
                <w:sz w:val="20"/>
                <w:szCs w:val="20"/>
              </w:rPr>
            </w:pPr>
            <w:r w:rsidRPr="000036A3">
              <w:rPr>
                <w:noProof/>
                <w:color w:val="F79646" w:themeColor="accent6"/>
                <w:sz w:val="20"/>
                <w:szCs w:val="20"/>
              </w:rPr>
              <w:t>Planned adopter</w:t>
            </w:r>
          </w:p>
        </w:tc>
      </w:tr>
      <w:tr w:rsidR="004629A1" w:rsidRPr="000036A3" w14:paraId="56FC1BA0" w14:textId="77777777" w:rsidTr="008B3A3A">
        <w:trPr>
          <w:trHeight w:val="249"/>
        </w:trPr>
        <w:tc>
          <w:tcPr>
            <w:tcW w:w="2271" w:type="pct"/>
            <w:noWrap/>
            <w:hideMark/>
          </w:tcPr>
          <w:p w14:paraId="162D794E" w14:textId="77777777" w:rsidR="004629A1" w:rsidRPr="000036A3" w:rsidRDefault="004629A1" w:rsidP="008B3A3A">
            <w:pPr>
              <w:rPr>
                <w:b/>
                <w:noProof/>
                <w:sz w:val="20"/>
                <w:szCs w:val="20"/>
              </w:rPr>
            </w:pPr>
            <w:r w:rsidRPr="000036A3">
              <w:rPr>
                <w:noProof/>
                <w:sz w:val="20"/>
                <w:szCs w:val="20"/>
              </w:rPr>
              <w:t>Portugal</w:t>
            </w:r>
          </w:p>
        </w:tc>
        <w:tc>
          <w:tcPr>
            <w:tcW w:w="2729" w:type="pct"/>
            <w:noWrap/>
            <w:hideMark/>
          </w:tcPr>
          <w:p w14:paraId="699367A5" w14:textId="77777777" w:rsidR="004629A1" w:rsidRPr="000036A3" w:rsidRDefault="004629A1" w:rsidP="00332434">
            <w:pPr>
              <w:jc w:val="center"/>
              <w:rPr>
                <w:noProof/>
                <w:color w:val="F79646" w:themeColor="accent6"/>
                <w:sz w:val="20"/>
                <w:szCs w:val="20"/>
              </w:rPr>
            </w:pPr>
            <w:r w:rsidRPr="000036A3">
              <w:rPr>
                <w:noProof/>
                <w:color w:val="F79646" w:themeColor="accent6"/>
                <w:sz w:val="20"/>
                <w:szCs w:val="20"/>
              </w:rPr>
              <w:t>Planned adopter</w:t>
            </w:r>
          </w:p>
        </w:tc>
      </w:tr>
      <w:tr w:rsidR="004629A1" w:rsidRPr="000036A3" w14:paraId="3CC21392" w14:textId="77777777" w:rsidTr="008B3A3A">
        <w:trPr>
          <w:trHeight w:val="249"/>
        </w:trPr>
        <w:tc>
          <w:tcPr>
            <w:tcW w:w="2271" w:type="pct"/>
            <w:noWrap/>
            <w:hideMark/>
          </w:tcPr>
          <w:p w14:paraId="20BCBE8A" w14:textId="77777777" w:rsidR="004629A1" w:rsidRPr="000036A3" w:rsidRDefault="004629A1" w:rsidP="008B3A3A">
            <w:pPr>
              <w:rPr>
                <w:b/>
                <w:noProof/>
                <w:sz w:val="20"/>
                <w:szCs w:val="20"/>
              </w:rPr>
            </w:pPr>
            <w:r w:rsidRPr="000036A3">
              <w:rPr>
                <w:noProof/>
                <w:sz w:val="20"/>
                <w:szCs w:val="20"/>
              </w:rPr>
              <w:t>Malta</w:t>
            </w:r>
          </w:p>
        </w:tc>
        <w:tc>
          <w:tcPr>
            <w:tcW w:w="2729" w:type="pct"/>
            <w:noWrap/>
            <w:hideMark/>
          </w:tcPr>
          <w:p w14:paraId="03E67FD0" w14:textId="77777777" w:rsidR="004629A1" w:rsidRPr="000036A3" w:rsidRDefault="004629A1" w:rsidP="00332434">
            <w:pPr>
              <w:jc w:val="center"/>
              <w:rPr>
                <w:noProof/>
                <w:color w:val="F79646" w:themeColor="accent6"/>
                <w:sz w:val="20"/>
                <w:szCs w:val="20"/>
              </w:rPr>
            </w:pPr>
            <w:r w:rsidRPr="000036A3">
              <w:rPr>
                <w:noProof/>
                <w:color w:val="F79646" w:themeColor="accent6"/>
                <w:sz w:val="20"/>
                <w:szCs w:val="20"/>
              </w:rPr>
              <w:t>Planned adopter</w:t>
            </w:r>
          </w:p>
        </w:tc>
      </w:tr>
      <w:tr w:rsidR="004629A1" w:rsidRPr="000036A3" w14:paraId="418E6551" w14:textId="77777777" w:rsidTr="008B3A3A">
        <w:trPr>
          <w:trHeight w:val="249"/>
        </w:trPr>
        <w:tc>
          <w:tcPr>
            <w:tcW w:w="2271" w:type="pct"/>
            <w:noWrap/>
            <w:hideMark/>
          </w:tcPr>
          <w:p w14:paraId="7C75AD0A" w14:textId="77777777" w:rsidR="004629A1" w:rsidRPr="000036A3" w:rsidRDefault="004629A1" w:rsidP="008B3A3A">
            <w:pPr>
              <w:rPr>
                <w:b/>
                <w:noProof/>
                <w:sz w:val="20"/>
                <w:szCs w:val="20"/>
              </w:rPr>
            </w:pPr>
            <w:r w:rsidRPr="000036A3">
              <w:rPr>
                <w:noProof/>
                <w:sz w:val="20"/>
                <w:szCs w:val="20"/>
              </w:rPr>
              <w:t>Cyprus</w:t>
            </w:r>
          </w:p>
        </w:tc>
        <w:tc>
          <w:tcPr>
            <w:tcW w:w="2729" w:type="pct"/>
            <w:noWrap/>
            <w:hideMark/>
          </w:tcPr>
          <w:p w14:paraId="497C5324" w14:textId="77777777" w:rsidR="004629A1" w:rsidRPr="000036A3" w:rsidRDefault="004629A1" w:rsidP="00332434">
            <w:pPr>
              <w:jc w:val="center"/>
              <w:rPr>
                <w:noProof/>
                <w:color w:val="F79646" w:themeColor="accent6"/>
                <w:sz w:val="20"/>
                <w:szCs w:val="20"/>
              </w:rPr>
            </w:pPr>
            <w:r w:rsidRPr="000036A3">
              <w:rPr>
                <w:noProof/>
                <w:color w:val="F79646" w:themeColor="accent6"/>
                <w:sz w:val="20"/>
                <w:szCs w:val="20"/>
              </w:rPr>
              <w:t>Planned adopter</w:t>
            </w:r>
          </w:p>
        </w:tc>
      </w:tr>
      <w:tr w:rsidR="004629A1" w:rsidRPr="000036A3" w14:paraId="47E34F91" w14:textId="77777777" w:rsidTr="008B3A3A">
        <w:trPr>
          <w:trHeight w:val="249"/>
        </w:trPr>
        <w:tc>
          <w:tcPr>
            <w:tcW w:w="2271" w:type="pct"/>
            <w:noWrap/>
            <w:hideMark/>
          </w:tcPr>
          <w:p w14:paraId="0ED1BB15" w14:textId="77777777" w:rsidR="004629A1" w:rsidRPr="000036A3" w:rsidRDefault="004629A1" w:rsidP="008B3A3A">
            <w:pPr>
              <w:rPr>
                <w:b/>
                <w:noProof/>
                <w:sz w:val="20"/>
                <w:szCs w:val="20"/>
              </w:rPr>
            </w:pPr>
            <w:r w:rsidRPr="000036A3">
              <w:rPr>
                <w:noProof/>
                <w:sz w:val="20"/>
                <w:szCs w:val="20"/>
              </w:rPr>
              <w:t>Greece</w:t>
            </w:r>
          </w:p>
        </w:tc>
        <w:tc>
          <w:tcPr>
            <w:tcW w:w="2729" w:type="pct"/>
            <w:noWrap/>
            <w:hideMark/>
          </w:tcPr>
          <w:p w14:paraId="1F02C243" w14:textId="77777777" w:rsidR="004629A1" w:rsidRPr="000036A3" w:rsidRDefault="004629A1" w:rsidP="00332434">
            <w:pPr>
              <w:jc w:val="center"/>
              <w:rPr>
                <w:noProof/>
                <w:color w:val="F79646" w:themeColor="accent6"/>
                <w:sz w:val="20"/>
                <w:szCs w:val="20"/>
              </w:rPr>
            </w:pPr>
            <w:r w:rsidRPr="000036A3">
              <w:rPr>
                <w:noProof/>
                <w:color w:val="F79646" w:themeColor="accent6"/>
                <w:sz w:val="20"/>
                <w:szCs w:val="20"/>
              </w:rPr>
              <w:t>Planned adopter</w:t>
            </w:r>
          </w:p>
        </w:tc>
      </w:tr>
      <w:tr w:rsidR="004629A1" w:rsidRPr="000036A3" w14:paraId="23FAEB1C" w14:textId="77777777" w:rsidTr="008B3A3A">
        <w:trPr>
          <w:trHeight w:val="249"/>
        </w:trPr>
        <w:tc>
          <w:tcPr>
            <w:tcW w:w="2271" w:type="pct"/>
            <w:noWrap/>
            <w:hideMark/>
          </w:tcPr>
          <w:p w14:paraId="76705599" w14:textId="77777777" w:rsidR="004629A1" w:rsidRPr="000036A3" w:rsidRDefault="004629A1" w:rsidP="008B3A3A">
            <w:pPr>
              <w:rPr>
                <w:b/>
                <w:noProof/>
                <w:sz w:val="20"/>
                <w:szCs w:val="20"/>
              </w:rPr>
            </w:pPr>
            <w:r w:rsidRPr="000036A3">
              <w:rPr>
                <w:noProof/>
                <w:sz w:val="20"/>
                <w:szCs w:val="20"/>
              </w:rPr>
              <w:t>Bulgaria</w:t>
            </w:r>
          </w:p>
        </w:tc>
        <w:tc>
          <w:tcPr>
            <w:tcW w:w="2729" w:type="pct"/>
            <w:noWrap/>
            <w:hideMark/>
          </w:tcPr>
          <w:p w14:paraId="4E90CC50" w14:textId="77777777" w:rsidR="004629A1" w:rsidRPr="000036A3" w:rsidRDefault="004629A1" w:rsidP="00332434">
            <w:pPr>
              <w:jc w:val="center"/>
              <w:rPr>
                <w:noProof/>
                <w:color w:val="F79646" w:themeColor="accent6"/>
                <w:sz w:val="20"/>
                <w:szCs w:val="20"/>
              </w:rPr>
            </w:pPr>
            <w:r w:rsidRPr="000036A3">
              <w:rPr>
                <w:noProof/>
                <w:color w:val="F79646" w:themeColor="accent6"/>
                <w:sz w:val="20"/>
                <w:szCs w:val="20"/>
              </w:rPr>
              <w:t>Planned adopter</w:t>
            </w:r>
          </w:p>
        </w:tc>
      </w:tr>
      <w:tr w:rsidR="004629A1" w:rsidRPr="000036A3" w14:paraId="493CDD19" w14:textId="77777777" w:rsidTr="008B3A3A">
        <w:trPr>
          <w:trHeight w:val="249"/>
        </w:trPr>
        <w:tc>
          <w:tcPr>
            <w:tcW w:w="2271" w:type="pct"/>
            <w:noWrap/>
            <w:hideMark/>
          </w:tcPr>
          <w:p w14:paraId="6C1A670A" w14:textId="77777777" w:rsidR="004629A1" w:rsidRPr="000036A3" w:rsidRDefault="004629A1" w:rsidP="008B3A3A">
            <w:pPr>
              <w:rPr>
                <w:b/>
                <w:noProof/>
                <w:sz w:val="20"/>
                <w:szCs w:val="20"/>
              </w:rPr>
            </w:pPr>
            <w:r w:rsidRPr="000036A3">
              <w:rPr>
                <w:noProof/>
                <w:sz w:val="20"/>
                <w:szCs w:val="20"/>
              </w:rPr>
              <w:t>Estonia</w:t>
            </w:r>
          </w:p>
        </w:tc>
        <w:tc>
          <w:tcPr>
            <w:tcW w:w="2729" w:type="pct"/>
            <w:noWrap/>
            <w:hideMark/>
          </w:tcPr>
          <w:p w14:paraId="4BEFCA9E" w14:textId="77777777" w:rsidR="004629A1" w:rsidRPr="000036A3" w:rsidRDefault="004629A1" w:rsidP="00332434">
            <w:pPr>
              <w:jc w:val="center"/>
              <w:rPr>
                <w:noProof/>
                <w:color w:val="F79646" w:themeColor="accent6"/>
                <w:sz w:val="20"/>
                <w:szCs w:val="20"/>
              </w:rPr>
            </w:pPr>
            <w:r w:rsidRPr="000036A3">
              <w:rPr>
                <w:noProof/>
                <w:color w:val="F79646" w:themeColor="accent6"/>
                <w:sz w:val="20"/>
                <w:szCs w:val="20"/>
              </w:rPr>
              <w:t>Planned adopter</w:t>
            </w:r>
          </w:p>
        </w:tc>
      </w:tr>
      <w:tr w:rsidR="004629A1" w:rsidRPr="000036A3" w14:paraId="5D91B0F1" w14:textId="77777777" w:rsidTr="008B3A3A">
        <w:trPr>
          <w:trHeight w:val="249"/>
        </w:trPr>
        <w:tc>
          <w:tcPr>
            <w:tcW w:w="2271" w:type="pct"/>
            <w:noWrap/>
            <w:hideMark/>
          </w:tcPr>
          <w:p w14:paraId="3EFAEFC8" w14:textId="77777777" w:rsidR="004629A1" w:rsidRPr="000036A3" w:rsidRDefault="004629A1" w:rsidP="008B3A3A">
            <w:pPr>
              <w:rPr>
                <w:b/>
                <w:noProof/>
                <w:sz w:val="20"/>
                <w:szCs w:val="20"/>
              </w:rPr>
            </w:pPr>
            <w:r w:rsidRPr="000036A3">
              <w:rPr>
                <w:noProof/>
                <w:sz w:val="20"/>
                <w:szCs w:val="20"/>
              </w:rPr>
              <w:t>Croatia</w:t>
            </w:r>
          </w:p>
        </w:tc>
        <w:tc>
          <w:tcPr>
            <w:tcW w:w="2729" w:type="pct"/>
            <w:noWrap/>
            <w:hideMark/>
          </w:tcPr>
          <w:p w14:paraId="3BCDB47B" w14:textId="77777777" w:rsidR="004629A1" w:rsidRPr="000036A3" w:rsidRDefault="004629A1" w:rsidP="00332434">
            <w:pPr>
              <w:jc w:val="center"/>
              <w:rPr>
                <w:noProof/>
                <w:color w:val="8064A2" w:themeColor="accent4"/>
                <w:sz w:val="20"/>
                <w:szCs w:val="20"/>
              </w:rPr>
            </w:pPr>
            <w:r w:rsidRPr="000036A3">
              <w:rPr>
                <w:noProof/>
                <w:color w:val="8064A2" w:themeColor="accent4"/>
                <w:sz w:val="20"/>
                <w:szCs w:val="20"/>
              </w:rPr>
              <w:t>Follower</w:t>
            </w:r>
          </w:p>
        </w:tc>
      </w:tr>
      <w:tr w:rsidR="004629A1" w:rsidRPr="000036A3" w14:paraId="35D6C62E" w14:textId="77777777" w:rsidTr="008B3A3A">
        <w:trPr>
          <w:trHeight w:val="249"/>
        </w:trPr>
        <w:tc>
          <w:tcPr>
            <w:tcW w:w="2271" w:type="pct"/>
            <w:noWrap/>
            <w:hideMark/>
          </w:tcPr>
          <w:p w14:paraId="393DFAB9" w14:textId="77777777" w:rsidR="004629A1" w:rsidRPr="000036A3" w:rsidRDefault="004629A1" w:rsidP="008B3A3A">
            <w:pPr>
              <w:rPr>
                <w:b/>
                <w:noProof/>
                <w:sz w:val="20"/>
                <w:szCs w:val="20"/>
              </w:rPr>
            </w:pPr>
            <w:r w:rsidRPr="000036A3">
              <w:rPr>
                <w:noProof/>
                <w:sz w:val="20"/>
                <w:szCs w:val="20"/>
              </w:rPr>
              <w:t>Lithuania</w:t>
            </w:r>
          </w:p>
        </w:tc>
        <w:tc>
          <w:tcPr>
            <w:tcW w:w="2729" w:type="pct"/>
            <w:noWrap/>
            <w:hideMark/>
          </w:tcPr>
          <w:p w14:paraId="19C857A3" w14:textId="77777777" w:rsidR="004629A1" w:rsidRPr="000036A3" w:rsidRDefault="004629A1" w:rsidP="00332434">
            <w:pPr>
              <w:jc w:val="center"/>
              <w:rPr>
                <w:noProof/>
                <w:color w:val="8064A2" w:themeColor="accent4"/>
                <w:sz w:val="20"/>
                <w:szCs w:val="20"/>
              </w:rPr>
            </w:pPr>
            <w:r w:rsidRPr="000036A3">
              <w:rPr>
                <w:noProof/>
                <w:color w:val="8064A2" w:themeColor="accent4"/>
                <w:sz w:val="20"/>
                <w:szCs w:val="20"/>
              </w:rPr>
              <w:t>Follower</w:t>
            </w:r>
          </w:p>
        </w:tc>
      </w:tr>
      <w:tr w:rsidR="004629A1" w:rsidRPr="000036A3" w14:paraId="72A00A71" w14:textId="77777777" w:rsidTr="008B3A3A">
        <w:trPr>
          <w:trHeight w:val="249"/>
        </w:trPr>
        <w:tc>
          <w:tcPr>
            <w:tcW w:w="2271" w:type="pct"/>
            <w:noWrap/>
            <w:hideMark/>
          </w:tcPr>
          <w:p w14:paraId="0B7DB4DF" w14:textId="77777777" w:rsidR="004629A1" w:rsidRPr="000036A3" w:rsidRDefault="004629A1" w:rsidP="008B3A3A">
            <w:pPr>
              <w:rPr>
                <w:b/>
                <w:noProof/>
                <w:sz w:val="20"/>
                <w:szCs w:val="20"/>
              </w:rPr>
            </w:pPr>
            <w:r w:rsidRPr="000036A3">
              <w:rPr>
                <w:noProof/>
                <w:sz w:val="20"/>
                <w:szCs w:val="20"/>
              </w:rPr>
              <w:t>Hungary</w:t>
            </w:r>
          </w:p>
        </w:tc>
        <w:tc>
          <w:tcPr>
            <w:tcW w:w="2729" w:type="pct"/>
            <w:noWrap/>
            <w:hideMark/>
          </w:tcPr>
          <w:p w14:paraId="70908089" w14:textId="77777777" w:rsidR="004629A1" w:rsidRPr="000036A3" w:rsidRDefault="004629A1" w:rsidP="00332434">
            <w:pPr>
              <w:jc w:val="center"/>
              <w:rPr>
                <w:noProof/>
                <w:color w:val="8064A2" w:themeColor="accent4"/>
                <w:sz w:val="20"/>
                <w:szCs w:val="20"/>
              </w:rPr>
            </w:pPr>
            <w:r w:rsidRPr="000036A3">
              <w:rPr>
                <w:noProof/>
                <w:color w:val="8064A2" w:themeColor="accent4"/>
                <w:sz w:val="20"/>
                <w:szCs w:val="20"/>
              </w:rPr>
              <w:t>Follower</w:t>
            </w:r>
          </w:p>
        </w:tc>
      </w:tr>
      <w:tr w:rsidR="004629A1" w:rsidRPr="000036A3" w14:paraId="449C2207" w14:textId="77777777" w:rsidTr="008B3A3A">
        <w:trPr>
          <w:trHeight w:val="249"/>
        </w:trPr>
        <w:tc>
          <w:tcPr>
            <w:tcW w:w="2271" w:type="pct"/>
            <w:noWrap/>
            <w:hideMark/>
          </w:tcPr>
          <w:p w14:paraId="00BD88DE" w14:textId="77777777" w:rsidR="004629A1" w:rsidRPr="000036A3" w:rsidRDefault="004629A1" w:rsidP="008B3A3A">
            <w:pPr>
              <w:rPr>
                <w:b/>
                <w:noProof/>
                <w:sz w:val="20"/>
                <w:szCs w:val="20"/>
              </w:rPr>
            </w:pPr>
            <w:r w:rsidRPr="000036A3">
              <w:rPr>
                <w:noProof/>
                <w:sz w:val="20"/>
                <w:szCs w:val="20"/>
              </w:rPr>
              <w:t>Sweden</w:t>
            </w:r>
          </w:p>
        </w:tc>
        <w:tc>
          <w:tcPr>
            <w:tcW w:w="2729" w:type="pct"/>
            <w:noWrap/>
            <w:hideMark/>
          </w:tcPr>
          <w:p w14:paraId="02384AD9" w14:textId="77777777" w:rsidR="004629A1" w:rsidRPr="000036A3" w:rsidRDefault="004629A1" w:rsidP="00332434">
            <w:pPr>
              <w:jc w:val="center"/>
              <w:rPr>
                <w:noProof/>
                <w:color w:val="8064A2" w:themeColor="accent4"/>
                <w:sz w:val="20"/>
                <w:szCs w:val="20"/>
              </w:rPr>
            </w:pPr>
            <w:r w:rsidRPr="000036A3">
              <w:rPr>
                <w:noProof/>
                <w:color w:val="8064A2" w:themeColor="accent4"/>
                <w:sz w:val="20"/>
                <w:szCs w:val="20"/>
              </w:rPr>
              <w:t>Follower</w:t>
            </w:r>
          </w:p>
        </w:tc>
      </w:tr>
      <w:tr w:rsidR="004629A1" w:rsidRPr="000036A3" w14:paraId="746031E1" w14:textId="77777777" w:rsidTr="008B3A3A">
        <w:trPr>
          <w:trHeight w:val="249"/>
        </w:trPr>
        <w:tc>
          <w:tcPr>
            <w:tcW w:w="2271" w:type="pct"/>
            <w:noWrap/>
            <w:hideMark/>
          </w:tcPr>
          <w:p w14:paraId="34D2388D" w14:textId="77777777" w:rsidR="004629A1" w:rsidRPr="000036A3" w:rsidRDefault="004629A1" w:rsidP="008B3A3A">
            <w:pPr>
              <w:rPr>
                <w:b/>
                <w:noProof/>
                <w:sz w:val="20"/>
                <w:szCs w:val="20"/>
              </w:rPr>
            </w:pPr>
            <w:r w:rsidRPr="000036A3">
              <w:rPr>
                <w:noProof/>
                <w:sz w:val="20"/>
                <w:szCs w:val="20"/>
              </w:rPr>
              <w:t xml:space="preserve">Czechia </w:t>
            </w:r>
          </w:p>
        </w:tc>
        <w:tc>
          <w:tcPr>
            <w:tcW w:w="2729" w:type="pct"/>
            <w:noWrap/>
            <w:hideMark/>
          </w:tcPr>
          <w:p w14:paraId="7FD047D2" w14:textId="77777777" w:rsidR="004629A1" w:rsidRPr="000036A3" w:rsidRDefault="004629A1" w:rsidP="00332434">
            <w:pPr>
              <w:jc w:val="center"/>
              <w:rPr>
                <w:noProof/>
                <w:color w:val="8064A2" w:themeColor="accent4"/>
                <w:sz w:val="20"/>
                <w:szCs w:val="20"/>
              </w:rPr>
            </w:pPr>
            <w:r w:rsidRPr="000036A3">
              <w:rPr>
                <w:noProof/>
                <w:color w:val="8064A2" w:themeColor="accent4"/>
                <w:sz w:val="20"/>
                <w:szCs w:val="20"/>
              </w:rPr>
              <w:t>Follower</w:t>
            </w:r>
          </w:p>
        </w:tc>
      </w:tr>
      <w:tr w:rsidR="004629A1" w:rsidRPr="000036A3" w14:paraId="52983D48" w14:textId="77777777" w:rsidTr="008B3A3A">
        <w:trPr>
          <w:trHeight w:val="249"/>
        </w:trPr>
        <w:tc>
          <w:tcPr>
            <w:tcW w:w="2271" w:type="pct"/>
            <w:noWrap/>
            <w:hideMark/>
          </w:tcPr>
          <w:p w14:paraId="296688D7" w14:textId="77777777" w:rsidR="004629A1" w:rsidRPr="000036A3" w:rsidRDefault="004629A1" w:rsidP="008B3A3A">
            <w:pPr>
              <w:rPr>
                <w:b/>
                <w:noProof/>
                <w:sz w:val="20"/>
                <w:szCs w:val="20"/>
              </w:rPr>
            </w:pPr>
            <w:r w:rsidRPr="000036A3">
              <w:rPr>
                <w:noProof/>
                <w:sz w:val="20"/>
                <w:szCs w:val="20"/>
              </w:rPr>
              <w:t>Ireland</w:t>
            </w:r>
          </w:p>
        </w:tc>
        <w:tc>
          <w:tcPr>
            <w:tcW w:w="2729" w:type="pct"/>
            <w:noWrap/>
            <w:hideMark/>
          </w:tcPr>
          <w:p w14:paraId="5D9C5C92" w14:textId="77777777" w:rsidR="004629A1" w:rsidRPr="000036A3" w:rsidRDefault="004629A1" w:rsidP="00332434">
            <w:pPr>
              <w:jc w:val="center"/>
              <w:rPr>
                <w:noProof/>
                <w:color w:val="8064A2" w:themeColor="accent4"/>
                <w:sz w:val="20"/>
                <w:szCs w:val="20"/>
              </w:rPr>
            </w:pPr>
            <w:r w:rsidRPr="000036A3">
              <w:rPr>
                <w:noProof/>
                <w:color w:val="8064A2" w:themeColor="accent4"/>
                <w:sz w:val="20"/>
                <w:szCs w:val="20"/>
              </w:rPr>
              <w:t>Follower</w:t>
            </w:r>
          </w:p>
        </w:tc>
      </w:tr>
      <w:tr w:rsidR="004629A1" w:rsidRPr="000036A3" w14:paraId="431A729F" w14:textId="77777777" w:rsidTr="008B3A3A">
        <w:trPr>
          <w:trHeight w:val="249"/>
        </w:trPr>
        <w:tc>
          <w:tcPr>
            <w:tcW w:w="2271" w:type="pct"/>
            <w:noWrap/>
            <w:hideMark/>
          </w:tcPr>
          <w:p w14:paraId="3573D0BE" w14:textId="77777777" w:rsidR="004629A1" w:rsidRPr="000036A3" w:rsidRDefault="004629A1" w:rsidP="008B3A3A">
            <w:pPr>
              <w:rPr>
                <w:b/>
                <w:noProof/>
                <w:sz w:val="20"/>
                <w:szCs w:val="20"/>
              </w:rPr>
            </w:pPr>
            <w:r w:rsidRPr="000036A3">
              <w:rPr>
                <w:noProof/>
                <w:sz w:val="20"/>
                <w:szCs w:val="20"/>
              </w:rPr>
              <w:t>Slovenia</w:t>
            </w:r>
          </w:p>
        </w:tc>
        <w:tc>
          <w:tcPr>
            <w:tcW w:w="2729" w:type="pct"/>
            <w:noWrap/>
            <w:hideMark/>
          </w:tcPr>
          <w:p w14:paraId="371BDDD8" w14:textId="77777777" w:rsidR="004629A1" w:rsidRPr="000036A3" w:rsidRDefault="004629A1" w:rsidP="00332434">
            <w:pPr>
              <w:jc w:val="center"/>
              <w:rPr>
                <w:noProof/>
                <w:color w:val="8064A2" w:themeColor="accent4"/>
                <w:sz w:val="20"/>
                <w:szCs w:val="20"/>
              </w:rPr>
            </w:pPr>
            <w:r w:rsidRPr="000036A3">
              <w:rPr>
                <w:noProof/>
                <w:color w:val="8064A2" w:themeColor="accent4"/>
                <w:sz w:val="20"/>
                <w:szCs w:val="20"/>
              </w:rPr>
              <w:t>Follower</w:t>
            </w:r>
          </w:p>
        </w:tc>
      </w:tr>
      <w:tr w:rsidR="004629A1" w:rsidRPr="000036A3" w14:paraId="1C671267" w14:textId="77777777" w:rsidTr="008B3A3A">
        <w:trPr>
          <w:trHeight w:val="249"/>
        </w:trPr>
        <w:tc>
          <w:tcPr>
            <w:tcW w:w="2271" w:type="pct"/>
            <w:noWrap/>
            <w:hideMark/>
          </w:tcPr>
          <w:p w14:paraId="68AC1EB7" w14:textId="77777777" w:rsidR="004629A1" w:rsidRPr="000036A3" w:rsidRDefault="004629A1" w:rsidP="008B3A3A">
            <w:pPr>
              <w:rPr>
                <w:b/>
                <w:noProof/>
                <w:sz w:val="20"/>
                <w:szCs w:val="20"/>
              </w:rPr>
            </w:pPr>
            <w:r w:rsidRPr="000036A3">
              <w:rPr>
                <w:noProof/>
                <w:sz w:val="20"/>
                <w:szCs w:val="20"/>
              </w:rPr>
              <w:t>Latvia</w:t>
            </w:r>
          </w:p>
        </w:tc>
        <w:tc>
          <w:tcPr>
            <w:tcW w:w="2729" w:type="pct"/>
            <w:noWrap/>
            <w:hideMark/>
          </w:tcPr>
          <w:p w14:paraId="2E235455" w14:textId="77777777" w:rsidR="004629A1" w:rsidRPr="000036A3" w:rsidRDefault="004629A1" w:rsidP="00332434">
            <w:pPr>
              <w:jc w:val="center"/>
              <w:rPr>
                <w:noProof/>
                <w:color w:val="8064A2" w:themeColor="accent4"/>
                <w:sz w:val="20"/>
                <w:szCs w:val="20"/>
              </w:rPr>
            </w:pPr>
            <w:r w:rsidRPr="000036A3">
              <w:rPr>
                <w:noProof/>
                <w:color w:val="8064A2" w:themeColor="accent4"/>
                <w:sz w:val="20"/>
                <w:szCs w:val="20"/>
              </w:rPr>
              <w:t>Follower</w:t>
            </w:r>
          </w:p>
        </w:tc>
      </w:tr>
      <w:tr w:rsidR="004629A1" w:rsidRPr="000036A3" w14:paraId="28A1BAB0" w14:textId="77777777" w:rsidTr="008B3A3A">
        <w:trPr>
          <w:trHeight w:val="249"/>
        </w:trPr>
        <w:tc>
          <w:tcPr>
            <w:tcW w:w="2271" w:type="pct"/>
            <w:noWrap/>
            <w:hideMark/>
          </w:tcPr>
          <w:p w14:paraId="3939C4DF" w14:textId="77777777" w:rsidR="004629A1" w:rsidRPr="000036A3" w:rsidRDefault="004629A1" w:rsidP="008B3A3A">
            <w:pPr>
              <w:rPr>
                <w:b/>
                <w:noProof/>
                <w:sz w:val="20"/>
                <w:szCs w:val="20"/>
              </w:rPr>
            </w:pPr>
            <w:r w:rsidRPr="000036A3">
              <w:rPr>
                <w:noProof/>
                <w:sz w:val="20"/>
                <w:szCs w:val="20"/>
              </w:rPr>
              <w:t>Romania</w:t>
            </w:r>
          </w:p>
        </w:tc>
        <w:tc>
          <w:tcPr>
            <w:tcW w:w="2729" w:type="pct"/>
            <w:noWrap/>
            <w:hideMark/>
          </w:tcPr>
          <w:p w14:paraId="7842757A" w14:textId="77777777" w:rsidR="004629A1" w:rsidRPr="000036A3" w:rsidRDefault="004629A1" w:rsidP="00332434">
            <w:pPr>
              <w:jc w:val="center"/>
              <w:rPr>
                <w:noProof/>
                <w:color w:val="8064A2" w:themeColor="accent4"/>
                <w:sz w:val="20"/>
                <w:szCs w:val="20"/>
              </w:rPr>
            </w:pPr>
            <w:r w:rsidRPr="000036A3">
              <w:rPr>
                <w:noProof/>
                <w:color w:val="8064A2" w:themeColor="accent4"/>
                <w:sz w:val="20"/>
                <w:szCs w:val="20"/>
              </w:rPr>
              <w:t>Follower</w:t>
            </w:r>
          </w:p>
        </w:tc>
      </w:tr>
      <w:tr w:rsidR="004629A1" w:rsidRPr="000036A3" w14:paraId="49793CF6" w14:textId="77777777" w:rsidTr="008B3A3A">
        <w:trPr>
          <w:trHeight w:val="249"/>
        </w:trPr>
        <w:tc>
          <w:tcPr>
            <w:tcW w:w="2271" w:type="pct"/>
            <w:noWrap/>
            <w:hideMark/>
          </w:tcPr>
          <w:p w14:paraId="5F83C508" w14:textId="77777777" w:rsidR="004629A1" w:rsidRPr="000036A3" w:rsidRDefault="004629A1" w:rsidP="00197B24">
            <w:pPr>
              <w:keepNext/>
              <w:rPr>
                <w:b/>
                <w:noProof/>
                <w:sz w:val="20"/>
                <w:szCs w:val="20"/>
              </w:rPr>
            </w:pPr>
            <w:r w:rsidRPr="000036A3">
              <w:rPr>
                <w:noProof/>
                <w:sz w:val="20"/>
                <w:szCs w:val="20"/>
              </w:rPr>
              <w:t>Slovakia</w:t>
            </w:r>
          </w:p>
        </w:tc>
        <w:tc>
          <w:tcPr>
            <w:tcW w:w="2729" w:type="pct"/>
            <w:noWrap/>
            <w:hideMark/>
          </w:tcPr>
          <w:p w14:paraId="5D2AAE9A" w14:textId="77777777" w:rsidR="004629A1" w:rsidRPr="000036A3" w:rsidRDefault="004629A1" w:rsidP="002A7D7E">
            <w:pPr>
              <w:keepNext/>
              <w:jc w:val="center"/>
              <w:rPr>
                <w:noProof/>
                <w:color w:val="8064A2" w:themeColor="accent4"/>
                <w:sz w:val="20"/>
                <w:szCs w:val="20"/>
              </w:rPr>
            </w:pPr>
            <w:r w:rsidRPr="000036A3">
              <w:rPr>
                <w:noProof/>
                <w:color w:val="8064A2" w:themeColor="accent4"/>
                <w:sz w:val="20"/>
                <w:szCs w:val="20"/>
              </w:rPr>
              <w:t>Follower</w:t>
            </w:r>
          </w:p>
        </w:tc>
      </w:tr>
    </w:tbl>
    <w:p w14:paraId="07D7375B" w14:textId="77777777" w:rsidR="00332434" w:rsidRDefault="00332434" w:rsidP="00844668">
      <w:pPr>
        <w:tabs>
          <w:tab w:val="left" w:pos="2302"/>
        </w:tabs>
        <w:spacing w:after="240"/>
        <w:jc w:val="both"/>
        <w:rPr>
          <w:i/>
          <w:iCs/>
          <w:noProof/>
          <w:sz w:val="20"/>
          <w:szCs w:val="20"/>
        </w:rPr>
      </w:pPr>
      <w:r w:rsidRPr="00D71008">
        <w:rPr>
          <w:i/>
          <w:iCs/>
          <w:noProof/>
          <w:spacing w:val="-8"/>
          <w:sz w:val="20"/>
          <w:szCs w:val="20"/>
        </w:rPr>
        <w:t xml:space="preserve">Source: </w:t>
      </w:r>
      <w:r w:rsidRPr="00D71008">
        <w:rPr>
          <w:i/>
          <w:iCs/>
          <w:noProof/>
          <w:sz w:val="20"/>
          <w:szCs w:val="20"/>
        </w:rPr>
        <w:t>Ricardo et al. (2026), Impact assessment support study</w:t>
      </w:r>
    </w:p>
    <w:p w14:paraId="0BDC2C3C" w14:textId="214820FB" w:rsidR="00BB1D60" w:rsidRPr="002407DB" w:rsidRDefault="002407DB" w:rsidP="00844668">
      <w:pPr>
        <w:pStyle w:val="ListParagraph"/>
        <w:keepNext/>
        <w:widowControl/>
        <w:numPr>
          <w:ilvl w:val="2"/>
          <w:numId w:val="10"/>
        </w:numPr>
        <w:autoSpaceDE/>
        <w:autoSpaceDN/>
        <w:spacing w:after="240"/>
        <w:jc w:val="both"/>
        <w:outlineLvl w:val="2"/>
        <w:rPr>
          <w:i/>
          <w:iCs/>
          <w:noProof/>
          <w:sz w:val="24"/>
          <w:szCs w:val="24"/>
        </w:rPr>
      </w:pPr>
      <w:bookmarkStart w:id="328" w:name="_Toc222313522"/>
      <w:bookmarkStart w:id="329" w:name="_Toc222749043"/>
      <w:bookmarkStart w:id="330" w:name="_Toc223980016"/>
      <w:r w:rsidRPr="002407DB">
        <w:rPr>
          <w:i/>
          <w:iCs/>
          <w:noProof/>
          <w:sz w:val="24"/>
          <w:szCs w:val="24"/>
        </w:rPr>
        <w:t>Multi Parameter Analysis (MPA) module</w:t>
      </w:r>
      <w:bookmarkEnd w:id="328"/>
      <w:bookmarkEnd w:id="329"/>
      <w:bookmarkEnd w:id="330"/>
    </w:p>
    <w:p w14:paraId="78C20039" w14:textId="1D36DFD0" w:rsidR="000E621F" w:rsidRDefault="00D035EE" w:rsidP="00844668">
      <w:pPr>
        <w:keepNext/>
        <w:spacing w:after="240"/>
        <w:jc w:val="both"/>
        <w:rPr>
          <w:noProof/>
          <w:spacing w:val="-8"/>
        </w:rPr>
      </w:pPr>
      <w:r w:rsidRPr="00885203">
        <w:rPr>
          <w:noProof/>
          <w:spacing w:val="-8"/>
        </w:rPr>
        <w:t xml:space="preserve">As explained in section 1 of Annex 4, the MPA module </w:t>
      </w:r>
      <w:r w:rsidR="00691D36" w:rsidRPr="00885203">
        <w:rPr>
          <w:noProof/>
          <w:spacing w:val="-8"/>
        </w:rPr>
        <w:t xml:space="preserve">assesses how the completeness and accuracy of service information and the ability to book service offerings </w:t>
      </w:r>
      <w:r w:rsidR="00E77D26">
        <w:rPr>
          <w:noProof/>
          <w:spacing w:val="-8"/>
        </w:rPr>
        <w:t>c</w:t>
      </w:r>
      <w:r w:rsidR="00E77D26" w:rsidRPr="00885203">
        <w:rPr>
          <w:noProof/>
          <w:spacing w:val="-8"/>
        </w:rPr>
        <w:t xml:space="preserve">ould </w:t>
      </w:r>
      <w:r w:rsidR="00CC7116" w:rsidRPr="00885203">
        <w:rPr>
          <w:noProof/>
          <w:spacing w:val="-8"/>
        </w:rPr>
        <w:t>contribute t</w:t>
      </w:r>
      <w:r w:rsidR="00A24D9E" w:rsidRPr="00885203">
        <w:rPr>
          <w:noProof/>
          <w:spacing w:val="-8"/>
        </w:rPr>
        <w:t xml:space="preserve">owards </w:t>
      </w:r>
      <w:r w:rsidR="002541CC" w:rsidRPr="00885203">
        <w:rPr>
          <w:noProof/>
          <w:spacing w:val="-8"/>
        </w:rPr>
        <w:t>the</w:t>
      </w:r>
      <w:r w:rsidR="00A24D9E" w:rsidRPr="00885203">
        <w:rPr>
          <w:noProof/>
          <w:spacing w:val="-8"/>
        </w:rPr>
        <w:t xml:space="preserve"> maximum potential </w:t>
      </w:r>
      <w:r w:rsidR="00195F35" w:rsidRPr="00885203">
        <w:rPr>
          <w:noProof/>
          <w:spacing w:val="-8"/>
        </w:rPr>
        <w:t xml:space="preserve">modal shift </w:t>
      </w:r>
      <w:r w:rsidR="00C26BC3" w:rsidRPr="00885203">
        <w:rPr>
          <w:noProof/>
          <w:spacing w:val="-8"/>
        </w:rPr>
        <w:t xml:space="preserve">and maximum potential journey time reduction </w:t>
      </w:r>
      <w:r w:rsidR="00195F35" w:rsidRPr="00885203">
        <w:rPr>
          <w:noProof/>
          <w:spacing w:val="-8"/>
        </w:rPr>
        <w:t>due to the ability to see all offerings on MDMS platforms and the ability to book all visible travel options on MDMS platforms</w:t>
      </w:r>
      <w:r w:rsidR="00741DDE">
        <w:rPr>
          <w:noProof/>
          <w:spacing w:val="-8"/>
        </w:rPr>
        <w:t xml:space="preserve"> in each policy option</w:t>
      </w:r>
      <w:r w:rsidR="00A24D9E" w:rsidRPr="00885203">
        <w:rPr>
          <w:noProof/>
          <w:spacing w:val="-8"/>
        </w:rPr>
        <w:t xml:space="preserve">. </w:t>
      </w:r>
    </w:p>
    <w:p w14:paraId="5DE00346" w14:textId="77777777" w:rsidR="00476B0B" w:rsidRDefault="00B47EB1" w:rsidP="006F620D">
      <w:pPr>
        <w:spacing w:after="240"/>
        <w:jc w:val="both"/>
        <w:rPr>
          <w:noProof/>
          <w:spacing w:val="-8"/>
        </w:rPr>
      </w:pPr>
      <w:r>
        <w:rPr>
          <w:noProof/>
          <w:spacing w:val="-8"/>
        </w:rPr>
        <w:t>T</w:t>
      </w:r>
      <w:r w:rsidR="00AE3256" w:rsidRPr="00AE3256">
        <w:rPr>
          <w:noProof/>
          <w:spacing w:val="-8"/>
        </w:rPr>
        <w:t xml:space="preserve">he effect of policy measures </w:t>
      </w:r>
      <w:r>
        <w:rPr>
          <w:noProof/>
          <w:spacing w:val="-8"/>
        </w:rPr>
        <w:t xml:space="preserve">included in each policy option </w:t>
      </w:r>
      <w:r w:rsidR="00AE3256" w:rsidRPr="00AE3256">
        <w:rPr>
          <w:noProof/>
          <w:spacing w:val="-8"/>
        </w:rPr>
        <w:t xml:space="preserve">are </w:t>
      </w:r>
      <w:r w:rsidR="00723C23">
        <w:rPr>
          <w:noProof/>
          <w:spacing w:val="-8"/>
        </w:rPr>
        <w:t>first</w:t>
      </w:r>
      <w:r w:rsidR="00AE3256" w:rsidRPr="00156008">
        <w:rPr>
          <w:noProof/>
          <w:spacing w:val="-8"/>
        </w:rPr>
        <w:t xml:space="preserve"> </w:t>
      </w:r>
      <w:r w:rsidR="00AE3256" w:rsidRPr="00AE3256">
        <w:rPr>
          <w:noProof/>
          <w:spacing w:val="-8"/>
        </w:rPr>
        <w:t xml:space="preserve">scored on a set of identified </w:t>
      </w:r>
      <w:r w:rsidR="00D239B9">
        <w:rPr>
          <w:noProof/>
          <w:spacing w:val="-8"/>
        </w:rPr>
        <w:t>q</w:t>
      </w:r>
      <w:r w:rsidR="00D239B9" w:rsidRPr="00156008">
        <w:rPr>
          <w:noProof/>
          <w:spacing w:val="-8"/>
        </w:rPr>
        <w:t xml:space="preserve">ualitative </w:t>
      </w:r>
      <w:r w:rsidR="00D239B9">
        <w:rPr>
          <w:noProof/>
          <w:spacing w:val="-8"/>
        </w:rPr>
        <w:t>p</w:t>
      </w:r>
      <w:r w:rsidR="00D239B9" w:rsidRPr="00156008">
        <w:rPr>
          <w:noProof/>
          <w:spacing w:val="-8"/>
        </w:rPr>
        <w:t>arameters</w:t>
      </w:r>
      <w:r w:rsidR="00AE3256" w:rsidRPr="00AE3256">
        <w:rPr>
          <w:noProof/>
          <w:spacing w:val="-8"/>
        </w:rPr>
        <w:t xml:space="preserve"> (QPs), which are weighted in terms of their contribution, to estimate the progress to</w:t>
      </w:r>
      <w:r>
        <w:rPr>
          <w:noProof/>
          <w:spacing w:val="-8"/>
        </w:rPr>
        <w:t>wards the</w:t>
      </w:r>
      <w:r w:rsidR="00AE3256" w:rsidRPr="00AE3256">
        <w:rPr>
          <w:noProof/>
          <w:spacing w:val="-8"/>
        </w:rPr>
        <w:t xml:space="preserve"> maximum</w:t>
      </w:r>
      <w:r w:rsidR="00190D51">
        <w:rPr>
          <w:noProof/>
          <w:spacing w:val="-8"/>
        </w:rPr>
        <w:t xml:space="preserve"> potential</w:t>
      </w:r>
      <w:r w:rsidR="00AE3256" w:rsidRPr="00156008">
        <w:rPr>
          <w:noProof/>
          <w:spacing w:val="-8"/>
        </w:rPr>
        <w:t>.</w:t>
      </w:r>
      <w:r w:rsidR="00AB5E06">
        <w:rPr>
          <w:noProof/>
          <w:spacing w:val="-8"/>
        </w:rPr>
        <w:t xml:space="preserve"> The scoring is </w:t>
      </w:r>
      <w:r w:rsidR="00B168A2">
        <w:rPr>
          <w:noProof/>
          <w:spacing w:val="-8"/>
        </w:rPr>
        <w:t>then</w:t>
      </w:r>
      <w:r w:rsidR="00AB5E06">
        <w:rPr>
          <w:noProof/>
          <w:spacing w:val="-8"/>
        </w:rPr>
        <w:t xml:space="preserve"> combined with </w:t>
      </w:r>
      <w:r w:rsidR="00726FA6">
        <w:rPr>
          <w:noProof/>
          <w:spacing w:val="-8"/>
        </w:rPr>
        <w:t>the</w:t>
      </w:r>
      <w:r w:rsidR="00AB5E06">
        <w:rPr>
          <w:noProof/>
          <w:spacing w:val="-8"/>
        </w:rPr>
        <w:t xml:space="preserve"> </w:t>
      </w:r>
      <w:r w:rsidR="00B168A2">
        <w:rPr>
          <w:noProof/>
          <w:spacing w:val="-8"/>
        </w:rPr>
        <w:t>maximum potential</w:t>
      </w:r>
      <w:r w:rsidR="00190D51">
        <w:rPr>
          <w:noProof/>
          <w:spacing w:val="-8"/>
        </w:rPr>
        <w:t xml:space="preserve"> </w:t>
      </w:r>
      <w:r w:rsidR="009D1572">
        <w:rPr>
          <w:noProof/>
          <w:spacing w:val="-8"/>
        </w:rPr>
        <w:t xml:space="preserve">modal shift and </w:t>
      </w:r>
      <w:r w:rsidR="00CF5098" w:rsidRPr="00885203">
        <w:rPr>
          <w:noProof/>
          <w:spacing w:val="-8"/>
        </w:rPr>
        <w:t>maximum potential journey time reduction</w:t>
      </w:r>
      <w:r w:rsidR="00AE3256" w:rsidRPr="00AE3256">
        <w:rPr>
          <w:noProof/>
          <w:spacing w:val="-8"/>
        </w:rPr>
        <w:t xml:space="preserve"> </w:t>
      </w:r>
      <w:r w:rsidR="00B168A2" w:rsidRPr="00156008">
        <w:rPr>
          <w:noProof/>
          <w:spacing w:val="-8"/>
        </w:rPr>
        <w:t>due to the ability to see all offerings on MDMS platforms and the ability to book all visible travel options on MDMS platforms</w:t>
      </w:r>
      <w:r w:rsidR="00AA652B">
        <w:rPr>
          <w:noProof/>
          <w:spacing w:val="-8"/>
        </w:rPr>
        <w:t>,</w:t>
      </w:r>
      <w:r w:rsidR="00C83112">
        <w:rPr>
          <w:noProof/>
          <w:spacing w:val="-8"/>
        </w:rPr>
        <w:t xml:space="preserve"> </w:t>
      </w:r>
      <w:r w:rsidR="007F5FD0">
        <w:rPr>
          <w:noProof/>
          <w:spacing w:val="-8"/>
        </w:rPr>
        <w:t xml:space="preserve">to derive the </w:t>
      </w:r>
      <w:r w:rsidR="00433EAB" w:rsidRPr="00433EAB">
        <w:rPr>
          <w:noProof/>
          <w:spacing w:val="-8"/>
        </w:rPr>
        <w:t>level of modal shift and journey time reduction</w:t>
      </w:r>
      <w:r w:rsidR="00AE3256" w:rsidRPr="00AE3256">
        <w:rPr>
          <w:noProof/>
          <w:spacing w:val="-8"/>
        </w:rPr>
        <w:t xml:space="preserve"> for each cluster</w:t>
      </w:r>
      <w:r w:rsidR="00C23E00">
        <w:rPr>
          <w:noProof/>
          <w:spacing w:val="-8"/>
        </w:rPr>
        <w:t xml:space="preserve"> in each policy option</w:t>
      </w:r>
      <w:r w:rsidR="00AE3256" w:rsidRPr="00AE3256">
        <w:rPr>
          <w:noProof/>
          <w:spacing w:val="-8"/>
        </w:rPr>
        <w:t>.</w:t>
      </w:r>
      <w:r w:rsidR="00564F3C">
        <w:rPr>
          <w:noProof/>
          <w:spacing w:val="-8"/>
        </w:rPr>
        <w:t xml:space="preserve"> The </w:t>
      </w:r>
      <w:r w:rsidR="004678D1">
        <w:rPr>
          <w:noProof/>
          <w:spacing w:val="-8"/>
        </w:rPr>
        <w:t>outputs of the MFA module</w:t>
      </w:r>
      <w:r w:rsidR="00433EAB" w:rsidRPr="00433EAB">
        <w:rPr>
          <w:noProof/>
          <w:spacing w:val="-8"/>
        </w:rPr>
        <w:t xml:space="preserve"> are </w:t>
      </w:r>
      <w:r w:rsidR="00AA652B">
        <w:rPr>
          <w:noProof/>
          <w:spacing w:val="-8"/>
        </w:rPr>
        <w:t>then</w:t>
      </w:r>
      <w:r w:rsidR="00564F3C">
        <w:rPr>
          <w:noProof/>
          <w:spacing w:val="-8"/>
        </w:rPr>
        <w:t xml:space="preserve"> used as </w:t>
      </w:r>
      <w:r w:rsidR="00433EAB" w:rsidRPr="00433EAB">
        <w:rPr>
          <w:noProof/>
          <w:spacing w:val="-8"/>
        </w:rPr>
        <w:t xml:space="preserve">inputs </w:t>
      </w:r>
      <w:r w:rsidR="009E3DC4">
        <w:rPr>
          <w:noProof/>
          <w:spacing w:val="-8"/>
        </w:rPr>
        <w:t>in</w:t>
      </w:r>
      <w:r w:rsidR="00433EAB" w:rsidRPr="00433EAB">
        <w:rPr>
          <w:noProof/>
          <w:spacing w:val="-8"/>
        </w:rPr>
        <w:t xml:space="preserve"> the Interface module</w:t>
      </w:r>
      <w:r w:rsidR="00564F3C">
        <w:rPr>
          <w:noProof/>
          <w:spacing w:val="-8"/>
        </w:rPr>
        <w:t>.</w:t>
      </w:r>
      <w:r w:rsidR="005A1793">
        <w:rPr>
          <w:noProof/>
          <w:spacing w:val="-8"/>
        </w:rPr>
        <w:t xml:space="preserve"> </w:t>
      </w:r>
    </w:p>
    <w:p w14:paraId="6B9875B0" w14:textId="70C66EDE" w:rsidR="00222CC1" w:rsidRPr="00156008" w:rsidRDefault="00476B0B" w:rsidP="00E77D26">
      <w:pPr>
        <w:spacing w:after="240"/>
        <w:jc w:val="both"/>
        <w:rPr>
          <w:noProof/>
          <w:spacing w:val="-8"/>
        </w:rPr>
      </w:pPr>
      <w:r>
        <w:rPr>
          <w:noProof/>
          <w:spacing w:val="-8"/>
        </w:rPr>
        <w:t>The sections</w:t>
      </w:r>
      <w:r w:rsidR="005A1793">
        <w:rPr>
          <w:noProof/>
          <w:spacing w:val="-8"/>
        </w:rPr>
        <w:t xml:space="preserve"> below </w:t>
      </w:r>
      <w:r>
        <w:rPr>
          <w:noProof/>
          <w:spacing w:val="-8"/>
        </w:rPr>
        <w:t>provide</w:t>
      </w:r>
      <w:r w:rsidR="00222CC1">
        <w:rPr>
          <w:noProof/>
          <w:spacing w:val="-8"/>
        </w:rPr>
        <w:t xml:space="preserve"> a description of the </w:t>
      </w:r>
      <w:r w:rsidR="00D239B9">
        <w:rPr>
          <w:noProof/>
          <w:spacing w:val="-8"/>
        </w:rPr>
        <w:t>parameters used</w:t>
      </w:r>
      <w:r w:rsidR="00E23D21">
        <w:rPr>
          <w:noProof/>
          <w:spacing w:val="-8"/>
        </w:rPr>
        <w:t xml:space="preserve">, </w:t>
      </w:r>
      <w:r w:rsidR="001830C0">
        <w:rPr>
          <w:noProof/>
          <w:spacing w:val="-8"/>
        </w:rPr>
        <w:t xml:space="preserve">explain </w:t>
      </w:r>
      <w:r w:rsidR="00E23D21">
        <w:rPr>
          <w:noProof/>
          <w:spacing w:val="-8"/>
        </w:rPr>
        <w:t>the</w:t>
      </w:r>
      <w:r w:rsidR="001830C0">
        <w:rPr>
          <w:noProof/>
          <w:spacing w:val="-8"/>
        </w:rPr>
        <w:t xml:space="preserve"> way the</w:t>
      </w:r>
      <w:r w:rsidR="00E23D21">
        <w:rPr>
          <w:noProof/>
          <w:spacing w:val="-8"/>
        </w:rPr>
        <w:t xml:space="preserve"> </w:t>
      </w:r>
      <w:r w:rsidR="00E23D21" w:rsidRPr="00156008">
        <w:rPr>
          <w:noProof/>
          <w:spacing w:val="-8"/>
        </w:rPr>
        <w:t>maximum potential modal shift and maximum potential journey time reduction due to the ability to see all offerings on MDMS platforms and the ability to book all visible travel options on MDMS platforms</w:t>
      </w:r>
      <w:r w:rsidR="001830C0">
        <w:rPr>
          <w:noProof/>
          <w:spacing w:val="-8"/>
        </w:rPr>
        <w:t xml:space="preserve"> are derived</w:t>
      </w:r>
      <w:r w:rsidR="000A6123">
        <w:rPr>
          <w:noProof/>
          <w:spacing w:val="-8"/>
        </w:rPr>
        <w:t>,</w:t>
      </w:r>
      <w:r w:rsidR="00D239B9" w:rsidDel="00E23D21">
        <w:rPr>
          <w:noProof/>
          <w:spacing w:val="-8"/>
        </w:rPr>
        <w:t xml:space="preserve"> </w:t>
      </w:r>
      <w:r w:rsidR="001830C0">
        <w:rPr>
          <w:noProof/>
          <w:spacing w:val="-8"/>
        </w:rPr>
        <w:t xml:space="preserve">and explain </w:t>
      </w:r>
      <w:r w:rsidR="00D239B9" w:rsidDel="00E23D21">
        <w:rPr>
          <w:noProof/>
          <w:spacing w:val="-8"/>
        </w:rPr>
        <w:t xml:space="preserve">the </w:t>
      </w:r>
      <w:r w:rsidR="000A6123">
        <w:rPr>
          <w:noProof/>
          <w:spacing w:val="-8"/>
        </w:rPr>
        <w:t>scoring logic and the MPA outputs.</w:t>
      </w:r>
      <w:r w:rsidR="00D239B9">
        <w:rPr>
          <w:noProof/>
          <w:spacing w:val="-8"/>
        </w:rPr>
        <w:t xml:space="preserve">  </w:t>
      </w:r>
    </w:p>
    <w:p w14:paraId="020BBCAC" w14:textId="007BC182" w:rsidR="008157B3" w:rsidRPr="004343E3" w:rsidRDefault="00A370D6" w:rsidP="007B2D8E">
      <w:pPr>
        <w:pStyle w:val="ListParagraph"/>
        <w:numPr>
          <w:ilvl w:val="3"/>
          <w:numId w:val="10"/>
        </w:numPr>
        <w:spacing w:after="240"/>
        <w:ind w:left="1276" w:hanging="851"/>
        <w:jc w:val="both"/>
        <w:rPr>
          <w:noProof/>
          <w:sz w:val="24"/>
          <w:szCs w:val="24"/>
        </w:rPr>
      </w:pPr>
      <w:r w:rsidRPr="004343E3">
        <w:rPr>
          <w:noProof/>
          <w:sz w:val="24"/>
          <w:szCs w:val="24"/>
        </w:rPr>
        <w:t>Qualitative p</w:t>
      </w:r>
      <w:r w:rsidR="003C4543" w:rsidRPr="004343E3">
        <w:rPr>
          <w:noProof/>
          <w:sz w:val="24"/>
          <w:szCs w:val="24"/>
        </w:rPr>
        <w:t xml:space="preserve">arameters </w:t>
      </w:r>
      <w:r w:rsidR="00341EF9">
        <w:rPr>
          <w:noProof/>
          <w:sz w:val="24"/>
          <w:szCs w:val="24"/>
        </w:rPr>
        <w:t>selected for the MPA module</w:t>
      </w:r>
    </w:p>
    <w:p w14:paraId="068C9994" w14:textId="2912D76A" w:rsidR="005614FF" w:rsidRPr="00895E44" w:rsidRDefault="005614FF" w:rsidP="00A411F7">
      <w:pPr>
        <w:spacing w:after="240"/>
        <w:jc w:val="both"/>
        <w:rPr>
          <w:noProof/>
          <w:spacing w:val="-8"/>
        </w:rPr>
      </w:pPr>
      <w:r w:rsidRPr="00895E44">
        <w:rPr>
          <w:rFonts w:eastAsia="Aptos"/>
          <w:noProof/>
          <w:spacing w:val="-8"/>
          <w:kern w:val="2"/>
          <w14:ligatures w14:val="standardContextual"/>
        </w:rPr>
        <w:t>The qualitative parameters (QPs) selected for the MPA module</w:t>
      </w:r>
      <w:r w:rsidR="00EC1D43">
        <w:rPr>
          <w:rFonts w:eastAsia="Aptos"/>
          <w:noProof/>
          <w:spacing w:val="-8"/>
          <w:kern w:val="2"/>
          <w14:ligatures w14:val="standardContextual"/>
        </w:rPr>
        <w:t>, based on the impact assessment support study,</w:t>
      </w:r>
      <w:r w:rsidRPr="00895E44">
        <w:rPr>
          <w:rFonts w:eastAsia="Aptos"/>
          <w:noProof/>
          <w:spacing w:val="-8"/>
          <w:kern w:val="2"/>
          <w14:ligatures w14:val="standardContextual"/>
        </w:rPr>
        <w:t xml:space="preserve"> </w:t>
      </w:r>
      <w:r>
        <w:rPr>
          <w:rFonts w:eastAsia="Aptos"/>
          <w:noProof/>
          <w:spacing w:val="-8"/>
          <w:kern w:val="2"/>
          <w14:ligatures w14:val="standardContextual"/>
        </w:rPr>
        <w:t>are</w:t>
      </w:r>
      <w:r w:rsidRPr="00895E44">
        <w:rPr>
          <w:rFonts w:eastAsia="Aptos"/>
          <w:noProof/>
          <w:spacing w:val="-8"/>
          <w:kern w:val="2"/>
          <w14:ligatures w14:val="standardContextual"/>
        </w:rPr>
        <w:t xml:space="preserve"> the ones most relevant for the impacts of the policy measures on passengers’ modal choice. Many factors affect </w:t>
      </w:r>
      <w:r>
        <w:rPr>
          <w:rFonts w:eastAsia="Aptos"/>
          <w:noProof/>
          <w:spacing w:val="-8"/>
          <w:kern w:val="2"/>
          <w14:ligatures w14:val="standardContextual"/>
        </w:rPr>
        <w:t xml:space="preserve">the </w:t>
      </w:r>
      <w:r w:rsidRPr="00895E44">
        <w:rPr>
          <w:rFonts w:eastAsia="Aptos"/>
          <w:noProof/>
          <w:spacing w:val="-8"/>
          <w:kern w:val="2"/>
          <w14:ligatures w14:val="standardContextual"/>
        </w:rPr>
        <w:t xml:space="preserve">modal choice. </w:t>
      </w:r>
      <w:r>
        <w:rPr>
          <w:rFonts w:eastAsia="Aptos"/>
          <w:noProof/>
          <w:spacing w:val="-8"/>
          <w:kern w:val="2"/>
          <w14:ligatures w14:val="standardContextual"/>
        </w:rPr>
        <w:t>The starting point is</w:t>
      </w:r>
      <w:r>
        <w:rPr>
          <w:noProof/>
          <w:spacing w:val="-8"/>
        </w:rPr>
        <w:t xml:space="preserve"> to i</w:t>
      </w:r>
      <w:r w:rsidRPr="00895E44">
        <w:rPr>
          <w:noProof/>
          <w:spacing w:val="-8"/>
        </w:rPr>
        <w:t xml:space="preserve">dentify and select the QPs that contribute to modal shift and at the same time are expected to change due to the proposed policy measures. The impacts must be </w:t>
      </w:r>
      <w:r>
        <w:rPr>
          <w:noProof/>
          <w:spacing w:val="-8"/>
        </w:rPr>
        <w:t>assessed</w:t>
      </w:r>
      <w:r w:rsidRPr="00895E44">
        <w:rPr>
          <w:noProof/>
          <w:spacing w:val="-8"/>
        </w:rPr>
        <w:t xml:space="preserve"> for each policy measure and cluster route combination (15 policy measures x 10 cluster routes = 150 scores). Therefore, the most important </w:t>
      </w:r>
      <w:r w:rsidRPr="00895E44">
        <w:rPr>
          <w:rFonts w:eastAsia="Aptos"/>
          <w:noProof/>
          <w:spacing w:val="-8"/>
          <w:kern w:val="2"/>
          <w14:ligatures w14:val="standardContextual"/>
        </w:rPr>
        <w:t>qualitative parameters</w:t>
      </w:r>
      <w:r w:rsidRPr="00895E44">
        <w:rPr>
          <w:noProof/>
          <w:spacing w:val="-8"/>
        </w:rPr>
        <w:t xml:space="preserve"> </w:t>
      </w:r>
      <w:r>
        <w:rPr>
          <w:noProof/>
          <w:spacing w:val="-8"/>
        </w:rPr>
        <w:t>are</w:t>
      </w:r>
      <w:r w:rsidRPr="00895E44">
        <w:rPr>
          <w:noProof/>
          <w:spacing w:val="-8"/>
        </w:rPr>
        <w:t xml:space="preserve"> </w:t>
      </w:r>
      <w:r>
        <w:rPr>
          <w:noProof/>
          <w:spacing w:val="-8"/>
        </w:rPr>
        <w:t>retained,</w:t>
      </w:r>
      <w:r w:rsidRPr="00895E44">
        <w:rPr>
          <w:noProof/>
          <w:spacing w:val="-8"/>
        </w:rPr>
        <w:t xml:space="preserve"> to keep the analysis manageable.</w:t>
      </w:r>
      <w:r w:rsidR="00832046">
        <w:rPr>
          <w:noProof/>
          <w:spacing w:val="-8"/>
        </w:rPr>
        <w:t xml:space="preserve"> </w:t>
      </w:r>
    </w:p>
    <w:p w14:paraId="5AEC6AA0" w14:textId="77777777" w:rsidR="005614FF" w:rsidRDefault="005614FF" w:rsidP="00A411F7">
      <w:pPr>
        <w:spacing w:after="160"/>
        <w:jc w:val="both"/>
        <w:rPr>
          <w:noProof/>
          <w:spacing w:val="-8"/>
        </w:rPr>
      </w:pPr>
      <w:r>
        <w:rPr>
          <w:noProof/>
          <w:spacing w:val="-8"/>
        </w:rPr>
        <w:t>The following steps have been followed for identifying the most important qualitative parameters:</w:t>
      </w:r>
    </w:p>
    <w:p w14:paraId="3AC36E3E" w14:textId="77777777" w:rsidR="005614FF" w:rsidRDefault="005614FF" w:rsidP="001979E4">
      <w:pPr>
        <w:pStyle w:val="ListParagraph"/>
        <w:widowControl/>
        <w:numPr>
          <w:ilvl w:val="0"/>
          <w:numId w:val="16"/>
        </w:numPr>
        <w:autoSpaceDE/>
        <w:autoSpaceDN/>
        <w:spacing w:before="0" w:after="120"/>
        <w:ind w:left="284" w:hanging="284"/>
        <w:jc w:val="both"/>
        <w:rPr>
          <w:rFonts w:eastAsia="Aptos"/>
          <w:noProof/>
          <w:spacing w:val="-8"/>
          <w:kern w:val="2"/>
          <w:sz w:val="24"/>
          <w:szCs w:val="24"/>
          <w14:ligatures w14:val="standardContextual"/>
        </w:rPr>
      </w:pPr>
      <w:r>
        <w:rPr>
          <w:rFonts w:eastAsia="Aptos"/>
          <w:noProof/>
          <w:spacing w:val="-8"/>
          <w:kern w:val="2"/>
          <w:sz w:val="24"/>
          <w:szCs w:val="24"/>
          <w14:ligatures w14:val="standardContextual"/>
        </w:rPr>
        <w:t>Identify a l</w:t>
      </w:r>
      <w:r w:rsidRPr="0020678D">
        <w:rPr>
          <w:rFonts w:eastAsia="Aptos"/>
          <w:noProof/>
          <w:spacing w:val="-8"/>
          <w:kern w:val="2"/>
          <w:sz w:val="24"/>
          <w:szCs w:val="24"/>
          <w14:ligatures w14:val="standardContextual"/>
        </w:rPr>
        <w:t>ong</w:t>
      </w:r>
      <w:r>
        <w:rPr>
          <w:rFonts w:eastAsia="Aptos"/>
          <w:noProof/>
          <w:spacing w:val="-8"/>
          <w:kern w:val="2"/>
          <w:sz w:val="24"/>
          <w:szCs w:val="24"/>
          <w14:ligatures w14:val="standardContextual"/>
        </w:rPr>
        <w:t xml:space="preserve"> </w:t>
      </w:r>
      <w:r w:rsidRPr="0020678D">
        <w:rPr>
          <w:rFonts w:eastAsia="Aptos"/>
          <w:noProof/>
          <w:spacing w:val="-8"/>
          <w:kern w:val="2"/>
          <w:sz w:val="24"/>
          <w:szCs w:val="24"/>
          <w14:ligatures w14:val="standardContextual"/>
        </w:rPr>
        <w:t>list of factors affecting modal choice</w:t>
      </w:r>
      <w:r>
        <w:rPr>
          <w:rFonts w:eastAsia="Aptos"/>
          <w:noProof/>
          <w:spacing w:val="-8"/>
          <w:kern w:val="2"/>
          <w:sz w:val="24"/>
          <w:szCs w:val="24"/>
          <w14:ligatures w14:val="standardContextual"/>
        </w:rPr>
        <w:t xml:space="preserve"> and screening their relevance for the policy measures;</w:t>
      </w:r>
    </w:p>
    <w:p w14:paraId="76690C7F" w14:textId="77777777" w:rsidR="005614FF" w:rsidRPr="00954B57" w:rsidRDefault="005614FF" w:rsidP="001979E4">
      <w:pPr>
        <w:pStyle w:val="ListParagraph"/>
        <w:widowControl/>
        <w:numPr>
          <w:ilvl w:val="0"/>
          <w:numId w:val="16"/>
        </w:numPr>
        <w:autoSpaceDE/>
        <w:autoSpaceDN/>
        <w:spacing w:before="0" w:after="120"/>
        <w:ind w:left="284" w:hanging="284"/>
        <w:jc w:val="both"/>
        <w:rPr>
          <w:rFonts w:eastAsia="Aptos"/>
          <w:noProof/>
          <w:spacing w:val="-8"/>
          <w:kern w:val="2"/>
          <w:sz w:val="24"/>
          <w:szCs w:val="24"/>
          <w14:ligatures w14:val="standardContextual"/>
        </w:rPr>
      </w:pPr>
      <w:r>
        <w:rPr>
          <w:rFonts w:eastAsia="Aptos"/>
          <w:noProof/>
          <w:spacing w:val="-8"/>
          <w:kern w:val="2"/>
          <w:sz w:val="24"/>
          <w:szCs w:val="24"/>
          <w14:ligatures w14:val="standardContextual"/>
        </w:rPr>
        <w:t xml:space="preserve">Rank the </w:t>
      </w:r>
      <w:r>
        <w:rPr>
          <w:noProof/>
          <w:spacing w:val="-8"/>
          <w:sz w:val="24"/>
          <w:szCs w:val="24"/>
        </w:rPr>
        <w:t>factors according to their importance for travel decisions;</w:t>
      </w:r>
    </w:p>
    <w:p w14:paraId="37116B62" w14:textId="77777777" w:rsidR="005614FF" w:rsidRPr="0020678D" w:rsidRDefault="005614FF" w:rsidP="001979E4">
      <w:pPr>
        <w:pStyle w:val="ListParagraph"/>
        <w:widowControl/>
        <w:numPr>
          <w:ilvl w:val="0"/>
          <w:numId w:val="16"/>
        </w:numPr>
        <w:autoSpaceDE/>
        <w:autoSpaceDN/>
        <w:spacing w:before="0" w:after="240"/>
        <w:ind w:left="284" w:hanging="284"/>
        <w:jc w:val="both"/>
        <w:rPr>
          <w:rFonts w:eastAsia="Aptos"/>
          <w:noProof/>
          <w:spacing w:val="-8"/>
          <w:kern w:val="2"/>
          <w:sz w:val="24"/>
          <w:szCs w:val="24"/>
          <w14:ligatures w14:val="standardContextual"/>
        </w:rPr>
      </w:pPr>
      <w:r>
        <w:rPr>
          <w:noProof/>
          <w:spacing w:val="-8"/>
          <w:sz w:val="24"/>
          <w:szCs w:val="24"/>
        </w:rPr>
        <w:t xml:space="preserve">Group the most important factors into two </w:t>
      </w:r>
      <w:r w:rsidRPr="00895E44">
        <w:rPr>
          <w:rFonts w:eastAsia="Aptos"/>
          <w:noProof/>
          <w:spacing w:val="-8"/>
          <w:kern w:val="2"/>
          <w:sz w:val="24"/>
          <w:szCs w:val="24"/>
          <w14:ligatures w14:val="standardContextual"/>
        </w:rPr>
        <w:t>qualitative parameters</w:t>
      </w:r>
      <w:r>
        <w:rPr>
          <w:rFonts w:eastAsia="Aptos"/>
          <w:noProof/>
          <w:spacing w:val="-8"/>
          <w:kern w:val="2"/>
          <w:sz w:val="24"/>
          <w:szCs w:val="24"/>
          <w14:ligatures w14:val="standardContextual"/>
        </w:rPr>
        <w:t xml:space="preserve"> retailed for the analysis.</w:t>
      </w:r>
    </w:p>
    <w:p w14:paraId="32516332" w14:textId="77777777" w:rsidR="005614FF" w:rsidRPr="00954B57" w:rsidRDefault="005614FF" w:rsidP="00A411F7">
      <w:pPr>
        <w:spacing w:after="240"/>
        <w:jc w:val="both"/>
        <w:rPr>
          <w:rFonts w:eastAsia="Aptos"/>
          <w:b/>
          <w:i/>
          <w:noProof/>
          <w:spacing w:val="-8"/>
          <w:kern w:val="2"/>
          <w14:ligatures w14:val="standardContextual"/>
        </w:rPr>
      </w:pPr>
      <w:r w:rsidRPr="00954B57">
        <w:rPr>
          <w:rFonts w:eastAsia="Aptos"/>
          <w:b/>
          <w:i/>
          <w:noProof/>
          <w:spacing w:val="-8"/>
          <w:kern w:val="2"/>
          <w14:ligatures w14:val="standardContextual"/>
        </w:rPr>
        <w:t xml:space="preserve">Identify a long list of factors affecting modal choice and screening their relevance for the policy measures </w:t>
      </w:r>
    </w:p>
    <w:p w14:paraId="775751C6" w14:textId="76863A3B" w:rsidR="005614FF" w:rsidRDefault="0099738A" w:rsidP="00A411F7">
      <w:pPr>
        <w:spacing w:after="240"/>
        <w:jc w:val="both"/>
        <w:rPr>
          <w:rFonts w:eastAsia="Aptos"/>
          <w:noProof/>
          <w:spacing w:val="-8"/>
          <w:kern w:val="2"/>
          <w14:ligatures w14:val="standardContextual"/>
        </w:rPr>
      </w:pPr>
      <w:r w:rsidRPr="00BB05EB">
        <w:rPr>
          <w:rFonts w:eastAsia="Aptos"/>
          <w:noProof/>
          <w:spacing w:val="-8"/>
          <w:kern w:val="2"/>
          <w14:ligatures w14:val="standardContextual"/>
        </w:rPr>
        <w:fldChar w:fldCharType="begin"/>
      </w:r>
      <w:r w:rsidRPr="00BB05EB">
        <w:rPr>
          <w:rFonts w:eastAsia="Aptos"/>
          <w:noProof/>
          <w:spacing w:val="-8"/>
          <w:kern w:val="2"/>
          <w14:ligatures w14:val="standardContextual"/>
        </w:rPr>
        <w:instrText xml:space="preserve"> REF _Ref222258453 \h  \* MERGEFORMAT </w:instrText>
      </w:r>
      <w:r w:rsidRPr="00BB05EB">
        <w:rPr>
          <w:rFonts w:eastAsia="Aptos"/>
          <w:noProof/>
          <w:spacing w:val="-8"/>
          <w:kern w:val="2"/>
          <w14:ligatures w14:val="standardContextual"/>
        </w:rPr>
      </w:r>
      <w:r w:rsidRPr="00BB05EB">
        <w:rPr>
          <w:rFonts w:eastAsia="Aptos"/>
          <w:noProof/>
          <w:spacing w:val="-8"/>
          <w:kern w:val="2"/>
          <w14:ligatures w14:val="standardContextual"/>
        </w:rPr>
        <w:fldChar w:fldCharType="separate"/>
      </w:r>
      <w:r>
        <w:rPr>
          <w:noProof/>
        </w:rPr>
        <w:t>Table 41</w:t>
      </w:r>
      <w:r w:rsidRPr="00BB05EB">
        <w:rPr>
          <w:rFonts w:eastAsia="Aptos"/>
          <w:noProof/>
          <w:spacing w:val="-8"/>
          <w:kern w:val="2"/>
          <w14:ligatures w14:val="standardContextual"/>
        </w:rPr>
        <w:fldChar w:fldCharType="end"/>
      </w:r>
      <w:r w:rsidRPr="00BB05EB">
        <w:rPr>
          <w:rFonts w:eastAsia="Aptos"/>
          <w:noProof/>
          <w:spacing w:val="-8"/>
          <w:kern w:val="2"/>
          <w14:ligatures w14:val="standardContextual"/>
        </w:rPr>
        <w:t xml:space="preserve"> </w:t>
      </w:r>
      <w:r w:rsidR="005614FF" w:rsidRPr="00BB05EB">
        <w:rPr>
          <w:rFonts w:eastAsia="Aptos"/>
          <w:noProof/>
          <w:spacing w:val="-8"/>
          <w:kern w:val="2"/>
          <w14:ligatures w14:val="standardContextual"/>
        </w:rPr>
        <w:t>presents the most cited factors affecting modal choice in the literature, mirroring those asked to</w:t>
      </w:r>
      <w:r w:rsidR="005614FF" w:rsidRPr="0020678D">
        <w:rPr>
          <w:rFonts w:eastAsia="Aptos"/>
          <w:noProof/>
          <w:spacing w:val="-8"/>
          <w:kern w:val="2"/>
          <w14:ligatures w14:val="standardContextual"/>
        </w:rPr>
        <w:t xml:space="preserve"> consumers as part of </w:t>
      </w:r>
      <w:r w:rsidR="00BE0DC3" w:rsidRPr="205FD1BA">
        <w:rPr>
          <w:rFonts w:eastAsia="Aptos"/>
          <w:noProof/>
        </w:rPr>
        <w:t xml:space="preserve">the 2024 </w:t>
      </w:r>
      <w:r w:rsidR="005614FF" w:rsidRPr="0020678D">
        <w:rPr>
          <w:rFonts w:eastAsia="Aptos"/>
          <w:noProof/>
          <w:spacing w:val="-8"/>
          <w:kern w:val="2"/>
          <w14:ligatures w14:val="standardContextual"/>
        </w:rPr>
        <w:t xml:space="preserve">Eurobarometer </w:t>
      </w:r>
      <w:r w:rsidR="00BE0DC3" w:rsidRPr="6D012DDA">
        <w:rPr>
          <w:rFonts w:eastAsia="Aptos"/>
          <w:noProof/>
        </w:rPr>
        <w:t>survey</w:t>
      </w:r>
      <w:r w:rsidR="00BE0DC3">
        <w:rPr>
          <w:rStyle w:val="FootnoteReference"/>
          <w:rFonts w:eastAsia="Aptos"/>
          <w:noProof/>
          <w:spacing w:val="-8"/>
          <w:kern w:val="2"/>
          <w14:ligatures w14:val="standardContextual"/>
        </w:rPr>
        <w:footnoteReference w:id="287"/>
      </w:r>
      <w:r w:rsidR="005614FF" w:rsidRPr="0020678D">
        <w:rPr>
          <w:rFonts w:eastAsia="Aptos"/>
          <w:noProof/>
          <w:spacing w:val="-8"/>
          <w:kern w:val="2"/>
          <w14:ligatures w14:val="standardContextual"/>
        </w:rPr>
        <w:t xml:space="preserve">. </w:t>
      </w:r>
      <w:r w:rsidR="0090768F">
        <w:rPr>
          <w:rFonts w:eastAsia="Aptos"/>
          <w:noProof/>
          <w:spacing w:val="-8"/>
          <w:kern w:val="2"/>
          <w14:ligatures w14:val="standardContextual"/>
        </w:rPr>
        <w:t xml:space="preserve">In the first step, </w:t>
      </w:r>
      <w:r w:rsidR="007849E2">
        <w:rPr>
          <w:rFonts w:eastAsia="Aptos"/>
          <w:noProof/>
          <w:spacing w:val="-8"/>
          <w:kern w:val="2"/>
          <w14:ligatures w14:val="standardContextual"/>
        </w:rPr>
        <w:t xml:space="preserve">in the context of the impact assessment support study, </w:t>
      </w:r>
      <w:r w:rsidR="0090768F">
        <w:rPr>
          <w:rFonts w:eastAsia="Aptos"/>
          <w:noProof/>
          <w:spacing w:val="-8"/>
          <w:kern w:val="2"/>
          <w14:ligatures w14:val="standardContextual"/>
        </w:rPr>
        <w:t>t</w:t>
      </w:r>
      <w:r w:rsidR="005614FF">
        <w:rPr>
          <w:rFonts w:eastAsia="Aptos"/>
          <w:noProof/>
          <w:spacing w:val="-8"/>
          <w:kern w:val="2"/>
          <w14:ligatures w14:val="standardContextual"/>
        </w:rPr>
        <w:t xml:space="preserve">hese factors </w:t>
      </w:r>
      <w:r w:rsidR="007849E2">
        <w:rPr>
          <w:rFonts w:eastAsia="Aptos"/>
          <w:noProof/>
          <w:spacing w:val="-8"/>
          <w:kern w:val="2"/>
          <w14:ligatures w14:val="standardContextual"/>
        </w:rPr>
        <w:t>were</w:t>
      </w:r>
      <w:r w:rsidR="005614FF">
        <w:rPr>
          <w:rFonts w:eastAsia="Aptos"/>
          <w:noProof/>
          <w:spacing w:val="-8"/>
          <w:kern w:val="2"/>
          <w14:ligatures w14:val="standardContextual"/>
        </w:rPr>
        <w:t xml:space="preserve"> screened to identify the ones mostly likely affected by the policy measures.</w:t>
      </w:r>
    </w:p>
    <w:p w14:paraId="1A136532" w14:textId="77777777" w:rsidR="0099738A" w:rsidRDefault="0099738A" w:rsidP="0099738A">
      <w:pPr>
        <w:spacing w:after="240"/>
        <w:jc w:val="both"/>
        <w:rPr>
          <w:b/>
          <w:i/>
          <w:noProof/>
          <w:spacing w:val="-8"/>
        </w:rPr>
      </w:pPr>
      <w:r w:rsidRPr="005930E4">
        <w:rPr>
          <w:b/>
          <w:i/>
          <w:noProof/>
          <w:spacing w:val="-8"/>
        </w:rPr>
        <w:t>Rank the factors according to their importance for travel decisions</w:t>
      </w:r>
    </w:p>
    <w:p w14:paraId="751DE15E" w14:textId="2A2C7BBC" w:rsidR="0099738A" w:rsidRPr="004E336D" w:rsidRDefault="0099738A" w:rsidP="006A1EEA">
      <w:pPr>
        <w:spacing w:after="240"/>
        <w:jc w:val="both"/>
        <w:rPr>
          <w:rFonts w:eastAsia="Aptos"/>
          <w:noProof/>
          <w:spacing w:val="-8"/>
          <w:kern w:val="2"/>
          <w14:ligatures w14:val="standardContextual"/>
        </w:rPr>
      </w:pPr>
      <w:r>
        <w:rPr>
          <w:rFonts w:eastAsia="Aptos"/>
          <w:noProof/>
          <w:spacing w:val="-8"/>
          <w:kern w:val="2"/>
          <w14:ligatures w14:val="standardContextual"/>
        </w:rPr>
        <w:t xml:space="preserve">In the second step, for the </w:t>
      </w:r>
      <w:r w:rsidRPr="004E336D">
        <w:rPr>
          <w:rFonts w:eastAsia="Aptos"/>
          <w:noProof/>
          <w:spacing w:val="-8"/>
          <w:kern w:val="2"/>
          <w14:ligatures w14:val="standardContextual"/>
        </w:rPr>
        <w:t xml:space="preserve">factors selected that influence modal choice, the results of the </w:t>
      </w:r>
      <w:r w:rsidR="006F1863">
        <w:rPr>
          <w:rFonts w:eastAsia="Aptos"/>
          <w:noProof/>
          <w:spacing w:val="-8"/>
          <w:kern w:val="2"/>
          <w14:ligatures w14:val="standardContextual"/>
        </w:rPr>
        <w:t xml:space="preserve">2024 </w:t>
      </w:r>
      <w:r w:rsidRPr="004E336D">
        <w:rPr>
          <w:rFonts w:eastAsia="Aptos"/>
          <w:noProof/>
          <w:spacing w:val="-8"/>
          <w:kern w:val="2"/>
          <w14:ligatures w14:val="standardContextual"/>
        </w:rPr>
        <w:t>Eurobarometer</w:t>
      </w:r>
      <w:r w:rsidRPr="004E336D" w:rsidDel="006F1863">
        <w:rPr>
          <w:rFonts w:eastAsia="Aptos"/>
          <w:noProof/>
          <w:spacing w:val="-8"/>
          <w:kern w:val="2"/>
          <w14:ligatures w14:val="standardContextual"/>
        </w:rPr>
        <w:t xml:space="preserve"> </w:t>
      </w:r>
      <w:r w:rsidR="006F1863">
        <w:rPr>
          <w:rFonts w:eastAsia="Aptos"/>
          <w:noProof/>
          <w:spacing w:val="-8"/>
          <w:kern w:val="2"/>
          <w14:ligatures w14:val="standardContextual"/>
        </w:rPr>
        <w:t>survey</w:t>
      </w:r>
      <w:r w:rsidR="006F1863" w:rsidRPr="004E336D">
        <w:rPr>
          <w:rFonts w:eastAsia="Aptos"/>
          <w:noProof/>
          <w:spacing w:val="-8"/>
          <w:kern w:val="2"/>
          <w14:ligatures w14:val="standardContextual"/>
        </w:rPr>
        <w:t xml:space="preserve"> </w:t>
      </w:r>
      <w:r w:rsidRPr="004E336D">
        <w:rPr>
          <w:rFonts w:eastAsia="Aptos"/>
          <w:noProof/>
          <w:spacing w:val="-8"/>
          <w:kern w:val="2"/>
          <w14:ligatures w14:val="standardContextual"/>
        </w:rPr>
        <w:t xml:space="preserve">were analysed to identify the significance EU travellers place on each factor (for the cases where the </w:t>
      </w:r>
      <w:r w:rsidRPr="00E71C92">
        <w:rPr>
          <w:rFonts w:eastAsia="Aptos"/>
          <w:noProof/>
          <w:spacing w:val="-8"/>
          <w:kern w:val="2"/>
          <w14:ligatures w14:val="standardContextual"/>
        </w:rPr>
        <w:t>response wording could be aligned to the factor in question</w:t>
      </w:r>
      <w:r>
        <w:rPr>
          <w:rFonts w:eastAsia="Aptos"/>
          <w:noProof/>
          <w:spacing w:val="-8"/>
          <w:kern w:val="2"/>
          <w14:ligatures w14:val="standardContextual"/>
        </w:rPr>
        <w:t xml:space="preserve">). </w:t>
      </w:r>
      <w:r w:rsidRPr="004E336D">
        <w:rPr>
          <w:rFonts w:eastAsia="Aptos"/>
          <w:noProof/>
          <w:spacing w:val="-8"/>
          <w:kern w:val="2"/>
          <w14:ligatures w14:val="standardContextual"/>
        </w:rPr>
        <w:t>Question 7</w:t>
      </w:r>
      <w:r w:rsidR="00DD032A">
        <w:rPr>
          <w:rFonts w:eastAsia="Aptos"/>
          <w:noProof/>
          <w:spacing w:val="-8"/>
          <w:kern w:val="2"/>
          <w14:ligatures w14:val="standardContextual"/>
        </w:rPr>
        <w:t xml:space="preserve"> (Q7)</w:t>
      </w:r>
      <w:r w:rsidRPr="004E336D">
        <w:rPr>
          <w:rFonts w:eastAsia="Aptos"/>
          <w:noProof/>
          <w:spacing w:val="-8"/>
          <w:kern w:val="2"/>
          <w14:ligatures w14:val="standardContextual"/>
        </w:rPr>
        <w:t xml:space="preserve">, </w:t>
      </w:r>
      <w:r w:rsidR="00DD032A">
        <w:rPr>
          <w:rFonts w:eastAsia="Aptos"/>
          <w:noProof/>
          <w:spacing w:val="-8"/>
          <w:kern w:val="2"/>
          <w14:ligatures w14:val="standardContextual"/>
        </w:rPr>
        <w:t xml:space="preserve">question </w:t>
      </w:r>
      <w:r w:rsidRPr="004E336D">
        <w:rPr>
          <w:rFonts w:eastAsia="Aptos"/>
          <w:noProof/>
          <w:spacing w:val="-8"/>
          <w:kern w:val="2"/>
          <w14:ligatures w14:val="standardContextual"/>
        </w:rPr>
        <w:t>11</w:t>
      </w:r>
      <w:r w:rsidR="00DD032A">
        <w:rPr>
          <w:rFonts w:eastAsia="Aptos"/>
          <w:noProof/>
          <w:spacing w:val="-8"/>
          <w:kern w:val="2"/>
          <w14:ligatures w14:val="standardContextual"/>
        </w:rPr>
        <w:t xml:space="preserve"> (Q11)</w:t>
      </w:r>
      <w:r w:rsidRPr="004E336D">
        <w:rPr>
          <w:rFonts w:eastAsia="Aptos"/>
          <w:noProof/>
          <w:spacing w:val="-8"/>
          <w:kern w:val="2"/>
          <w14:ligatures w14:val="standardContextual"/>
        </w:rPr>
        <w:t xml:space="preserve">, and </w:t>
      </w:r>
      <w:r w:rsidR="00DD032A">
        <w:rPr>
          <w:rFonts w:eastAsia="Aptos"/>
          <w:noProof/>
          <w:spacing w:val="-8"/>
          <w:kern w:val="2"/>
          <w14:ligatures w14:val="standardContextual"/>
        </w:rPr>
        <w:t xml:space="preserve">question </w:t>
      </w:r>
      <w:r w:rsidRPr="004E336D">
        <w:rPr>
          <w:rFonts w:eastAsia="Aptos"/>
          <w:noProof/>
          <w:spacing w:val="-8"/>
          <w:kern w:val="2"/>
          <w14:ligatures w14:val="standardContextual"/>
        </w:rPr>
        <w:t xml:space="preserve">14 </w:t>
      </w:r>
      <w:r w:rsidR="00DD032A">
        <w:rPr>
          <w:rFonts w:eastAsia="Aptos"/>
          <w:noProof/>
          <w:spacing w:val="-8"/>
          <w:kern w:val="2"/>
          <w14:ligatures w14:val="standardContextual"/>
        </w:rPr>
        <w:t xml:space="preserve">(Q14) </w:t>
      </w:r>
      <w:r w:rsidRPr="004E336D">
        <w:rPr>
          <w:rFonts w:eastAsia="Aptos"/>
          <w:noProof/>
          <w:spacing w:val="-8"/>
          <w:kern w:val="2"/>
          <w14:ligatures w14:val="standardContextual"/>
        </w:rPr>
        <w:t xml:space="preserve">of the </w:t>
      </w:r>
      <w:r w:rsidR="006F1863">
        <w:rPr>
          <w:rFonts w:eastAsia="Aptos"/>
          <w:noProof/>
          <w:spacing w:val="-8"/>
          <w:kern w:val="2"/>
          <w14:ligatures w14:val="standardContextual"/>
        </w:rPr>
        <w:t xml:space="preserve">2024 </w:t>
      </w:r>
      <w:r w:rsidRPr="004E336D">
        <w:rPr>
          <w:rFonts w:eastAsia="Aptos"/>
          <w:noProof/>
          <w:spacing w:val="-8"/>
          <w:kern w:val="2"/>
          <w14:ligatures w14:val="standardContextual"/>
        </w:rPr>
        <w:t>Eurobarometer</w:t>
      </w:r>
      <w:r w:rsidRPr="004E336D" w:rsidDel="006F1863">
        <w:rPr>
          <w:rFonts w:eastAsia="Aptos"/>
          <w:noProof/>
          <w:spacing w:val="-8"/>
          <w:kern w:val="2"/>
          <w14:ligatures w14:val="standardContextual"/>
        </w:rPr>
        <w:t xml:space="preserve"> </w:t>
      </w:r>
      <w:r w:rsidR="006F1863">
        <w:rPr>
          <w:rFonts w:eastAsia="Aptos"/>
          <w:noProof/>
          <w:spacing w:val="-8"/>
          <w:kern w:val="2"/>
          <w14:ligatures w14:val="standardContextual"/>
        </w:rPr>
        <w:t>survey</w:t>
      </w:r>
      <w:r w:rsidR="006F1863" w:rsidRPr="004E336D">
        <w:rPr>
          <w:rFonts w:eastAsia="Aptos"/>
          <w:noProof/>
          <w:spacing w:val="-8"/>
          <w:kern w:val="2"/>
          <w14:ligatures w14:val="standardContextual"/>
        </w:rPr>
        <w:t xml:space="preserve"> </w:t>
      </w:r>
      <w:r w:rsidRPr="004E336D">
        <w:rPr>
          <w:rFonts w:eastAsia="Aptos"/>
          <w:noProof/>
          <w:spacing w:val="-8"/>
          <w:kern w:val="2"/>
          <w14:ligatures w14:val="standardContextual"/>
        </w:rPr>
        <w:t xml:space="preserve">were considered most pertinent, as they tackle the obstacles consumers encounter in increasing the use of multimodal solutions: booking online, booking multiple transport modes, or combining two or more rail segments, for each respective question. The policy measures under assessment represent a way to address some of these obstacles. </w:t>
      </w:r>
    </w:p>
    <w:p w14:paraId="28874AF3" w14:textId="6EBDC7C6" w:rsidR="0099738A" w:rsidRPr="004E336D" w:rsidRDefault="0090768F" w:rsidP="006A1EEA">
      <w:pPr>
        <w:spacing w:after="240"/>
        <w:jc w:val="both"/>
        <w:rPr>
          <w:rFonts w:eastAsia="Aptos"/>
          <w:noProof/>
          <w:spacing w:val="-8"/>
          <w:kern w:val="2"/>
          <w14:ligatures w14:val="standardContextual"/>
        </w:rPr>
      </w:pPr>
      <w:r w:rsidRPr="00BB05EB">
        <w:rPr>
          <w:rFonts w:eastAsia="Aptos"/>
          <w:noProof/>
          <w:spacing w:val="-8"/>
          <w:kern w:val="2"/>
          <w14:ligatures w14:val="standardContextual"/>
        </w:rPr>
        <w:fldChar w:fldCharType="begin"/>
      </w:r>
      <w:r w:rsidRPr="00BB05EB">
        <w:rPr>
          <w:rFonts w:eastAsia="Aptos"/>
          <w:noProof/>
          <w:spacing w:val="-8"/>
          <w:kern w:val="2"/>
          <w14:ligatures w14:val="standardContextual"/>
        </w:rPr>
        <w:instrText xml:space="preserve"> REF _Ref222258540 \h  \* MERGEFORMAT </w:instrText>
      </w:r>
      <w:r w:rsidRPr="00BB05EB">
        <w:rPr>
          <w:rFonts w:eastAsia="Aptos"/>
          <w:noProof/>
          <w:spacing w:val="-8"/>
          <w:kern w:val="2"/>
          <w14:ligatures w14:val="standardContextual"/>
        </w:rPr>
      </w:r>
      <w:r w:rsidRPr="00BB05EB">
        <w:rPr>
          <w:rFonts w:eastAsia="Aptos"/>
          <w:noProof/>
          <w:spacing w:val="-8"/>
          <w:kern w:val="2"/>
          <w14:ligatures w14:val="standardContextual"/>
        </w:rPr>
        <w:fldChar w:fldCharType="separate"/>
      </w:r>
      <w:r>
        <w:rPr>
          <w:noProof/>
        </w:rPr>
        <w:t>Table 42</w:t>
      </w:r>
      <w:r w:rsidRPr="00BB05EB">
        <w:rPr>
          <w:rFonts w:eastAsia="Aptos"/>
          <w:noProof/>
          <w:spacing w:val="-8"/>
          <w:kern w:val="2"/>
          <w14:ligatures w14:val="standardContextual"/>
        </w:rPr>
        <w:fldChar w:fldCharType="end"/>
      </w:r>
      <w:r w:rsidRPr="00BB05EB">
        <w:rPr>
          <w:rFonts w:eastAsia="Aptos"/>
          <w:noProof/>
          <w:spacing w:val="-8"/>
          <w:kern w:val="2"/>
          <w14:ligatures w14:val="standardContextual"/>
        </w:rPr>
        <w:t xml:space="preserve"> </w:t>
      </w:r>
      <w:r w:rsidR="0099738A" w:rsidRPr="00BB05EB">
        <w:rPr>
          <w:rFonts w:eastAsia="Aptos"/>
          <w:noProof/>
          <w:spacing w:val="-8"/>
          <w:kern w:val="2"/>
          <w14:ligatures w14:val="standardContextual"/>
        </w:rPr>
        <w:t>provides a mapping of parameters against their stated importance in the Eurobarometer survey, in</w:t>
      </w:r>
      <w:r w:rsidR="0099738A" w:rsidRPr="0090768F">
        <w:rPr>
          <w:rFonts w:eastAsia="Aptos"/>
          <w:noProof/>
          <w:spacing w:val="-8"/>
          <w:kern w:val="2"/>
          <w14:ligatures w14:val="standardContextual"/>
        </w:rPr>
        <w:t>dicated by the frequency of responses. It includes the distribution of all possible responses, excluding “Don’t</w:t>
      </w:r>
      <w:r w:rsidR="0099738A" w:rsidRPr="00E71C92">
        <w:rPr>
          <w:rFonts w:eastAsia="Aptos"/>
          <w:noProof/>
          <w:spacing w:val="-8"/>
          <w:kern w:val="2"/>
          <w14:ligatures w14:val="standardContextual"/>
        </w:rPr>
        <w:t xml:space="preserve"> know”</w:t>
      </w:r>
      <w:r w:rsidR="0099738A">
        <w:rPr>
          <w:rFonts w:eastAsia="Aptos"/>
          <w:noProof/>
          <w:spacing w:val="-8"/>
          <w:kern w:val="2"/>
          <w14:ligatures w14:val="standardContextual"/>
        </w:rPr>
        <w:t xml:space="preserve">. </w:t>
      </w:r>
      <w:r w:rsidR="0099738A" w:rsidRPr="004E336D">
        <w:rPr>
          <w:rFonts w:eastAsia="Aptos"/>
          <w:noProof/>
          <w:spacing w:val="-8"/>
          <w:kern w:val="2"/>
          <w14:ligatures w14:val="standardContextual"/>
        </w:rPr>
        <w:t>In instances where responses could be connected to multiple factors influencing modal choice, the second factor is displayed in italics.</w:t>
      </w:r>
    </w:p>
    <w:p w14:paraId="1DB495FF" w14:textId="34B3F4B2" w:rsidR="00911BCD" w:rsidRDefault="00911BCD" w:rsidP="006A1EEA">
      <w:pPr>
        <w:spacing w:after="240"/>
        <w:jc w:val="both"/>
        <w:rPr>
          <w:rFonts w:eastAsia="Aptos"/>
          <w:noProof/>
          <w:spacing w:val="-8"/>
          <w:kern w:val="2"/>
          <w14:ligatures w14:val="standardContextual"/>
        </w:rPr>
      </w:pPr>
      <w:r w:rsidRPr="00A1455F">
        <w:rPr>
          <w:rFonts w:eastAsia="Aptos"/>
          <w:i/>
          <w:noProof/>
          <w:spacing w:val="-8"/>
          <w:kern w:val="2"/>
          <w14:ligatures w14:val="standardContextual"/>
        </w:rPr>
        <w:t xml:space="preserve">Travel </w:t>
      </w:r>
      <w:r w:rsidR="00627F61" w:rsidRPr="00A1455F">
        <w:rPr>
          <w:rFonts w:eastAsia="Aptos"/>
          <w:i/>
          <w:noProof/>
          <w:spacing w:val="-8"/>
          <w:kern w:val="2"/>
          <w14:ligatures w14:val="standardContextual"/>
        </w:rPr>
        <w:t>t</w:t>
      </w:r>
      <w:r w:rsidRPr="00A1455F">
        <w:rPr>
          <w:rFonts w:eastAsia="Aptos"/>
          <w:i/>
          <w:noProof/>
          <w:spacing w:val="-8"/>
          <w:kern w:val="2"/>
          <w14:ligatures w14:val="standardContextual"/>
        </w:rPr>
        <w:t xml:space="preserve">ime, </w:t>
      </w:r>
      <w:r w:rsidR="00627F61" w:rsidRPr="00A1455F">
        <w:rPr>
          <w:rFonts w:eastAsia="Aptos"/>
          <w:i/>
          <w:noProof/>
          <w:spacing w:val="-8"/>
          <w:kern w:val="2"/>
          <w14:ligatures w14:val="standardContextual"/>
        </w:rPr>
        <w:t>p</w:t>
      </w:r>
      <w:r w:rsidRPr="00A1455F">
        <w:rPr>
          <w:rFonts w:eastAsia="Aptos"/>
          <w:i/>
          <w:noProof/>
          <w:spacing w:val="-8"/>
          <w:kern w:val="2"/>
          <w14:ligatures w14:val="standardContextual"/>
        </w:rPr>
        <w:t xml:space="preserve">rice and </w:t>
      </w:r>
      <w:r w:rsidR="00627F61" w:rsidRPr="00A1455F">
        <w:rPr>
          <w:rFonts w:eastAsia="Aptos"/>
          <w:i/>
          <w:noProof/>
          <w:spacing w:val="-8"/>
          <w:kern w:val="2"/>
          <w14:ligatures w14:val="standardContextual"/>
        </w:rPr>
        <w:t>i</w:t>
      </w:r>
      <w:r w:rsidRPr="00A1455F">
        <w:rPr>
          <w:rFonts w:eastAsia="Aptos"/>
          <w:i/>
          <w:noProof/>
          <w:spacing w:val="-8"/>
          <w:kern w:val="2"/>
          <w14:ligatures w14:val="standardContextual"/>
        </w:rPr>
        <w:t xml:space="preserve">nformation </w:t>
      </w:r>
      <w:r w:rsidR="00627F61" w:rsidRPr="00A1455F">
        <w:rPr>
          <w:rFonts w:eastAsia="Aptos"/>
          <w:i/>
          <w:noProof/>
          <w:spacing w:val="-8"/>
          <w:kern w:val="2"/>
          <w14:ligatures w14:val="standardContextual"/>
        </w:rPr>
        <w:t>p</w:t>
      </w:r>
      <w:r w:rsidRPr="00A1455F">
        <w:rPr>
          <w:rFonts w:eastAsia="Aptos"/>
          <w:i/>
          <w:noProof/>
          <w:spacing w:val="-8"/>
          <w:kern w:val="2"/>
          <w14:ligatures w14:val="standardContextual"/>
        </w:rPr>
        <w:t>rovision</w:t>
      </w:r>
      <w:r w:rsidRPr="00F35F37">
        <w:rPr>
          <w:rFonts w:eastAsia="Aptos"/>
          <w:b/>
          <w:noProof/>
          <w:spacing w:val="-8"/>
          <w:kern w:val="2"/>
          <w14:ligatures w14:val="standardContextual"/>
        </w:rPr>
        <w:t xml:space="preserve"> </w:t>
      </w:r>
      <w:r w:rsidRPr="00F12E53">
        <w:rPr>
          <w:rFonts w:eastAsia="Aptos"/>
          <w:noProof/>
          <w:spacing w:val="-8"/>
          <w:kern w:val="2"/>
          <w14:ligatures w14:val="standardContextual"/>
        </w:rPr>
        <w:t>were seen as the most important factors preventing higher use of multimodal solutions based on the results of the assessed Eurobarometer questions (Q7, Q11 and Q14).</w:t>
      </w:r>
      <w:r w:rsidRPr="00F35F37">
        <w:rPr>
          <w:rFonts w:eastAsia="Aptos"/>
          <w:b/>
          <w:noProof/>
          <w:spacing w:val="-8"/>
          <w:kern w:val="2"/>
          <w14:ligatures w14:val="standardContextual"/>
        </w:rPr>
        <w:t xml:space="preserve"> </w:t>
      </w:r>
      <w:r w:rsidRPr="00F35F37">
        <w:rPr>
          <w:rFonts w:eastAsia="Aptos"/>
          <w:noProof/>
          <w:spacing w:val="-8"/>
          <w:kern w:val="2"/>
          <w14:ligatures w14:val="standardContextual"/>
        </w:rPr>
        <w:t xml:space="preserve">Travel Time and Price were the most cited barriers by respondents, appearing regularly in the top three barriers (excluding responses such as “it was not needed”, or “none of these”). Travel Time was seen as a barrier </w:t>
      </w:r>
      <w:r>
        <w:rPr>
          <w:rFonts w:eastAsia="Aptos"/>
          <w:noProof/>
          <w:spacing w:val="-8"/>
          <w:kern w:val="2"/>
          <w14:ligatures w14:val="standardContextual"/>
        </w:rPr>
        <w:t>by</w:t>
      </w:r>
      <w:r w:rsidRPr="00F35F37">
        <w:rPr>
          <w:rFonts w:eastAsia="Aptos"/>
          <w:noProof/>
          <w:spacing w:val="-8"/>
          <w:kern w:val="2"/>
          <w14:ligatures w14:val="standardContextual"/>
        </w:rPr>
        <w:t xml:space="preserve"> 19-22% of respondents, while Price was a barrier for 13-19%</w:t>
      </w:r>
      <w:r>
        <w:rPr>
          <w:rFonts w:eastAsia="Aptos"/>
          <w:noProof/>
          <w:spacing w:val="-8"/>
          <w:kern w:val="2"/>
          <w14:ligatures w14:val="standardContextual"/>
        </w:rPr>
        <w:t xml:space="preserve"> of the respondents</w:t>
      </w:r>
      <w:r w:rsidRPr="00F35F37">
        <w:rPr>
          <w:rFonts w:eastAsia="Aptos"/>
          <w:noProof/>
          <w:spacing w:val="-8"/>
          <w:kern w:val="2"/>
          <w14:ligatures w14:val="standardContextual"/>
        </w:rPr>
        <w:t xml:space="preserve">. Information Provision </w:t>
      </w:r>
      <w:r>
        <w:rPr>
          <w:rFonts w:eastAsia="Aptos"/>
          <w:noProof/>
          <w:spacing w:val="-8"/>
          <w:kern w:val="2"/>
          <w14:ligatures w14:val="standardContextual"/>
        </w:rPr>
        <w:t>was</w:t>
      </w:r>
      <w:r w:rsidRPr="00F35F37">
        <w:rPr>
          <w:rFonts w:eastAsia="Aptos"/>
          <w:noProof/>
          <w:spacing w:val="-8"/>
          <w:kern w:val="2"/>
          <w14:ligatures w14:val="standardContextual"/>
        </w:rPr>
        <w:t xml:space="preserve"> </w:t>
      </w:r>
      <w:r>
        <w:rPr>
          <w:rFonts w:eastAsia="Aptos"/>
          <w:noProof/>
          <w:spacing w:val="-8"/>
          <w:kern w:val="2"/>
          <w14:ligatures w14:val="standardContextual"/>
        </w:rPr>
        <w:t xml:space="preserve">among </w:t>
      </w:r>
      <w:r w:rsidRPr="00F35F37">
        <w:rPr>
          <w:rFonts w:eastAsia="Aptos"/>
          <w:noProof/>
          <w:spacing w:val="-8"/>
          <w:kern w:val="2"/>
          <w14:ligatures w14:val="standardContextual"/>
        </w:rPr>
        <w:t>the top 3</w:t>
      </w:r>
      <w:r w:rsidRPr="00F35F37">
        <w:rPr>
          <w:rFonts w:eastAsia="Aptos"/>
          <w:noProof/>
          <w:spacing w:val="-8"/>
          <w:kern w:val="2"/>
          <w:vertAlign w:val="superscript"/>
          <w14:ligatures w14:val="standardContextual"/>
        </w:rPr>
        <w:t>rd</w:t>
      </w:r>
      <w:r w:rsidRPr="00F35F37">
        <w:rPr>
          <w:rFonts w:eastAsia="Aptos"/>
          <w:noProof/>
          <w:spacing w:val="-8"/>
          <w:kern w:val="2"/>
          <w14:ligatures w14:val="standardContextual"/>
        </w:rPr>
        <w:t xml:space="preserve"> or 4</w:t>
      </w:r>
      <w:r w:rsidRPr="00F35F37">
        <w:rPr>
          <w:rFonts w:eastAsia="Aptos"/>
          <w:noProof/>
          <w:spacing w:val="-8"/>
          <w:kern w:val="2"/>
          <w:vertAlign w:val="superscript"/>
          <w14:ligatures w14:val="standardContextual"/>
        </w:rPr>
        <w:t>th</w:t>
      </w:r>
      <w:r w:rsidRPr="00F35F37">
        <w:rPr>
          <w:rFonts w:eastAsia="Aptos"/>
          <w:noProof/>
          <w:spacing w:val="-8"/>
          <w:kern w:val="2"/>
          <w14:ligatures w14:val="standardContextual"/>
        </w:rPr>
        <w:t xml:space="preserve"> common answer</w:t>
      </w:r>
      <w:r>
        <w:rPr>
          <w:rFonts w:eastAsia="Aptos"/>
          <w:noProof/>
          <w:spacing w:val="-8"/>
          <w:kern w:val="2"/>
          <w14:ligatures w14:val="standardContextual"/>
        </w:rPr>
        <w:t>s,</w:t>
      </w:r>
      <w:r w:rsidRPr="00F35F37">
        <w:rPr>
          <w:rFonts w:eastAsia="Aptos"/>
          <w:noProof/>
          <w:spacing w:val="-8"/>
          <w:kern w:val="2"/>
          <w14:ligatures w14:val="standardContextual"/>
        </w:rPr>
        <w:t xml:space="preserve"> </w:t>
      </w:r>
      <w:r>
        <w:rPr>
          <w:rFonts w:eastAsia="Aptos"/>
          <w:noProof/>
          <w:spacing w:val="-8"/>
          <w:kern w:val="2"/>
          <w14:ligatures w14:val="standardContextual"/>
        </w:rPr>
        <w:t>being seen as a barrier by</w:t>
      </w:r>
      <w:r w:rsidRPr="00F35F37">
        <w:rPr>
          <w:rFonts w:eastAsia="Aptos"/>
          <w:noProof/>
          <w:spacing w:val="-8"/>
          <w:kern w:val="2"/>
          <w14:ligatures w14:val="standardContextual"/>
        </w:rPr>
        <w:t xml:space="preserve"> 14-15% of </w:t>
      </w:r>
      <w:r>
        <w:rPr>
          <w:rFonts w:eastAsia="Aptos"/>
          <w:noProof/>
          <w:spacing w:val="-8"/>
          <w:kern w:val="2"/>
          <w14:ligatures w14:val="standardContextual"/>
        </w:rPr>
        <w:t>respondents</w:t>
      </w:r>
      <w:r w:rsidRPr="00F35F37">
        <w:rPr>
          <w:rFonts w:eastAsia="Aptos"/>
          <w:noProof/>
          <w:spacing w:val="-8"/>
          <w:kern w:val="2"/>
          <w14:ligatures w14:val="standardContextual"/>
        </w:rPr>
        <w:t xml:space="preserve">. </w:t>
      </w:r>
    </w:p>
    <w:p w14:paraId="1E10F080" w14:textId="77777777" w:rsidR="000613FB" w:rsidRDefault="000613FB" w:rsidP="00197B24">
      <w:pPr>
        <w:spacing w:after="120"/>
        <w:jc w:val="both"/>
        <w:rPr>
          <w:rFonts w:eastAsia="Aptos"/>
          <w:noProof/>
          <w:spacing w:val="-8"/>
          <w:kern w:val="2"/>
          <w14:ligatures w14:val="standardContextual"/>
        </w:rPr>
      </w:pPr>
      <w:r w:rsidRPr="00DA072E">
        <w:rPr>
          <w:rFonts w:eastAsia="Aptos"/>
          <w:noProof/>
          <w:spacing w:val="-8"/>
          <w:kern w:val="2"/>
          <w14:ligatures w14:val="standardContextual"/>
        </w:rPr>
        <w:t xml:space="preserve">The </w:t>
      </w:r>
      <w:r>
        <w:rPr>
          <w:rFonts w:eastAsia="Aptos"/>
          <w:noProof/>
          <w:spacing w:val="-8"/>
          <w:kern w:val="2"/>
          <w14:ligatures w14:val="standardContextual"/>
        </w:rPr>
        <w:t xml:space="preserve">impacts on </w:t>
      </w:r>
      <w:r w:rsidRPr="00DA072E">
        <w:rPr>
          <w:rFonts w:eastAsia="Aptos"/>
          <w:noProof/>
          <w:spacing w:val="-8"/>
          <w:kern w:val="2"/>
          <w14:ligatures w14:val="standardContextual"/>
        </w:rPr>
        <w:t xml:space="preserve">travel time </w:t>
      </w:r>
      <w:r>
        <w:rPr>
          <w:rFonts w:eastAsia="Aptos"/>
          <w:noProof/>
          <w:spacing w:val="-8"/>
          <w:kern w:val="2"/>
          <w14:ligatures w14:val="standardContextual"/>
        </w:rPr>
        <w:t>and price are generally best</w:t>
      </w:r>
      <w:r w:rsidRPr="00DA072E">
        <w:rPr>
          <w:rFonts w:eastAsia="Aptos"/>
          <w:noProof/>
          <w:spacing w:val="-8"/>
          <w:kern w:val="2"/>
          <w14:ligatures w14:val="standardContextual"/>
        </w:rPr>
        <w:t xml:space="preserve"> considered </w:t>
      </w:r>
      <w:r>
        <w:rPr>
          <w:rFonts w:eastAsia="Aptos"/>
          <w:noProof/>
          <w:spacing w:val="-8"/>
          <w:kern w:val="2"/>
          <w14:ligatures w14:val="standardContextual"/>
        </w:rPr>
        <w:t xml:space="preserve">as direct inputs </w:t>
      </w:r>
      <w:r w:rsidRPr="00DA072E">
        <w:rPr>
          <w:rFonts w:eastAsia="Aptos"/>
          <w:noProof/>
          <w:spacing w:val="-8"/>
          <w:kern w:val="2"/>
          <w14:ligatures w14:val="standardContextual"/>
        </w:rPr>
        <w:t>in the ASTRA</w:t>
      </w:r>
      <w:r>
        <w:rPr>
          <w:rFonts w:eastAsia="Aptos"/>
          <w:noProof/>
          <w:spacing w:val="-8"/>
          <w:kern w:val="2"/>
          <w14:ligatures w14:val="standardContextual"/>
        </w:rPr>
        <w:t xml:space="preserve"> model and not further considered in the MPA module</w:t>
      </w:r>
      <w:r w:rsidRPr="00DA072E">
        <w:rPr>
          <w:rFonts w:eastAsia="Aptos"/>
          <w:noProof/>
          <w:spacing w:val="-8"/>
          <w:kern w:val="2"/>
          <w14:ligatures w14:val="standardContextual"/>
        </w:rPr>
        <w:t>.</w:t>
      </w:r>
      <w:r>
        <w:rPr>
          <w:rFonts w:eastAsia="Aptos"/>
          <w:noProof/>
          <w:spacing w:val="-8"/>
          <w:kern w:val="2"/>
          <w14:ligatures w14:val="standardContextual"/>
        </w:rPr>
        <w:t xml:space="preserve"> This is specifically the case of impacts on travel time in the context of this impact assessment. The impacts on prices are not considered as inputs in ASTRA because of the reasons explained below:</w:t>
      </w:r>
    </w:p>
    <w:p w14:paraId="0AE72BC1" w14:textId="1BEE89A5" w:rsidR="000613FB" w:rsidRPr="00DA072E" w:rsidRDefault="000613FB" w:rsidP="001979E4">
      <w:pPr>
        <w:pStyle w:val="ListParagraph"/>
        <w:widowControl/>
        <w:numPr>
          <w:ilvl w:val="0"/>
          <w:numId w:val="23"/>
        </w:numPr>
        <w:autoSpaceDE/>
        <w:autoSpaceDN/>
        <w:spacing w:before="0" w:after="120"/>
        <w:ind w:left="284" w:hanging="284"/>
        <w:jc w:val="both"/>
        <w:rPr>
          <w:noProof/>
          <w:spacing w:val="-8"/>
          <w:sz w:val="24"/>
          <w:szCs w:val="24"/>
        </w:rPr>
      </w:pPr>
      <w:r>
        <w:rPr>
          <w:noProof/>
          <w:spacing w:val="-8"/>
          <w:sz w:val="24"/>
          <w:szCs w:val="24"/>
        </w:rPr>
        <w:t xml:space="preserve">A </w:t>
      </w:r>
      <w:r w:rsidRPr="00DA072E">
        <w:rPr>
          <w:noProof/>
          <w:spacing w:val="-8"/>
          <w:sz w:val="24"/>
          <w:szCs w:val="24"/>
        </w:rPr>
        <w:t xml:space="preserve">limited number of OD pairs </w:t>
      </w:r>
      <w:r>
        <w:rPr>
          <w:noProof/>
          <w:spacing w:val="-8"/>
          <w:sz w:val="24"/>
          <w:szCs w:val="24"/>
        </w:rPr>
        <w:t>showed</w:t>
      </w:r>
      <w:r w:rsidRPr="00DA072E">
        <w:rPr>
          <w:noProof/>
          <w:spacing w:val="-8"/>
          <w:sz w:val="24"/>
          <w:szCs w:val="24"/>
        </w:rPr>
        <w:t xml:space="preserve"> possible price savings (</w:t>
      </w:r>
      <w:r w:rsidR="00DA4A3A">
        <w:rPr>
          <w:noProof/>
          <w:spacing w:val="-8"/>
          <w:sz w:val="24"/>
          <w:szCs w:val="24"/>
        </w:rPr>
        <w:t>23</w:t>
      </w:r>
      <w:r w:rsidRPr="00DA072E">
        <w:rPr>
          <w:noProof/>
          <w:spacing w:val="-8"/>
          <w:sz w:val="24"/>
          <w:szCs w:val="24"/>
        </w:rPr>
        <w:t xml:space="preserve">/100 compared to </w:t>
      </w:r>
      <w:r w:rsidR="00DA4A3A">
        <w:rPr>
          <w:noProof/>
          <w:spacing w:val="-8"/>
          <w:sz w:val="24"/>
          <w:szCs w:val="24"/>
        </w:rPr>
        <w:t>31</w:t>
      </w:r>
      <w:r w:rsidRPr="00DA072E">
        <w:rPr>
          <w:noProof/>
          <w:spacing w:val="-8"/>
          <w:sz w:val="24"/>
          <w:szCs w:val="24"/>
        </w:rPr>
        <w:t xml:space="preserve">/100 for </w:t>
      </w:r>
      <w:r>
        <w:rPr>
          <w:noProof/>
          <w:spacing w:val="-8"/>
          <w:sz w:val="24"/>
          <w:szCs w:val="24"/>
        </w:rPr>
        <w:t xml:space="preserve">travel </w:t>
      </w:r>
      <w:r w:rsidRPr="00DA072E">
        <w:rPr>
          <w:noProof/>
          <w:spacing w:val="-8"/>
          <w:sz w:val="24"/>
          <w:szCs w:val="24"/>
        </w:rPr>
        <w:t>time savings) indicating a limited potential for price benefits</w:t>
      </w:r>
      <w:r>
        <w:rPr>
          <w:noProof/>
          <w:spacing w:val="-8"/>
          <w:sz w:val="24"/>
          <w:szCs w:val="24"/>
        </w:rPr>
        <w:t>;</w:t>
      </w:r>
    </w:p>
    <w:p w14:paraId="77AB868C" w14:textId="77777777" w:rsidR="000613FB" w:rsidRPr="00A31802" w:rsidRDefault="000613FB" w:rsidP="001979E4">
      <w:pPr>
        <w:pStyle w:val="ListParagraph"/>
        <w:widowControl/>
        <w:numPr>
          <w:ilvl w:val="0"/>
          <w:numId w:val="22"/>
        </w:numPr>
        <w:autoSpaceDE/>
        <w:autoSpaceDN/>
        <w:spacing w:before="0" w:after="240"/>
        <w:ind w:left="284" w:hanging="284"/>
        <w:jc w:val="both"/>
        <w:rPr>
          <w:rFonts w:eastAsia="Aptos"/>
          <w:noProof/>
          <w:spacing w:val="-8"/>
          <w:kern w:val="2"/>
          <w:sz w:val="24"/>
          <w:szCs w:val="24"/>
          <w14:ligatures w14:val="standardContextual"/>
        </w:rPr>
      </w:pPr>
      <w:r w:rsidRPr="00DA072E">
        <w:rPr>
          <w:noProof/>
          <w:spacing w:val="-8"/>
          <w:sz w:val="24"/>
          <w:szCs w:val="24"/>
        </w:rPr>
        <w:t xml:space="preserve">Price benefits were often presented as a trade-off to significant travel time benefits </w:t>
      </w:r>
      <w:r w:rsidRPr="00DA072E">
        <w:rPr>
          <w:rFonts w:eastAsiaTheme="minorHAnsi"/>
          <w:noProof/>
          <w:spacing w:val="-8"/>
          <w:sz w:val="24"/>
          <w:szCs w:val="24"/>
        </w:rPr>
        <w:t>in passengers’ journey decisions</w:t>
      </w:r>
      <w:r w:rsidRPr="00DA072E">
        <w:rPr>
          <w:noProof/>
          <w:spacing w:val="-8"/>
          <w:sz w:val="24"/>
          <w:szCs w:val="24"/>
        </w:rPr>
        <w:t xml:space="preserve">. In many cases, more modal options will not lead to simultaneous improvements in </w:t>
      </w:r>
      <w:r>
        <w:rPr>
          <w:noProof/>
          <w:spacing w:val="-8"/>
          <w:sz w:val="24"/>
          <w:szCs w:val="24"/>
        </w:rPr>
        <w:t>t</w:t>
      </w:r>
      <w:r w:rsidRPr="00DA072E">
        <w:rPr>
          <w:noProof/>
          <w:spacing w:val="-8"/>
          <w:sz w:val="24"/>
          <w:szCs w:val="24"/>
        </w:rPr>
        <w:t xml:space="preserve">ravel </w:t>
      </w:r>
      <w:r>
        <w:rPr>
          <w:noProof/>
          <w:spacing w:val="-8"/>
          <w:sz w:val="24"/>
          <w:szCs w:val="24"/>
        </w:rPr>
        <w:t>t</w:t>
      </w:r>
      <w:r w:rsidRPr="00DA072E">
        <w:rPr>
          <w:noProof/>
          <w:spacing w:val="-8"/>
          <w:sz w:val="24"/>
          <w:szCs w:val="24"/>
        </w:rPr>
        <w:t xml:space="preserve">ime and </w:t>
      </w:r>
      <w:r>
        <w:rPr>
          <w:noProof/>
          <w:spacing w:val="-8"/>
          <w:sz w:val="24"/>
          <w:szCs w:val="24"/>
        </w:rPr>
        <w:t>p</w:t>
      </w:r>
      <w:r w:rsidRPr="00DA072E">
        <w:rPr>
          <w:noProof/>
          <w:spacing w:val="-8"/>
          <w:sz w:val="24"/>
          <w:szCs w:val="24"/>
        </w:rPr>
        <w:t>rice</w:t>
      </w:r>
      <w:r>
        <w:rPr>
          <w:noProof/>
          <w:spacing w:val="-8"/>
          <w:sz w:val="24"/>
          <w:szCs w:val="24"/>
        </w:rPr>
        <w:t>. F</w:t>
      </w:r>
      <w:r w:rsidRPr="00DA072E">
        <w:rPr>
          <w:noProof/>
          <w:spacing w:val="-8"/>
          <w:sz w:val="24"/>
          <w:szCs w:val="24"/>
        </w:rPr>
        <w:t>or example, t</w:t>
      </w:r>
      <w:r w:rsidRPr="00DA072E">
        <w:rPr>
          <w:rFonts w:eastAsiaTheme="minorHAnsi"/>
          <w:noProof/>
          <w:spacing w:val="-8"/>
          <w:sz w:val="24"/>
          <w:szCs w:val="24"/>
        </w:rPr>
        <w:t>ravel</w:t>
      </w:r>
      <w:r w:rsidRPr="00DA072E">
        <w:rPr>
          <w:noProof/>
          <w:spacing w:val="-8"/>
          <w:sz w:val="24"/>
          <w:szCs w:val="24"/>
        </w:rPr>
        <w:t xml:space="preserve">ing </w:t>
      </w:r>
      <w:r w:rsidRPr="00DA072E">
        <w:rPr>
          <w:rFonts w:eastAsiaTheme="minorHAnsi"/>
          <w:noProof/>
          <w:spacing w:val="-8"/>
          <w:sz w:val="24"/>
          <w:szCs w:val="24"/>
        </w:rPr>
        <w:t xml:space="preserve">by air or high-speed </w:t>
      </w:r>
      <w:r>
        <w:rPr>
          <w:noProof/>
          <w:spacing w:val="-8"/>
          <w:sz w:val="24"/>
          <w:szCs w:val="24"/>
        </w:rPr>
        <w:t>rail</w:t>
      </w:r>
      <w:r w:rsidRPr="00DA072E">
        <w:rPr>
          <w:rFonts w:eastAsiaTheme="minorHAnsi"/>
          <w:noProof/>
          <w:spacing w:val="-8"/>
          <w:sz w:val="24"/>
          <w:szCs w:val="24"/>
        </w:rPr>
        <w:t xml:space="preserve"> is </w:t>
      </w:r>
      <w:r>
        <w:rPr>
          <w:noProof/>
          <w:spacing w:val="-8"/>
          <w:sz w:val="24"/>
          <w:szCs w:val="24"/>
        </w:rPr>
        <w:t>usually</w:t>
      </w:r>
      <w:r w:rsidRPr="00DA072E">
        <w:rPr>
          <w:rFonts w:eastAsiaTheme="minorHAnsi"/>
          <w:noProof/>
          <w:spacing w:val="-8"/>
          <w:sz w:val="24"/>
          <w:szCs w:val="24"/>
        </w:rPr>
        <w:t xml:space="preserve"> faster</w:t>
      </w:r>
      <w:r w:rsidRPr="00DA072E">
        <w:rPr>
          <w:noProof/>
          <w:spacing w:val="-8"/>
          <w:sz w:val="24"/>
          <w:szCs w:val="24"/>
        </w:rPr>
        <w:t xml:space="preserve"> than driving or </w:t>
      </w:r>
      <w:r>
        <w:rPr>
          <w:noProof/>
          <w:spacing w:val="-8"/>
          <w:sz w:val="24"/>
          <w:szCs w:val="24"/>
        </w:rPr>
        <w:t>using</w:t>
      </w:r>
      <w:r w:rsidRPr="00DA072E">
        <w:rPr>
          <w:noProof/>
          <w:spacing w:val="-8"/>
          <w:sz w:val="24"/>
          <w:szCs w:val="24"/>
        </w:rPr>
        <w:t xml:space="preserve"> a combination of other land-based collective modes (e.g. </w:t>
      </w:r>
      <w:r>
        <w:rPr>
          <w:noProof/>
          <w:spacing w:val="-8"/>
          <w:sz w:val="24"/>
          <w:szCs w:val="24"/>
        </w:rPr>
        <w:t xml:space="preserve">conventional </w:t>
      </w:r>
      <w:r w:rsidRPr="00DA072E">
        <w:rPr>
          <w:noProof/>
          <w:spacing w:val="-8"/>
          <w:sz w:val="24"/>
          <w:szCs w:val="24"/>
        </w:rPr>
        <w:t>rail, coach) but</w:t>
      </w:r>
      <w:r w:rsidRPr="00DA072E">
        <w:rPr>
          <w:rFonts w:eastAsiaTheme="minorHAnsi"/>
          <w:noProof/>
          <w:spacing w:val="-8"/>
          <w:sz w:val="24"/>
          <w:szCs w:val="24"/>
        </w:rPr>
        <w:t xml:space="preserve"> </w:t>
      </w:r>
      <w:r w:rsidRPr="00DA072E">
        <w:rPr>
          <w:noProof/>
          <w:spacing w:val="-8"/>
          <w:sz w:val="24"/>
          <w:szCs w:val="24"/>
        </w:rPr>
        <w:t xml:space="preserve">often </w:t>
      </w:r>
      <w:r w:rsidRPr="00DA072E">
        <w:rPr>
          <w:rFonts w:eastAsiaTheme="minorHAnsi"/>
          <w:noProof/>
          <w:spacing w:val="-8"/>
          <w:sz w:val="24"/>
          <w:szCs w:val="24"/>
        </w:rPr>
        <w:t xml:space="preserve">comes at additional </w:t>
      </w:r>
      <w:r>
        <w:rPr>
          <w:noProof/>
          <w:spacing w:val="-8"/>
          <w:sz w:val="24"/>
          <w:szCs w:val="24"/>
        </w:rPr>
        <w:t>cost</w:t>
      </w:r>
      <w:r w:rsidRPr="00DA072E">
        <w:rPr>
          <w:rFonts w:eastAsiaTheme="minorHAnsi"/>
          <w:noProof/>
          <w:spacing w:val="-8"/>
          <w:sz w:val="24"/>
          <w:szCs w:val="24"/>
        </w:rPr>
        <w:t>.</w:t>
      </w:r>
      <w:r w:rsidRPr="00DA072E">
        <w:rPr>
          <w:noProof/>
          <w:spacing w:val="-8"/>
          <w:sz w:val="24"/>
          <w:szCs w:val="24"/>
        </w:rPr>
        <w:t xml:space="preserve"> Each route displays unique trade-offs for passenger</w:t>
      </w:r>
      <w:r>
        <w:rPr>
          <w:noProof/>
          <w:spacing w:val="-8"/>
          <w:sz w:val="24"/>
          <w:szCs w:val="24"/>
        </w:rPr>
        <w:t>s,</w:t>
      </w:r>
      <w:r w:rsidRPr="00DA072E">
        <w:rPr>
          <w:noProof/>
          <w:spacing w:val="-8"/>
          <w:sz w:val="24"/>
          <w:szCs w:val="24"/>
        </w:rPr>
        <w:t xml:space="preserve"> given their willingness to spend money to reduce travel time</w:t>
      </w:r>
      <w:r>
        <w:rPr>
          <w:noProof/>
          <w:spacing w:val="-8"/>
          <w:sz w:val="24"/>
          <w:szCs w:val="24"/>
        </w:rPr>
        <w:t xml:space="preserve"> and the </w:t>
      </w:r>
      <w:r w:rsidRPr="00DA072E">
        <w:rPr>
          <w:noProof/>
          <w:spacing w:val="-8"/>
          <w:sz w:val="24"/>
          <w:szCs w:val="24"/>
        </w:rPr>
        <w:t xml:space="preserve">availability of mode combinations for each route. MDMS platforms </w:t>
      </w:r>
      <w:r>
        <w:rPr>
          <w:noProof/>
          <w:spacing w:val="-8"/>
          <w:sz w:val="24"/>
          <w:szCs w:val="24"/>
        </w:rPr>
        <w:t>could</w:t>
      </w:r>
      <w:r w:rsidRPr="00DA072E">
        <w:rPr>
          <w:noProof/>
          <w:spacing w:val="-8"/>
          <w:sz w:val="24"/>
          <w:szCs w:val="24"/>
        </w:rPr>
        <w:t xml:space="preserve"> facilitat</w:t>
      </w:r>
      <w:r>
        <w:rPr>
          <w:noProof/>
          <w:spacing w:val="-8"/>
          <w:sz w:val="24"/>
          <w:szCs w:val="24"/>
        </w:rPr>
        <w:t>e</w:t>
      </w:r>
      <w:r w:rsidRPr="00DA072E">
        <w:rPr>
          <w:noProof/>
          <w:spacing w:val="-8"/>
          <w:sz w:val="24"/>
          <w:szCs w:val="24"/>
        </w:rPr>
        <w:t xml:space="preserve"> </w:t>
      </w:r>
      <w:r>
        <w:rPr>
          <w:noProof/>
          <w:spacing w:val="-8"/>
          <w:sz w:val="24"/>
          <w:szCs w:val="24"/>
        </w:rPr>
        <w:t>p</w:t>
      </w:r>
      <w:r w:rsidRPr="00DA072E">
        <w:rPr>
          <w:noProof/>
          <w:spacing w:val="-8"/>
          <w:sz w:val="24"/>
          <w:szCs w:val="24"/>
        </w:rPr>
        <w:t xml:space="preserve">rice improvements through two channels: (a) making passengers aware of cheaper options within the same mode, or (b) making passengers aware of cheaper options in other modes or mode combinations. Only the latter would result in modal shift if it </w:t>
      </w:r>
      <w:r>
        <w:rPr>
          <w:noProof/>
          <w:spacing w:val="-8"/>
          <w:sz w:val="24"/>
          <w:szCs w:val="24"/>
        </w:rPr>
        <w:t>would be</w:t>
      </w:r>
      <w:r w:rsidRPr="00DA072E">
        <w:rPr>
          <w:noProof/>
          <w:spacing w:val="-8"/>
          <w:sz w:val="24"/>
          <w:szCs w:val="24"/>
        </w:rPr>
        <w:t xml:space="preserve"> sufficient to change passenger decisions</w:t>
      </w:r>
      <w:r>
        <w:rPr>
          <w:noProof/>
          <w:spacing w:val="-8"/>
          <w:sz w:val="24"/>
          <w:szCs w:val="24"/>
        </w:rPr>
        <w:t>. It would not</w:t>
      </w:r>
      <w:r w:rsidRPr="00DA072E">
        <w:rPr>
          <w:noProof/>
          <w:spacing w:val="-8"/>
          <w:sz w:val="24"/>
          <w:szCs w:val="24"/>
        </w:rPr>
        <w:t xml:space="preserve"> reduce ticket prices within</w:t>
      </w:r>
      <w:r>
        <w:rPr>
          <w:noProof/>
          <w:spacing w:val="-8"/>
          <w:sz w:val="24"/>
          <w:szCs w:val="24"/>
        </w:rPr>
        <w:t xml:space="preserve"> the </w:t>
      </w:r>
      <w:r w:rsidRPr="00DA072E">
        <w:rPr>
          <w:noProof/>
          <w:spacing w:val="-8"/>
          <w:sz w:val="24"/>
          <w:szCs w:val="24"/>
        </w:rPr>
        <w:t>mode</w:t>
      </w:r>
      <w:r>
        <w:rPr>
          <w:noProof/>
          <w:spacing w:val="-8"/>
          <w:sz w:val="24"/>
          <w:szCs w:val="24"/>
        </w:rPr>
        <w:t xml:space="preserve"> but </w:t>
      </w:r>
      <w:r w:rsidRPr="00DA072E">
        <w:rPr>
          <w:noProof/>
          <w:spacing w:val="-8"/>
          <w:sz w:val="24"/>
          <w:szCs w:val="24"/>
        </w:rPr>
        <w:t xml:space="preserve">through the transfer of transport activity from one mode to another. </w:t>
      </w:r>
    </w:p>
    <w:p w14:paraId="0A55AB3D" w14:textId="30CC3B54" w:rsidR="000613FB" w:rsidRPr="00A31802" w:rsidRDefault="000613FB" w:rsidP="008C65E6">
      <w:pPr>
        <w:spacing w:after="240"/>
        <w:jc w:val="both"/>
        <w:rPr>
          <w:rFonts w:eastAsia="Aptos"/>
          <w:noProof/>
          <w:spacing w:val="-8"/>
          <w:kern w:val="2"/>
          <w14:ligatures w14:val="standardContextual"/>
        </w:rPr>
      </w:pPr>
      <w:r>
        <w:rPr>
          <w:noProof/>
          <w:spacing w:val="-8"/>
        </w:rPr>
        <w:t xml:space="preserve">For the reasons above, the impacts on travel time are used as direct inputs in the ASTRA model while the impacts on </w:t>
      </w:r>
      <w:r w:rsidR="00761BAF">
        <w:rPr>
          <w:noProof/>
        </w:rPr>
        <w:t xml:space="preserve">user costs </w:t>
      </w:r>
      <w:r>
        <w:rPr>
          <w:noProof/>
          <w:spacing w:val="-8"/>
        </w:rPr>
        <w:t xml:space="preserve">are assessed based on the </w:t>
      </w:r>
      <w:r w:rsidRPr="00A31802">
        <w:rPr>
          <w:noProof/>
          <w:spacing w:val="-8"/>
        </w:rPr>
        <w:t>changes</w:t>
      </w:r>
      <w:r w:rsidR="00761BAF">
        <w:rPr>
          <w:noProof/>
        </w:rPr>
        <w:t xml:space="preserve"> in average expenditure per person for interurban mobility</w:t>
      </w:r>
      <w:r w:rsidRPr="00A31802">
        <w:rPr>
          <w:noProof/>
          <w:spacing w:val="-8"/>
        </w:rPr>
        <w:t xml:space="preserve"> resulting from the modal shift</w:t>
      </w:r>
      <w:r>
        <w:rPr>
          <w:noProof/>
          <w:spacing w:val="-8"/>
        </w:rPr>
        <w:t>.</w:t>
      </w:r>
      <w:r w:rsidRPr="00A31802">
        <w:rPr>
          <w:noProof/>
          <w:spacing w:val="-8"/>
        </w:rPr>
        <w:t xml:space="preserve"> </w:t>
      </w:r>
      <w:r>
        <w:rPr>
          <w:noProof/>
          <w:spacing w:val="-8"/>
        </w:rPr>
        <w:t xml:space="preserve">Neither the travel time </w:t>
      </w:r>
      <w:r w:rsidR="00207FE1">
        <w:rPr>
          <w:noProof/>
        </w:rPr>
        <w:t>nor</w:t>
      </w:r>
      <w:r>
        <w:rPr>
          <w:noProof/>
          <w:spacing w:val="-8"/>
        </w:rPr>
        <w:t xml:space="preserve"> the price are </w:t>
      </w:r>
      <w:r w:rsidRPr="7C415DE3">
        <w:rPr>
          <w:rFonts w:eastAsiaTheme="minorEastAsia"/>
          <w:noProof/>
          <w:spacing w:val="-8"/>
        </w:rPr>
        <w:t xml:space="preserve">further </w:t>
      </w:r>
      <w:r>
        <w:rPr>
          <w:noProof/>
          <w:spacing w:val="-8"/>
        </w:rPr>
        <w:t xml:space="preserve">considered part of the </w:t>
      </w:r>
      <w:r w:rsidRPr="7C415DE3">
        <w:rPr>
          <w:rFonts w:eastAsiaTheme="minorEastAsia"/>
          <w:noProof/>
          <w:spacing w:val="-8"/>
        </w:rPr>
        <w:t xml:space="preserve">qualitative parameters </w:t>
      </w:r>
      <w:r>
        <w:rPr>
          <w:noProof/>
          <w:spacing w:val="-8"/>
        </w:rPr>
        <w:t>of the</w:t>
      </w:r>
      <w:r w:rsidRPr="7C415DE3">
        <w:rPr>
          <w:rFonts w:eastAsiaTheme="minorEastAsia"/>
          <w:noProof/>
          <w:spacing w:val="-8"/>
        </w:rPr>
        <w:t xml:space="preserve"> MPA</w:t>
      </w:r>
      <w:r>
        <w:rPr>
          <w:noProof/>
          <w:spacing w:val="-8"/>
        </w:rPr>
        <w:t xml:space="preserve"> module</w:t>
      </w:r>
      <w:r w:rsidRPr="7C415DE3">
        <w:rPr>
          <w:rFonts w:eastAsiaTheme="minorEastAsia"/>
          <w:noProof/>
          <w:spacing w:val="-8"/>
        </w:rPr>
        <w:t>.</w:t>
      </w:r>
      <w:r w:rsidRPr="00A31802">
        <w:rPr>
          <w:rFonts w:eastAsia="Aptos"/>
          <w:noProof/>
          <w:spacing w:val="-8"/>
          <w:kern w:val="2"/>
          <w14:ligatures w14:val="standardContextual"/>
        </w:rPr>
        <w:t xml:space="preserve"> </w:t>
      </w:r>
    </w:p>
    <w:p w14:paraId="33EB2809" w14:textId="40341556" w:rsidR="00911BCD" w:rsidRPr="00F35F37" w:rsidRDefault="00911BCD" w:rsidP="006A1EEA">
      <w:pPr>
        <w:spacing w:after="240"/>
        <w:jc w:val="both"/>
        <w:rPr>
          <w:rFonts w:eastAsia="Aptos"/>
          <w:noProof/>
          <w:spacing w:val="-8"/>
          <w:kern w:val="2"/>
          <w14:ligatures w14:val="standardContextual"/>
        </w:rPr>
      </w:pPr>
      <w:r w:rsidRPr="00A1455F">
        <w:rPr>
          <w:rFonts w:eastAsia="Aptos"/>
          <w:i/>
          <w:noProof/>
          <w:spacing w:val="-8"/>
          <w:kern w:val="2"/>
          <w14:ligatures w14:val="standardContextual"/>
        </w:rPr>
        <w:t xml:space="preserve">Ease of </w:t>
      </w:r>
      <w:r w:rsidR="00627F61" w:rsidRPr="00A1455F">
        <w:rPr>
          <w:rFonts w:eastAsia="Aptos"/>
          <w:i/>
          <w:noProof/>
          <w:spacing w:val="-8"/>
          <w:kern w:val="2"/>
          <w14:ligatures w14:val="standardContextual"/>
        </w:rPr>
        <w:t>transfers</w:t>
      </w:r>
      <w:r w:rsidRPr="00A1455F">
        <w:rPr>
          <w:rFonts w:eastAsia="Aptos"/>
          <w:i/>
          <w:noProof/>
          <w:spacing w:val="-8"/>
          <w:kern w:val="2"/>
          <w14:ligatures w14:val="standardContextual"/>
        </w:rPr>
        <w:t>/</w:t>
      </w:r>
      <w:r w:rsidR="00627F61" w:rsidRPr="00A1455F">
        <w:rPr>
          <w:rFonts w:eastAsia="Aptos"/>
          <w:i/>
          <w:noProof/>
          <w:spacing w:val="-8"/>
          <w:kern w:val="2"/>
          <w14:ligatures w14:val="standardContextual"/>
        </w:rPr>
        <w:t>interchanges</w:t>
      </w:r>
      <w:r w:rsidR="00627F61" w:rsidRPr="00F35F37">
        <w:rPr>
          <w:rFonts w:eastAsia="Aptos"/>
          <w:noProof/>
          <w:spacing w:val="-8"/>
          <w:kern w:val="2"/>
          <w14:ligatures w14:val="standardContextual"/>
        </w:rPr>
        <w:t xml:space="preserve"> </w:t>
      </w:r>
      <w:r w:rsidRPr="00F35F37">
        <w:rPr>
          <w:rFonts w:eastAsia="Aptos"/>
          <w:noProof/>
          <w:spacing w:val="-8"/>
          <w:kern w:val="2"/>
          <w14:ligatures w14:val="standardContextual"/>
        </w:rPr>
        <w:t xml:space="preserve">was the next most common barrier to multimodal travel, closely linked to </w:t>
      </w:r>
      <w:r w:rsidRPr="00A1455F">
        <w:rPr>
          <w:rFonts w:eastAsia="Aptos"/>
          <w:i/>
          <w:noProof/>
          <w:spacing w:val="-8"/>
          <w:kern w:val="2"/>
          <w14:ligatures w14:val="standardContextual"/>
        </w:rPr>
        <w:t>Reliability</w:t>
      </w:r>
      <w:r w:rsidRPr="00F35F37">
        <w:rPr>
          <w:rFonts w:eastAsia="Aptos"/>
          <w:noProof/>
          <w:spacing w:val="-8"/>
          <w:kern w:val="2"/>
          <w14:ligatures w14:val="standardContextual"/>
        </w:rPr>
        <w:t>.</w:t>
      </w:r>
      <w:r w:rsidRPr="00F35F37">
        <w:rPr>
          <w:rFonts w:eastAsia="Aptos"/>
          <w:b/>
          <w:noProof/>
          <w:spacing w:val="-8"/>
          <w:kern w:val="2"/>
          <w14:ligatures w14:val="standardContextual"/>
        </w:rPr>
        <w:t xml:space="preserve"> </w:t>
      </w:r>
      <w:r w:rsidRPr="00F35F37">
        <w:rPr>
          <w:rFonts w:eastAsia="Aptos"/>
          <w:noProof/>
          <w:spacing w:val="-8"/>
          <w:kern w:val="2"/>
          <w14:ligatures w14:val="standardContextual"/>
        </w:rPr>
        <w:t>The response “I did not want to buy several separate tickets and risk being stranded if I miss a connection” was the 5</w:t>
      </w:r>
      <w:r w:rsidRPr="00F35F37">
        <w:rPr>
          <w:rFonts w:eastAsia="Aptos"/>
          <w:noProof/>
          <w:spacing w:val="-8"/>
          <w:kern w:val="2"/>
          <w:vertAlign w:val="superscript"/>
          <w14:ligatures w14:val="standardContextual"/>
        </w:rPr>
        <w:t>th</w:t>
      </w:r>
      <w:r w:rsidRPr="00F35F37">
        <w:rPr>
          <w:rFonts w:eastAsia="Aptos"/>
          <w:noProof/>
          <w:spacing w:val="-8"/>
          <w:kern w:val="2"/>
          <w14:ligatures w14:val="standardContextual"/>
        </w:rPr>
        <w:t xml:space="preserve"> most common barrier cited to multimodal travel and 4</w:t>
      </w:r>
      <w:r w:rsidRPr="00F35F37">
        <w:rPr>
          <w:rFonts w:eastAsia="Aptos"/>
          <w:noProof/>
          <w:spacing w:val="-8"/>
          <w:kern w:val="2"/>
          <w:vertAlign w:val="superscript"/>
          <w14:ligatures w14:val="standardContextual"/>
        </w:rPr>
        <w:t>th</w:t>
      </w:r>
      <w:r w:rsidRPr="00F35F37">
        <w:rPr>
          <w:rFonts w:eastAsia="Aptos"/>
          <w:noProof/>
          <w:spacing w:val="-8"/>
          <w:kern w:val="2"/>
          <w14:ligatures w14:val="standardContextual"/>
        </w:rPr>
        <w:t xml:space="preserve"> for rail-rail travel. </w:t>
      </w:r>
      <w:r>
        <w:rPr>
          <w:rFonts w:eastAsia="Aptos"/>
          <w:noProof/>
          <w:spacing w:val="-8"/>
          <w:kern w:val="2"/>
          <w14:ligatures w14:val="standardContextual"/>
        </w:rPr>
        <w:t>I</w:t>
      </w:r>
      <w:r w:rsidRPr="00F35F37">
        <w:rPr>
          <w:rFonts w:eastAsia="Aptos"/>
          <w:noProof/>
          <w:spacing w:val="-8"/>
          <w:kern w:val="2"/>
          <w14:ligatures w14:val="standardContextual"/>
        </w:rPr>
        <w:t xml:space="preserve">t is </w:t>
      </w:r>
      <w:r>
        <w:rPr>
          <w:rFonts w:eastAsia="Aptos"/>
          <w:noProof/>
          <w:spacing w:val="-8"/>
          <w:kern w:val="2"/>
          <w14:ligatures w14:val="standardContextual"/>
        </w:rPr>
        <w:t xml:space="preserve">seen as </w:t>
      </w:r>
      <w:r w:rsidRPr="00F35F37">
        <w:rPr>
          <w:rFonts w:eastAsia="Aptos"/>
          <w:noProof/>
          <w:spacing w:val="-8"/>
          <w:kern w:val="2"/>
          <w14:ligatures w14:val="standardContextual"/>
        </w:rPr>
        <w:t xml:space="preserve">a barrier </w:t>
      </w:r>
      <w:r>
        <w:rPr>
          <w:rFonts w:eastAsia="Aptos"/>
          <w:noProof/>
          <w:spacing w:val="-8"/>
          <w:kern w:val="2"/>
          <w14:ligatures w14:val="standardContextual"/>
        </w:rPr>
        <w:t>by</w:t>
      </w:r>
      <w:r w:rsidRPr="00F35F37">
        <w:rPr>
          <w:rFonts w:eastAsia="Aptos"/>
          <w:noProof/>
          <w:spacing w:val="-8"/>
          <w:kern w:val="2"/>
          <w14:ligatures w14:val="standardContextual"/>
        </w:rPr>
        <w:t xml:space="preserve"> about 13% of </w:t>
      </w:r>
      <w:r>
        <w:rPr>
          <w:rFonts w:eastAsia="Aptos"/>
          <w:noProof/>
          <w:spacing w:val="-8"/>
          <w:kern w:val="2"/>
          <w14:ligatures w14:val="standardContextual"/>
        </w:rPr>
        <w:t>respondents</w:t>
      </w:r>
      <w:r w:rsidRPr="00F35F37">
        <w:rPr>
          <w:rFonts w:eastAsia="Aptos"/>
          <w:noProof/>
          <w:spacing w:val="-8"/>
          <w:kern w:val="2"/>
          <w14:ligatures w14:val="standardContextual"/>
        </w:rPr>
        <w:t xml:space="preserve">. Fears of a missed connection could be motivated by short connections (aligning to Ease of Transfers/Interchanges) and/or delays to prior legs (aligning more to Reliability). Therefore, both are retained for further consideration. </w:t>
      </w:r>
    </w:p>
    <w:p w14:paraId="5F6BB749" w14:textId="77777777" w:rsidR="00911BCD" w:rsidRPr="00F35F37" w:rsidRDefault="00911BCD" w:rsidP="006A1EEA">
      <w:pPr>
        <w:spacing w:after="240"/>
        <w:jc w:val="both"/>
        <w:rPr>
          <w:rFonts w:eastAsia="Aptos"/>
          <w:noProof/>
          <w:spacing w:val="-8"/>
          <w:kern w:val="2"/>
          <w14:ligatures w14:val="standardContextual"/>
        </w:rPr>
      </w:pPr>
      <w:r w:rsidRPr="00A1455F">
        <w:rPr>
          <w:rFonts w:eastAsia="Aptos"/>
          <w:i/>
          <w:noProof/>
          <w:spacing w:val="-8"/>
          <w:kern w:val="2"/>
          <w14:ligatures w14:val="standardContextual"/>
        </w:rPr>
        <w:t>Convenience</w:t>
      </w:r>
      <w:r w:rsidRPr="00A1455F">
        <w:rPr>
          <w:rFonts w:eastAsia="Aptos"/>
          <w:noProof/>
          <w:spacing w:val="-8"/>
          <w:kern w:val="2"/>
          <w14:ligatures w14:val="standardContextual"/>
        </w:rPr>
        <w:t>,</w:t>
      </w:r>
      <w:r w:rsidRPr="00F35F37">
        <w:rPr>
          <w:rFonts w:eastAsia="Aptos"/>
          <w:noProof/>
          <w:spacing w:val="-8"/>
          <w:kern w:val="2"/>
          <w14:ligatures w14:val="standardContextual"/>
        </w:rPr>
        <w:t xml:space="preserve"> including ease of booking, was a relatively less important barrier to booking online and/or booking multimodal travel.</w:t>
      </w:r>
      <w:r w:rsidRPr="00F35F37">
        <w:rPr>
          <w:rFonts w:eastAsia="Aptos"/>
          <w:b/>
          <w:noProof/>
          <w:spacing w:val="-8"/>
          <w:kern w:val="2"/>
          <w14:ligatures w14:val="standardContextual"/>
        </w:rPr>
        <w:t xml:space="preserve"> </w:t>
      </w:r>
      <w:r w:rsidRPr="00F35F37">
        <w:rPr>
          <w:rFonts w:eastAsia="Aptos"/>
          <w:noProof/>
          <w:spacing w:val="-8"/>
          <w:kern w:val="2"/>
          <w14:ligatures w14:val="standardContextual"/>
        </w:rPr>
        <w:t xml:space="preserve">Only 4-11% of </w:t>
      </w:r>
      <w:r>
        <w:rPr>
          <w:rFonts w:eastAsia="Aptos"/>
          <w:noProof/>
          <w:spacing w:val="-8"/>
          <w:kern w:val="2"/>
          <w14:ligatures w14:val="standardContextual"/>
        </w:rPr>
        <w:t>respondents</w:t>
      </w:r>
      <w:r w:rsidRPr="00F35F37">
        <w:rPr>
          <w:rFonts w:eastAsia="Aptos"/>
          <w:noProof/>
          <w:spacing w:val="-8"/>
          <w:kern w:val="2"/>
          <w14:ligatures w14:val="standardContextual"/>
        </w:rPr>
        <w:t xml:space="preserve"> </w:t>
      </w:r>
      <w:r>
        <w:rPr>
          <w:rFonts w:eastAsia="Aptos"/>
          <w:noProof/>
          <w:spacing w:val="-8"/>
          <w:kern w:val="2"/>
          <w14:ligatures w14:val="standardContextual"/>
        </w:rPr>
        <w:t xml:space="preserve">felt </w:t>
      </w:r>
      <w:r w:rsidRPr="00F35F37">
        <w:rPr>
          <w:rFonts w:eastAsia="Aptos"/>
          <w:noProof/>
          <w:spacing w:val="-8"/>
          <w:kern w:val="2"/>
          <w14:ligatures w14:val="standardContextual"/>
        </w:rPr>
        <w:t xml:space="preserve">this </w:t>
      </w:r>
      <w:r>
        <w:rPr>
          <w:rFonts w:eastAsia="Aptos"/>
          <w:noProof/>
          <w:spacing w:val="-8"/>
          <w:kern w:val="2"/>
          <w14:ligatures w14:val="standardContextual"/>
        </w:rPr>
        <w:t xml:space="preserve">as </w:t>
      </w:r>
      <w:r w:rsidRPr="00F35F37">
        <w:rPr>
          <w:rFonts w:eastAsia="Aptos"/>
          <w:noProof/>
          <w:spacing w:val="-8"/>
          <w:kern w:val="2"/>
          <w14:ligatures w14:val="standardContextual"/>
        </w:rPr>
        <w:t xml:space="preserve">a barrier. However, given the importance of </w:t>
      </w:r>
      <w:r>
        <w:rPr>
          <w:rFonts w:eastAsia="Aptos"/>
          <w:noProof/>
          <w:spacing w:val="-8"/>
          <w:kern w:val="2"/>
          <w14:ligatures w14:val="standardContextual"/>
        </w:rPr>
        <w:t>the</w:t>
      </w:r>
      <w:r w:rsidRPr="00F35F37">
        <w:rPr>
          <w:rFonts w:eastAsia="Aptos"/>
          <w:noProof/>
          <w:spacing w:val="-8"/>
          <w:kern w:val="2"/>
          <w14:ligatures w14:val="standardContextual"/>
        </w:rPr>
        <w:t xml:space="preserve"> factor for the rail sector and its relevance </w:t>
      </w:r>
      <w:r>
        <w:rPr>
          <w:rFonts w:eastAsia="Aptos"/>
          <w:noProof/>
          <w:spacing w:val="-8"/>
          <w:kern w:val="2"/>
          <w14:ligatures w14:val="standardContextual"/>
        </w:rPr>
        <w:t>for</w:t>
      </w:r>
      <w:r w:rsidRPr="00F35F37">
        <w:rPr>
          <w:rFonts w:eastAsia="Aptos"/>
          <w:noProof/>
          <w:spacing w:val="-8"/>
          <w:kern w:val="2"/>
          <w14:ligatures w14:val="standardContextual"/>
        </w:rPr>
        <w:t xml:space="preserve"> the policy measures, it </w:t>
      </w:r>
      <w:r>
        <w:rPr>
          <w:rFonts w:eastAsia="Aptos"/>
          <w:noProof/>
          <w:spacing w:val="-8"/>
          <w:kern w:val="2"/>
          <w14:ligatures w14:val="standardContextual"/>
        </w:rPr>
        <w:t xml:space="preserve">was retained </w:t>
      </w:r>
      <w:r w:rsidRPr="00F35F37">
        <w:rPr>
          <w:rFonts w:eastAsia="Aptos"/>
          <w:noProof/>
          <w:spacing w:val="-8"/>
          <w:kern w:val="2"/>
          <w14:ligatures w14:val="standardContextual"/>
        </w:rPr>
        <w:t>for further consideration.</w:t>
      </w:r>
      <w:r w:rsidRPr="00F35F37">
        <w:rPr>
          <w:rFonts w:eastAsia="Aptos"/>
          <w:i/>
          <w:noProof/>
          <w:spacing w:val="-8"/>
          <w:kern w:val="2"/>
          <w14:ligatures w14:val="standardContextual"/>
        </w:rPr>
        <w:t xml:space="preserve"> </w:t>
      </w:r>
    </w:p>
    <w:p w14:paraId="37156DED" w14:textId="42635971" w:rsidR="00911BCD" w:rsidRDefault="00911BCD" w:rsidP="006A1EEA">
      <w:pPr>
        <w:spacing w:after="240"/>
        <w:jc w:val="both"/>
        <w:rPr>
          <w:rFonts w:eastAsia="Aptos"/>
          <w:noProof/>
          <w:spacing w:val="-8"/>
          <w:kern w:val="2"/>
          <w14:ligatures w14:val="standardContextual"/>
        </w:rPr>
      </w:pPr>
      <w:r w:rsidRPr="00A1455F">
        <w:rPr>
          <w:rFonts w:eastAsia="Aptos"/>
          <w:i/>
          <w:noProof/>
          <w:spacing w:val="-8"/>
          <w:kern w:val="2"/>
          <w14:ligatures w14:val="standardContextual"/>
        </w:rPr>
        <w:t>Accessibility</w:t>
      </w:r>
      <w:r w:rsidRPr="00F35F37">
        <w:rPr>
          <w:rFonts w:eastAsia="Aptos"/>
          <w:b/>
          <w:noProof/>
          <w:spacing w:val="-8"/>
          <w:kern w:val="2"/>
          <w14:ligatures w14:val="standardContextual"/>
        </w:rPr>
        <w:t xml:space="preserve"> </w:t>
      </w:r>
      <w:r w:rsidRPr="00F35F37">
        <w:rPr>
          <w:rFonts w:eastAsia="Aptos"/>
          <w:noProof/>
          <w:spacing w:val="-8"/>
          <w:kern w:val="2"/>
          <w14:ligatures w14:val="standardContextual"/>
        </w:rPr>
        <w:t>was identified as a barrier of relatively lower importance (4-7% of respondents).</w:t>
      </w:r>
      <w:r w:rsidRPr="00F35F37">
        <w:rPr>
          <w:rFonts w:eastAsia="Aptos"/>
          <w:b/>
          <w:noProof/>
          <w:spacing w:val="-8"/>
          <w:kern w:val="2"/>
          <w14:ligatures w14:val="standardContextual"/>
        </w:rPr>
        <w:t xml:space="preserve"> </w:t>
      </w:r>
      <w:r w:rsidRPr="00F35F37">
        <w:rPr>
          <w:rFonts w:eastAsia="Aptos"/>
          <w:noProof/>
          <w:spacing w:val="-8"/>
          <w:kern w:val="2"/>
          <w14:ligatures w14:val="standardContextual"/>
        </w:rPr>
        <w:t>The response “I did not know where to search for such travel information” was attributed to Accessibility</w:t>
      </w:r>
      <w:r>
        <w:rPr>
          <w:rFonts w:eastAsia="Aptos"/>
          <w:noProof/>
          <w:spacing w:val="-8"/>
          <w:kern w:val="2"/>
          <w14:ligatures w14:val="standardContextual"/>
        </w:rPr>
        <w:t xml:space="preserve">. It </w:t>
      </w:r>
      <w:r w:rsidRPr="00F35F37">
        <w:rPr>
          <w:rFonts w:eastAsia="Aptos"/>
          <w:noProof/>
          <w:spacing w:val="-8"/>
          <w:kern w:val="2"/>
          <w14:ligatures w14:val="standardContextual"/>
        </w:rPr>
        <w:t xml:space="preserve">could </w:t>
      </w:r>
      <w:r>
        <w:rPr>
          <w:rFonts w:eastAsia="Aptos"/>
          <w:noProof/>
          <w:spacing w:val="-8"/>
          <w:kern w:val="2"/>
          <w14:ligatures w14:val="standardContextual"/>
        </w:rPr>
        <w:t xml:space="preserve">have however also </w:t>
      </w:r>
      <w:r w:rsidRPr="00F35F37">
        <w:rPr>
          <w:rFonts w:eastAsia="Aptos"/>
          <w:noProof/>
          <w:spacing w:val="-8"/>
          <w:kern w:val="2"/>
          <w14:ligatures w14:val="standardContextual"/>
        </w:rPr>
        <w:t xml:space="preserve">been attributed to Information Provision or Convenience given that it relates to the ease of accessing </w:t>
      </w:r>
      <w:r w:rsidRPr="00F35F37">
        <w:rPr>
          <w:rFonts w:eastAsia="Aptos"/>
          <w:i/>
          <w:noProof/>
          <w:spacing w:val="-8"/>
          <w:kern w:val="2"/>
          <w14:ligatures w14:val="standardContextual"/>
        </w:rPr>
        <w:t xml:space="preserve">information, </w:t>
      </w:r>
      <w:r w:rsidRPr="00F35F37">
        <w:rPr>
          <w:rFonts w:eastAsia="Aptos"/>
          <w:noProof/>
          <w:spacing w:val="-8"/>
          <w:kern w:val="2"/>
          <w14:ligatures w14:val="standardContextual"/>
        </w:rPr>
        <w:t xml:space="preserve">rather than the availability of the transport service itself. This factor was discarded </w:t>
      </w:r>
      <w:r>
        <w:rPr>
          <w:rFonts w:eastAsia="Aptos"/>
          <w:noProof/>
          <w:spacing w:val="-8"/>
          <w:kern w:val="2"/>
          <w14:ligatures w14:val="standardContextual"/>
        </w:rPr>
        <w:t>because of</w:t>
      </w:r>
      <w:r w:rsidRPr="00F35F37">
        <w:rPr>
          <w:rFonts w:eastAsia="Aptos"/>
          <w:noProof/>
          <w:spacing w:val="-8"/>
          <w:kern w:val="2"/>
          <w14:ligatures w14:val="standardContextual"/>
        </w:rPr>
        <w:t xml:space="preserve"> its lower importance</w:t>
      </w:r>
      <w:r>
        <w:rPr>
          <w:rFonts w:eastAsia="Aptos"/>
          <w:noProof/>
          <w:spacing w:val="-8"/>
          <w:kern w:val="2"/>
          <w14:ligatures w14:val="standardContextual"/>
        </w:rPr>
        <w:t xml:space="preserve"> and</w:t>
      </w:r>
      <w:r w:rsidRPr="00F35F37">
        <w:rPr>
          <w:rFonts w:eastAsia="Aptos"/>
          <w:noProof/>
          <w:spacing w:val="-8"/>
          <w:kern w:val="2"/>
          <w14:ligatures w14:val="standardContextual"/>
        </w:rPr>
        <w:t xml:space="preserve"> other linked factors.</w:t>
      </w:r>
    </w:p>
    <w:p w14:paraId="5CD231E6" w14:textId="77777777" w:rsidR="00FB0556" w:rsidRPr="0020678D" w:rsidRDefault="00FB0556" w:rsidP="00A411F7">
      <w:pPr>
        <w:spacing w:after="240"/>
        <w:jc w:val="both"/>
        <w:rPr>
          <w:rFonts w:eastAsia="Aptos"/>
          <w:noProof/>
          <w:spacing w:val="-8"/>
          <w:kern w:val="2"/>
          <w14:ligatures w14:val="standardContextual"/>
        </w:rPr>
      </w:pPr>
    </w:p>
    <w:p w14:paraId="251CB8E9" w14:textId="77777777" w:rsidR="00FB0556" w:rsidRDefault="00FB0556" w:rsidP="00E77D26">
      <w:pPr>
        <w:spacing w:after="240"/>
        <w:jc w:val="both"/>
        <w:rPr>
          <w:noProof/>
          <w:spacing w:val="-8"/>
        </w:rPr>
        <w:sectPr w:rsidR="00FB0556" w:rsidSect="00B669AA">
          <w:headerReference w:type="default" r:id="rId41"/>
          <w:footerReference w:type="default" r:id="rId42"/>
          <w:pgSz w:w="11910" w:h="16840"/>
          <w:pgMar w:top="1021" w:right="709" w:bottom="1021" w:left="1588" w:header="0" w:footer="1147" w:gutter="0"/>
          <w:cols w:space="720"/>
        </w:sectPr>
      </w:pPr>
    </w:p>
    <w:p w14:paraId="096DC87F" w14:textId="1E9FD077" w:rsidR="0001487E" w:rsidRPr="00535F59" w:rsidRDefault="0001487E" w:rsidP="0001487E">
      <w:pPr>
        <w:tabs>
          <w:tab w:val="left" w:pos="1134"/>
        </w:tabs>
        <w:rPr>
          <w:i/>
          <w:noProof/>
          <w:sz w:val="22"/>
          <w:szCs w:val="22"/>
        </w:rPr>
      </w:pPr>
      <w:bookmarkStart w:id="331" w:name="_Ref222258453"/>
      <w:r w:rsidRPr="00535F59">
        <w:rPr>
          <w:i/>
          <w:noProof/>
          <w:sz w:val="22"/>
          <w:szCs w:val="22"/>
        </w:rPr>
        <w:t xml:space="preserve">Table </w:t>
      </w:r>
      <w:r w:rsidRPr="00535F59">
        <w:rPr>
          <w:i/>
          <w:noProof/>
          <w:sz w:val="22"/>
          <w:szCs w:val="22"/>
        </w:rPr>
        <w:fldChar w:fldCharType="begin"/>
      </w:r>
      <w:r w:rsidRPr="00535F59">
        <w:rPr>
          <w:i/>
          <w:noProof/>
          <w:sz w:val="22"/>
          <w:szCs w:val="22"/>
        </w:rPr>
        <w:instrText xml:space="preserve"> SEQ Table \* ARABIC </w:instrText>
      </w:r>
      <w:r w:rsidRPr="00535F59">
        <w:rPr>
          <w:i/>
          <w:noProof/>
          <w:sz w:val="22"/>
          <w:szCs w:val="22"/>
        </w:rPr>
        <w:fldChar w:fldCharType="separate"/>
      </w:r>
      <w:r w:rsidR="0055391F">
        <w:rPr>
          <w:i/>
          <w:noProof/>
          <w:sz w:val="22"/>
          <w:szCs w:val="22"/>
        </w:rPr>
        <w:t>41</w:t>
      </w:r>
      <w:r w:rsidRPr="00535F59">
        <w:rPr>
          <w:i/>
          <w:noProof/>
          <w:sz w:val="22"/>
          <w:szCs w:val="22"/>
        </w:rPr>
        <w:fldChar w:fldCharType="end"/>
      </w:r>
      <w:bookmarkEnd w:id="331"/>
      <w:r w:rsidRPr="00535F59">
        <w:rPr>
          <w:i/>
          <w:noProof/>
          <w:sz w:val="22"/>
          <w:szCs w:val="22"/>
        </w:rPr>
        <w:t xml:space="preserve">: </w:t>
      </w:r>
      <w:r w:rsidR="00B35C23" w:rsidRPr="00535F59">
        <w:rPr>
          <w:i/>
          <w:noProof/>
          <w:sz w:val="22"/>
          <w:szCs w:val="22"/>
        </w:rPr>
        <w:t>Long list of factors affecting modal choice and screening of their relevance for the policy measures</w:t>
      </w:r>
    </w:p>
    <w:tbl>
      <w:tblPr>
        <w:tblpPr w:leftFromText="180" w:rightFromText="180" w:vertAnchor="text" w:tblpY="1"/>
        <w:tblOverlap w:val="neve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552"/>
        <w:gridCol w:w="2268"/>
        <w:gridCol w:w="7479"/>
      </w:tblGrid>
      <w:tr w:rsidR="00952431" w:rsidRPr="004243FA" w14:paraId="14721ECB" w14:textId="77777777" w:rsidTr="000D7C3E">
        <w:trPr>
          <w:trHeight w:val="707"/>
          <w:tblHeader/>
        </w:trPr>
        <w:tc>
          <w:tcPr>
            <w:tcW w:w="1843" w:type="dxa"/>
            <w:shd w:val="clear" w:color="auto" w:fill="0070C0"/>
            <w:hideMark/>
          </w:tcPr>
          <w:p w14:paraId="48B6F2F9" w14:textId="77777777" w:rsidR="00952431" w:rsidRPr="00302960" w:rsidRDefault="00952431" w:rsidP="004232D2">
            <w:pPr>
              <w:jc w:val="center"/>
              <w:rPr>
                <w:b/>
                <w:noProof/>
                <w:color w:val="FFFFFF" w:themeColor="background1"/>
                <w:sz w:val="20"/>
                <w:szCs w:val="20"/>
              </w:rPr>
            </w:pPr>
            <w:r w:rsidRPr="00302960">
              <w:rPr>
                <w:b/>
                <w:noProof/>
                <w:color w:val="FFFFFF" w:themeColor="background1"/>
                <w:sz w:val="20"/>
                <w:szCs w:val="20"/>
              </w:rPr>
              <w:t>Factors affecting modal choice</w:t>
            </w:r>
          </w:p>
        </w:tc>
        <w:tc>
          <w:tcPr>
            <w:tcW w:w="2552" w:type="dxa"/>
            <w:shd w:val="clear" w:color="auto" w:fill="0070C0"/>
            <w:hideMark/>
          </w:tcPr>
          <w:p w14:paraId="2D942682" w14:textId="77777777" w:rsidR="00952431" w:rsidRPr="00302960" w:rsidRDefault="00952431" w:rsidP="004232D2">
            <w:pPr>
              <w:jc w:val="center"/>
              <w:rPr>
                <w:b/>
                <w:noProof/>
                <w:color w:val="FFFFFF" w:themeColor="background1"/>
                <w:sz w:val="20"/>
                <w:szCs w:val="20"/>
              </w:rPr>
            </w:pPr>
            <w:r w:rsidRPr="00302960">
              <w:rPr>
                <w:b/>
                <w:noProof/>
                <w:color w:val="FFFFFF" w:themeColor="background1"/>
                <w:sz w:val="20"/>
                <w:szCs w:val="20"/>
              </w:rPr>
              <w:t>Definition</w:t>
            </w:r>
          </w:p>
        </w:tc>
        <w:tc>
          <w:tcPr>
            <w:tcW w:w="2268" w:type="dxa"/>
            <w:shd w:val="clear" w:color="auto" w:fill="0070C0"/>
            <w:hideMark/>
          </w:tcPr>
          <w:p w14:paraId="279610DC" w14:textId="126BC6CC" w:rsidR="00952431" w:rsidRPr="00302960" w:rsidRDefault="00952431" w:rsidP="004232D2">
            <w:pPr>
              <w:jc w:val="center"/>
              <w:rPr>
                <w:b/>
                <w:noProof/>
                <w:color w:val="FFFFFF" w:themeColor="background1"/>
                <w:sz w:val="20"/>
                <w:szCs w:val="20"/>
              </w:rPr>
            </w:pPr>
            <w:r w:rsidRPr="00302960">
              <w:rPr>
                <w:b/>
                <w:noProof/>
                <w:color w:val="FFFFFF" w:themeColor="background1"/>
                <w:sz w:val="20"/>
                <w:szCs w:val="20"/>
              </w:rPr>
              <w:t xml:space="preserve">Relevant policy measures </w:t>
            </w:r>
          </w:p>
        </w:tc>
        <w:tc>
          <w:tcPr>
            <w:tcW w:w="7479" w:type="dxa"/>
            <w:shd w:val="clear" w:color="auto" w:fill="0070C0"/>
            <w:hideMark/>
          </w:tcPr>
          <w:p w14:paraId="43119446" w14:textId="77777777" w:rsidR="00952431" w:rsidRPr="00302960" w:rsidRDefault="00952431" w:rsidP="004232D2">
            <w:pPr>
              <w:jc w:val="center"/>
              <w:rPr>
                <w:b/>
                <w:noProof/>
                <w:color w:val="FFFFFF" w:themeColor="background1"/>
                <w:sz w:val="20"/>
                <w:szCs w:val="20"/>
              </w:rPr>
            </w:pPr>
            <w:r w:rsidRPr="00302960">
              <w:rPr>
                <w:b/>
                <w:noProof/>
                <w:color w:val="FFFFFF" w:themeColor="background1"/>
                <w:sz w:val="20"/>
                <w:szCs w:val="20"/>
              </w:rPr>
              <w:t>Justification</w:t>
            </w:r>
          </w:p>
        </w:tc>
      </w:tr>
      <w:tr w:rsidR="00952431" w:rsidRPr="004243FA" w14:paraId="20C80952" w14:textId="77777777" w:rsidTr="004232D2">
        <w:trPr>
          <w:trHeight w:val="965"/>
        </w:trPr>
        <w:tc>
          <w:tcPr>
            <w:tcW w:w="1843" w:type="dxa"/>
            <w:hideMark/>
          </w:tcPr>
          <w:p w14:paraId="791411A8" w14:textId="77777777" w:rsidR="00952431" w:rsidRPr="00302960" w:rsidRDefault="00952431" w:rsidP="004232D2">
            <w:pPr>
              <w:rPr>
                <w:b/>
                <w:noProof/>
                <w:sz w:val="20"/>
                <w:szCs w:val="20"/>
              </w:rPr>
            </w:pPr>
            <w:r w:rsidRPr="00302960">
              <w:rPr>
                <w:b/>
                <w:noProof/>
                <w:sz w:val="20"/>
                <w:szCs w:val="20"/>
              </w:rPr>
              <w:t>Travel Time</w:t>
            </w:r>
          </w:p>
        </w:tc>
        <w:tc>
          <w:tcPr>
            <w:tcW w:w="2552" w:type="dxa"/>
            <w:hideMark/>
          </w:tcPr>
          <w:p w14:paraId="11F657EA" w14:textId="77777777" w:rsidR="00952431" w:rsidRPr="00302960" w:rsidRDefault="00952431" w:rsidP="004232D2">
            <w:pPr>
              <w:rPr>
                <w:noProof/>
                <w:sz w:val="20"/>
                <w:szCs w:val="20"/>
              </w:rPr>
            </w:pPr>
            <w:r w:rsidRPr="00302960">
              <w:rPr>
                <w:noProof/>
                <w:sz w:val="20"/>
                <w:szCs w:val="20"/>
              </w:rPr>
              <w:t>The time spent for the entire door-to-door travel</w:t>
            </w:r>
          </w:p>
        </w:tc>
        <w:tc>
          <w:tcPr>
            <w:tcW w:w="2268" w:type="dxa"/>
            <w:hideMark/>
          </w:tcPr>
          <w:p w14:paraId="3297657B" w14:textId="781B2EE1" w:rsidR="00952431" w:rsidRPr="00302960" w:rsidRDefault="00952431" w:rsidP="004232D2">
            <w:pPr>
              <w:rPr>
                <w:noProof/>
                <w:sz w:val="20"/>
                <w:szCs w:val="20"/>
              </w:rPr>
            </w:pPr>
            <w:r w:rsidRPr="00302960">
              <w:rPr>
                <w:noProof/>
                <w:sz w:val="20"/>
                <w:szCs w:val="20"/>
              </w:rPr>
              <w:t>Direct: PM11-</w:t>
            </w:r>
            <w:r w:rsidR="00194FB0">
              <w:rPr>
                <w:noProof/>
                <w:sz w:val="20"/>
                <w:szCs w:val="20"/>
              </w:rPr>
              <w:t>PM</w:t>
            </w:r>
            <w:r w:rsidRPr="00302960">
              <w:rPr>
                <w:noProof/>
                <w:sz w:val="20"/>
                <w:szCs w:val="20"/>
              </w:rPr>
              <w:t>15</w:t>
            </w:r>
          </w:p>
          <w:p w14:paraId="751CDF5F" w14:textId="194EA3FF" w:rsidR="00952431" w:rsidRPr="00302960" w:rsidRDefault="00952431" w:rsidP="004232D2">
            <w:pPr>
              <w:rPr>
                <w:noProof/>
                <w:sz w:val="20"/>
                <w:szCs w:val="20"/>
              </w:rPr>
            </w:pPr>
            <w:r w:rsidRPr="00302960">
              <w:rPr>
                <w:noProof/>
                <w:sz w:val="20"/>
                <w:szCs w:val="20"/>
              </w:rPr>
              <w:t>Indirect: PM1-</w:t>
            </w:r>
            <w:r w:rsidR="00194FB0">
              <w:rPr>
                <w:noProof/>
                <w:sz w:val="20"/>
                <w:szCs w:val="20"/>
              </w:rPr>
              <w:t>PM</w:t>
            </w:r>
            <w:r w:rsidRPr="00302960">
              <w:rPr>
                <w:noProof/>
                <w:sz w:val="20"/>
                <w:szCs w:val="20"/>
              </w:rPr>
              <w:t>4</w:t>
            </w:r>
          </w:p>
        </w:tc>
        <w:tc>
          <w:tcPr>
            <w:tcW w:w="7479" w:type="dxa"/>
            <w:hideMark/>
          </w:tcPr>
          <w:p w14:paraId="6FB2287C" w14:textId="43173D8D" w:rsidR="00952431" w:rsidRPr="00302960" w:rsidRDefault="00952431" w:rsidP="004232D2">
            <w:pPr>
              <w:rPr>
                <w:noProof/>
                <w:sz w:val="20"/>
                <w:szCs w:val="20"/>
              </w:rPr>
            </w:pPr>
            <w:r w:rsidRPr="00302960">
              <w:rPr>
                <w:noProof/>
                <w:sz w:val="20"/>
                <w:szCs w:val="20"/>
              </w:rPr>
              <w:t>Specific obligations to prevent restrictive agreements (PM11-</w:t>
            </w:r>
            <w:r w:rsidR="00194FB0">
              <w:rPr>
                <w:noProof/>
                <w:sz w:val="20"/>
                <w:szCs w:val="20"/>
              </w:rPr>
              <w:t>PM</w:t>
            </w:r>
            <w:r w:rsidRPr="00302960">
              <w:rPr>
                <w:noProof/>
                <w:sz w:val="20"/>
                <w:szCs w:val="20"/>
              </w:rPr>
              <w:t>12) or enter agreements with willing counterparts (PM13-</w:t>
            </w:r>
            <w:r w:rsidR="00194FB0">
              <w:rPr>
                <w:noProof/>
                <w:sz w:val="20"/>
                <w:szCs w:val="20"/>
              </w:rPr>
              <w:t>PM</w:t>
            </w:r>
            <w:r w:rsidRPr="00302960">
              <w:rPr>
                <w:noProof/>
                <w:sz w:val="20"/>
                <w:szCs w:val="20"/>
              </w:rPr>
              <w:t>15) could lead to options being made available to consumers that may have lower total travel time. Fair treatment in B2B data sharing (PM1-</w:t>
            </w:r>
            <w:r w:rsidR="00194FB0">
              <w:rPr>
                <w:noProof/>
                <w:sz w:val="20"/>
                <w:szCs w:val="20"/>
              </w:rPr>
              <w:t>PM</w:t>
            </w:r>
            <w:r w:rsidRPr="00302960">
              <w:rPr>
                <w:noProof/>
                <w:sz w:val="20"/>
                <w:szCs w:val="20"/>
              </w:rPr>
              <w:t xml:space="preserve">4) could also indirectly lead to more options being made available to consumers. </w:t>
            </w:r>
          </w:p>
        </w:tc>
      </w:tr>
      <w:tr w:rsidR="00952431" w:rsidRPr="004243FA" w14:paraId="19F95BAA" w14:textId="77777777" w:rsidTr="004232D2">
        <w:trPr>
          <w:trHeight w:val="709"/>
        </w:trPr>
        <w:tc>
          <w:tcPr>
            <w:tcW w:w="1843" w:type="dxa"/>
            <w:hideMark/>
          </w:tcPr>
          <w:p w14:paraId="351A5466" w14:textId="77777777" w:rsidR="00952431" w:rsidRPr="00302960" w:rsidRDefault="00952431" w:rsidP="004232D2">
            <w:pPr>
              <w:rPr>
                <w:b/>
                <w:noProof/>
                <w:kern w:val="2"/>
                <w:sz w:val="20"/>
                <w:szCs w:val="20"/>
                <w14:ligatures w14:val="standardContextual"/>
              </w:rPr>
            </w:pPr>
            <w:r w:rsidRPr="00302960">
              <w:rPr>
                <w:b/>
                <w:noProof/>
                <w:kern w:val="2"/>
                <w:sz w:val="20"/>
                <w:szCs w:val="20"/>
                <w14:ligatures w14:val="standardContextual"/>
              </w:rPr>
              <w:t xml:space="preserve">Reliability </w:t>
            </w:r>
          </w:p>
        </w:tc>
        <w:tc>
          <w:tcPr>
            <w:tcW w:w="2552" w:type="dxa"/>
            <w:hideMark/>
          </w:tcPr>
          <w:p w14:paraId="4E249D14" w14:textId="77777777" w:rsidR="00952431" w:rsidRPr="00302960" w:rsidRDefault="00952431" w:rsidP="004232D2">
            <w:pPr>
              <w:rPr>
                <w:noProof/>
                <w:kern w:val="2"/>
                <w:sz w:val="20"/>
                <w:szCs w:val="20"/>
                <w14:ligatures w14:val="standardContextual"/>
              </w:rPr>
            </w:pPr>
            <w:r w:rsidRPr="00302960">
              <w:rPr>
                <w:noProof/>
                <w:kern w:val="2"/>
                <w:sz w:val="20"/>
                <w:szCs w:val="20"/>
                <w14:ligatures w14:val="standardContextual"/>
              </w:rPr>
              <w:t>How closely the actual service matches the route timetable</w:t>
            </w:r>
          </w:p>
        </w:tc>
        <w:tc>
          <w:tcPr>
            <w:tcW w:w="2268" w:type="dxa"/>
            <w:hideMark/>
          </w:tcPr>
          <w:p w14:paraId="6DAAE1CD" w14:textId="36C8EB65" w:rsidR="00952431" w:rsidRPr="00302960" w:rsidRDefault="00952431" w:rsidP="004232D2">
            <w:pPr>
              <w:rPr>
                <w:noProof/>
                <w:kern w:val="2"/>
                <w:sz w:val="20"/>
                <w:szCs w:val="20"/>
                <w14:ligatures w14:val="standardContextual"/>
              </w:rPr>
            </w:pPr>
            <w:r w:rsidRPr="00302960">
              <w:rPr>
                <w:noProof/>
                <w:kern w:val="2"/>
                <w:sz w:val="20"/>
                <w:szCs w:val="20"/>
                <w14:ligatures w14:val="standardContextual"/>
              </w:rPr>
              <w:t xml:space="preserve">Indirect: PM6, </w:t>
            </w:r>
            <w:r w:rsidRPr="00302960">
              <w:rPr>
                <w:noProof/>
                <w:sz w:val="20"/>
                <w:szCs w:val="20"/>
              </w:rPr>
              <w:t>PM11-</w:t>
            </w:r>
            <w:r w:rsidR="00194FB0">
              <w:rPr>
                <w:noProof/>
                <w:sz w:val="20"/>
                <w:szCs w:val="20"/>
              </w:rPr>
              <w:t>PM</w:t>
            </w:r>
            <w:r w:rsidRPr="00302960">
              <w:rPr>
                <w:noProof/>
                <w:sz w:val="20"/>
                <w:szCs w:val="20"/>
              </w:rPr>
              <w:t>15</w:t>
            </w:r>
          </w:p>
        </w:tc>
        <w:tc>
          <w:tcPr>
            <w:tcW w:w="7479" w:type="dxa"/>
            <w:hideMark/>
          </w:tcPr>
          <w:p w14:paraId="4FA577FF" w14:textId="3E1E4E3E" w:rsidR="00952431" w:rsidRPr="00302960" w:rsidRDefault="00952431" w:rsidP="004232D2">
            <w:pPr>
              <w:rPr>
                <w:noProof/>
                <w:kern w:val="2"/>
                <w:sz w:val="20"/>
                <w:szCs w:val="20"/>
                <w14:ligatures w14:val="standardContextual"/>
              </w:rPr>
            </w:pPr>
            <w:r w:rsidRPr="00302960">
              <w:rPr>
                <w:noProof/>
                <w:kern w:val="2"/>
                <w:sz w:val="20"/>
                <w:szCs w:val="20"/>
                <w14:ligatures w14:val="standardContextual"/>
              </w:rPr>
              <w:t>Policies promoting fair competition between MDMS platforms and operators (</w:t>
            </w:r>
            <w:r w:rsidRPr="00302960">
              <w:rPr>
                <w:noProof/>
                <w:sz w:val="20"/>
                <w:szCs w:val="20"/>
              </w:rPr>
              <w:t>PM11-</w:t>
            </w:r>
            <w:r w:rsidR="00194FB0">
              <w:rPr>
                <w:noProof/>
                <w:sz w:val="20"/>
                <w:szCs w:val="20"/>
              </w:rPr>
              <w:t>PM</w:t>
            </w:r>
            <w:r w:rsidRPr="00302960">
              <w:rPr>
                <w:noProof/>
                <w:sz w:val="20"/>
                <w:szCs w:val="20"/>
              </w:rPr>
              <w:t>15</w:t>
            </w:r>
            <w:r w:rsidRPr="00302960">
              <w:rPr>
                <w:noProof/>
                <w:kern w:val="2"/>
                <w:sz w:val="20"/>
                <w:szCs w:val="20"/>
                <w14:ligatures w14:val="standardContextual"/>
              </w:rPr>
              <w:t xml:space="preserve">) and related enforcement (PM6) could indirectly lead to improved accuracy of advance planning and real-time information provided to consumers. </w:t>
            </w:r>
          </w:p>
        </w:tc>
      </w:tr>
      <w:tr w:rsidR="00952431" w:rsidRPr="004243FA" w14:paraId="59C8E0BD" w14:textId="77777777" w:rsidTr="004232D2">
        <w:trPr>
          <w:trHeight w:val="692"/>
        </w:trPr>
        <w:tc>
          <w:tcPr>
            <w:tcW w:w="1843" w:type="dxa"/>
            <w:hideMark/>
          </w:tcPr>
          <w:p w14:paraId="0E3E3D10" w14:textId="77777777" w:rsidR="00952431" w:rsidRPr="00302960" w:rsidRDefault="00952431" w:rsidP="004232D2">
            <w:pPr>
              <w:rPr>
                <w:b/>
                <w:noProof/>
                <w:kern w:val="2"/>
                <w:sz w:val="20"/>
                <w:szCs w:val="20"/>
                <w14:ligatures w14:val="standardContextual"/>
              </w:rPr>
            </w:pPr>
            <w:r w:rsidRPr="00302960">
              <w:rPr>
                <w:b/>
                <w:noProof/>
                <w:kern w:val="2"/>
                <w:sz w:val="20"/>
                <w:szCs w:val="20"/>
                <w14:ligatures w14:val="standardContextual"/>
              </w:rPr>
              <w:t>Accessibility</w:t>
            </w:r>
          </w:p>
        </w:tc>
        <w:tc>
          <w:tcPr>
            <w:tcW w:w="2552" w:type="dxa"/>
            <w:hideMark/>
          </w:tcPr>
          <w:p w14:paraId="04B93A0D" w14:textId="77777777" w:rsidR="00952431" w:rsidRPr="00302960" w:rsidRDefault="00952431" w:rsidP="004232D2">
            <w:pPr>
              <w:rPr>
                <w:noProof/>
                <w:kern w:val="2"/>
                <w:sz w:val="20"/>
                <w:szCs w:val="20"/>
                <w14:ligatures w14:val="standardContextual"/>
              </w:rPr>
            </w:pPr>
            <w:r w:rsidRPr="00302960">
              <w:rPr>
                <w:noProof/>
                <w:kern w:val="2"/>
                <w:sz w:val="20"/>
                <w:szCs w:val="20"/>
                <w14:ligatures w14:val="standardContextual"/>
              </w:rPr>
              <w:t>The degree to which public transport is reasonably available to as many people as possible</w:t>
            </w:r>
          </w:p>
        </w:tc>
        <w:tc>
          <w:tcPr>
            <w:tcW w:w="2268" w:type="dxa"/>
            <w:hideMark/>
          </w:tcPr>
          <w:p w14:paraId="50F4B0C8" w14:textId="77777777" w:rsidR="00952431" w:rsidRPr="00302960" w:rsidRDefault="00952431" w:rsidP="004232D2">
            <w:pPr>
              <w:rPr>
                <w:noProof/>
                <w:kern w:val="2"/>
                <w:sz w:val="20"/>
                <w:szCs w:val="20"/>
                <w14:ligatures w14:val="standardContextual"/>
              </w:rPr>
            </w:pPr>
            <w:r w:rsidRPr="00302960">
              <w:rPr>
                <w:noProof/>
                <w:kern w:val="2"/>
                <w:sz w:val="20"/>
                <w:szCs w:val="20"/>
                <w14:ligatures w14:val="standardContextual"/>
              </w:rPr>
              <w:t>Indirect: PM7</w:t>
            </w:r>
          </w:p>
        </w:tc>
        <w:tc>
          <w:tcPr>
            <w:tcW w:w="7479" w:type="dxa"/>
            <w:hideMark/>
          </w:tcPr>
          <w:p w14:paraId="562EBB00" w14:textId="77777777" w:rsidR="00952431" w:rsidRPr="00302960" w:rsidRDefault="00952431" w:rsidP="004232D2">
            <w:pPr>
              <w:rPr>
                <w:noProof/>
                <w:kern w:val="2"/>
                <w:sz w:val="20"/>
                <w:szCs w:val="20"/>
                <w14:ligatures w14:val="standardContextual"/>
              </w:rPr>
            </w:pPr>
            <w:r w:rsidRPr="00302960">
              <w:rPr>
                <w:noProof/>
                <w:kern w:val="2"/>
                <w:sz w:val="20"/>
                <w:szCs w:val="20"/>
                <w14:ligatures w14:val="standardContextual"/>
              </w:rPr>
              <w:t>PM7 could enable public authorities to support the optimization of transport planning and enhance access to more consumers.</w:t>
            </w:r>
          </w:p>
        </w:tc>
      </w:tr>
      <w:tr w:rsidR="00952431" w:rsidRPr="004243FA" w14:paraId="1E2BC684" w14:textId="77777777" w:rsidTr="004232D2">
        <w:trPr>
          <w:trHeight w:val="1108"/>
        </w:trPr>
        <w:tc>
          <w:tcPr>
            <w:tcW w:w="1843" w:type="dxa"/>
          </w:tcPr>
          <w:p w14:paraId="0A62A887" w14:textId="77777777" w:rsidR="00952431" w:rsidRPr="00302960" w:rsidRDefault="00952431" w:rsidP="004232D2">
            <w:pPr>
              <w:rPr>
                <w:b/>
                <w:noProof/>
                <w:sz w:val="20"/>
                <w:szCs w:val="20"/>
              </w:rPr>
            </w:pPr>
            <w:r w:rsidRPr="00302960">
              <w:rPr>
                <w:b/>
                <w:noProof/>
                <w:sz w:val="20"/>
                <w:szCs w:val="20"/>
              </w:rPr>
              <w:t>Price</w:t>
            </w:r>
          </w:p>
        </w:tc>
        <w:tc>
          <w:tcPr>
            <w:tcW w:w="2552" w:type="dxa"/>
          </w:tcPr>
          <w:p w14:paraId="05E7EBCF" w14:textId="77777777" w:rsidR="00952431" w:rsidRPr="00302960" w:rsidRDefault="00952431" w:rsidP="004232D2">
            <w:pPr>
              <w:rPr>
                <w:noProof/>
                <w:sz w:val="20"/>
                <w:szCs w:val="20"/>
              </w:rPr>
            </w:pPr>
            <w:r w:rsidRPr="00302960">
              <w:rPr>
                <w:noProof/>
                <w:sz w:val="20"/>
                <w:szCs w:val="20"/>
              </w:rPr>
              <w:t>The monetary cost of travel</w:t>
            </w:r>
          </w:p>
        </w:tc>
        <w:tc>
          <w:tcPr>
            <w:tcW w:w="2268" w:type="dxa"/>
          </w:tcPr>
          <w:p w14:paraId="2D4E107C" w14:textId="674BD199" w:rsidR="00952431" w:rsidRPr="00302960" w:rsidRDefault="00952431" w:rsidP="004232D2">
            <w:pPr>
              <w:rPr>
                <w:noProof/>
                <w:sz w:val="20"/>
                <w:szCs w:val="20"/>
              </w:rPr>
            </w:pPr>
            <w:r w:rsidRPr="00302960">
              <w:rPr>
                <w:noProof/>
                <w:sz w:val="20"/>
                <w:szCs w:val="20"/>
              </w:rPr>
              <w:t>Direct:</w:t>
            </w:r>
            <w:r w:rsidR="00832046" w:rsidRPr="00302960">
              <w:rPr>
                <w:noProof/>
                <w:sz w:val="20"/>
                <w:szCs w:val="20"/>
              </w:rPr>
              <w:t xml:space="preserve"> </w:t>
            </w:r>
            <w:r w:rsidRPr="00302960">
              <w:rPr>
                <w:noProof/>
                <w:sz w:val="20"/>
                <w:szCs w:val="20"/>
              </w:rPr>
              <w:t>PM11-</w:t>
            </w:r>
            <w:r w:rsidR="00194FB0">
              <w:rPr>
                <w:noProof/>
                <w:sz w:val="20"/>
                <w:szCs w:val="20"/>
              </w:rPr>
              <w:t>PM</w:t>
            </w:r>
            <w:r w:rsidRPr="00302960">
              <w:rPr>
                <w:noProof/>
                <w:sz w:val="20"/>
                <w:szCs w:val="20"/>
              </w:rPr>
              <w:t>15</w:t>
            </w:r>
          </w:p>
          <w:p w14:paraId="26DB25F0" w14:textId="77777777" w:rsidR="00952431" w:rsidRPr="00302960" w:rsidRDefault="00952431" w:rsidP="004232D2">
            <w:pPr>
              <w:rPr>
                <w:noProof/>
                <w:sz w:val="20"/>
                <w:szCs w:val="20"/>
              </w:rPr>
            </w:pPr>
            <w:r w:rsidRPr="00302960">
              <w:rPr>
                <w:noProof/>
                <w:sz w:val="20"/>
                <w:szCs w:val="20"/>
              </w:rPr>
              <w:t>Indirect: all</w:t>
            </w:r>
          </w:p>
        </w:tc>
        <w:tc>
          <w:tcPr>
            <w:tcW w:w="7479" w:type="dxa"/>
          </w:tcPr>
          <w:p w14:paraId="404B2734" w14:textId="657DD023" w:rsidR="00952431" w:rsidRPr="00302960" w:rsidRDefault="00952431" w:rsidP="004232D2">
            <w:pPr>
              <w:rPr>
                <w:noProof/>
                <w:sz w:val="20"/>
                <w:szCs w:val="20"/>
              </w:rPr>
            </w:pPr>
            <w:r w:rsidRPr="00302960">
              <w:rPr>
                <w:noProof/>
                <w:sz w:val="20"/>
                <w:szCs w:val="20"/>
              </w:rPr>
              <w:t>Prevention of highly restrictive clauses (PM11-</w:t>
            </w:r>
            <w:r w:rsidR="00194FB0">
              <w:rPr>
                <w:noProof/>
                <w:sz w:val="20"/>
                <w:szCs w:val="20"/>
              </w:rPr>
              <w:t>PM</w:t>
            </w:r>
            <w:r w:rsidRPr="00302960">
              <w:rPr>
                <w:noProof/>
                <w:sz w:val="20"/>
                <w:szCs w:val="20"/>
              </w:rPr>
              <w:t>12) and obligations to sell/host (PM13-</w:t>
            </w:r>
            <w:r w:rsidR="00194FB0">
              <w:rPr>
                <w:noProof/>
                <w:sz w:val="20"/>
                <w:szCs w:val="20"/>
              </w:rPr>
              <w:t>PM</w:t>
            </w:r>
            <w:r w:rsidRPr="00302960">
              <w:rPr>
                <w:noProof/>
                <w:sz w:val="20"/>
                <w:szCs w:val="20"/>
              </w:rPr>
              <w:t>15) could allow smaller or new entrant operators with cheaper offers to display on more platforms (prohibition of exclusivity) and/or reduce the costs operators face in being displayed on MDMS platforms, with cost savings potentially passed onto consumers. Other new costs of regulatory compliance could also be passed on.</w:t>
            </w:r>
          </w:p>
        </w:tc>
      </w:tr>
      <w:tr w:rsidR="00952431" w:rsidRPr="004243FA" w14:paraId="5B7073A2" w14:textId="77777777" w:rsidTr="004232D2">
        <w:trPr>
          <w:trHeight w:val="1019"/>
        </w:trPr>
        <w:tc>
          <w:tcPr>
            <w:tcW w:w="1843" w:type="dxa"/>
          </w:tcPr>
          <w:p w14:paraId="106B7A84" w14:textId="77777777" w:rsidR="00952431" w:rsidRPr="00302960" w:rsidRDefault="00952431" w:rsidP="004232D2">
            <w:pPr>
              <w:rPr>
                <w:b/>
                <w:noProof/>
                <w:sz w:val="20"/>
                <w:szCs w:val="20"/>
              </w:rPr>
            </w:pPr>
            <w:r w:rsidRPr="00302960">
              <w:rPr>
                <w:b/>
                <w:noProof/>
                <w:sz w:val="20"/>
                <w:szCs w:val="20"/>
              </w:rPr>
              <w:t>Frequency</w:t>
            </w:r>
          </w:p>
        </w:tc>
        <w:tc>
          <w:tcPr>
            <w:tcW w:w="2552" w:type="dxa"/>
          </w:tcPr>
          <w:p w14:paraId="0647D526" w14:textId="77777777" w:rsidR="00952431" w:rsidRPr="00302960" w:rsidRDefault="00952431" w:rsidP="004232D2">
            <w:pPr>
              <w:rPr>
                <w:noProof/>
                <w:sz w:val="20"/>
                <w:szCs w:val="20"/>
              </w:rPr>
            </w:pPr>
            <w:r w:rsidRPr="00302960">
              <w:rPr>
                <w:noProof/>
                <w:sz w:val="20"/>
                <w:szCs w:val="20"/>
              </w:rPr>
              <w:t>How often the service operates during a given period</w:t>
            </w:r>
          </w:p>
        </w:tc>
        <w:tc>
          <w:tcPr>
            <w:tcW w:w="2268" w:type="dxa"/>
          </w:tcPr>
          <w:p w14:paraId="0CC8D951" w14:textId="6C721F8D" w:rsidR="00952431" w:rsidRPr="00302960" w:rsidRDefault="00952431" w:rsidP="004232D2">
            <w:pPr>
              <w:rPr>
                <w:noProof/>
                <w:sz w:val="20"/>
                <w:szCs w:val="20"/>
              </w:rPr>
            </w:pPr>
            <w:r w:rsidRPr="00302960">
              <w:rPr>
                <w:noProof/>
                <w:sz w:val="20"/>
                <w:szCs w:val="20"/>
              </w:rPr>
              <w:t>Indirect: PM13-</w:t>
            </w:r>
            <w:r w:rsidR="00194FB0">
              <w:rPr>
                <w:noProof/>
                <w:sz w:val="20"/>
                <w:szCs w:val="20"/>
              </w:rPr>
              <w:t>PM</w:t>
            </w:r>
            <w:r w:rsidRPr="00302960">
              <w:rPr>
                <w:noProof/>
                <w:sz w:val="20"/>
                <w:szCs w:val="20"/>
              </w:rPr>
              <w:t>14</w:t>
            </w:r>
          </w:p>
        </w:tc>
        <w:tc>
          <w:tcPr>
            <w:tcW w:w="7479" w:type="dxa"/>
          </w:tcPr>
          <w:p w14:paraId="1045A8FC" w14:textId="15FEB1A9" w:rsidR="00952431" w:rsidRPr="00302960" w:rsidRDefault="00952431" w:rsidP="004232D2">
            <w:pPr>
              <w:rPr>
                <w:noProof/>
                <w:sz w:val="20"/>
                <w:szCs w:val="20"/>
              </w:rPr>
            </w:pPr>
            <w:r w:rsidRPr="00302960">
              <w:rPr>
                <w:noProof/>
                <w:sz w:val="20"/>
                <w:szCs w:val="20"/>
              </w:rPr>
              <w:t>No direct effect is anticipated on the frequency of services offered by one operator (the traditional interpretation of frequency). However, obligations to sell or host (PM13-</w:t>
            </w:r>
            <w:r w:rsidR="00194FB0">
              <w:rPr>
                <w:noProof/>
                <w:sz w:val="20"/>
                <w:szCs w:val="20"/>
              </w:rPr>
              <w:t>PM</w:t>
            </w:r>
            <w:r w:rsidRPr="00302960">
              <w:rPr>
                <w:noProof/>
                <w:sz w:val="20"/>
                <w:szCs w:val="20"/>
              </w:rPr>
              <w:t xml:space="preserve">14) may increase the </w:t>
            </w:r>
            <w:r w:rsidRPr="00302960">
              <w:rPr>
                <w:i/>
                <w:noProof/>
                <w:sz w:val="20"/>
                <w:szCs w:val="20"/>
              </w:rPr>
              <w:t>perceived</w:t>
            </w:r>
            <w:r w:rsidRPr="00302960">
              <w:rPr>
                <w:noProof/>
                <w:sz w:val="20"/>
                <w:szCs w:val="20"/>
              </w:rPr>
              <w:t xml:space="preserve"> number of transport options available to consumers in one place by facilitating access to offerings across modes and across operators. </w:t>
            </w:r>
          </w:p>
        </w:tc>
      </w:tr>
      <w:tr w:rsidR="00952431" w:rsidRPr="004243FA" w14:paraId="32D0385B" w14:textId="77777777" w:rsidTr="004232D2">
        <w:trPr>
          <w:trHeight w:val="1686"/>
        </w:trPr>
        <w:tc>
          <w:tcPr>
            <w:tcW w:w="1843" w:type="dxa"/>
            <w:hideMark/>
          </w:tcPr>
          <w:p w14:paraId="0410EE83" w14:textId="77777777" w:rsidR="00952431" w:rsidRPr="00302960" w:rsidRDefault="00952431" w:rsidP="004232D2">
            <w:pPr>
              <w:rPr>
                <w:b/>
                <w:noProof/>
                <w:sz w:val="20"/>
                <w:szCs w:val="20"/>
              </w:rPr>
            </w:pPr>
            <w:r w:rsidRPr="00302960">
              <w:rPr>
                <w:b/>
                <w:noProof/>
                <w:sz w:val="20"/>
                <w:szCs w:val="20"/>
              </w:rPr>
              <w:t>Information Provision</w:t>
            </w:r>
          </w:p>
        </w:tc>
        <w:tc>
          <w:tcPr>
            <w:tcW w:w="2552" w:type="dxa"/>
            <w:hideMark/>
          </w:tcPr>
          <w:p w14:paraId="189AD735" w14:textId="77777777" w:rsidR="00952431" w:rsidRPr="00302960" w:rsidRDefault="00952431" w:rsidP="004232D2">
            <w:pPr>
              <w:rPr>
                <w:noProof/>
                <w:sz w:val="20"/>
                <w:szCs w:val="20"/>
              </w:rPr>
            </w:pPr>
            <w:r w:rsidRPr="00302960">
              <w:rPr>
                <w:noProof/>
                <w:sz w:val="20"/>
                <w:szCs w:val="20"/>
              </w:rPr>
              <w:t>How much information is provided about routes and interchanges</w:t>
            </w:r>
          </w:p>
        </w:tc>
        <w:tc>
          <w:tcPr>
            <w:tcW w:w="2268" w:type="dxa"/>
            <w:hideMark/>
          </w:tcPr>
          <w:p w14:paraId="073EC7E7" w14:textId="3CE269CD" w:rsidR="00952431" w:rsidRPr="00302960" w:rsidRDefault="00952431" w:rsidP="004429D6">
            <w:pPr>
              <w:rPr>
                <w:noProof/>
                <w:sz w:val="20"/>
                <w:szCs w:val="20"/>
              </w:rPr>
            </w:pPr>
            <w:r w:rsidRPr="00302960">
              <w:rPr>
                <w:noProof/>
                <w:sz w:val="20"/>
                <w:szCs w:val="20"/>
              </w:rPr>
              <w:t>Direct: PM8, PM13-</w:t>
            </w:r>
            <w:r w:rsidR="00194FB0">
              <w:rPr>
                <w:noProof/>
                <w:sz w:val="20"/>
                <w:szCs w:val="20"/>
              </w:rPr>
              <w:t>PM</w:t>
            </w:r>
            <w:r w:rsidRPr="00302960">
              <w:rPr>
                <w:noProof/>
                <w:sz w:val="20"/>
                <w:szCs w:val="20"/>
              </w:rPr>
              <w:t>14</w:t>
            </w:r>
          </w:p>
          <w:p w14:paraId="0E878C83" w14:textId="677F05EC" w:rsidR="00952431" w:rsidRPr="00302960" w:rsidRDefault="00952431" w:rsidP="004232D2">
            <w:pPr>
              <w:rPr>
                <w:noProof/>
                <w:sz w:val="20"/>
                <w:szCs w:val="20"/>
              </w:rPr>
            </w:pPr>
            <w:r w:rsidRPr="00302960">
              <w:rPr>
                <w:noProof/>
                <w:sz w:val="20"/>
                <w:szCs w:val="20"/>
              </w:rPr>
              <w:t>Indirect: PM1-</w:t>
            </w:r>
            <w:r w:rsidR="00194FB0">
              <w:rPr>
                <w:noProof/>
                <w:sz w:val="20"/>
                <w:szCs w:val="20"/>
              </w:rPr>
              <w:t>PM</w:t>
            </w:r>
            <w:r w:rsidRPr="00302960">
              <w:rPr>
                <w:noProof/>
                <w:sz w:val="20"/>
                <w:szCs w:val="20"/>
              </w:rPr>
              <w:t>4, PM11-</w:t>
            </w:r>
            <w:r w:rsidR="00194FB0">
              <w:rPr>
                <w:noProof/>
                <w:sz w:val="20"/>
                <w:szCs w:val="20"/>
              </w:rPr>
              <w:t>PM</w:t>
            </w:r>
            <w:r w:rsidRPr="00302960">
              <w:rPr>
                <w:noProof/>
                <w:sz w:val="20"/>
                <w:szCs w:val="20"/>
              </w:rPr>
              <w:t>12</w:t>
            </w:r>
          </w:p>
        </w:tc>
        <w:tc>
          <w:tcPr>
            <w:tcW w:w="7479" w:type="dxa"/>
          </w:tcPr>
          <w:p w14:paraId="01263BC9" w14:textId="4A69FD30" w:rsidR="00952431" w:rsidRPr="00302960" w:rsidRDefault="00952431" w:rsidP="004232D2">
            <w:pPr>
              <w:rPr>
                <w:noProof/>
                <w:sz w:val="20"/>
                <w:szCs w:val="20"/>
              </w:rPr>
            </w:pPr>
            <w:r w:rsidRPr="00302960">
              <w:rPr>
                <w:noProof/>
                <w:sz w:val="20"/>
                <w:szCs w:val="20"/>
              </w:rPr>
              <w:t>Mandating display of GHG/CO2 emissions data (PM8) adds additional trip-related information that may otherwise not be available to consumers. Likewise, obligations for rail operators to sell tickets via MDMS (PM13) or MDMS platforms to enable ticket sales from all operators (PM14) will increase information availability on relevant routes. Removal of highly restrictive clauses could increase information on formerly restricted operators (PM11-</w:t>
            </w:r>
            <w:r w:rsidR="00194FB0">
              <w:rPr>
                <w:noProof/>
                <w:sz w:val="20"/>
                <w:szCs w:val="20"/>
              </w:rPr>
              <w:t>PM</w:t>
            </w:r>
            <w:r w:rsidRPr="00302960">
              <w:rPr>
                <w:noProof/>
                <w:sz w:val="20"/>
                <w:szCs w:val="20"/>
              </w:rPr>
              <w:t>12), while policies impacting B2B data accuracy transfer (PM1-4) could allow businesses to see more journey information, which they could pass onto end consumers.</w:t>
            </w:r>
          </w:p>
        </w:tc>
      </w:tr>
      <w:tr w:rsidR="00952431" w:rsidRPr="004243FA" w14:paraId="7A83AEF3" w14:textId="77777777" w:rsidTr="004232D2">
        <w:trPr>
          <w:trHeight w:val="703"/>
        </w:trPr>
        <w:tc>
          <w:tcPr>
            <w:tcW w:w="1843" w:type="dxa"/>
            <w:hideMark/>
          </w:tcPr>
          <w:p w14:paraId="790EC696" w14:textId="77777777" w:rsidR="00952431" w:rsidRPr="00302960" w:rsidRDefault="00952431" w:rsidP="004232D2">
            <w:pPr>
              <w:rPr>
                <w:b/>
                <w:noProof/>
                <w:sz w:val="20"/>
                <w:szCs w:val="20"/>
              </w:rPr>
            </w:pPr>
            <w:r w:rsidRPr="00302960">
              <w:rPr>
                <w:b/>
                <w:noProof/>
                <w:sz w:val="20"/>
                <w:szCs w:val="20"/>
              </w:rPr>
              <w:t>Ease of Transfers /Interchanges</w:t>
            </w:r>
          </w:p>
        </w:tc>
        <w:tc>
          <w:tcPr>
            <w:tcW w:w="2552" w:type="dxa"/>
            <w:hideMark/>
          </w:tcPr>
          <w:p w14:paraId="46E5516E" w14:textId="77777777" w:rsidR="00952431" w:rsidRPr="00302960" w:rsidRDefault="00952431" w:rsidP="004232D2">
            <w:pPr>
              <w:rPr>
                <w:noProof/>
                <w:sz w:val="20"/>
                <w:szCs w:val="20"/>
              </w:rPr>
            </w:pPr>
            <w:r w:rsidRPr="00302960">
              <w:rPr>
                <w:noProof/>
                <w:sz w:val="20"/>
                <w:szCs w:val="20"/>
              </w:rPr>
              <w:t>How simple transport connections are, including time spent waiting</w:t>
            </w:r>
          </w:p>
        </w:tc>
        <w:tc>
          <w:tcPr>
            <w:tcW w:w="2268" w:type="dxa"/>
            <w:hideMark/>
          </w:tcPr>
          <w:p w14:paraId="6671BE9A" w14:textId="42B145F5" w:rsidR="00952431" w:rsidRPr="00302960" w:rsidRDefault="00952431" w:rsidP="004232D2">
            <w:pPr>
              <w:rPr>
                <w:noProof/>
                <w:sz w:val="20"/>
                <w:szCs w:val="20"/>
              </w:rPr>
            </w:pPr>
            <w:r w:rsidRPr="00302960">
              <w:rPr>
                <w:noProof/>
                <w:sz w:val="20"/>
                <w:szCs w:val="20"/>
              </w:rPr>
              <w:t>Indirect:</w:t>
            </w:r>
            <w:r w:rsidR="00832046" w:rsidRPr="00302960">
              <w:rPr>
                <w:noProof/>
                <w:sz w:val="20"/>
                <w:szCs w:val="20"/>
              </w:rPr>
              <w:t xml:space="preserve"> </w:t>
            </w:r>
            <w:r w:rsidRPr="00302960">
              <w:rPr>
                <w:noProof/>
                <w:sz w:val="20"/>
                <w:szCs w:val="20"/>
              </w:rPr>
              <w:t>PM11-</w:t>
            </w:r>
            <w:r w:rsidR="00194FB0">
              <w:rPr>
                <w:noProof/>
                <w:sz w:val="20"/>
                <w:szCs w:val="20"/>
              </w:rPr>
              <w:t>PM</w:t>
            </w:r>
            <w:r w:rsidRPr="00302960">
              <w:rPr>
                <w:noProof/>
                <w:sz w:val="20"/>
                <w:szCs w:val="20"/>
              </w:rPr>
              <w:t>14</w:t>
            </w:r>
          </w:p>
        </w:tc>
        <w:tc>
          <w:tcPr>
            <w:tcW w:w="7479" w:type="dxa"/>
            <w:hideMark/>
          </w:tcPr>
          <w:p w14:paraId="34AA0B63" w14:textId="79ED81D5" w:rsidR="00952431" w:rsidRPr="00302960" w:rsidRDefault="00952431" w:rsidP="004232D2">
            <w:pPr>
              <w:rPr>
                <w:noProof/>
                <w:sz w:val="20"/>
                <w:szCs w:val="20"/>
              </w:rPr>
            </w:pPr>
            <w:r w:rsidRPr="00302960">
              <w:rPr>
                <w:noProof/>
                <w:sz w:val="20"/>
                <w:szCs w:val="20"/>
              </w:rPr>
              <w:t>Specific obligations to prevent restrictive agreements (PM11-</w:t>
            </w:r>
            <w:r w:rsidR="00194FB0">
              <w:rPr>
                <w:noProof/>
                <w:sz w:val="20"/>
                <w:szCs w:val="20"/>
              </w:rPr>
              <w:t>PM</w:t>
            </w:r>
            <w:r w:rsidRPr="00302960">
              <w:rPr>
                <w:noProof/>
                <w:sz w:val="20"/>
                <w:szCs w:val="20"/>
              </w:rPr>
              <w:t>12) or enter agreements with willing counterparts (PM13-</w:t>
            </w:r>
            <w:r w:rsidR="00194FB0">
              <w:rPr>
                <w:noProof/>
                <w:sz w:val="20"/>
                <w:szCs w:val="20"/>
              </w:rPr>
              <w:t>PM</w:t>
            </w:r>
            <w:r w:rsidRPr="00302960">
              <w:rPr>
                <w:noProof/>
                <w:sz w:val="20"/>
                <w:szCs w:val="20"/>
              </w:rPr>
              <w:t xml:space="preserve">14) could lead to identification of alternative operator options that could simplify connections or reduce time spent waiting. </w:t>
            </w:r>
          </w:p>
        </w:tc>
      </w:tr>
      <w:tr w:rsidR="00952431" w:rsidRPr="004243FA" w14:paraId="2C749788" w14:textId="77777777" w:rsidTr="004232D2">
        <w:trPr>
          <w:trHeight w:val="694"/>
        </w:trPr>
        <w:tc>
          <w:tcPr>
            <w:tcW w:w="1843" w:type="dxa"/>
            <w:hideMark/>
          </w:tcPr>
          <w:p w14:paraId="28DBA640" w14:textId="77777777" w:rsidR="00952431" w:rsidRPr="00302960" w:rsidRDefault="00952431" w:rsidP="004232D2">
            <w:pPr>
              <w:rPr>
                <w:b/>
                <w:noProof/>
                <w:sz w:val="20"/>
                <w:szCs w:val="20"/>
              </w:rPr>
            </w:pPr>
            <w:r w:rsidRPr="00302960">
              <w:rPr>
                <w:b/>
                <w:noProof/>
                <w:sz w:val="20"/>
                <w:szCs w:val="20"/>
              </w:rPr>
              <w:t>Vehicle Condition</w:t>
            </w:r>
          </w:p>
        </w:tc>
        <w:tc>
          <w:tcPr>
            <w:tcW w:w="2552" w:type="dxa"/>
            <w:hideMark/>
          </w:tcPr>
          <w:p w14:paraId="0D85B667" w14:textId="77777777" w:rsidR="00952431" w:rsidRPr="00302960" w:rsidRDefault="00952431" w:rsidP="004232D2">
            <w:pPr>
              <w:rPr>
                <w:noProof/>
                <w:sz w:val="20"/>
                <w:szCs w:val="20"/>
              </w:rPr>
            </w:pPr>
            <w:r w:rsidRPr="00302960">
              <w:rPr>
                <w:noProof/>
                <w:sz w:val="20"/>
                <w:szCs w:val="20"/>
              </w:rPr>
              <w:t>The physical and mechanical condition of vehicles</w:t>
            </w:r>
          </w:p>
        </w:tc>
        <w:tc>
          <w:tcPr>
            <w:tcW w:w="2268" w:type="dxa"/>
            <w:hideMark/>
          </w:tcPr>
          <w:p w14:paraId="5DB33607" w14:textId="77777777" w:rsidR="00952431" w:rsidRPr="00302960" w:rsidRDefault="00952431" w:rsidP="004232D2">
            <w:pPr>
              <w:rPr>
                <w:noProof/>
                <w:sz w:val="20"/>
                <w:szCs w:val="20"/>
              </w:rPr>
            </w:pPr>
            <w:r w:rsidRPr="00302960">
              <w:rPr>
                <w:noProof/>
                <w:sz w:val="20"/>
                <w:szCs w:val="20"/>
              </w:rPr>
              <w:t>N/A</w:t>
            </w:r>
          </w:p>
        </w:tc>
        <w:tc>
          <w:tcPr>
            <w:tcW w:w="7479" w:type="dxa"/>
            <w:hideMark/>
          </w:tcPr>
          <w:p w14:paraId="3F2C959E" w14:textId="77777777" w:rsidR="00952431" w:rsidRPr="00302960" w:rsidRDefault="00952431" w:rsidP="004232D2">
            <w:pPr>
              <w:rPr>
                <w:noProof/>
                <w:sz w:val="20"/>
                <w:szCs w:val="20"/>
              </w:rPr>
            </w:pPr>
            <w:r w:rsidRPr="00302960">
              <w:rPr>
                <w:noProof/>
                <w:sz w:val="20"/>
                <w:szCs w:val="20"/>
              </w:rPr>
              <w:t>The policies do not address vehicle maintenance or quality.</w:t>
            </w:r>
          </w:p>
        </w:tc>
      </w:tr>
      <w:tr w:rsidR="00952431" w:rsidRPr="004243FA" w14:paraId="764A3957" w14:textId="77777777" w:rsidTr="004232D2">
        <w:trPr>
          <w:trHeight w:val="760"/>
        </w:trPr>
        <w:tc>
          <w:tcPr>
            <w:tcW w:w="1843" w:type="dxa"/>
            <w:hideMark/>
          </w:tcPr>
          <w:p w14:paraId="0FE5FAAD" w14:textId="77777777" w:rsidR="00952431" w:rsidRPr="00302960" w:rsidRDefault="00952431" w:rsidP="004232D2">
            <w:pPr>
              <w:rPr>
                <w:b/>
                <w:noProof/>
                <w:sz w:val="20"/>
                <w:szCs w:val="20"/>
              </w:rPr>
            </w:pPr>
            <w:r w:rsidRPr="00302960">
              <w:rPr>
                <w:b/>
                <w:noProof/>
                <w:sz w:val="20"/>
                <w:szCs w:val="20"/>
              </w:rPr>
              <w:t>Comfort</w:t>
            </w:r>
          </w:p>
        </w:tc>
        <w:tc>
          <w:tcPr>
            <w:tcW w:w="2552" w:type="dxa"/>
            <w:hideMark/>
          </w:tcPr>
          <w:p w14:paraId="04CE7028" w14:textId="77777777" w:rsidR="00952431" w:rsidRPr="00302960" w:rsidRDefault="00952431" w:rsidP="004232D2">
            <w:pPr>
              <w:rPr>
                <w:noProof/>
                <w:sz w:val="20"/>
                <w:szCs w:val="20"/>
              </w:rPr>
            </w:pPr>
            <w:r w:rsidRPr="00302960">
              <w:rPr>
                <w:noProof/>
                <w:sz w:val="20"/>
                <w:szCs w:val="20"/>
              </w:rPr>
              <w:t>How comfortable the journey is regarding noise levels, air conditioning, etc.</w:t>
            </w:r>
          </w:p>
        </w:tc>
        <w:tc>
          <w:tcPr>
            <w:tcW w:w="2268" w:type="dxa"/>
            <w:hideMark/>
          </w:tcPr>
          <w:p w14:paraId="7EB14F92" w14:textId="77777777" w:rsidR="00952431" w:rsidRPr="00302960" w:rsidRDefault="00952431" w:rsidP="004232D2">
            <w:pPr>
              <w:rPr>
                <w:noProof/>
                <w:sz w:val="20"/>
                <w:szCs w:val="20"/>
              </w:rPr>
            </w:pPr>
            <w:r w:rsidRPr="00302960">
              <w:rPr>
                <w:noProof/>
                <w:sz w:val="20"/>
                <w:szCs w:val="20"/>
              </w:rPr>
              <w:t>N/A</w:t>
            </w:r>
          </w:p>
        </w:tc>
        <w:tc>
          <w:tcPr>
            <w:tcW w:w="7479" w:type="dxa"/>
            <w:hideMark/>
          </w:tcPr>
          <w:p w14:paraId="73469836" w14:textId="77777777" w:rsidR="00952431" w:rsidRPr="00302960" w:rsidRDefault="00952431" w:rsidP="004232D2">
            <w:pPr>
              <w:rPr>
                <w:noProof/>
                <w:sz w:val="20"/>
                <w:szCs w:val="20"/>
              </w:rPr>
            </w:pPr>
            <w:r w:rsidRPr="00302960">
              <w:rPr>
                <w:noProof/>
                <w:sz w:val="20"/>
                <w:szCs w:val="20"/>
              </w:rPr>
              <w:t>The policies do not address passenger comfort.</w:t>
            </w:r>
          </w:p>
        </w:tc>
      </w:tr>
      <w:tr w:rsidR="00952431" w:rsidRPr="004243FA" w14:paraId="3798E072" w14:textId="77777777" w:rsidTr="004232D2">
        <w:trPr>
          <w:trHeight w:val="690"/>
        </w:trPr>
        <w:tc>
          <w:tcPr>
            <w:tcW w:w="1843" w:type="dxa"/>
            <w:hideMark/>
          </w:tcPr>
          <w:p w14:paraId="1886A3D6" w14:textId="77777777" w:rsidR="00952431" w:rsidRPr="00302960" w:rsidRDefault="00952431" w:rsidP="004232D2">
            <w:pPr>
              <w:rPr>
                <w:b/>
                <w:noProof/>
                <w:sz w:val="20"/>
                <w:szCs w:val="20"/>
              </w:rPr>
            </w:pPr>
            <w:r w:rsidRPr="00302960">
              <w:rPr>
                <w:b/>
                <w:noProof/>
                <w:sz w:val="20"/>
                <w:szCs w:val="20"/>
              </w:rPr>
              <w:t>Safety</w:t>
            </w:r>
          </w:p>
        </w:tc>
        <w:tc>
          <w:tcPr>
            <w:tcW w:w="2552" w:type="dxa"/>
            <w:hideMark/>
          </w:tcPr>
          <w:p w14:paraId="00480B82" w14:textId="77777777" w:rsidR="00952431" w:rsidRPr="00302960" w:rsidRDefault="00952431" w:rsidP="004232D2">
            <w:pPr>
              <w:rPr>
                <w:noProof/>
                <w:sz w:val="20"/>
                <w:szCs w:val="20"/>
              </w:rPr>
            </w:pPr>
            <w:r w:rsidRPr="00302960">
              <w:rPr>
                <w:noProof/>
                <w:sz w:val="20"/>
                <w:szCs w:val="20"/>
              </w:rPr>
              <w:t>How safe from traffic accidents passengers feel during the journey as well as personal safety</w:t>
            </w:r>
          </w:p>
        </w:tc>
        <w:tc>
          <w:tcPr>
            <w:tcW w:w="2268" w:type="dxa"/>
            <w:hideMark/>
          </w:tcPr>
          <w:p w14:paraId="66EE27A2" w14:textId="77777777" w:rsidR="00952431" w:rsidRPr="00302960" w:rsidRDefault="00952431" w:rsidP="004232D2">
            <w:pPr>
              <w:rPr>
                <w:noProof/>
                <w:sz w:val="20"/>
                <w:szCs w:val="20"/>
              </w:rPr>
            </w:pPr>
            <w:r w:rsidRPr="00302960">
              <w:rPr>
                <w:noProof/>
                <w:sz w:val="20"/>
                <w:szCs w:val="20"/>
              </w:rPr>
              <w:t>N/A</w:t>
            </w:r>
          </w:p>
        </w:tc>
        <w:tc>
          <w:tcPr>
            <w:tcW w:w="7479" w:type="dxa"/>
            <w:hideMark/>
          </w:tcPr>
          <w:p w14:paraId="59734E8A" w14:textId="210B1B0B" w:rsidR="00952431" w:rsidRPr="00302960" w:rsidRDefault="00952431" w:rsidP="004232D2">
            <w:pPr>
              <w:rPr>
                <w:noProof/>
                <w:sz w:val="20"/>
                <w:szCs w:val="20"/>
              </w:rPr>
            </w:pPr>
            <w:r w:rsidRPr="00302960">
              <w:rPr>
                <w:noProof/>
                <w:sz w:val="20"/>
                <w:szCs w:val="20"/>
              </w:rPr>
              <w:t>The policies do not directly address passenger safety. However, they could have an indirect impact on passenger safety through changes in transport activity.</w:t>
            </w:r>
            <w:r w:rsidR="00832046" w:rsidRPr="00302960">
              <w:rPr>
                <w:noProof/>
                <w:sz w:val="20"/>
                <w:szCs w:val="20"/>
              </w:rPr>
              <w:t xml:space="preserve"> </w:t>
            </w:r>
          </w:p>
        </w:tc>
      </w:tr>
      <w:tr w:rsidR="00952431" w:rsidRPr="004243FA" w14:paraId="70BD6B23" w14:textId="77777777" w:rsidTr="004232D2">
        <w:trPr>
          <w:trHeight w:val="1259"/>
        </w:trPr>
        <w:tc>
          <w:tcPr>
            <w:tcW w:w="1843" w:type="dxa"/>
            <w:hideMark/>
          </w:tcPr>
          <w:p w14:paraId="7EE746DC" w14:textId="77777777" w:rsidR="00952431" w:rsidRPr="00302960" w:rsidRDefault="00952431" w:rsidP="004232D2">
            <w:pPr>
              <w:rPr>
                <w:b/>
                <w:noProof/>
                <w:sz w:val="20"/>
                <w:szCs w:val="20"/>
              </w:rPr>
            </w:pPr>
            <w:r w:rsidRPr="00302960">
              <w:rPr>
                <w:b/>
                <w:noProof/>
                <w:sz w:val="20"/>
                <w:szCs w:val="20"/>
              </w:rPr>
              <w:t>Convenience</w:t>
            </w:r>
          </w:p>
        </w:tc>
        <w:tc>
          <w:tcPr>
            <w:tcW w:w="2552" w:type="dxa"/>
            <w:hideMark/>
          </w:tcPr>
          <w:p w14:paraId="099650C6" w14:textId="77777777" w:rsidR="00952431" w:rsidRPr="00302960" w:rsidRDefault="00952431" w:rsidP="004232D2">
            <w:pPr>
              <w:rPr>
                <w:noProof/>
                <w:sz w:val="20"/>
                <w:szCs w:val="20"/>
              </w:rPr>
            </w:pPr>
            <w:r w:rsidRPr="00302960">
              <w:rPr>
                <w:noProof/>
                <w:sz w:val="20"/>
                <w:szCs w:val="20"/>
              </w:rPr>
              <w:t>How simple the transport service is to use and how well it adds to one’s ease of mobility</w:t>
            </w:r>
          </w:p>
        </w:tc>
        <w:tc>
          <w:tcPr>
            <w:tcW w:w="2268" w:type="dxa"/>
            <w:hideMark/>
          </w:tcPr>
          <w:p w14:paraId="66A5704D" w14:textId="77777777" w:rsidR="00952431" w:rsidRPr="00302960" w:rsidRDefault="00952431" w:rsidP="004429D6">
            <w:pPr>
              <w:rPr>
                <w:noProof/>
                <w:sz w:val="20"/>
                <w:szCs w:val="20"/>
              </w:rPr>
            </w:pPr>
            <w:r w:rsidRPr="00302960">
              <w:rPr>
                <w:noProof/>
                <w:sz w:val="20"/>
                <w:szCs w:val="20"/>
              </w:rPr>
              <w:t>Direct: PM1, PM7, PM13, PM14</w:t>
            </w:r>
          </w:p>
        </w:tc>
        <w:tc>
          <w:tcPr>
            <w:tcW w:w="7479" w:type="dxa"/>
            <w:hideMark/>
          </w:tcPr>
          <w:p w14:paraId="73D238E6" w14:textId="1EA79A88" w:rsidR="00952431" w:rsidRPr="00302960" w:rsidRDefault="00952431" w:rsidP="004232D2">
            <w:pPr>
              <w:rPr>
                <w:noProof/>
                <w:sz w:val="20"/>
                <w:szCs w:val="20"/>
              </w:rPr>
            </w:pPr>
            <w:r w:rsidRPr="00302960">
              <w:rPr>
                <w:noProof/>
                <w:sz w:val="20"/>
                <w:szCs w:val="20"/>
              </w:rPr>
              <w:t>Interpreting this factor to include the ease of booking and availability of travel information underway, specific obligations to prevent restrictive agreements (PM11-</w:t>
            </w:r>
            <w:r w:rsidR="00290109">
              <w:rPr>
                <w:noProof/>
                <w:sz w:val="20"/>
                <w:szCs w:val="20"/>
              </w:rPr>
              <w:t>PM</w:t>
            </w:r>
            <w:r w:rsidRPr="00302960">
              <w:rPr>
                <w:noProof/>
                <w:sz w:val="20"/>
                <w:szCs w:val="20"/>
              </w:rPr>
              <w:t>12) or enter agreements with willing counterparts (PM13-</w:t>
            </w:r>
            <w:r w:rsidR="00290109">
              <w:rPr>
                <w:noProof/>
                <w:sz w:val="20"/>
                <w:szCs w:val="20"/>
              </w:rPr>
              <w:t>PM</w:t>
            </w:r>
            <w:r w:rsidRPr="00302960">
              <w:rPr>
                <w:noProof/>
                <w:sz w:val="20"/>
                <w:szCs w:val="20"/>
              </w:rPr>
              <w:t>14) enable consumers to purchase tickets from a wider range of operators on a wider range of platforms, selecting the combination which is most convenient for them.</w:t>
            </w:r>
          </w:p>
          <w:p w14:paraId="62DDC437" w14:textId="77777777" w:rsidR="00952431" w:rsidRPr="00302960" w:rsidRDefault="00952431" w:rsidP="004232D2">
            <w:pPr>
              <w:rPr>
                <w:noProof/>
                <w:sz w:val="20"/>
                <w:szCs w:val="20"/>
              </w:rPr>
            </w:pPr>
          </w:p>
        </w:tc>
      </w:tr>
      <w:tr w:rsidR="00952431" w:rsidRPr="004243FA" w14:paraId="51FE9D4F" w14:textId="77777777" w:rsidTr="004232D2">
        <w:trPr>
          <w:trHeight w:val="499"/>
        </w:trPr>
        <w:tc>
          <w:tcPr>
            <w:tcW w:w="1843" w:type="dxa"/>
            <w:hideMark/>
          </w:tcPr>
          <w:p w14:paraId="2DC412E7" w14:textId="77777777" w:rsidR="00952431" w:rsidRPr="00302960" w:rsidRDefault="00952431" w:rsidP="004232D2">
            <w:pPr>
              <w:rPr>
                <w:b/>
                <w:noProof/>
                <w:sz w:val="20"/>
                <w:szCs w:val="20"/>
              </w:rPr>
            </w:pPr>
            <w:r w:rsidRPr="00302960">
              <w:rPr>
                <w:b/>
                <w:noProof/>
                <w:sz w:val="20"/>
                <w:szCs w:val="20"/>
              </w:rPr>
              <w:t>Aesthetics</w:t>
            </w:r>
          </w:p>
        </w:tc>
        <w:tc>
          <w:tcPr>
            <w:tcW w:w="2552" w:type="dxa"/>
            <w:hideMark/>
          </w:tcPr>
          <w:p w14:paraId="5616050E" w14:textId="77777777" w:rsidR="00952431" w:rsidRPr="00302960" w:rsidRDefault="00952431" w:rsidP="004232D2">
            <w:pPr>
              <w:rPr>
                <w:noProof/>
                <w:sz w:val="20"/>
                <w:szCs w:val="20"/>
              </w:rPr>
            </w:pPr>
            <w:r w:rsidRPr="00302960">
              <w:rPr>
                <w:noProof/>
                <w:sz w:val="20"/>
                <w:szCs w:val="20"/>
              </w:rPr>
              <w:t>Appeal of vehicles, stations, and waiting areas to users’ senses</w:t>
            </w:r>
          </w:p>
        </w:tc>
        <w:tc>
          <w:tcPr>
            <w:tcW w:w="2268" w:type="dxa"/>
            <w:hideMark/>
          </w:tcPr>
          <w:p w14:paraId="25CCBB76" w14:textId="77777777" w:rsidR="00952431" w:rsidRPr="00302960" w:rsidRDefault="00952431" w:rsidP="004232D2">
            <w:pPr>
              <w:rPr>
                <w:noProof/>
                <w:sz w:val="20"/>
                <w:szCs w:val="20"/>
              </w:rPr>
            </w:pPr>
            <w:r w:rsidRPr="00302960">
              <w:rPr>
                <w:noProof/>
                <w:sz w:val="20"/>
                <w:szCs w:val="20"/>
              </w:rPr>
              <w:t>N/A</w:t>
            </w:r>
          </w:p>
        </w:tc>
        <w:tc>
          <w:tcPr>
            <w:tcW w:w="7479" w:type="dxa"/>
            <w:hideMark/>
          </w:tcPr>
          <w:p w14:paraId="3A405B62" w14:textId="77777777" w:rsidR="00952431" w:rsidRPr="00302960" w:rsidRDefault="00952431" w:rsidP="004232D2">
            <w:pPr>
              <w:rPr>
                <w:noProof/>
                <w:sz w:val="20"/>
                <w:szCs w:val="20"/>
              </w:rPr>
            </w:pPr>
            <w:r w:rsidRPr="00302960">
              <w:rPr>
                <w:noProof/>
                <w:sz w:val="20"/>
                <w:szCs w:val="20"/>
              </w:rPr>
              <w:t>The policies do not influence the visual appeal, cleanliness, or design of transport facilities.</w:t>
            </w:r>
          </w:p>
        </w:tc>
      </w:tr>
    </w:tbl>
    <w:p w14:paraId="2C79649F" w14:textId="77777777" w:rsidR="000B4D97" w:rsidRPr="00D61DB4" w:rsidRDefault="000B4D97" w:rsidP="00E77D26">
      <w:pPr>
        <w:spacing w:after="240"/>
        <w:jc w:val="both"/>
        <w:rPr>
          <w:noProof/>
          <w:spacing w:val="-8"/>
        </w:rPr>
      </w:pPr>
    </w:p>
    <w:p w14:paraId="139B7DB9" w14:textId="27B5E422" w:rsidR="00495505" w:rsidRPr="004E336D" w:rsidRDefault="00495505" w:rsidP="00E77D26">
      <w:pPr>
        <w:spacing w:after="240"/>
        <w:jc w:val="both"/>
        <w:rPr>
          <w:noProof/>
        </w:rPr>
      </w:pPr>
    </w:p>
    <w:p w14:paraId="752B2115" w14:textId="4BABA9BC" w:rsidR="000B4D97" w:rsidRDefault="000B4D97" w:rsidP="00E77D26">
      <w:pPr>
        <w:spacing w:after="240"/>
        <w:jc w:val="both"/>
        <w:rPr>
          <w:noProof/>
          <w:spacing w:val="-8"/>
        </w:rPr>
      </w:pPr>
      <w:r w:rsidRPr="004E336D">
        <w:rPr>
          <w:noProof/>
        </w:rPr>
        <w:br/>
      </w:r>
    </w:p>
    <w:p w14:paraId="1829C616" w14:textId="77777777" w:rsidR="00FB0556" w:rsidRDefault="004A3122" w:rsidP="00E77D26">
      <w:pPr>
        <w:spacing w:after="240"/>
        <w:jc w:val="both"/>
        <w:rPr>
          <w:noProof/>
          <w:spacing w:val="-8"/>
        </w:rPr>
      </w:pPr>
      <w:r>
        <w:rPr>
          <w:noProof/>
          <w:spacing w:val="-8"/>
        </w:rPr>
        <w:t xml:space="preserve"> </w:t>
      </w:r>
    </w:p>
    <w:p w14:paraId="04786656" w14:textId="77777777" w:rsidR="008D3F44" w:rsidRDefault="008D3F44" w:rsidP="00E77D26">
      <w:pPr>
        <w:spacing w:after="240"/>
        <w:jc w:val="both"/>
        <w:rPr>
          <w:noProof/>
          <w:spacing w:val="-8"/>
        </w:rPr>
      </w:pPr>
    </w:p>
    <w:p w14:paraId="1E51FAF2" w14:textId="77777777" w:rsidR="008D3F44" w:rsidRDefault="008D3F44" w:rsidP="00E77D26">
      <w:pPr>
        <w:spacing w:after="240"/>
        <w:jc w:val="both"/>
        <w:rPr>
          <w:noProof/>
          <w:spacing w:val="-8"/>
        </w:rPr>
      </w:pPr>
    </w:p>
    <w:p w14:paraId="64689DB0" w14:textId="77777777" w:rsidR="008D3F44" w:rsidRDefault="008D3F44" w:rsidP="00E77D26">
      <w:pPr>
        <w:spacing w:after="240"/>
        <w:jc w:val="both"/>
        <w:rPr>
          <w:noProof/>
          <w:spacing w:val="-8"/>
        </w:rPr>
      </w:pPr>
    </w:p>
    <w:p w14:paraId="26D23940" w14:textId="77777777" w:rsidR="008D3F44" w:rsidRDefault="008D3F44" w:rsidP="00E77D26">
      <w:pPr>
        <w:spacing w:after="240"/>
        <w:jc w:val="both"/>
        <w:rPr>
          <w:noProof/>
          <w:spacing w:val="-8"/>
        </w:rPr>
      </w:pPr>
    </w:p>
    <w:p w14:paraId="1FC981EE" w14:textId="48E73BA4" w:rsidR="008D3F44" w:rsidRPr="009E5B91" w:rsidRDefault="008D3F44" w:rsidP="008D3F44">
      <w:pPr>
        <w:keepNext/>
        <w:tabs>
          <w:tab w:val="left" w:pos="2302"/>
        </w:tabs>
        <w:spacing w:after="240"/>
        <w:jc w:val="both"/>
        <w:rPr>
          <w:i/>
          <w:iCs/>
          <w:noProof/>
          <w:sz w:val="20"/>
          <w:szCs w:val="20"/>
        </w:rPr>
      </w:pPr>
      <w:r w:rsidRPr="00D71008">
        <w:rPr>
          <w:i/>
          <w:iCs/>
          <w:noProof/>
          <w:spacing w:val="-8"/>
          <w:sz w:val="20"/>
          <w:szCs w:val="20"/>
        </w:rPr>
        <w:t xml:space="preserve">Source: </w:t>
      </w:r>
      <w:r w:rsidRPr="00D71008">
        <w:rPr>
          <w:i/>
          <w:iCs/>
          <w:noProof/>
          <w:sz w:val="20"/>
          <w:szCs w:val="20"/>
        </w:rPr>
        <w:t>Ricardo et al. (2026), Impact assessment support study</w:t>
      </w:r>
      <w:r w:rsidR="00C96DC8">
        <w:rPr>
          <w:i/>
          <w:iCs/>
          <w:noProof/>
          <w:sz w:val="20"/>
          <w:szCs w:val="20"/>
        </w:rPr>
        <w:t xml:space="preserve">, based on the </w:t>
      </w:r>
      <w:r w:rsidR="00DA676C">
        <w:rPr>
          <w:i/>
          <w:iCs/>
          <w:noProof/>
          <w:sz w:val="20"/>
          <w:szCs w:val="20"/>
        </w:rPr>
        <w:t>2024</w:t>
      </w:r>
      <w:r w:rsidR="00C96DC8" w:rsidRPr="00C96DC8">
        <w:rPr>
          <w:i/>
          <w:iCs/>
          <w:noProof/>
          <w:sz w:val="20"/>
          <w:szCs w:val="20"/>
        </w:rPr>
        <w:t xml:space="preserve"> Eurobarometer </w:t>
      </w:r>
      <w:r w:rsidR="00DA676C">
        <w:rPr>
          <w:i/>
          <w:iCs/>
          <w:noProof/>
          <w:sz w:val="20"/>
          <w:szCs w:val="20"/>
        </w:rPr>
        <w:t>survey</w:t>
      </w:r>
      <w:r w:rsidR="00C96DC8">
        <w:rPr>
          <w:i/>
          <w:iCs/>
          <w:noProof/>
          <w:sz w:val="20"/>
          <w:szCs w:val="20"/>
        </w:rPr>
        <w:t xml:space="preserve"> and </w:t>
      </w:r>
      <w:r w:rsidR="00E72970">
        <w:rPr>
          <w:i/>
          <w:iCs/>
          <w:noProof/>
          <w:sz w:val="20"/>
          <w:szCs w:val="20"/>
        </w:rPr>
        <w:t>literature review</w:t>
      </w:r>
      <w:r w:rsidR="009E5B91">
        <w:rPr>
          <w:rStyle w:val="FootnoteReference"/>
          <w:i/>
          <w:iCs/>
          <w:noProof/>
          <w:sz w:val="20"/>
          <w:szCs w:val="20"/>
        </w:rPr>
        <w:footnoteReference w:id="288"/>
      </w:r>
      <w:r w:rsidR="009E5B91">
        <w:rPr>
          <w:i/>
          <w:iCs/>
          <w:noProof/>
          <w:sz w:val="20"/>
          <w:szCs w:val="20"/>
          <w:vertAlign w:val="superscript"/>
        </w:rPr>
        <w:t>,</w:t>
      </w:r>
      <w:r w:rsidR="009E5B91">
        <w:rPr>
          <w:rStyle w:val="FootnoteReference"/>
          <w:i/>
          <w:iCs/>
          <w:noProof/>
          <w:sz w:val="20"/>
          <w:szCs w:val="20"/>
        </w:rPr>
        <w:footnoteReference w:id="289"/>
      </w:r>
    </w:p>
    <w:p w14:paraId="0784C235" w14:textId="2E044C0B" w:rsidR="00C92D96" w:rsidRPr="00535F59" w:rsidRDefault="00C92D96" w:rsidP="00C92D96">
      <w:pPr>
        <w:tabs>
          <w:tab w:val="left" w:pos="1134"/>
        </w:tabs>
        <w:rPr>
          <w:i/>
          <w:noProof/>
          <w:sz w:val="22"/>
          <w:szCs w:val="22"/>
        </w:rPr>
      </w:pPr>
      <w:bookmarkStart w:id="332" w:name="_Ref222258540"/>
      <w:r w:rsidRPr="00535F59">
        <w:rPr>
          <w:i/>
          <w:noProof/>
          <w:sz w:val="22"/>
          <w:szCs w:val="22"/>
        </w:rPr>
        <w:t xml:space="preserve">Table </w:t>
      </w:r>
      <w:r w:rsidRPr="00535F59">
        <w:rPr>
          <w:i/>
          <w:noProof/>
          <w:sz w:val="22"/>
          <w:szCs w:val="22"/>
        </w:rPr>
        <w:fldChar w:fldCharType="begin"/>
      </w:r>
      <w:r w:rsidRPr="00535F59">
        <w:rPr>
          <w:i/>
          <w:noProof/>
          <w:sz w:val="22"/>
          <w:szCs w:val="22"/>
        </w:rPr>
        <w:instrText xml:space="preserve"> SEQ Table \* ARABIC </w:instrText>
      </w:r>
      <w:r w:rsidRPr="00535F59">
        <w:rPr>
          <w:i/>
          <w:noProof/>
          <w:sz w:val="22"/>
          <w:szCs w:val="22"/>
        </w:rPr>
        <w:fldChar w:fldCharType="separate"/>
      </w:r>
      <w:r w:rsidR="0055391F">
        <w:rPr>
          <w:i/>
          <w:noProof/>
          <w:sz w:val="22"/>
          <w:szCs w:val="22"/>
        </w:rPr>
        <w:t>42</w:t>
      </w:r>
      <w:r w:rsidRPr="00535F59">
        <w:rPr>
          <w:i/>
          <w:noProof/>
          <w:sz w:val="22"/>
          <w:szCs w:val="22"/>
        </w:rPr>
        <w:fldChar w:fldCharType="end"/>
      </w:r>
      <w:bookmarkEnd w:id="332"/>
      <w:r w:rsidRPr="00535F59">
        <w:rPr>
          <w:i/>
          <w:noProof/>
          <w:sz w:val="22"/>
          <w:szCs w:val="22"/>
        </w:rPr>
        <w:t xml:space="preserve">: </w:t>
      </w:r>
      <w:r w:rsidR="000773B1" w:rsidRPr="00535F59">
        <w:rPr>
          <w:i/>
          <w:noProof/>
          <w:sz w:val="22"/>
          <w:szCs w:val="22"/>
        </w:rPr>
        <w:t xml:space="preserve">Mapping of factors affecting modal choice against responses to the </w:t>
      </w:r>
      <w:r w:rsidR="00DA676C">
        <w:rPr>
          <w:i/>
          <w:noProof/>
          <w:sz w:val="22"/>
          <w:szCs w:val="22"/>
        </w:rPr>
        <w:t xml:space="preserve">2024 </w:t>
      </w:r>
      <w:r w:rsidR="000773B1" w:rsidRPr="00535F59">
        <w:rPr>
          <w:i/>
          <w:noProof/>
          <w:sz w:val="22"/>
          <w:szCs w:val="22"/>
        </w:rPr>
        <w:t xml:space="preserve">Eurobarometer </w:t>
      </w:r>
      <w:r w:rsidR="00DA676C">
        <w:rPr>
          <w:i/>
          <w:noProof/>
          <w:sz w:val="22"/>
          <w:szCs w:val="22"/>
        </w:rPr>
        <w:t>survey</w:t>
      </w:r>
      <w:r w:rsidR="00DA676C" w:rsidRPr="00535F59">
        <w:rPr>
          <w:i/>
          <w:noProof/>
          <w:sz w:val="22"/>
          <w:szCs w:val="22"/>
        </w:rPr>
        <w:t xml:space="preserve"> </w:t>
      </w:r>
      <w:r w:rsidR="000773B1" w:rsidRPr="00535F59">
        <w:rPr>
          <w:i/>
          <w:noProof/>
          <w:sz w:val="22"/>
          <w:szCs w:val="22"/>
        </w:rPr>
        <w:t>(top responses highlighted in orange)</w:t>
      </w:r>
    </w:p>
    <w:tbl>
      <w:tblPr>
        <w:tblW w:w="14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8"/>
        <w:gridCol w:w="3536"/>
        <w:gridCol w:w="4111"/>
        <w:gridCol w:w="4205"/>
      </w:tblGrid>
      <w:tr w:rsidR="00D42D7D" w:rsidRPr="0048321A" w14:paraId="4F18157E" w14:textId="77777777" w:rsidTr="0048321A">
        <w:trPr>
          <w:trHeight w:val="378"/>
          <w:tblHeader/>
        </w:trPr>
        <w:tc>
          <w:tcPr>
            <w:tcW w:w="2418" w:type="dxa"/>
            <w:vMerge w:val="restart"/>
            <w:shd w:val="clear" w:color="auto" w:fill="0070C0"/>
          </w:tcPr>
          <w:p w14:paraId="63B03A3A" w14:textId="77777777" w:rsidR="00D42D7D" w:rsidRPr="00302960" w:rsidRDefault="00D42D7D" w:rsidP="004232D2">
            <w:pPr>
              <w:rPr>
                <w:b/>
                <w:noProof/>
                <w:color w:val="FFFFFF" w:themeColor="background1"/>
                <w:sz w:val="20"/>
                <w:szCs w:val="20"/>
              </w:rPr>
            </w:pPr>
            <w:r w:rsidRPr="00302960">
              <w:rPr>
                <w:b/>
                <w:noProof/>
                <w:color w:val="FFFFFF" w:themeColor="background1"/>
                <w:sz w:val="20"/>
                <w:szCs w:val="20"/>
              </w:rPr>
              <w:t>Factors affecting modal choice</w:t>
            </w:r>
          </w:p>
        </w:tc>
        <w:tc>
          <w:tcPr>
            <w:tcW w:w="11852" w:type="dxa"/>
            <w:gridSpan w:val="3"/>
            <w:shd w:val="clear" w:color="auto" w:fill="0070C0"/>
          </w:tcPr>
          <w:p w14:paraId="7AB6BA5A" w14:textId="77777777" w:rsidR="00D42D7D" w:rsidRPr="00302960" w:rsidRDefault="00D42D7D" w:rsidP="004232D2">
            <w:pPr>
              <w:jc w:val="center"/>
              <w:rPr>
                <w:b/>
                <w:i/>
                <w:noProof/>
                <w:color w:val="FFFFFF" w:themeColor="background1"/>
                <w:sz w:val="20"/>
                <w:szCs w:val="20"/>
              </w:rPr>
            </w:pPr>
            <w:r w:rsidRPr="00302960">
              <w:rPr>
                <w:b/>
                <w:noProof/>
                <w:color w:val="FFFFFF" w:themeColor="background1"/>
                <w:sz w:val="20"/>
                <w:szCs w:val="20"/>
              </w:rPr>
              <w:t>Ranking (frequency of responses as % of the total) – ‘</w:t>
            </w:r>
            <w:r w:rsidRPr="00302960">
              <w:rPr>
                <w:b/>
                <w:i/>
                <w:noProof/>
                <w:color w:val="FFFFFF" w:themeColor="background1"/>
                <w:sz w:val="20"/>
                <w:szCs w:val="20"/>
              </w:rPr>
              <w:t>specific response text’</w:t>
            </w:r>
          </w:p>
        </w:tc>
      </w:tr>
      <w:tr w:rsidR="00D42D7D" w:rsidRPr="0048321A" w14:paraId="31AE7F12" w14:textId="77777777" w:rsidTr="0048321A">
        <w:trPr>
          <w:trHeight w:val="699"/>
          <w:tblHeader/>
        </w:trPr>
        <w:tc>
          <w:tcPr>
            <w:tcW w:w="2418" w:type="dxa"/>
            <w:vMerge/>
            <w:shd w:val="clear" w:color="auto" w:fill="0070C0"/>
          </w:tcPr>
          <w:p w14:paraId="69FD53EB" w14:textId="77777777" w:rsidR="00D42D7D" w:rsidRPr="00302960" w:rsidRDefault="00D42D7D" w:rsidP="004232D2">
            <w:pPr>
              <w:rPr>
                <w:b/>
                <w:noProof/>
                <w:color w:val="FFFFFF" w:themeColor="background1"/>
                <w:sz w:val="20"/>
                <w:szCs w:val="20"/>
              </w:rPr>
            </w:pPr>
          </w:p>
        </w:tc>
        <w:tc>
          <w:tcPr>
            <w:tcW w:w="3536" w:type="dxa"/>
          </w:tcPr>
          <w:p w14:paraId="368953B6" w14:textId="77777777" w:rsidR="00D42D7D" w:rsidRPr="00302960" w:rsidRDefault="00D42D7D" w:rsidP="004232D2">
            <w:pPr>
              <w:rPr>
                <w:b/>
                <w:noProof/>
                <w:sz w:val="20"/>
                <w:szCs w:val="20"/>
              </w:rPr>
            </w:pPr>
            <w:r w:rsidRPr="00302960">
              <w:rPr>
                <w:b/>
                <w:noProof/>
                <w:sz w:val="20"/>
                <w:szCs w:val="20"/>
              </w:rPr>
              <w:t>Barriers to booking online (Q7)</w:t>
            </w:r>
          </w:p>
        </w:tc>
        <w:tc>
          <w:tcPr>
            <w:tcW w:w="4111" w:type="dxa"/>
          </w:tcPr>
          <w:p w14:paraId="4D5D31D3" w14:textId="77777777" w:rsidR="00D42D7D" w:rsidRPr="00302960" w:rsidRDefault="00D42D7D" w:rsidP="004232D2">
            <w:pPr>
              <w:rPr>
                <w:b/>
                <w:noProof/>
                <w:sz w:val="20"/>
                <w:szCs w:val="20"/>
              </w:rPr>
            </w:pPr>
            <w:r w:rsidRPr="00302960">
              <w:rPr>
                <w:b/>
                <w:noProof/>
                <w:sz w:val="20"/>
                <w:szCs w:val="20"/>
              </w:rPr>
              <w:t>Barriers to combining different collective transport modes and transport operators within one mode (Q11)</w:t>
            </w:r>
          </w:p>
        </w:tc>
        <w:tc>
          <w:tcPr>
            <w:tcW w:w="4205" w:type="dxa"/>
          </w:tcPr>
          <w:p w14:paraId="0B4D5B26" w14:textId="77777777" w:rsidR="00D42D7D" w:rsidRPr="00302960" w:rsidRDefault="00D42D7D" w:rsidP="004232D2">
            <w:pPr>
              <w:rPr>
                <w:b/>
                <w:noProof/>
                <w:sz w:val="20"/>
                <w:szCs w:val="20"/>
              </w:rPr>
            </w:pPr>
            <w:r w:rsidRPr="00302960">
              <w:rPr>
                <w:b/>
                <w:noProof/>
                <w:sz w:val="20"/>
                <w:szCs w:val="20"/>
              </w:rPr>
              <w:t>Barriers to combining two or more rail legs, operated by different rail operators (Q14)</w:t>
            </w:r>
          </w:p>
        </w:tc>
      </w:tr>
      <w:tr w:rsidR="00D42D7D" w:rsidRPr="00BE235C" w14:paraId="03B81E31" w14:textId="77777777" w:rsidTr="004232D2">
        <w:trPr>
          <w:trHeight w:val="358"/>
        </w:trPr>
        <w:tc>
          <w:tcPr>
            <w:tcW w:w="2418" w:type="dxa"/>
          </w:tcPr>
          <w:p w14:paraId="0E4DAD35" w14:textId="77777777" w:rsidR="00D42D7D" w:rsidRPr="00302960" w:rsidRDefault="00D42D7D" w:rsidP="004232D2">
            <w:pPr>
              <w:rPr>
                <w:rFonts w:eastAsia="Aptos"/>
                <w:b/>
                <w:noProof/>
                <w:kern w:val="2"/>
                <w:sz w:val="20"/>
                <w:szCs w:val="20"/>
                <w14:ligatures w14:val="standardContextual"/>
              </w:rPr>
            </w:pPr>
            <w:r w:rsidRPr="00302960">
              <w:rPr>
                <w:rFonts w:eastAsia="Aptos"/>
                <w:b/>
                <w:noProof/>
                <w:kern w:val="2"/>
                <w:sz w:val="20"/>
                <w:szCs w:val="20"/>
                <w14:ligatures w14:val="standardContextual"/>
              </w:rPr>
              <w:t>Travel Time</w:t>
            </w:r>
          </w:p>
        </w:tc>
        <w:tc>
          <w:tcPr>
            <w:tcW w:w="3536" w:type="dxa"/>
          </w:tcPr>
          <w:p w14:paraId="54FA91A9"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N/A</w:t>
            </w:r>
          </w:p>
        </w:tc>
        <w:tc>
          <w:tcPr>
            <w:tcW w:w="4111" w:type="dxa"/>
          </w:tcPr>
          <w:p w14:paraId="2BB2DE35" w14:textId="77777777" w:rsidR="00D42D7D" w:rsidRPr="00302960" w:rsidRDefault="00D42D7D" w:rsidP="004232D2">
            <w:pPr>
              <w:rPr>
                <w:rFonts w:eastAsia="Aptos"/>
                <w:noProof/>
                <w:color w:val="E97132"/>
                <w:kern w:val="2"/>
                <w:sz w:val="20"/>
                <w:szCs w:val="20"/>
                <w14:ligatures w14:val="standardContextual"/>
              </w:rPr>
            </w:pPr>
            <w:r w:rsidRPr="00302960">
              <w:rPr>
                <w:rFonts w:eastAsia="Aptos"/>
                <w:noProof/>
                <w:color w:val="E97132"/>
                <w:kern w:val="2"/>
                <w:sz w:val="20"/>
                <w:szCs w:val="20"/>
                <w14:ligatures w14:val="standardContextual"/>
              </w:rPr>
              <w:t>2</w:t>
            </w:r>
            <w:r w:rsidRPr="00302960">
              <w:rPr>
                <w:rFonts w:eastAsia="Aptos"/>
                <w:noProof/>
                <w:color w:val="E97132"/>
                <w:kern w:val="2"/>
                <w:sz w:val="20"/>
                <w:szCs w:val="20"/>
                <w:vertAlign w:val="superscript"/>
                <w14:ligatures w14:val="standardContextual"/>
              </w:rPr>
              <w:t>nd</w:t>
            </w:r>
            <w:r w:rsidRPr="00302960">
              <w:rPr>
                <w:rFonts w:eastAsia="Aptos"/>
                <w:noProof/>
                <w:color w:val="E97132"/>
                <w:kern w:val="2"/>
                <w:sz w:val="20"/>
                <w:szCs w:val="20"/>
                <w14:ligatures w14:val="standardContextual"/>
              </w:rPr>
              <w:t xml:space="preserve"> (22%) – “The journey would have taken too long”</w:t>
            </w:r>
          </w:p>
        </w:tc>
        <w:tc>
          <w:tcPr>
            <w:tcW w:w="4205" w:type="dxa"/>
          </w:tcPr>
          <w:p w14:paraId="08035A9E" w14:textId="77777777" w:rsidR="00D42D7D" w:rsidRPr="00302960" w:rsidRDefault="00D42D7D" w:rsidP="004232D2">
            <w:pPr>
              <w:rPr>
                <w:rFonts w:eastAsia="Aptos"/>
                <w:noProof/>
                <w:color w:val="E97132"/>
                <w:kern w:val="2"/>
                <w:sz w:val="20"/>
                <w:szCs w:val="20"/>
                <w14:ligatures w14:val="standardContextual"/>
              </w:rPr>
            </w:pPr>
            <w:r w:rsidRPr="00302960">
              <w:rPr>
                <w:rFonts w:eastAsia="Aptos"/>
                <w:noProof/>
                <w:color w:val="E97132"/>
                <w:kern w:val="2"/>
                <w:sz w:val="20"/>
                <w:szCs w:val="20"/>
                <w14:ligatures w14:val="standardContextual"/>
              </w:rPr>
              <w:t>2</w:t>
            </w:r>
            <w:r w:rsidRPr="00302960">
              <w:rPr>
                <w:rFonts w:eastAsia="Aptos"/>
                <w:noProof/>
                <w:color w:val="E97132"/>
                <w:kern w:val="2"/>
                <w:sz w:val="20"/>
                <w:szCs w:val="20"/>
                <w:vertAlign w:val="superscript"/>
                <w14:ligatures w14:val="standardContextual"/>
              </w:rPr>
              <w:t>nd</w:t>
            </w:r>
            <w:r w:rsidRPr="00302960">
              <w:rPr>
                <w:rFonts w:eastAsia="Aptos"/>
                <w:noProof/>
                <w:color w:val="E97132"/>
                <w:kern w:val="2"/>
                <w:sz w:val="20"/>
                <w:szCs w:val="20"/>
                <w14:ligatures w14:val="standardContextual"/>
              </w:rPr>
              <w:t xml:space="preserve"> (19%) – “The journey would have taken too long”</w:t>
            </w:r>
          </w:p>
        </w:tc>
      </w:tr>
      <w:tr w:rsidR="00D42D7D" w:rsidRPr="00BE235C" w14:paraId="65336540" w14:textId="77777777" w:rsidTr="004232D2">
        <w:trPr>
          <w:trHeight w:val="228"/>
        </w:trPr>
        <w:tc>
          <w:tcPr>
            <w:tcW w:w="2418" w:type="dxa"/>
          </w:tcPr>
          <w:p w14:paraId="496AF985" w14:textId="77777777" w:rsidR="00D42D7D" w:rsidRPr="00302960" w:rsidRDefault="00D42D7D" w:rsidP="004232D2">
            <w:pPr>
              <w:rPr>
                <w:rFonts w:eastAsia="Aptos"/>
                <w:b/>
                <w:noProof/>
                <w:kern w:val="2"/>
                <w:sz w:val="20"/>
                <w:szCs w:val="20"/>
                <w14:ligatures w14:val="standardContextual"/>
              </w:rPr>
            </w:pPr>
            <w:r w:rsidRPr="00302960">
              <w:rPr>
                <w:rFonts w:eastAsia="Aptos"/>
                <w:b/>
                <w:noProof/>
                <w:kern w:val="2"/>
                <w:sz w:val="20"/>
                <w:szCs w:val="20"/>
                <w14:ligatures w14:val="standardContextual"/>
              </w:rPr>
              <w:t xml:space="preserve">Reliability </w:t>
            </w:r>
          </w:p>
        </w:tc>
        <w:tc>
          <w:tcPr>
            <w:tcW w:w="3536" w:type="dxa"/>
          </w:tcPr>
          <w:p w14:paraId="27F3343E"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N/A</w:t>
            </w:r>
          </w:p>
        </w:tc>
        <w:tc>
          <w:tcPr>
            <w:tcW w:w="4111" w:type="dxa"/>
          </w:tcPr>
          <w:p w14:paraId="3827E898"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N/A</w:t>
            </w:r>
          </w:p>
        </w:tc>
        <w:tc>
          <w:tcPr>
            <w:tcW w:w="4205" w:type="dxa"/>
          </w:tcPr>
          <w:p w14:paraId="6E12E04A"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N/A</w:t>
            </w:r>
          </w:p>
        </w:tc>
      </w:tr>
      <w:tr w:rsidR="00D42D7D" w:rsidRPr="00BE235C" w14:paraId="3D6B5712" w14:textId="77777777" w:rsidTr="004232D2">
        <w:trPr>
          <w:trHeight w:val="672"/>
        </w:trPr>
        <w:tc>
          <w:tcPr>
            <w:tcW w:w="2418" w:type="dxa"/>
          </w:tcPr>
          <w:p w14:paraId="7FC03784" w14:textId="77777777" w:rsidR="00D42D7D" w:rsidRPr="00302960" w:rsidRDefault="00D42D7D" w:rsidP="004232D2">
            <w:pPr>
              <w:rPr>
                <w:rFonts w:eastAsia="Aptos"/>
                <w:b/>
                <w:noProof/>
                <w:kern w:val="2"/>
                <w:sz w:val="20"/>
                <w:szCs w:val="20"/>
                <w14:ligatures w14:val="standardContextual"/>
              </w:rPr>
            </w:pPr>
            <w:r w:rsidRPr="00302960">
              <w:rPr>
                <w:rFonts w:eastAsia="Aptos"/>
                <w:b/>
                <w:noProof/>
                <w:kern w:val="2"/>
                <w:sz w:val="20"/>
                <w:szCs w:val="20"/>
                <w14:ligatures w14:val="standardContextual"/>
              </w:rPr>
              <w:t>Accessibility</w:t>
            </w:r>
          </w:p>
        </w:tc>
        <w:tc>
          <w:tcPr>
            <w:tcW w:w="3536" w:type="dxa"/>
          </w:tcPr>
          <w:p w14:paraId="0C1EB90B"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N/A</w:t>
            </w:r>
          </w:p>
        </w:tc>
        <w:tc>
          <w:tcPr>
            <w:tcW w:w="4111" w:type="dxa"/>
          </w:tcPr>
          <w:p w14:paraId="11AD98AA"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6</w:t>
            </w:r>
            <w:r w:rsidRPr="00302960">
              <w:rPr>
                <w:rFonts w:eastAsia="Aptos"/>
                <w:noProof/>
                <w:kern w:val="2"/>
                <w:sz w:val="20"/>
                <w:szCs w:val="20"/>
                <w:vertAlign w:val="superscript"/>
                <w14:ligatures w14:val="standardContextual"/>
              </w:rPr>
              <w:t>th</w:t>
            </w:r>
            <w:r w:rsidRPr="00302960">
              <w:rPr>
                <w:rFonts w:eastAsia="Aptos"/>
                <w:noProof/>
                <w:kern w:val="2"/>
                <w:sz w:val="20"/>
                <w:szCs w:val="20"/>
                <w14:ligatures w14:val="standardContextual"/>
              </w:rPr>
              <w:t xml:space="preserve"> (6%) – “I never thought about it, did not know it was possible”</w:t>
            </w:r>
          </w:p>
          <w:p w14:paraId="4BC6780A"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7</w:t>
            </w:r>
            <w:r w:rsidRPr="00302960">
              <w:rPr>
                <w:rFonts w:eastAsia="Aptos"/>
                <w:noProof/>
                <w:kern w:val="2"/>
                <w:sz w:val="20"/>
                <w:szCs w:val="20"/>
                <w:vertAlign w:val="superscript"/>
                <w14:ligatures w14:val="standardContextual"/>
              </w:rPr>
              <w:t>th</w:t>
            </w:r>
            <w:r w:rsidRPr="00302960">
              <w:rPr>
                <w:rFonts w:eastAsia="Aptos"/>
                <w:noProof/>
                <w:kern w:val="2"/>
                <w:sz w:val="20"/>
                <w:szCs w:val="20"/>
                <w14:ligatures w14:val="standardContextual"/>
              </w:rPr>
              <w:t xml:space="preserve"> (4%) </w:t>
            </w:r>
            <w:r w:rsidRPr="00302960">
              <w:rPr>
                <w:rFonts w:eastAsia="Aptos"/>
                <w:noProof/>
                <w:sz w:val="20"/>
                <w:szCs w:val="20"/>
              </w:rPr>
              <w:t>–</w:t>
            </w:r>
            <w:r w:rsidRPr="00302960">
              <w:rPr>
                <w:rFonts w:eastAsia="Aptos"/>
                <w:noProof/>
                <w:kern w:val="2"/>
                <w:sz w:val="20"/>
                <w:szCs w:val="20"/>
                <w14:ligatures w14:val="standardContextual"/>
              </w:rPr>
              <w:t xml:space="preserve"> “I did not know where to search for such travel information”</w:t>
            </w:r>
          </w:p>
          <w:p w14:paraId="17F80003" w14:textId="77777777" w:rsidR="00D42D7D" w:rsidRPr="00302960" w:rsidRDefault="00D42D7D" w:rsidP="004232D2">
            <w:pPr>
              <w:rPr>
                <w:rFonts w:eastAsia="Aptos"/>
                <w:noProof/>
                <w:kern w:val="2"/>
                <w:sz w:val="20"/>
                <w:szCs w:val="20"/>
                <w14:ligatures w14:val="standardContextual"/>
              </w:rPr>
            </w:pPr>
            <w:r w:rsidRPr="00302960">
              <w:rPr>
                <w:rFonts w:eastAsia="Aptos"/>
                <w:i/>
                <w:noProof/>
                <w:kern w:val="2"/>
                <w:sz w:val="20"/>
                <w:szCs w:val="20"/>
                <w14:ligatures w14:val="standardContextual"/>
              </w:rPr>
              <w:t>[possible overlaps with Convenience &amp; Information Provision]</w:t>
            </w:r>
          </w:p>
        </w:tc>
        <w:tc>
          <w:tcPr>
            <w:tcW w:w="4205" w:type="dxa"/>
          </w:tcPr>
          <w:p w14:paraId="2025278B"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6</w:t>
            </w:r>
            <w:r w:rsidRPr="00302960">
              <w:rPr>
                <w:rFonts w:eastAsia="Aptos"/>
                <w:noProof/>
                <w:kern w:val="2"/>
                <w:sz w:val="20"/>
                <w:szCs w:val="20"/>
                <w:vertAlign w:val="superscript"/>
                <w14:ligatures w14:val="standardContextual"/>
              </w:rPr>
              <w:t>th</w:t>
            </w:r>
            <w:r w:rsidRPr="00302960">
              <w:rPr>
                <w:rFonts w:eastAsia="Aptos"/>
                <w:noProof/>
                <w:kern w:val="2"/>
                <w:sz w:val="20"/>
                <w:szCs w:val="20"/>
                <w14:ligatures w14:val="standardContextual"/>
              </w:rPr>
              <w:t xml:space="preserve"> (7%) – “I did not know where to search for such travel information”</w:t>
            </w:r>
          </w:p>
          <w:p w14:paraId="4C6AB8AA"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7</w:t>
            </w:r>
            <w:r w:rsidRPr="00302960">
              <w:rPr>
                <w:rFonts w:eastAsia="Aptos"/>
                <w:noProof/>
                <w:kern w:val="2"/>
                <w:sz w:val="20"/>
                <w:szCs w:val="20"/>
                <w:vertAlign w:val="superscript"/>
                <w14:ligatures w14:val="standardContextual"/>
              </w:rPr>
              <w:t>th</w:t>
            </w:r>
            <w:r w:rsidRPr="00302960">
              <w:rPr>
                <w:rFonts w:eastAsia="Aptos"/>
                <w:noProof/>
                <w:kern w:val="2"/>
                <w:sz w:val="20"/>
                <w:szCs w:val="20"/>
                <w14:ligatures w14:val="standardContextual"/>
              </w:rPr>
              <w:t xml:space="preserve"> (6%) </w:t>
            </w:r>
            <w:r w:rsidRPr="00302960">
              <w:rPr>
                <w:rFonts w:eastAsia="Aptos"/>
                <w:noProof/>
                <w:sz w:val="20"/>
                <w:szCs w:val="20"/>
              </w:rPr>
              <w:t>–</w:t>
            </w:r>
            <w:r w:rsidRPr="00302960">
              <w:rPr>
                <w:rFonts w:eastAsia="Aptos"/>
                <w:noProof/>
                <w:kern w:val="2"/>
                <w:sz w:val="20"/>
                <w:szCs w:val="20"/>
                <w14:ligatures w14:val="standardContextual"/>
              </w:rPr>
              <w:t xml:space="preserve"> “I never thought about it, did not know it was possible”</w:t>
            </w:r>
          </w:p>
          <w:p w14:paraId="353B424D" w14:textId="77777777" w:rsidR="00D42D7D" w:rsidRPr="00302960" w:rsidRDefault="00D42D7D" w:rsidP="004232D2">
            <w:pPr>
              <w:rPr>
                <w:rFonts w:eastAsia="Aptos"/>
                <w:noProof/>
                <w:kern w:val="2"/>
                <w:sz w:val="20"/>
                <w:szCs w:val="20"/>
                <w14:ligatures w14:val="standardContextual"/>
              </w:rPr>
            </w:pPr>
            <w:r w:rsidRPr="00302960">
              <w:rPr>
                <w:rFonts w:eastAsia="Aptos"/>
                <w:i/>
                <w:noProof/>
                <w:kern w:val="2"/>
                <w:sz w:val="20"/>
                <w:szCs w:val="20"/>
                <w14:ligatures w14:val="standardContextual"/>
              </w:rPr>
              <w:t>[possible overlaps with Convenience &amp; Information Provision]</w:t>
            </w:r>
          </w:p>
        </w:tc>
      </w:tr>
      <w:tr w:rsidR="00D42D7D" w:rsidRPr="00BE235C" w14:paraId="5A2F4463" w14:textId="77777777" w:rsidTr="004232D2">
        <w:trPr>
          <w:trHeight w:val="408"/>
        </w:trPr>
        <w:tc>
          <w:tcPr>
            <w:tcW w:w="2418" w:type="dxa"/>
          </w:tcPr>
          <w:p w14:paraId="59F811DF" w14:textId="77777777" w:rsidR="00D42D7D" w:rsidRPr="00302960" w:rsidRDefault="00D42D7D" w:rsidP="004232D2">
            <w:pPr>
              <w:rPr>
                <w:rFonts w:eastAsia="Aptos"/>
                <w:b/>
                <w:noProof/>
                <w:kern w:val="2"/>
                <w:sz w:val="20"/>
                <w:szCs w:val="20"/>
                <w14:ligatures w14:val="standardContextual"/>
              </w:rPr>
            </w:pPr>
            <w:r w:rsidRPr="00302960">
              <w:rPr>
                <w:rFonts w:eastAsia="Aptos"/>
                <w:b/>
                <w:noProof/>
                <w:kern w:val="2"/>
                <w:sz w:val="20"/>
                <w:szCs w:val="20"/>
                <w14:ligatures w14:val="standardContextual"/>
              </w:rPr>
              <w:t>Price</w:t>
            </w:r>
          </w:p>
        </w:tc>
        <w:tc>
          <w:tcPr>
            <w:tcW w:w="3536" w:type="dxa"/>
          </w:tcPr>
          <w:p w14:paraId="1CD28B07" w14:textId="77777777" w:rsidR="00D42D7D" w:rsidRPr="00302960" w:rsidRDefault="00D42D7D" w:rsidP="004232D2">
            <w:pPr>
              <w:rPr>
                <w:rFonts w:eastAsia="Aptos"/>
                <w:noProof/>
                <w:color w:val="E97132"/>
                <w:kern w:val="2"/>
                <w:sz w:val="20"/>
                <w:szCs w:val="20"/>
                <w14:ligatures w14:val="standardContextual"/>
              </w:rPr>
            </w:pPr>
            <w:r w:rsidRPr="00302960">
              <w:rPr>
                <w:rFonts w:eastAsia="Aptos"/>
                <w:noProof/>
                <w:color w:val="E97132"/>
                <w:kern w:val="2"/>
                <w:sz w:val="20"/>
                <w:szCs w:val="20"/>
                <w14:ligatures w14:val="standardContextual"/>
              </w:rPr>
              <w:t>2</w:t>
            </w:r>
            <w:r w:rsidRPr="00302960">
              <w:rPr>
                <w:rFonts w:eastAsia="Aptos"/>
                <w:noProof/>
                <w:color w:val="E97132"/>
                <w:kern w:val="2"/>
                <w:sz w:val="20"/>
                <w:szCs w:val="20"/>
                <w:vertAlign w:val="superscript"/>
                <w14:ligatures w14:val="standardContextual"/>
              </w:rPr>
              <w:t>nd</w:t>
            </w:r>
            <w:r w:rsidRPr="00302960">
              <w:rPr>
                <w:rFonts w:eastAsia="Aptos"/>
                <w:noProof/>
                <w:color w:val="E97132"/>
                <w:kern w:val="2"/>
                <w:sz w:val="20"/>
                <w:szCs w:val="20"/>
                <w14:ligatures w14:val="standardContextual"/>
              </w:rPr>
              <w:t xml:space="preserve"> (19%) – “Concerns about hidden costs”</w:t>
            </w:r>
          </w:p>
          <w:p w14:paraId="542C5E6A"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5</w:t>
            </w:r>
            <w:r w:rsidRPr="00302960">
              <w:rPr>
                <w:rFonts w:eastAsia="Aptos"/>
                <w:noProof/>
                <w:kern w:val="2"/>
                <w:sz w:val="20"/>
                <w:szCs w:val="20"/>
                <w:vertAlign w:val="superscript"/>
                <w14:ligatures w14:val="standardContextual"/>
              </w:rPr>
              <w:t>th</w:t>
            </w:r>
            <w:r w:rsidRPr="00302960">
              <w:rPr>
                <w:rFonts w:eastAsia="Aptos"/>
                <w:noProof/>
                <w:kern w:val="2"/>
                <w:sz w:val="20"/>
                <w:szCs w:val="20"/>
                <w14:ligatures w14:val="standardContextual"/>
              </w:rPr>
              <w:t xml:space="preserve"> (14%) </w:t>
            </w:r>
            <w:r w:rsidRPr="00302960">
              <w:rPr>
                <w:rFonts w:eastAsia="Aptos"/>
                <w:noProof/>
                <w:sz w:val="20"/>
                <w:szCs w:val="20"/>
              </w:rPr>
              <w:t xml:space="preserve">– </w:t>
            </w:r>
            <w:r w:rsidRPr="00302960">
              <w:rPr>
                <w:rFonts w:eastAsia="Aptos"/>
                <w:noProof/>
                <w:kern w:val="2"/>
                <w:sz w:val="20"/>
                <w:szCs w:val="20"/>
                <w14:ligatures w14:val="standardContextual"/>
              </w:rPr>
              <w:t xml:space="preserve">“Concerns about the availability of all fares, including special offers” </w:t>
            </w:r>
          </w:p>
          <w:p w14:paraId="452EDE4D" w14:textId="77777777" w:rsidR="00D42D7D" w:rsidRPr="00302960" w:rsidRDefault="00D42D7D" w:rsidP="004232D2">
            <w:pPr>
              <w:rPr>
                <w:rFonts w:eastAsia="Aptos"/>
                <w:noProof/>
                <w:color w:val="E97132"/>
                <w:kern w:val="2"/>
                <w:sz w:val="20"/>
                <w:szCs w:val="20"/>
                <w14:ligatures w14:val="standardContextual"/>
              </w:rPr>
            </w:pPr>
            <w:r w:rsidRPr="00302960">
              <w:rPr>
                <w:rFonts w:eastAsia="Aptos"/>
                <w:i/>
                <w:noProof/>
                <w:kern w:val="2"/>
                <w:sz w:val="20"/>
                <w:szCs w:val="20"/>
                <w14:ligatures w14:val="standardContextual"/>
              </w:rPr>
              <w:t>[possible overlap with Information Provision]</w:t>
            </w:r>
          </w:p>
        </w:tc>
        <w:tc>
          <w:tcPr>
            <w:tcW w:w="4111" w:type="dxa"/>
          </w:tcPr>
          <w:p w14:paraId="321308FD" w14:textId="77777777" w:rsidR="00D42D7D" w:rsidRPr="00302960" w:rsidRDefault="00D42D7D" w:rsidP="004232D2">
            <w:pPr>
              <w:rPr>
                <w:rFonts w:eastAsia="Aptos"/>
                <w:noProof/>
                <w:color w:val="E97132"/>
                <w:kern w:val="2"/>
                <w:sz w:val="20"/>
                <w:szCs w:val="20"/>
                <w14:ligatures w14:val="standardContextual"/>
              </w:rPr>
            </w:pPr>
            <w:r w:rsidRPr="00302960">
              <w:rPr>
                <w:rFonts w:eastAsia="Aptos"/>
                <w:noProof/>
                <w:color w:val="E97132"/>
                <w:kern w:val="2"/>
                <w:sz w:val="20"/>
                <w:szCs w:val="20"/>
                <w14:ligatures w14:val="standardContextual"/>
              </w:rPr>
              <w:t>3</w:t>
            </w:r>
            <w:r w:rsidRPr="00302960">
              <w:rPr>
                <w:rFonts w:eastAsia="Aptos"/>
                <w:noProof/>
                <w:color w:val="E97132"/>
                <w:kern w:val="2"/>
                <w:sz w:val="20"/>
                <w:szCs w:val="20"/>
                <w:vertAlign w:val="superscript"/>
                <w14:ligatures w14:val="standardContextual"/>
              </w:rPr>
              <w:t>rd</w:t>
            </w:r>
            <w:r w:rsidRPr="00302960">
              <w:rPr>
                <w:rFonts w:eastAsia="Aptos"/>
                <w:noProof/>
                <w:color w:val="E97132"/>
                <w:kern w:val="2"/>
                <w:sz w:val="20"/>
                <w:szCs w:val="20"/>
                <w14:ligatures w14:val="standardContextual"/>
              </w:rPr>
              <w:t xml:space="preserve"> (17%) – “It would have been more expensive”</w:t>
            </w:r>
          </w:p>
        </w:tc>
        <w:tc>
          <w:tcPr>
            <w:tcW w:w="4205" w:type="dxa"/>
          </w:tcPr>
          <w:p w14:paraId="1F4CA3A9" w14:textId="77777777" w:rsidR="00D42D7D" w:rsidRPr="00302960" w:rsidRDefault="00D42D7D" w:rsidP="004232D2">
            <w:pPr>
              <w:rPr>
                <w:rFonts w:eastAsia="Aptos"/>
                <w:noProof/>
                <w:color w:val="E97132"/>
                <w:kern w:val="2"/>
                <w:sz w:val="20"/>
                <w:szCs w:val="20"/>
                <w14:ligatures w14:val="standardContextual"/>
              </w:rPr>
            </w:pPr>
            <w:r w:rsidRPr="00302960">
              <w:rPr>
                <w:rFonts w:eastAsia="Aptos"/>
                <w:noProof/>
                <w:kern w:val="2"/>
                <w:sz w:val="20"/>
                <w:szCs w:val="20"/>
                <w14:ligatures w14:val="standardContextual"/>
              </w:rPr>
              <w:t>5</w:t>
            </w:r>
            <w:r w:rsidRPr="00302960">
              <w:rPr>
                <w:rFonts w:eastAsia="Aptos"/>
                <w:noProof/>
                <w:kern w:val="2"/>
                <w:sz w:val="20"/>
                <w:szCs w:val="20"/>
                <w:vertAlign w:val="superscript"/>
                <w14:ligatures w14:val="standardContextual"/>
              </w:rPr>
              <w:t>th</w:t>
            </w:r>
            <w:r w:rsidRPr="00302960">
              <w:rPr>
                <w:rFonts w:eastAsia="Aptos"/>
                <w:noProof/>
                <w:kern w:val="2"/>
                <w:sz w:val="20"/>
                <w:szCs w:val="20"/>
                <w14:ligatures w14:val="standardContextual"/>
              </w:rPr>
              <w:t xml:space="preserve"> (13%)– “It would have been more expensive”</w:t>
            </w:r>
          </w:p>
        </w:tc>
      </w:tr>
      <w:tr w:rsidR="00D42D7D" w:rsidRPr="00BE235C" w14:paraId="53DABD50" w14:textId="77777777" w:rsidTr="004232D2">
        <w:trPr>
          <w:trHeight w:val="254"/>
        </w:trPr>
        <w:tc>
          <w:tcPr>
            <w:tcW w:w="2418" w:type="dxa"/>
          </w:tcPr>
          <w:p w14:paraId="625F7A6E" w14:textId="77777777" w:rsidR="00D42D7D" w:rsidRPr="00302960" w:rsidRDefault="00D42D7D" w:rsidP="004232D2">
            <w:pPr>
              <w:rPr>
                <w:rFonts w:eastAsia="Aptos"/>
                <w:b/>
                <w:noProof/>
                <w:kern w:val="2"/>
                <w:sz w:val="20"/>
                <w:szCs w:val="20"/>
                <w14:ligatures w14:val="standardContextual"/>
              </w:rPr>
            </w:pPr>
            <w:r w:rsidRPr="00302960">
              <w:rPr>
                <w:rFonts w:eastAsia="Aptos"/>
                <w:b/>
                <w:noProof/>
                <w:kern w:val="2"/>
                <w:sz w:val="20"/>
                <w:szCs w:val="20"/>
                <w14:ligatures w14:val="standardContextual"/>
              </w:rPr>
              <w:t>Frequency</w:t>
            </w:r>
          </w:p>
        </w:tc>
        <w:tc>
          <w:tcPr>
            <w:tcW w:w="3536" w:type="dxa"/>
          </w:tcPr>
          <w:p w14:paraId="03E8C075"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N/A</w:t>
            </w:r>
          </w:p>
        </w:tc>
        <w:tc>
          <w:tcPr>
            <w:tcW w:w="4111" w:type="dxa"/>
          </w:tcPr>
          <w:p w14:paraId="132BEA99" w14:textId="77777777" w:rsidR="00D42D7D" w:rsidRPr="00302960" w:rsidRDefault="00D42D7D" w:rsidP="004232D2">
            <w:pPr>
              <w:rPr>
                <w:rFonts w:eastAsia="Aptos"/>
                <w:noProof/>
                <w:color w:val="E97132"/>
                <w:kern w:val="2"/>
                <w:sz w:val="20"/>
                <w:szCs w:val="20"/>
                <w14:ligatures w14:val="standardContextual"/>
              </w:rPr>
            </w:pPr>
            <w:r w:rsidRPr="00302960">
              <w:rPr>
                <w:rFonts w:eastAsia="Aptos"/>
                <w:noProof/>
                <w:kern w:val="2"/>
                <w:sz w:val="20"/>
                <w:szCs w:val="20"/>
                <w14:ligatures w14:val="standardContextual"/>
              </w:rPr>
              <w:t>N/A</w:t>
            </w:r>
          </w:p>
        </w:tc>
        <w:tc>
          <w:tcPr>
            <w:tcW w:w="4205" w:type="dxa"/>
          </w:tcPr>
          <w:p w14:paraId="16D3BBDD" w14:textId="77777777" w:rsidR="00D42D7D" w:rsidRPr="00302960" w:rsidRDefault="00D42D7D" w:rsidP="004232D2">
            <w:pPr>
              <w:rPr>
                <w:rFonts w:eastAsia="Aptos"/>
                <w:noProof/>
                <w:color w:val="E97132"/>
                <w:kern w:val="2"/>
                <w:sz w:val="20"/>
                <w:szCs w:val="20"/>
                <w14:ligatures w14:val="standardContextual"/>
              </w:rPr>
            </w:pPr>
            <w:r w:rsidRPr="00302960">
              <w:rPr>
                <w:rFonts w:eastAsia="Aptos"/>
                <w:noProof/>
                <w:kern w:val="2"/>
                <w:sz w:val="20"/>
                <w:szCs w:val="20"/>
                <w14:ligatures w14:val="standardContextual"/>
              </w:rPr>
              <w:t>N/A</w:t>
            </w:r>
          </w:p>
        </w:tc>
      </w:tr>
      <w:tr w:rsidR="00D42D7D" w:rsidRPr="00BE235C" w14:paraId="675103D5" w14:textId="77777777" w:rsidTr="004232D2">
        <w:trPr>
          <w:trHeight w:val="200"/>
        </w:trPr>
        <w:tc>
          <w:tcPr>
            <w:tcW w:w="2418" w:type="dxa"/>
          </w:tcPr>
          <w:p w14:paraId="099D9077" w14:textId="77777777" w:rsidR="00D42D7D" w:rsidRPr="00302960" w:rsidRDefault="00D42D7D" w:rsidP="004232D2">
            <w:pPr>
              <w:rPr>
                <w:rFonts w:eastAsia="Aptos"/>
                <w:b/>
                <w:noProof/>
                <w:kern w:val="2"/>
                <w:sz w:val="20"/>
                <w:szCs w:val="20"/>
                <w14:ligatures w14:val="standardContextual"/>
              </w:rPr>
            </w:pPr>
            <w:r w:rsidRPr="00302960">
              <w:rPr>
                <w:rFonts w:eastAsia="Aptos"/>
                <w:b/>
                <w:noProof/>
                <w:kern w:val="2"/>
                <w:sz w:val="20"/>
                <w:szCs w:val="20"/>
                <w14:ligatures w14:val="standardContextual"/>
              </w:rPr>
              <w:t>Information Provision</w:t>
            </w:r>
          </w:p>
        </w:tc>
        <w:tc>
          <w:tcPr>
            <w:tcW w:w="3536" w:type="dxa"/>
          </w:tcPr>
          <w:p w14:paraId="7CBBD601" w14:textId="77777777" w:rsidR="00D42D7D" w:rsidRPr="00302960" w:rsidRDefault="00D42D7D" w:rsidP="004232D2">
            <w:pPr>
              <w:rPr>
                <w:rFonts w:eastAsia="Aptos"/>
                <w:noProof/>
                <w:color w:val="E97132"/>
                <w:kern w:val="2"/>
                <w:sz w:val="20"/>
                <w:szCs w:val="20"/>
                <w14:ligatures w14:val="standardContextual"/>
              </w:rPr>
            </w:pPr>
            <w:r w:rsidRPr="00302960">
              <w:rPr>
                <w:rFonts w:eastAsia="Aptos"/>
                <w:noProof/>
                <w:color w:val="E97132"/>
                <w:kern w:val="2"/>
                <w:sz w:val="20"/>
                <w:szCs w:val="20"/>
                <w14:ligatures w14:val="standardContextual"/>
              </w:rPr>
              <w:t>4</w:t>
            </w:r>
            <w:r w:rsidRPr="00302960">
              <w:rPr>
                <w:rFonts w:eastAsia="Aptos"/>
                <w:noProof/>
                <w:color w:val="E97132"/>
                <w:kern w:val="2"/>
                <w:sz w:val="20"/>
                <w:szCs w:val="20"/>
                <w:vertAlign w:val="superscript"/>
                <w14:ligatures w14:val="standardContextual"/>
              </w:rPr>
              <w:t>th</w:t>
            </w:r>
            <w:r w:rsidRPr="00302960">
              <w:rPr>
                <w:rFonts w:eastAsia="Aptos"/>
                <w:noProof/>
                <w:color w:val="E97132"/>
                <w:kern w:val="2"/>
                <w:sz w:val="20"/>
                <w:szCs w:val="20"/>
                <w14:ligatures w14:val="standardContextual"/>
              </w:rPr>
              <w:t xml:space="preserve"> (14%) – “Concerns about completeness of information provided online” </w:t>
            </w:r>
          </w:p>
          <w:p w14:paraId="4D0DEE15"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8</w:t>
            </w:r>
            <w:r w:rsidRPr="00302960">
              <w:rPr>
                <w:rFonts w:eastAsia="Aptos"/>
                <w:noProof/>
                <w:kern w:val="2"/>
                <w:sz w:val="20"/>
                <w:szCs w:val="20"/>
                <w:vertAlign w:val="superscript"/>
                <w14:ligatures w14:val="standardContextual"/>
              </w:rPr>
              <w:t>th</w:t>
            </w:r>
            <w:r w:rsidRPr="00302960">
              <w:rPr>
                <w:rFonts w:eastAsia="Aptos"/>
                <w:noProof/>
                <w:kern w:val="2"/>
                <w:sz w:val="20"/>
                <w:szCs w:val="20"/>
                <w14:ligatures w14:val="standardContextual"/>
              </w:rPr>
              <w:t xml:space="preserve"> (10%) - “Concerns about availability of all alternative travel options”</w:t>
            </w:r>
          </w:p>
        </w:tc>
        <w:tc>
          <w:tcPr>
            <w:tcW w:w="4111" w:type="dxa"/>
          </w:tcPr>
          <w:p w14:paraId="2A737013" w14:textId="77777777" w:rsidR="00D42D7D" w:rsidRPr="00302960" w:rsidRDefault="00D42D7D" w:rsidP="004232D2">
            <w:pPr>
              <w:rPr>
                <w:rFonts w:eastAsia="Aptos"/>
                <w:noProof/>
                <w:color w:val="E97132"/>
                <w:kern w:val="2"/>
                <w:sz w:val="20"/>
                <w:szCs w:val="20"/>
                <w14:ligatures w14:val="standardContextual"/>
              </w:rPr>
            </w:pPr>
            <w:r w:rsidRPr="00302960">
              <w:rPr>
                <w:rFonts w:eastAsia="Aptos"/>
                <w:noProof/>
                <w:color w:val="E97132"/>
                <w:kern w:val="2"/>
                <w:sz w:val="20"/>
                <w:szCs w:val="20"/>
                <w14:ligatures w14:val="standardContextual"/>
              </w:rPr>
              <w:t>4</w:t>
            </w:r>
            <w:r w:rsidRPr="00302960">
              <w:rPr>
                <w:rFonts w:eastAsia="Aptos"/>
                <w:noProof/>
                <w:color w:val="E97132"/>
                <w:kern w:val="2"/>
                <w:sz w:val="20"/>
                <w:szCs w:val="20"/>
                <w:vertAlign w:val="superscript"/>
                <w14:ligatures w14:val="standardContextual"/>
              </w:rPr>
              <w:t>th</w:t>
            </w:r>
            <w:r w:rsidRPr="00302960">
              <w:rPr>
                <w:rFonts w:eastAsia="Aptos"/>
                <w:noProof/>
                <w:color w:val="E97132"/>
                <w:kern w:val="2"/>
                <w:sz w:val="20"/>
                <w:szCs w:val="20"/>
                <w14:ligatures w14:val="standardContextual"/>
              </w:rPr>
              <w:t xml:space="preserve"> (14%) – “I could not find a suitable combination” </w:t>
            </w:r>
          </w:p>
          <w:p w14:paraId="299F5794" w14:textId="77777777" w:rsidR="00D42D7D" w:rsidRPr="00302960" w:rsidRDefault="00D42D7D" w:rsidP="004232D2">
            <w:pPr>
              <w:rPr>
                <w:rFonts w:eastAsia="Aptos"/>
                <w:noProof/>
                <w:color w:val="E97132"/>
                <w:kern w:val="2"/>
                <w:sz w:val="20"/>
                <w:szCs w:val="20"/>
                <w14:ligatures w14:val="standardContextual"/>
              </w:rPr>
            </w:pPr>
            <w:r w:rsidRPr="00302960">
              <w:rPr>
                <w:rFonts w:eastAsia="Aptos"/>
                <w:i/>
                <w:noProof/>
                <w:color w:val="E97132"/>
                <w:kern w:val="2"/>
                <w:sz w:val="20"/>
                <w:szCs w:val="20"/>
                <w14:ligatures w14:val="standardContextual"/>
              </w:rPr>
              <w:t>[possible overlap with Frequency]</w:t>
            </w:r>
          </w:p>
          <w:p w14:paraId="60EF97F7"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9</w:t>
            </w:r>
            <w:r w:rsidRPr="00302960">
              <w:rPr>
                <w:rFonts w:eastAsia="Aptos"/>
                <w:noProof/>
                <w:kern w:val="2"/>
                <w:sz w:val="20"/>
                <w:szCs w:val="20"/>
                <w:vertAlign w:val="superscript"/>
                <w14:ligatures w14:val="standardContextual"/>
              </w:rPr>
              <w:t>th</w:t>
            </w:r>
            <w:r w:rsidRPr="00302960">
              <w:rPr>
                <w:rFonts w:eastAsia="Aptos"/>
                <w:noProof/>
                <w:kern w:val="2"/>
                <w:sz w:val="20"/>
                <w:szCs w:val="20"/>
                <w14:ligatures w14:val="standardContextual"/>
              </w:rPr>
              <w:t xml:space="preserve"> (2%) – “It would have been less environmentally friendly”</w:t>
            </w:r>
          </w:p>
        </w:tc>
        <w:tc>
          <w:tcPr>
            <w:tcW w:w="4205" w:type="dxa"/>
          </w:tcPr>
          <w:p w14:paraId="62A5B858" w14:textId="77777777" w:rsidR="00D42D7D" w:rsidRPr="00302960" w:rsidRDefault="00D42D7D" w:rsidP="004232D2">
            <w:pPr>
              <w:rPr>
                <w:rFonts w:eastAsia="Aptos"/>
                <w:noProof/>
                <w:color w:val="E97132"/>
                <w:kern w:val="2"/>
                <w:sz w:val="20"/>
                <w:szCs w:val="20"/>
                <w14:ligatures w14:val="standardContextual"/>
              </w:rPr>
            </w:pPr>
            <w:r w:rsidRPr="00302960">
              <w:rPr>
                <w:rFonts w:eastAsia="Aptos"/>
                <w:noProof/>
                <w:color w:val="E97132"/>
                <w:kern w:val="2"/>
                <w:sz w:val="20"/>
                <w:szCs w:val="20"/>
                <w14:ligatures w14:val="standardContextual"/>
              </w:rPr>
              <w:t>3</w:t>
            </w:r>
            <w:r w:rsidRPr="00302960">
              <w:rPr>
                <w:rFonts w:eastAsia="Aptos"/>
                <w:noProof/>
                <w:color w:val="E97132"/>
                <w:kern w:val="2"/>
                <w:sz w:val="20"/>
                <w:szCs w:val="20"/>
                <w:vertAlign w:val="superscript"/>
                <w14:ligatures w14:val="standardContextual"/>
              </w:rPr>
              <w:t>rd</w:t>
            </w:r>
            <w:r w:rsidRPr="00302960">
              <w:rPr>
                <w:rFonts w:eastAsia="Aptos"/>
                <w:noProof/>
                <w:color w:val="E97132"/>
                <w:kern w:val="2"/>
                <w:sz w:val="20"/>
                <w:szCs w:val="20"/>
                <w14:ligatures w14:val="standardContextual"/>
              </w:rPr>
              <w:t xml:space="preserve"> (15%) – “I could not find a suitable combination” </w:t>
            </w:r>
          </w:p>
          <w:p w14:paraId="0A9DEB1A" w14:textId="77777777" w:rsidR="00D42D7D" w:rsidRPr="00302960" w:rsidRDefault="00D42D7D" w:rsidP="004232D2">
            <w:pPr>
              <w:rPr>
                <w:rFonts w:eastAsia="Aptos"/>
                <w:noProof/>
                <w:kern w:val="2"/>
                <w:sz w:val="20"/>
                <w:szCs w:val="20"/>
                <w14:ligatures w14:val="standardContextual"/>
              </w:rPr>
            </w:pPr>
            <w:r w:rsidRPr="00302960">
              <w:rPr>
                <w:rFonts w:eastAsia="Aptos"/>
                <w:i/>
                <w:noProof/>
                <w:color w:val="E97132"/>
                <w:kern w:val="2"/>
                <w:sz w:val="20"/>
                <w:szCs w:val="20"/>
                <w14:ligatures w14:val="standardContextual"/>
              </w:rPr>
              <w:t>[possible overlap with Frequency]</w:t>
            </w:r>
          </w:p>
        </w:tc>
      </w:tr>
      <w:tr w:rsidR="00D42D7D" w:rsidRPr="00BE235C" w14:paraId="30D2BE8A" w14:textId="77777777" w:rsidTr="004232D2">
        <w:trPr>
          <w:trHeight w:val="1060"/>
        </w:trPr>
        <w:tc>
          <w:tcPr>
            <w:tcW w:w="2418" w:type="dxa"/>
          </w:tcPr>
          <w:p w14:paraId="2A0CF5D8" w14:textId="77777777" w:rsidR="00D42D7D" w:rsidRPr="00302960" w:rsidRDefault="00D42D7D" w:rsidP="004232D2">
            <w:pPr>
              <w:rPr>
                <w:rFonts w:eastAsia="Aptos"/>
                <w:b/>
                <w:noProof/>
                <w:kern w:val="2"/>
                <w:sz w:val="20"/>
                <w:szCs w:val="20"/>
                <w14:ligatures w14:val="standardContextual"/>
              </w:rPr>
            </w:pPr>
            <w:r w:rsidRPr="00302960">
              <w:rPr>
                <w:rFonts w:eastAsia="Aptos"/>
                <w:b/>
                <w:noProof/>
                <w:kern w:val="2"/>
                <w:sz w:val="20"/>
                <w:szCs w:val="20"/>
                <w14:ligatures w14:val="standardContextual"/>
              </w:rPr>
              <w:t>Ease of Transfers/Interchanges</w:t>
            </w:r>
          </w:p>
        </w:tc>
        <w:tc>
          <w:tcPr>
            <w:tcW w:w="3536" w:type="dxa"/>
          </w:tcPr>
          <w:p w14:paraId="4E4035C9"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N/A</w:t>
            </w:r>
          </w:p>
        </w:tc>
        <w:tc>
          <w:tcPr>
            <w:tcW w:w="4111" w:type="dxa"/>
          </w:tcPr>
          <w:p w14:paraId="105C4374"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5</w:t>
            </w:r>
            <w:r w:rsidRPr="00302960">
              <w:rPr>
                <w:rFonts w:eastAsia="Aptos"/>
                <w:noProof/>
                <w:kern w:val="2"/>
                <w:sz w:val="20"/>
                <w:szCs w:val="20"/>
                <w:vertAlign w:val="superscript"/>
                <w14:ligatures w14:val="standardContextual"/>
              </w:rPr>
              <w:t>th</w:t>
            </w:r>
            <w:r w:rsidRPr="00302960">
              <w:rPr>
                <w:rFonts w:eastAsia="Aptos"/>
                <w:noProof/>
                <w:kern w:val="2"/>
                <w:sz w:val="20"/>
                <w:szCs w:val="20"/>
                <w14:ligatures w14:val="standardContextual"/>
              </w:rPr>
              <w:t xml:space="preserve"> (12%) – “I did not want to buy several separate tickets and risk being stranded if I miss a connection” </w:t>
            </w:r>
          </w:p>
          <w:p w14:paraId="3E946E0A" w14:textId="0D9EB974" w:rsidR="00D42D7D" w:rsidRPr="00302960" w:rsidRDefault="00D42D7D" w:rsidP="004232D2">
            <w:pPr>
              <w:rPr>
                <w:rFonts w:eastAsia="Aptos"/>
                <w:noProof/>
                <w:kern w:val="2"/>
                <w:sz w:val="20"/>
                <w:szCs w:val="20"/>
                <w14:ligatures w14:val="standardContextual"/>
              </w:rPr>
            </w:pPr>
            <w:r w:rsidRPr="00302960">
              <w:rPr>
                <w:rFonts w:eastAsia="Aptos"/>
                <w:i/>
                <w:noProof/>
                <w:kern w:val="2"/>
                <w:sz w:val="20"/>
                <w:szCs w:val="20"/>
                <w14:ligatures w14:val="standardContextual"/>
              </w:rPr>
              <w:t>[possible overlap w</w:t>
            </w:r>
            <w:r w:rsidR="0002116F" w:rsidRPr="00302960">
              <w:rPr>
                <w:rFonts w:eastAsia="Aptos"/>
                <w:i/>
                <w:noProof/>
                <w:kern w:val="2"/>
                <w:sz w:val="20"/>
                <w:szCs w:val="20"/>
                <w14:ligatures w14:val="standardContextual"/>
              </w:rPr>
              <w:t>ith</w:t>
            </w:r>
            <w:r w:rsidRPr="00302960">
              <w:rPr>
                <w:rFonts w:eastAsia="Aptos"/>
                <w:i/>
                <w:noProof/>
                <w:kern w:val="2"/>
                <w:sz w:val="20"/>
                <w:szCs w:val="20"/>
                <w14:ligatures w14:val="standardContextual"/>
              </w:rPr>
              <w:t xml:space="preserve"> Reliability]</w:t>
            </w:r>
          </w:p>
        </w:tc>
        <w:tc>
          <w:tcPr>
            <w:tcW w:w="4205" w:type="dxa"/>
          </w:tcPr>
          <w:p w14:paraId="5F4E589D" w14:textId="77777777" w:rsidR="00D42D7D" w:rsidRPr="00302960" w:rsidRDefault="00D42D7D" w:rsidP="004232D2">
            <w:pPr>
              <w:rPr>
                <w:rFonts w:eastAsia="Aptos"/>
                <w:noProof/>
                <w:color w:val="E97132"/>
                <w:kern w:val="2"/>
                <w:sz w:val="20"/>
                <w:szCs w:val="20"/>
                <w14:ligatures w14:val="standardContextual"/>
              </w:rPr>
            </w:pPr>
            <w:r w:rsidRPr="00302960">
              <w:rPr>
                <w:rFonts w:eastAsia="Aptos"/>
                <w:noProof/>
                <w:color w:val="E97132"/>
                <w:kern w:val="2"/>
                <w:sz w:val="20"/>
                <w:szCs w:val="20"/>
                <w14:ligatures w14:val="standardContextual"/>
              </w:rPr>
              <w:t>4</w:t>
            </w:r>
            <w:r w:rsidRPr="00302960">
              <w:rPr>
                <w:rFonts w:eastAsia="Aptos"/>
                <w:noProof/>
                <w:color w:val="E97132"/>
                <w:kern w:val="2"/>
                <w:sz w:val="20"/>
                <w:szCs w:val="20"/>
                <w:vertAlign w:val="superscript"/>
                <w14:ligatures w14:val="standardContextual"/>
              </w:rPr>
              <w:t>th</w:t>
            </w:r>
            <w:r w:rsidRPr="00302960">
              <w:rPr>
                <w:rFonts w:eastAsia="Aptos"/>
                <w:noProof/>
                <w:color w:val="E97132"/>
                <w:kern w:val="2"/>
                <w:sz w:val="20"/>
                <w:szCs w:val="20"/>
                <w14:ligatures w14:val="standardContextual"/>
              </w:rPr>
              <w:t xml:space="preserve"> (13%) – “I did not want to buy several separate tickets and risk being stranded if I miss a connection” </w:t>
            </w:r>
          </w:p>
          <w:p w14:paraId="5BAA56DA" w14:textId="181E16F9" w:rsidR="00D42D7D" w:rsidRPr="00302960" w:rsidRDefault="00D42D7D" w:rsidP="004232D2">
            <w:pPr>
              <w:rPr>
                <w:rFonts w:eastAsia="Aptos"/>
                <w:noProof/>
                <w:kern w:val="2"/>
                <w:sz w:val="20"/>
                <w:szCs w:val="20"/>
                <w14:ligatures w14:val="standardContextual"/>
              </w:rPr>
            </w:pPr>
            <w:r w:rsidRPr="00302960">
              <w:rPr>
                <w:rFonts w:eastAsia="Aptos"/>
                <w:i/>
                <w:noProof/>
                <w:color w:val="E97132"/>
                <w:kern w:val="2"/>
                <w:sz w:val="20"/>
                <w:szCs w:val="20"/>
                <w14:ligatures w14:val="standardContextual"/>
              </w:rPr>
              <w:t>[possible overlap w</w:t>
            </w:r>
            <w:r w:rsidR="0002116F" w:rsidRPr="00302960">
              <w:rPr>
                <w:rFonts w:eastAsia="Aptos"/>
                <w:i/>
                <w:noProof/>
                <w:color w:val="E97132"/>
                <w:kern w:val="2"/>
                <w:sz w:val="20"/>
                <w:szCs w:val="20"/>
                <w14:ligatures w14:val="standardContextual"/>
              </w:rPr>
              <w:t>ith</w:t>
            </w:r>
            <w:r w:rsidRPr="00302960">
              <w:rPr>
                <w:rFonts w:eastAsia="Aptos"/>
                <w:i/>
                <w:noProof/>
                <w:color w:val="E97132"/>
                <w:kern w:val="2"/>
                <w:sz w:val="20"/>
                <w:szCs w:val="20"/>
                <w14:ligatures w14:val="standardContextual"/>
              </w:rPr>
              <w:t xml:space="preserve"> Reliability]</w:t>
            </w:r>
          </w:p>
        </w:tc>
      </w:tr>
      <w:tr w:rsidR="00D42D7D" w:rsidRPr="00BE235C" w14:paraId="38DB71F3" w14:textId="77777777" w:rsidTr="004232D2">
        <w:trPr>
          <w:trHeight w:val="300"/>
        </w:trPr>
        <w:tc>
          <w:tcPr>
            <w:tcW w:w="2418" w:type="dxa"/>
          </w:tcPr>
          <w:p w14:paraId="1FE489B4" w14:textId="77777777" w:rsidR="00D42D7D" w:rsidRPr="00302960" w:rsidRDefault="00D42D7D" w:rsidP="004232D2">
            <w:pPr>
              <w:rPr>
                <w:rFonts w:eastAsia="Aptos"/>
                <w:b/>
                <w:noProof/>
                <w:kern w:val="2"/>
                <w:sz w:val="20"/>
                <w:szCs w:val="20"/>
                <w14:ligatures w14:val="standardContextual"/>
              </w:rPr>
            </w:pPr>
            <w:r w:rsidRPr="00302960">
              <w:rPr>
                <w:rFonts w:eastAsia="Aptos"/>
                <w:b/>
                <w:noProof/>
                <w:kern w:val="2"/>
                <w:sz w:val="20"/>
                <w:szCs w:val="20"/>
                <w14:ligatures w14:val="standardContextual"/>
              </w:rPr>
              <w:t>Convenience</w:t>
            </w:r>
          </w:p>
        </w:tc>
        <w:tc>
          <w:tcPr>
            <w:tcW w:w="3536" w:type="dxa"/>
          </w:tcPr>
          <w:p w14:paraId="1D838281"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7</w:t>
            </w:r>
            <w:r w:rsidRPr="00302960">
              <w:rPr>
                <w:rFonts w:eastAsia="Aptos"/>
                <w:noProof/>
                <w:kern w:val="2"/>
                <w:sz w:val="20"/>
                <w:szCs w:val="20"/>
                <w:vertAlign w:val="superscript"/>
                <w14:ligatures w14:val="standardContextual"/>
              </w:rPr>
              <w:t>th</w:t>
            </w:r>
            <w:r w:rsidRPr="00302960">
              <w:rPr>
                <w:rFonts w:eastAsia="Aptos"/>
                <w:noProof/>
                <w:kern w:val="2"/>
                <w:sz w:val="20"/>
                <w:szCs w:val="20"/>
                <w14:ligatures w14:val="standardContextual"/>
              </w:rPr>
              <w:t xml:space="preserve"> (11%) </w:t>
            </w:r>
            <w:r w:rsidRPr="00302960">
              <w:rPr>
                <w:rFonts w:eastAsia="Aptos"/>
                <w:noProof/>
                <w:sz w:val="20"/>
                <w:szCs w:val="20"/>
              </w:rPr>
              <w:t>–</w:t>
            </w:r>
            <w:r w:rsidRPr="00302960">
              <w:rPr>
                <w:rFonts w:eastAsia="Aptos"/>
                <w:noProof/>
                <w:kern w:val="2"/>
                <w:sz w:val="20"/>
                <w:szCs w:val="20"/>
                <w14:ligatures w14:val="standardContextual"/>
              </w:rPr>
              <w:t xml:space="preserve"> “Websites or apps to book journeys are difficult to use”</w:t>
            </w:r>
          </w:p>
        </w:tc>
        <w:tc>
          <w:tcPr>
            <w:tcW w:w="4111" w:type="dxa"/>
          </w:tcPr>
          <w:p w14:paraId="5932469C"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8</w:t>
            </w:r>
            <w:r w:rsidRPr="00302960">
              <w:rPr>
                <w:rFonts w:eastAsia="Aptos"/>
                <w:noProof/>
                <w:kern w:val="2"/>
                <w:sz w:val="20"/>
                <w:szCs w:val="20"/>
                <w:vertAlign w:val="superscript"/>
                <w14:ligatures w14:val="standardContextual"/>
              </w:rPr>
              <w:t>th</w:t>
            </w:r>
            <w:r w:rsidRPr="00302960">
              <w:rPr>
                <w:rFonts w:eastAsia="Aptos"/>
                <w:noProof/>
                <w:kern w:val="2"/>
                <w:sz w:val="20"/>
                <w:szCs w:val="20"/>
                <w14:ligatures w14:val="standardContextual"/>
              </w:rPr>
              <w:t xml:space="preserve"> (4%) </w:t>
            </w:r>
            <w:r w:rsidRPr="00302960">
              <w:rPr>
                <w:rFonts w:eastAsia="Aptos"/>
                <w:noProof/>
                <w:sz w:val="20"/>
                <w:szCs w:val="20"/>
              </w:rPr>
              <w:t>–</w:t>
            </w:r>
            <w:r w:rsidRPr="00302960">
              <w:rPr>
                <w:rFonts w:eastAsia="Aptos"/>
                <w:noProof/>
                <w:kern w:val="2"/>
                <w:sz w:val="20"/>
                <w:szCs w:val="20"/>
                <w14:ligatures w14:val="standardContextual"/>
              </w:rPr>
              <w:t xml:space="preserve"> “I could not buy all the tickets I needed in one place”</w:t>
            </w:r>
          </w:p>
        </w:tc>
        <w:tc>
          <w:tcPr>
            <w:tcW w:w="4205" w:type="dxa"/>
          </w:tcPr>
          <w:p w14:paraId="78CBADE7" w14:textId="77777777" w:rsidR="00D42D7D" w:rsidRPr="00302960" w:rsidRDefault="00D42D7D" w:rsidP="004232D2">
            <w:pPr>
              <w:rPr>
                <w:rFonts w:eastAsia="Aptos"/>
                <w:noProof/>
                <w:kern w:val="2"/>
                <w:sz w:val="20"/>
                <w:szCs w:val="20"/>
                <w14:ligatures w14:val="standardContextual"/>
              </w:rPr>
            </w:pPr>
            <w:r w:rsidRPr="00302960">
              <w:rPr>
                <w:rFonts w:eastAsia="Aptos"/>
                <w:noProof/>
                <w:kern w:val="2"/>
                <w:sz w:val="20"/>
                <w:szCs w:val="20"/>
                <w14:ligatures w14:val="standardContextual"/>
              </w:rPr>
              <w:t>8</w:t>
            </w:r>
            <w:r w:rsidRPr="00302960">
              <w:rPr>
                <w:rFonts w:eastAsia="Aptos"/>
                <w:noProof/>
                <w:kern w:val="2"/>
                <w:sz w:val="20"/>
                <w:szCs w:val="20"/>
                <w:vertAlign w:val="superscript"/>
                <w14:ligatures w14:val="standardContextual"/>
              </w:rPr>
              <w:t>th</w:t>
            </w:r>
            <w:r w:rsidRPr="00302960">
              <w:rPr>
                <w:rFonts w:eastAsia="Aptos"/>
                <w:noProof/>
                <w:kern w:val="2"/>
                <w:sz w:val="20"/>
                <w:szCs w:val="20"/>
                <w14:ligatures w14:val="standardContextual"/>
              </w:rPr>
              <w:t xml:space="preserve"> (6%) </w:t>
            </w:r>
            <w:r w:rsidRPr="00302960">
              <w:rPr>
                <w:rFonts w:eastAsia="Aptos"/>
                <w:noProof/>
                <w:sz w:val="20"/>
                <w:szCs w:val="20"/>
              </w:rPr>
              <w:t>–</w:t>
            </w:r>
            <w:r w:rsidRPr="00302960">
              <w:rPr>
                <w:rFonts w:eastAsia="Aptos"/>
                <w:noProof/>
                <w:kern w:val="2"/>
                <w:sz w:val="20"/>
                <w:szCs w:val="20"/>
                <w14:ligatures w14:val="standardContextual"/>
              </w:rPr>
              <w:t xml:space="preserve"> “I could not buy all the tickets I needed in one place”</w:t>
            </w:r>
          </w:p>
        </w:tc>
      </w:tr>
      <w:tr w:rsidR="00D42D7D" w:rsidRPr="00BE235C" w14:paraId="1796C3DC" w14:textId="77777777" w:rsidTr="004232D2">
        <w:trPr>
          <w:trHeight w:val="712"/>
        </w:trPr>
        <w:tc>
          <w:tcPr>
            <w:tcW w:w="2418" w:type="dxa"/>
          </w:tcPr>
          <w:p w14:paraId="55AF5B02" w14:textId="77777777" w:rsidR="00D42D7D" w:rsidRPr="00302960" w:rsidRDefault="00D42D7D" w:rsidP="00381BBF">
            <w:pPr>
              <w:keepNext/>
              <w:rPr>
                <w:rFonts w:eastAsia="Aptos"/>
                <w:b/>
                <w:noProof/>
                <w:kern w:val="2"/>
                <w:sz w:val="20"/>
                <w:szCs w:val="20"/>
                <w14:ligatures w14:val="standardContextual"/>
              </w:rPr>
            </w:pPr>
            <w:r w:rsidRPr="00302960">
              <w:rPr>
                <w:rFonts w:eastAsia="Aptos"/>
                <w:b/>
                <w:noProof/>
                <w:kern w:val="2"/>
                <w:sz w:val="20"/>
                <w:szCs w:val="20"/>
                <w14:ligatures w14:val="standardContextual"/>
              </w:rPr>
              <w:t>Other</w:t>
            </w:r>
          </w:p>
        </w:tc>
        <w:tc>
          <w:tcPr>
            <w:tcW w:w="3536" w:type="dxa"/>
          </w:tcPr>
          <w:p w14:paraId="43432C80" w14:textId="77777777" w:rsidR="00D42D7D" w:rsidRPr="00302960" w:rsidRDefault="00D42D7D" w:rsidP="00381BBF">
            <w:pPr>
              <w:keepNext/>
              <w:rPr>
                <w:rFonts w:eastAsia="Aptos"/>
                <w:noProof/>
                <w:color w:val="E97132"/>
                <w:kern w:val="2"/>
                <w:sz w:val="20"/>
                <w:szCs w:val="20"/>
                <w14:ligatures w14:val="standardContextual"/>
              </w:rPr>
            </w:pPr>
            <w:r w:rsidRPr="00302960">
              <w:rPr>
                <w:rFonts w:eastAsia="Aptos"/>
                <w:noProof/>
                <w:color w:val="E97132"/>
                <w:kern w:val="2"/>
                <w:sz w:val="20"/>
                <w:szCs w:val="20"/>
                <w14:ligatures w14:val="standardContextual"/>
              </w:rPr>
              <w:t>1</w:t>
            </w:r>
            <w:r w:rsidRPr="00302960">
              <w:rPr>
                <w:rFonts w:eastAsia="Aptos"/>
                <w:noProof/>
                <w:color w:val="E97132"/>
                <w:kern w:val="2"/>
                <w:sz w:val="20"/>
                <w:szCs w:val="20"/>
                <w:vertAlign w:val="superscript"/>
                <w14:ligatures w14:val="standardContextual"/>
              </w:rPr>
              <w:t>st</w:t>
            </w:r>
            <w:r w:rsidRPr="00302960">
              <w:rPr>
                <w:rFonts w:eastAsia="Aptos"/>
                <w:noProof/>
                <w:color w:val="E97132"/>
                <w:kern w:val="2"/>
                <w:sz w:val="20"/>
                <w:szCs w:val="20"/>
                <w14:ligatures w14:val="standardContextual"/>
              </w:rPr>
              <w:t xml:space="preserve"> (36%) – “None of these”</w:t>
            </w:r>
          </w:p>
          <w:p w14:paraId="030EFD00" w14:textId="77777777" w:rsidR="00D42D7D" w:rsidRPr="00302960" w:rsidRDefault="00D42D7D" w:rsidP="00381BBF">
            <w:pPr>
              <w:keepNext/>
              <w:rPr>
                <w:rFonts w:eastAsia="Aptos"/>
                <w:noProof/>
                <w:color w:val="E97132"/>
                <w:kern w:val="2"/>
                <w:sz w:val="20"/>
                <w:szCs w:val="20"/>
                <w14:ligatures w14:val="standardContextual"/>
              </w:rPr>
            </w:pPr>
            <w:r w:rsidRPr="00302960">
              <w:rPr>
                <w:rFonts w:eastAsia="Aptos"/>
                <w:noProof/>
                <w:color w:val="E97132"/>
                <w:kern w:val="2"/>
                <w:sz w:val="20"/>
                <w:szCs w:val="20"/>
                <w14:ligatures w14:val="standardContextual"/>
              </w:rPr>
              <w:t>3rd (15%) – "Concerns that it may not be easy to reach a customer support service online"</w:t>
            </w:r>
          </w:p>
          <w:p w14:paraId="710C9BF3" w14:textId="77777777" w:rsidR="00D42D7D" w:rsidRPr="00302960" w:rsidRDefault="00D42D7D" w:rsidP="00381BBF">
            <w:pPr>
              <w:keepNext/>
              <w:rPr>
                <w:rFonts w:eastAsia="Aptos"/>
                <w:noProof/>
                <w:color w:val="E97132"/>
                <w:kern w:val="2"/>
                <w:sz w:val="20"/>
                <w:szCs w:val="20"/>
                <w14:ligatures w14:val="standardContextual"/>
              </w:rPr>
            </w:pPr>
            <w:r w:rsidRPr="00302960">
              <w:rPr>
                <w:rFonts w:eastAsia="Aptos"/>
                <w:noProof/>
                <w:kern w:val="2"/>
                <w:sz w:val="20"/>
                <w:szCs w:val="20"/>
                <w14:ligatures w14:val="standardContextual"/>
              </w:rPr>
              <w:t xml:space="preserve">6th (14%) </w:t>
            </w:r>
            <w:r w:rsidRPr="00302960">
              <w:rPr>
                <w:rFonts w:eastAsia="Aptos"/>
                <w:noProof/>
                <w:sz w:val="20"/>
                <w:szCs w:val="20"/>
              </w:rPr>
              <w:t>–</w:t>
            </w:r>
            <w:r w:rsidRPr="00302960">
              <w:rPr>
                <w:rFonts w:eastAsia="Aptos"/>
                <w:noProof/>
                <w:kern w:val="2"/>
                <w:sz w:val="20"/>
                <w:szCs w:val="20"/>
                <w14:ligatures w14:val="standardContextual"/>
              </w:rPr>
              <w:t xml:space="preserve"> "Concerns about protection of personal information provided during the online booking process".</w:t>
            </w:r>
          </w:p>
        </w:tc>
        <w:tc>
          <w:tcPr>
            <w:tcW w:w="4111" w:type="dxa"/>
          </w:tcPr>
          <w:p w14:paraId="0BC7A6E7" w14:textId="77777777" w:rsidR="00D42D7D" w:rsidRPr="00302960" w:rsidRDefault="00D42D7D" w:rsidP="00381BBF">
            <w:pPr>
              <w:keepNext/>
              <w:rPr>
                <w:rFonts w:eastAsia="Aptos"/>
                <w:noProof/>
                <w:color w:val="E97132"/>
                <w:kern w:val="2"/>
                <w:sz w:val="20"/>
                <w:szCs w:val="20"/>
                <w14:ligatures w14:val="standardContextual"/>
              </w:rPr>
            </w:pPr>
            <w:r w:rsidRPr="00302960">
              <w:rPr>
                <w:rFonts w:eastAsia="Aptos"/>
                <w:noProof/>
                <w:color w:val="E97132"/>
                <w:kern w:val="2"/>
                <w:sz w:val="20"/>
                <w:szCs w:val="20"/>
                <w14:ligatures w14:val="standardContextual"/>
              </w:rPr>
              <w:t>1</w:t>
            </w:r>
            <w:r w:rsidRPr="00302960">
              <w:rPr>
                <w:rFonts w:eastAsia="Aptos"/>
                <w:noProof/>
                <w:color w:val="E97132"/>
                <w:kern w:val="2"/>
                <w:sz w:val="20"/>
                <w:szCs w:val="20"/>
                <w:vertAlign w:val="superscript"/>
                <w14:ligatures w14:val="standardContextual"/>
              </w:rPr>
              <w:t>st</w:t>
            </w:r>
            <w:r w:rsidRPr="00302960">
              <w:rPr>
                <w:rFonts w:eastAsia="Aptos"/>
                <w:noProof/>
                <w:color w:val="E97132"/>
                <w:kern w:val="2"/>
                <w:sz w:val="20"/>
                <w:szCs w:val="20"/>
                <w14:ligatures w14:val="standardContextual"/>
              </w:rPr>
              <w:t xml:space="preserve"> (29%) – “It was not needed (one transport service/operator brought me to my destination)”</w:t>
            </w:r>
          </w:p>
          <w:p w14:paraId="055AAC6F" w14:textId="77777777" w:rsidR="00D42D7D" w:rsidRPr="00302960" w:rsidRDefault="00D42D7D" w:rsidP="00381BBF">
            <w:pPr>
              <w:keepNext/>
              <w:rPr>
                <w:rFonts w:eastAsia="Aptos"/>
                <w:noProof/>
                <w:color w:val="E97132"/>
                <w:kern w:val="2"/>
                <w:sz w:val="20"/>
                <w:szCs w:val="20"/>
                <w14:ligatures w14:val="standardContextual"/>
              </w:rPr>
            </w:pPr>
            <w:r w:rsidRPr="00302960">
              <w:rPr>
                <w:rFonts w:eastAsia="Aptos"/>
                <w:noProof/>
                <w:sz w:val="20"/>
                <w:szCs w:val="20"/>
              </w:rPr>
              <w:t>10</w:t>
            </w:r>
            <w:r w:rsidRPr="00302960">
              <w:rPr>
                <w:rFonts w:eastAsia="Aptos"/>
                <w:noProof/>
                <w:sz w:val="20"/>
                <w:szCs w:val="20"/>
                <w:vertAlign w:val="superscript"/>
              </w:rPr>
              <w:t>th</w:t>
            </w:r>
            <w:r w:rsidRPr="00302960">
              <w:rPr>
                <w:rFonts w:eastAsia="Aptos"/>
                <w:noProof/>
                <w:sz w:val="20"/>
                <w:szCs w:val="20"/>
              </w:rPr>
              <w:t xml:space="preserve"> (8%) – “Other”</w:t>
            </w:r>
          </w:p>
        </w:tc>
        <w:tc>
          <w:tcPr>
            <w:tcW w:w="4205" w:type="dxa"/>
          </w:tcPr>
          <w:p w14:paraId="29F22048" w14:textId="77777777" w:rsidR="00D42D7D" w:rsidRPr="00302960" w:rsidRDefault="00D42D7D" w:rsidP="00381BBF">
            <w:pPr>
              <w:keepNext/>
              <w:rPr>
                <w:rFonts w:eastAsia="Aptos"/>
                <w:noProof/>
                <w:color w:val="E97132"/>
                <w:kern w:val="2"/>
                <w:sz w:val="20"/>
                <w:szCs w:val="20"/>
                <w14:ligatures w14:val="standardContextual"/>
              </w:rPr>
            </w:pPr>
            <w:r w:rsidRPr="00302960">
              <w:rPr>
                <w:rFonts w:eastAsia="Aptos"/>
                <w:noProof/>
                <w:color w:val="E97132"/>
                <w:kern w:val="2"/>
                <w:sz w:val="20"/>
                <w:szCs w:val="20"/>
                <w14:ligatures w14:val="standardContextual"/>
              </w:rPr>
              <w:t>1</w:t>
            </w:r>
            <w:r w:rsidRPr="00302960">
              <w:rPr>
                <w:rFonts w:eastAsia="Aptos"/>
                <w:noProof/>
                <w:color w:val="E97132"/>
                <w:kern w:val="2"/>
                <w:sz w:val="20"/>
                <w:szCs w:val="20"/>
                <w:vertAlign w:val="superscript"/>
                <w14:ligatures w14:val="standardContextual"/>
              </w:rPr>
              <w:t>st</w:t>
            </w:r>
            <w:r w:rsidRPr="00302960">
              <w:rPr>
                <w:rFonts w:eastAsia="Aptos"/>
                <w:noProof/>
                <w:color w:val="E97132"/>
                <w:kern w:val="2"/>
                <w:sz w:val="20"/>
                <w:szCs w:val="20"/>
                <w14:ligatures w14:val="standardContextual"/>
              </w:rPr>
              <w:t xml:space="preserve"> (42%) – “It was not needed (one rail operator brought me to my destination”</w:t>
            </w:r>
          </w:p>
          <w:p w14:paraId="4AE03D26" w14:textId="77777777" w:rsidR="00D42D7D" w:rsidRPr="00302960" w:rsidRDefault="00D42D7D" w:rsidP="00381BBF">
            <w:pPr>
              <w:keepNext/>
              <w:rPr>
                <w:rFonts w:eastAsia="Aptos"/>
                <w:noProof/>
                <w:color w:val="E97132"/>
                <w:kern w:val="2"/>
                <w:sz w:val="20"/>
                <w:szCs w:val="20"/>
                <w14:ligatures w14:val="standardContextual"/>
              </w:rPr>
            </w:pPr>
            <w:r w:rsidRPr="00302960">
              <w:rPr>
                <w:rFonts w:eastAsia="Aptos"/>
                <w:noProof/>
                <w:kern w:val="2"/>
                <w:sz w:val="20"/>
                <w:szCs w:val="20"/>
                <w14:ligatures w14:val="standardContextual"/>
              </w:rPr>
              <w:t>9</w:t>
            </w:r>
            <w:r w:rsidRPr="00302960">
              <w:rPr>
                <w:rFonts w:eastAsia="Aptos"/>
                <w:noProof/>
                <w:kern w:val="2"/>
                <w:sz w:val="20"/>
                <w:szCs w:val="20"/>
                <w:vertAlign w:val="superscript"/>
                <w14:ligatures w14:val="standardContextual"/>
              </w:rPr>
              <w:t>th</w:t>
            </w:r>
            <w:r w:rsidRPr="00302960">
              <w:rPr>
                <w:rFonts w:eastAsia="Aptos"/>
                <w:noProof/>
                <w:kern w:val="2"/>
                <w:sz w:val="20"/>
                <w:szCs w:val="20"/>
                <w14:ligatures w14:val="standardContextual"/>
              </w:rPr>
              <w:t xml:space="preserve"> (5%) – “Other”</w:t>
            </w:r>
          </w:p>
        </w:tc>
      </w:tr>
    </w:tbl>
    <w:p w14:paraId="55F0BA49" w14:textId="7533F86E" w:rsidR="00BE235C" w:rsidRPr="00BE235C" w:rsidRDefault="00BE235C" w:rsidP="00381BBF">
      <w:pPr>
        <w:keepNext/>
        <w:tabs>
          <w:tab w:val="left" w:pos="2302"/>
        </w:tabs>
        <w:spacing w:after="240"/>
        <w:jc w:val="both"/>
        <w:rPr>
          <w:i/>
          <w:iCs/>
          <w:noProof/>
          <w:sz w:val="20"/>
          <w:szCs w:val="20"/>
        </w:rPr>
      </w:pPr>
      <w:r w:rsidRPr="00BE235C">
        <w:rPr>
          <w:i/>
          <w:iCs/>
          <w:noProof/>
          <w:spacing w:val="-8"/>
          <w:sz w:val="20"/>
          <w:szCs w:val="20"/>
        </w:rPr>
        <w:t xml:space="preserve">Source: </w:t>
      </w:r>
      <w:r w:rsidRPr="00BE235C">
        <w:rPr>
          <w:i/>
          <w:iCs/>
          <w:noProof/>
          <w:sz w:val="20"/>
          <w:szCs w:val="20"/>
        </w:rPr>
        <w:t xml:space="preserve">Ricardo et al. (2026), Impact assessment support study; Ricardo analysis based on the </w:t>
      </w:r>
      <w:r w:rsidR="00365D33">
        <w:rPr>
          <w:i/>
          <w:iCs/>
          <w:noProof/>
          <w:sz w:val="20"/>
          <w:szCs w:val="20"/>
        </w:rPr>
        <w:t xml:space="preserve">2024 </w:t>
      </w:r>
      <w:r w:rsidRPr="00BE235C">
        <w:rPr>
          <w:i/>
          <w:iCs/>
          <w:noProof/>
          <w:sz w:val="20"/>
          <w:szCs w:val="20"/>
        </w:rPr>
        <w:t xml:space="preserve">Eurobarometer </w:t>
      </w:r>
      <w:r w:rsidR="00365D33">
        <w:rPr>
          <w:i/>
          <w:iCs/>
          <w:noProof/>
          <w:sz w:val="20"/>
          <w:szCs w:val="20"/>
        </w:rPr>
        <w:t>survey</w:t>
      </w:r>
      <w:r w:rsidRPr="00BE235C">
        <w:rPr>
          <w:i/>
          <w:iCs/>
          <w:noProof/>
          <w:sz w:val="20"/>
          <w:szCs w:val="20"/>
        </w:rPr>
        <w:t>. Note: Excludes “Don’t know” responses</w:t>
      </w:r>
    </w:p>
    <w:p w14:paraId="07704AF7" w14:textId="77777777" w:rsidR="00C92D96" w:rsidRDefault="00C92D96" w:rsidP="00E77D26">
      <w:pPr>
        <w:spacing w:after="240"/>
        <w:jc w:val="both"/>
        <w:rPr>
          <w:b/>
          <w:i/>
          <w:noProof/>
          <w:spacing w:val="-8"/>
        </w:rPr>
      </w:pPr>
    </w:p>
    <w:p w14:paraId="691E5993" w14:textId="77777777" w:rsidR="00C92D96" w:rsidRDefault="00C92D96" w:rsidP="00E77D26">
      <w:pPr>
        <w:spacing w:after="240"/>
        <w:jc w:val="both"/>
        <w:rPr>
          <w:b/>
          <w:i/>
          <w:noProof/>
          <w:spacing w:val="-8"/>
        </w:rPr>
        <w:sectPr w:rsidR="00C92D96" w:rsidSect="00C92D96">
          <w:headerReference w:type="default" r:id="rId43"/>
          <w:footerReference w:type="default" r:id="rId44"/>
          <w:pgSz w:w="16840" w:h="11910" w:orient="landscape"/>
          <w:pgMar w:top="1588" w:right="1021" w:bottom="709" w:left="1021" w:header="0" w:footer="1147" w:gutter="0"/>
          <w:cols w:space="720"/>
          <w:docGrid w:linePitch="299"/>
        </w:sectPr>
      </w:pPr>
    </w:p>
    <w:p w14:paraId="73A5F4A1" w14:textId="4BF461FD" w:rsidR="005930E4" w:rsidRDefault="000E4581" w:rsidP="00E77D26">
      <w:pPr>
        <w:spacing w:after="240"/>
        <w:jc w:val="both"/>
        <w:rPr>
          <w:b/>
          <w:i/>
          <w:noProof/>
          <w:spacing w:val="-8"/>
        </w:rPr>
      </w:pPr>
      <w:r w:rsidRPr="000E4581">
        <w:rPr>
          <w:b/>
          <w:i/>
          <w:noProof/>
          <w:spacing w:val="-8"/>
        </w:rPr>
        <w:t>Group the most important factors into two qualitative parameters retailed for the analysis</w:t>
      </w:r>
    </w:p>
    <w:p w14:paraId="381AF213" w14:textId="30BEFA8B" w:rsidR="004232D2" w:rsidRPr="004E336D" w:rsidRDefault="004232D2" w:rsidP="004232D2">
      <w:pPr>
        <w:spacing w:after="240"/>
        <w:jc w:val="both"/>
        <w:rPr>
          <w:rFonts w:eastAsia="Aptos"/>
          <w:noProof/>
          <w:spacing w:val="-8"/>
          <w:kern w:val="2"/>
          <w14:ligatures w14:val="standardContextual"/>
        </w:rPr>
      </w:pPr>
      <w:r w:rsidRPr="00F86502">
        <w:rPr>
          <w:noProof/>
          <w:spacing w:val="-8"/>
        </w:rPr>
        <w:t xml:space="preserve">To keep the analysis manageable, two qualitative parameters (QP) are </w:t>
      </w:r>
      <w:r w:rsidR="00424C4B">
        <w:rPr>
          <w:noProof/>
          <w:spacing w:val="-8"/>
        </w:rPr>
        <w:t>retained</w:t>
      </w:r>
      <w:r w:rsidRPr="00F86502">
        <w:rPr>
          <w:noProof/>
          <w:spacing w:val="-8"/>
        </w:rPr>
        <w:t xml:space="preserve"> for further analysis in the MPA module: the completeness </w:t>
      </w:r>
      <w:r w:rsidR="004E73D5">
        <w:rPr>
          <w:noProof/>
          <w:spacing w:val="-8"/>
        </w:rPr>
        <w:t>and</w:t>
      </w:r>
      <w:r w:rsidRPr="00F86502">
        <w:rPr>
          <w:noProof/>
          <w:spacing w:val="-8"/>
        </w:rPr>
        <w:t xml:space="preserve"> accuracy of service information (QP1), and the ability to book service offerings (QP2). They are </w:t>
      </w:r>
      <w:r w:rsidRPr="004E336D">
        <w:rPr>
          <w:rFonts w:eastAsia="Aptos"/>
          <w:noProof/>
          <w:spacing w:val="-8"/>
          <w:kern w:val="2"/>
          <w14:ligatures w14:val="standardContextual"/>
        </w:rPr>
        <w:t xml:space="preserve">designed to differentiate between the quantity and quality of information provided on MDMS platforms (QP1) and the capacity to access and book services based on that information (QP2). The weighting between these two </w:t>
      </w:r>
      <w:r w:rsidRPr="00F86502">
        <w:rPr>
          <w:noProof/>
          <w:spacing w:val="-8"/>
        </w:rPr>
        <w:t>qualitative parameters</w:t>
      </w:r>
      <w:r w:rsidRPr="004E336D">
        <w:rPr>
          <w:rFonts w:eastAsia="Aptos"/>
          <w:noProof/>
          <w:spacing w:val="-8"/>
          <w:kern w:val="2"/>
          <w14:ligatures w14:val="standardContextual"/>
        </w:rPr>
        <w:t xml:space="preserve"> is equal within the MPA</w:t>
      </w:r>
      <w:r w:rsidRPr="004E336D">
        <w:rPr>
          <w:rStyle w:val="FootnoteReference"/>
          <w:rFonts w:eastAsia="Aptos"/>
          <w:noProof/>
          <w:spacing w:val="-8"/>
          <w:kern w:val="2"/>
          <w14:ligatures w14:val="standardContextual"/>
        </w:rPr>
        <w:footnoteReference w:id="290"/>
      </w:r>
      <w:r w:rsidRPr="004E336D">
        <w:rPr>
          <w:rFonts w:eastAsia="Aptos"/>
          <w:noProof/>
          <w:spacing w:val="-8"/>
          <w:kern w:val="2"/>
          <w14:ligatures w14:val="standardContextual"/>
        </w:rPr>
        <w:t>.</w:t>
      </w:r>
    </w:p>
    <w:p w14:paraId="0E894AE7" w14:textId="4B37E294" w:rsidR="005D7684" w:rsidRPr="00A874DD" w:rsidRDefault="005D7684" w:rsidP="005D7684">
      <w:pPr>
        <w:tabs>
          <w:tab w:val="left" w:pos="1134"/>
        </w:tabs>
        <w:rPr>
          <w:i/>
          <w:noProof/>
          <w:sz w:val="22"/>
          <w:szCs w:val="22"/>
        </w:rPr>
      </w:pPr>
      <w:r w:rsidRPr="00A874DD">
        <w:rPr>
          <w:i/>
          <w:noProof/>
          <w:sz w:val="22"/>
          <w:szCs w:val="22"/>
        </w:rPr>
        <w:t xml:space="preserve">Table </w:t>
      </w:r>
      <w:r w:rsidRPr="00A874DD">
        <w:rPr>
          <w:i/>
          <w:noProof/>
          <w:sz w:val="22"/>
          <w:szCs w:val="22"/>
        </w:rPr>
        <w:fldChar w:fldCharType="begin"/>
      </w:r>
      <w:r w:rsidRPr="00A874DD">
        <w:rPr>
          <w:i/>
          <w:noProof/>
          <w:sz w:val="22"/>
          <w:szCs w:val="22"/>
        </w:rPr>
        <w:instrText xml:space="preserve"> SEQ Table \* ARABIC </w:instrText>
      </w:r>
      <w:r w:rsidRPr="00A874DD">
        <w:rPr>
          <w:i/>
          <w:noProof/>
          <w:sz w:val="22"/>
          <w:szCs w:val="22"/>
        </w:rPr>
        <w:fldChar w:fldCharType="separate"/>
      </w:r>
      <w:r w:rsidR="0055391F">
        <w:rPr>
          <w:i/>
          <w:noProof/>
          <w:sz w:val="22"/>
          <w:szCs w:val="22"/>
        </w:rPr>
        <w:t>43</w:t>
      </w:r>
      <w:r w:rsidRPr="00A874DD">
        <w:rPr>
          <w:i/>
          <w:noProof/>
          <w:sz w:val="22"/>
          <w:szCs w:val="22"/>
        </w:rPr>
        <w:fldChar w:fldCharType="end"/>
      </w:r>
      <w:r w:rsidRPr="00A874DD">
        <w:rPr>
          <w:i/>
          <w:noProof/>
          <w:sz w:val="22"/>
          <w:szCs w:val="22"/>
        </w:rPr>
        <w:t xml:space="preserve">: </w:t>
      </w:r>
      <w:r w:rsidR="00E73408" w:rsidRPr="00A874DD">
        <w:rPr>
          <w:i/>
          <w:noProof/>
          <w:sz w:val="22"/>
          <w:szCs w:val="22"/>
        </w:rPr>
        <w:t>Qualitative Parameters (QPs) selected for analysis in the MFA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6"/>
        <w:gridCol w:w="3153"/>
        <w:gridCol w:w="4012"/>
      </w:tblGrid>
      <w:tr w:rsidR="00437D56" w:rsidRPr="006C48AD" w14:paraId="64CBE83A" w14:textId="77777777" w:rsidTr="003E6305">
        <w:trPr>
          <w:trHeight w:val="337"/>
        </w:trPr>
        <w:tc>
          <w:tcPr>
            <w:tcW w:w="2436" w:type="dxa"/>
            <w:shd w:val="clear" w:color="auto" w:fill="0070C0"/>
          </w:tcPr>
          <w:p w14:paraId="1D0D03AC" w14:textId="77777777" w:rsidR="00437D56" w:rsidRPr="00A874DD" w:rsidRDefault="00437D56" w:rsidP="003E6305">
            <w:pPr>
              <w:rPr>
                <w:noProof/>
                <w:color w:val="FFFFFF" w:themeColor="background1"/>
                <w:sz w:val="20"/>
                <w:szCs w:val="20"/>
              </w:rPr>
            </w:pPr>
            <w:r w:rsidRPr="00A874DD">
              <w:rPr>
                <w:noProof/>
                <w:color w:val="FFFFFF" w:themeColor="background1"/>
                <w:sz w:val="20"/>
                <w:szCs w:val="20"/>
              </w:rPr>
              <w:t>Qualitative parameter</w:t>
            </w:r>
          </w:p>
        </w:tc>
        <w:tc>
          <w:tcPr>
            <w:tcW w:w="3153" w:type="dxa"/>
            <w:shd w:val="clear" w:color="auto" w:fill="0070C0"/>
          </w:tcPr>
          <w:p w14:paraId="175294EF" w14:textId="77777777" w:rsidR="00437D56" w:rsidRPr="00A874DD" w:rsidRDefault="00437D56" w:rsidP="003E6305">
            <w:pPr>
              <w:rPr>
                <w:noProof/>
                <w:color w:val="FFFFFF" w:themeColor="background1"/>
                <w:sz w:val="20"/>
                <w:szCs w:val="20"/>
              </w:rPr>
            </w:pPr>
            <w:r w:rsidRPr="00A874DD">
              <w:rPr>
                <w:noProof/>
                <w:color w:val="FFFFFF" w:themeColor="background1"/>
                <w:sz w:val="20"/>
                <w:szCs w:val="20"/>
              </w:rPr>
              <w:t>Indicator</w:t>
            </w:r>
          </w:p>
        </w:tc>
        <w:tc>
          <w:tcPr>
            <w:tcW w:w="4012" w:type="dxa"/>
            <w:shd w:val="clear" w:color="auto" w:fill="0070C0"/>
          </w:tcPr>
          <w:p w14:paraId="5628582F" w14:textId="77777777" w:rsidR="00437D56" w:rsidRPr="00A874DD" w:rsidRDefault="00437D56" w:rsidP="003E6305">
            <w:pPr>
              <w:rPr>
                <w:noProof/>
                <w:color w:val="FFFFFF" w:themeColor="background1"/>
                <w:sz w:val="20"/>
                <w:szCs w:val="20"/>
              </w:rPr>
            </w:pPr>
            <w:r w:rsidRPr="00A874DD">
              <w:rPr>
                <w:noProof/>
                <w:color w:val="FFFFFF" w:themeColor="background1"/>
                <w:sz w:val="20"/>
                <w:szCs w:val="20"/>
              </w:rPr>
              <w:t>Explanations</w:t>
            </w:r>
          </w:p>
        </w:tc>
      </w:tr>
      <w:tr w:rsidR="00437D56" w:rsidRPr="00F86502" w14:paraId="29B3A862" w14:textId="77777777" w:rsidTr="003E6305">
        <w:trPr>
          <w:trHeight w:val="1461"/>
        </w:trPr>
        <w:tc>
          <w:tcPr>
            <w:tcW w:w="2436" w:type="dxa"/>
          </w:tcPr>
          <w:p w14:paraId="7D98DB26" w14:textId="77777777" w:rsidR="00437D56" w:rsidRPr="00A874DD" w:rsidRDefault="00437D56" w:rsidP="003E6305">
            <w:pPr>
              <w:rPr>
                <w:b/>
                <w:noProof/>
                <w:sz w:val="20"/>
                <w:szCs w:val="20"/>
              </w:rPr>
            </w:pPr>
            <w:r w:rsidRPr="00A874DD">
              <w:rPr>
                <w:b/>
                <w:noProof/>
                <w:sz w:val="20"/>
                <w:szCs w:val="20"/>
              </w:rPr>
              <w:t xml:space="preserve">QP1: Completeness &amp; accuracy of service information. </w:t>
            </w:r>
          </w:p>
          <w:p w14:paraId="6C1C3817" w14:textId="77777777" w:rsidR="00437D56" w:rsidRPr="00A874DD" w:rsidRDefault="00437D56" w:rsidP="003E6305">
            <w:pPr>
              <w:rPr>
                <w:b/>
                <w:noProof/>
                <w:sz w:val="20"/>
                <w:szCs w:val="20"/>
              </w:rPr>
            </w:pPr>
          </w:p>
        </w:tc>
        <w:tc>
          <w:tcPr>
            <w:tcW w:w="3153" w:type="dxa"/>
          </w:tcPr>
          <w:p w14:paraId="11A0AACB" w14:textId="65CE894C" w:rsidR="00437D56" w:rsidRPr="00A874DD" w:rsidRDefault="00437D56" w:rsidP="003E6305">
            <w:pPr>
              <w:rPr>
                <w:noProof/>
                <w:sz w:val="20"/>
                <w:szCs w:val="20"/>
              </w:rPr>
            </w:pPr>
            <w:r w:rsidRPr="00A874DD">
              <w:rPr>
                <w:noProof/>
                <w:sz w:val="20"/>
                <w:szCs w:val="20"/>
              </w:rPr>
              <w:t>The degree to which all offerings are possible to see on an MDMS platform and such information accurately reflects real-world operations.</w:t>
            </w:r>
          </w:p>
        </w:tc>
        <w:tc>
          <w:tcPr>
            <w:tcW w:w="4012" w:type="dxa"/>
          </w:tcPr>
          <w:p w14:paraId="5BC4D887" w14:textId="77777777" w:rsidR="00437D56" w:rsidRPr="00A874DD" w:rsidRDefault="00437D56" w:rsidP="003E6305">
            <w:pPr>
              <w:rPr>
                <w:noProof/>
                <w:sz w:val="20"/>
                <w:szCs w:val="20"/>
              </w:rPr>
            </w:pPr>
            <w:r w:rsidRPr="00A874DD">
              <w:rPr>
                <w:noProof/>
                <w:sz w:val="20"/>
                <w:szCs w:val="20"/>
              </w:rPr>
              <w:t>This QP is linked to Information Provision as a parameter addressing both the completeness and accuracy of information provided to consumers on MDMS platforms. This can have an impact on modal choice.</w:t>
            </w:r>
          </w:p>
        </w:tc>
      </w:tr>
      <w:tr w:rsidR="00437D56" w:rsidRPr="00F86502" w14:paraId="5CFCE300" w14:textId="77777777" w:rsidTr="003E6305">
        <w:trPr>
          <w:trHeight w:val="1888"/>
        </w:trPr>
        <w:tc>
          <w:tcPr>
            <w:tcW w:w="2436" w:type="dxa"/>
          </w:tcPr>
          <w:p w14:paraId="6C4F7C4F" w14:textId="77777777" w:rsidR="00437D56" w:rsidRPr="00A874DD" w:rsidRDefault="00437D56" w:rsidP="003E6305">
            <w:pPr>
              <w:rPr>
                <w:b/>
                <w:noProof/>
                <w:sz w:val="20"/>
                <w:szCs w:val="20"/>
              </w:rPr>
            </w:pPr>
            <w:r w:rsidRPr="00A874DD">
              <w:rPr>
                <w:b/>
                <w:noProof/>
                <w:sz w:val="20"/>
                <w:szCs w:val="20"/>
              </w:rPr>
              <w:t>QP2: Ability to book service offerings.</w:t>
            </w:r>
          </w:p>
          <w:p w14:paraId="4060D231" w14:textId="77777777" w:rsidR="00437D56" w:rsidRPr="00A874DD" w:rsidRDefault="00437D56" w:rsidP="003E6305">
            <w:pPr>
              <w:rPr>
                <w:b/>
                <w:noProof/>
                <w:sz w:val="20"/>
                <w:szCs w:val="20"/>
              </w:rPr>
            </w:pPr>
          </w:p>
        </w:tc>
        <w:tc>
          <w:tcPr>
            <w:tcW w:w="3153" w:type="dxa"/>
          </w:tcPr>
          <w:p w14:paraId="5D6C866E" w14:textId="77777777" w:rsidR="00437D56" w:rsidRPr="00A874DD" w:rsidRDefault="00437D56" w:rsidP="003E6305">
            <w:pPr>
              <w:rPr>
                <w:noProof/>
                <w:sz w:val="20"/>
                <w:szCs w:val="20"/>
              </w:rPr>
            </w:pPr>
            <w:r w:rsidRPr="00A874DD">
              <w:rPr>
                <w:noProof/>
                <w:sz w:val="20"/>
                <w:szCs w:val="20"/>
              </w:rPr>
              <w:t>The degree to which consumers can book any convenient multimodal travel options that are visible on an MDMS platform.</w:t>
            </w:r>
          </w:p>
        </w:tc>
        <w:tc>
          <w:tcPr>
            <w:tcW w:w="4012" w:type="dxa"/>
          </w:tcPr>
          <w:p w14:paraId="276E01A1" w14:textId="77777777" w:rsidR="00437D56" w:rsidRPr="00A874DD" w:rsidRDefault="00437D56" w:rsidP="003E6305">
            <w:pPr>
              <w:rPr>
                <w:noProof/>
                <w:sz w:val="20"/>
                <w:szCs w:val="20"/>
              </w:rPr>
            </w:pPr>
            <w:r w:rsidRPr="00A874DD">
              <w:rPr>
                <w:noProof/>
                <w:sz w:val="20"/>
                <w:szCs w:val="20"/>
              </w:rPr>
              <w:t>This QP relates to Convenience in giving consumers the ability to book from more operators through a single MDMS platform.</w:t>
            </w:r>
          </w:p>
          <w:p w14:paraId="424144E5" w14:textId="77777777" w:rsidR="00437D56" w:rsidRPr="00A874DD" w:rsidRDefault="00437D56" w:rsidP="003E6305">
            <w:pPr>
              <w:rPr>
                <w:i/>
                <w:noProof/>
                <w:sz w:val="20"/>
                <w:szCs w:val="20"/>
              </w:rPr>
            </w:pPr>
            <w:r w:rsidRPr="00A874DD">
              <w:rPr>
                <w:i/>
                <w:noProof/>
                <w:sz w:val="20"/>
                <w:szCs w:val="20"/>
              </w:rPr>
              <w:t>(This is also less closely linked to Ease of Transfer/Interchanges and Reliability in creating the ability to book journeys with lower waiting times and/or lower risk of missed connections.)</w:t>
            </w:r>
          </w:p>
        </w:tc>
      </w:tr>
    </w:tbl>
    <w:p w14:paraId="15B91BB0" w14:textId="77777777" w:rsidR="003E6305" w:rsidRPr="00D71008" w:rsidRDefault="003E6305" w:rsidP="003E6305">
      <w:pPr>
        <w:keepNext/>
        <w:tabs>
          <w:tab w:val="left" w:pos="2302"/>
        </w:tabs>
        <w:spacing w:after="240"/>
        <w:jc w:val="both"/>
        <w:rPr>
          <w:i/>
          <w:iCs/>
          <w:noProof/>
          <w:sz w:val="20"/>
          <w:szCs w:val="20"/>
        </w:rPr>
      </w:pPr>
      <w:r w:rsidRPr="00D71008">
        <w:rPr>
          <w:i/>
          <w:iCs/>
          <w:noProof/>
          <w:spacing w:val="-8"/>
          <w:sz w:val="20"/>
          <w:szCs w:val="20"/>
        </w:rPr>
        <w:t xml:space="preserve">Source: </w:t>
      </w:r>
      <w:r w:rsidRPr="00D71008">
        <w:rPr>
          <w:i/>
          <w:iCs/>
          <w:noProof/>
          <w:sz w:val="20"/>
          <w:szCs w:val="20"/>
        </w:rPr>
        <w:t>Ricardo et al. (2026), Impact assessment support study</w:t>
      </w:r>
    </w:p>
    <w:p w14:paraId="1CBF81A8" w14:textId="42AED308" w:rsidR="00BB1D60" w:rsidRPr="006A6B7E" w:rsidRDefault="00262FAE" w:rsidP="007B2D8E">
      <w:pPr>
        <w:pStyle w:val="ListParagraph"/>
        <w:numPr>
          <w:ilvl w:val="3"/>
          <w:numId w:val="10"/>
        </w:numPr>
        <w:spacing w:after="240"/>
        <w:ind w:left="1276" w:hanging="851"/>
        <w:jc w:val="both"/>
        <w:rPr>
          <w:noProof/>
          <w:sz w:val="24"/>
          <w:szCs w:val="24"/>
        </w:rPr>
      </w:pPr>
      <w:r w:rsidRPr="006A6B7E">
        <w:rPr>
          <w:noProof/>
          <w:sz w:val="24"/>
          <w:szCs w:val="24"/>
        </w:rPr>
        <w:t>Maximum potential mod</w:t>
      </w:r>
      <w:r w:rsidR="00C5593A">
        <w:rPr>
          <w:noProof/>
          <w:sz w:val="24"/>
          <w:szCs w:val="24"/>
        </w:rPr>
        <w:t>a</w:t>
      </w:r>
      <w:r w:rsidRPr="006A6B7E">
        <w:rPr>
          <w:noProof/>
          <w:sz w:val="24"/>
          <w:szCs w:val="24"/>
        </w:rPr>
        <w:t xml:space="preserve">l shift </w:t>
      </w:r>
      <w:r w:rsidR="00B26FFA">
        <w:rPr>
          <w:noProof/>
          <w:sz w:val="24"/>
          <w:szCs w:val="24"/>
        </w:rPr>
        <w:t xml:space="preserve">and the modal shift </w:t>
      </w:r>
      <w:r w:rsidRPr="006A6B7E">
        <w:rPr>
          <w:noProof/>
          <w:sz w:val="24"/>
          <w:szCs w:val="24"/>
        </w:rPr>
        <w:t>due to the ability to see all rail offerings on MDMS platforms and the ability to book all visible travel options on MDMS platforms</w:t>
      </w:r>
      <w:r w:rsidR="00B26FFA">
        <w:rPr>
          <w:noProof/>
          <w:sz w:val="24"/>
          <w:szCs w:val="24"/>
        </w:rPr>
        <w:t xml:space="preserve"> in the policy options assessed</w:t>
      </w:r>
    </w:p>
    <w:p w14:paraId="74B5D279" w14:textId="7DC6E03E" w:rsidR="00010FB8" w:rsidRPr="00010FB8" w:rsidRDefault="00010FB8" w:rsidP="00314F79">
      <w:pPr>
        <w:spacing w:after="240"/>
        <w:jc w:val="both"/>
        <w:rPr>
          <w:b/>
          <w:i/>
          <w:noProof/>
          <w:spacing w:val="-8"/>
        </w:rPr>
      </w:pPr>
      <w:r w:rsidRPr="00010FB8">
        <w:rPr>
          <w:b/>
          <w:i/>
          <w:noProof/>
          <w:spacing w:val="-8"/>
        </w:rPr>
        <w:t xml:space="preserve">Maximum potential modal shift </w:t>
      </w:r>
      <w:r w:rsidRPr="00010FB8">
        <w:rPr>
          <w:b/>
          <w:i/>
          <w:noProof/>
        </w:rPr>
        <w:t>due to the ability to see all rail offerings on MDMS platforms and the ability to book all visible travel options on MDMS platforms</w:t>
      </w:r>
    </w:p>
    <w:p w14:paraId="3405091F" w14:textId="3398AFF3" w:rsidR="00221C6D" w:rsidRDefault="0073247D" w:rsidP="008A4B80">
      <w:pPr>
        <w:spacing w:after="240"/>
        <w:jc w:val="both"/>
        <w:rPr>
          <w:rFonts w:cs="Arial"/>
          <w:noProof/>
          <w:spacing w:val="-8"/>
        </w:rPr>
      </w:pPr>
      <w:r w:rsidRPr="006A6B7E">
        <w:rPr>
          <w:noProof/>
          <w:spacing w:val="-8"/>
        </w:rPr>
        <w:t xml:space="preserve">The </w:t>
      </w:r>
      <w:r w:rsidR="005A638D">
        <w:rPr>
          <w:noProof/>
          <w:spacing w:val="-8"/>
        </w:rPr>
        <w:t xml:space="preserve">evidence used for deriving the </w:t>
      </w:r>
      <w:r w:rsidRPr="006A6B7E">
        <w:rPr>
          <w:noProof/>
          <w:spacing w:val="-8"/>
        </w:rPr>
        <w:t xml:space="preserve">maximum </w:t>
      </w:r>
      <w:r w:rsidR="007356C3" w:rsidRPr="006A6B7E">
        <w:rPr>
          <w:noProof/>
          <w:spacing w:val="-8"/>
        </w:rPr>
        <w:t xml:space="preserve">potential </w:t>
      </w:r>
      <w:r w:rsidR="00D8457C" w:rsidRPr="006A6B7E">
        <w:rPr>
          <w:noProof/>
          <w:spacing w:val="-8"/>
        </w:rPr>
        <w:t xml:space="preserve">modal shift (upper </w:t>
      </w:r>
      <w:r w:rsidR="000E2CF4" w:rsidRPr="006A6B7E">
        <w:rPr>
          <w:noProof/>
          <w:spacing w:val="-8"/>
        </w:rPr>
        <w:t>bound impact)</w:t>
      </w:r>
      <w:r w:rsidR="001C4831">
        <w:rPr>
          <w:rStyle w:val="FootnoteReference"/>
          <w:noProof/>
          <w:spacing w:val="-8"/>
        </w:rPr>
        <w:footnoteReference w:id="291"/>
      </w:r>
      <w:r w:rsidR="000E2CF4" w:rsidRPr="006A6B7E">
        <w:rPr>
          <w:noProof/>
          <w:spacing w:val="-8"/>
        </w:rPr>
        <w:t xml:space="preserve"> </w:t>
      </w:r>
      <w:r w:rsidR="00DB3BE4" w:rsidRPr="006A6B7E">
        <w:rPr>
          <w:noProof/>
          <w:spacing w:val="-8"/>
        </w:rPr>
        <w:t>due to the ability to see all rail offerings on MDMS platforms</w:t>
      </w:r>
      <w:r w:rsidR="00D973FA" w:rsidRPr="006A6B7E">
        <w:rPr>
          <w:rStyle w:val="FootnoteReference"/>
          <w:noProof/>
          <w:spacing w:val="-8"/>
        </w:rPr>
        <w:footnoteReference w:id="292"/>
      </w:r>
      <w:r w:rsidR="00DB3BE4" w:rsidRPr="006A6B7E">
        <w:rPr>
          <w:noProof/>
          <w:spacing w:val="-8"/>
        </w:rPr>
        <w:t xml:space="preserve"> and the ability to book all visible travel options on MDMS platforms</w:t>
      </w:r>
      <w:r w:rsidR="00987328">
        <w:rPr>
          <w:noProof/>
          <w:spacing w:val="-8"/>
        </w:rPr>
        <w:t xml:space="preserve"> in the context of the impact assessment support study,</w:t>
      </w:r>
      <w:r w:rsidR="00DA5983" w:rsidRPr="006A6B7E">
        <w:rPr>
          <w:noProof/>
          <w:spacing w:val="-8"/>
        </w:rPr>
        <w:t xml:space="preserve"> </w:t>
      </w:r>
      <w:r w:rsidR="00221C6D">
        <w:rPr>
          <w:noProof/>
          <w:spacing w:val="-8"/>
        </w:rPr>
        <w:t>draws on</w:t>
      </w:r>
      <w:r w:rsidR="003264CF">
        <w:rPr>
          <w:rFonts w:cs="Arial"/>
          <w:noProof/>
          <w:spacing w:val="-8"/>
        </w:rPr>
        <w:t>:</w:t>
      </w:r>
      <w:r w:rsidR="00DA5983" w:rsidRPr="006A6B7E">
        <w:rPr>
          <w:rFonts w:cs="Arial"/>
          <w:noProof/>
          <w:spacing w:val="-8"/>
        </w:rPr>
        <w:t xml:space="preserve"> </w:t>
      </w:r>
    </w:p>
    <w:p w14:paraId="4C3B9505" w14:textId="7CC78BF4" w:rsidR="00221C6D" w:rsidRDefault="00443959" w:rsidP="001979E4">
      <w:pPr>
        <w:pStyle w:val="ListParagraph"/>
        <w:numPr>
          <w:ilvl w:val="0"/>
          <w:numId w:val="23"/>
        </w:numPr>
        <w:spacing w:before="0" w:after="120"/>
        <w:ind w:left="357" w:hanging="357"/>
        <w:jc w:val="both"/>
        <w:rPr>
          <w:rFonts w:cs="Arial"/>
          <w:noProof/>
          <w:spacing w:val="-8"/>
          <w:sz w:val="24"/>
          <w:szCs w:val="24"/>
        </w:rPr>
      </w:pPr>
      <w:r>
        <w:rPr>
          <w:rFonts w:cs="Arial"/>
          <w:noProof/>
          <w:spacing w:val="-8"/>
          <w:sz w:val="24"/>
          <w:szCs w:val="24"/>
        </w:rPr>
        <w:t>Literature review;</w:t>
      </w:r>
    </w:p>
    <w:p w14:paraId="143E30DC" w14:textId="35C9BA77" w:rsidR="00443959" w:rsidRDefault="00635B73" w:rsidP="001979E4">
      <w:pPr>
        <w:pStyle w:val="ListParagraph"/>
        <w:numPr>
          <w:ilvl w:val="0"/>
          <w:numId w:val="23"/>
        </w:numPr>
        <w:spacing w:before="0" w:after="120"/>
        <w:ind w:left="357" w:hanging="357"/>
        <w:jc w:val="both"/>
        <w:rPr>
          <w:rFonts w:cs="Arial"/>
          <w:noProof/>
          <w:spacing w:val="-8"/>
          <w:sz w:val="24"/>
          <w:szCs w:val="24"/>
        </w:rPr>
      </w:pPr>
      <w:r w:rsidRPr="008A4B80">
        <w:rPr>
          <w:rFonts w:cs="Arial"/>
          <w:noProof/>
          <w:spacing w:val="-8"/>
          <w:sz w:val="24"/>
          <w:szCs w:val="24"/>
        </w:rPr>
        <w:t>Targeted survey and interviews</w:t>
      </w:r>
      <w:r w:rsidR="008A4B80">
        <w:rPr>
          <w:rFonts w:cs="Arial"/>
          <w:noProof/>
          <w:spacing w:val="-8"/>
          <w:sz w:val="24"/>
          <w:szCs w:val="24"/>
        </w:rPr>
        <w:t>;</w:t>
      </w:r>
    </w:p>
    <w:p w14:paraId="1150E253" w14:textId="0169F9FE" w:rsidR="00573B73" w:rsidRDefault="00573B73" w:rsidP="001979E4">
      <w:pPr>
        <w:pStyle w:val="ListParagraph"/>
        <w:numPr>
          <w:ilvl w:val="0"/>
          <w:numId w:val="23"/>
        </w:numPr>
        <w:spacing w:before="0" w:after="120"/>
        <w:ind w:left="357" w:hanging="357"/>
        <w:jc w:val="both"/>
        <w:rPr>
          <w:rFonts w:cs="Arial"/>
          <w:noProof/>
          <w:spacing w:val="-8"/>
          <w:sz w:val="24"/>
          <w:szCs w:val="24"/>
        </w:rPr>
      </w:pPr>
      <w:r w:rsidRPr="00573B73">
        <w:rPr>
          <w:rFonts w:cs="Arial"/>
          <w:noProof/>
          <w:spacing w:val="-8"/>
          <w:sz w:val="24"/>
          <w:szCs w:val="24"/>
        </w:rPr>
        <w:t>Expert workshop</w:t>
      </w:r>
      <w:r w:rsidR="008A4B80">
        <w:rPr>
          <w:rFonts w:cs="Arial"/>
          <w:noProof/>
          <w:spacing w:val="-8"/>
          <w:sz w:val="24"/>
          <w:szCs w:val="24"/>
        </w:rPr>
        <w:t>;</w:t>
      </w:r>
    </w:p>
    <w:p w14:paraId="3BE827D0" w14:textId="12D3FF51" w:rsidR="008A4B80" w:rsidRPr="008A4B80" w:rsidRDefault="008A4B80" w:rsidP="001979E4">
      <w:pPr>
        <w:pStyle w:val="ListParagraph"/>
        <w:numPr>
          <w:ilvl w:val="0"/>
          <w:numId w:val="23"/>
        </w:numPr>
        <w:spacing w:before="0" w:after="240"/>
        <w:ind w:left="357" w:hanging="357"/>
        <w:jc w:val="both"/>
        <w:rPr>
          <w:rFonts w:cs="Arial"/>
          <w:noProof/>
          <w:spacing w:val="-8"/>
          <w:sz w:val="24"/>
          <w:szCs w:val="24"/>
        </w:rPr>
      </w:pPr>
      <w:r w:rsidRPr="008A4B80">
        <w:rPr>
          <w:rFonts w:cs="Arial"/>
          <w:noProof/>
          <w:spacing w:val="-8"/>
          <w:sz w:val="24"/>
          <w:szCs w:val="24"/>
        </w:rPr>
        <w:t>Eurobarometer survey</w:t>
      </w:r>
      <w:r>
        <w:rPr>
          <w:rFonts w:cs="Arial"/>
          <w:noProof/>
          <w:spacing w:val="-8"/>
          <w:sz w:val="24"/>
          <w:szCs w:val="24"/>
        </w:rPr>
        <w:t>.</w:t>
      </w:r>
    </w:p>
    <w:p w14:paraId="476D15C1" w14:textId="2368048E" w:rsidR="00221C6D" w:rsidRDefault="00C51646" w:rsidP="00C6618B">
      <w:pPr>
        <w:widowControl w:val="0"/>
        <w:spacing w:after="240"/>
        <w:jc w:val="both"/>
        <w:rPr>
          <w:rFonts w:cs="Arial"/>
          <w:noProof/>
          <w:spacing w:val="-8"/>
        </w:rPr>
      </w:pPr>
      <w:r w:rsidRPr="00A2559A">
        <w:rPr>
          <w:noProof/>
          <w:spacing w:val="-8"/>
        </w:rPr>
        <w:t xml:space="preserve">The </w:t>
      </w:r>
      <w:r w:rsidRPr="00A2559A">
        <w:rPr>
          <w:i/>
          <w:noProof/>
          <w:spacing w:val="-8"/>
        </w:rPr>
        <w:t>literature review</w:t>
      </w:r>
      <w:r w:rsidRPr="00A2559A">
        <w:rPr>
          <w:noProof/>
          <w:spacing w:val="-8"/>
        </w:rPr>
        <w:t xml:space="preserve"> assessed the modal shift potential of introducing high-speed rail</w:t>
      </w:r>
      <w:r w:rsidRPr="00A2559A">
        <w:rPr>
          <w:rStyle w:val="FootnoteReference"/>
          <w:noProof/>
          <w:spacing w:val="-8"/>
        </w:rPr>
        <w:footnoteReference w:id="293"/>
      </w:r>
      <w:r w:rsidRPr="00A2559A">
        <w:rPr>
          <w:noProof/>
          <w:spacing w:val="-8"/>
        </w:rPr>
        <w:t>, demand-responsive transport</w:t>
      </w:r>
      <w:r w:rsidRPr="00A2559A">
        <w:rPr>
          <w:rStyle w:val="FootnoteReference"/>
          <w:noProof/>
          <w:spacing w:val="-8"/>
        </w:rPr>
        <w:footnoteReference w:id="294"/>
      </w:r>
      <w:r w:rsidR="00106214">
        <w:rPr>
          <w:noProof/>
          <w:spacing w:val="-8"/>
        </w:rPr>
        <w:t>,</w:t>
      </w:r>
      <w:r w:rsidRPr="00A2559A">
        <w:rPr>
          <w:noProof/>
          <w:spacing w:val="-8"/>
        </w:rPr>
        <w:t xml:space="preserve"> or Mobility-as-a-Service (MaaS)</w:t>
      </w:r>
      <w:r w:rsidRPr="00A2559A">
        <w:rPr>
          <w:rStyle w:val="FootnoteReference"/>
          <w:noProof/>
          <w:spacing w:val="-8"/>
        </w:rPr>
        <w:footnoteReference w:id="295"/>
      </w:r>
      <w:r w:rsidRPr="00A2559A">
        <w:rPr>
          <w:noProof/>
          <w:spacing w:val="-8"/>
        </w:rPr>
        <w:t xml:space="preserve"> in urban settings</w:t>
      </w:r>
      <w:r w:rsidR="00800265" w:rsidRPr="00A2559A">
        <w:rPr>
          <w:noProof/>
          <w:spacing w:val="-8"/>
        </w:rPr>
        <w:t xml:space="preserve">. </w:t>
      </w:r>
      <w:r w:rsidR="6DCCC53D" w:rsidRPr="003077C8">
        <w:rPr>
          <w:noProof/>
          <w:spacing w:val="-8"/>
        </w:rPr>
        <w:t>For the Spanish high-speed market,</w:t>
      </w:r>
      <w:r w:rsidR="12CC0C6F" w:rsidRPr="003077C8">
        <w:rPr>
          <w:noProof/>
          <w:spacing w:val="-8"/>
        </w:rPr>
        <w:t xml:space="preserve"> research showed that 10% of the </w:t>
      </w:r>
      <w:r w:rsidR="37C84515" w:rsidRPr="003077C8">
        <w:rPr>
          <w:noProof/>
          <w:spacing w:val="-8"/>
        </w:rPr>
        <w:t xml:space="preserve">high-speed </w:t>
      </w:r>
      <w:r w:rsidR="12CC0C6F" w:rsidRPr="003077C8">
        <w:rPr>
          <w:noProof/>
          <w:spacing w:val="-8"/>
        </w:rPr>
        <w:t>rail trips sold</w:t>
      </w:r>
      <w:r w:rsidR="6DCCC53D" w:rsidRPr="003077C8">
        <w:rPr>
          <w:noProof/>
          <w:spacing w:val="-8"/>
        </w:rPr>
        <w:t xml:space="preserve"> on an independen</w:t>
      </w:r>
      <w:r w:rsidR="086F307D" w:rsidRPr="003077C8">
        <w:rPr>
          <w:noProof/>
          <w:spacing w:val="-8"/>
        </w:rPr>
        <w:t>t</w:t>
      </w:r>
      <w:r w:rsidR="6DCCC53D" w:rsidRPr="003077C8">
        <w:rPr>
          <w:noProof/>
          <w:spacing w:val="-8"/>
        </w:rPr>
        <w:t xml:space="preserve"> platform </w:t>
      </w:r>
      <w:r w:rsidR="62448867" w:rsidRPr="003077C8">
        <w:rPr>
          <w:noProof/>
          <w:spacing w:val="-8"/>
        </w:rPr>
        <w:t>would otherwise be made using a different mode of transport</w:t>
      </w:r>
      <w:r w:rsidRPr="003077C8">
        <w:rPr>
          <w:noProof/>
          <w:spacing w:val="-8"/>
          <w:vertAlign w:val="superscript"/>
        </w:rPr>
        <w:footnoteReference w:id="296"/>
      </w:r>
      <w:r w:rsidR="00180761" w:rsidRPr="003077C8">
        <w:rPr>
          <w:noProof/>
          <w:spacing w:val="-8"/>
        </w:rPr>
        <w:t>.</w:t>
      </w:r>
      <w:r w:rsidR="6DCCC53D" w:rsidRPr="003077C8">
        <w:rPr>
          <w:noProof/>
          <w:spacing w:val="-8"/>
        </w:rPr>
        <w:t xml:space="preserve"> </w:t>
      </w:r>
      <w:r w:rsidR="00F5060E" w:rsidRPr="00A2559A">
        <w:rPr>
          <w:noProof/>
          <w:spacing w:val="-8"/>
        </w:rPr>
        <w:t xml:space="preserve"> The </w:t>
      </w:r>
      <w:r w:rsidR="00F5060E" w:rsidRPr="00A2559A">
        <w:rPr>
          <w:i/>
          <w:noProof/>
          <w:spacing w:val="-8"/>
        </w:rPr>
        <w:t>targeted survey and interviews</w:t>
      </w:r>
      <w:r w:rsidR="00F5060E" w:rsidRPr="00A2559A">
        <w:rPr>
          <w:noProof/>
          <w:spacing w:val="-8"/>
        </w:rPr>
        <w:t xml:space="preserve"> provide</w:t>
      </w:r>
      <w:r w:rsidR="007E06E4" w:rsidRPr="00A2559A">
        <w:rPr>
          <w:noProof/>
          <w:spacing w:val="-8"/>
        </w:rPr>
        <w:t>d</w:t>
      </w:r>
      <w:r w:rsidR="00F5060E" w:rsidRPr="00A2559A">
        <w:rPr>
          <w:noProof/>
          <w:spacing w:val="-8"/>
        </w:rPr>
        <w:t xml:space="preserve"> qualitative assessments on the direction of travel for modal shift, but no quantitative estimate</w:t>
      </w:r>
      <w:r w:rsidR="007E06E4" w:rsidRPr="00A2559A">
        <w:rPr>
          <w:noProof/>
          <w:spacing w:val="-8"/>
        </w:rPr>
        <w:t>s</w:t>
      </w:r>
      <w:r w:rsidR="00F5060E" w:rsidRPr="00A2559A">
        <w:rPr>
          <w:noProof/>
          <w:spacing w:val="-8"/>
        </w:rPr>
        <w:t>.</w:t>
      </w:r>
    </w:p>
    <w:p w14:paraId="0D1C106F" w14:textId="77777777" w:rsidR="003F1443" w:rsidRPr="00FC040A" w:rsidRDefault="003F1443" w:rsidP="00C6618B">
      <w:pPr>
        <w:widowControl w:val="0"/>
        <w:spacing w:after="240"/>
        <w:rPr>
          <w:i/>
          <w:noProof/>
        </w:rPr>
      </w:pPr>
      <w:r w:rsidRPr="00FC040A">
        <w:rPr>
          <w:i/>
          <w:noProof/>
        </w:rPr>
        <w:t>Expert workshop</w:t>
      </w:r>
    </w:p>
    <w:p w14:paraId="08AF33BE" w14:textId="77777777" w:rsidR="003F1443" w:rsidRPr="00FC040A" w:rsidRDefault="003F1443" w:rsidP="00404560">
      <w:pPr>
        <w:spacing w:after="240"/>
        <w:jc w:val="both"/>
        <w:rPr>
          <w:noProof/>
          <w:spacing w:val="-8"/>
        </w:rPr>
      </w:pPr>
      <w:r w:rsidRPr="00FC040A">
        <w:rPr>
          <w:noProof/>
          <w:spacing w:val="-8"/>
        </w:rPr>
        <w:t>A small group of Member State representatives, travel experts and consumer organisations were invited to participate in</w:t>
      </w:r>
      <w:r>
        <w:rPr>
          <w:noProof/>
          <w:spacing w:val="-8"/>
        </w:rPr>
        <w:t xml:space="preserve"> an expert workshop in the context of the impact assessment support study. A</w:t>
      </w:r>
      <w:r w:rsidRPr="00FC040A">
        <w:rPr>
          <w:noProof/>
          <w:spacing w:val="-8"/>
        </w:rPr>
        <w:t xml:space="preserve"> Delphi-like approach</w:t>
      </w:r>
      <w:r>
        <w:rPr>
          <w:noProof/>
          <w:spacing w:val="-8"/>
        </w:rPr>
        <w:t xml:space="preserve"> was used at the workshop</w:t>
      </w:r>
      <w:r w:rsidRPr="00FC040A">
        <w:rPr>
          <w:noProof/>
          <w:spacing w:val="-8"/>
        </w:rPr>
        <w:t xml:space="preserve">. Participants were </w:t>
      </w:r>
      <w:r>
        <w:rPr>
          <w:noProof/>
          <w:spacing w:val="-8"/>
        </w:rPr>
        <w:t>asked</w:t>
      </w:r>
      <w:r w:rsidRPr="00FC040A">
        <w:rPr>
          <w:noProof/>
          <w:spacing w:val="-8"/>
        </w:rPr>
        <w:t xml:space="preserve"> to complete a six-question survey on the maximum potential for modal shift due to ability to see all offerings on an MDMS platform (and such information is complete and accurate) and the ability to book all visible travel options on an MDMS platform</w:t>
      </w:r>
      <w:r>
        <w:rPr>
          <w:noProof/>
          <w:spacing w:val="-8"/>
        </w:rPr>
        <w:t xml:space="preserve"> </w:t>
      </w:r>
      <w:r w:rsidRPr="00FC040A">
        <w:rPr>
          <w:noProof/>
          <w:spacing w:val="-8"/>
        </w:rPr>
        <w:t>before the workshop</w:t>
      </w:r>
      <w:r>
        <w:rPr>
          <w:noProof/>
          <w:spacing w:val="-8"/>
        </w:rPr>
        <w:t>. T</w:t>
      </w:r>
      <w:r w:rsidRPr="00FC040A">
        <w:rPr>
          <w:noProof/>
          <w:spacing w:val="-8"/>
        </w:rPr>
        <w:t xml:space="preserve">he results were presented during the workshop, and discussions </w:t>
      </w:r>
      <w:r>
        <w:rPr>
          <w:noProof/>
          <w:spacing w:val="-8"/>
        </w:rPr>
        <w:t>were</w:t>
      </w:r>
      <w:r w:rsidRPr="00FC040A">
        <w:rPr>
          <w:noProof/>
          <w:spacing w:val="-8"/>
        </w:rPr>
        <w:t xml:space="preserve"> held on the results. </w:t>
      </w:r>
    </w:p>
    <w:p w14:paraId="4460A317" w14:textId="6994BE5E" w:rsidR="003F1443" w:rsidRPr="00FC040A" w:rsidRDefault="003F1443" w:rsidP="00404560">
      <w:pPr>
        <w:spacing w:after="240"/>
        <w:jc w:val="both"/>
        <w:rPr>
          <w:noProof/>
          <w:spacing w:val="-8"/>
        </w:rPr>
      </w:pPr>
      <w:r>
        <w:rPr>
          <w:noProof/>
          <w:spacing w:val="-8"/>
        </w:rPr>
        <w:t>Another s</w:t>
      </w:r>
      <w:r w:rsidRPr="00FC040A">
        <w:rPr>
          <w:noProof/>
          <w:spacing w:val="-8"/>
        </w:rPr>
        <w:t xml:space="preserve">urvey was </w:t>
      </w:r>
      <w:r>
        <w:rPr>
          <w:noProof/>
          <w:spacing w:val="-8"/>
        </w:rPr>
        <w:t>organised</w:t>
      </w:r>
      <w:r w:rsidRPr="00FC040A">
        <w:rPr>
          <w:noProof/>
          <w:spacing w:val="-8"/>
        </w:rPr>
        <w:t xml:space="preserve"> via Mentimeter at the end of the workshop</w:t>
      </w:r>
      <w:r>
        <w:rPr>
          <w:noProof/>
          <w:spacing w:val="-8"/>
        </w:rPr>
        <w:t>,</w:t>
      </w:r>
      <w:r w:rsidRPr="00FC040A">
        <w:rPr>
          <w:noProof/>
          <w:spacing w:val="-8"/>
        </w:rPr>
        <w:t xml:space="preserve"> to gather the revised views of attendees on the maximum potential for modal shift</w:t>
      </w:r>
      <w:r w:rsidR="00A67873">
        <w:rPr>
          <w:noProof/>
          <w:spacing w:val="-8"/>
        </w:rPr>
        <w:t xml:space="preserve"> </w:t>
      </w:r>
      <w:r w:rsidR="00A67873" w:rsidRPr="00A67873">
        <w:rPr>
          <w:noProof/>
          <w:spacing w:val="-8"/>
        </w:rPr>
        <w:t>due to the ability to see all rail offerings on MDMS platforms and the ability to book all visible travel options on MDMS platforms</w:t>
      </w:r>
      <w:r w:rsidRPr="00FC040A">
        <w:rPr>
          <w:noProof/>
          <w:spacing w:val="-8"/>
        </w:rPr>
        <w:t>. The questions and results are shown below.</w:t>
      </w:r>
    </w:p>
    <w:p w14:paraId="4A5D837E" w14:textId="77777777" w:rsidR="003F1443" w:rsidRPr="00FC040A" w:rsidRDefault="003F1443" w:rsidP="00404560">
      <w:pPr>
        <w:spacing w:after="240"/>
        <w:jc w:val="both"/>
        <w:rPr>
          <w:noProof/>
          <w:spacing w:val="-8"/>
        </w:rPr>
      </w:pPr>
      <w:r w:rsidRPr="00FC040A">
        <w:rPr>
          <w:noProof/>
          <w:spacing w:val="-8"/>
        </w:rPr>
        <w:t xml:space="preserve">“For each of the four clusters, in your view what is the </w:t>
      </w:r>
      <w:r w:rsidRPr="00FC040A">
        <w:rPr>
          <w:b/>
          <w:noProof/>
          <w:spacing w:val="-8"/>
        </w:rPr>
        <w:t>maximum possible impact on modal shift</w:t>
      </w:r>
      <w:r w:rsidRPr="00FC040A">
        <w:rPr>
          <w:noProof/>
          <w:spacing w:val="-8"/>
        </w:rPr>
        <w:t xml:space="preserve"> that could arise compared to the current situation if passengers were given:</w:t>
      </w:r>
    </w:p>
    <w:p w14:paraId="008A6653" w14:textId="77777777" w:rsidR="003F1443" w:rsidRPr="00FC040A" w:rsidRDefault="003F1443" w:rsidP="001979E4">
      <w:pPr>
        <w:numPr>
          <w:ilvl w:val="0"/>
          <w:numId w:val="24"/>
        </w:numPr>
        <w:tabs>
          <w:tab w:val="clear" w:pos="720"/>
          <w:tab w:val="num" w:pos="284"/>
        </w:tabs>
        <w:spacing w:after="240"/>
        <w:ind w:left="284" w:hanging="284"/>
        <w:jc w:val="both"/>
        <w:rPr>
          <w:noProof/>
          <w:spacing w:val="-8"/>
        </w:rPr>
      </w:pPr>
      <w:r>
        <w:rPr>
          <w:noProof/>
          <w:spacing w:val="-8"/>
        </w:rPr>
        <w:t>T</w:t>
      </w:r>
      <w:r w:rsidRPr="00FC040A">
        <w:rPr>
          <w:noProof/>
          <w:spacing w:val="-8"/>
        </w:rPr>
        <w:t xml:space="preserve">he </w:t>
      </w:r>
      <w:r w:rsidRPr="00FC040A">
        <w:rPr>
          <w:noProof/>
          <w:spacing w:val="-8"/>
          <w:u w:val="single"/>
        </w:rPr>
        <w:t xml:space="preserve">ability to see all offerings </w:t>
      </w:r>
      <w:r w:rsidRPr="00FC040A">
        <w:rPr>
          <w:noProof/>
          <w:spacing w:val="-8"/>
        </w:rPr>
        <w:t xml:space="preserve">on an MDMS platform, and such information is </w:t>
      </w:r>
      <w:r w:rsidRPr="00FC040A">
        <w:rPr>
          <w:noProof/>
          <w:spacing w:val="-8"/>
          <w:u w:val="single"/>
        </w:rPr>
        <w:t xml:space="preserve">complete and accurate </w:t>
      </w:r>
      <w:r w:rsidRPr="00FC040A">
        <w:rPr>
          <w:noProof/>
          <w:spacing w:val="-8"/>
        </w:rPr>
        <w:t xml:space="preserve">(assuming no changes in ability to book all visible travel options)?  </w:t>
      </w:r>
      <w:r w:rsidRPr="00FC040A">
        <w:rPr>
          <w:b/>
          <w:noProof/>
          <w:spacing w:val="-8"/>
        </w:rPr>
        <w:t>(QP1)</w:t>
      </w:r>
    </w:p>
    <w:p w14:paraId="588420B1" w14:textId="77777777" w:rsidR="003F1443" w:rsidRPr="00FC040A" w:rsidRDefault="003F1443" w:rsidP="001979E4">
      <w:pPr>
        <w:numPr>
          <w:ilvl w:val="0"/>
          <w:numId w:val="24"/>
        </w:numPr>
        <w:tabs>
          <w:tab w:val="clear" w:pos="720"/>
          <w:tab w:val="num" w:pos="284"/>
        </w:tabs>
        <w:spacing w:after="240"/>
        <w:ind w:left="284" w:hanging="284"/>
        <w:jc w:val="both"/>
        <w:rPr>
          <w:noProof/>
          <w:spacing w:val="-8"/>
        </w:rPr>
      </w:pPr>
      <w:r>
        <w:rPr>
          <w:noProof/>
          <w:spacing w:val="-8"/>
        </w:rPr>
        <w:t>T</w:t>
      </w:r>
      <w:r w:rsidRPr="00FC040A">
        <w:rPr>
          <w:noProof/>
          <w:spacing w:val="-8"/>
        </w:rPr>
        <w:t xml:space="preserve">he </w:t>
      </w:r>
      <w:r w:rsidRPr="00FC040A">
        <w:rPr>
          <w:noProof/>
          <w:spacing w:val="-8"/>
          <w:u w:val="single"/>
        </w:rPr>
        <w:t xml:space="preserve">ability to book </w:t>
      </w:r>
      <w:r w:rsidRPr="00FC040A">
        <w:rPr>
          <w:noProof/>
          <w:spacing w:val="-8"/>
        </w:rPr>
        <w:t xml:space="preserve">all visible travel options on an MDMS platform (assuming that the level of information on the platform remains the same as it is currently)? </w:t>
      </w:r>
      <w:r w:rsidRPr="00FC040A">
        <w:rPr>
          <w:b/>
          <w:noProof/>
          <w:spacing w:val="-8"/>
        </w:rPr>
        <w:t>(QP2)</w:t>
      </w:r>
    </w:p>
    <w:p w14:paraId="5FE71C63" w14:textId="77777777" w:rsidR="003F1443" w:rsidRPr="00FC040A" w:rsidRDefault="003F1443" w:rsidP="001979E4">
      <w:pPr>
        <w:numPr>
          <w:ilvl w:val="0"/>
          <w:numId w:val="24"/>
        </w:numPr>
        <w:tabs>
          <w:tab w:val="clear" w:pos="720"/>
          <w:tab w:val="num" w:pos="284"/>
        </w:tabs>
        <w:spacing w:after="240"/>
        <w:ind w:left="284" w:hanging="284"/>
        <w:jc w:val="both"/>
        <w:rPr>
          <w:noProof/>
          <w:spacing w:val="-8"/>
        </w:rPr>
      </w:pPr>
      <w:r w:rsidRPr="00FC040A">
        <w:rPr>
          <w:noProof/>
          <w:spacing w:val="-8"/>
        </w:rPr>
        <w:t xml:space="preserve">A </w:t>
      </w:r>
      <w:r w:rsidRPr="00FC040A">
        <w:rPr>
          <w:noProof/>
          <w:spacing w:val="-8"/>
          <w:u w:val="single"/>
        </w:rPr>
        <w:t>combination</w:t>
      </w:r>
      <w:r w:rsidRPr="00FC040A">
        <w:rPr>
          <w:noProof/>
          <w:spacing w:val="-8"/>
        </w:rPr>
        <w:t xml:space="preserve"> of (1) and (2) above, meaning (i) complete and accurate information and (ii) the ability to book all visible travel options, on an MDMS platform?  </w:t>
      </w:r>
      <w:r w:rsidRPr="00FC040A">
        <w:rPr>
          <w:b/>
          <w:noProof/>
          <w:spacing w:val="-8"/>
        </w:rPr>
        <w:t>(QP1+QP2)</w:t>
      </w:r>
      <w:r w:rsidRPr="00FC040A">
        <w:rPr>
          <w:noProof/>
          <w:spacing w:val="-8"/>
        </w:rPr>
        <w:t>”</w:t>
      </w:r>
    </w:p>
    <w:p w14:paraId="4038F175" w14:textId="3E3BE8FE" w:rsidR="003F1443" w:rsidRPr="00092A6D" w:rsidRDefault="003F1443" w:rsidP="003F1443">
      <w:pPr>
        <w:tabs>
          <w:tab w:val="left" w:pos="1134"/>
        </w:tabs>
        <w:rPr>
          <w:i/>
          <w:noProof/>
          <w:sz w:val="22"/>
          <w:szCs w:val="22"/>
        </w:rPr>
      </w:pPr>
      <w:r w:rsidRPr="00092A6D">
        <w:rPr>
          <w:i/>
          <w:noProof/>
          <w:sz w:val="22"/>
          <w:szCs w:val="22"/>
        </w:rPr>
        <w:t xml:space="preserve">Table </w:t>
      </w:r>
      <w:r w:rsidRPr="00092A6D">
        <w:rPr>
          <w:i/>
          <w:noProof/>
          <w:sz w:val="22"/>
          <w:szCs w:val="22"/>
        </w:rPr>
        <w:fldChar w:fldCharType="begin"/>
      </w:r>
      <w:r w:rsidRPr="00092A6D">
        <w:rPr>
          <w:i/>
          <w:noProof/>
          <w:sz w:val="22"/>
          <w:szCs w:val="22"/>
        </w:rPr>
        <w:instrText xml:space="preserve"> SEQ Table \* ARABIC </w:instrText>
      </w:r>
      <w:r w:rsidRPr="00092A6D">
        <w:rPr>
          <w:i/>
          <w:noProof/>
          <w:sz w:val="22"/>
          <w:szCs w:val="22"/>
        </w:rPr>
        <w:fldChar w:fldCharType="separate"/>
      </w:r>
      <w:r w:rsidR="0055391F">
        <w:rPr>
          <w:i/>
          <w:noProof/>
          <w:sz w:val="22"/>
          <w:szCs w:val="22"/>
        </w:rPr>
        <w:t>44</w:t>
      </w:r>
      <w:r w:rsidRPr="00092A6D">
        <w:rPr>
          <w:i/>
          <w:noProof/>
          <w:sz w:val="22"/>
          <w:szCs w:val="22"/>
        </w:rPr>
        <w:fldChar w:fldCharType="end"/>
      </w:r>
      <w:r w:rsidRPr="00092A6D">
        <w:rPr>
          <w:i/>
          <w:noProof/>
          <w:sz w:val="22"/>
          <w:szCs w:val="22"/>
        </w:rPr>
        <w:t>: Results of the Mentimeter poll taken during the impact workshop</w:t>
      </w:r>
    </w:p>
    <w:tbl>
      <w:tblPr>
        <w:tblpPr w:leftFromText="180" w:rightFromText="180" w:vertAnchor="text" w:horzAnchor="margin" w:tblpY="5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089"/>
        <w:gridCol w:w="1915"/>
        <w:gridCol w:w="1767"/>
        <w:gridCol w:w="1832"/>
      </w:tblGrid>
      <w:tr w:rsidR="003F1443" w:rsidRPr="00FC040A" w14:paraId="0EF3013A" w14:textId="77777777" w:rsidTr="000E51B7">
        <w:trPr>
          <w:trHeight w:val="221"/>
        </w:trPr>
        <w:tc>
          <w:tcPr>
            <w:tcW w:w="2129" w:type="pct"/>
            <w:vMerge w:val="restart"/>
            <w:shd w:val="clear" w:color="auto" w:fill="0070C0"/>
          </w:tcPr>
          <w:p w14:paraId="6393FA21" w14:textId="77777777" w:rsidR="003F1443" w:rsidRPr="00092A6D" w:rsidRDefault="003F1443">
            <w:pPr>
              <w:rPr>
                <w:b/>
                <w:noProof/>
                <w:color w:val="FFFFFF" w:themeColor="background1"/>
                <w:sz w:val="20"/>
                <w:szCs w:val="20"/>
              </w:rPr>
            </w:pPr>
            <w:r w:rsidRPr="00092A6D">
              <w:rPr>
                <w:b/>
                <w:noProof/>
                <w:color w:val="FFFFFF" w:themeColor="background1"/>
                <w:sz w:val="20"/>
                <w:szCs w:val="20"/>
              </w:rPr>
              <w:t>Response options</w:t>
            </w:r>
          </w:p>
        </w:tc>
        <w:tc>
          <w:tcPr>
            <w:tcW w:w="2871" w:type="pct"/>
            <w:gridSpan w:val="3"/>
            <w:shd w:val="clear" w:color="auto" w:fill="0070C0"/>
          </w:tcPr>
          <w:p w14:paraId="3EEFC205" w14:textId="77777777" w:rsidR="003F1443" w:rsidRPr="00092A6D" w:rsidRDefault="003F1443">
            <w:pPr>
              <w:jc w:val="center"/>
              <w:rPr>
                <w:b/>
                <w:noProof/>
                <w:color w:val="FFFFFF" w:themeColor="background1"/>
                <w:sz w:val="20"/>
                <w:szCs w:val="20"/>
              </w:rPr>
            </w:pPr>
            <w:r w:rsidRPr="00092A6D">
              <w:rPr>
                <w:b/>
                <w:noProof/>
                <w:color w:val="FFFFFF" w:themeColor="background1"/>
                <w:sz w:val="20"/>
                <w:szCs w:val="20"/>
              </w:rPr>
              <w:t>Number of responses</w:t>
            </w:r>
          </w:p>
        </w:tc>
      </w:tr>
      <w:tr w:rsidR="003F1443" w:rsidRPr="00FC040A" w14:paraId="28C0538E" w14:textId="77777777" w:rsidTr="000E51B7">
        <w:trPr>
          <w:trHeight w:val="221"/>
        </w:trPr>
        <w:tc>
          <w:tcPr>
            <w:tcW w:w="2129" w:type="pct"/>
            <w:vMerge/>
            <w:shd w:val="clear" w:color="auto" w:fill="0070C0"/>
          </w:tcPr>
          <w:p w14:paraId="1B82C585" w14:textId="77777777" w:rsidR="003F1443" w:rsidRPr="00092A6D" w:rsidRDefault="003F1443">
            <w:pPr>
              <w:rPr>
                <w:noProof/>
                <w:sz w:val="20"/>
                <w:szCs w:val="20"/>
              </w:rPr>
            </w:pPr>
          </w:p>
        </w:tc>
        <w:tc>
          <w:tcPr>
            <w:tcW w:w="997" w:type="pct"/>
          </w:tcPr>
          <w:p w14:paraId="02E042AE" w14:textId="77777777" w:rsidR="003F1443" w:rsidRPr="00092A6D" w:rsidRDefault="003F1443">
            <w:pPr>
              <w:jc w:val="center"/>
              <w:rPr>
                <w:noProof/>
                <w:sz w:val="20"/>
                <w:szCs w:val="20"/>
              </w:rPr>
            </w:pPr>
            <w:r w:rsidRPr="00092A6D">
              <w:rPr>
                <w:noProof/>
                <w:sz w:val="20"/>
                <w:szCs w:val="20"/>
              </w:rPr>
              <w:t>Q1</w:t>
            </w:r>
          </w:p>
        </w:tc>
        <w:tc>
          <w:tcPr>
            <w:tcW w:w="920" w:type="pct"/>
          </w:tcPr>
          <w:p w14:paraId="706ACC00" w14:textId="77777777" w:rsidR="003F1443" w:rsidRPr="00092A6D" w:rsidRDefault="003F1443">
            <w:pPr>
              <w:jc w:val="center"/>
              <w:rPr>
                <w:noProof/>
                <w:sz w:val="20"/>
                <w:szCs w:val="20"/>
              </w:rPr>
            </w:pPr>
            <w:r w:rsidRPr="00092A6D">
              <w:rPr>
                <w:noProof/>
                <w:sz w:val="20"/>
                <w:szCs w:val="20"/>
              </w:rPr>
              <w:t>Q2</w:t>
            </w:r>
          </w:p>
        </w:tc>
        <w:tc>
          <w:tcPr>
            <w:tcW w:w="954" w:type="pct"/>
          </w:tcPr>
          <w:p w14:paraId="4C20FE15" w14:textId="77777777" w:rsidR="003F1443" w:rsidRPr="00092A6D" w:rsidRDefault="003F1443">
            <w:pPr>
              <w:jc w:val="center"/>
              <w:rPr>
                <w:noProof/>
                <w:sz w:val="20"/>
                <w:szCs w:val="20"/>
              </w:rPr>
            </w:pPr>
            <w:r w:rsidRPr="00092A6D">
              <w:rPr>
                <w:noProof/>
                <w:sz w:val="20"/>
                <w:szCs w:val="20"/>
              </w:rPr>
              <w:t>Q3</w:t>
            </w:r>
          </w:p>
        </w:tc>
      </w:tr>
      <w:tr w:rsidR="003F1443" w:rsidRPr="00FC040A" w14:paraId="1352D146" w14:textId="77777777" w:rsidTr="000E51B7">
        <w:trPr>
          <w:trHeight w:val="284"/>
        </w:trPr>
        <w:tc>
          <w:tcPr>
            <w:tcW w:w="2129" w:type="pct"/>
          </w:tcPr>
          <w:p w14:paraId="755245F3" w14:textId="77777777" w:rsidR="003F1443" w:rsidRPr="00092A6D" w:rsidRDefault="003F1443">
            <w:pPr>
              <w:rPr>
                <w:noProof/>
                <w:sz w:val="20"/>
                <w:szCs w:val="20"/>
              </w:rPr>
            </w:pPr>
            <w:r w:rsidRPr="00092A6D">
              <w:rPr>
                <w:noProof/>
                <w:sz w:val="20"/>
                <w:szCs w:val="20"/>
              </w:rPr>
              <w:t>Very high impact (&gt;10%)</w:t>
            </w:r>
          </w:p>
        </w:tc>
        <w:tc>
          <w:tcPr>
            <w:tcW w:w="997" w:type="pct"/>
          </w:tcPr>
          <w:p w14:paraId="70527389" w14:textId="77777777" w:rsidR="003F1443" w:rsidRPr="00092A6D" w:rsidRDefault="003F1443">
            <w:pPr>
              <w:jc w:val="center"/>
              <w:rPr>
                <w:noProof/>
                <w:sz w:val="20"/>
                <w:szCs w:val="20"/>
              </w:rPr>
            </w:pPr>
            <w:r w:rsidRPr="00092A6D">
              <w:rPr>
                <w:noProof/>
                <w:sz w:val="20"/>
                <w:szCs w:val="20"/>
              </w:rPr>
              <w:t>2</w:t>
            </w:r>
          </w:p>
        </w:tc>
        <w:tc>
          <w:tcPr>
            <w:tcW w:w="920" w:type="pct"/>
          </w:tcPr>
          <w:p w14:paraId="26273D24" w14:textId="77777777" w:rsidR="003F1443" w:rsidRPr="00092A6D" w:rsidRDefault="003F1443">
            <w:pPr>
              <w:jc w:val="center"/>
              <w:rPr>
                <w:noProof/>
                <w:sz w:val="20"/>
                <w:szCs w:val="20"/>
              </w:rPr>
            </w:pPr>
            <w:r w:rsidRPr="00092A6D">
              <w:rPr>
                <w:noProof/>
                <w:sz w:val="20"/>
                <w:szCs w:val="20"/>
              </w:rPr>
              <w:t>0</w:t>
            </w:r>
          </w:p>
        </w:tc>
        <w:tc>
          <w:tcPr>
            <w:tcW w:w="954" w:type="pct"/>
          </w:tcPr>
          <w:p w14:paraId="4A6156FC" w14:textId="77777777" w:rsidR="003F1443" w:rsidRPr="00092A6D" w:rsidRDefault="003F1443">
            <w:pPr>
              <w:jc w:val="center"/>
              <w:rPr>
                <w:noProof/>
                <w:sz w:val="20"/>
                <w:szCs w:val="20"/>
              </w:rPr>
            </w:pPr>
            <w:r w:rsidRPr="00092A6D">
              <w:rPr>
                <w:noProof/>
                <w:sz w:val="20"/>
                <w:szCs w:val="20"/>
              </w:rPr>
              <w:t>1</w:t>
            </w:r>
          </w:p>
        </w:tc>
      </w:tr>
      <w:tr w:rsidR="003F1443" w:rsidRPr="00FC040A" w14:paraId="09174F13" w14:textId="77777777" w:rsidTr="000E51B7">
        <w:trPr>
          <w:trHeight w:val="284"/>
        </w:trPr>
        <w:tc>
          <w:tcPr>
            <w:tcW w:w="2129" w:type="pct"/>
          </w:tcPr>
          <w:p w14:paraId="6B332818" w14:textId="77777777" w:rsidR="003F1443" w:rsidRPr="00092A6D" w:rsidRDefault="003F1443">
            <w:pPr>
              <w:rPr>
                <w:noProof/>
                <w:sz w:val="20"/>
                <w:szCs w:val="20"/>
              </w:rPr>
            </w:pPr>
            <w:r w:rsidRPr="00092A6D">
              <w:rPr>
                <w:noProof/>
                <w:sz w:val="20"/>
                <w:szCs w:val="20"/>
              </w:rPr>
              <w:t>High impact (5-10%)</w:t>
            </w:r>
          </w:p>
        </w:tc>
        <w:tc>
          <w:tcPr>
            <w:tcW w:w="997" w:type="pct"/>
          </w:tcPr>
          <w:p w14:paraId="24960D5E" w14:textId="77777777" w:rsidR="003F1443" w:rsidRPr="00092A6D" w:rsidRDefault="003F1443">
            <w:pPr>
              <w:jc w:val="center"/>
              <w:rPr>
                <w:noProof/>
                <w:sz w:val="20"/>
                <w:szCs w:val="20"/>
              </w:rPr>
            </w:pPr>
            <w:r w:rsidRPr="00092A6D">
              <w:rPr>
                <w:noProof/>
                <w:sz w:val="20"/>
                <w:szCs w:val="20"/>
              </w:rPr>
              <w:t>3</w:t>
            </w:r>
          </w:p>
        </w:tc>
        <w:tc>
          <w:tcPr>
            <w:tcW w:w="920" w:type="pct"/>
          </w:tcPr>
          <w:p w14:paraId="2B8B9150" w14:textId="77777777" w:rsidR="003F1443" w:rsidRPr="00092A6D" w:rsidRDefault="003F1443">
            <w:pPr>
              <w:jc w:val="center"/>
              <w:rPr>
                <w:noProof/>
                <w:sz w:val="20"/>
                <w:szCs w:val="20"/>
              </w:rPr>
            </w:pPr>
            <w:r w:rsidRPr="00092A6D">
              <w:rPr>
                <w:noProof/>
                <w:sz w:val="20"/>
                <w:szCs w:val="20"/>
              </w:rPr>
              <w:t>3</w:t>
            </w:r>
          </w:p>
        </w:tc>
        <w:tc>
          <w:tcPr>
            <w:tcW w:w="954" w:type="pct"/>
          </w:tcPr>
          <w:p w14:paraId="24526C73" w14:textId="77777777" w:rsidR="003F1443" w:rsidRPr="00092A6D" w:rsidRDefault="003F1443">
            <w:pPr>
              <w:jc w:val="center"/>
              <w:rPr>
                <w:noProof/>
                <w:sz w:val="20"/>
                <w:szCs w:val="20"/>
              </w:rPr>
            </w:pPr>
            <w:r w:rsidRPr="00092A6D">
              <w:rPr>
                <w:noProof/>
                <w:sz w:val="20"/>
                <w:szCs w:val="20"/>
              </w:rPr>
              <w:t>3</w:t>
            </w:r>
          </w:p>
        </w:tc>
      </w:tr>
      <w:tr w:rsidR="003F1443" w:rsidRPr="00FC040A" w14:paraId="61B1A988" w14:textId="77777777" w:rsidTr="000E51B7">
        <w:trPr>
          <w:trHeight w:val="284"/>
        </w:trPr>
        <w:tc>
          <w:tcPr>
            <w:tcW w:w="2129" w:type="pct"/>
          </w:tcPr>
          <w:p w14:paraId="5E413077" w14:textId="77777777" w:rsidR="003F1443" w:rsidRPr="00092A6D" w:rsidRDefault="003F1443">
            <w:pPr>
              <w:rPr>
                <w:noProof/>
                <w:sz w:val="20"/>
                <w:szCs w:val="20"/>
              </w:rPr>
            </w:pPr>
            <w:r w:rsidRPr="00092A6D">
              <w:rPr>
                <w:noProof/>
                <w:sz w:val="20"/>
                <w:szCs w:val="20"/>
              </w:rPr>
              <w:t>Moderate impact (2-5%)</w:t>
            </w:r>
          </w:p>
        </w:tc>
        <w:tc>
          <w:tcPr>
            <w:tcW w:w="997" w:type="pct"/>
          </w:tcPr>
          <w:p w14:paraId="05ED37A6" w14:textId="77777777" w:rsidR="003F1443" w:rsidRPr="00092A6D" w:rsidRDefault="003F1443">
            <w:pPr>
              <w:jc w:val="center"/>
              <w:rPr>
                <w:noProof/>
                <w:sz w:val="20"/>
                <w:szCs w:val="20"/>
              </w:rPr>
            </w:pPr>
            <w:r w:rsidRPr="00092A6D">
              <w:rPr>
                <w:noProof/>
                <w:sz w:val="20"/>
                <w:szCs w:val="20"/>
              </w:rPr>
              <w:t>6</w:t>
            </w:r>
          </w:p>
        </w:tc>
        <w:tc>
          <w:tcPr>
            <w:tcW w:w="920" w:type="pct"/>
          </w:tcPr>
          <w:p w14:paraId="787C9CCA" w14:textId="77777777" w:rsidR="003F1443" w:rsidRPr="00092A6D" w:rsidRDefault="003F1443">
            <w:pPr>
              <w:jc w:val="center"/>
              <w:rPr>
                <w:noProof/>
                <w:sz w:val="20"/>
                <w:szCs w:val="20"/>
              </w:rPr>
            </w:pPr>
            <w:r w:rsidRPr="00092A6D">
              <w:rPr>
                <w:noProof/>
                <w:sz w:val="20"/>
                <w:szCs w:val="20"/>
              </w:rPr>
              <w:t>4</w:t>
            </w:r>
          </w:p>
        </w:tc>
        <w:tc>
          <w:tcPr>
            <w:tcW w:w="954" w:type="pct"/>
          </w:tcPr>
          <w:p w14:paraId="5F97E824" w14:textId="77777777" w:rsidR="003F1443" w:rsidRPr="00092A6D" w:rsidRDefault="003F1443">
            <w:pPr>
              <w:jc w:val="center"/>
              <w:rPr>
                <w:noProof/>
                <w:sz w:val="20"/>
                <w:szCs w:val="20"/>
              </w:rPr>
            </w:pPr>
            <w:r w:rsidRPr="00092A6D">
              <w:rPr>
                <w:noProof/>
                <w:sz w:val="20"/>
                <w:szCs w:val="20"/>
              </w:rPr>
              <w:t>2</w:t>
            </w:r>
          </w:p>
        </w:tc>
      </w:tr>
      <w:tr w:rsidR="003F1443" w:rsidRPr="00FC040A" w14:paraId="2357993B" w14:textId="77777777" w:rsidTr="000E51B7">
        <w:trPr>
          <w:trHeight w:val="284"/>
        </w:trPr>
        <w:tc>
          <w:tcPr>
            <w:tcW w:w="2129" w:type="pct"/>
          </w:tcPr>
          <w:p w14:paraId="77C1BB4B" w14:textId="77777777" w:rsidR="003F1443" w:rsidRPr="00092A6D" w:rsidRDefault="003F1443">
            <w:pPr>
              <w:rPr>
                <w:noProof/>
                <w:sz w:val="20"/>
                <w:szCs w:val="20"/>
              </w:rPr>
            </w:pPr>
            <w:r w:rsidRPr="00092A6D">
              <w:rPr>
                <w:noProof/>
                <w:sz w:val="20"/>
                <w:szCs w:val="20"/>
              </w:rPr>
              <w:t>Low impact (0-2%)</w:t>
            </w:r>
          </w:p>
        </w:tc>
        <w:tc>
          <w:tcPr>
            <w:tcW w:w="997" w:type="pct"/>
          </w:tcPr>
          <w:p w14:paraId="5E3B13DF" w14:textId="77777777" w:rsidR="003F1443" w:rsidRPr="00092A6D" w:rsidRDefault="003F1443">
            <w:pPr>
              <w:jc w:val="center"/>
              <w:rPr>
                <w:noProof/>
                <w:sz w:val="20"/>
                <w:szCs w:val="20"/>
              </w:rPr>
            </w:pPr>
            <w:r w:rsidRPr="00092A6D">
              <w:rPr>
                <w:noProof/>
                <w:sz w:val="20"/>
                <w:szCs w:val="20"/>
              </w:rPr>
              <w:t>0</w:t>
            </w:r>
          </w:p>
        </w:tc>
        <w:tc>
          <w:tcPr>
            <w:tcW w:w="920" w:type="pct"/>
          </w:tcPr>
          <w:p w14:paraId="1B7633F2" w14:textId="77777777" w:rsidR="003F1443" w:rsidRPr="00092A6D" w:rsidRDefault="003F1443">
            <w:pPr>
              <w:jc w:val="center"/>
              <w:rPr>
                <w:noProof/>
                <w:sz w:val="20"/>
                <w:szCs w:val="20"/>
              </w:rPr>
            </w:pPr>
            <w:r w:rsidRPr="00092A6D">
              <w:rPr>
                <w:noProof/>
                <w:sz w:val="20"/>
                <w:szCs w:val="20"/>
              </w:rPr>
              <w:t>2</w:t>
            </w:r>
          </w:p>
        </w:tc>
        <w:tc>
          <w:tcPr>
            <w:tcW w:w="954" w:type="pct"/>
          </w:tcPr>
          <w:p w14:paraId="20B38DE7" w14:textId="77777777" w:rsidR="003F1443" w:rsidRPr="00092A6D" w:rsidRDefault="003F1443">
            <w:pPr>
              <w:jc w:val="center"/>
              <w:rPr>
                <w:noProof/>
                <w:sz w:val="20"/>
                <w:szCs w:val="20"/>
              </w:rPr>
            </w:pPr>
            <w:r w:rsidRPr="00092A6D">
              <w:rPr>
                <w:noProof/>
                <w:sz w:val="20"/>
                <w:szCs w:val="20"/>
              </w:rPr>
              <w:t>0</w:t>
            </w:r>
          </w:p>
        </w:tc>
      </w:tr>
      <w:tr w:rsidR="003F1443" w:rsidRPr="00FC040A" w14:paraId="020D69E1" w14:textId="77777777" w:rsidTr="000E51B7">
        <w:trPr>
          <w:trHeight w:val="284"/>
        </w:trPr>
        <w:tc>
          <w:tcPr>
            <w:tcW w:w="2129" w:type="pct"/>
          </w:tcPr>
          <w:p w14:paraId="729E3CC1" w14:textId="77777777" w:rsidR="003F1443" w:rsidRPr="00092A6D" w:rsidRDefault="003F1443">
            <w:pPr>
              <w:rPr>
                <w:noProof/>
                <w:sz w:val="20"/>
                <w:szCs w:val="20"/>
              </w:rPr>
            </w:pPr>
            <w:r w:rsidRPr="00092A6D">
              <w:rPr>
                <w:noProof/>
                <w:sz w:val="20"/>
                <w:szCs w:val="20"/>
              </w:rPr>
              <w:t>No impact (0%)</w:t>
            </w:r>
          </w:p>
        </w:tc>
        <w:tc>
          <w:tcPr>
            <w:tcW w:w="997" w:type="pct"/>
          </w:tcPr>
          <w:p w14:paraId="3B8DAD87" w14:textId="77777777" w:rsidR="003F1443" w:rsidRPr="00092A6D" w:rsidRDefault="003F1443">
            <w:pPr>
              <w:jc w:val="center"/>
              <w:rPr>
                <w:noProof/>
                <w:sz w:val="20"/>
                <w:szCs w:val="20"/>
              </w:rPr>
            </w:pPr>
            <w:r w:rsidRPr="00092A6D">
              <w:rPr>
                <w:noProof/>
                <w:sz w:val="20"/>
                <w:szCs w:val="20"/>
              </w:rPr>
              <w:t>0</w:t>
            </w:r>
          </w:p>
        </w:tc>
        <w:tc>
          <w:tcPr>
            <w:tcW w:w="920" w:type="pct"/>
          </w:tcPr>
          <w:p w14:paraId="4546DFCC" w14:textId="77777777" w:rsidR="003F1443" w:rsidRPr="00092A6D" w:rsidRDefault="003F1443">
            <w:pPr>
              <w:jc w:val="center"/>
              <w:rPr>
                <w:noProof/>
                <w:sz w:val="20"/>
                <w:szCs w:val="20"/>
              </w:rPr>
            </w:pPr>
            <w:r w:rsidRPr="00092A6D">
              <w:rPr>
                <w:noProof/>
                <w:sz w:val="20"/>
                <w:szCs w:val="20"/>
              </w:rPr>
              <w:t>0</w:t>
            </w:r>
          </w:p>
        </w:tc>
        <w:tc>
          <w:tcPr>
            <w:tcW w:w="954" w:type="pct"/>
          </w:tcPr>
          <w:p w14:paraId="4B046116" w14:textId="77777777" w:rsidR="003F1443" w:rsidRPr="00092A6D" w:rsidRDefault="003F1443">
            <w:pPr>
              <w:jc w:val="center"/>
              <w:rPr>
                <w:noProof/>
                <w:sz w:val="20"/>
                <w:szCs w:val="20"/>
              </w:rPr>
            </w:pPr>
            <w:r w:rsidRPr="00092A6D">
              <w:rPr>
                <w:noProof/>
                <w:sz w:val="20"/>
                <w:szCs w:val="20"/>
              </w:rPr>
              <w:t>0</w:t>
            </w:r>
          </w:p>
        </w:tc>
      </w:tr>
      <w:tr w:rsidR="003F1443" w:rsidRPr="00FC040A" w14:paraId="2E186DD6" w14:textId="77777777" w:rsidTr="000E51B7">
        <w:trPr>
          <w:trHeight w:val="284"/>
        </w:trPr>
        <w:tc>
          <w:tcPr>
            <w:tcW w:w="2129" w:type="pct"/>
          </w:tcPr>
          <w:p w14:paraId="57A38AE5" w14:textId="77777777" w:rsidR="003F1443" w:rsidRPr="00092A6D" w:rsidRDefault="003F1443">
            <w:pPr>
              <w:rPr>
                <w:noProof/>
                <w:sz w:val="20"/>
                <w:szCs w:val="20"/>
              </w:rPr>
            </w:pPr>
            <w:r w:rsidRPr="00092A6D">
              <w:rPr>
                <w:noProof/>
                <w:sz w:val="20"/>
                <w:szCs w:val="20"/>
              </w:rPr>
              <w:t>Negative impact (-%)</w:t>
            </w:r>
          </w:p>
        </w:tc>
        <w:tc>
          <w:tcPr>
            <w:tcW w:w="997" w:type="pct"/>
          </w:tcPr>
          <w:p w14:paraId="381448D6" w14:textId="77777777" w:rsidR="003F1443" w:rsidRPr="00092A6D" w:rsidRDefault="003F1443">
            <w:pPr>
              <w:jc w:val="center"/>
              <w:rPr>
                <w:noProof/>
                <w:sz w:val="20"/>
                <w:szCs w:val="20"/>
              </w:rPr>
            </w:pPr>
            <w:r w:rsidRPr="00092A6D">
              <w:rPr>
                <w:noProof/>
                <w:sz w:val="20"/>
                <w:szCs w:val="20"/>
              </w:rPr>
              <w:t>0</w:t>
            </w:r>
          </w:p>
        </w:tc>
        <w:tc>
          <w:tcPr>
            <w:tcW w:w="920" w:type="pct"/>
          </w:tcPr>
          <w:p w14:paraId="7D3B1BD2" w14:textId="77777777" w:rsidR="003F1443" w:rsidRPr="00092A6D" w:rsidRDefault="003F1443">
            <w:pPr>
              <w:jc w:val="center"/>
              <w:rPr>
                <w:noProof/>
                <w:sz w:val="20"/>
                <w:szCs w:val="20"/>
              </w:rPr>
            </w:pPr>
            <w:r w:rsidRPr="00092A6D">
              <w:rPr>
                <w:noProof/>
                <w:sz w:val="20"/>
                <w:szCs w:val="20"/>
              </w:rPr>
              <w:t>0</w:t>
            </w:r>
          </w:p>
        </w:tc>
        <w:tc>
          <w:tcPr>
            <w:tcW w:w="954" w:type="pct"/>
          </w:tcPr>
          <w:p w14:paraId="5FA73E93" w14:textId="77777777" w:rsidR="003F1443" w:rsidRPr="00092A6D" w:rsidRDefault="003F1443">
            <w:pPr>
              <w:jc w:val="center"/>
              <w:rPr>
                <w:noProof/>
                <w:sz w:val="20"/>
                <w:szCs w:val="20"/>
              </w:rPr>
            </w:pPr>
            <w:r w:rsidRPr="00092A6D">
              <w:rPr>
                <w:noProof/>
                <w:sz w:val="20"/>
                <w:szCs w:val="20"/>
              </w:rPr>
              <w:t>0</w:t>
            </w:r>
          </w:p>
        </w:tc>
      </w:tr>
      <w:tr w:rsidR="003F1443" w:rsidRPr="00FC040A" w14:paraId="31567B10" w14:textId="77777777" w:rsidTr="000E51B7">
        <w:trPr>
          <w:trHeight w:val="284"/>
        </w:trPr>
        <w:tc>
          <w:tcPr>
            <w:tcW w:w="2129" w:type="pct"/>
          </w:tcPr>
          <w:p w14:paraId="7A3A7BD0" w14:textId="77777777" w:rsidR="003F1443" w:rsidRPr="00092A6D" w:rsidRDefault="003F1443">
            <w:pPr>
              <w:rPr>
                <w:noProof/>
                <w:sz w:val="20"/>
                <w:szCs w:val="20"/>
              </w:rPr>
            </w:pPr>
            <w:r w:rsidRPr="00092A6D">
              <w:rPr>
                <w:noProof/>
                <w:sz w:val="20"/>
                <w:szCs w:val="20"/>
              </w:rPr>
              <w:t>Total responses</w:t>
            </w:r>
          </w:p>
        </w:tc>
        <w:tc>
          <w:tcPr>
            <w:tcW w:w="997" w:type="pct"/>
          </w:tcPr>
          <w:p w14:paraId="30ACC8EF" w14:textId="77777777" w:rsidR="003F1443" w:rsidRPr="00092A6D" w:rsidRDefault="003F1443">
            <w:pPr>
              <w:jc w:val="center"/>
              <w:rPr>
                <w:noProof/>
                <w:sz w:val="20"/>
                <w:szCs w:val="20"/>
              </w:rPr>
            </w:pPr>
            <w:r w:rsidRPr="00092A6D">
              <w:rPr>
                <w:noProof/>
                <w:sz w:val="20"/>
                <w:szCs w:val="20"/>
              </w:rPr>
              <w:t>11</w:t>
            </w:r>
          </w:p>
        </w:tc>
        <w:tc>
          <w:tcPr>
            <w:tcW w:w="920" w:type="pct"/>
          </w:tcPr>
          <w:p w14:paraId="6FA541BA" w14:textId="77777777" w:rsidR="003F1443" w:rsidRPr="00092A6D" w:rsidRDefault="003F1443">
            <w:pPr>
              <w:jc w:val="center"/>
              <w:rPr>
                <w:noProof/>
                <w:sz w:val="20"/>
                <w:szCs w:val="20"/>
              </w:rPr>
            </w:pPr>
            <w:r w:rsidRPr="00092A6D">
              <w:rPr>
                <w:noProof/>
                <w:sz w:val="20"/>
                <w:szCs w:val="20"/>
              </w:rPr>
              <w:t>9</w:t>
            </w:r>
          </w:p>
        </w:tc>
        <w:tc>
          <w:tcPr>
            <w:tcW w:w="954" w:type="pct"/>
          </w:tcPr>
          <w:p w14:paraId="31D772A9" w14:textId="77777777" w:rsidR="003F1443" w:rsidRPr="00092A6D" w:rsidRDefault="003F1443">
            <w:pPr>
              <w:jc w:val="center"/>
              <w:rPr>
                <w:noProof/>
                <w:sz w:val="20"/>
                <w:szCs w:val="20"/>
              </w:rPr>
            </w:pPr>
            <w:r w:rsidRPr="00092A6D">
              <w:rPr>
                <w:noProof/>
                <w:sz w:val="20"/>
                <w:szCs w:val="20"/>
              </w:rPr>
              <w:t>6</w:t>
            </w:r>
          </w:p>
        </w:tc>
      </w:tr>
      <w:tr w:rsidR="003F1443" w:rsidRPr="00FC040A" w14:paraId="522BC2BB" w14:textId="77777777" w:rsidTr="000E51B7">
        <w:trPr>
          <w:trHeight w:val="306"/>
        </w:trPr>
        <w:tc>
          <w:tcPr>
            <w:tcW w:w="2129" w:type="pct"/>
            <w:shd w:val="clear" w:color="auto" w:fill="DBE5F1" w:themeFill="accent1" w:themeFillTint="33"/>
          </w:tcPr>
          <w:p w14:paraId="5DBBDB18" w14:textId="77777777" w:rsidR="003F1443" w:rsidRPr="00092A6D" w:rsidRDefault="003F1443">
            <w:pPr>
              <w:rPr>
                <w:b/>
                <w:noProof/>
                <w:sz w:val="20"/>
                <w:szCs w:val="20"/>
              </w:rPr>
            </w:pPr>
            <w:r w:rsidRPr="00092A6D">
              <w:rPr>
                <w:b/>
                <w:noProof/>
                <w:sz w:val="20"/>
                <w:szCs w:val="20"/>
              </w:rPr>
              <w:t>Weighted average modal shift*</w:t>
            </w:r>
          </w:p>
        </w:tc>
        <w:tc>
          <w:tcPr>
            <w:tcW w:w="997" w:type="pct"/>
            <w:shd w:val="clear" w:color="auto" w:fill="DBE5F1" w:themeFill="accent1" w:themeFillTint="33"/>
          </w:tcPr>
          <w:p w14:paraId="0AD11019" w14:textId="77777777" w:rsidR="003F1443" w:rsidRPr="00092A6D" w:rsidRDefault="003F1443">
            <w:pPr>
              <w:jc w:val="center"/>
              <w:rPr>
                <w:b/>
                <w:noProof/>
                <w:sz w:val="20"/>
                <w:szCs w:val="20"/>
              </w:rPr>
            </w:pPr>
            <w:r w:rsidRPr="00092A6D">
              <w:rPr>
                <w:b/>
                <w:noProof/>
                <w:sz w:val="20"/>
                <w:szCs w:val="20"/>
              </w:rPr>
              <w:t>5.8%</w:t>
            </w:r>
          </w:p>
        </w:tc>
        <w:tc>
          <w:tcPr>
            <w:tcW w:w="920" w:type="pct"/>
            <w:shd w:val="clear" w:color="auto" w:fill="DBE5F1" w:themeFill="accent1" w:themeFillTint="33"/>
          </w:tcPr>
          <w:p w14:paraId="11634389" w14:textId="77777777" w:rsidR="003F1443" w:rsidRPr="00092A6D" w:rsidRDefault="003F1443">
            <w:pPr>
              <w:jc w:val="center"/>
              <w:rPr>
                <w:b/>
                <w:noProof/>
                <w:sz w:val="20"/>
                <w:szCs w:val="20"/>
              </w:rPr>
            </w:pPr>
            <w:r w:rsidRPr="00092A6D">
              <w:rPr>
                <w:b/>
                <w:noProof/>
                <w:sz w:val="20"/>
                <w:szCs w:val="20"/>
              </w:rPr>
              <w:t>4.3%</w:t>
            </w:r>
          </w:p>
        </w:tc>
        <w:tc>
          <w:tcPr>
            <w:tcW w:w="954" w:type="pct"/>
            <w:shd w:val="clear" w:color="auto" w:fill="DBE5F1" w:themeFill="accent1" w:themeFillTint="33"/>
          </w:tcPr>
          <w:p w14:paraId="282297F1" w14:textId="77777777" w:rsidR="003F1443" w:rsidRPr="00092A6D" w:rsidRDefault="003F1443">
            <w:pPr>
              <w:jc w:val="center"/>
              <w:rPr>
                <w:b/>
                <w:noProof/>
                <w:sz w:val="20"/>
                <w:szCs w:val="20"/>
              </w:rPr>
            </w:pPr>
            <w:r w:rsidRPr="00092A6D">
              <w:rPr>
                <w:b/>
                <w:noProof/>
                <w:sz w:val="20"/>
                <w:szCs w:val="20"/>
              </w:rPr>
              <w:t>6.6%</w:t>
            </w:r>
          </w:p>
        </w:tc>
      </w:tr>
    </w:tbl>
    <w:p w14:paraId="73DA5307" w14:textId="77777777" w:rsidR="003F1443" w:rsidRPr="00B8594E" w:rsidRDefault="003F1443" w:rsidP="003E65B8">
      <w:pPr>
        <w:spacing w:after="240"/>
        <w:jc w:val="both"/>
        <w:rPr>
          <w:i/>
          <w:iCs/>
          <w:noProof/>
          <w:spacing w:val="-8"/>
          <w:sz w:val="20"/>
          <w:szCs w:val="20"/>
        </w:rPr>
      </w:pPr>
      <w:r w:rsidRPr="00B8594E">
        <w:rPr>
          <w:i/>
          <w:iCs/>
          <w:noProof/>
          <w:spacing w:val="-8"/>
          <w:sz w:val="20"/>
          <w:szCs w:val="20"/>
        </w:rPr>
        <w:t xml:space="preserve">Source: </w:t>
      </w:r>
      <w:r w:rsidRPr="00B8594E">
        <w:rPr>
          <w:i/>
          <w:iCs/>
          <w:noProof/>
          <w:sz w:val="20"/>
          <w:szCs w:val="20"/>
        </w:rPr>
        <w:t>Ricardo et al. (2026), Impact assessment support study</w:t>
      </w:r>
      <w:r w:rsidRPr="00B8594E">
        <w:rPr>
          <w:i/>
          <w:iCs/>
          <w:noProof/>
          <w:spacing w:val="-8"/>
        </w:rPr>
        <w:t xml:space="preserve">; </w:t>
      </w:r>
      <w:r w:rsidRPr="00B8594E">
        <w:rPr>
          <w:i/>
          <w:iCs/>
          <w:noProof/>
          <w:spacing w:val="-8"/>
          <w:sz w:val="20"/>
          <w:szCs w:val="20"/>
        </w:rPr>
        <w:t xml:space="preserve">Note: </w:t>
      </w:r>
      <w:r w:rsidRPr="00B8594E">
        <w:rPr>
          <w:i/>
          <w:iCs/>
          <w:noProof/>
          <w:spacing w:val="-8"/>
        </w:rPr>
        <w:t>*</w:t>
      </w:r>
      <w:r w:rsidRPr="00B8594E">
        <w:rPr>
          <w:i/>
          <w:iCs/>
          <w:noProof/>
          <w:spacing w:val="-8"/>
          <w:sz w:val="20"/>
          <w:szCs w:val="20"/>
        </w:rPr>
        <w:t>Calculated by taking the midpoint of each range of modal shift options as laid out in the response options. For ‘Very high impact (&gt;10%)’, this was assumed at 10% as a conservative estimate.</w:t>
      </w:r>
      <w:r w:rsidRPr="00B8594E" w:rsidDel="00BC218F">
        <w:rPr>
          <w:i/>
          <w:iCs/>
          <w:noProof/>
          <w:spacing w:val="-8"/>
          <w:sz w:val="20"/>
          <w:szCs w:val="20"/>
        </w:rPr>
        <w:t xml:space="preserve"> </w:t>
      </w:r>
    </w:p>
    <w:p w14:paraId="19B01E3E" w14:textId="77777777" w:rsidR="003F1443" w:rsidRPr="008337E0" w:rsidRDefault="003F1443" w:rsidP="003E65B8">
      <w:pPr>
        <w:spacing w:after="240"/>
        <w:jc w:val="both"/>
        <w:rPr>
          <w:noProof/>
          <w:spacing w:val="-8"/>
        </w:rPr>
      </w:pPr>
      <w:r>
        <w:rPr>
          <w:noProof/>
          <w:spacing w:val="-8"/>
        </w:rPr>
        <w:t>T</w:t>
      </w:r>
      <w:r w:rsidRPr="008337E0">
        <w:rPr>
          <w:noProof/>
          <w:spacing w:val="-8"/>
        </w:rPr>
        <w:t xml:space="preserve">hese figures were interpreted to represent a midpoint of the instances where potential for modal shift could be very high and very low, with the range corresponding to </w:t>
      </w:r>
      <w:r>
        <w:rPr>
          <w:noProof/>
          <w:spacing w:val="-8"/>
        </w:rPr>
        <w:t>the</w:t>
      </w:r>
      <w:r w:rsidRPr="008337E0">
        <w:rPr>
          <w:noProof/>
          <w:spacing w:val="-8"/>
        </w:rPr>
        <w:t xml:space="preserve"> route clustering criteria</w:t>
      </w:r>
      <w:r>
        <w:rPr>
          <w:noProof/>
          <w:spacing w:val="-8"/>
        </w:rPr>
        <w:t>, based on discussions at the workshops</w:t>
      </w:r>
      <w:r w:rsidRPr="008337E0">
        <w:rPr>
          <w:noProof/>
          <w:spacing w:val="-8"/>
        </w:rPr>
        <w:t xml:space="preserve">. </w:t>
      </w:r>
      <w:r>
        <w:rPr>
          <w:noProof/>
          <w:spacing w:val="-8"/>
        </w:rPr>
        <w:t>R</w:t>
      </w:r>
      <w:r w:rsidRPr="008337E0">
        <w:rPr>
          <w:noProof/>
          <w:spacing w:val="-8"/>
        </w:rPr>
        <w:t xml:space="preserve">elating to Q1, </w:t>
      </w:r>
      <w:r>
        <w:rPr>
          <w:noProof/>
          <w:spacing w:val="-8"/>
        </w:rPr>
        <w:t>participants</w:t>
      </w:r>
      <w:r w:rsidRPr="008337E0">
        <w:rPr>
          <w:noProof/>
          <w:spacing w:val="-8"/>
        </w:rPr>
        <w:t xml:space="preserve"> noted that potential for modal shift would be much higher on routes where travel time is more </w:t>
      </w:r>
      <w:r>
        <w:rPr>
          <w:noProof/>
          <w:spacing w:val="-8"/>
        </w:rPr>
        <w:t>comparable</w:t>
      </w:r>
      <w:r w:rsidRPr="008337E0">
        <w:rPr>
          <w:noProof/>
          <w:spacing w:val="-8"/>
        </w:rPr>
        <w:t xml:space="preserve"> between rail and air, but people </w:t>
      </w:r>
      <w:r>
        <w:rPr>
          <w:noProof/>
          <w:spacing w:val="-8"/>
        </w:rPr>
        <w:t>do</w:t>
      </w:r>
      <w:r w:rsidRPr="008337E0">
        <w:rPr>
          <w:noProof/>
          <w:spacing w:val="-8"/>
        </w:rPr>
        <w:t xml:space="preserve"> not find competitive </w:t>
      </w:r>
      <w:r>
        <w:rPr>
          <w:noProof/>
          <w:spacing w:val="-8"/>
        </w:rPr>
        <w:t>rail</w:t>
      </w:r>
      <w:r w:rsidRPr="008337E0">
        <w:rPr>
          <w:noProof/>
          <w:spacing w:val="-8"/>
        </w:rPr>
        <w:t xml:space="preserve"> options. </w:t>
      </w:r>
      <w:r>
        <w:rPr>
          <w:noProof/>
          <w:spacing w:val="-8"/>
        </w:rPr>
        <w:t>On the other hand</w:t>
      </w:r>
      <w:r w:rsidRPr="008337E0">
        <w:rPr>
          <w:noProof/>
          <w:spacing w:val="-8"/>
        </w:rPr>
        <w:t xml:space="preserve">, on </w:t>
      </w:r>
      <w:r>
        <w:rPr>
          <w:noProof/>
          <w:spacing w:val="-8"/>
        </w:rPr>
        <w:t xml:space="preserve">long-distance </w:t>
      </w:r>
      <w:r w:rsidRPr="008337E0">
        <w:rPr>
          <w:noProof/>
          <w:spacing w:val="-8"/>
        </w:rPr>
        <w:t xml:space="preserve">routes where air is the only convenient option, the potential for shift to rail would be much lower or zero. Overall, the potential for modal shift </w:t>
      </w:r>
      <w:r>
        <w:rPr>
          <w:noProof/>
          <w:spacing w:val="-8"/>
        </w:rPr>
        <w:t>was assessed</w:t>
      </w:r>
      <w:r w:rsidRPr="008337E0">
        <w:rPr>
          <w:noProof/>
          <w:spacing w:val="-8"/>
        </w:rPr>
        <w:t xml:space="preserve"> to be higher </w:t>
      </w:r>
      <w:r>
        <w:rPr>
          <w:noProof/>
          <w:spacing w:val="-8"/>
        </w:rPr>
        <w:t>under</w:t>
      </w:r>
      <w:r w:rsidRPr="008337E0">
        <w:rPr>
          <w:noProof/>
          <w:spacing w:val="-8"/>
        </w:rPr>
        <w:t xml:space="preserve"> QP1 than </w:t>
      </w:r>
      <w:r>
        <w:rPr>
          <w:noProof/>
          <w:spacing w:val="-8"/>
        </w:rPr>
        <w:t>under</w:t>
      </w:r>
      <w:r w:rsidRPr="008337E0">
        <w:rPr>
          <w:noProof/>
          <w:spacing w:val="-8"/>
        </w:rPr>
        <w:t xml:space="preserve"> QP2. When combined, the impact </w:t>
      </w:r>
      <w:r>
        <w:rPr>
          <w:noProof/>
          <w:spacing w:val="-8"/>
        </w:rPr>
        <w:t xml:space="preserve">would be </w:t>
      </w:r>
      <w:r w:rsidRPr="008337E0">
        <w:rPr>
          <w:noProof/>
          <w:spacing w:val="-8"/>
        </w:rPr>
        <w:t xml:space="preserve">higher but not fully additive. </w:t>
      </w:r>
    </w:p>
    <w:p w14:paraId="1484FD2E" w14:textId="3F7613D5" w:rsidR="003F1443" w:rsidRPr="008337E0" w:rsidRDefault="003F1443" w:rsidP="003E65B8">
      <w:pPr>
        <w:spacing w:after="240"/>
        <w:jc w:val="both"/>
        <w:rPr>
          <w:noProof/>
          <w:spacing w:val="-8"/>
        </w:rPr>
      </w:pPr>
      <w:r w:rsidRPr="008337E0">
        <w:rPr>
          <w:noProof/>
          <w:spacing w:val="-8"/>
        </w:rPr>
        <w:t>As regards the robustness of these results, the workshop was attended by approximately 20 Member State experts and a couple of multimodal transport experts</w:t>
      </w:r>
      <w:r>
        <w:rPr>
          <w:noProof/>
          <w:spacing w:val="-8"/>
        </w:rPr>
        <w:t xml:space="preserve">. However, </w:t>
      </w:r>
      <w:r w:rsidRPr="008337E0">
        <w:rPr>
          <w:noProof/>
          <w:spacing w:val="-8"/>
        </w:rPr>
        <w:t>only a maximum of 11</w:t>
      </w:r>
      <w:r w:rsidRPr="008337E0" w:rsidDel="005D53F3">
        <w:rPr>
          <w:noProof/>
          <w:spacing w:val="-8"/>
        </w:rPr>
        <w:t xml:space="preserve"> </w:t>
      </w:r>
      <w:r w:rsidR="005D53F3" w:rsidRPr="008337E0">
        <w:rPr>
          <w:noProof/>
          <w:spacing w:val="-8"/>
        </w:rPr>
        <w:t>vote</w:t>
      </w:r>
      <w:r w:rsidR="005D53F3">
        <w:rPr>
          <w:noProof/>
          <w:spacing w:val="-8"/>
        </w:rPr>
        <w:t>s</w:t>
      </w:r>
      <w:r w:rsidR="005D53F3" w:rsidRPr="008337E0">
        <w:rPr>
          <w:noProof/>
          <w:spacing w:val="-8"/>
        </w:rPr>
        <w:t xml:space="preserve"> </w:t>
      </w:r>
      <w:r>
        <w:rPr>
          <w:noProof/>
          <w:spacing w:val="-8"/>
        </w:rPr>
        <w:t xml:space="preserve">were received during </w:t>
      </w:r>
      <w:r w:rsidRPr="008337E0">
        <w:rPr>
          <w:noProof/>
          <w:spacing w:val="-8"/>
        </w:rPr>
        <w:t>the survey. Due to the low number of participants, these results cannot be regarded as representative</w:t>
      </w:r>
      <w:r>
        <w:rPr>
          <w:noProof/>
          <w:spacing w:val="-8"/>
        </w:rPr>
        <w:t xml:space="preserve">. </w:t>
      </w:r>
      <w:r w:rsidRPr="008337E0">
        <w:rPr>
          <w:noProof/>
          <w:spacing w:val="-8"/>
        </w:rPr>
        <w:t>Moreover, participants indicated the difficulty to derive a modal shift potential linked to the ability to see all offerings on an MDMS platform (and such information is complete and accurate) and the ability to book all visible travel options on an MDMS platform, since there ha</w:t>
      </w:r>
      <w:r>
        <w:rPr>
          <w:noProof/>
          <w:spacing w:val="-8"/>
        </w:rPr>
        <w:t>ve</w:t>
      </w:r>
      <w:r w:rsidRPr="008337E0">
        <w:rPr>
          <w:noProof/>
          <w:spacing w:val="-8"/>
        </w:rPr>
        <w:t xml:space="preserve"> been little relevant application</w:t>
      </w:r>
      <w:r>
        <w:rPr>
          <w:noProof/>
          <w:spacing w:val="-8"/>
        </w:rPr>
        <w:t>s</w:t>
      </w:r>
      <w:r w:rsidRPr="008337E0">
        <w:rPr>
          <w:noProof/>
          <w:spacing w:val="-8"/>
        </w:rPr>
        <w:t xml:space="preserve"> of similar initiatives that could </w:t>
      </w:r>
      <w:r>
        <w:rPr>
          <w:noProof/>
          <w:spacing w:val="-8"/>
        </w:rPr>
        <w:t>allow</w:t>
      </w:r>
      <w:r w:rsidRPr="008337E0">
        <w:rPr>
          <w:noProof/>
          <w:spacing w:val="-8"/>
        </w:rPr>
        <w:t xml:space="preserve"> to deduct lessons. </w:t>
      </w:r>
      <w:r>
        <w:rPr>
          <w:noProof/>
          <w:spacing w:val="-8"/>
        </w:rPr>
        <w:t xml:space="preserve">Based on the </w:t>
      </w:r>
      <w:r w:rsidRPr="008337E0">
        <w:rPr>
          <w:noProof/>
          <w:spacing w:val="-8"/>
        </w:rPr>
        <w:t>discussion</w:t>
      </w:r>
      <w:r>
        <w:rPr>
          <w:noProof/>
          <w:spacing w:val="-8"/>
        </w:rPr>
        <w:t>s</w:t>
      </w:r>
      <w:r w:rsidRPr="008337E0">
        <w:rPr>
          <w:noProof/>
          <w:spacing w:val="-8"/>
        </w:rPr>
        <w:t xml:space="preserve"> </w:t>
      </w:r>
      <w:r>
        <w:rPr>
          <w:noProof/>
          <w:spacing w:val="-8"/>
        </w:rPr>
        <w:t xml:space="preserve">during the workshop </w:t>
      </w:r>
      <w:r w:rsidRPr="008337E0">
        <w:rPr>
          <w:noProof/>
          <w:spacing w:val="-8"/>
        </w:rPr>
        <w:t>and the voting of the experts</w:t>
      </w:r>
      <w:r>
        <w:rPr>
          <w:noProof/>
          <w:spacing w:val="-8"/>
        </w:rPr>
        <w:t>,</w:t>
      </w:r>
      <w:r w:rsidRPr="008337E0">
        <w:rPr>
          <w:noProof/>
          <w:spacing w:val="-8"/>
        </w:rPr>
        <w:t xml:space="preserve"> an average modal shift potential of around 5% </w:t>
      </w:r>
      <w:r>
        <w:rPr>
          <w:noProof/>
          <w:spacing w:val="-8"/>
        </w:rPr>
        <w:t xml:space="preserve">was identified. This </w:t>
      </w:r>
      <w:r w:rsidRPr="008337E0">
        <w:rPr>
          <w:noProof/>
          <w:spacing w:val="-8"/>
        </w:rPr>
        <w:t>represents a 5% increase in the number of journeys performed by rail</w:t>
      </w:r>
      <w:r>
        <w:rPr>
          <w:noProof/>
          <w:spacing w:val="-8"/>
        </w:rPr>
        <w:t xml:space="preserve"> and</w:t>
      </w:r>
      <w:r w:rsidRPr="008337E0">
        <w:rPr>
          <w:noProof/>
          <w:spacing w:val="-8"/>
        </w:rPr>
        <w:t xml:space="preserve"> coach at the expense of </w:t>
      </w:r>
      <w:r>
        <w:rPr>
          <w:noProof/>
          <w:spacing w:val="-8"/>
        </w:rPr>
        <w:t>journeys by air and</w:t>
      </w:r>
      <w:r w:rsidRPr="008337E0">
        <w:rPr>
          <w:noProof/>
          <w:spacing w:val="-8"/>
        </w:rPr>
        <w:t xml:space="preserve"> car. </w:t>
      </w:r>
    </w:p>
    <w:p w14:paraId="4C032176" w14:textId="4731BC71" w:rsidR="003F1443" w:rsidRPr="00DA40C8" w:rsidRDefault="00DA40C8" w:rsidP="006A6B7E">
      <w:pPr>
        <w:spacing w:after="240"/>
        <w:jc w:val="both"/>
        <w:rPr>
          <w:rFonts w:cs="Arial"/>
          <w:i/>
          <w:noProof/>
          <w:spacing w:val="-8"/>
        </w:rPr>
      </w:pPr>
      <w:r w:rsidRPr="00DA40C8">
        <w:rPr>
          <w:rFonts w:cs="Arial"/>
          <w:i/>
          <w:noProof/>
          <w:spacing w:val="-8"/>
        </w:rPr>
        <w:t>Eurobarometer survey</w:t>
      </w:r>
    </w:p>
    <w:p w14:paraId="41447A89" w14:textId="3C4BC131" w:rsidR="00784317" w:rsidRPr="00961C1E" w:rsidRDefault="00784317" w:rsidP="00784317">
      <w:pPr>
        <w:spacing w:after="240"/>
        <w:jc w:val="both"/>
        <w:rPr>
          <w:noProof/>
          <w:spacing w:val="-8"/>
        </w:rPr>
      </w:pPr>
      <w:r w:rsidRPr="00961C1E">
        <w:rPr>
          <w:noProof/>
          <w:spacing w:val="-8"/>
        </w:rPr>
        <w:t xml:space="preserve">To complement the views of experts, the results of the </w:t>
      </w:r>
      <w:r w:rsidR="0065739F">
        <w:rPr>
          <w:noProof/>
          <w:spacing w:val="-8"/>
        </w:rPr>
        <w:t xml:space="preserve">2024 </w:t>
      </w:r>
      <w:r w:rsidRPr="00961C1E">
        <w:rPr>
          <w:noProof/>
          <w:spacing w:val="-8"/>
        </w:rPr>
        <w:t>Eurobarometer</w:t>
      </w:r>
      <w:r w:rsidRPr="00961C1E" w:rsidDel="00A62294">
        <w:rPr>
          <w:noProof/>
          <w:spacing w:val="-8"/>
        </w:rPr>
        <w:t xml:space="preserve"> </w:t>
      </w:r>
      <w:r w:rsidRPr="00961C1E">
        <w:rPr>
          <w:noProof/>
          <w:spacing w:val="-8"/>
        </w:rPr>
        <w:t xml:space="preserve">survey </w:t>
      </w:r>
      <w:r w:rsidR="00D63F5F" w:rsidRPr="00961C1E">
        <w:rPr>
          <w:noProof/>
          <w:spacing w:val="-8"/>
        </w:rPr>
        <w:t>provide</w:t>
      </w:r>
      <w:r w:rsidR="00092367">
        <w:rPr>
          <w:noProof/>
          <w:spacing w:val="-8"/>
        </w:rPr>
        <w:t>d</w:t>
      </w:r>
      <w:r w:rsidRPr="00961C1E">
        <w:rPr>
          <w:noProof/>
          <w:spacing w:val="-8"/>
        </w:rPr>
        <w:t>, through the analysis of responses, an understanding of the potential magnitude of expected impacts</w:t>
      </w:r>
      <w:r w:rsidR="00E03935">
        <w:rPr>
          <w:noProof/>
          <w:spacing w:val="-8"/>
        </w:rPr>
        <w:t xml:space="preserve"> on modal shift</w:t>
      </w:r>
      <w:r w:rsidRPr="00961C1E">
        <w:rPr>
          <w:noProof/>
          <w:spacing w:val="-8"/>
        </w:rPr>
        <w:t xml:space="preserve">. In </w:t>
      </w:r>
      <w:r w:rsidR="0050786D">
        <w:rPr>
          <w:noProof/>
          <w:spacing w:val="-8"/>
        </w:rPr>
        <w:t>particular</w:t>
      </w:r>
      <w:r w:rsidRPr="00961C1E">
        <w:rPr>
          <w:noProof/>
          <w:spacing w:val="-8"/>
        </w:rPr>
        <w:t xml:space="preserve">, it </w:t>
      </w:r>
      <w:r w:rsidR="00995E1E">
        <w:rPr>
          <w:noProof/>
          <w:spacing w:val="-8"/>
        </w:rPr>
        <w:t>showed</w:t>
      </w:r>
      <w:r w:rsidR="00092367" w:rsidRPr="00961C1E">
        <w:rPr>
          <w:noProof/>
          <w:spacing w:val="-8"/>
        </w:rPr>
        <w:t xml:space="preserve"> </w:t>
      </w:r>
      <w:r w:rsidRPr="00961C1E">
        <w:rPr>
          <w:noProof/>
          <w:spacing w:val="-8"/>
        </w:rPr>
        <w:t>that:</w:t>
      </w:r>
    </w:p>
    <w:p w14:paraId="7B1DACC9" w14:textId="71827AAF" w:rsidR="00784317" w:rsidRPr="00FA790B" w:rsidRDefault="00784317" w:rsidP="001979E4">
      <w:pPr>
        <w:pStyle w:val="ListParagraph"/>
        <w:numPr>
          <w:ilvl w:val="0"/>
          <w:numId w:val="29"/>
        </w:numPr>
        <w:spacing w:after="240"/>
        <w:jc w:val="both"/>
        <w:rPr>
          <w:noProof/>
          <w:spacing w:val="-8"/>
          <w:sz w:val="24"/>
          <w:szCs w:val="24"/>
        </w:rPr>
      </w:pPr>
      <w:r w:rsidRPr="00FA790B">
        <w:rPr>
          <w:noProof/>
          <w:spacing w:val="-8"/>
          <w:sz w:val="24"/>
          <w:szCs w:val="24"/>
        </w:rPr>
        <w:t xml:space="preserve">While the majority of </w:t>
      </w:r>
      <w:r w:rsidR="00AE7CDC">
        <w:rPr>
          <w:noProof/>
          <w:spacing w:val="-8"/>
          <w:sz w:val="24"/>
          <w:szCs w:val="24"/>
        </w:rPr>
        <w:t>respondents</w:t>
      </w:r>
      <w:r w:rsidRPr="00FA790B">
        <w:rPr>
          <w:noProof/>
          <w:spacing w:val="-8"/>
          <w:sz w:val="24"/>
          <w:szCs w:val="24"/>
        </w:rPr>
        <w:t xml:space="preserve"> (76%)</w:t>
      </w:r>
      <w:r w:rsidR="00A84735">
        <w:rPr>
          <w:noProof/>
          <w:spacing w:val="-8"/>
          <w:sz w:val="24"/>
          <w:szCs w:val="24"/>
        </w:rPr>
        <w:t xml:space="preserve"> indicated that they</w:t>
      </w:r>
      <w:r w:rsidRPr="00FA790B">
        <w:rPr>
          <w:noProof/>
          <w:spacing w:val="-8"/>
          <w:sz w:val="24"/>
          <w:szCs w:val="24"/>
        </w:rPr>
        <w:t xml:space="preserve"> book tickets online, only a minority of them (26%) do so after comparing travel options and prices (Question 6)</w:t>
      </w:r>
      <w:r w:rsidR="00CF25AD" w:rsidRPr="00FA790B">
        <w:rPr>
          <w:noProof/>
          <w:spacing w:val="-8"/>
          <w:sz w:val="24"/>
          <w:szCs w:val="24"/>
        </w:rPr>
        <w:t>.</w:t>
      </w:r>
    </w:p>
    <w:p w14:paraId="3C7AA51D" w14:textId="413F4FC4" w:rsidR="00784317" w:rsidRPr="007546F8" w:rsidRDefault="00784317" w:rsidP="001979E4">
      <w:pPr>
        <w:pStyle w:val="ListParagraph"/>
        <w:numPr>
          <w:ilvl w:val="0"/>
          <w:numId w:val="29"/>
        </w:numPr>
        <w:spacing w:after="240"/>
        <w:jc w:val="both"/>
        <w:rPr>
          <w:noProof/>
          <w:spacing w:val="-8"/>
          <w:sz w:val="24"/>
          <w:szCs w:val="24"/>
        </w:rPr>
      </w:pPr>
      <w:r w:rsidRPr="00683954">
        <w:rPr>
          <w:noProof/>
          <w:spacing w:val="-8"/>
          <w:sz w:val="24"/>
          <w:szCs w:val="24"/>
        </w:rPr>
        <w:t xml:space="preserve">Costs (61%) and travel duration (47%) are the most important factors </w:t>
      </w:r>
      <w:r w:rsidR="0024523F" w:rsidRPr="00683954">
        <w:rPr>
          <w:noProof/>
          <w:spacing w:val="-8"/>
          <w:sz w:val="24"/>
          <w:szCs w:val="24"/>
        </w:rPr>
        <w:t xml:space="preserve">when planning a regional or long-distance journey, </w:t>
      </w:r>
      <w:r w:rsidRPr="00683954">
        <w:rPr>
          <w:noProof/>
          <w:spacing w:val="-8"/>
          <w:sz w:val="24"/>
          <w:szCs w:val="24"/>
        </w:rPr>
        <w:t xml:space="preserve">and while the initiative will not directly affect these, it might indirectly affect the perception of these </w:t>
      </w:r>
      <w:r w:rsidR="00D0502E" w:rsidRPr="00683954">
        <w:rPr>
          <w:noProof/>
          <w:spacing w:val="-8"/>
          <w:sz w:val="24"/>
          <w:szCs w:val="24"/>
        </w:rPr>
        <w:t>two factors</w:t>
      </w:r>
      <w:r w:rsidR="00683954" w:rsidRPr="00683954">
        <w:rPr>
          <w:noProof/>
          <w:spacing w:val="-8"/>
          <w:sz w:val="24"/>
          <w:szCs w:val="24"/>
        </w:rPr>
        <w:t>,</w:t>
      </w:r>
      <w:r w:rsidRPr="00683954">
        <w:rPr>
          <w:noProof/>
          <w:spacing w:val="-8"/>
          <w:sz w:val="24"/>
          <w:szCs w:val="24"/>
        </w:rPr>
        <w:t xml:space="preserve"> as a more complete availability of travel information may unveil better travel options to passengers. </w:t>
      </w:r>
      <w:r w:rsidRPr="001014CC">
        <w:rPr>
          <w:noProof/>
          <w:spacing w:val="-8"/>
          <w:sz w:val="24"/>
          <w:szCs w:val="24"/>
        </w:rPr>
        <w:t>The ease of finding travel options (17%) and ease of booking tickets (16%) are considered relatively important factors when planning regional and long-distance trips</w:t>
      </w:r>
      <w:r w:rsidR="006144A9">
        <w:rPr>
          <w:noProof/>
          <w:spacing w:val="-8"/>
          <w:sz w:val="24"/>
          <w:szCs w:val="24"/>
        </w:rPr>
        <w:t xml:space="preserve"> </w:t>
      </w:r>
      <w:r w:rsidR="006144A9" w:rsidRPr="001014CC">
        <w:rPr>
          <w:noProof/>
          <w:spacing w:val="-8"/>
          <w:sz w:val="24"/>
          <w:szCs w:val="24"/>
        </w:rPr>
        <w:t>(Question 3)</w:t>
      </w:r>
      <w:r w:rsidRPr="001014CC">
        <w:rPr>
          <w:noProof/>
          <w:spacing w:val="-8"/>
          <w:sz w:val="24"/>
          <w:szCs w:val="24"/>
        </w:rPr>
        <w:t xml:space="preserve">. These can be directly improved by the policy measures introduced. </w:t>
      </w:r>
    </w:p>
    <w:p w14:paraId="481D1A62" w14:textId="34E3D950" w:rsidR="00784317" w:rsidRDefault="00784317" w:rsidP="001979E4">
      <w:pPr>
        <w:pStyle w:val="ListParagraph"/>
        <w:numPr>
          <w:ilvl w:val="0"/>
          <w:numId w:val="29"/>
        </w:numPr>
        <w:spacing w:after="240"/>
        <w:jc w:val="both"/>
        <w:rPr>
          <w:noProof/>
          <w:spacing w:val="-8"/>
          <w:sz w:val="24"/>
          <w:szCs w:val="24"/>
        </w:rPr>
      </w:pPr>
      <w:r w:rsidRPr="00773D41">
        <w:rPr>
          <w:noProof/>
          <w:spacing w:val="-8"/>
          <w:sz w:val="24"/>
          <w:szCs w:val="24"/>
        </w:rPr>
        <w:t>Amongst the most important factors deterring passengers from booking tickets online</w:t>
      </w:r>
      <w:r w:rsidR="00A623A9">
        <w:rPr>
          <w:noProof/>
          <w:spacing w:val="-8"/>
          <w:sz w:val="24"/>
          <w:szCs w:val="24"/>
        </w:rPr>
        <w:t xml:space="preserve"> </w:t>
      </w:r>
      <w:r w:rsidR="00A623A9" w:rsidRPr="00773D41">
        <w:rPr>
          <w:noProof/>
          <w:spacing w:val="-8"/>
          <w:sz w:val="24"/>
          <w:szCs w:val="24"/>
        </w:rPr>
        <w:t>(Question 7)</w:t>
      </w:r>
      <w:r w:rsidRPr="00773D41">
        <w:rPr>
          <w:noProof/>
          <w:spacing w:val="-8"/>
          <w:sz w:val="24"/>
          <w:szCs w:val="24"/>
        </w:rPr>
        <w:t>, are: the completeness of information (14%), the availability of all relevant fares (14%) and the ease of booking via websites and apps (10%). As mentioned earlier, these are factors the initiative is intending to affect.</w:t>
      </w:r>
    </w:p>
    <w:p w14:paraId="4769788D" w14:textId="166B6F07" w:rsidR="002F7225" w:rsidRPr="007546F8" w:rsidRDefault="00817C7F" w:rsidP="001979E4">
      <w:pPr>
        <w:pStyle w:val="ListParagraph"/>
        <w:numPr>
          <w:ilvl w:val="0"/>
          <w:numId w:val="29"/>
        </w:numPr>
        <w:spacing w:after="240"/>
        <w:jc w:val="both"/>
        <w:rPr>
          <w:noProof/>
          <w:spacing w:val="-8"/>
          <w:sz w:val="24"/>
          <w:szCs w:val="24"/>
        </w:rPr>
      </w:pPr>
      <w:r>
        <w:rPr>
          <w:noProof/>
          <w:spacing w:val="-8"/>
          <w:sz w:val="24"/>
          <w:szCs w:val="24"/>
        </w:rPr>
        <w:t xml:space="preserve">One factor </w:t>
      </w:r>
      <w:r w:rsidR="00F8095B">
        <w:rPr>
          <w:noProof/>
          <w:spacing w:val="-8"/>
          <w:sz w:val="24"/>
          <w:szCs w:val="24"/>
        </w:rPr>
        <w:t xml:space="preserve">limiting the combination of transport modes </w:t>
      </w:r>
      <w:r w:rsidR="0058296A">
        <w:rPr>
          <w:noProof/>
          <w:spacing w:val="-8"/>
          <w:sz w:val="24"/>
          <w:szCs w:val="24"/>
        </w:rPr>
        <w:t xml:space="preserve">and operators for regional and long-distance journeys is </w:t>
      </w:r>
      <w:r w:rsidR="00047936">
        <w:rPr>
          <w:noProof/>
          <w:spacing w:val="-8"/>
          <w:sz w:val="24"/>
          <w:szCs w:val="24"/>
        </w:rPr>
        <w:t xml:space="preserve">the </w:t>
      </w:r>
      <w:r w:rsidR="008D380D" w:rsidRPr="00255F89">
        <w:rPr>
          <w:noProof/>
          <w:spacing w:val="-8"/>
          <w:sz w:val="24"/>
          <w:szCs w:val="24"/>
        </w:rPr>
        <w:t>inability</w:t>
      </w:r>
      <w:r w:rsidR="00047936">
        <w:rPr>
          <w:noProof/>
          <w:spacing w:val="-8"/>
          <w:sz w:val="24"/>
          <w:szCs w:val="24"/>
        </w:rPr>
        <w:t xml:space="preserve"> to find </w:t>
      </w:r>
      <w:r w:rsidR="00296ADE">
        <w:rPr>
          <w:noProof/>
          <w:spacing w:val="-8"/>
          <w:sz w:val="24"/>
          <w:szCs w:val="24"/>
        </w:rPr>
        <w:t xml:space="preserve">such </w:t>
      </w:r>
      <w:r w:rsidR="00047936">
        <w:rPr>
          <w:noProof/>
          <w:spacing w:val="-8"/>
          <w:sz w:val="24"/>
          <w:szCs w:val="24"/>
        </w:rPr>
        <w:t>combination</w:t>
      </w:r>
      <w:r w:rsidR="00296ADE">
        <w:rPr>
          <w:noProof/>
          <w:spacing w:val="-8"/>
          <w:sz w:val="24"/>
          <w:szCs w:val="24"/>
        </w:rPr>
        <w:t>s</w:t>
      </w:r>
      <w:r w:rsidR="00047936">
        <w:rPr>
          <w:noProof/>
          <w:spacing w:val="-8"/>
          <w:sz w:val="24"/>
          <w:szCs w:val="24"/>
        </w:rPr>
        <w:t xml:space="preserve"> (</w:t>
      </w:r>
      <w:r w:rsidR="00077A34">
        <w:rPr>
          <w:noProof/>
          <w:spacing w:val="-8"/>
          <w:sz w:val="24"/>
          <w:szCs w:val="24"/>
        </w:rPr>
        <w:t xml:space="preserve">Question 11). </w:t>
      </w:r>
    </w:p>
    <w:p w14:paraId="15118BC0" w14:textId="12EB8A24" w:rsidR="00F90D3B" w:rsidRDefault="00D16587" w:rsidP="00784317">
      <w:pPr>
        <w:spacing w:after="240"/>
        <w:jc w:val="both"/>
        <w:rPr>
          <w:noProof/>
          <w:spacing w:val="-8"/>
        </w:rPr>
      </w:pPr>
      <w:r w:rsidRPr="004B64FE">
        <w:rPr>
          <w:noProof/>
          <w:spacing w:val="-8"/>
        </w:rPr>
        <w:t>Since</w:t>
      </w:r>
      <w:r w:rsidR="00784317" w:rsidRPr="004B64FE">
        <w:rPr>
          <w:noProof/>
          <w:spacing w:val="-8"/>
        </w:rPr>
        <w:t xml:space="preserve"> the main potential of the initiative </w:t>
      </w:r>
      <w:r w:rsidR="009F10F2" w:rsidRPr="009F10F2">
        <w:rPr>
          <w:noProof/>
          <w:spacing w:val="-8"/>
        </w:rPr>
        <w:t>lies in improving how complete and accessible information is for passengers</w:t>
      </w:r>
      <w:r w:rsidR="00C271FC" w:rsidRPr="004B64FE">
        <w:rPr>
          <w:noProof/>
          <w:spacing w:val="-8"/>
        </w:rPr>
        <w:t xml:space="preserve">, </w:t>
      </w:r>
      <w:r w:rsidR="005E163B" w:rsidRPr="005E163B">
        <w:rPr>
          <w:noProof/>
          <w:spacing w:val="-8"/>
        </w:rPr>
        <w:t>as well as enhancing their ability to book tickets through MDMS platforms</w:t>
      </w:r>
      <w:r w:rsidR="00A06C40">
        <w:rPr>
          <w:noProof/>
          <w:spacing w:val="-8"/>
        </w:rPr>
        <w:t>,</w:t>
      </w:r>
      <w:r w:rsidR="005E163B" w:rsidRPr="005E163B">
        <w:rPr>
          <w:noProof/>
          <w:spacing w:val="-8"/>
        </w:rPr>
        <w:t xml:space="preserve"> it can be inferred that it may strengthen key factors involved in planning regional and long-distance journeys.</w:t>
      </w:r>
      <w:r w:rsidR="00C81196" w:rsidRPr="00C81196">
        <w:rPr>
          <w:noProof/>
        </w:rPr>
        <w:t xml:space="preserve"> </w:t>
      </w:r>
      <w:r w:rsidR="00C81196" w:rsidRPr="00C81196">
        <w:rPr>
          <w:noProof/>
          <w:spacing w:val="-8"/>
        </w:rPr>
        <w:t>In addition, better information, greater accuracy, and improved booking functionality could remove existing barriers to choosing more sustainable mobility options for a segment of EU passengers. Based on responses to Question 11, a full removal of these barriers could encourage a certain share of transport users to undertake more multimodal and multi-operator trips.</w:t>
      </w:r>
      <w:r w:rsidR="00890EE9" w:rsidRPr="00890EE9">
        <w:rPr>
          <w:noProof/>
        </w:rPr>
        <w:t xml:space="preserve"> </w:t>
      </w:r>
      <w:r w:rsidR="00890EE9" w:rsidRPr="00890EE9">
        <w:rPr>
          <w:noProof/>
          <w:spacing w:val="-8"/>
        </w:rPr>
        <w:t>It is important to note that the responses to Question 11 reflect only a subset of the surveyed, since:</w:t>
      </w:r>
    </w:p>
    <w:p w14:paraId="077B4761" w14:textId="726005BF" w:rsidR="00F90D3B" w:rsidRDefault="00BD1E03" w:rsidP="001979E4">
      <w:pPr>
        <w:pStyle w:val="ListParagraph"/>
        <w:numPr>
          <w:ilvl w:val="0"/>
          <w:numId w:val="30"/>
        </w:numPr>
        <w:spacing w:after="240"/>
        <w:ind w:left="426" w:hanging="426"/>
        <w:jc w:val="both"/>
        <w:rPr>
          <w:noProof/>
          <w:spacing w:val="-8"/>
          <w:sz w:val="24"/>
          <w:szCs w:val="24"/>
        </w:rPr>
      </w:pPr>
      <w:r>
        <w:rPr>
          <w:noProof/>
          <w:spacing w:val="-8"/>
          <w:sz w:val="24"/>
          <w:szCs w:val="24"/>
        </w:rPr>
        <w:t>Q</w:t>
      </w:r>
      <w:r w:rsidR="00F90D3B" w:rsidRPr="00F90D3B">
        <w:rPr>
          <w:noProof/>
          <w:spacing w:val="-8"/>
          <w:sz w:val="24"/>
          <w:szCs w:val="24"/>
        </w:rPr>
        <w:t>uestion</w:t>
      </w:r>
      <w:r>
        <w:rPr>
          <w:noProof/>
          <w:spacing w:val="-8"/>
          <w:sz w:val="24"/>
          <w:szCs w:val="24"/>
        </w:rPr>
        <w:t xml:space="preserve"> 11</w:t>
      </w:r>
      <w:r w:rsidR="00F90D3B" w:rsidRPr="00F90D3B">
        <w:rPr>
          <w:noProof/>
          <w:spacing w:val="-8"/>
          <w:sz w:val="24"/>
          <w:szCs w:val="24"/>
        </w:rPr>
        <w:t xml:space="preserve"> was directed only to respondents who had previously indicated (in Question 8) that they never or rarely combine different collective transport modes and never or rarely combine different operators within the same mode.</w:t>
      </w:r>
    </w:p>
    <w:p w14:paraId="1B3FD1B9" w14:textId="5916741E" w:rsidR="00F90D3B" w:rsidRPr="00F90D3B" w:rsidRDefault="00AC68A1" w:rsidP="001979E4">
      <w:pPr>
        <w:pStyle w:val="ListParagraph"/>
        <w:numPr>
          <w:ilvl w:val="0"/>
          <w:numId w:val="30"/>
        </w:numPr>
        <w:spacing w:after="240"/>
        <w:ind w:left="426" w:hanging="426"/>
        <w:jc w:val="both"/>
        <w:rPr>
          <w:noProof/>
          <w:spacing w:val="-8"/>
          <w:sz w:val="24"/>
          <w:szCs w:val="24"/>
        </w:rPr>
      </w:pPr>
      <w:r>
        <w:rPr>
          <w:noProof/>
          <w:spacing w:val="-8"/>
          <w:sz w:val="24"/>
          <w:szCs w:val="24"/>
        </w:rPr>
        <w:t>R</w:t>
      </w:r>
      <w:r w:rsidR="00E93A54" w:rsidRPr="00E93A54">
        <w:rPr>
          <w:noProof/>
          <w:spacing w:val="-8"/>
          <w:sz w:val="24"/>
          <w:szCs w:val="24"/>
        </w:rPr>
        <w:t>espondents who stated</w:t>
      </w:r>
      <w:r>
        <w:rPr>
          <w:noProof/>
          <w:spacing w:val="-8"/>
          <w:sz w:val="24"/>
          <w:szCs w:val="24"/>
        </w:rPr>
        <w:t xml:space="preserve"> in Question 11 that </w:t>
      </w:r>
      <w:r w:rsidRPr="00AC68A1">
        <w:rPr>
          <w:noProof/>
          <w:spacing w:val="-8"/>
          <w:sz w:val="24"/>
          <w:szCs w:val="24"/>
        </w:rPr>
        <w:t xml:space="preserve">multimodal and multi-operator </w:t>
      </w:r>
      <w:r>
        <w:rPr>
          <w:noProof/>
          <w:spacing w:val="-8"/>
          <w:sz w:val="24"/>
          <w:szCs w:val="24"/>
        </w:rPr>
        <w:t>options were not needed (to reach their destination)</w:t>
      </w:r>
      <w:r w:rsidRPr="00AC68A1">
        <w:rPr>
          <w:noProof/>
          <w:spacing w:val="-8"/>
          <w:sz w:val="24"/>
          <w:szCs w:val="24"/>
        </w:rPr>
        <w:t xml:space="preserve"> </w:t>
      </w:r>
      <w:r w:rsidR="00E93A54" w:rsidRPr="00E93A54">
        <w:rPr>
          <w:noProof/>
          <w:spacing w:val="-8"/>
          <w:sz w:val="24"/>
          <w:szCs w:val="24"/>
        </w:rPr>
        <w:t>were excluded from the assessment.</w:t>
      </w:r>
    </w:p>
    <w:p w14:paraId="01A0D81C" w14:textId="5F830F69" w:rsidR="00784317" w:rsidRPr="006A093F" w:rsidRDefault="00784317" w:rsidP="00784317">
      <w:pPr>
        <w:spacing w:after="240"/>
        <w:jc w:val="both"/>
        <w:rPr>
          <w:noProof/>
          <w:spacing w:val="-8"/>
        </w:rPr>
      </w:pPr>
      <w:r w:rsidRPr="006A093F">
        <w:rPr>
          <w:noProof/>
          <w:spacing w:val="-8"/>
        </w:rPr>
        <w:t>Taking this into account, the percentage of all respondents that cited these barriers</w:t>
      </w:r>
      <w:r w:rsidR="006A093F" w:rsidRPr="006A093F">
        <w:rPr>
          <w:noProof/>
          <w:spacing w:val="-8"/>
        </w:rPr>
        <w:t xml:space="preserve"> was calculated</w:t>
      </w:r>
      <w:r w:rsidRPr="006A093F">
        <w:rPr>
          <w:noProof/>
          <w:spacing w:val="-8"/>
        </w:rPr>
        <w:t>:</w:t>
      </w:r>
    </w:p>
    <w:p w14:paraId="512AFDA6" w14:textId="24149400" w:rsidR="00784317" w:rsidRPr="004A073F" w:rsidRDefault="009B75D9" w:rsidP="001979E4">
      <w:pPr>
        <w:pStyle w:val="ListParagraph"/>
        <w:numPr>
          <w:ilvl w:val="0"/>
          <w:numId w:val="30"/>
        </w:numPr>
        <w:spacing w:after="240"/>
        <w:ind w:left="426" w:hanging="426"/>
        <w:jc w:val="both"/>
        <w:rPr>
          <w:noProof/>
          <w:spacing w:val="-8"/>
          <w:sz w:val="24"/>
          <w:szCs w:val="24"/>
        </w:rPr>
      </w:pPr>
      <w:r>
        <w:rPr>
          <w:noProof/>
          <w:spacing w:val="-8"/>
          <w:sz w:val="24"/>
          <w:szCs w:val="24"/>
        </w:rPr>
        <w:t>I</w:t>
      </w:r>
      <w:r w:rsidR="00784317" w:rsidRPr="006A093F">
        <w:rPr>
          <w:noProof/>
          <w:spacing w:val="-8"/>
          <w:sz w:val="24"/>
          <w:szCs w:val="24"/>
        </w:rPr>
        <w:t>nability to find su</w:t>
      </w:r>
      <w:r w:rsidR="00784317" w:rsidRPr="008861F4">
        <w:rPr>
          <w:noProof/>
          <w:spacing w:val="-8"/>
          <w:sz w:val="24"/>
          <w:szCs w:val="24"/>
        </w:rPr>
        <w:t>itable combinations (5.7%);</w:t>
      </w:r>
      <w:r w:rsidR="00333D02" w:rsidRPr="008861F4">
        <w:rPr>
          <w:noProof/>
          <w:spacing w:val="-8"/>
          <w:sz w:val="24"/>
          <w:szCs w:val="24"/>
        </w:rPr>
        <w:t xml:space="preserve"> </w:t>
      </w:r>
      <w:r w:rsidR="00784317" w:rsidRPr="008861F4">
        <w:rPr>
          <w:noProof/>
          <w:spacing w:val="-8"/>
          <w:sz w:val="24"/>
          <w:szCs w:val="24"/>
        </w:rPr>
        <w:t>lack of knowledge of relevant possibility (2.3%);</w:t>
      </w:r>
      <w:r w:rsidR="00554F8A" w:rsidRPr="008861F4">
        <w:rPr>
          <w:noProof/>
          <w:spacing w:val="-8"/>
          <w:sz w:val="24"/>
          <w:szCs w:val="24"/>
        </w:rPr>
        <w:t xml:space="preserve"> </w:t>
      </w:r>
      <w:r w:rsidR="00784317" w:rsidRPr="008861F4">
        <w:rPr>
          <w:noProof/>
          <w:spacing w:val="-8"/>
          <w:sz w:val="24"/>
          <w:szCs w:val="24"/>
        </w:rPr>
        <w:t>lack of knowledge of where to search for such information (1.8%);</w:t>
      </w:r>
      <w:r w:rsidR="008861F4" w:rsidRPr="008861F4">
        <w:rPr>
          <w:noProof/>
          <w:spacing w:val="-8"/>
          <w:sz w:val="24"/>
          <w:szCs w:val="24"/>
        </w:rPr>
        <w:t xml:space="preserve"> </w:t>
      </w:r>
      <w:r w:rsidR="00784317" w:rsidRPr="004A073F">
        <w:rPr>
          <w:noProof/>
          <w:spacing w:val="-8"/>
          <w:sz w:val="24"/>
          <w:szCs w:val="24"/>
        </w:rPr>
        <w:t>inability to buy all tickets in one place (1.7%).</w:t>
      </w:r>
    </w:p>
    <w:p w14:paraId="7951B2A7" w14:textId="039A8A6A" w:rsidR="00784317" w:rsidRPr="003F760B" w:rsidRDefault="00784317" w:rsidP="00784317">
      <w:pPr>
        <w:spacing w:after="240"/>
        <w:jc w:val="both"/>
        <w:rPr>
          <w:noProof/>
          <w:spacing w:val="-8"/>
        </w:rPr>
      </w:pPr>
      <w:r w:rsidRPr="003F760B">
        <w:rPr>
          <w:noProof/>
          <w:spacing w:val="-8"/>
        </w:rPr>
        <w:t>These shares are not to be seen as being necessarily cumulative as multiple response were possible in Q</w:t>
      </w:r>
      <w:r w:rsidR="008861F4" w:rsidRPr="003F760B">
        <w:rPr>
          <w:noProof/>
          <w:spacing w:val="-8"/>
        </w:rPr>
        <w:t xml:space="preserve">uestion </w:t>
      </w:r>
      <w:r w:rsidRPr="003F760B">
        <w:rPr>
          <w:noProof/>
          <w:spacing w:val="-8"/>
        </w:rPr>
        <w:t>11. Nevertheless, very few respondents combined these answers (for example, someone who didn’t even know it was possible is unlikely to cite one of the other barriers)</w:t>
      </w:r>
      <w:r w:rsidR="0029389C">
        <w:rPr>
          <w:noProof/>
          <w:spacing w:val="-8"/>
        </w:rPr>
        <w:t>,</w:t>
      </w:r>
      <w:r w:rsidRPr="003F760B">
        <w:rPr>
          <w:noProof/>
          <w:spacing w:val="-8"/>
        </w:rPr>
        <w:t xml:space="preserve"> and the percentage of travellers that cited at least one of these barriers is 8.8%. Still, translating this to a modal shift potential is not a straightforward exercise due to a number of limitations to this dataset:</w:t>
      </w:r>
    </w:p>
    <w:p w14:paraId="4E3F9958" w14:textId="7C202D96" w:rsidR="00784317" w:rsidRPr="001C4F79" w:rsidRDefault="00784317" w:rsidP="001979E4">
      <w:pPr>
        <w:pStyle w:val="ListParagraph"/>
        <w:numPr>
          <w:ilvl w:val="0"/>
          <w:numId w:val="30"/>
        </w:numPr>
        <w:spacing w:after="240"/>
        <w:ind w:left="426" w:hanging="426"/>
        <w:jc w:val="both"/>
        <w:rPr>
          <w:noProof/>
          <w:spacing w:val="-8"/>
          <w:sz w:val="24"/>
          <w:szCs w:val="24"/>
        </w:rPr>
      </w:pPr>
      <w:r w:rsidRPr="001C4F79">
        <w:rPr>
          <w:noProof/>
          <w:spacing w:val="-8"/>
          <w:sz w:val="24"/>
          <w:szCs w:val="24"/>
        </w:rPr>
        <w:t>The identification of a barrier</w:t>
      </w:r>
      <w:r>
        <w:rPr>
          <w:noProof/>
          <w:spacing w:val="-8"/>
          <w:sz w:val="24"/>
          <w:szCs w:val="24"/>
        </w:rPr>
        <w:t xml:space="preserve"> </w:t>
      </w:r>
      <w:r w:rsidR="008051CF">
        <w:rPr>
          <w:noProof/>
          <w:spacing w:val="-8"/>
          <w:sz w:val="24"/>
          <w:szCs w:val="24"/>
        </w:rPr>
        <w:t xml:space="preserve">to </w:t>
      </w:r>
      <w:r w:rsidRPr="008051CF">
        <w:rPr>
          <w:noProof/>
          <w:spacing w:val="-8"/>
          <w:sz w:val="24"/>
          <w:szCs w:val="24"/>
        </w:rPr>
        <w:t xml:space="preserve">the </w:t>
      </w:r>
      <w:r w:rsidR="008051CF" w:rsidRPr="008051CF">
        <w:rPr>
          <w:noProof/>
          <w:spacing w:val="-8"/>
          <w:sz w:val="24"/>
          <w:szCs w:val="24"/>
        </w:rPr>
        <w:t xml:space="preserve">combination of transport modes </w:t>
      </w:r>
      <w:r w:rsidRPr="008051CF">
        <w:rPr>
          <w:noProof/>
          <w:spacing w:val="-8"/>
          <w:sz w:val="24"/>
          <w:szCs w:val="24"/>
        </w:rPr>
        <w:t xml:space="preserve">and </w:t>
      </w:r>
      <w:r w:rsidR="008051CF" w:rsidRPr="008051CF">
        <w:rPr>
          <w:noProof/>
          <w:spacing w:val="-8"/>
          <w:sz w:val="24"/>
          <w:szCs w:val="24"/>
        </w:rPr>
        <w:t xml:space="preserve">operators </w:t>
      </w:r>
      <w:r w:rsidR="008051CF">
        <w:rPr>
          <w:noProof/>
          <w:spacing w:val="-8"/>
          <w:sz w:val="24"/>
          <w:szCs w:val="24"/>
        </w:rPr>
        <w:t xml:space="preserve">in Question 11 </w:t>
      </w:r>
      <w:r w:rsidR="000C7AA7" w:rsidRPr="000C7AA7">
        <w:rPr>
          <w:noProof/>
          <w:spacing w:val="-8"/>
          <w:sz w:val="24"/>
          <w:szCs w:val="24"/>
        </w:rPr>
        <w:t xml:space="preserve">reflects a self-reported concern. It </w:t>
      </w:r>
      <w:r w:rsidRPr="000C7AA7">
        <w:rPr>
          <w:noProof/>
          <w:spacing w:val="-8"/>
          <w:sz w:val="24"/>
          <w:szCs w:val="24"/>
        </w:rPr>
        <w:t xml:space="preserve">does not </w:t>
      </w:r>
      <w:r w:rsidR="000C7AA7" w:rsidRPr="000C7AA7">
        <w:rPr>
          <w:noProof/>
          <w:spacing w:val="-8"/>
          <w:sz w:val="24"/>
          <w:szCs w:val="24"/>
        </w:rPr>
        <w:t>imply</w:t>
      </w:r>
      <w:r w:rsidRPr="000C7AA7">
        <w:rPr>
          <w:noProof/>
          <w:spacing w:val="-8"/>
          <w:sz w:val="24"/>
          <w:szCs w:val="24"/>
        </w:rPr>
        <w:t xml:space="preserve"> that these users do not already use sustainable transport modes for </w:t>
      </w:r>
      <w:r w:rsidR="000C7AA7" w:rsidRPr="000C7AA7">
        <w:rPr>
          <w:noProof/>
          <w:spacing w:val="-8"/>
          <w:sz w:val="24"/>
          <w:szCs w:val="24"/>
        </w:rPr>
        <w:t>such</w:t>
      </w:r>
      <w:r w:rsidRPr="000C7AA7">
        <w:rPr>
          <w:noProof/>
          <w:spacing w:val="-8"/>
          <w:sz w:val="24"/>
          <w:szCs w:val="24"/>
        </w:rPr>
        <w:t xml:space="preserve"> trips, </w:t>
      </w:r>
      <w:r w:rsidR="000C7AA7" w:rsidRPr="000C7AA7">
        <w:rPr>
          <w:noProof/>
          <w:spacing w:val="-8"/>
          <w:sz w:val="24"/>
          <w:szCs w:val="24"/>
        </w:rPr>
        <w:t>nor does it mean that removing</w:t>
      </w:r>
      <w:r w:rsidRPr="000C7AA7">
        <w:rPr>
          <w:noProof/>
          <w:spacing w:val="-8"/>
          <w:sz w:val="24"/>
          <w:szCs w:val="24"/>
        </w:rPr>
        <w:t xml:space="preserve"> these barriers </w:t>
      </w:r>
      <w:r w:rsidR="000C7AA7" w:rsidRPr="000C7AA7">
        <w:rPr>
          <w:noProof/>
          <w:spacing w:val="-8"/>
          <w:sz w:val="24"/>
          <w:szCs w:val="24"/>
        </w:rPr>
        <w:t xml:space="preserve">alone </w:t>
      </w:r>
      <w:r w:rsidRPr="000C7AA7">
        <w:rPr>
          <w:noProof/>
          <w:spacing w:val="-8"/>
          <w:sz w:val="24"/>
          <w:szCs w:val="24"/>
        </w:rPr>
        <w:t xml:space="preserve">would be sufficient </w:t>
      </w:r>
      <w:r w:rsidR="000C7AA7" w:rsidRPr="000C7AA7">
        <w:rPr>
          <w:noProof/>
          <w:spacing w:val="-8"/>
          <w:sz w:val="24"/>
          <w:szCs w:val="24"/>
        </w:rPr>
        <w:t>to ensure that</w:t>
      </w:r>
      <w:r w:rsidRPr="000C7AA7">
        <w:rPr>
          <w:noProof/>
          <w:spacing w:val="-8"/>
          <w:sz w:val="24"/>
          <w:szCs w:val="24"/>
        </w:rPr>
        <w:t xml:space="preserve"> all of them shift to more sustainable modes of transport.</w:t>
      </w:r>
    </w:p>
    <w:p w14:paraId="78EA955D" w14:textId="6DDF6153" w:rsidR="00784317" w:rsidRPr="001C4F79" w:rsidRDefault="00784317" w:rsidP="001979E4">
      <w:pPr>
        <w:pStyle w:val="ListParagraph"/>
        <w:numPr>
          <w:ilvl w:val="0"/>
          <w:numId w:val="30"/>
        </w:numPr>
        <w:spacing w:after="240"/>
        <w:ind w:left="426" w:hanging="426"/>
        <w:jc w:val="both"/>
        <w:rPr>
          <w:noProof/>
          <w:spacing w:val="-8"/>
          <w:sz w:val="24"/>
          <w:szCs w:val="24"/>
        </w:rPr>
      </w:pPr>
      <w:r w:rsidRPr="001C4F79">
        <w:rPr>
          <w:noProof/>
          <w:spacing w:val="-8"/>
          <w:sz w:val="24"/>
          <w:szCs w:val="24"/>
        </w:rPr>
        <w:t xml:space="preserve">A share of users hindered to book </w:t>
      </w:r>
      <w:r w:rsidR="005A219F">
        <w:rPr>
          <w:noProof/>
          <w:spacing w:val="-8"/>
          <w:sz w:val="24"/>
          <w:szCs w:val="24"/>
        </w:rPr>
        <w:t>multimodal / multi-operato</w:t>
      </w:r>
      <w:r w:rsidR="003F2E09">
        <w:rPr>
          <w:noProof/>
          <w:spacing w:val="-8"/>
          <w:sz w:val="24"/>
          <w:szCs w:val="24"/>
        </w:rPr>
        <w:t>r</w:t>
      </w:r>
      <w:r w:rsidR="005A219F">
        <w:rPr>
          <w:noProof/>
          <w:spacing w:val="-8"/>
          <w:sz w:val="24"/>
          <w:szCs w:val="24"/>
        </w:rPr>
        <w:t xml:space="preserve"> journeys</w:t>
      </w:r>
      <w:r w:rsidRPr="001C4F79">
        <w:rPr>
          <w:noProof/>
          <w:spacing w:val="-8"/>
          <w:sz w:val="24"/>
          <w:szCs w:val="24"/>
        </w:rPr>
        <w:t>, does not mean the same share of transport activity would potentially shift to more sustainable modes if the barriers were lifted. It might well be the case that these barriers apply to trips performed less frequently by transport users.</w:t>
      </w:r>
    </w:p>
    <w:p w14:paraId="5A710D2A" w14:textId="47941D20" w:rsidR="00784317" w:rsidRPr="001C4F79" w:rsidRDefault="003F2E09" w:rsidP="001979E4">
      <w:pPr>
        <w:pStyle w:val="ListParagraph"/>
        <w:numPr>
          <w:ilvl w:val="0"/>
          <w:numId w:val="30"/>
        </w:numPr>
        <w:spacing w:after="240"/>
        <w:ind w:left="426" w:hanging="426"/>
        <w:jc w:val="both"/>
        <w:rPr>
          <w:noProof/>
          <w:spacing w:val="-8"/>
          <w:sz w:val="24"/>
          <w:szCs w:val="24"/>
        </w:rPr>
      </w:pPr>
      <w:r>
        <w:rPr>
          <w:noProof/>
          <w:spacing w:val="-8"/>
          <w:sz w:val="24"/>
          <w:szCs w:val="24"/>
        </w:rPr>
        <w:t>Question</w:t>
      </w:r>
      <w:r w:rsidR="0033383B">
        <w:rPr>
          <w:noProof/>
          <w:spacing w:val="-8"/>
          <w:sz w:val="24"/>
          <w:szCs w:val="24"/>
        </w:rPr>
        <w:t xml:space="preserve"> 11</w:t>
      </w:r>
      <w:r w:rsidR="00784317" w:rsidRPr="001C4F79">
        <w:rPr>
          <w:noProof/>
          <w:spacing w:val="-8"/>
          <w:sz w:val="24"/>
          <w:szCs w:val="24"/>
        </w:rPr>
        <w:t xml:space="preserve"> is presented only to respondents indicating they rarely or never book multimodal nor multi-operator journeys. This does not mean that other respondents would not be more prone to shift to more sustainable transport modes, even for some trips only, in the event that these barriers are lifted. In fact, this analysis excludes this large group entirely from the modal shift potential, whilst it is fair to assume that some of them </w:t>
      </w:r>
      <w:r w:rsidR="007179D9">
        <w:rPr>
          <w:noProof/>
          <w:spacing w:val="-8"/>
          <w:sz w:val="24"/>
          <w:szCs w:val="24"/>
        </w:rPr>
        <w:t>c</w:t>
      </w:r>
      <w:r w:rsidR="00784317" w:rsidRPr="001C4F79">
        <w:rPr>
          <w:noProof/>
          <w:spacing w:val="-8"/>
          <w:sz w:val="24"/>
          <w:szCs w:val="24"/>
        </w:rPr>
        <w:t>ould also contribute to modal shift.</w:t>
      </w:r>
    </w:p>
    <w:p w14:paraId="30412C5D" w14:textId="39515EB5" w:rsidR="00585F94" w:rsidRPr="000F6358" w:rsidRDefault="00784317" w:rsidP="006A6B7E">
      <w:pPr>
        <w:spacing w:after="240"/>
        <w:jc w:val="both"/>
        <w:rPr>
          <w:noProof/>
          <w:spacing w:val="-8"/>
        </w:rPr>
      </w:pPr>
      <w:r w:rsidRPr="004957E0">
        <w:rPr>
          <w:noProof/>
          <w:spacing w:val="-8"/>
        </w:rPr>
        <w:t xml:space="preserve">Acknowledging these limitations, </w:t>
      </w:r>
      <w:r w:rsidRPr="008C04FE">
        <w:rPr>
          <w:noProof/>
          <w:spacing w:val="-8"/>
        </w:rPr>
        <w:t xml:space="preserve">only the transport users citing an inability to buy all the tickets in one place </w:t>
      </w:r>
      <w:r w:rsidR="005047D5" w:rsidRPr="008C04FE">
        <w:rPr>
          <w:noProof/>
          <w:spacing w:val="-8"/>
        </w:rPr>
        <w:t>(1.7%)</w:t>
      </w:r>
      <w:r w:rsidRPr="008C04FE">
        <w:rPr>
          <w:noProof/>
          <w:spacing w:val="-8"/>
        </w:rPr>
        <w:t xml:space="preserve"> were taken as having the potential to shift to other modes</w:t>
      </w:r>
      <w:r w:rsidRPr="004957E0">
        <w:rPr>
          <w:noProof/>
          <w:spacing w:val="-8"/>
        </w:rPr>
        <w:t xml:space="preserve">, as one might assume they indeed wanted to buy the tickets. Thus, </w:t>
      </w:r>
      <w:r w:rsidRPr="00197B24">
        <w:rPr>
          <w:b/>
          <w:noProof/>
          <w:spacing w:val="-8"/>
        </w:rPr>
        <w:t>a 1.7% modal shift assumption was adopted as a ceiling</w:t>
      </w:r>
      <w:r w:rsidRPr="004957E0">
        <w:rPr>
          <w:noProof/>
          <w:spacing w:val="-8"/>
        </w:rPr>
        <w:t xml:space="preserve">, which should be interpreted as a 1.7% </w:t>
      </w:r>
      <w:r w:rsidRPr="000F6358">
        <w:rPr>
          <w:noProof/>
          <w:spacing w:val="-8"/>
        </w:rPr>
        <w:t>increase in journeys performed via more sustainable modes and a corresponding decrease in less sustainable modes. These results are more conservative than (</w:t>
      </w:r>
      <w:r w:rsidR="004957E0" w:rsidRPr="000F6358">
        <w:rPr>
          <w:noProof/>
          <w:spacing w:val="-8"/>
        </w:rPr>
        <w:t>i</w:t>
      </w:r>
      <w:r w:rsidRPr="000F6358">
        <w:rPr>
          <w:noProof/>
          <w:spacing w:val="-8"/>
        </w:rPr>
        <w:t>) the responses received on Q</w:t>
      </w:r>
      <w:r w:rsidR="004957E0" w:rsidRPr="000F6358">
        <w:rPr>
          <w:noProof/>
          <w:spacing w:val="-8"/>
        </w:rPr>
        <w:t xml:space="preserve">uestion </w:t>
      </w:r>
      <w:r w:rsidRPr="000F6358">
        <w:rPr>
          <w:noProof/>
          <w:spacing w:val="-8"/>
        </w:rPr>
        <w:t>14 in the Eurobarometer survey, indicating that the total percentage of travellers whose barriers could be removed is 8.8%, and (</w:t>
      </w:r>
      <w:r w:rsidR="00990681">
        <w:rPr>
          <w:noProof/>
          <w:spacing w:val="-8"/>
        </w:rPr>
        <w:t>ii</w:t>
      </w:r>
      <w:r w:rsidRPr="000F6358">
        <w:rPr>
          <w:noProof/>
          <w:spacing w:val="-8"/>
        </w:rPr>
        <w:t>) the indicative magnitude resulting from the expert workshop (around 5%), outlined in the previous section.</w:t>
      </w:r>
      <w:r w:rsidRPr="00766F40">
        <w:rPr>
          <w:noProof/>
          <w:spacing w:val="-8"/>
        </w:rPr>
        <w:t xml:space="preserve">  </w:t>
      </w:r>
    </w:p>
    <w:p w14:paraId="1D18D2F5" w14:textId="138DF4A8" w:rsidR="00E92C59" w:rsidRDefault="00E92C59" w:rsidP="006A6B7E">
      <w:pPr>
        <w:spacing w:after="240"/>
        <w:jc w:val="both"/>
        <w:rPr>
          <w:rFonts w:cs="Arial"/>
          <w:noProof/>
          <w:spacing w:val="-8"/>
        </w:rPr>
      </w:pPr>
      <w:r>
        <w:rPr>
          <w:b/>
          <w:i/>
          <w:noProof/>
          <w:spacing w:val="-8"/>
        </w:rPr>
        <w:t>M</w:t>
      </w:r>
      <w:r w:rsidRPr="00010FB8">
        <w:rPr>
          <w:b/>
          <w:i/>
          <w:noProof/>
          <w:spacing w:val="-8"/>
        </w:rPr>
        <w:t xml:space="preserve">odal shift </w:t>
      </w:r>
      <w:r w:rsidRPr="00010FB8">
        <w:rPr>
          <w:b/>
          <w:i/>
          <w:noProof/>
        </w:rPr>
        <w:t>due to the ability to see all rail offerings on MDMS platforms and the ability to book all visible travel options on MDMS platforms</w:t>
      </w:r>
      <w:r>
        <w:rPr>
          <w:b/>
          <w:i/>
          <w:noProof/>
        </w:rPr>
        <w:t xml:space="preserve"> in the policy options</w:t>
      </w:r>
    </w:p>
    <w:p w14:paraId="3F7993FC" w14:textId="01AB1089" w:rsidR="005B56FA" w:rsidRDefault="00E971D7" w:rsidP="006A6B7E">
      <w:pPr>
        <w:spacing w:after="240"/>
        <w:jc w:val="both"/>
        <w:rPr>
          <w:rFonts w:cs="Arial"/>
          <w:noProof/>
          <w:spacing w:val="-8"/>
        </w:rPr>
      </w:pPr>
      <w:r w:rsidRPr="006A6B7E">
        <w:rPr>
          <w:rFonts w:cs="Arial"/>
          <w:noProof/>
          <w:spacing w:val="-8"/>
        </w:rPr>
        <w:t xml:space="preserve">The maximum potential modal shift </w:t>
      </w:r>
      <w:r w:rsidR="001D1463">
        <w:rPr>
          <w:rFonts w:cs="Arial"/>
          <w:noProof/>
          <w:spacing w:val="-8"/>
        </w:rPr>
        <w:t>was</w:t>
      </w:r>
      <w:r w:rsidRPr="006A6B7E">
        <w:rPr>
          <w:rFonts w:cs="Arial"/>
          <w:noProof/>
          <w:spacing w:val="-8"/>
        </w:rPr>
        <w:t xml:space="preserve"> than </w:t>
      </w:r>
      <w:r w:rsidR="002D4090">
        <w:rPr>
          <w:rFonts w:cs="Arial"/>
          <w:noProof/>
          <w:spacing w:val="-8"/>
        </w:rPr>
        <w:t>combined</w:t>
      </w:r>
      <w:r w:rsidRPr="006A6B7E">
        <w:rPr>
          <w:rFonts w:cs="Arial"/>
          <w:noProof/>
          <w:spacing w:val="-8"/>
        </w:rPr>
        <w:t xml:space="preserve"> with the </w:t>
      </w:r>
      <w:r w:rsidR="003C7CA6" w:rsidRPr="006A6B7E">
        <w:rPr>
          <w:rFonts w:cs="Arial"/>
          <w:noProof/>
          <w:spacing w:val="-8"/>
        </w:rPr>
        <w:t xml:space="preserve">MPA to show </w:t>
      </w:r>
      <w:r w:rsidR="007C799F">
        <w:rPr>
          <w:rFonts w:cs="Arial"/>
          <w:noProof/>
          <w:spacing w:val="-8"/>
        </w:rPr>
        <w:t xml:space="preserve">the modal </w:t>
      </w:r>
      <w:r w:rsidR="003C7CA6" w:rsidRPr="006A6B7E">
        <w:rPr>
          <w:rFonts w:cs="Arial"/>
          <w:noProof/>
          <w:spacing w:val="-8"/>
        </w:rPr>
        <w:t>shift</w:t>
      </w:r>
      <w:r w:rsidR="001B3556">
        <w:rPr>
          <w:rFonts w:cs="Arial"/>
          <w:noProof/>
          <w:spacing w:val="-8"/>
        </w:rPr>
        <w:t xml:space="preserve"> </w:t>
      </w:r>
      <w:r w:rsidR="001B3556" w:rsidRPr="001B3556">
        <w:rPr>
          <w:rFonts w:cs="Arial"/>
          <w:noProof/>
          <w:spacing w:val="-8"/>
        </w:rPr>
        <w:t xml:space="preserve">due to the ability to see all rail offerings on MDMS platforms and the ability to book all visible travel options on MDMS platforms in </w:t>
      </w:r>
      <w:r w:rsidR="00B6690F">
        <w:rPr>
          <w:rFonts w:cs="Arial"/>
          <w:noProof/>
          <w:spacing w:val="-8"/>
        </w:rPr>
        <w:t>each</w:t>
      </w:r>
      <w:r w:rsidR="001B3556" w:rsidRPr="001B3556">
        <w:rPr>
          <w:rFonts w:cs="Arial"/>
          <w:noProof/>
          <w:spacing w:val="-8"/>
        </w:rPr>
        <w:t xml:space="preserve"> policy option</w:t>
      </w:r>
      <w:r w:rsidR="00DA4FA1">
        <w:rPr>
          <w:rFonts w:cs="Arial"/>
          <w:noProof/>
          <w:spacing w:val="-8"/>
        </w:rPr>
        <w:t>.</w:t>
      </w:r>
      <w:r w:rsidR="00B6690F">
        <w:rPr>
          <w:rFonts w:cs="Arial"/>
          <w:noProof/>
          <w:spacing w:val="-8"/>
        </w:rPr>
        <w:t xml:space="preserve"> This </w:t>
      </w:r>
      <w:r w:rsidR="001D1463">
        <w:rPr>
          <w:rFonts w:cs="Arial"/>
          <w:noProof/>
          <w:spacing w:val="-8"/>
        </w:rPr>
        <w:t>was</w:t>
      </w:r>
      <w:r w:rsidR="00B6690F">
        <w:rPr>
          <w:rFonts w:cs="Arial"/>
          <w:noProof/>
          <w:spacing w:val="-8"/>
        </w:rPr>
        <w:t xml:space="preserve"> further used as input in the ASTRA model together with the </w:t>
      </w:r>
      <w:r w:rsidR="00220850">
        <w:rPr>
          <w:rFonts w:cs="Arial"/>
          <w:noProof/>
          <w:spacing w:val="-8"/>
        </w:rPr>
        <w:t xml:space="preserve">changes in </w:t>
      </w:r>
      <w:r w:rsidR="002D5604">
        <w:rPr>
          <w:rFonts w:cs="Arial"/>
          <w:noProof/>
          <w:spacing w:val="-8"/>
        </w:rPr>
        <w:t xml:space="preserve">the </w:t>
      </w:r>
      <w:r w:rsidR="005B56FA">
        <w:rPr>
          <w:rFonts w:cs="Arial"/>
          <w:noProof/>
          <w:spacing w:val="-8"/>
        </w:rPr>
        <w:t>travel time discussed below.</w:t>
      </w:r>
      <w:r w:rsidR="00283FC6">
        <w:rPr>
          <w:rFonts w:cs="Arial"/>
          <w:noProof/>
          <w:spacing w:val="-8"/>
        </w:rPr>
        <w:t xml:space="preserve"> The </w:t>
      </w:r>
      <w:r w:rsidR="00E40830">
        <w:rPr>
          <w:rFonts w:cs="Arial"/>
          <w:noProof/>
          <w:spacing w:val="-8"/>
        </w:rPr>
        <w:t xml:space="preserve">maximum potential modal shift and the </w:t>
      </w:r>
      <w:r w:rsidR="00594303">
        <w:rPr>
          <w:rFonts w:cs="Arial"/>
          <w:noProof/>
          <w:spacing w:val="-8"/>
        </w:rPr>
        <w:t xml:space="preserve">effectiveness of each option </w:t>
      </w:r>
      <w:r w:rsidR="000B7B3F">
        <w:rPr>
          <w:rFonts w:cs="Arial"/>
          <w:noProof/>
          <w:spacing w:val="-8"/>
        </w:rPr>
        <w:t xml:space="preserve">in achieving modal shift </w:t>
      </w:r>
      <w:r w:rsidR="00153B53">
        <w:rPr>
          <w:rFonts w:cs="Arial"/>
          <w:noProof/>
          <w:spacing w:val="-8"/>
        </w:rPr>
        <w:t xml:space="preserve">were further </w:t>
      </w:r>
      <w:r w:rsidR="00841533">
        <w:rPr>
          <w:rFonts w:cs="Arial"/>
          <w:noProof/>
          <w:spacing w:val="-8"/>
        </w:rPr>
        <w:t xml:space="preserve">discussed in </w:t>
      </w:r>
      <w:r w:rsidR="004C7566">
        <w:rPr>
          <w:rFonts w:cs="Arial"/>
          <w:noProof/>
          <w:spacing w:val="-8"/>
        </w:rPr>
        <w:t>a</w:t>
      </w:r>
      <w:r w:rsidR="00280FD4">
        <w:rPr>
          <w:rFonts w:cs="Arial"/>
          <w:noProof/>
          <w:spacing w:val="-8"/>
        </w:rPr>
        <w:t xml:space="preserve"> sta</w:t>
      </w:r>
      <w:r w:rsidR="00C81600">
        <w:rPr>
          <w:rFonts w:cs="Arial"/>
          <w:noProof/>
          <w:spacing w:val="-8"/>
        </w:rPr>
        <w:t>keholder consultation workshop</w:t>
      </w:r>
      <w:r w:rsidR="000B7B3F">
        <w:rPr>
          <w:rFonts w:cs="Arial"/>
          <w:noProof/>
          <w:spacing w:val="-8"/>
        </w:rPr>
        <w:t xml:space="preserve"> organised in the context of the impact assessment support study</w:t>
      </w:r>
      <w:r w:rsidR="00C81600">
        <w:rPr>
          <w:rFonts w:cs="Arial"/>
          <w:noProof/>
          <w:spacing w:val="-8"/>
        </w:rPr>
        <w:t xml:space="preserve">. More details are provided below. </w:t>
      </w:r>
    </w:p>
    <w:p w14:paraId="5BBCE568" w14:textId="1AA615E3" w:rsidR="00463123" w:rsidRPr="001A7C05" w:rsidRDefault="004C7566" w:rsidP="006A6B7E">
      <w:pPr>
        <w:spacing w:after="240"/>
        <w:jc w:val="both"/>
        <w:rPr>
          <w:i/>
          <w:noProof/>
          <w:spacing w:val="-8"/>
        </w:rPr>
      </w:pPr>
      <w:r>
        <w:rPr>
          <w:rFonts w:cs="Arial"/>
          <w:i/>
          <w:noProof/>
          <w:spacing w:val="-8"/>
        </w:rPr>
        <w:t>S</w:t>
      </w:r>
      <w:r w:rsidR="00283FC6" w:rsidRPr="001A7C05">
        <w:rPr>
          <w:rFonts w:cs="Arial"/>
          <w:i/>
          <w:noProof/>
          <w:spacing w:val="-8"/>
        </w:rPr>
        <w:t>takeholder consultation workshop</w:t>
      </w:r>
      <w:r w:rsidR="00DA4FA1" w:rsidRPr="001A7C05">
        <w:rPr>
          <w:rFonts w:cs="Arial"/>
          <w:i/>
          <w:noProof/>
          <w:spacing w:val="-8"/>
        </w:rPr>
        <w:t xml:space="preserve"> </w:t>
      </w:r>
    </w:p>
    <w:p w14:paraId="6474AA3E" w14:textId="70A26F32" w:rsidR="003A1969" w:rsidRPr="008E4431" w:rsidRDefault="003A1969" w:rsidP="00C24F48">
      <w:pPr>
        <w:spacing w:after="240"/>
        <w:jc w:val="both"/>
        <w:rPr>
          <w:noProof/>
          <w:spacing w:val="-8"/>
        </w:rPr>
      </w:pPr>
      <w:r w:rsidRPr="008E4431">
        <w:rPr>
          <w:noProof/>
          <w:spacing w:val="-8"/>
        </w:rPr>
        <w:t xml:space="preserve">The modal shift potential (1.7%) and the expected effectiveness of the policy options in achieving modal shift due to the ability to see all rail offerings on MDMS platforms and the ability to book all visible travel options on MDMS platforms were shown for validation in </w:t>
      </w:r>
      <w:r w:rsidR="00BF4AA7">
        <w:rPr>
          <w:noProof/>
          <w:spacing w:val="-8"/>
        </w:rPr>
        <w:t>a</w:t>
      </w:r>
      <w:r w:rsidRPr="008E4431">
        <w:rPr>
          <w:noProof/>
          <w:spacing w:val="-8"/>
        </w:rPr>
        <w:t xml:space="preserve"> stakeholder workshop. The workshop was held on 12</w:t>
      </w:r>
      <w:r w:rsidRPr="008E4431">
        <w:rPr>
          <w:noProof/>
          <w:spacing w:val="-8"/>
          <w:vertAlign w:val="superscript"/>
        </w:rPr>
        <w:t>th</w:t>
      </w:r>
      <w:r w:rsidRPr="008E4431">
        <w:rPr>
          <w:noProof/>
          <w:spacing w:val="-8"/>
        </w:rPr>
        <w:t xml:space="preserve"> June 2025 and attended by 108 representatives </w:t>
      </w:r>
      <w:r>
        <w:rPr>
          <w:noProof/>
          <w:spacing w:val="-8"/>
        </w:rPr>
        <w:t>of</w:t>
      </w:r>
      <w:r w:rsidRPr="008E4431">
        <w:rPr>
          <w:noProof/>
          <w:spacing w:val="-8"/>
        </w:rPr>
        <w:t xml:space="preserve"> transport operators across all modes, MDMS platforms, Member State officials, consumer organisations, and academics. </w:t>
      </w:r>
    </w:p>
    <w:p w14:paraId="6AB3F75E" w14:textId="77777777" w:rsidR="003A1969" w:rsidRPr="003C11CF" w:rsidRDefault="003A1969" w:rsidP="00C24F48">
      <w:pPr>
        <w:spacing w:after="240"/>
        <w:jc w:val="both"/>
        <w:rPr>
          <w:noProof/>
          <w:spacing w:val="-8"/>
        </w:rPr>
      </w:pPr>
      <w:r w:rsidRPr="003C11CF">
        <w:rPr>
          <w:noProof/>
          <w:spacing w:val="-8"/>
        </w:rPr>
        <w:t xml:space="preserve">Broadly, there was agreement from stakeholders who participated in the workshop on the inputs presented, as indicated through a series of Mentimeter polls: </w:t>
      </w:r>
    </w:p>
    <w:p w14:paraId="1525D21A" w14:textId="77777777" w:rsidR="003A1969" w:rsidRPr="008E4431" w:rsidRDefault="003A1969" w:rsidP="001979E4">
      <w:pPr>
        <w:pStyle w:val="ListParagraph"/>
        <w:widowControl/>
        <w:numPr>
          <w:ilvl w:val="0"/>
          <w:numId w:val="25"/>
        </w:numPr>
        <w:autoSpaceDE/>
        <w:autoSpaceDN/>
        <w:spacing w:before="0" w:after="240"/>
        <w:ind w:left="284" w:hanging="284"/>
        <w:jc w:val="both"/>
        <w:rPr>
          <w:noProof/>
          <w:spacing w:val="-8"/>
          <w:sz w:val="24"/>
          <w:szCs w:val="24"/>
        </w:rPr>
      </w:pPr>
      <w:r>
        <w:rPr>
          <w:noProof/>
          <w:spacing w:val="-8"/>
          <w:sz w:val="24"/>
          <w:szCs w:val="24"/>
        </w:rPr>
        <w:t>A</w:t>
      </w:r>
      <w:r w:rsidRPr="008E4431">
        <w:rPr>
          <w:noProof/>
          <w:spacing w:val="-8"/>
          <w:sz w:val="24"/>
          <w:szCs w:val="24"/>
        </w:rPr>
        <w:t xml:space="preserve">ttendees were </w:t>
      </w:r>
      <w:r>
        <w:rPr>
          <w:noProof/>
          <w:spacing w:val="-8"/>
          <w:sz w:val="24"/>
          <w:szCs w:val="24"/>
        </w:rPr>
        <w:t xml:space="preserve">first </w:t>
      </w:r>
      <w:r w:rsidRPr="008E4431">
        <w:rPr>
          <w:noProof/>
          <w:spacing w:val="-8"/>
          <w:sz w:val="24"/>
          <w:szCs w:val="24"/>
        </w:rPr>
        <w:t xml:space="preserve">asked </w:t>
      </w:r>
      <w:r>
        <w:rPr>
          <w:noProof/>
          <w:spacing w:val="-8"/>
          <w:sz w:val="24"/>
          <w:szCs w:val="24"/>
        </w:rPr>
        <w:t>about</w:t>
      </w:r>
      <w:r w:rsidRPr="008E4431">
        <w:rPr>
          <w:noProof/>
          <w:spacing w:val="-8"/>
          <w:sz w:val="24"/>
          <w:szCs w:val="24"/>
        </w:rPr>
        <w:t xml:space="preserve"> their views o</w:t>
      </w:r>
      <w:r>
        <w:rPr>
          <w:noProof/>
          <w:spacing w:val="-8"/>
          <w:sz w:val="24"/>
          <w:szCs w:val="24"/>
        </w:rPr>
        <w:t>n</w:t>
      </w:r>
      <w:r w:rsidRPr="008E4431">
        <w:rPr>
          <w:noProof/>
          <w:spacing w:val="-8"/>
          <w:sz w:val="24"/>
          <w:szCs w:val="24"/>
        </w:rPr>
        <w:t xml:space="preserve"> the </w:t>
      </w:r>
      <w:r>
        <w:rPr>
          <w:noProof/>
          <w:spacing w:val="-8"/>
          <w:sz w:val="24"/>
          <w:szCs w:val="24"/>
        </w:rPr>
        <w:t xml:space="preserve">maximum </w:t>
      </w:r>
      <w:r w:rsidRPr="008E4431">
        <w:rPr>
          <w:noProof/>
          <w:spacing w:val="-8"/>
          <w:sz w:val="24"/>
          <w:szCs w:val="24"/>
        </w:rPr>
        <w:t xml:space="preserve">modal shift </w:t>
      </w:r>
      <w:r>
        <w:rPr>
          <w:noProof/>
          <w:spacing w:val="-8"/>
          <w:sz w:val="24"/>
          <w:szCs w:val="24"/>
        </w:rPr>
        <w:t>potential</w:t>
      </w:r>
      <w:r w:rsidRPr="008E4431">
        <w:rPr>
          <w:noProof/>
          <w:spacing w:val="-8"/>
          <w:sz w:val="24"/>
          <w:szCs w:val="24"/>
        </w:rPr>
        <w:t xml:space="preserve"> </w:t>
      </w:r>
      <w:r>
        <w:rPr>
          <w:noProof/>
          <w:spacing w:val="-8"/>
          <w:sz w:val="24"/>
          <w:szCs w:val="24"/>
        </w:rPr>
        <w:t>of</w:t>
      </w:r>
      <w:r w:rsidRPr="008E4431">
        <w:rPr>
          <w:noProof/>
          <w:spacing w:val="-8"/>
          <w:sz w:val="24"/>
          <w:szCs w:val="24"/>
        </w:rPr>
        <w:t xml:space="preserve"> 1.7%. Around two-thirds of attendees responded (66 out of 108, or 61%), with similar numbers indicating the number was too high (24 out of 66, or 36%) and too low (27, or 41%), and the remainder indicating it was about right (15, or 23%). On balance, this estimate </w:t>
      </w:r>
      <w:r>
        <w:rPr>
          <w:noProof/>
          <w:spacing w:val="-8"/>
          <w:sz w:val="24"/>
          <w:szCs w:val="24"/>
        </w:rPr>
        <w:t xml:space="preserve">was interpreted </w:t>
      </w:r>
      <w:r w:rsidRPr="008E4431">
        <w:rPr>
          <w:noProof/>
          <w:spacing w:val="-8"/>
          <w:sz w:val="24"/>
          <w:szCs w:val="24"/>
        </w:rPr>
        <w:t xml:space="preserve">as the rough midpoint of stakeholder expectations. </w:t>
      </w:r>
    </w:p>
    <w:p w14:paraId="66F9FA12" w14:textId="77777777" w:rsidR="003A1969" w:rsidRPr="008E4431" w:rsidRDefault="003A1969" w:rsidP="001979E4">
      <w:pPr>
        <w:pStyle w:val="ListParagraph"/>
        <w:widowControl/>
        <w:numPr>
          <w:ilvl w:val="0"/>
          <w:numId w:val="26"/>
        </w:numPr>
        <w:autoSpaceDE/>
        <w:autoSpaceDN/>
        <w:spacing w:before="0" w:after="240"/>
        <w:ind w:left="284" w:hanging="284"/>
        <w:jc w:val="both"/>
        <w:rPr>
          <w:noProof/>
          <w:spacing w:val="-8"/>
          <w:sz w:val="24"/>
          <w:szCs w:val="24"/>
        </w:rPr>
      </w:pPr>
      <w:r>
        <w:rPr>
          <w:noProof/>
          <w:spacing w:val="-8"/>
          <w:sz w:val="24"/>
          <w:szCs w:val="24"/>
        </w:rPr>
        <w:t>A</w:t>
      </w:r>
      <w:r w:rsidRPr="008E4431">
        <w:rPr>
          <w:noProof/>
          <w:spacing w:val="-8"/>
          <w:sz w:val="24"/>
          <w:szCs w:val="24"/>
        </w:rPr>
        <w:t xml:space="preserve">ttendees were </w:t>
      </w:r>
      <w:r>
        <w:rPr>
          <w:noProof/>
          <w:spacing w:val="-8"/>
          <w:sz w:val="24"/>
          <w:szCs w:val="24"/>
        </w:rPr>
        <w:t xml:space="preserve">then </w:t>
      </w:r>
      <w:r w:rsidRPr="008E4431">
        <w:rPr>
          <w:noProof/>
          <w:spacing w:val="-8"/>
          <w:sz w:val="24"/>
          <w:szCs w:val="24"/>
        </w:rPr>
        <w:t xml:space="preserve">asked to indicate whether the assessed effectiveness of the </w:t>
      </w:r>
      <w:r>
        <w:rPr>
          <w:noProof/>
          <w:spacing w:val="-8"/>
          <w:sz w:val="24"/>
          <w:szCs w:val="24"/>
        </w:rPr>
        <w:t>policy options</w:t>
      </w:r>
      <w:r w:rsidRPr="008E4431">
        <w:rPr>
          <w:noProof/>
          <w:spacing w:val="-8"/>
          <w:sz w:val="24"/>
          <w:szCs w:val="24"/>
        </w:rPr>
        <w:t xml:space="preserve"> in achieving the modal shift </w:t>
      </w:r>
      <w:r>
        <w:rPr>
          <w:noProof/>
          <w:spacing w:val="-8"/>
          <w:sz w:val="24"/>
          <w:szCs w:val="24"/>
        </w:rPr>
        <w:t xml:space="preserve">potential is </w:t>
      </w:r>
      <w:r w:rsidRPr="008E4431">
        <w:rPr>
          <w:noProof/>
          <w:spacing w:val="-8"/>
          <w:sz w:val="24"/>
          <w:szCs w:val="24"/>
        </w:rPr>
        <w:t>in line with their expectations. A scale was provided for each policy option from 1 to 3, where 1 indicates the expected modal shift was too low and 3 too high. Around half of attendees replied to the questions (49 out of 108, or 45%). Average scores were 2.1 for PO1 and 1.9 for PO2</w:t>
      </w:r>
      <w:r w:rsidRPr="008E4431">
        <w:rPr>
          <w:rStyle w:val="FootnoteReference"/>
          <w:noProof/>
          <w:spacing w:val="-8"/>
          <w:sz w:val="24"/>
          <w:szCs w:val="24"/>
        </w:rPr>
        <w:footnoteReference w:id="297"/>
      </w:r>
      <w:r w:rsidRPr="008E4431">
        <w:rPr>
          <w:noProof/>
          <w:spacing w:val="-8"/>
          <w:sz w:val="24"/>
          <w:szCs w:val="24"/>
        </w:rPr>
        <w:t xml:space="preserve">, indicating that on average attendees agreed with the assessment. Average scores for PO3 and PO4 were both 2.4, indicating that on average respondents thought the assessed modal shift was somewhat too high. At the same time the response rate was weaker than for question 1 indicating more uncertainty among attendees on this question.  </w:t>
      </w:r>
    </w:p>
    <w:p w14:paraId="1EFB8172" w14:textId="0B7808B5" w:rsidR="003A1969" w:rsidRDefault="003A1969" w:rsidP="00C24F48">
      <w:pPr>
        <w:spacing w:after="240"/>
        <w:jc w:val="both"/>
        <w:rPr>
          <w:noProof/>
          <w:spacing w:val="-8"/>
        </w:rPr>
      </w:pPr>
      <w:r w:rsidRPr="008E4431">
        <w:rPr>
          <w:noProof/>
          <w:spacing w:val="-8"/>
        </w:rPr>
        <w:t xml:space="preserve">The takeaways from this workshop were that the </w:t>
      </w:r>
      <w:r>
        <w:rPr>
          <w:noProof/>
          <w:spacing w:val="-8"/>
        </w:rPr>
        <w:t xml:space="preserve">maximum </w:t>
      </w:r>
      <w:r w:rsidRPr="008E4431">
        <w:rPr>
          <w:noProof/>
          <w:spacing w:val="-8"/>
        </w:rPr>
        <w:t xml:space="preserve">modal shift </w:t>
      </w:r>
      <w:r>
        <w:rPr>
          <w:noProof/>
          <w:spacing w:val="-8"/>
        </w:rPr>
        <w:t>potential</w:t>
      </w:r>
      <w:r w:rsidRPr="008E4431">
        <w:rPr>
          <w:noProof/>
          <w:spacing w:val="-8"/>
        </w:rPr>
        <w:t xml:space="preserve"> is in line with expectations, </w:t>
      </w:r>
      <w:r>
        <w:rPr>
          <w:noProof/>
          <w:spacing w:val="-8"/>
        </w:rPr>
        <w:t>while</w:t>
      </w:r>
      <w:r w:rsidRPr="008E4431">
        <w:rPr>
          <w:noProof/>
          <w:spacing w:val="-8"/>
        </w:rPr>
        <w:t xml:space="preserve"> there is more uncertainty on the level of expected modal shift for </w:t>
      </w:r>
      <w:r>
        <w:rPr>
          <w:noProof/>
          <w:spacing w:val="-8"/>
        </w:rPr>
        <w:t xml:space="preserve">policy options </w:t>
      </w:r>
      <w:r w:rsidRPr="008E4431">
        <w:rPr>
          <w:noProof/>
          <w:spacing w:val="-8"/>
        </w:rPr>
        <w:t xml:space="preserve">also </w:t>
      </w:r>
      <w:r>
        <w:rPr>
          <w:noProof/>
          <w:spacing w:val="-8"/>
        </w:rPr>
        <w:t xml:space="preserve">noting </w:t>
      </w:r>
      <w:r w:rsidRPr="008E4431">
        <w:rPr>
          <w:noProof/>
          <w:spacing w:val="-8"/>
        </w:rPr>
        <w:t>a weaker response rate</w:t>
      </w:r>
      <w:r>
        <w:rPr>
          <w:noProof/>
          <w:spacing w:val="-8"/>
        </w:rPr>
        <w:t>.</w:t>
      </w:r>
      <w:r w:rsidRPr="008E4431">
        <w:rPr>
          <w:noProof/>
          <w:spacing w:val="-8"/>
        </w:rPr>
        <w:t xml:space="preserve"> </w:t>
      </w:r>
      <w:r>
        <w:rPr>
          <w:noProof/>
          <w:spacing w:val="-8"/>
        </w:rPr>
        <w:t>Sensitivity analysing</w:t>
      </w:r>
      <w:r w:rsidDel="00A74708">
        <w:rPr>
          <w:noProof/>
          <w:spacing w:val="-8"/>
        </w:rPr>
        <w:t xml:space="preserve"> </w:t>
      </w:r>
      <w:r w:rsidR="00A74708">
        <w:rPr>
          <w:noProof/>
          <w:spacing w:val="-8"/>
        </w:rPr>
        <w:t xml:space="preserve">has been </w:t>
      </w:r>
      <w:r>
        <w:rPr>
          <w:noProof/>
          <w:spacing w:val="-8"/>
        </w:rPr>
        <w:t xml:space="preserve">further performed, as explained in section </w:t>
      </w:r>
      <w:r w:rsidR="00C1731B">
        <w:rPr>
          <w:noProof/>
          <w:spacing w:val="-8"/>
        </w:rPr>
        <w:t xml:space="preserve">7.6, </w:t>
      </w:r>
      <w:r>
        <w:rPr>
          <w:noProof/>
          <w:spacing w:val="-8"/>
        </w:rPr>
        <w:t xml:space="preserve">to address the uncertainty. </w:t>
      </w:r>
    </w:p>
    <w:p w14:paraId="5609BC06" w14:textId="03582F18" w:rsidR="002B0DB0" w:rsidRDefault="002B0DB0" w:rsidP="007B2D8E">
      <w:pPr>
        <w:pStyle w:val="ListParagraph"/>
        <w:numPr>
          <w:ilvl w:val="3"/>
          <w:numId w:val="10"/>
        </w:numPr>
        <w:spacing w:after="240"/>
        <w:ind w:left="1276" w:hanging="851"/>
        <w:jc w:val="both"/>
        <w:rPr>
          <w:noProof/>
          <w:sz w:val="24"/>
          <w:szCs w:val="24"/>
        </w:rPr>
      </w:pPr>
      <w:r w:rsidRPr="00837EEC">
        <w:rPr>
          <w:noProof/>
          <w:sz w:val="24"/>
          <w:szCs w:val="24"/>
        </w:rPr>
        <w:t>Maximum potential change in journey time</w:t>
      </w:r>
      <w:r w:rsidR="00837EEC">
        <w:rPr>
          <w:noProof/>
          <w:sz w:val="24"/>
          <w:szCs w:val="24"/>
        </w:rPr>
        <w:t xml:space="preserve"> </w:t>
      </w:r>
      <w:r w:rsidR="00837EEC" w:rsidRPr="00837EEC">
        <w:rPr>
          <w:noProof/>
          <w:sz w:val="24"/>
          <w:szCs w:val="24"/>
        </w:rPr>
        <w:t xml:space="preserve">due to the ability to see all rail offerings on MDMS platforms and the ability to book all visible travel options on MDMS platforms </w:t>
      </w:r>
    </w:p>
    <w:p w14:paraId="0FE0CCE3" w14:textId="77777777" w:rsidR="00E9551A" w:rsidRPr="00433371" w:rsidRDefault="00E9551A" w:rsidP="00080D2F">
      <w:pPr>
        <w:spacing w:after="240"/>
        <w:jc w:val="both"/>
        <w:rPr>
          <w:noProof/>
          <w:spacing w:val="-8"/>
        </w:rPr>
      </w:pPr>
      <w:r w:rsidRPr="00433371">
        <w:rPr>
          <w:noProof/>
          <w:spacing w:val="-8"/>
        </w:rPr>
        <w:t>The 100 representative transport routes</w:t>
      </w:r>
      <w:r>
        <w:rPr>
          <w:noProof/>
          <w:spacing w:val="-8"/>
        </w:rPr>
        <w:t>,</w:t>
      </w:r>
      <w:r w:rsidRPr="00433371">
        <w:rPr>
          <w:noProof/>
          <w:spacing w:val="-8"/>
        </w:rPr>
        <w:t xml:space="preserve"> by route cluster</w:t>
      </w:r>
      <w:r>
        <w:rPr>
          <w:noProof/>
          <w:spacing w:val="-8"/>
        </w:rPr>
        <w:t>,</w:t>
      </w:r>
      <w:r w:rsidRPr="00433371">
        <w:rPr>
          <w:noProof/>
          <w:spacing w:val="-8"/>
        </w:rPr>
        <w:t xml:space="preserve"> were analysed in detail</w:t>
      </w:r>
      <w:r>
        <w:rPr>
          <w:noProof/>
          <w:spacing w:val="-8"/>
        </w:rPr>
        <w:t xml:space="preserve"> in the context of the impact assessment support study</w:t>
      </w:r>
      <w:r w:rsidRPr="00433371">
        <w:rPr>
          <w:noProof/>
          <w:spacing w:val="-8"/>
        </w:rPr>
        <w:t xml:space="preserve"> to understand what journey times are shown via two distinct booking mechanisms. The comparison between these two booking mechanisms informed the maximum potential reduction in journey times:  </w:t>
      </w:r>
    </w:p>
    <w:p w14:paraId="3E20E121" w14:textId="42E89E11" w:rsidR="00E9551A" w:rsidRPr="00433371" w:rsidRDefault="00E9551A" w:rsidP="001979E4">
      <w:pPr>
        <w:pStyle w:val="ListParagraph"/>
        <w:widowControl/>
        <w:numPr>
          <w:ilvl w:val="0"/>
          <w:numId w:val="27"/>
        </w:numPr>
        <w:autoSpaceDE/>
        <w:autoSpaceDN/>
        <w:spacing w:before="0" w:after="120"/>
        <w:ind w:left="284" w:hanging="284"/>
        <w:jc w:val="both"/>
        <w:rPr>
          <w:b/>
          <w:noProof/>
          <w:spacing w:val="-8"/>
          <w:sz w:val="24"/>
          <w:szCs w:val="24"/>
        </w:rPr>
      </w:pPr>
      <w:r w:rsidRPr="00E9551A">
        <w:rPr>
          <w:b/>
          <w:bCs/>
          <w:i/>
          <w:iCs/>
          <w:noProof/>
          <w:spacing w:val="-8"/>
          <w:sz w:val="24"/>
          <w:szCs w:val="24"/>
        </w:rPr>
        <w:t>Booking via MDMS (proxy – Omio)</w:t>
      </w:r>
      <w:r w:rsidRPr="00E9551A">
        <w:rPr>
          <w:i/>
          <w:iCs/>
          <w:noProof/>
          <w:spacing w:val="-8"/>
          <w:sz w:val="24"/>
          <w:szCs w:val="24"/>
        </w:rPr>
        <w:t>:</w:t>
      </w:r>
      <w:r w:rsidRPr="00433371">
        <w:rPr>
          <w:noProof/>
          <w:spacing w:val="-8"/>
          <w:sz w:val="24"/>
          <w:szCs w:val="24"/>
        </w:rPr>
        <w:t xml:space="preserve"> to understand what is currently possible via MDMS platforms, Omio was selected as an advanced EU-wide MDMS platform that allows users to book tickets directly </w:t>
      </w:r>
      <w:r>
        <w:rPr>
          <w:noProof/>
          <w:spacing w:val="-8"/>
          <w:sz w:val="24"/>
          <w:szCs w:val="24"/>
        </w:rPr>
        <w:t>on</w:t>
      </w:r>
      <w:r w:rsidRPr="00433371">
        <w:rPr>
          <w:noProof/>
          <w:spacing w:val="-8"/>
          <w:sz w:val="24"/>
          <w:szCs w:val="24"/>
        </w:rPr>
        <w:t xml:space="preserve"> the platform. Omio only provides options for within-mode travel (e.g. rail-rail connections or bus-bus connection, multimodal connections not </w:t>
      </w:r>
      <w:r>
        <w:rPr>
          <w:noProof/>
          <w:spacing w:val="-8"/>
          <w:sz w:val="24"/>
          <w:szCs w:val="24"/>
        </w:rPr>
        <w:t xml:space="preserve">being </w:t>
      </w:r>
      <w:r w:rsidRPr="00433371">
        <w:rPr>
          <w:noProof/>
          <w:spacing w:val="-8"/>
          <w:sz w:val="24"/>
          <w:szCs w:val="24"/>
        </w:rPr>
        <w:t xml:space="preserve">included). Other EU-wide platforms like Rome2Rio only provide re-linking functionality and do not allow tickets to be booked directly on the platform. Each MDMS platform therefore has some limitations compared to an ‘optimal’ ticketing solution, but Omio was selected to facilitate a comparison on the prices offered by operators on direct ticket sales channels and on MDMS platforms. In particular, </w:t>
      </w:r>
      <w:r>
        <w:rPr>
          <w:noProof/>
          <w:spacing w:val="-8"/>
          <w:sz w:val="24"/>
          <w:szCs w:val="24"/>
        </w:rPr>
        <w:t xml:space="preserve">it should be noted </w:t>
      </w:r>
      <w:r w:rsidRPr="00433371">
        <w:rPr>
          <w:noProof/>
          <w:spacing w:val="-8"/>
          <w:sz w:val="24"/>
          <w:szCs w:val="24"/>
        </w:rPr>
        <w:t xml:space="preserve">that Omio is less comprehensive in its air offers </w:t>
      </w:r>
      <w:r>
        <w:rPr>
          <w:noProof/>
          <w:spacing w:val="-8"/>
          <w:sz w:val="24"/>
          <w:szCs w:val="24"/>
        </w:rPr>
        <w:t>relative</w:t>
      </w:r>
      <w:r w:rsidRPr="00433371">
        <w:rPr>
          <w:noProof/>
          <w:spacing w:val="-8"/>
          <w:sz w:val="24"/>
          <w:szCs w:val="24"/>
        </w:rPr>
        <w:t xml:space="preserve"> to other flight-specific meta-search engines (MSEs) like Skyscanner, or Online Travel Agents (OTAs) such as Etraveli. </w:t>
      </w:r>
    </w:p>
    <w:p w14:paraId="0E697F77" w14:textId="7104D587" w:rsidR="00E9551A" w:rsidRPr="00433371" w:rsidRDefault="00E9551A" w:rsidP="001979E4">
      <w:pPr>
        <w:pStyle w:val="ListParagraph"/>
        <w:widowControl/>
        <w:numPr>
          <w:ilvl w:val="0"/>
          <w:numId w:val="27"/>
        </w:numPr>
        <w:autoSpaceDE/>
        <w:autoSpaceDN/>
        <w:spacing w:before="0" w:after="240"/>
        <w:ind w:left="284" w:hanging="284"/>
        <w:jc w:val="both"/>
        <w:rPr>
          <w:noProof/>
          <w:spacing w:val="-8"/>
          <w:sz w:val="24"/>
          <w:szCs w:val="24"/>
        </w:rPr>
      </w:pPr>
      <w:r w:rsidRPr="00E9551A">
        <w:rPr>
          <w:b/>
          <w:bCs/>
          <w:i/>
          <w:iCs/>
          <w:noProof/>
          <w:spacing w:val="-8"/>
          <w:sz w:val="24"/>
          <w:szCs w:val="24"/>
        </w:rPr>
        <w:t>Booking directly via operators (proxy – Google Maps and other direct research)</w:t>
      </w:r>
      <w:r w:rsidRPr="00E9551A">
        <w:rPr>
          <w:i/>
          <w:iCs/>
          <w:noProof/>
          <w:spacing w:val="-8"/>
          <w:sz w:val="24"/>
          <w:szCs w:val="24"/>
        </w:rPr>
        <w:t>:</w:t>
      </w:r>
      <w:r w:rsidRPr="00433371">
        <w:rPr>
          <w:noProof/>
          <w:spacing w:val="-8"/>
          <w:sz w:val="24"/>
          <w:szCs w:val="24"/>
        </w:rPr>
        <w:t xml:space="preserve"> to understand what is theoretically possible if an MDMS platform </w:t>
      </w:r>
      <w:r>
        <w:rPr>
          <w:noProof/>
          <w:spacing w:val="-8"/>
          <w:sz w:val="24"/>
          <w:szCs w:val="24"/>
        </w:rPr>
        <w:t>would</w:t>
      </w:r>
      <w:r w:rsidRPr="00433371">
        <w:rPr>
          <w:noProof/>
          <w:spacing w:val="-8"/>
          <w:sz w:val="24"/>
          <w:szCs w:val="24"/>
        </w:rPr>
        <w:t xml:space="preserve"> have access to tickets available from all transport operators, Google Maps was used to list all possible within-mode and multimodal connections via land and sea and their associated journey times. Costs for these connections were collected by direct research on the websites of relevant operators. Advance tickets were researched to limit pricing volatility, since operators often employ different practices to </w:t>
      </w:r>
      <w:r>
        <w:rPr>
          <w:noProof/>
          <w:spacing w:val="-8"/>
          <w:sz w:val="24"/>
          <w:szCs w:val="24"/>
        </w:rPr>
        <w:t>increase</w:t>
      </w:r>
      <w:r w:rsidRPr="00433371">
        <w:rPr>
          <w:noProof/>
          <w:spacing w:val="-8"/>
          <w:sz w:val="24"/>
          <w:szCs w:val="24"/>
        </w:rPr>
        <w:t xml:space="preserve"> ticket prices closer to the travel date</w:t>
      </w:r>
      <w:r w:rsidRPr="00433371">
        <w:rPr>
          <w:rStyle w:val="FootnoteReference"/>
          <w:noProof/>
          <w:spacing w:val="-8"/>
          <w:sz w:val="24"/>
          <w:szCs w:val="24"/>
        </w:rPr>
        <w:footnoteReference w:id="298"/>
      </w:r>
      <w:r w:rsidRPr="00433371">
        <w:rPr>
          <w:noProof/>
          <w:spacing w:val="-8"/>
          <w:sz w:val="24"/>
          <w:szCs w:val="24"/>
        </w:rPr>
        <w:t xml:space="preserve">. This was supplemented by additional information from Google Flights on possible direct air connections and their associated journey times/costs. </w:t>
      </w:r>
    </w:p>
    <w:p w14:paraId="004BAEDB" w14:textId="77777777" w:rsidR="00E9551A" w:rsidRPr="00433371" w:rsidRDefault="00E9551A" w:rsidP="00080D2F">
      <w:pPr>
        <w:spacing w:after="240"/>
        <w:jc w:val="both"/>
        <w:rPr>
          <w:noProof/>
          <w:spacing w:val="-8"/>
        </w:rPr>
      </w:pPr>
      <w:r w:rsidRPr="00433371">
        <w:rPr>
          <w:noProof/>
          <w:spacing w:val="-8"/>
        </w:rPr>
        <w:t>Th</w:t>
      </w:r>
      <w:r>
        <w:rPr>
          <w:noProof/>
          <w:spacing w:val="-8"/>
        </w:rPr>
        <w:t>e</w:t>
      </w:r>
      <w:r w:rsidRPr="00433371">
        <w:rPr>
          <w:noProof/>
          <w:spacing w:val="-8"/>
        </w:rPr>
        <w:t xml:space="preserve"> analysis assumed</w:t>
      </w:r>
      <w:r w:rsidRPr="00433371">
        <w:rPr>
          <w:b/>
          <w:noProof/>
          <w:spacing w:val="-8"/>
        </w:rPr>
        <w:t xml:space="preserve"> </w:t>
      </w:r>
      <w:r w:rsidRPr="00E9551A">
        <w:rPr>
          <w:b/>
          <w:i/>
          <w:noProof/>
          <w:spacing w:val="-8"/>
        </w:rPr>
        <w:t>travel from city centre to city centre</w:t>
      </w:r>
      <w:r w:rsidRPr="00433371">
        <w:rPr>
          <w:noProof/>
          <w:spacing w:val="-8"/>
        </w:rPr>
        <w:t xml:space="preserve">. Rail and bus connections </w:t>
      </w:r>
      <w:r>
        <w:rPr>
          <w:noProof/>
          <w:spacing w:val="-8"/>
        </w:rPr>
        <w:t xml:space="preserve">are assumed </w:t>
      </w:r>
      <w:r w:rsidRPr="00433371">
        <w:rPr>
          <w:noProof/>
          <w:spacing w:val="-8"/>
        </w:rPr>
        <w:t xml:space="preserve">therefore </w:t>
      </w:r>
      <w:r>
        <w:rPr>
          <w:noProof/>
          <w:spacing w:val="-8"/>
        </w:rPr>
        <w:t xml:space="preserve">to </w:t>
      </w:r>
      <w:r w:rsidRPr="00433371">
        <w:rPr>
          <w:noProof/>
          <w:spacing w:val="-8"/>
        </w:rPr>
        <w:t>start and end with an appropriate station within the city convenient for passenger travel. By contrast, flight connections require travel to/from the airport since these are often located outside the city centre. The analysis</w:t>
      </w:r>
      <w:r>
        <w:rPr>
          <w:noProof/>
          <w:spacing w:val="-8"/>
        </w:rPr>
        <w:t xml:space="preserve"> also</w:t>
      </w:r>
      <w:r w:rsidRPr="00433371">
        <w:rPr>
          <w:noProof/>
          <w:spacing w:val="-8"/>
        </w:rPr>
        <w:t xml:space="preserve"> considers </w:t>
      </w:r>
      <w:r w:rsidRPr="00E9551A">
        <w:rPr>
          <w:b/>
          <w:i/>
          <w:noProof/>
          <w:spacing w:val="-8"/>
        </w:rPr>
        <w:t>time in transit only, and only for major connections</w:t>
      </w:r>
      <w:r w:rsidRPr="00433371">
        <w:rPr>
          <w:noProof/>
          <w:spacing w:val="-8"/>
        </w:rPr>
        <w:t>. This includes time spent in the vehicle on the main intercity legs (</w:t>
      </w:r>
      <w:r>
        <w:rPr>
          <w:noProof/>
          <w:spacing w:val="-8"/>
        </w:rPr>
        <w:t xml:space="preserve">above </w:t>
      </w:r>
      <w:r w:rsidRPr="00433371">
        <w:rPr>
          <w:noProof/>
          <w:spacing w:val="-8"/>
        </w:rPr>
        <w:t>10 min</w:t>
      </w:r>
      <w:r>
        <w:rPr>
          <w:noProof/>
          <w:spacing w:val="-8"/>
        </w:rPr>
        <w:t>utes</w:t>
      </w:r>
      <w:r w:rsidRPr="00433371">
        <w:rPr>
          <w:noProof/>
          <w:spacing w:val="-8"/>
        </w:rPr>
        <w:t>) and time spent waiting between connections at the transit terminal</w:t>
      </w:r>
      <w:r>
        <w:rPr>
          <w:noProof/>
          <w:spacing w:val="-8"/>
        </w:rPr>
        <w:t>. It does however</w:t>
      </w:r>
      <w:r w:rsidRPr="00433371">
        <w:rPr>
          <w:noProof/>
          <w:spacing w:val="-8"/>
        </w:rPr>
        <w:t xml:space="preserve"> not include short intra-city connections (</w:t>
      </w:r>
      <w:r>
        <w:rPr>
          <w:noProof/>
          <w:spacing w:val="-8"/>
        </w:rPr>
        <w:t xml:space="preserve">below </w:t>
      </w:r>
      <w:r w:rsidRPr="00433371">
        <w:rPr>
          <w:noProof/>
          <w:spacing w:val="-8"/>
        </w:rPr>
        <w:t>10 min</w:t>
      </w:r>
      <w:r>
        <w:rPr>
          <w:noProof/>
          <w:spacing w:val="-8"/>
        </w:rPr>
        <w:t>utes</w:t>
      </w:r>
      <w:r w:rsidRPr="00433371">
        <w:rPr>
          <w:noProof/>
          <w:spacing w:val="-8"/>
        </w:rPr>
        <w:t>) for walk</w:t>
      </w:r>
      <w:r>
        <w:rPr>
          <w:noProof/>
          <w:spacing w:val="-8"/>
        </w:rPr>
        <w:t>ing</w:t>
      </w:r>
      <w:r w:rsidRPr="00433371">
        <w:rPr>
          <w:noProof/>
          <w:spacing w:val="-8"/>
        </w:rPr>
        <w:t xml:space="preserve">, trams, metros or similar. The results </w:t>
      </w:r>
      <w:r>
        <w:rPr>
          <w:noProof/>
          <w:spacing w:val="-8"/>
        </w:rPr>
        <w:t xml:space="preserve">of the analysis </w:t>
      </w:r>
      <w:r w:rsidRPr="00433371">
        <w:rPr>
          <w:noProof/>
          <w:spacing w:val="-8"/>
        </w:rPr>
        <w:t xml:space="preserve">are shown in the table below. </w:t>
      </w:r>
    </w:p>
    <w:p w14:paraId="727FCAFE" w14:textId="7922F88D" w:rsidR="00E9551A" w:rsidRPr="00092A6D" w:rsidRDefault="00E9551A" w:rsidP="00E9551A">
      <w:pPr>
        <w:tabs>
          <w:tab w:val="left" w:pos="1134"/>
        </w:tabs>
        <w:rPr>
          <w:i/>
          <w:noProof/>
          <w:sz w:val="22"/>
          <w:szCs w:val="22"/>
        </w:rPr>
      </w:pPr>
      <w:r w:rsidRPr="00092A6D">
        <w:rPr>
          <w:i/>
          <w:noProof/>
          <w:sz w:val="22"/>
          <w:szCs w:val="22"/>
        </w:rPr>
        <w:t xml:space="preserve">Table </w:t>
      </w:r>
      <w:r w:rsidRPr="00092A6D">
        <w:rPr>
          <w:i/>
          <w:noProof/>
          <w:sz w:val="22"/>
          <w:szCs w:val="22"/>
        </w:rPr>
        <w:fldChar w:fldCharType="begin"/>
      </w:r>
      <w:r w:rsidRPr="00092A6D">
        <w:rPr>
          <w:i/>
          <w:noProof/>
          <w:sz w:val="22"/>
          <w:szCs w:val="22"/>
        </w:rPr>
        <w:instrText xml:space="preserve"> SEQ Table \* ARABIC </w:instrText>
      </w:r>
      <w:r w:rsidRPr="00092A6D">
        <w:rPr>
          <w:i/>
          <w:noProof/>
          <w:sz w:val="22"/>
          <w:szCs w:val="22"/>
        </w:rPr>
        <w:fldChar w:fldCharType="separate"/>
      </w:r>
      <w:r w:rsidR="0055391F">
        <w:rPr>
          <w:i/>
          <w:noProof/>
          <w:sz w:val="22"/>
          <w:szCs w:val="22"/>
        </w:rPr>
        <w:t>45</w:t>
      </w:r>
      <w:r w:rsidRPr="00092A6D">
        <w:rPr>
          <w:i/>
          <w:noProof/>
          <w:sz w:val="22"/>
          <w:szCs w:val="22"/>
        </w:rPr>
        <w:fldChar w:fldCharType="end"/>
      </w:r>
      <w:r w:rsidRPr="00092A6D">
        <w:rPr>
          <w:i/>
          <w:noProof/>
          <w:sz w:val="22"/>
          <w:szCs w:val="22"/>
        </w:rPr>
        <w:t>: Maximum potential change in journey time resulting from the 100 OD pair analysis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6440"/>
        <w:gridCol w:w="2330"/>
      </w:tblGrid>
      <w:tr w:rsidR="00E9551A" w:rsidRPr="00433371" w14:paraId="31DF6D02" w14:textId="77777777" w:rsidTr="008B5F9D">
        <w:trPr>
          <w:trHeight w:val="588"/>
        </w:trPr>
        <w:tc>
          <w:tcPr>
            <w:tcW w:w="3787" w:type="pct"/>
            <w:gridSpan w:val="2"/>
            <w:shd w:val="clear" w:color="auto" w:fill="0070C0"/>
            <w:noWrap/>
            <w:hideMark/>
          </w:tcPr>
          <w:p w14:paraId="2B9B5E66" w14:textId="77777777" w:rsidR="00E9551A" w:rsidRPr="00092A6D" w:rsidRDefault="00E9551A">
            <w:pPr>
              <w:rPr>
                <w:b/>
                <w:noProof/>
                <w:color w:val="FFFFFF" w:themeColor="background1"/>
                <w:sz w:val="20"/>
                <w:szCs w:val="20"/>
              </w:rPr>
            </w:pPr>
            <w:r w:rsidRPr="00092A6D">
              <w:rPr>
                <w:b/>
                <w:noProof/>
                <w:color w:val="FFFFFF" w:themeColor="background1"/>
                <w:sz w:val="20"/>
                <w:szCs w:val="20"/>
              </w:rPr>
              <w:t>Cluster</w:t>
            </w:r>
          </w:p>
        </w:tc>
        <w:tc>
          <w:tcPr>
            <w:tcW w:w="1213" w:type="pct"/>
            <w:shd w:val="clear" w:color="auto" w:fill="0070C0"/>
            <w:hideMark/>
          </w:tcPr>
          <w:p w14:paraId="0281351E" w14:textId="77777777" w:rsidR="00E9551A" w:rsidRPr="00092A6D" w:rsidRDefault="00E9551A" w:rsidP="00FD11FC">
            <w:pPr>
              <w:jc w:val="center"/>
              <w:rPr>
                <w:b/>
                <w:noProof/>
                <w:color w:val="FFFFFF" w:themeColor="background1"/>
                <w:sz w:val="20"/>
                <w:szCs w:val="20"/>
              </w:rPr>
            </w:pPr>
            <w:r w:rsidRPr="00092A6D">
              <w:rPr>
                <w:b/>
                <w:noProof/>
                <w:color w:val="FFFFFF" w:themeColor="background1"/>
                <w:sz w:val="20"/>
                <w:szCs w:val="20"/>
              </w:rPr>
              <w:t>Maximum change in journey time</w:t>
            </w:r>
          </w:p>
        </w:tc>
      </w:tr>
      <w:tr w:rsidR="00E9551A" w:rsidRPr="00433371" w14:paraId="66369A24" w14:textId="77777777" w:rsidTr="008B5F9D">
        <w:trPr>
          <w:trHeight w:val="300"/>
        </w:trPr>
        <w:tc>
          <w:tcPr>
            <w:tcW w:w="434" w:type="pct"/>
            <w:noWrap/>
            <w:hideMark/>
          </w:tcPr>
          <w:p w14:paraId="6365A68A" w14:textId="77777777" w:rsidR="00E9551A" w:rsidRPr="00092A6D" w:rsidRDefault="00E9551A">
            <w:pPr>
              <w:rPr>
                <w:noProof/>
                <w:sz w:val="20"/>
                <w:szCs w:val="20"/>
              </w:rPr>
            </w:pPr>
            <w:r w:rsidRPr="00092A6D">
              <w:rPr>
                <w:noProof/>
                <w:sz w:val="20"/>
                <w:szCs w:val="20"/>
              </w:rPr>
              <w:t>A</w:t>
            </w:r>
          </w:p>
        </w:tc>
        <w:tc>
          <w:tcPr>
            <w:tcW w:w="3353" w:type="pct"/>
            <w:noWrap/>
            <w:hideMark/>
          </w:tcPr>
          <w:p w14:paraId="4DB2F18C" w14:textId="77777777" w:rsidR="00E9551A" w:rsidRPr="00092A6D" w:rsidRDefault="00E9551A">
            <w:pPr>
              <w:rPr>
                <w:noProof/>
                <w:sz w:val="20"/>
                <w:szCs w:val="20"/>
              </w:rPr>
            </w:pPr>
            <w:r w:rsidRPr="00092A6D">
              <w:rPr>
                <w:noProof/>
                <w:sz w:val="20"/>
                <w:szCs w:val="20"/>
              </w:rPr>
              <w:t>National, Leader, Both attractive</w:t>
            </w:r>
          </w:p>
        </w:tc>
        <w:tc>
          <w:tcPr>
            <w:tcW w:w="1213" w:type="pct"/>
            <w:noWrap/>
            <w:hideMark/>
          </w:tcPr>
          <w:p w14:paraId="64E95389" w14:textId="77777777" w:rsidR="00E9551A" w:rsidRPr="00092A6D" w:rsidRDefault="00E9551A" w:rsidP="00E029DF">
            <w:pPr>
              <w:jc w:val="center"/>
              <w:rPr>
                <w:noProof/>
                <w:sz w:val="20"/>
                <w:szCs w:val="20"/>
              </w:rPr>
            </w:pPr>
            <w:r w:rsidRPr="00092A6D">
              <w:rPr>
                <w:noProof/>
                <w:sz w:val="20"/>
                <w:szCs w:val="20"/>
              </w:rPr>
              <w:t>-8.3%</w:t>
            </w:r>
          </w:p>
        </w:tc>
      </w:tr>
      <w:tr w:rsidR="00E9551A" w:rsidRPr="00433371" w14:paraId="14557668" w14:textId="77777777" w:rsidTr="008B5F9D">
        <w:trPr>
          <w:trHeight w:val="300"/>
        </w:trPr>
        <w:tc>
          <w:tcPr>
            <w:tcW w:w="434" w:type="pct"/>
            <w:noWrap/>
            <w:hideMark/>
          </w:tcPr>
          <w:p w14:paraId="57C43C15" w14:textId="77777777" w:rsidR="00E9551A" w:rsidRPr="00092A6D" w:rsidRDefault="00E9551A">
            <w:pPr>
              <w:rPr>
                <w:noProof/>
                <w:sz w:val="20"/>
                <w:szCs w:val="20"/>
              </w:rPr>
            </w:pPr>
            <w:r w:rsidRPr="00092A6D">
              <w:rPr>
                <w:noProof/>
                <w:sz w:val="20"/>
                <w:szCs w:val="20"/>
              </w:rPr>
              <w:t>B</w:t>
            </w:r>
          </w:p>
        </w:tc>
        <w:tc>
          <w:tcPr>
            <w:tcW w:w="3353" w:type="pct"/>
            <w:noWrap/>
            <w:hideMark/>
          </w:tcPr>
          <w:p w14:paraId="1E41C5C7" w14:textId="77777777" w:rsidR="00E9551A" w:rsidRPr="00092A6D" w:rsidRDefault="00E9551A">
            <w:pPr>
              <w:rPr>
                <w:noProof/>
                <w:sz w:val="20"/>
                <w:szCs w:val="20"/>
              </w:rPr>
            </w:pPr>
            <w:r w:rsidRPr="00092A6D">
              <w:rPr>
                <w:noProof/>
                <w:sz w:val="20"/>
                <w:szCs w:val="20"/>
              </w:rPr>
              <w:t>National, Planned adopter and followers, Both attractive</w:t>
            </w:r>
          </w:p>
        </w:tc>
        <w:tc>
          <w:tcPr>
            <w:tcW w:w="1213" w:type="pct"/>
            <w:noWrap/>
            <w:hideMark/>
          </w:tcPr>
          <w:p w14:paraId="5C4D1618" w14:textId="77777777" w:rsidR="00E9551A" w:rsidRPr="00092A6D" w:rsidRDefault="00E9551A" w:rsidP="00E029DF">
            <w:pPr>
              <w:jc w:val="center"/>
              <w:rPr>
                <w:noProof/>
                <w:sz w:val="20"/>
                <w:szCs w:val="20"/>
              </w:rPr>
            </w:pPr>
            <w:r w:rsidRPr="00092A6D">
              <w:rPr>
                <w:noProof/>
                <w:sz w:val="20"/>
                <w:szCs w:val="20"/>
              </w:rPr>
              <w:t>-2.1%</w:t>
            </w:r>
          </w:p>
        </w:tc>
      </w:tr>
      <w:tr w:rsidR="00E9551A" w:rsidRPr="00433371" w14:paraId="60C05B39" w14:textId="77777777" w:rsidTr="008B5F9D">
        <w:trPr>
          <w:trHeight w:val="300"/>
        </w:trPr>
        <w:tc>
          <w:tcPr>
            <w:tcW w:w="434" w:type="pct"/>
            <w:noWrap/>
            <w:hideMark/>
          </w:tcPr>
          <w:p w14:paraId="2DAC2589" w14:textId="77777777" w:rsidR="00E9551A" w:rsidRPr="00092A6D" w:rsidRDefault="00E9551A">
            <w:pPr>
              <w:rPr>
                <w:noProof/>
                <w:sz w:val="20"/>
                <w:szCs w:val="20"/>
              </w:rPr>
            </w:pPr>
            <w:r w:rsidRPr="00092A6D">
              <w:rPr>
                <w:noProof/>
                <w:sz w:val="20"/>
                <w:szCs w:val="20"/>
              </w:rPr>
              <w:t>C</w:t>
            </w:r>
          </w:p>
        </w:tc>
        <w:tc>
          <w:tcPr>
            <w:tcW w:w="3353" w:type="pct"/>
            <w:noWrap/>
            <w:hideMark/>
          </w:tcPr>
          <w:p w14:paraId="4028C3A0" w14:textId="77777777" w:rsidR="00E9551A" w:rsidRPr="00092A6D" w:rsidRDefault="00E9551A">
            <w:pPr>
              <w:rPr>
                <w:noProof/>
                <w:sz w:val="20"/>
                <w:szCs w:val="20"/>
              </w:rPr>
            </w:pPr>
            <w:r w:rsidRPr="00092A6D">
              <w:rPr>
                <w:noProof/>
                <w:sz w:val="20"/>
                <w:szCs w:val="20"/>
              </w:rPr>
              <w:t>International, At least one leader, Both attractive</w:t>
            </w:r>
          </w:p>
        </w:tc>
        <w:tc>
          <w:tcPr>
            <w:tcW w:w="1213" w:type="pct"/>
            <w:noWrap/>
            <w:hideMark/>
          </w:tcPr>
          <w:p w14:paraId="76E59635" w14:textId="77777777" w:rsidR="00E9551A" w:rsidRPr="00092A6D" w:rsidRDefault="00E9551A" w:rsidP="00E029DF">
            <w:pPr>
              <w:jc w:val="center"/>
              <w:rPr>
                <w:noProof/>
                <w:sz w:val="20"/>
                <w:szCs w:val="20"/>
              </w:rPr>
            </w:pPr>
            <w:r w:rsidRPr="00092A6D">
              <w:rPr>
                <w:noProof/>
                <w:sz w:val="20"/>
                <w:szCs w:val="20"/>
              </w:rPr>
              <w:t>-8.5%</w:t>
            </w:r>
          </w:p>
        </w:tc>
      </w:tr>
      <w:tr w:rsidR="00E9551A" w:rsidRPr="00433371" w14:paraId="31108ACB" w14:textId="77777777" w:rsidTr="008B5F9D">
        <w:trPr>
          <w:trHeight w:val="300"/>
        </w:trPr>
        <w:tc>
          <w:tcPr>
            <w:tcW w:w="434" w:type="pct"/>
            <w:noWrap/>
            <w:hideMark/>
          </w:tcPr>
          <w:p w14:paraId="4E78902B" w14:textId="77777777" w:rsidR="00E9551A" w:rsidRPr="00092A6D" w:rsidRDefault="00E9551A">
            <w:pPr>
              <w:rPr>
                <w:noProof/>
                <w:sz w:val="20"/>
                <w:szCs w:val="20"/>
              </w:rPr>
            </w:pPr>
            <w:r w:rsidRPr="00092A6D">
              <w:rPr>
                <w:noProof/>
                <w:sz w:val="20"/>
                <w:szCs w:val="20"/>
              </w:rPr>
              <w:t>D</w:t>
            </w:r>
          </w:p>
        </w:tc>
        <w:tc>
          <w:tcPr>
            <w:tcW w:w="3353" w:type="pct"/>
            <w:noWrap/>
            <w:hideMark/>
          </w:tcPr>
          <w:p w14:paraId="023FA222" w14:textId="77777777" w:rsidR="00E9551A" w:rsidRPr="00092A6D" w:rsidRDefault="00E9551A">
            <w:pPr>
              <w:rPr>
                <w:noProof/>
                <w:sz w:val="20"/>
                <w:szCs w:val="20"/>
              </w:rPr>
            </w:pPr>
            <w:r w:rsidRPr="00092A6D">
              <w:rPr>
                <w:noProof/>
                <w:sz w:val="20"/>
                <w:szCs w:val="20"/>
              </w:rPr>
              <w:t>International, Planned adopters and followers, Both attractive</w:t>
            </w:r>
          </w:p>
        </w:tc>
        <w:tc>
          <w:tcPr>
            <w:tcW w:w="1213" w:type="pct"/>
            <w:noWrap/>
            <w:hideMark/>
          </w:tcPr>
          <w:p w14:paraId="5E3BA407" w14:textId="77777777" w:rsidR="00E9551A" w:rsidRPr="00092A6D" w:rsidRDefault="00E9551A" w:rsidP="00E029DF">
            <w:pPr>
              <w:jc w:val="center"/>
              <w:rPr>
                <w:noProof/>
                <w:sz w:val="20"/>
                <w:szCs w:val="20"/>
              </w:rPr>
            </w:pPr>
            <w:r w:rsidRPr="00092A6D">
              <w:rPr>
                <w:noProof/>
                <w:sz w:val="20"/>
                <w:szCs w:val="20"/>
              </w:rPr>
              <w:t>-5.5%</w:t>
            </w:r>
          </w:p>
        </w:tc>
      </w:tr>
      <w:tr w:rsidR="00E9551A" w:rsidRPr="00433371" w14:paraId="1D6212C4" w14:textId="77777777" w:rsidTr="008B5F9D">
        <w:trPr>
          <w:trHeight w:val="300"/>
        </w:trPr>
        <w:tc>
          <w:tcPr>
            <w:tcW w:w="434" w:type="pct"/>
            <w:noWrap/>
            <w:hideMark/>
          </w:tcPr>
          <w:p w14:paraId="62A96DF4" w14:textId="77777777" w:rsidR="00E9551A" w:rsidRPr="00092A6D" w:rsidRDefault="00E9551A">
            <w:pPr>
              <w:rPr>
                <w:noProof/>
                <w:sz w:val="20"/>
                <w:szCs w:val="20"/>
              </w:rPr>
            </w:pPr>
            <w:r w:rsidRPr="00092A6D">
              <w:rPr>
                <w:noProof/>
                <w:sz w:val="20"/>
                <w:szCs w:val="20"/>
              </w:rPr>
              <w:t>E</w:t>
            </w:r>
          </w:p>
        </w:tc>
        <w:tc>
          <w:tcPr>
            <w:tcW w:w="3353" w:type="pct"/>
            <w:noWrap/>
            <w:hideMark/>
          </w:tcPr>
          <w:p w14:paraId="18EC0C2D" w14:textId="77777777" w:rsidR="00E9551A" w:rsidRPr="00092A6D" w:rsidRDefault="00E9551A">
            <w:pPr>
              <w:rPr>
                <w:noProof/>
                <w:sz w:val="20"/>
                <w:szCs w:val="20"/>
              </w:rPr>
            </w:pPr>
            <w:r w:rsidRPr="00092A6D">
              <w:rPr>
                <w:noProof/>
                <w:sz w:val="20"/>
                <w:szCs w:val="20"/>
              </w:rPr>
              <w:t>National, Leader, Hybrid</w:t>
            </w:r>
            <w:r w:rsidRPr="00092A6D">
              <w:rPr>
                <w:rStyle w:val="FootnoteReference"/>
                <w:noProof/>
                <w:sz w:val="20"/>
                <w:szCs w:val="20"/>
              </w:rPr>
              <w:footnoteReference w:id="299"/>
            </w:r>
          </w:p>
        </w:tc>
        <w:tc>
          <w:tcPr>
            <w:tcW w:w="1213" w:type="pct"/>
            <w:noWrap/>
            <w:hideMark/>
          </w:tcPr>
          <w:p w14:paraId="329BC85B" w14:textId="77777777" w:rsidR="00E9551A" w:rsidRPr="00092A6D" w:rsidRDefault="00E9551A" w:rsidP="00E029DF">
            <w:pPr>
              <w:jc w:val="center"/>
              <w:rPr>
                <w:noProof/>
                <w:sz w:val="20"/>
                <w:szCs w:val="20"/>
              </w:rPr>
            </w:pPr>
            <w:r w:rsidRPr="00092A6D">
              <w:rPr>
                <w:noProof/>
                <w:sz w:val="20"/>
                <w:szCs w:val="20"/>
              </w:rPr>
              <w:t>-7.8%</w:t>
            </w:r>
          </w:p>
        </w:tc>
      </w:tr>
      <w:tr w:rsidR="00E9551A" w:rsidRPr="00433371" w14:paraId="7601612C" w14:textId="77777777" w:rsidTr="008B5F9D">
        <w:trPr>
          <w:trHeight w:val="300"/>
        </w:trPr>
        <w:tc>
          <w:tcPr>
            <w:tcW w:w="434" w:type="pct"/>
            <w:noWrap/>
            <w:hideMark/>
          </w:tcPr>
          <w:p w14:paraId="5676BC86" w14:textId="77777777" w:rsidR="00E9551A" w:rsidRPr="00092A6D" w:rsidRDefault="00E9551A">
            <w:pPr>
              <w:rPr>
                <w:noProof/>
                <w:sz w:val="20"/>
                <w:szCs w:val="20"/>
              </w:rPr>
            </w:pPr>
            <w:r w:rsidRPr="00092A6D">
              <w:rPr>
                <w:noProof/>
                <w:sz w:val="20"/>
                <w:szCs w:val="20"/>
              </w:rPr>
              <w:t>F</w:t>
            </w:r>
          </w:p>
        </w:tc>
        <w:tc>
          <w:tcPr>
            <w:tcW w:w="3353" w:type="pct"/>
            <w:noWrap/>
            <w:hideMark/>
          </w:tcPr>
          <w:p w14:paraId="242B39EC" w14:textId="77777777" w:rsidR="00E9551A" w:rsidRPr="00092A6D" w:rsidRDefault="00E9551A">
            <w:pPr>
              <w:rPr>
                <w:noProof/>
                <w:sz w:val="20"/>
                <w:szCs w:val="20"/>
              </w:rPr>
            </w:pPr>
            <w:r w:rsidRPr="00092A6D">
              <w:rPr>
                <w:noProof/>
                <w:sz w:val="20"/>
                <w:szCs w:val="20"/>
              </w:rPr>
              <w:t>National, Planned adopter and follower, Hybrid</w:t>
            </w:r>
          </w:p>
        </w:tc>
        <w:tc>
          <w:tcPr>
            <w:tcW w:w="1213" w:type="pct"/>
            <w:noWrap/>
            <w:hideMark/>
          </w:tcPr>
          <w:p w14:paraId="2959D306" w14:textId="77777777" w:rsidR="00E9551A" w:rsidRPr="00092A6D" w:rsidRDefault="00E9551A" w:rsidP="00E029DF">
            <w:pPr>
              <w:jc w:val="center"/>
              <w:rPr>
                <w:noProof/>
                <w:sz w:val="20"/>
                <w:szCs w:val="20"/>
              </w:rPr>
            </w:pPr>
            <w:r w:rsidRPr="00092A6D">
              <w:rPr>
                <w:noProof/>
                <w:sz w:val="20"/>
                <w:szCs w:val="20"/>
              </w:rPr>
              <w:t>-5.4%</w:t>
            </w:r>
          </w:p>
        </w:tc>
      </w:tr>
      <w:tr w:rsidR="00E9551A" w:rsidRPr="00433371" w14:paraId="5E0ACDFF" w14:textId="77777777" w:rsidTr="008B5F9D">
        <w:trPr>
          <w:trHeight w:val="300"/>
        </w:trPr>
        <w:tc>
          <w:tcPr>
            <w:tcW w:w="434" w:type="pct"/>
            <w:noWrap/>
            <w:hideMark/>
          </w:tcPr>
          <w:p w14:paraId="2DF9C694" w14:textId="77777777" w:rsidR="00E9551A" w:rsidRPr="00092A6D" w:rsidRDefault="00E9551A">
            <w:pPr>
              <w:rPr>
                <w:noProof/>
                <w:sz w:val="20"/>
                <w:szCs w:val="20"/>
              </w:rPr>
            </w:pPr>
            <w:r w:rsidRPr="00092A6D">
              <w:rPr>
                <w:noProof/>
                <w:sz w:val="20"/>
                <w:szCs w:val="20"/>
              </w:rPr>
              <w:t>G</w:t>
            </w:r>
          </w:p>
        </w:tc>
        <w:tc>
          <w:tcPr>
            <w:tcW w:w="3353" w:type="pct"/>
            <w:noWrap/>
            <w:hideMark/>
          </w:tcPr>
          <w:p w14:paraId="6243DD53" w14:textId="77777777" w:rsidR="00E9551A" w:rsidRPr="00092A6D" w:rsidRDefault="00E9551A">
            <w:pPr>
              <w:rPr>
                <w:noProof/>
                <w:sz w:val="20"/>
                <w:szCs w:val="20"/>
              </w:rPr>
            </w:pPr>
            <w:r w:rsidRPr="00092A6D">
              <w:rPr>
                <w:noProof/>
                <w:sz w:val="20"/>
                <w:szCs w:val="20"/>
              </w:rPr>
              <w:t>International, At least one leader, Hybrid</w:t>
            </w:r>
          </w:p>
        </w:tc>
        <w:tc>
          <w:tcPr>
            <w:tcW w:w="1213" w:type="pct"/>
            <w:noWrap/>
            <w:hideMark/>
          </w:tcPr>
          <w:p w14:paraId="608EB6E1" w14:textId="77777777" w:rsidR="00E9551A" w:rsidRPr="00092A6D" w:rsidRDefault="00E9551A" w:rsidP="00E029DF">
            <w:pPr>
              <w:jc w:val="center"/>
              <w:rPr>
                <w:noProof/>
                <w:sz w:val="20"/>
                <w:szCs w:val="20"/>
              </w:rPr>
            </w:pPr>
            <w:r w:rsidRPr="00092A6D">
              <w:rPr>
                <w:noProof/>
                <w:sz w:val="20"/>
                <w:szCs w:val="20"/>
              </w:rPr>
              <w:t>-5.9%</w:t>
            </w:r>
          </w:p>
        </w:tc>
      </w:tr>
      <w:tr w:rsidR="00E9551A" w:rsidRPr="00433371" w14:paraId="5347C256" w14:textId="77777777" w:rsidTr="008B5F9D">
        <w:trPr>
          <w:trHeight w:val="300"/>
        </w:trPr>
        <w:tc>
          <w:tcPr>
            <w:tcW w:w="434" w:type="pct"/>
            <w:noWrap/>
            <w:hideMark/>
          </w:tcPr>
          <w:p w14:paraId="5F8D9DEE" w14:textId="77777777" w:rsidR="00E9551A" w:rsidRPr="00092A6D" w:rsidRDefault="00E9551A">
            <w:pPr>
              <w:rPr>
                <w:noProof/>
                <w:sz w:val="20"/>
                <w:szCs w:val="20"/>
              </w:rPr>
            </w:pPr>
            <w:r w:rsidRPr="00092A6D">
              <w:rPr>
                <w:noProof/>
                <w:sz w:val="20"/>
                <w:szCs w:val="20"/>
              </w:rPr>
              <w:t>H</w:t>
            </w:r>
          </w:p>
        </w:tc>
        <w:tc>
          <w:tcPr>
            <w:tcW w:w="3353" w:type="pct"/>
            <w:noWrap/>
            <w:hideMark/>
          </w:tcPr>
          <w:p w14:paraId="56F09BAF" w14:textId="77777777" w:rsidR="00E9551A" w:rsidRPr="00092A6D" w:rsidRDefault="00E9551A">
            <w:pPr>
              <w:rPr>
                <w:noProof/>
                <w:sz w:val="20"/>
                <w:szCs w:val="20"/>
              </w:rPr>
            </w:pPr>
            <w:r w:rsidRPr="00092A6D">
              <w:rPr>
                <w:noProof/>
                <w:sz w:val="20"/>
                <w:szCs w:val="20"/>
              </w:rPr>
              <w:t>International, Planned adopters/followers, Hybrid</w:t>
            </w:r>
          </w:p>
        </w:tc>
        <w:tc>
          <w:tcPr>
            <w:tcW w:w="1213" w:type="pct"/>
            <w:noWrap/>
            <w:hideMark/>
          </w:tcPr>
          <w:p w14:paraId="67917BD0" w14:textId="77777777" w:rsidR="00E9551A" w:rsidRPr="00092A6D" w:rsidRDefault="00E9551A" w:rsidP="00E029DF">
            <w:pPr>
              <w:jc w:val="center"/>
              <w:rPr>
                <w:noProof/>
                <w:sz w:val="20"/>
                <w:szCs w:val="20"/>
              </w:rPr>
            </w:pPr>
            <w:r w:rsidRPr="00092A6D">
              <w:rPr>
                <w:noProof/>
                <w:sz w:val="20"/>
                <w:szCs w:val="20"/>
              </w:rPr>
              <w:t>-5.9%</w:t>
            </w:r>
          </w:p>
        </w:tc>
      </w:tr>
      <w:tr w:rsidR="00E9551A" w:rsidRPr="00433371" w14:paraId="30B0996D" w14:textId="77777777" w:rsidTr="008B5F9D">
        <w:trPr>
          <w:trHeight w:val="300"/>
        </w:trPr>
        <w:tc>
          <w:tcPr>
            <w:tcW w:w="434" w:type="pct"/>
            <w:noWrap/>
            <w:hideMark/>
          </w:tcPr>
          <w:p w14:paraId="02F74D0A" w14:textId="77777777" w:rsidR="00E9551A" w:rsidRPr="00092A6D" w:rsidRDefault="00E9551A">
            <w:pPr>
              <w:rPr>
                <w:noProof/>
                <w:sz w:val="20"/>
                <w:szCs w:val="20"/>
              </w:rPr>
            </w:pPr>
            <w:r w:rsidRPr="00092A6D">
              <w:rPr>
                <w:noProof/>
                <w:sz w:val="20"/>
                <w:szCs w:val="20"/>
              </w:rPr>
              <w:t>I</w:t>
            </w:r>
          </w:p>
        </w:tc>
        <w:tc>
          <w:tcPr>
            <w:tcW w:w="3353" w:type="pct"/>
            <w:noWrap/>
            <w:hideMark/>
          </w:tcPr>
          <w:p w14:paraId="64532C68" w14:textId="77777777" w:rsidR="00E9551A" w:rsidRPr="00092A6D" w:rsidRDefault="00E9551A">
            <w:pPr>
              <w:rPr>
                <w:noProof/>
                <w:sz w:val="20"/>
                <w:szCs w:val="20"/>
              </w:rPr>
            </w:pPr>
            <w:r w:rsidRPr="00092A6D">
              <w:rPr>
                <w:noProof/>
                <w:sz w:val="20"/>
                <w:szCs w:val="20"/>
              </w:rPr>
              <w:t>National, Any, Both moderately attractive</w:t>
            </w:r>
          </w:p>
        </w:tc>
        <w:tc>
          <w:tcPr>
            <w:tcW w:w="1213" w:type="pct"/>
            <w:noWrap/>
            <w:hideMark/>
          </w:tcPr>
          <w:p w14:paraId="65DB7F54" w14:textId="77777777" w:rsidR="00E9551A" w:rsidRPr="00092A6D" w:rsidRDefault="00E9551A" w:rsidP="00E029DF">
            <w:pPr>
              <w:jc w:val="center"/>
              <w:rPr>
                <w:noProof/>
                <w:sz w:val="20"/>
                <w:szCs w:val="20"/>
              </w:rPr>
            </w:pPr>
            <w:r w:rsidRPr="00092A6D">
              <w:rPr>
                <w:noProof/>
                <w:sz w:val="20"/>
                <w:szCs w:val="20"/>
              </w:rPr>
              <w:t>-5.1%</w:t>
            </w:r>
          </w:p>
        </w:tc>
      </w:tr>
      <w:tr w:rsidR="00E9551A" w:rsidRPr="00433371" w14:paraId="258A74E0" w14:textId="77777777" w:rsidTr="008B5F9D">
        <w:trPr>
          <w:trHeight w:val="300"/>
        </w:trPr>
        <w:tc>
          <w:tcPr>
            <w:tcW w:w="434" w:type="pct"/>
            <w:noWrap/>
            <w:hideMark/>
          </w:tcPr>
          <w:p w14:paraId="01FAB142" w14:textId="77777777" w:rsidR="00E9551A" w:rsidRPr="00092A6D" w:rsidRDefault="00E9551A">
            <w:pPr>
              <w:rPr>
                <w:noProof/>
                <w:sz w:val="20"/>
                <w:szCs w:val="20"/>
              </w:rPr>
            </w:pPr>
            <w:r w:rsidRPr="00092A6D">
              <w:rPr>
                <w:noProof/>
                <w:sz w:val="20"/>
                <w:szCs w:val="20"/>
              </w:rPr>
              <w:t>J</w:t>
            </w:r>
          </w:p>
        </w:tc>
        <w:tc>
          <w:tcPr>
            <w:tcW w:w="3353" w:type="pct"/>
            <w:noWrap/>
            <w:hideMark/>
          </w:tcPr>
          <w:p w14:paraId="096EEF78" w14:textId="77777777" w:rsidR="00E9551A" w:rsidRPr="00092A6D" w:rsidRDefault="00E9551A">
            <w:pPr>
              <w:rPr>
                <w:noProof/>
                <w:sz w:val="20"/>
                <w:szCs w:val="20"/>
              </w:rPr>
            </w:pPr>
            <w:r w:rsidRPr="00092A6D">
              <w:rPr>
                <w:noProof/>
                <w:sz w:val="20"/>
                <w:szCs w:val="20"/>
              </w:rPr>
              <w:t>International, Any, Both moderately attractive</w:t>
            </w:r>
          </w:p>
        </w:tc>
        <w:tc>
          <w:tcPr>
            <w:tcW w:w="1213" w:type="pct"/>
            <w:noWrap/>
            <w:hideMark/>
          </w:tcPr>
          <w:p w14:paraId="7FE594CD" w14:textId="77777777" w:rsidR="00E9551A" w:rsidRPr="00092A6D" w:rsidRDefault="00E9551A" w:rsidP="00E029DF">
            <w:pPr>
              <w:jc w:val="center"/>
              <w:rPr>
                <w:noProof/>
                <w:sz w:val="20"/>
                <w:szCs w:val="20"/>
              </w:rPr>
            </w:pPr>
            <w:r w:rsidRPr="00092A6D">
              <w:rPr>
                <w:noProof/>
                <w:sz w:val="20"/>
                <w:szCs w:val="20"/>
              </w:rPr>
              <w:t>-9.2%</w:t>
            </w:r>
          </w:p>
        </w:tc>
      </w:tr>
    </w:tbl>
    <w:p w14:paraId="35F71973" w14:textId="418E5C45" w:rsidR="000E51B7" w:rsidRPr="00B8594E" w:rsidRDefault="000E51B7" w:rsidP="000E51B7">
      <w:pPr>
        <w:spacing w:after="240"/>
        <w:jc w:val="both"/>
        <w:rPr>
          <w:i/>
          <w:iCs/>
          <w:noProof/>
          <w:spacing w:val="-8"/>
          <w:sz w:val="20"/>
          <w:szCs w:val="20"/>
        </w:rPr>
      </w:pPr>
      <w:r w:rsidRPr="00B8594E">
        <w:rPr>
          <w:i/>
          <w:iCs/>
          <w:noProof/>
          <w:spacing w:val="-8"/>
          <w:sz w:val="20"/>
          <w:szCs w:val="20"/>
        </w:rPr>
        <w:t xml:space="preserve">Source: </w:t>
      </w:r>
      <w:r w:rsidRPr="00B8594E">
        <w:rPr>
          <w:i/>
          <w:iCs/>
          <w:noProof/>
          <w:sz w:val="20"/>
          <w:szCs w:val="20"/>
        </w:rPr>
        <w:t>Ricardo et al. (2026), Impact assessment support study</w:t>
      </w:r>
    </w:p>
    <w:p w14:paraId="20F2875B" w14:textId="72096001" w:rsidR="00470898" w:rsidRDefault="00470898" w:rsidP="007B2D8E">
      <w:pPr>
        <w:pStyle w:val="ListParagraph"/>
        <w:numPr>
          <w:ilvl w:val="3"/>
          <w:numId w:val="10"/>
        </w:numPr>
        <w:spacing w:after="240"/>
        <w:ind w:left="1276" w:hanging="851"/>
        <w:jc w:val="both"/>
        <w:rPr>
          <w:noProof/>
          <w:sz w:val="24"/>
          <w:szCs w:val="24"/>
        </w:rPr>
      </w:pPr>
      <w:r w:rsidRPr="006A6B7E">
        <w:rPr>
          <w:noProof/>
          <w:sz w:val="24"/>
          <w:szCs w:val="24"/>
        </w:rPr>
        <w:t>Scoring logic in the MPA module</w:t>
      </w:r>
    </w:p>
    <w:p w14:paraId="577C2B88" w14:textId="77777777" w:rsidR="00795403" w:rsidRPr="0078515C" w:rsidRDefault="00795403" w:rsidP="00956215">
      <w:pPr>
        <w:spacing w:after="240"/>
        <w:jc w:val="both"/>
        <w:rPr>
          <w:noProof/>
          <w:spacing w:val="-8"/>
        </w:rPr>
      </w:pPr>
      <w:r w:rsidRPr="0078515C">
        <w:rPr>
          <w:noProof/>
          <w:spacing w:val="-8"/>
        </w:rPr>
        <w:t>As explained above, the effect of the policy measures included in each policy option are scored on a set of identified qualitative parameters (QPs), which are weighted in terms of their contribution, to estimate the progress towards the maximum potential modal shift and maximum potential journey time reduction. This section describes how these qualitative scores were allocated to each of the factors (i.e. the completeness and accuracy of service information (QP1), and the ability to book service offerings (QP2)).</w:t>
      </w:r>
    </w:p>
    <w:p w14:paraId="519EF18C" w14:textId="77777777" w:rsidR="00795403" w:rsidRPr="0078515C" w:rsidRDefault="00795403" w:rsidP="00956215">
      <w:pPr>
        <w:spacing w:after="240"/>
        <w:jc w:val="both"/>
        <w:rPr>
          <w:noProof/>
          <w:spacing w:val="-8"/>
        </w:rPr>
      </w:pPr>
      <w:r w:rsidRPr="0078515C">
        <w:rPr>
          <w:noProof/>
          <w:spacing w:val="-8"/>
        </w:rPr>
        <w:t xml:space="preserve">The approach relies on expert judgement, building on insights gained from stakeholders’ consultation. A score is defined for each qualitative parameter (QP) and each policy measure (PM) on a scale from -5 to +5. Positive scores represent improvements in the qualitative parameters relative to the baseline and negative scores deteriorations in the qualitative parameters relative to the baseline. </w:t>
      </w:r>
    </w:p>
    <w:p w14:paraId="2567075E" w14:textId="77777777" w:rsidR="00795403" w:rsidRPr="0078515C" w:rsidRDefault="00795403" w:rsidP="00956215">
      <w:pPr>
        <w:spacing w:after="240"/>
        <w:jc w:val="both"/>
        <w:rPr>
          <w:noProof/>
          <w:spacing w:val="-8"/>
        </w:rPr>
      </w:pPr>
      <w:r w:rsidRPr="0078515C">
        <w:rPr>
          <w:noProof/>
          <w:spacing w:val="-8"/>
        </w:rPr>
        <w:t xml:space="preserve">One category among each clustering criterion is identified as having the highest impact (e.g. “National” within criterion ‘journey type’). The cluster with all three of the highest impact criteria would be assigned the maximum score within the range (e.g. cluster A: National, Both attractive, Leader), and the minimum score would be assigned to the cluster with all of the lowest impact criteria (e.g. cluster J: International, Both moderately attractive, Both Planned adopters/followers). The resulting output is a score for each policy measure for each qualitative parameter and cluster combination. These are further used to derive the scoring for each option. </w:t>
      </w:r>
    </w:p>
    <w:p w14:paraId="3A3A0F56" w14:textId="77777777" w:rsidR="00795403" w:rsidRPr="0078515C" w:rsidRDefault="00795403" w:rsidP="00956215">
      <w:pPr>
        <w:spacing w:after="120"/>
        <w:jc w:val="both"/>
        <w:rPr>
          <w:noProof/>
          <w:spacing w:val="-8"/>
        </w:rPr>
      </w:pPr>
      <w:r w:rsidRPr="0078515C">
        <w:rPr>
          <w:noProof/>
          <w:spacing w:val="-8"/>
        </w:rPr>
        <w:t>These scores are summarised in the table below, together with the logic for the chosen scores. PM1 to PM8 are assessed independently. On the other hand, PM9 to PM15 are grouped by policy option, because of the links between the policy measures including the definition of the specific obligations and the policy measures defining the stakeholder groups that are being obligated:</w:t>
      </w:r>
    </w:p>
    <w:p w14:paraId="606B25E4" w14:textId="77777777" w:rsidR="00795403" w:rsidRPr="0078515C" w:rsidRDefault="00795403" w:rsidP="001979E4">
      <w:pPr>
        <w:pStyle w:val="ListParagraph"/>
        <w:widowControl/>
        <w:numPr>
          <w:ilvl w:val="0"/>
          <w:numId w:val="28"/>
        </w:numPr>
        <w:autoSpaceDE/>
        <w:autoSpaceDN/>
        <w:spacing w:before="0" w:after="240"/>
        <w:ind w:left="284" w:hanging="284"/>
        <w:contextualSpacing/>
        <w:jc w:val="both"/>
        <w:rPr>
          <w:noProof/>
          <w:spacing w:val="-8"/>
          <w:sz w:val="24"/>
          <w:szCs w:val="24"/>
        </w:rPr>
      </w:pPr>
      <w:r w:rsidRPr="0078515C">
        <w:rPr>
          <w:noProof/>
          <w:spacing w:val="-8"/>
          <w:sz w:val="24"/>
          <w:szCs w:val="24"/>
        </w:rPr>
        <w:t>Grouping 1 corresponds to the measures PM9, PM10, PM11, PM12 included in PO1;</w:t>
      </w:r>
    </w:p>
    <w:p w14:paraId="099978E5" w14:textId="77777777" w:rsidR="00795403" w:rsidRPr="0078515C" w:rsidRDefault="00795403" w:rsidP="001979E4">
      <w:pPr>
        <w:pStyle w:val="ListParagraph"/>
        <w:widowControl/>
        <w:numPr>
          <w:ilvl w:val="0"/>
          <w:numId w:val="28"/>
        </w:numPr>
        <w:autoSpaceDE/>
        <w:autoSpaceDN/>
        <w:spacing w:before="0" w:after="240"/>
        <w:ind w:left="284" w:hanging="284"/>
        <w:contextualSpacing/>
        <w:jc w:val="both"/>
        <w:rPr>
          <w:noProof/>
          <w:spacing w:val="-8"/>
          <w:sz w:val="24"/>
          <w:szCs w:val="24"/>
        </w:rPr>
      </w:pPr>
      <w:r w:rsidRPr="0078515C">
        <w:rPr>
          <w:noProof/>
          <w:spacing w:val="-8"/>
          <w:sz w:val="24"/>
          <w:szCs w:val="24"/>
        </w:rPr>
        <w:t>Grouping 2 corresponds to measures PM9, PM10, PM11, PM12 and PM13 included in PO2;</w:t>
      </w:r>
    </w:p>
    <w:p w14:paraId="5FBF8D3B" w14:textId="77777777" w:rsidR="00795403" w:rsidRPr="0078515C" w:rsidRDefault="00795403" w:rsidP="001979E4">
      <w:pPr>
        <w:pStyle w:val="ListParagraph"/>
        <w:widowControl/>
        <w:numPr>
          <w:ilvl w:val="0"/>
          <w:numId w:val="28"/>
        </w:numPr>
        <w:autoSpaceDE/>
        <w:autoSpaceDN/>
        <w:spacing w:before="0" w:after="240"/>
        <w:ind w:left="284" w:hanging="284"/>
        <w:contextualSpacing/>
        <w:jc w:val="both"/>
        <w:rPr>
          <w:noProof/>
          <w:spacing w:val="-8"/>
          <w:sz w:val="24"/>
          <w:szCs w:val="24"/>
        </w:rPr>
      </w:pPr>
      <w:r w:rsidRPr="0078515C">
        <w:rPr>
          <w:noProof/>
          <w:spacing w:val="-8"/>
          <w:sz w:val="24"/>
          <w:szCs w:val="24"/>
        </w:rPr>
        <w:t>Grouping 3 corresponds to measures PM9, PM10, PM11, PM12, PM13 and PM14 included in PO3;</w:t>
      </w:r>
    </w:p>
    <w:p w14:paraId="5299F86F" w14:textId="77777777" w:rsidR="00795403" w:rsidRPr="0078515C" w:rsidRDefault="00795403" w:rsidP="001979E4">
      <w:pPr>
        <w:pStyle w:val="ListParagraph"/>
        <w:widowControl/>
        <w:numPr>
          <w:ilvl w:val="0"/>
          <w:numId w:val="28"/>
        </w:numPr>
        <w:autoSpaceDE/>
        <w:autoSpaceDN/>
        <w:spacing w:before="0" w:after="240"/>
        <w:ind w:left="284" w:hanging="284"/>
        <w:contextualSpacing/>
        <w:jc w:val="both"/>
        <w:rPr>
          <w:noProof/>
          <w:spacing w:val="-8"/>
          <w:sz w:val="24"/>
          <w:szCs w:val="24"/>
        </w:rPr>
      </w:pPr>
      <w:r w:rsidRPr="0078515C">
        <w:rPr>
          <w:noProof/>
          <w:spacing w:val="-8"/>
          <w:sz w:val="24"/>
          <w:szCs w:val="24"/>
        </w:rPr>
        <w:t>Grouping 4 corresponds to measures PM9, PM10, PM11, PM12, PM13 and PM15 included in PO3.</w:t>
      </w:r>
    </w:p>
    <w:p w14:paraId="7A80EDD6" w14:textId="77777777" w:rsidR="00153554" w:rsidRDefault="00153554" w:rsidP="00795403">
      <w:pPr>
        <w:spacing w:after="240"/>
        <w:jc w:val="both"/>
        <w:rPr>
          <w:noProof/>
        </w:rPr>
        <w:sectPr w:rsidR="00153554" w:rsidSect="007A35CC">
          <w:headerReference w:type="default" r:id="rId45"/>
          <w:footerReference w:type="default" r:id="rId46"/>
          <w:pgSz w:w="11910" w:h="16840"/>
          <w:pgMar w:top="1021" w:right="709" w:bottom="1021" w:left="1588" w:header="0" w:footer="1147" w:gutter="0"/>
          <w:cols w:space="720"/>
        </w:sectPr>
      </w:pPr>
    </w:p>
    <w:p w14:paraId="682F5631" w14:textId="4C97987E" w:rsidR="00461EFE" w:rsidRPr="002C4B97" w:rsidRDefault="00461EFE" w:rsidP="00461EFE">
      <w:pPr>
        <w:tabs>
          <w:tab w:val="left" w:pos="1134"/>
        </w:tabs>
        <w:rPr>
          <w:i/>
          <w:noProof/>
          <w:sz w:val="22"/>
          <w:szCs w:val="22"/>
        </w:rPr>
      </w:pPr>
      <w:r w:rsidRPr="002C4B97">
        <w:rPr>
          <w:i/>
          <w:noProof/>
          <w:sz w:val="22"/>
          <w:szCs w:val="22"/>
        </w:rPr>
        <w:t xml:space="preserve">Table </w:t>
      </w:r>
      <w:r w:rsidRPr="002C4B97">
        <w:rPr>
          <w:i/>
          <w:noProof/>
          <w:sz w:val="22"/>
          <w:szCs w:val="22"/>
        </w:rPr>
        <w:fldChar w:fldCharType="begin"/>
      </w:r>
      <w:r w:rsidRPr="002C4B97">
        <w:rPr>
          <w:i/>
          <w:noProof/>
          <w:sz w:val="22"/>
          <w:szCs w:val="22"/>
        </w:rPr>
        <w:instrText xml:space="preserve"> SEQ Table \* ARABIC </w:instrText>
      </w:r>
      <w:r w:rsidRPr="002C4B97">
        <w:rPr>
          <w:i/>
          <w:noProof/>
          <w:sz w:val="22"/>
          <w:szCs w:val="22"/>
        </w:rPr>
        <w:fldChar w:fldCharType="separate"/>
      </w:r>
      <w:r w:rsidR="0055391F">
        <w:rPr>
          <w:i/>
          <w:noProof/>
          <w:sz w:val="22"/>
          <w:szCs w:val="22"/>
        </w:rPr>
        <w:t>46</w:t>
      </w:r>
      <w:r w:rsidRPr="002C4B97">
        <w:rPr>
          <w:i/>
          <w:noProof/>
          <w:sz w:val="22"/>
          <w:szCs w:val="22"/>
        </w:rPr>
        <w:fldChar w:fldCharType="end"/>
      </w:r>
      <w:r w:rsidRPr="002C4B97">
        <w:rPr>
          <w:i/>
          <w:noProof/>
          <w:sz w:val="22"/>
          <w:szCs w:val="22"/>
        </w:rPr>
        <w:t xml:space="preserve">: </w:t>
      </w:r>
      <w:r w:rsidR="00E25CB9" w:rsidRPr="002C4B97">
        <w:rPr>
          <w:i/>
          <w:noProof/>
          <w:sz w:val="22"/>
          <w:szCs w:val="22"/>
        </w:rPr>
        <w:t>Scoring by policy measure and qualitative parameter</w:t>
      </w:r>
    </w:p>
    <w:tbl>
      <w:tblPr>
        <w:tblW w:w="13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384"/>
        <w:gridCol w:w="2552"/>
        <w:gridCol w:w="9956"/>
      </w:tblGrid>
      <w:tr w:rsidR="00A76542" w:rsidRPr="00044387" w14:paraId="08C00FC1" w14:textId="77777777">
        <w:trPr>
          <w:trHeight w:val="300"/>
          <w:tblHeader/>
        </w:trPr>
        <w:tc>
          <w:tcPr>
            <w:tcW w:w="1384" w:type="dxa"/>
            <w:shd w:val="clear" w:color="auto" w:fill="0070C0"/>
          </w:tcPr>
          <w:p w14:paraId="51B0AB4E" w14:textId="77777777" w:rsidR="00A76542" w:rsidRPr="00044387" w:rsidRDefault="00A76542">
            <w:pPr>
              <w:spacing w:after="120"/>
              <w:rPr>
                <w:b/>
                <w:bCs/>
                <w:noProof/>
                <w:color w:val="FFFFFF" w:themeColor="background1"/>
                <w:sz w:val="20"/>
                <w:szCs w:val="20"/>
              </w:rPr>
            </w:pPr>
            <w:r w:rsidRPr="00044387">
              <w:rPr>
                <w:b/>
                <w:bCs/>
                <w:noProof/>
                <w:color w:val="FFFFFF" w:themeColor="background1"/>
                <w:sz w:val="20"/>
                <w:szCs w:val="20"/>
              </w:rPr>
              <w:t>No</w:t>
            </w:r>
          </w:p>
        </w:tc>
        <w:tc>
          <w:tcPr>
            <w:tcW w:w="2552" w:type="dxa"/>
            <w:shd w:val="clear" w:color="auto" w:fill="0070C0"/>
          </w:tcPr>
          <w:p w14:paraId="01A8A402" w14:textId="77777777" w:rsidR="00A76542" w:rsidRPr="00044387" w:rsidRDefault="00A76542">
            <w:pPr>
              <w:spacing w:after="120"/>
              <w:rPr>
                <w:b/>
                <w:bCs/>
                <w:noProof/>
                <w:color w:val="FFFFFF" w:themeColor="background1"/>
                <w:sz w:val="20"/>
                <w:szCs w:val="20"/>
              </w:rPr>
            </w:pPr>
            <w:r w:rsidRPr="00044387">
              <w:rPr>
                <w:b/>
                <w:bCs/>
                <w:noProof/>
                <w:color w:val="FFFFFF" w:themeColor="background1"/>
                <w:sz w:val="20"/>
                <w:szCs w:val="20"/>
              </w:rPr>
              <w:t>Policy measure</w:t>
            </w:r>
          </w:p>
        </w:tc>
        <w:tc>
          <w:tcPr>
            <w:tcW w:w="9956" w:type="dxa"/>
            <w:shd w:val="clear" w:color="auto" w:fill="0070C0"/>
          </w:tcPr>
          <w:p w14:paraId="3DA89DF2" w14:textId="2E03D6BE" w:rsidR="00A76542" w:rsidRPr="00044387" w:rsidRDefault="00A76542">
            <w:pPr>
              <w:spacing w:after="120"/>
              <w:rPr>
                <w:b/>
                <w:bCs/>
                <w:noProof/>
                <w:color w:val="FFFFFF" w:themeColor="background1"/>
                <w:sz w:val="20"/>
                <w:szCs w:val="20"/>
              </w:rPr>
            </w:pPr>
            <w:r w:rsidRPr="00044387">
              <w:rPr>
                <w:b/>
                <w:bCs/>
                <w:noProof/>
                <w:color w:val="FFFFFF" w:themeColor="background1"/>
                <w:sz w:val="20"/>
                <w:szCs w:val="20"/>
              </w:rPr>
              <w:t xml:space="preserve">Logic for impact on </w:t>
            </w:r>
            <w:r w:rsidR="001816F3">
              <w:rPr>
                <w:b/>
                <w:bCs/>
                <w:noProof/>
                <w:color w:val="FFFFFF" w:themeColor="background1"/>
                <w:sz w:val="20"/>
                <w:szCs w:val="20"/>
              </w:rPr>
              <w:t>qualitative parameters (</w:t>
            </w:r>
            <w:r w:rsidRPr="00044387">
              <w:rPr>
                <w:b/>
                <w:bCs/>
                <w:noProof/>
                <w:color w:val="FFFFFF" w:themeColor="background1"/>
                <w:sz w:val="20"/>
                <w:szCs w:val="20"/>
              </w:rPr>
              <w:t>QPs</w:t>
            </w:r>
            <w:r w:rsidR="001816F3">
              <w:rPr>
                <w:b/>
                <w:bCs/>
                <w:noProof/>
                <w:color w:val="FFFFFF" w:themeColor="background1"/>
                <w:sz w:val="20"/>
                <w:szCs w:val="20"/>
              </w:rPr>
              <w:t>)</w:t>
            </w:r>
          </w:p>
        </w:tc>
      </w:tr>
      <w:tr w:rsidR="00A76542" w:rsidRPr="00044387" w14:paraId="766A4295" w14:textId="77777777">
        <w:trPr>
          <w:trHeight w:val="300"/>
        </w:trPr>
        <w:tc>
          <w:tcPr>
            <w:tcW w:w="1384" w:type="dxa"/>
          </w:tcPr>
          <w:p w14:paraId="4B291EF4" w14:textId="77777777" w:rsidR="00A76542" w:rsidRPr="00044387" w:rsidRDefault="00A76542">
            <w:pPr>
              <w:spacing w:after="120"/>
              <w:rPr>
                <w:noProof/>
                <w:sz w:val="20"/>
                <w:szCs w:val="20"/>
              </w:rPr>
            </w:pPr>
            <w:r w:rsidRPr="00044387">
              <w:rPr>
                <w:noProof/>
                <w:sz w:val="20"/>
                <w:szCs w:val="20"/>
              </w:rPr>
              <w:t>PM1</w:t>
            </w:r>
          </w:p>
        </w:tc>
        <w:tc>
          <w:tcPr>
            <w:tcW w:w="2552" w:type="dxa"/>
          </w:tcPr>
          <w:p w14:paraId="03954731" w14:textId="77777777" w:rsidR="00A76542" w:rsidRPr="00044387" w:rsidRDefault="00A76542">
            <w:pPr>
              <w:spacing w:after="120"/>
              <w:jc w:val="both"/>
              <w:rPr>
                <w:noProof/>
                <w:sz w:val="20"/>
                <w:szCs w:val="20"/>
              </w:rPr>
            </w:pPr>
            <w:r w:rsidRPr="00044387">
              <w:rPr>
                <w:noProof/>
                <w:sz w:val="20"/>
                <w:szCs w:val="20"/>
              </w:rPr>
              <w:t>Obligation for all MDMS platforms to apply neutral display obligations and for transport operators (in all modes) to ensure that the data they submit are accurate</w:t>
            </w:r>
          </w:p>
        </w:tc>
        <w:tc>
          <w:tcPr>
            <w:tcW w:w="9956" w:type="dxa"/>
          </w:tcPr>
          <w:p w14:paraId="10D8E065" w14:textId="77777777" w:rsidR="00A76542" w:rsidRPr="00044387" w:rsidRDefault="00A76542">
            <w:pPr>
              <w:spacing w:after="120"/>
              <w:jc w:val="both"/>
              <w:rPr>
                <w:b/>
                <w:bCs/>
                <w:noProof/>
                <w:color w:val="00B0F0"/>
                <w:sz w:val="20"/>
                <w:szCs w:val="20"/>
              </w:rPr>
            </w:pPr>
            <w:r w:rsidRPr="00044387">
              <w:rPr>
                <w:b/>
                <w:bCs/>
                <w:noProof/>
                <w:color w:val="00B0F0"/>
                <w:sz w:val="20"/>
                <w:szCs w:val="20"/>
              </w:rPr>
              <w:t>QP1: Completeness and accuracy of info</w:t>
            </w:r>
          </w:p>
          <w:p w14:paraId="7C9270A5" w14:textId="77777777" w:rsidR="00A76542" w:rsidRPr="00044387" w:rsidRDefault="00A76542">
            <w:pPr>
              <w:spacing w:after="120"/>
              <w:jc w:val="both"/>
              <w:rPr>
                <w:noProof/>
                <w:sz w:val="20"/>
                <w:szCs w:val="20"/>
              </w:rPr>
            </w:pPr>
            <w:r w:rsidRPr="00044387">
              <w:rPr>
                <w:noProof/>
                <w:sz w:val="20"/>
                <w:szCs w:val="20"/>
              </w:rPr>
              <w:t>Direction of impact expected to be neutral or positive: Neutral display obligations would ensure that any operators listed on MDMS would be shown to consumers in a neutral and unbiased way. This is seen as particularly important for indispensable RU platforms and tend to favour high-volume operators, who have greater incentives to display their</w:t>
            </w:r>
            <w:r w:rsidRPr="00044387" w:rsidDel="00F2330C">
              <w:rPr>
                <w:noProof/>
                <w:sz w:val="20"/>
                <w:szCs w:val="20"/>
              </w:rPr>
              <w:t xml:space="preserve"> </w:t>
            </w:r>
            <w:r w:rsidRPr="00044387">
              <w:rPr>
                <w:noProof/>
                <w:sz w:val="20"/>
                <w:szCs w:val="20"/>
              </w:rPr>
              <w:t xml:space="preserve">own services, but it will also have impacts on the third-party platforms who are not currently obligated to display options neutrally. The experience from introducing the CRS Code of Conduct was highly positive: travel agents and consumers gained access to a more comprehensive and unbiased view of available flights across multiple airlines, not just those of the airline affiliated with the CRS. This increased transparency and neutrality made it easier to compare options effectively based on established ranking criteria. If one operator were preferentially displayed over another on B2B platforms, it may prevent the travel agent to choose the travel option which is the best according to the criteria requested by the consumer as it can believe another operator may not provide services on the route. Likewise, on B2C platforms the consumer may not be able to see an operator’s service best suited to their direct request. </w:t>
            </w:r>
          </w:p>
          <w:p w14:paraId="0F620CDD" w14:textId="77777777" w:rsidR="00A76542" w:rsidRPr="003A7C58" w:rsidRDefault="00A76542">
            <w:pPr>
              <w:spacing w:after="120"/>
              <w:jc w:val="both"/>
              <w:rPr>
                <w:noProof/>
                <w:sz w:val="20"/>
                <w:szCs w:val="20"/>
                <w:u w:val="single"/>
              </w:rPr>
            </w:pPr>
            <w:r w:rsidRPr="003A7C58">
              <w:rPr>
                <w:noProof/>
                <w:sz w:val="20"/>
                <w:szCs w:val="20"/>
                <w:u w:val="single"/>
              </w:rPr>
              <w:t xml:space="preserve">Impact scores could range from +1 to +2: </w:t>
            </w:r>
          </w:p>
          <w:p w14:paraId="3F942E5C" w14:textId="77777777" w:rsidR="00A76542" w:rsidRPr="00044387" w:rsidRDefault="00A76542">
            <w:pPr>
              <w:spacing w:after="120"/>
              <w:jc w:val="both"/>
              <w:rPr>
                <w:noProof/>
                <w:sz w:val="20"/>
                <w:szCs w:val="20"/>
              </w:rPr>
            </w:pPr>
            <w:r w:rsidRPr="005D0A0F">
              <w:rPr>
                <w:b/>
                <w:bCs/>
                <w:noProof/>
                <w:sz w:val="20"/>
                <w:szCs w:val="20"/>
              </w:rPr>
              <w:t>Journey type:</w:t>
            </w:r>
            <w:r w:rsidRPr="00044387">
              <w:rPr>
                <w:noProof/>
                <w:sz w:val="20"/>
                <w:szCs w:val="20"/>
              </w:rPr>
              <w:t xml:space="preserve"> evidence of self-preferencing originates mostly from countries with large dominant RUs - transport operators have cited the example of DB in Germany acting as the dominant MDMS platform and limiting Flixtrain ticket display - suggesting that National routes may experience greater impacts from neutral display obligations. International routes are served both by third-party, country-agnostic platforms and nationally focused platforms such as SNCF Connect and DB Navigator. There is still the potential, in the absence of regulation, for third-party platforms to perform paid prominence but this biased ranking needs to be clearly indicated to end-users.  </w:t>
            </w:r>
          </w:p>
          <w:p w14:paraId="32C3627A" w14:textId="77777777" w:rsidR="00A76542" w:rsidRPr="00044387" w:rsidRDefault="00A76542">
            <w:pPr>
              <w:spacing w:after="120"/>
              <w:jc w:val="both"/>
              <w:rPr>
                <w:noProof/>
                <w:sz w:val="20"/>
                <w:szCs w:val="20"/>
              </w:rPr>
            </w:pPr>
            <w:r w:rsidRPr="005D0A0F">
              <w:rPr>
                <w:b/>
                <w:bCs/>
                <w:noProof/>
                <w:sz w:val="20"/>
                <w:szCs w:val="20"/>
              </w:rPr>
              <w:t>Attractiveness:</w:t>
            </w:r>
            <w:r w:rsidRPr="00044387">
              <w:rPr>
                <w:noProof/>
                <w:sz w:val="20"/>
                <w:szCs w:val="20"/>
              </w:rPr>
              <w:t xml:space="preserve"> Impacts are expected to be largest where there are more alternative operators that are not being displayed fairly, which is more likely on high traffic routes (Both attractive). Most of the OD routes within the relevant clusters are accessible by more than one mode (typically bus and rail), meaning that impacts would be non-zero even on routes that are Less attractive. </w:t>
            </w:r>
          </w:p>
          <w:p w14:paraId="0CA5C11C" w14:textId="77777777" w:rsidR="00A76542" w:rsidRPr="00044387" w:rsidRDefault="00A76542">
            <w:pPr>
              <w:spacing w:after="120"/>
              <w:jc w:val="both"/>
              <w:rPr>
                <w:noProof/>
                <w:sz w:val="20"/>
                <w:szCs w:val="20"/>
              </w:rPr>
            </w:pPr>
            <w:r w:rsidRPr="005D0A0F">
              <w:rPr>
                <w:b/>
                <w:bCs/>
                <w:noProof/>
                <w:sz w:val="20"/>
                <w:szCs w:val="20"/>
              </w:rPr>
              <w:t>MDMS advancement:</w:t>
            </w:r>
            <w:r w:rsidRPr="00044387">
              <w:rPr>
                <w:noProof/>
                <w:sz w:val="20"/>
                <w:szCs w:val="20"/>
              </w:rPr>
              <w:t xml:space="preserve"> Impacts are expected to be largest where there is greatest scope for preferential treatment on MDMS platforms, in particular for indispensable RU platforms (one industry association and 3 transport operators, noted that transport operator-owned MDMS platforms often serve as a national mobility platform which disadvantages new market entrants). It is therefore expected to observe a greater impact on Leader Member State, where more MDMS platforms are developed and the platforms’ user base is higher than the EU average.  Impacts would be smaller where Member States have no rail indispensable platform or fewer or no MDMS platforms (Planned Adopter/Follower).</w:t>
            </w:r>
          </w:p>
          <w:p w14:paraId="4DEDFA08" w14:textId="77777777" w:rsidR="00A76542" w:rsidRPr="00044387" w:rsidRDefault="00A76542">
            <w:pPr>
              <w:spacing w:after="120"/>
              <w:jc w:val="both"/>
              <w:rPr>
                <w:noProof/>
                <w:sz w:val="20"/>
                <w:szCs w:val="20"/>
              </w:rPr>
            </w:pPr>
            <w:r w:rsidRPr="005D0A0F">
              <w:rPr>
                <w:b/>
                <w:bCs/>
                <w:noProof/>
                <w:sz w:val="20"/>
                <w:szCs w:val="20"/>
              </w:rPr>
              <w:t>Overall assessment:</w:t>
            </w:r>
            <w:r w:rsidRPr="00044387">
              <w:rPr>
                <w:noProof/>
                <w:sz w:val="20"/>
                <w:szCs w:val="20"/>
              </w:rPr>
              <w:t xml:space="preserve"> The maximum positive impact is capped at +2 because this only improves the ability of a consumer to fairly compare transport options, rather than encouraging more options to be displayed on platforms. The minimum impact is assessed at +1 because long, complex routes which are only possible to be performed by air would still be covered by B2B MDMS, including those who are not CRS’s, and would fall under neutral display obligations when the Regulation is in place. </w:t>
            </w:r>
          </w:p>
          <w:p w14:paraId="3D9DDAD9" w14:textId="77777777" w:rsidR="00A76542" w:rsidRPr="00044387" w:rsidRDefault="00A76542">
            <w:pPr>
              <w:spacing w:after="120"/>
              <w:jc w:val="both"/>
              <w:rPr>
                <w:b/>
                <w:bCs/>
                <w:noProof/>
                <w:color w:val="00B0F0"/>
                <w:sz w:val="20"/>
                <w:szCs w:val="20"/>
              </w:rPr>
            </w:pPr>
            <w:r w:rsidRPr="00044387">
              <w:rPr>
                <w:b/>
                <w:bCs/>
                <w:noProof/>
                <w:color w:val="00B0F0"/>
                <w:sz w:val="20"/>
                <w:szCs w:val="20"/>
              </w:rPr>
              <w:t>QP2: Ability to book</w:t>
            </w:r>
          </w:p>
          <w:p w14:paraId="6BE19DC8" w14:textId="77777777" w:rsidR="00A76542" w:rsidRPr="00044387" w:rsidRDefault="00A76542">
            <w:pPr>
              <w:spacing w:after="120"/>
              <w:jc w:val="both"/>
              <w:rPr>
                <w:noProof/>
                <w:sz w:val="20"/>
                <w:szCs w:val="20"/>
              </w:rPr>
            </w:pPr>
            <w:r w:rsidRPr="00044387">
              <w:rPr>
                <w:noProof/>
                <w:sz w:val="20"/>
                <w:szCs w:val="20"/>
              </w:rPr>
              <w:t xml:space="preserve">Direction of impact expected to be positive: </w:t>
            </w:r>
          </w:p>
          <w:p w14:paraId="496EF186" w14:textId="77777777" w:rsidR="00A76542" w:rsidRPr="00044387" w:rsidRDefault="00A76542">
            <w:pPr>
              <w:spacing w:after="120"/>
              <w:jc w:val="both"/>
              <w:rPr>
                <w:noProof/>
                <w:sz w:val="20"/>
                <w:szCs w:val="20"/>
              </w:rPr>
            </w:pPr>
            <w:r w:rsidRPr="00044387">
              <w:rPr>
                <w:noProof/>
                <w:sz w:val="20"/>
                <w:szCs w:val="20"/>
              </w:rPr>
              <w:t xml:space="preserve">In the baseline there is evidence of preferential treatment by MDMS and indispensable railway undertaking platforms when choosing what information will be shared or promoted at different ticket distribution platforms (see Problem Definition section). A limited level of progress in preferential treatment is expected going forward (see Baseline section). </w:t>
            </w:r>
          </w:p>
          <w:p w14:paraId="403482DD" w14:textId="77777777" w:rsidR="00A76542" w:rsidRPr="00044387" w:rsidRDefault="00A76542">
            <w:pPr>
              <w:spacing w:after="120"/>
              <w:jc w:val="both"/>
              <w:rPr>
                <w:noProof/>
                <w:sz w:val="20"/>
                <w:szCs w:val="20"/>
              </w:rPr>
            </w:pPr>
            <w:r w:rsidRPr="00044387">
              <w:rPr>
                <w:noProof/>
                <w:sz w:val="20"/>
                <w:szCs w:val="20"/>
              </w:rPr>
              <w:t>This PM could make it easier to see offerings of operators that are not affiliated with the MDMS platform</w:t>
            </w:r>
            <w:r w:rsidRPr="00044387" w:rsidDel="00F2330C">
              <w:rPr>
                <w:noProof/>
                <w:sz w:val="20"/>
                <w:szCs w:val="20"/>
              </w:rPr>
              <w:t xml:space="preserve"> </w:t>
            </w:r>
            <w:r w:rsidRPr="00044387">
              <w:rPr>
                <w:noProof/>
                <w:sz w:val="20"/>
                <w:szCs w:val="20"/>
              </w:rPr>
              <w:t xml:space="preserve">and therefore do not experience preferential treatment, making it easier for passengers to book those offerings. </w:t>
            </w:r>
          </w:p>
          <w:p w14:paraId="398D2251" w14:textId="77777777" w:rsidR="00A76542" w:rsidRPr="00F4747C" w:rsidRDefault="00A76542">
            <w:pPr>
              <w:spacing w:after="120"/>
              <w:jc w:val="both"/>
              <w:rPr>
                <w:noProof/>
                <w:sz w:val="20"/>
                <w:szCs w:val="20"/>
                <w:u w:val="single"/>
              </w:rPr>
            </w:pPr>
            <w:r w:rsidRPr="00F4747C">
              <w:rPr>
                <w:noProof/>
                <w:sz w:val="20"/>
                <w:szCs w:val="20"/>
                <w:u w:val="single"/>
              </w:rPr>
              <w:t xml:space="preserve">Impact scores could range from 0 and +1: </w:t>
            </w:r>
            <w:r w:rsidRPr="00123A36">
              <w:rPr>
                <w:noProof/>
                <w:sz w:val="20"/>
                <w:szCs w:val="20"/>
              </w:rPr>
              <w:t>differentiation by cluster is considered consistent with QP1.</w:t>
            </w:r>
          </w:p>
        </w:tc>
      </w:tr>
      <w:tr w:rsidR="00A76542" w:rsidRPr="00044387" w14:paraId="67EE3782" w14:textId="77777777">
        <w:trPr>
          <w:trHeight w:val="300"/>
        </w:trPr>
        <w:tc>
          <w:tcPr>
            <w:tcW w:w="1384" w:type="dxa"/>
          </w:tcPr>
          <w:p w14:paraId="65894111" w14:textId="77777777" w:rsidR="00A76542" w:rsidRPr="00044387" w:rsidRDefault="00A76542">
            <w:pPr>
              <w:spacing w:after="120"/>
              <w:rPr>
                <w:noProof/>
                <w:sz w:val="20"/>
                <w:szCs w:val="20"/>
              </w:rPr>
            </w:pPr>
            <w:r w:rsidRPr="00044387">
              <w:rPr>
                <w:noProof/>
                <w:sz w:val="20"/>
                <w:szCs w:val="20"/>
              </w:rPr>
              <w:t>PM2</w:t>
            </w:r>
          </w:p>
        </w:tc>
        <w:tc>
          <w:tcPr>
            <w:tcW w:w="2552" w:type="dxa"/>
          </w:tcPr>
          <w:p w14:paraId="5D921B97" w14:textId="77777777" w:rsidR="00A76542" w:rsidRPr="00044387" w:rsidRDefault="00A76542">
            <w:pPr>
              <w:spacing w:after="120"/>
              <w:rPr>
                <w:noProof/>
                <w:sz w:val="20"/>
                <w:szCs w:val="20"/>
              </w:rPr>
            </w:pPr>
            <w:r w:rsidRPr="00044387">
              <w:rPr>
                <w:noProof/>
                <w:sz w:val="20"/>
                <w:szCs w:val="20"/>
              </w:rPr>
              <w:t>Obligation for all MDMS platforms to load and process data of operators with equal care and timeliness</w:t>
            </w:r>
          </w:p>
        </w:tc>
        <w:tc>
          <w:tcPr>
            <w:tcW w:w="9956" w:type="dxa"/>
          </w:tcPr>
          <w:p w14:paraId="493957B5" w14:textId="77777777" w:rsidR="00A76542" w:rsidRPr="00044387" w:rsidRDefault="00A76542">
            <w:pPr>
              <w:spacing w:after="120"/>
              <w:jc w:val="both"/>
              <w:rPr>
                <w:b/>
                <w:bCs/>
                <w:noProof/>
                <w:color w:val="00B0F0"/>
                <w:sz w:val="20"/>
                <w:szCs w:val="20"/>
              </w:rPr>
            </w:pPr>
            <w:r w:rsidRPr="00044387">
              <w:rPr>
                <w:b/>
                <w:bCs/>
                <w:noProof/>
                <w:color w:val="00B0F0"/>
                <w:sz w:val="20"/>
                <w:szCs w:val="20"/>
              </w:rPr>
              <w:t>QP1: Completeness and Accuracy of Info</w:t>
            </w:r>
          </w:p>
          <w:p w14:paraId="37E68B27" w14:textId="77777777" w:rsidR="00A76542" w:rsidRPr="00044387" w:rsidRDefault="00A76542">
            <w:pPr>
              <w:spacing w:after="120"/>
              <w:jc w:val="both"/>
              <w:rPr>
                <w:noProof/>
                <w:sz w:val="20"/>
                <w:szCs w:val="20"/>
              </w:rPr>
            </w:pPr>
            <w:r w:rsidRPr="00044387">
              <w:rPr>
                <w:noProof/>
                <w:sz w:val="20"/>
                <w:szCs w:val="20"/>
              </w:rPr>
              <w:t xml:space="preserve">Direction of impact expected to be neutral or slightly positive: While this measure promotes fairness in backend data handling (e.g., timelines and care in processing data from all operators), the improvement is not necessarily visible to users. Passengers are unlikely to perceive a major difference in the accuracy or completeness of travel options. However, there is a potential for this to improve real-time information availability for consumers where delays in process data could cause the availability of services from one operator not to be shown, or to be shown later compared to another operator. </w:t>
            </w:r>
          </w:p>
          <w:p w14:paraId="22752D30" w14:textId="77777777" w:rsidR="00A76542" w:rsidRPr="00123A36" w:rsidRDefault="00A76542">
            <w:pPr>
              <w:spacing w:after="120"/>
              <w:jc w:val="both"/>
              <w:rPr>
                <w:noProof/>
                <w:sz w:val="20"/>
                <w:szCs w:val="20"/>
              </w:rPr>
            </w:pPr>
            <w:r w:rsidRPr="00A6258C">
              <w:rPr>
                <w:noProof/>
                <w:sz w:val="20"/>
                <w:szCs w:val="20"/>
                <w:u w:val="single"/>
              </w:rPr>
              <w:t xml:space="preserve">Impact scores could range from 0 to +1: </w:t>
            </w:r>
            <w:r w:rsidRPr="00123A36">
              <w:rPr>
                <w:noProof/>
                <w:sz w:val="20"/>
                <w:szCs w:val="20"/>
              </w:rPr>
              <w:t>differentiation by cluster consistent with PM1, omitted for brevity.</w:t>
            </w:r>
          </w:p>
          <w:p w14:paraId="045351FF" w14:textId="77777777" w:rsidR="00A76542" w:rsidRPr="00044387" w:rsidRDefault="00A76542">
            <w:pPr>
              <w:spacing w:after="120"/>
              <w:jc w:val="both"/>
              <w:rPr>
                <w:b/>
                <w:bCs/>
                <w:noProof/>
                <w:color w:val="00B0F0"/>
                <w:sz w:val="20"/>
                <w:szCs w:val="20"/>
              </w:rPr>
            </w:pPr>
            <w:r w:rsidRPr="00044387">
              <w:rPr>
                <w:b/>
                <w:bCs/>
                <w:noProof/>
                <w:color w:val="00B0F0"/>
                <w:sz w:val="20"/>
                <w:szCs w:val="20"/>
              </w:rPr>
              <w:t>QP2: Ability to Book</w:t>
            </w:r>
          </w:p>
          <w:p w14:paraId="0B7D6906" w14:textId="77777777" w:rsidR="00A76542" w:rsidRPr="00044387" w:rsidRDefault="00A76542">
            <w:pPr>
              <w:spacing w:after="120"/>
              <w:jc w:val="both"/>
              <w:rPr>
                <w:noProof/>
                <w:sz w:val="20"/>
                <w:szCs w:val="20"/>
              </w:rPr>
            </w:pPr>
            <w:r w:rsidRPr="00044387">
              <w:rPr>
                <w:noProof/>
                <w:sz w:val="20"/>
                <w:szCs w:val="20"/>
              </w:rPr>
              <w:t xml:space="preserve">Direction of impact expected to be neutral or slightly positive: While this policy measure will avoid preferential treatment to legacy and/or incumbent transport operators by MDMS platforms in terms of equal care and timelines, it is not considered to have a significant impact on the ability for users to book transport tickets. It is possible that it could have a partial positive impact on alternative options being made visible earlier and more consistently, however, actual booking functionality may be constrained if the MDMS does not have booking agreements in place with all operators. </w:t>
            </w:r>
          </w:p>
          <w:p w14:paraId="6532C64C" w14:textId="77777777" w:rsidR="00A76542" w:rsidRPr="00406A9A" w:rsidRDefault="00A76542">
            <w:pPr>
              <w:spacing w:after="120"/>
              <w:jc w:val="both"/>
              <w:rPr>
                <w:noProof/>
                <w:sz w:val="20"/>
                <w:szCs w:val="20"/>
                <w:u w:val="single"/>
              </w:rPr>
            </w:pPr>
            <w:r w:rsidRPr="00406A9A">
              <w:rPr>
                <w:noProof/>
                <w:sz w:val="20"/>
                <w:szCs w:val="20"/>
                <w:u w:val="single"/>
              </w:rPr>
              <w:t xml:space="preserve">Impact scores could range from 0 to +1: </w:t>
            </w:r>
            <w:r w:rsidRPr="00123A36">
              <w:rPr>
                <w:noProof/>
                <w:sz w:val="20"/>
                <w:szCs w:val="20"/>
              </w:rPr>
              <w:t>differentiation by cluster consistent with PM1, omitted for brevity.</w:t>
            </w:r>
          </w:p>
        </w:tc>
      </w:tr>
      <w:tr w:rsidR="00A76542" w:rsidRPr="00044387" w14:paraId="7B0B1279" w14:textId="77777777">
        <w:trPr>
          <w:trHeight w:val="300"/>
        </w:trPr>
        <w:tc>
          <w:tcPr>
            <w:tcW w:w="1384" w:type="dxa"/>
          </w:tcPr>
          <w:p w14:paraId="38D477A1" w14:textId="77777777" w:rsidR="00A76542" w:rsidRPr="00044387" w:rsidRDefault="00A76542">
            <w:pPr>
              <w:spacing w:after="120"/>
              <w:rPr>
                <w:noProof/>
                <w:sz w:val="20"/>
                <w:szCs w:val="20"/>
              </w:rPr>
            </w:pPr>
            <w:r w:rsidRPr="00044387">
              <w:rPr>
                <w:noProof/>
                <w:sz w:val="20"/>
                <w:szCs w:val="20"/>
              </w:rPr>
              <w:t>PM3</w:t>
            </w:r>
          </w:p>
        </w:tc>
        <w:tc>
          <w:tcPr>
            <w:tcW w:w="2552" w:type="dxa"/>
          </w:tcPr>
          <w:p w14:paraId="49FE2990" w14:textId="77777777" w:rsidR="00A76542" w:rsidRPr="00044387" w:rsidRDefault="00A76542">
            <w:pPr>
              <w:spacing w:after="120"/>
              <w:rPr>
                <w:noProof/>
                <w:sz w:val="20"/>
                <w:szCs w:val="20"/>
              </w:rPr>
            </w:pPr>
            <w:r w:rsidRPr="00044387">
              <w:rPr>
                <w:noProof/>
                <w:sz w:val="20"/>
                <w:szCs w:val="20"/>
              </w:rPr>
              <w:t>Obligation for all MDMS platforms to share marketing and booking data in a fair way, when requested by transport operators</w:t>
            </w:r>
          </w:p>
        </w:tc>
        <w:tc>
          <w:tcPr>
            <w:tcW w:w="9956" w:type="dxa"/>
          </w:tcPr>
          <w:p w14:paraId="368D5D7E" w14:textId="77777777" w:rsidR="00A76542" w:rsidRPr="00044387" w:rsidRDefault="00A76542">
            <w:pPr>
              <w:spacing w:after="120"/>
              <w:jc w:val="both"/>
              <w:rPr>
                <w:b/>
                <w:bCs/>
                <w:noProof/>
                <w:color w:val="00B0F0"/>
                <w:sz w:val="20"/>
                <w:szCs w:val="20"/>
              </w:rPr>
            </w:pPr>
            <w:r w:rsidRPr="00044387">
              <w:rPr>
                <w:b/>
                <w:bCs/>
                <w:noProof/>
                <w:color w:val="00B0F0"/>
                <w:sz w:val="20"/>
                <w:szCs w:val="20"/>
              </w:rPr>
              <w:t>QP1: Completeness and Accuracy of Info</w:t>
            </w:r>
          </w:p>
          <w:p w14:paraId="68487EFE" w14:textId="77777777" w:rsidR="00A76542" w:rsidRPr="00044387" w:rsidRDefault="00A76542">
            <w:pPr>
              <w:spacing w:after="120"/>
              <w:jc w:val="both"/>
              <w:rPr>
                <w:noProof/>
                <w:sz w:val="20"/>
                <w:szCs w:val="20"/>
              </w:rPr>
            </w:pPr>
            <w:r w:rsidRPr="00044387">
              <w:rPr>
                <w:noProof/>
                <w:sz w:val="20"/>
                <w:szCs w:val="20"/>
              </w:rPr>
              <w:t xml:space="preserve">Direction of impact expected to be neutral: This policy concerns how booking and marketing data is used or shared, rather than how passenger data is presented or displayed. It is therefore not considered to have a direct impact on the completeness or accuracy of the travel options shown to passengers. </w:t>
            </w:r>
          </w:p>
          <w:p w14:paraId="403CB668" w14:textId="77777777" w:rsidR="00A76542" w:rsidRPr="00123A36" w:rsidRDefault="00A76542">
            <w:pPr>
              <w:spacing w:after="120"/>
              <w:jc w:val="both"/>
              <w:rPr>
                <w:noProof/>
                <w:sz w:val="20"/>
                <w:szCs w:val="20"/>
              </w:rPr>
            </w:pPr>
            <w:r w:rsidRPr="00096977">
              <w:rPr>
                <w:noProof/>
                <w:sz w:val="20"/>
                <w:szCs w:val="20"/>
                <w:u w:val="single"/>
              </w:rPr>
              <w:t xml:space="preserve">Impact scores would be 0: </w:t>
            </w:r>
            <w:r w:rsidRPr="00123A36">
              <w:rPr>
                <w:noProof/>
                <w:sz w:val="20"/>
                <w:szCs w:val="20"/>
              </w:rPr>
              <w:t>for the reasons above.</w:t>
            </w:r>
          </w:p>
          <w:p w14:paraId="742E8F57" w14:textId="77777777" w:rsidR="00A76542" w:rsidRPr="00044387" w:rsidRDefault="00A76542">
            <w:pPr>
              <w:spacing w:after="120"/>
              <w:jc w:val="both"/>
              <w:rPr>
                <w:b/>
                <w:bCs/>
                <w:noProof/>
                <w:color w:val="00B0F0"/>
                <w:sz w:val="20"/>
                <w:szCs w:val="20"/>
              </w:rPr>
            </w:pPr>
            <w:r w:rsidRPr="00044387">
              <w:rPr>
                <w:b/>
                <w:bCs/>
                <w:noProof/>
                <w:color w:val="00B0F0"/>
                <w:sz w:val="20"/>
                <w:szCs w:val="20"/>
              </w:rPr>
              <w:t>QP2: Ability to Book</w:t>
            </w:r>
          </w:p>
          <w:p w14:paraId="393DFB76" w14:textId="77777777" w:rsidR="00A76542" w:rsidRPr="00044387" w:rsidRDefault="00A76542">
            <w:pPr>
              <w:spacing w:after="120"/>
              <w:jc w:val="both"/>
              <w:rPr>
                <w:noProof/>
                <w:sz w:val="20"/>
                <w:szCs w:val="20"/>
              </w:rPr>
            </w:pPr>
            <w:r w:rsidRPr="00044387">
              <w:rPr>
                <w:noProof/>
                <w:sz w:val="20"/>
                <w:szCs w:val="20"/>
              </w:rPr>
              <w:t xml:space="preserve">Direction of impact expected to be indirectly positive: Marketing and booking data can be used to identify customers purchasing decisions and preferences, and gives operators access to important facts like location, destination and booking history to enable more effective marketing practices. This means that it could be used by businesses to provide personalised services, improve services based on demand or develop a more user-centric booking option overtime, (i.e., MDMS platforms could test out different booking options and use this data to streamline more popular selections).  Due to the potential of this data to improve the booking process, it is possible that there may be an indirect positive impact on the ability of consumers to book. </w:t>
            </w:r>
          </w:p>
          <w:p w14:paraId="19E4A547" w14:textId="77777777" w:rsidR="00A76542" w:rsidRPr="00096977" w:rsidRDefault="00A76542">
            <w:pPr>
              <w:spacing w:after="120"/>
              <w:jc w:val="both"/>
              <w:rPr>
                <w:noProof/>
                <w:sz w:val="20"/>
                <w:szCs w:val="20"/>
                <w:u w:val="single"/>
              </w:rPr>
            </w:pPr>
            <w:r w:rsidRPr="00096977">
              <w:rPr>
                <w:noProof/>
                <w:sz w:val="20"/>
                <w:szCs w:val="20"/>
                <w:u w:val="single"/>
              </w:rPr>
              <w:t>The impact score for this measure could range between 0 and +1:</w:t>
            </w:r>
          </w:p>
          <w:p w14:paraId="73A54C3D" w14:textId="77777777" w:rsidR="00A76542" w:rsidRPr="00044387" w:rsidRDefault="00A76542">
            <w:pPr>
              <w:spacing w:after="120"/>
              <w:jc w:val="both"/>
              <w:rPr>
                <w:noProof/>
                <w:sz w:val="20"/>
                <w:szCs w:val="20"/>
              </w:rPr>
            </w:pPr>
            <w:r w:rsidRPr="00096977">
              <w:rPr>
                <w:b/>
                <w:bCs/>
                <w:noProof/>
                <w:sz w:val="20"/>
                <w:szCs w:val="20"/>
              </w:rPr>
              <w:t>Journey type:</w:t>
            </w:r>
            <w:r w:rsidRPr="00044387">
              <w:rPr>
                <w:noProof/>
                <w:sz w:val="20"/>
                <w:szCs w:val="20"/>
              </w:rPr>
              <w:t xml:space="preserve"> International journey types may benefit more from aggregated data, especially on more complex multimodal or cross-border journeys, however, the impact is expected to be small for both national and international journeys. </w:t>
            </w:r>
          </w:p>
          <w:p w14:paraId="276AA9E3" w14:textId="77777777" w:rsidR="00A76542" w:rsidRPr="00044387" w:rsidRDefault="00A76542">
            <w:pPr>
              <w:spacing w:after="120"/>
              <w:jc w:val="both"/>
              <w:rPr>
                <w:noProof/>
                <w:sz w:val="20"/>
                <w:szCs w:val="20"/>
              </w:rPr>
            </w:pPr>
            <w:r w:rsidRPr="00096977">
              <w:rPr>
                <w:b/>
                <w:bCs/>
                <w:noProof/>
                <w:sz w:val="20"/>
                <w:szCs w:val="20"/>
              </w:rPr>
              <w:t>Attractiveness:</w:t>
            </w:r>
            <w:r w:rsidRPr="00044387">
              <w:rPr>
                <w:noProof/>
                <w:sz w:val="20"/>
                <w:szCs w:val="20"/>
              </w:rPr>
              <w:t xml:space="preserve"> High traffic corridors will have the richest set of marketing and booking data, increasing the potential for improvements in how these services are integrated into booking interface, the scope for this is much smaller when both locations are less attractive as there is less data to act on. </w:t>
            </w:r>
          </w:p>
          <w:p w14:paraId="42042854" w14:textId="77777777" w:rsidR="00A76542" w:rsidRPr="00044387" w:rsidRDefault="00A76542">
            <w:pPr>
              <w:spacing w:after="120"/>
              <w:jc w:val="both"/>
              <w:rPr>
                <w:noProof/>
                <w:sz w:val="20"/>
                <w:szCs w:val="20"/>
              </w:rPr>
            </w:pPr>
            <w:r w:rsidRPr="00096977">
              <w:rPr>
                <w:b/>
                <w:bCs/>
                <w:noProof/>
                <w:sz w:val="20"/>
                <w:szCs w:val="20"/>
              </w:rPr>
              <w:t>MDMS advancement:</w:t>
            </w:r>
            <w:r w:rsidRPr="00044387">
              <w:rPr>
                <w:noProof/>
                <w:sz w:val="20"/>
                <w:szCs w:val="20"/>
              </w:rPr>
              <w:t xml:space="preserve"> Impact is mostly expected in locations where more advanced platforms are available or where MDMS usage is higher (leader) as there is more potential for marketing data analytics to be insightful. </w:t>
            </w:r>
          </w:p>
          <w:p w14:paraId="348C0791" w14:textId="77777777" w:rsidR="00A76542" w:rsidRPr="00044387" w:rsidRDefault="00A76542">
            <w:pPr>
              <w:spacing w:after="120"/>
              <w:jc w:val="both"/>
              <w:rPr>
                <w:noProof/>
                <w:sz w:val="20"/>
                <w:szCs w:val="20"/>
              </w:rPr>
            </w:pPr>
            <w:r w:rsidRPr="00096977">
              <w:rPr>
                <w:b/>
                <w:bCs/>
                <w:noProof/>
                <w:sz w:val="20"/>
                <w:szCs w:val="20"/>
              </w:rPr>
              <w:t>Overall assessment:</w:t>
            </w:r>
            <w:r w:rsidRPr="00044387">
              <w:rPr>
                <w:noProof/>
                <w:sz w:val="20"/>
                <w:szCs w:val="20"/>
              </w:rPr>
              <w:t xml:space="preserve"> This PM’s primary benefit is not expected until, and only if, marketing and booking data is used to optimise services and booking services. This will have the highest impact along routes where there is high usage of MDMS platforms and where data is collected to allow for this optimisation to take place. </w:t>
            </w:r>
          </w:p>
        </w:tc>
      </w:tr>
      <w:tr w:rsidR="00A76542" w:rsidRPr="00044387" w14:paraId="7483C741" w14:textId="77777777">
        <w:trPr>
          <w:trHeight w:val="300"/>
        </w:trPr>
        <w:tc>
          <w:tcPr>
            <w:tcW w:w="1384" w:type="dxa"/>
          </w:tcPr>
          <w:p w14:paraId="72D0B320" w14:textId="77777777" w:rsidR="00A76542" w:rsidRPr="00044387" w:rsidRDefault="00A76542">
            <w:pPr>
              <w:spacing w:after="120"/>
              <w:rPr>
                <w:noProof/>
                <w:sz w:val="20"/>
                <w:szCs w:val="20"/>
              </w:rPr>
            </w:pPr>
            <w:r w:rsidRPr="00044387">
              <w:rPr>
                <w:noProof/>
                <w:sz w:val="20"/>
                <w:szCs w:val="20"/>
              </w:rPr>
              <w:t>PM4</w:t>
            </w:r>
          </w:p>
        </w:tc>
        <w:tc>
          <w:tcPr>
            <w:tcW w:w="2552" w:type="dxa"/>
          </w:tcPr>
          <w:p w14:paraId="4B74C68A" w14:textId="77777777" w:rsidR="00A76542" w:rsidRPr="00044387" w:rsidRDefault="00A76542">
            <w:pPr>
              <w:spacing w:after="120"/>
              <w:rPr>
                <w:noProof/>
                <w:sz w:val="20"/>
                <w:szCs w:val="20"/>
              </w:rPr>
            </w:pPr>
            <w:r w:rsidRPr="00044387">
              <w:rPr>
                <w:noProof/>
                <w:sz w:val="20"/>
                <w:szCs w:val="20"/>
              </w:rPr>
              <w:t>Obligation for all B2B MDMS platforms to treat subscribers fairly and clearly identify in their display banned airlines. Obligation for third countries B2B MDMS to ensure equal treatment of EU air carriers</w:t>
            </w:r>
          </w:p>
        </w:tc>
        <w:tc>
          <w:tcPr>
            <w:tcW w:w="9956" w:type="dxa"/>
          </w:tcPr>
          <w:p w14:paraId="59F175F8" w14:textId="77777777" w:rsidR="00A76542" w:rsidRPr="00044387" w:rsidRDefault="00A76542">
            <w:pPr>
              <w:spacing w:after="120"/>
              <w:jc w:val="both"/>
              <w:rPr>
                <w:b/>
                <w:bCs/>
                <w:noProof/>
                <w:color w:val="00B0F0"/>
                <w:sz w:val="20"/>
                <w:szCs w:val="20"/>
              </w:rPr>
            </w:pPr>
            <w:r w:rsidRPr="00044387">
              <w:rPr>
                <w:b/>
                <w:bCs/>
                <w:noProof/>
                <w:color w:val="00B0F0"/>
                <w:sz w:val="20"/>
                <w:szCs w:val="20"/>
              </w:rPr>
              <w:t>QP1: Completeness and Accuracy of Info</w:t>
            </w:r>
          </w:p>
          <w:p w14:paraId="1F47A322" w14:textId="77777777" w:rsidR="00A76542" w:rsidRPr="00044387" w:rsidRDefault="00A76542">
            <w:pPr>
              <w:spacing w:after="120"/>
              <w:jc w:val="both"/>
              <w:rPr>
                <w:noProof/>
                <w:sz w:val="20"/>
                <w:szCs w:val="20"/>
              </w:rPr>
            </w:pPr>
            <w:r w:rsidRPr="00044387">
              <w:rPr>
                <w:noProof/>
                <w:sz w:val="20"/>
                <w:szCs w:val="20"/>
              </w:rPr>
              <w:t>Direction of impact expected to be neutral or slightly positive: This PM is focused on business-to-business contact, specifically in relation to the usage of subscriber data and EU airline offerings on third-country MDMS platforms. It could affect consumers if unfair treatment of EU carriers on these third-country platforms leads to different options being available for individuals who see results generated using these B2B services in the information chain. Third country GDSs are already covered by this, but the net effect is likely to be non-discrimination of EU carriers by other third country B2B MDMS (non-CRS aggregators).</w:t>
            </w:r>
          </w:p>
          <w:p w14:paraId="1A4A0261" w14:textId="77777777" w:rsidR="00A76542" w:rsidRPr="00044387" w:rsidRDefault="00A76542">
            <w:pPr>
              <w:spacing w:after="120"/>
              <w:jc w:val="both"/>
              <w:rPr>
                <w:noProof/>
                <w:sz w:val="20"/>
                <w:szCs w:val="20"/>
              </w:rPr>
            </w:pPr>
            <w:r w:rsidRPr="002A353E">
              <w:rPr>
                <w:noProof/>
                <w:sz w:val="20"/>
                <w:szCs w:val="20"/>
                <w:u w:val="single"/>
              </w:rPr>
              <w:t>Impact scores could range from 0 to +1:</w:t>
            </w:r>
            <w:r w:rsidRPr="00044387">
              <w:rPr>
                <w:noProof/>
                <w:sz w:val="20"/>
                <w:szCs w:val="20"/>
              </w:rPr>
              <w:t xml:space="preserve"> Greater impacts are expected on clusters involving more flights, since this intervention targets the potential imbalance in competition between regulated CRS and unregulated B2B MDMS that offer mostly aviation options. </w:t>
            </w:r>
          </w:p>
          <w:p w14:paraId="244A1177" w14:textId="77777777" w:rsidR="00A76542" w:rsidRPr="00044387" w:rsidRDefault="00A76542">
            <w:pPr>
              <w:spacing w:after="120"/>
              <w:jc w:val="both"/>
              <w:rPr>
                <w:noProof/>
                <w:sz w:val="20"/>
                <w:szCs w:val="20"/>
              </w:rPr>
            </w:pPr>
            <w:r w:rsidRPr="002A353E">
              <w:rPr>
                <w:b/>
                <w:bCs/>
                <w:noProof/>
                <w:sz w:val="20"/>
                <w:szCs w:val="20"/>
              </w:rPr>
              <w:t>Journey type:</w:t>
            </w:r>
            <w:r w:rsidRPr="00044387">
              <w:rPr>
                <w:noProof/>
                <w:sz w:val="20"/>
                <w:szCs w:val="20"/>
              </w:rPr>
              <w:t xml:space="preserve"> International journey types may benefit more from rules on fair treatment of subscribers, as flights are more common on these routes than for national journeys. </w:t>
            </w:r>
          </w:p>
          <w:p w14:paraId="488CCDFC" w14:textId="77777777" w:rsidR="00A76542" w:rsidRPr="00044387" w:rsidRDefault="00A76542">
            <w:pPr>
              <w:spacing w:after="120"/>
              <w:jc w:val="both"/>
              <w:rPr>
                <w:noProof/>
                <w:sz w:val="20"/>
                <w:szCs w:val="20"/>
              </w:rPr>
            </w:pPr>
            <w:r w:rsidRPr="002A353E">
              <w:rPr>
                <w:b/>
                <w:bCs/>
                <w:noProof/>
                <w:sz w:val="20"/>
                <w:szCs w:val="20"/>
              </w:rPr>
              <w:t>Attractiveness:</w:t>
            </w:r>
            <w:r w:rsidRPr="00044387">
              <w:rPr>
                <w:noProof/>
                <w:sz w:val="20"/>
                <w:szCs w:val="20"/>
              </w:rPr>
              <w:t xml:space="preserve"> High traffic corridors are more likely to have regular flights, meaning that high attractiveness routes are likely to experience greater impacts. </w:t>
            </w:r>
          </w:p>
          <w:p w14:paraId="5CC70886" w14:textId="77777777" w:rsidR="00A76542" w:rsidRPr="00044387" w:rsidRDefault="00A76542">
            <w:pPr>
              <w:spacing w:after="120"/>
              <w:jc w:val="both"/>
              <w:rPr>
                <w:noProof/>
                <w:sz w:val="20"/>
                <w:szCs w:val="20"/>
              </w:rPr>
            </w:pPr>
            <w:r w:rsidRPr="002A353E">
              <w:rPr>
                <w:b/>
                <w:bCs/>
                <w:noProof/>
                <w:sz w:val="20"/>
                <w:szCs w:val="20"/>
              </w:rPr>
              <w:t>MDMS advancement:</w:t>
            </w:r>
            <w:r w:rsidRPr="00044387">
              <w:rPr>
                <w:noProof/>
                <w:sz w:val="20"/>
                <w:szCs w:val="20"/>
              </w:rPr>
              <w:t xml:space="preserve"> Impacts are likely to be similar for markets where MDMS is more or less developed.</w:t>
            </w:r>
          </w:p>
          <w:p w14:paraId="5A9EDD90" w14:textId="77777777" w:rsidR="00A76542" w:rsidRPr="00044387" w:rsidRDefault="00A76542">
            <w:pPr>
              <w:spacing w:after="120"/>
              <w:jc w:val="both"/>
              <w:rPr>
                <w:b/>
                <w:bCs/>
                <w:noProof/>
                <w:color w:val="00B0F0"/>
                <w:sz w:val="20"/>
                <w:szCs w:val="20"/>
              </w:rPr>
            </w:pPr>
            <w:r w:rsidRPr="00044387">
              <w:rPr>
                <w:b/>
                <w:bCs/>
                <w:noProof/>
                <w:color w:val="00B0F0"/>
                <w:sz w:val="20"/>
                <w:szCs w:val="20"/>
              </w:rPr>
              <w:t>QP2: Ability to Book</w:t>
            </w:r>
          </w:p>
          <w:p w14:paraId="1BA6B1D6" w14:textId="77777777" w:rsidR="00A76542" w:rsidRPr="00044387" w:rsidRDefault="00A76542">
            <w:pPr>
              <w:spacing w:after="120"/>
              <w:jc w:val="both"/>
              <w:rPr>
                <w:noProof/>
                <w:sz w:val="20"/>
                <w:szCs w:val="20"/>
              </w:rPr>
            </w:pPr>
            <w:r w:rsidRPr="00044387">
              <w:rPr>
                <w:noProof/>
                <w:sz w:val="20"/>
                <w:szCs w:val="20"/>
              </w:rPr>
              <w:t xml:space="preserve">Direction of impact expected to be neutral: As consumers do not book directly via B2B platforms, the impact on the degree to which consumers can book multimodal transport on MDMS platforms is thought to be neutral. </w:t>
            </w:r>
          </w:p>
          <w:p w14:paraId="65010E05" w14:textId="77777777" w:rsidR="00A76542" w:rsidRPr="0017198A" w:rsidRDefault="00A76542">
            <w:pPr>
              <w:spacing w:after="120"/>
              <w:jc w:val="both"/>
              <w:rPr>
                <w:noProof/>
                <w:sz w:val="20"/>
                <w:szCs w:val="20"/>
                <w:u w:val="single"/>
              </w:rPr>
            </w:pPr>
            <w:r w:rsidRPr="0017198A">
              <w:rPr>
                <w:noProof/>
                <w:sz w:val="20"/>
                <w:szCs w:val="20"/>
                <w:u w:val="single"/>
              </w:rPr>
              <w:t xml:space="preserve">Impact scores would be 0: </w:t>
            </w:r>
            <w:r w:rsidRPr="00123A36">
              <w:rPr>
                <w:noProof/>
                <w:sz w:val="20"/>
                <w:szCs w:val="20"/>
              </w:rPr>
              <w:t>for the reasons above.</w:t>
            </w:r>
          </w:p>
        </w:tc>
      </w:tr>
      <w:tr w:rsidR="00A76542" w:rsidRPr="00044387" w14:paraId="5A87E08A" w14:textId="77777777">
        <w:trPr>
          <w:trHeight w:val="300"/>
        </w:trPr>
        <w:tc>
          <w:tcPr>
            <w:tcW w:w="1384" w:type="dxa"/>
          </w:tcPr>
          <w:p w14:paraId="7E8008F6" w14:textId="77777777" w:rsidR="00A76542" w:rsidRPr="00044387" w:rsidRDefault="00A76542">
            <w:pPr>
              <w:spacing w:after="120"/>
              <w:rPr>
                <w:noProof/>
                <w:sz w:val="20"/>
                <w:szCs w:val="20"/>
              </w:rPr>
            </w:pPr>
            <w:r w:rsidRPr="00044387">
              <w:rPr>
                <w:noProof/>
                <w:sz w:val="20"/>
                <w:szCs w:val="20"/>
              </w:rPr>
              <w:t>PM5</w:t>
            </w:r>
          </w:p>
        </w:tc>
        <w:tc>
          <w:tcPr>
            <w:tcW w:w="2552" w:type="dxa"/>
          </w:tcPr>
          <w:p w14:paraId="10E4CB6B" w14:textId="77777777" w:rsidR="00A76542" w:rsidRPr="00044387" w:rsidRDefault="00A76542">
            <w:pPr>
              <w:spacing w:after="120"/>
              <w:rPr>
                <w:noProof/>
                <w:sz w:val="20"/>
                <w:szCs w:val="20"/>
              </w:rPr>
            </w:pPr>
            <w:r w:rsidRPr="00044387">
              <w:rPr>
                <w:noProof/>
                <w:sz w:val="20"/>
                <w:szCs w:val="20"/>
              </w:rPr>
              <w:t>Remove provisions on data protection from CRS Code of Conduct</w:t>
            </w:r>
          </w:p>
        </w:tc>
        <w:tc>
          <w:tcPr>
            <w:tcW w:w="9956" w:type="dxa"/>
          </w:tcPr>
          <w:p w14:paraId="345C79B3" w14:textId="77777777" w:rsidR="00A76542" w:rsidRPr="00044387" w:rsidRDefault="00A76542">
            <w:pPr>
              <w:spacing w:after="120"/>
              <w:jc w:val="both"/>
              <w:rPr>
                <w:b/>
                <w:bCs/>
                <w:noProof/>
                <w:color w:val="00B0F0"/>
                <w:sz w:val="20"/>
                <w:szCs w:val="20"/>
              </w:rPr>
            </w:pPr>
            <w:r w:rsidRPr="00044387">
              <w:rPr>
                <w:b/>
                <w:bCs/>
                <w:noProof/>
                <w:color w:val="00B0F0"/>
                <w:sz w:val="20"/>
                <w:szCs w:val="20"/>
              </w:rPr>
              <w:t>QP1: Completeness and Accuracy of Info</w:t>
            </w:r>
          </w:p>
          <w:p w14:paraId="5AB599D9" w14:textId="77777777" w:rsidR="00A76542" w:rsidRPr="00044387" w:rsidRDefault="00A76542">
            <w:pPr>
              <w:spacing w:after="120"/>
              <w:jc w:val="both"/>
              <w:rPr>
                <w:noProof/>
                <w:sz w:val="20"/>
                <w:szCs w:val="20"/>
              </w:rPr>
            </w:pPr>
            <w:r w:rsidRPr="00044387">
              <w:rPr>
                <w:noProof/>
                <w:sz w:val="20"/>
                <w:szCs w:val="20"/>
              </w:rPr>
              <w:t>Direction of impact expected to be neutral: This PM addresses the legislative burden associated with navigating existing CRS provisions on data protection and GDPR. It does not affect what data is shown or how it is displayed. No direct impact on passengers is expected.</w:t>
            </w:r>
          </w:p>
          <w:p w14:paraId="03DC012A" w14:textId="77777777" w:rsidR="00A76542" w:rsidRPr="00044387" w:rsidRDefault="00A76542">
            <w:pPr>
              <w:spacing w:after="120"/>
              <w:jc w:val="both"/>
              <w:rPr>
                <w:noProof/>
                <w:sz w:val="20"/>
                <w:szCs w:val="20"/>
              </w:rPr>
            </w:pPr>
            <w:r w:rsidRPr="00123A36">
              <w:rPr>
                <w:noProof/>
                <w:sz w:val="20"/>
                <w:szCs w:val="20"/>
                <w:u w:val="single"/>
              </w:rPr>
              <w:t>Impact scores would be 0:</w:t>
            </w:r>
            <w:r w:rsidRPr="00044387">
              <w:rPr>
                <w:noProof/>
                <w:sz w:val="20"/>
                <w:szCs w:val="20"/>
              </w:rPr>
              <w:t xml:space="preserve"> for the reasons above.</w:t>
            </w:r>
          </w:p>
          <w:p w14:paraId="2A2547E1" w14:textId="77777777" w:rsidR="00A76542" w:rsidRPr="00044387" w:rsidRDefault="00A76542">
            <w:pPr>
              <w:spacing w:after="120"/>
              <w:jc w:val="both"/>
              <w:rPr>
                <w:b/>
                <w:bCs/>
                <w:noProof/>
                <w:color w:val="00B0F0"/>
                <w:sz w:val="20"/>
                <w:szCs w:val="20"/>
              </w:rPr>
            </w:pPr>
            <w:r w:rsidRPr="00044387">
              <w:rPr>
                <w:b/>
                <w:bCs/>
                <w:noProof/>
                <w:color w:val="00B0F0"/>
                <w:sz w:val="20"/>
                <w:szCs w:val="20"/>
              </w:rPr>
              <w:t>QP2: Ability to Book</w:t>
            </w:r>
          </w:p>
          <w:p w14:paraId="73434F3D" w14:textId="77777777" w:rsidR="00A76542" w:rsidRPr="00044387" w:rsidRDefault="00A76542">
            <w:pPr>
              <w:spacing w:after="120"/>
              <w:jc w:val="both"/>
              <w:rPr>
                <w:noProof/>
                <w:sz w:val="20"/>
                <w:szCs w:val="20"/>
              </w:rPr>
            </w:pPr>
            <w:r w:rsidRPr="00044387">
              <w:rPr>
                <w:noProof/>
                <w:sz w:val="20"/>
                <w:szCs w:val="20"/>
              </w:rPr>
              <w:t xml:space="preserve">Direction of impact expected to be neutral: As above, this PM aims to improve legal clarity for CRS platforms, however, it does not affect passengers’ experience. Impact therefore expected to be neutral. </w:t>
            </w:r>
          </w:p>
          <w:p w14:paraId="7843C274" w14:textId="77777777" w:rsidR="00A76542" w:rsidRPr="00044387" w:rsidRDefault="00A76542">
            <w:pPr>
              <w:spacing w:after="120"/>
              <w:jc w:val="both"/>
              <w:rPr>
                <w:noProof/>
                <w:sz w:val="20"/>
                <w:szCs w:val="20"/>
              </w:rPr>
            </w:pPr>
            <w:r w:rsidRPr="00123A36">
              <w:rPr>
                <w:noProof/>
                <w:sz w:val="20"/>
                <w:szCs w:val="20"/>
                <w:u w:val="single"/>
              </w:rPr>
              <w:t>Impact scores would be 0:</w:t>
            </w:r>
            <w:r w:rsidRPr="00044387">
              <w:rPr>
                <w:noProof/>
                <w:sz w:val="20"/>
                <w:szCs w:val="20"/>
              </w:rPr>
              <w:t xml:space="preserve"> for the reasons above.</w:t>
            </w:r>
          </w:p>
        </w:tc>
      </w:tr>
      <w:tr w:rsidR="00A76542" w:rsidRPr="00044387" w14:paraId="5046EBA4" w14:textId="77777777">
        <w:trPr>
          <w:trHeight w:val="300"/>
        </w:trPr>
        <w:tc>
          <w:tcPr>
            <w:tcW w:w="1384" w:type="dxa"/>
          </w:tcPr>
          <w:p w14:paraId="29BDE67A" w14:textId="77777777" w:rsidR="00A76542" w:rsidRPr="00044387" w:rsidRDefault="00A76542">
            <w:pPr>
              <w:spacing w:after="120"/>
              <w:rPr>
                <w:noProof/>
                <w:sz w:val="20"/>
                <w:szCs w:val="20"/>
              </w:rPr>
            </w:pPr>
            <w:r w:rsidRPr="00044387">
              <w:rPr>
                <w:noProof/>
                <w:sz w:val="20"/>
                <w:szCs w:val="20"/>
              </w:rPr>
              <w:t>PM6</w:t>
            </w:r>
          </w:p>
        </w:tc>
        <w:tc>
          <w:tcPr>
            <w:tcW w:w="2552" w:type="dxa"/>
          </w:tcPr>
          <w:p w14:paraId="753F8FB6" w14:textId="77777777" w:rsidR="00A76542" w:rsidRPr="00044387" w:rsidRDefault="00A76542">
            <w:pPr>
              <w:spacing w:after="120"/>
              <w:rPr>
                <w:noProof/>
                <w:sz w:val="20"/>
                <w:szCs w:val="20"/>
              </w:rPr>
            </w:pPr>
            <w:r w:rsidRPr="00044387">
              <w:rPr>
                <w:noProof/>
                <w:sz w:val="20"/>
                <w:szCs w:val="20"/>
              </w:rPr>
              <w:t>Obligation for Member States to appoint a national authority to settle disputes between parties, and establish an EU enforcement network for coordination</w:t>
            </w:r>
          </w:p>
        </w:tc>
        <w:tc>
          <w:tcPr>
            <w:tcW w:w="9956" w:type="dxa"/>
          </w:tcPr>
          <w:p w14:paraId="22793E91" w14:textId="77777777" w:rsidR="00A76542" w:rsidRPr="00044387" w:rsidRDefault="00A76542">
            <w:pPr>
              <w:spacing w:after="120"/>
              <w:jc w:val="both"/>
              <w:rPr>
                <w:b/>
                <w:bCs/>
                <w:noProof/>
                <w:color w:val="00B0F0"/>
                <w:sz w:val="20"/>
                <w:szCs w:val="20"/>
              </w:rPr>
            </w:pPr>
            <w:r w:rsidRPr="00044387">
              <w:rPr>
                <w:b/>
                <w:bCs/>
                <w:noProof/>
                <w:color w:val="00B0F0"/>
                <w:sz w:val="20"/>
                <w:szCs w:val="20"/>
              </w:rPr>
              <w:t>QP1: Completeness and Accuracy of Info</w:t>
            </w:r>
          </w:p>
          <w:p w14:paraId="2062077C" w14:textId="77777777" w:rsidR="00A76542" w:rsidRPr="00044387" w:rsidRDefault="00A76542">
            <w:pPr>
              <w:spacing w:after="120"/>
              <w:jc w:val="both"/>
              <w:rPr>
                <w:noProof/>
                <w:sz w:val="20"/>
                <w:szCs w:val="20"/>
              </w:rPr>
            </w:pPr>
            <w:r w:rsidRPr="00044387">
              <w:rPr>
                <w:noProof/>
                <w:sz w:val="20"/>
                <w:szCs w:val="20"/>
              </w:rPr>
              <w:t xml:space="preserve">Direction of impact expected to be positive. </w:t>
            </w:r>
          </w:p>
          <w:p w14:paraId="18F85F6F" w14:textId="77777777" w:rsidR="00A76542" w:rsidRPr="00044387" w:rsidRDefault="00A76542">
            <w:pPr>
              <w:spacing w:after="120"/>
              <w:jc w:val="both"/>
              <w:rPr>
                <w:noProof/>
                <w:sz w:val="20"/>
                <w:szCs w:val="20"/>
              </w:rPr>
            </w:pPr>
            <w:r w:rsidRPr="00044387">
              <w:rPr>
                <w:noProof/>
                <w:sz w:val="20"/>
                <w:szCs w:val="20"/>
              </w:rPr>
              <w:t xml:space="preserve">Clear enforcement and dispute-resolution processes would discourage MDMS platforms from omitting or misrepresenting smaller operators’ services. National authorities will monitor platform compliance and address complaints when services are omitted and by doing so, platforms are deterred from showing bias toward larger operators. National authorities are also expected to settle disputes between parties as regards unfair conditions in distribution contracts, whether stemming from platforms imposing disproportionate terms on operators or, conversely, from operators imposing high fees or restrictive conditions that lead platforms not to sell their services. Over time, this enforcement would lead to more complete and reliable information presented to passengers. </w:t>
            </w:r>
          </w:p>
          <w:p w14:paraId="0B71D19C" w14:textId="77777777" w:rsidR="00A76542" w:rsidRPr="00044387" w:rsidRDefault="00A76542">
            <w:pPr>
              <w:spacing w:after="120"/>
              <w:jc w:val="both"/>
              <w:rPr>
                <w:noProof/>
                <w:sz w:val="20"/>
                <w:szCs w:val="20"/>
              </w:rPr>
            </w:pPr>
            <w:r w:rsidRPr="00044387">
              <w:rPr>
                <w:noProof/>
                <w:sz w:val="20"/>
                <w:szCs w:val="20"/>
              </w:rPr>
              <w:t xml:space="preserve">It is expected to offer a marginal improvement to completeness and accuracy of information as the improvements only occur when individual operators file complaints and authorities do find bias or omissions or unfair contractual conditions affecting distribution. Each resolved case corrects information for that operator, but platforms are not obligated to revise all listings. As a result, accuracy and completeness improve in specific instances rather than system-wide, yielding a modest overall gain. </w:t>
            </w:r>
          </w:p>
          <w:p w14:paraId="61E34CC0" w14:textId="77777777" w:rsidR="00A76542" w:rsidRPr="00123A36" w:rsidRDefault="00A76542">
            <w:pPr>
              <w:spacing w:after="120"/>
              <w:jc w:val="both"/>
              <w:rPr>
                <w:noProof/>
                <w:sz w:val="20"/>
                <w:szCs w:val="20"/>
                <w:u w:val="single"/>
              </w:rPr>
            </w:pPr>
            <w:r w:rsidRPr="00123A36">
              <w:rPr>
                <w:noProof/>
                <w:sz w:val="20"/>
                <w:szCs w:val="20"/>
                <w:u w:val="single"/>
              </w:rPr>
              <w:t xml:space="preserve">Impact scores for this measure could range between +1 and +1.  </w:t>
            </w:r>
          </w:p>
          <w:p w14:paraId="6804409B" w14:textId="77777777" w:rsidR="00A76542" w:rsidRPr="00044387" w:rsidRDefault="00A76542">
            <w:pPr>
              <w:spacing w:after="120"/>
              <w:jc w:val="both"/>
              <w:rPr>
                <w:noProof/>
                <w:sz w:val="20"/>
                <w:szCs w:val="20"/>
              </w:rPr>
            </w:pPr>
            <w:r w:rsidRPr="00044387">
              <w:rPr>
                <w:noProof/>
                <w:sz w:val="20"/>
                <w:szCs w:val="20"/>
              </w:rPr>
              <w:t xml:space="preserve">Journey type: The impact is expected to be marginally stronger for national journeys where national authorities have direct oversight. International journeys may benefit slightly less as cross-border oversight relies on coordination between authorities which may slow enforcement, but due to the introduction of the EU coordination enforcement network, the score allocated to national and international trips is the same. EU Travel Tech, an industry association representing MDMS provider, indicated that current enforcement of the Code of Conduct has not always been applied, greater enforcement of the CoC by national authorities between aviation distribution channels could positively impact international journeys due to the cross-border nature of many flights. </w:t>
            </w:r>
          </w:p>
          <w:p w14:paraId="28830E90" w14:textId="77777777" w:rsidR="00A76542" w:rsidRPr="00044387" w:rsidRDefault="00A76542">
            <w:pPr>
              <w:spacing w:after="120"/>
              <w:jc w:val="both"/>
              <w:rPr>
                <w:noProof/>
                <w:sz w:val="20"/>
                <w:szCs w:val="20"/>
              </w:rPr>
            </w:pPr>
            <w:r w:rsidRPr="00044387">
              <w:rPr>
                <w:noProof/>
                <w:sz w:val="20"/>
                <w:szCs w:val="20"/>
              </w:rPr>
              <w:t xml:space="preserve">Attractiveness: More attractive routes, where passenger volumes and operator competition are higher, are more likely to generate disputes due to the greater profitability and number of stakeholders involved. Operators are more likely to challenge any exclusion or disadvantage on these routes, leading to more frequent interventions from national authorities. Less attractive routes may see fewer complaints, resulting in more limited impact. </w:t>
            </w:r>
          </w:p>
          <w:p w14:paraId="46D26954" w14:textId="77777777" w:rsidR="00A76542" w:rsidRPr="00044387" w:rsidRDefault="00A76542">
            <w:pPr>
              <w:spacing w:after="120"/>
              <w:jc w:val="both"/>
              <w:rPr>
                <w:noProof/>
                <w:sz w:val="20"/>
                <w:szCs w:val="20"/>
              </w:rPr>
            </w:pPr>
            <w:r w:rsidRPr="00044387">
              <w:rPr>
                <w:noProof/>
                <w:sz w:val="20"/>
                <w:szCs w:val="20"/>
              </w:rPr>
              <w:t xml:space="preserve">MDMS advancement: Impacts may be largest where there is greatest scope for preferential treatment on platforms, or unfair contractual conditions between parties.  With more platforms competing in Leaders, there would naturally be more disputes, resulting in greater impact of the PM. Impacts would be smaller where Member States have fewer or no MDMS platforms, as the level of competition would remain lower (Planned Adopter/Follower). Stakeholder input, particularly from MDMS platforms, indicated that current competition law and enforcement is fragmented and insufficient, indicating that increased enforcement, particularly in areas with dominant transport operators, would have a more significant impact. </w:t>
            </w:r>
          </w:p>
          <w:p w14:paraId="111F8C24" w14:textId="77777777" w:rsidR="00A76542" w:rsidRPr="00044387" w:rsidRDefault="00A76542">
            <w:pPr>
              <w:spacing w:after="120"/>
              <w:jc w:val="both"/>
              <w:rPr>
                <w:noProof/>
                <w:sz w:val="20"/>
                <w:szCs w:val="20"/>
              </w:rPr>
            </w:pPr>
            <w:r w:rsidRPr="00044387">
              <w:rPr>
                <w:noProof/>
                <w:sz w:val="20"/>
                <w:szCs w:val="20"/>
              </w:rPr>
              <w:t>Overall assessment: The maximum positive impact of this PM is capped at +1 because improvements depend on individual operators/platforms filing complaints and receiving favourable outcomes. This leads to targeted corrections rather than system-wide changes. The minimum impact is +1 because dispute resolution will still provide positive impact and even the presence of national authorities carrying out this role may deter unfair platform/operators’ practices and prompt some proactive adjustments by platforms.</w:t>
            </w:r>
          </w:p>
          <w:p w14:paraId="623B13B2" w14:textId="77777777" w:rsidR="00A76542" w:rsidRPr="00044387" w:rsidRDefault="00A76542">
            <w:pPr>
              <w:spacing w:after="120"/>
              <w:jc w:val="both"/>
              <w:rPr>
                <w:b/>
                <w:bCs/>
                <w:noProof/>
                <w:color w:val="00B0F0"/>
                <w:sz w:val="20"/>
                <w:szCs w:val="20"/>
              </w:rPr>
            </w:pPr>
            <w:r w:rsidRPr="00044387">
              <w:rPr>
                <w:b/>
                <w:bCs/>
                <w:noProof/>
                <w:color w:val="00B0F0"/>
                <w:sz w:val="20"/>
                <w:szCs w:val="20"/>
              </w:rPr>
              <w:t>QP2: Ability to Book</w:t>
            </w:r>
          </w:p>
          <w:p w14:paraId="0F6F8688" w14:textId="77777777" w:rsidR="00A76542" w:rsidRPr="00044387" w:rsidRDefault="00A76542">
            <w:pPr>
              <w:spacing w:after="120"/>
              <w:jc w:val="both"/>
              <w:rPr>
                <w:noProof/>
                <w:sz w:val="20"/>
                <w:szCs w:val="20"/>
              </w:rPr>
            </w:pPr>
            <w:r w:rsidRPr="00044387">
              <w:rPr>
                <w:noProof/>
                <w:sz w:val="20"/>
                <w:szCs w:val="20"/>
              </w:rPr>
              <w:t>Direction of impact expected to be neutral or slightly positive. The enforcement focus under this policy measure is expected to be focusing on ensuring fair visibility and representation of transport operators on MDMS platforms, such as preventing exclusion or biased listing practices as well as on ensuring fair terms in contractual agreements. However, the expected impact remains limited because this measure is primarily enabling and corrective by nature: it improves compliance and deters unfair behaviour, but it does not in itself impose a direct obligation on platforms to host or sell services, nor on operators to sell their tickets. The largest improvements in booking availability are therefore expected to stem from other measures, while enforcement oversight mainly strengthens their effectiveness and ensures they deliver results on the ground.</w:t>
            </w:r>
          </w:p>
          <w:p w14:paraId="4488D457" w14:textId="77777777" w:rsidR="00A76542" w:rsidRPr="00044387" w:rsidRDefault="00A76542">
            <w:pPr>
              <w:spacing w:after="120"/>
              <w:jc w:val="both"/>
              <w:rPr>
                <w:noProof/>
                <w:sz w:val="20"/>
                <w:szCs w:val="20"/>
              </w:rPr>
            </w:pPr>
            <w:r w:rsidRPr="00123A36">
              <w:rPr>
                <w:noProof/>
                <w:sz w:val="20"/>
                <w:szCs w:val="20"/>
                <w:u w:val="single"/>
              </w:rPr>
              <w:t>Impact scores for this measure could range between 0 and +1:</w:t>
            </w:r>
            <w:r w:rsidRPr="00044387">
              <w:rPr>
                <w:noProof/>
                <w:sz w:val="20"/>
                <w:szCs w:val="20"/>
              </w:rPr>
              <w:t xml:space="preserve"> differentiation by cluster consistent with QP1 above, omitted for brevity. Total impact is capped at +2 as the other policy measures are only as useful as the enforcement by national authorities, but it should not exceed the maximum impact of the policy measures themselves. </w:t>
            </w:r>
          </w:p>
        </w:tc>
      </w:tr>
      <w:tr w:rsidR="00A76542" w:rsidRPr="00044387" w14:paraId="06B60D01" w14:textId="77777777">
        <w:trPr>
          <w:trHeight w:val="300"/>
        </w:trPr>
        <w:tc>
          <w:tcPr>
            <w:tcW w:w="1384" w:type="dxa"/>
          </w:tcPr>
          <w:p w14:paraId="4BCACAD8" w14:textId="77777777" w:rsidR="00A76542" w:rsidRPr="00044387" w:rsidRDefault="00A76542">
            <w:pPr>
              <w:spacing w:after="120"/>
              <w:rPr>
                <w:noProof/>
                <w:sz w:val="20"/>
                <w:szCs w:val="20"/>
              </w:rPr>
            </w:pPr>
            <w:r w:rsidRPr="00044387">
              <w:rPr>
                <w:noProof/>
                <w:sz w:val="20"/>
                <w:szCs w:val="20"/>
              </w:rPr>
              <w:t>PM7</w:t>
            </w:r>
          </w:p>
        </w:tc>
        <w:tc>
          <w:tcPr>
            <w:tcW w:w="2552" w:type="dxa"/>
          </w:tcPr>
          <w:p w14:paraId="3DD49942" w14:textId="77777777" w:rsidR="00A76542" w:rsidRPr="00044387" w:rsidRDefault="00A76542">
            <w:pPr>
              <w:spacing w:after="120"/>
              <w:rPr>
                <w:noProof/>
                <w:sz w:val="20"/>
                <w:szCs w:val="20"/>
              </w:rPr>
            </w:pPr>
            <w:r w:rsidRPr="00044387">
              <w:rPr>
                <w:noProof/>
                <w:sz w:val="20"/>
                <w:szCs w:val="20"/>
              </w:rPr>
              <w:t>Obligation for all B2C MDMS platforms to share data for mobility management</w:t>
            </w:r>
          </w:p>
        </w:tc>
        <w:tc>
          <w:tcPr>
            <w:tcW w:w="9956" w:type="dxa"/>
          </w:tcPr>
          <w:p w14:paraId="20085C2F" w14:textId="77777777" w:rsidR="00A76542" w:rsidRPr="00044387" w:rsidRDefault="00A76542">
            <w:pPr>
              <w:spacing w:after="120"/>
              <w:jc w:val="both"/>
              <w:rPr>
                <w:b/>
                <w:bCs/>
                <w:noProof/>
                <w:color w:val="00B0F0"/>
                <w:sz w:val="20"/>
                <w:szCs w:val="20"/>
              </w:rPr>
            </w:pPr>
            <w:r w:rsidRPr="00044387">
              <w:rPr>
                <w:b/>
                <w:bCs/>
                <w:noProof/>
                <w:color w:val="00B0F0"/>
                <w:sz w:val="20"/>
                <w:szCs w:val="20"/>
              </w:rPr>
              <w:t>QP1: Completeness and Accuracy of Info</w:t>
            </w:r>
          </w:p>
          <w:p w14:paraId="7BC53D6E" w14:textId="77777777" w:rsidR="00A76542" w:rsidRPr="00044387" w:rsidRDefault="00A76542">
            <w:pPr>
              <w:spacing w:after="120"/>
              <w:jc w:val="both"/>
              <w:rPr>
                <w:noProof/>
                <w:sz w:val="20"/>
                <w:szCs w:val="20"/>
              </w:rPr>
            </w:pPr>
            <w:r w:rsidRPr="00044387">
              <w:rPr>
                <w:noProof/>
                <w:sz w:val="20"/>
                <w:szCs w:val="20"/>
              </w:rPr>
              <w:t xml:space="preserve">Direction of impact expected to be neutral or slightly positive. </w:t>
            </w:r>
          </w:p>
          <w:p w14:paraId="025005A4" w14:textId="77777777" w:rsidR="00A76542" w:rsidRPr="00044387" w:rsidRDefault="00A76542">
            <w:pPr>
              <w:spacing w:after="120"/>
              <w:jc w:val="both"/>
              <w:rPr>
                <w:noProof/>
                <w:sz w:val="20"/>
                <w:szCs w:val="20"/>
              </w:rPr>
            </w:pPr>
            <w:r w:rsidRPr="00044387">
              <w:rPr>
                <w:noProof/>
                <w:sz w:val="20"/>
                <w:szCs w:val="20"/>
              </w:rPr>
              <w:t xml:space="preserve">This measure does not directly affect the information that consumers see on MDMS platforms, but it indirectly supports better planning and coordination, particularly for regional public authorities. To the extent that regional authorities are given access to the information by national public authorities, this could lead to improved understanding of services available in their region, and following their integration, lead to improvements in completeness and accuracy of information on MDMS operated or co-operated by regional authorities. </w:t>
            </w:r>
          </w:p>
          <w:p w14:paraId="21904B2E" w14:textId="77777777" w:rsidR="00A76542" w:rsidRPr="00044387" w:rsidRDefault="00A76542">
            <w:pPr>
              <w:spacing w:after="120"/>
              <w:jc w:val="both"/>
              <w:rPr>
                <w:noProof/>
                <w:sz w:val="20"/>
                <w:szCs w:val="20"/>
              </w:rPr>
            </w:pPr>
            <w:r w:rsidRPr="00044387">
              <w:rPr>
                <w:noProof/>
                <w:sz w:val="20"/>
                <w:szCs w:val="20"/>
              </w:rPr>
              <w:t xml:space="preserve">By requiring B2C MDMS providers to share non-personal usage data with public authorities, the policy gives cities and regions a clearer picture of how people use transport services, such as which routes are most used, where transfers happen and what parts of the network may be underused or missing. </w:t>
            </w:r>
          </w:p>
          <w:p w14:paraId="52F51FC5" w14:textId="77777777" w:rsidR="00A76542" w:rsidRPr="00044387" w:rsidRDefault="00A76542">
            <w:pPr>
              <w:spacing w:after="120"/>
              <w:jc w:val="both"/>
              <w:rPr>
                <w:noProof/>
                <w:sz w:val="20"/>
                <w:szCs w:val="20"/>
              </w:rPr>
            </w:pPr>
            <w:r w:rsidRPr="00044387">
              <w:rPr>
                <w:noProof/>
                <w:sz w:val="20"/>
                <w:szCs w:val="20"/>
              </w:rPr>
              <w:t xml:space="preserve">Equipped with better knowledge, public authorities can then work to provide a more complete physical service provision, which then would become more accurately reflected on MDMS platforms. For example, if an area with poor integration or missing data is identified, action could be taken to improve availability of those services, eventually enhancing the completeness of journey options shown to relevant users. </w:t>
            </w:r>
          </w:p>
          <w:p w14:paraId="336B9B95" w14:textId="77777777" w:rsidR="00A76542" w:rsidRPr="00123A36" w:rsidRDefault="00A76542">
            <w:pPr>
              <w:spacing w:after="120"/>
              <w:jc w:val="both"/>
              <w:rPr>
                <w:noProof/>
                <w:sz w:val="20"/>
                <w:szCs w:val="20"/>
                <w:u w:val="single"/>
              </w:rPr>
            </w:pPr>
            <w:r w:rsidRPr="00123A36">
              <w:rPr>
                <w:noProof/>
                <w:sz w:val="20"/>
                <w:szCs w:val="20"/>
                <w:u w:val="single"/>
              </w:rPr>
              <w:t xml:space="preserve">Impact scores for this measure could range between 0 and +1. </w:t>
            </w:r>
          </w:p>
          <w:p w14:paraId="423C625E" w14:textId="77777777" w:rsidR="00A76542" w:rsidRPr="00044387" w:rsidRDefault="00A76542">
            <w:pPr>
              <w:spacing w:after="120"/>
              <w:jc w:val="both"/>
              <w:rPr>
                <w:noProof/>
                <w:sz w:val="20"/>
                <w:szCs w:val="20"/>
              </w:rPr>
            </w:pPr>
            <w:r w:rsidRPr="00044387">
              <w:rPr>
                <w:noProof/>
                <w:sz w:val="20"/>
                <w:szCs w:val="20"/>
              </w:rPr>
              <w:t xml:space="preserve">Journey type: This may benefit both national and international journeys. By giving public authorities access to better data, the integration of different transport modes can improve particularly for regional transport, leading to a more accurate view of available services. </w:t>
            </w:r>
          </w:p>
          <w:p w14:paraId="20D0B571" w14:textId="77777777" w:rsidR="00A76542" w:rsidRPr="00044387" w:rsidRDefault="00A76542">
            <w:pPr>
              <w:spacing w:after="120"/>
              <w:jc w:val="both"/>
              <w:rPr>
                <w:noProof/>
                <w:sz w:val="20"/>
                <w:szCs w:val="20"/>
              </w:rPr>
            </w:pPr>
            <w:r w:rsidRPr="00044387">
              <w:rPr>
                <w:noProof/>
                <w:sz w:val="20"/>
                <w:szCs w:val="20"/>
              </w:rPr>
              <w:t xml:space="preserve">Attractiveness: The measure benefits both attractive and less attractive routes. For attractive routes, public authorities may be able to optimise services, while for less attractive routes, it may highlight gaps or underserves areas, prompting action to improve visibility and coverage. </w:t>
            </w:r>
          </w:p>
          <w:p w14:paraId="28F8EC69" w14:textId="77777777" w:rsidR="00A76542" w:rsidRPr="00044387" w:rsidRDefault="00A76542">
            <w:pPr>
              <w:spacing w:after="120"/>
              <w:jc w:val="both"/>
              <w:rPr>
                <w:noProof/>
                <w:sz w:val="20"/>
                <w:szCs w:val="20"/>
              </w:rPr>
            </w:pPr>
            <w:r w:rsidRPr="00044387">
              <w:rPr>
                <w:noProof/>
                <w:sz w:val="20"/>
                <w:szCs w:val="20"/>
              </w:rPr>
              <w:t xml:space="preserve">MDMS advancement: This is likely to have a greater impact in follower regions or regions where data sharing is still developing. These regions may benefit most as they gain better data and can use it to integrate services and improve their transport offering. </w:t>
            </w:r>
          </w:p>
          <w:p w14:paraId="01CD779D" w14:textId="77777777" w:rsidR="00A76542" w:rsidRPr="00044387" w:rsidRDefault="00A76542">
            <w:pPr>
              <w:spacing w:after="120"/>
              <w:jc w:val="both"/>
              <w:rPr>
                <w:noProof/>
                <w:sz w:val="20"/>
                <w:szCs w:val="20"/>
              </w:rPr>
            </w:pPr>
            <w:r w:rsidRPr="00044387">
              <w:rPr>
                <w:noProof/>
                <w:sz w:val="20"/>
                <w:szCs w:val="20"/>
              </w:rPr>
              <w:t xml:space="preserve">Overall assessment: The impact of this PM on the completeness and accuracy of information is expected to be neutral or slightly positive. By requiring B2C MDMS providers to share non-personal data with public authorities, it will help improve authorities’ ability to understand transport system usage and identify service gaps. This improved insight can support better planning and the development of more accurate travel information over time. </w:t>
            </w:r>
          </w:p>
          <w:p w14:paraId="4272610E" w14:textId="77777777" w:rsidR="00A76542" w:rsidRPr="00044387" w:rsidRDefault="00A76542">
            <w:pPr>
              <w:spacing w:after="120"/>
              <w:jc w:val="both"/>
              <w:rPr>
                <w:noProof/>
                <w:sz w:val="20"/>
                <w:szCs w:val="20"/>
              </w:rPr>
            </w:pPr>
            <w:r w:rsidRPr="00044387">
              <w:rPr>
                <w:noProof/>
                <w:sz w:val="20"/>
                <w:szCs w:val="20"/>
              </w:rPr>
              <w:t xml:space="preserve">However, since most operators are private, authorities have limited control over actual service provision, i.e., they can’t directly create or force operators to create new services. Even if private investment increases, there’s no guarantee those new services would be displayed on MDMS platforms unless those platforms have SMP, which would make them subject to stricter rules about listing. Therefore, the impact on completeness and accuracy of information on platforms may be limited in scope. </w:t>
            </w:r>
          </w:p>
          <w:p w14:paraId="1DE2FED0" w14:textId="77777777" w:rsidR="00A76542" w:rsidRPr="00044387" w:rsidRDefault="00A76542">
            <w:pPr>
              <w:spacing w:after="120"/>
              <w:jc w:val="both"/>
              <w:rPr>
                <w:b/>
                <w:bCs/>
                <w:noProof/>
                <w:color w:val="00B0F0"/>
                <w:sz w:val="20"/>
                <w:szCs w:val="20"/>
              </w:rPr>
            </w:pPr>
            <w:r w:rsidRPr="00044387">
              <w:rPr>
                <w:b/>
                <w:bCs/>
                <w:noProof/>
                <w:color w:val="00B0F0"/>
                <w:sz w:val="20"/>
                <w:szCs w:val="20"/>
              </w:rPr>
              <w:t>QP2: Ability to Book</w:t>
            </w:r>
          </w:p>
          <w:p w14:paraId="285645A2" w14:textId="77777777" w:rsidR="00A76542" w:rsidRPr="00044387" w:rsidRDefault="00A76542">
            <w:pPr>
              <w:spacing w:after="120"/>
              <w:jc w:val="both"/>
              <w:rPr>
                <w:noProof/>
                <w:sz w:val="20"/>
                <w:szCs w:val="20"/>
              </w:rPr>
            </w:pPr>
            <w:r w:rsidRPr="00044387">
              <w:rPr>
                <w:noProof/>
                <w:sz w:val="20"/>
                <w:szCs w:val="20"/>
              </w:rPr>
              <w:t xml:space="preserve">Direction of impact expected to be neutral. </w:t>
            </w:r>
          </w:p>
          <w:p w14:paraId="10BA2A0D" w14:textId="77777777" w:rsidR="00A76542" w:rsidRPr="00044387" w:rsidRDefault="00A76542">
            <w:pPr>
              <w:spacing w:after="120"/>
              <w:jc w:val="both"/>
              <w:rPr>
                <w:noProof/>
                <w:sz w:val="20"/>
                <w:szCs w:val="20"/>
              </w:rPr>
            </w:pPr>
            <w:r w:rsidRPr="00044387">
              <w:rPr>
                <w:noProof/>
                <w:sz w:val="20"/>
                <w:szCs w:val="20"/>
              </w:rPr>
              <w:t>The obligation for B2C MDMS platforms to share data with public authorities does not directly impact consumers’ ability to book services. While the availability of more data may help authorities improve service offerings and identify where gaps exist, it does not change the commercial agreements or the integration of booking systems on MDMS platforms. Therefore, there is no direct impact on booking availability or ease of booking through MDMS platforms.</w:t>
            </w:r>
          </w:p>
          <w:p w14:paraId="50EBF22A" w14:textId="77777777" w:rsidR="00A76542" w:rsidRPr="00A60663" w:rsidRDefault="00A76542">
            <w:pPr>
              <w:spacing w:after="120"/>
              <w:jc w:val="both"/>
              <w:rPr>
                <w:noProof/>
                <w:sz w:val="20"/>
                <w:szCs w:val="20"/>
                <w:u w:val="single"/>
              </w:rPr>
            </w:pPr>
            <w:r w:rsidRPr="00A60663">
              <w:rPr>
                <w:noProof/>
                <w:sz w:val="20"/>
                <w:szCs w:val="20"/>
                <w:u w:val="single"/>
              </w:rPr>
              <w:t>Impact scores for this measure would be 0.</w:t>
            </w:r>
          </w:p>
        </w:tc>
      </w:tr>
      <w:tr w:rsidR="00A76542" w:rsidRPr="00044387" w14:paraId="5DA0996C" w14:textId="77777777">
        <w:trPr>
          <w:trHeight w:val="300"/>
        </w:trPr>
        <w:tc>
          <w:tcPr>
            <w:tcW w:w="1384" w:type="dxa"/>
          </w:tcPr>
          <w:p w14:paraId="111D8761" w14:textId="77777777" w:rsidR="00A76542" w:rsidRPr="00044387" w:rsidRDefault="00A76542">
            <w:pPr>
              <w:spacing w:after="120"/>
              <w:rPr>
                <w:noProof/>
                <w:sz w:val="20"/>
                <w:szCs w:val="20"/>
              </w:rPr>
            </w:pPr>
            <w:r w:rsidRPr="00044387">
              <w:rPr>
                <w:noProof/>
                <w:sz w:val="20"/>
                <w:szCs w:val="20"/>
              </w:rPr>
              <w:t>PM8</w:t>
            </w:r>
          </w:p>
        </w:tc>
        <w:tc>
          <w:tcPr>
            <w:tcW w:w="2552" w:type="dxa"/>
          </w:tcPr>
          <w:p w14:paraId="34DF4791" w14:textId="77777777" w:rsidR="00A76542" w:rsidRPr="00044387" w:rsidRDefault="00A76542">
            <w:pPr>
              <w:spacing w:after="120"/>
              <w:rPr>
                <w:noProof/>
                <w:sz w:val="20"/>
                <w:szCs w:val="20"/>
              </w:rPr>
            </w:pPr>
            <w:r w:rsidRPr="00044387">
              <w:rPr>
                <w:noProof/>
                <w:sz w:val="20"/>
                <w:szCs w:val="20"/>
              </w:rPr>
              <w:t>Obligation for all B2B and B2C MDMS platforms to display information on GHG or CO2 emissions of trips (when these data are provided by the operators in line with and Count Emissions EU and Flight Emission Label)</w:t>
            </w:r>
          </w:p>
        </w:tc>
        <w:tc>
          <w:tcPr>
            <w:tcW w:w="9956" w:type="dxa"/>
          </w:tcPr>
          <w:p w14:paraId="74C94968" w14:textId="77777777" w:rsidR="00A76542" w:rsidRPr="00044387" w:rsidRDefault="00A76542">
            <w:pPr>
              <w:spacing w:after="120"/>
              <w:jc w:val="both"/>
              <w:rPr>
                <w:b/>
                <w:bCs/>
                <w:noProof/>
                <w:color w:val="00B0F0"/>
                <w:sz w:val="20"/>
                <w:szCs w:val="20"/>
              </w:rPr>
            </w:pPr>
            <w:r w:rsidRPr="00044387">
              <w:rPr>
                <w:b/>
                <w:bCs/>
                <w:noProof/>
                <w:color w:val="00B0F0"/>
                <w:sz w:val="20"/>
                <w:szCs w:val="20"/>
              </w:rPr>
              <w:t>QP1: Completeness and Accuracy of Info</w:t>
            </w:r>
          </w:p>
          <w:p w14:paraId="691222C6" w14:textId="77777777" w:rsidR="00A76542" w:rsidRPr="00044387" w:rsidRDefault="00A76542">
            <w:pPr>
              <w:spacing w:after="120"/>
              <w:jc w:val="both"/>
              <w:rPr>
                <w:noProof/>
                <w:sz w:val="20"/>
                <w:szCs w:val="20"/>
              </w:rPr>
            </w:pPr>
            <w:r w:rsidRPr="00044387">
              <w:rPr>
                <w:noProof/>
                <w:sz w:val="20"/>
                <w:szCs w:val="20"/>
              </w:rPr>
              <w:t>Direction of impact expected to be positive: the display of GHG emissions, where provided by operators, improves the completeness of travel information by adding environmental data on displayed travel options. The accuracy of the data provided depends on the consistency and quality of operator-provided data, however, when standardized (such as through Count Emissions EU and Flight Emission Label) it is expected to be a reliable way for consumers to compare between travel options. Some MDMS platforms (e.g. Trainline) already display GHG emissions from participating operators, but this is not seen as an industry standard and many MDMS do not have this facility.</w:t>
            </w:r>
          </w:p>
          <w:p w14:paraId="77CCF9D7" w14:textId="77777777" w:rsidR="00A76542" w:rsidRPr="00A60663" w:rsidRDefault="00A76542">
            <w:pPr>
              <w:spacing w:after="120"/>
              <w:jc w:val="both"/>
              <w:rPr>
                <w:noProof/>
                <w:sz w:val="20"/>
                <w:szCs w:val="20"/>
                <w:u w:val="single"/>
              </w:rPr>
            </w:pPr>
            <w:r w:rsidRPr="00A60663">
              <w:rPr>
                <w:noProof/>
                <w:sz w:val="20"/>
                <w:szCs w:val="20"/>
                <w:u w:val="single"/>
              </w:rPr>
              <w:t>The impact score for this measure could range between 0 and +1:</w:t>
            </w:r>
          </w:p>
          <w:p w14:paraId="0D99AD3C" w14:textId="77777777" w:rsidR="00A76542" w:rsidRPr="00044387" w:rsidRDefault="00A76542">
            <w:pPr>
              <w:spacing w:after="120"/>
              <w:jc w:val="both"/>
              <w:rPr>
                <w:noProof/>
                <w:sz w:val="20"/>
                <w:szCs w:val="20"/>
              </w:rPr>
            </w:pPr>
            <w:r w:rsidRPr="00044387">
              <w:rPr>
                <w:noProof/>
                <w:sz w:val="20"/>
                <w:szCs w:val="20"/>
              </w:rPr>
              <w:t xml:space="preserve">Journey type: Emissions data are no more likely to be provided by an operator within one Member State than an international operator.  </w:t>
            </w:r>
          </w:p>
          <w:p w14:paraId="39023792" w14:textId="77777777" w:rsidR="00A76542" w:rsidRPr="00044387" w:rsidRDefault="00A76542">
            <w:pPr>
              <w:spacing w:after="120"/>
              <w:jc w:val="both"/>
              <w:rPr>
                <w:noProof/>
                <w:sz w:val="20"/>
                <w:szCs w:val="20"/>
              </w:rPr>
            </w:pPr>
            <w:r w:rsidRPr="00044387">
              <w:rPr>
                <w:noProof/>
                <w:sz w:val="20"/>
                <w:szCs w:val="20"/>
              </w:rPr>
              <w:t xml:space="preserve">Attractiveness: There may be higher operator participation and better data availability along competitive corridors due to operators wishing to differentiate from competitors on indicators other than cost and time. When a route is less attractive/has less traffic consumers are more limited by their travel options, and therefore an operator would have less incentive to provide this data. Additionally, in European regions where air travel remains the sole viable option (low demand) displaying emissions data offers limited practical relevance (as indicated by MDMS provider via interview) as GHG emissions would remain similar, although the use of SAF might reduce emissions of some flights compared to other similar offers. </w:t>
            </w:r>
          </w:p>
          <w:p w14:paraId="251AB295" w14:textId="77777777" w:rsidR="00A76542" w:rsidRPr="00044387" w:rsidRDefault="00A76542">
            <w:pPr>
              <w:spacing w:after="120"/>
              <w:jc w:val="both"/>
              <w:rPr>
                <w:noProof/>
                <w:sz w:val="20"/>
                <w:szCs w:val="20"/>
              </w:rPr>
            </w:pPr>
            <w:r w:rsidRPr="00044387">
              <w:rPr>
                <w:noProof/>
                <w:sz w:val="20"/>
                <w:szCs w:val="20"/>
              </w:rPr>
              <w:t xml:space="preserve">MDMS Advancement: MDMS platforms that are more developed, or more highly used (Leaders), may have more participating operators (one MDMS association, ADN Mobilites indicated support for inclusion of GHG emissions via interview). This could result in more GHG emissions data for consumers to compare between. In places where there is less usage or platforms (Followers), the inclusion of environmental data may have a reduced impact as there is less comparison. </w:t>
            </w:r>
          </w:p>
          <w:p w14:paraId="0C41D01B" w14:textId="77777777" w:rsidR="00A76542" w:rsidRPr="00044387" w:rsidRDefault="00A76542">
            <w:pPr>
              <w:spacing w:after="120"/>
              <w:jc w:val="both"/>
              <w:rPr>
                <w:noProof/>
                <w:sz w:val="20"/>
                <w:szCs w:val="20"/>
              </w:rPr>
            </w:pPr>
            <w:r w:rsidRPr="00044387">
              <w:rPr>
                <w:noProof/>
                <w:sz w:val="20"/>
                <w:szCs w:val="20"/>
              </w:rPr>
              <w:t xml:space="preserve">Overall Assessment: This PM can positively impact the provision of accurate and complete data to customers, specifically along more trafficked routes or places with higher MDMS usage as this will enable consumers to compare between transport operators more readily. The score is capped at +1 as some MDMS platforms already display GHG emissions, therefore limiting the additional positive impact this measure may have compared to the baseline. </w:t>
            </w:r>
          </w:p>
          <w:p w14:paraId="48DD5E3B" w14:textId="77777777" w:rsidR="00A76542" w:rsidRPr="00044387" w:rsidRDefault="00A76542">
            <w:pPr>
              <w:spacing w:after="120"/>
              <w:jc w:val="both"/>
              <w:rPr>
                <w:b/>
                <w:bCs/>
                <w:noProof/>
                <w:color w:val="00B0F0"/>
                <w:sz w:val="20"/>
                <w:szCs w:val="20"/>
              </w:rPr>
            </w:pPr>
            <w:r w:rsidRPr="00044387">
              <w:rPr>
                <w:b/>
                <w:bCs/>
                <w:noProof/>
                <w:color w:val="00B0F0"/>
                <w:sz w:val="20"/>
                <w:szCs w:val="20"/>
              </w:rPr>
              <w:t>QP2: Ability to Book</w:t>
            </w:r>
          </w:p>
          <w:p w14:paraId="6F74D6F8" w14:textId="77777777" w:rsidR="00A76542" w:rsidRPr="00044387" w:rsidRDefault="00A76542">
            <w:pPr>
              <w:spacing w:after="120"/>
              <w:jc w:val="both"/>
              <w:rPr>
                <w:noProof/>
                <w:sz w:val="20"/>
                <w:szCs w:val="20"/>
              </w:rPr>
            </w:pPr>
            <w:r w:rsidRPr="00044387">
              <w:rPr>
                <w:noProof/>
                <w:sz w:val="20"/>
                <w:szCs w:val="20"/>
              </w:rPr>
              <w:t xml:space="preserve">Direction of impact expected to be neutral: The display of information on GHG emissions of trips does not impact the ability of consumers to book transport tickets. </w:t>
            </w:r>
          </w:p>
          <w:p w14:paraId="7067EA9E" w14:textId="77777777" w:rsidR="00A76542" w:rsidRPr="00A60663" w:rsidRDefault="00A76542">
            <w:pPr>
              <w:spacing w:after="120"/>
              <w:jc w:val="both"/>
              <w:rPr>
                <w:noProof/>
                <w:sz w:val="20"/>
                <w:szCs w:val="20"/>
                <w:u w:val="single"/>
              </w:rPr>
            </w:pPr>
            <w:r w:rsidRPr="00A60663">
              <w:rPr>
                <w:noProof/>
                <w:sz w:val="20"/>
                <w:szCs w:val="20"/>
                <w:u w:val="single"/>
              </w:rPr>
              <w:t xml:space="preserve">Impact scores would be 0: for the reasons above. </w:t>
            </w:r>
          </w:p>
        </w:tc>
      </w:tr>
      <w:tr w:rsidR="00A76542" w:rsidRPr="00044387" w14:paraId="4A9C1901" w14:textId="77777777">
        <w:trPr>
          <w:trHeight w:val="300"/>
        </w:trPr>
        <w:tc>
          <w:tcPr>
            <w:tcW w:w="1384" w:type="dxa"/>
          </w:tcPr>
          <w:p w14:paraId="752A9EF8" w14:textId="77777777" w:rsidR="00A76542" w:rsidRPr="00044387" w:rsidRDefault="00A76542">
            <w:pPr>
              <w:spacing w:after="120"/>
              <w:rPr>
                <w:noProof/>
                <w:sz w:val="20"/>
                <w:szCs w:val="20"/>
              </w:rPr>
            </w:pPr>
            <w:r w:rsidRPr="00044387">
              <w:rPr>
                <w:noProof/>
                <w:sz w:val="20"/>
                <w:szCs w:val="20"/>
              </w:rPr>
              <w:t>Grouping 1</w:t>
            </w:r>
          </w:p>
        </w:tc>
        <w:tc>
          <w:tcPr>
            <w:tcW w:w="2552" w:type="dxa"/>
          </w:tcPr>
          <w:p w14:paraId="7F218F05" w14:textId="17D3D8C2" w:rsidR="00A76542" w:rsidRPr="00044387" w:rsidRDefault="00A76542">
            <w:pPr>
              <w:spacing w:after="120"/>
              <w:rPr>
                <w:noProof/>
                <w:sz w:val="20"/>
                <w:szCs w:val="20"/>
              </w:rPr>
            </w:pPr>
            <w:r w:rsidRPr="00044387">
              <w:rPr>
                <w:noProof/>
                <w:sz w:val="20"/>
                <w:szCs w:val="20"/>
              </w:rPr>
              <w:t xml:space="preserve">This grouping corresponds </w:t>
            </w:r>
            <w:r w:rsidR="006211B3">
              <w:rPr>
                <w:noProof/>
                <w:sz w:val="20"/>
                <w:szCs w:val="20"/>
              </w:rPr>
              <w:t>to</w:t>
            </w:r>
            <w:r w:rsidR="006211B3" w:rsidRPr="00044387">
              <w:rPr>
                <w:noProof/>
                <w:sz w:val="20"/>
                <w:szCs w:val="20"/>
              </w:rPr>
              <w:t xml:space="preserve"> </w:t>
            </w:r>
            <w:r w:rsidR="009C0F4A" w:rsidRPr="00117904">
              <w:rPr>
                <w:noProof/>
                <w:sz w:val="20"/>
                <w:szCs w:val="20"/>
              </w:rPr>
              <w:t>PM</w:t>
            </w:r>
            <w:r w:rsidRPr="00117904">
              <w:rPr>
                <w:noProof/>
                <w:sz w:val="20"/>
                <w:szCs w:val="20"/>
              </w:rPr>
              <w:t>9</w:t>
            </w:r>
            <w:r w:rsidR="009C0F4A">
              <w:rPr>
                <w:noProof/>
                <w:sz w:val="20"/>
                <w:szCs w:val="20"/>
              </w:rPr>
              <w:t xml:space="preserve"> to PM</w:t>
            </w:r>
            <w:r w:rsidRPr="00044387">
              <w:rPr>
                <w:noProof/>
                <w:sz w:val="20"/>
                <w:szCs w:val="20"/>
              </w:rPr>
              <w:t xml:space="preserve">15 that are applicable in </w:t>
            </w:r>
            <w:r w:rsidR="009C0F4A" w:rsidRPr="00117904">
              <w:rPr>
                <w:noProof/>
                <w:sz w:val="20"/>
                <w:szCs w:val="20"/>
              </w:rPr>
              <w:t>PO1:</w:t>
            </w:r>
            <w:r w:rsidRPr="00044387">
              <w:rPr>
                <w:noProof/>
                <w:sz w:val="20"/>
                <w:szCs w:val="20"/>
              </w:rPr>
              <w:t xml:space="preserve"> PM9, PM10, PM11, PM12</w:t>
            </w:r>
            <w:r w:rsidR="009C0F4A">
              <w:rPr>
                <w:noProof/>
                <w:sz w:val="20"/>
                <w:szCs w:val="20"/>
              </w:rPr>
              <w:t>.</w:t>
            </w:r>
          </w:p>
          <w:p w14:paraId="4578A7A1" w14:textId="77777777" w:rsidR="00A76542" w:rsidRPr="00044387" w:rsidRDefault="00A76542">
            <w:pPr>
              <w:spacing w:after="120"/>
              <w:rPr>
                <w:noProof/>
                <w:sz w:val="20"/>
                <w:szCs w:val="20"/>
              </w:rPr>
            </w:pPr>
            <w:r w:rsidRPr="00044387">
              <w:rPr>
                <w:noProof/>
                <w:sz w:val="20"/>
                <w:szCs w:val="20"/>
              </w:rPr>
              <w:t>PM9: Thresholds to identify B2C MDMS platforms and railway undertakings with SMP</w:t>
            </w:r>
          </w:p>
          <w:p w14:paraId="40C3AC39" w14:textId="77777777" w:rsidR="00A76542" w:rsidRPr="00044387" w:rsidRDefault="00A76542">
            <w:pPr>
              <w:spacing w:after="120"/>
              <w:rPr>
                <w:noProof/>
                <w:sz w:val="20"/>
                <w:szCs w:val="20"/>
              </w:rPr>
            </w:pPr>
            <w:r w:rsidRPr="00044387">
              <w:rPr>
                <w:noProof/>
                <w:sz w:val="20"/>
                <w:szCs w:val="20"/>
              </w:rPr>
              <w:t>PM10: B2C MDMS platforms and railway undertakings with SMP at national or EU level notify national authorities or EC of their market presence.</w:t>
            </w:r>
          </w:p>
          <w:p w14:paraId="2DB2CD4A" w14:textId="2AD859C7" w:rsidR="00A76542" w:rsidRPr="00044387" w:rsidRDefault="00A76542">
            <w:pPr>
              <w:spacing w:after="120"/>
              <w:rPr>
                <w:noProof/>
                <w:sz w:val="20"/>
                <w:szCs w:val="20"/>
              </w:rPr>
            </w:pPr>
            <w:r w:rsidRPr="00044387">
              <w:rPr>
                <w:noProof/>
                <w:sz w:val="20"/>
                <w:szCs w:val="20"/>
              </w:rPr>
              <w:t xml:space="preserve">PM11 and PM12: B2C MDMS platforms with SMP, indispensable RU </w:t>
            </w:r>
            <w:r w:rsidR="009C0F4A" w:rsidRPr="00117904">
              <w:rPr>
                <w:noProof/>
                <w:sz w:val="20"/>
                <w:szCs w:val="20"/>
              </w:rPr>
              <w:t>platforms</w:t>
            </w:r>
            <w:r w:rsidRPr="00044387">
              <w:rPr>
                <w:noProof/>
                <w:sz w:val="20"/>
                <w:szCs w:val="20"/>
              </w:rPr>
              <w:t xml:space="preserve"> indispensable RUs and B2B MDMS: must respect principles on distribution fees and cannot impose highly restrictive clauses (exclusivity clauses, unfair and unjustified conditions, marketing clauses and other technical restrictions) when entering into commercial agreements with transport operators</w:t>
            </w:r>
          </w:p>
          <w:p w14:paraId="3F7A6DC5" w14:textId="77777777" w:rsidR="00A76542" w:rsidRPr="00044387" w:rsidRDefault="00A76542">
            <w:pPr>
              <w:spacing w:after="120"/>
              <w:rPr>
                <w:noProof/>
                <w:sz w:val="20"/>
                <w:szCs w:val="20"/>
              </w:rPr>
            </w:pPr>
          </w:p>
        </w:tc>
        <w:tc>
          <w:tcPr>
            <w:tcW w:w="9956" w:type="dxa"/>
          </w:tcPr>
          <w:p w14:paraId="53D94458" w14:textId="77777777" w:rsidR="00A76542" w:rsidRPr="00044387" w:rsidRDefault="00A76542">
            <w:pPr>
              <w:spacing w:after="120"/>
              <w:jc w:val="both"/>
              <w:rPr>
                <w:noProof/>
                <w:sz w:val="20"/>
                <w:szCs w:val="20"/>
              </w:rPr>
            </w:pPr>
            <w:r w:rsidRPr="00044387">
              <w:rPr>
                <w:noProof/>
                <w:sz w:val="20"/>
                <w:szCs w:val="20"/>
              </w:rPr>
              <w:t xml:space="preserve">No impact is expected from PM9 or PM10. PM9 constitutes actions for policymakers to set SMP thresholds, while PM10 constitutes actions for platforms and RUs to notify to MS authorities when they reach those thresholds at national level, and in turn for MS authorities to notify EC authorities. When the thresholds are reached at EU level, MDMS platforms directly notify EC authorities. There are interactive effects with PM11 and PM12 which introduce obligations on those platforms and indispensable railway undertakings, but the full impacts on QPs is attributed to the obligations, accounted for below to avoid duplication. </w:t>
            </w:r>
          </w:p>
          <w:p w14:paraId="4DE07A39" w14:textId="77777777" w:rsidR="00A76542" w:rsidRPr="00044387" w:rsidRDefault="00A76542">
            <w:pPr>
              <w:spacing w:after="120"/>
              <w:jc w:val="both"/>
              <w:rPr>
                <w:b/>
                <w:bCs/>
                <w:noProof/>
                <w:color w:val="00B0F0"/>
                <w:sz w:val="20"/>
                <w:szCs w:val="20"/>
              </w:rPr>
            </w:pPr>
            <w:r w:rsidRPr="00044387">
              <w:rPr>
                <w:b/>
                <w:bCs/>
                <w:noProof/>
                <w:color w:val="00B0F0"/>
                <w:sz w:val="20"/>
                <w:szCs w:val="20"/>
              </w:rPr>
              <w:t>QP1: Completeness and Accuracy of Information</w:t>
            </w:r>
          </w:p>
          <w:p w14:paraId="37BDBF2A" w14:textId="77777777" w:rsidR="00A76542" w:rsidRPr="00044387" w:rsidRDefault="00A76542">
            <w:pPr>
              <w:spacing w:after="120"/>
              <w:jc w:val="both"/>
              <w:rPr>
                <w:noProof/>
                <w:sz w:val="20"/>
                <w:szCs w:val="20"/>
              </w:rPr>
            </w:pPr>
            <w:r w:rsidRPr="00044387">
              <w:rPr>
                <w:noProof/>
                <w:sz w:val="20"/>
                <w:szCs w:val="20"/>
              </w:rPr>
              <w:t>Direction of impact from PM11 and PM12 expected to be positive: this group of policy measures aims to prohibit restrictive contractual clauses by indispensable railway undertakings and indispensable MDMS platforms and introduces fairer distribution fee principles. These principles could facilitate agreements between MDMS platforms and operators, directly targeting gatekeeping behaviour, curbing anti-competitive practices, and enhancing transparency and fairness. This group of measures can also be expected to fix existing biases and limitations in the presentation of service offerings of new entrant RUs on MDMS platforms and indispensable RU platforms. Thich could increase the number of operators on those platforms, improving completeness (referred during the interviews by three MDMS providers including ADN Mobilités and EU Travel Tech, one national authority, and the consumer organisation EPF). Thes measures will target platforms and RUs with a strategic position in the market, ensuring that the obligations are applied proportionally, avoiding overburdening smaller or emerging MDMS platforms or railway undertakings.</w:t>
            </w:r>
          </w:p>
          <w:p w14:paraId="055B7BAA" w14:textId="77777777" w:rsidR="00A76542" w:rsidRPr="00A60663" w:rsidRDefault="00A76542">
            <w:pPr>
              <w:spacing w:after="120"/>
              <w:jc w:val="both"/>
              <w:rPr>
                <w:noProof/>
                <w:sz w:val="20"/>
                <w:szCs w:val="20"/>
                <w:u w:val="single"/>
              </w:rPr>
            </w:pPr>
            <w:r w:rsidRPr="00A60663">
              <w:rPr>
                <w:noProof/>
                <w:sz w:val="20"/>
                <w:szCs w:val="20"/>
                <w:u w:val="single"/>
              </w:rPr>
              <w:t>The impact score for this group of measures could range between 0 and +2:</w:t>
            </w:r>
          </w:p>
          <w:p w14:paraId="21A3CE39" w14:textId="77777777" w:rsidR="00A76542" w:rsidRPr="00044387" w:rsidRDefault="00A76542">
            <w:pPr>
              <w:spacing w:after="120"/>
              <w:jc w:val="both"/>
              <w:rPr>
                <w:noProof/>
                <w:sz w:val="20"/>
                <w:szCs w:val="20"/>
              </w:rPr>
            </w:pPr>
            <w:r w:rsidRPr="00044387">
              <w:rPr>
                <w:noProof/>
                <w:sz w:val="20"/>
                <w:szCs w:val="20"/>
              </w:rPr>
              <w:t>Journey type: The highest impact is expected in the context of international journeys, particularly cross-border rail services. These trips are often fragmented in terms of data availability, pricing, and booking options due to the lack of  equal treatment of RUs operating national legs, vertically integrated MDMS with proprietary sales channels favouring their own services, and protectionist strategies by incumbents (this was referred during interviews by two rail incumbents including DB, but also UITP representing the view of public transport operators). By targeting indispensable RUs and MDMS with SMP, the measures would compel greater commercial openness, reducing information asymmetries and improving the visibility of available cross-border options (interviews with four stakeholders: a rail ticketing platform, an international bus and rail operator, a new-entrant railway undertakings, and a private mobility platform). Some impact is still expected in domestic or regional trips: MDMS platforms sometimes reflect the full inventory (interview with EMTA), but there is evidence of cases where RUs within an EU Member State are not integrated into MDMS platforms.</w:t>
            </w:r>
          </w:p>
          <w:p w14:paraId="511FC812" w14:textId="77777777" w:rsidR="00A76542" w:rsidRPr="00044387" w:rsidRDefault="00A76542">
            <w:pPr>
              <w:spacing w:after="120"/>
              <w:jc w:val="both"/>
              <w:rPr>
                <w:noProof/>
                <w:sz w:val="20"/>
                <w:szCs w:val="20"/>
              </w:rPr>
            </w:pPr>
            <w:r w:rsidRPr="00044387">
              <w:rPr>
                <w:noProof/>
                <w:sz w:val="20"/>
                <w:szCs w:val="20"/>
              </w:rPr>
              <w:t xml:space="preserve">Attractiveness: The measure is likely to yield the greatest improvements in high-demand, highly populated corridors, where RUs with SMP may control also distribution channels. On such routes, smaller RUs and alternative services often remain less visible to consumers due to lack of access to dominant MDMS platforms. Requiring non-discriminatory agreements would enhance transparency, increasing consumers’ visible choices and potentially stimulating modal shift (interviews with WestBahn and T&amp;E). On low-demand routes, however, where there might be a lack of alternative transport options, even full information availability is unlikely to trigger substantial behavioural change, as barriers such as frequency, speed, and service coverage dominate user preferences (interview with CER and BEUC). </w:t>
            </w:r>
          </w:p>
          <w:p w14:paraId="4B4B4E27" w14:textId="77777777" w:rsidR="00A76542" w:rsidRPr="00044387" w:rsidRDefault="00A76542">
            <w:pPr>
              <w:spacing w:after="120"/>
              <w:jc w:val="both"/>
              <w:rPr>
                <w:noProof/>
                <w:sz w:val="20"/>
                <w:szCs w:val="20"/>
              </w:rPr>
            </w:pPr>
            <w:r w:rsidRPr="00044387">
              <w:rPr>
                <w:noProof/>
                <w:sz w:val="20"/>
                <w:szCs w:val="20"/>
              </w:rPr>
              <w:t>MDMS advancement: The greatest effects will likely be seen in regions where the MDMS market is already advanced, but where competitive distortions persist due to discrimination in the context of vertical integration or SMP (the problem of discrimination in the context of vertical integration was referred in interviews by four independent MDMS providers such as DoHop, by consumer organisations, such as EPF, and by other organisations like ECTAA). In this context, the measures introduce a governance mechanism to enable access to commercially significant distribution platforms, on a fair basis. The result is likely to be increased transparency and better coordination between platforms and RUs. In less developed MDMS regions, while the legal framework could provide a signal for future interoperability, the short-term impact can be expected to be more limited. The absence of mature MDMS players reduces the immediacy of the problem these measures are designed to address. The role of regional RUs particularly in Germany and France, requires separate consideration. In these contexts, regional authorities—not operators—control fare and ticketing policies (mentioned during interviews by a MDMS provider, and the incumbent rail operator SNCF and one other organisation).</w:t>
            </w:r>
          </w:p>
          <w:p w14:paraId="2302126D" w14:textId="77777777" w:rsidR="00A76542" w:rsidRPr="00044387" w:rsidRDefault="00A76542">
            <w:pPr>
              <w:spacing w:after="120"/>
              <w:jc w:val="both"/>
              <w:rPr>
                <w:noProof/>
                <w:sz w:val="20"/>
                <w:szCs w:val="20"/>
              </w:rPr>
            </w:pPr>
            <w:r w:rsidRPr="00044387">
              <w:rPr>
                <w:noProof/>
                <w:sz w:val="20"/>
                <w:szCs w:val="20"/>
              </w:rPr>
              <w:t>Overall assessment: These measures will likely result in a positive effect on the completeness and accuracy of information across digital mobility platforms, especially in high-demand, competitive corridors and fragmented international routes. The impact is capped at +2 as the requirement to respect the ‘specific rules’ will not necessarily lead to more agreements being made between platforms and operators, it will only encourage cooperation ensuring this would be on a fair basis. The impact could be neutral on national routes with little alternative journey options.</w:t>
            </w:r>
          </w:p>
          <w:p w14:paraId="72B9EDAD" w14:textId="77777777" w:rsidR="00A76542" w:rsidRPr="00044387" w:rsidRDefault="00A76542">
            <w:pPr>
              <w:spacing w:after="120"/>
              <w:jc w:val="both"/>
              <w:rPr>
                <w:b/>
                <w:bCs/>
                <w:noProof/>
                <w:color w:val="00B0F0"/>
                <w:sz w:val="20"/>
                <w:szCs w:val="20"/>
              </w:rPr>
            </w:pPr>
            <w:r w:rsidRPr="00044387">
              <w:rPr>
                <w:b/>
                <w:bCs/>
                <w:noProof/>
                <w:color w:val="00B0F0"/>
                <w:sz w:val="20"/>
                <w:szCs w:val="20"/>
              </w:rPr>
              <w:t>QP2: Ability to Book</w:t>
            </w:r>
          </w:p>
          <w:p w14:paraId="61E0090C" w14:textId="77777777" w:rsidR="00A76542" w:rsidRPr="00044387" w:rsidRDefault="00A76542">
            <w:pPr>
              <w:spacing w:after="120"/>
              <w:jc w:val="both"/>
              <w:rPr>
                <w:noProof/>
                <w:sz w:val="20"/>
                <w:szCs w:val="20"/>
              </w:rPr>
            </w:pPr>
            <w:r w:rsidRPr="00044387">
              <w:rPr>
                <w:noProof/>
                <w:sz w:val="20"/>
                <w:szCs w:val="20"/>
              </w:rPr>
              <w:t>Direction of impact for PM11 and PM12 expected to be neutral or slightly positive: the respect of specific rules applicable to those with SMP again functions as a precondition or enabler. By pinpointing where booking restrictions are likely imposed by dominant players, it justifies and refines the application of rules for commercial agreement. On its own, these principles would do little to alter booking capabilities, particularly in the case of MDMS platforms controlled by PTAs, where both operators and distribution channels are already under PTA control and the measure does not enhance this existing coordination. However, there is an argument that these rules may indirectly generate an incentive for platforms to improve ability to book: for example, by providing greater confidence on the commercial terms that MDMS platforms could negotiate with operators, this may increase the incentive to invest in new booking functionalities.</w:t>
            </w:r>
          </w:p>
          <w:p w14:paraId="6AC7ED4B" w14:textId="77777777" w:rsidR="00A76542" w:rsidRPr="00A60663" w:rsidRDefault="00A76542">
            <w:pPr>
              <w:spacing w:after="120"/>
              <w:jc w:val="both"/>
              <w:rPr>
                <w:noProof/>
                <w:sz w:val="20"/>
                <w:szCs w:val="20"/>
                <w:u w:val="single"/>
              </w:rPr>
            </w:pPr>
            <w:r w:rsidRPr="00A60663">
              <w:rPr>
                <w:noProof/>
                <w:sz w:val="20"/>
                <w:szCs w:val="20"/>
                <w:u w:val="single"/>
              </w:rPr>
              <w:t>The impact score for this group of measures could range between 0 and +1:</w:t>
            </w:r>
          </w:p>
          <w:p w14:paraId="12E75195" w14:textId="77777777" w:rsidR="00A76542" w:rsidRPr="00044387" w:rsidRDefault="00A76542">
            <w:pPr>
              <w:spacing w:after="120"/>
              <w:jc w:val="both"/>
              <w:rPr>
                <w:noProof/>
                <w:sz w:val="20"/>
                <w:szCs w:val="20"/>
              </w:rPr>
            </w:pPr>
            <w:r w:rsidRPr="00044387">
              <w:rPr>
                <w:noProof/>
                <w:sz w:val="20"/>
                <w:szCs w:val="20"/>
              </w:rPr>
              <w:t>Journey Type: functionalities on platforms may be slightly more likely to improve on international routes since cross-border rail services are automatically in-scope regardless of the market power of an individual operators, meaning that there may be broader confidence on the terms negotiated on such routes and encouraging development of cross-border booking capabilities. By contrast, national routes will only sometimes have SMP, so these incentives to invest in booking functionality will be scattered depending on the coverage of the operators or platforms with SMP.</w:t>
            </w:r>
          </w:p>
          <w:p w14:paraId="2189946D" w14:textId="77777777" w:rsidR="00A76542" w:rsidRPr="00044387" w:rsidRDefault="00A76542">
            <w:pPr>
              <w:spacing w:after="120"/>
              <w:jc w:val="both"/>
              <w:rPr>
                <w:noProof/>
                <w:sz w:val="20"/>
                <w:szCs w:val="20"/>
              </w:rPr>
            </w:pPr>
            <w:r w:rsidRPr="00044387">
              <w:rPr>
                <w:noProof/>
                <w:sz w:val="20"/>
                <w:szCs w:val="20"/>
              </w:rPr>
              <w:t xml:space="preserve">Attractiveness: Impact will likely be greater in attractive, high-demand corridors. Dominant players in the transport sector are typically more inclined to operate on high-demand or heavily trafficked routes, where passenger volumes ensure greater commercial viability. These corridors offer higher revenue potential and better economies of scale, allowing large operators to maximise returns on infrastructure, rolling stock, and service investments. As a result, they tend to concentrate their services in these areas, reinforcing their market position and brand visibility. To the extent that they can exert this power to negotiate unfair commercial terms, it will be more likely on these routes. </w:t>
            </w:r>
          </w:p>
          <w:p w14:paraId="360FCF3F" w14:textId="77777777" w:rsidR="00A76542" w:rsidRPr="00044387" w:rsidRDefault="00A76542">
            <w:pPr>
              <w:spacing w:after="120"/>
              <w:jc w:val="both"/>
              <w:rPr>
                <w:noProof/>
                <w:sz w:val="20"/>
                <w:szCs w:val="20"/>
              </w:rPr>
            </w:pPr>
            <w:r w:rsidRPr="00044387">
              <w:rPr>
                <w:noProof/>
                <w:sz w:val="20"/>
                <w:szCs w:val="20"/>
              </w:rPr>
              <w:t xml:space="preserve">MDMS Advancement: In follower regions, where MDMS ecosystems are still developing, this group of measures may help accelerate integration and prevent the entrenchment of gatekeeping behaviour. There will therefore be a larger, long-term effect on follower regions, while in advanced MDMS a shorter term (smaller) impact is expected. </w:t>
            </w:r>
          </w:p>
          <w:p w14:paraId="1B313A73" w14:textId="77777777" w:rsidR="00A76542" w:rsidRPr="00044387" w:rsidRDefault="00A76542">
            <w:pPr>
              <w:spacing w:after="120"/>
              <w:jc w:val="both"/>
              <w:rPr>
                <w:noProof/>
                <w:sz w:val="20"/>
                <w:szCs w:val="20"/>
              </w:rPr>
            </w:pPr>
            <w:r w:rsidRPr="00044387">
              <w:rPr>
                <w:noProof/>
                <w:sz w:val="20"/>
                <w:szCs w:val="20"/>
              </w:rPr>
              <w:t xml:space="preserve">Overall Assessment: The positive impact is capped at +1 because booking capabilities are unlikely to be directly impacted by this group of policy measures. In areas where MDMS has more value, an increase in the integration potential may indirectly lead to an increase in MDMSs and their services (innovation), but this would be only an indirect effect. The impact could even be neutral on national routes where SMP does not exist. </w:t>
            </w:r>
          </w:p>
        </w:tc>
      </w:tr>
      <w:tr w:rsidR="00A76542" w:rsidRPr="00044387" w14:paraId="082E1E81" w14:textId="77777777">
        <w:trPr>
          <w:trHeight w:val="300"/>
        </w:trPr>
        <w:tc>
          <w:tcPr>
            <w:tcW w:w="1384" w:type="dxa"/>
          </w:tcPr>
          <w:p w14:paraId="61782349" w14:textId="77777777" w:rsidR="00A76542" w:rsidRPr="00044387" w:rsidRDefault="00A76542">
            <w:pPr>
              <w:spacing w:after="120"/>
              <w:rPr>
                <w:noProof/>
                <w:sz w:val="20"/>
                <w:szCs w:val="20"/>
              </w:rPr>
            </w:pPr>
            <w:r w:rsidRPr="00044387">
              <w:rPr>
                <w:noProof/>
                <w:sz w:val="20"/>
                <w:szCs w:val="20"/>
              </w:rPr>
              <w:t>Grouping 2</w:t>
            </w:r>
          </w:p>
        </w:tc>
        <w:tc>
          <w:tcPr>
            <w:tcW w:w="2552" w:type="dxa"/>
          </w:tcPr>
          <w:p w14:paraId="58EEA53F" w14:textId="437C4090" w:rsidR="00A76542" w:rsidRPr="00044387" w:rsidRDefault="00A76542">
            <w:pPr>
              <w:spacing w:after="120"/>
              <w:rPr>
                <w:noProof/>
                <w:sz w:val="20"/>
                <w:szCs w:val="20"/>
              </w:rPr>
            </w:pPr>
            <w:r w:rsidRPr="00044387">
              <w:rPr>
                <w:noProof/>
                <w:sz w:val="20"/>
                <w:szCs w:val="20"/>
              </w:rPr>
              <w:t xml:space="preserve">This grouping corresponds </w:t>
            </w:r>
            <w:r w:rsidR="006211B3">
              <w:rPr>
                <w:noProof/>
                <w:sz w:val="20"/>
                <w:szCs w:val="20"/>
              </w:rPr>
              <w:t>to</w:t>
            </w:r>
            <w:r w:rsidR="006211B3" w:rsidRPr="00044387">
              <w:rPr>
                <w:noProof/>
                <w:sz w:val="20"/>
                <w:szCs w:val="20"/>
              </w:rPr>
              <w:t xml:space="preserve"> </w:t>
            </w:r>
            <w:r w:rsidR="005D2350" w:rsidRPr="00117904">
              <w:rPr>
                <w:noProof/>
                <w:sz w:val="20"/>
                <w:szCs w:val="20"/>
              </w:rPr>
              <w:t>PM9</w:t>
            </w:r>
            <w:r w:rsidR="005D2350">
              <w:rPr>
                <w:noProof/>
                <w:sz w:val="20"/>
                <w:szCs w:val="20"/>
              </w:rPr>
              <w:t xml:space="preserve"> to PM15</w:t>
            </w:r>
            <w:r w:rsidRPr="00044387">
              <w:rPr>
                <w:noProof/>
                <w:sz w:val="20"/>
                <w:szCs w:val="20"/>
              </w:rPr>
              <w:t xml:space="preserve"> that are applicable in </w:t>
            </w:r>
            <w:r w:rsidR="005D2350" w:rsidRPr="00117904">
              <w:rPr>
                <w:noProof/>
                <w:sz w:val="20"/>
                <w:szCs w:val="20"/>
              </w:rPr>
              <w:t>PO2:</w:t>
            </w:r>
            <w:r w:rsidRPr="00044387" w:rsidDel="005D2350">
              <w:rPr>
                <w:noProof/>
                <w:sz w:val="20"/>
                <w:szCs w:val="20"/>
              </w:rPr>
              <w:t xml:space="preserve"> </w:t>
            </w:r>
            <w:r w:rsidRPr="00044387">
              <w:rPr>
                <w:noProof/>
                <w:sz w:val="20"/>
                <w:szCs w:val="20"/>
              </w:rPr>
              <w:t>PM9, PM10, PM11, PM12, and PM13.</w:t>
            </w:r>
          </w:p>
          <w:p w14:paraId="56465A25" w14:textId="77777777" w:rsidR="00A76542" w:rsidRPr="00044387" w:rsidRDefault="00A76542">
            <w:pPr>
              <w:spacing w:after="120"/>
              <w:rPr>
                <w:noProof/>
                <w:sz w:val="20"/>
                <w:szCs w:val="20"/>
              </w:rPr>
            </w:pPr>
            <w:r w:rsidRPr="00044387">
              <w:rPr>
                <w:noProof/>
                <w:sz w:val="20"/>
                <w:szCs w:val="20"/>
              </w:rPr>
              <w:t xml:space="preserve">Measures are the same as in Grouping 1, with the addition of: </w:t>
            </w:r>
          </w:p>
          <w:p w14:paraId="63FD2BBC" w14:textId="77777777" w:rsidR="00A76542" w:rsidRPr="00044387" w:rsidRDefault="00A76542">
            <w:pPr>
              <w:spacing w:after="120"/>
              <w:rPr>
                <w:noProof/>
                <w:sz w:val="20"/>
                <w:szCs w:val="20"/>
              </w:rPr>
            </w:pPr>
            <w:r w:rsidRPr="00044387">
              <w:rPr>
                <w:noProof/>
                <w:sz w:val="20"/>
                <w:szCs w:val="20"/>
              </w:rPr>
              <w:t>PM13: Indispensable RU (with SMP and to all other rail undertakings in relation to PSO and cross- border services): must enter into commercial agreements with willing MDMS platforms to enable the re-linking, resale and/or distribution of their tickets</w:t>
            </w:r>
          </w:p>
          <w:p w14:paraId="0283B387" w14:textId="77777777" w:rsidR="00A76542" w:rsidRPr="00044387" w:rsidRDefault="00A76542">
            <w:pPr>
              <w:spacing w:after="120"/>
              <w:rPr>
                <w:noProof/>
                <w:sz w:val="20"/>
                <w:szCs w:val="20"/>
              </w:rPr>
            </w:pPr>
          </w:p>
        </w:tc>
        <w:tc>
          <w:tcPr>
            <w:tcW w:w="9956" w:type="dxa"/>
          </w:tcPr>
          <w:p w14:paraId="118AE88F" w14:textId="77777777" w:rsidR="00A76542" w:rsidRPr="00044387" w:rsidRDefault="00A76542">
            <w:pPr>
              <w:spacing w:after="120"/>
              <w:jc w:val="both"/>
              <w:rPr>
                <w:b/>
                <w:bCs/>
                <w:noProof/>
                <w:color w:val="00B0F0"/>
                <w:sz w:val="20"/>
                <w:szCs w:val="20"/>
              </w:rPr>
            </w:pPr>
            <w:r w:rsidRPr="00044387">
              <w:rPr>
                <w:b/>
                <w:bCs/>
                <w:noProof/>
                <w:color w:val="00B0F0"/>
                <w:sz w:val="20"/>
                <w:szCs w:val="20"/>
              </w:rPr>
              <w:t>QP1: Completeness and Accuracy of Info</w:t>
            </w:r>
          </w:p>
          <w:p w14:paraId="1908775E" w14:textId="77777777" w:rsidR="00A76542" w:rsidRPr="00044387" w:rsidRDefault="00A76542">
            <w:pPr>
              <w:spacing w:after="120"/>
              <w:jc w:val="both"/>
              <w:rPr>
                <w:noProof/>
                <w:sz w:val="20"/>
                <w:szCs w:val="20"/>
              </w:rPr>
            </w:pPr>
            <w:r w:rsidRPr="00044387">
              <w:rPr>
                <w:noProof/>
                <w:sz w:val="20"/>
                <w:szCs w:val="20"/>
              </w:rPr>
              <w:t xml:space="preserve">Direction of impact expected to be positive: This grouping introduces obligations aimed at increasing the availability of incumbent RUs offerings on online ticketing platform. The addition of PM13 establishes an obligation for indispensable RUs to enter into agreement with willing online ticketing platform, ensuring that their services are made available on any willing platform. This addresses gaps where incumbent offerings were previously limited to direct channels or linked platforms that may prioritise their own services.  </w:t>
            </w:r>
          </w:p>
          <w:p w14:paraId="74D80B37" w14:textId="77777777" w:rsidR="00A76542" w:rsidRPr="00A60663" w:rsidRDefault="00A76542">
            <w:pPr>
              <w:spacing w:after="120"/>
              <w:jc w:val="both"/>
              <w:rPr>
                <w:noProof/>
                <w:sz w:val="20"/>
                <w:szCs w:val="20"/>
                <w:u w:val="single"/>
              </w:rPr>
            </w:pPr>
            <w:r w:rsidRPr="00A60663">
              <w:rPr>
                <w:noProof/>
                <w:sz w:val="20"/>
                <w:szCs w:val="20"/>
                <w:u w:val="single"/>
              </w:rPr>
              <w:t>The impact score for this measure could range between +2 and +4.</w:t>
            </w:r>
          </w:p>
          <w:p w14:paraId="1F33346B" w14:textId="77777777" w:rsidR="00A76542" w:rsidRPr="00044387" w:rsidRDefault="00A76542">
            <w:pPr>
              <w:spacing w:after="120"/>
              <w:jc w:val="both"/>
              <w:rPr>
                <w:noProof/>
                <w:sz w:val="20"/>
                <w:szCs w:val="20"/>
              </w:rPr>
            </w:pPr>
            <w:r w:rsidRPr="00044387">
              <w:rPr>
                <w:noProof/>
                <w:sz w:val="20"/>
                <w:szCs w:val="20"/>
              </w:rPr>
              <w:t xml:space="preserve">Journey type: The measures are expected to have the greatest impact on international routes. Similar to what was outlined in Grouping 1, these journeys are typically fragmented in terms of data availability, pricing and booking options due to the lack of coordination between national RUs, the presence of MDMS with proprietary sales channels, and protectionist practices by incumbents. On these routes, the obligation to sell ensures that consumers can more easily see and compare alternative offerings.  Domestic routes may see a smaller effect where incumbents already dominate distribution. </w:t>
            </w:r>
          </w:p>
          <w:p w14:paraId="178E7FD4" w14:textId="1F821043" w:rsidR="00A76542" w:rsidRPr="00044387" w:rsidRDefault="00A76542">
            <w:pPr>
              <w:spacing w:after="120"/>
              <w:jc w:val="both"/>
              <w:rPr>
                <w:noProof/>
                <w:sz w:val="20"/>
                <w:szCs w:val="20"/>
              </w:rPr>
            </w:pPr>
            <w:r w:rsidRPr="00044387">
              <w:rPr>
                <w:noProof/>
                <w:sz w:val="20"/>
                <w:szCs w:val="20"/>
              </w:rPr>
              <w:t xml:space="preserve">Attractiveness: High traffic and attractive routes are likely to benefit the most. On these routes, the obligation to sell means that incumbent </w:t>
            </w:r>
            <w:r w:rsidRPr="00117904">
              <w:rPr>
                <w:noProof/>
                <w:sz w:val="20"/>
                <w:szCs w:val="20"/>
              </w:rPr>
              <w:t>RUs’</w:t>
            </w:r>
            <w:r w:rsidRPr="00044387">
              <w:rPr>
                <w:noProof/>
                <w:sz w:val="20"/>
                <w:szCs w:val="20"/>
              </w:rPr>
              <w:t xml:space="preserve"> must provide their services to willing MDMS platforms, which in turn can display a broader set of options to consumers. This increases the visibility of alternative rail offerings and ensures that independent platforms are not disadvantaged by restricted access. On low-demand routes, the impact is expected to be smaller as fewer RUs provide services on these routes. Even when incumbent RUs comply with the obligation to sell, the total number of rail options available to consumers is naturally limited. In other words, consumer choice is constrained by the small number of operators rather than by access to distribution platforms, so improvements in completeness are less pronounced. </w:t>
            </w:r>
          </w:p>
          <w:p w14:paraId="50CA969F" w14:textId="77777777" w:rsidR="00A76542" w:rsidRPr="00044387" w:rsidRDefault="00A76542">
            <w:pPr>
              <w:spacing w:after="120"/>
              <w:jc w:val="both"/>
              <w:rPr>
                <w:noProof/>
                <w:sz w:val="20"/>
                <w:szCs w:val="20"/>
              </w:rPr>
            </w:pPr>
            <w:r w:rsidRPr="00044387">
              <w:rPr>
                <w:noProof/>
                <w:sz w:val="20"/>
                <w:szCs w:val="20"/>
              </w:rPr>
              <w:t xml:space="preserve">MDMS advancement: The measures are likely to have more impact in the short term in regions where advanced independent MDMS platforms exist (leaders). These platforms can already display incumbent offerings and benefit from the obligation to sell, improving their service completeness. In less developed MDMS regions (followers), the obligation supports longer-term platform development by creating a clearer business case for new entrants and preventing incumbents from restricting access. This encourages the growth of more competitive and interoperable MDMS platforms across the EU in the longer term. </w:t>
            </w:r>
          </w:p>
          <w:p w14:paraId="07012ADB" w14:textId="77777777" w:rsidR="00A76542" w:rsidRPr="00044387" w:rsidRDefault="00A76542">
            <w:pPr>
              <w:spacing w:after="120"/>
              <w:jc w:val="both"/>
              <w:rPr>
                <w:noProof/>
                <w:sz w:val="20"/>
                <w:szCs w:val="20"/>
              </w:rPr>
            </w:pPr>
            <w:r w:rsidRPr="00044387">
              <w:rPr>
                <w:noProof/>
                <w:sz w:val="20"/>
                <w:szCs w:val="20"/>
              </w:rPr>
              <w:t xml:space="preserve">Overall assessment: These measures are expected to have a clear positive effect on the completeness and accuracy of information available to consumers. By introducing the obligation to sell for indispensable RUs, the measures ensure that incumbent services are made available on MDMS platforms, including independent ones, which enhances comparability and visibility of alternative options. The minimum impact score of +2 reflects the inherent improvement achieved simply by adding incumbent rail offerings to platforms that previously had limited access. </w:t>
            </w:r>
          </w:p>
          <w:p w14:paraId="52D5C5E9" w14:textId="77777777" w:rsidR="00A76542" w:rsidRPr="00044387" w:rsidRDefault="00A76542">
            <w:pPr>
              <w:spacing w:after="120"/>
              <w:jc w:val="both"/>
              <w:rPr>
                <w:noProof/>
                <w:sz w:val="20"/>
                <w:szCs w:val="20"/>
              </w:rPr>
            </w:pPr>
            <w:r w:rsidRPr="00044387">
              <w:rPr>
                <w:noProof/>
                <w:sz w:val="20"/>
                <w:szCs w:val="20"/>
              </w:rPr>
              <w:t xml:space="preserve">The maximum score of +4 reflects the potential impact in high-demand and international routes, where multiple RUs compete and the obligation to sell significantly increases the number of options displayed on MDMS platforms, improving consumer choice. The limitations remain since there is no inclusion of an obligation to sell for smaller RUs and new entrants, meaning independent MDMS platforms would still not necessarily display all possible rail offerings. Additionally, there is no obligation for MDMS platforms to host all willing RUs immediately, meaning the full impact may be delayed as platforms are not required to accommodate offerings straight away, even if doing so would be in their commercial interest.  </w:t>
            </w:r>
          </w:p>
          <w:p w14:paraId="5C313833" w14:textId="77777777" w:rsidR="00A76542" w:rsidRPr="00044387" w:rsidRDefault="00A76542">
            <w:pPr>
              <w:spacing w:after="120"/>
              <w:jc w:val="both"/>
              <w:rPr>
                <w:b/>
                <w:bCs/>
                <w:noProof/>
                <w:color w:val="00B0F0"/>
                <w:sz w:val="20"/>
                <w:szCs w:val="20"/>
              </w:rPr>
            </w:pPr>
            <w:r w:rsidRPr="00044387">
              <w:rPr>
                <w:b/>
                <w:bCs/>
                <w:noProof/>
                <w:color w:val="00B0F0"/>
                <w:sz w:val="20"/>
                <w:szCs w:val="20"/>
              </w:rPr>
              <w:t>QP2: Ability to Book</w:t>
            </w:r>
          </w:p>
          <w:p w14:paraId="6745E593" w14:textId="77777777" w:rsidR="00A76542" w:rsidRPr="00044387" w:rsidRDefault="00A76542">
            <w:pPr>
              <w:spacing w:after="120"/>
              <w:jc w:val="both"/>
              <w:rPr>
                <w:noProof/>
                <w:sz w:val="20"/>
                <w:szCs w:val="20"/>
              </w:rPr>
            </w:pPr>
            <w:r w:rsidRPr="00044387">
              <w:rPr>
                <w:noProof/>
                <w:sz w:val="20"/>
                <w:szCs w:val="20"/>
              </w:rPr>
              <w:t>Direction of impact expected to be positive: These measures are expected to improve the ability to book rail services on MDMS platforms. By introducing the obligation to sell for indispensable RUs, the measures allow MDMS platforms to have access to main rail offers and combine them with other transport offers therefore providing new, innovative transport journeys to consumers. Platforms are incentivized to integrate offers, enhancing the user experience and making it easier for consumers to purchase tickets without needing to visit the incumbent operator’s website.</w:t>
            </w:r>
          </w:p>
          <w:p w14:paraId="7F852B90" w14:textId="77777777" w:rsidR="00A76542" w:rsidRPr="00A60663" w:rsidRDefault="00A76542">
            <w:pPr>
              <w:spacing w:after="120"/>
              <w:jc w:val="both"/>
              <w:rPr>
                <w:i/>
                <w:iCs/>
                <w:noProof/>
                <w:sz w:val="20"/>
                <w:szCs w:val="20"/>
              </w:rPr>
            </w:pPr>
            <w:r w:rsidRPr="00044387">
              <w:rPr>
                <w:noProof/>
                <w:sz w:val="20"/>
                <w:szCs w:val="20"/>
              </w:rPr>
              <w:t xml:space="preserve">Stakeholder input indicates that current practices can restrict such booking functionality. As one MDMS provider, FTO, noted: </w:t>
            </w:r>
            <w:r w:rsidRPr="00A60663">
              <w:rPr>
                <w:i/>
                <w:iCs/>
                <w:noProof/>
                <w:sz w:val="20"/>
                <w:szCs w:val="20"/>
              </w:rPr>
              <w:t>“Strong transport operators remove full content from neutral and cost effective B2B MDMS (CRS) and thus making it burdensome and expensive for B2C MDMS (travel intermediaries) to provide full and undistorted access to tickets for consumers.”</w:t>
            </w:r>
          </w:p>
          <w:p w14:paraId="32E53A7C" w14:textId="77777777" w:rsidR="00A76542" w:rsidRPr="00044387" w:rsidRDefault="00A76542">
            <w:pPr>
              <w:spacing w:after="120"/>
              <w:jc w:val="both"/>
              <w:rPr>
                <w:noProof/>
                <w:sz w:val="20"/>
                <w:szCs w:val="20"/>
              </w:rPr>
            </w:pPr>
            <w:r w:rsidRPr="00044387">
              <w:rPr>
                <w:noProof/>
                <w:sz w:val="20"/>
                <w:szCs w:val="20"/>
              </w:rPr>
              <w:t xml:space="preserve">Another MDMS stakeholder (providing multimodal travel information) highlighted how certain commercial practices affect booking and the user experience: </w:t>
            </w:r>
            <w:r w:rsidRPr="00A60663">
              <w:rPr>
                <w:i/>
                <w:iCs/>
                <w:noProof/>
                <w:sz w:val="20"/>
                <w:szCs w:val="20"/>
              </w:rPr>
              <w:t>“…some operators restrict the information that can be shown on MDMS platforms or impose prohibitively low commission rates, forcing MDMS partners to operate at a loss on ticket sales and redirecting users to operator websites for modifications, which disrupts the user experience”.</w:t>
            </w:r>
            <w:r w:rsidRPr="00044387">
              <w:rPr>
                <w:noProof/>
                <w:sz w:val="20"/>
                <w:szCs w:val="20"/>
              </w:rPr>
              <w:t xml:space="preserve"> </w:t>
            </w:r>
          </w:p>
          <w:p w14:paraId="1F01749A" w14:textId="77777777" w:rsidR="00A76542" w:rsidRPr="00A60663" w:rsidRDefault="00A76542">
            <w:pPr>
              <w:spacing w:after="120"/>
              <w:jc w:val="both"/>
              <w:rPr>
                <w:noProof/>
                <w:sz w:val="20"/>
                <w:szCs w:val="20"/>
                <w:u w:val="single"/>
              </w:rPr>
            </w:pPr>
            <w:r w:rsidRPr="00A60663">
              <w:rPr>
                <w:noProof/>
                <w:sz w:val="20"/>
                <w:szCs w:val="20"/>
                <w:u w:val="single"/>
              </w:rPr>
              <w:t>The impact score for this measure could range between +2 and +4.</w:t>
            </w:r>
          </w:p>
          <w:p w14:paraId="15E2EB59" w14:textId="77777777" w:rsidR="00A76542" w:rsidRPr="00044387" w:rsidRDefault="00A76542">
            <w:pPr>
              <w:spacing w:after="120"/>
              <w:jc w:val="both"/>
              <w:rPr>
                <w:noProof/>
                <w:sz w:val="20"/>
                <w:szCs w:val="20"/>
              </w:rPr>
            </w:pPr>
            <w:r w:rsidRPr="00A60663">
              <w:rPr>
                <w:b/>
                <w:bCs/>
                <w:noProof/>
                <w:sz w:val="20"/>
                <w:szCs w:val="20"/>
              </w:rPr>
              <w:t>Journey type:</w:t>
            </w:r>
            <w:r w:rsidRPr="00044387">
              <w:rPr>
                <w:noProof/>
                <w:sz w:val="20"/>
                <w:szCs w:val="20"/>
              </w:rPr>
              <w:t xml:space="preserve"> The positive effect is expected across both national and international routes, as the obligation to sell applies to incumbent operators regardless of route type. </w:t>
            </w:r>
          </w:p>
          <w:p w14:paraId="3D6B8009" w14:textId="77777777" w:rsidR="00A76542" w:rsidRPr="00044387" w:rsidRDefault="00A76542">
            <w:pPr>
              <w:spacing w:after="120"/>
              <w:jc w:val="both"/>
              <w:rPr>
                <w:noProof/>
                <w:sz w:val="20"/>
                <w:szCs w:val="20"/>
              </w:rPr>
            </w:pPr>
            <w:r w:rsidRPr="00A60663">
              <w:rPr>
                <w:b/>
                <w:bCs/>
                <w:noProof/>
                <w:sz w:val="20"/>
                <w:szCs w:val="20"/>
              </w:rPr>
              <w:t>Attractiveness:</w:t>
            </w:r>
            <w:r w:rsidRPr="00044387">
              <w:rPr>
                <w:noProof/>
                <w:sz w:val="20"/>
                <w:szCs w:val="20"/>
              </w:rPr>
              <w:t xml:space="preserve"> The measures are likely to have the greatest impact on high-traffic or popular routes, where indispensable RUs are most commonly active. On these routes, enabling booking on independent MDMS platforms provides tangible benefits to consumers by improving convenience and increasing competition between platforms. On lower-demand routes, the impact may be more limited because fewer operators are present and some platforms may not yet prioritise integration of these services. </w:t>
            </w:r>
          </w:p>
          <w:p w14:paraId="601BB6C7" w14:textId="77777777" w:rsidR="00A76542" w:rsidRPr="00044387" w:rsidRDefault="00A76542">
            <w:pPr>
              <w:spacing w:after="120"/>
              <w:jc w:val="both"/>
              <w:rPr>
                <w:noProof/>
                <w:sz w:val="20"/>
                <w:szCs w:val="20"/>
              </w:rPr>
            </w:pPr>
            <w:r w:rsidRPr="00A60663">
              <w:rPr>
                <w:b/>
                <w:bCs/>
                <w:noProof/>
                <w:sz w:val="20"/>
                <w:szCs w:val="20"/>
              </w:rPr>
              <w:t>MDMS advancement:</w:t>
            </w:r>
            <w:r w:rsidRPr="00044387">
              <w:rPr>
                <w:noProof/>
                <w:sz w:val="20"/>
                <w:szCs w:val="20"/>
              </w:rPr>
              <w:t xml:space="preserve"> In regions with advanced independent platforms (leaders), the measures can have more immediate effects, as these platforms are more likely to already have the capability to relink or enable full booking for incumbent services. In less mature markets (followers), the measures are more likely to have stronger impact in the longer term, by creating a clear business case for new platforms, promoting interoperability and preventing gatekeeping behaviour by incumbents. Over time, this can encourage the development of new MDMS platforms. </w:t>
            </w:r>
          </w:p>
          <w:p w14:paraId="223FE482" w14:textId="77777777" w:rsidR="00A76542" w:rsidRPr="00044387" w:rsidRDefault="00A76542">
            <w:pPr>
              <w:spacing w:after="120"/>
              <w:jc w:val="both"/>
              <w:rPr>
                <w:noProof/>
                <w:sz w:val="20"/>
                <w:szCs w:val="20"/>
                <w:highlight w:val="yellow"/>
              </w:rPr>
            </w:pPr>
            <w:r w:rsidRPr="00A60663">
              <w:rPr>
                <w:b/>
                <w:bCs/>
                <w:noProof/>
                <w:sz w:val="20"/>
                <w:szCs w:val="20"/>
              </w:rPr>
              <w:t>Overall assessment:</w:t>
            </w:r>
            <w:r w:rsidRPr="00044387">
              <w:rPr>
                <w:noProof/>
                <w:sz w:val="20"/>
                <w:szCs w:val="20"/>
              </w:rPr>
              <w:t xml:space="preserve"> The measures are expected to have a clear positive effect on the ability to book rail services across MDMS platforms. The minimum impact score of +2 reflects the improvement in routes where incumbents operate, and users may benefit from booking tickets on alternative booking channels to the incumbent website, which may have better user functionalities. The maximum score of +4 accounts for the potential benefits on high-demand routes and internationally. Limitations nonetheless remain, i.e., there is no obligation to sell for smaller RUs, and no obligation for MDMS platforms to host all willing Rus immediately. As a result, the ability to book may not improve for all rail offerings, across all platforms straight away, and full benefits may be realised more gradually.</w:t>
            </w:r>
          </w:p>
        </w:tc>
      </w:tr>
      <w:tr w:rsidR="00A76542" w:rsidRPr="00044387" w14:paraId="3E1F296E" w14:textId="77777777">
        <w:trPr>
          <w:trHeight w:val="300"/>
        </w:trPr>
        <w:tc>
          <w:tcPr>
            <w:tcW w:w="1384" w:type="dxa"/>
          </w:tcPr>
          <w:p w14:paraId="6C54F515" w14:textId="77777777" w:rsidR="00A76542" w:rsidRPr="00044387" w:rsidRDefault="00A76542">
            <w:pPr>
              <w:spacing w:after="120"/>
              <w:rPr>
                <w:noProof/>
                <w:sz w:val="20"/>
                <w:szCs w:val="20"/>
              </w:rPr>
            </w:pPr>
            <w:r w:rsidRPr="00044387">
              <w:rPr>
                <w:noProof/>
                <w:sz w:val="20"/>
                <w:szCs w:val="20"/>
              </w:rPr>
              <w:t>Grouping 3</w:t>
            </w:r>
          </w:p>
          <w:p w14:paraId="124B05A4" w14:textId="77777777" w:rsidR="00A76542" w:rsidRPr="00044387" w:rsidRDefault="00A76542">
            <w:pPr>
              <w:spacing w:after="120"/>
              <w:rPr>
                <w:noProof/>
                <w:sz w:val="20"/>
                <w:szCs w:val="20"/>
              </w:rPr>
            </w:pPr>
          </w:p>
        </w:tc>
        <w:tc>
          <w:tcPr>
            <w:tcW w:w="2552" w:type="dxa"/>
          </w:tcPr>
          <w:p w14:paraId="63242457" w14:textId="78D04DCA" w:rsidR="00A76542" w:rsidRPr="00044387" w:rsidRDefault="00A76542">
            <w:pPr>
              <w:spacing w:after="120"/>
              <w:rPr>
                <w:noProof/>
                <w:sz w:val="20"/>
                <w:szCs w:val="20"/>
              </w:rPr>
            </w:pPr>
            <w:r w:rsidRPr="00044387">
              <w:rPr>
                <w:noProof/>
                <w:sz w:val="20"/>
                <w:szCs w:val="20"/>
              </w:rPr>
              <w:t xml:space="preserve">This grouping corresponds </w:t>
            </w:r>
            <w:r w:rsidR="006211B3">
              <w:rPr>
                <w:noProof/>
                <w:sz w:val="20"/>
                <w:szCs w:val="20"/>
              </w:rPr>
              <w:t>to</w:t>
            </w:r>
            <w:r w:rsidR="006211B3" w:rsidRPr="00044387">
              <w:rPr>
                <w:noProof/>
                <w:sz w:val="20"/>
                <w:szCs w:val="20"/>
              </w:rPr>
              <w:t xml:space="preserve"> </w:t>
            </w:r>
            <w:r w:rsidR="00E1101B" w:rsidRPr="00117904">
              <w:rPr>
                <w:noProof/>
                <w:sz w:val="20"/>
                <w:szCs w:val="20"/>
              </w:rPr>
              <w:t>PM9</w:t>
            </w:r>
            <w:r w:rsidR="00E1101B">
              <w:rPr>
                <w:noProof/>
                <w:sz w:val="20"/>
                <w:szCs w:val="20"/>
              </w:rPr>
              <w:t xml:space="preserve"> to PM15</w:t>
            </w:r>
            <w:r w:rsidRPr="00044387">
              <w:rPr>
                <w:noProof/>
                <w:sz w:val="20"/>
                <w:szCs w:val="20"/>
              </w:rPr>
              <w:t xml:space="preserve"> that are applicable in </w:t>
            </w:r>
            <w:r w:rsidR="00E1101B" w:rsidRPr="00117904">
              <w:rPr>
                <w:noProof/>
                <w:sz w:val="20"/>
                <w:szCs w:val="20"/>
              </w:rPr>
              <w:t>PO3:</w:t>
            </w:r>
            <w:r w:rsidR="00E1101B">
              <w:rPr>
                <w:noProof/>
                <w:sz w:val="20"/>
                <w:szCs w:val="20"/>
              </w:rPr>
              <w:t xml:space="preserve"> </w:t>
            </w:r>
            <w:r w:rsidRPr="00044387">
              <w:rPr>
                <w:noProof/>
                <w:sz w:val="20"/>
                <w:szCs w:val="20"/>
              </w:rPr>
              <w:t>PM9, PM10, PM11, PM12, PM13, and PM14.</w:t>
            </w:r>
          </w:p>
          <w:p w14:paraId="7C930D8C" w14:textId="77777777" w:rsidR="00A76542" w:rsidRPr="00044387" w:rsidRDefault="00A76542">
            <w:pPr>
              <w:spacing w:after="120"/>
              <w:rPr>
                <w:noProof/>
                <w:sz w:val="20"/>
                <w:szCs w:val="20"/>
              </w:rPr>
            </w:pPr>
            <w:r w:rsidRPr="00044387">
              <w:rPr>
                <w:noProof/>
                <w:sz w:val="20"/>
                <w:szCs w:val="20"/>
              </w:rPr>
              <w:t xml:space="preserve">Measures are the same as in Grouping 2, with the addition of: </w:t>
            </w:r>
          </w:p>
          <w:p w14:paraId="307B9BF0" w14:textId="77777777" w:rsidR="00A76542" w:rsidRPr="00044387" w:rsidRDefault="00A76542">
            <w:pPr>
              <w:spacing w:after="120"/>
              <w:rPr>
                <w:noProof/>
                <w:sz w:val="20"/>
                <w:szCs w:val="20"/>
              </w:rPr>
            </w:pPr>
            <w:r w:rsidRPr="00044387">
              <w:rPr>
                <w:noProof/>
                <w:sz w:val="20"/>
                <w:szCs w:val="20"/>
              </w:rPr>
              <w:t>PM14: Indispensable RU platforms: must enter into commercial agreements with willing RUs (operating within the same geographical area in which the RU owning the indispensable RU platform has SMP) to enable the distribution of tickets</w:t>
            </w:r>
          </w:p>
          <w:p w14:paraId="111A0535" w14:textId="77777777" w:rsidR="00A76542" w:rsidRPr="00044387" w:rsidRDefault="00A76542">
            <w:pPr>
              <w:spacing w:after="120"/>
              <w:rPr>
                <w:noProof/>
                <w:sz w:val="20"/>
                <w:szCs w:val="20"/>
                <w:highlight w:val="green"/>
              </w:rPr>
            </w:pPr>
          </w:p>
        </w:tc>
        <w:tc>
          <w:tcPr>
            <w:tcW w:w="9956" w:type="dxa"/>
          </w:tcPr>
          <w:p w14:paraId="2E466C84" w14:textId="77777777" w:rsidR="00A76542" w:rsidRPr="00044387" w:rsidRDefault="00A76542">
            <w:pPr>
              <w:spacing w:after="120"/>
              <w:jc w:val="both"/>
              <w:rPr>
                <w:b/>
                <w:bCs/>
                <w:noProof/>
                <w:color w:val="00B0F0"/>
                <w:sz w:val="20"/>
                <w:szCs w:val="20"/>
              </w:rPr>
            </w:pPr>
            <w:r w:rsidRPr="00044387">
              <w:rPr>
                <w:b/>
                <w:bCs/>
                <w:noProof/>
                <w:color w:val="00B0F0"/>
                <w:sz w:val="20"/>
                <w:szCs w:val="20"/>
              </w:rPr>
              <w:t>QP1: Completeness and Accuracy of Info</w:t>
            </w:r>
          </w:p>
          <w:p w14:paraId="5EBDC883" w14:textId="77777777" w:rsidR="00A76542" w:rsidRPr="00044387" w:rsidRDefault="00A76542">
            <w:pPr>
              <w:spacing w:after="120"/>
              <w:jc w:val="both"/>
              <w:rPr>
                <w:noProof/>
                <w:sz w:val="20"/>
                <w:szCs w:val="20"/>
              </w:rPr>
            </w:pPr>
            <w:r w:rsidRPr="00044387">
              <w:rPr>
                <w:noProof/>
                <w:sz w:val="20"/>
                <w:szCs w:val="20"/>
              </w:rPr>
              <w:t>Direction of impact expected to be positive: This PM grouping introduces an obligation for indispensable RU platforms to enter into commercial agreements with any willing RU</w:t>
            </w:r>
            <w:r w:rsidRPr="00044387">
              <w:rPr>
                <w:noProof/>
                <w:sz w:val="20"/>
                <w:szCs w:val="20"/>
              </w:rPr>
              <w:footnoteReference w:id="300"/>
            </w:r>
            <w:r w:rsidRPr="00044387">
              <w:rPr>
                <w:noProof/>
                <w:sz w:val="20"/>
                <w:szCs w:val="20"/>
              </w:rPr>
              <w:t>, and an obligation on indispensable RUs</w:t>
            </w:r>
            <w:r w:rsidRPr="00044387" w:rsidDel="00EE4006">
              <w:rPr>
                <w:noProof/>
                <w:sz w:val="20"/>
                <w:szCs w:val="20"/>
              </w:rPr>
              <w:t xml:space="preserve"> </w:t>
            </w:r>
            <w:r w:rsidRPr="00044387">
              <w:rPr>
                <w:noProof/>
                <w:sz w:val="20"/>
                <w:szCs w:val="20"/>
              </w:rPr>
              <w:t>to enter into commercial agreements with any willing ticketing platform. These requirements aim to close gaps in MDMS platforms and address exclusionary practices. These agreements mean that route, schedule, and pricing information for indispensable services would be more fully displayed in MDMS platforms, and indispensable RU platforms would contain information on other RUs, not just the RU</w:t>
            </w:r>
            <w:r w:rsidRPr="00044387" w:rsidDel="00EE4006">
              <w:rPr>
                <w:noProof/>
                <w:sz w:val="20"/>
                <w:szCs w:val="20"/>
              </w:rPr>
              <w:t xml:space="preserve"> </w:t>
            </w:r>
            <w:r w:rsidRPr="00044387">
              <w:rPr>
                <w:noProof/>
                <w:sz w:val="20"/>
                <w:szCs w:val="20"/>
              </w:rPr>
              <w:t xml:space="preserve">they are linked to. As these services are added, the range and accuracy of information available to users would improve. </w:t>
            </w:r>
          </w:p>
          <w:p w14:paraId="6E1657E1" w14:textId="77777777" w:rsidR="00A76542" w:rsidRPr="00044387" w:rsidRDefault="00A76542">
            <w:pPr>
              <w:spacing w:after="120"/>
              <w:jc w:val="both"/>
              <w:rPr>
                <w:noProof/>
                <w:sz w:val="20"/>
                <w:szCs w:val="20"/>
              </w:rPr>
            </w:pPr>
            <w:r w:rsidRPr="00044387">
              <w:rPr>
                <w:noProof/>
                <w:sz w:val="20"/>
                <w:szCs w:val="20"/>
              </w:rPr>
              <w:t xml:space="preserve">Stakeholder input on the expected effectiveness of PM14 (obligation to host for indispensable RU platforms) specifically was mixed. Across all 69 respondents, 19 considered it very or somewhat effective, 14 considered it very or somewhat ineffective, and 36 were neutral or did not know. EPF and WestBahn noted that such an inclusive approach would prevent loopholes and ensure a level playing field across the sector. </w:t>
            </w:r>
          </w:p>
          <w:p w14:paraId="00FE1751" w14:textId="77777777" w:rsidR="00A76542" w:rsidRPr="00A60663" w:rsidRDefault="00A76542">
            <w:pPr>
              <w:spacing w:after="120"/>
              <w:jc w:val="both"/>
              <w:rPr>
                <w:noProof/>
                <w:sz w:val="20"/>
                <w:szCs w:val="20"/>
                <w:u w:val="single"/>
              </w:rPr>
            </w:pPr>
            <w:r w:rsidRPr="00A60663">
              <w:rPr>
                <w:noProof/>
                <w:sz w:val="20"/>
                <w:szCs w:val="20"/>
                <w:u w:val="single"/>
              </w:rPr>
              <w:t>The impact score for this measure could range between +3 and +4.</w:t>
            </w:r>
          </w:p>
          <w:p w14:paraId="2ED12EFB" w14:textId="77777777" w:rsidR="00A76542" w:rsidRPr="00044387" w:rsidRDefault="00A76542">
            <w:pPr>
              <w:spacing w:after="120"/>
              <w:jc w:val="both"/>
              <w:rPr>
                <w:noProof/>
                <w:sz w:val="20"/>
                <w:szCs w:val="20"/>
              </w:rPr>
            </w:pPr>
            <w:r w:rsidRPr="00A60663">
              <w:rPr>
                <w:b/>
                <w:bCs/>
                <w:noProof/>
                <w:sz w:val="20"/>
                <w:szCs w:val="20"/>
              </w:rPr>
              <w:t>Journey type:</w:t>
            </w:r>
            <w:r w:rsidRPr="00044387">
              <w:rPr>
                <w:noProof/>
                <w:sz w:val="20"/>
                <w:szCs w:val="20"/>
              </w:rPr>
              <w:t xml:space="preserve"> The impact is expected to be especially strong for international and long-distance national journeys where indispensable RUs are not encouraging their services on all MDMS platforms, and where indispensable RU platforms are not displaying alternative RUs. Access to these services is often fragmented or missing from MDMS/indispensable RUs platforms due to gatekeeping or technical barriers. The inability of dominant players to provide seamless international and intermodal ticketing without “opening the game” to competition is mentioned in interviews by two new entrant RUs</w:t>
            </w:r>
            <w:r w:rsidRPr="00044387" w:rsidDel="00EE4006">
              <w:rPr>
                <w:noProof/>
                <w:sz w:val="20"/>
                <w:szCs w:val="20"/>
              </w:rPr>
              <w:t xml:space="preserve"> </w:t>
            </w:r>
            <w:r w:rsidRPr="00044387">
              <w:rPr>
                <w:noProof/>
                <w:sz w:val="20"/>
                <w:szCs w:val="20"/>
              </w:rPr>
              <w:t xml:space="preserve">including WestBahn. </w:t>
            </w:r>
          </w:p>
          <w:p w14:paraId="2A0421A3" w14:textId="77777777" w:rsidR="00A76542" w:rsidRPr="00044387" w:rsidRDefault="00A76542">
            <w:pPr>
              <w:spacing w:after="120"/>
              <w:jc w:val="both"/>
              <w:rPr>
                <w:noProof/>
                <w:sz w:val="20"/>
                <w:szCs w:val="20"/>
              </w:rPr>
            </w:pPr>
            <w:r w:rsidRPr="00A60663">
              <w:rPr>
                <w:b/>
                <w:bCs/>
                <w:noProof/>
                <w:sz w:val="20"/>
                <w:szCs w:val="20"/>
              </w:rPr>
              <w:t>Attractiveness:</w:t>
            </w:r>
            <w:r w:rsidRPr="00044387">
              <w:rPr>
                <w:noProof/>
                <w:sz w:val="20"/>
                <w:szCs w:val="20"/>
              </w:rPr>
              <w:t xml:space="preserve"> In more attractive routes, where competition and demand are high, the visibility of indispensable RU services in all relevant MDMS platforms will address the imbalances in information that currently favour RUs with SMP and their affiliated services. Additionally, the obligation for indispensable RU platforms to include the offering of willing RUs</w:t>
            </w:r>
            <w:r w:rsidRPr="00044387" w:rsidDel="00EE4006">
              <w:rPr>
                <w:noProof/>
                <w:sz w:val="20"/>
                <w:szCs w:val="20"/>
              </w:rPr>
              <w:t xml:space="preserve"> </w:t>
            </w:r>
            <w:r w:rsidRPr="00044387">
              <w:rPr>
                <w:noProof/>
                <w:sz w:val="20"/>
                <w:szCs w:val="20"/>
              </w:rPr>
              <w:t>will also support the presentation of a more complete service offering on platforms, as well as the obligation for indispensable RUs</w:t>
            </w:r>
            <w:r w:rsidRPr="00044387" w:rsidDel="00EE4006">
              <w:rPr>
                <w:noProof/>
                <w:sz w:val="20"/>
                <w:szCs w:val="20"/>
              </w:rPr>
              <w:t xml:space="preserve"> </w:t>
            </w:r>
            <w:r w:rsidRPr="00044387">
              <w:rPr>
                <w:noProof/>
                <w:sz w:val="20"/>
                <w:szCs w:val="20"/>
              </w:rPr>
              <w:t xml:space="preserve">to share their offer to requesting platforms. In less attractive routes, the effect may be more limited but still beneficial as they may become better linked with routes with significant traffic and competition that might comprise legs of these trips. </w:t>
            </w:r>
          </w:p>
          <w:p w14:paraId="7B8B3002" w14:textId="77777777" w:rsidR="00A76542" w:rsidRPr="00044387" w:rsidRDefault="00A76542">
            <w:pPr>
              <w:spacing w:after="120"/>
              <w:jc w:val="both"/>
              <w:rPr>
                <w:noProof/>
                <w:sz w:val="20"/>
                <w:szCs w:val="20"/>
              </w:rPr>
            </w:pPr>
            <w:r w:rsidRPr="00A60663">
              <w:rPr>
                <w:b/>
                <w:bCs/>
                <w:noProof/>
                <w:sz w:val="20"/>
                <w:szCs w:val="20"/>
              </w:rPr>
              <w:t>MDMS advancement:</w:t>
            </w:r>
            <w:r w:rsidRPr="00044387">
              <w:rPr>
                <w:noProof/>
                <w:sz w:val="20"/>
                <w:szCs w:val="20"/>
              </w:rPr>
              <w:t xml:space="preserve"> in the short term there is undoubtably a positive effect on advanced MDMS where visibility would increase swiftly. In the long term, this grouping would enable currently less advanced MDMS which show little integration to advance faster. Therefore, there is likely to be a positive impact on advanced MDMS and a very positive impact on less advanced MDMS.</w:t>
            </w:r>
          </w:p>
          <w:p w14:paraId="25BDB15B" w14:textId="77777777" w:rsidR="00A76542" w:rsidRPr="00044387" w:rsidRDefault="00A76542">
            <w:pPr>
              <w:spacing w:after="120"/>
              <w:jc w:val="both"/>
              <w:rPr>
                <w:noProof/>
                <w:sz w:val="20"/>
                <w:szCs w:val="20"/>
              </w:rPr>
            </w:pPr>
            <w:r w:rsidRPr="00A60663">
              <w:rPr>
                <w:b/>
                <w:bCs/>
                <w:noProof/>
                <w:sz w:val="20"/>
                <w:szCs w:val="20"/>
              </w:rPr>
              <w:t>Overall assessment:</w:t>
            </w:r>
            <w:r w:rsidRPr="00044387">
              <w:rPr>
                <w:noProof/>
                <w:sz w:val="20"/>
                <w:szCs w:val="20"/>
              </w:rPr>
              <w:t xml:space="preserve"> The measure focuses on enabling provision of route, schedule and pricing information for indispensable RU</w:t>
            </w:r>
            <w:r w:rsidRPr="00044387" w:rsidDel="00EE4006">
              <w:rPr>
                <w:noProof/>
                <w:sz w:val="20"/>
                <w:szCs w:val="20"/>
              </w:rPr>
              <w:t xml:space="preserve"> </w:t>
            </w:r>
            <w:r w:rsidRPr="00044387">
              <w:rPr>
                <w:noProof/>
                <w:sz w:val="20"/>
                <w:szCs w:val="20"/>
              </w:rPr>
              <w:t>on more platforms, and for indispensable RU platform to show this information for more RU. This inherently improves information completeness. At the least, this will ensure indispensable rail options are available to be seen on all willing MDMS platforms, increasing completeness of information for passengers (+3). The potential impact is capped at +4 because the obligation for MDMS only extends to indispensable RU</w:t>
            </w:r>
            <w:r w:rsidRPr="00044387" w:rsidDel="00EE4006">
              <w:rPr>
                <w:noProof/>
                <w:sz w:val="20"/>
                <w:szCs w:val="20"/>
              </w:rPr>
              <w:t xml:space="preserve"> </w:t>
            </w:r>
            <w:r w:rsidRPr="00044387">
              <w:rPr>
                <w:noProof/>
                <w:sz w:val="20"/>
                <w:szCs w:val="20"/>
              </w:rPr>
              <w:t>(one MDMS mentioned there are many regional RU</w:t>
            </w:r>
            <w:r w:rsidRPr="00044387" w:rsidDel="00EE4006">
              <w:rPr>
                <w:noProof/>
                <w:sz w:val="20"/>
                <w:szCs w:val="20"/>
              </w:rPr>
              <w:t xml:space="preserve"> </w:t>
            </w:r>
            <w:r w:rsidRPr="00044387">
              <w:rPr>
                <w:noProof/>
                <w:sz w:val="20"/>
                <w:szCs w:val="20"/>
              </w:rPr>
              <w:t>who do not want to be integrated in other platforms), and the obligation for railway undertaking</w:t>
            </w:r>
            <w:r w:rsidRPr="00044387" w:rsidDel="00EE4006">
              <w:rPr>
                <w:noProof/>
                <w:sz w:val="20"/>
                <w:szCs w:val="20"/>
              </w:rPr>
              <w:t xml:space="preserve"> </w:t>
            </w:r>
            <w:r w:rsidRPr="00044387">
              <w:rPr>
                <w:noProof/>
                <w:sz w:val="20"/>
                <w:szCs w:val="20"/>
              </w:rPr>
              <w:t xml:space="preserve">extends only to indispensable RU platforms (which do not necessarily cover all routes). Further, this group of measures could make dominant platforms even more attractive for consumers as they can use the platform they are used to and already see more services. This could limit the role of smaller MDMS who may offer alternative information of interest to consumers. </w:t>
            </w:r>
          </w:p>
          <w:p w14:paraId="7949AC39" w14:textId="77777777" w:rsidR="00A76542" w:rsidRPr="00044387" w:rsidRDefault="00A76542">
            <w:pPr>
              <w:spacing w:after="120"/>
              <w:jc w:val="both"/>
              <w:rPr>
                <w:b/>
                <w:bCs/>
                <w:noProof/>
                <w:color w:val="00B0F0"/>
                <w:sz w:val="20"/>
                <w:szCs w:val="20"/>
              </w:rPr>
            </w:pPr>
            <w:r w:rsidRPr="00044387">
              <w:rPr>
                <w:b/>
                <w:bCs/>
                <w:noProof/>
                <w:color w:val="00B0F0"/>
                <w:sz w:val="20"/>
                <w:szCs w:val="20"/>
              </w:rPr>
              <w:t>QP2: Ability to Book</w:t>
            </w:r>
          </w:p>
          <w:p w14:paraId="1A610171" w14:textId="77777777" w:rsidR="00A76542" w:rsidRPr="00044387" w:rsidRDefault="00A76542">
            <w:pPr>
              <w:spacing w:after="120"/>
              <w:jc w:val="both"/>
              <w:rPr>
                <w:noProof/>
                <w:sz w:val="20"/>
                <w:szCs w:val="20"/>
              </w:rPr>
            </w:pPr>
            <w:r w:rsidRPr="00044387">
              <w:rPr>
                <w:noProof/>
                <w:sz w:val="20"/>
                <w:szCs w:val="20"/>
              </w:rPr>
              <w:t>Direction of impact expected to be positive. This builds on the fair treatment principles in Grouping 1 but goes further by making ticketing agreements mandatory for indispensable RU and indispensable RU platforms. The main outcome of this obligation is that it forces RU</w:t>
            </w:r>
            <w:r w:rsidRPr="00044387" w:rsidDel="00EE4006">
              <w:rPr>
                <w:noProof/>
                <w:sz w:val="20"/>
                <w:szCs w:val="20"/>
              </w:rPr>
              <w:t xml:space="preserve"> </w:t>
            </w:r>
            <w:r w:rsidRPr="00044387">
              <w:rPr>
                <w:noProof/>
                <w:sz w:val="20"/>
                <w:szCs w:val="20"/>
              </w:rPr>
              <w:t xml:space="preserve">to enable both re-linking and direct booking within the MDMS (depending on their business model and practice). This will help improve the user experience by allowing MDMS platforms to re-link or sell RUs offers (depending on their current business model).  </w:t>
            </w:r>
          </w:p>
          <w:p w14:paraId="168113E9" w14:textId="77777777" w:rsidR="00A76542" w:rsidRPr="00A60663" w:rsidRDefault="00A76542">
            <w:pPr>
              <w:spacing w:after="120"/>
              <w:jc w:val="both"/>
              <w:rPr>
                <w:noProof/>
                <w:sz w:val="20"/>
                <w:szCs w:val="20"/>
                <w:u w:val="single"/>
              </w:rPr>
            </w:pPr>
            <w:r w:rsidRPr="00A60663">
              <w:rPr>
                <w:noProof/>
                <w:sz w:val="20"/>
                <w:szCs w:val="20"/>
                <w:u w:val="single"/>
              </w:rPr>
              <w:t>The impact score for this measure could range between +3 and +4.</w:t>
            </w:r>
          </w:p>
          <w:p w14:paraId="70E58C89" w14:textId="77777777" w:rsidR="00A76542" w:rsidRPr="00044387" w:rsidRDefault="00A76542">
            <w:pPr>
              <w:spacing w:after="120"/>
              <w:jc w:val="both"/>
              <w:rPr>
                <w:noProof/>
                <w:sz w:val="20"/>
                <w:szCs w:val="20"/>
              </w:rPr>
            </w:pPr>
            <w:r w:rsidRPr="00A60663">
              <w:rPr>
                <w:b/>
                <w:bCs/>
                <w:noProof/>
                <w:sz w:val="20"/>
                <w:szCs w:val="20"/>
              </w:rPr>
              <w:t>Journey type:</w:t>
            </w:r>
            <w:r w:rsidRPr="00044387">
              <w:rPr>
                <w:noProof/>
                <w:sz w:val="20"/>
                <w:szCs w:val="20"/>
              </w:rPr>
              <w:t xml:space="preserve"> The grouping will benefit both national and international journeys, as indispensable RU</w:t>
            </w:r>
            <w:r w:rsidRPr="00044387" w:rsidDel="00D64778">
              <w:rPr>
                <w:noProof/>
                <w:sz w:val="20"/>
                <w:szCs w:val="20"/>
              </w:rPr>
              <w:t xml:space="preserve"> </w:t>
            </w:r>
            <w:r w:rsidRPr="00044387">
              <w:rPr>
                <w:noProof/>
                <w:sz w:val="20"/>
                <w:szCs w:val="20"/>
              </w:rPr>
              <w:t xml:space="preserve">often serve high-volume routes that are central to long-distance and cross-border travel. </w:t>
            </w:r>
          </w:p>
          <w:p w14:paraId="314D5B22" w14:textId="36D12282" w:rsidR="00A76542" w:rsidRPr="00044387" w:rsidRDefault="00A76542">
            <w:pPr>
              <w:spacing w:after="120"/>
              <w:jc w:val="both"/>
              <w:rPr>
                <w:noProof/>
                <w:sz w:val="20"/>
                <w:szCs w:val="20"/>
              </w:rPr>
            </w:pPr>
            <w:r w:rsidRPr="00A60663">
              <w:rPr>
                <w:b/>
                <w:bCs/>
                <w:noProof/>
                <w:sz w:val="20"/>
                <w:szCs w:val="20"/>
              </w:rPr>
              <w:t>Attractiveness:</w:t>
            </w:r>
            <w:r w:rsidRPr="00044387">
              <w:rPr>
                <w:noProof/>
                <w:sz w:val="20"/>
                <w:szCs w:val="20"/>
              </w:rPr>
              <w:t xml:space="preserve"> On high-traffic, attractive routes, indispensable RUs are more commonplace. This Grouping would mandate increased booking access to these routes, broadening competition and reduce consumers’ dependency on existing services that may be vertically integrated, making the impact greater than in either Grouping 1 or Grouping 2. Indispensable RUs</w:t>
            </w:r>
            <w:r w:rsidR="00E1101B">
              <w:rPr>
                <w:noProof/>
                <w:sz w:val="20"/>
                <w:szCs w:val="20"/>
              </w:rPr>
              <w:t xml:space="preserve"> </w:t>
            </w:r>
            <w:r w:rsidRPr="00044387">
              <w:rPr>
                <w:noProof/>
                <w:sz w:val="20"/>
                <w:szCs w:val="20"/>
              </w:rPr>
              <w:t>may also operate some low-traffic routes, meaning that the impact would be smaller than on high-traffic routes, but still greater than in Groupings 1 or 2 where commercial agreements are only encouraged through principles rather than mandated.</w:t>
            </w:r>
          </w:p>
          <w:p w14:paraId="7FADE876" w14:textId="77777777" w:rsidR="00A76542" w:rsidRPr="00044387" w:rsidRDefault="00A76542">
            <w:pPr>
              <w:spacing w:after="120"/>
              <w:jc w:val="both"/>
              <w:rPr>
                <w:noProof/>
                <w:sz w:val="20"/>
                <w:szCs w:val="20"/>
              </w:rPr>
            </w:pPr>
            <w:r w:rsidRPr="00A60663">
              <w:rPr>
                <w:b/>
                <w:bCs/>
                <w:noProof/>
                <w:sz w:val="20"/>
                <w:szCs w:val="20"/>
              </w:rPr>
              <w:t>MDMS advancement:</w:t>
            </w:r>
            <w:r w:rsidRPr="00044387">
              <w:rPr>
                <w:noProof/>
                <w:sz w:val="20"/>
                <w:szCs w:val="20"/>
              </w:rPr>
              <w:t xml:space="preserve"> As with previous Groupings, the impact is expected to be greater in MDMS follower Member States, where integration is currently more limited. This Grouping would more rapidly facilitate an expansion of the MDMS’ offerings to all indispensable railway undertaking, allowing some level of competition with more established platforms.</w:t>
            </w:r>
          </w:p>
          <w:p w14:paraId="4DBBF126" w14:textId="77777777" w:rsidR="00A76542" w:rsidRPr="00044387" w:rsidRDefault="00A76542">
            <w:pPr>
              <w:spacing w:after="120"/>
              <w:jc w:val="both"/>
              <w:rPr>
                <w:noProof/>
                <w:sz w:val="20"/>
                <w:szCs w:val="20"/>
              </w:rPr>
            </w:pPr>
            <w:r w:rsidRPr="00A60663">
              <w:rPr>
                <w:b/>
                <w:bCs/>
                <w:noProof/>
                <w:sz w:val="20"/>
                <w:szCs w:val="20"/>
              </w:rPr>
              <w:t>Overall assessment:</w:t>
            </w:r>
            <w:r w:rsidRPr="00044387">
              <w:rPr>
                <w:noProof/>
                <w:sz w:val="20"/>
                <w:szCs w:val="20"/>
              </w:rPr>
              <w:t xml:space="preserve"> This PM grouping accelerates and streamlines the development of agreements between RUs</w:t>
            </w:r>
            <w:r w:rsidRPr="00044387" w:rsidDel="00D64778">
              <w:rPr>
                <w:noProof/>
                <w:sz w:val="20"/>
                <w:szCs w:val="20"/>
              </w:rPr>
              <w:t xml:space="preserve"> </w:t>
            </w:r>
            <w:r w:rsidRPr="00044387">
              <w:rPr>
                <w:noProof/>
                <w:sz w:val="20"/>
                <w:szCs w:val="20"/>
              </w:rPr>
              <w:t xml:space="preserve">and MDMS platforms via the principles brought on commercial agreements. This, and the mandated integration RU services into relinking and booking MDMS platforms, provides a more stable environment for MDMS services to develop and expand. However, the impact is capped at +4 as parties have to be willing to make agreements to be made available on indispensable RU platforms – one interview with an MDMS provider suggests that some smaller regional RUs have no desire for their tickets to be available on other platforms.  </w:t>
            </w:r>
          </w:p>
        </w:tc>
      </w:tr>
      <w:tr w:rsidR="00A76542" w:rsidRPr="00044387" w14:paraId="45D0017F" w14:textId="77777777">
        <w:trPr>
          <w:trHeight w:val="300"/>
        </w:trPr>
        <w:tc>
          <w:tcPr>
            <w:tcW w:w="1384" w:type="dxa"/>
          </w:tcPr>
          <w:p w14:paraId="4C8526A5" w14:textId="77777777" w:rsidR="00A76542" w:rsidRPr="00044387" w:rsidRDefault="00A76542">
            <w:pPr>
              <w:spacing w:after="120"/>
              <w:rPr>
                <w:noProof/>
                <w:sz w:val="20"/>
                <w:szCs w:val="20"/>
              </w:rPr>
            </w:pPr>
            <w:r w:rsidRPr="00044387">
              <w:rPr>
                <w:noProof/>
                <w:sz w:val="20"/>
                <w:szCs w:val="20"/>
              </w:rPr>
              <w:t>Grouping 4</w:t>
            </w:r>
          </w:p>
          <w:p w14:paraId="2B285EEF" w14:textId="77777777" w:rsidR="00A76542" w:rsidRPr="00044387" w:rsidRDefault="00A76542">
            <w:pPr>
              <w:spacing w:after="120"/>
              <w:rPr>
                <w:noProof/>
                <w:sz w:val="20"/>
                <w:szCs w:val="20"/>
              </w:rPr>
            </w:pPr>
          </w:p>
        </w:tc>
        <w:tc>
          <w:tcPr>
            <w:tcW w:w="2552" w:type="dxa"/>
          </w:tcPr>
          <w:p w14:paraId="46CECC3E" w14:textId="79BA63FB" w:rsidR="00A76542" w:rsidRPr="00044387" w:rsidRDefault="00A76542">
            <w:pPr>
              <w:spacing w:after="120"/>
              <w:rPr>
                <w:noProof/>
                <w:sz w:val="20"/>
                <w:szCs w:val="20"/>
              </w:rPr>
            </w:pPr>
            <w:r w:rsidRPr="00044387">
              <w:rPr>
                <w:noProof/>
                <w:sz w:val="20"/>
                <w:szCs w:val="20"/>
              </w:rPr>
              <w:t xml:space="preserve">This grouping corresponds </w:t>
            </w:r>
            <w:r w:rsidR="006211B3">
              <w:rPr>
                <w:noProof/>
                <w:sz w:val="20"/>
                <w:szCs w:val="20"/>
              </w:rPr>
              <w:t>to</w:t>
            </w:r>
            <w:r w:rsidR="006211B3" w:rsidRPr="00044387">
              <w:rPr>
                <w:noProof/>
                <w:sz w:val="20"/>
                <w:szCs w:val="20"/>
              </w:rPr>
              <w:t xml:space="preserve"> </w:t>
            </w:r>
            <w:r w:rsidR="00E1101B" w:rsidRPr="00117904">
              <w:rPr>
                <w:noProof/>
                <w:sz w:val="20"/>
                <w:szCs w:val="20"/>
              </w:rPr>
              <w:t>PM9</w:t>
            </w:r>
            <w:r w:rsidR="00E1101B">
              <w:rPr>
                <w:noProof/>
                <w:sz w:val="20"/>
                <w:szCs w:val="20"/>
              </w:rPr>
              <w:t xml:space="preserve"> to PM15</w:t>
            </w:r>
            <w:r w:rsidRPr="00044387">
              <w:rPr>
                <w:noProof/>
                <w:sz w:val="20"/>
                <w:szCs w:val="20"/>
              </w:rPr>
              <w:t xml:space="preserve"> that are applicable in </w:t>
            </w:r>
            <w:r w:rsidR="00C5307A" w:rsidRPr="00117904">
              <w:rPr>
                <w:noProof/>
                <w:sz w:val="20"/>
                <w:szCs w:val="20"/>
              </w:rPr>
              <w:t>PO4:</w:t>
            </w:r>
            <w:r w:rsidRPr="00044387">
              <w:rPr>
                <w:noProof/>
                <w:sz w:val="20"/>
                <w:szCs w:val="20"/>
              </w:rPr>
              <w:t xml:space="preserve"> PM9, PM10, PM11, PM12, PM13, and PM15</w:t>
            </w:r>
            <w:r w:rsidR="00C5307A">
              <w:rPr>
                <w:noProof/>
                <w:sz w:val="20"/>
                <w:szCs w:val="20"/>
              </w:rPr>
              <w:t>.</w:t>
            </w:r>
          </w:p>
          <w:p w14:paraId="067E4310" w14:textId="77777777" w:rsidR="00A76542" w:rsidRPr="00044387" w:rsidRDefault="00A76542">
            <w:pPr>
              <w:spacing w:after="120"/>
              <w:rPr>
                <w:noProof/>
                <w:sz w:val="20"/>
                <w:szCs w:val="20"/>
              </w:rPr>
            </w:pPr>
            <w:r w:rsidRPr="00044387">
              <w:rPr>
                <w:noProof/>
                <w:sz w:val="20"/>
                <w:szCs w:val="20"/>
              </w:rPr>
              <w:t xml:space="preserve">Measures are the same as in Grouping 2, with the addition of: </w:t>
            </w:r>
          </w:p>
          <w:p w14:paraId="34DF7CCD" w14:textId="77777777" w:rsidR="00A76542" w:rsidRPr="00044387" w:rsidRDefault="00A76542">
            <w:pPr>
              <w:spacing w:after="120"/>
              <w:rPr>
                <w:noProof/>
                <w:sz w:val="20"/>
                <w:szCs w:val="20"/>
              </w:rPr>
            </w:pPr>
            <w:r w:rsidRPr="00044387">
              <w:rPr>
                <w:noProof/>
                <w:sz w:val="20"/>
                <w:szCs w:val="20"/>
              </w:rPr>
              <w:t>PM15: Indispensable RU platforms: must unbundle its distribution system from the systems of its parent operator</w:t>
            </w:r>
          </w:p>
          <w:p w14:paraId="7CC3A2F4" w14:textId="77777777" w:rsidR="00A76542" w:rsidRPr="00044387" w:rsidRDefault="00A76542">
            <w:pPr>
              <w:spacing w:after="120"/>
              <w:rPr>
                <w:noProof/>
                <w:sz w:val="20"/>
                <w:szCs w:val="20"/>
                <w:highlight w:val="green"/>
              </w:rPr>
            </w:pPr>
          </w:p>
        </w:tc>
        <w:tc>
          <w:tcPr>
            <w:tcW w:w="9956" w:type="dxa"/>
          </w:tcPr>
          <w:p w14:paraId="784F6CB7" w14:textId="77777777" w:rsidR="00A76542" w:rsidRPr="00044387" w:rsidRDefault="00A76542">
            <w:pPr>
              <w:spacing w:after="120"/>
              <w:jc w:val="both"/>
              <w:rPr>
                <w:b/>
                <w:bCs/>
                <w:noProof/>
                <w:color w:val="00B0F0"/>
                <w:sz w:val="20"/>
                <w:szCs w:val="20"/>
              </w:rPr>
            </w:pPr>
            <w:r w:rsidRPr="00044387">
              <w:rPr>
                <w:b/>
                <w:bCs/>
                <w:noProof/>
                <w:color w:val="00B0F0"/>
                <w:sz w:val="20"/>
                <w:szCs w:val="20"/>
              </w:rPr>
              <w:t>QP1: Completeness and Accuracy of Info</w:t>
            </w:r>
          </w:p>
          <w:p w14:paraId="1A0A8EE9" w14:textId="77777777" w:rsidR="00A76542" w:rsidRPr="00044387" w:rsidRDefault="00A76542">
            <w:pPr>
              <w:spacing w:after="120"/>
              <w:jc w:val="both"/>
              <w:rPr>
                <w:noProof/>
                <w:sz w:val="20"/>
                <w:szCs w:val="20"/>
              </w:rPr>
            </w:pPr>
            <w:r w:rsidRPr="00044387">
              <w:rPr>
                <w:noProof/>
                <w:sz w:val="20"/>
                <w:szCs w:val="20"/>
              </w:rPr>
              <w:t xml:space="preserve">Direction of impact expected to be positive. </w:t>
            </w:r>
          </w:p>
          <w:p w14:paraId="22193FD0" w14:textId="77777777" w:rsidR="00A76542" w:rsidRPr="00044387" w:rsidRDefault="00A76542">
            <w:pPr>
              <w:spacing w:after="120"/>
              <w:jc w:val="both"/>
              <w:rPr>
                <w:noProof/>
                <w:sz w:val="20"/>
                <w:szCs w:val="20"/>
              </w:rPr>
            </w:pPr>
            <w:r w:rsidRPr="00044387">
              <w:rPr>
                <w:noProof/>
                <w:sz w:val="20"/>
                <w:szCs w:val="20"/>
              </w:rPr>
              <w:t>This grouping of policy measures will improve the completeness and accuracy of information on MDMS platforms by addressing structural barriers that limit the fair representation of transport operators’ services.</w:t>
            </w:r>
          </w:p>
          <w:p w14:paraId="3DB1C6C2" w14:textId="77777777" w:rsidR="00A76542" w:rsidRPr="00044387" w:rsidRDefault="00A76542">
            <w:pPr>
              <w:spacing w:after="120"/>
              <w:jc w:val="both"/>
              <w:rPr>
                <w:noProof/>
                <w:sz w:val="20"/>
                <w:szCs w:val="20"/>
              </w:rPr>
            </w:pPr>
            <w:r w:rsidRPr="00044387">
              <w:rPr>
                <w:noProof/>
                <w:sz w:val="20"/>
                <w:szCs w:val="20"/>
              </w:rPr>
              <w:t>Initially, it provides, similar to Grouping 1, a framework for agreements between (indispensable) RU and MDMS platforms with SMP. This framework of commercial principles can simplify the conclusion of agreements and consequently accelerate the integration of services.</w:t>
            </w:r>
          </w:p>
          <w:p w14:paraId="3ECB73E2" w14:textId="77777777" w:rsidR="00A76542" w:rsidRPr="00044387" w:rsidRDefault="00A76542">
            <w:pPr>
              <w:spacing w:after="120"/>
              <w:jc w:val="both"/>
              <w:rPr>
                <w:noProof/>
                <w:sz w:val="20"/>
                <w:szCs w:val="20"/>
              </w:rPr>
            </w:pPr>
            <w:r w:rsidRPr="00044387">
              <w:rPr>
                <w:noProof/>
                <w:sz w:val="20"/>
                <w:szCs w:val="20"/>
              </w:rPr>
              <w:t xml:space="preserve">Further, it includes an unbundling requirement, potentially limiting the commercial incentive of dominant, vertically integrated RU platforms, to provide unfair preferential treatment to their own transport services. This means dominant RU must separate their platform operations from their own transport services. Insights from the interview with a rail MDMS provider suggests that the principal issue in contract negotiations lies with vertically integrated RU that impose unfair contractual conditions on independent MDMS providers. Stakeholder survey responses on the effectiveness of an obligation to unbundle were mixed. Out of 69 respondents, 22 considered unbundling very or somewhat effective, 20 considered it ineffective, and 26 were neutral or did not know, with RU platforms being particularly sceptical (4 out of 5 considered it very ineffective) while new entrant RUs and national authorities were more positive. An MDMS provider noted that “financial separation of accounts may provide a base to verify a level playing field between own distribution system vs. independent MDMS and fair remuneration”. A tourism industry association highlighted that “the unbundling requirement separates the distribution systems of vertically integrated MDMS from those of their parent operators. This structural intervention is critical to ensuring that ticket offers are not biased toward the MDMS’s own transport services [therefore enhancing] neutrality and transparency in distribution”. </w:t>
            </w:r>
          </w:p>
          <w:p w14:paraId="1E298D41" w14:textId="77777777" w:rsidR="00A76542" w:rsidRPr="00044387" w:rsidRDefault="00A76542">
            <w:pPr>
              <w:spacing w:after="120"/>
              <w:jc w:val="both"/>
              <w:rPr>
                <w:noProof/>
                <w:sz w:val="20"/>
                <w:szCs w:val="20"/>
              </w:rPr>
            </w:pPr>
            <w:r w:rsidRPr="00044387">
              <w:rPr>
                <w:noProof/>
                <w:sz w:val="20"/>
                <w:szCs w:val="20"/>
              </w:rPr>
              <w:t>Second, it includes an obligation for indispensable RU to enter commercial agreements with requesting MDMS platforms, meaning they can no longer withhold their ticketing data or refuse to cooperate with platforms. By removing both gatekeeping practices both by platforms and by RUs, this PM grouping has the potential to make travel options more complete and accurately presented. Again, among stakeholders, there  are a number of views that mutual commercial interest should guide collaboration in distribution rather than mandated access (expressed by two MDMS providers including ADN Mobilités, an incumbent RU, an association of airlines, the public transport operator’s association UITP, two national authorities and other organisations such as ECTAA).Still, some also voice support for this obligation (EPF and WestBahn) as a step toward fully integrated, multimodal travel experiences that prioritise consumer needs over proprietary interests.</w:t>
            </w:r>
          </w:p>
          <w:p w14:paraId="20439292" w14:textId="77777777" w:rsidR="00A76542" w:rsidRPr="00A60663" w:rsidRDefault="00A76542">
            <w:pPr>
              <w:spacing w:after="120"/>
              <w:jc w:val="both"/>
              <w:rPr>
                <w:noProof/>
                <w:sz w:val="20"/>
                <w:szCs w:val="20"/>
                <w:u w:val="single"/>
              </w:rPr>
            </w:pPr>
            <w:r w:rsidRPr="00A60663">
              <w:rPr>
                <w:noProof/>
                <w:sz w:val="20"/>
                <w:szCs w:val="20"/>
                <w:u w:val="single"/>
              </w:rPr>
              <w:t>The impact score for this measure could range between +2 and +4.</w:t>
            </w:r>
          </w:p>
          <w:p w14:paraId="5B5ABF1B" w14:textId="77777777" w:rsidR="00A76542" w:rsidRPr="00044387" w:rsidRDefault="00A76542">
            <w:pPr>
              <w:spacing w:after="120"/>
              <w:jc w:val="both"/>
              <w:rPr>
                <w:noProof/>
                <w:sz w:val="20"/>
                <w:szCs w:val="20"/>
              </w:rPr>
            </w:pPr>
            <w:r w:rsidRPr="00A60663">
              <w:rPr>
                <w:b/>
                <w:bCs/>
                <w:noProof/>
                <w:sz w:val="20"/>
                <w:szCs w:val="20"/>
              </w:rPr>
              <w:t>Journey type:</w:t>
            </w:r>
            <w:r w:rsidRPr="00044387">
              <w:rPr>
                <w:noProof/>
                <w:sz w:val="20"/>
                <w:szCs w:val="20"/>
              </w:rPr>
              <w:t xml:space="preserve"> The measure is particularly impactful for cross-border and long-distance national services, where indispensable RU often provide critical links but may currently be missing from MDMS platforms due to either their lack of cooperation with platforms or MDMS bias (due to vertical integration). By unbundling and obliging indispensable RU to enter into commercial agreements, MDMS providers will be more likely to include these services fully and accurately, addressing long-standing issues with cross-border coverage and improving multimodal journeys that rely on rail.</w:t>
            </w:r>
          </w:p>
          <w:p w14:paraId="4362675E" w14:textId="77777777" w:rsidR="00A76542" w:rsidRPr="00044387" w:rsidRDefault="00A76542">
            <w:pPr>
              <w:spacing w:after="120"/>
              <w:jc w:val="both"/>
              <w:rPr>
                <w:noProof/>
                <w:sz w:val="20"/>
                <w:szCs w:val="20"/>
              </w:rPr>
            </w:pPr>
            <w:r w:rsidRPr="00A60663">
              <w:rPr>
                <w:b/>
                <w:bCs/>
                <w:noProof/>
                <w:sz w:val="20"/>
                <w:szCs w:val="20"/>
              </w:rPr>
              <w:t>Attractiveness:</w:t>
            </w:r>
            <w:r w:rsidRPr="00044387">
              <w:rPr>
                <w:noProof/>
                <w:sz w:val="20"/>
                <w:szCs w:val="20"/>
              </w:rPr>
              <w:t xml:space="preserve"> This measure will have a positive impact on both attractive and less attractive routes. Unbundling helps prevent dominant platforms from showing only their own or preferred services, ensuring travellers can see all available options. On less popular routes, it increases the chances that smaller or independent RU will also be shown fairly, improving overall visibility. The impact is expected to be slightly higher on attractive routes where competition between RU is greater, and this will be better represented in cases where visibility of this competition is being restricted by vertically integrated players.</w:t>
            </w:r>
          </w:p>
          <w:p w14:paraId="312464F4" w14:textId="77777777" w:rsidR="00A76542" w:rsidRPr="00044387" w:rsidRDefault="00A76542">
            <w:pPr>
              <w:spacing w:after="120"/>
              <w:jc w:val="both"/>
              <w:rPr>
                <w:noProof/>
                <w:sz w:val="20"/>
                <w:szCs w:val="20"/>
              </w:rPr>
            </w:pPr>
            <w:r w:rsidRPr="00A60663">
              <w:rPr>
                <w:b/>
                <w:bCs/>
                <w:noProof/>
                <w:sz w:val="20"/>
                <w:szCs w:val="20"/>
              </w:rPr>
              <w:t>MDMS advancement:</w:t>
            </w:r>
            <w:r w:rsidRPr="00044387">
              <w:rPr>
                <w:noProof/>
                <w:sz w:val="20"/>
                <w:szCs w:val="20"/>
              </w:rPr>
              <w:t xml:space="preserve"> The effect on completeness and accuracy of information is likely to be most significant in MDMS  leader Member States, where indispensable RU platforms’ user base is broader than on other Member States, and where major railway undertaking may currently avoid certain platforms. In this context, both sides of the PM grouping (obliging indispensable RU platforms to become neutral and for indispensable RU to participate) directly address ongoing issues. In MDMS follower or planned adopter Member States, where MDMS is still emerging and these kinds of conflicts may not exist, the measure will likely have limited or no impact. </w:t>
            </w:r>
          </w:p>
          <w:p w14:paraId="3B1CBC86" w14:textId="77777777" w:rsidR="00A76542" w:rsidRPr="00044387" w:rsidRDefault="00A76542">
            <w:pPr>
              <w:spacing w:after="120"/>
              <w:jc w:val="both"/>
              <w:rPr>
                <w:noProof/>
                <w:sz w:val="20"/>
                <w:szCs w:val="20"/>
              </w:rPr>
            </w:pPr>
            <w:r w:rsidRPr="00A60663">
              <w:rPr>
                <w:b/>
                <w:bCs/>
                <w:noProof/>
                <w:sz w:val="20"/>
                <w:szCs w:val="20"/>
              </w:rPr>
              <w:t>Overall assessment:</w:t>
            </w:r>
            <w:r w:rsidRPr="00044387">
              <w:rPr>
                <w:noProof/>
                <w:sz w:val="20"/>
                <w:szCs w:val="20"/>
              </w:rPr>
              <w:t xml:space="preserve"> The measure improves the completeness and accuracy of information by breaking up vertically integrated RU platforms from their respective operators, removing commercial incentives for a biased representation of the linked operator. Compared to PO2, the addition of the unbundling requirement strengthens neutrality in distribution by structurally separating platform and operator interests; it reduces the likelihood that affiliated services receive preferential visibility. The impact is therefore expected to be slightly stronger</w:t>
            </w:r>
            <w:r w:rsidRPr="00044387" w:rsidDel="00731BD7">
              <w:rPr>
                <w:noProof/>
                <w:sz w:val="20"/>
                <w:szCs w:val="20"/>
              </w:rPr>
              <w:t xml:space="preserve"> </w:t>
            </w:r>
            <w:r w:rsidRPr="00044387">
              <w:rPr>
                <w:noProof/>
                <w:sz w:val="20"/>
                <w:szCs w:val="20"/>
              </w:rPr>
              <w:t xml:space="preserve">than under PO2, with the potential to reach the upper end of the +2 to +4 range in markets where vertical integration currently constrains completeness and accuracy. The impact is on the margin to be lower than Grouping 3 though, as it does not force indispensable RU platforms to enter commercial agreements with any willing operator (which improve information completeness), it just removes the incentive to have any connection or bias with a linked operator. In markets where vertical integration is not present, the measure will still have a positive impact due to the inclusion of indispensable rail offerings on all MDMS (+2). </w:t>
            </w:r>
          </w:p>
          <w:p w14:paraId="60E4C9FA" w14:textId="77777777" w:rsidR="00A76542" w:rsidRPr="00044387" w:rsidRDefault="00A76542">
            <w:pPr>
              <w:spacing w:after="120"/>
              <w:jc w:val="both"/>
              <w:rPr>
                <w:b/>
                <w:bCs/>
                <w:noProof/>
                <w:color w:val="00B0F0"/>
                <w:sz w:val="20"/>
                <w:szCs w:val="20"/>
              </w:rPr>
            </w:pPr>
            <w:r w:rsidRPr="00044387">
              <w:rPr>
                <w:b/>
                <w:bCs/>
                <w:noProof/>
                <w:color w:val="00B0F0"/>
                <w:sz w:val="20"/>
                <w:szCs w:val="20"/>
              </w:rPr>
              <w:t>QP2: Ability to book</w:t>
            </w:r>
          </w:p>
          <w:p w14:paraId="44255582" w14:textId="77777777" w:rsidR="00A76542" w:rsidRPr="00044387" w:rsidRDefault="00A76542">
            <w:pPr>
              <w:spacing w:after="120"/>
              <w:jc w:val="both"/>
              <w:rPr>
                <w:noProof/>
                <w:sz w:val="20"/>
                <w:szCs w:val="20"/>
              </w:rPr>
            </w:pPr>
            <w:r w:rsidRPr="00044387">
              <w:rPr>
                <w:noProof/>
                <w:sz w:val="20"/>
                <w:szCs w:val="20"/>
              </w:rPr>
              <w:t xml:space="preserve">Direction of impact expected to be slightly positive. </w:t>
            </w:r>
          </w:p>
          <w:p w14:paraId="58792636" w14:textId="77777777" w:rsidR="00A76542" w:rsidRPr="00044387" w:rsidRDefault="00A76542">
            <w:pPr>
              <w:spacing w:after="120"/>
              <w:jc w:val="both"/>
              <w:rPr>
                <w:noProof/>
                <w:sz w:val="20"/>
                <w:szCs w:val="20"/>
              </w:rPr>
            </w:pPr>
            <w:r w:rsidRPr="00044387">
              <w:rPr>
                <w:noProof/>
                <w:sz w:val="20"/>
                <w:szCs w:val="20"/>
              </w:rPr>
              <w:t>This PM grouping may support better booking options on MDMS platforms by addressing the two issues: 1) obliging indispensable RU to enter into commercial agreements and 2) requiring indispensable RU platforms to unbundle from their affiliated RU. However, while the measure improves access, the effect on the booking system is uncertain. While unbundling may reduce bias, it could also affect how efficiently booking systems operate. As a result, the overall benefit is expected to be positive but limited.</w:t>
            </w:r>
          </w:p>
          <w:p w14:paraId="40ECBFC9" w14:textId="77777777" w:rsidR="00A76542" w:rsidRPr="00A60663" w:rsidRDefault="00A76542">
            <w:pPr>
              <w:spacing w:after="120"/>
              <w:jc w:val="both"/>
              <w:rPr>
                <w:noProof/>
                <w:sz w:val="20"/>
                <w:szCs w:val="20"/>
                <w:u w:val="single"/>
              </w:rPr>
            </w:pPr>
            <w:r w:rsidRPr="00A60663">
              <w:rPr>
                <w:noProof/>
                <w:sz w:val="20"/>
                <w:szCs w:val="20"/>
                <w:u w:val="single"/>
              </w:rPr>
              <w:t>The impact score for this measure could range between +2 and +4.</w:t>
            </w:r>
          </w:p>
          <w:p w14:paraId="55864F7F" w14:textId="77777777" w:rsidR="00A76542" w:rsidRPr="00044387" w:rsidRDefault="00A76542">
            <w:pPr>
              <w:spacing w:after="120"/>
              <w:jc w:val="both"/>
              <w:rPr>
                <w:noProof/>
                <w:sz w:val="20"/>
                <w:szCs w:val="20"/>
              </w:rPr>
            </w:pPr>
            <w:r w:rsidRPr="00A60663">
              <w:rPr>
                <w:b/>
                <w:bCs/>
                <w:noProof/>
                <w:sz w:val="20"/>
                <w:szCs w:val="20"/>
              </w:rPr>
              <w:t>Journey type:</w:t>
            </w:r>
            <w:r w:rsidRPr="00044387">
              <w:rPr>
                <w:noProof/>
                <w:sz w:val="20"/>
                <w:szCs w:val="20"/>
              </w:rPr>
              <w:t xml:space="preserve"> Both national and international journeys may benefit. International journeys see particular improvements, as indispensable RU often run cross-border services that were previously excluded from MDMS platforms. National services, especially those provided by smaller or independent operators, will also gain better booking options through the MDMS platforms. </w:t>
            </w:r>
          </w:p>
          <w:p w14:paraId="1CA48DEF" w14:textId="77777777" w:rsidR="00A76542" w:rsidRPr="00044387" w:rsidRDefault="00A76542">
            <w:pPr>
              <w:spacing w:after="120"/>
              <w:jc w:val="both"/>
              <w:rPr>
                <w:noProof/>
                <w:sz w:val="20"/>
                <w:szCs w:val="20"/>
              </w:rPr>
            </w:pPr>
            <w:r w:rsidRPr="00A60663">
              <w:rPr>
                <w:b/>
                <w:bCs/>
                <w:noProof/>
                <w:sz w:val="20"/>
                <w:szCs w:val="20"/>
              </w:rPr>
              <w:t>Attractiveness:</w:t>
            </w:r>
            <w:r w:rsidRPr="00044387">
              <w:rPr>
                <w:noProof/>
                <w:sz w:val="20"/>
                <w:szCs w:val="20"/>
              </w:rPr>
              <w:t xml:space="preserve"> The PM grouping is expected to be stronger on high-demand, attractive routes, where indispensable RU platforms and indispensable RU are most active and may compete the most with alternative operators. These are the areas where exclusion of certain services from booking is most common, and where platform bias can most significantly distort consumer choice. On less attractive routes, the impact is likely to be smaller, as indispensable RU platforms may not be active and indispensable RU may not be present, though some benefits may still occur if the obligation leads to wider inclusion of smaller transport operators. </w:t>
            </w:r>
          </w:p>
          <w:p w14:paraId="6FE5D8A5" w14:textId="77777777" w:rsidR="00A76542" w:rsidRPr="00044387" w:rsidRDefault="00A76542">
            <w:pPr>
              <w:spacing w:after="120"/>
              <w:jc w:val="both"/>
              <w:rPr>
                <w:noProof/>
                <w:sz w:val="20"/>
                <w:szCs w:val="20"/>
              </w:rPr>
            </w:pPr>
            <w:r w:rsidRPr="00A60663">
              <w:rPr>
                <w:b/>
                <w:bCs/>
                <w:noProof/>
                <w:sz w:val="20"/>
                <w:szCs w:val="20"/>
              </w:rPr>
              <w:t>MDMS advancement:</w:t>
            </w:r>
            <w:r w:rsidRPr="00044387">
              <w:rPr>
                <w:noProof/>
                <w:sz w:val="20"/>
                <w:szCs w:val="20"/>
              </w:rPr>
              <w:t xml:space="preserve"> As with previous Groupings, the impact is expected to be greater in MDMS follower Member States, where integration is currently more limited. This Grouping would more rapidly facilitate an expansion of the MDMS’ offerings to all indispensable RUs, allowing some level of competition with more established platforms.</w:t>
            </w:r>
          </w:p>
          <w:p w14:paraId="5FB53570" w14:textId="77777777" w:rsidR="00A76542" w:rsidRPr="00044387" w:rsidRDefault="00A76542">
            <w:pPr>
              <w:spacing w:after="120"/>
              <w:jc w:val="both"/>
              <w:rPr>
                <w:noProof/>
                <w:sz w:val="20"/>
                <w:szCs w:val="20"/>
              </w:rPr>
            </w:pPr>
            <w:r w:rsidRPr="00A60663">
              <w:rPr>
                <w:b/>
                <w:bCs/>
                <w:noProof/>
                <w:sz w:val="20"/>
                <w:szCs w:val="20"/>
              </w:rPr>
              <w:t>Overall assessment:</w:t>
            </w:r>
            <w:r w:rsidRPr="00044387">
              <w:rPr>
                <w:noProof/>
                <w:sz w:val="20"/>
                <w:szCs w:val="20"/>
              </w:rPr>
              <w:t xml:space="preserve"> By combining the obligation to enter into ticketing agreements with indispensable RU and the structural unbundling of indispensable RU platforms, this measure addresses both access and fairness in the booking process. A similar impact is expected to Grouping 2, but with a slightly greater impact for attractive routes in follower Member States.</w:t>
            </w:r>
          </w:p>
        </w:tc>
      </w:tr>
    </w:tbl>
    <w:p w14:paraId="7C90D448" w14:textId="75BE7A15" w:rsidR="00153554" w:rsidRDefault="008E742F" w:rsidP="0066459C">
      <w:pPr>
        <w:rPr>
          <w:noProof/>
        </w:rPr>
      </w:pPr>
      <w:r w:rsidRPr="00D71008">
        <w:rPr>
          <w:i/>
          <w:iCs/>
          <w:noProof/>
          <w:spacing w:val="-8"/>
          <w:sz w:val="20"/>
          <w:szCs w:val="20"/>
        </w:rPr>
        <w:t xml:space="preserve">Source: </w:t>
      </w:r>
      <w:r w:rsidRPr="00D71008">
        <w:rPr>
          <w:i/>
          <w:iCs/>
          <w:noProof/>
          <w:sz w:val="20"/>
          <w:szCs w:val="20"/>
        </w:rPr>
        <w:t>Ricardo et al. (2026), Impact assessment support study</w:t>
      </w:r>
    </w:p>
    <w:p w14:paraId="16751F30" w14:textId="77777777" w:rsidR="00153554" w:rsidRPr="004E336D" w:rsidRDefault="00153554" w:rsidP="00795403">
      <w:pPr>
        <w:spacing w:after="240"/>
        <w:jc w:val="both"/>
        <w:rPr>
          <w:noProof/>
        </w:rPr>
        <w:sectPr w:rsidR="00153554" w:rsidRPr="004E336D" w:rsidSect="008D4BF5">
          <w:headerReference w:type="default" r:id="rId47"/>
          <w:footerReference w:type="default" r:id="rId48"/>
          <w:pgSz w:w="16840" w:h="11910" w:orient="landscape"/>
          <w:pgMar w:top="1588" w:right="1021" w:bottom="709" w:left="1021" w:header="0" w:footer="1147" w:gutter="0"/>
          <w:cols w:space="720"/>
          <w:docGrid w:linePitch="299"/>
        </w:sectPr>
      </w:pPr>
    </w:p>
    <w:p w14:paraId="2F14CE6F" w14:textId="0BF2515E" w:rsidR="005B4CFD" w:rsidRDefault="005B4CFD" w:rsidP="007B2D8E">
      <w:pPr>
        <w:pStyle w:val="ListParagraph"/>
        <w:numPr>
          <w:ilvl w:val="3"/>
          <w:numId w:val="10"/>
        </w:numPr>
        <w:spacing w:after="240"/>
        <w:ind w:left="1276" w:hanging="851"/>
        <w:jc w:val="both"/>
        <w:rPr>
          <w:noProof/>
          <w:sz w:val="24"/>
          <w:szCs w:val="24"/>
        </w:rPr>
      </w:pPr>
      <w:r w:rsidRPr="006A6B7E">
        <w:rPr>
          <w:noProof/>
          <w:sz w:val="24"/>
          <w:szCs w:val="24"/>
        </w:rPr>
        <w:t>MPA scoring outputs</w:t>
      </w:r>
    </w:p>
    <w:p w14:paraId="4583BDB0" w14:textId="194EC8EE" w:rsidR="009F553A" w:rsidRPr="009F553A" w:rsidRDefault="009F553A" w:rsidP="009F553A">
      <w:pPr>
        <w:spacing w:after="240"/>
        <w:jc w:val="both"/>
        <w:rPr>
          <w:noProof/>
          <w:spacing w:val="-8"/>
        </w:rPr>
      </w:pPr>
      <w:r w:rsidRPr="009F553A">
        <w:rPr>
          <w:noProof/>
          <w:spacing w:val="-8"/>
        </w:rPr>
        <w:t xml:space="preserve">The table below presents the share of the maximum potential modal shift and maximum reduction in travel time that can be achieved in each cluster, for each policy option. It shows that PO2 presents a higher modal shift potential than PO1 due to the additional obligation to </w:t>
      </w:r>
      <w:r w:rsidRPr="00117904">
        <w:rPr>
          <w:noProof/>
          <w:spacing w:val="-8"/>
        </w:rPr>
        <w:t>s</w:t>
      </w:r>
      <w:r w:rsidR="00882CC0" w:rsidRPr="0066299E">
        <w:rPr>
          <w:noProof/>
          <w:spacing w:val="-8"/>
        </w:rPr>
        <w:t>hare</w:t>
      </w:r>
      <w:r w:rsidRPr="0066299E">
        <w:rPr>
          <w:noProof/>
          <w:spacing w:val="-8"/>
        </w:rPr>
        <w:t xml:space="preserve">, while PO3 presents the highest modal shift potential due to the integration of offerings on MDMS platforms. </w:t>
      </w:r>
    </w:p>
    <w:p w14:paraId="6D247B64" w14:textId="695478DF" w:rsidR="002F2C1D" w:rsidRPr="00BB05EB" w:rsidRDefault="002F2C1D" w:rsidP="00C74F90">
      <w:pPr>
        <w:tabs>
          <w:tab w:val="left" w:pos="1134"/>
        </w:tabs>
        <w:jc w:val="both"/>
        <w:rPr>
          <w:i/>
          <w:noProof/>
          <w:sz w:val="22"/>
          <w:szCs w:val="22"/>
        </w:rPr>
      </w:pPr>
      <w:r w:rsidRPr="00BB05EB">
        <w:rPr>
          <w:i/>
          <w:noProof/>
          <w:sz w:val="22"/>
          <w:szCs w:val="22"/>
        </w:rPr>
        <w:t xml:space="preserve">Table </w:t>
      </w:r>
      <w:r w:rsidRPr="00BB05EB">
        <w:rPr>
          <w:i/>
          <w:noProof/>
          <w:sz w:val="22"/>
          <w:szCs w:val="22"/>
        </w:rPr>
        <w:fldChar w:fldCharType="begin"/>
      </w:r>
      <w:r w:rsidRPr="00BB05EB">
        <w:rPr>
          <w:i/>
          <w:noProof/>
          <w:sz w:val="22"/>
          <w:szCs w:val="22"/>
        </w:rPr>
        <w:instrText xml:space="preserve"> SEQ Table \* ARABIC </w:instrText>
      </w:r>
      <w:r w:rsidRPr="00BB05EB">
        <w:rPr>
          <w:i/>
          <w:noProof/>
          <w:sz w:val="22"/>
          <w:szCs w:val="22"/>
        </w:rPr>
        <w:fldChar w:fldCharType="separate"/>
      </w:r>
      <w:r w:rsidR="0055391F">
        <w:rPr>
          <w:i/>
          <w:noProof/>
          <w:sz w:val="22"/>
          <w:szCs w:val="22"/>
        </w:rPr>
        <w:t>47</w:t>
      </w:r>
      <w:r w:rsidRPr="00BB05EB">
        <w:rPr>
          <w:i/>
          <w:noProof/>
          <w:sz w:val="22"/>
          <w:szCs w:val="22"/>
        </w:rPr>
        <w:fldChar w:fldCharType="end"/>
      </w:r>
      <w:r w:rsidRPr="00BB05EB">
        <w:rPr>
          <w:i/>
          <w:noProof/>
          <w:sz w:val="22"/>
          <w:szCs w:val="22"/>
        </w:rPr>
        <w:t>: Share of the maximum potential modal shift and maximum reduction in travel time</w:t>
      </w:r>
      <w:r w:rsidR="00BF29A8" w:rsidRPr="00BB05EB">
        <w:rPr>
          <w:i/>
          <w:noProof/>
          <w:sz w:val="22"/>
          <w:szCs w:val="22"/>
        </w:rPr>
        <w:t xml:space="preserve"> that can be achieved in each </w:t>
      </w:r>
      <w:r w:rsidR="004E13B7" w:rsidRPr="00BB05EB">
        <w:rPr>
          <w:i/>
          <w:noProof/>
          <w:sz w:val="22"/>
          <w:szCs w:val="22"/>
        </w:rPr>
        <w:t>policy option</w:t>
      </w:r>
    </w:p>
    <w:tbl>
      <w:tblPr>
        <w:tblW w:w="5000" w:type="pct"/>
        <w:jc w:val="center"/>
        <w:tblBorders>
          <w:top w:val="single" w:sz="4" w:space="0" w:color="0E2841"/>
          <w:left w:val="single" w:sz="4" w:space="0" w:color="0E2841"/>
          <w:bottom w:val="single" w:sz="4" w:space="0" w:color="0E2841"/>
          <w:right w:val="single" w:sz="4" w:space="0" w:color="0E2841"/>
          <w:insideH w:val="single" w:sz="6" w:space="0" w:color="0E2841"/>
          <w:insideV w:val="single" w:sz="6" w:space="0" w:color="0E2841"/>
        </w:tblBorders>
        <w:tblLayout w:type="fixed"/>
        <w:tblLook w:val="04A0" w:firstRow="1" w:lastRow="0" w:firstColumn="1" w:lastColumn="0" w:noHBand="0" w:noVBand="1"/>
      </w:tblPr>
      <w:tblGrid>
        <w:gridCol w:w="1134"/>
        <w:gridCol w:w="1100"/>
        <w:gridCol w:w="2104"/>
        <w:gridCol w:w="2061"/>
        <w:gridCol w:w="832"/>
        <w:gridCol w:w="832"/>
        <w:gridCol w:w="711"/>
        <w:gridCol w:w="829"/>
      </w:tblGrid>
      <w:tr w:rsidR="00D93450" w:rsidRPr="00D93450" w14:paraId="5518AE83" w14:textId="77777777" w:rsidTr="00726529">
        <w:trPr>
          <w:trHeight w:val="255"/>
          <w:jc w:val="center"/>
        </w:trPr>
        <w:tc>
          <w:tcPr>
            <w:tcW w:w="6399" w:type="dxa"/>
            <w:gridSpan w:val="4"/>
            <w:shd w:val="clear" w:color="auto" w:fill="0070C0"/>
            <w:noWrap/>
            <w:vAlign w:val="center"/>
          </w:tcPr>
          <w:p w14:paraId="05437EF7" w14:textId="77777777" w:rsidR="00D93450" w:rsidRPr="005D2D60" w:rsidRDefault="00515419" w:rsidP="00D93450">
            <w:pPr>
              <w:rPr>
                <w:rFonts w:eastAsia="MS PGothic"/>
                <w:b/>
                <w:noProof/>
                <w:color w:val="242828"/>
                <w:sz w:val="20"/>
                <w:szCs w:val="20"/>
                <w:lang w:eastAsia="en-GB"/>
              </w:rPr>
            </w:pPr>
            <w:r w:rsidRPr="005D2D60">
              <w:rPr>
                <w:rFonts w:eastAsia="MS PGothic"/>
                <w:b/>
                <w:noProof/>
                <w:color w:val="FFFFFF"/>
                <w:sz w:val="20"/>
                <w:szCs w:val="20"/>
                <w:lang w:eastAsia="en-GB"/>
              </w:rPr>
              <w:t>C</w:t>
            </w:r>
            <w:r w:rsidR="00D93450" w:rsidRPr="005D2D60">
              <w:rPr>
                <w:rFonts w:eastAsia="MS PGothic"/>
                <w:b/>
                <w:noProof/>
                <w:color w:val="FFFFFF"/>
                <w:sz w:val="20"/>
                <w:szCs w:val="20"/>
                <w:lang w:eastAsia="en-GB"/>
              </w:rPr>
              <w:t>luster short description</w:t>
            </w:r>
          </w:p>
        </w:tc>
        <w:tc>
          <w:tcPr>
            <w:tcW w:w="3204" w:type="dxa"/>
            <w:gridSpan w:val="4"/>
            <w:shd w:val="clear" w:color="auto" w:fill="0070C0"/>
            <w:noWrap/>
            <w:vAlign w:val="center"/>
          </w:tcPr>
          <w:p w14:paraId="096A7BB6" w14:textId="77777777" w:rsidR="00D93450" w:rsidRPr="005D2D60" w:rsidRDefault="00D93450" w:rsidP="00D93450">
            <w:pPr>
              <w:jc w:val="center"/>
              <w:rPr>
                <w:rFonts w:eastAsia="MS PGothic"/>
                <w:b/>
                <w:noProof/>
                <w:color w:val="FFFFFF"/>
                <w:sz w:val="20"/>
                <w:szCs w:val="20"/>
                <w:lang w:eastAsia="en-GB"/>
              </w:rPr>
            </w:pPr>
            <w:r w:rsidRPr="005D2D60">
              <w:rPr>
                <w:rFonts w:eastAsia="MS PGothic"/>
                <w:b/>
                <w:noProof/>
                <w:color w:val="FFFFFF"/>
                <w:sz w:val="20"/>
                <w:szCs w:val="20"/>
                <w:lang w:eastAsia="en-GB"/>
              </w:rPr>
              <w:t>Share of modal shift potential captured</w:t>
            </w:r>
          </w:p>
        </w:tc>
      </w:tr>
      <w:tr w:rsidR="00BF29A8" w:rsidRPr="00BF29A8" w14:paraId="789F0073" w14:textId="77777777" w:rsidTr="00726529">
        <w:trPr>
          <w:trHeight w:val="255"/>
          <w:jc w:val="center"/>
        </w:trPr>
        <w:tc>
          <w:tcPr>
            <w:tcW w:w="1134" w:type="dxa"/>
            <w:shd w:val="clear" w:color="auto" w:fill="00B0F0"/>
            <w:noWrap/>
            <w:vAlign w:val="center"/>
          </w:tcPr>
          <w:p w14:paraId="2EEBB6AD" w14:textId="77777777" w:rsidR="00D93450" w:rsidRPr="005D2D60" w:rsidRDefault="00D93450" w:rsidP="00D93450">
            <w:pPr>
              <w:rPr>
                <w:noProof/>
                <w:color w:val="FFFFFF" w:themeColor="background1"/>
                <w:sz w:val="20"/>
                <w:szCs w:val="20"/>
                <w:lang w:eastAsia="en-GB"/>
              </w:rPr>
            </w:pPr>
            <w:r w:rsidRPr="005D2D60">
              <w:rPr>
                <w:rFonts w:eastAsia="MS PGothic"/>
                <w:b/>
                <w:noProof/>
                <w:color w:val="FFFFFF" w:themeColor="background1"/>
                <w:sz w:val="20"/>
                <w:szCs w:val="20"/>
                <w:lang w:eastAsia="en-GB"/>
              </w:rPr>
              <w:t>Cluster</w:t>
            </w:r>
          </w:p>
        </w:tc>
        <w:tc>
          <w:tcPr>
            <w:tcW w:w="1100" w:type="dxa"/>
            <w:shd w:val="clear" w:color="auto" w:fill="00B0F0"/>
            <w:noWrap/>
            <w:vAlign w:val="center"/>
          </w:tcPr>
          <w:p w14:paraId="23CBD195" w14:textId="77777777" w:rsidR="00D93450" w:rsidRPr="005D2D60" w:rsidRDefault="00D93450" w:rsidP="00D93450">
            <w:pPr>
              <w:rPr>
                <w:noProof/>
                <w:color w:val="FFFFFF" w:themeColor="background1"/>
                <w:sz w:val="20"/>
                <w:szCs w:val="20"/>
                <w:lang w:eastAsia="en-GB"/>
              </w:rPr>
            </w:pPr>
            <w:r w:rsidRPr="005D2D60">
              <w:rPr>
                <w:rFonts w:eastAsia="MS PGothic"/>
                <w:b/>
                <w:noProof/>
                <w:color w:val="FFFFFF" w:themeColor="background1"/>
                <w:sz w:val="20"/>
                <w:szCs w:val="20"/>
                <w:lang w:eastAsia="en-GB"/>
              </w:rPr>
              <w:t>Route</w:t>
            </w:r>
          </w:p>
        </w:tc>
        <w:tc>
          <w:tcPr>
            <w:tcW w:w="2104" w:type="dxa"/>
            <w:shd w:val="clear" w:color="auto" w:fill="00B0F0"/>
            <w:noWrap/>
            <w:vAlign w:val="center"/>
          </w:tcPr>
          <w:p w14:paraId="5D340696" w14:textId="77777777" w:rsidR="00D93450" w:rsidRPr="005D2D60" w:rsidRDefault="00D93450" w:rsidP="00D93450">
            <w:pPr>
              <w:rPr>
                <w:noProof/>
                <w:color w:val="FFFFFF" w:themeColor="background1"/>
                <w:sz w:val="20"/>
                <w:szCs w:val="20"/>
                <w:lang w:eastAsia="en-GB"/>
              </w:rPr>
            </w:pPr>
            <w:r w:rsidRPr="005D2D60">
              <w:rPr>
                <w:rFonts w:eastAsia="MS PGothic"/>
                <w:b/>
                <w:noProof/>
                <w:color w:val="FFFFFF" w:themeColor="background1"/>
                <w:sz w:val="20"/>
                <w:szCs w:val="20"/>
                <w:lang w:eastAsia="en-GB"/>
              </w:rPr>
              <w:t>MDMS</w:t>
            </w:r>
          </w:p>
        </w:tc>
        <w:tc>
          <w:tcPr>
            <w:tcW w:w="2061" w:type="dxa"/>
            <w:shd w:val="clear" w:color="auto" w:fill="00B0F0"/>
            <w:noWrap/>
            <w:vAlign w:val="center"/>
          </w:tcPr>
          <w:p w14:paraId="2FED90F2" w14:textId="77777777" w:rsidR="00D93450" w:rsidRPr="005D2D60" w:rsidRDefault="00D93450" w:rsidP="00D93450">
            <w:pPr>
              <w:rPr>
                <w:noProof/>
                <w:color w:val="FFFFFF" w:themeColor="background1"/>
                <w:sz w:val="20"/>
                <w:szCs w:val="20"/>
                <w:lang w:eastAsia="en-GB"/>
              </w:rPr>
            </w:pPr>
            <w:r w:rsidRPr="005D2D60">
              <w:rPr>
                <w:rFonts w:eastAsia="MS PGothic"/>
                <w:b/>
                <w:noProof/>
                <w:color w:val="FFFFFF" w:themeColor="background1"/>
                <w:sz w:val="20"/>
                <w:szCs w:val="20"/>
                <w:lang w:eastAsia="en-GB"/>
              </w:rPr>
              <w:t>Attractiveness</w:t>
            </w:r>
          </w:p>
        </w:tc>
        <w:tc>
          <w:tcPr>
            <w:tcW w:w="832" w:type="dxa"/>
            <w:shd w:val="clear" w:color="auto" w:fill="00B0F0"/>
            <w:noWrap/>
            <w:vAlign w:val="center"/>
          </w:tcPr>
          <w:p w14:paraId="47DE4F55" w14:textId="77777777" w:rsidR="00D93450" w:rsidRPr="005D2D60" w:rsidRDefault="00D93450" w:rsidP="00D93450">
            <w:pPr>
              <w:jc w:val="center"/>
              <w:rPr>
                <w:noProof/>
                <w:color w:val="FFFFFF" w:themeColor="background1"/>
                <w:sz w:val="20"/>
                <w:szCs w:val="20"/>
                <w:lang w:eastAsia="en-GB"/>
              </w:rPr>
            </w:pPr>
            <w:r w:rsidRPr="005D2D60">
              <w:rPr>
                <w:rFonts w:eastAsia="MS PGothic"/>
                <w:b/>
                <w:noProof/>
                <w:color w:val="FFFFFF" w:themeColor="background1"/>
                <w:sz w:val="20"/>
                <w:szCs w:val="20"/>
                <w:lang w:eastAsia="en-GB"/>
              </w:rPr>
              <w:t>PO1</w:t>
            </w:r>
          </w:p>
        </w:tc>
        <w:tc>
          <w:tcPr>
            <w:tcW w:w="832" w:type="dxa"/>
            <w:shd w:val="clear" w:color="auto" w:fill="00B0F0"/>
            <w:noWrap/>
            <w:vAlign w:val="center"/>
          </w:tcPr>
          <w:p w14:paraId="36964B4B" w14:textId="77777777" w:rsidR="00D93450" w:rsidRPr="005D2D60" w:rsidRDefault="00D93450" w:rsidP="00D93450">
            <w:pPr>
              <w:jc w:val="center"/>
              <w:rPr>
                <w:noProof/>
                <w:color w:val="FFFFFF" w:themeColor="background1"/>
                <w:sz w:val="20"/>
                <w:szCs w:val="20"/>
                <w:lang w:eastAsia="en-GB"/>
              </w:rPr>
            </w:pPr>
            <w:r w:rsidRPr="005D2D60">
              <w:rPr>
                <w:rFonts w:eastAsia="MS PGothic"/>
                <w:b/>
                <w:noProof/>
                <w:color w:val="FFFFFF" w:themeColor="background1"/>
                <w:sz w:val="20"/>
                <w:szCs w:val="20"/>
                <w:lang w:eastAsia="en-GB"/>
              </w:rPr>
              <w:t>PO2</w:t>
            </w:r>
          </w:p>
        </w:tc>
        <w:tc>
          <w:tcPr>
            <w:tcW w:w="711" w:type="dxa"/>
            <w:shd w:val="clear" w:color="auto" w:fill="00B0F0"/>
            <w:noWrap/>
            <w:vAlign w:val="center"/>
          </w:tcPr>
          <w:p w14:paraId="3ED346CD" w14:textId="77777777" w:rsidR="00D93450" w:rsidRPr="005D2D60" w:rsidRDefault="00D93450" w:rsidP="00D93450">
            <w:pPr>
              <w:jc w:val="center"/>
              <w:rPr>
                <w:noProof/>
                <w:color w:val="FFFFFF" w:themeColor="background1"/>
                <w:sz w:val="20"/>
                <w:szCs w:val="20"/>
                <w:lang w:eastAsia="en-GB"/>
              </w:rPr>
            </w:pPr>
            <w:r w:rsidRPr="005D2D60">
              <w:rPr>
                <w:rFonts w:eastAsia="MS PGothic"/>
                <w:b/>
                <w:noProof/>
                <w:color w:val="FFFFFF" w:themeColor="background1"/>
                <w:sz w:val="20"/>
                <w:szCs w:val="20"/>
                <w:lang w:eastAsia="en-GB"/>
              </w:rPr>
              <w:t>PO3</w:t>
            </w:r>
          </w:p>
        </w:tc>
        <w:tc>
          <w:tcPr>
            <w:tcW w:w="829" w:type="dxa"/>
            <w:shd w:val="clear" w:color="auto" w:fill="00B0F0"/>
            <w:noWrap/>
            <w:vAlign w:val="center"/>
          </w:tcPr>
          <w:p w14:paraId="4A4FF60C" w14:textId="77777777" w:rsidR="00D93450" w:rsidRPr="005D2D60" w:rsidRDefault="00D93450" w:rsidP="00D93450">
            <w:pPr>
              <w:jc w:val="center"/>
              <w:rPr>
                <w:noProof/>
                <w:color w:val="FFFFFF" w:themeColor="background1"/>
                <w:sz w:val="20"/>
                <w:szCs w:val="20"/>
                <w:lang w:eastAsia="en-GB"/>
              </w:rPr>
            </w:pPr>
            <w:r w:rsidRPr="005D2D60">
              <w:rPr>
                <w:rFonts w:eastAsia="MS PGothic"/>
                <w:b/>
                <w:noProof/>
                <w:color w:val="FFFFFF" w:themeColor="background1"/>
                <w:sz w:val="20"/>
                <w:szCs w:val="20"/>
                <w:lang w:eastAsia="en-GB"/>
              </w:rPr>
              <w:t>PO4</w:t>
            </w:r>
          </w:p>
        </w:tc>
      </w:tr>
      <w:tr w:rsidR="00515419" w:rsidRPr="00D93450" w14:paraId="1B0E03A5" w14:textId="77777777" w:rsidTr="00726529">
        <w:trPr>
          <w:trHeight w:val="255"/>
          <w:jc w:val="center"/>
        </w:trPr>
        <w:tc>
          <w:tcPr>
            <w:tcW w:w="1134" w:type="dxa"/>
            <w:noWrap/>
            <w:vAlign w:val="bottom"/>
            <w:hideMark/>
          </w:tcPr>
          <w:p w14:paraId="06E130AB"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A</w:t>
            </w:r>
          </w:p>
        </w:tc>
        <w:tc>
          <w:tcPr>
            <w:tcW w:w="1100" w:type="dxa"/>
            <w:noWrap/>
            <w:vAlign w:val="bottom"/>
            <w:hideMark/>
          </w:tcPr>
          <w:p w14:paraId="0814D163"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National</w:t>
            </w:r>
          </w:p>
        </w:tc>
        <w:tc>
          <w:tcPr>
            <w:tcW w:w="2104" w:type="dxa"/>
            <w:noWrap/>
            <w:vAlign w:val="bottom"/>
            <w:hideMark/>
          </w:tcPr>
          <w:p w14:paraId="21B17E76"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Leader</w:t>
            </w:r>
          </w:p>
        </w:tc>
        <w:tc>
          <w:tcPr>
            <w:tcW w:w="2061" w:type="dxa"/>
            <w:noWrap/>
            <w:vAlign w:val="bottom"/>
            <w:hideMark/>
          </w:tcPr>
          <w:p w14:paraId="314D30E3"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Both attractive</w:t>
            </w:r>
          </w:p>
        </w:tc>
        <w:tc>
          <w:tcPr>
            <w:tcW w:w="832" w:type="dxa"/>
            <w:shd w:val="clear" w:color="000000" w:fill="FFFFC2"/>
            <w:noWrap/>
            <w:vAlign w:val="bottom"/>
            <w:hideMark/>
          </w:tcPr>
          <w:p w14:paraId="79593AE5"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30%</w:t>
            </w:r>
          </w:p>
        </w:tc>
        <w:tc>
          <w:tcPr>
            <w:tcW w:w="832" w:type="dxa"/>
            <w:shd w:val="clear" w:color="000000" w:fill="FFFF66"/>
            <w:noWrap/>
            <w:vAlign w:val="bottom"/>
            <w:hideMark/>
          </w:tcPr>
          <w:p w14:paraId="6F355980"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60%</w:t>
            </w:r>
          </w:p>
        </w:tc>
        <w:tc>
          <w:tcPr>
            <w:tcW w:w="711" w:type="dxa"/>
            <w:shd w:val="clear" w:color="000000" w:fill="80D85C"/>
            <w:noWrap/>
            <w:vAlign w:val="bottom"/>
            <w:hideMark/>
          </w:tcPr>
          <w:p w14:paraId="6CB77C82"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70%</w:t>
            </w:r>
          </w:p>
        </w:tc>
        <w:tc>
          <w:tcPr>
            <w:tcW w:w="829" w:type="dxa"/>
            <w:shd w:val="clear" w:color="000000" w:fill="80D85C"/>
            <w:noWrap/>
            <w:vAlign w:val="bottom"/>
            <w:hideMark/>
          </w:tcPr>
          <w:p w14:paraId="56306E8D"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70%</w:t>
            </w:r>
          </w:p>
        </w:tc>
      </w:tr>
      <w:tr w:rsidR="00515419" w:rsidRPr="00D93450" w14:paraId="1FAC9F64" w14:textId="77777777" w:rsidTr="00726529">
        <w:trPr>
          <w:trHeight w:val="255"/>
          <w:jc w:val="center"/>
        </w:trPr>
        <w:tc>
          <w:tcPr>
            <w:tcW w:w="1134" w:type="dxa"/>
            <w:noWrap/>
            <w:vAlign w:val="bottom"/>
            <w:hideMark/>
          </w:tcPr>
          <w:p w14:paraId="03AEA46A"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B</w:t>
            </w:r>
          </w:p>
        </w:tc>
        <w:tc>
          <w:tcPr>
            <w:tcW w:w="1100" w:type="dxa"/>
            <w:noWrap/>
            <w:vAlign w:val="bottom"/>
            <w:hideMark/>
          </w:tcPr>
          <w:p w14:paraId="5DE63752"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National</w:t>
            </w:r>
          </w:p>
        </w:tc>
        <w:tc>
          <w:tcPr>
            <w:tcW w:w="2104" w:type="dxa"/>
            <w:noWrap/>
            <w:vAlign w:val="bottom"/>
            <w:hideMark/>
          </w:tcPr>
          <w:p w14:paraId="63E52332"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Planned adopter/follower</w:t>
            </w:r>
          </w:p>
        </w:tc>
        <w:tc>
          <w:tcPr>
            <w:tcW w:w="2061" w:type="dxa"/>
            <w:noWrap/>
            <w:vAlign w:val="bottom"/>
            <w:hideMark/>
          </w:tcPr>
          <w:p w14:paraId="68843045"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Both attractive</w:t>
            </w:r>
          </w:p>
        </w:tc>
        <w:tc>
          <w:tcPr>
            <w:tcW w:w="832" w:type="dxa"/>
            <w:shd w:val="clear" w:color="000000" w:fill="FFFFE1"/>
            <w:noWrap/>
            <w:vAlign w:val="bottom"/>
            <w:hideMark/>
          </w:tcPr>
          <w:p w14:paraId="323CB19E"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20%</w:t>
            </w:r>
          </w:p>
        </w:tc>
        <w:tc>
          <w:tcPr>
            <w:tcW w:w="832" w:type="dxa"/>
            <w:shd w:val="clear" w:color="000000" w:fill="00B050"/>
            <w:noWrap/>
            <w:vAlign w:val="bottom"/>
            <w:hideMark/>
          </w:tcPr>
          <w:p w14:paraId="5D76B91D"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80%</w:t>
            </w:r>
          </w:p>
        </w:tc>
        <w:tc>
          <w:tcPr>
            <w:tcW w:w="711" w:type="dxa"/>
            <w:shd w:val="clear" w:color="000000" w:fill="00B050"/>
            <w:noWrap/>
            <w:vAlign w:val="bottom"/>
            <w:hideMark/>
          </w:tcPr>
          <w:p w14:paraId="2EA868A6"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80%</w:t>
            </w:r>
          </w:p>
        </w:tc>
        <w:tc>
          <w:tcPr>
            <w:tcW w:w="829" w:type="dxa"/>
            <w:shd w:val="clear" w:color="000000" w:fill="00B050"/>
            <w:noWrap/>
            <w:vAlign w:val="bottom"/>
            <w:hideMark/>
          </w:tcPr>
          <w:p w14:paraId="0DC37D5A"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80%</w:t>
            </w:r>
          </w:p>
        </w:tc>
      </w:tr>
      <w:tr w:rsidR="00515419" w:rsidRPr="00D93450" w14:paraId="05CADAD3" w14:textId="77777777" w:rsidTr="00726529">
        <w:trPr>
          <w:trHeight w:val="255"/>
          <w:jc w:val="center"/>
        </w:trPr>
        <w:tc>
          <w:tcPr>
            <w:tcW w:w="1134" w:type="dxa"/>
            <w:noWrap/>
            <w:vAlign w:val="bottom"/>
            <w:hideMark/>
          </w:tcPr>
          <w:p w14:paraId="3C6B93EC"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C</w:t>
            </w:r>
          </w:p>
        </w:tc>
        <w:tc>
          <w:tcPr>
            <w:tcW w:w="1100" w:type="dxa"/>
            <w:noWrap/>
            <w:vAlign w:val="bottom"/>
            <w:hideMark/>
          </w:tcPr>
          <w:p w14:paraId="0616A159"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International</w:t>
            </w:r>
          </w:p>
        </w:tc>
        <w:tc>
          <w:tcPr>
            <w:tcW w:w="2104" w:type="dxa"/>
            <w:noWrap/>
            <w:vAlign w:val="bottom"/>
            <w:hideMark/>
          </w:tcPr>
          <w:p w14:paraId="2D389A4A"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At least one leader</w:t>
            </w:r>
          </w:p>
        </w:tc>
        <w:tc>
          <w:tcPr>
            <w:tcW w:w="2061" w:type="dxa"/>
            <w:noWrap/>
            <w:vAlign w:val="bottom"/>
            <w:hideMark/>
          </w:tcPr>
          <w:p w14:paraId="6F83E33E"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Both attractive</w:t>
            </w:r>
          </w:p>
        </w:tc>
        <w:tc>
          <w:tcPr>
            <w:tcW w:w="832" w:type="dxa"/>
            <w:shd w:val="clear" w:color="000000" w:fill="FFFFE1"/>
            <w:noWrap/>
            <w:vAlign w:val="bottom"/>
            <w:hideMark/>
          </w:tcPr>
          <w:p w14:paraId="31B1C3FA"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20%</w:t>
            </w:r>
          </w:p>
        </w:tc>
        <w:tc>
          <w:tcPr>
            <w:tcW w:w="832" w:type="dxa"/>
            <w:shd w:val="clear" w:color="000000" w:fill="FFFF66"/>
            <w:noWrap/>
            <w:vAlign w:val="bottom"/>
            <w:hideMark/>
          </w:tcPr>
          <w:p w14:paraId="0BB80A71"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60%</w:t>
            </w:r>
          </w:p>
        </w:tc>
        <w:tc>
          <w:tcPr>
            <w:tcW w:w="711" w:type="dxa"/>
            <w:shd w:val="clear" w:color="000000" w:fill="00B050"/>
            <w:noWrap/>
            <w:vAlign w:val="bottom"/>
            <w:hideMark/>
          </w:tcPr>
          <w:p w14:paraId="2E754281"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80%</w:t>
            </w:r>
          </w:p>
        </w:tc>
        <w:tc>
          <w:tcPr>
            <w:tcW w:w="829" w:type="dxa"/>
            <w:shd w:val="clear" w:color="000000" w:fill="FFFF66"/>
            <w:noWrap/>
            <w:vAlign w:val="bottom"/>
            <w:hideMark/>
          </w:tcPr>
          <w:p w14:paraId="63852434"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60%</w:t>
            </w:r>
          </w:p>
        </w:tc>
      </w:tr>
      <w:tr w:rsidR="00515419" w:rsidRPr="00D93450" w14:paraId="3ABAFC4C" w14:textId="77777777" w:rsidTr="00726529">
        <w:trPr>
          <w:trHeight w:val="255"/>
          <w:jc w:val="center"/>
        </w:trPr>
        <w:tc>
          <w:tcPr>
            <w:tcW w:w="1134" w:type="dxa"/>
            <w:noWrap/>
            <w:vAlign w:val="bottom"/>
            <w:hideMark/>
          </w:tcPr>
          <w:p w14:paraId="523994C3"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D</w:t>
            </w:r>
          </w:p>
        </w:tc>
        <w:tc>
          <w:tcPr>
            <w:tcW w:w="1100" w:type="dxa"/>
            <w:noWrap/>
            <w:vAlign w:val="bottom"/>
            <w:hideMark/>
          </w:tcPr>
          <w:p w14:paraId="060CDAF4"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International</w:t>
            </w:r>
          </w:p>
        </w:tc>
        <w:tc>
          <w:tcPr>
            <w:tcW w:w="2104" w:type="dxa"/>
            <w:noWrap/>
            <w:vAlign w:val="bottom"/>
            <w:hideMark/>
          </w:tcPr>
          <w:p w14:paraId="36387B83"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Planned adopters/followers</w:t>
            </w:r>
          </w:p>
        </w:tc>
        <w:tc>
          <w:tcPr>
            <w:tcW w:w="2061" w:type="dxa"/>
            <w:noWrap/>
            <w:vAlign w:val="bottom"/>
            <w:hideMark/>
          </w:tcPr>
          <w:p w14:paraId="2FE72543"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Both attractive</w:t>
            </w:r>
          </w:p>
        </w:tc>
        <w:tc>
          <w:tcPr>
            <w:tcW w:w="832" w:type="dxa"/>
            <w:shd w:val="clear" w:color="000000" w:fill="FFFFE1"/>
            <w:noWrap/>
            <w:vAlign w:val="bottom"/>
            <w:hideMark/>
          </w:tcPr>
          <w:p w14:paraId="518D388E"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20%</w:t>
            </w:r>
          </w:p>
        </w:tc>
        <w:tc>
          <w:tcPr>
            <w:tcW w:w="832" w:type="dxa"/>
            <w:shd w:val="clear" w:color="000000" w:fill="00B050"/>
            <w:noWrap/>
            <w:vAlign w:val="bottom"/>
            <w:hideMark/>
          </w:tcPr>
          <w:p w14:paraId="31BF88C9"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80%</w:t>
            </w:r>
          </w:p>
        </w:tc>
        <w:tc>
          <w:tcPr>
            <w:tcW w:w="711" w:type="dxa"/>
            <w:shd w:val="clear" w:color="000000" w:fill="00B050"/>
            <w:noWrap/>
            <w:vAlign w:val="bottom"/>
            <w:hideMark/>
          </w:tcPr>
          <w:p w14:paraId="1BEF61C3"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80%</w:t>
            </w:r>
          </w:p>
        </w:tc>
        <w:tc>
          <w:tcPr>
            <w:tcW w:w="829" w:type="dxa"/>
            <w:shd w:val="clear" w:color="000000" w:fill="00B050"/>
            <w:noWrap/>
            <w:vAlign w:val="bottom"/>
            <w:hideMark/>
          </w:tcPr>
          <w:p w14:paraId="4986280B"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80%</w:t>
            </w:r>
          </w:p>
        </w:tc>
      </w:tr>
      <w:tr w:rsidR="00515419" w:rsidRPr="00D93450" w14:paraId="3296F6C6" w14:textId="77777777" w:rsidTr="00726529">
        <w:trPr>
          <w:trHeight w:val="255"/>
          <w:jc w:val="center"/>
        </w:trPr>
        <w:tc>
          <w:tcPr>
            <w:tcW w:w="1134" w:type="dxa"/>
            <w:noWrap/>
            <w:vAlign w:val="bottom"/>
            <w:hideMark/>
          </w:tcPr>
          <w:p w14:paraId="326DC255"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E</w:t>
            </w:r>
          </w:p>
        </w:tc>
        <w:tc>
          <w:tcPr>
            <w:tcW w:w="1100" w:type="dxa"/>
            <w:noWrap/>
            <w:vAlign w:val="bottom"/>
            <w:hideMark/>
          </w:tcPr>
          <w:p w14:paraId="37C4FEBC"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National</w:t>
            </w:r>
          </w:p>
        </w:tc>
        <w:tc>
          <w:tcPr>
            <w:tcW w:w="2104" w:type="dxa"/>
            <w:noWrap/>
            <w:vAlign w:val="bottom"/>
            <w:hideMark/>
          </w:tcPr>
          <w:p w14:paraId="1B6D538E"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Leader</w:t>
            </w:r>
          </w:p>
        </w:tc>
        <w:tc>
          <w:tcPr>
            <w:tcW w:w="2061" w:type="dxa"/>
            <w:noWrap/>
            <w:vAlign w:val="bottom"/>
            <w:hideMark/>
          </w:tcPr>
          <w:p w14:paraId="4C2B3F95"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Hybrid</w:t>
            </w:r>
          </w:p>
        </w:tc>
        <w:tc>
          <w:tcPr>
            <w:tcW w:w="832" w:type="dxa"/>
            <w:shd w:val="clear" w:color="000000" w:fill="FFFFE1"/>
            <w:noWrap/>
            <w:vAlign w:val="bottom"/>
            <w:hideMark/>
          </w:tcPr>
          <w:p w14:paraId="32331E88"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20%</w:t>
            </w:r>
          </w:p>
        </w:tc>
        <w:tc>
          <w:tcPr>
            <w:tcW w:w="832" w:type="dxa"/>
            <w:shd w:val="clear" w:color="000000" w:fill="FFFF85"/>
            <w:noWrap/>
            <w:vAlign w:val="bottom"/>
            <w:hideMark/>
          </w:tcPr>
          <w:p w14:paraId="6E27145B"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50%</w:t>
            </w:r>
          </w:p>
        </w:tc>
        <w:tc>
          <w:tcPr>
            <w:tcW w:w="711" w:type="dxa"/>
            <w:shd w:val="clear" w:color="000000" w:fill="FFFF66"/>
            <w:noWrap/>
            <w:vAlign w:val="bottom"/>
            <w:hideMark/>
          </w:tcPr>
          <w:p w14:paraId="6C44D5CD"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60%</w:t>
            </w:r>
          </w:p>
        </w:tc>
        <w:tc>
          <w:tcPr>
            <w:tcW w:w="829" w:type="dxa"/>
            <w:shd w:val="clear" w:color="000000" w:fill="FFFF66"/>
            <w:noWrap/>
            <w:vAlign w:val="bottom"/>
            <w:hideMark/>
          </w:tcPr>
          <w:p w14:paraId="27CB054C"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60%</w:t>
            </w:r>
          </w:p>
        </w:tc>
      </w:tr>
      <w:tr w:rsidR="00515419" w:rsidRPr="00D93450" w14:paraId="5F554499" w14:textId="77777777" w:rsidTr="00726529">
        <w:trPr>
          <w:trHeight w:val="255"/>
          <w:jc w:val="center"/>
        </w:trPr>
        <w:tc>
          <w:tcPr>
            <w:tcW w:w="1134" w:type="dxa"/>
            <w:noWrap/>
            <w:vAlign w:val="bottom"/>
            <w:hideMark/>
          </w:tcPr>
          <w:p w14:paraId="6485CC50"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F</w:t>
            </w:r>
          </w:p>
        </w:tc>
        <w:tc>
          <w:tcPr>
            <w:tcW w:w="1100" w:type="dxa"/>
            <w:noWrap/>
            <w:vAlign w:val="bottom"/>
            <w:hideMark/>
          </w:tcPr>
          <w:p w14:paraId="7BFC16B7"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National</w:t>
            </w:r>
          </w:p>
        </w:tc>
        <w:tc>
          <w:tcPr>
            <w:tcW w:w="2104" w:type="dxa"/>
            <w:noWrap/>
            <w:vAlign w:val="bottom"/>
            <w:hideMark/>
          </w:tcPr>
          <w:p w14:paraId="11005BC6"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Planned adopter/follower</w:t>
            </w:r>
          </w:p>
        </w:tc>
        <w:tc>
          <w:tcPr>
            <w:tcW w:w="2061" w:type="dxa"/>
            <w:noWrap/>
            <w:vAlign w:val="bottom"/>
            <w:hideMark/>
          </w:tcPr>
          <w:p w14:paraId="55CD86FB"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Hybrid</w:t>
            </w:r>
          </w:p>
        </w:tc>
        <w:tc>
          <w:tcPr>
            <w:tcW w:w="832" w:type="dxa"/>
            <w:shd w:val="clear" w:color="000000" w:fill="FFFFE1"/>
            <w:noWrap/>
            <w:vAlign w:val="bottom"/>
            <w:hideMark/>
          </w:tcPr>
          <w:p w14:paraId="48C03309"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20%</w:t>
            </w:r>
          </w:p>
        </w:tc>
        <w:tc>
          <w:tcPr>
            <w:tcW w:w="832" w:type="dxa"/>
            <w:shd w:val="clear" w:color="000000" w:fill="FFFF85"/>
            <w:noWrap/>
            <w:vAlign w:val="bottom"/>
            <w:hideMark/>
          </w:tcPr>
          <w:p w14:paraId="1072B0AC"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50%</w:t>
            </w:r>
          </w:p>
        </w:tc>
        <w:tc>
          <w:tcPr>
            <w:tcW w:w="711" w:type="dxa"/>
            <w:shd w:val="clear" w:color="000000" w:fill="80D85C"/>
            <w:noWrap/>
            <w:vAlign w:val="bottom"/>
            <w:hideMark/>
          </w:tcPr>
          <w:p w14:paraId="1AF06624"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70%</w:t>
            </w:r>
          </w:p>
        </w:tc>
        <w:tc>
          <w:tcPr>
            <w:tcW w:w="829" w:type="dxa"/>
            <w:shd w:val="clear" w:color="000000" w:fill="FFFF85"/>
            <w:noWrap/>
            <w:vAlign w:val="bottom"/>
            <w:hideMark/>
          </w:tcPr>
          <w:p w14:paraId="138B3AA3"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50%</w:t>
            </w:r>
          </w:p>
        </w:tc>
      </w:tr>
      <w:tr w:rsidR="00515419" w:rsidRPr="00D93450" w14:paraId="6662F298" w14:textId="77777777" w:rsidTr="00726529">
        <w:trPr>
          <w:trHeight w:val="255"/>
          <w:jc w:val="center"/>
        </w:trPr>
        <w:tc>
          <w:tcPr>
            <w:tcW w:w="1134" w:type="dxa"/>
            <w:noWrap/>
            <w:vAlign w:val="bottom"/>
            <w:hideMark/>
          </w:tcPr>
          <w:p w14:paraId="65358310"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G</w:t>
            </w:r>
          </w:p>
        </w:tc>
        <w:tc>
          <w:tcPr>
            <w:tcW w:w="1100" w:type="dxa"/>
            <w:noWrap/>
            <w:vAlign w:val="bottom"/>
            <w:hideMark/>
          </w:tcPr>
          <w:p w14:paraId="50F1E2B7"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International</w:t>
            </w:r>
          </w:p>
        </w:tc>
        <w:tc>
          <w:tcPr>
            <w:tcW w:w="2104" w:type="dxa"/>
            <w:noWrap/>
            <w:vAlign w:val="bottom"/>
            <w:hideMark/>
          </w:tcPr>
          <w:p w14:paraId="6A936184"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At least one leader</w:t>
            </w:r>
          </w:p>
        </w:tc>
        <w:tc>
          <w:tcPr>
            <w:tcW w:w="2061" w:type="dxa"/>
            <w:noWrap/>
            <w:vAlign w:val="bottom"/>
            <w:hideMark/>
          </w:tcPr>
          <w:p w14:paraId="3310F965"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Hybrid</w:t>
            </w:r>
          </w:p>
        </w:tc>
        <w:tc>
          <w:tcPr>
            <w:tcW w:w="832" w:type="dxa"/>
            <w:shd w:val="clear" w:color="000000" w:fill="FFFFE1"/>
            <w:noWrap/>
            <w:vAlign w:val="bottom"/>
            <w:hideMark/>
          </w:tcPr>
          <w:p w14:paraId="2D3C5582"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20%</w:t>
            </w:r>
          </w:p>
        </w:tc>
        <w:tc>
          <w:tcPr>
            <w:tcW w:w="832" w:type="dxa"/>
            <w:shd w:val="clear" w:color="000000" w:fill="FFFF85"/>
            <w:noWrap/>
            <w:vAlign w:val="bottom"/>
            <w:hideMark/>
          </w:tcPr>
          <w:p w14:paraId="7EA93071"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50%</w:t>
            </w:r>
          </w:p>
        </w:tc>
        <w:tc>
          <w:tcPr>
            <w:tcW w:w="711" w:type="dxa"/>
            <w:shd w:val="clear" w:color="000000" w:fill="FFFF66"/>
            <w:noWrap/>
            <w:vAlign w:val="bottom"/>
            <w:hideMark/>
          </w:tcPr>
          <w:p w14:paraId="3BB4658C"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60%</w:t>
            </w:r>
          </w:p>
        </w:tc>
        <w:tc>
          <w:tcPr>
            <w:tcW w:w="829" w:type="dxa"/>
            <w:shd w:val="clear" w:color="000000" w:fill="FFFF66"/>
            <w:noWrap/>
            <w:vAlign w:val="bottom"/>
            <w:hideMark/>
          </w:tcPr>
          <w:p w14:paraId="12A88780"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60%</w:t>
            </w:r>
          </w:p>
        </w:tc>
      </w:tr>
      <w:tr w:rsidR="00515419" w:rsidRPr="00D93450" w14:paraId="3D3A1E94" w14:textId="77777777" w:rsidTr="00726529">
        <w:trPr>
          <w:trHeight w:val="255"/>
          <w:jc w:val="center"/>
        </w:trPr>
        <w:tc>
          <w:tcPr>
            <w:tcW w:w="1134" w:type="dxa"/>
            <w:noWrap/>
            <w:vAlign w:val="bottom"/>
            <w:hideMark/>
          </w:tcPr>
          <w:p w14:paraId="7D019ACA"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H</w:t>
            </w:r>
          </w:p>
        </w:tc>
        <w:tc>
          <w:tcPr>
            <w:tcW w:w="1100" w:type="dxa"/>
            <w:noWrap/>
            <w:vAlign w:val="bottom"/>
            <w:hideMark/>
          </w:tcPr>
          <w:p w14:paraId="419C34F6"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International</w:t>
            </w:r>
          </w:p>
        </w:tc>
        <w:tc>
          <w:tcPr>
            <w:tcW w:w="2104" w:type="dxa"/>
            <w:noWrap/>
            <w:vAlign w:val="bottom"/>
            <w:hideMark/>
          </w:tcPr>
          <w:p w14:paraId="20A8ABB1"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Planned adopters/followers</w:t>
            </w:r>
          </w:p>
        </w:tc>
        <w:tc>
          <w:tcPr>
            <w:tcW w:w="2061" w:type="dxa"/>
            <w:noWrap/>
            <w:vAlign w:val="bottom"/>
            <w:hideMark/>
          </w:tcPr>
          <w:p w14:paraId="01CF757A"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Hybrid</w:t>
            </w:r>
          </w:p>
        </w:tc>
        <w:tc>
          <w:tcPr>
            <w:tcW w:w="832" w:type="dxa"/>
            <w:shd w:val="clear" w:color="000000" w:fill="FFFFE1"/>
            <w:noWrap/>
            <w:vAlign w:val="bottom"/>
            <w:hideMark/>
          </w:tcPr>
          <w:p w14:paraId="0EDA8A70"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20%</w:t>
            </w:r>
          </w:p>
        </w:tc>
        <w:tc>
          <w:tcPr>
            <w:tcW w:w="832" w:type="dxa"/>
            <w:shd w:val="clear" w:color="000000" w:fill="FFFF66"/>
            <w:noWrap/>
            <w:vAlign w:val="bottom"/>
            <w:hideMark/>
          </w:tcPr>
          <w:p w14:paraId="70FD983E"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60%</w:t>
            </w:r>
          </w:p>
        </w:tc>
        <w:tc>
          <w:tcPr>
            <w:tcW w:w="711" w:type="dxa"/>
            <w:shd w:val="clear" w:color="000000" w:fill="00B050"/>
            <w:noWrap/>
            <w:vAlign w:val="bottom"/>
            <w:hideMark/>
          </w:tcPr>
          <w:p w14:paraId="4BC68426"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80%</w:t>
            </w:r>
          </w:p>
        </w:tc>
        <w:tc>
          <w:tcPr>
            <w:tcW w:w="829" w:type="dxa"/>
            <w:shd w:val="clear" w:color="000000" w:fill="FFFF66"/>
            <w:noWrap/>
            <w:vAlign w:val="bottom"/>
            <w:hideMark/>
          </w:tcPr>
          <w:p w14:paraId="19C888F0"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60%</w:t>
            </w:r>
          </w:p>
        </w:tc>
      </w:tr>
      <w:tr w:rsidR="00515419" w:rsidRPr="00D93450" w14:paraId="7E52D9A4" w14:textId="77777777" w:rsidTr="00726529">
        <w:trPr>
          <w:trHeight w:val="255"/>
          <w:jc w:val="center"/>
        </w:trPr>
        <w:tc>
          <w:tcPr>
            <w:tcW w:w="1134" w:type="dxa"/>
            <w:noWrap/>
            <w:vAlign w:val="bottom"/>
            <w:hideMark/>
          </w:tcPr>
          <w:p w14:paraId="79B3E0DD"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I</w:t>
            </w:r>
          </w:p>
        </w:tc>
        <w:tc>
          <w:tcPr>
            <w:tcW w:w="1100" w:type="dxa"/>
            <w:noWrap/>
            <w:vAlign w:val="bottom"/>
            <w:hideMark/>
          </w:tcPr>
          <w:p w14:paraId="04C67AF8"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National</w:t>
            </w:r>
          </w:p>
        </w:tc>
        <w:tc>
          <w:tcPr>
            <w:tcW w:w="2104" w:type="dxa"/>
            <w:noWrap/>
            <w:vAlign w:val="bottom"/>
            <w:hideMark/>
          </w:tcPr>
          <w:p w14:paraId="4D683929"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Any</w:t>
            </w:r>
          </w:p>
        </w:tc>
        <w:tc>
          <w:tcPr>
            <w:tcW w:w="2061" w:type="dxa"/>
            <w:noWrap/>
            <w:vAlign w:val="bottom"/>
            <w:hideMark/>
          </w:tcPr>
          <w:p w14:paraId="3265B529"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Both moderately attractive</w:t>
            </w:r>
          </w:p>
        </w:tc>
        <w:tc>
          <w:tcPr>
            <w:tcW w:w="832" w:type="dxa"/>
            <w:shd w:val="clear" w:color="000000" w:fill="FFFFE1"/>
            <w:noWrap/>
            <w:vAlign w:val="bottom"/>
            <w:hideMark/>
          </w:tcPr>
          <w:p w14:paraId="02E3A284"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20%</w:t>
            </w:r>
          </w:p>
        </w:tc>
        <w:tc>
          <w:tcPr>
            <w:tcW w:w="832" w:type="dxa"/>
            <w:shd w:val="clear" w:color="000000" w:fill="FFFFA4"/>
            <w:noWrap/>
            <w:vAlign w:val="bottom"/>
            <w:hideMark/>
          </w:tcPr>
          <w:p w14:paraId="71DE5367"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40%</w:t>
            </w:r>
          </w:p>
        </w:tc>
        <w:tc>
          <w:tcPr>
            <w:tcW w:w="711" w:type="dxa"/>
            <w:shd w:val="clear" w:color="000000" w:fill="FFFF66"/>
            <w:noWrap/>
            <w:vAlign w:val="bottom"/>
            <w:hideMark/>
          </w:tcPr>
          <w:p w14:paraId="79329220"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60%</w:t>
            </w:r>
          </w:p>
        </w:tc>
        <w:tc>
          <w:tcPr>
            <w:tcW w:w="829" w:type="dxa"/>
            <w:shd w:val="clear" w:color="000000" w:fill="FFFF85"/>
            <w:noWrap/>
            <w:vAlign w:val="bottom"/>
            <w:hideMark/>
          </w:tcPr>
          <w:p w14:paraId="241CC233"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50%</w:t>
            </w:r>
          </w:p>
        </w:tc>
      </w:tr>
      <w:tr w:rsidR="00515419" w:rsidRPr="00D93450" w14:paraId="193EC707" w14:textId="77777777" w:rsidTr="00726529">
        <w:trPr>
          <w:trHeight w:val="255"/>
          <w:jc w:val="center"/>
        </w:trPr>
        <w:tc>
          <w:tcPr>
            <w:tcW w:w="1134" w:type="dxa"/>
            <w:noWrap/>
            <w:vAlign w:val="bottom"/>
            <w:hideMark/>
          </w:tcPr>
          <w:p w14:paraId="4B7474D8"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J</w:t>
            </w:r>
          </w:p>
        </w:tc>
        <w:tc>
          <w:tcPr>
            <w:tcW w:w="1100" w:type="dxa"/>
            <w:noWrap/>
            <w:vAlign w:val="bottom"/>
            <w:hideMark/>
          </w:tcPr>
          <w:p w14:paraId="4DB35D82"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International</w:t>
            </w:r>
          </w:p>
        </w:tc>
        <w:tc>
          <w:tcPr>
            <w:tcW w:w="2104" w:type="dxa"/>
            <w:noWrap/>
            <w:vAlign w:val="bottom"/>
            <w:hideMark/>
          </w:tcPr>
          <w:p w14:paraId="7517124D"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Any</w:t>
            </w:r>
          </w:p>
        </w:tc>
        <w:tc>
          <w:tcPr>
            <w:tcW w:w="2061" w:type="dxa"/>
            <w:noWrap/>
            <w:vAlign w:val="bottom"/>
            <w:hideMark/>
          </w:tcPr>
          <w:p w14:paraId="1125F828"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Both moderately attractive</w:t>
            </w:r>
          </w:p>
        </w:tc>
        <w:tc>
          <w:tcPr>
            <w:tcW w:w="832" w:type="dxa"/>
            <w:shd w:val="clear" w:color="000000" w:fill="FFFFFF"/>
            <w:noWrap/>
            <w:vAlign w:val="bottom"/>
            <w:hideMark/>
          </w:tcPr>
          <w:p w14:paraId="78ADC476"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10%</w:t>
            </w:r>
          </w:p>
        </w:tc>
        <w:tc>
          <w:tcPr>
            <w:tcW w:w="832" w:type="dxa"/>
            <w:shd w:val="clear" w:color="000000" w:fill="FFFF85"/>
            <w:noWrap/>
            <w:vAlign w:val="bottom"/>
            <w:hideMark/>
          </w:tcPr>
          <w:p w14:paraId="3D56C9F8"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50%</w:t>
            </w:r>
          </w:p>
        </w:tc>
        <w:tc>
          <w:tcPr>
            <w:tcW w:w="711" w:type="dxa"/>
            <w:shd w:val="clear" w:color="000000" w:fill="FFFF66"/>
            <w:noWrap/>
            <w:vAlign w:val="bottom"/>
            <w:hideMark/>
          </w:tcPr>
          <w:p w14:paraId="458F0689"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60%</w:t>
            </w:r>
          </w:p>
        </w:tc>
        <w:tc>
          <w:tcPr>
            <w:tcW w:w="829" w:type="dxa"/>
            <w:shd w:val="clear" w:color="000000" w:fill="FFFF85"/>
            <w:noWrap/>
            <w:vAlign w:val="bottom"/>
            <w:hideMark/>
          </w:tcPr>
          <w:p w14:paraId="1AFA8EA3" w14:textId="77777777" w:rsidR="00D93450" w:rsidRPr="005D2D60" w:rsidRDefault="00D93450" w:rsidP="00D93450">
            <w:pPr>
              <w:jc w:val="center"/>
              <w:rPr>
                <w:noProof/>
                <w:color w:val="000000"/>
                <w:sz w:val="20"/>
                <w:szCs w:val="20"/>
                <w:lang w:eastAsia="en-GB"/>
              </w:rPr>
            </w:pPr>
            <w:r w:rsidRPr="005D2D60">
              <w:rPr>
                <w:noProof/>
                <w:color w:val="000000"/>
                <w:sz w:val="20"/>
                <w:szCs w:val="20"/>
                <w:lang w:eastAsia="en-GB"/>
              </w:rPr>
              <w:t>50%</w:t>
            </w:r>
          </w:p>
        </w:tc>
      </w:tr>
    </w:tbl>
    <w:p w14:paraId="529C0B70" w14:textId="77777777" w:rsidR="00726529" w:rsidRPr="00760ADE" w:rsidRDefault="00726529" w:rsidP="00726529">
      <w:pPr>
        <w:spacing w:after="240"/>
        <w:rPr>
          <w:rFonts w:eastAsia="Arial Unicode MS"/>
          <w:noProof/>
        </w:rPr>
      </w:pPr>
      <w:r w:rsidRPr="00D71008">
        <w:rPr>
          <w:i/>
          <w:iCs/>
          <w:noProof/>
          <w:spacing w:val="-8"/>
          <w:sz w:val="20"/>
          <w:szCs w:val="20"/>
        </w:rPr>
        <w:t xml:space="preserve">Source: </w:t>
      </w:r>
      <w:r w:rsidRPr="00D71008">
        <w:rPr>
          <w:i/>
          <w:iCs/>
          <w:noProof/>
          <w:sz w:val="20"/>
          <w:szCs w:val="20"/>
        </w:rPr>
        <w:t>Ricardo et al. (2026), Impact assessment support study</w:t>
      </w:r>
    </w:p>
    <w:p w14:paraId="26EA8BF5" w14:textId="4B8988EA" w:rsidR="0087475D" w:rsidRPr="00FB015A" w:rsidRDefault="007A3168" w:rsidP="00E1163A">
      <w:pPr>
        <w:spacing w:after="240"/>
        <w:jc w:val="both"/>
        <w:rPr>
          <w:noProof/>
          <w:spacing w:val="-8"/>
        </w:rPr>
      </w:pPr>
      <w:bookmarkStart w:id="333" w:name="_Ref223302844"/>
      <w:r w:rsidRPr="005D2D60">
        <w:rPr>
          <w:noProof/>
          <w:spacing w:val="-8"/>
        </w:rPr>
        <w:t xml:space="preserve">Combining these scores with the estimated maximum </w:t>
      </w:r>
      <w:r w:rsidR="00187E7D" w:rsidRPr="005D2D60">
        <w:rPr>
          <w:noProof/>
          <w:spacing w:val="-8"/>
        </w:rPr>
        <w:t xml:space="preserve">potential </w:t>
      </w:r>
      <w:r w:rsidRPr="005D2D60">
        <w:rPr>
          <w:noProof/>
          <w:spacing w:val="-8"/>
        </w:rPr>
        <w:t xml:space="preserve">modal shift (interpretated as the percentage increase in journeys </w:t>
      </w:r>
      <w:r w:rsidR="00D4448C" w:rsidRPr="005D2D60">
        <w:rPr>
          <w:noProof/>
          <w:spacing w:val="-8"/>
        </w:rPr>
        <w:t>using collective transport means, such as trains and coaches, and a corresponding decrease in journeys using less sustainable modes</w:t>
      </w:r>
      <w:r w:rsidR="00806820" w:rsidRPr="005D2D60">
        <w:rPr>
          <w:noProof/>
          <w:spacing w:val="-8"/>
        </w:rPr>
        <w:t>)</w:t>
      </w:r>
      <w:r w:rsidRPr="005D2D60">
        <w:rPr>
          <w:noProof/>
          <w:spacing w:val="-8"/>
        </w:rPr>
        <w:t xml:space="preserve"> and taking an average of the outcomes for each cluster, produces the </w:t>
      </w:r>
      <w:r w:rsidRPr="00FB015A">
        <w:rPr>
          <w:noProof/>
          <w:spacing w:val="-8"/>
        </w:rPr>
        <w:t>outcomes displayed in</w:t>
      </w:r>
      <w:r w:rsidR="007910E5" w:rsidRPr="00FB015A">
        <w:rPr>
          <w:noProof/>
          <w:spacing w:val="-8"/>
        </w:rPr>
        <w:t xml:space="preserve"> </w:t>
      </w:r>
      <w:r w:rsidR="00973335" w:rsidRPr="00FB015A">
        <w:rPr>
          <w:noProof/>
          <w:spacing w:val="-8"/>
        </w:rPr>
        <w:fldChar w:fldCharType="begin"/>
      </w:r>
      <w:r w:rsidR="00973335" w:rsidRPr="00FB015A">
        <w:rPr>
          <w:noProof/>
          <w:spacing w:val="-8"/>
        </w:rPr>
        <w:instrText xml:space="preserve"> REF _Ref223302873 \h </w:instrText>
      </w:r>
      <w:r w:rsidR="00E1163A" w:rsidRPr="00FB015A">
        <w:rPr>
          <w:noProof/>
          <w:spacing w:val="-8"/>
        </w:rPr>
        <w:instrText xml:space="preserve"> \* MERGEFORMAT </w:instrText>
      </w:r>
      <w:r w:rsidR="00973335" w:rsidRPr="00FB015A">
        <w:rPr>
          <w:noProof/>
          <w:spacing w:val="-8"/>
        </w:rPr>
      </w:r>
      <w:r w:rsidR="00973335" w:rsidRPr="00FB015A">
        <w:rPr>
          <w:noProof/>
          <w:spacing w:val="-8"/>
        </w:rPr>
        <w:fldChar w:fldCharType="separate"/>
      </w:r>
      <w:r>
        <w:rPr>
          <w:noProof/>
          <w:spacing w:val="-8"/>
        </w:rPr>
        <w:t xml:space="preserve">Figure </w:t>
      </w:r>
      <w:r>
        <w:rPr>
          <w:noProof/>
        </w:rPr>
        <w:t>9</w:t>
      </w:r>
      <w:r w:rsidR="00973335" w:rsidRPr="00FB015A">
        <w:rPr>
          <w:noProof/>
          <w:spacing w:val="-8"/>
        </w:rPr>
        <w:fldChar w:fldCharType="end"/>
      </w:r>
      <w:r w:rsidRPr="00FB015A">
        <w:rPr>
          <w:noProof/>
          <w:spacing w:val="-8"/>
        </w:rPr>
        <w:t>.</w:t>
      </w:r>
    </w:p>
    <w:p w14:paraId="74B74826" w14:textId="6014313A" w:rsidR="007A3168" w:rsidRPr="005D2D60" w:rsidRDefault="007A3168" w:rsidP="00E1163A">
      <w:pPr>
        <w:spacing w:after="240"/>
        <w:jc w:val="both"/>
        <w:rPr>
          <w:noProof/>
          <w:spacing w:val="-8"/>
        </w:rPr>
      </w:pPr>
      <w:r w:rsidRPr="005D2D60">
        <w:rPr>
          <w:noProof/>
          <w:spacing w:val="-8"/>
        </w:rPr>
        <w:t>In comparison to the 1.7% maximum</w:t>
      </w:r>
      <w:r w:rsidR="00762E35" w:rsidRPr="005D2D60">
        <w:rPr>
          <w:noProof/>
          <w:spacing w:val="-8"/>
        </w:rPr>
        <w:t xml:space="preserve"> potential</w:t>
      </w:r>
      <w:r w:rsidRPr="005D2D60">
        <w:rPr>
          <w:noProof/>
          <w:spacing w:val="-8"/>
        </w:rPr>
        <w:t xml:space="preserve">, PO3 achieves the </w:t>
      </w:r>
      <w:r w:rsidR="00986179" w:rsidRPr="005D2D60">
        <w:rPr>
          <w:noProof/>
          <w:spacing w:val="-8"/>
        </w:rPr>
        <w:t xml:space="preserve">highest </w:t>
      </w:r>
      <w:r w:rsidRPr="005D2D60">
        <w:rPr>
          <w:noProof/>
          <w:spacing w:val="-8"/>
        </w:rPr>
        <w:t xml:space="preserve">shift </w:t>
      </w:r>
      <w:r w:rsidR="00E86CFC" w:rsidRPr="005D2D60">
        <w:rPr>
          <w:noProof/>
          <w:spacing w:val="-8"/>
        </w:rPr>
        <w:t>from</w:t>
      </w:r>
      <w:r w:rsidR="00F0071B" w:rsidRPr="005D2D60">
        <w:rPr>
          <w:noProof/>
          <w:spacing w:val="-8"/>
        </w:rPr>
        <w:t xml:space="preserve"> </w:t>
      </w:r>
      <w:r w:rsidR="00344D7B" w:rsidRPr="005D2D60">
        <w:rPr>
          <w:noProof/>
          <w:spacing w:val="-8"/>
        </w:rPr>
        <w:t>2035</w:t>
      </w:r>
      <w:r w:rsidR="00E86CFC" w:rsidRPr="005D2D60">
        <w:rPr>
          <w:noProof/>
          <w:spacing w:val="-8"/>
        </w:rPr>
        <w:t xml:space="preserve"> onwards</w:t>
      </w:r>
      <w:r w:rsidR="00344D7B" w:rsidRPr="005D2D60">
        <w:rPr>
          <w:noProof/>
          <w:spacing w:val="-8"/>
        </w:rPr>
        <w:t xml:space="preserve"> (</w:t>
      </w:r>
      <w:r w:rsidRPr="005D2D60">
        <w:rPr>
          <w:noProof/>
          <w:spacing w:val="-8"/>
        </w:rPr>
        <w:t>1.19%</w:t>
      </w:r>
      <w:r w:rsidR="00344D7B" w:rsidRPr="005D2D60">
        <w:rPr>
          <w:noProof/>
          <w:spacing w:val="-8"/>
        </w:rPr>
        <w:t>)</w:t>
      </w:r>
      <w:r w:rsidRPr="005D2D60">
        <w:rPr>
          <w:noProof/>
          <w:spacing w:val="-8"/>
        </w:rPr>
        <w:t xml:space="preserve">, while PO1 generates the lowest shift </w:t>
      </w:r>
      <w:r w:rsidR="006C6767" w:rsidRPr="005D2D60">
        <w:rPr>
          <w:noProof/>
        </w:rPr>
        <w:t xml:space="preserve">from 2035 onwards </w:t>
      </w:r>
      <w:r w:rsidR="00E86CFC" w:rsidRPr="005D2D60">
        <w:rPr>
          <w:noProof/>
          <w:spacing w:val="-8"/>
        </w:rPr>
        <w:t>(0.34%)</w:t>
      </w:r>
      <w:r w:rsidRPr="005D2D60">
        <w:rPr>
          <w:noProof/>
          <w:spacing w:val="-8"/>
        </w:rPr>
        <w:t xml:space="preserve">. </w:t>
      </w:r>
      <w:r w:rsidR="00BE6F4A" w:rsidRPr="005D2D60">
        <w:rPr>
          <w:noProof/>
        </w:rPr>
        <w:t>As explained above, t</w:t>
      </w:r>
      <w:r w:rsidRPr="005D2D60">
        <w:rPr>
          <w:noProof/>
          <w:spacing w:val="-8"/>
        </w:rPr>
        <w:t xml:space="preserve">hese </w:t>
      </w:r>
      <w:r w:rsidR="009B6138" w:rsidRPr="005D2D60">
        <w:rPr>
          <w:noProof/>
          <w:spacing w:val="-8"/>
        </w:rPr>
        <w:t xml:space="preserve">figures </w:t>
      </w:r>
      <w:r w:rsidRPr="005D2D60">
        <w:rPr>
          <w:noProof/>
          <w:spacing w:val="-8"/>
        </w:rPr>
        <w:t xml:space="preserve">were validated as part of the stakeholder </w:t>
      </w:r>
      <w:r w:rsidR="00DD0DF0" w:rsidRPr="005D2D60">
        <w:rPr>
          <w:noProof/>
          <w:spacing w:val="-8"/>
        </w:rPr>
        <w:t xml:space="preserve">consultation </w:t>
      </w:r>
      <w:r w:rsidRPr="005D2D60">
        <w:rPr>
          <w:noProof/>
          <w:spacing w:val="-8"/>
        </w:rPr>
        <w:t>workshop</w:t>
      </w:r>
      <w:r w:rsidR="00BE6F4A" w:rsidRPr="005D2D60">
        <w:rPr>
          <w:noProof/>
        </w:rPr>
        <w:t xml:space="preserve"> </w:t>
      </w:r>
      <w:r w:rsidR="00BE6F4A">
        <w:rPr>
          <w:noProof/>
        </w:rPr>
        <w:t>held on 12</w:t>
      </w:r>
      <w:r w:rsidR="00BE6F4A" w:rsidRPr="205FD1BA">
        <w:rPr>
          <w:noProof/>
          <w:vertAlign w:val="superscript"/>
        </w:rPr>
        <w:t>th</w:t>
      </w:r>
      <w:r w:rsidR="00BE6F4A">
        <w:rPr>
          <w:noProof/>
        </w:rPr>
        <w:t xml:space="preserve"> June 2025</w:t>
      </w:r>
      <w:r w:rsidRPr="005D2D60">
        <w:rPr>
          <w:noProof/>
          <w:spacing w:val="-8"/>
        </w:rPr>
        <w:t>.</w:t>
      </w:r>
      <w:r w:rsidR="00B20FA1" w:rsidRPr="005D2D60">
        <w:rPr>
          <w:noProof/>
        </w:rPr>
        <w:t xml:space="preserve"> More details on the workshop are </w:t>
      </w:r>
      <w:r w:rsidRPr="005D2D60">
        <w:rPr>
          <w:noProof/>
          <w:spacing w:val="-8"/>
        </w:rPr>
        <w:t xml:space="preserve">presented in section </w:t>
      </w:r>
      <w:r w:rsidR="00B311EF" w:rsidRPr="005D2D60">
        <w:rPr>
          <w:noProof/>
          <w:spacing w:val="-8"/>
        </w:rPr>
        <w:t>1.3.2.2 of Annex 4</w:t>
      </w:r>
      <w:r w:rsidRPr="005D2D60">
        <w:rPr>
          <w:noProof/>
          <w:spacing w:val="-8"/>
        </w:rPr>
        <w:t>. In summary, there was broad agreement from stakeholders participating in the workshop on these inputs. However, noting the weaker response rate</w:t>
      </w:r>
      <w:r w:rsidR="00DD3C73" w:rsidRPr="005D2D60">
        <w:rPr>
          <w:noProof/>
          <w:spacing w:val="-8"/>
        </w:rPr>
        <w:t xml:space="preserve"> for PO3 and PO4</w:t>
      </w:r>
      <w:r w:rsidRPr="005D2D60" w:rsidDel="00C30FF5">
        <w:rPr>
          <w:noProof/>
          <w:spacing w:val="-8"/>
          <w:vertAlign w:val="superscript"/>
        </w:rPr>
        <w:footnoteReference w:id="301"/>
      </w:r>
      <w:r w:rsidRPr="005D2D60">
        <w:rPr>
          <w:noProof/>
          <w:spacing w:val="-8"/>
        </w:rPr>
        <w:t>,</w:t>
      </w:r>
      <w:r w:rsidRPr="005D2D60" w:rsidDel="00DD3C73">
        <w:rPr>
          <w:noProof/>
          <w:spacing w:val="-8"/>
        </w:rPr>
        <w:t xml:space="preserve"> sensitivity </w:t>
      </w:r>
      <w:r w:rsidR="00DD3C73" w:rsidRPr="005D2D60">
        <w:rPr>
          <w:noProof/>
          <w:spacing w:val="-8"/>
        </w:rPr>
        <w:t xml:space="preserve">analysis has been performed considering </w:t>
      </w:r>
      <w:r w:rsidR="00164799" w:rsidRPr="005D2D60">
        <w:rPr>
          <w:noProof/>
          <w:spacing w:val="-8"/>
        </w:rPr>
        <w:t>lower model shift across all policy options</w:t>
      </w:r>
      <w:r w:rsidRPr="005D2D60">
        <w:rPr>
          <w:noProof/>
          <w:spacing w:val="-8"/>
        </w:rPr>
        <w:t>.</w:t>
      </w:r>
      <w:r w:rsidR="00C66345" w:rsidRPr="005D2D60">
        <w:rPr>
          <w:noProof/>
        </w:rPr>
        <w:t xml:space="preserve"> The results of the sensitivity analysis are presented in section 7.6.</w:t>
      </w:r>
    </w:p>
    <w:p w14:paraId="1B544DBA" w14:textId="7433FACA" w:rsidR="00973335" w:rsidRPr="00187E7D" w:rsidRDefault="00973335" w:rsidP="00187E7D">
      <w:pPr>
        <w:keepNext/>
        <w:tabs>
          <w:tab w:val="left" w:pos="1134"/>
        </w:tabs>
        <w:jc w:val="both"/>
        <w:rPr>
          <w:i/>
          <w:noProof/>
          <w:sz w:val="22"/>
          <w:szCs w:val="22"/>
        </w:rPr>
      </w:pPr>
      <w:bookmarkStart w:id="334" w:name="_Ref223302873"/>
      <w:r w:rsidRPr="00187E7D">
        <w:rPr>
          <w:i/>
          <w:noProof/>
          <w:sz w:val="22"/>
          <w:szCs w:val="22"/>
        </w:rPr>
        <w:t xml:space="preserve">Figure </w:t>
      </w:r>
      <w:r w:rsidR="00980256">
        <w:rPr>
          <w:i/>
          <w:noProof/>
          <w:sz w:val="22"/>
          <w:szCs w:val="22"/>
        </w:rPr>
        <w:fldChar w:fldCharType="begin"/>
      </w:r>
      <w:r w:rsidR="00980256">
        <w:rPr>
          <w:i/>
          <w:noProof/>
          <w:sz w:val="22"/>
          <w:szCs w:val="22"/>
        </w:rPr>
        <w:instrText xml:space="preserve"> SEQ Figure \* ARABIC </w:instrText>
      </w:r>
      <w:r w:rsidR="00980256">
        <w:rPr>
          <w:i/>
          <w:noProof/>
          <w:sz w:val="22"/>
          <w:szCs w:val="22"/>
        </w:rPr>
        <w:fldChar w:fldCharType="separate"/>
      </w:r>
      <w:r w:rsidR="0055391F">
        <w:rPr>
          <w:i/>
          <w:noProof/>
          <w:sz w:val="22"/>
          <w:szCs w:val="22"/>
        </w:rPr>
        <w:t>9</w:t>
      </w:r>
      <w:r w:rsidR="00980256">
        <w:rPr>
          <w:i/>
          <w:noProof/>
          <w:sz w:val="22"/>
          <w:szCs w:val="22"/>
        </w:rPr>
        <w:fldChar w:fldCharType="end"/>
      </w:r>
      <w:bookmarkEnd w:id="333"/>
      <w:bookmarkEnd w:id="334"/>
      <w:r w:rsidRPr="00187E7D">
        <w:rPr>
          <w:i/>
          <w:noProof/>
          <w:sz w:val="22"/>
          <w:szCs w:val="22"/>
        </w:rPr>
        <w:t xml:space="preserve">: Average modal shift in each </w:t>
      </w:r>
      <w:r w:rsidR="00A311DB">
        <w:rPr>
          <w:i/>
          <w:noProof/>
          <w:sz w:val="22"/>
          <w:szCs w:val="22"/>
        </w:rPr>
        <w:t>policy option</w:t>
      </w:r>
      <w:r w:rsidR="00A311DB" w:rsidRPr="00187E7D">
        <w:rPr>
          <w:i/>
          <w:noProof/>
          <w:sz w:val="22"/>
          <w:szCs w:val="22"/>
        </w:rPr>
        <w:t xml:space="preserve"> </w:t>
      </w:r>
      <w:r w:rsidR="004A4245">
        <w:rPr>
          <w:i/>
          <w:noProof/>
          <w:sz w:val="22"/>
          <w:szCs w:val="22"/>
        </w:rPr>
        <w:t>relative to the</w:t>
      </w:r>
      <w:r w:rsidRPr="00187E7D">
        <w:rPr>
          <w:i/>
          <w:noProof/>
          <w:sz w:val="22"/>
          <w:szCs w:val="22"/>
        </w:rPr>
        <w:t xml:space="preserve"> maximum</w:t>
      </w:r>
      <w:r w:rsidR="004A4245">
        <w:rPr>
          <w:i/>
          <w:noProof/>
          <w:sz w:val="22"/>
          <w:szCs w:val="22"/>
        </w:rPr>
        <w:t xml:space="preserve"> potential modal shift</w:t>
      </w:r>
    </w:p>
    <w:p w14:paraId="104B2F38" w14:textId="1D19905C" w:rsidR="00FA68A8" w:rsidRPr="005D2D60" w:rsidRDefault="00C52708" w:rsidP="00187E7D">
      <w:pPr>
        <w:keepNext/>
        <w:rPr>
          <w:noProof/>
        </w:rPr>
      </w:pPr>
      <w:r w:rsidRPr="00C52708">
        <w:rPr>
          <w:noProof/>
          <w:lang w:val="en-GB" w:eastAsia="en-GB"/>
        </w:rPr>
        <w:drawing>
          <wp:inline distT="0" distB="0" distL="0" distR="0" wp14:anchorId="13A22E20" wp14:editId="22D9EB03">
            <wp:extent cx="5981700" cy="3200400"/>
            <wp:effectExtent l="0" t="0" r="0" b="0"/>
            <wp:docPr id="7898828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81700" cy="3200400"/>
                    </a:xfrm>
                    <a:prstGeom prst="rect">
                      <a:avLst/>
                    </a:prstGeom>
                    <a:noFill/>
                    <a:ln>
                      <a:noFill/>
                    </a:ln>
                  </pic:spPr>
                </pic:pic>
              </a:graphicData>
            </a:graphic>
          </wp:inline>
        </w:drawing>
      </w:r>
    </w:p>
    <w:p w14:paraId="52CE2A74" w14:textId="77777777" w:rsidR="00187E7D" w:rsidRPr="00760ADE" w:rsidRDefault="00187E7D" w:rsidP="00187E7D">
      <w:pPr>
        <w:spacing w:after="240"/>
        <w:rPr>
          <w:rFonts w:eastAsia="Arial Unicode MS"/>
          <w:noProof/>
        </w:rPr>
      </w:pPr>
      <w:r w:rsidRPr="00D71008">
        <w:rPr>
          <w:i/>
          <w:iCs/>
          <w:noProof/>
          <w:spacing w:val="-8"/>
          <w:sz w:val="20"/>
          <w:szCs w:val="20"/>
        </w:rPr>
        <w:t xml:space="preserve">Source: </w:t>
      </w:r>
      <w:r w:rsidRPr="00D71008">
        <w:rPr>
          <w:i/>
          <w:iCs/>
          <w:noProof/>
          <w:sz w:val="20"/>
          <w:szCs w:val="20"/>
        </w:rPr>
        <w:t>Ricardo et al. (2026), Impact assessment support study</w:t>
      </w:r>
    </w:p>
    <w:p w14:paraId="555808E6" w14:textId="75C41CCB" w:rsidR="0087475D" w:rsidRPr="005D2D60" w:rsidRDefault="0087475D" w:rsidP="0087475D">
      <w:pPr>
        <w:spacing w:after="240"/>
        <w:jc w:val="both"/>
        <w:rPr>
          <w:noProof/>
          <w:spacing w:val="-8"/>
        </w:rPr>
      </w:pPr>
      <w:r w:rsidRPr="005D2D60">
        <w:rPr>
          <w:noProof/>
          <w:spacing w:val="-8"/>
        </w:rPr>
        <w:t xml:space="preserve">The </w:t>
      </w:r>
      <w:r w:rsidR="006C682E" w:rsidRPr="005D2D60">
        <w:rPr>
          <w:noProof/>
          <w:spacing w:val="-8"/>
        </w:rPr>
        <w:t xml:space="preserve">MPA scoring outputs </w:t>
      </w:r>
      <w:r w:rsidRPr="005D2D60">
        <w:rPr>
          <w:noProof/>
          <w:spacing w:val="-8"/>
        </w:rPr>
        <w:t>were also applied to the maximum</w:t>
      </w:r>
      <w:r w:rsidR="006C682E" w:rsidRPr="005D2D60">
        <w:rPr>
          <w:noProof/>
          <w:spacing w:val="-8"/>
        </w:rPr>
        <w:t xml:space="preserve"> </w:t>
      </w:r>
      <w:r w:rsidR="006C682E" w:rsidRPr="005D2D60">
        <w:rPr>
          <w:b/>
          <w:noProof/>
          <w:spacing w:val="-8"/>
        </w:rPr>
        <w:t>reduction in the</w:t>
      </w:r>
      <w:r w:rsidRPr="005D2D60">
        <w:rPr>
          <w:noProof/>
          <w:spacing w:val="-8"/>
        </w:rPr>
        <w:t xml:space="preserve"> </w:t>
      </w:r>
      <w:r w:rsidRPr="005D2D60">
        <w:rPr>
          <w:b/>
          <w:noProof/>
          <w:spacing w:val="-8"/>
        </w:rPr>
        <w:t xml:space="preserve">journey time </w:t>
      </w:r>
      <w:r w:rsidRPr="005D2D60">
        <w:rPr>
          <w:noProof/>
          <w:spacing w:val="-8"/>
        </w:rPr>
        <w:t xml:space="preserve">resulting from the 100 OD pairs analysis (see </w:t>
      </w:r>
      <w:r w:rsidR="00E029DF" w:rsidRPr="005D2D60">
        <w:rPr>
          <w:noProof/>
          <w:spacing w:val="-8"/>
        </w:rPr>
        <w:t>section 1.3.2.3 of Annex 4</w:t>
      </w:r>
      <w:r w:rsidRPr="005D2D60">
        <w:rPr>
          <w:noProof/>
          <w:spacing w:val="-8"/>
        </w:rPr>
        <w:t>). Results are shown in the figure</w:t>
      </w:r>
      <w:r w:rsidR="00142EAF" w:rsidRPr="005D2D60">
        <w:rPr>
          <w:noProof/>
          <w:spacing w:val="-8"/>
        </w:rPr>
        <w:t>s</w:t>
      </w:r>
      <w:r w:rsidRPr="005D2D60">
        <w:rPr>
          <w:noProof/>
          <w:spacing w:val="-8"/>
        </w:rPr>
        <w:t xml:space="preserve"> below, where the code </w:t>
      </w:r>
      <w:r w:rsidR="0001415D" w:rsidRPr="005D2D60">
        <w:rPr>
          <w:noProof/>
          <w:spacing w:val="-8"/>
        </w:rPr>
        <w:t xml:space="preserve">of </w:t>
      </w:r>
      <w:r w:rsidRPr="005D2D60">
        <w:rPr>
          <w:noProof/>
          <w:spacing w:val="-8"/>
        </w:rPr>
        <w:t xml:space="preserve">each bar (e.g. APO1) denotes the cluster (A) and the policy </w:t>
      </w:r>
      <w:r w:rsidR="0001415D" w:rsidRPr="005D2D60">
        <w:rPr>
          <w:noProof/>
          <w:spacing w:val="-8"/>
        </w:rPr>
        <w:t xml:space="preserve">option </w:t>
      </w:r>
      <w:r w:rsidRPr="005D2D60">
        <w:rPr>
          <w:noProof/>
          <w:spacing w:val="-8"/>
        </w:rPr>
        <w:t>(PO1). The maximum reduction in journey time is not the same in each cluster</w:t>
      </w:r>
      <w:r w:rsidR="007A2F1E" w:rsidRPr="005D2D60">
        <w:rPr>
          <w:noProof/>
          <w:spacing w:val="-8"/>
        </w:rPr>
        <w:t>.</w:t>
      </w:r>
      <w:r w:rsidR="00833E90" w:rsidRPr="005D2D60">
        <w:rPr>
          <w:noProof/>
          <w:spacing w:val="-8"/>
        </w:rPr>
        <w:t xml:space="preserve"> The first figure below shows the reduction in the journey time for 2035 </w:t>
      </w:r>
      <w:r w:rsidRPr="005D2D60">
        <w:rPr>
          <w:noProof/>
          <w:spacing w:val="-8"/>
        </w:rPr>
        <w:t xml:space="preserve">(where PO1 and PO3 have delivered their </w:t>
      </w:r>
      <w:r w:rsidR="00CA04EA" w:rsidRPr="005D2D60">
        <w:rPr>
          <w:noProof/>
          <w:spacing w:val="-8"/>
        </w:rPr>
        <w:t xml:space="preserve">highest </w:t>
      </w:r>
      <w:r w:rsidRPr="005D2D60">
        <w:rPr>
          <w:noProof/>
          <w:spacing w:val="-8"/>
        </w:rPr>
        <w:t xml:space="preserve">potential), and </w:t>
      </w:r>
      <w:r w:rsidR="00833E90" w:rsidRPr="005D2D60">
        <w:rPr>
          <w:noProof/>
          <w:spacing w:val="-8"/>
        </w:rPr>
        <w:t xml:space="preserve">the second figure below </w:t>
      </w:r>
      <w:r w:rsidR="0026149C" w:rsidRPr="005D2D60">
        <w:rPr>
          <w:noProof/>
          <w:spacing w:val="-8"/>
        </w:rPr>
        <w:t>for</w:t>
      </w:r>
      <w:r w:rsidRPr="005D2D60">
        <w:rPr>
          <w:noProof/>
          <w:spacing w:val="-8"/>
        </w:rPr>
        <w:t xml:space="preserve"> 2050 (after PO2 and PO4 have delivered their </w:t>
      </w:r>
      <w:r w:rsidR="00CA04EA" w:rsidRPr="005D2D60">
        <w:rPr>
          <w:noProof/>
          <w:spacing w:val="-8"/>
        </w:rPr>
        <w:t>highest</w:t>
      </w:r>
      <w:r w:rsidRPr="005D2D60">
        <w:rPr>
          <w:noProof/>
          <w:spacing w:val="-8"/>
        </w:rPr>
        <w:t xml:space="preserve"> potential). The relationships between the POs are the same as those identified in the modal shift outputs above, since they are based on the same progress </w:t>
      </w:r>
      <w:r w:rsidR="00CA04EA" w:rsidRPr="005D2D60">
        <w:rPr>
          <w:noProof/>
          <w:spacing w:val="-8"/>
        </w:rPr>
        <w:t xml:space="preserve">towards </w:t>
      </w:r>
      <w:r w:rsidR="00AF34B6" w:rsidRPr="005D2D60">
        <w:rPr>
          <w:noProof/>
          <w:spacing w:val="-8"/>
        </w:rPr>
        <w:t xml:space="preserve">the </w:t>
      </w:r>
      <w:r w:rsidRPr="005D2D60">
        <w:rPr>
          <w:noProof/>
          <w:spacing w:val="-8"/>
        </w:rPr>
        <w:t xml:space="preserve">maximum </w:t>
      </w:r>
      <w:r w:rsidR="00AF34B6" w:rsidRPr="005D2D60">
        <w:rPr>
          <w:noProof/>
          <w:spacing w:val="-8"/>
        </w:rPr>
        <w:t>potential</w:t>
      </w:r>
      <w:r w:rsidRPr="005D2D60">
        <w:rPr>
          <w:noProof/>
          <w:spacing w:val="-8"/>
        </w:rPr>
        <w:t xml:space="preserve">. </w:t>
      </w:r>
    </w:p>
    <w:p w14:paraId="099D65EF" w14:textId="20293290" w:rsidR="00203791" w:rsidRPr="00C30FF5" w:rsidRDefault="00203791" w:rsidP="00C30FF5">
      <w:pPr>
        <w:keepNext/>
        <w:tabs>
          <w:tab w:val="left" w:pos="1134"/>
        </w:tabs>
        <w:jc w:val="both"/>
        <w:rPr>
          <w:i/>
          <w:noProof/>
          <w:sz w:val="22"/>
          <w:szCs w:val="22"/>
        </w:rPr>
      </w:pPr>
      <w:r w:rsidRPr="00C30FF5">
        <w:rPr>
          <w:i/>
          <w:noProof/>
          <w:sz w:val="22"/>
          <w:szCs w:val="22"/>
        </w:rPr>
        <w:t xml:space="preserve">Figure </w:t>
      </w:r>
      <w:r w:rsidR="00980256">
        <w:rPr>
          <w:i/>
          <w:noProof/>
          <w:sz w:val="22"/>
          <w:szCs w:val="22"/>
        </w:rPr>
        <w:fldChar w:fldCharType="begin"/>
      </w:r>
      <w:r w:rsidR="00980256">
        <w:rPr>
          <w:i/>
          <w:noProof/>
          <w:sz w:val="22"/>
          <w:szCs w:val="22"/>
        </w:rPr>
        <w:instrText xml:space="preserve"> SEQ Figure \* ARABIC </w:instrText>
      </w:r>
      <w:r w:rsidR="00980256">
        <w:rPr>
          <w:i/>
          <w:noProof/>
          <w:sz w:val="22"/>
          <w:szCs w:val="22"/>
        </w:rPr>
        <w:fldChar w:fldCharType="separate"/>
      </w:r>
      <w:r w:rsidR="0055391F">
        <w:rPr>
          <w:i/>
          <w:noProof/>
          <w:sz w:val="22"/>
          <w:szCs w:val="22"/>
        </w:rPr>
        <w:t>10</w:t>
      </w:r>
      <w:r w:rsidR="00980256">
        <w:rPr>
          <w:i/>
          <w:noProof/>
          <w:sz w:val="22"/>
          <w:szCs w:val="22"/>
        </w:rPr>
        <w:fldChar w:fldCharType="end"/>
      </w:r>
      <w:r w:rsidR="003E7D9E">
        <w:rPr>
          <w:i/>
          <w:noProof/>
          <w:sz w:val="22"/>
          <w:szCs w:val="22"/>
        </w:rPr>
        <w:t>:</w:t>
      </w:r>
      <w:r w:rsidRPr="00C30FF5">
        <w:rPr>
          <w:i/>
          <w:noProof/>
          <w:sz w:val="22"/>
          <w:szCs w:val="22"/>
        </w:rPr>
        <w:t xml:space="preserve"> Estimated change in journey time for each </w:t>
      </w:r>
      <w:r w:rsidR="00AF34B6">
        <w:rPr>
          <w:i/>
          <w:noProof/>
          <w:sz w:val="22"/>
          <w:szCs w:val="22"/>
        </w:rPr>
        <w:t>policy option</w:t>
      </w:r>
      <w:r w:rsidRPr="00C30FF5">
        <w:rPr>
          <w:i/>
          <w:noProof/>
          <w:sz w:val="22"/>
          <w:szCs w:val="22"/>
        </w:rPr>
        <w:t xml:space="preserve"> compared to the maximum potential for each cluster in 2035</w:t>
      </w:r>
    </w:p>
    <w:p w14:paraId="0D1356E7" w14:textId="295A0DCC" w:rsidR="00AC5FED" w:rsidRPr="005D2D60" w:rsidRDefault="00820F93" w:rsidP="00C30FF5">
      <w:pPr>
        <w:jc w:val="both"/>
        <w:rPr>
          <w:noProof/>
        </w:rPr>
      </w:pPr>
      <w:r w:rsidRPr="00820F93">
        <w:rPr>
          <w:noProof/>
          <w:lang w:val="en-GB" w:eastAsia="en-GB"/>
        </w:rPr>
        <w:drawing>
          <wp:inline distT="0" distB="0" distL="0" distR="0" wp14:anchorId="1ECDE8E3" wp14:editId="7ED00566">
            <wp:extent cx="5848350" cy="3086100"/>
            <wp:effectExtent l="0" t="0" r="0" b="0"/>
            <wp:docPr id="985832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48350" cy="3086100"/>
                    </a:xfrm>
                    <a:prstGeom prst="rect">
                      <a:avLst/>
                    </a:prstGeom>
                    <a:noFill/>
                    <a:ln>
                      <a:noFill/>
                    </a:ln>
                  </pic:spPr>
                </pic:pic>
              </a:graphicData>
            </a:graphic>
          </wp:inline>
        </w:drawing>
      </w:r>
    </w:p>
    <w:p w14:paraId="2F6E7001" w14:textId="77777777" w:rsidR="00C30FF5" w:rsidRPr="00760ADE" w:rsidRDefault="00C30FF5" w:rsidP="00C30FF5">
      <w:pPr>
        <w:spacing w:after="240"/>
        <w:rPr>
          <w:rFonts w:eastAsia="Arial Unicode MS"/>
          <w:noProof/>
        </w:rPr>
      </w:pPr>
      <w:r w:rsidRPr="00D71008">
        <w:rPr>
          <w:i/>
          <w:iCs/>
          <w:noProof/>
          <w:spacing w:val="-8"/>
          <w:sz w:val="20"/>
          <w:szCs w:val="20"/>
        </w:rPr>
        <w:t xml:space="preserve">Source: </w:t>
      </w:r>
      <w:r w:rsidRPr="00D71008">
        <w:rPr>
          <w:i/>
          <w:iCs/>
          <w:noProof/>
          <w:sz w:val="20"/>
          <w:szCs w:val="20"/>
        </w:rPr>
        <w:t>Ricardo et al. (2026), Impact assessment support study</w:t>
      </w:r>
    </w:p>
    <w:p w14:paraId="69CBC91B" w14:textId="6FEA455F" w:rsidR="00512028" w:rsidRPr="00C30FF5" w:rsidRDefault="00512028" w:rsidP="00512028">
      <w:pPr>
        <w:keepNext/>
        <w:tabs>
          <w:tab w:val="left" w:pos="1134"/>
        </w:tabs>
        <w:jc w:val="both"/>
        <w:rPr>
          <w:i/>
          <w:noProof/>
          <w:sz w:val="22"/>
          <w:szCs w:val="22"/>
        </w:rPr>
      </w:pPr>
      <w:r w:rsidRPr="00C30FF5">
        <w:rPr>
          <w:i/>
          <w:noProof/>
          <w:sz w:val="22"/>
          <w:szCs w:val="22"/>
        </w:rPr>
        <w:t xml:space="preserve">Figure </w:t>
      </w:r>
      <w:r w:rsidR="00980256">
        <w:rPr>
          <w:i/>
          <w:noProof/>
          <w:sz w:val="22"/>
          <w:szCs w:val="22"/>
        </w:rPr>
        <w:fldChar w:fldCharType="begin"/>
      </w:r>
      <w:r w:rsidR="00980256">
        <w:rPr>
          <w:i/>
          <w:noProof/>
          <w:sz w:val="22"/>
          <w:szCs w:val="22"/>
        </w:rPr>
        <w:instrText xml:space="preserve"> SEQ Figure \* ARABIC </w:instrText>
      </w:r>
      <w:r w:rsidR="00980256">
        <w:rPr>
          <w:i/>
          <w:noProof/>
          <w:sz w:val="22"/>
          <w:szCs w:val="22"/>
        </w:rPr>
        <w:fldChar w:fldCharType="separate"/>
      </w:r>
      <w:r w:rsidR="0055391F">
        <w:rPr>
          <w:i/>
          <w:noProof/>
          <w:sz w:val="22"/>
          <w:szCs w:val="22"/>
        </w:rPr>
        <w:t>11</w:t>
      </w:r>
      <w:r w:rsidR="00980256">
        <w:rPr>
          <w:i/>
          <w:noProof/>
          <w:sz w:val="22"/>
          <w:szCs w:val="22"/>
        </w:rPr>
        <w:fldChar w:fldCharType="end"/>
      </w:r>
      <w:r>
        <w:rPr>
          <w:i/>
          <w:noProof/>
          <w:sz w:val="22"/>
          <w:szCs w:val="22"/>
        </w:rPr>
        <w:t>:</w:t>
      </w:r>
      <w:r w:rsidRPr="00C30FF5">
        <w:rPr>
          <w:i/>
          <w:noProof/>
          <w:sz w:val="22"/>
          <w:szCs w:val="22"/>
        </w:rPr>
        <w:t xml:space="preserve"> Estimated change in journey time for each </w:t>
      </w:r>
      <w:r w:rsidR="004732E9">
        <w:rPr>
          <w:i/>
          <w:noProof/>
          <w:sz w:val="22"/>
          <w:szCs w:val="22"/>
        </w:rPr>
        <w:t>policy option</w:t>
      </w:r>
      <w:r w:rsidRPr="00C30FF5">
        <w:rPr>
          <w:i/>
          <w:noProof/>
          <w:sz w:val="22"/>
          <w:szCs w:val="22"/>
        </w:rPr>
        <w:t xml:space="preserve"> compared to the maximum potential for each cluster in 20</w:t>
      </w:r>
      <w:r>
        <w:rPr>
          <w:i/>
          <w:noProof/>
          <w:sz w:val="22"/>
          <w:szCs w:val="22"/>
        </w:rPr>
        <w:t>50</w:t>
      </w:r>
    </w:p>
    <w:p w14:paraId="3657C70D" w14:textId="5E88D372" w:rsidR="007A3168" w:rsidRPr="005C2D27" w:rsidRDefault="00D12D46" w:rsidP="005C2D27">
      <w:pPr>
        <w:jc w:val="both"/>
        <w:rPr>
          <w:noProof/>
        </w:rPr>
      </w:pPr>
      <w:r w:rsidRPr="00D12D46">
        <w:rPr>
          <w:noProof/>
          <w:lang w:val="en-GB" w:eastAsia="en-GB"/>
        </w:rPr>
        <w:drawing>
          <wp:inline distT="0" distB="0" distL="0" distR="0" wp14:anchorId="702E6195" wp14:editId="5497CC63">
            <wp:extent cx="5943600" cy="2962275"/>
            <wp:effectExtent l="0" t="0" r="0" b="9525"/>
            <wp:docPr id="1417665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2962275"/>
                    </a:xfrm>
                    <a:prstGeom prst="rect">
                      <a:avLst/>
                    </a:prstGeom>
                    <a:noFill/>
                    <a:ln>
                      <a:noFill/>
                    </a:ln>
                  </pic:spPr>
                </pic:pic>
              </a:graphicData>
            </a:graphic>
          </wp:inline>
        </w:drawing>
      </w:r>
    </w:p>
    <w:p w14:paraId="27F85032" w14:textId="77777777" w:rsidR="00D12D46" w:rsidRPr="00760ADE" w:rsidRDefault="00D12D46" w:rsidP="00D12D46">
      <w:pPr>
        <w:spacing w:after="240"/>
        <w:rPr>
          <w:rFonts w:eastAsia="Arial Unicode MS"/>
          <w:noProof/>
        </w:rPr>
      </w:pPr>
      <w:r w:rsidRPr="00D71008">
        <w:rPr>
          <w:i/>
          <w:iCs/>
          <w:noProof/>
          <w:spacing w:val="-8"/>
          <w:sz w:val="20"/>
          <w:szCs w:val="20"/>
        </w:rPr>
        <w:t xml:space="preserve">Source: </w:t>
      </w:r>
      <w:r w:rsidRPr="00D71008">
        <w:rPr>
          <w:i/>
          <w:iCs/>
          <w:noProof/>
          <w:sz w:val="20"/>
          <w:szCs w:val="20"/>
        </w:rPr>
        <w:t>Ricardo et al. (2026), Impact assessment support study</w:t>
      </w:r>
    </w:p>
    <w:p w14:paraId="7903B45B" w14:textId="22B77390" w:rsidR="0001326C" w:rsidRPr="006A6B7E" w:rsidRDefault="0001326C" w:rsidP="007B2D8E">
      <w:pPr>
        <w:pStyle w:val="ListParagraph"/>
        <w:keepNext/>
        <w:widowControl/>
        <w:numPr>
          <w:ilvl w:val="2"/>
          <w:numId w:val="10"/>
        </w:numPr>
        <w:autoSpaceDE/>
        <w:autoSpaceDN/>
        <w:spacing w:after="240"/>
        <w:jc w:val="both"/>
        <w:outlineLvl w:val="2"/>
        <w:rPr>
          <w:i/>
          <w:iCs/>
          <w:noProof/>
          <w:sz w:val="24"/>
          <w:szCs w:val="24"/>
        </w:rPr>
      </w:pPr>
      <w:bookmarkStart w:id="335" w:name="_Toc222749044"/>
      <w:bookmarkStart w:id="336" w:name="_Toc223980017"/>
      <w:r w:rsidRPr="006A6B7E">
        <w:rPr>
          <w:i/>
          <w:iCs/>
          <w:noProof/>
          <w:sz w:val="24"/>
          <w:szCs w:val="24"/>
        </w:rPr>
        <w:t>Interface module</w:t>
      </w:r>
      <w:bookmarkEnd w:id="335"/>
      <w:bookmarkEnd w:id="336"/>
    </w:p>
    <w:p w14:paraId="69AC3AA1" w14:textId="632DC3CB" w:rsidR="0012381B" w:rsidRPr="00690D9C" w:rsidRDefault="0012381B" w:rsidP="0078626F">
      <w:pPr>
        <w:spacing w:after="240"/>
        <w:jc w:val="both"/>
        <w:rPr>
          <w:noProof/>
          <w:spacing w:val="-8"/>
        </w:rPr>
      </w:pPr>
      <w:r w:rsidRPr="00690D9C">
        <w:rPr>
          <w:noProof/>
          <w:spacing w:val="-8"/>
        </w:rPr>
        <w:t>The Interface Module was developed in</w:t>
      </w:r>
      <w:r w:rsidR="0078626F" w:rsidRPr="00690D9C">
        <w:rPr>
          <w:noProof/>
          <w:spacing w:val="-8"/>
        </w:rPr>
        <w:t xml:space="preserve"> the context of the impact assessment support </w:t>
      </w:r>
      <w:r w:rsidRPr="00690D9C">
        <w:rPr>
          <w:noProof/>
          <w:spacing w:val="-8"/>
        </w:rPr>
        <w:t xml:space="preserve">study to convert the outputs of the MPA </w:t>
      </w:r>
      <w:r w:rsidR="0078626F" w:rsidRPr="00690D9C">
        <w:rPr>
          <w:noProof/>
          <w:spacing w:val="-8"/>
        </w:rPr>
        <w:t xml:space="preserve">module </w:t>
      </w:r>
      <w:r w:rsidRPr="00690D9C">
        <w:rPr>
          <w:noProof/>
          <w:spacing w:val="-8"/>
        </w:rPr>
        <w:t xml:space="preserve">for each cluster into modal shift impacts and changes in </w:t>
      </w:r>
      <w:r w:rsidR="00BF66DF" w:rsidRPr="00690D9C">
        <w:rPr>
          <w:noProof/>
          <w:spacing w:val="-8"/>
        </w:rPr>
        <w:t xml:space="preserve">travel </w:t>
      </w:r>
      <w:r w:rsidRPr="00690D9C">
        <w:rPr>
          <w:noProof/>
          <w:spacing w:val="-8"/>
        </w:rPr>
        <w:t xml:space="preserve">time </w:t>
      </w:r>
      <w:r w:rsidR="00E07C99">
        <w:rPr>
          <w:noProof/>
          <w:spacing w:val="-8"/>
        </w:rPr>
        <w:t xml:space="preserve">that can be </w:t>
      </w:r>
      <w:r w:rsidR="00BF66DF" w:rsidRPr="00690D9C">
        <w:rPr>
          <w:noProof/>
          <w:spacing w:val="-8"/>
        </w:rPr>
        <w:t xml:space="preserve">used </w:t>
      </w:r>
      <w:r w:rsidR="000B3502">
        <w:rPr>
          <w:noProof/>
          <w:spacing w:val="-8"/>
        </w:rPr>
        <w:t xml:space="preserve">together </w:t>
      </w:r>
      <w:r w:rsidR="00BF66DF" w:rsidRPr="00690D9C">
        <w:rPr>
          <w:noProof/>
          <w:spacing w:val="-8"/>
        </w:rPr>
        <w:t xml:space="preserve">as inputs in the </w:t>
      </w:r>
      <w:r w:rsidRPr="00690D9C">
        <w:rPr>
          <w:noProof/>
          <w:spacing w:val="-8"/>
        </w:rPr>
        <w:t xml:space="preserve">ASTRA model. </w:t>
      </w:r>
    </w:p>
    <w:p w14:paraId="0F521579" w14:textId="0C8F7F95" w:rsidR="0012381B" w:rsidRPr="00690D9C" w:rsidRDefault="0012381B" w:rsidP="0078626F">
      <w:pPr>
        <w:spacing w:after="240"/>
        <w:jc w:val="both"/>
        <w:rPr>
          <w:noProof/>
          <w:spacing w:val="-8"/>
        </w:rPr>
      </w:pPr>
      <w:r w:rsidRPr="00690D9C">
        <w:rPr>
          <w:noProof/>
          <w:spacing w:val="-8"/>
        </w:rPr>
        <w:t xml:space="preserve">The Interface Module builds on Origin-Destination </w:t>
      </w:r>
      <w:r w:rsidR="00A5249D">
        <w:rPr>
          <w:noProof/>
          <w:spacing w:val="-8"/>
        </w:rPr>
        <w:t xml:space="preserve">(OD) </w:t>
      </w:r>
      <w:r w:rsidRPr="00690D9C">
        <w:rPr>
          <w:noProof/>
          <w:spacing w:val="-8"/>
        </w:rPr>
        <w:t>passenger matrices at NUTS3 level, covering EU27 countries, representing for each specific year</w:t>
      </w:r>
      <w:r w:rsidR="00D47801">
        <w:rPr>
          <w:noProof/>
          <w:spacing w:val="-8"/>
        </w:rPr>
        <w:t xml:space="preserve"> (five-year</w:t>
      </w:r>
      <w:r w:rsidR="0057282B">
        <w:rPr>
          <w:noProof/>
          <w:spacing w:val="-8"/>
        </w:rPr>
        <w:t>s’</w:t>
      </w:r>
      <w:r w:rsidR="00D47801">
        <w:rPr>
          <w:noProof/>
          <w:spacing w:val="-8"/>
        </w:rPr>
        <w:t xml:space="preserve"> steps up to 2050)</w:t>
      </w:r>
      <w:r w:rsidRPr="00690D9C">
        <w:rPr>
          <w:noProof/>
          <w:spacing w:val="-8"/>
        </w:rPr>
        <w:t>:</w:t>
      </w:r>
    </w:p>
    <w:p w14:paraId="5B0E7469" w14:textId="1184B564" w:rsidR="0012381B" w:rsidRPr="00690D9C" w:rsidRDefault="0012381B" w:rsidP="0078626F">
      <w:pPr>
        <w:tabs>
          <w:tab w:val="left" w:pos="426"/>
        </w:tabs>
        <w:spacing w:after="240"/>
        <w:jc w:val="both"/>
        <w:rPr>
          <w:noProof/>
          <w:spacing w:val="-8"/>
        </w:rPr>
      </w:pPr>
      <w:r w:rsidRPr="00690D9C">
        <w:rPr>
          <w:noProof/>
          <w:spacing w:val="-8"/>
        </w:rPr>
        <w:t>-</w:t>
      </w:r>
      <w:r w:rsidRPr="00690D9C">
        <w:rPr>
          <w:noProof/>
          <w:spacing w:val="-8"/>
        </w:rPr>
        <w:tab/>
        <w:t>Passenger trips between OD pairs by mode</w:t>
      </w:r>
      <w:r w:rsidR="00011DE0" w:rsidRPr="00690D9C">
        <w:rPr>
          <w:noProof/>
          <w:spacing w:val="-8"/>
        </w:rPr>
        <w:t>;</w:t>
      </w:r>
    </w:p>
    <w:p w14:paraId="5494B57D" w14:textId="2B2F81BD" w:rsidR="0012381B" w:rsidRPr="00690D9C" w:rsidRDefault="0012381B" w:rsidP="0078626F">
      <w:pPr>
        <w:tabs>
          <w:tab w:val="left" w:pos="426"/>
        </w:tabs>
        <w:spacing w:after="240"/>
        <w:jc w:val="both"/>
        <w:rPr>
          <w:noProof/>
          <w:spacing w:val="-8"/>
        </w:rPr>
      </w:pPr>
      <w:r w:rsidRPr="00690D9C">
        <w:rPr>
          <w:noProof/>
          <w:spacing w:val="-8"/>
        </w:rPr>
        <w:t>-</w:t>
      </w:r>
      <w:r w:rsidRPr="00690D9C">
        <w:rPr>
          <w:noProof/>
          <w:spacing w:val="-8"/>
        </w:rPr>
        <w:tab/>
        <w:t>The average time of a passenger trip between OD pairs by mode</w:t>
      </w:r>
      <w:r w:rsidR="00011DE0" w:rsidRPr="00690D9C">
        <w:rPr>
          <w:noProof/>
          <w:spacing w:val="-8"/>
        </w:rPr>
        <w:t>.</w:t>
      </w:r>
    </w:p>
    <w:p w14:paraId="680351FA" w14:textId="77777777" w:rsidR="0012381B" w:rsidRPr="00690D9C" w:rsidRDefault="0012381B" w:rsidP="0078626F">
      <w:pPr>
        <w:spacing w:after="240"/>
        <w:jc w:val="both"/>
        <w:rPr>
          <w:noProof/>
          <w:spacing w:val="-8"/>
        </w:rPr>
      </w:pPr>
      <w:r w:rsidRPr="00690D9C">
        <w:rPr>
          <w:noProof/>
          <w:spacing w:val="-8"/>
        </w:rPr>
        <w:t>The transport modes (and combinations) considered in the OD matrices are:</w:t>
      </w:r>
    </w:p>
    <w:p w14:paraId="626CCE4B" w14:textId="7E659F76" w:rsidR="0012381B" w:rsidRPr="00690D9C" w:rsidRDefault="0012381B" w:rsidP="0078626F">
      <w:pPr>
        <w:tabs>
          <w:tab w:val="left" w:pos="426"/>
        </w:tabs>
        <w:spacing w:after="240"/>
        <w:ind w:left="426" w:hanging="426"/>
        <w:jc w:val="both"/>
        <w:rPr>
          <w:noProof/>
          <w:spacing w:val="-8"/>
        </w:rPr>
      </w:pPr>
      <w:r w:rsidRPr="00690D9C">
        <w:rPr>
          <w:noProof/>
          <w:spacing w:val="-8"/>
        </w:rPr>
        <w:t>•</w:t>
      </w:r>
      <w:r w:rsidRPr="00690D9C">
        <w:rPr>
          <w:noProof/>
          <w:spacing w:val="-8"/>
        </w:rPr>
        <w:tab/>
        <w:t xml:space="preserve">Unimodal: Car, </w:t>
      </w:r>
      <w:r w:rsidR="00537CFB">
        <w:rPr>
          <w:noProof/>
          <w:spacing w:val="-8"/>
        </w:rPr>
        <w:t>r</w:t>
      </w:r>
      <w:r w:rsidR="00537CFB" w:rsidRPr="00690D9C">
        <w:rPr>
          <w:noProof/>
          <w:spacing w:val="-8"/>
        </w:rPr>
        <w:t xml:space="preserve">ail </w:t>
      </w:r>
      <w:r w:rsidRPr="00690D9C">
        <w:rPr>
          <w:noProof/>
          <w:spacing w:val="-8"/>
        </w:rPr>
        <w:t xml:space="preserve">conventional (regional and intercity), high speed rail, </w:t>
      </w:r>
      <w:r w:rsidR="00537CFB">
        <w:rPr>
          <w:noProof/>
          <w:spacing w:val="-8"/>
        </w:rPr>
        <w:t>c</w:t>
      </w:r>
      <w:r w:rsidR="00537CFB" w:rsidRPr="00690D9C">
        <w:rPr>
          <w:noProof/>
          <w:spacing w:val="-8"/>
        </w:rPr>
        <w:t>oach</w:t>
      </w:r>
      <w:r w:rsidRPr="00690D9C">
        <w:rPr>
          <w:noProof/>
          <w:spacing w:val="-8"/>
        </w:rPr>
        <w:t xml:space="preserve">, </w:t>
      </w:r>
      <w:r w:rsidR="00537CFB">
        <w:rPr>
          <w:noProof/>
          <w:spacing w:val="-8"/>
        </w:rPr>
        <w:t>a</w:t>
      </w:r>
      <w:r w:rsidR="00537CFB" w:rsidRPr="00690D9C">
        <w:rPr>
          <w:noProof/>
          <w:spacing w:val="-8"/>
        </w:rPr>
        <w:t>ir</w:t>
      </w:r>
      <w:r w:rsidRPr="00690D9C">
        <w:rPr>
          <w:noProof/>
          <w:spacing w:val="-8"/>
        </w:rPr>
        <w:t xml:space="preserve">, </w:t>
      </w:r>
      <w:r w:rsidR="00537CFB">
        <w:rPr>
          <w:noProof/>
          <w:spacing w:val="-8"/>
        </w:rPr>
        <w:t>f</w:t>
      </w:r>
      <w:r w:rsidR="00537CFB" w:rsidRPr="00690D9C">
        <w:rPr>
          <w:noProof/>
          <w:spacing w:val="-8"/>
        </w:rPr>
        <w:t xml:space="preserve">erry </w:t>
      </w:r>
      <w:r w:rsidRPr="00690D9C">
        <w:rPr>
          <w:noProof/>
          <w:spacing w:val="-8"/>
        </w:rPr>
        <w:t>(maritime)</w:t>
      </w:r>
      <w:r w:rsidR="00011DE0" w:rsidRPr="00690D9C">
        <w:rPr>
          <w:noProof/>
          <w:spacing w:val="-8"/>
        </w:rPr>
        <w:t>;</w:t>
      </w:r>
      <w:r w:rsidRPr="00690D9C">
        <w:rPr>
          <w:noProof/>
          <w:spacing w:val="-8"/>
        </w:rPr>
        <w:t xml:space="preserve"> </w:t>
      </w:r>
    </w:p>
    <w:p w14:paraId="0332F15C" w14:textId="07441622" w:rsidR="0012381B" w:rsidRPr="00690D9C" w:rsidRDefault="0012381B" w:rsidP="0078626F">
      <w:pPr>
        <w:tabs>
          <w:tab w:val="left" w:pos="426"/>
        </w:tabs>
        <w:spacing w:after="240"/>
        <w:ind w:left="426" w:hanging="426"/>
        <w:jc w:val="both"/>
        <w:rPr>
          <w:noProof/>
          <w:spacing w:val="-8"/>
        </w:rPr>
      </w:pPr>
      <w:r w:rsidRPr="00690D9C">
        <w:rPr>
          <w:noProof/>
          <w:spacing w:val="-8"/>
        </w:rPr>
        <w:t>•</w:t>
      </w:r>
      <w:r w:rsidRPr="00690D9C">
        <w:rPr>
          <w:noProof/>
          <w:spacing w:val="-8"/>
        </w:rPr>
        <w:tab/>
        <w:t xml:space="preserve">Multimodal: </w:t>
      </w:r>
      <w:r w:rsidR="00A84463">
        <w:rPr>
          <w:noProof/>
          <w:spacing w:val="-8"/>
        </w:rPr>
        <w:t>a</w:t>
      </w:r>
      <w:r w:rsidR="00A84463" w:rsidRPr="00690D9C">
        <w:rPr>
          <w:noProof/>
          <w:spacing w:val="-8"/>
        </w:rPr>
        <w:t>ir</w:t>
      </w:r>
      <w:r w:rsidRPr="00690D9C">
        <w:rPr>
          <w:noProof/>
          <w:spacing w:val="-8"/>
        </w:rPr>
        <w:t xml:space="preserve">+rail, </w:t>
      </w:r>
      <w:r w:rsidR="00A84463">
        <w:rPr>
          <w:noProof/>
          <w:spacing w:val="-8"/>
        </w:rPr>
        <w:t>r</w:t>
      </w:r>
      <w:r w:rsidR="00A84463" w:rsidRPr="00690D9C">
        <w:rPr>
          <w:noProof/>
          <w:spacing w:val="-8"/>
        </w:rPr>
        <w:t>ail</w:t>
      </w:r>
      <w:r w:rsidRPr="00690D9C">
        <w:rPr>
          <w:noProof/>
          <w:spacing w:val="-8"/>
        </w:rPr>
        <w:t xml:space="preserve">+coach, </w:t>
      </w:r>
      <w:r w:rsidR="00A84463">
        <w:rPr>
          <w:noProof/>
          <w:spacing w:val="-8"/>
        </w:rPr>
        <w:t>a</w:t>
      </w:r>
      <w:r w:rsidR="00A84463" w:rsidRPr="00690D9C">
        <w:rPr>
          <w:noProof/>
          <w:spacing w:val="-8"/>
        </w:rPr>
        <w:t>ir</w:t>
      </w:r>
      <w:r w:rsidRPr="00690D9C">
        <w:rPr>
          <w:noProof/>
          <w:spacing w:val="-8"/>
        </w:rPr>
        <w:t xml:space="preserve">+coach, </w:t>
      </w:r>
      <w:r w:rsidR="00A84463">
        <w:rPr>
          <w:noProof/>
          <w:spacing w:val="-8"/>
        </w:rPr>
        <w:t>c</w:t>
      </w:r>
      <w:r w:rsidR="00A84463" w:rsidRPr="00690D9C">
        <w:rPr>
          <w:noProof/>
          <w:spacing w:val="-8"/>
        </w:rPr>
        <w:t>ar</w:t>
      </w:r>
      <w:r w:rsidRPr="00690D9C">
        <w:rPr>
          <w:noProof/>
          <w:spacing w:val="-8"/>
        </w:rPr>
        <w:t>+</w:t>
      </w:r>
      <w:r w:rsidR="00A84463">
        <w:rPr>
          <w:noProof/>
          <w:spacing w:val="-8"/>
        </w:rPr>
        <w:t>f</w:t>
      </w:r>
      <w:r w:rsidR="00A84463" w:rsidRPr="00690D9C">
        <w:rPr>
          <w:noProof/>
          <w:spacing w:val="-8"/>
        </w:rPr>
        <w:t>erry</w:t>
      </w:r>
      <w:r w:rsidRPr="00690D9C">
        <w:rPr>
          <w:noProof/>
          <w:spacing w:val="-8"/>
        </w:rPr>
        <w:t xml:space="preserve">, </w:t>
      </w:r>
      <w:r w:rsidR="00A84463">
        <w:rPr>
          <w:noProof/>
          <w:spacing w:val="-8"/>
        </w:rPr>
        <w:t>r</w:t>
      </w:r>
      <w:r w:rsidR="00A84463" w:rsidRPr="00690D9C">
        <w:rPr>
          <w:noProof/>
          <w:spacing w:val="-8"/>
        </w:rPr>
        <w:t>ail</w:t>
      </w:r>
      <w:r w:rsidRPr="00690D9C">
        <w:rPr>
          <w:noProof/>
          <w:spacing w:val="-8"/>
        </w:rPr>
        <w:t>+</w:t>
      </w:r>
      <w:r w:rsidR="00A84463">
        <w:rPr>
          <w:noProof/>
          <w:spacing w:val="-8"/>
        </w:rPr>
        <w:t>f</w:t>
      </w:r>
      <w:r w:rsidR="00A84463" w:rsidRPr="00690D9C">
        <w:rPr>
          <w:noProof/>
          <w:spacing w:val="-8"/>
        </w:rPr>
        <w:t>erry</w:t>
      </w:r>
      <w:r w:rsidRPr="00690D9C">
        <w:rPr>
          <w:noProof/>
          <w:spacing w:val="-8"/>
        </w:rPr>
        <w:t xml:space="preserve">, </w:t>
      </w:r>
      <w:r w:rsidR="00A84463">
        <w:rPr>
          <w:noProof/>
          <w:spacing w:val="-8"/>
        </w:rPr>
        <w:t>c</w:t>
      </w:r>
      <w:r w:rsidR="00A84463" w:rsidRPr="00690D9C">
        <w:rPr>
          <w:noProof/>
          <w:spacing w:val="-8"/>
        </w:rPr>
        <w:t>oach</w:t>
      </w:r>
      <w:r w:rsidRPr="00690D9C">
        <w:rPr>
          <w:noProof/>
          <w:spacing w:val="-8"/>
        </w:rPr>
        <w:t>+</w:t>
      </w:r>
      <w:r w:rsidR="00A84463">
        <w:rPr>
          <w:noProof/>
          <w:spacing w:val="-8"/>
        </w:rPr>
        <w:t>f</w:t>
      </w:r>
      <w:r w:rsidR="00A84463" w:rsidRPr="00690D9C">
        <w:rPr>
          <w:noProof/>
          <w:spacing w:val="-8"/>
        </w:rPr>
        <w:t>erry</w:t>
      </w:r>
      <w:r w:rsidRPr="00690D9C">
        <w:rPr>
          <w:noProof/>
          <w:spacing w:val="-8"/>
        </w:rPr>
        <w:t xml:space="preserve">, </w:t>
      </w:r>
      <w:r w:rsidR="00A84463">
        <w:rPr>
          <w:noProof/>
          <w:spacing w:val="-8"/>
        </w:rPr>
        <w:t>a</w:t>
      </w:r>
      <w:r w:rsidR="00A84463" w:rsidRPr="00690D9C">
        <w:rPr>
          <w:noProof/>
          <w:spacing w:val="-8"/>
        </w:rPr>
        <w:t>ir</w:t>
      </w:r>
      <w:r w:rsidRPr="00690D9C">
        <w:rPr>
          <w:noProof/>
          <w:spacing w:val="-8"/>
        </w:rPr>
        <w:t>+</w:t>
      </w:r>
      <w:r w:rsidR="00A84463">
        <w:rPr>
          <w:noProof/>
          <w:spacing w:val="-8"/>
        </w:rPr>
        <w:t>f</w:t>
      </w:r>
      <w:r w:rsidR="00A84463" w:rsidRPr="00690D9C">
        <w:rPr>
          <w:noProof/>
          <w:spacing w:val="-8"/>
        </w:rPr>
        <w:t>erry</w:t>
      </w:r>
      <w:r w:rsidR="00011DE0" w:rsidRPr="00690D9C">
        <w:rPr>
          <w:noProof/>
          <w:spacing w:val="-8"/>
        </w:rPr>
        <w:t>.</w:t>
      </w:r>
    </w:p>
    <w:p w14:paraId="54620F4B" w14:textId="476DD1DA" w:rsidR="0012381B" w:rsidRPr="00690D9C" w:rsidRDefault="0012381B" w:rsidP="0078626F">
      <w:pPr>
        <w:spacing w:after="240"/>
        <w:jc w:val="both"/>
        <w:rPr>
          <w:noProof/>
          <w:spacing w:val="-8"/>
        </w:rPr>
      </w:pPr>
      <w:r w:rsidRPr="00690D9C">
        <w:rPr>
          <w:noProof/>
          <w:spacing w:val="-8"/>
        </w:rPr>
        <w:t>The Interface Module was developed using MySQL to handle matrices of over 1.3 million OD pair</w:t>
      </w:r>
      <w:r w:rsidR="00781FD9">
        <w:rPr>
          <w:noProof/>
          <w:spacing w:val="-8"/>
        </w:rPr>
        <w:t>s</w:t>
      </w:r>
      <w:r w:rsidRPr="00690D9C">
        <w:rPr>
          <w:noProof/>
          <w:spacing w:val="-8"/>
        </w:rPr>
        <w:t xml:space="preserve"> within the 27 EU Member States. It simulates the impacts in five-years’ time steps up to 2050. The module uses the MPA results by cluster as input, performs calculations based on matrices at NUTS3 level and produces changes at aggregate level for modal split and</w:t>
      </w:r>
      <w:r w:rsidR="00130F8B">
        <w:rPr>
          <w:noProof/>
          <w:spacing w:val="-8"/>
        </w:rPr>
        <w:t xml:space="preserve"> travel</w:t>
      </w:r>
      <w:r w:rsidRPr="00690D9C">
        <w:rPr>
          <w:noProof/>
          <w:spacing w:val="-8"/>
        </w:rPr>
        <w:t xml:space="preserve"> time, in the format that can be fed as input into the ASTRA model.</w:t>
      </w:r>
    </w:p>
    <w:p w14:paraId="50B65ABD" w14:textId="4EE9F91C" w:rsidR="0012381B" w:rsidRPr="00690D9C" w:rsidRDefault="0012381B" w:rsidP="0078626F">
      <w:pPr>
        <w:spacing w:after="240"/>
        <w:jc w:val="both"/>
        <w:rPr>
          <w:noProof/>
          <w:spacing w:val="-8"/>
        </w:rPr>
      </w:pPr>
      <w:r w:rsidRPr="00690D9C">
        <w:rPr>
          <w:noProof/>
          <w:spacing w:val="-8"/>
        </w:rPr>
        <w:t>The starting points</w:t>
      </w:r>
      <w:r w:rsidRPr="00690D9C" w:rsidDel="00456342">
        <w:rPr>
          <w:noProof/>
          <w:spacing w:val="-8"/>
        </w:rPr>
        <w:t xml:space="preserve"> </w:t>
      </w:r>
      <w:r w:rsidR="00456342" w:rsidRPr="00690D9C">
        <w:rPr>
          <w:noProof/>
          <w:spacing w:val="-8"/>
        </w:rPr>
        <w:t xml:space="preserve">for </w:t>
      </w:r>
      <w:r w:rsidRPr="00690D9C">
        <w:rPr>
          <w:noProof/>
          <w:spacing w:val="-8"/>
        </w:rPr>
        <w:t>the Interface Module are the TRUST network model</w:t>
      </w:r>
      <w:r w:rsidR="00DB07EE">
        <w:rPr>
          <w:rStyle w:val="FootnoteReference"/>
          <w:noProof/>
          <w:spacing w:val="-8"/>
        </w:rPr>
        <w:footnoteReference w:id="302"/>
      </w:r>
      <w:r w:rsidRPr="00690D9C">
        <w:rPr>
          <w:noProof/>
          <w:spacing w:val="-8"/>
        </w:rPr>
        <w:t xml:space="preserve"> and the OD matrices by mode of transport complemented with intra-NUTS3 trips (that were especially needed to consider regional trips in large zones). The regional trips data was derived based on the ASTRA model and EUROSTAT data. Furthermore, additional information was considered for multimodal trips, building on the </w:t>
      </w:r>
      <w:r w:rsidR="00F7274E">
        <w:rPr>
          <w:noProof/>
        </w:rPr>
        <w:t xml:space="preserve">2024 </w:t>
      </w:r>
      <w:r w:rsidRPr="00690D9C">
        <w:rPr>
          <w:noProof/>
          <w:spacing w:val="-8"/>
        </w:rPr>
        <w:t>Eurobarometer survey</w:t>
      </w:r>
      <w:r w:rsidR="007317B6">
        <w:rPr>
          <w:noProof/>
        </w:rPr>
        <w:t xml:space="preserve"> and a </w:t>
      </w:r>
      <w:r w:rsidRPr="00690D9C">
        <w:rPr>
          <w:noProof/>
          <w:spacing w:val="-8"/>
        </w:rPr>
        <w:t xml:space="preserve">JRC EU Survey on issues related to transport and mobility </w:t>
      </w:r>
      <w:r w:rsidR="007317B6">
        <w:rPr>
          <w:noProof/>
        </w:rPr>
        <w:t>conducted in 2019</w:t>
      </w:r>
      <w:r w:rsidRPr="00690D9C">
        <w:rPr>
          <w:noProof/>
          <w:spacing w:val="-8"/>
        </w:rPr>
        <w:t xml:space="preserve">. The average time of a passenger trip between OD pairs by mode were derived from the TRUST transport network model, </w:t>
      </w:r>
      <w:r w:rsidR="008832D7">
        <w:rPr>
          <w:noProof/>
        </w:rPr>
        <w:t xml:space="preserve">complemented </w:t>
      </w:r>
      <w:r w:rsidRPr="00690D9C">
        <w:rPr>
          <w:noProof/>
          <w:spacing w:val="-8"/>
        </w:rPr>
        <w:t xml:space="preserve">by the </w:t>
      </w:r>
      <w:r w:rsidR="008832D7">
        <w:rPr>
          <w:noProof/>
        </w:rPr>
        <w:t xml:space="preserve">in-depth </w:t>
      </w:r>
      <w:r w:rsidRPr="00690D9C">
        <w:rPr>
          <w:noProof/>
          <w:spacing w:val="-8"/>
        </w:rPr>
        <w:t xml:space="preserve">analysis of </w:t>
      </w:r>
      <w:r w:rsidR="008832D7">
        <w:rPr>
          <w:noProof/>
        </w:rPr>
        <w:t xml:space="preserve">the </w:t>
      </w:r>
      <w:r w:rsidRPr="00690D9C">
        <w:rPr>
          <w:noProof/>
          <w:spacing w:val="-8"/>
        </w:rPr>
        <w:t xml:space="preserve">100 OD pairs performed as part of </w:t>
      </w:r>
      <w:r w:rsidR="00F4348B" w:rsidRPr="00690D9C">
        <w:rPr>
          <w:noProof/>
          <w:spacing w:val="-8"/>
        </w:rPr>
        <w:t xml:space="preserve">the impact assessment support </w:t>
      </w:r>
      <w:r w:rsidRPr="00690D9C">
        <w:rPr>
          <w:noProof/>
          <w:spacing w:val="-8"/>
        </w:rPr>
        <w:t xml:space="preserve">study. The TRUST network model is designed to assign passenger demand by mode to different pathways/routes on the related network. Each route is associated with a cost and travel time based on its distance and characteristics (tolled motorway or main roads, high speed </w:t>
      </w:r>
      <w:r w:rsidR="00DC05C9">
        <w:rPr>
          <w:noProof/>
        </w:rPr>
        <w:t xml:space="preserve">rail </w:t>
      </w:r>
      <w:r w:rsidRPr="00690D9C">
        <w:rPr>
          <w:noProof/>
          <w:spacing w:val="-8"/>
        </w:rPr>
        <w:t xml:space="preserve">or conventional services, etc.). This information is weighted based on trips assigned to each route in </w:t>
      </w:r>
      <w:r w:rsidR="00B27CC5">
        <w:rPr>
          <w:noProof/>
        </w:rPr>
        <w:t xml:space="preserve">the </w:t>
      </w:r>
      <w:r w:rsidRPr="00690D9C">
        <w:rPr>
          <w:noProof/>
          <w:spacing w:val="-8"/>
        </w:rPr>
        <w:t xml:space="preserve">TRUST </w:t>
      </w:r>
      <w:r w:rsidR="00B27CC5">
        <w:rPr>
          <w:noProof/>
        </w:rPr>
        <w:t xml:space="preserve">model </w:t>
      </w:r>
      <w:r w:rsidRPr="00690D9C">
        <w:rPr>
          <w:noProof/>
          <w:spacing w:val="-8"/>
        </w:rPr>
        <w:t>to calculate the average time between OD pairs by mode.</w:t>
      </w:r>
      <w:r w:rsidR="00690D9C" w:rsidRPr="00690D9C">
        <w:rPr>
          <w:noProof/>
          <w:spacing w:val="-8"/>
        </w:rPr>
        <w:t xml:space="preserve"> </w:t>
      </w:r>
      <w:r w:rsidRPr="00690D9C">
        <w:rPr>
          <w:noProof/>
          <w:spacing w:val="-8"/>
        </w:rPr>
        <w:t>Passenger transport demand of the Interface Module evolves over time according to the baseline scenario up to 2050 (i.e. including also TEN-T network development over time, as simulated in the TRUST network model).</w:t>
      </w:r>
    </w:p>
    <w:p w14:paraId="1DCA9FA8" w14:textId="079D08B2" w:rsidR="00121218" w:rsidRPr="006A6B7E" w:rsidRDefault="00985FA4" w:rsidP="007B2D8E">
      <w:pPr>
        <w:pStyle w:val="ListParagraph"/>
        <w:keepNext/>
        <w:widowControl/>
        <w:numPr>
          <w:ilvl w:val="2"/>
          <w:numId w:val="10"/>
        </w:numPr>
        <w:autoSpaceDE/>
        <w:autoSpaceDN/>
        <w:spacing w:after="240"/>
        <w:jc w:val="both"/>
        <w:outlineLvl w:val="2"/>
        <w:rPr>
          <w:i/>
          <w:iCs/>
          <w:noProof/>
          <w:sz w:val="24"/>
          <w:szCs w:val="24"/>
        </w:rPr>
      </w:pPr>
      <w:bookmarkStart w:id="337" w:name="_Toc222749045"/>
      <w:bookmarkStart w:id="338" w:name="_Toc223980018"/>
      <w:r w:rsidRPr="006A6B7E">
        <w:rPr>
          <w:i/>
          <w:iCs/>
          <w:noProof/>
          <w:sz w:val="24"/>
          <w:szCs w:val="24"/>
        </w:rPr>
        <w:t>Assessment of impacts of the policy options with the ASTRA model</w:t>
      </w:r>
      <w:bookmarkEnd w:id="337"/>
      <w:bookmarkEnd w:id="338"/>
    </w:p>
    <w:p w14:paraId="701E04AB" w14:textId="01067733" w:rsidR="00120FF0" w:rsidRPr="00497ECB" w:rsidRDefault="002C1CB8" w:rsidP="00497ECB">
      <w:pPr>
        <w:spacing w:after="240"/>
        <w:jc w:val="both"/>
        <w:rPr>
          <w:noProof/>
          <w:spacing w:val="-8"/>
        </w:rPr>
      </w:pPr>
      <w:r w:rsidRPr="005D2D60">
        <w:rPr>
          <w:noProof/>
          <w:spacing w:val="-8"/>
        </w:rPr>
        <w:t xml:space="preserve">For simulating the impacts of the policy options, the </w:t>
      </w:r>
      <w:r w:rsidR="007E6680" w:rsidRPr="005D2D60">
        <w:rPr>
          <w:noProof/>
          <w:spacing w:val="-8"/>
        </w:rPr>
        <w:t xml:space="preserve">outputs </w:t>
      </w:r>
      <w:r w:rsidRPr="005D2D60">
        <w:rPr>
          <w:noProof/>
          <w:spacing w:val="-8"/>
        </w:rPr>
        <w:t xml:space="preserve">from the interface module (i.e. </w:t>
      </w:r>
      <w:r w:rsidR="006B3268" w:rsidRPr="005D2D60">
        <w:rPr>
          <w:noProof/>
          <w:spacing w:val="-8"/>
        </w:rPr>
        <w:t xml:space="preserve">changes in </w:t>
      </w:r>
      <w:r w:rsidRPr="005D2D60">
        <w:rPr>
          <w:noProof/>
          <w:spacing w:val="-8"/>
        </w:rPr>
        <w:t>modal shift</w:t>
      </w:r>
      <w:r w:rsidR="006B3268" w:rsidRPr="005D2D60">
        <w:rPr>
          <w:noProof/>
          <w:spacing w:val="-8"/>
        </w:rPr>
        <w:t xml:space="preserve"> and travel time</w:t>
      </w:r>
      <w:r w:rsidRPr="005D2D60">
        <w:rPr>
          <w:noProof/>
          <w:spacing w:val="-8"/>
        </w:rPr>
        <w:t xml:space="preserve">) </w:t>
      </w:r>
      <w:r w:rsidR="007E6680" w:rsidRPr="005D2D60">
        <w:rPr>
          <w:noProof/>
          <w:spacing w:val="-8"/>
        </w:rPr>
        <w:t xml:space="preserve">are used as inputs in the </w:t>
      </w:r>
      <w:r w:rsidRPr="005D2D60">
        <w:rPr>
          <w:noProof/>
          <w:spacing w:val="-8"/>
        </w:rPr>
        <w:t>ASTRA model</w:t>
      </w:r>
      <w:r w:rsidR="007E6680" w:rsidRPr="005D2D60">
        <w:rPr>
          <w:noProof/>
          <w:spacing w:val="-8"/>
        </w:rPr>
        <w:t>,</w:t>
      </w:r>
      <w:r w:rsidRPr="005D2D60">
        <w:rPr>
          <w:noProof/>
          <w:spacing w:val="-8"/>
        </w:rPr>
        <w:t xml:space="preserve"> which then estimates the overall </w:t>
      </w:r>
      <w:r w:rsidR="007E6680" w:rsidRPr="005D2D60">
        <w:rPr>
          <w:noProof/>
          <w:spacing w:val="-8"/>
        </w:rPr>
        <w:t xml:space="preserve">impacts on transport activity and </w:t>
      </w:r>
      <w:r w:rsidR="00705E47" w:rsidRPr="005D2D60">
        <w:rPr>
          <w:noProof/>
          <w:spacing w:val="-8"/>
        </w:rPr>
        <w:t xml:space="preserve">related user costs and external costs savings. </w:t>
      </w:r>
      <w:r w:rsidR="00FC5DA9" w:rsidRPr="00497ECB">
        <w:rPr>
          <w:noProof/>
          <w:spacing w:val="-8"/>
        </w:rPr>
        <w:t xml:space="preserve">An overview of the ASTRA model application and the input </w:t>
      </w:r>
      <w:r w:rsidR="00ED792B">
        <w:rPr>
          <w:noProof/>
          <w:spacing w:val="-8"/>
        </w:rPr>
        <w:t xml:space="preserve">used </w:t>
      </w:r>
      <w:r w:rsidR="00FC5DA9" w:rsidRPr="00497ECB">
        <w:rPr>
          <w:noProof/>
          <w:spacing w:val="-8"/>
        </w:rPr>
        <w:t xml:space="preserve">for simulating the </w:t>
      </w:r>
      <w:r w:rsidR="00ED792B">
        <w:rPr>
          <w:noProof/>
          <w:spacing w:val="-8"/>
        </w:rPr>
        <w:t xml:space="preserve">effects of the </w:t>
      </w:r>
      <w:r w:rsidR="00D1432B">
        <w:rPr>
          <w:noProof/>
          <w:spacing w:val="-8"/>
        </w:rPr>
        <w:t>policy options</w:t>
      </w:r>
      <w:r w:rsidR="00D1432B" w:rsidRPr="00497ECB">
        <w:rPr>
          <w:noProof/>
          <w:spacing w:val="-8"/>
        </w:rPr>
        <w:t> </w:t>
      </w:r>
      <w:r w:rsidR="00FC5DA9" w:rsidRPr="00497ECB">
        <w:rPr>
          <w:noProof/>
          <w:spacing w:val="-8"/>
        </w:rPr>
        <w:t>is provided in the figure below</w:t>
      </w:r>
      <w:r w:rsidR="00ED792B">
        <w:rPr>
          <w:noProof/>
          <w:spacing w:val="-8"/>
        </w:rPr>
        <w:t>.</w:t>
      </w:r>
    </w:p>
    <w:p w14:paraId="4689A4A5" w14:textId="77A1BD5F" w:rsidR="00C917BB" w:rsidRPr="00687DCB" w:rsidRDefault="00687DCB" w:rsidP="00687DCB">
      <w:pPr>
        <w:jc w:val="both"/>
        <w:rPr>
          <w:i/>
          <w:noProof/>
          <w:spacing w:val="-8"/>
          <w:sz w:val="22"/>
          <w:szCs w:val="22"/>
        </w:rPr>
      </w:pPr>
      <w:r w:rsidRPr="00687DCB">
        <w:rPr>
          <w:i/>
          <w:noProof/>
          <w:sz w:val="22"/>
          <w:szCs w:val="22"/>
        </w:rPr>
        <w:t xml:space="preserve">Figure </w:t>
      </w:r>
      <w:r w:rsidR="00980256">
        <w:rPr>
          <w:i/>
          <w:noProof/>
          <w:sz w:val="22"/>
          <w:szCs w:val="22"/>
        </w:rPr>
        <w:fldChar w:fldCharType="begin"/>
      </w:r>
      <w:r w:rsidR="00980256">
        <w:rPr>
          <w:i/>
          <w:noProof/>
          <w:sz w:val="22"/>
          <w:szCs w:val="22"/>
        </w:rPr>
        <w:instrText xml:space="preserve"> SEQ Figure \* ARABIC </w:instrText>
      </w:r>
      <w:r w:rsidR="00980256">
        <w:rPr>
          <w:i/>
          <w:noProof/>
          <w:sz w:val="22"/>
          <w:szCs w:val="22"/>
        </w:rPr>
        <w:fldChar w:fldCharType="separate"/>
      </w:r>
      <w:r w:rsidR="0055391F">
        <w:rPr>
          <w:i/>
          <w:noProof/>
          <w:sz w:val="22"/>
          <w:szCs w:val="22"/>
        </w:rPr>
        <w:t>12</w:t>
      </w:r>
      <w:r w:rsidR="00980256">
        <w:rPr>
          <w:i/>
          <w:noProof/>
          <w:sz w:val="22"/>
          <w:szCs w:val="22"/>
        </w:rPr>
        <w:fldChar w:fldCharType="end"/>
      </w:r>
      <w:r w:rsidRPr="00687DCB">
        <w:rPr>
          <w:i/>
          <w:noProof/>
          <w:sz w:val="22"/>
          <w:szCs w:val="22"/>
        </w:rPr>
        <w:t xml:space="preserve">: </w:t>
      </w:r>
      <w:r w:rsidRPr="00687DCB">
        <w:rPr>
          <w:i/>
          <w:noProof/>
          <w:spacing w:val="-8"/>
          <w:sz w:val="22"/>
          <w:szCs w:val="22"/>
        </w:rPr>
        <w:t>ASTRA model application for the quantitative assessment of impacts</w:t>
      </w:r>
    </w:p>
    <w:p w14:paraId="7AC2876D" w14:textId="31598299" w:rsidR="00CA6C01" w:rsidRDefault="00CA6C01" w:rsidP="00497ECB">
      <w:pPr>
        <w:spacing w:after="240"/>
        <w:jc w:val="both"/>
        <w:rPr>
          <w:noProof/>
          <w:spacing w:val="-8"/>
        </w:rPr>
      </w:pPr>
      <w:r w:rsidRPr="00CA6C01">
        <w:rPr>
          <w:noProof/>
          <w:lang w:val="en-GB" w:eastAsia="en-GB"/>
        </w:rPr>
        <w:drawing>
          <wp:inline distT="0" distB="0" distL="0" distR="0" wp14:anchorId="776ECF65" wp14:editId="121456FA">
            <wp:extent cx="5943600" cy="3086100"/>
            <wp:effectExtent l="0" t="0" r="0" b="0"/>
            <wp:docPr id="18414754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3086100"/>
                    </a:xfrm>
                    <a:prstGeom prst="rect">
                      <a:avLst/>
                    </a:prstGeom>
                    <a:noFill/>
                    <a:ln>
                      <a:noFill/>
                    </a:ln>
                  </pic:spPr>
                </pic:pic>
              </a:graphicData>
            </a:graphic>
          </wp:inline>
        </w:drawing>
      </w:r>
    </w:p>
    <w:p w14:paraId="3F0EBBC7" w14:textId="77777777" w:rsidR="006B3268" w:rsidRPr="00760ADE" w:rsidRDefault="006B3268" w:rsidP="006B3268">
      <w:pPr>
        <w:spacing w:after="240"/>
        <w:rPr>
          <w:rFonts w:eastAsia="Arial Unicode MS"/>
          <w:noProof/>
        </w:rPr>
      </w:pPr>
      <w:r w:rsidRPr="00D71008">
        <w:rPr>
          <w:i/>
          <w:iCs/>
          <w:noProof/>
          <w:spacing w:val="-8"/>
          <w:sz w:val="20"/>
          <w:szCs w:val="20"/>
        </w:rPr>
        <w:t xml:space="preserve">Source: </w:t>
      </w:r>
      <w:r w:rsidRPr="00D71008">
        <w:rPr>
          <w:i/>
          <w:iCs/>
          <w:noProof/>
          <w:sz w:val="20"/>
          <w:szCs w:val="20"/>
        </w:rPr>
        <w:t>Ricardo et al. (2026), Impact assessment support study</w:t>
      </w:r>
    </w:p>
    <w:p w14:paraId="071C3105" w14:textId="670CEBCF" w:rsidR="007C0360" w:rsidRPr="00497ECB" w:rsidRDefault="007C0360" w:rsidP="00497ECB">
      <w:pPr>
        <w:spacing w:after="240"/>
        <w:jc w:val="both"/>
        <w:rPr>
          <w:noProof/>
          <w:spacing w:val="-8"/>
        </w:rPr>
      </w:pPr>
      <w:bookmarkStart w:id="339" w:name="_Toc222749046"/>
      <w:r w:rsidRPr="005D2D60">
        <w:rPr>
          <w:noProof/>
          <w:spacing w:val="-8"/>
        </w:rPr>
        <w:t xml:space="preserve">The outputs </w:t>
      </w:r>
      <w:r w:rsidR="009666BC" w:rsidRPr="005D2D60">
        <w:rPr>
          <w:noProof/>
          <w:spacing w:val="-8"/>
        </w:rPr>
        <w:t>from the</w:t>
      </w:r>
      <w:r w:rsidRPr="005D2D60">
        <w:rPr>
          <w:noProof/>
          <w:spacing w:val="-8"/>
        </w:rPr>
        <w:t xml:space="preserve"> interface module </w:t>
      </w:r>
      <w:r w:rsidR="00B537E8" w:rsidRPr="005D2D60" w:rsidDel="00575A84">
        <w:rPr>
          <w:noProof/>
          <w:spacing w:val="-8"/>
        </w:rPr>
        <w:t>are</w:t>
      </w:r>
      <w:r w:rsidR="00767F7E" w:rsidRPr="005D2D60" w:rsidDel="00575A84">
        <w:rPr>
          <w:noProof/>
          <w:spacing w:val="-8"/>
        </w:rPr>
        <w:t xml:space="preserve"> </w:t>
      </w:r>
      <w:r w:rsidRPr="005D2D60">
        <w:rPr>
          <w:noProof/>
          <w:spacing w:val="-8"/>
        </w:rPr>
        <w:t xml:space="preserve">provided in the ASTRA transport demand format: at NUTS1 level for regional and national changes and at </w:t>
      </w:r>
      <w:r w:rsidR="00575A84" w:rsidRPr="005D2D60">
        <w:rPr>
          <w:noProof/>
          <w:spacing w:val="-8"/>
        </w:rPr>
        <w:t>c</w:t>
      </w:r>
      <w:r w:rsidRPr="005D2D60">
        <w:rPr>
          <w:noProof/>
          <w:spacing w:val="-8"/>
        </w:rPr>
        <w:t>ountry-to-</w:t>
      </w:r>
      <w:r w:rsidR="00575A84" w:rsidRPr="005D2D60">
        <w:rPr>
          <w:noProof/>
          <w:spacing w:val="-8"/>
        </w:rPr>
        <w:t>c</w:t>
      </w:r>
      <w:r w:rsidRPr="005D2D60">
        <w:rPr>
          <w:noProof/>
          <w:spacing w:val="-8"/>
        </w:rPr>
        <w:t>ountry level for international changes</w:t>
      </w:r>
      <w:r w:rsidR="00EF1BB5" w:rsidRPr="005D2D60">
        <w:rPr>
          <w:noProof/>
          <w:spacing w:val="-8"/>
        </w:rPr>
        <w:t>,</w:t>
      </w:r>
      <w:r w:rsidRPr="005D2D60">
        <w:rPr>
          <w:noProof/>
          <w:spacing w:val="-8"/>
        </w:rPr>
        <w:t xml:space="preserve"> relative to the baseline. </w:t>
      </w:r>
      <w:r w:rsidR="00CB7AC4" w:rsidRPr="005D2D60">
        <w:rPr>
          <w:noProof/>
          <w:spacing w:val="-8"/>
        </w:rPr>
        <w:t>T</w:t>
      </w:r>
      <w:r w:rsidRPr="005D2D60">
        <w:rPr>
          <w:noProof/>
          <w:spacing w:val="-8"/>
        </w:rPr>
        <w:t xml:space="preserve">he output is </w:t>
      </w:r>
      <w:r w:rsidR="00EF1BB5" w:rsidRPr="005D2D60">
        <w:rPr>
          <w:noProof/>
          <w:spacing w:val="-8"/>
        </w:rPr>
        <w:t>also</w:t>
      </w:r>
      <w:r w:rsidRPr="005D2D60">
        <w:rPr>
          <w:noProof/>
          <w:spacing w:val="-8"/>
        </w:rPr>
        <w:t xml:space="preserve"> expressed in terms of main mode of transport, </w:t>
      </w:r>
      <w:r w:rsidR="002837CF" w:rsidRPr="005D2D60">
        <w:rPr>
          <w:noProof/>
          <w:spacing w:val="-8"/>
        </w:rPr>
        <w:t>meaning</w:t>
      </w:r>
      <w:r w:rsidRPr="005D2D60">
        <w:rPr>
          <w:noProof/>
          <w:spacing w:val="-8"/>
        </w:rPr>
        <w:t xml:space="preserve"> associated with the mode used for the longest part of the trip</w:t>
      </w:r>
      <w:r w:rsidR="002837CF" w:rsidRPr="005D2D60">
        <w:rPr>
          <w:noProof/>
          <w:spacing w:val="-8"/>
        </w:rPr>
        <w:t>.</w:t>
      </w:r>
    </w:p>
    <w:p w14:paraId="54E7B6FE" w14:textId="50144EE8" w:rsidR="00153AF5" w:rsidRPr="00153AF5" w:rsidRDefault="00FE28EC" w:rsidP="005C2D27">
      <w:pPr>
        <w:spacing w:after="240"/>
        <w:jc w:val="both"/>
        <w:rPr>
          <w:i/>
          <w:iCs/>
          <w:noProof/>
        </w:rPr>
      </w:pPr>
      <w:r w:rsidRPr="005D2D60">
        <w:rPr>
          <w:noProof/>
          <w:spacing w:val="-8"/>
        </w:rPr>
        <w:t>More specifically</w:t>
      </w:r>
      <w:r w:rsidR="00F00AB7" w:rsidRPr="005D2D60">
        <w:rPr>
          <w:noProof/>
          <w:spacing w:val="-8"/>
        </w:rPr>
        <w:t>, the</w:t>
      </w:r>
      <w:r w:rsidR="00F00AB7" w:rsidRPr="005D2D60" w:rsidDel="00DE2AF9">
        <w:rPr>
          <w:noProof/>
          <w:spacing w:val="-8"/>
        </w:rPr>
        <w:t xml:space="preserve"> </w:t>
      </w:r>
      <w:r w:rsidR="00DE2AF9" w:rsidRPr="005D2D60">
        <w:rPr>
          <w:noProof/>
          <w:spacing w:val="-8"/>
        </w:rPr>
        <w:t xml:space="preserve">outputs from the interface module </w:t>
      </w:r>
      <w:r w:rsidR="00F00AB7" w:rsidRPr="005D2D60">
        <w:rPr>
          <w:noProof/>
          <w:spacing w:val="-8"/>
        </w:rPr>
        <w:t xml:space="preserve">feed into the </w:t>
      </w:r>
      <w:r w:rsidR="007C0360" w:rsidRPr="005D2D60">
        <w:rPr>
          <w:noProof/>
          <w:spacing w:val="-8"/>
        </w:rPr>
        <w:t>passenger demand module </w:t>
      </w:r>
      <w:r w:rsidR="00DE2AF9" w:rsidRPr="005D2D60">
        <w:rPr>
          <w:noProof/>
          <w:spacing w:val="-8"/>
        </w:rPr>
        <w:t xml:space="preserve">of ASTRA </w:t>
      </w:r>
      <w:r w:rsidR="007C0360" w:rsidRPr="005D2D60">
        <w:rPr>
          <w:noProof/>
          <w:spacing w:val="-8"/>
        </w:rPr>
        <w:t>for each specific geographical domain (regional, national, international). </w:t>
      </w:r>
      <w:r w:rsidR="00E302DB" w:rsidRPr="005D2D60">
        <w:rPr>
          <w:noProof/>
          <w:spacing w:val="-8"/>
        </w:rPr>
        <w:t>C</w:t>
      </w:r>
      <w:r w:rsidR="007C0360" w:rsidRPr="005D2D60">
        <w:rPr>
          <w:noProof/>
          <w:spacing w:val="-8"/>
        </w:rPr>
        <w:t>hanges </w:t>
      </w:r>
      <w:r w:rsidR="00E302DB" w:rsidRPr="005D2D60">
        <w:rPr>
          <w:noProof/>
          <w:spacing w:val="-8"/>
        </w:rPr>
        <w:t>in travel time</w:t>
      </w:r>
      <w:r w:rsidR="00E22D07" w:rsidRPr="005D2D60">
        <w:rPr>
          <w:noProof/>
          <w:spacing w:val="-8"/>
        </w:rPr>
        <w:t xml:space="preserve"> and </w:t>
      </w:r>
      <w:r w:rsidR="005473C4" w:rsidRPr="005D2D60">
        <w:rPr>
          <w:noProof/>
          <w:spacing w:val="-8"/>
        </w:rPr>
        <w:t xml:space="preserve">changes in modal shift </w:t>
      </w:r>
      <w:r w:rsidR="005473C4" w:rsidRPr="00885203">
        <w:rPr>
          <w:noProof/>
          <w:spacing w:val="-8"/>
        </w:rPr>
        <w:t>due to the ability to see all offerings on MDMS platforms and the ability to book all visible travel options on MDMS platforms</w:t>
      </w:r>
      <w:r w:rsidR="005473C4">
        <w:rPr>
          <w:noProof/>
          <w:spacing w:val="-8"/>
        </w:rPr>
        <w:t xml:space="preserve"> are both used as inputs in the ASTRA model. </w:t>
      </w:r>
      <w:r w:rsidR="00EC0A8C" w:rsidRPr="005D2D60">
        <w:rPr>
          <w:noProof/>
          <w:spacing w:val="-8"/>
        </w:rPr>
        <w:t>T</w:t>
      </w:r>
      <w:r w:rsidR="007C0360" w:rsidRPr="005D2D60">
        <w:rPr>
          <w:noProof/>
          <w:spacing w:val="-8"/>
        </w:rPr>
        <w:t>he changes in</w:t>
      </w:r>
      <w:r w:rsidR="00EC0A8C" w:rsidRPr="005D2D60">
        <w:rPr>
          <w:noProof/>
          <w:spacing w:val="-8"/>
        </w:rPr>
        <w:t xml:space="preserve"> transport activity in passenger-kilometres</w:t>
      </w:r>
      <w:r w:rsidR="00326F3E" w:rsidRPr="00497ECB">
        <w:rPr>
          <w:rStyle w:val="FootnoteReference"/>
          <w:noProof/>
          <w:spacing w:val="-8"/>
        </w:rPr>
        <w:footnoteReference w:id="303"/>
      </w:r>
      <w:r w:rsidR="007C0360" w:rsidRPr="005D2D60">
        <w:rPr>
          <w:noProof/>
          <w:spacing w:val="-8"/>
        </w:rPr>
        <w:t> from the interface module are </w:t>
      </w:r>
      <w:r w:rsidR="00C42DE1" w:rsidRPr="005D2D60">
        <w:rPr>
          <w:noProof/>
          <w:spacing w:val="-8"/>
        </w:rPr>
        <w:t xml:space="preserve">also </w:t>
      </w:r>
      <w:r w:rsidR="007C0360" w:rsidRPr="005D2D60">
        <w:rPr>
          <w:noProof/>
          <w:spacing w:val="-8"/>
        </w:rPr>
        <w:t xml:space="preserve">used to consider changes in multimodal trips that, following the ASTRA model approach, have to be aggregated to the main mode. This allows to </w:t>
      </w:r>
      <w:r w:rsidR="00F561A0" w:rsidRPr="005D2D60">
        <w:rPr>
          <w:noProof/>
          <w:spacing w:val="-8"/>
        </w:rPr>
        <w:t xml:space="preserve">derive </w:t>
      </w:r>
      <w:r w:rsidR="007C0360" w:rsidRPr="005D2D60">
        <w:rPr>
          <w:noProof/>
          <w:spacing w:val="-8"/>
        </w:rPr>
        <w:t xml:space="preserve">the passenger-km travelled by mode for the consequent assessment of </w:t>
      </w:r>
      <w:r w:rsidR="00F561A0" w:rsidRPr="005D2D60">
        <w:rPr>
          <w:noProof/>
          <w:spacing w:val="-8"/>
        </w:rPr>
        <w:t>external costs</w:t>
      </w:r>
      <w:r w:rsidR="008B753C">
        <w:rPr>
          <w:rStyle w:val="FootnoteReference"/>
          <w:noProof/>
          <w:spacing w:val="-8"/>
        </w:rPr>
        <w:footnoteReference w:id="304"/>
      </w:r>
      <w:r w:rsidR="007C0360" w:rsidRPr="005D2D60">
        <w:rPr>
          <w:noProof/>
          <w:spacing w:val="-8"/>
        </w:rPr>
        <w:t>. </w:t>
      </w:r>
      <w:r w:rsidR="007C0360" w:rsidRPr="00497ECB">
        <w:rPr>
          <w:noProof/>
          <w:spacing w:val="-8"/>
        </w:rPr>
        <w:t> </w:t>
      </w:r>
    </w:p>
    <w:p w14:paraId="4B6350F7" w14:textId="5F8BB339" w:rsidR="00BC74DC" w:rsidRPr="006A6B7E" w:rsidRDefault="00BC74DC" w:rsidP="007B2D8E">
      <w:pPr>
        <w:pStyle w:val="ListParagraph"/>
        <w:keepNext/>
        <w:widowControl/>
        <w:numPr>
          <w:ilvl w:val="2"/>
          <w:numId w:val="10"/>
        </w:numPr>
        <w:autoSpaceDE/>
        <w:autoSpaceDN/>
        <w:spacing w:after="240"/>
        <w:jc w:val="both"/>
        <w:outlineLvl w:val="2"/>
        <w:rPr>
          <w:i/>
          <w:iCs/>
          <w:noProof/>
          <w:sz w:val="24"/>
          <w:szCs w:val="24"/>
        </w:rPr>
      </w:pPr>
      <w:bookmarkStart w:id="340" w:name="_Toc223980019"/>
      <w:r w:rsidRPr="006A6B7E">
        <w:rPr>
          <w:i/>
          <w:iCs/>
          <w:noProof/>
          <w:sz w:val="24"/>
          <w:szCs w:val="24"/>
        </w:rPr>
        <w:t>Cost-benefit</w:t>
      </w:r>
      <w:r w:rsidR="003E690F" w:rsidRPr="006A6B7E">
        <w:rPr>
          <w:i/>
          <w:iCs/>
          <w:noProof/>
          <w:sz w:val="24"/>
          <w:szCs w:val="24"/>
        </w:rPr>
        <w:t xml:space="preserve"> ana</w:t>
      </w:r>
      <w:r w:rsidR="00311B7E" w:rsidRPr="006A6B7E">
        <w:rPr>
          <w:i/>
          <w:iCs/>
          <w:noProof/>
          <w:sz w:val="24"/>
          <w:szCs w:val="24"/>
        </w:rPr>
        <w:t>lysis (CBA)</w:t>
      </w:r>
      <w:r w:rsidRPr="006A6B7E">
        <w:rPr>
          <w:i/>
          <w:iCs/>
          <w:noProof/>
          <w:sz w:val="24"/>
          <w:szCs w:val="24"/>
        </w:rPr>
        <w:t xml:space="preserve"> module</w:t>
      </w:r>
      <w:bookmarkEnd w:id="339"/>
      <w:bookmarkEnd w:id="340"/>
    </w:p>
    <w:p w14:paraId="2700A74B" w14:textId="5363DF8E" w:rsidR="001C6EC9" w:rsidRPr="00604693" w:rsidRDefault="00604693" w:rsidP="00604693">
      <w:pPr>
        <w:spacing w:after="240"/>
        <w:jc w:val="both"/>
        <w:rPr>
          <w:noProof/>
          <w:spacing w:val="-8"/>
        </w:rPr>
      </w:pPr>
      <w:r w:rsidRPr="00604693">
        <w:rPr>
          <w:noProof/>
          <w:spacing w:val="-8"/>
        </w:rPr>
        <w:t>The Cost Benefit Analysis (CBA) module is used to calculate the costs and/or benefits of policy measures</w:t>
      </w:r>
      <w:r>
        <w:rPr>
          <w:noProof/>
          <w:spacing w:val="-8"/>
        </w:rPr>
        <w:t>, aggregate them into options,</w:t>
      </w:r>
      <w:r w:rsidRPr="00604693">
        <w:rPr>
          <w:noProof/>
          <w:spacing w:val="-8"/>
        </w:rPr>
        <w:t xml:space="preserve"> and compare the costs and benefits of each policy option. The CBA builds on the Standard Cost Model and estimates the cost of each policy option by combining the number of platforms and operators, </w:t>
      </w:r>
      <w:r w:rsidR="00535DEC">
        <w:rPr>
          <w:noProof/>
        </w:rPr>
        <w:t xml:space="preserve">and the number of agreements between MDMS platforms and transport operators, </w:t>
      </w:r>
      <w:r w:rsidRPr="00604693">
        <w:rPr>
          <w:noProof/>
          <w:spacing w:val="-8"/>
        </w:rPr>
        <w:t xml:space="preserve">with cost data. It calculates both the costs by policy measure and by policy option. In addition, the model calculates the monetised impacts of external costs for each policy option relative to the baseline by combining the </w:t>
      </w:r>
      <w:r w:rsidR="00B13C52">
        <w:rPr>
          <w:noProof/>
        </w:rPr>
        <w:t xml:space="preserve">impacts on e.g. CO2 emissions, air pollution emissions, number of lives saved and </w:t>
      </w:r>
      <w:r w:rsidR="00B0183F">
        <w:rPr>
          <w:noProof/>
        </w:rPr>
        <w:t>injuries avoided from the ASTRA model</w:t>
      </w:r>
      <w:r w:rsidRPr="00604693">
        <w:rPr>
          <w:noProof/>
          <w:spacing w:val="-8"/>
        </w:rPr>
        <w:t xml:space="preserve"> with the corresponding unit external cost values</w:t>
      </w:r>
      <w:r w:rsidR="00566515">
        <w:rPr>
          <w:noProof/>
        </w:rPr>
        <w:t xml:space="preserve"> from the 2019 Handbook on the external costs of transport</w:t>
      </w:r>
      <w:r w:rsidR="00566515" w:rsidRPr="00D71008">
        <w:rPr>
          <w:noProof/>
          <w:spacing w:val="-8"/>
          <w:vertAlign w:val="superscript"/>
        </w:rPr>
        <w:footnoteReference w:id="305"/>
      </w:r>
      <w:r w:rsidRPr="00604693">
        <w:rPr>
          <w:noProof/>
          <w:spacing w:val="-8"/>
        </w:rPr>
        <w:t>.</w:t>
      </w:r>
    </w:p>
    <w:p w14:paraId="470EBB02" w14:textId="77777777" w:rsidR="00712390" w:rsidRPr="00FD5A05" w:rsidRDefault="003C4819" w:rsidP="007B2D8E">
      <w:pPr>
        <w:pStyle w:val="Heading2"/>
        <w:numPr>
          <w:ilvl w:val="0"/>
          <w:numId w:val="10"/>
        </w:numPr>
        <w:tabs>
          <w:tab w:val="left" w:pos="426"/>
        </w:tabs>
        <w:spacing w:before="240" w:after="240"/>
        <w:ind w:left="425" w:hanging="425"/>
        <w:rPr>
          <w:smallCaps/>
          <w:noProof/>
        </w:rPr>
      </w:pPr>
      <w:bookmarkStart w:id="341" w:name="1.3_Ad-hoc_tools_developed_for_the_purpo"/>
      <w:bookmarkStart w:id="342" w:name="1.3.1_Service_development_methodology"/>
      <w:bookmarkStart w:id="343" w:name="2_Baseline"/>
      <w:bookmarkStart w:id="344" w:name="_Toc220667534"/>
      <w:bookmarkStart w:id="345" w:name="_Toc222313523"/>
      <w:bookmarkStart w:id="346" w:name="_Toc222749047"/>
      <w:bookmarkStart w:id="347" w:name="_Toc223980020"/>
      <w:bookmarkEnd w:id="341"/>
      <w:bookmarkEnd w:id="342"/>
      <w:bookmarkEnd w:id="343"/>
      <w:r w:rsidRPr="00FD5A05">
        <w:rPr>
          <w:smallCaps/>
          <w:noProof/>
        </w:rPr>
        <w:t>Baseline</w:t>
      </w:r>
      <w:bookmarkEnd w:id="344"/>
      <w:bookmarkEnd w:id="345"/>
      <w:bookmarkEnd w:id="346"/>
      <w:bookmarkEnd w:id="347"/>
    </w:p>
    <w:p w14:paraId="3F812D25" w14:textId="4968F9E2" w:rsidR="00712390" w:rsidRPr="00D71008" w:rsidRDefault="003C4819" w:rsidP="007B2D8E">
      <w:pPr>
        <w:pStyle w:val="Heading2"/>
        <w:numPr>
          <w:ilvl w:val="1"/>
          <w:numId w:val="10"/>
        </w:numPr>
        <w:tabs>
          <w:tab w:val="left" w:pos="426"/>
          <w:tab w:val="left" w:pos="1705"/>
        </w:tabs>
        <w:spacing w:before="0" w:after="240"/>
        <w:ind w:left="1134" w:hanging="708"/>
        <w:rPr>
          <w:noProof/>
        </w:rPr>
      </w:pPr>
      <w:bookmarkStart w:id="348" w:name="2.1_Main_assumptions_of_the_Baseline_sce"/>
      <w:bookmarkStart w:id="349" w:name="_Toc220667535"/>
      <w:bookmarkStart w:id="350" w:name="_Toc222313524"/>
      <w:bookmarkStart w:id="351" w:name="_Toc222749048"/>
      <w:bookmarkStart w:id="352" w:name="_Toc223980021"/>
      <w:bookmarkEnd w:id="348"/>
      <w:r w:rsidRPr="00D71008">
        <w:rPr>
          <w:noProof/>
        </w:rPr>
        <w:t>Main</w:t>
      </w:r>
      <w:r w:rsidRPr="002176D7">
        <w:rPr>
          <w:noProof/>
        </w:rPr>
        <w:t xml:space="preserve"> </w:t>
      </w:r>
      <w:r w:rsidRPr="00D71008">
        <w:rPr>
          <w:noProof/>
        </w:rPr>
        <w:t>assumptions</w:t>
      </w:r>
      <w:r w:rsidRPr="002176D7">
        <w:rPr>
          <w:noProof/>
        </w:rPr>
        <w:t xml:space="preserve"> </w:t>
      </w:r>
      <w:r w:rsidRPr="00D71008">
        <w:rPr>
          <w:noProof/>
        </w:rPr>
        <w:t>of the</w:t>
      </w:r>
      <w:r w:rsidRPr="002176D7">
        <w:rPr>
          <w:noProof/>
        </w:rPr>
        <w:t xml:space="preserve"> </w:t>
      </w:r>
      <w:r w:rsidR="00933166" w:rsidRPr="00D71008">
        <w:rPr>
          <w:noProof/>
        </w:rPr>
        <w:t>b</w:t>
      </w:r>
      <w:r w:rsidRPr="00D71008">
        <w:rPr>
          <w:noProof/>
        </w:rPr>
        <w:t>aseline</w:t>
      </w:r>
      <w:r w:rsidRPr="002176D7">
        <w:rPr>
          <w:noProof/>
        </w:rPr>
        <w:t xml:space="preserve"> scenario</w:t>
      </w:r>
      <w:bookmarkEnd w:id="349"/>
      <w:bookmarkEnd w:id="350"/>
      <w:bookmarkEnd w:id="351"/>
      <w:bookmarkEnd w:id="352"/>
    </w:p>
    <w:p w14:paraId="7B990F7A" w14:textId="58BCF41E" w:rsidR="00CC6C00" w:rsidRDefault="00CC6C00" w:rsidP="005A09E3">
      <w:pPr>
        <w:spacing w:after="240"/>
        <w:jc w:val="both"/>
        <w:rPr>
          <w:noProof/>
          <w:spacing w:val="-8"/>
        </w:rPr>
      </w:pPr>
      <w:r>
        <w:rPr>
          <w:noProof/>
          <w:spacing w:val="-8"/>
        </w:rPr>
        <w:t xml:space="preserve">As explained in section 1 of Annex 4, the baseline scenario for this impact assessment has been developed </w:t>
      </w:r>
      <w:r w:rsidR="008E4A3F">
        <w:rPr>
          <w:noProof/>
          <w:spacing w:val="-8"/>
        </w:rPr>
        <w:t xml:space="preserve">with the PRIMES-TREMOVE model. </w:t>
      </w:r>
      <w:r w:rsidR="008E4A3F" w:rsidRPr="00D71008">
        <w:rPr>
          <w:noProof/>
          <w:spacing w:val="-8"/>
        </w:rPr>
        <w:t>The baseline scenario of the ASTRA model</w:t>
      </w:r>
      <w:r w:rsidR="008E4A3F">
        <w:rPr>
          <w:noProof/>
          <w:spacing w:val="-8"/>
        </w:rPr>
        <w:t>, that is used for assessing the impacts of the policy options,</w:t>
      </w:r>
      <w:r w:rsidR="008E4A3F" w:rsidRPr="00D71008">
        <w:rPr>
          <w:noProof/>
          <w:spacing w:val="-8"/>
        </w:rPr>
        <w:t xml:space="preserve"> has been calibrated on the PRIMES-TREMOVE results. </w:t>
      </w:r>
      <w:r w:rsidR="008E4A3F">
        <w:rPr>
          <w:noProof/>
          <w:spacing w:val="-8"/>
        </w:rPr>
        <w:t xml:space="preserve"> </w:t>
      </w:r>
    </w:p>
    <w:p w14:paraId="50E89C78" w14:textId="398419A3" w:rsidR="005A09E3" w:rsidRDefault="005A09E3" w:rsidP="005A09E3">
      <w:pPr>
        <w:spacing w:after="240"/>
        <w:jc w:val="both"/>
        <w:rPr>
          <w:noProof/>
          <w:spacing w:val="-8"/>
        </w:rPr>
      </w:pPr>
      <w:r w:rsidRPr="005A09E3">
        <w:rPr>
          <w:noProof/>
          <w:spacing w:val="-8"/>
        </w:rPr>
        <w:t xml:space="preserve">The assumptions used for developing baseline scenarios that underpin impact assessments in the energy, transport and climate policy </w:t>
      </w:r>
      <w:r w:rsidR="008C75E3" w:rsidRPr="005A09E3">
        <w:rPr>
          <w:noProof/>
          <w:spacing w:val="-8"/>
        </w:rPr>
        <w:t>areas</w:t>
      </w:r>
      <w:r w:rsidRPr="005A09E3">
        <w:rPr>
          <w:noProof/>
          <w:spacing w:val="-8"/>
        </w:rPr>
        <w:t xml:space="preserve">, are consulted regularly with Member States and other stakeholders in the context of the so-called Reference scenario process. The baseline scenario </w:t>
      </w:r>
      <w:r w:rsidR="007E0C2A" w:rsidRPr="005A09E3">
        <w:rPr>
          <w:noProof/>
          <w:spacing w:val="-8"/>
        </w:rPr>
        <w:t>underpinning</w:t>
      </w:r>
      <w:r w:rsidRPr="005A09E3">
        <w:rPr>
          <w:noProof/>
          <w:spacing w:val="-8"/>
        </w:rPr>
        <w:t xml:space="preserve"> this initiative builds on the work on the EU Reference scenario process 2025, that is currently ongoing. In this context, the PRIMES-TREMOVE model </w:t>
      </w:r>
      <w:r w:rsidR="00880ED3">
        <w:rPr>
          <w:noProof/>
          <w:spacing w:val="-8"/>
        </w:rPr>
        <w:t xml:space="preserve">(and subsequently the ASTRA model) </w:t>
      </w:r>
      <w:r w:rsidRPr="005A09E3">
        <w:rPr>
          <w:noProof/>
          <w:spacing w:val="-8"/>
        </w:rPr>
        <w:t>has been calibrated on the latest available statistics. The macro-economic projections, the energy price projections and the technology assumptions have been consulted with Member States during a meeting of the Reference scenario expert group on 5 June 2024. In addition, bilateral meetings with Member States took place between September 2024 and April 2025 to discuss the national policies to be reflected, based on the updated National Energy and Climate Plans prepared by the Member States under the Regulation 2018/1999 on the Governance of the Energy Union and Climate Action and submitted to the Commission during 2024-2025.</w:t>
      </w:r>
      <w:r w:rsidR="0037760F">
        <w:rPr>
          <w:noProof/>
          <w:spacing w:val="-8"/>
        </w:rPr>
        <w:t xml:space="preserve"> </w:t>
      </w:r>
    </w:p>
    <w:p w14:paraId="41EE9EBA" w14:textId="6E3E3405" w:rsidR="001F1C03" w:rsidRDefault="001F1C03" w:rsidP="005A09E3">
      <w:pPr>
        <w:spacing w:after="240"/>
        <w:jc w:val="both"/>
        <w:rPr>
          <w:noProof/>
          <w:spacing w:val="-8"/>
        </w:rPr>
      </w:pPr>
      <w:r w:rsidRPr="205FD1BA">
        <w:rPr>
          <w:noProof/>
        </w:rPr>
        <w:t>The technology assumptions, that drive the magnitude of the impacts on costs and benefits, are based on a rigorous literature review carried out by E3-Modelling in collaboration with the JRC and building on studies conducted for the Commission and used in previous impact assessments on related topics</w:t>
      </w:r>
      <w:r w:rsidRPr="00D20369">
        <w:rPr>
          <w:rStyle w:val="FootnoteReference"/>
          <w:noProof/>
          <w:spacing w:val="-8"/>
        </w:rPr>
        <w:footnoteReference w:id="306"/>
      </w:r>
      <w:r w:rsidRPr="205FD1BA">
        <w:rPr>
          <w:noProof/>
        </w:rPr>
        <w:t>. Continuing the approach adopted in the long-term strategy in 2018 and for the Reference Scenario 2020, the Commission consulted on the technology assumptions with Member States and stakeholders in 2024</w:t>
      </w:r>
      <w:r w:rsidR="00FF1F93" w:rsidRPr="205FD1BA">
        <w:rPr>
          <w:noProof/>
        </w:rPr>
        <w:t xml:space="preserve">, as further explained </w:t>
      </w:r>
      <w:r w:rsidR="0083698C" w:rsidRPr="205FD1BA">
        <w:rPr>
          <w:noProof/>
        </w:rPr>
        <w:t>in the following sections</w:t>
      </w:r>
      <w:r w:rsidRPr="205FD1BA">
        <w:rPr>
          <w:noProof/>
        </w:rPr>
        <w:t>.</w:t>
      </w:r>
    </w:p>
    <w:p w14:paraId="1EAA7053" w14:textId="7BA383C3" w:rsidR="002E05ED" w:rsidRDefault="00BD12F1" w:rsidP="00194009">
      <w:pPr>
        <w:spacing w:after="240"/>
        <w:jc w:val="both"/>
        <w:rPr>
          <w:noProof/>
          <w:spacing w:val="-8"/>
          <w:lang w:eastAsia="fr-BE"/>
        </w:rPr>
      </w:pPr>
      <w:r w:rsidRPr="00104FF6">
        <w:rPr>
          <w:noProof/>
          <w:spacing w:val="-8"/>
          <w:lang w:eastAsia="fr-BE"/>
        </w:rPr>
        <w:t>The baseline scenario reflects the projected higher energy prices driven by the Russian invasion of Ukraine. Beyond this aspect, it was however not possible to quantify the impact of the Russian invasion of Ukraine, as there is large uncertainty with respect to its impacts, in particular for the medium to long</w:t>
      </w:r>
      <w:r w:rsidR="00D06323">
        <w:rPr>
          <w:noProof/>
          <w:spacing w:val="-8"/>
          <w:lang w:eastAsia="fr-BE"/>
        </w:rPr>
        <w:t>-</w:t>
      </w:r>
      <w:r w:rsidRPr="00104FF6">
        <w:rPr>
          <w:noProof/>
          <w:spacing w:val="-8"/>
          <w:lang w:eastAsia="fr-BE"/>
        </w:rPr>
        <w:t>term. While its impact is felt in terms of trade (e.g., grain, bulk fertilizers and hydrocarbons) and in certain geographical areas, the impact on the baseline of this initiative is expected to be limited.</w:t>
      </w:r>
    </w:p>
    <w:p w14:paraId="2EBDB40D" w14:textId="77777777" w:rsidR="00E95223" w:rsidRPr="00D71008" w:rsidRDefault="00E95223" w:rsidP="00660D62">
      <w:pPr>
        <w:spacing w:after="240"/>
        <w:jc w:val="both"/>
        <w:rPr>
          <w:noProof/>
          <w:spacing w:val="-8"/>
        </w:rPr>
      </w:pPr>
      <w:r w:rsidRPr="00D71008">
        <w:rPr>
          <w:noProof/>
          <w:spacing w:val="-8"/>
        </w:rPr>
        <w:t>The main assumptions related to economic development, international energy prices and technologies are described below.</w:t>
      </w:r>
    </w:p>
    <w:p w14:paraId="5DDA8F81" w14:textId="77777777" w:rsidR="005B595D" w:rsidRPr="00E23226" w:rsidRDefault="005B595D" w:rsidP="007B2D8E">
      <w:pPr>
        <w:pStyle w:val="ListParagraph"/>
        <w:keepNext/>
        <w:widowControl/>
        <w:numPr>
          <w:ilvl w:val="2"/>
          <w:numId w:val="10"/>
        </w:numPr>
        <w:autoSpaceDE/>
        <w:autoSpaceDN/>
        <w:spacing w:after="240"/>
        <w:jc w:val="both"/>
        <w:outlineLvl w:val="2"/>
        <w:rPr>
          <w:i/>
          <w:iCs/>
          <w:noProof/>
          <w:sz w:val="24"/>
          <w:szCs w:val="24"/>
        </w:rPr>
      </w:pPr>
      <w:bookmarkStart w:id="353" w:name="_Toc194586692"/>
      <w:bookmarkStart w:id="354" w:name="_Toc199705689"/>
      <w:bookmarkStart w:id="355" w:name="_Toc199934224"/>
      <w:bookmarkStart w:id="356" w:name="_Toc222313525"/>
      <w:bookmarkStart w:id="357" w:name="_Toc222749049"/>
      <w:bookmarkStart w:id="358" w:name="_Toc223980022"/>
      <w:r w:rsidRPr="00E23226">
        <w:rPr>
          <w:i/>
          <w:iCs/>
          <w:noProof/>
          <w:sz w:val="24"/>
          <w:szCs w:val="24"/>
        </w:rPr>
        <w:t>Economic assumptions</w:t>
      </w:r>
      <w:bookmarkEnd w:id="353"/>
      <w:bookmarkEnd w:id="354"/>
      <w:bookmarkEnd w:id="355"/>
      <w:bookmarkEnd w:id="356"/>
      <w:bookmarkEnd w:id="357"/>
      <w:bookmarkEnd w:id="358"/>
    </w:p>
    <w:p w14:paraId="24C01D22" w14:textId="77777777" w:rsidR="005B595D" w:rsidRPr="00D71008" w:rsidRDefault="005B595D" w:rsidP="007B7A72">
      <w:pPr>
        <w:spacing w:after="240"/>
        <w:jc w:val="both"/>
        <w:rPr>
          <w:noProof/>
          <w:spacing w:val="-8"/>
        </w:rPr>
      </w:pPr>
      <w:r w:rsidRPr="00D71008">
        <w:rPr>
          <w:noProof/>
          <w:spacing w:val="-8"/>
        </w:rPr>
        <w:t xml:space="preserve">The modelling work is based on socio-economic assumptions describing the expected evolution of the European society. Long-term projections on population dynamics and economic activity form part of the input to the model and are used to estimate transport activity, particularly relevant for this impact assessment. </w:t>
      </w:r>
    </w:p>
    <w:p w14:paraId="792A6FF3" w14:textId="05E9BEE8" w:rsidR="005B595D" w:rsidRPr="008A5E76" w:rsidRDefault="005B595D" w:rsidP="007B7A72">
      <w:pPr>
        <w:spacing w:after="240"/>
        <w:jc w:val="both"/>
        <w:rPr>
          <w:noProof/>
          <w:spacing w:val="-8"/>
        </w:rPr>
      </w:pPr>
      <w:r w:rsidRPr="00D71008">
        <w:rPr>
          <w:noProof/>
          <w:spacing w:val="-8"/>
        </w:rPr>
        <w:t>Population projections rely on Eurostat’s long-term projections (EUROPOP2023)</w:t>
      </w:r>
      <w:r w:rsidRPr="00D71008">
        <w:rPr>
          <w:rStyle w:val="FootnoteReference"/>
          <w:noProof/>
          <w:spacing w:val="-8"/>
        </w:rPr>
        <w:footnoteReference w:id="307"/>
      </w:r>
      <w:r w:rsidRPr="00D71008">
        <w:rPr>
          <w:noProof/>
          <w:spacing w:val="-8"/>
        </w:rPr>
        <w:t xml:space="preserve">. The EU population is projected to remain broadly stable over the projection period to 2050. However, there is a noticeable trend towards the ageing of the population, with a 10% decline in the working-age population aged 20 to 64 between </w:t>
      </w:r>
      <w:r w:rsidRPr="008A5E76">
        <w:rPr>
          <w:noProof/>
          <w:spacing w:val="-8"/>
        </w:rPr>
        <w:t>2025 and 2050 and an increase in the old-age dependency ratio from 38% to 55.2% (</w:t>
      </w:r>
      <w:r w:rsidR="00785F60" w:rsidRPr="008A5E76">
        <w:rPr>
          <w:noProof/>
          <w:spacing w:val="-8"/>
        </w:rPr>
        <w:fldChar w:fldCharType="begin"/>
      </w:r>
      <w:r w:rsidR="00785F60" w:rsidRPr="008A5E76">
        <w:rPr>
          <w:noProof/>
          <w:spacing w:val="-8"/>
        </w:rPr>
        <w:instrText xml:space="preserve"> REF _Ref139286974 \h  \* MERGEFORMAT </w:instrText>
      </w:r>
      <w:r w:rsidR="00785F60" w:rsidRPr="008A5E76">
        <w:rPr>
          <w:noProof/>
          <w:spacing w:val="-8"/>
        </w:rPr>
      </w:r>
      <w:r w:rsidR="00785F60" w:rsidRPr="008A5E76">
        <w:rPr>
          <w:noProof/>
          <w:spacing w:val="-8"/>
        </w:rPr>
        <w:fldChar w:fldCharType="separate"/>
      </w:r>
      <w:r>
        <w:rPr>
          <w:noProof/>
        </w:rPr>
        <w:t>Figure 13</w:t>
      </w:r>
      <w:r w:rsidR="00785F60" w:rsidRPr="008A5E76">
        <w:rPr>
          <w:noProof/>
          <w:spacing w:val="-8"/>
        </w:rPr>
        <w:fldChar w:fldCharType="end"/>
      </w:r>
      <w:r w:rsidRPr="008A5E76">
        <w:rPr>
          <w:noProof/>
          <w:spacing w:val="-8"/>
        </w:rPr>
        <w:t>).</w:t>
      </w:r>
    </w:p>
    <w:p w14:paraId="6C15ABDE" w14:textId="328D4130" w:rsidR="005B595D" w:rsidRPr="002F7BE3" w:rsidRDefault="005B595D" w:rsidP="005B595D">
      <w:pPr>
        <w:tabs>
          <w:tab w:val="left" w:pos="1134"/>
        </w:tabs>
        <w:rPr>
          <w:i/>
          <w:noProof/>
          <w:sz w:val="22"/>
          <w:szCs w:val="22"/>
        </w:rPr>
      </w:pPr>
      <w:bookmarkStart w:id="359" w:name="_Ref139286974"/>
      <w:bookmarkStart w:id="360" w:name="_Toc152663188"/>
      <w:bookmarkStart w:id="361" w:name="_Toc157676705"/>
      <w:r w:rsidRPr="002F7BE3">
        <w:rPr>
          <w:i/>
          <w:noProof/>
          <w:sz w:val="22"/>
          <w:szCs w:val="22"/>
        </w:rPr>
        <w:t xml:space="preserve">Figure </w:t>
      </w:r>
      <w:r w:rsidR="00980256">
        <w:rPr>
          <w:i/>
          <w:noProof/>
          <w:sz w:val="22"/>
          <w:szCs w:val="22"/>
        </w:rPr>
        <w:fldChar w:fldCharType="begin"/>
      </w:r>
      <w:r w:rsidR="00980256">
        <w:rPr>
          <w:i/>
          <w:noProof/>
          <w:sz w:val="22"/>
          <w:szCs w:val="22"/>
        </w:rPr>
        <w:instrText xml:space="preserve"> SEQ Figure \* ARABIC </w:instrText>
      </w:r>
      <w:r w:rsidR="00980256">
        <w:rPr>
          <w:i/>
          <w:noProof/>
          <w:sz w:val="22"/>
          <w:szCs w:val="22"/>
        </w:rPr>
        <w:fldChar w:fldCharType="separate"/>
      </w:r>
      <w:r w:rsidR="0055391F">
        <w:rPr>
          <w:i/>
          <w:noProof/>
          <w:sz w:val="22"/>
          <w:szCs w:val="22"/>
        </w:rPr>
        <w:t>13</w:t>
      </w:r>
      <w:r w:rsidR="00980256">
        <w:rPr>
          <w:i/>
          <w:noProof/>
          <w:sz w:val="22"/>
          <w:szCs w:val="22"/>
        </w:rPr>
        <w:fldChar w:fldCharType="end"/>
      </w:r>
      <w:bookmarkEnd w:id="359"/>
      <w:r w:rsidRPr="002F7BE3">
        <w:rPr>
          <w:i/>
          <w:noProof/>
          <w:sz w:val="22"/>
          <w:szCs w:val="22"/>
        </w:rPr>
        <w:t>: Population assumptions</w:t>
      </w:r>
      <w:bookmarkEnd w:id="360"/>
      <w:bookmarkEnd w:id="361"/>
    </w:p>
    <w:p w14:paraId="166F67C0" w14:textId="77777777" w:rsidR="005B595D" w:rsidRPr="00D71008" w:rsidRDefault="005B595D" w:rsidP="005B595D">
      <w:pPr>
        <w:keepNext/>
        <w:keepLines/>
        <w:jc w:val="center"/>
        <w:rPr>
          <w:rFonts w:ascii="Roboto" w:hAnsi="Roboto"/>
          <w:i/>
          <w:noProof/>
        </w:rPr>
      </w:pPr>
      <w:r w:rsidRPr="00D71008">
        <w:rPr>
          <w:noProof/>
          <w:lang w:val="en-GB" w:eastAsia="en-GB"/>
        </w:rPr>
        <w:drawing>
          <wp:inline distT="0" distB="0" distL="0" distR="0" wp14:anchorId="00AD4480" wp14:editId="1229887E">
            <wp:extent cx="5400675" cy="2876550"/>
            <wp:effectExtent l="0" t="0" r="9525" b="0"/>
            <wp:docPr id="11135854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400675" cy="2876550"/>
                    </a:xfrm>
                    <a:prstGeom prst="rect">
                      <a:avLst/>
                    </a:prstGeom>
                    <a:noFill/>
                    <a:ln>
                      <a:noFill/>
                    </a:ln>
                  </pic:spPr>
                </pic:pic>
              </a:graphicData>
            </a:graphic>
          </wp:inline>
        </w:drawing>
      </w:r>
    </w:p>
    <w:p w14:paraId="4AEBED37" w14:textId="77777777" w:rsidR="005B595D" w:rsidRPr="00D71008" w:rsidRDefault="005B595D" w:rsidP="005B595D">
      <w:pPr>
        <w:pStyle w:val="CT-SOURCE"/>
        <w:jc w:val="left"/>
        <w:rPr>
          <w:rFonts w:ascii="Times New Roman" w:hAnsi="Times New Roman" w:cs="Times New Roman"/>
          <w:i w:val="0"/>
          <w:noProof/>
          <w:sz w:val="20"/>
          <w:szCs w:val="20"/>
        </w:rPr>
      </w:pPr>
      <w:r w:rsidRPr="00D71008">
        <w:rPr>
          <w:rFonts w:ascii="Times New Roman" w:hAnsi="Times New Roman" w:cs="Times New Roman"/>
          <w:noProof/>
          <w:sz w:val="20"/>
          <w:szCs w:val="20"/>
        </w:rPr>
        <w:t>Source: Eurostat</w:t>
      </w:r>
    </w:p>
    <w:p w14:paraId="57F84739" w14:textId="4F6CBD11" w:rsidR="005B595D" w:rsidRPr="00D71008" w:rsidRDefault="005B595D" w:rsidP="007B7A72">
      <w:pPr>
        <w:spacing w:after="240"/>
        <w:jc w:val="both"/>
        <w:rPr>
          <w:noProof/>
          <w:spacing w:val="-8"/>
        </w:rPr>
      </w:pPr>
      <w:r w:rsidRPr="00D71008">
        <w:rPr>
          <w:noProof/>
          <w:spacing w:val="-8"/>
        </w:rPr>
        <w:t>Economic projections have taken place in an unusually unstable context in the past few years, as the EU and world economies were hit first by the COVID pandemic and second by Russia’s war of aggression against Ukraine, with the ensuing sharp increase in international energy prices. The GDP projections for 2025 rely on the Spring Forecast</w:t>
      </w:r>
      <w:r w:rsidRPr="00D71008">
        <w:rPr>
          <w:rStyle w:val="FootnoteReference"/>
          <w:noProof/>
          <w:spacing w:val="-8"/>
        </w:rPr>
        <w:footnoteReference w:id="308"/>
      </w:r>
      <w:r w:rsidRPr="00D71008">
        <w:rPr>
          <w:noProof/>
          <w:spacing w:val="-8"/>
        </w:rPr>
        <w:t xml:space="preserve"> of the Directorate General for Economic and Financial Affairs (DG ECFIN). From 2025 onwards, the GDP growth projections converge to those prepared by DG ECFIN for the 2024 Ageing Report</w:t>
      </w:r>
      <w:r w:rsidRPr="00D71008">
        <w:rPr>
          <w:rStyle w:val="FootnoteReference"/>
          <w:noProof/>
          <w:spacing w:val="-8"/>
        </w:rPr>
        <w:footnoteReference w:id="309"/>
      </w:r>
      <w:r w:rsidRPr="00D71008">
        <w:rPr>
          <w:noProof/>
          <w:spacing w:val="-8"/>
        </w:rPr>
        <w:t>. At EU level, real GDP is projected to be 23% higher in 2030 than in 2015, 39% higher in 2040, and 60% higher in 2050 compared to 2015.</w:t>
      </w:r>
    </w:p>
    <w:p w14:paraId="3ABBD509" w14:textId="77777777" w:rsidR="005B595D" w:rsidRPr="00D71008" w:rsidRDefault="005B595D" w:rsidP="007B7A72">
      <w:pPr>
        <w:spacing w:after="240"/>
        <w:jc w:val="both"/>
        <w:rPr>
          <w:noProof/>
          <w:spacing w:val="-8"/>
        </w:rPr>
      </w:pPr>
      <w:r w:rsidRPr="00D71008">
        <w:rPr>
          <w:noProof/>
          <w:spacing w:val="-8"/>
        </w:rPr>
        <w:t>Projections on the sectoral composition of GDP were prepared using the GEM-E3 computable general economic model. It is projected that the EU economy will continue to become increasingly services-oriented, with the sector’s share rising from close to 74% of total gross value added (GVA) in 2016-2020 to around 75% in 2040 and 76% in 2050. While the share of the transport sector in total GVA declined during the COVID pandemic, the projections assume that this was only a temporary phenomenon, and that the sector’s share remains broadly constant at close to 5% of the total. This is consistent with recent economic developments.</w:t>
      </w:r>
    </w:p>
    <w:p w14:paraId="76A99910" w14:textId="02BE856A" w:rsidR="005B595D" w:rsidRPr="00B74B84" w:rsidRDefault="005B595D" w:rsidP="005B595D">
      <w:pPr>
        <w:keepNext/>
        <w:tabs>
          <w:tab w:val="left" w:pos="1134"/>
        </w:tabs>
        <w:rPr>
          <w:i/>
          <w:noProof/>
          <w:sz w:val="22"/>
          <w:szCs w:val="22"/>
        </w:rPr>
      </w:pPr>
      <w:bookmarkStart w:id="362" w:name="_Ref139288915"/>
      <w:bookmarkStart w:id="363" w:name="_Toc152663189"/>
      <w:bookmarkStart w:id="364" w:name="_Toc157676706"/>
      <w:r w:rsidRPr="00B74B84">
        <w:rPr>
          <w:i/>
          <w:noProof/>
          <w:sz w:val="22"/>
          <w:szCs w:val="22"/>
        </w:rPr>
        <w:t xml:space="preserve">Figure </w:t>
      </w:r>
      <w:r w:rsidR="00980256">
        <w:rPr>
          <w:i/>
          <w:noProof/>
          <w:sz w:val="22"/>
          <w:szCs w:val="22"/>
        </w:rPr>
        <w:fldChar w:fldCharType="begin"/>
      </w:r>
      <w:r w:rsidR="00980256">
        <w:rPr>
          <w:i/>
          <w:noProof/>
          <w:sz w:val="22"/>
          <w:szCs w:val="22"/>
        </w:rPr>
        <w:instrText xml:space="preserve"> SEQ Figure \* ARABIC </w:instrText>
      </w:r>
      <w:r w:rsidR="00980256">
        <w:rPr>
          <w:i/>
          <w:noProof/>
          <w:sz w:val="22"/>
          <w:szCs w:val="22"/>
        </w:rPr>
        <w:fldChar w:fldCharType="separate"/>
      </w:r>
      <w:r w:rsidR="0055391F">
        <w:rPr>
          <w:i/>
          <w:noProof/>
          <w:sz w:val="22"/>
          <w:szCs w:val="22"/>
        </w:rPr>
        <w:t>14</w:t>
      </w:r>
      <w:r w:rsidR="00980256">
        <w:rPr>
          <w:i/>
          <w:noProof/>
          <w:sz w:val="22"/>
          <w:szCs w:val="22"/>
        </w:rPr>
        <w:fldChar w:fldCharType="end"/>
      </w:r>
      <w:bookmarkEnd w:id="362"/>
      <w:r w:rsidRPr="00B74B84">
        <w:rPr>
          <w:i/>
          <w:noProof/>
          <w:sz w:val="22"/>
          <w:szCs w:val="22"/>
        </w:rPr>
        <w:t>: EU GDP (2015 = 100) and GDP growth (%)</w:t>
      </w:r>
      <w:bookmarkEnd w:id="363"/>
      <w:bookmarkEnd w:id="364"/>
    </w:p>
    <w:p w14:paraId="6361EC54" w14:textId="77777777" w:rsidR="005B595D" w:rsidRPr="00D71008" w:rsidRDefault="005B595D" w:rsidP="005B595D">
      <w:pPr>
        <w:pStyle w:val="CT-SOURCE"/>
        <w:spacing w:after="0"/>
        <w:jc w:val="center"/>
        <w:rPr>
          <w:rFonts w:ascii="Times New Roman" w:hAnsi="Times New Roman" w:cs="Times New Roman"/>
          <w:noProof/>
          <w:sz w:val="20"/>
          <w:szCs w:val="20"/>
        </w:rPr>
      </w:pPr>
      <w:r w:rsidRPr="00D71008">
        <w:rPr>
          <w:noProof/>
          <w:lang w:val="en-GB" w:eastAsia="en-GB"/>
        </w:rPr>
        <w:drawing>
          <wp:inline distT="0" distB="0" distL="0" distR="0" wp14:anchorId="5E6600C5" wp14:editId="0A387759">
            <wp:extent cx="5038725" cy="2876550"/>
            <wp:effectExtent l="0" t="0" r="9525" b="0"/>
            <wp:docPr id="18780115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038725" cy="2876550"/>
                    </a:xfrm>
                    <a:prstGeom prst="rect">
                      <a:avLst/>
                    </a:prstGeom>
                    <a:noFill/>
                    <a:ln>
                      <a:noFill/>
                    </a:ln>
                  </pic:spPr>
                </pic:pic>
              </a:graphicData>
            </a:graphic>
          </wp:inline>
        </w:drawing>
      </w:r>
    </w:p>
    <w:p w14:paraId="3EB4338C" w14:textId="77777777" w:rsidR="005B595D" w:rsidRPr="00D71008" w:rsidRDefault="005B595D" w:rsidP="005B595D">
      <w:pPr>
        <w:pStyle w:val="CT-SOURCE"/>
        <w:jc w:val="left"/>
        <w:rPr>
          <w:rFonts w:ascii="Times New Roman" w:hAnsi="Times New Roman" w:cs="Times New Roman"/>
          <w:noProof/>
          <w:sz w:val="20"/>
          <w:szCs w:val="20"/>
        </w:rPr>
      </w:pPr>
      <w:r w:rsidRPr="00D71008">
        <w:rPr>
          <w:rFonts w:ascii="Times New Roman" w:hAnsi="Times New Roman" w:cs="Times New Roman"/>
          <w:noProof/>
          <w:sz w:val="20"/>
          <w:szCs w:val="20"/>
        </w:rPr>
        <w:t>Source: DG ECFIN</w:t>
      </w:r>
    </w:p>
    <w:p w14:paraId="222A6451" w14:textId="77777777" w:rsidR="005B595D" w:rsidRPr="00D71008" w:rsidRDefault="005B595D" w:rsidP="007B2D8E">
      <w:pPr>
        <w:pStyle w:val="ListParagraph"/>
        <w:keepNext/>
        <w:widowControl/>
        <w:numPr>
          <w:ilvl w:val="2"/>
          <w:numId w:val="10"/>
        </w:numPr>
        <w:autoSpaceDE/>
        <w:autoSpaceDN/>
        <w:spacing w:after="240"/>
        <w:jc w:val="both"/>
        <w:outlineLvl w:val="2"/>
        <w:rPr>
          <w:i/>
          <w:iCs/>
          <w:noProof/>
          <w:sz w:val="24"/>
          <w:szCs w:val="24"/>
        </w:rPr>
      </w:pPr>
      <w:bookmarkStart w:id="365" w:name="_Toc194586693"/>
      <w:bookmarkStart w:id="366" w:name="_Toc199705690"/>
      <w:bookmarkStart w:id="367" w:name="_Toc199934225"/>
      <w:bookmarkStart w:id="368" w:name="_Toc222313526"/>
      <w:bookmarkStart w:id="369" w:name="_Toc222749050"/>
      <w:bookmarkStart w:id="370" w:name="_Toc223980023"/>
      <w:r w:rsidRPr="00D71008">
        <w:rPr>
          <w:i/>
          <w:iCs/>
          <w:noProof/>
          <w:sz w:val="24"/>
          <w:szCs w:val="24"/>
        </w:rPr>
        <w:t>International energy prices assumptions</w:t>
      </w:r>
      <w:bookmarkEnd w:id="365"/>
      <w:bookmarkEnd w:id="366"/>
      <w:bookmarkEnd w:id="367"/>
      <w:bookmarkEnd w:id="368"/>
      <w:bookmarkEnd w:id="369"/>
      <w:bookmarkEnd w:id="370"/>
      <w:r w:rsidRPr="00D71008">
        <w:rPr>
          <w:i/>
          <w:iCs/>
          <w:noProof/>
          <w:sz w:val="24"/>
          <w:szCs w:val="24"/>
        </w:rPr>
        <w:t xml:space="preserve"> </w:t>
      </w:r>
    </w:p>
    <w:p w14:paraId="4F5744D3" w14:textId="77777777" w:rsidR="005B595D" w:rsidRPr="00D71008" w:rsidRDefault="005B595D" w:rsidP="0073046F">
      <w:pPr>
        <w:spacing w:after="240"/>
        <w:rPr>
          <w:noProof/>
          <w:spacing w:val="-8"/>
        </w:rPr>
      </w:pPr>
      <w:r w:rsidRPr="00D71008">
        <w:rPr>
          <w:noProof/>
          <w:spacing w:val="-8"/>
        </w:rPr>
        <w:t xml:space="preserve">Alongside socio-economic projections, transport modelling requires projections of international fuel prices. The table below shows the oil prices assumptions of the baseline used in this impact assessment. </w:t>
      </w:r>
    </w:p>
    <w:p w14:paraId="61F844D7" w14:textId="6A79178B" w:rsidR="005B595D" w:rsidRPr="00BB05EB" w:rsidRDefault="005B595D" w:rsidP="005B595D">
      <w:pPr>
        <w:tabs>
          <w:tab w:val="left" w:pos="1134"/>
        </w:tabs>
        <w:rPr>
          <w:i/>
          <w:noProof/>
          <w:sz w:val="22"/>
          <w:szCs w:val="22"/>
        </w:rPr>
      </w:pPr>
      <w:r w:rsidRPr="00BB05EB">
        <w:rPr>
          <w:i/>
          <w:noProof/>
          <w:sz w:val="22"/>
          <w:szCs w:val="22"/>
        </w:rPr>
        <w:t xml:space="preserve">Table </w:t>
      </w:r>
      <w:r w:rsidRPr="00BB05EB">
        <w:rPr>
          <w:i/>
          <w:noProof/>
          <w:sz w:val="22"/>
          <w:szCs w:val="22"/>
        </w:rPr>
        <w:fldChar w:fldCharType="begin"/>
      </w:r>
      <w:r w:rsidRPr="00BB05EB">
        <w:rPr>
          <w:i/>
          <w:noProof/>
          <w:sz w:val="22"/>
          <w:szCs w:val="22"/>
        </w:rPr>
        <w:instrText xml:space="preserve"> SEQ Table \* ARABIC </w:instrText>
      </w:r>
      <w:r w:rsidRPr="00BB05EB">
        <w:rPr>
          <w:i/>
          <w:noProof/>
          <w:sz w:val="22"/>
          <w:szCs w:val="22"/>
        </w:rPr>
        <w:fldChar w:fldCharType="separate"/>
      </w:r>
      <w:r w:rsidR="0055391F">
        <w:rPr>
          <w:i/>
          <w:noProof/>
          <w:sz w:val="22"/>
          <w:szCs w:val="22"/>
        </w:rPr>
        <w:t>48</w:t>
      </w:r>
      <w:r w:rsidRPr="00BB05EB">
        <w:rPr>
          <w:i/>
          <w:noProof/>
          <w:sz w:val="22"/>
          <w:szCs w:val="22"/>
        </w:rPr>
        <w:fldChar w:fldCharType="end"/>
      </w:r>
      <w:r w:rsidRPr="00BB05EB">
        <w:rPr>
          <w:i/>
          <w:noProof/>
          <w:sz w:val="22"/>
          <w:szCs w:val="22"/>
        </w:rPr>
        <w:t xml:space="preserve">: Oil prices assumptions </w:t>
      </w:r>
    </w:p>
    <w:tbl>
      <w:tblPr>
        <w:tblW w:w="5000" w:type="pct"/>
        <w:tblCellMar>
          <w:left w:w="0" w:type="dxa"/>
          <w:right w:w="0" w:type="dxa"/>
        </w:tblCellMar>
        <w:tblLook w:val="04A0" w:firstRow="1" w:lastRow="0" w:firstColumn="1" w:lastColumn="0" w:noHBand="0" w:noVBand="1"/>
      </w:tblPr>
      <w:tblGrid>
        <w:gridCol w:w="2176"/>
        <w:gridCol w:w="1485"/>
        <w:gridCol w:w="1483"/>
        <w:gridCol w:w="1483"/>
        <w:gridCol w:w="1483"/>
        <w:gridCol w:w="1483"/>
      </w:tblGrid>
      <w:tr w:rsidR="005B595D" w:rsidRPr="00D71008" w14:paraId="30F01DB2" w14:textId="77777777" w:rsidTr="00881C40">
        <w:trPr>
          <w:trHeight w:val="284"/>
        </w:trPr>
        <w:tc>
          <w:tcPr>
            <w:tcW w:w="1134" w:type="pct"/>
            <w:tcBorders>
              <w:top w:val="single" w:sz="8" w:space="0" w:color="auto"/>
              <w:left w:val="single" w:sz="8" w:space="0" w:color="auto"/>
              <w:bottom w:val="single" w:sz="8" w:space="0" w:color="auto"/>
              <w:right w:val="single" w:sz="8" w:space="0" w:color="auto"/>
            </w:tcBorders>
            <w:shd w:val="clear" w:color="000000" w:fill="0070C0"/>
            <w:noWrap/>
            <w:vAlign w:val="center"/>
            <w:hideMark/>
          </w:tcPr>
          <w:p w14:paraId="0C75E56B" w14:textId="77777777" w:rsidR="005B595D" w:rsidRPr="00D71008" w:rsidRDefault="005B595D" w:rsidP="00881C40">
            <w:pPr>
              <w:rPr>
                <w:b/>
                <w:noProof/>
                <w:color w:val="FFFFFF"/>
                <w:sz w:val="20"/>
                <w:szCs w:val="20"/>
              </w:rPr>
            </w:pPr>
            <w:r w:rsidRPr="00D71008">
              <w:rPr>
                <w:b/>
                <w:noProof/>
                <w:color w:val="FFFFFF"/>
                <w:sz w:val="20"/>
                <w:szCs w:val="20"/>
              </w:rPr>
              <w:t>Oil</w:t>
            </w:r>
          </w:p>
        </w:tc>
        <w:tc>
          <w:tcPr>
            <w:tcW w:w="774" w:type="pct"/>
            <w:tcBorders>
              <w:top w:val="single" w:sz="8" w:space="0" w:color="auto"/>
              <w:left w:val="nil"/>
              <w:bottom w:val="single" w:sz="8" w:space="0" w:color="auto"/>
              <w:right w:val="single" w:sz="8" w:space="0" w:color="auto"/>
            </w:tcBorders>
            <w:shd w:val="clear" w:color="000000" w:fill="0070C0"/>
            <w:noWrap/>
            <w:vAlign w:val="center"/>
            <w:hideMark/>
          </w:tcPr>
          <w:p w14:paraId="21EEF045" w14:textId="77777777" w:rsidR="005B595D" w:rsidRPr="00D71008" w:rsidRDefault="005B595D" w:rsidP="00881C40">
            <w:pPr>
              <w:jc w:val="center"/>
              <w:rPr>
                <w:b/>
                <w:noProof/>
                <w:color w:val="FFFFFF"/>
                <w:sz w:val="20"/>
                <w:szCs w:val="20"/>
              </w:rPr>
            </w:pPr>
            <w:r w:rsidRPr="00D71008">
              <w:rPr>
                <w:b/>
                <w:noProof/>
                <w:color w:val="FFFFFF"/>
                <w:sz w:val="20"/>
                <w:szCs w:val="20"/>
              </w:rPr>
              <w:t>2015</w:t>
            </w:r>
          </w:p>
        </w:tc>
        <w:tc>
          <w:tcPr>
            <w:tcW w:w="773" w:type="pct"/>
            <w:tcBorders>
              <w:top w:val="single" w:sz="8" w:space="0" w:color="auto"/>
              <w:left w:val="nil"/>
              <w:bottom w:val="single" w:sz="8" w:space="0" w:color="auto"/>
              <w:right w:val="single" w:sz="8" w:space="0" w:color="auto"/>
            </w:tcBorders>
            <w:shd w:val="clear" w:color="000000" w:fill="0070C0"/>
            <w:noWrap/>
            <w:vAlign w:val="center"/>
            <w:hideMark/>
          </w:tcPr>
          <w:p w14:paraId="66845BF5" w14:textId="77777777" w:rsidR="005B595D" w:rsidRPr="00D71008" w:rsidRDefault="005B595D" w:rsidP="00881C40">
            <w:pPr>
              <w:jc w:val="center"/>
              <w:rPr>
                <w:b/>
                <w:noProof/>
                <w:color w:val="FFFFFF"/>
                <w:sz w:val="20"/>
                <w:szCs w:val="20"/>
              </w:rPr>
            </w:pPr>
            <w:r w:rsidRPr="00D71008">
              <w:rPr>
                <w:b/>
                <w:noProof/>
                <w:color w:val="FFFFFF"/>
                <w:sz w:val="20"/>
                <w:szCs w:val="20"/>
              </w:rPr>
              <w:t>2020</w:t>
            </w:r>
          </w:p>
        </w:tc>
        <w:tc>
          <w:tcPr>
            <w:tcW w:w="773" w:type="pct"/>
            <w:tcBorders>
              <w:top w:val="single" w:sz="8" w:space="0" w:color="auto"/>
              <w:left w:val="nil"/>
              <w:bottom w:val="single" w:sz="8" w:space="0" w:color="auto"/>
              <w:right w:val="single" w:sz="8" w:space="0" w:color="auto"/>
            </w:tcBorders>
            <w:shd w:val="clear" w:color="000000" w:fill="0070C0"/>
            <w:noWrap/>
            <w:vAlign w:val="center"/>
            <w:hideMark/>
          </w:tcPr>
          <w:p w14:paraId="7EC8BE7C" w14:textId="77777777" w:rsidR="005B595D" w:rsidRPr="00D71008" w:rsidRDefault="005B595D" w:rsidP="00881C40">
            <w:pPr>
              <w:jc w:val="center"/>
              <w:rPr>
                <w:b/>
                <w:noProof/>
                <w:color w:val="FFFFFF"/>
                <w:sz w:val="20"/>
                <w:szCs w:val="20"/>
              </w:rPr>
            </w:pPr>
            <w:r w:rsidRPr="00D71008">
              <w:rPr>
                <w:b/>
                <w:noProof/>
                <w:color w:val="FFFFFF"/>
                <w:sz w:val="20"/>
                <w:szCs w:val="20"/>
              </w:rPr>
              <w:t>2030</w:t>
            </w:r>
          </w:p>
        </w:tc>
        <w:tc>
          <w:tcPr>
            <w:tcW w:w="773" w:type="pct"/>
            <w:tcBorders>
              <w:top w:val="single" w:sz="8" w:space="0" w:color="auto"/>
              <w:left w:val="nil"/>
              <w:bottom w:val="single" w:sz="8" w:space="0" w:color="auto"/>
              <w:right w:val="single" w:sz="8" w:space="0" w:color="auto"/>
            </w:tcBorders>
            <w:shd w:val="clear" w:color="000000" w:fill="0070C0"/>
            <w:noWrap/>
            <w:vAlign w:val="center"/>
            <w:hideMark/>
          </w:tcPr>
          <w:p w14:paraId="76409E3E" w14:textId="77777777" w:rsidR="005B595D" w:rsidRPr="00D71008" w:rsidRDefault="005B595D" w:rsidP="00881C40">
            <w:pPr>
              <w:jc w:val="center"/>
              <w:rPr>
                <w:b/>
                <w:noProof/>
                <w:color w:val="FFFFFF"/>
                <w:sz w:val="20"/>
                <w:szCs w:val="20"/>
              </w:rPr>
            </w:pPr>
            <w:r w:rsidRPr="00D71008">
              <w:rPr>
                <w:b/>
                <w:noProof/>
                <w:color w:val="FFFFFF"/>
                <w:sz w:val="20"/>
                <w:szCs w:val="20"/>
              </w:rPr>
              <w:t>2040</w:t>
            </w:r>
          </w:p>
        </w:tc>
        <w:tc>
          <w:tcPr>
            <w:tcW w:w="773" w:type="pct"/>
            <w:tcBorders>
              <w:top w:val="single" w:sz="8" w:space="0" w:color="auto"/>
              <w:left w:val="nil"/>
              <w:bottom w:val="single" w:sz="8" w:space="0" w:color="auto"/>
              <w:right w:val="single" w:sz="8" w:space="0" w:color="auto"/>
            </w:tcBorders>
            <w:shd w:val="clear" w:color="000000" w:fill="0070C0"/>
            <w:noWrap/>
            <w:vAlign w:val="center"/>
            <w:hideMark/>
          </w:tcPr>
          <w:p w14:paraId="2803B2D3" w14:textId="77777777" w:rsidR="005B595D" w:rsidRPr="00D71008" w:rsidRDefault="005B595D" w:rsidP="00881C40">
            <w:pPr>
              <w:jc w:val="center"/>
              <w:rPr>
                <w:b/>
                <w:noProof/>
                <w:color w:val="FFFFFF"/>
                <w:sz w:val="20"/>
                <w:szCs w:val="20"/>
              </w:rPr>
            </w:pPr>
            <w:r w:rsidRPr="00D71008">
              <w:rPr>
                <w:b/>
                <w:noProof/>
                <w:color w:val="FFFFFF"/>
                <w:sz w:val="20"/>
                <w:szCs w:val="20"/>
              </w:rPr>
              <w:t>2050</w:t>
            </w:r>
          </w:p>
        </w:tc>
      </w:tr>
      <w:tr w:rsidR="005B595D" w:rsidRPr="00D71008" w14:paraId="215CA8AA" w14:textId="77777777" w:rsidTr="00881C40">
        <w:trPr>
          <w:trHeight w:val="284"/>
        </w:trPr>
        <w:tc>
          <w:tcPr>
            <w:tcW w:w="1134" w:type="pct"/>
            <w:tcBorders>
              <w:top w:val="nil"/>
              <w:left w:val="single" w:sz="8" w:space="0" w:color="auto"/>
              <w:bottom w:val="single" w:sz="8" w:space="0" w:color="auto"/>
              <w:right w:val="single" w:sz="8" w:space="0" w:color="auto"/>
            </w:tcBorders>
            <w:shd w:val="clear" w:color="000000" w:fill="FFFFFF"/>
            <w:noWrap/>
            <w:vAlign w:val="center"/>
            <w:hideMark/>
          </w:tcPr>
          <w:p w14:paraId="06B015BA" w14:textId="77777777" w:rsidR="005B595D" w:rsidRPr="00D71008" w:rsidRDefault="005B595D" w:rsidP="00881C40">
            <w:pPr>
              <w:rPr>
                <w:noProof/>
                <w:color w:val="000000"/>
                <w:sz w:val="20"/>
                <w:szCs w:val="20"/>
              </w:rPr>
            </w:pPr>
            <w:r w:rsidRPr="00D71008">
              <w:rPr>
                <w:noProof/>
                <w:color w:val="000000"/>
                <w:sz w:val="20"/>
                <w:szCs w:val="20"/>
              </w:rPr>
              <w:t>in $'2023 per boe</w:t>
            </w:r>
          </w:p>
        </w:tc>
        <w:tc>
          <w:tcPr>
            <w:tcW w:w="774" w:type="pct"/>
            <w:tcBorders>
              <w:top w:val="nil"/>
              <w:left w:val="nil"/>
              <w:bottom w:val="single" w:sz="8" w:space="0" w:color="auto"/>
              <w:right w:val="single" w:sz="8" w:space="0" w:color="auto"/>
            </w:tcBorders>
            <w:shd w:val="clear" w:color="000000" w:fill="FFFFFF"/>
            <w:noWrap/>
            <w:vAlign w:val="center"/>
            <w:hideMark/>
          </w:tcPr>
          <w:p w14:paraId="2C3E2ECD" w14:textId="77777777" w:rsidR="005B595D" w:rsidRPr="00D71008" w:rsidRDefault="005B595D" w:rsidP="00881C40">
            <w:pPr>
              <w:jc w:val="center"/>
              <w:rPr>
                <w:noProof/>
                <w:color w:val="000000"/>
                <w:sz w:val="20"/>
                <w:szCs w:val="20"/>
              </w:rPr>
            </w:pPr>
            <w:r w:rsidRPr="00D71008">
              <w:rPr>
                <w:noProof/>
                <w:color w:val="000000"/>
                <w:sz w:val="20"/>
                <w:szCs w:val="20"/>
              </w:rPr>
              <w:t>62.6</w:t>
            </w:r>
          </w:p>
        </w:tc>
        <w:tc>
          <w:tcPr>
            <w:tcW w:w="773" w:type="pct"/>
            <w:tcBorders>
              <w:top w:val="nil"/>
              <w:left w:val="nil"/>
              <w:bottom w:val="single" w:sz="8" w:space="0" w:color="auto"/>
              <w:right w:val="single" w:sz="8" w:space="0" w:color="auto"/>
            </w:tcBorders>
            <w:shd w:val="clear" w:color="000000" w:fill="FFFFFF"/>
            <w:noWrap/>
            <w:vAlign w:val="center"/>
            <w:hideMark/>
          </w:tcPr>
          <w:p w14:paraId="68964B15" w14:textId="77777777" w:rsidR="005B595D" w:rsidRPr="00D71008" w:rsidRDefault="005B595D" w:rsidP="00881C40">
            <w:pPr>
              <w:jc w:val="center"/>
              <w:rPr>
                <w:noProof/>
                <w:color w:val="000000"/>
                <w:sz w:val="20"/>
                <w:szCs w:val="20"/>
              </w:rPr>
            </w:pPr>
            <w:r w:rsidRPr="00D71008">
              <w:rPr>
                <w:noProof/>
                <w:color w:val="000000"/>
                <w:sz w:val="20"/>
                <w:szCs w:val="20"/>
              </w:rPr>
              <w:t>48.0</w:t>
            </w:r>
          </w:p>
        </w:tc>
        <w:tc>
          <w:tcPr>
            <w:tcW w:w="773" w:type="pct"/>
            <w:tcBorders>
              <w:top w:val="nil"/>
              <w:left w:val="nil"/>
              <w:bottom w:val="single" w:sz="8" w:space="0" w:color="auto"/>
              <w:right w:val="single" w:sz="8" w:space="0" w:color="auto"/>
            </w:tcBorders>
            <w:shd w:val="clear" w:color="000000" w:fill="FFFFFF"/>
            <w:noWrap/>
            <w:vAlign w:val="center"/>
            <w:hideMark/>
          </w:tcPr>
          <w:p w14:paraId="68CB51F2" w14:textId="77777777" w:rsidR="005B595D" w:rsidRPr="00D71008" w:rsidRDefault="005B595D" w:rsidP="00881C40">
            <w:pPr>
              <w:jc w:val="center"/>
              <w:rPr>
                <w:noProof/>
                <w:color w:val="000000"/>
                <w:sz w:val="20"/>
                <w:szCs w:val="20"/>
              </w:rPr>
            </w:pPr>
            <w:r w:rsidRPr="00D71008">
              <w:rPr>
                <w:noProof/>
                <w:color w:val="000000"/>
                <w:sz w:val="20"/>
                <w:szCs w:val="20"/>
              </w:rPr>
              <w:t>92.8</w:t>
            </w:r>
          </w:p>
        </w:tc>
        <w:tc>
          <w:tcPr>
            <w:tcW w:w="773" w:type="pct"/>
            <w:tcBorders>
              <w:top w:val="nil"/>
              <w:left w:val="nil"/>
              <w:bottom w:val="single" w:sz="8" w:space="0" w:color="auto"/>
              <w:right w:val="single" w:sz="8" w:space="0" w:color="auto"/>
            </w:tcBorders>
            <w:shd w:val="clear" w:color="000000" w:fill="FFFFFF"/>
            <w:noWrap/>
            <w:vAlign w:val="center"/>
            <w:hideMark/>
          </w:tcPr>
          <w:p w14:paraId="5B13B1A4" w14:textId="77777777" w:rsidR="005B595D" w:rsidRPr="00D71008" w:rsidRDefault="005B595D" w:rsidP="00881C40">
            <w:pPr>
              <w:jc w:val="center"/>
              <w:rPr>
                <w:noProof/>
                <w:color w:val="000000"/>
                <w:sz w:val="20"/>
                <w:szCs w:val="20"/>
              </w:rPr>
            </w:pPr>
            <w:r w:rsidRPr="00D71008">
              <w:rPr>
                <w:noProof/>
                <w:color w:val="000000"/>
                <w:sz w:val="20"/>
                <w:szCs w:val="20"/>
              </w:rPr>
              <w:t>105.7</w:t>
            </w:r>
          </w:p>
        </w:tc>
        <w:tc>
          <w:tcPr>
            <w:tcW w:w="773" w:type="pct"/>
            <w:tcBorders>
              <w:top w:val="nil"/>
              <w:left w:val="nil"/>
              <w:bottom w:val="single" w:sz="8" w:space="0" w:color="auto"/>
              <w:right w:val="single" w:sz="8" w:space="0" w:color="auto"/>
            </w:tcBorders>
            <w:shd w:val="clear" w:color="000000" w:fill="FFFFFF"/>
            <w:noWrap/>
            <w:vAlign w:val="center"/>
            <w:hideMark/>
          </w:tcPr>
          <w:p w14:paraId="1D92BCAB" w14:textId="77777777" w:rsidR="005B595D" w:rsidRPr="00D71008" w:rsidRDefault="005B595D" w:rsidP="00881C40">
            <w:pPr>
              <w:jc w:val="center"/>
              <w:rPr>
                <w:noProof/>
                <w:color w:val="000000"/>
                <w:sz w:val="20"/>
                <w:szCs w:val="20"/>
              </w:rPr>
            </w:pPr>
            <w:r w:rsidRPr="00D71008">
              <w:rPr>
                <w:noProof/>
                <w:color w:val="000000"/>
                <w:sz w:val="20"/>
                <w:szCs w:val="20"/>
              </w:rPr>
              <w:t>131.6</w:t>
            </w:r>
          </w:p>
        </w:tc>
      </w:tr>
      <w:tr w:rsidR="005B595D" w:rsidRPr="00D71008" w14:paraId="00F3E665" w14:textId="77777777" w:rsidTr="00881C40">
        <w:trPr>
          <w:trHeight w:val="284"/>
        </w:trPr>
        <w:tc>
          <w:tcPr>
            <w:tcW w:w="1134" w:type="pct"/>
            <w:tcBorders>
              <w:top w:val="nil"/>
              <w:left w:val="single" w:sz="8" w:space="0" w:color="auto"/>
              <w:bottom w:val="single" w:sz="8" w:space="0" w:color="auto"/>
              <w:right w:val="single" w:sz="8" w:space="0" w:color="auto"/>
            </w:tcBorders>
            <w:shd w:val="clear" w:color="000000" w:fill="FFFFFF"/>
            <w:noWrap/>
            <w:vAlign w:val="center"/>
            <w:hideMark/>
          </w:tcPr>
          <w:p w14:paraId="7ABF529A" w14:textId="77777777" w:rsidR="005B595D" w:rsidRPr="00D71008" w:rsidRDefault="005B595D" w:rsidP="00881C40">
            <w:pPr>
              <w:rPr>
                <w:noProof/>
                <w:color w:val="000000"/>
                <w:sz w:val="20"/>
                <w:szCs w:val="20"/>
              </w:rPr>
            </w:pPr>
            <w:r w:rsidRPr="00D71008">
              <w:rPr>
                <w:noProof/>
                <w:color w:val="000000"/>
                <w:sz w:val="20"/>
                <w:szCs w:val="20"/>
              </w:rPr>
              <w:t>in €'2023 per boe</w:t>
            </w:r>
          </w:p>
        </w:tc>
        <w:tc>
          <w:tcPr>
            <w:tcW w:w="774" w:type="pct"/>
            <w:tcBorders>
              <w:top w:val="nil"/>
              <w:left w:val="nil"/>
              <w:bottom w:val="single" w:sz="8" w:space="0" w:color="auto"/>
              <w:right w:val="single" w:sz="8" w:space="0" w:color="auto"/>
            </w:tcBorders>
            <w:shd w:val="clear" w:color="000000" w:fill="FFFFFF"/>
            <w:noWrap/>
            <w:vAlign w:val="center"/>
            <w:hideMark/>
          </w:tcPr>
          <w:p w14:paraId="18D0DDC7" w14:textId="77777777" w:rsidR="005B595D" w:rsidRPr="00D71008" w:rsidRDefault="005B595D" w:rsidP="00881C40">
            <w:pPr>
              <w:jc w:val="center"/>
              <w:rPr>
                <w:noProof/>
                <w:color w:val="000000"/>
                <w:sz w:val="20"/>
                <w:szCs w:val="20"/>
              </w:rPr>
            </w:pPr>
            <w:r w:rsidRPr="00D71008">
              <w:rPr>
                <w:noProof/>
                <w:color w:val="000000"/>
                <w:sz w:val="20"/>
                <w:szCs w:val="20"/>
              </w:rPr>
              <w:t>57.5</w:t>
            </w:r>
          </w:p>
        </w:tc>
        <w:tc>
          <w:tcPr>
            <w:tcW w:w="773" w:type="pct"/>
            <w:tcBorders>
              <w:top w:val="nil"/>
              <w:left w:val="nil"/>
              <w:bottom w:val="single" w:sz="8" w:space="0" w:color="auto"/>
              <w:right w:val="single" w:sz="8" w:space="0" w:color="auto"/>
            </w:tcBorders>
            <w:shd w:val="clear" w:color="000000" w:fill="FFFFFF"/>
            <w:noWrap/>
            <w:vAlign w:val="center"/>
            <w:hideMark/>
          </w:tcPr>
          <w:p w14:paraId="1FD8CA46" w14:textId="77777777" w:rsidR="005B595D" w:rsidRPr="00D71008" w:rsidRDefault="005B595D" w:rsidP="00881C40">
            <w:pPr>
              <w:jc w:val="center"/>
              <w:rPr>
                <w:noProof/>
                <w:color w:val="000000"/>
                <w:sz w:val="20"/>
                <w:szCs w:val="20"/>
              </w:rPr>
            </w:pPr>
            <w:r w:rsidRPr="00D71008">
              <w:rPr>
                <w:noProof/>
                <w:color w:val="000000"/>
                <w:sz w:val="20"/>
                <w:szCs w:val="20"/>
              </w:rPr>
              <w:t>44.0</w:t>
            </w:r>
          </w:p>
        </w:tc>
        <w:tc>
          <w:tcPr>
            <w:tcW w:w="773" w:type="pct"/>
            <w:tcBorders>
              <w:top w:val="nil"/>
              <w:left w:val="nil"/>
              <w:bottom w:val="single" w:sz="8" w:space="0" w:color="auto"/>
              <w:right w:val="single" w:sz="8" w:space="0" w:color="auto"/>
            </w:tcBorders>
            <w:shd w:val="clear" w:color="000000" w:fill="FFFFFF"/>
            <w:noWrap/>
            <w:vAlign w:val="center"/>
            <w:hideMark/>
          </w:tcPr>
          <w:p w14:paraId="5AD4B4FF" w14:textId="77777777" w:rsidR="005B595D" w:rsidRPr="00D71008" w:rsidRDefault="005B595D" w:rsidP="00881C40">
            <w:pPr>
              <w:jc w:val="center"/>
              <w:rPr>
                <w:noProof/>
                <w:color w:val="000000"/>
                <w:sz w:val="20"/>
                <w:szCs w:val="20"/>
              </w:rPr>
            </w:pPr>
            <w:r w:rsidRPr="00D71008">
              <w:rPr>
                <w:noProof/>
                <w:color w:val="000000"/>
                <w:sz w:val="20"/>
                <w:szCs w:val="20"/>
              </w:rPr>
              <w:t>85.2</w:t>
            </w:r>
          </w:p>
        </w:tc>
        <w:tc>
          <w:tcPr>
            <w:tcW w:w="773" w:type="pct"/>
            <w:tcBorders>
              <w:top w:val="nil"/>
              <w:left w:val="nil"/>
              <w:bottom w:val="single" w:sz="8" w:space="0" w:color="auto"/>
              <w:right w:val="single" w:sz="8" w:space="0" w:color="auto"/>
            </w:tcBorders>
            <w:shd w:val="clear" w:color="000000" w:fill="FFFFFF"/>
            <w:noWrap/>
            <w:vAlign w:val="center"/>
            <w:hideMark/>
          </w:tcPr>
          <w:p w14:paraId="2D30851C" w14:textId="77777777" w:rsidR="005B595D" w:rsidRPr="00D71008" w:rsidRDefault="005B595D" w:rsidP="00881C40">
            <w:pPr>
              <w:jc w:val="center"/>
              <w:rPr>
                <w:noProof/>
                <w:color w:val="000000"/>
                <w:sz w:val="20"/>
                <w:szCs w:val="20"/>
              </w:rPr>
            </w:pPr>
            <w:r w:rsidRPr="00D71008">
              <w:rPr>
                <w:noProof/>
                <w:color w:val="000000"/>
                <w:sz w:val="20"/>
                <w:szCs w:val="20"/>
              </w:rPr>
              <w:t>97.0</w:t>
            </w:r>
          </w:p>
        </w:tc>
        <w:tc>
          <w:tcPr>
            <w:tcW w:w="773" w:type="pct"/>
            <w:tcBorders>
              <w:top w:val="nil"/>
              <w:left w:val="nil"/>
              <w:bottom w:val="single" w:sz="8" w:space="0" w:color="auto"/>
              <w:right w:val="single" w:sz="8" w:space="0" w:color="auto"/>
            </w:tcBorders>
            <w:shd w:val="clear" w:color="000000" w:fill="FFFFFF"/>
            <w:noWrap/>
            <w:vAlign w:val="center"/>
            <w:hideMark/>
          </w:tcPr>
          <w:p w14:paraId="396F6148" w14:textId="77777777" w:rsidR="005B595D" w:rsidRPr="00D71008" w:rsidRDefault="005B595D" w:rsidP="00881C40">
            <w:pPr>
              <w:jc w:val="center"/>
              <w:rPr>
                <w:noProof/>
                <w:color w:val="000000"/>
                <w:sz w:val="20"/>
                <w:szCs w:val="20"/>
              </w:rPr>
            </w:pPr>
            <w:r w:rsidRPr="00D71008">
              <w:rPr>
                <w:noProof/>
                <w:color w:val="000000"/>
                <w:sz w:val="20"/>
                <w:szCs w:val="20"/>
              </w:rPr>
              <w:t>120.7</w:t>
            </w:r>
          </w:p>
        </w:tc>
      </w:tr>
    </w:tbl>
    <w:p w14:paraId="7F7B4037" w14:textId="77777777" w:rsidR="005B595D" w:rsidRPr="00D71008" w:rsidRDefault="005B595D" w:rsidP="007B2D8E">
      <w:pPr>
        <w:pStyle w:val="ListParagraph"/>
        <w:keepNext/>
        <w:widowControl/>
        <w:numPr>
          <w:ilvl w:val="2"/>
          <w:numId w:val="10"/>
        </w:numPr>
        <w:autoSpaceDE/>
        <w:autoSpaceDN/>
        <w:spacing w:after="240"/>
        <w:jc w:val="both"/>
        <w:outlineLvl w:val="2"/>
        <w:rPr>
          <w:i/>
          <w:iCs/>
          <w:noProof/>
          <w:sz w:val="24"/>
          <w:szCs w:val="24"/>
        </w:rPr>
      </w:pPr>
      <w:bookmarkStart w:id="371" w:name="_Toc45119791"/>
      <w:bookmarkStart w:id="372" w:name="_Toc45147529"/>
      <w:bookmarkStart w:id="373" w:name="_Toc49346551"/>
      <w:bookmarkStart w:id="374" w:name="_Toc49437870"/>
      <w:bookmarkStart w:id="375" w:name="_Toc49441691"/>
      <w:bookmarkStart w:id="376" w:name="_Toc56849991"/>
      <w:bookmarkStart w:id="377" w:name="_Toc194586694"/>
      <w:bookmarkStart w:id="378" w:name="_Toc199705691"/>
      <w:bookmarkStart w:id="379" w:name="_Toc199934226"/>
      <w:bookmarkStart w:id="380" w:name="_Toc222313527"/>
      <w:bookmarkStart w:id="381" w:name="_Toc222749051"/>
      <w:bookmarkStart w:id="382" w:name="_Toc223980024"/>
      <w:r w:rsidRPr="00D71008">
        <w:rPr>
          <w:i/>
          <w:iCs/>
          <w:noProof/>
          <w:sz w:val="24"/>
          <w:szCs w:val="24"/>
        </w:rPr>
        <w:t>Technology assumptions</w:t>
      </w:r>
      <w:bookmarkEnd w:id="371"/>
      <w:bookmarkEnd w:id="372"/>
      <w:bookmarkEnd w:id="373"/>
      <w:bookmarkEnd w:id="374"/>
      <w:bookmarkEnd w:id="375"/>
      <w:bookmarkEnd w:id="376"/>
      <w:bookmarkEnd w:id="377"/>
      <w:bookmarkEnd w:id="378"/>
      <w:bookmarkEnd w:id="379"/>
      <w:bookmarkEnd w:id="380"/>
      <w:bookmarkEnd w:id="381"/>
      <w:bookmarkEnd w:id="382"/>
    </w:p>
    <w:p w14:paraId="365B72AF" w14:textId="77777777" w:rsidR="005B595D" w:rsidRPr="00D71008" w:rsidRDefault="005B595D" w:rsidP="00BC539A">
      <w:pPr>
        <w:spacing w:after="240"/>
        <w:jc w:val="both"/>
        <w:rPr>
          <w:noProof/>
          <w:spacing w:val="-8"/>
        </w:rPr>
      </w:pPr>
      <w:r w:rsidRPr="00D71008">
        <w:rPr>
          <w:noProof/>
          <w:spacing w:val="-8"/>
        </w:rPr>
        <w:t xml:space="preserve">Modelling scenarios on the evolution of the transport system is highly dependent on the assumptions on the development of technologies - both in terms of performance and costs. For the purpose of the development of the baseline, these assumptions have been updated based on a rigorous literature review carried out by external consultants in collaboration with the JRC. </w:t>
      </w:r>
    </w:p>
    <w:p w14:paraId="52E897EE" w14:textId="77777777" w:rsidR="005B595D" w:rsidRPr="00D71008" w:rsidRDefault="005B595D" w:rsidP="00BC539A">
      <w:pPr>
        <w:spacing w:after="240"/>
        <w:jc w:val="both"/>
        <w:rPr>
          <w:noProof/>
          <w:spacing w:val="-8"/>
        </w:rPr>
      </w:pPr>
      <w:r w:rsidRPr="00D71008">
        <w:rPr>
          <w:noProof/>
          <w:spacing w:val="-8"/>
        </w:rPr>
        <w:t>Continuing the approach adopted in the long-term strategy in 2018 and for the Reference Scenario 2020, the Commission consulted on the technology assumptions with Member States and stakeholders in 2024. In particular, the technology database of PRIMES-TREMOVE transport model was discussed with Member States during a meeting of the Reference scenario expert group on 5 June 2024. They also benefited from a dedicated consultation workshop with stakeholders, held on 22-23 October 2024.</w:t>
      </w:r>
    </w:p>
    <w:p w14:paraId="63AA48D6" w14:textId="77777777" w:rsidR="00426510" w:rsidRPr="00D71008" w:rsidRDefault="00426510" w:rsidP="007B2D8E">
      <w:pPr>
        <w:pStyle w:val="ListParagraph"/>
        <w:keepNext/>
        <w:widowControl/>
        <w:numPr>
          <w:ilvl w:val="2"/>
          <w:numId w:val="10"/>
        </w:numPr>
        <w:autoSpaceDE/>
        <w:autoSpaceDN/>
        <w:spacing w:after="240"/>
        <w:jc w:val="both"/>
        <w:outlineLvl w:val="2"/>
        <w:rPr>
          <w:i/>
          <w:iCs/>
          <w:noProof/>
          <w:sz w:val="24"/>
          <w:szCs w:val="24"/>
        </w:rPr>
      </w:pPr>
      <w:bookmarkStart w:id="383" w:name="_Toc194586695"/>
      <w:bookmarkStart w:id="384" w:name="_Toc199705692"/>
      <w:bookmarkStart w:id="385" w:name="_Toc199934227"/>
      <w:bookmarkStart w:id="386" w:name="_Toc222313528"/>
      <w:bookmarkStart w:id="387" w:name="_Toc222749052"/>
      <w:bookmarkStart w:id="388" w:name="_Toc223980025"/>
      <w:r w:rsidRPr="00D71008">
        <w:rPr>
          <w:i/>
          <w:iCs/>
          <w:noProof/>
          <w:sz w:val="24"/>
          <w:szCs w:val="24"/>
        </w:rPr>
        <w:t>Policies in the Baseline scenario</w:t>
      </w:r>
      <w:bookmarkEnd w:id="383"/>
      <w:bookmarkEnd w:id="384"/>
      <w:bookmarkEnd w:id="385"/>
      <w:bookmarkEnd w:id="386"/>
      <w:bookmarkEnd w:id="387"/>
      <w:bookmarkEnd w:id="388"/>
      <w:r w:rsidRPr="00D71008">
        <w:rPr>
          <w:i/>
          <w:iCs/>
          <w:noProof/>
          <w:sz w:val="24"/>
          <w:szCs w:val="24"/>
        </w:rPr>
        <w:t xml:space="preserve"> </w:t>
      </w:r>
    </w:p>
    <w:p w14:paraId="407F3F72" w14:textId="77777777" w:rsidR="00B42DBE" w:rsidRPr="00B42DBE" w:rsidRDefault="00B42DBE" w:rsidP="00B42DBE">
      <w:pPr>
        <w:spacing w:after="240"/>
        <w:jc w:val="both"/>
        <w:rPr>
          <w:noProof/>
          <w:spacing w:val="-8"/>
        </w:rPr>
      </w:pPr>
      <w:r w:rsidRPr="00B42DBE">
        <w:rPr>
          <w:rFonts w:eastAsia="Calibri"/>
          <w:noProof/>
          <w:spacing w:val="-8"/>
        </w:rPr>
        <w:t>In line with the Better Regulation toolbox (Tool #60), the baseline has been designed to include the initiatives of the ‘Fit for 55’ package</w:t>
      </w:r>
      <w:r w:rsidRPr="00B42DBE">
        <w:rPr>
          <w:noProof/>
          <w:spacing w:val="-8"/>
          <w:vertAlign w:val="superscript"/>
        </w:rPr>
        <w:footnoteReference w:id="310"/>
      </w:r>
      <w:r w:rsidRPr="00B42DBE">
        <w:rPr>
          <w:rFonts w:eastAsia="Calibri"/>
          <w:noProof/>
          <w:spacing w:val="-8"/>
        </w:rPr>
        <w:t xml:space="preserve"> and the proposed amendment of the European Climate Law to include a </w:t>
      </w:r>
      <w:r w:rsidRPr="00B42DBE">
        <w:rPr>
          <w:rStyle w:val="eop"/>
          <w:noProof/>
          <w:color w:val="000000" w:themeColor="text1"/>
          <w:spacing w:val="-8"/>
        </w:rPr>
        <w:t>2040 climate target for the EU</w:t>
      </w:r>
      <w:r w:rsidRPr="00B42DBE">
        <w:rPr>
          <w:rStyle w:val="FootnoteReference"/>
          <w:rFonts w:eastAsia="Calibri"/>
          <w:noProof/>
          <w:spacing w:val="-8"/>
        </w:rPr>
        <w:footnoteReference w:id="311"/>
      </w:r>
      <w:r w:rsidRPr="00B42DBE">
        <w:rPr>
          <w:rStyle w:val="eop"/>
          <w:noProof/>
          <w:color w:val="000000" w:themeColor="text1"/>
          <w:spacing w:val="-8"/>
        </w:rPr>
        <w:t>, of reducing the EU's net greenhouse gas emissions by 90% by 2040 relative to 1990, with a limited contribution towards the 2040 target of high-quality international credits.</w:t>
      </w:r>
      <w:r w:rsidRPr="00B42DBE">
        <w:rPr>
          <w:rFonts w:eastAsia="Calibri"/>
          <w:noProof/>
          <w:spacing w:val="-8"/>
        </w:rPr>
        <w:t xml:space="preserve"> It also reflects the </w:t>
      </w:r>
      <w:r w:rsidRPr="00B42DBE">
        <w:rPr>
          <w:noProof/>
          <w:spacing w:val="-8"/>
        </w:rPr>
        <w:t>CO</w:t>
      </w:r>
      <w:r w:rsidRPr="00B42DBE">
        <w:rPr>
          <w:noProof/>
          <w:spacing w:val="-8"/>
          <w:vertAlign w:val="subscript"/>
        </w:rPr>
        <w:t>2</w:t>
      </w:r>
      <w:r w:rsidRPr="00B42DBE">
        <w:rPr>
          <w:noProof/>
          <w:spacing w:val="-8"/>
        </w:rPr>
        <w:t xml:space="preserve"> emission performance standards for heavy-duty vehicles</w:t>
      </w:r>
      <w:r w:rsidRPr="00B42DBE">
        <w:rPr>
          <w:rStyle w:val="FootnoteReference"/>
          <w:noProof/>
          <w:spacing w:val="-8"/>
        </w:rPr>
        <w:footnoteReference w:id="312"/>
      </w:r>
      <w:r w:rsidRPr="00B42DBE">
        <w:rPr>
          <w:noProof/>
          <w:spacing w:val="-8"/>
        </w:rPr>
        <w:t>, the Euro 7 standards</w:t>
      </w:r>
      <w:r w:rsidRPr="00B42DBE">
        <w:rPr>
          <w:rStyle w:val="FootnoteReference"/>
          <w:noProof/>
          <w:spacing w:val="-8"/>
        </w:rPr>
        <w:footnoteReference w:id="313"/>
      </w:r>
      <w:r w:rsidRPr="00B42DBE">
        <w:rPr>
          <w:noProof/>
          <w:spacing w:val="-8"/>
        </w:rPr>
        <w:t xml:space="preserve">, the </w:t>
      </w:r>
      <w:r w:rsidRPr="00B42DBE">
        <w:rPr>
          <w:rFonts w:eastAsia="Calibri"/>
          <w:noProof/>
          <w:spacing w:val="-8"/>
        </w:rPr>
        <w:t>revised TEN-T Regulation</w:t>
      </w:r>
      <w:r w:rsidRPr="00B42DBE">
        <w:rPr>
          <w:rStyle w:val="FootnoteReference"/>
          <w:rFonts w:eastAsia="Calibri"/>
          <w:noProof/>
          <w:spacing w:val="-8"/>
        </w:rPr>
        <w:footnoteReference w:id="314"/>
      </w:r>
      <w:r w:rsidRPr="00B42DBE">
        <w:rPr>
          <w:rFonts w:eastAsia="Calibri"/>
          <w:noProof/>
          <w:spacing w:val="-8"/>
        </w:rPr>
        <w:t xml:space="preserve">, as well as </w:t>
      </w:r>
      <w:r w:rsidRPr="00B42DBE">
        <w:rPr>
          <w:noProof/>
          <w:spacing w:val="-8"/>
        </w:rPr>
        <w:t xml:space="preserve">the initiatives part of the </w:t>
      </w:r>
      <w:r w:rsidRPr="00660D62">
        <w:rPr>
          <w:rStyle w:val="Hyperlink"/>
          <w:noProof/>
          <w:color w:val="auto"/>
          <w:spacing w:val="-8"/>
          <w:u w:val="none"/>
        </w:rPr>
        <w:t>Greening Freight package</w:t>
      </w:r>
      <w:r w:rsidRPr="00AA31F2">
        <w:rPr>
          <w:rStyle w:val="FootnoteReference"/>
          <w:noProof/>
          <w:spacing w:val="-8"/>
        </w:rPr>
        <w:footnoteReference w:id="315"/>
      </w:r>
      <w:r w:rsidRPr="00660D62">
        <w:rPr>
          <w:rStyle w:val="Hyperlink"/>
          <w:noProof/>
          <w:color w:val="auto"/>
          <w:spacing w:val="-8"/>
          <w:u w:val="none"/>
        </w:rPr>
        <w:t xml:space="preserve"> and Roadworthiness package</w:t>
      </w:r>
      <w:r w:rsidRPr="00AA31F2">
        <w:rPr>
          <w:rStyle w:val="FootnoteReference"/>
          <w:noProof/>
          <w:spacing w:val="-8"/>
        </w:rPr>
        <w:footnoteReference w:id="316"/>
      </w:r>
      <w:r w:rsidRPr="00AA31F2">
        <w:rPr>
          <w:rFonts w:eastAsia="Calibri"/>
          <w:noProof/>
          <w:spacing w:val="-8"/>
        </w:rPr>
        <w:t xml:space="preserve">. It also reflects the National Energy and Climate Plans prepared by the Member States under the Regulation 2018/1999 on the Governance of the Energy </w:t>
      </w:r>
      <w:r w:rsidRPr="00B42DBE">
        <w:rPr>
          <w:rFonts w:eastAsia="Calibri"/>
          <w:noProof/>
          <w:spacing w:val="-8"/>
        </w:rPr>
        <w:t xml:space="preserve">Union and Climate Action and submitted to the Commission during 2024-2025. The baseline scenario assumes no further EU level intervention beyond the </w:t>
      </w:r>
      <w:r w:rsidRPr="00B42DBE">
        <w:rPr>
          <w:noProof/>
          <w:spacing w:val="-8"/>
        </w:rPr>
        <w:t>ITS Directive</w:t>
      </w:r>
      <w:r w:rsidRPr="00B42DBE">
        <w:rPr>
          <w:rStyle w:val="FootnoteReference"/>
          <w:noProof/>
          <w:spacing w:val="-8"/>
        </w:rPr>
        <w:footnoteReference w:id="317"/>
      </w:r>
      <w:r w:rsidRPr="00B42DBE">
        <w:rPr>
          <w:noProof/>
          <w:spacing w:val="-8"/>
        </w:rPr>
        <w:t xml:space="preserve"> and the Delegated Regulation on multimodal travel information services (MMTIS)</w:t>
      </w:r>
      <w:r w:rsidRPr="00B42DBE">
        <w:rPr>
          <w:rStyle w:val="FootnoteReference"/>
          <w:noProof/>
          <w:spacing w:val="-8"/>
        </w:rPr>
        <w:footnoteReference w:id="318"/>
      </w:r>
      <w:r w:rsidRPr="00B42DBE">
        <w:rPr>
          <w:noProof/>
          <w:spacing w:val="-8"/>
        </w:rPr>
        <w:t>. The CRS Code of Conduct</w:t>
      </w:r>
      <w:r w:rsidRPr="00B42DBE">
        <w:rPr>
          <w:rStyle w:val="FootnoteReference"/>
          <w:noProof/>
          <w:spacing w:val="-8"/>
        </w:rPr>
        <w:footnoteReference w:id="319"/>
      </w:r>
      <w:r w:rsidRPr="00B42DBE">
        <w:rPr>
          <w:noProof/>
          <w:spacing w:val="-8"/>
        </w:rPr>
        <w:t xml:space="preserve"> would continue to apply. More details on the baseline scenario assumptions and results are provided in Annex 4 (section 2).</w:t>
      </w:r>
    </w:p>
    <w:p w14:paraId="6CB1C6F0" w14:textId="11A5234E" w:rsidR="00B42DBE" w:rsidRPr="00B42DBE" w:rsidRDefault="00B42DBE" w:rsidP="00B42DBE">
      <w:pPr>
        <w:spacing w:after="240"/>
        <w:jc w:val="both"/>
        <w:rPr>
          <w:rFonts w:eastAsia="Calibri"/>
          <w:noProof/>
          <w:color w:val="000000"/>
          <w:spacing w:val="-8"/>
        </w:rPr>
      </w:pPr>
      <w:r w:rsidRPr="00B42DBE">
        <w:rPr>
          <w:rFonts w:eastAsia="Arial Unicode MS"/>
          <w:noProof/>
          <w:spacing w:val="-8"/>
        </w:rPr>
        <w:t>The baseline also incorporates perspectives on potential future developments captured in the 2022 Strategic Foresight Report</w:t>
      </w:r>
      <w:r w:rsidRPr="00B42DBE">
        <w:rPr>
          <w:rFonts w:eastAsia="Arial Unicode MS"/>
          <w:noProof/>
          <w:spacing w:val="-8"/>
          <w:bdr w:val="nil"/>
          <w:vertAlign w:val="superscript"/>
        </w:rPr>
        <w:footnoteReference w:id="320"/>
      </w:r>
      <w:r w:rsidRPr="00B42DBE">
        <w:rPr>
          <w:rFonts w:eastAsia="Arial Unicode MS"/>
          <w:noProof/>
          <w:spacing w:val="-8"/>
        </w:rPr>
        <w:t xml:space="preserve"> and during a foresight workshop organised by DG MOVE and JRC on 10 February 2025, analysing the impacts of the megatrends and drivers of change on the EU transport sector</w:t>
      </w:r>
      <w:r w:rsidRPr="00B42DBE">
        <w:rPr>
          <w:rFonts w:eastAsia="Arial Unicode MS"/>
          <w:noProof/>
          <w:spacing w:val="-8"/>
          <w:bdr w:val="nil"/>
          <w:vertAlign w:val="superscript"/>
        </w:rPr>
        <w:footnoteReference w:id="321"/>
      </w:r>
      <w:r w:rsidRPr="00B42DBE">
        <w:rPr>
          <w:rFonts w:eastAsia="Arial Unicode MS"/>
          <w:noProof/>
          <w:spacing w:val="-8"/>
        </w:rPr>
        <w:t xml:space="preserve">. </w:t>
      </w:r>
      <w:r w:rsidRPr="00B42DBE">
        <w:rPr>
          <w:rFonts w:eastAsia="Calibri"/>
          <w:noProof/>
          <w:color w:val="000000" w:themeColor="text1"/>
          <w:spacing w:val="-8"/>
        </w:rPr>
        <w:t xml:space="preserve">In particular, the projected transport activity draws on the long-term population projections from Eurostat and GDP growth from the </w:t>
      </w:r>
      <w:r w:rsidRPr="00B42DBE">
        <w:rPr>
          <w:rFonts w:eastAsia="Calibri"/>
          <w:i/>
          <w:noProof/>
          <w:spacing w:val="-8"/>
        </w:rPr>
        <w:t>Ageing Report 2024</w:t>
      </w:r>
      <w:r w:rsidRPr="00B42DBE">
        <w:rPr>
          <w:rFonts w:eastAsia="Calibri"/>
          <w:i/>
          <w:noProof/>
          <w:spacing w:val="-8"/>
          <w:vertAlign w:val="superscript"/>
        </w:rPr>
        <w:footnoteReference w:id="322"/>
      </w:r>
      <w:r w:rsidRPr="00B42DBE">
        <w:rPr>
          <w:rFonts w:eastAsia="Calibri"/>
          <w:noProof/>
          <w:color w:val="000000" w:themeColor="text1"/>
          <w:spacing w:val="-8"/>
        </w:rPr>
        <w:t>.</w:t>
      </w:r>
      <w:r w:rsidR="002D1EFA">
        <w:rPr>
          <w:rFonts w:eastAsia="Calibri"/>
          <w:noProof/>
          <w:color w:val="000000" w:themeColor="text1"/>
          <w:spacing w:val="-8"/>
        </w:rPr>
        <w:t xml:space="preserve"> </w:t>
      </w:r>
      <w:r w:rsidR="002D1EFA" w:rsidRPr="002D1EFA">
        <w:rPr>
          <w:rFonts w:eastAsia="Calibri"/>
          <w:noProof/>
          <w:color w:val="000000" w:themeColor="text1"/>
          <w:spacing w:val="-8"/>
        </w:rPr>
        <w:t>An increasingly connected world with high levels of access to digital products and services and in which new services, business models, life and work patterns emerge is the background against which the initiative is assessed.</w:t>
      </w:r>
    </w:p>
    <w:p w14:paraId="414AA7F1" w14:textId="0F4EB595" w:rsidR="00426510" w:rsidRPr="00DE1194" w:rsidRDefault="00426510" w:rsidP="007B2D8E">
      <w:pPr>
        <w:pStyle w:val="Heading2"/>
        <w:numPr>
          <w:ilvl w:val="1"/>
          <w:numId w:val="10"/>
        </w:numPr>
        <w:tabs>
          <w:tab w:val="left" w:pos="426"/>
          <w:tab w:val="left" w:pos="1705"/>
        </w:tabs>
        <w:spacing w:before="0" w:after="240"/>
        <w:ind w:left="1134" w:hanging="708"/>
        <w:rPr>
          <w:noProof/>
        </w:rPr>
      </w:pPr>
      <w:bookmarkStart w:id="389" w:name="_Toc194586696"/>
      <w:bookmarkStart w:id="390" w:name="_Toc199705693"/>
      <w:bookmarkStart w:id="391" w:name="_Toc199934228"/>
      <w:bookmarkStart w:id="392" w:name="_Toc213217306"/>
      <w:bookmarkStart w:id="393" w:name="_Toc213846162"/>
      <w:bookmarkStart w:id="394" w:name="_Toc216305466"/>
      <w:bookmarkStart w:id="395" w:name="_Toc222313529"/>
      <w:bookmarkStart w:id="396" w:name="_Toc222749053"/>
      <w:bookmarkStart w:id="397" w:name="_Toc223980026"/>
      <w:r w:rsidRPr="00DE1194">
        <w:rPr>
          <w:noProof/>
        </w:rPr>
        <w:t>Baseline scenario results</w:t>
      </w:r>
      <w:bookmarkEnd w:id="389"/>
      <w:bookmarkEnd w:id="390"/>
      <w:bookmarkEnd w:id="391"/>
      <w:bookmarkEnd w:id="392"/>
      <w:bookmarkEnd w:id="393"/>
      <w:bookmarkEnd w:id="394"/>
      <w:bookmarkEnd w:id="395"/>
      <w:bookmarkEnd w:id="396"/>
      <w:bookmarkEnd w:id="397"/>
    </w:p>
    <w:p w14:paraId="72F16994" w14:textId="5141F0EA" w:rsidR="00472D34" w:rsidRPr="00472D34" w:rsidRDefault="00472D34" w:rsidP="007B2D8E">
      <w:pPr>
        <w:pStyle w:val="ListParagraph"/>
        <w:keepNext/>
        <w:widowControl/>
        <w:numPr>
          <w:ilvl w:val="2"/>
          <w:numId w:val="10"/>
        </w:numPr>
        <w:autoSpaceDE/>
        <w:autoSpaceDN/>
        <w:spacing w:after="240"/>
        <w:jc w:val="both"/>
        <w:outlineLvl w:val="2"/>
        <w:rPr>
          <w:i/>
          <w:iCs/>
          <w:noProof/>
          <w:sz w:val="24"/>
          <w:szCs w:val="24"/>
        </w:rPr>
      </w:pPr>
      <w:bookmarkStart w:id="398" w:name="_Toc223980027"/>
      <w:r w:rsidRPr="00472D34">
        <w:rPr>
          <w:i/>
          <w:iCs/>
          <w:noProof/>
          <w:sz w:val="24"/>
          <w:szCs w:val="24"/>
        </w:rPr>
        <w:t>Number of passengers</w:t>
      </w:r>
      <w:bookmarkEnd w:id="398"/>
    </w:p>
    <w:p w14:paraId="777500A2" w14:textId="02C07A6F" w:rsidR="0020372C" w:rsidRPr="00DA4ACC" w:rsidRDefault="00122945" w:rsidP="0020372C">
      <w:pPr>
        <w:spacing w:after="240"/>
        <w:jc w:val="both"/>
        <w:rPr>
          <w:noProof/>
          <w:spacing w:val="-8"/>
        </w:rPr>
      </w:pPr>
      <w:r w:rsidRPr="00C918D8">
        <w:rPr>
          <w:i/>
          <w:noProof/>
          <w:spacing w:val="-8"/>
        </w:rPr>
        <w:t>Total number of passengers.</w:t>
      </w:r>
      <w:r>
        <w:rPr>
          <w:noProof/>
          <w:spacing w:val="-8"/>
        </w:rPr>
        <w:t xml:space="preserve"> </w:t>
      </w:r>
      <w:r w:rsidR="0020372C" w:rsidRPr="00DA4ACC">
        <w:rPr>
          <w:noProof/>
          <w:spacing w:val="-8"/>
        </w:rPr>
        <w:t xml:space="preserve">The total number of passengers in the EU travelling by air, coach (excluding local and suburban public transport), rail and waterborne transport is projected to grow from 12.9 billion in 2019 to 14 billion in 2028, 15.4 billion in 2030 and 17.8 billion in 2050 (19% increase for 2019-2030 and 38.1% increase for 2019-2050), following the recovery from the COVID pandemic. The number of passengers travelling by air within the EU would increase from 515 million in 2019 to </w:t>
      </w:r>
      <w:r w:rsidR="007F7ECE">
        <w:rPr>
          <w:noProof/>
          <w:spacing w:val="-8"/>
        </w:rPr>
        <w:t>538</w:t>
      </w:r>
      <w:r w:rsidR="007F7ECE" w:rsidRPr="00DA4ACC">
        <w:rPr>
          <w:noProof/>
          <w:spacing w:val="-8"/>
        </w:rPr>
        <w:t xml:space="preserve"> </w:t>
      </w:r>
      <w:r w:rsidR="0020372C" w:rsidRPr="00DA4ACC">
        <w:rPr>
          <w:noProof/>
          <w:spacing w:val="-8"/>
        </w:rPr>
        <w:t xml:space="preserve">million in 2028, 542 million in 2030 and 644 million in 2050 (5.1% growth for 2019-2030 and 24.9% for 2019-2050). The number of passengers travelling by rail is projected to increase faster than for air (from 8.6 billion in 2019 to </w:t>
      </w:r>
      <w:r w:rsidR="007265D2">
        <w:rPr>
          <w:noProof/>
          <w:spacing w:val="-8"/>
        </w:rPr>
        <w:t>9.6</w:t>
      </w:r>
      <w:r w:rsidR="0020372C" w:rsidRPr="00DA4ACC">
        <w:rPr>
          <w:noProof/>
          <w:spacing w:val="-8"/>
        </w:rPr>
        <w:t xml:space="preserve"> billion in 2028, 10.7 billion in 2030 and 12.5 billion by 2050), driven in particular by the completion of the TEN-T core network by 2030, the extended core network by 2040 and of the comprehensive network by 2050, supported by the CEF, Cohesion Fund and ERDF funding, but also by measures of the ‘Fit for 55’ package, the </w:t>
      </w:r>
      <w:r w:rsidR="0020372C" w:rsidRPr="00DA4ACC">
        <w:rPr>
          <w:rFonts w:eastAsia="Calibri"/>
          <w:noProof/>
          <w:spacing w:val="-8"/>
        </w:rPr>
        <w:t xml:space="preserve">revised TEN-T Regulation, as well as </w:t>
      </w:r>
      <w:r w:rsidR="0020372C" w:rsidRPr="00DA4ACC">
        <w:rPr>
          <w:noProof/>
          <w:spacing w:val="-8"/>
        </w:rPr>
        <w:t xml:space="preserve">the initiatives part of the </w:t>
      </w:r>
      <w:r w:rsidR="0020372C" w:rsidRPr="00D32A02">
        <w:rPr>
          <w:rStyle w:val="BodyTextChar"/>
          <w:noProof/>
          <w:spacing w:val="-8"/>
        </w:rPr>
        <w:t>Greening Freight package</w:t>
      </w:r>
      <w:r w:rsidR="0020372C" w:rsidRPr="00DA4ACC">
        <w:rPr>
          <w:noProof/>
          <w:spacing w:val="-8"/>
        </w:rPr>
        <w:t>. The number of passengers travelling by coach is projected to increase from 3.3 billion in 2019 to 3.</w:t>
      </w:r>
      <w:r w:rsidR="009005A6">
        <w:rPr>
          <w:noProof/>
          <w:spacing w:val="-8"/>
        </w:rPr>
        <w:t>4</w:t>
      </w:r>
      <w:r w:rsidR="009005A6" w:rsidRPr="00DA4ACC">
        <w:rPr>
          <w:noProof/>
          <w:spacing w:val="-8"/>
        </w:rPr>
        <w:t xml:space="preserve"> </w:t>
      </w:r>
      <w:r w:rsidR="0020372C" w:rsidRPr="00DA4ACC">
        <w:rPr>
          <w:noProof/>
          <w:spacing w:val="-8"/>
        </w:rPr>
        <w:t xml:space="preserve">billion in 2028, 3.7 billion in 2030 and 4.2 billion by 2050 (9% increase for 2019-2030 and 24.1% increase for 2019-2050). The number of passengers travelling by waterborne transport would also increase in the baseline scenario, from 418 million in 2019 to 465 million in 2028, 466 million in 2030 and 518 million in 2050 (11.4% increase for 2019-2030 and 23.8% growth for 2019-2050). </w:t>
      </w:r>
    </w:p>
    <w:p w14:paraId="5EA63F56" w14:textId="081F8AF7" w:rsidR="0020372C" w:rsidRPr="00C918D8" w:rsidRDefault="0020372C" w:rsidP="0020372C">
      <w:pPr>
        <w:pStyle w:val="Caption"/>
        <w:spacing w:after="0"/>
        <w:rPr>
          <w:noProof/>
          <w:color w:val="auto"/>
          <w:sz w:val="22"/>
          <w:szCs w:val="22"/>
        </w:rPr>
      </w:pPr>
      <w:r w:rsidRPr="00DA4ACC">
        <w:rPr>
          <w:bCs/>
          <w:noProof/>
          <w:color w:val="auto"/>
          <w:sz w:val="22"/>
          <w:szCs w:val="22"/>
        </w:rPr>
        <w:t xml:space="preserve">Table </w:t>
      </w:r>
      <w:r w:rsidRPr="00DA4ACC">
        <w:rPr>
          <w:bCs/>
          <w:noProof/>
          <w:color w:val="auto"/>
          <w:sz w:val="22"/>
          <w:szCs w:val="22"/>
        </w:rPr>
        <w:fldChar w:fldCharType="begin"/>
      </w:r>
      <w:r w:rsidRPr="00DA4ACC">
        <w:rPr>
          <w:bCs/>
          <w:noProof/>
          <w:color w:val="auto"/>
          <w:sz w:val="22"/>
          <w:szCs w:val="22"/>
        </w:rPr>
        <w:instrText xml:space="preserve"> SEQ Table \* ARABIC </w:instrText>
      </w:r>
      <w:r w:rsidRPr="00DA4ACC">
        <w:rPr>
          <w:bCs/>
          <w:noProof/>
          <w:color w:val="auto"/>
          <w:sz w:val="22"/>
          <w:szCs w:val="22"/>
        </w:rPr>
        <w:fldChar w:fldCharType="separate"/>
      </w:r>
      <w:r w:rsidR="0055391F">
        <w:rPr>
          <w:bCs/>
          <w:noProof/>
          <w:color w:val="auto"/>
          <w:sz w:val="22"/>
          <w:szCs w:val="22"/>
        </w:rPr>
        <w:t>49</w:t>
      </w:r>
      <w:r w:rsidRPr="00DA4ACC">
        <w:rPr>
          <w:bCs/>
          <w:noProof/>
          <w:color w:val="auto"/>
          <w:sz w:val="22"/>
          <w:szCs w:val="22"/>
        </w:rPr>
        <w:fldChar w:fldCharType="end"/>
      </w:r>
      <w:r w:rsidRPr="00DA4ACC">
        <w:rPr>
          <w:bCs/>
          <w:noProof/>
          <w:color w:val="auto"/>
          <w:sz w:val="22"/>
          <w:szCs w:val="22"/>
        </w:rPr>
        <w:t xml:space="preserve">: </w:t>
      </w:r>
      <w:r w:rsidR="0036315E" w:rsidRPr="00C918D8">
        <w:rPr>
          <w:noProof/>
          <w:color w:val="auto"/>
          <w:sz w:val="22"/>
          <w:szCs w:val="22"/>
        </w:rPr>
        <w:t>Projected</w:t>
      </w:r>
      <w:r w:rsidRPr="00C918D8">
        <w:rPr>
          <w:noProof/>
          <w:color w:val="auto"/>
          <w:sz w:val="22"/>
          <w:szCs w:val="22"/>
        </w:rPr>
        <w:t xml:space="preserve"> number of passengers </w:t>
      </w:r>
      <w:r w:rsidR="0036315E" w:rsidRPr="00C918D8">
        <w:rPr>
          <w:noProof/>
          <w:color w:val="auto"/>
          <w:sz w:val="22"/>
          <w:szCs w:val="22"/>
        </w:rPr>
        <w:t xml:space="preserve">at EU level </w:t>
      </w:r>
      <w:r w:rsidRPr="00C918D8">
        <w:rPr>
          <w:noProof/>
          <w:color w:val="auto"/>
          <w:sz w:val="22"/>
          <w:szCs w:val="22"/>
        </w:rPr>
        <w:t>in the baseline, by mode (million)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03"/>
        <w:gridCol w:w="863"/>
        <w:gridCol w:w="863"/>
        <w:gridCol w:w="862"/>
        <w:gridCol w:w="862"/>
        <w:gridCol w:w="862"/>
        <w:gridCol w:w="862"/>
        <w:gridCol w:w="862"/>
        <w:gridCol w:w="864"/>
      </w:tblGrid>
      <w:tr w:rsidR="006C2A61" w:rsidRPr="00DA4ACC" w14:paraId="70EFE9F2" w14:textId="77777777" w:rsidTr="00B717A3">
        <w:trPr>
          <w:trHeight w:val="284"/>
          <w:tblHeader/>
          <w:jc w:val="center"/>
        </w:trPr>
        <w:tc>
          <w:tcPr>
            <w:tcW w:w="1407" w:type="pct"/>
            <w:shd w:val="clear" w:color="auto" w:fill="0070C0"/>
            <w:noWrap/>
            <w:hideMark/>
          </w:tcPr>
          <w:p w14:paraId="2AD8A314" w14:textId="77777777" w:rsidR="0020372C" w:rsidRPr="00DA4ACC" w:rsidRDefault="0020372C" w:rsidP="00444C77">
            <w:pPr>
              <w:jc w:val="center"/>
              <w:rPr>
                <w:b/>
                <w:bCs/>
                <w:noProof/>
                <w:color w:val="FFFFFF"/>
                <w:sz w:val="20"/>
                <w:szCs w:val="20"/>
                <w:lang w:eastAsia="fr-BE"/>
              </w:rPr>
            </w:pPr>
          </w:p>
        </w:tc>
        <w:tc>
          <w:tcPr>
            <w:tcW w:w="449" w:type="pct"/>
            <w:shd w:val="clear" w:color="auto" w:fill="0070C0"/>
            <w:noWrap/>
            <w:hideMark/>
          </w:tcPr>
          <w:p w14:paraId="53F51220" w14:textId="77777777" w:rsidR="0020372C" w:rsidRPr="00DA4ACC" w:rsidRDefault="0020372C" w:rsidP="00444C77">
            <w:pPr>
              <w:jc w:val="center"/>
              <w:rPr>
                <w:b/>
                <w:bCs/>
                <w:noProof/>
                <w:color w:val="FFFFFF"/>
                <w:sz w:val="20"/>
                <w:szCs w:val="20"/>
                <w:lang w:eastAsia="fr-BE"/>
              </w:rPr>
            </w:pPr>
            <w:r w:rsidRPr="00DA4ACC">
              <w:rPr>
                <w:b/>
                <w:bCs/>
                <w:noProof/>
                <w:color w:val="FFFFFF"/>
                <w:sz w:val="20"/>
                <w:szCs w:val="20"/>
                <w:lang w:eastAsia="fr-BE"/>
              </w:rPr>
              <w:t>2019</w:t>
            </w:r>
          </w:p>
        </w:tc>
        <w:tc>
          <w:tcPr>
            <w:tcW w:w="449" w:type="pct"/>
            <w:shd w:val="clear" w:color="auto" w:fill="0070C0"/>
          </w:tcPr>
          <w:p w14:paraId="7BC549FC" w14:textId="77777777" w:rsidR="0020372C" w:rsidRPr="00DA4ACC" w:rsidRDefault="0020372C" w:rsidP="00444C77">
            <w:pPr>
              <w:jc w:val="center"/>
              <w:rPr>
                <w:b/>
                <w:bCs/>
                <w:noProof/>
                <w:color w:val="FFFFFF"/>
                <w:sz w:val="20"/>
                <w:szCs w:val="20"/>
                <w:lang w:eastAsia="fr-BE"/>
              </w:rPr>
            </w:pPr>
            <w:r w:rsidRPr="00DA4ACC">
              <w:rPr>
                <w:b/>
                <w:bCs/>
                <w:noProof/>
                <w:color w:val="FFFFFF"/>
                <w:sz w:val="20"/>
                <w:szCs w:val="20"/>
                <w:lang w:eastAsia="fr-BE"/>
              </w:rPr>
              <w:t>2028</w:t>
            </w:r>
          </w:p>
        </w:tc>
        <w:tc>
          <w:tcPr>
            <w:tcW w:w="449" w:type="pct"/>
            <w:shd w:val="clear" w:color="auto" w:fill="0070C0"/>
          </w:tcPr>
          <w:p w14:paraId="5AB44C1F" w14:textId="77777777" w:rsidR="0020372C" w:rsidRPr="00DA4ACC" w:rsidRDefault="0020372C" w:rsidP="00444C77">
            <w:pPr>
              <w:jc w:val="center"/>
              <w:rPr>
                <w:b/>
                <w:bCs/>
                <w:noProof/>
                <w:color w:val="FFFFFF"/>
                <w:sz w:val="20"/>
                <w:szCs w:val="20"/>
                <w:lang w:eastAsia="fr-BE"/>
              </w:rPr>
            </w:pPr>
            <w:r w:rsidRPr="00DA4ACC">
              <w:rPr>
                <w:b/>
                <w:bCs/>
                <w:noProof/>
                <w:color w:val="FFFFFF"/>
                <w:sz w:val="20"/>
                <w:szCs w:val="20"/>
                <w:lang w:eastAsia="fr-BE"/>
              </w:rPr>
              <w:t>2030</w:t>
            </w:r>
          </w:p>
        </w:tc>
        <w:tc>
          <w:tcPr>
            <w:tcW w:w="449" w:type="pct"/>
            <w:shd w:val="clear" w:color="auto" w:fill="0070C0"/>
            <w:noWrap/>
            <w:hideMark/>
          </w:tcPr>
          <w:p w14:paraId="51D9199A" w14:textId="77777777" w:rsidR="0020372C" w:rsidRPr="00DA4ACC" w:rsidRDefault="0020372C" w:rsidP="00444C77">
            <w:pPr>
              <w:jc w:val="center"/>
              <w:rPr>
                <w:b/>
                <w:bCs/>
                <w:noProof/>
                <w:color w:val="FFFFFF"/>
                <w:sz w:val="20"/>
                <w:szCs w:val="20"/>
                <w:lang w:eastAsia="fr-BE"/>
              </w:rPr>
            </w:pPr>
            <w:r w:rsidRPr="00DA4ACC">
              <w:rPr>
                <w:b/>
                <w:bCs/>
                <w:noProof/>
                <w:color w:val="FFFFFF"/>
                <w:sz w:val="20"/>
                <w:szCs w:val="20"/>
                <w:lang w:eastAsia="fr-BE"/>
              </w:rPr>
              <w:t>2040</w:t>
            </w:r>
          </w:p>
        </w:tc>
        <w:tc>
          <w:tcPr>
            <w:tcW w:w="449" w:type="pct"/>
            <w:shd w:val="clear" w:color="auto" w:fill="0070C0"/>
            <w:noWrap/>
            <w:hideMark/>
          </w:tcPr>
          <w:p w14:paraId="10B808B5" w14:textId="77777777" w:rsidR="0020372C" w:rsidRPr="00DA4ACC" w:rsidRDefault="0020372C" w:rsidP="00444C77">
            <w:pPr>
              <w:jc w:val="center"/>
              <w:rPr>
                <w:b/>
                <w:bCs/>
                <w:noProof/>
                <w:color w:val="FFFFFF"/>
                <w:sz w:val="20"/>
                <w:szCs w:val="20"/>
                <w:lang w:eastAsia="fr-BE"/>
              </w:rPr>
            </w:pPr>
            <w:r w:rsidRPr="00DA4ACC">
              <w:rPr>
                <w:b/>
                <w:bCs/>
                <w:noProof/>
                <w:color w:val="FFFFFF"/>
                <w:sz w:val="20"/>
                <w:szCs w:val="20"/>
                <w:lang w:eastAsia="fr-BE"/>
              </w:rPr>
              <w:t>2050</w:t>
            </w:r>
          </w:p>
        </w:tc>
        <w:tc>
          <w:tcPr>
            <w:tcW w:w="449" w:type="pct"/>
            <w:shd w:val="clear" w:color="auto" w:fill="0070C0"/>
            <w:noWrap/>
            <w:hideMark/>
          </w:tcPr>
          <w:p w14:paraId="7F32C079" w14:textId="77777777" w:rsidR="0020372C" w:rsidRPr="00DA4ACC" w:rsidRDefault="0020372C" w:rsidP="00444C77">
            <w:pPr>
              <w:jc w:val="center"/>
              <w:rPr>
                <w:b/>
                <w:bCs/>
                <w:noProof/>
                <w:color w:val="FFFFFF"/>
                <w:sz w:val="20"/>
                <w:szCs w:val="20"/>
                <w:lang w:eastAsia="fr-BE"/>
              </w:rPr>
            </w:pPr>
            <w:r w:rsidRPr="00DA4ACC">
              <w:rPr>
                <w:b/>
                <w:bCs/>
                <w:noProof/>
                <w:color w:val="FFFFFF"/>
                <w:sz w:val="20"/>
                <w:szCs w:val="20"/>
                <w:lang w:eastAsia="fr-BE"/>
              </w:rPr>
              <w:t>2019-2030</w:t>
            </w:r>
          </w:p>
        </w:tc>
        <w:tc>
          <w:tcPr>
            <w:tcW w:w="449" w:type="pct"/>
            <w:shd w:val="clear" w:color="auto" w:fill="0070C0"/>
          </w:tcPr>
          <w:p w14:paraId="590ECF0D" w14:textId="77777777" w:rsidR="0020372C" w:rsidRPr="00DA4ACC" w:rsidRDefault="0020372C" w:rsidP="00444C77">
            <w:pPr>
              <w:jc w:val="center"/>
              <w:rPr>
                <w:b/>
                <w:bCs/>
                <w:noProof/>
                <w:color w:val="FFFFFF"/>
                <w:sz w:val="20"/>
                <w:szCs w:val="20"/>
                <w:lang w:eastAsia="fr-BE"/>
              </w:rPr>
            </w:pPr>
            <w:r w:rsidRPr="00DA4ACC">
              <w:rPr>
                <w:b/>
                <w:bCs/>
                <w:noProof/>
                <w:color w:val="FFFFFF"/>
                <w:sz w:val="20"/>
                <w:szCs w:val="20"/>
                <w:lang w:eastAsia="fr-BE"/>
              </w:rPr>
              <w:t>2019-2040</w:t>
            </w:r>
          </w:p>
        </w:tc>
        <w:tc>
          <w:tcPr>
            <w:tcW w:w="450" w:type="pct"/>
            <w:shd w:val="clear" w:color="auto" w:fill="0070C0"/>
            <w:noWrap/>
            <w:hideMark/>
          </w:tcPr>
          <w:p w14:paraId="282A118C" w14:textId="77777777" w:rsidR="0020372C" w:rsidRPr="00DA4ACC" w:rsidRDefault="0020372C" w:rsidP="00444C77">
            <w:pPr>
              <w:jc w:val="center"/>
              <w:rPr>
                <w:b/>
                <w:bCs/>
                <w:noProof/>
                <w:color w:val="FFFFFF"/>
                <w:sz w:val="20"/>
                <w:szCs w:val="20"/>
                <w:lang w:eastAsia="fr-BE"/>
              </w:rPr>
            </w:pPr>
            <w:r w:rsidRPr="00DA4ACC">
              <w:rPr>
                <w:b/>
                <w:bCs/>
                <w:noProof/>
                <w:color w:val="FFFFFF"/>
                <w:sz w:val="20"/>
                <w:szCs w:val="20"/>
                <w:lang w:eastAsia="fr-BE"/>
              </w:rPr>
              <w:t>2019-2050</w:t>
            </w:r>
          </w:p>
        </w:tc>
      </w:tr>
      <w:tr w:rsidR="0020372C" w:rsidRPr="00DA4ACC" w14:paraId="69E2EA26" w14:textId="77777777" w:rsidTr="00444C77">
        <w:trPr>
          <w:trHeight w:val="284"/>
          <w:jc w:val="center"/>
        </w:trPr>
        <w:tc>
          <w:tcPr>
            <w:tcW w:w="5000" w:type="pct"/>
            <w:gridSpan w:val="9"/>
            <w:shd w:val="clear" w:color="auto" w:fill="DBE5F1"/>
          </w:tcPr>
          <w:p w14:paraId="3EEECAB2" w14:textId="77777777" w:rsidR="0020372C" w:rsidRPr="00DA4ACC" w:rsidRDefault="0020372C" w:rsidP="00444C77">
            <w:pPr>
              <w:rPr>
                <w:b/>
                <w:bCs/>
                <w:noProof/>
                <w:sz w:val="20"/>
                <w:szCs w:val="20"/>
                <w:lang w:eastAsia="fr-BE"/>
              </w:rPr>
            </w:pPr>
            <w:r w:rsidRPr="00DA4ACC">
              <w:rPr>
                <w:b/>
                <w:bCs/>
                <w:noProof/>
                <w:sz w:val="20"/>
                <w:szCs w:val="20"/>
                <w:lang w:eastAsia="fr-BE"/>
              </w:rPr>
              <w:t>Total air, coach, rail and waterborne passenger transport</w:t>
            </w:r>
            <w:r w:rsidRPr="00DA4ACC">
              <w:rPr>
                <w:b/>
                <w:bCs/>
                <w:noProof/>
                <w:color w:val="FFFFFF"/>
                <w:sz w:val="20"/>
                <w:szCs w:val="20"/>
                <w:lang w:eastAsia="fr-BE"/>
              </w:rPr>
              <w:t> </w:t>
            </w:r>
          </w:p>
        </w:tc>
      </w:tr>
      <w:tr w:rsidR="004D0215" w:rsidRPr="00DA4ACC" w14:paraId="16040169" w14:textId="77777777" w:rsidTr="00F0674A">
        <w:trPr>
          <w:trHeight w:val="284"/>
          <w:jc w:val="center"/>
        </w:trPr>
        <w:tc>
          <w:tcPr>
            <w:tcW w:w="1407" w:type="pct"/>
            <w:shd w:val="clear" w:color="000000" w:fill="FFFFFF"/>
          </w:tcPr>
          <w:p w14:paraId="413DABB1" w14:textId="77777777" w:rsidR="0020372C" w:rsidRPr="00DA4ACC" w:rsidRDefault="0020372C" w:rsidP="00B21F0F">
            <w:pPr>
              <w:rPr>
                <w:noProof/>
                <w:sz w:val="20"/>
                <w:szCs w:val="20"/>
                <w:lang w:eastAsia="fr-BE"/>
              </w:rPr>
            </w:pPr>
            <w:r w:rsidRPr="00DA4ACC">
              <w:rPr>
                <w:noProof/>
                <w:sz w:val="20"/>
                <w:szCs w:val="20"/>
                <w:lang w:eastAsia="fr-BE"/>
              </w:rPr>
              <w:t>Coach *</w:t>
            </w:r>
          </w:p>
        </w:tc>
        <w:tc>
          <w:tcPr>
            <w:tcW w:w="449" w:type="pct"/>
            <w:noWrap/>
          </w:tcPr>
          <w:p w14:paraId="75F070C0" w14:textId="77777777" w:rsidR="0020372C" w:rsidRPr="00DA4ACC" w:rsidRDefault="0020372C" w:rsidP="00B21F0F">
            <w:pPr>
              <w:jc w:val="right"/>
              <w:rPr>
                <w:noProof/>
                <w:sz w:val="20"/>
                <w:szCs w:val="20"/>
                <w:lang w:eastAsia="fr-BE"/>
              </w:rPr>
            </w:pPr>
            <w:r w:rsidRPr="00DA4ACC">
              <w:rPr>
                <w:noProof/>
                <w:sz w:val="20"/>
                <w:szCs w:val="20"/>
                <w:lang w:eastAsia="fr-BE"/>
              </w:rPr>
              <w:t>3</w:t>
            </w:r>
            <w:r>
              <w:rPr>
                <w:noProof/>
                <w:sz w:val="20"/>
                <w:szCs w:val="20"/>
                <w:lang w:eastAsia="fr-BE"/>
              </w:rPr>
              <w:t>,</w:t>
            </w:r>
            <w:r w:rsidRPr="00DA4ACC">
              <w:rPr>
                <w:noProof/>
                <w:sz w:val="20"/>
                <w:szCs w:val="20"/>
                <w:lang w:eastAsia="fr-BE"/>
              </w:rPr>
              <w:t>345</w:t>
            </w:r>
          </w:p>
        </w:tc>
        <w:tc>
          <w:tcPr>
            <w:tcW w:w="449" w:type="pct"/>
          </w:tcPr>
          <w:p w14:paraId="24227295" w14:textId="43EF5828" w:rsidR="0020372C" w:rsidRPr="00DA4ACC" w:rsidRDefault="00B717A3" w:rsidP="00B21F0F">
            <w:pPr>
              <w:jc w:val="right"/>
              <w:rPr>
                <w:noProof/>
                <w:sz w:val="20"/>
                <w:szCs w:val="20"/>
                <w:lang w:eastAsia="fr-BE"/>
              </w:rPr>
            </w:pPr>
            <w:r w:rsidRPr="002770CC">
              <w:rPr>
                <w:noProof/>
                <w:color w:val="000000"/>
                <w:sz w:val="20"/>
                <w:szCs w:val="20"/>
              </w:rPr>
              <w:t xml:space="preserve">   3,357 </w:t>
            </w:r>
          </w:p>
        </w:tc>
        <w:tc>
          <w:tcPr>
            <w:tcW w:w="449" w:type="pct"/>
          </w:tcPr>
          <w:p w14:paraId="58928948" w14:textId="1069279D" w:rsidR="0020372C" w:rsidRPr="00DA4ACC" w:rsidRDefault="00736FD4" w:rsidP="00B21F0F">
            <w:pPr>
              <w:jc w:val="right"/>
              <w:rPr>
                <w:noProof/>
                <w:sz w:val="20"/>
                <w:szCs w:val="20"/>
                <w:lang w:eastAsia="fr-BE"/>
              </w:rPr>
            </w:pPr>
            <w:r w:rsidRPr="00736FD4">
              <w:rPr>
                <w:noProof/>
                <w:sz w:val="20"/>
                <w:szCs w:val="20"/>
                <w:lang w:eastAsia="fr-BE"/>
              </w:rPr>
              <w:t>3,646</w:t>
            </w:r>
          </w:p>
        </w:tc>
        <w:tc>
          <w:tcPr>
            <w:tcW w:w="449" w:type="pct"/>
            <w:noWrap/>
          </w:tcPr>
          <w:p w14:paraId="08A9701E" w14:textId="77777777" w:rsidR="0020372C" w:rsidRPr="00DA4ACC" w:rsidRDefault="0020372C" w:rsidP="00B21F0F">
            <w:pPr>
              <w:jc w:val="right"/>
              <w:rPr>
                <w:noProof/>
                <w:sz w:val="20"/>
                <w:szCs w:val="20"/>
                <w:lang w:eastAsia="fr-BE"/>
              </w:rPr>
            </w:pPr>
            <w:r w:rsidRPr="00DA4ACC">
              <w:rPr>
                <w:noProof/>
                <w:sz w:val="20"/>
                <w:szCs w:val="20"/>
                <w:lang w:eastAsia="fr-BE"/>
              </w:rPr>
              <w:t>3</w:t>
            </w:r>
            <w:r>
              <w:rPr>
                <w:noProof/>
                <w:sz w:val="20"/>
                <w:szCs w:val="20"/>
                <w:lang w:eastAsia="fr-BE"/>
              </w:rPr>
              <w:t>,</w:t>
            </w:r>
            <w:r w:rsidRPr="00DA4ACC">
              <w:rPr>
                <w:noProof/>
                <w:sz w:val="20"/>
                <w:szCs w:val="20"/>
                <w:lang w:eastAsia="fr-BE"/>
              </w:rPr>
              <w:t>935</w:t>
            </w:r>
          </w:p>
        </w:tc>
        <w:tc>
          <w:tcPr>
            <w:tcW w:w="449" w:type="pct"/>
            <w:noWrap/>
          </w:tcPr>
          <w:p w14:paraId="673EE405" w14:textId="77777777" w:rsidR="0020372C" w:rsidRPr="00DA4ACC" w:rsidRDefault="0020372C" w:rsidP="00B21F0F">
            <w:pPr>
              <w:jc w:val="right"/>
              <w:rPr>
                <w:noProof/>
                <w:sz w:val="20"/>
                <w:szCs w:val="20"/>
                <w:lang w:eastAsia="fr-BE"/>
              </w:rPr>
            </w:pPr>
            <w:r w:rsidRPr="00DA4ACC">
              <w:rPr>
                <w:noProof/>
                <w:sz w:val="20"/>
                <w:szCs w:val="20"/>
                <w:lang w:eastAsia="fr-BE"/>
              </w:rPr>
              <w:t>4</w:t>
            </w:r>
            <w:r>
              <w:rPr>
                <w:noProof/>
                <w:sz w:val="20"/>
                <w:szCs w:val="20"/>
                <w:lang w:eastAsia="fr-BE"/>
              </w:rPr>
              <w:t>,</w:t>
            </w:r>
            <w:r w:rsidRPr="00DA4ACC">
              <w:rPr>
                <w:noProof/>
                <w:sz w:val="20"/>
                <w:szCs w:val="20"/>
                <w:lang w:eastAsia="fr-BE"/>
              </w:rPr>
              <w:t>152</w:t>
            </w:r>
          </w:p>
        </w:tc>
        <w:tc>
          <w:tcPr>
            <w:tcW w:w="449" w:type="pct"/>
            <w:noWrap/>
          </w:tcPr>
          <w:p w14:paraId="72BE8BB3" w14:textId="2D2176E5" w:rsidR="0020372C" w:rsidRPr="00DA4ACC" w:rsidRDefault="0020372C" w:rsidP="00B21F0F">
            <w:pPr>
              <w:jc w:val="right"/>
              <w:rPr>
                <w:noProof/>
                <w:sz w:val="20"/>
                <w:szCs w:val="20"/>
                <w:lang w:eastAsia="fr-BE"/>
              </w:rPr>
            </w:pPr>
            <w:r w:rsidRPr="00DA4ACC">
              <w:rPr>
                <w:noProof/>
                <w:sz w:val="20"/>
                <w:szCs w:val="20"/>
                <w:lang w:eastAsia="fr-BE"/>
              </w:rPr>
              <w:t>9.</w:t>
            </w:r>
            <w:r w:rsidR="001E29EA">
              <w:rPr>
                <w:noProof/>
                <w:sz w:val="20"/>
                <w:szCs w:val="20"/>
                <w:lang w:eastAsia="fr-BE"/>
              </w:rPr>
              <w:t>0</w:t>
            </w:r>
            <w:r w:rsidRPr="00DA4ACC">
              <w:rPr>
                <w:noProof/>
                <w:sz w:val="20"/>
                <w:szCs w:val="20"/>
                <w:lang w:eastAsia="fr-BE"/>
              </w:rPr>
              <w:t>%</w:t>
            </w:r>
          </w:p>
        </w:tc>
        <w:tc>
          <w:tcPr>
            <w:tcW w:w="449" w:type="pct"/>
          </w:tcPr>
          <w:p w14:paraId="130243D9" w14:textId="77777777" w:rsidR="0020372C" w:rsidRPr="00DA4ACC" w:rsidRDefault="0020372C" w:rsidP="00B21F0F">
            <w:pPr>
              <w:jc w:val="right"/>
              <w:rPr>
                <w:noProof/>
                <w:sz w:val="20"/>
                <w:szCs w:val="20"/>
                <w:lang w:eastAsia="fr-BE"/>
              </w:rPr>
            </w:pPr>
            <w:r w:rsidRPr="00DA4ACC">
              <w:rPr>
                <w:noProof/>
                <w:sz w:val="20"/>
                <w:szCs w:val="20"/>
                <w:lang w:eastAsia="fr-BE"/>
              </w:rPr>
              <w:t>17.6%</w:t>
            </w:r>
          </w:p>
        </w:tc>
        <w:tc>
          <w:tcPr>
            <w:tcW w:w="450" w:type="pct"/>
            <w:noWrap/>
          </w:tcPr>
          <w:p w14:paraId="58F18C02" w14:textId="77777777" w:rsidR="0020372C" w:rsidRPr="00DA4ACC" w:rsidRDefault="0020372C" w:rsidP="00B21F0F">
            <w:pPr>
              <w:jc w:val="right"/>
              <w:rPr>
                <w:noProof/>
                <w:sz w:val="20"/>
                <w:szCs w:val="20"/>
                <w:lang w:eastAsia="fr-BE"/>
              </w:rPr>
            </w:pPr>
            <w:r w:rsidRPr="00DA4ACC">
              <w:rPr>
                <w:noProof/>
                <w:sz w:val="20"/>
                <w:szCs w:val="20"/>
                <w:lang w:eastAsia="fr-BE"/>
              </w:rPr>
              <w:t>24.1%</w:t>
            </w:r>
          </w:p>
        </w:tc>
      </w:tr>
      <w:tr w:rsidR="004D0215" w:rsidRPr="00DA4ACC" w14:paraId="547AE0AA" w14:textId="77777777" w:rsidTr="00F0674A">
        <w:trPr>
          <w:trHeight w:val="284"/>
          <w:jc w:val="center"/>
        </w:trPr>
        <w:tc>
          <w:tcPr>
            <w:tcW w:w="1407" w:type="pct"/>
            <w:shd w:val="clear" w:color="000000" w:fill="FFFFFF"/>
          </w:tcPr>
          <w:p w14:paraId="052231B7" w14:textId="1139CBD0" w:rsidR="0020372C" w:rsidRPr="00DA4ACC" w:rsidRDefault="0020372C" w:rsidP="00B21F0F">
            <w:pPr>
              <w:rPr>
                <w:noProof/>
                <w:sz w:val="20"/>
                <w:szCs w:val="20"/>
                <w:lang w:eastAsia="fr-BE"/>
              </w:rPr>
            </w:pPr>
            <w:r w:rsidRPr="00DA4ACC">
              <w:rPr>
                <w:noProof/>
                <w:sz w:val="20"/>
                <w:szCs w:val="20"/>
                <w:lang w:eastAsia="fr-BE"/>
              </w:rPr>
              <w:t>Rail transport *</w:t>
            </w:r>
            <w:r w:rsidR="00B90A74">
              <w:rPr>
                <w:noProof/>
                <w:sz w:val="20"/>
                <w:szCs w:val="20"/>
                <w:lang w:eastAsia="fr-BE"/>
              </w:rPr>
              <w:t>*</w:t>
            </w:r>
          </w:p>
        </w:tc>
        <w:tc>
          <w:tcPr>
            <w:tcW w:w="449" w:type="pct"/>
            <w:noWrap/>
          </w:tcPr>
          <w:p w14:paraId="0BD9F73A" w14:textId="77777777" w:rsidR="0020372C" w:rsidRPr="00DA4ACC" w:rsidRDefault="0020372C" w:rsidP="00B21F0F">
            <w:pPr>
              <w:jc w:val="right"/>
              <w:rPr>
                <w:noProof/>
                <w:sz w:val="20"/>
                <w:szCs w:val="20"/>
                <w:lang w:eastAsia="fr-BE"/>
              </w:rPr>
            </w:pPr>
            <w:r w:rsidRPr="00DA4ACC">
              <w:rPr>
                <w:noProof/>
                <w:sz w:val="20"/>
                <w:szCs w:val="20"/>
                <w:lang w:eastAsia="fr-BE"/>
              </w:rPr>
              <w:t>8</w:t>
            </w:r>
            <w:r>
              <w:rPr>
                <w:noProof/>
                <w:sz w:val="20"/>
                <w:szCs w:val="20"/>
                <w:lang w:eastAsia="fr-BE"/>
              </w:rPr>
              <w:t>,</w:t>
            </w:r>
            <w:r w:rsidRPr="00DA4ACC">
              <w:rPr>
                <w:noProof/>
                <w:sz w:val="20"/>
                <w:szCs w:val="20"/>
                <w:lang w:eastAsia="fr-BE"/>
              </w:rPr>
              <w:t>639</w:t>
            </w:r>
          </w:p>
        </w:tc>
        <w:tc>
          <w:tcPr>
            <w:tcW w:w="449" w:type="pct"/>
          </w:tcPr>
          <w:p w14:paraId="43EE12F5" w14:textId="77DB0641" w:rsidR="0020372C" w:rsidRPr="00DA4ACC" w:rsidRDefault="00B717A3" w:rsidP="00B21F0F">
            <w:pPr>
              <w:jc w:val="right"/>
              <w:rPr>
                <w:noProof/>
                <w:sz w:val="20"/>
                <w:szCs w:val="20"/>
                <w:lang w:eastAsia="fr-BE"/>
              </w:rPr>
            </w:pPr>
            <w:r w:rsidRPr="002770CC">
              <w:rPr>
                <w:noProof/>
                <w:color w:val="000000"/>
                <w:sz w:val="20"/>
                <w:szCs w:val="20"/>
              </w:rPr>
              <w:t xml:space="preserve">     9,639 </w:t>
            </w:r>
          </w:p>
        </w:tc>
        <w:tc>
          <w:tcPr>
            <w:tcW w:w="449" w:type="pct"/>
          </w:tcPr>
          <w:p w14:paraId="1F5A2543" w14:textId="77777777" w:rsidR="0020372C" w:rsidRPr="00DA4ACC" w:rsidRDefault="0020372C" w:rsidP="00B21F0F">
            <w:pPr>
              <w:jc w:val="right"/>
              <w:rPr>
                <w:noProof/>
                <w:sz w:val="20"/>
                <w:szCs w:val="20"/>
                <w:lang w:eastAsia="fr-BE"/>
              </w:rPr>
            </w:pPr>
            <w:r w:rsidRPr="00DA4ACC">
              <w:rPr>
                <w:noProof/>
                <w:sz w:val="20"/>
                <w:szCs w:val="20"/>
                <w:lang w:eastAsia="fr-BE"/>
              </w:rPr>
              <w:t>10</w:t>
            </w:r>
            <w:r>
              <w:rPr>
                <w:noProof/>
                <w:sz w:val="20"/>
                <w:szCs w:val="20"/>
                <w:lang w:eastAsia="fr-BE"/>
              </w:rPr>
              <w:t>,</w:t>
            </w:r>
            <w:r w:rsidRPr="00DA4ACC">
              <w:rPr>
                <w:noProof/>
                <w:sz w:val="20"/>
                <w:szCs w:val="20"/>
                <w:lang w:eastAsia="fr-BE"/>
              </w:rPr>
              <w:t>720</w:t>
            </w:r>
          </w:p>
        </w:tc>
        <w:tc>
          <w:tcPr>
            <w:tcW w:w="449" w:type="pct"/>
            <w:noWrap/>
          </w:tcPr>
          <w:p w14:paraId="6054302A" w14:textId="77777777" w:rsidR="0020372C" w:rsidRPr="00DA4ACC" w:rsidRDefault="0020372C" w:rsidP="00B21F0F">
            <w:pPr>
              <w:jc w:val="right"/>
              <w:rPr>
                <w:noProof/>
                <w:sz w:val="20"/>
                <w:szCs w:val="20"/>
                <w:lang w:eastAsia="fr-BE"/>
              </w:rPr>
            </w:pPr>
            <w:r w:rsidRPr="00DA4ACC">
              <w:rPr>
                <w:noProof/>
                <w:sz w:val="20"/>
                <w:szCs w:val="20"/>
                <w:lang w:eastAsia="fr-BE"/>
              </w:rPr>
              <w:t>11</w:t>
            </w:r>
            <w:r>
              <w:rPr>
                <w:noProof/>
                <w:sz w:val="20"/>
                <w:szCs w:val="20"/>
                <w:lang w:eastAsia="fr-BE"/>
              </w:rPr>
              <w:t>,</w:t>
            </w:r>
            <w:r w:rsidRPr="00DA4ACC">
              <w:rPr>
                <w:noProof/>
                <w:sz w:val="20"/>
                <w:szCs w:val="20"/>
                <w:lang w:eastAsia="fr-BE"/>
              </w:rPr>
              <w:t>864</w:t>
            </w:r>
          </w:p>
        </w:tc>
        <w:tc>
          <w:tcPr>
            <w:tcW w:w="449" w:type="pct"/>
            <w:noWrap/>
          </w:tcPr>
          <w:p w14:paraId="18C89746" w14:textId="77777777" w:rsidR="0020372C" w:rsidRPr="00DA4ACC" w:rsidRDefault="0020372C" w:rsidP="00B21F0F">
            <w:pPr>
              <w:jc w:val="right"/>
              <w:rPr>
                <w:noProof/>
                <w:sz w:val="20"/>
                <w:szCs w:val="20"/>
                <w:lang w:eastAsia="fr-BE"/>
              </w:rPr>
            </w:pPr>
            <w:r w:rsidRPr="00DA4ACC">
              <w:rPr>
                <w:noProof/>
                <w:sz w:val="20"/>
                <w:szCs w:val="20"/>
                <w:lang w:eastAsia="fr-BE"/>
              </w:rPr>
              <w:t>12</w:t>
            </w:r>
            <w:r>
              <w:rPr>
                <w:noProof/>
                <w:sz w:val="20"/>
                <w:szCs w:val="20"/>
                <w:lang w:eastAsia="fr-BE"/>
              </w:rPr>
              <w:t>,</w:t>
            </w:r>
            <w:r w:rsidRPr="00DA4ACC">
              <w:rPr>
                <w:noProof/>
                <w:sz w:val="20"/>
                <w:szCs w:val="20"/>
                <w:lang w:eastAsia="fr-BE"/>
              </w:rPr>
              <w:t>525</w:t>
            </w:r>
          </w:p>
        </w:tc>
        <w:tc>
          <w:tcPr>
            <w:tcW w:w="449" w:type="pct"/>
            <w:noWrap/>
          </w:tcPr>
          <w:p w14:paraId="62600E00" w14:textId="77777777" w:rsidR="0020372C" w:rsidRPr="00DA4ACC" w:rsidRDefault="0020372C" w:rsidP="00B21F0F">
            <w:pPr>
              <w:jc w:val="right"/>
              <w:rPr>
                <w:noProof/>
                <w:sz w:val="20"/>
                <w:szCs w:val="20"/>
                <w:lang w:eastAsia="fr-BE"/>
              </w:rPr>
            </w:pPr>
            <w:r w:rsidRPr="00DA4ACC">
              <w:rPr>
                <w:noProof/>
                <w:sz w:val="20"/>
                <w:szCs w:val="20"/>
                <w:lang w:eastAsia="fr-BE"/>
              </w:rPr>
              <w:t>24.1%</w:t>
            </w:r>
          </w:p>
        </w:tc>
        <w:tc>
          <w:tcPr>
            <w:tcW w:w="449" w:type="pct"/>
          </w:tcPr>
          <w:p w14:paraId="1A061156" w14:textId="77777777" w:rsidR="0020372C" w:rsidRPr="00DA4ACC" w:rsidRDefault="0020372C" w:rsidP="00B21F0F">
            <w:pPr>
              <w:jc w:val="right"/>
              <w:rPr>
                <w:noProof/>
                <w:sz w:val="20"/>
                <w:szCs w:val="20"/>
                <w:lang w:eastAsia="fr-BE"/>
              </w:rPr>
            </w:pPr>
            <w:r w:rsidRPr="00DA4ACC">
              <w:rPr>
                <w:noProof/>
                <w:sz w:val="20"/>
                <w:szCs w:val="20"/>
                <w:lang w:eastAsia="fr-BE"/>
              </w:rPr>
              <w:t>37.3%</w:t>
            </w:r>
          </w:p>
        </w:tc>
        <w:tc>
          <w:tcPr>
            <w:tcW w:w="450" w:type="pct"/>
            <w:noWrap/>
          </w:tcPr>
          <w:p w14:paraId="75D3C2F7" w14:textId="77777777" w:rsidR="0020372C" w:rsidRPr="00DA4ACC" w:rsidRDefault="0020372C" w:rsidP="00B21F0F">
            <w:pPr>
              <w:jc w:val="right"/>
              <w:rPr>
                <w:noProof/>
                <w:sz w:val="20"/>
                <w:szCs w:val="20"/>
                <w:lang w:eastAsia="fr-BE"/>
              </w:rPr>
            </w:pPr>
            <w:r w:rsidRPr="00DA4ACC">
              <w:rPr>
                <w:noProof/>
                <w:sz w:val="20"/>
                <w:szCs w:val="20"/>
                <w:lang w:eastAsia="fr-BE"/>
              </w:rPr>
              <w:t>45.0%</w:t>
            </w:r>
          </w:p>
        </w:tc>
      </w:tr>
      <w:tr w:rsidR="004D0215" w:rsidRPr="00DA4ACC" w14:paraId="1CFB2C9E" w14:textId="77777777" w:rsidTr="00F0674A">
        <w:trPr>
          <w:trHeight w:val="284"/>
          <w:jc w:val="center"/>
        </w:trPr>
        <w:tc>
          <w:tcPr>
            <w:tcW w:w="1407" w:type="pct"/>
            <w:shd w:val="clear" w:color="000000" w:fill="FFFFFF"/>
            <w:hideMark/>
          </w:tcPr>
          <w:p w14:paraId="001FED71" w14:textId="77777777" w:rsidR="0020372C" w:rsidRPr="00DA4ACC" w:rsidRDefault="0020372C" w:rsidP="00B21F0F">
            <w:pPr>
              <w:rPr>
                <w:noProof/>
                <w:sz w:val="20"/>
                <w:szCs w:val="20"/>
                <w:lang w:eastAsia="fr-BE"/>
              </w:rPr>
            </w:pPr>
            <w:r w:rsidRPr="00DA4ACC">
              <w:rPr>
                <w:noProof/>
                <w:sz w:val="20"/>
                <w:szCs w:val="20"/>
                <w:lang w:eastAsia="fr-BE"/>
              </w:rPr>
              <w:t>Air transport</w:t>
            </w:r>
          </w:p>
        </w:tc>
        <w:tc>
          <w:tcPr>
            <w:tcW w:w="449" w:type="pct"/>
            <w:noWrap/>
          </w:tcPr>
          <w:p w14:paraId="63E4AC2A" w14:textId="77777777" w:rsidR="0020372C" w:rsidRPr="00DA4ACC" w:rsidRDefault="0020372C" w:rsidP="00B21F0F">
            <w:pPr>
              <w:jc w:val="right"/>
              <w:rPr>
                <w:noProof/>
                <w:sz w:val="20"/>
                <w:szCs w:val="20"/>
                <w:lang w:eastAsia="fr-BE"/>
              </w:rPr>
            </w:pPr>
            <w:r w:rsidRPr="00DA4ACC">
              <w:rPr>
                <w:noProof/>
                <w:sz w:val="20"/>
                <w:szCs w:val="20"/>
                <w:lang w:eastAsia="fr-BE"/>
              </w:rPr>
              <w:t>515</w:t>
            </w:r>
          </w:p>
        </w:tc>
        <w:tc>
          <w:tcPr>
            <w:tcW w:w="449" w:type="pct"/>
          </w:tcPr>
          <w:p w14:paraId="56ADB63A" w14:textId="00047AC0" w:rsidR="0020372C" w:rsidRPr="00DA4ACC" w:rsidRDefault="00B717A3" w:rsidP="00B21F0F">
            <w:pPr>
              <w:jc w:val="right"/>
              <w:rPr>
                <w:noProof/>
                <w:sz w:val="20"/>
                <w:szCs w:val="20"/>
                <w:lang w:eastAsia="fr-BE"/>
              </w:rPr>
            </w:pPr>
            <w:r w:rsidRPr="00F0674A">
              <w:rPr>
                <w:noProof/>
                <w:color w:val="000000"/>
                <w:sz w:val="20"/>
                <w:szCs w:val="20"/>
              </w:rPr>
              <w:t xml:space="preserve">       538 </w:t>
            </w:r>
          </w:p>
        </w:tc>
        <w:tc>
          <w:tcPr>
            <w:tcW w:w="449" w:type="pct"/>
          </w:tcPr>
          <w:p w14:paraId="6134B7AB" w14:textId="77777777" w:rsidR="0020372C" w:rsidRPr="00DA4ACC" w:rsidRDefault="0020372C" w:rsidP="00B21F0F">
            <w:pPr>
              <w:jc w:val="right"/>
              <w:rPr>
                <w:noProof/>
                <w:sz w:val="20"/>
                <w:szCs w:val="20"/>
                <w:lang w:eastAsia="fr-BE"/>
              </w:rPr>
            </w:pPr>
            <w:r w:rsidRPr="00DA4ACC">
              <w:rPr>
                <w:noProof/>
                <w:sz w:val="20"/>
                <w:szCs w:val="20"/>
                <w:lang w:eastAsia="fr-BE"/>
              </w:rPr>
              <w:t>542</w:t>
            </w:r>
          </w:p>
        </w:tc>
        <w:tc>
          <w:tcPr>
            <w:tcW w:w="449" w:type="pct"/>
            <w:noWrap/>
          </w:tcPr>
          <w:p w14:paraId="3E770AD7" w14:textId="77777777" w:rsidR="0020372C" w:rsidRPr="00DA4ACC" w:rsidRDefault="0020372C" w:rsidP="00B21F0F">
            <w:pPr>
              <w:jc w:val="right"/>
              <w:rPr>
                <w:noProof/>
                <w:sz w:val="20"/>
                <w:szCs w:val="20"/>
                <w:lang w:eastAsia="fr-BE"/>
              </w:rPr>
            </w:pPr>
            <w:r w:rsidRPr="00DA4ACC">
              <w:rPr>
                <w:noProof/>
                <w:sz w:val="20"/>
                <w:szCs w:val="20"/>
                <w:lang w:eastAsia="fr-BE"/>
              </w:rPr>
              <w:t>611</w:t>
            </w:r>
          </w:p>
        </w:tc>
        <w:tc>
          <w:tcPr>
            <w:tcW w:w="449" w:type="pct"/>
            <w:noWrap/>
          </w:tcPr>
          <w:p w14:paraId="77E7AD46" w14:textId="77777777" w:rsidR="0020372C" w:rsidRPr="00DA4ACC" w:rsidRDefault="0020372C" w:rsidP="00B21F0F">
            <w:pPr>
              <w:jc w:val="right"/>
              <w:rPr>
                <w:noProof/>
                <w:sz w:val="20"/>
                <w:szCs w:val="20"/>
                <w:lang w:eastAsia="fr-BE"/>
              </w:rPr>
            </w:pPr>
            <w:r w:rsidRPr="00DA4ACC">
              <w:rPr>
                <w:noProof/>
                <w:sz w:val="20"/>
                <w:szCs w:val="20"/>
                <w:lang w:eastAsia="fr-BE"/>
              </w:rPr>
              <w:t>644</w:t>
            </w:r>
          </w:p>
        </w:tc>
        <w:tc>
          <w:tcPr>
            <w:tcW w:w="449" w:type="pct"/>
            <w:noWrap/>
          </w:tcPr>
          <w:p w14:paraId="0DEF4819" w14:textId="77777777" w:rsidR="0020372C" w:rsidRPr="00DA4ACC" w:rsidRDefault="0020372C" w:rsidP="00B21F0F">
            <w:pPr>
              <w:jc w:val="right"/>
              <w:rPr>
                <w:noProof/>
                <w:sz w:val="20"/>
                <w:szCs w:val="20"/>
                <w:lang w:eastAsia="fr-BE"/>
              </w:rPr>
            </w:pPr>
            <w:r w:rsidRPr="00DA4ACC">
              <w:rPr>
                <w:noProof/>
                <w:sz w:val="20"/>
                <w:szCs w:val="20"/>
                <w:lang w:eastAsia="fr-BE"/>
              </w:rPr>
              <w:t>5.1%</w:t>
            </w:r>
          </w:p>
        </w:tc>
        <w:tc>
          <w:tcPr>
            <w:tcW w:w="449" w:type="pct"/>
          </w:tcPr>
          <w:p w14:paraId="2FADAFB0" w14:textId="77777777" w:rsidR="0020372C" w:rsidRPr="00DA4ACC" w:rsidRDefault="0020372C" w:rsidP="00B21F0F">
            <w:pPr>
              <w:jc w:val="right"/>
              <w:rPr>
                <w:noProof/>
                <w:sz w:val="20"/>
                <w:szCs w:val="20"/>
                <w:lang w:eastAsia="fr-BE"/>
              </w:rPr>
            </w:pPr>
            <w:r w:rsidRPr="00DA4ACC">
              <w:rPr>
                <w:noProof/>
                <w:sz w:val="20"/>
                <w:szCs w:val="20"/>
                <w:lang w:eastAsia="fr-BE"/>
              </w:rPr>
              <w:t>18.5%</w:t>
            </w:r>
          </w:p>
        </w:tc>
        <w:tc>
          <w:tcPr>
            <w:tcW w:w="450" w:type="pct"/>
            <w:noWrap/>
          </w:tcPr>
          <w:p w14:paraId="3539CD27" w14:textId="77777777" w:rsidR="0020372C" w:rsidRPr="00DA4ACC" w:rsidRDefault="0020372C" w:rsidP="00B21F0F">
            <w:pPr>
              <w:jc w:val="right"/>
              <w:rPr>
                <w:noProof/>
                <w:sz w:val="20"/>
                <w:szCs w:val="20"/>
                <w:lang w:eastAsia="fr-BE"/>
              </w:rPr>
            </w:pPr>
            <w:r w:rsidRPr="00DA4ACC">
              <w:rPr>
                <w:noProof/>
                <w:sz w:val="20"/>
                <w:szCs w:val="20"/>
                <w:lang w:eastAsia="fr-BE"/>
              </w:rPr>
              <w:t>24.9%</w:t>
            </w:r>
          </w:p>
        </w:tc>
      </w:tr>
      <w:tr w:rsidR="004D0215" w:rsidRPr="00DA4ACC" w14:paraId="54972D1F" w14:textId="77777777" w:rsidTr="00F0674A">
        <w:trPr>
          <w:trHeight w:val="284"/>
          <w:jc w:val="center"/>
        </w:trPr>
        <w:tc>
          <w:tcPr>
            <w:tcW w:w="1407" w:type="pct"/>
            <w:shd w:val="clear" w:color="000000" w:fill="FFFFFF"/>
          </w:tcPr>
          <w:p w14:paraId="1F3E5193" w14:textId="148DE91B" w:rsidR="0020372C" w:rsidRPr="00DA4ACC" w:rsidRDefault="0020372C" w:rsidP="00B21F0F">
            <w:pPr>
              <w:rPr>
                <w:noProof/>
                <w:sz w:val="20"/>
                <w:szCs w:val="20"/>
                <w:lang w:eastAsia="fr-BE"/>
              </w:rPr>
            </w:pPr>
            <w:r w:rsidRPr="00DA4ACC">
              <w:rPr>
                <w:noProof/>
                <w:sz w:val="20"/>
                <w:szCs w:val="20"/>
                <w:lang w:eastAsia="fr-BE"/>
              </w:rPr>
              <w:t>Waterborne transport*</w:t>
            </w:r>
            <w:r w:rsidR="002B2C4A">
              <w:rPr>
                <w:noProof/>
                <w:sz w:val="20"/>
                <w:szCs w:val="20"/>
                <w:lang w:eastAsia="fr-BE"/>
              </w:rPr>
              <w:t>**</w:t>
            </w:r>
            <w:r w:rsidRPr="00DA4ACC">
              <w:rPr>
                <w:noProof/>
                <w:sz w:val="20"/>
                <w:szCs w:val="20"/>
                <w:lang w:eastAsia="fr-BE"/>
              </w:rPr>
              <w:t xml:space="preserve">  </w:t>
            </w:r>
          </w:p>
        </w:tc>
        <w:tc>
          <w:tcPr>
            <w:tcW w:w="449" w:type="pct"/>
            <w:noWrap/>
          </w:tcPr>
          <w:p w14:paraId="34CC4480" w14:textId="77777777" w:rsidR="0020372C" w:rsidRPr="00DA4ACC" w:rsidRDefault="0020372C" w:rsidP="00B21F0F">
            <w:pPr>
              <w:jc w:val="right"/>
              <w:rPr>
                <w:noProof/>
                <w:sz w:val="20"/>
                <w:szCs w:val="20"/>
                <w:lang w:eastAsia="fr-BE"/>
              </w:rPr>
            </w:pPr>
            <w:r w:rsidRPr="00DA4ACC">
              <w:rPr>
                <w:noProof/>
                <w:sz w:val="20"/>
                <w:szCs w:val="20"/>
                <w:lang w:eastAsia="fr-BE"/>
              </w:rPr>
              <w:t>418</w:t>
            </w:r>
          </w:p>
        </w:tc>
        <w:tc>
          <w:tcPr>
            <w:tcW w:w="449" w:type="pct"/>
          </w:tcPr>
          <w:p w14:paraId="1B6CC303" w14:textId="46E5C9A7" w:rsidR="0020372C" w:rsidRPr="00DA4ACC" w:rsidRDefault="00B717A3" w:rsidP="00B21F0F">
            <w:pPr>
              <w:jc w:val="right"/>
              <w:rPr>
                <w:noProof/>
                <w:sz w:val="20"/>
                <w:szCs w:val="20"/>
                <w:lang w:eastAsia="fr-BE"/>
              </w:rPr>
            </w:pPr>
            <w:r w:rsidRPr="00781031">
              <w:rPr>
                <w:noProof/>
                <w:color w:val="000000"/>
                <w:sz w:val="20"/>
                <w:szCs w:val="20"/>
              </w:rPr>
              <w:t xml:space="preserve">       465 </w:t>
            </w:r>
          </w:p>
        </w:tc>
        <w:tc>
          <w:tcPr>
            <w:tcW w:w="449" w:type="pct"/>
          </w:tcPr>
          <w:p w14:paraId="3681FBC5" w14:textId="77777777" w:rsidR="0020372C" w:rsidRPr="00DA4ACC" w:rsidRDefault="0020372C" w:rsidP="00B21F0F">
            <w:pPr>
              <w:jc w:val="right"/>
              <w:rPr>
                <w:noProof/>
                <w:sz w:val="20"/>
                <w:szCs w:val="20"/>
                <w:lang w:eastAsia="fr-BE"/>
              </w:rPr>
            </w:pPr>
            <w:r w:rsidRPr="00DA4ACC">
              <w:rPr>
                <w:noProof/>
                <w:sz w:val="20"/>
                <w:szCs w:val="20"/>
                <w:lang w:eastAsia="fr-BE"/>
              </w:rPr>
              <w:t>466</w:t>
            </w:r>
          </w:p>
        </w:tc>
        <w:tc>
          <w:tcPr>
            <w:tcW w:w="449" w:type="pct"/>
            <w:noWrap/>
          </w:tcPr>
          <w:p w14:paraId="33A47874" w14:textId="77777777" w:rsidR="0020372C" w:rsidRPr="00DA4ACC" w:rsidRDefault="0020372C" w:rsidP="00B21F0F">
            <w:pPr>
              <w:jc w:val="right"/>
              <w:rPr>
                <w:noProof/>
                <w:sz w:val="20"/>
                <w:szCs w:val="20"/>
                <w:lang w:eastAsia="fr-BE"/>
              </w:rPr>
            </w:pPr>
            <w:r w:rsidRPr="00DA4ACC">
              <w:rPr>
                <w:noProof/>
                <w:sz w:val="20"/>
                <w:szCs w:val="20"/>
                <w:lang w:eastAsia="fr-BE"/>
              </w:rPr>
              <w:t>485</w:t>
            </w:r>
          </w:p>
        </w:tc>
        <w:tc>
          <w:tcPr>
            <w:tcW w:w="449" w:type="pct"/>
            <w:noWrap/>
          </w:tcPr>
          <w:p w14:paraId="47ADC358" w14:textId="77777777" w:rsidR="0020372C" w:rsidRPr="00DA4ACC" w:rsidRDefault="0020372C" w:rsidP="00B21F0F">
            <w:pPr>
              <w:jc w:val="right"/>
              <w:rPr>
                <w:noProof/>
                <w:sz w:val="20"/>
                <w:szCs w:val="20"/>
                <w:lang w:eastAsia="fr-BE"/>
              </w:rPr>
            </w:pPr>
            <w:r w:rsidRPr="00DA4ACC">
              <w:rPr>
                <w:noProof/>
                <w:sz w:val="20"/>
                <w:szCs w:val="20"/>
                <w:lang w:eastAsia="fr-BE"/>
              </w:rPr>
              <w:t>518</w:t>
            </w:r>
          </w:p>
        </w:tc>
        <w:tc>
          <w:tcPr>
            <w:tcW w:w="449" w:type="pct"/>
            <w:noWrap/>
          </w:tcPr>
          <w:p w14:paraId="702BF290" w14:textId="77777777" w:rsidR="0020372C" w:rsidRPr="00DA4ACC" w:rsidRDefault="0020372C" w:rsidP="00B21F0F">
            <w:pPr>
              <w:jc w:val="right"/>
              <w:rPr>
                <w:noProof/>
                <w:sz w:val="20"/>
                <w:szCs w:val="20"/>
                <w:lang w:eastAsia="fr-BE"/>
              </w:rPr>
            </w:pPr>
            <w:r w:rsidRPr="00DA4ACC">
              <w:rPr>
                <w:noProof/>
                <w:sz w:val="20"/>
                <w:szCs w:val="20"/>
                <w:lang w:eastAsia="fr-BE"/>
              </w:rPr>
              <w:t>11.4%</w:t>
            </w:r>
          </w:p>
        </w:tc>
        <w:tc>
          <w:tcPr>
            <w:tcW w:w="449" w:type="pct"/>
          </w:tcPr>
          <w:p w14:paraId="61057838" w14:textId="77777777" w:rsidR="0020372C" w:rsidRPr="00DA4ACC" w:rsidRDefault="0020372C" w:rsidP="00B21F0F">
            <w:pPr>
              <w:jc w:val="right"/>
              <w:rPr>
                <w:noProof/>
                <w:sz w:val="20"/>
                <w:szCs w:val="20"/>
                <w:lang w:eastAsia="fr-BE"/>
              </w:rPr>
            </w:pPr>
            <w:r w:rsidRPr="00DA4ACC">
              <w:rPr>
                <w:noProof/>
                <w:sz w:val="20"/>
                <w:szCs w:val="20"/>
                <w:lang w:eastAsia="fr-BE"/>
              </w:rPr>
              <w:t>15.8%</w:t>
            </w:r>
          </w:p>
        </w:tc>
        <w:tc>
          <w:tcPr>
            <w:tcW w:w="450" w:type="pct"/>
            <w:noWrap/>
          </w:tcPr>
          <w:p w14:paraId="29E1EA91" w14:textId="77777777" w:rsidR="0020372C" w:rsidRPr="00DA4ACC" w:rsidRDefault="0020372C" w:rsidP="00B21F0F">
            <w:pPr>
              <w:jc w:val="right"/>
              <w:rPr>
                <w:noProof/>
                <w:sz w:val="20"/>
                <w:szCs w:val="20"/>
                <w:lang w:eastAsia="fr-BE"/>
              </w:rPr>
            </w:pPr>
            <w:r w:rsidRPr="00DA4ACC">
              <w:rPr>
                <w:noProof/>
                <w:sz w:val="20"/>
                <w:szCs w:val="20"/>
                <w:lang w:eastAsia="fr-BE"/>
              </w:rPr>
              <w:t>23.8%</w:t>
            </w:r>
          </w:p>
        </w:tc>
      </w:tr>
      <w:tr w:rsidR="004D0215" w:rsidRPr="00DA4ACC" w14:paraId="1B320A05" w14:textId="77777777" w:rsidTr="00F0674A">
        <w:trPr>
          <w:trHeight w:val="284"/>
          <w:jc w:val="center"/>
        </w:trPr>
        <w:tc>
          <w:tcPr>
            <w:tcW w:w="1407" w:type="pct"/>
            <w:shd w:val="clear" w:color="000000" w:fill="FFFFFF"/>
            <w:hideMark/>
          </w:tcPr>
          <w:p w14:paraId="5627ED09" w14:textId="77777777" w:rsidR="0020372C" w:rsidRPr="00DA4ACC" w:rsidRDefault="0020372C" w:rsidP="00B21F0F">
            <w:pPr>
              <w:rPr>
                <w:b/>
                <w:bCs/>
                <w:noProof/>
                <w:sz w:val="20"/>
                <w:szCs w:val="20"/>
                <w:lang w:eastAsia="fr-BE"/>
              </w:rPr>
            </w:pPr>
            <w:r w:rsidRPr="00DA4ACC">
              <w:rPr>
                <w:b/>
                <w:bCs/>
                <w:noProof/>
                <w:sz w:val="20"/>
                <w:szCs w:val="20"/>
                <w:lang w:eastAsia="fr-BE"/>
              </w:rPr>
              <w:t>Total number of passengers</w:t>
            </w:r>
          </w:p>
        </w:tc>
        <w:tc>
          <w:tcPr>
            <w:tcW w:w="449" w:type="pct"/>
            <w:noWrap/>
          </w:tcPr>
          <w:p w14:paraId="54BD59AB" w14:textId="77777777" w:rsidR="0020372C" w:rsidRPr="00DA4ACC" w:rsidRDefault="0020372C" w:rsidP="00B21F0F">
            <w:pPr>
              <w:jc w:val="right"/>
              <w:rPr>
                <w:b/>
                <w:bCs/>
                <w:noProof/>
                <w:sz w:val="20"/>
                <w:szCs w:val="20"/>
                <w:lang w:eastAsia="fr-BE"/>
              </w:rPr>
            </w:pPr>
            <w:r w:rsidRPr="00DA4ACC">
              <w:rPr>
                <w:b/>
                <w:bCs/>
                <w:noProof/>
                <w:sz w:val="20"/>
                <w:szCs w:val="20"/>
                <w:lang w:eastAsia="fr-BE"/>
              </w:rPr>
              <w:t>12</w:t>
            </w:r>
            <w:r>
              <w:rPr>
                <w:b/>
                <w:bCs/>
                <w:noProof/>
                <w:sz w:val="20"/>
                <w:szCs w:val="20"/>
                <w:lang w:eastAsia="fr-BE"/>
              </w:rPr>
              <w:t>,</w:t>
            </w:r>
            <w:r w:rsidRPr="00DA4ACC">
              <w:rPr>
                <w:b/>
                <w:bCs/>
                <w:noProof/>
                <w:sz w:val="20"/>
                <w:szCs w:val="20"/>
                <w:lang w:eastAsia="fr-BE"/>
              </w:rPr>
              <w:t>918</w:t>
            </w:r>
          </w:p>
        </w:tc>
        <w:tc>
          <w:tcPr>
            <w:tcW w:w="449" w:type="pct"/>
          </w:tcPr>
          <w:p w14:paraId="7F25E86F" w14:textId="7875E475" w:rsidR="0020372C" w:rsidRPr="00DA4ACC" w:rsidRDefault="00B717A3" w:rsidP="00B21F0F">
            <w:pPr>
              <w:jc w:val="right"/>
              <w:rPr>
                <w:b/>
                <w:bCs/>
                <w:noProof/>
                <w:sz w:val="20"/>
                <w:szCs w:val="20"/>
                <w:lang w:eastAsia="fr-BE"/>
              </w:rPr>
            </w:pPr>
            <w:r w:rsidRPr="00781031">
              <w:rPr>
                <w:b/>
                <w:noProof/>
                <w:color w:val="000000"/>
                <w:sz w:val="20"/>
                <w:szCs w:val="20"/>
              </w:rPr>
              <w:t xml:space="preserve">  13,998 </w:t>
            </w:r>
          </w:p>
        </w:tc>
        <w:tc>
          <w:tcPr>
            <w:tcW w:w="449" w:type="pct"/>
          </w:tcPr>
          <w:p w14:paraId="6C52D911" w14:textId="10A749F2" w:rsidR="0020372C" w:rsidRPr="00DA4ACC" w:rsidRDefault="00736FD4" w:rsidP="00B21F0F">
            <w:pPr>
              <w:jc w:val="right"/>
              <w:rPr>
                <w:b/>
                <w:bCs/>
                <w:noProof/>
                <w:sz w:val="20"/>
                <w:szCs w:val="20"/>
                <w:lang w:eastAsia="fr-BE"/>
              </w:rPr>
            </w:pPr>
            <w:r w:rsidRPr="00736FD4">
              <w:rPr>
                <w:b/>
                <w:bCs/>
                <w:noProof/>
                <w:sz w:val="20"/>
                <w:szCs w:val="20"/>
                <w:lang w:eastAsia="fr-BE"/>
              </w:rPr>
              <w:t>15,374</w:t>
            </w:r>
          </w:p>
        </w:tc>
        <w:tc>
          <w:tcPr>
            <w:tcW w:w="449" w:type="pct"/>
            <w:noWrap/>
          </w:tcPr>
          <w:p w14:paraId="415E4CFF" w14:textId="77777777" w:rsidR="0020372C" w:rsidRPr="00DA4ACC" w:rsidRDefault="0020372C" w:rsidP="00B21F0F">
            <w:pPr>
              <w:jc w:val="right"/>
              <w:rPr>
                <w:b/>
                <w:bCs/>
                <w:noProof/>
                <w:sz w:val="20"/>
                <w:szCs w:val="20"/>
                <w:lang w:eastAsia="fr-BE"/>
              </w:rPr>
            </w:pPr>
            <w:r w:rsidRPr="00DA4ACC">
              <w:rPr>
                <w:b/>
                <w:bCs/>
                <w:noProof/>
                <w:sz w:val="20"/>
                <w:szCs w:val="20"/>
                <w:lang w:eastAsia="fr-BE"/>
              </w:rPr>
              <w:t>16</w:t>
            </w:r>
            <w:r>
              <w:rPr>
                <w:b/>
                <w:bCs/>
                <w:noProof/>
                <w:sz w:val="20"/>
                <w:szCs w:val="20"/>
                <w:lang w:eastAsia="fr-BE"/>
              </w:rPr>
              <w:t>,</w:t>
            </w:r>
            <w:r w:rsidRPr="00DA4ACC">
              <w:rPr>
                <w:b/>
                <w:bCs/>
                <w:noProof/>
                <w:sz w:val="20"/>
                <w:szCs w:val="20"/>
                <w:lang w:eastAsia="fr-BE"/>
              </w:rPr>
              <w:t>894</w:t>
            </w:r>
          </w:p>
        </w:tc>
        <w:tc>
          <w:tcPr>
            <w:tcW w:w="449" w:type="pct"/>
            <w:noWrap/>
          </w:tcPr>
          <w:p w14:paraId="59BCBB29" w14:textId="77777777" w:rsidR="0020372C" w:rsidRPr="00DA4ACC" w:rsidRDefault="0020372C" w:rsidP="00B21F0F">
            <w:pPr>
              <w:jc w:val="right"/>
              <w:rPr>
                <w:b/>
                <w:bCs/>
                <w:noProof/>
                <w:sz w:val="20"/>
                <w:szCs w:val="20"/>
                <w:lang w:eastAsia="fr-BE"/>
              </w:rPr>
            </w:pPr>
            <w:r w:rsidRPr="00DA4ACC">
              <w:rPr>
                <w:b/>
                <w:bCs/>
                <w:noProof/>
                <w:sz w:val="20"/>
                <w:szCs w:val="20"/>
                <w:lang w:eastAsia="fr-BE"/>
              </w:rPr>
              <w:t>17</w:t>
            </w:r>
            <w:r>
              <w:rPr>
                <w:b/>
                <w:bCs/>
                <w:noProof/>
                <w:sz w:val="20"/>
                <w:szCs w:val="20"/>
                <w:lang w:eastAsia="fr-BE"/>
              </w:rPr>
              <w:t>,</w:t>
            </w:r>
            <w:r w:rsidRPr="00DA4ACC">
              <w:rPr>
                <w:b/>
                <w:bCs/>
                <w:noProof/>
                <w:sz w:val="20"/>
                <w:szCs w:val="20"/>
                <w:lang w:eastAsia="fr-BE"/>
              </w:rPr>
              <w:t>839</w:t>
            </w:r>
          </w:p>
        </w:tc>
        <w:tc>
          <w:tcPr>
            <w:tcW w:w="449" w:type="pct"/>
            <w:noWrap/>
          </w:tcPr>
          <w:p w14:paraId="3864FCA5" w14:textId="7CCC9410" w:rsidR="0020372C" w:rsidRPr="00DA4ACC" w:rsidRDefault="0020372C" w:rsidP="00B21F0F">
            <w:pPr>
              <w:jc w:val="right"/>
              <w:rPr>
                <w:b/>
                <w:bCs/>
                <w:noProof/>
                <w:sz w:val="20"/>
                <w:szCs w:val="20"/>
                <w:lang w:eastAsia="fr-BE"/>
              </w:rPr>
            </w:pPr>
            <w:r w:rsidRPr="00DA4ACC">
              <w:rPr>
                <w:b/>
                <w:bCs/>
                <w:noProof/>
                <w:sz w:val="20"/>
                <w:szCs w:val="20"/>
                <w:lang w:eastAsia="fr-BE"/>
              </w:rPr>
              <w:t>19.</w:t>
            </w:r>
            <w:r w:rsidR="001E29EA">
              <w:rPr>
                <w:b/>
                <w:bCs/>
                <w:noProof/>
                <w:sz w:val="20"/>
                <w:szCs w:val="20"/>
                <w:lang w:eastAsia="fr-BE"/>
              </w:rPr>
              <w:t>0</w:t>
            </w:r>
            <w:r w:rsidRPr="00DA4ACC">
              <w:rPr>
                <w:b/>
                <w:bCs/>
                <w:noProof/>
                <w:sz w:val="20"/>
                <w:szCs w:val="20"/>
                <w:lang w:eastAsia="fr-BE"/>
              </w:rPr>
              <w:t>%</w:t>
            </w:r>
          </w:p>
        </w:tc>
        <w:tc>
          <w:tcPr>
            <w:tcW w:w="449" w:type="pct"/>
          </w:tcPr>
          <w:p w14:paraId="153D1D3C" w14:textId="77777777" w:rsidR="0020372C" w:rsidRPr="00DA4ACC" w:rsidRDefault="0020372C" w:rsidP="00B21F0F">
            <w:pPr>
              <w:jc w:val="right"/>
              <w:rPr>
                <w:b/>
                <w:bCs/>
                <w:noProof/>
                <w:sz w:val="20"/>
                <w:szCs w:val="20"/>
                <w:lang w:eastAsia="fr-BE"/>
              </w:rPr>
            </w:pPr>
            <w:r w:rsidRPr="00DA4ACC">
              <w:rPr>
                <w:b/>
                <w:bCs/>
                <w:noProof/>
                <w:sz w:val="20"/>
                <w:szCs w:val="20"/>
                <w:lang w:eastAsia="fr-BE"/>
              </w:rPr>
              <w:t>30.8%</w:t>
            </w:r>
          </w:p>
        </w:tc>
        <w:tc>
          <w:tcPr>
            <w:tcW w:w="450" w:type="pct"/>
            <w:noWrap/>
          </w:tcPr>
          <w:p w14:paraId="649751B9" w14:textId="77777777" w:rsidR="0020372C" w:rsidRPr="00DA4ACC" w:rsidRDefault="0020372C" w:rsidP="00B21F0F">
            <w:pPr>
              <w:jc w:val="right"/>
              <w:rPr>
                <w:b/>
                <w:bCs/>
                <w:noProof/>
                <w:sz w:val="20"/>
                <w:szCs w:val="20"/>
                <w:lang w:eastAsia="fr-BE"/>
              </w:rPr>
            </w:pPr>
            <w:r w:rsidRPr="00DA4ACC">
              <w:rPr>
                <w:b/>
                <w:bCs/>
                <w:noProof/>
                <w:sz w:val="20"/>
                <w:szCs w:val="20"/>
                <w:lang w:eastAsia="fr-BE"/>
              </w:rPr>
              <w:t>38.1%</w:t>
            </w:r>
          </w:p>
        </w:tc>
      </w:tr>
    </w:tbl>
    <w:p w14:paraId="59D334BB" w14:textId="4BBADA6C" w:rsidR="00D77462" w:rsidRPr="00D71008" w:rsidRDefault="00D77462" w:rsidP="00D77462">
      <w:pPr>
        <w:tabs>
          <w:tab w:val="left" w:pos="2302"/>
        </w:tabs>
        <w:spacing w:after="240"/>
        <w:jc w:val="both"/>
        <w:rPr>
          <w:i/>
          <w:iCs/>
          <w:noProof/>
          <w:spacing w:val="-8"/>
          <w:sz w:val="20"/>
          <w:szCs w:val="20"/>
        </w:rPr>
      </w:pPr>
      <w:r w:rsidRPr="00D71008">
        <w:rPr>
          <w:i/>
          <w:iCs/>
          <w:noProof/>
          <w:spacing w:val="-8"/>
          <w:sz w:val="20"/>
          <w:szCs w:val="20"/>
        </w:rPr>
        <w:t xml:space="preserve">Source: </w:t>
      </w:r>
      <w:r w:rsidRPr="00D71008">
        <w:rPr>
          <w:i/>
          <w:iCs/>
          <w:noProof/>
          <w:sz w:val="20"/>
          <w:szCs w:val="20"/>
        </w:rPr>
        <w:t>Ricardo et al. (2026), Impact assessment support study</w:t>
      </w:r>
      <w:r w:rsidR="00B52360">
        <w:rPr>
          <w:i/>
          <w:iCs/>
          <w:noProof/>
          <w:sz w:val="20"/>
          <w:szCs w:val="20"/>
        </w:rPr>
        <w:t xml:space="preserve">; </w:t>
      </w:r>
      <w:r w:rsidR="00C8547A">
        <w:rPr>
          <w:i/>
          <w:iCs/>
          <w:noProof/>
          <w:sz w:val="20"/>
          <w:szCs w:val="20"/>
        </w:rPr>
        <w:t>ASTRA.</w:t>
      </w:r>
      <w:r w:rsidR="00B52360">
        <w:rPr>
          <w:i/>
          <w:iCs/>
          <w:noProof/>
          <w:sz w:val="20"/>
          <w:szCs w:val="20"/>
        </w:rPr>
        <w:t xml:space="preserve"> Note: </w:t>
      </w:r>
      <w:r w:rsidR="00B52360" w:rsidRPr="00B52360">
        <w:rPr>
          <w:i/>
          <w:iCs/>
          <w:noProof/>
          <w:sz w:val="20"/>
          <w:szCs w:val="20"/>
        </w:rPr>
        <w:t>* Coaches (excluding urban and suburban transport)</w:t>
      </w:r>
      <w:r w:rsidR="002B2C4A">
        <w:rPr>
          <w:i/>
          <w:iCs/>
          <w:noProof/>
          <w:sz w:val="20"/>
          <w:szCs w:val="20"/>
        </w:rPr>
        <w:t>;</w:t>
      </w:r>
      <w:r w:rsidR="00B52360" w:rsidRPr="00B52360">
        <w:rPr>
          <w:i/>
          <w:iCs/>
          <w:noProof/>
          <w:sz w:val="20"/>
          <w:szCs w:val="20"/>
        </w:rPr>
        <w:t xml:space="preserve"> ** </w:t>
      </w:r>
      <w:r w:rsidR="00B90A74">
        <w:rPr>
          <w:i/>
          <w:iCs/>
          <w:noProof/>
          <w:sz w:val="20"/>
          <w:szCs w:val="20"/>
        </w:rPr>
        <w:t>R</w:t>
      </w:r>
      <w:r w:rsidR="00B52360" w:rsidRPr="00B52360">
        <w:rPr>
          <w:i/>
          <w:iCs/>
          <w:noProof/>
          <w:sz w:val="20"/>
          <w:szCs w:val="20"/>
        </w:rPr>
        <w:t>ail transport (excluding tram and metro)</w:t>
      </w:r>
      <w:r w:rsidR="002B2C4A">
        <w:rPr>
          <w:i/>
          <w:iCs/>
          <w:noProof/>
          <w:sz w:val="20"/>
          <w:szCs w:val="20"/>
        </w:rPr>
        <w:t>;</w:t>
      </w:r>
      <w:r w:rsidR="00B52360" w:rsidRPr="00B52360">
        <w:rPr>
          <w:i/>
          <w:iCs/>
          <w:noProof/>
          <w:sz w:val="20"/>
          <w:szCs w:val="20"/>
        </w:rPr>
        <w:t xml:space="preserve"> *** </w:t>
      </w:r>
      <w:r w:rsidR="00B90A74">
        <w:rPr>
          <w:i/>
          <w:iCs/>
          <w:noProof/>
          <w:sz w:val="20"/>
          <w:szCs w:val="20"/>
        </w:rPr>
        <w:t xml:space="preserve">Waterborne transport refers to </w:t>
      </w:r>
      <w:r w:rsidR="00B52360" w:rsidRPr="00B52360">
        <w:rPr>
          <w:i/>
          <w:iCs/>
          <w:noProof/>
          <w:sz w:val="20"/>
          <w:szCs w:val="20"/>
        </w:rPr>
        <w:t>maritime transport</w:t>
      </w:r>
      <w:r w:rsidR="002B2C4A">
        <w:rPr>
          <w:i/>
          <w:iCs/>
          <w:noProof/>
          <w:sz w:val="20"/>
          <w:szCs w:val="20"/>
        </w:rPr>
        <w:t>.</w:t>
      </w:r>
    </w:p>
    <w:p w14:paraId="22E8739D" w14:textId="21A96019" w:rsidR="0020372C" w:rsidRPr="00117904" w:rsidRDefault="00C23887" w:rsidP="00EE486A">
      <w:pPr>
        <w:spacing w:after="240"/>
        <w:jc w:val="both"/>
        <w:rPr>
          <w:noProof/>
          <w:spacing w:val="-8"/>
        </w:rPr>
      </w:pPr>
      <w:r w:rsidRPr="00122945">
        <w:rPr>
          <w:i/>
          <w:noProof/>
          <w:spacing w:val="-8"/>
        </w:rPr>
        <w:t xml:space="preserve">Multimodal passengers. </w:t>
      </w:r>
      <w:r w:rsidRPr="00122945">
        <w:rPr>
          <w:noProof/>
          <w:spacing w:val="-8"/>
        </w:rPr>
        <w:t>Drawing on data for the historical period collected in the context of the exploratory study on passenger rights in the multimodal context</w:t>
      </w:r>
      <w:r w:rsidRPr="00122945">
        <w:rPr>
          <w:rStyle w:val="FootnoteReference"/>
          <w:noProof/>
          <w:spacing w:val="-8"/>
        </w:rPr>
        <w:footnoteReference w:id="323"/>
      </w:r>
      <w:r w:rsidRPr="00122945">
        <w:rPr>
          <w:noProof/>
          <w:spacing w:val="-8"/>
        </w:rPr>
        <w:t xml:space="preserve"> and projections developed in the context of the impact assessment support study, the number of multimodal passengers is projected to increase from 91 million in 2019 to 91.6 million in 2028, reaching 94.4 million in 2030 and 130.8 million in 2050 in the baseline scenario. The air-rail passengers represent over 60% of the total multimodal passengers, air-coach passengers above 30%, while the share of rail-coach passengers is limited to around 1% of the total number of multimodal passengers. In terms of market size, the air-rail passengers represented 11.8% of the total number of intra-EU passengers travelling by air in 2019 and their share is projected at 11.3% in 2030, following the recovery from the COVID-19 pandemic, going up to 12.6% by 2050. The air-coach passengers represented around 0.9% of the total number of coach passengers in 2019, going up to 1.2% by 2050 in the baseline scenario, while the rail-coach passengers represent below 0.05% of the coach passengers over the whole-time horizon.</w:t>
      </w:r>
    </w:p>
    <w:p w14:paraId="16DAA0EB" w14:textId="1297F5EF" w:rsidR="001B3014" w:rsidRPr="00760ADE" w:rsidRDefault="00C62FDA" w:rsidP="00B45E92">
      <w:pPr>
        <w:pStyle w:val="Caption"/>
        <w:spacing w:after="0"/>
        <w:rPr>
          <w:rFonts w:eastAsia="Arial Unicode MS"/>
          <w:noProof/>
          <w:color w:val="auto"/>
          <w:sz w:val="22"/>
          <w:szCs w:val="22"/>
        </w:rPr>
      </w:pPr>
      <w:r w:rsidRPr="00641DD2">
        <w:rPr>
          <w:noProof/>
          <w:color w:val="auto"/>
          <w:sz w:val="22"/>
          <w:szCs w:val="22"/>
        </w:rPr>
        <w:t xml:space="preserve">Table </w:t>
      </w:r>
      <w:r w:rsidRPr="00641DD2">
        <w:rPr>
          <w:noProof/>
          <w:color w:val="auto"/>
          <w:sz w:val="22"/>
          <w:szCs w:val="22"/>
        </w:rPr>
        <w:fldChar w:fldCharType="begin"/>
      </w:r>
      <w:r w:rsidRPr="00641DD2">
        <w:rPr>
          <w:noProof/>
          <w:color w:val="auto"/>
          <w:sz w:val="22"/>
          <w:szCs w:val="22"/>
        </w:rPr>
        <w:instrText xml:space="preserve"> SEQ Table \* ARABIC </w:instrText>
      </w:r>
      <w:r w:rsidRPr="00641DD2">
        <w:rPr>
          <w:noProof/>
          <w:color w:val="auto"/>
          <w:sz w:val="22"/>
          <w:szCs w:val="22"/>
        </w:rPr>
        <w:fldChar w:fldCharType="separate"/>
      </w:r>
      <w:r w:rsidR="0055391F">
        <w:rPr>
          <w:noProof/>
          <w:color w:val="auto"/>
          <w:sz w:val="22"/>
          <w:szCs w:val="22"/>
        </w:rPr>
        <w:t>50</w:t>
      </w:r>
      <w:r w:rsidRPr="00641DD2">
        <w:rPr>
          <w:noProof/>
          <w:color w:val="auto"/>
          <w:sz w:val="22"/>
          <w:szCs w:val="22"/>
        </w:rPr>
        <w:fldChar w:fldCharType="end"/>
      </w:r>
      <w:r w:rsidRPr="00641DD2">
        <w:rPr>
          <w:noProof/>
          <w:color w:val="auto"/>
          <w:sz w:val="22"/>
          <w:szCs w:val="22"/>
        </w:rPr>
        <w:t xml:space="preserve">: </w:t>
      </w:r>
      <w:r w:rsidRPr="00760ADE">
        <w:rPr>
          <w:noProof/>
          <w:color w:val="auto"/>
          <w:sz w:val="22"/>
          <w:szCs w:val="22"/>
        </w:rPr>
        <w:t xml:space="preserve">Projected number of </w:t>
      </w:r>
      <w:r w:rsidR="00B45E92" w:rsidRPr="00760ADE">
        <w:rPr>
          <w:noProof/>
          <w:color w:val="auto"/>
          <w:sz w:val="22"/>
          <w:szCs w:val="22"/>
        </w:rPr>
        <w:t xml:space="preserve">multimodal </w:t>
      </w:r>
      <w:r w:rsidRPr="00760ADE">
        <w:rPr>
          <w:noProof/>
          <w:color w:val="auto"/>
          <w:sz w:val="22"/>
          <w:szCs w:val="22"/>
        </w:rPr>
        <w:t xml:space="preserve">passengers </w:t>
      </w:r>
      <w:r w:rsidR="00B45E92" w:rsidRPr="00760ADE">
        <w:rPr>
          <w:noProof/>
          <w:color w:val="auto"/>
          <w:sz w:val="22"/>
          <w:szCs w:val="22"/>
        </w:rPr>
        <w:t>and the market share</w:t>
      </w:r>
      <w:r w:rsidRPr="00760ADE">
        <w:rPr>
          <w:noProof/>
          <w:color w:val="auto"/>
          <w:sz w:val="22"/>
          <w:szCs w:val="22"/>
        </w:rPr>
        <w:t xml:space="preserve"> in the baseline</w:t>
      </w:r>
      <w:r w:rsidR="00B45E92" w:rsidRPr="00760ADE">
        <w:rPr>
          <w:noProof/>
          <w:color w:val="auto"/>
          <w:sz w:val="22"/>
          <w:szCs w:val="22"/>
        </w:rPr>
        <w:t xml:space="preserve"> scenario</w:t>
      </w:r>
    </w:p>
    <w:tbl>
      <w:tblPr>
        <w:tblW w:w="5000" w:type="pct"/>
        <w:tblLook w:val="04A0" w:firstRow="1" w:lastRow="0" w:firstColumn="1" w:lastColumn="0" w:noHBand="0" w:noVBand="1"/>
      </w:tblPr>
      <w:tblGrid>
        <w:gridCol w:w="4438"/>
        <w:gridCol w:w="1033"/>
        <w:gridCol w:w="1033"/>
        <w:gridCol w:w="1033"/>
        <w:gridCol w:w="1033"/>
        <w:gridCol w:w="1033"/>
      </w:tblGrid>
      <w:tr w:rsidR="001B3014" w:rsidRPr="001B3014" w14:paraId="59B8D9E1" w14:textId="77777777" w:rsidTr="00837D2E">
        <w:trPr>
          <w:trHeight w:val="300"/>
        </w:trPr>
        <w:tc>
          <w:tcPr>
            <w:tcW w:w="2310" w:type="pct"/>
            <w:tcBorders>
              <w:top w:val="single" w:sz="4" w:space="0" w:color="auto"/>
              <w:left w:val="single" w:sz="4" w:space="0" w:color="auto"/>
              <w:bottom w:val="single" w:sz="4" w:space="0" w:color="auto"/>
              <w:right w:val="single" w:sz="4" w:space="0" w:color="auto"/>
            </w:tcBorders>
            <w:shd w:val="clear" w:color="000000" w:fill="0070C0"/>
            <w:noWrap/>
            <w:hideMark/>
          </w:tcPr>
          <w:p w14:paraId="380AB825" w14:textId="77777777" w:rsidR="001B3014" w:rsidRPr="001B3014" w:rsidRDefault="001B3014" w:rsidP="001B3014">
            <w:pPr>
              <w:rPr>
                <w:rFonts w:ascii="Calibri" w:hAnsi="Calibri" w:cs="Calibri"/>
                <w:noProof/>
                <w:color w:val="000000"/>
              </w:rPr>
            </w:pPr>
            <w:r w:rsidRPr="001B3014">
              <w:rPr>
                <w:rFonts w:ascii="Calibri" w:hAnsi="Calibri" w:cs="Calibri"/>
                <w:noProof/>
                <w:color w:val="000000"/>
              </w:rPr>
              <w:t> </w:t>
            </w:r>
          </w:p>
        </w:tc>
        <w:tc>
          <w:tcPr>
            <w:tcW w:w="538" w:type="pct"/>
            <w:tcBorders>
              <w:top w:val="single" w:sz="4" w:space="0" w:color="auto"/>
              <w:left w:val="nil"/>
              <w:bottom w:val="single" w:sz="4" w:space="0" w:color="auto"/>
              <w:right w:val="single" w:sz="4" w:space="0" w:color="auto"/>
            </w:tcBorders>
            <w:shd w:val="clear" w:color="000000" w:fill="0070C0"/>
            <w:noWrap/>
            <w:vAlign w:val="center"/>
            <w:hideMark/>
          </w:tcPr>
          <w:p w14:paraId="0E47339E" w14:textId="77777777" w:rsidR="001B3014" w:rsidRPr="001B3014" w:rsidRDefault="001B3014" w:rsidP="001B3014">
            <w:pPr>
              <w:jc w:val="center"/>
              <w:rPr>
                <w:b/>
                <w:noProof/>
                <w:color w:val="FFFFFF"/>
                <w:sz w:val="20"/>
                <w:szCs w:val="20"/>
              </w:rPr>
            </w:pPr>
            <w:r w:rsidRPr="001B3014">
              <w:rPr>
                <w:b/>
                <w:bCs/>
                <w:noProof/>
                <w:color w:val="FFFFFF"/>
                <w:sz w:val="20"/>
                <w:szCs w:val="20"/>
                <w:lang w:eastAsia="fr-BE"/>
              </w:rPr>
              <w:t>2019</w:t>
            </w:r>
          </w:p>
        </w:tc>
        <w:tc>
          <w:tcPr>
            <w:tcW w:w="538" w:type="pct"/>
            <w:tcBorders>
              <w:top w:val="single" w:sz="4" w:space="0" w:color="auto"/>
              <w:left w:val="nil"/>
              <w:bottom w:val="single" w:sz="4" w:space="0" w:color="auto"/>
              <w:right w:val="single" w:sz="4" w:space="0" w:color="auto"/>
            </w:tcBorders>
            <w:shd w:val="clear" w:color="000000" w:fill="0070C0"/>
            <w:vAlign w:val="center"/>
            <w:hideMark/>
          </w:tcPr>
          <w:p w14:paraId="5C93F582" w14:textId="77777777" w:rsidR="001B3014" w:rsidRPr="001B3014" w:rsidRDefault="001B3014" w:rsidP="001B3014">
            <w:pPr>
              <w:jc w:val="center"/>
              <w:rPr>
                <w:b/>
                <w:noProof/>
                <w:color w:val="FFFFFF"/>
                <w:sz w:val="20"/>
                <w:szCs w:val="20"/>
              </w:rPr>
            </w:pPr>
            <w:r w:rsidRPr="001B3014">
              <w:rPr>
                <w:b/>
                <w:bCs/>
                <w:noProof/>
                <w:color w:val="FFFFFF"/>
                <w:sz w:val="20"/>
                <w:szCs w:val="20"/>
                <w:lang w:eastAsia="fr-BE"/>
              </w:rPr>
              <w:t>2028</w:t>
            </w:r>
          </w:p>
        </w:tc>
        <w:tc>
          <w:tcPr>
            <w:tcW w:w="538" w:type="pct"/>
            <w:tcBorders>
              <w:top w:val="single" w:sz="4" w:space="0" w:color="auto"/>
              <w:left w:val="nil"/>
              <w:bottom w:val="single" w:sz="4" w:space="0" w:color="auto"/>
              <w:right w:val="single" w:sz="4" w:space="0" w:color="auto"/>
            </w:tcBorders>
            <w:shd w:val="clear" w:color="000000" w:fill="0070C0"/>
            <w:vAlign w:val="center"/>
            <w:hideMark/>
          </w:tcPr>
          <w:p w14:paraId="333E7683" w14:textId="77777777" w:rsidR="001B3014" w:rsidRPr="001B3014" w:rsidRDefault="001B3014" w:rsidP="001B3014">
            <w:pPr>
              <w:jc w:val="center"/>
              <w:rPr>
                <w:b/>
                <w:noProof/>
                <w:color w:val="FFFFFF"/>
                <w:sz w:val="20"/>
                <w:szCs w:val="20"/>
              </w:rPr>
            </w:pPr>
            <w:r w:rsidRPr="001B3014">
              <w:rPr>
                <w:b/>
                <w:bCs/>
                <w:noProof/>
                <w:color w:val="FFFFFF"/>
                <w:sz w:val="20"/>
                <w:szCs w:val="20"/>
                <w:lang w:eastAsia="fr-BE"/>
              </w:rPr>
              <w:t>2030</w:t>
            </w:r>
          </w:p>
        </w:tc>
        <w:tc>
          <w:tcPr>
            <w:tcW w:w="538" w:type="pct"/>
            <w:tcBorders>
              <w:top w:val="single" w:sz="4" w:space="0" w:color="auto"/>
              <w:left w:val="nil"/>
              <w:bottom w:val="single" w:sz="4" w:space="0" w:color="auto"/>
              <w:right w:val="single" w:sz="4" w:space="0" w:color="auto"/>
            </w:tcBorders>
            <w:shd w:val="clear" w:color="000000" w:fill="0070C0"/>
            <w:noWrap/>
            <w:vAlign w:val="center"/>
            <w:hideMark/>
          </w:tcPr>
          <w:p w14:paraId="7E5543D9" w14:textId="77777777" w:rsidR="001B3014" w:rsidRPr="001B3014" w:rsidRDefault="001B3014" w:rsidP="001B3014">
            <w:pPr>
              <w:jc w:val="center"/>
              <w:rPr>
                <w:b/>
                <w:noProof/>
                <w:color w:val="FFFFFF"/>
                <w:sz w:val="20"/>
                <w:szCs w:val="20"/>
              </w:rPr>
            </w:pPr>
            <w:r w:rsidRPr="001B3014">
              <w:rPr>
                <w:b/>
                <w:bCs/>
                <w:noProof/>
                <w:color w:val="FFFFFF"/>
                <w:sz w:val="20"/>
                <w:szCs w:val="20"/>
                <w:lang w:eastAsia="fr-BE"/>
              </w:rPr>
              <w:t>2040</w:t>
            </w:r>
          </w:p>
        </w:tc>
        <w:tc>
          <w:tcPr>
            <w:tcW w:w="538" w:type="pct"/>
            <w:tcBorders>
              <w:top w:val="single" w:sz="4" w:space="0" w:color="auto"/>
              <w:left w:val="nil"/>
              <w:bottom w:val="single" w:sz="4" w:space="0" w:color="auto"/>
              <w:right w:val="single" w:sz="4" w:space="0" w:color="auto"/>
            </w:tcBorders>
            <w:shd w:val="clear" w:color="000000" w:fill="0070C0"/>
            <w:noWrap/>
            <w:vAlign w:val="center"/>
            <w:hideMark/>
          </w:tcPr>
          <w:p w14:paraId="2818C7E1" w14:textId="77777777" w:rsidR="001B3014" w:rsidRPr="001B3014" w:rsidRDefault="001B3014" w:rsidP="001B3014">
            <w:pPr>
              <w:jc w:val="center"/>
              <w:rPr>
                <w:b/>
                <w:noProof/>
                <w:color w:val="FFFFFF"/>
                <w:sz w:val="20"/>
                <w:szCs w:val="20"/>
              </w:rPr>
            </w:pPr>
            <w:r w:rsidRPr="001B3014">
              <w:rPr>
                <w:b/>
                <w:bCs/>
                <w:noProof/>
                <w:color w:val="FFFFFF"/>
                <w:sz w:val="20"/>
                <w:szCs w:val="20"/>
                <w:lang w:eastAsia="fr-BE"/>
              </w:rPr>
              <w:t>2050</w:t>
            </w:r>
          </w:p>
        </w:tc>
      </w:tr>
      <w:tr w:rsidR="001B3014" w:rsidRPr="001B3014" w14:paraId="31F7A051" w14:textId="77777777" w:rsidTr="00837D2E">
        <w:trPr>
          <w:trHeight w:val="300"/>
        </w:trPr>
        <w:tc>
          <w:tcPr>
            <w:tcW w:w="2310" w:type="pct"/>
            <w:tcBorders>
              <w:top w:val="nil"/>
              <w:left w:val="single" w:sz="4" w:space="0" w:color="auto"/>
              <w:bottom w:val="single" w:sz="4" w:space="0" w:color="auto"/>
              <w:right w:val="single" w:sz="4" w:space="0" w:color="auto"/>
            </w:tcBorders>
            <w:shd w:val="clear" w:color="000000" w:fill="DBE5F1"/>
            <w:noWrap/>
            <w:vAlign w:val="center"/>
            <w:hideMark/>
          </w:tcPr>
          <w:p w14:paraId="238B7018" w14:textId="77777777" w:rsidR="001B3014" w:rsidRPr="001B3014" w:rsidRDefault="001B3014" w:rsidP="001B3014">
            <w:pPr>
              <w:rPr>
                <w:b/>
                <w:noProof/>
                <w:color w:val="000000"/>
                <w:sz w:val="20"/>
                <w:szCs w:val="20"/>
              </w:rPr>
            </w:pPr>
            <w:r w:rsidRPr="001B3014">
              <w:rPr>
                <w:b/>
                <w:bCs/>
                <w:noProof/>
                <w:sz w:val="20"/>
                <w:szCs w:val="20"/>
                <w:lang w:eastAsia="fr-BE"/>
              </w:rPr>
              <w:t>Number of multimodal passengers (million)</w:t>
            </w:r>
          </w:p>
        </w:tc>
        <w:tc>
          <w:tcPr>
            <w:tcW w:w="538" w:type="pct"/>
            <w:tcBorders>
              <w:top w:val="nil"/>
              <w:left w:val="nil"/>
              <w:bottom w:val="single" w:sz="4" w:space="0" w:color="auto"/>
              <w:right w:val="single" w:sz="4" w:space="0" w:color="auto"/>
            </w:tcBorders>
            <w:shd w:val="clear" w:color="000000" w:fill="DBE5F1"/>
            <w:noWrap/>
            <w:vAlign w:val="center"/>
            <w:hideMark/>
          </w:tcPr>
          <w:p w14:paraId="37581D04" w14:textId="77777777" w:rsidR="001B3014" w:rsidRPr="001B3014" w:rsidRDefault="001B3014" w:rsidP="00837D2E">
            <w:pPr>
              <w:jc w:val="right"/>
              <w:rPr>
                <w:noProof/>
                <w:color w:val="000000"/>
                <w:sz w:val="20"/>
                <w:szCs w:val="20"/>
              </w:rPr>
            </w:pPr>
            <w:r w:rsidRPr="001B3014">
              <w:rPr>
                <w:noProof/>
                <w:sz w:val="20"/>
                <w:szCs w:val="20"/>
                <w:lang w:eastAsia="fr-BE"/>
              </w:rPr>
              <w:t>91</w:t>
            </w:r>
          </w:p>
        </w:tc>
        <w:tc>
          <w:tcPr>
            <w:tcW w:w="538" w:type="pct"/>
            <w:tcBorders>
              <w:top w:val="nil"/>
              <w:left w:val="nil"/>
              <w:bottom w:val="single" w:sz="4" w:space="0" w:color="auto"/>
              <w:right w:val="single" w:sz="4" w:space="0" w:color="auto"/>
            </w:tcBorders>
            <w:shd w:val="clear" w:color="000000" w:fill="DBE5F1"/>
            <w:vAlign w:val="center"/>
            <w:hideMark/>
          </w:tcPr>
          <w:p w14:paraId="4A5DE331" w14:textId="77777777" w:rsidR="001B3014" w:rsidRPr="001B3014" w:rsidRDefault="001B3014" w:rsidP="00837D2E">
            <w:pPr>
              <w:jc w:val="right"/>
              <w:rPr>
                <w:noProof/>
                <w:color w:val="000000"/>
                <w:sz w:val="20"/>
                <w:szCs w:val="20"/>
              </w:rPr>
            </w:pPr>
            <w:r w:rsidRPr="001B3014">
              <w:rPr>
                <w:noProof/>
                <w:sz w:val="20"/>
                <w:szCs w:val="20"/>
                <w:lang w:eastAsia="fr-BE"/>
              </w:rPr>
              <w:t>91.6</w:t>
            </w:r>
          </w:p>
        </w:tc>
        <w:tc>
          <w:tcPr>
            <w:tcW w:w="538" w:type="pct"/>
            <w:tcBorders>
              <w:top w:val="nil"/>
              <w:left w:val="nil"/>
              <w:bottom w:val="single" w:sz="4" w:space="0" w:color="auto"/>
              <w:right w:val="single" w:sz="4" w:space="0" w:color="auto"/>
            </w:tcBorders>
            <w:shd w:val="clear" w:color="000000" w:fill="DBE5F1"/>
            <w:vAlign w:val="center"/>
            <w:hideMark/>
          </w:tcPr>
          <w:p w14:paraId="0EE1A63F" w14:textId="77777777" w:rsidR="001B3014" w:rsidRPr="001B3014" w:rsidRDefault="001B3014" w:rsidP="00837D2E">
            <w:pPr>
              <w:jc w:val="right"/>
              <w:rPr>
                <w:noProof/>
                <w:color w:val="000000"/>
                <w:sz w:val="20"/>
                <w:szCs w:val="20"/>
              </w:rPr>
            </w:pPr>
            <w:r w:rsidRPr="001B3014">
              <w:rPr>
                <w:noProof/>
                <w:sz w:val="20"/>
                <w:szCs w:val="20"/>
                <w:lang w:eastAsia="fr-BE"/>
              </w:rPr>
              <w:t>94.4</w:t>
            </w:r>
          </w:p>
        </w:tc>
        <w:tc>
          <w:tcPr>
            <w:tcW w:w="538" w:type="pct"/>
            <w:tcBorders>
              <w:top w:val="nil"/>
              <w:left w:val="nil"/>
              <w:bottom w:val="single" w:sz="4" w:space="0" w:color="auto"/>
              <w:right w:val="single" w:sz="4" w:space="0" w:color="auto"/>
            </w:tcBorders>
            <w:shd w:val="clear" w:color="000000" w:fill="DBE5F1"/>
            <w:noWrap/>
            <w:vAlign w:val="center"/>
            <w:hideMark/>
          </w:tcPr>
          <w:p w14:paraId="01B37164" w14:textId="77777777" w:rsidR="001B3014" w:rsidRPr="001B3014" w:rsidRDefault="001B3014" w:rsidP="00837D2E">
            <w:pPr>
              <w:jc w:val="right"/>
              <w:rPr>
                <w:noProof/>
                <w:color w:val="000000"/>
                <w:sz w:val="20"/>
                <w:szCs w:val="20"/>
              </w:rPr>
            </w:pPr>
            <w:r w:rsidRPr="001B3014">
              <w:rPr>
                <w:noProof/>
                <w:sz w:val="20"/>
                <w:szCs w:val="20"/>
                <w:lang w:eastAsia="fr-BE"/>
              </w:rPr>
              <w:t>114.3</w:t>
            </w:r>
          </w:p>
        </w:tc>
        <w:tc>
          <w:tcPr>
            <w:tcW w:w="538" w:type="pct"/>
            <w:tcBorders>
              <w:top w:val="nil"/>
              <w:left w:val="nil"/>
              <w:bottom w:val="single" w:sz="4" w:space="0" w:color="auto"/>
              <w:right w:val="single" w:sz="4" w:space="0" w:color="auto"/>
            </w:tcBorders>
            <w:shd w:val="clear" w:color="000000" w:fill="DBE5F1"/>
            <w:noWrap/>
            <w:vAlign w:val="center"/>
            <w:hideMark/>
          </w:tcPr>
          <w:p w14:paraId="5C11CD23" w14:textId="77777777" w:rsidR="001B3014" w:rsidRPr="001B3014" w:rsidRDefault="001B3014" w:rsidP="00837D2E">
            <w:pPr>
              <w:jc w:val="right"/>
              <w:rPr>
                <w:noProof/>
                <w:color w:val="000000"/>
                <w:sz w:val="20"/>
                <w:szCs w:val="20"/>
              </w:rPr>
            </w:pPr>
            <w:r w:rsidRPr="001B3014">
              <w:rPr>
                <w:noProof/>
                <w:sz w:val="20"/>
                <w:szCs w:val="20"/>
                <w:lang w:eastAsia="fr-BE"/>
              </w:rPr>
              <w:t>130.8</w:t>
            </w:r>
          </w:p>
        </w:tc>
      </w:tr>
      <w:tr w:rsidR="001B3014" w:rsidRPr="001B3014" w14:paraId="3B1C7153" w14:textId="77777777" w:rsidTr="00837D2E">
        <w:trPr>
          <w:trHeight w:val="300"/>
        </w:trPr>
        <w:tc>
          <w:tcPr>
            <w:tcW w:w="2310" w:type="pct"/>
            <w:tcBorders>
              <w:top w:val="nil"/>
              <w:left w:val="single" w:sz="4" w:space="0" w:color="auto"/>
              <w:bottom w:val="single" w:sz="4" w:space="0" w:color="auto"/>
              <w:right w:val="single" w:sz="4" w:space="0" w:color="auto"/>
            </w:tcBorders>
            <w:shd w:val="clear" w:color="000000" w:fill="FFFFFF"/>
            <w:vAlign w:val="center"/>
            <w:hideMark/>
          </w:tcPr>
          <w:p w14:paraId="03CE23CA" w14:textId="77777777" w:rsidR="001B3014" w:rsidRPr="001B3014" w:rsidRDefault="001B3014" w:rsidP="001B3014">
            <w:pPr>
              <w:rPr>
                <w:noProof/>
                <w:color w:val="000000"/>
                <w:sz w:val="20"/>
                <w:szCs w:val="20"/>
              </w:rPr>
            </w:pPr>
            <w:r w:rsidRPr="001B3014">
              <w:rPr>
                <w:noProof/>
                <w:sz w:val="20"/>
                <w:szCs w:val="20"/>
                <w:lang w:eastAsia="fr-BE"/>
              </w:rPr>
              <w:t xml:space="preserve">Air-rail passengers </w:t>
            </w:r>
          </w:p>
        </w:tc>
        <w:tc>
          <w:tcPr>
            <w:tcW w:w="538" w:type="pct"/>
            <w:tcBorders>
              <w:top w:val="nil"/>
              <w:left w:val="nil"/>
              <w:bottom w:val="single" w:sz="4" w:space="0" w:color="auto"/>
              <w:right w:val="single" w:sz="4" w:space="0" w:color="auto"/>
            </w:tcBorders>
            <w:shd w:val="clear" w:color="000000" w:fill="FFFFFF"/>
            <w:noWrap/>
            <w:vAlign w:val="center"/>
            <w:hideMark/>
          </w:tcPr>
          <w:p w14:paraId="163FA020" w14:textId="77777777" w:rsidR="001B3014" w:rsidRPr="001B3014" w:rsidRDefault="001B3014" w:rsidP="00837D2E">
            <w:pPr>
              <w:jc w:val="right"/>
              <w:rPr>
                <w:noProof/>
                <w:color w:val="000000"/>
                <w:sz w:val="20"/>
                <w:szCs w:val="20"/>
              </w:rPr>
            </w:pPr>
            <w:r w:rsidRPr="001B3014">
              <w:rPr>
                <w:noProof/>
                <w:sz w:val="20"/>
                <w:szCs w:val="20"/>
                <w:lang w:eastAsia="fr-BE"/>
              </w:rPr>
              <w:t>60.8</w:t>
            </w:r>
          </w:p>
        </w:tc>
        <w:tc>
          <w:tcPr>
            <w:tcW w:w="538" w:type="pct"/>
            <w:tcBorders>
              <w:top w:val="nil"/>
              <w:left w:val="nil"/>
              <w:bottom w:val="single" w:sz="4" w:space="0" w:color="auto"/>
              <w:right w:val="single" w:sz="4" w:space="0" w:color="auto"/>
            </w:tcBorders>
            <w:shd w:val="clear" w:color="000000" w:fill="FFFFFF"/>
            <w:vAlign w:val="center"/>
            <w:hideMark/>
          </w:tcPr>
          <w:p w14:paraId="21EEB7C1" w14:textId="77777777" w:rsidR="001B3014" w:rsidRPr="001B3014" w:rsidRDefault="001B3014" w:rsidP="00837D2E">
            <w:pPr>
              <w:jc w:val="right"/>
              <w:rPr>
                <w:noProof/>
                <w:color w:val="000000"/>
                <w:sz w:val="20"/>
                <w:szCs w:val="20"/>
              </w:rPr>
            </w:pPr>
            <w:r w:rsidRPr="001B3014">
              <w:rPr>
                <w:noProof/>
                <w:sz w:val="20"/>
                <w:szCs w:val="20"/>
                <w:lang w:eastAsia="fr-BE"/>
              </w:rPr>
              <w:t>61.3</w:t>
            </w:r>
          </w:p>
        </w:tc>
        <w:tc>
          <w:tcPr>
            <w:tcW w:w="538" w:type="pct"/>
            <w:tcBorders>
              <w:top w:val="nil"/>
              <w:left w:val="nil"/>
              <w:bottom w:val="single" w:sz="4" w:space="0" w:color="auto"/>
              <w:right w:val="single" w:sz="4" w:space="0" w:color="auto"/>
            </w:tcBorders>
            <w:shd w:val="clear" w:color="000000" w:fill="FFFFFF"/>
            <w:vAlign w:val="center"/>
            <w:hideMark/>
          </w:tcPr>
          <w:p w14:paraId="5E0C2F91" w14:textId="77777777" w:rsidR="001B3014" w:rsidRPr="001B3014" w:rsidRDefault="001B3014" w:rsidP="00837D2E">
            <w:pPr>
              <w:jc w:val="right"/>
              <w:rPr>
                <w:noProof/>
                <w:color w:val="000000"/>
                <w:sz w:val="20"/>
                <w:szCs w:val="20"/>
              </w:rPr>
            </w:pPr>
            <w:r w:rsidRPr="001B3014">
              <w:rPr>
                <w:noProof/>
                <w:sz w:val="20"/>
                <w:szCs w:val="20"/>
                <w:lang w:eastAsia="fr-BE"/>
              </w:rPr>
              <w:t>61.3</w:t>
            </w:r>
          </w:p>
        </w:tc>
        <w:tc>
          <w:tcPr>
            <w:tcW w:w="538" w:type="pct"/>
            <w:tcBorders>
              <w:top w:val="nil"/>
              <w:left w:val="nil"/>
              <w:bottom w:val="single" w:sz="4" w:space="0" w:color="auto"/>
              <w:right w:val="single" w:sz="4" w:space="0" w:color="auto"/>
            </w:tcBorders>
            <w:shd w:val="clear" w:color="000000" w:fill="FFFFFF"/>
            <w:noWrap/>
            <w:vAlign w:val="center"/>
            <w:hideMark/>
          </w:tcPr>
          <w:p w14:paraId="1489C052" w14:textId="77777777" w:rsidR="001B3014" w:rsidRPr="001B3014" w:rsidRDefault="001B3014" w:rsidP="00837D2E">
            <w:pPr>
              <w:jc w:val="right"/>
              <w:rPr>
                <w:noProof/>
                <w:color w:val="000000"/>
                <w:sz w:val="20"/>
                <w:szCs w:val="20"/>
              </w:rPr>
            </w:pPr>
            <w:r w:rsidRPr="001B3014">
              <w:rPr>
                <w:noProof/>
                <w:sz w:val="20"/>
                <w:szCs w:val="20"/>
                <w:lang w:eastAsia="fr-BE"/>
              </w:rPr>
              <w:t>72.9</w:t>
            </w:r>
          </w:p>
        </w:tc>
        <w:tc>
          <w:tcPr>
            <w:tcW w:w="538" w:type="pct"/>
            <w:tcBorders>
              <w:top w:val="nil"/>
              <w:left w:val="nil"/>
              <w:bottom w:val="single" w:sz="4" w:space="0" w:color="auto"/>
              <w:right w:val="single" w:sz="4" w:space="0" w:color="auto"/>
            </w:tcBorders>
            <w:shd w:val="clear" w:color="000000" w:fill="FFFFFF"/>
            <w:noWrap/>
            <w:vAlign w:val="center"/>
            <w:hideMark/>
          </w:tcPr>
          <w:p w14:paraId="03A3B9D2" w14:textId="77777777" w:rsidR="001B3014" w:rsidRPr="001B3014" w:rsidRDefault="001B3014" w:rsidP="00837D2E">
            <w:pPr>
              <w:jc w:val="right"/>
              <w:rPr>
                <w:noProof/>
                <w:color w:val="000000"/>
                <w:sz w:val="20"/>
                <w:szCs w:val="20"/>
              </w:rPr>
            </w:pPr>
            <w:r w:rsidRPr="001B3014">
              <w:rPr>
                <w:noProof/>
                <w:sz w:val="20"/>
                <w:szCs w:val="20"/>
                <w:lang w:eastAsia="fr-BE"/>
              </w:rPr>
              <w:t>80.9</w:t>
            </w:r>
          </w:p>
        </w:tc>
      </w:tr>
      <w:tr w:rsidR="001B3014" w:rsidRPr="001B3014" w14:paraId="793B9B94" w14:textId="77777777" w:rsidTr="00837D2E">
        <w:trPr>
          <w:trHeight w:val="300"/>
        </w:trPr>
        <w:tc>
          <w:tcPr>
            <w:tcW w:w="2310" w:type="pct"/>
            <w:tcBorders>
              <w:top w:val="nil"/>
              <w:left w:val="single" w:sz="4" w:space="0" w:color="auto"/>
              <w:bottom w:val="single" w:sz="4" w:space="0" w:color="auto"/>
              <w:right w:val="single" w:sz="4" w:space="0" w:color="auto"/>
            </w:tcBorders>
            <w:shd w:val="clear" w:color="000000" w:fill="FFFFFF"/>
            <w:vAlign w:val="center"/>
            <w:hideMark/>
          </w:tcPr>
          <w:p w14:paraId="4D34544B" w14:textId="77777777" w:rsidR="001B3014" w:rsidRPr="001B3014" w:rsidRDefault="001B3014" w:rsidP="001B3014">
            <w:pPr>
              <w:rPr>
                <w:noProof/>
                <w:color w:val="000000"/>
                <w:sz w:val="20"/>
                <w:szCs w:val="20"/>
              </w:rPr>
            </w:pPr>
            <w:r w:rsidRPr="001B3014">
              <w:rPr>
                <w:noProof/>
                <w:sz w:val="20"/>
                <w:szCs w:val="20"/>
                <w:lang w:eastAsia="fr-BE"/>
              </w:rPr>
              <w:t xml:space="preserve">Air-coach passengers </w:t>
            </w:r>
          </w:p>
        </w:tc>
        <w:tc>
          <w:tcPr>
            <w:tcW w:w="538" w:type="pct"/>
            <w:tcBorders>
              <w:top w:val="nil"/>
              <w:left w:val="nil"/>
              <w:bottom w:val="single" w:sz="4" w:space="0" w:color="auto"/>
              <w:right w:val="single" w:sz="4" w:space="0" w:color="auto"/>
            </w:tcBorders>
            <w:shd w:val="clear" w:color="000000" w:fill="FFFFFF"/>
            <w:noWrap/>
            <w:vAlign w:val="center"/>
            <w:hideMark/>
          </w:tcPr>
          <w:p w14:paraId="6B92A499" w14:textId="77777777" w:rsidR="001B3014" w:rsidRPr="001B3014" w:rsidRDefault="001B3014" w:rsidP="00837D2E">
            <w:pPr>
              <w:jc w:val="right"/>
              <w:rPr>
                <w:noProof/>
                <w:color w:val="000000"/>
                <w:sz w:val="20"/>
                <w:szCs w:val="20"/>
              </w:rPr>
            </w:pPr>
            <w:r w:rsidRPr="001B3014">
              <w:rPr>
                <w:noProof/>
                <w:sz w:val="20"/>
                <w:szCs w:val="20"/>
                <w:lang w:eastAsia="fr-BE"/>
              </w:rPr>
              <w:t>29.2</w:t>
            </w:r>
          </w:p>
        </w:tc>
        <w:tc>
          <w:tcPr>
            <w:tcW w:w="538" w:type="pct"/>
            <w:tcBorders>
              <w:top w:val="nil"/>
              <w:left w:val="nil"/>
              <w:bottom w:val="single" w:sz="4" w:space="0" w:color="auto"/>
              <w:right w:val="single" w:sz="4" w:space="0" w:color="auto"/>
            </w:tcBorders>
            <w:shd w:val="clear" w:color="000000" w:fill="FFFFFF"/>
            <w:vAlign w:val="center"/>
            <w:hideMark/>
          </w:tcPr>
          <w:p w14:paraId="73C17C3D" w14:textId="77777777" w:rsidR="001B3014" w:rsidRPr="001B3014" w:rsidRDefault="001B3014" w:rsidP="00837D2E">
            <w:pPr>
              <w:jc w:val="right"/>
              <w:rPr>
                <w:noProof/>
                <w:color w:val="000000"/>
                <w:sz w:val="20"/>
                <w:szCs w:val="20"/>
              </w:rPr>
            </w:pPr>
            <w:r w:rsidRPr="001B3014">
              <w:rPr>
                <w:noProof/>
                <w:sz w:val="20"/>
                <w:szCs w:val="20"/>
                <w:lang w:eastAsia="fr-BE"/>
              </w:rPr>
              <w:t>29.2</w:t>
            </w:r>
          </w:p>
        </w:tc>
        <w:tc>
          <w:tcPr>
            <w:tcW w:w="538" w:type="pct"/>
            <w:tcBorders>
              <w:top w:val="nil"/>
              <w:left w:val="nil"/>
              <w:bottom w:val="single" w:sz="4" w:space="0" w:color="auto"/>
              <w:right w:val="single" w:sz="4" w:space="0" w:color="auto"/>
            </w:tcBorders>
            <w:shd w:val="clear" w:color="000000" w:fill="FFFFFF"/>
            <w:vAlign w:val="center"/>
            <w:hideMark/>
          </w:tcPr>
          <w:p w14:paraId="60C81756" w14:textId="77777777" w:rsidR="001B3014" w:rsidRPr="001B3014" w:rsidRDefault="001B3014" w:rsidP="00837D2E">
            <w:pPr>
              <w:jc w:val="right"/>
              <w:rPr>
                <w:noProof/>
                <w:color w:val="000000"/>
                <w:sz w:val="20"/>
                <w:szCs w:val="20"/>
              </w:rPr>
            </w:pPr>
            <w:r w:rsidRPr="001B3014">
              <w:rPr>
                <w:noProof/>
                <w:sz w:val="20"/>
                <w:szCs w:val="20"/>
                <w:lang w:eastAsia="fr-BE"/>
              </w:rPr>
              <w:t>32</w:t>
            </w:r>
          </w:p>
        </w:tc>
        <w:tc>
          <w:tcPr>
            <w:tcW w:w="538" w:type="pct"/>
            <w:tcBorders>
              <w:top w:val="nil"/>
              <w:left w:val="nil"/>
              <w:bottom w:val="single" w:sz="4" w:space="0" w:color="auto"/>
              <w:right w:val="single" w:sz="4" w:space="0" w:color="auto"/>
            </w:tcBorders>
            <w:shd w:val="clear" w:color="000000" w:fill="FFFFFF"/>
            <w:noWrap/>
            <w:vAlign w:val="center"/>
            <w:hideMark/>
          </w:tcPr>
          <w:p w14:paraId="77341CB9" w14:textId="77777777" w:rsidR="001B3014" w:rsidRPr="001B3014" w:rsidRDefault="001B3014" w:rsidP="00837D2E">
            <w:pPr>
              <w:jc w:val="right"/>
              <w:rPr>
                <w:noProof/>
                <w:color w:val="000000"/>
                <w:sz w:val="20"/>
                <w:szCs w:val="20"/>
              </w:rPr>
            </w:pPr>
            <w:r w:rsidRPr="001B3014">
              <w:rPr>
                <w:noProof/>
                <w:sz w:val="20"/>
                <w:szCs w:val="20"/>
                <w:lang w:eastAsia="fr-BE"/>
              </w:rPr>
              <w:t>40.1</w:t>
            </w:r>
          </w:p>
        </w:tc>
        <w:tc>
          <w:tcPr>
            <w:tcW w:w="538" w:type="pct"/>
            <w:tcBorders>
              <w:top w:val="nil"/>
              <w:left w:val="nil"/>
              <w:bottom w:val="single" w:sz="4" w:space="0" w:color="auto"/>
              <w:right w:val="single" w:sz="4" w:space="0" w:color="auto"/>
            </w:tcBorders>
            <w:shd w:val="clear" w:color="000000" w:fill="FFFFFF"/>
            <w:noWrap/>
            <w:vAlign w:val="center"/>
            <w:hideMark/>
          </w:tcPr>
          <w:p w14:paraId="253EE749" w14:textId="77777777" w:rsidR="001B3014" w:rsidRPr="001B3014" w:rsidRDefault="001B3014" w:rsidP="00837D2E">
            <w:pPr>
              <w:jc w:val="right"/>
              <w:rPr>
                <w:noProof/>
                <w:color w:val="000000"/>
                <w:sz w:val="20"/>
                <w:szCs w:val="20"/>
              </w:rPr>
            </w:pPr>
            <w:r w:rsidRPr="001B3014">
              <w:rPr>
                <w:noProof/>
                <w:sz w:val="20"/>
                <w:szCs w:val="20"/>
                <w:lang w:eastAsia="fr-BE"/>
              </w:rPr>
              <w:t>48.4</w:t>
            </w:r>
          </w:p>
        </w:tc>
      </w:tr>
      <w:tr w:rsidR="001B3014" w:rsidRPr="001B3014" w14:paraId="5D2A7196" w14:textId="77777777" w:rsidTr="00837D2E">
        <w:trPr>
          <w:trHeight w:val="300"/>
        </w:trPr>
        <w:tc>
          <w:tcPr>
            <w:tcW w:w="2310" w:type="pct"/>
            <w:tcBorders>
              <w:top w:val="nil"/>
              <w:left w:val="single" w:sz="4" w:space="0" w:color="auto"/>
              <w:bottom w:val="single" w:sz="4" w:space="0" w:color="auto"/>
              <w:right w:val="single" w:sz="4" w:space="0" w:color="auto"/>
            </w:tcBorders>
            <w:shd w:val="clear" w:color="000000" w:fill="FFFFFF"/>
            <w:vAlign w:val="center"/>
            <w:hideMark/>
          </w:tcPr>
          <w:p w14:paraId="7ECC8894" w14:textId="77777777" w:rsidR="001B3014" w:rsidRPr="001B3014" w:rsidRDefault="001B3014" w:rsidP="001B3014">
            <w:pPr>
              <w:rPr>
                <w:noProof/>
                <w:color w:val="000000"/>
                <w:sz w:val="20"/>
                <w:szCs w:val="20"/>
              </w:rPr>
            </w:pPr>
            <w:r w:rsidRPr="001B3014">
              <w:rPr>
                <w:noProof/>
                <w:sz w:val="20"/>
                <w:szCs w:val="20"/>
                <w:lang w:eastAsia="fr-BE"/>
              </w:rPr>
              <w:t xml:space="preserve">Rail-coach passengers </w:t>
            </w:r>
          </w:p>
        </w:tc>
        <w:tc>
          <w:tcPr>
            <w:tcW w:w="538" w:type="pct"/>
            <w:tcBorders>
              <w:top w:val="nil"/>
              <w:left w:val="nil"/>
              <w:bottom w:val="single" w:sz="4" w:space="0" w:color="auto"/>
              <w:right w:val="single" w:sz="4" w:space="0" w:color="auto"/>
            </w:tcBorders>
            <w:shd w:val="clear" w:color="000000" w:fill="FFFFFF"/>
            <w:noWrap/>
            <w:vAlign w:val="center"/>
            <w:hideMark/>
          </w:tcPr>
          <w:p w14:paraId="07A093E0" w14:textId="77777777" w:rsidR="001B3014" w:rsidRPr="001B3014" w:rsidRDefault="001B3014" w:rsidP="00837D2E">
            <w:pPr>
              <w:jc w:val="right"/>
              <w:rPr>
                <w:noProof/>
                <w:color w:val="000000"/>
                <w:sz w:val="20"/>
                <w:szCs w:val="20"/>
              </w:rPr>
            </w:pPr>
            <w:r w:rsidRPr="001B3014">
              <w:rPr>
                <w:noProof/>
                <w:sz w:val="20"/>
                <w:szCs w:val="20"/>
                <w:lang w:eastAsia="fr-BE"/>
              </w:rPr>
              <w:t>1</w:t>
            </w:r>
          </w:p>
        </w:tc>
        <w:tc>
          <w:tcPr>
            <w:tcW w:w="538" w:type="pct"/>
            <w:tcBorders>
              <w:top w:val="nil"/>
              <w:left w:val="nil"/>
              <w:bottom w:val="single" w:sz="4" w:space="0" w:color="auto"/>
              <w:right w:val="single" w:sz="4" w:space="0" w:color="auto"/>
            </w:tcBorders>
            <w:shd w:val="clear" w:color="000000" w:fill="FFFFFF"/>
            <w:vAlign w:val="center"/>
            <w:hideMark/>
          </w:tcPr>
          <w:p w14:paraId="3655A076" w14:textId="77777777" w:rsidR="001B3014" w:rsidRPr="001B3014" w:rsidRDefault="001B3014" w:rsidP="00837D2E">
            <w:pPr>
              <w:jc w:val="right"/>
              <w:rPr>
                <w:noProof/>
                <w:color w:val="000000"/>
                <w:sz w:val="20"/>
                <w:szCs w:val="20"/>
              </w:rPr>
            </w:pPr>
            <w:r w:rsidRPr="001B3014">
              <w:rPr>
                <w:noProof/>
                <w:sz w:val="20"/>
                <w:szCs w:val="20"/>
                <w:lang w:eastAsia="fr-BE"/>
              </w:rPr>
              <w:t>1</w:t>
            </w:r>
          </w:p>
        </w:tc>
        <w:tc>
          <w:tcPr>
            <w:tcW w:w="538" w:type="pct"/>
            <w:tcBorders>
              <w:top w:val="nil"/>
              <w:left w:val="nil"/>
              <w:bottom w:val="single" w:sz="4" w:space="0" w:color="auto"/>
              <w:right w:val="single" w:sz="4" w:space="0" w:color="auto"/>
            </w:tcBorders>
            <w:shd w:val="clear" w:color="000000" w:fill="FFFFFF"/>
            <w:vAlign w:val="center"/>
            <w:hideMark/>
          </w:tcPr>
          <w:p w14:paraId="0DF9AF87" w14:textId="77777777" w:rsidR="001B3014" w:rsidRPr="001B3014" w:rsidRDefault="001B3014" w:rsidP="00837D2E">
            <w:pPr>
              <w:jc w:val="right"/>
              <w:rPr>
                <w:noProof/>
                <w:color w:val="000000"/>
                <w:sz w:val="20"/>
                <w:szCs w:val="20"/>
              </w:rPr>
            </w:pPr>
            <w:r w:rsidRPr="001B3014">
              <w:rPr>
                <w:noProof/>
                <w:sz w:val="20"/>
                <w:szCs w:val="20"/>
                <w:lang w:eastAsia="fr-BE"/>
              </w:rPr>
              <w:t>1.1</w:t>
            </w:r>
          </w:p>
        </w:tc>
        <w:tc>
          <w:tcPr>
            <w:tcW w:w="538" w:type="pct"/>
            <w:tcBorders>
              <w:top w:val="nil"/>
              <w:left w:val="nil"/>
              <w:bottom w:val="single" w:sz="4" w:space="0" w:color="auto"/>
              <w:right w:val="single" w:sz="4" w:space="0" w:color="auto"/>
            </w:tcBorders>
            <w:shd w:val="clear" w:color="000000" w:fill="FFFFFF"/>
            <w:noWrap/>
            <w:vAlign w:val="center"/>
            <w:hideMark/>
          </w:tcPr>
          <w:p w14:paraId="3ECF8DA8" w14:textId="77777777" w:rsidR="001B3014" w:rsidRPr="001B3014" w:rsidRDefault="001B3014" w:rsidP="00837D2E">
            <w:pPr>
              <w:jc w:val="right"/>
              <w:rPr>
                <w:noProof/>
                <w:color w:val="000000"/>
                <w:sz w:val="20"/>
                <w:szCs w:val="20"/>
              </w:rPr>
            </w:pPr>
            <w:r w:rsidRPr="001B3014">
              <w:rPr>
                <w:noProof/>
                <w:sz w:val="20"/>
                <w:szCs w:val="20"/>
                <w:lang w:eastAsia="fr-BE"/>
              </w:rPr>
              <w:t>1.3</w:t>
            </w:r>
          </w:p>
        </w:tc>
        <w:tc>
          <w:tcPr>
            <w:tcW w:w="538" w:type="pct"/>
            <w:tcBorders>
              <w:top w:val="nil"/>
              <w:left w:val="nil"/>
              <w:bottom w:val="single" w:sz="4" w:space="0" w:color="auto"/>
              <w:right w:val="single" w:sz="4" w:space="0" w:color="auto"/>
            </w:tcBorders>
            <w:shd w:val="clear" w:color="000000" w:fill="FFFFFF"/>
            <w:noWrap/>
            <w:vAlign w:val="center"/>
            <w:hideMark/>
          </w:tcPr>
          <w:p w14:paraId="3B7A480A" w14:textId="77777777" w:rsidR="001B3014" w:rsidRPr="001B3014" w:rsidRDefault="001B3014" w:rsidP="00837D2E">
            <w:pPr>
              <w:jc w:val="right"/>
              <w:rPr>
                <w:noProof/>
                <w:color w:val="000000"/>
                <w:sz w:val="20"/>
                <w:szCs w:val="20"/>
              </w:rPr>
            </w:pPr>
            <w:r w:rsidRPr="001B3014">
              <w:rPr>
                <w:noProof/>
                <w:sz w:val="20"/>
                <w:szCs w:val="20"/>
                <w:lang w:eastAsia="fr-BE"/>
              </w:rPr>
              <w:t>1.5</w:t>
            </w:r>
          </w:p>
        </w:tc>
      </w:tr>
      <w:tr w:rsidR="001B3014" w:rsidRPr="001B3014" w14:paraId="418E7AD1" w14:textId="77777777" w:rsidTr="00837D2E">
        <w:trPr>
          <w:trHeight w:val="300"/>
        </w:trPr>
        <w:tc>
          <w:tcPr>
            <w:tcW w:w="2310" w:type="pct"/>
            <w:tcBorders>
              <w:top w:val="nil"/>
              <w:left w:val="single" w:sz="4" w:space="0" w:color="auto"/>
              <w:bottom w:val="single" w:sz="4" w:space="0" w:color="auto"/>
              <w:right w:val="single" w:sz="4" w:space="0" w:color="auto"/>
            </w:tcBorders>
            <w:shd w:val="clear" w:color="000000" w:fill="DBE5F1"/>
            <w:vAlign w:val="center"/>
            <w:hideMark/>
          </w:tcPr>
          <w:p w14:paraId="40546C0C" w14:textId="77777777" w:rsidR="001B3014" w:rsidRPr="001B3014" w:rsidRDefault="001B3014" w:rsidP="001B3014">
            <w:pPr>
              <w:rPr>
                <w:b/>
                <w:noProof/>
                <w:color w:val="000000"/>
                <w:sz w:val="20"/>
                <w:szCs w:val="20"/>
              </w:rPr>
            </w:pPr>
            <w:r w:rsidRPr="001B3014">
              <w:rPr>
                <w:b/>
                <w:bCs/>
                <w:noProof/>
                <w:sz w:val="20"/>
                <w:szCs w:val="20"/>
                <w:lang w:eastAsia="fr-BE"/>
              </w:rPr>
              <w:t>Market size</w:t>
            </w:r>
          </w:p>
        </w:tc>
        <w:tc>
          <w:tcPr>
            <w:tcW w:w="538" w:type="pct"/>
            <w:tcBorders>
              <w:top w:val="nil"/>
              <w:left w:val="nil"/>
              <w:bottom w:val="single" w:sz="4" w:space="0" w:color="auto"/>
              <w:right w:val="single" w:sz="4" w:space="0" w:color="auto"/>
            </w:tcBorders>
            <w:shd w:val="clear" w:color="000000" w:fill="DBE5F1"/>
            <w:noWrap/>
            <w:vAlign w:val="center"/>
            <w:hideMark/>
          </w:tcPr>
          <w:p w14:paraId="01C1D910" w14:textId="77777777" w:rsidR="001B3014" w:rsidRPr="001B3014" w:rsidRDefault="001B3014" w:rsidP="00837D2E">
            <w:pPr>
              <w:jc w:val="right"/>
              <w:rPr>
                <w:noProof/>
                <w:color w:val="000000"/>
                <w:sz w:val="20"/>
                <w:szCs w:val="20"/>
              </w:rPr>
            </w:pPr>
            <w:r w:rsidRPr="001B3014">
              <w:rPr>
                <w:noProof/>
                <w:color w:val="000000"/>
                <w:sz w:val="20"/>
                <w:szCs w:val="20"/>
                <w:lang w:eastAsia="fr-BE"/>
              </w:rPr>
              <w:t> </w:t>
            </w:r>
          </w:p>
        </w:tc>
        <w:tc>
          <w:tcPr>
            <w:tcW w:w="538" w:type="pct"/>
            <w:tcBorders>
              <w:top w:val="nil"/>
              <w:left w:val="nil"/>
              <w:bottom w:val="single" w:sz="4" w:space="0" w:color="auto"/>
              <w:right w:val="single" w:sz="4" w:space="0" w:color="auto"/>
            </w:tcBorders>
            <w:shd w:val="clear" w:color="000000" w:fill="DBE5F1"/>
            <w:vAlign w:val="center"/>
            <w:hideMark/>
          </w:tcPr>
          <w:p w14:paraId="04B0DFFB" w14:textId="77777777" w:rsidR="001B3014" w:rsidRPr="001B3014" w:rsidRDefault="001B3014" w:rsidP="00837D2E">
            <w:pPr>
              <w:jc w:val="right"/>
              <w:rPr>
                <w:noProof/>
                <w:color w:val="000000"/>
                <w:sz w:val="20"/>
                <w:szCs w:val="20"/>
              </w:rPr>
            </w:pPr>
            <w:r w:rsidRPr="001B3014">
              <w:rPr>
                <w:noProof/>
                <w:color w:val="000000"/>
                <w:sz w:val="20"/>
                <w:szCs w:val="20"/>
                <w:lang w:eastAsia="fr-BE"/>
              </w:rPr>
              <w:t> </w:t>
            </w:r>
          </w:p>
        </w:tc>
        <w:tc>
          <w:tcPr>
            <w:tcW w:w="538" w:type="pct"/>
            <w:tcBorders>
              <w:top w:val="nil"/>
              <w:left w:val="nil"/>
              <w:bottom w:val="single" w:sz="4" w:space="0" w:color="auto"/>
              <w:right w:val="single" w:sz="4" w:space="0" w:color="auto"/>
            </w:tcBorders>
            <w:shd w:val="clear" w:color="000000" w:fill="DBE5F1"/>
            <w:vAlign w:val="center"/>
            <w:hideMark/>
          </w:tcPr>
          <w:p w14:paraId="108D5743" w14:textId="77777777" w:rsidR="001B3014" w:rsidRPr="001B3014" w:rsidRDefault="001B3014" w:rsidP="00837D2E">
            <w:pPr>
              <w:jc w:val="right"/>
              <w:rPr>
                <w:noProof/>
                <w:color w:val="000000"/>
                <w:sz w:val="20"/>
                <w:szCs w:val="20"/>
              </w:rPr>
            </w:pPr>
            <w:r w:rsidRPr="001B3014">
              <w:rPr>
                <w:noProof/>
                <w:color w:val="000000"/>
                <w:sz w:val="20"/>
                <w:szCs w:val="20"/>
                <w:lang w:eastAsia="fr-BE"/>
              </w:rPr>
              <w:t> </w:t>
            </w:r>
          </w:p>
        </w:tc>
        <w:tc>
          <w:tcPr>
            <w:tcW w:w="538" w:type="pct"/>
            <w:tcBorders>
              <w:top w:val="nil"/>
              <w:left w:val="nil"/>
              <w:bottom w:val="single" w:sz="4" w:space="0" w:color="auto"/>
              <w:right w:val="single" w:sz="4" w:space="0" w:color="auto"/>
            </w:tcBorders>
            <w:shd w:val="clear" w:color="000000" w:fill="DBE5F1"/>
            <w:noWrap/>
            <w:vAlign w:val="center"/>
            <w:hideMark/>
          </w:tcPr>
          <w:p w14:paraId="19595CDB" w14:textId="77777777" w:rsidR="001B3014" w:rsidRPr="001B3014" w:rsidRDefault="001B3014" w:rsidP="00837D2E">
            <w:pPr>
              <w:jc w:val="right"/>
              <w:rPr>
                <w:noProof/>
                <w:color w:val="000000"/>
                <w:sz w:val="20"/>
                <w:szCs w:val="20"/>
              </w:rPr>
            </w:pPr>
            <w:r w:rsidRPr="001B3014">
              <w:rPr>
                <w:noProof/>
                <w:color w:val="000000"/>
                <w:sz w:val="20"/>
                <w:szCs w:val="20"/>
                <w:lang w:eastAsia="fr-BE"/>
              </w:rPr>
              <w:t> </w:t>
            </w:r>
          </w:p>
        </w:tc>
        <w:tc>
          <w:tcPr>
            <w:tcW w:w="538" w:type="pct"/>
            <w:tcBorders>
              <w:top w:val="nil"/>
              <w:left w:val="nil"/>
              <w:bottom w:val="single" w:sz="4" w:space="0" w:color="auto"/>
              <w:right w:val="single" w:sz="4" w:space="0" w:color="auto"/>
            </w:tcBorders>
            <w:shd w:val="clear" w:color="000000" w:fill="DBE5F1"/>
            <w:noWrap/>
            <w:vAlign w:val="center"/>
            <w:hideMark/>
          </w:tcPr>
          <w:p w14:paraId="144BF8A4" w14:textId="77777777" w:rsidR="001B3014" w:rsidRPr="001B3014" w:rsidRDefault="001B3014" w:rsidP="00837D2E">
            <w:pPr>
              <w:jc w:val="right"/>
              <w:rPr>
                <w:noProof/>
                <w:color w:val="000000"/>
                <w:sz w:val="20"/>
                <w:szCs w:val="20"/>
              </w:rPr>
            </w:pPr>
            <w:r w:rsidRPr="001B3014">
              <w:rPr>
                <w:noProof/>
                <w:color w:val="000000"/>
                <w:sz w:val="20"/>
                <w:szCs w:val="20"/>
                <w:lang w:eastAsia="fr-BE"/>
              </w:rPr>
              <w:t> </w:t>
            </w:r>
          </w:p>
        </w:tc>
      </w:tr>
      <w:tr w:rsidR="001B3014" w:rsidRPr="001B3014" w14:paraId="755910E3" w14:textId="77777777" w:rsidTr="00837D2E">
        <w:trPr>
          <w:trHeight w:val="300"/>
        </w:trPr>
        <w:tc>
          <w:tcPr>
            <w:tcW w:w="2310" w:type="pct"/>
            <w:tcBorders>
              <w:top w:val="nil"/>
              <w:left w:val="single" w:sz="4" w:space="0" w:color="auto"/>
              <w:bottom w:val="single" w:sz="4" w:space="0" w:color="auto"/>
              <w:right w:val="single" w:sz="4" w:space="0" w:color="auto"/>
            </w:tcBorders>
            <w:shd w:val="clear" w:color="000000" w:fill="FFFFFF"/>
            <w:vAlign w:val="center"/>
            <w:hideMark/>
          </w:tcPr>
          <w:p w14:paraId="120A6DD8" w14:textId="77777777" w:rsidR="001B3014" w:rsidRPr="001B3014" w:rsidRDefault="001B3014" w:rsidP="001B3014">
            <w:pPr>
              <w:rPr>
                <w:noProof/>
                <w:color w:val="000000"/>
                <w:sz w:val="20"/>
                <w:szCs w:val="20"/>
              </w:rPr>
            </w:pPr>
            <w:r w:rsidRPr="001B3014">
              <w:rPr>
                <w:noProof/>
                <w:sz w:val="20"/>
                <w:szCs w:val="20"/>
                <w:lang w:eastAsia="fr-BE"/>
              </w:rPr>
              <w:t>Air-Rail (% of air market size)</w:t>
            </w:r>
          </w:p>
        </w:tc>
        <w:tc>
          <w:tcPr>
            <w:tcW w:w="538" w:type="pct"/>
            <w:tcBorders>
              <w:top w:val="nil"/>
              <w:left w:val="nil"/>
              <w:bottom w:val="single" w:sz="4" w:space="0" w:color="auto"/>
              <w:right w:val="single" w:sz="4" w:space="0" w:color="auto"/>
            </w:tcBorders>
            <w:shd w:val="clear" w:color="000000" w:fill="FFFFFF"/>
            <w:noWrap/>
            <w:vAlign w:val="center"/>
            <w:hideMark/>
          </w:tcPr>
          <w:p w14:paraId="3524C565" w14:textId="77777777" w:rsidR="001B3014" w:rsidRPr="001B3014" w:rsidRDefault="001B3014" w:rsidP="00837D2E">
            <w:pPr>
              <w:jc w:val="right"/>
              <w:rPr>
                <w:noProof/>
                <w:color w:val="000000"/>
                <w:sz w:val="20"/>
                <w:szCs w:val="20"/>
              </w:rPr>
            </w:pPr>
            <w:r w:rsidRPr="001B3014">
              <w:rPr>
                <w:noProof/>
                <w:sz w:val="20"/>
                <w:szCs w:val="20"/>
                <w:lang w:eastAsia="fr-BE"/>
              </w:rPr>
              <w:t>11.80%</w:t>
            </w:r>
          </w:p>
        </w:tc>
        <w:tc>
          <w:tcPr>
            <w:tcW w:w="538" w:type="pct"/>
            <w:tcBorders>
              <w:top w:val="nil"/>
              <w:left w:val="nil"/>
              <w:bottom w:val="single" w:sz="4" w:space="0" w:color="auto"/>
              <w:right w:val="single" w:sz="4" w:space="0" w:color="auto"/>
            </w:tcBorders>
            <w:shd w:val="clear" w:color="000000" w:fill="FFFFFF"/>
            <w:vAlign w:val="center"/>
            <w:hideMark/>
          </w:tcPr>
          <w:p w14:paraId="5EB589EF" w14:textId="77777777" w:rsidR="001B3014" w:rsidRPr="001B3014" w:rsidRDefault="001B3014" w:rsidP="00837D2E">
            <w:pPr>
              <w:jc w:val="right"/>
              <w:rPr>
                <w:noProof/>
                <w:color w:val="000000"/>
                <w:sz w:val="20"/>
                <w:szCs w:val="20"/>
              </w:rPr>
            </w:pPr>
            <w:r w:rsidRPr="001B3014">
              <w:rPr>
                <w:noProof/>
                <w:sz w:val="20"/>
                <w:szCs w:val="20"/>
                <w:lang w:eastAsia="fr-BE"/>
              </w:rPr>
              <w:t>11.40%</w:t>
            </w:r>
          </w:p>
        </w:tc>
        <w:tc>
          <w:tcPr>
            <w:tcW w:w="538" w:type="pct"/>
            <w:tcBorders>
              <w:top w:val="nil"/>
              <w:left w:val="nil"/>
              <w:bottom w:val="single" w:sz="4" w:space="0" w:color="auto"/>
              <w:right w:val="single" w:sz="4" w:space="0" w:color="auto"/>
            </w:tcBorders>
            <w:shd w:val="clear" w:color="000000" w:fill="FFFFFF"/>
            <w:vAlign w:val="center"/>
            <w:hideMark/>
          </w:tcPr>
          <w:p w14:paraId="75797248" w14:textId="77777777" w:rsidR="001B3014" w:rsidRPr="001B3014" w:rsidRDefault="001B3014" w:rsidP="00837D2E">
            <w:pPr>
              <w:jc w:val="right"/>
              <w:rPr>
                <w:noProof/>
                <w:color w:val="000000"/>
                <w:sz w:val="20"/>
                <w:szCs w:val="20"/>
              </w:rPr>
            </w:pPr>
            <w:r w:rsidRPr="001B3014">
              <w:rPr>
                <w:noProof/>
                <w:sz w:val="20"/>
                <w:szCs w:val="20"/>
                <w:lang w:eastAsia="fr-BE"/>
              </w:rPr>
              <w:t>11.30%</w:t>
            </w:r>
          </w:p>
        </w:tc>
        <w:tc>
          <w:tcPr>
            <w:tcW w:w="538" w:type="pct"/>
            <w:tcBorders>
              <w:top w:val="nil"/>
              <w:left w:val="nil"/>
              <w:bottom w:val="single" w:sz="4" w:space="0" w:color="auto"/>
              <w:right w:val="single" w:sz="4" w:space="0" w:color="auto"/>
            </w:tcBorders>
            <w:shd w:val="clear" w:color="000000" w:fill="FFFFFF"/>
            <w:noWrap/>
            <w:vAlign w:val="center"/>
            <w:hideMark/>
          </w:tcPr>
          <w:p w14:paraId="4F2239E7" w14:textId="77777777" w:rsidR="001B3014" w:rsidRPr="001B3014" w:rsidRDefault="001B3014" w:rsidP="00837D2E">
            <w:pPr>
              <w:jc w:val="right"/>
              <w:rPr>
                <w:noProof/>
                <w:color w:val="000000"/>
                <w:sz w:val="20"/>
                <w:szCs w:val="20"/>
              </w:rPr>
            </w:pPr>
            <w:r w:rsidRPr="001B3014">
              <w:rPr>
                <w:noProof/>
                <w:sz w:val="20"/>
                <w:szCs w:val="20"/>
                <w:lang w:eastAsia="fr-BE"/>
              </w:rPr>
              <w:t>11.90%</w:t>
            </w:r>
          </w:p>
        </w:tc>
        <w:tc>
          <w:tcPr>
            <w:tcW w:w="538" w:type="pct"/>
            <w:tcBorders>
              <w:top w:val="nil"/>
              <w:left w:val="nil"/>
              <w:bottom w:val="single" w:sz="4" w:space="0" w:color="auto"/>
              <w:right w:val="single" w:sz="4" w:space="0" w:color="auto"/>
            </w:tcBorders>
            <w:shd w:val="clear" w:color="000000" w:fill="FFFFFF"/>
            <w:noWrap/>
            <w:vAlign w:val="center"/>
            <w:hideMark/>
          </w:tcPr>
          <w:p w14:paraId="6F143599" w14:textId="77777777" w:rsidR="001B3014" w:rsidRPr="001B3014" w:rsidRDefault="001B3014" w:rsidP="00837D2E">
            <w:pPr>
              <w:jc w:val="right"/>
              <w:rPr>
                <w:noProof/>
                <w:color w:val="000000"/>
                <w:sz w:val="20"/>
                <w:szCs w:val="20"/>
              </w:rPr>
            </w:pPr>
            <w:r w:rsidRPr="001B3014">
              <w:rPr>
                <w:noProof/>
                <w:sz w:val="20"/>
                <w:szCs w:val="20"/>
                <w:lang w:eastAsia="fr-BE"/>
              </w:rPr>
              <w:t>12.60%</w:t>
            </w:r>
          </w:p>
        </w:tc>
      </w:tr>
      <w:tr w:rsidR="001B3014" w:rsidRPr="001B3014" w14:paraId="66CC80CB" w14:textId="77777777" w:rsidTr="00837D2E">
        <w:trPr>
          <w:trHeight w:val="300"/>
        </w:trPr>
        <w:tc>
          <w:tcPr>
            <w:tcW w:w="2310" w:type="pct"/>
            <w:tcBorders>
              <w:top w:val="nil"/>
              <w:left w:val="single" w:sz="4" w:space="0" w:color="auto"/>
              <w:bottom w:val="single" w:sz="4" w:space="0" w:color="auto"/>
              <w:right w:val="single" w:sz="4" w:space="0" w:color="auto"/>
            </w:tcBorders>
            <w:shd w:val="clear" w:color="000000" w:fill="FFFFFF"/>
            <w:vAlign w:val="center"/>
            <w:hideMark/>
          </w:tcPr>
          <w:p w14:paraId="74E9BA4A" w14:textId="77777777" w:rsidR="001B3014" w:rsidRPr="001B3014" w:rsidRDefault="001B3014" w:rsidP="001B3014">
            <w:pPr>
              <w:rPr>
                <w:noProof/>
                <w:color w:val="000000"/>
                <w:sz w:val="20"/>
                <w:szCs w:val="20"/>
              </w:rPr>
            </w:pPr>
            <w:r w:rsidRPr="001B3014">
              <w:rPr>
                <w:noProof/>
                <w:sz w:val="20"/>
                <w:szCs w:val="20"/>
                <w:lang w:eastAsia="fr-BE"/>
              </w:rPr>
              <w:t>Air-Coach (% of bus and coach market size)</w:t>
            </w:r>
          </w:p>
        </w:tc>
        <w:tc>
          <w:tcPr>
            <w:tcW w:w="538" w:type="pct"/>
            <w:tcBorders>
              <w:top w:val="nil"/>
              <w:left w:val="nil"/>
              <w:bottom w:val="single" w:sz="4" w:space="0" w:color="auto"/>
              <w:right w:val="single" w:sz="4" w:space="0" w:color="auto"/>
            </w:tcBorders>
            <w:shd w:val="clear" w:color="000000" w:fill="FFFFFF"/>
            <w:noWrap/>
            <w:vAlign w:val="center"/>
            <w:hideMark/>
          </w:tcPr>
          <w:p w14:paraId="459CA364" w14:textId="77777777" w:rsidR="001B3014" w:rsidRPr="001B3014" w:rsidRDefault="001B3014" w:rsidP="00837D2E">
            <w:pPr>
              <w:jc w:val="right"/>
              <w:rPr>
                <w:noProof/>
                <w:color w:val="000000"/>
                <w:sz w:val="20"/>
                <w:szCs w:val="20"/>
              </w:rPr>
            </w:pPr>
            <w:r w:rsidRPr="001B3014">
              <w:rPr>
                <w:noProof/>
                <w:sz w:val="20"/>
                <w:szCs w:val="20"/>
                <w:lang w:eastAsia="fr-BE"/>
              </w:rPr>
              <w:t>0.90%</w:t>
            </w:r>
          </w:p>
        </w:tc>
        <w:tc>
          <w:tcPr>
            <w:tcW w:w="538" w:type="pct"/>
            <w:tcBorders>
              <w:top w:val="nil"/>
              <w:left w:val="nil"/>
              <w:bottom w:val="single" w:sz="4" w:space="0" w:color="auto"/>
              <w:right w:val="single" w:sz="4" w:space="0" w:color="auto"/>
            </w:tcBorders>
            <w:shd w:val="clear" w:color="000000" w:fill="FFFFFF"/>
            <w:vAlign w:val="center"/>
            <w:hideMark/>
          </w:tcPr>
          <w:p w14:paraId="25350C92" w14:textId="77777777" w:rsidR="001B3014" w:rsidRPr="001B3014" w:rsidRDefault="001B3014" w:rsidP="00837D2E">
            <w:pPr>
              <w:jc w:val="right"/>
              <w:rPr>
                <w:noProof/>
                <w:color w:val="000000"/>
                <w:sz w:val="20"/>
                <w:szCs w:val="20"/>
              </w:rPr>
            </w:pPr>
            <w:r w:rsidRPr="001B3014">
              <w:rPr>
                <w:noProof/>
                <w:sz w:val="20"/>
                <w:szCs w:val="20"/>
                <w:lang w:eastAsia="fr-BE"/>
              </w:rPr>
              <w:t>0.80%</w:t>
            </w:r>
          </w:p>
        </w:tc>
        <w:tc>
          <w:tcPr>
            <w:tcW w:w="538" w:type="pct"/>
            <w:tcBorders>
              <w:top w:val="nil"/>
              <w:left w:val="nil"/>
              <w:bottom w:val="single" w:sz="4" w:space="0" w:color="auto"/>
              <w:right w:val="single" w:sz="4" w:space="0" w:color="auto"/>
            </w:tcBorders>
            <w:shd w:val="clear" w:color="000000" w:fill="FFFFFF"/>
            <w:vAlign w:val="center"/>
            <w:hideMark/>
          </w:tcPr>
          <w:p w14:paraId="7F2FFD53" w14:textId="77777777" w:rsidR="001B3014" w:rsidRPr="001B3014" w:rsidRDefault="001B3014" w:rsidP="00837D2E">
            <w:pPr>
              <w:jc w:val="right"/>
              <w:rPr>
                <w:noProof/>
                <w:color w:val="000000"/>
                <w:sz w:val="20"/>
                <w:szCs w:val="20"/>
              </w:rPr>
            </w:pPr>
            <w:r w:rsidRPr="001B3014">
              <w:rPr>
                <w:noProof/>
                <w:sz w:val="20"/>
                <w:szCs w:val="20"/>
                <w:lang w:eastAsia="fr-BE"/>
              </w:rPr>
              <w:t>0.90%</w:t>
            </w:r>
          </w:p>
        </w:tc>
        <w:tc>
          <w:tcPr>
            <w:tcW w:w="538" w:type="pct"/>
            <w:tcBorders>
              <w:top w:val="nil"/>
              <w:left w:val="nil"/>
              <w:bottom w:val="single" w:sz="4" w:space="0" w:color="auto"/>
              <w:right w:val="single" w:sz="4" w:space="0" w:color="auto"/>
            </w:tcBorders>
            <w:shd w:val="clear" w:color="000000" w:fill="FFFFFF"/>
            <w:noWrap/>
            <w:vAlign w:val="center"/>
            <w:hideMark/>
          </w:tcPr>
          <w:p w14:paraId="6F165382" w14:textId="77777777" w:rsidR="001B3014" w:rsidRPr="001B3014" w:rsidRDefault="001B3014" w:rsidP="00837D2E">
            <w:pPr>
              <w:jc w:val="right"/>
              <w:rPr>
                <w:noProof/>
                <w:color w:val="000000"/>
                <w:sz w:val="20"/>
                <w:szCs w:val="20"/>
              </w:rPr>
            </w:pPr>
            <w:r w:rsidRPr="001B3014">
              <w:rPr>
                <w:noProof/>
                <w:sz w:val="20"/>
                <w:szCs w:val="20"/>
                <w:lang w:eastAsia="fr-BE"/>
              </w:rPr>
              <w:t>1.00%</w:t>
            </w:r>
          </w:p>
        </w:tc>
        <w:tc>
          <w:tcPr>
            <w:tcW w:w="538" w:type="pct"/>
            <w:tcBorders>
              <w:top w:val="nil"/>
              <w:left w:val="nil"/>
              <w:bottom w:val="single" w:sz="4" w:space="0" w:color="auto"/>
              <w:right w:val="single" w:sz="4" w:space="0" w:color="auto"/>
            </w:tcBorders>
            <w:shd w:val="clear" w:color="000000" w:fill="FFFFFF"/>
            <w:noWrap/>
            <w:vAlign w:val="center"/>
            <w:hideMark/>
          </w:tcPr>
          <w:p w14:paraId="468E93E5" w14:textId="77777777" w:rsidR="001B3014" w:rsidRPr="001B3014" w:rsidRDefault="001B3014" w:rsidP="00837D2E">
            <w:pPr>
              <w:jc w:val="right"/>
              <w:rPr>
                <w:noProof/>
                <w:color w:val="000000"/>
                <w:sz w:val="20"/>
                <w:szCs w:val="20"/>
              </w:rPr>
            </w:pPr>
            <w:r w:rsidRPr="001B3014">
              <w:rPr>
                <w:noProof/>
                <w:sz w:val="20"/>
                <w:szCs w:val="20"/>
                <w:lang w:eastAsia="fr-BE"/>
              </w:rPr>
              <w:t>1.20%</w:t>
            </w:r>
          </w:p>
        </w:tc>
      </w:tr>
      <w:tr w:rsidR="001B3014" w:rsidRPr="001B3014" w14:paraId="33FC8D83" w14:textId="77777777" w:rsidTr="00837D2E">
        <w:trPr>
          <w:trHeight w:val="300"/>
        </w:trPr>
        <w:tc>
          <w:tcPr>
            <w:tcW w:w="2310" w:type="pct"/>
            <w:tcBorders>
              <w:top w:val="nil"/>
              <w:left w:val="single" w:sz="4" w:space="0" w:color="auto"/>
              <w:bottom w:val="single" w:sz="4" w:space="0" w:color="auto"/>
              <w:right w:val="single" w:sz="4" w:space="0" w:color="auto"/>
            </w:tcBorders>
            <w:shd w:val="clear" w:color="000000" w:fill="FFFFFF"/>
            <w:vAlign w:val="center"/>
            <w:hideMark/>
          </w:tcPr>
          <w:p w14:paraId="4E75EC53" w14:textId="77777777" w:rsidR="001B3014" w:rsidRPr="001B3014" w:rsidRDefault="001B3014" w:rsidP="001B3014">
            <w:pPr>
              <w:rPr>
                <w:noProof/>
                <w:color w:val="000000"/>
                <w:sz w:val="20"/>
                <w:szCs w:val="20"/>
              </w:rPr>
            </w:pPr>
            <w:r w:rsidRPr="001B3014">
              <w:rPr>
                <w:noProof/>
                <w:sz w:val="20"/>
                <w:szCs w:val="20"/>
                <w:lang w:eastAsia="fr-BE"/>
              </w:rPr>
              <w:t>Rail-Coach (% of bus and coach market size)</w:t>
            </w:r>
          </w:p>
        </w:tc>
        <w:tc>
          <w:tcPr>
            <w:tcW w:w="538" w:type="pct"/>
            <w:tcBorders>
              <w:top w:val="nil"/>
              <w:left w:val="nil"/>
              <w:bottom w:val="single" w:sz="4" w:space="0" w:color="auto"/>
              <w:right w:val="single" w:sz="4" w:space="0" w:color="auto"/>
            </w:tcBorders>
            <w:shd w:val="clear" w:color="000000" w:fill="FFFFFF"/>
            <w:noWrap/>
            <w:vAlign w:val="center"/>
            <w:hideMark/>
          </w:tcPr>
          <w:p w14:paraId="1CF7FA4E" w14:textId="77777777" w:rsidR="001B3014" w:rsidRPr="001B3014" w:rsidRDefault="001B3014" w:rsidP="00837D2E">
            <w:pPr>
              <w:jc w:val="right"/>
              <w:rPr>
                <w:noProof/>
                <w:color w:val="000000"/>
                <w:sz w:val="20"/>
                <w:szCs w:val="20"/>
              </w:rPr>
            </w:pPr>
            <w:r w:rsidRPr="001B3014">
              <w:rPr>
                <w:noProof/>
                <w:sz w:val="20"/>
                <w:szCs w:val="20"/>
                <w:lang w:eastAsia="fr-BE"/>
              </w:rPr>
              <w:t>0.03%</w:t>
            </w:r>
          </w:p>
        </w:tc>
        <w:tc>
          <w:tcPr>
            <w:tcW w:w="538" w:type="pct"/>
            <w:tcBorders>
              <w:top w:val="nil"/>
              <w:left w:val="nil"/>
              <w:bottom w:val="single" w:sz="4" w:space="0" w:color="auto"/>
              <w:right w:val="single" w:sz="4" w:space="0" w:color="auto"/>
            </w:tcBorders>
            <w:shd w:val="clear" w:color="000000" w:fill="FFFFFF"/>
            <w:vAlign w:val="center"/>
            <w:hideMark/>
          </w:tcPr>
          <w:p w14:paraId="704A471E" w14:textId="77777777" w:rsidR="001B3014" w:rsidRPr="001B3014" w:rsidRDefault="001B3014" w:rsidP="00837D2E">
            <w:pPr>
              <w:jc w:val="right"/>
              <w:rPr>
                <w:noProof/>
                <w:color w:val="000000"/>
                <w:sz w:val="20"/>
                <w:szCs w:val="20"/>
              </w:rPr>
            </w:pPr>
            <w:r w:rsidRPr="001B3014">
              <w:rPr>
                <w:noProof/>
                <w:sz w:val="20"/>
                <w:szCs w:val="20"/>
                <w:lang w:eastAsia="fr-BE"/>
              </w:rPr>
              <w:t>0.03%</w:t>
            </w:r>
          </w:p>
        </w:tc>
        <w:tc>
          <w:tcPr>
            <w:tcW w:w="538" w:type="pct"/>
            <w:tcBorders>
              <w:top w:val="nil"/>
              <w:left w:val="nil"/>
              <w:bottom w:val="single" w:sz="4" w:space="0" w:color="auto"/>
              <w:right w:val="single" w:sz="4" w:space="0" w:color="auto"/>
            </w:tcBorders>
            <w:shd w:val="clear" w:color="000000" w:fill="FFFFFF"/>
            <w:vAlign w:val="center"/>
            <w:hideMark/>
          </w:tcPr>
          <w:p w14:paraId="6C97405C" w14:textId="77777777" w:rsidR="001B3014" w:rsidRPr="001B3014" w:rsidRDefault="001B3014" w:rsidP="00837D2E">
            <w:pPr>
              <w:jc w:val="right"/>
              <w:rPr>
                <w:noProof/>
                <w:color w:val="000000"/>
                <w:sz w:val="20"/>
                <w:szCs w:val="20"/>
              </w:rPr>
            </w:pPr>
            <w:r w:rsidRPr="001B3014">
              <w:rPr>
                <w:noProof/>
                <w:sz w:val="20"/>
                <w:szCs w:val="20"/>
                <w:lang w:eastAsia="fr-BE"/>
              </w:rPr>
              <w:t>0.03%</w:t>
            </w:r>
          </w:p>
        </w:tc>
        <w:tc>
          <w:tcPr>
            <w:tcW w:w="538" w:type="pct"/>
            <w:tcBorders>
              <w:top w:val="nil"/>
              <w:left w:val="nil"/>
              <w:bottom w:val="single" w:sz="4" w:space="0" w:color="auto"/>
              <w:right w:val="single" w:sz="4" w:space="0" w:color="auto"/>
            </w:tcBorders>
            <w:shd w:val="clear" w:color="000000" w:fill="FFFFFF"/>
            <w:noWrap/>
            <w:vAlign w:val="center"/>
            <w:hideMark/>
          </w:tcPr>
          <w:p w14:paraId="018CEA02" w14:textId="77777777" w:rsidR="001B3014" w:rsidRPr="001B3014" w:rsidRDefault="001B3014" w:rsidP="00837D2E">
            <w:pPr>
              <w:jc w:val="right"/>
              <w:rPr>
                <w:noProof/>
                <w:color w:val="000000"/>
                <w:sz w:val="20"/>
                <w:szCs w:val="20"/>
              </w:rPr>
            </w:pPr>
            <w:r w:rsidRPr="001B3014">
              <w:rPr>
                <w:noProof/>
                <w:sz w:val="20"/>
                <w:szCs w:val="20"/>
                <w:lang w:eastAsia="fr-BE"/>
              </w:rPr>
              <w:t>0.03%</w:t>
            </w:r>
          </w:p>
        </w:tc>
        <w:tc>
          <w:tcPr>
            <w:tcW w:w="538" w:type="pct"/>
            <w:tcBorders>
              <w:top w:val="nil"/>
              <w:left w:val="nil"/>
              <w:bottom w:val="single" w:sz="4" w:space="0" w:color="auto"/>
              <w:right w:val="single" w:sz="4" w:space="0" w:color="auto"/>
            </w:tcBorders>
            <w:shd w:val="clear" w:color="000000" w:fill="FFFFFF"/>
            <w:noWrap/>
            <w:vAlign w:val="center"/>
            <w:hideMark/>
          </w:tcPr>
          <w:p w14:paraId="15FA0773" w14:textId="77777777" w:rsidR="001B3014" w:rsidRPr="001B3014" w:rsidRDefault="001B3014" w:rsidP="00837D2E">
            <w:pPr>
              <w:jc w:val="right"/>
              <w:rPr>
                <w:noProof/>
                <w:color w:val="000000"/>
                <w:sz w:val="20"/>
                <w:szCs w:val="20"/>
              </w:rPr>
            </w:pPr>
            <w:r w:rsidRPr="001B3014">
              <w:rPr>
                <w:noProof/>
                <w:sz w:val="20"/>
                <w:szCs w:val="20"/>
                <w:lang w:eastAsia="fr-BE"/>
              </w:rPr>
              <w:t>0.04%</w:t>
            </w:r>
          </w:p>
        </w:tc>
      </w:tr>
      <w:tr w:rsidR="001B3014" w:rsidRPr="001B3014" w14:paraId="3BDE805F" w14:textId="77777777" w:rsidTr="00837D2E">
        <w:trPr>
          <w:trHeight w:val="300"/>
        </w:trPr>
        <w:tc>
          <w:tcPr>
            <w:tcW w:w="2310" w:type="pct"/>
            <w:tcBorders>
              <w:top w:val="nil"/>
              <w:left w:val="single" w:sz="4" w:space="0" w:color="auto"/>
              <w:bottom w:val="single" w:sz="4" w:space="0" w:color="auto"/>
              <w:right w:val="single" w:sz="4" w:space="0" w:color="auto"/>
            </w:tcBorders>
            <w:shd w:val="clear" w:color="000000" w:fill="DBE5F1"/>
            <w:vAlign w:val="center"/>
            <w:hideMark/>
          </w:tcPr>
          <w:p w14:paraId="7ACDAB8C" w14:textId="77777777" w:rsidR="001B3014" w:rsidRPr="001B3014" w:rsidRDefault="001B3014" w:rsidP="001B3014">
            <w:pPr>
              <w:rPr>
                <w:b/>
                <w:noProof/>
                <w:color w:val="000000"/>
                <w:sz w:val="20"/>
                <w:szCs w:val="20"/>
              </w:rPr>
            </w:pPr>
            <w:r w:rsidRPr="001B3014">
              <w:rPr>
                <w:b/>
                <w:bCs/>
                <w:noProof/>
                <w:sz w:val="20"/>
                <w:szCs w:val="20"/>
                <w:lang w:eastAsia="fr-BE"/>
              </w:rPr>
              <w:t>Share in multimodal transport</w:t>
            </w:r>
          </w:p>
        </w:tc>
        <w:tc>
          <w:tcPr>
            <w:tcW w:w="538" w:type="pct"/>
            <w:tcBorders>
              <w:top w:val="nil"/>
              <w:left w:val="nil"/>
              <w:bottom w:val="single" w:sz="4" w:space="0" w:color="auto"/>
              <w:right w:val="single" w:sz="4" w:space="0" w:color="auto"/>
            </w:tcBorders>
            <w:shd w:val="clear" w:color="000000" w:fill="DBE5F1"/>
            <w:noWrap/>
            <w:vAlign w:val="center"/>
            <w:hideMark/>
          </w:tcPr>
          <w:p w14:paraId="3F3B10F5" w14:textId="77777777" w:rsidR="001B3014" w:rsidRPr="001B3014" w:rsidRDefault="001B3014" w:rsidP="00837D2E">
            <w:pPr>
              <w:jc w:val="right"/>
              <w:rPr>
                <w:noProof/>
                <w:color w:val="000000"/>
                <w:sz w:val="20"/>
                <w:szCs w:val="20"/>
              </w:rPr>
            </w:pPr>
            <w:r w:rsidRPr="001B3014">
              <w:rPr>
                <w:noProof/>
                <w:color w:val="000000"/>
                <w:sz w:val="20"/>
                <w:szCs w:val="20"/>
                <w:lang w:eastAsia="fr-BE"/>
              </w:rPr>
              <w:t> </w:t>
            </w:r>
          </w:p>
        </w:tc>
        <w:tc>
          <w:tcPr>
            <w:tcW w:w="538" w:type="pct"/>
            <w:tcBorders>
              <w:top w:val="nil"/>
              <w:left w:val="nil"/>
              <w:bottom w:val="single" w:sz="4" w:space="0" w:color="auto"/>
              <w:right w:val="single" w:sz="4" w:space="0" w:color="auto"/>
            </w:tcBorders>
            <w:shd w:val="clear" w:color="000000" w:fill="DBE5F1"/>
            <w:vAlign w:val="center"/>
            <w:hideMark/>
          </w:tcPr>
          <w:p w14:paraId="5806693C" w14:textId="77777777" w:rsidR="001B3014" w:rsidRPr="001B3014" w:rsidRDefault="001B3014" w:rsidP="00837D2E">
            <w:pPr>
              <w:jc w:val="right"/>
              <w:rPr>
                <w:noProof/>
                <w:color w:val="000000"/>
                <w:sz w:val="20"/>
                <w:szCs w:val="20"/>
              </w:rPr>
            </w:pPr>
            <w:r w:rsidRPr="001B3014">
              <w:rPr>
                <w:noProof/>
                <w:color w:val="000000"/>
                <w:sz w:val="20"/>
                <w:szCs w:val="20"/>
                <w:lang w:eastAsia="fr-BE"/>
              </w:rPr>
              <w:t> </w:t>
            </w:r>
          </w:p>
        </w:tc>
        <w:tc>
          <w:tcPr>
            <w:tcW w:w="538" w:type="pct"/>
            <w:tcBorders>
              <w:top w:val="nil"/>
              <w:left w:val="nil"/>
              <w:bottom w:val="single" w:sz="4" w:space="0" w:color="auto"/>
              <w:right w:val="single" w:sz="4" w:space="0" w:color="auto"/>
            </w:tcBorders>
            <w:shd w:val="clear" w:color="000000" w:fill="DBE5F1"/>
            <w:vAlign w:val="center"/>
            <w:hideMark/>
          </w:tcPr>
          <w:p w14:paraId="090001A9" w14:textId="77777777" w:rsidR="001B3014" w:rsidRPr="001B3014" w:rsidRDefault="001B3014" w:rsidP="00837D2E">
            <w:pPr>
              <w:jc w:val="right"/>
              <w:rPr>
                <w:noProof/>
                <w:color w:val="000000"/>
                <w:sz w:val="20"/>
                <w:szCs w:val="20"/>
              </w:rPr>
            </w:pPr>
            <w:r w:rsidRPr="001B3014">
              <w:rPr>
                <w:noProof/>
                <w:color w:val="000000"/>
                <w:sz w:val="20"/>
                <w:szCs w:val="20"/>
                <w:lang w:eastAsia="fr-BE"/>
              </w:rPr>
              <w:t> </w:t>
            </w:r>
          </w:p>
        </w:tc>
        <w:tc>
          <w:tcPr>
            <w:tcW w:w="538" w:type="pct"/>
            <w:tcBorders>
              <w:top w:val="nil"/>
              <w:left w:val="nil"/>
              <w:bottom w:val="single" w:sz="4" w:space="0" w:color="auto"/>
              <w:right w:val="single" w:sz="4" w:space="0" w:color="auto"/>
            </w:tcBorders>
            <w:shd w:val="clear" w:color="000000" w:fill="DBE5F1"/>
            <w:noWrap/>
            <w:vAlign w:val="center"/>
            <w:hideMark/>
          </w:tcPr>
          <w:p w14:paraId="604C6238" w14:textId="77777777" w:rsidR="001B3014" w:rsidRPr="001B3014" w:rsidRDefault="001B3014" w:rsidP="00837D2E">
            <w:pPr>
              <w:jc w:val="right"/>
              <w:rPr>
                <w:noProof/>
                <w:color w:val="000000"/>
                <w:sz w:val="20"/>
                <w:szCs w:val="20"/>
              </w:rPr>
            </w:pPr>
            <w:r w:rsidRPr="001B3014">
              <w:rPr>
                <w:noProof/>
                <w:color w:val="000000"/>
                <w:sz w:val="20"/>
                <w:szCs w:val="20"/>
                <w:lang w:eastAsia="fr-BE"/>
              </w:rPr>
              <w:t> </w:t>
            </w:r>
          </w:p>
        </w:tc>
        <w:tc>
          <w:tcPr>
            <w:tcW w:w="538" w:type="pct"/>
            <w:tcBorders>
              <w:top w:val="nil"/>
              <w:left w:val="nil"/>
              <w:bottom w:val="single" w:sz="4" w:space="0" w:color="auto"/>
              <w:right w:val="single" w:sz="4" w:space="0" w:color="auto"/>
            </w:tcBorders>
            <w:shd w:val="clear" w:color="000000" w:fill="DBE5F1"/>
            <w:noWrap/>
            <w:vAlign w:val="center"/>
            <w:hideMark/>
          </w:tcPr>
          <w:p w14:paraId="6D60F687" w14:textId="77777777" w:rsidR="001B3014" w:rsidRPr="001B3014" w:rsidRDefault="001B3014" w:rsidP="00837D2E">
            <w:pPr>
              <w:jc w:val="right"/>
              <w:rPr>
                <w:noProof/>
                <w:color w:val="000000"/>
                <w:sz w:val="20"/>
                <w:szCs w:val="20"/>
              </w:rPr>
            </w:pPr>
            <w:r w:rsidRPr="001B3014">
              <w:rPr>
                <w:noProof/>
                <w:color w:val="000000"/>
                <w:sz w:val="20"/>
                <w:szCs w:val="20"/>
                <w:lang w:eastAsia="fr-BE"/>
              </w:rPr>
              <w:t> </w:t>
            </w:r>
          </w:p>
        </w:tc>
      </w:tr>
      <w:tr w:rsidR="001B3014" w:rsidRPr="001B3014" w14:paraId="4DBDAE42" w14:textId="77777777" w:rsidTr="00837D2E">
        <w:trPr>
          <w:trHeight w:val="300"/>
        </w:trPr>
        <w:tc>
          <w:tcPr>
            <w:tcW w:w="2310" w:type="pct"/>
            <w:tcBorders>
              <w:top w:val="nil"/>
              <w:left w:val="single" w:sz="4" w:space="0" w:color="auto"/>
              <w:bottom w:val="single" w:sz="4" w:space="0" w:color="auto"/>
              <w:right w:val="single" w:sz="4" w:space="0" w:color="auto"/>
            </w:tcBorders>
            <w:shd w:val="clear" w:color="000000" w:fill="FFFFFF"/>
            <w:vAlign w:val="center"/>
            <w:hideMark/>
          </w:tcPr>
          <w:p w14:paraId="61EF8291" w14:textId="77777777" w:rsidR="001B3014" w:rsidRPr="001B3014" w:rsidRDefault="001B3014" w:rsidP="001B3014">
            <w:pPr>
              <w:rPr>
                <w:noProof/>
                <w:color w:val="000000"/>
                <w:sz w:val="20"/>
                <w:szCs w:val="20"/>
              </w:rPr>
            </w:pPr>
            <w:r w:rsidRPr="001B3014">
              <w:rPr>
                <w:noProof/>
                <w:sz w:val="20"/>
                <w:szCs w:val="20"/>
                <w:lang w:eastAsia="fr-BE"/>
              </w:rPr>
              <w:t>Air-Rail (% of air market size)</w:t>
            </w:r>
          </w:p>
        </w:tc>
        <w:tc>
          <w:tcPr>
            <w:tcW w:w="538" w:type="pct"/>
            <w:tcBorders>
              <w:top w:val="nil"/>
              <w:left w:val="nil"/>
              <w:bottom w:val="single" w:sz="4" w:space="0" w:color="auto"/>
              <w:right w:val="single" w:sz="4" w:space="0" w:color="auto"/>
            </w:tcBorders>
            <w:shd w:val="clear" w:color="000000" w:fill="FFFFFF"/>
            <w:noWrap/>
            <w:vAlign w:val="center"/>
            <w:hideMark/>
          </w:tcPr>
          <w:p w14:paraId="3C70EE82" w14:textId="77777777" w:rsidR="001B3014" w:rsidRPr="001B3014" w:rsidRDefault="001B3014" w:rsidP="00837D2E">
            <w:pPr>
              <w:jc w:val="right"/>
              <w:rPr>
                <w:noProof/>
                <w:color w:val="000000"/>
                <w:sz w:val="20"/>
                <w:szCs w:val="20"/>
              </w:rPr>
            </w:pPr>
            <w:r w:rsidRPr="001B3014">
              <w:rPr>
                <w:noProof/>
                <w:sz w:val="20"/>
                <w:szCs w:val="20"/>
                <w:lang w:eastAsia="fr-BE"/>
              </w:rPr>
              <w:t>66.80%</w:t>
            </w:r>
          </w:p>
        </w:tc>
        <w:tc>
          <w:tcPr>
            <w:tcW w:w="538" w:type="pct"/>
            <w:tcBorders>
              <w:top w:val="nil"/>
              <w:left w:val="nil"/>
              <w:bottom w:val="single" w:sz="4" w:space="0" w:color="auto"/>
              <w:right w:val="single" w:sz="4" w:space="0" w:color="auto"/>
            </w:tcBorders>
            <w:shd w:val="clear" w:color="000000" w:fill="FFFFFF"/>
            <w:vAlign w:val="center"/>
            <w:hideMark/>
          </w:tcPr>
          <w:p w14:paraId="537AD867" w14:textId="77777777" w:rsidR="001B3014" w:rsidRPr="001B3014" w:rsidRDefault="001B3014" w:rsidP="00837D2E">
            <w:pPr>
              <w:jc w:val="right"/>
              <w:rPr>
                <w:noProof/>
                <w:color w:val="000000"/>
                <w:sz w:val="20"/>
                <w:szCs w:val="20"/>
              </w:rPr>
            </w:pPr>
            <w:r w:rsidRPr="001B3014">
              <w:rPr>
                <w:noProof/>
                <w:sz w:val="20"/>
                <w:szCs w:val="20"/>
                <w:lang w:eastAsia="fr-BE"/>
              </w:rPr>
              <w:t>67.00%</w:t>
            </w:r>
          </w:p>
        </w:tc>
        <w:tc>
          <w:tcPr>
            <w:tcW w:w="538" w:type="pct"/>
            <w:tcBorders>
              <w:top w:val="nil"/>
              <w:left w:val="nil"/>
              <w:bottom w:val="single" w:sz="4" w:space="0" w:color="auto"/>
              <w:right w:val="single" w:sz="4" w:space="0" w:color="auto"/>
            </w:tcBorders>
            <w:shd w:val="clear" w:color="000000" w:fill="FFFFFF"/>
            <w:vAlign w:val="center"/>
            <w:hideMark/>
          </w:tcPr>
          <w:p w14:paraId="2ACCC5D4" w14:textId="77777777" w:rsidR="001B3014" w:rsidRPr="001B3014" w:rsidRDefault="001B3014" w:rsidP="00837D2E">
            <w:pPr>
              <w:jc w:val="right"/>
              <w:rPr>
                <w:noProof/>
                <w:color w:val="000000"/>
                <w:sz w:val="20"/>
                <w:szCs w:val="20"/>
              </w:rPr>
            </w:pPr>
            <w:r w:rsidRPr="001B3014">
              <w:rPr>
                <w:noProof/>
                <w:sz w:val="20"/>
                <w:szCs w:val="20"/>
                <w:lang w:eastAsia="fr-BE"/>
              </w:rPr>
              <w:t>64.90%</w:t>
            </w:r>
          </w:p>
        </w:tc>
        <w:tc>
          <w:tcPr>
            <w:tcW w:w="538" w:type="pct"/>
            <w:tcBorders>
              <w:top w:val="nil"/>
              <w:left w:val="nil"/>
              <w:bottom w:val="single" w:sz="4" w:space="0" w:color="auto"/>
              <w:right w:val="single" w:sz="4" w:space="0" w:color="auto"/>
            </w:tcBorders>
            <w:shd w:val="clear" w:color="000000" w:fill="FFFFFF"/>
            <w:noWrap/>
            <w:vAlign w:val="center"/>
            <w:hideMark/>
          </w:tcPr>
          <w:p w14:paraId="0CCE2AC3" w14:textId="77777777" w:rsidR="001B3014" w:rsidRPr="001B3014" w:rsidRDefault="001B3014" w:rsidP="00837D2E">
            <w:pPr>
              <w:jc w:val="right"/>
              <w:rPr>
                <w:noProof/>
                <w:color w:val="000000"/>
                <w:sz w:val="20"/>
                <w:szCs w:val="20"/>
              </w:rPr>
            </w:pPr>
            <w:r w:rsidRPr="001B3014">
              <w:rPr>
                <w:noProof/>
                <w:sz w:val="20"/>
                <w:szCs w:val="20"/>
                <w:lang w:eastAsia="fr-BE"/>
              </w:rPr>
              <w:t>63.80%</w:t>
            </w:r>
          </w:p>
        </w:tc>
        <w:tc>
          <w:tcPr>
            <w:tcW w:w="538" w:type="pct"/>
            <w:tcBorders>
              <w:top w:val="nil"/>
              <w:left w:val="nil"/>
              <w:bottom w:val="single" w:sz="4" w:space="0" w:color="auto"/>
              <w:right w:val="single" w:sz="4" w:space="0" w:color="auto"/>
            </w:tcBorders>
            <w:shd w:val="clear" w:color="000000" w:fill="FFFFFF"/>
            <w:noWrap/>
            <w:vAlign w:val="center"/>
            <w:hideMark/>
          </w:tcPr>
          <w:p w14:paraId="5C4B3F06" w14:textId="77777777" w:rsidR="001B3014" w:rsidRPr="001B3014" w:rsidRDefault="001B3014" w:rsidP="00837D2E">
            <w:pPr>
              <w:jc w:val="right"/>
              <w:rPr>
                <w:noProof/>
                <w:color w:val="000000"/>
                <w:sz w:val="20"/>
                <w:szCs w:val="20"/>
              </w:rPr>
            </w:pPr>
            <w:r w:rsidRPr="001B3014">
              <w:rPr>
                <w:noProof/>
                <w:sz w:val="20"/>
                <w:szCs w:val="20"/>
                <w:lang w:eastAsia="fr-BE"/>
              </w:rPr>
              <w:t>61.80%</w:t>
            </w:r>
          </w:p>
        </w:tc>
      </w:tr>
      <w:tr w:rsidR="001B3014" w:rsidRPr="001B3014" w14:paraId="0318594F" w14:textId="77777777" w:rsidTr="00837D2E">
        <w:trPr>
          <w:trHeight w:val="300"/>
        </w:trPr>
        <w:tc>
          <w:tcPr>
            <w:tcW w:w="2310" w:type="pct"/>
            <w:tcBorders>
              <w:top w:val="nil"/>
              <w:left w:val="single" w:sz="4" w:space="0" w:color="auto"/>
              <w:bottom w:val="single" w:sz="4" w:space="0" w:color="auto"/>
              <w:right w:val="single" w:sz="4" w:space="0" w:color="auto"/>
            </w:tcBorders>
            <w:shd w:val="clear" w:color="000000" w:fill="FFFFFF"/>
            <w:vAlign w:val="center"/>
            <w:hideMark/>
          </w:tcPr>
          <w:p w14:paraId="00D2F518" w14:textId="77777777" w:rsidR="001B3014" w:rsidRPr="001B3014" w:rsidRDefault="001B3014" w:rsidP="001B3014">
            <w:pPr>
              <w:rPr>
                <w:noProof/>
                <w:color w:val="000000"/>
                <w:sz w:val="20"/>
                <w:szCs w:val="20"/>
              </w:rPr>
            </w:pPr>
            <w:r w:rsidRPr="001B3014">
              <w:rPr>
                <w:noProof/>
                <w:sz w:val="20"/>
                <w:szCs w:val="20"/>
                <w:lang w:eastAsia="fr-BE"/>
              </w:rPr>
              <w:t>Air-Coach (% of bus and coach market size)</w:t>
            </w:r>
          </w:p>
        </w:tc>
        <w:tc>
          <w:tcPr>
            <w:tcW w:w="538" w:type="pct"/>
            <w:tcBorders>
              <w:top w:val="nil"/>
              <w:left w:val="nil"/>
              <w:bottom w:val="single" w:sz="4" w:space="0" w:color="auto"/>
              <w:right w:val="single" w:sz="4" w:space="0" w:color="auto"/>
            </w:tcBorders>
            <w:shd w:val="clear" w:color="000000" w:fill="FFFFFF"/>
            <w:noWrap/>
            <w:vAlign w:val="center"/>
            <w:hideMark/>
          </w:tcPr>
          <w:p w14:paraId="38114866" w14:textId="77777777" w:rsidR="001B3014" w:rsidRPr="001B3014" w:rsidRDefault="001B3014" w:rsidP="00837D2E">
            <w:pPr>
              <w:jc w:val="right"/>
              <w:rPr>
                <w:noProof/>
                <w:color w:val="000000"/>
                <w:sz w:val="20"/>
                <w:szCs w:val="20"/>
              </w:rPr>
            </w:pPr>
            <w:r w:rsidRPr="001B3014">
              <w:rPr>
                <w:noProof/>
                <w:sz w:val="20"/>
                <w:szCs w:val="20"/>
                <w:lang w:eastAsia="fr-BE"/>
              </w:rPr>
              <w:t>32.10%</w:t>
            </w:r>
          </w:p>
        </w:tc>
        <w:tc>
          <w:tcPr>
            <w:tcW w:w="538" w:type="pct"/>
            <w:tcBorders>
              <w:top w:val="nil"/>
              <w:left w:val="nil"/>
              <w:bottom w:val="single" w:sz="4" w:space="0" w:color="auto"/>
              <w:right w:val="single" w:sz="4" w:space="0" w:color="auto"/>
            </w:tcBorders>
            <w:shd w:val="clear" w:color="000000" w:fill="FFFFFF"/>
            <w:vAlign w:val="center"/>
            <w:hideMark/>
          </w:tcPr>
          <w:p w14:paraId="0A13511E" w14:textId="77777777" w:rsidR="001B3014" w:rsidRPr="001B3014" w:rsidRDefault="001B3014" w:rsidP="00837D2E">
            <w:pPr>
              <w:jc w:val="right"/>
              <w:rPr>
                <w:noProof/>
                <w:color w:val="000000"/>
                <w:sz w:val="20"/>
                <w:szCs w:val="20"/>
              </w:rPr>
            </w:pPr>
            <w:r w:rsidRPr="001B3014">
              <w:rPr>
                <w:noProof/>
                <w:sz w:val="20"/>
                <w:szCs w:val="20"/>
                <w:lang w:eastAsia="fr-BE"/>
              </w:rPr>
              <w:t>31.80%</w:t>
            </w:r>
          </w:p>
        </w:tc>
        <w:tc>
          <w:tcPr>
            <w:tcW w:w="538" w:type="pct"/>
            <w:tcBorders>
              <w:top w:val="nil"/>
              <w:left w:val="nil"/>
              <w:bottom w:val="single" w:sz="4" w:space="0" w:color="auto"/>
              <w:right w:val="single" w:sz="4" w:space="0" w:color="auto"/>
            </w:tcBorders>
            <w:shd w:val="clear" w:color="000000" w:fill="FFFFFF"/>
            <w:vAlign w:val="center"/>
            <w:hideMark/>
          </w:tcPr>
          <w:p w14:paraId="221BA598" w14:textId="77777777" w:rsidR="001B3014" w:rsidRPr="001B3014" w:rsidRDefault="001B3014" w:rsidP="00837D2E">
            <w:pPr>
              <w:jc w:val="right"/>
              <w:rPr>
                <w:noProof/>
                <w:color w:val="000000"/>
                <w:sz w:val="20"/>
                <w:szCs w:val="20"/>
              </w:rPr>
            </w:pPr>
            <w:r w:rsidRPr="001B3014">
              <w:rPr>
                <w:noProof/>
                <w:sz w:val="20"/>
                <w:szCs w:val="20"/>
                <w:lang w:eastAsia="fr-BE"/>
              </w:rPr>
              <w:t>33.90%</w:t>
            </w:r>
          </w:p>
        </w:tc>
        <w:tc>
          <w:tcPr>
            <w:tcW w:w="538" w:type="pct"/>
            <w:tcBorders>
              <w:top w:val="nil"/>
              <w:left w:val="nil"/>
              <w:bottom w:val="single" w:sz="4" w:space="0" w:color="auto"/>
              <w:right w:val="single" w:sz="4" w:space="0" w:color="auto"/>
            </w:tcBorders>
            <w:shd w:val="clear" w:color="000000" w:fill="FFFFFF"/>
            <w:noWrap/>
            <w:vAlign w:val="center"/>
            <w:hideMark/>
          </w:tcPr>
          <w:p w14:paraId="19AC8CD1" w14:textId="77777777" w:rsidR="001B3014" w:rsidRPr="001B3014" w:rsidRDefault="001B3014" w:rsidP="00837D2E">
            <w:pPr>
              <w:jc w:val="right"/>
              <w:rPr>
                <w:noProof/>
                <w:color w:val="000000"/>
                <w:sz w:val="20"/>
                <w:szCs w:val="20"/>
              </w:rPr>
            </w:pPr>
            <w:r w:rsidRPr="001B3014">
              <w:rPr>
                <w:noProof/>
                <w:sz w:val="20"/>
                <w:szCs w:val="20"/>
                <w:lang w:eastAsia="fr-BE"/>
              </w:rPr>
              <w:t>35.10%</w:t>
            </w:r>
          </w:p>
        </w:tc>
        <w:tc>
          <w:tcPr>
            <w:tcW w:w="538" w:type="pct"/>
            <w:tcBorders>
              <w:top w:val="nil"/>
              <w:left w:val="nil"/>
              <w:bottom w:val="single" w:sz="4" w:space="0" w:color="auto"/>
              <w:right w:val="single" w:sz="4" w:space="0" w:color="auto"/>
            </w:tcBorders>
            <w:shd w:val="clear" w:color="000000" w:fill="FFFFFF"/>
            <w:noWrap/>
            <w:vAlign w:val="center"/>
            <w:hideMark/>
          </w:tcPr>
          <w:p w14:paraId="0BA2E42D" w14:textId="77777777" w:rsidR="001B3014" w:rsidRPr="001B3014" w:rsidRDefault="001B3014" w:rsidP="00837D2E">
            <w:pPr>
              <w:jc w:val="right"/>
              <w:rPr>
                <w:noProof/>
                <w:color w:val="000000"/>
                <w:sz w:val="20"/>
                <w:szCs w:val="20"/>
              </w:rPr>
            </w:pPr>
            <w:r w:rsidRPr="001B3014">
              <w:rPr>
                <w:noProof/>
                <w:sz w:val="20"/>
                <w:szCs w:val="20"/>
                <w:lang w:eastAsia="fr-BE"/>
              </w:rPr>
              <w:t>37.00%</w:t>
            </w:r>
          </w:p>
        </w:tc>
      </w:tr>
      <w:tr w:rsidR="001B3014" w:rsidRPr="001B3014" w14:paraId="7BC7EB00" w14:textId="77777777" w:rsidTr="00837D2E">
        <w:trPr>
          <w:trHeight w:val="300"/>
        </w:trPr>
        <w:tc>
          <w:tcPr>
            <w:tcW w:w="2310" w:type="pct"/>
            <w:tcBorders>
              <w:top w:val="nil"/>
              <w:left w:val="single" w:sz="4" w:space="0" w:color="auto"/>
              <w:bottom w:val="single" w:sz="4" w:space="0" w:color="auto"/>
              <w:right w:val="single" w:sz="4" w:space="0" w:color="auto"/>
            </w:tcBorders>
            <w:shd w:val="clear" w:color="000000" w:fill="FFFFFF"/>
            <w:vAlign w:val="center"/>
            <w:hideMark/>
          </w:tcPr>
          <w:p w14:paraId="5826DFB3" w14:textId="77777777" w:rsidR="001B3014" w:rsidRPr="001B3014" w:rsidRDefault="001B3014" w:rsidP="001B3014">
            <w:pPr>
              <w:rPr>
                <w:noProof/>
                <w:color w:val="000000"/>
                <w:sz w:val="20"/>
                <w:szCs w:val="20"/>
              </w:rPr>
            </w:pPr>
            <w:r w:rsidRPr="001B3014">
              <w:rPr>
                <w:noProof/>
                <w:sz w:val="20"/>
                <w:szCs w:val="20"/>
                <w:lang w:eastAsia="fr-BE"/>
              </w:rPr>
              <w:t>Rail-Coach (% of bus and coach market size)</w:t>
            </w:r>
          </w:p>
        </w:tc>
        <w:tc>
          <w:tcPr>
            <w:tcW w:w="538" w:type="pct"/>
            <w:tcBorders>
              <w:top w:val="nil"/>
              <w:left w:val="nil"/>
              <w:bottom w:val="single" w:sz="4" w:space="0" w:color="auto"/>
              <w:right w:val="single" w:sz="4" w:space="0" w:color="auto"/>
            </w:tcBorders>
            <w:shd w:val="clear" w:color="000000" w:fill="FFFFFF"/>
            <w:noWrap/>
            <w:vAlign w:val="center"/>
            <w:hideMark/>
          </w:tcPr>
          <w:p w14:paraId="6660B21D" w14:textId="77777777" w:rsidR="001B3014" w:rsidRPr="001B3014" w:rsidRDefault="001B3014" w:rsidP="00837D2E">
            <w:pPr>
              <w:jc w:val="right"/>
              <w:rPr>
                <w:noProof/>
                <w:color w:val="000000"/>
                <w:sz w:val="20"/>
                <w:szCs w:val="20"/>
              </w:rPr>
            </w:pPr>
            <w:r w:rsidRPr="001B3014">
              <w:rPr>
                <w:noProof/>
                <w:sz w:val="20"/>
                <w:szCs w:val="20"/>
                <w:lang w:eastAsia="fr-BE"/>
              </w:rPr>
              <w:t>1.10%</w:t>
            </w:r>
          </w:p>
        </w:tc>
        <w:tc>
          <w:tcPr>
            <w:tcW w:w="538" w:type="pct"/>
            <w:tcBorders>
              <w:top w:val="nil"/>
              <w:left w:val="nil"/>
              <w:bottom w:val="single" w:sz="4" w:space="0" w:color="auto"/>
              <w:right w:val="single" w:sz="4" w:space="0" w:color="auto"/>
            </w:tcBorders>
            <w:shd w:val="clear" w:color="000000" w:fill="FFFFFF"/>
            <w:vAlign w:val="center"/>
            <w:hideMark/>
          </w:tcPr>
          <w:p w14:paraId="269DFC72" w14:textId="77777777" w:rsidR="001B3014" w:rsidRPr="001B3014" w:rsidRDefault="001B3014" w:rsidP="00837D2E">
            <w:pPr>
              <w:jc w:val="right"/>
              <w:rPr>
                <w:noProof/>
                <w:color w:val="000000"/>
                <w:sz w:val="20"/>
                <w:szCs w:val="20"/>
              </w:rPr>
            </w:pPr>
            <w:r w:rsidRPr="001B3014">
              <w:rPr>
                <w:noProof/>
                <w:sz w:val="20"/>
                <w:szCs w:val="20"/>
                <w:lang w:eastAsia="fr-BE"/>
              </w:rPr>
              <w:t>1.10%</w:t>
            </w:r>
          </w:p>
        </w:tc>
        <w:tc>
          <w:tcPr>
            <w:tcW w:w="538" w:type="pct"/>
            <w:tcBorders>
              <w:top w:val="nil"/>
              <w:left w:val="nil"/>
              <w:bottom w:val="single" w:sz="4" w:space="0" w:color="auto"/>
              <w:right w:val="single" w:sz="4" w:space="0" w:color="auto"/>
            </w:tcBorders>
            <w:shd w:val="clear" w:color="000000" w:fill="FFFFFF"/>
            <w:vAlign w:val="center"/>
            <w:hideMark/>
          </w:tcPr>
          <w:p w14:paraId="15EA6933" w14:textId="77777777" w:rsidR="001B3014" w:rsidRPr="001B3014" w:rsidRDefault="001B3014" w:rsidP="00837D2E">
            <w:pPr>
              <w:jc w:val="right"/>
              <w:rPr>
                <w:noProof/>
                <w:color w:val="000000"/>
                <w:sz w:val="20"/>
                <w:szCs w:val="20"/>
              </w:rPr>
            </w:pPr>
            <w:r w:rsidRPr="001B3014">
              <w:rPr>
                <w:noProof/>
                <w:sz w:val="20"/>
                <w:szCs w:val="20"/>
                <w:lang w:eastAsia="fr-BE"/>
              </w:rPr>
              <w:t>1.20%</w:t>
            </w:r>
          </w:p>
        </w:tc>
        <w:tc>
          <w:tcPr>
            <w:tcW w:w="538" w:type="pct"/>
            <w:tcBorders>
              <w:top w:val="nil"/>
              <w:left w:val="nil"/>
              <w:bottom w:val="single" w:sz="4" w:space="0" w:color="auto"/>
              <w:right w:val="single" w:sz="4" w:space="0" w:color="auto"/>
            </w:tcBorders>
            <w:shd w:val="clear" w:color="000000" w:fill="FFFFFF"/>
            <w:noWrap/>
            <w:vAlign w:val="center"/>
            <w:hideMark/>
          </w:tcPr>
          <w:p w14:paraId="5CD27D74" w14:textId="77777777" w:rsidR="001B3014" w:rsidRPr="001B3014" w:rsidRDefault="001B3014" w:rsidP="00837D2E">
            <w:pPr>
              <w:jc w:val="right"/>
              <w:rPr>
                <w:noProof/>
                <w:color w:val="000000"/>
                <w:sz w:val="20"/>
                <w:szCs w:val="20"/>
              </w:rPr>
            </w:pPr>
            <w:r w:rsidRPr="001B3014">
              <w:rPr>
                <w:noProof/>
                <w:sz w:val="20"/>
                <w:szCs w:val="20"/>
                <w:lang w:eastAsia="fr-BE"/>
              </w:rPr>
              <w:t>1.20%</w:t>
            </w:r>
          </w:p>
        </w:tc>
        <w:tc>
          <w:tcPr>
            <w:tcW w:w="538" w:type="pct"/>
            <w:tcBorders>
              <w:top w:val="nil"/>
              <w:left w:val="nil"/>
              <w:bottom w:val="single" w:sz="4" w:space="0" w:color="auto"/>
              <w:right w:val="single" w:sz="4" w:space="0" w:color="auto"/>
            </w:tcBorders>
            <w:shd w:val="clear" w:color="000000" w:fill="FFFFFF"/>
            <w:noWrap/>
            <w:vAlign w:val="center"/>
            <w:hideMark/>
          </w:tcPr>
          <w:p w14:paraId="1223A043" w14:textId="77777777" w:rsidR="001B3014" w:rsidRPr="001B3014" w:rsidRDefault="001B3014" w:rsidP="00837D2E">
            <w:pPr>
              <w:jc w:val="right"/>
              <w:rPr>
                <w:noProof/>
                <w:color w:val="000000"/>
                <w:sz w:val="20"/>
                <w:szCs w:val="20"/>
              </w:rPr>
            </w:pPr>
            <w:r w:rsidRPr="001B3014">
              <w:rPr>
                <w:noProof/>
                <w:sz w:val="20"/>
                <w:szCs w:val="20"/>
                <w:lang w:eastAsia="fr-BE"/>
              </w:rPr>
              <w:t>1.10%</w:t>
            </w:r>
          </w:p>
        </w:tc>
      </w:tr>
    </w:tbl>
    <w:p w14:paraId="0F0333A6" w14:textId="33E3C231" w:rsidR="001B3014" w:rsidRPr="00760ADE" w:rsidRDefault="00837D2E" w:rsidP="00760ADE">
      <w:pPr>
        <w:rPr>
          <w:rFonts w:eastAsia="Arial Unicode MS"/>
          <w:noProof/>
        </w:rPr>
      </w:pPr>
      <w:r w:rsidRPr="00D71008">
        <w:rPr>
          <w:i/>
          <w:iCs/>
          <w:noProof/>
          <w:spacing w:val="-8"/>
          <w:sz w:val="20"/>
          <w:szCs w:val="20"/>
        </w:rPr>
        <w:t xml:space="preserve">Source: </w:t>
      </w:r>
      <w:r w:rsidRPr="00D71008">
        <w:rPr>
          <w:i/>
          <w:iCs/>
          <w:noProof/>
          <w:sz w:val="20"/>
          <w:szCs w:val="20"/>
        </w:rPr>
        <w:t>Ricardo et al. (2026), Impact assessment support study</w:t>
      </w:r>
    </w:p>
    <w:p w14:paraId="57542B89" w14:textId="7A83C054" w:rsidR="00933166" w:rsidRPr="00D71008" w:rsidRDefault="000B1BA4" w:rsidP="007B2D8E">
      <w:pPr>
        <w:pStyle w:val="ListParagraph"/>
        <w:keepNext/>
        <w:widowControl/>
        <w:numPr>
          <w:ilvl w:val="2"/>
          <w:numId w:val="10"/>
        </w:numPr>
        <w:autoSpaceDE/>
        <w:autoSpaceDN/>
        <w:spacing w:after="240"/>
        <w:jc w:val="both"/>
        <w:outlineLvl w:val="2"/>
        <w:rPr>
          <w:i/>
          <w:iCs/>
          <w:noProof/>
          <w:sz w:val="24"/>
          <w:szCs w:val="24"/>
        </w:rPr>
      </w:pPr>
      <w:bookmarkStart w:id="399" w:name="_Toc222313530"/>
      <w:bookmarkStart w:id="400" w:name="_Toc222749054"/>
      <w:bookmarkStart w:id="401" w:name="_Toc223980028"/>
      <w:r w:rsidRPr="00D71008">
        <w:rPr>
          <w:i/>
          <w:iCs/>
          <w:noProof/>
          <w:sz w:val="24"/>
          <w:szCs w:val="24"/>
        </w:rPr>
        <w:t>Number of MDMS platforms</w:t>
      </w:r>
      <w:bookmarkEnd w:id="399"/>
      <w:bookmarkEnd w:id="400"/>
      <w:bookmarkEnd w:id="401"/>
    </w:p>
    <w:p w14:paraId="2FD5A19C" w14:textId="60D1B084" w:rsidR="007233F8" w:rsidRPr="00254BE5" w:rsidRDefault="007233F8" w:rsidP="00FF006A">
      <w:pPr>
        <w:pStyle w:val="Nornal"/>
        <w:spacing w:after="240" w:line="240" w:lineRule="auto"/>
        <w:rPr>
          <w:noProof/>
          <w:spacing w:val="-8"/>
          <w:sz w:val="24"/>
          <w:szCs w:val="24"/>
        </w:rPr>
      </w:pPr>
      <w:r w:rsidRPr="00254BE5">
        <w:rPr>
          <w:noProof/>
          <w:spacing w:val="-8"/>
          <w:sz w:val="24"/>
          <w:szCs w:val="24"/>
        </w:rPr>
        <w:t xml:space="preserve">Based on desk research, first a database of MDMS platforms currently operating across EU was created in the context of the impact assessment support study. The database includes MDMS platforms with relinking capabilities or better (i.e. direct booking functionality). MDMS platforms only providing information on travel offerings, that do not actually provide the ability to purchase tickets, are out of scope. MDMS platforms operating only within cities are also out of scope. </w:t>
      </w:r>
      <w:r w:rsidR="00556087">
        <w:rPr>
          <w:rFonts w:eastAsia="Calibri"/>
          <w:noProof/>
          <w:spacing w:val="-8"/>
          <w:sz w:val="24"/>
          <w:szCs w:val="24"/>
        </w:rPr>
        <w:t>T</w:t>
      </w:r>
      <w:r w:rsidR="00556087" w:rsidRPr="00D71008">
        <w:rPr>
          <w:rFonts w:eastAsia="Calibri"/>
          <w:noProof/>
          <w:spacing w:val="-8"/>
          <w:sz w:val="24"/>
          <w:szCs w:val="24"/>
        </w:rPr>
        <w:t>he initial number of MDMS platforms was increased by 25%, to account for the uncertainty</w:t>
      </w:r>
      <w:r w:rsidRPr="00254BE5">
        <w:rPr>
          <w:rStyle w:val="FootnoteReference"/>
          <w:rFonts w:eastAsia="Calibri"/>
          <w:noProof/>
          <w:spacing w:val="-8"/>
          <w:sz w:val="24"/>
          <w:szCs w:val="24"/>
        </w:rPr>
        <w:footnoteReference w:id="324"/>
      </w:r>
      <w:r w:rsidRPr="00254BE5">
        <w:rPr>
          <w:rFonts w:eastAsia="Calibri"/>
          <w:noProof/>
          <w:spacing w:val="-8"/>
          <w:sz w:val="24"/>
          <w:szCs w:val="24"/>
        </w:rPr>
        <w:t xml:space="preserve">. </w:t>
      </w:r>
    </w:p>
    <w:p w14:paraId="31A59DBD" w14:textId="77777777" w:rsidR="007233F8" w:rsidRPr="00254BE5" w:rsidRDefault="007233F8" w:rsidP="00FF006A">
      <w:pPr>
        <w:pStyle w:val="Nornal"/>
        <w:spacing w:after="240" w:line="240" w:lineRule="auto"/>
        <w:rPr>
          <w:noProof/>
          <w:spacing w:val="-8"/>
          <w:sz w:val="24"/>
          <w:szCs w:val="24"/>
        </w:rPr>
      </w:pPr>
      <w:r w:rsidRPr="00254BE5">
        <w:rPr>
          <w:noProof/>
          <w:spacing w:val="-8"/>
          <w:sz w:val="24"/>
          <w:szCs w:val="24"/>
        </w:rPr>
        <w:t xml:space="preserve">It should be noted that many B2C platforms operate at regional level or serve citizens in a handful of Member States. On the other hand, B2B platforms, that are dominated by the air ticket distribution channel, tend to offer tickets EU-wide. The number of MDMS platforms, by category of platform, estimated for 2025 is provided in the table below. </w:t>
      </w:r>
    </w:p>
    <w:p w14:paraId="649BA601" w14:textId="324942FD" w:rsidR="00D50310" w:rsidRPr="001A02F7" w:rsidRDefault="00D50310" w:rsidP="00D50310">
      <w:pPr>
        <w:tabs>
          <w:tab w:val="left" w:pos="1134"/>
        </w:tabs>
        <w:rPr>
          <w:i/>
          <w:noProof/>
          <w:sz w:val="22"/>
          <w:szCs w:val="22"/>
        </w:rPr>
      </w:pPr>
      <w:r w:rsidRPr="001A02F7">
        <w:rPr>
          <w:i/>
          <w:noProof/>
          <w:sz w:val="22"/>
          <w:szCs w:val="22"/>
        </w:rPr>
        <w:t xml:space="preserve">Table </w:t>
      </w:r>
      <w:r w:rsidRPr="001A02F7">
        <w:rPr>
          <w:i/>
          <w:noProof/>
          <w:sz w:val="22"/>
          <w:szCs w:val="22"/>
        </w:rPr>
        <w:fldChar w:fldCharType="begin"/>
      </w:r>
      <w:r w:rsidRPr="001A02F7">
        <w:rPr>
          <w:i/>
          <w:noProof/>
          <w:sz w:val="22"/>
          <w:szCs w:val="22"/>
        </w:rPr>
        <w:instrText xml:space="preserve"> SEQ Table \* ARABIC </w:instrText>
      </w:r>
      <w:r w:rsidRPr="001A02F7">
        <w:rPr>
          <w:i/>
          <w:noProof/>
          <w:sz w:val="22"/>
          <w:szCs w:val="22"/>
        </w:rPr>
        <w:fldChar w:fldCharType="separate"/>
      </w:r>
      <w:r w:rsidR="0055391F">
        <w:rPr>
          <w:i/>
          <w:noProof/>
          <w:sz w:val="22"/>
          <w:szCs w:val="22"/>
        </w:rPr>
        <w:t>51</w:t>
      </w:r>
      <w:r w:rsidRPr="001A02F7">
        <w:rPr>
          <w:i/>
          <w:noProof/>
          <w:sz w:val="22"/>
          <w:szCs w:val="22"/>
        </w:rPr>
        <w:fldChar w:fldCharType="end"/>
      </w:r>
      <w:r w:rsidRPr="001A02F7">
        <w:rPr>
          <w:i/>
          <w:noProof/>
          <w:sz w:val="22"/>
          <w:szCs w:val="22"/>
        </w:rPr>
        <w:t xml:space="preserve">: Number of </w:t>
      </w:r>
      <w:r w:rsidR="00820699" w:rsidRPr="001A02F7">
        <w:rPr>
          <w:i/>
          <w:noProof/>
          <w:sz w:val="22"/>
          <w:szCs w:val="22"/>
        </w:rPr>
        <w:t>MDMS</w:t>
      </w:r>
      <w:r w:rsidRPr="001A02F7">
        <w:rPr>
          <w:i/>
          <w:noProof/>
          <w:sz w:val="22"/>
          <w:szCs w:val="22"/>
        </w:rPr>
        <w:t xml:space="preserve"> platforms by </w:t>
      </w:r>
      <w:r w:rsidR="00A16769" w:rsidRPr="001A02F7">
        <w:rPr>
          <w:i/>
          <w:noProof/>
          <w:sz w:val="22"/>
          <w:szCs w:val="22"/>
        </w:rPr>
        <w:t xml:space="preserve">type </w:t>
      </w:r>
      <w:r w:rsidR="00820699" w:rsidRPr="001A02F7">
        <w:rPr>
          <w:i/>
          <w:noProof/>
          <w:sz w:val="22"/>
          <w:szCs w:val="22"/>
        </w:rPr>
        <w:t xml:space="preserve">of platform </w:t>
      </w:r>
      <w:r w:rsidR="00A16769" w:rsidRPr="001A02F7">
        <w:rPr>
          <w:i/>
          <w:noProof/>
          <w:sz w:val="22"/>
          <w:szCs w:val="22"/>
        </w:rPr>
        <w:t>and business type</w:t>
      </w:r>
      <w:r w:rsidR="00820699" w:rsidRPr="001A02F7">
        <w:rPr>
          <w:i/>
          <w:noProof/>
          <w:sz w:val="22"/>
          <w:szCs w:val="22"/>
        </w:rPr>
        <w:t xml:space="preserve"> in 20</w:t>
      </w:r>
      <w:r w:rsidR="005A147E" w:rsidRPr="001A02F7">
        <w:rPr>
          <w:i/>
          <w:noProof/>
          <w:sz w:val="22"/>
          <w:szCs w:val="22"/>
        </w:rPr>
        <w:t>25</w:t>
      </w:r>
      <w:r w:rsidRPr="001A02F7">
        <w:rPr>
          <w:i/>
          <w:noProof/>
          <w:sz w:val="22"/>
          <w:szCs w:val="22"/>
        </w:rPr>
        <w:t xml:space="preserve"> </w:t>
      </w:r>
    </w:p>
    <w:tbl>
      <w:tblPr>
        <w:tblStyle w:val="Ricardo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2328"/>
        <w:gridCol w:w="2687"/>
        <w:gridCol w:w="2401"/>
      </w:tblGrid>
      <w:tr w:rsidR="004C18C8" w:rsidRPr="00D063E9" w14:paraId="061BD4FC" w14:textId="77777777" w:rsidTr="006872C6">
        <w:trPr>
          <w:cnfStyle w:val="100000000000" w:firstRow="1" w:lastRow="0" w:firstColumn="0" w:lastColumn="0" w:oddVBand="0" w:evenVBand="0" w:oddHBand="0" w:evenHBand="0" w:firstRowFirstColumn="0" w:firstRowLastColumn="0" w:lastRowFirstColumn="0" w:lastRowLastColumn="0"/>
          <w:trHeight w:val="231"/>
        </w:trPr>
        <w:tc>
          <w:tcPr>
            <w:tcW w:w="1139" w:type="pct"/>
            <w:tcBorders>
              <w:bottom w:val="single" w:sz="4" w:space="0" w:color="auto"/>
            </w:tcBorders>
            <w:shd w:val="clear" w:color="auto" w:fill="0070C0"/>
            <w:vAlign w:val="top"/>
          </w:tcPr>
          <w:p w14:paraId="4C2E8220"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Platform type</w:t>
            </w:r>
          </w:p>
        </w:tc>
        <w:tc>
          <w:tcPr>
            <w:tcW w:w="1212" w:type="pct"/>
            <w:tcBorders>
              <w:bottom w:val="single" w:sz="4" w:space="0" w:color="auto"/>
            </w:tcBorders>
            <w:shd w:val="clear" w:color="auto" w:fill="0070C0"/>
            <w:vAlign w:val="top"/>
          </w:tcPr>
          <w:p w14:paraId="2F42E0F7"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Business type</w:t>
            </w:r>
          </w:p>
        </w:tc>
        <w:tc>
          <w:tcPr>
            <w:tcW w:w="1399" w:type="pct"/>
            <w:tcBorders>
              <w:bottom w:val="single" w:sz="4" w:space="0" w:color="auto"/>
            </w:tcBorders>
            <w:shd w:val="clear" w:color="auto" w:fill="0070C0"/>
            <w:vAlign w:val="top"/>
          </w:tcPr>
          <w:p w14:paraId="33BD2751"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N</w:t>
            </w:r>
            <w:r>
              <w:rPr>
                <w:rFonts w:ascii="Times New Roman" w:eastAsia="Calibri" w:hAnsi="Times New Roman"/>
                <w:noProof/>
              </w:rPr>
              <w:t>umber of</w:t>
            </w:r>
            <w:r w:rsidRPr="00D063E9">
              <w:rPr>
                <w:rFonts w:ascii="Times New Roman" w:eastAsia="Calibri" w:hAnsi="Times New Roman"/>
                <w:noProof/>
              </w:rPr>
              <w:t xml:space="preserve"> platforms (</w:t>
            </w:r>
            <w:r>
              <w:rPr>
                <w:rFonts w:ascii="Times New Roman" w:eastAsia="Calibri" w:hAnsi="Times New Roman"/>
                <w:noProof/>
              </w:rPr>
              <w:t xml:space="preserve">large and </w:t>
            </w:r>
            <w:r w:rsidRPr="00D063E9">
              <w:rPr>
                <w:rFonts w:ascii="Times New Roman" w:eastAsia="Calibri" w:hAnsi="Times New Roman"/>
                <w:noProof/>
              </w:rPr>
              <w:t>SME</w:t>
            </w:r>
            <w:r>
              <w:rPr>
                <w:rFonts w:ascii="Times New Roman" w:eastAsia="Calibri" w:hAnsi="Times New Roman"/>
                <w:noProof/>
              </w:rPr>
              <w:t>s</w:t>
            </w:r>
            <w:r w:rsidRPr="00D063E9">
              <w:rPr>
                <w:rFonts w:ascii="Times New Roman" w:eastAsia="Calibri" w:hAnsi="Times New Roman"/>
                <w:noProof/>
              </w:rPr>
              <w:t>)</w:t>
            </w:r>
          </w:p>
        </w:tc>
        <w:tc>
          <w:tcPr>
            <w:tcW w:w="1250" w:type="pct"/>
            <w:tcBorders>
              <w:bottom w:val="single" w:sz="4" w:space="0" w:color="auto"/>
            </w:tcBorders>
            <w:shd w:val="clear" w:color="auto" w:fill="0070C0"/>
            <w:vAlign w:val="top"/>
          </w:tcPr>
          <w:p w14:paraId="7A9A221E"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Of which</w:t>
            </w:r>
            <w:r>
              <w:rPr>
                <w:rFonts w:ascii="Times New Roman" w:eastAsia="Calibri" w:hAnsi="Times New Roman"/>
                <w:noProof/>
              </w:rPr>
              <w:t>,</w:t>
            </w:r>
            <w:r w:rsidRPr="00D063E9">
              <w:rPr>
                <w:rFonts w:ascii="Times New Roman" w:eastAsia="Calibri" w:hAnsi="Times New Roman"/>
                <w:noProof/>
              </w:rPr>
              <w:t xml:space="preserve"> </w:t>
            </w:r>
            <w:r>
              <w:rPr>
                <w:rFonts w:ascii="Times New Roman" w:eastAsia="Calibri" w:hAnsi="Times New Roman"/>
                <w:noProof/>
              </w:rPr>
              <w:t xml:space="preserve">number of </w:t>
            </w:r>
            <w:r w:rsidRPr="00D063E9">
              <w:rPr>
                <w:rFonts w:ascii="Times New Roman" w:eastAsia="Calibri" w:hAnsi="Times New Roman"/>
                <w:noProof/>
              </w:rPr>
              <w:t>SME</w:t>
            </w:r>
            <w:r>
              <w:rPr>
                <w:rFonts w:ascii="Times New Roman" w:eastAsia="Calibri" w:hAnsi="Times New Roman"/>
                <w:noProof/>
              </w:rPr>
              <w:t xml:space="preserve"> platforms</w:t>
            </w:r>
          </w:p>
        </w:tc>
      </w:tr>
      <w:tr w:rsidR="004C18C8" w:rsidRPr="00D063E9" w14:paraId="7C3F744C" w14:textId="77777777" w:rsidTr="006872C6">
        <w:trPr>
          <w:trHeight w:val="283"/>
        </w:trPr>
        <w:tc>
          <w:tcPr>
            <w:tcW w:w="5000" w:type="pct"/>
            <w:gridSpan w:val="4"/>
            <w:shd w:val="clear" w:color="auto" w:fill="DBE5F1" w:themeFill="accent1" w:themeFillTint="33"/>
            <w:vAlign w:val="top"/>
          </w:tcPr>
          <w:p w14:paraId="74C6733A"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M</w:t>
            </w:r>
            <w:r>
              <w:rPr>
                <w:rFonts w:ascii="Times New Roman" w:eastAsia="Calibri" w:hAnsi="Times New Roman"/>
                <w:noProof/>
              </w:rPr>
              <w:t xml:space="preserve">ember State </w:t>
            </w:r>
            <w:r w:rsidRPr="00D063E9">
              <w:rPr>
                <w:rFonts w:ascii="Times New Roman" w:eastAsia="Calibri" w:hAnsi="Times New Roman"/>
                <w:noProof/>
              </w:rPr>
              <w:t>specific</w:t>
            </w:r>
          </w:p>
        </w:tc>
      </w:tr>
      <w:tr w:rsidR="004C18C8" w:rsidRPr="00D063E9" w14:paraId="1967DAC9" w14:textId="77777777" w:rsidTr="006872C6">
        <w:trPr>
          <w:trHeight w:val="283"/>
        </w:trPr>
        <w:tc>
          <w:tcPr>
            <w:tcW w:w="1139" w:type="pct"/>
            <w:vAlign w:val="top"/>
          </w:tcPr>
          <w:p w14:paraId="295D8E1B"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Indispensable rail</w:t>
            </w:r>
          </w:p>
        </w:tc>
        <w:tc>
          <w:tcPr>
            <w:tcW w:w="1212" w:type="pct"/>
            <w:vAlign w:val="top"/>
          </w:tcPr>
          <w:p w14:paraId="05217D73"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B2C</w:t>
            </w:r>
          </w:p>
        </w:tc>
        <w:tc>
          <w:tcPr>
            <w:tcW w:w="1399" w:type="pct"/>
            <w:vAlign w:val="top"/>
          </w:tcPr>
          <w:p w14:paraId="70D65DDF" w14:textId="77777777" w:rsidR="004C18C8" w:rsidRPr="00D063E9" w:rsidRDefault="004C18C8" w:rsidP="00287DE0">
            <w:pPr>
              <w:pStyle w:val="Text4"/>
              <w:spacing w:before="0" w:after="0" w:line="240" w:lineRule="auto"/>
              <w:ind w:left="0"/>
              <w:jc w:val="right"/>
              <w:rPr>
                <w:rFonts w:ascii="Times New Roman" w:eastAsia="Calibri" w:hAnsi="Times New Roman"/>
                <w:noProof/>
              </w:rPr>
            </w:pPr>
            <w:r w:rsidRPr="00D063E9">
              <w:rPr>
                <w:rFonts w:ascii="Times New Roman" w:eastAsia="Calibri" w:hAnsi="Times New Roman"/>
                <w:noProof/>
              </w:rPr>
              <w:t>19</w:t>
            </w:r>
          </w:p>
        </w:tc>
        <w:tc>
          <w:tcPr>
            <w:tcW w:w="1250" w:type="pct"/>
            <w:vAlign w:val="top"/>
          </w:tcPr>
          <w:p w14:paraId="6ADC1D95" w14:textId="77777777" w:rsidR="004C18C8" w:rsidRPr="00D063E9" w:rsidRDefault="004C18C8" w:rsidP="00287DE0">
            <w:pPr>
              <w:pStyle w:val="Text4"/>
              <w:spacing w:before="0" w:after="0" w:line="240" w:lineRule="auto"/>
              <w:ind w:left="0"/>
              <w:jc w:val="right"/>
              <w:rPr>
                <w:rFonts w:ascii="Times New Roman" w:eastAsia="Calibri" w:hAnsi="Times New Roman"/>
                <w:noProof/>
              </w:rPr>
            </w:pPr>
            <w:r w:rsidRPr="00D063E9">
              <w:rPr>
                <w:rFonts w:ascii="Times New Roman" w:eastAsia="Calibri" w:hAnsi="Times New Roman"/>
                <w:noProof/>
              </w:rPr>
              <w:t>0</w:t>
            </w:r>
          </w:p>
        </w:tc>
      </w:tr>
      <w:tr w:rsidR="004C18C8" w:rsidRPr="00D063E9" w14:paraId="16E03D40" w14:textId="77777777" w:rsidTr="006872C6">
        <w:trPr>
          <w:trHeight w:val="283"/>
        </w:trPr>
        <w:tc>
          <w:tcPr>
            <w:tcW w:w="1139" w:type="pct"/>
            <w:vAlign w:val="top"/>
          </w:tcPr>
          <w:p w14:paraId="40411C06"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Indispensable other</w:t>
            </w:r>
          </w:p>
        </w:tc>
        <w:tc>
          <w:tcPr>
            <w:tcW w:w="1212" w:type="pct"/>
            <w:vAlign w:val="top"/>
          </w:tcPr>
          <w:p w14:paraId="1CDCE534"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B2C</w:t>
            </w:r>
          </w:p>
        </w:tc>
        <w:tc>
          <w:tcPr>
            <w:tcW w:w="1399" w:type="pct"/>
            <w:vAlign w:val="top"/>
          </w:tcPr>
          <w:p w14:paraId="6151B941" w14:textId="4FFCADAF" w:rsidR="004C18C8" w:rsidRPr="00D063E9" w:rsidRDefault="00343DC2" w:rsidP="00287DE0">
            <w:pPr>
              <w:pStyle w:val="Text4"/>
              <w:spacing w:before="0" w:after="0" w:line="240" w:lineRule="auto"/>
              <w:ind w:left="0"/>
              <w:jc w:val="right"/>
              <w:rPr>
                <w:rFonts w:ascii="Times New Roman" w:eastAsia="Calibri" w:hAnsi="Times New Roman"/>
                <w:noProof/>
              </w:rPr>
            </w:pPr>
            <w:r>
              <w:rPr>
                <w:rFonts w:ascii="Times New Roman" w:eastAsia="Calibri" w:hAnsi="Times New Roman"/>
                <w:noProof/>
              </w:rPr>
              <w:t>1</w:t>
            </w:r>
          </w:p>
        </w:tc>
        <w:tc>
          <w:tcPr>
            <w:tcW w:w="1250" w:type="pct"/>
            <w:vAlign w:val="top"/>
          </w:tcPr>
          <w:p w14:paraId="173CE9C1" w14:textId="77777777" w:rsidR="004C18C8" w:rsidRPr="00D063E9" w:rsidRDefault="004C18C8" w:rsidP="00287DE0">
            <w:pPr>
              <w:pStyle w:val="Text4"/>
              <w:spacing w:before="0" w:after="0" w:line="240" w:lineRule="auto"/>
              <w:ind w:left="0"/>
              <w:jc w:val="right"/>
              <w:rPr>
                <w:rFonts w:ascii="Times New Roman" w:eastAsia="Calibri" w:hAnsi="Times New Roman"/>
                <w:noProof/>
              </w:rPr>
            </w:pPr>
            <w:r w:rsidRPr="00D063E9">
              <w:rPr>
                <w:rFonts w:ascii="Times New Roman" w:eastAsia="Calibri" w:hAnsi="Times New Roman"/>
                <w:noProof/>
              </w:rPr>
              <w:t>0</w:t>
            </w:r>
          </w:p>
        </w:tc>
      </w:tr>
      <w:tr w:rsidR="004C18C8" w:rsidRPr="00D063E9" w14:paraId="7BD6BBF7" w14:textId="77777777" w:rsidTr="006872C6">
        <w:trPr>
          <w:trHeight w:val="283"/>
        </w:trPr>
        <w:tc>
          <w:tcPr>
            <w:tcW w:w="1139" w:type="pct"/>
            <w:vAlign w:val="top"/>
          </w:tcPr>
          <w:p w14:paraId="339A7334" w14:textId="25BD080E"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Other (mostly OTA</w:t>
            </w:r>
            <w:r w:rsidR="003735AB">
              <w:rPr>
                <w:rFonts w:ascii="Times New Roman" w:eastAsia="Calibri" w:hAnsi="Times New Roman"/>
                <w:noProof/>
              </w:rPr>
              <w:t xml:space="preserve"> and TMCs</w:t>
            </w:r>
            <w:r w:rsidRPr="00D063E9">
              <w:rPr>
                <w:rFonts w:ascii="Times New Roman" w:eastAsia="Calibri" w:hAnsi="Times New Roman"/>
                <w:noProof/>
              </w:rPr>
              <w:t>)</w:t>
            </w:r>
          </w:p>
        </w:tc>
        <w:tc>
          <w:tcPr>
            <w:tcW w:w="1212" w:type="pct"/>
            <w:vAlign w:val="top"/>
          </w:tcPr>
          <w:p w14:paraId="47425926"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B2C</w:t>
            </w:r>
          </w:p>
        </w:tc>
        <w:tc>
          <w:tcPr>
            <w:tcW w:w="1399" w:type="pct"/>
            <w:vAlign w:val="top"/>
          </w:tcPr>
          <w:p w14:paraId="5762D6AD" w14:textId="3F5B0063" w:rsidR="004C18C8" w:rsidRPr="00D063E9" w:rsidRDefault="004C18C8" w:rsidP="00287DE0">
            <w:pPr>
              <w:pStyle w:val="Text4"/>
              <w:spacing w:before="0" w:after="0" w:line="240" w:lineRule="auto"/>
              <w:ind w:left="0"/>
              <w:jc w:val="right"/>
              <w:rPr>
                <w:rFonts w:ascii="Times New Roman" w:eastAsia="Calibri" w:hAnsi="Times New Roman"/>
                <w:noProof/>
              </w:rPr>
            </w:pPr>
            <w:r w:rsidRPr="00D063E9">
              <w:rPr>
                <w:rFonts w:ascii="Times New Roman" w:eastAsia="Calibri" w:hAnsi="Times New Roman"/>
                <w:noProof/>
              </w:rPr>
              <w:t>10</w:t>
            </w:r>
            <w:r w:rsidR="00343DC2">
              <w:rPr>
                <w:rFonts w:ascii="Times New Roman" w:eastAsia="Calibri" w:hAnsi="Times New Roman"/>
                <w:noProof/>
              </w:rPr>
              <w:t>5</w:t>
            </w:r>
          </w:p>
        </w:tc>
        <w:tc>
          <w:tcPr>
            <w:tcW w:w="1250" w:type="pct"/>
            <w:vAlign w:val="top"/>
          </w:tcPr>
          <w:p w14:paraId="05D29CD1" w14:textId="77777777" w:rsidR="004C18C8" w:rsidRPr="00D063E9" w:rsidRDefault="004C18C8" w:rsidP="00287DE0">
            <w:pPr>
              <w:pStyle w:val="Text4"/>
              <w:spacing w:before="0" w:after="0" w:line="240" w:lineRule="auto"/>
              <w:ind w:left="0"/>
              <w:jc w:val="right"/>
              <w:rPr>
                <w:rFonts w:ascii="Times New Roman" w:eastAsia="Calibri" w:hAnsi="Times New Roman"/>
                <w:noProof/>
              </w:rPr>
            </w:pPr>
            <w:r w:rsidRPr="00D063E9">
              <w:rPr>
                <w:rFonts w:ascii="Times New Roman" w:eastAsia="Calibri" w:hAnsi="Times New Roman"/>
                <w:noProof/>
              </w:rPr>
              <w:t>55</w:t>
            </w:r>
          </w:p>
        </w:tc>
      </w:tr>
      <w:tr w:rsidR="004C18C8" w:rsidRPr="00D063E9" w14:paraId="3A4D6943" w14:textId="77777777" w:rsidTr="006872C6">
        <w:trPr>
          <w:trHeight w:val="283"/>
        </w:trPr>
        <w:tc>
          <w:tcPr>
            <w:tcW w:w="1139" w:type="pct"/>
            <w:tcBorders>
              <w:bottom w:val="single" w:sz="4" w:space="0" w:color="auto"/>
            </w:tcBorders>
            <w:vAlign w:val="top"/>
          </w:tcPr>
          <w:p w14:paraId="77F5DBDA" w14:textId="77777777" w:rsidR="004C18C8" w:rsidRPr="00D063E9" w:rsidRDefault="004C18C8" w:rsidP="00A16769">
            <w:pPr>
              <w:pStyle w:val="Text4"/>
              <w:spacing w:before="0" w:after="0" w:line="240" w:lineRule="auto"/>
              <w:ind w:left="0"/>
              <w:rPr>
                <w:rFonts w:ascii="Times New Roman" w:eastAsia="Calibri" w:hAnsi="Times New Roman"/>
                <w:b/>
                <w:noProof/>
              </w:rPr>
            </w:pPr>
            <w:r w:rsidRPr="00D063E9">
              <w:rPr>
                <w:rFonts w:ascii="Times New Roman" w:eastAsia="Calibri" w:hAnsi="Times New Roman"/>
                <w:b/>
                <w:noProof/>
              </w:rPr>
              <w:t>Total</w:t>
            </w:r>
          </w:p>
        </w:tc>
        <w:tc>
          <w:tcPr>
            <w:tcW w:w="1212" w:type="pct"/>
            <w:tcBorders>
              <w:bottom w:val="single" w:sz="4" w:space="0" w:color="auto"/>
            </w:tcBorders>
            <w:vAlign w:val="top"/>
          </w:tcPr>
          <w:p w14:paraId="2E003468" w14:textId="77777777" w:rsidR="004C18C8" w:rsidRPr="00D063E9" w:rsidRDefault="004C18C8" w:rsidP="00A16769">
            <w:pPr>
              <w:pStyle w:val="Text4"/>
              <w:spacing w:before="0" w:after="0" w:line="240" w:lineRule="auto"/>
              <w:ind w:left="0"/>
              <w:rPr>
                <w:rFonts w:ascii="Times New Roman" w:eastAsia="Calibri" w:hAnsi="Times New Roman"/>
                <w:b/>
                <w:noProof/>
              </w:rPr>
            </w:pPr>
            <w:r w:rsidRPr="00D063E9">
              <w:rPr>
                <w:rFonts w:ascii="Times New Roman" w:eastAsia="Calibri" w:hAnsi="Times New Roman"/>
                <w:b/>
                <w:noProof/>
              </w:rPr>
              <w:t>B2C</w:t>
            </w:r>
          </w:p>
        </w:tc>
        <w:tc>
          <w:tcPr>
            <w:tcW w:w="1399" w:type="pct"/>
            <w:tcBorders>
              <w:bottom w:val="single" w:sz="4" w:space="0" w:color="auto"/>
            </w:tcBorders>
            <w:vAlign w:val="top"/>
          </w:tcPr>
          <w:p w14:paraId="58E73725" w14:textId="77777777" w:rsidR="004C18C8" w:rsidRPr="00D063E9" w:rsidRDefault="004C18C8" w:rsidP="00287DE0">
            <w:pPr>
              <w:pStyle w:val="Text4"/>
              <w:spacing w:before="0" w:after="0" w:line="240" w:lineRule="auto"/>
              <w:ind w:left="0"/>
              <w:jc w:val="right"/>
              <w:rPr>
                <w:rFonts w:ascii="Times New Roman" w:eastAsia="Calibri" w:hAnsi="Times New Roman"/>
                <w:b/>
                <w:noProof/>
              </w:rPr>
            </w:pPr>
            <w:r w:rsidRPr="00D063E9">
              <w:rPr>
                <w:rFonts w:ascii="Times New Roman" w:eastAsia="Calibri" w:hAnsi="Times New Roman"/>
                <w:b/>
                <w:noProof/>
              </w:rPr>
              <w:t>125</w:t>
            </w:r>
          </w:p>
        </w:tc>
        <w:tc>
          <w:tcPr>
            <w:tcW w:w="1250" w:type="pct"/>
            <w:tcBorders>
              <w:bottom w:val="single" w:sz="4" w:space="0" w:color="auto"/>
            </w:tcBorders>
            <w:vAlign w:val="top"/>
          </w:tcPr>
          <w:p w14:paraId="393B7D94" w14:textId="77777777" w:rsidR="004C18C8" w:rsidRPr="00D063E9" w:rsidRDefault="004C18C8" w:rsidP="00287DE0">
            <w:pPr>
              <w:pStyle w:val="Text4"/>
              <w:spacing w:before="0" w:after="0" w:line="240" w:lineRule="auto"/>
              <w:ind w:left="0"/>
              <w:jc w:val="right"/>
              <w:rPr>
                <w:rFonts w:ascii="Times New Roman" w:eastAsia="Calibri" w:hAnsi="Times New Roman"/>
                <w:b/>
                <w:noProof/>
              </w:rPr>
            </w:pPr>
            <w:r w:rsidRPr="00D063E9">
              <w:rPr>
                <w:rFonts w:ascii="Times New Roman" w:eastAsia="Calibri" w:hAnsi="Times New Roman"/>
                <w:b/>
                <w:noProof/>
              </w:rPr>
              <w:t>55</w:t>
            </w:r>
          </w:p>
        </w:tc>
      </w:tr>
      <w:tr w:rsidR="004C18C8" w:rsidRPr="00D063E9" w14:paraId="1C74DC4A" w14:textId="77777777" w:rsidTr="006872C6">
        <w:trPr>
          <w:trHeight w:val="283"/>
        </w:trPr>
        <w:tc>
          <w:tcPr>
            <w:tcW w:w="5000" w:type="pct"/>
            <w:gridSpan w:val="4"/>
            <w:shd w:val="clear" w:color="auto" w:fill="DBE5F1" w:themeFill="accent1" w:themeFillTint="33"/>
            <w:vAlign w:val="top"/>
          </w:tcPr>
          <w:p w14:paraId="46CC08A7" w14:textId="77777777" w:rsidR="004C18C8" w:rsidRPr="00D063E9" w:rsidRDefault="004C18C8" w:rsidP="00287DE0">
            <w:pPr>
              <w:pStyle w:val="Text4"/>
              <w:spacing w:before="0" w:after="0" w:line="240" w:lineRule="auto"/>
              <w:ind w:left="0"/>
              <w:jc w:val="left"/>
              <w:rPr>
                <w:rFonts w:ascii="Times New Roman" w:eastAsia="Calibri" w:hAnsi="Times New Roman"/>
                <w:noProof/>
              </w:rPr>
            </w:pPr>
            <w:r w:rsidRPr="00D063E9">
              <w:rPr>
                <w:rFonts w:ascii="Times New Roman" w:eastAsia="Calibri" w:hAnsi="Times New Roman"/>
                <w:noProof/>
              </w:rPr>
              <w:t>EU-wide</w:t>
            </w:r>
          </w:p>
        </w:tc>
      </w:tr>
      <w:tr w:rsidR="006C7C0B" w:rsidRPr="00D063E9" w14:paraId="5722B03F" w14:textId="77777777" w:rsidTr="006872C6">
        <w:trPr>
          <w:trHeight w:val="283"/>
        </w:trPr>
        <w:tc>
          <w:tcPr>
            <w:tcW w:w="1139" w:type="pct"/>
            <w:vAlign w:val="top"/>
          </w:tcPr>
          <w:p w14:paraId="72AD56C7" w14:textId="72F027A4" w:rsidR="006C7C0B" w:rsidRPr="00D063E9" w:rsidRDefault="006C7C0B" w:rsidP="00A16769">
            <w:pPr>
              <w:pStyle w:val="Text4"/>
              <w:spacing w:before="0" w:after="0"/>
              <w:ind w:left="0"/>
              <w:rPr>
                <w:rFonts w:ascii="Times New Roman" w:eastAsia="Calibri" w:hAnsi="Times New Roman"/>
                <w:noProof/>
              </w:rPr>
            </w:pPr>
            <w:r>
              <w:rPr>
                <w:rFonts w:ascii="Times New Roman" w:eastAsia="Calibri" w:hAnsi="Times New Roman"/>
                <w:noProof/>
              </w:rPr>
              <w:t>Indispensable rail</w:t>
            </w:r>
          </w:p>
        </w:tc>
        <w:tc>
          <w:tcPr>
            <w:tcW w:w="1212" w:type="pct"/>
            <w:vAlign w:val="top"/>
          </w:tcPr>
          <w:p w14:paraId="7EE710A4" w14:textId="5B261D14" w:rsidR="006C7C0B" w:rsidRPr="00D063E9" w:rsidRDefault="006C7C0B" w:rsidP="00A16769">
            <w:pPr>
              <w:pStyle w:val="Text4"/>
              <w:spacing w:before="0" w:after="0"/>
              <w:ind w:left="0"/>
              <w:rPr>
                <w:rFonts w:ascii="Times New Roman" w:eastAsia="Calibri" w:hAnsi="Times New Roman"/>
                <w:noProof/>
              </w:rPr>
            </w:pPr>
            <w:r>
              <w:rPr>
                <w:rFonts w:ascii="Times New Roman" w:eastAsia="Calibri" w:hAnsi="Times New Roman"/>
                <w:noProof/>
              </w:rPr>
              <w:t>B2C</w:t>
            </w:r>
          </w:p>
        </w:tc>
        <w:tc>
          <w:tcPr>
            <w:tcW w:w="1399" w:type="pct"/>
            <w:vAlign w:val="top"/>
          </w:tcPr>
          <w:p w14:paraId="017669A1" w14:textId="4FB246BC" w:rsidR="006C7C0B" w:rsidRPr="00D063E9" w:rsidRDefault="006C7C0B" w:rsidP="00287DE0">
            <w:pPr>
              <w:pStyle w:val="Text4"/>
              <w:spacing w:before="0" w:after="0"/>
              <w:ind w:left="0"/>
              <w:jc w:val="right"/>
              <w:rPr>
                <w:rFonts w:ascii="Times New Roman" w:eastAsia="Calibri" w:hAnsi="Times New Roman"/>
                <w:noProof/>
              </w:rPr>
            </w:pPr>
            <w:r>
              <w:rPr>
                <w:rFonts w:ascii="Times New Roman" w:eastAsia="Calibri" w:hAnsi="Times New Roman"/>
                <w:noProof/>
              </w:rPr>
              <w:t>0</w:t>
            </w:r>
          </w:p>
        </w:tc>
        <w:tc>
          <w:tcPr>
            <w:tcW w:w="1250" w:type="pct"/>
            <w:vAlign w:val="top"/>
          </w:tcPr>
          <w:p w14:paraId="36BEF751" w14:textId="40346BDF" w:rsidR="006C7C0B" w:rsidRPr="00D063E9" w:rsidRDefault="006C7C0B" w:rsidP="00287DE0">
            <w:pPr>
              <w:pStyle w:val="Text4"/>
              <w:spacing w:before="0" w:after="0"/>
              <w:ind w:left="0"/>
              <w:jc w:val="right"/>
              <w:rPr>
                <w:rFonts w:ascii="Times New Roman" w:eastAsia="Calibri" w:hAnsi="Times New Roman"/>
                <w:noProof/>
              </w:rPr>
            </w:pPr>
            <w:r>
              <w:rPr>
                <w:rFonts w:ascii="Times New Roman" w:eastAsia="Calibri" w:hAnsi="Times New Roman"/>
                <w:noProof/>
              </w:rPr>
              <w:t>0</w:t>
            </w:r>
          </w:p>
        </w:tc>
      </w:tr>
      <w:tr w:rsidR="004C18C8" w:rsidRPr="00D063E9" w14:paraId="6C8A0CA7" w14:textId="77777777" w:rsidTr="006872C6">
        <w:trPr>
          <w:trHeight w:val="283"/>
        </w:trPr>
        <w:tc>
          <w:tcPr>
            <w:tcW w:w="1139" w:type="pct"/>
            <w:vAlign w:val="top"/>
          </w:tcPr>
          <w:p w14:paraId="4A33D2C2" w14:textId="1D3326E3" w:rsidR="004C18C8" w:rsidRPr="00D063E9" w:rsidRDefault="009C1649" w:rsidP="00A16769">
            <w:pPr>
              <w:pStyle w:val="Text4"/>
              <w:spacing w:before="0" w:after="0" w:line="240" w:lineRule="auto"/>
              <w:ind w:left="0"/>
              <w:rPr>
                <w:rFonts w:ascii="Times New Roman" w:eastAsia="Calibri" w:hAnsi="Times New Roman"/>
                <w:noProof/>
              </w:rPr>
            </w:pPr>
            <w:r>
              <w:rPr>
                <w:rFonts w:ascii="Times New Roman" w:eastAsia="Calibri" w:hAnsi="Times New Roman"/>
                <w:noProof/>
              </w:rPr>
              <w:t>Indispensable other</w:t>
            </w:r>
            <w:r w:rsidR="001668ED">
              <w:rPr>
                <w:rStyle w:val="FootnoteReference"/>
                <w:rFonts w:ascii="Times New Roman" w:eastAsia="Calibri" w:hAnsi="Times New Roman"/>
                <w:noProof/>
              </w:rPr>
              <w:footnoteReference w:id="325"/>
            </w:r>
          </w:p>
        </w:tc>
        <w:tc>
          <w:tcPr>
            <w:tcW w:w="1212" w:type="pct"/>
            <w:vAlign w:val="top"/>
          </w:tcPr>
          <w:p w14:paraId="41292814" w14:textId="77777777" w:rsidR="004C18C8" w:rsidRPr="00D063E9" w:rsidRDefault="009C1649" w:rsidP="00A16769">
            <w:pPr>
              <w:pStyle w:val="Text4"/>
              <w:spacing w:before="0" w:after="0" w:line="240" w:lineRule="auto"/>
              <w:ind w:left="0"/>
              <w:rPr>
                <w:rFonts w:ascii="Times New Roman" w:eastAsia="Calibri" w:hAnsi="Times New Roman"/>
                <w:noProof/>
              </w:rPr>
            </w:pPr>
            <w:r>
              <w:rPr>
                <w:rFonts w:ascii="Times New Roman" w:eastAsia="Calibri" w:hAnsi="Times New Roman"/>
                <w:noProof/>
              </w:rPr>
              <w:t>B2C</w:t>
            </w:r>
          </w:p>
        </w:tc>
        <w:tc>
          <w:tcPr>
            <w:tcW w:w="1399" w:type="pct"/>
            <w:vAlign w:val="top"/>
          </w:tcPr>
          <w:p w14:paraId="62F36BAB" w14:textId="34EB602F" w:rsidR="004C18C8" w:rsidRPr="00D063E9" w:rsidRDefault="009C1649" w:rsidP="00287DE0">
            <w:pPr>
              <w:pStyle w:val="Text4"/>
              <w:spacing w:before="0" w:after="0" w:line="240" w:lineRule="auto"/>
              <w:ind w:left="0"/>
              <w:jc w:val="right"/>
              <w:rPr>
                <w:rFonts w:ascii="Times New Roman" w:eastAsia="Calibri" w:hAnsi="Times New Roman"/>
                <w:noProof/>
              </w:rPr>
            </w:pPr>
            <w:r>
              <w:rPr>
                <w:rFonts w:ascii="Times New Roman" w:eastAsia="Calibri" w:hAnsi="Times New Roman"/>
                <w:noProof/>
              </w:rPr>
              <w:t>3</w:t>
            </w:r>
          </w:p>
        </w:tc>
        <w:tc>
          <w:tcPr>
            <w:tcW w:w="1250" w:type="pct"/>
            <w:vAlign w:val="top"/>
          </w:tcPr>
          <w:p w14:paraId="2F76683F" w14:textId="7793B777" w:rsidR="004C18C8" w:rsidRPr="00D063E9" w:rsidRDefault="009C1649" w:rsidP="00287DE0">
            <w:pPr>
              <w:pStyle w:val="Text4"/>
              <w:spacing w:before="0" w:after="0" w:line="240" w:lineRule="auto"/>
              <w:ind w:left="0"/>
              <w:jc w:val="right"/>
              <w:rPr>
                <w:rFonts w:ascii="Times New Roman" w:eastAsia="Calibri" w:hAnsi="Times New Roman"/>
                <w:noProof/>
              </w:rPr>
            </w:pPr>
            <w:r>
              <w:rPr>
                <w:rFonts w:ascii="Times New Roman" w:eastAsia="Calibri" w:hAnsi="Times New Roman"/>
                <w:noProof/>
              </w:rPr>
              <w:t>0</w:t>
            </w:r>
          </w:p>
        </w:tc>
      </w:tr>
      <w:tr w:rsidR="009C1649" w:rsidRPr="00D063E9" w14:paraId="193EF02D" w14:textId="77777777" w:rsidTr="006872C6">
        <w:trPr>
          <w:trHeight w:val="283"/>
        </w:trPr>
        <w:tc>
          <w:tcPr>
            <w:tcW w:w="1139" w:type="pct"/>
            <w:vAlign w:val="top"/>
          </w:tcPr>
          <w:p w14:paraId="373CDFD0" w14:textId="5A4F3DE9" w:rsidR="009C1649" w:rsidRPr="00D063E9" w:rsidRDefault="009C1649" w:rsidP="009C1649">
            <w:pPr>
              <w:pStyle w:val="Text4"/>
              <w:spacing w:before="0" w:after="0"/>
              <w:ind w:left="0"/>
              <w:rPr>
                <w:rFonts w:ascii="Times New Roman" w:eastAsia="Calibri" w:hAnsi="Times New Roman"/>
                <w:noProof/>
              </w:rPr>
            </w:pPr>
            <w:r w:rsidRPr="00D063E9">
              <w:rPr>
                <w:rFonts w:ascii="Times New Roman" w:eastAsia="Calibri" w:hAnsi="Times New Roman"/>
                <w:noProof/>
              </w:rPr>
              <w:t>OTA</w:t>
            </w:r>
          </w:p>
        </w:tc>
        <w:tc>
          <w:tcPr>
            <w:tcW w:w="1212" w:type="pct"/>
            <w:vAlign w:val="top"/>
          </w:tcPr>
          <w:p w14:paraId="3562F1B3" w14:textId="536A81D5" w:rsidR="009C1649" w:rsidRPr="00D063E9" w:rsidRDefault="009C1649" w:rsidP="009C1649">
            <w:pPr>
              <w:pStyle w:val="Text4"/>
              <w:spacing w:before="0" w:after="0"/>
              <w:ind w:left="0"/>
              <w:rPr>
                <w:rFonts w:ascii="Times New Roman" w:eastAsia="Calibri" w:hAnsi="Times New Roman"/>
                <w:noProof/>
              </w:rPr>
            </w:pPr>
            <w:r w:rsidRPr="00D063E9">
              <w:rPr>
                <w:rFonts w:ascii="Times New Roman" w:eastAsia="Calibri" w:hAnsi="Times New Roman"/>
                <w:noProof/>
              </w:rPr>
              <w:t>B2C</w:t>
            </w:r>
          </w:p>
        </w:tc>
        <w:tc>
          <w:tcPr>
            <w:tcW w:w="1399" w:type="pct"/>
            <w:vAlign w:val="top"/>
          </w:tcPr>
          <w:p w14:paraId="2FDF3047" w14:textId="3803A0A5" w:rsidR="009C1649" w:rsidRPr="00D063E9" w:rsidRDefault="009C1649" w:rsidP="00287DE0">
            <w:pPr>
              <w:pStyle w:val="Text4"/>
              <w:spacing w:before="0" w:after="0"/>
              <w:ind w:left="0"/>
              <w:jc w:val="right"/>
              <w:rPr>
                <w:rFonts w:ascii="Times New Roman" w:eastAsia="Calibri" w:hAnsi="Times New Roman"/>
                <w:noProof/>
              </w:rPr>
            </w:pPr>
            <w:r w:rsidRPr="00D063E9">
              <w:rPr>
                <w:rFonts w:ascii="Times New Roman" w:eastAsia="Calibri" w:hAnsi="Times New Roman"/>
                <w:noProof/>
              </w:rPr>
              <w:t>26</w:t>
            </w:r>
          </w:p>
        </w:tc>
        <w:tc>
          <w:tcPr>
            <w:tcW w:w="1250" w:type="pct"/>
            <w:vAlign w:val="top"/>
          </w:tcPr>
          <w:p w14:paraId="204BDBE0" w14:textId="7E36B2BA" w:rsidR="009C1649" w:rsidRPr="00D063E9" w:rsidRDefault="009C1649" w:rsidP="00287DE0">
            <w:pPr>
              <w:pStyle w:val="Text4"/>
              <w:spacing w:before="0" w:after="0"/>
              <w:ind w:left="0"/>
              <w:jc w:val="right"/>
              <w:rPr>
                <w:rFonts w:ascii="Times New Roman" w:eastAsia="Calibri" w:hAnsi="Times New Roman"/>
                <w:noProof/>
              </w:rPr>
            </w:pPr>
            <w:r w:rsidRPr="00D063E9">
              <w:rPr>
                <w:rFonts w:ascii="Times New Roman" w:eastAsia="Calibri" w:hAnsi="Times New Roman"/>
                <w:noProof/>
              </w:rPr>
              <w:t>9</w:t>
            </w:r>
          </w:p>
        </w:tc>
      </w:tr>
      <w:tr w:rsidR="004C18C8" w:rsidRPr="00D063E9" w14:paraId="4E4D080E" w14:textId="77777777" w:rsidTr="006872C6">
        <w:trPr>
          <w:trHeight w:val="283"/>
        </w:trPr>
        <w:tc>
          <w:tcPr>
            <w:tcW w:w="1139" w:type="pct"/>
            <w:vAlign w:val="top"/>
          </w:tcPr>
          <w:p w14:paraId="071465B9"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TMC</w:t>
            </w:r>
            <w:r w:rsidRPr="00D063E9">
              <w:rPr>
                <w:rStyle w:val="FootnoteReference"/>
                <w:rFonts w:ascii="Times New Roman" w:eastAsia="Calibri" w:hAnsi="Times New Roman"/>
                <w:noProof/>
              </w:rPr>
              <w:footnoteReference w:id="326"/>
            </w:r>
          </w:p>
        </w:tc>
        <w:tc>
          <w:tcPr>
            <w:tcW w:w="1212" w:type="pct"/>
            <w:vAlign w:val="top"/>
          </w:tcPr>
          <w:p w14:paraId="348F11D8"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B2C</w:t>
            </w:r>
          </w:p>
        </w:tc>
        <w:tc>
          <w:tcPr>
            <w:tcW w:w="1399" w:type="pct"/>
            <w:vAlign w:val="top"/>
          </w:tcPr>
          <w:p w14:paraId="6FAC68AD" w14:textId="77777777" w:rsidR="004C18C8" w:rsidRPr="00D063E9" w:rsidRDefault="004C18C8" w:rsidP="00287DE0">
            <w:pPr>
              <w:pStyle w:val="Text4"/>
              <w:spacing w:before="0" w:after="0" w:line="240" w:lineRule="auto"/>
              <w:ind w:left="0"/>
              <w:jc w:val="right"/>
              <w:rPr>
                <w:rFonts w:ascii="Times New Roman" w:eastAsia="Calibri" w:hAnsi="Times New Roman"/>
                <w:noProof/>
              </w:rPr>
            </w:pPr>
            <w:r w:rsidRPr="00D063E9">
              <w:rPr>
                <w:rFonts w:ascii="Times New Roman" w:eastAsia="Calibri" w:hAnsi="Times New Roman"/>
                <w:noProof/>
              </w:rPr>
              <w:t>63</w:t>
            </w:r>
          </w:p>
        </w:tc>
        <w:tc>
          <w:tcPr>
            <w:tcW w:w="1250" w:type="pct"/>
            <w:vAlign w:val="top"/>
          </w:tcPr>
          <w:p w14:paraId="4438B38D" w14:textId="77777777" w:rsidR="004C18C8" w:rsidRPr="00D063E9" w:rsidRDefault="004C18C8" w:rsidP="00287DE0">
            <w:pPr>
              <w:pStyle w:val="Text4"/>
              <w:spacing w:before="0" w:after="0" w:line="240" w:lineRule="auto"/>
              <w:ind w:left="0"/>
              <w:jc w:val="right"/>
              <w:rPr>
                <w:rFonts w:ascii="Times New Roman" w:eastAsia="Calibri" w:hAnsi="Times New Roman"/>
                <w:noProof/>
              </w:rPr>
            </w:pPr>
            <w:r w:rsidRPr="00D063E9">
              <w:rPr>
                <w:rFonts w:ascii="Times New Roman" w:eastAsia="Calibri" w:hAnsi="Times New Roman"/>
                <w:noProof/>
              </w:rPr>
              <w:t>30</w:t>
            </w:r>
          </w:p>
        </w:tc>
      </w:tr>
      <w:tr w:rsidR="004C18C8" w:rsidRPr="00D063E9" w14:paraId="6D48D018" w14:textId="77777777" w:rsidTr="006872C6">
        <w:trPr>
          <w:trHeight w:val="283"/>
        </w:trPr>
        <w:tc>
          <w:tcPr>
            <w:tcW w:w="1139" w:type="pct"/>
            <w:vAlign w:val="top"/>
          </w:tcPr>
          <w:p w14:paraId="7C3AE723"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MSE</w:t>
            </w:r>
          </w:p>
        </w:tc>
        <w:tc>
          <w:tcPr>
            <w:tcW w:w="1212" w:type="pct"/>
            <w:vAlign w:val="top"/>
          </w:tcPr>
          <w:p w14:paraId="7AC212B0"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B2C</w:t>
            </w:r>
          </w:p>
        </w:tc>
        <w:tc>
          <w:tcPr>
            <w:tcW w:w="1399" w:type="pct"/>
            <w:vAlign w:val="top"/>
          </w:tcPr>
          <w:p w14:paraId="0253D637" w14:textId="03D65D31" w:rsidR="004C18C8" w:rsidRPr="00D063E9" w:rsidRDefault="00200DE9" w:rsidP="00287DE0">
            <w:pPr>
              <w:pStyle w:val="Text4"/>
              <w:spacing w:before="0" w:after="0" w:line="240" w:lineRule="auto"/>
              <w:ind w:left="0"/>
              <w:jc w:val="right"/>
              <w:rPr>
                <w:rFonts w:ascii="Times New Roman" w:eastAsia="Calibri" w:hAnsi="Times New Roman"/>
                <w:noProof/>
              </w:rPr>
            </w:pPr>
            <w:r w:rsidRPr="00255F89">
              <w:rPr>
                <w:rFonts w:ascii="Times New Roman" w:eastAsia="Calibri" w:hAnsi="Times New Roman"/>
                <w:noProof/>
              </w:rPr>
              <w:t>50</w:t>
            </w:r>
          </w:p>
        </w:tc>
        <w:tc>
          <w:tcPr>
            <w:tcW w:w="1250" w:type="pct"/>
            <w:vAlign w:val="top"/>
          </w:tcPr>
          <w:p w14:paraId="654D9B39" w14:textId="77777777" w:rsidR="004C18C8" w:rsidRPr="00D063E9" w:rsidRDefault="004C18C8" w:rsidP="00287DE0">
            <w:pPr>
              <w:pStyle w:val="Text4"/>
              <w:spacing w:before="0" w:after="0" w:line="240" w:lineRule="auto"/>
              <w:ind w:left="0"/>
              <w:jc w:val="right"/>
              <w:rPr>
                <w:rFonts w:ascii="Times New Roman" w:eastAsia="Calibri" w:hAnsi="Times New Roman"/>
                <w:noProof/>
              </w:rPr>
            </w:pPr>
            <w:r w:rsidRPr="00D063E9">
              <w:rPr>
                <w:rFonts w:ascii="Times New Roman" w:eastAsia="Calibri" w:hAnsi="Times New Roman"/>
                <w:noProof/>
              </w:rPr>
              <w:t>23</w:t>
            </w:r>
          </w:p>
        </w:tc>
      </w:tr>
      <w:tr w:rsidR="004C18C8" w:rsidRPr="00D063E9" w14:paraId="3C5977BB" w14:textId="77777777" w:rsidTr="006872C6">
        <w:trPr>
          <w:trHeight w:val="283"/>
        </w:trPr>
        <w:tc>
          <w:tcPr>
            <w:tcW w:w="1139" w:type="pct"/>
            <w:vAlign w:val="top"/>
          </w:tcPr>
          <w:p w14:paraId="1D641943"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NCA</w:t>
            </w:r>
            <w:r w:rsidRPr="00D063E9">
              <w:rPr>
                <w:rStyle w:val="FootnoteReference"/>
                <w:rFonts w:ascii="Times New Roman" w:eastAsia="Calibri" w:hAnsi="Times New Roman"/>
                <w:noProof/>
              </w:rPr>
              <w:footnoteReference w:id="327"/>
            </w:r>
          </w:p>
        </w:tc>
        <w:tc>
          <w:tcPr>
            <w:tcW w:w="1212" w:type="pct"/>
            <w:vAlign w:val="top"/>
          </w:tcPr>
          <w:p w14:paraId="2429F296"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B2B</w:t>
            </w:r>
          </w:p>
        </w:tc>
        <w:tc>
          <w:tcPr>
            <w:tcW w:w="1399" w:type="pct"/>
            <w:vAlign w:val="top"/>
          </w:tcPr>
          <w:p w14:paraId="784C36C3" w14:textId="77777777" w:rsidR="004C18C8" w:rsidRPr="00D063E9" w:rsidRDefault="004C18C8" w:rsidP="00287DE0">
            <w:pPr>
              <w:pStyle w:val="Text4"/>
              <w:spacing w:before="0" w:after="0" w:line="240" w:lineRule="auto"/>
              <w:ind w:left="0"/>
              <w:jc w:val="right"/>
              <w:rPr>
                <w:rFonts w:ascii="Times New Roman" w:eastAsia="Calibri" w:hAnsi="Times New Roman"/>
                <w:noProof/>
              </w:rPr>
            </w:pPr>
            <w:r w:rsidRPr="00D063E9">
              <w:rPr>
                <w:rFonts w:ascii="Times New Roman" w:eastAsia="Calibri" w:hAnsi="Times New Roman"/>
                <w:noProof/>
              </w:rPr>
              <w:t>94</w:t>
            </w:r>
          </w:p>
        </w:tc>
        <w:tc>
          <w:tcPr>
            <w:tcW w:w="1250" w:type="pct"/>
            <w:vAlign w:val="top"/>
          </w:tcPr>
          <w:p w14:paraId="1EDDC19D" w14:textId="77777777" w:rsidR="004C18C8" w:rsidRPr="00D063E9" w:rsidRDefault="004C18C8" w:rsidP="00287DE0">
            <w:pPr>
              <w:pStyle w:val="Text4"/>
              <w:spacing w:before="0" w:after="0" w:line="240" w:lineRule="auto"/>
              <w:ind w:left="0"/>
              <w:jc w:val="right"/>
              <w:rPr>
                <w:rFonts w:ascii="Times New Roman" w:eastAsia="Calibri" w:hAnsi="Times New Roman"/>
                <w:noProof/>
              </w:rPr>
            </w:pPr>
            <w:r w:rsidRPr="00D063E9">
              <w:rPr>
                <w:rFonts w:ascii="Times New Roman" w:eastAsia="Calibri" w:hAnsi="Times New Roman"/>
                <w:noProof/>
              </w:rPr>
              <w:t>72</w:t>
            </w:r>
          </w:p>
        </w:tc>
      </w:tr>
      <w:tr w:rsidR="004C18C8" w:rsidRPr="00D063E9" w14:paraId="32248F0D" w14:textId="77777777" w:rsidTr="006872C6">
        <w:trPr>
          <w:trHeight w:val="283"/>
        </w:trPr>
        <w:tc>
          <w:tcPr>
            <w:tcW w:w="1139" w:type="pct"/>
            <w:vAlign w:val="top"/>
          </w:tcPr>
          <w:p w14:paraId="4F5316A7"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CRS / GDS</w:t>
            </w:r>
          </w:p>
        </w:tc>
        <w:tc>
          <w:tcPr>
            <w:tcW w:w="1212" w:type="pct"/>
            <w:vAlign w:val="top"/>
          </w:tcPr>
          <w:p w14:paraId="4198D6B7"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B2B</w:t>
            </w:r>
          </w:p>
        </w:tc>
        <w:tc>
          <w:tcPr>
            <w:tcW w:w="1399" w:type="pct"/>
            <w:vAlign w:val="top"/>
          </w:tcPr>
          <w:p w14:paraId="1F72005A" w14:textId="77777777" w:rsidR="004C18C8" w:rsidRPr="00D063E9" w:rsidRDefault="004C18C8" w:rsidP="00287DE0">
            <w:pPr>
              <w:pStyle w:val="Text4"/>
              <w:spacing w:before="0" w:after="0" w:line="240" w:lineRule="auto"/>
              <w:ind w:left="0"/>
              <w:jc w:val="right"/>
              <w:rPr>
                <w:rFonts w:ascii="Times New Roman" w:eastAsia="Calibri" w:hAnsi="Times New Roman"/>
                <w:noProof/>
              </w:rPr>
            </w:pPr>
            <w:r w:rsidRPr="00D063E9">
              <w:rPr>
                <w:rFonts w:ascii="Times New Roman" w:eastAsia="Calibri" w:hAnsi="Times New Roman"/>
                <w:noProof/>
              </w:rPr>
              <w:t>3</w:t>
            </w:r>
          </w:p>
        </w:tc>
        <w:tc>
          <w:tcPr>
            <w:tcW w:w="1250" w:type="pct"/>
            <w:vAlign w:val="top"/>
          </w:tcPr>
          <w:p w14:paraId="73843650" w14:textId="77777777" w:rsidR="004C18C8" w:rsidRPr="00D063E9" w:rsidRDefault="004C18C8" w:rsidP="00287DE0">
            <w:pPr>
              <w:pStyle w:val="Text4"/>
              <w:spacing w:before="0" w:after="0" w:line="240" w:lineRule="auto"/>
              <w:ind w:left="0"/>
              <w:jc w:val="right"/>
              <w:rPr>
                <w:rFonts w:ascii="Times New Roman" w:eastAsia="Calibri" w:hAnsi="Times New Roman"/>
                <w:noProof/>
              </w:rPr>
            </w:pPr>
            <w:r w:rsidRPr="00D063E9">
              <w:rPr>
                <w:rFonts w:ascii="Times New Roman" w:eastAsia="Calibri" w:hAnsi="Times New Roman"/>
                <w:noProof/>
              </w:rPr>
              <w:t>0</w:t>
            </w:r>
          </w:p>
        </w:tc>
      </w:tr>
      <w:tr w:rsidR="004C18C8" w:rsidRPr="00D063E9" w14:paraId="5E610935" w14:textId="77777777" w:rsidTr="006872C6">
        <w:trPr>
          <w:trHeight w:val="283"/>
        </w:trPr>
        <w:tc>
          <w:tcPr>
            <w:tcW w:w="1139" w:type="pct"/>
            <w:tcBorders>
              <w:bottom w:val="single" w:sz="4" w:space="0" w:color="auto"/>
            </w:tcBorders>
            <w:vAlign w:val="top"/>
          </w:tcPr>
          <w:p w14:paraId="3F90C675" w14:textId="77777777" w:rsidR="004C18C8" w:rsidRPr="00D063E9" w:rsidRDefault="004C18C8" w:rsidP="00A16769">
            <w:pPr>
              <w:pStyle w:val="Text4"/>
              <w:spacing w:before="0" w:after="0" w:line="240" w:lineRule="auto"/>
              <w:ind w:left="0"/>
              <w:rPr>
                <w:rFonts w:ascii="Times New Roman" w:eastAsia="Calibri" w:hAnsi="Times New Roman"/>
                <w:b/>
                <w:noProof/>
              </w:rPr>
            </w:pPr>
            <w:r w:rsidRPr="00D063E9">
              <w:rPr>
                <w:rFonts w:ascii="Times New Roman" w:eastAsia="Calibri" w:hAnsi="Times New Roman"/>
                <w:b/>
                <w:noProof/>
              </w:rPr>
              <w:t>Total</w:t>
            </w:r>
          </w:p>
        </w:tc>
        <w:tc>
          <w:tcPr>
            <w:tcW w:w="1212" w:type="pct"/>
            <w:tcBorders>
              <w:bottom w:val="single" w:sz="4" w:space="0" w:color="auto"/>
            </w:tcBorders>
            <w:vAlign w:val="top"/>
          </w:tcPr>
          <w:p w14:paraId="301A3D16" w14:textId="77777777" w:rsidR="004C18C8" w:rsidRPr="00D063E9" w:rsidRDefault="004C18C8" w:rsidP="00A16769">
            <w:pPr>
              <w:pStyle w:val="Text4"/>
              <w:spacing w:before="0" w:after="0" w:line="240" w:lineRule="auto"/>
              <w:ind w:left="0"/>
              <w:rPr>
                <w:rFonts w:ascii="Times New Roman" w:eastAsia="Calibri" w:hAnsi="Times New Roman"/>
                <w:b/>
                <w:noProof/>
              </w:rPr>
            </w:pPr>
            <w:r w:rsidRPr="00D063E9">
              <w:rPr>
                <w:rFonts w:ascii="Times New Roman" w:eastAsia="Calibri" w:hAnsi="Times New Roman"/>
                <w:b/>
                <w:noProof/>
              </w:rPr>
              <w:t>B2C + B2B</w:t>
            </w:r>
          </w:p>
        </w:tc>
        <w:tc>
          <w:tcPr>
            <w:tcW w:w="1399" w:type="pct"/>
            <w:tcBorders>
              <w:bottom w:val="single" w:sz="4" w:space="0" w:color="auto"/>
            </w:tcBorders>
            <w:vAlign w:val="top"/>
          </w:tcPr>
          <w:p w14:paraId="79A652E0" w14:textId="77777777" w:rsidR="004C18C8" w:rsidRPr="00D063E9" w:rsidRDefault="004C18C8" w:rsidP="00287DE0">
            <w:pPr>
              <w:pStyle w:val="Text4"/>
              <w:spacing w:before="0" w:after="0" w:line="240" w:lineRule="auto"/>
              <w:ind w:left="0"/>
              <w:jc w:val="right"/>
              <w:rPr>
                <w:rFonts w:ascii="Times New Roman" w:eastAsia="Calibri" w:hAnsi="Times New Roman"/>
                <w:b/>
                <w:noProof/>
              </w:rPr>
            </w:pPr>
            <w:r w:rsidRPr="00D063E9">
              <w:rPr>
                <w:rFonts w:ascii="Times New Roman" w:eastAsia="Calibri" w:hAnsi="Times New Roman"/>
                <w:b/>
                <w:noProof/>
              </w:rPr>
              <w:t>239</w:t>
            </w:r>
          </w:p>
        </w:tc>
        <w:tc>
          <w:tcPr>
            <w:tcW w:w="1250" w:type="pct"/>
            <w:tcBorders>
              <w:bottom w:val="single" w:sz="4" w:space="0" w:color="auto"/>
            </w:tcBorders>
            <w:vAlign w:val="top"/>
          </w:tcPr>
          <w:p w14:paraId="7CC64C10" w14:textId="77777777" w:rsidR="004C18C8" w:rsidRPr="00D063E9" w:rsidRDefault="004C18C8" w:rsidP="00287DE0">
            <w:pPr>
              <w:pStyle w:val="Text4"/>
              <w:spacing w:before="0" w:after="0" w:line="240" w:lineRule="auto"/>
              <w:ind w:left="0"/>
              <w:jc w:val="right"/>
              <w:rPr>
                <w:rFonts w:ascii="Times New Roman" w:eastAsia="Calibri" w:hAnsi="Times New Roman"/>
                <w:b/>
                <w:noProof/>
              </w:rPr>
            </w:pPr>
            <w:r w:rsidRPr="00D063E9">
              <w:rPr>
                <w:rFonts w:ascii="Times New Roman" w:eastAsia="Calibri" w:hAnsi="Times New Roman"/>
                <w:b/>
                <w:noProof/>
              </w:rPr>
              <w:t>134</w:t>
            </w:r>
          </w:p>
        </w:tc>
      </w:tr>
      <w:tr w:rsidR="004C18C8" w:rsidRPr="00D063E9" w14:paraId="7DE2AB63" w14:textId="77777777" w:rsidTr="006872C6">
        <w:trPr>
          <w:trHeight w:val="283"/>
        </w:trPr>
        <w:tc>
          <w:tcPr>
            <w:tcW w:w="5000" w:type="pct"/>
            <w:gridSpan w:val="4"/>
            <w:shd w:val="clear" w:color="auto" w:fill="DBE5F1" w:themeFill="accent1" w:themeFillTint="33"/>
            <w:vAlign w:val="top"/>
          </w:tcPr>
          <w:p w14:paraId="4BAB18C9" w14:textId="77777777" w:rsidR="004C18C8" w:rsidRPr="00D063E9" w:rsidRDefault="004C18C8" w:rsidP="00287DE0">
            <w:pPr>
              <w:pStyle w:val="Text4"/>
              <w:spacing w:before="0" w:after="0" w:line="240" w:lineRule="auto"/>
              <w:ind w:left="0"/>
              <w:jc w:val="left"/>
              <w:rPr>
                <w:rFonts w:ascii="Times New Roman" w:eastAsia="Calibri" w:hAnsi="Times New Roman"/>
                <w:b/>
                <w:noProof/>
              </w:rPr>
            </w:pPr>
            <w:r w:rsidRPr="00D063E9">
              <w:rPr>
                <w:rFonts w:ascii="Times New Roman" w:eastAsia="Calibri" w:hAnsi="Times New Roman"/>
                <w:noProof/>
              </w:rPr>
              <w:t>Total (M</w:t>
            </w:r>
            <w:r>
              <w:rPr>
                <w:rFonts w:ascii="Times New Roman" w:eastAsia="Calibri" w:hAnsi="Times New Roman"/>
                <w:noProof/>
              </w:rPr>
              <w:t xml:space="preserve">ember State </w:t>
            </w:r>
            <w:r w:rsidRPr="00D063E9">
              <w:rPr>
                <w:rFonts w:ascii="Times New Roman" w:eastAsia="Calibri" w:hAnsi="Times New Roman"/>
                <w:noProof/>
              </w:rPr>
              <w:t>specific and EU-wide)</w:t>
            </w:r>
          </w:p>
        </w:tc>
      </w:tr>
      <w:tr w:rsidR="004C18C8" w:rsidRPr="00D063E9" w14:paraId="400CE69A" w14:textId="77777777" w:rsidTr="006872C6">
        <w:trPr>
          <w:trHeight w:val="283"/>
        </w:trPr>
        <w:tc>
          <w:tcPr>
            <w:tcW w:w="1139" w:type="pct"/>
            <w:vAlign w:val="top"/>
          </w:tcPr>
          <w:p w14:paraId="7BD5E308" w14:textId="77777777" w:rsidR="004C18C8" w:rsidRPr="00D063E9" w:rsidRDefault="004C18C8" w:rsidP="00A16769">
            <w:pPr>
              <w:pStyle w:val="Text4"/>
              <w:spacing w:before="0" w:after="0" w:line="240" w:lineRule="auto"/>
              <w:ind w:left="0"/>
              <w:rPr>
                <w:rFonts w:ascii="Times New Roman" w:eastAsia="Calibri" w:hAnsi="Times New Roman"/>
                <w:noProof/>
              </w:rPr>
            </w:pPr>
          </w:p>
        </w:tc>
        <w:tc>
          <w:tcPr>
            <w:tcW w:w="1212" w:type="pct"/>
            <w:vAlign w:val="top"/>
          </w:tcPr>
          <w:p w14:paraId="5773A3AA"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B2C</w:t>
            </w:r>
          </w:p>
        </w:tc>
        <w:tc>
          <w:tcPr>
            <w:tcW w:w="1399" w:type="pct"/>
            <w:vAlign w:val="top"/>
          </w:tcPr>
          <w:p w14:paraId="0A5A910B" w14:textId="77777777" w:rsidR="004C18C8" w:rsidRPr="00D063E9" w:rsidRDefault="004C18C8" w:rsidP="00287DE0">
            <w:pPr>
              <w:pStyle w:val="Text4"/>
              <w:spacing w:before="0" w:after="0" w:line="240" w:lineRule="auto"/>
              <w:ind w:left="0"/>
              <w:jc w:val="right"/>
              <w:rPr>
                <w:rFonts w:ascii="Times New Roman" w:eastAsia="Calibri" w:hAnsi="Times New Roman"/>
                <w:noProof/>
              </w:rPr>
            </w:pPr>
            <w:r w:rsidRPr="00D063E9">
              <w:rPr>
                <w:rFonts w:ascii="Times New Roman" w:eastAsia="Calibri" w:hAnsi="Times New Roman"/>
                <w:noProof/>
              </w:rPr>
              <w:t>266</w:t>
            </w:r>
          </w:p>
        </w:tc>
        <w:tc>
          <w:tcPr>
            <w:tcW w:w="1250" w:type="pct"/>
            <w:vAlign w:val="top"/>
          </w:tcPr>
          <w:p w14:paraId="4F7B1622" w14:textId="77777777" w:rsidR="004C18C8" w:rsidRPr="00D063E9" w:rsidRDefault="004C18C8" w:rsidP="00287DE0">
            <w:pPr>
              <w:pStyle w:val="Text4"/>
              <w:spacing w:before="0" w:after="0" w:line="240" w:lineRule="auto"/>
              <w:ind w:left="0"/>
              <w:jc w:val="right"/>
              <w:rPr>
                <w:rFonts w:ascii="Times New Roman" w:eastAsia="Calibri" w:hAnsi="Times New Roman"/>
                <w:noProof/>
              </w:rPr>
            </w:pPr>
            <w:r w:rsidRPr="00D063E9">
              <w:rPr>
                <w:rFonts w:ascii="Times New Roman" w:eastAsia="Calibri" w:hAnsi="Times New Roman"/>
                <w:noProof/>
              </w:rPr>
              <w:t>116</w:t>
            </w:r>
          </w:p>
        </w:tc>
      </w:tr>
      <w:tr w:rsidR="004C18C8" w:rsidRPr="00D063E9" w14:paraId="28E6DA58" w14:textId="77777777" w:rsidTr="006872C6">
        <w:trPr>
          <w:trHeight w:val="283"/>
        </w:trPr>
        <w:tc>
          <w:tcPr>
            <w:tcW w:w="1139" w:type="pct"/>
            <w:vAlign w:val="top"/>
          </w:tcPr>
          <w:p w14:paraId="49F76A07" w14:textId="77777777" w:rsidR="004C18C8" w:rsidRPr="00D063E9" w:rsidRDefault="004C18C8" w:rsidP="00A16769">
            <w:pPr>
              <w:pStyle w:val="Text4"/>
              <w:spacing w:before="0" w:after="0" w:line="240" w:lineRule="auto"/>
              <w:ind w:left="0"/>
              <w:rPr>
                <w:rFonts w:ascii="Times New Roman" w:eastAsia="Calibri" w:hAnsi="Times New Roman"/>
                <w:noProof/>
              </w:rPr>
            </w:pPr>
          </w:p>
        </w:tc>
        <w:tc>
          <w:tcPr>
            <w:tcW w:w="1212" w:type="pct"/>
            <w:vAlign w:val="top"/>
          </w:tcPr>
          <w:p w14:paraId="33AB5E58"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noProof/>
              </w:rPr>
              <w:t>B2B</w:t>
            </w:r>
          </w:p>
        </w:tc>
        <w:tc>
          <w:tcPr>
            <w:tcW w:w="1399" w:type="pct"/>
            <w:vAlign w:val="top"/>
          </w:tcPr>
          <w:p w14:paraId="504F1A9A" w14:textId="77777777" w:rsidR="004C18C8" w:rsidRPr="00D063E9" w:rsidRDefault="004C18C8" w:rsidP="00287DE0">
            <w:pPr>
              <w:pStyle w:val="Text4"/>
              <w:spacing w:before="0" w:after="0" w:line="240" w:lineRule="auto"/>
              <w:ind w:left="0"/>
              <w:jc w:val="right"/>
              <w:rPr>
                <w:rFonts w:ascii="Times New Roman" w:eastAsia="Calibri" w:hAnsi="Times New Roman"/>
                <w:noProof/>
              </w:rPr>
            </w:pPr>
            <w:r w:rsidRPr="00D063E9">
              <w:rPr>
                <w:rFonts w:ascii="Times New Roman" w:eastAsia="Calibri" w:hAnsi="Times New Roman"/>
                <w:noProof/>
              </w:rPr>
              <w:t>98</w:t>
            </w:r>
          </w:p>
        </w:tc>
        <w:tc>
          <w:tcPr>
            <w:tcW w:w="1250" w:type="pct"/>
            <w:vAlign w:val="top"/>
          </w:tcPr>
          <w:p w14:paraId="05BC6E79" w14:textId="77777777" w:rsidR="004C18C8" w:rsidRPr="00D063E9" w:rsidRDefault="004C18C8" w:rsidP="00287DE0">
            <w:pPr>
              <w:pStyle w:val="Text4"/>
              <w:spacing w:before="0" w:after="0" w:line="240" w:lineRule="auto"/>
              <w:ind w:left="0"/>
              <w:jc w:val="right"/>
              <w:rPr>
                <w:rFonts w:ascii="Times New Roman" w:eastAsia="Calibri" w:hAnsi="Times New Roman"/>
                <w:noProof/>
              </w:rPr>
            </w:pPr>
            <w:r w:rsidRPr="00D063E9">
              <w:rPr>
                <w:rFonts w:ascii="Times New Roman" w:eastAsia="Calibri" w:hAnsi="Times New Roman"/>
                <w:noProof/>
              </w:rPr>
              <w:t>72</w:t>
            </w:r>
          </w:p>
        </w:tc>
      </w:tr>
      <w:tr w:rsidR="004C18C8" w:rsidRPr="00D063E9" w14:paraId="745BE826" w14:textId="77777777" w:rsidTr="006872C6">
        <w:trPr>
          <w:trHeight w:val="283"/>
        </w:trPr>
        <w:tc>
          <w:tcPr>
            <w:tcW w:w="1139" w:type="pct"/>
            <w:vAlign w:val="top"/>
          </w:tcPr>
          <w:p w14:paraId="3B533943" w14:textId="77777777" w:rsidR="004C18C8" w:rsidRPr="00D063E9" w:rsidRDefault="004C18C8" w:rsidP="00A16769">
            <w:pPr>
              <w:pStyle w:val="Text4"/>
              <w:spacing w:before="0" w:after="0" w:line="240" w:lineRule="auto"/>
              <w:ind w:left="0"/>
              <w:rPr>
                <w:rFonts w:ascii="Times New Roman" w:eastAsia="Calibri" w:hAnsi="Times New Roman"/>
                <w:noProof/>
              </w:rPr>
            </w:pPr>
            <w:r w:rsidRPr="00D063E9">
              <w:rPr>
                <w:rFonts w:ascii="Times New Roman" w:eastAsia="Calibri" w:hAnsi="Times New Roman"/>
                <w:b/>
                <w:noProof/>
              </w:rPr>
              <w:t>Total</w:t>
            </w:r>
          </w:p>
        </w:tc>
        <w:tc>
          <w:tcPr>
            <w:tcW w:w="1212" w:type="pct"/>
            <w:vAlign w:val="top"/>
          </w:tcPr>
          <w:p w14:paraId="02C88A46" w14:textId="77777777" w:rsidR="004C18C8" w:rsidRPr="00D063E9" w:rsidRDefault="004C18C8" w:rsidP="00A16769">
            <w:pPr>
              <w:pStyle w:val="Text4"/>
              <w:spacing w:before="0" w:after="0" w:line="240" w:lineRule="auto"/>
              <w:ind w:left="0"/>
              <w:rPr>
                <w:rFonts w:ascii="Times New Roman" w:eastAsia="Calibri" w:hAnsi="Times New Roman"/>
                <w:b/>
                <w:noProof/>
              </w:rPr>
            </w:pPr>
            <w:r w:rsidRPr="00D063E9">
              <w:rPr>
                <w:rFonts w:ascii="Times New Roman" w:eastAsia="Calibri" w:hAnsi="Times New Roman"/>
                <w:b/>
                <w:noProof/>
              </w:rPr>
              <w:t>B2C + B2B</w:t>
            </w:r>
          </w:p>
        </w:tc>
        <w:tc>
          <w:tcPr>
            <w:tcW w:w="1399" w:type="pct"/>
            <w:vAlign w:val="top"/>
          </w:tcPr>
          <w:p w14:paraId="626D451E" w14:textId="77777777" w:rsidR="004C18C8" w:rsidRPr="00D063E9" w:rsidRDefault="004C18C8" w:rsidP="00287DE0">
            <w:pPr>
              <w:pStyle w:val="Text4"/>
              <w:spacing w:before="0" w:after="0" w:line="240" w:lineRule="auto"/>
              <w:ind w:left="0"/>
              <w:jc w:val="right"/>
              <w:rPr>
                <w:rFonts w:ascii="Times New Roman" w:eastAsia="Calibri" w:hAnsi="Times New Roman"/>
                <w:b/>
                <w:noProof/>
              </w:rPr>
            </w:pPr>
            <w:r w:rsidRPr="00D063E9">
              <w:rPr>
                <w:rFonts w:ascii="Times New Roman" w:eastAsia="Calibri" w:hAnsi="Times New Roman"/>
                <w:b/>
                <w:noProof/>
              </w:rPr>
              <w:t>364</w:t>
            </w:r>
          </w:p>
        </w:tc>
        <w:tc>
          <w:tcPr>
            <w:tcW w:w="1250" w:type="pct"/>
            <w:vAlign w:val="top"/>
          </w:tcPr>
          <w:p w14:paraId="150177C1" w14:textId="77777777" w:rsidR="004C18C8" w:rsidRPr="00D063E9" w:rsidRDefault="004C18C8" w:rsidP="00287DE0">
            <w:pPr>
              <w:pStyle w:val="Text4"/>
              <w:spacing w:before="0" w:after="0" w:line="240" w:lineRule="auto"/>
              <w:ind w:left="0"/>
              <w:jc w:val="right"/>
              <w:rPr>
                <w:rFonts w:ascii="Times New Roman" w:eastAsia="Calibri" w:hAnsi="Times New Roman"/>
                <w:b/>
                <w:noProof/>
              </w:rPr>
            </w:pPr>
            <w:r w:rsidRPr="00D063E9">
              <w:rPr>
                <w:rFonts w:ascii="Times New Roman" w:eastAsia="Calibri" w:hAnsi="Times New Roman"/>
                <w:b/>
                <w:noProof/>
              </w:rPr>
              <w:t>189</w:t>
            </w:r>
          </w:p>
        </w:tc>
      </w:tr>
    </w:tbl>
    <w:p w14:paraId="02C2EE51" w14:textId="77777777" w:rsidR="00662450" w:rsidRPr="00D71008" w:rsidRDefault="00662450" w:rsidP="00662450">
      <w:pPr>
        <w:tabs>
          <w:tab w:val="left" w:pos="2302"/>
        </w:tabs>
        <w:spacing w:after="240"/>
        <w:jc w:val="both"/>
        <w:rPr>
          <w:i/>
          <w:iCs/>
          <w:noProof/>
          <w:spacing w:val="-8"/>
          <w:sz w:val="20"/>
          <w:szCs w:val="20"/>
        </w:rPr>
      </w:pPr>
      <w:r w:rsidRPr="00D71008">
        <w:rPr>
          <w:i/>
          <w:iCs/>
          <w:noProof/>
          <w:spacing w:val="-8"/>
          <w:sz w:val="20"/>
          <w:szCs w:val="20"/>
        </w:rPr>
        <w:t xml:space="preserve">Source: </w:t>
      </w:r>
      <w:r w:rsidRPr="00D71008">
        <w:rPr>
          <w:i/>
          <w:iCs/>
          <w:noProof/>
          <w:sz w:val="20"/>
          <w:szCs w:val="20"/>
        </w:rPr>
        <w:t>Ricardo et al. (2026), Impact assessment support study</w:t>
      </w:r>
    </w:p>
    <w:p w14:paraId="22AD980F" w14:textId="2AEF92D1" w:rsidR="00F65ED9" w:rsidRPr="00BD6CE0" w:rsidRDefault="00F65ED9" w:rsidP="00BD6CE0">
      <w:pPr>
        <w:tabs>
          <w:tab w:val="left" w:pos="1134"/>
        </w:tabs>
        <w:spacing w:after="240"/>
        <w:jc w:val="both"/>
        <w:rPr>
          <w:noProof/>
          <w:spacing w:val="-8"/>
        </w:rPr>
      </w:pPr>
      <w:r w:rsidRPr="00170D77">
        <w:rPr>
          <w:noProof/>
          <w:spacing w:val="-8"/>
        </w:rPr>
        <w:t xml:space="preserve">Platforms were </w:t>
      </w:r>
      <w:r w:rsidR="00866C15" w:rsidRPr="00BD6CE0">
        <w:rPr>
          <w:noProof/>
          <w:spacing w:val="-8"/>
        </w:rPr>
        <w:t xml:space="preserve">further </w:t>
      </w:r>
      <w:r w:rsidRPr="00170D77">
        <w:rPr>
          <w:noProof/>
          <w:spacing w:val="-8"/>
        </w:rPr>
        <w:t>distributed among three groupings (i.e. leader, planned adopter</w:t>
      </w:r>
      <w:r w:rsidR="00866C15" w:rsidRPr="00BD6CE0">
        <w:rPr>
          <w:noProof/>
          <w:spacing w:val="-8"/>
        </w:rPr>
        <w:t>s</w:t>
      </w:r>
      <w:r w:rsidRPr="00170D77">
        <w:rPr>
          <w:noProof/>
          <w:spacing w:val="-8"/>
        </w:rPr>
        <w:t xml:space="preserve"> and follower</w:t>
      </w:r>
      <w:r w:rsidR="00866C15" w:rsidRPr="00BD6CE0">
        <w:rPr>
          <w:noProof/>
          <w:spacing w:val="-8"/>
        </w:rPr>
        <w:t>s</w:t>
      </w:r>
      <w:r w:rsidRPr="00170D77">
        <w:rPr>
          <w:noProof/>
          <w:spacing w:val="-8"/>
        </w:rPr>
        <w:t xml:space="preserve">) based on the country of origin for </w:t>
      </w:r>
      <w:r w:rsidR="00866C15" w:rsidRPr="00BD6CE0">
        <w:rPr>
          <w:noProof/>
          <w:spacing w:val="-8"/>
        </w:rPr>
        <w:t xml:space="preserve">the Member State </w:t>
      </w:r>
      <w:r w:rsidRPr="00170D77">
        <w:rPr>
          <w:noProof/>
          <w:spacing w:val="-8"/>
        </w:rPr>
        <w:t>specific platforms and for EU-wide platforms</w:t>
      </w:r>
      <w:r w:rsidR="003F6E00">
        <w:rPr>
          <w:noProof/>
          <w:spacing w:val="-8"/>
        </w:rPr>
        <w:t xml:space="preserve"> </w:t>
      </w:r>
      <w:r w:rsidR="003F6E00" w:rsidRPr="003F6E00">
        <w:rPr>
          <w:noProof/>
          <w:spacing w:val="-8"/>
        </w:rPr>
        <w:t>these were distributed among the groupings proportional to the total population</w:t>
      </w:r>
      <w:r w:rsidR="009E71C0">
        <w:rPr>
          <w:noProof/>
          <w:spacing w:val="-8"/>
        </w:rPr>
        <w:t xml:space="preserve"> under each group</w:t>
      </w:r>
      <w:r w:rsidR="000214A4">
        <w:rPr>
          <w:noProof/>
          <w:spacing w:val="-8"/>
        </w:rPr>
        <w:t>.</w:t>
      </w:r>
    </w:p>
    <w:p w14:paraId="65CDC4EB" w14:textId="51D672CD" w:rsidR="00893D62" w:rsidRPr="001A02F7" w:rsidRDefault="00893D62" w:rsidP="00893D62">
      <w:pPr>
        <w:tabs>
          <w:tab w:val="left" w:pos="1134"/>
        </w:tabs>
        <w:rPr>
          <w:i/>
          <w:noProof/>
          <w:sz w:val="22"/>
          <w:szCs w:val="22"/>
        </w:rPr>
      </w:pPr>
      <w:r w:rsidRPr="001A02F7">
        <w:rPr>
          <w:i/>
          <w:noProof/>
          <w:sz w:val="22"/>
          <w:szCs w:val="22"/>
        </w:rPr>
        <w:t xml:space="preserve">Table </w:t>
      </w:r>
      <w:r w:rsidRPr="001A02F7">
        <w:rPr>
          <w:i/>
          <w:noProof/>
          <w:sz w:val="22"/>
          <w:szCs w:val="22"/>
        </w:rPr>
        <w:fldChar w:fldCharType="begin"/>
      </w:r>
      <w:r w:rsidRPr="001A02F7">
        <w:rPr>
          <w:i/>
          <w:noProof/>
          <w:sz w:val="22"/>
          <w:szCs w:val="22"/>
        </w:rPr>
        <w:instrText xml:space="preserve"> SEQ Table \* ARABIC </w:instrText>
      </w:r>
      <w:r w:rsidRPr="001A02F7">
        <w:rPr>
          <w:i/>
          <w:noProof/>
          <w:sz w:val="22"/>
          <w:szCs w:val="22"/>
        </w:rPr>
        <w:fldChar w:fldCharType="separate"/>
      </w:r>
      <w:r w:rsidR="0055391F">
        <w:rPr>
          <w:i/>
          <w:noProof/>
          <w:sz w:val="22"/>
          <w:szCs w:val="22"/>
        </w:rPr>
        <w:t>52</w:t>
      </w:r>
      <w:r w:rsidRPr="001A02F7">
        <w:rPr>
          <w:i/>
          <w:noProof/>
          <w:sz w:val="22"/>
          <w:szCs w:val="22"/>
        </w:rPr>
        <w:fldChar w:fldCharType="end"/>
      </w:r>
      <w:r w:rsidRPr="001A02F7">
        <w:rPr>
          <w:i/>
          <w:noProof/>
          <w:sz w:val="22"/>
          <w:szCs w:val="22"/>
        </w:rPr>
        <w:t xml:space="preserve">: Number of </w:t>
      </w:r>
      <w:r w:rsidR="009E7922" w:rsidRPr="001A02F7">
        <w:rPr>
          <w:i/>
          <w:noProof/>
          <w:sz w:val="22"/>
          <w:szCs w:val="22"/>
        </w:rPr>
        <w:t xml:space="preserve">B2B and </w:t>
      </w:r>
      <w:r w:rsidRPr="001A02F7">
        <w:rPr>
          <w:i/>
          <w:noProof/>
          <w:sz w:val="22"/>
          <w:szCs w:val="22"/>
        </w:rPr>
        <w:t xml:space="preserve">B2C platforms by grouping </w:t>
      </w:r>
      <w:r w:rsidR="00170D77" w:rsidRPr="001A02F7">
        <w:rPr>
          <w:i/>
          <w:noProof/>
          <w:sz w:val="22"/>
          <w:szCs w:val="22"/>
        </w:rPr>
        <w:t>in 2025</w:t>
      </w:r>
    </w:p>
    <w:tbl>
      <w:tblPr>
        <w:tblStyle w:val="Ricardo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2375"/>
        <w:gridCol w:w="3500"/>
        <w:gridCol w:w="2227"/>
      </w:tblGrid>
      <w:tr w:rsidR="009E7922" w:rsidRPr="00BD5CBE" w14:paraId="037C2386" w14:textId="77777777" w:rsidTr="006872C6">
        <w:trPr>
          <w:cnfStyle w:val="100000000000" w:firstRow="1" w:lastRow="0" w:firstColumn="0" w:lastColumn="0" w:oddVBand="0" w:evenVBand="0" w:oddHBand="0" w:evenHBand="0" w:firstRowFirstColumn="0" w:firstRowLastColumn="0" w:lastRowFirstColumn="0" w:lastRowLastColumn="0"/>
          <w:trHeight w:val="269"/>
        </w:trPr>
        <w:tc>
          <w:tcPr>
            <w:tcW w:w="909" w:type="pct"/>
            <w:shd w:val="clear" w:color="auto" w:fill="0070C0"/>
            <w:noWrap/>
            <w:vAlign w:val="top"/>
            <w:hideMark/>
          </w:tcPr>
          <w:p w14:paraId="12A93FC6" w14:textId="77777777" w:rsidR="009E7922" w:rsidRPr="001A02F7" w:rsidRDefault="009E7922" w:rsidP="00ED6097">
            <w:pPr>
              <w:spacing w:after="0"/>
              <w:rPr>
                <w:rFonts w:eastAsia="Calibri"/>
                <w:noProof/>
                <w:sz w:val="20"/>
                <w:szCs w:val="20"/>
              </w:rPr>
            </w:pPr>
            <w:r w:rsidRPr="001A02F7">
              <w:rPr>
                <w:rFonts w:eastAsia="Calibri"/>
                <w:noProof/>
                <w:sz w:val="20"/>
                <w:szCs w:val="20"/>
              </w:rPr>
              <w:t xml:space="preserve">Business type </w:t>
            </w:r>
          </w:p>
        </w:tc>
        <w:tc>
          <w:tcPr>
            <w:tcW w:w="1364" w:type="pct"/>
            <w:shd w:val="clear" w:color="auto" w:fill="0070C0"/>
            <w:noWrap/>
            <w:vAlign w:val="top"/>
            <w:hideMark/>
          </w:tcPr>
          <w:p w14:paraId="02004A21" w14:textId="77777777" w:rsidR="009E7922" w:rsidRPr="001A02F7" w:rsidRDefault="009E7922" w:rsidP="00ED6097">
            <w:pPr>
              <w:spacing w:after="0"/>
              <w:rPr>
                <w:rFonts w:eastAsia="Calibri"/>
                <w:noProof/>
                <w:sz w:val="20"/>
                <w:szCs w:val="20"/>
              </w:rPr>
            </w:pPr>
            <w:r w:rsidRPr="001A02F7">
              <w:rPr>
                <w:rFonts w:eastAsia="Calibri"/>
                <w:noProof/>
                <w:sz w:val="20"/>
                <w:szCs w:val="20"/>
              </w:rPr>
              <w:t>Grouping</w:t>
            </w:r>
          </w:p>
        </w:tc>
        <w:tc>
          <w:tcPr>
            <w:tcW w:w="1439" w:type="pct"/>
            <w:tcBorders>
              <w:bottom w:val="single" w:sz="4" w:space="0" w:color="auto"/>
            </w:tcBorders>
            <w:shd w:val="clear" w:color="auto" w:fill="0070C0"/>
            <w:noWrap/>
            <w:vAlign w:val="top"/>
            <w:hideMark/>
          </w:tcPr>
          <w:p w14:paraId="60287422" w14:textId="77777777" w:rsidR="009E7922" w:rsidRPr="001A02F7" w:rsidRDefault="009E7922" w:rsidP="00ED6097">
            <w:pPr>
              <w:spacing w:after="0"/>
              <w:rPr>
                <w:rFonts w:eastAsia="Calibri"/>
                <w:noProof/>
                <w:sz w:val="20"/>
                <w:szCs w:val="20"/>
              </w:rPr>
            </w:pPr>
            <w:r w:rsidRPr="001A02F7">
              <w:rPr>
                <w:rFonts w:eastAsia="Calibri"/>
                <w:noProof/>
                <w:sz w:val="20"/>
                <w:szCs w:val="20"/>
              </w:rPr>
              <w:t>Number of platforms (large and SME)</w:t>
            </w:r>
          </w:p>
        </w:tc>
        <w:tc>
          <w:tcPr>
            <w:tcW w:w="1287" w:type="pct"/>
            <w:tcBorders>
              <w:bottom w:val="single" w:sz="4" w:space="0" w:color="auto"/>
            </w:tcBorders>
            <w:shd w:val="clear" w:color="auto" w:fill="0070C0"/>
            <w:vAlign w:val="top"/>
          </w:tcPr>
          <w:p w14:paraId="0AFC1346" w14:textId="77777777" w:rsidR="009E7922" w:rsidRPr="001A02F7" w:rsidRDefault="009E7922" w:rsidP="00ED6097">
            <w:pPr>
              <w:spacing w:after="0"/>
              <w:rPr>
                <w:rFonts w:eastAsia="Calibri"/>
                <w:noProof/>
                <w:sz w:val="20"/>
                <w:szCs w:val="20"/>
              </w:rPr>
            </w:pPr>
            <w:r w:rsidRPr="001A02F7">
              <w:rPr>
                <w:rFonts w:eastAsia="Calibri"/>
                <w:noProof/>
                <w:sz w:val="20"/>
                <w:szCs w:val="20"/>
              </w:rPr>
              <w:t>Of which SME platforms</w:t>
            </w:r>
          </w:p>
        </w:tc>
      </w:tr>
      <w:tr w:rsidR="009E7922" w:rsidRPr="00BD5CBE" w14:paraId="3666F96F" w14:textId="77777777" w:rsidTr="006872C6">
        <w:trPr>
          <w:trHeight w:val="269"/>
        </w:trPr>
        <w:tc>
          <w:tcPr>
            <w:tcW w:w="909" w:type="pct"/>
            <w:noWrap/>
            <w:vAlign w:val="top"/>
            <w:hideMark/>
          </w:tcPr>
          <w:p w14:paraId="4C6B7CE8" w14:textId="77777777" w:rsidR="009E7922" w:rsidRPr="001A02F7" w:rsidRDefault="009E7922" w:rsidP="00ED6097">
            <w:pPr>
              <w:spacing w:after="0"/>
              <w:jc w:val="left"/>
              <w:rPr>
                <w:rFonts w:eastAsia="Calibri"/>
                <w:noProof/>
                <w:sz w:val="20"/>
                <w:szCs w:val="20"/>
              </w:rPr>
            </w:pPr>
            <w:r w:rsidRPr="001A02F7">
              <w:rPr>
                <w:rFonts w:eastAsia="Calibri"/>
                <w:noProof/>
                <w:sz w:val="20"/>
                <w:szCs w:val="20"/>
              </w:rPr>
              <w:t>B2C</w:t>
            </w:r>
          </w:p>
        </w:tc>
        <w:tc>
          <w:tcPr>
            <w:tcW w:w="1364" w:type="pct"/>
            <w:noWrap/>
            <w:vAlign w:val="top"/>
            <w:hideMark/>
          </w:tcPr>
          <w:p w14:paraId="52A3B715" w14:textId="77C40560" w:rsidR="009E7922" w:rsidRPr="001A02F7" w:rsidRDefault="009E7922" w:rsidP="00ED6097">
            <w:pPr>
              <w:spacing w:after="0"/>
              <w:jc w:val="left"/>
              <w:rPr>
                <w:rFonts w:eastAsia="Calibri"/>
                <w:noProof/>
                <w:sz w:val="20"/>
                <w:szCs w:val="20"/>
              </w:rPr>
            </w:pPr>
            <w:r w:rsidRPr="001A02F7">
              <w:rPr>
                <w:rFonts w:eastAsia="Calibri"/>
                <w:noProof/>
                <w:sz w:val="20"/>
                <w:szCs w:val="20"/>
              </w:rPr>
              <w:t>Leader</w:t>
            </w:r>
            <w:r w:rsidR="009E78EA" w:rsidRPr="001A02F7">
              <w:rPr>
                <w:rFonts w:eastAsia="Calibri"/>
                <w:noProof/>
                <w:sz w:val="20"/>
                <w:szCs w:val="20"/>
              </w:rPr>
              <w:t>s</w:t>
            </w:r>
            <w:r w:rsidR="009E78EA" w:rsidRPr="001A02F7">
              <w:rPr>
                <w:rStyle w:val="FootnoteReference"/>
                <w:rFonts w:eastAsia="Calibri"/>
                <w:noProof/>
                <w:sz w:val="20"/>
                <w:szCs w:val="20"/>
              </w:rPr>
              <w:footnoteReference w:id="328"/>
            </w:r>
          </w:p>
        </w:tc>
        <w:tc>
          <w:tcPr>
            <w:tcW w:w="1439" w:type="pct"/>
            <w:shd w:val="clear" w:color="auto" w:fill="FFFFFF" w:themeFill="background1"/>
            <w:noWrap/>
            <w:vAlign w:val="top"/>
            <w:hideMark/>
          </w:tcPr>
          <w:p w14:paraId="6DB3828F" w14:textId="1275F934" w:rsidR="009E7922" w:rsidRPr="001A02F7" w:rsidRDefault="009E7922" w:rsidP="005C052A">
            <w:pPr>
              <w:spacing w:after="0"/>
              <w:jc w:val="right"/>
              <w:rPr>
                <w:rFonts w:eastAsia="Calibri"/>
                <w:noProof/>
                <w:sz w:val="20"/>
                <w:szCs w:val="20"/>
              </w:rPr>
            </w:pPr>
            <w:r w:rsidRPr="001A02F7">
              <w:rPr>
                <w:noProof/>
                <w:color w:val="000000"/>
                <w:sz w:val="20"/>
                <w:szCs w:val="20"/>
              </w:rPr>
              <w:t xml:space="preserve">   116 </w:t>
            </w:r>
          </w:p>
        </w:tc>
        <w:tc>
          <w:tcPr>
            <w:tcW w:w="1287" w:type="pct"/>
            <w:shd w:val="clear" w:color="auto" w:fill="FFFFFF" w:themeFill="background1"/>
            <w:vAlign w:val="top"/>
          </w:tcPr>
          <w:p w14:paraId="1AA4914D" w14:textId="77777777" w:rsidR="009E7922" w:rsidRPr="001A02F7" w:rsidRDefault="009E7922" w:rsidP="005C052A">
            <w:pPr>
              <w:spacing w:after="0"/>
              <w:jc w:val="right"/>
              <w:rPr>
                <w:noProof/>
                <w:color w:val="000000"/>
                <w:sz w:val="20"/>
                <w:szCs w:val="20"/>
              </w:rPr>
            </w:pPr>
            <w:r w:rsidRPr="001A02F7">
              <w:rPr>
                <w:noProof/>
                <w:sz w:val="20"/>
                <w:szCs w:val="20"/>
              </w:rPr>
              <w:t xml:space="preserve"> 51 </w:t>
            </w:r>
          </w:p>
        </w:tc>
      </w:tr>
      <w:tr w:rsidR="009E7922" w:rsidRPr="00BD5CBE" w14:paraId="6BDDBAC2" w14:textId="77777777" w:rsidTr="006872C6">
        <w:trPr>
          <w:trHeight w:val="269"/>
        </w:trPr>
        <w:tc>
          <w:tcPr>
            <w:tcW w:w="909" w:type="pct"/>
            <w:noWrap/>
            <w:vAlign w:val="top"/>
            <w:hideMark/>
          </w:tcPr>
          <w:p w14:paraId="277BF596" w14:textId="77777777" w:rsidR="009E7922" w:rsidRPr="001A02F7" w:rsidRDefault="009E7922" w:rsidP="00ED6097">
            <w:pPr>
              <w:spacing w:after="0"/>
              <w:jc w:val="left"/>
              <w:rPr>
                <w:rFonts w:eastAsia="Calibri"/>
                <w:noProof/>
                <w:sz w:val="20"/>
                <w:szCs w:val="20"/>
              </w:rPr>
            </w:pPr>
            <w:r w:rsidRPr="001A02F7">
              <w:rPr>
                <w:rFonts w:eastAsia="Calibri"/>
                <w:noProof/>
                <w:sz w:val="20"/>
                <w:szCs w:val="20"/>
              </w:rPr>
              <w:t>B2C</w:t>
            </w:r>
          </w:p>
        </w:tc>
        <w:tc>
          <w:tcPr>
            <w:tcW w:w="1364" w:type="pct"/>
            <w:noWrap/>
            <w:vAlign w:val="top"/>
            <w:hideMark/>
          </w:tcPr>
          <w:p w14:paraId="5989424C" w14:textId="381DB6AE" w:rsidR="009E7922" w:rsidRPr="001A02F7" w:rsidRDefault="009E7922" w:rsidP="00ED6097">
            <w:pPr>
              <w:spacing w:after="0"/>
              <w:jc w:val="left"/>
              <w:rPr>
                <w:rFonts w:eastAsia="Calibri"/>
                <w:noProof/>
                <w:sz w:val="20"/>
                <w:szCs w:val="20"/>
              </w:rPr>
            </w:pPr>
            <w:r w:rsidRPr="001A02F7">
              <w:rPr>
                <w:rFonts w:eastAsia="Calibri"/>
                <w:noProof/>
                <w:sz w:val="20"/>
                <w:szCs w:val="20"/>
              </w:rPr>
              <w:t>Planned adopter</w:t>
            </w:r>
            <w:r w:rsidR="009E78EA" w:rsidRPr="001A02F7">
              <w:rPr>
                <w:rFonts w:eastAsia="Calibri"/>
                <w:noProof/>
                <w:sz w:val="20"/>
                <w:szCs w:val="20"/>
              </w:rPr>
              <w:t>s</w:t>
            </w:r>
            <w:r w:rsidR="003C78A1" w:rsidRPr="001A02F7">
              <w:rPr>
                <w:rStyle w:val="FootnoteReference"/>
                <w:rFonts w:eastAsia="Calibri"/>
                <w:noProof/>
                <w:sz w:val="20"/>
                <w:szCs w:val="20"/>
              </w:rPr>
              <w:footnoteReference w:id="329"/>
            </w:r>
          </w:p>
        </w:tc>
        <w:tc>
          <w:tcPr>
            <w:tcW w:w="1439" w:type="pct"/>
            <w:shd w:val="clear" w:color="auto" w:fill="FFFFFF" w:themeFill="background1"/>
            <w:noWrap/>
            <w:vAlign w:val="top"/>
            <w:hideMark/>
          </w:tcPr>
          <w:p w14:paraId="01C15067" w14:textId="59ECF7DF" w:rsidR="009E7922" w:rsidRPr="001A02F7" w:rsidRDefault="009E7922" w:rsidP="005C052A">
            <w:pPr>
              <w:spacing w:after="0"/>
              <w:jc w:val="right"/>
              <w:rPr>
                <w:rFonts w:eastAsia="Calibri"/>
                <w:noProof/>
                <w:sz w:val="20"/>
                <w:szCs w:val="20"/>
              </w:rPr>
            </w:pPr>
            <w:r w:rsidRPr="001A02F7">
              <w:rPr>
                <w:noProof/>
                <w:color w:val="000000"/>
                <w:sz w:val="20"/>
                <w:szCs w:val="20"/>
              </w:rPr>
              <w:t xml:space="preserve">   112 </w:t>
            </w:r>
          </w:p>
        </w:tc>
        <w:tc>
          <w:tcPr>
            <w:tcW w:w="1287" w:type="pct"/>
            <w:shd w:val="clear" w:color="auto" w:fill="FFFFFF" w:themeFill="background1"/>
            <w:vAlign w:val="top"/>
          </w:tcPr>
          <w:p w14:paraId="70363D62" w14:textId="77777777" w:rsidR="009E7922" w:rsidRPr="001A02F7" w:rsidRDefault="009E7922" w:rsidP="005C052A">
            <w:pPr>
              <w:spacing w:after="0"/>
              <w:jc w:val="right"/>
              <w:rPr>
                <w:noProof/>
                <w:color w:val="000000"/>
                <w:sz w:val="20"/>
                <w:szCs w:val="20"/>
              </w:rPr>
            </w:pPr>
            <w:r w:rsidRPr="001A02F7">
              <w:rPr>
                <w:noProof/>
                <w:sz w:val="20"/>
                <w:szCs w:val="20"/>
              </w:rPr>
              <w:t xml:space="preserve"> 49 </w:t>
            </w:r>
          </w:p>
        </w:tc>
      </w:tr>
      <w:tr w:rsidR="009E7922" w:rsidRPr="00BD5CBE" w14:paraId="63999416" w14:textId="77777777" w:rsidTr="006872C6">
        <w:trPr>
          <w:trHeight w:val="269"/>
        </w:trPr>
        <w:tc>
          <w:tcPr>
            <w:tcW w:w="909" w:type="pct"/>
            <w:tcBorders>
              <w:bottom w:val="single" w:sz="4" w:space="0" w:color="auto"/>
            </w:tcBorders>
            <w:noWrap/>
            <w:vAlign w:val="top"/>
            <w:hideMark/>
          </w:tcPr>
          <w:p w14:paraId="34529372" w14:textId="77777777" w:rsidR="009E7922" w:rsidRPr="001A02F7" w:rsidRDefault="009E7922" w:rsidP="00ED6097">
            <w:pPr>
              <w:spacing w:after="0"/>
              <w:jc w:val="left"/>
              <w:rPr>
                <w:rFonts w:eastAsia="Calibri"/>
                <w:noProof/>
                <w:sz w:val="20"/>
                <w:szCs w:val="20"/>
              </w:rPr>
            </w:pPr>
            <w:r w:rsidRPr="001A02F7">
              <w:rPr>
                <w:rFonts w:eastAsia="Calibri"/>
                <w:noProof/>
                <w:sz w:val="20"/>
                <w:szCs w:val="20"/>
              </w:rPr>
              <w:t>B2C</w:t>
            </w:r>
          </w:p>
        </w:tc>
        <w:tc>
          <w:tcPr>
            <w:tcW w:w="1364" w:type="pct"/>
            <w:tcBorders>
              <w:bottom w:val="single" w:sz="4" w:space="0" w:color="auto"/>
            </w:tcBorders>
            <w:noWrap/>
            <w:vAlign w:val="top"/>
            <w:hideMark/>
          </w:tcPr>
          <w:p w14:paraId="5EEF56B3" w14:textId="5F2F3BEA" w:rsidR="009E7922" w:rsidRPr="001A02F7" w:rsidRDefault="009E7922" w:rsidP="00ED6097">
            <w:pPr>
              <w:spacing w:after="0"/>
              <w:jc w:val="left"/>
              <w:rPr>
                <w:rFonts w:eastAsia="Calibri"/>
                <w:noProof/>
                <w:sz w:val="20"/>
                <w:szCs w:val="20"/>
              </w:rPr>
            </w:pPr>
            <w:r w:rsidRPr="001A02F7">
              <w:rPr>
                <w:rFonts w:eastAsia="Calibri"/>
                <w:noProof/>
                <w:sz w:val="20"/>
                <w:szCs w:val="20"/>
              </w:rPr>
              <w:t>Follower</w:t>
            </w:r>
            <w:r w:rsidR="009E78EA" w:rsidRPr="001A02F7">
              <w:rPr>
                <w:rFonts w:eastAsia="Calibri"/>
                <w:noProof/>
                <w:sz w:val="20"/>
                <w:szCs w:val="20"/>
              </w:rPr>
              <w:t>s</w:t>
            </w:r>
            <w:r w:rsidR="00D66D65" w:rsidRPr="001A02F7">
              <w:rPr>
                <w:rStyle w:val="FootnoteReference"/>
                <w:rFonts w:eastAsia="Calibri"/>
                <w:noProof/>
                <w:sz w:val="20"/>
                <w:szCs w:val="20"/>
              </w:rPr>
              <w:footnoteReference w:id="330"/>
            </w:r>
          </w:p>
        </w:tc>
        <w:tc>
          <w:tcPr>
            <w:tcW w:w="1439" w:type="pct"/>
            <w:tcBorders>
              <w:bottom w:val="single" w:sz="4" w:space="0" w:color="auto"/>
            </w:tcBorders>
            <w:shd w:val="clear" w:color="auto" w:fill="FFFFFF" w:themeFill="background1"/>
            <w:noWrap/>
            <w:vAlign w:val="top"/>
            <w:hideMark/>
          </w:tcPr>
          <w:p w14:paraId="1EDE0C83" w14:textId="32687E3E" w:rsidR="009E7922" w:rsidRPr="001A02F7" w:rsidRDefault="009E7922" w:rsidP="005C052A">
            <w:pPr>
              <w:spacing w:after="0"/>
              <w:jc w:val="right"/>
              <w:rPr>
                <w:rFonts w:eastAsia="Calibri"/>
                <w:noProof/>
                <w:sz w:val="20"/>
                <w:szCs w:val="20"/>
              </w:rPr>
            </w:pPr>
            <w:r w:rsidRPr="001A02F7">
              <w:rPr>
                <w:noProof/>
                <w:color w:val="000000"/>
                <w:sz w:val="20"/>
                <w:szCs w:val="20"/>
              </w:rPr>
              <w:t xml:space="preserve">     38 </w:t>
            </w:r>
          </w:p>
        </w:tc>
        <w:tc>
          <w:tcPr>
            <w:tcW w:w="1287" w:type="pct"/>
            <w:tcBorders>
              <w:bottom w:val="single" w:sz="4" w:space="0" w:color="auto"/>
            </w:tcBorders>
            <w:shd w:val="clear" w:color="auto" w:fill="FFFFFF" w:themeFill="background1"/>
            <w:vAlign w:val="top"/>
          </w:tcPr>
          <w:p w14:paraId="4792BE41" w14:textId="77777777" w:rsidR="009E7922" w:rsidRPr="001A02F7" w:rsidRDefault="009E7922" w:rsidP="005C052A">
            <w:pPr>
              <w:spacing w:after="0"/>
              <w:jc w:val="right"/>
              <w:rPr>
                <w:noProof/>
                <w:color w:val="000000"/>
                <w:sz w:val="20"/>
                <w:szCs w:val="20"/>
              </w:rPr>
            </w:pPr>
            <w:r w:rsidRPr="001A02F7">
              <w:rPr>
                <w:noProof/>
                <w:sz w:val="20"/>
                <w:szCs w:val="20"/>
              </w:rPr>
              <w:t xml:space="preserve"> 16 </w:t>
            </w:r>
          </w:p>
        </w:tc>
      </w:tr>
      <w:tr w:rsidR="009E7922" w:rsidRPr="00BD5CBE" w14:paraId="011D3E18" w14:textId="77777777" w:rsidTr="006872C6">
        <w:trPr>
          <w:trHeight w:val="269"/>
        </w:trPr>
        <w:tc>
          <w:tcPr>
            <w:tcW w:w="909" w:type="pct"/>
            <w:shd w:val="clear" w:color="auto" w:fill="DBE5F1" w:themeFill="accent1" w:themeFillTint="33"/>
            <w:noWrap/>
            <w:vAlign w:val="top"/>
            <w:hideMark/>
          </w:tcPr>
          <w:p w14:paraId="15D2ECFB" w14:textId="77777777" w:rsidR="009E7922" w:rsidRPr="001A02F7" w:rsidRDefault="009E7922" w:rsidP="00ED6097">
            <w:pPr>
              <w:spacing w:after="0"/>
              <w:jc w:val="left"/>
              <w:rPr>
                <w:rFonts w:eastAsia="Calibri"/>
                <w:b/>
                <w:noProof/>
                <w:sz w:val="20"/>
                <w:szCs w:val="20"/>
              </w:rPr>
            </w:pPr>
            <w:r w:rsidRPr="001A02F7">
              <w:rPr>
                <w:rFonts w:eastAsia="Calibri"/>
                <w:b/>
                <w:noProof/>
                <w:sz w:val="20"/>
                <w:szCs w:val="20"/>
              </w:rPr>
              <w:t>B2C</w:t>
            </w:r>
          </w:p>
        </w:tc>
        <w:tc>
          <w:tcPr>
            <w:tcW w:w="1364" w:type="pct"/>
            <w:shd w:val="clear" w:color="auto" w:fill="DBE5F1" w:themeFill="accent1" w:themeFillTint="33"/>
            <w:noWrap/>
            <w:vAlign w:val="top"/>
            <w:hideMark/>
          </w:tcPr>
          <w:p w14:paraId="57DA1C9E" w14:textId="77777777" w:rsidR="009E7922" w:rsidRPr="001A02F7" w:rsidRDefault="009E7922" w:rsidP="00ED6097">
            <w:pPr>
              <w:spacing w:after="0"/>
              <w:jc w:val="left"/>
              <w:rPr>
                <w:rFonts w:eastAsia="Calibri"/>
                <w:b/>
                <w:noProof/>
                <w:sz w:val="20"/>
                <w:szCs w:val="20"/>
              </w:rPr>
            </w:pPr>
            <w:r w:rsidRPr="001A02F7">
              <w:rPr>
                <w:rFonts w:eastAsia="Calibri"/>
                <w:b/>
                <w:noProof/>
                <w:sz w:val="20"/>
                <w:szCs w:val="20"/>
              </w:rPr>
              <w:t>Total</w:t>
            </w:r>
          </w:p>
        </w:tc>
        <w:tc>
          <w:tcPr>
            <w:tcW w:w="1439" w:type="pct"/>
            <w:tcBorders>
              <w:bottom w:val="single" w:sz="4" w:space="0" w:color="auto"/>
            </w:tcBorders>
            <w:shd w:val="clear" w:color="auto" w:fill="DBE5F1" w:themeFill="accent1" w:themeFillTint="33"/>
            <w:noWrap/>
            <w:vAlign w:val="top"/>
            <w:hideMark/>
          </w:tcPr>
          <w:p w14:paraId="6588C585" w14:textId="76EABF51" w:rsidR="009E7922" w:rsidRPr="001A02F7" w:rsidRDefault="009E7922" w:rsidP="005C052A">
            <w:pPr>
              <w:spacing w:after="0"/>
              <w:jc w:val="right"/>
              <w:rPr>
                <w:rFonts w:eastAsia="Calibri"/>
                <w:b/>
                <w:noProof/>
                <w:sz w:val="20"/>
                <w:szCs w:val="20"/>
              </w:rPr>
            </w:pPr>
            <w:r w:rsidRPr="001A02F7">
              <w:rPr>
                <w:b/>
                <w:noProof/>
                <w:color w:val="000000"/>
                <w:sz w:val="20"/>
                <w:szCs w:val="20"/>
              </w:rPr>
              <w:t xml:space="preserve">   266 </w:t>
            </w:r>
          </w:p>
        </w:tc>
        <w:tc>
          <w:tcPr>
            <w:tcW w:w="1287" w:type="pct"/>
            <w:tcBorders>
              <w:bottom w:val="single" w:sz="4" w:space="0" w:color="auto"/>
            </w:tcBorders>
            <w:shd w:val="clear" w:color="auto" w:fill="DBE5F1" w:themeFill="accent1" w:themeFillTint="33"/>
            <w:vAlign w:val="top"/>
          </w:tcPr>
          <w:p w14:paraId="4B0E5D47" w14:textId="77777777" w:rsidR="009E7922" w:rsidRPr="001A02F7" w:rsidRDefault="009E7922" w:rsidP="005C052A">
            <w:pPr>
              <w:spacing w:after="0"/>
              <w:jc w:val="right"/>
              <w:rPr>
                <w:b/>
                <w:noProof/>
                <w:color w:val="000000"/>
                <w:sz w:val="20"/>
                <w:szCs w:val="20"/>
              </w:rPr>
            </w:pPr>
            <w:r w:rsidRPr="001A02F7">
              <w:rPr>
                <w:noProof/>
                <w:sz w:val="20"/>
                <w:szCs w:val="20"/>
              </w:rPr>
              <w:t xml:space="preserve"> 116 </w:t>
            </w:r>
          </w:p>
        </w:tc>
      </w:tr>
      <w:tr w:rsidR="009E7922" w:rsidRPr="00BD5CBE" w14:paraId="33FCCEEB" w14:textId="77777777" w:rsidTr="006872C6">
        <w:trPr>
          <w:trHeight w:val="269"/>
        </w:trPr>
        <w:tc>
          <w:tcPr>
            <w:tcW w:w="909" w:type="pct"/>
            <w:noWrap/>
            <w:vAlign w:val="top"/>
            <w:hideMark/>
          </w:tcPr>
          <w:p w14:paraId="59E3D544" w14:textId="77777777" w:rsidR="009E7922" w:rsidRPr="001A02F7" w:rsidRDefault="009E7922" w:rsidP="00ED6097">
            <w:pPr>
              <w:spacing w:after="0"/>
              <w:jc w:val="left"/>
              <w:rPr>
                <w:rFonts w:eastAsia="Calibri"/>
                <w:noProof/>
                <w:sz w:val="20"/>
                <w:szCs w:val="20"/>
              </w:rPr>
            </w:pPr>
            <w:r w:rsidRPr="001A02F7">
              <w:rPr>
                <w:rFonts w:eastAsia="Calibri"/>
                <w:noProof/>
                <w:sz w:val="20"/>
                <w:szCs w:val="20"/>
              </w:rPr>
              <w:t>B2B</w:t>
            </w:r>
          </w:p>
        </w:tc>
        <w:tc>
          <w:tcPr>
            <w:tcW w:w="1364" w:type="pct"/>
            <w:noWrap/>
            <w:vAlign w:val="top"/>
            <w:hideMark/>
          </w:tcPr>
          <w:p w14:paraId="1479748A" w14:textId="17D38DBE" w:rsidR="009E7922" w:rsidRPr="001A02F7" w:rsidRDefault="009E7922" w:rsidP="00ED6097">
            <w:pPr>
              <w:spacing w:after="0"/>
              <w:jc w:val="left"/>
              <w:rPr>
                <w:rFonts w:eastAsia="Calibri"/>
                <w:noProof/>
                <w:sz w:val="20"/>
                <w:szCs w:val="20"/>
              </w:rPr>
            </w:pPr>
            <w:r w:rsidRPr="001A02F7">
              <w:rPr>
                <w:rFonts w:eastAsia="Calibri"/>
                <w:noProof/>
                <w:sz w:val="20"/>
                <w:szCs w:val="20"/>
              </w:rPr>
              <w:t>Leader</w:t>
            </w:r>
            <w:r w:rsidR="009E78EA" w:rsidRPr="001A02F7">
              <w:rPr>
                <w:rFonts w:eastAsia="Calibri"/>
                <w:noProof/>
                <w:sz w:val="20"/>
                <w:szCs w:val="20"/>
              </w:rPr>
              <w:t>s</w:t>
            </w:r>
          </w:p>
        </w:tc>
        <w:tc>
          <w:tcPr>
            <w:tcW w:w="1439" w:type="pct"/>
            <w:shd w:val="clear" w:color="auto" w:fill="FFFFFF" w:themeFill="background1"/>
            <w:noWrap/>
            <w:vAlign w:val="top"/>
            <w:hideMark/>
          </w:tcPr>
          <w:p w14:paraId="1278811E" w14:textId="5A3C3DB8" w:rsidR="009E7922" w:rsidRPr="001A02F7" w:rsidRDefault="009E7922" w:rsidP="005C052A">
            <w:pPr>
              <w:spacing w:after="0"/>
              <w:jc w:val="right"/>
              <w:rPr>
                <w:rFonts w:eastAsia="Calibri"/>
                <w:noProof/>
                <w:sz w:val="20"/>
                <w:szCs w:val="20"/>
              </w:rPr>
            </w:pPr>
            <w:r w:rsidRPr="001A02F7">
              <w:rPr>
                <w:noProof/>
                <w:color w:val="000000"/>
                <w:sz w:val="20"/>
                <w:szCs w:val="20"/>
              </w:rPr>
              <w:t xml:space="preserve">     37 </w:t>
            </w:r>
          </w:p>
        </w:tc>
        <w:tc>
          <w:tcPr>
            <w:tcW w:w="1287" w:type="pct"/>
            <w:shd w:val="clear" w:color="auto" w:fill="FFFFFF" w:themeFill="background1"/>
            <w:vAlign w:val="top"/>
          </w:tcPr>
          <w:p w14:paraId="33FE0B1B" w14:textId="77777777" w:rsidR="009E7922" w:rsidRPr="001A02F7" w:rsidRDefault="009E7922" w:rsidP="005C052A">
            <w:pPr>
              <w:spacing w:after="0"/>
              <w:jc w:val="right"/>
              <w:rPr>
                <w:noProof/>
                <w:color w:val="000000"/>
                <w:sz w:val="20"/>
                <w:szCs w:val="20"/>
              </w:rPr>
            </w:pPr>
            <w:r w:rsidRPr="001A02F7">
              <w:rPr>
                <w:noProof/>
                <w:sz w:val="20"/>
                <w:szCs w:val="20"/>
              </w:rPr>
              <w:t xml:space="preserve"> 28 </w:t>
            </w:r>
          </w:p>
        </w:tc>
      </w:tr>
      <w:tr w:rsidR="009E7922" w:rsidRPr="00BD5CBE" w14:paraId="4161BFE4" w14:textId="77777777" w:rsidTr="006872C6">
        <w:trPr>
          <w:trHeight w:val="269"/>
        </w:trPr>
        <w:tc>
          <w:tcPr>
            <w:tcW w:w="909" w:type="pct"/>
            <w:noWrap/>
            <w:vAlign w:val="top"/>
            <w:hideMark/>
          </w:tcPr>
          <w:p w14:paraId="049AEB7C" w14:textId="77777777" w:rsidR="009E7922" w:rsidRPr="001A02F7" w:rsidRDefault="009E7922" w:rsidP="00ED6097">
            <w:pPr>
              <w:spacing w:after="0"/>
              <w:jc w:val="left"/>
              <w:rPr>
                <w:rFonts w:eastAsia="Calibri"/>
                <w:noProof/>
                <w:sz w:val="20"/>
                <w:szCs w:val="20"/>
              </w:rPr>
            </w:pPr>
            <w:r w:rsidRPr="001A02F7">
              <w:rPr>
                <w:rFonts w:eastAsia="Calibri"/>
                <w:noProof/>
                <w:sz w:val="20"/>
                <w:szCs w:val="20"/>
              </w:rPr>
              <w:t>B2B</w:t>
            </w:r>
          </w:p>
        </w:tc>
        <w:tc>
          <w:tcPr>
            <w:tcW w:w="1364" w:type="pct"/>
            <w:noWrap/>
            <w:vAlign w:val="top"/>
            <w:hideMark/>
          </w:tcPr>
          <w:p w14:paraId="4648ACEB" w14:textId="67CDF574" w:rsidR="009E7922" w:rsidRPr="001A02F7" w:rsidRDefault="009E7922" w:rsidP="00ED6097">
            <w:pPr>
              <w:spacing w:after="0"/>
              <w:jc w:val="left"/>
              <w:rPr>
                <w:rFonts w:eastAsia="Calibri"/>
                <w:noProof/>
                <w:sz w:val="20"/>
                <w:szCs w:val="20"/>
              </w:rPr>
            </w:pPr>
            <w:r w:rsidRPr="001A02F7">
              <w:rPr>
                <w:rFonts w:eastAsia="Calibri"/>
                <w:noProof/>
                <w:sz w:val="20"/>
                <w:szCs w:val="20"/>
              </w:rPr>
              <w:t>Planned adopter</w:t>
            </w:r>
            <w:r w:rsidR="009E78EA" w:rsidRPr="001A02F7">
              <w:rPr>
                <w:rFonts w:eastAsia="Calibri"/>
                <w:noProof/>
                <w:sz w:val="20"/>
                <w:szCs w:val="20"/>
              </w:rPr>
              <w:t>s</w:t>
            </w:r>
          </w:p>
        </w:tc>
        <w:tc>
          <w:tcPr>
            <w:tcW w:w="1439" w:type="pct"/>
            <w:shd w:val="clear" w:color="auto" w:fill="FFFFFF" w:themeFill="background1"/>
            <w:noWrap/>
            <w:vAlign w:val="top"/>
            <w:hideMark/>
          </w:tcPr>
          <w:p w14:paraId="6D1E880A" w14:textId="5201A067" w:rsidR="009E7922" w:rsidRPr="001A02F7" w:rsidRDefault="009E7922" w:rsidP="005C052A">
            <w:pPr>
              <w:spacing w:after="0"/>
              <w:jc w:val="right"/>
              <w:rPr>
                <w:rFonts w:eastAsia="Calibri"/>
                <w:noProof/>
                <w:sz w:val="20"/>
                <w:szCs w:val="20"/>
              </w:rPr>
            </w:pPr>
            <w:r w:rsidRPr="001A02F7">
              <w:rPr>
                <w:noProof/>
                <w:color w:val="000000"/>
                <w:sz w:val="20"/>
                <w:szCs w:val="20"/>
              </w:rPr>
              <w:t xml:space="preserve">     45 </w:t>
            </w:r>
          </w:p>
        </w:tc>
        <w:tc>
          <w:tcPr>
            <w:tcW w:w="1287" w:type="pct"/>
            <w:shd w:val="clear" w:color="auto" w:fill="FFFFFF" w:themeFill="background1"/>
            <w:vAlign w:val="top"/>
          </w:tcPr>
          <w:p w14:paraId="4755CB36" w14:textId="77777777" w:rsidR="009E7922" w:rsidRPr="001A02F7" w:rsidRDefault="009E7922" w:rsidP="005C052A">
            <w:pPr>
              <w:spacing w:after="0"/>
              <w:jc w:val="right"/>
              <w:rPr>
                <w:noProof/>
                <w:color w:val="000000"/>
                <w:sz w:val="20"/>
                <w:szCs w:val="20"/>
              </w:rPr>
            </w:pPr>
            <w:r w:rsidRPr="001A02F7">
              <w:rPr>
                <w:noProof/>
                <w:sz w:val="20"/>
                <w:szCs w:val="20"/>
              </w:rPr>
              <w:t xml:space="preserve"> 33 </w:t>
            </w:r>
          </w:p>
        </w:tc>
      </w:tr>
      <w:tr w:rsidR="009E7922" w:rsidRPr="00BD5CBE" w14:paraId="0937D3CC" w14:textId="77777777" w:rsidTr="006872C6">
        <w:trPr>
          <w:trHeight w:val="269"/>
        </w:trPr>
        <w:tc>
          <w:tcPr>
            <w:tcW w:w="909" w:type="pct"/>
            <w:tcBorders>
              <w:bottom w:val="single" w:sz="4" w:space="0" w:color="auto"/>
            </w:tcBorders>
            <w:noWrap/>
            <w:vAlign w:val="top"/>
            <w:hideMark/>
          </w:tcPr>
          <w:p w14:paraId="5E0B6F88" w14:textId="77777777" w:rsidR="009E7922" w:rsidRPr="001A02F7" w:rsidRDefault="009E7922" w:rsidP="00ED6097">
            <w:pPr>
              <w:spacing w:after="0"/>
              <w:jc w:val="left"/>
              <w:rPr>
                <w:rFonts w:eastAsia="Calibri"/>
                <w:noProof/>
                <w:sz w:val="20"/>
                <w:szCs w:val="20"/>
              </w:rPr>
            </w:pPr>
            <w:r w:rsidRPr="001A02F7">
              <w:rPr>
                <w:rFonts w:eastAsia="Calibri"/>
                <w:noProof/>
                <w:sz w:val="20"/>
                <w:szCs w:val="20"/>
              </w:rPr>
              <w:t>B2B</w:t>
            </w:r>
          </w:p>
        </w:tc>
        <w:tc>
          <w:tcPr>
            <w:tcW w:w="1364" w:type="pct"/>
            <w:tcBorders>
              <w:bottom w:val="single" w:sz="4" w:space="0" w:color="auto"/>
            </w:tcBorders>
            <w:noWrap/>
            <w:vAlign w:val="top"/>
            <w:hideMark/>
          </w:tcPr>
          <w:p w14:paraId="77C2AF36" w14:textId="34F1441A" w:rsidR="009E7922" w:rsidRPr="001A02F7" w:rsidRDefault="009E7922" w:rsidP="00ED6097">
            <w:pPr>
              <w:spacing w:after="0"/>
              <w:jc w:val="left"/>
              <w:rPr>
                <w:rFonts w:eastAsia="Calibri"/>
                <w:noProof/>
                <w:sz w:val="20"/>
                <w:szCs w:val="20"/>
              </w:rPr>
            </w:pPr>
            <w:r w:rsidRPr="001A02F7">
              <w:rPr>
                <w:rFonts w:eastAsia="Calibri"/>
                <w:noProof/>
                <w:sz w:val="20"/>
                <w:szCs w:val="20"/>
              </w:rPr>
              <w:t>Follower</w:t>
            </w:r>
            <w:r w:rsidR="009E78EA" w:rsidRPr="001A02F7">
              <w:rPr>
                <w:rFonts w:eastAsia="Calibri"/>
                <w:noProof/>
                <w:sz w:val="20"/>
                <w:szCs w:val="20"/>
              </w:rPr>
              <w:t>s</w:t>
            </w:r>
          </w:p>
        </w:tc>
        <w:tc>
          <w:tcPr>
            <w:tcW w:w="1439" w:type="pct"/>
            <w:tcBorders>
              <w:bottom w:val="single" w:sz="4" w:space="0" w:color="auto"/>
            </w:tcBorders>
            <w:shd w:val="clear" w:color="auto" w:fill="FFFFFF" w:themeFill="background1"/>
            <w:noWrap/>
            <w:vAlign w:val="top"/>
            <w:hideMark/>
          </w:tcPr>
          <w:p w14:paraId="02C89FA9" w14:textId="20E414C2" w:rsidR="009E7922" w:rsidRPr="001A02F7" w:rsidRDefault="009E7922" w:rsidP="005C052A">
            <w:pPr>
              <w:spacing w:after="0"/>
              <w:jc w:val="right"/>
              <w:rPr>
                <w:rFonts w:eastAsia="Calibri"/>
                <w:noProof/>
                <w:sz w:val="20"/>
                <w:szCs w:val="20"/>
              </w:rPr>
            </w:pPr>
            <w:r w:rsidRPr="001A02F7">
              <w:rPr>
                <w:noProof/>
                <w:color w:val="000000"/>
                <w:sz w:val="20"/>
                <w:szCs w:val="20"/>
              </w:rPr>
              <w:t xml:space="preserve">     16 </w:t>
            </w:r>
          </w:p>
        </w:tc>
        <w:tc>
          <w:tcPr>
            <w:tcW w:w="1287" w:type="pct"/>
            <w:tcBorders>
              <w:bottom w:val="single" w:sz="4" w:space="0" w:color="auto"/>
            </w:tcBorders>
            <w:shd w:val="clear" w:color="auto" w:fill="FFFFFF" w:themeFill="background1"/>
            <w:vAlign w:val="top"/>
          </w:tcPr>
          <w:p w14:paraId="65A1BF61" w14:textId="77777777" w:rsidR="009E7922" w:rsidRPr="001A02F7" w:rsidRDefault="009E7922" w:rsidP="005C052A">
            <w:pPr>
              <w:spacing w:after="0"/>
              <w:jc w:val="right"/>
              <w:rPr>
                <w:noProof/>
                <w:color w:val="000000"/>
                <w:sz w:val="20"/>
                <w:szCs w:val="20"/>
              </w:rPr>
            </w:pPr>
            <w:r w:rsidRPr="001A02F7">
              <w:rPr>
                <w:noProof/>
                <w:sz w:val="20"/>
                <w:szCs w:val="20"/>
              </w:rPr>
              <w:t xml:space="preserve"> 12 </w:t>
            </w:r>
          </w:p>
        </w:tc>
      </w:tr>
      <w:tr w:rsidR="009E7922" w:rsidRPr="00BD5CBE" w14:paraId="45091FAE" w14:textId="77777777" w:rsidTr="006872C6">
        <w:trPr>
          <w:trHeight w:val="269"/>
        </w:trPr>
        <w:tc>
          <w:tcPr>
            <w:tcW w:w="909" w:type="pct"/>
            <w:shd w:val="clear" w:color="auto" w:fill="DBE5F1" w:themeFill="accent1" w:themeFillTint="33"/>
            <w:noWrap/>
            <w:vAlign w:val="top"/>
            <w:hideMark/>
          </w:tcPr>
          <w:p w14:paraId="3DC4DE46" w14:textId="77777777" w:rsidR="009E7922" w:rsidRPr="001A02F7" w:rsidRDefault="009E7922" w:rsidP="00ED6097">
            <w:pPr>
              <w:spacing w:after="0"/>
              <w:jc w:val="left"/>
              <w:rPr>
                <w:rFonts w:eastAsia="Calibri"/>
                <w:b/>
                <w:noProof/>
                <w:sz w:val="20"/>
                <w:szCs w:val="20"/>
              </w:rPr>
            </w:pPr>
            <w:r w:rsidRPr="001A02F7">
              <w:rPr>
                <w:rFonts w:eastAsia="Calibri"/>
                <w:b/>
                <w:noProof/>
                <w:sz w:val="20"/>
                <w:szCs w:val="20"/>
              </w:rPr>
              <w:t>B2B</w:t>
            </w:r>
          </w:p>
        </w:tc>
        <w:tc>
          <w:tcPr>
            <w:tcW w:w="1364" w:type="pct"/>
            <w:shd w:val="clear" w:color="auto" w:fill="DBE5F1" w:themeFill="accent1" w:themeFillTint="33"/>
            <w:noWrap/>
            <w:vAlign w:val="top"/>
            <w:hideMark/>
          </w:tcPr>
          <w:p w14:paraId="449000DE" w14:textId="77777777" w:rsidR="009E7922" w:rsidRPr="001A02F7" w:rsidRDefault="009E7922" w:rsidP="00ED6097">
            <w:pPr>
              <w:spacing w:after="0"/>
              <w:jc w:val="left"/>
              <w:rPr>
                <w:rFonts w:eastAsia="Calibri"/>
                <w:b/>
                <w:noProof/>
                <w:sz w:val="20"/>
                <w:szCs w:val="20"/>
              </w:rPr>
            </w:pPr>
            <w:r w:rsidRPr="001A02F7">
              <w:rPr>
                <w:rFonts w:eastAsia="Calibri"/>
                <w:b/>
                <w:noProof/>
                <w:sz w:val="20"/>
                <w:szCs w:val="20"/>
              </w:rPr>
              <w:t>Total</w:t>
            </w:r>
          </w:p>
        </w:tc>
        <w:tc>
          <w:tcPr>
            <w:tcW w:w="1439" w:type="pct"/>
            <w:tcBorders>
              <w:bottom w:val="single" w:sz="4" w:space="0" w:color="auto"/>
            </w:tcBorders>
            <w:shd w:val="clear" w:color="auto" w:fill="DBE5F1" w:themeFill="accent1" w:themeFillTint="33"/>
            <w:noWrap/>
            <w:vAlign w:val="top"/>
            <w:hideMark/>
          </w:tcPr>
          <w:p w14:paraId="637E0B87" w14:textId="5167A54D" w:rsidR="009E7922" w:rsidRPr="001A02F7" w:rsidRDefault="009E7922" w:rsidP="005C052A">
            <w:pPr>
              <w:spacing w:after="0"/>
              <w:jc w:val="right"/>
              <w:rPr>
                <w:rFonts w:eastAsia="Calibri"/>
                <w:b/>
                <w:noProof/>
                <w:sz w:val="20"/>
                <w:szCs w:val="20"/>
              </w:rPr>
            </w:pPr>
            <w:r w:rsidRPr="001A02F7">
              <w:rPr>
                <w:b/>
                <w:noProof/>
                <w:color w:val="000000"/>
                <w:sz w:val="20"/>
                <w:szCs w:val="20"/>
              </w:rPr>
              <w:t xml:space="preserve">     98 </w:t>
            </w:r>
          </w:p>
        </w:tc>
        <w:tc>
          <w:tcPr>
            <w:tcW w:w="1287" w:type="pct"/>
            <w:tcBorders>
              <w:bottom w:val="single" w:sz="4" w:space="0" w:color="auto"/>
            </w:tcBorders>
            <w:shd w:val="clear" w:color="auto" w:fill="DBE5F1" w:themeFill="accent1" w:themeFillTint="33"/>
            <w:vAlign w:val="top"/>
          </w:tcPr>
          <w:p w14:paraId="758D33CC" w14:textId="77777777" w:rsidR="009E7922" w:rsidRPr="001A02F7" w:rsidRDefault="009E7922" w:rsidP="005C052A">
            <w:pPr>
              <w:spacing w:after="0"/>
              <w:jc w:val="right"/>
              <w:rPr>
                <w:b/>
                <w:noProof/>
                <w:color w:val="000000"/>
                <w:sz w:val="20"/>
                <w:szCs w:val="20"/>
              </w:rPr>
            </w:pPr>
            <w:r w:rsidRPr="001A02F7">
              <w:rPr>
                <w:noProof/>
                <w:sz w:val="20"/>
                <w:szCs w:val="20"/>
              </w:rPr>
              <w:t xml:space="preserve"> 72 </w:t>
            </w:r>
          </w:p>
        </w:tc>
      </w:tr>
      <w:tr w:rsidR="009E7922" w:rsidRPr="00BD5CBE" w14:paraId="03B35B1F" w14:textId="77777777" w:rsidTr="006872C6">
        <w:trPr>
          <w:trHeight w:val="269"/>
        </w:trPr>
        <w:tc>
          <w:tcPr>
            <w:tcW w:w="909" w:type="pct"/>
            <w:noWrap/>
            <w:vAlign w:val="top"/>
            <w:hideMark/>
          </w:tcPr>
          <w:p w14:paraId="0A1138BF" w14:textId="77777777" w:rsidR="009E7922" w:rsidRPr="001A02F7" w:rsidRDefault="009E7922" w:rsidP="00ED6097">
            <w:pPr>
              <w:spacing w:after="0"/>
              <w:jc w:val="left"/>
              <w:rPr>
                <w:rFonts w:eastAsia="Calibri"/>
                <w:noProof/>
                <w:sz w:val="20"/>
                <w:szCs w:val="20"/>
              </w:rPr>
            </w:pPr>
            <w:r w:rsidRPr="001A02F7">
              <w:rPr>
                <w:rFonts w:eastAsia="Calibri"/>
                <w:noProof/>
                <w:sz w:val="20"/>
                <w:szCs w:val="20"/>
              </w:rPr>
              <w:t>B2C + B2B</w:t>
            </w:r>
          </w:p>
        </w:tc>
        <w:tc>
          <w:tcPr>
            <w:tcW w:w="1364" w:type="pct"/>
            <w:noWrap/>
            <w:vAlign w:val="top"/>
            <w:hideMark/>
          </w:tcPr>
          <w:p w14:paraId="51BAA564" w14:textId="3BF4EBD6" w:rsidR="009E7922" w:rsidRPr="001A02F7" w:rsidRDefault="009E7922" w:rsidP="00ED6097">
            <w:pPr>
              <w:spacing w:after="0"/>
              <w:jc w:val="left"/>
              <w:rPr>
                <w:rFonts w:eastAsia="Calibri"/>
                <w:noProof/>
                <w:sz w:val="20"/>
                <w:szCs w:val="20"/>
              </w:rPr>
            </w:pPr>
            <w:r w:rsidRPr="001A02F7">
              <w:rPr>
                <w:rFonts w:eastAsia="Calibri"/>
                <w:noProof/>
                <w:sz w:val="20"/>
                <w:szCs w:val="20"/>
              </w:rPr>
              <w:t>Leader</w:t>
            </w:r>
            <w:r w:rsidR="009E78EA" w:rsidRPr="001A02F7">
              <w:rPr>
                <w:rFonts w:eastAsia="Calibri"/>
                <w:noProof/>
                <w:sz w:val="20"/>
                <w:szCs w:val="20"/>
              </w:rPr>
              <w:t>s</w:t>
            </w:r>
          </w:p>
        </w:tc>
        <w:tc>
          <w:tcPr>
            <w:tcW w:w="1439" w:type="pct"/>
            <w:shd w:val="clear" w:color="auto" w:fill="FFFFFF" w:themeFill="background1"/>
            <w:noWrap/>
            <w:vAlign w:val="top"/>
            <w:hideMark/>
          </w:tcPr>
          <w:p w14:paraId="0067DB67" w14:textId="1A6772B2" w:rsidR="009E7922" w:rsidRPr="001A02F7" w:rsidRDefault="009E7922" w:rsidP="005C052A">
            <w:pPr>
              <w:spacing w:after="0"/>
              <w:jc w:val="right"/>
              <w:rPr>
                <w:rFonts w:eastAsia="Calibri"/>
                <w:noProof/>
                <w:sz w:val="20"/>
                <w:szCs w:val="20"/>
              </w:rPr>
            </w:pPr>
            <w:r w:rsidRPr="001A02F7">
              <w:rPr>
                <w:noProof/>
                <w:color w:val="000000"/>
                <w:sz w:val="20"/>
                <w:szCs w:val="20"/>
              </w:rPr>
              <w:t xml:space="preserve">   154 </w:t>
            </w:r>
          </w:p>
        </w:tc>
        <w:tc>
          <w:tcPr>
            <w:tcW w:w="1287" w:type="pct"/>
            <w:shd w:val="clear" w:color="auto" w:fill="FFFFFF" w:themeFill="background1"/>
            <w:vAlign w:val="top"/>
          </w:tcPr>
          <w:p w14:paraId="2B58AB60" w14:textId="77777777" w:rsidR="009E7922" w:rsidRPr="001A02F7" w:rsidRDefault="009E7922" w:rsidP="005C052A">
            <w:pPr>
              <w:spacing w:after="0"/>
              <w:jc w:val="right"/>
              <w:rPr>
                <w:noProof/>
                <w:color w:val="000000"/>
                <w:sz w:val="20"/>
                <w:szCs w:val="20"/>
              </w:rPr>
            </w:pPr>
            <w:r w:rsidRPr="001A02F7">
              <w:rPr>
                <w:noProof/>
                <w:sz w:val="20"/>
                <w:szCs w:val="20"/>
              </w:rPr>
              <w:t xml:space="preserve"> 78 </w:t>
            </w:r>
          </w:p>
        </w:tc>
      </w:tr>
      <w:tr w:rsidR="009E7922" w:rsidRPr="00BD5CBE" w14:paraId="0493B106" w14:textId="77777777" w:rsidTr="006872C6">
        <w:trPr>
          <w:trHeight w:val="269"/>
        </w:trPr>
        <w:tc>
          <w:tcPr>
            <w:tcW w:w="909" w:type="pct"/>
            <w:noWrap/>
            <w:vAlign w:val="top"/>
            <w:hideMark/>
          </w:tcPr>
          <w:p w14:paraId="12BB5C94" w14:textId="77777777" w:rsidR="009E7922" w:rsidRPr="001A02F7" w:rsidRDefault="009E7922" w:rsidP="00ED6097">
            <w:pPr>
              <w:spacing w:after="0"/>
              <w:jc w:val="left"/>
              <w:rPr>
                <w:rFonts w:eastAsia="Calibri"/>
                <w:noProof/>
                <w:sz w:val="20"/>
                <w:szCs w:val="20"/>
              </w:rPr>
            </w:pPr>
            <w:r w:rsidRPr="001A02F7">
              <w:rPr>
                <w:rFonts w:eastAsia="Calibri"/>
                <w:noProof/>
                <w:sz w:val="20"/>
                <w:szCs w:val="20"/>
              </w:rPr>
              <w:t>B2C + B2B</w:t>
            </w:r>
          </w:p>
        </w:tc>
        <w:tc>
          <w:tcPr>
            <w:tcW w:w="1364" w:type="pct"/>
            <w:noWrap/>
            <w:vAlign w:val="top"/>
            <w:hideMark/>
          </w:tcPr>
          <w:p w14:paraId="38DB429A" w14:textId="0B00D42F" w:rsidR="009E7922" w:rsidRPr="001A02F7" w:rsidRDefault="009E7922" w:rsidP="00ED6097">
            <w:pPr>
              <w:spacing w:after="0"/>
              <w:jc w:val="left"/>
              <w:rPr>
                <w:rFonts w:eastAsia="Calibri"/>
                <w:noProof/>
                <w:sz w:val="20"/>
                <w:szCs w:val="20"/>
              </w:rPr>
            </w:pPr>
            <w:r w:rsidRPr="001A02F7">
              <w:rPr>
                <w:rFonts w:eastAsia="Calibri"/>
                <w:noProof/>
                <w:sz w:val="20"/>
                <w:szCs w:val="20"/>
              </w:rPr>
              <w:t>Planned adopter</w:t>
            </w:r>
            <w:r w:rsidR="009E78EA" w:rsidRPr="001A02F7">
              <w:rPr>
                <w:rFonts w:eastAsia="Calibri"/>
                <w:noProof/>
                <w:sz w:val="20"/>
                <w:szCs w:val="20"/>
              </w:rPr>
              <w:t>s</w:t>
            </w:r>
          </w:p>
        </w:tc>
        <w:tc>
          <w:tcPr>
            <w:tcW w:w="1439" w:type="pct"/>
            <w:shd w:val="clear" w:color="auto" w:fill="FFFFFF" w:themeFill="background1"/>
            <w:noWrap/>
            <w:vAlign w:val="top"/>
            <w:hideMark/>
          </w:tcPr>
          <w:p w14:paraId="4E96E78F" w14:textId="7BD41849" w:rsidR="009E7922" w:rsidRPr="001A02F7" w:rsidRDefault="009E7922" w:rsidP="005C052A">
            <w:pPr>
              <w:spacing w:after="0"/>
              <w:jc w:val="right"/>
              <w:rPr>
                <w:rFonts w:eastAsia="Calibri"/>
                <w:noProof/>
                <w:sz w:val="20"/>
                <w:szCs w:val="20"/>
              </w:rPr>
            </w:pPr>
            <w:r w:rsidRPr="001A02F7">
              <w:rPr>
                <w:noProof/>
                <w:color w:val="000000"/>
                <w:sz w:val="20"/>
                <w:szCs w:val="20"/>
              </w:rPr>
              <w:t xml:space="preserve">   157 </w:t>
            </w:r>
          </w:p>
        </w:tc>
        <w:tc>
          <w:tcPr>
            <w:tcW w:w="1287" w:type="pct"/>
            <w:shd w:val="clear" w:color="auto" w:fill="FFFFFF" w:themeFill="background1"/>
            <w:vAlign w:val="top"/>
          </w:tcPr>
          <w:p w14:paraId="0E3E3C15" w14:textId="77777777" w:rsidR="009E7922" w:rsidRPr="001A02F7" w:rsidRDefault="009E7922" w:rsidP="005C052A">
            <w:pPr>
              <w:spacing w:after="0"/>
              <w:jc w:val="right"/>
              <w:rPr>
                <w:noProof/>
                <w:color w:val="000000"/>
                <w:sz w:val="20"/>
                <w:szCs w:val="20"/>
              </w:rPr>
            </w:pPr>
            <w:r w:rsidRPr="001A02F7">
              <w:rPr>
                <w:noProof/>
                <w:sz w:val="20"/>
                <w:szCs w:val="20"/>
              </w:rPr>
              <w:t xml:space="preserve"> 82 </w:t>
            </w:r>
          </w:p>
        </w:tc>
      </w:tr>
      <w:tr w:rsidR="009E7922" w:rsidRPr="00BD5CBE" w14:paraId="12293121" w14:textId="77777777" w:rsidTr="006872C6">
        <w:trPr>
          <w:trHeight w:val="269"/>
        </w:trPr>
        <w:tc>
          <w:tcPr>
            <w:tcW w:w="909" w:type="pct"/>
            <w:tcBorders>
              <w:bottom w:val="single" w:sz="4" w:space="0" w:color="auto"/>
            </w:tcBorders>
            <w:noWrap/>
            <w:vAlign w:val="top"/>
            <w:hideMark/>
          </w:tcPr>
          <w:p w14:paraId="30FAD9EB" w14:textId="77777777" w:rsidR="009E7922" w:rsidRPr="001A02F7" w:rsidRDefault="009E7922" w:rsidP="00ED6097">
            <w:pPr>
              <w:spacing w:after="0"/>
              <w:jc w:val="left"/>
              <w:rPr>
                <w:rFonts w:eastAsia="Calibri"/>
                <w:noProof/>
                <w:sz w:val="20"/>
                <w:szCs w:val="20"/>
              </w:rPr>
            </w:pPr>
            <w:r w:rsidRPr="001A02F7">
              <w:rPr>
                <w:rFonts w:eastAsia="Calibri"/>
                <w:noProof/>
                <w:sz w:val="20"/>
                <w:szCs w:val="20"/>
              </w:rPr>
              <w:t>B2C + B2B</w:t>
            </w:r>
          </w:p>
        </w:tc>
        <w:tc>
          <w:tcPr>
            <w:tcW w:w="1364" w:type="pct"/>
            <w:tcBorders>
              <w:bottom w:val="single" w:sz="4" w:space="0" w:color="auto"/>
            </w:tcBorders>
            <w:noWrap/>
            <w:vAlign w:val="top"/>
            <w:hideMark/>
          </w:tcPr>
          <w:p w14:paraId="2286E2B1" w14:textId="5158CB72" w:rsidR="009E7922" w:rsidRPr="001A02F7" w:rsidRDefault="009E7922" w:rsidP="00ED6097">
            <w:pPr>
              <w:spacing w:after="0"/>
              <w:jc w:val="left"/>
              <w:rPr>
                <w:rFonts w:eastAsia="Calibri"/>
                <w:noProof/>
                <w:sz w:val="20"/>
                <w:szCs w:val="20"/>
              </w:rPr>
            </w:pPr>
            <w:r w:rsidRPr="001A02F7">
              <w:rPr>
                <w:rFonts w:eastAsia="Calibri"/>
                <w:noProof/>
                <w:sz w:val="20"/>
                <w:szCs w:val="20"/>
              </w:rPr>
              <w:t>Follower</w:t>
            </w:r>
            <w:r w:rsidR="009E78EA" w:rsidRPr="001A02F7">
              <w:rPr>
                <w:rFonts w:eastAsia="Calibri"/>
                <w:noProof/>
                <w:sz w:val="20"/>
                <w:szCs w:val="20"/>
              </w:rPr>
              <w:t>s</w:t>
            </w:r>
          </w:p>
        </w:tc>
        <w:tc>
          <w:tcPr>
            <w:tcW w:w="1439" w:type="pct"/>
            <w:tcBorders>
              <w:bottom w:val="single" w:sz="4" w:space="0" w:color="auto"/>
            </w:tcBorders>
            <w:shd w:val="clear" w:color="auto" w:fill="FFFFFF" w:themeFill="background1"/>
            <w:noWrap/>
            <w:vAlign w:val="top"/>
            <w:hideMark/>
          </w:tcPr>
          <w:p w14:paraId="2BB35D5E" w14:textId="37DEF133" w:rsidR="009E7922" w:rsidRPr="001A02F7" w:rsidRDefault="009E7922" w:rsidP="005C052A">
            <w:pPr>
              <w:spacing w:after="0"/>
              <w:jc w:val="right"/>
              <w:rPr>
                <w:rFonts w:eastAsia="Calibri"/>
                <w:noProof/>
                <w:sz w:val="20"/>
                <w:szCs w:val="20"/>
              </w:rPr>
            </w:pPr>
            <w:r w:rsidRPr="001A02F7">
              <w:rPr>
                <w:noProof/>
                <w:color w:val="000000"/>
                <w:sz w:val="20"/>
                <w:szCs w:val="20"/>
              </w:rPr>
              <w:t xml:space="preserve">     53 </w:t>
            </w:r>
          </w:p>
        </w:tc>
        <w:tc>
          <w:tcPr>
            <w:tcW w:w="1287" w:type="pct"/>
            <w:tcBorders>
              <w:bottom w:val="single" w:sz="4" w:space="0" w:color="auto"/>
            </w:tcBorders>
            <w:shd w:val="clear" w:color="auto" w:fill="FFFFFF" w:themeFill="background1"/>
            <w:vAlign w:val="top"/>
          </w:tcPr>
          <w:p w14:paraId="1B11BA6A" w14:textId="77777777" w:rsidR="009E7922" w:rsidRPr="001A02F7" w:rsidRDefault="009E7922" w:rsidP="005C052A">
            <w:pPr>
              <w:spacing w:after="0"/>
              <w:jc w:val="right"/>
              <w:rPr>
                <w:noProof/>
                <w:color w:val="000000"/>
                <w:sz w:val="20"/>
                <w:szCs w:val="20"/>
              </w:rPr>
            </w:pPr>
            <w:r w:rsidRPr="001A02F7">
              <w:rPr>
                <w:noProof/>
                <w:sz w:val="20"/>
                <w:szCs w:val="20"/>
              </w:rPr>
              <w:t xml:space="preserve"> 28 </w:t>
            </w:r>
          </w:p>
        </w:tc>
      </w:tr>
      <w:tr w:rsidR="009E7922" w:rsidRPr="00BD5CBE" w14:paraId="10D6EBE4" w14:textId="77777777" w:rsidTr="006872C6">
        <w:trPr>
          <w:trHeight w:val="269"/>
        </w:trPr>
        <w:tc>
          <w:tcPr>
            <w:tcW w:w="909" w:type="pct"/>
            <w:shd w:val="clear" w:color="auto" w:fill="DBE5F1" w:themeFill="accent1" w:themeFillTint="33"/>
            <w:noWrap/>
            <w:vAlign w:val="top"/>
            <w:hideMark/>
          </w:tcPr>
          <w:p w14:paraId="514E7071" w14:textId="77777777" w:rsidR="009E7922" w:rsidRPr="001A02F7" w:rsidRDefault="009E7922" w:rsidP="00ED6097">
            <w:pPr>
              <w:spacing w:after="0"/>
              <w:jc w:val="left"/>
              <w:rPr>
                <w:rFonts w:eastAsia="Calibri"/>
                <w:b/>
                <w:noProof/>
                <w:sz w:val="20"/>
                <w:szCs w:val="20"/>
              </w:rPr>
            </w:pPr>
            <w:r w:rsidRPr="001A02F7">
              <w:rPr>
                <w:rFonts w:eastAsia="Calibri"/>
                <w:b/>
                <w:noProof/>
                <w:sz w:val="20"/>
                <w:szCs w:val="20"/>
              </w:rPr>
              <w:t>B2C + B2B</w:t>
            </w:r>
          </w:p>
        </w:tc>
        <w:tc>
          <w:tcPr>
            <w:tcW w:w="1364" w:type="pct"/>
            <w:shd w:val="clear" w:color="auto" w:fill="DBE5F1" w:themeFill="accent1" w:themeFillTint="33"/>
            <w:noWrap/>
            <w:vAlign w:val="top"/>
            <w:hideMark/>
          </w:tcPr>
          <w:p w14:paraId="493C7465" w14:textId="77777777" w:rsidR="009E7922" w:rsidRPr="001A02F7" w:rsidRDefault="009E7922" w:rsidP="00ED6097">
            <w:pPr>
              <w:spacing w:after="0"/>
              <w:jc w:val="left"/>
              <w:rPr>
                <w:rFonts w:eastAsia="Calibri"/>
                <w:b/>
                <w:noProof/>
                <w:sz w:val="20"/>
                <w:szCs w:val="20"/>
              </w:rPr>
            </w:pPr>
            <w:r w:rsidRPr="001A02F7">
              <w:rPr>
                <w:rFonts w:eastAsia="Calibri"/>
                <w:b/>
                <w:noProof/>
                <w:sz w:val="20"/>
                <w:szCs w:val="20"/>
              </w:rPr>
              <w:t>Total</w:t>
            </w:r>
          </w:p>
        </w:tc>
        <w:tc>
          <w:tcPr>
            <w:tcW w:w="1439" w:type="pct"/>
            <w:shd w:val="clear" w:color="auto" w:fill="DBE5F1" w:themeFill="accent1" w:themeFillTint="33"/>
            <w:noWrap/>
            <w:vAlign w:val="top"/>
            <w:hideMark/>
          </w:tcPr>
          <w:p w14:paraId="2F4A1C43" w14:textId="3EE021DA" w:rsidR="009E7922" w:rsidRPr="001A02F7" w:rsidRDefault="009E7922" w:rsidP="005C052A">
            <w:pPr>
              <w:spacing w:after="0"/>
              <w:jc w:val="right"/>
              <w:rPr>
                <w:rFonts w:eastAsia="Calibri"/>
                <w:b/>
                <w:noProof/>
                <w:sz w:val="20"/>
                <w:szCs w:val="20"/>
              </w:rPr>
            </w:pPr>
            <w:r w:rsidRPr="001A02F7">
              <w:rPr>
                <w:b/>
                <w:noProof/>
                <w:color w:val="000000"/>
                <w:sz w:val="20"/>
                <w:szCs w:val="20"/>
              </w:rPr>
              <w:t xml:space="preserve">   364 </w:t>
            </w:r>
          </w:p>
        </w:tc>
        <w:tc>
          <w:tcPr>
            <w:tcW w:w="1287" w:type="pct"/>
            <w:shd w:val="clear" w:color="auto" w:fill="DBE5F1" w:themeFill="accent1" w:themeFillTint="33"/>
            <w:vAlign w:val="top"/>
          </w:tcPr>
          <w:p w14:paraId="492AFA73" w14:textId="77777777" w:rsidR="009E7922" w:rsidRPr="001A02F7" w:rsidRDefault="009E7922" w:rsidP="005C052A">
            <w:pPr>
              <w:spacing w:after="0"/>
              <w:jc w:val="right"/>
              <w:rPr>
                <w:b/>
                <w:noProof/>
                <w:color w:val="000000"/>
                <w:sz w:val="20"/>
                <w:szCs w:val="20"/>
              </w:rPr>
            </w:pPr>
            <w:r w:rsidRPr="001A02F7">
              <w:rPr>
                <w:noProof/>
                <w:sz w:val="20"/>
                <w:szCs w:val="20"/>
              </w:rPr>
              <w:t xml:space="preserve"> 189 </w:t>
            </w:r>
          </w:p>
        </w:tc>
      </w:tr>
    </w:tbl>
    <w:p w14:paraId="6DFABFC3" w14:textId="77777777" w:rsidR="009D4934" w:rsidRPr="00D71008" w:rsidRDefault="009D4934" w:rsidP="009D4934">
      <w:pPr>
        <w:tabs>
          <w:tab w:val="left" w:pos="2302"/>
        </w:tabs>
        <w:spacing w:after="240"/>
        <w:jc w:val="both"/>
        <w:rPr>
          <w:i/>
          <w:iCs/>
          <w:noProof/>
          <w:sz w:val="20"/>
          <w:szCs w:val="20"/>
        </w:rPr>
      </w:pPr>
      <w:r w:rsidRPr="00D71008">
        <w:rPr>
          <w:i/>
          <w:iCs/>
          <w:noProof/>
          <w:spacing w:val="-8"/>
          <w:sz w:val="20"/>
          <w:szCs w:val="20"/>
        </w:rPr>
        <w:t xml:space="preserve">Source: </w:t>
      </w:r>
      <w:r w:rsidRPr="00D71008">
        <w:rPr>
          <w:i/>
          <w:iCs/>
          <w:noProof/>
          <w:sz w:val="20"/>
          <w:szCs w:val="20"/>
        </w:rPr>
        <w:t>Ricardo et al. (2026), Impact assessment support study</w:t>
      </w:r>
    </w:p>
    <w:p w14:paraId="7F5398A5" w14:textId="7FA23186" w:rsidR="00121906" w:rsidRPr="000B6580" w:rsidRDefault="0093188E" w:rsidP="00882EEB">
      <w:pPr>
        <w:tabs>
          <w:tab w:val="left" w:pos="1134"/>
        </w:tabs>
        <w:spacing w:after="240"/>
        <w:jc w:val="both"/>
        <w:rPr>
          <w:noProof/>
          <w:spacing w:val="-8"/>
        </w:rPr>
      </w:pPr>
      <w:r w:rsidRPr="00882EEB">
        <w:rPr>
          <w:noProof/>
          <w:spacing w:val="-8"/>
        </w:rPr>
        <w:t>The deployment of MDMS platforms in the baseline is projected based on the assumed level of progress towards the number of platforms in a ‘mature market’, linked to the expansion of service coverage and service level. The ‘mature market’ represents the level that is expected to be reached as service deployment approaches full coverage. This is assumed to imply an increase in the number of platforms although it should be acknowledged that existing platforms could also improve their offerings, which could further lead to a consolidation towards a lower number of platforms.</w:t>
      </w:r>
    </w:p>
    <w:p w14:paraId="32EC2731" w14:textId="77777777" w:rsidR="002F6D96" w:rsidRPr="00882EEB" w:rsidRDefault="002F6D96" w:rsidP="002F6D96">
      <w:pPr>
        <w:spacing w:after="240"/>
        <w:jc w:val="both"/>
        <w:rPr>
          <w:rFonts w:cs="Arial"/>
          <w:noProof/>
          <w:spacing w:val="-8"/>
        </w:rPr>
      </w:pPr>
      <w:r w:rsidRPr="00882EEB">
        <w:rPr>
          <w:rFonts w:cs="Arial"/>
          <w:noProof/>
          <w:spacing w:val="-8"/>
        </w:rPr>
        <w:t>The description of a ‘mature market’ was derived based on the leader group. A ‘platforms per capita’ metric was calculated for the leader Member States, estimated by dividing the number of platforms available in each leader Member State by the population</w:t>
      </w:r>
      <w:r w:rsidRPr="00882EEB">
        <w:rPr>
          <w:rStyle w:val="FootnoteReference"/>
          <w:rFonts w:cs="Arial"/>
          <w:noProof/>
          <w:spacing w:val="-8"/>
        </w:rPr>
        <w:footnoteReference w:id="331"/>
      </w:r>
      <w:r w:rsidRPr="00882EEB">
        <w:rPr>
          <w:rFonts w:cs="Arial"/>
          <w:noProof/>
          <w:spacing w:val="-8"/>
        </w:rPr>
        <w:t>. A weighted average was then calculated across the leader Member States based on population, resulting in 2.25 platforms per million people. This metric is then applied to the population corresponding to the planned adopters’ and followers’ group to yield the total number of platforms expected in a ‘mature market’, namely 1,010.</w:t>
      </w:r>
    </w:p>
    <w:p w14:paraId="28A8603D" w14:textId="6FD77628" w:rsidR="002F6D96" w:rsidRPr="00BB05EB" w:rsidRDefault="002F6D96" w:rsidP="002F6D96">
      <w:pPr>
        <w:tabs>
          <w:tab w:val="left" w:pos="1134"/>
        </w:tabs>
        <w:rPr>
          <w:i/>
          <w:noProof/>
          <w:sz w:val="22"/>
          <w:szCs w:val="22"/>
        </w:rPr>
      </w:pPr>
      <w:r w:rsidRPr="00BB05EB">
        <w:rPr>
          <w:i/>
          <w:noProof/>
          <w:sz w:val="22"/>
          <w:szCs w:val="22"/>
        </w:rPr>
        <w:t xml:space="preserve">Table </w:t>
      </w:r>
      <w:r w:rsidRPr="00BB05EB">
        <w:rPr>
          <w:i/>
          <w:noProof/>
          <w:sz w:val="22"/>
          <w:szCs w:val="22"/>
        </w:rPr>
        <w:fldChar w:fldCharType="begin"/>
      </w:r>
      <w:r w:rsidRPr="00BB05EB">
        <w:rPr>
          <w:bCs/>
          <w:i/>
          <w:iCs/>
          <w:noProof/>
          <w:sz w:val="22"/>
          <w:szCs w:val="22"/>
        </w:rPr>
        <w:instrText xml:space="preserve"> SEQ Table \* ARABIC </w:instrText>
      </w:r>
      <w:r w:rsidRPr="00BB05EB">
        <w:rPr>
          <w:i/>
          <w:noProof/>
          <w:sz w:val="22"/>
          <w:szCs w:val="22"/>
        </w:rPr>
        <w:fldChar w:fldCharType="separate"/>
      </w:r>
      <w:r w:rsidR="0055391F">
        <w:rPr>
          <w:bCs/>
          <w:i/>
          <w:iCs/>
          <w:noProof/>
          <w:sz w:val="22"/>
          <w:szCs w:val="22"/>
        </w:rPr>
        <w:t>53</w:t>
      </w:r>
      <w:r w:rsidRPr="00BB05EB">
        <w:rPr>
          <w:i/>
          <w:noProof/>
          <w:sz w:val="22"/>
          <w:szCs w:val="22"/>
        </w:rPr>
        <w:fldChar w:fldCharType="end"/>
      </w:r>
      <w:r w:rsidRPr="00BB05EB">
        <w:rPr>
          <w:i/>
          <w:noProof/>
          <w:sz w:val="22"/>
          <w:szCs w:val="22"/>
        </w:rPr>
        <w:t>: Number MDMS platforms by grouping in a ‘mature market’</w:t>
      </w:r>
    </w:p>
    <w:tbl>
      <w:tblPr>
        <w:tblStyle w:val="Ricardo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7"/>
        <w:gridCol w:w="2652"/>
        <w:gridCol w:w="2652"/>
        <w:gridCol w:w="2652"/>
      </w:tblGrid>
      <w:tr w:rsidR="002F6D96" w:rsidRPr="00C57961" w14:paraId="53E6B457" w14:textId="77777777" w:rsidTr="007B74DA">
        <w:trPr>
          <w:cnfStyle w:val="100000000000" w:firstRow="1" w:lastRow="0" w:firstColumn="0" w:lastColumn="0" w:oddVBand="0" w:evenVBand="0" w:oddHBand="0" w:evenHBand="0" w:firstRowFirstColumn="0" w:firstRowLastColumn="0" w:lastRowFirstColumn="0" w:lastRowLastColumn="0"/>
          <w:trHeight w:val="560"/>
        </w:trPr>
        <w:tc>
          <w:tcPr>
            <w:tcW w:w="857" w:type="pct"/>
            <w:shd w:val="clear" w:color="auto" w:fill="0070C0"/>
            <w:noWrap/>
            <w:vAlign w:val="top"/>
            <w:hideMark/>
          </w:tcPr>
          <w:p w14:paraId="5E80CB0A" w14:textId="77777777" w:rsidR="002F6D96" w:rsidRPr="005C7E68" w:rsidRDefault="002F6D96" w:rsidP="009C3A99">
            <w:pPr>
              <w:spacing w:before="0" w:after="0"/>
              <w:rPr>
                <w:rFonts w:cs="Arial"/>
                <w:noProof/>
                <w:sz w:val="20"/>
                <w:szCs w:val="20"/>
              </w:rPr>
            </w:pPr>
            <w:r w:rsidRPr="005C7E68">
              <w:rPr>
                <w:rFonts w:cs="Arial"/>
                <w:noProof/>
                <w:sz w:val="20"/>
                <w:szCs w:val="20"/>
              </w:rPr>
              <w:t>Grouping</w:t>
            </w:r>
          </w:p>
        </w:tc>
        <w:tc>
          <w:tcPr>
            <w:tcW w:w="1381" w:type="pct"/>
            <w:shd w:val="clear" w:color="auto" w:fill="0070C0"/>
            <w:vAlign w:val="top"/>
          </w:tcPr>
          <w:p w14:paraId="0DFA3865" w14:textId="77777777" w:rsidR="002F6D96" w:rsidRPr="005C7E68" w:rsidRDefault="002F6D96" w:rsidP="009C3A99">
            <w:pPr>
              <w:spacing w:before="0" w:after="0"/>
              <w:jc w:val="center"/>
              <w:rPr>
                <w:rFonts w:cs="Arial"/>
                <w:noProof/>
                <w:sz w:val="20"/>
                <w:szCs w:val="20"/>
              </w:rPr>
            </w:pPr>
            <w:r w:rsidRPr="005C7E68">
              <w:rPr>
                <w:rFonts w:cs="Arial"/>
                <w:noProof/>
                <w:sz w:val="20"/>
                <w:szCs w:val="20"/>
              </w:rPr>
              <w:t>Assumed number of platforms per million capita in a ‘mature market’</w:t>
            </w:r>
          </w:p>
        </w:tc>
        <w:tc>
          <w:tcPr>
            <w:tcW w:w="1381" w:type="pct"/>
            <w:shd w:val="clear" w:color="auto" w:fill="0070C0"/>
            <w:vAlign w:val="top"/>
          </w:tcPr>
          <w:p w14:paraId="53523489" w14:textId="77777777" w:rsidR="002F6D96" w:rsidRPr="005C7E68" w:rsidRDefault="002F6D96" w:rsidP="009C3A99">
            <w:pPr>
              <w:spacing w:before="0" w:after="0"/>
              <w:jc w:val="center"/>
              <w:rPr>
                <w:rFonts w:cs="Arial"/>
                <w:noProof/>
                <w:sz w:val="20"/>
                <w:szCs w:val="20"/>
              </w:rPr>
            </w:pPr>
            <w:r w:rsidRPr="005C7E68">
              <w:rPr>
                <w:rFonts w:cs="Arial"/>
                <w:noProof/>
                <w:sz w:val="20"/>
                <w:szCs w:val="20"/>
              </w:rPr>
              <w:t>Total population (million)</w:t>
            </w:r>
          </w:p>
        </w:tc>
        <w:tc>
          <w:tcPr>
            <w:tcW w:w="1381" w:type="pct"/>
            <w:shd w:val="clear" w:color="auto" w:fill="0070C0"/>
            <w:noWrap/>
            <w:vAlign w:val="top"/>
            <w:hideMark/>
          </w:tcPr>
          <w:p w14:paraId="13B64E4E" w14:textId="77777777" w:rsidR="002F6D96" w:rsidRPr="005C7E68" w:rsidRDefault="002F6D96" w:rsidP="009C3A99">
            <w:pPr>
              <w:spacing w:before="0" w:after="0"/>
              <w:jc w:val="center"/>
              <w:rPr>
                <w:rFonts w:cs="Arial"/>
                <w:noProof/>
                <w:sz w:val="20"/>
                <w:szCs w:val="20"/>
              </w:rPr>
            </w:pPr>
            <w:r w:rsidRPr="005C7E68">
              <w:rPr>
                <w:rFonts w:cs="Arial"/>
                <w:noProof/>
                <w:sz w:val="20"/>
                <w:szCs w:val="20"/>
              </w:rPr>
              <w:t>Estimated number of platforms in the EU27 assuming a ‘mature market’</w:t>
            </w:r>
          </w:p>
        </w:tc>
      </w:tr>
      <w:tr w:rsidR="002F6D96" w:rsidRPr="00C57961" w14:paraId="70A1A665" w14:textId="77777777" w:rsidTr="007B74DA">
        <w:trPr>
          <w:trHeight w:val="327"/>
        </w:trPr>
        <w:tc>
          <w:tcPr>
            <w:tcW w:w="857" w:type="pct"/>
            <w:noWrap/>
            <w:vAlign w:val="top"/>
            <w:hideMark/>
          </w:tcPr>
          <w:p w14:paraId="54A15BAD" w14:textId="77777777" w:rsidR="002F6D96" w:rsidRPr="005C7E68" w:rsidRDefault="002F6D96" w:rsidP="009C3A99">
            <w:pPr>
              <w:spacing w:before="0" w:after="0"/>
              <w:jc w:val="left"/>
              <w:rPr>
                <w:rFonts w:cs="Arial"/>
                <w:noProof/>
                <w:sz w:val="20"/>
                <w:szCs w:val="20"/>
              </w:rPr>
            </w:pPr>
            <w:r w:rsidRPr="005C7E68">
              <w:rPr>
                <w:rFonts w:cs="Arial"/>
                <w:noProof/>
                <w:sz w:val="20"/>
                <w:szCs w:val="20"/>
              </w:rPr>
              <w:t>Leaders</w:t>
            </w:r>
          </w:p>
        </w:tc>
        <w:tc>
          <w:tcPr>
            <w:tcW w:w="1381" w:type="pct"/>
            <w:vAlign w:val="top"/>
          </w:tcPr>
          <w:p w14:paraId="4D46CF2B" w14:textId="77777777" w:rsidR="002F6D96" w:rsidRPr="005C7E68" w:rsidRDefault="002F6D96" w:rsidP="009C3A99">
            <w:pPr>
              <w:spacing w:before="0" w:after="0"/>
              <w:jc w:val="center"/>
              <w:rPr>
                <w:rFonts w:cs="Arial"/>
                <w:noProof/>
                <w:sz w:val="20"/>
                <w:szCs w:val="20"/>
              </w:rPr>
            </w:pPr>
            <w:r w:rsidRPr="005C7E68">
              <w:rPr>
                <w:rFonts w:cs="Arial"/>
                <w:noProof/>
                <w:sz w:val="20"/>
                <w:szCs w:val="20"/>
              </w:rPr>
              <w:t>2.25</w:t>
            </w:r>
          </w:p>
        </w:tc>
        <w:tc>
          <w:tcPr>
            <w:tcW w:w="1381" w:type="pct"/>
            <w:vAlign w:val="top"/>
          </w:tcPr>
          <w:p w14:paraId="30867DDD" w14:textId="77777777" w:rsidR="002F6D96" w:rsidRPr="005C7E68" w:rsidDel="008C48E6" w:rsidRDefault="002F6D96" w:rsidP="009C3A99">
            <w:pPr>
              <w:spacing w:before="0" w:after="0"/>
              <w:jc w:val="center"/>
              <w:rPr>
                <w:rFonts w:cs="Arial"/>
                <w:noProof/>
                <w:color w:val="000000"/>
                <w:sz w:val="20"/>
                <w:szCs w:val="20"/>
              </w:rPr>
            </w:pPr>
            <w:r w:rsidRPr="005C7E68">
              <w:rPr>
                <w:rFonts w:cs="Arial"/>
                <w:noProof/>
                <w:color w:val="000000"/>
                <w:sz w:val="20"/>
                <w:szCs w:val="20"/>
              </w:rPr>
              <w:t>171.4</w:t>
            </w:r>
          </w:p>
        </w:tc>
        <w:tc>
          <w:tcPr>
            <w:tcW w:w="1381" w:type="pct"/>
            <w:noWrap/>
            <w:vAlign w:val="top"/>
          </w:tcPr>
          <w:p w14:paraId="32974793" w14:textId="77777777" w:rsidR="002F6D96" w:rsidRPr="005C7E68" w:rsidRDefault="002F6D96" w:rsidP="009C3A99">
            <w:pPr>
              <w:spacing w:before="0" w:after="0"/>
              <w:jc w:val="center"/>
              <w:rPr>
                <w:rFonts w:cs="Arial"/>
                <w:noProof/>
                <w:color w:val="000000"/>
                <w:sz w:val="20"/>
                <w:szCs w:val="20"/>
              </w:rPr>
            </w:pPr>
            <w:r w:rsidRPr="005C7E68">
              <w:rPr>
                <w:noProof/>
                <w:sz w:val="20"/>
                <w:szCs w:val="20"/>
              </w:rPr>
              <w:t>385</w:t>
            </w:r>
          </w:p>
        </w:tc>
      </w:tr>
      <w:tr w:rsidR="002F6D96" w:rsidRPr="00C57961" w14:paraId="1E818FB4" w14:textId="77777777" w:rsidTr="007B74DA">
        <w:trPr>
          <w:trHeight w:val="327"/>
        </w:trPr>
        <w:tc>
          <w:tcPr>
            <w:tcW w:w="857" w:type="pct"/>
            <w:noWrap/>
            <w:vAlign w:val="top"/>
            <w:hideMark/>
          </w:tcPr>
          <w:p w14:paraId="04796249" w14:textId="77777777" w:rsidR="002F6D96" w:rsidRPr="005C7E68" w:rsidRDefault="002F6D96" w:rsidP="009C3A99">
            <w:pPr>
              <w:spacing w:before="0" w:after="0"/>
              <w:jc w:val="left"/>
              <w:rPr>
                <w:rFonts w:cs="Arial"/>
                <w:noProof/>
                <w:sz w:val="20"/>
                <w:szCs w:val="20"/>
              </w:rPr>
            </w:pPr>
            <w:r w:rsidRPr="005C7E68">
              <w:rPr>
                <w:rFonts w:cs="Arial"/>
                <w:noProof/>
                <w:sz w:val="20"/>
                <w:szCs w:val="20"/>
              </w:rPr>
              <w:t>Planned Adopters</w:t>
            </w:r>
          </w:p>
        </w:tc>
        <w:tc>
          <w:tcPr>
            <w:tcW w:w="1381" w:type="pct"/>
            <w:vAlign w:val="top"/>
          </w:tcPr>
          <w:p w14:paraId="3FBC4C15" w14:textId="77777777" w:rsidR="002F6D96" w:rsidRPr="005C7E68" w:rsidRDefault="002F6D96" w:rsidP="009C3A99">
            <w:pPr>
              <w:spacing w:before="0" w:after="0"/>
              <w:jc w:val="center"/>
              <w:rPr>
                <w:rFonts w:cs="Arial"/>
                <w:noProof/>
                <w:sz w:val="20"/>
                <w:szCs w:val="20"/>
              </w:rPr>
            </w:pPr>
            <w:r w:rsidRPr="005C7E68">
              <w:rPr>
                <w:noProof/>
                <w:sz w:val="20"/>
                <w:szCs w:val="20"/>
              </w:rPr>
              <w:t>2.25</w:t>
            </w:r>
          </w:p>
        </w:tc>
        <w:tc>
          <w:tcPr>
            <w:tcW w:w="1381" w:type="pct"/>
            <w:vAlign w:val="top"/>
          </w:tcPr>
          <w:p w14:paraId="35BF98FF" w14:textId="77777777" w:rsidR="002F6D96" w:rsidRPr="005C7E68" w:rsidDel="008C48E6" w:rsidRDefault="002F6D96" w:rsidP="009C3A99">
            <w:pPr>
              <w:spacing w:before="0" w:after="0"/>
              <w:jc w:val="center"/>
              <w:rPr>
                <w:rFonts w:cs="Arial"/>
                <w:noProof/>
                <w:color w:val="000000"/>
                <w:sz w:val="20"/>
                <w:szCs w:val="20"/>
              </w:rPr>
            </w:pPr>
            <w:r w:rsidRPr="005C7E68">
              <w:rPr>
                <w:rFonts w:cs="Arial"/>
                <w:noProof/>
                <w:color w:val="000000"/>
                <w:sz w:val="20"/>
                <w:szCs w:val="20"/>
              </w:rPr>
              <w:t>206.3</w:t>
            </w:r>
          </w:p>
        </w:tc>
        <w:tc>
          <w:tcPr>
            <w:tcW w:w="1381" w:type="pct"/>
            <w:noWrap/>
            <w:vAlign w:val="top"/>
          </w:tcPr>
          <w:p w14:paraId="125D4089" w14:textId="77777777" w:rsidR="002F6D96" w:rsidRPr="005C7E68" w:rsidRDefault="002F6D96" w:rsidP="009C3A99">
            <w:pPr>
              <w:spacing w:before="0" w:after="0"/>
              <w:jc w:val="center"/>
              <w:rPr>
                <w:rFonts w:cs="Arial"/>
                <w:noProof/>
                <w:color w:val="000000"/>
                <w:sz w:val="20"/>
                <w:szCs w:val="20"/>
              </w:rPr>
            </w:pPr>
            <w:r w:rsidRPr="005C7E68">
              <w:rPr>
                <w:noProof/>
                <w:sz w:val="20"/>
                <w:szCs w:val="20"/>
              </w:rPr>
              <w:t>464</w:t>
            </w:r>
          </w:p>
        </w:tc>
      </w:tr>
      <w:tr w:rsidR="002F6D96" w:rsidRPr="00C57961" w14:paraId="07297F93" w14:textId="77777777" w:rsidTr="007B74DA">
        <w:trPr>
          <w:trHeight w:val="327"/>
        </w:trPr>
        <w:tc>
          <w:tcPr>
            <w:tcW w:w="857" w:type="pct"/>
            <w:tcBorders>
              <w:bottom w:val="single" w:sz="4" w:space="0" w:color="auto"/>
            </w:tcBorders>
            <w:noWrap/>
            <w:vAlign w:val="top"/>
            <w:hideMark/>
          </w:tcPr>
          <w:p w14:paraId="6B72AE40" w14:textId="77777777" w:rsidR="002F6D96" w:rsidRPr="005C7E68" w:rsidRDefault="002F6D96" w:rsidP="009C3A99">
            <w:pPr>
              <w:spacing w:before="0" w:after="0"/>
              <w:jc w:val="left"/>
              <w:rPr>
                <w:rFonts w:cs="Arial"/>
                <w:noProof/>
                <w:sz w:val="20"/>
                <w:szCs w:val="20"/>
              </w:rPr>
            </w:pPr>
            <w:r w:rsidRPr="005C7E68">
              <w:rPr>
                <w:rFonts w:cs="Arial"/>
                <w:noProof/>
                <w:sz w:val="20"/>
                <w:szCs w:val="20"/>
              </w:rPr>
              <w:t>Followers</w:t>
            </w:r>
          </w:p>
        </w:tc>
        <w:tc>
          <w:tcPr>
            <w:tcW w:w="1381" w:type="pct"/>
            <w:tcBorders>
              <w:bottom w:val="single" w:sz="4" w:space="0" w:color="auto"/>
            </w:tcBorders>
            <w:vAlign w:val="top"/>
          </w:tcPr>
          <w:p w14:paraId="2993C07E" w14:textId="77777777" w:rsidR="002F6D96" w:rsidRPr="005C7E68" w:rsidRDefault="002F6D96" w:rsidP="009C3A99">
            <w:pPr>
              <w:spacing w:before="0" w:after="0"/>
              <w:jc w:val="center"/>
              <w:rPr>
                <w:rFonts w:cs="Arial"/>
                <w:noProof/>
                <w:sz w:val="20"/>
                <w:szCs w:val="20"/>
              </w:rPr>
            </w:pPr>
            <w:r w:rsidRPr="005C7E68">
              <w:rPr>
                <w:noProof/>
                <w:sz w:val="20"/>
                <w:szCs w:val="20"/>
              </w:rPr>
              <w:t>2.25</w:t>
            </w:r>
          </w:p>
        </w:tc>
        <w:tc>
          <w:tcPr>
            <w:tcW w:w="1381" w:type="pct"/>
            <w:tcBorders>
              <w:bottom w:val="single" w:sz="4" w:space="0" w:color="auto"/>
            </w:tcBorders>
            <w:vAlign w:val="top"/>
          </w:tcPr>
          <w:p w14:paraId="244C6356" w14:textId="77777777" w:rsidR="002F6D96" w:rsidRPr="005C7E68" w:rsidRDefault="002F6D96" w:rsidP="009C3A99">
            <w:pPr>
              <w:spacing w:before="0" w:after="0"/>
              <w:jc w:val="center"/>
              <w:rPr>
                <w:rFonts w:cs="Arial"/>
                <w:noProof/>
                <w:color w:val="000000"/>
                <w:sz w:val="20"/>
                <w:szCs w:val="20"/>
              </w:rPr>
            </w:pPr>
            <w:r w:rsidRPr="005C7E68">
              <w:rPr>
                <w:rFonts w:cs="Arial"/>
                <w:noProof/>
                <w:color w:val="000000"/>
                <w:sz w:val="20"/>
                <w:szCs w:val="20"/>
              </w:rPr>
              <w:t>71.6</w:t>
            </w:r>
          </w:p>
        </w:tc>
        <w:tc>
          <w:tcPr>
            <w:tcW w:w="1381" w:type="pct"/>
            <w:tcBorders>
              <w:bottom w:val="single" w:sz="4" w:space="0" w:color="auto"/>
            </w:tcBorders>
            <w:noWrap/>
            <w:vAlign w:val="top"/>
          </w:tcPr>
          <w:p w14:paraId="218BB19C" w14:textId="77777777" w:rsidR="002F6D96" w:rsidRPr="005C7E68" w:rsidRDefault="002F6D96" w:rsidP="009C3A99">
            <w:pPr>
              <w:spacing w:before="0" w:after="0"/>
              <w:jc w:val="center"/>
              <w:rPr>
                <w:rFonts w:cs="Arial"/>
                <w:noProof/>
                <w:color w:val="000000"/>
                <w:sz w:val="20"/>
                <w:szCs w:val="20"/>
              </w:rPr>
            </w:pPr>
            <w:r w:rsidRPr="005C7E68">
              <w:rPr>
                <w:noProof/>
                <w:sz w:val="20"/>
                <w:szCs w:val="20"/>
              </w:rPr>
              <w:t>161</w:t>
            </w:r>
          </w:p>
        </w:tc>
      </w:tr>
      <w:tr w:rsidR="002F6D96" w:rsidRPr="00C57961" w14:paraId="6204E933" w14:textId="77777777" w:rsidTr="007B74DA">
        <w:trPr>
          <w:trHeight w:val="327"/>
        </w:trPr>
        <w:tc>
          <w:tcPr>
            <w:tcW w:w="857" w:type="pct"/>
            <w:shd w:val="clear" w:color="auto" w:fill="FFFFFF" w:themeFill="background1"/>
            <w:noWrap/>
            <w:vAlign w:val="top"/>
          </w:tcPr>
          <w:p w14:paraId="5E0FCBF8" w14:textId="77777777" w:rsidR="002F6D96" w:rsidRPr="005C7E68" w:rsidRDefault="002F6D96" w:rsidP="009C3A99">
            <w:pPr>
              <w:spacing w:before="0" w:after="0"/>
              <w:jc w:val="left"/>
              <w:rPr>
                <w:rFonts w:cs="Arial"/>
                <w:b/>
                <w:noProof/>
                <w:sz w:val="20"/>
                <w:szCs w:val="20"/>
              </w:rPr>
            </w:pPr>
            <w:r w:rsidRPr="005C7E68">
              <w:rPr>
                <w:rFonts w:cs="Arial"/>
                <w:b/>
                <w:noProof/>
                <w:sz w:val="20"/>
                <w:szCs w:val="20"/>
              </w:rPr>
              <w:t>Total</w:t>
            </w:r>
          </w:p>
        </w:tc>
        <w:tc>
          <w:tcPr>
            <w:tcW w:w="1381" w:type="pct"/>
            <w:shd w:val="clear" w:color="auto" w:fill="FFFFFF" w:themeFill="background1"/>
            <w:vAlign w:val="top"/>
          </w:tcPr>
          <w:p w14:paraId="1F10D152" w14:textId="77777777" w:rsidR="002F6D96" w:rsidRPr="005C7E68" w:rsidDel="008C48E6" w:rsidRDefault="002F6D96" w:rsidP="009C3A99">
            <w:pPr>
              <w:spacing w:before="0" w:after="0"/>
              <w:jc w:val="center"/>
              <w:rPr>
                <w:rFonts w:cs="Arial"/>
                <w:b/>
                <w:noProof/>
                <w:sz w:val="20"/>
                <w:szCs w:val="20"/>
              </w:rPr>
            </w:pPr>
            <w:r w:rsidRPr="005C7E68">
              <w:rPr>
                <w:noProof/>
                <w:sz w:val="20"/>
                <w:szCs w:val="20"/>
              </w:rPr>
              <w:t>2.25</w:t>
            </w:r>
          </w:p>
        </w:tc>
        <w:tc>
          <w:tcPr>
            <w:tcW w:w="1381" w:type="pct"/>
            <w:shd w:val="clear" w:color="auto" w:fill="FFFFFF" w:themeFill="background1"/>
            <w:vAlign w:val="top"/>
          </w:tcPr>
          <w:p w14:paraId="633B03AA" w14:textId="77777777" w:rsidR="002F6D96" w:rsidRPr="005C7E68" w:rsidRDefault="002F6D96" w:rsidP="009C3A99">
            <w:pPr>
              <w:spacing w:before="0" w:after="0"/>
              <w:jc w:val="center"/>
              <w:rPr>
                <w:rFonts w:cs="Arial"/>
                <w:b/>
                <w:noProof/>
                <w:color w:val="000000"/>
                <w:sz w:val="20"/>
                <w:szCs w:val="20"/>
              </w:rPr>
            </w:pPr>
            <w:r w:rsidRPr="005C7E68">
              <w:rPr>
                <w:rFonts w:cs="Arial"/>
                <w:b/>
                <w:noProof/>
                <w:color w:val="000000"/>
                <w:sz w:val="20"/>
                <w:szCs w:val="20"/>
              </w:rPr>
              <w:t>449.3</w:t>
            </w:r>
          </w:p>
        </w:tc>
        <w:tc>
          <w:tcPr>
            <w:tcW w:w="1381" w:type="pct"/>
            <w:shd w:val="clear" w:color="auto" w:fill="FFFFFF" w:themeFill="background1"/>
            <w:noWrap/>
            <w:vAlign w:val="top"/>
          </w:tcPr>
          <w:p w14:paraId="6A087888" w14:textId="77777777" w:rsidR="002F6D96" w:rsidRPr="005C7E68" w:rsidRDefault="002F6D96" w:rsidP="009C3A99">
            <w:pPr>
              <w:spacing w:before="0" w:after="0"/>
              <w:jc w:val="center"/>
              <w:rPr>
                <w:rFonts w:cs="Arial"/>
                <w:b/>
                <w:noProof/>
                <w:color w:val="000000"/>
                <w:sz w:val="20"/>
                <w:szCs w:val="20"/>
              </w:rPr>
            </w:pPr>
            <w:r w:rsidRPr="005C7E68">
              <w:rPr>
                <w:noProof/>
                <w:sz w:val="20"/>
                <w:szCs w:val="20"/>
              </w:rPr>
              <w:t>1,010</w:t>
            </w:r>
          </w:p>
        </w:tc>
      </w:tr>
    </w:tbl>
    <w:p w14:paraId="5B2E3512" w14:textId="77777777" w:rsidR="000F289B" w:rsidRPr="00D71008" w:rsidRDefault="000F289B" w:rsidP="000F289B">
      <w:pPr>
        <w:tabs>
          <w:tab w:val="left" w:pos="2302"/>
        </w:tabs>
        <w:spacing w:after="240"/>
        <w:jc w:val="both"/>
        <w:rPr>
          <w:i/>
          <w:iCs/>
          <w:noProof/>
          <w:sz w:val="20"/>
          <w:szCs w:val="20"/>
        </w:rPr>
      </w:pPr>
      <w:r w:rsidRPr="00D71008">
        <w:rPr>
          <w:i/>
          <w:iCs/>
          <w:noProof/>
          <w:spacing w:val="-8"/>
          <w:sz w:val="20"/>
          <w:szCs w:val="20"/>
        </w:rPr>
        <w:t xml:space="preserve">Source: </w:t>
      </w:r>
      <w:r w:rsidRPr="00D71008">
        <w:rPr>
          <w:i/>
          <w:iCs/>
          <w:noProof/>
          <w:sz w:val="20"/>
          <w:szCs w:val="20"/>
        </w:rPr>
        <w:t>Ricardo et al. (2026), Impact assessment support study</w:t>
      </w:r>
    </w:p>
    <w:p w14:paraId="4BCE2A15" w14:textId="77777777" w:rsidR="000D0664" w:rsidRPr="000B6580" w:rsidRDefault="000D0664" w:rsidP="000D0664">
      <w:pPr>
        <w:spacing w:after="240"/>
        <w:jc w:val="both"/>
        <w:rPr>
          <w:rFonts w:eastAsia="Calibri" w:cs="Arial"/>
          <w:noProof/>
          <w:spacing w:val="-8"/>
        </w:rPr>
      </w:pPr>
      <w:r w:rsidRPr="007B2290">
        <w:rPr>
          <w:rFonts w:eastAsia="Calibri" w:cs="Arial"/>
          <w:noProof/>
          <w:spacing w:val="-8"/>
        </w:rPr>
        <w:t xml:space="preserve">The development in the baseline for each grouping is linked in the calculations to the projection of services deployment calculated in the MPA module. </w:t>
      </w:r>
      <w:r w:rsidRPr="007B2290">
        <w:rPr>
          <w:noProof/>
          <w:spacing w:val="-8"/>
        </w:rPr>
        <w:t>The</w:t>
      </w:r>
      <w:r w:rsidRPr="000B6580">
        <w:rPr>
          <w:noProof/>
          <w:spacing w:val="-8"/>
        </w:rPr>
        <w:t xml:space="preserve"> identified qualitative parameters (QPs), which are weighted in terms of their contribution, </w:t>
      </w:r>
      <w:r w:rsidRPr="007B2290">
        <w:rPr>
          <w:noProof/>
          <w:spacing w:val="-8"/>
        </w:rPr>
        <w:t xml:space="preserve">are used </w:t>
      </w:r>
      <w:r w:rsidRPr="000B6580">
        <w:rPr>
          <w:noProof/>
          <w:spacing w:val="-8"/>
        </w:rPr>
        <w:t xml:space="preserve">to </w:t>
      </w:r>
      <w:r w:rsidRPr="007B2290">
        <w:rPr>
          <w:rFonts w:eastAsia="Calibri" w:cs="Arial"/>
          <w:noProof/>
          <w:spacing w:val="-8"/>
        </w:rPr>
        <w:t>project service coverage</w:t>
      </w:r>
      <w:r w:rsidRPr="007B2290">
        <w:rPr>
          <w:noProof/>
          <w:spacing w:val="-8"/>
        </w:rPr>
        <w:t xml:space="preserve"> and </w:t>
      </w:r>
      <w:r w:rsidRPr="000B6580">
        <w:rPr>
          <w:noProof/>
          <w:spacing w:val="-8"/>
        </w:rPr>
        <w:t xml:space="preserve">estimate the progress towards the number of MDMS platforms in a ‘mature market’. </w:t>
      </w:r>
      <w:r w:rsidRPr="000B6580">
        <w:rPr>
          <w:rFonts w:eastAsia="Calibri" w:cs="Arial"/>
          <w:noProof/>
          <w:spacing w:val="-8"/>
        </w:rPr>
        <w:t xml:space="preserve">The logic for the baseline scoring within the MPA is explained in the table below. </w:t>
      </w:r>
    </w:p>
    <w:p w14:paraId="10E59265" w14:textId="5305FBC1" w:rsidR="00FD101F" w:rsidRPr="00BB05EB" w:rsidRDefault="00FD101F" w:rsidP="00FD101F">
      <w:pPr>
        <w:tabs>
          <w:tab w:val="left" w:pos="1134"/>
        </w:tabs>
        <w:jc w:val="both"/>
        <w:rPr>
          <w:bCs/>
          <w:i/>
          <w:iCs/>
          <w:noProof/>
          <w:sz w:val="22"/>
          <w:szCs w:val="22"/>
        </w:rPr>
      </w:pPr>
      <w:r w:rsidRPr="00BB05EB">
        <w:rPr>
          <w:bCs/>
          <w:i/>
          <w:iCs/>
          <w:noProof/>
          <w:sz w:val="22"/>
          <w:szCs w:val="22"/>
        </w:rPr>
        <w:t xml:space="preserve">Table </w:t>
      </w:r>
      <w:r w:rsidRPr="00BB05EB">
        <w:rPr>
          <w:bCs/>
          <w:i/>
          <w:iCs/>
          <w:noProof/>
          <w:sz w:val="22"/>
          <w:szCs w:val="22"/>
        </w:rPr>
        <w:fldChar w:fldCharType="begin"/>
      </w:r>
      <w:r w:rsidRPr="00BB05EB">
        <w:rPr>
          <w:bCs/>
          <w:i/>
          <w:iCs/>
          <w:noProof/>
          <w:sz w:val="22"/>
          <w:szCs w:val="22"/>
        </w:rPr>
        <w:instrText xml:space="preserve"> SEQ Table \* ARABIC </w:instrText>
      </w:r>
      <w:r w:rsidRPr="00BB05EB">
        <w:rPr>
          <w:bCs/>
          <w:i/>
          <w:iCs/>
          <w:noProof/>
          <w:sz w:val="22"/>
          <w:szCs w:val="22"/>
        </w:rPr>
        <w:fldChar w:fldCharType="separate"/>
      </w:r>
      <w:r w:rsidR="0055391F">
        <w:rPr>
          <w:bCs/>
          <w:i/>
          <w:iCs/>
          <w:noProof/>
          <w:sz w:val="22"/>
          <w:szCs w:val="22"/>
        </w:rPr>
        <w:t>54</w:t>
      </w:r>
      <w:r w:rsidRPr="00BB05EB">
        <w:rPr>
          <w:bCs/>
          <w:i/>
          <w:iCs/>
          <w:noProof/>
          <w:sz w:val="22"/>
          <w:szCs w:val="22"/>
        </w:rPr>
        <w:fldChar w:fldCharType="end"/>
      </w:r>
      <w:r w:rsidRPr="00BB05EB">
        <w:rPr>
          <w:bCs/>
          <w:i/>
          <w:iCs/>
          <w:noProof/>
          <w:sz w:val="22"/>
          <w:szCs w:val="22"/>
        </w:rPr>
        <w:t xml:space="preserve">: </w:t>
      </w:r>
      <w:r w:rsidR="00C0504C" w:rsidRPr="00BB05EB">
        <w:rPr>
          <w:bCs/>
          <w:i/>
          <w:iCs/>
          <w:noProof/>
          <w:sz w:val="22"/>
          <w:szCs w:val="22"/>
        </w:rPr>
        <w:t xml:space="preserve">Qualitative parameters </w:t>
      </w:r>
      <w:r w:rsidRPr="00BB05EB">
        <w:rPr>
          <w:bCs/>
          <w:i/>
          <w:iCs/>
          <w:noProof/>
          <w:sz w:val="22"/>
          <w:szCs w:val="22"/>
        </w:rPr>
        <w:t xml:space="preserve">scoring logic withing the MPA for the evolution of number of MDMS platforms in the baseline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988"/>
        <w:gridCol w:w="8615"/>
      </w:tblGrid>
      <w:tr w:rsidR="00FD101F" w:rsidRPr="00FD101F" w14:paraId="7C1FB2C9" w14:textId="77777777" w:rsidTr="00904416">
        <w:trPr>
          <w:trHeight w:val="300"/>
          <w:tblHeader/>
        </w:trPr>
        <w:tc>
          <w:tcPr>
            <w:tcW w:w="988" w:type="dxa"/>
            <w:shd w:val="clear" w:color="auto" w:fill="0070C0"/>
          </w:tcPr>
          <w:p w14:paraId="522DF96B" w14:textId="77777777" w:rsidR="00FD101F" w:rsidRPr="00FD101F" w:rsidRDefault="00FD101F" w:rsidP="003E0F56">
            <w:pPr>
              <w:rPr>
                <w:b/>
                <w:bCs/>
                <w:noProof/>
                <w:color w:val="FFFFFF" w:themeColor="background1"/>
                <w:sz w:val="20"/>
                <w:szCs w:val="20"/>
              </w:rPr>
            </w:pPr>
          </w:p>
        </w:tc>
        <w:tc>
          <w:tcPr>
            <w:tcW w:w="8615" w:type="dxa"/>
            <w:shd w:val="clear" w:color="auto" w:fill="0070C0"/>
          </w:tcPr>
          <w:p w14:paraId="48C657B6" w14:textId="54C2722F" w:rsidR="00FD101F" w:rsidRPr="00FD101F" w:rsidRDefault="00FD101F" w:rsidP="000572C3">
            <w:pPr>
              <w:jc w:val="both"/>
              <w:rPr>
                <w:b/>
                <w:bCs/>
                <w:noProof/>
                <w:color w:val="FFFFFF" w:themeColor="background1"/>
                <w:sz w:val="20"/>
                <w:szCs w:val="20"/>
              </w:rPr>
            </w:pPr>
            <w:r w:rsidRPr="00FD101F">
              <w:rPr>
                <w:b/>
                <w:bCs/>
                <w:noProof/>
                <w:color w:val="FFFFFF" w:themeColor="background1"/>
                <w:sz w:val="20"/>
                <w:szCs w:val="20"/>
              </w:rPr>
              <w:t xml:space="preserve">Logic for impact on </w:t>
            </w:r>
            <w:r w:rsidR="00904416">
              <w:rPr>
                <w:b/>
                <w:bCs/>
                <w:noProof/>
                <w:color w:val="FFFFFF" w:themeColor="background1"/>
                <w:sz w:val="20"/>
                <w:szCs w:val="20"/>
              </w:rPr>
              <w:t xml:space="preserve">qualitative parameters </w:t>
            </w:r>
            <w:r w:rsidR="00C0504C">
              <w:rPr>
                <w:b/>
                <w:bCs/>
                <w:noProof/>
                <w:color w:val="FFFFFF" w:themeColor="background1"/>
                <w:sz w:val="20"/>
                <w:szCs w:val="20"/>
              </w:rPr>
              <w:t>(</w:t>
            </w:r>
            <w:r w:rsidRPr="00FD101F">
              <w:rPr>
                <w:b/>
                <w:bCs/>
                <w:noProof/>
                <w:color w:val="FFFFFF" w:themeColor="background1"/>
                <w:sz w:val="20"/>
                <w:szCs w:val="20"/>
              </w:rPr>
              <w:t>QPs</w:t>
            </w:r>
            <w:r w:rsidR="00C0504C">
              <w:rPr>
                <w:b/>
                <w:bCs/>
                <w:noProof/>
                <w:color w:val="FFFFFF" w:themeColor="background1"/>
                <w:sz w:val="20"/>
                <w:szCs w:val="20"/>
              </w:rPr>
              <w:t>)</w:t>
            </w:r>
          </w:p>
        </w:tc>
      </w:tr>
      <w:tr w:rsidR="00FD101F" w:rsidRPr="00FD101F" w14:paraId="70158873" w14:textId="77777777" w:rsidTr="00FD101F">
        <w:trPr>
          <w:trHeight w:val="300"/>
        </w:trPr>
        <w:tc>
          <w:tcPr>
            <w:tcW w:w="988" w:type="dxa"/>
          </w:tcPr>
          <w:p w14:paraId="671AC8C5" w14:textId="77777777" w:rsidR="00FD101F" w:rsidRPr="00FD101F" w:rsidRDefault="00FD101F" w:rsidP="003E0F56">
            <w:pPr>
              <w:rPr>
                <w:b/>
                <w:bCs/>
                <w:noProof/>
                <w:sz w:val="20"/>
                <w:szCs w:val="20"/>
              </w:rPr>
            </w:pPr>
            <w:r w:rsidRPr="00FD101F">
              <w:rPr>
                <w:b/>
                <w:bCs/>
                <w:noProof/>
                <w:sz w:val="20"/>
                <w:szCs w:val="20"/>
              </w:rPr>
              <w:t>Baseline</w:t>
            </w:r>
          </w:p>
        </w:tc>
        <w:tc>
          <w:tcPr>
            <w:tcW w:w="8615" w:type="dxa"/>
          </w:tcPr>
          <w:p w14:paraId="0995223C" w14:textId="77777777" w:rsidR="00FD101F" w:rsidRPr="00FD101F" w:rsidRDefault="00FD101F" w:rsidP="000572C3">
            <w:pPr>
              <w:spacing w:after="120"/>
              <w:jc w:val="both"/>
              <w:rPr>
                <w:noProof/>
                <w:color w:val="00B0F0"/>
                <w:sz w:val="20"/>
                <w:szCs w:val="20"/>
              </w:rPr>
            </w:pPr>
            <w:r w:rsidRPr="00FD101F">
              <w:rPr>
                <w:b/>
                <w:bCs/>
                <w:noProof/>
                <w:color w:val="00B0F0"/>
                <w:sz w:val="20"/>
                <w:szCs w:val="20"/>
              </w:rPr>
              <w:t>QP1: Completeness and accuracy of info</w:t>
            </w:r>
          </w:p>
          <w:p w14:paraId="394F0428" w14:textId="77777777" w:rsidR="00FD101F" w:rsidRPr="00FD101F" w:rsidRDefault="00FD101F" w:rsidP="000572C3">
            <w:pPr>
              <w:spacing w:after="120"/>
              <w:jc w:val="both"/>
              <w:rPr>
                <w:noProof/>
                <w:sz w:val="20"/>
                <w:szCs w:val="20"/>
              </w:rPr>
            </w:pPr>
            <w:r w:rsidRPr="00FD101F">
              <w:rPr>
                <w:noProof/>
                <w:sz w:val="20"/>
                <w:szCs w:val="20"/>
                <w:u w:val="single"/>
              </w:rPr>
              <w:t xml:space="preserve">Direction of impact expected to be </w:t>
            </w:r>
            <w:r w:rsidRPr="00FD101F">
              <w:rPr>
                <w:b/>
                <w:bCs/>
                <w:noProof/>
                <w:sz w:val="20"/>
                <w:szCs w:val="20"/>
                <w:u w:val="single"/>
              </w:rPr>
              <w:t>neutral or positive</w:t>
            </w:r>
            <w:r w:rsidRPr="00FD101F">
              <w:rPr>
                <w:noProof/>
                <w:sz w:val="20"/>
                <w:szCs w:val="20"/>
                <w:u w:val="single"/>
              </w:rPr>
              <w:t>, with</w:t>
            </w:r>
            <w:r w:rsidRPr="00FD101F">
              <w:rPr>
                <w:b/>
                <w:bCs/>
                <w:noProof/>
                <w:sz w:val="20"/>
                <w:szCs w:val="20"/>
                <w:u w:val="single"/>
              </w:rPr>
              <w:t xml:space="preserve"> i</w:t>
            </w:r>
            <w:r w:rsidRPr="00FD101F">
              <w:rPr>
                <w:noProof/>
                <w:sz w:val="20"/>
                <w:szCs w:val="20"/>
                <w:u w:val="single"/>
              </w:rPr>
              <w:t xml:space="preserve">mpact scores ranging from </w:t>
            </w:r>
            <w:r w:rsidRPr="00FD101F">
              <w:rPr>
                <w:b/>
                <w:noProof/>
                <w:sz w:val="20"/>
                <w:szCs w:val="20"/>
                <w:u w:val="single"/>
              </w:rPr>
              <w:t>0</w:t>
            </w:r>
            <w:r w:rsidRPr="00FD101F">
              <w:rPr>
                <w:b/>
                <w:bCs/>
                <w:noProof/>
                <w:sz w:val="20"/>
                <w:szCs w:val="20"/>
                <w:u w:val="single"/>
              </w:rPr>
              <w:t xml:space="preserve"> to +1</w:t>
            </w:r>
            <w:r w:rsidRPr="00FD101F">
              <w:rPr>
                <w:noProof/>
                <w:sz w:val="20"/>
                <w:szCs w:val="20"/>
                <w:u w:val="single"/>
              </w:rPr>
              <w:t xml:space="preserve">: </w:t>
            </w:r>
          </w:p>
          <w:p w14:paraId="40196140" w14:textId="77777777" w:rsidR="00FD101F" w:rsidRPr="00FD101F" w:rsidRDefault="00FD101F" w:rsidP="000572C3">
            <w:pPr>
              <w:spacing w:after="120"/>
              <w:jc w:val="both"/>
              <w:rPr>
                <w:noProof/>
                <w:sz w:val="20"/>
                <w:szCs w:val="20"/>
              </w:rPr>
            </w:pPr>
            <w:r w:rsidRPr="00FD101F">
              <w:rPr>
                <w:noProof/>
                <w:sz w:val="20"/>
                <w:szCs w:val="20"/>
              </w:rPr>
              <w:t>The deployment of MDMS platforms and tickets sold via MDMS is expected to increase over time in the baseline. Along higher deployment, an increased integration of RUs’ offers in MDMS platforms is expected although limited. Industry initiatives, such as the CER Ticketing Roadmap, foresee actions to increase the visibility of fares and to enable the purchase of international and domestic tickets through a wider range of distribution channels, including online apps. Thus, an increased sharing of rail ticketing data can be expected in line with CER members’ commitment to increase the availability of tickets. However, the voluntary nature of these actions, and the lack of provisions against excluding platforms and other operators from reciprocal agreements, is likely to result in this integration following the currently observed patterns where the data sharing approach is dictated by commercial interests preventing a full integration of the transport offering in all relevant third-party platforms.</w:t>
            </w:r>
          </w:p>
          <w:p w14:paraId="28B49B49" w14:textId="77777777" w:rsidR="00FD101F" w:rsidRPr="00FD101F" w:rsidRDefault="00FD101F" w:rsidP="000572C3">
            <w:pPr>
              <w:spacing w:after="120"/>
              <w:jc w:val="both"/>
              <w:rPr>
                <w:noProof/>
                <w:sz w:val="20"/>
                <w:szCs w:val="20"/>
              </w:rPr>
            </w:pPr>
            <w:r w:rsidRPr="00FD101F">
              <w:rPr>
                <w:noProof/>
                <w:sz w:val="20"/>
                <w:szCs w:val="20"/>
              </w:rPr>
              <w:t xml:space="preserve">Thanks to the ongoing opening of the rail market, new RUs entering the market are expected to increase their market share in the rail passenger services market. These new RUs have a stronger interest to sell their tickets using diverse range of distribution channels, as these tickets are their sole source of income. </w:t>
            </w:r>
          </w:p>
          <w:p w14:paraId="33B5FA7D" w14:textId="77777777" w:rsidR="00FD101F" w:rsidRPr="00FD101F" w:rsidRDefault="00FD101F" w:rsidP="000572C3">
            <w:pPr>
              <w:spacing w:after="120"/>
              <w:jc w:val="both"/>
              <w:rPr>
                <w:noProof/>
                <w:sz w:val="20"/>
                <w:szCs w:val="20"/>
              </w:rPr>
            </w:pPr>
            <w:r w:rsidRPr="00FD101F">
              <w:rPr>
                <w:noProof/>
                <w:sz w:val="20"/>
                <w:szCs w:val="20"/>
              </w:rPr>
              <w:t>Nevertheless, the limited integration of rail services into MDMS platforms over time in the baseline is expected to result in limited completeness of the rail offering on the MDMS platforms. In addition, even in cases in which transport offerings are integrated in MDMS platforms, this does not secure that the information made available to different platforms will be of the same quality. This is because of the preferential treatment both on the side of transport operators and of MDMS platforms when choosing what information will be shared or promoted on different ticket distribution platforms. Therefore, a limited level of progress is expected with respect to the completeness and accuracy of information.</w:t>
            </w:r>
          </w:p>
          <w:p w14:paraId="5D75C0CA" w14:textId="77777777" w:rsidR="00FD101F" w:rsidRPr="00FD101F" w:rsidRDefault="00FD101F" w:rsidP="000572C3">
            <w:pPr>
              <w:spacing w:after="120"/>
              <w:jc w:val="both"/>
              <w:rPr>
                <w:b/>
                <w:bCs/>
                <w:noProof/>
                <w:color w:val="00B0F0"/>
                <w:sz w:val="20"/>
                <w:szCs w:val="20"/>
              </w:rPr>
            </w:pPr>
            <w:r w:rsidRPr="00FD101F">
              <w:rPr>
                <w:b/>
                <w:bCs/>
                <w:noProof/>
                <w:color w:val="00B0F0"/>
                <w:sz w:val="20"/>
                <w:szCs w:val="20"/>
              </w:rPr>
              <w:t>QP2: Ability to book</w:t>
            </w:r>
          </w:p>
          <w:p w14:paraId="0971F8B3" w14:textId="77777777" w:rsidR="00FD101F" w:rsidRPr="00FD101F" w:rsidRDefault="00FD101F" w:rsidP="000572C3">
            <w:pPr>
              <w:spacing w:after="120"/>
              <w:jc w:val="both"/>
              <w:rPr>
                <w:noProof/>
                <w:sz w:val="20"/>
                <w:szCs w:val="20"/>
              </w:rPr>
            </w:pPr>
            <w:r w:rsidRPr="00FD101F">
              <w:rPr>
                <w:noProof/>
                <w:sz w:val="20"/>
                <w:szCs w:val="20"/>
                <w:u w:val="single"/>
              </w:rPr>
              <w:t xml:space="preserve">Direction of impact expected to be </w:t>
            </w:r>
            <w:r w:rsidRPr="00FD101F">
              <w:rPr>
                <w:b/>
                <w:bCs/>
                <w:noProof/>
                <w:sz w:val="20"/>
                <w:szCs w:val="20"/>
                <w:u w:val="single"/>
              </w:rPr>
              <w:t>neutral or positive</w:t>
            </w:r>
            <w:r w:rsidRPr="00FD101F">
              <w:rPr>
                <w:noProof/>
                <w:sz w:val="20"/>
                <w:szCs w:val="20"/>
                <w:u w:val="single"/>
              </w:rPr>
              <w:t>, with</w:t>
            </w:r>
            <w:r w:rsidRPr="00FD101F">
              <w:rPr>
                <w:b/>
                <w:bCs/>
                <w:noProof/>
                <w:sz w:val="20"/>
                <w:szCs w:val="20"/>
                <w:u w:val="single"/>
              </w:rPr>
              <w:t xml:space="preserve"> i</w:t>
            </w:r>
            <w:r w:rsidRPr="00FD101F">
              <w:rPr>
                <w:noProof/>
                <w:sz w:val="20"/>
                <w:szCs w:val="20"/>
                <w:u w:val="single"/>
              </w:rPr>
              <w:t xml:space="preserve">mpact scores ranging from </w:t>
            </w:r>
            <w:r w:rsidRPr="00FD101F">
              <w:rPr>
                <w:b/>
                <w:noProof/>
                <w:sz w:val="20"/>
                <w:szCs w:val="20"/>
                <w:u w:val="single"/>
              </w:rPr>
              <w:t>0</w:t>
            </w:r>
            <w:r w:rsidRPr="00FD101F">
              <w:rPr>
                <w:b/>
                <w:bCs/>
                <w:noProof/>
                <w:sz w:val="20"/>
                <w:szCs w:val="20"/>
                <w:u w:val="single"/>
              </w:rPr>
              <w:t xml:space="preserve"> to +1</w:t>
            </w:r>
            <w:r w:rsidRPr="00FD101F">
              <w:rPr>
                <w:noProof/>
                <w:sz w:val="20"/>
                <w:szCs w:val="20"/>
                <w:u w:val="single"/>
              </w:rPr>
              <w:t xml:space="preserve">: </w:t>
            </w:r>
          </w:p>
          <w:p w14:paraId="745EB368" w14:textId="1612039F" w:rsidR="00FD101F" w:rsidRPr="00FD101F" w:rsidRDefault="00FD101F" w:rsidP="000572C3">
            <w:pPr>
              <w:spacing w:after="120"/>
              <w:jc w:val="both"/>
              <w:rPr>
                <w:noProof/>
                <w:sz w:val="20"/>
                <w:szCs w:val="20"/>
              </w:rPr>
            </w:pPr>
            <w:r w:rsidRPr="00FD101F">
              <w:rPr>
                <w:noProof/>
                <w:sz w:val="20"/>
                <w:szCs w:val="20"/>
              </w:rPr>
              <w:t>The user experience and ease of planning and booking a multimodal or multi-operator trip is one of the factors recognised as affecting the modal choice for a journey, as showcased by the Eurobarometer survey findings. With the increasing deployment and expanding scope of MDMS platforms, more passengers are expected to find such platforms useful to plan their trips. As platforms evolve and gain a better understanding of their users, further innovations are expected to improve the user experience over time</w:t>
            </w:r>
            <w:r w:rsidR="00292C27" w:rsidRPr="00292C27">
              <w:rPr>
                <w:noProof/>
                <w:sz w:val="20"/>
                <w:szCs w:val="20"/>
              </w:rPr>
              <w:t xml:space="preserve">, but the incentive to do so is limited </w:t>
            </w:r>
            <w:r w:rsidR="00292C27">
              <w:rPr>
                <w:noProof/>
                <w:sz w:val="20"/>
                <w:szCs w:val="20"/>
              </w:rPr>
              <w:t xml:space="preserve">in the baseline </w:t>
            </w:r>
            <w:r w:rsidR="00292C27" w:rsidRPr="00292C27">
              <w:rPr>
                <w:noProof/>
                <w:sz w:val="20"/>
                <w:szCs w:val="20"/>
              </w:rPr>
              <w:t>due to the lack of a regulatory framework conducive to creating a level playing field that would further encourage such ventures</w:t>
            </w:r>
            <w:r w:rsidRPr="00FD101F">
              <w:rPr>
                <w:noProof/>
                <w:sz w:val="20"/>
                <w:szCs w:val="20"/>
              </w:rPr>
              <w:t>.</w:t>
            </w:r>
          </w:p>
        </w:tc>
      </w:tr>
    </w:tbl>
    <w:p w14:paraId="61BF7D04" w14:textId="77777777" w:rsidR="00FD101F" w:rsidRPr="00D71008" w:rsidRDefault="00FD101F" w:rsidP="00FD101F">
      <w:pPr>
        <w:tabs>
          <w:tab w:val="left" w:pos="2302"/>
        </w:tabs>
        <w:spacing w:after="240"/>
        <w:jc w:val="both"/>
        <w:rPr>
          <w:i/>
          <w:iCs/>
          <w:noProof/>
          <w:sz w:val="20"/>
          <w:szCs w:val="20"/>
        </w:rPr>
      </w:pPr>
      <w:r w:rsidRPr="00D71008">
        <w:rPr>
          <w:i/>
          <w:iCs/>
          <w:noProof/>
          <w:spacing w:val="-8"/>
          <w:sz w:val="20"/>
          <w:szCs w:val="20"/>
        </w:rPr>
        <w:t xml:space="preserve">Source: </w:t>
      </w:r>
      <w:r w:rsidRPr="00D71008">
        <w:rPr>
          <w:i/>
          <w:iCs/>
          <w:noProof/>
          <w:sz w:val="20"/>
          <w:szCs w:val="20"/>
        </w:rPr>
        <w:t>Ricardo et al. (2026), Impact assessment support study</w:t>
      </w:r>
    </w:p>
    <w:p w14:paraId="2F54777B" w14:textId="77777777" w:rsidR="000B6580" w:rsidRPr="00785E19" w:rsidRDefault="000B6580" w:rsidP="000B6580">
      <w:pPr>
        <w:spacing w:after="240"/>
        <w:jc w:val="both"/>
        <w:rPr>
          <w:rFonts w:eastAsia="Calibri" w:cs="Arial"/>
          <w:noProof/>
          <w:spacing w:val="-8"/>
        </w:rPr>
      </w:pPr>
      <w:r w:rsidRPr="00785E19">
        <w:rPr>
          <w:rFonts w:eastAsia="Calibri" w:cs="Arial"/>
          <w:noProof/>
          <w:spacing w:val="-8"/>
        </w:rPr>
        <w:t xml:space="preserve">As explained in section 1.3.2 of Annex 4, scores are assessed on a scale of 1 to 5, meaning that a score of 1 would correspond to a progress towards a ‘mature market’ of 20% in 2050. Considering a linear improvement towards 2050, the additional service coverage in the baseline is provided in the table below. </w:t>
      </w:r>
    </w:p>
    <w:p w14:paraId="152565D6" w14:textId="58D7E797" w:rsidR="000B6580" w:rsidRPr="00B42E21" w:rsidRDefault="000B6580" w:rsidP="000B6580">
      <w:pPr>
        <w:tabs>
          <w:tab w:val="left" w:pos="1134"/>
        </w:tabs>
        <w:rPr>
          <w:i/>
          <w:noProof/>
          <w:sz w:val="22"/>
          <w:szCs w:val="22"/>
        </w:rPr>
      </w:pPr>
      <w:r w:rsidRPr="00B42E21">
        <w:rPr>
          <w:i/>
          <w:noProof/>
          <w:sz w:val="22"/>
          <w:szCs w:val="22"/>
        </w:rPr>
        <w:t xml:space="preserve">Table </w:t>
      </w:r>
      <w:r w:rsidRPr="00B42E21">
        <w:rPr>
          <w:i/>
          <w:noProof/>
          <w:sz w:val="22"/>
          <w:szCs w:val="22"/>
        </w:rPr>
        <w:fldChar w:fldCharType="begin"/>
      </w:r>
      <w:r w:rsidRPr="00B42E21">
        <w:rPr>
          <w:i/>
          <w:noProof/>
          <w:sz w:val="22"/>
          <w:szCs w:val="22"/>
        </w:rPr>
        <w:instrText xml:space="preserve"> SEQ Table \* ARABIC </w:instrText>
      </w:r>
      <w:r w:rsidRPr="00B42E21">
        <w:rPr>
          <w:i/>
          <w:noProof/>
          <w:sz w:val="22"/>
          <w:szCs w:val="22"/>
        </w:rPr>
        <w:fldChar w:fldCharType="separate"/>
      </w:r>
      <w:r w:rsidR="0055391F">
        <w:rPr>
          <w:i/>
          <w:noProof/>
          <w:sz w:val="22"/>
          <w:szCs w:val="22"/>
        </w:rPr>
        <w:t>55</w:t>
      </w:r>
      <w:r w:rsidRPr="00B42E21">
        <w:rPr>
          <w:i/>
          <w:noProof/>
          <w:sz w:val="22"/>
          <w:szCs w:val="22"/>
        </w:rPr>
        <w:fldChar w:fldCharType="end"/>
      </w:r>
      <w:r w:rsidRPr="00B42E21">
        <w:rPr>
          <w:i/>
          <w:noProof/>
          <w:sz w:val="22"/>
          <w:szCs w:val="22"/>
        </w:rPr>
        <w:t xml:space="preserve">: Assumptions on the additional service coverage in the baseline relative to 2025, by grouping </w:t>
      </w:r>
    </w:p>
    <w:tbl>
      <w:tblPr>
        <w:tblStyle w:val="Ricardo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2677"/>
        <w:gridCol w:w="1404"/>
        <w:gridCol w:w="1404"/>
        <w:gridCol w:w="1404"/>
        <w:gridCol w:w="1406"/>
      </w:tblGrid>
      <w:tr w:rsidR="000B6580" w:rsidRPr="008A6472" w14:paraId="386842AC" w14:textId="77777777" w:rsidTr="002C1E5F">
        <w:trPr>
          <w:cnfStyle w:val="100000000000" w:firstRow="1" w:lastRow="0" w:firstColumn="0" w:lastColumn="0" w:oddVBand="0" w:evenVBand="0" w:oddHBand="0" w:evenHBand="0" w:firstRowFirstColumn="0" w:firstRowLastColumn="0" w:lastRowFirstColumn="0" w:lastRowLastColumn="0"/>
          <w:trHeight w:val="252"/>
        </w:trPr>
        <w:tc>
          <w:tcPr>
            <w:tcW w:w="681" w:type="pct"/>
            <w:shd w:val="clear" w:color="auto" w:fill="0070C0"/>
            <w:noWrap/>
            <w:hideMark/>
          </w:tcPr>
          <w:p w14:paraId="56C08CFF" w14:textId="77777777" w:rsidR="000B6580" w:rsidRPr="00B42E21" w:rsidRDefault="000B6580" w:rsidP="002C1E5F">
            <w:pPr>
              <w:spacing w:after="0"/>
              <w:rPr>
                <w:rFonts w:eastAsia="Calibri" w:cs="Arial"/>
                <w:noProof/>
                <w:sz w:val="20"/>
                <w:szCs w:val="20"/>
              </w:rPr>
            </w:pPr>
            <w:r w:rsidRPr="00B42E21">
              <w:rPr>
                <w:rFonts w:eastAsia="Calibri" w:cs="Arial"/>
                <w:noProof/>
                <w:sz w:val="20"/>
                <w:szCs w:val="20"/>
              </w:rPr>
              <w:t>Scenario</w:t>
            </w:r>
          </w:p>
        </w:tc>
        <w:tc>
          <w:tcPr>
            <w:tcW w:w="1394" w:type="pct"/>
            <w:shd w:val="clear" w:color="auto" w:fill="0070C0"/>
            <w:noWrap/>
            <w:hideMark/>
          </w:tcPr>
          <w:p w14:paraId="33EDECB4" w14:textId="77777777" w:rsidR="000B6580" w:rsidRPr="00B42E21" w:rsidRDefault="000B6580" w:rsidP="002C1E5F">
            <w:pPr>
              <w:spacing w:after="0"/>
              <w:rPr>
                <w:rFonts w:eastAsia="Calibri" w:cs="Arial"/>
                <w:noProof/>
                <w:sz w:val="20"/>
                <w:szCs w:val="20"/>
              </w:rPr>
            </w:pPr>
            <w:r w:rsidRPr="00B42E21">
              <w:rPr>
                <w:rFonts w:eastAsia="Calibri" w:cs="Arial"/>
                <w:noProof/>
                <w:sz w:val="20"/>
                <w:szCs w:val="20"/>
              </w:rPr>
              <w:t>Grouping</w:t>
            </w:r>
          </w:p>
        </w:tc>
        <w:tc>
          <w:tcPr>
            <w:tcW w:w="731" w:type="pct"/>
            <w:shd w:val="clear" w:color="auto" w:fill="0070C0"/>
            <w:noWrap/>
            <w:hideMark/>
          </w:tcPr>
          <w:p w14:paraId="499E759B" w14:textId="77777777" w:rsidR="000B6580" w:rsidRPr="00B42E21" w:rsidRDefault="000B6580" w:rsidP="00341EB1">
            <w:pPr>
              <w:spacing w:after="0"/>
              <w:jc w:val="right"/>
              <w:rPr>
                <w:rFonts w:eastAsia="Calibri" w:cs="Arial"/>
                <w:noProof/>
                <w:sz w:val="20"/>
                <w:szCs w:val="20"/>
              </w:rPr>
            </w:pPr>
            <w:r w:rsidRPr="00B42E21">
              <w:rPr>
                <w:rFonts w:eastAsia="Calibri" w:cs="Arial"/>
                <w:noProof/>
                <w:sz w:val="20"/>
                <w:szCs w:val="20"/>
              </w:rPr>
              <w:t>2028</w:t>
            </w:r>
          </w:p>
        </w:tc>
        <w:tc>
          <w:tcPr>
            <w:tcW w:w="731" w:type="pct"/>
            <w:shd w:val="clear" w:color="auto" w:fill="0070C0"/>
            <w:noWrap/>
            <w:hideMark/>
          </w:tcPr>
          <w:p w14:paraId="5F128855" w14:textId="77777777" w:rsidR="000B6580" w:rsidRPr="00B42E21" w:rsidRDefault="000B6580" w:rsidP="00341EB1">
            <w:pPr>
              <w:spacing w:after="0"/>
              <w:jc w:val="right"/>
              <w:rPr>
                <w:rFonts w:eastAsia="Calibri" w:cs="Arial"/>
                <w:noProof/>
                <w:sz w:val="20"/>
                <w:szCs w:val="20"/>
              </w:rPr>
            </w:pPr>
            <w:r w:rsidRPr="00B42E21">
              <w:rPr>
                <w:rFonts w:eastAsia="Calibri" w:cs="Arial"/>
                <w:noProof/>
                <w:sz w:val="20"/>
                <w:szCs w:val="20"/>
              </w:rPr>
              <w:t>2030</w:t>
            </w:r>
          </w:p>
        </w:tc>
        <w:tc>
          <w:tcPr>
            <w:tcW w:w="731" w:type="pct"/>
            <w:shd w:val="clear" w:color="auto" w:fill="0070C0"/>
            <w:noWrap/>
            <w:hideMark/>
          </w:tcPr>
          <w:p w14:paraId="65051A97" w14:textId="77777777" w:rsidR="000B6580" w:rsidRPr="00B42E21" w:rsidRDefault="000B6580" w:rsidP="00341EB1">
            <w:pPr>
              <w:spacing w:after="0"/>
              <w:jc w:val="right"/>
              <w:rPr>
                <w:rFonts w:eastAsia="Calibri" w:cs="Arial"/>
                <w:noProof/>
                <w:sz w:val="20"/>
                <w:szCs w:val="20"/>
              </w:rPr>
            </w:pPr>
            <w:r w:rsidRPr="00B42E21">
              <w:rPr>
                <w:rFonts w:eastAsia="Calibri" w:cs="Arial"/>
                <w:noProof/>
                <w:sz w:val="20"/>
                <w:szCs w:val="20"/>
              </w:rPr>
              <w:t>2040</w:t>
            </w:r>
          </w:p>
        </w:tc>
        <w:tc>
          <w:tcPr>
            <w:tcW w:w="732" w:type="pct"/>
            <w:shd w:val="clear" w:color="auto" w:fill="0070C0"/>
            <w:noWrap/>
            <w:hideMark/>
          </w:tcPr>
          <w:p w14:paraId="0FD9FA69" w14:textId="77777777" w:rsidR="000B6580" w:rsidRPr="00B42E21" w:rsidRDefault="000B6580" w:rsidP="00341EB1">
            <w:pPr>
              <w:spacing w:after="0"/>
              <w:jc w:val="right"/>
              <w:rPr>
                <w:rFonts w:eastAsia="Calibri" w:cs="Arial"/>
                <w:noProof/>
                <w:sz w:val="20"/>
                <w:szCs w:val="20"/>
              </w:rPr>
            </w:pPr>
            <w:r w:rsidRPr="00B42E21">
              <w:rPr>
                <w:rFonts w:eastAsia="Calibri" w:cs="Arial"/>
                <w:noProof/>
                <w:sz w:val="20"/>
                <w:szCs w:val="20"/>
              </w:rPr>
              <w:t>2050</w:t>
            </w:r>
          </w:p>
        </w:tc>
      </w:tr>
      <w:tr w:rsidR="000B6580" w:rsidRPr="008A6472" w14:paraId="08191560" w14:textId="77777777" w:rsidTr="002C1E5F">
        <w:trPr>
          <w:trHeight w:val="252"/>
        </w:trPr>
        <w:tc>
          <w:tcPr>
            <w:tcW w:w="681" w:type="pct"/>
            <w:noWrap/>
            <w:hideMark/>
          </w:tcPr>
          <w:p w14:paraId="12D280A0" w14:textId="77777777" w:rsidR="000B6580" w:rsidRPr="00B42E21" w:rsidRDefault="000B6580" w:rsidP="002C1E5F">
            <w:pPr>
              <w:spacing w:after="0"/>
              <w:rPr>
                <w:rFonts w:eastAsia="Calibri" w:cs="Arial"/>
                <w:noProof/>
                <w:sz w:val="20"/>
                <w:szCs w:val="20"/>
              </w:rPr>
            </w:pPr>
            <w:r w:rsidRPr="00B42E21">
              <w:rPr>
                <w:rFonts w:eastAsia="Calibri" w:cs="Arial"/>
                <w:noProof/>
                <w:sz w:val="20"/>
                <w:szCs w:val="20"/>
              </w:rPr>
              <w:t>Baseline</w:t>
            </w:r>
          </w:p>
        </w:tc>
        <w:tc>
          <w:tcPr>
            <w:tcW w:w="1394" w:type="pct"/>
            <w:noWrap/>
            <w:hideMark/>
          </w:tcPr>
          <w:p w14:paraId="309D402F" w14:textId="77777777" w:rsidR="000B6580" w:rsidRPr="00B42E21" w:rsidRDefault="000B6580" w:rsidP="002C1E5F">
            <w:pPr>
              <w:spacing w:after="0"/>
              <w:rPr>
                <w:rFonts w:eastAsia="Calibri" w:cs="Arial"/>
                <w:noProof/>
                <w:sz w:val="20"/>
                <w:szCs w:val="20"/>
              </w:rPr>
            </w:pPr>
            <w:r w:rsidRPr="00B42E21">
              <w:rPr>
                <w:rFonts w:eastAsia="Calibri" w:cs="Arial"/>
                <w:noProof/>
                <w:sz w:val="20"/>
                <w:szCs w:val="20"/>
              </w:rPr>
              <w:t>Leader</w:t>
            </w:r>
          </w:p>
        </w:tc>
        <w:tc>
          <w:tcPr>
            <w:tcW w:w="731" w:type="pct"/>
            <w:noWrap/>
            <w:hideMark/>
          </w:tcPr>
          <w:p w14:paraId="1BB41E8C" w14:textId="77777777" w:rsidR="000B6580" w:rsidRPr="00B42E21" w:rsidRDefault="000B6580" w:rsidP="00341EB1">
            <w:pPr>
              <w:spacing w:after="0"/>
              <w:jc w:val="right"/>
              <w:rPr>
                <w:rFonts w:eastAsia="Calibri" w:cs="Arial"/>
                <w:noProof/>
                <w:sz w:val="20"/>
                <w:szCs w:val="20"/>
              </w:rPr>
            </w:pPr>
            <w:r w:rsidRPr="00B42E21">
              <w:rPr>
                <w:rFonts w:eastAsia="Calibri" w:cs="Arial"/>
                <w:noProof/>
                <w:sz w:val="20"/>
                <w:szCs w:val="20"/>
              </w:rPr>
              <w:t>0%</w:t>
            </w:r>
          </w:p>
        </w:tc>
        <w:tc>
          <w:tcPr>
            <w:tcW w:w="731" w:type="pct"/>
            <w:noWrap/>
            <w:hideMark/>
          </w:tcPr>
          <w:p w14:paraId="6804A1AC" w14:textId="77777777" w:rsidR="000B6580" w:rsidRPr="00B42E21" w:rsidRDefault="000B6580" w:rsidP="00341EB1">
            <w:pPr>
              <w:spacing w:after="0"/>
              <w:jc w:val="right"/>
              <w:rPr>
                <w:rFonts w:eastAsia="Calibri" w:cs="Arial"/>
                <w:noProof/>
                <w:sz w:val="20"/>
                <w:szCs w:val="20"/>
              </w:rPr>
            </w:pPr>
            <w:r w:rsidRPr="00B42E21">
              <w:rPr>
                <w:rFonts w:eastAsia="Calibri" w:cs="Arial"/>
                <w:noProof/>
                <w:sz w:val="20"/>
                <w:szCs w:val="20"/>
              </w:rPr>
              <w:t>1%</w:t>
            </w:r>
          </w:p>
        </w:tc>
        <w:tc>
          <w:tcPr>
            <w:tcW w:w="731" w:type="pct"/>
            <w:noWrap/>
            <w:hideMark/>
          </w:tcPr>
          <w:p w14:paraId="14BB21E6" w14:textId="77777777" w:rsidR="000B6580" w:rsidRPr="00B42E21" w:rsidRDefault="000B6580" w:rsidP="00341EB1">
            <w:pPr>
              <w:spacing w:after="0"/>
              <w:jc w:val="right"/>
              <w:rPr>
                <w:rFonts w:eastAsia="Calibri" w:cs="Arial"/>
                <w:noProof/>
                <w:sz w:val="20"/>
                <w:szCs w:val="20"/>
              </w:rPr>
            </w:pPr>
            <w:r w:rsidRPr="00B42E21">
              <w:rPr>
                <w:rFonts w:eastAsia="Calibri" w:cs="Arial"/>
                <w:noProof/>
                <w:sz w:val="20"/>
                <w:szCs w:val="20"/>
              </w:rPr>
              <w:t>5%</w:t>
            </w:r>
          </w:p>
        </w:tc>
        <w:tc>
          <w:tcPr>
            <w:tcW w:w="732" w:type="pct"/>
            <w:noWrap/>
            <w:hideMark/>
          </w:tcPr>
          <w:p w14:paraId="6A1022EF" w14:textId="77777777" w:rsidR="000B6580" w:rsidRPr="00B42E21" w:rsidRDefault="000B6580" w:rsidP="00341EB1">
            <w:pPr>
              <w:spacing w:after="0"/>
              <w:jc w:val="right"/>
              <w:rPr>
                <w:rFonts w:eastAsia="Calibri" w:cs="Arial"/>
                <w:noProof/>
                <w:sz w:val="20"/>
                <w:szCs w:val="20"/>
              </w:rPr>
            </w:pPr>
            <w:r w:rsidRPr="00B42E21">
              <w:rPr>
                <w:rFonts w:eastAsia="Calibri" w:cs="Arial"/>
                <w:noProof/>
                <w:sz w:val="20"/>
                <w:szCs w:val="20"/>
              </w:rPr>
              <w:t>10%</w:t>
            </w:r>
          </w:p>
        </w:tc>
      </w:tr>
      <w:tr w:rsidR="000B6580" w:rsidRPr="008A6472" w14:paraId="2E188713" w14:textId="77777777" w:rsidTr="002C1E5F">
        <w:trPr>
          <w:trHeight w:val="252"/>
        </w:trPr>
        <w:tc>
          <w:tcPr>
            <w:tcW w:w="681" w:type="pct"/>
            <w:noWrap/>
            <w:hideMark/>
          </w:tcPr>
          <w:p w14:paraId="4555C297" w14:textId="77777777" w:rsidR="000B6580" w:rsidRPr="00B42E21" w:rsidRDefault="000B6580" w:rsidP="002C1E5F">
            <w:pPr>
              <w:spacing w:after="0"/>
              <w:rPr>
                <w:rFonts w:eastAsia="Calibri" w:cs="Arial"/>
                <w:noProof/>
                <w:sz w:val="20"/>
                <w:szCs w:val="20"/>
              </w:rPr>
            </w:pPr>
            <w:r w:rsidRPr="00B42E21">
              <w:rPr>
                <w:rFonts w:eastAsia="Calibri" w:cs="Arial"/>
                <w:noProof/>
                <w:sz w:val="20"/>
                <w:szCs w:val="20"/>
              </w:rPr>
              <w:t>Baseline</w:t>
            </w:r>
          </w:p>
        </w:tc>
        <w:tc>
          <w:tcPr>
            <w:tcW w:w="1394" w:type="pct"/>
            <w:noWrap/>
            <w:hideMark/>
          </w:tcPr>
          <w:p w14:paraId="0616F5F9" w14:textId="77777777" w:rsidR="000B6580" w:rsidRPr="00B42E21" w:rsidRDefault="000B6580" w:rsidP="002C1E5F">
            <w:pPr>
              <w:spacing w:after="0"/>
              <w:rPr>
                <w:rFonts w:eastAsia="Calibri" w:cs="Arial"/>
                <w:noProof/>
                <w:sz w:val="20"/>
                <w:szCs w:val="20"/>
              </w:rPr>
            </w:pPr>
            <w:r w:rsidRPr="00B42E21">
              <w:rPr>
                <w:rFonts w:eastAsia="Calibri" w:cs="Arial"/>
                <w:noProof/>
                <w:sz w:val="20"/>
                <w:szCs w:val="20"/>
              </w:rPr>
              <w:t>Planned adopter</w:t>
            </w:r>
          </w:p>
        </w:tc>
        <w:tc>
          <w:tcPr>
            <w:tcW w:w="731" w:type="pct"/>
            <w:noWrap/>
            <w:hideMark/>
          </w:tcPr>
          <w:p w14:paraId="39E70023" w14:textId="77777777" w:rsidR="000B6580" w:rsidRPr="00B42E21" w:rsidRDefault="000B6580" w:rsidP="00341EB1">
            <w:pPr>
              <w:spacing w:after="0"/>
              <w:jc w:val="right"/>
              <w:rPr>
                <w:rFonts w:eastAsia="Calibri" w:cs="Arial"/>
                <w:noProof/>
                <w:sz w:val="20"/>
                <w:szCs w:val="20"/>
              </w:rPr>
            </w:pPr>
            <w:r w:rsidRPr="00B42E21">
              <w:rPr>
                <w:rFonts w:eastAsia="Calibri" w:cs="Arial"/>
                <w:noProof/>
                <w:sz w:val="20"/>
                <w:szCs w:val="20"/>
              </w:rPr>
              <w:t>0%</w:t>
            </w:r>
          </w:p>
        </w:tc>
        <w:tc>
          <w:tcPr>
            <w:tcW w:w="731" w:type="pct"/>
            <w:noWrap/>
            <w:hideMark/>
          </w:tcPr>
          <w:p w14:paraId="6DFD1EC5" w14:textId="77777777" w:rsidR="000B6580" w:rsidRPr="00B42E21" w:rsidRDefault="000B6580" w:rsidP="00341EB1">
            <w:pPr>
              <w:spacing w:after="0"/>
              <w:jc w:val="right"/>
              <w:rPr>
                <w:rFonts w:eastAsia="Calibri" w:cs="Arial"/>
                <w:noProof/>
                <w:sz w:val="20"/>
                <w:szCs w:val="20"/>
              </w:rPr>
            </w:pPr>
            <w:r w:rsidRPr="00B42E21">
              <w:rPr>
                <w:rFonts w:eastAsia="Calibri" w:cs="Arial"/>
                <w:noProof/>
                <w:sz w:val="20"/>
                <w:szCs w:val="20"/>
              </w:rPr>
              <w:t>2%</w:t>
            </w:r>
          </w:p>
        </w:tc>
        <w:tc>
          <w:tcPr>
            <w:tcW w:w="731" w:type="pct"/>
            <w:noWrap/>
            <w:hideMark/>
          </w:tcPr>
          <w:p w14:paraId="22926687" w14:textId="77777777" w:rsidR="000B6580" w:rsidRPr="00B42E21" w:rsidRDefault="000B6580" w:rsidP="00341EB1">
            <w:pPr>
              <w:spacing w:after="0"/>
              <w:jc w:val="right"/>
              <w:rPr>
                <w:rFonts w:eastAsia="Calibri" w:cs="Arial"/>
                <w:noProof/>
                <w:sz w:val="20"/>
                <w:szCs w:val="20"/>
              </w:rPr>
            </w:pPr>
            <w:r w:rsidRPr="00B42E21">
              <w:rPr>
                <w:rFonts w:eastAsia="Calibri" w:cs="Arial"/>
                <w:noProof/>
                <w:sz w:val="20"/>
                <w:szCs w:val="20"/>
              </w:rPr>
              <w:t>11%</w:t>
            </w:r>
          </w:p>
        </w:tc>
        <w:tc>
          <w:tcPr>
            <w:tcW w:w="732" w:type="pct"/>
            <w:noWrap/>
            <w:hideMark/>
          </w:tcPr>
          <w:p w14:paraId="6573FF5D" w14:textId="77777777" w:rsidR="000B6580" w:rsidRPr="00B42E21" w:rsidRDefault="000B6580" w:rsidP="00341EB1">
            <w:pPr>
              <w:spacing w:after="0"/>
              <w:jc w:val="right"/>
              <w:rPr>
                <w:rFonts w:eastAsia="Calibri" w:cs="Arial"/>
                <w:noProof/>
                <w:sz w:val="20"/>
                <w:szCs w:val="20"/>
              </w:rPr>
            </w:pPr>
            <w:r w:rsidRPr="00B42E21">
              <w:rPr>
                <w:rFonts w:eastAsia="Calibri" w:cs="Arial"/>
                <w:noProof/>
                <w:sz w:val="20"/>
                <w:szCs w:val="20"/>
              </w:rPr>
              <w:t>20%</w:t>
            </w:r>
          </w:p>
        </w:tc>
      </w:tr>
      <w:tr w:rsidR="000B6580" w:rsidRPr="008A6472" w14:paraId="29559720" w14:textId="77777777" w:rsidTr="002C1E5F">
        <w:trPr>
          <w:trHeight w:val="252"/>
        </w:trPr>
        <w:tc>
          <w:tcPr>
            <w:tcW w:w="681" w:type="pct"/>
            <w:noWrap/>
            <w:hideMark/>
          </w:tcPr>
          <w:p w14:paraId="7E02BA24" w14:textId="77777777" w:rsidR="000B6580" w:rsidRPr="00B42E21" w:rsidRDefault="000B6580" w:rsidP="002C1E5F">
            <w:pPr>
              <w:spacing w:after="0"/>
              <w:rPr>
                <w:rFonts w:eastAsia="Calibri" w:cs="Arial"/>
                <w:noProof/>
                <w:sz w:val="20"/>
                <w:szCs w:val="20"/>
              </w:rPr>
            </w:pPr>
            <w:r w:rsidRPr="00B42E21">
              <w:rPr>
                <w:rFonts w:eastAsia="Calibri" w:cs="Arial"/>
                <w:noProof/>
                <w:sz w:val="20"/>
                <w:szCs w:val="20"/>
              </w:rPr>
              <w:t>Baseline</w:t>
            </w:r>
          </w:p>
        </w:tc>
        <w:tc>
          <w:tcPr>
            <w:tcW w:w="1394" w:type="pct"/>
            <w:noWrap/>
            <w:hideMark/>
          </w:tcPr>
          <w:p w14:paraId="49ABF9E7" w14:textId="77777777" w:rsidR="000B6580" w:rsidRPr="00B42E21" w:rsidRDefault="000B6580" w:rsidP="002C1E5F">
            <w:pPr>
              <w:spacing w:after="0"/>
              <w:rPr>
                <w:rFonts w:eastAsia="Calibri" w:cs="Arial"/>
                <w:noProof/>
                <w:sz w:val="20"/>
                <w:szCs w:val="20"/>
              </w:rPr>
            </w:pPr>
            <w:r w:rsidRPr="00B42E21">
              <w:rPr>
                <w:rFonts w:eastAsia="Calibri" w:cs="Arial"/>
                <w:noProof/>
                <w:sz w:val="20"/>
                <w:szCs w:val="20"/>
              </w:rPr>
              <w:t>Follower</w:t>
            </w:r>
          </w:p>
        </w:tc>
        <w:tc>
          <w:tcPr>
            <w:tcW w:w="731" w:type="pct"/>
            <w:noWrap/>
            <w:hideMark/>
          </w:tcPr>
          <w:p w14:paraId="659EF273" w14:textId="77777777" w:rsidR="000B6580" w:rsidRPr="00B42E21" w:rsidRDefault="000B6580" w:rsidP="00341EB1">
            <w:pPr>
              <w:spacing w:after="0"/>
              <w:jc w:val="right"/>
              <w:rPr>
                <w:rFonts w:eastAsia="Calibri" w:cs="Arial"/>
                <w:noProof/>
                <w:sz w:val="20"/>
                <w:szCs w:val="20"/>
              </w:rPr>
            </w:pPr>
            <w:r w:rsidRPr="00B42E21">
              <w:rPr>
                <w:rFonts w:eastAsia="Calibri" w:cs="Arial"/>
                <w:noProof/>
                <w:sz w:val="20"/>
                <w:szCs w:val="20"/>
              </w:rPr>
              <w:t>0%</w:t>
            </w:r>
          </w:p>
        </w:tc>
        <w:tc>
          <w:tcPr>
            <w:tcW w:w="731" w:type="pct"/>
            <w:noWrap/>
            <w:hideMark/>
          </w:tcPr>
          <w:p w14:paraId="1DC81652" w14:textId="77777777" w:rsidR="000B6580" w:rsidRPr="00B42E21" w:rsidRDefault="000B6580" w:rsidP="00341EB1">
            <w:pPr>
              <w:spacing w:after="0"/>
              <w:jc w:val="right"/>
              <w:rPr>
                <w:rFonts w:eastAsia="Calibri" w:cs="Arial"/>
                <w:noProof/>
                <w:sz w:val="20"/>
                <w:szCs w:val="20"/>
              </w:rPr>
            </w:pPr>
            <w:r w:rsidRPr="00B42E21">
              <w:rPr>
                <w:rFonts w:eastAsia="Calibri" w:cs="Arial"/>
                <w:noProof/>
                <w:sz w:val="20"/>
                <w:szCs w:val="20"/>
              </w:rPr>
              <w:t>2%</w:t>
            </w:r>
          </w:p>
        </w:tc>
        <w:tc>
          <w:tcPr>
            <w:tcW w:w="731" w:type="pct"/>
            <w:noWrap/>
            <w:hideMark/>
          </w:tcPr>
          <w:p w14:paraId="200D1AE3" w14:textId="77777777" w:rsidR="000B6580" w:rsidRPr="00B42E21" w:rsidRDefault="000B6580" w:rsidP="00341EB1">
            <w:pPr>
              <w:spacing w:after="0"/>
              <w:jc w:val="right"/>
              <w:rPr>
                <w:rFonts w:eastAsia="Calibri" w:cs="Arial"/>
                <w:noProof/>
                <w:sz w:val="20"/>
                <w:szCs w:val="20"/>
              </w:rPr>
            </w:pPr>
            <w:r w:rsidRPr="00B42E21">
              <w:rPr>
                <w:rFonts w:eastAsia="Calibri" w:cs="Arial"/>
                <w:noProof/>
                <w:sz w:val="20"/>
                <w:szCs w:val="20"/>
              </w:rPr>
              <w:t>11%</w:t>
            </w:r>
          </w:p>
        </w:tc>
        <w:tc>
          <w:tcPr>
            <w:tcW w:w="732" w:type="pct"/>
            <w:noWrap/>
            <w:hideMark/>
          </w:tcPr>
          <w:p w14:paraId="31CD3ACD" w14:textId="77777777" w:rsidR="000B6580" w:rsidRPr="00B42E21" w:rsidRDefault="000B6580" w:rsidP="00341EB1">
            <w:pPr>
              <w:spacing w:after="0"/>
              <w:jc w:val="right"/>
              <w:rPr>
                <w:rFonts w:eastAsia="Calibri" w:cs="Arial"/>
                <w:noProof/>
                <w:sz w:val="20"/>
                <w:szCs w:val="20"/>
              </w:rPr>
            </w:pPr>
            <w:r w:rsidRPr="00B42E21">
              <w:rPr>
                <w:rFonts w:eastAsia="Calibri" w:cs="Arial"/>
                <w:noProof/>
                <w:sz w:val="20"/>
                <w:szCs w:val="20"/>
              </w:rPr>
              <w:t>20%</w:t>
            </w:r>
          </w:p>
        </w:tc>
      </w:tr>
    </w:tbl>
    <w:p w14:paraId="167AFD1F" w14:textId="77777777" w:rsidR="000572C3" w:rsidRPr="00D71008" w:rsidRDefault="000572C3" w:rsidP="000572C3">
      <w:pPr>
        <w:tabs>
          <w:tab w:val="left" w:pos="2302"/>
        </w:tabs>
        <w:spacing w:after="240"/>
        <w:jc w:val="both"/>
        <w:rPr>
          <w:i/>
          <w:iCs/>
          <w:noProof/>
          <w:sz w:val="20"/>
          <w:szCs w:val="20"/>
        </w:rPr>
      </w:pPr>
      <w:r w:rsidRPr="00D71008">
        <w:rPr>
          <w:i/>
          <w:iCs/>
          <w:noProof/>
          <w:spacing w:val="-8"/>
          <w:sz w:val="20"/>
          <w:szCs w:val="20"/>
        </w:rPr>
        <w:t xml:space="preserve">Source: </w:t>
      </w:r>
      <w:r w:rsidRPr="00D71008">
        <w:rPr>
          <w:i/>
          <w:iCs/>
          <w:noProof/>
          <w:sz w:val="20"/>
          <w:szCs w:val="20"/>
        </w:rPr>
        <w:t>Ricardo et al. (2026), Impact assessment support study</w:t>
      </w:r>
    </w:p>
    <w:p w14:paraId="717323AA" w14:textId="19C9D9BD" w:rsidR="002F6D96" w:rsidRPr="00117904" w:rsidRDefault="009A56DB" w:rsidP="005B0866">
      <w:pPr>
        <w:spacing w:after="240"/>
        <w:jc w:val="both"/>
        <w:rPr>
          <w:rFonts w:eastAsia="Calibri" w:cs="Arial"/>
          <w:noProof/>
          <w:spacing w:val="-8"/>
        </w:rPr>
      </w:pPr>
      <w:r w:rsidRPr="009A56DB">
        <w:rPr>
          <w:rFonts w:eastAsia="Calibri" w:cs="Arial"/>
          <w:noProof/>
          <w:spacing w:val="-8"/>
        </w:rPr>
        <w:t>Starting from the baseline service coverage, equal to the current number of platforms over the</w:t>
      </w:r>
      <w:r w:rsidR="00A008F7">
        <w:rPr>
          <w:rFonts w:eastAsia="Calibri" w:cs="Arial"/>
          <w:noProof/>
          <w:spacing w:val="-8"/>
        </w:rPr>
        <w:t xml:space="preserve"> number for a</w:t>
      </w:r>
      <w:r w:rsidRPr="009A56DB">
        <w:rPr>
          <w:rFonts w:eastAsia="Calibri" w:cs="Arial"/>
          <w:noProof/>
          <w:spacing w:val="-8"/>
        </w:rPr>
        <w:t xml:space="preserve"> </w:t>
      </w:r>
      <w:r w:rsidR="000F51C2">
        <w:rPr>
          <w:rFonts w:eastAsia="Calibri" w:cs="Arial"/>
          <w:noProof/>
          <w:spacing w:val="-8"/>
        </w:rPr>
        <w:t xml:space="preserve">‘mature market’ </w:t>
      </w:r>
      <w:r w:rsidRPr="009A56DB">
        <w:rPr>
          <w:rFonts w:eastAsia="Calibri" w:cs="Arial"/>
          <w:noProof/>
          <w:spacing w:val="-8"/>
        </w:rPr>
        <w:t xml:space="preserve">(for </w:t>
      </w:r>
      <w:r w:rsidR="00A008F7">
        <w:rPr>
          <w:rFonts w:eastAsia="Calibri" w:cs="Arial"/>
          <w:noProof/>
          <w:spacing w:val="-8"/>
        </w:rPr>
        <w:t>l</w:t>
      </w:r>
      <w:r w:rsidRPr="009A56DB">
        <w:rPr>
          <w:rFonts w:eastAsia="Calibri" w:cs="Arial"/>
          <w:noProof/>
          <w:spacing w:val="-8"/>
        </w:rPr>
        <w:t>eaders: 154/385 = 40%), the above metrics for additional service coverage are applied as a percentage increase (</w:t>
      </w:r>
      <w:r w:rsidR="00852B53">
        <w:rPr>
          <w:rFonts w:eastAsia="Calibri" w:cs="Arial"/>
          <w:noProof/>
          <w:spacing w:val="-8"/>
        </w:rPr>
        <w:t>for l</w:t>
      </w:r>
      <w:r w:rsidRPr="009A56DB">
        <w:rPr>
          <w:rFonts w:eastAsia="Calibri" w:cs="Arial"/>
          <w:noProof/>
          <w:spacing w:val="-8"/>
        </w:rPr>
        <w:t xml:space="preserve">eaders in 2050: 40% </w:t>
      </w:r>
      <w:r w:rsidR="00852B53">
        <w:rPr>
          <w:rFonts w:eastAsia="Calibri" w:cs="Arial"/>
          <w:noProof/>
          <w:spacing w:val="-8"/>
        </w:rPr>
        <w:t>x</w:t>
      </w:r>
      <w:r w:rsidRPr="009A56DB">
        <w:rPr>
          <w:rFonts w:eastAsia="Calibri" w:cs="Arial"/>
          <w:noProof/>
          <w:spacing w:val="-8"/>
        </w:rPr>
        <w:t xml:space="preserve"> (1+10%) = 44%) and then multiplied by the </w:t>
      </w:r>
      <w:r w:rsidR="00B8497D">
        <w:rPr>
          <w:rFonts w:eastAsia="Calibri" w:cs="Arial"/>
          <w:noProof/>
          <w:spacing w:val="-8"/>
        </w:rPr>
        <w:t>number</w:t>
      </w:r>
      <w:r w:rsidR="00B1541D">
        <w:rPr>
          <w:rFonts w:eastAsia="Calibri" w:cs="Arial"/>
          <w:noProof/>
          <w:spacing w:val="-8"/>
        </w:rPr>
        <w:t xml:space="preserve"> of platforms in</w:t>
      </w:r>
      <w:r w:rsidR="00B8497D">
        <w:rPr>
          <w:rFonts w:eastAsia="Calibri" w:cs="Arial"/>
          <w:noProof/>
          <w:spacing w:val="-8"/>
        </w:rPr>
        <w:t xml:space="preserve"> a ‘mature market’</w:t>
      </w:r>
      <w:r w:rsidRPr="009A56DB">
        <w:rPr>
          <w:rFonts w:eastAsia="Calibri" w:cs="Arial"/>
          <w:noProof/>
          <w:spacing w:val="-8"/>
        </w:rPr>
        <w:t xml:space="preserve"> (</w:t>
      </w:r>
      <w:r w:rsidR="00CE0B27">
        <w:rPr>
          <w:rFonts w:eastAsia="Calibri" w:cs="Arial"/>
          <w:noProof/>
          <w:spacing w:val="-8"/>
        </w:rPr>
        <w:t>for l</w:t>
      </w:r>
      <w:r w:rsidRPr="009A56DB">
        <w:rPr>
          <w:rFonts w:eastAsia="Calibri" w:cs="Arial"/>
          <w:noProof/>
          <w:spacing w:val="-8"/>
        </w:rPr>
        <w:t xml:space="preserve">eaders </w:t>
      </w:r>
      <w:r w:rsidR="00CE0B27">
        <w:rPr>
          <w:rFonts w:eastAsia="Calibri" w:cs="Arial"/>
          <w:noProof/>
          <w:spacing w:val="-8"/>
        </w:rPr>
        <w:t xml:space="preserve">equal to </w:t>
      </w:r>
      <w:r w:rsidRPr="009A56DB">
        <w:rPr>
          <w:rFonts w:eastAsia="Calibri" w:cs="Arial"/>
          <w:noProof/>
          <w:spacing w:val="-8"/>
        </w:rPr>
        <w:t xml:space="preserve">385) to yield </w:t>
      </w:r>
      <w:r w:rsidR="00CE0B27">
        <w:rPr>
          <w:rFonts w:eastAsia="Calibri" w:cs="Arial"/>
          <w:noProof/>
          <w:spacing w:val="-8"/>
        </w:rPr>
        <w:t xml:space="preserve">the number of MDMS </w:t>
      </w:r>
      <w:r w:rsidRPr="009A56DB">
        <w:rPr>
          <w:rFonts w:eastAsia="Calibri" w:cs="Arial"/>
          <w:noProof/>
          <w:spacing w:val="-8"/>
        </w:rPr>
        <w:t xml:space="preserve">platforms </w:t>
      </w:r>
      <w:r w:rsidR="00913F95">
        <w:rPr>
          <w:rFonts w:eastAsia="Calibri" w:cs="Arial"/>
          <w:noProof/>
          <w:spacing w:val="-8"/>
        </w:rPr>
        <w:t>projected each</w:t>
      </w:r>
      <w:r w:rsidRPr="009A56DB">
        <w:rPr>
          <w:rFonts w:eastAsia="Calibri" w:cs="Arial"/>
          <w:noProof/>
          <w:spacing w:val="-8"/>
        </w:rPr>
        <w:t xml:space="preserve"> year (</w:t>
      </w:r>
      <w:r w:rsidR="00913F95">
        <w:rPr>
          <w:rFonts w:eastAsia="Calibri" w:cs="Arial"/>
          <w:noProof/>
          <w:spacing w:val="-8"/>
        </w:rPr>
        <w:t>for l</w:t>
      </w:r>
      <w:r w:rsidRPr="009A56DB">
        <w:rPr>
          <w:rFonts w:eastAsia="Calibri" w:cs="Arial"/>
          <w:noProof/>
          <w:spacing w:val="-8"/>
        </w:rPr>
        <w:t>eaders in 2050</w:t>
      </w:r>
      <w:r w:rsidR="00104FAF">
        <w:rPr>
          <w:rFonts w:eastAsia="Calibri" w:cs="Arial"/>
          <w:noProof/>
          <w:spacing w:val="-8"/>
        </w:rPr>
        <w:t>,</w:t>
      </w:r>
      <w:r w:rsidRPr="009A56DB">
        <w:rPr>
          <w:rFonts w:eastAsia="Calibri" w:cs="Arial"/>
          <w:noProof/>
          <w:spacing w:val="-8"/>
        </w:rPr>
        <w:t xml:space="preserve"> 169</w:t>
      </w:r>
      <w:r w:rsidR="00104FAF">
        <w:rPr>
          <w:rFonts w:eastAsia="Calibri" w:cs="Arial"/>
          <w:noProof/>
          <w:spacing w:val="-8"/>
        </w:rPr>
        <w:t xml:space="preserve"> platforms</w:t>
      </w:r>
      <w:r w:rsidRPr="009A56DB">
        <w:rPr>
          <w:rFonts w:eastAsia="Calibri" w:cs="Arial"/>
          <w:noProof/>
          <w:spacing w:val="-8"/>
        </w:rPr>
        <w:t xml:space="preserve">). </w:t>
      </w:r>
      <w:r w:rsidR="00E06438" w:rsidRPr="00117904">
        <w:rPr>
          <w:rFonts w:eastAsia="Calibri" w:cs="Arial"/>
          <w:noProof/>
          <w:spacing w:val="-8"/>
        </w:rPr>
        <w:t xml:space="preserve">The projected number of MDMS platforms in the baseline scenario are provided in the table below. </w:t>
      </w:r>
    </w:p>
    <w:p w14:paraId="2F9EC7F0" w14:textId="166F5379" w:rsidR="009D66F5" w:rsidRPr="00BB05EB" w:rsidRDefault="009D66F5" w:rsidP="00BB05EB">
      <w:pPr>
        <w:keepNext/>
        <w:tabs>
          <w:tab w:val="left" w:pos="1134"/>
        </w:tabs>
        <w:rPr>
          <w:bCs/>
          <w:i/>
          <w:iCs/>
          <w:noProof/>
          <w:sz w:val="22"/>
          <w:szCs w:val="22"/>
        </w:rPr>
      </w:pPr>
      <w:r w:rsidRPr="00BB05EB">
        <w:rPr>
          <w:bCs/>
          <w:i/>
          <w:iCs/>
          <w:noProof/>
          <w:sz w:val="22"/>
          <w:szCs w:val="22"/>
        </w:rPr>
        <w:t xml:space="preserve">Table </w:t>
      </w:r>
      <w:r w:rsidRPr="00BB05EB">
        <w:rPr>
          <w:bCs/>
          <w:i/>
          <w:iCs/>
          <w:noProof/>
          <w:sz w:val="22"/>
          <w:szCs w:val="22"/>
        </w:rPr>
        <w:fldChar w:fldCharType="begin"/>
      </w:r>
      <w:r w:rsidRPr="00BB05EB">
        <w:rPr>
          <w:bCs/>
          <w:i/>
          <w:iCs/>
          <w:noProof/>
          <w:sz w:val="22"/>
          <w:szCs w:val="22"/>
        </w:rPr>
        <w:instrText xml:space="preserve"> SEQ Table \* ARABIC </w:instrText>
      </w:r>
      <w:r w:rsidRPr="00BB05EB">
        <w:rPr>
          <w:bCs/>
          <w:i/>
          <w:iCs/>
          <w:noProof/>
          <w:sz w:val="22"/>
          <w:szCs w:val="22"/>
        </w:rPr>
        <w:fldChar w:fldCharType="separate"/>
      </w:r>
      <w:r w:rsidR="0055391F">
        <w:rPr>
          <w:bCs/>
          <w:i/>
          <w:iCs/>
          <w:noProof/>
          <w:sz w:val="22"/>
          <w:szCs w:val="22"/>
        </w:rPr>
        <w:t>56</w:t>
      </w:r>
      <w:r w:rsidRPr="00BB05EB">
        <w:rPr>
          <w:bCs/>
          <w:i/>
          <w:iCs/>
          <w:noProof/>
          <w:sz w:val="22"/>
          <w:szCs w:val="22"/>
        </w:rPr>
        <w:fldChar w:fldCharType="end"/>
      </w:r>
      <w:r w:rsidRPr="00BB05EB">
        <w:rPr>
          <w:bCs/>
          <w:i/>
          <w:iCs/>
          <w:noProof/>
          <w:sz w:val="22"/>
          <w:szCs w:val="22"/>
        </w:rPr>
        <w:t xml:space="preserve">: Estimated number of platforms across the EU in the baseline scenario </w:t>
      </w:r>
    </w:p>
    <w:tbl>
      <w:tblPr>
        <w:tblStyle w:val="Ricardo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5"/>
        <w:gridCol w:w="1763"/>
        <w:gridCol w:w="1763"/>
        <w:gridCol w:w="1763"/>
        <w:gridCol w:w="1759"/>
      </w:tblGrid>
      <w:tr w:rsidR="009D66F5" w:rsidRPr="008A6472" w14:paraId="676EAA63" w14:textId="77777777">
        <w:trPr>
          <w:cnfStyle w:val="100000000000" w:firstRow="1" w:lastRow="0" w:firstColumn="0" w:lastColumn="0" w:oddVBand="0" w:evenVBand="0" w:oddHBand="0" w:evenHBand="0" w:firstRowFirstColumn="0" w:firstRowLastColumn="0" w:lastRowFirstColumn="0" w:lastRowLastColumn="0"/>
          <w:trHeight w:val="204"/>
        </w:trPr>
        <w:tc>
          <w:tcPr>
            <w:tcW w:w="1330" w:type="pct"/>
            <w:vMerge w:val="restart"/>
            <w:shd w:val="clear" w:color="auto" w:fill="0070C0"/>
            <w:noWrap/>
          </w:tcPr>
          <w:p w14:paraId="796906D2" w14:textId="77777777" w:rsidR="009D66F5" w:rsidRPr="00B42E21" w:rsidRDefault="009D66F5" w:rsidP="00BB05EB">
            <w:pPr>
              <w:spacing w:before="0" w:after="0" w:line="240" w:lineRule="auto"/>
              <w:jc w:val="both"/>
              <w:rPr>
                <w:rFonts w:cs="Arial"/>
                <w:noProof/>
                <w:sz w:val="20"/>
                <w:szCs w:val="20"/>
              </w:rPr>
            </w:pPr>
          </w:p>
        </w:tc>
        <w:tc>
          <w:tcPr>
            <w:tcW w:w="3670" w:type="pct"/>
            <w:gridSpan w:val="4"/>
            <w:shd w:val="clear" w:color="auto" w:fill="0070C0"/>
            <w:noWrap/>
            <w:hideMark/>
          </w:tcPr>
          <w:p w14:paraId="4D378ED0" w14:textId="77777777" w:rsidR="009D66F5" w:rsidRPr="00B42E21" w:rsidRDefault="009D66F5" w:rsidP="00BB05EB">
            <w:pPr>
              <w:spacing w:before="0" w:after="0" w:line="240" w:lineRule="auto"/>
              <w:jc w:val="center"/>
              <w:rPr>
                <w:rFonts w:cs="Arial"/>
                <w:noProof/>
                <w:sz w:val="20"/>
                <w:szCs w:val="20"/>
              </w:rPr>
            </w:pPr>
            <w:r w:rsidRPr="00B42E21">
              <w:rPr>
                <w:rFonts w:cs="Arial"/>
                <w:noProof/>
                <w:sz w:val="20"/>
                <w:szCs w:val="20"/>
              </w:rPr>
              <w:t>Number of platforms in the baseline in EU27</w:t>
            </w:r>
          </w:p>
        </w:tc>
      </w:tr>
      <w:tr w:rsidR="009D66F5" w:rsidRPr="008A6472" w14:paraId="1C9D0433" w14:textId="77777777" w:rsidTr="00E06438">
        <w:trPr>
          <w:trHeight w:val="340"/>
        </w:trPr>
        <w:tc>
          <w:tcPr>
            <w:tcW w:w="1330" w:type="pct"/>
            <w:vMerge/>
            <w:shd w:val="clear" w:color="auto" w:fill="0070C0"/>
            <w:noWrap/>
            <w:hideMark/>
          </w:tcPr>
          <w:p w14:paraId="1B8B763A" w14:textId="77777777" w:rsidR="009D66F5" w:rsidRPr="00B42E21" w:rsidRDefault="009D66F5" w:rsidP="00E06438">
            <w:pPr>
              <w:spacing w:before="0" w:after="0" w:line="240" w:lineRule="auto"/>
              <w:rPr>
                <w:rFonts w:cs="Arial"/>
                <w:b/>
                <w:noProof/>
                <w:color w:val="FFFFFF" w:themeColor="background1"/>
                <w:sz w:val="20"/>
                <w:szCs w:val="20"/>
              </w:rPr>
            </w:pPr>
          </w:p>
        </w:tc>
        <w:tc>
          <w:tcPr>
            <w:tcW w:w="918" w:type="pct"/>
            <w:shd w:val="clear" w:color="auto" w:fill="0070C0"/>
            <w:noWrap/>
            <w:hideMark/>
          </w:tcPr>
          <w:p w14:paraId="504355E0" w14:textId="77777777" w:rsidR="009D66F5" w:rsidRPr="00B42E21" w:rsidRDefault="009D66F5" w:rsidP="00E06438">
            <w:pPr>
              <w:spacing w:before="0" w:after="0" w:line="240" w:lineRule="auto"/>
              <w:jc w:val="center"/>
              <w:rPr>
                <w:rFonts w:cs="Arial"/>
                <w:b/>
                <w:noProof/>
                <w:color w:val="FFFFFF" w:themeColor="background1"/>
                <w:sz w:val="20"/>
                <w:szCs w:val="20"/>
              </w:rPr>
            </w:pPr>
            <w:r w:rsidRPr="00B42E21">
              <w:rPr>
                <w:rFonts w:cs="Arial"/>
                <w:b/>
                <w:noProof/>
                <w:color w:val="FFFFFF" w:themeColor="background1"/>
                <w:sz w:val="20"/>
                <w:szCs w:val="20"/>
              </w:rPr>
              <w:t>2028</w:t>
            </w:r>
          </w:p>
        </w:tc>
        <w:tc>
          <w:tcPr>
            <w:tcW w:w="918" w:type="pct"/>
            <w:shd w:val="clear" w:color="auto" w:fill="0070C0"/>
            <w:hideMark/>
          </w:tcPr>
          <w:p w14:paraId="4242652A" w14:textId="77777777" w:rsidR="009D66F5" w:rsidRPr="00B42E21" w:rsidRDefault="009D66F5" w:rsidP="00E06438">
            <w:pPr>
              <w:spacing w:before="0" w:after="0" w:line="240" w:lineRule="auto"/>
              <w:jc w:val="center"/>
              <w:rPr>
                <w:rFonts w:cs="Arial"/>
                <w:b/>
                <w:noProof/>
                <w:color w:val="FFFFFF" w:themeColor="background1"/>
                <w:sz w:val="20"/>
                <w:szCs w:val="20"/>
              </w:rPr>
            </w:pPr>
            <w:r w:rsidRPr="00B42E21">
              <w:rPr>
                <w:rFonts w:cs="Arial"/>
                <w:b/>
                <w:noProof/>
                <w:color w:val="FFFFFF" w:themeColor="background1"/>
                <w:sz w:val="20"/>
                <w:szCs w:val="20"/>
              </w:rPr>
              <w:t>2030</w:t>
            </w:r>
          </w:p>
        </w:tc>
        <w:tc>
          <w:tcPr>
            <w:tcW w:w="918" w:type="pct"/>
            <w:shd w:val="clear" w:color="auto" w:fill="0070C0"/>
            <w:hideMark/>
          </w:tcPr>
          <w:p w14:paraId="082FE097" w14:textId="77777777" w:rsidR="009D66F5" w:rsidRPr="00B42E21" w:rsidRDefault="009D66F5" w:rsidP="00E06438">
            <w:pPr>
              <w:spacing w:before="0" w:after="0" w:line="240" w:lineRule="auto"/>
              <w:jc w:val="center"/>
              <w:rPr>
                <w:rFonts w:cs="Arial"/>
                <w:b/>
                <w:noProof/>
                <w:color w:val="FFFFFF" w:themeColor="background1"/>
                <w:sz w:val="20"/>
                <w:szCs w:val="20"/>
              </w:rPr>
            </w:pPr>
            <w:r w:rsidRPr="00B42E21">
              <w:rPr>
                <w:rFonts w:cs="Arial"/>
                <w:b/>
                <w:noProof/>
                <w:color w:val="FFFFFF" w:themeColor="background1"/>
                <w:sz w:val="20"/>
                <w:szCs w:val="20"/>
              </w:rPr>
              <w:t>2040</w:t>
            </w:r>
          </w:p>
        </w:tc>
        <w:tc>
          <w:tcPr>
            <w:tcW w:w="916" w:type="pct"/>
            <w:shd w:val="clear" w:color="auto" w:fill="0070C0"/>
            <w:hideMark/>
          </w:tcPr>
          <w:p w14:paraId="2FC7BCA6" w14:textId="77777777" w:rsidR="009D66F5" w:rsidRPr="00B42E21" w:rsidRDefault="009D66F5" w:rsidP="00E06438">
            <w:pPr>
              <w:spacing w:before="0" w:after="0" w:line="240" w:lineRule="auto"/>
              <w:jc w:val="center"/>
              <w:rPr>
                <w:rFonts w:cs="Arial"/>
                <w:b/>
                <w:noProof/>
                <w:color w:val="FFFFFF" w:themeColor="background1"/>
                <w:sz w:val="20"/>
                <w:szCs w:val="20"/>
              </w:rPr>
            </w:pPr>
            <w:r w:rsidRPr="00B42E21">
              <w:rPr>
                <w:rFonts w:cs="Arial"/>
                <w:b/>
                <w:noProof/>
                <w:color w:val="FFFFFF" w:themeColor="background1"/>
                <w:sz w:val="20"/>
                <w:szCs w:val="20"/>
              </w:rPr>
              <w:t>2050</w:t>
            </w:r>
          </w:p>
        </w:tc>
      </w:tr>
      <w:tr w:rsidR="009D66F5" w:rsidRPr="008A6472" w14:paraId="39442DD8" w14:textId="77777777" w:rsidTr="00E06438">
        <w:trPr>
          <w:trHeight w:val="227"/>
        </w:trPr>
        <w:tc>
          <w:tcPr>
            <w:tcW w:w="1330" w:type="pct"/>
            <w:noWrap/>
            <w:hideMark/>
          </w:tcPr>
          <w:p w14:paraId="4EB6CE7A" w14:textId="77777777" w:rsidR="009D66F5" w:rsidRPr="00B42E21" w:rsidRDefault="009D66F5" w:rsidP="00E06438">
            <w:pPr>
              <w:spacing w:before="0" w:after="0" w:line="240" w:lineRule="auto"/>
              <w:rPr>
                <w:rFonts w:cs="Arial"/>
                <w:noProof/>
                <w:sz w:val="20"/>
                <w:szCs w:val="20"/>
              </w:rPr>
            </w:pPr>
            <w:r w:rsidRPr="00B42E21">
              <w:rPr>
                <w:rFonts w:cs="Arial"/>
                <w:noProof/>
                <w:sz w:val="20"/>
                <w:szCs w:val="20"/>
              </w:rPr>
              <w:t>Leaders</w:t>
            </w:r>
          </w:p>
        </w:tc>
        <w:tc>
          <w:tcPr>
            <w:tcW w:w="918" w:type="pct"/>
            <w:noWrap/>
            <w:vAlign w:val="top"/>
            <w:hideMark/>
          </w:tcPr>
          <w:p w14:paraId="561BEFC4" w14:textId="77777777" w:rsidR="009D66F5" w:rsidRPr="00B42E21" w:rsidRDefault="009D66F5" w:rsidP="00E06438">
            <w:pPr>
              <w:spacing w:before="0" w:after="0" w:line="240" w:lineRule="auto"/>
              <w:jc w:val="center"/>
              <w:rPr>
                <w:rFonts w:cs="Arial"/>
                <w:noProof/>
                <w:sz w:val="20"/>
                <w:szCs w:val="20"/>
              </w:rPr>
            </w:pPr>
            <w:r w:rsidRPr="00B42E21">
              <w:rPr>
                <w:noProof/>
                <w:sz w:val="20"/>
                <w:szCs w:val="20"/>
              </w:rPr>
              <w:t xml:space="preserve"> 154 </w:t>
            </w:r>
          </w:p>
        </w:tc>
        <w:tc>
          <w:tcPr>
            <w:tcW w:w="918" w:type="pct"/>
            <w:vAlign w:val="top"/>
          </w:tcPr>
          <w:p w14:paraId="08CA1D0E" w14:textId="77777777" w:rsidR="009D66F5" w:rsidRPr="00B42E21" w:rsidRDefault="009D66F5" w:rsidP="00E06438">
            <w:pPr>
              <w:spacing w:before="0" w:after="0" w:line="240" w:lineRule="auto"/>
              <w:jc w:val="center"/>
              <w:rPr>
                <w:rFonts w:cs="Arial"/>
                <w:noProof/>
                <w:sz w:val="20"/>
                <w:szCs w:val="20"/>
              </w:rPr>
            </w:pPr>
            <w:r w:rsidRPr="00B42E21">
              <w:rPr>
                <w:noProof/>
                <w:sz w:val="20"/>
                <w:szCs w:val="20"/>
              </w:rPr>
              <w:t xml:space="preserve"> 155 </w:t>
            </w:r>
          </w:p>
        </w:tc>
        <w:tc>
          <w:tcPr>
            <w:tcW w:w="918" w:type="pct"/>
            <w:vAlign w:val="top"/>
          </w:tcPr>
          <w:p w14:paraId="4CC9564F" w14:textId="77777777" w:rsidR="009D66F5" w:rsidRPr="00B42E21" w:rsidRDefault="009D66F5" w:rsidP="00E06438">
            <w:pPr>
              <w:spacing w:before="0" w:after="0" w:line="240" w:lineRule="auto"/>
              <w:jc w:val="center"/>
              <w:rPr>
                <w:rFonts w:cs="Arial"/>
                <w:noProof/>
                <w:sz w:val="20"/>
                <w:szCs w:val="20"/>
              </w:rPr>
            </w:pPr>
            <w:r w:rsidRPr="00B42E21">
              <w:rPr>
                <w:noProof/>
                <w:sz w:val="20"/>
                <w:szCs w:val="20"/>
              </w:rPr>
              <w:t xml:space="preserve"> 162 </w:t>
            </w:r>
          </w:p>
        </w:tc>
        <w:tc>
          <w:tcPr>
            <w:tcW w:w="916" w:type="pct"/>
            <w:vAlign w:val="top"/>
          </w:tcPr>
          <w:p w14:paraId="630105B0" w14:textId="77777777" w:rsidR="009D66F5" w:rsidRPr="00B42E21" w:rsidRDefault="009D66F5" w:rsidP="00E06438">
            <w:pPr>
              <w:spacing w:before="0" w:after="0" w:line="240" w:lineRule="auto"/>
              <w:jc w:val="center"/>
              <w:rPr>
                <w:rFonts w:cs="Arial"/>
                <w:noProof/>
                <w:sz w:val="20"/>
                <w:szCs w:val="20"/>
              </w:rPr>
            </w:pPr>
            <w:r w:rsidRPr="00B42E21">
              <w:rPr>
                <w:noProof/>
                <w:sz w:val="20"/>
                <w:szCs w:val="20"/>
              </w:rPr>
              <w:t xml:space="preserve"> 169 </w:t>
            </w:r>
          </w:p>
        </w:tc>
      </w:tr>
      <w:tr w:rsidR="009D66F5" w:rsidRPr="008A6472" w14:paraId="3B8C0DF7" w14:textId="77777777" w:rsidTr="00E06438">
        <w:trPr>
          <w:trHeight w:val="227"/>
        </w:trPr>
        <w:tc>
          <w:tcPr>
            <w:tcW w:w="1330" w:type="pct"/>
            <w:noWrap/>
            <w:hideMark/>
          </w:tcPr>
          <w:p w14:paraId="079F8972" w14:textId="77777777" w:rsidR="009D66F5" w:rsidRPr="00B42E21" w:rsidRDefault="009D66F5" w:rsidP="00E06438">
            <w:pPr>
              <w:spacing w:before="0" w:after="0" w:line="240" w:lineRule="auto"/>
              <w:rPr>
                <w:rFonts w:cs="Arial"/>
                <w:noProof/>
                <w:sz w:val="20"/>
                <w:szCs w:val="20"/>
              </w:rPr>
            </w:pPr>
            <w:r w:rsidRPr="00B42E21">
              <w:rPr>
                <w:rFonts w:cs="Arial"/>
                <w:noProof/>
                <w:sz w:val="20"/>
                <w:szCs w:val="20"/>
              </w:rPr>
              <w:t>Planned Adopters</w:t>
            </w:r>
          </w:p>
        </w:tc>
        <w:tc>
          <w:tcPr>
            <w:tcW w:w="918" w:type="pct"/>
            <w:noWrap/>
            <w:vAlign w:val="top"/>
            <w:hideMark/>
          </w:tcPr>
          <w:p w14:paraId="0E6882F4" w14:textId="77777777" w:rsidR="009D66F5" w:rsidRPr="00B42E21" w:rsidRDefault="009D66F5" w:rsidP="00E06438">
            <w:pPr>
              <w:spacing w:before="0" w:after="0" w:line="240" w:lineRule="auto"/>
              <w:jc w:val="center"/>
              <w:rPr>
                <w:rFonts w:cs="Arial"/>
                <w:noProof/>
                <w:sz w:val="20"/>
                <w:szCs w:val="20"/>
              </w:rPr>
            </w:pPr>
            <w:r w:rsidRPr="00B42E21">
              <w:rPr>
                <w:noProof/>
                <w:sz w:val="20"/>
                <w:szCs w:val="20"/>
              </w:rPr>
              <w:t xml:space="preserve"> 157 </w:t>
            </w:r>
          </w:p>
        </w:tc>
        <w:tc>
          <w:tcPr>
            <w:tcW w:w="918" w:type="pct"/>
            <w:vAlign w:val="top"/>
          </w:tcPr>
          <w:p w14:paraId="5A748861" w14:textId="77777777" w:rsidR="009D66F5" w:rsidRPr="00B42E21" w:rsidRDefault="009D66F5" w:rsidP="00E06438">
            <w:pPr>
              <w:spacing w:before="0" w:after="0" w:line="240" w:lineRule="auto"/>
              <w:jc w:val="center"/>
              <w:rPr>
                <w:rFonts w:cs="Arial"/>
                <w:noProof/>
                <w:sz w:val="20"/>
                <w:szCs w:val="20"/>
              </w:rPr>
            </w:pPr>
            <w:r w:rsidRPr="00B42E21">
              <w:rPr>
                <w:noProof/>
                <w:sz w:val="20"/>
                <w:szCs w:val="20"/>
              </w:rPr>
              <w:t xml:space="preserve"> 160 </w:t>
            </w:r>
          </w:p>
        </w:tc>
        <w:tc>
          <w:tcPr>
            <w:tcW w:w="918" w:type="pct"/>
            <w:vAlign w:val="top"/>
          </w:tcPr>
          <w:p w14:paraId="43A0E4DA" w14:textId="77777777" w:rsidR="009D66F5" w:rsidRPr="00B42E21" w:rsidRDefault="009D66F5" w:rsidP="00E06438">
            <w:pPr>
              <w:spacing w:before="0" w:after="0" w:line="240" w:lineRule="auto"/>
              <w:jc w:val="center"/>
              <w:rPr>
                <w:rFonts w:cs="Arial"/>
                <w:noProof/>
                <w:sz w:val="20"/>
                <w:szCs w:val="20"/>
              </w:rPr>
            </w:pPr>
            <w:r w:rsidRPr="00B42E21">
              <w:rPr>
                <w:noProof/>
                <w:sz w:val="20"/>
                <w:szCs w:val="20"/>
              </w:rPr>
              <w:t xml:space="preserve"> 174 </w:t>
            </w:r>
          </w:p>
        </w:tc>
        <w:tc>
          <w:tcPr>
            <w:tcW w:w="916" w:type="pct"/>
            <w:vAlign w:val="top"/>
          </w:tcPr>
          <w:p w14:paraId="0E786374" w14:textId="304001D1" w:rsidR="009D66F5" w:rsidRPr="00B42E21" w:rsidRDefault="009D66F5" w:rsidP="00E06438">
            <w:pPr>
              <w:spacing w:before="0" w:after="0" w:line="240" w:lineRule="auto"/>
              <w:jc w:val="center"/>
              <w:rPr>
                <w:rFonts w:cs="Arial"/>
                <w:noProof/>
                <w:sz w:val="20"/>
                <w:szCs w:val="20"/>
              </w:rPr>
            </w:pPr>
            <w:r w:rsidRPr="00B42E21">
              <w:rPr>
                <w:noProof/>
                <w:sz w:val="20"/>
                <w:szCs w:val="20"/>
              </w:rPr>
              <w:t xml:space="preserve"> </w:t>
            </w:r>
            <w:r w:rsidR="00BF0A37" w:rsidRPr="00B42E21">
              <w:rPr>
                <w:noProof/>
                <w:sz w:val="20"/>
                <w:szCs w:val="20"/>
              </w:rPr>
              <w:t>18</w:t>
            </w:r>
            <w:r w:rsidR="00BF0A37">
              <w:rPr>
                <w:noProof/>
                <w:sz w:val="20"/>
                <w:szCs w:val="20"/>
              </w:rPr>
              <w:t>8</w:t>
            </w:r>
            <w:r w:rsidR="00BF0A37" w:rsidRPr="00B42E21">
              <w:rPr>
                <w:noProof/>
                <w:sz w:val="20"/>
                <w:szCs w:val="20"/>
              </w:rPr>
              <w:t xml:space="preserve"> </w:t>
            </w:r>
          </w:p>
        </w:tc>
      </w:tr>
      <w:tr w:rsidR="009D66F5" w:rsidRPr="008A6472" w14:paraId="644F0653" w14:textId="77777777" w:rsidTr="00E06438">
        <w:trPr>
          <w:trHeight w:val="227"/>
        </w:trPr>
        <w:tc>
          <w:tcPr>
            <w:tcW w:w="1330" w:type="pct"/>
            <w:noWrap/>
            <w:hideMark/>
          </w:tcPr>
          <w:p w14:paraId="070098BF" w14:textId="77777777" w:rsidR="009D66F5" w:rsidRPr="00B42E21" w:rsidRDefault="009D66F5" w:rsidP="00E06438">
            <w:pPr>
              <w:spacing w:before="0" w:after="0" w:line="240" w:lineRule="auto"/>
              <w:rPr>
                <w:rFonts w:cs="Arial"/>
                <w:noProof/>
                <w:sz w:val="20"/>
                <w:szCs w:val="20"/>
              </w:rPr>
            </w:pPr>
            <w:r w:rsidRPr="00B42E21">
              <w:rPr>
                <w:rFonts w:cs="Arial"/>
                <w:noProof/>
                <w:sz w:val="20"/>
                <w:szCs w:val="20"/>
              </w:rPr>
              <w:t>Followers</w:t>
            </w:r>
          </w:p>
        </w:tc>
        <w:tc>
          <w:tcPr>
            <w:tcW w:w="918" w:type="pct"/>
            <w:noWrap/>
            <w:vAlign w:val="top"/>
            <w:hideMark/>
          </w:tcPr>
          <w:p w14:paraId="3CF08CF6" w14:textId="77777777" w:rsidR="009D66F5" w:rsidRPr="00B42E21" w:rsidRDefault="009D66F5" w:rsidP="00E06438">
            <w:pPr>
              <w:spacing w:before="0" w:after="0" w:line="240" w:lineRule="auto"/>
              <w:jc w:val="center"/>
              <w:rPr>
                <w:rFonts w:cs="Arial"/>
                <w:noProof/>
                <w:sz w:val="20"/>
                <w:szCs w:val="20"/>
              </w:rPr>
            </w:pPr>
            <w:r w:rsidRPr="00B42E21">
              <w:rPr>
                <w:noProof/>
                <w:sz w:val="20"/>
                <w:szCs w:val="20"/>
              </w:rPr>
              <w:t xml:space="preserve"> 53 </w:t>
            </w:r>
          </w:p>
        </w:tc>
        <w:tc>
          <w:tcPr>
            <w:tcW w:w="918" w:type="pct"/>
            <w:vAlign w:val="top"/>
          </w:tcPr>
          <w:p w14:paraId="735C8E55" w14:textId="77777777" w:rsidR="009D66F5" w:rsidRPr="00B42E21" w:rsidRDefault="009D66F5" w:rsidP="00E06438">
            <w:pPr>
              <w:spacing w:before="0" w:after="0" w:line="240" w:lineRule="auto"/>
              <w:jc w:val="center"/>
              <w:rPr>
                <w:rFonts w:cs="Arial"/>
                <w:noProof/>
                <w:sz w:val="20"/>
                <w:szCs w:val="20"/>
              </w:rPr>
            </w:pPr>
            <w:r w:rsidRPr="00B42E21">
              <w:rPr>
                <w:noProof/>
                <w:sz w:val="20"/>
                <w:szCs w:val="20"/>
              </w:rPr>
              <w:t xml:space="preserve"> 54 </w:t>
            </w:r>
          </w:p>
        </w:tc>
        <w:tc>
          <w:tcPr>
            <w:tcW w:w="918" w:type="pct"/>
            <w:vAlign w:val="top"/>
          </w:tcPr>
          <w:p w14:paraId="40CD5255" w14:textId="77777777" w:rsidR="009D66F5" w:rsidRPr="00B42E21" w:rsidRDefault="009D66F5" w:rsidP="00E06438">
            <w:pPr>
              <w:spacing w:before="0" w:after="0" w:line="240" w:lineRule="auto"/>
              <w:jc w:val="center"/>
              <w:rPr>
                <w:rFonts w:cs="Arial"/>
                <w:noProof/>
                <w:sz w:val="20"/>
                <w:szCs w:val="20"/>
              </w:rPr>
            </w:pPr>
            <w:r w:rsidRPr="00B42E21">
              <w:rPr>
                <w:noProof/>
                <w:sz w:val="20"/>
                <w:szCs w:val="20"/>
              </w:rPr>
              <w:t xml:space="preserve"> 59 </w:t>
            </w:r>
          </w:p>
        </w:tc>
        <w:tc>
          <w:tcPr>
            <w:tcW w:w="916" w:type="pct"/>
            <w:vAlign w:val="top"/>
          </w:tcPr>
          <w:p w14:paraId="1FDC5FAC" w14:textId="77777777" w:rsidR="009D66F5" w:rsidRPr="00B42E21" w:rsidRDefault="009D66F5" w:rsidP="00E06438">
            <w:pPr>
              <w:spacing w:before="0" w:after="0" w:line="240" w:lineRule="auto"/>
              <w:jc w:val="center"/>
              <w:rPr>
                <w:rFonts w:cs="Arial"/>
                <w:noProof/>
                <w:sz w:val="20"/>
                <w:szCs w:val="20"/>
              </w:rPr>
            </w:pPr>
            <w:r w:rsidRPr="00B42E21">
              <w:rPr>
                <w:noProof/>
                <w:sz w:val="20"/>
                <w:szCs w:val="20"/>
              </w:rPr>
              <w:t xml:space="preserve"> 64 </w:t>
            </w:r>
          </w:p>
        </w:tc>
      </w:tr>
      <w:tr w:rsidR="009D66F5" w:rsidRPr="008A6472" w14:paraId="32016F94" w14:textId="77777777" w:rsidTr="00E06438">
        <w:trPr>
          <w:trHeight w:val="227"/>
        </w:trPr>
        <w:tc>
          <w:tcPr>
            <w:tcW w:w="1330" w:type="pct"/>
            <w:shd w:val="clear" w:color="auto" w:fill="FFFFFF" w:themeFill="background1"/>
            <w:noWrap/>
            <w:hideMark/>
          </w:tcPr>
          <w:p w14:paraId="46B28AE0" w14:textId="77777777" w:rsidR="009D66F5" w:rsidRPr="00B42E21" w:rsidRDefault="009D66F5" w:rsidP="00E06438">
            <w:pPr>
              <w:spacing w:before="0" w:after="0" w:line="240" w:lineRule="auto"/>
              <w:rPr>
                <w:rFonts w:cs="Arial"/>
                <w:b/>
                <w:noProof/>
                <w:sz w:val="20"/>
                <w:szCs w:val="20"/>
              </w:rPr>
            </w:pPr>
            <w:r w:rsidRPr="00B42E21">
              <w:rPr>
                <w:rFonts w:cs="Arial"/>
                <w:b/>
                <w:noProof/>
                <w:sz w:val="20"/>
                <w:szCs w:val="20"/>
              </w:rPr>
              <w:t>Total</w:t>
            </w:r>
          </w:p>
        </w:tc>
        <w:tc>
          <w:tcPr>
            <w:tcW w:w="918" w:type="pct"/>
            <w:shd w:val="clear" w:color="auto" w:fill="FFFFFF" w:themeFill="background1"/>
            <w:noWrap/>
            <w:vAlign w:val="top"/>
            <w:hideMark/>
          </w:tcPr>
          <w:p w14:paraId="4A867C5B" w14:textId="77777777" w:rsidR="009D66F5" w:rsidRPr="00B42E21" w:rsidRDefault="009D66F5" w:rsidP="00E06438">
            <w:pPr>
              <w:spacing w:before="0" w:after="0" w:line="240" w:lineRule="auto"/>
              <w:jc w:val="center"/>
              <w:rPr>
                <w:rFonts w:cs="Arial"/>
                <w:b/>
                <w:noProof/>
                <w:sz w:val="20"/>
                <w:szCs w:val="20"/>
              </w:rPr>
            </w:pPr>
            <w:r w:rsidRPr="00B42E21">
              <w:rPr>
                <w:b/>
                <w:noProof/>
                <w:sz w:val="20"/>
                <w:szCs w:val="20"/>
              </w:rPr>
              <w:t xml:space="preserve"> 364 </w:t>
            </w:r>
          </w:p>
        </w:tc>
        <w:tc>
          <w:tcPr>
            <w:tcW w:w="918" w:type="pct"/>
            <w:shd w:val="clear" w:color="auto" w:fill="FFFFFF" w:themeFill="background1"/>
            <w:vAlign w:val="top"/>
          </w:tcPr>
          <w:p w14:paraId="245D85C1" w14:textId="77777777" w:rsidR="009D66F5" w:rsidRPr="00B42E21" w:rsidRDefault="009D66F5" w:rsidP="00E06438">
            <w:pPr>
              <w:spacing w:before="0" w:after="0" w:line="240" w:lineRule="auto"/>
              <w:jc w:val="center"/>
              <w:rPr>
                <w:rFonts w:cs="Arial"/>
                <w:b/>
                <w:noProof/>
                <w:sz w:val="20"/>
                <w:szCs w:val="20"/>
              </w:rPr>
            </w:pPr>
            <w:r w:rsidRPr="00B42E21">
              <w:rPr>
                <w:b/>
                <w:noProof/>
                <w:sz w:val="20"/>
                <w:szCs w:val="20"/>
              </w:rPr>
              <w:t xml:space="preserve"> 369 </w:t>
            </w:r>
          </w:p>
        </w:tc>
        <w:tc>
          <w:tcPr>
            <w:tcW w:w="918" w:type="pct"/>
            <w:shd w:val="clear" w:color="auto" w:fill="FFFFFF" w:themeFill="background1"/>
            <w:vAlign w:val="top"/>
          </w:tcPr>
          <w:p w14:paraId="32E0F6A9" w14:textId="77777777" w:rsidR="009D66F5" w:rsidRPr="00B42E21" w:rsidRDefault="009D66F5" w:rsidP="00E06438">
            <w:pPr>
              <w:spacing w:before="0" w:after="0" w:line="240" w:lineRule="auto"/>
              <w:jc w:val="center"/>
              <w:rPr>
                <w:rFonts w:cs="Arial"/>
                <w:b/>
                <w:noProof/>
                <w:sz w:val="20"/>
                <w:szCs w:val="20"/>
              </w:rPr>
            </w:pPr>
            <w:r w:rsidRPr="00B42E21">
              <w:rPr>
                <w:b/>
                <w:noProof/>
                <w:sz w:val="20"/>
                <w:szCs w:val="20"/>
              </w:rPr>
              <w:t xml:space="preserve"> 395 </w:t>
            </w:r>
          </w:p>
        </w:tc>
        <w:tc>
          <w:tcPr>
            <w:tcW w:w="916" w:type="pct"/>
            <w:shd w:val="clear" w:color="auto" w:fill="FFFFFF" w:themeFill="background1"/>
            <w:vAlign w:val="top"/>
          </w:tcPr>
          <w:p w14:paraId="7B63780C" w14:textId="77777777" w:rsidR="009D66F5" w:rsidRPr="00B42E21" w:rsidRDefault="009D66F5" w:rsidP="00E06438">
            <w:pPr>
              <w:spacing w:before="0" w:after="0" w:line="240" w:lineRule="auto"/>
              <w:jc w:val="center"/>
              <w:rPr>
                <w:rFonts w:cs="Arial"/>
                <w:b/>
                <w:noProof/>
                <w:sz w:val="20"/>
                <w:szCs w:val="20"/>
              </w:rPr>
            </w:pPr>
            <w:r w:rsidRPr="00B42E21">
              <w:rPr>
                <w:b/>
                <w:noProof/>
                <w:sz w:val="20"/>
                <w:szCs w:val="20"/>
              </w:rPr>
              <w:t xml:space="preserve"> 421 </w:t>
            </w:r>
          </w:p>
        </w:tc>
      </w:tr>
    </w:tbl>
    <w:p w14:paraId="74FC1B5E" w14:textId="77777777" w:rsidR="00E06438" w:rsidRPr="00D71008" w:rsidRDefault="00E06438" w:rsidP="00E06438">
      <w:pPr>
        <w:tabs>
          <w:tab w:val="left" w:pos="2302"/>
        </w:tabs>
        <w:spacing w:after="240"/>
        <w:jc w:val="both"/>
        <w:rPr>
          <w:i/>
          <w:iCs/>
          <w:noProof/>
          <w:sz w:val="20"/>
          <w:szCs w:val="20"/>
        </w:rPr>
      </w:pPr>
      <w:r w:rsidRPr="00D71008">
        <w:rPr>
          <w:i/>
          <w:iCs/>
          <w:noProof/>
          <w:spacing w:val="-8"/>
          <w:sz w:val="20"/>
          <w:szCs w:val="20"/>
        </w:rPr>
        <w:t xml:space="preserve">Source: </w:t>
      </w:r>
      <w:r w:rsidRPr="00D71008">
        <w:rPr>
          <w:i/>
          <w:iCs/>
          <w:noProof/>
          <w:sz w:val="20"/>
          <w:szCs w:val="20"/>
        </w:rPr>
        <w:t>Ricardo et al. (2026), Impact assessment support study</w:t>
      </w:r>
    </w:p>
    <w:p w14:paraId="13F2C505" w14:textId="2DEF21F3" w:rsidR="00B42E21" w:rsidRPr="00D71008" w:rsidRDefault="006C133F" w:rsidP="006C133F">
      <w:pPr>
        <w:spacing w:after="240"/>
        <w:jc w:val="both"/>
        <w:rPr>
          <w:i/>
          <w:iCs/>
          <w:noProof/>
          <w:sz w:val="20"/>
          <w:szCs w:val="20"/>
        </w:rPr>
      </w:pPr>
      <w:r w:rsidRPr="00104FF6">
        <w:rPr>
          <w:noProof/>
          <w:spacing w:val="-8"/>
        </w:rPr>
        <w:t>The growing digitalisation of transport services and the emergence of new business models for ticket distribution is expected to lead to an increase in the number of MDMS platforms over time. The number of MDMS platforms is projected to increase from 364 in 2025 to 369 in 2030, and 421 in 2050 in the baseline scenario. The number of agreements between MDMS platforms and transport operators is also expected to increase, from 48,624 in 2025 to 49,321 in 2030, and 56,295 in 2050. This trend reflects the projected growth in ticket sales across all transport modes, alongside the rising share of online sales. However, differences are expected between modes. In aviation ticket distribution has already undergone significant transformation. Since IATA introduced new standards in 2015, 75 NCAs have entered the global air distribution market.</w:t>
      </w:r>
      <w:r w:rsidRPr="00104FF6">
        <w:rPr>
          <w:noProof/>
        </w:rPr>
        <w:t xml:space="preserve"> </w:t>
      </w:r>
      <w:r w:rsidRPr="00104FF6">
        <w:rPr>
          <w:noProof/>
          <w:spacing w:val="-8"/>
        </w:rPr>
        <w:t>At the same time, the OTA market has consolidated around players offering integrated travel and hotel bookings. As a result, growth in air-focused platforms is likely to slow, with new entrants mainly offering differentiated, integrated solutions tailored to specific consumer or corporate needs.</w:t>
      </w:r>
      <w:r w:rsidRPr="00104FF6">
        <w:rPr>
          <w:noProof/>
        </w:rPr>
        <w:t xml:space="preserve"> </w:t>
      </w:r>
      <w:r w:rsidRPr="00104FF6">
        <w:rPr>
          <w:noProof/>
          <w:spacing w:val="-8"/>
        </w:rPr>
        <w:t>Beyond aviation, significant potential remains for MDMS platforms integrating land-based transport, which are not yet widely deployed across the EU. Although 364 MDMS platforms have been identified, 14 of the 27 EU Member States have at most one platform offering more than basic travel information for land-based modes. No platform currently provides EU-wide direct booking across air, land, and water modes; even the most advanced only offer re-linking functionality. This creates opportunities for competitors to develop multimodal direct booking solutions, particularly at national or regional level.</w:t>
      </w:r>
      <w:r w:rsidRPr="00104FF6">
        <w:rPr>
          <w:noProof/>
        </w:rPr>
        <w:t xml:space="preserve"> </w:t>
      </w:r>
      <w:r w:rsidRPr="00104FF6">
        <w:rPr>
          <w:noProof/>
          <w:spacing w:val="-8"/>
        </w:rPr>
        <w:t>However, in the baseline further growth is likely to be constrained by the absence of a regulatory framework that ensures a level playing field. Overall, the number of MDMS platforms is expected to increase gradually, with growth concentrated on those offering direct booking across transport modes.</w:t>
      </w:r>
    </w:p>
    <w:p w14:paraId="0052DC4E" w14:textId="58565B45" w:rsidR="002F6D96" w:rsidRPr="00DF0B8B" w:rsidRDefault="005B65C5" w:rsidP="007B2D8E">
      <w:pPr>
        <w:pStyle w:val="ListParagraph"/>
        <w:keepNext/>
        <w:widowControl/>
        <w:numPr>
          <w:ilvl w:val="2"/>
          <w:numId w:val="10"/>
        </w:numPr>
        <w:autoSpaceDE/>
        <w:autoSpaceDN/>
        <w:spacing w:after="240"/>
        <w:jc w:val="both"/>
        <w:outlineLvl w:val="2"/>
        <w:rPr>
          <w:i/>
          <w:noProof/>
          <w:sz w:val="24"/>
          <w:szCs w:val="24"/>
        </w:rPr>
      </w:pPr>
      <w:bookmarkStart w:id="402" w:name="_Toc223980029"/>
      <w:r w:rsidRPr="005B65C5">
        <w:rPr>
          <w:i/>
          <w:iCs/>
          <w:noProof/>
          <w:sz w:val="24"/>
          <w:szCs w:val="24"/>
        </w:rPr>
        <w:t xml:space="preserve">Number of </w:t>
      </w:r>
      <w:r w:rsidR="008A03F6">
        <w:rPr>
          <w:i/>
          <w:iCs/>
          <w:noProof/>
          <w:sz w:val="24"/>
          <w:szCs w:val="24"/>
        </w:rPr>
        <w:t xml:space="preserve">transport </w:t>
      </w:r>
      <w:r w:rsidRPr="005B65C5">
        <w:rPr>
          <w:i/>
          <w:iCs/>
          <w:noProof/>
          <w:sz w:val="24"/>
          <w:szCs w:val="24"/>
        </w:rPr>
        <w:t>operators</w:t>
      </w:r>
      <w:bookmarkEnd w:id="402"/>
    </w:p>
    <w:p w14:paraId="19BD6501" w14:textId="7068DA21" w:rsidR="00C918D8" w:rsidRDefault="00C918D8" w:rsidP="005B65C5">
      <w:pPr>
        <w:spacing w:after="240"/>
        <w:jc w:val="both"/>
        <w:rPr>
          <w:noProof/>
          <w:spacing w:val="-8"/>
        </w:rPr>
      </w:pPr>
      <w:r>
        <w:rPr>
          <w:noProof/>
          <w:spacing w:val="-8"/>
        </w:rPr>
        <w:t xml:space="preserve">The </w:t>
      </w:r>
      <w:r w:rsidR="0046068A">
        <w:rPr>
          <w:noProof/>
          <w:spacing w:val="-8"/>
        </w:rPr>
        <w:t>number of transport operators</w:t>
      </w:r>
      <w:r w:rsidR="00722EBC">
        <w:rPr>
          <w:noProof/>
          <w:spacing w:val="-8"/>
        </w:rPr>
        <w:t xml:space="preserve"> by transport mode</w:t>
      </w:r>
      <w:r w:rsidR="0046068A">
        <w:rPr>
          <w:noProof/>
          <w:spacing w:val="-8"/>
        </w:rPr>
        <w:t xml:space="preserve"> used in the assessment i</w:t>
      </w:r>
      <w:r w:rsidR="00401A23">
        <w:rPr>
          <w:noProof/>
          <w:spacing w:val="-8"/>
        </w:rPr>
        <w:t>s</w:t>
      </w:r>
      <w:r w:rsidR="0046068A">
        <w:rPr>
          <w:noProof/>
          <w:spacing w:val="-8"/>
        </w:rPr>
        <w:t xml:space="preserve"> provided in the table below</w:t>
      </w:r>
      <w:r w:rsidR="00E66732">
        <w:rPr>
          <w:noProof/>
          <w:spacing w:val="-8"/>
        </w:rPr>
        <w:t xml:space="preserve">. </w:t>
      </w:r>
      <w:r w:rsidRPr="00C918D8">
        <w:rPr>
          <w:noProof/>
          <w:spacing w:val="-8"/>
        </w:rPr>
        <w:t xml:space="preserve">The </w:t>
      </w:r>
      <w:r w:rsidRPr="00117904">
        <w:rPr>
          <w:noProof/>
          <w:spacing w:val="-8"/>
        </w:rPr>
        <w:t>number</w:t>
      </w:r>
      <w:r>
        <w:rPr>
          <w:noProof/>
          <w:spacing w:val="-8"/>
        </w:rPr>
        <w:t xml:space="preserve"> </w:t>
      </w:r>
      <w:r w:rsidR="00E66732">
        <w:rPr>
          <w:noProof/>
          <w:spacing w:val="-8"/>
        </w:rPr>
        <w:t xml:space="preserve">of transport operators is </w:t>
      </w:r>
      <w:r w:rsidRPr="00C918D8">
        <w:rPr>
          <w:noProof/>
          <w:spacing w:val="-8"/>
        </w:rPr>
        <w:t>assumed to remain stable over time</w:t>
      </w:r>
      <w:r w:rsidR="00E66732">
        <w:rPr>
          <w:noProof/>
          <w:spacing w:val="-8"/>
        </w:rPr>
        <w:t xml:space="preserve"> in the baseline scenario</w:t>
      </w:r>
      <w:r w:rsidRPr="00C918D8">
        <w:rPr>
          <w:noProof/>
          <w:spacing w:val="-8"/>
        </w:rPr>
        <w:t>. The</w:t>
      </w:r>
      <w:r w:rsidRPr="00C918D8" w:rsidDel="00BF40F6">
        <w:rPr>
          <w:noProof/>
          <w:spacing w:val="-8"/>
        </w:rPr>
        <w:t xml:space="preserve"> </w:t>
      </w:r>
      <w:r w:rsidR="00BF40F6">
        <w:rPr>
          <w:noProof/>
          <w:spacing w:val="-8"/>
        </w:rPr>
        <w:t>second</w:t>
      </w:r>
      <w:r w:rsidRPr="00C918D8">
        <w:rPr>
          <w:noProof/>
          <w:spacing w:val="-8"/>
        </w:rPr>
        <w:t xml:space="preserve"> column shows the </w:t>
      </w:r>
      <w:r w:rsidR="00014662">
        <w:rPr>
          <w:noProof/>
          <w:spacing w:val="-8"/>
        </w:rPr>
        <w:t xml:space="preserve">total </w:t>
      </w:r>
      <w:r w:rsidRPr="00C918D8">
        <w:rPr>
          <w:noProof/>
          <w:spacing w:val="-8"/>
        </w:rPr>
        <w:t>number of operators</w:t>
      </w:r>
      <w:r w:rsidR="00C64088" w:rsidRPr="00117904">
        <w:rPr>
          <w:noProof/>
          <w:spacing w:val="-8"/>
        </w:rPr>
        <w:t>.</w:t>
      </w:r>
      <w:r w:rsidRPr="00117904">
        <w:rPr>
          <w:noProof/>
          <w:spacing w:val="-8"/>
        </w:rPr>
        <w:t xml:space="preserve"> </w:t>
      </w:r>
      <w:r w:rsidR="00014662" w:rsidRPr="00117904">
        <w:rPr>
          <w:noProof/>
          <w:spacing w:val="-8"/>
        </w:rPr>
        <w:t>The</w:t>
      </w:r>
      <w:r w:rsidR="00014662" w:rsidDel="00164199">
        <w:rPr>
          <w:noProof/>
          <w:spacing w:val="-8"/>
        </w:rPr>
        <w:t xml:space="preserve"> </w:t>
      </w:r>
      <w:r w:rsidR="00164199">
        <w:rPr>
          <w:noProof/>
          <w:spacing w:val="-8"/>
        </w:rPr>
        <w:t>third</w:t>
      </w:r>
      <w:r w:rsidR="00014662">
        <w:rPr>
          <w:noProof/>
          <w:spacing w:val="-8"/>
        </w:rPr>
        <w:t xml:space="preserve"> column shows the number of operators in scope</w:t>
      </w:r>
      <w:r w:rsidR="00C64088">
        <w:rPr>
          <w:rStyle w:val="FootnoteReference"/>
          <w:noProof/>
          <w:spacing w:val="-8"/>
        </w:rPr>
        <w:footnoteReference w:id="332"/>
      </w:r>
      <w:r w:rsidR="00014662">
        <w:rPr>
          <w:noProof/>
          <w:spacing w:val="-8"/>
        </w:rPr>
        <w:t>.</w:t>
      </w:r>
      <w:r w:rsidRPr="00C918D8">
        <w:rPr>
          <w:noProof/>
          <w:spacing w:val="-8"/>
        </w:rPr>
        <w:t xml:space="preserve"> Some measures (PM12 and PM13) are limited to indispensable RUs, i.e. RUs with SMP (as described in </w:t>
      </w:r>
      <w:r w:rsidR="005C4860">
        <w:rPr>
          <w:noProof/>
          <w:spacing w:val="-8"/>
        </w:rPr>
        <w:t>s</w:t>
      </w:r>
      <w:r w:rsidRPr="00C918D8">
        <w:rPr>
          <w:noProof/>
          <w:spacing w:val="-8"/>
        </w:rPr>
        <w:t xml:space="preserve">ection 5) and those operating PSO and cross-border services. </w:t>
      </w:r>
      <w:r w:rsidR="00A15641">
        <w:rPr>
          <w:noProof/>
          <w:spacing w:val="-8"/>
        </w:rPr>
        <w:t xml:space="preserve">These are shown in the </w:t>
      </w:r>
      <w:r w:rsidR="00DF5C41">
        <w:rPr>
          <w:noProof/>
          <w:spacing w:val="-8"/>
        </w:rPr>
        <w:t xml:space="preserve">fourth column of the table below. </w:t>
      </w:r>
      <w:r w:rsidR="00C920B9">
        <w:rPr>
          <w:noProof/>
        </w:rPr>
        <w:t xml:space="preserve">Finally, the fifth column shows the number of SMEs, which are out of </w:t>
      </w:r>
      <w:r w:rsidR="0087162C">
        <w:rPr>
          <w:noProof/>
        </w:rPr>
        <w:t xml:space="preserve">scope of the policy options but indirectly benefit of </w:t>
      </w:r>
      <w:r w:rsidR="00366A1D">
        <w:rPr>
          <w:noProof/>
        </w:rPr>
        <w:t>the impacts of some</w:t>
      </w:r>
      <w:r w:rsidR="007457CF">
        <w:rPr>
          <w:noProof/>
        </w:rPr>
        <w:t xml:space="preserve"> of the</w:t>
      </w:r>
      <w:r w:rsidR="00366A1D">
        <w:rPr>
          <w:noProof/>
        </w:rPr>
        <w:t xml:space="preserve"> measures. </w:t>
      </w:r>
    </w:p>
    <w:p w14:paraId="60604DA9" w14:textId="7A81008C" w:rsidR="009F5F9B" w:rsidRPr="00AA64FB" w:rsidRDefault="009F5F9B" w:rsidP="009F5F9B">
      <w:pPr>
        <w:tabs>
          <w:tab w:val="left" w:pos="1134"/>
        </w:tabs>
        <w:rPr>
          <w:i/>
          <w:noProof/>
          <w:sz w:val="22"/>
          <w:szCs w:val="22"/>
        </w:rPr>
      </w:pPr>
      <w:r w:rsidRPr="00AA64FB">
        <w:rPr>
          <w:i/>
          <w:noProof/>
          <w:sz w:val="22"/>
          <w:szCs w:val="22"/>
        </w:rPr>
        <w:t xml:space="preserve">Table </w:t>
      </w:r>
      <w:r w:rsidRPr="00AA64FB">
        <w:rPr>
          <w:i/>
          <w:noProof/>
          <w:sz w:val="22"/>
          <w:szCs w:val="22"/>
        </w:rPr>
        <w:fldChar w:fldCharType="begin"/>
      </w:r>
      <w:r w:rsidRPr="00AA64FB">
        <w:rPr>
          <w:i/>
          <w:noProof/>
          <w:sz w:val="22"/>
          <w:szCs w:val="22"/>
        </w:rPr>
        <w:instrText xml:space="preserve"> SEQ Table \* ARABIC </w:instrText>
      </w:r>
      <w:r w:rsidRPr="00AA64FB">
        <w:rPr>
          <w:i/>
          <w:noProof/>
          <w:sz w:val="22"/>
          <w:szCs w:val="22"/>
        </w:rPr>
        <w:fldChar w:fldCharType="separate"/>
      </w:r>
      <w:r w:rsidR="0055391F">
        <w:rPr>
          <w:i/>
          <w:noProof/>
          <w:sz w:val="22"/>
          <w:szCs w:val="22"/>
        </w:rPr>
        <w:t>57</w:t>
      </w:r>
      <w:r w:rsidRPr="00AA64FB">
        <w:rPr>
          <w:i/>
          <w:noProof/>
          <w:sz w:val="22"/>
          <w:szCs w:val="22"/>
        </w:rPr>
        <w:fldChar w:fldCharType="end"/>
      </w:r>
      <w:r w:rsidRPr="00AA64FB">
        <w:rPr>
          <w:i/>
          <w:noProof/>
          <w:sz w:val="22"/>
          <w:szCs w:val="22"/>
        </w:rPr>
        <w:t xml:space="preserve">: </w:t>
      </w:r>
      <w:r w:rsidR="00415748" w:rsidRPr="00AA64FB">
        <w:rPr>
          <w:i/>
          <w:noProof/>
          <w:sz w:val="22"/>
          <w:szCs w:val="22"/>
        </w:rPr>
        <w:t>N</w:t>
      </w:r>
      <w:r w:rsidRPr="00AA64FB">
        <w:rPr>
          <w:i/>
          <w:noProof/>
          <w:sz w:val="22"/>
          <w:szCs w:val="22"/>
        </w:rPr>
        <w:t xml:space="preserve">umber of </w:t>
      </w:r>
      <w:r w:rsidR="00415748" w:rsidRPr="00AA64FB">
        <w:rPr>
          <w:i/>
          <w:noProof/>
          <w:sz w:val="22"/>
          <w:szCs w:val="22"/>
        </w:rPr>
        <w:t>transport operators</w:t>
      </w:r>
      <w:r w:rsidRPr="00AA64FB">
        <w:rPr>
          <w:i/>
          <w:noProof/>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1"/>
        <w:gridCol w:w="1325"/>
        <w:gridCol w:w="1327"/>
        <w:gridCol w:w="1325"/>
        <w:gridCol w:w="1325"/>
      </w:tblGrid>
      <w:tr w:rsidR="00542B54" w:rsidRPr="00C918D8" w14:paraId="3FE95DD3" w14:textId="75D02FE2" w:rsidTr="00734A26">
        <w:trPr>
          <w:trHeight w:val="282"/>
          <w:tblHeader/>
        </w:trPr>
        <w:tc>
          <w:tcPr>
            <w:tcW w:w="2239" w:type="pct"/>
            <w:shd w:val="clear" w:color="auto" w:fill="0070C0"/>
            <w:hideMark/>
          </w:tcPr>
          <w:p w14:paraId="11D8867F" w14:textId="77777777" w:rsidR="00542B54" w:rsidRPr="00C918D8" w:rsidRDefault="00542B54" w:rsidP="00C918D8">
            <w:pPr>
              <w:rPr>
                <w:b/>
                <w:noProof/>
                <w:color w:val="FFFFFF"/>
                <w:sz w:val="20"/>
                <w:szCs w:val="20"/>
              </w:rPr>
            </w:pPr>
          </w:p>
        </w:tc>
        <w:tc>
          <w:tcPr>
            <w:tcW w:w="690" w:type="pct"/>
            <w:shd w:val="clear" w:color="auto" w:fill="0070C0"/>
            <w:hideMark/>
          </w:tcPr>
          <w:p w14:paraId="3AAC7347" w14:textId="77777777" w:rsidR="00542B54" w:rsidRPr="00C918D8" w:rsidRDefault="00542B54" w:rsidP="00C918D8">
            <w:pPr>
              <w:jc w:val="center"/>
              <w:rPr>
                <w:b/>
                <w:noProof/>
                <w:color w:val="FFFFFF"/>
                <w:sz w:val="20"/>
                <w:szCs w:val="20"/>
              </w:rPr>
            </w:pPr>
            <w:r w:rsidRPr="00C918D8">
              <w:rPr>
                <w:b/>
                <w:noProof/>
                <w:color w:val="FFFFFF"/>
                <w:sz w:val="20"/>
                <w:szCs w:val="20"/>
              </w:rPr>
              <w:t>All operators</w:t>
            </w:r>
          </w:p>
        </w:tc>
        <w:tc>
          <w:tcPr>
            <w:tcW w:w="691" w:type="pct"/>
            <w:shd w:val="clear" w:color="auto" w:fill="0070C0"/>
            <w:hideMark/>
          </w:tcPr>
          <w:p w14:paraId="04CF4D07" w14:textId="77777777" w:rsidR="00542B54" w:rsidRPr="00C918D8" w:rsidRDefault="00542B54" w:rsidP="00C918D8">
            <w:pPr>
              <w:jc w:val="center"/>
              <w:rPr>
                <w:b/>
                <w:noProof/>
                <w:color w:val="FFFFFF"/>
                <w:sz w:val="20"/>
                <w:szCs w:val="20"/>
              </w:rPr>
            </w:pPr>
            <w:r w:rsidRPr="00C918D8">
              <w:rPr>
                <w:b/>
                <w:noProof/>
                <w:color w:val="FFFFFF"/>
                <w:sz w:val="20"/>
                <w:szCs w:val="20"/>
              </w:rPr>
              <w:t>Operators in scope (excluding SMEs)</w:t>
            </w:r>
          </w:p>
        </w:tc>
        <w:tc>
          <w:tcPr>
            <w:tcW w:w="690" w:type="pct"/>
            <w:shd w:val="clear" w:color="auto" w:fill="0070C0"/>
            <w:hideMark/>
          </w:tcPr>
          <w:p w14:paraId="1FCABE0B" w14:textId="77777777" w:rsidR="00542B54" w:rsidRPr="00C918D8" w:rsidRDefault="00542B54" w:rsidP="00C918D8">
            <w:pPr>
              <w:jc w:val="center"/>
              <w:rPr>
                <w:b/>
                <w:noProof/>
                <w:color w:val="FFFFFF"/>
                <w:sz w:val="20"/>
                <w:szCs w:val="20"/>
              </w:rPr>
            </w:pPr>
            <w:r w:rsidRPr="00C918D8">
              <w:rPr>
                <w:b/>
                <w:noProof/>
                <w:color w:val="FFFFFF"/>
                <w:sz w:val="20"/>
                <w:szCs w:val="20"/>
              </w:rPr>
              <w:t>Indispensable RUs (out of operators in scope)</w:t>
            </w:r>
          </w:p>
        </w:tc>
        <w:tc>
          <w:tcPr>
            <w:tcW w:w="690" w:type="pct"/>
            <w:shd w:val="clear" w:color="auto" w:fill="0070C0"/>
          </w:tcPr>
          <w:p w14:paraId="4EC9EE4E" w14:textId="50335BEE" w:rsidR="00542B54" w:rsidRPr="00C918D8" w:rsidRDefault="00542B54" w:rsidP="00C918D8">
            <w:pPr>
              <w:jc w:val="center"/>
              <w:rPr>
                <w:b/>
                <w:noProof/>
                <w:color w:val="FFFFFF"/>
                <w:sz w:val="20"/>
                <w:szCs w:val="20"/>
              </w:rPr>
            </w:pPr>
            <w:r>
              <w:rPr>
                <w:b/>
                <w:noProof/>
                <w:color w:val="FFFFFF"/>
                <w:sz w:val="20"/>
                <w:szCs w:val="20"/>
              </w:rPr>
              <w:t>SMEs (out of scope)</w:t>
            </w:r>
          </w:p>
        </w:tc>
      </w:tr>
      <w:tr w:rsidR="00542B54" w:rsidRPr="00C918D8" w14:paraId="3D43BDEB" w14:textId="1A47C3E8" w:rsidTr="00542B54">
        <w:trPr>
          <w:trHeight w:val="282"/>
        </w:trPr>
        <w:tc>
          <w:tcPr>
            <w:tcW w:w="2239" w:type="pct"/>
            <w:shd w:val="clear" w:color="auto" w:fill="BDE3FF"/>
            <w:noWrap/>
            <w:hideMark/>
          </w:tcPr>
          <w:p w14:paraId="76C13979" w14:textId="77777777" w:rsidR="00542B54" w:rsidRPr="00C918D8" w:rsidRDefault="00542B54" w:rsidP="00C918D8">
            <w:pPr>
              <w:rPr>
                <w:b/>
                <w:noProof/>
                <w:color w:val="000000"/>
                <w:sz w:val="20"/>
                <w:szCs w:val="20"/>
              </w:rPr>
            </w:pPr>
            <w:r w:rsidRPr="00C918D8">
              <w:rPr>
                <w:b/>
                <w:noProof/>
                <w:color w:val="000000"/>
                <w:sz w:val="20"/>
                <w:szCs w:val="20"/>
              </w:rPr>
              <w:t>Bus and coach (offering services above 50km)</w:t>
            </w:r>
            <w:r w:rsidRPr="00C918D8">
              <w:rPr>
                <w:b/>
                <w:noProof/>
                <w:color w:val="000000"/>
                <w:sz w:val="20"/>
                <w:szCs w:val="20"/>
                <w:vertAlign w:val="superscript"/>
              </w:rPr>
              <w:footnoteReference w:id="333"/>
            </w:r>
          </w:p>
        </w:tc>
        <w:tc>
          <w:tcPr>
            <w:tcW w:w="690" w:type="pct"/>
            <w:shd w:val="clear" w:color="auto" w:fill="BDE3FF"/>
            <w:noWrap/>
            <w:hideMark/>
          </w:tcPr>
          <w:p w14:paraId="6DC6BE48" w14:textId="77777777" w:rsidR="00542B54" w:rsidRPr="00C918D8" w:rsidRDefault="00542B54" w:rsidP="00C918D8">
            <w:pPr>
              <w:jc w:val="right"/>
              <w:rPr>
                <w:b/>
                <w:noProof/>
                <w:color w:val="000000"/>
                <w:sz w:val="20"/>
                <w:szCs w:val="20"/>
              </w:rPr>
            </w:pPr>
            <w:r w:rsidRPr="00C918D8">
              <w:rPr>
                <w:b/>
                <w:noProof/>
                <w:color w:val="000000"/>
                <w:sz w:val="20"/>
                <w:szCs w:val="20"/>
              </w:rPr>
              <w:t>3,778</w:t>
            </w:r>
          </w:p>
        </w:tc>
        <w:tc>
          <w:tcPr>
            <w:tcW w:w="691" w:type="pct"/>
            <w:shd w:val="clear" w:color="auto" w:fill="BDE3FF"/>
            <w:noWrap/>
            <w:hideMark/>
          </w:tcPr>
          <w:p w14:paraId="7C7EBC93" w14:textId="77777777" w:rsidR="00542B54" w:rsidRPr="00C918D8" w:rsidRDefault="00542B54" w:rsidP="00C918D8">
            <w:pPr>
              <w:jc w:val="right"/>
              <w:rPr>
                <w:b/>
                <w:noProof/>
                <w:color w:val="000000"/>
                <w:sz w:val="20"/>
                <w:szCs w:val="20"/>
              </w:rPr>
            </w:pPr>
            <w:r w:rsidRPr="00C918D8">
              <w:rPr>
                <w:b/>
                <w:noProof/>
                <w:color w:val="000000"/>
                <w:sz w:val="20"/>
                <w:szCs w:val="20"/>
              </w:rPr>
              <w:t>567</w:t>
            </w:r>
          </w:p>
        </w:tc>
        <w:tc>
          <w:tcPr>
            <w:tcW w:w="690" w:type="pct"/>
            <w:shd w:val="clear" w:color="auto" w:fill="BDE3FF"/>
            <w:noWrap/>
            <w:hideMark/>
          </w:tcPr>
          <w:p w14:paraId="25154D50" w14:textId="77777777" w:rsidR="00542B54" w:rsidRPr="00C918D8" w:rsidRDefault="00542B54" w:rsidP="00C918D8">
            <w:pPr>
              <w:jc w:val="right"/>
              <w:rPr>
                <w:b/>
                <w:noProof/>
                <w:color w:val="000000"/>
                <w:sz w:val="20"/>
                <w:szCs w:val="20"/>
              </w:rPr>
            </w:pPr>
            <w:r w:rsidRPr="00C918D8">
              <w:rPr>
                <w:b/>
                <w:noProof/>
                <w:color w:val="000000"/>
                <w:sz w:val="20"/>
                <w:szCs w:val="20"/>
              </w:rPr>
              <w:t>0</w:t>
            </w:r>
          </w:p>
        </w:tc>
        <w:tc>
          <w:tcPr>
            <w:tcW w:w="690" w:type="pct"/>
            <w:shd w:val="clear" w:color="auto" w:fill="BDE3FF"/>
          </w:tcPr>
          <w:p w14:paraId="4E335AD2" w14:textId="79EE6B45" w:rsidR="00542B54" w:rsidRPr="00C918D8" w:rsidRDefault="00F82603" w:rsidP="00C918D8">
            <w:pPr>
              <w:jc w:val="right"/>
              <w:rPr>
                <w:b/>
                <w:noProof/>
                <w:color w:val="000000"/>
                <w:sz w:val="20"/>
                <w:szCs w:val="20"/>
              </w:rPr>
            </w:pPr>
            <w:r>
              <w:rPr>
                <w:b/>
                <w:noProof/>
                <w:color w:val="000000"/>
                <w:sz w:val="20"/>
                <w:szCs w:val="20"/>
              </w:rPr>
              <w:t>3,211</w:t>
            </w:r>
          </w:p>
        </w:tc>
      </w:tr>
      <w:tr w:rsidR="00542B54" w:rsidRPr="00C918D8" w14:paraId="663AC234" w14:textId="0799C60A" w:rsidTr="00F91964">
        <w:trPr>
          <w:trHeight w:val="282"/>
        </w:trPr>
        <w:tc>
          <w:tcPr>
            <w:tcW w:w="2239" w:type="pct"/>
            <w:shd w:val="clear" w:color="auto" w:fill="BDE3FF"/>
            <w:noWrap/>
            <w:hideMark/>
          </w:tcPr>
          <w:p w14:paraId="6AD9C1A0" w14:textId="77777777" w:rsidR="00542B54" w:rsidRPr="00C918D8" w:rsidRDefault="00542B54" w:rsidP="00C918D8">
            <w:pPr>
              <w:rPr>
                <w:b/>
                <w:noProof/>
                <w:color w:val="000000"/>
                <w:sz w:val="20"/>
                <w:szCs w:val="20"/>
              </w:rPr>
            </w:pPr>
            <w:r w:rsidRPr="00C918D8">
              <w:rPr>
                <w:b/>
                <w:noProof/>
                <w:color w:val="000000"/>
                <w:sz w:val="20"/>
                <w:szCs w:val="20"/>
              </w:rPr>
              <w:t>Rail</w:t>
            </w:r>
            <w:r w:rsidRPr="00C918D8">
              <w:rPr>
                <w:b/>
                <w:noProof/>
                <w:color w:val="000000"/>
                <w:sz w:val="20"/>
                <w:szCs w:val="20"/>
                <w:vertAlign w:val="superscript"/>
              </w:rPr>
              <w:footnoteReference w:id="334"/>
            </w:r>
          </w:p>
        </w:tc>
        <w:tc>
          <w:tcPr>
            <w:tcW w:w="690" w:type="pct"/>
            <w:shd w:val="clear" w:color="auto" w:fill="BDE3FF"/>
            <w:noWrap/>
            <w:hideMark/>
          </w:tcPr>
          <w:p w14:paraId="3EE60E7C" w14:textId="2BAB572C" w:rsidR="00542B54" w:rsidRPr="00C918D8" w:rsidRDefault="00ED4A6A" w:rsidP="00C918D8">
            <w:pPr>
              <w:jc w:val="right"/>
              <w:rPr>
                <w:b/>
                <w:noProof/>
                <w:color w:val="000000"/>
                <w:sz w:val="20"/>
                <w:szCs w:val="20"/>
              </w:rPr>
            </w:pPr>
            <w:r>
              <w:rPr>
                <w:b/>
                <w:noProof/>
                <w:color w:val="000000"/>
                <w:sz w:val="20"/>
                <w:szCs w:val="20"/>
              </w:rPr>
              <w:t>158</w:t>
            </w:r>
          </w:p>
        </w:tc>
        <w:tc>
          <w:tcPr>
            <w:tcW w:w="691" w:type="pct"/>
            <w:shd w:val="clear" w:color="auto" w:fill="BDE3FF"/>
            <w:noWrap/>
          </w:tcPr>
          <w:p w14:paraId="1AC69287" w14:textId="089E7547" w:rsidR="00542B54" w:rsidRPr="00C918D8" w:rsidRDefault="00542B54" w:rsidP="00C918D8">
            <w:pPr>
              <w:jc w:val="right"/>
              <w:rPr>
                <w:b/>
                <w:noProof/>
                <w:color w:val="000000"/>
                <w:sz w:val="20"/>
                <w:szCs w:val="20"/>
              </w:rPr>
            </w:pPr>
          </w:p>
        </w:tc>
        <w:tc>
          <w:tcPr>
            <w:tcW w:w="690" w:type="pct"/>
            <w:shd w:val="clear" w:color="auto" w:fill="BDE3FF"/>
            <w:noWrap/>
          </w:tcPr>
          <w:p w14:paraId="4EEFF299" w14:textId="2632DEEA" w:rsidR="00542B54" w:rsidRPr="00C918D8" w:rsidRDefault="00542B54" w:rsidP="00C918D8">
            <w:pPr>
              <w:jc w:val="right"/>
              <w:rPr>
                <w:b/>
                <w:noProof/>
                <w:color w:val="000000"/>
                <w:sz w:val="20"/>
                <w:szCs w:val="20"/>
              </w:rPr>
            </w:pPr>
          </w:p>
        </w:tc>
        <w:tc>
          <w:tcPr>
            <w:tcW w:w="690" w:type="pct"/>
            <w:shd w:val="clear" w:color="auto" w:fill="BDE3FF"/>
          </w:tcPr>
          <w:p w14:paraId="314F1B7D" w14:textId="7827D587" w:rsidR="00542B54" w:rsidRPr="00C918D8" w:rsidRDefault="004251D5" w:rsidP="00C918D8">
            <w:pPr>
              <w:jc w:val="right"/>
              <w:rPr>
                <w:b/>
                <w:noProof/>
                <w:color w:val="000000"/>
                <w:sz w:val="20"/>
                <w:szCs w:val="20"/>
              </w:rPr>
            </w:pPr>
            <w:r>
              <w:rPr>
                <w:b/>
                <w:noProof/>
                <w:color w:val="000000"/>
                <w:sz w:val="20"/>
                <w:szCs w:val="20"/>
              </w:rPr>
              <w:t>9</w:t>
            </w:r>
          </w:p>
        </w:tc>
      </w:tr>
      <w:tr w:rsidR="00542B54" w:rsidRPr="00C918D8" w14:paraId="67267AEC" w14:textId="414F41F1" w:rsidTr="00542B54">
        <w:trPr>
          <w:trHeight w:val="282"/>
        </w:trPr>
        <w:tc>
          <w:tcPr>
            <w:tcW w:w="2239" w:type="pct"/>
            <w:shd w:val="clear" w:color="auto" w:fill="FFFFFF" w:themeFill="background1"/>
            <w:noWrap/>
          </w:tcPr>
          <w:p w14:paraId="773930EF" w14:textId="7F64622C" w:rsidR="00542B54" w:rsidRPr="00C918D8" w:rsidRDefault="00542B54" w:rsidP="00C918D8">
            <w:pPr>
              <w:rPr>
                <w:noProof/>
                <w:color w:val="000000"/>
                <w:sz w:val="20"/>
                <w:szCs w:val="20"/>
              </w:rPr>
            </w:pPr>
            <w:r w:rsidRPr="24F26896">
              <w:rPr>
                <w:noProof/>
                <w:color w:val="000000" w:themeColor="text1"/>
                <w:sz w:val="20"/>
                <w:szCs w:val="20"/>
              </w:rPr>
              <w:t>Domestic PSO services</w:t>
            </w:r>
          </w:p>
        </w:tc>
        <w:tc>
          <w:tcPr>
            <w:tcW w:w="690" w:type="pct"/>
            <w:shd w:val="clear" w:color="auto" w:fill="FFFFFF" w:themeFill="background1"/>
            <w:noWrap/>
          </w:tcPr>
          <w:p w14:paraId="68173E2D" w14:textId="77777777" w:rsidR="00542B54" w:rsidRPr="00C918D8" w:rsidRDefault="00542B54" w:rsidP="00C918D8">
            <w:pPr>
              <w:jc w:val="right"/>
              <w:rPr>
                <w:noProof/>
                <w:color w:val="000000"/>
                <w:sz w:val="20"/>
                <w:szCs w:val="20"/>
              </w:rPr>
            </w:pPr>
            <w:r w:rsidRPr="00C918D8">
              <w:rPr>
                <w:noProof/>
                <w:color w:val="000000"/>
                <w:sz w:val="20"/>
                <w:szCs w:val="20"/>
              </w:rPr>
              <w:t>119</w:t>
            </w:r>
          </w:p>
        </w:tc>
        <w:tc>
          <w:tcPr>
            <w:tcW w:w="691" w:type="pct"/>
            <w:shd w:val="clear" w:color="auto" w:fill="FFFFFF" w:themeFill="background1"/>
            <w:noWrap/>
          </w:tcPr>
          <w:p w14:paraId="5EB94034" w14:textId="77777777" w:rsidR="00542B54" w:rsidRPr="00C918D8" w:rsidRDefault="00542B54" w:rsidP="00C918D8">
            <w:pPr>
              <w:jc w:val="right"/>
              <w:rPr>
                <w:noProof/>
                <w:color w:val="000000"/>
                <w:sz w:val="20"/>
                <w:szCs w:val="20"/>
              </w:rPr>
            </w:pPr>
            <w:r w:rsidRPr="00C918D8">
              <w:rPr>
                <w:noProof/>
                <w:color w:val="000000"/>
                <w:sz w:val="20"/>
                <w:szCs w:val="20"/>
              </w:rPr>
              <w:t>112</w:t>
            </w:r>
          </w:p>
        </w:tc>
        <w:tc>
          <w:tcPr>
            <w:tcW w:w="690" w:type="pct"/>
            <w:shd w:val="clear" w:color="auto" w:fill="FFFFFF" w:themeFill="background1"/>
            <w:noWrap/>
          </w:tcPr>
          <w:p w14:paraId="03E0EE66" w14:textId="77777777" w:rsidR="00542B54" w:rsidRPr="00C918D8" w:rsidRDefault="00542B54" w:rsidP="00C918D8">
            <w:pPr>
              <w:jc w:val="right"/>
              <w:rPr>
                <w:noProof/>
                <w:color w:val="000000"/>
                <w:sz w:val="20"/>
                <w:szCs w:val="20"/>
              </w:rPr>
            </w:pPr>
            <w:r w:rsidRPr="00C918D8">
              <w:rPr>
                <w:noProof/>
                <w:color w:val="000000"/>
                <w:sz w:val="20"/>
                <w:szCs w:val="20"/>
              </w:rPr>
              <w:t>112</w:t>
            </w:r>
          </w:p>
        </w:tc>
        <w:tc>
          <w:tcPr>
            <w:tcW w:w="690" w:type="pct"/>
            <w:shd w:val="clear" w:color="auto" w:fill="FFFFFF" w:themeFill="background1"/>
          </w:tcPr>
          <w:p w14:paraId="18A181E3" w14:textId="79B2A9BE" w:rsidR="00542B54" w:rsidRPr="00C918D8" w:rsidRDefault="00571010" w:rsidP="00C918D8">
            <w:pPr>
              <w:jc w:val="right"/>
              <w:rPr>
                <w:noProof/>
                <w:color w:val="000000"/>
                <w:sz w:val="20"/>
                <w:szCs w:val="20"/>
              </w:rPr>
            </w:pPr>
            <w:r>
              <w:rPr>
                <w:noProof/>
                <w:color w:val="000000"/>
                <w:sz w:val="20"/>
                <w:szCs w:val="20"/>
              </w:rPr>
              <w:t>7</w:t>
            </w:r>
          </w:p>
        </w:tc>
      </w:tr>
      <w:tr w:rsidR="00542B54" w:rsidRPr="00C918D8" w14:paraId="253D226F" w14:textId="5D0DDF78" w:rsidTr="00542B54">
        <w:trPr>
          <w:trHeight w:val="282"/>
        </w:trPr>
        <w:tc>
          <w:tcPr>
            <w:tcW w:w="2239" w:type="pct"/>
            <w:shd w:val="clear" w:color="auto" w:fill="FFFFFF" w:themeFill="background1"/>
            <w:noWrap/>
          </w:tcPr>
          <w:p w14:paraId="4A468E98" w14:textId="77777777" w:rsidR="00542B54" w:rsidRPr="00C918D8" w:rsidRDefault="00542B54" w:rsidP="00C918D8">
            <w:pPr>
              <w:rPr>
                <w:noProof/>
                <w:color w:val="000000"/>
                <w:sz w:val="20"/>
                <w:szCs w:val="20"/>
              </w:rPr>
            </w:pPr>
            <w:r w:rsidRPr="00C918D8">
              <w:rPr>
                <w:noProof/>
                <w:color w:val="000000"/>
                <w:sz w:val="20"/>
                <w:szCs w:val="20"/>
              </w:rPr>
              <w:t>Domestic non PSO services</w:t>
            </w:r>
          </w:p>
        </w:tc>
        <w:tc>
          <w:tcPr>
            <w:tcW w:w="690" w:type="pct"/>
            <w:shd w:val="clear" w:color="auto" w:fill="FFFFFF" w:themeFill="background1"/>
            <w:noWrap/>
          </w:tcPr>
          <w:p w14:paraId="0FD9356A" w14:textId="77777777" w:rsidR="00542B54" w:rsidRPr="00C918D8" w:rsidRDefault="00542B54" w:rsidP="00C918D8">
            <w:pPr>
              <w:jc w:val="right"/>
              <w:rPr>
                <w:noProof/>
                <w:color w:val="000000"/>
                <w:sz w:val="20"/>
                <w:szCs w:val="20"/>
              </w:rPr>
            </w:pPr>
            <w:r w:rsidRPr="00C918D8">
              <w:rPr>
                <w:noProof/>
                <w:color w:val="000000"/>
                <w:sz w:val="20"/>
                <w:szCs w:val="20"/>
              </w:rPr>
              <w:t>8</w:t>
            </w:r>
          </w:p>
        </w:tc>
        <w:tc>
          <w:tcPr>
            <w:tcW w:w="691" w:type="pct"/>
            <w:shd w:val="clear" w:color="auto" w:fill="FFFFFF" w:themeFill="background1"/>
            <w:noWrap/>
          </w:tcPr>
          <w:p w14:paraId="1AE2CEF8" w14:textId="77777777" w:rsidR="00542B54" w:rsidRPr="00C918D8" w:rsidRDefault="00542B54" w:rsidP="00C918D8">
            <w:pPr>
              <w:jc w:val="right"/>
              <w:rPr>
                <w:noProof/>
                <w:color w:val="000000"/>
                <w:sz w:val="20"/>
                <w:szCs w:val="20"/>
              </w:rPr>
            </w:pPr>
            <w:r w:rsidRPr="00C918D8">
              <w:rPr>
                <w:noProof/>
                <w:color w:val="000000"/>
                <w:sz w:val="20"/>
                <w:szCs w:val="20"/>
              </w:rPr>
              <w:t>8</w:t>
            </w:r>
          </w:p>
        </w:tc>
        <w:tc>
          <w:tcPr>
            <w:tcW w:w="690" w:type="pct"/>
            <w:shd w:val="clear" w:color="auto" w:fill="FFFFFF" w:themeFill="background1"/>
            <w:noWrap/>
          </w:tcPr>
          <w:p w14:paraId="0A2AC10F" w14:textId="3ADBDB27" w:rsidR="00542B54" w:rsidRPr="00C918D8" w:rsidRDefault="00542B54" w:rsidP="00C918D8">
            <w:pPr>
              <w:jc w:val="right"/>
              <w:rPr>
                <w:noProof/>
                <w:color w:val="000000"/>
                <w:sz w:val="20"/>
                <w:szCs w:val="20"/>
              </w:rPr>
            </w:pPr>
            <w:r>
              <w:rPr>
                <w:noProof/>
                <w:color w:val="000000"/>
                <w:sz w:val="20"/>
                <w:szCs w:val="20"/>
              </w:rPr>
              <w:t>0</w:t>
            </w:r>
          </w:p>
        </w:tc>
        <w:tc>
          <w:tcPr>
            <w:tcW w:w="690" w:type="pct"/>
            <w:shd w:val="clear" w:color="auto" w:fill="FFFFFF" w:themeFill="background1"/>
          </w:tcPr>
          <w:p w14:paraId="7842E432" w14:textId="6919FD07" w:rsidR="00542B54" w:rsidRDefault="004251D5" w:rsidP="00C918D8">
            <w:pPr>
              <w:jc w:val="right"/>
              <w:rPr>
                <w:noProof/>
                <w:color w:val="000000"/>
                <w:sz w:val="20"/>
                <w:szCs w:val="20"/>
              </w:rPr>
            </w:pPr>
            <w:r>
              <w:rPr>
                <w:noProof/>
                <w:color w:val="000000"/>
                <w:sz w:val="20"/>
                <w:szCs w:val="20"/>
              </w:rPr>
              <w:t>0</w:t>
            </w:r>
          </w:p>
        </w:tc>
      </w:tr>
      <w:tr w:rsidR="00542B54" w:rsidRPr="00C918D8" w14:paraId="09564D4F" w14:textId="05DF3D7A" w:rsidTr="00542B54">
        <w:trPr>
          <w:trHeight w:val="282"/>
        </w:trPr>
        <w:tc>
          <w:tcPr>
            <w:tcW w:w="2239" w:type="pct"/>
            <w:shd w:val="clear" w:color="auto" w:fill="FFFFFF" w:themeFill="background1"/>
            <w:noWrap/>
          </w:tcPr>
          <w:p w14:paraId="355EC8D4" w14:textId="5540A4C5" w:rsidR="00542B54" w:rsidRPr="00C918D8" w:rsidRDefault="00542B54" w:rsidP="00C918D8">
            <w:pPr>
              <w:rPr>
                <w:noProof/>
                <w:color w:val="000000"/>
                <w:sz w:val="20"/>
                <w:szCs w:val="20"/>
              </w:rPr>
            </w:pPr>
            <w:r w:rsidRPr="00C918D8">
              <w:rPr>
                <w:noProof/>
                <w:color w:val="000000"/>
                <w:sz w:val="20"/>
                <w:szCs w:val="20"/>
              </w:rPr>
              <w:t>RUs with SMP</w:t>
            </w:r>
            <w:r w:rsidRPr="00C918D8">
              <w:rPr>
                <w:noProof/>
                <w:color w:val="000000"/>
                <w:sz w:val="20"/>
                <w:szCs w:val="20"/>
                <w:vertAlign w:val="superscript"/>
              </w:rPr>
              <w:footnoteReference w:id="335"/>
            </w:r>
            <w:r>
              <w:rPr>
                <w:noProof/>
                <w:color w:val="000000"/>
                <w:sz w:val="20"/>
                <w:szCs w:val="20"/>
              </w:rPr>
              <w:t xml:space="preserve"> </w:t>
            </w:r>
          </w:p>
        </w:tc>
        <w:tc>
          <w:tcPr>
            <w:tcW w:w="690" w:type="pct"/>
            <w:shd w:val="clear" w:color="auto" w:fill="FFFFFF" w:themeFill="background1"/>
            <w:noWrap/>
          </w:tcPr>
          <w:p w14:paraId="104B31F4" w14:textId="77777777" w:rsidR="00542B54" w:rsidRPr="00C918D8" w:rsidRDefault="00542B54" w:rsidP="00C918D8">
            <w:pPr>
              <w:jc w:val="right"/>
              <w:rPr>
                <w:noProof/>
                <w:color w:val="000000"/>
                <w:sz w:val="20"/>
                <w:szCs w:val="20"/>
              </w:rPr>
            </w:pPr>
            <w:r w:rsidRPr="00C918D8">
              <w:rPr>
                <w:noProof/>
                <w:color w:val="000000"/>
                <w:sz w:val="20"/>
                <w:szCs w:val="20"/>
              </w:rPr>
              <w:t>24</w:t>
            </w:r>
          </w:p>
        </w:tc>
        <w:tc>
          <w:tcPr>
            <w:tcW w:w="691" w:type="pct"/>
            <w:shd w:val="clear" w:color="auto" w:fill="FFFFFF" w:themeFill="background1"/>
            <w:noWrap/>
          </w:tcPr>
          <w:p w14:paraId="2FC81550" w14:textId="77777777" w:rsidR="00542B54" w:rsidRPr="00C918D8" w:rsidRDefault="00542B54" w:rsidP="00C918D8">
            <w:pPr>
              <w:jc w:val="right"/>
              <w:rPr>
                <w:noProof/>
                <w:color w:val="000000"/>
                <w:sz w:val="20"/>
                <w:szCs w:val="20"/>
              </w:rPr>
            </w:pPr>
            <w:r w:rsidRPr="00C918D8">
              <w:rPr>
                <w:noProof/>
                <w:color w:val="000000"/>
                <w:sz w:val="20"/>
                <w:szCs w:val="20"/>
              </w:rPr>
              <w:t>24</w:t>
            </w:r>
          </w:p>
        </w:tc>
        <w:tc>
          <w:tcPr>
            <w:tcW w:w="690" w:type="pct"/>
            <w:shd w:val="clear" w:color="auto" w:fill="FFFFFF" w:themeFill="background1"/>
            <w:noWrap/>
          </w:tcPr>
          <w:p w14:paraId="29E67654" w14:textId="77777777" w:rsidR="00542B54" w:rsidRPr="00C918D8" w:rsidRDefault="00542B54" w:rsidP="00C918D8">
            <w:pPr>
              <w:jc w:val="right"/>
              <w:rPr>
                <w:noProof/>
                <w:color w:val="000000"/>
                <w:sz w:val="20"/>
                <w:szCs w:val="20"/>
              </w:rPr>
            </w:pPr>
            <w:r w:rsidRPr="00C918D8">
              <w:rPr>
                <w:noProof/>
                <w:color w:val="000000"/>
                <w:sz w:val="20"/>
                <w:szCs w:val="20"/>
              </w:rPr>
              <w:t>24</w:t>
            </w:r>
          </w:p>
        </w:tc>
        <w:tc>
          <w:tcPr>
            <w:tcW w:w="690" w:type="pct"/>
            <w:shd w:val="clear" w:color="auto" w:fill="FFFFFF" w:themeFill="background1"/>
          </w:tcPr>
          <w:p w14:paraId="60462924" w14:textId="1BCB2BE5" w:rsidR="00542B54" w:rsidRPr="00C918D8" w:rsidRDefault="004251D5" w:rsidP="00C918D8">
            <w:pPr>
              <w:jc w:val="right"/>
              <w:rPr>
                <w:noProof/>
                <w:color w:val="000000"/>
                <w:sz w:val="20"/>
                <w:szCs w:val="20"/>
              </w:rPr>
            </w:pPr>
            <w:r>
              <w:rPr>
                <w:noProof/>
                <w:color w:val="000000"/>
                <w:sz w:val="20"/>
                <w:szCs w:val="20"/>
              </w:rPr>
              <w:t>0</w:t>
            </w:r>
          </w:p>
        </w:tc>
      </w:tr>
      <w:tr w:rsidR="00542B54" w:rsidRPr="00C918D8" w14:paraId="4B0FAA8F" w14:textId="27B97F6C" w:rsidTr="00542B54">
        <w:trPr>
          <w:trHeight w:val="282"/>
        </w:trPr>
        <w:tc>
          <w:tcPr>
            <w:tcW w:w="2239" w:type="pct"/>
            <w:shd w:val="clear" w:color="auto" w:fill="FFFFFF" w:themeFill="background1"/>
            <w:noWrap/>
          </w:tcPr>
          <w:p w14:paraId="4EE08C8A" w14:textId="77777777" w:rsidR="00542B54" w:rsidRPr="00C918D8" w:rsidRDefault="00542B54" w:rsidP="00C918D8">
            <w:pPr>
              <w:rPr>
                <w:noProof/>
                <w:color w:val="000000"/>
                <w:sz w:val="20"/>
                <w:szCs w:val="20"/>
              </w:rPr>
            </w:pPr>
            <w:r w:rsidRPr="00C918D8">
              <w:rPr>
                <w:noProof/>
                <w:color w:val="000000"/>
                <w:sz w:val="20"/>
                <w:szCs w:val="20"/>
              </w:rPr>
              <w:t>Cross-border services</w:t>
            </w:r>
            <w:r w:rsidRPr="00C918D8">
              <w:rPr>
                <w:noProof/>
                <w:color w:val="000000"/>
                <w:sz w:val="20"/>
                <w:szCs w:val="20"/>
                <w:vertAlign w:val="superscript"/>
              </w:rPr>
              <w:footnoteReference w:id="336"/>
            </w:r>
          </w:p>
        </w:tc>
        <w:tc>
          <w:tcPr>
            <w:tcW w:w="690" w:type="pct"/>
            <w:shd w:val="clear" w:color="auto" w:fill="FFFFFF" w:themeFill="background1"/>
            <w:noWrap/>
          </w:tcPr>
          <w:p w14:paraId="177C76DB" w14:textId="77777777" w:rsidR="00542B54" w:rsidRPr="00C918D8" w:rsidRDefault="00542B54" w:rsidP="00C918D8">
            <w:pPr>
              <w:jc w:val="right"/>
              <w:rPr>
                <w:noProof/>
                <w:color w:val="000000"/>
                <w:sz w:val="20"/>
                <w:szCs w:val="20"/>
              </w:rPr>
            </w:pPr>
            <w:r w:rsidRPr="00C918D8">
              <w:rPr>
                <w:noProof/>
                <w:color w:val="000000"/>
                <w:sz w:val="20"/>
                <w:szCs w:val="20"/>
              </w:rPr>
              <w:t>7</w:t>
            </w:r>
          </w:p>
        </w:tc>
        <w:tc>
          <w:tcPr>
            <w:tcW w:w="691" w:type="pct"/>
            <w:shd w:val="clear" w:color="auto" w:fill="FFFFFF" w:themeFill="background1"/>
            <w:noWrap/>
          </w:tcPr>
          <w:p w14:paraId="1CE8788B" w14:textId="77777777" w:rsidR="00542B54" w:rsidRPr="00C918D8" w:rsidRDefault="00542B54" w:rsidP="00C918D8">
            <w:pPr>
              <w:jc w:val="right"/>
              <w:rPr>
                <w:noProof/>
                <w:color w:val="000000"/>
                <w:sz w:val="20"/>
                <w:szCs w:val="20"/>
              </w:rPr>
            </w:pPr>
            <w:r w:rsidRPr="00C918D8">
              <w:rPr>
                <w:noProof/>
                <w:color w:val="000000"/>
                <w:sz w:val="20"/>
                <w:szCs w:val="20"/>
              </w:rPr>
              <w:t>5</w:t>
            </w:r>
          </w:p>
        </w:tc>
        <w:tc>
          <w:tcPr>
            <w:tcW w:w="690" w:type="pct"/>
            <w:shd w:val="clear" w:color="auto" w:fill="FFFFFF" w:themeFill="background1"/>
            <w:noWrap/>
          </w:tcPr>
          <w:p w14:paraId="1D651CD4" w14:textId="77777777" w:rsidR="00542B54" w:rsidRPr="00C918D8" w:rsidRDefault="00542B54" w:rsidP="00C918D8">
            <w:pPr>
              <w:jc w:val="right"/>
              <w:rPr>
                <w:noProof/>
                <w:color w:val="000000"/>
                <w:sz w:val="20"/>
                <w:szCs w:val="20"/>
              </w:rPr>
            </w:pPr>
            <w:r w:rsidRPr="00C918D8">
              <w:rPr>
                <w:noProof/>
                <w:color w:val="000000"/>
                <w:sz w:val="20"/>
                <w:szCs w:val="20"/>
              </w:rPr>
              <w:t>5</w:t>
            </w:r>
          </w:p>
        </w:tc>
        <w:tc>
          <w:tcPr>
            <w:tcW w:w="690" w:type="pct"/>
            <w:shd w:val="clear" w:color="auto" w:fill="FFFFFF" w:themeFill="background1"/>
          </w:tcPr>
          <w:p w14:paraId="125A1885" w14:textId="07BC2D7D" w:rsidR="00542B54" w:rsidRPr="00C918D8" w:rsidRDefault="00571010" w:rsidP="00C918D8">
            <w:pPr>
              <w:jc w:val="right"/>
              <w:rPr>
                <w:noProof/>
                <w:color w:val="000000"/>
                <w:sz w:val="20"/>
                <w:szCs w:val="20"/>
              </w:rPr>
            </w:pPr>
            <w:r>
              <w:rPr>
                <w:noProof/>
                <w:color w:val="000000"/>
                <w:sz w:val="20"/>
                <w:szCs w:val="20"/>
              </w:rPr>
              <w:t>2</w:t>
            </w:r>
          </w:p>
        </w:tc>
      </w:tr>
      <w:tr w:rsidR="00542B54" w:rsidRPr="00C918D8" w14:paraId="0BA2F114" w14:textId="7F3A2B0C" w:rsidTr="00542B54">
        <w:trPr>
          <w:trHeight w:val="282"/>
        </w:trPr>
        <w:tc>
          <w:tcPr>
            <w:tcW w:w="2239" w:type="pct"/>
            <w:shd w:val="clear" w:color="auto" w:fill="BDE3FF"/>
            <w:noWrap/>
            <w:hideMark/>
          </w:tcPr>
          <w:p w14:paraId="330F1CF9" w14:textId="77777777" w:rsidR="00542B54" w:rsidRPr="00C918D8" w:rsidRDefault="00542B54" w:rsidP="00C918D8">
            <w:pPr>
              <w:rPr>
                <w:b/>
                <w:noProof/>
                <w:color w:val="000000"/>
                <w:sz w:val="20"/>
                <w:szCs w:val="20"/>
              </w:rPr>
            </w:pPr>
            <w:r w:rsidRPr="00C918D8">
              <w:rPr>
                <w:b/>
                <w:noProof/>
                <w:color w:val="000000"/>
                <w:sz w:val="20"/>
                <w:szCs w:val="20"/>
              </w:rPr>
              <w:t>Waterborne</w:t>
            </w:r>
            <w:r w:rsidRPr="00C918D8">
              <w:rPr>
                <w:b/>
                <w:noProof/>
                <w:color w:val="000000"/>
                <w:sz w:val="20"/>
                <w:szCs w:val="20"/>
                <w:vertAlign w:val="superscript"/>
              </w:rPr>
              <w:footnoteReference w:id="337"/>
            </w:r>
          </w:p>
        </w:tc>
        <w:tc>
          <w:tcPr>
            <w:tcW w:w="690" w:type="pct"/>
            <w:shd w:val="clear" w:color="auto" w:fill="BDE3FF"/>
            <w:noWrap/>
            <w:hideMark/>
          </w:tcPr>
          <w:p w14:paraId="65D73AF2" w14:textId="77777777" w:rsidR="00542B54" w:rsidRPr="00C918D8" w:rsidRDefault="00542B54" w:rsidP="00C918D8">
            <w:pPr>
              <w:jc w:val="right"/>
              <w:rPr>
                <w:b/>
                <w:noProof/>
                <w:color w:val="000000"/>
                <w:sz w:val="20"/>
                <w:szCs w:val="20"/>
              </w:rPr>
            </w:pPr>
            <w:r w:rsidRPr="00C918D8">
              <w:rPr>
                <w:b/>
                <w:noProof/>
                <w:color w:val="000000"/>
                <w:sz w:val="20"/>
                <w:szCs w:val="20"/>
              </w:rPr>
              <w:t>523</w:t>
            </w:r>
          </w:p>
        </w:tc>
        <w:tc>
          <w:tcPr>
            <w:tcW w:w="691" w:type="pct"/>
            <w:shd w:val="clear" w:color="auto" w:fill="BDE3FF"/>
            <w:noWrap/>
            <w:hideMark/>
          </w:tcPr>
          <w:p w14:paraId="0CFD427D" w14:textId="77777777" w:rsidR="00542B54" w:rsidRPr="00C918D8" w:rsidRDefault="00542B54" w:rsidP="00C918D8">
            <w:pPr>
              <w:jc w:val="right"/>
              <w:rPr>
                <w:b/>
                <w:noProof/>
                <w:color w:val="000000"/>
                <w:sz w:val="20"/>
                <w:szCs w:val="20"/>
              </w:rPr>
            </w:pPr>
            <w:r w:rsidRPr="00C918D8">
              <w:rPr>
                <w:b/>
                <w:noProof/>
                <w:color w:val="000000"/>
                <w:sz w:val="20"/>
                <w:szCs w:val="20"/>
              </w:rPr>
              <w:t>5</w:t>
            </w:r>
          </w:p>
        </w:tc>
        <w:tc>
          <w:tcPr>
            <w:tcW w:w="690" w:type="pct"/>
            <w:shd w:val="clear" w:color="auto" w:fill="BDE3FF"/>
            <w:noWrap/>
            <w:hideMark/>
          </w:tcPr>
          <w:p w14:paraId="6AEC7074" w14:textId="77777777" w:rsidR="00542B54" w:rsidRPr="00C918D8" w:rsidRDefault="00542B54" w:rsidP="00C918D8">
            <w:pPr>
              <w:jc w:val="right"/>
              <w:rPr>
                <w:b/>
                <w:noProof/>
                <w:color w:val="000000"/>
                <w:sz w:val="20"/>
                <w:szCs w:val="20"/>
              </w:rPr>
            </w:pPr>
            <w:r w:rsidRPr="00C918D8">
              <w:rPr>
                <w:b/>
                <w:noProof/>
                <w:color w:val="000000"/>
                <w:sz w:val="20"/>
                <w:szCs w:val="20"/>
              </w:rPr>
              <w:t>0</w:t>
            </w:r>
          </w:p>
        </w:tc>
        <w:tc>
          <w:tcPr>
            <w:tcW w:w="690" w:type="pct"/>
            <w:shd w:val="clear" w:color="auto" w:fill="BDE3FF"/>
          </w:tcPr>
          <w:p w14:paraId="75925BE6" w14:textId="63972F52" w:rsidR="00542B54" w:rsidRPr="00C918D8" w:rsidRDefault="00F82603" w:rsidP="00C918D8">
            <w:pPr>
              <w:jc w:val="right"/>
              <w:rPr>
                <w:b/>
                <w:noProof/>
                <w:color w:val="000000"/>
                <w:sz w:val="20"/>
                <w:szCs w:val="20"/>
              </w:rPr>
            </w:pPr>
            <w:r>
              <w:rPr>
                <w:b/>
                <w:noProof/>
                <w:color w:val="000000"/>
                <w:sz w:val="20"/>
                <w:szCs w:val="20"/>
              </w:rPr>
              <w:t>518</w:t>
            </w:r>
          </w:p>
        </w:tc>
      </w:tr>
      <w:tr w:rsidR="00542B54" w:rsidRPr="00C918D8" w14:paraId="29E17476" w14:textId="19040EB0" w:rsidTr="00542B54">
        <w:trPr>
          <w:trHeight w:val="282"/>
        </w:trPr>
        <w:tc>
          <w:tcPr>
            <w:tcW w:w="2239" w:type="pct"/>
            <w:shd w:val="clear" w:color="auto" w:fill="BDE3FF"/>
            <w:noWrap/>
            <w:hideMark/>
          </w:tcPr>
          <w:p w14:paraId="05074524" w14:textId="77777777" w:rsidR="00542B54" w:rsidRPr="00C918D8" w:rsidRDefault="00542B54" w:rsidP="00C918D8">
            <w:pPr>
              <w:rPr>
                <w:b/>
                <w:noProof/>
                <w:color w:val="000000"/>
                <w:sz w:val="20"/>
                <w:szCs w:val="20"/>
              </w:rPr>
            </w:pPr>
            <w:r w:rsidRPr="00C918D8">
              <w:rPr>
                <w:b/>
                <w:noProof/>
                <w:color w:val="000000"/>
                <w:sz w:val="20"/>
                <w:szCs w:val="20"/>
              </w:rPr>
              <w:t>Air carriers</w:t>
            </w:r>
            <w:r w:rsidRPr="00C918D8">
              <w:rPr>
                <w:b/>
                <w:noProof/>
                <w:color w:val="000000"/>
                <w:sz w:val="20"/>
                <w:szCs w:val="20"/>
                <w:vertAlign w:val="superscript"/>
              </w:rPr>
              <w:footnoteReference w:id="338"/>
            </w:r>
          </w:p>
        </w:tc>
        <w:tc>
          <w:tcPr>
            <w:tcW w:w="690" w:type="pct"/>
            <w:shd w:val="clear" w:color="auto" w:fill="BDE3FF"/>
            <w:noWrap/>
            <w:hideMark/>
          </w:tcPr>
          <w:p w14:paraId="02F42463" w14:textId="77777777" w:rsidR="00542B54" w:rsidRPr="00C918D8" w:rsidRDefault="00542B54" w:rsidP="00C918D8">
            <w:pPr>
              <w:jc w:val="right"/>
              <w:rPr>
                <w:b/>
                <w:noProof/>
                <w:color w:val="000000"/>
                <w:sz w:val="20"/>
                <w:szCs w:val="20"/>
              </w:rPr>
            </w:pPr>
            <w:r w:rsidRPr="00C918D8">
              <w:rPr>
                <w:b/>
                <w:noProof/>
                <w:color w:val="000000"/>
                <w:sz w:val="20"/>
                <w:szCs w:val="20"/>
              </w:rPr>
              <w:t>331</w:t>
            </w:r>
          </w:p>
        </w:tc>
        <w:tc>
          <w:tcPr>
            <w:tcW w:w="691" w:type="pct"/>
            <w:shd w:val="clear" w:color="auto" w:fill="BDE3FF"/>
            <w:noWrap/>
            <w:hideMark/>
          </w:tcPr>
          <w:p w14:paraId="6B24A72E" w14:textId="77777777" w:rsidR="00542B54" w:rsidRPr="00C918D8" w:rsidRDefault="00542B54" w:rsidP="00C918D8">
            <w:pPr>
              <w:jc w:val="right"/>
              <w:rPr>
                <w:b/>
                <w:noProof/>
                <w:color w:val="000000"/>
                <w:sz w:val="20"/>
                <w:szCs w:val="20"/>
              </w:rPr>
            </w:pPr>
            <w:r w:rsidRPr="00C918D8">
              <w:rPr>
                <w:b/>
                <w:noProof/>
                <w:color w:val="000000"/>
                <w:sz w:val="20"/>
                <w:szCs w:val="20"/>
              </w:rPr>
              <w:t>331</w:t>
            </w:r>
          </w:p>
        </w:tc>
        <w:tc>
          <w:tcPr>
            <w:tcW w:w="690" w:type="pct"/>
            <w:shd w:val="clear" w:color="auto" w:fill="BDE3FF"/>
            <w:noWrap/>
            <w:hideMark/>
          </w:tcPr>
          <w:p w14:paraId="782E78E9" w14:textId="77777777" w:rsidR="00542B54" w:rsidRPr="00C918D8" w:rsidRDefault="00542B54" w:rsidP="00C918D8">
            <w:pPr>
              <w:jc w:val="right"/>
              <w:rPr>
                <w:b/>
                <w:noProof/>
                <w:color w:val="000000"/>
                <w:sz w:val="20"/>
                <w:szCs w:val="20"/>
              </w:rPr>
            </w:pPr>
            <w:r w:rsidRPr="00C918D8">
              <w:rPr>
                <w:b/>
                <w:noProof/>
                <w:color w:val="000000"/>
                <w:sz w:val="20"/>
                <w:szCs w:val="20"/>
              </w:rPr>
              <w:t>0</w:t>
            </w:r>
          </w:p>
        </w:tc>
        <w:tc>
          <w:tcPr>
            <w:tcW w:w="690" w:type="pct"/>
            <w:shd w:val="clear" w:color="auto" w:fill="BDE3FF"/>
          </w:tcPr>
          <w:p w14:paraId="4BB44570" w14:textId="627BC9A9" w:rsidR="00542B54" w:rsidRPr="00C918D8" w:rsidRDefault="00F82603" w:rsidP="00C918D8">
            <w:pPr>
              <w:jc w:val="right"/>
              <w:rPr>
                <w:b/>
                <w:noProof/>
                <w:color w:val="000000"/>
                <w:sz w:val="20"/>
                <w:szCs w:val="20"/>
              </w:rPr>
            </w:pPr>
            <w:r>
              <w:rPr>
                <w:b/>
                <w:noProof/>
                <w:color w:val="000000"/>
                <w:sz w:val="20"/>
                <w:szCs w:val="20"/>
              </w:rPr>
              <w:t>0</w:t>
            </w:r>
          </w:p>
        </w:tc>
      </w:tr>
      <w:tr w:rsidR="00542B54" w:rsidRPr="00C918D8" w14:paraId="01A61D3C" w14:textId="7CE80680" w:rsidTr="00542B54">
        <w:trPr>
          <w:trHeight w:val="282"/>
        </w:trPr>
        <w:tc>
          <w:tcPr>
            <w:tcW w:w="2239" w:type="pct"/>
            <w:shd w:val="clear" w:color="auto" w:fill="F2F2F2" w:themeFill="background1" w:themeFillShade="F2"/>
            <w:noWrap/>
          </w:tcPr>
          <w:p w14:paraId="493DA969" w14:textId="77777777" w:rsidR="00542B54" w:rsidRPr="00C918D8" w:rsidRDefault="00542B54" w:rsidP="00C918D8">
            <w:pPr>
              <w:rPr>
                <w:b/>
                <w:noProof/>
                <w:color w:val="000000"/>
                <w:sz w:val="20"/>
                <w:szCs w:val="20"/>
              </w:rPr>
            </w:pPr>
            <w:r w:rsidRPr="00C918D8">
              <w:rPr>
                <w:b/>
                <w:noProof/>
                <w:color w:val="000000"/>
                <w:sz w:val="20"/>
                <w:szCs w:val="20"/>
              </w:rPr>
              <w:t>Total</w:t>
            </w:r>
          </w:p>
        </w:tc>
        <w:tc>
          <w:tcPr>
            <w:tcW w:w="690" w:type="pct"/>
            <w:shd w:val="clear" w:color="auto" w:fill="F2F2F2" w:themeFill="background1" w:themeFillShade="F2"/>
            <w:noWrap/>
          </w:tcPr>
          <w:p w14:paraId="5D98F31D" w14:textId="083B9128" w:rsidR="00542B54" w:rsidRPr="00C918D8" w:rsidRDefault="00542B54" w:rsidP="00C918D8">
            <w:pPr>
              <w:jc w:val="right"/>
              <w:rPr>
                <w:b/>
                <w:noProof/>
                <w:color w:val="000000"/>
                <w:sz w:val="20"/>
                <w:szCs w:val="20"/>
              </w:rPr>
            </w:pPr>
            <w:r>
              <w:rPr>
                <w:b/>
                <w:noProof/>
                <w:color w:val="000000"/>
                <w:sz w:val="20"/>
                <w:szCs w:val="20"/>
              </w:rPr>
              <w:t>4,790</w:t>
            </w:r>
          </w:p>
        </w:tc>
        <w:tc>
          <w:tcPr>
            <w:tcW w:w="691" w:type="pct"/>
            <w:shd w:val="clear" w:color="auto" w:fill="F2F2F2" w:themeFill="background1" w:themeFillShade="F2"/>
            <w:noWrap/>
          </w:tcPr>
          <w:p w14:paraId="4FB394CC" w14:textId="77777777" w:rsidR="00542B54" w:rsidRPr="00C918D8" w:rsidRDefault="00542B54" w:rsidP="00C918D8">
            <w:pPr>
              <w:jc w:val="right"/>
              <w:rPr>
                <w:b/>
                <w:noProof/>
                <w:color w:val="000000"/>
                <w:sz w:val="20"/>
                <w:szCs w:val="20"/>
              </w:rPr>
            </w:pPr>
          </w:p>
        </w:tc>
        <w:tc>
          <w:tcPr>
            <w:tcW w:w="690" w:type="pct"/>
            <w:shd w:val="clear" w:color="auto" w:fill="F2F2F2" w:themeFill="background1" w:themeFillShade="F2"/>
            <w:noWrap/>
          </w:tcPr>
          <w:p w14:paraId="37603A37" w14:textId="77777777" w:rsidR="00542B54" w:rsidRPr="00C918D8" w:rsidRDefault="00542B54" w:rsidP="00C918D8">
            <w:pPr>
              <w:rPr>
                <w:b/>
                <w:noProof/>
                <w:color w:val="000000"/>
                <w:sz w:val="20"/>
                <w:szCs w:val="20"/>
              </w:rPr>
            </w:pPr>
          </w:p>
        </w:tc>
        <w:tc>
          <w:tcPr>
            <w:tcW w:w="690" w:type="pct"/>
            <w:shd w:val="clear" w:color="auto" w:fill="F2F2F2" w:themeFill="background1" w:themeFillShade="F2"/>
          </w:tcPr>
          <w:p w14:paraId="6C4E683D" w14:textId="5DD1F64F" w:rsidR="00542B54" w:rsidRPr="00C918D8" w:rsidRDefault="00823A0A">
            <w:pPr>
              <w:jc w:val="right"/>
              <w:rPr>
                <w:b/>
                <w:noProof/>
                <w:color w:val="000000"/>
                <w:sz w:val="20"/>
                <w:szCs w:val="20"/>
              </w:rPr>
            </w:pPr>
            <w:r>
              <w:rPr>
                <w:b/>
                <w:noProof/>
                <w:color w:val="000000"/>
                <w:sz w:val="20"/>
                <w:szCs w:val="20"/>
              </w:rPr>
              <w:t>3,738</w:t>
            </w:r>
          </w:p>
        </w:tc>
      </w:tr>
    </w:tbl>
    <w:p w14:paraId="2ED5B762" w14:textId="7E3E9976" w:rsidR="00C918D8" w:rsidRPr="00C918D8" w:rsidRDefault="00C918D8" w:rsidP="009D4934">
      <w:pPr>
        <w:tabs>
          <w:tab w:val="left" w:pos="2302"/>
        </w:tabs>
        <w:spacing w:after="240"/>
        <w:jc w:val="both"/>
        <w:rPr>
          <w:i/>
          <w:noProof/>
          <w:sz w:val="20"/>
          <w:szCs w:val="20"/>
        </w:rPr>
      </w:pPr>
      <w:r w:rsidRPr="00C918D8">
        <w:rPr>
          <w:i/>
          <w:iCs/>
          <w:noProof/>
          <w:spacing w:val="-8"/>
          <w:sz w:val="20"/>
          <w:szCs w:val="20"/>
        </w:rPr>
        <w:t xml:space="preserve">Source: </w:t>
      </w:r>
      <w:r w:rsidRPr="00C918D8">
        <w:rPr>
          <w:i/>
          <w:iCs/>
          <w:noProof/>
          <w:sz w:val="20"/>
          <w:szCs w:val="20"/>
        </w:rPr>
        <w:t>Ricardo et al. (2026), Impact assessment support study</w:t>
      </w:r>
    </w:p>
    <w:p w14:paraId="2B781AC1" w14:textId="2CBE42E1" w:rsidR="009C1EF6" w:rsidRPr="00117904" w:rsidRDefault="009D573B" w:rsidP="007B2D8E">
      <w:pPr>
        <w:pStyle w:val="ListParagraph"/>
        <w:keepNext/>
        <w:widowControl/>
        <w:numPr>
          <w:ilvl w:val="2"/>
          <w:numId w:val="10"/>
        </w:numPr>
        <w:autoSpaceDE/>
        <w:autoSpaceDN/>
        <w:spacing w:after="240"/>
        <w:jc w:val="both"/>
        <w:outlineLvl w:val="2"/>
        <w:rPr>
          <w:i/>
          <w:noProof/>
          <w:sz w:val="24"/>
          <w:szCs w:val="24"/>
        </w:rPr>
      </w:pPr>
      <w:bookmarkStart w:id="403" w:name="_Toc223980030"/>
      <w:r w:rsidRPr="00117904">
        <w:rPr>
          <w:i/>
          <w:noProof/>
          <w:sz w:val="24"/>
          <w:szCs w:val="24"/>
        </w:rPr>
        <w:t>Number of agreements between MDMS platforms and transport operators</w:t>
      </w:r>
      <w:bookmarkEnd w:id="403"/>
    </w:p>
    <w:p w14:paraId="71C810D6" w14:textId="77777777" w:rsidR="00E378D3" w:rsidRPr="00475A6B" w:rsidRDefault="00E378D3" w:rsidP="00E378D3">
      <w:pPr>
        <w:pStyle w:val="Text4"/>
        <w:spacing w:before="0" w:after="240"/>
        <w:ind w:left="0"/>
        <w:rPr>
          <w:rFonts w:ascii="Times New Roman" w:eastAsia="Calibri" w:hAnsi="Times New Roman"/>
          <w:noProof/>
          <w:spacing w:val="-8"/>
          <w:sz w:val="24"/>
          <w:szCs w:val="24"/>
        </w:rPr>
      </w:pPr>
      <w:r w:rsidRPr="00475A6B">
        <w:rPr>
          <w:rFonts w:ascii="Times New Roman" w:eastAsia="Calibri" w:hAnsi="Times New Roman"/>
          <w:noProof/>
          <w:spacing w:val="-8"/>
          <w:sz w:val="24"/>
          <w:szCs w:val="24"/>
        </w:rPr>
        <w:t xml:space="preserve">The number of agreements between MDMS platforms and transport operators is calculated by multiplying the number of platforms by the number of operators engaged with each platform. The number of </w:t>
      </w:r>
      <w:r>
        <w:rPr>
          <w:rFonts w:ascii="Times New Roman" w:eastAsia="Calibri" w:hAnsi="Times New Roman"/>
          <w:noProof/>
          <w:spacing w:val="-8"/>
          <w:sz w:val="24"/>
          <w:szCs w:val="24"/>
        </w:rPr>
        <w:t xml:space="preserve">transport </w:t>
      </w:r>
      <w:r w:rsidRPr="00475A6B">
        <w:rPr>
          <w:rFonts w:ascii="Times New Roman" w:eastAsia="Calibri" w:hAnsi="Times New Roman"/>
          <w:noProof/>
          <w:spacing w:val="-8"/>
          <w:sz w:val="24"/>
          <w:szCs w:val="24"/>
        </w:rPr>
        <w:t>operators that each platform engages with differ</w:t>
      </w:r>
      <w:r>
        <w:rPr>
          <w:rFonts w:ascii="Times New Roman" w:eastAsia="Calibri" w:hAnsi="Times New Roman"/>
          <w:noProof/>
          <w:spacing w:val="-8"/>
          <w:sz w:val="24"/>
          <w:szCs w:val="24"/>
        </w:rPr>
        <w:t>s</w:t>
      </w:r>
      <w:r w:rsidRPr="00475A6B">
        <w:rPr>
          <w:rFonts w:ascii="Times New Roman" w:eastAsia="Calibri" w:hAnsi="Times New Roman"/>
          <w:noProof/>
          <w:spacing w:val="-8"/>
          <w:sz w:val="24"/>
          <w:szCs w:val="24"/>
        </w:rPr>
        <w:t xml:space="preserve"> depending on factors like the modal scope of the platform, its geographical coverage, and </w:t>
      </w:r>
      <w:r>
        <w:rPr>
          <w:rFonts w:ascii="Times New Roman" w:eastAsia="Calibri" w:hAnsi="Times New Roman"/>
          <w:noProof/>
          <w:spacing w:val="-8"/>
          <w:sz w:val="24"/>
          <w:szCs w:val="24"/>
        </w:rPr>
        <w:t>the coverage of</w:t>
      </w:r>
      <w:r w:rsidRPr="00475A6B">
        <w:rPr>
          <w:rFonts w:ascii="Times New Roman" w:eastAsia="Calibri" w:hAnsi="Times New Roman"/>
          <w:noProof/>
          <w:spacing w:val="-8"/>
          <w:sz w:val="24"/>
          <w:szCs w:val="24"/>
        </w:rPr>
        <w:t xml:space="preserve"> service offerings. </w:t>
      </w:r>
    </w:p>
    <w:p w14:paraId="233AE29F" w14:textId="77777777" w:rsidR="00E378D3" w:rsidRPr="00475A6B" w:rsidRDefault="00E378D3" w:rsidP="00BB32A9">
      <w:pPr>
        <w:pStyle w:val="Text4"/>
        <w:widowControl w:val="0"/>
        <w:spacing w:before="0" w:after="240"/>
        <w:ind w:left="0"/>
        <w:rPr>
          <w:rFonts w:ascii="Times New Roman" w:eastAsia="Calibri" w:hAnsi="Times New Roman"/>
          <w:noProof/>
          <w:spacing w:val="-8"/>
          <w:sz w:val="24"/>
          <w:szCs w:val="24"/>
        </w:rPr>
      </w:pPr>
      <w:r>
        <w:rPr>
          <w:rFonts w:ascii="Times New Roman" w:eastAsia="Calibri" w:hAnsi="Times New Roman"/>
          <w:noProof/>
          <w:spacing w:val="-8"/>
          <w:sz w:val="24"/>
          <w:szCs w:val="24"/>
        </w:rPr>
        <w:t>In the context of the impact assessment support study, a</w:t>
      </w:r>
      <w:r w:rsidRPr="00475A6B">
        <w:rPr>
          <w:rFonts w:ascii="Times New Roman" w:eastAsia="Calibri" w:hAnsi="Times New Roman"/>
          <w:noProof/>
          <w:spacing w:val="-8"/>
          <w:sz w:val="24"/>
          <w:szCs w:val="24"/>
        </w:rPr>
        <w:t xml:space="preserve">n analysis was conducted to assess the number of transport operator partnerships each MDMS maintains. Among the national/regional MDMS, the number of operator </w:t>
      </w:r>
      <w:r>
        <w:rPr>
          <w:rFonts w:ascii="Times New Roman" w:eastAsia="Calibri" w:hAnsi="Times New Roman"/>
          <w:noProof/>
          <w:spacing w:val="-8"/>
          <w:sz w:val="24"/>
          <w:szCs w:val="24"/>
        </w:rPr>
        <w:t>agreements</w:t>
      </w:r>
      <w:r w:rsidRPr="00475A6B">
        <w:rPr>
          <w:rFonts w:ascii="Times New Roman" w:eastAsia="Calibri" w:hAnsi="Times New Roman"/>
          <w:noProof/>
          <w:spacing w:val="-8"/>
          <w:sz w:val="24"/>
          <w:szCs w:val="24"/>
        </w:rPr>
        <w:t xml:space="preserve"> ranged from 8 to 100, with a mean of 28 and a median of 20</w:t>
      </w:r>
      <w:r w:rsidRPr="00475A6B">
        <w:rPr>
          <w:rStyle w:val="FootnoteReference"/>
          <w:rFonts w:ascii="Times New Roman" w:eastAsia="Calibri" w:hAnsi="Times New Roman"/>
          <w:noProof/>
          <w:spacing w:val="-8"/>
          <w:sz w:val="24"/>
          <w:szCs w:val="24"/>
        </w:rPr>
        <w:footnoteReference w:id="339"/>
      </w:r>
      <w:r w:rsidRPr="00475A6B">
        <w:rPr>
          <w:rFonts w:ascii="Times New Roman" w:eastAsia="Calibri" w:hAnsi="Times New Roman"/>
          <w:noProof/>
          <w:spacing w:val="-8"/>
          <w:sz w:val="24"/>
          <w:szCs w:val="24"/>
        </w:rPr>
        <w:t>.</w:t>
      </w:r>
      <w:r>
        <w:rPr>
          <w:rFonts w:ascii="Times New Roman" w:eastAsia="Calibri" w:hAnsi="Times New Roman"/>
          <w:noProof/>
          <w:spacing w:val="-8"/>
          <w:sz w:val="24"/>
          <w:szCs w:val="24"/>
        </w:rPr>
        <w:t xml:space="preserve"> </w:t>
      </w:r>
      <w:r w:rsidRPr="00475A6B">
        <w:rPr>
          <w:rFonts w:ascii="Times New Roman" w:eastAsia="Calibri" w:hAnsi="Times New Roman"/>
          <w:noProof/>
          <w:spacing w:val="-8"/>
          <w:sz w:val="24"/>
          <w:szCs w:val="24"/>
        </w:rPr>
        <w:t>For EU-wide MDMS, partnerships ranged from 16 to 500, with a mean of 189 and a median of 40.</w:t>
      </w:r>
      <w:r>
        <w:rPr>
          <w:rFonts w:ascii="Times New Roman" w:eastAsia="Calibri" w:hAnsi="Times New Roman"/>
          <w:noProof/>
          <w:spacing w:val="-8"/>
          <w:sz w:val="24"/>
          <w:szCs w:val="24"/>
        </w:rPr>
        <w:t xml:space="preserve"> </w:t>
      </w:r>
    </w:p>
    <w:p w14:paraId="2514B16D" w14:textId="26C87FDD" w:rsidR="00E378D3" w:rsidRPr="00AA64FB" w:rsidRDefault="00E378D3" w:rsidP="00E378D3">
      <w:pPr>
        <w:tabs>
          <w:tab w:val="left" w:pos="1134"/>
        </w:tabs>
        <w:jc w:val="both"/>
        <w:rPr>
          <w:i/>
          <w:noProof/>
          <w:sz w:val="22"/>
          <w:szCs w:val="22"/>
        </w:rPr>
      </w:pPr>
      <w:r w:rsidRPr="00AA64FB">
        <w:rPr>
          <w:i/>
          <w:noProof/>
          <w:sz w:val="22"/>
          <w:szCs w:val="22"/>
        </w:rPr>
        <w:t xml:space="preserve">Table </w:t>
      </w:r>
      <w:r w:rsidRPr="00AA64FB">
        <w:rPr>
          <w:i/>
          <w:noProof/>
          <w:sz w:val="22"/>
          <w:szCs w:val="22"/>
        </w:rPr>
        <w:fldChar w:fldCharType="begin"/>
      </w:r>
      <w:r w:rsidRPr="00AA64FB">
        <w:rPr>
          <w:i/>
          <w:noProof/>
          <w:sz w:val="22"/>
          <w:szCs w:val="22"/>
        </w:rPr>
        <w:instrText xml:space="preserve"> SEQ Table \* ARABIC </w:instrText>
      </w:r>
      <w:r w:rsidRPr="00AA64FB">
        <w:rPr>
          <w:i/>
          <w:noProof/>
          <w:sz w:val="22"/>
          <w:szCs w:val="22"/>
        </w:rPr>
        <w:fldChar w:fldCharType="separate"/>
      </w:r>
      <w:r w:rsidR="0055391F">
        <w:rPr>
          <w:i/>
          <w:noProof/>
          <w:sz w:val="22"/>
          <w:szCs w:val="22"/>
        </w:rPr>
        <w:t>58</w:t>
      </w:r>
      <w:r w:rsidRPr="00AA64FB">
        <w:rPr>
          <w:i/>
          <w:noProof/>
          <w:sz w:val="22"/>
          <w:szCs w:val="22"/>
        </w:rPr>
        <w:fldChar w:fldCharType="end"/>
      </w:r>
      <w:r w:rsidRPr="00AA64FB">
        <w:rPr>
          <w:i/>
          <w:noProof/>
          <w:sz w:val="22"/>
          <w:szCs w:val="22"/>
        </w:rPr>
        <w:t xml:space="preserve">: Number of transport operators in partnerships with a sample of MDMS platforms, split by national/regional and EU-wide platforms </w:t>
      </w:r>
    </w:p>
    <w:tbl>
      <w:tblPr>
        <w:tblStyle w:val="Ricardo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0"/>
        <w:gridCol w:w="2721"/>
        <w:gridCol w:w="2081"/>
        <w:gridCol w:w="2721"/>
      </w:tblGrid>
      <w:tr w:rsidR="00E378D3" w:rsidRPr="00707746" w14:paraId="3736B597" w14:textId="77777777">
        <w:trPr>
          <w:cnfStyle w:val="100000000000" w:firstRow="1" w:lastRow="0" w:firstColumn="0" w:lastColumn="0" w:oddVBand="0" w:evenVBand="0" w:oddHBand="0" w:evenHBand="0" w:firstRowFirstColumn="0" w:firstRowLastColumn="0" w:lastRowFirstColumn="0" w:lastRowLastColumn="0"/>
          <w:trHeight w:val="253"/>
        </w:trPr>
        <w:tc>
          <w:tcPr>
            <w:tcW w:w="2500" w:type="pct"/>
            <w:gridSpan w:val="2"/>
            <w:shd w:val="clear" w:color="auto" w:fill="0070C0"/>
            <w:noWrap/>
            <w:vAlign w:val="top"/>
            <w:hideMark/>
          </w:tcPr>
          <w:p w14:paraId="25E756E6" w14:textId="77777777" w:rsidR="00E378D3" w:rsidRPr="00AA64FB" w:rsidRDefault="00E378D3">
            <w:pPr>
              <w:spacing w:before="0" w:after="0"/>
              <w:jc w:val="center"/>
              <w:rPr>
                <w:noProof/>
                <w:sz w:val="20"/>
                <w:szCs w:val="20"/>
              </w:rPr>
            </w:pPr>
            <w:r w:rsidRPr="00AA64FB">
              <w:rPr>
                <w:noProof/>
                <w:sz w:val="20"/>
                <w:szCs w:val="20"/>
              </w:rPr>
              <w:t>National/regional platforms</w:t>
            </w:r>
          </w:p>
        </w:tc>
        <w:tc>
          <w:tcPr>
            <w:tcW w:w="2500" w:type="pct"/>
            <w:gridSpan w:val="2"/>
            <w:shd w:val="clear" w:color="auto" w:fill="0070C0"/>
            <w:noWrap/>
            <w:vAlign w:val="top"/>
            <w:hideMark/>
          </w:tcPr>
          <w:p w14:paraId="36FD8727" w14:textId="77777777" w:rsidR="00E378D3" w:rsidRPr="00AA64FB" w:rsidRDefault="00E378D3">
            <w:pPr>
              <w:spacing w:before="0" w:after="0"/>
              <w:jc w:val="center"/>
              <w:rPr>
                <w:noProof/>
                <w:sz w:val="20"/>
                <w:szCs w:val="20"/>
              </w:rPr>
            </w:pPr>
            <w:r w:rsidRPr="00AA64FB">
              <w:rPr>
                <w:noProof/>
                <w:sz w:val="20"/>
                <w:szCs w:val="20"/>
              </w:rPr>
              <w:t>EU-wide platforms</w:t>
            </w:r>
          </w:p>
        </w:tc>
      </w:tr>
      <w:tr w:rsidR="00E378D3" w:rsidRPr="00707746" w14:paraId="27A69F20" w14:textId="77777777">
        <w:trPr>
          <w:trHeight w:val="296"/>
        </w:trPr>
        <w:tc>
          <w:tcPr>
            <w:tcW w:w="1250" w:type="pct"/>
            <w:shd w:val="clear" w:color="auto" w:fill="0070C0"/>
            <w:noWrap/>
            <w:vAlign w:val="top"/>
            <w:hideMark/>
          </w:tcPr>
          <w:p w14:paraId="48E13434" w14:textId="77777777" w:rsidR="00E378D3" w:rsidRPr="00AA64FB" w:rsidRDefault="00E378D3">
            <w:pPr>
              <w:spacing w:before="0" w:after="0"/>
              <w:jc w:val="left"/>
              <w:rPr>
                <w:b/>
                <w:noProof/>
                <w:color w:val="FFFFFF" w:themeColor="background1"/>
                <w:sz w:val="20"/>
                <w:szCs w:val="20"/>
              </w:rPr>
            </w:pPr>
            <w:r w:rsidRPr="00AA64FB">
              <w:rPr>
                <w:b/>
                <w:noProof/>
                <w:color w:val="FFFFFF" w:themeColor="background1"/>
                <w:sz w:val="20"/>
                <w:szCs w:val="20"/>
              </w:rPr>
              <w:t>MDMS platform</w:t>
            </w:r>
          </w:p>
        </w:tc>
        <w:tc>
          <w:tcPr>
            <w:tcW w:w="1250" w:type="pct"/>
            <w:shd w:val="clear" w:color="auto" w:fill="0070C0"/>
            <w:noWrap/>
            <w:vAlign w:val="top"/>
            <w:hideMark/>
          </w:tcPr>
          <w:p w14:paraId="029C7A46" w14:textId="77777777" w:rsidR="00E378D3" w:rsidRPr="00AA64FB" w:rsidRDefault="00E378D3">
            <w:pPr>
              <w:spacing w:before="0" w:after="0"/>
              <w:jc w:val="left"/>
              <w:rPr>
                <w:b/>
                <w:noProof/>
                <w:color w:val="FFFFFF" w:themeColor="background1"/>
                <w:sz w:val="20"/>
                <w:szCs w:val="20"/>
              </w:rPr>
            </w:pPr>
            <w:r w:rsidRPr="00AA64FB">
              <w:rPr>
                <w:b/>
                <w:noProof/>
                <w:color w:val="FFFFFF" w:themeColor="background1"/>
                <w:sz w:val="20"/>
                <w:szCs w:val="20"/>
              </w:rPr>
              <w:t>Number of operator partners</w:t>
            </w:r>
          </w:p>
        </w:tc>
        <w:tc>
          <w:tcPr>
            <w:tcW w:w="1250" w:type="pct"/>
            <w:shd w:val="clear" w:color="auto" w:fill="0070C0"/>
            <w:noWrap/>
            <w:vAlign w:val="top"/>
            <w:hideMark/>
          </w:tcPr>
          <w:p w14:paraId="480B7891" w14:textId="77777777" w:rsidR="00E378D3" w:rsidRPr="00AA64FB" w:rsidRDefault="00E378D3">
            <w:pPr>
              <w:spacing w:before="0" w:after="0"/>
              <w:jc w:val="left"/>
              <w:rPr>
                <w:b/>
                <w:noProof/>
                <w:color w:val="FFFFFF" w:themeColor="background1"/>
                <w:sz w:val="20"/>
                <w:szCs w:val="20"/>
              </w:rPr>
            </w:pPr>
            <w:r w:rsidRPr="00AA64FB">
              <w:rPr>
                <w:b/>
                <w:noProof/>
                <w:color w:val="FFFFFF" w:themeColor="background1"/>
                <w:sz w:val="20"/>
                <w:szCs w:val="20"/>
              </w:rPr>
              <w:t>MDMS platform</w:t>
            </w:r>
          </w:p>
        </w:tc>
        <w:tc>
          <w:tcPr>
            <w:tcW w:w="1250" w:type="pct"/>
            <w:shd w:val="clear" w:color="auto" w:fill="0070C0"/>
            <w:noWrap/>
            <w:vAlign w:val="top"/>
            <w:hideMark/>
          </w:tcPr>
          <w:p w14:paraId="7B1D21CD" w14:textId="77777777" w:rsidR="00E378D3" w:rsidRPr="00AA64FB" w:rsidRDefault="00E378D3">
            <w:pPr>
              <w:spacing w:before="0" w:after="0"/>
              <w:jc w:val="left"/>
              <w:rPr>
                <w:b/>
                <w:noProof/>
                <w:color w:val="FFFFFF" w:themeColor="background1"/>
                <w:sz w:val="20"/>
                <w:szCs w:val="20"/>
              </w:rPr>
            </w:pPr>
            <w:r w:rsidRPr="00AA64FB">
              <w:rPr>
                <w:b/>
                <w:noProof/>
                <w:color w:val="FFFFFF" w:themeColor="background1"/>
                <w:sz w:val="20"/>
                <w:szCs w:val="20"/>
              </w:rPr>
              <w:t>Number of operator partners</w:t>
            </w:r>
          </w:p>
        </w:tc>
      </w:tr>
      <w:tr w:rsidR="00E378D3" w:rsidRPr="00707746" w14:paraId="55B83610" w14:textId="77777777">
        <w:trPr>
          <w:trHeight w:val="253"/>
        </w:trPr>
        <w:tc>
          <w:tcPr>
            <w:tcW w:w="1250" w:type="pct"/>
            <w:noWrap/>
            <w:vAlign w:val="top"/>
            <w:hideMark/>
          </w:tcPr>
          <w:p w14:paraId="3E334699" w14:textId="77777777" w:rsidR="00E378D3" w:rsidRPr="00AA64FB" w:rsidRDefault="00E378D3">
            <w:pPr>
              <w:spacing w:before="0" w:after="0"/>
              <w:jc w:val="left"/>
              <w:rPr>
                <w:noProof/>
                <w:color w:val="000000"/>
                <w:sz w:val="20"/>
                <w:szCs w:val="20"/>
              </w:rPr>
            </w:pPr>
            <w:r w:rsidRPr="00AA64FB">
              <w:rPr>
                <w:noProof/>
                <w:color w:val="000000"/>
                <w:sz w:val="20"/>
                <w:szCs w:val="20"/>
              </w:rPr>
              <w:t>ARGE ÖVV</w:t>
            </w:r>
          </w:p>
        </w:tc>
        <w:tc>
          <w:tcPr>
            <w:tcW w:w="1250" w:type="pct"/>
            <w:noWrap/>
            <w:vAlign w:val="top"/>
            <w:hideMark/>
          </w:tcPr>
          <w:p w14:paraId="5028295B" w14:textId="77777777" w:rsidR="00E378D3" w:rsidRPr="00AA64FB" w:rsidRDefault="00E378D3">
            <w:pPr>
              <w:spacing w:before="0" w:after="0"/>
              <w:jc w:val="right"/>
              <w:rPr>
                <w:noProof/>
                <w:color w:val="000000"/>
                <w:sz w:val="20"/>
                <w:szCs w:val="20"/>
              </w:rPr>
            </w:pPr>
            <w:r w:rsidRPr="00AA64FB">
              <w:rPr>
                <w:noProof/>
                <w:color w:val="000000"/>
                <w:sz w:val="20"/>
                <w:szCs w:val="20"/>
              </w:rPr>
              <w:t>100</w:t>
            </w:r>
          </w:p>
        </w:tc>
        <w:tc>
          <w:tcPr>
            <w:tcW w:w="1250" w:type="pct"/>
            <w:noWrap/>
            <w:vAlign w:val="top"/>
            <w:hideMark/>
          </w:tcPr>
          <w:p w14:paraId="2FC776BB" w14:textId="77777777" w:rsidR="00E378D3" w:rsidRPr="00AA64FB" w:rsidRDefault="00E378D3">
            <w:pPr>
              <w:spacing w:before="0" w:after="0"/>
              <w:jc w:val="left"/>
              <w:rPr>
                <w:noProof/>
                <w:color w:val="000000"/>
                <w:sz w:val="20"/>
                <w:szCs w:val="20"/>
              </w:rPr>
            </w:pPr>
            <w:r w:rsidRPr="00AA64FB">
              <w:rPr>
                <w:noProof/>
                <w:color w:val="000000"/>
                <w:sz w:val="20"/>
                <w:szCs w:val="20"/>
              </w:rPr>
              <w:t>Omio</w:t>
            </w:r>
          </w:p>
        </w:tc>
        <w:tc>
          <w:tcPr>
            <w:tcW w:w="1250" w:type="pct"/>
            <w:noWrap/>
            <w:vAlign w:val="top"/>
            <w:hideMark/>
          </w:tcPr>
          <w:p w14:paraId="1222A247" w14:textId="77777777" w:rsidR="00E378D3" w:rsidRPr="00AA64FB" w:rsidRDefault="00E378D3">
            <w:pPr>
              <w:spacing w:before="0" w:after="0"/>
              <w:jc w:val="right"/>
              <w:rPr>
                <w:noProof/>
                <w:color w:val="000000"/>
                <w:sz w:val="20"/>
                <w:szCs w:val="20"/>
              </w:rPr>
            </w:pPr>
            <w:r w:rsidRPr="00AA64FB">
              <w:rPr>
                <w:noProof/>
                <w:color w:val="000000"/>
                <w:sz w:val="20"/>
                <w:szCs w:val="20"/>
              </w:rPr>
              <w:t>500</w:t>
            </w:r>
          </w:p>
        </w:tc>
      </w:tr>
      <w:tr w:rsidR="00E378D3" w:rsidRPr="00707746" w14:paraId="1886F7E6" w14:textId="77777777">
        <w:trPr>
          <w:trHeight w:val="253"/>
        </w:trPr>
        <w:tc>
          <w:tcPr>
            <w:tcW w:w="1250" w:type="pct"/>
            <w:noWrap/>
            <w:vAlign w:val="top"/>
          </w:tcPr>
          <w:p w14:paraId="16FEED77" w14:textId="77777777" w:rsidR="00E378D3" w:rsidRPr="00AA64FB" w:rsidRDefault="00E378D3">
            <w:pPr>
              <w:spacing w:before="0" w:after="0"/>
              <w:jc w:val="left"/>
              <w:rPr>
                <w:noProof/>
                <w:color w:val="000000"/>
                <w:sz w:val="20"/>
                <w:szCs w:val="20"/>
              </w:rPr>
            </w:pPr>
            <w:r w:rsidRPr="00AA64FB">
              <w:rPr>
                <w:noProof/>
                <w:color w:val="000000"/>
                <w:sz w:val="20"/>
                <w:szCs w:val="20"/>
              </w:rPr>
              <w:t>reittiopas</w:t>
            </w:r>
          </w:p>
        </w:tc>
        <w:tc>
          <w:tcPr>
            <w:tcW w:w="1250" w:type="pct"/>
            <w:noWrap/>
            <w:vAlign w:val="top"/>
          </w:tcPr>
          <w:p w14:paraId="4CE8A60D" w14:textId="77777777" w:rsidR="00E378D3" w:rsidRPr="00AA64FB" w:rsidRDefault="00E378D3">
            <w:pPr>
              <w:spacing w:before="0" w:after="0"/>
              <w:jc w:val="right"/>
              <w:rPr>
                <w:noProof/>
                <w:color w:val="000000"/>
                <w:sz w:val="20"/>
                <w:szCs w:val="20"/>
              </w:rPr>
            </w:pPr>
            <w:r w:rsidRPr="00AA64FB">
              <w:rPr>
                <w:noProof/>
                <w:color w:val="000000"/>
                <w:sz w:val="20"/>
                <w:szCs w:val="20"/>
              </w:rPr>
              <w:t>50</w:t>
            </w:r>
          </w:p>
        </w:tc>
        <w:tc>
          <w:tcPr>
            <w:tcW w:w="1250" w:type="pct"/>
            <w:noWrap/>
            <w:vAlign w:val="top"/>
            <w:hideMark/>
          </w:tcPr>
          <w:p w14:paraId="143726EE" w14:textId="77777777" w:rsidR="00E378D3" w:rsidRPr="00AA64FB" w:rsidRDefault="00E378D3">
            <w:pPr>
              <w:spacing w:before="0" w:after="0"/>
              <w:jc w:val="left"/>
              <w:rPr>
                <w:noProof/>
                <w:color w:val="000000"/>
                <w:sz w:val="20"/>
                <w:szCs w:val="20"/>
              </w:rPr>
            </w:pPr>
            <w:r w:rsidRPr="00AA64FB">
              <w:rPr>
                <w:noProof/>
                <w:color w:val="000000"/>
                <w:sz w:val="20"/>
                <w:szCs w:val="20"/>
              </w:rPr>
              <w:t>Rome2rio</w:t>
            </w:r>
          </w:p>
        </w:tc>
        <w:tc>
          <w:tcPr>
            <w:tcW w:w="1250" w:type="pct"/>
            <w:noWrap/>
            <w:vAlign w:val="top"/>
            <w:hideMark/>
          </w:tcPr>
          <w:p w14:paraId="22DD22A6" w14:textId="77777777" w:rsidR="00E378D3" w:rsidRPr="00AA64FB" w:rsidRDefault="00E378D3">
            <w:pPr>
              <w:spacing w:before="0" w:after="0"/>
              <w:jc w:val="right"/>
              <w:rPr>
                <w:noProof/>
                <w:color w:val="000000"/>
                <w:sz w:val="20"/>
                <w:szCs w:val="20"/>
              </w:rPr>
            </w:pPr>
            <w:r w:rsidRPr="00AA64FB">
              <w:rPr>
                <w:noProof/>
                <w:color w:val="000000"/>
                <w:sz w:val="20"/>
                <w:szCs w:val="20"/>
              </w:rPr>
              <w:t>423</w:t>
            </w:r>
          </w:p>
        </w:tc>
      </w:tr>
      <w:tr w:rsidR="00E378D3" w:rsidRPr="00707746" w14:paraId="3CC23F88" w14:textId="77777777">
        <w:trPr>
          <w:trHeight w:val="253"/>
        </w:trPr>
        <w:tc>
          <w:tcPr>
            <w:tcW w:w="1250" w:type="pct"/>
            <w:noWrap/>
            <w:vAlign w:val="top"/>
          </w:tcPr>
          <w:p w14:paraId="0CE0F1DF" w14:textId="77777777" w:rsidR="00E378D3" w:rsidRPr="00AA64FB" w:rsidRDefault="00E378D3">
            <w:pPr>
              <w:spacing w:before="0" w:after="0"/>
              <w:jc w:val="left"/>
              <w:rPr>
                <w:noProof/>
                <w:color w:val="000000"/>
                <w:sz w:val="20"/>
                <w:szCs w:val="20"/>
              </w:rPr>
            </w:pPr>
            <w:r w:rsidRPr="00AA64FB">
              <w:rPr>
                <w:noProof/>
                <w:color w:val="000000"/>
                <w:sz w:val="20"/>
                <w:szCs w:val="20"/>
              </w:rPr>
              <w:t>Open Move Way</w:t>
            </w:r>
          </w:p>
        </w:tc>
        <w:tc>
          <w:tcPr>
            <w:tcW w:w="1250" w:type="pct"/>
            <w:noWrap/>
            <w:vAlign w:val="top"/>
          </w:tcPr>
          <w:p w14:paraId="2CABBE25" w14:textId="77777777" w:rsidR="00E378D3" w:rsidRPr="00AA64FB" w:rsidRDefault="00E378D3">
            <w:pPr>
              <w:spacing w:before="0" w:after="0"/>
              <w:jc w:val="right"/>
              <w:rPr>
                <w:noProof/>
                <w:color w:val="000000"/>
                <w:sz w:val="20"/>
                <w:szCs w:val="20"/>
              </w:rPr>
            </w:pPr>
            <w:r w:rsidRPr="00AA64FB">
              <w:rPr>
                <w:noProof/>
                <w:color w:val="000000"/>
                <w:sz w:val="20"/>
                <w:szCs w:val="20"/>
              </w:rPr>
              <w:t>30</w:t>
            </w:r>
          </w:p>
        </w:tc>
        <w:tc>
          <w:tcPr>
            <w:tcW w:w="1250" w:type="pct"/>
            <w:noWrap/>
            <w:vAlign w:val="top"/>
            <w:hideMark/>
          </w:tcPr>
          <w:p w14:paraId="53AA6BE1" w14:textId="77777777" w:rsidR="00E378D3" w:rsidRPr="00AA64FB" w:rsidRDefault="00E378D3">
            <w:pPr>
              <w:spacing w:before="0" w:after="0"/>
              <w:jc w:val="left"/>
              <w:rPr>
                <w:noProof/>
                <w:color w:val="000000"/>
                <w:sz w:val="20"/>
                <w:szCs w:val="20"/>
              </w:rPr>
            </w:pPr>
            <w:r w:rsidRPr="00AA64FB">
              <w:rPr>
                <w:noProof/>
                <w:color w:val="000000"/>
                <w:sz w:val="20"/>
                <w:szCs w:val="20"/>
              </w:rPr>
              <w:t>Trainline</w:t>
            </w:r>
          </w:p>
        </w:tc>
        <w:tc>
          <w:tcPr>
            <w:tcW w:w="1250" w:type="pct"/>
            <w:noWrap/>
            <w:vAlign w:val="top"/>
            <w:hideMark/>
          </w:tcPr>
          <w:p w14:paraId="4BF979CB" w14:textId="77777777" w:rsidR="00E378D3" w:rsidRPr="00AA64FB" w:rsidRDefault="00E378D3">
            <w:pPr>
              <w:spacing w:before="0" w:after="0"/>
              <w:jc w:val="right"/>
              <w:rPr>
                <w:noProof/>
                <w:color w:val="000000"/>
                <w:sz w:val="20"/>
                <w:szCs w:val="20"/>
              </w:rPr>
            </w:pPr>
            <w:r w:rsidRPr="00AA64FB">
              <w:rPr>
                <w:noProof/>
                <w:color w:val="000000"/>
                <w:sz w:val="20"/>
                <w:szCs w:val="20"/>
              </w:rPr>
              <w:t>270</w:t>
            </w:r>
          </w:p>
        </w:tc>
      </w:tr>
      <w:tr w:rsidR="00E378D3" w:rsidRPr="00707746" w14:paraId="55F5D899" w14:textId="77777777">
        <w:trPr>
          <w:trHeight w:val="253"/>
        </w:trPr>
        <w:tc>
          <w:tcPr>
            <w:tcW w:w="1250" w:type="pct"/>
            <w:noWrap/>
            <w:vAlign w:val="top"/>
          </w:tcPr>
          <w:p w14:paraId="030C15A2" w14:textId="77777777" w:rsidR="00E378D3" w:rsidRPr="00AA64FB" w:rsidRDefault="00E378D3">
            <w:pPr>
              <w:spacing w:before="0" w:after="0"/>
              <w:jc w:val="left"/>
              <w:rPr>
                <w:noProof/>
                <w:color w:val="000000"/>
                <w:sz w:val="20"/>
                <w:szCs w:val="20"/>
              </w:rPr>
            </w:pPr>
            <w:r w:rsidRPr="00AA64FB">
              <w:rPr>
                <w:noProof/>
                <w:color w:val="000000"/>
                <w:sz w:val="20"/>
                <w:szCs w:val="20"/>
              </w:rPr>
              <w:t>Glimble</w:t>
            </w:r>
          </w:p>
        </w:tc>
        <w:tc>
          <w:tcPr>
            <w:tcW w:w="1250" w:type="pct"/>
            <w:noWrap/>
            <w:vAlign w:val="top"/>
          </w:tcPr>
          <w:p w14:paraId="01A6976F" w14:textId="77777777" w:rsidR="00E378D3" w:rsidRPr="00AA64FB" w:rsidRDefault="00E378D3">
            <w:pPr>
              <w:spacing w:before="0" w:after="0"/>
              <w:jc w:val="right"/>
              <w:rPr>
                <w:noProof/>
                <w:color w:val="000000"/>
                <w:sz w:val="20"/>
                <w:szCs w:val="20"/>
              </w:rPr>
            </w:pPr>
            <w:r w:rsidRPr="00AA64FB">
              <w:rPr>
                <w:noProof/>
                <w:color w:val="000000"/>
                <w:sz w:val="20"/>
                <w:szCs w:val="20"/>
              </w:rPr>
              <w:t>25</w:t>
            </w:r>
          </w:p>
        </w:tc>
        <w:tc>
          <w:tcPr>
            <w:tcW w:w="1250" w:type="pct"/>
            <w:noWrap/>
            <w:vAlign w:val="top"/>
            <w:hideMark/>
          </w:tcPr>
          <w:p w14:paraId="6F0C3DEA" w14:textId="77777777" w:rsidR="00E378D3" w:rsidRPr="00AA64FB" w:rsidRDefault="00E378D3">
            <w:pPr>
              <w:spacing w:before="0" w:after="0"/>
              <w:jc w:val="left"/>
              <w:rPr>
                <w:noProof/>
                <w:color w:val="000000"/>
                <w:sz w:val="20"/>
                <w:szCs w:val="20"/>
              </w:rPr>
            </w:pPr>
            <w:r w:rsidRPr="00AA64FB">
              <w:rPr>
                <w:noProof/>
                <w:color w:val="000000"/>
                <w:sz w:val="20"/>
                <w:szCs w:val="20"/>
              </w:rPr>
              <w:t>Interrail</w:t>
            </w:r>
          </w:p>
        </w:tc>
        <w:tc>
          <w:tcPr>
            <w:tcW w:w="1250" w:type="pct"/>
            <w:noWrap/>
            <w:vAlign w:val="top"/>
            <w:hideMark/>
          </w:tcPr>
          <w:p w14:paraId="43B01A82" w14:textId="77777777" w:rsidR="00E378D3" w:rsidRPr="00AA64FB" w:rsidRDefault="00E378D3">
            <w:pPr>
              <w:spacing w:before="0" w:after="0"/>
              <w:jc w:val="right"/>
              <w:rPr>
                <w:noProof/>
                <w:color w:val="000000"/>
                <w:sz w:val="20"/>
                <w:szCs w:val="20"/>
              </w:rPr>
            </w:pPr>
            <w:r w:rsidRPr="00AA64FB">
              <w:rPr>
                <w:noProof/>
                <w:color w:val="000000"/>
                <w:sz w:val="20"/>
                <w:szCs w:val="20"/>
              </w:rPr>
              <w:t>40</w:t>
            </w:r>
          </w:p>
        </w:tc>
      </w:tr>
      <w:tr w:rsidR="00E378D3" w:rsidRPr="00707746" w14:paraId="3C22A398" w14:textId="77777777">
        <w:trPr>
          <w:trHeight w:val="253"/>
        </w:trPr>
        <w:tc>
          <w:tcPr>
            <w:tcW w:w="1250" w:type="pct"/>
            <w:noWrap/>
            <w:vAlign w:val="top"/>
          </w:tcPr>
          <w:p w14:paraId="53834A96" w14:textId="77777777" w:rsidR="00E378D3" w:rsidRPr="00AA64FB" w:rsidRDefault="00E378D3">
            <w:pPr>
              <w:spacing w:before="0" w:after="0"/>
              <w:jc w:val="left"/>
              <w:rPr>
                <w:noProof/>
                <w:color w:val="000000"/>
                <w:sz w:val="20"/>
                <w:szCs w:val="20"/>
              </w:rPr>
            </w:pPr>
            <w:r w:rsidRPr="00AA64FB">
              <w:rPr>
                <w:noProof/>
                <w:color w:val="000000"/>
                <w:sz w:val="20"/>
                <w:szCs w:val="20"/>
              </w:rPr>
              <w:t>Mobimeo</w:t>
            </w:r>
          </w:p>
        </w:tc>
        <w:tc>
          <w:tcPr>
            <w:tcW w:w="1250" w:type="pct"/>
            <w:noWrap/>
            <w:vAlign w:val="top"/>
          </w:tcPr>
          <w:p w14:paraId="6ED130A2" w14:textId="77777777" w:rsidR="00E378D3" w:rsidRPr="00AA64FB" w:rsidRDefault="00E378D3">
            <w:pPr>
              <w:spacing w:before="0" w:after="0"/>
              <w:jc w:val="right"/>
              <w:rPr>
                <w:noProof/>
                <w:color w:val="000000"/>
                <w:sz w:val="20"/>
                <w:szCs w:val="20"/>
              </w:rPr>
            </w:pPr>
            <w:r w:rsidRPr="00AA64FB">
              <w:rPr>
                <w:noProof/>
                <w:color w:val="000000"/>
                <w:sz w:val="20"/>
                <w:szCs w:val="20"/>
              </w:rPr>
              <w:t>22</w:t>
            </w:r>
          </w:p>
        </w:tc>
        <w:tc>
          <w:tcPr>
            <w:tcW w:w="1250" w:type="pct"/>
            <w:noWrap/>
            <w:vAlign w:val="top"/>
          </w:tcPr>
          <w:p w14:paraId="6A43B661" w14:textId="77777777" w:rsidR="00E378D3" w:rsidRPr="00AA64FB" w:rsidRDefault="00E378D3">
            <w:pPr>
              <w:spacing w:before="0" w:after="0"/>
              <w:jc w:val="left"/>
              <w:rPr>
                <w:noProof/>
                <w:color w:val="000000"/>
                <w:sz w:val="20"/>
                <w:szCs w:val="20"/>
              </w:rPr>
            </w:pPr>
            <w:r w:rsidRPr="00AA64FB">
              <w:rPr>
                <w:noProof/>
                <w:color w:val="000000"/>
                <w:sz w:val="20"/>
                <w:szCs w:val="20"/>
              </w:rPr>
              <w:t>Tranzer</w:t>
            </w:r>
          </w:p>
        </w:tc>
        <w:tc>
          <w:tcPr>
            <w:tcW w:w="1250" w:type="pct"/>
            <w:noWrap/>
            <w:vAlign w:val="top"/>
          </w:tcPr>
          <w:p w14:paraId="42B88712" w14:textId="77777777" w:rsidR="00E378D3" w:rsidRPr="00AA64FB" w:rsidRDefault="00E378D3">
            <w:pPr>
              <w:spacing w:before="0" w:after="0"/>
              <w:jc w:val="right"/>
              <w:rPr>
                <w:noProof/>
                <w:color w:val="000000"/>
                <w:sz w:val="20"/>
                <w:szCs w:val="20"/>
              </w:rPr>
            </w:pPr>
            <w:r w:rsidRPr="00AA64FB">
              <w:rPr>
                <w:noProof/>
                <w:color w:val="000000"/>
                <w:sz w:val="20"/>
                <w:szCs w:val="20"/>
              </w:rPr>
              <w:t>40</w:t>
            </w:r>
          </w:p>
        </w:tc>
      </w:tr>
      <w:tr w:rsidR="00E378D3" w:rsidRPr="00707746" w14:paraId="0E97EFB5" w14:textId="77777777">
        <w:trPr>
          <w:trHeight w:val="253"/>
        </w:trPr>
        <w:tc>
          <w:tcPr>
            <w:tcW w:w="1250" w:type="pct"/>
            <w:noWrap/>
            <w:vAlign w:val="top"/>
          </w:tcPr>
          <w:p w14:paraId="17EAC0D5" w14:textId="77777777" w:rsidR="00E378D3" w:rsidRPr="00AA64FB" w:rsidRDefault="00E378D3">
            <w:pPr>
              <w:spacing w:before="0" w:after="0"/>
              <w:jc w:val="left"/>
              <w:rPr>
                <w:noProof/>
                <w:color w:val="000000"/>
                <w:sz w:val="20"/>
                <w:szCs w:val="20"/>
              </w:rPr>
            </w:pPr>
            <w:r w:rsidRPr="00AA64FB">
              <w:rPr>
                <w:noProof/>
                <w:color w:val="000000"/>
                <w:sz w:val="20"/>
                <w:szCs w:val="20"/>
              </w:rPr>
              <w:t>Wien Mobil</w:t>
            </w:r>
          </w:p>
        </w:tc>
        <w:tc>
          <w:tcPr>
            <w:tcW w:w="1250" w:type="pct"/>
            <w:noWrap/>
            <w:vAlign w:val="top"/>
          </w:tcPr>
          <w:p w14:paraId="23F47137" w14:textId="77777777" w:rsidR="00E378D3" w:rsidRPr="00AA64FB" w:rsidRDefault="00E378D3">
            <w:pPr>
              <w:spacing w:before="0" w:after="0"/>
              <w:jc w:val="right"/>
              <w:rPr>
                <w:noProof/>
                <w:color w:val="000000"/>
                <w:sz w:val="20"/>
                <w:szCs w:val="20"/>
              </w:rPr>
            </w:pPr>
            <w:r w:rsidRPr="00AA64FB">
              <w:rPr>
                <w:noProof/>
                <w:color w:val="000000"/>
                <w:sz w:val="20"/>
                <w:szCs w:val="20"/>
              </w:rPr>
              <w:t>20</w:t>
            </w:r>
          </w:p>
        </w:tc>
        <w:tc>
          <w:tcPr>
            <w:tcW w:w="1250" w:type="pct"/>
            <w:noWrap/>
            <w:vAlign w:val="top"/>
          </w:tcPr>
          <w:p w14:paraId="73A8098B" w14:textId="77777777" w:rsidR="00E378D3" w:rsidRPr="00AA64FB" w:rsidRDefault="00E378D3">
            <w:pPr>
              <w:spacing w:before="0" w:after="0"/>
              <w:jc w:val="left"/>
              <w:rPr>
                <w:noProof/>
                <w:color w:val="000000"/>
                <w:sz w:val="20"/>
                <w:szCs w:val="20"/>
              </w:rPr>
            </w:pPr>
            <w:r w:rsidRPr="00AA64FB">
              <w:rPr>
                <w:noProof/>
                <w:color w:val="000000"/>
                <w:sz w:val="20"/>
                <w:szCs w:val="20"/>
              </w:rPr>
              <w:t>Eurail</w:t>
            </w:r>
          </w:p>
        </w:tc>
        <w:tc>
          <w:tcPr>
            <w:tcW w:w="1250" w:type="pct"/>
            <w:noWrap/>
            <w:vAlign w:val="top"/>
          </w:tcPr>
          <w:p w14:paraId="10830D0A" w14:textId="77777777" w:rsidR="00E378D3" w:rsidRPr="00AA64FB" w:rsidRDefault="00E378D3">
            <w:pPr>
              <w:spacing w:before="0" w:after="0"/>
              <w:jc w:val="right"/>
              <w:rPr>
                <w:noProof/>
                <w:color w:val="000000"/>
                <w:sz w:val="20"/>
                <w:szCs w:val="20"/>
              </w:rPr>
            </w:pPr>
            <w:r w:rsidRPr="00AA64FB">
              <w:rPr>
                <w:noProof/>
                <w:color w:val="000000"/>
                <w:sz w:val="20"/>
                <w:szCs w:val="20"/>
              </w:rPr>
              <w:t>35</w:t>
            </w:r>
          </w:p>
        </w:tc>
      </w:tr>
      <w:tr w:rsidR="00E378D3" w:rsidRPr="00707746" w14:paraId="09E11054" w14:textId="77777777">
        <w:trPr>
          <w:trHeight w:val="253"/>
        </w:trPr>
        <w:tc>
          <w:tcPr>
            <w:tcW w:w="1250" w:type="pct"/>
            <w:noWrap/>
            <w:vAlign w:val="top"/>
          </w:tcPr>
          <w:p w14:paraId="75D3B9A2" w14:textId="77777777" w:rsidR="00E378D3" w:rsidRPr="00AA64FB" w:rsidRDefault="00E378D3">
            <w:pPr>
              <w:spacing w:before="0" w:after="0"/>
              <w:jc w:val="left"/>
              <w:rPr>
                <w:noProof/>
                <w:color w:val="000000"/>
                <w:sz w:val="20"/>
                <w:szCs w:val="20"/>
              </w:rPr>
            </w:pPr>
            <w:r w:rsidRPr="00AA64FB">
              <w:rPr>
                <w:noProof/>
                <w:color w:val="000000"/>
                <w:sz w:val="20"/>
                <w:szCs w:val="20"/>
              </w:rPr>
              <w:t>HannoverMobil</w:t>
            </w:r>
          </w:p>
        </w:tc>
        <w:tc>
          <w:tcPr>
            <w:tcW w:w="1250" w:type="pct"/>
            <w:noWrap/>
            <w:vAlign w:val="top"/>
          </w:tcPr>
          <w:p w14:paraId="5685759C" w14:textId="77777777" w:rsidR="00E378D3" w:rsidRPr="00AA64FB" w:rsidRDefault="00E378D3">
            <w:pPr>
              <w:spacing w:before="0" w:after="0"/>
              <w:jc w:val="right"/>
              <w:rPr>
                <w:noProof/>
                <w:color w:val="000000"/>
                <w:sz w:val="20"/>
                <w:szCs w:val="20"/>
              </w:rPr>
            </w:pPr>
            <w:r w:rsidRPr="00AA64FB">
              <w:rPr>
                <w:noProof/>
                <w:color w:val="000000"/>
                <w:sz w:val="20"/>
                <w:szCs w:val="20"/>
              </w:rPr>
              <w:t>20</w:t>
            </w:r>
          </w:p>
        </w:tc>
        <w:tc>
          <w:tcPr>
            <w:tcW w:w="1250" w:type="pct"/>
            <w:noWrap/>
            <w:vAlign w:val="top"/>
          </w:tcPr>
          <w:p w14:paraId="58FDC1F4" w14:textId="77777777" w:rsidR="00E378D3" w:rsidRPr="00AA64FB" w:rsidRDefault="00E378D3">
            <w:pPr>
              <w:spacing w:before="0" w:after="0"/>
              <w:jc w:val="left"/>
              <w:rPr>
                <w:noProof/>
                <w:color w:val="000000"/>
                <w:sz w:val="20"/>
                <w:szCs w:val="20"/>
              </w:rPr>
            </w:pPr>
            <w:r w:rsidRPr="00AA64FB">
              <w:rPr>
                <w:noProof/>
                <w:color w:val="000000"/>
                <w:sz w:val="20"/>
                <w:szCs w:val="20"/>
              </w:rPr>
              <w:t>AccessRail</w:t>
            </w:r>
          </w:p>
        </w:tc>
        <w:tc>
          <w:tcPr>
            <w:tcW w:w="1250" w:type="pct"/>
            <w:noWrap/>
            <w:vAlign w:val="top"/>
          </w:tcPr>
          <w:p w14:paraId="1A069724" w14:textId="77777777" w:rsidR="00E378D3" w:rsidRPr="00AA64FB" w:rsidRDefault="00E378D3">
            <w:pPr>
              <w:spacing w:before="0" w:after="0"/>
              <w:jc w:val="right"/>
              <w:rPr>
                <w:noProof/>
                <w:color w:val="000000"/>
                <w:sz w:val="20"/>
                <w:szCs w:val="20"/>
              </w:rPr>
            </w:pPr>
            <w:r w:rsidRPr="00AA64FB">
              <w:rPr>
                <w:noProof/>
                <w:color w:val="000000"/>
                <w:sz w:val="20"/>
                <w:szCs w:val="20"/>
              </w:rPr>
              <w:t>16</w:t>
            </w:r>
          </w:p>
        </w:tc>
      </w:tr>
      <w:tr w:rsidR="00E378D3" w:rsidRPr="00707746" w14:paraId="67621389" w14:textId="77777777">
        <w:trPr>
          <w:trHeight w:val="253"/>
        </w:trPr>
        <w:tc>
          <w:tcPr>
            <w:tcW w:w="1250" w:type="pct"/>
            <w:noWrap/>
            <w:vAlign w:val="top"/>
          </w:tcPr>
          <w:p w14:paraId="1A3C2E99" w14:textId="77777777" w:rsidR="00E378D3" w:rsidRPr="00AA64FB" w:rsidRDefault="00E378D3">
            <w:pPr>
              <w:spacing w:before="0" w:after="0"/>
              <w:jc w:val="left"/>
              <w:rPr>
                <w:noProof/>
                <w:color w:val="000000"/>
                <w:sz w:val="20"/>
                <w:szCs w:val="20"/>
              </w:rPr>
            </w:pPr>
            <w:r w:rsidRPr="00AA64FB">
              <w:rPr>
                <w:noProof/>
                <w:color w:val="000000"/>
                <w:sz w:val="20"/>
                <w:szCs w:val="20"/>
              </w:rPr>
              <w:t>Gaiyo</w:t>
            </w:r>
          </w:p>
        </w:tc>
        <w:tc>
          <w:tcPr>
            <w:tcW w:w="1250" w:type="pct"/>
            <w:noWrap/>
            <w:vAlign w:val="top"/>
          </w:tcPr>
          <w:p w14:paraId="11D47362" w14:textId="77777777" w:rsidR="00E378D3" w:rsidRPr="00AA64FB" w:rsidRDefault="00E378D3">
            <w:pPr>
              <w:spacing w:before="0" w:after="0"/>
              <w:jc w:val="right"/>
              <w:rPr>
                <w:noProof/>
                <w:color w:val="000000"/>
                <w:sz w:val="20"/>
                <w:szCs w:val="20"/>
              </w:rPr>
            </w:pPr>
            <w:r w:rsidRPr="00AA64FB">
              <w:rPr>
                <w:noProof/>
                <w:color w:val="000000"/>
                <w:sz w:val="20"/>
                <w:szCs w:val="20"/>
              </w:rPr>
              <w:t>20</w:t>
            </w:r>
          </w:p>
        </w:tc>
        <w:tc>
          <w:tcPr>
            <w:tcW w:w="1250" w:type="pct"/>
            <w:noWrap/>
            <w:vAlign w:val="top"/>
          </w:tcPr>
          <w:p w14:paraId="1E5B3B3D" w14:textId="77777777" w:rsidR="00E378D3" w:rsidRPr="00AA64FB" w:rsidRDefault="00E378D3">
            <w:pPr>
              <w:spacing w:before="0" w:after="0"/>
              <w:jc w:val="left"/>
              <w:rPr>
                <w:noProof/>
                <w:color w:val="000000"/>
                <w:sz w:val="20"/>
                <w:szCs w:val="20"/>
              </w:rPr>
            </w:pPr>
          </w:p>
        </w:tc>
        <w:tc>
          <w:tcPr>
            <w:tcW w:w="1250" w:type="pct"/>
            <w:noWrap/>
            <w:vAlign w:val="top"/>
          </w:tcPr>
          <w:p w14:paraId="2CFC5553" w14:textId="77777777" w:rsidR="00E378D3" w:rsidRPr="00AA64FB" w:rsidRDefault="00E378D3">
            <w:pPr>
              <w:spacing w:before="0" w:after="0"/>
              <w:jc w:val="right"/>
              <w:rPr>
                <w:noProof/>
                <w:color w:val="000000"/>
                <w:sz w:val="20"/>
                <w:szCs w:val="20"/>
              </w:rPr>
            </w:pPr>
          </w:p>
        </w:tc>
      </w:tr>
      <w:tr w:rsidR="00E378D3" w:rsidRPr="00707746" w14:paraId="5C6C7C70" w14:textId="77777777">
        <w:trPr>
          <w:trHeight w:val="253"/>
        </w:trPr>
        <w:tc>
          <w:tcPr>
            <w:tcW w:w="1250" w:type="pct"/>
            <w:noWrap/>
            <w:vAlign w:val="top"/>
          </w:tcPr>
          <w:p w14:paraId="38946C6D" w14:textId="77777777" w:rsidR="00E378D3" w:rsidRPr="00AA64FB" w:rsidRDefault="00E378D3">
            <w:pPr>
              <w:spacing w:before="0" w:after="0"/>
              <w:jc w:val="left"/>
              <w:rPr>
                <w:noProof/>
                <w:color w:val="000000"/>
                <w:sz w:val="20"/>
                <w:szCs w:val="20"/>
              </w:rPr>
            </w:pPr>
            <w:r w:rsidRPr="00AA64FB">
              <w:rPr>
                <w:noProof/>
                <w:color w:val="000000"/>
                <w:sz w:val="20"/>
                <w:szCs w:val="20"/>
              </w:rPr>
              <w:t>Upstream</w:t>
            </w:r>
          </w:p>
        </w:tc>
        <w:tc>
          <w:tcPr>
            <w:tcW w:w="1250" w:type="pct"/>
            <w:noWrap/>
            <w:vAlign w:val="top"/>
          </w:tcPr>
          <w:p w14:paraId="31105C87" w14:textId="77777777" w:rsidR="00E378D3" w:rsidRPr="00AA64FB" w:rsidRDefault="00E378D3">
            <w:pPr>
              <w:spacing w:before="0" w:after="0"/>
              <w:jc w:val="right"/>
              <w:rPr>
                <w:noProof/>
                <w:color w:val="000000"/>
                <w:sz w:val="20"/>
                <w:szCs w:val="20"/>
              </w:rPr>
            </w:pPr>
            <w:r w:rsidRPr="00AA64FB">
              <w:rPr>
                <w:noProof/>
                <w:color w:val="000000"/>
                <w:sz w:val="20"/>
                <w:szCs w:val="20"/>
              </w:rPr>
              <w:t>20</w:t>
            </w:r>
          </w:p>
        </w:tc>
        <w:tc>
          <w:tcPr>
            <w:tcW w:w="1250" w:type="pct"/>
            <w:noWrap/>
            <w:vAlign w:val="top"/>
          </w:tcPr>
          <w:p w14:paraId="5BBA7318" w14:textId="77777777" w:rsidR="00E378D3" w:rsidRPr="00AA64FB" w:rsidRDefault="00E378D3">
            <w:pPr>
              <w:spacing w:before="0" w:after="0"/>
              <w:jc w:val="left"/>
              <w:rPr>
                <w:b/>
                <w:noProof/>
                <w:color w:val="000000"/>
                <w:sz w:val="20"/>
                <w:szCs w:val="20"/>
              </w:rPr>
            </w:pPr>
          </w:p>
        </w:tc>
        <w:tc>
          <w:tcPr>
            <w:tcW w:w="1250" w:type="pct"/>
            <w:noWrap/>
            <w:vAlign w:val="top"/>
          </w:tcPr>
          <w:p w14:paraId="1ADE4792" w14:textId="77777777" w:rsidR="00E378D3" w:rsidRPr="00AA64FB" w:rsidRDefault="00E378D3">
            <w:pPr>
              <w:spacing w:before="0" w:after="0"/>
              <w:jc w:val="right"/>
              <w:rPr>
                <w:noProof/>
                <w:color w:val="000000"/>
                <w:sz w:val="20"/>
                <w:szCs w:val="20"/>
              </w:rPr>
            </w:pPr>
          </w:p>
        </w:tc>
      </w:tr>
      <w:tr w:rsidR="00E378D3" w:rsidRPr="00707746" w14:paraId="1DBE3419" w14:textId="77777777">
        <w:trPr>
          <w:trHeight w:val="253"/>
        </w:trPr>
        <w:tc>
          <w:tcPr>
            <w:tcW w:w="1250" w:type="pct"/>
            <w:noWrap/>
            <w:vAlign w:val="top"/>
          </w:tcPr>
          <w:p w14:paraId="48EEAAB4" w14:textId="77777777" w:rsidR="00E378D3" w:rsidRPr="00AA64FB" w:rsidRDefault="00E378D3">
            <w:pPr>
              <w:spacing w:before="0" w:after="0"/>
              <w:jc w:val="left"/>
              <w:rPr>
                <w:noProof/>
                <w:color w:val="000000"/>
                <w:sz w:val="20"/>
                <w:szCs w:val="20"/>
              </w:rPr>
            </w:pPr>
            <w:r w:rsidRPr="00AA64FB">
              <w:rPr>
                <w:noProof/>
                <w:color w:val="000000"/>
                <w:sz w:val="20"/>
                <w:szCs w:val="20"/>
              </w:rPr>
              <w:t>Turnn</w:t>
            </w:r>
          </w:p>
        </w:tc>
        <w:tc>
          <w:tcPr>
            <w:tcW w:w="1250" w:type="pct"/>
            <w:noWrap/>
            <w:vAlign w:val="top"/>
          </w:tcPr>
          <w:p w14:paraId="0717A950" w14:textId="77777777" w:rsidR="00E378D3" w:rsidRPr="00AA64FB" w:rsidRDefault="00E378D3">
            <w:pPr>
              <w:spacing w:before="0" w:after="0"/>
              <w:jc w:val="right"/>
              <w:rPr>
                <w:noProof/>
                <w:color w:val="000000"/>
                <w:sz w:val="20"/>
                <w:szCs w:val="20"/>
              </w:rPr>
            </w:pPr>
            <w:r w:rsidRPr="00AA64FB">
              <w:rPr>
                <w:noProof/>
                <w:color w:val="000000"/>
                <w:sz w:val="20"/>
                <w:szCs w:val="20"/>
              </w:rPr>
              <w:t>17</w:t>
            </w:r>
          </w:p>
        </w:tc>
        <w:tc>
          <w:tcPr>
            <w:tcW w:w="1250" w:type="pct"/>
            <w:noWrap/>
            <w:vAlign w:val="top"/>
            <w:hideMark/>
          </w:tcPr>
          <w:p w14:paraId="31C72773" w14:textId="77777777" w:rsidR="00E378D3" w:rsidRPr="00AA64FB" w:rsidRDefault="00E378D3">
            <w:pPr>
              <w:spacing w:before="0" w:after="0"/>
              <w:jc w:val="left"/>
              <w:rPr>
                <w:b/>
                <w:noProof/>
                <w:color w:val="000000"/>
                <w:sz w:val="20"/>
                <w:szCs w:val="20"/>
              </w:rPr>
            </w:pPr>
          </w:p>
        </w:tc>
        <w:tc>
          <w:tcPr>
            <w:tcW w:w="1250" w:type="pct"/>
            <w:noWrap/>
            <w:vAlign w:val="top"/>
            <w:hideMark/>
          </w:tcPr>
          <w:p w14:paraId="404121E5" w14:textId="77777777" w:rsidR="00E378D3" w:rsidRPr="00AA64FB" w:rsidRDefault="00E378D3">
            <w:pPr>
              <w:spacing w:before="0" w:after="0"/>
              <w:jc w:val="right"/>
              <w:rPr>
                <w:noProof/>
                <w:color w:val="000000"/>
                <w:sz w:val="20"/>
                <w:szCs w:val="20"/>
              </w:rPr>
            </w:pPr>
          </w:p>
        </w:tc>
      </w:tr>
      <w:tr w:rsidR="00E378D3" w:rsidRPr="00707746" w14:paraId="518FD84B" w14:textId="77777777">
        <w:trPr>
          <w:trHeight w:val="253"/>
        </w:trPr>
        <w:tc>
          <w:tcPr>
            <w:tcW w:w="1250" w:type="pct"/>
            <w:noWrap/>
            <w:vAlign w:val="top"/>
          </w:tcPr>
          <w:p w14:paraId="24E157C2" w14:textId="77777777" w:rsidR="00E378D3" w:rsidRPr="00AA64FB" w:rsidRDefault="00E378D3">
            <w:pPr>
              <w:spacing w:before="0" w:after="0"/>
              <w:jc w:val="left"/>
              <w:rPr>
                <w:noProof/>
                <w:color w:val="000000"/>
                <w:sz w:val="20"/>
                <w:szCs w:val="20"/>
              </w:rPr>
            </w:pPr>
            <w:r w:rsidRPr="00AA64FB">
              <w:rPr>
                <w:noProof/>
                <w:color w:val="000000"/>
                <w:sz w:val="20"/>
                <w:szCs w:val="20"/>
              </w:rPr>
              <w:t>OV Chipkaart</w:t>
            </w:r>
          </w:p>
        </w:tc>
        <w:tc>
          <w:tcPr>
            <w:tcW w:w="1250" w:type="pct"/>
            <w:noWrap/>
            <w:vAlign w:val="top"/>
          </w:tcPr>
          <w:p w14:paraId="73F07B8D" w14:textId="77777777" w:rsidR="00E378D3" w:rsidRPr="00AA64FB" w:rsidRDefault="00E378D3">
            <w:pPr>
              <w:spacing w:before="0" w:after="0"/>
              <w:jc w:val="right"/>
              <w:rPr>
                <w:noProof/>
                <w:color w:val="000000"/>
                <w:sz w:val="20"/>
                <w:szCs w:val="20"/>
              </w:rPr>
            </w:pPr>
            <w:r w:rsidRPr="00AA64FB">
              <w:rPr>
                <w:noProof/>
                <w:color w:val="000000"/>
                <w:sz w:val="20"/>
                <w:szCs w:val="20"/>
              </w:rPr>
              <w:t>15</w:t>
            </w:r>
          </w:p>
        </w:tc>
        <w:tc>
          <w:tcPr>
            <w:tcW w:w="1250" w:type="pct"/>
            <w:noWrap/>
            <w:vAlign w:val="top"/>
            <w:hideMark/>
          </w:tcPr>
          <w:p w14:paraId="6BC0B466" w14:textId="77777777" w:rsidR="00E378D3" w:rsidRPr="00AA64FB" w:rsidRDefault="00E378D3">
            <w:pPr>
              <w:spacing w:before="0" w:after="0"/>
              <w:jc w:val="right"/>
              <w:rPr>
                <w:noProof/>
                <w:color w:val="000000"/>
                <w:sz w:val="20"/>
                <w:szCs w:val="20"/>
              </w:rPr>
            </w:pPr>
          </w:p>
        </w:tc>
        <w:tc>
          <w:tcPr>
            <w:tcW w:w="1250" w:type="pct"/>
            <w:noWrap/>
            <w:vAlign w:val="top"/>
            <w:hideMark/>
          </w:tcPr>
          <w:p w14:paraId="5AD5A7B6" w14:textId="77777777" w:rsidR="00E378D3" w:rsidRPr="00AA64FB" w:rsidRDefault="00E378D3">
            <w:pPr>
              <w:spacing w:before="0" w:after="0"/>
              <w:jc w:val="right"/>
              <w:rPr>
                <w:noProof/>
                <w:sz w:val="20"/>
                <w:szCs w:val="20"/>
              </w:rPr>
            </w:pPr>
          </w:p>
        </w:tc>
      </w:tr>
      <w:tr w:rsidR="00E378D3" w:rsidRPr="00707746" w14:paraId="772D0AE8" w14:textId="77777777">
        <w:trPr>
          <w:trHeight w:val="253"/>
        </w:trPr>
        <w:tc>
          <w:tcPr>
            <w:tcW w:w="1250" w:type="pct"/>
            <w:noWrap/>
            <w:vAlign w:val="top"/>
          </w:tcPr>
          <w:p w14:paraId="166993A9" w14:textId="77777777" w:rsidR="00E378D3" w:rsidRPr="00AA64FB" w:rsidRDefault="00E378D3">
            <w:pPr>
              <w:spacing w:before="0" w:after="0"/>
              <w:jc w:val="left"/>
              <w:rPr>
                <w:noProof/>
                <w:color w:val="000000"/>
                <w:sz w:val="20"/>
                <w:szCs w:val="20"/>
              </w:rPr>
            </w:pPr>
            <w:r w:rsidRPr="00AA64FB">
              <w:rPr>
                <w:noProof/>
                <w:color w:val="000000"/>
                <w:sz w:val="20"/>
                <w:szCs w:val="20"/>
              </w:rPr>
              <w:t>Natur Trip</w:t>
            </w:r>
          </w:p>
        </w:tc>
        <w:tc>
          <w:tcPr>
            <w:tcW w:w="1250" w:type="pct"/>
            <w:noWrap/>
            <w:vAlign w:val="top"/>
          </w:tcPr>
          <w:p w14:paraId="6B5268C6" w14:textId="77777777" w:rsidR="00E378D3" w:rsidRPr="00AA64FB" w:rsidRDefault="00E378D3">
            <w:pPr>
              <w:spacing w:before="0" w:after="0"/>
              <w:jc w:val="right"/>
              <w:rPr>
                <w:noProof/>
                <w:color w:val="000000"/>
                <w:sz w:val="20"/>
                <w:szCs w:val="20"/>
              </w:rPr>
            </w:pPr>
            <w:r w:rsidRPr="00AA64FB">
              <w:rPr>
                <w:noProof/>
                <w:color w:val="000000"/>
                <w:sz w:val="20"/>
                <w:szCs w:val="20"/>
              </w:rPr>
              <w:t>10</w:t>
            </w:r>
          </w:p>
        </w:tc>
        <w:tc>
          <w:tcPr>
            <w:tcW w:w="1250" w:type="pct"/>
            <w:noWrap/>
            <w:vAlign w:val="top"/>
            <w:hideMark/>
          </w:tcPr>
          <w:p w14:paraId="538A5E7A" w14:textId="77777777" w:rsidR="00E378D3" w:rsidRPr="00AA64FB" w:rsidRDefault="00E378D3">
            <w:pPr>
              <w:spacing w:before="0" w:after="0"/>
              <w:jc w:val="right"/>
              <w:rPr>
                <w:noProof/>
                <w:color w:val="000000"/>
                <w:sz w:val="20"/>
                <w:szCs w:val="20"/>
              </w:rPr>
            </w:pPr>
          </w:p>
        </w:tc>
        <w:tc>
          <w:tcPr>
            <w:tcW w:w="1250" w:type="pct"/>
            <w:noWrap/>
            <w:vAlign w:val="top"/>
            <w:hideMark/>
          </w:tcPr>
          <w:p w14:paraId="7E57538C" w14:textId="77777777" w:rsidR="00E378D3" w:rsidRPr="00AA64FB" w:rsidRDefault="00E378D3">
            <w:pPr>
              <w:spacing w:before="0" w:after="0"/>
              <w:jc w:val="right"/>
              <w:rPr>
                <w:noProof/>
                <w:sz w:val="20"/>
                <w:szCs w:val="20"/>
              </w:rPr>
            </w:pPr>
          </w:p>
        </w:tc>
      </w:tr>
      <w:tr w:rsidR="00E378D3" w:rsidRPr="00707746" w14:paraId="3B277AAB" w14:textId="77777777">
        <w:trPr>
          <w:trHeight w:val="253"/>
        </w:trPr>
        <w:tc>
          <w:tcPr>
            <w:tcW w:w="1250" w:type="pct"/>
            <w:noWrap/>
            <w:vAlign w:val="top"/>
          </w:tcPr>
          <w:p w14:paraId="16085999" w14:textId="77777777" w:rsidR="00E378D3" w:rsidRPr="00AA64FB" w:rsidRDefault="00E378D3">
            <w:pPr>
              <w:spacing w:before="0" w:after="0"/>
              <w:jc w:val="left"/>
              <w:rPr>
                <w:noProof/>
                <w:color w:val="000000"/>
                <w:sz w:val="20"/>
                <w:szCs w:val="20"/>
              </w:rPr>
            </w:pPr>
            <w:r w:rsidRPr="00AA64FB">
              <w:rPr>
                <w:noProof/>
                <w:color w:val="000000"/>
                <w:sz w:val="20"/>
                <w:szCs w:val="20"/>
              </w:rPr>
              <w:t>Ruter</w:t>
            </w:r>
          </w:p>
        </w:tc>
        <w:tc>
          <w:tcPr>
            <w:tcW w:w="1250" w:type="pct"/>
            <w:noWrap/>
            <w:vAlign w:val="top"/>
          </w:tcPr>
          <w:p w14:paraId="59620B09" w14:textId="77777777" w:rsidR="00E378D3" w:rsidRPr="00AA64FB" w:rsidRDefault="00E378D3">
            <w:pPr>
              <w:spacing w:before="0" w:after="0"/>
              <w:jc w:val="right"/>
              <w:rPr>
                <w:noProof/>
                <w:color w:val="000000"/>
                <w:sz w:val="20"/>
                <w:szCs w:val="20"/>
              </w:rPr>
            </w:pPr>
            <w:r w:rsidRPr="00AA64FB">
              <w:rPr>
                <w:noProof/>
                <w:color w:val="000000"/>
                <w:sz w:val="20"/>
                <w:szCs w:val="20"/>
              </w:rPr>
              <w:t>8</w:t>
            </w:r>
          </w:p>
        </w:tc>
        <w:tc>
          <w:tcPr>
            <w:tcW w:w="1250" w:type="pct"/>
            <w:noWrap/>
            <w:vAlign w:val="top"/>
            <w:hideMark/>
          </w:tcPr>
          <w:p w14:paraId="214E4AE9" w14:textId="77777777" w:rsidR="00E378D3" w:rsidRPr="00AA64FB" w:rsidRDefault="00E378D3">
            <w:pPr>
              <w:spacing w:before="0" w:after="0"/>
              <w:jc w:val="right"/>
              <w:rPr>
                <w:noProof/>
                <w:color w:val="000000"/>
                <w:sz w:val="20"/>
                <w:szCs w:val="20"/>
              </w:rPr>
            </w:pPr>
          </w:p>
        </w:tc>
        <w:tc>
          <w:tcPr>
            <w:tcW w:w="1250" w:type="pct"/>
            <w:noWrap/>
            <w:vAlign w:val="top"/>
            <w:hideMark/>
          </w:tcPr>
          <w:p w14:paraId="539CA309" w14:textId="77777777" w:rsidR="00E378D3" w:rsidRPr="00AA64FB" w:rsidRDefault="00E378D3">
            <w:pPr>
              <w:spacing w:before="0" w:after="0"/>
              <w:jc w:val="right"/>
              <w:rPr>
                <w:noProof/>
                <w:sz w:val="20"/>
                <w:szCs w:val="20"/>
              </w:rPr>
            </w:pPr>
          </w:p>
        </w:tc>
      </w:tr>
      <w:tr w:rsidR="00E378D3" w:rsidRPr="00707746" w14:paraId="2AA25708" w14:textId="77777777">
        <w:trPr>
          <w:trHeight w:val="57"/>
        </w:trPr>
        <w:tc>
          <w:tcPr>
            <w:tcW w:w="1250" w:type="pct"/>
            <w:shd w:val="clear" w:color="auto" w:fill="DBE5F1" w:themeFill="accent1" w:themeFillTint="33"/>
            <w:noWrap/>
            <w:vAlign w:val="top"/>
            <w:hideMark/>
          </w:tcPr>
          <w:p w14:paraId="7499C943" w14:textId="77777777" w:rsidR="00E378D3" w:rsidRPr="00AA64FB" w:rsidRDefault="00E378D3">
            <w:pPr>
              <w:spacing w:before="0" w:after="0"/>
              <w:jc w:val="left"/>
              <w:rPr>
                <w:b/>
                <w:noProof/>
                <w:color w:val="000000"/>
                <w:sz w:val="20"/>
                <w:szCs w:val="20"/>
              </w:rPr>
            </w:pPr>
            <w:r w:rsidRPr="00AA64FB">
              <w:rPr>
                <w:b/>
                <w:noProof/>
                <w:color w:val="000000"/>
                <w:sz w:val="20"/>
                <w:szCs w:val="20"/>
              </w:rPr>
              <w:t>Average</w:t>
            </w:r>
          </w:p>
        </w:tc>
        <w:tc>
          <w:tcPr>
            <w:tcW w:w="1250" w:type="pct"/>
            <w:shd w:val="clear" w:color="auto" w:fill="DBE5F1" w:themeFill="accent1" w:themeFillTint="33"/>
            <w:noWrap/>
            <w:vAlign w:val="top"/>
            <w:hideMark/>
          </w:tcPr>
          <w:p w14:paraId="4ACAF2B2" w14:textId="77777777" w:rsidR="00E378D3" w:rsidRPr="00AA64FB" w:rsidRDefault="00E378D3">
            <w:pPr>
              <w:spacing w:before="0" w:after="0"/>
              <w:jc w:val="right"/>
              <w:rPr>
                <w:noProof/>
                <w:color w:val="000000"/>
                <w:sz w:val="20"/>
                <w:szCs w:val="20"/>
              </w:rPr>
            </w:pPr>
            <w:r w:rsidRPr="00AA64FB">
              <w:rPr>
                <w:noProof/>
                <w:color w:val="000000"/>
                <w:sz w:val="20"/>
                <w:szCs w:val="20"/>
              </w:rPr>
              <w:t>28</w:t>
            </w:r>
          </w:p>
        </w:tc>
        <w:tc>
          <w:tcPr>
            <w:tcW w:w="1250" w:type="pct"/>
            <w:shd w:val="clear" w:color="auto" w:fill="DBE5F1" w:themeFill="accent1" w:themeFillTint="33"/>
            <w:noWrap/>
            <w:vAlign w:val="top"/>
            <w:hideMark/>
          </w:tcPr>
          <w:p w14:paraId="66CD6B1B" w14:textId="77777777" w:rsidR="00E378D3" w:rsidRPr="00AA64FB" w:rsidRDefault="00E378D3">
            <w:pPr>
              <w:spacing w:before="0" w:after="0"/>
              <w:jc w:val="right"/>
              <w:rPr>
                <w:noProof/>
                <w:color w:val="000000"/>
                <w:sz w:val="20"/>
                <w:szCs w:val="20"/>
              </w:rPr>
            </w:pPr>
            <w:r w:rsidRPr="00AA64FB">
              <w:rPr>
                <w:b/>
                <w:noProof/>
                <w:color w:val="000000"/>
                <w:sz w:val="20"/>
                <w:szCs w:val="20"/>
              </w:rPr>
              <w:t>Average</w:t>
            </w:r>
          </w:p>
        </w:tc>
        <w:tc>
          <w:tcPr>
            <w:tcW w:w="1250" w:type="pct"/>
            <w:shd w:val="clear" w:color="auto" w:fill="DBE5F1" w:themeFill="accent1" w:themeFillTint="33"/>
            <w:noWrap/>
            <w:vAlign w:val="top"/>
            <w:hideMark/>
          </w:tcPr>
          <w:p w14:paraId="7192DFD8" w14:textId="77777777" w:rsidR="00E378D3" w:rsidRPr="00AA64FB" w:rsidRDefault="00E378D3">
            <w:pPr>
              <w:spacing w:before="0" w:after="0"/>
              <w:jc w:val="right"/>
              <w:rPr>
                <w:noProof/>
                <w:sz w:val="20"/>
                <w:szCs w:val="20"/>
              </w:rPr>
            </w:pPr>
            <w:r w:rsidRPr="00AA64FB">
              <w:rPr>
                <w:noProof/>
                <w:color w:val="000000"/>
                <w:sz w:val="20"/>
                <w:szCs w:val="20"/>
              </w:rPr>
              <w:t>189</w:t>
            </w:r>
          </w:p>
        </w:tc>
      </w:tr>
      <w:tr w:rsidR="00E378D3" w:rsidRPr="00707746" w14:paraId="023A6BE6" w14:textId="77777777">
        <w:trPr>
          <w:trHeight w:val="253"/>
        </w:trPr>
        <w:tc>
          <w:tcPr>
            <w:tcW w:w="1250" w:type="pct"/>
            <w:shd w:val="clear" w:color="auto" w:fill="DBE5F1" w:themeFill="accent1" w:themeFillTint="33"/>
            <w:noWrap/>
            <w:vAlign w:val="top"/>
            <w:hideMark/>
          </w:tcPr>
          <w:p w14:paraId="30F1A799" w14:textId="77777777" w:rsidR="00E378D3" w:rsidRPr="00AA64FB" w:rsidRDefault="00E378D3" w:rsidP="00E6073B">
            <w:pPr>
              <w:keepNext/>
              <w:spacing w:before="0" w:after="0"/>
              <w:jc w:val="left"/>
              <w:rPr>
                <w:b/>
                <w:noProof/>
                <w:color w:val="000000"/>
                <w:sz w:val="20"/>
                <w:szCs w:val="20"/>
              </w:rPr>
            </w:pPr>
            <w:r w:rsidRPr="00AA64FB">
              <w:rPr>
                <w:b/>
                <w:noProof/>
                <w:color w:val="000000"/>
                <w:sz w:val="20"/>
                <w:szCs w:val="20"/>
              </w:rPr>
              <w:t>Median</w:t>
            </w:r>
          </w:p>
        </w:tc>
        <w:tc>
          <w:tcPr>
            <w:tcW w:w="1250" w:type="pct"/>
            <w:shd w:val="clear" w:color="auto" w:fill="DBE5F1" w:themeFill="accent1" w:themeFillTint="33"/>
            <w:noWrap/>
            <w:vAlign w:val="top"/>
            <w:hideMark/>
          </w:tcPr>
          <w:p w14:paraId="41B75C51" w14:textId="77777777" w:rsidR="00E378D3" w:rsidRPr="00AA64FB" w:rsidRDefault="00E378D3" w:rsidP="00E6073B">
            <w:pPr>
              <w:keepNext/>
              <w:spacing w:before="0" w:after="0"/>
              <w:jc w:val="right"/>
              <w:rPr>
                <w:noProof/>
                <w:color w:val="000000"/>
                <w:sz w:val="20"/>
                <w:szCs w:val="20"/>
              </w:rPr>
            </w:pPr>
            <w:r w:rsidRPr="00AA64FB">
              <w:rPr>
                <w:noProof/>
                <w:color w:val="000000"/>
                <w:sz w:val="20"/>
                <w:szCs w:val="20"/>
              </w:rPr>
              <w:t>20</w:t>
            </w:r>
          </w:p>
        </w:tc>
        <w:tc>
          <w:tcPr>
            <w:tcW w:w="1250" w:type="pct"/>
            <w:shd w:val="clear" w:color="auto" w:fill="DBE5F1" w:themeFill="accent1" w:themeFillTint="33"/>
            <w:noWrap/>
            <w:vAlign w:val="top"/>
            <w:hideMark/>
          </w:tcPr>
          <w:p w14:paraId="325D710F" w14:textId="77777777" w:rsidR="00E378D3" w:rsidRPr="00AA64FB" w:rsidRDefault="00E378D3" w:rsidP="00E6073B">
            <w:pPr>
              <w:keepNext/>
              <w:spacing w:before="0" w:after="0"/>
              <w:jc w:val="right"/>
              <w:rPr>
                <w:noProof/>
                <w:color w:val="000000"/>
                <w:sz w:val="20"/>
                <w:szCs w:val="20"/>
              </w:rPr>
            </w:pPr>
            <w:r w:rsidRPr="00AA64FB">
              <w:rPr>
                <w:b/>
                <w:noProof/>
                <w:color w:val="000000"/>
                <w:sz w:val="20"/>
                <w:szCs w:val="20"/>
              </w:rPr>
              <w:t>Median</w:t>
            </w:r>
          </w:p>
        </w:tc>
        <w:tc>
          <w:tcPr>
            <w:tcW w:w="1250" w:type="pct"/>
            <w:shd w:val="clear" w:color="auto" w:fill="DBE5F1" w:themeFill="accent1" w:themeFillTint="33"/>
            <w:noWrap/>
            <w:vAlign w:val="top"/>
            <w:hideMark/>
          </w:tcPr>
          <w:p w14:paraId="45C719ED" w14:textId="77777777" w:rsidR="00E378D3" w:rsidRPr="00AA64FB" w:rsidRDefault="00E378D3" w:rsidP="00E6073B">
            <w:pPr>
              <w:keepNext/>
              <w:spacing w:before="0" w:after="0"/>
              <w:jc w:val="right"/>
              <w:rPr>
                <w:noProof/>
                <w:sz w:val="20"/>
                <w:szCs w:val="20"/>
              </w:rPr>
            </w:pPr>
            <w:r w:rsidRPr="00AA64FB">
              <w:rPr>
                <w:noProof/>
                <w:sz w:val="20"/>
                <w:szCs w:val="20"/>
              </w:rPr>
              <w:t>40</w:t>
            </w:r>
          </w:p>
        </w:tc>
      </w:tr>
    </w:tbl>
    <w:p w14:paraId="1649FF05" w14:textId="77777777" w:rsidR="00E378D3" w:rsidRDefault="00E378D3" w:rsidP="00E6073B">
      <w:pPr>
        <w:keepNext/>
        <w:tabs>
          <w:tab w:val="left" w:pos="2302"/>
        </w:tabs>
        <w:spacing w:after="240"/>
        <w:jc w:val="both"/>
        <w:rPr>
          <w:i/>
          <w:iCs/>
          <w:noProof/>
          <w:sz w:val="20"/>
          <w:szCs w:val="20"/>
        </w:rPr>
      </w:pPr>
      <w:bookmarkStart w:id="404" w:name="_Ref202459404"/>
      <w:r w:rsidRPr="00C918D8">
        <w:rPr>
          <w:i/>
          <w:iCs/>
          <w:noProof/>
          <w:spacing w:val="-8"/>
          <w:sz w:val="20"/>
          <w:szCs w:val="20"/>
        </w:rPr>
        <w:t xml:space="preserve">Source: </w:t>
      </w:r>
      <w:r w:rsidRPr="00C918D8">
        <w:rPr>
          <w:i/>
          <w:iCs/>
          <w:noProof/>
          <w:sz w:val="20"/>
          <w:szCs w:val="20"/>
        </w:rPr>
        <w:t>Ricardo et al. (2026), Impact assessment support study</w:t>
      </w:r>
    </w:p>
    <w:p w14:paraId="2FC91998" w14:textId="77777777" w:rsidR="00E378D3" w:rsidRPr="006D65EE" w:rsidRDefault="00E378D3" w:rsidP="00EA78E2">
      <w:pPr>
        <w:pStyle w:val="Text4"/>
        <w:spacing w:before="0" w:after="240"/>
        <w:ind w:left="0"/>
        <w:rPr>
          <w:rFonts w:ascii="Times New Roman" w:eastAsia="Calibri" w:hAnsi="Times New Roman"/>
          <w:noProof/>
          <w:spacing w:val="-8"/>
          <w:sz w:val="24"/>
          <w:szCs w:val="24"/>
        </w:rPr>
      </w:pPr>
      <w:r w:rsidRPr="006D65EE">
        <w:rPr>
          <w:rFonts w:ascii="Times New Roman" w:eastAsia="Calibri" w:hAnsi="Times New Roman"/>
          <w:bCs/>
          <w:noProof/>
          <w:spacing w:val="-8"/>
          <w:sz w:val="24"/>
          <w:szCs w:val="24"/>
          <w:lang w:eastAsia="en-GB"/>
        </w:rPr>
        <w:t>The number of agreements between MDMS platforms and transport operators projected in the baseline is shown in the table belo</w:t>
      </w:r>
      <w:r w:rsidRPr="006D65EE">
        <w:rPr>
          <w:rFonts w:ascii="Times New Roman" w:eastAsia="Calibri" w:hAnsi="Times New Roman"/>
          <w:noProof/>
          <w:spacing w:val="-8"/>
          <w:sz w:val="24"/>
          <w:szCs w:val="24"/>
          <w:lang w:eastAsia="en-GB"/>
        </w:rPr>
        <w:t xml:space="preserve">w. The table shows the total number of agreements, the </w:t>
      </w:r>
      <w:r w:rsidRPr="006D65EE">
        <w:rPr>
          <w:rFonts w:ascii="Times New Roman" w:eastAsia="Calibri" w:hAnsi="Times New Roman"/>
          <w:bCs/>
          <w:noProof/>
          <w:spacing w:val="-8"/>
          <w:sz w:val="24"/>
          <w:szCs w:val="24"/>
          <w:lang w:eastAsia="en-GB"/>
        </w:rPr>
        <w:t xml:space="preserve">new agreements negotiated each year, and the number of agreements that need to be renewed. </w:t>
      </w:r>
      <w:r w:rsidRPr="006D65EE">
        <w:rPr>
          <w:rFonts w:ascii="Times New Roman" w:eastAsia="Calibri" w:hAnsi="Times New Roman"/>
          <w:noProof/>
          <w:spacing w:val="-8"/>
          <w:sz w:val="24"/>
          <w:szCs w:val="24"/>
        </w:rPr>
        <w:t xml:space="preserve">The agreements are </w:t>
      </w:r>
      <w:r w:rsidRPr="006D65EE">
        <w:rPr>
          <w:rFonts w:ascii="Times New Roman" w:eastAsia="Calibri" w:hAnsi="Times New Roman"/>
          <w:bCs/>
          <w:noProof/>
          <w:spacing w:val="-8"/>
          <w:sz w:val="24"/>
          <w:szCs w:val="24"/>
          <w:lang w:eastAsia="en-GB"/>
        </w:rPr>
        <w:t xml:space="preserve">assumed </w:t>
      </w:r>
      <w:r w:rsidRPr="006D65EE">
        <w:rPr>
          <w:rFonts w:ascii="Times New Roman" w:eastAsia="Calibri" w:hAnsi="Times New Roman"/>
          <w:noProof/>
          <w:spacing w:val="-8"/>
          <w:sz w:val="24"/>
          <w:szCs w:val="24"/>
        </w:rPr>
        <w:t>to undergo renegotiation</w:t>
      </w:r>
      <w:r w:rsidRPr="006D65EE">
        <w:rPr>
          <w:rFonts w:ascii="Times New Roman" w:eastAsia="Calibri" w:hAnsi="Times New Roman"/>
          <w:bCs/>
          <w:noProof/>
          <w:spacing w:val="-8"/>
          <w:sz w:val="24"/>
          <w:szCs w:val="24"/>
          <w:lang w:eastAsia="en-GB"/>
        </w:rPr>
        <w:t xml:space="preserve"> every three years</w:t>
      </w:r>
      <w:r w:rsidRPr="006D65EE">
        <w:rPr>
          <w:rFonts w:ascii="Times New Roman" w:eastAsia="Calibri" w:hAnsi="Times New Roman"/>
          <w:noProof/>
          <w:spacing w:val="-8"/>
          <w:sz w:val="24"/>
          <w:szCs w:val="24"/>
        </w:rPr>
        <w:t>.</w:t>
      </w:r>
      <w:r w:rsidRPr="006D65EE">
        <w:rPr>
          <w:rFonts w:ascii="Times New Roman" w:hAnsi="Times New Roman"/>
          <w:noProof/>
          <w:spacing w:val="-8"/>
          <w:sz w:val="24"/>
          <w:szCs w:val="24"/>
        </w:rPr>
        <w:t xml:space="preserve"> </w:t>
      </w:r>
      <w:r w:rsidRPr="006D65EE">
        <w:rPr>
          <w:rFonts w:ascii="Times New Roman" w:eastAsia="Calibri" w:hAnsi="Times New Roman"/>
          <w:noProof/>
          <w:spacing w:val="-8"/>
          <w:sz w:val="24"/>
          <w:szCs w:val="24"/>
        </w:rPr>
        <w:t xml:space="preserve">This is consistent with a survey on CRS conducted in 2021 where CRS providers and air carriers indicated that the average contract length is around three years. </w:t>
      </w:r>
    </w:p>
    <w:p w14:paraId="50E79E3B" w14:textId="162DD485" w:rsidR="00E378D3" w:rsidRPr="00786058" w:rsidRDefault="00E378D3" w:rsidP="00827991">
      <w:pPr>
        <w:keepNext/>
        <w:tabs>
          <w:tab w:val="left" w:pos="1134"/>
        </w:tabs>
        <w:rPr>
          <w:i/>
          <w:noProof/>
          <w:sz w:val="22"/>
          <w:szCs w:val="22"/>
        </w:rPr>
      </w:pPr>
      <w:r w:rsidRPr="00786058">
        <w:rPr>
          <w:i/>
          <w:noProof/>
          <w:sz w:val="22"/>
          <w:szCs w:val="22"/>
        </w:rPr>
        <w:t xml:space="preserve">Table </w:t>
      </w:r>
      <w:r w:rsidRPr="00786058">
        <w:rPr>
          <w:i/>
          <w:noProof/>
          <w:sz w:val="22"/>
          <w:szCs w:val="22"/>
        </w:rPr>
        <w:fldChar w:fldCharType="begin"/>
      </w:r>
      <w:r w:rsidRPr="00786058">
        <w:rPr>
          <w:bCs/>
          <w:i/>
          <w:iCs/>
          <w:noProof/>
          <w:sz w:val="22"/>
          <w:szCs w:val="22"/>
        </w:rPr>
        <w:instrText xml:space="preserve"> SEQ Table \* ARABIC </w:instrText>
      </w:r>
      <w:r w:rsidRPr="00786058">
        <w:rPr>
          <w:i/>
          <w:noProof/>
          <w:sz w:val="22"/>
          <w:szCs w:val="22"/>
        </w:rPr>
        <w:fldChar w:fldCharType="separate"/>
      </w:r>
      <w:r w:rsidR="0055391F">
        <w:rPr>
          <w:bCs/>
          <w:i/>
          <w:iCs/>
          <w:noProof/>
          <w:sz w:val="22"/>
          <w:szCs w:val="22"/>
        </w:rPr>
        <w:t>59</w:t>
      </w:r>
      <w:r w:rsidRPr="00786058">
        <w:rPr>
          <w:i/>
          <w:noProof/>
          <w:sz w:val="22"/>
          <w:szCs w:val="22"/>
        </w:rPr>
        <w:fldChar w:fldCharType="end"/>
      </w:r>
      <w:r w:rsidRPr="00786058">
        <w:rPr>
          <w:i/>
          <w:noProof/>
          <w:sz w:val="22"/>
          <w:szCs w:val="22"/>
        </w:rPr>
        <w:t>: Number of agreements between MDMS platforms and transport operators in the baseline</w:t>
      </w:r>
    </w:p>
    <w:tbl>
      <w:tblPr>
        <w:tblStyle w:val="Ricardo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1734"/>
        <w:gridCol w:w="1907"/>
        <w:gridCol w:w="1646"/>
        <w:gridCol w:w="1646"/>
      </w:tblGrid>
      <w:tr w:rsidR="00E378D3" w:rsidRPr="006D65EE" w14:paraId="7C644E97" w14:textId="77777777">
        <w:trPr>
          <w:cnfStyle w:val="100000000000" w:firstRow="1" w:lastRow="0" w:firstColumn="0" w:lastColumn="0" w:oddVBand="0" w:evenVBand="0" w:oddHBand="0" w:evenHBand="0" w:firstRowFirstColumn="0" w:firstRowLastColumn="0" w:lastRowFirstColumn="0" w:lastRowLastColumn="0"/>
          <w:trHeight w:val="296"/>
        </w:trPr>
        <w:tc>
          <w:tcPr>
            <w:tcW w:w="1390" w:type="pct"/>
            <w:shd w:val="clear" w:color="auto" w:fill="0070C0"/>
            <w:vAlign w:val="top"/>
            <w:hideMark/>
          </w:tcPr>
          <w:p w14:paraId="60AE183F" w14:textId="77777777" w:rsidR="00E378D3" w:rsidRPr="00827991" w:rsidRDefault="00E378D3">
            <w:pPr>
              <w:spacing w:before="0" w:after="0" w:line="240" w:lineRule="auto"/>
              <w:jc w:val="center"/>
              <w:rPr>
                <w:noProof/>
                <w:color w:val="FFFFFF"/>
                <w:sz w:val="20"/>
                <w:szCs w:val="20"/>
              </w:rPr>
            </w:pPr>
            <w:r w:rsidRPr="00827991">
              <w:rPr>
                <w:noProof/>
                <w:color w:val="FFFFFF"/>
                <w:sz w:val="20"/>
                <w:szCs w:val="20"/>
              </w:rPr>
              <w:t>Agreement type</w:t>
            </w:r>
          </w:p>
        </w:tc>
        <w:tc>
          <w:tcPr>
            <w:tcW w:w="903" w:type="pct"/>
            <w:shd w:val="clear" w:color="auto" w:fill="0070C0"/>
            <w:vAlign w:val="top"/>
            <w:hideMark/>
          </w:tcPr>
          <w:p w14:paraId="11E5086C" w14:textId="77777777" w:rsidR="00E378D3" w:rsidRPr="00827991" w:rsidRDefault="00E378D3">
            <w:pPr>
              <w:spacing w:before="0" w:after="0" w:line="240" w:lineRule="auto"/>
              <w:jc w:val="center"/>
              <w:rPr>
                <w:noProof/>
                <w:color w:val="FFFFFF"/>
                <w:sz w:val="20"/>
                <w:szCs w:val="20"/>
              </w:rPr>
            </w:pPr>
            <w:r w:rsidRPr="00827991">
              <w:rPr>
                <w:noProof/>
                <w:color w:val="FFFFFF"/>
                <w:sz w:val="20"/>
                <w:szCs w:val="20"/>
              </w:rPr>
              <w:t>2028</w:t>
            </w:r>
          </w:p>
        </w:tc>
        <w:tc>
          <w:tcPr>
            <w:tcW w:w="993" w:type="pct"/>
            <w:shd w:val="clear" w:color="auto" w:fill="0070C0"/>
            <w:vAlign w:val="top"/>
            <w:hideMark/>
          </w:tcPr>
          <w:p w14:paraId="1A80E16A" w14:textId="77777777" w:rsidR="00E378D3" w:rsidRPr="00827991" w:rsidRDefault="00E378D3">
            <w:pPr>
              <w:spacing w:before="0" w:after="0" w:line="240" w:lineRule="auto"/>
              <w:jc w:val="center"/>
              <w:rPr>
                <w:noProof/>
                <w:color w:val="FFFFFF"/>
                <w:sz w:val="20"/>
                <w:szCs w:val="20"/>
              </w:rPr>
            </w:pPr>
            <w:r w:rsidRPr="00827991">
              <w:rPr>
                <w:noProof/>
                <w:color w:val="FFFFFF"/>
                <w:sz w:val="20"/>
                <w:szCs w:val="20"/>
              </w:rPr>
              <w:t>2030</w:t>
            </w:r>
          </w:p>
        </w:tc>
        <w:tc>
          <w:tcPr>
            <w:tcW w:w="857" w:type="pct"/>
            <w:shd w:val="clear" w:color="auto" w:fill="0070C0"/>
            <w:vAlign w:val="top"/>
            <w:hideMark/>
          </w:tcPr>
          <w:p w14:paraId="5D54729A" w14:textId="77777777" w:rsidR="00E378D3" w:rsidRPr="00827991" w:rsidRDefault="00E378D3">
            <w:pPr>
              <w:spacing w:before="0" w:after="0" w:line="240" w:lineRule="auto"/>
              <w:jc w:val="center"/>
              <w:rPr>
                <w:noProof/>
                <w:color w:val="FFFFFF"/>
                <w:sz w:val="20"/>
                <w:szCs w:val="20"/>
              </w:rPr>
            </w:pPr>
            <w:r w:rsidRPr="00827991">
              <w:rPr>
                <w:noProof/>
                <w:color w:val="FFFFFF"/>
                <w:sz w:val="20"/>
                <w:szCs w:val="20"/>
              </w:rPr>
              <w:t>2040</w:t>
            </w:r>
          </w:p>
        </w:tc>
        <w:tc>
          <w:tcPr>
            <w:tcW w:w="857" w:type="pct"/>
            <w:shd w:val="clear" w:color="auto" w:fill="0070C0"/>
            <w:vAlign w:val="top"/>
            <w:hideMark/>
          </w:tcPr>
          <w:p w14:paraId="0BBD68A6" w14:textId="77777777" w:rsidR="00E378D3" w:rsidRPr="00827991" w:rsidRDefault="00E378D3">
            <w:pPr>
              <w:spacing w:before="0" w:after="0" w:line="240" w:lineRule="auto"/>
              <w:jc w:val="center"/>
              <w:rPr>
                <w:noProof/>
                <w:color w:val="FFFFFF"/>
                <w:sz w:val="20"/>
                <w:szCs w:val="20"/>
              </w:rPr>
            </w:pPr>
            <w:r w:rsidRPr="00827991">
              <w:rPr>
                <w:noProof/>
                <w:color w:val="FFFFFF"/>
                <w:sz w:val="20"/>
                <w:szCs w:val="20"/>
              </w:rPr>
              <w:t>2050</w:t>
            </w:r>
          </w:p>
        </w:tc>
      </w:tr>
      <w:tr w:rsidR="00E378D3" w:rsidRPr="006D65EE" w14:paraId="5A1AF246" w14:textId="77777777">
        <w:trPr>
          <w:trHeight w:val="296"/>
        </w:trPr>
        <w:tc>
          <w:tcPr>
            <w:tcW w:w="1390" w:type="pct"/>
            <w:vAlign w:val="top"/>
            <w:hideMark/>
          </w:tcPr>
          <w:p w14:paraId="2F27F017" w14:textId="77777777" w:rsidR="00E378D3" w:rsidRPr="00827991" w:rsidRDefault="00E378D3" w:rsidP="00827991">
            <w:pPr>
              <w:keepNext/>
              <w:spacing w:before="0" w:after="0" w:line="240" w:lineRule="auto"/>
              <w:jc w:val="center"/>
              <w:rPr>
                <w:noProof/>
                <w:color w:val="242828"/>
                <w:sz w:val="20"/>
                <w:szCs w:val="20"/>
              </w:rPr>
            </w:pPr>
            <w:r w:rsidRPr="00827991">
              <w:rPr>
                <w:noProof/>
                <w:color w:val="242828"/>
                <w:sz w:val="20"/>
                <w:szCs w:val="20"/>
              </w:rPr>
              <w:t>Total</w:t>
            </w:r>
          </w:p>
        </w:tc>
        <w:tc>
          <w:tcPr>
            <w:tcW w:w="903" w:type="pct"/>
            <w:vAlign w:val="top"/>
            <w:hideMark/>
          </w:tcPr>
          <w:p w14:paraId="2A32784D" w14:textId="77777777" w:rsidR="00E378D3" w:rsidRPr="00827991" w:rsidRDefault="00E378D3" w:rsidP="00827991">
            <w:pPr>
              <w:keepNext/>
              <w:spacing w:before="0" w:after="0" w:line="240" w:lineRule="auto"/>
              <w:jc w:val="center"/>
              <w:rPr>
                <w:noProof/>
                <w:color w:val="242828"/>
                <w:sz w:val="20"/>
                <w:szCs w:val="20"/>
              </w:rPr>
            </w:pPr>
            <w:r w:rsidRPr="00827991">
              <w:rPr>
                <w:noProof/>
                <w:color w:val="242828"/>
                <w:sz w:val="20"/>
                <w:szCs w:val="20"/>
              </w:rPr>
              <w:t xml:space="preserve">48,624 </w:t>
            </w:r>
          </w:p>
        </w:tc>
        <w:tc>
          <w:tcPr>
            <w:tcW w:w="993" w:type="pct"/>
            <w:vAlign w:val="top"/>
            <w:hideMark/>
          </w:tcPr>
          <w:p w14:paraId="6D3DE28F" w14:textId="77777777" w:rsidR="00E378D3" w:rsidRPr="00827991" w:rsidRDefault="00E378D3" w:rsidP="00827991">
            <w:pPr>
              <w:keepNext/>
              <w:spacing w:before="0" w:after="0" w:line="240" w:lineRule="auto"/>
              <w:jc w:val="center"/>
              <w:rPr>
                <w:noProof/>
                <w:color w:val="242828"/>
                <w:sz w:val="20"/>
                <w:szCs w:val="20"/>
              </w:rPr>
            </w:pPr>
            <w:r w:rsidRPr="00827991">
              <w:rPr>
                <w:noProof/>
                <w:color w:val="242828"/>
                <w:sz w:val="20"/>
                <w:szCs w:val="20"/>
              </w:rPr>
              <w:t xml:space="preserve">49,321 </w:t>
            </w:r>
          </w:p>
        </w:tc>
        <w:tc>
          <w:tcPr>
            <w:tcW w:w="857" w:type="pct"/>
            <w:vAlign w:val="top"/>
            <w:hideMark/>
          </w:tcPr>
          <w:p w14:paraId="7A2977D0" w14:textId="77777777" w:rsidR="00E378D3" w:rsidRPr="00827991" w:rsidRDefault="00E378D3" w:rsidP="00827991">
            <w:pPr>
              <w:keepNext/>
              <w:spacing w:before="0" w:after="0" w:line="240" w:lineRule="auto"/>
              <w:jc w:val="center"/>
              <w:rPr>
                <w:noProof/>
                <w:color w:val="242828"/>
                <w:sz w:val="20"/>
                <w:szCs w:val="20"/>
              </w:rPr>
            </w:pPr>
            <w:r w:rsidRPr="00827991">
              <w:rPr>
                <w:noProof/>
                <w:color w:val="242828"/>
                <w:sz w:val="20"/>
                <w:szCs w:val="20"/>
              </w:rPr>
              <w:t xml:space="preserve">52,808 </w:t>
            </w:r>
          </w:p>
        </w:tc>
        <w:tc>
          <w:tcPr>
            <w:tcW w:w="857" w:type="pct"/>
            <w:vAlign w:val="top"/>
            <w:hideMark/>
          </w:tcPr>
          <w:p w14:paraId="23E66E1C" w14:textId="77777777" w:rsidR="00E378D3" w:rsidRPr="00827991" w:rsidRDefault="00E378D3" w:rsidP="00827991">
            <w:pPr>
              <w:keepNext/>
              <w:spacing w:before="0" w:after="0" w:line="240" w:lineRule="auto"/>
              <w:jc w:val="center"/>
              <w:rPr>
                <w:noProof/>
                <w:color w:val="242828"/>
                <w:sz w:val="20"/>
                <w:szCs w:val="20"/>
              </w:rPr>
            </w:pPr>
            <w:r w:rsidRPr="00827991">
              <w:rPr>
                <w:noProof/>
                <w:color w:val="242828"/>
                <w:sz w:val="20"/>
                <w:szCs w:val="20"/>
              </w:rPr>
              <w:t xml:space="preserve">56,295 </w:t>
            </w:r>
          </w:p>
        </w:tc>
      </w:tr>
      <w:tr w:rsidR="00E378D3" w:rsidRPr="006D65EE" w14:paraId="62A20A1A" w14:textId="77777777">
        <w:trPr>
          <w:trHeight w:val="296"/>
        </w:trPr>
        <w:tc>
          <w:tcPr>
            <w:tcW w:w="1390" w:type="pct"/>
            <w:vAlign w:val="top"/>
            <w:hideMark/>
          </w:tcPr>
          <w:p w14:paraId="56CD59EB" w14:textId="77777777" w:rsidR="00E378D3" w:rsidRPr="00827991" w:rsidRDefault="00E378D3">
            <w:pPr>
              <w:spacing w:before="0" w:after="0" w:line="240" w:lineRule="auto"/>
              <w:jc w:val="center"/>
              <w:rPr>
                <w:noProof/>
                <w:color w:val="242828"/>
                <w:sz w:val="20"/>
                <w:szCs w:val="20"/>
              </w:rPr>
            </w:pPr>
            <w:r w:rsidRPr="00827991">
              <w:rPr>
                <w:noProof/>
                <w:color w:val="242828"/>
                <w:sz w:val="20"/>
                <w:szCs w:val="20"/>
              </w:rPr>
              <w:t>New</w:t>
            </w:r>
          </w:p>
        </w:tc>
        <w:tc>
          <w:tcPr>
            <w:tcW w:w="903" w:type="pct"/>
            <w:vAlign w:val="top"/>
            <w:hideMark/>
          </w:tcPr>
          <w:p w14:paraId="1EFF7B31" w14:textId="77777777" w:rsidR="00E378D3" w:rsidRPr="00827991" w:rsidRDefault="00E378D3">
            <w:pPr>
              <w:spacing w:before="0" w:after="0" w:line="240" w:lineRule="auto"/>
              <w:jc w:val="center"/>
              <w:rPr>
                <w:noProof/>
                <w:color w:val="242828"/>
                <w:sz w:val="20"/>
                <w:szCs w:val="20"/>
              </w:rPr>
            </w:pPr>
            <w:r w:rsidRPr="00827991">
              <w:rPr>
                <w:noProof/>
                <w:color w:val="242828"/>
                <w:sz w:val="20"/>
                <w:szCs w:val="20"/>
              </w:rPr>
              <w:t xml:space="preserve">-   </w:t>
            </w:r>
          </w:p>
        </w:tc>
        <w:tc>
          <w:tcPr>
            <w:tcW w:w="993" w:type="pct"/>
            <w:vAlign w:val="top"/>
            <w:hideMark/>
          </w:tcPr>
          <w:p w14:paraId="4A25D314" w14:textId="77777777" w:rsidR="00E378D3" w:rsidRPr="00827991" w:rsidRDefault="00E378D3">
            <w:pPr>
              <w:spacing w:before="0" w:after="0" w:line="240" w:lineRule="auto"/>
              <w:jc w:val="center"/>
              <w:rPr>
                <w:noProof/>
                <w:color w:val="242828"/>
                <w:sz w:val="20"/>
                <w:szCs w:val="20"/>
              </w:rPr>
            </w:pPr>
            <w:r w:rsidRPr="00827991">
              <w:rPr>
                <w:noProof/>
                <w:color w:val="242828"/>
                <w:sz w:val="20"/>
                <w:szCs w:val="20"/>
              </w:rPr>
              <w:t xml:space="preserve">349 </w:t>
            </w:r>
          </w:p>
        </w:tc>
        <w:tc>
          <w:tcPr>
            <w:tcW w:w="857" w:type="pct"/>
            <w:vAlign w:val="top"/>
            <w:hideMark/>
          </w:tcPr>
          <w:p w14:paraId="281F7CA9" w14:textId="77777777" w:rsidR="00E378D3" w:rsidRPr="00827991" w:rsidRDefault="00E378D3">
            <w:pPr>
              <w:spacing w:before="0" w:after="0" w:line="240" w:lineRule="auto"/>
              <w:jc w:val="center"/>
              <w:rPr>
                <w:noProof/>
                <w:color w:val="242828"/>
                <w:sz w:val="20"/>
                <w:szCs w:val="20"/>
              </w:rPr>
            </w:pPr>
            <w:r w:rsidRPr="00827991">
              <w:rPr>
                <w:noProof/>
                <w:color w:val="242828"/>
                <w:sz w:val="20"/>
                <w:szCs w:val="20"/>
              </w:rPr>
              <w:t xml:space="preserve">349 </w:t>
            </w:r>
          </w:p>
        </w:tc>
        <w:tc>
          <w:tcPr>
            <w:tcW w:w="857" w:type="pct"/>
            <w:vAlign w:val="top"/>
            <w:hideMark/>
          </w:tcPr>
          <w:p w14:paraId="5AFE236E" w14:textId="77777777" w:rsidR="00E378D3" w:rsidRPr="00827991" w:rsidRDefault="00E378D3">
            <w:pPr>
              <w:spacing w:before="0" w:after="0" w:line="240" w:lineRule="auto"/>
              <w:jc w:val="center"/>
              <w:rPr>
                <w:noProof/>
                <w:color w:val="242828"/>
                <w:sz w:val="20"/>
                <w:szCs w:val="20"/>
              </w:rPr>
            </w:pPr>
            <w:r w:rsidRPr="00827991">
              <w:rPr>
                <w:noProof/>
                <w:color w:val="242828"/>
                <w:sz w:val="20"/>
                <w:szCs w:val="20"/>
              </w:rPr>
              <w:t xml:space="preserve">349 </w:t>
            </w:r>
          </w:p>
        </w:tc>
      </w:tr>
      <w:tr w:rsidR="00E378D3" w:rsidRPr="006D65EE" w14:paraId="1D358CCD" w14:textId="77777777">
        <w:trPr>
          <w:trHeight w:val="296"/>
        </w:trPr>
        <w:tc>
          <w:tcPr>
            <w:tcW w:w="1390" w:type="pct"/>
            <w:vAlign w:val="top"/>
            <w:hideMark/>
          </w:tcPr>
          <w:p w14:paraId="7D6A6ACC" w14:textId="77777777" w:rsidR="00E378D3" w:rsidRPr="00827991" w:rsidRDefault="00E378D3">
            <w:pPr>
              <w:spacing w:before="0" w:after="0" w:line="240" w:lineRule="auto"/>
              <w:jc w:val="center"/>
              <w:rPr>
                <w:noProof/>
                <w:color w:val="242828"/>
                <w:sz w:val="20"/>
                <w:szCs w:val="20"/>
              </w:rPr>
            </w:pPr>
            <w:r w:rsidRPr="00827991">
              <w:rPr>
                <w:noProof/>
                <w:color w:val="242828"/>
                <w:sz w:val="20"/>
                <w:szCs w:val="20"/>
              </w:rPr>
              <w:t>Renew</w:t>
            </w:r>
          </w:p>
        </w:tc>
        <w:tc>
          <w:tcPr>
            <w:tcW w:w="903" w:type="pct"/>
            <w:vAlign w:val="top"/>
            <w:hideMark/>
          </w:tcPr>
          <w:p w14:paraId="76900EC4" w14:textId="77777777" w:rsidR="00E378D3" w:rsidRPr="00827991" w:rsidRDefault="00E378D3">
            <w:pPr>
              <w:spacing w:before="0" w:after="0" w:line="240" w:lineRule="auto"/>
              <w:jc w:val="center"/>
              <w:rPr>
                <w:noProof/>
                <w:color w:val="242828"/>
                <w:sz w:val="20"/>
                <w:szCs w:val="20"/>
              </w:rPr>
            </w:pPr>
            <w:r w:rsidRPr="00827991">
              <w:rPr>
                <w:noProof/>
                <w:color w:val="242828"/>
                <w:sz w:val="20"/>
                <w:szCs w:val="20"/>
              </w:rPr>
              <w:t xml:space="preserve">16,208 </w:t>
            </w:r>
          </w:p>
        </w:tc>
        <w:tc>
          <w:tcPr>
            <w:tcW w:w="993" w:type="pct"/>
            <w:vAlign w:val="top"/>
            <w:hideMark/>
          </w:tcPr>
          <w:p w14:paraId="0F935C62" w14:textId="77777777" w:rsidR="00E378D3" w:rsidRPr="00827991" w:rsidRDefault="00E378D3">
            <w:pPr>
              <w:spacing w:before="0" w:after="0" w:line="240" w:lineRule="auto"/>
              <w:jc w:val="center"/>
              <w:rPr>
                <w:noProof/>
                <w:color w:val="242828"/>
                <w:sz w:val="20"/>
                <w:szCs w:val="20"/>
              </w:rPr>
            </w:pPr>
            <w:r w:rsidRPr="00827991">
              <w:rPr>
                <w:noProof/>
                <w:color w:val="242828"/>
                <w:sz w:val="20"/>
                <w:szCs w:val="20"/>
              </w:rPr>
              <w:t xml:space="preserve">16,440 </w:t>
            </w:r>
          </w:p>
        </w:tc>
        <w:tc>
          <w:tcPr>
            <w:tcW w:w="857" w:type="pct"/>
            <w:vAlign w:val="top"/>
            <w:hideMark/>
          </w:tcPr>
          <w:p w14:paraId="234BD3BA" w14:textId="77777777" w:rsidR="00E378D3" w:rsidRPr="00827991" w:rsidRDefault="00E378D3">
            <w:pPr>
              <w:spacing w:before="0" w:after="0" w:line="240" w:lineRule="auto"/>
              <w:jc w:val="center"/>
              <w:rPr>
                <w:noProof/>
                <w:color w:val="242828"/>
                <w:sz w:val="20"/>
                <w:szCs w:val="20"/>
              </w:rPr>
            </w:pPr>
            <w:r w:rsidRPr="00827991">
              <w:rPr>
                <w:noProof/>
                <w:color w:val="242828"/>
                <w:sz w:val="20"/>
                <w:szCs w:val="20"/>
              </w:rPr>
              <w:t xml:space="preserve">17,603 </w:t>
            </w:r>
          </w:p>
        </w:tc>
        <w:tc>
          <w:tcPr>
            <w:tcW w:w="857" w:type="pct"/>
            <w:vAlign w:val="top"/>
            <w:hideMark/>
          </w:tcPr>
          <w:p w14:paraId="2F063BEC" w14:textId="77777777" w:rsidR="00E378D3" w:rsidRPr="00827991" w:rsidRDefault="00E378D3">
            <w:pPr>
              <w:spacing w:before="0" w:after="0" w:line="240" w:lineRule="auto"/>
              <w:jc w:val="center"/>
              <w:rPr>
                <w:noProof/>
                <w:color w:val="242828"/>
                <w:sz w:val="20"/>
                <w:szCs w:val="20"/>
              </w:rPr>
            </w:pPr>
            <w:r w:rsidRPr="00827991">
              <w:rPr>
                <w:noProof/>
                <w:color w:val="242828"/>
                <w:sz w:val="20"/>
                <w:szCs w:val="20"/>
              </w:rPr>
              <w:t xml:space="preserve">18,765 </w:t>
            </w:r>
          </w:p>
        </w:tc>
      </w:tr>
    </w:tbl>
    <w:p w14:paraId="2A675390" w14:textId="77777777" w:rsidR="00E378D3" w:rsidRDefault="00E378D3" w:rsidP="00E378D3">
      <w:pPr>
        <w:tabs>
          <w:tab w:val="left" w:pos="2302"/>
        </w:tabs>
        <w:spacing w:after="240"/>
        <w:jc w:val="both"/>
        <w:rPr>
          <w:i/>
          <w:iCs/>
          <w:noProof/>
          <w:sz w:val="20"/>
          <w:szCs w:val="20"/>
        </w:rPr>
      </w:pPr>
      <w:r w:rsidRPr="00C918D8">
        <w:rPr>
          <w:i/>
          <w:iCs/>
          <w:noProof/>
          <w:spacing w:val="-8"/>
          <w:sz w:val="20"/>
          <w:szCs w:val="20"/>
        </w:rPr>
        <w:t xml:space="preserve">Source: </w:t>
      </w:r>
      <w:r w:rsidRPr="00C918D8">
        <w:rPr>
          <w:i/>
          <w:iCs/>
          <w:noProof/>
          <w:sz w:val="20"/>
          <w:szCs w:val="20"/>
        </w:rPr>
        <w:t>Ricardo et al. (2026), Impact assessment support study</w:t>
      </w:r>
    </w:p>
    <w:p w14:paraId="601FB902" w14:textId="7BB414F2" w:rsidR="0026096B" w:rsidRPr="0026096B" w:rsidRDefault="0026096B" w:rsidP="007B2D8E">
      <w:pPr>
        <w:pStyle w:val="ListParagraph"/>
        <w:keepNext/>
        <w:widowControl/>
        <w:numPr>
          <w:ilvl w:val="2"/>
          <w:numId w:val="10"/>
        </w:numPr>
        <w:autoSpaceDE/>
        <w:autoSpaceDN/>
        <w:spacing w:after="240"/>
        <w:jc w:val="both"/>
        <w:outlineLvl w:val="2"/>
        <w:rPr>
          <w:i/>
          <w:iCs/>
          <w:noProof/>
          <w:sz w:val="24"/>
          <w:szCs w:val="24"/>
        </w:rPr>
      </w:pPr>
      <w:bookmarkStart w:id="405" w:name="_Toc223980031"/>
      <w:r w:rsidRPr="0026096B">
        <w:rPr>
          <w:i/>
          <w:iCs/>
          <w:noProof/>
          <w:sz w:val="24"/>
          <w:szCs w:val="24"/>
        </w:rPr>
        <w:t>Number of tickets sold via MDMS platforms</w:t>
      </w:r>
      <w:bookmarkEnd w:id="405"/>
    </w:p>
    <w:p w14:paraId="2160CF8D" w14:textId="72D5A51C" w:rsidR="00EA78E2" w:rsidRPr="00CF00D8" w:rsidRDefault="00EA78E2" w:rsidP="009D60B4">
      <w:pPr>
        <w:pStyle w:val="Text4"/>
        <w:spacing w:before="0" w:after="240"/>
        <w:ind w:left="0"/>
        <w:rPr>
          <w:rFonts w:ascii="Times New Roman" w:eastAsia="Calibri" w:hAnsi="Times New Roman"/>
          <w:noProof/>
          <w:spacing w:val="-8"/>
          <w:sz w:val="24"/>
          <w:szCs w:val="24"/>
          <w:lang w:eastAsia="en-GB"/>
        </w:rPr>
      </w:pPr>
      <w:r w:rsidRPr="00CF00D8">
        <w:rPr>
          <w:rFonts w:ascii="Times New Roman" w:eastAsia="Calibri" w:hAnsi="Times New Roman"/>
          <w:noProof/>
          <w:spacing w:val="-8"/>
          <w:sz w:val="24"/>
          <w:szCs w:val="24"/>
          <w:lang w:eastAsia="en-GB"/>
        </w:rPr>
        <w:t xml:space="preserve">The total number of passenger tickets sold via MDMS platforms is projected to increase from </w:t>
      </w:r>
      <w:r>
        <w:rPr>
          <w:rFonts w:ascii="Times New Roman" w:eastAsia="Calibri" w:hAnsi="Times New Roman"/>
          <w:noProof/>
          <w:spacing w:val="-8"/>
          <w:sz w:val="24"/>
          <w:szCs w:val="24"/>
          <w:lang w:eastAsia="en-GB"/>
        </w:rPr>
        <w:t xml:space="preserve">433 </w:t>
      </w:r>
      <w:r w:rsidRPr="00CF00D8">
        <w:rPr>
          <w:rFonts w:ascii="Times New Roman" w:eastAsia="Calibri" w:hAnsi="Times New Roman"/>
          <w:noProof/>
          <w:spacing w:val="-8"/>
          <w:sz w:val="24"/>
          <w:szCs w:val="24"/>
          <w:lang w:eastAsia="en-GB"/>
        </w:rPr>
        <w:t>million in 2019 to 520 million in 2030 and 854 million by 2050. However, their share in the total number of tickets sold is projected to remain limited in the baseline scenario (7</w:t>
      </w:r>
      <w:r>
        <w:rPr>
          <w:rFonts w:ascii="Times New Roman" w:eastAsia="Calibri" w:hAnsi="Times New Roman"/>
          <w:noProof/>
          <w:spacing w:val="-8"/>
          <w:sz w:val="24"/>
          <w:szCs w:val="24"/>
          <w:lang w:eastAsia="en-GB"/>
        </w:rPr>
        <w:t>.1</w:t>
      </w:r>
      <w:r w:rsidRPr="00CF00D8">
        <w:rPr>
          <w:rFonts w:ascii="Times New Roman" w:eastAsia="Calibri" w:hAnsi="Times New Roman"/>
          <w:noProof/>
          <w:spacing w:val="-8"/>
          <w:sz w:val="24"/>
          <w:szCs w:val="24"/>
          <w:lang w:eastAsia="en-GB"/>
        </w:rPr>
        <w:t>% in 2030 and 10</w:t>
      </w:r>
      <w:r>
        <w:rPr>
          <w:rFonts w:ascii="Times New Roman" w:eastAsia="Calibri" w:hAnsi="Times New Roman"/>
          <w:noProof/>
          <w:spacing w:val="-8"/>
          <w:sz w:val="24"/>
          <w:szCs w:val="24"/>
          <w:lang w:eastAsia="en-GB"/>
        </w:rPr>
        <w:t>.1</w:t>
      </w:r>
      <w:r w:rsidRPr="00CF00D8">
        <w:rPr>
          <w:rFonts w:ascii="Times New Roman" w:eastAsia="Calibri" w:hAnsi="Times New Roman"/>
          <w:noProof/>
          <w:spacing w:val="-8"/>
          <w:sz w:val="24"/>
          <w:szCs w:val="24"/>
          <w:lang w:eastAsia="en-GB"/>
        </w:rPr>
        <w:t xml:space="preserve">% in 2050). </w:t>
      </w:r>
    </w:p>
    <w:p w14:paraId="1A070A66" w14:textId="3039336F" w:rsidR="00EA78E2" w:rsidRPr="00CF00D8" w:rsidRDefault="00EA78E2" w:rsidP="009D60B4">
      <w:pPr>
        <w:pStyle w:val="Text4"/>
        <w:spacing w:before="0" w:after="240"/>
        <w:ind w:left="0"/>
        <w:rPr>
          <w:rFonts w:ascii="Times New Roman" w:eastAsia="Calibri" w:hAnsi="Times New Roman"/>
          <w:noProof/>
          <w:spacing w:val="-8"/>
          <w:sz w:val="24"/>
          <w:szCs w:val="24"/>
          <w:lang w:eastAsia="en-GB"/>
        </w:rPr>
      </w:pPr>
      <w:r w:rsidRPr="00CF00D8">
        <w:rPr>
          <w:rFonts w:ascii="Times New Roman" w:eastAsia="Calibri" w:hAnsi="Times New Roman"/>
          <w:noProof/>
          <w:spacing w:val="-8"/>
          <w:sz w:val="24"/>
          <w:szCs w:val="24"/>
          <w:lang w:eastAsia="en-GB"/>
        </w:rPr>
        <w:t>The share of rail tickets sold via independent MDMS platforms was estimated at around 3% of the total rail tickets sold in 2019 at EU level. In the baseline scenario, this is projected to go up to 4.1% in 2030 and 7.3% in 2050. This corresponds to around 65 million rail tickets sold via MDMS platforms in 2019, increasing to 111 million in 2030 and 230 million in 2050 due the increase in the MDMS market share and of the total number of rail tickets sold</w:t>
      </w:r>
      <w:r w:rsidRPr="00CF00D8">
        <w:rPr>
          <w:rFonts w:ascii="Times New Roman" w:eastAsia="Calibri" w:hAnsi="Times New Roman"/>
          <w:noProof/>
          <w:spacing w:val="-8"/>
          <w:sz w:val="24"/>
          <w:szCs w:val="24"/>
          <w:lang w:eastAsia="en-GB"/>
        </w:rPr>
        <w:footnoteReference w:id="340"/>
      </w:r>
      <w:r w:rsidRPr="00CF00D8">
        <w:rPr>
          <w:rFonts w:ascii="Times New Roman" w:eastAsia="Calibri" w:hAnsi="Times New Roman"/>
          <w:noProof/>
          <w:spacing w:val="-8"/>
          <w:sz w:val="24"/>
          <w:szCs w:val="24"/>
          <w:lang w:eastAsia="en-GB"/>
        </w:rPr>
        <w:t xml:space="preserve">. </w:t>
      </w:r>
    </w:p>
    <w:p w14:paraId="1B26AB0C" w14:textId="41D07890" w:rsidR="00EA78E2" w:rsidRPr="00CF00D8" w:rsidRDefault="00EA78E2" w:rsidP="009D60B4">
      <w:pPr>
        <w:pStyle w:val="Text4"/>
        <w:spacing w:before="0" w:after="240"/>
        <w:ind w:left="0"/>
        <w:rPr>
          <w:rFonts w:ascii="Times New Roman" w:eastAsia="Calibri" w:hAnsi="Times New Roman"/>
          <w:noProof/>
          <w:spacing w:val="-8"/>
          <w:sz w:val="24"/>
          <w:szCs w:val="24"/>
          <w:lang w:eastAsia="en-GB"/>
        </w:rPr>
      </w:pPr>
      <w:r w:rsidRPr="005D2D60">
        <w:rPr>
          <w:rFonts w:ascii="Times New Roman" w:eastAsia="Calibri" w:hAnsi="Times New Roman"/>
          <w:noProof/>
          <w:spacing w:val="-8"/>
          <w:sz w:val="24"/>
          <w:szCs w:val="24"/>
          <w:lang w:eastAsia="en-GB"/>
        </w:rPr>
        <w:t>Building on evidence collected from stakeholders, different trends are identified for air tickets sold via B2B platforms and for those sold via B2C platforms. A larger share of tickets will be sold through</w:t>
      </w:r>
      <w:r w:rsidRPr="005D2D60" w:rsidDel="002062CC">
        <w:rPr>
          <w:rFonts w:ascii="Times New Roman" w:eastAsia="Calibri" w:hAnsi="Times New Roman"/>
          <w:noProof/>
          <w:spacing w:val="-8"/>
          <w:sz w:val="24"/>
          <w:szCs w:val="24"/>
          <w:lang w:eastAsia="en-GB"/>
        </w:rPr>
        <w:t xml:space="preserve"> </w:t>
      </w:r>
      <w:r w:rsidRPr="005D2D60">
        <w:rPr>
          <w:rFonts w:ascii="Times New Roman" w:eastAsia="Calibri" w:hAnsi="Times New Roman"/>
          <w:noProof/>
          <w:spacing w:val="-8"/>
          <w:sz w:val="24"/>
          <w:szCs w:val="24"/>
          <w:lang w:eastAsia="en-GB"/>
        </w:rPr>
        <w:t>B2C MDMS, and B2B new content aggregators and the market share of low-cost carriers, which rely less on CRSs, is expected to continue increasing. This is expected to further erode the share of CRSs in ticket distribution, despite the growing number of passengers travelling by air, decreasing from 3</w:t>
      </w:r>
      <w:r>
        <w:rPr>
          <w:rFonts w:ascii="Times New Roman" w:eastAsia="Calibri" w:hAnsi="Times New Roman"/>
          <w:noProof/>
          <w:spacing w:val="-8"/>
          <w:sz w:val="24"/>
          <w:szCs w:val="24"/>
          <w:lang w:eastAsia="en-GB"/>
        </w:rPr>
        <w:t>0.1</w:t>
      </w:r>
      <w:r w:rsidRPr="005D2D60">
        <w:rPr>
          <w:rFonts w:ascii="Times New Roman" w:eastAsia="Calibri" w:hAnsi="Times New Roman"/>
          <w:noProof/>
          <w:spacing w:val="-8"/>
          <w:sz w:val="24"/>
          <w:szCs w:val="24"/>
          <w:lang w:eastAsia="en-GB"/>
        </w:rPr>
        <w:t>% in 2019 to 16.8% in 2030 and remaining stable at that level afterwards. This corresponds to 1</w:t>
      </w:r>
      <w:r>
        <w:rPr>
          <w:rFonts w:ascii="Times New Roman" w:eastAsia="Calibri" w:hAnsi="Times New Roman"/>
          <w:noProof/>
          <w:spacing w:val="-8"/>
          <w:sz w:val="24"/>
          <w:szCs w:val="24"/>
          <w:lang w:eastAsia="en-GB"/>
        </w:rPr>
        <w:t>55</w:t>
      </w:r>
      <w:r w:rsidRPr="005D2D60">
        <w:rPr>
          <w:rFonts w:ascii="Times New Roman" w:eastAsia="Calibri" w:hAnsi="Times New Roman"/>
          <w:noProof/>
          <w:spacing w:val="-8"/>
          <w:sz w:val="24"/>
          <w:szCs w:val="24"/>
          <w:lang w:eastAsia="en-GB"/>
        </w:rPr>
        <w:t xml:space="preserve"> million air tickets sold via CRS platforms in 2019, going down to roughly 91 million in 2030 and increasing to 108</w:t>
      </w:r>
      <w:r w:rsidRPr="005D2D60" w:rsidDel="00AD2DC2">
        <w:rPr>
          <w:rFonts w:ascii="Times New Roman" w:eastAsia="Calibri" w:hAnsi="Times New Roman"/>
          <w:noProof/>
          <w:spacing w:val="-8"/>
          <w:sz w:val="24"/>
          <w:szCs w:val="24"/>
          <w:lang w:eastAsia="en-GB"/>
        </w:rPr>
        <w:t xml:space="preserve"> </w:t>
      </w:r>
      <w:r w:rsidRPr="005D2D60">
        <w:rPr>
          <w:rFonts w:ascii="Times New Roman" w:eastAsia="Calibri" w:hAnsi="Times New Roman"/>
          <w:noProof/>
          <w:spacing w:val="-8"/>
          <w:sz w:val="24"/>
          <w:szCs w:val="24"/>
          <w:lang w:eastAsia="en-GB"/>
        </w:rPr>
        <w:t>million in 2050 due to the growing number of passengers travelling by air. The share of tickets sold through B2B new content aggregators is projected to increase from 5% in 2019 to 13.4% in 2030 and remaining stable at that level afterwards, partially offsetting the decrease in the share of tickets sold through CRSs. This corresponds to 2</w:t>
      </w:r>
      <w:r>
        <w:rPr>
          <w:rFonts w:ascii="Times New Roman" w:eastAsia="Calibri" w:hAnsi="Times New Roman"/>
          <w:noProof/>
          <w:spacing w:val="-8"/>
          <w:sz w:val="24"/>
          <w:szCs w:val="24"/>
          <w:lang w:eastAsia="en-GB"/>
        </w:rPr>
        <w:t>6</w:t>
      </w:r>
      <w:r w:rsidRPr="005D2D60">
        <w:rPr>
          <w:rFonts w:ascii="Times New Roman" w:eastAsia="Calibri" w:hAnsi="Times New Roman"/>
          <w:noProof/>
          <w:spacing w:val="-8"/>
          <w:sz w:val="24"/>
          <w:szCs w:val="24"/>
          <w:lang w:eastAsia="en-GB"/>
        </w:rPr>
        <w:t xml:space="preserve"> million air tickets sold via non-CRS content aggregators in 2019, going up to 73 million in 2030 and 86</w:t>
      </w:r>
      <w:r w:rsidRPr="005D2D60" w:rsidDel="00AD2DC2">
        <w:rPr>
          <w:rFonts w:ascii="Times New Roman" w:eastAsia="Calibri" w:hAnsi="Times New Roman"/>
          <w:noProof/>
          <w:spacing w:val="-8"/>
          <w:sz w:val="24"/>
          <w:szCs w:val="24"/>
          <w:lang w:eastAsia="en-GB"/>
        </w:rPr>
        <w:t xml:space="preserve"> </w:t>
      </w:r>
      <w:r w:rsidRPr="005D2D60">
        <w:rPr>
          <w:rFonts w:ascii="Times New Roman" w:eastAsia="Calibri" w:hAnsi="Times New Roman"/>
          <w:noProof/>
          <w:spacing w:val="-8"/>
          <w:sz w:val="24"/>
          <w:szCs w:val="24"/>
          <w:lang w:eastAsia="en-GB"/>
        </w:rPr>
        <w:t>million in 2050. Thus, the total share of ticket sold through B2B platforms (CRSs and new content aggregators) is projected to decrease from 3</w:t>
      </w:r>
      <w:r>
        <w:rPr>
          <w:rFonts w:ascii="Times New Roman" w:eastAsia="Calibri" w:hAnsi="Times New Roman"/>
          <w:noProof/>
          <w:spacing w:val="-8"/>
          <w:sz w:val="24"/>
          <w:szCs w:val="24"/>
          <w:lang w:eastAsia="en-GB"/>
        </w:rPr>
        <w:t>5</w:t>
      </w:r>
      <w:r w:rsidRPr="005D2D60">
        <w:rPr>
          <w:rFonts w:ascii="Times New Roman" w:eastAsia="Calibri" w:hAnsi="Times New Roman"/>
          <w:noProof/>
          <w:spacing w:val="-8"/>
          <w:sz w:val="24"/>
          <w:szCs w:val="24"/>
          <w:lang w:eastAsia="en-GB"/>
        </w:rPr>
        <w:t>.</w:t>
      </w:r>
      <w:r>
        <w:rPr>
          <w:rFonts w:ascii="Times New Roman" w:eastAsia="Calibri" w:hAnsi="Times New Roman"/>
          <w:noProof/>
          <w:spacing w:val="-8"/>
          <w:sz w:val="24"/>
          <w:szCs w:val="24"/>
          <w:lang w:eastAsia="en-GB"/>
        </w:rPr>
        <w:t>1</w:t>
      </w:r>
      <w:r w:rsidRPr="005D2D60">
        <w:rPr>
          <w:rFonts w:ascii="Times New Roman" w:eastAsia="Calibri" w:hAnsi="Times New Roman"/>
          <w:noProof/>
          <w:spacing w:val="-8"/>
          <w:sz w:val="24"/>
          <w:szCs w:val="24"/>
          <w:lang w:eastAsia="en-GB"/>
        </w:rPr>
        <w:t>% in 2019 to 31.1% in 2024 and 30.2% in 2030 and remaining stable afterwards. This corresponds to 18</w:t>
      </w:r>
      <w:r>
        <w:rPr>
          <w:rFonts w:ascii="Times New Roman" w:eastAsia="Calibri" w:hAnsi="Times New Roman"/>
          <w:noProof/>
          <w:spacing w:val="-8"/>
          <w:sz w:val="24"/>
          <w:szCs w:val="24"/>
          <w:lang w:eastAsia="en-GB"/>
        </w:rPr>
        <w:t>1</w:t>
      </w:r>
      <w:r w:rsidRPr="005D2D60">
        <w:rPr>
          <w:rFonts w:ascii="Times New Roman" w:eastAsia="Calibri" w:hAnsi="Times New Roman"/>
          <w:noProof/>
          <w:spacing w:val="-8"/>
          <w:sz w:val="24"/>
          <w:szCs w:val="24"/>
          <w:lang w:eastAsia="en-GB"/>
        </w:rPr>
        <w:t xml:space="preserve"> million tickets sold via MDMS platforms in 2019, 164 million in 2030 and 194 million in 2050. On the other hand, the share of air tickets sold via B2C platforms is projected to slightly increase from 18% in 2019 to 18.9% in 2030 of the total air tickets sold and remain stable over time. The number of air tickets sold via B2C platforms is projected to increase from around 93 million in 2019, to 103 million in 2030 and 122 million by 2050. </w:t>
      </w:r>
    </w:p>
    <w:p w14:paraId="357CA37B" w14:textId="77777777" w:rsidR="00EA78E2" w:rsidRPr="00CF00D8" w:rsidRDefault="00EA78E2" w:rsidP="009D60B4">
      <w:pPr>
        <w:pStyle w:val="Text4"/>
        <w:spacing w:before="0" w:after="240"/>
        <w:ind w:left="0"/>
        <w:rPr>
          <w:rFonts w:ascii="Times New Roman" w:eastAsia="Calibri" w:hAnsi="Times New Roman"/>
          <w:noProof/>
          <w:spacing w:val="-8"/>
          <w:sz w:val="24"/>
          <w:szCs w:val="24"/>
          <w:lang w:eastAsia="en-GB"/>
        </w:rPr>
      </w:pPr>
      <w:r w:rsidRPr="005D2D60">
        <w:rPr>
          <w:rFonts w:ascii="Times New Roman" w:eastAsia="Calibri" w:hAnsi="Times New Roman"/>
          <w:noProof/>
          <w:spacing w:val="-8"/>
          <w:sz w:val="24"/>
          <w:szCs w:val="24"/>
          <w:lang w:eastAsia="en-GB"/>
        </w:rPr>
        <w:t>The share of coach tickets sold via MDMS platforms was 2.5% in 2019 at EU level. The share is projected to go up to 3.5% in 2030 and 6.6% in 2050 indicating a somewhat slower ramp up compared to that of rail transport. The number of coach tickets sold via MDMS platforms in 2019 was estimated at around 84 million, increasing to 126 million in 2030 and 273 million in 2050 due the increase in the MDMS market share and of the total number of coach tickets sold. The share of waterborne tickets sold via MDMS platforms was about 2.5% in 2019, with a projected increase to 3.4% by 2030 and 6.7% in 2050 at EU level. This corresponds to around 11 million tickets sold via MDMS platforms in 2019, increasing to 16 million in 2030 and 35 million in 2050.</w:t>
      </w:r>
    </w:p>
    <w:p w14:paraId="6BECB1F8" w14:textId="00610425" w:rsidR="00B565B2" w:rsidRPr="00D67ED0" w:rsidRDefault="00B565B2" w:rsidP="00B565B2">
      <w:pPr>
        <w:tabs>
          <w:tab w:val="left" w:pos="1134"/>
        </w:tabs>
        <w:jc w:val="both"/>
        <w:rPr>
          <w:i/>
          <w:noProof/>
          <w:sz w:val="22"/>
          <w:szCs w:val="22"/>
        </w:rPr>
      </w:pPr>
      <w:r w:rsidRPr="00D67ED0">
        <w:rPr>
          <w:i/>
          <w:noProof/>
          <w:sz w:val="22"/>
          <w:szCs w:val="22"/>
        </w:rPr>
        <w:t xml:space="preserve">Table </w:t>
      </w:r>
      <w:r w:rsidRPr="00D67ED0">
        <w:rPr>
          <w:i/>
          <w:noProof/>
          <w:sz w:val="22"/>
          <w:szCs w:val="22"/>
        </w:rPr>
        <w:fldChar w:fldCharType="begin"/>
      </w:r>
      <w:r w:rsidRPr="00D67ED0">
        <w:rPr>
          <w:i/>
          <w:noProof/>
          <w:sz w:val="22"/>
          <w:szCs w:val="22"/>
        </w:rPr>
        <w:instrText xml:space="preserve"> SEQ Table \* ARABIC </w:instrText>
      </w:r>
      <w:r w:rsidRPr="00D67ED0">
        <w:rPr>
          <w:i/>
          <w:noProof/>
          <w:sz w:val="22"/>
          <w:szCs w:val="22"/>
        </w:rPr>
        <w:fldChar w:fldCharType="separate"/>
      </w:r>
      <w:r w:rsidR="0055391F">
        <w:rPr>
          <w:i/>
          <w:noProof/>
          <w:sz w:val="22"/>
          <w:szCs w:val="22"/>
        </w:rPr>
        <w:t>60</w:t>
      </w:r>
      <w:r w:rsidRPr="00D67ED0">
        <w:rPr>
          <w:i/>
          <w:noProof/>
          <w:sz w:val="22"/>
          <w:szCs w:val="22"/>
        </w:rPr>
        <w:fldChar w:fldCharType="end"/>
      </w:r>
      <w:r w:rsidRPr="00D67ED0">
        <w:rPr>
          <w:i/>
          <w:noProof/>
          <w:sz w:val="22"/>
          <w:szCs w:val="22"/>
        </w:rPr>
        <w:t>: Number of tickets sold via MDMS platforms, by mode, in the baseline scenario at EU level (in million and % change relative to 2019)</w:t>
      </w:r>
    </w:p>
    <w:tbl>
      <w:tblPr>
        <w:tblW w:w="5000" w:type="pct"/>
        <w:tblLook w:val="04A0" w:firstRow="1" w:lastRow="0" w:firstColumn="1" w:lastColumn="0" w:noHBand="0" w:noVBand="1"/>
      </w:tblPr>
      <w:tblGrid>
        <w:gridCol w:w="1205"/>
        <w:gridCol w:w="1205"/>
        <w:gridCol w:w="933"/>
        <w:gridCol w:w="1083"/>
        <w:gridCol w:w="811"/>
        <w:gridCol w:w="811"/>
        <w:gridCol w:w="811"/>
        <w:gridCol w:w="916"/>
        <w:gridCol w:w="916"/>
        <w:gridCol w:w="912"/>
      </w:tblGrid>
      <w:tr w:rsidR="003B015A" w14:paraId="31327D8F" w14:textId="77777777" w:rsidTr="009D60B4">
        <w:trPr>
          <w:trHeight w:val="300"/>
          <w:tblHeader/>
        </w:trPr>
        <w:tc>
          <w:tcPr>
            <w:tcW w:w="648" w:type="pct"/>
            <w:vMerge w:val="restart"/>
            <w:tcBorders>
              <w:top w:val="single" w:sz="4" w:space="0" w:color="auto"/>
              <w:left w:val="single" w:sz="4" w:space="0" w:color="auto"/>
              <w:bottom w:val="single" w:sz="4" w:space="0" w:color="auto"/>
              <w:right w:val="single" w:sz="4" w:space="0" w:color="auto"/>
            </w:tcBorders>
            <w:shd w:val="clear" w:color="000000" w:fill="0070C0"/>
            <w:vAlign w:val="center"/>
            <w:hideMark/>
          </w:tcPr>
          <w:p w14:paraId="76FF6391" w14:textId="77777777" w:rsidR="003B015A" w:rsidRDefault="003B015A">
            <w:pPr>
              <w:jc w:val="both"/>
              <w:rPr>
                <w:b/>
                <w:bCs/>
                <w:noProof/>
                <w:color w:val="FFFFFF"/>
                <w:sz w:val="20"/>
                <w:szCs w:val="20"/>
              </w:rPr>
            </w:pPr>
            <w:r>
              <w:rPr>
                <w:b/>
                <w:bCs/>
                <w:noProof/>
                <w:color w:val="FFFFFF"/>
                <w:sz w:val="20"/>
                <w:szCs w:val="20"/>
              </w:rPr>
              <w:t>Mode</w:t>
            </w:r>
          </w:p>
        </w:tc>
        <w:tc>
          <w:tcPr>
            <w:tcW w:w="648" w:type="pct"/>
            <w:vMerge w:val="restart"/>
            <w:tcBorders>
              <w:top w:val="single" w:sz="4" w:space="0" w:color="auto"/>
              <w:left w:val="single" w:sz="4" w:space="0" w:color="auto"/>
              <w:bottom w:val="single" w:sz="4" w:space="0" w:color="auto"/>
              <w:right w:val="single" w:sz="4" w:space="0" w:color="auto"/>
            </w:tcBorders>
            <w:shd w:val="clear" w:color="000000" w:fill="0070C0"/>
            <w:vAlign w:val="center"/>
            <w:hideMark/>
          </w:tcPr>
          <w:p w14:paraId="3E9BAE6F" w14:textId="77777777" w:rsidR="003B015A" w:rsidRDefault="003B015A">
            <w:pPr>
              <w:rPr>
                <w:b/>
                <w:bCs/>
                <w:noProof/>
                <w:color w:val="FFFFFF"/>
                <w:sz w:val="20"/>
                <w:szCs w:val="20"/>
              </w:rPr>
            </w:pPr>
            <w:r>
              <w:rPr>
                <w:b/>
                <w:bCs/>
                <w:noProof/>
                <w:color w:val="FFFFFF"/>
                <w:sz w:val="20"/>
                <w:szCs w:val="20"/>
              </w:rPr>
              <w:t> </w:t>
            </w:r>
          </w:p>
        </w:tc>
        <w:tc>
          <w:tcPr>
            <w:tcW w:w="2214" w:type="pct"/>
            <w:gridSpan w:val="5"/>
            <w:tcBorders>
              <w:top w:val="single" w:sz="4" w:space="0" w:color="auto"/>
              <w:left w:val="nil"/>
              <w:bottom w:val="single" w:sz="4" w:space="0" w:color="auto"/>
              <w:right w:val="single" w:sz="4" w:space="0" w:color="auto"/>
            </w:tcBorders>
            <w:shd w:val="clear" w:color="000000" w:fill="0070C0"/>
            <w:vAlign w:val="center"/>
            <w:hideMark/>
          </w:tcPr>
          <w:p w14:paraId="757F9C6E" w14:textId="77777777" w:rsidR="003B015A" w:rsidRDefault="003B015A">
            <w:pPr>
              <w:jc w:val="center"/>
              <w:rPr>
                <w:b/>
                <w:bCs/>
                <w:noProof/>
                <w:color w:val="FFFFFF"/>
                <w:sz w:val="20"/>
                <w:szCs w:val="20"/>
              </w:rPr>
            </w:pPr>
            <w:r>
              <w:rPr>
                <w:b/>
                <w:bCs/>
                <w:noProof/>
                <w:color w:val="FFFFFF"/>
                <w:sz w:val="20"/>
                <w:szCs w:val="20"/>
              </w:rPr>
              <w:t>Per year</w:t>
            </w:r>
          </w:p>
        </w:tc>
        <w:tc>
          <w:tcPr>
            <w:tcW w:w="1490" w:type="pct"/>
            <w:gridSpan w:val="3"/>
            <w:tcBorders>
              <w:top w:val="single" w:sz="4" w:space="0" w:color="auto"/>
              <w:left w:val="nil"/>
              <w:bottom w:val="single" w:sz="4" w:space="0" w:color="auto"/>
              <w:right w:val="single" w:sz="4" w:space="0" w:color="auto"/>
            </w:tcBorders>
            <w:shd w:val="clear" w:color="000000" w:fill="0070C0"/>
            <w:vAlign w:val="center"/>
            <w:hideMark/>
          </w:tcPr>
          <w:p w14:paraId="3BA12C6F" w14:textId="77777777" w:rsidR="003B015A" w:rsidRDefault="003B015A">
            <w:pPr>
              <w:jc w:val="center"/>
              <w:rPr>
                <w:b/>
                <w:bCs/>
                <w:noProof/>
                <w:color w:val="FFFFFF"/>
                <w:sz w:val="20"/>
                <w:szCs w:val="20"/>
              </w:rPr>
            </w:pPr>
            <w:r>
              <w:rPr>
                <w:b/>
                <w:bCs/>
                <w:noProof/>
                <w:color w:val="FFFFFF"/>
                <w:sz w:val="20"/>
                <w:szCs w:val="20"/>
              </w:rPr>
              <w:t>% change relative to 2019</w:t>
            </w:r>
          </w:p>
        </w:tc>
      </w:tr>
      <w:tr w:rsidR="003B015A" w14:paraId="6A28B715" w14:textId="77777777" w:rsidTr="00EA78E2">
        <w:trPr>
          <w:trHeight w:val="300"/>
          <w:tblHeader/>
        </w:trPr>
        <w:tc>
          <w:tcPr>
            <w:tcW w:w="648" w:type="pct"/>
            <w:vMerge/>
            <w:tcBorders>
              <w:top w:val="single" w:sz="4" w:space="0" w:color="auto"/>
              <w:left w:val="single" w:sz="4" w:space="0" w:color="auto"/>
              <w:bottom w:val="single" w:sz="4" w:space="0" w:color="auto"/>
              <w:right w:val="single" w:sz="4" w:space="0" w:color="auto"/>
            </w:tcBorders>
            <w:vAlign w:val="center"/>
            <w:hideMark/>
          </w:tcPr>
          <w:p w14:paraId="7907AB9D" w14:textId="77777777" w:rsidR="003B015A" w:rsidRDefault="003B015A">
            <w:pPr>
              <w:rPr>
                <w:b/>
                <w:bCs/>
                <w:noProof/>
                <w:color w:val="FFFFFF"/>
                <w:sz w:val="20"/>
                <w:szCs w:val="20"/>
              </w:rPr>
            </w:pPr>
          </w:p>
        </w:tc>
        <w:tc>
          <w:tcPr>
            <w:tcW w:w="648" w:type="pct"/>
            <w:vMerge/>
            <w:tcBorders>
              <w:top w:val="single" w:sz="4" w:space="0" w:color="auto"/>
              <w:left w:val="single" w:sz="4" w:space="0" w:color="auto"/>
              <w:bottom w:val="single" w:sz="4" w:space="0" w:color="auto"/>
              <w:right w:val="single" w:sz="4" w:space="0" w:color="auto"/>
            </w:tcBorders>
            <w:vAlign w:val="center"/>
            <w:hideMark/>
          </w:tcPr>
          <w:p w14:paraId="364FAFFB" w14:textId="77777777" w:rsidR="003B015A" w:rsidRDefault="003B015A">
            <w:pPr>
              <w:rPr>
                <w:b/>
                <w:bCs/>
                <w:noProof/>
                <w:color w:val="FFFFFF"/>
                <w:sz w:val="20"/>
                <w:szCs w:val="20"/>
              </w:rPr>
            </w:pPr>
          </w:p>
        </w:tc>
        <w:tc>
          <w:tcPr>
            <w:tcW w:w="443" w:type="pct"/>
            <w:tcBorders>
              <w:top w:val="nil"/>
              <w:left w:val="nil"/>
              <w:bottom w:val="single" w:sz="4" w:space="0" w:color="auto"/>
              <w:right w:val="single" w:sz="4" w:space="0" w:color="auto"/>
            </w:tcBorders>
            <w:shd w:val="clear" w:color="000000" w:fill="0070C0"/>
            <w:vAlign w:val="center"/>
            <w:hideMark/>
          </w:tcPr>
          <w:p w14:paraId="2A1EF319" w14:textId="77777777" w:rsidR="003B015A" w:rsidRDefault="003B015A">
            <w:pPr>
              <w:jc w:val="center"/>
              <w:rPr>
                <w:b/>
                <w:bCs/>
                <w:noProof/>
                <w:color w:val="FFFFFF"/>
                <w:sz w:val="20"/>
                <w:szCs w:val="20"/>
              </w:rPr>
            </w:pPr>
            <w:r>
              <w:rPr>
                <w:b/>
                <w:bCs/>
                <w:noProof/>
                <w:color w:val="FFFFFF"/>
                <w:sz w:val="20"/>
                <w:szCs w:val="20"/>
              </w:rPr>
              <w:t>2019</w:t>
            </w:r>
          </w:p>
        </w:tc>
        <w:tc>
          <w:tcPr>
            <w:tcW w:w="443" w:type="pct"/>
            <w:tcBorders>
              <w:top w:val="nil"/>
              <w:left w:val="nil"/>
              <w:bottom w:val="single" w:sz="4" w:space="0" w:color="auto"/>
              <w:right w:val="single" w:sz="4" w:space="0" w:color="auto"/>
            </w:tcBorders>
            <w:shd w:val="clear" w:color="000000" w:fill="0070C0"/>
            <w:vAlign w:val="center"/>
            <w:hideMark/>
          </w:tcPr>
          <w:p w14:paraId="0060C16E" w14:textId="77777777" w:rsidR="003B015A" w:rsidRDefault="003B015A">
            <w:pPr>
              <w:jc w:val="center"/>
              <w:rPr>
                <w:b/>
                <w:bCs/>
                <w:noProof/>
                <w:color w:val="FFFFFF"/>
                <w:sz w:val="20"/>
                <w:szCs w:val="20"/>
              </w:rPr>
            </w:pPr>
            <w:r>
              <w:rPr>
                <w:b/>
                <w:bCs/>
                <w:noProof/>
                <w:color w:val="FFFFFF"/>
                <w:sz w:val="20"/>
                <w:szCs w:val="20"/>
              </w:rPr>
              <w:t>2028</w:t>
            </w:r>
          </w:p>
        </w:tc>
        <w:tc>
          <w:tcPr>
            <w:tcW w:w="443" w:type="pct"/>
            <w:tcBorders>
              <w:top w:val="nil"/>
              <w:left w:val="nil"/>
              <w:bottom w:val="single" w:sz="4" w:space="0" w:color="auto"/>
              <w:right w:val="single" w:sz="4" w:space="0" w:color="auto"/>
            </w:tcBorders>
            <w:shd w:val="clear" w:color="000000" w:fill="0070C0"/>
            <w:vAlign w:val="center"/>
            <w:hideMark/>
          </w:tcPr>
          <w:p w14:paraId="1AE9470B" w14:textId="77777777" w:rsidR="003B015A" w:rsidRDefault="003B015A">
            <w:pPr>
              <w:jc w:val="center"/>
              <w:rPr>
                <w:b/>
                <w:bCs/>
                <w:noProof/>
                <w:color w:val="FFFFFF"/>
                <w:sz w:val="20"/>
                <w:szCs w:val="20"/>
              </w:rPr>
            </w:pPr>
            <w:r>
              <w:rPr>
                <w:b/>
                <w:bCs/>
                <w:noProof/>
                <w:color w:val="FFFFFF"/>
                <w:sz w:val="20"/>
                <w:szCs w:val="20"/>
              </w:rPr>
              <w:t>2030</w:t>
            </w:r>
          </w:p>
        </w:tc>
        <w:tc>
          <w:tcPr>
            <w:tcW w:w="443" w:type="pct"/>
            <w:tcBorders>
              <w:top w:val="nil"/>
              <w:left w:val="nil"/>
              <w:bottom w:val="single" w:sz="4" w:space="0" w:color="auto"/>
              <w:right w:val="single" w:sz="4" w:space="0" w:color="auto"/>
            </w:tcBorders>
            <w:shd w:val="clear" w:color="000000" w:fill="0070C0"/>
            <w:vAlign w:val="center"/>
            <w:hideMark/>
          </w:tcPr>
          <w:p w14:paraId="02573FAD" w14:textId="77777777" w:rsidR="003B015A" w:rsidRDefault="003B015A">
            <w:pPr>
              <w:jc w:val="center"/>
              <w:rPr>
                <w:b/>
                <w:bCs/>
                <w:noProof/>
                <w:color w:val="FFFFFF"/>
                <w:sz w:val="20"/>
                <w:szCs w:val="20"/>
              </w:rPr>
            </w:pPr>
            <w:r>
              <w:rPr>
                <w:b/>
                <w:bCs/>
                <w:noProof/>
                <w:color w:val="FFFFFF"/>
                <w:sz w:val="20"/>
                <w:szCs w:val="20"/>
              </w:rPr>
              <w:t>2040</w:t>
            </w:r>
          </w:p>
        </w:tc>
        <w:tc>
          <w:tcPr>
            <w:tcW w:w="443" w:type="pct"/>
            <w:tcBorders>
              <w:top w:val="nil"/>
              <w:left w:val="nil"/>
              <w:bottom w:val="single" w:sz="4" w:space="0" w:color="auto"/>
              <w:right w:val="single" w:sz="4" w:space="0" w:color="auto"/>
            </w:tcBorders>
            <w:shd w:val="clear" w:color="000000" w:fill="0070C0"/>
            <w:vAlign w:val="center"/>
            <w:hideMark/>
          </w:tcPr>
          <w:p w14:paraId="68328711" w14:textId="77777777" w:rsidR="003B015A" w:rsidRDefault="003B015A">
            <w:pPr>
              <w:jc w:val="center"/>
              <w:rPr>
                <w:b/>
                <w:bCs/>
                <w:noProof/>
                <w:color w:val="FFFFFF"/>
                <w:sz w:val="20"/>
                <w:szCs w:val="20"/>
              </w:rPr>
            </w:pPr>
            <w:r>
              <w:rPr>
                <w:b/>
                <w:bCs/>
                <w:noProof/>
                <w:color w:val="FFFFFF"/>
                <w:sz w:val="20"/>
                <w:szCs w:val="20"/>
              </w:rPr>
              <w:t>2050</w:t>
            </w:r>
          </w:p>
        </w:tc>
        <w:tc>
          <w:tcPr>
            <w:tcW w:w="497" w:type="pct"/>
            <w:tcBorders>
              <w:top w:val="nil"/>
              <w:left w:val="nil"/>
              <w:bottom w:val="single" w:sz="4" w:space="0" w:color="auto"/>
              <w:right w:val="single" w:sz="4" w:space="0" w:color="auto"/>
            </w:tcBorders>
            <w:shd w:val="clear" w:color="000000" w:fill="0070C0"/>
            <w:vAlign w:val="center"/>
            <w:hideMark/>
          </w:tcPr>
          <w:p w14:paraId="7574925B" w14:textId="77777777" w:rsidR="003B015A" w:rsidRDefault="003B015A">
            <w:pPr>
              <w:jc w:val="center"/>
              <w:rPr>
                <w:b/>
                <w:bCs/>
                <w:noProof/>
                <w:color w:val="FFFFFF"/>
                <w:sz w:val="20"/>
                <w:szCs w:val="20"/>
              </w:rPr>
            </w:pPr>
            <w:r>
              <w:rPr>
                <w:b/>
                <w:bCs/>
                <w:noProof/>
                <w:color w:val="FFFFFF"/>
                <w:sz w:val="20"/>
                <w:szCs w:val="20"/>
              </w:rPr>
              <w:t>2019-2030</w:t>
            </w:r>
          </w:p>
        </w:tc>
        <w:tc>
          <w:tcPr>
            <w:tcW w:w="497" w:type="pct"/>
            <w:tcBorders>
              <w:top w:val="nil"/>
              <w:left w:val="nil"/>
              <w:bottom w:val="single" w:sz="4" w:space="0" w:color="auto"/>
              <w:right w:val="single" w:sz="4" w:space="0" w:color="auto"/>
            </w:tcBorders>
            <w:shd w:val="clear" w:color="000000" w:fill="0070C0"/>
            <w:vAlign w:val="center"/>
            <w:hideMark/>
          </w:tcPr>
          <w:p w14:paraId="141FB595" w14:textId="77777777" w:rsidR="003B015A" w:rsidRDefault="003B015A">
            <w:pPr>
              <w:jc w:val="center"/>
              <w:rPr>
                <w:b/>
                <w:bCs/>
                <w:noProof/>
                <w:color w:val="FFFFFF"/>
                <w:sz w:val="20"/>
                <w:szCs w:val="20"/>
              </w:rPr>
            </w:pPr>
            <w:r>
              <w:rPr>
                <w:b/>
                <w:bCs/>
                <w:noProof/>
                <w:color w:val="FFFFFF"/>
                <w:sz w:val="20"/>
                <w:szCs w:val="20"/>
              </w:rPr>
              <w:t>2019-2040</w:t>
            </w:r>
          </w:p>
        </w:tc>
        <w:tc>
          <w:tcPr>
            <w:tcW w:w="497" w:type="pct"/>
            <w:tcBorders>
              <w:top w:val="nil"/>
              <w:left w:val="nil"/>
              <w:bottom w:val="single" w:sz="4" w:space="0" w:color="auto"/>
              <w:right w:val="single" w:sz="4" w:space="0" w:color="auto"/>
            </w:tcBorders>
            <w:shd w:val="clear" w:color="000000" w:fill="0070C0"/>
            <w:vAlign w:val="center"/>
            <w:hideMark/>
          </w:tcPr>
          <w:p w14:paraId="1F85C6CF" w14:textId="77777777" w:rsidR="003B015A" w:rsidRDefault="003B015A">
            <w:pPr>
              <w:jc w:val="center"/>
              <w:rPr>
                <w:b/>
                <w:bCs/>
                <w:noProof/>
                <w:color w:val="FFFFFF"/>
                <w:sz w:val="20"/>
                <w:szCs w:val="20"/>
              </w:rPr>
            </w:pPr>
            <w:r>
              <w:rPr>
                <w:b/>
                <w:bCs/>
                <w:noProof/>
                <w:color w:val="FFFFFF"/>
                <w:sz w:val="20"/>
                <w:szCs w:val="20"/>
              </w:rPr>
              <w:t>2019-2050</w:t>
            </w:r>
          </w:p>
        </w:tc>
      </w:tr>
      <w:tr w:rsidR="000F5BF4" w14:paraId="0B4DC226" w14:textId="77777777" w:rsidTr="00D67ED0">
        <w:trPr>
          <w:trHeight w:val="510"/>
        </w:trPr>
        <w:tc>
          <w:tcPr>
            <w:tcW w:w="648" w:type="pct"/>
            <w:vMerge w:val="restart"/>
            <w:tcBorders>
              <w:top w:val="nil"/>
              <w:left w:val="single" w:sz="4" w:space="0" w:color="auto"/>
              <w:bottom w:val="single" w:sz="4" w:space="0" w:color="auto"/>
              <w:right w:val="single" w:sz="4" w:space="0" w:color="auto"/>
            </w:tcBorders>
            <w:vAlign w:val="center"/>
            <w:hideMark/>
          </w:tcPr>
          <w:p w14:paraId="37049033" w14:textId="77777777" w:rsidR="003B015A" w:rsidRDefault="003B015A">
            <w:pPr>
              <w:rPr>
                <w:noProof/>
                <w:color w:val="000000"/>
                <w:sz w:val="20"/>
                <w:szCs w:val="20"/>
              </w:rPr>
            </w:pPr>
            <w:r>
              <w:rPr>
                <w:noProof/>
                <w:color w:val="000000"/>
                <w:sz w:val="20"/>
                <w:szCs w:val="20"/>
              </w:rPr>
              <w:t>Rail</w:t>
            </w:r>
          </w:p>
        </w:tc>
        <w:tc>
          <w:tcPr>
            <w:tcW w:w="648" w:type="pct"/>
            <w:tcBorders>
              <w:top w:val="nil"/>
              <w:left w:val="nil"/>
              <w:bottom w:val="single" w:sz="4" w:space="0" w:color="auto"/>
              <w:right w:val="single" w:sz="4" w:space="0" w:color="auto"/>
            </w:tcBorders>
            <w:vAlign w:val="center"/>
            <w:hideMark/>
          </w:tcPr>
          <w:p w14:paraId="451CB9C3" w14:textId="77777777" w:rsidR="003B015A" w:rsidRDefault="003B015A">
            <w:pPr>
              <w:rPr>
                <w:noProof/>
                <w:color w:val="000000"/>
                <w:sz w:val="20"/>
                <w:szCs w:val="20"/>
              </w:rPr>
            </w:pPr>
            <w:r>
              <w:rPr>
                <w:noProof/>
                <w:color w:val="000000"/>
                <w:sz w:val="20"/>
                <w:szCs w:val="20"/>
              </w:rPr>
              <w:t xml:space="preserve">Tickets sold via MDMS </w:t>
            </w:r>
          </w:p>
        </w:tc>
        <w:tc>
          <w:tcPr>
            <w:tcW w:w="443" w:type="pct"/>
            <w:tcBorders>
              <w:top w:val="nil"/>
              <w:left w:val="nil"/>
              <w:bottom w:val="single" w:sz="4" w:space="0" w:color="auto"/>
              <w:right w:val="single" w:sz="4" w:space="0" w:color="auto"/>
            </w:tcBorders>
            <w:vAlign w:val="center"/>
            <w:hideMark/>
          </w:tcPr>
          <w:p w14:paraId="7A0F4162" w14:textId="77777777" w:rsidR="003B015A" w:rsidRDefault="003B015A">
            <w:pPr>
              <w:jc w:val="right"/>
              <w:rPr>
                <w:noProof/>
                <w:color w:val="000000"/>
                <w:sz w:val="20"/>
                <w:szCs w:val="20"/>
              </w:rPr>
            </w:pPr>
            <w:r>
              <w:rPr>
                <w:noProof/>
                <w:color w:val="000000"/>
                <w:sz w:val="20"/>
                <w:szCs w:val="20"/>
              </w:rPr>
              <w:t>65</w:t>
            </w:r>
          </w:p>
        </w:tc>
        <w:tc>
          <w:tcPr>
            <w:tcW w:w="443" w:type="pct"/>
            <w:tcBorders>
              <w:top w:val="nil"/>
              <w:left w:val="nil"/>
              <w:bottom w:val="single" w:sz="4" w:space="0" w:color="auto"/>
              <w:right w:val="single" w:sz="4" w:space="0" w:color="auto"/>
            </w:tcBorders>
            <w:vAlign w:val="center"/>
            <w:hideMark/>
          </w:tcPr>
          <w:p w14:paraId="364C3ABF" w14:textId="77777777" w:rsidR="003B015A" w:rsidRDefault="003B015A">
            <w:pPr>
              <w:jc w:val="right"/>
              <w:rPr>
                <w:noProof/>
                <w:color w:val="000000"/>
                <w:sz w:val="20"/>
                <w:szCs w:val="20"/>
              </w:rPr>
            </w:pPr>
            <w:r>
              <w:rPr>
                <w:noProof/>
                <w:color w:val="000000"/>
                <w:sz w:val="20"/>
                <w:szCs w:val="20"/>
              </w:rPr>
              <w:t>82</w:t>
            </w:r>
          </w:p>
        </w:tc>
        <w:tc>
          <w:tcPr>
            <w:tcW w:w="443" w:type="pct"/>
            <w:tcBorders>
              <w:top w:val="nil"/>
              <w:left w:val="nil"/>
              <w:bottom w:val="single" w:sz="4" w:space="0" w:color="auto"/>
              <w:right w:val="single" w:sz="4" w:space="0" w:color="auto"/>
            </w:tcBorders>
            <w:vAlign w:val="center"/>
            <w:hideMark/>
          </w:tcPr>
          <w:p w14:paraId="25768BD4" w14:textId="77777777" w:rsidR="003B015A" w:rsidRDefault="003B015A">
            <w:pPr>
              <w:jc w:val="right"/>
              <w:rPr>
                <w:noProof/>
                <w:color w:val="000000"/>
                <w:sz w:val="20"/>
                <w:szCs w:val="20"/>
              </w:rPr>
            </w:pPr>
            <w:r>
              <w:rPr>
                <w:noProof/>
                <w:color w:val="000000"/>
                <w:sz w:val="20"/>
                <w:szCs w:val="20"/>
              </w:rPr>
              <w:t>111</w:t>
            </w:r>
          </w:p>
        </w:tc>
        <w:tc>
          <w:tcPr>
            <w:tcW w:w="443" w:type="pct"/>
            <w:tcBorders>
              <w:top w:val="nil"/>
              <w:left w:val="nil"/>
              <w:bottom w:val="single" w:sz="4" w:space="0" w:color="auto"/>
              <w:right w:val="single" w:sz="4" w:space="0" w:color="auto"/>
            </w:tcBorders>
            <w:vAlign w:val="center"/>
            <w:hideMark/>
          </w:tcPr>
          <w:p w14:paraId="4FDF00B5" w14:textId="77777777" w:rsidR="003B015A" w:rsidRDefault="003B015A">
            <w:pPr>
              <w:jc w:val="right"/>
              <w:rPr>
                <w:noProof/>
                <w:color w:val="000000"/>
                <w:sz w:val="20"/>
                <w:szCs w:val="20"/>
              </w:rPr>
            </w:pPr>
            <w:r>
              <w:rPr>
                <w:noProof/>
                <w:color w:val="000000"/>
                <w:sz w:val="20"/>
                <w:szCs w:val="20"/>
              </w:rPr>
              <w:t>170</w:t>
            </w:r>
          </w:p>
        </w:tc>
        <w:tc>
          <w:tcPr>
            <w:tcW w:w="443" w:type="pct"/>
            <w:tcBorders>
              <w:top w:val="nil"/>
              <w:left w:val="nil"/>
              <w:bottom w:val="single" w:sz="4" w:space="0" w:color="auto"/>
              <w:right w:val="single" w:sz="4" w:space="0" w:color="auto"/>
            </w:tcBorders>
            <w:vAlign w:val="center"/>
            <w:hideMark/>
          </w:tcPr>
          <w:p w14:paraId="392AFE8A" w14:textId="77777777" w:rsidR="003B015A" w:rsidRDefault="003B015A">
            <w:pPr>
              <w:jc w:val="right"/>
              <w:rPr>
                <w:noProof/>
                <w:color w:val="000000"/>
                <w:sz w:val="20"/>
                <w:szCs w:val="20"/>
              </w:rPr>
            </w:pPr>
            <w:r>
              <w:rPr>
                <w:noProof/>
                <w:color w:val="000000"/>
                <w:sz w:val="20"/>
                <w:szCs w:val="20"/>
              </w:rPr>
              <w:t>230</w:t>
            </w:r>
          </w:p>
        </w:tc>
        <w:tc>
          <w:tcPr>
            <w:tcW w:w="497" w:type="pct"/>
            <w:tcBorders>
              <w:top w:val="nil"/>
              <w:left w:val="nil"/>
              <w:bottom w:val="single" w:sz="4" w:space="0" w:color="auto"/>
              <w:right w:val="single" w:sz="4" w:space="0" w:color="auto"/>
            </w:tcBorders>
            <w:shd w:val="clear" w:color="000000" w:fill="FFFFFF"/>
            <w:vAlign w:val="center"/>
            <w:hideMark/>
          </w:tcPr>
          <w:p w14:paraId="4173C55B" w14:textId="77777777" w:rsidR="003B015A" w:rsidRDefault="003B015A">
            <w:pPr>
              <w:jc w:val="right"/>
              <w:rPr>
                <w:noProof/>
                <w:color w:val="000000"/>
                <w:sz w:val="20"/>
                <w:szCs w:val="20"/>
              </w:rPr>
            </w:pPr>
            <w:r>
              <w:rPr>
                <w:noProof/>
                <w:color w:val="000000"/>
                <w:sz w:val="20"/>
                <w:szCs w:val="20"/>
              </w:rPr>
              <w:t>71%</w:t>
            </w:r>
          </w:p>
        </w:tc>
        <w:tc>
          <w:tcPr>
            <w:tcW w:w="497" w:type="pct"/>
            <w:tcBorders>
              <w:top w:val="nil"/>
              <w:left w:val="nil"/>
              <w:bottom w:val="single" w:sz="4" w:space="0" w:color="auto"/>
              <w:right w:val="single" w:sz="4" w:space="0" w:color="auto"/>
            </w:tcBorders>
            <w:shd w:val="clear" w:color="000000" w:fill="FFFFFF"/>
            <w:vAlign w:val="center"/>
            <w:hideMark/>
          </w:tcPr>
          <w:p w14:paraId="11670A01" w14:textId="77777777" w:rsidR="003B015A" w:rsidRDefault="003B015A">
            <w:pPr>
              <w:jc w:val="right"/>
              <w:rPr>
                <w:noProof/>
                <w:color w:val="000000"/>
                <w:sz w:val="20"/>
                <w:szCs w:val="20"/>
              </w:rPr>
            </w:pPr>
            <w:r>
              <w:rPr>
                <w:noProof/>
                <w:color w:val="000000"/>
                <w:sz w:val="20"/>
                <w:szCs w:val="20"/>
              </w:rPr>
              <w:t>161%</w:t>
            </w:r>
          </w:p>
        </w:tc>
        <w:tc>
          <w:tcPr>
            <w:tcW w:w="497" w:type="pct"/>
            <w:tcBorders>
              <w:top w:val="nil"/>
              <w:left w:val="nil"/>
              <w:bottom w:val="single" w:sz="4" w:space="0" w:color="auto"/>
              <w:right w:val="single" w:sz="4" w:space="0" w:color="auto"/>
            </w:tcBorders>
            <w:shd w:val="clear" w:color="000000" w:fill="FFFFFF"/>
            <w:vAlign w:val="center"/>
            <w:hideMark/>
          </w:tcPr>
          <w:p w14:paraId="38F788F4" w14:textId="77777777" w:rsidR="003B015A" w:rsidRDefault="003B015A">
            <w:pPr>
              <w:jc w:val="right"/>
              <w:rPr>
                <w:noProof/>
                <w:color w:val="000000"/>
                <w:sz w:val="20"/>
                <w:szCs w:val="20"/>
              </w:rPr>
            </w:pPr>
            <w:r>
              <w:rPr>
                <w:noProof/>
                <w:color w:val="000000"/>
                <w:sz w:val="20"/>
                <w:szCs w:val="20"/>
              </w:rPr>
              <w:t>254%</w:t>
            </w:r>
          </w:p>
        </w:tc>
      </w:tr>
      <w:tr w:rsidR="000F5BF4" w14:paraId="5209F0F6" w14:textId="77777777" w:rsidTr="00D67ED0">
        <w:trPr>
          <w:trHeight w:val="765"/>
        </w:trPr>
        <w:tc>
          <w:tcPr>
            <w:tcW w:w="648" w:type="pct"/>
            <w:vMerge/>
            <w:tcBorders>
              <w:top w:val="nil"/>
              <w:left w:val="single" w:sz="4" w:space="0" w:color="auto"/>
              <w:bottom w:val="single" w:sz="4" w:space="0" w:color="auto"/>
              <w:right w:val="single" w:sz="4" w:space="0" w:color="auto"/>
            </w:tcBorders>
            <w:vAlign w:val="center"/>
            <w:hideMark/>
          </w:tcPr>
          <w:p w14:paraId="411DE68C" w14:textId="77777777" w:rsidR="003B015A" w:rsidRDefault="003B015A">
            <w:pPr>
              <w:rPr>
                <w:noProof/>
                <w:color w:val="000000"/>
                <w:sz w:val="20"/>
                <w:szCs w:val="20"/>
              </w:rPr>
            </w:pPr>
          </w:p>
        </w:tc>
        <w:tc>
          <w:tcPr>
            <w:tcW w:w="648" w:type="pct"/>
            <w:tcBorders>
              <w:top w:val="nil"/>
              <w:left w:val="nil"/>
              <w:bottom w:val="single" w:sz="4" w:space="0" w:color="auto"/>
              <w:right w:val="single" w:sz="4" w:space="0" w:color="auto"/>
            </w:tcBorders>
            <w:vAlign w:val="center"/>
            <w:hideMark/>
          </w:tcPr>
          <w:p w14:paraId="33227249" w14:textId="77777777" w:rsidR="003B015A" w:rsidRDefault="003B015A">
            <w:pPr>
              <w:rPr>
                <w:noProof/>
                <w:color w:val="000000"/>
                <w:sz w:val="20"/>
                <w:szCs w:val="20"/>
              </w:rPr>
            </w:pPr>
            <w:r>
              <w:rPr>
                <w:noProof/>
                <w:color w:val="000000"/>
                <w:sz w:val="20"/>
                <w:szCs w:val="20"/>
              </w:rPr>
              <w:t>Share of total rail tickets sold</w:t>
            </w:r>
          </w:p>
        </w:tc>
        <w:tc>
          <w:tcPr>
            <w:tcW w:w="443" w:type="pct"/>
            <w:tcBorders>
              <w:top w:val="nil"/>
              <w:left w:val="nil"/>
              <w:bottom w:val="single" w:sz="4" w:space="0" w:color="auto"/>
              <w:right w:val="single" w:sz="4" w:space="0" w:color="auto"/>
            </w:tcBorders>
            <w:vAlign w:val="center"/>
            <w:hideMark/>
          </w:tcPr>
          <w:p w14:paraId="4B8723CD" w14:textId="77777777" w:rsidR="003B015A" w:rsidRDefault="003B015A">
            <w:pPr>
              <w:jc w:val="right"/>
              <w:rPr>
                <w:noProof/>
                <w:color w:val="000000"/>
                <w:sz w:val="20"/>
                <w:szCs w:val="20"/>
              </w:rPr>
            </w:pPr>
            <w:r>
              <w:rPr>
                <w:noProof/>
                <w:color w:val="000000"/>
                <w:sz w:val="20"/>
                <w:szCs w:val="20"/>
              </w:rPr>
              <w:t>3.0%</w:t>
            </w:r>
          </w:p>
        </w:tc>
        <w:tc>
          <w:tcPr>
            <w:tcW w:w="443" w:type="pct"/>
            <w:tcBorders>
              <w:top w:val="nil"/>
              <w:left w:val="nil"/>
              <w:bottom w:val="single" w:sz="4" w:space="0" w:color="auto"/>
              <w:right w:val="single" w:sz="4" w:space="0" w:color="auto"/>
            </w:tcBorders>
            <w:vAlign w:val="center"/>
            <w:hideMark/>
          </w:tcPr>
          <w:p w14:paraId="1A753BAD" w14:textId="77777777" w:rsidR="003B015A" w:rsidRDefault="003B015A">
            <w:pPr>
              <w:jc w:val="right"/>
              <w:rPr>
                <w:noProof/>
                <w:color w:val="000000"/>
                <w:sz w:val="20"/>
                <w:szCs w:val="20"/>
              </w:rPr>
            </w:pPr>
            <w:r>
              <w:rPr>
                <w:noProof/>
                <w:color w:val="000000"/>
                <w:sz w:val="20"/>
                <w:szCs w:val="20"/>
              </w:rPr>
              <w:t>3.4%</w:t>
            </w:r>
          </w:p>
        </w:tc>
        <w:tc>
          <w:tcPr>
            <w:tcW w:w="443" w:type="pct"/>
            <w:tcBorders>
              <w:top w:val="nil"/>
              <w:left w:val="nil"/>
              <w:bottom w:val="single" w:sz="4" w:space="0" w:color="auto"/>
              <w:right w:val="single" w:sz="4" w:space="0" w:color="auto"/>
            </w:tcBorders>
            <w:vAlign w:val="center"/>
            <w:hideMark/>
          </w:tcPr>
          <w:p w14:paraId="1E7F2B46" w14:textId="77777777" w:rsidR="003B015A" w:rsidRDefault="003B015A">
            <w:pPr>
              <w:jc w:val="right"/>
              <w:rPr>
                <w:noProof/>
                <w:color w:val="000000"/>
                <w:sz w:val="20"/>
                <w:szCs w:val="20"/>
              </w:rPr>
            </w:pPr>
            <w:r>
              <w:rPr>
                <w:noProof/>
                <w:color w:val="000000"/>
                <w:sz w:val="20"/>
                <w:szCs w:val="20"/>
              </w:rPr>
              <w:t>4.1%</w:t>
            </w:r>
          </w:p>
        </w:tc>
        <w:tc>
          <w:tcPr>
            <w:tcW w:w="443" w:type="pct"/>
            <w:tcBorders>
              <w:top w:val="nil"/>
              <w:left w:val="nil"/>
              <w:bottom w:val="single" w:sz="4" w:space="0" w:color="auto"/>
              <w:right w:val="single" w:sz="4" w:space="0" w:color="auto"/>
            </w:tcBorders>
            <w:vAlign w:val="center"/>
            <w:hideMark/>
          </w:tcPr>
          <w:p w14:paraId="0FABE497" w14:textId="77777777" w:rsidR="003B015A" w:rsidRDefault="003B015A">
            <w:pPr>
              <w:jc w:val="right"/>
              <w:rPr>
                <w:noProof/>
                <w:color w:val="000000"/>
                <w:sz w:val="20"/>
                <w:szCs w:val="20"/>
              </w:rPr>
            </w:pPr>
            <w:r>
              <w:rPr>
                <w:noProof/>
                <w:color w:val="000000"/>
                <w:sz w:val="20"/>
                <w:szCs w:val="20"/>
              </w:rPr>
              <w:t>5.7%</w:t>
            </w:r>
          </w:p>
        </w:tc>
        <w:tc>
          <w:tcPr>
            <w:tcW w:w="443" w:type="pct"/>
            <w:tcBorders>
              <w:top w:val="nil"/>
              <w:left w:val="nil"/>
              <w:bottom w:val="single" w:sz="4" w:space="0" w:color="auto"/>
              <w:right w:val="single" w:sz="4" w:space="0" w:color="auto"/>
            </w:tcBorders>
            <w:vAlign w:val="center"/>
            <w:hideMark/>
          </w:tcPr>
          <w:p w14:paraId="506D2542" w14:textId="77777777" w:rsidR="003B015A" w:rsidRDefault="003B015A">
            <w:pPr>
              <w:jc w:val="right"/>
              <w:rPr>
                <w:noProof/>
                <w:color w:val="000000"/>
                <w:sz w:val="20"/>
                <w:szCs w:val="20"/>
              </w:rPr>
            </w:pPr>
            <w:r>
              <w:rPr>
                <w:noProof/>
                <w:color w:val="000000"/>
                <w:sz w:val="20"/>
                <w:szCs w:val="20"/>
              </w:rPr>
              <w:t>7.3%</w:t>
            </w:r>
          </w:p>
        </w:tc>
        <w:tc>
          <w:tcPr>
            <w:tcW w:w="497" w:type="pct"/>
            <w:tcBorders>
              <w:top w:val="nil"/>
              <w:left w:val="nil"/>
              <w:bottom w:val="single" w:sz="4" w:space="0" w:color="auto"/>
              <w:right w:val="single" w:sz="4" w:space="0" w:color="auto"/>
            </w:tcBorders>
            <w:shd w:val="clear" w:color="000000" w:fill="FFFFFF"/>
            <w:vAlign w:val="center"/>
            <w:hideMark/>
          </w:tcPr>
          <w:p w14:paraId="063B3BDB" w14:textId="77777777" w:rsidR="003B015A" w:rsidRDefault="003B015A">
            <w:pPr>
              <w:jc w:val="right"/>
              <w:rPr>
                <w:noProof/>
                <w:color w:val="000000"/>
                <w:sz w:val="20"/>
                <w:szCs w:val="20"/>
              </w:rPr>
            </w:pPr>
            <w:r>
              <w:rPr>
                <w:noProof/>
                <w:color w:val="000000"/>
                <w:sz w:val="20"/>
                <w:szCs w:val="20"/>
              </w:rPr>
              <w:t> </w:t>
            </w:r>
          </w:p>
        </w:tc>
        <w:tc>
          <w:tcPr>
            <w:tcW w:w="497" w:type="pct"/>
            <w:tcBorders>
              <w:top w:val="nil"/>
              <w:left w:val="nil"/>
              <w:bottom w:val="single" w:sz="4" w:space="0" w:color="auto"/>
              <w:right w:val="single" w:sz="4" w:space="0" w:color="auto"/>
            </w:tcBorders>
            <w:shd w:val="clear" w:color="000000" w:fill="FFFFFF"/>
            <w:vAlign w:val="center"/>
            <w:hideMark/>
          </w:tcPr>
          <w:p w14:paraId="29740319" w14:textId="77777777" w:rsidR="003B015A" w:rsidRDefault="003B015A">
            <w:pPr>
              <w:jc w:val="center"/>
              <w:rPr>
                <w:noProof/>
                <w:color w:val="000000"/>
                <w:sz w:val="20"/>
                <w:szCs w:val="20"/>
              </w:rPr>
            </w:pPr>
            <w:r>
              <w:rPr>
                <w:noProof/>
                <w:color w:val="000000"/>
                <w:sz w:val="20"/>
                <w:szCs w:val="20"/>
              </w:rPr>
              <w:t> </w:t>
            </w:r>
          </w:p>
        </w:tc>
        <w:tc>
          <w:tcPr>
            <w:tcW w:w="497" w:type="pct"/>
            <w:tcBorders>
              <w:top w:val="nil"/>
              <w:left w:val="nil"/>
              <w:bottom w:val="single" w:sz="4" w:space="0" w:color="auto"/>
              <w:right w:val="single" w:sz="4" w:space="0" w:color="auto"/>
            </w:tcBorders>
            <w:shd w:val="clear" w:color="000000" w:fill="FFFFFF"/>
            <w:vAlign w:val="center"/>
            <w:hideMark/>
          </w:tcPr>
          <w:p w14:paraId="62A794F2" w14:textId="77777777" w:rsidR="003B015A" w:rsidRDefault="003B015A">
            <w:pPr>
              <w:jc w:val="right"/>
              <w:rPr>
                <w:noProof/>
                <w:color w:val="000000"/>
                <w:sz w:val="20"/>
                <w:szCs w:val="20"/>
              </w:rPr>
            </w:pPr>
            <w:r>
              <w:rPr>
                <w:noProof/>
                <w:color w:val="000000"/>
                <w:sz w:val="20"/>
                <w:szCs w:val="20"/>
              </w:rPr>
              <w:t> </w:t>
            </w:r>
          </w:p>
        </w:tc>
      </w:tr>
      <w:tr w:rsidR="000F5BF4" w14:paraId="56FEC66E" w14:textId="77777777" w:rsidTr="00D67ED0">
        <w:trPr>
          <w:trHeight w:val="510"/>
        </w:trPr>
        <w:tc>
          <w:tcPr>
            <w:tcW w:w="648" w:type="pct"/>
            <w:vMerge w:val="restart"/>
            <w:tcBorders>
              <w:top w:val="nil"/>
              <w:left w:val="single" w:sz="4" w:space="0" w:color="auto"/>
              <w:bottom w:val="single" w:sz="4" w:space="0" w:color="auto"/>
              <w:right w:val="single" w:sz="4" w:space="0" w:color="auto"/>
            </w:tcBorders>
            <w:vAlign w:val="center"/>
            <w:hideMark/>
          </w:tcPr>
          <w:p w14:paraId="626E0088" w14:textId="77777777" w:rsidR="003B015A" w:rsidRDefault="003B015A">
            <w:pPr>
              <w:jc w:val="center"/>
              <w:rPr>
                <w:noProof/>
                <w:color w:val="000000"/>
                <w:sz w:val="20"/>
                <w:szCs w:val="20"/>
              </w:rPr>
            </w:pPr>
            <w:r>
              <w:rPr>
                <w:noProof/>
                <w:color w:val="000000"/>
                <w:sz w:val="20"/>
                <w:szCs w:val="20"/>
              </w:rPr>
              <w:t>Air transport B2B</w:t>
            </w:r>
          </w:p>
        </w:tc>
        <w:tc>
          <w:tcPr>
            <w:tcW w:w="648" w:type="pct"/>
            <w:tcBorders>
              <w:top w:val="nil"/>
              <w:left w:val="nil"/>
              <w:bottom w:val="single" w:sz="4" w:space="0" w:color="auto"/>
              <w:right w:val="single" w:sz="4" w:space="0" w:color="auto"/>
            </w:tcBorders>
            <w:vAlign w:val="center"/>
            <w:hideMark/>
          </w:tcPr>
          <w:p w14:paraId="31174237" w14:textId="77777777" w:rsidR="003B015A" w:rsidRDefault="003B015A">
            <w:pPr>
              <w:rPr>
                <w:i/>
                <w:iCs/>
                <w:noProof/>
                <w:sz w:val="20"/>
                <w:szCs w:val="20"/>
              </w:rPr>
            </w:pPr>
            <w:r>
              <w:rPr>
                <w:i/>
                <w:iCs/>
                <w:noProof/>
                <w:sz w:val="20"/>
                <w:szCs w:val="20"/>
              </w:rPr>
              <w:t xml:space="preserve">Tickets sold via CRSs </w:t>
            </w:r>
          </w:p>
        </w:tc>
        <w:tc>
          <w:tcPr>
            <w:tcW w:w="443" w:type="pct"/>
            <w:tcBorders>
              <w:top w:val="nil"/>
              <w:left w:val="nil"/>
              <w:bottom w:val="single" w:sz="4" w:space="0" w:color="auto"/>
              <w:right w:val="single" w:sz="4" w:space="0" w:color="auto"/>
            </w:tcBorders>
            <w:vAlign w:val="center"/>
            <w:hideMark/>
          </w:tcPr>
          <w:p w14:paraId="64540588" w14:textId="579C949F" w:rsidR="003B015A" w:rsidRDefault="003B015A">
            <w:pPr>
              <w:jc w:val="right"/>
              <w:rPr>
                <w:i/>
                <w:iCs/>
                <w:noProof/>
                <w:sz w:val="20"/>
                <w:szCs w:val="20"/>
              </w:rPr>
            </w:pPr>
            <w:r>
              <w:rPr>
                <w:i/>
                <w:iCs/>
                <w:noProof/>
                <w:sz w:val="20"/>
                <w:szCs w:val="20"/>
              </w:rPr>
              <w:t>155</w:t>
            </w:r>
          </w:p>
        </w:tc>
        <w:tc>
          <w:tcPr>
            <w:tcW w:w="443" w:type="pct"/>
            <w:tcBorders>
              <w:top w:val="nil"/>
              <w:left w:val="nil"/>
              <w:bottom w:val="single" w:sz="4" w:space="0" w:color="auto"/>
              <w:right w:val="single" w:sz="4" w:space="0" w:color="auto"/>
            </w:tcBorders>
            <w:vAlign w:val="center"/>
            <w:hideMark/>
          </w:tcPr>
          <w:p w14:paraId="06650C2D" w14:textId="77777777" w:rsidR="003B015A" w:rsidRDefault="003B015A">
            <w:pPr>
              <w:jc w:val="right"/>
              <w:rPr>
                <w:i/>
                <w:iCs/>
                <w:noProof/>
                <w:sz w:val="20"/>
                <w:szCs w:val="20"/>
              </w:rPr>
            </w:pPr>
            <w:r>
              <w:rPr>
                <w:i/>
                <w:iCs/>
                <w:noProof/>
                <w:sz w:val="20"/>
                <w:szCs w:val="20"/>
              </w:rPr>
              <w:t>102</w:t>
            </w:r>
          </w:p>
        </w:tc>
        <w:tc>
          <w:tcPr>
            <w:tcW w:w="443" w:type="pct"/>
            <w:tcBorders>
              <w:top w:val="nil"/>
              <w:left w:val="nil"/>
              <w:bottom w:val="single" w:sz="4" w:space="0" w:color="auto"/>
              <w:right w:val="single" w:sz="4" w:space="0" w:color="auto"/>
            </w:tcBorders>
            <w:vAlign w:val="center"/>
            <w:hideMark/>
          </w:tcPr>
          <w:p w14:paraId="6D90BEAF" w14:textId="77777777" w:rsidR="003B015A" w:rsidRDefault="003B015A">
            <w:pPr>
              <w:jc w:val="right"/>
              <w:rPr>
                <w:i/>
                <w:iCs/>
                <w:noProof/>
                <w:sz w:val="20"/>
                <w:szCs w:val="20"/>
              </w:rPr>
            </w:pPr>
            <w:r>
              <w:rPr>
                <w:i/>
                <w:iCs/>
                <w:noProof/>
                <w:sz w:val="20"/>
                <w:szCs w:val="20"/>
              </w:rPr>
              <w:t>91</w:t>
            </w:r>
          </w:p>
        </w:tc>
        <w:tc>
          <w:tcPr>
            <w:tcW w:w="443" w:type="pct"/>
            <w:tcBorders>
              <w:top w:val="nil"/>
              <w:left w:val="nil"/>
              <w:bottom w:val="single" w:sz="4" w:space="0" w:color="auto"/>
              <w:right w:val="single" w:sz="4" w:space="0" w:color="auto"/>
            </w:tcBorders>
            <w:vAlign w:val="center"/>
            <w:hideMark/>
          </w:tcPr>
          <w:p w14:paraId="64F04372" w14:textId="77777777" w:rsidR="003B015A" w:rsidRDefault="003B015A">
            <w:pPr>
              <w:jc w:val="right"/>
              <w:rPr>
                <w:i/>
                <w:iCs/>
                <w:noProof/>
                <w:sz w:val="20"/>
                <w:szCs w:val="20"/>
              </w:rPr>
            </w:pPr>
            <w:r>
              <w:rPr>
                <w:i/>
                <w:iCs/>
                <w:noProof/>
                <w:sz w:val="20"/>
                <w:szCs w:val="20"/>
              </w:rPr>
              <w:t>103</w:t>
            </w:r>
          </w:p>
        </w:tc>
        <w:tc>
          <w:tcPr>
            <w:tcW w:w="443" w:type="pct"/>
            <w:tcBorders>
              <w:top w:val="nil"/>
              <w:left w:val="nil"/>
              <w:bottom w:val="single" w:sz="4" w:space="0" w:color="auto"/>
              <w:right w:val="single" w:sz="4" w:space="0" w:color="auto"/>
            </w:tcBorders>
            <w:vAlign w:val="center"/>
            <w:hideMark/>
          </w:tcPr>
          <w:p w14:paraId="705860A0" w14:textId="77777777" w:rsidR="003B015A" w:rsidRDefault="003B015A">
            <w:pPr>
              <w:jc w:val="right"/>
              <w:rPr>
                <w:i/>
                <w:iCs/>
                <w:noProof/>
                <w:sz w:val="20"/>
                <w:szCs w:val="20"/>
              </w:rPr>
            </w:pPr>
            <w:r>
              <w:rPr>
                <w:i/>
                <w:iCs/>
                <w:noProof/>
                <w:sz w:val="20"/>
                <w:szCs w:val="20"/>
              </w:rPr>
              <w:t>108</w:t>
            </w:r>
          </w:p>
        </w:tc>
        <w:tc>
          <w:tcPr>
            <w:tcW w:w="497" w:type="pct"/>
            <w:tcBorders>
              <w:top w:val="nil"/>
              <w:left w:val="nil"/>
              <w:bottom w:val="single" w:sz="4" w:space="0" w:color="auto"/>
              <w:right w:val="single" w:sz="4" w:space="0" w:color="auto"/>
            </w:tcBorders>
            <w:shd w:val="clear" w:color="000000" w:fill="FFFFFF"/>
            <w:vAlign w:val="center"/>
            <w:hideMark/>
          </w:tcPr>
          <w:p w14:paraId="097FCFC4" w14:textId="689F8945" w:rsidR="003B015A" w:rsidRDefault="003B015A">
            <w:pPr>
              <w:jc w:val="right"/>
              <w:rPr>
                <w:i/>
                <w:iCs/>
                <w:noProof/>
                <w:sz w:val="20"/>
                <w:szCs w:val="20"/>
              </w:rPr>
            </w:pPr>
            <w:r>
              <w:rPr>
                <w:i/>
                <w:iCs/>
                <w:noProof/>
                <w:sz w:val="20"/>
                <w:szCs w:val="20"/>
              </w:rPr>
              <w:t>-41%</w:t>
            </w:r>
          </w:p>
        </w:tc>
        <w:tc>
          <w:tcPr>
            <w:tcW w:w="497" w:type="pct"/>
            <w:tcBorders>
              <w:top w:val="nil"/>
              <w:left w:val="nil"/>
              <w:bottom w:val="single" w:sz="4" w:space="0" w:color="auto"/>
              <w:right w:val="single" w:sz="4" w:space="0" w:color="auto"/>
            </w:tcBorders>
            <w:shd w:val="clear" w:color="000000" w:fill="FFFFFF"/>
            <w:vAlign w:val="center"/>
            <w:hideMark/>
          </w:tcPr>
          <w:p w14:paraId="07524C93" w14:textId="2AF102B4" w:rsidR="003B015A" w:rsidRDefault="003B015A">
            <w:pPr>
              <w:jc w:val="right"/>
              <w:rPr>
                <w:i/>
                <w:iCs/>
                <w:noProof/>
                <w:sz w:val="20"/>
                <w:szCs w:val="20"/>
              </w:rPr>
            </w:pPr>
            <w:r>
              <w:rPr>
                <w:i/>
                <w:iCs/>
                <w:noProof/>
                <w:sz w:val="20"/>
                <w:szCs w:val="20"/>
              </w:rPr>
              <w:t>-34%</w:t>
            </w:r>
          </w:p>
        </w:tc>
        <w:tc>
          <w:tcPr>
            <w:tcW w:w="497" w:type="pct"/>
            <w:tcBorders>
              <w:top w:val="nil"/>
              <w:left w:val="nil"/>
              <w:bottom w:val="single" w:sz="4" w:space="0" w:color="auto"/>
              <w:right w:val="single" w:sz="4" w:space="0" w:color="auto"/>
            </w:tcBorders>
            <w:shd w:val="clear" w:color="000000" w:fill="FFFFFF"/>
            <w:vAlign w:val="center"/>
            <w:hideMark/>
          </w:tcPr>
          <w:p w14:paraId="7B5069FB" w14:textId="4F401AD8" w:rsidR="003B015A" w:rsidRDefault="003B015A">
            <w:pPr>
              <w:jc w:val="right"/>
              <w:rPr>
                <w:i/>
                <w:iCs/>
                <w:noProof/>
                <w:sz w:val="20"/>
                <w:szCs w:val="20"/>
              </w:rPr>
            </w:pPr>
            <w:r>
              <w:rPr>
                <w:i/>
                <w:iCs/>
                <w:noProof/>
                <w:sz w:val="20"/>
                <w:szCs w:val="20"/>
              </w:rPr>
              <w:t>-30%</w:t>
            </w:r>
          </w:p>
        </w:tc>
      </w:tr>
      <w:tr w:rsidR="000F5BF4" w14:paraId="20B02B9D" w14:textId="77777777" w:rsidTr="00D67ED0">
        <w:trPr>
          <w:trHeight w:val="765"/>
        </w:trPr>
        <w:tc>
          <w:tcPr>
            <w:tcW w:w="648" w:type="pct"/>
            <w:vMerge/>
            <w:tcBorders>
              <w:top w:val="nil"/>
              <w:left w:val="single" w:sz="4" w:space="0" w:color="auto"/>
              <w:bottom w:val="single" w:sz="4" w:space="0" w:color="auto"/>
              <w:right w:val="single" w:sz="4" w:space="0" w:color="auto"/>
            </w:tcBorders>
            <w:vAlign w:val="center"/>
            <w:hideMark/>
          </w:tcPr>
          <w:p w14:paraId="070F5ABB" w14:textId="77777777" w:rsidR="003B015A" w:rsidRDefault="003B015A">
            <w:pPr>
              <w:rPr>
                <w:noProof/>
                <w:color w:val="000000"/>
                <w:sz w:val="20"/>
                <w:szCs w:val="20"/>
              </w:rPr>
            </w:pPr>
          </w:p>
        </w:tc>
        <w:tc>
          <w:tcPr>
            <w:tcW w:w="648" w:type="pct"/>
            <w:tcBorders>
              <w:top w:val="nil"/>
              <w:left w:val="nil"/>
              <w:bottom w:val="single" w:sz="4" w:space="0" w:color="auto"/>
              <w:right w:val="single" w:sz="4" w:space="0" w:color="auto"/>
            </w:tcBorders>
            <w:vAlign w:val="center"/>
            <w:hideMark/>
          </w:tcPr>
          <w:p w14:paraId="73187991" w14:textId="77777777" w:rsidR="003B015A" w:rsidRDefault="003B015A">
            <w:pPr>
              <w:rPr>
                <w:i/>
                <w:iCs/>
                <w:noProof/>
                <w:sz w:val="20"/>
                <w:szCs w:val="20"/>
              </w:rPr>
            </w:pPr>
            <w:r>
              <w:rPr>
                <w:i/>
                <w:iCs/>
                <w:noProof/>
                <w:sz w:val="20"/>
                <w:szCs w:val="20"/>
              </w:rPr>
              <w:t>Share of total air tickets sold</w:t>
            </w:r>
          </w:p>
        </w:tc>
        <w:tc>
          <w:tcPr>
            <w:tcW w:w="443" w:type="pct"/>
            <w:tcBorders>
              <w:top w:val="nil"/>
              <w:left w:val="nil"/>
              <w:bottom w:val="single" w:sz="4" w:space="0" w:color="auto"/>
              <w:right w:val="single" w:sz="4" w:space="0" w:color="auto"/>
            </w:tcBorders>
            <w:vAlign w:val="center"/>
            <w:hideMark/>
          </w:tcPr>
          <w:p w14:paraId="0CFCB461" w14:textId="6EE4885F" w:rsidR="003B015A" w:rsidRDefault="003B015A">
            <w:pPr>
              <w:jc w:val="right"/>
              <w:rPr>
                <w:i/>
                <w:iCs/>
                <w:noProof/>
                <w:sz w:val="20"/>
                <w:szCs w:val="20"/>
              </w:rPr>
            </w:pPr>
            <w:r>
              <w:rPr>
                <w:i/>
                <w:iCs/>
                <w:noProof/>
                <w:sz w:val="20"/>
                <w:szCs w:val="20"/>
              </w:rPr>
              <w:t>30.1%</w:t>
            </w:r>
          </w:p>
        </w:tc>
        <w:tc>
          <w:tcPr>
            <w:tcW w:w="443" w:type="pct"/>
            <w:tcBorders>
              <w:top w:val="nil"/>
              <w:left w:val="nil"/>
              <w:bottom w:val="single" w:sz="4" w:space="0" w:color="auto"/>
              <w:right w:val="single" w:sz="4" w:space="0" w:color="auto"/>
            </w:tcBorders>
            <w:vAlign w:val="center"/>
            <w:hideMark/>
          </w:tcPr>
          <w:p w14:paraId="55A094B9" w14:textId="77777777" w:rsidR="003B015A" w:rsidRDefault="003B015A">
            <w:pPr>
              <w:jc w:val="right"/>
              <w:rPr>
                <w:i/>
                <w:iCs/>
                <w:noProof/>
                <w:sz w:val="20"/>
                <w:szCs w:val="20"/>
              </w:rPr>
            </w:pPr>
            <w:r>
              <w:rPr>
                <w:i/>
                <w:iCs/>
                <w:noProof/>
                <w:sz w:val="20"/>
                <w:szCs w:val="20"/>
              </w:rPr>
              <w:t>19.0%</w:t>
            </w:r>
          </w:p>
        </w:tc>
        <w:tc>
          <w:tcPr>
            <w:tcW w:w="443" w:type="pct"/>
            <w:tcBorders>
              <w:top w:val="nil"/>
              <w:left w:val="nil"/>
              <w:bottom w:val="single" w:sz="4" w:space="0" w:color="auto"/>
              <w:right w:val="single" w:sz="4" w:space="0" w:color="auto"/>
            </w:tcBorders>
            <w:vAlign w:val="center"/>
            <w:hideMark/>
          </w:tcPr>
          <w:p w14:paraId="0C7672D9" w14:textId="77777777" w:rsidR="003B015A" w:rsidRDefault="003B015A">
            <w:pPr>
              <w:jc w:val="right"/>
              <w:rPr>
                <w:i/>
                <w:iCs/>
                <w:noProof/>
                <w:sz w:val="20"/>
                <w:szCs w:val="20"/>
              </w:rPr>
            </w:pPr>
            <w:r>
              <w:rPr>
                <w:i/>
                <w:iCs/>
                <w:noProof/>
                <w:sz w:val="20"/>
                <w:szCs w:val="20"/>
              </w:rPr>
              <w:t>16.8%</w:t>
            </w:r>
          </w:p>
        </w:tc>
        <w:tc>
          <w:tcPr>
            <w:tcW w:w="443" w:type="pct"/>
            <w:tcBorders>
              <w:top w:val="nil"/>
              <w:left w:val="nil"/>
              <w:bottom w:val="single" w:sz="4" w:space="0" w:color="auto"/>
              <w:right w:val="single" w:sz="4" w:space="0" w:color="auto"/>
            </w:tcBorders>
            <w:vAlign w:val="center"/>
            <w:hideMark/>
          </w:tcPr>
          <w:p w14:paraId="3720A90D" w14:textId="77777777" w:rsidR="003B015A" w:rsidRDefault="003B015A">
            <w:pPr>
              <w:jc w:val="right"/>
              <w:rPr>
                <w:i/>
                <w:iCs/>
                <w:noProof/>
                <w:sz w:val="20"/>
                <w:szCs w:val="20"/>
              </w:rPr>
            </w:pPr>
            <w:r>
              <w:rPr>
                <w:i/>
                <w:iCs/>
                <w:noProof/>
                <w:sz w:val="20"/>
                <w:szCs w:val="20"/>
              </w:rPr>
              <w:t>16.8%</w:t>
            </w:r>
          </w:p>
        </w:tc>
        <w:tc>
          <w:tcPr>
            <w:tcW w:w="443" w:type="pct"/>
            <w:tcBorders>
              <w:top w:val="nil"/>
              <w:left w:val="nil"/>
              <w:bottom w:val="single" w:sz="4" w:space="0" w:color="auto"/>
              <w:right w:val="single" w:sz="4" w:space="0" w:color="auto"/>
            </w:tcBorders>
            <w:vAlign w:val="center"/>
            <w:hideMark/>
          </w:tcPr>
          <w:p w14:paraId="7B0236BA" w14:textId="77777777" w:rsidR="003B015A" w:rsidRDefault="003B015A">
            <w:pPr>
              <w:jc w:val="right"/>
              <w:rPr>
                <w:i/>
                <w:iCs/>
                <w:noProof/>
                <w:sz w:val="20"/>
                <w:szCs w:val="20"/>
              </w:rPr>
            </w:pPr>
            <w:r>
              <w:rPr>
                <w:i/>
                <w:iCs/>
                <w:noProof/>
                <w:sz w:val="20"/>
                <w:szCs w:val="20"/>
              </w:rPr>
              <w:t>16.8%</w:t>
            </w:r>
          </w:p>
        </w:tc>
        <w:tc>
          <w:tcPr>
            <w:tcW w:w="497" w:type="pct"/>
            <w:tcBorders>
              <w:top w:val="nil"/>
              <w:left w:val="nil"/>
              <w:bottom w:val="single" w:sz="4" w:space="0" w:color="auto"/>
              <w:right w:val="single" w:sz="4" w:space="0" w:color="auto"/>
            </w:tcBorders>
            <w:shd w:val="clear" w:color="000000" w:fill="FFFFFF"/>
            <w:vAlign w:val="center"/>
            <w:hideMark/>
          </w:tcPr>
          <w:p w14:paraId="1EFA8A10" w14:textId="77777777" w:rsidR="003B015A" w:rsidRDefault="003B015A">
            <w:pPr>
              <w:jc w:val="right"/>
              <w:rPr>
                <w:i/>
                <w:iCs/>
                <w:noProof/>
                <w:sz w:val="20"/>
                <w:szCs w:val="20"/>
              </w:rPr>
            </w:pPr>
            <w:r>
              <w:rPr>
                <w:i/>
                <w:iCs/>
                <w:noProof/>
                <w:sz w:val="20"/>
                <w:szCs w:val="20"/>
              </w:rPr>
              <w:t> </w:t>
            </w:r>
          </w:p>
        </w:tc>
        <w:tc>
          <w:tcPr>
            <w:tcW w:w="497" w:type="pct"/>
            <w:tcBorders>
              <w:top w:val="nil"/>
              <w:left w:val="nil"/>
              <w:bottom w:val="single" w:sz="4" w:space="0" w:color="auto"/>
              <w:right w:val="single" w:sz="4" w:space="0" w:color="auto"/>
            </w:tcBorders>
            <w:shd w:val="clear" w:color="000000" w:fill="FFFFFF"/>
            <w:vAlign w:val="center"/>
            <w:hideMark/>
          </w:tcPr>
          <w:p w14:paraId="0C8F5178" w14:textId="77777777" w:rsidR="003B015A" w:rsidRDefault="003B015A">
            <w:pPr>
              <w:jc w:val="right"/>
              <w:rPr>
                <w:i/>
                <w:iCs/>
                <w:noProof/>
                <w:sz w:val="20"/>
                <w:szCs w:val="20"/>
              </w:rPr>
            </w:pPr>
            <w:r>
              <w:rPr>
                <w:i/>
                <w:iCs/>
                <w:noProof/>
                <w:sz w:val="20"/>
                <w:szCs w:val="20"/>
              </w:rPr>
              <w:t> </w:t>
            </w:r>
          </w:p>
        </w:tc>
        <w:tc>
          <w:tcPr>
            <w:tcW w:w="497" w:type="pct"/>
            <w:tcBorders>
              <w:top w:val="nil"/>
              <w:left w:val="nil"/>
              <w:bottom w:val="single" w:sz="4" w:space="0" w:color="auto"/>
              <w:right w:val="single" w:sz="4" w:space="0" w:color="auto"/>
            </w:tcBorders>
            <w:shd w:val="clear" w:color="000000" w:fill="FFFFFF"/>
            <w:vAlign w:val="center"/>
            <w:hideMark/>
          </w:tcPr>
          <w:p w14:paraId="71353146" w14:textId="77777777" w:rsidR="003B015A" w:rsidRDefault="003B015A">
            <w:pPr>
              <w:jc w:val="right"/>
              <w:rPr>
                <w:i/>
                <w:iCs/>
                <w:noProof/>
                <w:sz w:val="20"/>
                <w:szCs w:val="20"/>
              </w:rPr>
            </w:pPr>
            <w:r>
              <w:rPr>
                <w:i/>
                <w:iCs/>
                <w:noProof/>
                <w:sz w:val="20"/>
                <w:szCs w:val="20"/>
              </w:rPr>
              <w:t> </w:t>
            </w:r>
          </w:p>
        </w:tc>
      </w:tr>
      <w:tr w:rsidR="000F5BF4" w14:paraId="335BDA6C" w14:textId="77777777" w:rsidTr="00D67ED0">
        <w:trPr>
          <w:trHeight w:val="510"/>
        </w:trPr>
        <w:tc>
          <w:tcPr>
            <w:tcW w:w="648" w:type="pct"/>
            <w:vMerge/>
            <w:tcBorders>
              <w:top w:val="nil"/>
              <w:left w:val="single" w:sz="4" w:space="0" w:color="auto"/>
              <w:bottom w:val="single" w:sz="4" w:space="0" w:color="auto"/>
              <w:right w:val="single" w:sz="4" w:space="0" w:color="auto"/>
            </w:tcBorders>
            <w:vAlign w:val="center"/>
            <w:hideMark/>
          </w:tcPr>
          <w:p w14:paraId="2185F024" w14:textId="77777777" w:rsidR="003B015A" w:rsidRDefault="003B015A">
            <w:pPr>
              <w:rPr>
                <w:noProof/>
                <w:color w:val="000000"/>
                <w:sz w:val="20"/>
                <w:szCs w:val="20"/>
              </w:rPr>
            </w:pPr>
          </w:p>
        </w:tc>
        <w:tc>
          <w:tcPr>
            <w:tcW w:w="648" w:type="pct"/>
            <w:tcBorders>
              <w:top w:val="nil"/>
              <w:left w:val="nil"/>
              <w:bottom w:val="single" w:sz="4" w:space="0" w:color="auto"/>
              <w:right w:val="single" w:sz="4" w:space="0" w:color="auto"/>
            </w:tcBorders>
            <w:vAlign w:val="center"/>
            <w:hideMark/>
          </w:tcPr>
          <w:p w14:paraId="2A5A6135" w14:textId="77777777" w:rsidR="003B015A" w:rsidRDefault="003B015A">
            <w:pPr>
              <w:rPr>
                <w:i/>
                <w:iCs/>
                <w:noProof/>
                <w:sz w:val="20"/>
                <w:szCs w:val="20"/>
              </w:rPr>
            </w:pPr>
            <w:r>
              <w:rPr>
                <w:i/>
                <w:iCs/>
                <w:noProof/>
                <w:sz w:val="20"/>
                <w:szCs w:val="20"/>
              </w:rPr>
              <w:t xml:space="preserve">Tickets sold via NCA </w:t>
            </w:r>
          </w:p>
        </w:tc>
        <w:tc>
          <w:tcPr>
            <w:tcW w:w="443" w:type="pct"/>
            <w:tcBorders>
              <w:top w:val="nil"/>
              <w:left w:val="nil"/>
              <w:bottom w:val="single" w:sz="4" w:space="0" w:color="auto"/>
              <w:right w:val="single" w:sz="4" w:space="0" w:color="auto"/>
            </w:tcBorders>
            <w:vAlign w:val="center"/>
            <w:hideMark/>
          </w:tcPr>
          <w:p w14:paraId="684FF6B5" w14:textId="6D2EF5DD" w:rsidR="003B015A" w:rsidRDefault="003B015A">
            <w:pPr>
              <w:jc w:val="right"/>
              <w:rPr>
                <w:i/>
                <w:iCs/>
                <w:noProof/>
                <w:sz w:val="20"/>
                <w:szCs w:val="20"/>
              </w:rPr>
            </w:pPr>
            <w:r>
              <w:rPr>
                <w:i/>
                <w:iCs/>
                <w:noProof/>
                <w:sz w:val="20"/>
                <w:szCs w:val="20"/>
              </w:rPr>
              <w:t>26</w:t>
            </w:r>
          </w:p>
        </w:tc>
        <w:tc>
          <w:tcPr>
            <w:tcW w:w="443" w:type="pct"/>
            <w:tcBorders>
              <w:top w:val="nil"/>
              <w:left w:val="nil"/>
              <w:bottom w:val="single" w:sz="4" w:space="0" w:color="auto"/>
              <w:right w:val="single" w:sz="4" w:space="0" w:color="auto"/>
            </w:tcBorders>
            <w:vAlign w:val="center"/>
            <w:hideMark/>
          </w:tcPr>
          <w:p w14:paraId="5EB87065" w14:textId="5102EFBD" w:rsidR="003B015A" w:rsidRDefault="003B015A">
            <w:pPr>
              <w:jc w:val="right"/>
              <w:rPr>
                <w:i/>
                <w:iCs/>
                <w:noProof/>
                <w:sz w:val="20"/>
                <w:szCs w:val="20"/>
              </w:rPr>
            </w:pPr>
            <w:r>
              <w:rPr>
                <w:i/>
                <w:iCs/>
                <w:noProof/>
                <w:sz w:val="20"/>
                <w:szCs w:val="20"/>
              </w:rPr>
              <w:t>67</w:t>
            </w:r>
          </w:p>
        </w:tc>
        <w:tc>
          <w:tcPr>
            <w:tcW w:w="443" w:type="pct"/>
            <w:tcBorders>
              <w:top w:val="nil"/>
              <w:left w:val="nil"/>
              <w:bottom w:val="single" w:sz="4" w:space="0" w:color="auto"/>
              <w:right w:val="single" w:sz="4" w:space="0" w:color="auto"/>
            </w:tcBorders>
            <w:vAlign w:val="center"/>
            <w:hideMark/>
          </w:tcPr>
          <w:p w14:paraId="64BCA915" w14:textId="77777777" w:rsidR="003B015A" w:rsidRDefault="003B015A">
            <w:pPr>
              <w:jc w:val="right"/>
              <w:rPr>
                <w:i/>
                <w:iCs/>
                <w:noProof/>
                <w:sz w:val="20"/>
                <w:szCs w:val="20"/>
              </w:rPr>
            </w:pPr>
            <w:r>
              <w:rPr>
                <w:i/>
                <w:iCs/>
                <w:noProof/>
                <w:sz w:val="20"/>
                <w:szCs w:val="20"/>
              </w:rPr>
              <w:t>73</w:t>
            </w:r>
          </w:p>
        </w:tc>
        <w:tc>
          <w:tcPr>
            <w:tcW w:w="443" w:type="pct"/>
            <w:tcBorders>
              <w:top w:val="nil"/>
              <w:left w:val="nil"/>
              <w:bottom w:val="single" w:sz="4" w:space="0" w:color="auto"/>
              <w:right w:val="single" w:sz="4" w:space="0" w:color="auto"/>
            </w:tcBorders>
            <w:vAlign w:val="center"/>
            <w:hideMark/>
          </w:tcPr>
          <w:p w14:paraId="34AF7507" w14:textId="77777777" w:rsidR="003B015A" w:rsidRDefault="003B015A">
            <w:pPr>
              <w:jc w:val="right"/>
              <w:rPr>
                <w:i/>
                <w:iCs/>
                <w:noProof/>
                <w:sz w:val="20"/>
                <w:szCs w:val="20"/>
              </w:rPr>
            </w:pPr>
            <w:r>
              <w:rPr>
                <w:i/>
                <w:iCs/>
                <w:noProof/>
                <w:sz w:val="20"/>
                <w:szCs w:val="20"/>
              </w:rPr>
              <w:t>82</w:t>
            </w:r>
          </w:p>
        </w:tc>
        <w:tc>
          <w:tcPr>
            <w:tcW w:w="443" w:type="pct"/>
            <w:tcBorders>
              <w:top w:val="nil"/>
              <w:left w:val="nil"/>
              <w:bottom w:val="single" w:sz="4" w:space="0" w:color="auto"/>
              <w:right w:val="single" w:sz="4" w:space="0" w:color="auto"/>
            </w:tcBorders>
            <w:vAlign w:val="center"/>
            <w:hideMark/>
          </w:tcPr>
          <w:p w14:paraId="4A2964AF" w14:textId="77777777" w:rsidR="003B015A" w:rsidRDefault="003B015A">
            <w:pPr>
              <w:jc w:val="right"/>
              <w:rPr>
                <w:i/>
                <w:iCs/>
                <w:noProof/>
                <w:sz w:val="20"/>
                <w:szCs w:val="20"/>
              </w:rPr>
            </w:pPr>
            <w:r>
              <w:rPr>
                <w:i/>
                <w:iCs/>
                <w:noProof/>
                <w:sz w:val="20"/>
                <w:szCs w:val="20"/>
              </w:rPr>
              <w:t>86</w:t>
            </w:r>
          </w:p>
        </w:tc>
        <w:tc>
          <w:tcPr>
            <w:tcW w:w="497" w:type="pct"/>
            <w:tcBorders>
              <w:top w:val="nil"/>
              <w:left w:val="nil"/>
              <w:bottom w:val="single" w:sz="4" w:space="0" w:color="auto"/>
              <w:right w:val="single" w:sz="4" w:space="0" w:color="auto"/>
            </w:tcBorders>
            <w:shd w:val="clear" w:color="000000" w:fill="FFFFFF"/>
            <w:vAlign w:val="center"/>
            <w:hideMark/>
          </w:tcPr>
          <w:p w14:paraId="310870EE" w14:textId="40DB0999" w:rsidR="003B015A" w:rsidRDefault="003B015A">
            <w:pPr>
              <w:jc w:val="right"/>
              <w:rPr>
                <w:i/>
                <w:iCs/>
                <w:noProof/>
                <w:sz w:val="20"/>
                <w:szCs w:val="20"/>
              </w:rPr>
            </w:pPr>
            <w:r>
              <w:rPr>
                <w:i/>
                <w:iCs/>
                <w:noProof/>
                <w:sz w:val="20"/>
                <w:szCs w:val="20"/>
              </w:rPr>
              <w:t>181%</w:t>
            </w:r>
          </w:p>
        </w:tc>
        <w:tc>
          <w:tcPr>
            <w:tcW w:w="497" w:type="pct"/>
            <w:tcBorders>
              <w:top w:val="nil"/>
              <w:left w:val="nil"/>
              <w:bottom w:val="single" w:sz="4" w:space="0" w:color="auto"/>
              <w:right w:val="single" w:sz="4" w:space="0" w:color="auto"/>
            </w:tcBorders>
            <w:shd w:val="clear" w:color="000000" w:fill="FFFFFF"/>
            <w:vAlign w:val="center"/>
            <w:hideMark/>
          </w:tcPr>
          <w:p w14:paraId="2BE12EC2" w14:textId="16AAF292" w:rsidR="003B015A" w:rsidRDefault="003B015A">
            <w:pPr>
              <w:jc w:val="right"/>
              <w:rPr>
                <w:i/>
                <w:iCs/>
                <w:noProof/>
                <w:sz w:val="20"/>
                <w:szCs w:val="20"/>
              </w:rPr>
            </w:pPr>
            <w:r>
              <w:rPr>
                <w:i/>
                <w:iCs/>
                <w:noProof/>
                <w:sz w:val="20"/>
                <w:szCs w:val="20"/>
              </w:rPr>
              <w:t>217%</w:t>
            </w:r>
          </w:p>
        </w:tc>
        <w:tc>
          <w:tcPr>
            <w:tcW w:w="497" w:type="pct"/>
            <w:tcBorders>
              <w:top w:val="nil"/>
              <w:left w:val="nil"/>
              <w:bottom w:val="single" w:sz="4" w:space="0" w:color="auto"/>
              <w:right w:val="single" w:sz="4" w:space="0" w:color="auto"/>
            </w:tcBorders>
            <w:shd w:val="clear" w:color="000000" w:fill="FFFFFF"/>
            <w:vAlign w:val="center"/>
            <w:hideMark/>
          </w:tcPr>
          <w:p w14:paraId="78CB8936" w14:textId="080CE06F" w:rsidR="003B015A" w:rsidRDefault="003B015A">
            <w:pPr>
              <w:jc w:val="right"/>
              <w:rPr>
                <w:i/>
                <w:iCs/>
                <w:noProof/>
                <w:sz w:val="20"/>
                <w:szCs w:val="20"/>
              </w:rPr>
            </w:pPr>
            <w:r>
              <w:rPr>
                <w:i/>
                <w:iCs/>
                <w:noProof/>
                <w:sz w:val="20"/>
                <w:szCs w:val="20"/>
              </w:rPr>
              <w:t>234%</w:t>
            </w:r>
          </w:p>
        </w:tc>
      </w:tr>
      <w:tr w:rsidR="000F5BF4" w14:paraId="40DD628E" w14:textId="77777777" w:rsidTr="00D67ED0">
        <w:trPr>
          <w:trHeight w:val="765"/>
        </w:trPr>
        <w:tc>
          <w:tcPr>
            <w:tcW w:w="648" w:type="pct"/>
            <w:vMerge/>
            <w:tcBorders>
              <w:top w:val="nil"/>
              <w:left w:val="single" w:sz="4" w:space="0" w:color="auto"/>
              <w:bottom w:val="single" w:sz="4" w:space="0" w:color="auto"/>
              <w:right w:val="single" w:sz="4" w:space="0" w:color="auto"/>
            </w:tcBorders>
            <w:vAlign w:val="center"/>
            <w:hideMark/>
          </w:tcPr>
          <w:p w14:paraId="65D73A2C" w14:textId="77777777" w:rsidR="003B015A" w:rsidRDefault="003B015A">
            <w:pPr>
              <w:rPr>
                <w:noProof/>
                <w:color w:val="000000"/>
                <w:sz w:val="20"/>
                <w:szCs w:val="20"/>
              </w:rPr>
            </w:pPr>
          </w:p>
        </w:tc>
        <w:tc>
          <w:tcPr>
            <w:tcW w:w="648" w:type="pct"/>
            <w:tcBorders>
              <w:top w:val="nil"/>
              <w:left w:val="nil"/>
              <w:bottom w:val="single" w:sz="4" w:space="0" w:color="auto"/>
              <w:right w:val="single" w:sz="4" w:space="0" w:color="auto"/>
            </w:tcBorders>
            <w:vAlign w:val="center"/>
            <w:hideMark/>
          </w:tcPr>
          <w:p w14:paraId="0CDF9B21" w14:textId="77777777" w:rsidR="003B015A" w:rsidRDefault="003B015A">
            <w:pPr>
              <w:rPr>
                <w:i/>
                <w:iCs/>
                <w:noProof/>
                <w:sz w:val="20"/>
                <w:szCs w:val="20"/>
              </w:rPr>
            </w:pPr>
            <w:r>
              <w:rPr>
                <w:i/>
                <w:iCs/>
                <w:noProof/>
                <w:sz w:val="20"/>
                <w:szCs w:val="20"/>
              </w:rPr>
              <w:t>Share of total air tickets sold</w:t>
            </w:r>
          </w:p>
        </w:tc>
        <w:tc>
          <w:tcPr>
            <w:tcW w:w="443" w:type="pct"/>
            <w:tcBorders>
              <w:top w:val="nil"/>
              <w:left w:val="nil"/>
              <w:bottom w:val="single" w:sz="4" w:space="0" w:color="auto"/>
              <w:right w:val="single" w:sz="4" w:space="0" w:color="auto"/>
            </w:tcBorders>
            <w:vAlign w:val="center"/>
            <w:hideMark/>
          </w:tcPr>
          <w:p w14:paraId="794EFF1A" w14:textId="77777777" w:rsidR="003B015A" w:rsidRDefault="003B015A">
            <w:pPr>
              <w:jc w:val="right"/>
              <w:rPr>
                <w:i/>
                <w:iCs/>
                <w:noProof/>
                <w:sz w:val="20"/>
                <w:szCs w:val="20"/>
              </w:rPr>
            </w:pPr>
            <w:r>
              <w:rPr>
                <w:i/>
                <w:iCs/>
                <w:noProof/>
                <w:sz w:val="20"/>
                <w:szCs w:val="20"/>
              </w:rPr>
              <w:t>5%</w:t>
            </w:r>
          </w:p>
        </w:tc>
        <w:tc>
          <w:tcPr>
            <w:tcW w:w="443" w:type="pct"/>
            <w:tcBorders>
              <w:top w:val="nil"/>
              <w:left w:val="nil"/>
              <w:bottom w:val="single" w:sz="4" w:space="0" w:color="auto"/>
              <w:right w:val="single" w:sz="4" w:space="0" w:color="auto"/>
            </w:tcBorders>
            <w:vAlign w:val="center"/>
            <w:hideMark/>
          </w:tcPr>
          <w:p w14:paraId="669D7889" w14:textId="3B01A89E" w:rsidR="003B015A" w:rsidRDefault="003B015A">
            <w:pPr>
              <w:jc w:val="right"/>
              <w:rPr>
                <w:i/>
                <w:iCs/>
                <w:noProof/>
                <w:sz w:val="20"/>
                <w:szCs w:val="20"/>
              </w:rPr>
            </w:pPr>
            <w:r>
              <w:rPr>
                <w:i/>
                <w:iCs/>
                <w:noProof/>
                <w:sz w:val="20"/>
                <w:szCs w:val="20"/>
              </w:rPr>
              <w:t>12.4%</w:t>
            </w:r>
          </w:p>
        </w:tc>
        <w:tc>
          <w:tcPr>
            <w:tcW w:w="443" w:type="pct"/>
            <w:tcBorders>
              <w:top w:val="nil"/>
              <w:left w:val="nil"/>
              <w:bottom w:val="single" w:sz="4" w:space="0" w:color="auto"/>
              <w:right w:val="single" w:sz="4" w:space="0" w:color="auto"/>
            </w:tcBorders>
            <w:vAlign w:val="center"/>
            <w:hideMark/>
          </w:tcPr>
          <w:p w14:paraId="422615C8" w14:textId="77777777" w:rsidR="003B015A" w:rsidRDefault="003B015A">
            <w:pPr>
              <w:jc w:val="right"/>
              <w:rPr>
                <w:i/>
                <w:iCs/>
                <w:noProof/>
                <w:sz w:val="20"/>
                <w:szCs w:val="20"/>
              </w:rPr>
            </w:pPr>
            <w:r>
              <w:rPr>
                <w:i/>
                <w:iCs/>
                <w:noProof/>
                <w:sz w:val="20"/>
                <w:szCs w:val="20"/>
              </w:rPr>
              <w:t>13.4%</w:t>
            </w:r>
          </w:p>
        </w:tc>
        <w:tc>
          <w:tcPr>
            <w:tcW w:w="443" w:type="pct"/>
            <w:tcBorders>
              <w:top w:val="nil"/>
              <w:left w:val="nil"/>
              <w:bottom w:val="single" w:sz="4" w:space="0" w:color="auto"/>
              <w:right w:val="single" w:sz="4" w:space="0" w:color="auto"/>
            </w:tcBorders>
            <w:vAlign w:val="center"/>
            <w:hideMark/>
          </w:tcPr>
          <w:p w14:paraId="4A1E76B8" w14:textId="77777777" w:rsidR="003B015A" w:rsidRDefault="003B015A">
            <w:pPr>
              <w:jc w:val="right"/>
              <w:rPr>
                <w:i/>
                <w:iCs/>
                <w:noProof/>
                <w:sz w:val="20"/>
                <w:szCs w:val="20"/>
              </w:rPr>
            </w:pPr>
            <w:r>
              <w:rPr>
                <w:i/>
                <w:iCs/>
                <w:noProof/>
                <w:sz w:val="20"/>
                <w:szCs w:val="20"/>
              </w:rPr>
              <w:t>13.4%</w:t>
            </w:r>
          </w:p>
        </w:tc>
        <w:tc>
          <w:tcPr>
            <w:tcW w:w="443" w:type="pct"/>
            <w:tcBorders>
              <w:top w:val="nil"/>
              <w:left w:val="nil"/>
              <w:bottom w:val="single" w:sz="4" w:space="0" w:color="auto"/>
              <w:right w:val="single" w:sz="4" w:space="0" w:color="auto"/>
            </w:tcBorders>
            <w:vAlign w:val="center"/>
            <w:hideMark/>
          </w:tcPr>
          <w:p w14:paraId="0DBD3B40" w14:textId="77777777" w:rsidR="003B015A" w:rsidRDefault="003B015A">
            <w:pPr>
              <w:jc w:val="right"/>
              <w:rPr>
                <w:i/>
                <w:iCs/>
                <w:noProof/>
                <w:sz w:val="20"/>
                <w:szCs w:val="20"/>
              </w:rPr>
            </w:pPr>
            <w:r>
              <w:rPr>
                <w:i/>
                <w:iCs/>
                <w:noProof/>
                <w:sz w:val="20"/>
                <w:szCs w:val="20"/>
              </w:rPr>
              <w:t>13.4%</w:t>
            </w:r>
          </w:p>
        </w:tc>
        <w:tc>
          <w:tcPr>
            <w:tcW w:w="497" w:type="pct"/>
            <w:tcBorders>
              <w:top w:val="nil"/>
              <w:left w:val="nil"/>
              <w:bottom w:val="single" w:sz="4" w:space="0" w:color="auto"/>
              <w:right w:val="single" w:sz="4" w:space="0" w:color="auto"/>
            </w:tcBorders>
            <w:shd w:val="clear" w:color="000000" w:fill="FFFFFF"/>
            <w:vAlign w:val="center"/>
            <w:hideMark/>
          </w:tcPr>
          <w:p w14:paraId="2F96C7E3" w14:textId="77777777" w:rsidR="003B015A" w:rsidRDefault="003B015A">
            <w:pPr>
              <w:jc w:val="right"/>
              <w:rPr>
                <w:i/>
                <w:iCs/>
                <w:noProof/>
                <w:sz w:val="20"/>
                <w:szCs w:val="20"/>
              </w:rPr>
            </w:pPr>
            <w:r>
              <w:rPr>
                <w:i/>
                <w:iCs/>
                <w:noProof/>
                <w:sz w:val="20"/>
                <w:szCs w:val="20"/>
              </w:rPr>
              <w:t> </w:t>
            </w:r>
          </w:p>
        </w:tc>
        <w:tc>
          <w:tcPr>
            <w:tcW w:w="497" w:type="pct"/>
            <w:tcBorders>
              <w:top w:val="nil"/>
              <w:left w:val="nil"/>
              <w:bottom w:val="single" w:sz="4" w:space="0" w:color="auto"/>
              <w:right w:val="single" w:sz="4" w:space="0" w:color="auto"/>
            </w:tcBorders>
            <w:shd w:val="clear" w:color="000000" w:fill="FFFFFF"/>
            <w:vAlign w:val="center"/>
            <w:hideMark/>
          </w:tcPr>
          <w:p w14:paraId="467F2DCD" w14:textId="77777777" w:rsidR="003B015A" w:rsidRDefault="003B015A">
            <w:pPr>
              <w:jc w:val="right"/>
              <w:rPr>
                <w:i/>
                <w:iCs/>
                <w:noProof/>
                <w:sz w:val="20"/>
                <w:szCs w:val="20"/>
              </w:rPr>
            </w:pPr>
            <w:r>
              <w:rPr>
                <w:i/>
                <w:iCs/>
                <w:noProof/>
                <w:sz w:val="20"/>
                <w:szCs w:val="20"/>
              </w:rPr>
              <w:t> </w:t>
            </w:r>
          </w:p>
        </w:tc>
        <w:tc>
          <w:tcPr>
            <w:tcW w:w="497" w:type="pct"/>
            <w:tcBorders>
              <w:top w:val="nil"/>
              <w:left w:val="nil"/>
              <w:bottom w:val="single" w:sz="4" w:space="0" w:color="auto"/>
              <w:right w:val="single" w:sz="4" w:space="0" w:color="auto"/>
            </w:tcBorders>
            <w:shd w:val="clear" w:color="000000" w:fill="FFFFFF"/>
            <w:vAlign w:val="center"/>
            <w:hideMark/>
          </w:tcPr>
          <w:p w14:paraId="180CDF40" w14:textId="77777777" w:rsidR="003B015A" w:rsidRDefault="003B015A">
            <w:pPr>
              <w:jc w:val="right"/>
              <w:rPr>
                <w:i/>
                <w:iCs/>
                <w:noProof/>
                <w:sz w:val="20"/>
                <w:szCs w:val="20"/>
              </w:rPr>
            </w:pPr>
            <w:r>
              <w:rPr>
                <w:i/>
                <w:iCs/>
                <w:noProof/>
                <w:sz w:val="20"/>
                <w:szCs w:val="20"/>
              </w:rPr>
              <w:t> </w:t>
            </w:r>
          </w:p>
        </w:tc>
      </w:tr>
      <w:tr w:rsidR="000F5BF4" w14:paraId="77500B6E" w14:textId="77777777" w:rsidTr="00D67ED0">
        <w:trPr>
          <w:trHeight w:val="510"/>
        </w:trPr>
        <w:tc>
          <w:tcPr>
            <w:tcW w:w="648" w:type="pct"/>
            <w:vMerge/>
            <w:tcBorders>
              <w:top w:val="nil"/>
              <w:left w:val="single" w:sz="4" w:space="0" w:color="auto"/>
              <w:bottom w:val="single" w:sz="4" w:space="0" w:color="auto"/>
              <w:right w:val="single" w:sz="4" w:space="0" w:color="auto"/>
            </w:tcBorders>
            <w:vAlign w:val="center"/>
            <w:hideMark/>
          </w:tcPr>
          <w:p w14:paraId="081AC64B" w14:textId="77777777" w:rsidR="003B015A" w:rsidRDefault="003B015A">
            <w:pPr>
              <w:rPr>
                <w:noProof/>
                <w:color w:val="000000"/>
                <w:sz w:val="20"/>
                <w:szCs w:val="20"/>
              </w:rPr>
            </w:pPr>
          </w:p>
        </w:tc>
        <w:tc>
          <w:tcPr>
            <w:tcW w:w="648" w:type="pct"/>
            <w:tcBorders>
              <w:top w:val="nil"/>
              <w:left w:val="nil"/>
              <w:bottom w:val="single" w:sz="4" w:space="0" w:color="auto"/>
              <w:right w:val="single" w:sz="4" w:space="0" w:color="auto"/>
            </w:tcBorders>
            <w:vAlign w:val="center"/>
            <w:hideMark/>
          </w:tcPr>
          <w:p w14:paraId="0635E385" w14:textId="77777777" w:rsidR="003B015A" w:rsidRDefault="003B015A">
            <w:pPr>
              <w:rPr>
                <w:noProof/>
                <w:color w:val="000000"/>
                <w:sz w:val="20"/>
                <w:szCs w:val="20"/>
              </w:rPr>
            </w:pPr>
            <w:r>
              <w:rPr>
                <w:noProof/>
                <w:color w:val="000000"/>
                <w:sz w:val="20"/>
                <w:szCs w:val="20"/>
              </w:rPr>
              <w:t xml:space="preserve">Tickets sold via MDMS </w:t>
            </w:r>
          </w:p>
        </w:tc>
        <w:tc>
          <w:tcPr>
            <w:tcW w:w="443" w:type="pct"/>
            <w:tcBorders>
              <w:top w:val="nil"/>
              <w:left w:val="nil"/>
              <w:bottom w:val="single" w:sz="4" w:space="0" w:color="auto"/>
              <w:right w:val="single" w:sz="4" w:space="0" w:color="auto"/>
            </w:tcBorders>
            <w:vAlign w:val="center"/>
            <w:hideMark/>
          </w:tcPr>
          <w:p w14:paraId="5C66289A" w14:textId="7C28B885" w:rsidR="003B015A" w:rsidRDefault="003B015A">
            <w:pPr>
              <w:jc w:val="right"/>
              <w:rPr>
                <w:noProof/>
                <w:color w:val="000000"/>
                <w:sz w:val="20"/>
                <w:szCs w:val="20"/>
              </w:rPr>
            </w:pPr>
            <w:r>
              <w:rPr>
                <w:noProof/>
                <w:color w:val="000000"/>
                <w:sz w:val="20"/>
                <w:szCs w:val="20"/>
              </w:rPr>
              <w:t>181</w:t>
            </w:r>
          </w:p>
        </w:tc>
        <w:tc>
          <w:tcPr>
            <w:tcW w:w="443" w:type="pct"/>
            <w:tcBorders>
              <w:top w:val="nil"/>
              <w:left w:val="nil"/>
              <w:bottom w:val="single" w:sz="4" w:space="0" w:color="auto"/>
              <w:right w:val="single" w:sz="4" w:space="0" w:color="auto"/>
            </w:tcBorders>
            <w:vAlign w:val="center"/>
            <w:hideMark/>
          </w:tcPr>
          <w:p w14:paraId="56307A21" w14:textId="7B2C99F8" w:rsidR="003B015A" w:rsidRDefault="003B015A">
            <w:pPr>
              <w:jc w:val="right"/>
              <w:rPr>
                <w:noProof/>
                <w:color w:val="000000"/>
                <w:sz w:val="20"/>
                <w:szCs w:val="20"/>
              </w:rPr>
            </w:pPr>
            <w:r>
              <w:rPr>
                <w:noProof/>
                <w:color w:val="000000"/>
                <w:sz w:val="20"/>
                <w:szCs w:val="20"/>
              </w:rPr>
              <w:t>169</w:t>
            </w:r>
          </w:p>
        </w:tc>
        <w:tc>
          <w:tcPr>
            <w:tcW w:w="443" w:type="pct"/>
            <w:tcBorders>
              <w:top w:val="nil"/>
              <w:left w:val="nil"/>
              <w:bottom w:val="single" w:sz="4" w:space="0" w:color="auto"/>
              <w:right w:val="single" w:sz="4" w:space="0" w:color="auto"/>
            </w:tcBorders>
            <w:vAlign w:val="center"/>
            <w:hideMark/>
          </w:tcPr>
          <w:p w14:paraId="1CCA2A31" w14:textId="77777777" w:rsidR="003B015A" w:rsidRDefault="003B015A">
            <w:pPr>
              <w:jc w:val="right"/>
              <w:rPr>
                <w:noProof/>
                <w:color w:val="000000"/>
                <w:sz w:val="20"/>
                <w:szCs w:val="20"/>
              </w:rPr>
            </w:pPr>
            <w:r>
              <w:rPr>
                <w:noProof/>
                <w:color w:val="000000"/>
                <w:sz w:val="20"/>
                <w:szCs w:val="20"/>
              </w:rPr>
              <w:t>164</w:t>
            </w:r>
          </w:p>
        </w:tc>
        <w:tc>
          <w:tcPr>
            <w:tcW w:w="443" w:type="pct"/>
            <w:tcBorders>
              <w:top w:val="nil"/>
              <w:left w:val="nil"/>
              <w:bottom w:val="single" w:sz="4" w:space="0" w:color="auto"/>
              <w:right w:val="single" w:sz="4" w:space="0" w:color="auto"/>
            </w:tcBorders>
            <w:vAlign w:val="center"/>
            <w:hideMark/>
          </w:tcPr>
          <w:p w14:paraId="12C16A5A" w14:textId="77777777" w:rsidR="003B015A" w:rsidRDefault="003B015A">
            <w:pPr>
              <w:jc w:val="right"/>
              <w:rPr>
                <w:noProof/>
                <w:color w:val="000000"/>
                <w:sz w:val="20"/>
                <w:szCs w:val="20"/>
              </w:rPr>
            </w:pPr>
            <w:r>
              <w:rPr>
                <w:noProof/>
                <w:color w:val="000000"/>
                <w:sz w:val="20"/>
                <w:szCs w:val="20"/>
              </w:rPr>
              <w:t>185</w:t>
            </w:r>
          </w:p>
        </w:tc>
        <w:tc>
          <w:tcPr>
            <w:tcW w:w="443" w:type="pct"/>
            <w:tcBorders>
              <w:top w:val="nil"/>
              <w:left w:val="nil"/>
              <w:bottom w:val="single" w:sz="4" w:space="0" w:color="auto"/>
              <w:right w:val="single" w:sz="4" w:space="0" w:color="auto"/>
            </w:tcBorders>
            <w:vAlign w:val="center"/>
            <w:hideMark/>
          </w:tcPr>
          <w:p w14:paraId="2119BC4A" w14:textId="77777777" w:rsidR="003B015A" w:rsidRDefault="003B015A">
            <w:pPr>
              <w:jc w:val="right"/>
              <w:rPr>
                <w:noProof/>
                <w:color w:val="000000"/>
                <w:sz w:val="20"/>
                <w:szCs w:val="20"/>
              </w:rPr>
            </w:pPr>
            <w:r>
              <w:rPr>
                <w:noProof/>
                <w:color w:val="000000"/>
                <w:sz w:val="20"/>
                <w:szCs w:val="20"/>
              </w:rPr>
              <w:t>194</w:t>
            </w:r>
          </w:p>
        </w:tc>
        <w:tc>
          <w:tcPr>
            <w:tcW w:w="497" w:type="pct"/>
            <w:tcBorders>
              <w:top w:val="nil"/>
              <w:left w:val="nil"/>
              <w:bottom w:val="single" w:sz="4" w:space="0" w:color="auto"/>
              <w:right w:val="single" w:sz="4" w:space="0" w:color="auto"/>
            </w:tcBorders>
            <w:shd w:val="clear" w:color="000000" w:fill="FFFFFF"/>
            <w:vAlign w:val="center"/>
            <w:hideMark/>
          </w:tcPr>
          <w:p w14:paraId="73592232" w14:textId="2200ABA0" w:rsidR="003B015A" w:rsidRDefault="003B015A">
            <w:pPr>
              <w:jc w:val="right"/>
              <w:rPr>
                <w:noProof/>
                <w:color w:val="000000"/>
                <w:sz w:val="20"/>
                <w:szCs w:val="20"/>
              </w:rPr>
            </w:pPr>
            <w:r>
              <w:rPr>
                <w:noProof/>
                <w:color w:val="000000"/>
                <w:sz w:val="20"/>
                <w:szCs w:val="20"/>
              </w:rPr>
              <w:t>-10%</w:t>
            </w:r>
          </w:p>
        </w:tc>
        <w:tc>
          <w:tcPr>
            <w:tcW w:w="497" w:type="pct"/>
            <w:tcBorders>
              <w:top w:val="nil"/>
              <w:left w:val="nil"/>
              <w:bottom w:val="single" w:sz="4" w:space="0" w:color="auto"/>
              <w:right w:val="single" w:sz="4" w:space="0" w:color="auto"/>
            </w:tcBorders>
            <w:shd w:val="clear" w:color="000000" w:fill="FFFFFF"/>
            <w:vAlign w:val="center"/>
            <w:hideMark/>
          </w:tcPr>
          <w:p w14:paraId="3D81C4A9" w14:textId="4AEF783A" w:rsidR="003B015A" w:rsidRDefault="003B015A">
            <w:pPr>
              <w:jc w:val="right"/>
              <w:rPr>
                <w:noProof/>
                <w:color w:val="000000"/>
                <w:sz w:val="20"/>
                <w:szCs w:val="20"/>
              </w:rPr>
            </w:pPr>
            <w:r>
              <w:rPr>
                <w:noProof/>
                <w:color w:val="000000"/>
                <w:sz w:val="20"/>
                <w:szCs w:val="20"/>
              </w:rPr>
              <w:t>2%</w:t>
            </w:r>
          </w:p>
        </w:tc>
        <w:tc>
          <w:tcPr>
            <w:tcW w:w="497" w:type="pct"/>
            <w:tcBorders>
              <w:top w:val="nil"/>
              <w:left w:val="nil"/>
              <w:bottom w:val="single" w:sz="4" w:space="0" w:color="auto"/>
              <w:right w:val="single" w:sz="4" w:space="0" w:color="auto"/>
            </w:tcBorders>
            <w:shd w:val="clear" w:color="000000" w:fill="FFFFFF"/>
            <w:vAlign w:val="center"/>
            <w:hideMark/>
          </w:tcPr>
          <w:p w14:paraId="366261D5" w14:textId="06408AF1" w:rsidR="003B015A" w:rsidRDefault="003B015A">
            <w:pPr>
              <w:jc w:val="right"/>
              <w:rPr>
                <w:noProof/>
                <w:color w:val="000000"/>
                <w:sz w:val="20"/>
                <w:szCs w:val="20"/>
              </w:rPr>
            </w:pPr>
            <w:r>
              <w:rPr>
                <w:noProof/>
                <w:color w:val="000000"/>
                <w:sz w:val="20"/>
                <w:szCs w:val="20"/>
              </w:rPr>
              <w:t>8%</w:t>
            </w:r>
          </w:p>
        </w:tc>
      </w:tr>
      <w:tr w:rsidR="000F5BF4" w14:paraId="5C1EF1C1" w14:textId="77777777" w:rsidTr="00D67ED0">
        <w:trPr>
          <w:trHeight w:val="765"/>
        </w:trPr>
        <w:tc>
          <w:tcPr>
            <w:tcW w:w="648" w:type="pct"/>
            <w:vMerge/>
            <w:tcBorders>
              <w:top w:val="nil"/>
              <w:left w:val="single" w:sz="4" w:space="0" w:color="auto"/>
              <w:bottom w:val="single" w:sz="4" w:space="0" w:color="auto"/>
              <w:right w:val="single" w:sz="4" w:space="0" w:color="auto"/>
            </w:tcBorders>
            <w:vAlign w:val="center"/>
            <w:hideMark/>
          </w:tcPr>
          <w:p w14:paraId="54D3801C" w14:textId="77777777" w:rsidR="003B015A" w:rsidRDefault="003B015A">
            <w:pPr>
              <w:rPr>
                <w:noProof/>
                <w:color w:val="000000"/>
                <w:sz w:val="20"/>
                <w:szCs w:val="20"/>
              </w:rPr>
            </w:pPr>
          </w:p>
        </w:tc>
        <w:tc>
          <w:tcPr>
            <w:tcW w:w="648" w:type="pct"/>
            <w:tcBorders>
              <w:top w:val="nil"/>
              <w:left w:val="nil"/>
              <w:bottom w:val="single" w:sz="4" w:space="0" w:color="auto"/>
              <w:right w:val="single" w:sz="4" w:space="0" w:color="auto"/>
            </w:tcBorders>
            <w:vAlign w:val="center"/>
            <w:hideMark/>
          </w:tcPr>
          <w:p w14:paraId="50E68378" w14:textId="77777777" w:rsidR="003B015A" w:rsidRDefault="003B015A">
            <w:pPr>
              <w:rPr>
                <w:noProof/>
                <w:color w:val="000000"/>
                <w:sz w:val="20"/>
                <w:szCs w:val="20"/>
              </w:rPr>
            </w:pPr>
            <w:r>
              <w:rPr>
                <w:noProof/>
                <w:color w:val="000000"/>
                <w:sz w:val="20"/>
                <w:szCs w:val="20"/>
              </w:rPr>
              <w:t>Share of total air tickets sold</w:t>
            </w:r>
          </w:p>
        </w:tc>
        <w:tc>
          <w:tcPr>
            <w:tcW w:w="443" w:type="pct"/>
            <w:tcBorders>
              <w:top w:val="nil"/>
              <w:left w:val="nil"/>
              <w:bottom w:val="single" w:sz="4" w:space="0" w:color="auto"/>
              <w:right w:val="single" w:sz="4" w:space="0" w:color="auto"/>
            </w:tcBorders>
            <w:vAlign w:val="center"/>
            <w:hideMark/>
          </w:tcPr>
          <w:p w14:paraId="364E6F81" w14:textId="470B47D2" w:rsidR="003B015A" w:rsidRDefault="003B015A">
            <w:pPr>
              <w:jc w:val="right"/>
              <w:rPr>
                <w:noProof/>
                <w:color w:val="000000"/>
                <w:sz w:val="20"/>
                <w:szCs w:val="20"/>
              </w:rPr>
            </w:pPr>
            <w:r>
              <w:rPr>
                <w:noProof/>
                <w:color w:val="000000"/>
                <w:sz w:val="20"/>
                <w:szCs w:val="20"/>
              </w:rPr>
              <w:t>35.1%</w:t>
            </w:r>
          </w:p>
        </w:tc>
        <w:tc>
          <w:tcPr>
            <w:tcW w:w="443" w:type="pct"/>
            <w:tcBorders>
              <w:top w:val="nil"/>
              <w:left w:val="nil"/>
              <w:bottom w:val="single" w:sz="4" w:space="0" w:color="auto"/>
              <w:right w:val="single" w:sz="4" w:space="0" w:color="auto"/>
            </w:tcBorders>
            <w:vAlign w:val="center"/>
            <w:hideMark/>
          </w:tcPr>
          <w:p w14:paraId="7A188AB1" w14:textId="4BA1CC17" w:rsidR="003B015A" w:rsidRDefault="003B015A">
            <w:pPr>
              <w:jc w:val="right"/>
              <w:rPr>
                <w:noProof/>
                <w:color w:val="000000"/>
                <w:sz w:val="20"/>
                <w:szCs w:val="20"/>
              </w:rPr>
            </w:pPr>
            <w:r>
              <w:rPr>
                <w:noProof/>
                <w:color w:val="000000"/>
                <w:sz w:val="20"/>
                <w:szCs w:val="20"/>
              </w:rPr>
              <w:t>31.4%</w:t>
            </w:r>
          </w:p>
        </w:tc>
        <w:tc>
          <w:tcPr>
            <w:tcW w:w="443" w:type="pct"/>
            <w:tcBorders>
              <w:top w:val="nil"/>
              <w:left w:val="nil"/>
              <w:bottom w:val="single" w:sz="4" w:space="0" w:color="auto"/>
              <w:right w:val="single" w:sz="4" w:space="0" w:color="auto"/>
            </w:tcBorders>
            <w:vAlign w:val="center"/>
            <w:hideMark/>
          </w:tcPr>
          <w:p w14:paraId="1A8D988C" w14:textId="77777777" w:rsidR="003B015A" w:rsidRDefault="003B015A">
            <w:pPr>
              <w:jc w:val="right"/>
              <w:rPr>
                <w:noProof/>
                <w:color w:val="000000"/>
                <w:sz w:val="20"/>
                <w:szCs w:val="20"/>
              </w:rPr>
            </w:pPr>
            <w:r>
              <w:rPr>
                <w:noProof/>
                <w:color w:val="000000"/>
                <w:sz w:val="20"/>
                <w:szCs w:val="20"/>
              </w:rPr>
              <w:t>30.2%</w:t>
            </w:r>
          </w:p>
        </w:tc>
        <w:tc>
          <w:tcPr>
            <w:tcW w:w="443" w:type="pct"/>
            <w:tcBorders>
              <w:top w:val="nil"/>
              <w:left w:val="nil"/>
              <w:bottom w:val="single" w:sz="4" w:space="0" w:color="auto"/>
              <w:right w:val="single" w:sz="4" w:space="0" w:color="auto"/>
            </w:tcBorders>
            <w:vAlign w:val="center"/>
            <w:hideMark/>
          </w:tcPr>
          <w:p w14:paraId="4521EA3B" w14:textId="77777777" w:rsidR="003B015A" w:rsidRDefault="003B015A">
            <w:pPr>
              <w:jc w:val="right"/>
              <w:rPr>
                <w:noProof/>
                <w:color w:val="000000"/>
                <w:sz w:val="20"/>
                <w:szCs w:val="20"/>
              </w:rPr>
            </w:pPr>
            <w:r>
              <w:rPr>
                <w:noProof/>
                <w:color w:val="000000"/>
                <w:sz w:val="20"/>
                <w:szCs w:val="20"/>
              </w:rPr>
              <w:t>30.2%</w:t>
            </w:r>
          </w:p>
        </w:tc>
        <w:tc>
          <w:tcPr>
            <w:tcW w:w="443" w:type="pct"/>
            <w:tcBorders>
              <w:top w:val="nil"/>
              <w:left w:val="nil"/>
              <w:bottom w:val="single" w:sz="4" w:space="0" w:color="auto"/>
              <w:right w:val="single" w:sz="4" w:space="0" w:color="auto"/>
            </w:tcBorders>
            <w:vAlign w:val="center"/>
            <w:hideMark/>
          </w:tcPr>
          <w:p w14:paraId="4123BC30" w14:textId="77777777" w:rsidR="003B015A" w:rsidRDefault="003B015A">
            <w:pPr>
              <w:jc w:val="right"/>
              <w:rPr>
                <w:noProof/>
                <w:color w:val="000000"/>
                <w:sz w:val="20"/>
                <w:szCs w:val="20"/>
              </w:rPr>
            </w:pPr>
            <w:r>
              <w:rPr>
                <w:noProof/>
                <w:color w:val="000000"/>
                <w:sz w:val="20"/>
                <w:szCs w:val="20"/>
              </w:rPr>
              <w:t>30.2%</w:t>
            </w:r>
          </w:p>
        </w:tc>
        <w:tc>
          <w:tcPr>
            <w:tcW w:w="497" w:type="pct"/>
            <w:tcBorders>
              <w:top w:val="nil"/>
              <w:left w:val="nil"/>
              <w:bottom w:val="single" w:sz="4" w:space="0" w:color="auto"/>
              <w:right w:val="single" w:sz="4" w:space="0" w:color="auto"/>
            </w:tcBorders>
            <w:shd w:val="clear" w:color="000000" w:fill="FFFFFF"/>
            <w:vAlign w:val="center"/>
            <w:hideMark/>
          </w:tcPr>
          <w:p w14:paraId="12F766B7" w14:textId="77777777" w:rsidR="003B015A" w:rsidRDefault="003B015A">
            <w:pPr>
              <w:jc w:val="right"/>
              <w:rPr>
                <w:noProof/>
                <w:color w:val="000000"/>
                <w:sz w:val="20"/>
                <w:szCs w:val="20"/>
              </w:rPr>
            </w:pPr>
            <w:r>
              <w:rPr>
                <w:noProof/>
                <w:color w:val="000000"/>
                <w:sz w:val="20"/>
                <w:szCs w:val="20"/>
              </w:rPr>
              <w:t> </w:t>
            </w:r>
          </w:p>
        </w:tc>
        <w:tc>
          <w:tcPr>
            <w:tcW w:w="497" w:type="pct"/>
            <w:tcBorders>
              <w:top w:val="nil"/>
              <w:left w:val="nil"/>
              <w:bottom w:val="single" w:sz="4" w:space="0" w:color="auto"/>
              <w:right w:val="single" w:sz="4" w:space="0" w:color="auto"/>
            </w:tcBorders>
            <w:shd w:val="clear" w:color="000000" w:fill="FFFFFF"/>
            <w:vAlign w:val="center"/>
            <w:hideMark/>
          </w:tcPr>
          <w:p w14:paraId="382C35D3" w14:textId="77777777" w:rsidR="003B015A" w:rsidRDefault="003B015A">
            <w:pPr>
              <w:jc w:val="right"/>
              <w:rPr>
                <w:noProof/>
                <w:color w:val="000000"/>
                <w:sz w:val="20"/>
                <w:szCs w:val="20"/>
              </w:rPr>
            </w:pPr>
            <w:r>
              <w:rPr>
                <w:noProof/>
                <w:color w:val="000000"/>
                <w:sz w:val="20"/>
                <w:szCs w:val="20"/>
              </w:rPr>
              <w:t> </w:t>
            </w:r>
          </w:p>
        </w:tc>
        <w:tc>
          <w:tcPr>
            <w:tcW w:w="497" w:type="pct"/>
            <w:tcBorders>
              <w:top w:val="nil"/>
              <w:left w:val="nil"/>
              <w:bottom w:val="single" w:sz="4" w:space="0" w:color="auto"/>
              <w:right w:val="single" w:sz="4" w:space="0" w:color="auto"/>
            </w:tcBorders>
            <w:shd w:val="clear" w:color="000000" w:fill="FFFFFF"/>
            <w:vAlign w:val="center"/>
            <w:hideMark/>
          </w:tcPr>
          <w:p w14:paraId="1319B419" w14:textId="77777777" w:rsidR="003B015A" w:rsidRDefault="003B015A">
            <w:pPr>
              <w:jc w:val="right"/>
              <w:rPr>
                <w:noProof/>
                <w:color w:val="000000"/>
                <w:sz w:val="20"/>
                <w:szCs w:val="20"/>
              </w:rPr>
            </w:pPr>
            <w:r>
              <w:rPr>
                <w:noProof/>
                <w:color w:val="000000"/>
                <w:sz w:val="20"/>
                <w:szCs w:val="20"/>
              </w:rPr>
              <w:t> </w:t>
            </w:r>
          </w:p>
        </w:tc>
      </w:tr>
      <w:tr w:rsidR="000F5BF4" w14:paraId="7A38117E" w14:textId="77777777" w:rsidTr="00D67ED0">
        <w:trPr>
          <w:trHeight w:val="510"/>
        </w:trPr>
        <w:tc>
          <w:tcPr>
            <w:tcW w:w="648" w:type="pct"/>
            <w:vMerge w:val="restart"/>
            <w:tcBorders>
              <w:top w:val="nil"/>
              <w:left w:val="single" w:sz="4" w:space="0" w:color="auto"/>
              <w:bottom w:val="single" w:sz="4" w:space="0" w:color="auto"/>
              <w:right w:val="single" w:sz="4" w:space="0" w:color="auto"/>
            </w:tcBorders>
            <w:vAlign w:val="center"/>
            <w:hideMark/>
          </w:tcPr>
          <w:p w14:paraId="2A2D6EAD" w14:textId="77777777" w:rsidR="003B015A" w:rsidRDefault="003B015A">
            <w:pPr>
              <w:rPr>
                <w:noProof/>
                <w:color w:val="000000"/>
                <w:sz w:val="20"/>
                <w:szCs w:val="20"/>
              </w:rPr>
            </w:pPr>
            <w:r>
              <w:rPr>
                <w:noProof/>
                <w:color w:val="000000"/>
                <w:sz w:val="20"/>
                <w:szCs w:val="20"/>
              </w:rPr>
              <w:t>Air transport B2C</w:t>
            </w:r>
          </w:p>
        </w:tc>
        <w:tc>
          <w:tcPr>
            <w:tcW w:w="648" w:type="pct"/>
            <w:tcBorders>
              <w:top w:val="nil"/>
              <w:left w:val="nil"/>
              <w:bottom w:val="single" w:sz="4" w:space="0" w:color="auto"/>
              <w:right w:val="single" w:sz="4" w:space="0" w:color="auto"/>
            </w:tcBorders>
            <w:vAlign w:val="center"/>
            <w:hideMark/>
          </w:tcPr>
          <w:p w14:paraId="2BFBBC77" w14:textId="77777777" w:rsidR="003B015A" w:rsidRDefault="003B015A">
            <w:pPr>
              <w:rPr>
                <w:noProof/>
                <w:color w:val="000000"/>
                <w:sz w:val="20"/>
                <w:szCs w:val="20"/>
              </w:rPr>
            </w:pPr>
            <w:r>
              <w:rPr>
                <w:noProof/>
                <w:color w:val="000000"/>
                <w:sz w:val="20"/>
                <w:szCs w:val="20"/>
              </w:rPr>
              <w:t xml:space="preserve">Tickets sold via MDMS </w:t>
            </w:r>
          </w:p>
        </w:tc>
        <w:tc>
          <w:tcPr>
            <w:tcW w:w="443" w:type="pct"/>
            <w:tcBorders>
              <w:top w:val="nil"/>
              <w:left w:val="nil"/>
              <w:bottom w:val="single" w:sz="4" w:space="0" w:color="auto"/>
              <w:right w:val="single" w:sz="4" w:space="0" w:color="auto"/>
            </w:tcBorders>
            <w:vAlign w:val="center"/>
            <w:hideMark/>
          </w:tcPr>
          <w:p w14:paraId="7379DDFF" w14:textId="77777777" w:rsidR="003B015A" w:rsidRDefault="003B015A">
            <w:pPr>
              <w:jc w:val="right"/>
              <w:rPr>
                <w:noProof/>
                <w:color w:val="000000"/>
                <w:sz w:val="20"/>
                <w:szCs w:val="20"/>
              </w:rPr>
            </w:pPr>
            <w:r>
              <w:rPr>
                <w:noProof/>
                <w:color w:val="000000"/>
                <w:sz w:val="20"/>
                <w:szCs w:val="20"/>
              </w:rPr>
              <w:t>92.7</w:t>
            </w:r>
          </w:p>
        </w:tc>
        <w:tc>
          <w:tcPr>
            <w:tcW w:w="443" w:type="pct"/>
            <w:tcBorders>
              <w:top w:val="nil"/>
              <w:left w:val="nil"/>
              <w:bottom w:val="single" w:sz="4" w:space="0" w:color="auto"/>
              <w:right w:val="single" w:sz="4" w:space="0" w:color="auto"/>
            </w:tcBorders>
            <w:vAlign w:val="center"/>
            <w:hideMark/>
          </w:tcPr>
          <w:p w14:paraId="25466564" w14:textId="77777777" w:rsidR="003B015A" w:rsidRDefault="003B015A">
            <w:pPr>
              <w:jc w:val="right"/>
              <w:rPr>
                <w:noProof/>
                <w:color w:val="000000"/>
                <w:sz w:val="20"/>
                <w:szCs w:val="20"/>
              </w:rPr>
            </w:pPr>
            <w:r>
              <w:rPr>
                <w:noProof/>
                <w:color w:val="000000"/>
                <w:sz w:val="20"/>
                <w:szCs w:val="20"/>
              </w:rPr>
              <w:t>101.5</w:t>
            </w:r>
          </w:p>
        </w:tc>
        <w:tc>
          <w:tcPr>
            <w:tcW w:w="443" w:type="pct"/>
            <w:tcBorders>
              <w:top w:val="nil"/>
              <w:left w:val="nil"/>
              <w:bottom w:val="single" w:sz="4" w:space="0" w:color="auto"/>
              <w:right w:val="single" w:sz="4" w:space="0" w:color="auto"/>
            </w:tcBorders>
            <w:vAlign w:val="center"/>
            <w:hideMark/>
          </w:tcPr>
          <w:p w14:paraId="18AC7A95" w14:textId="77777777" w:rsidR="003B015A" w:rsidRDefault="003B015A">
            <w:pPr>
              <w:jc w:val="right"/>
              <w:rPr>
                <w:noProof/>
                <w:color w:val="000000"/>
                <w:sz w:val="20"/>
                <w:szCs w:val="20"/>
              </w:rPr>
            </w:pPr>
            <w:r>
              <w:rPr>
                <w:noProof/>
                <w:color w:val="000000"/>
                <w:sz w:val="20"/>
                <w:szCs w:val="20"/>
              </w:rPr>
              <w:t>102.7</w:t>
            </w:r>
          </w:p>
        </w:tc>
        <w:tc>
          <w:tcPr>
            <w:tcW w:w="443" w:type="pct"/>
            <w:tcBorders>
              <w:top w:val="nil"/>
              <w:left w:val="nil"/>
              <w:bottom w:val="single" w:sz="4" w:space="0" w:color="auto"/>
              <w:right w:val="single" w:sz="4" w:space="0" w:color="auto"/>
            </w:tcBorders>
            <w:vAlign w:val="center"/>
            <w:hideMark/>
          </w:tcPr>
          <w:p w14:paraId="2BE76405" w14:textId="77777777" w:rsidR="003B015A" w:rsidRDefault="003B015A">
            <w:pPr>
              <w:jc w:val="right"/>
              <w:rPr>
                <w:noProof/>
                <w:color w:val="000000"/>
                <w:sz w:val="20"/>
                <w:szCs w:val="20"/>
              </w:rPr>
            </w:pPr>
            <w:r>
              <w:rPr>
                <w:noProof/>
                <w:color w:val="000000"/>
                <w:sz w:val="20"/>
                <w:szCs w:val="20"/>
              </w:rPr>
              <w:t>115.7</w:t>
            </w:r>
          </w:p>
        </w:tc>
        <w:tc>
          <w:tcPr>
            <w:tcW w:w="443" w:type="pct"/>
            <w:tcBorders>
              <w:top w:val="nil"/>
              <w:left w:val="nil"/>
              <w:bottom w:val="single" w:sz="4" w:space="0" w:color="auto"/>
              <w:right w:val="single" w:sz="4" w:space="0" w:color="auto"/>
            </w:tcBorders>
            <w:vAlign w:val="center"/>
            <w:hideMark/>
          </w:tcPr>
          <w:p w14:paraId="66F4EF01" w14:textId="77777777" w:rsidR="003B015A" w:rsidRDefault="003B015A">
            <w:pPr>
              <w:jc w:val="right"/>
              <w:rPr>
                <w:noProof/>
                <w:color w:val="000000"/>
                <w:sz w:val="20"/>
                <w:szCs w:val="20"/>
              </w:rPr>
            </w:pPr>
            <w:r>
              <w:rPr>
                <w:noProof/>
                <w:color w:val="000000"/>
                <w:sz w:val="20"/>
                <w:szCs w:val="20"/>
              </w:rPr>
              <w:t>122.0</w:t>
            </w:r>
          </w:p>
        </w:tc>
        <w:tc>
          <w:tcPr>
            <w:tcW w:w="497" w:type="pct"/>
            <w:tcBorders>
              <w:top w:val="nil"/>
              <w:left w:val="nil"/>
              <w:bottom w:val="single" w:sz="4" w:space="0" w:color="auto"/>
              <w:right w:val="single" w:sz="4" w:space="0" w:color="auto"/>
            </w:tcBorders>
            <w:shd w:val="clear" w:color="000000" w:fill="FFFFFF"/>
            <w:vAlign w:val="center"/>
            <w:hideMark/>
          </w:tcPr>
          <w:p w14:paraId="5D81D560" w14:textId="77777777" w:rsidR="003B015A" w:rsidRDefault="003B015A">
            <w:pPr>
              <w:jc w:val="right"/>
              <w:rPr>
                <w:noProof/>
                <w:color w:val="000000"/>
                <w:sz w:val="20"/>
                <w:szCs w:val="20"/>
              </w:rPr>
            </w:pPr>
            <w:r>
              <w:rPr>
                <w:noProof/>
                <w:color w:val="000000"/>
                <w:sz w:val="20"/>
                <w:szCs w:val="20"/>
              </w:rPr>
              <w:t>11%</w:t>
            </w:r>
          </w:p>
        </w:tc>
        <w:tc>
          <w:tcPr>
            <w:tcW w:w="497" w:type="pct"/>
            <w:tcBorders>
              <w:top w:val="nil"/>
              <w:left w:val="nil"/>
              <w:bottom w:val="single" w:sz="4" w:space="0" w:color="auto"/>
              <w:right w:val="single" w:sz="4" w:space="0" w:color="auto"/>
            </w:tcBorders>
            <w:shd w:val="clear" w:color="000000" w:fill="FFFFFF"/>
            <w:vAlign w:val="center"/>
            <w:hideMark/>
          </w:tcPr>
          <w:p w14:paraId="58E39FD0" w14:textId="77777777" w:rsidR="003B015A" w:rsidRDefault="003B015A">
            <w:pPr>
              <w:jc w:val="right"/>
              <w:rPr>
                <w:noProof/>
                <w:color w:val="000000"/>
                <w:sz w:val="20"/>
                <w:szCs w:val="20"/>
              </w:rPr>
            </w:pPr>
            <w:r>
              <w:rPr>
                <w:noProof/>
                <w:color w:val="000000"/>
                <w:sz w:val="20"/>
                <w:szCs w:val="20"/>
              </w:rPr>
              <w:t>25%</w:t>
            </w:r>
          </w:p>
        </w:tc>
        <w:tc>
          <w:tcPr>
            <w:tcW w:w="497" w:type="pct"/>
            <w:tcBorders>
              <w:top w:val="nil"/>
              <w:left w:val="nil"/>
              <w:bottom w:val="single" w:sz="4" w:space="0" w:color="auto"/>
              <w:right w:val="single" w:sz="4" w:space="0" w:color="auto"/>
            </w:tcBorders>
            <w:shd w:val="clear" w:color="000000" w:fill="FFFFFF"/>
            <w:vAlign w:val="center"/>
            <w:hideMark/>
          </w:tcPr>
          <w:p w14:paraId="2F76C388" w14:textId="77777777" w:rsidR="003B015A" w:rsidRDefault="003B015A">
            <w:pPr>
              <w:jc w:val="right"/>
              <w:rPr>
                <w:noProof/>
                <w:color w:val="000000"/>
                <w:sz w:val="20"/>
                <w:szCs w:val="20"/>
              </w:rPr>
            </w:pPr>
            <w:r>
              <w:rPr>
                <w:noProof/>
                <w:color w:val="000000"/>
                <w:sz w:val="20"/>
                <w:szCs w:val="20"/>
              </w:rPr>
              <w:t>32%</w:t>
            </w:r>
          </w:p>
        </w:tc>
      </w:tr>
      <w:tr w:rsidR="000F5BF4" w14:paraId="6938F02C" w14:textId="77777777" w:rsidTr="00D67ED0">
        <w:trPr>
          <w:trHeight w:val="765"/>
        </w:trPr>
        <w:tc>
          <w:tcPr>
            <w:tcW w:w="648" w:type="pct"/>
            <w:vMerge/>
            <w:tcBorders>
              <w:top w:val="nil"/>
              <w:left w:val="single" w:sz="4" w:space="0" w:color="auto"/>
              <w:bottom w:val="single" w:sz="4" w:space="0" w:color="auto"/>
              <w:right w:val="single" w:sz="4" w:space="0" w:color="auto"/>
            </w:tcBorders>
            <w:vAlign w:val="center"/>
            <w:hideMark/>
          </w:tcPr>
          <w:p w14:paraId="54040DDA" w14:textId="77777777" w:rsidR="003B015A" w:rsidRDefault="003B015A">
            <w:pPr>
              <w:rPr>
                <w:noProof/>
                <w:color w:val="000000"/>
                <w:sz w:val="20"/>
                <w:szCs w:val="20"/>
              </w:rPr>
            </w:pPr>
          </w:p>
        </w:tc>
        <w:tc>
          <w:tcPr>
            <w:tcW w:w="648" w:type="pct"/>
            <w:tcBorders>
              <w:top w:val="nil"/>
              <w:left w:val="nil"/>
              <w:bottom w:val="single" w:sz="4" w:space="0" w:color="auto"/>
              <w:right w:val="single" w:sz="4" w:space="0" w:color="auto"/>
            </w:tcBorders>
            <w:vAlign w:val="center"/>
            <w:hideMark/>
          </w:tcPr>
          <w:p w14:paraId="3A94406F" w14:textId="77777777" w:rsidR="003B015A" w:rsidRDefault="003B015A">
            <w:pPr>
              <w:rPr>
                <w:noProof/>
                <w:color w:val="000000"/>
                <w:sz w:val="20"/>
                <w:szCs w:val="20"/>
              </w:rPr>
            </w:pPr>
            <w:r>
              <w:rPr>
                <w:noProof/>
                <w:color w:val="000000"/>
                <w:sz w:val="20"/>
                <w:szCs w:val="20"/>
              </w:rPr>
              <w:t>Share of total air tickets sold</w:t>
            </w:r>
          </w:p>
        </w:tc>
        <w:tc>
          <w:tcPr>
            <w:tcW w:w="443" w:type="pct"/>
            <w:tcBorders>
              <w:top w:val="nil"/>
              <w:left w:val="nil"/>
              <w:bottom w:val="single" w:sz="4" w:space="0" w:color="auto"/>
              <w:right w:val="single" w:sz="4" w:space="0" w:color="auto"/>
            </w:tcBorders>
            <w:vAlign w:val="center"/>
            <w:hideMark/>
          </w:tcPr>
          <w:p w14:paraId="6478ACCD" w14:textId="77777777" w:rsidR="003B015A" w:rsidRDefault="003B015A">
            <w:pPr>
              <w:jc w:val="right"/>
              <w:rPr>
                <w:noProof/>
                <w:color w:val="000000"/>
                <w:sz w:val="20"/>
                <w:szCs w:val="20"/>
              </w:rPr>
            </w:pPr>
            <w:r>
              <w:rPr>
                <w:noProof/>
                <w:color w:val="000000"/>
                <w:sz w:val="20"/>
                <w:szCs w:val="20"/>
              </w:rPr>
              <w:t>18.0%</w:t>
            </w:r>
          </w:p>
        </w:tc>
        <w:tc>
          <w:tcPr>
            <w:tcW w:w="443" w:type="pct"/>
            <w:tcBorders>
              <w:top w:val="nil"/>
              <w:left w:val="nil"/>
              <w:bottom w:val="single" w:sz="4" w:space="0" w:color="auto"/>
              <w:right w:val="single" w:sz="4" w:space="0" w:color="auto"/>
            </w:tcBorders>
            <w:vAlign w:val="center"/>
            <w:hideMark/>
          </w:tcPr>
          <w:p w14:paraId="048A2372" w14:textId="77777777" w:rsidR="003B015A" w:rsidRDefault="003B015A">
            <w:pPr>
              <w:jc w:val="right"/>
              <w:rPr>
                <w:noProof/>
                <w:color w:val="000000"/>
                <w:sz w:val="20"/>
                <w:szCs w:val="20"/>
              </w:rPr>
            </w:pPr>
            <w:r>
              <w:rPr>
                <w:noProof/>
                <w:color w:val="000000"/>
                <w:sz w:val="20"/>
                <w:szCs w:val="20"/>
              </w:rPr>
              <w:t>18.8%</w:t>
            </w:r>
          </w:p>
        </w:tc>
        <w:tc>
          <w:tcPr>
            <w:tcW w:w="443" w:type="pct"/>
            <w:tcBorders>
              <w:top w:val="nil"/>
              <w:left w:val="nil"/>
              <w:bottom w:val="single" w:sz="4" w:space="0" w:color="auto"/>
              <w:right w:val="single" w:sz="4" w:space="0" w:color="auto"/>
            </w:tcBorders>
            <w:vAlign w:val="center"/>
            <w:hideMark/>
          </w:tcPr>
          <w:p w14:paraId="427E8044" w14:textId="77777777" w:rsidR="003B015A" w:rsidRDefault="003B015A">
            <w:pPr>
              <w:jc w:val="right"/>
              <w:rPr>
                <w:noProof/>
                <w:color w:val="000000"/>
                <w:sz w:val="20"/>
                <w:szCs w:val="20"/>
              </w:rPr>
            </w:pPr>
            <w:r>
              <w:rPr>
                <w:noProof/>
                <w:color w:val="000000"/>
                <w:sz w:val="20"/>
                <w:szCs w:val="20"/>
              </w:rPr>
              <w:t>18.9%</w:t>
            </w:r>
          </w:p>
        </w:tc>
        <w:tc>
          <w:tcPr>
            <w:tcW w:w="443" w:type="pct"/>
            <w:tcBorders>
              <w:top w:val="nil"/>
              <w:left w:val="nil"/>
              <w:bottom w:val="single" w:sz="4" w:space="0" w:color="auto"/>
              <w:right w:val="single" w:sz="4" w:space="0" w:color="auto"/>
            </w:tcBorders>
            <w:vAlign w:val="center"/>
            <w:hideMark/>
          </w:tcPr>
          <w:p w14:paraId="0A0B7EDB" w14:textId="77777777" w:rsidR="003B015A" w:rsidRDefault="003B015A">
            <w:pPr>
              <w:jc w:val="right"/>
              <w:rPr>
                <w:noProof/>
                <w:color w:val="000000"/>
                <w:sz w:val="20"/>
                <w:szCs w:val="20"/>
              </w:rPr>
            </w:pPr>
            <w:r>
              <w:rPr>
                <w:noProof/>
                <w:color w:val="000000"/>
                <w:sz w:val="20"/>
                <w:szCs w:val="20"/>
              </w:rPr>
              <w:t>18.9%</w:t>
            </w:r>
          </w:p>
        </w:tc>
        <w:tc>
          <w:tcPr>
            <w:tcW w:w="443" w:type="pct"/>
            <w:tcBorders>
              <w:top w:val="nil"/>
              <w:left w:val="nil"/>
              <w:bottom w:val="single" w:sz="4" w:space="0" w:color="auto"/>
              <w:right w:val="single" w:sz="4" w:space="0" w:color="auto"/>
            </w:tcBorders>
            <w:vAlign w:val="center"/>
            <w:hideMark/>
          </w:tcPr>
          <w:p w14:paraId="760E5C57" w14:textId="77777777" w:rsidR="003B015A" w:rsidRDefault="003B015A">
            <w:pPr>
              <w:jc w:val="right"/>
              <w:rPr>
                <w:noProof/>
                <w:color w:val="000000"/>
                <w:sz w:val="20"/>
                <w:szCs w:val="20"/>
              </w:rPr>
            </w:pPr>
            <w:r>
              <w:rPr>
                <w:noProof/>
                <w:color w:val="000000"/>
                <w:sz w:val="20"/>
                <w:szCs w:val="20"/>
              </w:rPr>
              <w:t>18.9%</w:t>
            </w:r>
          </w:p>
        </w:tc>
        <w:tc>
          <w:tcPr>
            <w:tcW w:w="497" w:type="pct"/>
            <w:tcBorders>
              <w:top w:val="nil"/>
              <w:left w:val="nil"/>
              <w:bottom w:val="single" w:sz="4" w:space="0" w:color="auto"/>
              <w:right w:val="single" w:sz="4" w:space="0" w:color="auto"/>
            </w:tcBorders>
            <w:shd w:val="clear" w:color="000000" w:fill="FFFFFF"/>
            <w:vAlign w:val="center"/>
            <w:hideMark/>
          </w:tcPr>
          <w:p w14:paraId="1FF96C12" w14:textId="77777777" w:rsidR="003B015A" w:rsidRDefault="003B015A">
            <w:pPr>
              <w:jc w:val="right"/>
              <w:rPr>
                <w:noProof/>
                <w:color w:val="000000"/>
                <w:sz w:val="20"/>
                <w:szCs w:val="20"/>
              </w:rPr>
            </w:pPr>
            <w:r>
              <w:rPr>
                <w:noProof/>
                <w:color w:val="000000"/>
                <w:sz w:val="20"/>
                <w:szCs w:val="20"/>
              </w:rPr>
              <w:t> </w:t>
            </w:r>
          </w:p>
        </w:tc>
        <w:tc>
          <w:tcPr>
            <w:tcW w:w="497" w:type="pct"/>
            <w:tcBorders>
              <w:top w:val="nil"/>
              <w:left w:val="nil"/>
              <w:bottom w:val="single" w:sz="4" w:space="0" w:color="auto"/>
              <w:right w:val="single" w:sz="4" w:space="0" w:color="auto"/>
            </w:tcBorders>
            <w:shd w:val="clear" w:color="000000" w:fill="FFFFFF"/>
            <w:vAlign w:val="center"/>
            <w:hideMark/>
          </w:tcPr>
          <w:p w14:paraId="3EB3A8C2" w14:textId="77777777" w:rsidR="003B015A" w:rsidRDefault="003B015A">
            <w:pPr>
              <w:jc w:val="right"/>
              <w:rPr>
                <w:noProof/>
                <w:color w:val="000000"/>
                <w:sz w:val="20"/>
                <w:szCs w:val="20"/>
              </w:rPr>
            </w:pPr>
            <w:r>
              <w:rPr>
                <w:noProof/>
                <w:color w:val="000000"/>
                <w:sz w:val="20"/>
                <w:szCs w:val="20"/>
              </w:rPr>
              <w:t> </w:t>
            </w:r>
          </w:p>
        </w:tc>
        <w:tc>
          <w:tcPr>
            <w:tcW w:w="497" w:type="pct"/>
            <w:tcBorders>
              <w:top w:val="nil"/>
              <w:left w:val="nil"/>
              <w:bottom w:val="single" w:sz="4" w:space="0" w:color="auto"/>
              <w:right w:val="single" w:sz="4" w:space="0" w:color="auto"/>
            </w:tcBorders>
            <w:shd w:val="clear" w:color="000000" w:fill="FFFFFF"/>
            <w:vAlign w:val="center"/>
            <w:hideMark/>
          </w:tcPr>
          <w:p w14:paraId="0D5DF97D" w14:textId="77777777" w:rsidR="003B015A" w:rsidRDefault="003B015A">
            <w:pPr>
              <w:jc w:val="right"/>
              <w:rPr>
                <w:noProof/>
                <w:color w:val="000000"/>
                <w:sz w:val="20"/>
                <w:szCs w:val="20"/>
              </w:rPr>
            </w:pPr>
            <w:r>
              <w:rPr>
                <w:noProof/>
                <w:color w:val="000000"/>
                <w:sz w:val="20"/>
                <w:szCs w:val="20"/>
              </w:rPr>
              <w:t> </w:t>
            </w:r>
          </w:p>
        </w:tc>
      </w:tr>
      <w:tr w:rsidR="000F5BF4" w14:paraId="4B7FD307" w14:textId="77777777" w:rsidTr="00D67ED0">
        <w:trPr>
          <w:trHeight w:val="510"/>
        </w:trPr>
        <w:tc>
          <w:tcPr>
            <w:tcW w:w="648" w:type="pct"/>
            <w:vMerge w:val="restart"/>
            <w:tcBorders>
              <w:top w:val="nil"/>
              <w:left w:val="single" w:sz="4" w:space="0" w:color="auto"/>
              <w:bottom w:val="single" w:sz="4" w:space="0" w:color="auto"/>
              <w:right w:val="single" w:sz="4" w:space="0" w:color="auto"/>
            </w:tcBorders>
            <w:vAlign w:val="center"/>
            <w:hideMark/>
          </w:tcPr>
          <w:p w14:paraId="4862B7ED" w14:textId="77777777" w:rsidR="003B015A" w:rsidRDefault="003B015A">
            <w:pPr>
              <w:rPr>
                <w:noProof/>
                <w:color w:val="000000"/>
                <w:sz w:val="20"/>
                <w:szCs w:val="20"/>
              </w:rPr>
            </w:pPr>
            <w:r>
              <w:rPr>
                <w:noProof/>
                <w:color w:val="000000"/>
                <w:sz w:val="20"/>
                <w:szCs w:val="20"/>
              </w:rPr>
              <w:t>Coach</w:t>
            </w:r>
          </w:p>
        </w:tc>
        <w:tc>
          <w:tcPr>
            <w:tcW w:w="648" w:type="pct"/>
            <w:tcBorders>
              <w:top w:val="nil"/>
              <w:left w:val="nil"/>
              <w:bottom w:val="single" w:sz="4" w:space="0" w:color="auto"/>
              <w:right w:val="single" w:sz="4" w:space="0" w:color="auto"/>
            </w:tcBorders>
            <w:vAlign w:val="center"/>
            <w:hideMark/>
          </w:tcPr>
          <w:p w14:paraId="0E36E72D" w14:textId="77777777" w:rsidR="003B015A" w:rsidRDefault="003B015A">
            <w:pPr>
              <w:rPr>
                <w:noProof/>
                <w:color w:val="000000"/>
                <w:sz w:val="20"/>
                <w:szCs w:val="20"/>
              </w:rPr>
            </w:pPr>
            <w:r>
              <w:rPr>
                <w:noProof/>
                <w:color w:val="000000"/>
                <w:sz w:val="20"/>
                <w:szCs w:val="20"/>
              </w:rPr>
              <w:t xml:space="preserve">Tickets sold via MDMS </w:t>
            </w:r>
          </w:p>
        </w:tc>
        <w:tc>
          <w:tcPr>
            <w:tcW w:w="443" w:type="pct"/>
            <w:tcBorders>
              <w:top w:val="nil"/>
              <w:left w:val="nil"/>
              <w:bottom w:val="single" w:sz="4" w:space="0" w:color="auto"/>
              <w:right w:val="single" w:sz="4" w:space="0" w:color="auto"/>
            </w:tcBorders>
            <w:vAlign w:val="center"/>
            <w:hideMark/>
          </w:tcPr>
          <w:p w14:paraId="6B4F6849" w14:textId="77777777" w:rsidR="003B015A" w:rsidRDefault="003B015A">
            <w:pPr>
              <w:jc w:val="right"/>
              <w:rPr>
                <w:noProof/>
                <w:color w:val="000000"/>
                <w:sz w:val="20"/>
                <w:szCs w:val="20"/>
              </w:rPr>
            </w:pPr>
            <w:r>
              <w:rPr>
                <w:noProof/>
                <w:color w:val="000000"/>
                <w:sz w:val="20"/>
                <w:szCs w:val="20"/>
              </w:rPr>
              <w:t>84</w:t>
            </w:r>
          </w:p>
        </w:tc>
        <w:tc>
          <w:tcPr>
            <w:tcW w:w="443" w:type="pct"/>
            <w:tcBorders>
              <w:top w:val="nil"/>
              <w:left w:val="nil"/>
              <w:bottom w:val="single" w:sz="4" w:space="0" w:color="auto"/>
              <w:right w:val="single" w:sz="4" w:space="0" w:color="auto"/>
            </w:tcBorders>
            <w:vAlign w:val="center"/>
            <w:hideMark/>
          </w:tcPr>
          <w:p w14:paraId="6060A889" w14:textId="77777777" w:rsidR="003B015A" w:rsidRDefault="003B015A">
            <w:pPr>
              <w:jc w:val="right"/>
              <w:rPr>
                <w:noProof/>
                <w:color w:val="000000"/>
                <w:sz w:val="20"/>
                <w:szCs w:val="20"/>
              </w:rPr>
            </w:pPr>
            <w:r>
              <w:rPr>
                <w:noProof/>
                <w:color w:val="000000"/>
                <w:sz w:val="20"/>
                <w:szCs w:val="20"/>
              </w:rPr>
              <w:t>106</w:t>
            </w:r>
          </w:p>
        </w:tc>
        <w:tc>
          <w:tcPr>
            <w:tcW w:w="443" w:type="pct"/>
            <w:tcBorders>
              <w:top w:val="nil"/>
              <w:left w:val="nil"/>
              <w:bottom w:val="single" w:sz="4" w:space="0" w:color="auto"/>
              <w:right w:val="single" w:sz="4" w:space="0" w:color="auto"/>
            </w:tcBorders>
            <w:vAlign w:val="center"/>
            <w:hideMark/>
          </w:tcPr>
          <w:p w14:paraId="772E7EE3" w14:textId="77777777" w:rsidR="003B015A" w:rsidRDefault="003B015A">
            <w:pPr>
              <w:jc w:val="right"/>
              <w:rPr>
                <w:noProof/>
                <w:color w:val="000000"/>
                <w:sz w:val="20"/>
                <w:szCs w:val="20"/>
              </w:rPr>
            </w:pPr>
            <w:r>
              <w:rPr>
                <w:noProof/>
                <w:color w:val="000000"/>
                <w:sz w:val="20"/>
                <w:szCs w:val="20"/>
              </w:rPr>
              <w:t>126</w:t>
            </w:r>
          </w:p>
        </w:tc>
        <w:tc>
          <w:tcPr>
            <w:tcW w:w="443" w:type="pct"/>
            <w:tcBorders>
              <w:top w:val="nil"/>
              <w:left w:val="nil"/>
              <w:bottom w:val="single" w:sz="4" w:space="0" w:color="auto"/>
              <w:right w:val="single" w:sz="4" w:space="0" w:color="auto"/>
            </w:tcBorders>
            <w:vAlign w:val="center"/>
            <w:hideMark/>
          </w:tcPr>
          <w:p w14:paraId="4DC6B29D" w14:textId="77777777" w:rsidR="003B015A" w:rsidRDefault="003B015A">
            <w:pPr>
              <w:jc w:val="right"/>
              <w:rPr>
                <w:noProof/>
                <w:color w:val="000000"/>
                <w:sz w:val="20"/>
                <w:szCs w:val="20"/>
              </w:rPr>
            </w:pPr>
            <w:r>
              <w:rPr>
                <w:noProof/>
                <w:color w:val="000000"/>
                <w:sz w:val="20"/>
                <w:szCs w:val="20"/>
              </w:rPr>
              <w:t>197</w:t>
            </w:r>
          </w:p>
        </w:tc>
        <w:tc>
          <w:tcPr>
            <w:tcW w:w="443" w:type="pct"/>
            <w:tcBorders>
              <w:top w:val="nil"/>
              <w:left w:val="nil"/>
              <w:bottom w:val="single" w:sz="4" w:space="0" w:color="auto"/>
              <w:right w:val="single" w:sz="4" w:space="0" w:color="auto"/>
            </w:tcBorders>
            <w:vAlign w:val="center"/>
            <w:hideMark/>
          </w:tcPr>
          <w:p w14:paraId="5ABF1D75" w14:textId="77777777" w:rsidR="003B015A" w:rsidRDefault="003B015A">
            <w:pPr>
              <w:jc w:val="right"/>
              <w:rPr>
                <w:noProof/>
                <w:color w:val="000000"/>
                <w:sz w:val="20"/>
                <w:szCs w:val="20"/>
              </w:rPr>
            </w:pPr>
            <w:r>
              <w:rPr>
                <w:noProof/>
                <w:color w:val="000000"/>
                <w:sz w:val="20"/>
                <w:szCs w:val="20"/>
              </w:rPr>
              <w:t>273</w:t>
            </w:r>
          </w:p>
        </w:tc>
        <w:tc>
          <w:tcPr>
            <w:tcW w:w="497" w:type="pct"/>
            <w:tcBorders>
              <w:top w:val="nil"/>
              <w:left w:val="nil"/>
              <w:bottom w:val="single" w:sz="4" w:space="0" w:color="auto"/>
              <w:right w:val="single" w:sz="4" w:space="0" w:color="auto"/>
            </w:tcBorders>
            <w:shd w:val="clear" w:color="000000" w:fill="FFFFFF"/>
            <w:vAlign w:val="center"/>
            <w:hideMark/>
          </w:tcPr>
          <w:p w14:paraId="70D9E4F9" w14:textId="77777777" w:rsidR="003B015A" w:rsidRDefault="003B015A">
            <w:pPr>
              <w:jc w:val="right"/>
              <w:rPr>
                <w:noProof/>
                <w:color w:val="000000"/>
                <w:sz w:val="20"/>
                <w:szCs w:val="20"/>
              </w:rPr>
            </w:pPr>
            <w:r>
              <w:rPr>
                <w:noProof/>
                <w:color w:val="000000"/>
                <w:sz w:val="20"/>
                <w:szCs w:val="20"/>
              </w:rPr>
              <w:t>51%</w:t>
            </w:r>
          </w:p>
        </w:tc>
        <w:tc>
          <w:tcPr>
            <w:tcW w:w="497" w:type="pct"/>
            <w:tcBorders>
              <w:top w:val="nil"/>
              <w:left w:val="nil"/>
              <w:bottom w:val="single" w:sz="4" w:space="0" w:color="auto"/>
              <w:right w:val="single" w:sz="4" w:space="0" w:color="auto"/>
            </w:tcBorders>
            <w:shd w:val="clear" w:color="000000" w:fill="FFFFFF"/>
            <w:vAlign w:val="center"/>
            <w:hideMark/>
          </w:tcPr>
          <w:p w14:paraId="72320BA1" w14:textId="77777777" w:rsidR="003B015A" w:rsidRDefault="003B015A">
            <w:pPr>
              <w:jc w:val="right"/>
              <w:rPr>
                <w:noProof/>
                <w:color w:val="000000"/>
                <w:sz w:val="20"/>
                <w:szCs w:val="20"/>
              </w:rPr>
            </w:pPr>
            <w:r>
              <w:rPr>
                <w:noProof/>
                <w:color w:val="000000"/>
                <w:sz w:val="20"/>
                <w:szCs w:val="20"/>
              </w:rPr>
              <w:t>136%</w:t>
            </w:r>
          </w:p>
        </w:tc>
        <w:tc>
          <w:tcPr>
            <w:tcW w:w="497" w:type="pct"/>
            <w:tcBorders>
              <w:top w:val="nil"/>
              <w:left w:val="nil"/>
              <w:bottom w:val="single" w:sz="4" w:space="0" w:color="auto"/>
              <w:right w:val="single" w:sz="4" w:space="0" w:color="auto"/>
            </w:tcBorders>
            <w:shd w:val="clear" w:color="000000" w:fill="FFFFFF"/>
            <w:vAlign w:val="center"/>
            <w:hideMark/>
          </w:tcPr>
          <w:p w14:paraId="04F52457" w14:textId="77777777" w:rsidR="003B015A" w:rsidRDefault="003B015A">
            <w:pPr>
              <w:jc w:val="right"/>
              <w:rPr>
                <w:noProof/>
                <w:color w:val="000000"/>
                <w:sz w:val="20"/>
                <w:szCs w:val="20"/>
              </w:rPr>
            </w:pPr>
            <w:r>
              <w:rPr>
                <w:noProof/>
                <w:color w:val="000000"/>
                <w:sz w:val="20"/>
                <w:szCs w:val="20"/>
              </w:rPr>
              <w:t>226%</w:t>
            </w:r>
          </w:p>
        </w:tc>
      </w:tr>
      <w:tr w:rsidR="000F5BF4" w14:paraId="046723A5" w14:textId="77777777" w:rsidTr="00D67ED0">
        <w:trPr>
          <w:trHeight w:val="765"/>
        </w:trPr>
        <w:tc>
          <w:tcPr>
            <w:tcW w:w="648" w:type="pct"/>
            <w:vMerge/>
            <w:tcBorders>
              <w:top w:val="nil"/>
              <w:left w:val="single" w:sz="4" w:space="0" w:color="auto"/>
              <w:bottom w:val="single" w:sz="4" w:space="0" w:color="auto"/>
              <w:right w:val="single" w:sz="4" w:space="0" w:color="auto"/>
            </w:tcBorders>
            <w:vAlign w:val="center"/>
            <w:hideMark/>
          </w:tcPr>
          <w:p w14:paraId="01CFA0F1" w14:textId="77777777" w:rsidR="003B015A" w:rsidRDefault="003B015A">
            <w:pPr>
              <w:rPr>
                <w:noProof/>
                <w:color w:val="000000"/>
                <w:sz w:val="20"/>
                <w:szCs w:val="20"/>
              </w:rPr>
            </w:pPr>
          </w:p>
        </w:tc>
        <w:tc>
          <w:tcPr>
            <w:tcW w:w="648" w:type="pct"/>
            <w:tcBorders>
              <w:top w:val="nil"/>
              <w:left w:val="nil"/>
              <w:bottom w:val="single" w:sz="4" w:space="0" w:color="auto"/>
              <w:right w:val="single" w:sz="4" w:space="0" w:color="auto"/>
            </w:tcBorders>
            <w:vAlign w:val="center"/>
            <w:hideMark/>
          </w:tcPr>
          <w:p w14:paraId="155DF886" w14:textId="77777777" w:rsidR="003B015A" w:rsidRDefault="003B015A">
            <w:pPr>
              <w:rPr>
                <w:noProof/>
                <w:color w:val="000000"/>
                <w:sz w:val="20"/>
                <w:szCs w:val="20"/>
              </w:rPr>
            </w:pPr>
            <w:r>
              <w:rPr>
                <w:noProof/>
                <w:color w:val="000000"/>
                <w:sz w:val="20"/>
                <w:szCs w:val="20"/>
              </w:rPr>
              <w:t>Share of total B&amp;C tickets sold</w:t>
            </w:r>
          </w:p>
        </w:tc>
        <w:tc>
          <w:tcPr>
            <w:tcW w:w="443" w:type="pct"/>
            <w:tcBorders>
              <w:top w:val="nil"/>
              <w:left w:val="nil"/>
              <w:bottom w:val="single" w:sz="4" w:space="0" w:color="auto"/>
              <w:right w:val="single" w:sz="4" w:space="0" w:color="auto"/>
            </w:tcBorders>
            <w:vAlign w:val="center"/>
            <w:hideMark/>
          </w:tcPr>
          <w:p w14:paraId="5113DE49" w14:textId="77777777" w:rsidR="003B015A" w:rsidRDefault="003B015A">
            <w:pPr>
              <w:jc w:val="right"/>
              <w:rPr>
                <w:noProof/>
                <w:color w:val="000000"/>
                <w:sz w:val="20"/>
                <w:szCs w:val="20"/>
              </w:rPr>
            </w:pPr>
            <w:r>
              <w:rPr>
                <w:noProof/>
                <w:color w:val="000000"/>
                <w:sz w:val="20"/>
                <w:szCs w:val="20"/>
              </w:rPr>
              <w:t>2.5%</w:t>
            </w:r>
          </w:p>
        </w:tc>
        <w:tc>
          <w:tcPr>
            <w:tcW w:w="443" w:type="pct"/>
            <w:tcBorders>
              <w:top w:val="nil"/>
              <w:left w:val="nil"/>
              <w:bottom w:val="single" w:sz="4" w:space="0" w:color="auto"/>
              <w:right w:val="single" w:sz="4" w:space="0" w:color="auto"/>
            </w:tcBorders>
            <w:vAlign w:val="center"/>
            <w:hideMark/>
          </w:tcPr>
          <w:p w14:paraId="02436A71" w14:textId="77777777" w:rsidR="003B015A" w:rsidRDefault="003B015A">
            <w:pPr>
              <w:jc w:val="right"/>
              <w:rPr>
                <w:noProof/>
                <w:color w:val="000000"/>
                <w:sz w:val="20"/>
                <w:szCs w:val="20"/>
              </w:rPr>
            </w:pPr>
            <w:r>
              <w:rPr>
                <w:noProof/>
                <w:color w:val="000000"/>
                <w:sz w:val="20"/>
                <w:szCs w:val="20"/>
              </w:rPr>
              <w:t>3.2%</w:t>
            </w:r>
          </w:p>
        </w:tc>
        <w:tc>
          <w:tcPr>
            <w:tcW w:w="443" w:type="pct"/>
            <w:tcBorders>
              <w:top w:val="nil"/>
              <w:left w:val="nil"/>
              <w:bottom w:val="single" w:sz="4" w:space="0" w:color="auto"/>
              <w:right w:val="single" w:sz="4" w:space="0" w:color="auto"/>
            </w:tcBorders>
            <w:vAlign w:val="center"/>
            <w:hideMark/>
          </w:tcPr>
          <w:p w14:paraId="6F57354F" w14:textId="77777777" w:rsidR="003B015A" w:rsidRDefault="003B015A">
            <w:pPr>
              <w:jc w:val="right"/>
              <w:rPr>
                <w:noProof/>
                <w:color w:val="000000"/>
                <w:sz w:val="20"/>
                <w:szCs w:val="20"/>
              </w:rPr>
            </w:pPr>
            <w:r>
              <w:rPr>
                <w:noProof/>
                <w:color w:val="000000"/>
                <w:sz w:val="20"/>
                <w:szCs w:val="20"/>
              </w:rPr>
              <w:t>3.5%</w:t>
            </w:r>
          </w:p>
        </w:tc>
        <w:tc>
          <w:tcPr>
            <w:tcW w:w="443" w:type="pct"/>
            <w:tcBorders>
              <w:top w:val="nil"/>
              <w:left w:val="nil"/>
              <w:bottom w:val="single" w:sz="4" w:space="0" w:color="auto"/>
              <w:right w:val="single" w:sz="4" w:space="0" w:color="auto"/>
            </w:tcBorders>
            <w:vAlign w:val="center"/>
            <w:hideMark/>
          </w:tcPr>
          <w:p w14:paraId="7FA503BF" w14:textId="77777777" w:rsidR="003B015A" w:rsidRDefault="003B015A">
            <w:pPr>
              <w:jc w:val="right"/>
              <w:rPr>
                <w:noProof/>
                <w:color w:val="000000"/>
                <w:sz w:val="20"/>
                <w:szCs w:val="20"/>
              </w:rPr>
            </w:pPr>
            <w:r>
              <w:rPr>
                <w:noProof/>
                <w:color w:val="000000"/>
                <w:sz w:val="20"/>
                <w:szCs w:val="20"/>
              </w:rPr>
              <w:t>5.0%</w:t>
            </w:r>
          </w:p>
        </w:tc>
        <w:tc>
          <w:tcPr>
            <w:tcW w:w="443" w:type="pct"/>
            <w:tcBorders>
              <w:top w:val="nil"/>
              <w:left w:val="nil"/>
              <w:bottom w:val="single" w:sz="4" w:space="0" w:color="auto"/>
              <w:right w:val="single" w:sz="4" w:space="0" w:color="auto"/>
            </w:tcBorders>
            <w:vAlign w:val="center"/>
            <w:hideMark/>
          </w:tcPr>
          <w:p w14:paraId="788DA474" w14:textId="77777777" w:rsidR="003B015A" w:rsidRDefault="003B015A">
            <w:pPr>
              <w:jc w:val="right"/>
              <w:rPr>
                <w:noProof/>
                <w:color w:val="000000"/>
                <w:sz w:val="20"/>
                <w:szCs w:val="20"/>
              </w:rPr>
            </w:pPr>
            <w:r>
              <w:rPr>
                <w:noProof/>
                <w:color w:val="000000"/>
                <w:sz w:val="20"/>
                <w:szCs w:val="20"/>
              </w:rPr>
              <w:t>6.6%</w:t>
            </w:r>
          </w:p>
        </w:tc>
        <w:tc>
          <w:tcPr>
            <w:tcW w:w="497" w:type="pct"/>
            <w:tcBorders>
              <w:top w:val="nil"/>
              <w:left w:val="nil"/>
              <w:bottom w:val="single" w:sz="4" w:space="0" w:color="auto"/>
              <w:right w:val="single" w:sz="4" w:space="0" w:color="auto"/>
            </w:tcBorders>
            <w:shd w:val="clear" w:color="000000" w:fill="FFFFFF"/>
            <w:vAlign w:val="center"/>
            <w:hideMark/>
          </w:tcPr>
          <w:p w14:paraId="6CEAEFE6" w14:textId="77777777" w:rsidR="003B015A" w:rsidRDefault="003B015A">
            <w:pPr>
              <w:jc w:val="right"/>
              <w:rPr>
                <w:noProof/>
                <w:color w:val="000000"/>
                <w:sz w:val="20"/>
                <w:szCs w:val="20"/>
              </w:rPr>
            </w:pPr>
            <w:r>
              <w:rPr>
                <w:noProof/>
                <w:color w:val="000000"/>
                <w:sz w:val="20"/>
                <w:szCs w:val="20"/>
              </w:rPr>
              <w:t> </w:t>
            </w:r>
          </w:p>
        </w:tc>
        <w:tc>
          <w:tcPr>
            <w:tcW w:w="497" w:type="pct"/>
            <w:tcBorders>
              <w:top w:val="nil"/>
              <w:left w:val="nil"/>
              <w:bottom w:val="single" w:sz="4" w:space="0" w:color="auto"/>
              <w:right w:val="single" w:sz="4" w:space="0" w:color="auto"/>
            </w:tcBorders>
            <w:shd w:val="clear" w:color="000000" w:fill="FFFFFF"/>
            <w:vAlign w:val="center"/>
            <w:hideMark/>
          </w:tcPr>
          <w:p w14:paraId="0C022AD7" w14:textId="77777777" w:rsidR="003B015A" w:rsidRDefault="003B015A">
            <w:pPr>
              <w:jc w:val="right"/>
              <w:rPr>
                <w:noProof/>
                <w:color w:val="000000"/>
                <w:sz w:val="20"/>
                <w:szCs w:val="20"/>
              </w:rPr>
            </w:pPr>
            <w:r>
              <w:rPr>
                <w:noProof/>
                <w:color w:val="000000"/>
                <w:sz w:val="20"/>
                <w:szCs w:val="20"/>
              </w:rPr>
              <w:t> </w:t>
            </w:r>
          </w:p>
        </w:tc>
        <w:tc>
          <w:tcPr>
            <w:tcW w:w="497" w:type="pct"/>
            <w:tcBorders>
              <w:top w:val="nil"/>
              <w:left w:val="nil"/>
              <w:bottom w:val="single" w:sz="4" w:space="0" w:color="auto"/>
              <w:right w:val="single" w:sz="4" w:space="0" w:color="auto"/>
            </w:tcBorders>
            <w:shd w:val="clear" w:color="000000" w:fill="FFFFFF"/>
            <w:vAlign w:val="center"/>
            <w:hideMark/>
          </w:tcPr>
          <w:p w14:paraId="4A323D51" w14:textId="77777777" w:rsidR="003B015A" w:rsidRDefault="003B015A">
            <w:pPr>
              <w:jc w:val="right"/>
              <w:rPr>
                <w:noProof/>
                <w:color w:val="000000"/>
                <w:sz w:val="20"/>
                <w:szCs w:val="20"/>
              </w:rPr>
            </w:pPr>
            <w:r>
              <w:rPr>
                <w:noProof/>
                <w:color w:val="000000"/>
                <w:sz w:val="20"/>
                <w:szCs w:val="20"/>
              </w:rPr>
              <w:t> </w:t>
            </w:r>
          </w:p>
        </w:tc>
      </w:tr>
      <w:tr w:rsidR="000F5BF4" w14:paraId="58D628F2" w14:textId="77777777" w:rsidTr="00D67ED0">
        <w:trPr>
          <w:trHeight w:val="510"/>
        </w:trPr>
        <w:tc>
          <w:tcPr>
            <w:tcW w:w="648" w:type="pct"/>
            <w:vMerge w:val="restart"/>
            <w:tcBorders>
              <w:top w:val="nil"/>
              <w:left w:val="single" w:sz="4" w:space="0" w:color="auto"/>
              <w:bottom w:val="single" w:sz="4" w:space="0" w:color="auto"/>
              <w:right w:val="single" w:sz="4" w:space="0" w:color="auto"/>
            </w:tcBorders>
            <w:vAlign w:val="center"/>
            <w:hideMark/>
          </w:tcPr>
          <w:p w14:paraId="03CF34E8" w14:textId="77777777" w:rsidR="003B015A" w:rsidRDefault="003B015A">
            <w:pPr>
              <w:rPr>
                <w:noProof/>
                <w:color w:val="000000"/>
                <w:sz w:val="20"/>
                <w:szCs w:val="20"/>
              </w:rPr>
            </w:pPr>
            <w:r>
              <w:rPr>
                <w:noProof/>
                <w:color w:val="000000"/>
                <w:sz w:val="20"/>
                <w:szCs w:val="20"/>
              </w:rPr>
              <w:t>Waterborne transport</w:t>
            </w:r>
          </w:p>
        </w:tc>
        <w:tc>
          <w:tcPr>
            <w:tcW w:w="648" w:type="pct"/>
            <w:tcBorders>
              <w:top w:val="nil"/>
              <w:left w:val="nil"/>
              <w:bottom w:val="single" w:sz="4" w:space="0" w:color="auto"/>
              <w:right w:val="single" w:sz="4" w:space="0" w:color="auto"/>
            </w:tcBorders>
            <w:vAlign w:val="center"/>
            <w:hideMark/>
          </w:tcPr>
          <w:p w14:paraId="3F2D5217" w14:textId="77777777" w:rsidR="003B015A" w:rsidRDefault="003B015A">
            <w:pPr>
              <w:rPr>
                <w:noProof/>
                <w:color w:val="000000"/>
                <w:sz w:val="20"/>
                <w:szCs w:val="20"/>
              </w:rPr>
            </w:pPr>
            <w:r>
              <w:rPr>
                <w:noProof/>
                <w:color w:val="000000"/>
                <w:sz w:val="20"/>
                <w:szCs w:val="20"/>
              </w:rPr>
              <w:t xml:space="preserve">Tickets sold via MDMS </w:t>
            </w:r>
          </w:p>
        </w:tc>
        <w:tc>
          <w:tcPr>
            <w:tcW w:w="443" w:type="pct"/>
            <w:tcBorders>
              <w:top w:val="nil"/>
              <w:left w:val="nil"/>
              <w:bottom w:val="single" w:sz="4" w:space="0" w:color="auto"/>
              <w:right w:val="single" w:sz="4" w:space="0" w:color="auto"/>
            </w:tcBorders>
            <w:vAlign w:val="center"/>
            <w:hideMark/>
          </w:tcPr>
          <w:p w14:paraId="48B323D5" w14:textId="77777777" w:rsidR="003B015A" w:rsidRDefault="003B015A">
            <w:pPr>
              <w:jc w:val="right"/>
              <w:rPr>
                <w:noProof/>
                <w:color w:val="000000"/>
                <w:sz w:val="20"/>
                <w:szCs w:val="20"/>
              </w:rPr>
            </w:pPr>
            <w:r>
              <w:rPr>
                <w:noProof/>
                <w:color w:val="000000"/>
                <w:sz w:val="20"/>
                <w:szCs w:val="20"/>
              </w:rPr>
              <w:t>11</w:t>
            </w:r>
          </w:p>
        </w:tc>
        <w:tc>
          <w:tcPr>
            <w:tcW w:w="443" w:type="pct"/>
            <w:tcBorders>
              <w:top w:val="nil"/>
              <w:left w:val="nil"/>
              <w:bottom w:val="single" w:sz="4" w:space="0" w:color="auto"/>
              <w:right w:val="single" w:sz="4" w:space="0" w:color="auto"/>
            </w:tcBorders>
            <w:vAlign w:val="center"/>
            <w:hideMark/>
          </w:tcPr>
          <w:p w14:paraId="1B72764D" w14:textId="77777777" w:rsidR="003B015A" w:rsidRDefault="003B015A">
            <w:pPr>
              <w:jc w:val="right"/>
              <w:rPr>
                <w:noProof/>
                <w:color w:val="000000"/>
                <w:sz w:val="20"/>
                <w:szCs w:val="20"/>
              </w:rPr>
            </w:pPr>
            <w:r>
              <w:rPr>
                <w:noProof/>
                <w:color w:val="000000"/>
                <w:sz w:val="20"/>
                <w:szCs w:val="20"/>
              </w:rPr>
              <w:t>14</w:t>
            </w:r>
          </w:p>
        </w:tc>
        <w:tc>
          <w:tcPr>
            <w:tcW w:w="443" w:type="pct"/>
            <w:tcBorders>
              <w:top w:val="nil"/>
              <w:left w:val="nil"/>
              <w:bottom w:val="single" w:sz="4" w:space="0" w:color="auto"/>
              <w:right w:val="single" w:sz="4" w:space="0" w:color="auto"/>
            </w:tcBorders>
            <w:vAlign w:val="center"/>
            <w:hideMark/>
          </w:tcPr>
          <w:p w14:paraId="11312C3C" w14:textId="77777777" w:rsidR="003B015A" w:rsidRDefault="003B015A">
            <w:pPr>
              <w:jc w:val="right"/>
              <w:rPr>
                <w:noProof/>
                <w:color w:val="000000"/>
                <w:sz w:val="20"/>
                <w:szCs w:val="20"/>
              </w:rPr>
            </w:pPr>
            <w:r>
              <w:rPr>
                <w:noProof/>
                <w:color w:val="000000"/>
                <w:sz w:val="20"/>
                <w:szCs w:val="20"/>
              </w:rPr>
              <w:t>16</w:t>
            </w:r>
          </w:p>
        </w:tc>
        <w:tc>
          <w:tcPr>
            <w:tcW w:w="443" w:type="pct"/>
            <w:tcBorders>
              <w:top w:val="nil"/>
              <w:left w:val="nil"/>
              <w:bottom w:val="single" w:sz="4" w:space="0" w:color="auto"/>
              <w:right w:val="single" w:sz="4" w:space="0" w:color="auto"/>
            </w:tcBorders>
            <w:vAlign w:val="center"/>
            <w:hideMark/>
          </w:tcPr>
          <w:p w14:paraId="267ABF7B" w14:textId="77777777" w:rsidR="003B015A" w:rsidRDefault="003B015A">
            <w:pPr>
              <w:jc w:val="right"/>
              <w:rPr>
                <w:noProof/>
                <w:color w:val="000000"/>
                <w:sz w:val="20"/>
                <w:szCs w:val="20"/>
              </w:rPr>
            </w:pPr>
            <w:r>
              <w:rPr>
                <w:noProof/>
                <w:color w:val="000000"/>
                <w:sz w:val="20"/>
                <w:szCs w:val="20"/>
              </w:rPr>
              <w:t>25</w:t>
            </w:r>
          </w:p>
        </w:tc>
        <w:tc>
          <w:tcPr>
            <w:tcW w:w="443" w:type="pct"/>
            <w:tcBorders>
              <w:top w:val="nil"/>
              <w:left w:val="nil"/>
              <w:bottom w:val="single" w:sz="4" w:space="0" w:color="auto"/>
              <w:right w:val="single" w:sz="4" w:space="0" w:color="auto"/>
            </w:tcBorders>
            <w:vAlign w:val="center"/>
            <w:hideMark/>
          </w:tcPr>
          <w:p w14:paraId="4E10A8AD" w14:textId="77777777" w:rsidR="003B015A" w:rsidRDefault="003B015A">
            <w:pPr>
              <w:jc w:val="right"/>
              <w:rPr>
                <w:noProof/>
                <w:color w:val="000000"/>
                <w:sz w:val="20"/>
                <w:szCs w:val="20"/>
              </w:rPr>
            </w:pPr>
            <w:r>
              <w:rPr>
                <w:noProof/>
                <w:color w:val="000000"/>
                <w:sz w:val="20"/>
                <w:szCs w:val="20"/>
              </w:rPr>
              <w:t>35</w:t>
            </w:r>
          </w:p>
        </w:tc>
        <w:tc>
          <w:tcPr>
            <w:tcW w:w="497" w:type="pct"/>
            <w:tcBorders>
              <w:top w:val="nil"/>
              <w:left w:val="nil"/>
              <w:bottom w:val="single" w:sz="4" w:space="0" w:color="auto"/>
              <w:right w:val="single" w:sz="4" w:space="0" w:color="auto"/>
            </w:tcBorders>
            <w:shd w:val="clear" w:color="000000" w:fill="FFFFFF"/>
            <w:vAlign w:val="center"/>
            <w:hideMark/>
          </w:tcPr>
          <w:p w14:paraId="7023CA43" w14:textId="77777777" w:rsidR="003B015A" w:rsidRDefault="003B015A">
            <w:pPr>
              <w:jc w:val="right"/>
              <w:rPr>
                <w:noProof/>
                <w:color w:val="000000"/>
                <w:sz w:val="20"/>
                <w:szCs w:val="20"/>
              </w:rPr>
            </w:pPr>
            <w:r>
              <w:rPr>
                <w:noProof/>
                <w:color w:val="000000"/>
                <w:sz w:val="20"/>
                <w:szCs w:val="20"/>
              </w:rPr>
              <w:t>45%</w:t>
            </w:r>
          </w:p>
        </w:tc>
        <w:tc>
          <w:tcPr>
            <w:tcW w:w="497" w:type="pct"/>
            <w:tcBorders>
              <w:top w:val="nil"/>
              <w:left w:val="nil"/>
              <w:bottom w:val="single" w:sz="4" w:space="0" w:color="auto"/>
              <w:right w:val="single" w:sz="4" w:space="0" w:color="auto"/>
            </w:tcBorders>
            <w:shd w:val="clear" w:color="000000" w:fill="FFFFFF"/>
            <w:vAlign w:val="center"/>
            <w:hideMark/>
          </w:tcPr>
          <w:p w14:paraId="28136F3E" w14:textId="77777777" w:rsidR="003B015A" w:rsidRDefault="003B015A">
            <w:pPr>
              <w:jc w:val="right"/>
              <w:rPr>
                <w:noProof/>
                <w:color w:val="000000"/>
                <w:sz w:val="20"/>
                <w:szCs w:val="20"/>
              </w:rPr>
            </w:pPr>
            <w:r>
              <w:rPr>
                <w:noProof/>
                <w:color w:val="000000"/>
                <w:sz w:val="20"/>
                <w:szCs w:val="20"/>
              </w:rPr>
              <w:t>127%</w:t>
            </w:r>
          </w:p>
        </w:tc>
        <w:tc>
          <w:tcPr>
            <w:tcW w:w="497" w:type="pct"/>
            <w:tcBorders>
              <w:top w:val="nil"/>
              <w:left w:val="nil"/>
              <w:bottom w:val="single" w:sz="4" w:space="0" w:color="auto"/>
              <w:right w:val="single" w:sz="4" w:space="0" w:color="auto"/>
            </w:tcBorders>
            <w:shd w:val="clear" w:color="000000" w:fill="FFFFFF"/>
            <w:vAlign w:val="center"/>
            <w:hideMark/>
          </w:tcPr>
          <w:p w14:paraId="0C9F5D97" w14:textId="77777777" w:rsidR="003B015A" w:rsidRDefault="003B015A">
            <w:pPr>
              <w:jc w:val="right"/>
              <w:rPr>
                <w:noProof/>
                <w:color w:val="000000"/>
                <w:sz w:val="20"/>
                <w:szCs w:val="20"/>
              </w:rPr>
            </w:pPr>
            <w:r>
              <w:rPr>
                <w:noProof/>
                <w:color w:val="000000"/>
                <w:sz w:val="20"/>
                <w:szCs w:val="20"/>
              </w:rPr>
              <w:t>218%</w:t>
            </w:r>
          </w:p>
        </w:tc>
      </w:tr>
      <w:tr w:rsidR="000F5BF4" w14:paraId="48C0AEC6" w14:textId="77777777" w:rsidTr="00D67ED0">
        <w:trPr>
          <w:trHeight w:val="765"/>
        </w:trPr>
        <w:tc>
          <w:tcPr>
            <w:tcW w:w="648" w:type="pct"/>
            <w:vMerge/>
            <w:tcBorders>
              <w:top w:val="nil"/>
              <w:left w:val="single" w:sz="4" w:space="0" w:color="auto"/>
              <w:bottom w:val="single" w:sz="4" w:space="0" w:color="auto"/>
              <w:right w:val="single" w:sz="4" w:space="0" w:color="auto"/>
            </w:tcBorders>
            <w:vAlign w:val="center"/>
            <w:hideMark/>
          </w:tcPr>
          <w:p w14:paraId="2AEDA382" w14:textId="77777777" w:rsidR="003B015A" w:rsidRDefault="003B015A">
            <w:pPr>
              <w:rPr>
                <w:noProof/>
                <w:color w:val="000000"/>
                <w:sz w:val="20"/>
                <w:szCs w:val="20"/>
              </w:rPr>
            </w:pPr>
          </w:p>
        </w:tc>
        <w:tc>
          <w:tcPr>
            <w:tcW w:w="648" w:type="pct"/>
            <w:tcBorders>
              <w:top w:val="nil"/>
              <w:left w:val="nil"/>
              <w:bottom w:val="single" w:sz="4" w:space="0" w:color="auto"/>
              <w:right w:val="single" w:sz="4" w:space="0" w:color="auto"/>
            </w:tcBorders>
            <w:vAlign w:val="center"/>
            <w:hideMark/>
          </w:tcPr>
          <w:p w14:paraId="79A672A9" w14:textId="77777777" w:rsidR="003B015A" w:rsidRDefault="003B015A">
            <w:pPr>
              <w:rPr>
                <w:noProof/>
                <w:color w:val="000000"/>
                <w:sz w:val="20"/>
                <w:szCs w:val="20"/>
              </w:rPr>
            </w:pPr>
            <w:r>
              <w:rPr>
                <w:noProof/>
                <w:color w:val="000000"/>
                <w:sz w:val="20"/>
                <w:szCs w:val="20"/>
              </w:rPr>
              <w:t>Share of total waterborne tickets sold</w:t>
            </w:r>
          </w:p>
        </w:tc>
        <w:tc>
          <w:tcPr>
            <w:tcW w:w="443" w:type="pct"/>
            <w:tcBorders>
              <w:top w:val="nil"/>
              <w:left w:val="nil"/>
              <w:bottom w:val="single" w:sz="4" w:space="0" w:color="auto"/>
              <w:right w:val="single" w:sz="4" w:space="0" w:color="auto"/>
            </w:tcBorders>
            <w:vAlign w:val="center"/>
            <w:hideMark/>
          </w:tcPr>
          <w:p w14:paraId="0189C5B1" w14:textId="77777777" w:rsidR="003B015A" w:rsidRDefault="003B015A">
            <w:pPr>
              <w:jc w:val="right"/>
              <w:rPr>
                <w:noProof/>
                <w:color w:val="000000"/>
                <w:sz w:val="20"/>
                <w:szCs w:val="20"/>
              </w:rPr>
            </w:pPr>
            <w:r>
              <w:rPr>
                <w:noProof/>
                <w:color w:val="000000"/>
                <w:sz w:val="20"/>
                <w:szCs w:val="20"/>
              </w:rPr>
              <w:t>2.5%</w:t>
            </w:r>
          </w:p>
        </w:tc>
        <w:tc>
          <w:tcPr>
            <w:tcW w:w="443" w:type="pct"/>
            <w:tcBorders>
              <w:top w:val="nil"/>
              <w:left w:val="nil"/>
              <w:bottom w:val="single" w:sz="4" w:space="0" w:color="auto"/>
              <w:right w:val="single" w:sz="4" w:space="0" w:color="auto"/>
            </w:tcBorders>
            <w:vAlign w:val="center"/>
            <w:hideMark/>
          </w:tcPr>
          <w:p w14:paraId="1D71DA5D" w14:textId="77777777" w:rsidR="003B015A" w:rsidRDefault="003B015A">
            <w:pPr>
              <w:jc w:val="right"/>
              <w:rPr>
                <w:noProof/>
                <w:color w:val="000000"/>
                <w:sz w:val="20"/>
                <w:szCs w:val="20"/>
              </w:rPr>
            </w:pPr>
            <w:r>
              <w:rPr>
                <w:noProof/>
                <w:color w:val="000000"/>
                <w:sz w:val="20"/>
                <w:szCs w:val="20"/>
              </w:rPr>
              <w:t>3.0%</w:t>
            </w:r>
          </w:p>
        </w:tc>
        <w:tc>
          <w:tcPr>
            <w:tcW w:w="443" w:type="pct"/>
            <w:tcBorders>
              <w:top w:val="nil"/>
              <w:left w:val="nil"/>
              <w:bottom w:val="single" w:sz="4" w:space="0" w:color="auto"/>
              <w:right w:val="single" w:sz="4" w:space="0" w:color="auto"/>
            </w:tcBorders>
            <w:vAlign w:val="center"/>
            <w:hideMark/>
          </w:tcPr>
          <w:p w14:paraId="33D2EB11" w14:textId="77777777" w:rsidR="003B015A" w:rsidRDefault="003B015A">
            <w:pPr>
              <w:jc w:val="right"/>
              <w:rPr>
                <w:noProof/>
                <w:color w:val="000000"/>
                <w:sz w:val="20"/>
                <w:szCs w:val="20"/>
              </w:rPr>
            </w:pPr>
            <w:r>
              <w:rPr>
                <w:noProof/>
                <w:color w:val="000000"/>
                <w:sz w:val="20"/>
                <w:szCs w:val="20"/>
              </w:rPr>
              <w:t>3.4%</w:t>
            </w:r>
          </w:p>
        </w:tc>
        <w:tc>
          <w:tcPr>
            <w:tcW w:w="443" w:type="pct"/>
            <w:tcBorders>
              <w:top w:val="nil"/>
              <w:left w:val="nil"/>
              <w:bottom w:val="single" w:sz="4" w:space="0" w:color="auto"/>
              <w:right w:val="single" w:sz="4" w:space="0" w:color="auto"/>
            </w:tcBorders>
            <w:vAlign w:val="center"/>
            <w:hideMark/>
          </w:tcPr>
          <w:p w14:paraId="3D90C2E1" w14:textId="77777777" w:rsidR="003B015A" w:rsidRDefault="003B015A">
            <w:pPr>
              <w:jc w:val="right"/>
              <w:rPr>
                <w:noProof/>
                <w:color w:val="000000"/>
                <w:sz w:val="20"/>
                <w:szCs w:val="20"/>
              </w:rPr>
            </w:pPr>
            <w:r>
              <w:rPr>
                <w:noProof/>
                <w:color w:val="000000"/>
                <w:sz w:val="20"/>
                <w:szCs w:val="20"/>
              </w:rPr>
              <w:t>5.0%</w:t>
            </w:r>
          </w:p>
        </w:tc>
        <w:tc>
          <w:tcPr>
            <w:tcW w:w="443" w:type="pct"/>
            <w:tcBorders>
              <w:top w:val="nil"/>
              <w:left w:val="nil"/>
              <w:bottom w:val="single" w:sz="4" w:space="0" w:color="auto"/>
              <w:right w:val="single" w:sz="4" w:space="0" w:color="auto"/>
            </w:tcBorders>
            <w:vAlign w:val="center"/>
            <w:hideMark/>
          </w:tcPr>
          <w:p w14:paraId="75910FCF" w14:textId="77777777" w:rsidR="003B015A" w:rsidRDefault="003B015A">
            <w:pPr>
              <w:jc w:val="right"/>
              <w:rPr>
                <w:noProof/>
                <w:color w:val="000000"/>
                <w:sz w:val="20"/>
                <w:szCs w:val="20"/>
              </w:rPr>
            </w:pPr>
            <w:r>
              <w:rPr>
                <w:noProof/>
                <w:color w:val="000000"/>
                <w:sz w:val="20"/>
                <w:szCs w:val="20"/>
              </w:rPr>
              <w:t>6.7%</w:t>
            </w:r>
          </w:p>
        </w:tc>
        <w:tc>
          <w:tcPr>
            <w:tcW w:w="497" w:type="pct"/>
            <w:tcBorders>
              <w:top w:val="nil"/>
              <w:left w:val="nil"/>
              <w:bottom w:val="single" w:sz="4" w:space="0" w:color="auto"/>
              <w:right w:val="single" w:sz="4" w:space="0" w:color="auto"/>
            </w:tcBorders>
            <w:shd w:val="clear" w:color="000000" w:fill="FFFFFF"/>
            <w:vAlign w:val="center"/>
            <w:hideMark/>
          </w:tcPr>
          <w:p w14:paraId="59186718" w14:textId="77777777" w:rsidR="003B015A" w:rsidRDefault="003B015A">
            <w:pPr>
              <w:jc w:val="right"/>
              <w:rPr>
                <w:noProof/>
                <w:color w:val="000000"/>
                <w:sz w:val="20"/>
                <w:szCs w:val="20"/>
              </w:rPr>
            </w:pPr>
            <w:r>
              <w:rPr>
                <w:noProof/>
                <w:color w:val="000000"/>
                <w:sz w:val="20"/>
                <w:szCs w:val="20"/>
              </w:rPr>
              <w:t> </w:t>
            </w:r>
          </w:p>
        </w:tc>
        <w:tc>
          <w:tcPr>
            <w:tcW w:w="497" w:type="pct"/>
            <w:tcBorders>
              <w:top w:val="nil"/>
              <w:left w:val="nil"/>
              <w:bottom w:val="single" w:sz="4" w:space="0" w:color="auto"/>
              <w:right w:val="single" w:sz="4" w:space="0" w:color="auto"/>
            </w:tcBorders>
            <w:shd w:val="clear" w:color="000000" w:fill="FFFFFF"/>
            <w:vAlign w:val="center"/>
            <w:hideMark/>
          </w:tcPr>
          <w:p w14:paraId="1837D6F8" w14:textId="77777777" w:rsidR="003B015A" w:rsidRDefault="003B015A">
            <w:pPr>
              <w:jc w:val="right"/>
              <w:rPr>
                <w:noProof/>
                <w:color w:val="000000"/>
                <w:sz w:val="20"/>
                <w:szCs w:val="20"/>
              </w:rPr>
            </w:pPr>
            <w:r>
              <w:rPr>
                <w:noProof/>
                <w:color w:val="000000"/>
                <w:sz w:val="20"/>
                <w:szCs w:val="20"/>
              </w:rPr>
              <w:t> </w:t>
            </w:r>
          </w:p>
        </w:tc>
        <w:tc>
          <w:tcPr>
            <w:tcW w:w="497" w:type="pct"/>
            <w:tcBorders>
              <w:top w:val="nil"/>
              <w:left w:val="nil"/>
              <w:bottom w:val="single" w:sz="4" w:space="0" w:color="auto"/>
              <w:right w:val="single" w:sz="4" w:space="0" w:color="auto"/>
            </w:tcBorders>
            <w:shd w:val="clear" w:color="000000" w:fill="FFFFFF"/>
            <w:vAlign w:val="center"/>
            <w:hideMark/>
          </w:tcPr>
          <w:p w14:paraId="313E9401" w14:textId="77777777" w:rsidR="003B015A" w:rsidRDefault="003B015A">
            <w:pPr>
              <w:jc w:val="right"/>
              <w:rPr>
                <w:noProof/>
                <w:color w:val="000000"/>
                <w:sz w:val="20"/>
                <w:szCs w:val="20"/>
              </w:rPr>
            </w:pPr>
            <w:r>
              <w:rPr>
                <w:noProof/>
                <w:color w:val="000000"/>
                <w:sz w:val="20"/>
                <w:szCs w:val="20"/>
              </w:rPr>
              <w:t> </w:t>
            </w:r>
          </w:p>
        </w:tc>
      </w:tr>
      <w:tr w:rsidR="000F5BF4" w14:paraId="4703A358" w14:textId="77777777" w:rsidTr="00D67ED0">
        <w:trPr>
          <w:trHeight w:val="510"/>
        </w:trPr>
        <w:tc>
          <w:tcPr>
            <w:tcW w:w="648" w:type="pct"/>
            <w:tcBorders>
              <w:top w:val="nil"/>
              <w:left w:val="single" w:sz="4" w:space="0" w:color="auto"/>
              <w:bottom w:val="single" w:sz="4" w:space="0" w:color="auto"/>
              <w:right w:val="single" w:sz="4" w:space="0" w:color="auto"/>
            </w:tcBorders>
            <w:vAlign w:val="center"/>
            <w:hideMark/>
          </w:tcPr>
          <w:p w14:paraId="22FDB58D" w14:textId="77777777" w:rsidR="003B015A" w:rsidRDefault="003B015A">
            <w:pPr>
              <w:rPr>
                <w:b/>
                <w:bCs/>
                <w:noProof/>
                <w:color w:val="000000"/>
                <w:sz w:val="20"/>
                <w:szCs w:val="20"/>
              </w:rPr>
            </w:pPr>
            <w:r>
              <w:rPr>
                <w:b/>
                <w:bCs/>
                <w:noProof/>
                <w:color w:val="000000"/>
                <w:sz w:val="20"/>
                <w:szCs w:val="20"/>
              </w:rPr>
              <w:t>All modes</w:t>
            </w:r>
          </w:p>
        </w:tc>
        <w:tc>
          <w:tcPr>
            <w:tcW w:w="648" w:type="pct"/>
            <w:tcBorders>
              <w:top w:val="nil"/>
              <w:left w:val="nil"/>
              <w:bottom w:val="single" w:sz="4" w:space="0" w:color="auto"/>
              <w:right w:val="single" w:sz="4" w:space="0" w:color="auto"/>
            </w:tcBorders>
            <w:vAlign w:val="center"/>
            <w:hideMark/>
          </w:tcPr>
          <w:p w14:paraId="7A2AB0F8" w14:textId="77777777" w:rsidR="003B015A" w:rsidRDefault="003B015A">
            <w:pPr>
              <w:rPr>
                <w:b/>
                <w:bCs/>
                <w:noProof/>
                <w:color w:val="000000"/>
                <w:sz w:val="20"/>
                <w:szCs w:val="20"/>
              </w:rPr>
            </w:pPr>
            <w:r>
              <w:rPr>
                <w:b/>
                <w:bCs/>
                <w:noProof/>
                <w:color w:val="000000"/>
                <w:sz w:val="20"/>
                <w:szCs w:val="20"/>
              </w:rPr>
              <w:t xml:space="preserve">Tickets sold via MDMS </w:t>
            </w:r>
          </w:p>
        </w:tc>
        <w:tc>
          <w:tcPr>
            <w:tcW w:w="443" w:type="pct"/>
            <w:tcBorders>
              <w:top w:val="nil"/>
              <w:left w:val="nil"/>
              <w:bottom w:val="single" w:sz="4" w:space="0" w:color="auto"/>
              <w:right w:val="single" w:sz="4" w:space="0" w:color="auto"/>
            </w:tcBorders>
            <w:vAlign w:val="center"/>
            <w:hideMark/>
          </w:tcPr>
          <w:p w14:paraId="52D416A0" w14:textId="2C58B89A" w:rsidR="003B015A" w:rsidRDefault="003B015A">
            <w:pPr>
              <w:jc w:val="right"/>
              <w:rPr>
                <w:b/>
                <w:bCs/>
                <w:noProof/>
                <w:color w:val="000000"/>
                <w:sz w:val="20"/>
                <w:szCs w:val="20"/>
              </w:rPr>
            </w:pPr>
            <w:r>
              <w:rPr>
                <w:b/>
                <w:bCs/>
                <w:noProof/>
                <w:color w:val="000000"/>
                <w:sz w:val="20"/>
                <w:szCs w:val="20"/>
              </w:rPr>
              <w:t>433</w:t>
            </w:r>
          </w:p>
        </w:tc>
        <w:tc>
          <w:tcPr>
            <w:tcW w:w="443" w:type="pct"/>
            <w:tcBorders>
              <w:top w:val="nil"/>
              <w:left w:val="nil"/>
              <w:bottom w:val="single" w:sz="4" w:space="0" w:color="auto"/>
              <w:right w:val="single" w:sz="4" w:space="0" w:color="auto"/>
            </w:tcBorders>
            <w:vAlign w:val="center"/>
            <w:hideMark/>
          </w:tcPr>
          <w:p w14:paraId="2D74CDC5" w14:textId="139EDFFA" w:rsidR="003B015A" w:rsidRDefault="003B015A">
            <w:pPr>
              <w:jc w:val="right"/>
              <w:rPr>
                <w:b/>
                <w:bCs/>
                <w:noProof/>
                <w:color w:val="000000"/>
                <w:sz w:val="20"/>
                <w:szCs w:val="20"/>
              </w:rPr>
            </w:pPr>
            <w:r>
              <w:rPr>
                <w:b/>
                <w:bCs/>
                <w:noProof/>
                <w:color w:val="000000"/>
                <w:sz w:val="20"/>
                <w:szCs w:val="20"/>
              </w:rPr>
              <w:t>473</w:t>
            </w:r>
          </w:p>
        </w:tc>
        <w:tc>
          <w:tcPr>
            <w:tcW w:w="443" w:type="pct"/>
            <w:tcBorders>
              <w:top w:val="nil"/>
              <w:left w:val="nil"/>
              <w:bottom w:val="single" w:sz="4" w:space="0" w:color="auto"/>
              <w:right w:val="single" w:sz="4" w:space="0" w:color="auto"/>
            </w:tcBorders>
            <w:vAlign w:val="center"/>
            <w:hideMark/>
          </w:tcPr>
          <w:p w14:paraId="7506C9A4" w14:textId="77777777" w:rsidR="003B015A" w:rsidRDefault="003B015A">
            <w:pPr>
              <w:jc w:val="right"/>
              <w:rPr>
                <w:b/>
                <w:bCs/>
                <w:noProof/>
                <w:color w:val="000000"/>
                <w:sz w:val="20"/>
                <w:szCs w:val="20"/>
              </w:rPr>
            </w:pPr>
            <w:r>
              <w:rPr>
                <w:b/>
                <w:bCs/>
                <w:noProof/>
                <w:color w:val="000000"/>
                <w:sz w:val="20"/>
                <w:szCs w:val="20"/>
              </w:rPr>
              <w:t>520</w:t>
            </w:r>
          </w:p>
        </w:tc>
        <w:tc>
          <w:tcPr>
            <w:tcW w:w="443" w:type="pct"/>
            <w:tcBorders>
              <w:top w:val="nil"/>
              <w:left w:val="nil"/>
              <w:bottom w:val="single" w:sz="4" w:space="0" w:color="auto"/>
              <w:right w:val="single" w:sz="4" w:space="0" w:color="auto"/>
            </w:tcBorders>
            <w:vAlign w:val="center"/>
            <w:hideMark/>
          </w:tcPr>
          <w:p w14:paraId="207298EF" w14:textId="77777777" w:rsidR="003B015A" w:rsidRDefault="003B015A">
            <w:pPr>
              <w:jc w:val="right"/>
              <w:rPr>
                <w:b/>
                <w:bCs/>
                <w:noProof/>
                <w:color w:val="000000"/>
                <w:sz w:val="20"/>
                <w:szCs w:val="20"/>
              </w:rPr>
            </w:pPr>
            <w:r>
              <w:rPr>
                <w:b/>
                <w:bCs/>
                <w:noProof/>
                <w:color w:val="000000"/>
                <w:sz w:val="20"/>
                <w:szCs w:val="20"/>
              </w:rPr>
              <w:t>692</w:t>
            </w:r>
          </w:p>
        </w:tc>
        <w:tc>
          <w:tcPr>
            <w:tcW w:w="443" w:type="pct"/>
            <w:tcBorders>
              <w:top w:val="nil"/>
              <w:left w:val="nil"/>
              <w:bottom w:val="single" w:sz="4" w:space="0" w:color="auto"/>
              <w:right w:val="single" w:sz="4" w:space="0" w:color="auto"/>
            </w:tcBorders>
            <w:vAlign w:val="center"/>
            <w:hideMark/>
          </w:tcPr>
          <w:p w14:paraId="6761C224" w14:textId="77777777" w:rsidR="003B015A" w:rsidRDefault="003B015A">
            <w:pPr>
              <w:jc w:val="right"/>
              <w:rPr>
                <w:b/>
                <w:bCs/>
                <w:noProof/>
                <w:color w:val="000000"/>
                <w:sz w:val="20"/>
                <w:szCs w:val="20"/>
              </w:rPr>
            </w:pPr>
            <w:r>
              <w:rPr>
                <w:b/>
                <w:bCs/>
                <w:noProof/>
                <w:color w:val="000000"/>
                <w:sz w:val="20"/>
                <w:szCs w:val="20"/>
              </w:rPr>
              <w:t>854</w:t>
            </w:r>
          </w:p>
        </w:tc>
        <w:tc>
          <w:tcPr>
            <w:tcW w:w="497" w:type="pct"/>
            <w:tcBorders>
              <w:top w:val="nil"/>
              <w:left w:val="nil"/>
              <w:bottom w:val="single" w:sz="4" w:space="0" w:color="auto"/>
              <w:right w:val="single" w:sz="4" w:space="0" w:color="auto"/>
            </w:tcBorders>
            <w:shd w:val="clear" w:color="000000" w:fill="FFFFFF"/>
            <w:vAlign w:val="center"/>
            <w:hideMark/>
          </w:tcPr>
          <w:p w14:paraId="2C61DD8F" w14:textId="5E3C2E75" w:rsidR="003B015A" w:rsidRDefault="003B015A">
            <w:pPr>
              <w:jc w:val="right"/>
              <w:rPr>
                <w:noProof/>
                <w:color w:val="000000"/>
                <w:sz w:val="20"/>
                <w:szCs w:val="20"/>
              </w:rPr>
            </w:pPr>
            <w:r>
              <w:rPr>
                <w:noProof/>
                <w:color w:val="000000"/>
                <w:sz w:val="20"/>
                <w:szCs w:val="20"/>
              </w:rPr>
              <w:t>20%</w:t>
            </w:r>
          </w:p>
        </w:tc>
        <w:tc>
          <w:tcPr>
            <w:tcW w:w="497" w:type="pct"/>
            <w:tcBorders>
              <w:top w:val="nil"/>
              <w:left w:val="nil"/>
              <w:bottom w:val="single" w:sz="4" w:space="0" w:color="auto"/>
              <w:right w:val="single" w:sz="4" w:space="0" w:color="auto"/>
            </w:tcBorders>
            <w:shd w:val="clear" w:color="000000" w:fill="FFFFFF"/>
            <w:vAlign w:val="center"/>
            <w:hideMark/>
          </w:tcPr>
          <w:p w14:paraId="417D81CE" w14:textId="596EC01B" w:rsidR="003B015A" w:rsidRDefault="003B015A">
            <w:pPr>
              <w:jc w:val="right"/>
              <w:rPr>
                <w:noProof/>
                <w:color w:val="000000"/>
                <w:sz w:val="20"/>
                <w:szCs w:val="20"/>
              </w:rPr>
            </w:pPr>
            <w:r>
              <w:rPr>
                <w:noProof/>
                <w:color w:val="000000"/>
                <w:sz w:val="20"/>
                <w:szCs w:val="20"/>
              </w:rPr>
              <w:t>60%</w:t>
            </w:r>
          </w:p>
        </w:tc>
        <w:tc>
          <w:tcPr>
            <w:tcW w:w="497" w:type="pct"/>
            <w:tcBorders>
              <w:top w:val="nil"/>
              <w:left w:val="nil"/>
              <w:bottom w:val="single" w:sz="4" w:space="0" w:color="auto"/>
              <w:right w:val="single" w:sz="4" w:space="0" w:color="auto"/>
            </w:tcBorders>
            <w:shd w:val="clear" w:color="000000" w:fill="FFFFFF"/>
            <w:vAlign w:val="center"/>
            <w:hideMark/>
          </w:tcPr>
          <w:p w14:paraId="06E980EC" w14:textId="1C4C765A" w:rsidR="003B015A" w:rsidRDefault="003B015A">
            <w:pPr>
              <w:jc w:val="right"/>
              <w:rPr>
                <w:noProof/>
                <w:color w:val="000000"/>
                <w:sz w:val="20"/>
                <w:szCs w:val="20"/>
              </w:rPr>
            </w:pPr>
            <w:r>
              <w:rPr>
                <w:noProof/>
                <w:color w:val="000000"/>
                <w:sz w:val="20"/>
                <w:szCs w:val="20"/>
              </w:rPr>
              <w:t>97%</w:t>
            </w:r>
          </w:p>
        </w:tc>
      </w:tr>
      <w:tr w:rsidR="000F5BF4" w14:paraId="1F92E4FC" w14:textId="77777777" w:rsidTr="00D67ED0">
        <w:trPr>
          <w:trHeight w:val="765"/>
        </w:trPr>
        <w:tc>
          <w:tcPr>
            <w:tcW w:w="648" w:type="pct"/>
            <w:tcBorders>
              <w:top w:val="nil"/>
              <w:left w:val="single" w:sz="4" w:space="0" w:color="auto"/>
              <w:bottom w:val="single" w:sz="4" w:space="0" w:color="auto"/>
              <w:right w:val="single" w:sz="4" w:space="0" w:color="auto"/>
            </w:tcBorders>
            <w:vAlign w:val="center"/>
            <w:hideMark/>
          </w:tcPr>
          <w:p w14:paraId="719E36FD" w14:textId="77777777" w:rsidR="003B015A" w:rsidRDefault="003B015A">
            <w:pPr>
              <w:rPr>
                <w:b/>
                <w:bCs/>
                <w:noProof/>
                <w:color w:val="000000"/>
                <w:sz w:val="20"/>
                <w:szCs w:val="20"/>
              </w:rPr>
            </w:pPr>
            <w:r>
              <w:rPr>
                <w:b/>
                <w:bCs/>
                <w:noProof/>
                <w:color w:val="000000"/>
                <w:sz w:val="20"/>
                <w:szCs w:val="20"/>
              </w:rPr>
              <w:t> </w:t>
            </w:r>
          </w:p>
        </w:tc>
        <w:tc>
          <w:tcPr>
            <w:tcW w:w="648" w:type="pct"/>
            <w:tcBorders>
              <w:top w:val="nil"/>
              <w:left w:val="nil"/>
              <w:bottom w:val="single" w:sz="4" w:space="0" w:color="auto"/>
              <w:right w:val="single" w:sz="4" w:space="0" w:color="auto"/>
            </w:tcBorders>
            <w:vAlign w:val="center"/>
            <w:hideMark/>
          </w:tcPr>
          <w:p w14:paraId="5DB087D0" w14:textId="77777777" w:rsidR="003B015A" w:rsidRDefault="003B015A">
            <w:pPr>
              <w:rPr>
                <w:b/>
                <w:bCs/>
                <w:noProof/>
                <w:color w:val="000000"/>
                <w:sz w:val="20"/>
                <w:szCs w:val="20"/>
              </w:rPr>
            </w:pPr>
            <w:r>
              <w:rPr>
                <w:b/>
                <w:bCs/>
                <w:noProof/>
                <w:color w:val="000000"/>
                <w:sz w:val="20"/>
                <w:szCs w:val="20"/>
              </w:rPr>
              <w:t>Share of total passenger tickets sold </w:t>
            </w:r>
          </w:p>
        </w:tc>
        <w:tc>
          <w:tcPr>
            <w:tcW w:w="443" w:type="pct"/>
            <w:tcBorders>
              <w:top w:val="nil"/>
              <w:left w:val="nil"/>
              <w:bottom w:val="single" w:sz="4" w:space="0" w:color="auto"/>
              <w:right w:val="single" w:sz="4" w:space="0" w:color="auto"/>
            </w:tcBorders>
            <w:vAlign w:val="center"/>
            <w:hideMark/>
          </w:tcPr>
          <w:p w14:paraId="585712CC" w14:textId="69B1CE01" w:rsidR="003B015A" w:rsidRDefault="003B015A">
            <w:pPr>
              <w:jc w:val="right"/>
              <w:rPr>
                <w:b/>
                <w:bCs/>
                <w:noProof/>
                <w:color w:val="000000"/>
                <w:sz w:val="20"/>
                <w:szCs w:val="20"/>
              </w:rPr>
            </w:pPr>
            <w:r>
              <w:rPr>
                <w:b/>
                <w:bCs/>
                <w:noProof/>
                <w:color w:val="000000"/>
                <w:sz w:val="20"/>
                <w:szCs w:val="20"/>
              </w:rPr>
              <w:t>6.7%</w:t>
            </w:r>
          </w:p>
        </w:tc>
        <w:tc>
          <w:tcPr>
            <w:tcW w:w="443" w:type="pct"/>
            <w:tcBorders>
              <w:top w:val="nil"/>
              <w:left w:val="nil"/>
              <w:bottom w:val="single" w:sz="4" w:space="0" w:color="auto"/>
              <w:right w:val="single" w:sz="4" w:space="0" w:color="auto"/>
            </w:tcBorders>
            <w:vAlign w:val="center"/>
            <w:hideMark/>
          </w:tcPr>
          <w:p w14:paraId="1F790CF4" w14:textId="70AABF64" w:rsidR="003B015A" w:rsidRDefault="003B015A">
            <w:pPr>
              <w:jc w:val="right"/>
              <w:rPr>
                <w:b/>
                <w:bCs/>
                <w:noProof/>
                <w:color w:val="000000"/>
                <w:sz w:val="20"/>
                <w:szCs w:val="20"/>
              </w:rPr>
            </w:pPr>
            <w:r>
              <w:rPr>
                <w:b/>
                <w:bCs/>
                <w:noProof/>
                <w:color w:val="000000"/>
                <w:sz w:val="20"/>
                <w:szCs w:val="20"/>
              </w:rPr>
              <w:t>7.0%</w:t>
            </w:r>
          </w:p>
        </w:tc>
        <w:tc>
          <w:tcPr>
            <w:tcW w:w="443" w:type="pct"/>
            <w:tcBorders>
              <w:top w:val="nil"/>
              <w:left w:val="nil"/>
              <w:bottom w:val="single" w:sz="4" w:space="0" w:color="auto"/>
              <w:right w:val="single" w:sz="4" w:space="0" w:color="auto"/>
            </w:tcBorders>
            <w:vAlign w:val="center"/>
            <w:hideMark/>
          </w:tcPr>
          <w:p w14:paraId="01F2B540" w14:textId="77777777" w:rsidR="003B015A" w:rsidRDefault="003B015A">
            <w:pPr>
              <w:jc w:val="right"/>
              <w:rPr>
                <w:b/>
                <w:bCs/>
                <w:noProof/>
                <w:color w:val="000000"/>
                <w:sz w:val="20"/>
                <w:szCs w:val="20"/>
              </w:rPr>
            </w:pPr>
            <w:r>
              <w:rPr>
                <w:b/>
                <w:bCs/>
                <w:noProof/>
                <w:color w:val="000000"/>
                <w:sz w:val="20"/>
                <w:szCs w:val="20"/>
              </w:rPr>
              <w:t>7.1%</w:t>
            </w:r>
          </w:p>
        </w:tc>
        <w:tc>
          <w:tcPr>
            <w:tcW w:w="443" w:type="pct"/>
            <w:tcBorders>
              <w:top w:val="nil"/>
              <w:left w:val="nil"/>
              <w:bottom w:val="single" w:sz="4" w:space="0" w:color="auto"/>
              <w:right w:val="single" w:sz="4" w:space="0" w:color="auto"/>
            </w:tcBorders>
            <w:vAlign w:val="center"/>
            <w:hideMark/>
          </w:tcPr>
          <w:p w14:paraId="57200C19" w14:textId="77777777" w:rsidR="003B015A" w:rsidRDefault="003B015A">
            <w:pPr>
              <w:jc w:val="right"/>
              <w:rPr>
                <w:b/>
                <w:bCs/>
                <w:noProof/>
                <w:color w:val="000000"/>
                <w:sz w:val="20"/>
                <w:szCs w:val="20"/>
              </w:rPr>
            </w:pPr>
            <w:r>
              <w:rPr>
                <w:b/>
                <w:bCs/>
                <w:noProof/>
                <w:color w:val="000000"/>
                <w:sz w:val="20"/>
                <w:szCs w:val="20"/>
              </w:rPr>
              <w:t>8.6%</w:t>
            </w:r>
          </w:p>
        </w:tc>
        <w:tc>
          <w:tcPr>
            <w:tcW w:w="443" w:type="pct"/>
            <w:tcBorders>
              <w:top w:val="nil"/>
              <w:left w:val="nil"/>
              <w:bottom w:val="single" w:sz="4" w:space="0" w:color="auto"/>
              <w:right w:val="single" w:sz="4" w:space="0" w:color="auto"/>
            </w:tcBorders>
            <w:vAlign w:val="center"/>
            <w:hideMark/>
          </w:tcPr>
          <w:p w14:paraId="037D0F9A" w14:textId="77777777" w:rsidR="003B015A" w:rsidRDefault="003B015A">
            <w:pPr>
              <w:jc w:val="right"/>
              <w:rPr>
                <w:b/>
                <w:bCs/>
                <w:noProof/>
                <w:color w:val="000000"/>
                <w:sz w:val="20"/>
                <w:szCs w:val="20"/>
              </w:rPr>
            </w:pPr>
            <w:r>
              <w:rPr>
                <w:b/>
                <w:bCs/>
                <w:noProof/>
                <w:color w:val="000000"/>
                <w:sz w:val="20"/>
                <w:szCs w:val="20"/>
              </w:rPr>
              <w:t>10.1%</w:t>
            </w:r>
          </w:p>
        </w:tc>
        <w:tc>
          <w:tcPr>
            <w:tcW w:w="497" w:type="pct"/>
            <w:tcBorders>
              <w:top w:val="nil"/>
              <w:left w:val="nil"/>
              <w:bottom w:val="single" w:sz="4" w:space="0" w:color="auto"/>
              <w:right w:val="single" w:sz="4" w:space="0" w:color="auto"/>
            </w:tcBorders>
            <w:shd w:val="clear" w:color="000000" w:fill="FFFFFF"/>
            <w:vAlign w:val="center"/>
            <w:hideMark/>
          </w:tcPr>
          <w:p w14:paraId="6FCC3C5E" w14:textId="77777777" w:rsidR="003B015A" w:rsidRDefault="003B015A">
            <w:pPr>
              <w:jc w:val="right"/>
              <w:rPr>
                <w:b/>
                <w:bCs/>
                <w:noProof/>
                <w:color w:val="000000"/>
                <w:sz w:val="20"/>
                <w:szCs w:val="20"/>
              </w:rPr>
            </w:pPr>
            <w:r>
              <w:rPr>
                <w:b/>
                <w:bCs/>
                <w:noProof/>
                <w:color w:val="000000"/>
                <w:sz w:val="20"/>
                <w:szCs w:val="20"/>
              </w:rPr>
              <w:t> </w:t>
            </w:r>
          </w:p>
        </w:tc>
        <w:tc>
          <w:tcPr>
            <w:tcW w:w="497" w:type="pct"/>
            <w:tcBorders>
              <w:top w:val="nil"/>
              <w:left w:val="nil"/>
              <w:bottom w:val="single" w:sz="4" w:space="0" w:color="auto"/>
              <w:right w:val="single" w:sz="4" w:space="0" w:color="auto"/>
            </w:tcBorders>
            <w:shd w:val="clear" w:color="000000" w:fill="FFFFFF"/>
            <w:vAlign w:val="center"/>
            <w:hideMark/>
          </w:tcPr>
          <w:p w14:paraId="0934CF8C" w14:textId="77777777" w:rsidR="003B015A" w:rsidRDefault="003B015A">
            <w:pPr>
              <w:jc w:val="right"/>
              <w:rPr>
                <w:b/>
                <w:bCs/>
                <w:noProof/>
                <w:color w:val="000000"/>
                <w:sz w:val="20"/>
                <w:szCs w:val="20"/>
              </w:rPr>
            </w:pPr>
            <w:r>
              <w:rPr>
                <w:b/>
                <w:bCs/>
                <w:noProof/>
                <w:color w:val="000000"/>
                <w:sz w:val="20"/>
                <w:szCs w:val="20"/>
              </w:rPr>
              <w:t> </w:t>
            </w:r>
          </w:p>
        </w:tc>
        <w:tc>
          <w:tcPr>
            <w:tcW w:w="497" w:type="pct"/>
            <w:tcBorders>
              <w:top w:val="nil"/>
              <w:left w:val="nil"/>
              <w:bottom w:val="single" w:sz="4" w:space="0" w:color="auto"/>
              <w:right w:val="single" w:sz="4" w:space="0" w:color="auto"/>
            </w:tcBorders>
            <w:shd w:val="clear" w:color="000000" w:fill="FFFFFF"/>
            <w:vAlign w:val="center"/>
            <w:hideMark/>
          </w:tcPr>
          <w:p w14:paraId="4A0AE8D4" w14:textId="77777777" w:rsidR="003B015A" w:rsidRDefault="003B015A">
            <w:pPr>
              <w:jc w:val="right"/>
              <w:rPr>
                <w:b/>
                <w:bCs/>
                <w:noProof/>
                <w:color w:val="000000"/>
                <w:sz w:val="20"/>
                <w:szCs w:val="20"/>
              </w:rPr>
            </w:pPr>
            <w:r>
              <w:rPr>
                <w:b/>
                <w:bCs/>
                <w:noProof/>
                <w:color w:val="000000"/>
                <w:sz w:val="20"/>
                <w:szCs w:val="20"/>
              </w:rPr>
              <w:t> </w:t>
            </w:r>
          </w:p>
        </w:tc>
      </w:tr>
    </w:tbl>
    <w:p w14:paraId="1322EC77" w14:textId="707056AF" w:rsidR="00B565B2" w:rsidRDefault="00B565B2" w:rsidP="00B565B2">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r w:rsidRPr="002B6B8A">
        <w:rPr>
          <w:i/>
          <w:iCs/>
          <w:noProof/>
          <w:sz w:val="20"/>
          <w:szCs w:val="20"/>
        </w:rPr>
        <w:t xml:space="preserve"> </w:t>
      </w:r>
    </w:p>
    <w:p w14:paraId="051BC8FA" w14:textId="018BA0F0" w:rsidR="00FC0607" w:rsidRPr="00117904" w:rsidRDefault="00FC0607" w:rsidP="007B2D8E">
      <w:pPr>
        <w:pStyle w:val="ListParagraph"/>
        <w:keepNext/>
        <w:widowControl/>
        <w:numPr>
          <w:ilvl w:val="2"/>
          <w:numId w:val="10"/>
        </w:numPr>
        <w:autoSpaceDE/>
        <w:autoSpaceDN/>
        <w:spacing w:after="240"/>
        <w:jc w:val="both"/>
        <w:outlineLvl w:val="2"/>
        <w:rPr>
          <w:i/>
          <w:noProof/>
        </w:rPr>
      </w:pPr>
      <w:bookmarkStart w:id="406" w:name="_Toc223980032"/>
      <w:r w:rsidRPr="00117904">
        <w:rPr>
          <w:i/>
          <w:noProof/>
          <w:sz w:val="24"/>
          <w:szCs w:val="24"/>
        </w:rPr>
        <w:t>External costs of road congestion</w:t>
      </w:r>
      <w:r w:rsidR="007667CC">
        <w:rPr>
          <w:i/>
          <w:noProof/>
          <w:sz w:val="24"/>
          <w:szCs w:val="24"/>
        </w:rPr>
        <w:t>,</w:t>
      </w:r>
      <w:r w:rsidRPr="00117904">
        <w:rPr>
          <w:i/>
          <w:noProof/>
          <w:sz w:val="24"/>
          <w:szCs w:val="24"/>
        </w:rPr>
        <w:t xml:space="preserve"> and road fatalities and injuries</w:t>
      </w:r>
      <w:bookmarkEnd w:id="406"/>
    </w:p>
    <w:p w14:paraId="77239F4C" w14:textId="77777777" w:rsidR="007667CC" w:rsidRDefault="00FC0607" w:rsidP="00FC0607">
      <w:pPr>
        <w:spacing w:after="240"/>
        <w:jc w:val="both"/>
        <w:rPr>
          <w:noProof/>
          <w:spacing w:val="-8"/>
        </w:rPr>
      </w:pPr>
      <w:r w:rsidRPr="001E3C0A">
        <w:rPr>
          <w:noProof/>
          <w:spacing w:val="-8"/>
        </w:rPr>
        <w:t>Road congestion costs in the baseline scenario would increase by about 18% by 2030 and 34% by 2050, relative to 2015. On the inter-urban network this would be the result of growing transport activity along specific corridors, in particular where these corridors cross urban areas with heavy local traffic.</w:t>
      </w:r>
      <w:r>
        <w:rPr>
          <w:noProof/>
          <w:spacing w:val="-8"/>
        </w:rPr>
        <w:t xml:space="preserve"> </w:t>
      </w:r>
    </w:p>
    <w:p w14:paraId="15F9E196" w14:textId="0F34C985" w:rsidR="00FC0607" w:rsidRDefault="00FC0607" w:rsidP="00FC0607">
      <w:pPr>
        <w:spacing w:after="240"/>
        <w:jc w:val="both"/>
        <w:rPr>
          <w:noProof/>
          <w:spacing w:val="-8"/>
        </w:rPr>
      </w:pPr>
      <w:r>
        <w:rPr>
          <w:noProof/>
          <w:spacing w:val="-8"/>
        </w:rPr>
        <w:t>On the other hand, driven by policy in place and the assumed implementation of the Roadworthiness package, t</w:t>
      </w:r>
      <w:r w:rsidRPr="00AC2C71">
        <w:rPr>
          <w:noProof/>
          <w:spacing w:val="-8"/>
        </w:rPr>
        <w:t xml:space="preserve">he number of fatalities is expected to </w:t>
      </w:r>
      <w:r>
        <w:rPr>
          <w:noProof/>
          <w:spacing w:val="-8"/>
        </w:rPr>
        <w:t>decrease</w:t>
      </w:r>
      <w:r w:rsidRPr="00AC2C71">
        <w:rPr>
          <w:noProof/>
          <w:spacing w:val="-8"/>
        </w:rPr>
        <w:t xml:space="preserve"> by 25% by 2030</w:t>
      </w:r>
      <w:r>
        <w:rPr>
          <w:noProof/>
          <w:spacing w:val="-8"/>
        </w:rPr>
        <w:t>, relative to 2015 (</w:t>
      </w:r>
      <w:r w:rsidRPr="00AC2C71">
        <w:rPr>
          <w:noProof/>
          <w:spacing w:val="-8"/>
        </w:rPr>
        <w:t xml:space="preserve">36% </w:t>
      </w:r>
      <w:r>
        <w:rPr>
          <w:noProof/>
          <w:spacing w:val="-8"/>
        </w:rPr>
        <w:t xml:space="preserve">decrease </w:t>
      </w:r>
      <w:r w:rsidRPr="00AC2C71">
        <w:rPr>
          <w:noProof/>
          <w:spacing w:val="-8"/>
        </w:rPr>
        <w:t>by 2050</w:t>
      </w:r>
      <w:r>
        <w:rPr>
          <w:noProof/>
          <w:spacing w:val="-8"/>
        </w:rPr>
        <w:t>) and the</w:t>
      </w:r>
      <w:r w:rsidRPr="00AC2C71">
        <w:rPr>
          <w:noProof/>
          <w:spacing w:val="-8"/>
        </w:rPr>
        <w:t xml:space="preserve"> number of injuries </w:t>
      </w:r>
      <w:r>
        <w:rPr>
          <w:noProof/>
          <w:spacing w:val="-8"/>
        </w:rPr>
        <w:t xml:space="preserve">by 23% by 2030 (32% reduction for 2015-2050). </w:t>
      </w:r>
    </w:p>
    <w:p w14:paraId="2E4FE4E6" w14:textId="5B0551A7" w:rsidR="00FC0607" w:rsidRPr="00AB1D27" w:rsidRDefault="00FC0607" w:rsidP="00E917FA">
      <w:pPr>
        <w:keepNext/>
        <w:tabs>
          <w:tab w:val="left" w:pos="1134"/>
        </w:tabs>
        <w:jc w:val="both"/>
        <w:rPr>
          <w:i/>
          <w:noProof/>
          <w:sz w:val="22"/>
          <w:szCs w:val="22"/>
        </w:rPr>
      </w:pPr>
      <w:r w:rsidRPr="00AB1D27">
        <w:rPr>
          <w:i/>
          <w:noProof/>
          <w:sz w:val="22"/>
          <w:szCs w:val="22"/>
        </w:rPr>
        <w:t xml:space="preserve">Table </w:t>
      </w:r>
      <w:r w:rsidRPr="00AB1D27">
        <w:rPr>
          <w:i/>
          <w:noProof/>
          <w:sz w:val="22"/>
          <w:szCs w:val="22"/>
        </w:rPr>
        <w:fldChar w:fldCharType="begin"/>
      </w:r>
      <w:r w:rsidRPr="00AB1D27">
        <w:rPr>
          <w:i/>
          <w:noProof/>
          <w:sz w:val="22"/>
          <w:szCs w:val="22"/>
        </w:rPr>
        <w:instrText xml:space="preserve"> SEQ Table \* ARABIC </w:instrText>
      </w:r>
      <w:r w:rsidRPr="00AB1D27">
        <w:rPr>
          <w:i/>
          <w:noProof/>
          <w:sz w:val="22"/>
          <w:szCs w:val="22"/>
        </w:rPr>
        <w:fldChar w:fldCharType="separate"/>
      </w:r>
      <w:r w:rsidR="0055391F">
        <w:rPr>
          <w:i/>
          <w:noProof/>
          <w:sz w:val="22"/>
          <w:szCs w:val="22"/>
        </w:rPr>
        <w:t>61</w:t>
      </w:r>
      <w:r w:rsidRPr="00AB1D27">
        <w:rPr>
          <w:i/>
          <w:noProof/>
          <w:sz w:val="22"/>
          <w:szCs w:val="22"/>
        </w:rPr>
        <w:fldChar w:fldCharType="end"/>
      </w:r>
      <w:r w:rsidRPr="00AB1D27">
        <w:rPr>
          <w:i/>
          <w:noProof/>
          <w:sz w:val="22"/>
          <w:szCs w:val="22"/>
        </w:rPr>
        <w:t>: Road fatalities and injuries in the baseline scenario at EU level</w:t>
      </w:r>
    </w:p>
    <w:tbl>
      <w:tblPr>
        <w:tblW w:w="5119" w:type="pct"/>
        <w:tblLook w:val="04A0" w:firstRow="1" w:lastRow="0" w:firstColumn="1" w:lastColumn="0" w:noHBand="0" w:noVBand="1"/>
      </w:tblPr>
      <w:tblGrid>
        <w:gridCol w:w="1556"/>
        <w:gridCol w:w="1051"/>
        <w:gridCol w:w="966"/>
        <w:gridCol w:w="967"/>
        <w:gridCol w:w="967"/>
        <w:gridCol w:w="967"/>
        <w:gridCol w:w="1042"/>
        <w:gridCol w:w="1044"/>
        <w:gridCol w:w="1044"/>
        <w:gridCol w:w="228"/>
      </w:tblGrid>
      <w:tr w:rsidR="00FC0607" w14:paraId="5EEFEC1E" w14:textId="77777777" w:rsidTr="00B3360E">
        <w:trPr>
          <w:gridAfter w:val="1"/>
          <w:wAfter w:w="116" w:type="pct"/>
          <w:trHeight w:val="464"/>
        </w:trPr>
        <w:tc>
          <w:tcPr>
            <w:tcW w:w="791"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4A0D283E" w14:textId="77777777" w:rsidR="00FC0607" w:rsidRDefault="00FC0607" w:rsidP="00E917FA">
            <w:pPr>
              <w:keepNext/>
              <w:rPr>
                <w:rFonts w:ascii="Arial" w:hAnsi="Arial" w:cs="Arial"/>
                <w:noProof/>
                <w:color w:val="000000"/>
                <w:sz w:val="20"/>
                <w:szCs w:val="20"/>
              </w:rPr>
            </w:pPr>
            <w:r>
              <w:rPr>
                <w:rFonts w:ascii="Arial" w:hAnsi="Arial" w:cs="Arial"/>
                <w:noProof/>
                <w:color w:val="000000"/>
                <w:sz w:val="20"/>
                <w:szCs w:val="20"/>
              </w:rPr>
              <w:t> </w:t>
            </w:r>
          </w:p>
        </w:tc>
        <w:tc>
          <w:tcPr>
            <w:tcW w:w="534"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75CDA072" w14:textId="77777777" w:rsidR="00FC0607" w:rsidRDefault="00FC0607" w:rsidP="00E917FA">
            <w:pPr>
              <w:keepNext/>
              <w:jc w:val="center"/>
              <w:rPr>
                <w:b/>
                <w:bCs/>
                <w:noProof/>
                <w:color w:val="FFFFFF"/>
                <w:sz w:val="20"/>
                <w:szCs w:val="20"/>
              </w:rPr>
            </w:pPr>
            <w:r>
              <w:rPr>
                <w:rFonts w:cs="Arial"/>
                <w:b/>
                <w:bCs/>
                <w:noProof/>
                <w:color w:val="FFFFFF"/>
                <w:sz w:val="20"/>
                <w:szCs w:val="20"/>
              </w:rPr>
              <w:t>2015</w:t>
            </w:r>
          </w:p>
        </w:tc>
        <w:tc>
          <w:tcPr>
            <w:tcW w:w="491"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6C913204" w14:textId="77777777" w:rsidR="00FC0607" w:rsidRDefault="00FC0607" w:rsidP="00E917FA">
            <w:pPr>
              <w:keepNext/>
              <w:jc w:val="center"/>
              <w:rPr>
                <w:b/>
                <w:bCs/>
                <w:noProof/>
                <w:color w:val="FFFFFF"/>
                <w:sz w:val="20"/>
                <w:szCs w:val="20"/>
              </w:rPr>
            </w:pPr>
            <w:r>
              <w:rPr>
                <w:rFonts w:cs="Arial"/>
                <w:b/>
                <w:bCs/>
                <w:noProof/>
                <w:color w:val="FFFFFF"/>
                <w:sz w:val="20"/>
                <w:szCs w:val="20"/>
              </w:rPr>
              <w:t>2028</w:t>
            </w:r>
          </w:p>
        </w:tc>
        <w:tc>
          <w:tcPr>
            <w:tcW w:w="492"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1938C65B" w14:textId="77777777" w:rsidR="00FC0607" w:rsidRDefault="00FC0607" w:rsidP="00E917FA">
            <w:pPr>
              <w:keepNext/>
              <w:jc w:val="center"/>
              <w:rPr>
                <w:b/>
                <w:bCs/>
                <w:noProof/>
                <w:color w:val="FFFFFF"/>
                <w:sz w:val="20"/>
                <w:szCs w:val="20"/>
              </w:rPr>
            </w:pPr>
            <w:r>
              <w:rPr>
                <w:rFonts w:cs="Arial"/>
                <w:b/>
                <w:bCs/>
                <w:noProof/>
                <w:color w:val="FFFFFF"/>
                <w:sz w:val="20"/>
                <w:szCs w:val="20"/>
              </w:rPr>
              <w:t>2030</w:t>
            </w:r>
          </w:p>
        </w:tc>
        <w:tc>
          <w:tcPr>
            <w:tcW w:w="492"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321E5120" w14:textId="77777777" w:rsidR="00FC0607" w:rsidRDefault="00FC0607" w:rsidP="00E917FA">
            <w:pPr>
              <w:keepNext/>
              <w:jc w:val="center"/>
              <w:rPr>
                <w:b/>
                <w:bCs/>
                <w:noProof/>
                <w:color w:val="FFFFFF"/>
                <w:sz w:val="20"/>
                <w:szCs w:val="20"/>
              </w:rPr>
            </w:pPr>
            <w:r>
              <w:rPr>
                <w:rFonts w:cs="Arial"/>
                <w:b/>
                <w:bCs/>
                <w:noProof/>
                <w:color w:val="FFFFFF"/>
                <w:sz w:val="20"/>
                <w:szCs w:val="20"/>
              </w:rPr>
              <w:t>2040</w:t>
            </w:r>
          </w:p>
        </w:tc>
        <w:tc>
          <w:tcPr>
            <w:tcW w:w="492"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501AF7B7" w14:textId="77777777" w:rsidR="00FC0607" w:rsidRDefault="00FC0607" w:rsidP="00E917FA">
            <w:pPr>
              <w:keepNext/>
              <w:jc w:val="center"/>
              <w:rPr>
                <w:b/>
                <w:bCs/>
                <w:noProof/>
                <w:color w:val="FFFFFF"/>
                <w:sz w:val="20"/>
                <w:szCs w:val="20"/>
              </w:rPr>
            </w:pPr>
            <w:r>
              <w:rPr>
                <w:rFonts w:cs="Arial"/>
                <w:b/>
                <w:bCs/>
                <w:noProof/>
                <w:color w:val="FFFFFF"/>
                <w:sz w:val="20"/>
                <w:szCs w:val="20"/>
              </w:rPr>
              <w:t>2050</w:t>
            </w:r>
          </w:p>
        </w:tc>
        <w:tc>
          <w:tcPr>
            <w:tcW w:w="530" w:type="pct"/>
            <w:vMerge w:val="restart"/>
            <w:tcBorders>
              <w:top w:val="single" w:sz="4" w:space="0" w:color="auto"/>
              <w:left w:val="single" w:sz="4" w:space="0" w:color="auto"/>
              <w:bottom w:val="single" w:sz="4" w:space="0" w:color="000000"/>
              <w:right w:val="single" w:sz="4" w:space="0" w:color="auto"/>
            </w:tcBorders>
            <w:shd w:val="clear" w:color="000000" w:fill="0070C0"/>
            <w:hideMark/>
          </w:tcPr>
          <w:p w14:paraId="359DFF13" w14:textId="77777777" w:rsidR="00FC0607" w:rsidRDefault="00FC0607" w:rsidP="00E917FA">
            <w:pPr>
              <w:keepNext/>
              <w:jc w:val="center"/>
              <w:rPr>
                <w:b/>
                <w:bCs/>
                <w:noProof/>
                <w:color w:val="FFFFFF"/>
                <w:sz w:val="20"/>
                <w:szCs w:val="20"/>
              </w:rPr>
            </w:pPr>
            <w:r>
              <w:rPr>
                <w:rFonts w:cs="Arial"/>
                <w:b/>
                <w:bCs/>
                <w:noProof/>
                <w:color w:val="FFFFFF"/>
                <w:sz w:val="20"/>
                <w:szCs w:val="20"/>
              </w:rPr>
              <w:t>2015-2030</w:t>
            </w:r>
          </w:p>
        </w:tc>
        <w:tc>
          <w:tcPr>
            <w:tcW w:w="531" w:type="pct"/>
            <w:vMerge w:val="restart"/>
            <w:tcBorders>
              <w:top w:val="single" w:sz="4" w:space="0" w:color="auto"/>
              <w:left w:val="single" w:sz="4" w:space="0" w:color="auto"/>
              <w:bottom w:val="single" w:sz="4" w:space="0" w:color="000000"/>
              <w:right w:val="single" w:sz="4" w:space="0" w:color="auto"/>
            </w:tcBorders>
            <w:shd w:val="clear" w:color="000000" w:fill="0070C0"/>
            <w:hideMark/>
          </w:tcPr>
          <w:p w14:paraId="094F3C58" w14:textId="77777777" w:rsidR="00FC0607" w:rsidRDefault="00FC0607" w:rsidP="00E917FA">
            <w:pPr>
              <w:keepNext/>
              <w:jc w:val="center"/>
              <w:rPr>
                <w:b/>
                <w:bCs/>
                <w:noProof/>
                <w:color w:val="FFFFFF"/>
                <w:sz w:val="20"/>
                <w:szCs w:val="20"/>
              </w:rPr>
            </w:pPr>
            <w:r>
              <w:rPr>
                <w:rFonts w:cs="Arial"/>
                <w:b/>
                <w:bCs/>
                <w:noProof/>
                <w:color w:val="FFFFFF"/>
                <w:sz w:val="20"/>
                <w:szCs w:val="20"/>
              </w:rPr>
              <w:t>2015-2040</w:t>
            </w:r>
          </w:p>
        </w:tc>
        <w:tc>
          <w:tcPr>
            <w:tcW w:w="531"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3FCAB789" w14:textId="77777777" w:rsidR="00FC0607" w:rsidRDefault="00FC0607" w:rsidP="00E917FA">
            <w:pPr>
              <w:keepNext/>
              <w:jc w:val="center"/>
              <w:rPr>
                <w:b/>
                <w:bCs/>
                <w:noProof/>
                <w:color w:val="FFFFFF"/>
                <w:sz w:val="20"/>
                <w:szCs w:val="20"/>
              </w:rPr>
            </w:pPr>
            <w:r>
              <w:rPr>
                <w:rFonts w:cs="Arial"/>
                <w:b/>
                <w:bCs/>
                <w:noProof/>
                <w:color w:val="FFFFFF"/>
                <w:sz w:val="20"/>
                <w:szCs w:val="20"/>
              </w:rPr>
              <w:t>2015-2050</w:t>
            </w:r>
          </w:p>
        </w:tc>
      </w:tr>
      <w:tr w:rsidR="00FC0607" w14:paraId="6F430F45" w14:textId="77777777" w:rsidTr="00B3360E">
        <w:trPr>
          <w:trHeight w:val="114"/>
        </w:trPr>
        <w:tc>
          <w:tcPr>
            <w:tcW w:w="791" w:type="pct"/>
            <w:vMerge/>
            <w:tcBorders>
              <w:top w:val="single" w:sz="4" w:space="0" w:color="auto"/>
              <w:left w:val="single" w:sz="4" w:space="0" w:color="auto"/>
              <w:bottom w:val="single" w:sz="4" w:space="0" w:color="auto"/>
              <w:right w:val="single" w:sz="4" w:space="0" w:color="auto"/>
            </w:tcBorders>
            <w:hideMark/>
          </w:tcPr>
          <w:p w14:paraId="35422393" w14:textId="77777777" w:rsidR="00FC0607" w:rsidRDefault="00FC0607">
            <w:pPr>
              <w:rPr>
                <w:rFonts w:ascii="Arial" w:hAnsi="Arial" w:cs="Arial"/>
                <w:noProof/>
                <w:color w:val="000000"/>
                <w:sz w:val="20"/>
                <w:szCs w:val="20"/>
              </w:rPr>
            </w:pPr>
          </w:p>
        </w:tc>
        <w:tc>
          <w:tcPr>
            <w:tcW w:w="534" w:type="pct"/>
            <w:vMerge/>
            <w:tcBorders>
              <w:top w:val="single" w:sz="4" w:space="0" w:color="auto"/>
              <w:left w:val="single" w:sz="4" w:space="0" w:color="auto"/>
              <w:bottom w:val="single" w:sz="4" w:space="0" w:color="auto"/>
              <w:right w:val="single" w:sz="4" w:space="0" w:color="auto"/>
            </w:tcBorders>
            <w:hideMark/>
          </w:tcPr>
          <w:p w14:paraId="455B8EBA" w14:textId="77777777" w:rsidR="00FC0607" w:rsidRDefault="00FC0607">
            <w:pPr>
              <w:rPr>
                <w:b/>
                <w:bCs/>
                <w:noProof/>
                <w:color w:val="FFFFFF"/>
                <w:sz w:val="20"/>
                <w:szCs w:val="20"/>
              </w:rPr>
            </w:pPr>
          </w:p>
        </w:tc>
        <w:tc>
          <w:tcPr>
            <w:tcW w:w="491" w:type="pct"/>
            <w:vMerge/>
            <w:tcBorders>
              <w:top w:val="single" w:sz="4" w:space="0" w:color="auto"/>
              <w:left w:val="single" w:sz="4" w:space="0" w:color="auto"/>
              <w:bottom w:val="single" w:sz="4" w:space="0" w:color="auto"/>
              <w:right w:val="single" w:sz="4" w:space="0" w:color="auto"/>
            </w:tcBorders>
            <w:hideMark/>
          </w:tcPr>
          <w:p w14:paraId="647F449E" w14:textId="77777777" w:rsidR="00FC0607" w:rsidRDefault="00FC0607">
            <w:pPr>
              <w:rPr>
                <w:b/>
                <w:bCs/>
                <w:noProof/>
                <w:color w:val="FFFFFF"/>
                <w:sz w:val="20"/>
                <w:szCs w:val="20"/>
              </w:rPr>
            </w:pPr>
          </w:p>
        </w:tc>
        <w:tc>
          <w:tcPr>
            <w:tcW w:w="492" w:type="pct"/>
            <w:vMerge/>
            <w:tcBorders>
              <w:top w:val="single" w:sz="4" w:space="0" w:color="auto"/>
              <w:left w:val="single" w:sz="4" w:space="0" w:color="auto"/>
              <w:bottom w:val="single" w:sz="4" w:space="0" w:color="auto"/>
              <w:right w:val="single" w:sz="4" w:space="0" w:color="auto"/>
            </w:tcBorders>
            <w:hideMark/>
          </w:tcPr>
          <w:p w14:paraId="01785372" w14:textId="77777777" w:rsidR="00FC0607" w:rsidRDefault="00FC0607">
            <w:pPr>
              <w:rPr>
                <w:b/>
                <w:bCs/>
                <w:noProof/>
                <w:color w:val="FFFFFF"/>
                <w:sz w:val="20"/>
                <w:szCs w:val="20"/>
              </w:rPr>
            </w:pPr>
          </w:p>
        </w:tc>
        <w:tc>
          <w:tcPr>
            <w:tcW w:w="492" w:type="pct"/>
            <w:vMerge/>
            <w:tcBorders>
              <w:top w:val="single" w:sz="4" w:space="0" w:color="auto"/>
              <w:left w:val="single" w:sz="4" w:space="0" w:color="auto"/>
              <w:bottom w:val="single" w:sz="4" w:space="0" w:color="auto"/>
              <w:right w:val="single" w:sz="4" w:space="0" w:color="auto"/>
            </w:tcBorders>
            <w:hideMark/>
          </w:tcPr>
          <w:p w14:paraId="0025DB10" w14:textId="77777777" w:rsidR="00FC0607" w:rsidRDefault="00FC0607">
            <w:pPr>
              <w:rPr>
                <w:b/>
                <w:bCs/>
                <w:noProof/>
                <w:color w:val="FFFFFF"/>
                <w:sz w:val="20"/>
                <w:szCs w:val="20"/>
              </w:rPr>
            </w:pPr>
          </w:p>
        </w:tc>
        <w:tc>
          <w:tcPr>
            <w:tcW w:w="492" w:type="pct"/>
            <w:vMerge/>
            <w:tcBorders>
              <w:top w:val="single" w:sz="4" w:space="0" w:color="auto"/>
              <w:left w:val="single" w:sz="4" w:space="0" w:color="auto"/>
              <w:bottom w:val="single" w:sz="4" w:space="0" w:color="auto"/>
              <w:right w:val="single" w:sz="4" w:space="0" w:color="auto"/>
            </w:tcBorders>
            <w:hideMark/>
          </w:tcPr>
          <w:p w14:paraId="4751B374" w14:textId="77777777" w:rsidR="00FC0607" w:rsidRDefault="00FC0607">
            <w:pPr>
              <w:rPr>
                <w:b/>
                <w:bCs/>
                <w:noProof/>
                <w:color w:val="FFFFFF"/>
                <w:sz w:val="20"/>
                <w:szCs w:val="20"/>
              </w:rPr>
            </w:pPr>
          </w:p>
        </w:tc>
        <w:tc>
          <w:tcPr>
            <w:tcW w:w="530" w:type="pct"/>
            <w:vMerge/>
            <w:tcBorders>
              <w:top w:val="single" w:sz="4" w:space="0" w:color="auto"/>
              <w:left w:val="single" w:sz="4" w:space="0" w:color="auto"/>
              <w:bottom w:val="single" w:sz="4" w:space="0" w:color="000000"/>
              <w:right w:val="single" w:sz="4" w:space="0" w:color="auto"/>
            </w:tcBorders>
            <w:hideMark/>
          </w:tcPr>
          <w:p w14:paraId="245E48C9" w14:textId="77777777" w:rsidR="00FC0607" w:rsidRDefault="00FC0607">
            <w:pPr>
              <w:rPr>
                <w:b/>
                <w:bCs/>
                <w:noProof/>
                <w:color w:val="FFFFFF"/>
                <w:sz w:val="20"/>
                <w:szCs w:val="20"/>
              </w:rPr>
            </w:pPr>
          </w:p>
        </w:tc>
        <w:tc>
          <w:tcPr>
            <w:tcW w:w="531" w:type="pct"/>
            <w:vMerge/>
            <w:tcBorders>
              <w:top w:val="single" w:sz="4" w:space="0" w:color="auto"/>
              <w:left w:val="single" w:sz="4" w:space="0" w:color="auto"/>
              <w:bottom w:val="single" w:sz="4" w:space="0" w:color="000000"/>
              <w:right w:val="single" w:sz="4" w:space="0" w:color="auto"/>
            </w:tcBorders>
            <w:hideMark/>
          </w:tcPr>
          <w:p w14:paraId="501B1AB7" w14:textId="77777777" w:rsidR="00FC0607" w:rsidRDefault="00FC0607">
            <w:pPr>
              <w:rPr>
                <w:b/>
                <w:bCs/>
                <w:noProof/>
                <w:color w:val="FFFFFF"/>
                <w:sz w:val="20"/>
                <w:szCs w:val="20"/>
              </w:rPr>
            </w:pPr>
          </w:p>
        </w:tc>
        <w:tc>
          <w:tcPr>
            <w:tcW w:w="531" w:type="pct"/>
            <w:vMerge/>
            <w:tcBorders>
              <w:top w:val="single" w:sz="4" w:space="0" w:color="auto"/>
              <w:left w:val="single" w:sz="4" w:space="0" w:color="auto"/>
              <w:bottom w:val="single" w:sz="4" w:space="0" w:color="auto"/>
              <w:right w:val="single" w:sz="4" w:space="0" w:color="auto"/>
            </w:tcBorders>
            <w:hideMark/>
          </w:tcPr>
          <w:p w14:paraId="3ADCB433" w14:textId="77777777" w:rsidR="00FC0607" w:rsidRDefault="00FC0607">
            <w:pPr>
              <w:rPr>
                <w:b/>
                <w:bCs/>
                <w:noProof/>
                <w:color w:val="FFFFFF"/>
                <w:sz w:val="20"/>
                <w:szCs w:val="20"/>
              </w:rPr>
            </w:pPr>
          </w:p>
        </w:tc>
        <w:tc>
          <w:tcPr>
            <w:tcW w:w="116" w:type="pct"/>
            <w:tcBorders>
              <w:top w:val="nil"/>
              <w:left w:val="nil"/>
              <w:bottom w:val="nil"/>
              <w:right w:val="nil"/>
            </w:tcBorders>
            <w:noWrap/>
            <w:hideMark/>
          </w:tcPr>
          <w:p w14:paraId="3FF9DA93" w14:textId="77777777" w:rsidR="00FC0607" w:rsidRDefault="00FC0607">
            <w:pPr>
              <w:jc w:val="center"/>
              <w:rPr>
                <w:b/>
                <w:bCs/>
                <w:noProof/>
                <w:color w:val="FFFFFF"/>
                <w:sz w:val="20"/>
                <w:szCs w:val="20"/>
              </w:rPr>
            </w:pPr>
          </w:p>
        </w:tc>
      </w:tr>
      <w:tr w:rsidR="00961219" w14:paraId="2C95F8D0" w14:textId="77777777" w:rsidTr="00B3360E">
        <w:trPr>
          <w:trHeight w:val="300"/>
        </w:trPr>
        <w:tc>
          <w:tcPr>
            <w:tcW w:w="791" w:type="pct"/>
            <w:tcBorders>
              <w:top w:val="nil"/>
              <w:left w:val="single" w:sz="4" w:space="0" w:color="auto"/>
              <w:bottom w:val="single" w:sz="4" w:space="0" w:color="auto"/>
              <w:right w:val="single" w:sz="4" w:space="0" w:color="auto"/>
            </w:tcBorders>
            <w:hideMark/>
          </w:tcPr>
          <w:p w14:paraId="7AADAA0C" w14:textId="77777777" w:rsidR="00FC0607" w:rsidRDefault="00FC0607">
            <w:pPr>
              <w:jc w:val="both"/>
              <w:rPr>
                <w:noProof/>
                <w:color w:val="000000"/>
                <w:sz w:val="20"/>
                <w:szCs w:val="20"/>
              </w:rPr>
            </w:pPr>
            <w:r>
              <w:rPr>
                <w:rFonts w:cs="Arial"/>
                <w:noProof/>
                <w:color w:val="000000"/>
                <w:sz w:val="20"/>
                <w:szCs w:val="20"/>
              </w:rPr>
              <w:t>Fatalities</w:t>
            </w:r>
          </w:p>
        </w:tc>
        <w:tc>
          <w:tcPr>
            <w:tcW w:w="534" w:type="pct"/>
            <w:tcBorders>
              <w:top w:val="nil"/>
              <w:left w:val="nil"/>
              <w:bottom w:val="single" w:sz="4" w:space="0" w:color="auto"/>
              <w:right w:val="single" w:sz="4" w:space="0" w:color="auto"/>
            </w:tcBorders>
            <w:hideMark/>
          </w:tcPr>
          <w:p w14:paraId="7361826C" w14:textId="77777777" w:rsidR="00FC0607" w:rsidRDefault="00FC0607">
            <w:pPr>
              <w:jc w:val="right"/>
              <w:rPr>
                <w:noProof/>
                <w:color w:val="000000"/>
                <w:sz w:val="20"/>
                <w:szCs w:val="20"/>
              </w:rPr>
            </w:pPr>
            <w:r>
              <w:rPr>
                <w:rFonts w:cs="Arial"/>
                <w:noProof/>
                <w:color w:val="000000"/>
                <w:sz w:val="20"/>
                <w:szCs w:val="20"/>
              </w:rPr>
              <w:t>24,151</w:t>
            </w:r>
          </w:p>
        </w:tc>
        <w:tc>
          <w:tcPr>
            <w:tcW w:w="491" w:type="pct"/>
            <w:tcBorders>
              <w:top w:val="nil"/>
              <w:left w:val="nil"/>
              <w:bottom w:val="single" w:sz="4" w:space="0" w:color="auto"/>
              <w:right w:val="single" w:sz="4" w:space="0" w:color="auto"/>
            </w:tcBorders>
            <w:hideMark/>
          </w:tcPr>
          <w:p w14:paraId="7ED55102" w14:textId="77777777" w:rsidR="00FC0607" w:rsidRDefault="00FC0607">
            <w:pPr>
              <w:jc w:val="right"/>
              <w:rPr>
                <w:noProof/>
                <w:color w:val="000000"/>
                <w:sz w:val="20"/>
                <w:szCs w:val="20"/>
              </w:rPr>
            </w:pPr>
            <w:r>
              <w:rPr>
                <w:rFonts w:cs="Arial"/>
                <w:noProof/>
                <w:color w:val="000000"/>
                <w:sz w:val="20"/>
                <w:szCs w:val="20"/>
              </w:rPr>
              <w:t>18,675</w:t>
            </w:r>
          </w:p>
        </w:tc>
        <w:tc>
          <w:tcPr>
            <w:tcW w:w="492" w:type="pct"/>
            <w:tcBorders>
              <w:top w:val="nil"/>
              <w:left w:val="nil"/>
              <w:bottom w:val="single" w:sz="4" w:space="0" w:color="auto"/>
              <w:right w:val="single" w:sz="4" w:space="0" w:color="auto"/>
            </w:tcBorders>
            <w:hideMark/>
          </w:tcPr>
          <w:p w14:paraId="5891A998" w14:textId="77777777" w:rsidR="00FC0607" w:rsidRDefault="00FC0607">
            <w:pPr>
              <w:jc w:val="right"/>
              <w:rPr>
                <w:noProof/>
                <w:color w:val="000000"/>
                <w:sz w:val="20"/>
                <w:szCs w:val="20"/>
              </w:rPr>
            </w:pPr>
            <w:r>
              <w:rPr>
                <w:rFonts w:cs="Arial"/>
                <w:noProof/>
                <w:color w:val="000000"/>
                <w:sz w:val="20"/>
                <w:szCs w:val="20"/>
              </w:rPr>
              <w:t>18,082</w:t>
            </w:r>
          </w:p>
        </w:tc>
        <w:tc>
          <w:tcPr>
            <w:tcW w:w="492" w:type="pct"/>
            <w:tcBorders>
              <w:top w:val="nil"/>
              <w:left w:val="nil"/>
              <w:bottom w:val="single" w:sz="4" w:space="0" w:color="auto"/>
              <w:right w:val="single" w:sz="4" w:space="0" w:color="auto"/>
            </w:tcBorders>
            <w:hideMark/>
          </w:tcPr>
          <w:p w14:paraId="67240D66" w14:textId="77777777" w:rsidR="00FC0607" w:rsidRDefault="00FC0607">
            <w:pPr>
              <w:jc w:val="right"/>
              <w:rPr>
                <w:noProof/>
                <w:color w:val="000000"/>
                <w:sz w:val="20"/>
                <w:szCs w:val="20"/>
              </w:rPr>
            </w:pPr>
            <w:r>
              <w:rPr>
                <w:rFonts w:cs="Arial"/>
                <w:noProof/>
                <w:color w:val="000000"/>
                <w:sz w:val="20"/>
                <w:szCs w:val="20"/>
              </w:rPr>
              <w:t>16,702</w:t>
            </w:r>
          </w:p>
        </w:tc>
        <w:tc>
          <w:tcPr>
            <w:tcW w:w="492" w:type="pct"/>
            <w:tcBorders>
              <w:top w:val="nil"/>
              <w:left w:val="nil"/>
              <w:bottom w:val="single" w:sz="4" w:space="0" w:color="auto"/>
              <w:right w:val="single" w:sz="4" w:space="0" w:color="auto"/>
            </w:tcBorders>
            <w:hideMark/>
          </w:tcPr>
          <w:p w14:paraId="6D22F272" w14:textId="77777777" w:rsidR="00FC0607" w:rsidRDefault="00FC0607">
            <w:pPr>
              <w:jc w:val="right"/>
              <w:rPr>
                <w:noProof/>
                <w:color w:val="000000"/>
                <w:sz w:val="20"/>
                <w:szCs w:val="20"/>
              </w:rPr>
            </w:pPr>
            <w:r>
              <w:rPr>
                <w:rFonts w:cs="Arial"/>
                <w:noProof/>
                <w:color w:val="000000"/>
                <w:sz w:val="20"/>
                <w:szCs w:val="20"/>
              </w:rPr>
              <w:t>15,447</w:t>
            </w:r>
          </w:p>
        </w:tc>
        <w:tc>
          <w:tcPr>
            <w:tcW w:w="530" w:type="pct"/>
            <w:tcBorders>
              <w:top w:val="nil"/>
              <w:left w:val="nil"/>
              <w:bottom w:val="single" w:sz="4" w:space="0" w:color="auto"/>
              <w:right w:val="single" w:sz="4" w:space="0" w:color="auto"/>
            </w:tcBorders>
            <w:shd w:val="clear" w:color="000000" w:fill="FFFFFF"/>
            <w:hideMark/>
          </w:tcPr>
          <w:p w14:paraId="70BBEAEF" w14:textId="77777777" w:rsidR="00FC0607" w:rsidRDefault="00FC0607">
            <w:pPr>
              <w:jc w:val="right"/>
              <w:rPr>
                <w:noProof/>
                <w:color w:val="000000"/>
                <w:sz w:val="20"/>
                <w:szCs w:val="20"/>
              </w:rPr>
            </w:pPr>
            <w:r>
              <w:rPr>
                <w:rFonts w:cs="Arial"/>
                <w:noProof/>
                <w:color w:val="000000"/>
                <w:sz w:val="20"/>
                <w:szCs w:val="20"/>
              </w:rPr>
              <w:t>-25.1%</w:t>
            </w:r>
          </w:p>
        </w:tc>
        <w:tc>
          <w:tcPr>
            <w:tcW w:w="531" w:type="pct"/>
            <w:tcBorders>
              <w:top w:val="nil"/>
              <w:left w:val="nil"/>
              <w:bottom w:val="single" w:sz="4" w:space="0" w:color="auto"/>
              <w:right w:val="single" w:sz="4" w:space="0" w:color="auto"/>
            </w:tcBorders>
            <w:shd w:val="clear" w:color="000000" w:fill="FFFFFF"/>
            <w:hideMark/>
          </w:tcPr>
          <w:p w14:paraId="7430C5D6" w14:textId="77777777" w:rsidR="00FC0607" w:rsidRDefault="00FC0607">
            <w:pPr>
              <w:jc w:val="right"/>
              <w:rPr>
                <w:noProof/>
                <w:color w:val="000000"/>
                <w:sz w:val="20"/>
                <w:szCs w:val="20"/>
              </w:rPr>
            </w:pPr>
            <w:r>
              <w:rPr>
                <w:rFonts w:cs="Arial"/>
                <w:noProof/>
                <w:color w:val="000000"/>
                <w:sz w:val="20"/>
                <w:szCs w:val="20"/>
              </w:rPr>
              <w:t>-30.8%</w:t>
            </w:r>
          </w:p>
        </w:tc>
        <w:tc>
          <w:tcPr>
            <w:tcW w:w="531" w:type="pct"/>
            <w:tcBorders>
              <w:top w:val="nil"/>
              <w:left w:val="nil"/>
              <w:bottom w:val="single" w:sz="4" w:space="0" w:color="auto"/>
              <w:right w:val="single" w:sz="4" w:space="0" w:color="auto"/>
            </w:tcBorders>
            <w:shd w:val="clear" w:color="000000" w:fill="FFFFFF"/>
            <w:hideMark/>
          </w:tcPr>
          <w:p w14:paraId="0E229C0E" w14:textId="77777777" w:rsidR="00FC0607" w:rsidRDefault="00FC0607">
            <w:pPr>
              <w:jc w:val="right"/>
              <w:rPr>
                <w:noProof/>
                <w:color w:val="000000"/>
                <w:sz w:val="20"/>
                <w:szCs w:val="20"/>
              </w:rPr>
            </w:pPr>
            <w:r>
              <w:rPr>
                <w:rFonts w:cs="Arial"/>
                <w:noProof/>
                <w:color w:val="000000"/>
                <w:sz w:val="20"/>
                <w:szCs w:val="20"/>
              </w:rPr>
              <w:t>-36.0%</w:t>
            </w:r>
          </w:p>
        </w:tc>
        <w:tc>
          <w:tcPr>
            <w:tcW w:w="116" w:type="pct"/>
            <w:hideMark/>
          </w:tcPr>
          <w:p w14:paraId="60C97B8F" w14:textId="77777777" w:rsidR="00FC0607" w:rsidRDefault="00FC0607">
            <w:pPr>
              <w:rPr>
                <w:noProof/>
                <w:sz w:val="20"/>
                <w:szCs w:val="20"/>
              </w:rPr>
            </w:pPr>
          </w:p>
        </w:tc>
      </w:tr>
      <w:tr w:rsidR="00961219" w14:paraId="6F6B040A" w14:textId="77777777" w:rsidTr="00B3360E">
        <w:trPr>
          <w:trHeight w:val="300"/>
        </w:trPr>
        <w:tc>
          <w:tcPr>
            <w:tcW w:w="791" w:type="pct"/>
            <w:tcBorders>
              <w:top w:val="nil"/>
              <w:left w:val="single" w:sz="4" w:space="0" w:color="auto"/>
              <w:bottom w:val="single" w:sz="4" w:space="0" w:color="auto"/>
              <w:right w:val="single" w:sz="4" w:space="0" w:color="auto"/>
            </w:tcBorders>
            <w:hideMark/>
          </w:tcPr>
          <w:p w14:paraId="10771191" w14:textId="77777777" w:rsidR="00FC0607" w:rsidRDefault="00FC0607">
            <w:pPr>
              <w:jc w:val="both"/>
              <w:rPr>
                <w:noProof/>
                <w:color w:val="000000"/>
                <w:sz w:val="20"/>
                <w:szCs w:val="20"/>
              </w:rPr>
            </w:pPr>
            <w:r>
              <w:rPr>
                <w:rFonts w:cs="Arial"/>
                <w:noProof/>
                <w:color w:val="000000"/>
                <w:sz w:val="20"/>
                <w:szCs w:val="20"/>
              </w:rPr>
              <w:t xml:space="preserve">Serious injuries </w:t>
            </w:r>
          </w:p>
        </w:tc>
        <w:tc>
          <w:tcPr>
            <w:tcW w:w="534" w:type="pct"/>
            <w:tcBorders>
              <w:top w:val="nil"/>
              <w:left w:val="nil"/>
              <w:bottom w:val="single" w:sz="4" w:space="0" w:color="auto"/>
              <w:right w:val="single" w:sz="4" w:space="0" w:color="auto"/>
            </w:tcBorders>
            <w:hideMark/>
          </w:tcPr>
          <w:p w14:paraId="42E99E86" w14:textId="77777777" w:rsidR="00FC0607" w:rsidRDefault="00FC0607">
            <w:pPr>
              <w:jc w:val="right"/>
              <w:rPr>
                <w:noProof/>
                <w:color w:val="000000"/>
                <w:sz w:val="20"/>
                <w:szCs w:val="20"/>
              </w:rPr>
            </w:pPr>
            <w:r>
              <w:rPr>
                <w:rFonts w:cs="Arial"/>
                <w:noProof/>
                <w:color w:val="000000"/>
                <w:sz w:val="20"/>
                <w:szCs w:val="20"/>
              </w:rPr>
              <w:t>196,994</w:t>
            </w:r>
          </w:p>
        </w:tc>
        <w:tc>
          <w:tcPr>
            <w:tcW w:w="491" w:type="pct"/>
            <w:tcBorders>
              <w:top w:val="nil"/>
              <w:left w:val="nil"/>
              <w:bottom w:val="single" w:sz="4" w:space="0" w:color="auto"/>
              <w:right w:val="single" w:sz="4" w:space="0" w:color="auto"/>
            </w:tcBorders>
            <w:hideMark/>
          </w:tcPr>
          <w:p w14:paraId="17735306" w14:textId="77777777" w:rsidR="00FC0607" w:rsidRDefault="00FC0607">
            <w:pPr>
              <w:jc w:val="right"/>
              <w:rPr>
                <w:noProof/>
                <w:color w:val="000000"/>
                <w:sz w:val="20"/>
                <w:szCs w:val="20"/>
              </w:rPr>
            </w:pPr>
            <w:r>
              <w:rPr>
                <w:rFonts w:cs="Arial"/>
                <w:noProof/>
                <w:color w:val="000000"/>
                <w:sz w:val="20"/>
                <w:szCs w:val="20"/>
              </w:rPr>
              <w:t>153,974</w:t>
            </w:r>
          </w:p>
        </w:tc>
        <w:tc>
          <w:tcPr>
            <w:tcW w:w="492" w:type="pct"/>
            <w:tcBorders>
              <w:top w:val="nil"/>
              <w:left w:val="nil"/>
              <w:bottom w:val="single" w:sz="4" w:space="0" w:color="auto"/>
              <w:right w:val="single" w:sz="4" w:space="0" w:color="auto"/>
            </w:tcBorders>
            <w:hideMark/>
          </w:tcPr>
          <w:p w14:paraId="3E44C693" w14:textId="77777777" w:rsidR="00FC0607" w:rsidRDefault="00FC0607">
            <w:pPr>
              <w:jc w:val="right"/>
              <w:rPr>
                <w:noProof/>
                <w:color w:val="000000"/>
                <w:sz w:val="20"/>
                <w:szCs w:val="20"/>
              </w:rPr>
            </w:pPr>
            <w:r>
              <w:rPr>
                <w:rFonts w:cs="Arial"/>
                <w:noProof/>
                <w:color w:val="000000"/>
                <w:sz w:val="20"/>
                <w:szCs w:val="20"/>
              </w:rPr>
              <w:t>147,516</w:t>
            </w:r>
          </w:p>
        </w:tc>
        <w:tc>
          <w:tcPr>
            <w:tcW w:w="492" w:type="pct"/>
            <w:tcBorders>
              <w:top w:val="nil"/>
              <w:left w:val="nil"/>
              <w:bottom w:val="single" w:sz="4" w:space="0" w:color="auto"/>
              <w:right w:val="single" w:sz="4" w:space="0" w:color="auto"/>
            </w:tcBorders>
            <w:hideMark/>
          </w:tcPr>
          <w:p w14:paraId="6F82D47C" w14:textId="77777777" w:rsidR="00FC0607" w:rsidRDefault="00FC0607">
            <w:pPr>
              <w:jc w:val="right"/>
              <w:rPr>
                <w:noProof/>
                <w:color w:val="000000"/>
                <w:sz w:val="20"/>
                <w:szCs w:val="20"/>
              </w:rPr>
            </w:pPr>
            <w:r>
              <w:rPr>
                <w:rFonts w:cs="Arial"/>
                <w:noProof/>
                <w:color w:val="000000"/>
                <w:sz w:val="20"/>
                <w:szCs w:val="20"/>
              </w:rPr>
              <w:t>142,290</w:t>
            </w:r>
          </w:p>
        </w:tc>
        <w:tc>
          <w:tcPr>
            <w:tcW w:w="492" w:type="pct"/>
            <w:tcBorders>
              <w:top w:val="nil"/>
              <w:left w:val="nil"/>
              <w:bottom w:val="single" w:sz="4" w:space="0" w:color="auto"/>
              <w:right w:val="single" w:sz="4" w:space="0" w:color="auto"/>
            </w:tcBorders>
            <w:hideMark/>
          </w:tcPr>
          <w:p w14:paraId="091E8625" w14:textId="77777777" w:rsidR="00FC0607" w:rsidRDefault="00FC0607">
            <w:pPr>
              <w:jc w:val="right"/>
              <w:rPr>
                <w:noProof/>
                <w:color w:val="000000"/>
                <w:sz w:val="20"/>
                <w:szCs w:val="20"/>
              </w:rPr>
            </w:pPr>
            <w:r>
              <w:rPr>
                <w:rFonts w:cs="Arial"/>
                <w:noProof/>
                <w:color w:val="000000"/>
                <w:sz w:val="20"/>
                <w:szCs w:val="20"/>
              </w:rPr>
              <w:t>133,023</w:t>
            </w:r>
          </w:p>
        </w:tc>
        <w:tc>
          <w:tcPr>
            <w:tcW w:w="530" w:type="pct"/>
            <w:tcBorders>
              <w:top w:val="nil"/>
              <w:left w:val="nil"/>
              <w:bottom w:val="single" w:sz="4" w:space="0" w:color="auto"/>
              <w:right w:val="single" w:sz="4" w:space="0" w:color="auto"/>
            </w:tcBorders>
            <w:shd w:val="clear" w:color="000000" w:fill="FFFFFF"/>
            <w:hideMark/>
          </w:tcPr>
          <w:p w14:paraId="730CFEE6" w14:textId="77777777" w:rsidR="00FC0607" w:rsidRDefault="00FC0607">
            <w:pPr>
              <w:jc w:val="right"/>
              <w:rPr>
                <w:noProof/>
                <w:color w:val="000000"/>
                <w:sz w:val="20"/>
                <w:szCs w:val="20"/>
              </w:rPr>
            </w:pPr>
            <w:r>
              <w:rPr>
                <w:rFonts w:cs="Arial"/>
                <w:noProof/>
                <w:color w:val="000000"/>
                <w:sz w:val="20"/>
                <w:szCs w:val="20"/>
              </w:rPr>
              <w:t>-25.1%</w:t>
            </w:r>
          </w:p>
        </w:tc>
        <w:tc>
          <w:tcPr>
            <w:tcW w:w="531" w:type="pct"/>
            <w:tcBorders>
              <w:top w:val="nil"/>
              <w:left w:val="nil"/>
              <w:bottom w:val="single" w:sz="4" w:space="0" w:color="auto"/>
              <w:right w:val="single" w:sz="4" w:space="0" w:color="auto"/>
            </w:tcBorders>
            <w:shd w:val="clear" w:color="000000" w:fill="FFFFFF"/>
            <w:hideMark/>
          </w:tcPr>
          <w:p w14:paraId="549BA601" w14:textId="77777777" w:rsidR="00FC0607" w:rsidRDefault="00FC0607">
            <w:pPr>
              <w:jc w:val="right"/>
              <w:rPr>
                <w:noProof/>
                <w:color w:val="000000"/>
                <w:sz w:val="20"/>
                <w:szCs w:val="20"/>
              </w:rPr>
            </w:pPr>
            <w:r>
              <w:rPr>
                <w:rFonts w:cs="Arial"/>
                <w:noProof/>
                <w:color w:val="000000"/>
                <w:sz w:val="20"/>
                <w:szCs w:val="20"/>
              </w:rPr>
              <w:t>-27.8%</w:t>
            </w:r>
          </w:p>
        </w:tc>
        <w:tc>
          <w:tcPr>
            <w:tcW w:w="531" w:type="pct"/>
            <w:tcBorders>
              <w:top w:val="nil"/>
              <w:left w:val="nil"/>
              <w:bottom w:val="single" w:sz="4" w:space="0" w:color="auto"/>
              <w:right w:val="single" w:sz="4" w:space="0" w:color="auto"/>
            </w:tcBorders>
            <w:shd w:val="clear" w:color="000000" w:fill="FFFFFF"/>
            <w:hideMark/>
          </w:tcPr>
          <w:p w14:paraId="723C564B" w14:textId="77777777" w:rsidR="00FC0607" w:rsidRDefault="00FC0607">
            <w:pPr>
              <w:jc w:val="right"/>
              <w:rPr>
                <w:noProof/>
                <w:color w:val="000000"/>
                <w:sz w:val="20"/>
                <w:szCs w:val="20"/>
              </w:rPr>
            </w:pPr>
            <w:r>
              <w:rPr>
                <w:rFonts w:cs="Arial"/>
                <w:noProof/>
                <w:color w:val="000000"/>
                <w:sz w:val="20"/>
                <w:szCs w:val="20"/>
              </w:rPr>
              <w:t>-32.5%</w:t>
            </w:r>
          </w:p>
        </w:tc>
        <w:tc>
          <w:tcPr>
            <w:tcW w:w="116" w:type="pct"/>
            <w:hideMark/>
          </w:tcPr>
          <w:p w14:paraId="0FC76499" w14:textId="77777777" w:rsidR="00FC0607" w:rsidRDefault="00FC0607">
            <w:pPr>
              <w:rPr>
                <w:noProof/>
                <w:sz w:val="20"/>
                <w:szCs w:val="20"/>
              </w:rPr>
            </w:pPr>
          </w:p>
        </w:tc>
      </w:tr>
      <w:tr w:rsidR="00961219" w14:paraId="29B7C1ED" w14:textId="77777777" w:rsidTr="00B3360E">
        <w:trPr>
          <w:trHeight w:val="300"/>
        </w:trPr>
        <w:tc>
          <w:tcPr>
            <w:tcW w:w="791" w:type="pct"/>
            <w:tcBorders>
              <w:top w:val="nil"/>
              <w:left w:val="single" w:sz="4" w:space="0" w:color="auto"/>
              <w:bottom w:val="single" w:sz="4" w:space="0" w:color="auto"/>
              <w:right w:val="single" w:sz="4" w:space="0" w:color="auto"/>
            </w:tcBorders>
            <w:hideMark/>
          </w:tcPr>
          <w:p w14:paraId="7786F841" w14:textId="77777777" w:rsidR="00FC0607" w:rsidRDefault="00FC0607">
            <w:pPr>
              <w:jc w:val="both"/>
              <w:rPr>
                <w:noProof/>
                <w:color w:val="000000"/>
                <w:sz w:val="20"/>
                <w:szCs w:val="20"/>
              </w:rPr>
            </w:pPr>
            <w:r>
              <w:rPr>
                <w:rFonts w:cs="Arial"/>
                <w:noProof/>
                <w:color w:val="000000"/>
                <w:sz w:val="20"/>
                <w:szCs w:val="20"/>
              </w:rPr>
              <w:t xml:space="preserve">Slight injuries </w:t>
            </w:r>
          </w:p>
        </w:tc>
        <w:tc>
          <w:tcPr>
            <w:tcW w:w="534" w:type="pct"/>
            <w:tcBorders>
              <w:top w:val="nil"/>
              <w:left w:val="nil"/>
              <w:bottom w:val="single" w:sz="4" w:space="0" w:color="auto"/>
              <w:right w:val="single" w:sz="4" w:space="0" w:color="auto"/>
            </w:tcBorders>
            <w:hideMark/>
          </w:tcPr>
          <w:p w14:paraId="0FEEC2F0" w14:textId="77777777" w:rsidR="00FC0607" w:rsidRDefault="00FC0607">
            <w:pPr>
              <w:jc w:val="right"/>
              <w:rPr>
                <w:noProof/>
                <w:color w:val="000000"/>
                <w:sz w:val="20"/>
                <w:szCs w:val="20"/>
              </w:rPr>
            </w:pPr>
            <w:r>
              <w:rPr>
                <w:rFonts w:cs="Arial"/>
                <w:noProof/>
                <w:color w:val="000000"/>
                <w:sz w:val="20"/>
                <w:szCs w:val="20"/>
              </w:rPr>
              <w:t>1,032,040</w:t>
            </w:r>
          </w:p>
        </w:tc>
        <w:tc>
          <w:tcPr>
            <w:tcW w:w="491" w:type="pct"/>
            <w:tcBorders>
              <w:top w:val="nil"/>
              <w:left w:val="nil"/>
              <w:bottom w:val="single" w:sz="4" w:space="0" w:color="auto"/>
              <w:right w:val="single" w:sz="4" w:space="0" w:color="auto"/>
            </w:tcBorders>
            <w:hideMark/>
          </w:tcPr>
          <w:p w14:paraId="55B92543" w14:textId="77777777" w:rsidR="00FC0607" w:rsidRDefault="00FC0607">
            <w:pPr>
              <w:jc w:val="right"/>
              <w:rPr>
                <w:noProof/>
                <w:color w:val="000000"/>
                <w:sz w:val="20"/>
                <w:szCs w:val="20"/>
              </w:rPr>
            </w:pPr>
            <w:r>
              <w:rPr>
                <w:rFonts w:cs="Arial"/>
                <w:noProof/>
                <w:color w:val="000000"/>
                <w:sz w:val="20"/>
                <w:szCs w:val="20"/>
              </w:rPr>
              <w:t>831,491</w:t>
            </w:r>
          </w:p>
        </w:tc>
        <w:tc>
          <w:tcPr>
            <w:tcW w:w="492" w:type="pct"/>
            <w:tcBorders>
              <w:top w:val="nil"/>
              <w:left w:val="nil"/>
              <w:bottom w:val="single" w:sz="4" w:space="0" w:color="auto"/>
              <w:right w:val="single" w:sz="4" w:space="0" w:color="auto"/>
            </w:tcBorders>
            <w:hideMark/>
          </w:tcPr>
          <w:p w14:paraId="3AD75E65" w14:textId="77777777" w:rsidR="00FC0607" w:rsidRDefault="00FC0607">
            <w:pPr>
              <w:jc w:val="right"/>
              <w:rPr>
                <w:noProof/>
                <w:color w:val="000000"/>
                <w:sz w:val="20"/>
                <w:szCs w:val="20"/>
              </w:rPr>
            </w:pPr>
            <w:r>
              <w:rPr>
                <w:rFonts w:cs="Arial"/>
                <w:noProof/>
                <w:color w:val="000000"/>
                <w:sz w:val="20"/>
                <w:szCs w:val="20"/>
              </w:rPr>
              <w:t>797,958</w:t>
            </w:r>
          </w:p>
        </w:tc>
        <w:tc>
          <w:tcPr>
            <w:tcW w:w="492" w:type="pct"/>
            <w:tcBorders>
              <w:top w:val="nil"/>
              <w:left w:val="nil"/>
              <w:bottom w:val="single" w:sz="4" w:space="0" w:color="auto"/>
              <w:right w:val="single" w:sz="4" w:space="0" w:color="auto"/>
            </w:tcBorders>
            <w:hideMark/>
          </w:tcPr>
          <w:p w14:paraId="734D2779" w14:textId="77777777" w:rsidR="00FC0607" w:rsidRDefault="00FC0607">
            <w:pPr>
              <w:jc w:val="right"/>
              <w:rPr>
                <w:noProof/>
                <w:color w:val="000000"/>
                <w:sz w:val="20"/>
                <w:szCs w:val="20"/>
              </w:rPr>
            </w:pPr>
            <w:r>
              <w:rPr>
                <w:rFonts w:cs="Arial"/>
                <w:noProof/>
                <w:color w:val="000000"/>
                <w:sz w:val="20"/>
                <w:szCs w:val="20"/>
              </w:rPr>
              <w:t>735,180</w:t>
            </w:r>
          </w:p>
        </w:tc>
        <w:tc>
          <w:tcPr>
            <w:tcW w:w="492" w:type="pct"/>
            <w:tcBorders>
              <w:top w:val="nil"/>
              <w:left w:val="nil"/>
              <w:bottom w:val="single" w:sz="4" w:space="0" w:color="auto"/>
              <w:right w:val="single" w:sz="4" w:space="0" w:color="auto"/>
            </w:tcBorders>
            <w:hideMark/>
          </w:tcPr>
          <w:p w14:paraId="71F0448A" w14:textId="77777777" w:rsidR="00FC0607" w:rsidRDefault="00FC0607">
            <w:pPr>
              <w:jc w:val="right"/>
              <w:rPr>
                <w:noProof/>
                <w:color w:val="000000"/>
                <w:sz w:val="20"/>
                <w:szCs w:val="20"/>
              </w:rPr>
            </w:pPr>
            <w:r>
              <w:rPr>
                <w:rFonts w:cs="Arial"/>
                <w:noProof/>
                <w:color w:val="000000"/>
                <w:sz w:val="20"/>
                <w:szCs w:val="20"/>
              </w:rPr>
              <w:t>701,123</w:t>
            </w:r>
          </w:p>
        </w:tc>
        <w:tc>
          <w:tcPr>
            <w:tcW w:w="530" w:type="pct"/>
            <w:tcBorders>
              <w:top w:val="nil"/>
              <w:left w:val="nil"/>
              <w:bottom w:val="single" w:sz="4" w:space="0" w:color="auto"/>
              <w:right w:val="single" w:sz="4" w:space="0" w:color="auto"/>
            </w:tcBorders>
            <w:shd w:val="clear" w:color="000000" w:fill="FFFFFF"/>
            <w:hideMark/>
          </w:tcPr>
          <w:p w14:paraId="29825E71" w14:textId="77777777" w:rsidR="00FC0607" w:rsidRDefault="00FC0607">
            <w:pPr>
              <w:jc w:val="right"/>
              <w:rPr>
                <w:noProof/>
                <w:color w:val="000000"/>
                <w:sz w:val="20"/>
                <w:szCs w:val="20"/>
              </w:rPr>
            </w:pPr>
            <w:r>
              <w:rPr>
                <w:rFonts w:cs="Arial"/>
                <w:noProof/>
                <w:color w:val="000000"/>
                <w:sz w:val="20"/>
                <w:szCs w:val="20"/>
              </w:rPr>
              <w:t>-22.7%</w:t>
            </w:r>
          </w:p>
        </w:tc>
        <w:tc>
          <w:tcPr>
            <w:tcW w:w="531" w:type="pct"/>
            <w:tcBorders>
              <w:top w:val="nil"/>
              <w:left w:val="nil"/>
              <w:bottom w:val="single" w:sz="4" w:space="0" w:color="auto"/>
              <w:right w:val="single" w:sz="4" w:space="0" w:color="auto"/>
            </w:tcBorders>
            <w:shd w:val="clear" w:color="000000" w:fill="FFFFFF"/>
            <w:hideMark/>
          </w:tcPr>
          <w:p w14:paraId="096DD5B8" w14:textId="77777777" w:rsidR="00FC0607" w:rsidRDefault="00FC0607">
            <w:pPr>
              <w:jc w:val="right"/>
              <w:rPr>
                <w:noProof/>
                <w:color w:val="000000"/>
                <w:sz w:val="20"/>
                <w:szCs w:val="20"/>
              </w:rPr>
            </w:pPr>
            <w:r>
              <w:rPr>
                <w:rFonts w:cs="Arial"/>
                <w:noProof/>
                <w:color w:val="000000"/>
                <w:sz w:val="20"/>
                <w:szCs w:val="20"/>
              </w:rPr>
              <w:t>-28.8%</w:t>
            </w:r>
          </w:p>
        </w:tc>
        <w:tc>
          <w:tcPr>
            <w:tcW w:w="531" w:type="pct"/>
            <w:tcBorders>
              <w:top w:val="nil"/>
              <w:left w:val="nil"/>
              <w:bottom w:val="single" w:sz="4" w:space="0" w:color="auto"/>
              <w:right w:val="single" w:sz="4" w:space="0" w:color="auto"/>
            </w:tcBorders>
            <w:shd w:val="clear" w:color="000000" w:fill="FFFFFF"/>
            <w:hideMark/>
          </w:tcPr>
          <w:p w14:paraId="55AC9DF4" w14:textId="77777777" w:rsidR="00FC0607" w:rsidRDefault="00FC0607">
            <w:pPr>
              <w:jc w:val="right"/>
              <w:rPr>
                <w:noProof/>
                <w:color w:val="000000"/>
                <w:sz w:val="20"/>
                <w:szCs w:val="20"/>
              </w:rPr>
            </w:pPr>
            <w:r>
              <w:rPr>
                <w:rFonts w:cs="Arial"/>
                <w:noProof/>
                <w:color w:val="000000"/>
                <w:sz w:val="20"/>
                <w:szCs w:val="20"/>
              </w:rPr>
              <w:t>-32.1%</w:t>
            </w:r>
          </w:p>
        </w:tc>
        <w:tc>
          <w:tcPr>
            <w:tcW w:w="116" w:type="pct"/>
            <w:hideMark/>
          </w:tcPr>
          <w:p w14:paraId="5A3476A0" w14:textId="77777777" w:rsidR="00FC0607" w:rsidRDefault="00FC0607">
            <w:pPr>
              <w:rPr>
                <w:noProof/>
                <w:sz w:val="20"/>
                <w:szCs w:val="20"/>
              </w:rPr>
            </w:pPr>
          </w:p>
        </w:tc>
      </w:tr>
    </w:tbl>
    <w:p w14:paraId="099766DC" w14:textId="77777777" w:rsidR="00FC0607" w:rsidRDefault="00FC0607" w:rsidP="00FC0607">
      <w:pPr>
        <w:tabs>
          <w:tab w:val="left" w:pos="2302"/>
        </w:tabs>
        <w:spacing w:after="240"/>
        <w:jc w:val="both"/>
        <w:rPr>
          <w:i/>
          <w:iCs/>
          <w:noProof/>
          <w:sz w:val="20"/>
          <w:szCs w:val="20"/>
        </w:rPr>
      </w:pPr>
      <w:r w:rsidRPr="00707746">
        <w:rPr>
          <w:bCs/>
          <w:i/>
          <w:iCs/>
          <w:noProof/>
        </w:rPr>
        <w:t xml:space="preserve"> </w:t>
      </w:r>
      <w:r w:rsidRPr="00FB0A72">
        <w:rPr>
          <w:i/>
          <w:iCs/>
          <w:noProof/>
          <w:spacing w:val="-8"/>
          <w:sz w:val="20"/>
          <w:szCs w:val="20"/>
        </w:rPr>
        <w:t xml:space="preserve">Source: </w:t>
      </w:r>
      <w:r w:rsidRPr="00FB0A72">
        <w:rPr>
          <w:i/>
          <w:iCs/>
          <w:noProof/>
          <w:sz w:val="20"/>
          <w:szCs w:val="20"/>
        </w:rPr>
        <w:t>Ricardo et al. (2026), Impact assessment support study</w:t>
      </w:r>
      <w:r>
        <w:rPr>
          <w:i/>
          <w:iCs/>
          <w:noProof/>
          <w:sz w:val="20"/>
          <w:szCs w:val="20"/>
        </w:rPr>
        <w:t xml:space="preserve">; ASTRA model. Note: calibrated on PRIMES-TREMOVE model results and CARE database; including </w:t>
      </w:r>
      <w:r w:rsidRPr="002B6B8A">
        <w:rPr>
          <w:i/>
          <w:iCs/>
          <w:noProof/>
          <w:sz w:val="20"/>
          <w:szCs w:val="20"/>
        </w:rPr>
        <w:t xml:space="preserve">powered-two-wheelers (P2W) </w:t>
      </w:r>
    </w:p>
    <w:p w14:paraId="2AE0689D" w14:textId="77777777" w:rsidR="00FC0607" w:rsidRPr="00117904" w:rsidRDefault="00FC0607" w:rsidP="007B2D8E">
      <w:pPr>
        <w:pStyle w:val="ListParagraph"/>
        <w:keepNext/>
        <w:widowControl/>
        <w:numPr>
          <w:ilvl w:val="2"/>
          <w:numId w:val="10"/>
        </w:numPr>
        <w:autoSpaceDE/>
        <w:autoSpaceDN/>
        <w:spacing w:after="240"/>
        <w:jc w:val="both"/>
        <w:outlineLvl w:val="2"/>
        <w:rPr>
          <w:i/>
          <w:noProof/>
        </w:rPr>
      </w:pPr>
      <w:bookmarkStart w:id="407" w:name="_Toc223980033"/>
      <w:r w:rsidRPr="00117904">
        <w:rPr>
          <w:i/>
          <w:noProof/>
          <w:sz w:val="24"/>
          <w:szCs w:val="24"/>
        </w:rPr>
        <w:t>CO</w:t>
      </w:r>
      <w:r w:rsidRPr="00117904">
        <w:rPr>
          <w:i/>
          <w:noProof/>
          <w:sz w:val="24"/>
          <w:szCs w:val="24"/>
          <w:vertAlign w:val="subscript"/>
        </w:rPr>
        <w:t>2</w:t>
      </w:r>
      <w:r w:rsidRPr="00117904">
        <w:rPr>
          <w:i/>
          <w:noProof/>
          <w:sz w:val="24"/>
          <w:szCs w:val="24"/>
        </w:rPr>
        <w:t xml:space="preserve"> emissions and air pollution emissions</w:t>
      </w:r>
      <w:bookmarkEnd w:id="407"/>
    </w:p>
    <w:p w14:paraId="7E1A2BF1" w14:textId="77777777" w:rsidR="00FC0607" w:rsidRPr="003A6E2A" w:rsidRDefault="00FC0607" w:rsidP="00FC0607">
      <w:pPr>
        <w:spacing w:after="240"/>
        <w:jc w:val="both"/>
        <w:rPr>
          <w:noProof/>
          <w:spacing w:val="-8"/>
        </w:rPr>
      </w:pPr>
      <w:r w:rsidRPr="003A6E2A">
        <w:rPr>
          <w:noProof/>
          <w:spacing w:val="-8"/>
          <w:lang w:eastAsia="en-GB"/>
        </w:rPr>
        <w:t>CO</w:t>
      </w:r>
      <w:r w:rsidRPr="003A6E2A">
        <w:rPr>
          <w:noProof/>
          <w:spacing w:val="-8"/>
          <w:vertAlign w:val="subscript"/>
          <w:lang w:eastAsia="en-GB"/>
        </w:rPr>
        <w:t>2</w:t>
      </w:r>
      <w:r w:rsidRPr="003A6E2A">
        <w:rPr>
          <w:noProof/>
          <w:spacing w:val="-8"/>
          <w:lang w:eastAsia="en-GB"/>
        </w:rPr>
        <w:t xml:space="preserve"> emissions from passenger transport are projected to be 27% lower by 2030 compared to 2015, and 96% lower by 2050. The baseline scenario shows that the emission reductions from the passenger transport sector would contribute towards the ambition of at least 55% emission reductions by 2030 and climate neutrality by 2050, while</w:t>
      </w:r>
      <w:r w:rsidRPr="003A6E2A" w:rsidDel="009F543B">
        <w:rPr>
          <w:noProof/>
          <w:spacing w:val="-8"/>
          <w:lang w:eastAsia="en-GB"/>
        </w:rPr>
        <w:t xml:space="preserve"> </w:t>
      </w:r>
      <w:r w:rsidRPr="003A6E2A">
        <w:rPr>
          <w:noProof/>
          <w:spacing w:val="-8"/>
          <w:lang w:eastAsia="en-GB"/>
        </w:rPr>
        <w:t xml:space="preserve">relying to a significant extent on technological solutions (i.e., the uptake of low- and zero-emission vehicles and of renewable and low carbon fuels) and carbon pricing. </w:t>
      </w:r>
      <w:r w:rsidRPr="003A6E2A">
        <w:rPr>
          <w:noProof/>
          <w:spacing w:val="-8"/>
        </w:rPr>
        <w:t>This is mainly driven by the reduction in emissions from passenger road transport, but also by the reduction in the intra-EU air transport CO2 emissions. The main drivers are the CO</w:t>
      </w:r>
      <w:r w:rsidRPr="003A6E2A">
        <w:rPr>
          <w:noProof/>
          <w:spacing w:val="-8"/>
          <w:vertAlign w:val="subscript"/>
        </w:rPr>
        <w:t>2</w:t>
      </w:r>
      <w:r w:rsidRPr="003A6E2A">
        <w:rPr>
          <w:noProof/>
          <w:spacing w:val="-8"/>
        </w:rPr>
        <w:t xml:space="preserve"> standards for light duty vehicles, supported by Alternative Fuels Infrastructure Regulation (AFIR), the Renewables Energy Directive and the ETS2 for road transport. The ReFuelEU aviation Regulation, together with the EU ETS, also leads to significant reductions in intra-EU27 air transport emissions. </w:t>
      </w:r>
    </w:p>
    <w:p w14:paraId="048E86DC" w14:textId="77777777" w:rsidR="00FC0607" w:rsidRPr="003A6E2A" w:rsidRDefault="00FC0607" w:rsidP="00FC0607">
      <w:pPr>
        <w:spacing w:after="240"/>
        <w:jc w:val="both"/>
        <w:rPr>
          <w:noProof/>
          <w:spacing w:val="-8"/>
        </w:rPr>
      </w:pPr>
      <w:r w:rsidRPr="003A6E2A">
        <w:rPr>
          <w:noProof/>
          <w:spacing w:val="-8"/>
        </w:rPr>
        <w:t>NOx emissions are projected to go down by 56% between 2015 and 2030 (94% by 2050), mainly driven by the electrification of the road transport. The decline in particulate matter (PM2.5) would be slightly lower by 2030 at 34% relative to 2015 (89% by 2050).</w:t>
      </w:r>
    </w:p>
    <w:p w14:paraId="30F2FA58" w14:textId="711BE2B7" w:rsidR="00FC0607" w:rsidRPr="00AB1D27" w:rsidRDefault="00FC0607" w:rsidP="00FC0607">
      <w:pPr>
        <w:tabs>
          <w:tab w:val="left" w:pos="1134"/>
        </w:tabs>
        <w:jc w:val="both"/>
        <w:rPr>
          <w:i/>
          <w:noProof/>
          <w:sz w:val="22"/>
          <w:szCs w:val="22"/>
        </w:rPr>
      </w:pPr>
      <w:r w:rsidRPr="00AB1D27">
        <w:rPr>
          <w:i/>
          <w:noProof/>
          <w:sz w:val="22"/>
          <w:szCs w:val="22"/>
        </w:rPr>
        <w:t xml:space="preserve">Table </w:t>
      </w:r>
      <w:r w:rsidRPr="00AB1D27">
        <w:rPr>
          <w:i/>
          <w:noProof/>
          <w:sz w:val="22"/>
          <w:szCs w:val="22"/>
        </w:rPr>
        <w:fldChar w:fldCharType="begin"/>
      </w:r>
      <w:r w:rsidRPr="00AB1D27">
        <w:rPr>
          <w:i/>
          <w:noProof/>
          <w:sz w:val="22"/>
          <w:szCs w:val="22"/>
        </w:rPr>
        <w:instrText xml:space="preserve"> SEQ Table \* ARABIC </w:instrText>
      </w:r>
      <w:r w:rsidRPr="00AB1D27">
        <w:rPr>
          <w:i/>
          <w:noProof/>
          <w:sz w:val="22"/>
          <w:szCs w:val="22"/>
        </w:rPr>
        <w:fldChar w:fldCharType="separate"/>
      </w:r>
      <w:r w:rsidR="0055391F">
        <w:rPr>
          <w:i/>
          <w:noProof/>
          <w:sz w:val="22"/>
          <w:szCs w:val="22"/>
        </w:rPr>
        <w:t>62</w:t>
      </w:r>
      <w:r w:rsidRPr="00AB1D27">
        <w:rPr>
          <w:i/>
          <w:noProof/>
          <w:sz w:val="22"/>
          <w:szCs w:val="22"/>
        </w:rPr>
        <w:fldChar w:fldCharType="end"/>
      </w:r>
      <w:r w:rsidRPr="00AB1D27">
        <w:rPr>
          <w:i/>
          <w:noProof/>
          <w:sz w:val="22"/>
          <w:szCs w:val="22"/>
        </w:rPr>
        <w:t>: CO</w:t>
      </w:r>
      <w:r w:rsidRPr="00AB1D27">
        <w:rPr>
          <w:i/>
          <w:noProof/>
          <w:sz w:val="22"/>
          <w:szCs w:val="22"/>
          <w:vertAlign w:val="subscript"/>
        </w:rPr>
        <w:t>2</w:t>
      </w:r>
      <w:r w:rsidRPr="00AB1D27">
        <w:rPr>
          <w:i/>
          <w:noProof/>
          <w:sz w:val="22"/>
          <w:szCs w:val="22"/>
        </w:rPr>
        <w:t xml:space="preserve"> emissions and air pollution emissions from passenger transport in the baseline scenario at EU level (in kilo tonnes)</w:t>
      </w:r>
    </w:p>
    <w:tbl>
      <w:tblPr>
        <w:tblW w:w="5000" w:type="pct"/>
        <w:tblLook w:val="04A0" w:firstRow="1" w:lastRow="0" w:firstColumn="1" w:lastColumn="0" w:noHBand="0" w:noVBand="1"/>
      </w:tblPr>
      <w:tblGrid>
        <w:gridCol w:w="1856"/>
        <w:gridCol w:w="969"/>
        <w:gridCol w:w="969"/>
        <w:gridCol w:w="969"/>
        <w:gridCol w:w="968"/>
        <w:gridCol w:w="968"/>
        <w:gridCol w:w="968"/>
        <w:gridCol w:w="968"/>
        <w:gridCol w:w="968"/>
      </w:tblGrid>
      <w:tr w:rsidR="00FC0607" w:rsidRPr="002B6B8A" w14:paraId="00018253" w14:textId="77777777" w:rsidTr="00854108">
        <w:trPr>
          <w:trHeight w:val="510"/>
          <w:tblHeader/>
        </w:trPr>
        <w:tc>
          <w:tcPr>
            <w:tcW w:w="966" w:type="pct"/>
            <w:tcBorders>
              <w:top w:val="single" w:sz="4" w:space="0" w:color="auto"/>
              <w:left w:val="single" w:sz="4" w:space="0" w:color="auto"/>
              <w:bottom w:val="single" w:sz="4" w:space="0" w:color="auto"/>
              <w:right w:val="single" w:sz="4" w:space="0" w:color="auto"/>
            </w:tcBorders>
            <w:shd w:val="clear" w:color="000000" w:fill="0070C0"/>
            <w:hideMark/>
          </w:tcPr>
          <w:p w14:paraId="747AC028" w14:textId="77777777" w:rsidR="00FC0607" w:rsidRPr="002B6B8A" w:rsidRDefault="00FC0607">
            <w:pPr>
              <w:rPr>
                <w:noProof/>
                <w:color w:val="000000"/>
                <w:sz w:val="20"/>
                <w:szCs w:val="20"/>
              </w:rPr>
            </w:pPr>
            <w:r w:rsidRPr="002B6B8A">
              <w:rPr>
                <w:noProof/>
                <w:color w:val="000000"/>
                <w:sz w:val="20"/>
                <w:szCs w:val="20"/>
              </w:rPr>
              <w:t> </w:t>
            </w:r>
          </w:p>
        </w:tc>
        <w:tc>
          <w:tcPr>
            <w:tcW w:w="504" w:type="pct"/>
            <w:tcBorders>
              <w:top w:val="single" w:sz="4" w:space="0" w:color="auto"/>
              <w:left w:val="nil"/>
              <w:bottom w:val="single" w:sz="4" w:space="0" w:color="auto"/>
              <w:right w:val="single" w:sz="4" w:space="0" w:color="auto"/>
            </w:tcBorders>
            <w:shd w:val="clear" w:color="000000" w:fill="0070C0"/>
            <w:hideMark/>
          </w:tcPr>
          <w:p w14:paraId="242AB598" w14:textId="77777777" w:rsidR="00FC0607" w:rsidRPr="002B6B8A" w:rsidRDefault="00FC0607">
            <w:pPr>
              <w:jc w:val="center"/>
              <w:rPr>
                <w:b/>
                <w:bCs/>
                <w:noProof/>
                <w:color w:val="FFFFFF"/>
                <w:sz w:val="20"/>
                <w:szCs w:val="20"/>
              </w:rPr>
            </w:pPr>
            <w:r w:rsidRPr="002B6B8A">
              <w:rPr>
                <w:b/>
                <w:bCs/>
                <w:noProof/>
                <w:color w:val="FFFFFF"/>
                <w:sz w:val="20"/>
                <w:szCs w:val="20"/>
              </w:rPr>
              <w:t>2015</w:t>
            </w:r>
          </w:p>
        </w:tc>
        <w:tc>
          <w:tcPr>
            <w:tcW w:w="504" w:type="pct"/>
            <w:tcBorders>
              <w:top w:val="single" w:sz="4" w:space="0" w:color="auto"/>
              <w:left w:val="nil"/>
              <w:bottom w:val="single" w:sz="4" w:space="0" w:color="auto"/>
              <w:right w:val="single" w:sz="4" w:space="0" w:color="auto"/>
            </w:tcBorders>
            <w:shd w:val="clear" w:color="000000" w:fill="0070C0"/>
            <w:hideMark/>
          </w:tcPr>
          <w:p w14:paraId="158553D3" w14:textId="77777777" w:rsidR="00FC0607" w:rsidRPr="002B6B8A" w:rsidRDefault="00FC0607">
            <w:pPr>
              <w:jc w:val="center"/>
              <w:rPr>
                <w:b/>
                <w:bCs/>
                <w:noProof/>
                <w:color w:val="FFFFFF"/>
                <w:sz w:val="20"/>
                <w:szCs w:val="20"/>
              </w:rPr>
            </w:pPr>
            <w:r w:rsidRPr="002B6B8A">
              <w:rPr>
                <w:b/>
                <w:bCs/>
                <w:noProof/>
                <w:color w:val="FFFFFF"/>
                <w:sz w:val="20"/>
                <w:szCs w:val="20"/>
              </w:rPr>
              <w:t>2028</w:t>
            </w:r>
          </w:p>
        </w:tc>
        <w:tc>
          <w:tcPr>
            <w:tcW w:w="504" w:type="pct"/>
            <w:tcBorders>
              <w:top w:val="single" w:sz="4" w:space="0" w:color="auto"/>
              <w:left w:val="nil"/>
              <w:bottom w:val="single" w:sz="4" w:space="0" w:color="auto"/>
              <w:right w:val="single" w:sz="4" w:space="0" w:color="auto"/>
            </w:tcBorders>
            <w:shd w:val="clear" w:color="000000" w:fill="0070C0"/>
            <w:hideMark/>
          </w:tcPr>
          <w:p w14:paraId="36ED83B2" w14:textId="77777777" w:rsidR="00FC0607" w:rsidRPr="002B6B8A" w:rsidRDefault="00FC0607">
            <w:pPr>
              <w:jc w:val="center"/>
              <w:rPr>
                <w:b/>
                <w:bCs/>
                <w:noProof/>
                <w:color w:val="FFFFFF"/>
                <w:sz w:val="20"/>
                <w:szCs w:val="20"/>
              </w:rPr>
            </w:pPr>
            <w:r w:rsidRPr="002B6B8A">
              <w:rPr>
                <w:b/>
                <w:bCs/>
                <w:noProof/>
                <w:color w:val="FFFFFF"/>
                <w:sz w:val="20"/>
                <w:szCs w:val="20"/>
              </w:rPr>
              <w:t>2030</w:t>
            </w:r>
          </w:p>
        </w:tc>
        <w:tc>
          <w:tcPr>
            <w:tcW w:w="504" w:type="pct"/>
            <w:tcBorders>
              <w:top w:val="single" w:sz="4" w:space="0" w:color="auto"/>
              <w:left w:val="nil"/>
              <w:bottom w:val="single" w:sz="4" w:space="0" w:color="auto"/>
              <w:right w:val="single" w:sz="4" w:space="0" w:color="auto"/>
            </w:tcBorders>
            <w:shd w:val="clear" w:color="000000" w:fill="0070C0"/>
            <w:hideMark/>
          </w:tcPr>
          <w:p w14:paraId="50E2066D" w14:textId="77777777" w:rsidR="00FC0607" w:rsidRPr="002B6B8A" w:rsidRDefault="00FC0607">
            <w:pPr>
              <w:jc w:val="center"/>
              <w:rPr>
                <w:b/>
                <w:bCs/>
                <w:noProof/>
                <w:color w:val="FFFFFF"/>
                <w:sz w:val="20"/>
                <w:szCs w:val="20"/>
              </w:rPr>
            </w:pPr>
            <w:r w:rsidRPr="002B6B8A">
              <w:rPr>
                <w:b/>
                <w:bCs/>
                <w:noProof/>
                <w:color w:val="FFFFFF"/>
                <w:sz w:val="20"/>
                <w:szCs w:val="20"/>
              </w:rPr>
              <w:t>2040</w:t>
            </w:r>
          </w:p>
        </w:tc>
        <w:tc>
          <w:tcPr>
            <w:tcW w:w="504" w:type="pct"/>
            <w:tcBorders>
              <w:top w:val="single" w:sz="4" w:space="0" w:color="auto"/>
              <w:left w:val="nil"/>
              <w:bottom w:val="single" w:sz="4" w:space="0" w:color="auto"/>
              <w:right w:val="single" w:sz="4" w:space="0" w:color="auto"/>
            </w:tcBorders>
            <w:shd w:val="clear" w:color="000000" w:fill="0070C0"/>
            <w:hideMark/>
          </w:tcPr>
          <w:p w14:paraId="0A1D575F" w14:textId="77777777" w:rsidR="00FC0607" w:rsidRPr="002B6B8A" w:rsidRDefault="00FC0607">
            <w:pPr>
              <w:jc w:val="center"/>
              <w:rPr>
                <w:b/>
                <w:bCs/>
                <w:noProof/>
                <w:color w:val="FFFFFF"/>
                <w:sz w:val="20"/>
                <w:szCs w:val="20"/>
              </w:rPr>
            </w:pPr>
            <w:r w:rsidRPr="002B6B8A">
              <w:rPr>
                <w:b/>
                <w:bCs/>
                <w:noProof/>
                <w:color w:val="FFFFFF"/>
                <w:sz w:val="20"/>
                <w:szCs w:val="20"/>
              </w:rPr>
              <w:t>2050</w:t>
            </w:r>
          </w:p>
        </w:tc>
        <w:tc>
          <w:tcPr>
            <w:tcW w:w="504" w:type="pct"/>
            <w:tcBorders>
              <w:top w:val="single" w:sz="4" w:space="0" w:color="auto"/>
              <w:left w:val="nil"/>
              <w:bottom w:val="single" w:sz="4" w:space="0" w:color="auto"/>
              <w:right w:val="single" w:sz="4" w:space="0" w:color="auto"/>
            </w:tcBorders>
            <w:shd w:val="clear" w:color="000000" w:fill="0070C0"/>
            <w:hideMark/>
          </w:tcPr>
          <w:p w14:paraId="22AD8DD6" w14:textId="77777777" w:rsidR="00FC0607" w:rsidRPr="002B6B8A" w:rsidRDefault="00FC0607">
            <w:pPr>
              <w:jc w:val="center"/>
              <w:rPr>
                <w:b/>
                <w:bCs/>
                <w:noProof/>
                <w:color w:val="FFFFFF"/>
                <w:sz w:val="20"/>
                <w:szCs w:val="20"/>
              </w:rPr>
            </w:pPr>
            <w:r w:rsidRPr="002B6B8A">
              <w:rPr>
                <w:b/>
                <w:bCs/>
                <w:noProof/>
                <w:color w:val="FFFFFF"/>
                <w:sz w:val="20"/>
                <w:szCs w:val="20"/>
              </w:rPr>
              <w:t>2015-2030</w:t>
            </w:r>
          </w:p>
        </w:tc>
        <w:tc>
          <w:tcPr>
            <w:tcW w:w="504" w:type="pct"/>
            <w:tcBorders>
              <w:top w:val="single" w:sz="4" w:space="0" w:color="auto"/>
              <w:left w:val="nil"/>
              <w:bottom w:val="single" w:sz="4" w:space="0" w:color="auto"/>
              <w:right w:val="single" w:sz="4" w:space="0" w:color="auto"/>
            </w:tcBorders>
            <w:shd w:val="clear" w:color="000000" w:fill="0070C0"/>
            <w:hideMark/>
          </w:tcPr>
          <w:p w14:paraId="772718AA" w14:textId="77777777" w:rsidR="00FC0607" w:rsidRPr="002B6B8A" w:rsidRDefault="00FC0607">
            <w:pPr>
              <w:jc w:val="center"/>
              <w:rPr>
                <w:b/>
                <w:bCs/>
                <w:noProof/>
                <w:color w:val="FFFFFF"/>
                <w:sz w:val="20"/>
                <w:szCs w:val="20"/>
              </w:rPr>
            </w:pPr>
            <w:r w:rsidRPr="002B6B8A">
              <w:rPr>
                <w:b/>
                <w:bCs/>
                <w:noProof/>
                <w:color w:val="FFFFFF"/>
                <w:sz w:val="20"/>
                <w:szCs w:val="20"/>
              </w:rPr>
              <w:t>2015-2040</w:t>
            </w:r>
          </w:p>
        </w:tc>
        <w:tc>
          <w:tcPr>
            <w:tcW w:w="504" w:type="pct"/>
            <w:tcBorders>
              <w:top w:val="single" w:sz="4" w:space="0" w:color="auto"/>
              <w:left w:val="nil"/>
              <w:bottom w:val="single" w:sz="4" w:space="0" w:color="auto"/>
              <w:right w:val="single" w:sz="4" w:space="0" w:color="auto"/>
            </w:tcBorders>
            <w:shd w:val="clear" w:color="000000" w:fill="0070C0"/>
            <w:hideMark/>
          </w:tcPr>
          <w:p w14:paraId="31EA2E5D" w14:textId="77777777" w:rsidR="00FC0607" w:rsidRPr="002B6B8A" w:rsidRDefault="00FC0607">
            <w:pPr>
              <w:jc w:val="center"/>
              <w:rPr>
                <w:b/>
                <w:bCs/>
                <w:noProof/>
                <w:color w:val="FFFFFF"/>
                <w:sz w:val="20"/>
                <w:szCs w:val="20"/>
              </w:rPr>
            </w:pPr>
            <w:r w:rsidRPr="002B6B8A">
              <w:rPr>
                <w:b/>
                <w:bCs/>
                <w:noProof/>
                <w:color w:val="FFFFFF"/>
                <w:sz w:val="20"/>
                <w:szCs w:val="20"/>
              </w:rPr>
              <w:t>2015-2050</w:t>
            </w:r>
          </w:p>
        </w:tc>
      </w:tr>
      <w:tr w:rsidR="00876363" w:rsidRPr="002B6B8A" w14:paraId="3892D5D4" w14:textId="77777777">
        <w:trPr>
          <w:trHeight w:val="300"/>
        </w:trPr>
        <w:tc>
          <w:tcPr>
            <w:tcW w:w="966" w:type="pct"/>
            <w:tcBorders>
              <w:top w:val="nil"/>
              <w:left w:val="single" w:sz="4" w:space="0" w:color="auto"/>
              <w:bottom w:val="single" w:sz="4" w:space="0" w:color="auto"/>
              <w:right w:val="single" w:sz="4" w:space="0" w:color="auto"/>
            </w:tcBorders>
            <w:hideMark/>
          </w:tcPr>
          <w:p w14:paraId="54F16A24" w14:textId="77777777" w:rsidR="00FC0607" w:rsidRPr="002B6B8A" w:rsidRDefault="00FC0607">
            <w:pPr>
              <w:rPr>
                <w:noProof/>
                <w:color w:val="000000"/>
                <w:sz w:val="20"/>
                <w:szCs w:val="20"/>
              </w:rPr>
            </w:pPr>
            <w:r w:rsidRPr="002B6B8A">
              <w:rPr>
                <w:noProof/>
                <w:color w:val="000000"/>
                <w:sz w:val="20"/>
                <w:szCs w:val="20"/>
              </w:rPr>
              <w:t>CO</w:t>
            </w:r>
            <w:r w:rsidRPr="002B6B8A">
              <w:rPr>
                <w:noProof/>
                <w:color w:val="000000"/>
                <w:sz w:val="20"/>
                <w:szCs w:val="20"/>
                <w:vertAlign w:val="subscript"/>
              </w:rPr>
              <w:t>2</w:t>
            </w:r>
            <w:r w:rsidRPr="002B6B8A">
              <w:rPr>
                <w:noProof/>
                <w:color w:val="000000"/>
                <w:sz w:val="20"/>
                <w:szCs w:val="20"/>
              </w:rPr>
              <w:t xml:space="preserve"> emissions </w:t>
            </w:r>
          </w:p>
        </w:tc>
        <w:tc>
          <w:tcPr>
            <w:tcW w:w="504" w:type="pct"/>
            <w:tcBorders>
              <w:top w:val="nil"/>
              <w:left w:val="nil"/>
              <w:bottom w:val="single" w:sz="4" w:space="0" w:color="auto"/>
              <w:right w:val="single" w:sz="4" w:space="0" w:color="auto"/>
            </w:tcBorders>
            <w:hideMark/>
          </w:tcPr>
          <w:p w14:paraId="4C81C590" w14:textId="77777777" w:rsidR="00FC0607" w:rsidRPr="002B6B8A" w:rsidRDefault="00FC0607">
            <w:pPr>
              <w:jc w:val="right"/>
              <w:rPr>
                <w:noProof/>
                <w:color w:val="000000"/>
                <w:sz w:val="20"/>
                <w:szCs w:val="20"/>
              </w:rPr>
            </w:pPr>
            <w:r w:rsidRPr="002B6B8A">
              <w:rPr>
                <w:noProof/>
                <w:color w:val="000000"/>
                <w:sz w:val="20"/>
                <w:szCs w:val="20"/>
              </w:rPr>
              <w:t>600,107</w:t>
            </w:r>
          </w:p>
        </w:tc>
        <w:tc>
          <w:tcPr>
            <w:tcW w:w="504" w:type="pct"/>
            <w:tcBorders>
              <w:top w:val="nil"/>
              <w:left w:val="nil"/>
              <w:bottom w:val="single" w:sz="4" w:space="0" w:color="auto"/>
              <w:right w:val="single" w:sz="4" w:space="0" w:color="auto"/>
            </w:tcBorders>
            <w:hideMark/>
          </w:tcPr>
          <w:p w14:paraId="29850EE3" w14:textId="77777777" w:rsidR="00FC0607" w:rsidRPr="002B6B8A" w:rsidRDefault="00FC0607">
            <w:pPr>
              <w:jc w:val="right"/>
              <w:rPr>
                <w:noProof/>
                <w:color w:val="000000"/>
                <w:sz w:val="20"/>
                <w:szCs w:val="20"/>
              </w:rPr>
            </w:pPr>
            <w:r w:rsidRPr="002B6B8A">
              <w:rPr>
                <w:noProof/>
                <w:color w:val="000000"/>
                <w:sz w:val="20"/>
                <w:szCs w:val="20"/>
              </w:rPr>
              <w:t>505,609</w:t>
            </w:r>
          </w:p>
        </w:tc>
        <w:tc>
          <w:tcPr>
            <w:tcW w:w="504" w:type="pct"/>
            <w:tcBorders>
              <w:top w:val="nil"/>
              <w:left w:val="nil"/>
              <w:bottom w:val="single" w:sz="4" w:space="0" w:color="auto"/>
              <w:right w:val="single" w:sz="4" w:space="0" w:color="auto"/>
            </w:tcBorders>
            <w:hideMark/>
          </w:tcPr>
          <w:p w14:paraId="7098F1AE" w14:textId="77777777" w:rsidR="00FC0607" w:rsidRPr="002B6B8A" w:rsidRDefault="00FC0607">
            <w:pPr>
              <w:jc w:val="right"/>
              <w:rPr>
                <w:noProof/>
                <w:color w:val="000000"/>
                <w:sz w:val="20"/>
                <w:szCs w:val="20"/>
              </w:rPr>
            </w:pPr>
            <w:r w:rsidRPr="002B6B8A">
              <w:rPr>
                <w:noProof/>
                <w:color w:val="000000"/>
                <w:sz w:val="20"/>
                <w:szCs w:val="20"/>
              </w:rPr>
              <w:t>439,217</w:t>
            </w:r>
          </w:p>
        </w:tc>
        <w:tc>
          <w:tcPr>
            <w:tcW w:w="504" w:type="pct"/>
            <w:tcBorders>
              <w:top w:val="nil"/>
              <w:left w:val="nil"/>
              <w:bottom w:val="single" w:sz="4" w:space="0" w:color="auto"/>
              <w:right w:val="single" w:sz="4" w:space="0" w:color="auto"/>
            </w:tcBorders>
            <w:hideMark/>
          </w:tcPr>
          <w:p w14:paraId="367C8A89" w14:textId="77777777" w:rsidR="00FC0607" w:rsidRPr="002B6B8A" w:rsidRDefault="00FC0607">
            <w:pPr>
              <w:jc w:val="right"/>
              <w:rPr>
                <w:noProof/>
                <w:color w:val="000000"/>
                <w:sz w:val="20"/>
                <w:szCs w:val="20"/>
              </w:rPr>
            </w:pPr>
            <w:r w:rsidRPr="002B6B8A">
              <w:rPr>
                <w:noProof/>
                <w:color w:val="000000"/>
                <w:sz w:val="20"/>
                <w:szCs w:val="20"/>
              </w:rPr>
              <w:t>168,579</w:t>
            </w:r>
          </w:p>
        </w:tc>
        <w:tc>
          <w:tcPr>
            <w:tcW w:w="504" w:type="pct"/>
            <w:tcBorders>
              <w:top w:val="nil"/>
              <w:left w:val="nil"/>
              <w:bottom w:val="single" w:sz="4" w:space="0" w:color="auto"/>
              <w:right w:val="single" w:sz="4" w:space="0" w:color="auto"/>
            </w:tcBorders>
            <w:hideMark/>
          </w:tcPr>
          <w:p w14:paraId="62DB7A04" w14:textId="77777777" w:rsidR="00FC0607" w:rsidRPr="002B6B8A" w:rsidRDefault="00FC0607">
            <w:pPr>
              <w:jc w:val="right"/>
              <w:rPr>
                <w:noProof/>
                <w:color w:val="000000"/>
                <w:sz w:val="20"/>
                <w:szCs w:val="20"/>
              </w:rPr>
            </w:pPr>
            <w:r w:rsidRPr="002B6B8A">
              <w:rPr>
                <w:noProof/>
                <w:color w:val="000000"/>
                <w:sz w:val="20"/>
                <w:szCs w:val="20"/>
              </w:rPr>
              <w:t>22,383</w:t>
            </w:r>
          </w:p>
        </w:tc>
        <w:tc>
          <w:tcPr>
            <w:tcW w:w="504" w:type="pct"/>
            <w:tcBorders>
              <w:top w:val="nil"/>
              <w:left w:val="nil"/>
              <w:bottom w:val="single" w:sz="4" w:space="0" w:color="auto"/>
              <w:right w:val="single" w:sz="4" w:space="0" w:color="auto"/>
            </w:tcBorders>
            <w:shd w:val="clear" w:color="000000" w:fill="FFFFFF"/>
            <w:hideMark/>
          </w:tcPr>
          <w:p w14:paraId="18E4D9E6" w14:textId="77777777" w:rsidR="00FC0607" w:rsidRPr="002B6B8A" w:rsidRDefault="00FC0607">
            <w:pPr>
              <w:jc w:val="right"/>
              <w:rPr>
                <w:noProof/>
                <w:color w:val="000000"/>
                <w:sz w:val="20"/>
                <w:szCs w:val="20"/>
              </w:rPr>
            </w:pPr>
            <w:r w:rsidRPr="002B6B8A">
              <w:rPr>
                <w:noProof/>
                <w:color w:val="000000"/>
                <w:sz w:val="20"/>
                <w:szCs w:val="20"/>
              </w:rPr>
              <w:t>-26.8%</w:t>
            </w:r>
          </w:p>
        </w:tc>
        <w:tc>
          <w:tcPr>
            <w:tcW w:w="504" w:type="pct"/>
            <w:tcBorders>
              <w:top w:val="nil"/>
              <w:left w:val="nil"/>
              <w:bottom w:val="single" w:sz="4" w:space="0" w:color="auto"/>
              <w:right w:val="single" w:sz="4" w:space="0" w:color="auto"/>
            </w:tcBorders>
            <w:shd w:val="clear" w:color="000000" w:fill="FFFFFF"/>
            <w:hideMark/>
          </w:tcPr>
          <w:p w14:paraId="1E881C5B" w14:textId="77777777" w:rsidR="00FC0607" w:rsidRPr="002B6B8A" w:rsidRDefault="00FC0607">
            <w:pPr>
              <w:jc w:val="right"/>
              <w:rPr>
                <w:noProof/>
                <w:color w:val="000000"/>
                <w:sz w:val="20"/>
                <w:szCs w:val="20"/>
              </w:rPr>
            </w:pPr>
            <w:r w:rsidRPr="002B6B8A">
              <w:rPr>
                <w:noProof/>
                <w:color w:val="000000"/>
                <w:sz w:val="20"/>
                <w:szCs w:val="20"/>
              </w:rPr>
              <w:t>-71.9%</w:t>
            </w:r>
          </w:p>
        </w:tc>
        <w:tc>
          <w:tcPr>
            <w:tcW w:w="504" w:type="pct"/>
            <w:tcBorders>
              <w:top w:val="nil"/>
              <w:left w:val="nil"/>
              <w:bottom w:val="single" w:sz="4" w:space="0" w:color="auto"/>
              <w:right w:val="single" w:sz="4" w:space="0" w:color="auto"/>
            </w:tcBorders>
            <w:shd w:val="clear" w:color="000000" w:fill="FFFFFF"/>
            <w:hideMark/>
          </w:tcPr>
          <w:p w14:paraId="66B493B1" w14:textId="77777777" w:rsidR="00FC0607" w:rsidRPr="002B6B8A" w:rsidRDefault="00FC0607">
            <w:pPr>
              <w:jc w:val="right"/>
              <w:rPr>
                <w:noProof/>
                <w:color w:val="000000"/>
                <w:sz w:val="20"/>
                <w:szCs w:val="20"/>
              </w:rPr>
            </w:pPr>
            <w:r w:rsidRPr="002B6B8A">
              <w:rPr>
                <w:noProof/>
                <w:color w:val="000000"/>
                <w:sz w:val="20"/>
                <w:szCs w:val="20"/>
              </w:rPr>
              <w:t>-96.3%</w:t>
            </w:r>
          </w:p>
        </w:tc>
      </w:tr>
      <w:tr w:rsidR="00876363" w:rsidRPr="002B6B8A" w14:paraId="2B9DF6BB" w14:textId="77777777">
        <w:trPr>
          <w:trHeight w:val="300"/>
        </w:trPr>
        <w:tc>
          <w:tcPr>
            <w:tcW w:w="966" w:type="pct"/>
            <w:tcBorders>
              <w:top w:val="nil"/>
              <w:left w:val="single" w:sz="4" w:space="0" w:color="auto"/>
              <w:bottom w:val="single" w:sz="4" w:space="0" w:color="auto"/>
              <w:right w:val="single" w:sz="4" w:space="0" w:color="auto"/>
            </w:tcBorders>
            <w:hideMark/>
          </w:tcPr>
          <w:p w14:paraId="7421E866" w14:textId="77777777" w:rsidR="00FC0607" w:rsidRPr="002B6B8A" w:rsidRDefault="00FC0607">
            <w:pPr>
              <w:rPr>
                <w:noProof/>
                <w:color w:val="000000"/>
                <w:sz w:val="20"/>
                <w:szCs w:val="20"/>
              </w:rPr>
            </w:pPr>
            <w:r w:rsidRPr="002B6B8A">
              <w:rPr>
                <w:noProof/>
                <w:color w:val="000000"/>
                <w:sz w:val="20"/>
                <w:szCs w:val="20"/>
              </w:rPr>
              <w:t>NOx emissions</w:t>
            </w:r>
          </w:p>
        </w:tc>
        <w:tc>
          <w:tcPr>
            <w:tcW w:w="504" w:type="pct"/>
            <w:tcBorders>
              <w:top w:val="nil"/>
              <w:left w:val="nil"/>
              <w:bottom w:val="single" w:sz="4" w:space="0" w:color="auto"/>
              <w:right w:val="single" w:sz="4" w:space="0" w:color="auto"/>
            </w:tcBorders>
            <w:hideMark/>
          </w:tcPr>
          <w:p w14:paraId="53DD8EB5" w14:textId="77777777" w:rsidR="00FC0607" w:rsidRPr="002B6B8A" w:rsidRDefault="00FC0607">
            <w:pPr>
              <w:jc w:val="right"/>
              <w:rPr>
                <w:noProof/>
                <w:color w:val="000000"/>
                <w:sz w:val="20"/>
                <w:szCs w:val="20"/>
              </w:rPr>
            </w:pPr>
            <w:r w:rsidRPr="002B6B8A">
              <w:rPr>
                <w:noProof/>
                <w:color w:val="000000"/>
                <w:sz w:val="20"/>
                <w:szCs w:val="20"/>
              </w:rPr>
              <w:t>2,211</w:t>
            </w:r>
          </w:p>
        </w:tc>
        <w:tc>
          <w:tcPr>
            <w:tcW w:w="504" w:type="pct"/>
            <w:tcBorders>
              <w:top w:val="nil"/>
              <w:left w:val="nil"/>
              <w:bottom w:val="single" w:sz="4" w:space="0" w:color="auto"/>
              <w:right w:val="single" w:sz="4" w:space="0" w:color="auto"/>
            </w:tcBorders>
            <w:hideMark/>
          </w:tcPr>
          <w:p w14:paraId="75B8A71E" w14:textId="77777777" w:rsidR="00FC0607" w:rsidRPr="002B6B8A" w:rsidRDefault="00FC0607">
            <w:pPr>
              <w:jc w:val="right"/>
              <w:rPr>
                <w:noProof/>
                <w:color w:val="000000"/>
                <w:sz w:val="20"/>
                <w:szCs w:val="20"/>
              </w:rPr>
            </w:pPr>
            <w:r w:rsidRPr="002B6B8A">
              <w:rPr>
                <w:noProof/>
                <w:color w:val="000000"/>
                <w:sz w:val="20"/>
                <w:szCs w:val="20"/>
              </w:rPr>
              <w:t>1,152</w:t>
            </w:r>
          </w:p>
        </w:tc>
        <w:tc>
          <w:tcPr>
            <w:tcW w:w="504" w:type="pct"/>
            <w:tcBorders>
              <w:top w:val="nil"/>
              <w:left w:val="nil"/>
              <w:bottom w:val="single" w:sz="4" w:space="0" w:color="auto"/>
              <w:right w:val="single" w:sz="4" w:space="0" w:color="auto"/>
            </w:tcBorders>
            <w:hideMark/>
          </w:tcPr>
          <w:p w14:paraId="47F02348" w14:textId="77777777" w:rsidR="00FC0607" w:rsidRPr="002B6B8A" w:rsidRDefault="00FC0607">
            <w:pPr>
              <w:jc w:val="right"/>
              <w:rPr>
                <w:noProof/>
                <w:color w:val="000000"/>
                <w:sz w:val="20"/>
                <w:szCs w:val="20"/>
              </w:rPr>
            </w:pPr>
            <w:r w:rsidRPr="002B6B8A">
              <w:rPr>
                <w:noProof/>
                <w:color w:val="000000"/>
                <w:sz w:val="20"/>
                <w:szCs w:val="20"/>
              </w:rPr>
              <w:t>976</w:t>
            </w:r>
          </w:p>
        </w:tc>
        <w:tc>
          <w:tcPr>
            <w:tcW w:w="504" w:type="pct"/>
            <w:tcBorders>
              <w:top w:val="nil"/>
              <w:left w:val="nil"/>
              <w:bottom w:val="single" w:sz="4" w:space="0" w:color="auto"/>
              <w:right w:val="single" w:sz="4" w:space="0" w:color="auto"/>
            </w:tcBorders>
            <w:hideMark/>
          </w:tcPr>
          <w:p w14:paraId="628664E2" w14:textId="77777777" w:rsidR="00FC0607" w:rsidRPr="002B6B8A" w:rsidRDefault="00FC0607">
            <w:pPr>
              <w:jc w:val="right"/>
              <w:rPr>
                <w:noProof/>
                <w:color w:val="000000"/>
                <w:sz w:val="20"/>
                <w:szCs w:val="20"/>
              </w:rPr>
            </w:pPr>
            <w:r w:rsidRPr="002B6B8A">
              <w:rPr>
                <w:noProof/>
                <w:color w:val="000000"/>
                <w:sz w:val="20"/>
                <w:szCs w:val="20"/>
              </w:rPr>
              <w:t>423</w:t>
            </w:r>
          </w:p>
        </w:tc>
        <w:tc>
          <w:tcPr>
            <w:tcW w:w="504" w:type="pct"/>
            <w:tcBorders>
              <w:top w:val="nil"/>
              <w:left w:val="nil"/>
              <w:bottom w:val="single" w:sz="4" w:space="0" w:color="auto"/>
              <w:right w:val="single" w:sz="4" w:space="0" w:color="auto"/>
            </w:tcBorders>
            <w:hideMark/>
          </w:tcPr>
          <w:p w14:paraId="58D9293D" w14:textId="77777777" w:rsidR="00FC0607" w:rsidRPr="002B6B8A" w:rsidRDefault="00FC0607">
            <w:pPr>
              <w:jc w:val="right"/>
              <w:rPr>
                <w:noProof/>
                <w:color w:val="000000"/>
                <w:sz w:val="20"/>
                <w:szCs w:val="20"/>
              </w:rPr>
            </w:pPr>
            <w:r w:rsidRPr="002B6B8A">
              <w:rPr>
                <w:noProof/>
                <w:color w:val="000000"/>
                <w:sz w:val="20"/>
                <w:szCs w:val="20"/>
              </w:rPr>
              <w:t>125</w:t>
            </w:r>
          </w:p>
        </w:tc>
        <w:tc>
          <w:tcPr>
            <w:tcW w:w="504" w:type="pct"/>
            <w:tcBorders>
              <w:top w:val="nil"/>
              <w:left w:val="nil"/>
              <w:bottom w:val="single" w:sz="4" w:space="0" w:color="auto"/>
              <w:right w:val="single" w:sz="4" w:space="0" w:color="auto"/>
            </w:tcBorders>
            <w:shd w:val="clear" w:color="000000" w:fill="FFFFFF"/>
            <w:hideMark/>
          </w:tcPr>
          <w:p w14:paraId="1E0FDBA9" w14:textId="77777777" w:rsidR="00FC0607" w:rsidRPr="002B6B8A" w:rsidRDefault="00FC0607">
            <w:pPr>
              <w:jc w:val="right"/>
              <w:rPr>
                <w:noProof/>
                <w:color w:val="000000"/>
                <w:sz w:val="20"/>
                <w:szCs w:val="20"/>
              </w:rPr>
            </w:pPr>
            <w:r w:rsidRPr="002B6B8A">
              <w:rPr>
                <w:noProof/>
                <w:color w:val="000000"/>
                <w:sz w:val="20"/>
                <w:szCs w:val="20"/>
              </w:rPr>
              <w:t>-55.9%</w:t>
            </w:r>
          </w:p>
        </w:tc>
        <w:tc>
          <w:tcPr>
            <w:tcW w:w="504" w:type="pct"/>
            <w:tcBorders>
              <w:top w:val="nil"/>
              <w:left w:val="nil"/>
              <w:bottom w:val="single" w:sz="4" w:space="0" w:color="auto"/>
              <w:right w:val="single" w:sz="4" w:space="0" w:color="auto"/>
            </w:tcBorders>
            <w:shd w:val="clear" w:color="000000" w:fill="FFFFFF"/>
            <w:hideMark/>
          </w:tcPr>
          <w:p w14:paraId="616A9558" w14:textId="77777777" w:rsidR="00FC0607" w:rsidRPr="002B6B8A" w:rsidRDefault="00FC0607">
            <w:pPr>
              <w:jc w:val="right"/>
              <w:rPr>
                <w:noProof/>
                <w:color w:val="000000"/>
                <w:sz w:val="20"/>
                <w:szCs w:val="20"/>
              </w:rPr>
            </w:pPr>
            <w:r w:rsidRPr="002B6B8A">
              <w:rPr>
                <w:noProof/>
                <w:color w:val="000000"/>
                <w:sz w:val="20"/>
                <w:szCs w:val="20"/>
              </w:rPr>
              <w:t>-80.9%</w:t>
            </w:r>
          </w:p>
        </w:tc>
        <w:tc>
          <w:tcPr>
            <w:tcW w:w="504" w:type="pct"/>
            <w:tcBorders>
              <w:top w:val="nil"/>
              <w:left w:val="nil"/>
              <w:bottom w:val="single" w:sz="4" w:space="0" w:color="auto"/>
              <w:right w:val="single" w:sz="4" w:space="0" w:color="auto"/>
            </w:tcBorders>
            <w:shd w:val="clear" w:color="000000" w:fill="FFFFFF"/>
            <w:hideMark/>
          </w:tcPr>
          <w:p w14:paraId="50F03E97" w14:textId="77777777" w:rsidR="00FC0607" w:rsidRPr="002B6B8A" w:rsidRDefault="00FC0607">
            <w:pPr>
              <w:jc w:val="right"/>
              <w:rPr>
                <w:noProof/>
                <w:color w:val="000000"/>
                <w:sz w:val="20"/>
                <w:szCs w:val="20"/>
              </w:rPr>
            </w:pPr>
            <w:r w:rsidRPr="002B6B8A">
              <w:rPr>
                <w:noProof/>
                <w:color w:val="000000"/>
                <w:sz w:val="20"/>
                <w:szCs w:val="20"/>
              </w:rPr>
              <w:t>-94.3%</w:t>
            </w:r>
          </w:p>
        </w:tc>
      </w:tr>
      <w:tr w:rsidR="00876363" w:rsidRPr="002B6B8A" w14:paraId="6A008EB3" w14:textId="77777777">
        <w:trPr>
          <w:trHeight w:val="510"/>
        </w:trPr>
        <w:tc>
          <w:tcPr>
            <w:tcW w:w="966" w:type="pct"/>
            <w:tcBorders>
              <w:top w:val="nil"/>
              <w:left w:val="single" w:sz="4" w:space="0" w:color="auto"/>
              <w:bottom w:val="single" w:sz="4" w:space="0" w:color="auto"/>
              <w:right w:val="single" w:sz="4" w:space="0" w:color="auto"/>
            </w:tcBorders>
            <w:hideMark/>
          </w:tcPr>
          <w:p w14:paraId="660F2F89" w14:textId="77777777" w:rsidR="00FC0607" w:rsidRPr="002B6B8A" w:rsidRDefault="00FC0607">
            <w:pPr>
              <w:rPr>
                <w:noProof/>
                <w:color w:val="000000"/>
                <w:sz w:val="20"/>
                <w:szCs w:val="20"/>
              </w:rPr>
            </w:pPr>
            <w:r w:rsidRPr="002B6B8A">
              <w:rPr>
                <w:noProof/>
                <w:color w:val="000000"/>
                <w:sz w:val="20"/>
                <w:szCs w:val="20"/>
              </w:rPr>
              <w:t>PM2.5 (exhaust) emissions</w:t>
            </w:r>
          </w:p>
        </w:tc>
        <w:tc>
          <w:tcPr>
            <w:tcW w:w="504" w:type="pct"/>
            <w:tcBorders>
              <w:top w:val="nil"/>
              <w:left w:val="nil"/>
              <w:bottom w:val="single" w:sz="4" w:space="0" w:color="auto"/>
              <w:right w:val="single" w:sz="4" w:space="0" w:color="auto"/>
            </w:tcBorders>
            <w:hideMark/>
          </w:tcPr>
          <w:p w14:paraId="6F9F7F2C" w14:textId="77777777" w:rsidR="00FC0607" w:rsidRPr="002B6B8A" w:rsidRDefault="00FC0607">
            <w:pPr>
              <w:jc w:val="right"/>
              <w:rPr>
                <w:noProof/>
                <w:color w:val="000000"/>
                <w:sz w:val="20"/>
                <w:szCs w:val="20"/>
              </w:rPr>
            </w:pPr>
            <w:r w:rsidRPr="002B6B8A">
              <w:rPr>
                <w:noProof/>
                <w:color w:val="000000"/>
                <w:sz w:val="20"/>
                <w:szCs w:val="20"/>
              </w:rPr>
              <w:t>71</w:t>
            </w:r>
          </w:p>
        </w:tc>
        <w:tc>
          <w:tcPr>
            <w:tcW w:w="504" w:type="pct"/>
            <w:tcBorders>
              <w:top w:val="nil"/>
              <w:left w:val="nil"/>
              <w:bottom w:val="single" w:sz="4" w:space="0" w:color="auto"/>
              <w:right w:val="single" w:sz="4" w:space="0" w:color="auto"/>
            </w:tcBorders>
            <w:hideMark/>
          </w:tcPr>
          <w:p w14:paraId="54DEA41C" w14:textId="77777777" w:rsidR="00FC0607" w:rsidRPr="002B6B8A" w:rsidRDefault="00FC0607">
            <w:pPr>
              <w:jc w:val="right"/>
              <w:rPr>
                <w:noProof/>
                <w:color w:val="000000"/>
                <w:sz w:val="20"/>
                <w:szCs w:val="20"/>
              </w:rPr>
            </w:pPr>
            <w:r w:rsidRPr="002B6B8A">
              <w:rPr>
                <w:noProof/>
                <w:color w:val="000000"/>
                <w:sz w:val="20"/>
                <w:szCs w:val="20"/>
              </w:rPr>
              <w:t>59</w:t>
            </w:r>
          </w:p>
        </w:tc>
        <w:tc>
          <w:tcPr>
            <w:tcW w:w="504" w:type="pct"/>
            <w:tcBorders>
              <w:top w:val="nil"/>
              <w:left w:val="nil"/>
              <w:bottom w:val="single" w:sz="4" w:space="0" w:color="auto"/>
              <w:right w:val="single" w:sz="4" w:space="0" w:color="auto"/>
            </w:tcBorders>
            <w:hideMark/>
          </w:tcPr>
          <w:p w14:paraId="7C4A9A03" w14:textId="77777777" w:rsidR="00FC0607" w:rsidRPr="002B6B8A" w:rsidRDefault="00FC0607">
            <w:pPr>
              <w:jc w:val="right"/>
              <w:rPr>
                <w:noProof/>
                <w:color w:val="000000"/>
                <w:sz w:val="20"/>
                <w:szCs w:val="20"/>
              </w:rPr>
            </w:pPr>
            <w:r w:rsidRPr="002B6B8A">
              <w:rPr>
                <w:noProof/>
                <w:color w:val="000000"/>
                <w:sz w:val="20"/>
                <w:szCs w:val="20"/>
              </w:rPr>
              <w:t>47</w:t>
            </w:r>
          </w:p>
        </w:tc>
        <w:tc>
          <w:tcPr>
            <w:tcW w:w="504" w:type="pct"/>
            <w:tcBorders>
              <w:top w:val="nil"/>
              <w:left w:val="nil"/>
              <w:bottom w:val="single" w:sz="4" w:space="0" w:color="auto"/>
              <w:right w:val="single" w:sz="4" w:space="0" w:color="auto"/>
            </w:tcBorders>
            <w:hideMark/>
          </w:tcPr>
          <w:p w14:paraId="55036F1B" w14:textId="77777777" w:rsidR="00FC0607" w:rsidRPr="002B6B8A" w:rsidRDefault="00FC0607">
            <w:pPr>
              <w:jc w:val="right"/>
              <w:rPr>
                <w:noProof/>
                <w:color w:val="000000"/>
                <w:sz w:val="20"/>
                <w:szCs w:val="20"/>
              </w:rPr>
            </w:pPr>
            <w:r w:rsidRPr="002B6B8A">
              <w:rPr>
                <w:noProof/>
                <w:color w:val="000000"/>
                <w:sz w:val="20"/>
                <w:szCs w:val="20"/>
              </w:rPr>
              <w:t>21</w:t>
            </w:r>
          </w:p>
        </w:tc>
        <w:tc>
          <w:tcPr>
            <w:tcW w:w="504" w:type="pct"/>
            <w:tcBorders>
              <w:top w:val="nil"/>
              <w:left w:val="nil"/>
              <w:bottom w:val="single" w:sz="4" w:space="0" w:color="auto"/>
              <w:right w:val="single" w:sz="4" w:space="0" w:color="auto"/>
            </w:tcBorders>
            <w:hideMark/>
          </w:tcPr>
          <w:p w14:paraId="7FCA4F1F" w14:textId="77777777" w:rsidR="00FC0607" w:rsidRPr="002B6B8A" w:rsidRDefault="00FC0607">
            <w:pPr>
              <w:jc w:val="right"/>
              <w:rPr>
                <w:noProof/>
                <w:color w:val="000000"/>
                <w:sz w:val="20"/>
                <w:szCs w:val="20"/>
              </w:rPr>
            </w:pPr>
            <w:r w:rsidRPr="002B6B8A">
              <w:rPr>
                <w:noProof/>
                <w:color w:val="000000"/>
                <w:sz w:val="20"/>
                <w:szCs w:val="20"/>
              </w:rPr>
              <w:t>8</w:t>
            </w:r>
          </w:p>
        </w:tc>
        <w:tc>
          <w:tcPr>
            <w:tcW w:w="504" w:type="pct"/>
            <w:tcBorders>
              <w:top w:val="nil"/>
              <w:left w:val="nil"/>
              <w:bottom w:val="single" w:sz="4" w:space="0" w:color="auto"/>
              <w:right w:val="single" w:sz="4" w:space="0" w:color="auto"/>
            </w:tcBorders>
            <w:shd w:val="clear" w:color="000000" w:fill="FFFFFF"/>
            <w:hideMark/>
          </w:tcPr>
          <w:p w14:paraId="0F4A632F" w14:textId="77777777" w:rsidR="00FC0607" w:rsidRPr="002B6B8A" w:rsidRDefault="00FC0607">
            <w:pPr>
              <w:jc w:val="right"/>
              <w:rPr>
                <w:noProof/>
                <w:color w:val="000000"/>
                <w:sz w:val="20"/>
                <w:szCs w:val="20"/>
              </w:rPr>
            </w:pPr>
            <w:r w:rsidRPr="002B6B8A">
              <w:rPr>
                <w:noProof/>
                <w:color w:val="000000"/>
                <w:sz w:val="20"/>
                <w:szCs w:val="20"/>
              </w:rPr>
              <w:t>-33.7%</w:t>
            </w:r>
          </w:p>
        </w:tc>
        <w:tc>
          <w:tcPr>
            <w:tcW w:w="504" w:type="pct"/>
            <w:tcBorders>
              <w:top w:val="nil"/>
              <w:left w:val="nil"/>
              <w:bottom w:val="single" w:sz="4" w:space="0" w:color="auto"/>
              <w:right w:val="single" w:sz="4" w:space="0" w:color="auto"/>
            </w:tcBorders>
            <w:shd w:val="clear" w:color="000000" w:fill="FFFFFF"/>
            <w:hideMark/>
          </w:tcPr>
          <w:p w14:paraId="33CBAC8F" w14:textId="77777777" w:rsidR="00FC0607" w:rsidRPr="002B6B8A" w:rsidRDefault="00FC0607">
            <w:pPr>
              <w:jc w:val="right"/>
              <w:rPr>
                <w:noProof/>
                <w:color w:val="000000"/>
                <w:sz w:val="20"/>
                <w:szCs w:val="20"/>
              </w:rPr>
            </w:pPr>
            <w:r w:rsidRPr="002B6B8A">
              <w:rPr>
                <w:noProof/>
                <w:color w:val="000000"/>
                <w:sz w:val="20"/>
                <w:szCs w:val="20"/>
              </w:rPr>
              <w:t>-70.9%</w:t>
            </w:r>
          </w:p>
        </w:tc>
        <w:tc>
          <w:tcPr>
            <w:tcW w:w="504" w:type="pct"/>
            <w:tcBorders>
              <w:top w:val="nil"/>
              <w:left w:val="nil"/>
              <w:bottom w:val="single" w:sz="4" w:space="0" w:color="auto"/>
              <w:right w:val="single" w:sz="4" w:space="0" w:color="auto"/>
            </w:tcBorders>
            <w:shd w:val="clear" w:color="000000" w:fill="FFFFFF"/>
            <w:hideMark/>
          </w:tcPr>
          <w:p w14:paraId="27A7C36A" w14:textId="77777777" w:rsidR="00FC0607" w:rsidRPr="002B6B8A" w:rsidRDefault="00FC0607">
            <w:pPr>
              <w:jc w:val="right"/>
              <w:rPr>
                <w:noProof/>
                <w:color w:val="000000"/>
                <w:sz w:val="20"/>
                <w:szCs w:val="20"/>
              </w:rPr>
            </w:pPr>
            <w:r w:rsidRPr="002B6B8A">
              <w:rPr>
                <w:noProof/>
                <w:color w:val="000000"/>
                <w:sz w:val="20"/>
                <w:szCs w:val="20"/>
              </w:rPr>
              <w:t>-88.5%</w:t>
            </w:r>
          </w:p>
        </w:tc>
      </w:tr>
      <w:tr w:rsidR="00876363" w:rsidRPr="002B6B8A" w14:paraId="76520723" w14:textId="77777777">
        <w:trPr>
          <w:trHeight w:val="300"/>
        </w:trPr>
        <w:tc>
          <w:tcPr>
            <w:tcW w:w="966" w:type="pct"/>
            <w:tcBorders>
              <w:top w:val="nil"/>
              <w:left w:val="single" w:sz="4" w:space="0" w:color="auto"/>
              <w:bottom w:val="single" w:sz="4" w:space="0" w:color="auto"/>
              <w:right w:val="single" w:sz="4" w:space="0" w:color="auto"/>
            </w:tcBorders>
            <w:hideMark/>
          </w:tcPr>
          <w:p w14:paraId="326F5706" w14:textId="77777777" w:rsidR="00FC0607" w:rsidRPr="002B6B8A" w:rsidRDefault="00FC0607">
            <w:pPr>
              <w:rPr>
                <w:noProof/>
                <w:color w:val="000000"/>
                <w:sz w:val="20"/>
                <w:szCs w:val="20"/>
              </w:rPr>
            </w:pPr>
            <w:r w:rsidRPr="002B6B8A">
              <w:rPr>
                <w:noProof/>
                <w:color w:val="000000"/>
                <w:sz w:val="20"/>
                <w:szCs w:val="20"/>
              </w:rPr>
              <w:t>CO emissions</w:t>
            </w:r>
          </w:p>
        </w:tc>
        <w:tc>
          <w:tcPr>
            <w:tcW w:w="504" w:type="pct"/>
            <w:tcBorders>
              <w:top w:val="nil"/>
              <w:left w:val="nil"/>
              <w:bottom w:val="single" w:sz="4" w:space="0" w:color="auto"/>
              <w:right w:val="single" w:sz="4" w:space="0" w:color="auto"/>
            </w:tcBorders>
            <w:hideMark/>
          </w:tcPr>
          <w:p w14:paraId="746A4D87" w14:textId="77777777" w:rsidR="00FC0607" w:rsidRPr="002B6B8A" w:rsidRDefault="00FC0607">
            <w:pPr>
              <w:jc w:val="right"/>
              <w:rPr>
                <w:noProof/>
                <w:color w:val="000000"/>
                <w:sz w:val="20"/>
                <w:szCs w:val="20"/>
              </w:rPr>
            </w:pPr>
            <w:r w:rsidRPr="002B6B8A">
              <w:rPr>
                <w:noProof/>
                <w:color w:val="000000"/>
                <w:sz w:val="20"/>
                <w:szCs w:val="20"/>
              </w:rPr>
              <w:t>3,353</w:t>
            </w:r>
          </w:p>
        </w:tc>
        <w:tc>
          <w:tcPr>
            <w:tcW w:w="504" w:type="pct"/>
            <w:tcBorders>
              <w:top w:val="nil"/>
              <w:left w:val="nil"/>
              <w:bottom w:val="single" w:sz="4" w:space="0" w:color="auto"/>
              <w:right w:val="single" w:sz="4" w:space="0" w:color="auto"/>
            </w:tcBorders>
            <w:hideMark/>
          </w:tcPr>
          <w:p w14:paraId="2D2D37C5" w14:textId="77777777" w:rsidR="00FC0607" w:rsidRPr="002B6B8A" w:rsidRDefault="00FC0607">
            <w:pPr>
              <w:jc w:val="right"/>
              <w:rPr>
                <w:noProof/>
                <w:color w:val="000000"/>
                <w:sz w:val="20"/>
                <w:szCs w:val="20"/>
              </w:rPr>
            </w:pPr>
            <w:r w:rsidRPr="002B6B8A">
              <w:rPr>
                <w:noProof/>
                <w:color w:val="000000"/>
                <w:sz w:val="20"/>
                <w:szCs w:val="20"/>
              </w:rPr>
              <w:t>1,760</w:t>
            </w:r>
          </w:p>
        </w:tc>
        <w:tc>
          <w:tcPr>
            <w:tcW w:w="504" w:type="pct"/>
            <w:tcBorders>
              <w:top w:val="nil"/>
              <w:left w:val="nil"/>
              <w:bottom w:val="single" w:sz="4" w:space="0" w:color="auto"/>
              <w:right w:val="single" w:sz="4" w:space="0" w:color="auto"/>
            </w:tcBorders>
            <w:hideMark/>
          </w:tcPr>
          <w:p w14:paraId="3AC140A1" w14:textId="77777777" w:rsidR="00FC0607" w:rsidRPr="002B6B8A" w:rsidRDefault="00FC0607">
            <w:pPr>
              <w:jc w:val="right"/>
              <w:rPr>
                <w:noProof/>
                <w:color w:val="000000"/>
                <w:sz w:val="20"/>
                <w:szCs w:val="20"/>
              </w:rPr>
            </w:pPr>
            <w:r w:rsidRPr="002B6B8A">
              <w:rPr>
                <w:noProof/>
                <w:color w:val="000000"/>
                <w:sz w:val="20"/>
                <w:szCs w:val="20"/>
              </w:rPr>
              <w:t>1,280</w:t>
            </w:r>
          </w:p>
        </w:tc>
        <w:tc>
          <w:tcPr>
            <w:tcW w:w="504" w:type="pct"/>
            <w:tcBorders>
              <w:top w:val="nil"/>
              <w:left w:val="nil"/>
              <w:bottom w:val="single" w:sz="4" w:space="0" w:color="auto"/>
              <w:right w:val="single" w:sz="4" w:space="0" w:color="auto"/>
            </w:tcBorders>
            <w:hideMark/>
          </w:tcPr>
          <w:p w14:paraId="22D945F1" w14:textId="77777777" w:rsidR="00FC0607" w:rsidRPr="002B6B8A" w:rsidRDefault="00FC0607">
            <w:pPr>
              <w:jc w:val="right"/>
              <w:rPr>
                <w:noProof/>
                <w:color w:val="000000"/>
                <w:sz w:val="20"/>
                <w:szCs w:val="20"/>
              </w:rPr>
            </w:pPr>
            <w:r w:rsidRPr="002B6B8A">
              <w:rPr>
                <w:noProof/>
                <w:color w:val="000000"/>
                <w:sz w:val="20"/>
                <w:szCs w:val="20"/>
              </w:rPr>
              <w:t>387</w:t>
            </w:r>
          </w:p>
        </w:tc>
        <w:tc>
          <w:tcPr>
            <w:tcW w:w="504" w:type="pct"/>
            <w:tcBorders>
              <w:top w:val="nil"/>
              <w:left w:val="nil"/>
              <w:bottom w:val="single" w:sz="4" w:space="0" w:color="auto"/>
              <w:right w:val="single" w:sz="4" w:space="0" w:color="auto"/>
            </w:tcBorders>
            <w:hideMark/>
          </w:tcPr>
          <w:p w14:paraId="045D0625" w14:textId="77777777" w:rsidR="00FC0607" w:rsidRPr="002B6B8A" w:rsidRDefault="00FC0607">
            <w:pPr>
              <w:jc w:val="right"/>
              <w:rPr>
                <w:noProof/>
                <w:color w:val="000000"/>
                <w:sz w:val="20"/>
                <w:szCs w:val="20"/>
              </w:rPr>
            </w:pPr>
            <w:r w:rsidRPr="002B6B8A">
              <w:rPr>
                <w:noProof/>
                <w:color w:val="000000"/>
                <w:sz w:val="20"/>
                <w:szCs w:val="20"/>
              </w:rPr>
              <w:t>106</w:t>
            </w:r>
          </w:p>
        </w:tc>
        <w:tc>
          <w:tcPr>
            <w:tcW w:w="504" w:type="pct"/>
            <w:tcBorders>
              <w:top w:val="nil"/>
              <w:left w:val="nil"/>
              <w:bottom w:val="single" w:sz="4" w:space="0" w:color="auto"/>
              <w:right w:val="single" w:sz="4" w:space="0" w:color="auto"/>
            </w:tcBorders>
            <w:shd w:val="clear" w:color="000000" w:fill="FFFFFF"/>
            <w:hideMark/>
          </w:tcPr>
          <w:p w14:paraId="7FC179E0" w14:textId="77777777" w:rsidR="00FC0607" w:rsidRPr="002B6B8A" w:rsidRDefault="00FC0607">
            <w:pPr>
              <w:jc w:val="right"/>
              <w:rPr>
                <w:noProof/>
                <w:color w:val="000000"/>
                <w:sz w:val="20"/>
                <w:szCs w:val="20"/>
              </w:rPr>
            </w:pPr>
            <w:r w:rsidRPr="002B6B8A">
              <w:rPr>
                <w:noProof/>
                <w:color w:val="000000"/>
                <w:sz w:val="20"/>
                <w:szCs w:val="20"/>
              </w:rPr>
              <w:t>-61.8%</w:t>
            </w:r>
          </w:p>
        </w:tc>
        <w:tc>
          <w:tcPr>
            <w:tcW w:w="504" w:type="pct"/>
            <w:tcBorders>
              <w:top w:val="nil"/>
              <w:left w:val="nil"/>
              <w:bottom w:val="single" w:sz="4" w:space="0" w:color="auto"/>
              <w:right w:val="single" w:sz="4" w:space="0" w:color="auto"/>
            </w:tcBorders>
            <w:shd w:val="clear" w:color="000000" w:fill="FFFFFF"/>
            <w:hideMark/>
          </w:tcPr>
          <w:p w14:paraId="3C6D8EAC" w14:textId="77777777" w:rsidR="00FC0607" w:rsidRPr="002B6B8A" w:rsidRDefault="00FC0607">
            <w:pPr>
              <w:jc w:val="right"/>
              <w:rPr>
                <w:noProof/>
                <w:color w:val="000000"/>
                <w:sz w:val="20"/>
                <w:szCs w:val="20"/>
              </w:rPr>
            </w:pPr>
            <w:r w:rsidRPr="002B6B8A">
              <w:rPr>
                <w:noProof/>
                <w:color w:val="000000"/>
                <w:sz w:val="20"/>
                <w:szCs w:val="20"/>
              </w:rPr>
              <w:t>-88.5%</w:t>
            </w:r>
          </w:p>
        </w:tc>
        <w:tc>
          <w:tcPr>
            <w:tcW w:w="504" w:type="pct"/>
            <w:tcBorders>
              <w:top w:val="nil"/>
              <w:left w:val="nil"/>
              <w:bottom w:val="single" w:sz="4" w:space="0" w:color="auto"/>
              <w:right w:val="single" w:sz="4" w:space="0" w:color="auto"/>
            </w:tcBorders>
            <w:shd w:val="clear" w:color="000000" w:fill="FFFFFF"/>
            <w:hideMark/>
          </w:tcPr>
          <w:p w14:paraId="52071F8B" w14:textId="77777777" w:rsidR="00FC0607" w:rsidRPr="002B6B8A" w:rsidRDefault="00FC0607">
            <w:pPr>
              <w:jc w:val="right"/>
              <w:rPr>
                <w:noProof/>
                <w:color w:val="000000"/>
                <w:sz w:val="20"/>
                <w:szCs w:val="20"/>
              </w:rPr>
            </w:pPr>
            <w:r w:rsidRPr="002B6B8A">
              <w:rPr>
                <w:noProof/>
                <w:color w:val="000000"/>
                <w:sz w:val="20"/>
                <w:szCs w:val="20"/>
              </w:rPr>
              <w:t>-96.8%</w:t>
            </w:r>
          </w:p>
        </w:tc>
      </w:tr>
      <w:tr w:rsidR="00876363" w:rsidRPr="002B6B8A" w14:paraId="191EFBD9" w14:textId="77777777">
        <w:trPr>
          <w:trHeight w:val="300"/>
        </w:trPr>
        <w:tc>
          <w:tcPr>
            <w:tcW w:w="966" w:type="pct"/>
            <w:tcBorders>
              <w:top w:val="nil"/>
              <w:left w:val="single" w:sz="4" w:space="0" w:color="auto"/>
              <w:bottom w:val="single" w:sz="4" w:space="0" w:color="auto"/>
              <w:right w:val="single" w:sz="4" w:space="0" w:color="auto"/>
            </w:tcBorders>
            <w:hideMark/>
          </w:tcPr>
          <w:p w14:paraId="43E8BC48" w14:textId="77777777" w:rsidR="00FC0607" w:rsidRPr="002B6B8A" w:rsidRDefault="00FC0607">
            <w:pPr>
              <w:rPr>
                <w:noProof/>
                <w:color w:val="000000"/>
                <w:sz w:val="20"/>
                <w:szCs w:val="20"/>
              </w:rPr>
            </w:pPr>
            <w:r w:rsidRPr="002B6B8A">
              <w:rPr>
                <w:noProof/>
                <w:color w:val="000000"/>
                <w:sz w:val="20"/>
                <w:szCs w:val="20"/>
              </w:rPr>
              <w:t>VOC emissions</w:t>
            </w:r>
          </w:p>
        </w:tc>
        <w:tc>
          <w:tcPr>
            <w:tcW w:w="504" w:type="pct"/>
            <w:tcBorders>
              <w:top w:val="nil"/>
              <w:left w:val="nil"/>
              <w:bottom w:val="single" w:sz="4" w:space="0" w:color="auto"/>
              <w:right w:val="single" w:sz="4" w:space="0" w:color="auto"/>
            </w:tcBorders>
            <w:hideMark/>
          </w:tcPr>
          <w:p w14:paraId="528BE5A8" w14:textId="77777777" w:rsidR="00FC0607" w:rsidRPr="002B6B8A" w:rsidRDefault="00FC0607">
            <w:pPr>
              <w:jc w:val="right"/>
              <w:rPr>
                <w:noProof/>
                <w:color w:val="000000"/>
                <w:sz w:val="20"/>
                <w:szCs w:val="20"/>
              </w:rPr>
            </w:pPr>
            <w:r w:rsidRPr="002B6B8A">
              <w:rPr>
                <w:noProof/>
                <w:color w:val="000000"/>
                <w:sz w:val="20"/>
                <w:szCs w:val="20"/>
              </w:rPr>
              <w:t>258</w:t>
            </w:r>
          </w:p>
        </w:tc>
        <w:tc>
          <w:tcPr>
            <w:tcW w:w="504" w:type="pct"/>
            <w:tcBorders>
              <w:top w:val="nil"/>
              <w:left w:val="nil"/>
              <w:bottom w:val="single" w:sz="4" w:space="0" w:color="auto"/>
              <w:right w:val="single" w:sz="4" w:space="0" w:color="auto"/>
            </w:tcBorders>
            <w:hideMark/>
          </w:tcPr>
          <w:p w14:paraId="5BF62D27" w14:textId="77777777" w:rsidR="00FC0607" w:rsidRPr="002B6B8A" w:rsidRDefault="00FC0607">
            <w:pPr>
              <w:jc w:val="right"/>
              <w:rPr>
                <w:noProof/>
                <w:color w:val="000000"/>
                <w:sz w:val="20"/>
                <w:szCs w:val="20"/>
              </w:rPr>
            </w:pPr>
            <w:r w:rsidRPr="002B6B8A">
              <w:rPr>
                <w:noProof/>
                <w:color w:val="000000"/>
                <w:sz w:val="20"/>
                <w:szCs w:val="20"/>
              </w:rPr>
              <w:t>171</w:t>
            </w:r>
          </w:p>
        </w:tc>
        <w:tc>
          <w:tcPr>
            <w:tcW w:w="504" w:type="pct"/>
            <w:tcBorders>
              <w:top w:val="nil"/>
              <w:left w:val="nil"/>
              <w:bottom w:val="single" w:sz="4" w:space="0" w:color="auto"/>
              <w:right w:val="single" w:sz="4" w:space="0" w:color="auto"/>
            </w:tcBorders>
            <w:hideMark/>
          </w:tcPr>
          <w:p w14:paraId="0E2F2A2E" w14:textId="77777777" w:rsidR="00FC0607" w:rsidRPr="002B6B8A" w:rsidRDefault="00FC0607">
            <w:pPr>
              <w:jc w:val="right"/>
              <w:rPr>
                <w:noProof/>
                <w:color w:val="000000"/>
                <w:sz w:val="20"/>
                <w:szCs w:val="20"/>
              </w:rPr>
            </w:pPr>
            <w:r w:rsidRPr="002B6B8A">
              <w:rPr>
                <w:noProof/>
                <w:color w:val="000000"/>
                <w:sz w:val="20"/>
                <w:szCs w:val="20"/>
              </w:rPr>
              <w:t>132</w:t>
            </w:r>
          </w:p>
        </w:tc>
        <w:tc>
          <w:tcPr>
            <w:tcW w:w="504" w:type="pct"/>
            <w:tcBorders>
              <w:top w:val="nil"/>
              <w:left w:val="nil"/>
              <w:bottom w:val="single" w:sz="4" w:space="0" w:color="auto"/>
              <w:right w:val="single" w:sz="4" w:space="0" w:color="auto"/>
            </w:tcBorders>
            <w:hideMark/>
          </w:tcPr>
          <w:p w14:paraId="4271E799" w14:textId="77777777" w:rsidR="00FC0607" w:rsidRPr="002B6B8A" w:rsidRDefault="00FC0607">
            <w:pPr>
              <w:jc w:val="right"/>
              <w:rPr>
                <w:noProof/>
                <w:color w:val="000000"/>
                <w:sz w:val="20"/>
                <w:szCs w:val="20"/>
              </w:rPr>
            </w:pPr>
            <w:r w:rsidRPr="002B6B8A">
              <w:rPr>
                <w:noProof/>
                <w:color w:val="000000"/>
                <w:sz w:val="20"/>
                <w:szCs w:val="20"/>
              </w:rPr>
              <w:t>55</w:t>
            </w:r>
          </w:p>
        </w:tc>
        <w:tc>
          <w:tcPr>
            <w:tcW w:w="504" w:type="pct"/>
            <w:tcBorders>
              <w:top w:val="nil"/>
              <w:left w:val="nil"/>
              <w:bottom w:val="single" w:sz="4" w:space="0" w:color="auto"/>
              <w:right w:val="single" w:sz="4" w:space="0" w:color="auto"/>
            </w:tcBorders>
            <w:hideMark/>
          </w:tcPr>
          <w:p w14:paraId="26CEBDF6" w14:textId="77777777" w:rsidR="00FC0607" w:rsidRPr="002B6B8A" w:rsidRDefault="00FC0607">
            <w:pPr>
              <w:jc w:val="right"/>
              <w:rPr>
                <w:noProof/>
                <w:color w:val="000000"/>
                <w:sz w:val="20"/>
                <w:szCs w:val="20"/>
              </w:rPr>
            </w:pPr>
            <w:r w:rsidRPr="002B6B8A">
              <w:rPr>
                <w:noProof/>
                <w:color w:val="000000"/>
                <w:sz w:val="20"/>
                <w:szCs w:val="20"/>
              </w:rPr>
              <w:t>25</w:t>
            </w:r>
          </w:p>
        </w:tc>
        <w:tc>
          <w:tcPr>
            <w:tcW w:w="504" w:type="pct"/>
            <w:tcBorders>
              <w:top w:val="nil"/>
              <w:left w:val="nil"/>
              <w:bottom w:val="single" w:sz="4" w:space="0" w:color="auto"/>
              <w:right w:val="single" w:sz="4" w:space="0" w:color="auto"/>
            </w:tcBorders>
            <w:shd w:val="clear" w:color="000000" w:fill="FFFFFF"/>
            <w:hideMark/>
          </w:tcPr>
          <w:p w14:paraId="645A56FD" w14:textId="77777777" w:rsidR="00FC0607" w:rsidRPr="002B6B8A" w:rsidRDefault="00FC0607">
            <w:pPr>
              <w:jc w:val="right"/>
              <w:rPr>
                <w:noProof/>
                <w:color w:val="000000"/>
                <w:sz w:val="20"/>
                <w:szCs w:val="20"/>
              </w:rPr>
            </w:pPr>
            <w:r w:rsidRPr="002B6B8A">
              <w:rPr>
                <w:noProof/>
                <w:color w:val="000000"/>
                <w:sz w:val="20"/>
                <w:szCs w:val="20"/>
              </w:rPr>
              <w:t>-48.9%</w:t>
            </w:r>
          </w:p>
        </w:tc>
        <w:tc>
          <w:tcPr>
            <w:tcW w:w="504" w:type="pct"/>
            <w:tcBorders>
              <w:top w:val="nil"/>
              <w:left w:val="nil"/>
              <w:bottom w:val="single" w:sz="4" w:space="0" w:color="auto"/>
              <w:right w:val="single" w:sz="4" w:space="0" w:color="auto"/>
            </w:tcBorders>
            <w:shd w:val="clear" w:color="000000" w:fill="FFFFFF"/>
            <w:hideMark/>
          </w:tcPr>
          <w:p w14:paraId="78C812D4" w14:textId="77777777" w:rsidR="00FC0607" w:rsidRPr="002B6B8A" w:rsidRDefault="00FC0607">
            <w:pPr>
              <w:jc w:val="right"/>
              <w:rPr>
                <w:noProof/>
                <w:color w:val="000000"/>
                <w:sz w:val="20"/>
                <w:szCs w:val="20"/>
              </w:rPr>
            </w:pPr>
            <w:r w:rsidRPr="002B6B8A">
              <w:rPr>
                <w:noProof/>
                <w:color w:val="000000"/>
                <w:sz w:val="20"/>
                <w:szCs w:val="20"/>
              </w:rPr>
              <w:t>-78.6%</w:t>
            </w:r>
          </w:p>
        </w:tc>
        <w:tc>
          <w:tcPr>
            <w:tcW w:w="504" w:type="pct"/>
            <w:tcBorders>
              <w:top w:val="nil"/>
              <w:left w:val="nil"/>
              <w:bottom w:val="single" w:sz="4" w:space="0" w:color="auto"/>
              <w:right w:val="single" w:sz="4" w:space="0" w:color="auto"/>
            </w:tcBorders>
            <w:shd w:val="clear" w:color="000000" w:fill="FFFFFF"/>
            <w:hideMark/>
          </w:tcPr>
          <w:p w14:paraId="2E8756F0" w14:textId="77777777" w:rsidR="00FC0607" w:rsidRPr="002B6B8A" w:rsidRDefault="00FC0607">
            <w:pPr>
              <w:jc w:val="right"/>
              <w:rPr>
                <w:noProof/>
                <w:color w:val="000000"/>
                <w:sz w:val="20"/>
                <w:szCs w:val="20"/>
              </w:rPr>
            </w:pPr>
            <w:r w:rsidRPr="002B6B8A">
              <w:rPr>
                <w:noProof/>
                <w:color w:val="000000"/>
                <w:sz w:val="20"/>
                <w:szCs w:val="20"/>
              </w:rPr>
              <w:t>-90.5%</w:t>
            </w:r>
          </w:p>
        </w:tc>
      </w:tr>
    </w:tbl>
    <w:p w14:paraId="54B07252" w14:textId="77777777" w:rsidR="00FC0607" w:rsidRDefault="00FC0607" w:rsidP="00FC0607">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r>
        <w:rPr>
          <w:i/>
          <w:iCs/>
          <w:noProof/>
          <w:sz w:val="20"/>
          <w:szCs w:val="20"/>
        </w:rPr>
        <w:t>; ASTRA model. Note: calibrated on PRIMES-TREMOVE model results.</w:t>
      </w:r>
    </w:p>
    <w:p w14:paraId="0833E1F1" w14:textId="664006EF" w:rsidR="00712390" w:rsidRPr="00FD5A05" w:rsidRDefault="003C4819" w:rsidP="00786058">
      <w:pPr>
        <w:pStyle w:val="Heading2"/>
        <w:keepNext/>
        <w:numPr>
          <w:ilvl w:val="0"/>
          <w:numId w:val="10"/>
        </w:numPr>
        <w:tabs>
          <w:tab w:val="left" w:pos="426"/>
        </w:tabs>
        <w:spacing w:before="240" w:after="240"/>
        <w:ind w:left="425" w:hanging="425"/>
        <w:rPr>
          <w:smallCaps/>
          <w:noProof/>
        </w:rPr>
      </w:pPr>
      <w:bookmarkStart w:id="408" w:name="2.2_Baseline_scenario_results"/>
      <w:bookmarkStart w:id="409" w:name="2.2.1_Number_of_passengers_and_passenger"/>
      <w:bookmarkStart w:id="410" w:name="3_Impacts_by_policy_measure_on_costs"/>
      <w:bookmarkStart w:id="411" w:name="_Toc220667537"/>
      <w:bookmarkStart w:id="412" w:name="_Toc222313531"/>
      <w:bookmarkStart w:id="413" w:name="_Toc222749055"/>
      <w:bookmarkStart w:id="414" w:name="_Toc223980034"/>
      <w:bookmarkEnd w:id="404"/>
      <w:bookmarkEnd w:id="408"/>
      <w:bookmarkEnd w:id="409"/>
      <w:bookmarkEnd w:id="410"/>
      <w:r w:rsidRPr="00FD5A05">
        <w:rPr>
          <w:smallCaps/>
          <w:noProof/>
        </w:rPr>
        <w:t xml:space="preserve">Impacts </w:t>
      </w:r>
      <w:r w:rsidR="00405F84" w:rsidRPr="00FD5A05">
        <w:rPr>
          <w:smallCaps/>
          <w:noProof/>
        </w:rPr>
        <w:t>of</w:t>
      </w:r>
      <w:r w:rsidRPr="00FD5A05">
        <w:rPr>
          <w:smallCaps/>
          <w:noProof/>
        </w:rPr>
        <w:t xml:space="preserve"> policy measure on costs</w:t>
      </w:r>
      <w:bookmarkEnd w:id="411"/>
      <w:r w:rsidR="00E31E20" w:rsidRPr="00FD5A05">
        <w:rPr>
          <w:smallCaps/>
          <w:noProof/>
        </w:rPr>
        <w:t xml:space="preserve"> and costs savings</w:t>
      </w:r>
      <w:bookmarkEnd w:id="412"/>
      <w:bookmarkEnd w:id="413"/>
      <w:bookmarkEnd w:id="414"/>
    </w:p>
    <w:p w14:paraId="34F871B4" w14:textId="5073C898" w:rsidR="00405F84" w:rsidRDefault="00C33F0C" w:rsidP="00786058">
      <w:pPr>
        <w:pStyle w:val="Nornal"/>
        <w:keepNext/>
        <w:spacing w:after="240" w:line="240" w:lineRule="auto"/>
        <w:rPr>
          <w:noProof/>
          <w:spacing w:val="-8"/>
          <w:sz w:val="24"/>
          <w:szCs w:val="24"/>
        </w:rPr>
      </w:pPr>
      <w:r w:rsidRPr="00D71008">
        <w:rPr>
          <w:noProof/>
          <w:spacing w:val="-8"/>
          <w:sz w:val="24"/>
          <w:szCs w:val="24"/>
        </w:rPr>
        <w:t xml:space="preserve">This section explains the inputs used and provides the assessment of the impacts of the policy measures included in the policy options on costs and costs savings. The synergies between the measures included in the options are already captured in this section. </w:t>
      </w:r>
    </w:p>
    <w:p w14:paraId="3A7CC3FF" w14:textId="77777777" w:rsidR="00E97D73" w:rsidRDefault="00E97D73" w:rsidP="00E97D73">
      <w:pPr>
        <w:spacing w:after="240"/>
        <w:jc w:val="both"/>
        <w:rPr>
          <w:noProof/>
          <w:spacing w:val="-8"/>
        </w:rPr>
      </w:pPr>
      <w:r w:rsidRPr="005611AA">
        <w:rPr>
          <w:noProof/>
          <w:spacing w:val="-8"/>
        </w:rPr>
        <w:t xml:space="preserve">Costs by Member State are </w:t>
      </w:r>
      <w:r>
        <w:rPr>
          <w:noProof/>
          <w:spacing w:val="-8"/>
        </w:rPr>
        <w:t>provided</w:t>
      </w:r>
      <w:r w:rsidRPr="005611AA">
        <w:rPr>
          <w:noProof/>
          <w:spacing w:val="-8"/>
        </w:rPr>
        <w:t xml:space="preserve"> where possible. Most B2B MDMS platforms </w:t>
      </w:r>
      <w:r>
        <w:rPr>
          <w:noProof/>
          <w:spacing w:val="-8"/>
        </w:rPr>
        <w:t>operate</w:t>
      </w:r>
      <w:r w:rsidRPr="005611AA">
        <w:rPr>
          <w:noProof/>
          <w:spacing w:val="-8"/>
        </w:rPr>
        <w:t xml:space="preserve"> EU-wide</w:t>
      </w:r>
      <w:r>
        <w:rPr>
          <w:noProof/>
          <w:spacing w:val="-8"/>
        </w:rPr>
        <w:t xml:space="preserve"> and it is not possible</w:t>
      </w:r>
      <w:r w:rsidRPr="005611AA">
        <w:rPr>
          <w:noProof/>
          <w:spacing w:val="-8"/>
        </w:rPr>
        <w:t xml:space="preserve"> to </w:t>
      </w:r>
      <w:r>
        <w:rPr>
          <w:noProof/>
          <w:spacing w:val="-8"/>
        </w:rPr>
        <w:t xml:space="preserve">split </w:t>
      </w:r>
      <w:r w:rsidRPr="005611AA">
        <w:rPr>
          <w:noProof/>
          <w:spacing w:val="-8"/>
        </w:rPr>
        <w:t xml:space="preserve">the costs arising from obligations on </w:t>
      </w:r>
      <w:r>
        <w:rPr>
          <w:noProof/>
          <w:spacing w:val="-8"/>
        </w:rPr>
        <w:t xml:space="preserve">these </w:t>
      </w:r>
      <w:r w:rsidRPr="005611AA">
        <w:rPr>
          <w:noProof/>
          <w:spacing w:val="-8"/>
        </w:rPr>
        <w:t xml:space="preserve">platforms by Member State. </w:t>
      </w:r>
      <w:r>
        <w:rPr>
          <w:noProof/>
          <w:spacing w:val="-8"/>
        </w:rPr>
        <w:t>On the other hand</w:t>
      </w:r>
      <w:r w:rsidRPr="005611AA">
        <w:rPr>
          <w:noProof/>
          <w:spacing w:val="-8"/>
        </w:rPr>
        <w:t xml:space="preserve">, many B2C platforms are more localised and based on desk research </w:t>
      </w:r>
      <w:r>
        <w:rPr>
          <w:noProof/>
          <w:spacing w:val="-8"/>
        </w:rPr>
        <w:t xml:space="preserve">in the context of the impact assessment support study </w:t>
      </w:r>
      <w:r w:rsidRPr="005611AA">
        <w:rPr>
          <w:noProof/>
          <w:spacing w:val="-8"/>
        </w:rPr>
        <w:t xml:space="preserve">it was possible to ascertain in which Member States they offer services. </w:t>
      </w:r>
      <w:r>
        <w:rPr>
          <w:noProof/>
          <w:spacing w:val="-8"/>
        </w:rPr>
        <w:t xml:space="preserve">Thus, for policy measures that </w:t>
      </w:r>
      <w:r w:rsidRPr="005611AA">
        <w:rPr>
          <w:noProof/>
          <w:spacing w:val="-8"/>
        </w:rPr>
        <w:t>affect B2C platforms</w:t>
      </w:r>
      <w:r>
        <w:rPr>
          <w:noProof/>
          <w:spacing w:val="-8"/>
        </w:rPr>
        <w:t xml:space="preserve"> the</w:t>
      </w:r>
      <w:r w:rsidRPr="005611AA">
        <w:rPr>
          <w:noProof/>
          <w:spacing w:val="-8"/>
        </w:rPr>
        <w:t xml:space="preserve"> associated costs are </w:t>
      </w:r>
      <w:r>
        <w:rPr>
          <w:noProof/>
          <w:spacing w:val="-8"/>
        </w:rPr>
        <w:t xml:space="preserve">also </w:t>
      </w:r>
      <w:r w:rsidRPr="005611AA">
        <w:rPr>
          <w:noProof/>
          <w:spacing w:val="-8"/>
        </w:rPr>
        <w:t xml:space="preserve">provided by Member State, </w:t>
      </w:r>
      <w:r>
        <w:rPr>
          <w:noProof/>
          <w:spacing w:val="-8"/>
        </w:rPr>
        <w:t>while for</w:t>
      </w:r>
      <w:r w:rsidRPr="005611AA">
        <w:rPr>
          <w:noProof/>
          <w:spacing w:val="-8"/>
        </w:rPr>
        <w:t xml:space="preserve"> B2B platform costs </w:t>
      </w:r>
      <w:r>
        <w:rPr>
          <w:noProof/>
          <w:spacing w:val="-8"/>
        </w:rPr>
        <w:t>are provided</w:t>
      </w:r>
      <w:r w:rsidRPr="005611AA">
        <w:rPr>
          <w:noProof/>
          <w:spacing w:val="-8"/>
        </w:rPr>
        <w:t xml:space="preserve"> at EU-level</w:t>
      </w:r>
      <w:r>
        <w:rPr>
          <w:noProof/>
          <w:spacing w:val="-8"/>
        </w:rPr>
        <w:t xml:space="preserve"> only</w:t>
      </w:r>
      <w:r w:rsidRPr="005611AA">
        <w:rPr>
          <w:noProof/>
          <w:spacing w:val="-8"/>
        </w:rPr>
        <w:t xml:space="preserve">. </w:t>
      </w:r>
    </w:p>
    <w:p w14:paraId="5B72DBE4" w14:textId="1BA2B227" w:rsidR="00354933" w:rsidRPr="005611AA" w:rsidRDefault="00354933" w:rsidP="00E97D73">
      <w:pPr>
        <w:spacing w:after="240"/>
        <w:jc w:val="both"/>
        <w:rPr>
          <w:noProof/>
          <w:spacing w:val="-8"/>
        </w:rPr>
      </w:pPr>
      <w:r>
        <w:rPr>
          <w:noProof/>
          <w:spacing w:val="-8"/>
        </w:rPr>
        <w:t xml:space="preserve">The section first presents the main factors affecting the costs and costs savings </w:t>
      </w:r>
      <w:r w:rsidR="00297548">
        <w:rPr>
          <w:noProof/>
          <w:spacing w:val="-8"/>
        </w:rPr>
        <w:t xml:space="preserve">(i.e. number of MDMS platforms, </w:t>
      </w:r>
      <w:r w:rsidR="00240AB6">
        <w:rPr>
          <w:noProof/>
          <w:spacing w:val="-8"/>
        </w:rPr>
        <w:t>number of transport operators and number of agreements between MDMS platforms and transport operators)</w:t>
      </w:r>
      <w:r w:rsidR="004E770A">
        <w:rPr>
          <w:noProof/>
          <w:spacing w:val="-8"/>
        </w:rPr>
        <w:t xml:space="preserve">, followed by some common assumptions used for estimating costs and costs savings for the policy measures and the detailed explanations of the calculation of the costs and costs savings by policy measure and policy option. </w:t>
      </w:r>
    </w:p>
    <w:p w14:paraId="75C93C9F" w14:textId="34AEEC7D" w:rsidR="002232BE" w:rsidRPr="007A68FD" w:rsidRDefault="00881C40" w:rsidP="007B2D8E">
      <w:pPr>
        <w:pStyle w:val="Heading2"/>
        <w:numPr>
          <w:ilvl w:val="1"/>
          <w:numId w:val="10"/>
        </w:numPr>
        <w:tabs>
          <w:tab w:val="left" w:pos="426"/>
          <w:tab w:val="left" w:pos="1705"/>
        </w:tabs>
        <w:spacing w:before="0" w:after="240"/>
        <w:ind w:left="1134" w:hanging="708"/>
        <w:rPr>
          <w:noProof/>
        </w:rPr>
      </w:pPr>
      <w:bookmarkStart w:id="415" w:name="_Toc222313532"/>
      <w:bookmarkStart w:id="416" w:name="_Toc222749056"/>
      <w:bookmarkStart w:id="417" w:name="_Toc223980035"/>
      <w:bookmarkStart w:id="418" w:name="_Ref202452698"/>
      <w:bookmarkStart w:id="419" w:name="_Toc202870444"/>
      <w:bookmarkStart w:id="420" w:name="_Toc203140081"/>
      <w:r w:rsidRPr="007A68FD">
        <w:rPr>
          <w:noProof/>
        </w:rPr>
        <w:t xml:space="preserve">Main </w:t>
      </w:r>
      <w:r w:rsidR="007C50BA" w:rsidRPr="007A68FD">
        <w:rPr>
          <w:noProof/>
        </w:rPr>
        <w:t>factors affecting</w:t>
      </w:r>
      <w:r w:rsidR="00D63ADC" w:rsidRPr="007A68FD">
        <w:rPr>
          <w:noProof/>
        </w:rPr>
        <w:t xml:space="preserve"> the cost</w:t>
      </w:r>
      <w:r w:rsidR="00E31E20" w:rsidRPr="007A68FD">
        <w:rPr>
          <w:noProof/>
        </w:rPr>
        <w:t>s and costs savings</w:t>
      </w:r>
      <w:bookmarkEnd w:id="415"/>
      <w:r w:rsidR="00E53B6C" w:rsidRPr="007A68FD">
        <w:rPr>
          <w:noProof/>
        </w:rPr>
        <w:t xml:space="preserve"> </w:t>
      </w:r>
      <w:r w:rsidR="004203E4" w:rsidRPr="007A68FD">
        <w:rPr>
          <w:noProof/>
        </w:rPr>
        <w:t>of policy measures</w:t>
      </w:r>
      <w:bookmarkEnd w:id="416"/>
      <w:bookmarkEnd w:id="417"/>
    </w:p>
    <w:p w14:paraId="33CFB9FF" w14:textId="2B2ACCB5" w:rsidR="002232BE" w:rsidRPr="00D71008" w:rsidRDefault="002232BE" w:rsidP="00E32803">
      <w:pPr>
        <w:pStyle w:val="Nornal"/>
        <w:spacing w:after="240" w:line="240" w:lineRule="auto"/>
        <w:rPr>
          <w:noProof/>
          <w:spacing w:val="-8"/>
          <w:sz w:val="24"/>
          <w:szCs w:val="24"/>
        </w:rPr>
      </w:pPr>
      <w:r w:rsidRPr="00D71008">
        <w:rPr>
          <w:noProof/>
          <w:spacing w:val="-8"/>
          <w:sz w:val="24"/>
          <w:szCs w:val="24"/>
        </w:rPr>
        <w:t xml:space="preserve">Three main </w:t>
      </w:r>
      <w:r w:rsidR="007C50BA" w:rsidRPr="00D71008">
        <w:rPr>
          <w:noProof/>
          <w:spacing w:val="-8"/>
          <w:sz w:val="24"/>
          <w:szCs w:val="24"/>
        </w:rPr>
        <w:t>factors affect</w:t>
      </w:r>
      <w:r w:rsidR="00E32803" w:rsidRPr="00D71008">
        <w:rPr>
          <w:noProof/>
          <w:spacing w:val="-8"/>
          <w:sz w:val="24"/>
          <w:szCs w:val="24"/>
        </w:rPr>
        <w:t xml:space="preserve"> </w:t>
      </w:r>
      <w:r w:rsidR="009606D5" w:rsidRPr="00D71008">
        <w:rPr>
          <w:noProof/>
          <w:spacing w:val="-8"/>
          <w:sz w:val="24"/>
          <w:szCs w:val="24"/>
        </w:rPr>
        <w:t xml:space="preserve">the costs and costs savings of the policy measures: the </w:t>
      </w:r>
      <w:r w:rsidR="00E80BC3" w:rsidRPr="00D71008">
        <w:rPr>
          <w:noProof/>
          <w:spacing w:val="-8"/>
          <w:sz w:val="24"/>
          <w:szCs w:val="24"/>
        </w:rPr>
        <w:t>number of MDMS platform</w:t>
      </w:r>
      <w:r w:rsidR="006E3710" w:rsidRPr="00D71008">
        <w:rPr>
          <w:noProof/>
          <w:spacing w:val="-8"/>
          <w:sz w:val="24"/>
          <w:szCs w:val="24"/>
        </w:rPr>
        <w:t>s</w:t>
      </w:r>
      <w:r w:rsidR="00763402" w:rsidRPr="00D71008">
        <w:rPr>
          <w:noProof/>
          <w:spacing w:val="-8"/>
          <w:sz w:val="24"/>
          <w:szCs w:val="24"/>
        </w:rPr>
        <w:t xml:space="preserve">, the number of </w:t>
      </w:r>
      <w:r w:rsidR="00A76325" w:rsidRPr="00D71008">
        <w:rPr>
          <w:noProof/>
          <w:spacing w:val="-8"/>
          <w:sz w:val="24"/>
          <w:szCs w:val="24"/>
        </w:rPr>
        <w:t>agreements between MDMS platforms and transport operators</w:t>
      </w:r>
      <w:r w:rsidR="00DB328E" w:rsidRPr="00D71008">
        <w:rPr>
          <w:noProof/>
          <w:spacing w:val="-8"/>
          <w:sz w:val="24"/>
          <w:szCs w:val="24"/>
        </w:rPr>
        <w:t>,</w:t>
      </w:r>
      <w:r w:rsidR="00A76325" w:rsidRPr="00D71008">
        <w:rPr>
          <w:noProof/>
          <w:spacing w:val="-8"/>
          <w:sz w:val="24"/>
          <w:szCs w:val="24"/>
        </w:rPr>
        <w:t xml:space="preserve"> and </w:t>
      </w:r>
      <w:r w:rsidR="00224BC4" w:rsidRPr="00D71008">
        <w:rPr>
          <w:noProof/>
          <w:spacing w:val="-8"/>
          <w:sz w:val="24"/>
          <w:szCs w:val="24"/>
        </w:rPr>
        <w:t xml:space="preserve">the number of transport operators. </w:t>
      </w:r>
    </w:p>
    <w:p w14:paraId="44278717" w14:textId="78A3092E" w:rsidR="002232BE" w:rsidRDefault="009606D5" w:rsidP="007B2D8E">
      <w:pPr>
        <w:pStyle w:val="ListParagraph"/>
        <w:keepNext/>
        <w:widowControl/>
        <w:numPr>
          <w:ilvl w:val="2"/>
          <w:numId w:val="10"/>
        </w:numPr>
        <w:autoSpaceDE/>
        <w:autoSpaceDN/>
        <w:spacing w:after="240"/>
        <w:jc w:val="both"/>
        <w:outlineLvl w:val="2"/>
        <w:rPr>
          <w:i/>
          <w:iCs/>
          <w:noProof/>
          <w:sz w:val="24"/>
          <w:szCs w:val="24"/>
        </w:rPr>
      </w:pPr>
      <w:bookmarkStart w:id="421" w:name="_Toc222313533"/>
      <w:bookmarkStart w:id="422" w:name="_Toc222749057"/>
      <w:bookmarkStart w:id="423" w:name="_Toc223980036"/>
      <w:r w:rsidRPr="00D71008">
        <w:rPr>
          <w:i/>
          <w:iCs/>
          <w:noProof/>
          <w:sz w:val="24"/>
          <w:szCs w:val="24"/>
        </w:rPr>
        <w:t>Number of MDMS platform</w:t>
      </w:r>
      <w:r w:rsidR="009B2C37" w:rsidRPr="00D71008">
        <w:rPr>
          <w:i/>
          <w:iCs/>
          <w:noProof/>
          <w:sz w:val="24"/>
          <w:szCs w:val="24"/>
        </w:rPr>
        <w:t>s</w:t>
      </w:r>
      <w:bookmarkEnd w:id="421"/>
      <w:bookmarkEnd w:id="422"/>
      <w:bookmarkEnd w:id="423"/>
    </w:p>
    <w:p w14:paraId="64588A53" w14:textId="10F565CF" w:rsidR="000D7CF1" w:rsidRPr="00000EF1" w:rsidRDefault="00D73355" w:rsidP="009D60B4">
      <w:pPr>
        <w:tabs>
          <w:tab w:val="left" w:pos="1134"/>
        </w:tabs>
        <w:spacing w:after="240"/>
        <w:jc w:val="both"/>
        <w:rPr>
          <w:noProof/>
          <w:spacing w:val="-8"/>
        </w:rPr>
      </w:pPr>
      <w:bookmarkStart w:id="424" w:name="_Hlk222965253"/>
      <w:r>
        <w:rPr>
          <w:noProof/>
          <w:spacing w:val="-8"/>
        </w:rPr>
        <w:t>T</w:t>
      </w:r>
      <w:r w:rsidR="00CC77C3" w:rsidRPr="008C53D3">
        <w:rPr>
          <w:noProof/>
          <w:spacing w:val="-8"/>
        </w:rPr>
        <w:t xml:space="preserve">he deployment of MDMS platforms in the policy options is projected based on the assumed level of progress towards the number of platforms in a ‘mature market’, linked to the expansion of service coverage and service level. The ‘mature market’ represents the level that is expected to be reached as service deployment approaches full coverage. </w:t>
      </w:r>
      <w:r w:rsidR="000D7CF1" w:rsidRPr="00000EF1">
        <w:rPr>
          <w:noProof/>
          <w:spacing w:val="-8"/>
        </w:rPr>
        <w:t xml:space="preserve">The number of platforms is projected to increase in all policy options relative to the baseline due to the enhanced ability of MDMS platforms to display more travel options, promoting competition in the online ticketing market. </w:t>
      </w:r>
      <w:r w:rsidR="000D7CF1" w:rsidRPr="00350DC6">
        <w:rPr>
          <w:noProof/>
          <w:spacing w:val="-8"/>
        </w:rPr>
        <w:t xml:space="preserve">This is assumed to imply an increase in the number of MDMS platforms although it should be acknowledged that existing platforms could also improve their offerings, which could lead to a consolidation towards a lower number of platforms. </w:t>
      </w:r>
      <w:r w:rsidR="000D7CF1">
        <w:rPr>
          <w:noProof/>
          <w:spacing w:val="-8"/>
        </w:rPr>
        <w:t>Such consolidation is assumed to take place towards 2050 in the projections. However, it should be acknowledged that t</w:t>
      </w:r>
      <w:r w:rsidR="000D7CF1" w:rsidRPr="00350DC6">
        <w:rPr>
          <w:noProof/>
          <w:spacing w:val="-8"/>
        </w:rPr>
        <w:t xml:space="preserve">he </w:t>
      </w:r>
      <w:r w:rsidR="000D7CF1">
        <w:rPr>
          <w:noProof/>
          <w:spacing w:val="-8"/>
        </w:rPr>
        <w:t xml:space="preserve">consolidation could also take place earlier. Thus, the </w:t>
      </w:r>
      <w:r w:rsidR="000D7CF1" w:rsidRPr="00350DC6">
        <w:rPr>
          <w:noProof/>
          <w:spacing w:val="-8"/>
        </w:rPr>
        <w:t xml:space="preserve">costs </w:t>
      </w:r>
      <w:r w:rsidR="000D7CF1" w:rsidRPr="00000EF1">
        <w:rPr>
          <w:noProof/>
          <w:spacing w:val="-8"/>
        </w:rPr>
        <w:t xml:space="preserve">for the </w:t>
      </w:r>
      <w:r w:rsidR="000D7CF1" w:rsidRPr="00350DC6">
        <w:rPr>
          <w:noProof/>
          <w:spacing w:val="-8"/>
        </w:rPr>
        <w:t>MDMS platforms should be regarded as the upper bound.</w:t>
      </w:r>
    </w:p>
    <w:p w14:paraId="2489DD7C" w14:textId="0AC76FB7" w:rsidR="000D7CF1" w:rsidRPr="003D0A63" w:rsidRDefault="000D7CF1" w:rsidP="009D60B4">
      <w:pPr>
        <w:pStyle w:val="BodyText"/>
        <w:spacing w:after="240"/>
        <w:ind w:left="0"/>
        <w:rPr>
          <w:noProof/>
          <w:spacing w:val="-8"/>
        </w:rPr>
      </w:pPr>
      <w:r w:rsidRPr="00000EF1">
        <w:rPr>
          <w:noProof/>
          <w:spacing w:val="-8"/>
        </w:rPr>
        <w:t xml:space="preserve">PO1 is projected to result in the lowest number of additional MDMS platforms relative to the baseline (10 in 2030, 45 in 2040 and 19 in 2050) for all time horizon under assessment. In </w:t>
      </w:r>
      <w:r w:rsidRPr="008E0BFE">
        <w:rPr>
          <w:noProof/>
          <w:spacing w:val="-8"/>
        </w:rPr>
        <w:t>2030</w:t>
      </w:r>
      <w:r w:rsidRPr="00000EF1">
        <w:rPr>
          <w:noProof/>
          <w:spacing w:val="-8"/>
        </w:rPr>
        <w:t>,</w:t>
      </w:r>
      <w:r w:rsidRPr="008E0BFE">
        <w:rPr>
          <w:noProof/>
          <w:spacing w:val="-8"/>
        </w:rPr>
        <w:t xml:space="preserve"> the sharing obligation </w:t>
      </w:r>
      <w:r w:rsidRPr="00000EF1">
        <w:rPr>
          <w:noProof/>
          <w:spacing w:val="-8"/>
        </w:rPr>
        <w:t xml:space="preserve">(PM13) </w:t>
      </w:r>
      <w:r w:rsidRPr="008E0BFE">
        <w:rPr>
          <w:noProof/>
          <w:spacing w:val="-8"/>
        </w:rPr>
        <w:t xml:space="preserve">provides more opportunities for new platforms than </w:t>
      </w:r>
      <w:r w:rsidRPr="00000EF1">
        <w:rPr>
          <w:noProof/>
          <w:spacing w:val="-8"/>
        </w:rPr>
        <w:t>in</w:t>
      </w:r>
      <w:r w:rsidRPr="008E0BFE">
        <w:rPr>
          <w:noProof/>
          <w:spacing w:val="-8"/>
        </w:rPr>
        <w:t xml:space="preserve"> PO1.</w:t>
      </w:r>
      <w:r w:rsidRPr="00000EF1">
        <w:rPr>
          <w:noProof/>
          <w:spacing w:val="-8"/>
        </w:rPr>
        <w:t xml:space="preserve"> </w:t>
      </w:r>
      <w:r w:rsidRPr="008E0BFE">
        <w:rPr>
          <w:noProof/>
          <w:spacing w:val="-8"/>
        </w:rPr>
        <w:t xml:space="preserve">The effect is </w:t>
      </w:r>
      <w:r w:rsidRPr="00000EF1">
        <w:rPr>
          <w:noProof/>
          <w:spacing w:val="-8"/>
        </w:rPr>
        <w:t>the highest</w:t>
      </w:r>
      <w:r w:rsidRPr="008E0BFE">
        <w:rPr>
          <w:noProof/>
          <w:spacing w:val="-8"/>
        </w:rPr>
        <w:t xml:space="preserve"> in PO2</w:t>
      </w:r>
      <w:r w:rsidRPr="00000EF1">
        <w:rPr>
          <w:noProof/>
          <w:spacing w:val="-8"/>
        </w:rPr>
        <w:t xml:space="preserve"> relative to the baseline (29 additional platforms in 2030)</w:t>
      </w:r>
      <w:r w:rsidRPr="008E0BFE">
        <w:rPr>
          <w:noProof/>
          <w:spacing w:val="-8"/>
        </w:rPr>
        <w:t xml:space="preserve">, since in PO3 some platforms would anticipate a broader offer by the incumbents </w:t>
      </w:r>
      <w:r w:rsidRPr="00000EF1">
        <w:rPr>
          <w:noProof/>
          <w:spacing w:val="-8"/>
        </w:rPr>
        <w:t xml:space="preserve">due to the hosting obligation (PM14) </w:t>
      </w:r>
      <w:r w:rsidRPr="008E0BFE">
        <w:rPr>
          <w:noProof/>
          <w:spacing w:val="-8"/>
        </w:rPr>
        <w:t>and see less margin for an alternative offer</w:t>
      </w:r>
      <w:r w:rsidRPr="00000EF1">
        <w:rPr>
          <w:noProof/>
          <w:spacing w:val="-8"/>
        </w:rPr>
        <w:t xml:space="preserve"> and thus new platforms (26 additional platforms relative to the baseline in 2030)</w:t>
      </w:r>
      <w:r w:rsidRPr="008E0BFE">
        <w:rPr>
          <w:noProof/>
          <w:spacing w:val="-8"/>
        </w:rPr>
        <w:t xml:space="preserve">. </w:t>
      </w:r>
      <w:r w:rsidRPr="00000EF1">
        <w:rPr>
          <w:noProof/>
          <w:spacing w:val="-8"/>
        </w:rPr>
        <w:t xml:space="preserve">The effect in PO4 is between that of PO2 and PO3 (27 additional platforms relative to the baseline in 2030) because the new platforms are expected to perceive the unbundled platform as a less strong </w:t>
      </w:r>
      <w:r>
        <w:rPr>
          <w:noProof/>
          <w:spacing w:val="-8"/>
        </w:rPr>
        <w:t>competitor, once it is no longer tied to the incumbent rail operators</w:t>
      </w:r>
      <w:r w:rsidRPr="00000EF1">
        <w:rPr>
          <w:noProof/>
          <w:spacing w:val="-8"/>
        </w:rPr>
        <w:t xml:space="preserve">. In 2040, in PO2 the </w:t>
      </w:r>
      <w:r w:rsidRPr="008E0BFE">
        <w:rPr>
          <w:noProof/>
          <w:spacing w:val="-8"/>
        </w:rPr>
        <w:t>incumbent platforms</w:t>
      </w:r>
      <w:r w:rsidRPr="00000EF1">
        <w:rPr>
          <w:noProof/>
          <w:spacing w:val="-8"/>
        </w:rPr>
        <w:t xml:space="preserve"> are expected to continue to show a limited offer, and new platforms would exploit the opportunities that this creates. PO2 thus results in 282 additional platforms relative to the baseline in 2040. </w:t>
      </w:r>
      <w:r w:rsidRPr="008E0BFE">
        <w:rPr>
          <w:noProof/>
          <w:spacing w:val="-8"/>
        </w:rPr>
        <w:t xml:space="preserve">In PO3, incumbent platforms provide a full </w:t>
      </w:r>
      <w:r w:rsidRPr="00000EF1">
        <w:rPr>
          <w:noProof/>
          <w:spacing w:val="-8"/>
        </w:rPr>
        <w:t>offer,</w:t>
      </w:r>
      <w:r w:rsidRPr="008E0BFE">
        <w:rPr>
          <w:noProof/>
          <w:spacing w:val="-8"/>
        </w:rPr>
        <w:t xml:space="preserve"> and customers have no reason to switch</w:t>
      </w:r>
      <w:r w:rsidRPr="00000EF1">
        <w:rPr>
          <w:noProof/>
          <w:spacing w:val="-8"/>
        </w:rPr>
        <w:t xml:space="preserve">. The number of new additional platforms is thus expected to be lower than in PO2 (235 additional platforms relative to the baseline in 2040). </w:t>
      </w:r>
      <w:r w:rsidRPr="008E0BFE">
        <w:rPr>
          <w:noProof/>
          <w:spacing w:val="-8"/>
        </w:rPr>
        <w:t>PO4 sits between PO2 and PO3, since the unbundled platform</w:t>
      </w:r>
      <w:r w:rsidRPr="00000EF1">
        <w:rPr>
          <w:noProof/>
          <w:spacing w:val="-8"/>
        </w:rPr>
        <w:t>s are</w:t>
      </w:r>
      <w:r w:rsidRPr="008E0BFE">
        <w:rPr>
          <w:noProof/>
          <w:spacing w:val="-8"/>
        </w:rPr>
        <w:t xml:space="preserve"> not as strong as the vertically integrated one</w:t>
      </w:r>
      <w:r w:rsidRPr="00000EF1">
        <w:rPr>
          <w:noProof/>
          <w:spacing w:val="-8"/>
        </w:rPr>
        <w:t>s and leave more space for the new platform (258 additional platforms relative to the baseline in 2040)</w:t>
      </w:r>
      <w:r w:rsidRPr="008E0BFE">
        <w:rPr>
          <w:noProof/>
          <w:spacing w:val="-8"/>
        </w:rPr>
        <w:t>.</w:t>
      </w:r>
      <w:r w:rsidRPr="00000EF1">
        <w:rPr>
          <w:noProof/>
          <w:spacing w:val="-8"/>
        </w:rPr>
        <w:t xml:space="preserve"> By 2050, t</w:t>
      </w:r>
      <w:r w:rsidRPr="008E0BFE">
        <w:rPr>
          <w:noProof/>
          <w:spacing w:val="-8"/>
        </w:rPr>
        <w:t xml:space="preserve">he market </w:t>
      </w:r>
      <w:r w:rsidRPr="00000EF1">
        <w:rPr>
          <w:noProof/>
          <w:spacing w:val="-8"/>
        </w:rPr>
        <w:t>is expected to converge towards</w:t>
      </w:r>
      <w:r w:rsidRPr="008E0BFE">
        <w:rPr>
          <w:noProof/>
          <w:spacing w:val="-8"/>
        </w:rPr>
        <w:t xml:space="preserve"> the same number of platforms</w:t>
      </w:r>
      <w:r w:rsidRPr="00000EF1">
        <w:rPr>
          <w:noProof/>
          <w:spacing w:val="-8"/>
        </w:rPr>
        <w:t xml:space="preserve"> in PO2, PO3 and PO4 (209 additional platforms relative to the baseline)</w:t>
      </w:r>
      <w:r w:rsidRPr="008E0BFE">
        <w:rPr>
          <w:noProof/>
          <w:spacing w:val="-8"/>
        </w:rPr>
        <w:t>. In PO2, the strong competition between platform</w:t>
      </w:r>
      <w:r w:rsidRPr="00000EF1">
        <w:rPr>
          <w:noProof/>
          <w:spacing w:val="-8"/>
        </w:rPr>
        <w:t>s is expected to erode</w:t>
      </w:r>
      <w:r w:rsidRPr="008E0BFE">
        <w:rPr>
          <w:noProof/>
          <w:spacing w:val="-8"/>
        </w:rPr>
        <w:t xml:space="preserve"> the legacy advantage of the incumbents. This creates an intense competition leading to a consolidation of the sector. In PO3 </w:t>
      </w:r>
      <w:r w:rsidRPr="00000EF1">
        <w:rPr>
          <w:noProof/>
          <w:spacing w:val="-8"/>
        </w:rPr>
        <w:t>no change is expected relative to</w:t>
      </w:r>
      <w:r w:rsidRPr="008E0BFE">
        <w:rPr>
          <w:noProof/>
          <w:spacing w:val="-8"/>
        </w:rPr>
        <w:t xml:space="preserve"> 2040</w:t>
      </w:r>
      <w:r w:rsidRPr="00000EF1">
        <w:rPr>
          <w:noProof/>
          <w:spacing w:val="-8"/>
        </w:rPr>
        <w:t>, while i</w:t>
      </w:r>
      <w:r w:rsidRPr="008E0BFE">
        <w:rPr>
          <w:noProof/>
          <w:spacing w:val="-8"/>
        </w:rPr>
        <w:t>n PO4 some consolidation</w:t>
      </w:r>
      <w:r w:rsidRPr="00000EF1">
        <w:rPr>
          <w:noProof/>
          <w:spacing w:val="-8"/>
        </w:rPr>
        <w:t xml:space="preserve"> also takes place </w:t>
      </w:r>
      <w:r w:rsidRPr="008E0BFE">
        <w:rPr>
          <w:noProof/>
          <w:spacing w:val="-8"/>
        </w:rPr>
        <w:t xml:space="preserve">but to a lesser extent than </w:t>
      </w:r>
      <w:r w:rsidRPr="00000EF1">
        <w:rPr>
          <w:noProof/>
          <w:spacing w:val="-8"/>
        </w:rPr>
        <w:t xml:space="preserve">in </w:t>
      </w:r>
      <w:r w:rsidRPr="008E0BFE">
        <w:rPr>
          <w:noProof/>
          <w:spacing w:val="-8"/>
        </w:rPr>
        <w:t>PO2.</w:t>
      </w:r>
      <w:r>
        <w:rPr>
          <w:noProof/>
        </w:rPr>
        <w:t xml:space="preserve"> </w:t>
      </w:r>
    </w:p>
    <w:p w14:paraId="70F98D70" w14:textId="01CF0BE1" w:rsidR="00AF6AC2" w:rsidRDefault="00CC77C3" w:rsidP="00CC77C3">
      <w:pPr>
        <w:tabs>
          <w:tab w:val="left" w:pos="1134"/>
        </w:tabs>
        <w:rPr>
          <w:i/>
          <w:noProof/>
          <w:sz w:val="22"/>
          <w:szCs w:val="22"/>
        </w:rPr>
      </w:pPr>
      <w:r w:rsidRPr="00A264DA">
        <w:rPr>
          <w:i/>
          <w:noProof/>
          <w:sz w:val="22"/>
          <w:szCs w:val="22"/>
        </w:rPr>
        <w:t xml:space="preserve">Table </w:t>
      </w:r>
      <w:r w:rsidRPr="00A264DA">
        <w:rPr>
          <w:i/>
          <w:noProof/>
          <w:sz w:val="22"/>
          <w:szCs w:val="22"/>
        </w:rPr>
        <w:fldChar w:fldCharType="begin"/>
      </w:r>
      <w:r w:rsidRPr="00A264DA">
        <w:rPr>
          <w:i/>
          <w:noProof/>
          <w:sz w:val="22"/>
          <w:szCs w:val="22"/>
        </w:rPr>
        <w:instrText xml:space="preserve"> SEQ Table \* ARABIC </w:instrText>
      </w:r>
      <w:r w:rsidRPr="00A264DA">
        <w:rPr>
          <w:i/>
          <w:noProof/>
          <w:sz w:val="22"/>
          <w:szCs w:val="22"/>
        </w:rPr>
        <w:fldChar w:fldCharType="separate"/>
      </w:r>
      <w:r w:rsidR="0055391F">
        <w:rPr>
          <w:i/>
          <w:noProof/>
          <w:sz w:val="22"/>
          <w:szCs w:val="22"/>
        </w:rPr>
        <w:t>63</w:t>
      </w:r>
      <w:r w:rsidRPr="00A264DA">
        <w:rPr>
          <w:i/>
          <w:noProof/>
          <w:sz w:val="22"/>
          <w:szCs w:val="22"/>
        </w:rPr>
        <w:fldChar w:fldCharType="end"/>
      </w:r>
      <w:r w:rsidRPr="00A264DA">
        <w:rPr>
          <w:i/>
          <w:noProof/>
          <w:sz w:val="22"/>
          <w:szCs w:val="22"/>
        </w:rPr>
        <w:t>: Assumptions on the additional service coverage in the policy options relative to 2025, by grouping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099"/>
        <w:gridCol w:w="2900"/>
        <w:gridCol w:w="901"/>
        <w:gridCol w:w="901"/>
        <w:gridCol w:w="901"/>
        <w:gridCol w:w="901"/>
      </w:tblGrid>
      <w:tr w:rsidR="00AF6AC2" w:rsidRPr="000C2275" w14:paraId="46C21B5C" w14:textId="77777777" w:rsidTr="000C2275">
        <w:trPr>
          <w:trHeight w:val="255"/>
          <w:tblHeader/>
        </w:trPr>
        <w:tc>
          <w:tcPr>
            <w:tcW w:w="1613" w:type="pct"/>
            <w:shd w:val="clear" w:color="auto" w:fill="0070C0"/>
            <w:noWrap/>
            <w:vAlign w:val="bottom"/>
            <w:hideMark/>
          </w:tcPr>
          <w:p w14:paraId="07D8B11E" w14:textId="77777777" w:rsidR="00AF6AC2" w:rsidRPr="00CA4AEA" w:rsidRDefault="00AF6AC2" w:rsidP="006A7B4C">
            <w:pPr>
              <w:rPr>
                <w:b/>
                <w:bCs/>
                <w:noProof/>
                <w:color w:val="FFFFFF" w:themeColor="background1"/>
                <w:sz w:val="20"/>
                <w:szCs w:val="20"/>
              </w:rPr>
            </w:pPr>
          </w:p>
        </w:tc>
        <w:tc>
          <w:tcPr>
            <w:tcW w:w="1509" w:type="pct"/>
            <w:shd w:val="clear" w:color="auto" w:fill="0070C0"/>
            <w:noWrap/>
            <w:vAlign w:val="bottom"/>
            <w:hideMark/>
          </w:tcPr>
          <w:p w14:paraId="1F0F76FC" w14:textId="77777777" w:rsidR="00AF6AC2" w:rsidRPr="00CA4AEA" w:rsidRDefault="00AF6AC2" w:rsidP="006A7B4C">
            <w:pPr>
              <w:rPr>
                <w:b/>
                <w:bCs/>
                <w:noProof/>
                <w:color w:val="FFFFFF" w:themeColor="background1"/>
                <w:sz w:val="20"/>
                <w:szCs w:val="20"/>
              </w:rPr>
            </w:pPr>
            <w:r w:rsidRPr="00CA4AEA">
              <w:rPr>
                <w:b/>
                <w:bCs/>
                <w:noProof/>
                <w:color w:val="FFFFFF" w:themeColor="background1"/>
                <w:sz w:val="20"/>
                <w:szCs w:val="20"/>
              </w:rPr>
              <w:t>Grouping</w:t>
            </w:r>
          </w:p>
        </w:tc>
        <w:tc>
          <w:tcPr>
            <w:tcW w:w="469" w:type="pct"/>
            <w:shd w:val="clear" w:color="auto" w:fill="0070C0"/>
            <w:noWrap/>
            <w:vAlign w:val="bottom"/>
            <w:hideMark/>
          </w:tcPr>
          <w:p w14:paraId="2F546608" w14:textId="77777777" w:rsidR="00AF6AC2" w:rsidRPr="00CA4AEA" w:rsidRDefault="00AF6AC2" w:rsidP="006A7B4C">
            <w:pPr>
              <w:rPr>
                <w:b/>
                <w:bCs/>
                <w:noProof/>
                <w:color w:val="FFFFFF" w:themeColor="background1"/>
                <w:sz w:val="20"/>
                <w:szCs w:val="20"/>
              </w:rPr>
            </w:pPr>
            <w:r w:rsidRPr="00CA4AEA">
              <w:rPr>
                <w:b/>
                <w:bCs/>
                <w:noProof/>
                <w:color w:val="FFFFFF" w:themeColor="background1"/>
                <w:sz w:val="20"/>
                <w:szCs w:val="20"/>
              </w:rPr>
              <w:t>2028</w:t>
            </w:r>
          </w:p>
        </w:tc>
        <w:tc>
          <w:tcPr>
            <w:tcW w:w="469" w:type="pct"/>
            <w:shd w:val="clear" w:color="auto" w:fill="0070C0"/>
            <w:vAlign w:val="bottom"/>
            <w:hideMark/>
          </w:tcPr>
          <w:p w14:paraId="53DB1B7E" w14:textId="77777777" w:rsidR="00AF6AC2" w:rsidRPr="00CA4AEA" w:rsidRDefault="00AF6AC2" w:rsidP="006A7B4C">
            <w:pPr>
              <w:rPr>
                <w:b/>
                <w:bCs/>
                <w:noProof/>
                <w:color w:val="FFFFFF" w:themeColor="background1"/>
                <w:sz w:val="20"/>
                <w:szCs w:val="20"/>
              </w:rPr>
            </w:pPr>
            <w:r w:rsidRPr="00CA4AEA">
              <w:rPr>
                <w:b/>
                <w:bCs/>
                <w:noProof/>
                <w:color w:val="FFFFFF" w:themeColor="background1"/>
                <w:sz w:val="20"/>
                <w:szCs w:val="20"/>
              </w:rPr>
              <w:t>2030</w:t>
            </w:r>
          </w:p>
        </w:tc>
        <w:tc>
          <w:tcPr>
            <w:tcW w:w="469" w:type="pct"/>
            <w:shd w:val="clear" w:color="auto" w:fill="0070C0"/>
            <w:noWrap/>
            <w:vAlign w:val="bottom"/>
            <w:hideMark/>
          </w:tcPr>
          <w:p w14:paraId="17BAA1C5" w14:textId="77777777" w:rsidR="00AF6AC2" w:rsidRPr="00CA4AEA" w:rsidRDefault="00AF6AC2" w:rsidP="006A7B4C">
            <w:pPr>
              <w:rPr>
                <w:b/>
                <w:bCs/>
                <w:noProof/>
                <w:color w:val="FFFFFF" w:themeColor="background1"/>
                <w:sz w:val="20"/>
                <w:szCs w:val="20"/>
              </w:rPr>
            </w:pPr>
            <w:r w:rsidRPr="00CA4AEA">
              <w:rPr>
                <w:b/>
                <w:bCs/>
                <w:noProof/>
                <w:color w:val="FFFFFF" w:themeColor="background1"/>
                <w:sz w:val="20"/>
                <w:szCs w:val="20"/>
              </w:rPr>
              <w:t>2040</w:t>
            </w:r>
          </w:p>
        </w:tc>
        <w:tc>
          <w:tcPr>
            <w:tcW w:w="469" w:type="pct"/>
            <w:shd w:val="clear" w:color="auto" w:fill="0070C0"/>
            <w:noWrap/>
            <w:vAlign w:val="bottom"/>
            <w:hideMark/>
          </w:tcPr>
          <w:p w14:paraId="6DDCB2BE" w14:textId="77777777" w:rsidR="00AF6AC2" w:rsidRPr="00CA4AEA" w:rsidRDefault="00AF6AC2" w:rsidP="006A7B4C">
            <w:pPr>
              <w:rPr>
                <w:b/>
                <w:bCs/>
                <w:noProof/>
                <w:color w:val="FFFFFF" w:themeColor="background1"/>
                <w:sz w:val="20"/>
                <w:szCs w:val="20"/>
              </w:rPr>
            </w:pPr>
            <w:r w:rsidRPr="00CA4AEA">
              <w:rPr>
                <w:b/>
                <w:bCs/>
                <w:noProof/>
                <w:color w:val="FFFFFF" w:themeColor="background1"/>
                <w:sz w:val="20"/>
                <w:szCs w:val="20"/>
              </w:rPr>
              <w:t>2050</w:t>
            </w:r>
          </w:p>
        </w:tc>
      </w:tr>
      <w:tr w:rsidR="00AF6AC2" w:rsidRPr="000C2275" w14:paraId="24778AB3" w14:textId="77777777" w:rsidTr="006A7B4C">
        <w:trPr>
          <w:trHeight w:val="255"/>
        </w:trPr>
        <w:tc>
          <w:tcPr>
            <w:tcW w:w="1613" w:type="pct"/>
            <w:shd w:val="clear" w:color="auto" w:fill="FFFFFF" w:themeFill="background1"/>
            <w:noWrap/>
            <w:vAlign w:val="bottom"/>
            <w:hideMark/>
          </w:tcPr>
          <w:p w14:paraId="1FA06779" w14:textId="77777777" w:rsidR="00AF6AC2" w:rsidRPr="00CA4AEA" w:rsidRDefault="00AF6AC2" w:rsidP="006A7B4C">
            <w:pPr>
              <w:rPr>
                <w:noProof/>
                <w:sz w:val="20"/>
                <w:szCs w:val="20"/>
              </w:rPr>
            </w:pPr>
            <w:r w:rsidRPr="00CA4AEA">
              <w:rPr>
                <w:noProof/>
                <w:sz w:val="20"/>
                <w:szCs w:val="20"/>
              </w:rPr>
              <w:t>Baseline</w:t>
            </w:r>
          </w:p>
        </w:tc>
        <w:tc>
          <w:tcPr>
            <w:tcW w:w="1509" w:type="pct"/>
            <w:shd w:val="clear" w:color="auto" w:fill="FFFFFF" w:themeFill="background1"/>
            <w:noWrap/>
            <w:vAlign w:val="bottom"/>
            <w:hideMark/>
          </w:tcPr>
          <w:p w14:paraId="67AE58A2" w14:textId="77777777" w:rsidR="00AF6AC2" w:rsidRPr="00CA4AEA" w:rsidRDefault="00AF6AC2" w:rsidP="006A7B4C">
            <w:pPr>
              <w:rPr>
                <w:noProof/>
                <w:sz w:val="20"/>
                <w:szCs w:val="20"/>
              </w:rPr>
            </w:pPr>
            <w:r w:rsidRPr="00CA4AEA">
              <w:rPr>
                <w:noProof/>
                <w:sz w:val="20"/>
                <w:szCs w:val="20"/>
              </w:rPr>
              <w:t>Leader</w:t>
            </w:r>
          </w:p>
        </w:tc>
        <w:tc>
          <w:tcPr>
            <w:tcW w:w="469" w:type="pct"/>
            <w:shd w:val="clear" w:color="auto" w:fill="FFFFFF" w:themeFill="background1"/>
            <w:noWrap/>
            <w:vAlign w:val="bottom"/>
            <w:hideMark/>
          </w:tcPr>
          <w:p w14:paraId="268B2A3A" w14:textId="77777777" w:rsidR="00AF6AC2" w:rsidRPr="00CA4AEA" w:rsidRDefault="00AF6AC2" w:rsidP="006A7B4C">
            <w:pPr>
              <w:jc w:val="right"/>
              <w:rPr>
                <w:noProof/>
                <w:color w:val="000000"/>
                <w:sz w:val="20"/>
                <w:szCs w:val="20"/>
              </w:rPr>
            </w:pPr>
            <w:r w:rsidRPr="00CA4AEA">
              <w:rPr>
                <w:noProof/>
                <w:color w:val="000000"/>
                <w:sz w:val="20"/>
                <w:szCs w:val="20"/>
              </w:rPr>
              <w:t>0%</w:t>
            </w:r>
          </w:p>
        </w:tc>
        <w:tc>
          <w:tcPr>
            <w:tcW w:w="469" w:type="pct"/>
            <w:shd w:val="clear" w:color="auto" w:fill="FFFFFF" w:themeFill="background1"/>
            <w:noWrap/>
            <w:vAlign w:val="bottom"/>
            <w:hideMark/>
          </w:tcPr>
          <w:p w14:paraId="43DFB1B6" w14:textId="77777777" w:rsidR="00AF6AC2" w:rsidRPr="00CA4AEA" w:rsidRDefault="00AF6AC2" w:rsidP="006A7B4C">
            <w:pPr>
              <w:jc w:val="right"/>
              <w:rPr>
                <w:noProof/>
                <w:color w:val="000000"/>
                <w:sz w:val="20"/>
                <w:szCs w:val="20"/>
              </w:rPr>
            </w:pPr>
            <w:r w:rsidRPr="00CA4AEA">
              <w:rPr>
                <w:noProof/>
                <w:color w:val="000000"/>
                <w:sz w:val="20"/>
                <w:szCs w:val="20"/>
              </w:rPr>
              <w:t>1%</w:t>
            </w:r>
          </w:p>
        </w:tc>
        <w:tc>
          <w:tcPr>
            <w:tcW w:w="469" w:type="pct"/>
            <w:shd w:val="clear" w:color="auto" w:fill="FFFFFF" w:themeFill="background1"/>
            <w:noWrap/>
            <w:vAlign w:val="bottom"/>
            <w:hideMark/>
          </w:tcPr>
          <w:p w14:paraId="77B16742" w14:textId="77777777" w:rsidR="00AF6AC2" w:rsidRPr="00CA4AEA" w:rsidRDefault="00AF6AC2" w:rsidP="006A7B4C">
            <w:pPr>
              <w:jc w:val="right"/>
              <w:rPr>
                <w:noProof/>
                <w:color w:val="000000"/>
                <w:sz w:val="20"/>
                <w:szCs w:val="20"/>
              </w:rPr>
            </w:pPr>
            <w:r w:rsidRPr="00CA4AEA">
              <w:rPr>
                <w:noProof/>
                <w:color w:val="000000"/>
                <w:sz w:val="20"/>
                <w:szCs w:val="20"/>
              </w:rPr>
              <w:t>5%</w:t>
            </w:r>
          </w:p>
        </w:tc>
        <w:tc>
          <w:tcPr>
            <w:tcW w:w="469" w:type="pct"/>
            <w:shd w:val="clear" w:color="auto" w:fill="FFFFFF" w:themeFill="background1"/>
            <w:noWrap/>
            <w:vAlign w:val="bottom"/>
            <w:hideMark/>
          </w:tcPr>
          <w:p w14:paraId="6BD34E81" w14:textId="77777777" w:rsidR="00AF6AC2" w:rsidRPr="00CA4AEA" w:rsidRDefault="00AF6AC2" w:rsidP="006A7B4C">
            <w:pPr>
              <w:jc w:val="right"/>
              <w:rPr>
                <w:noProof/>
                <w:color w:val="000000"/>
                <w:sz w:val="20"/>
                <w:szCs w:val="20"/>
              </w:rPr>
            </w:pPr>
            <w:r w:rsidRPr="00CA4AEA">
              <w:rPr>
                <w:noProof/>
                <w:color w:val="000000"/>
                <w:sz w:val="20"/>
                <w:szCs w:val="20"/>
              </w:rPr>
              <w:t>10%</w:t>
            </w:r>
          </w:p>
        </w:tc>
      </w:tr>
      <w:tr w:rsidR="00AF6AC2" w:rsidRPr="000C2275" w14:paraId="57AC6653" w14:textId="77777777" w:rsidTr="006A7B4C">
        <w:trPr>
          <w:trHeight w:val="255"/>
        </w:trPr>
        <w:tc>
          <w:tcPr>
            <w:tcW w:w="1613" w:type="pct"/>
            <w:shd w:val="clear" w:color="auto" w:fill="FFFFFF" w:themeFill="background1"/>
            <w:noWrap/>
            <w:vAlign w:val="bottom"/>
            <w:hideMark/>
          </w:tcPr>
          <w:p w14:paraId="1910B4CB" w14:textId="77777777" w:rsidR="00AF6AC2" w:rsidRPr="00CA4AEA" w:rsidRDefault="00AF6AC2" w:rsidP="006A7B4C">
            <w:pPr>
              <w:rPr>
                <w:noProof/>
                <w:sz w:val="20"/>
                <w:szCs w:val="20"/>
              </w:rPr>
            </w:pPr>
            <w:r w:rsidRPr="00CA4AEA">
              <w:rPr>
                <w:noProof/>
                <w:sz w:val="20"/>
                <w:szCs w:val="20"/>
              </w:rPr>
              <w:t>Baseline</w:t>
            </w:r>
          </w:p>
        </w:tc>
        <w:tc>
          <w:tcPr>
            <w:tcW w:w="1509" w:type="pct"/>
            <w:shd w:val="clear" w:color="auto" w:fill="FFFFFF" w:themeFill="background1"/>
            <w:noWrap/>
            <w:vAlign w:val="bottom"/>
            <w:hideMark/>
          </w:tcPr>
          <w:p w14:paraId="30F49954" w14:textId="77777777" w:rsidR="00AF6AC2" w:rsidRPr="00CA4AEA" w:rsidRDefault="00AF6AC2" w:rsidP="006A7B4C">
            <w:pPr>
              <w:rPr>
                <w:noProof/>
                <w:sz w:val="20"/>
                <w:szCs w:val="20"/>
              </w:rPr>
            </w:pPr>
            <w:r w:rsidRPr="00CA4AEA">
              <w:rPr>
                <w:noProof/>
                <w:sz w:val="20"/>
                <w:szCs w:val="20"/>
              </w:rPr>
              <w:t>Planned adopter</w:t>
            </w:r>
          </w:p>
        </w:tc>
        <w:tc>
          <w:tcPr>
            <w:tcW w:w="469" w:type="pct"/>
            <w:shd w:val="clear" w:color="auto" w:fill="FFFFFF" w:themeFill="background1"/>
            <w:noWrap/>
            <w:vAlign w:val="bottom"/>
            <w:hideMark/>
          </w:tcPr>
          <w:p w14:paraId="32AAED3B" w14:textId="77777777" w:rsidR="00AF6AC2" w:rsidRPr="00CA4AEA" w:rsidRDefault="00AF6AC2" w:rsidP="006A7B4C">
            <w:pPr>
              <w:jc w:val="right"/>
              <w:rPr>
                <w:noProof/>
                <w:color w:val="000000"/>
                <w:sz w:val="20"/>
                <w:szCs w:val="20"/>
              </w:rPr>
            </w:pPr>
            <w:r w:rsidRPr="00CA4AEA">
              <w:rPr>
                <w:noProof/>
                <w:color w:val="000000"/>
                <w:sz w:val="20"/>
                <w:szCs w:val="20"/>
              </w:rPr>
              <w:t>0%</w:t>
            </w:r>
          </w:p>
        </w:tc>
        <w:tc>
          <w:tcPr>
            <w:tcW w:w="469" w:type="pct"/>
            <w:shd w:val="clear" w:color="auto" w:fill="FFFFFF" w:themeFill="background1"/>
            <w:noWrap/>
            <w:vAlign w:val="bottom"/>
            <w:hideMark/>
          </w:tcPr>
          <w:p w14:paraId="625BAF5F" w14:textId="77777777" w:rsidR="00AF6AC2" w:rsidRPr="00CA4AEA" w:rsidRDefault="00AF6AC2" w:rsidP="006A7B4C">
            <w:pPr>
              <w:jc w:val="right"/>
              <w:rPr>
                <w:noProof/>
                <w:color w:val="000000"/>
                <w:sz w:val="20"/>
                <w:szCs w:val="20"/>
              </w:rPr>
            </w:pPr>
            <w:r w:rsidRPr="00CA4AEA">
              <w:rPr>
                <w:noProof/>
                <w:color w:val="000000"/>
                <w:sz w:val="20"/>
                <w:szCs w:val="20"/>
              </w:rPr>
              <w:t>2%</w:t>
            </w:r>
          </w:p>
        </w:tc>
        <w:tc>
          <w:tcPr>
            <w:tcW w:w="469" w:type="pct"/>
            <w:shd w:val="clear" w:color="auto" w:fill="FFFFFF" w:themeFill="background1"/>
            <w:noWrap/>
            <w:vAlign w:val="bottom"/>
            <w:hideMark/>
          </w:tcPr>
          <w:p w14:paraId="7263BF87" w14:textId="77777777" w:rsidR="00AF6AC2" w:rsidRPr="00CA4AEA" w:rsidRDefault="00AF6AC2" w:rsidP="006A7B4C">
            <w:pPr>
              <w:jc w:val="right"/>
              <w:rPr>
                <w:noProof/>
                <w:color w:val="000000"/>
                <w:sz w:val="20"/>
                <w:szCs w:val="20"/>
              </w:rPr>
            </w:pPr>
            <w:r w:rsidRPr="00CA4AEA">
              <w:rPr>
                <w:noProof/>
                <w:color w:val="000000"/>
                <w:sz w:val="20"/>
                <w:szCs w:val="20"/>
              </w:rPr>
              <w:t>11%</w:t>
            </w:r>
          </w:p>
        </w:tc>
        <w:tc>
          <w:tcPr>
            <w:tcW w:w="469" w:type="pct"/>
            <w:shd w:val="clear" w:color="auto" w:fill="FFFFFF" w:themeFill="background1"/>
            <w:noWrap/>
            <w:vAlign w:val="bottom"/>
            <w:hideMark/>
          </w:tcPr>
          <w:p w14:paraId="77B78D15" w14:textId="77777777" w:rsidR="00AF6AC2" w:rsidRPr="00CA4AEA" w:rsidRDefault="00AF6AC2" w:rsidP="006A7B4C">
            <w:pPr>
              <w:jc w:val="right"/>
              <w:rPr>
                <w:noProof/>
                <w:color w:val="000000"/>
                <w:sz w:val="20"/>
                <w:szCs w:val="20"/>
              </w:rPr>
            </w:pPr>
            <w:r w:rsidRPr="00CA4AEA">
              <w:rPr>
                <w:noProof/>
                <w:color w:val="000000"/>
                <w:sz w:val="20"/>
                <w:szCs w:val="20"/>
              </w:rPr>
              <w:t>20%</w:t>
            </w:r>
          </w:p>
        </w:tc>
      </w:tr>
      <w:tr w:rsidR="00AF6AC2" w:rsidRPr="000C2275" w14:paraId="14584CA0" w14:textId="77777777" w:rsidTr="006A7B4C">
        <w:trPr>
          <w:trHeight w:val="255"/>
        </w:trPr>
        <w:tc>
          <w:tcPr>
            <w:tcW w:w="1613" w:type="pct"/>
            <w:shd w:val="clear" w:color="auto" w:fill="FFFFFF" w:themeFill="background1"/>
            <w:noWrap/>
            <w:vAlign w:val="bottom"/>
            <w:hideMark/>
          </w:tcPr>
          <w:p w14:paraId="0BDE5632" w14:textId="77777777" w:rsidR="00AF6AC2" w:rsidRPr="00CA4AEA" w:rsidRDefault="00AF6AC2" w:rsidP="006A7B4C">
            <w:pPr>
              <w:rPr>
                <w:noProof/>
                <w:sz w:val="20"/>
                <w:szCs w:val="20"/>
              </w:rPr>
            </w:pPr>
            <w:r w:rsidRPr="00CA4AEA">
              <w:rPr>
                <w:noProof/>
                <w:sz w:val="20"/>
                <w:szCs w:val="20"/>
              </w:rPr>
              <w:t>Baseline</w:t>
            </w:r>
          </w:p>
        </w:tc>
        <w:tc>
          <w:tcPr>
            <w:tcW w:w="1509" w:type="pct"/>
            <w:shd w:val="clear" w:color="auto" w:fill="FFFFFF" w:themeFill="background1"/>
            <w:noWrap/>
            <w:vAlign w:val="bottom"/>
            <w:hideMark/>
          </w:tcPr>
          <w:p w14:paraId="6B9D800C" w14:textId="77777777" w:rsidR="00AF6AC2" w:rsidRPr="00CA4AEA" w:rsidRDefault="00AF6AC2" w:rsidP="006A7B4C">
            <w:pPr>
              <w:rPr>
                <w:noProof/>
                <w:sz w:val="20"/>
                <w:szCs w:val="20"/>
              </w:rPr>
            </w:pPr>
            <w:r w:rsidRPr="00CA4AEA">
              <w:rPr>
                <w:noProof/>
                <w:sz w:val="20"/>
                <w:szCs w:val="20"/>
              </w:rPr>
              <w:t>Follower</w:t>
            </w:r>
          </w:p>
        </w:tc>
        <w:tc>
          <w:tcPr>
            <w:tcW w:w="469" w:type="pct"/>
            <w:shd w:val="clear" w:color="auto" w:fill="FFFFFF" w:themeFill="background1"/>
            <w:noWrap/>
            <w:vAlign w:val="bottom"/>
            <w:hideMark/>
          </w:tcPr>
          <w:p w14:paraId="14463BEE" w14:textId="77777777" w:rsidR="00AF6AC2" w:rsidRPr="00CA4AEA" w:rsidRDefault="00AF6AC2" w:rsidP="006A7B4C">
            <w:pPr>
              <w:jc w:val="right"/>
              <w:rPr>
                <w:noProof/>
                <w:color w:val="000000"/>
                <w:sz w:val="20"/>
                <w:szCs w:val="20"/>
              </w:rPr>
            </w:pPr>
            <w:r w:rsidRPr="00CA4AEA">
              <w:rPr>
                <w:noProof/>
                <w:color w:val="000000"/>
                <w:sz w:val="20"/>
                <w:szCs w:val="20"/>
              </w:rPr>
              <w:t>0%</w:t>
            </w:r>
          </w:p>
        </w:tc>
        <w:tc>
          <w:tcPr>
            <w:tcW w:w="469" w:type="pct"/>
            <w:shd w:val="clear" w:color="auto" w:fill="FFFFFF" w:themeFill="background1"/>
            <w:noWrap/>
            <w:vAlign w:val="bottom"/>
            <w:hideMark/>
          </w:tcPr>
          <w:p w14:paraId="6575DEC5" w14:textId="77777777" w:rsidR="00AF6AC2" w:rsidRPr="00CA4AEA" w:rsidRDefault="00AF6AC2" w:rsidP="006A7B4C">
            <w:pPr>
              <w:jc w:val="right"/>
              <w:rPr>
                <w:noProof/>
                <w:color w:val="000000"/>
                <w:sz w:val="20"/>
                <w:szCs w:val="20"/>
              </w:rPr>
            </w:pPr>
            <w:r w:rsidRPr="00CA4AEA">
              <w:rPr>
                <w:noProof/>
                <w:color w:val="000000"/>
                <w:sz w:val="20"/>
                <w:szCs w:val="20"/>
              </w:rPr>
              <w:t>2%</w:t>
            </w:r>
          </w:p>
        </w:tc>
        <w:tc>
          <w:tcPr>
            <w:tcW w:w="469" w:type="pct"/>
            <w:shd w:val="clear" w:color="auto" w:fill="FFFFFF" w:themeFill="background1"/>
            <w:noWrap/>
            <w:vAlign w:val="bottom"/>
            <w:hideMark/>
          </w:tcPr>
          <w:p w14:paraId="75F00614" w14:textId="77777777" w:rsidR="00AF6AC2" w:rsidRPr="00CA4AEA" w:rsidRDefault="00AF6AC2" w:rsidP="006A7B4C">
            <w:pPr>
              <w:jc w:val="right"/>
              <w:rPr>
                <w:noProof/>
                <w:color w:val="000000"/>
                <w:sz w:val="20"/>
                <w:szCs w:val="20"/>
              </w:rPr>
            </w:pPr>
            <w:r w:rsidRPr="00CA4AEA">
              <w:rPr>
                <w:noProof/>
                <w:color w:val="000000"/>
                <w:sz w:val="20"/>
                <w:szCs w:val="20"/>
              </w:rPr>
              <w:t>11%</w:t>
            </w:r>
          </w:p>
        </w:tc>
        <w:tc>
          <w:tcPr>
            <w:tcW w:w="469" w:type="pct"/>
            <w:shd w:val="clear" w:color="auto" w:fill="FFFFFF" w:themeFill="background1"/>
            <w:noWrap/>
            <w:vAlign w:val="bottom"/>
            <w:hideMark/>
          </w:tcPr>
          <w:p w14:paraId="1426174B" w14:textId="77777777" w:rsidR="00AF6AC2" w:rsidRPr="00CA4AEA" w:rsidRDefault="00AF6AC2" w:rsidP="006A7B4C">
            <w:pPr>
              <w:jc w:val="right"/>
              <w:rPr>
                <w:noProof/>
                <w:color w:val="000000"/>
                <w:sz w:val="20"/>
                <w:szCs w:val="20"/>
              </w:rPr>
            </w:pPr>
            <w:r w:rsidRPr="00CA4AEA">
              <w:rPr>
                <w:noProof/>
                <w:color w:val="000000"/>
                <w:sz w:val="20"/>
                <w:szCs w:val="20"/>
              </w:rPr>
              <w:t>20%</w:t>
            </w:r>
          </w:p>
        </w:tc>
      </w:tr>
      <w:tr w:rsidR="00AF6AC2" w:rsidRPr="000C2275" w14:paraId="350EFF8D" w14:textId="77777777" w:rsidTr="006A7B4C">
        <w:trPr>
          <w:trHeight w:val="255"/>
        </w:trPr>
        <w:tc>
          <w:tcPr>
            <w:tcW w:w="1613" w:type="pct"/>
            <w:shd w:val="clear" w:color="auto" w:fill="FFFFFF" w:themeFill="background1"/>
            <w:noWrap/>
            <w:vAlign w:val="bottom"/>
            <w:hideMark/>
          </w:tcPr>
          <w:p w14:paraId="1A804854" w14:textId="77777777" w:rsidR="00AF6AC2" w:rsidRPr="00CA4AEA" w:rsidRDefault="00AF6AC2" w:rsidP="006A7B4C">
            <w:pPr>
              <w:rPr>
                <w:noProof/>
                <w:sz w:val="20"/>
                <w:szCs w:val="20"/>
              </w:rPr>
            </w:pPr>
            <w:r w:rsidRPr="00CA4AEA">
              <w:rPr>
                <w:noProof/>
                <w:sz w:val="20"/>
                <w:szCs w:val="20"/>
              </w:rPr>
              <w:t>PO1</w:t>
            </w:r>
          </w:p>
        </w:tc>
        <w:tc>
          <w:tcPr>
            <w:tcW w:w="1509" w:type="pct"/>
            <w:shd w:val="clear" w:color="auto" w:fill="FFFFFF" w:themeFill="background1"/>
            <w:noWrap/>
            <w:vAlign w:val="bottom"/>
            <w:hideMark/>
          </w:tcPr>
          <w:p w14:paraId="46638CD1" w14:textId="77777777" w:rsidR="00AF6AC2" w:rsidRPr="00CA4AEA" w:rsidRDefault="00AF6AC2" w:rsidP="006A7B4C">
            <w:pPr>
              <w:rPr>
                <w:noProof/>
                <w:sz w:val="20"/>
                <w:szCs w:val="20"/>
              </w:rPr>
            </w:pPr>
            <w:r w:rsidRPr="00CA4AEA">
              <w:rPr>
                <w:noProof/>
                <w:sz w:val="20"/>
                <w:szCs w:val="20"/>
              </w:rPr>
              <w:t>Leader</w:t>
            </w:r>
          </w:p>
        </w:tc>
        <w:tc>
          <w:tcPr>
            <w:tcW w:w="469" w:type="pct"/>
            <w:shd w:val="clear" w:color="auto" w:fill="FFFFFF" w:themeFill="background1"/>
            <w:noWrap/>
            <w:vAlign w:val="bottom"/>
            <w:hideMark/>
          </w:tcPr>
          <w:p w14:paraId="741E00A5" w14:textId="77777777" w:rsidR="00AF6AC2" w:rsidRPr="00CA4AEA" w:rsidRDefault="00AF6AC2" w:rsidP="006A7B4C">
            <w:pPr>
              <w:jc w:val="right"/>
              <w:rPr>
                <w:noProof/>
                <w:color w:val="000000"/>
                <w:sz w:val="20"/>
                <w:szCs w:val="20"/>
              </w:rPr>
            </w:pPr>
            <w:r w:rsidRPr="00CA4AEA">
              <w:rPr>
                <w:noProof/>
                <w:color w:val="000000"/>
                <w:sz w:val="20"/>
                <w:szCs w:val="20"/>
              </w:rPr>
              <w:t>0%</w:t>
            </w:r>
          </w:p>
        </w:tc>
        <w:tc>
          <w:tcPr>
            <w:tcW w:w="469" w:type="pct"/>
            <w:shd w:val="clear" w:color="auto" w:fill="FFFFFF" w:themeFill="background1"/>
            <w:noWrap/>
            <w:vAlign w:val="bottom"/>
            <w:hideMark/>
          </w:tcPr>
          <w:p w14:paraId="3E0BA829" w14:textId="77777777" w:rsidR="00AF6AC2" w:rsidRPr="00CA4AEA" w:rsidRDefault="00AF6AC2" w:rsidP="006A7B4C">
            <w:pPr>
              <w:jc w:val="right"/>
              <w:rPr>
                <w:noProof/>
                <w:color w:val="000000"/>
                <w:sz w:val="20"/>
                <w:szCs w:val="20"/>
              </w:rPr>
            </w:pPr>
            <w:r w:rsidRPr="00CA4AEA">
              <w:rPr>
                <w:noProof/>
                <w:color w:val="000000"/>
                <w:sz w:val="20"/>
                <w:szCs w:val="20"/>
              </w:rPr>
              <w:t>5%</w:t>
            </w:r>
          </w:p>
        </w:tc>
        <w:tc>
          <w:tcPr>
            <w:tcW w:w="469" w:type="pct"/>
            <w:shd w:val="clear" w:color="auto" w:fill="FFFFFF" w:themeFill="background1"/>
            <w:noWrap/>
            <w:vAlign w:val="bottom"/>
            <w:hideMark/>
          </w:tcPr>
          <w:p w14:paraId="603F0E3A" w14:textId="77777777" w:rsidR="00AF6AC2" w:rsidRPr="00CA4AEA" w:rsidRDefault="00AF6AC2" w:rsidP="006A7B4C">
            <w:pPr>
              <w:jc w:val="right"/>
              <w:rPr>
                <w:noProof/>
                <w:color w:val="000000"/>
                <w:sz w:val="20"/>
                <w:szCs w:val="20"/>
              </w:rPr>
            </w:pPr>
            <w:r w:rsidRPr="00CA4AEA">
              <w:rPr>
                <w:noProof/>
                <w:color w:val="000000"/>
                <w:sz w:val="20"/>
                <w:szCs w:val="20"/>
              </w:rPr>
              <w:t>23%</w:t>
            </w:r>
          </w:p>
        </w:tc>
        <w:tc>
          <w:tcPr>
            <w:tcW w:w="469" w:type="pct"/>
            <w:shd w:val="clear" w:color="auto" w:fill="FFFFFF" w:themeFill="background1"/>
            <w:noWrap/>
            <w:vAlign w:val="bottom"/>
            <w:hideMark/>
          </w:tcPr>
          <w:p w14:paraId="6E119F09" w14:textId="77777777" w:rsidR="00AF6AC2" w:rsidRPr="00CA4AEA" w:rsidRDefault="00AF6AC2" w:rsidP="006A7B4C">
            <w:pPr>
              <w:jc w:val="right"/>
              <w:rPr>
                <w:noProof/>
                <w:color w:val="000000"/>
                <w:sz w:val="20"/>
                <w:szCs w:val="20"/>
              </w:rPr>
            </w:pPr>
            <w:r w:rsidRPr="00CA4AEA">
              <w:rPr>
                <w:noProof/>
                <w:color w:val="000000"/>
                <w:sz w:val="20"/>
                <w:szCs w:val="20"/>
              </w:rPr>
              <w:t>23%</w:t>
            </w:r>
          </w:p>
        </w:tc>
      </w:tr>
      <w:tr w:rsidR="00AF6AC2" w:rsidRPr="000C2275" w14:paraId="4C352E5F" w14:textId="77777777" w:rsidTr="006A7B4C">
        <w:trPr>
          <w:trHeight w:val="255"/>
        </w:trPr>
        <w:tc>
          <w:tcPr>
            <w:tcW w:w="1613" w:type="pct"/>
            <w:shd w:val="clear" w:color="auto" w:fill="FFFFFF" w:themeFill="background1"/>
            <w:noWrap/>
            <w:vAlign w:val="bottom"/>
            <w:hideMark/>
          </w:tcPr>
          <w:p w14:paraId="1B6E91A0" w14:textId="77777777" w:rsidR="00AF6AC2" w:rsidRPr="00CA4AEA" w:rsidRDefault="00AF6AC2" w:rsidP="006A7B4C">
            <w:pPr>
              <w:rPr>
                <w:noProof/>
                <w:sz w:val="20"/>
                <w:szCs w:val="20"/>
              </w:rPr>
            </w:pPr>
            <w:r w:rsidRPr="00CA4AEA">
              <w:rPr>
                <w:noProof/>
                <w:sz w:val="20"/>
                <w:szCs w:val="20"/>
              </w:rPr>
              <w:t>PO1</w:t>
            </w:r>
          </w:p>
        </w:tc>
        <w:tc>
          <w:tcPr>
            <w:tcW w:w="1509" w:type="pct"/>
            <w:shd w:val="clear" w:color="auto" w:fill="FFFFFF" w:themeFill="background1"/>
            <w:noWrap/>
            <w:vAlign w:val="bottom"/>
            <w:hideMark/>
          </w:tcPr>
          <w:p w14:paraId="7BD572F3" w14:textId="77777777" w:rsidR="00AF6AC2" w:rsidRPr="00CA4AEA" w:rsidRDefault="00AF6AC2" w:rsidP="006A7B4C">
            <w:pPr>
              <w:rPr>
                <w:noProof/>
                <w:sz w:val="20"/>
                <w:szCs w:val="20"/>
              </w:rPr>
            </w:pPr>
            <w:r w:rsidRPr="00CA4AEA">
              <w:rPr>
                <w:noProof/>
                <w:sz w:val="20"/>
                <w:szCs w:val="20"/>
              </w:rPr>
              <w:t>Planned adopter</w:t>
            </w:r>
          </w:p>
        </w:tc>
        <w:tc>
          <w:tcPr>
            <w:tcW w:w="469" w:type="pct"/>
            <w:shd w:val="clear" w:color="auto" w:fill="FFFFFF" w:themeFill="background1"/>
            <w:noWrap/>
            <w:vAlign w:val="bottom"/>
            <w:hideMark/>
          </w:tcPr>
          <w:p w14:paraId="46A7CD96" w14:textId="77777777" w:rsidR="00AF6AC2" w:rsidRPr="00CA4AEA" w:rsidRDefault="00AF6AC2" w:rsidP="006A7B4C">
            <w:pPr>
              <w:jc w:val="right"/>
              <w:rPr>
                <w:noProof/>
                <w:color w:val="000000"/>
                <w:sz w:val="20"/>
                <w:szCs w:val="20"/>
              </w:rPr>
            </w:pPr>
            <w:r w:rsidRPr="00CA4AEA">
              <w:rPr>
                <w:noProof/>
                <w:color w:val="000000"/>
                <w:sz w:val="20"/>
                <w:szCs w:val="20"/>
              </w:rPr>
              <w:t>0%</w:t>
            </w:r>
          </w:p>
        </w:tc>
        <w:tc>
          <w:tcPr>
            <w:tcW w:w="469" w:type="pct"/>
            <w:shd w:val="clear" w:color="auto" w:fill="FFFFFF" w:themeFill="background1"/>
            <w:noWrap/>
            <w:vAlign w:val="bottom"/>
            <w:hideMark/>
          </w:tcPr>
          <w:p w14:paraId="2E86D054" w14:textId="77777777" w:rsidR="00AF6AC2" w:rsidRPr="00CA4AEA" w:rsidRDefault="00AF6AC2" w:rsidP="006A7B4C">
            <w:pPr>
              <w:jc w:val="right"/>
              <w:rPr>
                <w:noProof/>
                <w:color w:val="000000"/>
                <w:sz w:val="20"/>
                <w:szCs w:val="20"/>
              </w:rPr>
            </w:pPr>
            <w:r w:rsidRPr="00CA4AEA">
              <w:rPr>
                <w:noProof/>
                <w:color w:val="000000"/>
                <w:sz w:val="20"/>
                <w:szCs w:val="20"/>
              </w:rPr>
              <w:t>4%</w:t>
            </w:r>
          </w:p>
        </w:tc>
        <w:tc>
          <w:tcPr>
            <w:tcW w:w="469" w:type="pct"/>
            <w:shd w:val="clear" w:color="auto" w:fill="FFFFFF" w:themeFill="background1"/>
            <w:noWrap/>
            <w:vAlign w:val="bottom"/>
            <w:hideMark/>
          </w:tcPr>
          <w:p w14:paraId="04F30262" w14:textId="77777777" w:rsidR="00AF6AC2" w:rsidRPr="00CA4AEA" w:rsidRDefault="00AF6AC2" w:rsidP="006A7B4C">
            <w:pPr>
              <w:jc w:val="right"/>
              <w:rPr>
                <w:noProof/>
                <w:color w:val="000000"/>
                <w:sz w:val="20"/>
                <w:szCs w:val="20"/>
              </w:rPr>
            </w:pPr>
            <w:r w:rsidRPr="00CA4AEA">
              <w:rPr>
                <w:noProof/>
                <w:color w:val="000000"/>
                <w:sz w:val="20"/>
                <w:szCs w:val="20"/>
              </w:rPr>
              <w:t>20%</w:t>
            </w:r>
          </w:p>
        </w:tc>
        <w:tc>
          <w:tcPr>
            <w:tcW w:w="469" w:type="pct"/>
            <w:shd w:val="clear" w:color="auto" w:fill="FFFFFF" w:themeFill="background1"/>
            <w:noWrap/>
            <w:vAlign w:val="bottom"/>
            <w:hideMark/>
          </w:tcPr>
          <w:p w14:paraId="79AF113C" w14:textId="77777777" w:rsidR="00AF6AC2" w:rsidRPr="00CA4AEA" w:rsidRDefault="00AF6AC2" w:rsidP="006A7B4C">
            <w:pPr>
              <w:jc w:val="right"/>
              <w:rPr>
                <w:noProof/>
                <w:color w:val="000000"/>
                <w:sz w:val="20"/>
                <w:szCs w:val="20"/>
              </w:rPr>
            </w:pPr>
            <w:r w:rsidRPr="00CA4AEA">
              <w:rPr>
                <w:noProof/>
                <w:color w:val="000000"/>
                <w:sz w:val="20"/>
                <w:szCs w:val="20"/>
              </w:rPr>
              <w:t>20%</w:t>
            </w:r>
          </w:p>
        </w:tc>
      </w:tr>
      <w:tr w:rsidR="00AF6AC2" w:rsidRPr="000C2275" w14:paraId="345319F2" w14:textId="77777777" w:rsidTr="006A7B4C">
        <w:trPr>
          <w:trHeight w:val="255"/>
        </w:trPr>
        <w:tc>
          <w:tcPr>
            <w:tcW w:w="1613" w:type="pct"/>
            <w:shd w:val="clear" w:color="auto" w:fill="FFFFFF" w:themeFill="background1"/>
            <w:noWrap/>
            <w:vAlign w:val="bottom"/>
            <w:hideMark/>
          </w:tcPr>
          <w:p w14:paraId="2F40CADB" w14:textId="77777777" w:rsidR="00AF6AC2" w:rsidRPr="00CA4AEA" w:rsidRDefault="00AF6AC2" w:rsidP="006A7B4C">
            <w:pPr>
              <w:rPr>
                <w:noProof/>
                <w:sz w:val="20"/>
                <w:szCs w:val="20"/>
              </w:rPr>
            </w:pPr>
            <w:r w:rsidRPr="00CA4AEA">
              <w:rPr>
                <w:noProof/>
                <w:sz w:val="20"/>
                <w:szCs w:val="20"/>
              </w:rPr>
              <w:t>PO1</w:t>
            </w:r>
          </w:p>
        </w:tc>
        <w:tc>
          <w:tcPr>
            <w:tcW w:w="1509" w:type="pct"/>
            <w:shd w:val="clear" w:color="auto" w:fill="FFFFFF" w:themeFill="background1"/>
            <w:noWrap/>
            <w:vAlign w:val="bottom"/>
            <w:hideMark/>
          </w:tcPr>
          <w:p w14:paraId="63B2ECF4" w14:textId="77777777" w:rsidR="00AF6AC2" w:rsidRPr="00CA4AEA" w:rsidRDefault="00AF6AC2" w:rsidP="006A7B4C">
            <w:pPr>
              <w:rPr>
                <w:noProof/>
                <w:sz w:val="20"/>
                <w:szCs w:val="20"/>
              </w:rPr>
            </w:pPr>
            <w:r w:rsidRPr="00CA4AEA">
              <w:rPr>
                <w:noProof/>
                <w:sz w:val="20"/>
                <w:szCs w:val="20"/>
              </w:rPr>
              <w:t>Follower</w:t>
            </w:r>
          </w:p>
        </w:tc>
        <w:tc>
          <w:tcPr>
            <w:tcW w:w="469" w:type="pct"/>
            <w:shd w:val="clear" w:color="auto" w:fill="FFFFFF" w:themeFill="background1"/>
            <w:noWrap/>
            <w:vAlign w:val="bottom"/>
            <w:hideMark/>
          </w:tcPr>
          <w:p w14:paraId="62392BB9" w14:textId="77777777" w:rsidR="00AF6AC2" w:rsidRPr="00CA4AEA" w:rsidRDefault="00AF6AC2" w:rsidP="006A7B4C">
            <w:pPr>
              <w:jc w:val="right"/>
              <w:rPr>
                <w:noProof/>
                <w:color w:val="000000"/>
                <w:sz w:val="20"/>
                <w:szCs w:val="20"/>
              </w:rPr>
            </w:pPr>
            <w:r w:rsidRPr="00CA4AEA">
              <w:rPr>
                <w:noProof/>
                <w:color w:val="000000"/>
                <w:sz w:val="20"/>
                <w:szCs w:val="20"/>
              </w:rPr>
              <w:t>0%</w:t>
            </w:r>
          </w:p>
        </w:tc>
        <w:tc>
          <w:tcPr>
            <w:tcW w:w="469" w:type="pct"/>
            <w:shd w:val="clear" w:color="auto" w:fill="FFFFFF" w:themeFill="background1"/>
            <w:noWrap/>
            <w:vAlign w:val="bottom"/>
            <w:hideMark/>
          </w:tcPr>
          <w:p w14:paraId="464F454D" w14:textId="77777777" w:rsidR="00AF6AC2" w:rsidRPr="00CA4AEA" w:rsidRDefault="00AF6AC2" w:rsidP="006A7B4C">
            <w:pPr>
              <w:jc w:val="right"/>
              <w:rPr>
                <w:noProof/>
                <w:color w:val="000000"/>
                <w:sz w:val="20"/>
                <w:szCs w:val="20"/>
              </w:rPr>
            </w:pPr>
            <w:r w:rsidRPr="00CA4AEA">
              <w:rPr>
                <w:noProof/>
                <w:color w:val="000000"/>
                <w:sz w:val="20"/>
                <w:szCs w:val="20"/>
              </w:rPr>
              <w:t>4%</w:t>
            </w:r>
          </w:p>
        </w:tc>
        <w:tc>
          <w:tcPr>
            <w:tcW w:w="469" w:type="pct"/>
            <w:shd w:val="clear" w:color="auto" w:fill="FFFFFF" w:themeFill="background1"/>
            <w:noWrap/>
            <w:vAlign w:val="bottom"/>
            <w:hideMark/>
          </w:tcPr>
          <w:p w14:paraId="6A2286CB" w14:textId="77777777" w:rsidR="00AF6AC2" w:rsidRPr="00CA4AEA" w:rsidRDefault="00AF6AC2" w:rsidP="006A7B4C">
            <w:pPr>
              <w:jc w:val="right"/>
              <w:rPr>
                <w:noProof/>
                <w:color w:val="000000"/>
                <w:sz w:val="20"/>
                <w:szCs w:val="20"/>
              </w:rPr>
            </w:pPr>
            <w:r w:rsidRPr="00CA4AEA">
              <w:rPr>
                <w:noProof/>
                <w:color w:val="000000"/>
                <w:sz w:val="20"/>
                <w:szCs w:val="20"/>
              </w:rPr>
              <w:t>20%</w:t>
            </w:r>
          </w:p>
        </w:tc>
        <w:tc>
          <w:tcPr>
            <w:tcW w:w="469" w:type="pct"/>
            <w:shd w:val="clear" w:color="auto" w:fill="FFFFFF" w:themeFill="background1"/>
            <w:noWrap/>
            <w:vAlign w:val="bottom"/>
            <w:hideMark/>
          </w:tcPr>
          <w:p w14:paraId="499A0232" w14:textId="77777777" w:rsidR="00AF6AC2" w:rsidRPr="00CA4AEA" w:rsidRDefault="00AF6AC2" w:rsidP="006A7B4C">
            <w:pPr>
              <w:jc w:val="right"/>
              <w:rPr>
                <w:noProof/>
                <w:color w:val="000000"/>
                <w:sz w:val="20"/>
                <w:szCs w:val="20"/>
              </w:rPr>
            </w:pPr>
            <w:r w:rsidRPr="00CA4AEA">
              <w:rPr>
                <w:noProof/>
                <w:color w:val="000000"/>
                <w:sz w:val="20"/>
                <w:szCs w:val="20"/>
              </w:rPr>
              <w:t>20%</w:t>
            </w:r>
          </w:p>
        </w:tc>
      </w:tr>
      <w:tr w:rsidR="00AF6AC2" w:rsidRPr="000C2275" w14:paraId="0F5FE002" w14:textId="77777777" w:rsidTr="006A7B4C">
        <w:trPr>
          <w:trHeight w:val="255"/>
        </w:trPr>
        <w:tc>
          <w:tcPr>
            <w:tcW w:w="1613" w:type="pct"/>
            <w:shd w:val="clear" w:color="auto" w:fill="FFFFFF" w:themeFill="background1"/>
            <w:noWrap/>
            <w:vAlign w:val="bottom"/>
            <w:hideMark/>
          </w:tcPr>
          <w:p w14:paraId="73173453" w14:textId="77777777" w:rsidR="00AF6AC2" w:rsidRPr="00CA4AEA" w:rsidRDefault="00AF6AC2" w:rsidP="006A7B4C">
            <w:pPr>
              <w:rPr>
                <w:noProof/>
                <w:sz w:val="20"/>
                <w:szCs w:val="20"/>
              </w:rPr>
            </w:pPr>
            <w:r w:rsidRPr="00CA4AEA">
              <w:rPr>
                <w:noProof/>
                <w:sz w:val="20"/>
                <w:szCs w:val="20"/>
              </w:rPr>
              <w:t>PO2</w:t>
            </w:r>
          </w:p>
        </w:tc>
        <w:tc>
          <w:tcPr>
            <w:tcW w:w="1509" w:type="pct"/>
            <w:shd w:val="clear" w:color="auto" w:fill="FFFFFF" w:themeFill="background1"/>
            <w:noWrap/>
            <w:vAlign w:val="bottom"/>
            <w:hideMark/>
          </w:tcPr>
          <w:p w14:paraId="5C3F4511" w14:textId="77777777" w:rsidR="00AF6AC2" w:rsidRPr="00CA4AEA" w:rsidRDefault="00AF6AC2" w:rsidP="006A7B4C">
            <w:pPr>
              <w:rPr>
                <w:noProof/>
                <w:sz w:val="20"/>
                <w:szCs w:val="20"/>
              </w:rPr>
            </w:pPr>
            <w:r w:rsidRPr="00CA4AEA">
              <w:rPr>
                <w:noProof/>
                <w:sz w:val="20"/>
                <w:szCs w:val="20"/>
              </w:rPr>
              <w:t>Leader</w:t>
            </w:r>
          </w:p>
        </w:tc>
        <w:tc>
          <w:tcPr>
            <w:tcW w:w="469" w:type="pct"/>
            <w:shd w:val="clear" w:color="auto" w:fill="FFFFFF" w:themeFill="background1"/>
            <w:noWrap/>
            <w:vAlign w:val="bottom"/>
            <w:hideMark/>
          </w:tcPr>
          <w:p w14:paraId="02499331" w14:textId="77777777" w:rsidR="00AF6AC2" w:rsidRPr="00CA4AEA" w:rsidRDefault="00AF6AC2" w:rsidP="006A7B4C">
            <w:pPr>
              <w:jc w:val="right"/>
              <w:rPr>
                <w:noProof/>
                <w:color w:val="000000"/>
                <w:sz w:val="20"/>
                <w:szCs w:val="20"/>
              </w:rPr>
            </w:pPr>
            <w:r w:rsidRPr="00CA4AEA">
              <w:rPr>
                <w:noProof/>
                <w:color w:val="000000"/>
                <w:sz w:val="20"/>
                <w:szCs w:val="20"/>
              </w:rPr>
              <w:t>0%</w:t>
            </w:r>
          </w:p>
        </w:tc>
        <w:tc>
          <w:tcPr>
            <w:tcW w:w="469" w:type="pct"/>
            <w:shd w:val="clear" w:color="auto" w:fill="FFFFFF" w:themeFill="background1"/>
            <w:noWrap/>
            <w:vAlign w:val="bottom"/>
            <w:hideMark/>
          </w:tcPr>
          <w:p w14:paraId="5BA0757F" w14:textId="77777777" w:rsidR="00AF6AC2" w:rsidRPr="00CA4AEA" w:rsidRDefault="00AF6AC2" w:rsidP="006A7B4C">
            <w:pPr>
              <w:jc w:val="right"/>
              <w:rPr>
                <w:noProof/>
                <w:color w:val="000000"/>
                <w:sz w:val="20"/>
                <w:szCs w:val="20"/>
              </w:rPr>
            </w:pPr>
            <w:r w:rsidRPr="00CA4AEA">
              <w:rPr>
                <w:noProof/>
                <w:color w:val="000000"/>
                <w:sz w:val="20"/>
                <w:szCs w:val="20"/>
              </w:rPr>
              <w:t>8%</w:t>
            </w:r>
          </w:p>
        </w:tc>
        <w:tc>
          <w:tcPr>
            <w:tcW w:w="469" w:type="pct"/>
            <w:shd w:val="clear" w:color="auto" w:fill="FFFFFF" w:themeFill="background1"/>
            <w:noWrap/>
            <w:vAlign w:val="bottom"/>
            <w:hideMark/>
          </w:tcPr>
          <w:p w14:paraId="35C879E8" w14:textId="77777777" w:rsidR="00AF6AC2" w:rsidRPr="00CA4AEA" w:rsidRDefault="00AF6AC2" w:rsidP="006A7B4C">
            <w:pPr>
              <w:jc w:val="right"/>
              <w:rPr>
                <w:noProof/>
                <w:color w:val="000000"/>
                <w:sz w:val="20"/>
                <w:szCs w:val="20"/>
              </w:rPr>
            </w:pPr>
            <w:r w:rsidRPr="00CA4AEA">
              <w:rPr>
                <w:noProof/>
                <w:color w:val="000000"/>
                <w:sz w:val="20"/>
                <w:szCs w:val="20"/>
              </w:rPr>
              <w:t>80%</w:t>
            </w:r>
          </w:p>
        </w:tc>
        <w:tc>
          <w:tcPr>
            <w:tcW w:w="469" w:type="pct"/>
            <w:shd w:val="clear" w:color="auto" w:fill="FFFFFF" w:themeFill="background1"/>
            <w:noWrap/>
            <w:vAlign w:val="bottom"/>
            <w:hideMark/>
          </w:tcPr>
          <w:p w14:paraId="66F991EB" w14:textId="77777777" w:rsidR="00AF6AC2" w:rsidRPr="00CA4AEA" w:rsidRDefault="00AF6AC2" w:rsidP="006A7B4C">
            <w:pPr>
              <w:jc w:val="right"/>
              <w:rPr>
                <w:noProof/>
                <w:color w:val="000000"/>
                <w:sz w:val="20"/>
                <w:szCs w:val="20"/>
              </w:rPr>
            </w:pPr>
            <w:r w:rsidRPr="00CA4AEA">
              <w:rPr>
                <w:noProof/>
                <w:color w:val="000000"/>
                <w:sz w:val="20"/>
                <w:szCs w:val="20"/>
              </w:rPr>
              <w:t>68%</w:t>
            </w:r>
          </w:p>
        </w:tc>
      </w:tr>
      <w:tr w:rsidR="00AF6AC2" w:rsidRPr="000C2275" w14:paraId="261B1628" w14:textId="77777777" w:rsidTr="006A7B4C">
        <w:trPr>
          <w:trHeight w:val="255"/>
        </w:trPr>
        <w:tc>
          <w:tcPr>
            <w:tcW w:w="1613" w:type="pct"/>
            <w:shd w:val="clear" w:color="auto" w:fill="FFFFFF" w:themeFill="background1"/>
            <w:noWrap/>
            <w:vAlign w:val="bottom"/>
            <w:hideMark/>
          </w:tcPr>
          <w:p w14:paraId="6C2154F6" w14:textId="77777777" w:rsidR="00AF6AC2" w:rsidRPr="00CA4AEA" w:rsidRDefault="00AF6AC2" w:rsidP="006A7B4C">
            <w:pPr>
              <w:rPr>
                <w:noProof/>
                <w:sz w:val="20"/>
                <w:szCs w:val="20"/>
              </w:rPr>
            </w:pPr>
            <w:r w:rsidRPr="00CA4AEA">
              <w:rPr>
                <w:noProof/>
                <w:sz w:val="20"/>
                <w:szCs w:val="20"/>
              </w:rPr>
              <w:t>PO2</w:t>
            </w:r>
          </w:p>
        </w:tc>
        <w:tc>
          <w:tcPr>
            <w:tcW w:w="1509" w:type="pct"/>
            <w:shd w:val="clear" w:color="auto" w:fill="FFFFFF" w:themeFill="background1"/>
            <w:noWrap/>
            <w:vAlign w:val="bottom"/>
            <w:hideMark/>
          </w:tcPr>
          <w:p w14:paraId="55C54FF6" w14:textId="77777777" w:rsidR="00AF6AC2" w:rsidRPr="00CA4AEA" w:rsidRDefault="00AF6AC2" w:rsidP="006A7B4C">
            <w:pPr>
              <w:rPr>
                <w:noProof/>
                <w:sz w:val="20"/>
                <w:szCs w:val="20"/>
              </w:rPr>
            </w:pPr>
            <w:r w:rsidRPr="00CA4AEA">
              <w:rPr>
                <w:noProof/>
                <w:sz w:val="20"/>
                <w:szCs w:val="20"/>
              </w:rPr>
              <w:t>Planned adopter</w:t>
            </w:r>
          </w:p>
        </w:tc>
        <w:tc>
          <w:tcPr>
            <w:tcW w:w="469" w:type="pct"/>
            <w:shd w:val="clear" w:color="auto" w:fill="FFFFFF" w:themeFill="background1"/>
            <w:noWrap/>
            <w:vAlign w:val="bottom"/>
            <w:hideMark/>
          </w:tcPr>
          <w:p w14:paraId="0D996E1B" w14:textId="77777777" w:rsidR="00AF6AC2" w:rsidRPr="00CA4AEA" w:rsidRDefault="00AF6AC2" w:rsidP="006A7B4C">
            <w:pPr>
              <w:jc w:val="right"/>
              <w:rPr>
                <w:noProof/>
                <w:color w:val="000000"/>
                <w:sz w:val="20"/>
                <w:szCs w:val="20"/>
              </w:rPr>
            </w:pPr>
            <w:r w:rsidRPr="00CA4AEA">
              <w:rPr>
                <w:noProof/>
                <w:color w:val="000000"/>
                <w:sz w:val="20"/>
                <w:szCs w:val="20"/>
              </w:rPr>
              <w:t>0%</w:t>
            </w:r>
          </w:p>
        </w:tc>
        <w:tc>
          <w:tcPr>
            <w:tcW w:w="469" w:type="pct"/>
            <w:shd w:val="clear" w:color="auto" w:fill="FFFFFF" w:themeFill="background1"/>
            <w:noWrap/>
            <w:vAlign w:val="bottom"/>
            <w:hideMark/>
          </w:tcPr>
          <w:p w14:paraId="5221BE33" w14:textId="77777777" w:rsidR="00AF6AC2" w:rsidRPr="00CA4AEA" w:rsidRDefault="00AF6AC2" w:rsidP="006A7B4C">
            <w:pPr>
              <w:jc w:val="right"/>
              <w:rPr>
                <w:noProof/>
                <w:color w:val="000000"/>
                <w:sz w:val="20"/>
                <w:szCs w:val="20"/>
              </w:rPr>
            </w:pPr>
            <w:r w:rsidRPr="00CA4AEA">
              <w:rPr>
                <w:noProof/>
                <w:color w:val="000000"/>
                <w:sz w:val="20"/>
                <w:szCs w:val="20"/>
              </w:rPr>
              <w:t>10%</w:t>
            </w:r>
          </w:p>
        </w:tc>
        <w:tc>
          <w:tcPr>
            <w:tcW w:w="469" w:type="pct"/>
            <w:shd w:val="clear" w:color="auto" w:fill="FFFFFF" w:themeFill="background1"/>
            <w:noWrap/>
            <w:vAlign w:val="bottom"/>
            <w:hideMark/>
          </w:tcPr>
          <w:p w14:paraId="738A93CC" w14:textId="77777777" w:rsidR="00AF6AC2" w:rsidRPr="00CA4AEA" w:rsidRDefault="00AF6AC2" w:rsidP="006A7B4C">
            <w:pPr>
              <w:jc w:val="right"/>
              <w:rPr>
                <w:noProof/>
                <w:color w:val="000000"/>
                <w:sz w:val="20"/>
                <w:szCs w:val="20"/>
              </w:rPr>
            </w:pPr>
            <w:r w:rsidRPr="00CA4AEA">
              <w:rPr>
                <w:noProof/>
                <w:color w:val="000000"/>
                <w:sz w:val="20"/>
                <w:szCs w:val="20"/>
              </w:rPr>
              <w:t>91%</w:t>
            </w:r>
          </w:p>
        </w:tc>
        <w:tc>
          <w:tcPr>
            <w:tcW w:w="469" w:type="pct"/>
            <w:shd w:val="clear" w:color="auto" w:fill="FFFFFF" w:themeFill="background1"/>
            <w:noWrap/>
            <w:vAlign w:val="bottom"/>
            <w:hideMark/>
          </w:tcPr>
          <w:p w14:paraId="2655012E" w14:textId="77777777" w:rsidR="00AF6AC2" w:rsidRPr="00CA4AEA" w:rsidRDefault="00AF6AC2" w:rsidP="006A7B4C">
            <w:pPr>
              <w:jc w:val="right"/>
              <w:rPr>
                <w:noProof/>
                <w:color w:val="000000"/>
                <w:sz w:val="20"/>
                <w:szCs w:val="20"/>
              </w:rPr>
            </w:pPr>
            <w:r w:rsidRPr="00CA4AEA">
              <w:rPr>
                <w:noProof/>
                <w:color w:val="000000"/>
                <w:sz w:val="20"/>
                <w:szCs w:val="20"/>
              </w:rPr>
              <w:t>78%</w:t>
            </w:r>
          </w:p>
        </w:tc>
      </w:tr>
      <w:tr w:rsidR="00AF6AC2" w:rsidRPr="000C2275" w14:paraId="1D6227E1" w14:textId="77777777" w:rsidTr="006A7B4C">
        <w:trPr>
          <w:trHeight w:val="255"/>
        </w:trPr>
        <w:tc>
          <w:tcPr>
            <w:tcW w:w="1613" w:type="pct"/>
            <w:shd w:val="clear" w:color="auto" w:fill="FFFFFF" w:themeFill="background1"/>
            <w:noWrap/>
            <w:vAlign w:val="bottom"/>
            <w:hideMark/>
          </w:tcPr>
          <w:p w14:paraId="782DCB34" w14:textId="77777777" w:rsidR="00AF6AC2" w:rsidRPr="00CA4AEA" w:rsidRDefault="00AF6AC2" w:rsidP="006A7B4C">
            <w:pPr>
              <w:rPr>
                <w:noProof/>
                <w:sz w:val="20"/>
                <w:szCs w:val="20"/>
              </w:rPr>
            </w:pPr>
            <w:r w:rsidRPr="00CA4AEA">
              <w:rPr>
                <w:noProof/>
                <w:sz w:val="20"/>
                <w:szCs w:val="20"/>
              </w:rPr>
              <w:t>PO2</w:t>
            </w:r>
          </w:p>
        </w:tc>
        <w:tc>
          <w:tcPr>
            <w:tcW w:w="1509" w:type="pct"/>
            <w:shd w:val="clear" w:color="auto" w:fill="FFFFFF" w:themeFill="background1"/>
            <w:noWrap/>
            <w:vAlign w:val="bottom"/>
            <w:hideMark/>
          </w:tcPr>
          <w:p w14:paraId="0FD97F75" w14:textId="77777777" w:rsidR="00AF6AC2" w:rsidRPr="00CA4AEA" w:rsidRDefault="00AF6AC2" w:rsidP="006A7B4C">
            <w:pPr>
              <w:rPr>
                <w:noProof/>
                <w:sz w:val="20"/>
                <w:szCs w:val="20"/>
              </w:rPr>
            </w:pPr>
            <w:r w:rsidRPr="00CA4AEA">
              <w:rPr>
                <w:noProof/>
                <w:sz w:val="20"/>
                <w:szCs w:val="20"/>
              </w:rPr>
              <w:t>Follower</w:t>
            </w:r>
          </w:p>
        </w:tc>
        <w:tc>
          <w:tcPr>
            <w:tcW w:w="469" w:type="pct"/>
            <w:shd w:val="clear" w:color="auto" w:fill="FFFFFF" w:themeFill="background1"/>
            <w:noWrap/>
            <w:vAlign w:val="bottom"/>
            <w:hideMark/>
          </w:tcPr>
          <w:p w14:paraId="25FB5ED5" w14:textId="77777777" w:rsidR="00AF6AC2" w:rsidRPr="00CA4AEA" w:rsidRDefault="00AF6AC2" w:rsidP="006A7B4C">
            <w:pPr>
              <w:jc w:val="right"/>
              <w:rPr>
                <w:noProof/>
                <w:color w:val="000000"/>
                <w:sz w:val="20"/>
                <w:szCs w:val="20"/>
              </w:rPr>
            </w:pPr>
            <w:r w:rsidRPr="00CA4AEA">
              <w:rPr>
                <w:noProof/>
                <w:color w:val="000000"/>
                <w:sz w:val="20"/>
                <w:szCs w:val="20"/>
              </w:rPr>
              <w:t>0%</w:t>
            </w:r>
          </w:p>
        </w:tc>
        <w:tc>
          <w:tcPr>
            <w:tcW w:w="469" w:type="pct"/>
            <w:shd w:val="clear" w:color="auto" w:fill="FFFFFF" w:themeFill="background1"/>
            <w:noWrap/>
            <w:vAlign w:val="bottom"/>
            <w:hideMark/>
          </w:tcPr>
          <w:p w14:paraId="3771D51D" w14:textId="77777777" w:rsidR="00AF6AC2" w:rsidRPr="00CA4AEA" w:rsidRDefault="00AF6AC2" w:rsidP="006A7B4C">
            <w:pPr>
              <w:jc w:val="right"/>
              <w:rPr>
                <w:noProof/>
                <w:color w:val="000000"/>
                <w:sz w:val="20"/>
                <w:szCs w:val="20"/>
              </w:rPr>
            </w:pPr>
            <w:r w:rsidRPr="00CA4AEA">
              <w:rPr>
                <w:noProof/>
                <w:color w:val="000000"/>
                <w:sz w:val="20"/>
                <w:szCs w:val="20"/>
              </w:rPr>
              <w:t>10%</w:t>
            </w:r>
          </w:p>
        </w:tc>
        <w:tc>
          <w:tcPr>
            <w:tcW w:w="469" w:type="pct"/>
            <w:shd w:val="clear" w:color="auto" w:fill="FFFFFF" w:themeFill="background1"/>
            <w:noWrap/>
            <w:vAlign w:val="bottom"/>
            <w:hideMark/>
          </w:tcPr>
          <w:p w14:paraId="25099B2B" w14:textId="77777777" w:rsidR="00AF6AC2" w:rsidRPr="00CA4AEA" w:rsidRDefault="00AF6AC2" w:rsidP="006A7B4C">
            <w:pPr>
              <w:jc w:val="right"/>
              <w:rPr>
                <w:noProof/>
                <w:color w:val="000000"/>
                <w:sz w:val="20"/>
                <w:szCs w:val="20"/>
              </w:rPr>
            </w:pPr>
            <w:r w:rsidRPr="00CA4AEA">
              <w:rPr>
                <w:noProof/>
                <w:color w:val="000000"/>
                <w:sz w:val="20"/>
                <w:szCs w:val="20"/>
              </w:rPr>
              <w:t>91%</w:t>
            </w:r>
          </w:p>
        </w:tc>
        <w:tc>
          <w:tcPr>
            <w:tcW w:w="469" w:type="pct"/>
            <w:shd w:val="clear" w:color="auto" w:fill="FFFFFF" w:themeFill="background1"/>
            <w:noWrap/>
            <w:vAlign w:val="bottom"/>
            <w:hideMark/>
          </w:tcPr>
          <w:p w14:paraId="7C928E18" w14:textId="77777777" w:rsidR="00AF6AC2" w:rsidRPr="00CA4AEA" w:rsidRDefault="00AF6AC2" w:rsidP="006A7B4C">
            <w:pPr>
              <w:jc w:val="right"/>
              <w:rPr>
                <w:noProof/>
                <w:color w:val="000000"/>
                <w:sz w:val="20"/>
                <w:szCs w:val="20"/>
              </w:rPr>
            </w:pPr>
            <w:r w:rsidRPr="00CA4AEA">
              <w:rPr>
                <w:noProof/>
                <w:color w:val="000000"/>
                <w:sz w:val="20"/>
                <w:szCs w:val="20"/>
              </w:rPr>
              <w:t>78%</w:t>
            </w:r>
          </w:p>
        </w:tc>
      </w:tr>
      <w:tr w:rsidR="00AF6AC2" w:rsidRPr="000C2275" w14:paraId="3CCC1C26" w14:textId="77777777" w:rsidTr="006A7B4C">
        <w:trPr>
          <w:trHeight w:val="255"/>
        </w:trPr>
        <w:tc>
          <w:tcPr>
            <w:tcW w:w="1613" w:type="pct"/>
            <w:shd w:val="clear" w:color="auto" w:fill="FFFFFF" w:themeFill="background1"/>
            <w:noWrap/>
            <w:vAlign w:val="bottom"/>
            <w:hideMark/>
          </w:tcPr>
          <w:p w14:paraId="59A0B1A3" w14:textId="77777777" w:rsidR="00AF6AC2" w:rsidRPr="00CA4AEA" w:rsidRDefault="00AF6AC2" w:rsidP="006A7B4C">
            <w:pPr>
              <w:rPr>
                <w:noProof/>
                <w:sz w:val="20"/>
                <w:szCs w:val="20"/>
              </w:rPr>
            </w:pPr>
            <w:r w:rsidRPr="00CA4AEA">
              <w:rPr>
                <w:noProof/>
                <w:sz w:val="20"/>
                <w:szCs w:val="20"/>
              </w:rPr>
              <w:t>PO3</w:t>
            </w:r>
          </w:p>
        </w:tc>
        <w:tc>
          <w:tcPr>
            <w:tcW w:w="1509" w:type="pct"/>
            <w:shd w:val="clear" w:color="auto" w:fill="FFFFFF" w:themeFill="background1"/>
            <w:noWrap/>
            <w:vAlign w:val="bottom"/>
            <w:hideMark/>
          </w:tcPr>
          <w:p w14:paraId="04CB9E53" w14:textId="77777777" w:rsidR="00AF6AC2" w:rsidRPr="00CA4AEA" w:rsidRDefault="00AF6AC2" w:rsidP="006A7B4C">
            <w:pPr>
              <w:rPr>
                <w:noProof/>
                <w:sz w:val="20"/>
                <w:szCs w:val="20"/>
              </w:rPr>
            </w:pPr>
            <w:r w:rsidRPr="00CA4AEA">
              <w:rPr>
                <w:noProof/>
                <w:sz w:val="20"/>
                <w:szCs w:val="20"/>
              </w:rPr>
              <w:t>Leader</w:t>
            </w:r>
          </w:p>
        </w:tc>
        <w:tc>
          <w:tcPr>
            <w:tcW w:w="469" w:type="pct"/>
            <w:shd w:val="clear" w:color="auto" w:fill="FFFFFF" w:themeFill="background1"/>
            <w:noWrap/>
            <w:vAlign w:val="bottom"/>
            <w:hideMark/>
          </w:tcPr>
          <w:p w14:paraId="12857D0B" w14:textId="77777777" w:rsidR="00AF6AC2" w:rsidRPr="00CA4AEA" w:rsidRDefault="00AF6AC2" w:rsidP="006A7B4C">
            <w:pPr>
              <w:jc w:val="right"/>
              <w:rPr>
                <w:noProof/>
                <w:color w:val="000000"/>
                <w:sz w:val="20"/>
                <w:szCs w:val="20"/>
              </w:rPr>
            </w:pPr>
            <w:r w:rsidRPr="00CA4AEA">
              <w:rPr>
                <w:noProof/>
                <w:color w:val="000000"/>
                <w:sz w:val="20"/>
                <w:szCs w:val="20"/>
              </w:rPr>
              <w:t>0%</w:t>
            </w:r>
          </w:p>
        </w:tc>
        <w:tc>
          <w:tcPr>
            <w:tcW w:w="469" w:type="pct"/>
            <w:shd w:val="clear" w:color="auto" w:fill="FFFFFF" w:themeFill="background1"/>
            <w:noWrap/>
            <w:vAlign w:val="bottom"/>
            <w:hideMark/>
          </w:tcPr>
          <w:p w14:paraId="261ACCE4" w14:textId="77777777" w:rsidR="00AF6AC2" w:rsidRPr="00CA4AEA" w:rsidRDefault="00AF6AC2" w:rsidP="006A7B4C">
            <w:pPr>
              <w:jc w:val="right"/>
              <w:rPr>
                <w:noProof/>
                <w:color w:val="000000"/>
                <w:sz w:val="20"/>
                <w:szCs w:val="20"/>
              </w:rPr>
            </w:pPr>
            <w:r w:rsidRPr="00CA4AEA">
              <w:rPr>
                <w:noProof/>
                <w:color w:val="000000"/>
                <w:sz w:val="20"/>
                <w:szCs w:val="20"/>
              </w:rPr>
              <w:t>7%</w:t>
            </w:r>
          </w:p>
        </w:tc>
        <w:tc>
          <w:tcPr>
            <w:tcW w:w="469" w:type="pct"/>
            <w:shd w:val="clear" w:color="auto" w:fill="FFFFFF" w:themeFill="background1"/>
            <w:noWrap/>
            <w:vAlign w:val="bottom"/>
            <w:hideMark/>
          </w:tcPr>
          <w:p w14:paraId="6D32FBA6" w14:textId="77777777" w:rsidR="00AF6AC2" w:rsidRPr="00CA4AEA" w:rsidRDefault="00AF6AC2" w:rsidP="006A7B4C">
            <w:pPr>
              <w:jc w:val="right"/>
              <w:rPr>
                <w:noProof/>
                <w:color w:val="000000"/>
                <w:sz w:val="20"/>
                <w:szCs w:val="20"/>
              </w:rPr>
            </w:pPr>
            <w:r w:rsidRPr="00CA4AEA">
              <w:rPr>
                <w:noProof/>
                <w:color w:val="000000"/>
                <w:sz w:val="20"/>
                <w:szCs w:val="20"/>
              </w:rPr>
              <w:t>68%</w:t>
            </w:r>
          </w:p>
        </w:tc>
        <w:tc>
          <w:tcPr>
            <w:tcW w:w="469" w:type="pct"/>
            <w:shd w:val="clear" w:color="auto" w:fill="FFFFFF" w:themeFill="background1"/>
            <w:noWrap/>
            <w:vAlign w:val="bottom"/>
            <w:hideMark/>
          </w:tcPr>
          <w:p w14:paraId="57ED11AE" w14:textId="77777777" w:rsidR="00AF6AC2" w:rsidRPr="00CA4AEA" w:rsidRDefault="00AF6AC2" w:rsidP="006A7B4C">
            <w:pPr>
              <w:jc w:val="right"/>
              <w:rPr>
                <w:noProof/>
                <w:color w:val="000000"/>
                <w:sz w:val="20"/>
                <w:szCs w:val="20"/>
              </w:rPr>
            </w:pPr>
            <w:r w:rsidRPr="00CA4AEA">
              <w:rPr>
                <w:noProof/>
                <w:color w:val="000000"/>
                <w:sz w:val="20"/>
                <w:szCs w:val="20"/>
              </w:rPr>
              <w:t>68%</w:t>
            </w:r>
          </w:p>
        </w:tc>
      </w:tr>
      <w:tr w:rsidR="00AF6AC2" w:rsidRPr="000C2275" w14:paraId="57477B03" w14:textId="77777777" w:rsidTr="006A7B4C">
        <w:trPr>
          <w:trHeight w:val="255"/>
        </w:trPr>
        <w:tc>
          <w:tcPr>
            <w:tcW w:w="1613" w:type="pct"/>
            <w:shd w:val="clear" w:color="auto" w:fill="FFFFFF" w:themeFill="background1"/>
            <w:noWrap/>
            <w:vAlign w:val="bottom"/>
            <w:hideMark/>
          </w:tcPr>
          <w:p w14:paraId="7D60B2C5" w14:textId="77777777" w:rsidR="00AF6AC2" w:rsidRPr="00CA4AEA" w:rsidRDefault="00AF6AC2" w:rsidP="006A7B4C">
            <w:pPr>
              <w:rPr>
                <w:noProof/>
                <w:sz w:val="20"/>
                <w:szCs w:val="20"/>
              </w:rPr>
            </w:pPr>
            <w:r w:rsidRPr="00CA4AEA">
              <w:rPr>
                <w:noProof/>
                <w:sz w:val="20"/>
                <w:szCs w:val="20"/>
              </w:rPr>
              <w:t>PO3</w:t>
            </w:r>
          </w:p>
        </w:tc>
        <w:tc>
          <w:tcPr>
            <w:tcW w:w="1509" w:type="pct"/>
            <w:shd w:val="clear" w:color="auto" w:fill="FFFFFF" w:themeFill="background1"/>
            <w:noWrap/>
            <w:vAlign w:val="bottom"/>
            <w:hideMark/>
          </w:tcPr>
          <w:p w14:paraId="01B72F06" w14:textId="77777777" w:rsidR="00AF6AC2" w:rsidRPr="00CA4AEA" w:rsidRDefault="00AF6AC2" w:rsidP="006A7B4C">
            <w:pPr>
              <w:rPr>
                <w:noProof/>
                <w:sz w:val="20"/>
                <w:szCs w:val="20"/>
              </w:rPr>
            </w:pPr>
            <w:r w:rsidRPr="00CA4AEA">
              <w:rPr>
                <w:noProof/>
                <w:sz w:val="20"/>
                <w:szCs w:val="20"/>
              </w:rPr>
              <w:t>Planned adopter</w:t>
            </w:r>
          </w:p>
        </w:tc>
        <w:tc>
          <w:tcPr>
            <w:tcW w:w="469" w:type="pct"/>
            <w:shd w:val="clear" w:color="auto" w:fill="FFFFFF" w:themeFill="background1"/>
            <w:noWrap/>
            <w:vAlign w:val="bottom"/>
            <w:hideMark/>
          </w:tcPr>
          <w:p w14:paraId="6B93AB9B" w14:textId="77777777" w:rsidR="00AF6AC2" w:rsidRPr="00CA4AEA" w:rsidRDefault="00AF6AC2" w:rsidP="006A7B4C">
            <w:pPr>
              <w:jc w:val="right"/>
              <w:rPr>
                <w:noProof/>
                <w:color w:val="000000"/>
                <w:sz w:val="20"/>
                <w:szCs w:val="20"/>
              </w:rPr>
            </w:pPr>
            <w:r w:rsidRPr="00CA4AEA">
              <w:rPr>
                <w:noProof/>
                <w:color w:val="000000"/>
                <w:sz w:val="20"/>
                <w:szCs w:val="20"/>
              </w:rPr>
              <w:t>0%</w:t>
            </w:r>
          </w:p>
        </w:tc>
        <w:tc>
          <w:tcPr>
            <w:tcW w:w="469" w:type="pct"/>
            <w:shd w:val="clear" w:color="auto" w:fill="FFFFFF" w:themeFill="background1"/>
            <w:noWrap/>
            <w:vAlign w:val="bottom"/>
            <w:hideMark/>
          </w:tcPr>
          <w:p w14:paraId="1B2B3C85" w14:textId="77777777" w:rsidR="00AF6AC2" w:rsidRPr="00CA4AEA" w:rsidRDefault="00AF6AC2" w:rsidP="006A7B4C">
            <w:pPr>
              <w:jc w:val="right"/>
              <w:rPr>
                <w:noProof/>
                <w:color w:val="000000"/>
                <w:sz w:val="20"/>
                <w:szCs w:val="20"/>
              </w:rPr>
            </w:pPr>
            <w:r w:rsidRPr="00CA4AEA">
              <w:rPr>
                <w:noProof/>
                <w:color w:val="000000"/>
                <w:sz w:val="20"/>
                <w:szCs w:val="20"/>
              </w:rPr>
              <w:t>9%</w:t>
            </w:r>
          </w:p>
        </w:tc>
        <w:tc>
          <w:tcPr>
            <w:tcW w:w="469" w:type="pct"/>
            <w:shd w:val="clear" w:color="auto" w:fill="FFFFFF" w:themeFill="background1"/>
            <w:noWrap/>
            <w:vAlign w:val="bottom"/>
            <w:hideMark/>
          </w:tcPr>
          <w:p w14:paraId="64BD7163" w14:textId="77777777" w:rsidR="00AF6AC2" w:rsidRPr="00CA4AEA" w:rsidRDefault="00AF6AC2" w:rsidP="006A7B4C">
            <w:pPr>
              <w:jc w:val="right"/>
              <w:rPr>
                <w:noProof/>
                <w:color w:val="000000"/>
                <w:sz w:val="20"/>
                <w:szCs w:val="20"/>
              </w:rPr>
            </w:pPr>
            <w:r w:rsidRPr="00CA4AEA">
              <w:rPr>
                <w:noProof/>
                <w:color w:val="000000"/>
                <w:sz w:val="20"/>
                <w:szCs w:val="20"/>
              </w:rPr>
              <w:t>78%</w:t>
            </w:r>
          </w:p>
        </w:tc>
        <w:tc>
          <w:tcPr>
            <w:tcW w:w="469" w:type="pct"/>
            <w:shd w:val="clear" w:color="auto" w:fill="FFFFFF" w:themeFill="background1"/>
            <w:noWrap/>
            <w:vAlign w:val="bottom"/>
            <w:hideMark/>
          </w:tcPr>
          <w:p w14:paraId="52B3D036" w14:textId="77777777" w:rsidR="00AF6AC2" w:rsidRPr="00CA4AEA" w:rsidRDefault="00AF6AC2" w:rsidP="006A7B4C">
            <w:pPr>
              <w:jc w:val="right"/>
              <w:rPr>
                <w:noProof/>
                <w:color w:val="000000"/>
                <w:sz w:val="20"/>
                <w:szCs w:val="20"/>
              </w:rPr>
            </w:pPr>
            <w:r w:rsidRPr="00CA4AEA">
              <w:rPr>
                <w:noProof/>
                <w:color w:val="000000"/>
                <w:sz w:val="20"/>
                <w:szCs w:val="20"/>
              </w:rPr>
              <w:t>78%</w:t>
            </w:r>
          </w:p>
        </w:tc>
      </w:tr>
      <w:tr w:rsidR="00AF6AC2" w:rsidRPr="000C2275" w14:paraId="4C30613A" w14:textId="77777777" w:rsidTr="006A7B4C">
        <w:trPr>
          <w:trHeight w:val="255"/>
        </w:trPr>
        <w:tc>
          <w:tcPr>
            <w:tcW w:w="1613" w:type="pct"/>
            <w:shd w:val="clear" w:color="auto" w:fill="FFFFFF" w:themeFill="background1"/>
            <w:noWrap/>
            <w:vAlign w:val="bottom"/>
            <w:hideMark/>
          </w:tcPr>
          <w:p w14:paraId="6C47024C" w14:textId="77777777" w:rsidR="00AF6AC2" w:rsidRPr="00CA4AEA" w:rsidRDefault="00AF6AC2" w:rsidP="006A7B4C">
            <w:pPr>
              <w:rPr>
                <w:noProof/>
                <w:sz w:val="20"/>
                <w:szCs w:val="20"/>
              </w:rPr>
            </w:pPr>
            <w:r w:rsidRPr="00CA4AEA">
              <w:rPr>
                <w:noProof/>
                <w:sz w:val="20"/>
                <w:szCs w:val="20"/>
              </w:rPr>
              <w:t>PO3</w:t>
            </w:r>
          </w:p>
        </w:tc>
        <w:tc>
          <w:tcPr>
            <w:tcW w:w="1509" w:type="pct"/>
            <w:shd w:val="clear" w:color="auto" w:fill="FFFFFF" w:themeFill="background1"/>
            <w:noWrap/>
            <w:vAlign w:val="bottom"/>
            <w:hideMark/>
          </w:tcPr>
          <w:p w14:paraId="7B300023" w14:textId="77777777" w:rsidR="00AF6AC2" w:rsidRPr="00CA4AEA" w:rsidRDefault="00AF6AC2" w:rsidP="006A7B4C">
            <w:pPr>
              <w:rPr>
                <w:noProof/>
                <w:sz w:val="20"/>
                <w:szCs w:val="20"/>
              </w:rPr>
            </w:pPr>
            <w:r w:rsidRPr="00CA4AEA">
              <w:rPr>
                <w:noProof/>
                <w:sz w:val="20"/>
                <w:szCs w:val="20"/>
              </w:rPr>
              <w:t>Follower</w:t>
            </w:r>
          </w:p>
        </w:tc>
        <w:tc>
          <w:tcPr>
            <w:tcW w:w="469" w:type="pct"/>
            <w:shd w:val="clear" w:color="auto" w:fill="FFFFFF" w:themeFill="background1"/>
            <w:noWrap/>
            <w:vAlign w:val="bottom"/>
            <w:hideMark/>
          </w:tcPr>
          <w:p w14:paraId="7B823985" w14:textId="77777777" w:rsidR="00AF6AC2" w:rsidRPr="00CA4AEA" w:rsidRDefault="00AF6AC2" w:rsidP="006A7B4C">
            <w:pPr>
              <w:jc w:val="right"/>
              <w:rPr>
                <w:noProof/>
                <w:color w:val="000000"/>
                <w:sz w:val="20"/>
                <w:szCs w:val="20"/>
              </w:rPr>
            </w:pPr>
            <w:r w:rsidRPr="00CA4AEA">
              <w:rPr>
                <w:noProof/>
                <w:color w:val="000000"/>
                <w:sz w:val="20"/>
                <w:szCs w:val="20"/>
              </w:rPr>
              <w:t>0%</w:t>
            </w:r>
          </w:p>
        </w:tc>
        <w:tc>
          <w:tcPr>
            <w:tcW w:w="469" w:type="pct"/>
            <w:shd w:val="clear" w:color="auto" w:fill="FFFFFF" w:themeFill="background1"/>
            <w:noWrap/>
            <w:vAlign w:val="bottom"/>
            <w:hideMark/>
          </w:tcPr>
          <w:p w14:paraId="4DE5986E" w14:textId="77777777" w:rsidR="00AF6AC2" w:rsidRPr="00CA4AEA" w:rsidRDefault="00AF6AC2" w:rsidP="006A7B4C">
            <w:pPr>
              <w:jc w:val="right"/>
              <w:rPr>
                <w:noProof/>
                <w:color w:val="000000"/>
                <w:sz w:val="20"/>
                <w:szCs w:val="20"/>
              </w:rPr>
            </w:pPr>
            <w:r w:rsidRPr="00CA4AEA">
              <w:rPr>
                <w:noProof/>
                <w:color w:val="000000"/>
                <w:sz w:val="20"/>
                <w:szCs w:val="20"/>
              </w:rPr>
              <w:t>9%</w:t>
            </w:r>
          </w:p>
        </w:tc>
        <w:tc>
          <w:tcPr>
            <w:tcW w:w="469" w:type="pct"/>
            <w:shd w:val="clear" w:color="auto" w:fill="FFFFFF" w:themeFill="background1"/>
            <w:noWrap/>
            <w:vAlign w:val="bottom"/>
            <w:hideMark/>
          </w:tcPr>
          <w:p w14:paraId="7C158A33" w14:textId="77777777" w:rsidR="00AF6AC2" w:rsidRPr="00CA4AEA" w:rsidRDefault="00AF6AC2" w:rsidP="006A7B4C">
            <w:pPr>
              <w:jc w:val="right"/>
              <w:rPr>
                <w:noProof/>
                <w:color w:val="000000"/>
                <w:sz w:val="20"/>
                <w:szCs w:val="20"/>
              </w:rPr>
            </w:pPr>
            <w:r w:rsidRPr="00CA4AEA">
              <w:rPr>
                <w:noProof/>
                <w:color w:val="000000"/>
                <w:sz w:val="20"/>
                <w:szCs w:val="20"/>
              </w:rPr>
              <w:t>78%</w:t>
            </w:r>
          </w:p>
        </w:tc>
        <w:tc>
          <w:tcPr>
            <w:tcW w:w="469" w:type="pct"/>
            <w:shd w:val="clear" w:color="auto" w:fill="FFFFFF" w:themeFill="background1"/>
            <w:noWrap/>
            <w:vAlign w:val="bottom"/>
            <w:hideMark/>
          </w:tcPr>
          <w:p w14:paraId="6163C95A" w14:textId="77777777" w:rsidR="00AF6AC2" w:rsidRPr="00CA4AEA" w:rsidRDefault="00AF6AC2" w:rsidP="006A7B4C">
            <w:pPr>
              <w:jc w:val="right"/>
              <w:rPr>
                <w:noProof/>
                <w:color w:val="000000"/>
                <w:sz w:val="20"/>
                <w:szCs w:val="20"/>
              </w:rPr>
            </w:pPr>
            <w:r w:rsidRPr="00CA4AEA">
              <w:rPr>
                <w:noProof/>
                <w:color w:val="000000"/>
                <w:sz w:val="20"/>
                <w:szCs w:val="20"/>
              </w:rPr>
              <w:t>78%</w:t>
            </w:r>
          </w:p>
        </w:tc>
      </w:tr>
      <w:tr w:rsidR="00AF6AC2" w:rsidRPr="000C2275" w14:paraId="0AEF242C" w14:textId="77777777" w:rsidTr="006A7B4C">
        <w:trPr>
          <w:trHeight w:val="255"/>
        </w:trPr>
        <w:tc>
          <w:tcPr>
            <w:tcW w:w="1613" w:type="pct"/>
            <w:shd w:val="clear" w:color="auto" w:fill="FFFFFF" w:themeFill="background1"/>
            <w:noWrap/>
            <w:vAlign w:val="bottom"/>
            <w:hideMark/>
          </w:tcPr>
          <w:p w14:paraId="770EDE9C" w14:textId="77777777" w:rsidR="00AF6AC2" w:rsidRPr="00CA4AEA" w:rsidRDefault="00AF6AC2" w:rsidP="006A7B4C">
            <w:pPr>
              <w:rPr>
                <w:noProof/>
                <w:sz w:val="20"/>
                <w:szCs w:val="20"/>
              </w:rPr>
            </w:pPr>
            <w:r w:rsidRPr="00CA4AEA">
              <w:rPr>
                <w:noProof/>
                <w:sz w:val="20"/>
                <w:szCs w:val="20"/>
              </w:rPr>
              <w:t>PO4</w:t>
            </w:r>
          </w:p>
        </w:tc>
        <w:tc>
          <w:tcPr>
            <w:tcW w:w="1509" w:type="pct"/>
            <w:shd w:val="clear" w:color="auto" w:fill="FFFFFF" w:themeFill="background1"/>
            <w:noWrap/>
            <w:vAlign w:val="bottom"/>
            <w:hideMark/>
          </w:tcPr>
          <w:p w14:paraId="107F0022" w14:textId="77777777" w:rsidR="00AF6AC2" w:rsidRPr="00CA4AEA" w:rsidRDefault="00AF6AC2" w:rsidP="006A7B4C">
            <w:pPr>
              <w:rPr>
                <w:noProof/>
                <w:sz w:val="20"/>
                <w:szCs w:val="20"/>
              </w:rPr>
            </w:pPr>
            <w:r w:rsidRPr="00CA4AEA">
              <w:rPr>
                <w:noProof/>
                <w:sz w:val="20"/>
                <w:szCs w:val="20"/>
              </w:rPr>
              <w:t>Leader</w:t>
            </w:r>
          </w:p>
        </w:tc>
        <w:tc>
          <w:tcPr>
            <w:tcW w:w="469" w:type="pct"/>
            <w:shd w:val="clear" w:color="auto" w:fill="FFFFFF" w:themeFill="background1"/>
            <w:noWrap/>
            <w:vAlign w:val="bottom"/>
            <w:hideMark/>
          </w:tcPr>
          <w:p w14:paraId="7334DCC2" w14:textId="77777777" w:rsidR="00AF6AC2" w:rsidRPr="00CA4AEA" w:rsidRDefault="00AF6AC2" w:rsidP="006A7B4C">
            <w:pPr>
              <w:jc w:val="right"/>
              <w:rPr>
                <w:noProof/>
                <w:color w:val="000000"/>
                <w:sz w:val="20"/>
                <w:szCs w:val="20"/>
              </w:rPr>
            </w:pPr>
            <w:r w:rsidRPr="00CA4AEA">
              <w:rPr>
                <w:noProof/>
                <w:color w:val="000000"/>
                <w:sz w:val="20"/>
                <w:szCs w:val="20"/>
              </w:rPr>
              <w:t>0%</w:t>
            </w:r>
          </w:p>
        </w:tc>
        <w:tc>
          <w:tcPr>
            <w:tcW w:w="469" w:type="pct"/>
            <w:shd w:val="clear" w:color="auto" w:fill="FFFFFF" w:themeFill="background1"/>
            <w:noWrap/>
            <w:vAlign w:val="bottom"/>
            <w:hideMark/>
          </w:tcPr>
          <w:p w14:paraId="4E05F876" w14:textId="77777777" w:rsidR="00AF6AC2" w:rsidRPr="00CA4AEA" w:rsidRDefault="00AF6AC2" w:rsidP="006A7B4C">
            <w:pPr>
              <w:jc w:val="right"/>
              <w:rPr>
                <w:noProof/>
                <w:color w:val="000000"/>
                <w:sz w:val="20"/>
                <w:szCs w:val="20"/>
              </w:rPr>
            </w:pPr>
            <w:r w:rsidRPr="00CA4AEA">
              <w:rPr>
                <w:noProof/>
                <w:color w:val="000000"/>
                <w:sz w:val="20"/>
                <w:szCs w:val="20"/>
              </w:rPr>
              <w:t>8%</w:t>
            </w:r>
          </w:p>
        </w:tc>
        <w:tc>
          <w:tcPr>
            <w:tcW w:w="469" w:type="pct"/>
            <w:shd w:val="clear" w:color="auto" w:fill="FFFFFF" w:themeFill="background1"/>
            <w:noWrap/>
            <w:vAlign w:val="bottom"/>
            <w:hideMark/>
          </w:tcPr>
          <w:p w14:paraId="5619959E" w14:textId="77777777" w:rsidR="00AF6AC2" w:rsidRPr="00CA4AEA" w:rsidRDefault="00AF6AC2" w:rsidP="006A7B4C">
            <w:pPr>
              <w:jc w:val="right"/>
              <w:rPr>
                <w:noProof/>
                <w:color w:val="000000"/>
                <w:sz w:val="20"/>
                <w:szCs w:val="20"/>
              </w:rPr>
            </w:pPr>
            <w:r w:rsidRPr="00CA4AEA">
              <w:rPr>
                <w:noProof/>
                <w:color w:val="000000"/>
                <w:sz w:val="20"/>
                <w:szCs w:val="20"/>
              </w:rPr>
              <w:t>74%</w:t>
            </w:r>
          </w:p>
        </w:tc>
        <w:tc>
          <w:tcPr>
            <w:tcW w:w="469" w:type="pct"/>
            <w:shd w:val="clear" w:color="auto" w:fill="FFFFFF" w:themeFill="background1"/>
            <w:noWrap/>
            <w:vAlign w:val="bottom"/>
            <w:hideMark/>
          </w:tcPr>
          <w:p w14:paraId="2E8DA491" w14:textId="77777777" w:rsidR="00AF6AC2" w:rsidRPr="00CA4AEA" w:rsidRDefault="00AF6AC2" w:rsidP="006A7B4C">
            <w:pPr>
              <w:jc w:val="right"/>
              <w:rPr>
                <w:noProof/>
                <w:color w:val="000000"/>
                <w:sz w:val="20"/>
                <w:szCs w:val="20"/>
              </w:rPr>
            </w:pPr>
            <w:r w:rsidRPr="00CA4AEA">
              <w:rPr>
                <w:noProof/>
                <w:color w:val="000000"/>
                <w:sz w:val="20"/>
                <w:szCs w:val="20"/>
              </w:rPr>
              <w:t>68%</w:t>
            </w:r>
          </w:p>
        </w:tc>
      </w:tr>
      <w:tr w:rsidR="00AF6AC2" w:rsidRPr="000C2275" w14:paraId="71820EB1" w14:textId="77777777" w:rsidTr="006A7B4C">
        <w:trPr>
          <w:trHeight w:val="255"/>
        </w:trPr>
        <w:tc>
          <w:tcPr>
            <w:tcW w:w="1613" w:type="pct"/>
            <w:shd w:val="clear" w:color="auto" w:fill="FFFFFF" w:themeFill="background1"/>
            <w:noWrap/>
            <w:vAlign w:val="bottom"/>
            <w:hideMark/>
          </w:tcPr>
          <w:p w14:paraId="134B6921" w14:textId="77777777" w:rsidR="00AF6AC2" w:rsidRPr="00CA4AEA" w:rsidRDefault="00AF6AC2" w:rsidP="006A7B4C">
            <w:pPr>
              <w:rPr>
                <w:noProof/>
                <w:sz w:val="20"/>
                <w:szCs w:val="20"/>
              </w:rPr>
            </w:pPr>
            <w:r w:rsidRPr="00CA4AEA">
              <w:rPr>
                <w:noProof/>
                <w:sz w:val="20"/>
                <w:szCs w:val="20"/>
              </w:rPr>
              <w:t>PO4</w:t>
            </w:r>
          </w:p>
        </w:tc>
        <w:tc>
          <w:tcPr>
            <w:tcW w:w="1509" w:type="pct"/>
            <w:shd w:val="clear" w:color="auto" w:fill="FFFFFF" w:themeFill="background1"/>
            <w:noWrap/>
            <w:vAlign w:val="bottom"/>
            <w:hideMark/>
          </w:tcPr>
          <w:p w14:paraId="4F0CD2DB" w14:textId="77777777" w:rsidR="00AF6AC2" w:rsidRPr="00CA4AEA" w:rsidRDefault="00AF6AC2" w:rsidP="006A7B4C">
            <w:pPr>
              <w:rPr>
                <w:noProof/>
                <w:sz w:val="20"/>
                <w:szCs w:val="20"/>
              </w:rPr>
            </w:pPr>
            <w:r w:rsidRPr="00CA4AEA">
              <w:rPr>
                <w:noProof/>
                <w:sz w:val="20"/>
                <w:szCs w:val="20"/>
              </w:rPr>
              <w:t>Planned adopter</w:t>
            </w:r>
          </w:p>
        </w:tc>
        <w:tc>
          <w:tcPr>
            <w:tcW w:w="469" w:type="pct"/>
            <w:shd w:val="clear" w:color="auto" w:fill="FFFFFF" w:themeFill="background1"/>
            <w:noWrap/>
            <w:vAlign w:val="bottom"/>
            <w:hideMark/>
          </w:tcPr>
          <w:p w14:paraId="3A01FA6B" w14:textId="77777777" w:rsidR="00AF6AC2" w:rsidRPr="00CA4AEA" w:rsidRDefault="00AF6AC2" w:rsidP="006A7B4C">
            <w:pPr>
              <w:jc w:val="right"/>
              <w:rPr>
                <w:noProof/>
                <w:color w:val="000000"/>
                <w:sz w:val="20"/>
                <w:szCs w:val="20"/>
              </w:rPr>
            </w:pPr>
            <w:r w:rsidRPr="00CA4AEA">
              <w:rPr>
                <w:noProof/>
                <w:color w:val="000000"/>
                <w:sz w:val="20"/>
                <w:szCs w:val="20"/>
              </w:rPr>
              <w:t>0%</w:t>
            </w:r>
          </w:p>
        </w:tc>
        <w:tc>
          <w:tcPr>
            <w:tcW w:w="469" w:type="pct"/>
            <w:shd w:val="clear" w:color="auto" w:fill="FFFFFF" w:themeFill="background1"/>
            <w:noWrap/>
            <w:vAlign w:val="bottom"/>
            <w:hideMark/>
          </w:tcPr>
          <w:p w14:paraId="78F0B30F" w14:textId="77777777" w:rsidR="00AF6AC2" w:rsidRPr="00CA4AEA" w:rsidRDefault="00AF6AC2" w:rsidP="006A7B4C">
            <w:pPr>
              <w:jc w:val="right"/>
              <w:rPr>
                <w:noProof/>
                <w:color w:val="000000"/>
                <w:sz w:val="20"/>
                <w:szCs w:val="20"/>
              </w:rPr>
            </w:pPr>
            <w:r w:rsidRPr="00CA4AEA">
              <w:rPr>
                <w:noProof/>
                <w:color w:val="000000"/>
                <w:sz w:val="20"/>
                <w:szCs w:val="20"/>
              </w:rPr>
              <w:t>10%</w:t>
            </w:r>
          </w:p>
        </w:tc>
        <w:tc>
          <w:tcPr>
            <w:tcW w:w="469" w:type="pct"/>
            <w:shd w:val="clear" w:color="auto" w:fill="FFFFFF" w:themeFill="background1"/>
            <w:noWrap/>
            <w:vAlign w:val="bottom"/>
            <w:hideMark/>
          </w:tcPr>
          <w:p w14:paraId="45123EA2" w14:textId="77777777" w:rsidR="00AF6AC2" w:rsidRPr="00CA4AEA" w:rsidRDefault="00AF6AC2" w:rsidP="006A7B4C">
            <w:pPr>
              <w:jc w:val="right"/>
              <w:rPr>
                <w:noProof/>
                <w:color w:val="000000"/>
                <w:sz w:val="20"/>
                <w:szCs w:val="20"/>
              </w:rPr>
            </w:pPr>
            <w:r w:rsidRPr="00CA4AEA">
              <w:rPr>
                <w:noProof/>
                <w:color w:val="000000"/>
                <w:sz w:val="20"/>
                <w:szCs w:val="20"/>
              </w:rPr>
              <w:t>84%</w:t>
            </w:r>
          </w:p>
        </w:tc>
        <w:tc>
          <w:tcPr>
            <w:tcW w:w="469" w:type="pct"/>
            <w:shd w:val="clear" w:color="auto" w:fill="FFFFFF" w:themeFill="background1"/>
            <w:noWrap/>
            <w:vAlign w:val="bottom"/>
            <w:hideMark/>
          </w:tcPr>
          <w:p w14:paraId="67F9B42D" w14:textId="77777777" w:rsidR="00AF6AC2" w:rsidRPr="00CA4AEA" w:rsidRDefault="00AF6AC2" w:rsidP="006A7B4C">
            <w:pPr>
              <w:jc w:val="right"/>
              <w:rPr>
                <w:noProof/>
                <w:color w:val="000000"/>
                <w:sz w:val="20"/>
                <w:szCs w:val="20"/>
              </w:rPr>
            </w:pPr>
            <w:r w:rsidRPr="00CA4AEA">
              <w:rPr>
                <w:noProof/>
                <w:color w:val="000000"/>
                <w:sz w:val="20"/>
                <w:szCs w:val="20"/>
              </w:rPr>
              <w:t>78%</w:t>
            </w:r>
          </w:p>
        </w:tc>
      </w:tr>
      <w:tr w:rsidR="00AF6AC2" w:rsidRPr="000C2275" w14:paraId="42F2C842" w14:textId="77777777" w:rsidTr="006A7B4C">
        <w:trPr>
          <w:trHeight w:val="255"/>
        </w:trPr>
        <w:tc>
          <w:tcPr>
            <w:tcW w:w="1613" w:type="pct"/>
            <w:shd w:val="clear" w:color="auto" w:fill="FFFFFF" w:themeFill="background1"/>
            <w:noWrap/>
            <w:vAlign w:val="bottom"/>
            <w:hideMark/>
          </w:tcPr>
          <w:p w14:paraId="257A8F2B" w14:textId="77777777" w:rsidR="00AF6AC2" w:rsidRPr="00CA4AEA" w:rsidRDefault="00AF6AC2" w:rsidP="006A7B4C">
            <w:pPr>
              <w:rPr>
                <w:noProof/>
                <w:sz w:val="20"/>
                <w:szCs w:val="20"/>
              </w:rPr>
            </w:pPr>
            <w:r w:rsidRPr="00CA4AEA">
              <w:rPr>
                <w:noProof/>
                <w:sz w:val="20"/>
                <w:szCs w:val="20"/>
              </w:rPr>
              <w:t>PO4</w:t>
            </w:r>
          </w:p>
        </w:tc>
        <w:tc>
          <w:tcPr>
            <w:tcW w:w="1509" w:type="pct"/>
            <w:shd w:val="clear" w:color="auto" w:fill="FFFFFF" w:themeFill="background1"/>
            <w:noWrap/>
            <w:vAlign w:val="bottom"/>
            <w:hideMark/>
          </w:tcPr>
          <w:p w14:paraId="69D329A1" w14:textId="77777777" w:rsidR="00AF6AC2" w:rsidRPr="00CA4AEA" w:rsidRDefault="00AF6AC2" w:rsidP="006A7B4C">
            <w:pPr>
              <w:rPr>
                <w:noProof/>
                <w:sz w:val="20"/>
                <w:szCs w:val="20"/>
              </w:rPr>
            </w:pPr>
            <w:r w:rsidRPr="00CA4AEA">
              <w:rPr>
                <w:noProof/>
                <w:sz w:val="20"/>
                <w:szCs w:val="20"/>
              </w:rPr>
              <w:t>Follower</w:t>
            </w:r>
          </w:p>
        </w:tc>
        <w:tc>
          <w:tcPr>
            <w:tcW w:w="469" w:type="pct"/>
            <w:shd w:val="clear" w:color="auto" w:fill="FFFFFF" w:themeFill="background1"/>
            <w:noWrap/>
            <w:vAlign w:val="bottom"/>
            <w:hideMark/>
          </w:tcPr>
          <w:p w14:paraId="64F0EA7D" w14:textId="77777777" w:rsidR="00AF6AC2" w:rsidRPr="00CA4AEA" w:rsidRDefault="00AF6AC2" w:rsidP="006A7B4C">
            <w:pPr>
              <w:jc w:val="right"/>
              <w:rPr>
                <w:noProof/>
                <w:color w:val="000000"/>
                <w:sz w:val="20"/>
                <w:szCs w:val="20"/>
              </w:rPr>
            </w:pPr>
            <w:r w:rsidRPr="00CA4AEA">
              <w:rPr>
                <w:noProof/>
                <w:color w:val="000000"/>
                <w:sz w:val="20"/>
                <w:szCs w:val="20"/>
              </w:rPr>
              <w:t>0%</w:t>
            </w:r>
          </w:p>
        </w:tc>
        <w:tc>
          <w:tcPr>
            <w:tcW w:w="469" w:type="pct"/>
            <w:shd w:val="clear" w:color="auto" w:fill="FFFFFF" w:themeFill="background1"/>
            <w:noWrap/>
            <w:vAlign w:val="bottom"/>
            <w:hideMark/>
          </w:tcPr>
          <w:p w14:paraId="0960B7EC" w14:textId="77777777" w:rsidR="00AF6AC2" w:rsidRPr="00CA4AEA" w:rsidRDefault="00AF6AC2" w:rsidP="006A7B4C">
            <w:pPr>
              <w:jc w:val="right"/>
              <w:rPr>
                <w:noProof/>
                <w:color w:val="000000"/>
                <w:sz w:val="20"/>
                <w:szCs w:val="20"/>
              </w:rPr>
            </w:pPr>
            <w:r w:rsidRPr="00CA4AEA">
              <w:rPr>
                <w:noProof/>
                <w:color w:val="000000"/>
                <w:sz w:val="20"/>
                <w:szCs w:val="20"/>
              </w:rPr>
              <w:t>10%</w:t>
            </w:r>
          </w:p>
        </w:tc>
        <w:tc>
          <w:tcPr>
            <w:tcW w:w="469" w:type="pct"/>
            <w:shd w:val="clear" w:color="auto" w:fill="FFFFFF" w:themeFill="background1"/>
            <w:noWrap/>
            <w:vAlign w:val="bottom"/>
            <w:hideMark/>
          </w:tcPr>
          <w:p w14:paraId="5E7C8B89" w14:textId="77777777" w:rsidR="00AF6AC2" w:rsidRPr="00CA4AEA" w:rsidRDefault="00AF6AC2" w:rsidP="006A7B4C">
            <w:pPr>
              <w:jc w:val="right"/>
              <w:rPr>
                <w:noProof/>
                <w:color w:val="000000"/>
                <w:sz w:val="20"/>
                <w:szCs w:val="20"/>
              </w:rPr>
            </w:pPr>
            <w:r w:rsidRPr="00CA4AEA">
              <w:rPr>
                <w:noProof/>
                <w:color w:val="000000"/>
                <w:sz w:val="20"/>
                <w:szCs w:val="20"/>
              </w:rPr>
              <w:t>84%</w:t>
            </w:r>
          </w:p>
        </w:tc>
        <w:tc>
          <w:tcPr>
            <w:tcW w:w="469" w:type="pct"/>
            <w:shd w:val="clear" w:color="auto" w:fill="FFFFFF" w:themeFill="background1"/>
            <w:noWrap/>
            <w:vAlign w:val="bottom"/>
            <w:hideMark/>
          </w:tcPr>
          <w:p w14:paraId="6B01E673" w14:textId="77777777" w:rsidR="00AF6AC2" w:rsidRPr="00CA4AEA" w:rsidRDefault="00AF6AC2" w:rsidP="006A7B4C">
            <w:pPr>
              <w:jc w:val="right"/>
              <w:rPr>
                <w:noProof/>
                <w:color w:val="000000"/>
                <w:sz w:val="20"/>
                <w:szCs w:val="20"/>
              </w:rPr>
            </w:pPr>
            <w:r w:rsidRPr="00CA4AEA">
              <w:rPr>
                <w:noProof/>
                <w:color w:val="000000"/>
                <w:sz w:val="20"/>
                <w:szCs w:val="20"/>
              </w:rPr>
              <w:t>78%</w:t>
            </w:r>
          </w:p>
        </w:tc>
      </w:tr>
    </w:tbl>
    <w:p w14:paraId="4B3957DD" w14:textId="77777777" w:rsidR="00CC77C3" w:rsidRPr="00D71008" w:rsidRDefault="00CC77C3" w:rsidP="00CC77C3">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71EC9020" w14:textId="4BFC6DE8" w:rsidR="00CC77C3" w:rsidRPr="008C53D3" w:rsidRDefault="00CC77C3" w:rsidP="008C53D3">
      <w:pPr>
        <w:tabs>
          <w:tab w:val="left" w:pos="1134"/>
        </w:tabs>
        <w:spacing w:after="240"/>
        <w:jc w:val="both"/>
        <w:rPr>
          <w:bCs/>
          <w:noProof/>
          <w:spacing w:val="-8"/>
        </w:rPr>
      </w:pPr>
      <w:r w:rsidRPr="008C53D3">
        <w:rPr>
          <w:noProof/>
          <w:spacing w:val="-8"/>
        </w:rPr>
        <w:t>The analysis takes into consideration all different types of platforms and differences between Member States, grouping them into three categories: ‘leaders</w:t>
      </w:r>
      <w:r w:rsidRPr="008C53D3">
        <w:rPr>
          <w:noProof/>
          <w:spacing w:val="-8"/>
          <w:vertAlign w:val="superscript"/>
        </w:rPr>
        <w:footnoteReference w:id="341"/>
      </w:r>
      <w:r w:rsidRPr="008C53D3">
        <w:rPr>
          <w:noProof/>
          <w:spacing w:val="-8"/>
        </w:rPr>
        <w:t>’, ‘planned adopters</w:t>
      </w:r>
      <w:r w:rsidRPr="008C53D3">
        <w:rPr>
          <w:noProof/>
          <w:spacing w:val="-8"/>
          <w:vertAlign w:val="superscript"/>
        </w:rPr>
        <w:footnoteReference w:id="342"/>
      </w:r>
      <w:r w:rsidRPr="008C53D3">
        <w:rPr>
          <w:noProof/>
          <w:spacing w:val="-8"/>
        </w:rPr>
        <w:t>’, or ‘followers</w:t>
      </w:r>
      <w:r w:rsidRPr="008C53D3">
        <w:rPr>
          <w:noProof/>
          <w:spacing w:val="-8"/>
          <w:vertAlign w:val="superscript"/>
        </w:rPr>
        <w:footnoteReference w:id="343"/>
      </w:r>
      <w:r w:rsidRPr="008C53D3">
        <w:rPr>
          <w:noProof/>
          <w:spacing w:val="-8"/>
        </w:rPr>
        <w:t xml:space="preserve">’, based on the current number of MDMS </w:t>
      </w:r>
      <w:r w:rsidRPr="008C53D3">
        <w:rPr>
          <w:bCs/>
          <w:noProof/>
          <w:spacing w:val="-8"/>
        </w:rPr>
        <w:t>platforms and the number of users of these platforms.</w:t>
      </w:r>
    </w:p>
    <w:p w14:paraId="1B122586" w14:textId="615330AF" w:rsidR="00CC77C3" w:rsidRDefault="00CC77C3" w:rsidP="00383DBF">
      <w:pPr>
        <w:tabs>
          <w:tab w:val="left" w:pos="1134"/>
        </w:tabs>
        <w:jc w:val="both"/>
        <w:rPr>
          <w:i/>
          <w:noProof/>
          <w:sz w:val="22"/>
          <w:szCs w:val="22"/>
        </w:rPr>
      </w:pPr>
      <w:r w:rsidRPr="00A264DA">
        <w:rPr>
          <w:i/>
          <w:noProof/>
          <w:sz w:val="22"/>
          <w:szCs w:val="22"/>
        </w:rPr>
        <w:t xml:space="preserve">Table </w:t>
      </w:r>
      <w:r w:rsidRPr="00A264DA">
        <w:rPr>
          <w:i/>
          <w:noProof/>
          <w:sz w:val="22"/>
          <w:szCs w:val="22"/>
        </w:rPr>
        <w:fldChar w:fldCharType="begin"/>
      </w:r>
      <w:r w:rsidRPr="00A264DA">
        <w:rPr>
          <w:i/>
          <w:noProof/>
          <w:sz w:val="22"/>
          <w:szCs w:val="22"/>
        </w:rPr>
        <w:instrText xml:space="preserve"> SEQ Table \* ARABIC </w:instrText>
      </w:r>
      <w:r w:rsidRPr="00A264DA">
        <w:rPr>
          <w:i/>
          <w:noProof/>
          <w:sz w:val="22"/>
          <w:szCs w:val="22"/>
        </w:rPr>
        <w:fldChar w:fldCharType="separate"/>
      </w:r>
      <w:r w:rsidR="0055391F">
        <w:rPr>
          <w:i/>
          <w:noProof/>
          <w:sz w:val="22"/>
          <w:szCs w:val="22"/>
        </w:rPr>
        <w:t>64</w:t>
      </w:r>
      <w:r w:rsidRPr="00A264DA">
        <w:rPr>
          <w:i/>
          <w:noProof/>
          <w:sz w:val="22"/>
          <w:szCs w:val="22"/>
        </w:rPr>
        <w:fldChar w:fldCharType="end"/>
      </w:r>
      <w:r w:rsidRPr="00A264DA">
        <w:rPr>
          <w:i/>
          <w:noProof/>
          <w:sz w:val="22"/>
          <w:szCs w:val="22"/>
        </w:rPr>
        <w:t>: Projected number of MDMS platforms across EU, by group, in the baseline and policy options</w:t>
      </w:r>
    </w:p>
    <w:tbl>
      <w:tblPr>
        <w:tblW w:w="5000" w:type="pct"/>
        <w:tblLook w:val="04A0" w:firstRow="1" w:lastRow="0" w:firstColumn="1" w:lastColumn="0" w:noHBand="0" w:noVBand="1"/>
      </w:tblPr>
      <w:tblGrid>
        <w:gridCol w:w="5713"/>
        <w:gridCol w:w="972"/>
        <w:gridCol w:w="972"/>
        <w:gridCol w:w="972"/>
        <w:gridCol w:w="974"/>
      </w:tblGrid>
      <w:tr w:rsidR="00415C95" w:rsidRPr="00415C95" w14:paraId="21545697" w14:textId="77777777" w:rsidTr="00415C95">
        <w:trPr>
          <w:trHeight w:val="255"/>
          <w:tblHeader/>
        </w:trPr>
        <w:tc>
          <w:tcPr>
            <w:tcW w:w="2975" w:type="pct"/>
            <w:tcBorders>
              <w:top w:val="single" w:sz="4" w:space="0" w:color="auto"/>
              <w:left w:val="single" w:sz="4" w:space="0" w:color="auto"/>
              <w:bottom w:val="single" w:sz="4" w:space="0" w:color="auto"/>
              <w:right w:val="single" w:sz="4" w:space="0" w:color="auto"/>
            </w:tcBorders>
            <w:shd w:val="clear" w:color="000000" w:fill="0070C0"/>
            <w:noWrap/>
            <w:hideMark/>
          </w:tcPr>
          <w:p w14:paraId="30849037" w14:textId="77777777" w:rsidR="00415C95" w:rsidRPr="00415C95" w:rsidRDefault="00415C95">
            <w:pPr>
              <w:rPr>
                <w:b/>
                <w:bCs/>
                <w:noProof/>
                <w:color w:val="FFFFFF"/>
                <w:sz w:val="20"/>
                <w:szCs w:val="20"/>
              </w:rPr>
            </w:pPr>
            <w:r w:rsidRPr="00415C95">
              <w:rPr>
                <w:b/>
                <w:bCs/>
                <w:noProof/>
                <w:color w:val="FFFFFF"/>
                <w:sz w:val="20"/>
                <w:szCs w:val="20"/>
              </w:rPr>
              <w:t>Grouping</w:t>
            </w:r>
          </w:p>
        </w:tc>
        <w:tc>
          <w:tcPr>
            <w:tcW w:w="506" w:type="pct"/>
            <w:tcBorders>
              <w:top w:val="single" w:sz="4" w:space="0" w:color="auto"/>
              <w:left w:val="nil"/>
              <w:bottom w:val="single" w:sz="4" w:space="0" w:color="auto"/>
              <w:right w:val="single" w:sz="4" w:space="0" w:color="auto"/>
            </w:tcBorders>
            <w:shd w:val="clear" w:color="000000" w:fill="0070C0"/>
            <w:noWrap/>
            <w:hideMark/>
          </w:tcPr>
          <w:p w14:paraId="689D66EB" w14:textId="77777777" w:rsidR="00415C95" w:rsidRPr="00415C95" w:rsidRDefault="00415C95">
            <w:pPr>
              <w:jc w:val="center"/>
              <w:rPr>
                <w:b/>
                <w:bCs/>
                <w:noProof/>
                <w:color w:val="FFFFFF"/>
                <w:sz w:val="20"/>
                <w:szCs w:val="20"/>
              </w:rPr>
            </w:pPr>
            <w:r w:rsidRPr="00415C95">
              <w:rPr>
                <w:b/>
                <w:bCs/>
                <w:noProof/>
                <w:color w:val="FFFFFF"/>
                <w:sz w:val="20"/>
                <w:szCs w:val="20"/>
              </w:rPr>
              <w:t>2028</w:t>
            </w:r>
          </w:p>
        </w:tc>
        <w:tc>
          <w:tcPr>
            <w:tcW w:w="506" w:type="pct"/>
            <w:tcBorders>
              <w:top w:val="single" w:sz="4" w:space="0" w:color="auto"/>
              <w:left w:val="nil"/>
              <w:bottom w:val="single" w:sz="4" w:space="0" w:color="auto"/>
              <w:right w:val="single" w:sz="4" w:space="0" w:color="auto"/>
            </w:tcBorders>
            <w:shd w:val="clear" w:color="000000" w:fill="0070C0"/>
            <w:noWrap/>
            <w:hideMark/>
          </w:tcPr>
          <w:p w14:paraId="79823682" w14:textId="77777777" w:rsidR="00415C95" w:rsidRPr="00415C95" w:rsidRDefault="00415C95">
            <w:pPr>
              <w:jc w:val="center"/>
              <w:rPr>
                <w:b/>
                <w:bCs/>
                <w:noProof/>
                <w:color w:val="FFFFFF"/>
                <w:sz w:val="20"/>
                <w:szCs w:val="20"/>
              </w:rPr>
            </w:pPr>
            <w:r w:rsidRPr="00415C95">
              <w:rPr>
                <w:b/>
                <w:bCs/>
                <w:noProof/>
                <w:color w:val="FFFFFF"/>
                <w:sz w:val="20"/>
                <w:szCs w:val="20"/>
              </w:rPr>
              <w:t>2030</w:t>
            </w:r>
          </w:p>
        </w:tc>
        <w:tc>
          <w:tcPr>
            <w:tcW w:w="506" w:type="pct"/>
            <w:tcBorders>
              <w:top w:val="single" w:sz="4" w:space="0" w:color="auto"/>
              <w:left w:val="nil"/>
              <w:bottom w:val="single" w:sz="4" w:space="0" w:color="auto"/>
              <w:right w:val="single" w:sz="4" w:space="0" w:color="auto"/>
            </w:tcBorders>
            <w:shd w:val="clear" w:color="000000" w:fill="0070C0"/>
            <w:noWrap/>
            <w:hideMark/>
          </w:tcPr>
          <w:p w14:paraId="13722412" w14:textId="77777777" w:rsidR="00415C95" w:rsidRPr="00415C95" w:rsidRDefault="00415C95">
            <w:pPr>
              <w:jc w:val="center"/>
              <w:rPr>
                <w:b/>
                <w:bCs/>
                <w:noProof/>
                <w:color w:val="FFFFFF"/>
                <w:sz w:val="20"/>
                <w:szCs w:val="20"/>
              </w:rPr>
            </w:pPr>
            <w:r w:rsidRPr="00415C95">
              <w:rPr>
                <w:b/>
                <w:bCs/>
                <w:noProof/>
                <w:color w:val="FFFFFF"/>
                <w:sz w:val="20"/>
                <w:szCs w:val="20"/>
              </w:rPr>
              <w:t>2040</w:t>
            </w:r>
          </w:p>
        </w:tc>
        <w:tc>
          <w:tcPr>
            <w:tcW w:w="506" w:type="pct"/>
            <w:tcBorders>
              <w:top w:val="single" w:sz="4" w:space="0" w:color="auto"/>
              <w:left w:val="nil"/>
              <w:bottom w:val="single" w:sz="4" w:space="0" w:color="auto"/>
              <w:right w:val="single" w:sz="4" w:space="0" w:color="auto"/>
            </w:tcBorders>
            <w:shd w:val="clear" w:color="000000" w:fill="0070C0"/>
            <w:noWrap/>
            <w:hideMark/>
          </w:tcPr>
          <w:p w14:paraId="1CDE9059" w14:textId="77777777" w:rsidR="00415C95" w:rsidRPr="00415C95" w:rsidRDefault="00415C95">
            <w:pPr>
              <w:jc w:val="center"/>
              <w:rPr>
                <w:b/>
                <w:bCs/>
                <w:noProof/>
                <w:color w:val="FFFFFF"/>
                <w:sz w:val="20"/>
                <w:szCs w:val="20"/>
              </w:rPr>
            </w:pPr>
            <w:r w:rsidRPr="00415C95">
              <w:rPr>
                <w:b/>
                <w:bCs/>
                <w:noProof/>
                <w:color w:val="FFFFFF"/>
                <w:sz w:val="20"/>
                <w:szCs w:val="20"/>
              </w:rPr>
              <w:t>2050</w:t>
            </w:r>
          </w:p>
        </w:tc>
      </w:tr>
      <w:tr w:rsidR="00415C95" w:rsidRPr="00415C95" w14:paraId="4DFA1A1A" w14:textId="77777777" w:rsidTr="00415C95">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000000" w:fill="BDE3FF"/>
            <w:hideMark/>
          </w:tcPr>
          <w:p w14:paraId="3B8A916F" w14:textId="77777777" w:rsidR="00415C95" w:rsidRPr="00415C95" w:rsidRDefault="00415C95">
            <w:pPr>
              <w:rPr>
                <w:b/>
                <w:bCs/>
                <w:noProof/>
                <w:sz w:val="20"/>
                <w:szCs w:val="20"/>
              </w:rPr>
            </w:pPr>
            <w:r w:rsidRPr="00415C95">
              <w:rPr>
                <w:b/>
                <w:bCs/>
                <w:noProof/>
                <w:sz w:val="20"/>
                <w:szCs w:val="20"/>
              </w:rPr>
              <w:t>Baseline</w:t>
            </w:r>
          </w:p>
        </w:tc>
      </w:tr>
      <w:tr w:rsidR="00415C95" w:rsidRPr="00415C95" w14:paraId="423A4E4D"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0EC83BED" w14:textId="77777777" w:rsidR="00415C95" w:rsidRPr="00415C95" w:rsidRDefault="00415C95">
            <w:pPr>
              <w:rPr>
                <w:noProof/>
                <w:color w:val="000000"/>
                <w:sz w:val="20"/>
                <w:szCs w:val="20"/>
              </w:rPr>
            </w:pPr>
            <w:r w:rsidRPr="00415C95">
              <w:rPr>
                <w:noProof/>
                <w:color w:val="000000"/>
                <w:sz w:val="20"/>
                <w:szCs w:val="20"/>
              </w:rPr>
              <w:t>Leaders</w:t>
            </w:r>
          </w:p>
        </w:tc>
        <w:tc>
          <w:tcPr>
            <w:tcW w:w="506" w:type="pct"/>
            <w:tcBorders>
              <w:top w:val="nil"/>
              <w:left w:val="nil"/>
              <w:bottom w:val="single" w:sz="4" w:space="0" w:color="auto"/>
              <w:right w:val="single" w:sz="4" w:space="0" w:color="auto"/>
            </w:tcBorders>
            <w:noWrap/>
            <w:hideMark/>
          </w:tcPr>
          <w:p w14:paraId="32AFBCD4" w14:textId="77777777" w:rsidR="00415C95" w:rsidRPr="00415C95" w:rsidRDefault="00415C95">
            <w:pPr>
              <w:jc w:val="center"/>
              <w:rPr>
                <w:noProof/>
                <w:color w:val="242828"/>
                <w:sz w:val="20"/>
                <w:szCs w:val="20"/>
              </w:rPr>
            </w:pPr>
            <w:r w:rsidRPr="00415C95">
              <w:rPr>
                <w:noProof/>
                <w:color w:val="242828"/>
                <w:sz w:val="20"/>
                <w:szCs w:val="20"/>
              </w:rPr>
              <w:t>154</w:t>
            </w:r>
          </w:p>
        </w:tc>
        <w:tc>
          <w:tcPr>
            <w:tcW w:w="506" w:type="pct"/>
            <w:tcBorders>
              <w:top w:val="nil"/>
              <w:left w:val="nil"/>
              <w:bottom w:val="single" w:sz="4" w:space="0" w:color="auto"/>
              <w:right w:val="single" w:sz="4" w:space="0" w:color="auto"/>
            </w:tcBorders>
            <w:noWrap/>
            <w:hideMark/>
          </w:tcPr>
          <w:p w14:paraId="1AEBE0AB" w14:textId="77777777" w:rsidR="00415C95" w:rsidRPr="00415C95" w:rsidRDefault="00415C95">
            <w:pPr>
              <w:jc w:val="center"/>
              <w:rPr>
                <w:noProof/>
                <w:color w:val="242828"/>
                <w:sz w:val="20"/>
                <w:szCs w:val="20"/>
              </w:rPr>
            </w:pPr>
            <w:r w:rsidRPr="00415C95">
              <w:rPr>
                <w:noProof/>
                <w:color w:val="242828"/>
                <w:sz w:val="20"/>
                <w:szCs w:val="20"/>
              </w:rPr>
              <w:t>155</w:t>
            </w:r>
          </w:p>
        </w:tc>
        <w:tc>
          <w:tcPr>
            <w:tcW w:w="506" w:type="pct"/>
            <w:tcBorders>
              <w:top w:val="nil"/>
              <w:left w:val="nil"/>
              <w:bottom w:val="single" w:sz="4" w:space="0" w:color="auto"/>
              <w:right w:val="single" w:sz="4" w:space="0" w:color="auto"/>
            </w:tcBorders>
            <w:noWrap/>
            <w:hideMark/>
          </w:tcPr>
          <w:p w14:paraId="6616B6D1" w14:textId="77777777" w:rsidR="00415C95" w:rsidRPr="00415C95" w:rsidRDefault="00415C95">
            <w:pPr>
              <w:jc w:val="center"/>
              <w:rPr>
                <w:noProof/>
                <w:color w:val="242828"/>
                <w:sz w:val="20"/>
                <w:szCs w:val="20"/>
              </w:rPr>
            </w:pPr>
            <w:r w:rsidRPr="00415C95">
              <w:rPr>
                <w:noProof/>
                <w:color w:val="242828"/>
                <w:sz w:val="20"/>
                <w:szCs w:val="20"/>
              </w:rPr>
              <w:t>162</w:t>
            </w:r>
          </w:p>
        </w:tc>
        <w:tc>
          <w:tcPr>
            <w:tcW w:w="506" w:type="pct"/>
            <w:tcBorders>
              <w:top w:val="nil"/>
              <w:left w:val="nil"/>
              <w:bottom w:val="single" w:sz="4" w:space="0" w:color="auto"/>
              <w:right w:val="single" w:sz="4" w:space="0" w:color="auto"/>
            </w:tcBorders>
            <w:noWrap/>
            <w:hideMark/>
          </w:tcPr>
          <w:p w14:paraId="107060B2" w14:textId="77777777" w:rsidR="00415C95" w:rsidRPr="00415C95" w:rsidRDefault="00415C95">
            <w:pPr>
              <w:jc w:val="center"/>
              <w:rPr>
                <w:noProof/>
                <w:color w:val="242828"/>
                <w:sz w:val="20"/>
                <w:szCs w:val="20"/>
              </w:rPr>
            </w:pPr>
            <w:r w:rsidRPr="00415C95">
              <w:rPr>
                <w:noProof/>
                <w:color w:val="242828"/>
                <w:sz w:val="20"/>
                <w:szCs w:val="20"/>
              </w:rPr>
              <w:t>169</w:t>
            </w:r>
          </w:p>
        </w:tc>
      </w:tr>
      <w:tr w:rsidR="00415C95" w:rsidRPr="00415C95" w14:paraId="58A66907"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51DABE4E" w14:textId="77777777" w:rsidR="00415C95" w:rsidRPr="00415C95" w:rsidRDefault="00415C95">
            <w:pPr>
              <w:rPr>
                <w:noProof/>
                <w:color w:val="000000"/>
                <w:sz w:val="20"/>
                <w:szCs w:val="20"/>
              </w:rPr>
            </w:pPr>
            <w:r w:rsidRPr="00415C95">
              <w:rPr>
                <w:noProof/>
                <w:color w:val="000000"/>
                <w:sz w:val="20"/>
                <w:szCs w:val="20"/>
              </w:rPr>
              <w:t>Planned adopters</w:t>
            </w:r>
          </w:p>
        </w:tc>
        <w:tc>
          <w:tcPr>
            <w:tcW w:w="506" w:type="pct"/>
            <w:tcBorders>
              <w:top w:val="nil"/>
              <w:left w:val="nil"/>
              <w:bottom w:val="single" w:sz="4" w:space="0" w:color="auto"/>
              <w:right w:val="single" w:sz="4" w:space="0" w:color="auto"/>
            </w:tcBorders>
            <w:noWrap/>
            <w:hideMark/>
          </w:tcPr>
          <w:p w14:paraId="4FC3AA79" w14:textId="77777777" w:rsidR="00415C95" w:rsidRPr="00415C95" w:rsidRDefault="00415C95">
            <w:pPr>
              <w:jc w:val="center"/>
              <w:rPr>
                <w:noProof/>
                <w:color w:val="242828"/>
                <w:sz w:val="20"/>
                <w:szCs w:val="20"/>
              </w:rPr>
            </w:pPr>
            <w:r w:rsidRPr="00415C95">
              <w:rPr>
                <w:noProof/>
                <w:color w:val="242828"/>
                <w:sz w:val="20"/>
                <w:szCs w:val="20"/>
              </w:rPr>
              <w:t>157</w:t>
            </w:r>
          </w:p>
        </w:tc>
        <w:tc>
          <w:tcPr>
            <w:tcW w:w="506" w:type="pct"/>
            <w:tcBorders>
              <w:top w:val="nil"/>
              <w:left w:val="nil"/>
              <w:bottom w:val="single" w:sz="4" w:space="0" w:color="auto"/>
              <w:right w:val="single" w:sz="4" w:space="0" w:color="auto"/>
            </w:tcBorders>
            <w:noWrap/>
            <w:hideMark/>
          </w:tcPr>
          <w:p w14:paraId="206FD2A1" w14:textId="77777777" w:rsidR="00415C95" w:rsidRPr="00415C95" w:rsidRDefault="00415C95">
            <w:pPr>
              <w:jc w:val="center"/>
              <w:rPr>
                <w:noProof/>
                <w:color w:val="242828"/>
                <w:sz w:val="20"/>
                <w:szCs w:val="20"/>
              </w:rPr>
            </w:pPr>
            <w:r w:rsidRPr="00415C95">
              <w:rPr>
                <w:noProof/>
                <w:color w:val="242828"/>
                <w:sz w:val="20"/>
                <w:szCs w:val="20"/>
              </w:rPr>
              <w:t>160</w:t>
            </w:r>
          </w:p>
        </w:tc>
        <w:tc>
          <w:tcPr>
            <w:tcW w:w="506" w:type="pct"/>
            <w:tcBorders>
              <w:top w:val="nil"/>
              <w:left w:val="nil"/>
              <w:bottom w:val="single" w:sz="4" w:space="0" w:color="auto"/>
              <w:right w:val="single" w:sz="4" w:space="0" w:color="auto"/>
            </w:tcBorders>
            <w:noWrap/>
            <w:hideMark/>
          </w:tcPr>
          <w:p w14:paraId="7CF028D3" w14:textId="77777777" w:rsidR="00415C95" w:rsidRPr="00415C95" w:rsidRDefault="00415C95">
            <w:pPr>
              <w:jc w:val="center"/>
              <w:rPr>
                <w:noProof/>
                <w:color w:val="242828"/>
                <w:sz w:val="20"/>
                <w:szCs w:val="20"/>
              </w:rPr>
            </w:pPr>
            <w:r w:rsidRPr="00415C95">
              <w:rPr>
                <w:noProof/>
                <w:color w:val="242828"/>
                <w:sz w:val="20"/>
                <w:szCs w:val="20"/>
              </w:rPr>
              <w:t>174</w:t>
            </w:r>
          </w:p>
        </w:tc>
        <w:tc>
          <w:tcPr>
            <w:tcW w:w="506" w:type="pct"/>
            <w:tcBorders>
              <w:top w:val="nil"/>
              <w:left w:val="nil"/>
              <w:bottom w:val="single" w:sz="4" w:space="0" w:color="auto"/>
              <w:right w:val="single" w:sz="4" w:space="0" w:color="auto"/>
            </w:tcBorders>
            <w:noWrap/>
            <w:hideMark/>
          </w:tcPr>
          <w:p w14:paraId="245B2BA7" w14:textId="77777777" w:rsidR="00415C95" w:rsidRPr="00415C95" w:rsidRDefault="00415C95">
            <w:pPr>
              <w:jc w:val="center"/>
              <w:rPr>
                <w:noProof/>
                <w:color w:val="242828"/>
                <w:sz w:val="20"/>
                <w:szCs w:val="20"/>
              </w:rPr>
            </w:pPr>
            <w:r w:rsidRPr="00415C95">
              <w:rPr>
                <w:noProof/>
                <w:color w:val="242828"/>
                <w:sz w:val="20"/>
                <w:szCs w:val="20"/>
              </w:rPr>
              <w:t>188</w:t>
            </w:r>
          </w:p>
        </w:tc>
      </w:tr>
      <w:tr w:rsidR="00415C95" w:rsidRPr="00415C95" w14:paraId="745EA9C7"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031816B3" w14:textId="77777777" w:rsidR="00415C95" w:rsidRPr="00415C95" w:rsidRDefault="00415C95">
            <w:pPr>
              <w:rPr>
                <w:noProof/>
                <w:color w:val="242828"/>
                <w:sz w:val="20"/>
                <w:szCs w:val="20"/>
              </w:rPr>
            </w:pPr>
            <w:r w:rsidRPr="00415C95">
              <w:rPr>
                <w:noProof/>
                <w:color w:val="242828"/>
                <w:sz w:val="20"/>
                <w:szCs w:val="20"/>
              </w:rPr>
              <w:t>Followers</w:t>
            </w:r>
          </w:p>
        </w:tc>
        <w:tc>
          <w:tcPr>
            <w:tcW w:w="506" w:type="pct"/>
            <w:tcBorders>
              <w:top w:val="nil"/>
              <w:left w:val="nil"/>
              <w:bottom w:val="single" w:sz="4" w:space="0" w:color="auto"/>
              <w:right w:val="single" w:sz="4" w:space="0" w:color="auto"/>
            </w:tcBorders>
            <w:noWrap/>
            <w:hideMark/>
          </w:tcPr>
          <w:p w14:paraId="4E2B8CBF" w14:textId="77777777" w:rsidR="00415C95" w:rsidRPr="00415C95" w:rsidRDefault="00415C95">
            <w:pPr>
              <w:jc w:val="center"/>
              <w:rPr>
                <w:noProof/>
                <w:color w:val="242828"/>
                <w:sz w:val="20"/>
                <w:szCs w:val="20"/>
              </w:rPr>
            </w:pPr>
            <w:r w:rsidRPr="00415C95">
              <w:rPr>
                <w:noProof/>
                <w:color w:val="242828"/>
                <w:sz w:val="20"/>
                <w:szCs w:val="20"/>
              </w:rPr>
              <w:t>53</w:t>
            </w:r>
          </w:p>
        </w:tc>
        <w:tc>
          <w:tcPr>
            <w:tcW w:w="506" w:type="pct"/>
            <w:tcBorders>
              <w:top w:val="nil"/>
              <w:left w:val="nil"/>
              <w:bottom w:val="single" w:sz="4" w:space="0" w:color="auto"/>
              <w:right w:val="single" w:sz="4" w:space="0" w:color="auto"/>
            </w:tcBorders>
            <w:noWrap/>
            <w:hideMark/>
          </w:tcPr>
          <w:p w14:paraId="77C34C4F" w14:textId="77777777" w:rsidR="00415C95" w:rsidRPr="00415C95" w:rsidRDefault="00415C95">
            <w:pPr>
              <w:jc w:val="center"/>
              <w:rPr>
                <w:noProof/>
                <w:color w:val="242828"/>
                <w:sz w:val="20"/>
                <w:szCs w:val="20"/>
              </w:rPr>
            </w:pPr>
            <w:r w:rsidRPr="00415C95">
              <w:rPr>
                <w:noProof/>
                <w:color w:val="242828"/>
                <w:sz w:val="20"/>
                <w:szCs w:val="20"/>
              </w:rPr>
              <w:t>54</w:t>
            </w:r>
          </w:p>
        </w:tc>
        <w:tc>
          <w:tcPr>
            <w:tcW w:w="506" w:type="pct"/>
            <w:tcBorders>
              <w:top w:val="nil"/>
              <w:left w:val="nil"/>
              <w:bottom w:val="single" w:sz="4" w:space="0" w:color="auto"/>
              <w:right w:val="single" w:sz="4" w:space="0" w:color="auto"/>
            </w:tcBorders>
            <w:noWrap/>
            <w:hideMark/>
          </w:tcPr>
          <w:p w14:paraId="1A536A23" w14:textId="77777777" w:rsidR="00415C95" w:rsidRPr="00415C95" w:rsidRDefault="00415C95">
            <w:pPr>
              <w:jc w:val="center"/>
              <w:rPr>
                <w:noProof/>
                <w:color w:val="242828"/>
                <w:sz w:val="20"/>
                <w:szCs w:val="20"/>
              </w:rPr>
            </w:pPr>
            <w:r w:rsidRPr="00415C95">
              <w:rPr>
                <w:noProof/>
                <w:color w:val="242828"/>
                <w:sz w:val="20"/>
                <w:szCs w:val="20"/>
              </w:rPr>
              <w:t>59</w:t>
            </w:r>
          </w:p>
        </w:tc>
        <w:tc>
          <w:tcPr>
            <w:tcW w:w="506" w:type="pct"/>
            <w:tcBorders>
              <w:top w:val="nil"/>
              <w:left w:val="nil"/>
              <w:bottom w:val="single" w:sz="4" w:space="0" w:color="auto"/>
              <w:right w:val="single" w:sz="4" w:space="0" w:color="auto"/>
            </w:tcBorders>
            <w:noWrap/>
            <w:hideMark/>
          </w:tcPr>
          <w:p w14:paraId="0D1B88E0" w14:textId="77777777" w:rsidR="00415C95" w:rsidRPr="00415C95" w:rsidRDefault="00415C95">
            <w:pPr>
              <w:jc w:val="center"/>
              <w:rPr>
                <w:noProof/>
                <w:color w:val="242828"/>
                <w:sz w:val="20"/>
                <w:szCs w:val="20"/>
              </w:rPr>
            </w:pPr>
            <w:r w:rsidRPr="00415C95">
              <w:rPr>
                <w:noProof/>
                <w:color w:val="242828"/>
                <w:sz w:val="20"/>
                <w:szCs w:val="20"/>
              </w:rPr>
              <w:t>64</w:t>
            </w:r>
          </w:p>
        </w:tc>
      </w:tr>
      <w:tr w:rsidR="00415C95" w:rsidRPr="00415C95" w14:paraId="4E5F6AC6"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6EA41E2B" w14:textId="77777777" w:rsidR="00415C95" w:rsidRPr="00415C95" w:rsidRDefault="00415C95">
            <w:pPr>
              <w:rPr>
                <w:b/>
                <w:bCs/>
                <w:noProof/>
                <w:color w:val="242828"/>
                <w:sz w:val="20"/>
                <w:szCs w:val="20"/>
              </w:rPr>
            </w:pPr>
            <w:r w:rsidRPr="00415C95">
              <w:rPr>
                <w:b/>
                <w:bCs/>
                <w:noProof/>
                <w:color w:val="242828"/>
                <w:sz w:val="20"/>
                <w:szCs w:val="20"/>
              </w:rPr>
              <w:t>Total</w:t>
            </w:r>
          </w:p>
        </w:tc>
        <w:tc>
          <w:tcPr>
            <w:tcW w:w="506" w:type="pct"/>
            <w:tcBorders>
              <w:top w:val="nil"/>
              <w:left w:val="nil"/>
              <w:bottom w:val="single" w:sz="4" w:space="0" w:color="auto"/>
              <w:right w:val="single" w:sz="4" w:space="0" w:color="auto"/>
            </w:tcBorders>
            <w:noWrap/>
            <w:hideMark/>
          </w:tcPr>
          <w:p w14:paraId="29264099" w14:textId="77777777" w:rsidR="00415C95" w:rsidRPr="00415C95" w:rsidRDefault="00415C95">
            <w:pPr>
              <w:jc w:val="center"/>
              <w:rPr>
                <w:b/>
                <w:bCs/>
                <w:noProof/>
                <w:color w:val="242828"/>
                <w:sz w:val="20"/>
                <w:szCs w:val="20"/>
              </w:rPr>
            </w:pPr>
            <w:r w:rsidRPr="00415C95">
              <w:rPr>
                <w:b/>
                <w:bCs/>
                <w:noProof/>
                <w:color w:val="242828"/>
                <w:sz w:val="20"/>
                <w:szCs w:val="20"/>
              </w:rPr>
              <w:t>364</w:t>
            </w:r>
          </w:p>
        </w:tc>
        <w:tc>
          <w:tcPr>
            <w:tcW w:w="506" w:type="pct"/>
            <w:tcBorders>
              <w:top w:val="nil"/>
              <w:left w:val="nil"/>
              <w:bottom w:val="single" w:sz="4" w:space="0" w:color="auto"/>
              <w:right w:val="single" w:sz="4" w:space="0" w:color="auto"/>
            </w:tcBorders>
            <w:noWrap/>
            <w:hideMark/>
          </w:tcPr>
          <w:p w14:paraId="3B88F37E" w14:textId="77777777" w:rsidR="00415C95" w:rsidRPr="00415C95" w:rsidRDefault="00415C95">
            <w:pPr>
              <w:jc w:val="center"/>
              <w:rPr>
                <w:b/>
                <w:bCs/>
                <w:noProof/>
                <w:color w:val="242828"/>
                <w:sz w:val="20"/>
                <w:szCs w:val="20"/>
              </w:rPr>
            </w:pPr>
            <w:r w:rsidRPr="00415C95">
              <w:rPr>
                <w:b/>
                <w:bCs/>
                <w:noProof/>
                <w:color w:val="242828"/>
                <w:sz w:val="20"/>
                <w:szCs w:val="20"/>
              </w:rPr>
              <w:t>369</w:t>
            </w:r>
          </w:p>
        </w:tc>
        <w:tc>
          <w:tcPr>
            <w:tcW w:w="506" w:type="pct"/>
            <w:tcBorders>
              <w:top w:val="nil"/>
              <w:left w:val="nil"/>
              <w:bottom w:val="single" w:sz="4" w:space="0" w:color="auto"/>
              <w:right w:val="single" w:sz="4" w:space="0" w:color="auto"/>
            </w:tcBorders>
            <w:noWrap/>
            <w:hideMark/>
          </w:tcPr>
          <w:p w14:paraId="0FF1EE4F" w14:textId="77777777" w:rsidR="00415C95" w:rsidRPr="00415C95" w:rsidRDefault="00415C95">
            <w:pPr>
              <w:jc w:val="center"/>
              <w:rPr>
                <w:b/>
                <w:bCs/>
                <w:noProof/>
                <w:color w:val="242828"/>
                <w:sz w:val="20"/>
                <w:szCs w:val="20"/>
              </w:rPr>
            </w:pPr>
            <w:r w:rsidRPr="00415C95">
              <w:rPr>
                <w:b/>
                <w:bCs/>
                <w:noProof/>
                <w:color w:val="242828"/>
                <w:sz w:val="20"/>
                <w:szCs w:val="20"/>
              </w:rPr>
              <w:t>395</w:t>
            </w:r>
          </w:p>
        </w:tc>
        <w:tc>
          <w:tcPr>
            <w:tcW w:w="506" w:type="pct"/>
            <w:tcBorders>
              <w:top w:val="nil"/>
              <w:left w:val="nil"/>
              <w:bottom w:val="single" w:sz="4" w:space="0" w:color="auto"/>
              <w:right w:val="single" w:sz="4" w:space="0" w:color="auto"/>
            </w:tcBorders>
            <w:noWrap/>
            <w:hideMark/>
          </w:tcPr>
          <w:p w14:paraId="4F5015C1" w14:textId="77777777" w:rsidR="00415C95" w:rsidRPr="00415C95" w:rsidRDefault="00415C95">
            <w:pPr>
              <w:jc w:val="center"/>
              <w:rPr>
                <w:b/>
                <w:bCs/>
                <w:noProof/>
                <w:color w:val="242828"/>
                <w:sz w:val="20"/>
                <w:szCs w:val="20"/>
              </w:rPr>
            </w:pPr>
            <w:r w:rsidRPr="00415C95">
              <w:rPr>
                <w:b/>
                <w:bCs/>
                <w:noProof/>
                <w:color w:val="242828"/>
                <w:sz w:val="20"/>
                <w:szCs w:val="20"/>
              </w:rPr>
              <w:t>421</w:t>
            </w:r>
          </w:p>
        </w:tc>
      </w:tr>
      <w:tr w:rsidR="00415C95" w:rsidRPr="00415C95" w14:paraId="48B09DF3" w14:textId="77777777" w:rsidTr="00415C95">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3D9009B8" w14:textId="77777777" w:rsidR="00415C95" w:rsidRPr="00415C95" w:rsidRDefault="00415C95">
            <w:pPr>
              <w:rPr>
                <w:b/>
                <w:bCs/>
                <w:noProof/>
                <w:sz w:val="20"/>
                <w:szCs w:val="20"/>
              </w:rPr>
            </w:pPr>
            <w:r w:rsidRPr="00415C95">
              <w:rPr>
                <w:b/>
                <w:bCs/>
                <w:noProof/>
                <w:sz w:val="20"/>
                <w:szCs w:val="20"/>
              </w:rPr>
              <w:t>PO1</w:t>
            </w:r>
          </w:p>
        </w:tc>
        <w:tc>
          <w:tcPr>
            <w:tcW w:w="506" w:type="pct"/>
            <w:tcBorders>
              <w:top w:val="nil"/>
              <w:left w:val="nil"/>
              <w:bottom w:val="single" w:sz="4" w:space="0" w:color="auto"/>
              <w:right w:val="single" w:sz="4" w:space="0" w:color="auto"/>
            </w:tcBorders>
            <w:shd w:val="clear" w:color="000000" w:fill="BDE3FF"/>
            <w:hideMark/>
          </w:tcPr>
          <w:p w14:paraId="59D19EE0" w14:textId="77777777" w:rsidR="00415C95" w:rsidRPr="00415C95" w:rsidRDefault="00415C95">
            <w:pPr>
              <w:rPr>
                <w:b/>
                <w:bCs/>
                <w:noProof/>
                <w:sz w:val="20"/>
                <w:szCs w:val="20"/>
              </w:rPr>
            </w:pPr>
            <w:r w:rsidRPr="00415C95">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59C8D8B5" w14:textId="77777777" w:rsidR="00415C95" w:rsidRPr="00415C95" w:rsidRDefault="00415C95">
            <w:pPr>
              <w:rPr>
                <w:b/>
                <w:bCs/>
                <w:noProof/>
                <w:sz w:val="20"/>
                <w:szCs w:val="20"/>
              </w:rPr>
            </w:pPr>
            <w:r w:rsidRPr="00415C95">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092E6FB9" w14:textId="77777777" w:rsidR="00415C95" w:rsidRPr="00415C95" w:rsidRDefault="00415C95">
            <w:pPr>
              <w:rPr>
                <w:b/>
                <w:bCs/>
                <w:noProof/>
                <w:sz w:val="20"/>
                <w:szCs w:val="20"/>
              </w:rPr>
            </w:pPr>
            <w:r w:rsidRPr="00415C95">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5580C91F" w14:textId="77777777" w:rsidR="00415C95" w:rsidRPr="00415C95" w:rsidRDefault="00415C95">
            <w:pPr>
              <w:rPr>
                <w:b/>
                <w:bCs/>
                <w:noProof/>
                <w:sz w:val="20"/>
                <w:szCs w:val="20"/>
              </w:rPr>
            </w:pPr>
            <w:r w:rsidRPr="00415C95">
              <w:rPr>
                <w:b/>
                <w:bCs/>
                <w:noProof/>
                <w:sz w:val="20"/>
                <w:szCs w:val="20"/>
              </w:rPr>
              <w:t> </w:t>
            </w:r>
          </w:p>
        </w:tc>
      </w:tr>
      <w:tr w:rsidR="00415C95" w:rsidRPr="00415C95" w14:paraId="68DE0425"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3AA85E80" w14:textId="77777777" w:rsidR="00415C95" w:rsidRPr="00415C95" w:rsidRDefault="00415C95">
            <w:pPr>
              <w:rPr>
                <w:noProof/>
                <w:color w:val="000000"/>
                <w:sz w:val="20"/>
                <w:szCs w:val="20"/>
              </w:rPr>
            </w:pPr>
            <w:r w:rsidRPr="00415C95">
              <w:rPr>
                <w:noProof/>
                <w:color w:val="000000"/>
                <w:sz w:val="20"/>
                <w:szCs w:val="20"/>
              </w:rPr>
              <w:t>Leaders</w:t>
            </w:r>
          </w:p>
        </w:tc>
        <w:tc>
          <w:tcPr>
            <w:tcW w:w="506" w:type="pct"/>
            <w:tcBorders>
              <w:top w:val="nil"/>
              <w:left w:val="nil"/>
              <w:bottom w:val="single" w:sz="4" w:space="0" w:color="auto"/>
              <w:right w:val="single" w:sz="4" w:space="0" w:color="auto"/>
            </w:tcBorders>
            <w:noWrap/>
            <w:hideMark/>
          </w:tcPr>
          <w:p w14:paraId="683E2B91" w14:textId="77777777" w:rsidR="00415C95" w:rsidRPr="00415C95" w:rsidRDefault="00415C95">
            <w:pPr>
              <w:jc w:val="center"/>
              <w:rPr>
                <w:noProof/>
                <w:color w:val="242828"/>
                <w:sz w:val="20"/>
                <w:szCs w:val="20"/>
              </w:rPr>
            </w:pPr>
            <w:r w:rsidRPr="00415C95">
              <w:rPr>
                <w:noProof/>
                <w:color w:val="242828"/>
                <w:sz w:val="20"/>
                <w:szCs w:val="20"/>
              </w:rPr>
              <w:t>154</w:t>
            </w:r>
          </w:p>
        </w:tc>
        <w:tc>
          <w:tcPr>
            <w:tcW w:w="506" w:type="pct"/>
            <w:tcBorders>
              <w:top w:val="nil"/>
              <w:left w:val="nil"/>
              <w:bottom w:val="single" w:sz="4" w:space="0" w:color="auto"/>
              <w:right w:val="single" w:sz="4" w:space="0" w:color="auto"/>
            </w:tcBorders>
            <w:noWrap/>
            <w:hideMark/>
          </w:tcPr>
          <w:p w14:paraId="341A3610" w14:textId="77777777" w:rsidR="00415C95" w:rsidRPr="00415C95" w:rsidRDefault="00415C95">
            <w:pPr>
              <w:jc w:val="center"/>
              <w:rPr>
                <w:noProof/>
                <w:color w:val="242828"/>
                <w:sz w:val="20"/>
                <w:szCs w:val="20"/>
              </w:rPr>
            </w:pPr>
            <w:r w:rsidRPr="00415C95">
              <w:rPr>
                <w:noProof/>
                <w:color w:val="242828"/>
                <w:sz w:val="20"/>
                <w:szCs w:val="20"/>
              </w:rPr>
              <w:t>160</w:t>
            </w:r>
          </w:p>
        </w:tc>
        <w:tc>
          <w:tcPr>
            <w:tcW w:w="506" w:type="pct"/>
            <w:tcBorders>
              <w:top w:val="nil"/>
              <w:left w:val="nil"/>
              <w:bottom w:val="single" w:sz="4" w:space="0" w:color="auto"/>
              <w:right w:val="single" w:sz="4" w:space="0" w:color="auto"/>
            </w:tcBorders>
            <w:noWrap/>
            <w:hideMark/>
          </w:tcPr>
          <w:p w14:paraId="6C98DC3A" w14:textId="77777777" w:rsidR="00415C95" w:rsidRPr="00415C95" w:rsidRDefault="00415C95">
            <w:pPr>
              <w:jc w:val="center"/>
              <w:rPr>
                <w:noProof/>
                <w:color w:val="242828"/>
                <w:sz w:val="20"/>
                <w:szCs w:val="20"/>
              </w:rPr>
            </w:pPr>
            <w:r w:rsidRPr="00415C95">
              <w:rPr>
                <w:noProof/>
                <w:color w:val="242828"/>
                <w:sz w:val="20"/>
                <w:szCs w:val="20"/>
              </w:rPr>
              <w:t>188</w:t>
            </w:r>
          </w:p>
        </w:tc>
        <w:tc>
          <w:tcPr>
            <w:tcW w:w="506" w:type="pct"/>
            <w:tcBorders>
              <w:top w:val="nil"/>
              <w:left w:val="nil"/>
              <w:bottom w:val="single" w:sz="4" w:space="0" w:color="auto"/>
              <w:right w:val="single" w:sz="4" w:space="0" w:color="auto"/>
            </w:tcBorders>
            <w:noWrap/>
            <w:hideMark/>
          </w:tcPr>
          <w:p w14:paraId="3F4583CC" w14:textId="77777777" w:rsidR="00415C95" w:rsidRPr="00415C95" w:rsidRDefault="00415C95">
            <w:pPr>
              <w:jc w:val="center"/>
              <w:rPr>
                <w:noProof/>
                <w:color w:val="242828"/>
                <w:sz w:val="20"/>
                <w:szCs w:val="20"/>
              </w:rPr>
            </w:pPr>
            <w:r w:rsidRPr="00415C95">
              <w:rPr>
                <w:noProof/>
                <w:color w:val="242828"/>
                <w:sz w:val="20"/>
                <w:szCs w:val="20"/>
              </w:rPr>
              <w:t>188</w:t>
            </w:r>
          </w:p>
        </w:tc>
      </w:tr>
      <w:tr w:rsidR="00415C95" w:rsidRPr="00415C95" w14:paraId="2971C473"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2851F3E2" w14:textId="77777777" w:rsidR="00415C95" w:rsidRPr="00415C95" w:rsidRDefault="00415C95">
            <w:pPr>
              <w:rPr>
                <w:noProof/>
                <w:color w:val="000000"/>
                <w:sz w:val="20"/>
                <w:szCs w:val="20"/>
              </w:rPr>
            </w:pPr>
            <w:r w:rsidRPr="00415C95">
              <w:rPr>
                <w:noProof/>
                <w:color w:val="000000"/>
                <w:sz w:val="20"/>
                <w:szCs w:val="20"/>
              </w:rPr>
              <w:t>Planned adopters</w:t>
            </w:r>
          </w:p>
        </w:tc>
        <w:tc>
          <w:tcPr>
            <w:tcW w:w="506" w:type="pct"/>
            <w:tcBorders>
              <w:top w:val="nil"/>
              <w:left w:val="nil"/>
              <w:bottom w:val="single" w:sz="4" w:space="0" w:color="auto"/>
              <w:right w:val="single" w:sz="4" w:space="0" w:color="auto"/>
            </w:tcBorders>
            <w:noWrap/>
            <w:hideMark/>
          </w:tcPr>
          <w:p w14:paraId="6B05E2EA" w14:textId="77777777" w:rsidR="00415C95" w:rsidRPr="00415C95" w:rsidRDefault="00415C95">
            <w:pPr>
              <w:jc w:val="center"/>
              <w:rPr>
                <w:noProof/>
                <w:color w:val="242828"/>
                <w:sz w:val="20"/>
                <w:szCs w:val="20"/>
              </w:rPr>
            </w:pPr>
            <w:r w:rsidRPr="00415C95">
              <w:rPr>
                <w:noProof/>
                <w:color w:val="242828"/>
                <w:sz w:val="20"/>
                <w:szCs w:val="20"/>
              </w:rPr>
              <w:t>157</w:t>
            </w:r>
          </w:p>
        </w:tc>
        <w:tc>
          <w:tcPr>
            <w:tcW w:w="506" w:type="pct"/>
            <w:tcBorders>
              <w:top w:val="nil"/>
              <w:left w:val="nil"/>
              <w:bottom w:val="single" w:sz="4" w:space="0" w:color="auto"/>
              <w:right w:val="single" w:sz="4" w:space="0" w:color="auto"/>
            </w:tcBorders>
            <w:noWrap/>
            <w:hideMark/>
          </w:tcPr>
          <w:p w14:paraId="5BDF2597" w14:textId="77777777" w:rsidR="00415C95" w:rsidRPr="00415C95" w:rsidRDefault="00415C95">
            <w:pPr>
              <w:jc w:val="center"/>
              <w:rPr>
                <w:noProof/>
                <w:color w:val="242828"/>
                <w:sz w:val="20"/>
                <w:szCs w:val="20"/>
              </w:rPr>
            </w:pPr>
            <w:r w:rsidRPr="00415C95">
              <w:rPr>
                <w:noProof/>
                <w:color w:val="242828"/>
                <w:sz w:val="20"/>
                <w:szCs w:val="20"/>
              </w:rPr>
              <w:t>163</w:t>
            </w:r>
          </w:p>
        </w:tc>
        <w:tc>
          <w:tcPr>
            <w:tcW w:w="506" w:type="pct"/>
            <w:tcBorders>
              <w:top w:val="nil"/>
              <w:left w:val="nil"/>
              <w:bottom w:val="single" w:sz="4" w:space="0" w:color="auto"/>
              <w:right w:val="single" w:sz="4" w:space="0" w:color="auto"/>
            </w:tcBorders>
            <w:noWrap/>
            <w:hideMark/>
          </w:tcPr>
          <w:p w14:paraId="1AB1F1FE" w14:textId="77777777" w:rsidR="00415C95" w:rsidRPr="00415C95" w:rsidRDefault="00415C95">
            <w:pPr>
              <w:jc w:val="center"/>
              <w:rPr>
                <w:noProof/>
                <w:color w:val="242828"/>
                <w:sz w:val="20"/>
                <w:szCs w:val="20"/>
              </w:rPr>
            </w:pPr>
            <w:r w:rsidRPr="00415C95">
              <w:rPr>
                <w:noProof/>
                <w:color w:val="242828"/>
                <w:sz w:val="20"/>
                <w:szCs w:val="20"/>
              </w:rPr>
              <w:t>188</w:t>
            </w:r>
          </w:p>
        </w:tc>
        <w:tc>
          <w:tcPr>
            <w:tcW w:w="506" w:type="pct"/>
            <w:tcBorders>
              <w:top w:val="nil"/>
              <w:left w:val="nil"/>
              <w:bottom w:val="single" w:sz="4" w:space="0" w:color="auto"/>
              <w:right w:val="single" w:sz="4" w:space="0" w:color="auto"/>
            </w:tcBorders>
            <w:noWrap/>
            <w:hideMark/>
          </w:tcPr>
          <w:p w14:paraId="379D5279" w14:textId="77777777" w:rsidR="00415C95" w:rsidRPr="00415C95" w:rsidRDefault="00415C95">
            <w:pPr>
              <w:jc w:val="center"/>
              <w:rPr>
                <w:noProof/>
                <w:color w:val="242828"/>
                <w:sz w:val="20"/>
                <w:szCs w:val="20"/>
              </w:rPr>
            </w:pPr>
            <w:r w:rsidRPr="00415C95">
              <w:rPr>
                <w:noProof/>
                <w:color w:val="242828"/>
                <w:sz w:val="20"/>
                <w:szCs w:val="20"/>
              </w:rPr>
              <w:t>188</w:t>
            </w:r>
          </w:p>
        </w:tc>
      </w:tr>
      <w:tr w:rsidR="00415C95" w:rsidRPr="00415C95" w14:paraId="542B9663"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0C8A371D" w14:textId="77777777" w:rsidR="00415C95" w:rsidRPr="00415C95" w:rsidRDefault="00415C95">
            <w:pPr>
              <w:rPr>
                <w:noProof/>
                <w:color w:val="242828"/>
                <w:sz w:val="20"/>
                <w:szCs w:val="20"/>
              </w:rPr>
            </w:pPr>
            <w:r w:rsidRPr="00415C95">
              <w:rPr>
                <w:noProof/>
                <w:color w:val="242828"/>
                <w:sz w:val="20"/>
                <w:szCs w:val="20"/>
              </w:rPr>
              <w:t>Followers</w:t>
            </w:r>
          </w:p>
        </w:tc>
        <w:tc>
          <w:tcPr>
            <w:tcW w:w="506" w:type="pct"/>
            <w:tcBorders>
              <w:top w:val="nil"/>
              <w:left w:val="nil"/>
              <w:bottom w:val="single" w:sz="4" w:space="0" w:color="auto"/>
              <w:right w:val="single" w:sz="4" w:space="0" w:color="auto"/>
            </w:tcBorders>
            <w:noWrap/>
            <w:hideMark/>
          </w:tcPr>
          <w:p w14:paraId="2D710404" w14:textId="77777777" w:rsidR="00415C95" w:rsidRPr="00415C95" w:rsidRDefault="00415C95">
            <w:pPr>
              <w:jc w:val="center"/>
              <w:rPr>
                <w:noProof/>
                <w:color w:val="242828"/>
                <w:sz w:val="20"/>
                <w:szCs w:val="20"/>
              </w:rPr>
            </w:pPr>
            <w:r w:rsidRPr="00415C95">
              <w:rPr>
                <w:noProof/>
                <w:color w:val="242828"/>
                <w:sz w:val="20"/>
                <w:szCs w:val="20"/>
              </w:rPr>
              <w:t>53</w:t>
            </w:r>
          </w:p>
        </w:tc>
        <w:tc>
          <w:tcPr>
            <w:tcW w:w="506" w:type="pct"/>
            <w:tcBorders>
              <w:top w:val="nil"/>
              <w:left w:val="nil"/>
              <w:bottom w:val="single" w:sz="4" w:space="0" w:color="auto"/>
              <w:right w:val="single" w:sz="4" w:space="0" w:color="auto"/>
            </w:tcBorders>
            <w:noWrap/>
            <w:hideMark/>
          </w:tcPr>
          <w:p w14:paraId="63B3D4EF" w14:textId="77777777" w:rsidR="00415C95" w:rsidRPr="00415C95" w:rsidRDefault="00415C95">
            <w:pPr>
              <w:jc w:val="center"/>
              <w:rPr>
                <w:noProof/>
                <w:color w:val="242828"/>
                <w:sz w:val="20"/>
                <w:szCs w:val="20"/>
              </w:rPr>
            </w:pPr>
            <w:r w:rsidRPr="00415C95">
              <w:rPr>
                <w:noProof/>
                <w:color w:val="242828"/>
                <w:sz w:val="20"/>
                <w:szCs w:val="20"/>
              </w:rPr>
              <w:t>56</w:t>
            </w:r>
          </w:p>
        </w:tc>
        <w:tc>
          <w:tcPr>
            <w:tcW w:w="506" w:type="pct"/>
            <w:tcBorders>
              <w:top w:val="nil"/>
              <w:left w:val="nil"/>
              <w:bottom w:val="single" w:sz="4" w:space="0" w:color="auto"/>
              <w:right w:val="single" w:sz="4" w:space="0" w:color="auto"/>
            </w:tcBorders>
            <w:noWrap/>
            <w:hideMark/>
          </w:tcPr>
          <w:p w14:paraId="04FCB99B" w14:textId="77777777" w:rsidR="00415C95" w:rsidRPr="00415C95" w:rsidRDefault="00415C95">
            <w:pPr>
              <w:jc w:val="center"/>
              <w:rPr>
                <w:noProof/>
                <w:color w:val="242828"/>
                <w:sz w:val="20"/>
                <w:szCs w:val="20"/>
              </w:rPr>
            </w:pPr>
            <w:r w:rsidRPr="00415C95">
              <w:rPr>
                <w:noProof/>
                <w:color w:val="242828"/>
                <w:sz w:val="20"/>
                <w:szCs w:val="20"/>
              </w:rPr>
              <w:t>64</w:t>
            </w:r>
          </w:p>
        </w:tc>
        <w:tc>
          <w:tcPr>
            <w:tcW w:w="506" w:type="pct"/>
            <w:tcBorders>
              <w:top w:val="nil"/>
              <w:left w:val="nil"/>
              <w:bottom w:val="single" w:sz="4" w:space="0" w:color="auto"/>
              <w:right w:val="single" w:sz="4" w:space="0" w:color="auto"/>
            </w:tcBorders>
            <w:noWrap/>
            <w:hideMark/>
          </w:tcPr>
          <w:p w14:paraId="6E692E8C" w14:textId="77777777" w:rsidR="00415C95" w:rsidRPr="00415C95" w:rsidRDefault="00415C95">
            <w:pPr>
              <w:jc w:val="center"/>
              <w:rPr>
                <w:noProof/>
                <w:color w:val="242828"/>
                <w:sz w:val="20"/>
                <w:szCs w:val="20"/>
              </w:rPr>
            </w:pPr>
            <w:r w:rsidRPr="00415C95">
              <w:rPr>
                <w:noProof/>
                <w:color w:val="242828"/>
                <w:sz w:val="20"/>
                <w:szCs w:val="20"/>
              </w:rPr>
              <w:t>64</w:t>
            </w:r>
          </w:p>
        </w:tc>
      </w:tr>
      <w:tr w:rsidR="00415C95" w:rsidRPr="00415C95" w14:paraId="40CF5EBA"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2735329A" w14:textId="77777777" w:rsidR="00415C95" w:rsidRPr="00415C95" w:rsidRDefault="00415C95">
            <w:pPr>
              <w:rPr>
                <w:b/>
                <w:bCs/>
                <w:noProof/>
                <w:color w:val="242828"/>
                <w:sz w:val="20"/>
                <w:szCs w:val="20"/>
              </w:rPr>
            </w:pPr>
            <w:r w:rsidRPr="00415C95">
              <w:rPr>
                <w:b/>
                <w:bCs/>
                <w:noProof/>
                <w:color w:val="242828"/>
                <w:sz w:val="20"/>
                <w:szCs w:val="20"/>
              </w:rPr>
              <w:t>Total</w:t>
            </w:r>
          </w:p>
        </w:tc>
        <w:tc>
          <w:tcPr>
            <w:tcW w:w="506" w:type="pct"/>
            <w:tcBorders>
              <w:top w:val="nil"/>
              <w:left w:val="nil"/>
              <w:bottom w:val="single" w:sz="4" w:space="0" w:color="auto"/>
              <w:right w:val="single" w:sz="4" w:space="0" w:color="auto"/>
            </w:tcBorders>
            <w:noWrap/>
            <w:hideMark/>
          </w:tcPr>
          <w:p w14:paraId="3EE3013B" w14:textId="77777777" w:rsidR="00415C95" w:rsidRPr="00415C95" w:rsidRDefault="00415C95">
            <w:pPr>
              <w:jc w:val="center"/>
              <w:rPr>
                <w:b/>
                <w:bCs/>
                <w:noProof/>
                <w:color w:val="242828"/>
                <w:sz w:val="20"/>
                <w:szCs w:val="20"/>
              </w:rPr>
            </w:pPr>
            <w:r w:rsidRPr="00415C95">
              <w:rPr>
                <w:b/>
                <w:bCs/>
                <w:noProof/>
                <w:color w:val="242828"/>
                <w:sz w:val="20"/>
                <w:szCs w:val="20"/>
              </w:rPr>
              <w:t>364</w:t>
            </w:r>
          </w:p>
        </w:tc>
        <w:tc>
          <w:tcPr>
            <w:tcW w:w="506" w:type="pct"/>
            <w:tcBorders>
              <w:top w:val="nil"/>
              <w:left w:val="nil"/>
              <w:bottom w:val="single" w:sz="4" w:space="0" w:color="auto"/>
              <w:right w:val="single" w:sz="4" w:space="0" w:color="auto"/>
            </w:tcBorders>
            <w:noWrap/>
            <w:hideMark/>
          </w:tcPr>
          <w:p w14:paraId="25B3129F" w14:textId="77777777" w:rsidR="00415C95" w:rsidRPr="00415C95" w:rsidRDefault="00415C95">
            <w:pPr>
              <w:jc w:val="center"/>
              <w:rPr>
                <w:b/>
                <w:bCs/>
                <w:noProof/>
                <w:color w:val="242828"/>
                <w:sz w:val="20"/>
                <w:szCs w:val="20"/>
              </w:rPr>
            </w:pPr>
            <w:r w:rsidRPr="00415C95">
              <w:rPr>
                <w:b/>
                <w:bCs/>
                <w:noProof/>
                <w:color w:val="242828"/>
                <w:sz w:val="20"/>
                <w:szCs w:val="20"/>
              </w:rPr>
              <w:t>379</w:t>
            </w:r>
          </w:p>
        </w:tc>
        <w:tc>
          <w:tcPr>
            <w:tcW w:w="506" w:type="pct"/>
            <w:tcBorders>
              <w:top w:val="nil"/>
              <w:left w:val="nil"/>
              <w:bottom w:val="single" w:sz="4" w:space="0" w:color="auto"/>
              <w:right w:val="single" w:sz="4" w:space="0" w:color="auto"/>
            </w:tcBorders>
            <w:noWrap/>
            <w:hideMark/>
          </w:tcPr>
          <w:p w14:paraId="61DE1D99" w14:textId="77777777" w:rsidR="00415C95" w:rsidRPr="00415C95" w:rsidRDefault="00415C95">
            <w:pPr>
              <w:jc w:val="center"/>
              <w:rPr>
                <w:b/>
                <w:bCs/>
                <w:noProof/>
                <w:color w:val="242828"/>
                <w:sz w:val="20"/>
                <w:szCs w:val="20"/>
              </w:rPr>
            </w:pPr>
            <w:r w:rsidRPr="00415C95">
              <w:rPr>
                <w:b/>
                <w:bCs/>
                <w:noProof/>
                <w:color w:val="242828"/>
                <w:sz w:val="20"/>
                <w:szCs w:val="20"/>
              </w:rPr>
              <w:t>440</w:t>
            </w:r>
          </w:p>
        </w:tc>
        <w:tc>
          <w:tcPr>
            <w:tcW w:w="506" w:type="pct"/>
            <w:tcBorders>
              <w:top w:val="nil"/>
              <w:left w:val="nil"/>
              <w:bottom w:val="single" w:sz="4" w:space="0" w:color="auto"/>
              <w:right w:val="single" w:sz="4" w:space="0" w:color="auto"/>
            </w:tcBorders>
            <w:noWrap/>
            <w:hideMark/>
          </w:tcPr>
          <w:p w14:paraId="21226D7F" w14:textId="77777777" w:rsidR="00415C95" w:rsidRPr="00415C95" w:rsidRDefault="00415C95">
            <w:pPr>
              <w:jc w:val="center"/>
              <w:rPr>
                <w:b/>
                <w:bCs/>
                <w:noProof/>
                <w:color w:val="242828"/>
                <w:sz w:val="20"/>
                <w:szCs w:val="20"/>
              </w:rPr>
            </w:pPr>
            <w:r w:rsidRPr="00415C95">
              <w:rPr>
                <w:b/>
                <w:bCs/>
                <w:noProof/>
                <w:color w:val="242828"/>
                <w:sz w:val="20"/>
                <w:szCs w:val="20"/>
              </w:rPr>
              <w:t>440</w:t>
            </w:r>
          </w:p>
        </w:tc>
      </w:tr>
      <w:tr w:rsidR="00415C95" w:rsidRPr="00415C95" w14:paraId="6E59F02B" w14:textId="77777777" w:rsidTr="00415C95">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6E71EB3F" w14:textId="77777777" w:rsidR="00415C95" w:rsidRPr="00415C95" w:rsidRDefault="00415C95">
            <w:pPr>
              <w:rPr>
                <w:b/>
                <w:bCs/>
                <w:noProof/>
                <w:sz w:val="20"/>
                <w:szCs w:val="20"/>
              </w:rPr>
            </w:pPr>
            <w:r w:rsidRPr="00415C95">
              <w:rPr>
                <w:b/>
                <w:bCs/>
                <w:noProof/>
                <w:sz w:val="20"/>
                <w:szCs w:val="20"/>
              </w:rPr>
              <w:t>PO2</w:t>
            </w:r>
          </w:p>
        </w:tc>
        <w:tc>
          <w:tcPr>
            <w:tcW w:w="506" w:type="pct"/>
            <w:tcBorders>
              <w:top w:val="nil"/>
              <w:left w:val="nil"/>
              <w:bottom w:val="single" w:sz="4" w:space="0" w:color="auto"/>
              <w:right w:val="single" w:sz="4" w:space="0" w:color="auto"/>
            </w:tcBorders>
            <w:shd w:val="clear" w:color="000000" w:fill="BDE3FF"/>
            <w:hideMark/>
          </w:tcPr>
          <w:p w14:paraId="235ABC63" w14:textId="77777777" w:rsidR="00415C95" w:rsidRPr="00415C95" w:rsidRDefault="00415C95">
            <w:pPr>
              <w:rPr>
                <w:b/>
                <w:bCs/>
                <w:noProof/>
                <w:sz w:val="20"/>
                <w:szCs w:val="20"/>
              </w:rPr>
            </w:pPr>
            <w:r w:rsidRPr="00415C95">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6AF9D60A" w14:textId="77777777" w:rsidR="00415C95" w:rsidRPr="00415C95" w:rsidRDefault="00415C95">
            <w:pPr>
              <w:rPr>
                <w:b/>
                <w:bCs/>
                <w:noProof/>
                <w:sz w:val="20"/>
                <w:szCs w:val="20"/>
              </w:rPr>
            </w:pPr>
            <w:r w:rsidRPr="00415C95">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0D9520B1" w14:textId="77777777" w:rsidR="00415C95" w:rsidRPr="00415C95" w:rsidRDefault="00415C95">
            <w:pPr>
              <w:rPr>
                <w:b/>
                <w:bCs/>
                <w:noProof/>
                <w:sz w:val="20"/>
                <w:szCs w:val="20"/>
              </w:rPr>
            </w:pPr>
            <w:r w:rsidRPr="00415C95">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2D13DEE0" w14:textId="77777777" w:rsidR="00415C95" w:rsidRPr="00415C95" w:rsidRDefault="00415C95">
            <w:pPr>
              <w:rPr>
                <w:b/>
                <w:bCs/>
                <w:noProof/>
                <w:sz w:val="20"/>
                <w:szCs w:val="20"/>
              </w:rPr>
            </w:pPr>
            <w:r w:rsidRPr="00415C95">
              <w:rPr>
                <w:b/>
                <w:bCs/>
                <w:noProof/>
                <w:sz w:val="20"/>
                <w:szCs w:val="20"/>
              </w:rPr>
              <w:t> </w:t>
            </w:r>
          </w:p>
        </w:tc>
      </w:tr>
      <w:tr w:rsidR="00415C95" w:rsidRPr="00415C95" w14:paraId="661319BD"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0B5F95B0" w14:textId="77777777" w:rsidR="00415C95" w:rsidRPr="00415C95" w:rsidRDefault="00415C95">
            <w:pPr>
              <w:rPr>
                <w:noProof/>
                <w:color w:val="000000"/>
                <w:sz w:val="20"/>
                <w:szCs w:val="20"/>
              </w:rPr>
            </w:pPr>
            <w:r w:rsidRPr="00415C95">
              <w:rPr>
                <w:noProof/>
                <w:color w:val="000000"/>
                <w:sz w:val="20"/>
                <w:szCs w:val="20"/>
              </w:rPr>
              <w:t>Leaders</w:t>
            </w:r>
          </w:p>
        </w:tc>
        <w:tc>
          <w:tcPr>
            <w:tcW w:w="506" w:type="pct"/>
            <w:tcBorders>
              <w:top w:val="nil"/>
              <w:left w:val="nil"/>
              <w:bottom w:val="single" w:sz="4" w:space="0" w:color="auto"/>
              <w:right w:val="single" w:sz="4" w:space="0" w:color="auto"/>
            </w:tcBorders>
            <w:noWrap/>
            <w:hideMark/>
          </w:tcPr>
          <w:p w14:paraId="6CFE4259" w14:textId="77777777" w:rsidR="00415C95" w:rsidRPr="00415C95" w:rsidRDefault="00415C95">
            <w:pPr>
              <w:jc w:val="center"/>
              <w:rPr>
                <w:noProof/>
                <w:color w:val="242828"/>
                <w:sz w:val="20"/>
                <w:szCs w:val="20"/>
              </w:rPr>
            </w:pPr>
            <w:r w:rsidRPr="00415C95">
              <w:rPr>
                <w:noProof/>
                <w:color w:val="242828"/>
                <w:sz w:val="20"/>
                <w:szCs w:val="20"/>
              </w:rPr>
              <w:t>154</w:t>
            </w:r>
          </w:p>
        </w:tc>
        <w:tc>
          <w:tcPr>
            <w:tcW w:w="506" w:type="pct"/>
            <w:tcBorders>
              <w:top w:val="nil"/>
              <w:left w:val="nil"/>
              <w:bottom w:val="single" w:sz="4" w:space="0" w:color="auto"/>
              <w:right w:val="single" w:sz="4" w:space="0" w:color="auto"/>
            </w:tcBorders>
            <w:noWrap/>
            <w:hideMark/>
          </w:tcPr>
          <w:p w14:paraId="7144401F" w14:textId="77777777" w:rsidR="00415C95" w:rsidRPr="00415C95" w:rsidRDefault="00415C95">
            <w:pPr>
              <w:jc w:val="center"/>
              <w:rPr>
                <w:noProof/>
                <w:color w:val="242828"/>
                <w:sz w:val="20"/>
                <w:szCs w:val="20"/>
              </w:rPr>
            </w:pPr>
            <w:r w:rsidRPr="00415C95">
              <w:rPr>
                <w:noProof/>
                <w:color w:val="242828"/>
                <w:sz w:val="20"/>
                <w:szCs w:val="20"/>
              </w:rPr>
              <w:t>166</w:t>
            </w:r>
          </w:p>
        </w:tc>
        <w:tc>
          <w:tcPr>
            <w:tcW w:w="506" w:type="pct"/>
            <w:tcBorders>
              <w:top w:val="nil"/>
              <w:left w:val="nil"/>
              <w:bottom w:val="single" w:sz="4" w:space="0" w:color="auto"/>
              <w:right w:val="single" w:sz="4" w:space="0" w:color="auto"/>
            </w:tcBorders>
            <w:noWrap/>
            <w:hideMark/>
          </w:tcPr>
          <w:p w14:paraId="625CE5C3" w14:textId="77777777" w:rsidR="00415C95" w:rsidRPr="00415C95" w:rsidRDefault="00415C95">
            <w:pPr>
              <w:jc w:val="center"/>
              <w:rPr>
                <w:noProof/>
                <w:color w:val="242828"/>
                <w:sz w:val="20"/>
                <w:szCs w:val="20"/>
              </w:rPr>
            </w:pPr>
            <w:r w:rsidRPr="00415C95">
              <w:rPr>
                <w:noProof/>
                <w:color w:val="242828"/>
                <w:sz w:val="20"/>
                <w:szCs w:val="20"/>
              </w:rPr>
              <w:t>276</w:t>
            </w:r>
          </w:p>
        </w:tc>
        <w:tc>
          <w:tcPr>
            <w:tcW w:w="506" w:type="pct"/>
            <w:tcBorders>
              <w:top w:val="nil"/>
              <w:left w:val="nil"/>
              <w:bottom w:val="single" w:sz="4" w:space="0" w:color="auto"/>
              <w:right w:val="single" w:sz="4" w:space="0" w:color="auto"/>
            </w:tcBorders>
            <w:noWrap/>
            <w:hideMark/>
          </w:tcPr>
          <w:p w14:paraId="20E75776" w14:textId="77777777" w:rsidR="00415C95" w:rsidRPr="00415C95" w:rsidRDefault="00415C95">
            <w:pPr>
              <w:jc w:val="center"/>
              <w:rPr>
                <w:noProof/>
                <w:color w:val="242828"/>
                <w:sz w:val="20"/>
                <w:szCs w:val="20"/>
              </w:rPr>
            </w:pPr>
            <w:r w:rsidRPr="00415C95">
              <w:rPr>
                <w:noProof/>
                <w:color w:val="242828"/>
                <w:sz w:val="20"/>
                <w:szCs w:val="20"/>
              </w:rPr>
              <w:t>257</w:t>
            </w:r>
          </w:p>
        </w:tc>
      </w:tr>
      <w:tr w:rsidR="00415C95" w:rsidRPr="00415C95" w14:paraId="763F0A23"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05CF59A1" w14:textId="77777777" w:rsidR="00415C95" w:rsidRPr="00415C95" w:rsidRDefault="00415C95">
            <w:pPr>
              <w:rPr>
                <w:noProof/>
                <w:color w:val="000000"/>
                <w:sz w:val="20"/>
                <w:szCs w:val="20"/>
              </w:rPr>
            </w:pPr>
            <w:r w:rsidRPr="00415C95">
              <w:rPr>
                <w:noProof/>
                <w:color w:val="000000"/>
                <w:sz w:val="20"/>
                <w:szCs w:val="20"/>
              </w:rPr>
              <w:t>Planned adopters</w:t>
            </w:r>
          </w:p>
        </w:tc>
        <w:tc>
          <w:tcPr>
            <w:tcW w:w="506" w:type="pct"/>
            <w:tcBorders>
              <w:top w:val="nil"/>
              <w:left w:val="nil"/>
              <w:bottom w:val="single" w:sz="4" w:space="0" w:color="auto"/>
              <w:right w:val="single" w:sz="4" w:space="0" w:color="auto"/>
            </w:tcBorders>
            <w:noWrap/>
            <w:hideMark/>
          </w:tcPr>
          <w:p w14:paraId="7EAE3387" w14:textId="77777777" w:rsidR="00415C95" w:rsidRPr="00415C95" w:rsidRDefault="00415C95">
            <w:pPr>
              <w:jc w:val="center"/>
              <w:rPr>
                <w:noProof/>
                <w:color w:val="242828"/>
                <w:sz w:val="20"/>
                <w:szCs w:val="20"/>
              </w:rPr>
            </w:pPr>
            <w:r w:rsidRPr="00415C95">
              <w:rPr>
                <w:noProof/>
                <w:color w:val="242828"/>
                <w:sz w:val="20"/>
                <w:szCs w:val="20"/>
              </w:rPr>
              <w:t>157</w:t>
            </w:r>
          </w:p>
        </w:tc>
        <w:tc>
          <w:tcPr>
            <w:tcW w:w="506" w:type="pct"/>
            <w:tcBorders>
              <w:top w:val="nil"/>
              <w:left w:val="nil"/>
              <w:bottom w:val="single" w:sz="4" w:space="0" w:color="auto"/>
              <w:right w:val="single" w:sz="4" w:space="0" w:color="auto"/>
            </w:tcBorders>
            <w:noWrap/>
            <w:hideMark/>
          </w:tcPr>
          <w:p w14:paraId="7BFBAB2A" w14:textId="77777777" w:rsidR="00415C95" w:rsidRPr="00415C95" w:rsidRDefault="00415C95">
            <w:pPr>
              <w:jc w:val="center"/>
              <w:rPr>
                <w:noProof/>
                <w:color w:val="242828"/>
                <w:sz w:val="20"/>
                <w:szCs w:val="20"/>
              </w:rPr>
            </w:pPr>
            <w:r w:rsidRPr="00415C95">
              <w:rPr>
                <w:noProof/>
                <w:color w:val="242828"/>
                <w:sz w:val="20"/>
                <w:szCs w:val="20"/>
              </w:rPr>
              <w:t>173</w:t>
            </w:r>
          </w:p>
        </w:tc>
        <w:tc>
          <w:tcPr>
            <w:tcW w:w="506" w:type="pct"/>
            <w:tcBorders>
              <w:top w:val="nil"/>
              <w:left w:val="nil"/>
              <w:bottom w:val="single" w:sz="4" w:space="0" w:color="auto"/>
              <w:right w:val="single" w:sz="4" w:space="0" w:color="auto"/>
            </w:tcBorders>
            <w:noWrap/>
            <w:hideMark/>
          </w:tcPr>
          <w:p w14:paraId="00E26478" w14:textId="77777777" w:rsidR="00415C95" w:rsidRPr="00415C95" w:rsidRDefault="00415C95">
            <w:pPr>
              <w:jc w:val="center"/>
              <w:rPr>
                <w:noProof/>
                <w:color w:val="242828"/>
                <w:sz w:val="20"/>
                <w:szCs w:val="20"/>
              </w:rPr>
            </w:pPr>
            <w:r w:rsidRPr="00415C95">
              <w:rPr>
                <w:noProof/>
                <w:color w:val="242828"/>
                <w:sz w:val="20"/>
                <w:szCs w:val="20"/>
              </w:rPr>
              <w:t>300</w:t>
            </w:r>
          </w:p>
        </w:tc>
        <w:tc>
          <w:tcPr>
            <w:tcW w:w="506" w:type="pct"/>
            <w:tcBorders>
              <w:top w:val="nil"/>
              <w:left w:val="nil"/>
              <w:bottom w:val="single" w:sz="4" w:space="0" w:color="auto"/>
              <w:right w:val="single" w:sz="4" w:space="0" w:color="auto"/>
            </w:tcBorders>
            <w:noWrap/>
            <w:hideMark/>
          </w:tcPr>
          <w:p w14:paraId="08350CF7" w14:textId="77777777" w:rsidR="00415C95" w:rsidRPr="00415C95" w:rsidRDefault="00415C95">
            <w:pPr>
              <w:jc w:val="center"/>
              <w:rPr>
                <w:noProof/>
                <w:color w:val="242828"/>
                <w:sz w:val="20"/>
                <w:szCs w:val="20"/>
              </w:rPr>
            </w:pPr>
            <w:r w:rsidRPr="00415C95">
              <w:rPr>
                <w:noProof/>
                <w:color w:val="242828"/>
                <w:sz w:val="20"/>
                <w:szCs w:val="20"/>
              </w:rPr>
              <w:t>279</w:t>
            </w:r>
          </w:p>
        </w:tc>
      </w:tr>
      <w:tr w:rsidR="00415C95" w:rsidRPr="00415C95" w14:paraId="66264104"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6B74E513" w14:textId="77777777" w:rsidR="00415C95" w:rsidRPr="00415C95" w:rsidRDefault="00415C95">
            <w:pPr>
              <w:rPr>
                <w:noProof/>
                <w:color w:val="242828"/>
                <w:sz w:val="20"/>
                <w:szCs w:val="20"/>
              </w:rPr>
            </w:pPr>
            <w:r w:rsidRPr="00415C95">
              <w:rPr>
                <w:noProof/>
                <w:color w:val="242828"/>
                <w:sz w:val="20"/>
                <w:szCs w:val="20"/>
              </w:rPr>
              <w:t>Followers</w:t>
            </w:r>
          </w:p>
        </w:tc>
        <w:tc>
          <w:tcPr>
            <w:tcW w:w="506" w:type="pct"/>
            <w:tcBorders>
              <w:top w:val="nil"/>
              <w:left w:val="nil"/>
              <w:bottom w:val="single" w:sz="4" w:space="0" w:color="auto"/>
              <w:right w:val="single" w:sz="4" w:space="0" w:color="auto"/>
            </w:tcBorders>
            <w:noWrap/>
            <w:hideMark/>
          </w:tcPr>
          <w:p w14:paraId="7E84F1F9" w14:textId="77777777" w:rsidR="00415C95" w:rsidRPr="00415C95" w:rsidRDefault="00415C95">
            <w:pPr>
              <w:jc w:val="center"/>
              <w:rPr>
                <w:noProof/>
                <w:color w:val="242828"/>
                <w:sz w:val="20"/>
                <w:szCs w:val="20"/>
              </w:rPr>
            </w:pPr>
            <w:r w:rsidRPr="00415C95">
              <w:rPr>
                <w:noProof/>
                <w:color w:val="242828"/>
                <w:sz w:val="20"/>
                <w:szCs w:val="20"/>
              </w:rPr>
              <w:t>53</w:t>
            </w:r>
          </w:p>
        </w:tc>
        <w:tc>
          <w:tcPr>
            <w:tcW w:w="506" w:type="pct"/>
            <w:tcBorders>
              <w:top w:val="nil"/>
              <w:left w:val="nil"/>
              <w:bottom w:val="single" w:sz="4" w:space="0" w:color="auto"/>
              <w:right w:val="single" w:sz="4" w:space="0" w:color="auto"/>
            </w:tcBorders>
            <w:noWrap/>
            <w:hideMark/>
          </w:tcPr>
          <w:p w14:paraId="4D43E933" w14:textId="77777777" w:rsidR="00415C95" w:rsidRPr="00415C95" w:rsidRDefault="00415C95">
            <w:pPr>
              <w:jc w:val="center"/>
              <w:rPr>
                <w:noProof/>
                <w:color w:val="242828"/>
                <w:sz w:val="20"/>
                <w:szCs w:val="20"/>
              </w:rPr>
            </w:pPr>
            <w:r w:rsidRPr="00415C95">
              <w:rPr>
                <w:noProof/>
                <w:color w:val="242828"/>
                <w:sz w:val="20"/>
                <w:szCs w:val="20"/>
              </w:rPr>
              <w:t>59</w:t>
            </w:r>
          </w:p>
        </w:tc>
        <w:tc>
          <w:tcPr>
            <w:tcW w:w="506" w:type="pct"/>
            <w:tcBorders>
              <w:top w:val="nil"/>
              <w:left w:val="nil"/>
              <w:bottom w:val="single" w:sz="4" w:space="0" w:color="auto"/>
              <w:right w:val="single" w:sz="4" w:space="0" w:color="auto"/>
            </w:tcBorders>
            <w:noWrap/>
            <w:hideMark/>
          </w:tcPr>
          <w:p w14:paraId="41561A3A" w14:textId="77777777" w:rsidR="00415C95" w:rsidRPr="00415C95" w:rsidRDefault="00415C95">
            <w:pPr>
              <w:jc w:val="center"/>
              <w:rPr>
                <w:noProof/>
                <w:color w:val="242828"/>
                <w:sz w:val="20"/>
                <w:szCs w:val="20"/>
              </w:rPr>
            </w:pPr>
            <w:r w:rsidRPr="00415C95">
              <w:rPr>
                <w:noProof/>
                <w:color w:val="242828"/>
                <w:sz w:val="20"/>
                <w:szCs w:val="20"/>
              </w:rPr>
              <w:t>101</w:t>
            </w:r>
          </w:p>
        </w:tc>
        <w:tc>
          <w:tcPr>
            <w:tcW w:w="506" w:type="pct"/>
            <w:tcBorders>
              <w:top w:val="nil"/>
              <w:left w:val="nil"/>
              <w:bottom w:val="single" w:sz="4" w:space="0" w:color="auto"/>
              <w:right w:val="single" w:sz="4" w:space="0" w:color="auto"/>
            </w:tcBorders>
            <w:noWrap/>
            <w:hideMark/>
          </w:tcPr>
          <w:p w14:paraId="1F38EE9A" w14:textId="77777777" w:rsidR="00415C95" w:rsidRPr="00415C95" w:rsidRDefault="00415C95">
            <w:pPr>
              <w:jc w:val="center"/>
              <w:rPr>
                <w:noProof/>
                <w:color w:val="242828"/>
                <w:sz w:val="20"/>
                <w:szCs w:val="20"/>
              </w:rPr>
            </w:pPr>
            <w:r w:rsidRPr="00415C95">
              <w:rPr>
                <w:noProof/>
                <w:color w:val="242828"/>
                <w:sz w:val="20"/>
                <w:szCs w:val="20"/>
              </w:rPr>
              <w:t>94</w:t>
            </w:r>
          </w:p>
        </w:tc>
      </w:tr>
      <w:tr w:rsidR="00415C95" w:rsidRPr="00415C95" w14:paraId="4476E636"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649923B2" w14:textId="77777777" w:rsidR="00415C95" w:rsidRPr="00415C95" w:rsidRDefault="00415C95">
            <w:pPr>
              <w:rPr>
                <w:b/>
                <w:bCs/>
                <w:noProof/>
                <w:color w:val="242828"/>
                <w:sz w:val="20"/>
                <w:szCs w:val="20"/>
              </w:rPr>
            </w:pPr>
            <w:r w:rsidRPr="00415C95">
              <w:rPr>
                <w:b/>
                <w:bCs/>
                <w:noProof/>
                <w:color w:val="242828"/>
                <w:sz w:val="20"/>
                <w:szCs w:val="20"/>
              </w:rPr>
              <w:t>Total</w:t>
            </w:r>
          </w:p>
        </w:tc>
        <w:tc>
          <w:tcPr>
            <w:tcW w:w="506" w:type="pct"/>
            <w:tcBorders>
              <w:top w:val="nil"/>
              <w:left w:val="nil"/>
              <w:bottom w:val="single" w:sz="4" w:space="0" w:color="auto"/>
              <w:right w:val="single" w:sz="4" w:space="0" w:color="auto"/>
            </w:tcBorders>
            <w:noWrap/>
            <w:hideMark/>
          </w:tcPr>
          <w:p w14:paraId="61FB5D6C" w14:textId="77777777" w:rsidR="00415C95" w:rsidRPr="00415C95" w:rsidRDefault="00415C95">
            <w:pPr>
              <w:jc w:val="center"/>
              <w:rPr>
                <w:b/>
                <w:bCs/>
                <w:noProof/>
                <w:color w:val="242828"/>
                <w:sz w:val="20"/>
                <w:szCs w:val="20"/>
              </w:rPr>
            </w:pPr>
            <w:r w:rsidRPr="00415C95">
              <w:rPr>
                <w:b/>
                <w:bCs/>
                <w:noProof/>
                <w:color w:val="242828"/>
                <w:sz w:val="20"/>
                <w:szCs w:val="20"/>
              </w:rPr>
              <w:t>364</w:t>
            </w:r>
          </w:p>
        </w:tc>
        <w:tc>
          <w:tcPr>
            <w:tcW w:w="506" w:type="pct"/>
            <w:tcBorders>
              <w:top w:val="nil"/>
              <w:left w:val="nil"/>
              <w:bottom w:val="single" w:sz="4" w:space="0" w:color="auto"/>
              <w:right w:val="single" w:sz="4" w:space="0" w:color="auto"/>
            </w:tcBorders>
            <w:noWrap/>
            <w:hideMark/>
          </w:tcPr>
          <w:p w14:paraId="033BD872" w14:textId="77777777" w:rsidR="00415C95" w:rsidRPr="00415C95" w:rsidRDefault="00415C95">
            <w:pPr>
              <w:jc w:val="center"/>
              <w:rPr>
                <w:b/>
                <w:bCs/>
                <w:noProof/>
                <w:color w:val="242828"/>
                <w:sz w:val="20"/>
                <w:szCs w:val="20"/>
              </w:rPr>
            </w:pPr>
            <w:r w:rsidRPr="00415C95">
              <w:rPr>
                <w:b/>
                <w:bCs/>
                <w:noProof/>
                <w:color w:val="242828"/>
                <w:sz w:val="20"/>
                <w:szCs w:val="20"/>
              </w:rPr>
              <w:t>398</w:t>
            </w:r>
          </w:p>
        </w:tc>
        <w:tc>
          <w:tcPr>
            <w:tcW w:w="506" w:type="pct"/>
            <w:tcBorders>
              <w:top w:val="nil"/>
              <w:left w:val="nil"/>
              <w:bottom w:val="single" w:sz="4" w:space="0" w:color="auto"/>
              <w:right w:val="single" w:sz="4" w:space="0" w:color="auto"/>
            </w:tcBorders>
            <w:noWrap/>
            <w:hideMark/>
          </w:tcPr>
          <w:p w14:paraId="29EB4995" w14:textId="77777777" w:rsidR="00415C95" w:rsidRPr="00415C95" w:rsidRDefault="00415C95">
            <w:pPr>
              <w:jc w:val="center"/>
              <w:rPr>
                <w:b/>
                <w:bCs/>
                <w:noProof/>
                <w:color w:val="242828"/>
                <w:sz w:val="20"/>
                <w:szCs w:val="20"/>
              </w:rPr>
            </w:pPr>
            <w:r w:rsidRPr="00415C95">
              <w:rPr>
                <w:b/>
                <w:bCs/>
                <w:noProof/>
                <w:color w:val="242828"/>
                <w:sz w:val="20"/>
                <w:szCs w:val="20"/>
              </w:rPr>
              <w:t>677</w:t>
            </w:r>
          </w:p>
        </w:tc>
        <w:tc>
          <w:tcPr>
            <w:tcW w:w="506" w:type="pct"/>
            <w:tcBorders>
              <w:top w:val="nil"/>
              <w:left w:val="nil"/>
              <w:bottom w:val="single" w:sz="4" w:space="0" w:color="auto"/>
              <w:right w:val="single" w:sz="4" w:space="0" w:color="auto"/>
            </w:tcBorders>
            <w:noWrap/>
            <w:hideMark/>
          </w:tcPr>
          <w:p w14:paraId="4272AD80" w14:textId="77777777" w:rsidR="00415C95" w:rsidRPr="00415C95" w:rsidRDefault="00415C95">
            <w:pPr>
              <w:jc w:val="center"/>
              <w:rPr>
                <w:b/>
                <w:bCs/>
                <w:noProof/>
                <w:color w:val="242828"/>
                <w:sz w:val="20"/>
                <w:szCs w:val="20"/>
              </w:rPr>
            </w:pPr>
            <w:r w:rsidRPr="00415C95">
              <w:rPr>
                <w:b/>
                <w:bCs/>
                <w:noProof/>
                <w:color w:val="242828"/>
                <w:sz w:val="20"/>
                <w:szCs w:val="20"/>
              </w:rPr>
              <w:t>630</w:t>
            </w:r>
          </w:p>
        </w:tc>
      </w:tr>
      <w:tr w:rsidR="00415C95" w:rsidRPr="00415C95" w14:paraId="18FD83C9" w14:textId="77777777" w:rsidTr="00415C95">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206A6FE0" w14:textId="77777777" w:rsidR="00415C95" w:rsidRPr="00415C95" w:rsidRDefault="00415C95">
            <w:pPr>
              <w:rPr>
                <w:b/>
                <w:bCs/>
                <w:noProof/>
                <w:sz w:val="20"/>
                <w:szCs w:val="20"/>
              </w:rPr>
            </w:pPr>
            <w:r w:rsidRPr="00415C95">
              <w:rPr>
                <w:b/>
                <w:bCs/>
                <w:noProof/>
                <w:sz w:val="20"/>
                <w:szCs w:val="20"/>
              </w:rPr>
              <w:t>PO3</w:t>
            </w:r>
          </w:p>
        </w:tc>
        <w:tc>
          <w:tcPr>
            <w:tcW w:w="506" w:type="pct"/>
            <w:tcBorders>
              <w:top w:val="nil"/>
              <w:left w:val="nil"/>
              <w:bottom w:val="single" w:sz="4" w:space="0" w:color="auto"/>
              <w:right w:val="single" w:sz="4" w:space="0" w:color="auto"/>
            </w:tcBorders>
            <w:shd w:val="clear" w:color="000000" w:fill="BDE3FF"/>
            <w:hideMark/>
          </w:tcPr>
          <w:p w14:paraId="2E529814" w14:textId="77777777" w:rsidR="00415C95" w:rsidRPr="00415C95" w:rsidRDefault="00415C95">
            <w:pPr>
              <w:rPr>
                <w:b/>
                <w:bCs/>
                <w:noProof/>
                <w:sz w:val="20"/>
                <w:szCs w:val="20"/>
              </w:rPr>
            </w:pPr>
            <w:r w:rsidRPr="00415C95">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31A0F77B" w14:textId="77777777" w:rsidR="00415C95" w:rsidRPr="00415C95" w:rsidRDefault="00415C95">
            <w:pPr>
              <w:rPr>
                <w:b/>
                <w:bCs/>
                <w:noProof/>
                <w:sz w:val="20"/>
                <w:szCs w:val="20"/>
              </w:rPr>
            </w:pPr>
            <w:r w:rsidRPr="00415C95">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0742F6B7" w14:textId="77777777" w:rsidR="00415C95" w:rsidRPr="00415C95" w:rsidRDefault="00415C95">
            <w:pPr>
              <w:rPr>
                <w:b/>
                <w:bCs/>
                <w:noProof/>
                <w:sz w:val="20"/>
                <w:szCs w:val="20"/>
              </w:rPr>
            </w:pPr>
            <w:r w:rsidRPr="00415C95">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2EFF7378" w14:textId="77777777" w:rsidR="00415C95" w:rsidRPr="00415C95" w:rsidRDefault="00415C95">
            <w:pPr>
              <w:rPr>
                <w:b/>
                <w:bCs/>
                <w:noProof/>
                <w:sz w:val="20"/>
                <w:szCs w:val="20"/>
              </w:rPr>
            </w:pPr>
            <w:r w:rsidRPr="00415C95">
              <w:rPr>
                <w:b/>
                <w:bCs/>
                <w:noProof/>
                <w:sz w:val="20"/>
                <w:szCs w:val="20"/>
              </w:rPr>
              <w:t> </w:t>
            </w:r>
          </w:p>
        </w:tc>
      </w:tr>
      <w:tr w:rsidR="00415C95" w:rsidRPr="00415C95" w14:paraId="37B18C45"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50B56A8B" w14:textId="77777777" w:rsidR="00415C95" w:rsidRPr="00415C95" w:rsidRDefault="00415C95">
            <w:pPr>
              <w:rPr>
                <w:noProof/>
                <w:color w:val="000000"/>
                <w:sz w:val="20"/>
                <w:szCs w:val="20"/>
              </w:rPr>
            </w:pPr>
            <w:r w:rsidRPr="00415C95">
              <w:rPr>
                <w:noProof/>
                <w:color w:val="000000"/>
                <w:sz w:val="20"/>
                <w:szCs w:val="20"/>
              </w:rPr>
              <w:t>Leaders</w:t>
            </w:r>
          </w:p>
        </w:tc>
        <w:tc>
          <w:tcPr>
            <w:tcW w:w="506" w:type="pct"/>
            <w:tcBorders>
              <w:top w:val="nil"/>
              <w:left w:val="nil"/>
              <w:bottom w:val="single" w:sz="4" w:space="0" w:color="auto"/>
              <w:right w:val="single" w:sz="4" w:space="0" w:color="auto"/>
            </w:tcBorders>
            <w:noWrap/>
            <w:hideMark/>
          </w:tcPr>
          <w:p w14:paraId="5AC53CFF" w14:textId="77777777" w:rsidR="00415C95" w:rsidRPr="00415C95" w:rsidRDefault="00415C95">
            <w:pPr>
              <w:jc w:val="center"/>
              <w:rPr>
                <w:noProof/>
                <w:color w:val="242828"/>
                <w:sz w:val="20"/>
                <w:szCs w:val="20"/>
              </w:rPr>
            </w:pPr>
            <w:r w:rsidRPr="00415C95">
              <w:rPr>
                <w:noProof/>
                <w:color w:val="242828"/>
                <w:sz w:val="20"/>
                <w:szCs w:val="20"/>
              </w:rPr>
              <w:t>154</w:t>
            </w:r>
          </w:p>
        </w:tc>
        <w:tc>
          <w:tcPr>
            <w:tcW w:w="506" w:type="pct"/>
            <w:tcBorders>
              <w:top w:val="nil"/>
              <w:left w:val="nil"/>
              <w:bottom w:val="single" w:sz="4" w:space="0" w:color="auto"/>
              <w:right w:val="single" w:sz="4" w:space="0" w:color="auto"/>
            </w:tcBorders>
            <w:noWrap/>
            <w:hideMark/>
          </w:tcPr>
          <w:p w14:paraId="5BC1EF0E" w14:textId="77777777" w:rsidR="00415C95" w:rsidRPr="00415C95" w:rsidRDefault="00415C95">
            <w:pPr>
              <w:jc w:val="center"/>
              <w:rPr>
                <w:noProof/>
                <w:color w:val="242828"/>
                <w:sz w:val="20"/>
                <w:szCs w:val="20"/>
              </w:rPr>
            </w:pPr>
            <w:r w:rsidRPr="00415C95">
              <w:rPr>
                <w:noProof/>
                <w:color w:val="242828"/>
                <w:sz w:val="20"/>
                <w:szCs w:val="20"/>
              </w:rPr>
              <w:t>165</w:t>
            </w:r>
          </w:p>
        </w:tc>
        <w:tc>
          <w:tcPr>
            <w:tcW w:w="506" w:type="pct"/>
            <w:tcBorders>
              <w:top w:val="nil"/>
              <w:left w:val="nil"/>
              <w:bottom w:val="single" w:sz="4" w:space="0" w:color="auto"/>
              <w:right w:val="single" w:sz="4" w:space="0" w:color="auto"/>
            </w:tcBorders>
            <w:noWrap/>
            <w:hideMark/>
          </w:tcPr>
          <w:p w14:paraId="39FCE5EC" w14:textId="77777777" w:rsidR="00415C95" w:rsidRPr="00415C95" w:rsidRDefault="00415C95">
            <w:pPr>
              <w:jc w:val="center"/>
              <w:rPr>
                <w:noProof/>
                <w:color w:val="242828"/>
                <w:sz w:val="20"/>
                <w:szCs w:val="20"/>
              </w:rPr>
            </w:pPr>
            <w:r w:rsidRPr="00415C95">
              <w:rPr>
                <w:noProof/>
                <w:color w:val="242828"/>
                <w:sz w:val="20"/>
                <w:szCs w:val="20"/>
              </w:rPr>
              <w:t>257</w:t>
            </w:r>
          </w:p>
        </w:tc>
        <w:tc>
          <w:tcPr>
            <w:tcW w:w="506" w:type="pct"/>
            <w:tcBorders>
              <w:top w:val="nil"/>
              <w:left w:val="nil"/>
              <w:bottom w:val="single" w:sz="4" w:space="0" w:color="auto"/>
              <w:right w:val="single" w:sz="4" w:space="0" w:color="auto"/>
            </w:tcBorders>
            <w:noWrap/>
            <w:hideMark/>
          </w:tcPr>
          <w:p w14:paraId="360D4F8C" w14:textId="77777777" w:rsidR="00415C95" w:rsidRPr="00415C95" w:rsidRDefault="00415C95">
            <w:pPr>
              <w:jc w:val="center"/>
              <w:rPr>
                <w:noProof/>
                <w:color w:val="242828"/>
                <w:sz w:val="20"/>
                <w:szCs w:val="20"/>
              </w:rPr>
            </w:pPr>
            <w:r w:rsidRPr="00415C95">
              <w:rPr>
                <w:noProof/>
                <w:color w:val="242828"/>
                <w:sz w:val="20"/>
                <w:szCs w:val="20"/>
              </w:rPr>
              <w:t>257</w:t>
            </w:r>
          </w:p>
        </w:tc>
      </w:tr>
      <w:tr w:rsidR="00415C95" w:rsidRPr="00415C95" w14:paraId="525B8226"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315F07D0" w14:textId="77777777" w:rsidR="00415C95" w:rsidRPr="00415C95" w:rsidRDefault="00415C95">
            <w:pPr>
              <w:rPr>
                <w:noProof/>
                <w:color w:val="000000"/>
                <w:sz w:val="20"/>
                <w:szCs w:val="20"/>
              </w:rPr>
            </w:pPr>
            <w:r w:rsidRPr="00415C95">
              <w:rPr>
                <w:noProof/>
                <w:color w:val="000000"/>
                <w:sz w:val="20"/>
                <w:szCs w:val="20"/>
              </w:rPr>
              <w:t>Planned adopters</w:t>
            </w:r>
          </w:p>
        </w:tc>
        <w:tc>
          <w:tcPr>
            <w:tcW w:w="506" w:type="pct"/>
            <w:tcBorders>
              <w:top w:val="nil"/>
              <w:left w:val="nil"/>
              <w:bottom w:val="single" w:sz="4" w:space="0" w:color="auto"/>
              <w:right w:val="single" w:sz="4" w:space="0" w:color="auto"/>
            </w:tcBorders>
            <w:noWrap/>
            <w:hideMark/>
          </w:tcPr>
          <w:p w14:paraId="25BB7AC0" w14:textId="77777777" w:rsidR="00415C95" w:rsidRPr="00415C95" w:rsidRDefault="00415C95">
            <w:pPr>
              <w:jc w:val="center"/>
              <w:rPr>
                <w:noProof/>
                <w:color w:val="242828"/>
                <w:sz w:val="20"/>
                <w:szCs w:val="20"/>
              </w:rPr>
            </w:pPr>
            <w:r w:rsidRPr="00415C95">
              <w:rPr>
                <w:noProof/>
                <w:color w:val="242828"/>
                <w:sz w:val="20"/>
                <w:szCs w:val="20"/>
              </w:rPr>
              <w:t>157</w:t>
            </w:r>
          </w:p>
        </w:tc>
        <w:tc>
          <w:tcPr>
            <w:tcW w:w="506" w:type="pct"/>
            <w:tcBorders>
              <w:top w:val="nil"/>
              <w:left w:val="nil"/>
              <w:bottom w:val="single" w:sz="4" w:space="0" w:color="auto"/>
              <w:right w:val="single" w:sz="4" w:space="0" w:color="auto"/>
            </w:tcBorders>
            <w:noWrap/>
            <w:hideMark/>
          </w:tcPr>
          <w:p w14:paraId="2460D678" w14:textId="77777777" w:rsidR="00415C95" w:rsidRPr="00415C95" w:rsidRDefault="00415C95">
            <w:pPr>
              <w:jc w:val="center"/>
              <w:rPr>
                <w:noProof/>
                <w:color w:val="242828"/>
                <w:sz w:val="20"/>
                <w:szCs w:val="20"/>
              </w:rPr>
            </w:pPr>
            <w:r w:rsidRPr="00415C95">
              <w:rPr>
                <w:noProof/>
                <w:color w:val="242828"/>
                <w:sz w:val="20"/>
                <w:szCs w:val="20"/>
              </w:rPr>
              <w:t>172</w:t>
            </w:r>
          </w:p>
        </w:tc>
        <w:tc>
          <w:tcPr>
            <w:tcW w:w="506" w:type="pct"/>
            <w:tcBorders>
              <w:top w:val="nil"/>
              <w:left w:val="nil"/>
              <w:bottom w:val="single" w:sz="4" w:space="0" w:color="auto"/>
              <w:right w:val="single" w:sz="4" w:space="0" w:color="auto"/>
            </w:tcBorders>
            <w:noWrap/>
            <w:hideMark/>
          </w:tcPr>
          <w:p w14:paraId="32106E58" w14:textId="77777777" w:rsidR="00415C95" w:rsidRPr="00415C95" w:rsidRDefault="00415C95">
            <w:pPr>
              <w:jc w:val="center"/>
              <w:rPr>
                <w:noProof/>
                <w:color w:val="242828"/>
                <w:sz w:val="20"/>
                <w:szCs w:val="20"/>
              </w:rPr>
            </w:pPr>
            <w:r w:rsidRPr="00415C95">
              <w:rPr>
                <w:noProof/>
                <w:color w:val="242828"/>
                <w:sz w:val="20"/>
                <w:szCs w:val="20"/>
              </w:rPr>
              <w:t>279</w:t>
            </w:r>
          </w:p>
        </w:tc>
        <w:tc>
          <w:tcPr>
            <w:tcW w:w="506" w:type="pct"/>
            <w:tcBorders>
              <w:top w:val="nil"/>
              <w:left w:val="nil"/>
              <w:bottom w:val="single" w:sz="4" w:space="0" w:color="auto"/>
              <w:right w:val="single" w:sz="4" w:space="0" w:color="auto"/>
            </w:tcBorders>
            <w:noWrap/>
            <w:hideMark/>
          </w:tcPr>
          <w:p w14:paraId="3B65FB03" w14:textId="77777777" w:rsidR="00415C95" w:rsidRPr="00415C95" w:rsidRDefault="00415C95">
            <w:pPr>
              <w:jc w:val="center"/>
              <w:rPr>
                <w:noProof/>
                <w:color w:val="242828"/>
                <w:sz w:val="20"/>
                <w:szCs w:val="20"/>
              </w:rPr>
            </w:pPr>
            <w:r w:rsidRPr="00415C95">
              <w:rPr>
                <w:noProof/>
                <w:color w:val="242828"/>
                <w:sz w:val="20"/>
                <w:szCs w:val="20"/>
              </w:rPr>
              <w:t>279</w:t>
            </w:r>
          </w:p>
        </w:tc>
      </w:tr>
      <w:tr w:rsidR="00415C95" w:rsidRPr="00415C95" w14:paraId="7DD3CF4E"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1B9CC067" w14:textId="77777777" w:rsidR="00415C95" w:rsidRPr="00415C95" w:rsidRDefault="00415C95">
            <w:pPr>
              <w:rPr>
                <w:noProof/>
                <w:color w:val="242828"/>
                <w:sz w:val="20"/>
                <w:szCs w:val="20"/>
              </w:rPr>
            </w:pPr>
            <w:r w:rsidRPr="00415C95">
              <w:rPr>
                <w:noProof/>
                <w:color w:val="242828"/>
                <w:sz w:val="20"/>
                <w:szCs w:val="20"/>
              </w:rPr>
              <w:t>Followers</w:t>
            </w:r>
          </w:p>
        </w:tc>
        <w:tc>
          <w:tcPr>
            <w:tcW w:w="506" w:type="pct"/>
            <w:tcBorders>
              <w:top w:val="nil"/>
              <w:left w:val="nil"/>
              <w:bottom w:val="single" w:sz="4" w:space="0" w:color="auto"/>
              <w:right w:val="single" w:sz="4" w:space="0" w:color="auto"/>
            </w:tcBorders>
            <w:noWrap/>
            <w:hideMark/>
          </w:tcPr>
          <w:p w14:paraId="678DE5AA" w14:textId="77777777" w:rsidR="00415C95" w:rsidRPr="00415C95" w:rsidRDefault="00415C95">
            <w:pPr>
              <w:jc w:val="center"/>
              <w:rPr>
                <w:noProof/>
                <w:color w:val="242828"/>
                <w:sz w:val="20"/>
                <w:szCs w:val="20"/>
              </w:rPr>
            </w:pPr>
            <w:r w:rsidRPr="00415C95">
              <w:rPr>
                <w:noProof/>
                <w:color w:val="242828"/>
                <w:sz w:val="20"/>
                <w:szCs w:val="20"/>
              </w:rPr>
              <w:t>53</w:t>
            </w:r>
          </w:p>
        </w:tc>
        <w:tc>
          <w:tcPr>
            <w:tcW w:w="506" w:type="pct"/>
            <w:tcBorders>
              <w:top w:val="nil"/>
              <w:left w:val="nil"/>
              <w:bottom w:val="single" w:sz="4" w:space="0" w:color="auto"/>
              <w:right w:val="single" w:sz="4" w:space="0" w:color="auto"/>
            </w:tcBorders>
            <w:noWrap/>
            <w:hideMark/>
          </w:tcPr>
          <w:p w14:paraId="49B09814" w14:textId="77777777" w:rsidR="00415C95" w:rsidRPr="00415C95" w:rsidRDefault="00415C95">
            <w:pPr>
              <w:jc w:val="center"/>
              <w:rPr>
                <w:noProof/>
                <w:color w:val="242828"/>
                <w:sz w:val="20"/>
                <w:szCs w:val="20"/>
              </w:rPr>
            </w:pPr>
            <w:r w:rsidRPr="00415C95">
              <w:rPr>
                <w:noProof/>
                <w:color w:val="242828"/>
                <w:sz w:val="20"/>
                <w:szCs w:val="20"/>
              </w:rPr>
              <w:t>58</w:t>
            </w:r>
          </w:p>
        </w:tc>
        <w:tc>
          <w:tcPr>
            <w:tcW w:w="506" w:type="pct"/>
            <w:tcBorders>
              <w:top w:val="nil"/>
              <w:left w:val="nil"/>
              <w:bottom w:val="single" w:sz="4" w:space="0" w:color="auto"/>
              <w:right w:val="single" w:sz="4" w:space="0" w:color="auto"/>
            </w:tcBorders>
            <w:noWrap/>
            <w:hideMark/>
          </w:tcPr>
          <w:p w14:paraId="16C711A2" w14:textId="77777777" w:rsidR="00415C95" w:rsidRPr="00415C95" w:rsidRDefault="00415C95">
            <w:pPr>
              <w:jc w:val="center"/>
              <w:rPr>
                <w:noProof/>
                <w:color w:val="242828"/>
                <w:sz w:val="20"/>
                <w:szCs w:val="20"/>
              </w:rPr>
            </w:pPr>
            <w:r w:rsidRPr="00415C95">
              <w:rPr>
                <w:noProof/>
                <w:color w:val="242828"/>
                <w:sz w:val="20"/>
                <w:szCs w:val="20"/>
              </w:rPr>
              <w:t>94</w:t>
            </w:r>
          </w:p>
        </w:tc>
        <w:tc>
          <w:tcPr>
            <w:tcW w:w="506" w:type="pct"/>
            <w:tcBorders>
              <w:top w:val="nil"/>
              <w:left w:val="nil"/>
              <w:bottom w:val="single" w:sz="4" w:space="0" w:color="auto"/>
              <w:right w:val="single" w:sz="4" w:space="0" w:color="auto"/>
            </w:tcBorders>
            <w:noWrap/>
            <w:hideMark/>
          </w:tcPr>
          <w:p w14:paraId="6DFC2993" w14:textId="77777777" w:rsidR="00415C95" w:rsidRPr="00415C95" w:rsidRDefault="00415C95">
            <w:pPr>
              <w:jc w:val="center"/>
              <w:rPr>
                <w:noProof/>
                <w:color w:val="242828"/>
                <w:sz w:val="20"/>
                <w:szCs w:val="20"/>
              </w:rPr>
            </w:pPr>
            <w:r w:rsidRPr="00415C95">
              <w:rPr>
                <w:noProof/>
                <w:color w:val="242828"/>
                <w:sz w:val="20"/>
                <w:szCs w:val="20"/>
              </w:rPr>
              <w:t>94</w:t>
            </w:r>
          </w:p>
        </w:tc>
      </w:tr>
      <w:tr w:rsidR="00415C95" w:rsidRPr="00415C95" w14:paraId="20396E5C"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41C4DA8C" w14:textId="77777777" w:rsidR="00415C95" w:rsidRPr="00415C95" w:rsidRDefault="00415C95">
            <w:pPr>
              <w:rPr>
                <w:b/>
                <w:bCs/>
                <w:noProof/>
                <w:color w:val="242828"/>
                <w:sz w:val="20"/>
                <w:szCs w:val="20"/>
              </w:rPr>
            </w:pPr>
            <w:r w:rsidRPr="00415C95">
              <w:rPr>
                <w:b/>
                <w:bCs/>
                <w:noProof/>
                <w:color w:val="242828"/>
                <w:sz w:val="20"/>
                <w:szCs w:val="20"/>
              </w:rPr>
              <w:t>Total</w:t>
            </w:r>
          </w:p>
        </w:tc>
        <w:tc>
          <w:tcPr>
            <w:tcW w:w="506" w:type="pct"/>
            <w:tcBorders>
              <w:top w:val="nil"/>
              <w:left w:val="nil"/>
              <w:bottom w:val="single" w:sz="4" w:space="0" w:color="auto"/>
              <w:right w:val="single" w:sz="4" w:space="0" w:color="auto"/>
            </w:tcBorders>
            <w:noWrap/>
            <w:hideMark/>
          </w:tcPr>
          <w:p w14:paraId="38010666" w14:textId="77777777" w:rsidR="00415C95" w:rsidRPr="00415C95" w:rsidRDefault="00415C95">
            <w:pPr>
              <w:jc w:val="center"/>
              <w:rPr>
                <w:b/>
                <w:bCs/>
                <w:noProof/>
                <w:color w:val="242828"/>
                <w:sz w:val="20"/>
                <w:szCs w:val="20"/>
              </w:rPr>
            </w:pPr>
            <w:r w:rsidRPr="00415C95">
              <w:rPr>
                <w:b/>
                <w:bCs/>
                <w:noProof/>
                <w:color w:val="242828"/>
                <w:sz w:val="20"/>
                <w:szCs w:val="20"/>
              </w:rPr>
              <w:t>364</w:t>
            </w:r>
          </w:p>
        </w:tc>
        <w:tc>
          <w:tcPr>
            <w:tcW w:w="506" w:type="pct"/>
            <w:tcBorders>
              <w:top w:val="nil"/>
              <w:left w:val="nil"/>
              <w:bottom w:val="single" w:sz="4" w:space="0" w:color="auto"/>
              <w:right w:val="single" w:sz="4" w:space="0" w:color="auto"/>
            </w:tcBorders>
            <w:noWrap/>
            <w:hideMark/>
          </w:tcPr>
          <w:p w14:paraId="1A5F5338" w14:textId="77777777" w:rsidR="00415C95" w:rsidRPr="00415C95" w:rsidRDefault="00415C95">
            <w:pPr>
              <w:jc w:val="center"/>
              <w:rPr>
                <w:b/>
                <w:bCs/>
                <w:noProof/>
                <w:color w:val="242828"/>
                <w:sz w:val="20"/>
                <w:szCs w:val="20"/>
              </w:rPr>
            </w:pPr>
            <w:r w:rsidRPr="00415C95">
              <w:rPr>
                <w:b/>
                <w:bCs/>
                <w:noProof/>
                <w:color w:val="242828"/>
                <w:sz w:val="20"/>
                <w:szCs w:val="20"/>
              </w:rPr>
              <w:t>395</w:t>
            </w:r>
          </w:p>
        </w:tc>
        <w:tc>
          <w:tcPr>
            <w:tcW w:w="506" w:type="pct"/>
            <w:tcBorders>
              <w:top w:val="nil"/>
              <w:left w:val="nil"/>
              <w:bottom w:val="single" w:sz="4" w:space="0" w:color="auto"/>
              <w:right w:val="single" w:sz="4" w:space="0" w:color="auto"/>
            </w:tcBorders>
            <w:noWrap/>
            <w:hideMark/>
          </w:tcPr>
          <w:p w14:paraId="56084EDA" w14:textId="77777777" w:rsidR="00415C95" w:rsidRPr="00415C95" w:rsidRDefault="00415C95">
            <w:pPr>
              <w:jc w:val="center"/>
              <w:rPr>
                <w:b/>
                <w:bCs/>
                <w:noProof/>
                <w:color w:val="242828"/>
                <w:sz w:val="20"/>
                <w:szCs w:val="20"/>
              </w:rPr>
            </w:pPr>
            <w:r w:rsidRPr="00415C95">
              <w:rPr>
                <w:b/>
                <w:bCs/>
                <w:noProof/>
                <w:color w:val="242828"/>
                <w:sz w:val="20"/>
                <w:szCs w:val="20"/>
              </w:rPr>
              <w:t>630</w:t>
            </w:r>
          </w:p>
        </w:tc>
        <w:tc>
          <w:tcPr>
            <w:tcW w:w="506" w:type="pct"/>
            <w:tcBorders>
              <w:top w:val="nil"/>
              <w:left w:val="nil"/>
              <w:bottom w:val="single" w:sz="4" w:space="0" w:color="auto"/>
              <w:right w:val="single" w:sz="4" w:space="0" w:color="auto"/>
            </w:tcBorders>
            <w:noWrap/>
            <w:hideMark/>
          </w:tcPr>
          <w:p w14:paraId="17C5F44A" w14:textId="77777777" w:rsidR="00415C95" w:rsidRPr="00415C95" w:rsidRDefault="00415C95">
            <w:pPr>
              <w:jc w:val="center"/>
              <w:rPr>
                <w:b/>
                <w:bCs/>
                <w:noProof/>
                <w:color w:val="242828"/>
                <w:sz w:val="20"/>
                <w:szCs w:val="20"/>
              </w:rPr>
            </w:pPr>
            <w:r w:rsidRPr="00415C95">
              <w:rPr>
                <w:b/>
                <w:bCs/>
                <w:noProof/>
                <w:color w:val="242828"/>
                <w:sz w:val="20"/>
                <w:szCs w:val="20"/>
              </w:rPr>
              <w:t>630</w:t>
            </w:r>
          </w:p>
        </w:tc>
      </w:tr>
      <w:tr w:rsidR="00415C95" w:rsidRPr="00415C95" w14:paraId="20E58F3B" w14:textId="77777777" w:rsidTr="00415C95">
        <w:trPr>
          <w:trHeight w:val="255"/>
        </w:trPr>
        <w:tc>
          <w:tcPr>
            <w:tcW w:w="2975" w:type="pct"/>
            <w:tcBorders>
              <w:top w:val="nil"/>
              <w:left w:val="single" w:sz="4" w:space="0" w:color="auto"/>
              <w:bottom w:val="single" w:sz="4" w:space="0" w:color="auto"/>
              <w:right w:val="single" w:sz="4" w:space="0" w:color="auto"/>
            </w:tcBorders>
            <w:shd w:val="clear" w:color="000000" w:fill="BDE3FF"/>
            <w:hideMark/>
          </w:tcPr>
          <w:p w14:paraId="564B9118" w14:textId="77777777" w:rsidR="00415C95" w:rsidRPr="00415C95" w:rsidRDefault="00415C95">
            <w:pPr>
              <w:rPr>
                <w:b/>
                <w:bCs/>
                <w:noProof/>
                <w:sz w:val="20"/>
                <w:szCs w:val="20"/>
              </w:rPr>
            </w:pPr>
            <w:r w:rsidRPr="00415C95">
              <w:rPr>
                <w:b/>
                <w:bCs/>
                <w:noProof/>
                <w:sz w:val="20"/>
                <w:szCs w:val="20"/>
              </w:rPr>
              <w:t>PO4</w:t>
            </w:r>
          </w:p>
        </w:tc>
        <w:tc>
          <w:tcPr>
            <w:tcW w:w="506" w:type="pct"/>
            <w:tcBorders>
              <w:top w:val="nil"/>
              <w:left w:val="nil"/>
              <w:bottom w:val="single" w:sz="4" w:space="0" w:color="auto"/>
              <w:right w:val="single" w:sz="4" w:space="0" w:color="auto"/>
            </w:tcBorders>
            <w:shd w:val="clear" w:color="000000" w:fill="BDE3FF"/>
            <w:hideMark/>
          </w:tcPr>
          <w:p w14:paraId="2C0A1F1C" w14:textId="77777777" w:rsidR="00415C95" w:rsidRPr="00415C95" w:rsidRDefault="00415C95">
            <w:pPr>
              <w:rPr>
                <w:b/>
                <w:bCs/>
                <w:noProof/>
                <w:sz w:val="20"/>
                <w:szCs w:val="20"/>
              </w:rPr>
            </w:pPr>
            <w:r w:rsidRPr="00415C95">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1B584366" w14:textId="77777777" w:rsidR="00415C95" w:rsidRPr="00415C95" w:rsidRDefault="00415C95">
            <w:pPr>
              <w:rPr>
                <w:b/>
                <w:bCs/>
                <w:noProof/>
                <w:sz w:val="20"/>
                <w:szCs w:val="20"/>
              </w:rPr>
            </w:pPr>
            <w:r w:rsidRPr="00415C95">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241E6BCF" w14:textId="77777777" w:rsidR="00415C95" w:rsidRPr="00415C95" w:rsidRDefault="00415C95">
            <w:pPr>
              <w:rPr>
                <w:b/>
                <w:bCs/>
                <w:noProof/>
                <w:sz w:val="20"/>
                <w:szCs w:val="20"/>
              </w:rPr>
            </w:pPr>
            <w:r w:rsidRPr="00415C95">
              <w:rPr>
                <w:b/>
                <w:bCs/>
                <w:noProof/>
                <w:sz w:val="20"/>
                <w:szCs w:val="20"/>
              </w:rPr>
              <w:t> </w:t>
            </w:r>
          </w:p>
        </w:tc>
        <w:tc>
          <w:tcPr>
            <w:tcW w:w="506" w:type="pct"/>
            <w:tcBorders>
              <w:top w:val="nil"/>
              <w:left w:val="nil"/>
              <w:bottom w:val="single" w:sz="4" w:space="0" w:color="auto"/>
              <w:right w:val="single" w:sz="4" w:space="0" w:color="auto"/>
            </w:tcBorders>
            <w:shd w:val="clear" w:color="000000" w:fill="BDE3FF"/>
            <w:hideMark/>
          </w:tcPr>
          <w:p w14:paraId="3E1AB02D" w14:textId="77777777" w:rsidR="00415C95" w:rsidRPr="00415C95" w:rsidRDefault="00415C95">
            <w:pPr>
              <w:rPr>
                <w:b/>
                <w:bCs/>
                <w:noProof/>
                <w:sz w:val="20"/>
                <w:szCs w:val="20"/>
              </w:rPr>
            </w:pPr>
            <w:r w:rsidRPr="00415C95">
              <w:rPr>
                <w:b/>
                <w:bCs/>
                <w:noProof/>
                <w:sz w:val="20"/>
                <w:szCs w:val="20"/>
              </w:rPr>
              <w:t> </w:t>
            </w:r>
          </w:p>
        </w:tc>
      </w:tr>
      <w:tr w:rsidR="00415C95" w:rsidRPr="00415C95" w14:paraId="1372FA75"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21B49EF4" w14:textId="77777777" w:rsidR="00415C95" w:rsidRPr="00415C95" w:rsidRDefault="00415C95">
            <w:pPr>
              <w:rPr>
                <w:noProof/>
                <w:color w:val="000000"/>
                <w:sz w:val="20"/>
                <w:szCs w:val="20"/>
              </w:rPr>
            </w:pPr>
            <w:r w:rsidRPr="00415C95">
              <w:rPr>
                <w:noProof/>
                <w:color w:val="000000"/>
                <w:sz w:val="20"/>
                <w:szCs w:val="20"/>
              </w:rPr>
              <w:t>Leaders</w:t>
            </w:r>
          </w:p>
        </w:tc>
        <w:tc>
          <w:tcPr>
            <w:tcW w:w="506" w:type="pct"/>
            <w:tcBorders>
              <w:top w:val="nil"/>
              <w:left w:val="nil"/>
              <w:bottom w:val="single" w:sz="4" w:space="0" w:color="auto"/>
              <w:right w:val="single" w:sz="4" w:space="0" w:color="auto"/>
            </w:tcBorders>
            <w:noWrap/>
            <w:hideMark/>
          </w:tcPr>
          <w:p w14:paraId="2942CC49" w14:textId="77777777" w:rsidR="00415C95" w:rsidRPr="00415C95" w:rsidRDefault="00415C95">
            <w:pPr>
              <w:jc w:val="center"/>
              <w:rPr>
                <w:noProof/>
                <w:color w:val="242828"/>
                <w:sz w:val="20"/>
                <w:szCs w:val="20"/>
              </w:rPr>
            </w:pPr>
            <w:r w:rsidRPr="00415C95">
              <w:rPr>
                <w:noProof/>
                <w:color w:val="242828"/>
                <w:sz w:val="20"/>
                <w:szCs w:val="20"/>
              </w:rPr>
              <w:t>154</w:t>
            </w:r>
          </w:p>
        </w:tc>
        <w:tc>
          <w:tcPr>
            <w:tcW w:w="506" w:type="pct"/>
            <w:tcBorders>
              <w:top w:val="nil"/>
              <w:left w:val="nil"/>
              <w:bottom w:val="single" w:sz="4" w:space="0" w:color="auto"/>
              <w:right w:val="single" w:sz="4" w:space="0" w:color="auto"/>
            </w:tcBorders>
            <w:noWrap/>
            <w:hideMark/>
          </w:tcPr>
          <w:p w14:paraId="02A3D79A" w14:textId="77777777" w:rsidR="00415C95" w:rsidRPr="00415C95" w:rsidRDefault="00415C95">
            <w:pPr>
              <w:jc w:val="center"/>
              <w:rPr>
                <w:noProof/>
                <w:color w:val="242828"/>
                <w:sz w:val="20"/>
                <w:szCs w:val="20"/>
              </w:rPr>
            </w:pPr>
            <w:r w:rsidRPr="00415C95">
              <w:rPr>
                <w:noProof/>
                <w:color w:val="242828"/>
                <w:sz w:val="20"/>
                <w:szCs w:val="20"/>
              </w:rPr>
              <w:t>166</w:t>
            </w:r>
          </w:p>
        </w:tc>
        <w:tc>
          <w:tcPr>
            <w:tcW w:w="506" w:type="pct"/>
            <w:tcBorders>
              <w:top w:val="nil"/>
              <w:left w:val="nil"/>
              <w:bottom w:val="single" w:sz="4" w:space="0" w:color="auto"/>
              <w:right w:val="single" w:sz="4" w:space="0" w:color="auto"/>
            </w:tcBorders>
            <w:noWrap/>
            <w:hideMark/>
          </w:tcPr>
          <w:p w14:paraId="6292E292" w14:textId="77777777" w:rsidR="00415C95" w:rsidRPr="00415C95" w:rsidRDefault="00415C95">
            <w:pPr>
              <w:jc w:val="center"/>
              <w:rPr>
                <w:noProof/>
                <w:color w:val="242828"/>
                <w:sz w:val="20"/>
                <w:szCs w:val="20"/>
              </w:rPr>
            </w:pPr>
            <w:r w:rsidRPr="00415C95">
              <w:rPr>
                <w:noProof/>
                <w:color w:val="242828"/>
                <w:sz w:val="20"/>
                <w:szCs w:val="20"/>
              </w:rPr>
              <w:t>266</w:t>
            </w:r>
          </w:p>
        </w:tc>
        <w:tc>
          <w:tcPr>
            <w:tcW w:w="506" w:type="pct"/>
            <w:tcBorders>
              <w:top w:val="nil"/>
              <w:left w:val="nil"/>
              <w:bottom w:val="single" w:sz="4" w:space="0" w:color="auto"/>
              <w:right w:val="single" w:sz="4" w:space="0" w:color="auto"/>
            </w:tcBorders>
            <w:noWrap/>
            <w:hideMark/>
          </w:tcPr>
          <w:p w14:paraId="380ADAA7" w14:textId="77777777" w:rsidR="00415C95" w:rsidRPr="00415C95" w:rsidRDefault="00415C95">
            <w:pPr>
              <w:jc w:val="center"/>
              <w:rPr>
                <w:noProof/>
                <w:color w:val="242828"/>
                <w:sz w:val="20"/>
                <w:szCs w:val="20"/>
              </w:rPr>
            </w:pPr>
            <w:r w:rsidRPr="00415C95">
              <w:rPr>
                <w:noProof/>
                <w:color w:val="242828"/>
                <w:sz w:val="20"/>
                <w:szCs w:val="20"/>
              </w:rPr>
              <w:t>257</w:t>
            </w:r>
          </w:p>
        </w:tc>
      </w:tr>
      <w:tr w:rsidR="00415C95" w:rsidRPr="00415C95" w14:paraId="719E855C"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3CFF206A" w14:textId="77777777" w:rsidR="00415C95" w:rsidRPr="00415C95" w:rsidRDefault="00415C95">
            <w:pPr>
              <w:rPr>
                <w:noProof/>
                <w:color w:val="000000"/>
                <w:sz w:val="20"/>
                <w:szCs w:val="20"/>
              </w:rPr>
            </w:pPr>
            <w:r w:rsidRPr="00415C95">
              <w:rPr>
                <w:noProof/>
                <w:color w:val="000000"/>
                <w:sz w:val="20"/>
                <w:szCs w:val="20"/>
              </w:rPr>
              <w:t>Planned adopters</w:t>
            </w:r>
          </w:p>
        </w:tc>
        <w:tc>
          <w:tcPr>
            <w:tcW w:w="506" w:type="pct"/>
            <w:tcBorders>
              <w:top w:val="nil"/>
              <w:left w:val="nil"/>
              <w:bottom w:val="single" w:sz="4" w:space="0" w:color="auto"/>
              <w:right w:val="single" w:sz="4" w:space="0" w:color="auto"/>
            </w:tcBorders>
            <w:noWrap/>
            <w:hideMark/>
          </w:tcPr>
          <w:p w14:paraId="228B480B" w14:textId="77777777" w:rsidR="00415C95" w:rsidRPr="00415C95" w:rsidRDefault="00415C95">
            <w:pPr>
              <w:jc w:val="center"/>
              <w:rPr>
                <w:noProof/>
                <w:color w:val="242828"/>
                <w:sz w:val="20"/>
                <w:szCs w:val="20"/>
              </w:rPr>
            </w:pPr>
            <w:r w:rsidRPr="00415C95">
              <w:rPr>
                <w:noProof/>
                <w:color w:val="242828"/>
                <w:sz w:val="20"/>
                <w:szCs w:val="20"/>
              </w:rPr>
              <w:t>157</w:t>
            </w:r>
          </w:p>
        </w:tc>
        <w:tc>
          <w:tcPr>
            <w:tcW w:w="506" w:type="pct"/>
            <w:tcBorders>
              <w:top w:val="nil"/>
              <w:left w:val="nil"/>
              <w:bottom w:val="single" w:sz="4" w:space="0" w:color="auto"/>
              <w:right w:val="single" w:sz="4" w:space="0" w:color="auto"/>
            </w:tcBorders>
            <w:noWrap/>
            <w:hideMark/>
          </w:tcPr>
          <w:p w14:paraId="5457970D" w14:textId="77777777" w:rsidR="00415C95" w:rsidRPr="00415C95" w:rsidRDefault="00415C95">
            <w:pPr>
              <w:jc w:val="center"/>
              <w:rPr>
                <w:noProof/>
                <w:color w:val="242828"/>
                <w:sz w:val="20"/>
                <w:szCs w:val="20"/>
              </w:rPr>
            </w:pPr>
            <w:r w:rsidRPr="00415C95">
              <w:rPr>
                <w:noProof/>
                <w:color w:val="242828"/>
                <w:sz w:val="20"/>
                <w:szCs w:val="20"/>
              </w:rPr>
              <w:t>172</w:t>
            </w:r>
          </w:p>
        </w:tc>
        <w:tc>
          <w:tcPr>
            <w:tcW w:w="506" w:type="pct"/>
            <w:tcBorders>
              <w:top w:val="nil"/>
              <w:left w:val="nil"/>
              <w:bottom w:val="single" w:sz="4" w:space="0" w:color="auto"/>
              <w:right w:val="single" w:sz="4" w:space="0" w:color="auto"/>
            </w:tcBorders>
            <w:noWrap/>
            <w:hideMark/>
          </w:tcPr>
          <w:p w14:paraId="3F4AAB62" w14:textId="77777777" w:rsidR="00415C95" w:rsidRPr="00415C95" w:rsidRDefault="00415C95">
            <w:pPr>
              <w:jc w:val="center"/>
              <w:rPr>
                <w:noProof/>
                <w:color w:val="242828"/>
                <w:sz w:val="20"/>
                <w:szCs w:val="20"/>
              </w:rPr>
            </w:pPr>
            <w:r w:rsidRPr="00415C95">
              <w:rPr>
                <w:noProof/>
                <w:color w:val="242828"/>
                <w:sz w:val="20"/>
                <w:szCs w:val="20"/>
              </w:rPr>
              <w:t>289</w:t>
            </w:r>
          </w:p>
        </w:tc>
        <w:tc>
          <w:tcPr>
            <w:tcW w:w="506" w:type="pct"/>
            <w:tcBorders>
              <w:top w:val="nil"/>
              <w:left w:val="nil"/>
              <w:bottom w:val="single" w:sz="4" w:space="0" w:color="auto"/>
              <w:right w:val="single" w:sz="4" w:space="0" w:color="auto"/>
            </w:tcBorders>
            <w:noWrap/>
            <w:hideMark/>
          </w:tcPr>
          <w:p w14:paraId="2E9DAA64" w14:textId="77777777" w:rsidR="00415C95" w:rsidRPr="00415C95" w:rsidRDefault="00415C95">
            <w:pPr>
              <w:jc w:val="center"/>
              <w:rPr>
                <w:noProof/>
                <w:color w:val="242828"/>
                <w:sz w:val="20"/>
                <w:szCs w:val="20"/>
              </w:rPr>
            </w:pPr>
            <w:r w:rsidRPr="00415C95">
              <w:rPr>
                <w:noProof/>
                <w:color w:val="242828"/>
                <w:sz w:val="20"/>
                <w:szCs w:val="20"/>
              </w:rPr>
              <w:t>279</w:t>
            </w:r>
          </w:p>
        </w:tc>
      </w:tr>
      <w:tr w:rsidR="00415C95" w:rsidRPr="00415C95" w14:paraId="4B92450B"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696EFBC0" w14:textId="77777777" w:rsidR="00415C95" w:rsidRPr="00415C95" w:rsidRDefault="00415C95">
            <w:pPr>
              <w:rPr>
                <w:noProof/>
                <w:color w:val="242828"/>
                <w:sz w:val="20"/>
                <w:szCs w:val="20"/>
              </w:rPr>
            </w:pPr>
            <w:r w:rsidRPr="00415C95">
              <w:rPr>
                <w:noProof/>
                <w:color w:val="242828"/>
                <w:sz w:val="20"/>
                <w:szCs w:val="20"/>
              </w:rPr>
              <w:t>Followers</w:t>
            </w:r>
          </w:p>
        </w:tc>
        <w:tc>
          <w:tcPr>
            <w:tcW w:w="506" w:type="pct"/>
            <w:tcBorders>
              <w:top w:val="nil"/>
              <w:left w:val="nil"/>
              <w:bottom w:val="single" w:sz="4" w:space="0" w:color="auto"/>
              <w:right w:val="single" w:sz="4" w:space="0" w:color="auto"/>
            </w:tcBorders>
            <w:noWrap/>
            <w:hideMark/>
          </w:tcPr>
          <w:p w14:paraId="61BCF327" w14:textId="77777777" w:rsidR="00415C95" w:rsidRPr="00415C95" w:rsidRDefault="00415C95">
            <w:pPr>
              <w:jc w:val="center"/>
              <w:rPr>
                <w:noProof/>
                <w:color w:val="242828"/>
                <w:sz w:val="20"/>
                <w:szCs w:val="20"/>
              </w:rPr>
            </w:pPr>
            <w:r w:rsidRPr="00415C95">
              <w:rPr>
                <w:noProof/>
                <w:color w:val="242828"/>
                <w:sz w:val="20"/>
                <w:szCs w:val="20"/>
              </w:rPr>
              <w:t>53</w:t>
            </w:r>
          </w:p>
        </w:tc>
        <w:tc>
          <w:tcPr>
            <w:tcW w:w="506" w:type="pct"/>
            <w:tcBorders>
              <w:top w:val="nil"/>
              <w:left w:val="nil"/>
              <w:bottom w:val="single" w:sz="4" w:space="0" w:color="auto"/>
              <w:right w:val="single" w:sz="4" w:space="0" w:color="auto"/>
            </w:tcBorders>
            <w:noWrap/>
            <w:hideMark/>
          </w:tcPr>
          <w:p w14:paraId="28C9096B" w14:textId="77777777" w:rsidR="00415C95" w:rsidRPr="00415C95" w:rsidRDefault="00415C95">
            <w:pPr>
              <w:jc w:val="center"/>
              <w:rPr>
                <w:noProof/>
                <w:color w:val="242828"/>
                <w:sz w:val="20"/>
                <w:szCs w:val="20"/>
              </w:rPr>
            </w:pPr>
            <w:r w:rsidRPr="00415C95">
              <w:rPr>
                <w:noProof/>
                <w:color w:val="242828"/>
                <w:sz w:val="20"/>
                <w:szCs w:val="20"/>
              </w:rPr>
              <w:t>58</w:t>
            </w:r>
          </w:p>
        </w:tc>
        <w:tc>
          <w:tcPr>
            <w:tcW w:w="506" w:type="pct"/>
            <w:tcBorders>
              <w:top w:val="nil"/>
              <w:left w:val="nil"/>
              <w:bottom w:val="single" w:sz="4" w:space="0" w:color="auto"/>
              <w:right w:val="single" w:sz="4" w:space="0" w:color="auto"/>
            </w:tcBorders>
            <w:noWrap/>
            <w:hideMark/>
          </w:tcPr>
          <w:p w14:paraId="437B1713" w14:textId="77777777" w:rsidR="00415C95" w:rsidRPr="00415C95" w:rsidRDefault="00415C95">
            <w:pPr>
              <w:jc w:val="center"/>
              <w:rPr>
                <w:noProof/>
                <w:color w:val="242828"/>
                <w:sz w:val="20"/>
                <w:szCs w:val="20"/>
              </w:rPr>
            </w:pPr>
            <w:r w:rsidRPr="00415C95">
              <w:rPr>
                <w:noProof/>
                <w:color w:val="242828"/>
                <w:sz w:val="20"/>
                <w:szCs w:val="20"/>
              </w:rPr>
              <w:t>98</w:t>
            </w:r>
          </w:p>
        </w:tc>
        <w:tc>
          <w:tcPr>
            <w:tcW w:w="506" w:type="pct"/>
            <w:tcBorders>
              <w:top w:val="nil"/>
              <w:left w:val="nil"/>
              <w:bottom w:val="single" w:sz="4" w:space="0" w:color="auto"/>
              <w:right w:val="single" w:sz="4" w:space="0" w:color="auto"/>
            </w:tcBorders>
            <w:noWrap/>
            <w:hideMark/>
          </w:tcPr>
          <w:p w14:paraId="64311F7F" w14:textId="77777777" w:rsidR="00415C95" w:rsidRPr="00415C95" w:rsidRDefault="00415C95">
            <w:pPr>
              <w:jc w:val="center"/>
              <w:rPr>
                <w:noProof/>
                <w:color w:val="242828"/>
                <w:sz w:val="20"/>
                <w:szCs w:val="20"/>
              </w:rPr>
            </w:pPr>
            <w:r w:rsidRPr="00415C95">
              <w:rPr>
                <w:noProof/>
                <w:color w:val="242828"/>
                <w:sz w:val="20"/>
                <w:szCs w:val="20"/>
              </w:rPr>
              <w:t>94</w:t>
            </w:r>
          </w:p>
        </w:tc>
      </w:tr>
      <w:tr w:rsidR="00415C95" w:rsidRPr="00415C95" w14:paraId="7FB706C4" w14:textId="77777777" w:rsidTr="00415C95">
        <w:trPr>
          <w:trHeight w:val="255"/>
        </w:trPr>
        <w:tc>
          <w:tcPr>
            <w:tcW w:w="2975" w:type="pct"/>
            <w:tcBorders>
              <w:top w:val="nil"/>
              <w:left w:val="single" w:sz="4" w:space="0" w:color="auto"/>
              <w:bottom w:val="single" w:sz="4" w:space="0" w:color="auto"/>
              <w:right w:val="single" w:sz="4" w:space="0" w:color="auto"/>
            </w:tcBorders>
            <w:noWrap/>
            <w:hideMark/>
          </w:tcPr>
          <w:p w14:paraId="456FA524" w14:textId="77777777" w:rsidR="00415C95" w:rsidRPr="00415C95" w:rsidRDefault="00415C95">
            <w:pPr>
              <w:rPr>
                <w:b/>
                <w:bCs/>
                <w:noProof/>
                <w:color w:val="242828"/>
                <w:sz w:val="20"/>
                <w:szCs w:val="20"/>
              </w:rPr>
            </w:pPr>
            <w:r w:rsidRPr="00415C95">
              <w:rPr>
                <w:b/>
                <w:bCs/>
                <w:noProof/>
                <w:color w:val="242828"/>
                <w:sz w:val="20"/>
                <w:szCs w:val="20"/>
              </w:rPr>
              <w:t>Total</w:t>
            </w:r>
          </w:p>
        </w:tc>
        <w:tc>
          <w:tcPr>
            <w:tcW w:w="506" w:type="pct"/>
            <w:tcBorders>
              <w:top w:val="nil"/>
              <w:left w:val="nil"/>
              <w:bottom w:val="single" w:sz="4" w:space="0" w:color="auto"/>
              <w:right w:val="single" w:sz="4" w:space="0" w:color="auto"/>
            </w:tcBorders>
            <w:noWrap/>
            <w:hideMark/>
          </w:tcPr>
          <w:p w14:paraId="671F305D" w14:textId="77777777" w:rsidR="00415C95" w:rsidRPr="00415C95" w:rsidRDefault="00415C95">
            <w:pPr>
              <w:jc w:val="center"/>
              <w:rPr>
                <w:b/>
                <w:bCs/>
                <w:noProof/>
                <w:color w:val="242828"/>
                <w:sz w:val="20"/>
                <w:szCs w:val="20"/>
              </w:rPr>
            </w:pPr>
            <w:r w:rsidRPr="00415C95">
              <w:rPr>
                <w:b/>
                <w:bCs/>
                <w:noProof/>
                <w:color w:val="242828"/>
                <w:sz w:val="20"/>
                <w:szCs w:val="20"/>
              </w:rPr>
              <w:t>364</w:t>
            </w:r>
          </w:p>
        </w:tc>
        <w:tc>
          <w:tcPr>
            <w:tcW w:w="506" w:type="pct"/>
            <w:tcBorders>
              <w:top w:val="nil"/>
              <w:left w:val="nil"/>
              <w:bottom w:val="single" w:sz="4" w:space="0" w:color="auto"/>
              <w:right w:val="single" w:sz="4" w:space="0" w:color="auto"/>
            </w:tcBorders>
            <w:noWrap/>
            <w:hideMark/>
          </w:tcPr>
          <w:p w14:paraId="328F5B45" w14:textId="77777777" w:rsidR="00415C95" w:rsidRPr="00415C95" w:rsidRDefault="00415C95">
            <w:pPr>
              <w:jc w:val="center"/>
              <w:rPr>
                <w:b/>
                <w:bCs/>
                <w:noProof/>
                <w:color w:val="242828"/>
                <w:sz w:val="20"/>
                <w:szCs w:val="20"/>
              </w:rPr>
            </w:pPr>
            <w:r w:rsidRPr="00415C95">
              <w:rPr>
                <w:b/>
                <w:bCs/>
                <w:noProof/>
                <w:color w:val="242828"/>
                <w:sz w:val="20"/>
                <w:szCs w:val="20"/>
              </w:rPr>
              <w:t>396</w:t>
            </w:r>
          </w:p>
        </w:tc>
        <w:tc>
          <w:tcPr>
            <w:tcW w:w="506" w:type="pct"/>
            <w:tcBorders>
              <w:top w:val="nil"/>
              <w:left w:val="nil"/>
              <w:bottom w:val="single" w:sz="4" w:space="0" w:color="auto"/>
              <w:right w:val="single" w:sz="4" w:space="0" w:color="auto"/>
            </w:tcBorders>
            <w:noWrap/>
            <w:hideMark/>
          </w:tcPr>
          <w:p w14:paraId="40AD26BB" w14:textId="77777777" w:rsidR="00415C95" w:rsidRPr="00415C95" w:rsidRDefault="00415C95">
            <w:pPr>
              <w:jc w:val="center"/>
              <w:rPr>
                <w:b/>
                <w:bCs/>
                <w:noProof/>
                <w:color w:val="242828"/>
                <w:sz w:val="20"/>
                <w:szCs w:val="20"/>
              </w:rPr>
            </w:pPr>
            <w:r w:rsidRPr="00415C95">
              <w:rPr>
                <w:b/>
                <w:bCs/>
                <w:noProof/>
                <w:color w:val="242828"/>
                <w:sz w:val="20"/>
                <w:szCs w:val="20"/>
              </w:rPr>
              <w:t>653</w:t>
            </w:r>
          </w:p>
        </w:tc>
        <w:tc>
          <w:tcPr>
            <w:tcW w:w="506" w:type="pct"/>
            <w:tcBorders>
              <w:top w:val="nil"/>
              <w:left w:val="nil"/>
              <w:bottom w:val="single" w:sz="4" w:space="0" w:color="auto"/>
              <w:right w:val="single" w:sz="4" w:space="0" w:color="auto"/>
            </w:tcBorders>
            <w:noWrap/>
            <w:hideMark/>
          </w:tcPr>
          <w:p w14:paraId="4DB3A468" w14:textId="77777777" w:rsidR="00415C95" w:rsidRPr="00415C95" w:rsidRDefault="00415C95">
            <w:pPr>
              <w:jc w:val="center"/>
              <w:rPr>
                <w:b/>
                <w:bCs/>
                <w:noProof/>
                <w:color w:val="242828"/>
                <w:sz w:val="20"/>
                <w:szCs w:val="20"/>
              </w:rPr>
            </w:pPr>
            <w:r w:rsidRPr="00415C95">
              <w:rPr>
                <w:b/>
                <w:bCs/>
                <w:noProof/>
                <w:color w:val="242828"/>
                <w:sz w:val="20"/>
                <w:szCs w:val="20"/>
              </w:rPr>
              <w:t>630</w:t>
            </w:r>
          </w:p>
        </w:tc>
      </w:tr>
    </w:tbl>
    <w:p w14:paraId="4E44E1C0" w14:textId="77777777" w:rsidR="00CC77C3" w:rsidRPr="00D71008" w:rsidRDefault="00CC77C3" w:rsidP="00CC77C3">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3C8F50AF" w14:textId="06CDFE69" w:rsidR="004E21EB" w:rsidRPr="00D71008" w:rsidRDefault="004E21EB" w:rsidP="007B2D8E">
      <w:pPr>
        <w:pStyle w:val="ListParagraph"/>
        <w:keepNext/>
        <w:widowControl/>
        <w:numPr>
          <w:ilvl w:val="2"/>
          <w:numId w:val="10"/>
        </w:numPr>
        <w:autoSpaceDE/>
        <w:autoSpaceDN/>
        <w:spacing w:after="240"/>
        <w:jc w:val="both"/>
        <w:outlineLvl w:val="2"/>
        <w:rPr>
          <w:i/>
          <w:iCs/>
          <w:noProof/>
          <w:sz w:val="24"/>
          <w:szCs w:val="24"/>
        </w:rPr>
      </w:pPr>
      <w:bookmarkStart w:id="425" w:name="_Toc222749058"/>
      <w:bookmarkStart w:id="426" w:name="_Toc223980037"/>
      <w:bookmarkEnd w:id="424"/>
      <w:r>
        <w:rPr>
          <w:i/>
          <w:iCs/>
          <w:noProof/>
          <w:sz w:val="24"/>
          <w:szCs w:val="24"/>
        </w:rPr>
        <w:t>Number of transport operators</w:t>
      </w:r>
      <w:bookmarkEnd w:id="425"/>
      <w:bookmarkEnd w:id="426"/>
    </w:p>
    <w:p w14:paraId="4E54528A" w14:textId="6375019C" w:rsidR="00697C16" w:rsidRPr="00697C16" w:rsidRDefault="00697C16" w:rsidP="00697C16">
      <w:pPr>
        <w:pStyle w:val="Nornal"/>
        <w:spacing w:after="240" w:line="240" w:lineRule="auto"/>
        <w:rPr>
          <w:noProof/>
          <w:spacing w:val="-8"/>
          <w:sz w:val="24"/>
          <w:szCs w:val="24"/>
        </w:rPr>
      </w:pPr>
      <w:r w:rsidRPr="00697C16">
        <w:rPr>
          <w:noProof/>
          <w:spacing w:val="-8"/>
          <w:sz w:val="24"/>
          <w:szCs w:val="24"/>
        </w:rPr>
        <w:t xml:space="preserve">The number of transport operators is assumed to remain unchanged relative to the baseline scenario and over time. </w:t>
      </w:r>
    </w:p>
    <w:p w14:paraId="10E41403" w14:textId="798F3DE1" w:rsidR="004E21EB" w:rsidRPr="00D71008" w:rsidRDefault="004E21EB" w:rsidP="007B2D8E">
      <w:pPr>
        <w:pStyle w:val="ListParagraph"/>
        <w:keepNext/>
        <w:widowControl/>
        <w:numPr>
          <w:ilvl w:val="2"/>
          <w:numId w:val="10"/>
        </w:numPr>
        <w:autoSpaceDE/>
        <w:autoSpaceDN/>
        <w:spacing w:after="240"/>
        <w:jc w:val="both"/>
        <w:outlineLvl w:val="2"/>
        <w:rPr>
          <w:i/>
          <w:iCs/>
          <w:noProof/>
          <w:sz w:val="24"/>
          <w:szCs w:val="24"/>
        </w:rPr>
      </w:pPr>
      <w:bookmarkStart w:id="427" w:name="_Toc222749059"/>
      <w:bookmarkStart w:id="428" w:name="_Toc223980038"/>
      <w:bookmarkEnd w:id="418"/>
      <w:bookmarkEnd w:id="419"/>
      <w:bookmarkEnd w:id="420"/>
      <w:r w:rsidRPr="00D71008">
        <w:rPr>
          <w:i/>
          <w:iCs/>
          <w:noProof/>
          <w:sz w:val="24"/>
          <w:szCs w:val="24"/>
        </w:rPr>
        <w:t xml:space="preserve">Number of </w:t>
      </w:r>
      <w:r>
        <w:rPr>
          <w:i/>
          <w:iCs/>
          <w:noProof/>
          <w:sz w:val="24"/>
          <w:szCs w:val="24"/>
        </w:rPr>
        <w:t xml:space="preserve">agreements between </w:t>
      </w:r>
      <w:r w:rsidRPr="00D71008">
        <w:rPr>
          <w:i/>
          <w:iCs/>
          <w:noProof/>
          <w:sz w:val="24"/>
          <w:szCs w:val="24"/>
        </w:rPr>
        <w:t>MDMS platforms</w:t>
      </w:r>
      <w:r>
        <w:rPr>
          <w:i/>
          <w:iCs/>
          <w:noProof/>
          <w:sz w:val="24"/>
          <w:szCs w:val="24"/>
        </w:rPr>
        <w:t xml:space="preserve"> and transport operators</w:t>
      </w:r>
      <w:bookmarkEnd w:id="427"/>
      <w:bookmarkEnd w:id="428"/>
    </w:p>
    <w:p w14:paraId="058EB88D" w14:textId="3AB6C324" w:rsidR="00E05CA8" w:rsidRPr="000F304C" w:rsidRDefault="00E05CA8" w:rsidP="00E05CA8">
      <w:pPr>
        <w:pStyle w:val="Text4"/>
        <w:spacing w:before="0" w:after="240"/>
        <w:ind w:left="0"/>
        <w:rPr>
          <w:rFonts w:ascii="Times New Roman" w:eastAsia="Calibri" w:hAnsi="Times New Roman"/>
          <w:noProof/>
          <w:spacing w:val="-8"/>
          <w:sz w:val="24"/>
          <w:szCs w:val="24"/>
        </w:rPr>
      </w:pPr>
      <w:r w:rsidRPr="000F304C">
        <w:rPr>
          <w:rFonts w:ascii="Times New Roman" w:eastAsia="Calibri" w:hAnsi="Times New Roman"/>
          <w:noProof/>
          <w:spacing w:val="-8"/>
          <w:sz w:val="24"/>
          <w:szCs w:val="24"/>
        </w:rPr>
        <w:t>In PO1 the number of transport operators</w:t>
      </w:r>
      <w:r w:rsidR="006461CF">
        <w:rPr>
          <w:rFonts w:ascii="Times New Roman" w:eastAsia="Calibri" w:hAnsi="Times New Roman"/>
          <w:noProof/>
          <w:spacing w:val="-8"/>
          <w:sz w:val="24"/>
          <w:szCs w:val="24"/>
        </w:rPr>
        <w:t xml:space="preserve"> per </w:t>
      </w:r>
      <w:r w:rsidR="00D2796B">
        <w:rPr>
          <w:rFonts w:ascii="Times New Roman" w:eastAsia="Calibri" w:hAnsi="Times New Roman"/>
          <w:noProof/>
          <w:spacing w:val="-8"/>
          <w:sz w:val="24"/>
          <w:szCs w:val="24"/>
        </w:rPr>
        <w:t xml:space="preserve">MDMS </w:t>
      </w:r>
      <w:r w:rsidR="006461CF">
        <w:rPr>
          <w:rFonts w:ascii="Times New Roman" w:eastAsia="Calibri" w:hAnsi="Times New Roman"/>
          <w:noProof/>
          <w:spacing w:val="-8"/>
          <w:sz w:val="24"/>
          <w:szCs w:val="24"/>
        </w:rPr>
        <w:t>platform</w:t>
      </w:r>
      <w:r w:rsidRPr="000F304C">
        <w:rPr>
          <w:rFonts w:ascii="Times New Roman" w:eastAsia="Calibri" w:hAnsi="Times New Roman"/>
          <w:noProof/>
          <w:spacing w:val="-8"/>
          <w:sz w:val="24"/>
          <w:szCs w:val="24"/>
        </w:rPr>
        <w:t xml:space="preserve"> is projected to be the same as in the baseline</w:t>
      </w:r>
      <w:r w:rsidR="00156C10">
        <w:rPr>
          <w:rFonts w:ascii="Times New Roman" w:eastAsia="Calibri" w:hAnsi="Times New Roman"/>
          <w:noProof/>
          <w:spacing w:val="-8"/>
          <w:sz w:val="24"/>
          <w:szCs w:val="24"/>
        </w:rPr>
        <w:t>,</w:t>
      </w:r>
      <w:r w:rsidRPr="000F304C">
        <w:rPr>
          <w:rFonts w:ascii="Times New Roman" w:eastAsia="Calibri" w:hAnsi="Times New Roman"/>
          <w:noProof/>
          <w:spacing w:val="-8"/>
          <w:sz w:val="24"/>
          <w:szCs w:val="24"/>
        </w:rPr>
        <w:t xml:space="preserve"> as principles on distribution fees alone are not expected to lead to more agreements. </w:t>
      </w:r>
    </w:p>
    <w:p w14:paraId="4F4AA3A2" w14:textId="77777777" w:rsidR="00E05CA8" w:rsidRPr="000F304C" w:rsidRDefault="00E05CA8" w:rsidP="00E05CA8">
      <w:pPr>
        <w:pStyle w:val="Text4"/>
        <w:spacing w:before="0" w:after="240"/>
        <w:ind w:left="0"/>
        <w:rPr>
          <w:rFonts w:ascii="Times New Roman" w:eastAsia="Calibri" w:hAnsi="Times New Roman"/>
          <w:noProof/>
          <w:spacing w:val="-8"/>
          <w:sz w:val="24"/>
          <w:szCs w:val="24"/>
        </w:rPr>
      </w:pPr>
      <w:r w:rsidRPr="000F304C">
        <w:rPr>
          <w:rFonts w:ascii="Times New Roman" w:eastAsia="Calibri" w:hAnsi="Times New Roman"/>
          <w:noProof/>
          <w:spacing w:val="-8"/>
          <w:sz w:val="24"/>
          <w:szCs w:val="24"/>
        </w:rPr>
        <w:t xml:space="preserve">Progress in the form of an expansion of service coverage and service level is linked to the number of operators available on each platform: </w:t>
      </w:r>
    </w:p>
    <w:p w14:paraId="7D745058" w14:textId="2143C246" w:rsidR="00E05CA8" w:rsidRPr="000F304C" w:rsidRDefault="00E05CA8" w:rsidP="001979E4">
      <w:pPr>
        <w:pStyle w:val="Text4"/>
        <w:numPr>
          <w:ilvl w:val="0"/>
          <w:numId w:val="40"/>
        </w:numPr>
        <w:spacing w:before="0" w:after="240"/>
        <w:ind w:left="284" w:hanging="284"/>
        <w:rPr>
          <w:rFonts w:ascii="Times New Roman" w:eastAsia="Calibri" w:hAnsi="Times New Roman"/>
          <w:noProof/>
          <w:spacing w:val="-8"/>
          <w:sz w:val="24"/>
          <w:szCs w:val="24"/>
        </w:rPr>
      </w:pPr>
      <w:r w:rsidRPr="000F304C">
        <w:rPr>
          <w:rFonts w:ascii="Times New Roman" w:eastAsia="Calibri" w:hAnsi="Times New Roman"/>
          <w:b/>
          <w:bCs/>
          <w:noProof/>
          <w:spacing w:val="-8"/>
          <w:sz w:val="24"/>
          <w:szCs w:val="24"/>
        </w:rPr>
        <w:t>PM13</w:t>
      </w:r>
      <w:r w:rsidRPr="000F304C">
        <w:rPr>
          <w:rFonts w:ascii="Times New Roman" w:eastAsia="Calibri" w:hAnsi="Times New Roman"/>
          <w:noProof/>
          <w:spacing w:val="-8"/>
          <w:sz w:val="24"/>
          <w:szCs w:val="24"/>
        </w:rPr>
        <w:t xml:space="preserve"> (</w:t>
      </w:r>
      <w:r w:rsidR="00EE4D46">
        <w:rPr>
          <w:rFonts w:ascii="Times New Roman" w:eastAsia="Calibri" w:hAnsi="Times New Roman"/>
          <w:noProof/>
          <w:spacing w:val="-8"/>
          <w:sz w:val="24"/>
          <w:szCs w:val="24"/>
        </w:rPr>
        <w:t xml:space="preserve">in </w:t>
      </w:r>
      <w:r w:rsidRPr="000F304C">
        <w:rPr>
          <w:rFonts w:ascii="Times New Roman" w:eastAsia="Calibri" w:hAnsi="Times New Roman"/>
          <w:noProof/>
          <w:spacing w:val="-8"/>
          <w:sz w:val="24"/>
          <w:szCs w:val="24"/>
        </w:rPr>
        <w:t xml:space="preserve">PO2, PO3, PO4) introduces an </w:t>
      </w:r>
      <w:r w:rsidRPr="000F304C">
        <w:rPr>
          <w:rFonts w:ascii="Times New Roman" w:eastAsia="Calibri" w:hAnsi="Times New Roman"/>
          <w:b/>
          <w:bCs/>
          <w:noProof/>
          <w:spacing w:val="-8"/>
          <w:sz w:val="24"/>
          <w:szCs w:val="24"/>
        </w:rPr>
        <w:t>obligation to</w:t>
      </w:r>
      <w:r w:rsidRPr="000F304C" w:rsidDel="00EE4D46">
        <w:rPr>
          <w:rFonts w:ascii="Times New Roman" w:eastAsia="Calibri" w:hAnsi="Times New Roman"/>
          <w:b/>
          <w:noProof/>
          <w:spacing w:val="-8"/>
          <w:sz w:val="24"/>
          <w:szCs w:val="24"/>
        </w:rPr>
        <w:t xml:space="preserve"> </w:t>
      </w:r>
      <w:r w:rsidR="00EE4D46">
        <w:rPr>
          <w:rFonts w:ascii="Times New Roman" w:eastAsia="Calibri" w:hAnsi="Times New Roman"/>
          <w:b/>
          <w:bCs/>
          <w:noProof/>
          <w:spacing w:val="-8"/>
          <w:sz w:val="24"/>
          <w:szCs w:val="24"/>
        </w:rPr>
        <w:t>share</w:t>
      </w:r>
      <w:r w:rsidR="00EE4D46" w:rsidRPr="000F304C">
        <w:rPr>
          <w:rFonts w:ascii="Times New Roman" w:eastAsia="Calibri" w:hAnsi="Times New Roman"/>
          <w:noProof/>
          <w:spacing w:val="-8"/>
          <w:sz w:val="24"/>
          <w:szCs w:val="24"/>
        </w:rPr>
        <w:t xml:space="preserve"> </w:t>
      </w:r>
      <w:r w:rsidRPr="000F304C">
        <w:rPr>
          <w:rFonts w:ascii="Times New Roman" w:eastAsia="Calibri" w:hAnsi="Times New Roman"/>
          <w:noProof/>
          <w:spacing w:val="-8"/>
          <w:sz w:val="24"/>
          <w:szCs w:val="24"/>
        </w:rPr>
        <w:t xml:space="preserve">for indispensable RUs and PSO/cross-border operators. Willing platforms would therefore enter new agreements with any indispensable or PSO/cross-border RU. It is assumed that all </w:t>
      </w:r>
      <w:r w:rsidRPr="000F304C">
        <w:rPr>
          <w:rFonts w:ascii="Times New Roman" w:eastAsia="Calibri" w:hAnsi="Times New Roman"/>
          <w:b/>
          <w:bCs/>
          <w:noProof/>
          <w:spacing w:val="-8"/>
          <w:sz w:val="24"/>
          <w:szCs w:val="24"/>
        </w:rPr>
        <w:t>EU-wide platforms</w:t>
      </w:r>
      <w:r w:rsidRPr="000F304C">
        <w:rPr>
          <w:rFonts w:ascii="Times New Roman" w:eastAsia="Calibri" w:hAnsi="Times New Roman"/>
          <w:noProof/>
          <w:spacing w:val="-8"/>
          <w:sz w:val="24"/>
          <w:szCs w:val="24"/>
        </w:rPr>
        <w:t xml:space="preserve"> would be willing to request integration with the 24 indispensable RUs and with </w:t>
      </w:r>
      <w:r w:rsidR="00EB0F35">
        <w:rPr>
          <w:rFonts w:ascii="Times New Roman" w:eastAsia="Calibri" w:hAnsi="Times New Roman"/>
          <w:noProof/>
          <w:spacing w:val="-8"/>
          <w:sz w:val="24"/>
          <w:szCs w:val="24"/>
        </w:rPr>
        <w:t>non-SME</w:t>
      </w:r>
      <w:r w:rsidRPr="000F304C">
        <w:rPr>
          <w:rFonts w:ascii="Times New Roman" w:eastAsia="Calibri" w:hAnsi="Times New Roman"/>
          <w:noProof/>
          <w:spacing w:val="-8"/>
          <w:sz w:val="24"/>
          <w:szCs w:val="24"/>
        </w:rPr>
        <w:t xml:space="preserve"> operators who are either PSO or cross-border (117). This is because their platforms benefit from network effects. Similarly, </w:t>
      </w:r>
      <w:r w:rsidRPr="000F304C">
        <w:rPr>
          <w:rFonts w:ascii="Times New Roman" w:eastAsia="Calibri" w:hAnsi="Times New Roman"/>
          <w:b/>
          <w:bCs/>
          <w:noProof/>
          <w:spacing w:val="-8"/>
          <w:sz w:val="24"/>
          <w:szCs w:val="24"/>
        </w:rPr>
        <w:t>national/regional platforms</w:t>
      </w:r>
      <w:r w:rsidRPr="000F304C">
        <w:rPr>
          <w:rFonts w:ascii="Times New Roman" w:eastAsia="Calibri" w:hAnsi="Times New Roman"/>
          <w:noProof/>
          <w:spacing w:val="-8"/>
          <w:sz w:val="24"/>
          <w:szCs w:val="24"/>
        </w:rPr>
        <w:t xml:space="preserve"> would be willing to request integration with the incumbent RU in the main Member State of operation and one of a neighbouring Member State (2), and with any local operators who are either PSO or cross-border (117/25 = 5), totalling an additional 7 operators per platform. </w:t>
      </w:r>
    </w:p>
    <w:p w14:paraId="723B3FA5" w14:textId="3B56AC1D" w:rsidR="00E05CA8" w:rsidRPr="000F304C" w:rsidRDefault="00E05CA8" w:rsidP="001979E4">
      <w:pPr>
        <w:pStyle w:val="Text4"/>
        <w:numPr>
          <w:ilvl w:val="0"/>
          <w:numId w:val="40"/>
        </w:numPr>
        <w:spacing w:before="0" w:after="240"/>
        <w:ind w:left="284" w:hanging="284"/>
        <w:rPr>
          <w:rFonts w:ascii="Times New Roman" w:eastAsia="Calibri" w:hAnsi="Times New Roman"/>
          <w:noProof/>
          <w:spacing w:val="-8"/>
          <w:sz w:val="24"/>
          <w:szCs w:val="24"/>
        </w:rPr>
      </w:pPr>
      <w:r w:rsidRPr="000F304C">
        <w:rPr>
          <w:rFonts w:ascii="Times New Roman" w:eastAsia="Calibri" w:hAnsi="Times New Roman"/>
          <w:b/>
          <w:bCs/>
          <w:noProof/>
          <w:spacing w:val="-8"/>
          <w:sz w:val="24"/>
          <w:szCs w:val="24"/>
        </w:rPr>
        <w:t>PM14</w:t>
      </w:r>
      <w:r w:rsidRPr="000F304C">
        <w:rPr>
          <w:rFonts w:ascii="Times New Roman" w:eastAsia="Calibri" w:hAnsi="Times New Roman"/>
          <w:noProof/>
          <w:spacing w:val="-8"/>
          <w:sz w:val="24"/>
          <w:szCs w:val="24"/>
        </w:rPr>
        <w:t xml:space="preserve"> (</w:t>
      </w:r>
      <w:r w:rsidR="0034088E">
        <w:rPr>
          <w:rFonts w:ascii="Times New Roman" w:eastAsia="Calibri" w:hAnsi="Times New Roman"/>
          <w:noProof/>
          <w:spacing w:val="-8"/>
          <w:sz w:val="24"/>
          <w:szCs w:val="24"/>
        </w:rPr>
        <w:t xml:space="preserve">in </w:t>
      </w:r>
      <w:r w:rsidRPr="000F304C">
        <w:rPr>
          <w:rFonts w:ascii="Times New Roman" w:eastAsia="Calibri" w:hAnsi="Times New Roman"/>
          <w:noProof/>
          <w:spacing w:val="-8"/>
          <w:sz w:val="24"/>
          <w:szCs w:val="24"/>
        </w:rPr>
        <w:t xml:space="preserve">PO3) introduces an </w:t>
      </w:r>
      <w:r w:rsidRPr="000F304C">
        <w:rPr>
          <w:rFonts w:ascii="Times New Roman" w:eastAsia="Calibri" w:hAnsi="Times New Roman"/>
          <w:b/>
          <w:bCs/>
          <w:noProof/>
          <w:spacing w:val="-8"/>
          <w:sz w:val="24"/>
          <w:szCs w:val="24"/>
        </w:rPr>
        <w:t>obligation to host</w:t>
      </w:r>
      <w:r w:rsidRPr="000F304C">
        <w:rPr>
          <w:rFonts w:ascii="Times New Roman" w:eastAsia="Calibri" w:hAnsi="Times New Roman"/>
          <w:noProof/>
          <w:spacing w:val="-8"/>
          <w:sz w:val="24"/>
          <w:szCs w:val="24"/>
        </w:rPr>
        <w:t xml:space="preserve"> for indispensable rail platforms (19 platforms). These platforms would therefore enter new agreements with willing RUs active within the geographical scope covered by the MDMS platform. It is assumed that the integration requests would come from any local operators who are not already obligated to </w:t>
      </w:r>
      <w:r w:rsidR="008E138F">
        <w:rPr>
          <w:rFonts w:ascii="Times New Roman" w:eastAsia="Calibri" w:hAnsi="Times New Roman"/>
          <w:noProof/>
          <w:spacing w:val="-8"/>
          <w:sz w:val="24"/>
          <w:szCs w:val="24"/>
        </w:rPr>
        <w:t>share</w:t>
      </w:r>
      <w:r w:rsidR="008E138F" w:rsidRPr="000F304C">
        <w:rPr>
          <w:rFonts w:ascii="Times New Roman" w:eastAsia="Calibri" w:hAnsi="Times New Roman"/>
          <w:noProof/>
          <w:spacing w:val="-8"/>
          <w:sz w:val="24"/>
          <w:szCs w:val="24"/>
        </w:rPr>
        <w:t xml:space="preserve"> </w:t>
      </w:r>
      <w:r w:rsidRPr="000F304C">
        <w:rPr>
          <w:rFonts w:ascii="Times New Roman" w:eastAsia="Calibri" w:hAnsi="Times New Roman"/>
          <w:noProof/>
          <w:spacing w:val="-8"/>
          <w:sz w:val="24"/>
          <w:szCs w:val="24"/>
        </w:rPr>
        <w:t>under PM13</w:t>
      </w:r>
      <w:r w:rsidR="006F4028">
        <w:rPr>
          <w:rFonts w:ascii="Times New Roman" w:eastAsia="Calibri" w:hAnsi="Times New Roman"/>
          <w:noProof/>
          <w:spacing w:val="-8"/>
          <w:sz w:val="24"/>
          <w:szCs w:val="24"/>
        </w:rPr>
        <w:t xml:space="preserve"> </w:t>
      </w:r>
      <w:r w:rsidR="006F4028" w:rsidRPr="006F4028">
        <w:rPr>
          <w:rFonts w:ascii="Times New Roman" w:eastAsia="Calibri" w:hAnsi="Times New Roman"/>
          <w:noProof/>
          <w:spacing w:val="-8"/>
          <w:sz w:val="24"/>
          <w:szCs w:val="24"/>
        </w:rPr>
        <w:t>([158 rail operators – 24 indispensable rail operators – 117 PSO or cross-</w:t>
      </w:r>
      <w:r w:rsidR="00A753D4" w:rsidRPr="006F4028">
        <w:rPr>
          <w:rFonts w:ascii="Times New Roman" w:eastAsia="Calibri" w:hAnsi="Times New Roman"/>
          <w:noProof/>
          <w:spacing w:val="-8"/>
          <w:sz w:val="24"/>
          <w:szCs w:val="24"/>
        </w:rPr>
        <w:t>border]</w:t>
      </w:r>
      <w:r w:rsidR="006F4028" w:rsidRPr="006F4028">
        <w:rPr>
          <w:rFonts w:ascii="Times New Roman" w:eastAsia="Calibri" w:hAnsi="Times New Roman"/>
          <w:noProof/>
          <w:spacing w:val="-8"/>
          <w:sz w:val="24"/>
          <w:szCs w:val="24"/>
        </w:rPr>
        <w:t xml:space="preserve"> / 25 Member States with rail = 1 local operator).</w:t>
      </w:r>
      <w:r w:rsidRPr="000F304C">
        <w:rPr>
          <w:rFonts w:ascii="Times New Roman" w:eastAsia="Calibri" w:hAnsi="Times New Roman"/>
          <w:noProof/>
          <w:spacing w:val="-8"/>
          <w:sz w:val="24"/>
          <w:szCs w:val="24"/>
        </w:rPr>
        <w:t xml:space="preserve"> </w:t>
      </w:r>
    </w:p>
    <w:p w14:paraId="66058A8F" w14:textId="0B13017D" w:rsidR="00E05CA8" w:rsidRPr="000F304C" w:rsidRDefault="00E05CA8" w:rsidP="001979E4">
      <w:pPr>
        <w:pStyle w:val="Text4"/>
        <w:numPr>
          <w:ilvl w:val="0"/>
          <w:numId w:val="40"/>
        </w:numPr>
        <w:spacing w:before="0" w:after="240"/>
        <w:ind w:left="284" w:hanging="284"/>
        <w:rPr>
          <w:rFonts w:ascii="Times New Roman" w:eastAsia="Calibri" w:hAnsi="Times New Roman"/>
          <w:noProof/>
          <w:spacing w:val="-8"/>
          <w:sz w:val="24"/>
          <w:szCs w:val="24"/>
        </w:rPr>
      </w:pPr>
      <w:r w:rsidRPr="000F304C">
        <w:rPr>
          <w:rFonts w:ascii="Times New Roman" w:eastAsia="Calibri" w:hAnsi="Times New Roman"/>
          <w:b/>
          <w:bCs/>
          <w:noProof/>
          <w:spacing w:val="-8"/>
          <w:sz w:val="24"/>
          <w:szCs w:val="24"/>
        </w:rPr>
        <w:t>PM15</w:t>
      </w:r>
      <w:r w:rsidRPr="000F304C">
        <w:rPr>
          <w:rFonts w:ascii="Times New Roman" w:eastAsia="Calibri" w:hAnsi="Times New Roman"/>
          <w:noProof/>
          <w:spacing w:val="-8"/>
          <w:sz w:val="24"/>
          <w:szCs w:val="24"/>
        </w:rPr>
        <w:t xml:space="preserve"> (</w:t>
      </w:r>
      <w:r w:rsidR="00ED39CA">
        <w:rPr>
          <w:rFonts w:ascii="Times New Roman" w:eastAsia="Calibri" w:hAnsi="Times New Roman"/>
          <w:noProof/>
          <w:spacing w:val="-8"/>
          <w:sz w:val="24"/>
          <w:szCs w:val="24"/>
        </w:rPr>
        <w:t xml:space="preserve">in </w:t>
      </w:r>
      <w:r w:rsidRPr="000F304C">
        <w:rPr>
          <w:rFonts w:ascii="Times New Roman" w:eastAsia="Calibri" w:hAnsi="Times New Roman"/>
          <w:noProof/>
          <w:spacing w:val="-8"/>
          <w:sz w:val="24"/>
          <w:szCs w:val="24"/>
        </w:rPr>
        <w:t xml:space="preserve">PO4), introduces an </w:t>
      </w:r>
      <w:r w:rsidRPr="000F304C">
        <w:rPr>
          <w:rFonts w:ascii="Times New Roman" w:eastAsia="Calibri" w:hAnsi="Times New Roman"/>
          <w:b/>
          <w:bCs/>
          <w:noProof/>
          <w:spacing w:val="-8"/>
          <w:sz w:val="24"/>
          <w:szCs w:val="24"/>
        </w:rPr>
        <w:t>obligation to unbundle</w:t>
      </w:r>
      <w:r w:rsidRPr="000F304C">
        <w:rPr>
          <w:rFonts w:ascii="Times New Roman" w:eastAsia="Calibri" w:hAnsi="Times New Roman"/>
          <w:noProof/>
          <w:spacing w:val="-8"/>
          <w:sz w:val="24"/>
          <w:szCs w:val="24"/>
        </w:rPr>
        <w:t xml:space="preserve"> for indispensable rail platforms. It is assumed that this will not oblige them to undertake new agreements. </w:t>
      </w:r>
    </w:p>
    <w:p w14:paraId="7DA18642" w14:textId="249BCCF7" w:rsidR="00E05CA8" w:rsidRPr="000F304C" w:rsidRDefault="00E05CA8" w:rsidP="00E05CA8">
      <w:pPr>
        <w:pStyle w:val="Text4"/>
        <w:spacing w:before="0" w:after="240"/>
        <w:ind w:left="0"/>
        <w:rPr>
          <w:rFonts w:ascii="Times New Roman" w:eastAsia="Calibri" w:hAnsi="Times New Roman"/>
          <w:noProof/>
          <w:spacing w:val="-8"/>
          <w:sz w:val="24"/>
          <w:szCs w:val="24"/>
        </w:rPr>
      </w:pPr>
      <w:r w:rsidRPr="000F304C">
        <w:rPr>
          <w:rFonts w:ascii="Times New Roman" w:eastAsia="Calibri" w:hAnsi="Times New Roman"/>
          <w:noProof/>
          <w:spacing w:val="-8"/>
          <w:sz w:val="24"/>
          <w:szCs w:val="24"/>
        </w:rPr>
        <w:t xml:space="preserve">The table below shows the assumptions on the number of operators per </w:t>
      </w:r>
      <w:r w:rsidR="00C033F5">
        <w:rPr>
          <w:rFonts w:ascii="Times New Roman" w:eastAsia="Calibri" w:hAnsi="Times New Roman"/>
          <w:noProof/>
          <w:spacing w:val="-8"/>
          <w:sz w:val="24"/>
          <w:szCs w:val="24"/>
        </w:rPr>
        <w:t xml:space="preserve">MDMS </w:t>
      </w:r>
      <w:r w:rsidRPr="000F304C">
        <w:rPr>
          <w:rFonts w:ascii="Times New Roman" w:eastAsia="Calibri" w:hAnsi="Times New Roman"/>
          <w:noProof/>
          <w:spacing w:val="-8"/>
          <w:sz w:val="24"/>
          <w:szCs w:val="24"/>
        </w:rPr>
        <w:t xml:space="preserve">platform, which is higher in the policy options where obligations lead to additional agreements relative to the baseline. Total agreements are calculated by multiplying the number of relevant platforms by the number of operators engaged with each platform. </w:t>
      </w:r>
      <w:r w:rsidR="00C033F5" w:rsidRPr="00C033F5">
        <w:rPr>
          <w:rFonts w:ascii="Times New Roman" w:eastAsia="Calibri" w:hAnsi="Times New Roman"/>
          <w:noProof/>
          <w:spacing w:val="-8"/>
          <w:sz w:val="24"/>
          <w:szCs w:val="24"/>
        </w:rPr>
        <w:t>These assumptions only apply to non-SME MDMS platforms as SMEs are exempted from obligations. However, the counterparties to these agreements (transport operators) are assumed to partly consist of SMEs, in line with the share of SMEs in total transport operators. These SMEs enter willingly into agreements and are assumed to bear no costs</w:t>
      </w:r>
      <w:r w:rsidR="00D45D02">
        <w:rPr>
          <w:rFonts w:ascii="Times New Roman" w:eastAsia="Calibri" w:hAnsi="Times New Roman"/>
          <w:noProof/>
          <w:spacing w:val="-8"/>
          <w:sz w:val="24"/>
          <w:szCs w:val="24"/>
        </w:rPr>
        <w:t xml:space="preserve"> relative to the baseline</w:t>
      </w:r>
      <w:r w:rsidR="00C033F5" w:rsidRPr="00C033F5">
        <w:rPr>
          <w:rFonts w:ascii="Times New Roman" w:eastAsia="Calibri" w:hAnsi="Times New Roman"/>
          <w:noProof/>
          <w:spacing w:val="-8"/>
          <w:sz w:val="24"/>
          <w:szCs w:val="24"/>
        </w:rPr>
        <w:t>, but benefit from cost savings from simplified contract negotiations (PM11 and PM12).</w:t>
      </w:r>
    </w:p>
    <w:p w14:paraId="38A88AE9" w14:textId="769C1009" w:rsidR="00E05CA8" w:rsidRPr="00383DBF" w:rsidRDefault="00E05CA8" w:rsidP="002F5D21">
      <w:pPr>
        <w:keepNext/>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65</w:t>
      </w:r>
      <w:r w:rsidRPr="00383DBF">
        <w:rPr>
          <w:i/>
          <w:noProof/>
          <w:sz w:val="22"/>
          <w:szCs w:val="22"/>
        </w:rPr>
        <w:fldChar w:fldCharType="end"/>
      </w:r>
      <w:r w:rsidRPr="00383DBF">
        <w:rPr>
          <w:i/>
          <w:noProof/>
          <w:sz w:val="22"/>
          <w:szCs w:val="22"/>
        </w:rPr>
        <w:t xml:space="preserve">: Assumed average number of operators per platform in </w:t>
      </w:r>
      <w:r w:rsidR="00E55696">
        <w:rPr>
          <w:i/>
          <w:noProof/>
          <w:sz w:val="22"/>
          <w:szCs w:val="22"/>
        </w:rPr>
        <w:t xml:space="preserve">the baseline and </w:t>
      </w:r>
      <w:r w:rsidRPr="00383DBF">
        <w:rPr>
          <w:i/>
          <w:noProof/>
          <w:sz w:val="22"/>
          <w:szCs w:val="22"/>
        </w:rPr>
        <w:t xml:space="preserve">each policy </w:t>
      </w:r>
      <w:r w:rsidR="00E55696">
        <w:rPr>
          <w:i/>
          <w:noProof/>
          <w:sz w:val="22"/>
          <w:szCs w:val="22"/>
        </w:rPr>
        <w:t>option</w:t>
      </w:r>
    </w:p>
    <w:tbl>
      <w:tblPr>
        <w:tblStyle w:val="RicardoTable"/>
        <w:tblW w:w="9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2588"/>
        <w:gridCol w:w="2687"/>
        <w:gridCol w:w="2688"/>
      </w:tblGrid>
      <w:tr w:rsidR="00E05CA8" w:rsidRPr="00580FC0" w14:paraId="6438769C" w14:textId="77777777" w:rsidTr="00383DBF">
        <w:trPr>
          <w:cnfStyle w:val="100000000000" w:firstRow="1" w:lastRow="0" w:firstColumn="0" w:lastColumn="0" w:oddVBand="0" w:evenVBand="0" w:oddHBand="0" w:evenHBand="0" w:firstRowFirstColumn="0" w:firstRowLastColumn="0" w:lastRowFirstColumn="0" w:lastRowLastColumn="0"/>
          <w:trHeight w:val="219"/>
        </w:trPr>
        <w:tc>
          <w:tcPr>
            <w:tcW w:w="1493" w:type="dxa"/>
            <w:vMerge w:val="restart"/>
            <w:shd w:val="clear" w:color="auto" w:fill="0070C0"/>
            <w:noWrap/>
            <w:vAlign w:val="top"/>
            <w:hideMark/>
          </w:tcPr>
          <w:p w14:paraId="34E5ED14" w14:textId="4441CA5F" w:rsidR="00E05CA8" w:rsidRPr="00383DBF" w:rsidRDefault="00E05CA8" w:rsidP="002F5D21">
            <w:pPr>
              <w:spacing w:before="0" w:after="0"/>
              <w:jc w:val="center"/>
              <w:rPr>
                <w:rFonts w:cs="Arial"/>
                <w:noProof/>
                <w:sz w:val="20"/>
                <w:szCs w:val="20"/>
              </w:rPr>
            </w:pPr>
          </w:p>
        </w:tc>
        <w:tc>
          <w:tcPr>
            <w:tcW w:w="7963" w:type="dxa"/>
            <w:gridSpan w:val="3"/>
            <w:shd w:val="clear" w:color="auto" w:fill="0070C0"/>
            <w:vAlign w:val="top"/>
          </w:tcPr>
          <w:p w14:paraId="73C4E956" w14:textId="77777777" w:rsidR="00E05CA8" w:rsidRPr="00383DBF" w:rsidRDefault="00E05CA8" w:rsidP="002F5D21">
            <w:pPr>
              <w:spacing w:before="0" w:after="0"/>
              <w:jc w:val="center"/>
              <w:rPr>
                <w:rFonts w:cs="Arial"/>
                <w:noProof/>
                <w:sz w:val="20"/>
                <w:szCs w:val="20"/>
              </w:rPr>
            </w:pPr>
            <w:r w:rsidRPr="00383DBF">
              <w:rPr>
                <w:rFonts w:cs="Arial"/>
                <w:noProof/>
                <w:sz w:val="20"/>
                <w:szCs w:val="20"/>
              </w:rPr>
              <w:t>Average number of operators per platform</w:t>
            </w:r>
          </w:p>
        </w:tc>
      </w:tr>
      <w:tr w:rsidR="00DF0C3B" w:rsidRPr="00580FC0" w14:paraId="0265A827" w14:textId="77777777" w:rsidTr="00383DBF">
        <w:trPr>
          <w:trHeight w:val="219"/>
        </w:trPr>
        <w:tc>
          <w:tcPr>
            <w:tcW w:w="1493" w:type="dxa"/>
            <w:vMerge/>
            <w:shd w:val="clear" w:color="auto" w:fill="0070C0"/>
            <w:noWrap/>
            <w:vAlign w:val="top"/>
          </w:tcPr>
          <w:p w14:paraId="652B2DF0" w14:textId="77777777" w:rsidR="00E05CA8" w:rsidRPr="00383DBF" w:rsidRDefault="00E05CA8">
            <w:pPr>
              <w:spacing w:before="0" w:after="0"/>
              <w:jc w:val="center"/>
              <w:rPr>
                <w:rFonts w:cs="Arial"/>
                <w:noProof/>
                <w:sz w:val="20"/>
                <w:szCs w:val="20"/>
              </w:rPr>
            </w:pPr>
          </w:p>
        </w:tc>
        <w:tc>
          <w:tcPr>
            <w:tcW w:w="5275" w:type="dxa"/>
            <w:gridSpan w:val="2"/>
            <w:shd w:val="clear" w:color="auto" w:fill="0070C0"/>
            <w:noWrap/>
            <w:vAlign w:val="top"/>
          </w:tcPr>
          <w:p w14:paraId="448E4646" w14:textId="77777777" w:rsidR="00E05CA8" w:rsidRPr="00383DBF" w:rsidRDefault="00E05CA8">
            <w:pPr>
              <w:spacing w:after="0"/>
              <w:jc w:val="center"/>
              <w:rPr>
                <w:rFonts w:cs="Arial"/>
                <w:b/>
                <w:noProof/>
                <w:color w:val="FFFFFF" w:themeColor="background1"/>
                <w:sz w:val="20"/>
                <w:szCs w:val="20"/>
              </w:rPr>
            </w:pPr>
            <w:r w:rsidRPr="00383DBF">
              <w:rPr>
                <w:rFonts w:cs="Arial"/>
                <w:b/>
                <w:noProof/>
                <w:color w:val="FFFFFF" w:themeColor="background1"/>
                <w:sz w:val="20"/>
                <w:szCs w:val="20"/>
              </w:rPr>
              <w:t>National/regional platforms (excl. SMEs)</w:t>
            </w:r>
          </w:p>
        </w:tc>
        <w:tc>
          <w:tcPr>
            <w:tcW w:w="2688" w:type="dxa"/>
            <w:vMerge w:val="restart"/>
            <w:shd w:val="clear" w:color="auto" w:fill="0070C0"/>
            <w:vAlign w:val="top"/>
          </w:tcPr>
          <w:p w14:paraId="212ACF76" w14:textId="77777777" w:rsidR="00E05CA8" w:rsidRPr="00383DBF" w:rsidRDefault="00E05CA8">
            <w:pPr>
              <w:spacing w:before="0" w:after="0"/>
              <w:jc w:val="center"/>
              <w:rPr>
                <w:rFonts w:cs="Arial"/>
                <w:b/>
                <w:noProof/>
                <w:color w:val="FFFFFF" w:themeColor="background1"/>
                <w:sz w:val="20"/>
                <w:szCs w:val="20"/>
              </w:rPr>
            </w:pPr>
            <w:r w:rsidRPr="00383DBF">
              <w:rPr>
                <w:rFonts w:cs="Arial"/>
                <w:b/>
                <w:noProof/>
                <w:color w:val="FFFFFF" w:themeColor="background1"/>
                <w:sz w:val="20"/>
                <w:szCs w:val="20"/>
              </w:rPr>
              <w:t>EU-wide platforms</w:t>
            </w:r>
          </w:p>
        </w:tc>
      </w:tr>
      <w:tr w:rsidR="00E05CA8" w:rsidRPr="00580FC0" w14:paraId="439E2D2A" w14:textId="77777777" w:rsidTr="00383DBF">
        <w:trPr>
          <w:trHeight w:val="219"/>
        </w:trPr>
        <w:tc>
          <w:tcPr>
            <w:tcW w:w="1493" w:type="dxa"/>
            <w:vMerge/>
            <w:noWrap/>
            <w:vAlign w:val="top"/>
          </w:tcPr>
          <w:p w14:paraId="10F0A22F" w14:textId="77777777" w:rsidR="00E05CA8" w:rsidRPr="00383DBF" w:rsidRDefault="00E05CA8">
            <w:pPr>
              <w:spacing w:after="0"/>
              <w:jc w:val="center"/>
              <w:rPr>
                <w:rFonts w:cs="Arial"/>
                <w:noProof/>
                <w:sz w:val="20"/>
                <w:szCs w:val="20"/>
              </w:rPr>
            </w:pPr>
          </w:p>
        </w:tc>
        <w:tc>
          <w:tcPr>
            <w:tcW w:w="2588" w:type="dxa"/>
            <w:shd w:val="clear" w:color="auto" w:fill="0070C0"/>
            <w:noWrap/>
            <w:vAlign w:val="top"/>
          </w:tcPr>
          <w:p w14:paraId="7A8A9986" w14:textId="77777777" w:rsidR="00E05CA8" w:rsidRPr="00383DBF" w:rsidRDefault="00E05CA8">
            <w:pPr>
              <w:spacing w:after="0"/>
              <w:jc w:val="center"/>
              <w:rPr>
                <w:rFonts w:cs="Arial"/>
                <w:b/>
                <w:noProof/>
                <w:color w:val="FFFFFF" w:themeColor="background1"/>
                <w:sz w:val="20"/>
                <w:szCs w:val="20"/>
              </w:rPr>
            </w:pPr>
            <w:r w:rsidRPr="00383DBF">
              <w:rPr>
                <w:rFonts w:cs="Arial"/>
                <w:b/>
                <w:noProof/>
                <w:color w:val="FFFFFF" w:themeColor="background1"/>
                <w:sz w:val="20"/>
                <w:szCs w:val="20"/>
              </w:rPr>
              <w:t>Indispensable rail</w:t>
            </w:r>
          </w:p>
        </w:tc>
        <w:tc>
          <w:tcPr>
            <w:tcW w:w="2687" w:type="dxa"/>
            <w:shd w:val="clear" w:color="auto" w:fill="0070C0"/>
            <w:vAlign w:val="top"/>
          </w:tcPr>
          <w:p w14:paraId="3230A038" w14:textId="77777777" w:rsidR="00E05CA8" w:rsidRPr="00383DBF" w:rsidRDefault="00E05CA8">
            <w:pPr>
              <w:spacing w:after="0"/>
              <w:jc w:val="center"/>
              <w:rPr>
                <w:rFonts w:cs="Arial"/>
                <w:b/>
                <w:noProof/>
                <w:color w:val="FFFFFF" w:themeColor="background1"/>
                <w:sz w:val="20"/>
                <w:szCs w:val="20"/>
              </w:rPr>
            </w:pPr>
            <w:r w:rsidRPr="00383DBF">
              <w:rPr>
                <w:rFonts w:cs="Arial"/>
                <w:b/>
                <w:noProof/>
                <w:color w:val="FFFFFF" w:themeColor="background1"/>
                <w:sz w:val="20"/>
                <w:szCs w:val="20"/>
              </w:rPr>
              <w:t>Other B2C</w:t>
            </w:r>
          </w:p>
        </w:tc>
        <w:tc>
          <w:tcPr>
            <w:tcW w:w="2688" w:type="dxa"/>
            <w:vMerge/>
            <w:shd w:val="clear" w:color="auto" w:fill="1A4596"/>
            <w:vAlign w:val="top"/>
          </w:tcPr>
          <w:p w14:paraId="0E7F459C" w14:textId="77777777" w:rsidR="00E05CA8" w:rsidRPr="00383DBF" w:rsidRDefault="00E05CA8">
            <w:pPr>
              <w:spacing w:after="0"/>
              <w:jc w:val="center"/>
              <w:rPr>
                <w:rFonts w:cs="Arial"/>
                <w:noProof/>
                <w:sz w:val="20"/>
                <w:szCs w:val="20"/>
              </w:rPr>
            </w:pPr>
          </w:p>
        </w:tc>
      </w:tr>
      <w:tr w:rsidR="00E05CA8" w:rsidRPr="00580FC0" w14:paraId="429E3853" w14:textId="77777777" w:rsidTr="00383DBF">
        <w:trPr>
          <w:trHeight w:val="219"/>
        </w:trPr>
        <w:tc>
          <w:tcPr>
            <w:tcW w:w="1493" w:type="dxa"/>
            <w:noWrap/>
            <w:vAlign w:val="top"/>
            <w:hideMark/>
          </w:tcPr>
          <w:p w14:paraId="263786A4" w14:textId="77777777" w:rsidR="00E05CA8" w:rsidRPr="00383DBF" w:rsidRDefault="00E05CA8">
            <w:pPr>
              <w:spacing w:before="0" w:after="0"/>
              <w:jc w:val="center"/>
              <w:rPr>
                <w:rFonts w:cs="Arial"/>
                <w:noProof/>
                <w:sz w:val="20"/>
                <w:szCs w:val="20"/>
              </w:rPr>
            </w:pPr>
            <w:r w:rsidRPr="00383DBF">
              <w:rPr>
                <w:rFonts w:cs="Arial"/>
                <w:noProof/>
                <w:sz w:val="20"/>
                <w:szCs w:val="20"/>
              </w:rPr>
              <w:t>Baseline</w:t>
            </w:r>
          </w:p>
        </w:tc>
        <w:tc>
          <w:tcPr>
            <w:tcW w:w="2588" w:type="dxa"/>
            <w:noWrap/>
            <w:vAlign w:val="top"/>
            <w:hideMark/>
          </w:tcPr>
          <w:p w14:paraId="3B350803" w14:textId="77777777" w:rsidR="00E05CA8" w:rsidRPr="00383DBF" w:rsidRDefault="00E05CA8">
            <w:pPr>
              <w:spacing w:before="0" w:after="0"/>
              <w:jc w:val="center"/>
              <w:rPr>
                <w:rFonts w:cs="Arial"/>
                <w:noProof/>
                <w:sz w:val="20"/>
                <w:szCs w:val="20"/>
              </w:rPr>
            </w:pPr>
            <w:r w:rsidRPr="00383DBF">
              <w:rPr>
                <w:rFonts w:cs="Arial"/>
                <w:noProof/>
                <w:sz w:val="20"/>
                <w:szCs w:val="20"/>
              </w:rPr>
              <w:t>28</w:t>
            </w:r>
          </w:p>
        </w:tc>
        <w:tc>
          <w:tcPr>
            <w:tcW w:w="2687" w:type="dxa"/>
            <w:vAlign w:val="top"/>
          </w:tcPr>
          <w:p w14:paraId="7C812B09" w14:textId="77777777" w:rsidR="00E05CA8" w:rsidRPr="00383DBF" w:rsidRDefault="00E05CA8">
            <w:pPr>
              <w:spacing w:after="0"/>
              <w:jc w:val="center"/>
              <w:rPr>
                <w:rFonts w:cs="Arial"/>
                <w:noProof/>
                <w:sz w:val="20"/>
                <w:szCs w:val="20"/>
              </w:rPr>
            </w:pPr>
            <w:r w:rsidRPr="00383DBF">
              <w:rPr>
                <w:rFonts w:cs="Arial"/>
                <w:noProof/>
                <w:sz w:val="20"/>
                <w:szCs w:val="20"/>
              </w:rPr>
              <w:t>28</w:t>
            </w:r>
          </w:p>
        </w:tc>
        <w:tc>
          <w:tcPr>
            <w:tcW w:w="2688" w:type="dxa"/>
            <w:vAlign w:val="top"/>
          </w:tcPr>
          <w:p w14:paraId="025CF135" w14:textId="77777777" w:rsidR="00E05CA8" w:rsidRPr="00383DBF" w:rsidRDefault="00E05CA8">
            <w:pPr>
              <w:spacing w:before="0" w:after="0"/>
              <w:jc w:val="center"/>
              <w:rPr>
                <w:rFonts w:cs="Arial"/>
                <w:noProof/>
                <w:sz w:val="20"/>
                <w:szCs w:val="20"/>
              </w:rPr>
            </w:pPr>
            <w:r w:rsidRPr="00383DBF">
              <w:rPr>
                <w:rFonts w:cs="Arial"/>
                <w:noProof/>
                <w:sz w:val="20"/>
                <w:szCs w:val="20"/>
              </w:rPr>
              <w:t>189</w:t>
            </w:r>
          </w:p>
        </w:tc>
      </w:tr>
      <w:tr w:rsidR="00E05CA8" w:rsidRPr="00580FC0" w14:paraId="561A8124" w14:textId="77777777" w:rsidTr="00383DBF">
        <w:trPr>
          <w:trHeight w:val="219"/>
        </w:trPr>
        <w:tc>
          <w:tcPr>
            <w:tcW w:w="1493" w:type="dxa"/>
            <w:noWrap/>
            <w:vAlign w:val="top"/>
            <w:hideMark/>
          </w:tcPr>
          <w:p w14:paraId="4AE3993A" w14:textId="77777777" w:rsidR="00E05CA8" w:rsidRPr="00383DBF" w:rsidRDefault="00E05CA8">
            <w:pPr>
              <w:spacing w:before="0" w:after="0"/>
              <w:jc w:val="center"/>
              <w:rPr>
                <w:rFonts w:cs="Arial"/>
                <w:noProof/>
                <w:sz w:val="20"/>
                <w:szCs w:val="20"/>
              </w:rPr>
            </w:pPr>
            <w:r w:rsidRPr="00383DBF">
              <w:rPr>
                <w:rFonts w:cs="Arial"/>
                <w:noProof/>
                <w:sz w:val="20"/>
                <w:szCs w:val="20"/>
              </w:rPr>
              <w:t>PO1</w:t>
            </w:r>
          </w:p>
        </w:tc>
        <w:tc>
          <w:tcPr>
            <w:tcW w:w="2588" w:type="dxa"/>
            <w:noWrap/>
            <w:vAlign w:val="top"/>
            <w:hideMark/>
          </w:tcPr>
          <w:p w14:paraId="187A2515" w14:textId="77777777" w:rsidR="00E05CA8" w:rsidRPr="00383DBF" w:rsidRDefault="00E05CA8">
            <w:pPr>
              <w:spacing w:before="0" w:after="0"/>
              <w:jc w:val="center"/>
              <w:rPr>
                <w:rFonts w:cs="Arial"/>
                <w:noProof/>
                <w:sz w:val="20"/>
                <w:szCs w:val="20"/>
              </w:rPr>
            </w:pPr>
            <w:r w:rsidRPr="00383DBF">
              <w:rPr>
                <w:rFonts w:cs="Arial"/>
                <w:noProof/>
                <w:sz w:val="20"/>
                <w:szCs w:val="20"/>
              </w:rPr>
              <w:t>28</w:t>
            </w:r>
          </w:p>
        </w:tc>
        <w:tc>
          <w:tcPr>
            <w:tcW w:w="2687" w:type="dxa"/>
            <w:vAlign w:val="top"/>
          </w:tcPr>
          <w:p w14:paraId="20ED5665" w14:textId="77777777" w:rsidR="00E05CA8" w:rsidRPr="00383DBF" w:rsidRDefault="00E05CA8">
            <w:pPr>
              <w:spacing w:after="0"/>
              <w:jc w:val="center"/>
              <w:rPr>
                <w:rFonts w:cs="Arial"/>
                <w:noProof/>
                <w:sz w:val="20"/>
                <w:szCs w:val="20"/>
              </w:rPr>
            </w:pPr>
            <w:r w:rsidRPr="00383DBF">
              <w:rPr>
                <w:rFonts w:cs="Arial"/>
                <w:noProof/>
                <w:sz w:val="20"/>
                <w:szCs w:val="20"/>
              </w:rPr>
              <w:t>28</w:t>
            </w:r>
          </w:p>
        </w:tc>
        <w:tc>
          <w:tcPr>
            <w:tcW w:w="2688" w:type="dxa"/>
            <w:vAlign w:val="top"/>
          </w:tcPr>
          <w:p w14:paraId="4C182A45" w14:textId="77777777" w:rsidR="00E05CA8" w:rsidRPr="00383DBF" w:rsidRDefault="00E05CA8">
            <w:pPr>
              <w:spacing w:before="0" w:after="0"/>
              <w:jc w:val="center"/>
              <w:rPr>
                <w:rFonts w:cs="Arial"/>
                <w:noProof/>
                <w:sz w:val="20"/>
                <w:szCs w:val="20"/>
              </w:rPr>
            </w:pPr>
            <w:r w:rsidRPr="00383DBF">
              <w:rPr>
                <w:rFonts w:cs="Arial"/>
                <w:noProof/>
                <w:sz w:val="20"/>
                <w:szCs w:val="20"/>
              </w:rPr>
              <w:t>189</w:t>
            </w:r>
          </w:p>
        </w:tc>
      </w:tr>
      <w:tr w:rsidR="00E05CA8" w:rsidRPr="00580FC0" w14:paraId="3DD05E03" w14:textId="77777777" w:rsidTr="00383DBF">
        <w:trPr>
          <w:trHeight w:val="219"/>
        </w:trPr>
        <w:tc>
          <w:tcPr>
            <w:tcW w:w="1493" w:type="dxa"/>
            <w:noWrap/>
            <w:vAlign w:val="top"/>
            <w:hideMark/>
          </w:tcPr>
          <w:p w14:paraId="51D92761" w14:textId="77777777" w:rsidR="00E05CA8" w:rsidRPr="00383DBF" w:rsidRDefault="00E05CA8">
            <w:pPr>
              <w:spacing w:before="0" w:after="0"/>
              <w:jc w:val="center"/>
              <w:rPr>
                <w:rFonts w:cs="Arial"/>
                <w:noProof/>
                <w:sz w:val="20"/>
                <w:szCs w:val="20"/>
              </w:rPr>
            </w:pPr>
            <w:r w:rsidRPr="00383DBF">
              <w:rPr>
                <w:rFonts w:cs="Arial"/>
                <w:noProof/>
                <w:sz w:val="20"/>
                <w:szCs w:val="20"/>
              </w:rPr>
              <w:t>PO2</w:t>
            </w:r>
          </w:p>
        </w:tc>
        <w:tc>
          <w:tcPr>
            <w:tcW w:w="2588" w:type="dxa"/>
            <w:noWrap/>
            <w:vAlign w:val="top"/>
            <w:hideMark/>
          </w:tcPr>
          <w:p w14:paraId="12C8A442" w14:textId="77777777" w:rsidR="00E05CA8" w:rsidRPr="00383DBF" w:rsidRDefault="00E05CA8">
            <w:pPr>
              <w:spacing w:before="0" w:after="0"/>
              <w:jc w:val="center"/>
              <w:rPr>
                <w:rFonts w:cs="Arial"/>
                <w:noProof/>
                <w:sz w:val="20"/>
                <w:szCs w:val="20"/>
              </w:rPr>
            </w:pPr>
            <w:r w:rsidRPr="00383DBF">
              <w:rPr>
                <w:rFonts w:cs="Arial"/>
                <w:noProof/>
                <w:sz w:val="20"/>
                <w:szCs w:val="20"/>
              </w:rPr>
              <w:t>35</w:t>
            </w:r>
          </w:p>
        </w:tc>
        <w:tc>
          <w:tcPr>
            <w:tcW w:w="2687" w:type="dxa"/>
            <w:vAlign w:val="top"/>
          </w:tcPr>
          <w:p w14:paraId="365240A8" w14:textId="77777777" w:rsidR="00E05CA8" w:rsidRPr="00383DBF" w:rsidDel="00580FC0" w:rsidRDefault="00E05CA8">
            <w:pPr>
              <w:spacing w:after="0"/>
              <w:jc w:val="center"/>
              <w:rPr>
                <w:rFonts w:cs="Arial"/>
                <w:noProof/>
                <w:sz w:val="20"/>
                <w:szCs w:val="20"/>
              </w:rPr>
            </w:pPr>
            <w:r w:rsidRPr="00383DBF">
              <w:rPr>
                <w:rFonts w:cs="Arial"/>
                <w:noProof/>
                <w:sz w:val="20"/>
                <w:szCs w:val="20"/>
              </w:rPr>
              <w:t>35</w:t>
            </w:r>
          </w:p>
        </w:tc>
        <w:tc>
          <w:tcPr>
            <w:tcW w:w="2688" w:type="dxa"/>
            <w:vAlign w:val="top"/>
          </w:tcPr>
          <w:p w14:paraId="0C874E37" w14:textId="77777777" w:rsidR="00E05CA8" w:rsidRPr="00383DBF" w:rsidRDefault="00E05CA8">
            <w:pPr>
              <w:spacing w:before="0" w:after="0"/>
              <w:jc w:val="center"/>
              <w:rPr>
                <w:rFonts w:cs="Arial"/>
                <w:noProof/>
                <w:sz w:val="20"/>
                <w:szCs w:val="20"/>
              </w:rPr>
            </w:pPr>
            <w:r w:rsidRPr="00383DBF">
              <w:rPr>
                <w:rFonts w:cs="Arial"/>
                <w:noProof/>
                <w:sz w:val="20"/>
                <w:szCs w:val="20"/>
              </w:rPr>
              <w:t>330</w:t>
            </w:r>
          </w:p>
        </w:tc>
      </w:tr>
      <w:tr w:rsidR="00E05CA8" w:rsidRPr="00580FC0" w14:paraId="4EF786F1" w14:textId="77777777" w:rsidTr="00383DBF">
        <w:trPr>
          <w:trHeight w:val="219"/>
        </w:trPr>
        <w:tc>
          <w:tcPr>
            <w:tcW w:w="1493" w:type="dxa"/>
            <w:noWrap/>
            <w:vAlign w:val="top"/>
            <w:hideMark/>
          </w:tcPr>
          <w:p w14:paraId="7DB35E3F" w14:textId="77777777" w:rsidR="00E05CA8" w:rsidRPr="00383DBF" w:rsidRDefault="00E05CA8">
            <w:pPr>
              <w:spacing w:before="0" w:after="0"/>
              <w:jc w:val="center"/>
              <w:rPr>
                <w:rFonts w:cs="Arial"/>
                <w:noProof/>
                <w:sz w:val="20"/>
                <w:szCs w:val="20"/>
              </w:rPr>
            </w:pPr>
            <w:r w:rsidRPr="00383DBF">
              <w:rPr>
                <w:rFonts w:cs="Arial"/>
                <w:noProof/>
                <w:sz w:val="20"/>
                <w:szCs w:val="20"/>
              </w:rPr>
              <w:t>PO3</w:t>
            </w:r>
          </w:p>
        </w:tc>
        <w:tc>
          <w:tcPr>
            <w:tcW w:w="2588" w:type="dxa"/>
            <w:noWrap/>
            <w:vAlign w:val="top"/>
            <w:hideMark/>
          </w:tcPr>
          <w:p w14:paraId="653389D3" w14:textId="77777777" w:rsidR="00E05CA8" w:rsidRPr="00383DBF" w:rsidRDefault="00E05CA8">
            <w:pPr>
              <w:spacing w:before="0" w:after="0"/>
              <w:jc w:val="center"/>
              <w:rPr>
                <w:rFonts w:cs="Arial"/>
                <w:noProof/>
                <w:sz w:val="20"/>
                <w:szCs w:val="20"/>
              </w:rPr>
            </w:pPr>
            <w:r w:rsidRPr="00383DBF">
              <w:rPr>
                <w:rFonts w:cs="Arial"/>
                <w:noProof/>
                <w:sz w:val="20"/>
                <w:szCs w:val="20"/>
              </w:rPr>
              <w:t>36</w:t>
            </w:r>
          </w:p>
        </w:tc>
        <w:tc>
          <w:tcPr>
            <w:tcW w:w="2687" w:type="dxa"/>
            <w:vAlign w:val="top"/>
          </w:tcPr>
          <w:p w14:paraId="053B5612" w14:textId="77777777" w:rsidR="00E05CA8" w:rsidRPr="00383DBF" w:rsidRDefault="00E05CA8">
            <w:pPr>
              <w:spacing w:after="0"/>
              <w:jc w:val="center"/>
              <w:rPr>
                <w:rFonts w:cs="Arial"/>
                <w:noProof/>
                <w:sz w:val="20"/>
                <w:szCs w:val="20"/>
              </w:rPr>
            </w:pPr>
            <w:r w:rsidRPr="00383DBF">
              <w:rPr>
                <w:rFonts w:cs="Arial"/>
                <w:noProof/>
                <w:sz w:val="20"/>
                <w:szCs w:val="20"/>
              </w:rPr>
              <w:t>35</w:t>
            </w:r>
          </w:p>
        </w:tc>
        <w:tc>
          <w:tcPr>
            <w:tcW w:w="2688" w:type="dxa"/>
            <w:vAlign w:val="top"/>
          </w:tcPr>
          <w:p w14:paraId="5061B207" w14:textId="77777777" w:rsidR="00E05CA8" w:rsidRPr="00383DBF" w:rsidRDefault="00E05CA8">
            <w:pPr>
              <w:spacing w:before="0" w:after="0"/>
              <w:jc w:val="center"/>
              <w:rPr>
                <w:rFonts w:cs="Arial"/>
                <w:noProof/>
                <w:sz w:val="20"/>
                <w:szCs w:val="20"/>
              </w:rPr>
            </w:pPr>
            <w:r w:rsidRPr="00383DBF">
              <w:rPr>
                <w:rFonts w:cs="Arial"/>
                <w:noProof/>
                <w:sz w:val="20"/>
                <w:szCs w:val="20"/>
              </w:rPr>
              <w:t>330</w:t>
            </w:r>
          </w:p>
        </w:tc>
      </w:tr>
      <w:tr w:rsidR="00E05CA8" w:rsidRPr="00580FC0" w14:paraId="28E16943" w14:textId="77777777" w:rsidTr="00383DBF">
        <w:trPr>
          <w:trHeight w:val="219"/>
        </w:trPr>
        <w:tc>
          <w:tcPr>
            <w:tcW w:w="1493" w:type="dxa"/>
            <w:noWrap/>
            <w:vAlign w:val="top"/>
            <w:hideMark/>
          </w:tcPr>
          <w:p w14:paraId="0900A192" w14:textId="77777777" w:rsidR="00E05CA8" w:rsidRPr="00383DBF" w:rsidRDefault="00E05CA8">
            <w:pPr>
              <w:spacing w:before="0" w:after="0"/>
              <w:jc w:val="center"/>
              <w:rPr>
                <w:rFonts w:cs="Arial"/>
                <w:noProof/>
                <w:sz w:val="20"/>
                <w:szCs w:val="20"/>
              </w:rPr>
            </w:pPr>
            <w:r w:rsidRPr="00383DBF">
              <w:rPr>
                <w:rFonts w:cs="Arial"/>
                <w:noProof/>
                <w:sz w:val="20"/>
                <w:szCs w:val="20"/>
              </w:rPr>
              <w:t>PO4</w:t>
            </w:r>
          </w:p>
        </w:tc>
        <w:tc>
          <w:tcPr>
            <w:tcW w:w="2588" w:type="dxa"/>
            <w:noWrap/>
            <w:vAlign w:val="top"/>
            <w:hideMark/>
          </w:tcPr>
          <w:p w14:paraId="78432598" w14:textId="77777777" w:rsidR="00E05CA8" w:rsidRPr="00383DBF" w:rsidRDefault="00E05CA8">
            <w:pPr>
              <w:spacing w:before="0" w:after="0"/>
              <w:jc w:val="center"/>
              <w:rPr>
                <w:rFonts w:cs="Arial"/>
                <w:noProof/>
                <w:sz w:val="20"/>
                <w:szCs w:val="20"/>
              </w:rPr>
            </w:pPr>
            <w:r w:rsidRPr="00383DBF">
              <w:rPr>
                <w:rFonts w:cs="Arial"/>
                <w:noProof/>
                <w:sz w:val="20"/>
                <w:szCs w:val="20"/>
              </w:rPr>
              <w:t>35</w:t>
            </w:r>
          </w:p>
        </w:tc>
        <w:tc>
          <w:tcPr>
            <w:tcW w:w="2687" w:type="dxa"/>
            <w:vAlign w:val="top"/>
          </w:tcPr>
          <w:p w14:paraId="430623F7" w14:textId="77777777" w:rsidR="00E05CA8" w:rsidRPr="00383DBF" w:rsidRDefault="00E05CA8">
            <w:pPr>
              <w:spacing w:after="0"/>
              <w:jc w:val="center"/>
              <w:rPr>
                <w:rFonts w:cs="Arial"/>
                <w:noProof/>
                <w:sz w:val="20"/>
                <w:szCs w:val="20"/>
              </w:rPr>
            </w:pPr>
            <w:r w:rsidRPr="00383DBF">
              <w:rPr>
                <w:rFonts w:cs="Arial"/>
                <w:noProof/>
                <w:sz w:val="20"/>
                <w:szCs w:val="20"/>
              </w:rPr>
              <w:t>35</w:t>
            </w:r>
          </w:p>
        </w:tc>
        <w:tc>
          <w:tcPr>
            <w:tcW w:w="2688" w:type="dxa"/>
            <w:vAlign w:val="top"/>
          </w:tcPr>
          <w:p w14:paraId="5D9E9C5C" w14:textId="77777777" w:rsidR="00E05CA8" w:rsidRPr="00383DBF" w:rsidRDefault="00E05CA8">
            <w:pPr>
              <w:spacing w:before="0" w:after="0"/>
              <w:jc w:val="center"/>
              <w:rPr>
                <w:rFonts w:cs="Arial"/>
                <w:noProof/>
                <w:sz w:val="20"/>
                <w:szCs w:val="20"/>
              </w:rPr>
            </w:pPr>
            <w:r w:rsidRPr="00383DBF">
              <w:rPr>
                <w:rFonts w:cs="Arial"/>
                <w:noProof/>
                <w:sz w:val="20"/>
                <w:szCs w:val="20"/>
              </w:rPr>
              <w:t>330</w:t>
            </w:r>
          </w:p>
        </w:tc>
      </w:tr>
    </w:tbl>
    <w:p w14:paraId="25CAB7FE" w14:textId="77777777" w:rsidR="00E05CA8" w:rsidRPr="00D71008" w:rsidRDefault="00E05CA8" w:rsidP="00E05CA8">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750DE670" w14:textId="38FE13DC" w:rsidR="00E05CA8" w:rsidRPr="000F304C" w:rsidRDefault="00E05CA8" w:rsidP="00E05CA8">
      <w:pPr>
        <w:pStyle w:val="Text4"/>
        <w:spacing w:before="0" w:after="240"/>
        <w:ind w:left="0"/>
        <w:rPr>
          <w:rFonts w:ascii="Times New Roman" w:eastAsia="Calibri" w:hAnsi="Times New Roman"/>
          <w:noProof/>
          <w:spacing w:val="-8"/>
          <w:sz w:val="24"/>
          <w:szCs w:val="24"/>
        </w:rPr>
      </w:pPr>
      <w:r w:rsidRPr="000F304C">
        <w:rPr>
          <w:rFonts w:ascii="Times New Roman" w:eastAsia="Calibri" w:hAnsi="Times New Roman"/>
          <w:noProof/>
          <w:spacing w:val="-8"/>
          <w:sz w:val="24"/>
          <w:szCs w:val="24"/>
        </w:rPr>
        <w:t xml:space="preserve">The table below summarises the </w:t>
      </w:r>
      <w:r w:rsidR="00725205">
        <w:rPr>
          <w:rFonts w:ascii="Times New Roman" w:eastAsia="Calibri" w:hAnsi="Times New Roman"/>
          <w:noProof/>
          <w:spacing w:val="-8"/>
          <w:sz w:val="24"/>
          <w:szCs w:val="24"/>
        </w:rPr>
        <w:t xml:space="preserve">projected </w:t>
      </w:r>
      <w:r w:rsidRPr="000F304C">
        <w:rPr>
          <w:rFonts w:ascii="Times New Roman" w:eastAsia="Calibri" w:hAnsi="Times New Roman"/>
          <w:noProof/>
          <w:spacing w:val="-8"/>
          <w:sz w:val="24"/>
          <w:szCs w:val="24"/>
        </w:rPr>
        <w:t xml:space="preserve">number of </w:t>
      </w:r>
      <w:r w:rsidR="00F86197">
        <w:rPr>
          <w:rFonts w:ascii="Times New Roman" w:eastAsia="Calibri" w:hAnsi="Times New Roman"/>
          <w:noProof/>
          <w:spacing w:val="-8"/>
          <w:sz w:val="24"/>
          <w:szCs w:val="24"/>
        </w:rPr>
        <w:t xml:space="preserve">total, new and renegotiated </w:t>
      </w:r>
      <w:r w:rsidRPr="000F304C" w:rsidDel="00F86197">
        <w:rPr>
          <w:rFonts w:ascii="Times New Roman" w:eastAsia="Calibri" w:hAnsi="Times New Roman"/>
          <w:noProof/>
          <w:spacing w:val="-8"/>
          <w:sz w:val="24"/>
          <w:szCs w:val="24"/>
        </w:rPr>
        <w:t>agreements between MDMS platforms and transport operators</w:t>
      </w:r>
      <w:r w:rsidRPr="000F304C">
        <w:rPr>
          <w:rFonts w:ascii="Times New Roman" w:eastAsia="Calibri" w:hAnsi="Times New Roman"/>
          <w:noProof/>
          <w:spacing w:val="-8"/>
          <w:sz w:val="24"/>
          <w:szCs w:val="24"/>
        </w:rPr>
        <w:t xml:space="preserve"> in 2028, 2030, 2040 and 2050 in the baseline and in the policy options. </w:t>
      </w:r>
    </w:p>
    <w:p w14:paraId="314E3A91" w14:textId="54F019FA" w:rsidR="00E05CA8" w:rsidRDefault="00E05CA8" w:rsidP="00696D24">
      <w:pPr>
        <w:keepNext/>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66</w:t>
      </w:r>
      <w:r w:rsidRPr="00383DBF">
        <w:rPr>
          <w:i/>
          <w:noProof/>
          <w:sz w:val="22"/>
          <w:szCs w:val="22"/>
        </w:rPr>
        <w:fldChar w:fldCharType="end"/>
      </w:r>
      <w:r w:rsidRPr="00383DBF">
        <w:rPr>
          <w:i/>
          <w:noProof/>
          <w:sz w:val="22"/>
          <w:szCs w:val="22"/>
        </w:rPr>
        <w:t xml:space="preserve">: Number of total, new and renegotiated agreements in 2028, 2030, 2040 and 2050 between MDMS platforms and transport operators in the baseline and </w:t>
      </w:r>
      <w:r w:rsidR="00E179BE">
        <w:rPr>
          <w:i/>
          <w:noProof/>
          <w:sz w:val="22"/>
          <w:szCs w:val="22"/>
        </w:rPr>
        <w:t xml:space="preserve">in the </w:t>
      </w:r>
      <w:r w:rsidRPr="00383DBF">
        <w:rPr>
          <w:i/>
          <w:noProof/>
          <w:sz w:val="22"/>
          <w:szCs w:val="22"/>
        </w:rPr>
        <w:t>policy options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1"/>
        <w:gridCol w:w="2466"/>
        <w:gridCol w:w="1124"/>
        <w:gridCol w:w="1124"/>
        <w:gridCol w:w="1124"/>
        <w:gridCol w:w="1124"/>
      </w:tblGrid>
      <w:tr w:rsidR="00696D24" w:rsidRPr="004C3570" w14:paraId="7955D226" w14:textId="77777777" w:rsidTr="001F3158">
        <w:trPr>
          <w:trHeight w:val="255"/>
          <w:tblHeader/>
        </w:trPr>
        <w:tc>
          <w:tcPr>
            <w:tcW w:w="1375" w:type="pct"/>
            <w:shd w:val="clear" w:color="auto" w:fill="0070C0"/>
            <w:hideMark/>
          </w:tcPr>
          <w:p w14:paraId="3FC95D82" w14:textId="35B5D68D" w:rsidR="00AC05F9" w:rsidRPr="004C3570" w:rsidRDefault="00AC05F9" w:rsidP="00696D24">
            <w:pPr>
              <w:keepNext/>
              <w:rPr>
                <w:b/>
                <w:bCs/>
                <w:noProof/>
                <w:color w:val="FFFFFF"/>
                <w:sz w:val="20"/>
                <w:szCs w:val="20"/>
              </w:rPr>
            </w:pPr>
          </w:p>
        </w:tc>
        <w:tc>
          <w:tcPr>
            <w:tcW w:w="1284" w:type="pct"/>
            <w:shd w:val="clear" w:color="auto" w:fill="0070C0"/>
            <w:hideMark/>
          </w:tcPr>
          <w:p w14:paraId="2B1520D7" w14:textId="77777777" w:rsidR="00AC05F9" w:rsidRPr="004C3570" w:rsidRDefault="00AC05F9" w:rsidP="00696D24">
            <w:pPr>
              <w:keepNext/>
              <w:jc w:val="center"/>
              <w:rPr>
                <w:b/>
                <w:bCs/>
                <w:noProof/>
                <w:color w:val="FFFFFF"/>
                <w:sz w:val="20"/>
                <w:szCs w:val="20"/>
              </w:rPr>
            </w:pPr>
            <w:r w:rsidRPr="004C3570">
              <w:rPr>
                <w:b/>
                <w:bCs/>
                <w:noProof/>
                <w:color w:val="FFFFFF"/>
                <w:sz w:val="20"/>
                <w:szCs w:val="20"/>
              </w:rPr>
              <w:t>Agreement type</w:t>
            </w:r>
          </w:p>
        </w:tc>
        <w:tc>
          <w:tcPr>
            <w:tcW w:w="585" w:type="pct"/>
            <w:shd w:val="clear" w:color="auto" w:fill="0070C0"/>
            <w:hideMark/>
          </w:tcPr>
          <w:p w14:paraId="64999F10" w14:textId="77777777" w:rsidR="00AC05F9" w:rsidRPr="004C3570" w:rsidRDefault="00AC05F9" w:rsidP="00696D24">
            <w:pPr>
              <w:keepNext/>
              <w:jc w:val="center"/>
              <w:rPr>
                <w:b/>
                <w:bCs/>
                <w:noProof/>
                <w:color w:val="FFFFFF"/>
                <w:sz w:val="20"/>
                <w:szCs w:val="20"/>
              </w:rPr>
            </w:pPr>
            <w:r w:rsidRPr="004C3570">
              <w:rPr>
                <w:b/>
                <w:bCs/>
                <w:noProof/>
                <w:color w:val="FFFFFF"/>
                <w:sz w:val="20"/>
                <w:szCs w:val="20"/>
              </w:rPr>
              <w:t>2028</w:t>
            </w:r>
          </w:p>
        </w:tc>
        <w:tc>
          <w:tcPr>
            <w:tcW w:w="585" w:type="pct"/>
            <w:shd w:val="clear" w:color="auto" w:fill="0070C0"/>
            <w:hideMark/>
          </w:tcPr>
          <w:p w14:paraId="7478032C" w14:textId="77777777" w:rsidR="00AC05F9" w:rsidRPr="004C3570" w:rsidRDefault="00AC05F9" w:rsidP="00696D24">
            <w:pPr>
              <w:keepNext/>
              <w:jc w:val="center"/>
              <w:rPr>
                <w:b/>
                <w:bCs/>
                <w:noProof/>
                <w:color w:val="FFFFFF"/>
                <w:sz w:val="20"/>
                <w:szCs w:val="20"/>
              </w:rPr>
            </w:pPr>
            <w:r w:rsidRPr="004C3570">
              <w:rPr>
                <w:b/>
                <w:bCs/>
                <w:noProof/>
                <w:color w:val="FFFFFF"/>
                <w:sz w:val="20"/>
                <w:szCs w:val="20"/>
              </w:rPr>
              <w:t>2030</w:t>
            </w:r>
          </w:p>
        </w:tc>
        <w:tc>
          <w:tcPr>
            <w:tcW w:w="585" w:type="pct"/>
            <w:shd w:val="clear" w:color="auto" w:fill="0070C0"/>
            <w:hideMark/>
          </w:tcPr>
          <w:p w14:paraId="3B1EB16F" w14:textId="77777777" w:rsidR="00AC05F9" w:rsidRPr="004C3570" w:rsidRDefault="00AC05F9" w:rsidP="00696D24">
            <w:pPr>
              <w:keepNext/>
              <w:jc w:val="center"/>
              <w:rPr>
                <w:b/>
                <w:bCs/>
                <w:noProof/>
                <w:color w:val="FFFFFF"/>
                <w:sz w:val="20"/>
                <w:szCs w:val="20"/>
              </w:rPr>
            </w:pPr>
            <w:r w:rsidRPr="004C3570">
              <w:rPr>
                <w:b/>
                <w:bCs/>
                <w:noProof/>
                <w:color w:val="FFFFFF"/>
                <w:sz w:val="20"/>
                <w:szCs w:val="20"/>
              </w:rPr>
              <w:t>2040</w:t>
            </w:r>
          </w:p>
        </w:tc>
        <w:tc>
          <w:tcPr>
            <w:tcW w:w="585" w:type="pct"/>
            <w:shd w:val="clear" w:color="auto" w:fill="0070C0"/>
            <w:hideMark/>
          </w:tcPr>
          <w:p w14:paraId="2389D24E" w14:textId="77777777" w:rsidR="00AC05F9" w:rsidRPr="004C3570" w:rsidRDefault="00AC05F9" w:rsidP="00696D24">
            <w:pPr>
              <w:keepNext/>
              <w:jc w:val="center"/>
              <w:rPr>
                <w:b/>
                <w:bCs/>
                <w:noProof/>
                <w:color w:val="FFFFFF"/>
                <w:sz w:val="20"/>
                <w:szCs w:val="20"/>
              </w:rPr>
            </w:pPr>
            <w:r w:rsidRPr="004C3570">
              <w:rPr>
                <w:b/>
                <w:bCs/>
                <w:noProof/>
                <w:color w:val="FFFFFF"/>
                <w:sz w:val="20"/>
                <w:szCs w:val="20"/>
              </w:rPr>
              <w:t>2050</w:t>
            </w:r>
          </w:p>
        </w:tc>
      </w:tr>
      <w:tr w:rsidR="004C3570" w:rsidRPr="004C3570" w14:paraId="7A545572" w14:textId="77777777" w:rsidTr="001F3158">
        <w:trPr>
          <w:trHeight w:val="255"/>
        </w:trPr>
        <w:tc>
          <w:tcPr>
            <w:tcW w:w="1375" w:type="pct"/>
            <w:vMerge w:val="restart"/>
            <w:hideMark/>
          </w:tcPr>
          <w:p w14:paraId="5BD4D027" w14:textId="77777777" w:rsidR="004C3570" w:rsidRPr="004C3570" w:rsidRDefault="004C3570" w:rsidP="00696D24">
            <w:pPr>
              <w:keepNext/>
              <w:rPr>
                <w:b/>
                <w:bCs/>
                <w:noProof/>
                <w:color w:val="242828"/>
                <w:sz w:val="20"/>
                <w:szCs w:val="20"/>
              </w:rPr>
            </w:pPr>
            <w:r w:rsidRPr="004C3570">
              <w:rPr>
                <w:b/>
                <w:bCs/>
                <w:noProof/>
                <w:color w:val="242828"/>
                <w:sz w:val="20"/>
                <w:szCs w:val="20"/>
              </w:rPr>
              <w:t>Baseline</w:t>
            </w:r>
          </w:p>
          <w:p w14:paraId="0E4242C2" w14:textId="77777777" w:rsidR="004C3570" w:rsidRPr="004C3570" w:rsidRDefault="004C3570" w:rsidP="00696D24">
            <w:pPr>
              <w:keepNext/>
              <w:rPr>
                <w:noProof/>
                <w:color w:val="242828"/>
                <w:sz w:val="20"/>
                <w:szCs w:val="20"/>
              </w:rPr>
            </w:pPr>
            <w:r w:rsidRPr="004C3570">
              <w:rPr>
                <w:noProof/>
                <w:color w:val="242828"/>
                <w:sz w:val="20"/>
                <w:szCs w:val="20"/>
              </w:rPr>
              <w:t> </w:t>
            </w:r>
          </w:p>
          <w:p w14:paraId="6C6BF782" w14:textId="1F07D71C" w:rsidR="004C3570" w:rsidRPr="004C3570" w:rsidRDefault="004C3570" w:rsidP="00696D24">
            <w:pPr>
              <w:keepNext/>
              <w:rPr>
                <w:b/>
                <w:bCs/>
                <w:noProof/>
                <w:color w:val="242828"/>
                <w:sz w:val="20"/>
                <w:szCs w:val="20"/>
              </w:rPr>
            </w:pPr>
            <w:r w:rsidRPr="004C3570">
              <w:rPr>
                <w:noProof/>
                <w:color w:val="242828"/>
                <w:sz w:val="20"/>
                <w:szCs w:val="20"/>
              </w:rPr>
              <w:t> </w:t>
            </w:r>
          </w:p>
        </w:tc>
        <w:tc>
          <w:tcPr>
            <w:tcW w:w="1284" w:type="pct"/>
            <w:hideMark/>
          </w:tcPr>
          <w:p w14:paraId="0503323D" w14:textId="77777777" w:rsidR="004C3570" w:rsidRPr="004C3570" w:rsidRDefault="004C3570" w:rsidP="00696D24">
            <w:pPr>
              <w:keepNext/>
              <w:jc w:val="center"/>
              <w:rPr>
                <w:noProof/>
                <w:color w:val="242828"/>
                <w:sz w:val="20"/>
                <w:szCs w:val="20"/>
              </w:rPr>
            </w:pPr>
            <w:r w:rsidRPr="004C3570">
              <w:rPr>
                <w:noProof/>
                <w:color w:val="242828"/>
                <w:sz w:val="20"/>
                <w:szCs w:val="20"/>
              </w:rPr>
              <w:t>Total</w:t>
            </w:r>
          </w:p>
        </w:tc>
        <w:tc>
          <w:tcPr>
            <w:tcW w:w="585" w:type="pct"/>
            <w:hideMark/>
          </w:tcPr>
          <w:p w14:paraId="66AAF2F3" w14:textId="77777777" w:rsidR="004C3570" w:rsidRPr="004C3570" w:rsidRDefault="004C3570" w:rsidP="00696D24">
            <w:pPr>
              <w:keepNext/>
              <w:jc w:val="right"/>
              <w:rPr>
                <w:noProof/>
                <w:color w:val="242828"/>
                <w:sz w:val="20"/>
                <w:szCs w:val="20"/>
              </w:rPr>
            </w:pPr>
            <w:r w:rsidRPr="004C3570">
              <w:rPr>
                <w:noProof/>
                <w:color w:val="242828"/>
                <w:sz w:val="20"/>
                <w:szCs w:val="20"/>
              </w:rPr>
              <w:t>48,624</w:t>
            </w:r>
          </w:p>
        </w:tc>
        <w:tc>
          <w:tcPr>
            <w:tcW w:w="585" w:type="pct"/>
            <w:hideMark/>
          </w:tcPr>
          <w:p w14:paraId="4737353C" w14:textId="77777777" w:rsidR="004C3570" w:rsidRPr="004C3570" w:rsidRDefault="004C3570" w:rsidP="00696D24">
            <w:pPr>
              <w:keepNext/>
              <w:jc w:val="right"/>
              <w:rPr>
                <w:noProof/>
                <w:color w:val="242828"/>
                <w:sz w:val="20"/>
                <w:szCs w:val="20"/>
              </w:rPr>
            </w:pPr>
            <w:r w:rsidRPr="004C3570">
              <w:rPr>
                <w:noProof/>
                <w:color w:val="242828"/>
                <w:sz w:val="20"/>
                <w:szCs w:val="20"/>
              </w:rPr>
              <w:t>49,321</w:t>
            </w:r>
          </w:p>
        </w:tc>
        <w:tc>
          <w:tcPr>
            <w:tcW w:w="585" w:type="pct"/>
            <w:hideMark/>
          </w:tcPr>
          <w:p w14:paraId="2C021A49" w14:textId="77777777" w:rsidR="004C3570" w:rsidRPr="004C3570" w:rsidRDefault="004C3570" w:rsidP="00696D24">
            <w:pPr>
              <w:keepNext/>
              <w:jc w:val="right"/>
              <w:rPr>
                <w:noProof/>
                <w:color w:val="242828"/>
                <w:sz w:val="20"/>
                <w:szCs w:val="20"/>
              </w:rPr>
            </w:pPr>
            <w:r w:rsidRPr="004C3570">
              <w:rPr>
                <w:noProof/>
                <w:color w:val="242828"/>
                <w:sz w:val="20"/>
                <w:szCs w:val="20"/>
              </w:rPr>
              <w:t>52,808</w:t>
            </w:r>
          </w:p>
        </w:tc>
        <w:tc>
          <w:tcPr>
            <w:tcW w:w="585" w:type="pct"/>
            <w:hideMark/>
          </w:tcPr>
          <w:p w14:paraId="67B7340A" w14:textId="77777777" w:rsidR="004C3570" w:rsidRPr="004C3570" w:rsidRDefault="004C3570" w:rsidP="00696D24">
            <w:pPr>
              <w:keepNext/>
              <w:jc w:val="right"/>
              <w:rPr>
                <w:noProof/>
                <w:color w:val="242828"/>
                <w:sz w:val="20"/>
                <w:szCs w:val="20"/>
              </w:rPr>
            </w:pPr>
            <w:r w:rsidRPr="004C3570">
              <w:rPr>
                <w:noProof/>
                <w:color w:val="242828"/>
                <w:sz w:val="20"/>
                <w:szCs w:val="20"/>
              </w:rPr>
              <w:t>56,295</w:t>
            </w:r>
          </w:p>
        </w:tc>
      </w:tr>
      <w:tr w:rsidR="004C3570" w:rsidRPr="004C3570" w14:paraId="51FCA66E" w14:textId="77777777" w:rsidTr="001F3158">
        <w:trPr>
          <w:trHeight w:val="255"/>
        </w:trPr>
        <w:tc>
          <w:tcPr>
            <w:tcW w:w="1375" w:type="pct"/>
            <w:vMerge/>
            <w:hideMark/>
          </w:tcPr>
          <w:p w14:paraId="105EF33F" w14:textId="7BBE6714" w:rsidR="004C3570" w:rsidRPr="004C3570" w:rsidRDefault="004C3570" w:rsidP="006A7B4C">
            <w:pPr>
              <w:rPr>
                <w:noProof/>
                <w:color w:val="242828"/>
                <w:sz w:val="20"/>
                <w:szCs w:val="20"/>
              </w:rPr>
            </w:pPr>
          </w:p>
        </w:tc>
        <w:tc>
          <w:tcPr>
            <w:tcW w:w="1284" w:type="pct"/>
            <w:hideMark/>
          </w:tcPr>
          <w:p w14:paraId="25A6830B" w14:textId="77777777" w:rsidR="004C3570" w:rsidRPr="004C3570" w:rsidRDefault="004C3570">
            <w:pPr>
              <w:jc w:val="center"/>
              <w:rPr>
                <w:noProof/>
                <w:color w:val="242828"/>
                <w:sz w:val="20"/>
                <w:szCs w:val="20"/>
              </w:rPr>
            </w:pPr>
            <w:r w:rsidRPr="004C3570">
              <w:rPr>
                <w:noProof/>
                <w:color w:val="242828"/>
                <w:sz w:val="20"/>
                <w:szCs w:val="20"/>
              </w:rPr>
              <w:t>New</w:t>
            </w:r>
          </w:p>
        </w:tc>
        <w:tc>
          <w:tcPr>
            <w:tcW w:w="585" w:type="pct"/>
            <w:hideMark/>
          </w:tcPr>
          <w:p w14:paraId="7FFDF796" w14:textId="77777777" w:rsidR="004C3570" w:rsidRPr="004C3570" w:rsidRDefault="004C3570">
            <w:pPr>
              <w:jc w:val="right"/>
              <w:rPr>
                <w:noProof/>
                <w:color w:val="242828"/>
                <w:sz w:val="20"/>
                <w:szCs w:val="20"/>
              </w:rPr>
            </w:pPr>
            <w:r w:rsidRPr="004C3570">
              <w:rPr>
                <w:noProof/>
                <w:color w:val="242828"/>
                <w:sz w:val="20"/>
                <w:szCs w:val="20"/>
              </w:rPr>
              <w:t>0</w:t>
            </w:r>
          </w:p>
        </w:tc>
        <w:tc>
          <w:tcPr>
            <w:tcW w:w="585" w:type="pct"/>
            <w:hideMark/>
          </w:tcPr>
          <w:p w14:paraId="4D103758" w14:textId="77777777" w:rsidR="004C3570" w:rsidRPr="004C3570" w:rsidRDefault="004C3570">
            <w:pPr>
              <w:jc w:val="right"/>
              <w:rPr>
                <w:noProof/>
                <w:color w:val="242828"/>
                <w:sz w:val="20"/>
                <w:szCs w:val="20"/>
              </w:rPr>
            </w:pPr>
            <w:r w:rsidRPr="004C3570">
              <w:rPr>
                <w:noProof/>
                <w:color w:val="242828"/>
                <w:sz w:val="20"/>
                <w:szCs w:val="20"/>
              </w:rPr>
              <w:t>349</w:t>
            </w:r>
          </w:p>
        </w:tc>
        <w:tc>
          <w:tcPr>
            <w:tcW w:w="585" w:type="pct"/>
            <w:hideMark/>
          </w:tcPr>
          <w:p w14:paraId="0227FC92" w14:textId="77777777" w:rsidR="004C3570" w:rsidRPr="004C3570" w:rsidRDefault="004C3570">
            <w:pPr>
              <w:jc w:val="right"/>
              <w:rPr>
                <w:noProof/>
                <w:color w:val="242828"/>
                <w:sz w:val="20"/>
                <w:szCs w:val="20"/>
              </w:rPr>
            </w:pPr>
            <w:r w:rsidRPr="004C3570">
              <w:rPr>
                <w:noProof/>
                <w:color w:val="242828"/>
                <w:sz w:val="20"/>
                <w:szCs w:val="20"/>
              </w:rPr>
              <w:t>349</w:t>
            </w:r>
          </w:p>
        </w:tc>
        <w:tc>
          <w:tcPr>
            <w:tcW w:w="585" w:type="pct"/>
            <w:hideMark/>
          </w:tcPr>
          <w:p w14:paraId="53111919" w14:textId="77777777" w:rsidR="004C3570" w:rsidRPr="004C3570" w:rsidRDefault="004C3570">
            <w:pPr>
              <w:jc w:val="right"/>
              <w:rPr>
                <w:noProof/>
                <w:color w:val="242828"/>
                <w:sz w:val="20"/>
                <w:szCs w:val="20"/>
              </w:rPr>
            </w:pPr>
            <w:r w:rsidRPr="004C3570">
              <w:rPr>
                <w:noProof/>
                <w:color w:val="242828"/>
                <w:sz w:val="20"/>
                <w:szCs w:val="20"/>
              </w:rPr>
              <w:t>349</w:t>
            </w:r>
          </w:p>
        </w:tc>
      </w:tr>
      <w:tr w:rsidR="004C3570" w:rsidRPr="004C3570" w14:paraId="171C08BF" w14:textId="77777777" w:rsidTr="001F3158">
        <w:trPr>
          <w:trHeight w:val="255"/>
        </w:trPr>
        <w:tc>
          <w:tcPr>
            <w:tcW w:w="1375" w:type="pct"/>
            <w:vMerge/>
            <w:hideMark/>
          </w:tcPr>
          <w:p w14:paraId="6489AC57" w14:textId="22FE51AD" w:rsidR="004C3570" w:rsidRPr="004C3570" w:rsidRDefault="004C3570">
            <w:pPr>
              <w:rPr>
                <w:noProof/>
                <w:color w:val="242828"/>
                <w:sz w:val="20"/>
                <w:szCs w:val="20"/>
              </w:rPr>
            </w:pPr>
          </w:p>
        </w:tc>
        <w:tc>
          <w:tcPr>
            <w:tcW w:w="1284" w:type="pct"/>
            <w:hideMark/>
          </w:tcPr>
          <w:p w14:paraId="10A57268" w14:textId="57398224" w:rsidR="004C3570" w:rsidRPr="004C3570" w:rsidRDefault="004C3570">
            <w:pPr>
              <w:jc w:val="center"/>
              <w:rPr>
                <w:noProof/>
                <w:color w:val="242828"/>
                <w:sz w:val="20"/>
                <w:szCs w:val="20"/>
              </w:rPr>
            </w:pPr>
            <w:r w:rsidRPr="004C3570">
              <w:rPr>
                <w:noProof/>
                <w:color w:val="242828"/>
                <w:sz w:val="20"/>
                <w:szCs w:val="20"/>
              </w:rPr>
              <w:t>Renegotiated</w:t>
            </w:r>
          </w:p>
        </w:tc>
        <w:tc>
          <w:tcPr>
            <w:tcW w:w="585" w:type="pct"/>
            <w:hideMark/>
          </w:tcPr>
          <w:p w14:paraId="3622A95E" w14:textId="77777777" w:rsidR="004C3570" w:rsidRPr="004C3570" w:rsidRDefault="004C3570">
            <w:pPr>
              <w:jc w:val="right"/>
              <w:rPr>
                <w:noProof/>
                <w:color w:val="242828"/>
                <w:sz w:val="20"/>
                <w:szCs w:val="20"/>
              </w:rPr>
            </w:pPr>
            <w:r w:rsidRPr="004C3570">
              <w:rPr>
                <w:noProof/>
                <w:color w:val="242828"/>
                <w:sz w:val="20"/>
                <w:szCs w:val="20"/>
              </w:rPr>
              <w:t>16,208</w:t>
            </w:r>
          </w:p>
        </w:tc>
        <w:tc>
          <w:tcPr>
            <w:tcW w:w="585" w:type="pct"/>
            <w:hideMark/>
          </w:tcPr>
          <w:p w14:paraId="6AC84DB8" w14:textId="77777777" w:rsidR="004C3570" w:rsidRPr="004C3570" w:rsidRDefault="004C3570">
            <w:pPr>
              <w:jc w:val="right"/>
              <w:rPr>
                <w:noProof/>
                <w:color w:val="242828"/>
                <w:sz w:val="20"/>
                <w:szCs w:val="20"/>
              </w:rPr>
            </w:pPr>
            <w:r w:rsidRPr="004C3570">
              <w:rPr>
                <w:noProof/>
                <w:color w:val="242828"/>
                <w:sz w:val="20"/>
                <w:szCs w:val="20"/>
              </w:rPr>
              <w:t>16,440</w:t>
            </w:r>
          </w:p>
        </w:tc>
        <w:tc>
          <w:tcPr>
            <w:tcW w:w="585" w:type="pct"/>
            <w:hideMark/>
          </w:tcPr>
          <w:p w14:paraId="215A6C21" w14:textId="77777777" w:rsidR="004C3570" w:rsidRPr="004C3570" w:rsidRDefault="004C3570">
            <w:pPr>
              <w:jc w:val="right"/>
              <w:rPr>
                <w:noProof/>
                <w:color w:val="242828"/>
                <w:sz w:val="20"/>
                <w:szCs w:val="20"/>
              </w:rPr>
            </w:pPr>
            <w:r w:rsidRPr="004C3570">
              <w:rPr>
                <w:noProof/>
                <w:color w:val="242828"/>
                <w:sz w:val="20"/>
                <w:szCs w:val="20"/>
              </w:rPr>
              <w:t>17,603</w:t>
            </w:r>
          </w:p>
        </w:tc>
        <w:tc>
          <w:tcPr>
            <w:tcW w:w="585" w:type="pct"/>
            <w:hideMark/>
          </w:tcPr>
          <w:p w14:paraId="24F2F133" w14:textId="77777777" w:rsidR="004C3570" w:rsidRPr="004C3570" w:rsidRDefault="004C3570">
            <w:pPr>
              <w:jc w:val="right"/>
              <w:rPr>
                <w:noProof/>
                <w:color w:val="242828"/>
                <w:sz w:val="20"/>
                <w:szCs w:val="20"/>
              </w:rPr>
            </w:pPr>
            <w:r w:rsidRPr="004C3570">
              <w:rPr>
                <w:noProof/>
                <w:color w:val="242828"/>
                <w:sz w:val="20"/>
                <w:szCs w:val="20"/>
              </w:rPr>
              <w:t>18,765</w:t>
            </w:r>
          </w:p>
        </w:tc>
      </w:tr>
      <w:tr w:rsidR="004C3570" w:rsidRPr="004C3570" w14:paraId="63E6CA02" w14:textId="77777777" w:rsidTr="001F3158">
        <w:trPr>
          <w:trHeight w:val="255"/>
        </w:trPr>
        <w:tc>
          <w:tcPr>
            <w:tcW w:w="1375" w:type="pct"/>
            <w:vMerge w:val="restart"/>
            <w:hideMark/>
          </w:tcPr>
          <w:p w14:paraId="3D94E615" w14:textId="77777777" w:rsidR="004C3570" w:rsidRPr="004C3570" w:rsidRDefault="004C3570">
            <w:pPr>
              <w:rPr>
                <w:b/>
                <w:bCs/>
                <w:noProof/>
                <w:color w:val="242828"/>
                <w:sz w:val="20"/>
                <w:szCs w:val="20"/>
              </w:rPr>
            </w:pPr>
            <w:r w:rsidRPr="004C3570">
              <w:rPr>
                <w:b/>
                <w:bCs/>
                <w:noProof/>
                <w:color w:val="242828"/>
                <w:sz w:val="20"/>
                <w:szCs w:val="20"/>
              </w:rPr>
              <w:t>PO1</w:t>
            </w:r>
          </w:p>
          <w:p w14:paraId="144B89F3" w14:textId="77777777" w:rsidR="004C3570" w:rsidRPr="004C3570" w:rsidRDefault="004C3570">
            <w:pPr>
              <w:rPr>
                <w:noProof/>
                <w:color w:val="242828"/>
                <w:sz w:val="20"/>
                <w:szCs w:val="20"/>
              </w:rPr>
            </w:pPr>
            <w:r w:rsidRPr="004C3570">
              <w:rPr>
                <w:noProof/>
                <w:color w:val="242828"/>
                <w:sz w:val="20"/>
                <w:szCs w:val="20"/>
              </w:rPr>
              <w:t> </w:t>
            </w:r>
          </w:p>
          <w:p w14:paraId="29884B59" w14:textId="30F7EC58" w:rsidR="004C3570" w:rsidRPr="004C3570" w:rsidRDefault="004C3570" w:rsidP="006A7B4C">
            <w:pPr>
              <w:rPr>
                <w:b/>
                <w:bCs/>
                <w:noProof/>
                <w:color w:val="242828"/>
                <w:sz w:val="20"/>
                <w:szCs w:val="20"/>
              </w:rPr>
            </w:pPr>
            <w:r w:rsidRPr="004C3570">
              <w:rPr>
                <w:noProof/>
                <w:color w:val="242828"/>
                <w:sz w:val="20"/>
                <w:szCs w:val="20"/>
              </w:rPr>
              <w:t> </w:t>
            </w:r>
          </w:p>
        </w:tc>
        <w:tc>
          <w:tcPr>
            <w:tcW w:w="1284" w:type="pct"/>
            <w:hideMark/>
          </w:tcPr>
          <w:p w14:paraId="6CBF6581" w14:textId="77777777" w:rsidR="004C3570" w:rsidRPr="004C3570" w:rsidRDefault="004C3570">
            <w:pPr>
              <w:jc w:val="center"/>
              <w:rPr>
                <w:noProof/>
                <w:color w:val="242828"/>
                <w:sz w:val="20"/>
                <w:szCs w:val="20"/>
              </w:rPr>
            </w:pPr>
            <w:r w:rsidRPr="004C3570">
              <w:rPr>
                <w:noProof/>
                <w:color w:val="242828"/>
                <w:sz w:val="20"/>
                <w:szCs w:val="20"/>
              </w:rPr>
              <w:t>Total</w:t>
            </w:r>
          </w:p>
        </w:tc>
        <w:tc>
          <w:tcPr>
            <w:tcW w:w="585" w:type="pct"/>
            <w:hideMark/>
          </w:tcPr>
          <w:p w14:paraId="05A5ED58" w14:textId="77777777" w:rsidR="004C3570" w:rsidRPr="004C3570" w:rsidRDefault="004C3570">
            <w:pPr>
              <w:jc w:val="right"/>
              <w:rPr>
                <w:noProof/>
                <w:color w:val="242828"/>
                <w:sz w:val="20"/>
                <w:szCs w:val="20"/>
              </w:rPr>
            </w:pPr>
            <w:r w:rsidRPr="004C3570">
              <w:rPr>
                <w:noProof/>
                <w:color w:val="242828"/>
                <w:sz w:val="20"/>
                <w:szCs w:val="20"/>
              </w:rPr>
              <w:t>48,624</w:t>
            </w:r>
          </w:p>
        </w:tc>
        <w:tc>
          <w:tcPr>
            <w:tcW w:w="585" w:type="pct"/>
            <w:hideMark/>
          </w:tcPr>
          <w:p w14:paraId="498EF69A" w14:textId="77777777" w:rsidR="004C3570" w:rsidRPr="004C3570" w:rsidRDefault="004C3570">
            <w:pPr>
              <w:jc w:val="right"/>
              <w:rPr>
                <w:noProof/>
                <w:color w:val="242828"/>
                <w:sz w:val="20"/>
                <w:szCs w:val="20"/>
              </w:rPr>
            </w:pPr>
            <w:r w:rsidRPr="004C3570">
              <w:rPr>
                <w:noProof/>
                <w:color w:val="242828"/>
                <w:sz w:val="20"/>
                <w:szCs w:val="20"/>
              </w:rPr>
              <w:t>50,671</w:t>
            </w:r>
          </w:p>
        </w:tc>
        <w:tc>
          <w:tcPr>
            <w:tcW w:w="585" w:type="pct"/>
            <w:hideMark/>
          </w:tcPr>
          <w:p w14:paraId="0C973D2D" w14:textId="77777777" w:rsidR="004C3570" w:rsidRPr="004C3570" w:rsidRDefault="004C3570">
            <w:pPr>
              <w:jc w:val="right"/>
              <w:rPr>
                <w:noProof/>
                <w:color w:val="242828"/>
                <w:sz w:val="20"/>
                <w:szCs w:val="20"/>
              </w:rPr>
            </w:pPr>
            <w:r w:rsidRPr="004C3570">
              <w:rPr>
                <w:noProof/>
                <w:color w:val="242828"/>
                <w:sz w:val="20"/>
                <w:szCs w:val="20"/>
              </w:rPr>
              <w:t>58,862</w:t>
            </w:r>
          </w:p>
        </w:tc>
        <w:tc>
          <w:tcPr>
            <w:tcW w:w="585" w:type="pct"/>
            <w:hideMark/>
          </w:tcPr>
          <w:p w14:paraId="2112A8EA" w14:textId="77777777" w:rsidR="004C3570" w:rsidRPr="004C3570" w:rsidRDefault="004C3570">
            <w:pPr>
              <w:jc w:val="right"/>
              <w:rPr>
                <w:noProof/>
                <w:color w:val="242828"/>
                <w:sz w:val="20"/>
                <w:szCs w:val="20"/>
              </w:rPr>
            </w:pPr>
            <w:r w:rsidRPr="004C3570">
              <w:rPr>
                <w:noProof/>
                <w:color w:val="242828"/>
                <w:sz w:val="20"/>
                <w:szCs w:val="20"/>
              </w:rPr>
              <w:t>58,862</w:t>
            </w:r>
          </w:p>
        </w:tc>
      </w:tr>
      <w:tr w:rsidR="004C3570" w:rsidRPr="004C3570" w14:paraId="35403D65" w14:textId="77777777" w:rsidTr="001F3158">
        <w:trPr>
          <w:trHeight w:val="255"/>
        </w:trPr>
        <w:tc>
          <w:tcPr>
            <w:tcW w:w="1375" w:type="pct"/>
            <w:vMerge/>
            <w:hideMark/>
          </w:tcPr>
          <w:p w14:paraId="27E0A6FD" w14:textId="05ECCD32" w:rsidR="004C3570" w:rsidRPr="004C3570" w:rsidRDefault="004C3570" w:rsidP="006A7B4C">
            <w:pPr>
              <w:rPr>
                <w:noProof/>
                <w:color w:val="242828"/>
                <w:sz w:val="20"/>
                <w:szCs w:val="20"/>
              </w:rPr>
            </w:pPr>
          </w:p>
        </w:tc>
        <w:tc>
          <w:tcPr>
            <w:tcW w:w="1284" w:type="pct"/>
            <w:hideMark/>
          </w:tcPr>
          <w:p w14:paraId="7072FFD7" w14:textId="77777777" w:rsidR="004C3570" w:rsidRPr="004C3570" w:rsidRDefault="004C3570">
            <w:pPr>
              <w:jc w:val="center"/>
              <w:rPr>
                <w:noProof/>
                <w:color w:val="242828"/>
                <w:sz w:val="20"/>
                <w:szCs w:val="20"/>
              </w:rPr>
            </w:pPr>
            <w:r w:rsidRPr="004C3570">
              <w:rPr>
                <w:noProof/>
                <w:color w:val="242828"/>
                <w:sz w:val="20"/>
                <w:szCs w:val="20"/>
              </w:rPr>
              <w:t>New</w:t>
            </w:r>
          </w:p>
        </w:tc>
        <w:tc>
          <w:tcPr>
            <w:tcW w:w="585" w:type="pct"/>
            <w:hideMark/>
          </w:tcPr>
          <w:p w14:paraId="06CDC356" w14:textId="77777777" w:rsidR="004C3570" w:rsidRPr="004C3570" w:rsidRDefault="004C3570">
            <w:pPr>
              <w:jc w:val="right"/>
              <w:rPr>
                <w:noProof/>
                <w:color w:val="242828"/>
                <w:sz w:val="20"/>
                <w:szCs w:val="20"/>
              </w:rPr>
            </w:pPr>
            <w:r w:rsidRPr="004C3570">
              <w:rPr>
                <w:noProof/>
                <w:color w:val="242828"/>
                <w:sz w:val="20"/>
                <w:szCs w:val="20"/>
              </w:rPr>
              <w:t>0</w:t>
            </w:r>
          </w:p>
        </w:tc>
        <w:tc>
          <w:tcPr>
            <w:tcW w:w="585" w:type="pct"/>
            <w:hideMark/>
          </w:tcPr>
          <w:p w14:paraId="1ECB60D5" w14:textId="77777777" w:rsidR="004C3570" w:rsidRPr="004C3570" w:rsidRDefault="004C3570">
            <w:pPr>
              <w:jc w:val="right"/>
              <w:rPr>
                <w:noProof/>
                <w:color w:val="242828"/>
                <w:sz w:val="20"/>
                <w:szCs w:val="20"/>
              </w:rPr>
            </w:pPr>
            <w:r w:rsidRPr="004C3570">
              <w:rPr>
                <w:noProof/>
                <w:color w:val="242828"/>
                <w:sz w:val="20"/>
                <w:szCs w:val="20"/>
              </w:rPr>
              <w:t>1,024</w:t>
            </w:r>
          </w:p>
        </w:tc>
        <w:tc>
          <w:tcPr>
            <w:tcW w:w="585" w:type="pct"/>
            <w:hideMark/>
          </w:tcPr>
          <w:p w14:paraId="7B4E93C2" w14:textId="77777777" w:rsidR="004C3570" w:rsidRPr="004C3570" w:rsidRDefault="004C3570">
            <w:pPr>
              <w:jc w:val="right"/>
              <w:rPr>
                <w:noProof/>
                <w:color w:val="242828"/>
                <w:sz w:val="20"/>
                <w:szCs w:val="20"/>
              </w:rPr>
            </w:pPr>
            <w:r w:rsidRPr="004C3570">
              <w:rPr>
                <w:noProof/>
                <w:color w:val="242828"/>
                <w:sz w:val="20"/>
                <w:szCs w:val="20"/>
              </w:rPr>
              <w:t>614</w:t>
            </w:r>
          </w:p>
        </w:tc>
        <w:tc>
          <w:tcPr>
            <w:tcW w:w="585" w:type="pct"/>
            <w:hideMark/>
          </w:tcPr>
          <w:p w14:paraId="10876527" w14:textId="77777777" w:rsidR="004C3570" w:rsidRPr="004C3570" w:rsidRDefault="004C3570">
            <w:pPr>
              <w:jc w:val="right"/>
              <w:rPr>
                <w:noProof/>
                <w:color w:val="242828"/>
                <w:sz w:val="20"/>
                <w:szCs w:val="20"/>
              </w:rPr>
            </w:pPr>
            <w:r w:rsidRPr="004C3570">
              <w:rPr>
                <w:noProof/>
                <w:color w:val="242828"/>
                <w:sz w:val="20"/>
                <w:szCs w:val="20"/>
              </w:rPr>
              <w:t>0</w:t>
            </w:r>
          </w:p>
        </w:tc>
      </w:tr>
      <w:tr w:rsidR="004C3570" w:rsidRPr="004C3570" w14:paraId="3FA9AA8B" w14:textId="77777777" w:rsidTr="001F3158">
        <w:trPr>
          <w:trHeight w:val="255"/>
        </w:trPr>
        <w:tc>
          <w:tcPr>
            <w:tcW w:w="1375" w:type="pct"/>
            <w:vMerge/>
            <w:hideMark/>
          </w:tcPr>
          <w:p w14:paraId="7C801651" w14:textId="67085864" w:rsidR="004C3570" w:rsidRPr="004C3570" w:rsidRDefault="004C3570">
            <w:pPr>
              <w:rPr>
                <w:noProof/>
                <w:color w:val="242828"/>
                <w:sz w:val="20"/>
                <w:szCs w:val="20"/>
              </w:rPr>
            </w:pPr>
          </w:p>
        </w:tc>
        <w:tc>
          <w:tcPr>
            <w:tcW w:w="1284" w:type="pct"/>
            <w:hideMark/>
          </w:tcPr>
          <w:p w14:paraId="58E51E54" w14:textId="7D4FE7BF" w:rsidR="004C3570" w:rsidRPr="004C3570" w:rsidRDefault="004C3570">
            <w:pPr>
              <w:jc w:val="center"/>
              <w:rPr>
                <w:noProof/>
                <w:color w:val="242828"/>
                <w:sz w:val="20"/>
                <w:szCs w:val="20"/>
              </w:rPr>
            </w:pPr>
            <w:r w:rsidRPr="004C3570">
              <w:rPr>
                <w:noProof/>
                <w:color w:val="242828"/>
                <w:sz w:val="20"/>
                <w:szCs w:val="20"/>
              </w:rPr>
              <w:t>Renegotiated</w:t>
            </w:r>
          </w:p>
        </w:tc>
        <w:tc>
          <w:tcPr>
            <w:tcW w:w="585" w:type="pct"/>
            <w:hideMark/>
          </w:tcPr>
          <w:p w14:paraId="68C974EC" w14:textId="77777777" w:rsidR="004C3570" w:rsidRPr="004C3570" w:rsidRDefault="004C3570">
            <w:pPr>
              <w:jc w:val="right"/>
              <w:rPr>
                <w:noProof/>
                <w:color w:val="242828"/>
                <w:sz w:val="20"/>
                <w:szCs w:val="20"/>
              </w:rPr>
            </w:pPr>
            <w:r w:rsidRPr="004C3570">
              <w:rPr>
                <w:noProof/>
                <w:color w:val="242828"/>
                <w:sz w:val="20"/>
                <w:szCs w:val="20"/>
              </w:rPr>
              <w:t>16,208</w:t>
            </w:r>
          </w:p>
        </w:tc>
        <w:tc>
          <w:tcPr>
            <w:tcW w:w="585" w:type="pct"/>
            <w:hideMark/>
          </w:tcPr>
          <w:p w14:paraId="13977DF8" w14:textId="77777777" w:rsidR="004C3570" w:rsidRPr="004C3570" w:rsidRDefault="004C3570">
            <w:pPr>
              <w:jc w:val="right"/>
              <w:rPr>
                <w:noProof/>
                <w:color w:val="242828"/>
                <w:sz w:val="20"/>
                <w:szCs w:val="20"/>
              </w:rPr>
            </w:pPr>
            <w:r w:rsidRPr="004C3570">
              <w:rPr>
                <w:noProof/>
                <w:color w:val="242828"/>
                <w:sz w:val="20"/>
                <w:szCs w:val="20"/>
              </w:rPr>
              <w:t>16,890</w:t>
            </w:r>
          </w:p>
        </w:tc>
        <w:tc>
          <w:tcPr>
            <w:tcW w:w="585" w:type="pct"/>
            <w:hideMark/>
          </w:tcPr>
          <w:p w14:paraId="35C84CB7" w14:textId="77777777" w:rsidR="004C3570" w:rsidRPr="004C3570" w:rsidRDefault="004C3570">
            <w:pPr>
              <w:jc w:val="right"/>
              <w:rPr>
                <w:noProof/>
                <w:color w:val="242828"/>
                <w:sz w:val="20"/>
                <w:szCs w:val="20"/>
              </w:rPr>
            </w:pPr>
            <w:r w:rsidRPr="004C3570">
              <w:rPr>
                <w:noProof/>
                <w:color w:val="242828"/>
                <w:sz w:val="20"/>
                <w:szCs w:val="20"/>
              </w:rPr>
              <w:t>19,621</w:t>
            </w:r>
          </w:p>
        </w:tc>
        <w:tc>
          <w:tcPr>
            <w:tcW w:w="585" w:type="pct"/>
            <w:hideMark/>
          </w:tcPr>
          <w:p w14:paraId="6033D61B" w14:textId="77777777" w:rsidR="004C3570" w:rsidRPr="004C3570" w:rsidRDefault="004C3570">
            <w:pPr>
              <w:jc w:val="right"/>
              <w:rPr>
                <w:noProof/>
                <w:color w:val="242828"/>
                <w:sz w:val="20"/>
                <w:szCs w:val="20"/>
              </w:rPr>
            </w:pPr>
            <w:r w:rsidRPr="004C3570">
              <w:rPr>
                <w:noProof/>
                <w:color w:val="242828"/>
                <w:sz w:val="20"/>
                <w:szCs w:val="20"/>
              </w:rPr>
              <w:t>19,621</w:t>
            </w:r>
          </w:p>
        </w:tc>
      </w:tr>
      <w:tr w:rsidR="004C3570" w:rsidRPr="004C3570" w14:paraId="559DD051" w14:textId="77777777" w:rsidTr="001F3158">
        <w:trPr>
          <w:trHeight w:val="255"/>
        </w:trPr>
        <w:tc>
          <w:tcPr>
            <w:tcW w:w="1375" w:type="pct"/>
            <w:vMerge w:val="restart"/>
            <w:hideMark/>
          </w:tcPr>
          <w:p w14:paraId="066DF38D" w14:textId="77777777" w:rsidR="004C3570" w:rsidRPr="004C3570" w:rsidRDefault="004C3570">
            <w:pPr>
              <w:rPr>
                <w:b/>
                <w:bCs/>
                <w:noProof/>
                <w:color w:val="242828"/>
                <w:sz w:val="20"/>
                <w:szCs w:val="20"/>
              </w:rPr>
            </w:pPr>
            <w:r w:rsidRPr="004C3570">
              <w:rPr>
                <w:b/>
                <w:bCs/>
                <w:noProof/>
                <w:color w:val="242828"/>
                <w:sz w:val="20"/>
                <w:szCs w:val="20"/>
              </w:rPr>
              <w:t>PO2</w:t>
            </w:r>
          </w:p>
          <w:p w14:paraId="43251C73" w14:textId="77777777" w:rsidR="004C3570" w:rsidRPr="004C3570" w:rsidRDefault="004C3570">
            <w:pPr>
              <w:rPr>
                <w:noProof/>
                <w:color w:val="242828"/>
                <w:sz w:val="20"/>
                <w:szCs w:val="20"/>
              </w:rPr>
            </w:pPr>
            <w:r w:rsidRPr="004C3570">
              <w:rPr>
                <w:noProof/>
                <w:color w:val="242828"/>
                <w:sz w:val="20"/>
                <w:szCs w:val="20"/>
              </w:rPr>
              <w:t> </w:t>
            </w:r>
          </w:p>
          <w:p w14:paraId="6B005D14" w14:textId="01C13269" w:rsidR="004C3570" w:rsidRPr="004C3570" w:rsidRDefault="004C3570" w:rsidP="006A7B4C">
            <w:pPr>
              <w:rPr>
                <w:b/>
                <w:bCs/>
                <w:noProof/>
                <w:color w:val="242828"/>
                <w:sz w:val="20"/>
                <w:szCs w:val="20"/>
              </w:rPr>
            </w:pPr>
            <w:r w:rsidRPr="004C3570">
              <w:rPr>
                <w:noProof/>
                <w:color w:val="242828"/>
                <w:sz w:val="20"/>
                <w:szCs w:val="20"/>
              </w:rPr>
              <w:t> </w:t>
            </w:r>
          </w:p>
        </w:tc>
        <w:tc>
          <w:tcPr>
            <w:tcW w:w="1284" w:type="pct"/>
            <w:hideMark/>
          </w:tcPr>
          <w:p w14:paraId="07FFA628" w14:textId="77777777" w:rsidR="004C3570" w:rsidRPr="004C3570" w:rsidRDefault="004C3570">
            <w:pPr>
              <w:jc w:val="center"/>
              <w:rPr>
                <w:noProof/>
                <w:color w:val="242828"/>
                <w:sz w:val="20"/>
                <w:szCs w:val="20"/>
              </w:rPr>
            </w:pPr>
            <w:r w:rsidRPr="004C3570">
              <w:rPr>
                <w:noProof/>
                <w:color w:val="242828"/>
                <w:sz w:val="20"/>
                <w:szCs w:val="20"/>
              </w:rPr>
              <w:t>Total</w:t>
            </w:r>
          </w:p>
        </w:tc>
        <w:tc>
          <w:tcPr>
            <w:tcW w:w="585" w:type="pct"/>
            <w:hideMark/>
          </w:tcPr>
          <w:p w14:paraId="7595F092" w14:textId="77777777" w:rsidR="004C3570" w:rsidRPr="004C3570" w:rsidRDefault="004C3570">
            <w:pPr>
              <w:jc w:val="right"/>
              <w:rPr>
                <w:noProof/>
                <w:color w:val="242828"/>
                <w:sz w:val="20"/>
                <w:szCs w:val="20"/>
              </w:rPr>
            </w:pPr>
            <w:r w:rsidRPr="004C3570">
              <w:rPr>
                <w:noProof/>
                <w:color w:val="242828"/>
                <w:sz w:val="20"/>
                <w:szCs w:val="20"/>
              </w:rPr>
              <w:t>63,870</w:t>
            </w:r>
          </w:p>
        </w:tc>
        <w:tc>
          <w:tcPr>
            <w:tcW w:w="585" w:type="pct"/>
            <w:hideMark/>
          </w:tcPr>
          <w:p w14:paraId="143AF90B" w14:textId="77777777" w:rsidR="004C3570" w:rsidRPr="004C3570" w:rsidRDefault="004C3570">
            <w:pPr>
              <w:jc w:val="right"/>
              <w:rPr>
                <w:noProof/>
                <w:color w:val="242828"/>
                <w:sz w:val="20"/>
                <w:szCs w:val="20"/>
              </w:rPr>
            </w:pPr>
            <w:r w:rsidRPr="004C3570">
              <w:rPr>
                <w:noProof/>
                <w:color w:val="242828"/>
                <w:sz w:val="20"/>
                <w:szCs w:val="20"/>
              </w:rPr>
              <w:t>69,832</w:t>
            </w:r>
          </w:p>
        </w:tc>
        <w:tc>
          <w:tcPr>
            <w:tcW w:w="585" w:type="pct"/>
            <w:hideMark/>
          </w:tcPr>
          <w:p w14:paraId="3570D2F8" w14:textId="77777777" w:rsidR="004C3570" w:rsidRPr="004C3570" w:rsidRDefault="004C3570">
            <w:pPr>
              <w:jc w:val="right"/>
              <w:rPr>
                <w:noProof/>
                <w:color w:val="242828"/>
                <w:sz w:val="20"/>
                <w:szCs w:val="20"/>
              </w:rPr>
            </w:pPr>
            <w:r w:rsidRPr="004C3570">
              <w:rPr>
                <w:noProof/>
                <w:color w:val="242828"/>
                <w:sz w:val="20"/>
                <w:szCs w:val="20"/>
              </w:rPr>
              <w:t>119,049</w:t>
            </w:r>
          </w:p>
        </w:tc>
        <w:tc>
          <w:tcPr>
            <w:tcW w:w="585" w:type="pct"/>
            <w:hideMark/>
          </w:tcPr>
          <w:p w14:paraId="445A41DF" w14:textId="77777777" w:rsidR="004C3570" w:rsidRPr="004C3570" w:rsidRDefault="004C3570">
            <w:pPr>
              <w:jc w:val="right"/>
              <w:rPr>
                <w:noProof/>
                <w:color w:val="242828"/>
                <w:sz w:val="20"/>
                <w:szCs w:val="20"/>
              </w:rPr>
            </w:pPr>
            <w:r w:rsidRPr="004C3570">
              <w:rPr>
                <w:noProof/>
                <w:color w:val="242828"/>
                <w:sz w:val="20"/>
                <w:szCs w:val="20"/>
              </w:rPr>
              <w:t>110,673</w:t>
            </w:r>
          </w:p>
        </w:tc>
      </w:tr>
      <w:tr w:rsidR="004C3570" w:rsidRPr="004C3570" w14:paraId="5341EA48" w14:textId="77777777" w:rsidTr="001F3158">
        <w:trPr>
          <w:trHeight w:val="255"/>
        </w:trPr>
        <w:tc>
          <w:tcPr>
            <w:tcW w:w="1375" w:type="pct"/>
            <w:vMerge/>
            <w:hideMark/>
          </w:tcPr>
          <w:p w14:paraId="224D9822" w14:textId="7CF42206" w:rsidR="004C3570" w:rsidRPr="004C3570" w:rsidRDefault="004C3570" w:rsidP="006A7B4C">
            <w:pPr>
              <w:rPr>
                <w:noProof/>
                <w:color w:val="242828"/>
                <w:sz w:val="20"/>
                <w:szCs w:val="20"/>
              </w:rPr>
            </w:pPr>
          </w:p>
        </w:tc>
        <w:tc>
          <w:tcPr>
            <w:tcW w:w="1284" w:type="pct"/>
            <w:hideMark/>
          </w:tcPr>
          <w:p w14:paraId="15D208A0" w14:textId="77777777" w:rsidR="004C3570" w:rsidRPr="004C3570" w:rsidRDefault="004C3570">
            <w:pPr>
              <w:jc w:val="center"/>
              <w:rPr>
                <w:noProof/>
                <w:color w:val="242828"/>
                <w:sz w:val="20"/>
                <w:szCs w:val="20"/>
              </w:rPr>
            </w:pPr>
            <w:r w:rsidRPr="004C3570">
              <w:rPr>
                <w:noProof/>
                <w:color w:val="242828"/>
                <w:sz w:val="20"/>
                <w:szCs w:val="20"/>
              </w:rPr>
              <w:t>New</w:t>
            </w:r>
          </w:p>
        </w:tc>
        <w:tc>
          <w:tcPr>
            <w:tcW w:w="585" w:type="pct"/>
            <w:hideMark/>
          </w:tcPr>
          <w:p w14:paraId="35A1A569" w14:textId="77777777" w:rsidR="004C3570" w:rsidRPr="004C3570" w:rsidRDefault="004C3570">
            <w:pPr>
              <w:jc w:val="right"/>
              <w:rPr>
                <w:noProof/>
                <w:color w:val="242828"/>
                <w:sz w:val="20"/>
                <w:szCs w:val="20"/>
              </w:rPr>
            </w:pPr>
            <w:r w:rsidRPr="004C3570">
              <w:rPr>
                <w:noProof/>
                <w:color w:val="242828"/>
                <w:sz w:val="20"/>
                <w:szCs w:val="20"/>
              </w:rPr>
              <w:t>15,247</w:t>
            </w:r>
          </w:p>
        </w:tc>
        <w:tc>
          <w:tcPr>
            <w:tcW w:w="585" w:type="pct"/>
            <w:hideMark/>
          </w:tcPr>
          <w:p w14:paraId="15538B55" w14:textId="77777777" w:rsidR="004C3570" w:rsidRPr="004C3570" w:rsidRDefault="004C3570">
            <w:pPr>
              <w:jc w:val="right"/>
              <w:rPr>
                <w:noProof/>
                <w:color w:val="242828"/>
                <w:sz w:val="20"/>
                <w:szCs w:val="20"/>
              </w:rPr>
            </w:pPr>
            <w:r w:rsidRPr="004C3570">
              <w:rPr>
                <w:noProof/>
                <w:color w:val="242828"/>
                <w:sz w:val="20"/>
                <w:szCs w:val="20"/>
              </w:rPr>
              <w:t>2,981</w:t>
            </w:r>
          </w:p>
        </w:tc>
        <w:tc>
          <w:tcPr>
            <w:tcW w:w="585" w:type="pct"/>
            <w:hideMark/>
          </w:tcPr>
          <w:p w14:paraId="4114FBB8" w14:textId="77777777" w:rsidR="004C3570" w:rsidRPr="004C3570" w:rsidRDefault="004C3570">
            <w:pPr>
              <w:jc w:val="right"/>
              <w:rPr>
                <w:noProof/>
                <w:color w:val="242828"/>
                <w:sz w:val="20"/>
                <w:szCs w:val="20"/>
              </w:rPr>
            </w:pPr>
            <w:r w:rsidRPr="004C3570">
              <w:rPr>
                <w:noProof/>
                <w:color w:val="242828"/>
                <w:sz w:val="20"/>
                <w:szCs w:val="20"/>
              </w:rPr>
              <w:t>4,922</w:t>
            </w:r>
          </w:p>
        </w:tc>
        <w:tc>
          <w:tcPr>
            <w:tcW w:w="585" w:type="pct"/>
            <w:hideMark/>
          </w:tcPr>
          <w:p w14:paraId="5D099264" w14:textId="77777777" w:rsidR="004C3570" w:rsidRPr="004C3570" w:rsidRDefault="004C3570">
            <w:pPr>
              <w:jc w:val="right"/>
              <w:rPr>
                <w:noProof/>
                <w:color w:val="242828"/>
                <w:sz w:val="20"/>
                <w:szCs w:val="20"/>
              </w:rPr>
            </w:pPr>
            <w:r w:rsidRPr="004C3570">
              <w:rPr>
                <w:noProof/>
                <w:color w:val="242828"/>
                <w:sz w:val="20"/>
                <w:szCs w:val="20"/>
              </w:rPr>
              <w:t>0</w:t>
            </w:r>
          </w:p>
        </w:tc>
      </w:tr>
      <w:tr w:rsidR="004C3570" w:rsidRPr="004C3570" w14:paraId="6CD5DA55" w14:textId="77777777" w:rsidTr="001F3158">
        <w:trPr>
          <w:trHeight w:val="255"/>
        </w:trPr>
        <w:tc>
          <w:tcPr>
            <w:tcW w:w="1375" w:type="pct"/>
            <w:vMerge/>
            <w:hideMark/>
          </w:tcPr>
          <w:p w14:paraId="22C5B1D6" w14:textId="2EF9041A" w:rsidR="004C3570" w:rsidRPr="004C3570" w:rsidRDefault="004C3570">
            <w:pPr>
              <w:rPr>
                <w:noProof/>
                <w:color w:val="242828"/>
                <w:sz w:val="20"/>
                <w:szCs w:val="20"/>
              </w:rPr>
            </w:pPr>
          </w:p>
        </w:tc>
        <w:tc>
          <w:tcPr>
            <w:tcW w:w="1284" w:type="pct"/>
            <w:hideMark/>
          </w:tcPr>
          <w:p w14:paraId="154424E1" w14:textId="519B816F" w:rsidR="004C3570" w:rsidRPr="004C3570" w:rsidRDefault="004C3570">
            <w:pPr>
              <w:jc w:val="center"/>
              <w:rPr>
                <w:noProof/>
                <w:color w:val="242828"/>
                <w:sz w:val="20"/>
                <w:szCs w:val="20"/>
              </w:rPr>
            </w:pPr>
            <w:r w:rsidRPr="004C3570">
              <w:rPr>
                <w:noProof/>
                <w:color w:val="242828"/>
                <w:sz w:val="20"/>
                <w:szCs w:val="20"/>
              </w:rPr>
              <w:t>Renegotiated</w:t>
            </w:r>
          </w:p>
        </w:tc>
        <w:tc>
          <w:tcPr>
            <w:tcW w:w="585" w:type="pct"/>
            <w:hideMark/>
          </w:tcPr>
          <w:p w14:paraId="72477FD0" w14:textId="77777777" w:rsidR="004C3570" w:rsidRPr="004C3570" w:rsidRDefault="004C3570">
            <w:pPr>
              <w:jc w:val="right"/>
              <w:rPr>
                <w:noProof/>
                <w:color w:val="242828"/>
                <w:sz w:val="20"/>
                <w:szCs w:val="20"/>
              </w:rPr>
            </w:pPr>
            <w:r w:rsidRPr="004C3570">
              <w:rPr>
                <w:noProof/>
                <w:color w:val="242828"/>
                <w:sz w:val="20"/>
                <w:szCs w:val="20"/>
              </w:rPr>
              <w:t>21,290</w:t>
            </w:r>
          </w:p>
        </w:tc>
        <w:tc>
          <w:tcPr>
            <w:tcW w:w="585" w:type="pct"/>
            <w:hideMark/>
          </w:tcPr>
          <w:p w14:paraId="3BFF319E" w14:textId="77777777" w:rsidR="004C3570" w:rsidRPr="004C3570" w:rsidRDefault="004C3570">
            <w:pPr>
              <w:jc w:val="right"/>
              <w:rPr>
                <w:noProof/>
                <w:color w:val="242828"/>
                <w:sz w:val="20"/>
                <w:szCs w:val="20"/>
              </w:rPr>
            </w:pPr>
            <w:r w:rsidRPr="004C3570">
              <w:rPr>
                <w:noProof/>
                <w:color w:val="242828"/>
                <w:sz w:val="20"/>
                <w:szCs w:val="20"/>
              </w:rPr>
              <w:t>23,277</w:t>
            </w:r>
          </w:p>
        </w:tc>
        <w:tc>
          <w:tcPr>
            <w:tcW w:w="585" w:type="pct"/>
            <w:hideMark/>
          </w:tcPr>
          <w:p w14:paraId="481F5955" w14:textId="77777777" w:rsidR="004C3570" w:rsidRPr="004C3570" w:rsidRDefault="004C3570">
            <w:pPr>
              <w:jc w:val="right"/>
              <w:rPr>
                <w:noProof/>
                <w:color w:val="242828"/>
                <w:sz w:val="20"/>
                <w:szCs w:val="20"/>
              </w:rPr>
            </w:pPr>
            <w:r w:rsidRPr="004C3570">
              <w:rPr>
                <w:noProof/>
                <w:color w:val="242828"/>
                <w:sz w:val="20"/>
                <w:szCs w:val="20"/>
              </w:rPr>
              <w:t>39,683</w:t>
            </w:r>
          </w:p>
        </w:tc>
        <w:tc>
          <w:tcPr>
            <w:tcW w:w="585" w:type="pct"/>
            <w:hideMark/>
          </w:tcPr>
          <w:p w14:paraId="75B2F109" w14:textId="77777777" w:rsidR="004C3570" w:rsidRPr="004C3570" w:rsidRDefault="004C3570">
            <w:pPr>
              <w:jc w:val="right"/>
              <w:rPr>
                <w:noProof/>
                <w:color w:val="242828"/>
                <w:sz w:val="20"/>
                <w:szCs w:val="20"/>
              </w:rPr>
            </w:pPr>
            <w:r w:rsidRPr="004C3570">
              <w:rPr>
                <w:noProof/>
                <w:color w:val="242828"/>
                <w:sz w:val="20"/>
                <w:szCs w:val="20"/>
              </w:rPr>
              <w:t>36,891</w:t>
            </w:r>
          </w:p>
        </w:tc>
      </w:tr>
      <w:tr w:rsidR="004C3570" w:rsidRPr="004C3570" w14:paraId="2AAB01DA" w14:textId="77777777" w:rsidTr="001F3158">
        <w:trPr>
          <w:trHeight w:val="255"/>
        </w:trPr>
        <w:tc>
          <w:tcPr>
            <w:tcW w:w="1375" w:type="pct"/>
            <w:vMerge w:val="restart"/>
            <w:hideMark/>
          </w:tcPr>
          <w:p w14:paraId="13F814D8" w14:textId="77777777" w:rsidR="004C3570" w:rsidRPr="004C3570" w:rsidRDefault="004C3570">
            <w:pPr>
              <w:rPr>
                <w:b/>
                <w:bCs/>
                <w:noProof/>
                <w:color w:val="242828"/>
                <w:sz w:val="20"/>
                <w:szCs w:val="20"/>
              </w:rPr>
            </w:pPr>
            <w:r w:rsidRPr="004C3570">
              <w:rPr>
                <w:b/>
                <w:bCs/>
                <w:noProof/>
                <w:color w:val="242828"/>
                <w:sz w:val="20"/>
                <w:szCs w:val="20"/>
              </w:rPr>
              <w:t>PO3</w:t>
            </w:r>
          </w:p>
          <w:p w14:paraId="2F446010" w14:textId="77777777" w:rsidR="004C3570" w:rsidRPr="004C3570" w:rsidRDefault="004C3570">
            <w:pPr>
              <w:rPr>
                <w:noProof/>
                <w:color w:val="242828"/>
                <w:sz w:val="20"/>
                <w:szCs w:val="20"/>
              </w:rPr>
            </w:pPr>
            <w:r w:rsidRPr="004C3570">
              <w:rPr>
                <w:noProof/>
                <w:color w:val="242828"/>
                <w:sz w:val="20"/>
                <w:szCs w:val="20"/>
              </w:rPr>
              <w:t> </w:t>
            </w:r>
          </w:p>
          <w:p w14:paraId="6325D6A7" w14:textId="6D260520" w:rsidR="004C3570" w:rsidRPr="004C3570" w:rsidRDefault="004C3570" w:rsidP="006A7B4C">
            <w:pPr>
              <w:rPr>
                <w:b/>
                <w:bCs/>
                <w:noProof/>
                <w:color w:val="242828"/>
                <w:sz w:val="20"/>
                <w:szCs w:val="20"/>
              </w:rPr>
            </w:pPr>
            <w:r w:rsidRPr="004C3570">
              <w:rPr>
                <w:noProof/>
                <w:color w:val="242828"/>
                <w:sz w:val="20"/>
                <w:szCs w:val="20"/>
              </w:rPr>
              <w:t> </w:t>
            </w:r>
          </w:p>
        </w:tc>
        <w:tc>
          <w:tcPr>
            <w:tcW w:w="1284" w:type="pct"/>
            <w:hideMark/>
          </w:tcPr>
          <w:p w14:paraId="3DA8B489" w14:textId="77777777" w:rsidR="004C3570" w:rsidRPr="004C3570" w:rsidRDefault="004C3570">
            <w:pPr>
              <w:jc w:val="center"/>
              <w:rPr>
                <w:noProof/>
                <w:color w:val="242828"/>
                <w:sz w:val="20"/>
                <w:szCs w:val="20"/>
              </w:rPr>
            </w:pPr>
            <w:r w:rsidRPr="004C3570">
              <w:rPr>
                <w:noProof/>
                <w:color w:val="242828"/>
                <w:sz w:val="20"/>
                <w:szCs w:val="20"/>
              </w:rPr>
              <w:t>Total</w:t>
            </w:r>
          </w:p>
        </w:tc>
        <w:tc>
          <w:tcPr>
            <w:tcW w:w="585" w:type="pct"/>
            <w:hideMark/>
          </w:tcPr>
          <w:p w14:paraId="0C22CCE1" w14:textId="77777777" w:rsidR="004C3570" w:rsidRPr="004C3570" w:rsidRDefault="004C3570">
            <w:pPr>
              <w:jc w:val="right"/>
              <w:rPr>
                <w:noProof/>
                <w:color w:val="242828"/>
                <w:sz w:val="20"/>
                <w:szCs w:val="20"/>
              </w:rPr>
            </w:pPr>
            <w:r w:rsidRPr="004C3570">
              <w:rPr>
                <w:noProof/>
                <w:color w:val="242828"/>
                <w:sz w:val="20"/>
                <w:szCs w:val="20"/>
              </w:rPr>
              <w:t>63,883</w:t>
            </w:r>
          </w:p>
        </w:tc>
        <w:tc>
          <w:tcPr>
            <w:tcW w:w="585" w:type="pct"/>
            <w:hideMark/>
          </w:tcPr>
          <w:p w14:paraId="2E1A96CD" w14:textId="77777777" w:rsidR="004C3570" w:rsidRPr="004C3570" w:rsidRDefault="004C3570">
            <w:pPr>
              <w:jc w:val="right"/>
              <w:rPr>
                <w:noProof/>
                <w:color w:val="242828"/>
                <w:sz w:val="20"/>
                <w:szCs w:val="20"/>
              </w:rPr>
            </w:pPr>
            <w:r w:rsidRPr="004C3570">
              <w:rPr>
                <w:noProof/>
                <w:color w:val="242828"/>
                <w:sz w:val="20"/>
                <w:szCs w:val="20"/>
              </w:rPr>
              <w:t>69,248</w:t>
            </w:r>
          </w:p>
        </w:tc>
        <w:tc>
          <w:tcPr>
            <w:tcW w:w="585" w:type="pct"/>
            <w:hideMark/>
          </w:tcPr>
          <w:p w14:paraId="4D17FFC1" w14:textId="77777777" w:rsidR="004C3570" w:rsidRPr="004C3570" w:rsidRDefault="004C3570">
            <w:pPr>
              <w:jc w:val="right"/>
              <w:rPr>
                <w:noProof/>
                <w:color w:val="242828"/>
                <w:sz w:val="20"/>
                <w:szCs w:val="20"/>
              </w:rPr>
            </w:pPr>
            <w:r w:rsidRPr="004C3570">
              <w:rPr>
                <w:noProof/>
                <w:color w:val="242828"/>
                <w:sz w:val="20"/>
                <w:szCs w:val="20"/>
              </w:rPr>
              <w:t>110,686</w:t>
            </w:r>
          </w:p>
        </w:tc>
        <w:tc>
          <w:tcPr>
            <w:tcW w:w="585" w:type="pct"/>
            <w:hideMark/>
          </w:tcPr>
          <w:p w14:paraId="2CBB5B51" w14:textId="77777777" w:rsidR="004C3570" w:rsidRPr="004C3570" w:rsidRDefault="004C3570">
            <w:pPr>
              <w:jc w:val="right"/>
              <w:rPr>
                <w:noProof/>
                <w:color w:val="242828"/>
                <w:sz w:val="20"/>
                <w:szCs w:val="20"/>
              </w:rPr>
            </w:pPr>
            <w:r w:rsidRPr="004C3570">
              <w:rPr>
                <w:noProof/>
                <w:color w:val="242828"/>
                <w:sz w:val="20"/>
                <w:szCs w:val="20"/>
              </w:rPr>
              <w:t>110,686</w:t>
            </w:r>
          </w:p>
        </w:tc>
      </w:tr>
      <w:tr w:rsidR="004C3570" w:rsidRPr="004C3570" w14:paraId="747FF568" w14:textId="77777777" w:rsidTr="001F3158">
        <w:trPr>
          <w:trHeight w:val="255"/>
        </w:trPr>
        <w:tc>
          <w:tcPr>
            <w:tcW w:w="1375" w:type="pct"/>
            <w:vMerge/>
            <w:hideMark/>
          </w:tcPr>
          <w:p w14:paraId="7D72D059" w14:textId="025082B7" w:rsidR="004C3570" w:rsidRPr="004C3570" w:rsidRDefault="004C3570" w:rsidP="006A7B4C">
            <w:pPr>
              <w:rPr>
                <w:noProof/>
                <w:color w:val="242828"/>
                <w:sz w:val="20"/>
                <w:szCs w:val="20"/>
              </w:rPr>
            </w:pPr>
          </w:p>
        </w:tc>
        <w:tc>
          <w:tcPr>
            <w:tcW w:w="1284" w:type="pct"/>
            <w:hideMark/>
          </w:tcPr>
          <w:p w14:paraId="38AFE377" w14:textId="77777777" w:rsidR="004C3570" w:rsidRPr="004C3570" w:rsidRDefault="004C3570">
            <w:pPr>
              <w:jc w:val="center"/>
              <w:rPr>
                <w:noProof/>
                <w:color w:val="242828"/>
                <w:sz w:val="20"/>
                <w:szCs w:val="20"/>
              </w:rPr>
            </w:pPr>
            <w:r w:rsidRPr="004C3570">
              <w:rPr>
                <w:noProof/>
                <w:color w:val="242828"/>
                <w:sz w:val="20"/>
                <w:szCs w:val="20"/>
              </w:rPr>
              <w:t>New</w:t>
            </w:r>
          </w:p>
        </w:tc>
        <w:tc>
          <w:tcPr>
            <w:tcW w:w="585" w:type="pct"/>
            <w:hideMark/>
          </w:tcPr>
          <w:p w14:paraId="4EB60CE5" w14:textId="77777777" w:rsidR="004C3570" w:rsidRPr="004C3570" w:rsidRDefault="004C3570">
            <w:pPr>
              <w:jc w:val="right"/>
              <w:rPr>
                <w:noProof/>
                <w:color w:val="242828"/>
                <w:sz w:val="20"/>
                <w:szCs w:val="20"/>
              </w:rPr>
            </w:pPr>
            <w:r w:rsidRPr="004C3570">
              <w:rPr>
                <w:noProof/>
                <w:color w:val="242828"/>
                <w:sz w:val="20"/>
                <w:szCs w:val="20"/>
              </w:rPr>
              <w:t>15,260</w:t>
            </w:r>
          </w:p>
        </w:tc>
        <w:tc>
          <w:tcPr>
            <w:tcW w:w="585" w:type="pct"/>
            <w:hideMark/>
          </w:tcPr>
          <w:p w14:paraId="39197DAA" w14:textId="77777777" w:rsidR="004C3570" w:rsidRPr="004C3570" w:rsidRDefault="004C3570">
            <w:pPr>
              <w:jc w:val="right"/>
              <w:rPr>
                <w:noProof/>
                <w:color w:val="242828"/>
                <w:sz w:val="20"/>
                <w:szCs w:val="20"/>
              </w:rPr>
            </w:pPr>
            <w:r w:rsidRPr="004C3570">
              <w:rPr>
                <w:noProof/>
                <w:color w:val="242828"/>
                <w:sz w:val="20"/>
                <w:szCs w:val="20"/>
              </w:rPr>
              <w:t>2,998</w:t>
            </w:r>
          </w:p>
        </w:tc>
        <w:tc>
          <w:tcPr>
            <w:tcW w:w="585" w:type="pct"/>
            <w:hideMark/>
          </w:tcPr>
          <w:p w14:paraId="21F6BFBF" w14:textId="77777777" w:rsidR="004C3570" w:rsidRPr="004C3570" w:rsidRDefault="004C3570">
            <w:pPr>
              <w:jc w:val="right"/>
              <w:rPr>
                <w:noProof/>
                <w:color w:val="242828"/>
                <w:sz w:val="20"/>
                <w:szCs w:val="20"/>
              </w:rPr>
            </w:pPr>
            <w:r w:rsidRPr="004C3570">
              <w:rPr>
                <w:noProof/>
                <w:color w:val="242828"/>
                <w:sz w:val="20"/>
                <w:szCs w:val="20"/>
              </w:rPr>
              <w:t>4,144</w:t>
            </w:r>
          </w:p>
        </w:tc>
        <w:tc>
          <w:tcPr>
            <w:tcW w:w="585" w:type="pct"/>
            <w:hideMark/>
          </w:tcPr>
          <w:p w14:paraId="1226C5D3" w14:textId="77777777" w:rsidR="004C3570" w:rsidRPr="004C3570" w:rsidRDefault="004C3570">
            <w:pPr>
              <w:jc w:val="right"/>
              <w:rPr>
                <w:noProof/>
                <w:color w:val="242828"/>
                <w:sz w:val="20"/>
                <w:szCs w:val="20"/>
              </w:rPr>
            </w:pPr>
            <w:r w:rsidRPr="004C3570">
              <w:rPr>
                <w:noProof/>
                <w:color w:val="242828"/>
                <w:sz w:val="20"/>
                <w:szCs w:val="20"/>
              </w:rPr>
              <w:t>0</w:t>
            </w:r>
          </w:p>
        </w:tc>
      </w:tr>
      <w:tr w:rsidR="004C3570" w:rsidRPr="004C3570" w14:paraId="4CF8C67F" w14:textId="77777777" w:rsidTr="001F3158">
        <w:trPr>
          <w:trHeight w:val="255"/>
        </w:trPr>
        <w:tc>
          <w:tcPr>
            <w:tcW w:w="1375" w:type="pct"/>
            <w:vMerge/>
            <w:hideMark/>
          </w:tcPr>
          <w:p w14:paraId="6BF69B1A" w14:textId="0E81A52A" w:rsidR="004C3570" w:rsidRPr="004C3570" w:rsidRDefault="004C3570">
            <w:pPr>
              <w:rPr>
                <w:noProof/>
                <w:color w:val="242828"/>
                <w:sz w:val="20"/>
                <w:szCs w:val="20"/>
              </w:rPr>
            </w:pPr>
          </w:p>
        </w:tc>
        <w:tc>
          <w:tcPr>
            <w:tcW w:w="1284" w:type="pct"/>
            <w:hideMark/>
          </w:tcPr>
          <w:p w14:paraId="6EA92C41" w14:textId="44927E80" w:rsidR="004C3570" w:rsidRPr="004C3570" w:rsidRDefault="004C3570">
            <w:pPr>
              <w:jc w:val="center"/>
              <w:rPr>
                <w:noProof/>
                <w:color w:val="242828"/>
                <w:sz w:val="20"/>
                <w:szCs w:val="20"/>
              </w:rPr>
            </w:pPr>
            <w:r w:rsidRPr="004C3570">
              <w:rPr>
                <w:noProof/>
                <w:color w:val="242828"/>
                <w:sz w:val="20"/>
                <w:szCs w:val="20"/>
              </w:rPr>
              <w:t>Renegotiated</w:t>
            </w:r>
          </w:p>
        </w:tc>
        <w:tc>
          <w:tcPr>
            <w:tcW w:w="585" w:type="pct"/>
            <w:hideMark/>
          </w:tcPr>
          <w:p w14:paraId="6B13A489" w14:textId="77777777" w:rsidR="004C3570" w:rsidRPr="004C3570" w:rsidRDefault="004C3570">
            <w:pPr>
              <w:jc w:val="right"/>
              <w:rPr>
                <w:noProof/>
                <w:color w:val="242828"/>
                <w:sz w:val="20"/>
                <w:szCs w:val="20"/>
              </w:rPr>
            </w:pPr>
            <w:r w:rsidRPr="004C3570">
              <w:rPr>
                <w:noProof/>
                <w:color w:val="242828"/>
                <w:sz w:val="20"/>
                <w:szCs w:val="20"/>
              </w:rPr>
              <w:t>21,294</w:t>
            </w:r>
          </w:p>
        </w:tc>
        <w:tc>
          <w:tcPr>
            <w:tcW w:w="585" w:type="pct"/>
            <w:hideMark/>
          </w:tcPr>
          <w:p w14:paraId="6B9BFD66" w14:textId="77777777" w:rsidR="004C3570" w:rsidRPr="004C3570" w:rsidRDefault="004C3570">
            <w:pPr>
              <w:jc w:val="right"/>
              <w:rPr>
                <w:noProof/>
                <w:color w:val="242828"/>
                <w:sz w:val="20"/>
                <w:szCs w:val="20"/>
              </w:rPr>
            </w:pPr>
            <w:r w:rsidRPr="004C3570">
              <w:rPr>
                <w:noProof/>
                <w:color w:val="242828"/>
                <w:sz w:val="20"/>
                <w:szCs w:val="20"/>
              </w:rPr>
              <w:t>23,083</w:t>
            </w:r>
          </w:p>
        </w:tc>
        <w:tc>
          <w:tcPr>
            <w:tcW w:w="585" w:type="pct"/>
            <w:hideMark/>
          </w:tcPr>
          <w:p w14:paraId="5A5525F8" w14:textId="77777777" w:rsidR="004C3570" w:rsidRPr="004C3570" w:rsidRDefault="004C3570">
            <w:pPr>
              <w:jc w:val="right"/>
              <w:rPr>
                <w:noProof/>
                <w:color w:val="242828"/>
                <w:sz w:val="20"/>
                <w:szCs w:val="20"/>
              </w:rPr>
            </w:pPr>
            <w:r w:rsidRPr="004C3570">
              <w:rPr>
                <w:noProof/>
                <w:color w:val="242828"/>
                <w:sz w:val="20"/>
                <w:szCs w:val="20"/>
              </w:rPr>
              <w:t>36,895</w:t>
            </w:r>
          </w:p>
        </w:tc>
        <w:tc>
          <w:tcPr>
            <w:tcW w:w="585" w:type="pct"/>
            <w:hideMark/>
          </w:tcPr>
          <w:p w14:paraId="0F9E74F0" w14:textId="77777777" w:rsidR="004C3570" w:rsidRPr="004C3570" w:rsidRDefault="004C3570">
            <w:pPr>
              <w:jc w:val="right"/>
              <w:rPr>
                <w:noProof/>
                <w:color w:val="242828"/>
                <w:sz w:val="20"/>
                <w:szCs w:val="20"/>
              </w:rPr>
            </w:pPr>
            <w:r w:rsidRPr="004C3570">
              <w:rPr>
                <w:noProof/>
                <w:color w:val="242828"/>
                <w:sz w:val="20"/>
                <w:szCs w:val="20"/>
              </w:rPr>
              <w:t>36,895</w:t>
            </w:r>
          </w:p>
        </w:tc>
      </w:tr>
      <w:tr w:rsidR="004C3570" w:rsidRPr="004C3570" w14:paraId="0B72F6BD" w14:textId="77777777" w:rsidTr="001F3158">
        <w:trPr>
          <w:trHeight w:val="255"/>
        </w:trPr>
        <w:tc>
          <w:tcPr>
            <w:tcW w:w="1375" w:type="pct"/>
            <w:vMerge w:val="restart"/>
            <w:hideMark/>
          </w:tcPr>
          <w:p w14:paraId="78CE5A8A" w14:textId="77777777" w:rsidR="004C3570" w:rsidRPr="004C3570" w:rsidRDefault="004C3570">
            <w:pPr>
              <w:rPr>
                <w:b/>
                <w:bCs/>
                <w:noProof/>
                <w:color w:val="242828"/>
                <w:sz w:val="20"/>
                <w:szCs w:val="20"/>
              </w:rPr>
            </w:pPr>
            <w:r w:rsidRPr="004C3570">
              <w:rPr>
                <w:b/>
                <w:bCs/>
                <w:noProof/>
                <w:color w:val="242828"/>
                <w:sz w:val="20"/>
                <w:szCs w:val="20"/>
              </w:rPr>
              <w:t>PO4</w:t>
            </w:r>
          </w:p>
          <w:p w14:paraId="1F744DD5" w14:textId="77777777" w:rsidR="004C3570" w:rsidRPr="004C3570" w:rsidRDefault="004C3570">
            <w:pPr>
              <w:rPr>
                <w:noProof/>
                <w:color w:val="242828"/>
                <w:sz w:val="20"/>
                <w:szCs w:val="20"/>
              </w:rPr>
            </w:pPr>
            <w:r w:rsidRPr="004C3570">
              <w:rPr>
                <w:noProof/>
                <w:color w:val="242828"/>
                <w:sz w:val="20"/>
                <w:szCs w:val="20"/>
              </w:rPr>
              <w:t> </w:t>
            </w:r>
          </w:p>
          <w:p w14:paraId="7EE3CF86" w14:textId="4BDA94DB" w:rsidR="004C3570" w:rsidRPr="004C3570" w:rsidRDefault="004C3570" w:rsidP="006A7B4C">
            <w:pPr>
              <w:rPr>
                <w:b/>
                <w:bCs/>
                <w:noProof/>
                <w:color w:val="242828"/>
                <w:sz w:val="20"/>
                <w:szCs w:val="20"/>
              </w:rPr>
            </w:pPr>
            <w:r w:rsidRPr="004C3570">
              <w:rPr>
                <w:noProof/>
                <w:color w:val="242828"/>
                <w:sz w:val="20"/>
                <w:szCs w:val="20"/>
              </w:rPr>
              <w:t> </w:t>
            </w:r>
          </w:p>
        </w:tc>
        <w:tc>
          <w:tcPr>
            <w:tcW w:w="1284" w:type="pct"/>
            <w:hideMark/>
          </w:tcPr>
          <w:p w14:paraId="049D3C46" w14:textId="77777777" w:rsidR="004C3570" w:rsidRPr="004C3570" w:rsidRDefault="004C3570">
            <w:pPr>
              <w:jc w:val="center"/>
              <w:rPr>
                <w:noProof/>
                <w:color w:val="242828"/>
                <w:sz w:val="20"/>
                <w:szCs w:val="20"/>
              </w:rPr>
            </w:pPr>
            <w:r w:rsidRPr="004C3570">
              <w:rPr>
                <w:noProof/>
                <w:color w:val="242828"/>
                <w:sz w:val="20"/>
                <w:szCs w:val="20"/>
              </w:rPr>
              <w:t>Total</w:t>
            </w:r>
          </w:p>
        </w:tc>
        <w:tc>
          <w:tcPr>
            <w:tcW w:w="585" w:type="pct"/>
            <w:hideMark/>
          </w:tcPr>
          <w:p w14:paraId="1F1DEED2" w14:textId="77777777" w:rsidR="004C3570" w:rsidRPr="004C3570" w:rsidRDefault="004C3570">
            <w:pPr>
              <w:jc w:val="right"/>
              <w:rPr>
                <w:noProof/>
                <w:color w:val="242828"/>
                <w:sz w:val="20"/>
                <w:szCs w:val="20"/>
              </w:rPr>
            </w:pPr>
            <w:r w:rsidRPr="004C3570">
              <w:rPr>
                <w:noProof/>
                <w:color w:val="242828"/>
                <w:sz w:val="20"/>
                <w:szCs w:val="20"/>
              </w:rPr>
              <w:t>64,402</w:t>
            </w:r>
          </w:p>
        </w:tc>
        <w:tc>
          <w:tcPr>
            <w:tcW w:w="585" w:type="pct"/>
            <w:hideMark/>
          </w:tcPr>
          <w:p w14:paraId="5A5FBA44" w14:textId="77777777" w:rsidR="004C3570" w:rsidRPr="004C3570" w:rsidRDefault="004C3570">
            <w:pPr>
              <w:jc w:val="right"/>
              <w:rPr>
                <w:noProof/>
                <w:color w:val="242828"/>
                <w:sz w:val="20"/>
                <w:szCs w:val="20"/>
              </w:rPr>
            </w:pPr>
            <w:r w:rsidRPr="004C3570">
              <w:rPr>
                <w:noProof/>
                <w:color w:val="242828"/>
                <w:sz w:val="20"/>
                <w:szCs w:val="20"/>
              </w:rPr>
              <w:t>69,519</w:t>
            </w:r>
          </w:p>
        </w:tc>
        <w:tc>
          <w:tcPr>
            <w:tcW w:w="585" w:type="pct"/>
            <w:hideMark/>
          </w:tcPr>
          <w:p w14:paraId="2579A396" w14:textId="77777777" w:rsidR="004C3570" w:rsidRPr="004C3570" w:rsidRDefault="004C3570">
            <w:pPr>
              <w:jc w:val="right"/>
              <w:rPr>
                <w:noProof/>
                <w:color w:val="242828"/>
                <w:sz w:val="20"/>
                <w:szCs w:val="20"/>
              </w:rPr>
            </w:pPr>
            <w:r w:rsidRPr="004C3570">
              <w:rPr>
                <w:noProof/>
                <w:color w:val="242828"/>
                <w:sz w:val="20"/>
                <w:szCs w:val="20"/>
              </w:rPr>
              <w:t>114,842</w:t>
            </w:r>
          </w:p>
        </w:tc>
        <w:tc>
          <w:tcPr>
            <w:tcW w:w="585" w:type="pct"/>
            <w:hideMark/>
          </w:tcPr>
          <w:p w14:paraId="46858603" w14:textId="77777777" w:rsidR="004C3570" w:rsidRPr="004C3570" w:rsidRDefault="004C3570">
            <w:pPr>
              <w:jc w:val="right"/>
              <w:rPr>
                <w:noProof/>
                <w:color w:val="242828"/>
                <w:sz w:val="20"/>
                <w:szCs w:val="20"/>
              </w:rPr>
            </w:pPr>
            <w:r w:rsidRPr="004C3570">
              <w:rPr>
                <w:noProof/>
                <w:color w:val="242828"/>
                <w:sz w:val="20"/>
                <w:szCs w:val="20"/>
              </w:rPr>
              <w:t>110,673</w:t>
            </w:r>
          </w:p>
        </w:tc>
      </w:tr>
      <w:tr w:rsidR="004C3570" w:rsidRPr="004C3570" w14:paraId="6F6620F9" w14:textId="77777777" w:rsidTr="001F3158">
        <w:trPr>
          <w:trHeight w:val="255"/>
        </w:trPr>
        <w:tc>
          <w:tcPr>
            <w:tcW w:w="1375" w:type="pct"/>
            <w:vMerge/>
            <w:hideMark/>
          </w:tcPr>
          <w:p w14:paraId="54705560" w14:textId="5CB9C838" w:rsidR="004C3570" w:rsidRPr="004C3570" w:rsidRDefault="004C3570" w:rsidP="006A7B4C">
            <w:pPr>
              <w:rPr>
                <w:noProof/>
                <w:color w:val="242828"/>
                <w:sz w:val="20"/>
                <w:szCs w:val="20"/>
              </w:rPr>
            </w:pPr>
          </w:p>
        </w:tc>
        <w:tc>
          <w:tcPr>
            <w:tcW w:w="1284" w:type="pct"/>
            <w:hideMark/>
          </w:tcPr>
          <w:p w14:paraId="74881DDC" w14:textId="77777777" w:rsidR="004C3570" w:rsidRPr="004C3570" w:rsidRDefault="004C3570">
            <w:pPr>
              <w:jc w:val="center"/>
              <w:rPr>
                <w:noProof/>
                <w:color w:val="242828"/>
                <w:sz w:val="20"/>
                <w:szCs w:val="20"/>
              </w:rPr>
            </w:pPr>
            <w:r w:rsidRPr="004C3570">
              <w:rPr>
                <w:noProof/>
                <w:color w:val="242828"/>
                <w:sz w:val="20"/>
                <w:szCs w:val="20"/>
              </w:rPr>
              <w:t>New</w:t>
            </w:r>
          </w:p>
        </w:tc>
        <w:tc>
          <w:tcPr>
            <w:tcW w:w="585" w:type="pct"/>
            <w:hideMark/>
          </w:tcPr>
          <w:p w14:paraId="24EE86E5" w14:textId="77777777" w:rsidR="004C3570" w:rsidRPr="004C3570" w:rsidRDefault="004C3570">
            <w:pPr>
              <w:jc w:val="right"/>
              <w:rPr>
                <w:noProof/>
                <w:color w:val="242828"/>
                <w:sz w:val="20"/>
                <w:szCs w:val="20"/>
              </w:rPr>
            </w:pPr>
            <w:r w:rsidRPr="004C3570">
              <w:rPr>
                <w:noProof/>
                <w:color w:val="242828"/>
                <w:sz w:val="20"/>
                <w:szCs w:val="20"/>
              </w:rPr>
              <w:t>15,779</w:t>
            </w:r>
          </w:p>
        </w:tc>
        <w:tc>
          <w:tcPr>
            <w:tcW w:w="585" w:type="pct"/>
            <w:hideMark/>
          </w:tcPr>
          <w:p w14:paraId="6DB9D056" w14:textId="77777777" w:rsidR="004C3570" w:rsidRPr="004C3570" w:rsidRDefault="004C3570">
            <w:pPr>
              <w:jc w:val="right"/>
              <w:rPr>
                <w:noProof/>
                <w:color w:val="242828"/>
                <w:sz w:val="20"/>
                <w:szCs w:val="20"/>
              </w:rPr>
            </w:pPr>
            <w:r w:rsidRPr="004C3570">
              <w:rPr>
                <w:noProof/>
                <w:color w:val="242828"/>
                <w:sz w:val="20"/>
                <w:szCs w:val="20"/>
              </w:rPr>
              <w:t>2,982</w:t>
            </w:r>
          </w:p>
        </w:tc>
        <w:tc>
          <w:tcPr>
            <w:tcW w:w="585" w:type="pct"/>
            <w:hideMark/>
          </w:tcPr>
          <w:p w14:paraId="0C7A6895" w14:textId="77777777" w:rsidR="004C3570" w:rsidRPr="004C3570" w:rsidRDefault="004C3570">
            <w:pPr>
              <w:jc w:val="right"/>
              <w:rPr>
                <w:noProof/>
                <w:color w:val="242828"/>
                <w:sz w:val="20"/>
                <w:szCs w:val="20"/>
              </w:rPr>
            </w:pPr>
            <w:r w:rsidRPr="004C3570">
              <w:rPr>
                <w:noProof/>
                <w:color w:val="242828"/>
                <w:sz w:val="20"/>
                <w:szCs w:val="20"/>
              </w:rPr>
              <w:t>4,532</w:t>
            </w:r>
          </w:p>
        </w:tc>
        <w:tc>
          <w:tcPr>
            <w:tcW w:w="585" w:type="pct"/>
            <w:hideMark/>
          </w:tcPr>
          <w:p w14:paraId="4F0AE0FD" w14:textId="77777777" w:rsidR="004C3570" w:rsidRPr="004C3570" w:rsidRDefault="004C3570">
            <w:pPr>
              <w:jc w:val="right"/>
              <w:rPr>
                <w:noProof/>
                <w:color w:val="242828"/>
                <w:sz w:val="20"/>
                <w:szCs w:val="20"/>
              </w:rPr>
            </w:pPr>
            <w:r w:rsidRPr="004C3570">
              <w:rPr>
                <w:noProof/>
                <w:color w:val="242828"/>
                <w:sz w:val="20"/>
                <w:szCs w:val="20"/>
              </w:rPr>
              <w:t>0</w:t>
            </w:r>
          </w:p>
        </w:tc>
      </w:tr>
      <w:tr w:rsidR="004C3570" w:rsidRPr="004C3570" w14:paraId="118160A7" w14:textId="77777777" w:rsidTr="001F3158">
        <w:trPr>
          <w:trHeight w:val="255"/>
        </w:trPr>
        <w:tc>
          <w:tcPr>
            <w:tcW w:w="1375" w:type="pct"/>
            <w:vMerge/>
            <w:hideMark/>
          </w:tcPr>
          <w:p w14:paraId="3C0BF335" w14:textId="6B3FE3F6" w:rsidR="004C3570" w:rsidRPr="004C3570" w:rsidRDefault="004C3570">
            <w:pPr>
              <w:rPr>
                <w:noProof/>
                <w:color w:val="242828"/>
                <w:sz w:val="20"/>
                <w:szCs w:val="20"/>
              </w:rPr>
            </w:pPr>
          </w:p>
        </w:tc>
        <w:tc>
          <w:tcPr>
            <w:tcW w:w="1284" w:type="pct"/>
            <w:hideMark/>
          </w:tcPr>
          <w:p w14:paraId="317E10BF" w14:textId="565D8363" w:rsidR="004C3570" w:rsidRPr="004C3570" w:rsidRDefault="004C3570">
            <w:pPr>
              <w:jc w:val="center"/>
              <w:rPr>
                <w:noProof/>
                <w:color w:val="242828"/>
                <w:sz w:val="20"/>
                <w:szCs w:val="20"/>
              </w:rPr>
            </w:pPr>
            <w:r w:rsidRPr="004C3570">
              <w:rPr>
                <w:noProof/>
                <w:color w:val="242828"/>
                <w:sz w:val="20"/>
                <w:szCs w:val="20"/>
              </w:rPr>
              <w:t>Renegotiated</w:t>
            </w:r>
          </w:p>
        </w:tc>
        <w:tc>
          <w:tcPr>
            <w:tcW w:w="585" w:type="pct"/>
            <w:hideMark/>
          </w:tcPr>
          <w:p w14:paraId="4C5536B8" w14:textId="77777777" w:rsidR="004C3570" w:rsidRPr="004C3570" w:rsidRDefault="004C3570">
            <w:pPr>
              <w:jc w:val="right"/>
              <w:rPr>
                <w:noProof/>
                <w:color w:val="242828"/>
                <w:sz w:val="20"/>
                <w:szCs w:val="20"/>
              </w:rPr>
            </w:pPr>
            <w:r w:rsidRPr="004C3570">
              <w:rPr>
                <w:noProof/>
                <w:color w:val="242828"/>
                <w:sz w:val="20"/>
                <w:szCs w:val="20"/>
              </w:rPr>
              <w:t>21,467</w:t>
            </w:r>
          </w:p>
        </w:tc>
        <w:tc>
          <w:tcPr>
            <w:tcW w:w="585" w:type="pct"/>
            <w:hideMark/>
          </w:tcPr>
          <w:p w14:paraId="7C2107AF" w14:textId="77777777" w:rsidR="004C3570" w:rsidRPr="004C3570" w:rsidRDefault="004C3570">
            <w:pPr>
              <w:jc w:val="right"/>
              <w:rPr>
                <w:noProof/>
                <w:color w:val="242828"/>
                <w:sz w:val="20"/>
                <w:szCs w:val="20"/>
              </w:rPr>
            </w:pPr>
            <w:r w:rsidRPr="004C3570">
              <w:rPr>
                <w:noProof/>
                <w:color w:val="242828"/>
                <w:sz w:val="20"/>
                <w:szCs w:val="20"/>
              </w:rPr>
              <w:t>23,173</w:t>
            </w:r>
          </w:p>
        </w:tc>
        <w:tc>
          <w:tcPr>
            <w:tcW w:w="585" w:type="pct"/>
            <w:hideMark/>
          </w:tcPr>
          <w:p w14:paraId="1A30B26C" w14:textId="77777777" w:rsidR="004C3570" w:rsidRPr="004C3570" w:rsidRDefault="004C3570">
            <w:pPr>
              <w:jc w:val="right"/>
              <w:rPr>
                <w:noProof/>
                <w:color w:val="242828"/>
                <w:sz w:val="20"/>
                <w:szCs w:val="20"/>
              </w:rPr>
            </w:pPr>
            <w:r w:rsidRPr="004C3570">
              <w:rPr>
                <w:noProof/>
                <w:color w:val="242828"/>
                <w:sz w:val="20"/>
                <w:szCs w:val="20"/>
              </w:rPr>
              <w:t>38,281</w:t>
            </w:r>
          </w:p>
        </w:tc>
        <w:tc>
          <w:tcPr>
            <w:tcW w:w="585" w:type="pct"/>
            <w:hideMark/>
          </w:tcPr>
          <w:p w14:paraId="593997CC" w14:textId="77777777" w:rsidR="004C3570" w:rsidRPr="004C3570" w:rsidRDefault="004C3570">
            <w:pPr>
              <w:jc w:val="right"/>
              <w:rPr>
                <w:noProof/>
                <w:color w:val="242828"/>
                <w:sz w:val="20"/>
                <w:szCs w:val="20"/>
              </w:rPr>
            </w:pPr>
            <w:r w:rsidRPr="004C3570">
              <w:rPr>
                <w:noProof/>
                <w:color w:val="242828"/>
                <w:sz w:val="20"/>
                <w:szCs w:val="20"/>
              </w:rPr>
              <w:t>36,891</w:t>
            </w:r>
          </w:p>
        </w:tc>
      </w:tr>
    </w:tbl>
    <w:p w14:paraId="026A4E4A" w14:textId="77777777" w:rsidR="00E05CA8" w:rsidRPr="00D71008" w:rsidRDefault="00E05CA8" w:rsidP="00E05CA8">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1B7C695A" w14:textId="5B011B81" w:rsidR="00E53B6C" w:rsidRPr="007A68FD" w:rsidRDefault="00E53B6C" w:rsidP="007B2D8E">
      <w:pPr>
        <w:pStyle w:val="Heading2"/>
        <w:numPr>
          <w:ilvl w:val="1"/>
          <w:numId w:val="10"/>
        </w:numPr>
        <w:tabs>
          <w:tab w:val="left" w:pos="426"/>
          <w:tab w:val="left" w:pos="1705"/>
        </w:tabs>
        <w:spacing w:before="0" w:after="240"/>
        <w:ind w:left="1134" w:hanging="708"/>
        <w:rPr>
          <w:noProof/>
        </w:rPr>
      </w:pPr>
      <w:bookmarkStart w:id="429" w:name="_Toc222749060"/>
      <w:bookmarkStart w:id="430" w:name="_Toc223980039"/>
      <w:r w:rsidRPr="007A68FD">
        <w:rPr>
          <w:noProof/>
        </w:rPr>
        <w:t xml:space="preserve">Other common assumptions used to estimate </w:t>
      </w:r>
      <w:r w:rsidR="004203E4" w:rsidRPr="007A68FD">
        <w:rPr>
          <w:noProof/>
        </w:rPr>
        <w:t xml:space="preserve">the </w:t>
      </w:r>
      <w:r w:rsidRPr="007A68FD">
        <w:rPr>
          <w:noProof/>
        </w:rPr>
        <w:t xml:space="preserve">costs and costs savings </w:t>
      </w:r>
      <w:r w:rsidR="004203E4" w:rsidRPr="007A68FD">
        <w:rPr>
          <w:noProof/>
        </w:rPr>
        <w:t>of the policy measures</w:t>
      </w:r>
      <w:bookmarkEnd w:id="429"/>
      <w:bookmarkEnd w:id="430"/>
      <w:r w:rsidR="004203E4" w:rsidRPr="007A68FD">
        <w:rPr>
          <w:noProof/>
        </w:rPr>
        <w:t xml:space="preserve"> </w:t>
      </w:r>
    </w:p>
    <w:p w14:paraId="66D51BC0" w14:textId="46C906D6" w:rsidR="00DD7F8E" w:rsidRPr="00DD7F8E" w:rsidRDefault="004C1CC4" w:rsidP="00DD7F8E">
      <w:pPr>
        <w:pStyle w:val="Nornal"/>
        <w:spacing w:after="240" w:line="240" w:lineRule="auto"/>
        <w:rPr>
          <w:noProof/>
          <w:spacing w:val="-8"/>
          <w:sz w:val="24"/>
          <w:szCs w:val="24"/>
        </w:rPr>
      </w:pPr>
      <w:r>
        <w:rPr>
          <w:noProof/>
          <w:spacing w:val="-8"/>
          <w:sz w:val="24"/>
          <w:szCs w:val="24"/>
        </w:rPr>
        <w:t xml:space="preserve">For </w:t>
      </w:r>
      <w:r w:rsidR="00875DD7">
        <w:rPr>
          <w:noProof/>
          <w:spacing w:val="-8"/>
          <w:sz w:val="24"/>
          <w:szCs w:val="24"/>
        </w:rPr>
        <w:t xml:space="preserve">monetising </w:t>
      </w:r>
      <w:r>
        <w:rPr>
          <w:noProof/>
          <w:spacing w:val="-8"/>
          <w:sz w:val="24"/>
          <w:szCs w:val="24"/>
        </w:rPr>
        <w:t xml:space="preserve">the </w:t>
      </w:r>
      <w:r w:rsidR="00F176E3">
        <w:rPr>
          <w:noProof/>
          <w:spacing w:val="-8"/>
          <w:sz w:val="24"/>
          <w:szCs w:val="24"/>
        </w:rPr>
        <w:t xml:space="preserve">labour costs, the </w:t>
      </w:r>
      <w:r w:rsidR="00DD7F8E" w:rsidRPr="00DD7F8E">
        <w:rPr>
          <w:noProof/>
          <w:spacing w:val="-8"/>
          <w:sz w:val="24"/>
          <w:szCs w:val="24"/>
        </w:rPr>
        <w:t xml:space="preserve">hourly rates </w:t>
      </w:r>
      <w:r w:rsidR="00AF0F44">
        <w:rPr>
          <w:noProof/>
          <w:spacing w:val="-8"/>
          <w:sz w:val="24"/>
          <w:szCs w:val="24"/>
        </w:rPr>
        <w:t xml:space="preserve">for the </w:t>
      </w:r>
      <w:r w:rsidR="00AF0F44" w:rsidRPr="00DD7F8E">
        <w:rPr>
          <w:noProof/>
          <w:spacing w:val="-8"/>
          <w:sz w:val="24"/>
          <w:szCs w:val="24"/>
        </w:rPr>
        <w:t>ISCO3</w:t>
      </w:r>
      <w:r w:rsidR="00AF0F44">
        <w:rPr>
          <w:noProof/>
          <w:spacing w:val="-8"/>
          <w:sz w:val="24"/>
          <w:szCs w:val="24"/>
        </w:rPr>
        <w:t xml:space="preserve"> category (</w:t>
      </w:r>
      <w:r w:rsidR="00AF0F44" w:rsidRPr="00DD7F8E">
        <w:rPr>
          <w:noProof/>
          <w:spacing w:val="-8"/>
          <w:sz w:val="24"/>
          <w:szCs w:val="24"/>
        </w:rPr>
        <w:t>technicians and associate professionals</w:t>
      </w:r>
      <w:r w:rsidR="00AF0F44">
        <w:rPr>
          <w:noProof/>
          <w:spacing w:val="-8"/>
          <w:sz w:val="24"/>
          <w:szCs w:val="24"/>
        </w:rPr>
        <w:t xml:space="preserve">) </w:t>
      </w:r>
      <w:r w:rsidR="00DD7F8E" w:rsidRPr="00DD7F8E">
        <w:rPr>
          <w:noProof/>
          <w:spacing w:val="-8"/>
          <w:sz w:val="24"/>
          <w:szCs w:val="24"/>
        </w:rPr>
        <w:t>from</w:t>
      </w:r>
      <w:r w:rsidR="00382C4D">
        <w:rPr>
          <w:noProof/>
          <w:spacing w:val="-8"/>
          <w:sz w:val="24"/>
          <w:szCs w:val="24"/>
        </w:rPr>
        <w:t xml:space="preserve"> the</w:t>
      </w:r>
      <w:r w:rsidR="00DD7F8E" w:rsidRPr="00DD7F8E">
        <w:rPr>
          <w:noProof/>
          <w:spacing w:val="-8"/>
          <w:sz w:val="24"/>
          <w:szCs w:val="24"/>
        </w:rPr>
        <w:t xml:space="preserve"> ‘Eurostat Structure of earnings survey, Labour Force Survey data’ </w:t>
      </w:r>
      <w:r w:rsidR="00382C4D">
        <w:rPr>
          <w:noProof/>
          <w:spacing w:val="-8"/>
          <w:sz w:val="24"/>
          <w:szCs w:val="24"/>
        </w:rPr>
        <w:t>have been used</w:t>
      </w:r>
      <w:r w:rsidR="00B52F7D">
        <w:rPr>
          <w:noProof/>
          <w:spacing w:val="-8"/>
          <w:sz w:val="24"/>
          <w:szCs w:val="24"/>
        </w:rPr>
        <w:t xml:space="preserve">. They are </w:t>
      </w:r>
      <w:r w:rsidR="00DD7F8E" w:rsidRPr="00DD7F8E">
        <w:rPr>
          <w:noProof/>
          <w:spacing w:val="-8"/>
          <w:sz w:val="24"/>
          <w:szCs w:val="24"/>
        </w:rPr>
        <w:t>expressed in 2024 prices</w:t>
      </w:r>
      <w:r w:rsidR="00382C4D">
        <w:rPr>
          <w:noProof/>
          <w:spacing w:val="-8"/>
          <w:sz w:val="24"/>
          <w:szCs w:val="24"/>
        </w:rPr>
        <w:t xml:space="preserve"> using the </w:t>
      </w:r>
      <w:r w:rsidR="00B52F7D" w:rsidRPr="00B52F7D">
        <w:rPr>
          <w:noProof/>
          <w:spacing w:val="-8"/>
          <w:sz w:val="24"/>
          <w:szCs w:val="24"/>
        </w:rPr>
        <w:t>Harmonised Index of Consumer Prices (HICP)</w:t>
      </w:r>
      <w:r w:rsidR="00DD7F8E" w:rsidRPr="00DD7F8E">
        <w:rPr>
          <w:noProof/>
          <w:spacing w:val="-8"/>
          <w:sz w:val="24"/>
          <w:szCs w:val="24"/>
        </w:rPr>
        <w:t xml:space="preserve">. The number of working hours per day </w:t>
      </w:r>
      <w:r w:rsidR="00456189">
        <w:rPr>
          <w:noProof/>
          <w:spacing w:val="-8"/>
          <w:sz w:val="24"/>
          <w:szCs w:val="24"/>
        </w:rPr>
        <w:t>assumed</w:t>
      </w:r>
      <w:r w:rsidR="00DD7F8E" w:rsidRPr="00DD7F8E">
        <w:rPr>
          <w:noProof/>
          <w:spacing w:val="-8"/>
          <w:sz w:val="24"/>
          <w:szCs w:val="24"/>
        </w:rPr>
        <w:t xml:space="preserve"> in the calculations </w:t>
      </w:r>
      <w:r w:rsidR="00456189">
        <w:rPr>
          <w:noProof/>
          <w:spacing w:val="-8"/>
          <w:sz w:val="24"/>
          <w:szCs w:val="24"/>
        </w:rPr>
        <w:t>is</w:t>
      </w:r>
      <w:r w:rsidR="00DD7F8E" w:rsidRPr="00DD7F8E">
        <w:rPr>
          <w:noProof/>
          <w:spacing w:val="-8"/>
          <w:sz w:val="24"/>
          <w:szCs w:val="24"/>
        </w:rPr>
        <w:t xml:space="preserve"> 7.2 hours</w:t>
      </w:r>
      <w:r w:rsidR="009E4448">
        <w:rPr>
          <w:rStyle w:val="FootnoteReference"/>
          <w:noProof/>
          <w:spacing w:val="-8"/>
          <w:sz w:val="24"/>
          <w:szCs w:val="24"/>
        </w:rPr>
        <w:footnoteReference w:id="344"/>
      </w:r>
      <w:r w:rsidR="009E4448">
        <w:rPr>
          <w:noProof/>
          <w:spacing w:val="-8"/>
          <w:sz w:val="24"/>
          <w:szCs w:val="24"/>
        </w:rPr>
        <w:t>,</w:t>
      </w:r>
      <w:r w:rsidR="00DD7F8E" w:rsidRPr="00DD7F8E">
        <w:rPr>
          <w:noProof/>
          <w:spacing w:val="-8"/>
          <w:sz w:val="24"/>
          <w:szCs w:val="24"/>
        </w:rPr>
        <w:t xml:space="preserve"> and the number of working days per year </w:t>
      </w:r>
      <w:r w:rsidR="009E4448">
        <w:rPr>
          <w:noProof/>
          <w:spacing w:val="-8"/>
          <w:sz w:val="24"/>
          <w:szCs w:val="24"/>
        </w:rPr>
        <w:t>is</w:t>
      </w:r>
      <w:r w:rsidR="00DD7F8E" w:rsidRPr="00DD7F8E">
        <w:rPr>
          <w:noProof/>
          <w:spacing w:val="-8"/>
          <w:sz w:val="24"/>
          <w:szCs w:val="24"/>
        </w:rPr>
        <w:t xml:space="preserve"> 220.</w:t>
      </w:r>
    </w:p>
    <w:p w14:paraId="189677E2" w14:textId="205B0AC9" w:rsidR="00DD7F8E" w:rsidRPr="00DD7F8E" w:rsidRDefault="00DD7F8E" w:rsidP="00DD7F8E">
      <w:pPr>
        <w:pStyle w:val="Nornal"/>
        <w:spacing w:after="240" w:line="240" w:lineRule="auto"/>
        <w:rPr>
          <w:noProof/>
          <w:spacing w:val="-8"/>
          <w:sz w:val="24"/>
          <w:szCs w:val="24"/>
        </w:rPr>
      </w:pPr>
      <w:r w:rsidRPr="00DD7F8E">
        <w:rPr>
          <w:noProof/>
          <w:spacing w:val="-8"/>
          <w:sz w:val="24"/>
          <w:szCs w:val="24"/>
        </w:rPr>
        <w:t xml:space="preserve">For </w:t>
      </w:r>
      <w:r w:rsidR="00F37CA1">
        <w:rPr>
          <w:noProof/>
          <w:spacing w:val="-8"/>
          <w:sz w:val="24"/>
          <w:szCs w:val="24"/>
        </w:rPr>
        <w:t xml:space="preserve">the </w:t>
      </w:r>
      <w:r w:rsidRPr="00DD7F8E">
        <w:rPr>
          <w:noProof/>
          <w:spacing w:val="-8"/>
          <w:sz w:val="24"/>
          <w:szCs w:val="24"/>
        </w:rPr>
        <w:t xml:space="preserve">staff </w:t>
      </w:r>
      <w:r w:rsidR="00F37CA1">
        <w:rPr>
          <w:noProof/>
          <w:spacing w:val="-8"/>
          <w:sz w:val="24"/>
          <w:szCs w:val="24"/>
        </w:rPr>
        <w:t xml:space="preserve">employed by the European Commission </w:t>
      </w:r>
      <w:r w:rsidRPr="00DD7F8E">
        <w:rPr>
          <w:noProof/>
          <w:spacing w:val="-8"/>
          <w:sz w:val="24"/>
          <w:szCs w:val="24"/>
        </w:rPr>
        <w:t xml:space="preserve">the cost per FTE in 2024 prices </w:t>
      </w:r>
      <w:r w:rsidR="004E6ECC">
        <w:rPr>
          <w:noProof/>
          <w:spacing w:val="-8"/>
          <w:sz w:val="24"/>
          <w:szCs w:val="24"/>
        </w:rPr>
        <w:t>was assumed at</w:t>
      </w:r>
      <w:r w:rsidRPr="00DD7F8E">
        <w:rPr>
          <w:noProof/>
          <w:spacing w:val="-8"/>
          <w:sz w:val="24"/>
          <w:szCs w:val="24"/>
        </w:rPr>
        <w:t xml:space="preserve"> EUR 118,326 at AD5 level, including overheads. </w:t>
      </w:r>
    </w:p>
    <w:p w14:paraId="2224F932" w14:textId="3DCC1F4A" w:rsidR="00E102B1" w:rsidRPr="007A68FD" w:rsidRDefault="008661F0" w:rsidP="0009171E">
      <w:pPr>
        <w:pStyle w:val="Heading2"/>
        <w:keepNext/>
        <w:widowControl/>
        <w:numPr>
          <w:ilvl w:val="1"/>
          <w:numId w:val="10"/>
        </w:numPr>
        <w:tabs>
          <w:tab w:val="left" w:pos="426"/>
          <w:tab w:val="left" w:pos="1705"/>
        </w:tabs>
        <w:spacing w:before="0" w:after="240"/>
        <w:ind w:left="1134" w:hanging="708"/>
        <w:rPr>
          <w:noProof/>
        </w:rPr>
      </w:pPr>
      <w:bookmarkStart w:id="431" w:name="_Toc222749061"/>
      <w:bookmarkStart w:id="432" w:name="_Toc223980040"/>
      <w:r w:rsidRPr="007A68FD">
        <w:rPr>
          <w:noProof/>
        </w:rPr>
        <w:t xml:space="preserve">Detailed explanations of the </w:t>
      </w:r>
      <w:r w:rsidR="004E770A" w:rsidRPr="007A68FD">
        <w:rPr>
          <w:noProof/>
        </w:rPr>
        <w:t xml:space="preserve">calculations of </w:t>
      </w:r>
      <w:r w:rsidRPr="007A68FD">
        <w:rPr>
          <w:noProof/>
        </w:rPr>
        <w:t>costs and costs savings by policy measure</w:t>
      </w:r>
      <w:r w:rsidR="006B4D3D" w:rsidRPr="007A68FD">
        <w:rPr>
          <w:noProof/>
        </w:rPr>
        <w:t xml:space="preserve"> and policy option</w:t>
      </w:r>
      <w:bookmarkEnd w:id="431"/>
      <w:bookmarkEnd w:id="432"/>
    </w:p>
    <w:p w14:paraId="2D3FE6DC" w14:textId="743E5A6B" w:rsidR="001C3C7F" w:rsidRPr="00E70CE0" w:rsidRDefault="001C3C7F" w:rsidP="0009171E">
      <w:pPr>
        <w:pStyle w:val="ListParagraph"/>
        <w:keepNext/>
        <w:widowControl/>
        <w:numPr>
          <w:ilvl w:val="2"/>
          <w:numId w:val="10"/>
        </w:numPr>
        <w:autoSpaceDE/>
        <w:autoSpaceDN/>
        <w:spacing w:after="240"/>
        <w:jc w:val="both"/>
        <w:outlineLvl w:val="2"/>
        <w:rPr>
          <w:i/>
          <w:iCs/>
          <w:noProof/>
          <w:sz w:val="24"/>
          <w:szCs w:val="24"/>
        </w:rPr>
      </w:pPr>
      <w:bookmarkStart w:id="433" w:name="_Toc222749062"/>
      <w:bookmarkStart w:id="434" w:name="_Toc223980041"/>
      <w:r w:rsidRPr="00E70CE0">
        <w:rPr>
          <w:i/>
          <w:iCs/>
          <w:noProof/>
          <w:sz w:val="24"/>
          <w:szCs w:val="24"/>
        </w:rPr>
        <w:t xml:space="preserve">PM1 – </w:t>
      </w:r>
      <w:r w:rsidR="000A01F9" w:rsidRPr="000A01F9">
        <w:rPr>
          <w:i/>
          <w:iCs/>
          <w:noProof/>
          <w:sz w:val="24"/>
          <w:szCs w:val="24"/>
        </w:rPr>
        <w:t>Obligation for all MDMS platforms to apply neutral display obligations and for transport operators (in all modes) to ensure that the data they submit are accurate</w:t>
      </w:r>
      <w:bookmarkEnd w:id="433"/>
      <w:bookmarkEnd w:id="434"/>
      <w:r w:rsidRPr="00E70CE0">
        <w:rPr>
          <w:i/>
          <w:iCs/>
          <w:noProof/>
          <w:sz w:val="24"/>
          <w:szCs w:val="24"/>
        </w:rPr>
        <w:t xml:space="preserve"> </w:t>
      </w:r>
    </w:p>
    <w:p w14:paraId="78702A59" w14:textId="1D0E99AA" w:rsidR="006774F0" w:rsidRPr="0043687A" w:rsidRDefault="00466DC5" w:rsidP="009E1EF0">
      <w:pPr>
        <w:pStyle w:val="Nornal"/>
        <w:spacing w:after="240" w:line="240" w:lineRule="auto"/>
        <w:rPr>
          <w:noProof/>
          <w:spacing w:val="-8"/>
          <w:sz w:val="24"/>
          <w:szCs w:val="24"/>
        </w:rPr>
      </w:pPr>
      <w:r w:rsidRPr="0043687A">
        <w:rPr>
          <w:noProof/>
          <w:spacing w:val="-8"/>
          <w:sz w:val="24"/>
          <w:szCs w:val="24"/>
        </w:rPr>
        <w:t>In PM1, a</w:t>
      </w:r>
      <w:r w:rsidR="006774F0" w:rsidRPr="0043687A">
        <w:rPr>
          <w:noProof/>
          <w:spacing w:val="-8"/>
          <w:sz w:val="24"/>
          <w:szCs w:val="24"/>
        </w:rPr>
        <w:t xml:space="preserve">ll </w:t>
      </w:r>
      <w:r w:rsidR="00D71A0D">
        <w:rPr>
          <w:noProof/>
          <w:spacing w:val="-8"/>
          <w:sz w:val="24"/>
          <w:szCs w:val="24"/>
        </w:rPr>
        <w:t>non-SME</w:t>
      </w:r>
      <w:r w:rsidR="00D71A0D" w:rsidRPr="0043687A">
        <w:rPr>
          <w:noProof/>
          <w:spacing w:val="-8"/>
          <w:sz w:val="24"/>
          <w:szCs w:val="24"/>
        </w:rPr>
        <w:t xml:space="preserve"> </w:t>
      </w:r>
      <w:r w:rsidR="006774F0" w:rsidRPr="0043687A">
        <w:rPr>
          <w:noProof/>
          <w:spacing w:val="-8"/>
          <w:sz w:val="24"/>
          <w:szCs w:val="24"/>
        </w:rPr>
        <w:t xml:space="preserve">MDMS platforms </w:t>
      </w:r>
      <w:r w:rsidR="002126CF" w:rsidRPr="0043687A">
        <w:rPr>
          <w:noProof/>
          <w:spacing w:val="-8"/>
          <w:sz w:val="24"/>
          <w:szCs w:val="24"/>
        </w:rPr>
        <w:t>(</w:t>
      </w:r>
      <w:r w:rsidR="00D71A0D">
        <w:rPr>
          <w:noProof/>
          <w:spacing w:val="-8"/>
          <w:sz w:val="24"/>
          <w:szCs w:val="24"/>
        </w:rPr>
        <w:t>non-SME</w:t>
      </w:r>
      <w:r w:rsidR="009E56DB">
        <w:rPr>
          <w:noProof/>
          <w:spacing w:val="-8"/>
          <w:sz w:val="24"/>
          <w:szCs w:val="24"/>
        </w:rPr>
        <w:t xml:space="preserve"> </w:t>
      </w:r>
      <w:r w:rsidR="006774F0" w:rsidRPr="0043687A">
        <w:rPr>
          <w:noProof/>
          <w:spacing w:val="-8"/>
          <w:sz w:val="24"/>
          <w:szCs w:val="24"/>
        </w:rPr>
        <w:t>B2B and B2C</w:t>
      </w:r>
      <w:r w:rsidR="002126CF" w:rsidRPr="0043687A">
        <w:rPr>
          <w:noProof/>
          <w:spacing w:val="-8"/>
          <w:sz w:val="24"/>
          <w:szCs w:val="24"/>
        </w:rPr>
        <w:t xml:space="preserve"> platforms</w:t>
      </w:r>
      <w:r w:rsidR="006774F0" w:rsidRPr="0043687A">
        <w:rPr>
          <w:noProof/>
          <w:spacing w:val="-8"/>
          <w:sz w:val="24"/>
          <w:szCs w:val="24"/>
        </w:rPr>
        <w:t>) when displaying travel options</w:t>
      </w:r>
      <w:r w:rsidR="00A24161" w:rsidRPr="0043687A">
        <w:rPr>
          <w:noProof/>
          <w:spacing w:val="-8"/>
          <w:sz w:val="24"/>
          <w:szCs w:val="24"/>
        </w:rPr>
        <w:t xml:space="preserve"> will need</w:t>
      </w:r>
      <w:r w:rsidR="006774F0" w:rsidRPr="0043687A">
        <w:rPr>
          <w:noProof/>
          <w:spacing w:val="-8"/>
          <w:sz w:val="24"/>
          <w:szCs w:val="24"/>
        </w:rPr>
        <w:t xml:space="preserve">, by default, </w:t>
      </w:r>
      <w:r w:rsidR="00C2306C" w:rsidRPr="0043687A">
        <w:rPr>
          <w:noProof/>
          <w:spacing w:val="-8"/>
          <w:sz w:val="24"/>
          <w:szCs w:val="24"/>
        </w:rPr>
        <w:t xml:space="preserve">to </w:t>
      </w:r>
      <w:r w:rsidR="006774F0" w:rsidRPr="0043687A">
        <w:rPr>
          <w:noProof/>
          <w:spacing w:val="-8"/>
          <w:sz w:val="24"/>
          <w:szCs w:val="24"/>
        </w:rPr>
        <w:t xml:space="preserve">rank them based on one or more of the minimum criteria set in legislation (e.g. final price, travel time, greenhouse gas emissions). </w:t>
      </w:r>
      <w:r w:rsidR="006D2D3C" w:rsidRPr="0043687A">
        <w:rPr>
          <w:noProof/>
          <w:spacing w:val="-8"/>
          <w:sz w:val="24"/>
          <w:szCs w:val="24"/>
        </w:rPr>
        <w:t>PM</w:t>
      </w:r>
      <w:r w:rsidR="008E329C" w:rsidRPr="0043687A">
        <w:rPr>
          <w:noProof/>
          <w:spacing w:val="-8"/>
          <w:sz w:val="24"/>
          <w:szCs w:val="24"/>
        </w:rPr>
        <w:t>1</w:t>
      </w:r>
      <w:r w:rsidR="006D2D3C" w:rsidRPr="0043687A">
        <w:rPr>
          <w:noProof/>
          <w:spacing w:val="-8"/>
          <w:sz w:val="24"/>
          <w:szCs w:val="24"/>
        </w:rPr>
        <w:t xml:space="preserve"> retains, updates and extends the neutral display obligations and the obligation to submit accurate data, set out in the CRS Code of Conduct </w:t>
      </w:r>
      <w:r w:rsidR="008C0CC6" w:rsidRPr="0043687A">
        <w:rPr>
          <w:noProof/>
          <w:spacing w:val="-8"/>
          <w:sz w:val="24"/>
          <w:szCs w:val="24"/>
        </w:rPr>
        <w:t>which is part of the baseline</w:t>
      </w:r>
      <w:r w:rsidR="006D2D3C" w:rsidRPr="0043687A">
        <w:rPr>
          <w:noProof/>
          <w:spacing w:val="-8"/>
          <w:sz w:val="24"/>
          <w:szCs w:val="24"/>
        </w:rPr>
        <w:t>. In the CRS Code of Conduct this measure is limited to CRS</w:t>
      </w:r>
      <w:r w:rsidR="002D271D" w:rsidRPr="0043687A">
        <w:rPr>
          <w:noProof/>
          <w:spacing w:val="-8"/>
          <w:sz w:val="24"/>
          <w:szCs w:val="24"/>
        </w:rPr>
        <w:t xml:space="preserve"> pla</w:t>
      </w:r>
      <w:r w:rsidR="00EC37CE" w:rsidRPr="0043687A">
        <w:rPr>
          <w:noProof/>
          <w:spacing w:val="-8"/>
          <w:sz w:val="24"/>
          <w:szCs w:val="24"/>
        </w:rPr>
        <w:t>t</w:t>
      </w:r>
      <w:r w:rsidR="002D271D" w:rsidRPr="0043687A">
        <w:rPr>
          <w:noProof/>
          <w:spacing w:val="-8"/>
          <w:sz w:val="24"/>
          <w:szCs w:val="24"/>
        </w:rPr>
        <w:t>forms</w:t>
      </w:r>
      <w:r w:rsidR="006D2D3C" w:rsidRPr="0043687A">
        <w:rPr>
          <w:noProof/>
          <w:spacing w:val="-8"/>
          <w:sz w:val="24"/>
          <w:szCs w:val="24"/>
        </w:rPr>
        <w:t xml:space="preserve">, </w:t>
      </w:r>
      <w:r w:rsidR="00EC37CE" w:rsidRPr="0043687A">
        <w:rPr>
          <w:noProof/>
          <w:spacing w:val="-8"/>
          <w:sz w:val="24"/>
          <w:szCs w:val="24"/>
        </w:rPr>
        <w:t>while</w:t>
      </w:r>
      <w:r w:rsidR="006D2D3C" w:rsidRPr="0043687A">
        <w:rPr>
          <w:noProof/>
          <w:spacing w:val="-8"/>
          <w:sz w:val="24"/>
          <w:szCs w:val="24"/>
        </w:rPr>
        <w:t xml:space="preserve"> PM1 extend</w:t>
      </w:r>
      <w:r w:rsidR="00A10D39" w:rsidRPr="0043687A">
        <w:rPr>
          <w:noProof/>
          <w:spacing w:val="-8"/>
          <w:sz w:val="24"/>
          <w:szCs w:val="24"/>
        </w:rPr>
        <w:t xml:space="preserve">s it </w:t>
      </w:r>
      <w:r w:rsidR="006D2D3C" w:rsidRPr="0043687A">
        <w:rPr>
          <w:noProof/>
          <w:spacing w:val="-8"/>
          <w:sz w:val="24"/>
          <w:szCs w:val="24"/>
        </w:rPr>
        <w:t>to all B2B and B2C MDMS, except for SMEs</w:t>
      </w:r>
      <w:r w:rsidR="00DE5E3D" w:rsidRPr="0043687A">
        <w:rPr>
          <w:noProof/>
          <w:spacing w:val="-8"/>
          <w:sz w:val="24"/>
          <w:szCs w:val="24"/>
        </w:rPr>
        <w:t xml:space="preserve">. In addition, </w:t>
      </w:r>
      <w:r w:rsidR="00B1397E" w:rsidRPr="0043687A">
        <w:rPr>
          <w:noProof/>
          <w:spacing w:val="-8"/>
          <w:sz w:val="24"/>
          <w:szCs w:val="24"/>
        </w:rPr>
        <w:t xml:space="preserve">new ranking criteria </w:t>
      </w:r>
      <w:r w:rsidR="00777831" w:rsidRPr="0043687A">
        <w:rPr>
          <w:noProof/>
          <w:spacing w:val="-8"/>
          <w:sz w:val="24"/>
          <w:szCs w:val="24"/>
        </w:rPr>
        <w:t>are</w:t>
      </w:r>
      <w:r w:rsidR="00B1397E" w:rsidRPr="0043687A">
        <w:rPr>
          <w:noProof/>
          <w:spacing w:val="-8"/>
          <w:sz w:val="24"/>
          <w:szCs w:val="24"/>
        </w:rPr>
        <w:t xml:space="preserve"> added as minimum mandatory criteria and display rules allow for more flexibility compared to the current principal display</w:t>
      </w:r>
      <w:r w:rsidR="00CA6737" w:rsidRPr="0043687A">
        <w:rPr>
          <w:noProof/>
          <w:spacing w:val="-8"/>
          <w:sz w:val="24"/>
          <w:szCs w:val="24"/>
        </w:rPr>
        <w:t>. T</w:t>
      </w:r>
      <w:r w:rsidR="006774F0" w:rsidRPr="0043687A">
        <w:rPr>
          <w:noProof/>
          <w:spacing w:val="-8"/>
          <w:sz w:val="24"/>
          <w:szCs w:val="24"/>
        </w:rPr>
        <w:t xml:space="preserve">ransport operators </w:t>
      </w:r>
      <w:r w:rsidR="00CA6737" w:rsidRPr="0043687A">
        <w:rPr>
          <w:noProof/>
          <w:spacing w:val="-8"/>
          <w:sz w:val="24"/>
          <w:szCs w:val="24"/>
        </w:rPr>
        <w:t xml:space="preserve">will need to </w:t>
      </w:r>
      <w:r w:rsidR="006774F0" w:rsidRPr="0043687A">
        <w:rPr>
          <w:noProof/>
          <w:spacing w:val="-8"/>
          <w:sz w:val="24"/>
          <w:szCs w:val="24"/>
        </w:rPr>
        <w:t>ensure the data they submit to MDMS providers are accurate, up to date and allow the MDMS platform to respect the neutral display rules.</w:t>
      </w:r>
    </w:p>
    <w:p w14:paraId="060B5CA2" w14:textId="7636D4DA" w:rsidR="001B52DF" w:rsidRPr="00641D25" w:rsidRDefault="001B52DF" w:rsidP="006D3A57">
      <w:pPr>
        <w:pStyle w:val="Nornal"/>
        <w:spacing w:after="120" w:line="240" w:lineRule="auto"/>
        <w:rPr>
          <w:noProof/>
          <w:spacing w:val="-8"/>
          <w:sz w:val="24"/>
          <w:szCs w:val="24"/>
        </w:rPr>
      </w:pPr>
      <w:r w:rsidRPr="00641D25">
        <w:rPr>
          <w:noProof/>
          <w:spacing w:val="-8"/>
          <w:sz w:val="24"/>
          <w:szCs w:val="24"/>
        </w:rPr>
        <w:t>The measure is expected to result in</w:t>
      </w:r>
      <w:r w:rsidR="00907D30" w:rsidRPr="00641D25">
        <w:rPr>
          <w:noProof/>
          <w:spacing w:val="-8"/>
          <w:sz w:val="24"/>
          <w:szCs w:val="24"/>
        </w:rPr>
        <w:t>:</w:t>
      </w:r>
    </w:p>
    <w:p w14:paraId="79231B95" w14:textId="5429D7E3" w:rsidR="001B52DF" w:rsidRPr="00641D25" w:rsidRDefault="001B52DF" w:rsidP="001979E4">
      <w:pPr>
        <w:pStyle w:val="ListParagraph"/>
        <w:numPr>
          <w:ilvl w:val="0"/>
          <w:numId w:val="18"/>
        </w:numPr>
        <w:spacing w:before="0" w:after="120"/>
        <w:ind w:left="284" w:hanging="284"/>
        <w:jc w:val="both"/>
        <w:rPr>
          <w:rFonts w:cs="Arial"/>
          <w:b/>
          <w:noProof/>
          <w:spacing w:val="-8"/>
          <w:sz w:val="24"/>
          <w:szCs w:val="24"/>
        </w:rPr>
      </w:pPr>
      <w:r w:rsidRPr="00641D25">
        <w:rPr>
          <w:rFonts w:cs="Arial"/>
          <w:noProof/>
          <w:spacing w:val="-8"/>
          <w:sz w:val="24"/>
          <w:szCs w:val="24"/>
        </w:rPr>
        <w:t xml:space="preserve">Adjustment costs for </w:t>
      </w:r>
      <w:r w:rsidR="00D905CE">
        <w:rPr>
          <w:rFonts w:cs="Arial"/>
          <w:noProof/>
          <w:spacing w:val="-8"/>
          <w:sz w:val="24"/>
          <w:szCs w:val="24"/>
        </w:rPr>
        <w:t>non-SME</w:t>
      </w:r>
      <w:r w:rsidR="00D905CE" w:rsidRPr="00641D25">
        <w:rPr>
          <w:rFonts w:cs="Arial"/>
          <w:noProof/>
          <w:spacing w:val="-8"/>
          <w:sz w:val="24"/>
          <w:szCs w:val="24"/>
        </w:rPr>
        <w:t xml:space="preserve"> </w:t>
      </w:r>
      <w:r w:rsidRPr="00641D25">
        <w:rPr>
          <w:rFonts w:cs="Arial"/>
          <w:noProof/>
          <w:spacing w:val="-8"/>
          <w:sz w:val="24"/>
          <w:szCs w:val="24"/>
        </w:rPr>
        <w:t>MDMS platforms to reprogramme for neutral display</w:t>
      </w:r>
      <w:r w:rsidR="00DA4DE4" w:rsidRPr="00641D25">
        <w:rPr>
          <w:rFonts w:cs="Arial"/>
          <w:noProof/>
          <w:spacing w:val="-8"/>
          <w:sz w:val="24"/>
          <w:szCs w:val="24"/>
        </w:rPr>
        <w:t>, of which:</w:t>
      </w:r>
      <w:r w:rsidRPr="00641D25">
        <w:rPr>
          <w:rFonts w:cs="Arial"/>
          <w:noProof/>
          <w:spacing w:val="-8"/>
          <w:sz w:val="24"/>
          <w:szCs w:val="24"/>
        </w:rPr>
        <w:t xml:space="preserve"> </w:t>
      </w:r>
    </w:p>
    <w:p w14:paraId="52E60B94" w14:textId="74C0712B" w:rsidR="001B52DF" w:rsidRPr="00641D25" w:rsidRDefault="001B52DF" w:rsidP="001979E4">
      <w:pPr>
        <w:pStyle w:val="ListParagraph"/>
        <w:widowControl/>
        <w:numPr>
          <w:ilvl w:val="1"/>
          <w:numId w:val="19"/>
        </w:numPr>
        <w:autoSpaceDE/>
        <w:autoSpaceDN/>
        <w:spacing w:before="0" w:after="120"/>
        <w:ind w:left="567" w:hanging="283"/>
        <w:jc w:val="both"/>
        <w:rPr>
          <w:b/>
          <w:noProof/>
          <w:spacing w:val="-8"/>
          <w:sz w:val="24"/>
          <w:szCs w:val="24"/>
        </w:rPr>
      </w:pPr>
      <w:r w:rsidRPr="00641D25">
        <w:rPr>
          <w:noProof/>
          <w:spacing w:val="-8"/>
          <w:sz w:val="24"/>
          <w:szCs w:val="24"/>
        </w:rPr>
        <w:t xml:space="preserve">One-off </w:t>
      </w:r>
      <w:r w:rsidR="00907D30" w:rsidRPr="00641D25">
        <w:rPr>
          <w:noProof/>
          <w:spacing w:val="-8"/>
          <w:sz w:val="24"/>
          <w:szCs w:val="24"/>
        </w:rPr>
        <w:t xml:space="preserve">adjustment </w:t>
      </w:r>
      <w:r w:rsidRPr="00641D25">
        <w:rPr>
          <w:noProof/>
          <w:spacing w:val="-8"/>
          <w:sz w:val="24"/>
          <w:szCs w:val="24"/>
        </w:rPr>
        <w:t xml:space="preserve">costs </w:t>
      </w:r>
      <w:r w:rsidR="00DA4DE4" w:rsidRPr="00641D25">
        <w:rPr>
          <w:noProof/>
          <w:spacing w:val="-8"/>
          <w:sz w:val="24"/>
          <w:szCs w:val="24"/>
        </w:rPr>
        <w:t>for e</w:t>
      </w:r>
      <w:r w:rsidRPr="00641D25">
        <w:rPr>
          <w:noProof/>
          <w:spacing w:val="-8"/>
          <w:sz w:val="24"/>
          <w:szCs w:val="24"/>
        </w:rPr>
        <w:t xml:space="preserve">xisting platforms in </w:t>
      </w:r>
      <w:r w:rsidR="00A71B38" w:rsidRPr="00641D25">
        <w:rPr>
          <w:noProof/>
          <w:spacing w:val="-8"/>
          <w:sz w:val="24"/>
          <w:szCs w:val="24"/>
        </w:rPr>
        <w:t xml:space="preserve">2028 (i.e. </w:t>
      </w:r>
      <w:r w:rsidRPr="00641D25">
        <w:rPr>
          <w:noProof/>
          <w:spacing w:val="-8"/>
          <w:sz w:val="24"/>
          <w:szCs w:val="24"/>
        </w:rPr>
        <w:t>year of implementation</w:t>
      </w:r>
      <w:r w:rsidR="00A71B38" w:rsidRPr="00641D25">
        <w:rPr>
          <w:noProof/>
          <w:spacing w:val="-8"/>
          <w:sz w:val="24"/>
          <w:szCs w:val="24"/>
        </w:rPr>
        <w:t>)</w:t>
      </w:r>
      <w:r w:rsidRPr="00641D25">
        <w:rPr>
          <w:noProof/>
          <w:spacing w:val="-8"/>
          <w:sz w:val="24"/>
          <w:szCs w:val="24"/>
        </w:rPr>
        <w:t xml:space="preserve"> and </w:t>
      </w:r>
      <w:r w:rsidR="00A71B38" w:rsidRPr="00641D25">
        <w:rPr>
          <w:noProof/>
          <w:spacing w:val="-8"/>
          <w:sz w:val="24"/>
          <w:szCs w:val="24"/>
        </w:rPr>
        <w:t>for</w:t>
      </w:r>
      <w:r w:rsidRPr="00641D25">
        <w:rPr>
          <w:noProof/>
          <w:spacing w:val="-8"/>
          <w:sz w:val="24"/>
          <w:szCs w:val="24"/>
        </w:rPr>
        <w:t xml:space="preserve"> new platforms that join the market each year</w:t>
      </w:r>
      <w:r w:rsidR="00F21A8E">
        <w:rPr>
          <w:noProof/>
          <w:spacing w:val="-8"/>
          <w:sz w:val="24"/>
          <w:szCs w:val="24"/>
        </w:rPr>
        <w:t xml:space="preserve"> from 2029 onwards</w:t>
      </w:r>
    </w:p>
    <w:p w14:paraId="5E570EB2" w14:textId="0C70F10F" w:rsidR="001B52DF" w:rsidRPr="00641D25" w:rsidRDefault="00E80A6F" w:rsidP="001979E4">
      <w:pPr>
        <w:pStyle w:val="ListParagraph"/>
        <w:widowControl/>
        <w:numPr>
          <w:ilvl w:val="1"/>
          <w:numId w:val="19"/>
        </w:numPr>
        <w:autoSpaceDE/>
        <w:autoSpaceDN/>
        <w:spacing w:before="0" w:after="120"/>
        <w:ind w:left="567" w:hanging="283"/>
        <w:jc w:val="both"/>
        <w:rPr>
          <w:b/>
          <w:noProof/>
          <w:spacing w:val="-8"/>
          <w:sz w:val="24"/>
          <w:szCs w:val="24"/>
        </w:rPr>
      </w:pPr>
      <w:r w:rsidRPr="00641D25">
        <w:rPr>
          <w:noProof/>
          <w:spacing w:val="-8"/>
          <w:sz w:val="24"/>
          <w:szCs w:val="24"/>
        </w:rPr>
        <w:t>R</w:t>
      </w:r>
      <w:r w:rsidR="001B52DF" w:rsidRPr="00641D25">
        <w:rPr>
          <w:noProof/>
          <w:spacing w:val="-8"/>
          <w:sz w:val="24"/>
          <w:szCs w:val="24"/>
        </w:rPr>
        <w:t xml:space="preserve">ecurrent </w:t>
      </w:r>
      <w:r w:rsidRPr="00641D25">
        <w:rPr>
          <w:noProof/>
          <w:spacing w:val="-8"/>
          <w:sz w:val="24"/>
          <w:szCs w:val="24"/>
        </w:rPr>
        <w:t xml:space="preserve">adjustment </w:t>
      </w:r>
      <w:r w:rsidR="001B52DF" w:rsidRPr="00641D25">
        <w:rPr>
          <w:noProof/>
          <w:spacing w:val="-8"/>
          <w:sz w:val="24"/>
          <w:szCs w:val="24"/>
        </w:rPr>
        <w:t xml:space="preserve">costs for platforms to maintain </w:t>
      </w:r>
      <w:r w:rsidRPr="00641D25">
        <w:rPr>
          <w:noProof/>
          <w:spacing w:val="-8"/>
          <w:sz w:val="24"/>
          <w:szCs w:val="24"/>
        </w:rPr>
        <w:t xml:space="preserve">the </w:t>
      </w:r>
      <w:r w:rsidR="001B52DF" w:rsidRPr="00641D25">
        <w:rPr>
          <w:noProof/>
          <w:spacing w:val="-8"/>
          <w:sz w:val="24"/>
          <w:szCs w:val="24"/>
        </w:rPr>
        <w:t>neutral display</w:t>
      </w:r>
      <w:r w:rsidR="00F21A8E">
        <w:rPr>
          <w:noProof/>
          <w:spacing w:val="-8"/>
          <w:sz w:val="24"/>
          <w:szCs w:val="24"/>
        </w:rPr>
        <w:t xml:space="preserve"> from 2029 </w:t>
      </w:r>
      <w:r w:rsidR="005A2EF5">
        <w:rPr>
          <w:noProof/>
          <w:spacing w:val="-8"/>
          <w:sz w:val="24"/>
          <w:szCs w:val="24"/>
        </w:rPr>
        <w:t>onwards</w:t>
      </w:r>
      <w:r w:rsidR="001B52DF" w:rsidRPr="00641D25">
        <w:rPr>
          <w:noProof/>
          <w:spacing w:val="-8"/>
          <w:sz w:val="24"/>
          <w:szCs w:val="24"/>
        </w:rPr>
        <w:t>.</w:t>
      </w:r>
    </w:p>
    <w:p w14:paraId="1995834F" w14:textId="77777777" w:rsidR="00C26FFD" w:rsidRDefault="0083305B" w:rsidP="009E1EF0">
      <w:pPr>
        <w:pStyle w:val="Nornal"/>
        <w:spacing w:after="240" w:line="240" w:lineRule="auto"/>
        <w:rPr>
          <w:noProof/>
          <w:spacing w:val="-8"/>
          <w:sz w:val="24"/>
          <w:szCs w:val="24"/>
        </w:rPr>
      </w:pPr>
      <w:r w:rsidRPr="00641D25">
        <w:rPr>
          <w:rFonts w:cs="Arial"/>
          <w:noProof/>
          <w:spacing w:val="-8"/>
          <w:sz w:val="24"/>
          <w:szCs w:val="24"/>
        </w:rPr>
        <w:t>No significant costs are expected due to PM1 for</w:t>
      </w:r>
      <w:r w:rsidRPr="00641D25">
        <w:rPr>
          <w:noProof/>
          <w:spacing w:val="-8"/>
          <w:sz w:val="24"/>
          <w:szCs w:val="24"/>
        </w:rPr>
        <w:t xml:space="preserve"> transport operators </w:t>
      </w:r>
      <w:r w:rsidR="00080D24" w:rsidRPr="00641D25">
        <w:rPr>
          <w:noProof/>
          <w:spacing w:val="-8"/>
          <w:sz w:val="24"/>
          <w:szCs w:val="24"/>
        </w:rPr>
        <w:t xml:space="preserve">for ensuring that the data they submit to MDMS providers </w:t>
      </w:r>
      <w:r w:rsidR="00641D25" w:rsidRPr="00641D25">
        <w:rPr>
          <w:noProof/>
          <w:spacing w:val="-8"/>
          <w:sz w:val="24"/>
          <w:szCs w:val="24"/>
        </w:rPr>
        <w:t>is</w:t>
      </w:r>
      <w:r w:rsidR="00080D24" w:rsidRPr="00641D25">
        <w:rPr>
          <w:noProof/>
          <w:spacing w:val="-8"/>
          <w:sz w:val="24"/>
          <w:szCs w:val="24"/>
        </w:rPr>
        <w:t xml:space="preserve"> accurate</w:t>
      </w:r>
      <w:r w:rsidR="00641D25" w:rsidRPr="00641D25">
        <w:rPr>
          <w:noProof/>
          <w:spacing w:val="-8"/>
          <w:sz w:val="24"/>
          <w:szCs w:val="24"/>
        </w:rPr>
        <w:t xml:space="preserve">. </w:t>
      </w:r>
      <w:r w:rsidR="00080D24" w:rsidRPr="00641D25">
        <w:rPr>
          <w:noProof/>
          <w:spacing w:val="-8"/>
          <w:sz w:val="24"/>
          <w:szCs w:val="24"/>
        </w:rPr>
        <w:t xml:space="preserve"> </w:t>
      </w:r>
    </w:p>
    <w:p w14:paraId="04CC07E3" w14:textId="5EB5C733" w:rsidR="00C26FFD" w:rsidRPr="005F2641" w:rsidRDefault="00C353C4" w:rsidP="009E1EF0">
      <w:pPr>
        <w:pStyle w:val="Text1"/>
        <w:ind w:left="0"/>
        <w:rPr>
          <w:i/>
          <w:noProof/>
          <w:szCs w:val="24"/>
        </w:rPr>
      </w:pPr>
      <w:r w:rsidRPr="005F2641">
        <w:rPr>
          <w:i/>
          <w:noProof/>
          <w:szCs w:val="24"/>
        </w:rPr>
        <w:t>One-off and recurrent a</w:t>
      </w:r>
      <w:r w:rsidR="00C26FFD" w:rsidRPr="005F2641">
        <w:rPr>
          <w:i/>
          <w:noProof/>
          <w:szCs w:val="24"/>
        </w:rPr>
        <w:t xml:space="preserve">djustment costs for </w:t>
      </w:r>
      <w:r w:rsidR="00EB0F35">
        <w:rPr>
          <w:i/>
          <w:noProof/>
          <w:szCs w:val="24"/>
        </w:rPr>
        <w:t>non-SME</w:t>
      </w:r>
      <w:r w:rsidR="00C26FFD" w:rsidRPr="005F2641">
        <w:rPr>
          <w:i/>
          <w:noProof/>
          <w:szCs w:val="24"/>
        </w:rPr>
        <w:t xml:space="preserve"> MDMS platforms </w:t>
      </w:r>
    </w:p>
    <w:p w14:paraId="2E37EF2B" w14:textId="3C859E51" w:rsidR="003D1092" w:rsidRPr="00377519" w:rsidRDefault="003D1092" w:rsidP="003D1092">
      <w:pPr>
        <w:pStyle w:val="Text4"/>
        <w:spacing w:before="0" w:after="240"/>
        <w:ind w:left="0"/>
        <w:rPr>
          <w:rFonts w:ascii="Times New Roman" w:eastAsia="Calibri" w:hAnsi="Times New Roman"/>
          <w:noProof/>
          <w:spacing w:val="-8"/>
          <w:sz w:val="24"/>
          <w:szCs w:val="24"/>
        </w:rPr>
      </w:pPr>
      <w:r w:rsidRPr="00377519">
        <w:rPr>
          <w:rFonts w:ascii="Times New Roman" w:eastAsia="Calibri" w:hAnsi="Times New Roman"/>
          <w:noProof/>
          <w:spacing w:val="-8"/>
          <w:sz w:val="24"/>
          <w:szCs w:val="24"/>
        </w:rPr>
        <w:t xml:space="preserve">The stakeholders’ consultation activities provided limited evidence on the </w:t>
      </w:r>
      <w:r w:rsidRPr="00297258">
        <w:rPr>
          <w:rFonts w:ascii="Times New Roman" w:eastAsia="Calibri" w:hAnsi="Times New Roman"/>
          <w:i/>
          <w:iCs/>
          <w:noProof/>
          <w:spacing w:val="-8"/>
          <w:sz w:val="24"/>
          <w:szCs w:val="24"/>
        </w:rPr>
        <w:t>one-off adjustment costs</w:t>
      </w:r>
      <w:r w:rsidRPr="00377519">
        <w:rPr>
          <w:rFonts w:ascii="Times New Roman" w:eastAsia="Calibri" w:hAnsi="Times New Roman"/>
          <w:noProof/>
          <w:spacing w:val="-8"/>
          <w:sz w:val="24"/>
          <w:szCs w:val="24"/>
        </w:rPr>
        <w:t xml:space="preserve"> for </w:t>
      </w:r>
      <w:r w:rsidR="00321668" w:rsidRPr="205FD1BA">
        <w:rPr>
          <w:rFonts w:ascii="Times New Roman" w:eastAsia="Calibri" w:hAnsi="Times New Roman"/>
          <w:noProof/>
          <w:sz w:val="24"/>
          <w:szCs w:val="24"/>
        </w:rPr>
        <w:t xml:space="preserve">non-SME </w:t>
      </w:r>
      <w:r w:rsidRPr="00377519">
        <w:rPr>
          <w:rFonts w:ascii="Times New Roman" w:eastAsia="Calibri" w:hAnsi="Times New Roman"/>
          <w:noProof/>
          <w:spacing w:val="-8"/>
          <w:sz w:val="24"/>
          <w:szCs w:val="24"/>
        </w:rPr>
        <w:t>MDMS platforms to comply with the neutral display obligations. The feedback received ranged between zero and several hundred thousand EUR. A conservative assumption has been used</w:t>
      </w:r>
      <w:r>
        <w:rPr>
          <w:rFonts w:ascii="Times New Roman" w:eastAsia="Calibri" w:hAnsi="Times New Roman"/>
          <w:noProof/>
          <w:spacing w:val="-8"/>
          <w:sz w:val="24"/>
          <w:szCs w:val="24"/>
        </w:rPr>
        <w:t xml:space="preserve"> for estimating the costs</w:t>
      </w:r>
      <w:r w:rsidR="00AC33B1">
        <w:rPr>
          <w:rFonts w:ascii="Times New Roman" w:eastAsia="Calibri" w:hAnsi="Times New Roman"/>
          <w:noProof/>
          <w:spacing w:val="-8"/>
          <w:sz w:val="24"/>
          <w:szCs w:val="24"/>
        </w:rPr>
        <w:t xml:space="preserve"> for</w:t>
      </w:r>
      <w:r w:rsidR="00AC33B1" w:rsidDel="0049702F">
        <w:rPr>
          <w:rFonts w:ascii="Times New Roman" w:eastAsia="Calibri" w:hAnsi="Times New Roman"/>
          <w:noProof/>
          <w:spacing w:val="-8"/>
          <w:sz w:val="24"/>
          <w:szCs w:val="24"/>
        </w:rPr>
        <w:t xml:space="preserve"> </w:t>
      </w:r>
      <w:r w:rsidR="0049702F" w:rsidRPr="205FD1BA">
        <w:rPr>
          <w:rFonts w:ascii="Times New Roman" w:eastAsia="Calibri" w:hAnsi="Times New Roman"/>
          <w:noProof/>
          <w:sz w:val="24"/>
          <w:szCs w:val="24"/>
        </w:rPr>
        <w:t xml:space="preserve">non-SME </w:t>
      </w:r>
      <w:r w:rsidR="00AC33B1">
        <w:rPr>
          <w:rFonts w:ascii="Times New Roman" w:eastAsia="Calibri" w:hAnsi="Times New Roman"/>
          <w:noProof/>
          <w:spacing w:val="-8"/>
          <w:sz w:val="24"/>
          <w:szCs w:val="24"/>
        </w:rPr>
        <w:t>MDMS platforms (excluding CRS platforms)</w:t>
      </w:r>
      <w:r w:rsidRPr="00377519">
        <w:rPr>
          <w:rFonts w:ascii="Times New Roman" w:eastAsia="Calibri" w:hAnsi="Times New Roman"/>
          <w:noProof/>
          <w:spacing w:val="-8"/>
          <w:sz w:val="24"/>
          <w:szCs w:val="24"/>
        </w:rPr>
        <w:t xml:space="preserve">, of </w:t>
      </w:r>
      <w:r w:rsidR="002C7885">
        <w:rPr>
          <w:rFonts w:ascii="Times New Roman" w:eastAsia="Calibri" w:hAnsi="Times New Roman"/>
          <w:noProof/>
          <w:spacing w:val="-8"/>
          <w:sz w:val="24"/>
          <w:szCs w:val="24"/>
        </w:rPr>
        <w:t>90</w:t>
      </w:r>
      <w:r w:rsidRPr="00377519">
        <w:rPr>
          <w:rFonts w:ascii="Times New Roman" w:eastAsia="Calibri" w:hAnsi="Times New Roman"/>
          <w:noProof/>
          <w:spacing w:val="-8"/>
          <w:sz w:val="24"/>
          <w:szCs w:val="24"/>
        </w:rPr>
        <w:t xml:space="preserve"> working days of a software engineer’s time</w:t>
      </w:r>
      <w:r w:rsidR="00AC33B1">
        <w:rPr>
          <w:rFonts w:ascii="Times New Roman" w:eastAsia="Calibri" w:hAnsi="Times New Roman"/>
          <w:noProof/>
          <w:spacing w:val="-8"/>
          <w:sz w:val="24"/>
          <w:szCs w:val="24"/>
        </w:rPr>
        <w:t xml:space="preserve">. This also takes into account the </w:t>
      </w:r>
      <w:r w:rsidR="00F33E43">
        <w:rPr>
          <w:rFonts w:ascii="Times New Roman" w:eastAsia="Calibri" w:hAnsi="Times New Roman"/>
          <w:noProof/>
          <w:spacing w:val="-8"/>
          <w:sz w:val="24"/>
          <w:szCs w:val="24"/>
        </w:rPr>
        <w:t xml:space="preserve">synergies with </w:t>
      </w:r>
      <w:r w:rsidR="009A41C2">
        <w:rPr>
          <w:rFonts w:ascii="Times New Roman" w:eastAsia="Calibri" w:hAnsi="Times New Roman"/>
          <w:noProof/>
          <w:spacing w:val="-8"/>
          <w:sz w:val="24"/>
          <w:szCs w:val="24"/>
        </w:rPr>
        <w:t>PM</w:t>
      </w:r>
      <w:r w:rsidR="00F33E43">
        <w:rPr>
          <w:rFonts w:ascii="Times New Roman" w:eastAsia="Calibri" w:hAnsi="Times New Roman"/>
          <w:noProof/>
          <w:spacing w:val="-8"/>
          <w:sz w:val="24"/>
          <w:szCs w:val="24"/>
        </w:rPr>
        <w:t>2</w:t>
      </w:r>
      <w:r w:rsidR="00132005">
        <w:rPr>
          <w:rFonts w:ascii="Times New Roman" w:eastAsia="Calibri" w:hAnsi="Times New Roman"/>
          <w:noProof/>
          <w:spacing w:val="-8"/>
          <w:sz w:val="24"/>
          <w:szCs w:val="24"/>
        </w:rPr>
        <w:t xml:space="preserve"> (e</w:t>
      </w:r>
      <w:r w:rsidR="00132005" w:rsidRPr="00132005">
        <w:rPr>
          <w:rFonts w:ascii="Times New Roman" w:eastAsia="Calibri" w:hAnsi="Times New Roman"/>
          <w:noProof/>
          <w:spacing w:val="-8"/>
          <w:sz w:val="24"/>
          <w:szCs w:val="24"/>
        </w:rPr>
        <w:t>qual care for data</w:t>
      </w:r>
      <w:r w:rsidR="00132005">
        <w:rPr>
          <w:rFonts w:ascii="Times New Roman" w:eastAsia="Calibri" w:hAnsi="Times New Roman"/>
          <w:noProof/>
          <w:spacing w:val="-8"/>
          <w:sz w:val="24"/>
          <w:szCs w:val="24"/>
        </w:rPr>
        <w:t>)</w:t>
      </w:r>
      <w:r w:rsidR="00F33E43">
        <w:rPr>
          <w:rFonts w:ascii="Times New Roman" w:eastAsia="Calibri" w:hAnsi="Times New Roman"/>
          <w:noProof/>
          <w:spacing w:val="-8"/>
          <w:sz w:val="24"/>
          <w:szCs w:val="24"/>
        </w:rPr>
        <w:t>, PM3</w:t>
      </w:r>
      <w:r w:rsidR="00C34C08">
        <w:rPr>
          <w:rFonts w:ascii="Times New Roman" w:eastAsia="Calibri" w:hAnsi="Times New Roman"/>
          <w:noProof/>
          <w:spacing w:val="-8"/>
          <w:sz w:val="24"/>
          <w:szCs w:val="24"/>
        </w:rPr>
        <w:t xml:space="preserve"> </w:t>
      </w:r>
      <w:r w:rsidR="002149A7">
        <w:rPr>
          <w:rFonts w:ascii="Times New Roman" w:eastAsia="Calibri" w:hAnsi="Times New Roman"/>
          <w:noProof/>
          <w:spacing w:val="-8"/>
          <w:sz w:val="24"/>
          <w:szCs w:val="24"/>
        </w:rPr>
        <w:t>(m</w:t>
      </w:r>
      <w:r w:rsidR="002149A7" w:rsidRPr="002149A7">
        <w:rPr>
          <w:rFonts w:ascii="Times New Roman" w:eastAsia="Calibri" w:hAnsi="Times New Roman"/>
          <w:noProof/>
          <w:spacing w:val="-8"/>
          <w:sz w:val="24"/>
          <w:szCs w:val="24"/>
        </w:rPr>
        <w:t>arketing and booking data sharing</w:t>
      </w:r>
      <w:r w:rsidR="002149A7">
        <w:rPr>
          <w:rFonts w:ascii="Times New Roman" w:eastAsia="Calibri" w:hAnsi="Times New Roman"/>
          <w:noProof/>
          <w:spacing w:val="-8"/>
          <w:sz w:val="24"/>
          <w:szCs w:val="24"/>
        </w:rPr>
        <w:t>)</w:t>
      </w:r>
      <w:r w:rsidR="00F33E43">
        <w:rPr>
          <w:rFonts w:ascii="Times New Roman" w:eastAsia="Calibri" w:hAnsi="Times New Roman"/>
          <w:noProof/>
          <w:spacing w:val="-8"/>
          <w:sz w:val="24"/>
          <w:szCs w:val="24"/>
        </w:rPr>
        <w:t xml:space="preserve"> and PM8</w:t>
      </w:r>
      <w:r w:rsidR="000E41CB">
        <w:rPr>
          <w:rFonts w:ascii="Times New Roman" w:eastAsia="Calibri" w:hAnsi="Times New Roman"/>
          <w:noProof/>
          <w:spacing w:val="-8"/>
          <w:sz w:val="24"/>
          <w:szCs w:val="24"/>
        </w:rPr>
        <w:t xml:space="preserve"> (</w:t>
      </w:r>
      <w:r w:rsidR="000E41CB" w:rsidRPr="000E41CB">
        <w:rPr>
          <w:rFonts w:ascii="Times New Roman" w:eastAsia="Calibri" w:hAnsi="Times New Roman"/>
          <w:noProof/>
          <w:spacing w:val="-8"/>
          <w:sz w:val="24"/>
          <w:szCs w:val="24"/>
        </w:rPr>
        <w:t>GHG emission data</w:t>
      </w:r>
      <w:r w:rsidR="000E41CB">
        <w:rPr>
          <w:rFonts w:ascii="Times New Roman" w:eastAsia="Calibri" w:hAnsi="Times New Roman"/>
          <w:noProof/>
          <w:spacing w:val="-8"/>
          <w:sz w:val="24"/>
          <w:szCs w:val="24"/>
        </w:rPr>
        <w:t>)</w:t>
      </w:r>
      <w:r w:rsidRPr="00377519">
        <w:rPr>
          <w:rFonts w:ascii="Times New Roman" w:eastAsia="Calibri" w:hAnsi="Times New Roman"/>
          <w:noProof/>
          <w:spacing w:val="-8"/>
          <w:sz w:val="24"/>
          <w:szCs w:val="24"/>
        </w:rPr>
        <w:t xml:space="preserve">. Based on the hourly rates presented in section </w:t>
      </w:r>
      <w:r w:rsidR="003E0978">
        <w:rPr>
          <w:rFonts w:ascii="Times New Roman" w:eastAsia="Calibri" w:hAnsi="Times New Roman"/>
          <w:noProof/>
          <w:spacing w:val="-8"/>
          <w:sz w:val="24"/>
          <w:szCs w:val="24"/>
        </w:rPr>
        <w:t>3</w:t>
      </w:r>
      <w:r w:rsidRPr="00377519">
        <w:rPr>
          <w:rFonts w:ascii="Times New Roman" w:eastAsia="Calibri" w:hAnsi="Times New Roman"/>
          <w:noProof/>
          <w:spacing w:val="-8"/>
          <w:sz w:val="24"/>
          <w:szCs w:val="24"/>
        </w:rPr>
        <w:t>.2</w:t>
      </w:r>
      <w:r w:rsidR="003E0978">
        <w:rPr>
          <w:rFonts w:ascii="Times New Roman" w:eastAsia="Calibri" w:hAnsi="Times New Roman"/>
          <w:noProof/>
          <w:spacing w:val="-8"/>
          <w:sz w:val="24"/>
          <w:szCs w:val="24"/>
        </w:rPr>
        <w:t xml:space="preserve"> of Annex 4</w:t>
      </w:r>
      <w:r w:rsidRPr="00377519">
        <w:rPr>
          <w:rFonts w:ascii="Times New Roman" w:eastAsia="Calibri" w:hAnsi="Times New Roman"/>
          <w:noProof/>
          <w:spacing w:val="-8"/>
          <w:sz w:val="24"/>
          <w:szCs w:val="24"/>
        </w:rPr>
        <w:t xml:space="preserve">, the </w:t>
      </w:r>
      <w:r w:rsidR="00E135E3">
        <w:rPr>
          <w:rFonts w:ascii="Times New Roman" w:eastAsia="Calibri" w:hAnsi="Times New Roman"/>
          <w:noProof/>
          <w:spacing w:val="-8"/>
          <w:sz w:val="24"/>
          <w:szCs w:val="24"/>
        </w:rPr>
        <w:t xml:space="preserve">one-off </w:t>
      </w:r>
      <w:r w:rsidRPr="00377519">
        <w:rPr>
          <w:rFonts w:ascii="Times New Roman" w:eastAsia="Calibri" w:hAnsi="Times New Roman"/>
          <w:noProof/>
          <w:spacing w:val="-8"/>
          <w:sz w:val="24"/>
          <w:szCs w:val="24"/>
        </w:rPr>
        <w:t>cost per MDMS platform</w:t>
      </w:r>
      <w:r w:rsidR="00505D5E">
        <w:rPr>
          <w:rFonts w:ascii="Times New Roman" w:eastAsia="Calibri" w:hAnsi="Times New Roman"/>
          <w:noProof/>
          <w:spacing w:val="-8"/>
          <w:sz w:val="24"/>
          <w:szCs w:val="24"/>
        </w:rPr>
        <w:t xml:space="preserve"> (excluding CRS platforms)</w:t>
      </w:r>
      <w:r w:rsidRPr="00377519">
        <w:rPr>
          <w:rFonts w:ascii="Times New Roman" w:eastAsia="Calibri" w:hAnsi="Times New Roman"/>
          <w:noProof/>
          <w:spacing w:val="-8"/>
          <w:sz w:val="24"/>
          <w:szCs w:val="24"/>
        </w:rPr>
        <w:t xml:space="preserve"> is estimated at EUR </w:t>
      </w:r>
      <w:r w:rsidR="009E6493" w:rsidRPr="009E6493">
        <w:rPr>
          <w:rFonts w:ascii="Times New Roman" w:eastAsia="Calibri" w:hAnsi="Times New Roman"/>
          <w:noProof/>
          <w:spacing w:val="-8"/>
          <w:sz w:val="24"/>
          <w:szCs w:val="24"/>
        </w:rPr>
        <w:t>23,125</w:t>
      </w:r>
      <w:r w:rsidRPr="00377519">
        <w:rPr>
          <w:rFonts w:ascii="Times New Roman" w:eastAsia="Calibri" w:hAnsi="Times New Roman"/>
          <w:noProof/>
          <w:spacing w:val="-8"/>
          <w:sz w:val="24"/>
          <w:szCs w:val="24"/>
        </w:rPr>
        <w:t xml:space="preserve">. </w:t>
      </w:r>
      <w:r w:rsidR="00101A32">
        <w:rPr>
          <w:rFonts w:ascii="Times New Roman" w:eastAsia="Calibri" w:hAnsi="Times New Roman"/>
          <w:noProof/>
          <w:spacing w:val="-8"/>
          <w:sz w:val="24"/>
          <w:szCs w:val="24"/>
        </w:rPr>
        <w:t xml:space="preserve">CRS platforms are expected to incur </w:t>
      </w:r>
      <w:r w:rsidR="00605387">
        <w:rPr>
          <w:rFonts w:ascii="Times New Roman" w:eastAsia="Calibri" w:hAnsi="Times New Roman"/>
          <w:noProof/>
          <w:spacing w:val="-8"/>
          <w:sz w:val="24"/>
          <w:szCs w:val="24"/>
        </w:rPr>
        <w:t xml:space="preserve">lower one-off </w:t>
      </w:r>
      <w:r w:rsidR="002575E6">
        <w:rPr>
          <w:rFonts w:ascii="Times New Roman" w:eastAsia="Calibri" w:hAnsi="Times New Roman"/>
          <w:noProof/>
          <w:spacing w:val="-8"/>
          <w:sz w:val="24"/>
          <w:szCs w:val="24"/>
        </w:rPr>
        <w:t>effort</w:t>
      </w:r>
      <w:r w:rsidR="000A1B87">
        <w:rPr>
          <w:rStyle w:val="FootnoteReference"/>
          <w:rFonts w:ascii="Times New Roman" w:eastAsia="Calibri" w:hAnsi="Times New Roman"/>
          <w:noProof/>
          <w:spacing w:val="-8"/>
          <w:sz w:val="24"/>
          <w:szCs w:val="24"/>
        </w:rPr>
        <w:footnoteReference w:id="345"/>
      </w:r>
      <w:r w:rsidR="00605387" w:rsidRPr="00605387">
        <w:rPr>
          <w:rFonts w:ascii="Times New Roman" w:eastAsia="Calibri" w:hAnsi="Times New Roman"/>
          <w:noProof/>
          <w:spacing w:val="-8"/>
          <w:sz w:val="24"/>
          <w:szCs w:val="24"/>
        </w:rPr>
        <w:t xml:space="preserve">, estimated at one third of that for </w:t>
      </w:r>
      <w:r w:rsidR="00605387">
        <w:rPr>
          <w:rFonts w:ascii="Times New Roman" w:eastAsia="Calibri" w:hAnsi="Times New Roman"/>
          <w:noProof/>
          <w:spacing w:val="-8"/>
          <w:sz w:val="24"/>
          <w:szCs w:val="24"/>
        </w:rPr>
        <w:t xml:space="preserve">other </w:t>
      </w:r>
      <w:r w:rsidR="00EB0F35">
        <w:rPr>
          <w:rFonts w:ascii="Times New Roman" w:eastAsia="Calibri" w:hAnsi="Times New Roman"/>
          <w:noProof/>
          <w:spacing w:val="-8"/>
          <w:sz w:val="24"/>
          <w:szCs w:val="24"/>
        </w:rPr>
        <w:t>non-SME</w:t>
      </w:r>
      <w:r w:rsidR="00605387" w:rsidRPr="00605387">
        <w:rPr>
          <w:rFonts w:ascii="Times New Roman" w:eastAsia="Calibri" w:hAnsi="Times New Roman"/>
          <w:noProof/>
          <w:spacing w:val="-8"/>
          <w:sz w:val="24"/>
          <w:szCs w:val="24"/>
        </w:rPr>
        <w:t xml:space="preserve"> MDMS platforms</w:t>
      </w:r>
      <w:r w:rsidR="008137B6">
        <w:rPr>
          <w:rFonts w:ascii="Times New Roman" w:eastAsia="Calibri" w:hAnsi="Times New Roman"/>
          <w:noProof/>
          <w:spacing w:val="-8"/>
          <w:sz w:val="24"/>
          <w:szCs w:val="24"/>
        </w:rPr>
        <w:t xml:space="preserve"> (i.e. </w:t>
      </w:r>
      <w:r w:rsidR="00605387" w:rsidRPr="00605387">
        <w:rPr>
          <w:rFonts w:ascii="Times New Roman" w:eastAsia="Calibri" w:hAnsi="Times New Roman"/>
          <w:noProof/>
          <w:spacing w:val="-8"/>
          <w:sz w:val="24"/>
          <w:szCs w:val="24"/>
        </w:rPr>
        <w:t>30 working days</w:t>
      </w:r>
      <w:r w:rsidR="008137B6">
        <w:rPr>
          <w:rFonts w:ascii="Times New Roman" w:eastAsia="Calibri" w:hAnsi="Times New Roman"/>
          <w:noProof/>
          <w:spacing w:val="-8"/>
          <w:sz w:val="24"/>
          <w:szCs w:val="24"/>
        </w:rPr>
        <w:t>)</w:t>
      </w:r>
      <w:r w:rsidR="009108C6">
        <w:rPr>
          <w:rFonts w:ascii="Times New Roman" w:eastAsia="Calibri" w:hAnsi="Times New Roman"/>
          <w:noProof/>
          <w:spacing w:val="-8"/>
          <w:sz w:val="24"/>
          <w:szCs w:val="24"/>
        </w:rPr>
        <w:t>,</w:t>
      </w:r>
      <w:r w:rsidR="008137B6">
        <w:rPr>
          <w:rFonts w:ascii="Times New Roman" w:eastAsia="Calibri" w:hAnsi="Times New Roman"/>
          <w:noProof/>
          <w:spacing w:val="-8"/>
          <w:sz w:val="24"/>
          <w:szCs w:val="24"/>
        </w:rPr>
        <w:t xml:space="preserve"> </w:t>
      </w:r>
      <w:r w:rsidR="008137B6" w:rsidRPr="00605387">
        <w:rPr>
          <w:rFonts w:ascii="Times New Roman" w:eastAsia="Calibri" w:hAnsi="Times New Roman"/>
          <w:noProof/>
          <w:spacing w:val="-8"/>
          <w:sz w:val="24"/>
          <w:szCs w:val="24"/>
        </w:rPr>
        <w:t xml:space="preserve">to adapt their software to </w:t>
      </w:r>
      <w:r w:rsidR="009108C6">
        <w:rPr>
          <w:rFonts w:ascii="Times New Roman" w:eastAsia="Calibri" w:hAnsi="Times New Roman"/>
          <w:noProof/>
          <w:spacing w:val="-8"/>
          <w:sz w:val="24"/>
          <w:szCs w:val="24"/>
        </w:rPr>
        <w:t>PM1</w:t>
      </w:r>
      <w:r w:rsidR="008137B6" w:rsidRPr="00605387">
        <w:rPr>
          <w:rFonts w:ascii="Times New Roman" w:eastAsia="Calibri" w:hAnsi="Times New Roman"/>
          <w:noProof/>
          <w:spacing w:val="-8"/>
          <w:sz w:val="24"/>
          <w:szCs w:val="24"/>
        </w:rPr>
        <w:t xml:space="preserve"> new requirements</w:t>
      </w:r>
      <w:r w:rsidR="003873C7">
        <w:rPr>
          <w:rFonts w:ascii="Times New Roman" w:eastAsia="Calibri" w:hAnsi="Times New Roman"/>
          <w:noProof/>
          <w:spacing w:val="-8"/>
          <w:sz w:val="24"/>
          <w:szCs w:val="24"/>
        </w:rPr>
        <w:t>.</w:t>
      </w:r>
      <w:r w:rsidR="009108C6">
        <w:rPr>
          <w:rFonts w:ascii="Times New Roman" w:eastAsia="Calibri" w:hAnsi="Times New Roman"/>
          <w:noProof/>
          <w:spacing w:val="-8"/>
          <w:sz w:val="24"/>
          <w:szCs w:val="24"/>
        </w:rPr>
        <w:t xml:space="preserve"> </w:t>
      </w:r>
      <w:r w:rsidR="00954E51">
        <w:rPr>
          <w:rFonts w:ascii="Times New Roman" w:eastAsia="Calibri" w:hAnsi="Times New Roman"/>
          <w:noProof/>
          <w:spacing w:val="-8"/>
          <w:sz w:val="24"/>
          <w:szCs w:val="24"/>
        </w:rPr>
        <w:t>Thus, the one-off costs per CRS platform is estimated at</w:t>
      </w:r>
      <w:r w:rsidR="00605387" w:rsidRPr="00605387">
        <w:rPr>
          <w:rFonts w:ascii="Times New Roman" w:eastAsia="Calibri" w:hAnsi="Times New Roman"/>
          <w:noProof/>
          <w:spacing w:val="-8"/>
          <w:sz w:val="24"/>
          <w:szCs w:val="24"/>
        </w:rPr>
        <w:t xml:space="preserve"> EUR 7,708</w:t>
      </w:r>
      <w:r w:rsidR="00954E51">
        <w:rPr>
          <w:rFonts w:ascii="Times New Roman" w:eastAsia="Calibri" w:hAnsi="Times New Roman"/>
          <w:noProof/>
          <w:spacing w:val="-8"/>
          <w:sz w:val="24"/>
          <w:szCs w:val="24"/>
        </w:rPr>
        <w:t xml:space="preserve"> considering the </w:t>
      </w:r>
      <w:r w:rsidR="006A08F3" w:rsidRPr="00377519">
        <w:rPr>
          <w:rFonts w:ascii="Times New Roman" w:eastAsia="Calibri" w:hAnsi="Times New Roman"/>
          <w:noProof/>
          <w:spacing w:val="-8"/>
          <w:sz w:val="24"/>
          <w:szCs w:val="24"/>
        </w:rPr>
        <w:t xml:space="preserve">hourly rates presented in section </w:t>
      </w:r>
      <w:r w:rsidR="006A08F3">
        <w:rPr>
          <w:rFonts w:ascii="Times New Roman" w:eastAsia="Calibri" w:hAnsi="Times New Roman"/>
          <w:noProof/>
          <w:spacing w:val="-8"/>
          <w:sz w:val="24"/>
          <w:szCs w:val="24"/>
        </w:rPr>
        <w:t>3</w:t>
      </w:r>
      <w:r w:rsidR="006A08F3" w:rsidRPr="00377519">
        <w:rPr>
          <w:rFonts w:ascii="Times New Roman" w:eastAsia="Calibri" w:hAnsi="Times New Roman"/>
          <w:noProof/>
          <w:spacing w:val="-8"/>
          <w:sz w:val="24"/>
          <w:szCs w:val="24"/>
        </w:rPr>
        <w:t>.2</w:t>
      </w:r>
      <w:r w:rsidR="006A08F3">
        <w:rPr>
          <w:rFonts w:ascii="Times New Roman" w:eastAsia="Calibri" w:hAnsi="Times New Roman"/>
          <w:noProof/>
          <w:spacing w:val="-8"/>
          <w:sz w:val="24"/>
          <w:szCs w:val="24"/>
        </w:rPr>
        <w:t xml:space="preserve"> of Annex 4</w:t>
      </w:r>
      <w:r w:rsidR="00605387" w:rsidRPr="00605387">
        <w:rPr>
          <w:rFonts w:ascii="Times New Roman" w:eastAsia="Calibri" w:hAnsi="Times New Roman"/>
          <w:noProof/>
          <w:spacing w:val="-8"/>
          <w:sz w:val="24"/>
          <w:szCs w:val="24"/>
        </w:rPr>
        <w:t>.</w:t>
      </w:r>
    </w:p>
    <w:p w14:paraId="18877E03" w14:textId="7D50ACBD" w:rsidR="003D1092" w:rsidRPr="00377519" w:rsidRDefault="003D1092" w:rsidP="003D1092">
      <w:pPr>
        <w:pStyle w:val="Text4"/>
        <w:spacing w:before="0" w:after="240"/>
        <w:ind w:left="0"/>
        <w:rPr>
          <w:rFonts w:ascii="Times New Roman" w:eastAsia="Calibri" w:hAnsi="Times New Roman"/>
          <w:noProof/>
          <w:spacing w:val="-8"/>
          <w:sz w:val="24"/>
          <w:szCs w:val="24"/>
        </w:rPr>
      </w:pPr>
      <w:r>
        <w:rPr>
          <w:rFonts w:ascii="Times New Roman" w:eastAsia="Calibri" w:hAnsi="Times New Roman"/>
          <w:noProof/>
          <w:spacing w:val="-8"/>
          <w:sz w:val="24"/>
          <w:szCs w:val="24"/>
        </w:rPr>
        <w:t>The</w:t>
      </w:r>
      <w:r w:rsidRPr="00377519">
        <w:rPr>
          <w:rFonts w:ascii="Times New Roman" w:eastAsia="Calibri" w:hAnsi="Times New Roman"/>
          <w:noProof/>
          <w:spacing w:val="-8"/>
          <w:sz w:val="24"/>
          <w:szCs w:val="24"/>
        </w:rPr>
        <w:t xml:space="preserve"> </w:t>
      </w:r>
      <w:r>
        <w:rPr>
          <w:rFonts w:ascii="Times New Roman" w:eastAsia="Calibri" w:hAnsi="Times New Roman"/>
          <w:noProof/>
          <w:spacing w:val="-8"/>
          <w:sz w:val="24"/>
          <w:szCs w:val="24"/>
        </w:rPr>
        <w:t xml:space="preserve">total </w:t>
      </w:r>
      <w:r w:rsidRPr="00377519">
        <w:rPr>
          <w:rFonts w:ascii="Times New Roman" w:eastAsia="Calibri" w:hAnsi="Times New Roman"/>
          <w:noProof/>
          <w:spacing w:val="-8"/>
          <w:sz w:val="24"/>
          <w:szCs w:val="24"/>
        </w:rPr>
        <w:t xml:space="preserve">one-off </w:t>
      </w:r>
      <w:r>
        <w:rPr>
          <w:rFonts w:ascii="Times New Roman" w:eastAsia="Calibri" w:hAnsi="Times New Roman"/>
          <w:noProof/>
          <w:spacing w:val="-8"/>
          <w:sz w:val="24"/>
          <w:szCs w:val="24"/>
        </w:rPr>
        <w:t xml:space="preserve">adjustment </w:t>
      </w:r>
      <w:r w:rsidRPr="00377519">
        <w:rPr>
          <w:rFonts w:ascii="Times New Roman" w:eastAsia="Calibri" w:hAnsi="Times New Roman"/>
          <w:noProof/>
          <w:spacing w:val="-8"/>
          <w:sz w:val="24"/>
          <w:szCs w:val="24"/>
        </w:rPr>
        <w:t>cost</w:t>
      </w:r>
      <w:r>
        <w:rPr>
          <w:rFonts w:ascii="Times New Roman" w:eastAsia="Calibri" w:hAnsi="Times New Roman"/>
          <w:noProof/>
          <w:spacing w:val="-8"/>
          <w:sz w:val="24"/>
          <w:szCs w:val="24"/>
        </w:rPr>
        <w:t xml:space="preserve">s in 2028 (i.e. the assumed year of implementation) are derived by multiplying the cost per MDMS platform with the number of </w:t>
      </w:r>
      <w:r w:rsidR="000630A2">
        <w:rPr>
          <w:rFonts w:ascii="Times New Roman" w:eastAsia="Calibri" w:hAnsi="Times New Roman"/>
          <w:noProof/>
          <w:spacing w:val="-8"/>
          <w:sz w:val="24"/>
          <w:szCs w:val="24"/>
        </w:rPr>
        <w:t>non-SME</w:t>
      </w:r>
      <w:r w:rsidR="000630A2" w:rsidRPr="00377519">
        <w:rPr>
          <w:rFonts w:ascii="Times New Roman" w:eastAsia="Calibri" w:hAnsi="Times New Roman"/>
          <w:noProof/>
          <w:spacing w:val="-8"/>
          <w:sz w:val="24"/>
          <w:szCs w:val="24"/>
        </w:rPr>
        <w:t xml:space="preserve"> </w:t>
      </w:r>
      <w:r w:rsidRPr="00377519">
        <w:rPr>
          <w:rFonts w:ascii="Times New Roman" w:eastAsia="Calibri" w:hAnsi="Times New Roman"/>
          <w:noProof/>
          <w:spacing w:val="-8"/>
          <w:sz w:val="24"/>
          <w:szCs w:val="24"/>
        </w:rPr>
        <w:t xml:space="preserve">MDMS platforms estimated to be active in </w:t>
      </w:r>
      <w:r>
        <w:rPr>
          <w:rFonts w:ascii="Times New Roman" w:eastAsia="Calibri" w:hAnsi="Times New Roman"/>
          <w:noProof/>
          <w:spacing w:val="-8"/>
          <w:sz w:val="24"/>
          <w:szCs w:val="24"/>
        </w:rPr>
        <w:t>2028</w:t>
      </w:r>
      <w:r w:rsidRPr="00377519">
        <w:rPr>
          <w:rFonts w:ascii="Times New Roman" w:eastAsia="Calibri" w:hAnsi="Times New Roman"/>
          <w:noProof/>
          <w:spacing w:val="-8"/>
          <w:sz w:val="24"/>
          <w:szCs w:val="24"/>
        </w:rPr>
        <w:t xml:space="preserve">. </w:t>
      </w:r>
      <w:r>
        <w:rPr>
          <w:rFonts w:ascii="Times New Roman" w:eastAsia="Calibri" w:hAnsi="Times New Roman"/>
          <w:noProof/>
          <w:spacing w:val="-8"/>
          <w:sz w:val="24"/>
          <w:szCs w:val="24"/>
        </w:rPr>
        <w:t xml:space="preserve">Post-2028, the one-off adjustment costs are derived by multiplying the cost per MDMS platform with the number of </w:t>
      </w:r>
      <w:r w:rsidRPr="00377519">
        <w:rPr>
          <w:rFonts w:ascii="Times New Roman" w:eastAsia="Calibri" w:hAnsi="Times New Roman"/>
          <w:noProof/>
          <w:spacing w:val="-8"/>
          <w:sz w:val="24"/>
          <w:szCs w:val="24"/>
        </w:rPr>
        <w:t xml:space="preserve">new </w:t>
      </w:r>
      <w:r w:rsidR="00B83084">
        <w:rPr>
          <w:rFonts w:ascii="Times New Roman" w:eastAsia="Calibri" w:hAnsi="Times New Roman"/>
          <w:noProof/>
          <w:spacing w:val="-8"/>
          <w:sz w:val="24"/>
          <w:szCs w:val="24"/>
        </w:rPr>
        <w:t>non-SME</w:t>
      </w:r>
      <w:r w:rsidR="00B83084" w:rsidRPr="00377519">
        <w:rPr>
          <w:rFonts w:ascii="Times New Roman" w:eastAsia="Calibri" w:hAnsi="Times New Roman"/>
          <w:noProof/>
          <w:spacing w:val="-8"/>
          <w:sz w:val="24"/>
          <w:szCs w:val="24"/>
        </w:rPr>
        <w:t xml:space="preserve"> </w:t>
      </w:r>
      <w:r w:rsidRPr="00377519">
        <w:rPr>
          <w:rFonts w:ascii="Times New Roman" w:eastAsia="Calibri" w:hAnsi="Times New Roman"/>
          <w:noProof/>
          <w:spacing w:val="-8"/>
          <w:sz w:val="24"/>
          <w:szCs w:val="24"/>
        </w:rPr>
        <w:t>MDMS platforms joining the market each year.</w:t>
      </w:r>
      <w:r>
        <w:rPr>
          <w:rFonts w:ascii="Times New Roman" w:eastAsia="Calibri" w:hAnsi="Times New Roman"/>
          <w:noProof/>
          <w:spacing w:val="-8"/>
          <w:sz w:val="24"/>
          <w:szCs w:val="24"/>
        </w:rPr>
        <w:t xml:space="preserve"> The number of </w:t>
      </w:r>
      <w:r w:rsidR="0003785D">
        <w:rPr>
          <w:rFonts w:ascii="Times New Roman" w:eastAsia="Calibri" w:hAnsi="Times New Roman"/>
          <w:noProof/>
          <w:spacing w:val="-8"/>
          <w:sz w:val="24"/>
          <w:szCs w:val="24"/>
        </w:rPr>
        <w:t xml:space="preserve">non-SME </w:t>
      </w:r>
      <w:r>
        <w:rPr>
          <w:rFonts w:ascii="Times New Roman" w:eastAsia="Calibri" w:hAnsi="Times New Roman"/>
          <w:noProof/>
          <w:spacing w:val="-8"/>
          <w:sz w:val="24"/>
          <w:szCs w:val="24"/>
        </w:rPr>
        <w:t xml:space="preserve">MDMS platforms per policy option </w:t>
      </w:r>
      <w:r w:rsidR="00E172D0">
        <w:rPr>
          <w:rFonts w:ascii="Times New Roman" w:eastAsia="Calibri" w:hAnsi="Times New Roman"/>
          <w:noProof/>
          <w:spacing w:val="-8"/>
          <w:sz w:val="24"/>
          <w:szCs w:val="24"/>
        </w:rPr>
        <w:t xml:space="preserve">(split between CRS platforms and other </w:t>
      </w:r>
      <w:r w:rsidR="00A865E4">
        <w:rPr>
          <w:rFonts w:ascii="Times New Roman" w:eastAsia="Calibri" w:hAnsi="Times New Roman"/>
          <w:noProof/>
          <w:spacing w:val="-8"/>
          <w:sz w:val="24"/>
          <w:szCs w:val="24"/>
        </w:rPr>
        <w:t xml:space="preserve">non-SME </w:t>
      </w:r>
      <w:r w:rsidR="003B7BAE">
        <w:rPr>
          <w:rFonts w:ascii="Times New Roman" w:eastAsia="Calibri" w:hAnsi="Times New Roman"/>
          <w:noProof/>
          <w:spacing w:val="-8"/>
          <w:sz w:val="24"/>
          <w:szCs w:val="24"/>
        </w:rPr>
        <w:t xml:space="preserve">MDMS platforms) </w:t>
      </w:r>
      <w:r>
        <w:rPr>
          <w:rFonts w:ascii="Times New Roman" w:eastAsia="Calibri" w:hAnsi="Times New Roman"/>
          <w:noProof/>
          <w:spacing w:val="-8"/>
          <w:sz w:val="24"/>
          <w:szCs w:val="24"/>
        </w:rPr>
        <w:t>and the associated one-off adjustment costs are shown in the table below for 2028, 2030, 2040 and 2050.</w:t>
      </w:r>
    </w:p>
    <w:p w14:paraId="76CDD4F5" w14:textId="63F1B78C" w:rsidR="00564D1A" w:rsidRDefault="00564D1A" w:rsidP="00564D1A">
      <w:pPr>
        <w:pStyle w:val="Text4"/>
        <w:spacing w:before="0" w:after="240"/>
        <w:ind w:left="0"/>
        <w:rPr>
          <w:rFonts w:ascii="Times New Roman" w:eastAsia="Calibri" w:hAnsi="Times New Roman"/>
          <w:noProof/>
          <w:spacing w:val="-8"/>
          <w:sz w:val="24"/>
          <w:szCs w:val="24"/>
        </w:rPr>
      </w:pPr>
      <w:r w:rsidRPr="00297258">
        <w:rPr>
          <w:rFonts w:ascii="Times New Roman" w:eastAsia="Calibri" w:hAnsi="Times New Roman"/>
          <w:i/>
          <w:iCs/>
          <w:noProof/>
          <w:spacing w:val="-8"/>
          <w:sz w:val="24"/>
          <w:szCs w:val="24"/>
        </w:rPr>
        <w:t xml:space="preserve">Recurrent adjustment costs </w:t>
      </w:r>
      <w:r w:rsidRPr="00377519">
        <w:rPr>
          <w:rFonts w:ascii="Times New Roman" w:eastAsia="Calibri" w:hAnsi="Times New Roman"/>
          <w:noProof/>
          <w:spacing w:val="-8"/>
          <w:sz w:val="24"/>
          <w:szCs w:val="24"/>
        </w:rPr>
        <w:t xml:space="preserve">for maintenance </w:t>
      </w:r>
      <w:r w:rsidR="002E2DBD">
        <w:rPr>
          <w:rFonts w:ascii="Times New Roman" w:eastAsia="Calibri" w:hAnsi="Times New Roman"/>
          <w:noProof/>
          <w:spacing w:val="-8"/>
          <w:sz w:val="24"/>
          <w:szCs w:val="24"/>
        </w:rPr>
        <w:t xml:space="preserve">for </w:t>
      </w:r>
      <w:r w:rsidR="006E70EF">
        <w:rPr>
          <w:rFonts w:ascii="Times New Roman" w:eastAsia="Calibri" w:hAnsi="Times New Roman"/>
          <w:noProof/>
          <w:spacing w:val="-8"/>
          <w:sz w:val="24"/>
          <w:szCs w:val="24"/>
        </w:rPr>
        <w:t xml:space="preserve">non-SME </w:t>
      </w:r>
      <w:r w:rsidR="002E2DBD">
        <w:rPr>
          <w:rFonts w:ascii="Times New Roman" w:eastAsia="Calibri" w:hAnsi="Times New Roman"/>
          <w:noProof/>
          <w:spacing w:val="-8"/>
          <w:sz w:val="24"/>
          <w:szCs w:val="24"/>
        </w:rPr>
        <w:t>MDMS platforms</w:t>
      </w:r>
      <w:r w:rsidR="00B40FBA">
        <w:rPr>
          <w:rFonts w:ascii="Times New Roman" w:eastAsia="Calibri" w:hAnsi="Times New Roman"/>
          <w:noProof/>
          <w:spacing w:val="-8"/>
          <w:sz w:val="24"/>
          <w:szCs w:val="24"/>
        </w:rPr>
        <w:t xml:space="preserve"> (excluding CRS platforms)</w:t>
      </w:r>
      <w:r w:rsidR="002E2DBD">
        <w:rPr>
          <w:rFonts w:ascii="Times New Roman" w:eastAsia="Calibri" w:hAnsi="Times New Roman"/>
          <w:noProof/>
          <w:spacing w:val="-8"/>
          <w:sz w:val="24"/>
          <w:szCs w:val="24"/>
        </w:rPr>
        <w:t xml:space="preserve"> </w:t>
      </w:r>
      <w:r w:rsidRPr="00377519">
        <w:rPr>
          <w:rFonts w:ascii="Times New Roman" w:eastAsia="Calibri" w:hAnsi="Times New Roman"/>
          <w:noProof/>
          <w:spacing w:val="-8"/>
          <w:sz w:val="24"/>
          <w:szCs w:val="24"/>
        </w:rPr>
        <w:t xml:space="preserve">are assumed to be 10% of </w:t>
      </w:r>
      <w:r>
        <w:rPr>
          <w:rFonts w:ascii="Times New Roman" w:eastAsia="Calibri" w:hAnsi="Times New Roman"/>
          <w:noProof/>
          <w:spacing w:val="-8"/>
          <w:sz w:val="24"/>
          <w:szCs w:val="24"/>
        </w:rPr>
        <w:t xml:space="preserve">the </w:t>
      </w:r>
      <w:r w:rsidRPr="00377519">
        <w:rPr>
          <w:rFonts w:ascii="Times New Roman" w:eastAsia="Calibri" w:hAnsi="Times New Roman"/>
          <w:noProof/>
          <w:spacing w:val="-8"/>
          <w:sz w:val="24"/>
          <w:szCs w:val="24"/>
        </w:rPr>
        <w:t xml:space="preserve">one-off costs, </w:t>
      </w:r>
      <w:r>
        <w:rPr>
          <w:rFonts w:ascii="Times New Roman" w:eastAsia="Calibri" w:hAnsi="Times New Roman"/>
          <w:noProof/>
          <w:spacing w:val="-8"/>
          <w:sz w:val="24"/>
          <w:szCs w:val="24"/>
        </w:rPr>
        <w:t xml:space="preserve">or </w:t>
      </w:r>
      <w:r w:rsidRPr="00377519">
        <w:rPr>
          <w:rFonts w:ascii="Times New Roman" w:eastAsia="Calibri" w:hAnsi="Times New Roman"/>
          <w:noProof/>
          <w:spacing w:val="-8"/>
          <w:sz w:val="24"/>
          <w:szCs w:val="24"/>
        </w:rPr>
        <w:t xml:space="preserve">EUR </w:t>
      </w:r>
      <w:r w:rsidR="00D87A1F" w:rsidRPr="00D87A1F">
        <w:rPr>
          <w:rFonts w:ascii="Times New Roman" w:eastAsia="Calibri" w:hAnsi="Times New Roman"/>
          <w:noProof/>
          <w:spacing w:val="-8"/>
          <w:sz w:val="24"/>
          <w:szCs w:val="24"/>
        </w:rPr>
        <w:t>2,312</w:t>
      </w:r>
      <w:r w:rsidR="00D87A1F">
        <w:rPr>
          <w:rFonts w:ascii="Times New Roman" w:eastAsia="Calibri" w:hAnsi="Times New Roman"/>
          <w:noProof/>
          <w:spacing w:val="-8"/>
          <w:sz w:val="24"/>
          <w:szCs w:val="24"/>
        </w:rPr>
        <w:t xml:space="preserve"> annually</w:t>
      </w:r>
      <w:r>
        <w:rPr>
          <w:rFonts w:ascii="Times New Roman" w:eastAsia="Calibri" w:hAnsi="Times New Roman"/>
          <w:noProof/>
          <w:spacing w:val="-8"/>
          <w:sz w:val="24"/>
          <w:szCs w:val="24"/>
        </w:rPr>
        <w:t xml:space="preserve"> per platform </w:t>
      </w:r>
      <w:r w:rsidR="004138F0">
        <w:rPr>
          <w:rFonts w:ascii="Times New Roman" w:eastAsia="Calibri" w:hAnsi="Times New Roman"/>
          <w:noProof/>
          <w:spacing w:val="-8"/>
          <w:sz w:val="24"/>
          <w:szCs w:val="24"/>
        </w:rPr>
        <w:t>from 2029 onwards</w:t>
      </w:r>
      <w:r w:rsidRPr="00377519">
        <w:rPr>
          <w:rFonts w:ascii="Times New Roman" w:eastAsia="Calibri" w:hAnsi="Times New Roman"/>
          <w:noProof/>
          <w:spacing w:val="-8"/>
          <w:sz w:val="24"/>
          <w:szCs w:val="24"/>
        </w:rPr>
        <w:t>.</w:t>
      </w:r>
      <w:r>
        <w:rPr>
          <w:rFonts w:ascii="Times New Roman" w:eastAsia="Calibri" w:hAnsi="Times New Roman"/>
          <w:noProof/>
          <w:spacing w:val="-8"/>
          <w:sz w:val="24"/>
          <w:szCs w:val="24"/>
        </w:rPr>
        <w:t xml:space="preserve"> Taking into account the number of </w:t>
      </w:r>
      <w:r w:rsidR="006E70EF">
        <w:rPr>
          <w:rFonts w:ascii="Times New Roman" w:eastAsia="Calibri" w:hAnsi="Times New Roman"/>
          <w:noProof/>
          <w:spacing w:val="-8"/>
          <w:sz w:val="24"/>
          <w:szCs w:val="24"/>
        </w:rPr>
        <w:t xml:space="preserve">non-SME </w:t>
      </w:r>
      <w:r>
        <w:rPr>
          <w:rFonts w:ascii="Times New Roman" w:eastAsia="Calibri" w:hAnsi="Times New Roman"/>
          <w:noProof/>
          <w:spacing w:val="-8"/>
          <w:sz w:val="24"/>
          <w:szCs w:val="24"/>
        </w:rPr>
        <w:t xml:space="preserve">MDMS platform (excluding CRS platforms) in each policy option, the total recurrent adjustment costs for </w:t>
      </w:r>
      <w:r w:rsidRPr="00377519">
        <w:rPr>
          <w:rFonts w:ascii="Times New Roman" w:eastAsia="Calibri" w:hAnsi="Times New Roman"/>
          <w:noProof/>
          <w:spacing w:val="-8"/>
          <w:sz w:val="24"/>
          <w:szCs w:val="24"/>
        </w:rPr>
        <w:t>2028, 2030, 2040 and 2050</w:t>
      </w:r>
      <w:r>
        <w:rPr>
          <w:rFonts w:ascii="Times New Roman" w:eastAsia="Calibri" w:hAnsi="Times New Roman"/>
          <w:noProof/>
          <w:spacing w:val="-8"/>
          <w:sz w:val="24"/>
          <w:szCs w:val="24"/>
        </w:rPr>
        <w:t xml:space="preserve"> due to PM1 are </w:t>
      </w:r>
      <w:r w:rsidR="00524389">
        <w:rPr>
          <w:rFonts w:ascii="Times New Roman" w:eastAsia="Calibri" w:hAnsi="Times New Roman"/>
          <w:noProof/>
          <w:spacing w:val="-8"/>
          <w:sz w:val="24"/>
          <w:szCs w:val="24"/>
        </w:rPr>
        <w:t>provided</w:t>
      </w:r>
      <w:r>
        <w:rPr>
          <w:rFonts w:ascii="Times New Roman" w:eastAsia="Calibri" w:hAnsi="Times New Roman"/>
          <w:noProof/>
          <w:spacing w:val="-8"/>
          <w:sz w:val="24"/>
          <w:szCs w:val="24"/>
        </w:rPr>
        <w:t xml:space="preserve"> in the table below. </w:t>
      </w:r>
      <w:r w:rsidR="003D3028" w:rsidRPr="003D3028">
        <w:rPr>
          <w:rFonts w:ascii="Times New Roman" w:eastAsia="Calibri" w:hAnsi="Times New Roman"/>
          <w:noProof/>
          <w:spacing w:val="-8"/>
          <w:sz w:val="24"/>
          <w:szCs w:val="24"/>
        </w:rPr>
        <w:t xml:space="preserve">No recurrent costs are </w:t>
      </w:r>
      <w:r w:rsidR="001C4730">
        <w:rPr>
          <w:rFonts w:ascii="Times New Roman" w:eastAsia="Calibri" w:hAnsi="Times New Roman"/>
          <w:noProof/>
          <w:spacing w:val="-8"/>
          <w:sz w:val="24"/>
          <w:szCs w:val="24"/>
        </w:rPr>
        <w:t>expected</w:t>
      </w:r>
      <w:r w:rsidR="003D3028" w:rsidRPr="003D3028">
        <w:rPr>
          <w:rFonts w:ascii="Times New Roman" w:eastAsia="Calibri" w:hAnsi="Times New Roman"/>
          <w:noProof/>
          <w:spacing w:val="-8"/>
          <w:sz w:val="24"/>
          <w:szCs w:val="24"/>
        </w:rPr>
        <w:t xml:space="preserve"> for CRS</w:t>
      </w:r>
      <w:r w:rsidR="001C4730">
        <w:rPr>
          <w:rFonts w:ascii="Times New Roman" w:eastAsia="Calibri" w:hAnsi="Times New Roman"/>
          <w:noProof/>
          <w:spacing w:val="-8"/>
          <w:sz w:val="24"/>
          <w:szCs w:val="24"/>
        </w:rPr>
        <w:t xml:space="preserve"> platforms</w:t>
      </w:r>
      <w:r w:rsidR="003D3028" w:rsidRPr="003D3028">
        <w:rPr>
          <w:rFonts w:ascii="Times New Roman" w:eastAsia="Calibri" w:hAnsi="Times New Roman"/>
          <w:noProof/>
          <w:spacing w:val="-8"/>
          <w:sz w:val="24"/>
          <w:szCs w:val="24"/>
        </w:rPr>
        <w:t xml:space="preserve"> as they already need to maintain the systems currently in place as part of the baseline.</w:t>
      </w:r>
    </w:p>
    <w:p w14:paraId="27EA809C" w14:textId="7F6C7CB5" w:rsidR="000C0EF7" w:rsidRPr="00383DBF" w:rsidRDefault="000C0EF7" w:rsidP="00786058">
      <w:pPr>
        <w:keepNext/>
        <w:tabs>
          <w:tab w:val="left" w:pos="1134"/>
        </w:tabs>
        <w:jc w:val="both"/>
        <w:rPr>
          <w:i/>
          <w:noProof/>
          <w:sz w:val="22"/>
          <w:szCs w:val="22"/>
        </w:rPr>
      </w:pPr>
      <w:bookmarkStart w:id="435" w:name="_Ref140431702"/>
      <w:bookmarkStart w:id="436" w:name="_Ref140710634"/>
      <w:r w:rsidRPr="00383DBF">
        <w:rPr>
          <w:i/>
          <w:noProof/>
          <w:sz w:val="22"/>
          <w:szCs w:val="22"/>
        </w:rPr>
        <w:t xml:space="preserve">Table </w:t>
      </w:r>
      <w:bookmarkEnd w:id="435"/>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67</w:t>
      </w:r>
      <w:r w:rsidRPr="00383DBF">
        <w:rPr>
          <w:i/>
          <w:noProof/>
          <w:sz w:val="22"/>
          <w:szCs w:val="22"/>
        </w:rPr>
        <w:fldChar w:fldCharType="end"/>
      </w:r>
      <w:bookmarkEnd w:id="436"/>
      <w:r w:rsidRPr="00383DBF">
        <w:rPr>
          <w:i/>
          <w:noProof/>
          <w:sz w:val="22"/>
          <w:szCs w:val="22"/>
        </w:rPr>
        <w:t xml:space="preserve">: </w:t>
      </w:r>
      <w:r w:rsidR="000A69D4" w:rsidRPr="00383DBF">
        <w:rPr>
          <w:i/>
          <w:noProof/>
          <w:sz w:val="22"/>
          <w:szCs w:val="22"/>
        </w:rPr>
        <w:t>O</w:t>
      </w:r>
      <w:r w:rsidRPr="00383DBF">
        <w:rPr>
          <w:i/>
          <w:noProof/>
          <w:sz w:val="22"/>
          <w:szCs w:val="22"/>
        </w:rPr>
        <w:t xml:space="preserve">ne-off and recurrent adjustment costs </w:t>
      </w:r>
      <w:r w:rsidR="00D22B5A" w:rsidRPr="00383DBF">
        <w:rPr>
          <w:i/>
          <w:noProof/>
          <w:sz w:val="22"/>
          <w:szCs w:val="22"/>
        </w:rPr>
        <w:t xml:space="preserve">for </w:t>
      </w:r>
      <w:r w:rsidR="00970EFC">
        <w:rPr>
          <w:i/>
          <w:noProof/>
          <w:sz w:val="22"/>
          <w:szCs w:val="22"/>
        </w:rPr>
        <w:t xml:space="preserve">non-SME </w:t>
      </w:r>
      <w:r w:rsidR="00D22B5A" w:rsidRPr="00383DBF">
        <w:rPr>
          <w:i/>
          <w:noProof/>
          <w:sz w:val="22"/>
          <w:szCs w:val="22"/>
        </w:rPr>
        <w:t>MDMS platforms</w:t>
      </w:r>
      <w:r w:rsidR="008F0822" w:rsidRPr="00383DBF">
        <w:rPr>
          <w:i/>
          <w:noProof/>
          <w:sz w:val="22"/>
          <w:szCs w:val="22"/>
        </w:rPr>
        <w:t xml:space="preserve"> (B2B and B</w:t>
      </w:r>
      <w:r w:rsidR="00EB45BA" w:rsidRPr="00383DBF">
        <w:rPr>
          <w:i/>
          <w:noProof/>
          <w:sz w:val="22"/>
          <w:szCs w:val="22"/>
        </w:rPr>
        <w:t>2C)</w:t>
      </w:r>
      <w:r w:rsidR="00D22B5A" w:rsidRPr="00383DBF">
        <w:rPr>
          <w:i/>
          <w:noProof/>
          <w:sz w:val="22"/>
          <w:szCs w:val="22"/>
        </w:rPr>
        <w:t xml:space="preserve"> </w:t>
      </w:r>
      <w:r w:rsidRPr="00383DBF">
        <w:rPr>
          <w:i/>
          <w:noProof/>
          <w:sz w:val="22"/>
          <w:szCs w:val="22"/>
        </w:rPr>
        <w:t>due to PM1 in the policy options in 2028, 2030, 2040 and 2050 relative to the baseline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2"/>
        <w:gridCol w:w="871"/>
        <w:gridCol w:w="870"/>
        <w:gridCol w:w="870"/>
        <w:gridCol w:w="870"/>
      </w:tblGrid>
      <w:tr w:rsidR="00B52D68" w:rsidRPr="00217377" w14:paraId="5107344B" w14:textId="77777777" w:rsidTr="00217377">
        <w:trPr>
          <w:trHeight w:val="255"/>
          <w:tblHeader/>
        </w:trPr>
        <w:tc>
          <w:tcPr>
            <w:tcW w:w="6122" w:type="dxa"/>
            <w:shd w:val="clear" w:color="auto" w:fill="0070C0"/>
            <w:noWrap/>
            <w:hideMark/>
          </w:tcPr>
          <w:p w14:paraId="2592E529" w14:textId="77777777" w:rsidR="00EB3DC6" w:rsidRPr="00217377" w:rsidRDefault="00EB3DC6" w:rsidP="00786058">
            <w:pPr>
              <w:pStyle w:val="Text4"/>
              <w:keepNext/>
              <w:spacing w:before="0" w:after="0"/>
              <w:ind w:left="0"/>
              <w:rPr>
                <w:rFonts w:ascii="Times New Roman" w:eastAsia="Calibri" w:hAnsi="Times New Roman"/>
                <w:bCs/>
                <w:noProof/>
              </w:rPr>
            </w:pPr>
            <w:r w:rsidRPr="00217377">
              <w:rPr>
                <w:rFonts w:ascii="Times New Roman" w:eastAsia="Calibri" w:hAnsi="Times New Roman"/>
                <w:bCs/>
                <w:noProof/>
              </w:rPr>
              <w:t> </w:t>
            </w:r>
          </w:p>
        </w:tc>
        <w:tc>
          <w:tcPr>
            <w:tcW w:w="871" w:type="dxa"/>
            <w:shd w:val="clear" w:color="auto" w:fill="0070C0"/>
            <w:noWrap/>
            <w:hideMark/>
          </w:tcPr>
          <w:p w14:paraId="0F6E2DB7" w14:textId="77777777" w:rsidR="00EB3DC6" w:rsidRPr="00217377" w:rsidRDefault="00EB3DC6" w:rsidP="00786058">
            <w:pPr>
              <w:pStyle w:val="Text4"/>
              <w:keepNext/>
              <w:spacing w:before="0" w:after="0"/>
              <w:ind w:left="0"/>
              <w:jc w:val="center"/>
              <w:rPr>
                <w:rFonts w:ascii="Times New Roman" w:eastAsia="Calibri" w:hAnsi="Times New Roman"/>
                <w:b/>
                <w:noProof/>
                <w:color w:val="FFFFFF" w:themeColor="background1"/>
              </w:rPr>
            </w:pPr>
            <w:r w:rsidRPr="00217377">
              <w:rPr>
                <w:rFonts w:ascii="Times New Roman" w:eastAsia="Calibri" w:hAnsi="Times New Roman"/>
                <w:b/>
                <w:noProof/>
                <w:color w:val="FFFFFF" w:themeColor="background1"/>
              </w:rPr>
              <w:t>2028</w:t>
            </w:r>
          </w:p>
        </w:tc>
        <w:tc>
          <w:tcPr>
            <w:tcW w:w="870" w:type="dxa"/>
            <w:shd w:val="clear" w:color="auto" w:fill="0070C0"/>
            <w:noWrap/>
            <w:hideMark/>
          </w:tcPr>
          <w:p w14:paraId="10DC7477" w14:textId="77777777" w:rsidR="00EB3DC6" w:rsidRPr="00217377" w:rsidRDefault="00EB3DC6" w:rsidP="00786058">
            <w:pPr>
              <w:pStyle w:val="Text4"/>
              <w:keepNext/>
              <w:spacing w:before="0" w:after="0"/>
              <w:ind w:left="0"/>
              <w:jc w:val="center"/>
              <w:rPr>
                <w:rFonts w:ascii="Times New Roman" w:eastAsia="Calibri" w:hAnsi="Times New Roman"/>
                <w:b/>
                <w:noProof/>
                <w:color w:val="FFFFFF" w:themeColor="background1"/>
              </w:rPr>
            </w:pPr>
            <w:r w:rsidRPr="00217377">
              <w:rPr>
                <w:rFonts w:ascii="Times New Roman" w:eastAsia="Calibri" w:hAnsi="Times New Roman"/>
                <w:b/>
                <w:noProof/>
                <w:color w:val="FFFFFF" w:themeColor="background1"/>
              </w:rPr>
              <w:t>2030</w:t>
            </w:r>
          </w:p>
        </w:tc>
        <w:tc>
          <w:tcPr>
            <w:tcW w:w="870" w:type="dxa"/>
            <w:shd w:val="clear" w:color="auto" w:fill="0070C0"/>
            <w:noWrap/>
            <w:hideMark/>
          </w:tcPr>
          <w:p w14:paraId="746CA86F" w14:textId="77777777" w:rsidR="00EB3DC6" w:rsidRPr="00217377" w:rsidRDefault="00EB3DC6" w:rsidP="00786058">
            <w:pPr>
              <w:pStyle w:val="Text4"/>
              <w:keepNext/>
              <w:spacing w:before="0" w:after="0"/>
              <w:ind w:left="0"/>
              <w:jc w:val="center"/>
              <w:rPr>
                <w:rFonts w:ascii="Times New Roman" w:eastAsia="Calibri" w:hAnsi="Times New Roman"/>
                <w:b/>
                <w:noProof/>
                <w:color w:val="FFFFFF" w:themeColor="background1"/>
              </w:rPr>
            </w:pPr>
            <w:r w:rsidRPr="00217377">
              <w:rPr>
                <w:rFonts w:ascii="Times New Roman" w:eastAsia="Calibri" w:hAnsi="Times New Roman"/>
                <w:b/>
                <w:noProof/>
                <w:color w:val="FFFFFF" w:themeColor="background1"/>
              </w:rPr>
              <w:t>2040</w:t>
            </w:r>
          </w:p>
        </w:tc>
        <w:tc>
          <w:tcPr>
            <w:tcW w:w="870" w:type="dxa"/>
            <w:shd w:val="clear" w:color="auto" w:fill="0070C0"/>
            <w:noWrap/>
            <w:hideMark/>
          </w:tcPr>
          <w:p w14:paraId="078694CD" w14:textId="77777777" w:rsidR="00EB3DC6" w:rsidRPr="00217377" w:rsidRDefault="00EB3DC6" w:rsidP="00786058">
            <w:pPr>
              <w:pStyle w:val="Text4"/>
              <w:keepNext/>
              <w:spacing w:before="0" w:after="0"/>
              <w:ind w:left="0"/>
              <w:jc w:val="center"/>
              <w:rPr>
                <w:rFonts w:ascii="Times New Roman" w:eastAsia="Calibri" w:hAnsi="Times New Roman"/>
                <w:b/>
                <w:noProof/>
                <w:color w:val="FFFFFF" w:themeColor="background1"/>
              </w:rPr>
            </w:pPr>
            <w:r w:rsidRPr="00217377">
              <w:rPr>
                <w:rFonts w:ascii="Times New Roman" w:eastAsia="Calibri" w:hAnsi="Times New Roman"/>
                <w:b/>
                <w:noProof/>
                <w:color w:val="FFFFFF" w:themeColor="background1"/>
              </w:rPr>
              <w:t>2050</w:t>
            </w:r>
          </w:p>
        </w:tc>
      </w:tr>
      <w:tr w:rsidR="007940E6" w:rsidRPr="00217377" w14:paraId="5C6EAFEF" w14:textId="77777777" w:rsidTr="00217377">
        <w:trPr>
          <w:trHeight w:val="255"/>
        </w:trPr>
        <w:tc>
          <w:tcPr>
            <w:tcW w:w="6122" w:type="dxa"/>
            <w:noWrap/>
            <w:hideMark/>
          </w:tcPr>
          <w:p w14:paraId="1C6E0773" w14:textId="5865DA28" w:rsidR="00EB3DC6" w:rsidRPr="00217377" w:rsidRDefault="00EB3DC6">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One-off cost per MDMS platform </w:t>
            </w:r>
            <w:r w:rsidR="00B43CE4" w:rsidRPr="00217377">
              <w:rPr>
                <w:rFonts w:ascii="Times New Roman" w:eastAsia="Calibri" w:hAnsi="Times New Roman"/>
                <w:noProof/>
              </w:rPr>
              <w:t xml:space="preserve">(excluding CRS) </w:t>
            </w:r>
            <w:r w:rsidRPr="00217377">
              <w:rPr>
                <w:rFonts w:ascii="Times New Roman" w:eastAsia="Calibri" w:hAnsi="Times New Roman"/>
                <w:noProof/>
              </w:rPr>
              <w:t xml:space="preserve">to programme for neutral display (EUR) </w:t>
            </w:r>
          </w:p>
        </w:tc>
        <w:tc>
          <w:tcPr>
            <w:tcW w:w="871" w:type="dxa"/>
            <w:noWrap/>
            <w:hideMark/>
          </w:tcPr>
          <w:p w14:paraId="44209753" w14:textId="77777777" w:rsidR="00EB3DC6" w:rsidRPr="00217377" w:rsidRDefault="00EB3DC6">
            <w:pPr>
              <w:pStyle w:val="Text4"/>
              <w:spacing w:before="0" w:after="0"/>
              <w:ind w:left="0"/>
              <w:jc w:val="right"/>
              <w:rPr>
                <w:rFonts w:ascii="Times New Roman" w:eastAsia="Calibri" w:hAnsi="Times New Roman"/>
                <w:noProof/>
              </w:rPr>
            </w:pPr>
            <w:r w:rsidRPr="00217377">
              <w:rPr>
                <w:rFonts w:ascii="Times New Roman" w:hAnsi="Times New Roman"/>
                <w:noProof/>
              </w:rPr>
              <w:t>23,125</w:t>
            </w:r>
          </w:p>
        </w:tc>
        <w:tc>
          <w:tcPr>
            <w:tcW w:w="870" w:type="dxa"/>
            <w:noWrap/>
            <w:hideMark/>
          </w:tcPr>
          <w:p w14:paraId="315A2F1C" w14:textId="77777777" w:rsidR="00EB3DC6" w:rsidRPr="00217377" w:rsidRDefault="00EB3DC6">
            <w:pPr>
              <w:pStyle w:val="Text4"/>
              <w:spacing w:before="0" w:after="0"/>
              <w:ind w:left="0"/>
              <w:jc w:val="right"/>
              <w:rPr>
                <w:rFonts w:ascii="Times New Roman" w:eastAsia="Calibri" w:hAnsi="Times New Roman"/>
                <w:noProof/>
              </w:rPr>
            </w:pPr>
            <w:r w:rsidRPr="00217377">
              <w:rPr>
                <w:rFonts w:ascii="Times New Roman" w:hAnsi="Times New Roman"/>
                <w:noProof/>
              </w:rPr>
              <w:t>23,125</w:t>
            </w:r>
          </w:p>
        </w:tc>
        <w:tc>
          <w:tcPr>
            <w:tcW w:w="870" w:type="dxa"/>
            <w:noWrap/>
            <w:hideMark/>
          </w:tcPr>
          <w:p w14:paraId="6BCE047C" w14:textId="77777777" w:rsidR="00EB3DC6" w:rsidRPr="00217377" w:rsidRDefault="00EB3DC6">
            <w:pPr>
              <w:pStyle w:val="Text4"/>
              <w:spacing w:before="0" w:after="0"/>
              <w:ind w:left="0"/>
              <w:jc w:val="right"/>
              <w:rPr>
                <w:rFonts w:ascii="Times New Roman" w:eastAsia="Calibri" w:hAnsi="Times New Roman"/>
                <w:noProof/>
              </w:rPr>
            </w:pPr>
            <w:r w:rsidRPr="00217377">
              <w:rPr>
                <w:rFonts w:ascii="Times New Roman" w:hAnsi="Times New Roman"/>
                <w:noProof/>
              </w:rPr>
              <w:t>23,125</w:t>
            </w:r>
          </w:p>
        </w:tc>
        <w:tc>
          <w:tcPr>
            <w:tcW w:w="870" w:type="dxa"/>
            <w:noWrap/>
            <w:hideMark/>
          </w:tcPr>
          <w:p w14:paraId="598EF58B" w14:textId="77777777" w:rsidR="00EB3DC6" w:rsidRPr="00217377" w:rsidRDefault="00EB3DC6">
            <w:pPr>
              <w:pStyle w:val="Text4"/>
              <w:spacing w:before="0" w:after="0"/>
              <w:ind w:left="0"/>
              <w:jc w:val="right"/>
              <w:rPr>
                <w:rFonts w:ascii="Times New Roman" w:eastAsia="Calibri" w:hAnsi="Times New Roman"/>
                <w:noProof/>
              </w:rPr>
            </w:pPr>
            <w:r w:rsidRPr="00217377">
              <w:rPr>
                <w:rFonts w:ascii="Times New Roman" w:hAnsi="Times New Roman"/>
                <w:noProof/>
              </w:rPr>
              <w:t>23,125</w:t>
            </w:r>
          </w:p>
        </w:tc>
      </w:tr>
      <w:tr w:rsidR="00514ED6" w:rsidRPr="00217377" w14:paraId="196C0908" w14:textId="77777777" w:rsidTr="00217377">
        <w:trPr>
          <w:trHeight w:val="255"/>
        </w:trPr>
        <w:tc>
          <w:tcPr>
            <w:tcW w:w="6122" w:type="dxa"/>
            <w:noWrap/>
          </w:tcPr>
          <w:p w14:paraId="1D6046E2" w14:textId="77777777" w:rsidR="00EB3DC6" w:rsidRPr="00217377" w:rsidRDefault="00EB3DC6">
            <w:pPr>
              <w:pStyle w:val="Text4"/>
              <w:spacing w:before="0" w:after="0"/>
              <w:ind w:left="0"/>
              <w:rPr>
                <w:rFonts w:ascii="Times New Roman" w:eastAsia="Calibri" w:hAnsi="Times New Roman"/>
                <w:noProof/>
              </w:rPr>
            </w:pPr>
            <w:r w:rsidRPr="00217377">
              <w:rPr>
                <w:rFonts w:ascii="Times New Roman" w:eastAsia="Calibri" w:hAnsi="Times New Roman"/>
                <w:noProof/>
              </w:rPr>
              <w:t>One-off cost per CRS platform to re-programme for neutral display (EUR)</w:t>
            </w:r>
          </w:p>
        </w:tc>
        <w:tc>
          <w:tcPr>
            <w:tcW w:w="871" w:type="dxa"/>
            <w:noWrap/>
          </w:tcPr>
          <w:p w14:paraId="118C0487" w14:textId="77777777" w:rsidR="00EB3DC6" w:rsidRPr="00217377" w:rsidRDefault="00EB3DC6">
            <w:pPr>
              <w:pStyle w:val="Text4"/>
              <w:spacing w:before="0" w:after="0"/>
              <w:ind w:left="0"/>
              <w:jc w:val="right"/>
              <w:rPr>
                <w:rFonts w:ascii="Times New Roman" w:hAnsi="Times New Roman"/>
                <w:noProof/>
              </w:rPr>
            </w:pPr>
            <w:r w:rsidRPr="00217377">
              <w:rPr>
                <w:rFonts w:ascii="Times New Roman" w:hAnsi="Times New Roman"/>
                <w:noProof/>
              </w:rPr>
              <w:t>7,708</w:t>
            </w:r>
          </w:p>
        </w:tc>
        <w:tc>
          <w:tcPr>
            <w:tcW w:w="870" w:type="dxa"/>
            <w:noWrap/>
          </w:tcPr>
          <w:p w14:paraId="439659E7" w14:textId="77777777" w:rsidR="00EB3DC6" w:rsidRPr="00217377" w:rsidRDefault="00EB3DC6">
            <w:pPr>
              <w:pStyle w:val="Text4"/>
              <w:spacing w:before="0" w:after="0"/>
              <w:ind w:left="0"/>
              <w:jc w:val="right"/>
              <w:rPr>
                <w:rFonts w:ascii="Times New Roman" w:hAnsi="Times New Roman"/>
                <w:noProof/>
              </w:rPr>
            </w:pPr>
            <w:r w:rsidRPr="00217377">
              <w:rPr>
                <w:rFonts w:ascii="Times New Roman" w:hAnsi="Times New Roman"/>
                <w:noProof/>
              </w:rPr>
              <w:t>7,708</w:t>
            </w:r>
          </w:p>
        </w:tc>
        <w:tc>
          <w:tcPr>
            <w:tcW w:w="870" w:type="dxa"/>
            <w:noWrap/>
          </w:tcPr>
          <w:p w14:paraId="7A03C8DC" w14:textId="77777777" w:rsidR="00EB3DC6" w:rsidRPr="00217377" w:rsidRDefault="00EB3DC6">
            <w:pPr>
              <w:pStyle w:val="Text4"/>
              <w:spacing w:before="0" w:after="0"/>
              <w:ind w:left="0"/>
              <w:jc w:val="right"/>
              <w:rPr>
                <w:rFonts w:ascii="Times New Roman" w:hAnsi="Times New Roman"/>
                <w:noProof/>
              </w:rPr>
            </w:pPr>
            <w:r w:rsidRPr="00217377">
              <w:rPr>
                <w:rFonts w:ascii="Times New Roman" w:hAnsi="Times New Roman"/>
                <w:noProof/>
              </w:rPr>
              <w:t>7,708</w:t>
            </w:r>
          </w:p>
        </w:tc>
        <w:tc>
          <w:tcPr>
            <w:tcW w:w="870" w:type="dxa"/>
            <w:noWrap/>
          </w:tcPr>
          <w:p w14:paraId="7E3D86DF" w14:textId="77777777" w:rsidR="00EB3DC6" w:rsidRPr="00217377" w:rsidRDefault="00EB3DC6">
            <w:pPr>
              <w:pStyle w:val="Text4"/>
              <w:spacing w:before="0" w:after="0"/>
              <w:ind w:left="0"/>
              <w:jc w:val="right"/>
              <w:rPr>
                <w:rFonts w:ascii="Times New Roman" w:hAnsi="Times New Roman"/>
                <w:noProof/>
              </w:rPr>
            </w:pPr>
            <w:r w:rsidRPr="00217377">
              <w:rPr>
                <w:rFonts w:ascii="Times New Roman" w:hAnsi="Times New Roman"/>
                <w:noProof/>
              </w:rPr>
              <w:t>7,708</w:t>
            </w:r>
          </w:p>
        </w:tc>
      </w:tr>
      <w:tr w:rsidR="00B52D68" w:rsidRPr="00217377" w14:paraId="469BBA0D" w14:textId="77777777" w:rsidTr="00217377">
        <w:trPr>
          <w:trHeight w:val="255"/>
        </w:trPr>
        <w:tc>
          <w:tcPr>
            <w:tcW w:w="6122" w:type="dxa"/>
            <w:noWrap/>
          </w:tcPr>
          <w:p w14:paraId="60A340A9" w14:textId="36621A24" w:rsidR="00EB3DC6" w:rsidRPr="00217377" w:rsidRDefault="00EB3DC6">
            <w:pPr>
              <w:pStyle w:val="Text4"/>
              <w:spacing w:before="0" w:after="0"/>
              <w:ind w:left="0"/>
              <w:rPr>
                <w:rFonts w:ascii="Times New Roman" w:eastAsia="Calibri" w:hAnsi="Times New Roman"/>
                <w:noProof/>
              </w:rPr>
            </w:pPr>
            <w:r w:rsidRPr="00217377">
              <w:rPr>
                <w:rFonts w:ascii="Times New Roman" w:eastAsia="Calibri" w:hAnsi="Times New Roman"/>
                <w:noProof/>
              </w:rPr>
              <w:t>Recurrent costs per MDMS platform</w:t>
            </w:r>
            <w:r w:rsidR="005D202F" w:rsidRPr="00217377">
              <w:rPr>
                <w:rFonts w:ascii="Times New Roman" w:eastAsia="Calibri" w:hAnsi="Times New Roman"/>
                <w:noProof/>
              </w:rPr>
              <w:t xml:space="preserve">, excluding CRS </w:t>
            </w:r>
            <w:r w:rsidRPr="00217377">
              <w:rPr>
                <w:rFonts w:ascii="Times New Roman" w:eastAsia="Calibri" w:hAnsi="Times New Roman"/>
                <w:noProof/>
              </w:rPr>
              <w:t>(EUR)</w:t>
            </w:r>
          </w:p>
        </w:tc>
        <w:tc>
          <w:tcPr>
            <w:tcW w:w="871" w:type="dxa"/>
            <w:noWrap/>
          </w:tcPr>
          <w:p w14:paraId="71F47B8B" w14:textId="77777777" w:rsidR="00EB3DC6" w:rsidRPr="00217377" w:rsidRDefault="00EB3DC6">
            <w:pPr>
              <w:pStyle w:val="Text4"/>
              <w:spacing w:before="0" w:after="0"/>
              <w:ind w:left="0"/>
              <w:jc w:val="right"/>
              <w:rPr>
                <w:rFonts w:ascii="Times New Roman" w:hAnsi="Times New Roman"/>
                <w:noProof/>
              </w:rPr>
            </w:pPr>
            <w:r w:rsidRPr="00217377">
              <w:rPr>
                <w:rFonts w:ascii="Times New Roman" w:hAnsi="Times New Roman"/>
                <w:noProof/>
              </w:rPr>
              <w:t>2,312</w:t>
            </w:r>
          </w:p>
        </w:tc>
        <w:tc>
          <w:tcPr>
            <w:tcW w:w="870" w:type="dxa"/>
            <w:noWrap/>
          </w:tcPr>
          <w:p w14:paraId="4B346FC4" w14:textId="77777777" w:rsidR="00EB3DC6" w:rsidRPr="00217377" w:rsidRDefault="00EB3DC6">
            <w:pPr>
              <w:pStyle w:val="Text4"/>
              <w:spacing w:before="0" w:after="0"/>
              <w:ind w:left="0"/>
              <w:jc w:val="right"/>
              <w:rPr>
                <w:rFonts w:ascii="Times New Roman" w:hAnsi="Times New Roman"/>
                <w:noProof/>
              </w:rPr>
            </w:pPr>
            <w:r w:rsidRPr="00217377">
              <w:rPr>
                <w:rFonts w:ascii="Times New Roman" w:hAnsi="Times New Roman"/>
                <w:noProof/>
              </w:rPr>
              <w:t>2,312</w:t>
            </w:r>
          </w:p>
        </w:tc>
        <w:tc>
          <w:tcPr>
            <w:tcW w:w="870" w:type="dxa"/>
            <w:noWrap/>
          </w:tcPr>
          <w:p w14:paraId="35B09E2D" w14:textId="77777777" w:rsidR="00EB3DC6" w:rsidRPr="00217377" w:rsidRDefault="00EB3DC6">
            <w:pPr>
              <w:pStyle w:val="Text4"/>
              <w:spacing w:before="0" w:after="0"/>
              <w:ind w:left="0"/>
              <w:jc w:val="right"/>
              <w:rPr>
                <w:rFonts w:ascii="Times New Roman" w:hAnsi="Times New Roman"/>
                <w:noProof/>
              </w:rPr>
            </w:pPr>
            <w:r w:rsidRPr="00217377">
              <w:rPr>
                <w:rFonts w:ascii="Times New Roman" w:hAnsi="Times New Roman"/>
                <w:noProof/>
              </w:rPr>
              <w:t>2,312</w:t>
            </w:r>
          </w:p>
        </w:tc>
        <w:tc>
          <w:tcPr>
            <w:tcW w:w="870" w:type="dxa"/>
            <w:noWrap/>
          </w:tcPr>
          <w:p w14:paraId="53B0F45F" w14:textId="77777777" w:rsidR="00EB3DC6" w:rsidRPr="00217377" w:rsidRDefault="00EB3DC6">
            <w:pPr>
              <w:pStyle w:val="Text4"/>
              <w:spacing w:before="0" w:after="0"/>
              <w:ind w:left="0"/>
              <w:jc w:val="right"/>
              <w:rPr>
                <w:rFonts w:ascii="Times New Roman" w:hAnsi="Times New Roman"/>
                <w:noProof/>
              </w:rPr>
            </w:pPr>
            <w:r w:rsidRPr="00217377">
              <w:rPr>
                <w:rFonts w:ascii="Times New Roman" w:hAnsi="Times New Roman"/>
                <w:noProof/>
              </w:rPr>
              <w:t>2,312</w:t>
            </w:r>
          </w:p>
        </w:tc>
      </w:tr>
      <w:tr w:rsidR="00B52D68" w:rsidRPr="00217377" w14:paraId="34E05A6B" w14:textId="77777777" w:rsidTr="00217377">
        <w:trPr>
          <w:trHeight w:val="255"/>
        </w:trPr>
        <w:tc>
          <w:tcPr>
            <w:tcW w:w="6122" w:type="dxa"/>
            <w:noWrap/>
            <w:hideMark/>
          </w:tcPr>
          <w:p w14:paraId="5F3D60E2" w14:textId="77777777" w:rsidR="00EB3DC6" w:rsidRPr="00217377" w:rsidRDefault="00EB3DC6">
            <w:pPr>
              <w:pStyle w:val="Text4"/>
              <w:spacing w:before="0" w:after="0"/>
              <w:ind w:left="0"/>
              <w:rPr>
                <w:rFonts w:ascii="Times New Roman" w:eastAsia="Calibri" w:hAnsi="Times New Roman"/>
                <w:b/>
                <w:bCs/>
                <w:noProof/>
              </w:rPr>
            </w:pPr>
            <w:r w:rsidRPr="00217377">
              <w:rPr>
                <w:rFonts w:ascii="Times New Roman" w:eastAsia="Calibri" w:hAnsi="Times New Roman"/>
                <w:b/>
                <w:bCs/>
                <w:noProof/>
              </w:rPr>
              <w:t xml:space="preserve">PO1 </w:t>
            </w:r>
          </w:p>
        </w:tc>
        <w:tc>
          <w:tcPr>
            <w:tcW w:w="871" w:type="dxa"/>
            <w:noWrap/>
            <w:hideMark/>
          </w:tcPr>
          <w:p w14:paraId="50BAA7F9" w14:textId="77777777" w:rsidR="00EB3DC6" w:rsidRPr="00217377" w:rsidRDefault="00EB3DC6">
            <w:pPr>
              <w:pStyle w:val="Text4"/>
              <w:spacing w:before="0" w:after="0"/>
              <w:ind w:left="0"/>
              <w:jc w:val="right"/>
              <w:rPr>
                <w:rFonts w:ascii="Times New Roman" w:eastAsia="Calibri" w:hAnsi="Times New Roman"/>
                <w:noProof/>
              </w:rPr>
            </w:pPr>
          </w:p>
        </w:tc>
        <w:tc>
          <w:tcPr>
            <w:tcW w:w="870" w:type="dxa"/>
            <w:noWrap/>
            <w:hideMark/>
          </w:tcPr>
          <w:p w14:paraId="23CAEE8D" w14:textId="77777777" w:rsidR="00EB3DC6" w:rsidRPr="00217377" w:rsidRDefault="00EB3DC6">
            <w:pPr>
              <w:pStyle w:val="Text4"/>
              <w:spacing w:before="0" w:after="0"/>
              <w:ind w:left="0"/>
              <w:jc w:val="right"/>
              <w:rPr>
                <w:rFonts w:ascii="Times New Roman" w:eastAsia="Calibri" w:hAnsi="Times New Roman"/>
                <w:noProof/>
              </w:rPr>
            </w:pPr>
          </w:p>
        </w:tc>
        <w:tc>
          <w:tcPr>
            <w:tcW w:w="870" w:type="dxa"/>
            <w:noWrap/>
            <w:hideMark/>
          </w:tcPr>
          <w:p w14:paraId="3B2E4AB3" w14:textId="77777777" w:rsidR="00EB3DC6" w:rsidRPr="00217377" w:rsidRDefault="00EB3DC6">
            <w:pPr>
              <w:pStyle w:val="Text4"/>
              <w:spacing w:before="0" w:after="0"/>
              <w:ind w:left="0"/>
              <w:jc w:val="right"/>
              <w:rPr>
                <w:rFonts w:ascii="Times New Roman" w:eastAsia="Calibri" w:hAnsi="Times New Roman"/>
                <w:noProof/>
              </w:rPr>
            </w:pPr>
          </w:p>
        </w:tc>
        <w:tc>
          <w:tcPr>
            <w:tcW w:w="870" w:type="dxa"/>
            <w:noWrap/>
            <w:hideMark/>
          </w:tcPr>
          <w:p w14:paraId="79F486B2" w14:textId="77777777" w:rsidR="00EB3DC6" w:rsidRPr="00217377" w:rsidRDefault="00EB3DC6">
            <w:pPr>
              <w:pStyle w:val="Text4"/>
              <w:spacing w:before="0" w:after="0"/>
              <w:ind w:left="0"/>
              <w:jc w:val="right"/>
              <w:rPr>
                <w:rFonts w:ascii="Times New Roman" w:eastAsia="Calibri" w:hAnsi="Times New Roman"/>
                <w:noProof/>
              </w:rPr>
            </w:pPr>
          </w:p>
        </w:tc>
      </w:tr>
      <w:tr w:rsidR="00D35E19" w:rsidRPr="00217377" w14:paraId="22D009E8" w14:textId="77777777" w:rsidTr="00217377">
        <w:trPr>
          <w:trHeight w:val="255"/>
        </w:trPr>
        <w:tc>
          <w:tcPr>
            <w:tcW w:w="6122" w:type="dxa"/>
            <w:noWrap/>
            <w:hideMark/>
          </w:tcPr>
          <w:p w14:paraId="1DF9892C" w14:textId="777D1681"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Number of </w:t>
            </w:r>
            <w:r w:rsidR="00D16C87">
              <w:rPr>
                <w:rFonts w:ascii="Times New Roman" w:eastAsia="Calibri" w:hAnsi="Times New Roman"/>
                <w:noProof/>
              </w:rPr>
              <w:t>non-SME</w:t>
            </w:r>
            <w:r w:rsidR="00D16C87" w:rsidRPr="00217377">
              <w:rPr>
                <w:rFonts w:ascii="Times New Roman" w:eastAsia="Calibri" w:hAnsi="Times New Roman"/>
                <w:noProof/>
              </w:rPr>
              <w:t xml:space="preserve"> </w:t>
            </w:r>
            <w:r w:rsidRPr="00217377">
              <w:rPr>
                <w:rFonts w:ascii="Times New Roman" w:eastAsia="Calibri" w:hAnsi="Times New Roman"/>
                <w:noProof/>
              </w:rPr>
              <w:t xml:space="preserve">MDMS platforms (excluding CRSs) that incur one-off costs due to PM1 </w:t>
            </w:r>
          </w:p>
        </w:tc>
        <w:tc>
          <w:tcPr>
            <w:tcW w:w="871" w:type="dxa"/>
            <w:noWrap/>
            <w:hideMark/>
          </w:tcPr>
          <w:p w14:paraId="09102FB5" w14:textId="5918F333"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172</w:t>
            </w:r>
          </w:p>
        </w:tc>
        <w:tc>
          <w:tcPr>
            <w:tcW w:w="870" w:type="dxa"/>
            <w:noWrap/>
            <w:hideMark/>
          </w:tcPr>
          <w:p w14:paraId="4D02FA9C" w14:textId="2D6BDFB7"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4</w:t>
            </w:r>
          </w:p>
        </w:tc>
        <w:tc>
          <w:tcPr>
            <w:tcW w:w="870" w:type="dxa"/>
            <w:noWrap/>
            <w:hideMark/>
          </w:tcPr>
          <w:p w14:paraId="065513EF" w14:textId="20400E4D"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2</w:t>
            </w:r>
          </w:p>
        </w:tc>
        <w:tc>
          <w:tcPr>
            <w:tcW w:w="870" w:type="dxa"/>
            <w:noWrap/>
            <w:hideMark/>
          </w:tcPr>
          <w:p w14:paraId="08EA6276" w14:textId="1D613482"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w:t>
            </w:r>
          </w:p>
        </w:tc>
      </w:tr>
      <w:tr w:rsidR="00D35E19" w:rsidRPr="00217377" w14:paraId="4E8E08CC" w14:textId="77777777" w:rsidTr="00217377">
        <w:trPr>
          <w:trHeight w:val="255"/>
        </w:trPr>
        <w:tc>
          <w:tcPr>
            <w:tcW w:w="6122" w:type="dxa"/>
            <w:noWrap/>
            <w:hideMark/>
          </w:tcPr>
          <w:p w14:paraId="2218D63C" w14:textId="561FED83"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Number of </w:t>
            </w:r>
            <w:r w:rsidR="00D16C87">
              <w:rPr>
                <w:rFonts w:ascii="Times New Roman" w:eastAsia="Calibri" w:hAnsi="Times New Roman"/>
                <w:noProof/>
              </w:rPr>
              <w:t>non-SME</w:t>
            </w:r>
            <w:r w:rsidR="00D16C87" w:rsidRPr="00217377">
              <w:rPr>
                <w:rFonts w:ascii="Times New Roman" w:eastAsia="Calibri" w:hAnsi="Times New Roman"/>
                <w:noProof/>
              </w:rPr>
              <w:t xml:space="preserve"> </w:t>
            </w:r>
            <w:r w:rsidRPr="00217377">
              <w:rPr>
                <w:rFonts w:ascii="Times New Roman" w:eastAsia="Calibri" w:hAnsi="Times New Roman"/>
                <w:noProof/>
              </w:rPr>
              <w:t xml:space="preserve">MDMS platforms (excluding CRSs) that incur recurrent costs due to PM1 </w:t>
            </w:r>
          </w:p>
        </w:tc>
        <w:tc>
          <w:tcPr>
            <w:tcW w:w="871" w:type="dxa"/>
            <w:noWrap/>
            <w:hideMark/>
          </w:tcPr>
          <w:p w14:paraId="2DDF842E" w14:textId="600016EE"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w:t>
            </w:r>
          </w:p>
        </w:tc>
        <w:tc>
          <w:tcPr>
            <w:tcW w:w="870" w:type="dxa"/>
            <w:noWrap/>
            <w:hideMark/>
          </w:tcPr>
          <w:p w14:paraId="72DE9E04" w14:textId="0963385D"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176</w:t>
            </w:r>
          </w:p>
        </w:tc>
        <w:tc>
          <w:tcPr>
            <w:tcW w:w="870" w:type="dxa"/>
            <w:noWrap/>
            <w:hideMark/>
          </w:tcPr>
          <w:p w14:paraId="61610054" w14:textId="509F3AB7"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207</w:t>
            </w:r>
          </w:p>
        </w:tc>
        <w:tc>
          <w:tcPr>
            <w:tcW w:w="870" w:type="dxa"/>
            <w:noWrap/>
            <w:hideMark/>
          </w:tcPr>
          <w:p w14:paraId="6156808A" w14:textId="168FF576"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209</w:t>
            </w:r>
          </w:p>
        </w:tc>
      </w:tr>
      <w:tr w:rsidR="00D35E19" w:rsidRPr="00217377" w14:paraId="06B3CB28" w14:textId="77777777" w:rsidTr="00217377">
        <w:trPr>
          <w:trHeight w:val="255"/>
        </w:trPr>
        <w:tc>
          <w:tcPr>
            <w:tcW w:w="6122" w:type="dxa"/>
            <w:noWrap/>
          </w:tcPr>
          <w:p w14:paraId="39F44BB5" w14:textId="77777777"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Number of CRS platforms that incur one-off costs due to PM1</w:t>
            </w:r>
          </w:p>
        </w:tc>
        <w:tc>
          <w:tcPr>
            <w:tcW w:w="871" w:type="dxa"/>
            <w:noWrap/>
          </w:tcPr>
          <w:p w14:paraId="6C09312C" w14:textId="41F9B43E" w:rsidR="00D35E19" w:rsidRPr="00217377" w:rsidRDefault="00D35E19" w:rsidP="00D35E19">
            <w:pPr>
              <w:pStyle w:val="Text4"/>
              <w:spacing w:before="0" w:after="0"/>
              <w:ind w:left="0"/>
              <w:jc w:val="center"/>
              <w:rPr>
                <w:rFonts w:ascii="Times New Roman" w:hAnsi="Times New Roman"/>
                <w:noProof/>
              </w:rPr>
            </w:pPr>
            <w:r w:rsidRPr="00217377">
              <w:rPr>
                <w:rFonts w:ascii="Times New Roman" w:hAnsi="Times New Roman"/>
                <w:noProof/>
              </w:rPr>
              <w:t>3</w:t>
            </w:r>
          </w:p>
        </w:tc>
        <w:tc>
          <w:tcPr>
            <w:tcW w:w="870" w:type="dxa"/>
            <w:noWrap/>
          </w:tcPr>
          <w:p w14:paraId="37B05DB2" w14:textId="23849541" w:rsidR="00D35E19" w:rsidRPr="00217377" w:rsidRDefault="00D35E19" w:rsidP="00D35E19">
            <w:pPr>
              <w:pStyle w:val="Text4"/>
              <w:spacing w:before="0" w:after="0"/>
              <w:ind w:left="0"/>
              <w:jc w:val="center"/>
              <w:rPr>
                <w:rFonts w:ascii="Times New Roman" w:hAnsi="Times New Roman"/>
                <w:noProof/>
              </w:rPr>
            </w:pPr>
            <w:r w:rsidRPr="00217377">
              <w:rPr>
                <w:rFonts w:ascii="Times New Roman" w:hAnsi="Times New Roman"/>
                <w:noProof/>
              </w:rPr>
              <w:t> </w:t>
            </w:r>
          </w:p>
        </w:tc>
        <w:tc>
          <w:tcPr>
            <w:tcW w:w="870" w:type="dxa"/>
            <w:noWrap/>
          </w:tcPr>
          <w:p w14:paraId="0407411F" w14:textId="305E9337" w:rsidR="00D35E19" w:rsidRPr="00217377" w:rsidRDefault="00D35E19" w:rsidP="00D35E19">
            <w:pPr>
              <w:pStyle w:val="Text4"/>
              <w:spacing w:before="0" w:after="0"/>
              <w:ind w:left="0"/>
              <w:jc w:val="center"/>
              <w:rPr>
                <w:rFonts w:ascii="Times New Roman" w:hAnsi="Times New Roman"/>
                <w:noProof/>
              </w:rPr>
            </w:pPr>
            <w:r w:rsidRPr="00217377">
              <w:rPr>
                <w:rFonts w:ascii="Times New Roman" w:hAnsi="Times New Roman"/>
                <w:noProof/>
              </w:rPr>
              <w:t> </w:t>
            </w:r>
          </w:p>
        </w:tc>
        <w:tc>
          <w:tcPr>
            <w:tcW w:w="870" w:type="dxa"/>
            <w:noWrap/>
          </w:tcPr>
          <w:p w14:paraId="2559F25E" w14:textId="37426C17" w:rsidR="00D35E19" w:rsidRPr="00217377" w:rsidRDefault="00D35E19" w:rsidP="00D35E19">
            <w:pPr>
              <w:pStyle w:val="Text4"/>
              <w:spacing w:before="0" w:after="0"/>
              <w:ind w:left="0"/>
              <w:jc w:val="center"/>
              <w:rPr>
                <w:rFonts w:ascii="Times New Roman" w:hAnsi="Times New Roman"/>
                <w:noProof/>
              </w:rPr>
            </w:pPr>
            <w:r w:rsidRPr="00217377">
              <w:rPr>
                <w:rFonts w:ascii="Times New Roman" w:hAnsi="Times New Roman"/>
                <w:noProof/>
              </w:rPr>
              <w:t> </w:t>
            </w:r>
          </w:p>
        </w:tc>
      </w:tr>
      <w:tr w:rsidR="00D35E19" w:rsidRPr="00217377" w14:paraId="1EE8233E" w14:textId="77777777" w:rsidTr="00217377">
        <w:trPr>
          <w:trHeight w:val="255"/>
        </w:trPr>
        <w:tc>
          <w:tcPr>
            <w:tcW w:w="6122" w:type="dxa"/>
            <w:noWrap/>
            <w:hideMark/>
          </w:tcPr>
          <w:p w14:paraId="3A856A30" w14:textId="77777777"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Total one-off adjustment costs (million EUR) </w:t>
            </w:r>
          </w:p>
        </w:tc>
        <w:tc>
          <w:tcPr>
            <w:tcW w:w="871" w:type="dxa"/>
            <w:noWrap/>
            <w:hideMark/>
          </w:tcPr>
          <w:p w14:paraId="2B47972B" w14:textId="5895C117"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4.0</w:t>
            </w:r>
          </w:p>
        </w:tc>
        <w:tc>
          <w:tcPr>
            <w:tcW w:w="870" w:type="dxa"/>
            <w:noWrap/>
            <w:hideMark/>
          </w:tcPr>
          <w:p w14:paraId="747F1D64" w14:textId="78D203E4"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0.1</w:t>
            </w:r>
          </w:p>
        </w:tc>
        <w:tc>
          <w:tcPr>
            <w:tcW w:w="870" w:type="dxa"/>
            <w:noWrap/>
            <w:hideMark/>
          </w:tcPr>
          <w:p w14:paraId="4B977E30" w14:textId="21326424"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0.1</w:t>
            </w:r>
          </w:p>
        </w:tc>
        <w:tc>
          <w:tcPr>
            <w:tcW w:w="870" w:type="dxa"/>
            <w:noWrap/>
            <w:hideMark/>
          </w:tcPr>
          <w:p w14:paraId="0DD0D0D5" w14:textId="04274D0B"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0.0</w:t>
            </w:r>
          </w:p>
        </w:tc>
      </w:tr>
      <w:tr w:rsidR="00D35E19" w:rsidRPr="00217377" w14:paraId="1B0E9D96" w14:textId="77777777" w:rsidTr="00217377">
        <w:trPr>
          <w:trHeight w:val="255"/>
        </w:trPr>
        <w:tc>
          <w:tcPr>
            <w:tcW w:w="6122" w:type="dxa"/>
            <w:noWrap/>
            <w:hideMark/>
          </w:tcPr>
          <w:p w14:paraId="4A9CCD47" w14:textId="77777777"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Total recurrent adjustment costs (million EUR) </w:t>
            </w:r>
          </w:p>
        </w:tc>
        <w:tc>
          <w:tcPr>
            <w:tcW w:w="871" w:type="dxa"/>
            <w:noWrap/>
            <w:hideMark/>
          </w:tcPr>
          <w:p w14:paraId="7C7BE8C4" w14:textId="47D5B96F"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0.0</w:t>
            </w:r>
          </w:p>
        </w:tc>
        <w:tc>
          <w:tcPr>
            <w:tcW w:w="870" w:type="dxa"/>
            <w:noWrap/>
            <w:hideMark/>
          </w:tcPr>
          <w:p w14:paraId="389DAE73" w14:textId="0D12E43E"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0.4</w:t>
            </w:r>
          </w:p>
        </w:tc>
        <w:tc>
          <w:tcPr>
            <w:tcW w:w="870" w:type="dxa"/>
            <w:noWrap/>
            <w:hideMark/>
          </w:tcPr>
          <w:p w14:paraId="143A4660" w14:textId="096E0A16"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0.5</w:t>
            </w:r>
          </w:p>
        </w:tc>
        <w:tc>
          <w:tcPr>
            <w:tcW w:w="870" w:type="dxa"/>
            <w:noWrap/>
            <w:hideMark/>
          </w:tcPr>
          <w:p w14:paraId="1AAA8720" w14:textId="6CBDF12D"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0.5</w:t>
            </w:r>
          </w:p>
        </w:tc>
      </w:tr>
      <w:tr w:rsidR="00D35E19" w:rsidRPr="00217377" w14:paraId="1908CCF2" w14:textId="77777777" w:rsidTr="00217377">
        <w:trPr>
          <w:trHeight w:val="255"/>
        </w:trPr>
        <w:tc>
          <w:tcPr>
            <w:tcW w:w="6122" w:type="dxa"/>
            <w:noWrap/>
            <w:hideMark/>
          </w:tcPr>
          <w:p w14:paraId="1AC0377F" w14:textId="77777777" w:rsidR="00D35E19" w:rsidRPr="00217377" w:rsidRDefault="00D35E19" w:rsidP="00D35E19">
            <w:pPr>
              <w:pStyle w:val="Text4"/>
              <w:spacing w:before="0" w:after="0"/>
              <w:ind w:left="0"/>
              <w:rPr>
                <w:rFonts w:ascii="Times New Roman" w:eastAsia="Calibri" w:hAnsi="Times New Roman"/>
                <w:b/>
                <w:bCs/>
                <w:noProof/>
              </w:rPr>
            </w:pPr>
            <w:r w:rsidRPr="00217377">
              <w:rPr>
                <w:rFonts w:ascii="Times New Roman" w:eastAsia="Calibri" w:hAnsi="Times New Roman"/>
                <w:b/>
                <w:bCs/>
                <w:noProof/>
              </w:rPr>
              <w:t xml:space="preserve">PO2 </w:t>
            </w:r>
          </w:p>
        </w:tc>
        <w:tc>
          <w:tcPr>
            <w:tcW w:w="871" w:type="dxa"/>
            <w:noWrap/>
            <w:hideMark/>
          </w:tcPr>
          <w:p w14:paraId="5B1DB8DC" w14:textId="4DDA2AE1"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 </w:t>
            </w:r>
          </w:p>
        </w:tc>
        <w:tc>
          <w:tcPr>
            <w:tcW w:w="870" w:type="dxa"/>
            <w:noWrap/>
            <w:hideMark/>
          </w:tcPr>
          <w:p w14:paraId="1E49B2D4" w14:textId="45ABEA5B"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 </w:t>
            </w:r>
          </w:p>
        </w:tc>
        <w:tc>
          <w:tcPr>
            <w:tcW w:w="870" w:type="dxa"/>
            <w:noWrap/>
            <w:hideMark/>
          </w:tcPr>
          <w:p w14:paraId="0C5E3FDE" w14:textId="6F4A7F1F"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 </w:t>
            </w:r>
          </w:p>
        </w:tc>
        <w:tc>
          <w:tcPr>
            <w:tcW w:w="870" w:type="dxa"/>
            <w:noWrap/>
            <w:hideMark/>
          </w:tcPr>
          <w:p w14:paraId="16C4DAC1" w14:textId="17FBAED7"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 </w:t>
            </w:r>
          </w:p>
        </w:tc>
      </w:tr>
      <w:tr w:rsidR="00D35E19" w:rsidRPr="00217377" w14:paraId="6ED7A2D9" w14:textId="77777777" w:rsidTr="00217377">
        <w:trPr>
          <w:trHeight w:val="255"/>
        </w:trPr>
        <w:tc>
          <w:tcPr>
            <w:tcW w:w="6122" w:type="dxa"/>
            <w:noWrap/>
            <w:hideMark/>
          </w:tcPr>
          <w:p w14:paraId="01AB278D" w14:textId="4D472559"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Number of </w:t>
            </w:r>
            <w:r w:rsidR="00D16C87">
              <w:rPr>
                <w:rFonts w:ascii="Times New Roman" w:eastAsia="Calibri" w:hAnsi="Times New Roman"/>
                <w:noProof/>
              </w:rPr>
              <w:t>non-SME</w:t>
            </w:r>
            <w:r w:rsidR="00D16C87" w:rsidRPr="00217377">
              <w:rPr>
                <w:rFonts w:ascii="Times New Roman" w:eastAsia="Calibri" w:hAnsi="Times New Roman"/>
                <w:noProof/>
              </w:rPr>
              <w:t xml:space="preserve"> </w:t>
            </w:r>
            <w:r w:rsidRPr="00217377">
              <w:rPr>
                <w:rFonts w:ascii="Times New Roman" w:eastAsia="Calibri" w:hAnsi="Times New Roman"/>
                <w:noProof/>
              </w:rPr>
              <w:t xml:space="preserve">MDMS platforms (excluding CRSs) that incur one-off costs due to PM1 </w:t>
            </w:r>
          </w:p>
        </w:tc>
        <w:tc>
          <w:tcPr>
            <w:tcW w:w="871" w:type="dxa"/>
            <w:noWrap/>
            <w:hideMark/>
          </w:tcPr>
          <w:p w14:paraId="1E18F237" w14:textId="1F3F3693"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172</w:t>
            </w:r>
          </w:p>
        </w:tc>
        <w:tc>
          <w:tcPr>
            <w:tcW w:w="870" w:type="dxa"/>
            <w:noWrap/>
            <w:hideMark/>
          </w:tcPr>
          <w:p w14:paraId="3E10DEFB" w14:textId="1D5770DC"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8</w:t>
            </w:r>
          </w:p>
        </w:tc>
        <w:tc>
          <w:tcPr>
            <w:tcW w:w="870" w:type="dxa"/>
            <w:noWrap/>
            <w:hideMark/>
          </w:tcPr>
          <w:p w14:paraId="28471A1A" w14:textId="6337DC6D"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13</w:t>
            </w:r>
          </w:p>
        </w:tc>
        <w:tc>
          <w:tcPr>
            <w:tcW w:w="870" w:type="dxa"/>
            <w:noWrap/>
            <w:hideMark/>
          </w:tcPr>
          <w:p w14:paraId="4AC125E5" w14:textId="4DDBED67"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w:t>
            </w:r>
          </w:p>
        </w:tc>
      </w:tr>
      <w:tr w:rsidR="00D35E19" w:rsidRPr="00217377" w14:paraId="64D0EA99" w14:textId="77777777" w:rsidTr="00217377">
        <w:trPr>
          <w:trHeight w:val="255"/>
        </w:trPr>
        <w:tc>
          <w:tcPr>
            <w:tcW w:w="6122" w:type="dxa"/>
            <w:noWrap/>
            <w:hideMark/>
          </w:tcPr>
          <w:p w14:paraId="618F44CF" w14:textId="23A4D503"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Number of </w:t>
            </w:r>
            <w:r w:rsidR="00D16C87">
              <w:rPr>
                <w:rFonts w:ascii="Times New Roman" w:eastAsia="Calibri" w:hAnsi="Times New Roman"/>
                <w:noProof/>
              </w:rPr>
              <w:t>non-SME</w:t>
            </w:r>
            <w:r w:rsidR="00D16C87" w:rsidRPr="00217377">
              <w:rPr>
                <w:rFonts w:ascii="Times New Roman" w:eastAsia="Calibri" w:hAnsi="Times New Roman"/>
                <w:noProof/>
              </w:rPr>
              <w:t xml:space="preserve"> </w:t>
            </w:r>
            <w:r w:rsidRPr="00217377">
              <w:rPr>
                <w:rFonts w:ascii="Times New Roman" w:eastAsia="Calibri" w:hAnsi="Times New Roman"/>
                <w:noProof/>
              </w:rPr>
              <w:t xml:space="preserve">MDMS platforms (excluding CRSs) that incur recurrent costs due to PM1 </w:t>
            </w:r>
          </w:p>
        </w:tc>
        <w:tc>
          <w:tcPr>
            <w:tcW w:w="871" w:type="dxa"/>
            <w:noWrap/>
            <w:hideMark/>
          </w:tcPr>
          <w:p w14:paraId="504F9B48" w14:textId="7D62DDE9"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w:t>
            </w:r>
          </w:p>
        </w:tc>
        <w:tc>
          <w:tcPr>
            <w:tcW w:w="870" w:type="dxa"/>
            <w:noWrap/>
            <w:hideMark/>
          </w:tcPr>
          <w:p w14:paraId="1904EA15" w14:textId="6A9B6344"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180</w:t>
            </w:r>
          </w:p>
        </w:tc>
        <w:tc>
          <w:tcPr>
            <w:tcW w:w="870" w:type="dxa"/>
            <w:noWrap/>
            <w:hideMark/>
          </w:tcPr>
          <w:p w14:paraId="6C94E1B2" w14:textId="0B744558"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309</w:t>
            </w:r>
          </w:p>
        </w:tc>
        <w:tc>
          <w:tcPr>
            <w:tcW w:w="870" w:type="dxa"/>
            <w:noWrap/>
            <w:hideMark/>
          </w:tcPr>
          <w:p w14:paraId="26A3611A" w14:textId="0694F665"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303</w:t>
            </w:r>
          </w:p>
        </w:tc>
      </w:tr>
      <w:tr w:rsidR="00D35E19" w:rsidRPr="00217377" w14:paraId="1802D713" w14:textId="77777777" w:rsidTr="00217377">
        <w:trPr>
          <w:trHeight w:val="255"/>
        </w:trPr>
        <w:tc>
          <w:tcPr>
            <w:tcW w:w="6122" w:type="dxa"/>
            <w:noWrap/>
          </w:tcPr>
          <w:p w14:paraId="3DC4ECB6" w14:textId="1D724C00"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Number of CRS platforms that incur one-off costs due to PM1</w:t>
            </w:r>
          </w:p>
        </w:tc>
        <w:tc>
          <w:tcPr>
            <w:tcW w:w="871" w:type="dxa"/>
            <w:noWrap/>
          </w:tcPr>
          <w:p w14:paraId="46B9E8FE" w14:textId="3AE24C9E" w:rsidR="00D35E19" w:rsidRPr="00217377" w:rsidRDefault="00D35E19" w:rsidP="00D35E19">
            <w:pPr>
              <w:pStyle w:val="Text4"/>
              <w:spacing w:before="0" w:after="0"/>
              <w:ind w:left="0"/>
              <w:jc w:val="center"/>
              <w:rPr>
                <w:rFonts w:ascii="Times New Roman" w:hAnsi="Times New Roman"/>
                <w:noProof/>
              </w:rPr>
            </w:pPr>
            <w:r w:rsidRPr="00217377">
              <w:rPr>
                <w:rFonts w:ascii="Times New Roman" w:hAnsi="Times New Roman"/>
                <w:noProof/>
              </w:rPr>
              <w:t>3</w:t>
            </w:r>
          </w:p>
        </w:tc>
        <w:tc>
          <w:tcPr>
            <w:tcW w:w="870" w:type="dxa"/>
            <w:noWrap/>
          </w:tcPr>
          <w:p w14:paraId="652C412C" w14:textId="16A20F9C" w:rsidR="00D35E19" w:rsidRPr="00217377" w:rsidRDefault="00D35E19" w:rsidP="00D35E19">
            <w:pPr>
              <w:pStyle w:val="Text4"/>
              <w:spacing w:before="0" w:after="0"/>
              <w:ind w:left="0"/>
              <w:jc w:val="center"/>
              <w:rPr>
                <w:rFonts w:ascii="Times New Roman" w:hAnsi="Times New Roman"/>
                <w:noProof/>
              </w:rPr>
            </w:pPr>
            <w:r w:rsidRPr="00217377">
              <w:rPr>
                <w:rFonts w:ascii="Times New Roman" w:hAnsi="Times New Roman"/>
                <w:noProof/>
              </w:rPr>
              <w:t> </w:t>
            </w:r>
          </w:p>
        </w:tc>
        <w:tc>
          <w:tcPr>
            <w:tcW w:w="870" w:type="dxa"/>
            <w:noWrap/>
          </w:tcPr>
          <w:p w14:paraId="6DCD1A36" w14:textId="623D8EB7" w:rsidR="00D35E19" w:rsidRPr="00217377" w:rsidRDefault="00D35E19" w:rsidP="00D35E19">
            <w:pPr>
              <w:pStyle w:val="Text4"/>
              <w:spacing w:before="0" w:after="0"/>
              <w:ind w:left="0"/>
              <w:jc w:val="center"/>
              <w:rPr>
                <w:rFonts w:ascii="Times New Roman" w:hAnsi="Times New Roman"/>
                <w:noProof/>
              </w:rPr>
            </w:pPr>
            <w:r w:rsidRPr="00217377">
              <w:rPr>
                <w:rFonts w:ascii="Times New Roman" w:hAnsi="Times New Roman"/>
                <w:noProof/>
              </w:rPr>
              <w:t> </w:t>
            </w:r>
          </w:p>
        </w:tc>
        <w:tc>
          <w:tcPr>
            <w:tcW w:w="870" w:type="dxa"/>
            <w:noWrap/>
          </w:tcPr>
          <w:p w14:paraId="707372AA" w14:textId="6E98E169" w:rsidR="00D35E19" w:rsidRPr="00217377" w:rsidRDefault="00D35E19" w:rsidP="00D35E19">
            <w:pPr>
              <w:pStyle w:val="Text4"/>
              <w:spacing w:before="0" w:after="0"/>
              <w:ind w:left="0"/>
              <w:jc w:val="center"/>
              <w:rPr>
                <w:rFonts w:ascii="Times New Roman" w:hAnsi="Times New Roman"/>
                <w:noProof/>
              </w:rPr>
            </w:pPr>
            <w:r w:rsidRPr="00217377">
              <w:rPr>
                <w:rFonts w:ascii="Times New Roman" w:hAnsi="Times New Roman"/>
                <w:noProof/>
              </w:rPr>
              <w:t> </w:t>
            </w:r>
          </w:p>
        </w:tc>
      </w:tr>
      <w:tr w:rsidR="00D35E19" w:rsidRPr="00217377" w14:paraId="6A9653AE" w14:textId="77777777" w:rsidTr="00217377">
        <w:trPr>
          <w:trHeight w:val="255"/>
        </w:trPr>
        <w:tc>
          <w:tcPr>
            <w:tcW w:w="6122" w:type="dxa"/>
            <w:noWrap/>
            <w:hideMark/>
          </w:tcPr>
          <w:p w14:paraId="4001BC5C" w14:textId="0702432B"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Total one-off adjustment costs (million EUR) </w:t>
            </w:r>
          </w:p>
        </w:tc>
        <w:tc>
          <w:tcPr>
            <w:tcW w:w="871" w:type="dxa"/>
            <w:noWrap/>
            <w:hideMark/>
          </w:tcPr>
          <w:p w14:paraId="1DA3E1B4" w14:textId="4C6433F9"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4.0</w:t>
            </w:r>
          </w:p>
        </w:tc>
        <w:tc>
          <w:tcPr>
            <w:tcW w:w="870" w:type="dxa"/>
            <w:noWrap/>
            <w:hideMark/>
          </w:tcPr>
          <w:p w14:paraId="3316666C" w14:textId="6E4E1462"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0.2</w:t>
            </w:r>
          </w:p>
        </w:tc>
        <w:tc>
          <w:tcPr>
            <w:tcW w:w="870" w:type="dxa"/>
            <w:noWrap/>
            <w:hideMark/>
          </w:tcPr>
          <w:p w14:paraId="7D640144" w14:textId="647562A6"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0.3</w:t>
            </w:r>
          </w:p>
        </w:tc>
        <w:tc>
          <w:tcPr>
            <w:tcW w:w="870" w:type="dxa"/>
            <w:noWrap/>
            <w:hideMark/>
          </w:tcPr>
          <w:p w14:paraId="00918B36" w14:textId="2217BB5B"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0.0</w:t>
            </w:r>
          </w:p>
        </w:tc>
      </w:tr>
      <w:tr w:rsidR="00D35E19" w:rsidRPr="00217377" w14:paraId="4FAC8FD1" w14:textId="77777777" w:rsidTr="00217377">
        <w:trPr>
          <w:trHeight w:val="255"/>
        </w:trPr>
        <w:tc>
          <w:tcPr>
            <w:tcW w:w="6122" w:type="dxa"/>
            <w:noWrap/>
            <w:hideMark/>
          </w:tcPr>
          <w:p w14:paraId="24153BD7" w14:textId="70BDE864"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Total recurrent adjustment costs (million EUR) </w:t>
            </w:r>
          </w:p>
        </w:tc>
        <w:tc>
          <w:tcPr>
            <w:tcW w:w="871" w:type="dxa"/>
            <w:noWrap/>
            <w:hideMark/>
          </w:tcPr>
          <w:p w14:paraId="5DA56F2F" w14:textId="2D3852A6"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0.0</w:t>
            </w:r>
          </w:p>
        </w:tc>
        <w:tc>
          <w:tcPr>
            <w:tcW w:w="870" w:type="dxa"/>
            <w:noWrap/>
            <w:hideMark/>
          </w:tcPr>
          <w:p w14:paraId="2EA7543D" w14:textId="50AD4496"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0.4</w:t>
            </w:r>
          </w:p>
        </w:tc>
        <w:tc>
          <w:tcPr>
            <w:tcW w:w="870" w:type="dxa"/>
            <w:noWrap/>
            <w:hideMark/>
          </w:tcPr>
          <w:p w14:paraId="64576CCB" w14:textId="3ECD38C3"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0.7</w:t>
            </w:r>
          </w:p>
        </w:tc>
        <w:tc>
          <w:tcPr>
            <w:tcW w:w="870" w:type="dxa"/>
            <w:noWrap/>
            <w:hideMark/>
          </w:tcPr>
          <w:p w14:paraId="08F59046" w14:textId="5646727E"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0.7</w:t>
            </w:r>
          </w:p>
        </w:tc>
      </w:tr>
      <w:tr w:rsidR="00D35E19" w:rsidRPr="00217377" w14:paraId="22117DA4" w14:textId="77777777" w:rsidTr="00217377">
        <w:trPr>
          <w:trHeight w:val="255"/>
        </w:trPr>
        <w:tc>
          <w:tcPr>
            <w:tcW w:w="6122" w:type="dxa"/>
            <w:noWrap/>
            <w:hideMark/>
          </w:tcPr>
          <w:p w14:paraId="2A161C38" w14:textId="77777777" w:rsidR="00D35E19" w:rsidRPr="00217377" w:rsidRDefault="00D35E19" w:rsidP="00D35E19">
            <w:pPr>
              <w:pStyle w:val="Text4"/>
              <w:spacing w:before="0" w:after="0"/>
              <w:ind w:left="0"/>
              <w:rPr>
                <w:rFonts w:ascii="Times New Roman" w:eastAsia="Calibri" w:hAnsi="Times New Roman"/>
                <w:b/>
                <w:bCs/>
                <w:noProof/>
              </w:rPr>
            </w:pPr>
            <w:r w:rsidRPr="00217377">
              <w:rPr>
                <w:rFonts w:ascii="Times New Roman" w:eastAsia="Calibri" w:hAnsi="Times New Roman"/>
                <w:b/>
                <w:bCs/>
                <w:noProof/>
              </w:rPr>
              <w:t xml:space="preserve">PO3 </w:t>
            </w:r>
          </w:p>
        </w:tc>
        <w:tc>
          <w:tcPr>
            <w:tcW w:w="871" w:type="dxa"/>
            <w:noWrap/>
            <w:hideMark/>
          </w:tcPr>
          <w:p w14:paraId="2D455B46" w14:textId="67A34262"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 </w:t>
            </w:r>
          </w:p>
        </w:tc>
        <w:tc>
          <w:tcPr>
            <w:tcW w:w="870" w:type="dxa"/>
            <w:noWrap/>
            <w:hideMark/>
          </w:tcPr>
          <w:p w14:paraId="58CB587B" w14:textId="7D36980B"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 </w:t>
            </w:r>
          </w:p>
        </w:tc>
        <w:tc>
          <w:tcPr>
            <w:tcW w:w="870" w:type="dxa"/>
            <w:noWrap/>
            <w:hideMark/>
          </w:tcPr>
          <w:p w14:paraId="0C0E4E8A" w14:textId="3273D429"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 </w:t>
            </w:r>
          </w:p>
        </w:tc>
        <w:tc>
          <w:tcPr>
            <w:tcW w:w="870" w:type="dxa"/>
            <w:noWrap/>
            <w:hideMark/>
          </w:tcPr>
          <w:p w14:paraId="1BE7AE2C" w14:textId="209EED9B"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 </w:t>
            </w:r>
          </w:p>
        </w:tc>
      </w:tr>
      <w:tr w:rsidR="00D35E19" w:rsidRPr="00217377" w14:paraId="6C2AAEC8" w14:textId="77777777" w:rsidTr="00217377">
        <w:trPr>
          <w:trHeight w:val="255"/>
        </w:trPr>
        <w:tc>
          <w:tcPr>
            <w:tcW w:w="6122" w:type="dxa"/>
            <w:noWrap/>
            <w:hideMark/>
          </w:tcPr>
          <w:p w14:paraId="140DC423" w14:textId="0077FAF5"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Number of </w:t>
            </w:r>
            <w:r w:rsidR="00D16C87">
              <w:rPr>
                <w:rFonts w:ascii="Times New Roman" w:eastAsia="Calibri" w:hAnsi="Times New Roman"/>
                <w:noProof/>
              </w:rPr>
              <w:t>non-SME</w:t>
            </w:r>
            <w:r w:rsidR="00D16C87" w:rsidRPr="00217377">
              <w:rPr>
                <w:rFonts w:ascii="Times New Roman" w:eastAsia="Calibri" w:hAnsi="Times New Roman"/>
                <w:noProof/>
              </w:rPr>
              <w:t xml:space="preserve"> </w:t>
            </w:r>
            <w:r w:rsidRPr="00217377">
              <w:rPr>
                <w:rFonts w:ascii="Times New Roman" w:eastAsia="Calibri" w:hAnsi="Times New Roman"/>
                <w:noProof/>
              </w:rPr>
              <w:t xml:space="preserve">MDMS platforms (excluding CRSs) that incur one-off costs due to PM1 </w:t>
            </w:r>
          </w:p>
        </w:tc>
        <w:tc>
          <w:tcPr>
            <w:tcW w:w="871" w:type="dxa"/>
            <w:noWrap/>
            <w:hideMark/>
          </w:tcPr>
          <w:p w14:paraId="6F2A3819" w14:textId="1465D952"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172</w:t>
            </w:r>
          </w:p>
        </w:tc>
        <w:tc>
          <w:tcPr>
            <w:tcW w:w="870" w:type="dxa"/>
            <w:noWrap/>
            <w:hideMark/>
          </w:tcPr>
          <w:p w14:paraId="41B6F890" w14:textId="3FD8FED7"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9</w:t>
            </w:r>
          </w:p>
        </w:tc>
        <w:tc>
          <w:tcPr>
            <w:tcW w:w="870" w:type="dxa"/>
            <w:noWrap/>
            <w:hideMark/>
          </w:tcPr>
          <w:p w14:paraId="236A924B" w14:textId="02B54897"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11</w:t>
            </w:r>
          </w:p>
        </w:tc>
        <w:tc>
          <w:tcPr>
            <w:tcW w:w="870" w:type="dxa"/>
            <w:noWrap/>
            <w:hideMark/>
          </w:tcPr>
          <w:p w14:paraId="4A7B02E4" w14:textId="7D60F9AB"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w:t>
            </w:r>
          </w:p>
        </w:tc>
      </w:tr>
      <w:tr w:rsidR="00D35E19" w:rsidRPr="00217377" w14:paraId="69D424F0" w14:textId="77777777" w:rsidTr="00217377">
        <w:trPr>
          <w:trHeight w:val="255"/>
        </w:trPr>
        <w:tc>
          <w:tcPr>
            <w:tcW w:w="6122" w:type="dxa"/>
            <w:noWrap/>
            <w:hideMark/>
          </w:tcPr>
          <w:p w14:paraId="3C801336" w14:textId="488E7820"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Number of </w:t>
            </w:r>
            <w:r w:rsidR="00D16C87">
              <w:rPr>
                <w:rFonts w:ascii="Times New Roman" w:eastAsia="Calibri" w:hAnsi="Times New Roman"/>
                <w:noProof/>
              </w:rPr>
              <w:t>non-SME</w:t>
            </w:r>
            <w:r w:rsidR="00D16C87" w:rsidRPr="00217377">
              <w:rPr>
                <w:rFonts w:ascii="Times New Roman" w:eastAsia="Calibri" w:hAnsi="Times New Roman"/>
                <w:noProof/>
              </w:rPr>
              <w:t xml:space="preserve"> </w:t>
            </w:r>
            <w:r w:rsidRPr="00217377">
              <w:rPr>
                <w:rFonts w:ascii="Times New Roman" w:eastAsia="Calibri" w:hAnsi="Times New Roman"/>
                <w:noProof/>
              </w:rPr>
              <w:t xml:space="preserve">MDMS platforms (excluding CRSs) that incur recurrent costs due to PM1 </w:t>
            </w:r>
          </w:p>
        </w:tc>
        <w:tc>
          <w:tcPr>
            <w:tcW w:w="871" w:type="dxa"/>
            <w:noWrap/>
            <w:hideMark/>
          </w:tcPr>
          <w:p w14:paraId="186DCF78" w14:textId="0283D238"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w:t>
            </w:r>
          </w:p>
        </w:tc>
        <w:tc>
          <w:tcPr>
            <w:tcW w:w="870" w:type="dxa"/>
            <w:noWrap/>
            <w:hideMark/>
          </w:tcPr>
          <w:p w14:paraId="47BCE1B2" w14:textId="40C6E0D6"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179</w:t>
            </w:r>
          </w:p>
        </w:tc>
        <w:tc>
          <w:tcPr>
            <w:tcW w:w="870" w:type="dxa"/>
            <w:noWrap/>
            <w:hideMark/>
          </w:tcPr>
          <w:p w14:paraId="342B3EDC" w14:textId="28AC5ACB"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289</w:t>
            </w:r>
          </w:p>
        </w:tc>
        <w:tc>
          <w:tcPr>
            <w:tcW w:w="870" w:type="dxa"/>
            <w:noWrap/>
            <w:hideMark/>
          </w:tcPr>
          <w:p w14:paraId="7A17458D" w14:textId="4164569D"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300</w:t>
            </w:r>
          </w:p>
        </w:tc>
      </w:tr>
      <w:tr w:rsidR="00D35E19" w:rsidRPr="00217377" w14:paraId="36F4AC12" w14:textId="77777777" w:rsidTr="00217377">
        <w:trPr>
          <w:trHeight w:val="255"/>
        </w:trPr>
        <w:tc>
          <w:tcPr>
            <w:tcW w:w="6122" w:type="dxa"/>
            <w:noWrap/>
          </w:tcPr>
          <w:p w14:paraId="0A99E8A0" w14:textId="790D08ED"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Number of CRS platforms that incur one-off costs due to PM1</w:t>
            </w:r>
          </w:p>
        </w:tc>
        <w:tc>
          <w:tcPr>
            <w:tcW w:w="871" w:type="dxa"/>
            <w:noWrap/>
          </w:tcPr>
          <w:p w14:paraId="4D7E0902" w14:textId="749435E7" w:rsidR="00D35E19" w:rsidRPr="00217377" w:rsidRDefault="00D35E19" w:rsidP="00D35E19">
            <w:pPr>
              <w:pStyle w:val="Text4"/>
              <w:spacing w:before="0" w:after="0"/>
              <w:ind w:left="0"/>
              <w:jc w:val="center"/>
              <w:rPr>
                <w:rFonts w:ascii="Times New Roman" w:hAnsi="Times New Roman"/>
                <w:noProof/>
              </w:rPr>
            </w:pPr>
            <w:r w:rsidRPr="00217377">
              <w:rPr>
                <w:rFonts w:ascii="Times New Roman" w:hAnsi="Times New Roman"/>
                <w:noProof/>
              </w:rPr>
              <w:t>3</w:t>
            </w:r>
          </w:p>
        </w:tc>
        <w:tc>
          <w:tcPr>
            <w:tcW w:w="870" w:type="dxa"/>
            <w:noWrap/>
          </w:tcPr>
          <w:p w14:paraId="772C651E" w14:textId="74E4E290" w:rsidR="00D35E19" w:rsidRPr="00217377" w:rsidRDefault="00D35E19" w:rsidP="00D35E19">
            <w:pPr>
              <w:pStyle w:val="Text4"/>
              <w:spacing w:before="0" w:after="0"/>
              <w:ind w:left="0"/>
              <w:jc w:val="center"/>
              <w:rPr>
                <w:rFonts w:ascii="Times New Roman" w:hAnsi="Times New Roman"/>
                <w:noProof/>
              </w:rPr>
            </w:pPr>
            <w:r w:rsidRPr="00217377">
              <w:rPr>
                <w:rFonts w:ascii="Times New Roman" w:hAnsi="Times New Roman"/>
                <w:noProof/>
              </w:rPr>
              <w:t> </w:t>
            </w:r>
          </w:p>
        </w:tc>
        <w:tc>
          <w:tcPr>
            <w:tcW w:w="870" w:type="dxa"/>
            <w:noWrap/>
          </w:tcPr>
          <w:p w14:paraId="7D303677" w14:textId="0BD4B410" w:rsidR="00D35E19" w:rsidRPr="00217377" w:rsidRDefault="00D35E19" w:rsidP="00D35E19">
            <w:pPr>
              <w:pStyle w:val="Text4"/>
              <w:spacing w:before="0" w:after="0"/>
              <w:ind w:left="0"/>
              <w:jc w:val="center"/>
              <w:rPr>
                <w:rFonts w:ascii="Times New Roman" w:hAnsi="Times New Roman"/>
                <w:noProof/>
              </w:rPr>
            </w:pPr>
            <w:r w:rsidRPr="00217377">
              <w:rPr>
                <w:rFonts w:ascii="Times New Roman" w:hAnsi="Times New Roman"/>
                <w:noProof/>
              </w:rPr>
              <w:t> </w:t>
            </w:r>
          </w:p>
        </w:tc>
        <w:tc>
          <w:tcPr>
            <w:tcW w:w="870" w:type="dxa"/>
            <w:noWrap/>
          </w:tcPr>
          <w:p w14:paraId="3DA67C20" w14:textId="7A0C8620" w:rsidR="00D35E19" w:rsidRPr="00217377" w:rsidRDefault="00D35E19" w:rsidP="00D35E19">
            <w:pPr>
              <w:pStyle w:val="Text4"/>
              <w:spacing w:before="0" w:after="0"/>
              <w:ind w:left="0"/>
              <w:jc w:val="center"/>
              <w:rPr>
                <w:rFonts w:ascii="Times New Roman" w:hAnsi="Times New Roman"/>
                <w:noProof/>
              </w:rPr>
            </w:pPr>
            <w:r w:rsidRPr="00217377">
              <w:rPr>
                <w:rFonts w:ascii="Times New Roman" w:hAnsi="Times New Roman"/>
                <w:noProof/>
              </w:rPr>
              <w:t> </w:t>
            </w:r>
          </w:p>
        </w:tc>
      </w:tr>
      <w:tr w:rsidR="00D35E19" w:rsidRPr="00217377" w14:paraId="42E8E19E" w14:textId="77777777" w:rsidTr="00217377">
        <w:trPr>
          <w:trHeight w:val="255"/>
        </w:trPr>
        <w:tc>
          <w:tcPr>
            <w:tcW w:w="6122" w:type="dxa"/>
            <w:noWrap/>
            <w:hideMark/>
          </w:tcPr>
          <w:p w14:paraId="6379FD36" w14:textId="4DD8E14F"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Total one-off adjustment costs (million EUR) </w:t>
            </w:r>
          </w:p>
        </w:tc>
        <w:tc>
          <w:tcPr>
            <w:tcW w:w="871" w:type="dxa"/>
            <w:noWrap/>
            <w:hideMark/>
          </w:tcPr>
          <w:p w14:paraId="59F3F62E" w14:textId="22CD5D13"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4.0</w:t>
            </w:r>
          </w:p>
        </w:tc>
        <w:tc>
          <w:tcPr>
            <w:tcW w:w="870" w:type="dxa"/>
            <w:noWrap/>
            <w:hideMark/>
          </w:tcPr>
          <w:p w14:paraId="7F381C52" w14:textId="08537B06"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0.2</w:t>
            </w:r>
          </w:p>
        </w:tc>
        <w:tc>
          <w:tcPr>
            <w:tcW w:w="870" w:type="dxa"/>
            <w:noWrap/>
            <w:hideMark/>
          </w:tcPr>
          <w:p w14:paraId="26A37F49" w14:textId="05A33E18"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0.3</w:t>
            </w:r>
          </w:p>
        </w:tc>
        <w:tc>
          <w:tcPr>
            <w:tcW w:w="870" w:type="dxa"/>
            <w:noWrap/>
            <w:hideMark/>
          </w:tcPr>
          <w:p w14:paraId="6956D2FB" w14:textId="7927EC1B"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0.0</w:t>
            </w:r>
          </w:p>
        </w:tc>
      </w:tr>
      <w:tr w:rsidR="00D35E19" w:rsidRPr="00217377" w14:paraId="05C904C4" w14:textId="77777777" w:rsidTr="00217377">
        <w:trPr>
          <w:trHeight w:val="255"/>
        </w:trPr>
        <w:tc>
          <w:tcPr>
            <w:tcW w:w="6122" w:type="dxa"/>
            <w:noWrap/>
            <w:hideMark/>
          </w:tcPr>
          <w:p w14:paraId="7B243C97" w14:textId="38AAC3CC"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Total recurrent adjustment costs (million EUR) </w:t>
            </w:r>
          </w:p>
        </w:tc>
        <w:tc>
          <w:tcPr>
            <w:tcW w:w="871" w:type="dxa"/>
            <w:noWrap/>
            <w:hideMark/>
          </w:tcPr>
          <w:p w14:paraId="38357706" w14:textId="224AF2EA"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0.0</w:t>
            </w:r>
          </w:p>
        </w:tc>
        <w:tc>
          <w:tcPr>
            <w:tcW w:w="870" w:type="dxa"/>
            <w:noWrap/>
            <w:hideMark/>
          </w:tcPr>
          <w:p w14:paraId="7623F8EB" w14:textId="65F90FD7"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0.4</w:t>
            </w:r>
          </w:p>
        </w:tc>
        <w:tc>
          <w:tcPr>
            <w:tcW w:w="870" w:type="dxa"/>
            <w:noWrap/>
            <w:hideMark/>
          </w:tcPr>
          <w:p w14:paraId="5D11441C" w14:textId="50CF3A62"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0.7</w:t>
            </w:r>
          </w:p>
        </w:tc>
        <w:tc>
          <w:tcPr>
            <w:tcW w:w="870" w:type="dxa"/>
            <w:noWrap/>
            <w:hideMark/>
          </w:tcPr>
          <w:p w14:paraId="7A6EC002" w14:textId="3FB63E56"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0.7</w:t>
            </w:r>
          </w:p>
        </w:tc>
      </w:tr>
      <w:tr w:rsidR="00D35E19" w:rsidRPr="00217377" w14:paraId="1F936078" w14:textId="77777777" w:rsidTr="00217377">
        <w:trPr>
          <w:trHeight w:val="255"/>
        </w:trPr>
        <w:tc>
          <w:tcPr>
            <w:tcW w:w="6122" w:type="dxa"/>
            <w:noWrap/>
            <w:hideMark/>
          </w:tcPr>
          <w:p w14:paraId="0BC88662" w14:textId="77777777" w:rsidR="00D35E19" w:rsidRPr="00217377" w:rsidRDefault="00D35E19" w:rsidP="00D35E19">
            <w:pPr>
              <w:pStyle w:val="Text4"/>
              <w:spacing w:before="0" w:after="0"/>
              <w:ind w:left="0"/>
              <w:rPr>
                <w:rFonts w:ascii="Times New Roman" w:eastAsia="Calibri" w:hAnsi="Times New Roman"/>
                <w:b/>
                <w:bCs/>
                <w:noProof/>
              </w:rPr>
            </w:pPr>
            <w:r w:rsidRPr="00217377">
              <w:rPr>
                <w:rFonts w:ascii="Times New Roman" w:eastAsia="Calibri" w:hAnsi="Times New Roman"/>
                <w:b/>
                <w:bCs/>
                <w:noProof/>
              </w:rPr>
              <w:t xml:space="preserve">PO4 </w:t>
            </w:r>
          </w:p>
        </w:tc>
        <w:tc>
          <w:tcPr>
            <w:tcW w:w="871" w:type="dxa"/>
            <w:noWrap/>
            <w:hideMark/>
          </w:tcPr>
          <w:p w14:paraId="26D81367" w14:textId="4D8247F3"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 </w:t>
            </w:r>
          </w:p>
        </w:tc>
        <w:tc>
          <w:tcPr>
            <w:tcW w:w="870" w:type="dxa"/>
            <w:noWrap/>
            <w:hideMark/>
          </w:tcPr>
          <w:p w14:paraId="4A6D19EE" w14:textId="1A0F25E6"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 </w:t>
            </w:r>
          </w:p>
        </w:tc>
        <w:tc>
          <w:tcPr>
            <w:tcW w:w="870" w:type="dxa"/>
            <w:noWrap/>
            <w:hideMark/>
          </w:tcPr>
          <w:p w14:paraId="56888C30" w14:textId="522D9C41"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 </w:t>
            </w:r>
          </w:p>
        </w:tc>
        <w:tc>
          <w:tcPr>
            <w:tcW w:w="870" w:type="dxa"/>
            <w:noWrap/>
            <w:hideMark/>
          </w:tcPr>
          <w:p w14:paraId="4F76E747" w14:textId="3AD05031"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 </w:t>
            </w:r>
          </w:p>
        </w:tc>
      </w:tr>
      <w:tr w:rsidR="00D35E19" w:rsidRPr="00217377" w14:paraId="12900F4F" w14:textId="77777777" w:rsidTr="00217377">
        <w:trPr>
          <w:trHeight w:val="255"/>
        </w:trPr>
        <w:tc>
          <w:tcPr>
            <w:tcW w:w="6122" w:type="dxa"/>
            <w:noWrap/>
            <w:hideMark/>
          </w:tcPr>
          <w:p w14:paraId="73E88E9E" w14:textId="3DD73BAA"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Number of </w:t>
            </w:r>
            <w:r w:rsidR="00D16C87">
              <w:rPr>
                <w:rFonts w:ascii="Times New Roman" w:eastAsia="Calibri" w:hAnsi="Times New Roman"/>
                <w:noProof/>
              </w:rPr>
              <w:t>non-SME</w:t>
            </w:r>
            <w:r w:rsidR="00D16C87" w:rsidRPr="00217377">
              <w:rPr>
                <w:rFonts w:ascii="Times New Roman" w:eastAsia="Calibri" w:hAnsi="Times New Roman"/>
                <w:noProof/>
              </w:rPr>
              <w:t xml:space="preserve"> </w:t>
            </w:r>
            <w:r w:rsidRPr="00217377">
              <w:rPr>
                <w:rFonts w:ascii="Times New Roman" w:eastAsia="Calibri" w:hAnsi="Times New Roman"/>
                <w:noProof/>
              </w:rPr>
              <w:t xml:space="preserve">MDMS platforms (excluding CRSs) that incur one-off costs due to PM1 </w:t>
            </w:r>
          </w:p>
        </w:tc>
        <w:tc>
          <w:tcPr>
            <w:tcW w:w="871" w:type="dxa"/>
            <w:noWrap/>
            <w:hideMark/>
          </w:tcPr>
          <w:p w14:paraId="3BB437FD" w14:textId="1774785E"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172</w:t>
            </w:r>
          </w:p>
        </w:tc>
        <w:tc>
          <w:tcPr>
            <w:tcW w:w="870" w:type="dxa"/>
            <w:noWrap/>
            <w:hideMark/>
          </w:tcPr>
          <w:p w14:paraId="0BD4B0AB" w14:textId="280CF125"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8</w:t>
            </w:r>
          </w:p>
        </w:tc>
        <w:tc>
          <w:tcPr>
            <w:tcW w:w="870" w:type="dxa"/>
            <w:noWrap/>
            <w:hideMark/>
          </w:tcPr>
          <w:p w14:paraId="798A35BB" w14:textId="138BD62F"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12</w:t>
            </w:r>
          </w:p>
        </w:tc>
        <w:tc>
          <w:tcPr>
            <w:tcW w:w="870" w:type="dxa"/>
            <w:noWrap/>
            <w:hideMark/>
          </w:tcPr>
          <w:p w14:paraId="463C4E2E" w14:textId="50F3AA02"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w:t>
            </w:r>
          </w:p>
        </w:tc>
      </w:tr>
      <w:tr w:rsidR="00D35E19" w:rsidRPr="00217377" w14:paraId="6E2C0F34" w14:textId="77777777" w:rsidTr="00217377">
        <w:trPr>
          <w:trHeight w:val="255"/>
        </w:trPr>
        <w:tc>
          <w:tcPr>
            <w:tcW w:w="6122" w:type="dxa"/>
            <w:noWrap/>
            <w:hideMark/>
          </w:tcPr>
          <w:p w14:paraId="3BA7FFF3" w14:textId="1E846092"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Number of </w:t>
            </w:r>
            <w:r w:rsidR="00D16C87">
              <w:rPr>
                <w:rFonts w:ascii="Times New Roman" w:eastAsia="Calibri" w:hAnsi="Times New Roman"/>
                <w:noProof/>
              </w:rPr>
              <w:t>non-SME</w:t>
            </w:r>
            <w:r w:rsidR="00D16C87" w:rsidRPr="00217377">
              <w:rPr>
                <w:rFonts w:ascii="Times New Roman" w:eastAsia="Calibri" w:hAnsi="Times New Roman"/>
                <w:noProof/>
              </w:rPr>
              <w:t xml:space="preserve"> </w:t>
            </w:r>
            <w:r w:rsidRPr="00217377">
              <w:rPr>
                <w:rFonts w:ascii="Times New Roman" w:eastAsia="Calibri" w:hAnsi="Times New Roman"/>
                <w:noProof/>
              </w:rPr>
              <w:t xml:space="preserve">MDMS platforms (excluding CRSs) that incur recurrent costs due to PM1 </w:t>
            </w:r>
          </w:p>
        </w:tc>
        <w:tc>
          <w:tcPr>
            <w:tcW w:w="871" w:type="dxa"/>
            <w:noWrap/>
            <w:hideMark/>
          </w:tcPr>
          <w:p w14:paraId="3712D43C" w14:textId="2D0F2C76"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w:t>
            </w:r>
          </w:p>
        </w:tc>
        <w:tc>
          <w:tcPr>
            <w:tcW w:w="870" w:type="dxa"/>
            <w:noWrap/>
            <w:hideMark/>
          </w:tcPr>
          <w:p w14:paraId="6864DC29" w14:textId="49BFBB1E"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180</w:t>
            </w:r>
          </w:p>
        </w:tc>
        <w:tc>
          <w:tcPr>
            <w:tcW w:w="870" w:type="dxa"/>
            <w:noWrap/>
            <w:hideMark/>
          </w:tcPr>
          <w:p w14:paraId="005EECFC" w14:textId="5B7A57D8"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298</w:t>
            </w:r>
          </w:p>
        </w:tc>
        <w:tc>
          <w:tcPr>
            <w:tcW w:w="870" w:type="dxa"/>
            <w:noWrap/>
            <w:hideMark/>
          </w:tcPr>
          <w:p w14:paraId="54B63C17" w14:textId="7F88F386"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302</w:t>
            </w:r>
          </w:p>
        </w:tc>
      </w:tr>
      <w:tr w:rsidR="00D35E19" w:rsidRPr="00217377" w14:paraId="53FDCF5E" w14:textId="77777777" w:rsidTr="00217377">
        <w:trPr>
          <w:trHeight w:val="255"/>
        </w:trPr>
        <w:tc>
          <w:tcPr>
            <w:tcW w:w="6122" w:type="dxa"/>
            <w:noWrap/>
          </w:tcPr>
          <w:p w14:paraId="2B5025BE" w14:textId="130AFC1C"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Number of CRS platforms that incur one-off costs due to PM1</w:t>
            </w:r>
          </w:p>
        </w:tc>
        <w:tc>
          <w:tcPr>
            <w:tcW w:w="871" w:type="dxa"/>
            <w:noWrap/>
          </w:tcPr>
          <w:p w14:paraId="3CC4BA92" w14:textId="0A19B47B" w:rsidR="00D35E19" w:rsidRPr="00217377" w:rsidRDefault="00D35E19" w:rsidP="00D35E19">
            <w:pPr>
              <w:pStyle w:val="Text4"/>
              <w:spacing w:before="0" w:after="0"/>
              <w:ind w:left="0"/>
              <w:jc w:val="center"/>
              <w:rPr>
                <w:rFonts w:ascii="Times New Roman" w:hAnsi="Times New Roman"/>
                <w:noProof/>
              </w:rPr>
            </w:pPr>
            <w:r w:rsidRPr="00217377">
              <w:rPr>
                <w:rFonts w:ascii="Times New Roman" w:hAnsi="Times New Roman"/>
                <w:noProof/>
              </w:rPr>
              <w:t>3</w:t>
            </w:r>
          </w:p>
        </w:tc>
        <w:tc>
          <w:tcPr>
            <w:tcW w:w="870" w:type="dxa"/>
            <w:noWrap/>
          </w:tcPr>
          <w:p w14:paraId="623656FE" w14:textId="172D86B0" w:rsidR="00D35E19" w:rsidRPr="00217377" w:rsidRDefault="00D35E19" w:rsidP="00D35E19">
            <w:pPr>
              <w:pStyle w:val="Text4"/>
              <w:spacing w:before="0" w:after="0"/>
              <w:ind w:left="0"/>
              <w:jc w:val="center"/>
              <w:rPr>
                <w:rFonts w:ascii="Times New Roman" w:hAnsi="Times New Roman"/>
                <w:noProof/>
              </w:rPr>
            </w:pPr>
            <w:r w:rsidRPr="00217377">
              <w:rPr>
                <w:rFonts w:ascii="Times New Roman" w:hAnsi="Times New Roman"/>
                <w:noProof/>
              </w:rPr>
              <w:t> </w:t>
            </w:r>
          </w:p>
        </w:tc>
        <w:tc>
          <w:tcPr>
            <w:tcW w:w="870" w:type="dxa"/>
            <w:noWrap/>
          </w:tcPr>
          <w:p w14:paraId="59B433F3" w14:textId="4894C3A9" w:rsidR="00D35E19" w:rsidRPr="00217377" w:rsidRDefault="00D35E19" w:rsidP="00D35E19">
            <w:pPr>
              <w:pStyle w:val="Text4"/>
              <w:spacing w:before="0" w:after="0"/>
              <w:ind w:left="0"/>
              <w:jc w:val="center"/>
              <w:rPr>
                <w:rFonts w:ascii="Times New Roman" w:hAnsi="Times New Roman"/>
                <w:noProof/>
              </w:rPr>
            </w:pPr>
            <w:r w:rsidRPr="00217377">
              <w:rPr>
                <w:rFonts w:ascii="Times New Roman" w:hAnsi="Times New Roman"/>
                <w:noProof/>
              </w:rPr>
              <w:t> </w:t>
            </w:r>
          </w:p>
        </w:tc>
        <w:tc>
          <w:tcPr>
            <w:tcW w:w="870" w:type="dxa"/>
            <w:noWrap/>
          </w:tcPr>
          <w:p w14:paraId="7139DDC5" w14:textId="0E230D4E" w:rsidR="00D35E19" w:rsidRPr="00217377" w:rsidRDefault="00D35E19" w:rsidP="00D35E19">
            <w:pPr>
              <w:pStyle w:val="Text4"/>
              <w:spacing w:before="0" w:after="0"/>
              <w:ind w:left="0"/>
              <w:jc w:val="center"/>
              <w:rPr>
                <w:rFonts w:ascii="Times New Roman" w:hAnsi="Times New Roman"/>
                <w:noProof/>
              </w:rPr>
            </w:pPr>
            <w:r w:rsidRPr="00217377">
              <w:rPr>
                <w:rFonts w:ascii="Times New Roman" w:hAnsi="Times New Roman"/>
                <w:noProof/>
              </w:rPr>
              <w:t> </w:t>
            </w:r>
          </w:p>
        </w:tc>
      </w:tr>
      <w:tr w:rsidR="00D35E19" w:rsidRPr="00217377" w14:paraId="21018DA1" w14:textId="77777777" w:rsidTr="00217377">
        <w:trPr>
          <w:trHeight w:val="255"/>
        </w:trPr>
        <w:tc>
          <w:tcPr>
            <w:tcW w:w="6122" w:type="dxa"/>
            <w:noWrap/>
            <w:hideMark/>
          </w:tcPr>
          <w:p w14:paraId="4B092C47" w14:textId="09E69175"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Total one-off adjustment costs (million EUR) </w:t>
            </w:r>
          </w:p>
        </w:tc>
        <w:tc>
          <w:tcPr>
            <w:tcW w:w="871" w:type="dxa"/>
            <w:noWrap/>
            <w:hideMark/>
          </w:tcPr>
          <w:p w14:paraId="39F4858C" w14:textId="3D7F38C1"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4.0</w:t>
            </w:r>
          </w:p>
        </w:tc>
        <w:tc>
          <w:tcPr>
            <w:tcW w:w="870" w:type="dxa"/>
            <w:noWrap/>
            <w:hideMark/>
          </w:tcPr>
          <w:p w14:paraId="74B418F5" w14:textId="292A7313"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0.2</w:t>
            </w:r>
          </w:p>
        </w:tc>
        <w:tc>
          <w:tcPr>
            <w:tcW w:w="870" w:type="dxa"/>
            <w:noWrap/>
            <w:hideMark/>
          </w:tcPr>
          <w:p w14:paraId="3C2E6BAF" w14:textId="6C3358D2"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0.3</w:t>
            </w:r>
          </w:p>
        </w:tc>
        <w:tc>
          <w:tcPr>
            <w:tcW w:w="870" w:type="dxa"/>
            <w:noWrap/>
            <w:hideMark/>
          </w:tcPr>
          <w:p w14:paraId="5BE5FC01" w14:textId="2F343183"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0.0</w:t>
            </w:r>
          </w:p>
        </w:tc>
      </w:tr>
      <w:tr w:rsidR="00D35E19" w:rsidRPr="00217377" w14:paraId="1077FC01" w14:textId="77777777" w:rsidTr="00217377">
        <w:trPr>
          <w:trHeight w:val="255"/>
        </w:trPr>
        <w:tc>
          <w:tcPr>
            <w:tcW w:w="6122" w:type="dxa"/>
            <w:noWrap/>
            <w:hideMark/>
          </w:tcPr>
          <w:p w14:paraId="53A3161B" w14:textId="21076B38" w:rsidR="00D35E19" w:rsidRPr="00217377" w:rsidRDefault="00D35E19" w:rsidP="00D35E19">
            <w:pPr>
              <w:pStyle w:val="Text4"/>
              <w:spacing w:before="0" w:after="0"/>
              <w:ind w:left="0"/>
              <w:rPr>
                <w:rFonts w:ascii="Times New Roman" w:eastAsia="Calibri" w:hAnsi="Times New Roman"/>
                <w:noProof/>
              </w:rPr>
            </w:pPr>
            <w:r w:rsidRPr="00217377">
              <w:rPr>
                <w:rFonts w:ascii="Times New Roman" w:eastAsia="Calibri" w:hAnsi="Times New Roman"/>
                <w:noProof/>
              </w:rPr>
              <w:t xml:space="preserve">Total recurrent adjustment costs (million EUR) </w:t>
            </w:r>
          </w:p>
        </w:tc>
        <w:tc>
          <w:tcPr>
            <w:tcW w:w="871" w:type="dxa"/>
            <w:noWrap/>
            <w:hideMark/>
          </w:tcPr>
          <w:p w14:paraId="3293E1A0" w14:textId="6B096708"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0.0</w:t>
            </w:r>
          </w:p>
        </w:tc>
        <w:tc>
          <w:tcPr>
            <w:tcW w:w="870" w:type="dxa"/>
            <w:noWrap/>
            <w:hideMark/>
          </w:tcPr>
          <w:p w14:paraId="6E438C77" w14:textId="5F5AF6C0"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0.4</w:t>
            </w:r>
          </w:p>
        </w:tc>
        <w:tc>
          <w:tcPr>
            <w:tcW w:w="870" w:type="dxa"/>
            <w:noWrap/>
            <w:hideMark/>
          </w:tcPr>
          <w:p w14:paraId="3070AD2A" w14:textId="5A19CB15"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0.7</w:t>
            </w:r>
          </w:p>
        </w:tc>
        <w:tc>
          <w:tcPr>
            <w:tcW w:w="870" w:type="dxa"/>
            <w:noWrap/>
            <w:hideMark/>
          </w:tcPr>
          <w:p w14:paraId="6DAFE884" w14:textId="2EBA6605" w:rsidR="00D35E19" w:rsidRPr="00217377" w:rsidRDefault="00D35E19" w:rsidP="00D35E19">
            <w:pPr>
              <w:pStyle w:val="Text4"/>
              <w:spacing w:before="0" w:after="0"/>
              <w:ind w:left="0"/>
              <w:jc w:val="center"/>
              <w:rPr>
                <w:rFonts w:ascii="Times New Roman" w:eastAsia="Calibri" w:hAnsi="Times New Roman"/>
                <w:noProof/>
              </w:rPr>
            </w:pPr>
            <w:r w:rsidRPr="00217377">
              <w:rPr>
                <w:rFonts w:ascii="Times New Roman" w:hAnsi="Times New Roman"/>
                <w:noProof/>
              </w:rPr>
              <w:t>0.7</w:t>
            </w:r>
          </w:p>
        </w:tc>
      </w:tr>
    </w:tbl>
    <w:p w14:paraId="1C965726" w14:textId="77777777" w:rsidR="007F673A" w:rsidRPr="00D71008" w:rsidRDefault="007F673A" w:rsidP="007F673A">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77FFCE1F" w14:textId="6AD21E38" w:rsidR="00CE3F8D" w:rsidRDefault="00CE3F8D" w:rsidP="00CE3F8D">
      <w:pPr>
        <w:pStyle w:val="Text4"/>
        <w:spacing w:before="0" w:after="240"/>
        <w:ind w:left="0"/>
        <w:rPr>
          <w:rFonts w:ascii="Times New Roman" w:eastAsia="Calibri" w:hAnsi="Times New Roman"/>
          <w:noProof/>
          <w:spacing w:val="-8"/>
          <w:sz w:val="24"/>
          <w:szCs w:val="24"/>
        </w:rPr>
      </w:pPr>
      <w:r w:rsidRPr="00AB18E0">
        <w:rPr>
          <w:rFonts w:ascii="Times New Roman" w:eastAsia="Calibri" w:hAnsi="Times New Roman"/>
          <w:noProof/>
          <w:spacing w:val="-8"/>
          <w:sz w:val="24"/>
          <w:szCs w:val="24"/>
        </w:rPr>
        <w:t xml:space="preserve">The table above covers total one-off and recurrent adjustment costs for both </w:t>
      </w:r>
      <w:r w:rsidR="00514B4A">
        <w:rPr>
          <w:rFonts w:ascii="Times New Roman" w:eastAsia="Calibri" w:hAnsi="Times New Roman"/>
          <w:noProof/>
          <w:spacing w:val="-8"/>
          <w:sz w:val="24"/>
          <w:szCs w:val="24"/>
        </w:rPr>
        <w:t>non-SME</w:t>
      </w:r>
      <w:r w:rsidRPr="00AB18E0">
        <w:rPr>
          <w:rFonts w:ascii="Times New Roman" w:eastAsia="Calibri" w:hAnsi="Times New Roman"/>
          <w:noProof/>
          <w:spacing w:val="-8"/>
          <w:sz w:val="24"/>
          <w:szCs w:val="24"/>
        </w:rPr>
        <w:t xml:space="preserve"> B2B and B2C platforms. As </w:t>
      </w:r>
      <w:r w:rsidR="002C13FE">
        <w:rPr>
          <w:rFonts w:ascii="Times New Roman" w:eastAsia="Calibri" w:hAnsi="Times New Roman"/>
          <w:noProof/>
          <w:spacing w:val="-8"/>
          <w:sz w:val="24"/>
          <w:szCs w:val="24"/>
        </w:rPr>
        <w:t xml:space="preserve">already </w:t>
      </w:r>
      <w:r w:rsidRPr="00AB18E0">
        <w:rPr>
          <w:rFonts w:ascii="Times New Roman" w:eastAsia="Calibri" w:hAnsi="Times New Roman"/>
          <w:noProof/>
          <w:spacing w:val="-8"/>
          <w:sz w:val="24"/>
          <w:szCs w:val="24"/>
        </w:rPr>
        <w:t>explained, m</w:t>
      </w:r>
      <w:r w:rsidRPr="00AB18E0">
        <w:rPr>
          <w:rFonts w:ascii="Times New Roman" w:hAnsi="Times New Roman"/>
          <w:noProof/>
          <w:spacing w:val="-8"/>
          <w:sz w:val="24"/>
          <w:szCs w:val="24"/>
        </w:rPr>
        <w:t>ost B2B MDMS platforms operate EU-wide</w:t>
      </w:r>
      <w:r>
        <w:rPr>
          <w:rFonts w:ascii="Times New Roman" w:hAnsi="Times New Roman"/>
          <w:noProof/>
          <w:spacing w:val="-8"/>
          <w:sz w:val="24"/>
          <w:szCs w:val="24"/>
        </w:rPr>
        <w:t xml:space="preserve"> and</w:t>
      </w:r>
      <w:r w:rsidRPr="00AB18E0">
        <w:rPr>
          <w:rFonts w:ascii="Times New Roman" w:hAnsi="Times New Roman"/>
          <w:noProof/>
          <w:spacing w:val="-8"/>
          <w:sz w:val="24"/>
          <w:szCs w:val="24"/>
        </w:rPr>
        <w:t xml:space="preserve"> it is not possible to provide the costs by Member State.</w:t>
      </w:r>
      <w:r>
        <w:rPr>
          <w:rFonts w:ascii="Times New Roman" w:hAnsi="Times New Roman"/>
          <w:noProof/>
          <w:spacing w:val="-8"/>
          <w:sz w:val="24"/>
          <w:szCs w:val="24"/>
        </w:rPr>
        <w:t xml:space="preserve"> Therefore, only the part of the total </w:t>
      </w:r>
      <w:r w:rsidRPr="00AB18E0">
        <w:rPr>
          <w:rFonts w:ascii="Times New Roman" w:eastAsia="Calibri" w:hAnsi="Times New Roman"/>
          <w:noProof/>
          <w:spacing w:val="-8"/>
          <w:sz w:val="24"/>
          <w:szCs w:val="24"/>
        </w:rPr>
        <w:t>one-off and recurrent adjustment costs</w:t>
      </w:r>
      <w:r>
        <w:rPr>
          <w:rFonts w:ascii="Times New Roman" w:eastAsia="Calibri" w:hAnsi="Times New Roman"/>
          <w:noProof/>
          <w:spacing w:val="-8"/>
          <w:sz w:val="24"/>
          <w:szCs w:val="24"/>
        </w:rPr>
        <w:t xml:space="preserve"> for the B2C platforms is provided by Member State in the tables below, by policy option</w:t>
      </w:r>
      <w:r w:rsidR="0021737D">
        <w:rPr>
          <w:rStyle w:val="FootnoteReference"/>
          <w:rFonts w:ascii="Times New Roman" w:eastAsia="Calibri" w:hAnsi="Times New Roman"/>
          <w:noProof/>
          <w:spacing w:val="-8"/>
          <w:sz w:val="24"/>
          <w:szCs w:val="24"/>
        </w:rPr>
        <w:footnoteReference w:id="346"/>
      </w:r>
      <w:r>
        <w:rPr>
          <w:rFonts w:ascii="Times New Roman" w:eastAsia="Calibri" w:hAnsi="Times New Roman"/>
          <w:noProof/>
          <w:spacing w:val="-8"/>
          <w:sz w:val="24"/>
          <w:szCs w:val="24"/>
        </w:rPr>
        <w:t xml:space="preserve">. </w:t>
      </w:r>
    </w:p>
    <w:p w14:paraId="7C8EE3C8" w14:textId="121A9DF1" w:rsidR="000D2AC7" w:rsidRPr="00383DBF" w:rsidRDefault="000D2AC7" w:rsidP="00D16A6A">
      <w:pPr>
        <w:keepNext/>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68</w:t>
      </w:r>
      <w:r w:rsidRPr="00383DBF">
        <w:rPr>
          <w:i/>
          <w:noProof/>
          <w:sz w:val="22"/>
          <w:szCs w:val="22"/>
        </w:rPr>
        <w:fldChar w:fldCharType="end"/>
      </w:r>
      <w:r w:rsidRPr="00383DBF">
        <w:rPr>
          <w:i/>
          <w:noProof/>
          <w:sz w:val="22"/>
          <w:szCs w:val="22"/>
        </w:rPr>
        <w:t xml:space="preserve">: </w:t>
      </w:r>
      <w:r w:rsidR="000A69D4" w:rsidRPr="00383DBF">
        <w:rPr>
          <w:i/>
          <w:noProof/>
          <w:sz w:val="22"/>
          <w:szCs w:val="22"/>
        </w:rPr>
        <w:t>Total o</w:t>
      </w:r>
      <w:r w:rsidRPr="00383DBF">
        <w:rPr>
          <w:i/>
          <w:noProof/>
          <w:sz w:val="22"/>
          <w:szCs w:val="22"/>
        </w:rPr>
        <w:t xml:space="preserve">ne-off and recurrent adjustment costs for </w:t>
      </w:r>
      <w:r w:rsidR="00514B4A">
        <w:rPr>
          <w:i/>
          <w:noProof/>
          <w:sz w:val="22"/>
          <w:szCs w:val="22"/>
        </w:rPr>
        <w:t>non-SME</w:t>
      </w:r>
      <w:r w:rsidRPr="00383DBF">
        <w:rPr>
          <w:i/>
          <w:noProof/>
          <w:sz w:val="22"/>
          <w:szCs w:val="22"/>
        </w:rPr>
        <w:t xml:space="preserve"> B2C MDMS platforms due to PM1 in PO1 in 2028, 2030, 2040 and 2050 relative to the baseline (</w:t>
      </w:r>
      <w:r w:rsidR="00363A11" w:rsidRPr="00383DBF">
        <w:rPr>
          <w:i/>
          <w:noProof/>
          <w:sz w:val="22"/>
          <w:szCs w:val="22"/>
        </w:rPr>
        <w:t xml:space="preserve">thousand EUR, </w:t>
      </w:r>
      <w:r w:rsidRPr="00383DBF">
        <w:rPr>
          <w:i/>
          <w:noProof/>
          <w:sz w:val="22"/>
          <w:szCs w:val="22"/>
        </w:rPr>
        <w:t>in 2024 prices)</w:t>
      </w:r>
    </w:p>
    <w:tbl>
      <w:tblPr>
        <w:tblW w:w="5000" w:type="pct"/>
        <w:tblLook w:val="04A0" w:firstRow="1" w:lastRow="0" w:firstColumn="1" w:lastColumn="0" w:noHBand="0" w:noVBand="1"/>
      </w:tblPr>
      <w:tblGrid>
        <w:gridCol w:w="3566"/>
        <w:gridCol w:w="1509"/>
        <w:gridCol w:w="1510"/>
        <w:gridCol w:w="1510"/>
        <w:gridCol w:w="1508"/>
      </w:tblGrid>
      <w:tr w:rsidR="008B1861" w:rsidRPr="00DE765A" w14:paraId="06920CF9" w14:textId="77777777" w:rsidTr="00FA4590">
        <w:trPr>
          <w:trHeight w:val="255"/>
          <w:tblHeader/>
        </w:trPr>
        <w:tc>
          <w:tcPr>
            <w:tcW w:w="1857" w:type="pct"/>
            <w:tcBorders>
              <w:top w:val="single" w:sz="4" w:space="0" w:color="auto"/>
              <w:left w:val="single" w:sz="4" w:space="0" w:color="auto"/>
              <w:bottom w:val="single" w:sz="4" w:space="0" w:color="auto"/>
              <w:right w:val="single" w:sz="4" w:space="0" w:color="auto"/>
            </w:tcBorders>
            <w:shd w:val="clear" w:color="000000" w:fill="0070C0"/>
            <w:noWrap/>
            <w:hideMark/>
          </w:tcPr>
          <w:p w14:paraId="5561D1D1" w14:textId="0F4C873B" w:rsidR="008B1861" w:rsidRPr="00DE765A" w:rsidRDefault="008B1861" w:rsidP="00D16A6A">
            <w:pPr>
              <w:keepNext/>
              <w:jc w:val="center"/>
              <w:rPr>
                <w:b/>
                <w:bCs/>
                <w:noProof/>
                <w:color w:val="FFFFFF"/>
                <w:sz w:val="20"/>
                <w:szCs w:val="20"/>
              </w:rPr>
            </w:pPr>
          </w:p>
        </w:tc>
        <w:tc>
          <w:tcPr>
            <w:tcW w:w="786" w:type="pct"/>
            <w:tcBorders>
              <w:top w:val="single" w:sz="4" w:space="0" w:color="auto"/>
              <w:left w:val="nil"/>
              <w:bottom w:val="single" w:sz="4" w:space="0" w:color="auto"/>
              <w:right w:val="single" w:sz="4" w:space="0" w:color="auto"/>
            </w:tcBorders>
            <w:shd w:val="clear" w:color="000000" w:fill="0070C0"/>
            <w:noWrap/>
            <w:hideMark/>
          </w:tcPr>
          <w:p w14:paraId="24BB10E6" w14:textId="77777777" w:rsidR="008B1861" w:rsidRPr="00DE765A" w:rsidRDefault="008B1861" w:rsidP="00D16A6A">
            <w:pPr>
              <w:keepNext/>
              <w:jc w:val="center"/>
              <w:rPr>
                <w:b/>
                <w:bCs/>
                <w:noProof/>
                <w:color w:val="FFFFFF"/>
                <w:sz w:val="20"/>
                <w:szCs w:val="20"/>
              </w:rPr>
            </w:pPr>
            <w:r w:rsidRPr="00DE765A">
              <w:rPr>
                <w:b/>
                <w:bCs/>
                <w:noProof/>
                <w:color w:val="FFFFFF"/>
                <w:sz w:val="20"/>
                <w:szCs w:val="20"/>
              </w:rPr>
              <w:t>2028</w:t>
            </w:r>
          </w:p>
        </w:tc>
        <w:tc>
          <w:tcPr>
            <w:tcW w:w="786" w:type="pct"/>
            <w:tcBorders>
              <w:top w:val="single" w:sz="4" w:space="0" w:color="auto"/>
              <w:left w:val="nil"/>
              <w:bottom w:val="single" w:sz="4" w:space="0" w:color="auto"/>
              <w:right w:val="single" w:sz="4" w:space="0" w:color="auto"/>
            </w:tcBorders>
            <w:shd w:val="clear" w:color="000000" w:fill="0070C0"/>
            <w:noWrap/>
            <w:hideMark/>
          </w:tcPr>
          <w:p w14:paraId="37841674" w14:textId="77777777" w:rsidR="008B1861" w:rsidRPr="00DE765A" w:rsidRDefault="008B1861" w:rsidP="00D16A6A">
            <w:pPr>
              <w:keepNext/>
              <w:jc w:val="center"/>
              <w:rPr>
                <w:b/>
                <w:bCs/>
                <w:noProof/>
                <w:color w:val="FFFFFF"/>
                <w:sz w:val="20"/>
                <w:szCs w:val="20"/>
              </w:rPr>
            </w:pPr>
            <w:r w:rsidRPr="00DE765A">
              <w:rPr>
                <w:b/>
                <w:bCs/>
                <w:noProof/>
                <w:color w:val="FFFFFF"/>
                <w:sz w:val="20"/>
                <w:szCs w:val="20"/>
              </w:rPr>
              <w:t>2030</w:t>
            </w:r>
          </w:p>
        </w:tc>
        <w:tc>
          <w:tcPr>
            <w:tcW w:w="786" w:type="pct"/>
            <w:tcBorders>
              <w:top w:val="single" w:sz="4" w:space="0" w:color="auto"/>
              <w:left w:val="nil"/>
              <w:bottom w:val="single" w:sz="4" w:space="0" w:color="auto"/>
              <w:right w:val="single" w:sz="4" w:space="0" w:color="auto"/>
            </w:tcBorders>
            <w:shd w:val="clear" w:color="000000" w:fill="0070C0"/>
            <w:noWrap/>
            <w:hideMark/>
          </w:tcPr>
          <w:p w14:paraId="615E443E" w14:textId="77777777" w:rsidR="008B1861" w:rsidRPr="00DE765A" w:rsidRDefault="008B1861" w:rsidP="00D16A6A">
            <w:pPr>
              <w:keepNext/>
              <w:jc w:val="center"/>
              <w:rPr>
                <w:b/>
                <w:bCs/>
                <w:noProof/>
                <w:color w:val="FFFFFF"/>
                <w:sz w:val="20"/>
                <w:szCs w:val="20"/>
              </w:rPr>
            </w:pPr>
            <w:r w:rsidRPr="00DE765A">
              <w:rPr>
                <w:b/>
                <w:bCs/>
                <w:noProof/>
                <w:color w:val="FFFFFF"/>
                <w:sz w:val="20"/>
                <w:szCs w:val="20"/>
              </w:rPr>
              <w:t>2040</w:t>
            </w:r>
          </w:p>
        </w:tc>
        <w:tc>
          <w:tcPr>
            <w:tcW w:w="785" w:type="pct"/>
            <w:tcBorders>
              <w:top w:val="single" w:sz="4" w:space="0" w:color="auto"/>
              <w:left w:val="nil"/>
              <w:bottom w:val="single" w:sz="4" w:space="0" w:color="auto"/>
              <w:right w:val="single" w:sz="4" w:space="0" w:color="auto"/>
            </w:tcBorders>
            <w:shd w:val="clear" w:color="000000" w:fill="0070C0"/>
            <w:noWrap/>
            <w:hideMark/>
          </w:tcPr>
          <w:p w14:paraId="786CF222" w14:textId="77777777" w:rsidR="008B1861" w:rsidRPr="00DE765A" w:rsidRDefault="008B1861" w:rsidP="00D16A6A">
            <w:pPr>
              <w:keepNext/>
              <w:jc w:val="center"/>
              <w:rPr>
                <w:b/>
                <w:bCs/>
                <w:noProof/>
                <w:color w:val="FFFFFF"/>
                <w:sz w:val="20"/>
                <w:szCs w:val="20"/>
              </w:rPr>
            </w:pPr>
            <w:r w:rsidRPr="00DE765A">
              <w:rPr>
                <w:b/>
                <w:bCs/>
                <w:noProof/>
                <w:color w:val="FFFFFF"/>
                <w:sz w:val="20"/>
                <w:szCs w:val="20"/>
              </w:rPr>
              <w:t>2050</w:t>
            </w:r>
          </w:p>
        </w:tc>
      </w:tr>
      <w:tr w:rsidR="00FA4590" w:rsidRPr="00DE765A" w14:paraId="52FF8365"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2C08616F" w14:textId="77777777" w:rsidR="00FA4590" w:rsidRPr="00DE765A" w:rsidRDefault="00FA4590" w:rsidP="00FA4590">
            <w:pPr>
              <w:outlineLvl w:val="0"/>
              <w:rPr>
                <w:noProof/>
                <w:sz w:val="20"/>
                <w:szCs w:val="20"/>
              </w:rPr>
            </w:pPr>
            <w:r w:rsidRPr="00DE765A">
              <w:rPr>
                <w:noProof/>
                <w:sz w:val="20"/>
                <w:szCs w:val="20"/>
              </w:rPr>
              <w:t xml:space="preserve"> </w:t>
            </w:r>
            <w:bookmarkStart w:id="437" w:name="_Toc223980042"/>
            <w:r w:rsidRPr="00DE765A">
              <w:rPr>
                <w:noProof/>
                <w:sz w:val="20"/>
                <w:szCs w:val="20"/>
              </w:rPr>
              <w:t>Germany</w:t>
            </w:r>
            <w:bookmarkEnd w:id="437"/>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588EA2E9" w14:textId="7A0CF71B" w:rsidR="00FA4590" w:rsidRPr="00DE765A" w:rsidRDefault="00FA4590" w:rsidP="00FA4590">
            <w:pPr>
              <w:jc w:val="right"/>
              <w:outlineLvl w:val="0"/>
              <w:rPr>
                <w:noProof/>
                <w:sz w:val="20"/>
                <w:szCs w:val="20"/>
              </w:rPr>
            </w:pPr>
            <w:bookmarkStart w:id="438" w:name="_Toc223980043"/>
            <w:r w:rsidRPr="00DE765A">
              <w:rPr>
                <w:noProof/>
                <w:sz w:val="20"/>
                <w:szCs w:val="20"/>
              </w:rPr>
              <w:t>411.0</w:t>
            </w:r>
            <w:bookmarkEnd w:id="438"/>
          </w:p>
        </w:tc>
        <w:tc>
          <w:tcPr>
            <w:tcW w:w="786" w:type="pct"/>
            <w:tcBorders>
              <w:top w:val="nil"/>
              <w:left w:val="nil"/>
              <w:bottom w:val="single" w:sz="4" w:space="0" w:color="auto"/>
              <w:right w:val="single" w:sz="4" w:space="0" w:color="auto"/>
            </w:tcBorders>
            <w:shd w:val="clear" w:color="000000" w:fill="FFFFFF"/>
            <w:noWrap/>
            <w:hideMark/>
          </w:tcPr>
          <w:p w14:paraId="730C9856" w14:textId="5E70BD58" w:rsidR="00FA4590" w:rsidRPr="00DE765A" w:rsidRDefault="00FA4590" w:rsidP="00FA4590">
            <w:pPr>
              <w:jc w:val="right"/>
              <w:outlineLvl w:val="0"/>
              <w:rPr>
                <w:noProof/>
                <w:sz w:val="20"/>
                <w:szCs w:val="20"/>
              </w:rPr>
            </w:pPr>
            <w:bookmarkStart w:id="439" w:name="_Toc223980044"/>
            <w:r w:rsidRPr="00DE765A">
              <w:rPr>
                <w:noProof/>
                <w:sz w:val="20"/>
                <w:szCs w:val="20"/>
              </w:rPr>
              <w:t>50.5</w:t>
            </w:r>
            <w:bookmarkEnd w:id="439"/>
          </w:p>
        </w:tc>
        <w:tc>
          <w:tcPr>
            <w:tcW w:w="786" w:type="pct"/>
            <w:tcBorders>
              <w:top w:val="nil"/>
              <w:left w:val="nil"/>
              <w:bottom w:val="single" w:sz="4" w:space="0" w:color="auto"/>
              <w:right w:val="single" w:sz="4" w:space="0" w:color="auto"/>
            </w:tcBorders>
            <w:shd w:val="clear" w:color="000000" w:fill="FFFFFF"/>
            <w:noWrap/>
            <w:hideMark/>
          </w:tcPr>
          <w:p w14:paraId="453D1753" w14:textId="261CC099" w:rsidR="00FA4590" w:rsidRPr="00DE765A" w:rsidRDefault="00FA4590" w:rsidP="00FA4590">
            <w:pPr>
              <w:jc w:val="right"/>
              <w:outlineLvl w:val="0"/>
              <w:rPr>
                <w:noProof/>
                <w:sz w:val="20"/>
                <w:szCs w:val="20"/>
              </w:rPr>
            </w:pPr>
            <w:bookmarkStart w:id="440" w:name="_Toc223980045"/>
            <w:r w:rsidRPr="00DE765A">
              <w:rPr>
                <w:noProof/>
                <w:sz w:val="20"/>
                <w:szCs w:val="20"/>
              </w:rPr>
              <w:t>54.3</w:t>
            </w:r>
            <w:bookmarkEnd w:id="440"/>
          </w:p>
        </w:tc>
        <w:tc>
          <w:tcPr>
            <w:tcW w:w="785" w:type="pct"/>
            <w:tcBorders>
              <w:top w:val="nil"/>
              <w:left w:val="nil"/>
              <w:bottom w:val="single" w:sz="4" w:space="0" w:color="auto"/>
              <w:right w:val="single" w:sz="4" w:space="0" w:color="auto"/>
            </w:tcBorders>
            <w:shd w:val="clear" w:color="000000" w:fill="FFFFFF"/>
            <w:noWrap/>
            <w:hideMark/>
          </w:tcPr>
          <w:p w14:paraId="53B49D33" w14:textId="38156913" w:rsidR="00FA4590" w:rsidRPr="00DE765A" w:rsidRDefault="00FA4590" w:rsidP="00FA4590">
            <w:pPr>
              <w:jc w:val="right"/>
              <w:outlineLvl w:val="0"/>
              <w:rPr>
                <w:noProof/>
                <w:sz w:val="20"/>
                <w:szCs w:val="20"/>
              </w:rPr>
            </w:pPr>
            <w:bookmarkStart w:id="441" w:name="_Toc223980046"/>
            <w:r w:rsidRPr="00DE765A">
              <w:rPr>
                <w:noProof/>
                <w:sz w:val="20"/>
                <w:szCs w:val="20"/>
              </w:rPr>
              <w:t>49.6</w:t>
            </w:r>
            <w:bookmarkEnd w:id="441"/>
          </w:p>
        </w:tc>
      </w:tr>
      <w:tr w:rsidR="00FA4590" w:rsidRPr="00DE765A" w14:paraId="254DD83E"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2F6099AD" w14:textId="77777777" w:rsidR="00FA4590" w:rsidRPr="00DE765A" w:rsidRDefault="00FA4590" w:rsidP="00FA4590">
            <w:pPr>
              <w:outlineLvl w:val="0"/>
              <w:rPr>
                <w:noProof/>
                <w:sz w:val="20"/>
                <w:szCs w:val="20"/>
              </w:rPr>
            </w:pPr>
            <w:r w:rsidRPr="00DE765A">
              <w:rPr>
                <w:noProof/>
                <w:sz w:val="20"/>
                <w:szCs w:val="20"/>
              </w:rPr>
              <w:t xml:space="preserve"> </w:t>
            </w:r>
            <w:bookmarkStart w:id="442" w:name="_Toc223980047"/>
            <w:r w:rsidRPr="00DE765A">
              <w:rPr>
                <w:noProof/>
                <w:sz w:val="20"/>
                <w:szCs w:val="20"/>
              </w:rPr>
              <w:t>Austria</w:t>
            </w:r>
            <w:bookmarkEnd w:id="442"/>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27F44F7A" w14:textId="286CE049" w:rsidR="00FA4590" w:rsidRPr="00DE765A" w:rsidRDefault="00FA4590" w:rsidP="00FA4590">
            <w:pPr>
              <w:jc w:val="right"/>
              <w:outlineLvl w:val="0"/>
              <w:rPr>
                <w:noProof/>
                <w:sz w:val="20"/>
                <w:szCs w:val="20"/>
              </w:rPr>
            </w:pPr>
            <w:bookmarkStart w:id="443" w:name="_Toc223980048"/>
            <w:r w:rsidRPr="00DE765A">
              <w:rPr>
                <w:noProof/>
                <w:sz w:val="20"/>
                <w:szCs w:val="20"/>
              </w:rPr>
              <w:t>308.3</w:t>
            </w:r>
            <w:bookmarkEnd w:id="443"/>
          </w:p>
        </w:tc>
        <w:tc>
          <w:tcPr>
            <w:tcW w:w="786" w:type="pct"/>
            <w:tcBorders>
              <w:top w:val="nil"/>
              <w:left w:val="nil"/>
              <w:bottom w:val="single" w:sz="4" w:space="0" w:color="auto"/>
              <w:right w:val="single" w:sz="4" w:space="0" w:color="auto"/>
            </w:tcBorders>
            <w:shd w:val="clear" w:color="000000" w:fill="FFFFFF"/>
            <w:noWrap/>
            <w:hideMark/>
          </w:tcPr>
          <w:p w14:paraId="6299B5B0" w14:textId="73E516F3" w:rsidR="00FA4590" w:rsidRPr="00DE765A" w:rsidRDefault="00FA4590" w:rsidP="00FA4590">
            <w:pPr>
              <w:jc w:val="right"/>
              <w:outlineLvl w:val="0"/>
              <w:rPr>
                <w:noProof/>
                <w:sz w:val="20"/>
                <w:szCs w:val="20"/>
              </w:rPr>
            </w:pPr>
            <w:bookmarkStart w:id="444" w:name="_Toc223980049"/>
            <w:r w:rsidRPr="00DE765A">
              <w:rPr>
                <w:noProof/>
                <w:sz w:val="20"/>
                <w:szCs w:val="20"/>
              </w:rPr>
              <w:t>37.9</w:t>
            </w:r>
            <w:bookmarkEnd w:id="444"/>
          </w:p>
        </w:tc>
        <w:tc>
          <w:tcPr>
            <w:tcW w:w="786" w:type="pct"/>
            <w:tcBorders>
              <w:top w:val="nil"/>
              <w:left w:val="nil"/>
              <w:bottom w:val="single" w:sz="4" w:space="0" w:color="auto"/>
              <w:right w:val="single" w:sz="4" w:space="0" w:color="auto"/>
            </w:tcBorders>
            <w:shd w:val="clear" w:color="000000" w:fill="FFFFFF"/>
            <w:noWrap/>
            <w:hideMark/>
          </w:tcPr>
          <w:p w14:paraId="3DDC0DE2" w14:textId="36AE5E97" w:rsidR="00FA4590" w:rsidRPr="00DE765A" w:rsidRDefault="00FA4590" w:rsidP="00FA4590">
            <w:pPr>
              <w:jc w:val="right"/>
              <w:outlineLvl w:val="0"/>
              <w:rPr>
                <w:noProof/>
                <w:sz w:val="20"/>
                <w:szCs w:val="20"/>
              </w:rPr>
            </w:pPr>
            <w:bookmarkStart w:id="445" w:name="_Toc223980050"/>
            <w:r w:rsidRPr="00DE765A">
              <w:rPr>
                <w:noProof/>
                <w:sz w:val="20"/>
                <w:szCs w:val="20"/>
              </w:rPr>
              <w:t>40.8</w:t>
            </w:r>
            <w:bookmarkEnd w:id="445"/>
          </w:p>
        </w:tc>
        <w:tc>
          <w:tcPr>
            <w:tcW w:w="785" w:type="pct"/>
            <w:tcBorders>
              <w:top w:val="nil"/>
              <w:left w:val="nil"/>
              <w:bottom w:val="single" w:sz="4" w:space="0" w:color="auto"/>
              <w:right w:val="single" w:sz="4" w:space="0" w:color="auto"/>
            </w:tcBorders>
            <w:shd w:val="clear" w:color="000000" w:fill="FFFFFF"/>
            <w:noWrap/>
            <w:hideMark/>
          </w:tcPr>
          <w:p w14:paraId="3E0D74FD" w14:textId="5A6F9980" w:rsidR="00FA4590" w:rsidRPr="00DE765A" w:rsidRDefault="00FA4590" w:rsidP="00FA4590">
            <w:pPr>
              <w:jc w:val="right"/>
              <w:outlineLvl w:val="0"/>
              <w:rPr>
                <w:noProof/>
                <w:sz w:val="20"/>
                <w:szCs w:val="20"/>
              </w:rPr>
            </w:pPr>
            <w:bookmarkStart w:id="446" w:name="_Toc223980051"/>
            <w:r w:rsidRPr="00DE765A">
              <w:rPr>
                <w:noProof/>
                <w:sz w:val="20"/>
                <w:szCs w:val="20"/>
              </w:rPr>
              <w:t>37.2</w:t>
            </w:r>
            <w:bookmarkEnd w:id="446"/>
          </w:p>
        </w:tc>
      </w:tr>
      <w:tr w:rsidR="00FA4590" w:rsidRPr="00DE765A" w14:paraId="7DB34A05"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366D7D31" w14:textId="77777777" w:rsidR="00FA4590" w:rsidRPr="00DE765A" w:rsidRDefault="00FA4590" w:rsidP="00FA4590">
            <w:pPr>
              <w:outlineLvl w:val="0"/>
              <w:rPr>
                <w:noProof/>
                <w:sz w:val="20"/>
                <w:szCs w:val="20"/>
              </w:rPr>
            </w:pPr>
            <w:r w:rsidRPr="00DE765A">
              <w:rPr>
                <w:noProof/>
                <w:sz w:val="20"/>
                <w:szCs w:val="20"/>
              </w:rPr>
              <w:t xml:space="preserve"> </w:t>
            </w:r>
            <w:bookmarkStart w:id="447" w:name="_Toc223980052"/>
            <w:r w:rsidRPr="00DE765A">
              <w:rPr>
                <w:noProof/>
                <w:sz w:val="20"/>
                <w:szCs w:val="20"/>
              </w:rPr>
              <w:t>Denmark</w:t>
            </w:r>
            <w:bookmarkEnd w:id="447"/>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2168A342" w14:textId="0660AAC1" w:rsidR="00FA4590" w:rsidRPr="00DE765A" w:rsidRDefault="00FA4590" w:rsidP="00FA4590">
            <w:pPr>
              <w:jc w:val="right"/>
              <w:outlineLvl w:val="0"/>
              <w:rPr>
                <w:noProof/>
                <w:sz w:val="20"/>
                <w:szCs w:val="20"/>
              </w:rPr>
            </w:pPr>
            <w:bookmarkStart w:id="448" w:name="_Toc223980053"/>
            <w:r w:rsidRPr="00DE765A">
              <w:rPr>
                <w:noProof/>
                <w:sz w:val="20"/>
                <w:szCs w:val="20"/>
              </w:rPr>
              <w:t>205.5</w:t>
            </w:r>
            <w:bookmarkEnd w:id="448"/>
          </w:p>
        </w:tc>
        <w:tc>
          <w:tcPr>
            <w:tcW w:w="786" w:type="pct"/>
            <w:tcBorders>
              <w:top w:val="nil"/>
              <w:left w:val="nil"/>
              <w:bottom w:val="single" w:sz="4" w:space="0" w:color="auto"/>
              <w:right w:val="single" w:sz="4" w:space="0" w:color="auto"/>
            </w:tcBorders>
            <w:shd w:val="clear" w:color="000000" w:fill="FFFFFF"/>
            <w:noWrap/>
            <w:hideMark/>
          </w:tcPr>
          <w:p w14:paraId="464BE861" w14:textId="45836D21" w:rsidR="00FA4590" w:rsidRPr="00DE765A" w:rsidRDefault="00FA4590" w:rsidP="00FA4590">
            <w:pPr>
              <w:jc w:val="right"/>
              <w:outlineLvl w:val="0"/>
              <w:rPr>
                <w:noProof/>
                <w:sz w:val="20"/>
                <w:szCs w:val="20"/>
              </w:rPr>
            </w:pPr>
            <w:bookmarkStart w:id="449" w:name="_Toc223980054"/>
            <w:r w:rsidRPr="00DE765A">
              <w:rPr>
                <w:noProof/>
                <w:sz w:val="20"/>
                <w:szCs w:val="20"/>
              </w:rPr>
              <w:t>25.2</w:t>
            </w:r>
            <w:bookmarkEnd w:id="449"/>
          </w:p>
        </w:tc>
        <w:tc>
          <w:tcPr>
            <w:tcW w:w="786" w:type="pct"/>
            <w:tcBorders>
              <w:top w:val="nil"/>
              <w:left w:val="nil"/>
              <w:bottom w:val="single" w:sz="4" w:space="0" w:color="auto"/>
              <w:right w:val="single" w:sz="4" w:space="0" w:color="auto"/>
            </w:tcBorders>
            <w:shd w:val="clear" w:color="000000" w:fill="FFFFFF"/>
            <w:noWrap/>
            <w:hideMark/>
          </w:tcPr>
          <w:p w14:paraId="691E9D10" w14:textId="5DFE5B9C" w:rsidR="00FA4590" w:rsidRPr="00DE765A" w:rsidRDefault="00FA4590" w:rsidP="00FA4590">
            <w:pPr>
              <w:jc w:val="right"/>
              <w:outlineLvl w:val="0"/>
              <w:rPr>
                <w:noProof/>
                <w:sz w:val="20"/>
                <w:szCs w:val="20"/>
              </w:rPr>
            </w:pPr>
            <w:bookmarkStart w:id="450" w:name="_Toc223980055"/>
            <w:r w:rsidRPr="00DE765A">
              <w:rPr>
                <w:noProof/>
                <w:sz w:val="20"/>
                <w:szCs w:val="20"/>
              </w:rPr>
              <w:t>27.2</w:t>
            </w:r>
            <w:bookmarkEnd w:id="450"/>
          </w:p>
        </w:tc>
        <w:tc>
          <w:tcPr>
            <w:tcW w:w="785" w:type="pct"/>
            <w:tcBorders>
              <w:top w:val="nil"/>
              <w:left w:val="nil"/>
              <w:bottom w:val="single" w:sz="4" w:space="0" w:color="auto"/>
              <w:right w:val="single" w:sz="4" w:space="0" w:color="auto"/>
            </w:tcBorders>
            <w:shd w:val="clear" w:color="000000" w:fill="FFFFFF"/>
            <w:noWrap/>
            <w:hideMark/>
          </w:tcPr>
          <w:p w14:paraId="567C681F" w14:textId="020D5A99" w:rsidR="00FA4590" w:rsidRPr="00DE765A" w:rsidRDefault="00FA4590" w:rsidP="00FA4590">
            <w:pPr>
              <w:jc w:val="right"/>
              <w:outlineLvl w:val="0"/>
              <w:rPr>
                <w:noProof/>
                <w:sz w:val="20"/>
                <w:szCs w:val="20"/>
              </w:rPr>
            </w:pPr>
            <w:bookmarkStart w:id="451" w:name="_Toc223980056"/>
            <w:r w:rsidRPr="00DE765A">
              <w:rPr>
                <w:noProof/>
                <w:sz w:val="20"/>
                <w:szCs w:val="20"/>
              </w:rPr>
              <w:t>24.8</w:t>
            </w:r>
            <w:bookmarkEnd w:id="451"/>
          </w:p>
        </w:tc>
      </w:tr>
      <w:tr w:rsidR="00FA4590" w:rsidRPr="00DE765A" w14:paraId="0B66372E"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622B9D12" w14:textId="77777777" w:rsidR="00FA4590" w:rsidRPr="00DE765A" w:rsidRDefault="00FA4590" w:rsidP="00FA4590">
            <w:pPr>
              <w:outlineLvl w:val="0"/>
              <w:rPr>
                <w:noProof/>
                <w:sz w:val="20"/>
                <w:szCs w:val="20"/>
              </w:rPr>
            </w:pPr>
            <w:r w:rsidRPr="00DE765A">
              <w:rPr>
                <w:noProof/>
                <w:sz w:val="20"/>
                <w:szCs w:val="20"/>
              </w:rPr>
              <w:t xml:space="preserve"> </w:t>
            </w:r>
            <w:bookmarkStart w:id="452" w:name="_Toc223980057"/>
            <w:r w:rsidRPr="00DE765A">
              <w:rPr>
                <w:noProof/>
                <w:sz w:val="20"/>
                <w:szCs w:val="20"/>
              </w:rPr>
              <w:t>Luxembourg</w:t>
            </w:r>
            <w:bookmarkEnd w:id="452"/>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3E35B419" w14:textId="55595AC6" w:rsidR="00FA4590" w:rsidRPr="00DE765A" w:rsidRDefault="00FA4590" w:rsidP="00FA4590">
            <w:pPr>
              <w:jc w:val="right"/>
              <w:outlineLvl w:val="0"/>
              <w:rPr>
                <w:noProof/>
                <w:sz w:val="20"/>
                <w:szCs w:val="20"/>
              </w:rPr>
            </w:pPr>
            <w:bookmarkStart w:id="453" w:name="_Toc223980058"/>
            <w:r w:rsidRPr="00DE765A">
              <w:rPr>
                <w:noProof/>
                <w:sz w:val="20"/>
                <w:szCs w:val="20"/>
              </w:rPr>
              <w:t>137.0</w:t>
            </w:r>
            <w:bookmarkEnd w:id="453"/>
          </w:p>
        </w:tc>
        <w:tc>
          <w:tcPr>
            <w:tcW w:w="786" w:type="pct"/>
            <w:tcBorders>
              <w:top w:val="nil"/>
              <w:left w:val="nil"/>
              <w:bottom w:val="single" w:sz="4" w:space="0" w:color="auto"/>
              <w:right w:val="single" w:sz="4" w:space="0" w:color="auto"/>
            </w:tcBorders>
            <w:shd w:val="clear" w:color="000000" w:fill="FFFFFF"/>
            <w:noWrap/>
            <w:hideMark/>
          </w:tcPr>
          <w:p w14:paraId="2D4B06E3" w14:textId="5FFC4ACD" w:rsidR="00FA4590" w:rsidRPr="00DE765A" w:rsidRDefault="00FA4590" w:rsidP="00FA4590">
            <w:pPr>
              <w:jc w:val="right"/>
              <w:outlineLvl w:val="0"/>
              <w:rPr>
                <w:noProof/>
                <w:sz w:val="20"/>
                <w:szCs w:val="20"/>
              </w:rPr>
            </w:pPr>
            <w:bookmarkStart w:id="454" w:name="_Toc223980059"/>
            <w:r w:rsidRPr="00DE765A">
              <w:rPr>
                <w:noProof/>
                <w:sz w:val="20"/>
                <w:szCs w:val="20"/>
              </w:rPr>
              <w:t>16.8</w:t>
            </w:r>
            <w:bookmarkEnd w:id="454"/>
          </w:p>
        </w:tc>
        <w:tc>
          <w:tcPr>
            <w:tcW w:w="786" w:type="pct"/>
            <w:tcBorders>
              <w:top w:val="nil"/>
              <w:left w:val="nil"/>
              <w:bottom w:val="single" w:sz="4" w:space="0" w:color="auto"/>
              <w:right w:val="single" w:sz="4" w:space="0" w:color="auto"/>
            </w:tcBorders>
            <w:shd w:val="clear" w:color="000000" w:fill="FFFFFF"/>
            <w:noWrap/>
            <w:hideMark/>
          </w:tcPr>
          <w:p w14:paraId="32540A35" w14:textId="6CCE8864" w:rsidR="00FA4590" w:rsidRPr="00DE765A" w:rsidRDefault="00FA4590" w:rsidP="00FA4590">
            <w:pPr>
              <w:jc w:val="right"/>
              <w:outlineLvl w:val="0"/>
              <w:rPr>
                <w:noProof/>
                <w:sz w:val="20"/>
                <w:szCs w:val="20"/>
              </w:rPr>
            </w:pPr>
            <w:bookmarkStart w:id="455" w:name="_Toc223980060"/>
            <w:r w:rsidRPr="00DE765A">
              <w:rPr>
                <w:noProof/>
                <w:sz w:val="20"/>
                <w:szCs w:val="20"/>
              </w:rPr>
              <w:t>18.1</w:t>
            </w:r>
            <w:bookmarkEnd w:id="455"/>
          </w:p>
        </w:tc>
        <w:tc>
          <w:tcPr>
            <w:tcW w:w="785" w:type="pct"/>
            <w:tcBorders>
              <w:top w:val="nil"/>
              <w:left w:val="nil"/>
              <w:bottom w:val="single" w:sz="4" w:space="0" w:color="auto"/>
              <w:right w:val="single" w:sz="4" w:space="0" w:color="auto"/>
            </w:tcBorders>
            <w:shd w:val="clear" w:color="000000" w:fill="FFFFFF"/>
            <w:noWrap/>
            <w:hideMark/>
          </w:tcPr>
          <w:p w14:paraId="5D1861A1" w14:textId="4A535013" w:rsidR="00FA4590" w:rsidRPr="00DE765A" w:rsidRDefault="00FA4590" w:rsidP="00FA4590">
            <w:pPr>
              <w:jc w:val="right"/>
              <w:outlineLvl w:val="0"/>
              <w:rPr>
                <w:noProof/>
                <w:sz w:val="20"/>
                <w:szCs w:val="20"/>
              </w:rPr>
            </w:pPr>
            <w:bookmarkStart w:id="456" w:name="_Toc223980061"/>
            <w:r w:rsidRPr="00DE765A">
              <w:rPr>
                <w:noProof/>
                <w:sz w:val="20"/>
                <w:szCs w:val="20"/>
              </w:rPr>
              <w:t>16.5</w:t>
            </w:r>
            <w:bookmarkEnd w:id="456"/>
          </w:p>
        </w:tc>
      </w:tr>
      <w:tr w:rsidR="00FA4590" w:rsidRPr="00DE765A" w14:paraId="118F3F29"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6B5FA372" w14:textId="77777777" w:rsidR="00FA4590" w:rsidRPr="00DE765A" w:rsidRDefault="00FA4590" w:rsidP="00FA4590">
            <w:pPr>
              <w:outlineLvl w:val="0"/>
              <w:rPr>
                <w:noProof/>
                <w:sz w:val="20"/>
                <w:szCs w:val="20"/>
              </w:rPr>
            </w:pPr>
            <w:r w:rsidRPr="00DE765A">
              <w:rPr>
                <w:noProof/>
                <w:sz w:val="20"/>
                <w:szCs w:val="20"/>
              </w:rPr>
              <w:t xml:space="preserve"> </w:t>
            </w:r>
            <w:bookmarkStart w:id="457" w:name="_Toc223980062"/>
            <w:r w:rsidRPr="00DE765A">
              <w:rPr>
                <w:noProof/>
                <w:sz w:val="20"/>
                <w:szCs w:val="20"/>
              </w:rPr>
              <w:t>Finland</w:t>
            </w:r>
            <w:bookmarkEnd w:id="457"/>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4F0E2E0C" w14:textId="7933CA88" w:rsidR="00FA4590" w:rsidRPr="00DE765A" w:rsidRDefault="00FA4590" w:rsidP="00FA4590">
            <w:pPr>
              <w:jc w:val="right"/>
              <w:outlineLvl w:val="0"/>
              <w:rPr>
                <w:noProof/>
                <w:sz w:val="20"/>
                <w:szCs w:val="20"/>
              </w:rPr>
            </w:pPr>
            <w:bookmarkStart w:id="458" w:name="_Toc223980063"/>
            <w:r w:rsidRPr="00DE765A">
              <w:rPr>
                <w:noProof/>
                <w:sz w:val="20"/>
                <w:szCs w:val="20"/>
              </w:rPr>
              <w:t>171.3</w:t>
            </w:r>
            <w:bookmarkEnd w:id="458"/>
          </w:p>
        </w:tc>
        <w:tc>
          <w:tcPr>
            <w:tcW w:w="786" w:type="pct"/>
            <w:tcBorders>
              <w:top w:val="nil"/>
              <w:left w:val="nil"/>
              <w:bottom w:val="single" w:sz="4" w:space="0" w:color="auto"/>
              <w:right w:val="single" w:sz="4" w:space="0" w:color="auto"/>
            </w:tcBorders>
            <w:shd w:val="clear" w:color="000000" w:fill="FFFFFF"/>
            <w:noWrap/>
            <w:hideMark/>
          </w:tcPr>
          <w:p w14:paraId="6E094FE8" w14:textId="52EDB73F" w:rsidR="00FA4590" w:rsidRPr="00DE765A" w:rsidRDefault="00FA4590" w:rsidP="00FA4590">
            <w:pPr>
              <w:jc w:val="right"/>
              <w:outlineLvl w:val="0"/>
              <w:rPr>
                <w:noProof/>
                <w:sz w:val="20"/>
                <w:szCs w:val="20"/>
              </w:rPr>
            </w:pPr>
            <w:bookmarkStart w:id="459" w:name="_Toc223980064"/>
            <w:r w:rsidRPr="00DE765A">
              <w:rPr>
                <w:noProof/>
                <w:sz w:val="20"/>
                <w:szCs w:val="20"/>
              </w:rPr>
              <w:t>21.0</w:t>
            </w:r>
            <w:bookmarkEnd w:id="459"/>
          </w:p>
        </w:tc>
        <w:tc>
          <w:tcPr>
            <w:tcW w:w="786" w:type="pct"/>
            <w:tcBorders>
              <w:top w:val="nil"/>
              <w:left w:val="nil"/>
              <w:bottom w:val="single" w:sz="4" w:space="0" w:color="auto"/>
              <w:right w:val="single" w:sz="4" w:space="0" w:color="auto"/>
            </w:tcBorders>
            <w:shd w:val="clear" w:color="000000" w:fill="FFFFFF"/>
            <w:noWrap/>
            <w:hideMark/>
          </w:tcPr>
          <w:p w14:paraId="764B7768" w14:textId="049BBED6" w:rsidR="00FA4590" w:rsidRPr="00DE765A" w:rsidRDefault="00FA4590" w:rsidP="00FA4590">
            <w:pPr>
              <w:jc w:val="right"/>
              <w:outlineLvl w:val="0"/>
              <w:rPr>
                <w:noProof/>
                <w:sz w:val="20"/>
                <w:szCs w:val="20"/>
              </w:rPr>
            </w:pPr>
            <w:bookmarkStart w:id="460" w:name="_Toc223980065"/>
            <w:r w:rsidRPr="00DE765A">
              <w:rPr>
                <w:noProof/>
                <w:sz w:val="20"/>
                <w:szCs w:val="20"/>
              </w:rPr>
              <w:t>22.6</w:t>
            </w:r>
            <w:bookmarkEnd w:id="460"/>
          </w:p>
        </w:tc>
        <w:tc>
          <w:tcPr>
            <w:tcW w:w="785" w:type="pct"/>
            <w:tcBorders>
              <w:top w:val="nil"/>
              <w:left w:val="nil"/>
              <w:bottom w:val="single" w:sz="4" w:space="0" w:color="auto"/>
              <w:right w:val="single" w:sz="4" w:space="0" w:color="auto"/>
            </w:tcBorders>
            <w:shd w:val="clear" w:color="000000" w:fill="FFFFFF"/>
            <w:noWrap/>
            <w:hideMark/>
          </w:tcPr>
          <w:p w14:paraId="4830C1FF" w14:textId="65F4CE23" w:rsidR="00FA4590" w:rsidRPr="00DE765A" w:rsidRDefault="00FA4590" w:rsidP="00FA4590">
            <w:pPr>
              <w:jc w:val="right"/>
              <w:outlineLvl w:val="0"/>
              <w:rPr>
                <w:noProof/>
                <w:sz w:val="20"/>
                <w:szCs w:val="20"/>
              </w:rPr>
            </w:pPr>
            <w:bookmarkStart w:id="461" w:name="_Toc223980066"/>
            <w:r w:rsidRPr="00DE765A">
              <w:rPr>
                <w:noProof/>
                <w:sz w:val="20"/>
                <w:szCs w:val="20"/>
              </w:rPr>
              <w:t>20.7</w:t>
            </w:r>
            <w:bookmarkEnd w:id="461"/>
          </w:p>
        </w:tc>
      </w:tr>
      <w:tr w:rsidR="00FA4590" w:rsidRPr="00DE765A" w14:paraId="0744BD9E"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3F76D479" w14:textId="77777777" w:rsidR="00FA4590" w:rsidRPr="00DE765A" w:rsidRDefault="00FA4590" w:rsidP="00FA4590">
            <w:pPr>
              <w:outlineLvl w:val="0"/>
              <w:rPr>
                <w:noProof/>
                <w:sz w:val="20"/>
                <w:szCs w:val="20"/>
              </w:rPr>
            </w:pPr>
            <w:r w:rsidRPr="00DE765A">
              <w:rPr>
                <w:noProof/>
                <w:sz w:val="20"/>
                <w:szCs w:val="20"/>
              </w:rPr>
              <w:t xml:space="preserve"> </w:t>
            </w:r>
            <w:bookmarkStart w:id="462" w:name="_Toc223980067"/>
            <w:r w:rsidRPr="00DE765A">
              <w:rPr>
                <w:noProof/>
                <w:sz w:val="20"/>
                <w:szCs w:val="20"/>
              </w:rPr>
              <w:t>Spain</w:t>
            </w:r>
            <w:bookmarkEnd w:id="462"/>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4CC1F1DC" w14:textId="7B950FF8" w:rsidR="00FA4590" w:rsidRPr="00DE765A" w:rsidRDefault="00FA4590" w:rsidP="00FA4590">
            <w:pPr>
              <w:jc w:val="right"/>
              <w:outlineLvl w:val="0"/>
              <w:rPr>
                <w:noProof/>
                <w:sz w:val="20"/>
                <w:szCs w:val="20"/>
              </w:rPr>
            </w:pPr>
            <w:bookmarkStart w:id="463" w:name="_Toc223980068"/>
            <w:r w:rsidRPr="00DE765A">
              <w:rPr>
                <w:noProof/>
                <w:sz w:val="20"/>
                <w:szCs w:val="20"/>
              </w:rPr>
              <w:t>137.0</w:t>
            </w:r>
            <w:bookmarkEnd w:id="463"/>
          </w:p>
        </w:tc>
        <w:tc>
          <w:tcPr>
            <w:tcW w:w="786" w:type="pct"/>
            <w:tcBorders>
              <w:top w:val="nil"/>
              <w:left w:val="nil"/>
              <w:bottom w:val="single" w:sz="4" w:space="0" w:color="auto"/>
              <w:right w:val="single" w:sz="4" w:space="0" w:color="auto"/>
            </w:tcBorders>
            <w:shd w:val="clear" w:color="000000" w:fill="FFFFFF"/>
            <w:noWrap/>
            <w:hideMark/>
          </w:tcPr>
          <w:p w14:paraId="47685ED6" w14:textId="20929595" w:rsidR="00FA4590" w:rsidRPr="00DE765A" w:rsidRDefault="00FA4590" w:rsidP="00FA4590">
            <w:pPr>
              <w:jc w:val="right"/>
              <w:outlineLvl w:val="0"/>
              <w:rPr>
                <w:noProof/>
                <w:sz w:val="20"/>
                <w:szCs w:val="20"/>
              </w:rPr>
            </w:pPr>
            <w:bookmarkStart w:id="464" w:name="_Toc223980069"/>
            <w:r w:rsidRPr="00DE765A">
              <w:rPr>
                <w:noProof/>
                <w:sz w:val="20"/>
                <w:szCs w:val="20"/>
              </w:rPr>
              <w:t>16.8</w:t>
            </w:r>
            <w:bookmarkEnd w:id="464"/>
          </w:p>
        </w:tc>
        <w:tc>
          <w:tcPr>
            <w:tcW w:w="786" w:type="pct"/>
            <w:tcBorders>
              <w:top w:val="nil"/>
              <w:left w:val="nil"/>
              <w:bottom w:val="single" w:sz="4" w:space="0" w:color="auto"/>
              <w:right w:val="single" w:sz="4" w:space="0" w:color="auto"/>
            </w:tcBorders>
            <w:shd w:val="clear" w:color="000000" w:fill="FFFFFF"/>
            <w:noWrap/>
            <w:hideMark/>
          </w:tcPr>
          <w:p w14:paraId="0A0B1063" w14:textId="32812B9A" w:rsidR="00FA4590" w:rsidRPr="00DE765A" w:rsidRDefault="00FA4590" w:rsidP="00FA4590">
            <w:pPr>
              <w:jc w:val="right"/>
              <w:outlineLvl w:val="0"/>
              <w:rPr>
                <w:noProof/>
                <w:sz w:val="20"/>
                <w:szCs w:val="20"/>
              </w:rPr>
            </w:pPr>
            <w:bookmarkStart w:id="465" w:name="_Toc223980070"/>
            <w:r w:rsidRPr="00DE765A">
              <w:rPr>
                <w:noProof/>
                <w:sz w:val="20"/>
                <w:szCs w:val="20"/>
              </w:rPr>
              <w:t>18.1</w:t>
            </w:r>
            <w:bookmarkEnd w:id="465"/>
          </w:p>
        </w:tc>
        <w:tc>
          <w:tcPr>
            <w:tcW w:w="785" w:type="pct"/>
            <w:tcBorders>
              <w:top w:val="nil"/>
              <w:left w:val="nil"/>
              <w:bottom w:val="single" w:sz="4" w:space="0" w:color="auto"/>
              <w:right w:val="single" w:sz="4" w:space="0" w:color="auto"/>
            </w:tcBorders>
            <w:shd w:val="clear" w:color="000000" w:fill="FFFFFF"/>
            <w:noWrap/>
            <w:hideMark/>
          </w:tcPr>
          <w:p w14:paraId="658054DE" w14:textId="20728ECF" w:rsidR="00FA4590" w:rsidRPr="00DE765A" w:rsidRDefault="00FA4590" w:rsidP="00FA4590">
            <w:pPr>
              <w:jc w:val="right"/>
              <w:outlineLvl w:val="0"/>
              <w:rPr>
                <w:noProof/>
                <w:sz w:val="20"/>
                <w:szCs w:val="20"/>
              </w:rPr>
            </w:pPr>
            <w:bookmarkStart w:id="466" w:name="_Toc223980071"/>
            <w:r w:rsidRPr="00DE765A">
              <w:rPr>
                <w:noProof/>
                <w:sz w:val="20"/>
                <w:szCs w:val="20"/>
              </w:rPr>
              <w:t>16.5</w:t>
            </w:r>
            <w:bookmarkEnd w:id="466"/>
          </w:p>
        </w:tc>
      </w:tr>
      <w:tr w:rsidR="00FA4590" w:rsidRPr="00DE765A" w14:paraId="3B217E92"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732AF843" w14:textId="77777777" w:rsidR="00FA4590" w:rsidRPr="00DE765A" w:rsidRDefault="00FA4590" w:rsidP="00FA4590">
            <w:pPr>
              <w:outlineLvl w:val="0"/>
              <w:rPr>
                <w:noProof/>
                <w:sz w:val="20"/>
                <w:szCs w:val="20"/>
              </w:rPr>
            </w:pPr>
            <w:r w:rsidRPr="00DE765A">
              <w:rPr>
                <w:noProof/>
                <w:sz w:val="20"/>
                <w:szCs w:val="20"/>
              </w:rPr>
              <w:t xml:space="preserve"> </w:t>
            </w:r>
            <w:bookmarkStart w:id="467" w:name="_Toc223980072"/>
            <w:r w:rsidRPr="00DE765A">
              <w:rPr>
                <w:noProof/>
                <w:sz w:val="20"/>
                <w:szCs w:val="20"/>
              </w:rPr>
              <w:t>Netherlands</w:t>
            </w:r>
            <w:bookmarkEnd w:id="467"/>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52832670" w14:textId="65DD6933" w:rsidR="00FA4590" w:rsidRPr="00DE765A" w:rsidRDefault="00FA4590" w:rsidP="00FA4590">
            <w:pPr>
              <w:jc w:val="right"/>
              <w:outlineLvl w:val="0"/>
              <w:rPr>
                <w:noProof/>
                <w:sz w:val="20"/>
                <w:szCs w:val="20"/>
              </w:rPr>
            </w:pPr>
            <w:bookmarkStart w:id="468" w:name="_Toc223980073"/>
            <w:r w:rsidRPr="00DE765A">
              <w:rPr>
                <w:noProof/>
                <w:sz w:val="20"/>
                <w:szCs w:val="20"/>
              </w:rPr>
              <w:t>342.5</w:t>
            </w:r>
            <w:bookmarkEnd w:id="468"/>
          </w:p>
        </w:tc>
        <w:tc>
          <w:tcPr>
            <w:tcW w:w="786" w:type="pct"/>
            <w:tcBorders>
              <w:top w:val="nil"/>
              <w:left w:val="nil"/>
              <w:bottom w:val="single" w:sz="4" w:space="0" w:color="auto"/>
              <w:right w:val="single" w:sz="4" w:space="0" w:color="auto"/>
            </w:tcBorders>
            <w:shd w:val="clear" w:color="000000" w:fill="FFFFFF"/>
            <w:noWrap/>
            <w:hideMark/>
          </w:tcPr>
          <w:p w14:paraId="0C667985" w14:textId="7A19A6BC" w:rsidR="00FA4590" w:rsidRPr="00DE765A" w:rsidRDefault="00FA4590" w:rsidP="00FA4590">
            <w:pPr>
              <w:jc w:val="right"/>
              <w:outlineLvl w:val="0"/>
              <w:rPr>
                <w:noProof/>
                <w:sz w:val="20"/>
                <w:szCs w:val="20"/>
              </w:rPr>
            </w:pPr>
            <w:bookmarkStart w:id="469" w:name="_Toc223980074"/>
            <w:r w:rsidRPr="00DE765A">
              <w:rPr>
                <w:noProof/>
                <w:sz w:val="20"/>
                <w:szCs w:val="20"/>
              </w:rPr>
              <w:t>42.1</w:t>
            </w:r>
            <w:bookmarkEnd w:id="469"/>
          </w:p>
        </w:tc>
        <w:tc>
          <w:tcPr>
            <w:tcW w:w="786" w:type="pct"/>
            <w:tcBorders>
              <w:top w:val="nil"/>
              <w:left w:val="nil"/>
              <w:bottom w:val="single" w:sz="4" w:space="0" w:color="auto"/>
              <w:right w:val="single" w:sz="4" w:space="0" w:color="auto"/>
            </w:tcBorders>
            <w:shd w:val="clear" w:color="000000" w:fill="FFFFFF"/>
            <w:noWrap/>
            <w:hideMark/>
          </w:tcPr>
          <w:p w14:paraId="5250AD32" w14:textId="451E7900" w:rsidR="00FA4590" w:rsidRPr="00DE765A" w:rsidRDefault="00FA4590" w:rsidP="00FA4590">
            <w:pPr>
              <w:jc w:val="right"/>
              <w:outlineLvl w:val="0"/>
              <w:rPr>
                <w:noProof/>
                <w:sz w:val="20"/>
                <w:szCs w:val="20"/>
              </w:rPr>
            </w:pPr>
            <w:bookmarkStart w:id="470" w:name="_Toc223980075"/>
            <w:r w:rsidRPr="00DE765A">
              <w:rPr>
                <w:noProof/>
                <w:sz w:val="20"/>
                <w:szCs w:val="20"/>
              </w:rPr>
              <w:t>45.3</w:t>
            </w:r>
            <w:bookmarkEnd w:id="470"/>
          </w:p>
        </w:tc>
        <w:tc>
          <w:tcPr>
            <w:tcW w:w="785" w:type="pct"/>
            <w:tcBorders>
              <w:top w:val="nil"/>
              <w:left w:val="nil"/>
              <w:bottom w:val="single" w:sz="4" w:space="0" w:color="auto"/>
              <w:right w:val="single" w:sz="4" w:space="0" w:color="auto"/>
            </w:tcBorders>
            <w:shd w:val="clear" w:color="000000" w:fill="FFFFFF"/>
            <w:noWrap/>
            <w:hideMark/>
          </w:tcPr>
          <w:p w14:paraId="7C1134BF" w14:textId="3D14D4D5" w:rsidR="00FA4590" w:rsidRPr="00DE765A" w:rsidRDefault="00FA4590" w:rsidP="00FA4590">
            <w:pPr>
              <w:jc w:val="right"/>
              <w:outlineLvl w:val="0"/>
              <w:rPr>
                <w:noProof/>
                <w:sz w:val="20"/>
                <w:szCs w:val="20"/>
              </w:rPr>
            </w:pPr>
            <w:bookmarkStart w:id="471" w:name="_Toc223980076"/>
            <w:r w:rsidRPr="00DE765A">
              <w:rPr>
                <w:noProof/>
                <w:sz w:val="20"/>
                <w:szCs w:val="20"/>
              </w:rPr>
              <w:t>41.3</w:t>
            </w:r>
            <w:bookmarkEnd w:id="471"/>
          </w:p>
        </w:tc>
      </w:tr>
      <w:tr w:rsidR="00FA4590" w:rsidRPr="00DE765A" w14:paraId="280847A5"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0F017232" w14:textId="77777777" w:rsidR="00FA4590" w:rsidRPr="00DE765A" w:rsidRDefault="00FA4590" w:rsidP="00FA4590">
            <w:pPr>
              <w:outlineLvl w:val="0"/>
              <w:rPr>
                <w:noProof/>
                <w:sz w:val="20"/>
                <w:szCs w:val="20"/>
              </w:rPr>
            </w:pPr>
            <w:r w:rsidRPr="00DE765A">
              <w:rPr>
                <w:noProof/>
                <w:sz w:val="20"/>
                <w:szCs w:val="20"/>
              </w:rPr>
              <w:t xml:space="preserve"> </w:t>
            </w:r>
            <w:bookmarkStart w:id="472" w:name="_Toc223980077"/>
            <w:r w:rsidRPr="00DE765A">
              <w:rPr>
                <w:noProof/>
                <w:sz w:val="20"/>
                <w:szCs w:val="20"/>
              </w:rPr>
              <w:t>France</w:t>
            </w:r>
            <w:bookmarkEnd w:id="472"/>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4586A2C2" w14:textId="6335D56E" w:rsidR="00FA4590" w:rsidRPr="00DE765A" w:rsidRDefault="00FA4590" w:rsidP="00FA4590">
            <w:pPr>
              <w:jc w:val="right"/>
              <w:outlineLvl w:val="0"/>
              <w:rPr>
                <w:noProof/>
                <w:sz w:val="20"/>
                <w:szCs w:val="20"/>
              </w:rPr>
            </w:pPr>
            <w:bookmarkStart w:id="473" w:name="_Toc223980078"/>
            <w:r w:rsidRPr="00DE765A">
              <w:rPr>
                <w:noProof/>
                <w:sz w:val="20"/>
                <w:szCs w:val="20"/>
              </w:rPr>
              <w:t>445.3</w:t>
            </w:r>
            <w:bookmarkEnd w:id="473"/>
          </w:p>
        </w:tc>
        <w:tc>
          <w:tcPr>
            <w:tcW w:w="786" w:type="pct"/>
            <w:tcBorders>
              <w:top w:val="nil"/>
              <w:left w:val="nil"/>
              <w:bottom w:val="single" w:sz="4" w:space="0" w:color="auto"/>
              <w:right w:val="single" w:sz="4" w:space="0" w:color="auto"/>
            </w:tcBorders>
            <w:shd w:val="clear" w:color="000000" w:fill="FFFFFF"/>
            <w:noWrap/>
            <w:hideMark/>
          </w:tcPr>
          <w:p w14:paraId="591EC7F6" w14:textId="2349C5F0" w:rsidR="00FA4590" w:rsidRPr="00DE765A" w:rsidRDefault="00FA4590" w:rsidP="00FA4590">
            <w:pPr>
              <w:jc w:val="right"/>
              <w:outlineLvl w:val="0"/>
              <w:rPr>
                <w:noProof/>
                <w:sz w:val="20"/>
                <w:szCs w:val="20"/>
              </w:rPr>
            </w:pPr>
            <w:bookmarkStart w:id="474" w:name="_Toc223980079"/>
            <w:r w:rsidRPr="00DE765A">
              <w:rPr>
                <w:noProof/>
                <w:sz w:val="20"/>
                <w:szCs w:val="20"/>
              </w:rPr>
              <w:t>54.7</w:t>
            </w:r>
            <w:bookmarkEnd w:id="474"/>
          </w:p>
        </w:tc>
        <w:tc>
          <w:tcPr>
            <w:tcW w:w="786" w:type="pct"/>
            <w:tcBorders>
              <w:top w:val="nil"/>
              <w:left w:val="nil"/>
              <w:bottom w:val="single" w:sz="4" w:space="0" w:color="auto"/>
              <w:right w:val="single" w:sz="4" w:space="0" w:color="auto"/>
            </w:tcBorders>
            <w:shd w:val="clear" w:color="000000" w:fill="FFFFFF"/>
            <w:noWrap/>
            <w:hideMark/>
          </w:tcPr>
          <w:p w14:paraId="0CEA2042" w14:textId="603B4E05" w:rsidR="00FA4590" w:rsidRPr="00DE765A" w:rsidRDefault="00FA4590" w:rsidP="00FA4590">
            <w:pPr>
              <w:jc w:val="right"/>
              <w:outlineLvl w:val="0"/>
              <w:rPr>
                <w:noProof/>
                <w:sz w:val="20"/>
                <w:szCs w:val="20"/>
              </w:rPr>
            </w:pPr>
            <w:bookmarkStart w:id="475" w:name="_Toc223980080"/>
            <w:r w:rsidRPr="00DE765A">
              <w:rPr>
                <w:noProof/>
                <w:sz w:val="20"/>
                <w:szCs w:val="20"/>
              </w:rPr>
              <w:t>58.9</w:t>
            </w:r>
            <w:bookmarkEnd w:id="475"/>
          </w:p>
        </w:tc>
        <w:tc>
          <w:tcPr>
            <w:tcW w:w="785" w:type="pct"/>
            <w:tcBorders>
              <w:top w:val="nil"/>
              <w:left w:val="nil"/>
              <w:bottom w:val="single" w:sz="4" w:space="0" w:color="auto"/>
              <w:right w:val="single" w:sz="4" w:space="0" w:color="auto"/>
            </w:tcBorders>
            <w:shd w:val="clear" w:color="000000" w:fill="FFFFFF"/>
            <w:noWrap/>
            <w:hideMark/>
          </w:tcPr>
          <w:p w14:paraId="0CE42912" w14:textId="5E2CFABE" w:rsidR="00FA4590" w:rsidRPr="00DE765A" w:rsidRDefault="00FA4590" w:rsidP="00FA4590">
            <w:pPr>
              <w:jc w:val="right"/>
              <w:outlineLvl w:val="0"/>
              <w:rPr>
                <w:noProof/>
                <w:sz w:val="20"/>
                <w:szCs w:val="20"/>
              </w:rPr>
            </w:pPr>
            <w:bookmarkStart w:id="476" w:name="_Toc223980081"/>
            <w:r w:rsidRPr="00DE765A">
              <w:rPr>
                <w:noProof/>
                <w:sz w:val="20"/>
                <w:szCs w:val="20"/>
              </w:rPr>
              <w:t>53.8</w:t>
            </w:r>
            <w:bookmarkEnd w:id="476"/>
          </w:p>
        </w:tc>
      </w:tr>
      <w:tr w:rsidR="00FA4590" w:rsidRPr="00DE765A" w14:paraId="5803D4AF"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60B14FF1" w14:textId="77777777" w:rsidR="00FA4590" w:rsidRPr="00DE765A" w:rsidRDefault="00FA4590" w:rsidP="00FA4590">
            <w:pPr>
              <w:outlineLvl w:val="0"/>
              <w:rPr>
                <w:noProof/>
                <w:sz w:val="20"/>
                <w:szCs w:val="20"/>
              </w:rPr>
            </w:pPr>
            <w:r w:rsidRPr="00DE765A">
              <w:rPr>
                <w:noProof/>
                <w:sz w:val="20"/>
                <w:szCs w:val="20"/>
              </w:rPr>
              <w:t xml:space="preserve"> </w:t>
            </w:r>
            <w:bookmarkStart w:id="477" w:name="_Toc223980082"/>
            <w:r w:rsidRPr="00DE765A">
              <w:rPr>
                <w:noProof/>
                <w:sz w:val="20"/>
                <w:szCs w:val="20"/>
              </w:rPr>
              <w:t>Poland</w:t>
            </w:r>
            <w:bookmarkEnd w:id="477"/>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0D54C9F0" w14:textId="7E9C3E8F" w:rsidR="00FA4590" w:rsidRPr="00DE765A" w:rsidRDefault="00FA4590" w:rsidP="00FA4590">
            <w:pPr>
              <w:jc w:val="right"/>
              <w:outlineLvl w:val="0"/>
              <w:rPr>
                <w:noProof/>
                <w:sz w:val="20"/>
                <w:szCs w:val="20"/>
              </w:rPr>
            </w:pPr>
            <w:bookmarkStart w:id="478" w:name="_Toc223980083"/>
            <w:r w:rsidRPr="00DE765A">
              <w:rPr>
                <w:noProof/>
                <w:sz w:val="20"/>
                <w:szCs w:val="20"/>
              </w:rPr>
              <w:t>239.8</w:t>
            </w:r>
            <w:bookmarkEnd w:id="478"/>
          </w:p>
        </w:tc>
        <w:tc>
          <w:tcPr>
            <w:tcW w:w="786" w:type="pct"/>
            <w:tcBorders>
              <w:top w:val="nil"/>
              <w:left w:val="nil"/>
              <w:bottom w:val="single" w:sz="4" w:space="0" w:color="auto"/>
              <w:right w:val="single" w:sz="4" w:space="0" w:color="auto"/>
            </w:tcBorders>
            <w:shd w:val="clear" w:color="000000" w:fill="FFFFFF"/>
            <w:noWrap/>
            <w:hideMark/>
          </w:tcPr>
          <w:p w14:paraId="08D3B98F" w14:textId="4B18F799" w:rsidR="00FA4590" w:rsidRPr="00DE765A" w:rsidRDefault="00FA4590" w:rsidP="00FA4590">
            <w:pPr>
              <w:jc w:val="right"/>
              <w:outlineLvl w:val="0"/>
              <w:rPr>
                <w:noProof/>
                <w:sz w:val="20"/>
                <w:szCs w:val="20"/>
              </w:rPr>
            </w:pPr>
            <w:bookmarkStart w:id="479" w:name="_Toc223980084"/>
            <w:r w:rsidRPr="00DE765A">
              <w:rPr>
                <w:noProof/>
                <w:sz w:val="20"/>
                <w:szCs w:val="20"/>
              </w:rPr>
              <w:t>29.5</w:t>
            </w:r>
            <w:bookmarkEnd w:id="479"/>
          </w:p>
        </w:tc>
        <w:tc>
          <w:tcPr>
            <w:tcW w:w="786" w:type="pct"/>
            <w:tcBorders>
              <w:top w:val="nil"/>
              <w:left w:val="nil"/>
              <w:bottom w:val="single" w:sz="4" w:space="0" w:color="auto"/>
              <w:right w:val="single" w:sz="4" w:space="0" w:color="auto"/>
            </w:tcBorders>
            <w:shd w:val="clear" w:color="000000" w:fill="FFFFFF"/>
            <w:noWrap/>
            <w:hideMark/>
          </w:tcPr>
          <w:p w14:paraId="3D824D5C" w14:textId="17DF87F8" w:rsidR="00FA4590" w:rsidRPr="00DE765A" w:rsidRDefault="00FA4590" w:rsidP="00FA4590">
            <w:pPr>
              <w:jc w:val="right"/>
              <w:outlineLvl w:val="0"/>
              <w:rPr>
                <w:noProof/>
                <w:sz w:val="20"/>
                <w:szCs w:val="20"/>
              </w:rPr>
            </w:pPr>
            <w:bookmarkStart w:id="480" w:name="_Toc223980085"/>
            <w:r w:rsidRPr="00DE765A">
              <w:rPr>
                <w:noProof/>
                <w:sz w:val="20"/>
                <w:szCs w:val="20"/>
              </w:rPr>
              <w:t>31.7</w:t>
            </w:r>
            <w:bookmarkEnd w:id="480"/>
          </w:p>
        </w:tc>
        <w:tc>
          <w:tcPr>
            <w:tcW w:w="785" w:type="pct"/>
            <w:tcBorders>
              <w:top w:val="nil"/>
              <w:left w:val="nil"/>
              <w:bottom w:val="single" w:sz="4" w:space="0" w:color="auto"/>
              <w:right w:val="single" w:sz="4" w:space="0" w:color="auto"/>
            </w:tcBorders>
            <w:shd w:val="clear" w:color="000000" w:fill="FFFFFF"/>
            <w:noWrap/>
            <w:hideMark/>
          </w:tcPr>
          <w:p w14:paraId="4ADE94EB" w14:textId="756FF155" w:rsidR="00FA4590" w:rsidRPr="00DE765A" w:rsidRDefault="00FA4590" w:rsidP="00FA4590">
            <w:pPr>
              <w:jc w:val="right"/>
              <w:outlineLvl w:val="0"/>
              <w:rPr>
                <w:noProof/>
                <w:sz w:val="20"/>
                <w:szCs w:val="20"/>
              </w:rPr>
            </w:pPr>
            <w:bookmarkStart w:id="481" w:name="_Toc223980086"/>
            <w:r w:rsidRPr="00DE765A">
              <w:rPr>
                <w:noProof/>
                <w:sz w:val="20"/>
                <w:szCs w:val="20"/>
              </w:rPr>
              <w:t>28.9</w:t>
            </w:r>
            <w:bookmarkEnd w:id="481"/>
          </w:p>
        </w:tc>
      </w:tr>
      <w:tr w:rsidR="00FA4590" w:rsidRPr="00DE765A" w14:paraId="50EB7970"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26032B32" w14:textId="77777777" w:rsidR="00FA4590" w:rsidRPr="00DE765A" w:rsidRDefault="00FA4590" w:rsidP="00FA4590">
            <w:pPr>
              <w:outlineLvl w:val="0"/>
              <w:rPr>
                <w:noProof/>
                <w:sz w:val="20"/>
                <w:szCs w:val="20"/>
              </w:rPr>
            </w:pPr>
            <w:r w:rsidRPr="00DE765A">
              <w:rPr>
                <w:noProof/>
                <w:sz w:val="20"/>
                <w:szCs w:val="20"/>
              </w:rPr>
              <w:t xml:space="preserve"> </w:t>
            </w:r>
            <w:bookmarkStart w:id="482" w:name="_Toc223980087"/>
            <w:r w:rsidRPr="00DE765A">
              <w:rPr>
                <w:noProof/>
                <w:sz w:val="20"/>
                <w:szCs w:val="20"/>
              </w:rPr>
              <w:t>Italy</w:t>
            </w:r>
            <w:bookmarkEnd w:id="482"/>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629CED09" w14:textId="628A4B94" w:rsidR="00FA4590" w:rsidRPr="00DE765A" w:rsidRDefault="00FA4590" w:rsidP="00FA4590">
            <w:pPr>
              <w:jc w:val="right"/>
              <w:outlineLvl w:val="0"/>
              <w:rPr>
                <w:noProof/>
                <w:sz w:val="20"/>
                <w:szCs w:val="20"/>
              </w:rPr>
            </w:pPr>
            <w:bookmarkStart w:id="483" w:name="_Toc223980088"/>
            <w:r w:rsidRPr="00DE765A">
              <w:rPr>
                <w:noProof/>
                <w:sz w:val="20"/>
                <w:szCs w:val="20"/>
              </w:rPr>
              <w:t>205.5</w:t>
            </w:r>
            <w:bookmarkEnd w:id="483"/>
          </w:p>
        </w:tc>
        <w:tc>
          <w:tcPr>
            <w:tcW w:w="786" w:type="pct"/>
            <w:tcBorders>
              <w:top w:val="nil"/>
              <w:left w:val="nil"/>
              <w:bottom w:val="single" w:sz="4" w:space="0" w:color="auto"/>
              <w:right w:val="single" w:sz="4" w:space="0" w:color="auto"/>
            </w:tcBorders>
            <w:shd w:val="clear" w:color="000000" w:fill="FFFFFF"/>
            <w:noWrap/>
            <w:hideMark/>
          </w:tcPr>
          <w:p w14:paraId="393E643C" w14:textId="6E8256C9" w:rsidR="00FA4590" w:rsidRPr="00DE765A" w:rsidRDefault="00FA4590" w:rsidP="00FA4590">
            <w:pPr>
              <w:jc w:val="right"/>
              <w:outlineLvl w:val="0"/>
              <w:rPr>
                <w:noProof/>
                <w:sz w:val="20"/>
                <w:szCs w:val="20"/>
              </w:rPr>
            </w:pPr>
            <w:bookmarkStart w:id="484" w:name="_Toc223980089"/>
            <w:r w:rsidRPr="00DE765A">
              <w:rPr>
                <w:noProof/>
                <w:sz w:val="20"/>
                <w:szCs w:val="20"/>
              </w:rPr>
              <w:t>25.2</w:t>
            </w:r>
            <w:bookmarkEnd w:id="484"/>
          </w:p>
        </w:tc>
        <w:tc>
          <w:tcPr>
            <w:tcW w:w="786" w:type="pct"/>
            <w:tcBorders>
              <w:top w:val="nil"/>
              <w:left w:val="nil"/>
              <w:bottom w:val="single" w:sz="4" w:space="0" w:color="auto"/>
              <w:right w:val="single" w:sz="4" w:space="0" w:color="auto"/>
            </w:tcBorders>
            <w:shd w:val="clear" w:color="000000" w:fill="FFFFFF"/>
            <w:noWrap/>
            <w:hideMark/>
          </w:tcPr>
          <w:p w14:paraId="29983634" w14:textId="19485E0C" w:rsidR="00FA4590" w:rsidRPr="00DE765A" w:rsidRDefault="00FA4590" w:rsidP="00FA4590">
            <w:pPr>
              <w:jc w:val="right"/>
              <w:outlineLvl w:val="0"/>
              <w:rPr>
                <w:noProof/>
                <w:sz w:val="20"/>
                <w:szCs w:val="20"/>
              </w:rPr>
            </w:pPr>
            <w:bookmarkStart w:id="485" w:name="_Toc223980090"/>
            <w:r w:rsidRPr="00DE765A">
              <w:rPr>
                <w:noProof/>
                <w:sz w:val="20"/>
                <w:szCs w:val="20"/>
              </w:rPr>
              <w:t>27.2</w:t>
            </w:r>
            <w:bookmarkEnd w:id="485"/>
          </w:p>
        </w:tc>
        <w:tc>
          <w:tcPr>
            <w:tcW w:w="785" w:type="pct"/>
            <w:tcBorders>
              <w:top w:val="nil"/>
              <w:left w:val="nil"/>
              <w:bottom w:val="single" w:sz="4" w:space="0" w:color="auto"/>
              <w:right w:val="single" w:sz="4" w:space="0" w:color="auto"/>
            </w:tcBorders>
            <w:shd w:val="clear" w:color="000000" w:fill="FFFFFF"/>
            <w:noWrap/>
            <w:hideMark/>
          </w:tcPr>
          <w:p w14:paraId="4F642BA7" w14:textId="084CC41C" w:rsidR="00FA4590" w:rsidRPr="00DE765A" w:rsidRDefault="00FA4590" w:rsidP="00FA4590">
            <w:pPr>
              <w:jc w:val="right"/>
              <w:outlineLvl w:val="0"/>
              <w:rPr>
                <w:noProof/>
                <w:sz w:val="20"/>
                <w:szCs w:val="20"/>
              </w:rPr>
            </w:pPr>
            <w:bookmarkStart w:id="486" w:name="_Toc223980091"/>
            <w:r w:rsidRPr="00DE765A">
              <w:rPr>
                <w:noProof/>
                <w:sz w:val="20"/>
                <w:szCs w:val="20"/>
              </w:rPr>
              <w:t>24.8</w:t>
            </w:r>
            <w:bookmarkEnd w:id="486"/>
          </w:p>
        </w:tc>
      </w:tr>
      <w:tr w:rsidR="00FA4590" w:rsidRPr="00DE765A" w14:paraId="4F654F6E"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749E9A5F" w14:textId="77777777" w:rsidR="00FA4590" w:rsidRPr="00DE765A" w:rsidRDefault="00FA4590" w:rsidP="00FA4590">
            <w:pPr>
              <w:outlineLvl w:val="0"/>
              <w:rPr>
                <w:noProof/>
                <w:sz w:val="20"/>
                <w:szCs w:val="20"/>
              </w:rPr>
            </w:pPr>
            <w:r w:rsidRPr="00DE765A">
              <w:rPr>
                <w:noProof/>
                <w:sz w:val="20"/>
                <w:szCs w:val="20"/>
              </w:rPr>
              <w:t xml:space="preserve"> </w:t>
            </w:r>
            <w:bookmarkStart w:id="487" w:name="_Toc223980092"/>
            <w:r w:rsidRPr="00DE765A">
              <w:rPr>
                <w:noProof/>
                <w:sz w:val="20"/>
                <w:szCs w:val="20"/>
              </w:rPr>
              <w:t>Belgium</w:t>
            </w:r>
            <w:bookmarkEnd w:id="487"/>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039522CE" w14:textId="040C202C" w:rsidR="00FA4590" w:rsidRPr="00DE765A" w:rsidRDefault="00FA4590" w:rsidP="00FA4590">
            <w:pPr>
              <w:jc w:val="right"/>
              <w:outlineLvl w:val="0"/>
              <w:rPr>
                <w:noProof/>
                <w:sz w:val="20"/>
                <w:szCs w:val="20"/>
              </w:rPr>
            </w:pPr>
            <w:bookmarkStart w:id="488" w:name="_Toc223980093"/>
            <w:r w:rsidRPr="00DE765A">
              <w:rPr>
                <w:noProof/>
                <w:sz w:val="20"/>
                <w:szCs w:val="20"/>
              </w:rPr>
              <w:t>205.5</w:t>
            </w:r>
            <w:bookmarkEnd w:id="488"/>
          </w:p>
        </w:tc>
        <w:tc>
          <w:tcPr>
            <w:tcW w:w="786" w:type="pct"/>
            <w:tcBorders>
              <w:top w:val="nil"/>
              <w:left w:val="nil"/>
              <w:bottom w:val="single" w:sz="4" w:space="0" w:color="auto"/>
              <w:right w:val="single" w:sz="4" w:space="0" w:color="auto"/>
            </w:tcBorders>
            <w:shd w:val="clear" w:color="000000" w:fill="FFFFFF"/>
            <w:noWrap/>
            <w:hideMark/>
          </w:tcPr>
          <w:p w14:paraId="0B64E8B8" w14:textId="603ADBB9" w:rsidR="00FA4590" w:rsidRPr="00DE765A" w:rsidRDefault="00FA4590" w:rsidP="00FA4590">
            <w:pPr>
              <w:jc w:val="right"/>
              <w:outlineLvl w:val="0"/>
              <w:rPr>
                <w:noProof/>
                <w:sz w:val="20"/>
                <w:szCs w:val="20"/>
              </w:rPr>
            </w:pPr>
            <w:bookmarkStart w:id="489" w:name="_Toc223980094"/>
            <w:r w:rsidRPr="00DE765A">
              <w:rPr>
                <w:noProof/>
                <w:sz w:val="20"/>
                <w:szCs w:val="20"/>
              </w:rPr>
              <w:t>25.2</w:t>
            </w:r>
            <w:bookmarkEnd w:id="489"/>
          </w:p>
        </w:tc>
        <w:tc>
          <w:tcPr>
            <w:tcW w:w="786" w:type="pct"/>
            <w:tcBorders>
              <w:top w:val="nil"/>
              <w:left w:val="nil"/>
              <w:bottom w:val="single" w:sz="4" w:space="0" w:color="auto"/>
              <w:right w:val="single" w:sz="4" w:space="0" w:color="auto"/>
            </w:tcBorders>
            <w:shd w:val="clear" w:color="000000" w:fill="FFFFFF"/>
            <w:noWrap/>
            <w:hideMark/>
          </w:tcPr>
          <w:p w14:paraId="394090F1" w14:textId="4D0C3AB2" w:rsidR="00FA4590" w:rsidRPr="00DE765A" w:rsidRDefault="00FA4590" w:rsidP="00FA4590">
            <w:pPr>
              <w:jc w:val="right"/>
              <w:outlineLvl w:val="0"/>
              <w:rPr>
                <w:noProof/>
                <w:sz w:val="20"/>
                <w:szCs w:val="20"/>
              </w:rPr>
            </w:pPr>
            <w:bookmarkStart w:id="490" w:name="_Toc223980095"/>
            <w:r w:rsidRPr="00DE765A">
              <w:rPr>
                <w:noProof/>
                <w:sz w:val="20"/>
                <w:szCs w:val="20"/>
              </w:rPr>
              <w:t>27.2</w:t>
            </w:r>
            <w:bookmarkEnd w:id="490"/>
          </w:p>
        </w:tc>
        <w:tc>
          <w:tcPr>
            <w:tcW w:w="785" w:type="pct"/>
            <w:tcBorders>
              <w:top w:val="nil"/>
              <w:left w:val="nil"/>
              <w:bottom w:val="single" w:sz="4" w:space="0" w:color="auto"/>
              <w:right w:val="single" w:sz="4" w:space="0" w:color="auto"/>
            </w:tcBorders>
            <w:shd w:val="clear" w:color="000000" w:fill="FFFFFF"/>
            <w:noWrap/>
            <w:hideMark/>
          </w:tcPr>
          <w:p w14:paraId="7D054CEE" w14:textId="6934AD7B" w:rsidR="00FA4590" w:rsidRPr="00DE765A" w:rsidRDefault="00FA4590" w:rsidP="00FA4590">
            <w:pPr>
              <w:jc w:val="right"/>
              <w:outlineLvl w:val="0"/>
              <w:rPr>
                <w:noProof/>
                <w:sz w:val="20"/>
                <w:szCs w:val="20"/>
              </w:rPr>
            </w:pPr>
            <w:bookmarkStart w:id="491" w:name="_Toc223980096"/>
            <w:r w:rsidRPr="00DE765A">
              <w:rPr>
                <w:noProof/>
                <w:sz w:val="20"/>
                <w:szCs w:val="20"/>
              </w:rPr>
              <w:t>24.8</w:t>
            </w:r>
            <w:bookmarkEnd w:id="491"/>
          </w:p>
        </w:tc>
      </w:tr>
      <w:tr w:rsidR="00FA4590" w:rsidRPr="00DE765A" w14:paraId="2B878153"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7CA50A4C" w14:textId="77777777" w:rsidR="00FA4590" w:rsidRPr="00DE765A" w:rsidRDefault="00FA4590" w:rsidP="00FA4590">
            <w:pPr>
              <w:outlineLvl w:val="0"/>
              <w:rPr>
                <w:noProof/>
                <w:sz w:val="20"/>
                <w:szCs w:val="20"/>
              </w:rPr>
            </w:pPr>
            <w:r w:rsidRPr="00DE765A">
              <w:rPr>
                <w:noProof/>
                <w:sz w:val="20"/>
                <w:szCs w:val="20"/>
              </w:rPr>
              <w:t xml:space="preserve"> </w:t>
            </w:r>
            <w:bookmarkStart w:id="492" w:name="_Toc223980097"/>
            <w:r w:rsidRPr="00DE765A">
              <w:rPr>
                <w:noProof/>
                <w:sz w:val="20"/>
                <w:szCs w:val="20"/>
              </w:rPr>
              <w:t>Portugal</w:t>
            </w:r>
            <w:bookmarkEnd w:id="492"/>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6288EF8E" w14:textId="24F03A53" w:rsidR="00FA4590" w:rsidRPr="00DE765A" w:rsidRDefault="00FA4590" w:rsidP="00FA4590">
            <w:pPr>
              <w:jc w:val="right"/>
              <w:outlineLvl w:val="0"/>
              <w:rPr>
                <w:noProof/>
                <w:sz w:val="20"/>
                <w:szCs w:val="20"/>
              </w:rPr>
            </w:pPr>
            <w:bookmarkStart w:id="493" w:name="_Toc223980098"/>
            <w:r w:rsidRPr="00DE765A">
              <w:rPr>
                <w:noProof/>
                <w:sz w:val="20"/>
                <w:szCs w:val="20"/>
              </w:rPr>
              <w:t>68.5</w:t>
            </w:r>
            <w:bookmarkEnd w:id="493"/>
          </w:p>
        </w:tc>
        <w:tc>
          <w:tcPr>
            <w:tcW w:w="786" w:type="pct"/>
            <w:tcBorders>
              <w:top w:val="nil"/>
              <w:left w:val="nil"/>
              <w:bottom w:val="single" w:sz="4" w:space="0" w:color="auto"/>
              <w:right w:val="single" w:sz="4" w:space="0" w:color="auto"/>
            </w:tcBorders>
            <w:shd w:val="clear" w:color="000000" w:fill="FFFFFF"/>
            <w:noWrap/>
            <w:hideMark/>
          </w:tcPr>
          <w:p w14:paraId="3A5B14CB" w14:textId="2EFA588C" w:rsidR="00FA4590" w:rsidRPr="00DE765A" w:rsidRDefault="00FA4590" w:rsidP="00FA4590">
            <w:pPr>
              <w:jc w:val="right"/>
              <w:outlineLvl w:val="0"/>
              <w:rPr>
                <w:noProof/>
                <w:sz w:val="20"/>
                <w:szCs w:val="20"/>
              </w:rPr>
            </w:pPr>
            <w:bookmarkStart w:id="494" w:name="_Toc223980099"/>
            <w:r w:rsidRPr="00DE765A">
              <w:rPr>
                <w:noProof/>
                <w:sz w:val="20"/>
                <w:szCs w:val="20"/>
              </w:rPr>
              <w:t>8.4</w:t>
            </w:r>
            <w:bookmarkEnd w:id="494"/>
          </w:p>
        </w:tc>
        <w:tc>
          <w:tcPr>
            <w:tcW w:w="786" w:type="pct"/>
            <w:tcBorders>
              <w:top w:val="nil"/>
              <w:left w:val="nil"/>
              <w:bottom w:val="single" w:sz="4" w:space="0" w:color="auto"/>
              <w:right w:val="single" w:sz="4" w:space="0" w:color="auto"/>
            </w:tcBorders>
            <w:shd w:val="clear" w:color="000000" w:fill="FFFFFF"/>
            <w:noWrap/>
            <w:hideMark/>
          </w:tcPr>
          <w:p w14:paraId="53399366" w14:textId="5523B6E5" w:rsidR="00FA4590" w:rsidRPr="00DE765A" w:rsidRDefault="00FA4590" w:rsidP="00FA4590">
            <w:pPr>
              <w:jc w:val="right"/>
              <w:outlineLvl w:val="0"/>
              <w:rPr>
                <w:noProof/>
                <w:sz w:val="20"/>
                <w:szCs w:val="20"/>
              </w:rPr>
            </w:pPr>
            <w:bookmarkStart w:id="495" w:name="_Toc223980100"/>
            <w:r w:rsidRPr="00DE765A">
              <w:rPr>
                <w:noProof/>
                <w:sz w:val="20"/>
                <w:szCs w:val="20"/>
              </w:rPr>
              <w:t>9.1</w:t>
            </w:r>
            <w:bookmarkEnd w:id="495"/>
          </w:p>
        </w:tc>
        <w:tc>
          <w:tcPr>
            <w:tcW w:w="785" w:type="pct"/>
            <w:tcBorders>
              <w:top w:val="nil"/>
              <w:left w:val="nil"/>
              <w:bottom w:val="single" w:sz="4" w:space="0" w:color="auto"/>
              <w:right w:val="single" w:sz="4" w:space="0" w:color="auto"/>
            </w:tcBorders>
            <w:shd w:val="clear" w:color="000000" w:fill="FFFFFF"/>
            <w:noWrap/>
            <w:hideMark/>
          </w:tcPr>
          <w:p w14:paraId="62D8A038" w14:textId="562C4655" w:rsidR="00FA4590" w:rsidRPr="00DE765A" w:rsidRDefault="00FA4590" w:rsidP="00FA4590">
            <w:pPr>
              <w:jc w:val="right"/>
              <w:outlineLvl w:val="0"/>
              <w:rPr>
                <w:noProof/>
                <w:sz w:val="20"/>
                <w:szCs w:val="20"/>
              </w:rPr>
            </w:pPr>
            <w:bookmarkStart w:id="496" w:name="_Toc223980101"/>
            <w:r w:rsidRPr="00DE765A">
              <w:rPr>
                <w:noProof/>
                <w:sz w:val="20"/>
                <w:szCs w:val="20"/>
              </w:rPr>
              <w:t>8.3</w:t>
            </w:r>
            <w:bookmarkEnd w:id="496"/>
          </w:p>
        </w:tc>
      </w:tr>
      <w:tr w:rsidR="00FA4590" w:rsidRPr="00DE765A" w14:paraId="48007347"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08792619" w14:textId="77777777" w:rsidR="00FA4590" w:rsidRPr="00DE765A" w:rsidRDefault="00FA4590" w:rsidP="00FA4590">
            <w:pPr>
              <w:outlineLvl w:val="0"/>
              <w:rPr>
                <w:noProof/>
                <w:sz w:val="20"/>
                <w:szCs w:val="20"/>
              </w:rPr>
            </w:pPr>
            <w:r w:rsidRPr="00DE765A">
              <w:rPr>
                <w:noProof/>
                <w:sz w:val="20"/>
                <w:szCs w:val="20"/>
              </w:rPr>
              <w:t xml:space="preserve"> </w:t>
            </w:r>
            <w:bookmarkStart w:id="497" w:name="_Toc223980102"/>
            <w:r w:rsidRPr="00DE765A">
              <w:rPr>
                <w:noProof/>
                <w:sz w:val="20"/>
                <w:szCs w:val="20"/>
              </w:rPr>
              <w:t>Malta</w:t>
            </w:r>
            <w:bookmarkEnd w:id="497"/>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2AB73180" w14:textId="7B930E3B" w:rsidR="00FA4590" w:rsidRPr="00DE765A" w:rsidRDefault="00FA4590" w:rsidP="00FA4590">
            <w:pPr>
              <w:jc w:val="right"/>
              <w:outlineLvl w:val="0"/>
              <w:rPr>
                <w:noProof/>
                <w:sz w:val="20"/>
                <w:szCs w:val="20"/>
              </w:rPr>
            </w:pPr>
            <w:bookmarkStart w:id="498" w:name="_Toc223980103"/>
            <w:r w:rsidRPr="00DE765A">
              <w:rPr>
                <w:noProof/>
                <w:sz w:val="20"/>
                <w:szCs w:val="20"/>
              </w:rPr>
              <w:t>34.3</w:t>
            </w:r>
            <w:bookmarkEnd w:id="498"/>
          </w:p>
        </w:tc>
        <w:tc>
          <w:tcPr>
            <w:tcW w:w="786" w:type="pct"/>
            <w:tcBorders>
              <w:top w:val="nil"/>
              <w:left w:val="nil"/>
              <w:bottom w:val="single" w:sz="4" w:space="0" w:color="auto"/>
              <w:right w:val="single" w:sz="4" w:space="0" w:color="auto"/>
            </w:tcBorders>
            <w:shd w:val="clear" w:color="000000" w:fill="FFFFFF"/>
            <w:noWrap/>
            <w:hideMark/>
          </w:tcPr>
          <w:p w14:paraId="50F2B99D" w14:textId="5395E817" w:rsidR="00FA4590" w:rsidRPr="00DE765A" w:rsidRDefault="00FA4590" w:rsidP="00FA4590">
            <w:pPr>
              <w:jc w:val="right"/>
              <w:outlineLvl w:val="0"/>
              <w:rPr>
                <w:noProof/>
                <w:sz w:val="20"/>
                <w:szCs w:val="20"/>
              </w:rPr>
            </w:pPr>
            <w:bookmarkStart w:id="499" w:name="_Toc223980104"/>
            <w:r w:rsidRPr="00DE765A">
              <w:rPr>
                <w:noProof/>
                <w:sz w:val="20"/>
                <w:szCs w:val="20"/>
              </w:rPr>
              <w:t>4.2</w:t>
            </w:r>
            <w:bookmarkEnd w:id="499"/>
          </w:p>
        </w:tc>
        <w:tc>
          <w:tcPr>
            <w:tcW w:w="786" w:type="pct"/>
            <w:tcBorders>
              <w:top w:val="nil"/>
              <w:left w:val="nil"/>
              <w:bottom w:val="single" w:sz="4" w:space="0" w:color="auto"/>
              <w:right w:val="single" w:sz="4" w:space="0" w:color="auto"/>
            </w:tcBorders>
            <w:shd w:val="clear" w:color="000000" w:fill="FFFFFF"/>
            <w:noWrap/>
            <w:hideMark/>
          </w:tcPr>
          <w:p w14:paraId="0AC7AC22" w14:textId="38F5A188" w:rsidR="00FA4590" w:rsidRPr="00DE765A" w:rsidRDefault="00FA4590" w:rsidP="00FA4590">
            <w:pPr>
              <w:jc w:val="right"/>
              <w:outlineLvl w:val="0"/>
              <w:rPr>
                <w:noProof/>
                <w:sz w:val="20"/>
                <w:szCs w:val="20"/>
              </w:rPr>
            </w:pPr>
            <w:bookmarkStart w:id="500" w:name="_Toc223980105"/>
            <w:r w:rsidRPr="00DE765A">
              <w:rPr>
                <w:noProof/>
                <w:sz w:val="20"/>
                <w:szCs w:val="20"/>
              </w:rPr>
              <w:t>4.5</w:t>
            </w:r>
            <w:bookmarkEnd w:id="500"/>
          </w:p>
        </w:tc>
        <w:tc>
          <w:tcPr>
            <w:tcW w:w="785" w:type="pct"/>
            <w:tcBorders>
              <w:top w:val="nil"/>
              <w:left w:val="nil"/>
              <w:bottom w:val="single" w:sz="4" w:space="0" w:color="auto"/>
              <w:right w:val="single" w:sz="4" w:space="0" w:color="auto"/>
            </w:tcBorders>
            <w:shd w:val="clear" w:color="000000" w:fill="FFFFFF"/>
            <w:noWrap/>
            <w:hideMark/>
          </w:tcPr>
          <w:p w14:paraId="29233DA4" w14:textId="4242BCD1" w:rsidR="00FA4590" w:rsidRPr="00DE765A" w:rsidRDefault="00FA4590" w:rsidP="00FA4590">
            <w:pPr>
              <w:jc w:val="right"/>
              <w:outlineLvl w:val="0"/>
              <w:rPr>
                <w:noProof/>
                <w:sz w:val="20"/>
                <w:szCs w:val="20"/>
              </w:rPr>
            </w:pPr>
            <w:bookmarkStart w:id="501" w:name="_Toc223980106"/>
            <w:r w:rsidRPr="00DE765A">
              <w:rPr>
                <w:noProof/>
                <w:sz w:val="20"/>
                <w:szCs w:val="20"/>
              </w:rPr>
              <w:t>4.1</w:t>
            </w:r>
            <w:bookmarkEnd w:id="501"/>
          </w:p>
        </w:tc>
      </w:tr>
      <w:tr w:rsidR="00FA4590" w:rsidRPr="00DE765A" w14:paraId="1AABA042"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54533532" w14:textId="77777777" w:rsidR="00FA4590" w:rsidRPr="00DE765A" w:rsidRDefault="00FA4590" w:rsidP="00FA4590">
            <w:pPr>
              <w:outlineLvl w:val="0"/>
              <w:rPr>
                <w:noProof/>
                <w:sz w:val="20"/>
                <w:szCs w:val="20"/>
              </w:rPr>
            </w:pPr>
            <w:r w:rsidRPr="00DE765A">
              <w:rPr>
                <w:noProof/>
                <w:sz w:val="20"/>
                <w:szCs w:val="20"/>
              </w:rPr>
              <w:t xml:space="preserve"> </w:t>
            </w:r>
            <w:bookmarkStart w:id="502" w:name="_Toc223980107"/>
            <w:r w:rsidRPr="00DE765A">
              <w:rPr>
                <w:noProof/>
                <w:sz w:val="20"/>
                <w:szCs w:val="20"/>
              </w:rPr>
              <w:t>Cyprus</w:t>
            </w:r>
            <w:bookmarkEnd w:id="502"/>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172CA72B" w14:textId="155272AC" w:rsidR="00FA4590" w:rsidRPr="00DE765A" w:rsidRDefault="00FA4590" w:rsidP="00FA4590">
            <w:pPr>
              <w:jc w:val="right"/>
              <w:outlineLvl w:val="0"/>
              <w:rPr>
                <w:noProof/>
                <w:sz w:val="20"/>
                <w:szCs w:val="20"/>
              </w:rPr>
            </w:pPr>
            <w:bookmarkStart w:id="503" w:name="_Toc223980108"/>
            <w:r w:rsidRPr="00DE765A">
              <w:rPr>
                <w:noProof/>
                <w:sz w:val="20"/>
                <w:szCs w:val="20"/>
              </w:rPr>
              <w:t>34.3</w:t>
            </w:r>
            <w:bookmarkEnd w:id="503"/>
          </w:p>
        </w:tc>
        <w:tc>
          <w:tcPr>
            <w:tcW w:w="786" w:type="pct"/>
            <w:tcBorders>
              <w:top w:val="nil"/>
              <w:left w:val="nil"/>
              <w:bottom w:val="single" w:sz="4" w:space="0" w:color="auto"/>
              <w:right w:val="single" w:sz="4" w:space="0" w:color="auto"/>
            </w:tcBorders>
            <w:shd w:val="clear" w:color="000000" w:fill="FFFFFF"/>
            <w:noWrap/>
            <w:hideMark/>
          </w:tcPr>
          <w:p w14:paraId="2715D498" w14:textId="1705F4AC" w:rsidR="00FA4590" w:rsidRPr="00DE765A" w:rsidRDefault="00FA4590" w:rsidP="00FA4590">
            <w:pPr>
              <w:jc w:val="right"/>
              <w:outlineLvl w:val="0"/>
              <w:rPr>
                <w:noProof/>
                <w:sz w:val="20"/>
                <w:szCs w:val="20"/>
              </w:rPr>
            </w:pPr>
            <w:bookmarkStart w:id="504" w:name="_Toc223980109"/>
            <w:r w:rsidRPr="00DE765A">
              <w:rPr>
                <w:noProof/>
                <w:sz w:val="20"/>
                <w:szCs w:val="20"/>
              </w:rPr>
              <w:t>4.2</w:t>
            </w:r>
            <w:bookmarkEnd w:id="504"/>
          </w:p>
        </w:tc>
        <w:tc>
          <w:tcPr>
            <w:tcW w:w="786" w:type="pct"/>
            <w:tcBorders>
              <w:top w:val="nil"/>
              <w:left w:val="nil"/>
              <w:bottom w:val="single" w:sz="4" w:space="0" w:color="auto"/>
              <w:right w:val="single" w:sz="4" w:space="0" w:color="auto"/>
            </w:tcBorders>
            <w:shd w:val="clear" w:color="000000" w:fill="FFFFFF"/>
            <w:noWrap/>
            <w:hideMark/>
          </w:tcPr>
          <w:p w14:paraId="0B8998FF" w14:textId="5A882933" w:rsidR="00FA4590" w:rsidRPr="00DE765A" w:rsidRDefault="00FA4590" w:rsidP="00FA4590">
            <w:pPr>
              <w:jc w:val="right"/>
              <w:outlineLvl w:val="0"/>
              <w:rPr>
                <w:noProof/>
                <w:sz w:val="20"/>
                <w:szCs w:val="20"/>
              </w:rPr>
            </w:pPr>
            <w:bookmarkStart w:id="505" w:name="_Toc223980110"/>
            <w:r w:rsidRPr="00DE765A">
              <w:rPr>
                <w:noProof/>
                <w:sz w:val="20"/>
                <w:szCs w:val="20"/>
              </w:rPr>
              <w:t>4.5</w:t>
            </w:r>
            <w:bookmarkEnd w:id="505"/>
          </w:p>
        </w:tc>
        <w:tc>
          <w:tcPr>
            <w:tcW w:w="785" w:type="pct"/>
            <w:tcBorders>
              <w:top w:val="nil"/>
              <w:left w:val="nil"/>
              <w:bottom w:val="single" w:sz="4" w:space="0" w:color="auto"/>
              <w:right w:val="single" w:sz="4" w:space="0" w:color="auto"/>
            </w:tcBorders>
            <w:shd w:val="clear" w:color="000000" w:fill="FFFFFF"/>
            <w:noWrap/>
            <w:hideMark/>
          </w:tcPr>
          <w:p w14:paraId="38BF36F1" w14:textId="34A164A4" w:rsidR="00FA4590" w:rsidRPr="00DE765A" w:rsidRDefault="00FA4590" w:rsidP="00FA4590">
            <w:pPr>
              <w:jc w:val="right"/>
              <w:outlineLvl w:val="0"/>
              <w:rPr>
                <w:noProof/>
                <w:sz w:val="20"/>
                <w:szCs w:val="20"/>
              </w:rPr>
            </w:pPr>
            <w:bookmarkStart w:id="506" w:name="_Toc223980111"/>
            <w:r w:rsidRPr="00DE765A">
              <w:rPr>
                <w:noProof/>
                <w:sz w:val="20"/>
                <w:szCs w:val="20"/>
              </w:rPr>
              <w:t>4.1</w:t>
            </w:r>
            <w:bookmarkEnd w:id="506"/>
          </w:p>
        </w:tc>
      </w:tr>
      <w:tr w:rsidR="00FA4590" w:rsidRPr="00DE765A" w14:paraId="33AAB57C"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452FBC3F" w14:textId="77777777" w:rsidR="00FA4590" w:rsidRPr="00DE765A" w:rsidRDefault="00FA4590" w:rsidP="00FA4590">
            <w:pPr>
              <w:outlineLvl w:val="0"/>
              <w:rPr>
                <w:noProof/>
                <w:sz w:val="20"/>
                <w:szCs w:val="20"/>
              </w:rPr>
            </w:pPr>
            <w:r w:rsidRPr="00DE765A">
              <w:rPr>
                <w:noProof/>
                <w:sz w:val="20"/>
                <w:szCs w:val="20"/>
              </w:rPr>
              <w:t xml:space="preserve"> </w:t>
            </w:r>
            <w:bookmarkStart w:id="507" w:name="_Toc223980112"/>
            <w:r w:rsidRPr="00DE765A">
              <w:rPr>
                <w:noProof/>
                <w:sz w:val="20"/>
                <w:szCs w:val="20"/>
              </w:rPr>
              <w:t>Greece</w:t>
            </w:r>
            <w:bookmarkEnd w:id="507"/>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5355A689" w14:textId="2E9EBCA0" w:rsidR="00FA4590" w:rsidRPr="00DE765A" w:rsidRDefault="00FA4590" w:rsidP="00FA4590">
            <w:pPr>
              <w:jc w:val="right"/>
              <w:outlineLvl w:val="0"/>
              <w:rPr>
                <w:noProof/>
                <w:sz w:val="20"/>
                <w:szCs w:val="20"/>
              </w:rPr>
            </w:pPr>
            <w:bookmarkStart w:id="508" w:name="_Toc223980113"/>
            <w:r w:rsidRPr="00DE765A">
              <w:rPr>
                <w:noProof/>
                <w:sz w:val="20"/>
                <w:szCs w:val="20"/>
              </w:rPr>
              <w:t>68.5</w:t>
            </w:r>
            <w:bookmarkEnd w:id="508"/>
          </w:p>
        </w:tc>
        <w:tc>
          <w:tcPr>
            <w:tcW w:w="786" w:type="pct"/>
            <w:tcBorders>
              <w:top w:val="nil"/>
              <w:left w:val="nil"/>
              <w:bottom w:val="single" w:sz="4" w:space="0" w:color="auto"/>
              <w:right w:val="single" w:sz="4" w:space="0" w:color="auto"/>
            </w:tcBorders>
            <w:shd w:val="clear" w:color="000000" w:fill="FFFFFF"/>
            <w:noWrap/>
            <w:hideMark/>
          </w:tcPr>
          <w:p w14:paraId="17E2B3F5" w14:textId="1AB6FFD3" w:rsidR="00FA4590" w:rsidRPr="00DE765A" w:rsidRDefault="00FA4590" w:rsidP="00FA4590">
            <w:pPr>
              <w:jc w:val="right"/>
              <w:outlineLvl w:val="0"/>
              <w:rPr>
                <w:noProof/>
                <w:sz w:val="20"/>
                <w:szCs w:val="20"/>
              </w:rPr>
            </w:pPr>
            <w:bookmarkStart w:id="509" w:name="_Toc223980114"/>
            <w:r w:rsidRPr="00DE765A">
              <w:rPr>
                <w:noProof/>
                <w:sz w:val="20"/>
                <w:szCs w:val="20"/>
              </w:rPr>
              <w:t>8.4</w:t>
            </w:r>
            <w:bookmarkEnd w:id="509"/>
          </w:p>
        </w:tc>
        <w:tc>
          <w:tcPr>
            <w:tcW w:w="786" w:type="pct"/>
            <w:tcBorders>
              <w:top w:val="nil"/>
              <w:left w:val="nil"/>
              <w:bottom w:val="single" w:sz="4" w:space="0" w:color="auto"/>
              <w:right w:val="single" w:sz="4" w:space="0" w:color="auto"/>
            </w:tcBorders>
            <w:shd w:val="clear" w:color="000000" w:fill="FFFFFF"/>
            <w:noWrap/>
            <w:hideMark/>
          </w:tcPr>
          <w:p w14:paraId="6F1E7DD7" w14:textId="7980EFE1" w:rsidR="00FA4590" w:rsidRPr="00DE765A" w:rsidRDefault="00FA4590" w:rsidP="00FA4590">
            <w:pPr>
              <w:jc w:val="right"/>
              <w:outlineLvl w:val="0"/>
              <w:rPr>
                <w:noProof/>
                <w:sz w:val="20"/>
                <w:szCs w:val="20"/>
              </w:rPr>
            </w:pPr>
            <w:bookmarkStart w:id="510" w:name="_Toc223980115"/>
            <w:r w:rsidRPr="00DE765A">
              <w:rPr>
                <w:noProof/>
                <w:sz w:val="20"/>
                <w:szCs w:val="20"/>
              </w:rPr>
              <w:t>9.1</w:t>
            </w:r>
            <w:bookmarkEnd w:id="510"/>
          </w:p>
        </w:tc>
        <w:tc>
          <w:tcPr>
            <w:tcW w:w="785" w:type="pct"/>
            <w:tcBorders>
              <w:top w:val="nil"/>
              <w:left w:val="nil"/>
              <w:bottom w:val="single" w:sz="4" w:space="0" w:color="auto"/>
              <w:right w:val="single" w:sz="4" w:space="0" w:color="auto"/>
            </w:tcBorders>
            <w:shd w:val="clear" w:color="000000" w:fill="FFFFFF"/>
            <w:noWrap/>
            <w:hideMark/>
          </w:tcPr>
          <w:p w14:paraId="7FCE9803" w14:textId="627F8DB6" w:rsidR="00FA4590" w:rsidRPr="00DE765A" w:rsidRDefault="00FA4590" w:rsidP="00FA4590">
            <w:pPr>
              <w:jc w:val="right"/>
              <w:outlineLvl w:val="0"/>
              <w:rPr>
                <w:noProof/>
                <w:sz w:val="20"/>
                <w:szCs w:val="20"/>
              </w:rPr>
            </w:pPr>
            <w:bookmarkStart w:id="511" w:name="_Toc223980116"/>
            <w:r w:rsidRPr="00DE765A">
              <w:rPr>
                <w:noProof/>
                <w:sz w:val="20"/>
                <w:szCs w:val="20"/>
              </w:rPr>
              <w:t>8.3</w:t>
            </w:r>
            <w:bookmarkEnd w:id="511"/>
          </w:p>
        </w:tc>
      </w:tr>
      <w:tr w:rsidR="00FA4590" w:rsidRPr="00DE765A" w14:paraId="500E0A7B"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37011C68" w14:textId="77777777" w:rsidR="00FA4590" w:rsidRPr="00DE765A" w:rsidRDefault="00FA4590" w:rsidP="00FA4590">
            <w:pPr>
              <w:outlineLvl w:val="0"/>
              <w:rPr>
                <w:noProof/>
                <w:sz w:val="20"/>
                <w:szCs w:val="20"/>
              </w:rPr>
            </w:pPr>
            <w:r w:rsidRPr="00DE765A">
              <w:rPr>
                <w:noProof/>
                <w:sz w:val="20"/>
                <w:szCs w:val="20"/>
              </w:rPr>
              <w:t xml:space="preserve"> </w:t>
            </w:r>
            <w:bookmarkStart w:id="512" w:name="_Toc223980117"/>
            <w:r w:rsidRPr="00DE765A">
              <w:rPr>
                <w:noProof/>
                <w:sz w:val="20"/>
                <w:szCs w:val="20"/>
              </w:rPr>
              <w:t>Bulgaria</w:t>
            </w:r>
            <w:bookmarkEnd w:id="512"/>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40AB8AC3" w14:textId="77777777" w:rsidR="00FA4590" w:rsidRPr="00DE765A" w:rsidRDefault="00FA4590" w:rsidP="00FA4590">
            <w:pPr>
              <w:jc w:val="right"/>
              <w:outlineLvl w:val="0"/>
              <w:rPr>
                <w:noProof/>
                <w:sz w:val="20"/>
                <w:szCs w:val="20"/>
              </w:rPr>
            </w:pPr>
            <w:bookmarkStart w:id="513" w:name="_Toc223980118"/>
            <w:r w:rsidRPr="00DE765A">
              <w:rPr>
                <w:noProof/>
                <w:sz w:val="20"/>
                <w:szCs w:val="20"/>
              </w:rPr>
              <w:t>0.0</w:t>
            </w:r>
            <w:bookmarkEnd w:id="513"/>
          </w:p>
        </w:tc>
        <w:tc>
          <w:tcPr>
            <w:tcW w:w="786" w:type="pct"/>
            <w:tcBorders>
              <w:top w:val="nil"/>
              <w:left w:val="nil"/>
              <w:bottom w:val="single" w:sz="4" w:space="0" w:color="auto"/>
              <w:right w:val="single" w:sz="4" w:space="0" w:color="auto"/>
            </w:tcBorders>
            <w:shd w:val="clear" w:color="000000" w:fill="FFFFFF"/>
            <w:noWrap/>
            <w:hideMark/>
          </w:tcPr>
          <w:p w14:paraId="0FF73189" w14:textId="77777777" w:rsidR="00FA4590" w:rsidRPr="00DE765A" w:rsidRDefault="00FA4590" w:rsidP="00FA4590">
            <w:pPr>
              <w:jc w:val="right"/>
              <w:outlineLvl w:val="0"/>
              <w:rPr>
                <w:noProof/>
                <w:sz w:val="20"/>
                <w:szCs w:val="20"/>
              </w:rPr>
            </w:pPr>
            <w:bookmarkStart w:id="514" w:name="_Toc223980119"/>
            <w:r w:rsidRPr="00DE765A">
              <w:rPr>
                <w:noProof/>
                <w:sz w:val="20"/>
                <w:szCs w:val="20"/>
              </w:rPr>
              <w:t>0.0</w:t>
            </w:r>
            <w:bookmarkEnd w:id="514"/>
          </w:p>
        </w:tc>
        <w:tc>
          <w:tcPr>
            <w:tcW w:w="786" w:type="pct"/>
            <w:tcBorders>
              <w:top w:val="nil"/>
              <w:left w:val="nil"/>
              <w:bottom w:val="single" w:sz="4" w:space="0" w:color="auto"/>
              <w:right w:val="single" w:sz="4" w:space="0" w:color="auto"/>
            </w:tcBorders>
            <w:shd w:val="clear" w:color="000000" w:fill="FFFFFF"/>
            <w:noWrap/>
            <w:hideMark/>
          </w:tcPr>
          <w:p w14:paraId="19340E51" w14:textId="77777777" w:rsidR="00FA4590" w:rsidRPr="00DE765A" w:rsidRDefault="00FA4590" w:rsidP="00FA4590">
            <w:pPr>
              <w:jc w:val="right"/>
              <w:outlineLvl w:val="0"/>
              <w:rPr>
                <w:noProof/>
                <w:sz w:val="20"/>
                <w:szCs w:val="20"/>
              </w:rPr>
            </w:pPr>
            <w:bookmarkStart w:id="515" w:name="_Toc223980120"/>
            <w:r w:rsidRPr="00DE765A">
              <w:rPr>
                <w:noProof/>
                <w:sz w:val="20"/>
                <w:szCs w:val="20"/>
              </w:rPr>
              <w:t>0.0</w:t>
            </w:r>
            <w:bookmarkEnd w:id="515"/>
          </w:p>
        </w:tc>
        <w:tc>
          <w:tcPr>
            <w:tcW w:w="785" w:type="pct"/>
            <w:tcBorders>
              <w:top w:val="nil"/>
              <w:left w:val="nil"/>
              <w:bottom w:val="single" w:sz="4" w:space="0" w:color="auto"/>
              <w:right w:val="single" w:sz="4" w:space="0" w:color="auto"/>
            </w:tcBorders>
            <w:shd w:val="clear" w:color="000000" w:fill="FFFFFF"/>
            <w:noWrap/>
            <w:hideMark/>
          </w:tcPr>
          <w:p w14:paraId="7D160014" w14:textId="77777777" w:rsidR="00FA4590" w:rsidRPr="00DE765A" w:rsidRDefault="00FA4590" w:rsidP="00FA4590">
            <w:pPr>
              <w:jc w:val="right"/>
              <w:outlineLvl w:val="0"/>
              <w:rPr>
                <w:noProof/>
                <w:sz w:val="20"/>
                <w:szCs w:val="20"/>
              </w:rPr>
            </w:pPr>
            <w:bookmarkStart w:id="516" w:name="_Toc223980121"/>
            <w:r w:rsidRPr="00DE765A">
              <w:rPr>
                <w:noProof/>
                <w:sz w:val="20"/>
                <w:szCs w:val="20"/>
              </w:rPr>
              <w:t>0.0</w:t>
            </w:r>
            <w:bookmarkEnd w:id="516"/>
          </w:p>
        </w:tc>
      </w:tr>
      <w:tr w:rsidR="00FA4590" w:rsidRPr="00DE765A" w14:paraId="73D1577B"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45B4FD68" w14:textId="77777777" w:rsidR="00FA4590" w:rsidRPr="00DE765A" w:rsidRDefault="00FA4590" w:rsidP="00FA4590">
            <w:pPr>
              <w:outlineLvl w:val="0"/>
              <w:rPr>
                <w:noProof/>
                <w:sz w:val="20"/>
                <w:szCs w:val="20"/>
              </w:rPr>
            </w:pPr>
            <w:r w:rsidRPr="00DE765A">
              <w:rPr>
                <w:noProof/>
                <w:sz w:val="20"/>
                <w:szCs w:val="20"/>
              </w:rPr>
              <w:t xml:space="preserve"> </w:t>
            </w:r>
            <w:bookmarkStart w:id="517" w:name="_Toc223980122"/>
            <w:r w:rsidRPr="00DE765A">
              <w:rPr>
                <w:noProof/>
                <w:sz w:val="20"/>
                <w:szCs w:val="20"/>
              </w:rPr>
              <w:t>Estonia</w:t>
            </w:r>
            <w:bookmarkEnd w:id="517"/>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4B6A47C3" w14:textId="77777777" w:rsidR="00FA4590" w:rsidRPr="00DE765A" w:rsidRDefault="00FA4590" w:rsidP="00FA4590">
            <w:pPr>
              <w:jc w:val="right"/>
              <w:outlineLvl w:val="0"/>
              <w:rPr>
                <w:noProof/>
                <w:sz w:val="20"/>
                <w:szCs w:val="20"/>
              </w:rPr>
            </w:pPr>
            <w:bookmarkStart w:id="518" w:name="_Toc223980123"/>
            <w:r w:rsidRPr="00DE765A">
              <w:rPr>
                <w:noProof/>
                <w:sz w:val="20"/>
                <w:szCs w:val="20"/>
              </w:rPr>
              <w:t>0.0</w:t>
            </w:r>
            <w:bookmarkEnd w:id="518"/>
          </w:p>
        </w:tc>
        <w:tc>
          <w:tcPr>
            <w:tcW w:w="786" w:type="pct"/>
            <w:tcBorders>
              <w:top w:val="nil"/>
              <w:left w:val="nil"/>
              <w:bottom w:val="single" w:sz="4" w:space="0" w:color="auto"/>
              <w:right w:val="single" w:sz="4" w:space="0" w:color="auto"/>
            </w:tcBorders>
            <w:shd w:val="clear" w:color="000000" w:fill="FFFFFF"/>
            <w:noWrap/>
            <w:hideMark/>
          </w:tcPr>
          <w:p w14:paraId="474FDA88" w14:textId="77777777" w:rsidR="00FA4590" w:rsidRPr="00DE765A" w:rsidRDefault="00FA4590" w:rsidP="00FA4590">
            <w:pPr>
              <w:jc w:val="right"/>
              <w:outlineLvl w:val="0"/>
              <w:rPr>
                <w:noProof/>
                <w:sz w:val="20"/>
                <w:szCs w:val="20"/>
              </w:rPr>
            </w:pPr>
            <w:bookmarkStart w:id="519" w:name="_Toc223980124"/>
            <w:r w:rsidRPr="00DE765A">
              <w:rPr>
                <w:noProof/>
                <w:sz w:val="20"/>
                <w:szCs w:val="20"/>
              </w:rPr>
              <w:t>0.0</w:t>
            </w:r>
            <w:bookmarkEnd w:id="519"/>
          </w:p>
        </w:tc>
        <w:tc>
          <w:tcPr>
            <w:tcW w:w="786" w:type="pct"/>
            <w:tcBorders>
              <w:top w:val="nil"/>
              <w:left w:val="nil"/>
              <w:bottom w:val="single" w:sz="4" w:space="0" w:color="auto"/>
              <w:right w:val="single" w:sz="4" w:space="0" w:color="auto"/>
            </w:tcBorders>
            <w:shd w:val="clear" w:color="000000" w:fill="FFFFFF"/>
            <w:noWrap/>
            <w:hideMark/>
          </w:tcPr>
          <w:p w14:paraId="5D7F7350" w14:textId="77777777" w:rsidR="00FA4590" w:rsidRPr="00DE765A" w:rsidRDefault="00FA4590" w:rsidP="00FA4590">
            <w:pPr>
              <w:jc w:val="right"/>
              <w:outlineLvl w:val="0"/>
              <w:rPr>
                <w:noProof/>
                <w:sz w:val="20"/>
                <w:szCs w:val="20"/>
              </w:rPr>
            </w:pPr>
            <w:bookmarkStart w:id="520" w:name="_Toc223980125"/>
            <w:r w:rsidRPr="00DE765A">
              <w:rPr>
                <w:noProof/>
                <w:sz w:val="20"/>
                <w:szCs w:val="20"/>
              </w:rPr>
              <w:t>0.0</w:t>
            </w:r>
            <w:bookmarkEnd w:id="520"/>
          </w:p>
        </w:tc>
        <w:tc>
          <w:tcPr>
            <w:tcW w:w="785" w:type="pct"/>
            <w:tcBorders>
              <w:top w:val="nil"/>
              <w:left w:val="nil"/>
              <w:bottom w:val="single" w:sz="4" w:space="0" w:color="auto"/>
              <w:right w:val="single" w:sz="4" w:space="0" w:color="auto"/>
            </w:tcBorders>
            <w:shd w:val="clear" w:color="000000" w:fill="FFFFFF"/>
            <w:noWrap/>
            <w:hideMark/>
          </w:tcPr>
          <w:p w14:paraId="7D77B114" w14:textId="77777777" w:rsidR="00FA4590" w:rsidRPr="00DE765A" w:rsidRDefault="00FA4590" w:rsidP="00FA4590">
            <w:pPr>
              <w:jc w:val="right"/>
              <w:outlineLvl w:val="0"/>
              <w:rPr>
                <w:noProof/>
                <w:sz w:val="20"/>
                <w:szCs w:val="20"/>
              </w:rPr>
            </w:pPr>
            <w:bookmarkStart w:id="521" w:name="_Toc223980126"/>
            <w:r w:rsidRPr="00DE765A">
              <w:rPr>
                <w:noProof/>
                <w:sz w:val="20"/>
                <w:szCs w:val="20"/>
              </w:rPr>
              <w:t>0.0</w:t>
            </w:r>
            <w:bookmarkEnd w:id="521"/>
          </w:p>
        </w:tc>
      </w:tr>
      <w:tr w:rsidR="00FA4590" w:rsidRPr="00DE765A" w14:paraId="2B86D02D"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4115F668" w14:textId="77777777" w:rsidR="00FA4590" w:rsidRPr="00DE765A" w:rsidRDefault="00FA4590" w:rsidP="00FA4590">
            <w:pPr>
              <w:outlineLvl w:val="0"/>
              <w:rPr>
                <w:noProof/>
                <w:sz w:val="20"/>
                <w:szCs w:val="20"/>
              </w:rPr>
            </w:pPr>
            <w:r w:rsidRPr="00DE765A">
              <w:rPr>
                <w:noProof/>
                <w:sz w:val="20"/>
                <w:szCs w:val="20"/>
              </w:rPr>
              <w:t xml:space="preserve"> </w:t>
            </w:r>
            <w:bookmarkStart w:id="522" w:name="_Toc223980127"/>
            <w:r w:rsidRPr="00DE765A">
              <w:rPr>
                <w:noProof/>
                <w:sz w:val="20"/>
                <w:szCs w:val="20"/>
              </w:rPr>
              <w:t>Croatia</w:t>
            </w:r>
            <w:bookmarkEnd w:id="522"/>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029ABCD7" w14:textId="05C6B1D1" w:rsidR="00FA4590" w:rsidRPr="00DE765A" w:rsidRDefault="00FA4590" w:rsidP="00FA4590">
            <w:pPr>
              <w:jc w:val="right"/>
              <w:outlineLvl w:val="0"/>
              <w:rPr>
                <w:noProof/>
                <w:sz w:val="20"/>
                <w:szCs w:val="20"/>
              </w:rPr>
            </w:pPr>
            <w:bookmarkStart w:id="523" w:name="_Toc223980128"/>
            <w:r w:rsidRPr="00DE765A">
              <w:rPr>
                <w:noProof/>
                <w:sz w:val="20"/>
                <w:szCs w:val="20"/>
              </w:rPr>
              <w:t>34.3</w:t>
            </w:r>
            <w:bookmarkEnd w:id="523"/>
          </w:p>
        </w:tc>
        <w:tc>
          <w:tcPr>
            <w:tcW w:w="786" w:type="pct"/>
            <w:tcBorders>
              <w:top w:val="nil"/>
              <w:left w:val="nil"/>
              <w:bottom w:val="single" w:sz="4" w:space="0" w:color="auto"/>
              <w:right w:val="single" w:sz="4" w:space="0" w:color="auto"/>
            </w:tcBorders>
            <w:shd w:val="clear" w:color="000000" w:fill="FFFFFF"/>
            <w:noWrap/>
            <w:hideMark/>
          </w:tcPr>
          <w:p w14:paraId="054B3B68" w14:textId="32A051CE" w:rsidR="00FA4590" w:rsidRPr="00DE765A" w:rsidRDefault="00FA4590" w:rsidP="00FA4590">
            <w:pPr>
              <w:jc w:val="right"/>
              <w:outlineLvl w:val="0"/>
              <w:rPr>
                <w:noProof/>
                <w:sz w:val="20"/>
                <w:szCs w:val="20"/>
              </w:rPr>
            </w:pPr>
            <w:bookmarkStart w:id="524" w:name="_Toc223980129"/>
            <w:r w:rsidRPr="00DE765A">
              <w:rPr>
                <w:noProof/>
                <w:sz w:val="20"/>
                <w:szCs w:val="20"/>
              </w:rPr>
              <w:t>4.2</w:t>
            </w:r>
            <w:bookmarkEnd w:id="524"/>
          </w:p>
        </w:tc>
        <w:tc>
          <w:tcPr>
            <w:tcW w:w="786" w:type="pct"/>
            <w:tcBorders>
              <w:top w:val="nil"/>
              <w:left w:val="nil"/>
              <w:bottom w:val="single" w:sz="4" w:space="0" w:color="auto"/>
              <w:right w:val="single" w:sz="4" w:space="0" w:color="auto"/>
            </w:tcBorders>
            <w:shd w:val="clear" w:color="000000" w:fill="FFFFFF"/>
            <w:noWrap/>
            <w:hideMark/>
          </w:tcPr>
          <w:p w14:paraId="3232BA35" w14:textId="4B6F0C20" w:rsidR="00FA4590" w:rsidRPr="00DE765A" w:rsidRDefault="00FA4590" w:rsidP="00FA4590">
            <w:pPr>
              <w:jc w:val="right"/>
              <w:outlineLvl w:val="0"/>
              <w:rPr>
                <w:noProof/>
                <w:sz w:val="20"/>
                <w:szCs w:val="20"/>
              </w:rPr>
            </w:pPr>
            <w:bookmarkStart w:id="525" w:name="_Toc223980130"/>
            <w:r w:rsidRPr="00DE765A">
              <w:rPr>
                <w:noProof/>
                <w:sz w:val="20"/>
                <w:szCs w:val="20"/>
              </w:rPr>
              <w:t>4.5</w:t>
            </w:r>
            <w:bookmarkEnd w:id="525"/>
          </w:p>
        </w:tc>
        <w:tc>
          <w:tcPr>
            <w:tcW w:w="785" w:type="pct"/>
            <w:tcBorders>
              <w:top w:val="nil"/>
              <w:left w:val="nil"/>
              <w:bottom w:val="single" w:sz="4" w:space="0" w:color="auto"/>
              <w:right w:val="single" w:sz="4" w:space="0" w:color="auto"/>
            </w:tcBorders>
            <w:shd w:val="clear" w:color="000000" w:fill="FFFFFF"/>
            <w:noWrap/>
            <w:hideMark/>
          </w:tcPr>
          <w:p w14:paraId="5F1E6147" w14:textId="7E30FB9E" w:rsidR="00FA4590" w:rsidRPr="00DE765A" w:rsidRDefault="00FA4590" w:rsidP="00FA4590">
            <w:pPr>
              <w:jc w:val="right"/>
              <w:outlineLvl w:val="0"/>
              <w:rPr>
                <w:noProof/>
                <w:sz w:val="20"/>
                <w:szCs w:val="20"/>
              </w:rPr>
            </w:pPr>
            <w:bookmarkStart w:id="526" w:name="_Toc223980131"/>
            <w:r w:rsidRPr="00DE765A">
              <w:rPr>
                <w:noProof/>
                <w:sz w:val="20"/>
                <w:szCs w:val="20"/>
              </w:rPr>
              <w:t>4.1</w:t>
            </w:r>
            <w:bookmarkEnd w:id="526"/>
          </w:p>
        </w:tc>
      </w:tr>
      <w:tr w:rsidR="00FA4590" w:rsidRPr="00DE765A" w14:paraId="53162021"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6DED1561" w14:textId="77777777" w:rsidR="00FA4590" w:rsidRPr="00DE765A" w:rsidRDefault="00FA4590" w:rsidP="00FA4590">
            <w:pPr>
              <w:outlineLvl w:val="0"/>
              <w:rPr>
                <w:noProof/>
                <w:sz w:val="20"/>
                <w:szCs w:val="20"/>
              </w:rPr>
            </w:pPr>
            <w:r w:rsidRPr="00DE765A">
              <w:rPr>
                <w:noProof/>
                <w:sz w:val="20"/>
                <w:szCs w:val="20"/>
              </w:rPr>
              <w:t xml:space="preserve"> </w:t>
            </w:r>
            <w:bookmarkStart w:id="527" w:name="_Toc223980132"/>
            <w:r w:rsidRPr="00DE765A">
              <w:rPr>
                <w:noProof/>
                <w:sz w:val="20"/>
                <w:szCs w:val="20"/>
              </w:rPr>
              <w:t>Lithuania</w:t>
            </w:r>
            <w:bookmarkEnd w:id="527"/>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3B5A0B92" w14:textId="77777777" w:rsidR="00FA4590" w:rsidRPr="00DE765A" w:rsidRDefault="00FA4590" w:rsidP="00FA4590">
            <w:pPr>
              <w:jc w:val="right"/>
              <w:outlineLvl w:val="0"/>
              <w:rPr>
                <w:noProof/>
                <w:sz w:val="20"/>
                <w:szCs w:val="20"/>
              </w:rPr>
            </w:pPr>
            <w:bookmarkStart w:id="528" w:name="_Toc223980133"/>
            <w:r w:rsidRPr="00DE765A">
              <w:rPr>
                <w:noProof/>
                <w:sz w:val="20"/>
                <w:szCs w:val="20"/>
              </w:rPr>
              <w:t>0.0</w:t>
            </w:r>
            <w:bookmarkEnd w:id="528"/>
          </w:p>
        </w:tc>
        <w:tc>
          <w:tcPr>
            <w:tcW w:w="786" w:type="pct"/>
            <w:tcBorders>
              <w:top w:val="nil"/>
              <w:left w:val="nil"/>
              <w:bottom w:val="single" w:sz="4" w:space="0" w:color="auto"/>
              <w:right w:val="single" w:sz="4" w:space="0" w:color="auto"/>
            </w:tcBorders>
            <w:shd w:val="clear" w:color="000000" w:fill="FFFFFF"/>
            <w:noWrap/>
            <w:hideMark/>
          </w:tcPr>
          <w:p w14:paraId="087AB815" w14:textId="77777777" w:rsidR="00FA4590" w:rsidRPr="00DE765A" w:rsidRDefault="00FA4590" w:rsidP="00FA4590">
            <w:pPr>
              <w:jc w:val="right"/>
              <w:outlineLvl w:val="0"/>
              <w:rPr>
                <w:noProof/>
                <w:sz w:val="20"/>
                <w:szCs w:val="20"/>
              </w:rPr>
            </w:pPr>
            <w:bookmarkStart w:id="529" w:name="_Toc223980134"/>
            <w:r w:rsidRPr="00DE765A">
              <w:rPr>
                <w:noProof/>
                <w:sz w:val="20"/>
                <w:szCs w:val="20"/>
              </w:rPr>
              <w:t>0.0</w:t>
            </w:r>
            <w:bookmarkEnd w:id="529"/>
          </w:p>
        </w:tc>
        <w:tc>
          <w:tcPr>
            <w:tcW w:w="786" w:type="pct"/>
            <w:tcBorders>
              <w:top w:val="nil"/>
              <w:left w:val="nil"/>
              <w:bottom w:val="single" w:sz="4" w:space="0" w:color="auto"/>
              <w:right w:val="single" w:sz="4" w:space="0" w:color="auto"/>
            </w:tcBorders>
            <w:shd w:val="clear" w:color="000000" w:fill="FFFFFF"/>
            <w:noWrap/>
            <w:hideMark/>
          </w:tcPr>
          <w:p w14:paraId="66F4C183" w14:textId="77777777" w:rsidR="00FA4590" w:rsidRPr="00DE765A" w:rsidRDefault="00FA4590" w:rsidP="00FA4590">
            <w:pPr>
              <w:jc w:val="right"/>
              <w:outlineLvl w:val="0"/>
              <w:rPr>
                <w:noProof/>
                <w:sz w:val="20"/>
                <w:szCs w:val="20"/>
              </w:rPr>
            </w:pPr>
            <w:bookmarkStart w:id="530" w:name="_Toc223980135"/>
            <w:r w:rsidRPr="00DE765A">
              <w:rPr>
                <w:noProof/>
                <w:sz w:val="20"/>
                <w:szCs w:val="20"/>
              </w:rPr>
              <w:t>0.0</w:t>
            </w:r>
            <w:bookmarkEnd w:id="530"/>
          </w:p>
        </w:tc>
        <w:tc>
          <w:tcPr>
            <w:tcW w:w="785" w:type="pct"/>
            <w:tcBorders>
              <w:top w:val="nil"/>
              <w:left w:val="nil"/>
              <w:bottom w:val="single" w:sz="4" w:space="0" w:color="auto"/>
              <w:right w:val="single" w:sz="4" w:space="0" w:color="auto"/>
            </w:tcBorders>
            <w:shd w:val="clear" w:color="000000" w:fill="FFFFFF"/>
            <w:noWrap/>
            <w:hideMark/>
          </w:tcPr>
          <w:p w14:paraId="56B0AE28" w14:textId="77777777" w:rsidR="00FA4590" w:rsidRPr="00DE765A" w:rsidRDefault="00FA4590" w:rsidP="00FA4590">
            <w:pPr>
              <w:jc w:val="right"/>
              <w:outlineLvl w:val="0"/>
              <w:rPr>
                <w:noProof/>
                <w:sz w:val="20"/>
                <w:szCs w:val="20"/>
              </w:rPr>
            </w:pPr>
            <w:bookmarkStart w:id="531" w:name="_Toc223980136"/>
            <w:r w:rsidRPr="00DE765A">
              <w:rPr>
                <w:noProof/>
                <w:sz w:val="20"/>
                <w:szCs w:val="20"/>
              </w:rPr>
              <w:t>0.0</w:t>
            </w:r>
            <w:bookmarkEnd w:id="531"/>
          </w:p>
        </w:tc>
      </w:tr>
      <w:tr w:rsidR="00FA4590" w:rsidRPr="00DE765A" w14:paraId="52388421"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12DB6589" w14:textId="77777777" w:rsidR="00FA4590" w:rsidRPr="00DE765A" w:rsidRDefault="00FA4590" w:rsidP="00FA4590">
            <w:pPr>
              <w:outlineLvl w:val="0"/>
              <w:rPr>
                <w:noProof/>
                <w:sz w:val="20"/>
                <w:szCs w:val="20"/>
              </w:rPr>
            </w:pPr>
            <w:r w:rsidRPr="00DE765A">
              <w:rPr>
                <w:noProof/>
                <w:sz w:val="20"/>
                <w:szCs w:val="20"/>
              </w:rPr>
              <w:t xml:space="preserve"> </w:t>
            </w:r>
            <w:bookmarkStart w:id="532" w:name="_Toc223980137"/>
            <w:r w:rsidRPr="00DE765A">
              <w:rPr>
                <w:noProof/>
                <w:sz w:val="20"/>
                <w:szCs w:val="20"/>
              </w:rPr>
              <w:t>Hungary</w:t>
            </w:r>
            <w:bookmarkEnd w:id="532"/>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05D3008E" w14:textId="54875178" w:rsidR="00FA4590" w:rsidRPr="00DE765A" w:rsidRDefault="00FA4590" w:rsidP="00FA4590">
            <w:pPr>
              <w:jc w:val="right"/>
              <w:outlineLvl w:val="0"/>
              <w:rPr>
                <w:noProof/>
                <w:sz w:val="20"/>
                <w:szCs w:val="20"/>
              </w:rPr>
            </w:pPr>
            <w:bookmarkStart w:id="533" w:name="_Toc223980138"/>
            <w:r w:rsidRPr="00DE765A">
              <w:rPr>
                <w:noProof/>
                <w:sz w:val="20"/>
                <w:szCs w:val="20"/>
              </w:rPr>
              <w:t>102.8</w:t>
            </w:r>
            <w:bookmarkEnd w:id="533"/>
          </w:p>
        </w:tc>
        <w:tc>
          <w:tcPr>
            <w:tcW w:w="786" w:type="pct"/>
            <w:tcBorders>
              <w:top w:val="nil"/>
              <w:left w:val="nil"/>
              <w:bottom w:val="single" w:sz="4" w:space="0" w:color="auto"/>
              <w:right w:val="single" w:sz="4" w:space="0" w:color="auto"/>
            </w:tcBorders>
            <w:shd w:val="clear" w:color="000000" w:fill="FFFFFF"/>
            <w:noWrap/>
            <w:hideMark/>
          </w:tcPr>
          <w:p w14:paraId="0AC8FB84" w14:textId="664D50D1" w:rsidR="00FA4590" w:rsidRPr="00DE765A" w:rsidRDefault="00FA4590" w:rsidP="00FA4590">
            <w:pPr>
              <w:jc w:val="right"/>
              <w:outlineLvl w:val="0"/>
              <w:rPr>
                <w:noProof/>
                <w:sz w:val="20"/>
                <w:szCs w:val="20"/>
              </w:rPr>
            </w:pPr>
            <w:bookmarkStart w:id="534" w:name="_Toc223980139"/>
            <w:r w:rsidRPr="00DE765A">
              <w:rPr>
                <w:noProof/>
                <w:sz w:val="20"/>
                <w:szCs w:val="20"/>
              </w:rPr>
              <w:t>12.6</w:t>
            </w:r>
            <w:bookmarkEnd w:id="534"/>
          </w:p>
        </w:tc>
        <w:tc>
          <w:tcPr>
            <w:tcW w:w="786" w:type="pct"/>
            <w:tcBorders>
              <w:top w:val="nil"/>
              <w:left w:val="nil"/>
              <w:bottom w:val="single" w:sz="4" w:space="0" w:color="auto"/>
              <w:right w:val="single" w:sz="4" w:space="0" w:color="auto"/>
            </w:tcBorders>
            <w:shd w:val="clear" w:color="000000" w:fill="FFFFFF"/>
            <w:noWrap/>
            <w:hideMark/>
          </w:tcPr>
          <w:p w14:paraId="5B65A5B5" w14:textId="3F22552A" w:rsidR="00FA4590" w:rsidRPr="00DE765A" w:rsidRDefault="00FA4590" w:rsidP="00FA4590">
            <w:pPr>
              <w:jc w:val="right"/>
              <w:outlineLvl w:val="0"/>
              <w:rPr>
                <w:noProof/>
                <w:sz w:val="20"/>
                <w:szCs w:val="20"/>
              </w:rPr>
            </w:pPr>
            <w:bookmarkStart w:id="535" w:name="_Toc223980140"/>
            <w:r w:rsidRPr="00DE765A">
              <w:rPr>
                <w:noProof/>
                <w:sz w:val="20"/>
                <w:szCs w:val="20"/>
              </w:rPr>
              <w:t>13.6</w:t>
            </w:r>
            <w:bookmarkEnd w:id="535"/>
          </w:p>
        </w:tc>
        <w:tc>
          <w:tcPr>
            <w:tcW w:w="785" w:type="pct"/>
            <w:tcBorders>
              <w:top w:val="nil"/>
              <w:left w:val="nil"/>
              <w:bottom w:val="single" w:sz="4" w:space="0" w:color="auto"/>
              <w:right w:val="single" w:sz="4" w:space="0" w:color="auto"/>
            </w:tcBorders>
            <w:shd w:val="clear" w:color="000000" w:fill="FFFFFF"/>
            <w:noWrap/>
            <w:hideMark/>
          </w:tcPr>
          <w:p w14:paraId="6592F7C7" w14:textId="232A1409" w:rsidR="00FA4590" w:rsidRPr="00DE765A" w:rsidRDefault="00FA4590" w:rsidP="00FA4590">
            <w:pPr>
              <w:jc w:val="right"/>
              <w:outlineLvl w:val="0"/>
              <w:rPr>
                <w:noProof/>
                <w:sz w:val="20"/>
                <w:szCs w:val="20"/>
              </w:rPr>
            </w:pPr>
            <w:bookmarkStart w:id="536" w:name="_Toc223980141"/>
            <w:r w:rsidRPr="00DE765A">
              <w:rPr>
                <w:noProof/>
                <w:sz w:val="20"/>
                <w:szCs w:val="20"/>
              </w:rPr>
              <w:t>12.4</w:t>
            </w:r>
            <w:bookmarkEnd w:id="536"/>
          </w:p>
        </w:tc>
      </w:tr>
      <w:tr w:rsidR="00FA4590" w:rsidRPr="00DE765A" w14:paraId="44293657"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5D31C2F9" w14:textId="77777777" w:rsidR="00FA4590" w:rsidRPr="00DE765A" w:rsidRDefault="00FA4590" w:rsidP="00FA4590">
            <w:pPr>
              <w:outlineLvl w:val="0"/>
              <w:rPr>
                <w:noProof/>
                <w:sz w:val="20"/>
                <w:szCs w:val="20"/>
              </w:rPr>
            </w:pPr>
            <w:r w:rsidRPr="00DE765A">
              <w:rPr>
                <w:noProof/>
                <w:sz w:val="20"/>
                <w:szCs w:val="20"/>
              </w:rPr>
              <w:t xml:space="preserve"> </w:t>
            </w:r>
            <w:bookmarkStart w:id="537" w:name="_Toc223980142"/>
            <w:r w:rsidRPr="00DE765A">
              <w:rPr>
                <w:noProof/>
                <w:sz w:val="20"/>
                <w:szCs w:val="20"/>
              </w:rPr>
              <w:t>Sweden</w:t>
            </w:r>
            <w:bookmarkEnd w:id="537"/>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5911B441" w14:textId="204F66B4" w:rsidR="00FA4590" w:rsidRPr="00DE765A" w:rsidRDefault="00FA4590" w:rsidP="00FA4590">
            <w:pPr>
              <w:jc w:val="right"/>
              <w:outlineLvl w:val="0"/>
              <w:rPr>
                <w:noProof/>
                <w:sz w:val="20"/>
                <w:szCs w:val="20"/>
              </w:rPr>
            </w:pPr>
            <w:bookmarkStart w:id="538" w:name="_Toc223980143"/>
            <w:r w:rsidRPr="00DE765A">
              <w:rPr>
                <w:noProof/>
                <w:sz w:val="20"/>
                <w:szCs w:val="20"/>
              </w:rPr>
              <w:t>68.5</w:t>
            </w:r>
            <w:bookmarkEnd w:id="538"/>
          </w:p>
        </w:tc>
        <w:tc>
          <w:tcPr>
            <w:tcW w:w="786" w:type="pct"/>
            <w:tcBorders>
              <w:top w:val="nil"/>
              <w:left w:val="nil"/>
              <w:bottom w:val="single" w:sz="4" w:space="0" w:color="auto"/>
              <w:right w:val="single" w:sz="4" w:space="0" w:color="auto"/>
            </w:tcBorders>
            <w:shd w:val="clear" w:color="000000" w:fill="FFFFFF"/>
            <w:noWrap/>
            <w:hideMark/>
          </w:tcPr>
          <w:p w14:paraId="173D0DBD" w14:textId="2123BB2B" w:rsidR="00FA4590" w:rsidRPr="00DE765A" w:rsidRDefault="00FA4590" w:rsidP="00FA4590">
            <w:pPr>
              <w:jc w:val="right"/>
              <w:outlineLvl w:val="0"/>
              <w:rPr>
                <w:noProof/>
                <w:sz w:val="20"/>
                <w:szCs w:val="20"/>
              </w:rPr>
            </w:pPr>
            <w:bookmarkStart w:id="539" w:name="_Toc223980144"/>
            <w:r w:rsidRPr="00DE765A">
              <w:rPr>
                <w:noProof/>
                <w:sz w:val="20"/>
                <w:szCs w:val="20"/>
              </w:rPr>
              <w:t>8.4</w:t>
            </w:r>
            <w:bookmarkEnd w:id="539"/>
          </w:p>
        </w:tc>
        <w:tc>
          <w:tcPr>
            <w:tcW w:w="786" w:type="pct"/>
            <w:tcBorders>
              <w:top w:val="nil"/>
              <w:left w:val="nil"/>
              <w:bottom w:val="single" w:sz="4" w:space="0" w:color="auto"/>
              <w:right w:val="single" w:sz="4" w:space="0" w:color="auto"/>
            </w:tcBorders>
            <w:shd w:val="clear" w:color="000000" w:fill="FFFFFF"/>
            <w:noWrap/>
            <w:hideMark/>
          </w:tcPr>
          <w:p w14:paraId="1C44C342" w14:textId="72D027CD" w:rsidR="00FA4590" w:rsidRPr="00DE765A" w:rsidRDefault="00FA4590" w:rsidP="00FA4590">
            <w:pPr>
              <w:jc w:val="right"/>
              <w:outlineLvl w:val="0"/>
              <w:rPr>
                <w:noProof/>
                <w:sz w:val="20"/>
                <w:szCs w:val="20"/>
              </w:rPr>
            </w:pPr>
            <w:bookmarkStart w:id="540" w:name="_Toc223980145"/>
            <w:r w:rsidRPr="00DE765A">
              <w:rPr>
                <w:noProof/>
                <w:sz w:val="20"/>
                <w:szCs w:val="20"/>
              </w:rPr>
              <w:t>9.1</w:t>
            </w:r>
            <w:bookmarkEnd w:id="540"/>
          </w:p>
        </w:tc>
        <w:tc>
          <w:tcPr>
            <w:tcW w:w="785" w:type="pct"/>
            <w:tcBorders>
              <w:top w:val="nil"/>
              <w:left w:val="nil"/>
              <w:bottom w:val="single" w:sz="4" w:space="0" w:color="auto"/>
              <w:right w:val="single" w:sz="4" w:space="0" w:color="auto"/>
            </w:tcBorders>
            <w:shd w:val="clear" w:color="000000" w:fill="FFFFFF"/>
            <w:noWrap/>
            <w:hideMark/>
          </w:tcPr>
          <w:p w14:paraId="15038C47" w14:textId="3693D2BE" w:rsidR="00FA4590" w:rsidRPr="00DE765A" w:rsidRDefault="00FA4590" w:rsidP="00FA4590">
            <w:pPr>
              <w:jc w:val="right"/>
              <w:outlineLvl w:val="0"/>
              <w:rPr>
                <w:noProof/>
                <w:sz w:val="20"/>
                <w:szCs w:val="20"/>
              </w:rPr>
            </w:pPr>
            <w:bookmarkStart w:id="541" w:name="_Toc223980146"/>
            <w:r w:rsidRPr="00DE765A">
              <w:rPr>
                <w:noProof/>
                <w:sz w:val="20"/>
                <w:szCs w:val="20"/>
              </w:rPr>
              <w:t>8.3</w:t>
            </w:r>
            <w:bookmarkEnd w:id="541"/>
          </w:p>
        </w:tc>
      </w:tr>
      <w:tr w:rsidR="00FA4590" w:rsidRPr="00DE765A" w14:paraId="294580CC"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7C168A6F" w14:textId="0C502318" w:rsidR="00FA4590" w:rsidRPr="00DE765A" w:rsidRDefault="00FA4590" w:rsidP="00FA4590">
            <w:pPr>
              <w:outlineLvl w:val="0"/>
              <w:rPr>
                <w:noProof/>
                <w:sz w:val="20"/>
                <w:szCs w:val="20"/>
              </w:rPr>
            </w:pPr>
            <w:r w:rsidRPr="00DE765A">
              <w:rPr>
                <w:noProof/>
                <w:sz w:val="20"/>
                <w:szCs w:val="20"/>
              </w:rPr>
              <w:t xml:space="preserve"> </w:t>
            </w:r>
            <w:bookmarkStart w:id="542" w:name="_Toc223980147"/>
            <w:r w:rsidRPr="00DE765A">
              <w:rPr>
                <w:noProof/>
                <w:sz w:val="20"/>
                <w:szCs w:val="20"/>
              </w:rPr>
              <w:t>Czechia</w:t>
            </w:r>
            <w:bookmarkEnd w:id="542"/>
          </w:p>
        </w:tc>
        <w:tc>
          <w:tcPr>
            <w:tcW w:w="786" w:type="pct"/>
            <w:tcBorders>
              <w:top w:val="nil"/>
              <w:left w:val="nil"/>
              <w:bottom w:val="single" w:sz="4" w:space="0" w:color="auto"/>
              <w:right w:val="single" w:sz="4" w:space="0" w:color="auto"/>
            </w:tcBorders>
            <w:shd w:val="clear" w:color="000000" w:fill="FFFFFF"/>
            <w:noWrap/>
            <w:hideMark/>
          </w:tcPr>
          <w:p w14:paraId="07C9B492" w14:textId="600892D2" w:rsidR="00FA4590" w:rsidRPr="00DE765A" w:rsidRDefault="00FA4590" w:rsidP="00FA4590">
            <w:pPr>
              <w:jc w:val="right"/>
              <w:outlineLvl w:val="0"/>
              <w:rPr>
                <w:noProof/>
                <w:sz w:val="20"/>
                <w:szCs w:val="20"/>
              </w:rPr>
            </w:pPr>
            <w:bookmarkStart w:id="543" w:name="_Toc223980148"/>
            <w:r w:rsidRPr="00DE765A">
              <w:rPr>
                <w:noProof/>
                <w:sz w:val="20"/>
                <w:szCs w:val="20"/>
              </w:rPr>
              <w:t>102.8</w:t>
            </w:r>
            <w:bookmarkEnd w:id="543"/>
          </w:p>
        </w:tc>
        <w:tc>
          <w:tcPr>
            <w:tcW w:w="786" w:type="pct"/>
            <w:tcBorders>
              <w:top w:val="nil"/>
              <w:left w:val="nil"/>
              <w:bottom w:val="single" w:sz="4" w:space="0" w:color="auto"/>
              <w:right w:val="single" w:sz="4" w:space="0" w:color="auto"/>
            </w:tcBorders>
            <w:shd w:val="clear" w:color="000000" w:fill="FFFFFF"/>
            <w:noWrap/>
            <w:hideMark/>
          </w:tcPr>
          <w:p w14:paraId="6020FC69" w14:textId="43F56D49" w:rsidR="00FA4590" w:rsidRPr="00DE765A" w:rsidRDefault="00FA4590" w:rsidP="00FA4590">
            <w:pPr>
              <w:jc w:val="right"/>
              <w:outlineLvl w:val="0"/>
              <w:rPr>
                <w:noProof/>
                <w:sz w:val="20"/>
                <w:szCs w:val="20"/>
              </w:rPr>
            </w:pPr>
            <w:bookmarkStart w:id="544" w:name="_Toc223980149"/>
            <w:r w:rsidRPr="00DE765A">
              <w:rPr>
                <w:noProof/>
                <w:sz w:val="20"/>
                <w:szCs w:val="20"/>
              </w:rPr>
              <w:t>12.6</w:t>
            </w:r>
            <w:bookmarkEnd w:id="544"/>
          </w:p>
        </w:tc>
        <w:tc>
          <w:tcPr>
            <w:tcW w:w="786" w:type="pct"/>
            <w:tcBorders>
              <w:top w:val="nil"/>
              <w:left w:val="nil"/>
              <w:bottom w:val="single" w:sz="4" w:space="0" w:color="auto"/>
              <w:right w:val="single" w:sz="4" w:space="0" w:color="auto"/>
            </w:tcBorders>
            <w:shd w:val="clear" w:color="000000" w:fill="FFFFFF"/>
            <w:noWrap/>
            <w:hideMark/>
          </w:tcPr>
          <w:p w14:paraId="6C802AE6" w14:textId="396E720C" w:rsidR="00FA4590" w:rsidRPr="00DE765A" w:rsidRDefault="00FA4590" w:rsidP="00FA4590">
            <w:pPr>
              <w:jc w:val="right"/>
              <w:outlineLvl w:val="0"/>
              <w:rPr>
                <w:noProof/>
                <w:sz w:val="20"/>
                <w:szCs w:val="20"/>
              </w:rPr>
            </w:pPr>
            <w:bookmarkStart w:id="545" w:name="_Toc223980150"/>
            <w:r w:rsidRPr="00DE765A">
              <w:rPr>
                <w:noProof/>
                <w:sz w:val="20"/>
                <w:szCs w:val="20"/>
              </w:rPr>
              <w:t>13.6</w:t>
            </w:r>
            <w:bookmarkEnd w:id="545"/>
          </w:p>
        </w:tc>
        <w:tc>
          <w:tcPr>
            <w:tcW w:w="785" w:type="pct"/>
            <w:tcBorders>
              <w:top w:val="nil"/>
              <w:left w:val="nil"/>
              <w:bottom w:val="single" w:sz="4" w:space="0" w:color="auto"/>
              <w:right w:val="single" w:sz="4" w:space="0" w:color="auto"/>
            </w:tcBorders>
            <w:shd w:val="clear" w:color="000000" w:fill="FFFFFF"/>
            <w:noWrap/>
            <w:hideMark/>
          </w:tcPr>
          <w:p w14:paraId="0BFAA2D5" w14:textId="5D19F8BF" w:rsidR="00FA4590" w:rsidRPr="00DE765A" w:rsidRDefault="00FA4590" w:rsidP="00FA4590">
            <w:pPr>
              <w:jc w:val="right"/>
              <w:outlineLvl w:val="0"/>
              <w:rPr>
                <w:noProof/>
                <w:sz w:val="20"/>
                <w:szCs w:val="20"/>
              </w:rPr>
            </w:pPr>
            <w:bookmarkStart w:id="546" w:name="_Toc223980151"/>
            <w:r w:rsidRPr="00DE765A">
              <w:rPr>
                <w:noProof/>
                <w:sz w:val="20"/>
                <w:szCs w:val="20"/>
              </w:rPr>
              <w:t>12.4</w:t>
            </w:r>
            <w:bookmarkEnd w:id="546"/>
          </w:p>
        </w:tc>
      </w:tr>
      <w:tr w:rsidR="00FA4590" w:rsidRPr="00DE765A" w14:paraId="6A2C5601"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6A6AED85" w14:textId="77777777" w:rsidR="00FA4590" w:rsidRPr="00DE765A" w:rsidRDefault="00FA4590" w:rsidP="00FA4590">
            <w:pPr>
              <w:outlineLvl w:val="0"/>
              <w:rPr>
                <w:noProof/>
                <w:sz w:val="20"/>
                <w:szCs w:val="20"/>
              </w:rPr>
            </w:pPr>
            <w:r w:rsidRPr="00DE765A">
              <w:rPr>
                <w:noProof/>
                <w:sz w:val="20"/>
                <w:szCs w:val="20"/>
              </w:rPr>
              <w:t xml:space="preserve"> </w:t>
            </w:r>
            <w:bookmarkStart w:id="547" w:name="_Toc223980152"/>
            <w:r w:rsidRPr="00DE765A">
              <w:rPr>
                <w:noProof/>
                <w:sz w:val="20"/>
                <w:szCs w:val="20"/>
              </w:rPr>
              <w:t>Ireland</w:t>
            </w:r>
            <w:bookmarkEnd w:id="547"/>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2326F83C" w14:textId="48688EAE" w:rsidR="00FA4590" w:rsidRPr="00DE765A" w:rsidRDefault="00FA4590" w:rsidP="00FA4590">
            <w:pPr>
              <w:jc w:val="right"/>
              <w:outlineLvl w:val="0"/>
              <w:rPr>
                <w:noProof/>
                <w:sz w:val="20"/>
                <w:szCs w:val="20"/>
              </w:rPr>
            </w:pPr>
            <w:bookmarkStart w:id="548" w:name="_Toc223980153"/>
            <w:r w:rsidRPr="00DE765A">
              <w:rPr>
                <w:noProof/>
                <w:sz w:val="20"/>
                <w:szCs w:val="20"/>
              </w:rPr>
              <w:t>68.5</w:t>
            </w:r>
            <w:bookmarkEnd w:id="548"/>
          </w:p>
        </w:tc>
        <w:tc>
          <w:tcPr>
            <w:tcW w:w="786" w:type="pct"/>
            <w:tcBorders>
              <w:top w:val="nil"/>
              <w:left w:val="nil"/>
              <w:bottom w:val="single" w:sz="4" w:space="0" w:color="auto"/>
              <w:right w:val="single" w:sz="4" w:space="0" w:color="auto"/>
            </w:tcBorders>
            <w:shd w:val="clear" w:color="000000" w:fill="FFFFFF"/>
            <w:noWrap/>
            <w:hideMark/>
          </w:tcPr>
          <w:p w14:paraId="290DE55F" w14:textId="6E367423" w:rsidR="00FA4590" w:rsidRPr="00DE765A" w:rsidRDefault="00FA4590" w:rsidP="00FA4590">
            <w:pPr>
              <w:jc w:val="right"/>
              <w:outlineLvl w:val="0"/>
              <w:rPr>
                <w:noProof/>
                <w:sz w:val="20"/>
                <w:szCs w:val="20"/>
              </w:rPr>
            </w:pPr>
            <w:bookmarkStart w:id="549" w:name="_Toc223980154"/>
            <w:r w:rsidRPr="00DE765A">
              <w:rPr>
                <w:noProof/>
                <w:sz w:val="20"/>
                <w:szCs w:val="20"/>
              </w:rPr>
              <w:t>8.4</w:t>
            </w:r>
            <w:bookmarkEnd w:id="549"/>
          </w:p>
        </w:tc>
        <w:tc>
          <w:tcPr>
            <w:tcW w:w="786" w:type="pct"/>
            <w:tcBorders>
              <w:top w:val="nil"/>
              <w:left w:val="nil"/>
              <w:bottom w:val="single" w:sz="4" w:space="0" w:color="auto"/>
              <w:right w:val="single" w:sz="4" w:space="0" w:color="auto"/>
            </w:tcBorders>
            <w:shd w:val="clear" w:color="000000" w:fill="FFFFFF"/>
            <w:noWrap/>
            <w:hideMark/>
          </w:tcPr>
          <w:p w14:paraId="1525439B" w14:textId="3A125522" w:rsidR="00FA4590" w:rsidRPr="00DE765A" w:rsidRDefault="00FA4590" w:rsidP="00FA4590">
            <w:pPr>
              <w:jc w:val="right"/>
              <w:outlineLvl w:val="0"/>
              <w:rPr>
                <w:noProof/>
                <w:sz w:val="20"/>
                <w:szCs w:val="20"/>
              </w:rPr>
            </w:pPr>
            <w:bookmarkStart w:id="550" w:name="_Toc223980155"/>
            <w:r w:rsidRPr="00DE765A">
              <w:rPr>
                <w:noProof/>
                <w:sz w:val="20"/>
                <w:szCs w:val="20"/>
              </w:rPr>
              <w:t>9.1</w:t>
            </w:r>
            <w:bookmarkEnd w:id="550"/>
          </w:p>
        </w:tc>
        <w:tc>
          <w:tcPr>
            <w:tcW w:w="785" w:type="pct"/>
            <w:tcBorders>
              <w:top w:val="nil"/>
              <w:left w:val="nil"/>
              <w:bottom w:val="single" w:sz="4" w:space="0" w:color="auto"/>
              <w:right w:val="single" w:sz="4" w:space="0" w:color="auto"/>
            </w:tcBorders>
            <w:shd w:val="clear" w:color="000000" w:fill="FFFFFF"/>
            <w:noWrap/>
            <w:hideMark/>
          </w:tcPr>
          <w:p w14:paraId="519F5FD5" w14:textId="6C58BAE9" w:rsidR="00FA4590" w:rsidRPr="00DE765A" w:rsidRDefault="00FA4590" w:rsidP="00FA4590">
            <w:pPr>
              <w:jc w:val="right"/>
              <w:outlineLvl w:val="0"/>
              <w:rPr>
                <w:noProof/>
                <w:sz w:val="20"/>
                <w:szCs w:val="20"/>
              </w:rPr>
            </w:pPr>
            <w:bookmarkStart w:id="551" w:name="_Toc223980156"/>
            <w:r w:rsidRPr="00DE765A">
              <w:rPr>
                <w:noProof/>
                <w:sz w:val="20"/>
                <w:szCs w:val="20"/>
              </w:rPr>
              <w:t>8.3</w:t>
            </w:r>
            <w:bookmarkEnd w:id="551"/>
          </w:p>
        </w:tc>
      </w:tr>
      <w:tr w:rsidR="00FA4590" w:rsidRPr="00DE765A" w14:paraId="20D5B223"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41EC4638" w14:textId="77777777" w:rsidR="00FA4590" w:rsidRPr="00DE765A" w:rsidRDefault="00FA4590" w:rsidP="00FA4590">
            <w:pPr>
              <w:outlineLvl w:val="0"/>
              <w:rPr>
                <w:noProof/>
                <w:sz w:val="20"/>
                <w:szCs w:val="20"/>
              </w:rPr>
            </w:pPr>
            <w:r w:rsidRPr="00DE765A">
              <w:rPr>
                <w:noProof/>
                <w:sz w:val="20"/>
                <w:szCs w:val="20"/>
              </w:rPr>
              <w:t xml:space="preserve"> </w:t>
            </w:r>
            <w:bookmarkStart w:id="552" w:name="_Toc223980157"/>
            <w:r w:rsidRPr="00DE765A">
              <w:rPr>
                <w:noProof/>
                <w:sz w:val="20"/>
                <w:szCs w:val="20"/>
              </w:rPr>
              <w:t>Slovenia</w:t>
            </w:r>
            <w:bookmarkEnd w:id="552"/>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204EB4BA" w14:textId="77777777" w:rsidR="00FA4590" w:rsidRPr="00DE765A" w:rsidRDefault="00FA4590" w:rsidP="00FA4590">
            <w:pPr>
              <w:jc w:val="right"/>
              <w:outlineLvl w:val="0"/>
              <w:rPr>
                <w:noProof/>
                <w:sz w:val="20"/>
                <w:szCs w:val="20"/>
              </w:rPr>
            </w:pPr>
            <w:bookmarkStart w:id="553" w:name="_Toc223980158"/>
            <w:r w:rsidRPr="00DE765A">
              <w:rPr>
                <w:noProof/>
                <w:sz w:val="20"/>
                <w:szCs w:val="20"/>
              </w:rPr>
              <w:t>0.0</w:t>
            </w:r>
            <w:bookmarkEnd w:id="553"/>
          </w:p>
        </w:tc>
        <w:tc>
          <w:tcPr>
            <w:tcW w:w="786" w:type="pct"/>
            <w:tcBorders>
              <w:top w:val="nil"/>
              <w:left w:val="nil"/>
              <w:bottom w:val="single" w:sz="4" w:space="0" w:color="auto"/>
              <w:right w:val="single" w:sz="4" w:space="0" w:color="auto"/>
            </w:tcBorders>
            <w:shd w:val="clear" w:color="000000" w:fill="FFFFFF"/>
            <w:noWrap/>
            <w:hideMark/>
          </w:tcPr>
          <w:p w14:paraId="06780A02" w14:textId="77777777" w:rsidR="00FA4590" w:rsidRPr="00DE765A" w:rsidRDefault="00FA4590" w:rsidP="00FA4590">
            <w:pPr>
              <w:jc w:val="right"/>
              <w:outlineLvl w:val="0"/>
              <w:rPr>
                <w:noProof/>
                <w:sz w:val="20"/>
                <w:szCs w:val="20"/>
              </w:rPr>
            </w:pPr>
            <w:bookmarkStart w:id="554" w:name="_Toc223980159"/>
            <w:r w:rsidRPr="00DE765A">
              <w:rPr>
                <w:noProof/>
                <w:sz w:val="20"/>
                <w:szCs w:val="20"/>
              </w:rPr>
              <w:t>0.0</w:t>
            </w:r>
            <w:bookmarkEnd w:id="554"/>
          </w:p>
        </w:tc>
        <w:tc>
          <w:tcPr>
            <w:tcW w:w="786" w:type="pct"/>
            <w:tcBorders>
              <w:top w:val="nil"/>
              <w:left w:val="nil"/>
              <w:bottom w:val="single" w:sz="4" w:space="0" w:color="auto"/>
              <w:right w:val="single" w:sz="4" w:space="0" w:color="auto"/>
            </w:tcBorders>
            <w:shd w:val="clear" w:color="000000" w:fill="FFFFFF"/>
            <w:noWrap/>
            <w:hideMark/>
          </w:tcPr>
          <w:p w14:paraId="46249850" w14:textId="77777777" w:rsidR="00FA4590" w:rsidRPr="00DE765A" w:rsidRDefault="00FA4590" w:rsidP="00FA4590">
            <w:pPr>
              <w:jc w:val="right"/>
              <w:outlineLvl w:val="0"/>
              <w:rPr>
                <w:noProof/>
                <w:sz w:val="20"/>
                <w:szCs w:val="20"/>
              </w:rPr>
            </w:pPr>
            <w:bookmarkStart w:id="555" w:name="_Toc223980160"/>
            <w:r w:rsidRPr="00DE765A">
              <w:rPr>
                <w:noProof/>
                <w:sz w:val="20"/>
                <w:szCs w:val="20"/>
              </w:rPr>
              <w:t>0.0</w:t>
            </w:r>
            <w:bookmarkEnd w:id="555"/>
          </w:p>
        </w:tc>
        <w:tc>
          <w:tcPr>
            <w:tcW w:w="785" w:type="pct"/>
            <w:tcBorders>
              <w:top w:val="nil"/>
              <w:left w:val="nil"/>
              <w:bottom w:val="single" w:sz="4" w:space="0" w:color="auto"/>
              <w:right w:val="single" w:sz="4" w:space="0" w:color="auto"/>
            </w:tcBorders>
            <w:shd w:val="clear" w:color="000000" w:fill="FFFFFF"/>
            <w:noWrap/>
            <w:hideMark/>
          </w:tcPr>
          <w:p w14:paraId="04F407A3" w14:textId="77777777" w:rsidR="00FA4590" w:rsidRPr="00DE765A" w:rsidRDefault="00FA4590" w:rsidP="00FA4590">
            <w:pPr>
              <w:jc w:val="right"/>
              <w:outlineLvl w:val="0"/>
              <w:rPr>
                <w:noProof/>
                <w:sz w:val="20"/>
                <w:szCs w:val="20"/>
              </w:rPr>
            </w:pPr>
            <w:bookmarkStart w:id="556" w:name="_Toc223980161"/>
            <w:r w:rsidRPr="00DE765A">
              <w:rPr>
                <w:noProof/>
                <w:sz w:val="20"/>
                <w:szCs w:val="20"/>
              </w:rPr>
              <w:t>0.0</w:t>
            </w:r>
            <w:bookmarkEnd w:id="556"/>
          </w:p>
        </w:tc>
      </w:tr>
      <w:tr w:rsidR="00FA4590" w:rsidRPr="00DE765A" w14:paraId="70AAFD98"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411FABDA" w14:textId="77777777" w:rsidR="00FA4590" w:rsidRPr="00DE765A" w:rsidRDefault="00FA4590" w:rsidP="00FA4590">
            <w:pPr>
              <w:outlineLvl w:val="0"/>
              <w:rPr>
                <w:noProof/>
                <w:sz w:val="20"/>
                <w:szCs w:val="20"/>
              </w:rPr>
            </w:pPr>
            <w:r w:rsidRPr="00DE765A">
              <w:rPr>
                <w:noProof/>
                <w:sz w:val="20"/>
                <w:szCs w:val="20"/>
              </w:rPr>
              <w:t xml:space="preserve"> </w:t>
            </w:r>
            <w:bookmarkStart w:id="557" w:name="_Toc223980162"/>
            <w:r w:rsidRPr="00DE765A">
              <w:rPr>
                <w:noProof/>
                <w:sz w:val="20"/>
                <w:szCs w:val="20"/>
              </w:rPr>
              <w:t>Latvia</w:t>
            </w:r>
            <w:bookmarkEnd w:id="557"/>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77109A71" w14:textId="77777777" w:rsidR="00FA4590" w:rsidRPr="00DE765A" w:rsidRDefault="00FA4590" w:rsidP="00FA4590">
            <w:pPr>
              <w:jc w:val="right"/>
              <w:outlineLvl w:val="0"/>
              <w:rPr>
                <w:noProof/>
                <w:sz w:val="20"/>
                <w:szCs w:val="20"/>
              </w:rPr>
            </w:pPr>
            <w:bookmarkStart w:id="558" w:name="_Toc223980163"/>
            <w:r w:rsidRPr="00DE765A">
              <w:rPr>
                <w:noProof/>
                <w:sz w:val="20"/>
                <w:szCs w:val="20"/>
              </w:rPr>
              <w:t>0.0</w:t>
            </w:r>
            <w:bookmarkEnd w:id="558"/>
          </w:p>
        </w:tc>
        <w:tc>
          <w:tcPr>
            <w:tcW w:w="786" w:type="pct"/>
            <w:tcBorders>
              <w:top w:val="nil"/>
              <w:left w:val="nil"/>
              <w:bottom w:val="single" w:sz="4" w:space="0" w:color="auto"/>
              <w:right w:val="single" w:sz="4" w:space="0" w:color="auto"/>
            </w:tcBorders>
            <w:shd w:val="clear" w:color="000000" w:fill="FFFFFF"/>
            <w:noWrap/>
            <w:hideMark/>
          </w:tcPr>
          <w:p w14:paraId="5301CF7F" w14:textId="77777777" w:rsidR="00FA4590" w:rsidRPr="00DE765A" w:rsidRDefault="00FA4590" w:rsidP="00FA4590">
            <w:pPr>
              <w:jc w:val="right"/>
              <w:outlineLvl w:val="0"/>
              <w:rPr>
                <w:noProof/>
                <w:sz w:val="20"/>
                <w:szCs w:val="20"/>
              </w:rPr>
            </w:pPr>
            <w:bookmarkStart w:id="559" w:name="_Toc223980164"/>
            <w:r w:rsidRPr="00DE765A">
              <w:rPr>
                <w:noProof/>
                <w:sz w:val="20"/>
                <w:szCs w:val="20"/>
              </w:rPr>
              <w:t>0.0</w:t>
            </w:r>
            <w:bookmarkEnd w:id="559"/>
          </w:p>
        </w:tc>
        <w:tc>
          <w:tcPr>
            <w:tcW w:w="786" w:type="pct"/>
            <w:tcBorders>
              <w:top w:val="nil"/>
              <w:left w:val="nil"/>
              <w:bottom w:val="single" w:sz="4" w:space="0" w:color="auto"/>
              <w:right w:val="single" w:sz="4" w:space="0" w:color="auto"/>
            </w:tcBorders>
            <w:shd w:val="clear" w:color="000000" w:fill="FFFFFF"/>
            <w:noWrap/>
            <w:hideMark/>
          </w:tcPr>
          <w:p w14:paraId="07820B17" w14:textId="77777777" w:rsidR="00FA4590" w:rsidRPr="00DE765A" w:rsidRDefault="00FA4590" w:rsidP="00FA4590">
            <w:pPr>
              <w:jc w:val="right"/>
              <w:outlineLvl w:val="0"/>
              <w:rPr>
                <w:noProof/>
                <w:sz w:val="20"/>
                <w:szCs w:val="20"/>
              </w:rPr>
            </w:pPr>
            <w:bookmarkStart w:id="560" w:name="_Toc223980165"/>
            <w:r w:rsidRPr="00DE765A">
              <w:rPr>
                <w:noProof/>
                <w:sz w:val="20"/>
                <w:szCs w:val="20"/>
              </w:rPr>
              <w:t>0.0</w:t>
            </w:r>
            <w:bookmarkEnd w:id="560"/>
          </w:p>
        </w:tc>
        <w:tc>
          <w:tcPr>
            <w:tcW w:w="785" w:type="pct"/>
            <w:tcBorders>
              <w:top w:val="nil"/>
              <w:left w:val="nil"/>
              <w:bottom w:val="single" w:sz="4" w:space="0" w:color="auto"/>
              <w:right w:val="single" w:sz="4" w:space="0" w:color="auto"/>
            </w:tcBorders>
            <w:shd w:val="clear" w:color="000000" w:fill="FFFFFF"/>
            <w:noWrap/>
            <w:hideMark/>
          </w:tcPr>
          <w:p w14:paraId="22F01D91" w14:textId="77777777" w:rsidR="00FA4590" w:rsidRPr="00DE765A" w:rsidRDefault="00FA4590" w:rsidP="00FA4590">
            <w:pPr>
              <w:jc w:val="right"/>
              <w:outlineLvl w:val="0"/>
              <w:rPr>
                <w:noProof/>
                <w:sz w:val="20"/>
                <w:szCs w:val="20"/>
              </w:rPr>
            </w:pPr>
            <w:bookmarkStart w:id="561" w:name="_Toc223980166"/>
            <w:r w:rsidRPr="00DE765A">
              <w:rPr>
                <w:noProof/>
                <w:sz w:val="20"/>
                <w:szCs w:val="20"/>
              </w:rPr>
              <w:t>0.0</w:t>
            </w:r>
            <w:bookmarkEnd w:id="561"/>
          </w:p>
        </w:tc>
      </w:tr>
      <w:tr w:rsidR="00FA4590" w:rsidRPr="00DE765A" w14:paraId="6CDCB88A"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6ACF99B7" w14:textId="77777777" w:rsidR="00FA4590" w:rsidRPr="00DE765A" w:rsidRDefault="00FA4590" w:rsidP="00FA4590">
            <w:pPr>
              <w:outlineLvl w:val="0"/>
              <w:rPr>
                <w:noProof/>
                <w:sz w:val="20"/>
                <w:szCs w:val="20"/>
              </w:rPr>
            </w:pPr>
            <w:r w:rsidRPr="00DE765A">
              <w:rPr>
                <w:noProof/>
                <w:sz w:val="20"/>
                <w:szCs w:val="20"/>
              </w:rPr>
              <w:t xml:space="preserve"> </w:t>
            </w:r>
            <w:bookmarkStart w:id="562" w:name="_Toc223980167"/>
            <w:r w:rsidRPr="00DE765A">
              <w:rPr>
                <w:noProof/>
                <w:sz w:val="20"/>
                <w:szCs w:val="20"/>
              </w:rPr>
              <w:t>Romania</w:t>
            </w:r>
            <w:bookmarkEnd w:id="562"/>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3948F818" w14:textId="77777777" w:rsidR="00FA4590" w:rsidRPr="00DE765A" w:rsidRDefault="00FA4590" w:rsidP="00FA4590">
            <w:pPr>
              <w:jc w:val="right"/>
              <w:outlineLvl w:val="0"/>
              <w:rPr>
                <w:noProof/>
                <w:sz w:val="20"/>
                <w:szCs w:val="20"/>
              </w:rPr>
            </w:pPr>
            <w:bookmarkStart w:id="563" w:name="_Toc223980168"/>
            <w:r w:rsidRPr="00DE765A">
              <w:rPr>
                <w:noProof/>
                <w:sz w:val="20"/>
                <w:szCs w:val="20"/>
              </w:rPr>
              <w:t>0.0</w:t>
            </w:r>
            <w:bookmarkEnd w:id="563"/>
          </w:p>
        </w:tc>
        <w:tc>
          <w:tcPr>
            <w:tcW w:w="786" w:type="pct"/>
            <w:tcBorders>
              <w:top w:val="nil"/>
              <w:left w:val="nil"/>
              <w:bottom w:val="single" w:sz="4" w:space="0" w:color="auto"/>
              <w:right w:val="single" w:sz="4" w:space="0" w:color="auto"/>
            </w:tcBorders>
            <w:shd w:val="clear" w:color="000000" w:fill="FFFFFF"/>
            <w:noWrap/>
            <w:hideMark/>
          </w:tcPr>
          <w:p w14:paraId="3F6278E0" w14:textId="77777777" w:rsidR="00FA4590" w:rsidRPr="00DE765A" w:rsidRDefault="00FA4590" w:rsidP="00FA4590">
            <w:pPr>
              <w:jc w:val="right"/>
              <w:outlineLvl w:val="0"/>
              <w:rPr>
                <w:noProof/>
                <w:sz w:val="20"/>
                <w:szCs w:val="20"/>
              </w:rPr>
            </w:pPr>
            <w:bookmarkStart w:id="564" w:name="_Toc223980169"/>
            <w:r w:rsidRPr="00DE765A">
              <w:rPr>
                <w:noProof/>
                <w:sz w:val="20"/>
                <w:szCs w:val="20"/>
              </w:rPr>
              <w:t>0.0</w:t>
            </w:r>
            <w:bookmarkEnd w:id="564"/>
          </w:p>
        </w:tc>
        <w:tc>
          <w:tcPr>
            <w:tcW w:w="786" w:type="pct"/>
            <w:tcBorders>
              <w:top w:val="nil"/>
              <w:left w:val="nil"/>
              <w:bottom w:val="single" w:sz="4" w:space="0" w:color="auto"/>
              <w:right w:val="single" w:sz="4" w:space="0" w:color="auto"/>
            </w:tcBorders>
            <w:shd w:val="clear" w:color="000000" w:fill="FFFFFF"/>
            <w:noWrap/>
            <w:hideMark/>
          </w:tcPr>
          <w:p w14:paraId="3FC40024" w14:textId="77777777" w:rsidR="00FA4590" w:rsidRPr="00DE765A" w:rsidRDefault="00FA4590" w:rsidP="00FA4590">
            <w:pPr>
              <w:jc w:val="right"/>
              <w:outlineLvl w:val="0"/>
              <w:rPr>
                <w:noProof/>
                <w:sz w:val="20"/>
                <w:szCs w:val="20"/>
              </w:rPr>
            </w:pPr>
            <w:bookmarkStart w:id="565" w:name="_Toc223980170"/>
            <w:r w:rsidRPr="00DE765A">
              <w:rPr>
                <w:noProof/>
                <w:sz w:val="20"/>
                <w:szCs w:val="20"/>
              </w:rPr>
              <w:t>0.0</w:t>
            </w:r>
            <w:bookmarkEnd w:id="565"/>
          </w:p>
        </w:tc>
        <w:tc>
          <w:tcPr>
            <w:tcW w:w="785" w:type="pct"/>
            <w:tcBorders>
              <w:top w:val="nil"/>
              <w:left w:val="nil"/>
              <w:bottom w:val="single" w:sz="4" w:space="0" w:color="auto"/>
              <w:right w:val="single" w:sz="4" w:space="0" w:color="auto"/>
            </w:tcBorders>
            <w:shd w:val="clear" w:color="000000" w:fill="FFFFFF"/>
            <w:noWrap/>
            <w:hideMark/>
          </w:tcPr>
          <w:p w14:paraId="5D464BF4" w14:textId="77777777" w:rsidR="00FA4590" w:rsidRPr="00DE765A" w:rsidRDefault="00FA4590" w:rsidP="00FA4590">
            <w:pPr>
              <w:jc w:val="right"/>
              <w:outlineLvl w:val="0"/>
              <w:rPr>
                <w:noProof/>
                <w:sz w:val="20"/>
                <w:szCs w:val="20"/>
              </w:rPr>
            </w:pPr>
            <w:bookmarkStart w:id="566" w:name="_Toc223980171"/>
            <w:r w:rsidRPr="00DE765A">
              <w:rPr>
                <w:noProof/>
                <w:sz w:val="20"/>
                <w:szCs w:val="20"/>
              </w:rPr>
              <w:t>0.0</w:t>
            </w:r>
            <w:bookmarkEnd w:id="566"/>
          </w:p>
        </w:tc>
      </w:tr>
      <w:tr w:rsidR="00FA4590" w:rsidRPr="00DE765A" w14:paraId="51E63BAC"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6AA06B5C" w14:textId="77777777" w:rsidR="00FA4590" w:rsidRPr="00DE765A" w:rsidRDefault="00FA4590" w:rsidP="00FA4590">
            <w:pPr>
              <w:outlineLvl w:val="0"/>
              <w:rPr>
                <w:noProof/>
                <w:sz w:val="20"/>
                <w:szCs w:val="20"/>
              </w:rPr>
            </w:pPr>
            <w:r w:rsidRPr="00DE765A">
              <w:rPr>
                <w:noProof/>
                <w:sz w:val="20"/>
                <w:szCs w:val="20"/>
              </w:rPr>
              <w:t xml:space="preserve"> </w:t>
            </w:r>
            <w:bookmarkStart w:id="567" w:name="_Toc223980172"/>
            <w:r w:rsidRPr="00DE765A">
              <w:rPr>
                <w:noProof/>
                <w:sz w:val="20"/>
                <w:szCs w:val="20"/>
              </w:rPr>
              <w:t>Slovakia</w:t>
            </w:r>
            <w:bookmarkEnd w:id="567"/>
            <w:r w:rsidRPr="00DE765A">
              <w:rPr>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2743918C" w14:textId="3EDA92A5" w:rsidR="00FA4590" w:rsidRPr="00DE765A" w:rsidRDefault="00FA4590" w:rsidP="00FA4590">
            <w:pPr>
              <w:jc w:val="right"/>
              <w:outlineLvl w:val="0"/>
              <w:rPr>
                <w:noProof/>
                <w:sz w:val="20"/>
                <w:szCs w:val="20"/>
              </w:rPr>
            </w:pPr>
            <w:bookmarkStart w:id="568" w:name="_Toc223980173"/>
            <w:r w:rsidRPr="00DE765A">
              <w:rPr>
                <w:noProof/>
                <w:sz w:val="20"/>
                <w:szCs w:val="20"/>
              </w:rPr>
              <w:t>34.3</w:t>
            </w:r>
            <w:bookmarkEnd w:id="568"/>
          </w:p>
        </w:tc>
        <w:tc>
          <w:tcPr>
            <w:tcW w:w="786" w:type="pct"/>
            <w:tcBorders>
              <w:top w:val="nil"/>
              <w:left w:val="nil"/>
              <w:bottom w:val="single" w:sz="4" w:space="0" w:color="auto"/>
              <w:right w:val="single" w:sz="4" w:space="0" w:color="auto"/>
            </w:tcBorders>
            <w:shd w:val="clear" w:color="000000" w:fill="FFFFFF"/>
            <w:noWrap/>
            <w:hideMark/>
          </w:tcPr>
          <w:p w14:paraId="66337BA1" w14:textId="6238A712" w:rsidR="00FA4590" w:rsidRPr="00DE765A" w:rsidRDefault="00FA4590" w:rsidP="00FA4590">
            <w:pPr>
              <w:jc w:val="right"/>
              <w:outlineLvl w:val="0"/>
              <w:rPr>
                <w:noProof/>
                <w:sz w:val="20"/>
                <w:szCs w:val="20"/>
              </w:rPr>
            </w:pPr>
            <w:bookmarkStart w:id="569" w:name="_Toc223980174"/>
            <w:r w:rsidRPr="00DE765A">
              <w:rPr>
                <w:noProof/>
                <w:sz w:val="20"/>
                <w:szCs w:val="20"/>
              </w:rPr>
              <w:t>4.2</w:t>
            </w:r>
            <w:bookmarkEnd w:id="569"/>
          </w:p>
        </w:tc>
        <w:tc>
          <w:tcPr>
            <w:tcW w:w="786" w:type="pct"/>
            <w:tcBorders>
              <w:top w:val="nil"/>
              <w:left w:val="nil"/>
              <w:bottom w:val="single" w:sz="4" w:space="0" w:color="auto"/>
              <w:right w:val="single" w:sz="4" w:space="0" w:color="auto"/>
            </w:tcBorders>
            <w:shd w:val="clear" w:color="000000" w:fill="FFFFFF"/>
            <w:noWrap/>
            <w:hideMark/>
          </w:tcPr>
          <w:p w14:paraId="601AAC2C" w14:textId="326E434B" w:rsidR="00FA4590" w:rsidRPr="00DE765A" w:rsidRDefault="00FA4590" w:rsidP="00FA4590">
            <w:pPr>
              <w:jc w:val="right"/>
              <w:outlineLvl w:val="0"/>
              <w:rPr>
                <w:noProof/>
                <w:sz w:val="20"/>
                <w:szCs w:val="20"/>
              </w:rPr>
            </w:pPr>
            <w:bookmarkStart w:id="570" w:name="_Toc223980175"/>
            <w:r w:rsidRPr="00DE765A">
              <w:rPr>
                <w:noProof/>
                <w:sz w:val="20"/>
                <w:szCs w:val="20"/>
              </w:rPr>
              <w:t>4.5</w:t>
            </w:r>
            <w:bookmarkEnd w:id="570"/>
          </w:p>
        </w:tc>
        <w:tc>
          <w:tcPr>
            <w:tcW w:w="785" w:type="pct"/>
            <w:tcBorders>
              <w:top w:val="nil"/>
              <w:left w:val="nil"/>
              <w:bottom w:val="single" w:sz="4" w:space="0" w:color="auto"/>
              <w:right w:val="single" w:sz="4" w:space="0" w:color="auto"/>
            </w:tcBorders>
            <w:shd w:val="clear" w:color="000000" w:fill="FFFFFF"/>
            <w:noWrap/>
            <w:hideMark/>
          </w:tcPr>
          <w:p w14:paraId="7A4C0845" w14:textId="4B186159" w:rsidR="00FA4590" w:rsidRPr="00DE765A" w:rsidRDefault="00FA4590" w:rsidP="00FA4590">
            <w:pPr>
              <w:jc w:val="right"/>
              <w:outlineLvl w:val="0"/>
              <w:rPr>
                <w:noProof/>
                <w:sz w:val="20"/>
                <w:szCs w:val="20"/>
              </w:rPr>
            </w:pPr>
            <w:bookmarkStart w:id="571" w:name="_Toc223980176"/>
            <w:r w:rsidRPr="00DE765A">
              <w:rPr>
                <w:noProof/>
                <w:sz w:val="20"/>
                <w:szCs w:val="20"/>
              </w:rPr>
              <w:t>4.1</w:t>
            </w:r>
            <w:bookmarkEnd w:id="571"/>
          </w:p>
        </w:tc>
      </w:tr>
      <w:tr w:rsidR="00FA4590" w:rsidRPr="00DE765A" w14:paraId="4FCBA6A9" w14:textId="77777777" w:rsidTr="00FA4590">
        <w:trPr>
          <w:trHeight w:val="225"/>
        </w:trPr>
        <w:tc>
          <w:tcPr>
            <w:tcW w:w="1857" w:type="pct"/>
            <w:tcBorders>
              <w:top w:val="nil"/>
              <w:left w:val="single" w:sz="4" w:space="0" w:color="auto"/>
              <w:bottom w:val="single" w:sz="4" w:space="0" w:color="auto"/>
              <w:right w:val="single" w:sz="4" w:space="0" w:color="auto"/>
            </w:tcBorders>
            <w:shd w:val="clear" w:color="000000" w:fill="FFFFFF"/>
            <w:noWrap/>
            <w:hideMark/>
          </w:tcPr>
          <w:p w14:paraId="088C1206" w14:textId="24CB6796" w:rsidR="00FA4590" w:rsidRPr="00DE765A" w:rsidRDefault="00FA4590" w:rsidP="00FA4590">
            <w:pPr>
              <w:outlineLvl w:val="0"/>
              <w:rPr>
                <w:b/>
                <w:bCs/>
                <w:noProof/>
                <w:sz w:val="20"/>
                <w:szCs w:val="20"/>
              </w:rPr>
            </w:pPr>
            <w:r w:rsidRPr="00DE765A">
              <w:rPr>
                <w:b/>
                <w:bCs/>
                <w:noProof/>
                <w:sz w:val="20"/>
                <w:szCs w:val="20"/>
              </w:rPr>
              <w:t xml:space="preserve"> </w:t>
            </w:r>
            <w:bookmarkStart w:id="572" w:name="_Toc223980177"/>
            <w:r w:rsidRPr="00DE765A">
              <w:rPr>
                <w:b/>
                <w:bCs/>
                <w:noProof/>
                <w:sz w:val="20"/>
                <w:szCs w:val="20"/>
              </w:rPr>
              <w:t>Total</w:t>
            </w:r>
            <w:bookmarkEnd w:id="572"/>
            <w:r w:rsidRPr="00DE765A">
              <w:rPr>
                <w:b/>
                <w:bCs/>
                <w:noProof/>
                <w:sz w:val="20"/>
                <w:szCs w:val="20"/>
              </w:rPr>
              <w:t xml:space="preserve"> </w:t>
            </w:r>
          </w:p>
        </w:tc>
        <w:tc>
          <w:tcPr>
            <w:tcW w:w="786" w:type="pct"/>
            <w:tcBorders>
              <w:top w:val="nil"/>
              <w:left w:val="nil"/>
              <w:bottom w:val="single" w:sz="4" w:space="0" w:color="auto"/>
              <w:right w:val="single" w:sz="4" w:space="0" w:color="auto"/>
            </w:tcBorders>
            <w:shd w:val="clear" w:color="000000" w:fill="FFFFFF"/>
            <w:noWrap/>
            <w:hideMark/>
          </w:tcPr>
          <w:p w14:paraId="009C302C" w14:textId="015B69A7" w:rsidR="00FA4590" w:rsidRPr="00DE765A" w:rsidRDefault="00FA4590" w:rsidP="00FA4590">
            <w:pPr>
              <w:jc w:val="right"/>
              <w:outlineLvl w:val="0"/>
              <w:rPr>
                <w:b/>
                <w:bCs/>
                <w:noProof/>
                <w:sz w:val="20"/>
                <w:szCs w:val="20"/>
              </w:rPr>
            </w:pPr>
            <w:bookmarkStart w:id="573" w:name="_Toc223980178"/>
            <w:r w:rsidRPr="00DE765A">
              <w:rPr>
                <w:b/>
                <w:bCs/>
                <w:noProof/>
                <w:sz w:val="20"/>
                <w:szCs w:val="20"/>
              </w:rPr>
              <w:t>3,425.2</w:t>
            </w:r>
            <w:bookmarkEnd w:id="573"/>
          </w:p>
        </w:tc>
        <w:tc>
          <w:tcPr>
            <w:tcW w:w="786" w:type="pct"/>
            <w:tcBorders>
              <w:top w:val="nil"/>
              <w:left w:val="nil"/>
              <w:bottom w:val="single" w:sz="4" w:space="0" w:color="auto"/>
              <w:right w:val="single" w:sz="4" w:space="0" w:color="auto"/>
            </w:tcBorders>
            <w:shd w:val="clear" w:color="000000" w:fill="FFFFFF"/>
            <w:noWrap/>
            <w:hideMark/>
          </w:tcPr>
          <w:p w14:paraId="02F0C01C" w14:textId="2AF0E8BC" w:rsidR="00FA4590" w:rsidRPr="00DE765A" w:rsidRDefault="00FA4590" w:rsidP="00FA4590">
            <w:pPr>
              <w:jc w:val="right"/>
              <w:outlineLvl w:val="0"/>
              <w:rPr>
                <w:b/>
                <w:bCs/>
                <w:noProof/>
                <w:sz w:val="20"/>
                <w:szCs w:val="20"/>
              </w:rPr>
            </w:pPr>
            <w:bookmarkStart w:id="574" w:name="_Toc223980179"/>
            <w:r w:rsidRPr="00DE765A">
              <w:rPr>
                <w:b/>
                <w:bCs/>
                <w:noProof/>
                <w:sz w:val="20"/>
                <w:szCs w:val="20"/>
              </w:rPr>
              <w:t>420.8</w:t>
            </w:r>
            <w:bookmarkEnd w:id="574"/>
          </w:p>
        </w:tc>
        <w:tc>
          <w:tcPr>
            <w:tcW w:w="786" w:type="pct"/>
            <w:tcBorders>
              <w:top w:val="nil"/>
              <w:left w:val="nil"/>
              <w:bottom w:val="single" w:sz="4" w:space="0" w:color="auto"/>
              <w:right w:val="single" w:sz="4" w:space="0" w:color="auto"/>
            </w:tcBorders>
            <w:shd w:val="clear" w:color="000000" w:fill="FFFFFF"/>
            <w:noWrap/>
            <w:hideMark/>
          </w:tcPr>
          <w:p w14:paraId="6906A785" w14:textId="771D4F8F" w:rsidR="00FA4590" w:rsidRPr="00DE765A" w:rsidRDefault="00FA4590" w:rsidP="00FA4590">
            <w:pPr>
              <w:jc w:val="right"/>
              <w:outlineLvl w:val="0"/>
              <w:rPr>
                <w:b/>
                <w:bCs/>
                <w:noProof/>
                <w:sz w:val="20"/>
                <w:szCs w:val="20"/>
              </w:rPr>
            </w:pPr>
            <w:bookmarkStart w:id="575" w:name="_Toc223980180"/>
            <w:r w:rsidRPr="00DE765A">
              <w:rPr>
                <w:b/>
                <w:bCs/>
                <w:noProof/>
                <w:sz w:val="20"/>
                <w:szCs w:val="20"/>
              </w:rPr>
              <w:t>452.9</w:t>
            </w:r>
            <w:bookmarkEnd w:id="575"/>
          </w:p>
        </w:tc>
        <w:tc>
          <w:tcPr>
            <w:tcW w:w="785" w:type="pct"/>
            <w:tcBorders>
              <w:top w:val="nil"/>
              <w:left w:val="nil"/>
              <w:bottom w:val="single" w:sz="4" w:space="0" w:color="auto"/>
              <w:right w:val="single" w:sz="4" w:space="0" w:color="auto"/>
            </w:tcBorders>
            <w:shd w:val="clear" w:color="000000" w:fill="FFFFFF"/>
            <w:noWrap/>
            <w:hideMark/>
          </w:tcPr>
          <w:p w14:paraId="3F558B3E" w14:textId="3A820F6F" w:rsidR="00FA4590" w:rsidRPr="00DE765A" w:rsidRDefault="00FA4590" w:rsidP="00FA4590">
            <w:pPr>
              <w:jc w:val="right"/>
              <w:outlineLvl w:val="0"/>
              <w:rPr>
                <w:b/>
                <w:bCs/>
                <w:noProof/>
                <w:sz w:val="20"/>
                <w:szCs w:val="20"/>
              </w:rPr>
            </w:pPr>
            <w:bookmarkStart w:id="576" w:name="_Toc223980181"/>
            <w:r w:rsidRPr="00DE765A">
              <w:rPr>
                <w:b/>
                <w:bCs/>
                <w:noProof/>
                <w:sz w:val="20"/>
                <w:szCs w:val="20"/>
              </w:rPr>
              <w:t>413.5</w:t>
            </w:r>
            <w:bookmarkEnd w:id="576"/>
          </w:p>
        </w:tc>
      </w:tr>
    </w:tbl>
    <w:p w14:paraId="7FFCACB4" w14:textId="77777777" w:rsidR="000D2AC7" w:rsidRPr="00F67B2C" w:rsidRDefault="000D2AC7" w:rsidP="00D353E9">
      <w:pPr>
        <w:tabs>
          <w:tab w:val="left" w:pos="2302"/>
        </w:tabs>
        <w:spacing w:after="240"/>
        <w:jc w:val="both"/>
        <w:rPr>
          <w:i/>
          <w:noProof/>
          <w:sz w:val="20"/>
          <w:szCs w:val="20"/>
        </w:rPr>
      </w:pPr>
      <w:r w:rsidRPr="00F67B2C">
        <w:rPr>
          <w:i/>
          <w:noProof/>
          <w:spacing w:val="-8"/>
          <w:sz w:val="20"/>
          <w:szCs w:val="20"/>
        </w:rPr>
        <w:t xml:space="preserve">Source: </w:t>
      </w:r>
      <w:r w:rsidRPr="00F67B2C">
        <w:rPr>
          <w:i/>
          <w:noProof/>
          <w:sz w:val="20"/>
          <w:szCs w:val="20"/>
        </w:rPr>
        <w:t>Ricardo et al. (2026), Impact assessment support study</w:t>
      </w:r>
    </w:p>
    <w:p w14:paraId="194E0EB2" w14:textId="59DCFEB7" w:rsidR="007A35CC" w:rsidRPr="00383DBF" w:rsidRDefault="007A35CC" w:rsidP="007A35CC">
      <w:pPr>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69</w:t>
      </w:r>
      <w:r w:rsidRPr="00383DBF">
        <w:rPr>
          <w:i/>
          <w:noProof/>
          <w:sz w:val="22"/>
          <w:szCs w:val="22"/>
        </w:rPr>
        <w:fldChar w:fldCharType="end"/>
      </w:r>
      <w:r w:rsidRPr="00383DBF">
        <w:rPr>
          <w:i/>
          <w:noProof/>
          <w:sz w:val="22"/>
          <w:szCs w:val="22"/>
        </w:rPr>
        <w:t xml:space="preserve">: </w:t>
      </w:r>
      <w:r w:rsidR="000A69D4" w:rsidRPr="00383DBF">
        <w:rPr>
          <w:i/>
          <w:noProof/>
          <w:sz w:val="22"/>
          <w:szCs w:val="22"/>
        </w:rPr>
        <w:t xml:space="preserve">Total one-off </w:t>
      </w:r>
      <w:r w:rsidRPr="00383DBF">
        <w:rPr>
          <w:i/>
          <w:noProof/>
          <w:sz w:val="22"/>
          <w:szCs w:val="22"/>
        </w:rPr>
        <w:t xml:space="preserve">and recurrent adjustment costs for </w:t>
      </w:r>
      <w:r w:rsidR="00B3515E">
        <w:rPr>
          <w:i/>
          <w:noProof/>
          <w:sz w:val="22"/>
          <w:szCs w:val="22"/>
        </w:rPr>
        <w:t>non-SME</w:t>
      </w:r>
      <w:r w:rsidRPr="00383DBF">
        <w:rPr>
          <w:i/>
          <w:noProof/>
          <w:sz w:val="22"/>
          <w:szCs w:val="22"/>
        </w:rPr>
        <w:t xml:space="preserve"> B2C MDMS platforms due to PM1 in PO2 in 2028, 2030, 2040 and 2050 relative to the baseline </w:t>
      </w:r>
      <w:r w:rsidR="00363A11" w:rsidRPr="00383DBF">
        <w:rPr>
          <w:i/>
          <w:noProof/>
          <w:sz w:val="22"/>
          <w:szCs w:val="22"/>
        </w:rPr>
        <w:t>(thousand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469"/>
        <w:gridCol w:w="1531"/>
        <w:gridCol w:w="1531"/>
        <w:gridCol w:w="1533"/>
      </w:tblGrid>
      <w:tr w:rsidR="00475110" w:rsidRPr="00426B30" w14:paraId="03A5D79D" w14:textId="77777777" w:rsidTr="00BA4C08">
        <w:trPr>
          <w:trHeight w:val="255"/>
          <w:tblHeader/>
        </w:trPr>
        <w:tc>
          <w:tcPr>
            <w:tcW w:w="1843" w:type="pct"/>
            <w:shd w:val="clear" w:color="000000" w:fill="0070C0"/>
            <w:noWrap/>
            <w:hideMark/>
          </w:tcPr>
          <w:p w14:paraId="6F952F41" w14:textId="473426DC" w:rsidR="00426B30" w:rsidRPr="00426B30" w:rsidRDefault="00426B30" w:rsidP="00426B30">
            <w:pPr>
              <w:jc w:val="center"/>
              <w:rPr>
                <w:b/>
                <w:bCs/>
                <w:noProof/>
                <w:color w:val="FFFFFF"/>
                <w:sz w:val="20"/>
                <w:szCs w:val="20"/>
              </w:rPr>
            </w:pPr>
          </w:p>
        </w:tc>
        <w:tc>
          <w:tcPr>
            <w:tcW w:w="765" w:type="pct"/>
            <w:shd w:val="clear" w:color="000000" w:fill="0070C0"/>
            <w:noWrap/>
            <w:hideMark/>
          </w:tcPr>
          <w:p w14:paraId="4942C580" w14:textId="77777777" w:rsidR="00426B30" w:rsidRPr="00426B30" w:rsidRDefault="00426B30" w:rsidP="00426B30">
            <w:pPr>
              <w:jc w:val="center"/>
              <w:rPr>
                <w:b/>
                <w:bCs/>
                <w:noProof/>
                <w:color w:val="FFFFFF"/>
                <w:sz w:val="20"/>
                <w:szCs w:val="20"/>
              </w:rPr>
            </w:pPr>
            <w:r w:rsidRPr="00426B30">
              <w:rPr>
                <w:b/>
                <w:bCs/>
                <w:noProof/>
                <w:color w:val="FFFFFF"/>
                <w:sz w:val="20"/>
                <w:szCs w:val="20"/>
              </w:rPr>
              <w:t>2028</w:t>
            </w:r>
          </w:p>
        </w:tc>
        <w:tc>
          <w:tcPr>
            <w:tcW w:w="797" w:type="pct"/>
            <w:shd w:val="clear" w:color="000000" w:fill="0070C0"/>
            <w:noWrap/>
            <w:hideMark/>
          </w:tcPr>
          <w:p w14:paraId="219FA721" w14:textId="77777777" w:rsidR="00426B30" w:rsidRPr="00426B30" w:rsidRDefault="00426B30" w:rsidP="00426B30">
            <w:pPr>
              <w:jc w:val="center"/>
              <w:rPr>
                <w:b/>
                <w:bCs/>
                <w:noProof/>
                <w:color w:val="FFFFFF"/>
                <w:sz w:val="20"/>
                <w:szCs w:val="20"/>
              </w:rPr>
            </w:pPr>
            <w:r w:rsidRPr="00426B30">
              <w:rPr>
                <w:b/>
                <w:bCs/>
                <w:noProof/>
                <w:color w:val="FFFFFF"/>
                <w:sz w:val="20"/>
                <w:szCs w:val="20"/>
              </w:rPr>
              <w:t>2030</w:t>
            </w:r>
          </w:p>
        </w:tc>
        <w:tc>
          <w:tcPr>
            <w:tcW w:w="797" w:type="pct"/>
            <w:shd w:val="clear" w:color="000000" w:fill="0070C0"/>
            <w:noWrap/>
            <w:hideMark/>
          </w:tcPr>
          <w:p w14:paraId="04DB587C" w14:textId="77777777" w:rsidR="00426B30" w:rsidRPr="00426B30" w:rsidRDefault="00426B30" w:rsidP="00426B30">
            <w:pPr>
              <w:jc w:val="center"/>
              <w:rPr>
                <w:b/>
                <w:bCs/>
                <w:noProof/>
                <w:color w:val="FFFFFF"/>
                <w:sz w:val="20"/>
                <w:szCs w:val="20"/>
              </w:rPr>
            </w:pPr>
            <w:r w:rsidRPr="00426B30">
              <w:rPr>
                <w:b/>
                <w:bCs/>
                <w:noProof/>
                <w:color w:val="FFFFFF"/>
                <w:sz w:val="20"/>
                <w:szCs w:val="20"/>
              </w:rPr>
              <w:t>2040</w:t>
            </w:r>
          </w:p>
        </w:tc>
        <w:tc>
          <w:tcPr>
            <w:tcW w:w="798" w:type="pct"/>
            <w:shd w:val="clear" w:color="000000" w:fill="0070C0"/>
            <w:noWrap/>
            <w:hideMark/>
          </w:tcPr>
          <w:p w14:paraId="6DDE4910" w14:textId="77777777" w:rsidR="00426B30" w:rsidRPr="00426B30" w:rsidRDefault="00426B30" w:rsidP="00426B30">
            <w:pPr>
              <w:jc w:val="center"/>
              <w:rPr>
                <w:b/>
                <w:bCs/>
                <w:noProof/>
                <w:color w:val="FFFFFF"/>
                <w:sz w:val="20"/>
                <w:szCs w:val="20"/>
              </w:rPr>
            </w:pPr>
            <w:r w:rsidRPr="00426B30">
              <w:rPr>
                <w:b/>
                <w:bCs/>
                <w:noProof/>
                <w:color w:val="FFFFFF"/>
                <w:sz w:val="20"/>
                <w:szCs w:val="20"/>
              </w:rPr>
              <w:t>2050</w:t>
            </w:r>
          </w:p>
        </w:tc>
      </w:tr>
      <w:tr w:rsidR="00475110" w:rsidRPr="00426B30" w14:paraId="190FD3A2" w14:textId="77777777" w:rsidTr="00BA4C08">
        <w:trPr>
          <w:trHeight w:val="225"/>
        </w:trPr>
        <w:tc>
          <w:tcPr>
            <w:tcW w:w="1843" w:type="pct"/>
            <w:shd w:val="clear" w:color="000000" w:fill="FFFFFF"/>
            <w:noWrap/>
            <w:hideMark/>
          </w:tcPr>
          <w:p w14:paraId="0C4D4BA0" w14:textId="77777777" w:rsidR="004C5DCE" w:rsidRPr="00426B30" w:rsidRDefault="004C5DCE" w:rsidP="004C5DCE">
            <w:pPr>
              <w:rPr>
                <w:noProof/>
                <w:sz w:val="20"/>
                <w:szCs w:val="20"/>
              </w:rPr>
            </w:pPr>
            <w:r w:rsidRPr="00426B30">
              <w:rPr>
                <w:noProof/>
                <w:sz w:val="20"/>
                <w:szCs w:val="20"/>
              </w:rPr>
              <w:t xml:space="preserve"> Germany </w:t>
            </w:r>
          </w:p>
        </w:tc>
        <w:tc>
          <w:tcPr>
            <w:tcW w:w="765" w:type="pct"/>
            <w:shd w:val="clear" w:color="000000" w:fill="FFFFFF"/>
            <w:noWrap/>
            <w:hideMark/>
          </w:tcPr>
          <w:p w14:paraId="0C5AE556" w14:textId="698900ED" w:rsidR="004C5DCE" w:rsidRPr="004C5DCE" w:rsidRDefault="004C5DCE" w:rsidP="004C5DCE">
            <w:pPr>
              <w:jc w:val="right"/>
              <w:rPr>
                <w:noProof/>
                <w:sz w:val="20"/>
                <w:szCs w:val="20"/>
              </w:rPr>
            </w:pPr>
            <w:r w:rsidRPr="004C5DCE">
              <w:rPr>
                <w:noProof/>
                <w:sz w:val="20"/>
                <w:szCs w:val="20"/>
              </w:rPr>
              <w:t>411.0</w:t>
            </w:r>
          </w:p>
        </w:tc>
        <w:tc>
          <w:tcPr>
            <w:tcW w:w="797" w:type="pct"/>
            <w:shd w:val="clear" w:color="000000" w:fill="FFFFFF"/>
            <w:noWrap/>
            <w:hideMark/>
          </w:tcPr>
          <w:p w14:paraId="161CCE2A" w14:textId="47F561AF" w:rsidR="004C5DCE" w:rsidRPr="004C5DCE" w:rsidRDefault="004C5DCE" w:rsidP="004C5DCE">
            <w:pPr>
              <w:jc w:val="right"/>
              <w:rPr>
                <w:noProof/>
                <w:sz w:val="20"/>
                <w:szCs w:val="20"/>
              </w:rPr>
            </w:pPr>
            <w:r w:rsidRPr="004C5DCE">
              <w:rPr>
                <w:noProof/>
                <w:sz w:val="20"/>
                <w:szCs w:val="20"/>
              </w:rPr>
              <w:t>62.2</w:t>
            </w:r>
          </w:p>
        </w:tc>
        <w:tc>
          <w:tcPr>
            <w:tcW w:w="797" w:type="pct"/>
            <w:shd w:val="clear" w:color="000000" w:fill="FFFFFF"/>
            <w:noWrap/>
            <w:hideMark/>
          </w:tcPr>
          <w:p w14:paraId="6A1DE464" w14:textId="2BB14B65" w:rsidR="004C5DCE" w:rsidRPr="004C5DCE" w:rsidRDefault="004C5DCE" w:rsidP="004C5DCE">
            <w:pPr>
              <w:jc w:val="right"/>
              <w:rPr>
                <w:noProof/>
                <w:sz w:val="20"/>
                <w:szCs w:val="20"/>
              </w:rPr>
            </w:pPr>
            <w:r w:rsidRPr="004C5DCE">
              <w:rPr>
                <w:noProof/>
                <w:sz w:val="20"/>
                <w:szCs w:val="20"/>
              </w:rPr>
              <w:t>105.0</w:t>
            </w:r>
          </w:p>
        </w:tc>
        <w:tc>
          <w:tcPr>
            <w:tcW w:w="798" w:type="pct"/>
            <w:shd w:val="clear" w:color="000000" w:fill="FFFFFF"/>
            <w:noWrap/>
            <w:hideMark/>
          </w:tcPr>
          <w:p w14:paraId="17CFC6F1" w14:textId="4BA62CD8" w:rsidR="004C5DCE" w:rsidRPr="004C5DCE" w:rsidRDefault="004C5DCE" w:rsidP="004C5DCE">
            <w:pPr>
              <w:jc w:val="right"/>
              <w:rPr>
                <w:noProof/>
                <w:sz w:val="20"/>
                <w:szCs w:val="20"/>
              </w:rPr>
            </w:pPr>
            <w:r w:rsidRPr="004C5DCE">
              <w:rPr>
                <w:noProof/>
                <w:sz w:val="20"/>
                <w:szCs w:val="20"/>
              </w:rPr>
              <w:t>71.8</w:t>
            </w:r>
          </w:p>
        </w:tc>
      </w:tr>
      <w:tr w:rsidR="00475110" w:rsidRPr="00426B30" w14:paraId="73858A25" w14:textId="77777777" w:rsidTr="00BA4C08">
        <w:trPr>
          <w:trHeight w:val="225"/>
        </w:trPr>
        <w:tc>
          <w:tcPr>
            <w:tcW w:w="1843" w:type="pct"/>
            <w:shd w:val="clear" w:color="000000" w:fill="FFFFFF"/>
            <w:noWrap/>
            <w:hideMark/>
          </w:tcPr>
          <w:p w14:paraId="0F36BDA7" w14:textId="77777777" w:rsidR="004C5DCE" w:rsidRPr="00426B30" w:rsidRDefault="004C5DCE" w:rsidP="004C5DCE">
            <w:pPr>
              <w:rPr>
                <w:noProof/>
                <w:sz w:val="20"/>
                <w:szCs w:val="20"/>
              </w:rPr>
            </w:pPr>
            <w:r w:rsidRPr="00426B30">
              <w:rPr>
                <w:noProof/>
                <w:sz w:val="20"/>
                <w:szCs w:val="20"/>
              </w:rPr>
              <w:t xml:space="preserve"> Austria </w:t>
            </w:r>
          </w:p>
        </w:tc>
        <w:tc>
          <w:tcPr>
            <w:tcW w:w="765" w:type="pct"/>
            <w:shd w:val="clear" w:color="000000" w:fill="FFFFFF"/>
            <w:noWrap/>
            <w:hideMark/>
          </w:tcPr>
          <w:p w14:paraId="4216744D" w14:textId="41133B6D" w:rsidR="004C5DCE" w:rsidRPr="004C5DCE" w:rsidRDefault="004C5DCE" w:rsidP="004C5DCE">
            <w:pPr>
              <w:jc w:val="right"/>
              <w:rPr>
                <w:noProof/>
                <w:sz w:val="20"/>
                <w:szCs w:val="20"/>
              </w:rPr>
            </w:pPr>
            <w:r w:rsidRPr="004C5DCE">
              <w:rPr>
                <w:noProof/>
                <w:sz w:val="20"/>
                <w:szCs w:val="20"/>
              </w:rPr>
              <w:t>308.3</w:t>
            </w:r>
          </w:p>
        </w:tc>
        <w:tc>
          <w:tcPr>
            <w:tcW w:w="797" w:type="pct"/>
            <w:shd w:val="clear" w:color="000000" w:fill="FFFFFF"/>
            <w:noWrap/>
            <w:hideMark/>
          </w:tcPr>
          <w:p w14:paraId="7278967F" w14:textId="19DBA016" w:rsidR="004C5DCE" w:rsidRPr="004C5DCE" w:rsidRDefault="004C5DCE" w:rsidP="004C5DCE">
            <w:pPr>
              <w:jc w:val="right"/>
              <w:rPr>
                <w:noProof/>
                <w:sz w:val="20"/>
                <w:szCs w:val="20"/>
              </w:rPr>
            </w:pPr>
            <w:r w:rsidRPr="004C5DCE">
              <w:rPr>
                <w:noProof/>
                <w:sz w:val="20"/>
                <w:szCs w:val="20"/>
              </w:rPr>
              <w:t>46.7</w:t>
            </w:r>
          </w:p>
        </w:tc>
        <w:tc>
          <w:tcPr>
            <w:tcW w:w="797" w:type="pct"/>
            <w:shd w:val="clear" w:color="000000" w:fill="FFFFFF"/>
            <w:noWrap/>
            <w:hideMark/>
          </w:tcPr>
          <w:p w14:paraId="17326EE4" w14:textId="19993D84" w:rsidR="004C5DCE" w:rsidRPr="004C5DCE" w:rsidRDefault="004C5DCE" w:rsidP="004C5DCE">
            <w:pPr>
              <w:jc w:val="right"/>
              <w:rPr>
                <w:noProof/>
                <w:sz w:val="20"/>
                <w:szCs w:val="20"/>
              </w:rPr>
            </w:pPr>
            <w:r w:rsidRPr="004C5DCE">
              <w:rPr>
                <w:noProof/>
                <w:sz w:val="20"/>
                <w:szCs w:val="20"/>
              </w:rPr>
              <w:t>78.8</w:t>
            </w:r>
          </w:p>
        </w:tc>
        <w:tc>
          <w:tcPr>
            <w:tcW w:w="798" w:type="pct"/>
            <w:shd w:val="clear" w:color="000000" w:fill="FFFFFF"/>
            <w:noWrap/>
            <w:hideMark/>
          </w:tcPr>
          <w:p w14:paraId="04D4D1E9" w14:textId="26D9BC68" w:rsidR="004C5DCE" w:rsidRPr="004C5DCE" w:rsidRDefault="004C5DCE" w:rsidP="004C5DCE">
            <w:pPr>
              <w:jc w:val="right"/>
              <w:rPr>
                <w:noProof/>
                <w:sz w:val="20"/>
                <w:szCs w:val="20"/>
              </w:rPr>
            </w:pPr>
            <w:r w:rsidRPr="004C5DCE">
              <w:rPr>
                <w:noProof/>
                <w:sz w:val="20"/>
                <w:szCs w:val="20"/>
              </w:rPr>
              <w:t>53.9</w:t>
            </w:r>
          </w:p>
        </w:tc>
      </w:tr>
      <w:tr w:rsidR="00475110" w:rsidRPr="00426B30" w14:paraId="3694E3A3" w14:textId="77777777" w:rsidTr="00BA4C08">
        <w:trPr>
          <w:trHeight w:val="225"/>
        </w:trPr>
        <w:tc>
          <w:tcPr>
            <w:tcW w:w="1843" w:type="pct"/>
            <w:shd w:val="clear" w:color="000000" w:fill="FFFFFF"/>
            <w:noWrap/>
            <w:hideMark/>
          </w:tcPr>
          <w:p w14:paraId="6511979D" w14:textId="77777777" w:rsidR="004C5DCE" w:rsidRPr="00426B30" w:rsidRDefault="004C5DCE" w:rsidP="004C5DCE">
            <w:pPr>
              <w:rPr>
                <w:noProof/>
                <w:sz w:val="20"/>
                <w:szCs w:val="20"/>
              </w:rPr>
            </w:pPr>
            <w:r w:rsidRPr="00426B30">
              <w:rPr>
                <w:noProof/>
                <w:sz w:val="20"/>
                <w:szCs w:val="20"/>
              </w:rPr>
              <w:t xml:space="preserve"> Denmark </w:t>
            </w:r>
          </w:p>
        </w:tc>
        <w:tc>
          <w:tcPr>
            <w:tcW w:w="765" w:type="pct"/>
            <w:shd w:val="clear" w:color="000000" w:fill="FFFFFF"/>
            <w:noWrap/>
            <w:hideMark/>
          </w:tcPr>
          <w:p w14:paraId="6EF24AB5" w14:textId="0A1DB841" w:rsidR="004C5DCE" w:rsidRPr="004C5DCE" w:rsidRDefault="004C5DCE" w:rsidP="004C5DCE">
            <w:pPr>
              <w:jc w:val="right"/>
              <w:rPr>
                <w:noProof/>
                <w:sz w:val="20"/>
                <w:szCs w:val="20"/>
              </w:rPr>
            </w:pPr>
            <w:r w:rsidRPr="004C5DCE">
              <w:rPr>
                <w:noProof/>
                <w:sz w:val="20"/>
                <w:szCs w:val="20"/>
              </w:rPr>
              <w:t>205.5</w:t>
            </w:r>
          </w:p>
        </w:tc>
        <w:tc>
          <w:tcPr>
            <w:tcW w:w="797" w:type="pct"/>
            <w:shd w:val="clear" w:color="000000" w:fill="FFFFFF"/>
            <w:noWrap/>
            <w:hideMark/>
          </w:tcPr>
          <w:p w14:paraId="6028F870" w14:textId="31323A41" w:rsidR="004C5DCE" w:rsidRPr="004C5DCE" w:rsidRDefault="004C5DCE" w:rsidP="004C5DCE">
            <w:pPr>
              <w:jc w:val="right"/>
              <w:rPr>
                <w:noProof/>
                <w:sz w:val="20"/>
                <w:szCs w:val="20"/>
              </w:rPr>
            </w:pPr>
            <w:r w:rsidRPr="004C5DCE">
              <w:rPr>
                <w:noProof/>
                <w:sz w:val="20"/>
                <w:szCs w:val="20"/>
              </w:rPr>
              <w:t>31.1</w:t>
            </w:r>
          </w:p>
        </w:tc>
        <w:tc>
          <w:tcPr>
            <w:tcW w:w="797" w:type="pct"/>
            <w:shd w:val="clear" w:color="000000" w:fill="FFFFFF"/>
            <w:noWrap/>
            <w:hideMark/>
          </w:tcPr>
          <w:p w14:paraId="1ECFD61A" w14:textId="6EF1A2A2" w:rsidR="004C5DCE" w:rsidRPr="004C5DCE" w:rsidRDefault="004C5DCE" w:rsidP="004C5DCE">
            <w:pPr>
              <w:jc w:val="right"/>
              <w:rPr>
                <w:noProof/>
                <w:sz w:val="20"/>
                <w:szCs w:val="20"/>
              </w:rPr>
            </w:pPr>
            <w:r w:rsidRPr="004C5DCE">
              <w:rPr>
                <w:noProof/>
                <w:sz w:val="20"/>
                <w:szCs w:val="20"/>
              </w:rPr>
              <w:t>52.5</w:t>
            </w:r>
          </w:p>
        </w:tc>
        <w:tc>
          <w:tcPr>
            <w:tcW w:w="798" w:type="pct"/>
            <w:shd w:val="clear" w:color="000000" w:fill="FFFFFF"/>
            <w:noWrap/>
            <w:hideMark/>
          </w:tcPr>
          <w:p w14:paraId="26556F20" w14:textId="46F90495" w:rsidR="004C5DCE" w:rsidRPr="004C5DCE" w:rsidRDefault="004C5DCE" w:rsidP="004C5DCE">
            <w:pPr>
              <w:jc w:val="right"/>
              <w:rPr>
                <w:noProof/>
                <w:sz w:val="20"/>
                <w:szCs w:val="20"/>
              </w:rPr>
            </w:pPr>
            <w:r w:rsidRPr="004C5DCE">
              <w:rPr>
                <w:noProof/>
                <w:sz w:val="20"/>
                <w:szCs w:val="20"/>
              </w:rPr>
              <w:t>35.9</w:t>
            </w:r>
          </w:p>
        </w:tc>
      </w:tr>
      <w:tr w:rsidR="00475110" w:rsidRPr="00426B30" w14:paraId="4B8A50ED" w14:textId="77777777" w:rsidTr="00BA4C08">
        <w:trPr>
          <w:trHeight w:val="225"/>
        </w:trPr>
        <w:tc>
          <w:tcPr>
            <w:tcW w:w="1843" w:type="pct"/>
            <w:shd w:val="clear" w:color="000000" w:fill="FFFFFF"/>
            <w:noWrap/>
            <w:hideMark/>
          </w:tcPr>
          <w:p w14:paraId="08EDA2DC" w14:textId="77777777" w:rsidR="004C5DCE" w:rsidRPr="00426B30" w:rsidRDefault="004C5DCE" w:rsidP="004C5DCE">
            <w:pPr>
              <w:rPr>
                <w:noProof/>
                <w:sz w:val="20"/>
                <w:szCs w:val="20"/>
              </w:rPr>
            </w:pPr>
            <w:r w:rsidRPr="00426B30">
              <w:rPr>
                <w:noProof/>
                <w:sz w:val="20"/>
                <w:szCs w:val="20"/>
              </w:rPr>
              <w:t xml:space="preserve"> Luxembourg </w:t>
            </w:r>
          </w:p>
        </w:tc>
        <w:tc>
          <w:tcPr>
            <w:tcW w:w="765" w:type="pct"/>
            <w:shd w:val="clear" w:color="000000" w:fill="FFFFFF"/>
            <w:noWrap/>
            <w:hideMark/>
          </w:tcPr>
          <w:p w14:paraId="1F8D7FB5" w14:textId="5A3198FA" w:rsidR="004C5DCE" w:rsidRPr="004C5DCE" w:rsidRDefault="004C5DCE" w:rsidP="004C5DCE">
            <w:pPr>
              <w:jc w:val="right"/>
              <w:rPr>
                <w:noProof/>
                <w:sz w:val="20"/>
                <w:szCs w:val="20"/>
              </w:rPr>
            </w:pPr>
            <w:r w:rsidRPr="004C5DCE">
              <w:rPr>
                <w:noProof/>
                <w:sz w:val="20"/>
                <w:szCs w:val="20"/>
              </w:rPr>
              <w:t>137.0</w:t>
            </w:r>
          </w:p>
        </w:tc>
        <w:tc>
          <w:tcPr>
            <w:tcW w:w="797" w:type="pct"/>
            <w:shd w:val="clear" w:color="000000" w:fill="FFFFFF"/>
            <w:noWrap/>
            <w:hideMark/>
          </w:tcPr>
          <w:p w14:paraId="1268F58F" w14:textId="3BC68849" w:rsidR="004C5DCE" w:rsidRPr="004C5DCE" w:rsidRDefault="004C5DCE" w:rsidP="004C5DCE">
            <w:pPr>
              <w:jc w:val="right"/>
              <w:rPr>
                <w:noProof/>
                <w:sz w:val="20"/>
                <w:szCs w:val="20"/>
              </w:rPr>
            </w:pPr>
            <w:r w:rsidRPr="004C5DCE">
              <w:rPr>
                <w:noProof/>
                <w:sz w:val="20"/>
                <w:szCs w:val="20"/>
              </w:rPr>
              <w:t>20.7</w:t>
            </w:r>
          </w:p>
        </w:tc>
        <w:tc>
          <w:tcPr>
            <w:tcW w:w="797" w:type="pct"/>
            <w:shd w:val="clear" w:color="000000" w:fill="FFFFFF"/>
            <w:noWrap/>
            <w:hideMark/>
          </w:tcPr>
          <w:p w14:paraId="5FA12845" w14:textId="4A672DB6" w:rsidR="004C5DCE" w:rsidRPr="004C5DCE" w:rsidRDefault="004C5DCE" w:rsidP="004C5DCE">
            <w:pPr>
              <w:jc w:val="right"/>
              <w:rPr>
                <w:noProof/>
                <w:sz w:val="20"/>
                <w:szCs w:val="20"/>
              </w:rPr>
            </w:pPr>
            <w:r w:rsidRPr="004C5DCE">
              <w:rPr>
                <w:noProof/>
                <w:sz w:val="20"/>
                <w:szCs w:val="20"/>
              </w:rPr>
              <w:t>35.0</w:t>
            </w:r>
          </w:p>
        </w:tc>
        <w:tc>
          <w:tcPr>
            <w:tcW w:w="798" w:type="pct"/>
            <w:shd w:val="clear" w:color="000000" w:fill="FFFFFF"/>
            <w:noWrap/>
            <w:hideMark/>
          </w:tcPr>
          <w:p w14:paraId="4492B72F" w14:textId="73518D1C" w:rsidR="004C5DCE" w:rsidRPr="004C5DCE" w:rsidRDefault="004C5DCE" w:rsidP="004C5DCE">
            <w:pPr>
              <w:jc w:val="right"/>
              <w:rPr>
                <w:noProof/>
                <w:sz w:val="20"/>
                <w:szCs w:val="20"/>
              </w:rPr>
            </w:pPr>
            <w:r w:rsidRPr="004C5DCE">
              <w:rPr>
                <w:noProof/>
                <w:sz w:val="20"/>
                <w:szCs w:val="20"/>
              </w:rPr>
              <w:t>23.9</w:t>
            </w:r>
          </w:p>
        </w:tc>
      </w:tr>
      <w:tr w:rsidR="00475110" w:rsidRPr="00426B30" w14:paraId="1EA06735" w14:textId="77777777" w:rsidTr="00BA4C08">
        <w:trPr>
          <w:trHeight w:val="225"/>
        </w:trPr>
        <w:tc>
          <w:tcPr>
            <w:tcW w:w="1843" w:type="pct"/>
            <w:shd w:val="clear" w:color="000000" w:fill="FFFFFF"/>
            <w:noWrap/>
            <w:hideMark/>
          </w:tcPr>
          <w:p w14:paraId="144F7F8C" w14:textId="77777777" w:rsidR="004C5DCE" w:rsidRPr="00426B30" w:rsidRDefault="004C5DCE" w:rsidP="004C5DCE">
            <w:pPr>
              <w:rPr>
                <w:noProof/>
                <w:sz w:val="20"/>
                <w:szCs w:val="20"/>
              </w:rPr>
            </w:pPr>
            <w:r w:rsidRPr="00426B30">
              <w:rPr>
                <w:noProof/>
                <w:sz w:val="20"/>
                <w:szCs w:val="20"/>
              </w:rPr>
              <w:t xml:space="preserve"> Finland </w:t>
            </w:r>
          </w:p>
        </w:tc>
        <w:tc>
          <w:tcPr>
            <w:tcW w:w="765" w:type="pct"/>
            <w:shd w:val="clear" w:color="000000" w:fill="FFFFFF"/>
            <w:noWrap/>
            <w:hideMark/>
          </w:tcPr>
          <w:p w14:paraId="48DCE378" w14:textId="1A9F5DE4" w:rsidR="004C5DCE" w:rsidRPr="004C5DCE" w:rsidRDefault="004C5DCE" w:rsidP="004C5DCE">
            <w:pPr>
              <w:jc w:val="right"/>
              <w:rPr>
                <w:noProof/>
                <w:sz w:val="20"/>
                <w:szCs w:val="20"/>
              </w:rPr>
            </w:pPr>
            <w:r w:rsidRPr="004C5DCE">
              <w:rPr>
                <w:noProof/>
                <w:sz w:val="20"/>
                <w:szCs w:val="20"/>
              </w:rPr>
              <w:t>171.3</w:t>
            </w:r>
          </w:p>
        </w:tc>
        <w:tc>
          <w:tcPr>
            <w:tcW w:w="797" w:type="pct"/>
            <w:shd w:val="clear" w:color="000000" w:fill="FFFFFF"/>
            <w:noWrap/>
            <w:hideMark/>
          </w:tcPr>
          <w:p w14:paraId="5D0F429E" w14:textId="6EE1AAE6" w:rsidR="004C5DCE" w:rsidRPr="004C5DCE" w:rsidRDefault="004C5DCE" w:rsidP="004C5DCE">
            <w:pPr>
              <w:jc w:val="right"/>
              <w:rPr>
                <w:noProof/>
                <w:sz w:val="20"/>
                <w:szCs w:val="20"/>
              </w:rPr>
            </w:pPr>
            <w:r w:rsidRPr="004C5DCE">
              <w:rPr>
                <w:noProof/>
                <w:sz w:val="20"/>
                <w:szCs w:val="20"/>
              </w:rPr>
              <w:t>25.9</w:t>
            </w:r>
          </w:p>
        </w:tc>
        <w:tc>
          <w:tcPr>
            <w:tcW w:w="797" w:type="pct"/>
            <w:shd w:val="clear" w:color="000000" w:fill="FFFFFF"/>
            <w:noWrap/>
            <w:hideMark/>
          </w:tcPr>
          <w:p w14:paraId="2D7B80F0" w14:textId="626626CC" w:rsidR="004C5DCE" w:rsidRPr="004C5DCE" w:rsidRDefault="004C5DCE" w:rsidP="004C5DCE">
            <w:pPr>
              <w:jc w:val="right"/>
              <w:rPr>
                <w:noProof/>
                <w:sz w:val="20"/>
                <w:szCs w:val="20"/>
              </w:rPr>
            </w:pPr>
            <w:r w:rsidRPr="004C5DCE">
              <w:rPr>
                <w:noProof/>
                <w:sz w:val="20"/>
                <w:szCs w:val="20"/>
              </w:rPr>
              <w:t>43.8</w:t>
            </w:r>
          </w:p>
        </w:tc>
        <w:tc>
          <w:tcPr>
            <w:tcW w:w="798" w:type="pct"/>
            <w:shd w:val="clear" w:color="000000" w:fill="FFFFFF"/>
            <w:noWrap/>
            <w:hideMark/>
          </w:tcPr>
          <w:p w14:paraId="760E5359" w14:textId="03EB5A06" w:rsidR="004C5DCE" w:rsidRPr="004C5DCE" w:rsidRDefault="004C5DCE" w:rsidP="004C5DCE">
            <w:pPr>
              <w:jc w:val="right"/>
              <w:rPr>
                <w:noProof/>
                <w:sz w:val="20"/>
                <w:szCs w:val="20"/>
              </w:rPr>
            </w:pPr>
            <w:r w:rsidRPr="004C5DCE">
              <w:rPr>
                <w:noProof/>
                <w:sz w:val="20"/>
                <w:szCs w:val="20"/>
              </w:rPr>
              <w:t>29.9</w:t>
            </w:r>
          </w:p>
        </w:tc>
      </w:tr>
      <w:tr w:rsidR="00475110" w:rsidRPr="00426B30" w14:paraId="75EA2F80" w14:textId="77777777" w:rsidTr="00BA4C08">
        <w:trPr>
          <w:trHeight w:val="225"/>
        </w:trPr>
        <w:tc>
          <w:tcPr>
            <w:tcW w:w="1843" w:type="pct"/>
            <w:shd w:val="clear" w:color="000000" w:fill="FFFFFF"/>
            <w:noWrap/>
            <w:hideMark/>
          </w:tcPr>
          <w:p w14:paraId="0AA4290F" w14:textId="77777777" w:rsidR="004C5DCE" w:rsidRPr="00426B30" w:rsidRDefault="004C5DCE" w:rsidP="004C5DCE">
            <w:pPr>
              <w:rPr>
                <w:noProof/>
                <w:sz w:val="20"/>
                <w:szCs w:val="20"/>
              </w:rPr>
            </w:pPr>
            <w:r w:rsidRPr="00426B30">
              <w:rPr>
                <w:noProof/>
                <w:sz w:val="20"/>
                <w:szCs w:val="20"/>
              </w:rPr>
              <w:t xml:space="preserve"> Spain </w:t>
            </w:r>
          </w:p>
        </w:tc>
        <w:tc>
          <w:tcPr>
            <w:tcW w:w="765" w:type="pct"/>
            <w:shd w:val="clear" w:color="000000" w:fill="FFFFFF"/>
            <w:noWrap/>
            <w:hideMark/>
          </w:tcPr>
          <w:p w14:paraId="56C7DEE4" w14:textId="76E93998" w:rsidR="004C5DCE" w:rsidRPr="004C5DCE" w:rsidRDefault="004C5DCE" w:rsidP="004C5DCE">
            <w:pPr>
              <w:jc w:val="right"/>
              <w:rPr>
                <w:noProof/>
                <w:sz w:val="20"/>
                <w:szCs w:val="20"/>
              </w:rPr>
            </w:pPr>
            <w:r w:rsidRPr="004C5DCE">
              <w:rPr>
                <w:noProof/>
                <w:sz w:val="20"/>
                <w:szCs w:val="20"/>
              </w:rPr>
              <w:t>137.0</w:t>
            </w:r>
          </w:p>
        </w:tc>
        <w:tc>
          <w:tcPr>
            <w:tcW w:w="797" w:type="pct"/>
            <w:shd w:val="clear" w:color="000000" w:fill="FFFFFF"/>
            <w:noWrap/>
            <w:hideMark/>
          </w:tcPr>
          <w:p w14:paraId="4CBEC4BE" w14:textId="6C537CDE" w:rsidR="004C5DCE" w:rsidRPr="004C5DCE" w:rsidRDefault="004C5DCE" w:rsidP="004C5DCE">
            <w:pPr>
              <w:jc w:val="right"/>
              <w:rPr>
                <w:noProof/>
                <w:sz w:val="20"/>
                <w:szCs w:val="20"/>
              </w:rPr>
            </w:pPr>
            <w:r w:rsidRPr="004C5DCE">
              <w:rPr>
                <w:noProof/>
                <w:sz w:val="20"/>
                <w:szCs w:val="20"/>
              </w:rPr>
              <w:t>20.7</w:t>
            </w:r>
          </w:p>
        </w:tc>
        <w:tc>
          <w:tcPr>
            <w:tcW w:w="797" w:type="pct"/>
            <w:shd w:val="clear" w:color="000000" w:fill="FFFFFF"/>
            <w:noWrap/>
            <w:hideMark/>
          </w:tcPr>
          <w:p w14:paraId="4D8E86C9" w14:textId="59EA4C34" w:rsidR="004C5DCE" w:rsidRPr="004C5DCE" w:rsidRDefault="004C5DCE" w:rsidP="004C5DCE">
            <w:pPr>
              <w:jc w:val="right"/>
              <w:rPr>
                <w:noProof/>
                <w:sz w:val="20"/>
                <w:szCs w:val="20"/>
              </w:rPr>
            </w:pPr>
            <w:r w:rsidRPr="004C5DCE">
              <w:rPr>
                <w:noProof/>
                <w:sz w:val="20"/>
                <w:szCs w:val="20"/>
              </w:rPr>
              <w:t>35.0</w:t>
            </w:r>
          </w:p>
        </w:tc>
        <w:tc>
          <w:tcPr>
            <w:tcW w:w="798" w:type="pct"/>
            <w:shd w:val="clear" w:color="000000" w:fill="FFFFFF"/>
            <w:noWrap/>
            <w:hideMark/>
          </w:tcPr>
          <w:p w14:paraId="6FD5BE15" w14:textId="0C7A54F7" w:rsidR="004C5DCE" w:rsidRPr="004C5DCE" w:rsidRDefault="004C5DCE" w:rsidP="004C5DCE">
            <w:pPr>
              <w:jc w:val="right"/>
              <w:rPr>
                <w:noProof/>
                <w:sz w:val="20"/>
                <w:szCs w:val="20"/>
              </w:rPr>
            </w:pPr>
            <w:r w:rsidRPr="004C5DCE">
              <w:rPr>
                <w:noProof/>
                <w:sz w:val="20"/>
                <w:szCs w:val="20"/>
              </w:rPr>
              <w:t>23.9</w:t>
            </w:r>
          </w:p>
        </w:tc>
      </w:tr>
      <w:tr w:rsidR="00475110" w:rsidRPr="00426B30" w14:paraId="0A90FEFD" w14:textId="77777777" w:rsidTr="00BA4C08">
        <w:trPr>
          <w:trHeight w:val="225"/>
        </w:trPr>
        <w:tc>
          <w:tcPr>
            <w:tcW w:w="1843" w:type="pct"/>
            <w:shd w:val="clear" w:color="000000" w:fill="FFFFFF"/>
            <w:noWrap/>
            <w:hideMark/>
          </w:tcPr>
          <w:p w14:paraId="342D35B7" w14:textId="77777777" w:rsidR="004C5DCE" w:rsidRPr="00426B30" w:rsidRDefault="004C5DCE" w:rsidP="004C5DCE">
            <w:pPr>
              <w:rPr>
                <w:noProof/>
                <w:sz w:val="20"/>
                <w:szCs w:val="20"/>
              </w:rPr>
            </w:pPr>
            <w:r w:rsidRPr="00426B30">
              <w:rPr>
                <w:noProof/>
                <w:sz w:val="20"/>
                <w:szCs w:val="20"/>
              </w:rPr>
              <w:t xml:space="preserve"> Netherlands </w:t>
            </w:r>
          </w:p>
        </w:tc>
        <w:tc>
          <w:tcPr>
            <w:tcW w:w="765" w:type="pct"/>
            <w:shd w:val="clear" w:color="000000" w:fill="FFFFFF"/>
            <w:noWrap/>
            <w:hideMark/>
          </w:tcPr>
          <w:p w14:paraId="45727CD4" w14:textId="4C1A34B0" w:rsidR="004C5DCE" w:rsidRPr="004C5DCE" w:rsidRDefault="004C5DCE" w:rsidP="004C5DCE">
            <w:pPr>
              <w:jc w:val="right"/>
              <w:rPr>
                <w:noProof/>
                <w:sz w:val="20"/>
                <w:szCs w:val="20"/>
              </w:rPr>
            </w:pPr>
            <w:r w:rsidRPr="004C5DCE">
              <w:rPr>
                <w:noProof/>
                <w:sz w:val="20"/>
                <w:szCs w:val="20"/>
              </w:rPr>
              <w:t>342.5</w:t>
            </w:r>
          </w:p>
        </w:tc>
        <w:tc>
          <w:tcPr>
            <w:tcW w:w="797" w:type="pct"/>
            <w:shd w:val="clear" w:color="000000" w:fill="FFFFFF"/>
            <w:noWrap/>
            <w:hideMark/>
          </w:tcPr>
          <w:p w14:paraId="542BB891" w14:textId="24641D2E" w:rsidR="004C5DCE" w:rsidRPr="004C5DCE" w:rsidRDefault="004C5DCE" w:rsidP="004C5DCE">
            <w:pPr>
              <w:jc w:val="right"/>
              <w:rPr>
                <w:noProof/>
                <w:sz w:val="20"/>
                <w:szCs w:val="20"/>
              </w:rPr>
            </w:pPr>
            <w:r w:rsidRPr="004C5DCE">
              <w:rPr>
                <w:noProof/>
                <w:sz w:val="20"/>
                <w:szCs w:val="20"/>
              </w:rPr>
              <w:t>51.8</w:t>
            </w:r>
          </w:p>
        </w:tc>
        <w:tc>
          <w:tcPr>
            <w:tcW w:w="797" w:type="pct"/>
            <w:shd w:val="clear" w:color="000000" w:fill="FFFFFF"/>
            <w:noWrap/>
            <w:hideMark/>
          </w:tcPr>
          <w:p w14:paraId="2C546D91" w14:textId="2FC02E00" w:rsidR="004C5DCE" w:rsidRPr="004C5DCE" w:rsidRDefault="004C5DCE" w:rsidP="004C5DCE">
            <w:pPr>
              <w:jc w:val="right"/>
              <w:rPr>
                <w:noProof/>
                <w:sz w:val="20"/>
                <w:szCs w:val="20"/>
              </w:rPr>
            </w:pPr>
            <w:r w:rsidRPr="004C5DCE">
              <w:rPr>
                <w:noProof/>
                <w:sz w:val="20"/>
                <w:szCs w:val="20"/>
              </w:rPr>
              <w:t>87.5</w:t>
            </w:r>
          </w:p>
        </w:tc>
        <w:tc>
          <w:tcPr>
            <w:tcW w:w="798" w:type="pct"/>
            <w:shd w:val="clear" w:color="000000" w:fill="FFFFFF"/>
            <w:noWrap/>
            <w:hideMark/>
          </w:tcPr>
          <w:p w14:paraId="3DFC13D1" w14:textId="7AB189FE" w:rsidR="004C5DCE" w:rsidRPr="004C5DCE" w:rsidRDefault="004C5DCE" w:rsidP="004C5DCE">
            <w:pPr>
              <w:jc w:val="right"/>
              <w:rPr>
                <w:noProof/>
                <w:sz w:val="20"/>
                <w:szCs w:val="20"/>
              </w:rPr>
            </w:pPr>
            <w:r w:rsidRPr="004C5DCE">
              <w:rPr>
                <w:noProof/>
                <w:sz w:val="20"/>
                <w:szCs w:val="20"/>
              </w:rPr>
              <w:t>59.9</w:t>
            </w:r>
          </w:p>
        </w:tc>
      </w:tr>
      <w:tr w:rsidR="00475110" w:rsidRPr="00426B30" w14:paraId="18F744D1" w14:textId="77777777" w:rsidTr="00BA4C08">
        <w:trPr>
          <w:trHeight w:val="225"/>
        </w:trPr>
        <w:tc>
          <w:tcPr>
            <w:tcW w:w="1843" w:type="pct"/>
            <w:shd w:val="clear" w:color="000000" w:fill="FFFFFF"/>
            <w:noWrap/>
            <w:hideMark/>
          </w:tcPr>
          <w:p w14:paraId="7792DD04" w14:textId="77777777" w:rsidR="004C5DCE" w:rsidRPr="00426B30" w:rsidRDefault="004C5DCE" w:rsidP="004C5DCE">
            <w:pPr>
              <w:rPr>
                <w:noProof/>
                <w:sz w:val="20"/>
                <w:szCs w:val="20"/>
              </w:rPr>
            </w:pPr>
            <w:r w:rsidRPr="00426B30">
              <w:rPr>
                <w:noProof/>
                <w:sz w:val="20"/>
                <w:szCs w:val="20"/>
              </w:rPr>
              <w:t xml:space="preserve"> France </w:t>
            </w:r>
          </w:p>
        </w:tc>
        <w:tc>
          <w:tcPr>
            <w:tcW w:w="765" w:type="pct"/>
            <w:shd w:val="clear" w:color="000000" w:fill="FFFFFF"/>
            <w:noWrap/>
            <w:hideMark/>
          </w:tcPr>
          <w:p w14:paraId="5835C9A1" w14:textId="0807C6DE" w:rsidR="004C5DCE" w:rsidRPr="004C5DCE" w:rsidRDefault="004C5DCE" w:rsidP="004C5DCE">
            <w:pPr>
              <w:jc w:val="right"/>
              <w:rPr>
                <w:noProof/>
                <w:sz w:val="20"/>
                <w:szCs w:val="20"/>
              </w:rPr>
            </w:pPr>
            <w:r w:rsidRPr="004C5DCE">
              <w:rPr>
                <w:noProof/>
                <w:sz w:val="20"/>
                <w:szCs w:val="20"/>
              </w:rPr>
              <w:t>445.3</w:t>
            </w:r>
          </w:p>
        </w:tc>
        <w:tc>
          <w:tcPr>
            <w:tcW w:w="797" w:type="pct"/>
            <w:shd w:val="clear" w:color="000000" w:fill="FFFFFF"/>
            <w:noWrap/>
            <w:hideMark/>
          </w:tcPr>
          <w:p w14:paraId="228503FA" w14:textId="2D64F436" w:rsidR="004C5DCE" w:rsidRPr="004C5DCE" w:rsidRDefault="004C5DCE" w:rsidP="004C5DCE">
            <w:pPr>
              <w:jc w:val="right"/>
              <w:rPr>
                <w:noProof/>
                <w:sz w:val="20"/>
                <w:szCs w:val="20"/>
              </w:rPr>
            </w:pPr>
            <w:r w:rsidRPr="004C5DCE">
              <w:rPr>
                <w:noProof/>
                <w:sz w:val="20"/>
                <w:szCs w:val="20"/>
              </w:rPr>
              <w:t>67.4</w:t>
            </w:r>
          </w:p>
        </w:tc>
        <w:tc>
          <w:tcPr>
            <w:tcW w:w="797" w:type="pct"/>
            <w:shd w:val="clear" w:color="000000" w:fill="FFFFFF"/>
            <w:noWrap/>
            <w:hideMark/>
          </w:tcPr>
          <w:p w14:paraId="63F6432B" w14:textId="14F992FD" w:rsidR="004C5DCE" w:rsidRPr="004C5DCE" w:rsidRDefault="004C5DCE" w:rsidP="004C5DCE">
            <w:pPr>
              <w:jc w:val="right"/>
              <w:rPr>
                <w:noProof/>
                <w:sz w:val="20"/>
                <w:szCs w:val="20"/>
              </w:rPr>
            </w:pPr>
            <w:r w:rsidRPr="004C5DCE">
              <w:rPr>
                <w:noProof/>
                <w:sz w:val="20"/>
                <w:szCs w:val="20"/>
              </w:rPr>
              <w:t>113.8</w:t>
            </w:r>
          </w:p>
        </w:tc>
        <w:tc>
          <w:tcPr>
            <w:tcW w:w="798" w:type="pct"/>
            <w:shd w:val="clear" w:color="000000" w:fill="FFFFFF"/>
            <w:noWrap/>
            <w:hideMark/>
          </w:tcPr>
          <w:p w14:paraId="797BAF0B" w14:textId="45889F72" w:rsidR="004C5DCE" w:rsidRPr="004C5DCE" w:rsidRDefault="004C5DCE" w:rsidP="004C5DCE">
            <w:pPr>
              <w:jc w:val="right"/>
              <w:rPr>
                <w:noProof/>
                <w:sz w:val="20"/>
                <w:szCs w:val="20"/>
              </w:rPr>
            </w:pPr>
            <w:r w:rsidRPr="004C5DCE">
              <w:rPr>
                <w:noProof/>
                <w:sz w:val="20"/>
                <w:szCs w:val="20"/>
              </w:rPr>
              <w:t>77.8</w:t>
            </w:r>
          </w:p>
        </w:tc>
      </w:tr>
      <w:tr w:rsidR="00475110" w:rsidRPr="00426B30" w14:paraId="6C4CEBFA" w14:textId="77777777" w:rsidTr="00BA4C08">
        <w:trPr>
          <w:trHeight w:val="225"/>
        </w:trPr>
        <w:tc>
          <w:tcPr>
            <w:tcW w:w="1843" w:type="pct"/>
            <w:shd w:val="clear" w:color="000000" w:fill="FFFFFF"/>
            <w:noWrap/>
            <w:hideMark/>
          </w:tcPr>
          <w:p w14:paraId="6117B74D" w14:textId="77777777" w:rsidR="004C5DCE" w:rsidRPr="00426B30" w:rsidRDefault="004C5DCE" w:rsidP="004C5DCE">
            <w:pPr>
              <w:rPr>
                <w:noProof/>
                <w:sz w:val="20"/>
                <w:szCs w:val="20"/>
              </w:rPr>
            </w:pPr>
            <w:r w:rsidRPr="00426B30">
              <w:rPr>
                <w:noProof/>
                <w:sz w:val="20"/>
                <w:szCs w:val="20"/>
              </w:rPr>
              <w:t xml:space="preserve"> Poland </w:t>
            </w:r>
          </w:p>
        </w:tc>
        <w:tc>
          <w:tcPr>
            <w:tcW w:w="765" w:type="pct"/>
            <w:shd w:val="clear" w:color="000000" w:fill="FFFFFF"/>
            <w:noWrap/>
            <w:hideMark/>
          </w:tcPr>
          <w:p w14:paraId="65DFF9B5" w14:textId="2559A059" w:rsidR="004C5DCE" w:rsidRPr="004C5DCE" w:rsidRDefault="004C5DCE" w:rsidP="004C5DCE">
            <w:pPr>
              <w:jc w:val="right"/>
              <w:rPr>
                <w:noProof/>
                <w:sz w:val="20"/>
                <w:szCs w:val="20"/>
              </w:rPr>
            </w:pPr>
            <w:r w:rsidRPr="004C5DCE">
              <w:rPr>
                <w:noProof/>
                <w:sz w:val="20"/>
                <w:szCs w:val="20"/>
              </w:rPr>
              <w:t>239.8</w:t>
            </w:r>
          </w:p>
        </w:tc>
        <w:tc>
          <w:tcPr>
            <w:tcW w:w="797" w:type="pct"/>
            <w:shd w:val="clear" w:color="000000" w:fill="FFFFFF"/>
            <w:noWrap/>
            <w:hideMark/>
          </w:tcPr>
          <w:p w14:paraId="5C7B94CE" w14:textId="7A693831" w:rsidR="004C5DCE" w:rsidRPr="004C5DCE" w:rsidRDefault="004C5DCE" w:rsidP="004C5DCE">
            <w:pPr>
              <w:jc w:val="right"/>
              <w:rPr>
                <w:noProof/>
                <w:sz w:val="20"/>
                <w:szCs w:val="20"/>
              </w:rPr>
            </w:pPr>
            <w:r w:rsidRPr="004C5DCE">
              <w:rPr>
                <w:noProof/>
                <w:sz w:val="20"/>
                <w:szCs w:val="20"/>
              </w:rPr>
              <w:t>36.3</w:t>
            </w:r>
          </w:p>
        </w:tc>
        <w:tc>
          <w:tcPr>
            <w:tcW w:w="797" w:type="pct"/>
            <w:shd w:val="clear" w:color="000000" w:fill="FFFFFF"/>
            <w:noWrap/>
            <w:hideMark/>
          </w:tcPr>
          <w:p w14:paraId="0C088CF0" w14:textId="319DA30B" w:rsidR="004C5DCE" w:rsidRPr="004C5DCE" w:rsidRDefault="004C5DCE" w:rsidP="004C5DCE">
            <w:pPr>
              <w:jc w:val="right"/>
              <w:rPr>
                <w:noProof/>
                <w:sz w:val="20"/>
                <w:szCs w:val="20"/>
              </w:rPr>
            </w:pPr>
            <w:r w:rsidRPr="004C5DCE">
              <w:rPr>
                <w:noProof/>
                <w:sz w:val="20"/>
                <w:szCs w:val="20"/>
              </w:rPr>
              <w:t>61.3</w:t>
            </w:r>
          </w:p>
        </w:tc>
        <w:tc>
          <w:tcPr>
            <w:tcW w:w="798" w:type="pct"/>
            <w:shd w:val="clear" w:color="000000" w:fill="FFFFFF"/>
            <w:noWrap/>
            <w:hideMark/>
          </w:tcPr>
          <w:p w14:paraId="3F138E75" w14:textId="07849E90" w:rsidR="004C5DCE" w:rsidRPr="004C5DCE" w:rsidRDefault="004C5DCE" w:rsidP="004C5DCE">
            <w:pPr>
              <w:jc w:val="right"/>
              <w:rPr>
                <w:noProof/>
                <w:sz w:val="20"/>
                <w:szCs w:val="20"/>
              </w:rPr>
            </w:pPr>
            <w:r w:rsidRPr="004C5DCE">
              <w:rPr>
                <w:noProof/>
                <w:sz w:val="20"/>
                <w:szCs w:val="20"/>
              </w:rPr>
              <w:t>41.9</w:t>
            </w:r>
          </w:p>
        </w:tc>
      </w:tr>
      <w:tr w:rsidR="00475110" w:rsidRPr="00426B30" w14:paraId="2117C6BA" w14:textId="77777777" w:rsidTr="00BA4C08">
        <w:trPr>
          <w:trHeight w:val="225"/>
        </w:trPr>
        <w:tc>
          <w:tcPr>
            <w:tcW w:w="1843" w:type="pct"/>
            <w:shd w:val="clear" w:color="000000" w:fill="FFFFFF"/>
            <w:noWrap/>
            <w:hideMark/>
          </w:tcPr>
          <w:p w14:paraId="5E05CEFA" w14:textId="77777777" w:rsidR="004C5DCE" w:rsidRPr="00426B30" w:rsidRDefault="004C5DCE" w:rsidP="004C5DCE">
            <w:pPr>
              <w:rPr>
                <w:noProof/>
                <w:sz w:val="20"/>
                <w:szCs w:val="20"/>
              </w:rPr>
            </w:pPr>
            <w:r w:rsidRPr="00426B30">
              <w:rPr>
                <w:noProof/>
                <w:sz w:val="20"/>
                <w:szCs w:val="20"/>
              </w:rPr>
              <w:t xml:space="preserve"> Italy </w:t>
            </w:r>
          </w:p>
        </w:tc>
        <w:tc>
          <w:tcPr>
            <w:tcW w:w="765" w:type="pct"/>
            <w:shd w:val="clear" w:color="000000" w:fill="FFFFFF"/>
            <w:noWrap/>
            <w:hideMark/>
          </w:tcPr>
          <w:p w14:paraId="1FE24216" w14:textId="05C3AB52" w:rsidR="004C5DCE" w:rsidRPr="004C5DCE" w:rsidRDefault="004C5DCE" w:rsidP="004C5DCE">
            <w:pPr>
              <w:jc w:val="right"/>
              <w:rPr>
                <w:noProof/>
                <w:sz w:val="20"/>
                <w:szCs w:val="20"/>
              </w:rPr>
            </w:pPr>
            <w:r w:rsidRPr="004C5DCE">
              <w:rPr>
                <w:noProof/>
                <w:sz w:val="20"/>
                <w:szCs w:val="20"/>
              </w:rPr>
              <w:t>205.5</w:t>
            </w:r>
          </w:p>
        </w:tc>
        <w:tc>
          <w:tcPr>
            <w:tcW w:w="797" w:type="pct"/>
            <w:shd w:val="clear" w:color="000000" w:fill="FFFFFF"/>
            <w:noWrap/>
            <w:hideMark/>
          </w:tcPr>
          <w:p w14:paraId="460E03BC" w14:textId="3E901453" w:rsidR="004C5DCE" w:rsidRPr="004C5DCE" w:rsidRDefault="004C5DCE" w:rsidP="004C5DCE">
            <w:pPr>
              <w:jc w:val="right"/>
              <w:rPr>
                <w:noProof/>
                <w:sz w:val="20"/>
                <w:szCs w:val="20"/>
              </w:rPr>
            </w:pPr>
            <w:r w:rsidRPr="004C5DCE">
              <w:rPr>
                <w:noProof/>
                <w:sz w:val="20"/>
                <w:szCs w:val="20"/>
              </w:rPr>
              <w:t>31.1</w:t>
            </w:r>
          </w:p>
        </w:tc>
        <w:tc>
          <w:tcPr>
            <w:tcW w:w="797" w:type="pct"/>
            <w:shd w:val="clear" w:color="000000" w:fill="FFFFFF"/>
            <w:noWrap/>
            <w:hideMark/>
          </w:tcPr>
          <w:p w14:paraId="22B2108D" w14:textId="38687C16" w:rsidR="004C5DCE" w:rsidRPr="004C5DCE" w:rsidRDefault="004C5DCE" w:rsidP="004C5DCE">
            <w:pPr>
              <w:jc w:val="right"/>
              <w:rPr>
                <w:noProof/>
                <w:sz w:val="20"/>
                <w:szCs w:val="20"/>
              </w:rPr>
            </w:pPr>
            <w:r w:rsidRPr="004C5DCE">
              <w:rPr>
                <w:noProof/>
                <w:sz w:val="20"/>
                <w:szCs w:val="20"/>
              </w:rPr>
              <w:t>52.5</w:t>
            </w:r>
          </w:p>
        </w:tc>
        <w:tc>
          <w:tcPr>
            <w:tcW w:w="798" w:type="pct"/>
            <w:shd w:val="clear" w:color="000000" w:fill="FFFFFF"/>
            <w:noWrap/>
            <w:hideMark/>
          </w:tcPr>
          <w:p w14:paraId="2431AF1E" w14:textId="1B6D19DB" w:rsidR="004C5DCE" w:rsidRPr="004C5DCE" w:rsidRDefault="004C5DCE" w:rsidP="004C5DCE">
            <w:pPr>
              <w:jc w:val="right"/>
              <w:rPr>
                <w:noProof/>
                <w:sz w:val="20"/>
                <w:szCs w:val="20"/>
              </w:rPr>
            </w:pPr>
            <w:r w:rsidRPr="004C5DCE">
              <w:rPr>
                <w:noProof/>
                <w:sz w:val="20"/>
                <w:szCs w:val="20"/>
              </w:rPr>
              <w:t>35.9</w:t>
            </w:r>
          </w:p>
        </w:tc>
      </w:tr>
      <w:tr w:rsidR="00475110" w:rsidRPr="00426B30" w14:paraId="69DBB145" w14:textId="77777777" w:rsidTr="00BA4C08">
        <w:trPr>
          <w:trHeight w:val="225"/>
        </w:trPr>
        <w:tc>
          <w:tcPr>
            <w:tcW w:w="1843" w:type="pct"/>
            <w:shd w:val="clear" w:color="000000" w:fill="FFFFFF"/>
            <w:noWrap/>
            <w:hideMark/>
          </w:tcPr>
          <w:p w14:paraId="282F8339" w14:textId="77777777" w:rsidR="004C5DCE" w:rsidRPr="00426B30" w:rsidRDefault="004C5DCE" w:rsidP="004C5DCE">
            <w:pPr>
              <w:rPr>
                <w:noProof/>
                <w:sz w:val="20"/>
                <w:szCs w:val="20"/>
              </w:rPr>
            </w:pPr>
            <w:r w:rsidRPr="00426B30">
              <w:rPr>
                <w:noProof/>
                <w:sz w:val="20"/>
                <w:szCs w:val="20"/>
              </w:rPr>
              <w:t xml:space="preserve"> Belgium </w:t>
            </w:r>
          </w:p>
        </w:tc>
        <w:tc>
          <w:tcPr>
            <w:tcW w:w="765" w:type="pct"/>
            <w:shd w:val="clear" w:color="000000" w:fill="FFFFFF"/>
            <w:noWrap/>
            <w:hideMark/>
          </w:tcPr>
          <w:p w14:paraId="41C9D748" w14:textId="4385B36F" w:rsidR="004C5DCE" w:rsidRPr="004C5DCE" w:rsidRDefault="004C5DCE" w:rsidP="004C5DCE">
            <w:pPr>
              <w:jc w:val="right"/>
              <w:rPr>
                <w:noProof/>
                <w:sz w:val="20"/>
                <w:szCs w:val="20"/>
              </w:rPr>
            </w:pPr>
            <w:r w:rsidRPr="004C5DCE">
              <w:rPr>
                <w:noProof/>
                <w:sz w:val="20"/>
                <w:szCs w:val="20"/>
              </w:rPr>
              <w:t>205.5</w:t>
            </w:r>
          </w:p>
        </w:tc>
        <w:tc>
          <w:tcPr>
            <w:tcW w:w="797" w:type="pct"/>
            <w:shd w:val="clear" w:color="000000" w:fill="FFFFFF"/>
            <w:noWrap/>
            <w:hideMark/>
          </w:tcPr>
          <w:p w14:paraId="7754BA1F" w14:textId="7B419119" w:rsidR="004C5DCE" w:rsidRPr="004C5DCE" w:rsidRDefault="004C5DCE" w:rsidP="004C5DCE">
            <w:pPr>
              <w:jc w:val="right"/>
              <w:rPr>
                <w:noProof/>
                <w:sz w:val="20"/>
                <w:szCs w:val="20"/>
              </w:rPr>
            </w:pPr>
            <w:r w:rsidRPr="004C5DCE">
              <w:rPr>
                <w:noProof/>
                <w:sz w:val="20"/>
                <w:szCs w:val="20"/>
              </w:rPr>
              <w:t>31.1</w:t>
            </w:r>
          </w:p>
        </w:tc>
        <w:tc>
          <w:tcPr>
            <w:tcW w:w="797" w:type="pct"/>
            <w:shd w:val="clear" w:color="000000" w:fill="FFFFFF"/>
            <w:noWrap/>
            <w:hideMark/>
          </w:tcPr>
          <w:p w14:paraId="087536B8" w14:textId="1D685BE1" w:rsidR="004C5DCE" w:rsidRPr="004C5DCE" w:rsidRDefault="004C5DCE" w:rsidP="004C5DCE">
            <w:pPr>
              <w:jc w:val="right"/>
              <w:rPr>
                <w:noProof/>
                <w:sz w:val="20"/>
                <w:szCs w:val="20"/>
              </w:rPr>
            </w:pPr>
            <w:r w:rsidRPr="004C5DCE">
              <w:rPr>
                <w:noProof/>
                <w:sz w:val="20"/>
                <w:szCs w:val="20"/>
              </w:rPr>
              <w:t>52.5</w:t>
            </w:r>
          </w:p>
        </w:tc>
        <w:tc>
          <w:tcPr>
            <w:tcW w:w="798" w:type="pct"/>
            <w:shd w:val="clear" w:color="000000" w:fill="FFFFFF"/>
            <w:noWrap/>
            <w:hideMark/>
          </w:tcPr>
          <w:p w14:paraId="13C0E346" w14:textId="47997A83" w:rsidR="004C5DCE" w:rsidRPr="004C5DCE" w:rsidRDefault="004C5DCE" w:rsidP="004C5DCE">
            <w:pPr>
              <w:jc w:val="right"/>
              <w:rPr>
                <w:noProof/>
                <w:sz w:val="20"/>
                <w:szCs w:val="20"/>
              </w:rPr>
            </w:pPr>
            <w:r w:rsidRPr="004C5DCE">
              <w:rPr>
                <w:noProof/>
                <w:sz w:val="20"/>
                <w:szCs w:val="20"/>
              </w:rPr>
              <w:t>35.9</w:t>
            </w:r>
          </w:p>
        </w:tc>
      </w:tr>
      <w:tr w:rsidR="00475110" w:rsidRPr="00426B30" w14:paraId="2F5CC136" w14:textId="77777777" w:rsidTr="00BA4C08">
        <w:trPr>
          <w:trHeight w:val="225"/>
        </w:trPr>
        <w:tc>
          <w:tcPr>
            <w:tcW w:w="1843" w:type="pct"/>
            <w:shd w:val="clear" w:color="000000" w:fill="FFFFFF"/>
            <w:noWrap/>
            <w:hideMark/>
          </w:tcPr>
          <w:p w14:paraId="2C2C90CA" w14:textId="77777777" w:rsidR="004C5DCE" w:rsidRPr="00426B30" w:rsidRDefault="004C5DCE" w:rsidP="004C5DCE">
            <w:pPr>
              <w:rPr>
                <w:noProof/>
                <w:sz w:val="20"/>
                <w:szCs w:val="20"/>
              </w:rPr>
            </w:pPr>
            <w:r w:rsidRPr="00426B30">
              <w:rPr>
                <w:noProof/>
                <w:sz w:val="20"/>
                <w:szCs w:val="20"/>
              </w:rPr>
              <w:t xml:space="preserve"> Portugal </w:t>
            </w:r>
          </w:p>
        </w:tc>
        <w:tc>
          <w:tcPr>
            <w:tcW w:w="765" w:type="pct"/>
            <w:shd w:val="clear" w:color="000000" w:fill="FFFFFF"/>
            <w:noWrap/>
            <w:hideMark/>
          </w:tcPr>
          <w:p w14:paraId="44BB5E5D" w14:textId="65FDE122" w:rsidR="004C5DCE" w:rsidRPr="004C5DCE" w:rsidRDefault="004C5DCE" w:rsidP="004C5DCE">
            <w:pPr>
              <w:jc w:val="right"/>
              <w:rPr>
                <w:noProof/>
                <w:sz w:val="20"/>
                <w:szCs w:val="20"/>
              </w:rPr>
            </w:pPr>
            <w:r w:rsidRPr="004C5DCE">
              <w:rPr>
                <w:noProof/>
                <w:sz w:val="20"/>
                <w:szCs w:val="20"/>
              </w:rPr>
              <w:t>68.5</w:t>
            </w:r>
          </w:p>
        </w:tc>
        <w:tc>
          <w:tcPr>
            <w:tcW w:w="797" w:type="pct"/>
            <w:shd w:val="clear" w:color="000000" w:fill="FFFFFF"/>
            <w:noWrap/>
            <w:hideMark/>
          </w:tcPr>
          <w:p w14:paraId="631FEC7A" w14:textId="57B2C49E" w:rsidR="004C5DCE" w:rsidRPr="004C5DCE" w:rsidRDefault="004C5DCE" w:rsidP="004C5DCE">
            <w:pPr>
              <w:jc w:val="right"/>
              <w:rPr>
                <w:noProof/>
                <w:sz w:val="20"/>
                <w:szCs w:val="20"/>
              </w:rPr>
            </w:pPr>
            <w:r w:rsidRPr="004C5DCE">
              <w:rPr>
                <w:noProof/>
                <w:sz w:val="20"/>
                <w:szCs w:val="20"/>
              </w:rPr>
              <w:t>10.4</w:t>
            </w:r>
          </w:p>
        </w:tc>
        <w:tc>
          <w:tcPr>
            <w:tcW w:w="797" w:type="pct"/>
            <w:shd w:val="clear" w:color="000000" w:fill="FFFFFF"/>
            <w:noWrap/>
            <w:hideMark/>
          </w:tcPr>
          <w:p w14:paraId="5ABFE43A" w14:textId="002DD77D" w:rsidR="004C5DCE" w:rsidRPr="004C5DCE" w:rsidRDefault="004C5DCE" w:rsidP="004C5DCE">
            <w:pPr>
              <w:jc w:val="right"/>
              <w:rPr>
                <w:noProof/>
                <w:sz w:val="20"/>
                <w:szCs w:val="20"/>
              </w:rPr>
            </w:pPr>
            <w:r w:rsidRPr="004C5DCE">
              <w:rPr>
                <w:noProof/>
                <w:sz w:val="20"/>
                <w:szCs w:val="20"/>
              </w:rPr>
              <w:t>17.5</w:t>
            </w:r>
          </w:p>
        </w:tc>
        <w:tc>
          <w:tcPr>
            <w:tcW w:w="798" w:type="pct"/>
            <w:shd w:val="clear" w:color="000000" w:fill="FFFFFF"/>
            <w:noWrap/>
            <w:hideMark/>
          </w:tcPr>
          <w:p w14:paraId="0EA37218" w14:textId="79B09413" w:rsidR="004C5DCE" w:rsidRPr="004C5DCE" w:rsidRDefault="004C5DCE" w:rsidP="004C5DCE">
            <w:pPr>
              <w:jc w:val="right"/>
              <w:rPr>
                <w:noProof/>
                <w:sz w:val="20"/>
                <w:szCs w:val="20"/>
              </w:rPr>
            </w:pPr>
            <w:r w:rsidRPr="004C5DCE">
              <w:rPr>
                <w:noProof/>
                <w:sz w:val="20"/>
                <w:szCs w:val="20"/>
              </w:rPr>
              <w:t>12.0</w:t>
            </w:r>
          </w:p>
        </w:tc>
      </w:tr>
      <w:tr w:rsidR="00475110" w:rsidRPr="00426B30" w14:paraId="4CCDC9E8" w14:textId="77777777" w:rsidTr="00BA4C08">
        <w:trPr>
          <w:trHeight w:val="225"/>
        </w:trPr>
        <w:tc>
          <w:tcPr>
            <w:tcW w:w="1843" w:type="pct"/>
            <w:shd w:val="clear" w:color="000000" w:fill="FFFFFF"/>
            <w:noWrap/>
            <w:hideMark/>
          </w:tcPr>
          <w:p w14:paraId="146CFAD4" w14:textId="77777777" w:rsidR="004C5DCE" w:rsidRPr="00426B30" w:rsidRDefault="004C5DCE" w:rsidP="004C5DCE">
            <w:pPr>
              <w:rPr>
                <w:noProof/>
                <w:sz w:val="20"/>
                <w:szCs w:val="20"/>
              </w:rPr>
            </w:pPr>
            <w:r w:rsidRPr="00426B30">
              <w:rPr>
                <w:noProof/>
                <w:sz w:val="20"/>
                <w:szCs w:val="20"/>
              </w:rPr>
              <w:t xml:space="preserve"> Malta </w:t>
            </w:r>
          </w:p>
        </w:tc>
        <w:tc>
          <w:tcPr>
            <w:tcW w:w="765" w:type="pct"/>
            <w:shd w:val="clear" w:color="000000" w:fill="FFFFFF"/>
            <w:noWrap/>
            <w:hideMark/>
          </w:tcPr>
          <w:p w14:paraId="33DF520F" w14:textId="062D898E" w:rsidR="004C5DCE" w:rsidRPr="004C5DCE" w:rsidRDefault="004C5DCE" w:rsidP="004C5DCE">
            <w:pPr>
              <w:jc w:val="right"/>
              <w:rPr>
                <w:noProof/>
                <w:sz w:val="20"/>
                <w:szCs w:val="20"/>
              </w:rPr>
            </w:pPr>
            <w:r w:rsidRPr="004C5DCE">
              <w:rPr>
                <w:noProof/>
                <w:sz w:val="20"/>
                <w:szCs w:val="20"/>
              </w:rPr>
              <w:t>34.3</w:t>
            </w:r>
          </w:p>
        </w:tc>
        <w:tc>
          <w:tcPr>
            <w:tcW w:w="797" w:type="pct"/>
            <w:shd w:val="clear" w:color="000000" w:fill="FFFFFF"/>
            <w:noWrap/>
            <w:hideMark/>
          </w:tcPr>
          <w:p w14:paraId="195BE863" w14:textId="1C02B6A0" w:rsidR="004C5DCE" w:rsidRPr="004C5DCE" w:rsidRDefault="004C5DCE" w:rsidP="004C5DCE">
            <w:pPr>
              <w:jc w:val="right"/>
              <w:rPr>
                <w:noProof/>
                <w:sz w:val="20"/>
                <w:szCs w:val="20"/>
              </w:rPr>
            </w:pPr>
            <w:r w:rsidRPr="004C5DCE">
              <w:rPr>
                <w:noProof/>
                <w:sz w:val="20"/>
                <w:szCs w:val="20"/>
              </w:rPr>
              <w:t>5.2</w:t>
            </w:r>
          </w:p>
        </w:tc>
        <w:tc>
          <w:tcPr>
            <w:tcW w:w="797" w:type="pct"/>
            <w:shd w:val="clear" w:color="000000" w:fill="FFFFFF"/>
            <w:noWrap/>
            <w:hideMark/>
          </w:tcPr>
          <w:p w14:paraId="75EED6C2" w14:textId="2F24C7C8" w:rsidR="004C5DCE" w:rsidRPr="004C5DCE" w:rsidRDefault="004C5DCE" w:rsidP="004C5DCE">
            <w:pPr>
              <w:jc w:val="right"/>
              <w:rPr>
                <w:noProof/>
                <w:sz w:val="20"/>
                <w:szCs w:val="20"/>
              </w:rPr>
            </w:pPr>
            <w:r w:rsidRPr="004C5DCE">
              <w:rPr>
                <w:noProof/>
                <w:sz w:val="20"/>
                <w:szCs w:val="20"/>
              </w:rPr>
              <w:t>8.8</w:t>
            </w:r>
          </w:p>
        </w:tc>
        <w:tc>
          <w:tcPr>
            <w:tcW w:w="798" w:type="pct"/>
            <w:shd w:val="clear" w:color="000000" w:fill="FFFFFF"/>
            <w:noWrap/>
            <w:hideMark/>
          </w:tcPr>
          <w:p w14:paraId="66B1C48A" w14:textId="31110B37" w:rsidR="004C5DCE" w:rsidRPr="004C5DCE" w:rsidRDefault="004C5DCE" w:rsidP="004C5DCE">
            <w:pPr>
              <w:jc w:val="right"/>
              <w:rPr>
                <w:noProof/>
                <w:sz w:val="20"/>
                <w:szCs w:val="20"/>
              </w:rPr>
            </w:pPr>
            <w:r w:rsidRPr="004C5DCE">
              <w:rPr>
                <w:noProof/>
                <w:sz w:val="20"/>
                <w:szCs w:val="20"/>
              </w:rPr>
              <w:t>6.0</w:t>
            </w:r>
          </w:p>
        </w:tc>
      </w:tr>
      <w:tr w:rsidR="00475110" w:rsidRPr="00426B30" w14:paraId="5615504A" w14:textId="77777777" w:rsidTr="00BA4C08">
        <w:trPr>
          <w:trHeight w:val="225"/>
        </w:trPr>
        <w:tc>
          <w:tcPr>
            <w:tcW w:w="1843" w:type="pct"/>
            <w:shd w:val="clear" w:color="000000" w:fill="FFFFFF"/>
            <w:noWrap/>
            <w:hideMark/>
          </w:tcPr>
          <w:p w14:paraId="0DC7B914" w14:textId="77777777" w:rsidR="004C5DCE" w:rsidRPr="00426B30" w:rsidRDefault="004C5DCE" w:rsidP="004C5DCE">
            <w:pPr>
              <w:rPr>
                <w:noProof/>
                <w:sz w:val="20"/>
                <w:szCs w:val="20"/>
              </w:rPr>
            </w:pPr>
            <w:r w:rsidRPr="00426B30">
              <w:rPr>
                <w:noProof/>
                <w:sz w:val="20"/>
                <w:szCs w:val="20"/>
              </w:rPr>
              <w:t xml:space="preserve"> Cyprus </w:t>
            </w:r>
          </w:p>
        </w:tc>
        <w:tc>
          <w:tcPr>
            <w:tcW w:w="765" w:type="pct"/>
            <w:shd w:val="clear" w:color="000000" w:fill="FFFFFF"/>
            <w:noWrap/>
            <w:hideMark/>
          </w:tcPr>
          <w:p w14:paraId="4213E80B" w14:textId="75E8025C" w:rsidR="004C5DCE" w:rsidRPr="004C5DCE" w:rsidRDefault="004C5DCE" w:rsidP="004C5DCE">
            <w:pPr>
              <w:jc w:val="right"/>
              <w:rPr>
                <w:noProof/>
                <w:sz w:val="20"/>
                <w:szCs w:val="20"/>
              </w:rPr>
            </w:pPr>
            <w:r w:rsidRPr="004C5DCE">
              <w:rPr>
                <w:noProof/>
                <w:sz w:val="20"/>
                <w:szCs w:val="20"/>
              </w:rPr>
              <w:t>34.3</w:t>
            </w:r>
          </w:p>
        </w:tc>
        <w:tc>
          <w:tcPr>
            <w:tcW w:w="797" w:type="pct"/>
            <w:shd w:val="clear" w:color="000000" w:fill="FFFFFF"/>
            <w:noWrap/>
            <w:hideMark/>
          </w:tcPr>
          <w:p w14:paraId="10B9B52E" w14:textId="60AF8B44" w:rsidR="004C5DCE" w:rsidRPr="004C5DCE" w:rsidRDefault="004C5DCE" w:rsidP="004C5DCE">
            <w:pPr>
              <w:jc w:val="right"/>
              <w:rPr>
                <w:noProof/>
                <w:sz w:val="20"/>
                <w:szCs w:val="20"/>
              </w:rPr>
            </w:pPr>
            <w:r w:rsidRPr="004C5DCE">
              <w:rPr>
                <w:noProof/>
                <w:sz w:val="20"/>
                <w:szCs w:val="20"/>
              </w:rPr>
              <w:t>5.2</w:t>
            </w:r>
          </w:p>
        </w:tc>
        <w:tc>
          <w:tcPr>
            <w:tcW w:w="797" w:type="pct"/>
            <w:shd w:val="clear" w:color="000000" w:fill="FFFFFF"/>
            <w:noWrap/>
            <w:hideMark/>
          </w:tcPr>
          <w:p w14:paraId="3F686E9E" w14:textId="497E95AE" w:rsidR="004C5DCE" w:rsidRPr="004C5DCE" w:rsidRDefault="004C5DCE" w:rsidP="004C5DCE">
            <w:pPr>
              <w:jc w:val="right"/>
              <w:rPr>
                <w:noProof/>
                <w:sz w:val="20"/>
                <w:szCs w:val="20"/>
              </w:rPr>
            </w:pPr>
            <w:r w:rsidRPr="004C5DCE">
              <w:rPr>
                <w:noProof/>
                <w:sz w:val="20"/>
                <w:szCs w:val="20"/>
              </w:rPr>
              <w:t>8.8</w:t>
            </w:r>
          </w:p>
        </w:tc>
        <w:tc>
          <w:tcPr>
            <w:tcW w:w="798" w:type="pct"/>
            <w:shd w:val="clear" w:color="000000" w:fill="FFFFFF"/>
            <w:noWrap/>
            <w:hideMark/>
          </w:tcPr>
          <w:p w14:paraId="24687320" w14:textId="18411638" w:rsidR="004C5DCE" w:rsidRPr="004C5DCE" w:rsidRDefault="004C5DCE" w:rsidP="004C5DCE">
            <w:pPr>
              <w:jc w:val="right"/>
              <w:rPr>
                <w:noProof/>
                <w:sz w:val="20"/>
                <w:szCs w:val="20"/>
              </w:rPr>
            </w:pPr>
            <w:r w:rsidRPr="004C5DCE">
              <w:rPr>
                <w:noProof/>
                <w:sz w:val="20"/>
                <w:szCs w:val="20"/>
              </w:rPr>
              <w:t>6.0</w:t>
            </w:r>
          </w:p>
        </w:tc>
      </w:tr>
      <w:tr w:rsidR="00475110" w:rsidRPr="00426B30" w14:paraId="636415CA" w14:textId="77777777" w:rsidTr="00BA4C08">
        <w:trPr>
          <w:trHeight w:val="225"/>
        </w:trPr>
        <w:tc>
          <w:tcPr>
            <w:tcW w:w="1843" w:type="pct"/>
            <w:shd w:val="clear" w:color="000000" w:fill="FFFFFF"/>
            <w:noWrap/>
            <w:hideMark/>
          </w:tcPr>
          <w:p w14:paraId="0AB61388" w14:textId="77777777" w:rsidR="004C5DCE" w:rsidRPr="00426B30" w:rsidRDefault="004C5DCE" w:rsidP="004C5DCE">
            <w:pPr>
              <w:rPr>
                <w:noProof/>
                <w:sz w:val="20"/>
                <w:szCs w:val="20"/>
              </w:rPr>
            </w:pPr>
            <w:r w:rsidRPr="00426B30">
              <w:rPr>
                <w:noProof/>
                <w:sz w:val="20"/>
                <w:szCs w:val="20"/>
              </w:rPr>
              <w:t xml:space="preserve"> Greece </w:t>
            </w:r>
          </w:p>
        </w:tc>
        <w:tc>
          <w:tcPr>
            <w:tcW w:w="765" w:type="pct"/>
            <w:shd w:val="clear" w:color="000000" w:fill="FFFFFF"/>
            <w:noWrap/>
            <w:hideMark/>
          </w:tcPr>
          <w:p w14:paraId="06180A6C" w14:textId="13FE2C4D" w:rsidR="004C5DCE" w:rsidRPr="004C5DCE" w:rsidRDefault="004C5DCE" w:rsidP="004C5DCE">
            <w:pPr>
              <w:jc w:val="right"/>
              <w:rPr>
                <w:noProof/>
                <w:sz w:val="20"/>
                <w:szCs w:val="20"/>
              </w:rPr>
            </w:pPr>
            <w:r w:rsidRPr="004C5DCE">
              <w:rPr>
                <w:noProof/>
                <w:sz w:val="20"/>
                <w:szCs w:val="20"/>
              </w:rPr>
              <w:t>68.5</w:t>
            </w:r>
          </w:p>
        </w:tc>
        <w:tc>
          <w:tcPr>
            <w:tcW w:w="797" w:type="pct"/>
            <w:shd w:val="clear" w:color="000000" w:fill="FFFFFF"/>
            <w:noWrap/>
            <w:hideMark/>
          </w:tcPr>
          <w:p w14:paraId="635485AF" w14:textId="18F6442A" w:rsidR="004C5DCE" w:rsidRPr="004C5DCE" w:rsidRDefault="004C5DCE" w:rsidP="004C5DCE">
            <w:pPr>
              <w:jc w:val="right"/>
              <w:rPr>
                <w:noProof/>
                <w:sz w:val="20"/>
                <w:szCs w:val="20"/>
              </w:rPr>
            </w:pPr>
            <w:r w:rsidRPr="004C5DCE">
              <w:rPr>
                <w:noProof/>
                <w:sz w:val="20"/>
                <w:szCs w:val="20"/>
              </w:rPr>
              <w:t>10.4</w:t>
            </w:r>
          </w:p>
        </w:tc>
        <w:tc>
          <w:tcPr>
            <w:tcW w:w="797" w:type="pct"/>
            <w:shd w:val="clear" w:color="000000" w:fill="FFFFFF"/>
            <w:noWrap/>
            <w:hideMark/>
          </w:tcPr>
          <w:p w14:paraId="3C996A1C" w14:textId="3AA1CFF5" w:rsidR="004C5DCE" w:rsidRPr="004C5DCE" w:rsidRDefault="004C5DCE" w:rsidP="004C5DCE">
            <w:pPr>
              <w:jc w:val="right"/>
              <w:rPr>
                <w:noProof/>
                <w:sz w:val="20"/>
                <w:szCs w:val="20"/>
              </w:rPr>
            </w:pPr>
            <w:r w:rsidRPr="004C5DCE">
              <w:rPr>
                <w:noProof/>
                <w:sz w:val="20"/>
                <w:szCs w:val="20"/>
              </w:rPr>
              <w:t>17.5</w:t>
            </w:r>
          </w:p>
        </w:tc>
        <w:tc>
          <w:tcPr>
            <w:tcW w:w="798" w:type="pct"/>
            <w:shd w:val="clear" w:color="000000" w:fill="FFFFFF"/>
            <w:noWrap/>
            <w:hideMark/>
          </w:tcPr>
          <w:p w14:paraId="64887E59" w14:textId="6CB3B587" w:rsidR="004C5DCE" w:rsidRPr="004C5DCE" w:rsidRDefault="004C5DCE" w:rsidP="004C5DCE">
            <w:pPr>
              <w:jc w:val="right"/>
              <w:rPr>
                <w:noProof/>
                <w:sz w:val="20"/>
                <w:szCs w:val="20"/>
              </w:rPr>
            </w:pPr>
            <w:r w:rsidRPr="004C5DCE">
              <w:rPr>
                <w:noProof/>
                <w:sz w:val="20"/>
                <w:szCs w:val="20"/>
              </w:rPr>
              <w:t>12.0</w:t>
            </w:r>
          </w:p>
        </w:tc>
      </w:tr>
      <w:tr w:rsidR="00475110" w:rsidRPr="00426B30" w14:paraId="4E376781" w14:textId="77777777" w:rsidTr="00BA4C08">
        <w:trPr>
          <w:trHeight w:val="225"/>
        </w:trPr>
        <w:tc>
          <w:tcPr>
            <w:tcW w:w="1843" w:type="pct"/>
            <w:shd w:val="clear" w:color="000000" w:fill="FFFFFF"/>
            <w:noWrap/>
            <w:hideMark/>
          </w:tcPr>
          <w:p w14:paraId="11A4D115" w14:textId="77777777" w:rsidR="004C5DCE" w:rsidRPr="00426B30" w:rsidRDefault="004C5DCE" w:rsidP="004C5DCE">
            <w:pPr>
              <w:rPr>
                <w:noProof/>
                <w:sz w:val="20"/>
                <w:szCs w:val="20"/>
              </w:rPr>
            </w:pPr>
            <w:r w:rsidRPr="00426B30">
              <w:rPr>
                <w:noProof/>
                <w:sz w:val="20"/>
                <w:szCs w:val="20"/>
              </w:rPr>
              <w:t xml:space="preserve"> Bulgaria </w:t>
            </w:r>
          </w:p>
        </w:tc>
        <w:tc>
          <w:tcPr>
            <w:tcW w:w="765" w:type="pct"/>
            <w:shd w:val="clear" w:color="000000" w:fill="FFFFFF"/>
            <w:noWrap/>
            <w:hideMark/>
          </w:tcPr>
          <w:p w14:paraId="7AF5DF47" w14:textId="77777777" w:rsidR="004C5DCE" w:rsidRPr="004C5DCE" w:rsidRDefault="004C5DCE" w:rsidP="004C5DCE">
            <w:pPr>
              <w:jc w:val="right"/>
              <w:rPr>
                <w:noProof/>
                <w:sz w:val="20"/>
                <w:szCs w:val="20"/>
              </w:rPr>
            </w:pPr>
            <w:r w:rsidRPr="004C5DCE">
              <w:rPr>
                <w:noProof/>
                <w:sz w:val="20"/>
                <w:szCs w:val="20"/>
              </w:rPr>
              <w:t>0.0</w:t>
            </w:r>
          </w:p>
        </w:tc>
        <w:tc>
          <w:tcPr>
            <w:tcW w:w="797" w:type="pct"/>
            <w:shd w:val="clear" w:color="000000" w:fill="FFFFFF"/>
            <w:noWrap/>
            <w:hideMark/>
          </w:tcPr>
          <w:p w14:paraId="4583A007" w14:textId="77777777" w:rsidR="004C5DCE" w:rsidRPr="004C5DCE" w:rsidRDefault="004C5DCE" w:rsidP="004C5DCE">
            <w:pPr>
              <w:jc w:val="right"/>
              <w:rPr>
                <w:noProof/>
                <w:sz w:val="20"/>
                <w:szCs w:val="20"/>
              </w:rPr>
            </w:pPr>
            <w:r w:rsidRPr="004C5DCE">
              <w:rPr>
                <w:noProof/>
                <w:sz w:val="20"/>
                <w:szCs w:val="20"/>
              </w:rPr>
              <w:t>0.0</w:t>
            </w:r>
          </w:p>
        </w:tc>
        <w:tc>
          <w:tcPr>
            <w:tcW w:w="797" w:type="pct"/>
            <w:shd w:val="clear" w:color="000000" w:fill="FFFFFF"/>
            <w:noWrap/>
            <w:hideMark/>
          </w:tcPr>
          <w:p w14:paraId="659F027C" w14:textId="77777777" w:rsidR="004C5DCE" w:rsidRPr="004C5DCE" w:rsidRDefault="004C5DCE" w:rsidP="004C5DCE">
            <w:pPr>
              <w:jc w:val="right"/>
              <w:rPr>
                <w:noProof/>
                <w:sz w:val="20"/>
                <w:szCs w:val="20"/>
              </w:rPr>
            </w:pPr>
            <w:r w:rsidRPr="004C5DCE">
              <w:rPr>
                <w:noProof/>
                <w:sz w:val="20"/>
                <w:szCs w:val="20"/>
              </w:rPr>
              <w:t>0.0</w:t>
            </w:r>
          </w:p>
        </w:tc>
        <w:tc>
          <w:tcPr>
            <w:tcW w:w="798" w:type="pct"/>
            <w:shd w:val="clear" w:color="000000" w:fill="FFFFFF"/>
            <w:noWrap/>
            <w:hideMark/>
          </w:tcPr>
          <w:p w14:paraId="202F3600" w14:textId="77777777" w:rsidR="004C5DCE" w:rsidRPr="004C5DCE" w:rsidRDefault="004C5DCE" w:rsidP="004C5DCE">
            <w:pPr>
              <w:jc w:val="right"/>
              <w:rPr>
                <w:noProof/>
                <w:sz w:val="20"/>
                <w:szCs w:val="20"/>
              </w:rPr>
            </w:pPr>
            <w:r w:rsidRPr="004C5DCE">
              <w:rPr>
                <w:noProof/>
                <w:sz w:val="20"/>
                <w:szCs w:val="20"/>
              </w:rPr>
              <w:t>0.0</w:t>
            </w:r>
          </w:p>
        </w:tc>
      </w:tr>
      <w:tr w:rsidR="00475110" w:rsidRPr="00426B30" w14:paraId="27A3CA92" w14:textId="77777777" w:rsidTr="00BA4C08">
        <w:trPr>
          <w:trHeight w:val="225"/>
        </w:trPr>
        <w:tc>
          <w:tcPr>
            <w:tcW w:w="1843" w:type="pct"/>
            <w:shd w:val="clear" w:color="000000" w:fill="FFFFFF"/>
            <w:noWrap/>
            <w:hideMark/>
          </w:tcPr>
          <w:p w14:paraId="3E8AA0F9" w14:textId="77777777" w:rsidR="004C5DCE" w:rsidRPr="00426B30" w:rsidRDefault="004C5DCE" w:rsidP="004C5DCE">
            <w:pPr>
              <w:rPr>
                <w:noProof/>
                <w:sz w:val="20"/>
                <w:szCs w:val="20"/>
              </w:rPr>
            </w:pPr>
            <w:r w:rsidRPr="00426B30">
              <w:rPr>
                <w:noProof/>
                <w:sz w:val="20"/>
                <w:szCs w:val="20"/>
              </w:rPr>
              <w:t xml:space="preserve"> Estonia </w:t>
            </w:r>
          </w:p>
        </w:tc>
        <w:tc>
          <w:tcPr>
            <w:tcW w:w="765" w:type="pct"/>
            <w:shd w:val="clear" w:color="000000" w:fill="FFFFFF"/>
            <w:noWrap/>
            <w:hideMark/>
          </w:tcPr>
          <w:p w14:paraId="674E3384" w14:textId="77777777" w:rsidR="004C5DCE" w:rsidRPr="004C5DCE" w:rsidRDefault="004C5DCE" w:rsidP="004C5DCE">
            <w:pPr>
              <w:jc w:val="right"/>
              <w:rPr>
                <w:noProof/>
                <w:sz w:val="20"/>
                <w:szCs w:val="20"/>
              </w:rPr>
            </w:pPr>
            <w:r w:rsidRPr="004C5DCE">
              <w:rPr>
                <w:noProof/>
                <w:sz w:val="20"/>
                <w:szCs w:val="20"/>
              </w:rPr>
              <w:t>0.0</w:t>
            </w:r>
          </w:p>
        </w:tc>
        <w:tc>
          <w:tcPr>
            <w:tcW w:w="797" w:type="pct"/>
            <w:shd w:val="clear" w:color="000000" w:fill="FFFFFF"/>
            <w:noWrap/>
            <w:hideMark/>
          </w:tcPr>
          <w:p w14:paraId="3E1B3E99" w14:textId="77777777" w:rsidR="004C5DCE" w:rsidRPr="004C5DCE" w:rsidRDefault="004C5DCE" w:rsidP="004C5DCE">
            <w:pPr>
              <w:jc w:val="right"/>
              <w:rPr>
                <w:noProof/>
                <w:sz w:val="20"/>
                <w:szCs w:val="20"/>
              </w:rPr>
            </w:pPr>
            <w:r w:rsidRPr="004C5DCE">
              <w:rPr>
                <w:noProof/>
                <w:sz w:val="20"/>
                <w:szCs w:val="20"/>
              </w:rPr>
              <w:t>0.0</w:t>
            </w:r>
          </w:p>
        </w:tc>
        <w:tc>
          <w:tcPr>
            <w:tcW w:w="797" w:type="pct"/>
            <w:shd w:val="clear" w:color="000000" w:fill="FFFFFF"/>
            <w:noWrap/>
            <w:hideMark/>
          </w:tcPr>
          <w:p w14:paraId="363D3FC9" w14:textId="77777777" w:rsidR="004C5DCE" w:rsidRPr="004C5DCE" w:rsidRDefault="004C5DCE" w:rsidP="004C5DCE">
            <w:pPr>
              <w:jc w:val="right"/>
              <w:rPr>
                <w:noProof/>
                <w:sz w:val="20"/>
                <w:szCs w:val="20"/>
              </w:rPr>
            </w:pPr>
            <w:r w:rsidRPr="004C5DCE">
              <w:rPr>
                <w:noProof/>
                <w:sz w:val="20"/>
                <w:szCs w:val="20"/>
              </w:rPr>
              <w:t>0.0</w:t>
            </w:r>
          </w:p>
        </w:tc>
        <w:tc>
          <w:tcPr>
            <w:tcW w:w="798" w:type="pct"/>
            <w:shd w:val="clear" w:color="000000" w:fill="FFFFFF"/>
            <w:noWrap/>
            <w:hideMark/>
          </w:tcPr>
          <w:p w14:paraId="66C4D171" w14:textId="77777777" w:rsidR="004C5DCE" w:rsidRPr="004C5DCE" w:rsidRDefault="004C5DCE" w:rsidP="004C5DCE">
            <w:pPr>
              <w:jc w:val="right"/>
              <w:rPr>
                <w:noProof/>
                <w:sz w:val="20"/>
                <w:szCs w:val="20"/>
              </w:rPr>
            </w:pPr>
            <w:r w:rsidRPr="004C5DCE">
              <w:rPr>
                <w:noProof/>
                <w:sz w:val="20"/>
                <w:szCs w:val="20"/>
              </w:rPr>
              <w:t>0.0</w:t>
            </w:r>
          </w:p>
        </w:tc>
      </w:tr>
      <w:tr w:rsidR="00475110" w:rsidRPr="00426B30" w14:paraId="706C3624" w14:textId="77777777" w:rsidTr="00BA4C08">
        <w:trPr>
          <w:trHeight w:val="225"/>
        </w:trPr>
        <w:tc>
          <w:tcPr>
            <w:tcW w:w="1843" w:type="pct"/>
            <w:shd w:val="clear" w:color="000000" w:fill="FFFFFF"/>
            <w:noWrap/>
            <w:hideMark/>
          </w:tcPr>
          <w:p w14:paraId="519F19CE" w14:textId="77777777" w:rsidR="004C5DCE" w:rsidRPr="00426B30" w:rsidRDefault="004C5DCE" w:rsidP="004C5DCE">
            <w:pPr>
              <w:rPr>
                <w:noProof/>
                <w:sz w:val="20"/>
                <w:szCs w:val="20"/>
              </w:rPr>
            </w:pPr>
            <w:r w:rsidRPr="00426B30">
              <w:rPr>
                <w:noProof/>
                <w:sz w:val="20"/>
                <w:szCs w:val="20"/>
              </w:rPr>
              <w:t xml:space="preserve"> Croatia </w:t>
            </w:r>
          </w:p>
        </w:tc>
        <w:tc>
          <w:tcPr>
            <w:tcW w:w="765" w:type="pct"/>
            <w:shd w:val="clear" w:color="000000" w:fill="FFFFFF"/>
            <w:noWrap/>
            <w:hideMark/>
          </w:tcPr>
          <w:p w14:paraId="5FADDAB6" w14:textId="60818460" w:rsidR="004C5DCE" w:rsidRPr="004C5DCE" w:rsidRDefault="004C5DCE" w:rsidP="004C5DCE">
            <w:pPr>
              <w:jc w:val="right"/>
              <w:rPr>
                <w:noProof/>
                <w:sz w:val="20"/>
                <w:szCs w:val="20"/>
              </w:rPr>
            </w:pPr>
            <w:r w:rsidRPr="004C5DCE">
              <w:rPr>
                <w:noProof/>
                <w:sz w:val="20"/>
                <w:szCs w:val="20"/>
              </w:rPr>
              <w:t>34.3</w:t>
            </w:r>
          </w:p>
        </w:tc>
        <w:tc>
          <w:tcPr>
            <w:tcW w:w="797" w:type="pct"/>
            <w:shd w:val="clear" w:color="000000" w:fill="FFFFFF"/>
            <w:noWrap/>
            <w:hideMark/>
          </w:tcPr>
          <w:p w14:paraId="2BAC6105" w14:textId="63C0476A" w:rsidR="004C5DCE" w:rsidRPr="004C5DCE" w:rsidRDefault="004C5DCE" w:rsidP="004C5DCE">
            <w:pPr>
              <w:jc w:val="right"/>
              <w:rPr>
                <w:noProof/>
                <w:sz w:val="20"/>
                <w:szCs w:val="20"/>
              </w:rPr>
            </w:pPr>
            <w:r w:rsidRPr="004C5DCE">
              <w:rPr>
                <w:noProof/>
                <w:sz w:val="20"/>
                <w:szCs w:val="20"/>
              </w:rPr>
              <w:t>5.2</w:t>
            </w:r>
          </w:p>
        </w:tc>
        <w:tc>
          <w:tcPr>
            <w:tcW w:w="797" w:type="pct"/>
            <w:shd w:val="clear" w:color="000000" w:fill="FFFFFF"/>
            <w:noWrap/>
            <w:hideMark/>
          </w:tcPr>
          <w:p w14:paraId="0F12BBAF" w14:textId="6280A6F7" w:rsidR="004C5DCE" w:rsidRPr="004C5DCE" w:rsidRDefault="004C5DCE" w:rsidP="004C5DCE">
            <w:pPr>
              <w:jc w:val="right"/>
              <w:rPr>
                <w:noProof/>
                <w:sz w:val="20"/>
                <w:szCs w:val="20"/>
              </w:rPr>
            </w:pPr>
            <w:r w:rsidRPr="004C5DCE">
              <w:rPr>
                <w:noProof/>
                <w:sz w:val="20"/>
                <w:szCs w:val="20"/>
              </w:rPr>
              <w:t>8.8</w:t>
            </w:r>
          </w:p>
        </w:tc>
        <w:tc>
          <w:tcPr>
            <w:tcW w:w="798" w:type="pct"/>
            <w:shd w:val="clear" w:color="000000" w:fill="FFFFFF"/>
            <w:noWrap/>
            <w:hideMark/>
          </w:tcPr>
          <w:p w14:paraId="5CB6EB42" w14:textId="7C923C6D" w:rsidR="004C5DCE" w:rsidRPr="004C5DCE" w:rsidRDefault="004C5DCE" w:rsidP="004C5DCE">
            <w:pPr>
              <w:jc w:val="right"/>
              <w:rPr>
                <w:noProof/>
                <w:sz w:val="20"/>
                <w:szCs w:val="20"/>
              </w:rPr>
            </w:pPr>
            <w:r w:rsidRPr="004C5DCE">
              <w:rPr>
                <w:noProof/>
                <w:sz w:val="20"/>
                <w:szCs w:val="20"/>
              </w:rPr>
              <w:t>6.0</w:t>
            </w:r>
          </w:p>
        </w:tc>
      </w:tr>
      <w:tr w:rsidR="00475110" w:rsidRPr="00426B30" w14:paraId="4237594C" w14:textId="77777777" w:rsidTr="00BA4C08">
        <w:trPr>
          <w:trHeight w:val="225"/>
        </w:trPr>
        <w:tc>
          <w:tcPr>
            <w:tcW w:w="1843" w:type="pct"/>
            <w:shd w:val="clear" w:color="000000" w:fill="FFFFFF"/>
            <w:noWrap/>
            <w:hideMark/>
          </w:tcPr>
          <w:p w14:paraId="0265E3E4" w14:textId="77777777" w:rsidR="004C5DCE" w:rsidRPr="00426B30" w:rsidRDefault="004C5DCE" w:rsidP="004C5DCE">
            <w:pPr>
              <w:rPr>
                <w:noProof/>
                <w:sz w:val="20"/>
                <w:szCs w:val="20"/>
              </w:rPr>
            </w:pPr>
            <w:r w:rsidRPr="00426B30">
              <w:rPr>
                <w:noProof/>
                <w:sz w:val="20"/>
                <w:szCs w:val="20"/>
              </w:rPr>
              <w:t xml:space="preserve"> Lithuania </w:t>
            </w:r>
          </w:p>
        </w:tc>
        <w:tc>
          <w:tcPr>
            <w:tcW w:w="765" w:type="pct"/>
            <w:shd w:val="clear" w:color="000000" w:fill="FFFFFF"/>
            <w:noWrap/>
            <w:hideMark/>
          </w:tcPr>
          <w:p w14:paraId="19E44905" w14:textId="77777777" w:rsidR="004C5DCE" w:rsidRPr="004C5DCE" w:rsidRDefault="004C5DCE" w:rsidP="004C5DCE">
            <w:pPr>
              <w:jc w:val="right"/>
              <w:rPr>
                <w:noProof/>
                <w:sz w:val="20"/>
                <w:szCs w:val="20"/>
              </w:rPr>
            </w:pPr>
            <w:r w:rsidRPr="004C5DCE">
              <w:rPr>
                <w:noProof/>
                <w:sz w:val="20"/>
                <w:szCs w:val="20"/>
              </w:rPr>
              <w:t>0.0</w:t>
            </w:r>
          </w:p>
        </w:tc>
        <w:tc>
          <w:tcPr>
            <w:tcW w:w="797" w:type="pct"/>
            <w:shd w:val="clear" w:color="000000" w:fill="FFFFFF"/>
            <w:noWrap/>
            <w:hideMark/>
          </w:tcPr>
          <w:p w14:paraId="65D1F838" w14:textId="77777777" w:rsidR="004C5DCE" w:rsidRPr="004C5DCE" w:rsidRDefault="004C5DCE" w:rsidP="004C5DCE">
            <w:pPr>
              <w:jc w:val="right"/>
              <w:rPr>
                <w:noProof/>
                <w:sz w:val="20"/>
                <w:szCs w:val="20"/>
              </w:rPr>
            </w:pPr>
            <w:r w:rsidRPr="004C5DCE">
              <w:rPr>
                <w:noProof/>
                <w:sz w:val="20"/>
                <w:szCs w:val="20"/>
              </w:rPr>
              <w:t>0.0</w:t>
            </w:r>
          </w:p>
        </w:tc>
        <w:tc>
          <w:tcPr>
            <w:tcW w:w="797" w:type="pct"/>
            <w:shd w:val="clear" w:color="000000" w:fill="FFFFFF"/>
            <w:noWrap/>
            <w:hideMark/>
          </w:tcPr>
          <w:p w14:paraId="432C5E0D" w14:textId="77777777" w:rsidR="004C5DCE" w:rsidRPr="004C5DCE" w:rsidRDefault="004C5DCE" w:rsidP="004C5DCE">
            <w:pPr>
              <w:jc w:val="right"/>
              <w:rPr>
                <w:noProof/>
                <w:sz w:val="20"/>
                <w:szCs w:val="20"/>
              </w:rPr>
            </w:pPr>
            <w:r w:rsidRPr="004C5DCE">
              <w:rPr>
                <w:noProof/>
                <w:sz w:val="20"/>
                <w:szCs w:val="20"/>
              </w:rPr>
              <w:t>0.0</w:t>
            </w:r>
          </w:p>
        </w:tc>
        <w:tc>
          <w:tcPr>
            <w:tcW w:w="798" w:type="pct"/>
            <w:shd w:val="clear" w:color="000000" w:fill="FFFFFF"/>
            <w:noWrap/>
            <w:hideMark/>
          </w:tcPr>
          <w:p w14:paraId="1820ED2B" w14:textId="77777777" w:rsidR="004C5DCE" w:rsidRPr="004C5DCE" w:rsidRDefault="004C5DCE" w:rsidP="004C5DCE">
            <w:pPr>
              <w:jc w:val="right"/>
              <w:rPr>
                <w:noProof/>
                <w:sz w:val="20"/>
                <w:szCs w:val="20"/>
              </w:rPr>
            </w:pPr>
            <w:r w:rsidRPr="004C5DCE">
              <w:rPr>
                <w:noProof/>
                <w:sz w:val="20"/>
                <w:szCs w:val="20"/>
              </w:rPr>
              <w:t>0.0</w:t>
            </w:r>
          </w:p>
        </w:tc>
      </w:tr>
      <w:tr w:rsidR="00475110" w:rsidRPr="00426B30" w14:paraId="3B15E0D5" w14:textId="77777777" w:rsidTr="00BA4C08">
        <w:trPr>
          <w:trHeight w:val="225"/>
        </w:trPr>
        <w:tc>
          <w:tcPr>
            <w:tcW w:w="1843" w:type="pct"/>
            <w:shd w:val="clear" w:color="000000" w:fill="FFFFFF"/>
            <w:noWrap/>
            <w:hideMark/>
          </w:tcPr>
          <w:p w14:paraId="606987CF" w14:textId="77777777" w:rsidR="004C5DCE" w:rsidRPr="00426B30" w:rsidRDefault="004C5DCE" w:rsidP="004C5DCE">
            <w:pPr>
              <w:rPr>
                <w:noProof/>
                <w:sz w:val="20"/>
                <w:szCs w:val="20"/>
              </w:rPr>
            </w:pPr>
            <w:r w:rsidRPr="00426B30">
              <w:rPr>
                <w:noProof/>
                <w:sz w:val="20"/>
                <w:szCs w:val="20"/>
              </w:rPr>
              <w:t xml:space="preserve"> Hungary </w:t>
            </w:r>
          </w:p>
        </w:tc>
        <w:tc>
          <w:tcPr>
            <w:tcW w:w="765" w:type="pct"/>
            <w:shd w:val="clear" w:color="000000" w:fill="FFFFFF"/>
            <w:noWrap/>
            <w:hideMark/>
          </w:tcPr>
          <w:p w14:paraId="4B8BE9D0" w14:textId="5D16A152" w:rsidR="004C5DCE" w:rsidRPr="004C5DCE" w:rsidRDefault="004C5DCE" w:rsidP="004C5DCE">
            <w:pPr>
              <w:jc w:val="right"/>
              <w:rPr>
                <w:noProof/>
                <w:sz w:val="20"/>
                <w:szCs w:val="20"/>
              </w:rPr>
            </w:pPr>
            <w:r w:rsidRPr="004C5DCE">
              <w:rPr>
                <w:noProof/>
                <w:sz w:val="20"/>
                <w:szCs w:val="20"/>
              </w:rPr>
              <w:t>102.8</w:t>
            </w:r>
          </w:p>
        </w:tc>
        <w:tc>
          <w:tcPr>
            <w:tcW w:w="797" w:type="pct"/>
            <w:shd w:val="clear" w:color="000000" w:fill="FFFFFF"/>
            <w:noWrap/>
            <w:hideMark/>
          </w:tcPr>
          <w:p w14:paraId="5195B3B1" w14:textId="4837A3A0" w:rsidR="004C5DCE" w:rsidRPr="004C5DCE" w:rsidRDefault="004C5DCE" w:rsidP="004C5DCE">
            <w:pPr>
              <w:jc w:val="right"/>
              <w:rPr>
                <w:noProof/>
                <w:sz w:val="20"/>
                <w:szCs w:val="20"/>
              </w:rPr>
            </w:pPr>
            <w:r w:rsidRPr="004C5DCE">
              <w:rPr>
                <w:noProof/>
                <w:sz w:val="20"/>
                <w:szCs w:val="20"/>
              </w:rPr>
              <w:t>15.6</w:t>
            </w:r>
          </w:p>
        </w:tc>
        <w:tc>
          <w:tcPr>
            <w:tcW w:w="797" w:type="pct"/>
            <w:shd w:val="clear" w:color="000000" w:fill="FFFFFF"/>
            <w:noWrap/>
            <w:hideMark/>
          </w:tcPr>
          <w:p w14:paraId="771B730D" w14:textId="198D0CFD" w:rsidR="004C5DCE" w:rsidRPr="004C5DCE" w:rsidRDefault="004C5DCE" w:rsidP="004C5DCE">
            <w:pPr>
              <w:jc w:val="right"/>
              <w:rPr>
                <w:noProof/>
                <w:sz w:val="20"/>
                <w:szCs w:val="20"/>
              </w:rPr>
            </w:pPr>
            <w:r w:rsidRPr="004C5DCE">
              <w:rPr>
                <w:noProof/>
                <w:sz w:val="20"/>
                <w:szCs w:val="20"/>
              </w:rPr>
              <w:t>26.3</w:t>
            </w:r>
          </w:p>
        </w:tc>
        <w:tc>
          <w:tcPr>
            <w:tcW w:w="798" w:type="pct"/>
            <w:shd w:val="clear" w:color="000000" w:fill="FFFFFF"/>
            <w:noWrap/>
            <w:hideMark/>
          </w:tcPr>
          <w:p w14:paraId="7319AD2F" w14:textId="533813E9" w:rsidR="004C5DCE" w:rsidRPr="004C5DCE" w:rsidRDefault="004C5DCE" w:rsidP="004C5DCE">
            <w:pPr>
              <w:jc w:val="right"/>
              <w:rPr>
                <w:noProof/>
                <w:sz w:val="20"/>
                <w:szCs w:val="20"/>
              </w:rPr>
            </w:pPr>
            <w:r w:rsidRPr="004C5DCE">
              <w:rPr>
                <w:noProof/>
                <w:sz w:val="20"/>
                <w:szCs w:val="20"/>
              </w:rPr>
              <w:t>18.0</w:t>
            </w:r>
          </w:p>
        </w:tc>
      </w:tr>
      <w:tr w:rsidR="00475110" w:rsidRPr="00426B30" w14:paraId="11FEBEFC" w14:textId="77777777" w:rsidTr="00BA4C08">
        <w:trPr>
          <w:trHeight w:val="225"/>
        </w:trPr>
        <w:tc>
          <w:tcPr>
            <w:tcW w:w="1843" w:type="pct"/>
            <w:shd w:val="clear" w:color="000000" w:fill="FFFFFF"/>
            <w:noWrap/>
            <w:hideMark/>
          </w:tcPr>
          <w:p w14:paraId="515F0F7D" w14:textId="77777777" w:rsidR="004C5DCE" w:rsidRPr="00426B30" w:rsidRDefault="004C5DCE" w:rsidP="004C5DCE">
            <w:pPr>
              <w:rPr>
                <w:noProof/>
                <w:sz w:val="20"/>
                <w:szCs w:val="20"/>
              </w:rPr>
            </w:pPr>
            <w:r w:rsidRPr="00426B30">
              <w:rPr>
                <w:noProof/>
                <w:sz w:val="20"/>
                <w:szCs w:val="20"/>
              </w:rPr>
              <w:t xml:space="preserve"> Sweden </w:t>
            </w:r>
          </w:p>
        </w:tc>
        <w:tc>
          <w:tcPr>
            <w:tcW w:w="765" w:type="pct"/>
            <w:shd w:val="clear" w:color="000000" w:fill="FFFFFF"/>
            <w:noWrap/>
            <w:hideMark/>
          </w:tcPr>
          <w:p w14:paraId="46E20C85" w14:textId="2960AEDB" w:rsidR="004C5DCE" w:rsidRPr="004C5DCE" w:rsidRDefault="004C5DCE" w:rsidP="004C5DCE">
            <w:pPr>
              <w:jc w:val="right"/>
              <w:rPr>
                <w:noProof/>
                <w:sz w:val="20"/>
                <w:szCs w:val="20"/>
              </w:rPr>
            </w:pPr>
            <w:r w:rsidRPr="004C5DCE">
              <w:rPr>
                <w:noProof/>
                <w:sz w:val="20"/>
                <w:szCs w:val="20"/>
              </w:rPr>
              <w:t>68.5</w:t>
            </w:r>
          </w:p>
        </w:tc>
        <w:tc>
          <w:tcPr>
            <w:tcW w:w="797" w:type="pct"/>
            <w:shd w:val="clear" w:color="000000" w:fill="FFFFFF"/>
            <w:noWrap/>
            <w:hideMark/>
          </w:tcPr>
          <w:p w14:paraId="6907298C" w14:textId="7D20DFE5" w:rsidR="004C5DCE" w:rsidRPr="004C5DCE" w:rsidRDefault="004C5DCE" w:rsidP="004C5DCE">
            <w:pPr>
              <w:jc w:val="right"/>
              <w:rPr>
                <w:noProof/>
                <w:sz w:val="20"/>
                <w:szCs w:val="20"/>
              </w:rPr>
            </w:pPr>
            <w:r w:rsidRPr="004C5DCE">
              <w:rPr>
                <w:noProof/>
                <w:sz w:val="20"/>
                <w:szCs w:val="20"/>
              </w:rPr>
              <w:t>10.4</w:t>
            </w:r>
          </w:p>
        </w:tc>
        <w:tc>
          <w:tcPr>
            <w:tcW w:w="797" w:type="pct"/>
            <w:shd w:val="clear" w:color="000000" w:fill="FFFFFF"/>
            <w:noWrap/>
            <w:hideMark/>
          </w:tcPr>
          <w:p w14:paraId="52D1DAE4" w14:textId="713A5A4F" w:rsidR="004C5DCE" w:rsidRPr="004C5DCE" w:rsidRDefault="004C5DCE" w:rsidP="004C5DCE">
            <w:pPr>
              <w:jc w:val="right"/>
              <w:rPr>
                <w:noProof/>
                <w:sz w:val="20"/>
                <w:szCs w:val="20"/>
              </w:rPr>
            </w:pPr>
            <w:r w:rsidRPr="004C5DCE">
              <w:rPr>
                <w:noProof/>
                <w:sz w:val="20"/>
                <w:szCs w:val="20"/>
              </w:rPr>
              <w:t>17.5</w:t>
            </w:r>
          </w:p>
        </w:tc>
        <w:tc>
          <w:tcPr>
            <w:tcW w:w="798" w:type="pct"/>
            <w:shd w:val="clear" w:color="000000" w:fill="FFFFFF"/>
            <w:noWrap/>
            <w:hideMark/>
          </w:tcPr>
          <w:p w14:paraId="57C74068" w14:textId="66A78E4B" w:rsidR="004C5DCE" w:rsidRPr="004C5DCE" w:rsidRDefault="004C5DCE" w:rsidP="004C5DCE">
            <w:pPr>
              <w:jc w:val="right"/>
              <w:rPr>
                <w:noProof/>
                <w:sz w:val="20"/>
                <w:szCs w:val="20"/>
              </w:rPr>
            </w:pPr>
            <w:r w:rsidRPr="004C5DCE">
              <w:rPr>
                <w:noProof/>
                <w:sz w:val="20"/>
                <w:szCs w:val="20"/>
              </w:rPr>
              <w:t>12.0</w:t>
            </w:r>
          </w:p>
        </w:tc>
      </w:tr>
      <w:tr w:rsidR="00475110" w:rsidRPr="00426B30" w14:paraId="527B5432" w14:textId="77777777" w:rsidTr="00BA4C08">
        <w:trPr>
          <w:trHeight w:val="225"/>
        </w:trPr>
        <w:tc>
          <w:tcPr>
            <w:tcW w:w="1843" w:type="pct"/>
            <w:shd w:val="clear" w:color="000000" w:fill="FFFFFF"/>
            <w:noWrap/>
            <w:hideMark/>
          </w:tcPr>
          <w:p w14:paraId="74F17DEB" w14:textId="37EBA264" w:rsidR="004C5DCE" w:rsidRPr="00426B30" w:rsidRDefault="004C5DCE" w:rsidP="004C5DCE">
            <w:pPr>
              <w:rPr>
                <w:noProof/>
                <w:sz w:val="20"/>
                <w:szCs w:val="20"/>
              </w:rPr>
            </w:pPr>
            <w:r w:rsidRPr="00426B30">
              <w:rPr>
                <w:noProof/>
                <w:sz w:val="20"/>
                <w:szCs w:val="20"/>
              </w:rPr>
              <w:t xml:space="preserve"> </w:t>
            </w:r>
            <w:r w:rsidRPr="00020B16">
              <w:rPr>
                <w:noProof/>
                <w:sz w:val="20"/>
                <w:szCs w:val="20"/>
              </w:rPr>
              <w:t>Czechia</w:t>
            </w:r>
          </w:p>
        </w:tc>
        <w:tc>
          <w:tcPr>
            <w:tcW w:w="765" w:type="pct"/>
            <w:shd w:val="clear" w:color="000000" w:fill="FFFFFF"/>
            <w:noWrap/>
            <w:hideMark/>
          </w:tcPr>
          <w:p w14:paraId="6F789F4C" w14:textId="450ACE5A" w:rsidR="004C5DCE" w:rsidRPr="004C5DCE" w:rsidRDefault="004C5DCE" w:rsidP="004C5DCE">
            <w:pPr>
              <w:jc w:val="right"/>
              <w:rPr>
                <w:noProof/>
                <w:sz w:val="20"/>
                <w:szCs w:val="20"/>
              </w:rPr>
            </w:pPr>
            <w:r w:rsidRPr="004C5DCE">
              <w:rPr>
                <w:noProof/>
                <w:sz w:val="20"/>
                <w:szCs w:val="20"/>
              </w:rPr>
              <w:t>102.8</w:t>
            </w:r>
          </w:p>
        </w:tc>
        <w:tc>
          <w:tcPr>
            <w:tcW w:w="797" w:type="pct"/>
            <w:shd w:val="clear" w:color="000000" w:fill="FFFFFF"/>
            <w:noWrap/>
            <w:hideMark/>
          </w:tcPr>
          <w:p w14:paraId="01841B6D" w14:textId="4A9B3D3E" w:rsidR="004C5DCE" w:rsidRPr="004C5DCE" w:rsidRDefault="004C5DCE" w:rsidP="004C5DCE">
            <w:pPr>
              <w:jc w:val="right"/>
              <w:rPr>
                <w:noProof/>
                <w:sz w:val="20"/>
                <w:szCs w:val="20"/>
              </w:rPr>
            </w:pPr>
            <w:r w:rsidRPr="004C5DCE">
              <w:rPr>
                <w:noProof/>
                <w:sz w:val="20"/>
                <w:szCs w:val="20"/>
              </w:rPr>
              <w:t>15.6</w:t>
            </w:r>
          </w:p>
        </w:tc>
        <w:tc>
          <w:tcPr>
            <w:tcW w:w="797" w:type="pct"/>
            <w:shd w:val="clear" w:color="000000" w:fill="FFFFFF"/>
            <w:noWrap/>
            <w:hideMark/>
          </w:tcPr>
          <w:p w14:paraId="441CDEF8" w14:textId="4089589A" w:rsidR="004C5DCE" w:rsidRPr="004C5DCE" w:rsidRDefault="004C5DCE" w:rsidP="004C5DCE">
            <w:pPr>
              <w:jc w:val="right"/>
              <w:rPr>
                <w:noProof/>
                <w:sz w:val="20"/>
                <w:szCs w:val="20"/>
              </w:rPr>
            </w:pPr>
            <w:r w:rsidRPr="004C5DCE">
              <w:rPr>
                <w:noProof/>
                <w:sz w:val="20"/>
                <w:szCs w:val="20"/>
              </w:rPr>
              <w:t>26.3</w:t>
            </w:r>
          </w:p>
        </w:tc>
        <w:tc>
          <w:tcPr>
            <w:tcW w:w="798" w:type="pct"/>
            <w:shd w:val="clear" w:color="000000" w:fill="FFFFFF"/>
            <w:noWrap/>
            <w:hideMark/>
          </w:tcPr>
          <w:p w14:paraId="22A296AE" w14:textId="7018E70E" w:rsidR="004C5DCE" w:rsidRPr="004C5DCE" w:rsidRDefault="004C5DCE" w:rsidP="004C5DCE">
            <w:pPr>
              <w:jc w:val="right"/>
              <w:rPr>
                <w:noProof/>
                <w:sz w:val="20"/>
                <w:szCs w:val="20"/>
              </w:rPr>
            </w:pPr>
            <w:r w:rsidRPr="004C5DCE">
              <w:rPr>
                <w:noProof/>
                <w:sz w:val="20"/>
                <w:szCs w:val="20"/>
              </w:rPr>
              <w:t>18.0</w:t>
            </w:r>
          </w:p>
        </w:tc>
      </w:tr>
      <w:tr w:rsidR="00475110" w:rsidRPr="00426B30" w14:paraId="4529874C" w14:textId="77777777" w:rsidTr="00BA4C08">
        <w:trPr>
          <w:trHeight w:val="225"/>
        </w:trPr>
        <w:tc>
          <w:tcPr>
            <w:tcW w:w="1843" w:type="pct"/>
            <w:shd w:val="clear" w:color="000000" w:fill="FFFFFF"/>
            <w:noWrap/>
            <w:hideMark/>
          </w:tcPr>
          <w:p w14:paraId="6059EAD6" w14:textId="77777777" w:rsidR="004C5DCE" w:rsidRPr="00426B30" w:rsidRDefault="004C5DCE" w:rsidP="004C5DCE">
            <w:pPr>
              <w:rPr>
                <w:noProof/>
                <w:sz w:val="20"/>
                <w:szCs w:val="20"/>
              </w:rPr>
            </w:pPr>
            <w:r w:rsidRPr="00426B30">
              <w:rPr>
                <w:noProof/>
                <w:sz w:val="20"/>
                <w:szCs w:val="20"/>
              </w:rPr>
              <w:t xml:space="preserve"> Ireland </w:t>
            </w:r>
          </w:p>
        </w:tc>
        <w:tc>
          <w:tcPr>
            <w:tcW w:w="765" w:type="pct"/>
            <w:shd w:val="clear" w:color="000000" w:fill="FFFFFF"/>
            <w:noWrap/>
            <w:hideMark/>
          </w:tcPr>
          <w:p w14:paraId="74930A6D" w14:textId="0664FF7F" w:rsidR="004C5DCE" w:rsidRPr="004C5DCE" w:rsidRDefault="004C5DCE" w:rsidP="004C5DCE">
            <w:pPr>
              <w:jc w:val="right"/>
              <w:rPr>
                <w:noProof/>
                <w:sz w:val="20"/>
                <w:szCs w:val="20"/>
              </w:rPr>
            </w:pPr>
            <w:r w:rsidRPr="004C5DCE">
              <w:rPr>
                <w:noProof/>
                <w:sz w:val="20"/>
                <w:szCs w:val="20"/>
              </w:rPr>
              <w:t>68.5</w:t>
            </w:r>
          </w:p>
        </w:tc>
        <w:tc>
          <w:tcPr>
            <w:tcW w:w="797" w:type="pct"/>
            <w:shd w:val="clear" w:color="000000" w:fill="FFFFFF"/>
            <w:noWrap/>
            <w:hideMark/>
          </w:tcPr>
          <w:p w14:paraId="4803ED03" w14:textId="6BAA64E7" w:rsidR="004C5DCE" w:rsidRPr="004C5DCE" w:rsidRDefault="004C5DCE" w:rsidP="004C5DCE">
            <w:pPr>
              <w:jc w:val="right"/>
              <w:rPr>
                <w:noProof/>
                <w:sz w:val="20"/>
                <w:szCs w:val="20"/>
              </w:rPr>
            </w:pPr>
            <w:r w:rsidRPr="004C5DCE">
              <w:rPr>
                <w:noProof/>
                <w:sz w:val="20"/>
                <w:szCs w:val="20"/>
              </w:rPr>
              <w:t>10.4</w:t>
            </w:r>
          </w:p>
        </w:tc>
        <w:tc>
          <w:tcPr>
            <w:tcW w:w="797" w:type="pct"/>
            <w:shd w:val="clear" w:color="000000" w:fill="FFFFFF"/>
            <w:noWrap/>
            <w:hideMark/>
          </w:tcPr>
          <w:p w14:paraId="59A857D7" w14:textId="02EDF3D9" w:rsidR="004C5DCE" w:rsidRPr="004C5DCE" w:rsidRDefault="004C5DCE" w:rsidP="004C5DCE">
            <w:pPr>
              <w:jc w:val="right"/>
              <w:rPr>
                <w:noProof/>
                <w:sz w:val="20"/>
                <w:szCs w:val="20"/>
              </w:rPr>
            </w:pPr>
            <w:r w:rsidRPr="004C5DCE">
              <w:rPr>
                <w:noProof/>
                <w:sz w:val="20"/>
                <w:szCs w:val="20"/>
              </w:rPr>
              <w:t>17.5</w:t>
            </w:r>
          </w:p>
        </w:tc>
        <w:tc>
          <w:tcPr>
            <w:tcW w:w="798" w:type="pct"/>
            <w:shd w:val="clear" w:color="000000" w:fill="FFFFFF"/>
            <w:noWrap/>
            <w:hideMark/>
          </w:tcPr>
          <w:p w14:paraId="2A3EC573" w14:textId="7DB07E1B" w:rsidR="004C5DCE" w:rsidRPr="004C5DCE" w:rsidRDefault="004C5DCE" w:rsidP="004C5DCE">
            <w:pPr>
              <w:jc w:val="right"/>
              <w:rPr>
                <w:noProof/>
                <w:sz w:val="20"/>
                <w:szCs w:val="20"/>
              </w:rPr>
            </w:pPr>
            <w:r w:rsidRPr="004C5DCE">
              <w:rPr>
                <w:noProof/>
                <w:sz w:val="20"/>
                <w:szCs w:val="20"/>
              </w:rPr>
              <w:t>12.0</w:t>
            </w:r>
          </w:p>
        </w:tc>
      </w:tr>
      <w:tr w:rsidR="00475110" w:rsidRPr="00426B30" w14:paraId="4478ED1D" w14:textId="77777777" w:rsidTr="00BA4C08">
        <w:trPr>
          <w:trHeight w:val="225"/>
        </w:trPr>
        <w:tc>
          <w:tcPr>
            <w:tcW w:w="1843" w:type="pct"/>
            <w:shd w:val="clear" w:color="000000" w:fill="FFFFFF"/>
            <w:noWrap/>
            <w:hideMark/>
          </w:tcPr>
          <w:p w14:paraId="65384320" w14:textId="77777777" w:rsidR="004C5DCE" w:rsidRPr="00426B30" w:rsidRDefault="004C5DCE" w:rsidP="004C5DCE">
            <w:pPr>
              <w:rPr>
                <w:noProof/>
                <w:sz w:val="20"/>
                <w:szCs w:val="20"/>
              </w:rPr>
            </w:pPr>
            <w:r w:rsidRPr="00426B30">
              <w:rPr>
                <w:noProof/>
                <w:sz w:val="20"/>
                <w:szCs w:val="20"/>
              </w:rPr>
              <w:t xml:space="preserve"> Slovenia </w:t>
            </w:r>
          </w:p>
        </w:tc>
        <w:tc>
          <w:tcPr>
            <w:tcW w:w="765" w:type="pct"/>
            <w:shd w:val="clear" w:color="000000" w:fill="FFFFFF"/>
            <w:noWrap/>
            <w:hideMark/>
          </w:tcPr>
          <w:p w14:paraId="3A741EA2" w14:textId="77777777" w:rsidR="004C5DCE" w:rsidRPr="004C5DCE" w:rsidRDefault="004C5DCE" w:rsidP="004C5DCE">
            <w:pPr>
              <w:jc w:val="right"/>
              <w:rPr>
                <w:noProof/>
                <w:sz w:val="20"/>
                <w:szCs w:val="20"/>
              </w:rPr>
            </w:pPr>
            <w:r w:rsidRPr="004C5DCE">
              <w:rPr>
                <w:noProof/>
                <w:sz w:val="20"/>
                <w:szCs w:val="20"/>
              </w:rPr>
              <w:t>0.0</w:t>
            </w:r>
          </w:p>
        </w:tc>
        <w:tc>
          <w:tcPr>
            <w:tcW w:w="797" w:type="pct"/>
            <w:shd w:val="clear" w:color="000000" w:fill="FFFFFF"/>
            <w:noWrap/>
            <w:hideMark/>
          </w:tcPr>
          <w:p w14:paraId="13C7F7EF" w14:textId="77777777" w:rsidR="004C5DCE" w:rsidRPr="004C5DCE" w:rsidRDefault="004C5DCE" w:rsidP="004C5DCE">
            <w:pPr>
              <w:jc w:val="right"/>
              <w:rPr>
                <w:noProof/>
                <w:sz w:val="20"/>
                <w:szCs w:val="20"/>
              </w:rPr>
            </w:pPr>
            <w:r w:rsidRPr="004C5DCE">
              <w:rPr>
                <w:noProof/>
                <w:sz w:val="20"/>
                <w:szCs w:val="20"/>
              </w:rPr>
              <w:t>0.0</w:t>
            </w:r>
          </w:p>
        </w:tc>
        <w:tc>
          <w:tcPr>
            <w:tcW w:w="797" w:type="pct"/>
            <w:shd w:val="clear" w:color="000000" w:fill="FFFFFF"/>
            <w:noWrap/>
            <w:hideMark/>
          </w:tcPr>
          <w:p w14:paraId="797F3F72" w14:textId="77777777" w:rsidR="004C5DCE" w:rsidRPr="004C5DCE" w:rsidRDefault="004C5DCE" w:rsidP="004C5DCE">
            <w:pPr>
              <w:jc w:val="right"/>
              <w:rPr>
                <w:noProof/>
                <w:sz w:val="20"/>
                <w:szCs w:val="20"/>
              </w:rPr>
            </w:pPr>
            <w:r w:rsidRPr="004C5DCE">
              <w:rPr>
                <w:noProof/>
                <w:sz w:val="20"/>
                <w:szCs w:val="20"/>
              </w:rPr>
              <w:t>0.0</w:t>
            </w:r>
          </w:p>
        </w:tc>
        <w:tc>
          <w:tcPr>
            <w:tcW w:w="798" w:type="pct"/>
            <w:shd w:val="clear" w:color="000000" w:fill="FFFFFF"/>
            <w:noWrap/>
            <w:hideMark/>
          </w:tcPr>
          <w:p w14:paraId="21B1FE63" w14:textId="77777777" w:rsidR="004C5DCE" w:rsidRPr="004C5DCE" w:rsidRDefault="004C5DCE" w:rsidP="004C5DCE">
            <w:pPr>
              <w:jc w:val="right"/>
              <w:rPr>
                <w:noProof/>
                <w:sz w:val="20"/>
                <w:szCs w:val="20"/>
              </w:rPr>
            </w:pPr>
            <w:r w:rsidRPr="004C5DCE">
              <w:rPr>
                <w:noProof/>
                <w:sz w:val="20"/>
                <w:szCs w:val="20"/>
              </w:rPr>
              <w:t>0.0</w:t>
            </w:r>
          </w:p>
        </w:tc>
      </w:tr>
      <w:tr w:rsidR="00475110" w:rsidRPr="00426B30" w14:paraId="3D45A7A6" w14:textId="77777777" w:rsidTr="00BA4C08">
        <w:trPr>
          <w:trHeight w:val="225"/>
        </w:trPr>
        <w:tc>
          <w:tcPr>
            <w:tcW w:w="1843" w:type="pct"/>
            <w:shd w:val="clear" w:color="000000" w:fill="FFFFFF"/>
            <w:noWrap/>
            <w:hideMark/>
          </w:tcPr>
          <w:p w14:paraId="6E2D4082" w14:textId="77777777" w:rsidR="004C5DCE" w:rsidRPr="00426B30" w:rsidRDefault="004C5DCE" w:rsidP="004C5DCE">
            <w:pPr>
              <w:rPr>
                <w:noProof/>
                <w:sz w:val="20"/>
                <w:szCs w:val="20"/>
              </w:rPr>
            </w:pPr>
            <w:r w:rsidRPr="00426B30">
              <w:rPr>
                <w:noProof/>
                <w:sz w:val="20"/>
                <w:szCs w:val="20"/>
              </w:rPr>
              <w:t xml:space="preserve"> Latvia </w:t>
            </w:r>
          </w:p>
        </w:tc>
        <w:tc>
          <w:tcPr>
            <w:tcW w:w="765" w:type="pct"/>
            <w:shd w:val="clear" w:color="000000" w:fill="FFFFFF"/>
            <w:noWrap/>
            <w:hideMark/>
          </w:tcPr>
          <w:p w14:paraId="5910A64C" w14:textId="77777777" w:rsidR="004C5DCE" w:rsidRPr="004C5DCE" w:rsidRDefault="004C5DCE" w:rsidP="004C5DCE">
            <w:pPr>
              <w:jc w:val="right"/>
              <w:rPr>
                <w:noProof/>
                <w:sz w:val="20"/>
                <w:szCs w:val="20"/>
              </w:rPr>
            </w:pPr>
            <w:r w:rsidRPr="004C5DCE">
              <w:rPr>
                <w:noProof/>
                <w:sz w:val="20"/>
                <w:szCs w:val="20"/>
              </w:rPr>
              <w:t>0.0</w:t>
            </w:r>
          </w:p>
        </w:tc>
        <w:tc>
          <w:tcPr>
            <w:tcW w:w="797" w:type="pct"/>
            <w:shd w:val="clear" w:color="000000" w:fill="FFFFFF"/>
            <w:noWrap/>
            <w:hideMark/>
          </w:tcPr>
          <w:p w14:paraId="6EC8A12D" w14:textId="77777777" w:rsidR="004C5DCE" w:rsidRPr="004C5DCE" w:rsidRDefault="004C5DCE" w:rsidP="004C5DCE">
            <w:pPr>
              <w:jc w:val="right"/>
              <w:rPr>
                <w:noProof/>
                <w:sz w:val="20"/>
                <w:szCs w:val="20"/>
              </w:rPr>
            </w:pPr>
            <w:r w:rsidRPr="004C5DCE">
              <w:rPr>
                <w:noProof/>
                <w:sz w:val="20"/>
                <w:szCs w:val="20"/>
              </w:rPr>
              <w:t>0.0</w:t>
            </w:r>
          </w:p>
        </w:tc>
        <w:tc>
          <w:tcPr>
            <w:tcW w:w="797" w:type="pct"/>
            <w:shd w:val="clear" w:color="000000" w:fill="FFFFFF"/>
            <w:noWrap/>
            <w:hideMark/>
          </w:tcPr>
          <w:p w14:paraId="21DC26F2" w14:textId="77777777" w:rsidR="004C5DCE" w:rsidRPr="004C5DCE" w:rsidRDefault="004C5DCE" w:rsidP="004C5DCE">
            <w:pPr>
              <w:jc w:val="right"/>
              <w:rPr>
                <w:noProof/>
                <w:sz w:val="20"/>
                <w:szCs w:val="20"/>
              </w:rPr>
            </w:pPr>
            <w:r w:rsidRPr="004C5DCE">
              <w:rPr>
                <w:noProof/>
                <w:sz w:val="20"/>
                <w:szCs w:val="20"/>
              </w:rPr>
              <w:t>0.0</w:t>
            </w:r>
          </w:p>
        </w:tc>
        <w:tc>
          <w:tcPr>
            <w:tcW w:w="798" w:type="pct"/>
            <w:shd w:val="clear" w:color="000000" w:fill="FFFFFF"/>
            <w:noWrap/>
            <w:hideMark/>
          </w:tcPr>
          <w:p w14:paraId="15CEE576" w14:textId="77777777" w:rsidR="004C5DCE" w:rsidRPr="004C5DCE" w:rsidRDefault="004C5DCE" w:rsidP="004C5DCE">
            <w:pPr>
              <w:jc w:val="right"/>
              <w:rPr>
                <w:noProof/>
                <w:sz w:val="20"/>
                <w:szCs w:val="20"/>
              </w:rPr>
            </w:pPr>
            <w:r w:rsidRPr="004C5DCE">
              <w:rPr>
                <w:noProof/>
                <w:sz w:val="20"/>
                <w:szCs w:val="20"/>
              </w:rPr>
              <w:t>0.0</w:t>
            </w:r>
          </w:p>
        </w:tc>
      </w:tr>
      <w:tr w:rsidR="00475110" w:rsidRPr="00426B30" w14:paraId="270B1584" w14:textId="77777777" w:rsidTr="00BA4C08">
        <w:trPr>
          <w:trHeight w:val="225"/>
        </w:trPr>
        <w:tc>
          <w:tcPr>
            <w:tcW w:w="1843" w:type="pct"/>
            <w:shd w:val="clear" w:color="000000" w:fill="FFFFFF"/>
            <w:noWrap/>
            <w:hideMark/>
          </w:tcPr>
          <w:p w14:paraId="343D6598" w14:textId="77777777" w:rsidR="004C5DCE" w:rsidRPr="00426B30" w:rsidRDefault="004C5DCE" w:rsidP="004C5DCE">
            <w:pPr>
              <w:rPr>
                <w:noProof/>
                <w:sz w:val="20"/>
                <w:szCs w:val="20"/>
              </w:rPr>
            </w:pPr>
            <w:r w:rsidRPr="00426B30">
              <w:rPr>
                <w:noProof/>
                <w:sz w:val="20"/>
                <w:szCs w:val="20"/>
              </w:rPr>
              <w:t xml:space="preserve"> Romania </w:t>
            </w:r>
          </w:p>
        </w:tc>
        <w:tc>
          <w:tcPr>
            <w:tcW w:w="765" w:type="pct"/>
            <w:shd w:val="clear" w:color="000000" w:fill="FFFFFF"/>
            <w:noWrap/>
            <w:hideMark/>
          </w:tcPr>
          <w:p w14:paraId="326F4D57" w14:textId="77777777" w:rsidR="004C5DCE" w:rsidRPr="004C5DCE" w:rsidRDefault="004C5DCE" w:rsidP="004C5DCE">
            <w:pPr>
              <w:jc w:val="right"/>
              <w:rPr>
                <w:noProof/>
                <w:sz w:val="20"/>
                <w:szCs w:val="20"/>
              </w:rPr>
            </w:pPr>
            <w:r w:rsidRPr="004C5DCE">
              <w:rPr>
                <w:noProof/>
                <w:sz w:val="20"/>
                <w:szCs w:val="20"/>
              </w:rPr>
              <w:t>0.0</w:t>
            </w:r>
          </w:p>
        </w:tc>
        <w:tc>
          <w:tcPr>
            <w:tcW w:w="797" w:type="pct"/>
            <w:shd w:val="clear" w:color="000000" w:fill="FFFFFF"/>
            <w:noWrap/>
            <w:hideMark/>
          </w:tcPr>
          <w:p w14:paraId="72F6C344" w14:textId="77777777" w:rsidR="004C5DCE" w:rsidRPr="004C5DCE" w:rsidRDefault="004C5DCE" w:rsidP="004C5DCE">
            <w:pPr>
              <w:jc w:val="right"/>
              <w:rPr>
                <w:noProof/>
                <w:sz w:val="20"/>
                <w:szCs w:val="20"/>
              </w:rPr>
            </w:pPr>
            <w:r w:rsidRPr="004C5DCE">
              <w:rPr>
                <w:noProof/>
                <w:sz w:val="20"/>
                <w:szCs w:val="20"/>
              </w:rPr>
              <w:t>0.0</w:t>
            </w:r>
          </w:p>
        </w:tc>
        <w:tc>
          <w:tcPr>
            <w:tcW w:w="797" w:type="pct"/>
            <w:shd w:val="clear" w:color="000000" w:fill="FFFFFF"/>
            <w:noWrap/>
            <w:hideMark/>
          </w:tcPr>
          <w:p w14:paraId="7FADFE89" w14:textId="77777777" w:rsidR="004C5DCE" w:rsidRPr="004C5DCE" w:rsidRDefault="004C5DCE" w:rsidP="004C5DCE">
            <w:pPr>
              <w:jc w:val="right"/>
              <w:rPr>
                <w:noProof/>
                <w:sz w:val="20"/>
                <w:szCs w:val="20"/>
              </w:rPr>
            </w:pPr>
            <w:r w:rsidRPr="004C5DCE">
              <w:rPr>
                <w:noProof/>
                <w:sz w:val="20"/>
                <w:szCs w:val="20"/>
              </w:rPr>
              <w:t>0.0</w:t>
            </w:r>
          </w:p>
        </w:tc>
        <w:tc>
          <w:tcPr>
            <w:tcW w:w="798" w:type="pct"/>
            <w:shd w:val="clear" w:color="000000" w:fill="FFFFFF"/>
            <w:noWrap/>
            <w:hideMark/>
          </w:tcPr>
          <w:p w14:paraId="510AD145" w14:textId="77777777" w:rsidR="004C5DCE" w:rsidRPr="004C5DCE" w:rsidRDefault="004C5DCE" w:rsidP="004C5DCE">
            <w:pPr>
              <w:jc w:val="right"/>
              <w:rPr>
                <w:noProof/>
                <w:sz w:val="20"/>
                <w:szCs w:val="20"/>
              </w:rPr>
            </w:pPr>
            <w:r w:rsidRPr="004C5DCE">
              <w:rPr>
                <w:noProof/>
                <w:sz w:val="20"/>
                <w:szCs w:val="20"/>
              </w:rPr>
              <w:t>0.0</w:t>
            </w:r>
          </w:p>
        </w:tc>
      </w:tr>
      <w:tr w:rsidR="00475110" w:rsidRPr="00426B30" w14:paraId="17F5B2CF" w14:textId="77777777" w:rsidTr="00BA4C08">
        <w:trPr>
          <w:trHeight w:val="225"/>
        </w:trPr>
        <w:tc>
          <w:tcPr>
            <w:tcW w:w="1843" w:type="pct"/>
            <w:shd w:val="clear" w:color="000000" w:fill="FFFFFF"/>
            <w:noWrap/>
            <w:hideMark/>
          </w:tcPr>
          <w:p w14:paraId="6F452D6F" w14:textId="77777777" w:rsidR="004C5DCE" w:rsidRPr="00426B30" w:rsidRDefault="004C5DCE" w:rsidP="004C5DCE">
            <w:pPr>
              <w:rPr>
                <w:noProof/>
                <w:sz w:val="20"/>
                <w:szCs w:val="20"/>
              </w:rPr>
            </w:pPr>
            <w:r w:rsidRPr="00426B30">
              <w:rPr>
                <w:noProof/>
                <w:sz w:val="20"/>
                <w:szCs w:val="20"/>
              </w:rPr>
              <w:t xml:space="preserve"> Slovakia </w:t>
            </w:r>
          </w:p>
        </w:tc>
        <w:tc>
          <w:tcPr>
            <w:tcW w:w="765" w:type="pct"/>
            <w:shd w:val="clear" w:color="000000" w:fill="FFFFFF"/>
            <w:noWrap/>
            <w:hideMark/>
          </w:tcPr>
          <w:p w14:paraId="4BECFC47" w14:textId="2050DAFE" w:rsidR="004C5DCE" w:rsidRPr="004C5DCE" w:rsidRDefault="004C5DCE" w:rsidP="004C5DCE">
            <w:pPr>
              <w:jc w:val="right"/>
              <w:rPr>
                <w:noProof/>
                <w:sz w:val="20"/>
                <w:szCs w:val="20"/>
              </w:rPr>
            </w:pPr>
            <w:r w:rsidRPr="004C5DCE">
              <w:rPr>
                <w:noProof/>
                <w:sz w:val="20"/>
                <w:szCs w:val="20"/>
              </w:rPr>
              <w:t>34.3</w:t>
            </w:r>
          </w:p>
        </w:tc>
        <w:tc>
          <w:tcPr>
            <w:tcW w:w="797" w:type="pct"/>
            <w:shd w:val="clear" w:color="000000" w:fill="FFFFFF"/>
            <w:noWrap/>
            <w:hideMark/>
          </w:tcPr>
          <w:p w14:paraId="5D96FA7F" w14:textId="58EDF9B8" w:rsidR="004C5DCE" w:rsidRPr="004C5DCE" w:rsidRDefault="004C5DCE" w:rsidP="004C5DCE">
            <w:pPr>
              <w:jc w:val="right"/>
              <w:rPr>
                <w:noProof/>
                <w:sz w:val="20"/>
                <w:szCs w:val="20"/>
              </w:rPr>
            </w:pPr>
            <w:r w:rsidRPr="004C5DCE">
              <w:rPr>
                <w:noProof/>
                <w:sz w:val="20"/>
                <w:szCs w:val="20"/>
              </w:rPr>
              <w:t>5.2</w:t>
            </w:r>
          </w:p>
        </w:tc>
        <w:tc>
          <w:tcPr>
            <w:tcW w:w="797" w:type="pct"/>
            <w:shd w:val="clear" w:color="000000" w:fill="FFFFFF"/>
            <w:noWrap/>
            <w:hideMark/>
          </w:tcPr>
          <w:p w14:paraId="0414B7A7" w14:textId="3C91F191" w:rsidR="004C5DCE" w:rsidRPr="004C5DCE" w:rsidRDefault="004C5DCE" w:rsidP="004C5DCE">
            <w:pPr>
              <w:jc w:val="right"/>
              <w:rPr>
                <w:noProof/>
                <w:sz w:val="20"/>
                <w:szCs w:val="20"/>
              </w:rPr>
            </w:pPr>
            <w:r w:rsidRPr="004C5DCE">
              <w:rPr>
                <w:noProof/>
                <w:sz w:val="20"/>
                <w:szCs w:val="20"/>
              </w:rPr>
              <w:t>8.8</w:t>
            </w:r>
          </w:p>
        </w:tc>
        <w:tc>
          <w:tcPr>
            <w:tcW w:w="798" w:type="pct"/>
            <w:shd w:val="clear" w:color="000000" w:fill="FFFFFF"/>
            <w:noWrap/>
            <w:hideMark/>
          </w:tcPr>
          <w:p w14:paraId="29D62928" w14:textId="45ED2CD4" w:rsidR="004C5DCE" w:rsidRPr="004C5DCE" w:rsidRDefault="004C5DCE" w:rsidP="004C5DCE">
            <w:pPr>
              <w:jc w:val="right"/>
              <w:rPr>
                <w:noProof/>
                <w:sz w:val="20"/>
                <w:szCs w:val="20"/>
              </w:rPr>
            </w:pPr>
            <w:r w:rsidRPr="004C5DCE">
              <w:rPr>
                <w:noProof/>
                <w:sz w:val="20"/>
                <w:szCs w:val="20"/>
              </w:rPr>
              <w:t>6.0</w:t>
            </w:r>
          </w:p>
        </w:tc>
      </w:tr>
      <w:tr w:rsidR="00475110" w:rsidRPr="00426B30" w14:paraId="66E361A3" w14:textId="77777777" w:rsidTr="00BA4C08">
        <w:trPr>
          <w:trHeight w:val="225"/>
        </w:trPr>
        <w:tc>
          <w:tcPr>
            <w:tcW w:w="1843" w:type="pct"/>
            <w:shd w:val="clear" w:color="000000" w:fill="FFFFFF"/>
            <w:noWrap/>
            <w:hideMark/>
          </w:tcPr>
          <w:p w14:paraId="17BF309D" w14:textId="77777777" w:rsidR="004C5DCE" w:rsidRPr="00426B30" w:rsidRDefault="004C5DCE" w:rsidP="004C5DCE">
            <w:pPr>
              <w:rPr>
                <w:noProof/>
              </w:rPr>
            </w:pPr>
            <w:r w:rsidRPr="00426B30">
              <w:rPr>
                <w:noProof/>
              </w:rPr>
              <w:t xml:space="preserve"> </w:t>
            </w:r>
            <w:r w:rsidRPr="00426B30">
              <w:rPr>
                <w:b/>
                <w:bCs/>
                <w:noProof/>
                <w:sz w:val="20"/>
                <w:szCs w:val="20"/>
              </w:rPr>
              <w:t xml:space="preserve">Total </w:t>
            </w:r>
          </w:p>
        </w:tc>
        <w:tc>
          <w:tcPr>
            <w:tcW w:w="765" w:type="pct"/>
            <w:shd w:val="clear" w:color="000000" w:fill="FFFFFF"/>
            <w:noWrap/>
            <w:hideMark/>
          </w:tcPr>
          <w:p w14:paraId="7AAE0CE0" w14:textId="37CD51CC" w:rsidR="004C5DCE" w:rsidRPr="004C5DCE" w:rsidRDefault="004C5DCE" w:rsidP="004C5DCE">
            <w:pPr>
              <w:jc w:val="right"/>
              <w:rPr>
                <w:b/>
                <w:bCs/>
                <w:noProof/>
                <w:sz w:val="20"/>
                <w:szCs w:val="20"/>
              </w:rPr>
            </w:pPr>
            <w:r w:rsidRPr="004C5DCE">
              <w:rPr>
                <w:b/>
                <w:bCs/>
                <w:noProof/>
                <w:sz w:val="20"/>
                <w:szCs w:val="20"/>
              </w:rPr>
              <w:t>3,425.2</w:t>
            </w:r>
          </w:p>
        </w:tc>
        <w:tc>
          <w:tcPr>
            <w:tcW w:w="797" w:type="pct"/>
            <w:shd w:val="clear" w:color="000000" w:fill="FFFFFF"/>
            <w:noWrap/>
            <w:hideMark/>
          </w:tcPr>
          <w:p w14:paraId="0230F9DF" w14:textId="5AC7D041" w:rsidR="004C5DCE" w:rsidRPr="004C5DCE" w:rsidRDefault="004C5DCE" w:rsidP="004C5DCE">
            <w:pPr>
              <w:jc w:val="right"/>
              <w:rPr>
                <w:b/>
                <w:bCs/>
                <w:noProof/>
                <w:sz w:val="20"/>
                <w:szCs w:val="20"/>
              </w:rPr>
            </w:pPr>
            <w:r w:rsidRPr="004C5DCE">
              <w:rPr>
                <w:b/>
                <w:bCs/>
                <w:noProof/>
                <w:sz w:val="20"/>
                <w:szCs w:val="20"/>
              </w:rPr>
              <w:t>518.4</w:t>
            </w:r>
          </w:p>
        </w:tc>
        <w:tc>
          <w:tcPr>
            <w:tcW w:w="797" w:type="pct"/>
            <w:shd w:val="clear" w:color="000000" w:fill="FFFFFF"/>
            <w:noWrap/>
            <w:hideMark/>
          </w:tcPr>
          <w:p w14:paraId="2BEE834E" w14:textId="3E8D42F4" w:rsidR="004C5DCE" w:rsidRPr="004C5DCE" w:rsidRDefault="004C5DCE" w:rsidP="004C5DCE">
            <w:pPr>
              <w:jc w:val="right"/>
              <w:rPr>
                <w:b/>
                <w:bCs/>
                <w:noProof/>
                <w:sz w:val="20"/>
                <w:szCs w:val="20"/>
              </w:rPr>
            </w:pPr>
            <w:r w:rsidRPr="004C5DCE">
              <w:rPr>
                <w:b/>
                <w:bCs/>
                <w:noProof/>
                <w:sz w:val="20"/>
                <w:szCs w:val="20"/>
              </w:rPr>
              <w:t>875.4</w:t>
            </w:r>
          </w:p>
        </w:tc>
        <w:tc>
          <w:tcPr>
            <w:tcW w:w="798" w:type="pct"/>
            <w:shd w:val="clear" w:color="000000" w:fill="FFFFFF"/>
            <w:noWrap/>
            <w:hideMark/>
          </w:tcPr>
          <w:p w14:paraId="78301004" w14:textId="4C4E4F59" w:rsidR="004C5DCE" w:rsidRPr="004C5DCE" w:rsidRDefault="004C5DCE" w:rsidP="004C5DCE">
            <w:pPr>
              <w:jc w:val="right"/>
              <w:rPr>
                <w:b/>
                <w:bCs/>
                <w:noProof/>
                <w:sz w:val="20"/>
                <w:szCs w:val="20"/>
              </w:rPr>
            </w:pPr>
            <w:r w:rsidRPr="004C5DCE">
              <w:rPr>
                <w:b/>
                <w:bCs/>
                <w:noProof/>
                <w:sz w:val="20"/>
                <w:szCs w:val="20"/>
              </w:rPr>
              <w:t>598.7</w:t>
            </w:r>
          </w:p>
        </w:tc>
      </w:tr>
    </w:tbl>
    <w:p w14:paraId="44279341" w14:textId="77777777" w:rsidR="007A35CC" w:rsidRPr="00F67B2C" w:rsidRDefault="007A35CC" w:rsidP="007A35CC">
      <w:pPr>
        <w:tabs>
          <w:tab w:val="left" w:pos="2302"/>
        </w:tabs>
        <w:spacing w:after="240"/>
        <w:jc w:val="both"/>
        <w:rPr>
          <w:i/>
          <w:noProof/>
          <w:sz w:val="20"/>
          <w:szCs w:val="20"/>
        </w:rPr>
      </w:pPr>
      <w:r w:rsidRPr="00F67B2C">
        <w:rPr>
          <w:i/>
          <w:noProof/>
          <w:spacing w:val="-8"/>
          <w:sz w:val="20"/>
          <w:szCs w:val="20"/>
        </w:rPr>
        <w:t xml:space="preserve">Source: </w:t>
      </w:r>
      <w:r w:rsidRPr="00F67B2C">
        <w:rPr>
          <w:i/>
          <w:noProof/>
          <w:sz w:val="20"/>
          <w:szCs w:val="20"/>
        </w:rPr>
        <w:t>Ricardo et al. (2026), Impact assessment support study</w:t>
      </w:r>
    </w:p>
    <w:p w14:paraId="74E8FD6F" w14:textId="185C0860" w:rsidR="007A35CC" w:rsidRPr="00383DBF" w:rsidRDefault="007A35CC" w:rsidP="007A35CC">
      <w:pPr>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70</w:t>
      </w:r>
      <w:r w:rsidRPr="00383DBF">
        <w:rPr>
          <w:i/>
          <w:noProof/>
          <w:sz w:val="22"/>
          <w:szCs w:val="22"/>
        </w:rPr>
        <w:fldChar w:fldCharType="end"/>
      </w:r>
      <w:r w:rsidRPr="00383DBF">
        <w:rPr>
          <w:i/>
          <w:noProof/>
          <w:sz w:val="22"/>
          <w:szCs w:val="22"/>
        </w:rPr>
        <w:t xml:space="preserve">: </w:t>
      </w:r>
      <w:r w:rsidR="000A69D4" w:rsidRPr="00383DBF">
        <w:rPr>
          <w:i/>
          <w:noProof/>
          <w:sz w:val="22"/>
          <w:szCs w:val="22"/>
        </w:rPr>
        <w:t xml:space="preserve">Total one-off </w:t>
      </w:r>
      <w:r w:rsidRPr="00383DBF">
        <w:rPr>
          <w:i/>
          <w:noProof/>
          <w:sz w:val="22"/>
          <w:szCs w:val="22"/>
        </w:rPr>
        <w:t xml:space="preserve">and recurrent adjustment costs for </w:t>
      </w:r>
      <w:r w:rsidR="00B3515E">
        <w:rPr>
          <w:i/>
          <w:noProof/>
          <w:sz w:val="22"/>
          <w:szCs w:val="22"/>
        </w:rPr>
        <w:t>non-SME</w:t>
      </w:r>
      <w:r w:rsidRPr="00383DBF">
        <w:rPr>
          <w:i/>
          <w:noProof/>
          <w:sz w:val="22"/>
          <w:szCs w:val="22"/>
        </w:rPr>
        <w:t xml:space="preserve"> B2C MDMS platforms due to PM1 in PO3 in 2028, 2030, 2040 and 2050 relative to the baseline </w:t>
      </w:r>
      <w:r w:rsidR="00363A11" w:rsidRPr="00383DBF">
        <w:rPr>
          <w:i/>
          <w:noProof/>
          <w:sz w:val="22"/>
          <w:szCs w:val="22"/>
        </w:rPr>
        <w:t>(thousand EUR, in 2024 prices)</w:t>
      </w:r>
    </w:p>
    <w:tbl>
      <w:tblPr>
        <w:tblW w:w="5000" w:type="pct"/>
        <w:tblLook w:val="04A0" w:firstRow="1" w:lastRow="0" w:firstColumn="1" w:lastColumn="0" w:noHBand="0" w:noVBand="1"/>
      </w:tblPr>
      <w:tblGrid>
        <w:gridCol w:w="3477"/>
        <w:gridCol w:w="1531"/>
        <w:gridCol w:w="1531"/>
        <w:gridCol w:w="1531"/>
        <w:gridCol w:w="1533"/>
      </w:tblGrid>
      <w:tr w:rsidR="00CB567D" w:rsidRPr="00CB567D" w14:paraId="18104741" w14:textId="77777777" w:rsidTr="00987BD4">
        <w:trPr>
          <w:trHeight w:val="255"/>
          <w:tblHeader/>
        </w:trPr>
        <w:tc>
          <w:tcPr>
            <w:tcW w:w="1810" w:type="pct"/>
            <w:tcBorders>
              <w:top w:val="single" w:sz="4" w:space="0" w:color="auto"/>
              <w:left w:val="single" w:sz="4" w:space="0" w:color="auto"/>
              <w:bottom w:val="single" w:sz="4" w:space="0" w:color="auto"/>
              <w:right w:val="single" w:sz="4" w:space="0" w:color="auto"/>
            </w:tcBorders>
            <w:shd w:val="clear" w:color="000000" w:fill="0070C0"/>
            <w:noWrap/>
            <w:hideMark/>
          </w:tcPr>
          <w:p w14:paraId="3E38925B" w14:textId="5A56BF89" w:rsidR="00CB567D" w:rsidRPr="00CB567D" w:rsidRDefault="00CB567D">
            <w:pPr>
              <w:jc w:val="center"/>
              <w:rPr>
                <w:b/>
                <w:bCs/>
                <w:noProof/>
                <w:color w:val="FFFFFF"/>
                <w:sz w:val="20"/>
                <w:szCs w:val="20"/>
              </w:rPr>
            </w:pPr>
          </w:p>
        </w:tc>
        <w:tc>
          <w:tcPr>
            <w:tcW w:w="797" w:type="pct"/>
            <w:tcBorders>
              <w:top w:val="single" w:sz="4" w:space="0" w:color="auto"/>
              <w:left w:val="nil"/>
              <w:bottom w:val="single" w:sz="4" w:space="0" w:color="auto"/>
              <w:right w:val="single" w:sz="4" w:space="0" w:color="auto"/>
            </w:tcBorders>
            <w:shd w:val="clear" w:color="000000" w:fill="0070C0"/>
            <w:noWrap/>
            <w:hideMark/>
          </w:tcPr>
          <w:p w14:paraId="1B537EBC" w14:textId="77777777" w:rsidR="00CB567D" w:rsidRPr="00CB567D" w:rsidRDefault="00CB567D">
            <w:pPr>
              <w:jc w:val="center"/>
              <w:rPr>
                <w:b/>
                <w:bCs/>
                <w:noProof/>
                <w:color w:val="FFFFFF"/>
                <w:sz w:val="20"/>
                <w:szCs w:val="20"/>
              </w:rPr>
            </w:pPr>
            <w:r w:rsidRPr="00CB567D">
              <w:rPr>
                <w:b/>
                <w:bCs/>
                <w:noProof/>
                <w:color w:val="FFFFFF"/>
                <w:sz w:val="20"/>
                <w:szCs w:val="20"/>
              </w:rPr>
              <w:t>2028</w:t>
            </w:r>
          </w:p>
        </w:tc>
        <w:tc>
          <w:tcPr>
            <w:tcW w:w="797" w:type="pct"/>
            <w:tcBorders>
              <w:top w:val="single" w:sz="4" w:space="0" w:color="auto"/>
              <w:left w:val="nil"/>
              <w:bottom w:val="single" w:sz="4" w:space="0" w:color="auto"/>
              <w:right w:val="single" w:sz="4" w:space="0" w:color="auto"/>
            </w:tcBorders>
            <w:shd w:val="clear" w:color="000000" w:fill="0070C0"/>
            <w:noWrap/>
            <w:hideMark/>
          </w:tcPr>
          <w:p w14:paraId="6D31A552" w14:textId="77777777" w:rsidR="00CB567D" w:rsidRPr="00CB567D" w:rsidRDefault="00CB567D">
            <w:pPr>
              <w:jc w:val="center"/>
              <w:rPr>
                <w:b/>
                <w:bCs/>
                <w:noProof/>
                <w:color w:val="FFFFFF"/>
                <w:sz w:val="20"/>
                <w:szCs w:val="20"/>
              </w:rPr>
            </w:pPr>
            <w:r w:rsidRPr="00CB567D">
              <w:rPr>
                <w:b/>
                <w:bCs/>
                <w:noProof/>
                <w:color w:val="FFFFFF"/>
                <w:sz w:val="20"/>
                <w:szCs w:val="20"/>
              </w:rPr>
              <w:t>2030</w:t>
            </w:r>
          </w:p>
        </w:tc>
        <w:tc>
          <w:tcPr>
            <w:tcW w:w="797" w:type="pct"/>
            <w:tcBorders>
              <w:top w:val="single" w:sz="4" w:space="0" w:color="auto"/>
              <w:left w:val="nil"/>
              <w:bottom w:val="single" w:sz="4" w:space="0" w:color="auto"/>
              <w:right w:val="single" w:sz="4" w:space="0" w:color="auto"/>
            </w:tcBorders>
            <w:shd w:val="clear" w:color="000000" w:fill="0070C0"/>
            <w:noWrap/>
            <w:hideMark/>
          </w:tcPr>
          <w:p w14:paraId="24A02F61" w14:textId="77777777" w:rsidR="00CB567D" w:rsidRPr="00CB567D" w:rsidRDefault="00CB567D">
            <w:pPr>
              <w:jc w:val="center"/>
              <w:rPr>
                <w:b/>
                <w:bCs/>
                <w:noProof/>
                <w:color w:val="FFFFFF"/>
                <w:sz w:val="20"/>
                <w:szCs w:val="20"/>
              </w:rPr>
            </w:pPr>
            <w:r w:rsidRPr="00CB567D">
              <w:rPr>
                <w:b/>
                <w:bCs/>
                <w:noProof/>
                <w:color w:val="FFFFFF"/>
                <w:sz w:val="20"/>
                <w:szCs w:val="20"/>
              </w:rPr>
              <w:t>2040</w:t>
            </w:r>
          </w:p>
        </w:tc>
        <w:tc>
          <w:tcPr>
            <w:tcW w:w="798" w:type="pct"/>
            <w:tcBorders>
              <w:top w:val="single" w:sz="4" w:space="0" w:color="auto"/>
              <w:left w:val="nil"/>
              <w:bottom w:val="single" w:sz="4" w:space="0" w:color="auto"/>
              <w:right w:val="single" w:sz="4" w:space="0" w:color="auto"/>
            </w:tcBorders>
            <w:shd w:val="clear" w:color="000000" w:fill="0070C0"/>
            <w:noWrap/>
            <w:hideMark/>
          </w:tcPr>
          <w:p w14:paraId="304667FE" w14:textId="77777777" w:rsidR="00CB567D" w:rsidRPr="00CB567D" w:rsidRDefault="00CB567D">
            <w:pPr>
              <w:jc w:val="center"/>
              <w:rPr>
                <w:b/>
                <w:bCs/>
                <w:noProof/>
                <w:color w:val="FFFFFF"/>
                <w:sz w:val="20"/>
                <w:szCs w:val="20"/>
              </w:rPr>
            </w:pPr>
            <w:r w:rsidRPr="00CB567D">
              <w:rPr>
                <w:b/>
                <w:bCs/>
                <w:noProof/>
                <w:color w:val="FFFFFF"/>
                <w:sz w:val="20"/>
                <w:szCs w:val="20"/>
              </w:rPr>
              <w:t>2050</w:t>
            </w:r>
          </w:p>
        </w:tc>
      </w:tr>
      <w:tr w:rsidR="00987BD4" w:rsidRPr="00CB567D" w14:paraId="2CA50B94"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438A4322" w14:textId="77777777" w:rsidR="00987BD4" w:rsidRPr="00CB567D" w:rsidRDefault="00987BD4" w:rsidP="00987BD4">
            <w:pPr>
              <w:rPr>
                <w:noProof/>
                <w:sz w:val="20"/>
                <w:szCs w:val="20"/>
              </w:rPr>
            </w:pPr>
            <w:r w:rsidRPr="00CB567D">
              <w:rPr>
                <w:noProof/>
                <w:sz w:val="20"/>
                <w:szCs w:val="20"/>
              </w:rPr>
              <w:t xml:space="preserve"> Germany </w:t>
            </w:r>
          </w:p>
        </w:tc>
        <w:tc>
          <w:tcPr>
            <w:tcW w:w="797" w:type="pct"/>
            <w:tcBorders>
              <w:top w:val="nil"/>
              <w:left w:val="nil"/>
              <w:bottom w:val="single" w:sz="4" w:space="0" w:color="auto"/>
              <w:right w:val="single" w:sz="4" w:space="0" w:color="auto"/>
            </w:tcBorders>
            <w:shd w:val="clear" w:color="000000" w:fill="FFFFFF"/>
            <w:noWrap/>
            <w:hideMark/>
          </w:tcPr>
          <w:p w14:paraId="2A3E43DF" w14:textId="56C27596" w:rsidR="00987BD4" w:rsidRPr="00987BD4" w:rsidRDefault="00987BD4" w:rsidP="00987BD4">
            <w:pPr>
              <w:jc w:val="right"/>
              <w:rPr>
                <w:noProof/>
                <w:sz w:val="20"/>
                <w:szCs w:val="20"/>
              </w:rPr>
            </w:pPr>
            <w:r w:rsidRPr="00987BD4">
              <w:rPr>
                <w:noProof/>
                <w:sz w:val="20"/>
                <w:szCs w:val="20"/>
              </w:rPr>
              <w:t>411.0</w:t>
            </w:r>
          </w:p>
        </w:tc>
        <w:tc>
          <w:tcPr>
            <w:tcW w:w="797" w:type="pct"/>
            <w:tcBorders>
              <w:top w:val="nil"/>
              <w:left w:val="nil"/>
              <w:bottom w:val="single" w:sz="4" w:space="0" w:color="auto"/>
              <w:right w:val="single" w:sz="4" w:space="0" w:color="auto"/>
            </w:tcBorders>
            <w:shd w:val="clear" w:color="000000" w:fill="FFFFFF"/>
            <w:noWrap/>
            <w:hideMark/>
          </w:tcPr>
          <w:p w14:paraId="31BE97A8" w14:textId="7D25E01E" w:rsidR="00987BD4" w:rsidRPr="00987BD4" w:rsidRDefault="00987BD4" w:rsidP="00987BD4">
            <w:pPr>
              <w:jc w:val="right"/>
              <w:rPr>
                <w:noProof/>
                <w:sz w:val="20"/>
                <w:szCs w:val="20"/>
              </w:rPr>
            </w:pPr>
            <w:r w:rsidRPr="00987BD4">
              <w:rPr>
                <w:noProof/>
                <w:sz w:val="20"/>
                <w:szCs w:val="20"/>
              </w:rPr>
              <w:t>63.2</w:t>
            </w:r>
          </w:p>
        </w:tc>
        <w:tc>
          <w:tcPr>
            <w:tcW w:w="797" w:type="pct"/>
            <w:tcBorders>
              <w:top w:val="nil"/>
              <w:left w:val="nil"/>
              <w:bottom w:val="single" w:sz="4" w:space="0" w:color="auto"/>
              <w:right w:val="single" w:sz="4" w:space="0" w:color="auto"/>
            </w:tcBorders>
            <w:shd w:val="clear" w:color="000000" w:fill="FFFFFF"/>
            <w:noWrap/>
            <w:hideMark/>
          </w:tcPr>
          <w:p w14:paraId="77CCD31B" w14:textId="3113DCEE" w:rsidR="00987BD4" w:rsidRPr="00987BD4" w:rsidRDefault="00987BD4" w:rsidP="00987BD4">
            <w:pPr>
              <w:jc w:val="right"/>
              <w:rPr>
                <w:noProof/>
                <w:sz w:val="20"/>
                <w:szCs w:val="20"/>
              </w:rPr>
            </w:pPr>
            <w:r w:rsidRPr="00987BD4">
              <w:rPr>
                <w:noProof/>
                <w:sz w:val="20"/>
                <w:szCs w:val="20"/>
              </w:rPr>
              <w:t>95.4</w:t>
            </w:r>
          </w:p>
        </w:tc>
        <w:tc>
          <w:tcPr>
            <w:tcW w:w="798" w:type="pct"/>
            <w:tcBorders>
              <w:top w:val="nil"/>
              <w:left w:val="nil"/>
              <w:bottom w:val="single" w:sz="4" w:space="0" w:color="auto"/>
              <w:right w:val="single" w:sz="4" w:space="0" w:color="auto"/>
            </w:tcBorders>
            <w:shd w:val="clear" w:color="000000" w:fill="FFFFFF"/>
            <w:noWrap/>
            <w:hideMark/>
          </w:tcPr>
          <w:p w14:paraId="07CBB32A" w14:textId="620F5E04" w:rsidR="00987BD4" w:rsidRPr="00987BD4" w:rsidRDefault="00987BD4" w:rsidP="00987BD4">
            <w:pPr>
              <w:jc w:val="right"/>
              <w:rPr>
                <w:noProof/>
                <w:sz w:val="20"/>
                <w:szCs w:val="20"/>
              </w:rPr>
            </w:pPr>
            <w:r w:rsidRPr="00987BD4">
              <w:rPr>
                <w:noProof/>
                <w:sz w:val="20"/>
                <w:szCs w:val="20"/>
              </w:rPr>
              <w:t>71.3</w:t>
            </w:r>
          </w:p>
        </w:tc>
      </w:tr>
      <w:tr w:rsidR="00987BD4" w:rsidRPr="00CB567D" w14:paraId="6797E3A7"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52BA04E1" w14:textId="77777777" w:rsidR="00987BD4" w:rsidRPr="00CB567D" w:rsidRDefault="00987BD4" w:rsidP="00987BD4">
            <w:pPr>
              <w:rPr>
                <w:noProof/>
                <w:sz w:val="20"/>
                <w:szCs w:val="20"/>
              </w:rPr>
            </w:pPr>
            <w:r w:rsidRPr="00CB567D">
              <w:rPr>
                <w:noProof/>
                <w:sz w:val="20"/>
                <w:szCs w:val="20"/>
              </w:rPr>
              <w:t xml:space="preserve"> Austria </w:t>
            </w:r>
          </w:p>
        </w:tc>
        <w:tc>
          <w:tcPr>
            <w:tcW w:w="797" w:type="pct"/>
            <w:tcBorders>
              <w:top w:val="nil"/>
              <w:left w:val="nil"/>
              <w:bottom w:val="single" w:sz="4" w:space="0" w:color="auto"/>
              <w:right w:val="single" w:sz="4" w:space="0" w:color="auto"/>
            </w:tcBorders>
            <w:shd w:val="clear" w:color="000000" w:fill="FFFFFF"/>
            <w:noWrap/>
            <w:hideMark/>
          </w:tcPr>
          <w:p w14:paraId="455A1CF4" w14:textId="0296AB34" w:rsidR="00987BD4" w:rsidRPr="00987BD4" w:rsidRDefault="00987BD4" w:rsidP="00987BD4">
            <w:pPr>
              <w:jc w:val="right"/>
              <w:rPr>
                <w:noProof/>
                <w:sz w:val="20"/>
                <w:szCs w:val="20"/>
              </w:rPr>
            </w:pPr>
            <w:r w:rsidRPr="00987BD4">
              <w:rPr>
                <w:noProof/>
                <w:sz w:val="20"/>
                <w:szCs w:val="20"/>
              </w:rPr>
              <w:t>308.3</w:t>
            </w:r>
          </w:p>
        </w:tc>
        <w:tc>
          <w:tcPr>
            <w:tcW w:w="797" w:type="pct"/>
            <w:tcBorders>
              <w:top w:val="nil"/>
              <w:left w:val="nil"/>
              <w:bottom w:val="single" w:sz="4" w:space="0" w:color="auto"/>
              <w:right w:val="single" w:sz="4" w:space="0" w:color="auto"/>
            </w:tcBorders>
            <w:shd w:val="clear" w:color="000000" w:fill="FFFFFF"/>
            <w:noWrap/>
            <w:hideMark/>
          </w:tcPr>
          <w:p w14:paraId="2D15A817" w14:textId="6932A502" w:rsidR="00987BD4" w:rsidRPr="00987BD4" w:rsidRDefault="00987BD4" w:rsidP="00987BD4">
            <w:pPr>
              <w:jc w:val="right"/>
              <w:rPr>
                <w:noProof/>
                <w:sz w:val="20"/>
                <w:szCs w:val="20"/>
              </w:rPr>
            </w:pPr>
            <w:r w:rsidRPr="00987BD4">
              <w:rPr>
                <w:noProof/>
                <w:sz w:val="20"/>
                <w:szCs w:val="20"/>
              </w:rPr>
              <w:t>47.4</w:t>
            </w:r>
          </w:p>
        </w:tc>
        <w:tc>
          <w:tcPr>
            <w:tcW w:w="797" w:type="pct"/>
            <w:tcBorders>
              <w:top w:val="nil"/>
              <w:left w:val="nil"/>
              <w:bottom w:val="single" w:sz="4" w:space="0" w:color="auto"/>
              <w:right w:val="single" w:sz="4" w:space="0" w:color="auto"/>
            </w:tcBorders>
            <w:shd w:val="clear" w:color="000000" w:fill="FFFFFF"/>
            <w:noWrap/>
            <w:hideMark/>
          </w:tcPr>
          <w:p w14:paraId="32DE3FF7" w14:textId="56F123A1" w:rsidR="00987BD4" w:rsidRPr="00987BD4" w:rsidRDefault="00987BD4" w:rsidP="00987BD4">
            <w:pPr>
              <w:jc w:val="right"/>
              <w:rPr>
                <w:noProof/>
                <w:sz w:val="20"/>
                <w:szCs w:val="20"/>
              </w:rPr>
            </w:pPr>
            <w:r w:rsidRPr="00987BD4">
              <w:rPr>
                <w:noProof/>
                <w:sz w:val="20"/>
                <w:szCs w:val="20"/>
              </w:rPr>
              <w:t>71.5</w:t>
            </w:r>
          </w:p>
        </w:tc>
        <w:tc>
          <w:tcPr>
            <w:tcW w:w="798" w:type="pct"/>
            <w:tcBorders>
              <w:top w:val="nil"/>
              <w:left w:val="nil"/>
              <w:bottom w:val="single" w:sz="4" w:space="0" w:color="auto"/>
              <w:right w:val="single" w:sz="4" w:space="0" w:color="auto"/>
            </w:tcBorders>
            <w:shd w:val="clear" w:color="000000" w:fill="FFFFFF"/>
            <w:noWrap/>
            <w:hideMark/>
          </w:tcPr>
          <w:p w14:paraId="1348B6C2" w14:textId="7BF0C987" w:rsidR="00987BD4" w:rsidRPr="00987BD4" w:rsidRDefault="00987BD4" w:rsidP="00987BD4">
            <w:pPr>
              <w:jc w:val="right"/>
              <w:rPr>
                <w:noProof/>
                <w:sz w:val="20"/>
                <w:szCs w:val="20"/>
              </w:rPr>
            </w:pPr>
            <w:r w:rsidRPr="00987BD4">
              <w:rPr>
                <w:noProof/>
                <w:sz w:val="20"/>
                <w:szCs w:val="20"/>
              </w:rPr>
              <w:t>53.5</w:t>
            </w:r>
          </w:p>
        </w:tc>
      </w:tr>
      <w:tr w:rsidR="00987BD4" w:rsidRPr="00CB567D" w14:paraId="244F8A75"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490559D4" w14:textId="77777777" w:rsidR="00987BD4" w:rsidRPr="00CB567D" w:rsidRDefault="00987BD4" w:rsidP="00987BD4">
            <w:pPr>
              <w:rPr>
                <w:noProof/>
                <w:sz w:val="20"/>
                <w:szCs w:val="20"/>
              </w:rPr>
            </w:pPr>
            <w:r w:rsidRPr="00CB567D">
              <w:rPr>
                <w:noProof/>
                <w:sz w:val="20"/>
                <w:szCs w:val="20"/>
              </w:rPr>
              <w:t xml:space="preserve"> Denmark </w:t>
            </w:r>
          </w:p>
        </w:tc>
        <w:tc>
          <w:tcPr>
            <w:tcW w:w="797" w:type="pct"/>
            <w:tcBorders>
              <w:top w:val="nil"/>
              <w:left w:val="nil"/>
              <w:bottom w:val="single" w:sz="4" w:space="0" w:color="auto"/>
              <w:right w:val="single" w:sz="4" w:space="0" w:color="auto"/>
            </w:tcBorders>
            <w:shd w:val="clear" w:color="000000" w:fill="FFFFFF"/>
            <w:noWrap/>
            <w:hideMark/>
          </w:tcPr>
          <w:p w14:paraId="6D5403E3" w14:textId="5F702B6A" w:rsidR="00987BD4" w:rsidRPr="00987BD4" w:rsidRDefault="00987BD4" w:rsidP="00987BD4">
            <w:pPr>
              <w:jc w:val="right"/>
              <w:rPr>
                <w:noProof/>
                <w:sz w:val="20"/>
                <w:szCs w:val="20"/>
              </w:rPr>
            </w:pPr>
            <w:r w:rsidRPr="00987BD4">
              <w:rPr>
                <w:noProof/>
                <w:sz w:val="20"/>
                <w:szCs w:val="20"/>
              </w:rPr>
              <w:t>205.5</w:t>
            </w:r>
          </w:p>
        </w:tc>
        <w:tc>
          <w:tcPr>
            <w:tcW w:w="797" w:type="pct"/>
            <w:tcBorders>
              <w:top w:val="nil"/>
              <w:left w:val="nil"/>
              <w:bottom w:val="single" w:sz="4" w:space="0" w:color="auto"/>
              <w:right w:val="single" w:sz="4" w:space="0" w:color="auto"/>
            </w:tcBorders>
            <w:shd w:val="clear" w:color="000000" w:fill="FFFFFF"/>
            <w:noWrap/>
            <w:hideMark/>
          </w:tcPr>
          <w:p w14:paraId="4B260E8E" w14:textId="6D3E6695" w:rsidR="00987BD4" w:rsidRPr="00987BD4" w:rsidRDefault="00987BD4" w:rsidP="00987BD4">
            <w:pPr>
              <w:jc w:val="right"/>
              <w:rPr>
                <w:noProof/>
                <w:sz w:val="20"/>
                <w:szCs w:val="20"/>
              </w:rPr>
            </w:pPr>
            <w:r w:rsidRPr="00987BD4">
              <w:rPr>
                <w:noProof/>
                <w:sz w:val="20"/>
                <w:szCs w:val="20"/>
              </w:rPr>
              <w:t>31.6</w:t>
            </w:r>
          </w:p>
        </w:tc>
        <w:tc>
          <w:tcPr>
            <w:tcW w:w="797" w:type="pct"/>
            <w:tcBorders>
              <w:top w:val="nil"/>
              <w:left w:val="nil"/>
              <w:bottom w:val="single" w:sz="4" w:space="0" w:color="auto"/>
              <w:right w:val="single" w:sz="4" w:space="0" w:color="auto"/>
            </w:tcBorders>
            <w:shd w:val="clear" w:color="000000" w:fill="FFFFFF"/>
            <w:noWrap/>
            <w:hideMark/>
          </w:tcPr>
          <w:p w14:paraId="0E09376E" w14:textId="0DF2639C" w:rsidR="00987BD4" w:rsidRPr="00987BD4" w:rsidRDefault="00987BD4" w:rsidP="00987BD4">
            <w:pPr>
              <w:jc w:val="right"/>
              <w:rPr>
                <w:noProof/>
                <w:sz w:val="20"/>
                <w:szCs w:val="20"/>
              </w:rPr>
            </w:pPr>
            <w:r w:rsidRPr="00987BD4">
              <w:rPr>
                <w:noProof/>
                <w:sz w:val="20"/>
                <w:szCs w:val="20"/>
              </w:rPr>
              <w:t>47.7</w:t>
            </w:r>
          </w:p>
        </w:tc>
        <w:tc>
          <w:tcPr>
            <w:tcW w:w="798" w:type="pct"/>
            <w:tcBorders>
              <w:top w:val="nil"/>
              <w:left w:val="nil"/>
              <w:bottom w:val="single" w:sz="4" w:space="0" w:color="auto"/>
              <w:right w:val="single" w:sz="4" w:space="0" w:color="auto"/>
            </w:tcBorders>
            <w:shd w:val="clear" w:color="000000" w:fill="FFFFFF"/>
            <w:noWrap/>
            <w:hideMark/>
          </w:tcPr>
          <w:p w14:paraId="12A02246" w14:textId="26E4065B" w:rsidR="00987BD4" w:rsidRPr="00987BD4" w:rsidRDefault="00987BD4" w:rsidP="00987BD4">
            <w:pPr>
              <w:jc w:val="right"/>
              <w:rPr>
                <w:noProof/>
                <w:sz w:val="20"/>
                <w:szCs w:val="20"/>
              </w:rPr>
            </w:pPr>
            <w:r w:rsidRPr="00987BD4">
              <w:rPr>
                <w:noProof/>
                <w:sz w:val="20"/>
                <w:szCs w:val="20"/>
              </w:rPr>
              <w:t>35.7</w:t>
            </w:r>
          </w:p>
        </w:tc>
      </w:tr>
      <w:tr w:rsidR="00987BD4" w:rsidRPr="00CB567D" w14:paraId="008277DA"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1A7F78BB" w14:textId="77777777" w:rsidR="00987BD4" w:rsidRPr="00CB567D" w:rsidRDefault="00987BD4" w:rsidP="00987BD4">
            <w:pPr>
              <w:rPr>
                <w:noProof/>
                <w:sz w:val="20"/>
                <w:szCs w:val="20"/>
              </w:rPr>
            </w:pPr>
            <w:r w:rsidRPr="00CB567D">
              <w:rPr>
                <w:noProof/>
                <w:sz w:val="20"/>
                <w:szCs w:val="20"/>
              </w:rPr>
              <w:t xml:space="preserve"> Luxembourg </w:t>
            </w:r>
          </w:p>
        </w:tc>
        <w:tc>
          <w:tcPr>
            <w:tcW w:w="797" w:type="pct"/>
            <w:tcBorders>
              <w:top w:val="nil"/>
              <w:left w:val="nil"/>
              <w:bottom w:val="single" w:sz="4" w:space="0" w:color="auto"/>
              <w:right w:val="single" w:sz="4" w:space="0" w:color="auto"/>
            </w:tcBorders>
            <w:shd w:val="clear" w:color="000000" w:fill="FFFFFF"/>
            <w:noWrap/>
            <w:hideMark/>
          </w:tcPr>
          <w:p w14:paraId="274769B0" w14:textId="14D48AC2" w:rsidR="00987BD4" w:rsidRPr="00987BD4" w:rsidRDefault="00987BD4" w:rsidP="00987BD4">
            <w:pPr>
              <w:jc w:val="right"/>
              <w:rPr>
                <w:noProof/>
                <w:sz w:val="20"/>
                <w:szCs w:val="20"/>
              </w:rPr>
            </w:pPr>
            <w:r w:rsidRPr="00987BD4">
              <w:rPr>
                <w:noProof/>
                <w:sz w:val="20"/>
                <w:szCs w:val="20"/>
              </w:rPr>
              <w:t>137.0</w:t>
            </w:r>
          </w:p>
        </w:tc>
        <w:tc>
          <w:tcPr>
            <w:tcW w:w="797" w:type="pct"/>
            <w:tcBorders>
              <w:top w:val="nil"/>
              <w:left w:val="nil"/>
              <w:bottom w:val="single" w:sz="4" w:space="0" w:color="auto"/>
              <w:right w:val="single" w:sz="4" w:space="0" w:color="auto"/>
            </w:tcBorders>
            <w:shd w:val="clear" w:color="000000" w:fill="FFFFFF"/>
            <w:noWrap/>
            <w:hideMark/>
          </w:tcPr>
          <w:p w14:paraId="79AE50E9" w14:textId="38DBE2B5" w:rsidR="00987BD4" w:rsidRPr="00987BD4" w:rsidRDefault="00987BD4" w:rsidP="00987BD4">
            <w:pPr>
              <w:jc w:val="right"/>
              <w:rPr>
                <w:noProof/>
                <w:sz w:val="20"/>
                <w:szCs w:val="20"/>
              </w:rPr>
            </w:pPr>
            <w:r w:rsidRPr="00987BD4">
              <w:rPr>
                <w:noProof/>
                <w:sz w:val="20"/>
                <w:szCs w:val="20"/>
              </w:rPr>
              <w:t>21.1</w:t>
            </w:r>
          </w:p>
        </w:tc>
        <w:tc>
          <w:tcPr>
            <w:tcW w:w="797" w:type="pct"/>
            <w:tcBorders>
              <w:top w:val="nil"/>
              <w:left w:val="nil"/>
              <w:bottom w:val="single" w:sz="4" w:space="0" w:color="auto"/>
              <w:right w:val="single" w:sz="4" w:space="0" w:color="auto"/>
            </w:tcBorders>
            <w:shd w:val="clear" w:color="000000" w:fill="FFFFFF"/>
            <w:noWrap/>
            <w:hideMark/>
          </w:tcPr>
          <w:p w14:paraId="2F6301E4" w14:textId="6695165D" w:rsidR="00987BD4" w:rsidRPr="00987BD4" w:rsidRDefault="00987BD4" w:rsidP="00987BD4">
            <w:pPr>
              <w:jc w:val="right"/>
              <w:rPr>
                <w:noProof/>
                <w:sz w:val="20"/>
                <w:szCs w:val="20"/>
              </w:rPr>
            </w:pPr>
            <w:r w:rsidRPr="00987BD4">
              <w:rPr>
                <w:noProof/>
                <w:sz w:val="20"/>
                <w:szCs w:val="20"/>
              </w:rPr>
              <w:t>31.8</w:t>
            </w:r>
          </w:p>
        </w:tc>
        <w:tc>
          <w:tcPr>
            <w:tcW w:w="798" w:type="pct"/>
            <w:tcBorders>
              <w:top w:val="nil"/>
              <w:left w:val="nil"/>
              <w:bottom w:val="single" w:sz="4" w:space="0" w:color="auto"/>
              <w:right w:val="single" w:sz="4" w:space="0" w:color="auto"/>
            </w:tcBorders>
            <w:shd w:val="clear" w:color="000000" w:fill="FFFFFF"/>
            <w:noWrap/>
            <w:hideMark/>
          </w:tcPr>
          <w:p w14:paraId="044C5C6D" w14:textId="0087DB1C" w:rsidR="00987BD4" w:rsidRPr="00987BD4" w:rsidRDefault="00987BD4" w:rsidP="00987BD4">
            <w:pPr>
              <w:jc w:val="right"/>
              <w:rPr>
                <w:noProof/>
                <w:sz w:val="20"/>
                <w:szCs w:val="20"/>
              </w:rPr>
            </w:pPr>
            <w:r w:rsidRPr="00987BD4">
              <w:rPr>
                <w:noProof/>
                <w:sz w:val="20"/>
                <w:szCs w:val="20"/>
              </w:rPr>
              <w:t>23.8</w:t>
            </w:r>
          </w:p>
        </w:tc>
      </w:tr>
      <w:tr w:rsidR="00987BD4" w:rsidRPr="00CB567D" w14:paraId="32D0C40E"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283C86CA" w14:textId="77777777" w:rsidR="00987BD4" w:rsidRPr="00CB567D" w:rsidRDefault="00987BD4" w:rsidP="00987BD4">
            <w:pPr>
              <w:rPr>
                <w:noProof/>
                <w:sz w:val="20"/>
                <w:szCs w:val="20"/>
              </w:rPr>
            </w:pPr>
            <w:r w:rsidRPr="00CB567D">
              <w:rPr>
                <w:noProof/>
                <w:sz w:val="20"/>
                <w:szCs w:val="20"/>
              </w:rPr>
              <w:t xml:space="preserve"> Finland </w:t>
            </w:r>
          </w:p>
        </w:tc>
        <w:tc>
          <w:tcPr>
            <w:tcW w:w="797" w:type="pct"/>
            <w:tcBorders>
              <w:top w:val="nil"/>
              <w:left w:val="nil"/>
              <w:bottom w:val="single" w:sz="4" w:space="0" w:color="auto"/>
              <w:right w:val="single" w:sz="4" w:space="0" w:color="auto"/>
            </w:tcBorders>
            <w:shd w:val="clear" w:color="000000" w:fill="FFFFFF"/>
            <w:noWrap/>
            <w:hideMark/>
          </w:tcPr>
          <w:p w14:paraId="350BCDC0" w14:textId="76ED752B" w:rsidR="00987BD4" w:rsidRPr="00987BD4" w:rsidRDefault="00987BD4" w:rsidP="00987BD4">
            <w:pPr>
              <w:jc w:val="right"/>
              <w:rPr>
                <w:noProof/>
                <w:sz w:val="20"/>
                <w:szCs w:val="20"/>
              </w:rPr>
            </w:pPr>
            <w:r w:rsidRPr="00987BD4">
              <w:rPr>
                <w:noProof/>
                <w:sz w:val="20"/>
                <w:szCs w:val="20"/>
              </w:rPr>
              <w:t>171.3</w:t>
            </w:r>
          </w:p>
        </w:tc>
        <w:tc>
          <w:tcPr>
            <w:tcW w:w="797" w:type="pct"/>
            <w:tcBorders>
              <w:top w:val="nil"/>
              <w:left w:val="nil"/>
              <w:bottom w:val="single" w:sz="4" w:space="0" w:color="auto"/>
              <w:right w:val="single" w:sz="4" w:space="0" w:color="auto"/>
            </w:tcBorders>
            <w:shd w:val="clear" w:color="000000" w:fill="FFFFFF"/>
            <w:noWrap/>
            <w:hideMark/>
          </w:tcPr>
          <w:p w14:paraId="20E0FFFA" w14:textId="0EB4F513" w:rsidR="00987BD4" w:rsidRPr="00987BD4" w:rsidRDefault="00987BD4" w:rsidP="00987BD4">
            <w:pPr>
              <w:jc w:val="right"/>
              <w:rPr>
                <w:noProof/>
                <w:sz w:val="20"/>
                <w:szCs w:val="20"/>
              </w:rPr>
            </w:pPr>
            <w:r w:rsidRPr="00987BD4">
              <w:rPr>
                <w:noProof/>
                <w:sz w:val="20"/>
                <w:szCs w:val="20"/>
              </w:rPr>
              <w:t>26.3</w:t>
            </w:r>
          </w:p>
        </w:tc>
        <w:tc>
          <w:tcPr>
            <w:tcW w:w="797" w:type="pct"/>
            <w:tcBorders>
              <w:top w:val="nil"/>
              <w:left w:val="nil"/>
              <w:bottom w:val="single" w:sz="4" w:space="0" w:color="auto"/>
              <w:right w:val="single" w:sz="4" w:space="0" w:color="auto"/>
            </w:tcBorders>
            <w:shd w:val="clear" w:color="000000" w:fill="FFFFFF"/>
            <w:noWrap/>
            <w:hideMark/>
          </w:tcPr>
          <w:p w14:paraId="72C8E502" w14:textId="4F2AA20F" w:rsidR="00987BD4" w:rsidRPr="00987BD4" w:rsidRDefault="00987BD4" w:rsidP="00987BD4">
            <w:pPr>
              <w:jc w:val="right"/>
              <w:rPr>
                <w:noProof/>
                <w:sz w:val="20"/>
                <w:szCs w:val="20"/>
              </w:rPr>
            </w:pPr>
            <w:r w:rsidRPr="00987BD4">
              <w:rPr>
                <w:noProof/>
                <w:sz w:val="20"/>
                <w:szCs w:val="20"/>
              </w:rPr>
              <w:t>39.7</w:t>
            </w:r>
          </w:p>
        </w:tc>
        <w:tc>
          <w:tcPr>
            <w:tcW w:w="798" w:type="pct"/>
            <w:tcBorders>
              <w:top w:val="nil"/>
              <w:left w:val="nil"/>
              <w:bottom w:val="single" w:sz="4" w:space="0" w:color="auto"/>
              <w:right w:val="single" w:sz="4" w:space="0" w:color="auto"/>
            </w:tcBorders>
            <w:shd w:val="clear" w:color="000000" w:fill="FFFFFF"/>
            <w:noWrap/>
            <w:hideMark/>
          </w:tcPr>
          <w:p w14:paraId="2006755A" w14:textId="3197F038" w:rsidR="00987BD4" w:rsidRPr="00987BD4" w:rsidRDefault="00987BD4" w:rsidP="00987BD4">
            <w:pPr>
              <w:jc w:val="right"/>
              <w:rPr>
                <w:noProof/>
                <w:sz w:val="20"/>
                <w:szCs w:val="20"/>
              </w:rPr>
            </w:pPr>
            <w:r w:rsidRPr="00987BD4">
              <w:rPr>
                <w:noProof/>
                <w:sz w:val="20"/>
                <w:szCs w:val="20"/>
              </w:rPr>
              <w:t>29.7</w:t>
            </w:r>
          </w:p>
        </w:tc>
      </w:tr>
      <w:tr w:rsidR="00987BD4" w:rsidRPr="00CB567D" w14:paraId="76713C9D"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0DFE1612" w14:textId="77777777" w:rsidR="00987BD4" w:rsidRPr="00CB567D" w:rsidRDefault="00987BD4" w:rsidP="00987BD4">
            <w:pPr>
              <w:rPr>
                <w:noProof/>
                <w:sz w:val="20"/>
                <w:szCs w:val="20"/>
              </w:rPr>
            </w:pPr>
            <w:r w:rsidRPr="00CB567D">
              <w:rPr>
                <w:noProof/>
                <w:sz w:val="20"/>
                <w:szCs w:val="20"/>
              </w:rPr>
              <w:t xml:space="preserve"> Spain </w:t>
            </w:r>
          </w:p>
        </w:tc>
        <w:tc>
          <w:tcPr>
            <w:tcW w:w="797" w:type="pct"/>
            <w:tcBorders>
              <w:top w:val="nil"/>
              <w:left w:val="nil"/>
              <w:bottom w:val="single" w:sz="4" w:space="0" w:color="auto"/>
              <w:right w:val="single" w:sz="4" w:space="0" w:color="auto"/>
            </w:tcBorders>
            <w:shd w:val="clear" w:color="000000" w:fill="FFFFFF"/>
            <w:noWrap/>
            <w:hideMark/>
          </w:tcPr>
          <w:p w14:paraId="67A160DE" w14:textId="2CE754DC" w:rsidR="00987BD4" w:rsidRPr="00987BD4" w:rsidRDefault="00987BD4" w:rsidP="00987BD4">
            <w:pPr>
              <w:jc w:val="right"/>
              <w:rPr>
                <w:noProof/>
                <w:sz w:val="20"/>
                <w:szCs w:val="20"/>
              </w:rPr>
            </w:pPr>
            <w:r w:rsidRPr="00987BD4">
              <w:rPr>
                <w:noProof/>
                <w:sz w:val="20"/>
                <w:szCs w:val="20"/>
              </w:rPr>
              <w:t>137.0</w:t>
            </w:r>
          </w:p>
        </w:tc>
        <w:tc>
          <w:tcPr>
            <w:tcW w:w="797" w:type="pct"/>
            <w:tcBorders>
              <w:top w:val="nil"/>
              <w:left w:val="nil"/>
              <w:bottom w:val="single" w:sz="4" w:space="0" w:color="auto"/>
              <w:right w:val="single" w:sz="4" w:space="0" w:color="auto"/>
            </w:tcBorders>
            <w:shd w:val="clear" w:color="000000" w:fill="FFFFFF"/>
            <w:noWrap/>
            <w:hideMark/>
          </w:tcPr>
          <w:p w14:paraId="350E048F" w14:textId="41AF3E75" w:rsidR="00987BD4" w:rsidRPr="00987BD4" w:rsidRDefault="00987BD4" w:rsidP="00987BD4">
            <w:pPr>
              <w:jc w:val="right"/>
              <w:rPr>
                <w:noProof/>
                <w:sz w:val="20"/>
                <w:szCs w:val="20"/>
              </w:rPr>
            </w:pPr>
            <w:r w:rsidRPr="00987BD4">
              <w:rPr>
                <w:noProof/>
                <w:sz w:val="20"/>
                <w:szCs w:val="20"/>
              </w:rPr>
              <w:t>21.1</w:t>
            </w:r>
          </w:p>
        </w:tc>
        <w:tc>
          <w:tcPr>
            <w:tcW w:w="797" w:type="pct"/>
            <w:tcBorders>
              <w:top w:val="nil"/>
              <w:left w:val="nil"/>
              <w:bottom w:val="single" w:sz="4" w:space="0" w:color="auto"/>
              <w:right w:val="single" w:sz="4" w:space="0" w:color="auto"/>
            </w:tcBorders>
            <w:shd w:val="clear" w:color="000000" w:fill="FFFFFF"/>
            <w:noWrap/>
            <w:hideMark/>
          </w:tcPr>
          <w:p w14:paraId="75D1A89B" w14:textId="7AFBF3BB" w:rsidR="00987BD4" w:rsidRPr="00987BD4" w:rsidRDefault="00987BD4" w:rsidP="00987BD4">
            <w:pPr>
              <w:jc w:val="right"/>
              <w:rPr>
                <w:noProof/>
                <w:sz w:val="20"/>
                <w:szCs w:val="20"/>
              </w:rPr>
            </w:pPr>
            <w:r w:rsidRPr="00987BD4">
              <w:rPr>
                <w:noProof/>
                <w:sz w:val="20"/>
                <w:szCs w:val="20"/>
              </w:rPr>
              <w:t>31.8</w:t>
            </w:r>
          </w:p>
        </w:tc>
        <w:tc>
          <w:tcPr>
            <w:tcW w:w="798" w:type="pct"/>
            <w:tcBorders>
              <w:top w:val="nil"/>
              <w:left w:val="nil"/>
              <w:bottom w:val="single" w:sz="4" w:space="0" w:color="auto"/>
              <w:right w:val="single" w:sz="4" w:space="0" w:color="auto"/>
            </w:tcBorders>
            <w:shd w:val="clear" w:color="000000" w:fill="FFFFFF"/>
            <w:noWrap/>
            <w:hideMark/>
          </w:tcPr>
          <w:p w14:paraId="073E272A" w14:textId="2EC235FC" w:rsidR="00987BD4" w:rsidRPr="00987BD4" w:rsidRDefault="00987BD4" w:rsidP="00987BD4">
            <w:pPr>
              <w:jc w:val="right"/>
              <w:rPr>
                <w:noProof/>
                <w:sz w:val="20"/>
                <w:szCs w:val="20"/>
              </w:rPr>
            </w:pPr>
            <w:r w:rsidRPr="00987BD4">
              <w:rPr>
                <w:noProof/>
                <w:sz w:val="20"/>
                <w:szCs w:val="20"/>
              </w:rPr>
              <w:t>23.8</w:t>
            </w:r>
          </w:p>
        </w:tc>
      </w:tr>
      <w:tr w:rsidR="00987BD4" w:rsidRPr="00CB567D" w14:paraId="6670018B"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712F4260" w14:textId="77777777" w:rsidR="00987BD4" w:rsidRPr="00CB567D" w:rsidRDefault="00987BD4" w:rsidP="00987BD4">
            <w:pPr>
              <w:rPr>
                <w:noProof/>
                <w:sz w:val="20"/>
                <w:szCs w:val="20"/>
              </w:rPr>
            </w:pPr>
            <w:r w:rsidRPr="00CB567D">
              <w:rPr>
                <w:noProof/>
                <w:sz w:val="20"/>
                <w:szCs w:val="20"/>
              </w:rPr>
              <w:t xml:space="preserve"> Netherlands </w:t>
            </w:r>
          </w:p>
        </w:tc>
        <w:tc>
          <w:tcPr>
            <w:tcW w:w="797" w:type="pct"/>
            <w:tcBorders>
              <w:top w:val="nil"/>
              <w:left w:val="nil"/>
              <w:bottom w:val="single" w:sz="4" w:space="0" w:color="auto"/>
              <w:right w:val="single" w:sz="4" w:space="0" w:color="auto"/>
            </w:tcBorders>
            <w:shd w:val="clear" w:color="000000" w:fill="FFFFFF"/>
            <w:noWrap/>
            <w:hideMark/>
          </w:tcPr>
          <w:p w14:paraId="3D125A15" w14:textId="6B9DD17F" w:rsidR="00987BD4" w:rsidRPr="00987BD4" w:rsidRDefault="00987BD4" w:rsidP="00987BD4">
            <w:pPr>
              <w:jc w:val="right"/>
              <w:rPr>
                <w:noProof/>
                <w:sz w:val="20"/>
                <w:szCs w:val="20"/>
              </w:rPr>
            </w:pPr>
            <w:r w:rsidRPr="00987BD4">
              <w:rPr>
                <w:noProof/>
                <w:sz w:val="20"/>
                <w:szCs w:val="20"/>
              </w:rPr>
              <w:t>342.5</w:t>
            </w:r>
          </w:p>
        </w:tc>
        <w:tc>
          <w:tcPr>
            <w:tcW w:w="797" w:type="pct"/>
            <w:tcBorders>
              <w:top w:val="nil"/>
              <w:left w:val="nil"/>
              <w:bottom w:val="single" w:sz="4" w:space="0" w:color="auto"/>
              <w:right w:val="single" w:sz="4" w:space="0" w:color="auto"/>
            </w:tcBorders>
            <w:shd w:val="clear" w:color="000000" w:fill="FFFFFF"/>
            <w:noWrap/>
            <w:hideMark/>
          </w:tcPr>
          <w:p w14:paraId="04169F30" w14:textId="207AE3E2" w:rsidR="00987BD4" w:rsidRPr="00987BD4" w:rsidRDefault="00987BD4" w:rsidP="00987BD4">
            <w:pPr>
              <w:jc w:val="right"/>
              <w:rPr>
                <w:noProof/>
                <w:sz w:val="20"/>
                <w:szCs w:val="20"/>
              </w:rPr>
            </w:pPr>
            <w:r w:rsidRPr="00987BD4">
              <w:rPr>
                <w:noProof/>
                <w:sz w:val="20"/>
                <w:szCs w:val="20"/>
              </w:rPr>
              <w:t>52.6</w:t>
            </w:r>
          </w:p>
        </w:tc>
        <w:tc>
          <w:tcPr>
            <w:tcW w:w="797" w:type="pct"/>
            <w:tcBorders>
              <w:top w:val="nil"/>
              <w:left w:val="nil"/>
              <w:bottom w:val="single" w:sz="4" w:space="0" w:color="auto"/>
              <w:right w:val="single" w:sz="4" w:space="0" w:color="auto"/>
            </w:tcBorders>
            <w:shd w:val="clear" w:color="000000" w:fill="FFFFFF"/>
            <w:noWrap/>
            <w:hideMark/>
          </w:tcPr>
          <w:p w14:paraId="72E5B9D1" w14:textId="25851A90" w:rsidR="00987BD4" w:rsidRPr="00987BD4" w:rsidRDefault="00987BD4" w:rsidP="00987BD4">
            <w:pPr>
              <w:jc w:val="right"/>
              <w:rPr>
                <w:noProof/>
                <w:sz w:val="20"/>
                <w:szCs w:val="20"/>
              </w:rPr>
            </w:pPr>
            <w:r w:rsidRPr="00987BD4">
              <w:rPr>
                <w:noProof/>
                <w:sz w:val="20"/>
                <w:szCs w:val="20"/>
              </w:rPr>
              <w:t>79.5</w:t>
            </w:r>
          </w:p>
        </w:tc>
        <w:tc>
          <w:tcPr>
            <w:tcW w:w="798" w:type="pct"/>
            <w:tcBorders>
              <w:top w:val="nil"/>
              <w:left w:val="nil"/>
              <w:bottom w:val="single" w:sz="4" w:space="0" w:color="auto"/>
              <w:right w:val="single" w:sz="4" w:space="0" w:color="auto"/>
            </w:tcBorders>
            <w:shd w:val="clear" w:color="000000" w:fill="FFFFFF"/>
            <w:noWrap/>
            <w:hideMark/>
          </w:tcPr>
          <w:p w14:paraId="72168EC5" w14:textId="7E58C865" w:rsidR="00987BD4" w:rsidRPr="00987BD4" w:rsidRDefault="00987BD4" w:rsidP="00987BD4">
            <w:pPr>
              <w:jc w:val="right"/>
              <w:rPr>
                <w:noProof/>
                <w:sz w:val="20"/>
                <w:szCs w:val="20"/>
              </w:rPr>
            </w:pPr>
            <w:r w:rsidRPr="00987BD4">
              <w:rPr>
                <w:noProof/>
                <w:sz w:val="20"/>
                <w:szCs w:val="20"/>
              </w:rPr>
              <w:t>59.4</w:t>
            </w:r>
          </w:p>
        </w:tc>
      </w:tr>
      <w:tr w:rsidR="00987BD4" w:rsidRPr="00CB567D" w14:paraId="2EBC1B13"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71F81393" w14:textId="77777777" w:rsidR="00987BD4" w:rsidRPr="00CB567D" w:rsidRDefault="00987BD4" w:rsidP="00987BD4">
            <w:pPr>
              <w:rPr>
                <w:noProof/>
                <w:sz w:val="20"/>
                <w:szCs w:val="20"/>
              </w:rPr>
            </w:pPr>
            <w:r w:rsidRPr="00CB567D">
              <w:rPr>
                <w:noProof/>
                <w:sz w:val="20"/>
                <w:szCs w:val="20"/>
              </w:rPr>
              <w:t xml:space="preserve"> France </w:t>
            </w:r>
          </w:p>
        </w:tc>
        <w:tc>
          <w:tcPr>
            <w:tcW w:w="797" w:type="pct"/>
            <w:tcBorders>
              <w:top w:val="nil"/>
              <w:left w:val="nil"/>
              <w:bottom w:val="single" w:sz="4" w:space="0" w:color="auto"/>
              <w:right w:val="single" w:sz="4" w:space="0" w:color="auto"/>
            </w:tcBorders>
            <w:shd w:val="clear" w:color="000000" w:fill="FFFFFF"/>
            <w:noWrap/>
            <w:hideMark/>
          </w:tcPr>
          <w:p w14:paraId="5513E5B0" w14:textId="2F0CD2D6" w:rsidR="00987BD4" w:rsidRPr="00987BD4" w:rsidRDefault="00987BD4" w:rsidP="00987BD4">
            <w:pPr>
              <w:jc w:val="right"/>
              <w:rPr>
                <w:noProof/>
                <w:sz w:val="20"/>
                <w:szCs w:val="20"/>
              </w:rPr>
            </w:pPr>
            <w:r w:rsidRPr="00987BD4">
              <w:rPr>
                <w:noProof/>
                <w:sz w:val="20"/>
                <w:szCs w:val="20"/>
              </w:rPr>
              <w:t>445.3</w:t>
            </w:r>
          </w:p>
        </w:tc>
        <w:tc>
          <w:tcPr>
            <w:tcW w:w="797" w:type="pct"/>
            <w:tcBorders>
              <w:top w:val="nil"/>
              <w:left w:val="nil"/>
              <w:bottom w:val="single" w:sz="4" w:space="0" w:color="auto"/>
              <w:right w:val="single" w:sz="4" w:space="0" w:color="auto"/>
            </w:tcBorders>
            <w:shd w:val="clear" w:color="000000" w:fill="FFFFFF"/>
            <w:noWrap/>
            <w:hideMark/>
          </w:tcPr>
          <w:p w14:paraId="775F715E" w14:textId="1A01373B" w:rsidR="00987BD4" w:rsidRPr="00987BD4" w:rsidRDefault="00987BD4" w:rsidP="00987BD4">
            <w:pPr>
              <w:jc w:val="right"/>
              <w:rPr>
                <w:noProof/>
                <w:sz w:val="20"/>
                <w:szCs w:val="20"/>
              </w:rPr>
            </w:pPr>
            <w:r w:rsidRPr="00987BD4">
              <w:rPr>
                <w:noProof/>
                <w:sz w:val="20"/>
                <w:szCs w:val="20"/>
              </w:rPr>
              <w:t>68.4</w:t>
            </w:r>
          </w:p>
        </w:tc>
        <w:tc>
          <w:tcPr>
            <w:tcW w:w="797" w:type="pct"/>
            <w:tcBorders>
              <w:top w:val="nil"/>
              <w:left w:val="nil"/>
              <w:bottom w:val="single" w:sz="4" w:space="0" w:color="auto"/>
              <w:right w:val="single" w:sz="4" w:space="0" w:color="auto"/>
            </w:tcBorders>
            <w:shd w:val="clear" w:color="000000" w:fill="FFFFFF"/>
            <w:noWrap/>
            <w:hideMark/>
          </w:tcPr>
          <w:p w14:paraId="238D1A96" w14:textId="3BB0A3F5" w:rsidR="00987BD4" w:rsidRPr="00987BD4" w:rsidRDefault="00987BD4" w:rsidP="00987BD4">
            <w:pPr>
              <w:jc w:val="right"/>
              <w:rPr>
                <w:noProof/>
                <w:sz w:val="20"/>
                <w:szCs w:val="20"/>
              </w:rPr>
            </w:pPr>
            <w:r w:rsidRPr="00987BD4">
              <w:rPr>
                <w:noProof/>
                <w:sz w:val="20"/>
                <w:szCs w:val="20"/>
              </w:rPr>
              <w:t>103.3</w:t>
            </w:r>
          </w:p>
        </w:tc>
        <w:tc>
          <w:tcPr>
            <w:tcW w:w="798" w:type="pct"/>
            <w:tcBorders>
              <w:top w:val="nil"/>
              <w:left w:val="nil"/>
              <w:bottom w:val="single" w:sz="4" w:space="0" w:color="auto"/>
              <w:right w:val="single" w:sz="4" w:space="0" w:color="auto"/>
            </w:tcBorders>
            <w:shd w:val="clear" w:color="000000" w:fill="FFFFFF"/>
            <w:noWrap/>
            <w:hideMark/>
          </w:tcPr>
          <w:p w14:paraId="7741B4A5" w14:textId="028EB976" w:rsidR="00987BD4" w:rsidRPr="00987BD4" w:rsidRDefault="00987BD4" w:rsidP="00987BD4">
            <w:pPr>
              <w:jc w:val="right"/>
              <w:rPr>
                <w:noProof/>
                <w:sz w:val="20"/>
                <w:szCs w:val="20"/>
              </w:rPr>
            </w:pPr>
            <w:r w:rsidRPr="00987BD4">
              <w:rPr>
                <w:noProof/>
                <w:sz w:val="20"/>
                <w:szCs w:val="20"/>
              </w:rPr>
              <w:t>77.3</w:t>
            </w:r>
          </w:p>
        </w:tc>
      </w:tr>
      <w:tr w:rsidR="00987BD4" w:rsidRPr="00CB567D" w14:paraId="5904E664"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01676892" w14:textId="77777777" w:rsidR="00987BD4" w:rsidRPr="00CB567D" w:rsidRDefault="00987BD4" w:rsidP="00987BD4">
            <w:pPr>
              <w:rPr>
                <w:noProof/>
                <w:sz w:val="20"/>
                <w:szCs w:val="20"/>
              </w:rPr>
            </w:pPr>
            <w:r w:rsidRPr="00CB567D">
              <w:rPr>
                <w:noProof/>
                <w:sz w:val="20"/>
                <w:szCs w:val="20"/>
              </w:rPr>
              <w:t xml:space="preserve"> Poland </w:t>
            </w:r>
          </w:p>
        </w:tc>
        <w:tc>
          <w:tcPr>
            <w:tcW w:w="797" w:type="pct"/>
            <w:tcBorders>
              <w:top w:val="nil"/>
              <w:left w:val="nil"/>
              <w:bottom w:val="single" w:sz="4" w:space="0" w:color="auto"/>
              <w:right w:val="single" w:sz="4" w:space="0" w:color="auto"/>
            </w:tcBorders>
            <w:shd w:val="clear" w:color="000000" w:fill="FFFFFF"/>
            <w:noWrap/>
            <w:hideMark/>
          </w:tcPr>
          <w:p w14:paraId="77235325" w14:textId="386D93F9" w:rsidR="00987BD4" w:rsidRPr="00987BD4" w:rsidRDefault="00987BD4" w:rsidP="00987BD4">
            <w:pPr>
              <w:jc w:val="right"/>
              <w:rPr>
                <w:noProof/>
                <w:sz w:val="20"/>
                <w:szCs w:val="20"/>
              </w:rPr>
            </w:pPr>
            <w:r w:rsidRPr="00987BD4">
              <w:rPr>
                <w:noProof/>
                <w:sz w:val="20"/>
                <w:szCs w:val="20"/>
              </w:rPr>
              <w:t>239.8</w:t>
            </w:r>
          </w:p>
        </w:tc>
        <w:tc>
          <w:tcPr>
            <w:tcW w:w="797" w:type="pct"/>
            <w:tcBorders>
              <w:top w:val="nil"/>
              <w:left w:val="nil"/>
              <w:bottom w:val="single" w:sz="4" w:space="0" w:color="auto"/>
              <w:right w:val="single" w:sz="4" w:space="0" w:color="auto"/>
            </w:tcBorders>
            <w:shd w:val="clear" w:color="000000" w:fill="FFFFFF"/>
            <w:noWrap/>
            <w:hideMark/>
          </w:tcPr>
          <w:p w14:paraId="2139B5CB" w14:textId="5ED28276" w:rsidR="00987BD4" w:rsidRPr="00987BD4" w:rsidRDefault="00987BD4" w:rsidP="00987BD4">
            <w:pPr>
              <w:jc w:val="right"/>
              <w:rPr>
                <w:noProof/>
                <w:sz w:val="20"/>
                <w:szCs w:val="20"/>
              </w:rPr>
            </w:pPr>
            <w:r w:rsidRPr="00987BD4">
              <w:rPr>
                <w:noProof/>
                <w:sz w:val="20"/>
                <w:szCs w:val="20"/>
              </w:rPr>
              <w:t>36.8</w:t>
            </w:r>
          </w:p>
        </w:tc>
        <w:tc>
          <w:tcPr>
            <w:tcW w:w="797" w:type="pct"/>
            <w:tcBorders>
              <w:top w:val="nil"/>
              <w:left w:val="nil"/>
              <w:bottom w:val="single" w:sz="4" w:space="0" w:color="auto"/>
              <w:right w:val="single" w:sz="4" w:space="0" w:color="auto"/>
            </w:tcBorders>
            <w:shd w:val="clear" w:color="000000" w:fill="FFFFFF"/>
            <w:noWrap/>
            <w:hideMark/>
          </w:tcPr>
          <w:p w14:paraId="3DFFFBCC" w14:textId="4CE3D2E4" w:rsidR="00987BD4" w:rsidRPr="00987BD4" w:rsidRDefault="00987BD4" w:rsidP="00987BD4">
            <w:pPr>
              <w:jc w:val="right"/>
              <w:rPr>
                <w:noProof/>
                <w:sz w:val="20"/>
                <w:szCs w:val="20"/>
              </w:rPr>
            </w:pPr>
            <w:r w:rsidRPr="00987BD4">
              <w:rPr>
                <w:noProof/>
                <w:sz w:val="20"/>
                <w:szCs w:val="20"/>
              </w:rPr>
              <w:t>55.6</w:t>
            </w:r>
          </w:p>
        </w:tc>
        <w:tc>
          <w:tcPr>
            <w:tcW w:w="798" w:type="pct"/>
            <w:tcBorders>
              <w:top w:val="nil"/>
              <w:left w:val="nil"/>
              <w:bottom w:val="single" w:sz="4" w:space="0" w:color="auto"/>
              <w:right w:val="single" w:sz="4" w:space="0" w:color="auto"/>
            </w:tcBorders>
            <w:shd w:val="clear" w:color="000000" w:fill="FFFFFF"/>
            <w:noWrap/>
            <w:hideMark/>
          </w:tcPr>
          <w:p w14:paraId="206B8CCA" w14:textId="5B1E4F7D" w:rsidR="00987BD4" w:rsidRPr="00987BD4" w:rsidRDefault="00987BD4" w:rsidP="00987BD4">
            <w:pPr>
              <w:jc w:val="right"/>
              <w:rPr>
                <w:noProof/>
                <w:sz w:val="20"/>
                <w:szCs w:val="20"/>
              </w:rPr>
            </w:pPr>
            <w:r w:rsidRPr="00987BD4">
              <w:rPr>
                <w:noProof/>
                <w:sz w:val="20"/>
                <w:szCs w:val="20"/>
              </w:rPr>
              <w:t>41.6</w:t>
            </w:r>
          </w:p>
        </w:tc>
      </w:tr>
      <w:tr w:rsidR="00987BD4" w:rsidRPr="00CB567D" w14:paraId="318235E0"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2C076F55" w14:textId="77777777" w:rsidR="00987BD4" w:rsidRPr="00CB567D" w:rsidRDefault="00987BD4" w:rsidP="00987BD4">
            <w:pPr>
              <w:rPr>
                <w:noProof/>
                <w:sz w:val="20"/>
                <w:szCs w:val="20"/>
              </w:rPr>
            </w:pPr>
            <w:r w:rsidRPr="00CB567D">
              <w:rPr>
                <w:noProof/>
                <w:sz w:val="20"/>
                <w:szCs w:val="20"/>
              </w:rPr>
              <w:t xml:space="preserve"> Italy </w:t>
            </w:r>
          </w:p>
        </w:tc>
        <w:tc>
          <w:tcPr>
            <w:tcW w:w="797" w:type="pct"/>
            <w:tcBorders>
              <w:top w:val="nil"/>
              <w:left w:val="nil"/>
              <w:bottom w:val="single" w:sz="4" w:space="0" w:color="auto"/>
              <w:right w:val="single" w:sz="4" w:space="0" w:color="auto"/>
            </w:tcBorders>
            <w:shd w:val="clear" w:color="000000" w:fill="FFFFFF"/>
            <w:noWrap/>
            <w:hideMark/>
          </w:tcPr>
          <w:p w14:paraId="3446E406" w14:textId="34DC665F" w:rsidR="00987BD4" w:rsidRPr="00987BD4" w:rsidRDefault="00987BD4" w:rsidP="00987BD4">
            <w:pPr>
              <w:jc w:val="right"/>
              <w:rPr>
                <w:noProof/>
                <w:sz w:val="20"/>
                <w:szCs w:val="20"/>
              </w:rPr>
            </w:pPr>
            <w:r w:rsidRPr="00987BD4">
              <w:rPr>
                <w:noProof/>
                <w:sz w:val="20"/>
                <w:szCs w:val="20"/>
              </w:rPr>
              <w:t>205.5</w:t>
            </w:r>
          </w:p>
        </w:tc>
        <w:tc>
          <w:tcPr>
            <w:tcW w:w="797" w:type="pct"/>
            <w:tcBorders>
              <w:top w:val="nil"/>
              <w:left w:val="nil"/>
              <w:bottom w:val="single" w:sz="4" w:space="0" w:color="auto"/>
              <w:right w:val="single" w:sz="4" w:space="0" w:color="auto"/>
            </w:tcBorders>
            <w:shd w:val="clear" w:color="000000" w:fill="FFFFFF"/>
            <w:noWrap/>
            <w:hideMark/>
          </w:tcPr>
          <w:p w14:paraId="1EA69359" w14:textId="06501CF0" w:rsidR="00987BD4" w:rsidRPr="00987BD4" w:rsidRDefault="00987BD4" w:rsidP="00987BD4">
            <w:pPr>
              <w:jc w:val="right"/>
              <w:rPr>
                <w:noProof/>
                <w:sz w:val="20"/>
                <w:szCs w:val="20"/>
              </w:rPr>
            </w:pPr>
            <w:r w:rsidRPr="00987BD4">
              <w:rPr>
                <w:noProof/>
                <w:sz w:val="20"/>
                <w:szCs w:val="20"/>
              </w:rPr>
              <w:t>31.6</w:t>
            </w:r>
          </w:p>
        </w:tc>
        <w:tc>
          <w:tcPr>
            <w:tcW w:w="797" w:type="pct"/>
            <w:tcBorders>
              <w:top w:val="nil"/>
              <w:left w:val="nil"/>
              <w:bottom w:val="single" w:sz="4" w:space="0" w:color="auto"/>
              <w:right w:val="single" w:sz="4" w:space="0" w:color="auto"/>
            </w:tcBorders>
            <w:shd w:val="clear" w:color="000000" w:fill="FFFFFF"/>
            <w:noWrap/>
            <w:hideMark/>
          </w:tcPr>
          <w:p w14:paraId="776F76A6" w14:textId="4A72CF2C" w:rsidR="00987BD4" w:rsidRPr="00987BD4" w:rsidRDefault="00987BD4" w:rsidP="00987BD4">
            <w:pPr>
              <w:jc w:val="right"/>
              <w:rPr>
                <w:noProof/>
                <w:sz w:val="20"/>
                <w:szCs w:val="20"/>
              </w:rPr>
            </w:pPr>
            <w:r w:rsidRPr="00987BD4">
              <w:rPr>
                <w:noProof/>
                <w:sz w:val="20"/>
                <w:szCs w:val="20"/>
              </w:rPr>
              <w:t>47.7</w:t>
            </w:r>
          </w:p>
        </w:tc>
        <w:tc>
          <w:tcPr>
            <w:tcW w:w="798" w:type="pct"/>
            <w:tcBorders>
              <w:top w:val="nil"/>
              <w:left w:val="nil"/>
              <w:bottom w:val="single" w:sz="4" w:space="0" w:color="auto"/>
              <w:right w:val="single" w:sz="4" w:space="0" w:color="auto"/>
            </w:tcBorders>
            <w:shd w:val="clear" w:color="000000" w:fill="FFFFFF"/>
            <w:noWrap/>
            <w:hideMark/>
          </w:tcPr>
          <w:p w14:paraId="0A27BCCA" w14:textId="3182965D" w:rsidR="00987BD4" w:rsidRPr="00987BD4" w:rsidRDefault="00987BD4" w:rsidP="00987BD4">
            <w:pPr>
              <w:jc w:val="right"/>
              <w:rPr>
                <w:noProof/>
                <w:sz w:val="20"/>
                <w:szCs w:val="20"/>
              </w:rPr>
            </w:pPr>
            <w:r w:rsidRPr="00987BD4">
              <w:rPr>
                <w:noProof/>
                <w:sz w:val="20"/>
                <w:szCs w:val="20"/>
              </w:rPr>
              <w:t>35.7</w:t>
            </w:r>
          </w:p>
        </w:tc>
      </w:tr>
      <w:tr w:rsidR="00987BD4" w:rsidRPr="00CB567D" w14:paraId="4AE0B31E"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6B599775" w14:textId="77777777" w:rsidR="00987BD4" w:rsidRPr="00CB567D" w:rsidRDefault="00987BD4" w:rsidP="00987BD4">
            <w:pPr>
              <w:rPr>
                <w:noProof/>
                <w:sz w:val="20"/>
                <w:szCs w:val="20"/>
              </w:rPr>
            </w:pPr>
            <w:r w:rsidRPr="00CB567D">
              <w:rPr>
                <w:noProof/>
                <w:sz w:val="20"/>
                <w:szCs w:val="20"/>
              </w:rPr>
              <w:t xml:space="preserve"> Belgium </w:t>
            </w:r>
          </w:p>
        </w:tc>
        <w:tc>
          <w:tcPr>
            <w:tcW w:w="797" w:type="pct"/>
            <w:tcBorders>
              <w:top w:val="nil"/>
              <w:left w:val="nil"/>
              <w:bottom w:val="single" w:sz="4" w:space="0" w:color="auto"/>
              <w:right w:val="single" w:sz="4" w:space="0" w:color="auto"/>
            </w:tcBorders>
            <w:shd w:val="clear" w:color="000000" w:fill="FFFFFF"/>
            <w:noWrap/>
            <w:hideMark/>
          </w:tcPr>
          <w:p w14:paraId="67144F79" w14:textId="79CF3D48" w:rsidR="00987BD4" w:rsidRPr="00987BD4" w:rsidRDefault="00987BD4" w:rsidP="00987BD4">
            <w:pPr>
              <w:jc w:val="right"/>
              <w:rPr>
                <w:noProof/>
                <w:sz w:val="20"/>
                <w:szCs w:val="20"/>
              </w:rPr>
            </w:pPr>
            <w:r w:rsidRPr="00987BD4">
              <w:rPr>
                <w:noProof/>
                <w:sz w:val="20"/>
                <w:szCs w:val="20"/>
              </w:rPr>
              <w:t>205.5</w:t>
            </w:r>
          </w:p>
        </w:tc>
        <w:tc>
          <w:tcPr>
            <w:tcW w:w="797" w:type="pct"/>
            <w:tcBorders>
              <w:top w:val="nil"/>
              <w:left w:val="nil"/>
              <w:bottom w:val="single" w:sz="4" w:space="0" w:color="auto"/>
              <w:right w:val="single" w:sz="4" w:space="0" w:color="auto"/>
            </w:tcBorders>
            <w:shd w:val="clear" w:color="000000" w:fill="FFFFFF"/>
            <w:noWrap/>
            <w:hideMark/>
          </w:tcPr>
          <w:p w14:paraId="1139CB6C" w14:textId="1E6EE8A5" w:rsidR="00987BD4" w:rsidRPr="00987BD4" w:rsidRDefault="00987BD4" w:rsidP="00987BD4">
            <w:pPr>
              <w:jc w:val="right"/>
              <w:rPr>
                <w:noProof/>
                <w:sz w:val="20"/>
                <w:szCs w:val="20"/>
              </w:rPr>
            </w:pPr>
            <w:r w:rsidRPr="00987BD4">
              <w:rPr>
                <w:noProof/>
                <w:sz w:val="20"/>
                <w:szCs w:val="20"/>
              </w:rPr>
              <w:t>31.6</w:t>
            </w:r>
          </w:p>
        </w:tc>
        <w:tc>
          <w:tcPr>
            <w:tcW w:w="797" w:type="pct"/>
            <w:tcBorders>
              <w:top w:val="nil"/>
              <w:left w:val="nil"/>
              <w:bottom w:val="single" w:sz="4" w:space="0" w:color="auto"/>
              <w:right w:val="single" w:sz="4" w:space="0" w:color="auto"/>
            </w:tcBorders>
            <w:shd w:val="clear" w:color="000000" w:fill="FFFFFF"/>
            <w:noWrap/>
            <w:hideMark/>
          </w:tcPr>
          <w:p w14:paraId="713DA860" w14:textId="1FDFD497" w:rsidR="00987BD4" w:rsidRPr="00987BD4" w:rsidRDefault="00987BD4" w:rsidP="00987BD4">
            <w:pPr>
              <w:jc w:val="right"/>
              <w:rPr>
                <w:noProof/>
                <w:sz w:val="20"/>
                <w:szCs w:val="20"/>
              </w:rPr>
            </w:pPr>
            <w:r w:rsidRPr="00987BD4">
              <w:rPr>
                <w:noProof/>
                <w:sz w:val="20"/>
                <w:szCs w:val="20"/>
              </w:rPr>
              <w:t>47.7</w:t>
            </w:r>
          </w:p>
        </w:tc>
        <w:tc>
          <w:tcPr>
            <w:tcW w:w="798" w:type="pct"/>
            <w:tcBorders>
              <w:top w:val="nil"/>
              <w:left w:val="nil"/>
              <w:bottom w:val="single" w:sz="4" w:space="0" w:color="auto"/>
              <w:right w:val="single" w:sz="4" w:space="0" w:color="auto"/>
            </w:tcBorders>
            <w:shd w:val="clear" w:color="000000" w:fill="FFFFFF"/>
            <w:noWrap/>
            <w:hideMark/>
          </w:tcPr>
          <w:p w14:paraId="65716947" w14:textId="68EB65BE" w:rsidR="00987BD4" w:rsidRPr="00987BD4" w:rsidRDefault="00987BD4" w:rsidP="00987BD4">
            <w:pPr>
              <w:jc w:val="right"/>
              <w:rPr>
                <w:noProof/>
                <w:sz w:val="20"/>
                <w:szCs w:val="20"/>
              </w:rPr>
            </w:pPr>
            <w:r w:rsidRPr="00987BD4">
              <w:rPr>
                <w:noProof/>
                <w:sz w:val="20"/>
                <w:szCs w:val="20"/>
              </w:rPr>
              <w:t>35.7</w:t>
            </w:r>
          </w:p>
        </w:tc>
      </w:tr>
      <w:tr w:rsidR="00987BD4" w:rsidRPr="00CB567D" w14:paraId="5BE5AC0C"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29445613" w14:textId="77777777" w:rsidR="00987BD4" w:rsidRPr="00CB567D" w:rsidRDefault="00987BD4" w:rsidP="00987BD4">
            <w:pPr>
              <w:rPr>
                <w:noProof/>
                <w:sz w:val="20"/>
                <w:szCs w:val="20"/>
              </w:rPr>
            </w:pPr>
            <w:r w:rsidRPr="00CB567D">
              <w:rPr>
                <w:noProof/>
                <w:sz w:val="20"/>
                <w:szCs w:val="20"/>
              </w:rPr>
              <w:t xml:space="preserve"> Portugal </w:t>
            </w:r>
          </w:p>
        </w:tc>
        <w:tc>
          <w:tcPr>
            <w:tcW w:w="797" w:type="pct"/>
            <w:tcBorders>
              <w:top w:val="nil"/>
              <w:left w:val="nil"/>
              <w:bottom w:val="single" w:sz="4" w:space="0" w:color="auto"/>
              <w:right w:val="single" w:sz="4" w:space="0" w:color="auto"/>
            </w:tcBorders>
            <w:shd w:val="clear" w:color="000000" w:fill="FFFFFF"/>
            <w:noWrap/>
            <w:hideMark/>
          </w:tcPr>
          <w:p w14:paraId="3DA6D804" w14:textId="29AB0F67" w:rsidR="00987BD4" w:rsidRPr="00987BD4" w:rsidRDefault="00987BD4" w:rsidP="00987BD4">
            <w:pPr>
              <w:jc w:val="right"/>
              <w:rPr>
                <w:noProof/>
                <w:sz w:val="20"/>
                <w:szCs w:val="20"/>
              </w:rPr>
            </w:pPr>
            <w:r w:rsidRPr="00987BD4">
              <w:rPr>
                <w:noProof/>
                <w:sz w:val="20"/>
                <w:szCs w:val="20"/>
              </w:rPr>
              <w:t>68.5</w:t>
            </w:r>
          </w:p>
        </w:tc>
        <w:tc>
          <w:tcPr>
            <w:tcW w:w="797" w:type="pct"/>
            <w:tcBorders>
              <w:top w:val="nil"/>
              <w:left w:val="nil"/>
              <w:bottom w:val="single" w:sz="4" w:space="0" w:color="auto"/>
              <w:right w:val="single" w:sz="4" w:space="0" w:color="auto"/>
            </w:tcBorders>
            <w:shd w:val="clear" w:color="000000" w:fill="FFFFFF"/>
            <w:noWrap/>
            <w:hideMark/>
          </w:tcPr>
          <w:p w14:paraId="44B9E55F" w14:textId="227AB30B" w:rsidR="00987BD4" w:rsidRPr="00987BD4" w:rsidRDefault="00987BD4" w:rsidP="00987BD4">
            <w:pPr>
              <w:jc w:val="right"/>
              <w:rPr>
                <w:noProof/>
                <w:sz w:val="20"/>
                <w:szCs w:val="20"/>
              </w:rPr>
            </w:pPr>
            <w:r w:rsidRPr="00987BD4">
              <w:rPr>
                <w:noProof/>
                <w:sz w:val="20"/>
                <w:szCs w:val="20"/>
              </w:rPr>
              <w:t>10.5</w:t>
            </w:r>
          </w:p>
        </w:tc>
        <w:tc>
          <w:tcPr>
            <w:tcW w:w="797" w:type="pct"/>
            <w:tcBorders>
              <w:top w:val="nil"/>
              <w:left w:val="nil"/>
              <w:bottom w:val="single" w:sz="4" w:space="0" w:color="auto"/>
              <w:right w:val="single" w:sz="4" w:space="0" w:color="auto"/>
            </w:tcBorders>
            <w:shd w:val="clear" w:color="000000" w:fill="FFFFFF"/>
            <w:noWrap/>
            <w:hideMark/>
          </w:tcPr>
          <w:p w14:paraId="2AA15823" w14:textId="5833718E" w:rsidR="00987BD4" w:rsidRPr="00987BD4" w:rsidRDefault="00987BD4" w:rsidP="00987BD4">
            <w:pPr>
              <w:jc w:val="right"/>
              <w:rPr>
                <w:noProof/>
                <w:sz w:val="20"/>
                <w:szCs w:val="20"/>
              </w:rPr>
            </w:pPr>
            <w:r w:rsidRPr="00987BD4">
              <w:rPr>
                <w:noProof/>
                <w:sz w:val="20"/>
                <w:szCs w:val="20"/>
              </w:rPr>
              <w:t>15.9</w:t>
            </w:r>
          </w:p>
        </w:tc>
        <w:tc>
          <w:tcPr>
            <w:tcW w:w="798" w:type="pct"/>
            <w:tcBorders>
              <w:top w:val="nil"/>
              <w:left w:val="nil"/>
              <w:bottom w:val="single" w:sz="4" w:space="0" w:color="auto"/>
              <w:right w:val="single" w:sz="4" w:space="0" w:color="auto"/>
            </w:tcBorders>
            <w:shd w:val="clear" w:color="000000" w:fill="FFFFFF"/>
            <w:noWrap/>
            <w:hideMark/>
          </w:tcPr>
          <w:p w14:paraId="0ABEFC67" w14:textId="48983624" w:rsidR="00987BD4" w:rsidRPr="00987BD4" w:rsidRDefault="00987BD4" w:rsidP="00987BD4">
            <w:pPr>
              <w:jc w:val="right"/>
              <w:rPr>
                <w:noProof/>
                <w:sz w:val="20"/>
                <w:szCs w:val="20"/>
              </w:rPr>
            </w:pPr>
            <w:r w:rsidRPr="00987BD4">
              <w:rPr>
                <w:noProof/>
                <w:sz w:val="20"/>
                <w:szCs w:val="20"/>
              </w:rPr>
              <w:t>11.9</w:t>
            </w:r>
          </w:p>
        </w:tc>
      </w:tr>
      <w:tr w:rsidR="00987BD4" w:rsidRPr="00CB567D" w14:paraId="5742869C"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15061DC8" w14:textId="77777777" w:rsidR="00987BD4" w:rsidRPr="00CB567D" w:rsidRDefault="00987BD4" w:rsidP="00987BD4">
            <w:pPr>
              <w:rPr>
                <w:noProof/>
                <w:sz w:val="20"/>
                <w:szCs w:val="20"/>
              </w:rPr>
            </w:pPr>
            <w:r w:rsidRPr="00CB567D">
              <w:rPr>
                <w:noProof/>
                <w:sz w:val="20"/>
                <w:szCs w:val="20"/>
              </w:rPr>
              <w:t xml:space="preserve"> Malta </w:t>
            </w:r>
          </w:p>
        </w:tc>
        <w:tc>
          <w:tcPr>
            <w:tcW w:w="797" w:type="pct"/>
            <w:tcBorders>
              <w:top w:val="nil"/>
              <w:left w:val="nil"/>
              <w:bottom w:val="single" w:sz="4" w:space="0" w:color="auto"/>
              <w:right w:val="single" w:sz="4" w:space="0" w:color="auto"/>
            </w:tcBorders>
            <w:shd w:val="clear" w:color="000000" w:fill="FFFFFF"/>
            <w:noWrap/>
            <w:hideMark/>
          </w:tcPr>
          <w:p w14:paraId="26B137D5" w14:textId="1261EFF4" w:rsidR="00987BD4" w:rsidRPr="00987BD4" w:rsidRDefault="00987BD4" w:rsidP="00987BD4">
            <w:pPr>
              <w:jc w:val="right"/>
              <w:rPr>
                <w:noProof/>
                <w:sz w:val="20"/>
                <w:szCs w:val="20"/>
              </w:rPr>
            </w:pPr>
            <w:r w:rsidRPr="00987BD4">
              <w:rPr>
                <w:noProof/>
                <w:sz w:val="20"/>
                <w:szCs w:val="20"/>
              </w:rPr>
              <w:t>34.3</w:t>
            </w:r>
          </w:p>
        </w:tc>
        <w:tc>
          <w:tcPr>
            <w:tcW w:w="797" w:type="pct"/>
            <w:tcBorders>
              <w:top w:val="nil"/>
              <w:left w:val="nil"/>
              <w:bottom w:val="single" w:sz="4" w:space="0" w:color="auto"/>
              <w:right w:val="single" w:sz="4" w:space="0" w:color="auto"/>
            </w:tcBorders>
            <w:shd w:val="clear" w:color="000000" w:fill="FFFFFF"/>
            <w:noWrap/>
            <w:hideMark/>
          </w:tcPr>
          <w:p w14:paraId="77B7A65D" w14:textId="523F1432" w:rsidR="00987BD4" w:rsidRPr="00987BD4" w:rsidRDefault="00987BD4" w:rsidP="00987BD4">
            <w:pPr>
              <w:jc w:val="right"/>
              <w:rPr>
                <w:noProof/>
                <w:sz w:val="20"/>
                <w:szCs w:val="20"/>
              </w:rPr>
            </w:pPr>
            <w:r w:rsidRPr="00987BD4">
              <w:rPr>
                <w:noProof/>
                <w:sz w:val="20"/>
                <w:szCs w:val="20"/>
              </w:rPr>
              <w:t>5.3</w:t>
            </w:r>
          </w:p>
        </w:tc>
        <w:tc>
          <w:tcPr>
            <w:tcW w:w="797" w:type="pct"/>
            <w:tcBorders>
              <w:top w:val="nil"/>
              <w:left w:val="nil"/>
              <w:bottom w:val="single" w:sz="4" w:space="0" w:color="auto"/>
              <w:right w:val="single" w:sz="4" w:space="0" w:color="auto"/>
            </w:tcBorders>
            <w:shd w:val="clear" w:color="000000" w:fill="FFFFFF"/>
            <w:noWrap/>
            <w:hideMark/>
          </w:tcPr>
          <w:p w14:paraId="5B7642A2" w14:textId="58F6909D" w:rsidR="00987BD4" w:rsidRPr="00987BD4" w:rsidRDefault="00987BD4" w:rsidP="00987BD4">
            <w:pPr>
              <w:jc w:val="right"/>
              <w:rPr>
                <w:noProof/>
                <w:sz w:val="20"/>
                <w:szCs w:val="20"/>
              </w:rPr>
            </w:pPr>
            <w:r w:rsidRPr="00987BD4">
              <w:rPr>
                <w:noProof/>
                <w:sz w:val="20"/>
                <w:szCs w:val="20"/>
              </w:rPr>
              <w:t>7.9</w:t>
            </w:r>
          </w:p>
        </w:tc>
        <w:tc>
          <w:tcPr>
            <w:tcW w:w="798" w:type="pct"/>
            <w:tcBorders>
              <w:top w:val="nil"/>
              <w:left w:val="nil"/>
              <w:bottom w:val="single" w:sz="4" w:space="0" w:color="auto"/>
              <w:right w:val="single" w:sz="4" w:space="0" w:color="auto"/>
            </w:tcBorders>
            <w:shd w:val="clear" w:color="000000" w:fill="FFFFFF"/>
            <w:noWrap/>
            <w:hideMark/>
          </w:tcPr>
          <w:p w14:paraId="62E71CA3" w14:textId="0616B7B2" w:rsidR="00987BD4" w:rsidRPr="00987BD4" w:rsidRDefault="00987BD4" w:rsidP="00987BD4">
            <w:pPr>
              <w:jc w:val="right"/>
              <w:rPr>
                <w:noProof/>
                <w:sz w:val="20"/>
                <w:szCs w:val="20"/>
              </w:rPr>
            </w:pPr>
            <w:r w:rsidRPr="00987BD4">
              <w:rPr>
                <w:noProof/>
                <w:sz w:val="20"/>
                <w:szCs w:val="20"/>
              </w:rPr>
              <w:t>5.9</w:t>
            </w:r>
          </w:p>
        </w:tc>
      </w:tr>
      <w:tr w:rsidR="00987BD4" w:rsidRPr="00CB567D" w14:paraId="077FF6D2"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2E32F001" w14:textId="77777777" w:rsidR="00987BD4" w:rsidRPr="00CB567D" w:rsidRDefault="00987BD4" w:rsidP="00987BD4">
            <w:pPr>
              <w:rPr>
                <w:noProof/>
                <w:sz w:val="20"/>
                <w:szCs w:val="20"/>
              </w:rPr>
            </w:pPr>
            <w:r w:rsidRPr="00CB567D">
              <w:rPr>
                <w:noProof/>
                <w:sz w:val="20"/>
                <w:szCs w:val="20"/>
              </w:rPr>
              <w:t xml:space="preserve"> Cyprus </w:t>
            </w:r>
          </w:p>
        </w:tc>
        <w:tc>
          <w:tcPr>
            <w:tcW w:w="797" w:type="pct"/>
            <w:tcBorders>
              <w:top w:val="nil"/>
              <w:left w:val="nil"/>
              <w:bottom w:val="single" w:sz="4" w:space="0" w:color="auto"/>
              <w:right w:val="single" w:sz="4" w:space="0" w:color="auto"/>
            </w:tcBorders>
            <w:shd w:val="clear" w:color="000000" w:fill="FFFFFF"/>
            <w:noWrap/>
            <w:hideMark/>
          </w:tcPr>
          <w:p w14:paraId="732E2E54" w14:textId="3091E748" w:rsidR="00987BD4" w:rsidRPr="00987BD4" w:rsidRDefault="00987BD4" w:rsidP="00987BD4">
            <w:pPr>
              <w:jc w:val="right"/>
              <w:rPr>
                <w:noProof/>
                <w:sz w:val="20"/>
                <w:szCs w:val="20"/>
              </w:rPr>
            </w:pPr>
            <w:r w:rsidRPr="00987BD4">
              <w:rPr>
                <w:noProof/>
                <w:sz w:val="20"/>
                <w:szCs w:val="20"/>
              </w:rPr>
              <w:t>34.3</w:t>
            </w:r>
          </w:p>
        </w:tc>
        <w:tc>
          <w:tcPr>
            <w:tcW w:w="797" w:type="pct"/>
            <w:tcBorders>
              <w:top w:val="nil"/>
              <w:left w:val="nil"/>
              <w:bottom w:val="single" w:sz="4" w:space="0" w:color="auto"/>
              <w:right w:val="single" w:sz="4" w:space="0" w:color="auto"/>
            </w:tcBorders>
            <w:shd w:val="clear" w:color="000000" w:fill="FFFFFF"/>
            <w:noWrap/>
            <w:hideMark/>
          </w:tcPr>
          <w:p w14:paraId="4DB42FCC" w14:textId="686270CC" w:rsidR="00987BD4" w:rsidRPr="00987BD4" w:rsidRDefault="00987BD4" w:rsidP="00987BD4">
            <w:pPr>
              <w:jc w:val="right"/>
              <w:rPr>
                <w:noProof/>
                <w:sz w:val="20"/>
                <w:szCs w:val="20"/>
              </w:rPr>
            </w:pPr>
            <w:r w:rsidRPr="00987BD4">
              <w:rPr>
                <w:noProof/>
                <w:sz w:val="20"/>
                <w:szCs w:val="20"/>
              </w:rPr>
              <w:t>5.3</w:t>
            </w:r>
          </w:p>
        </w:tc>
        <w:tc>
          <w:tcPr>
            <w:tcW w:w="797" w:type="pct"/>
            <w:tcBorders>
              <w:top w:val="nil"/>
              <w:left w:val="nil"/>
              <w:bottom w:val="single" w:sz="4" w:space="0" w:color="auto"/>
              <w:right w:val="single" w:sz="4" w:space="0" w:color="auto"/>
            </w:tcBorders>
            <w:shd w:val="clear" w:color="000000" w:fill="FFFFFF"/>
            <w:noWrap/>
            <w:hideMark/>
          </w:tcPr>
          <w:p w14:paraId="149A7283" w14:textId="238E326E" w:rsidR="00987BD4" w:rsidRPr="00987BD4" w:rsidRDefault="00987BD4" w:rsidP="00987BD4">
            <w:pPr>
              <w:jc w:val="right"/>
              <w:rPr>
                <w:noProof/>
                <w:sz w:val="20"/>
                <w:szCs w:val="20"/>
              </w:rPr>
            </w:pPr>
            <w:r w:rsidRPr="00987BD4">
              <w:rPr>
                <w:noProof/>
                <w:sz w:val="20"/>
                <w:szCs w:val="20"/>
              </w:rPr>
              <w:t>7.9</w:t>
            </w:r>
          </w:p>
        </w:tc>
        <w:tc>
          <w:tcPr>
            <w:tcW w:w="798" w:type="pct"/>
            <w:tcBorders>
              <w:top w:val="nil"/>
              <w:left w:val="nil"/>
              <w:bottom w:val="single" w:sz="4" w:space="0" w:color="auto"/>
              <w:right w:val="single" w:sz="4" w:space="0" w:color="auto"/>
            </w:tcBorders>
            <w:shd w:val="clear" w:color="000000" w:fill="FFFFFF"/>
            <w:noWrap/>
            <w:hideMark/>
          </w:tcPr>
          <w:p w14:paraId="0427D76C" w14:textId="21316427" w:rsidR="00987BD4" w:rsidRPr="00987BD4" w:rsidRDefault="00987BD4" w:rsidP="00987BD4">
            <w:pPr>
              <w:jc w:val="right"/>
              <w:rPr>
                <w:noProof/>
                <w:sz w:val="20"/>
                <w:szCs w:val="20"/>
              </w:rPr>
            </w:pPr>
            <w:r w:rsidRPr="00987BD4">
              <w:rPr>
                <w:noProof/>
                <w:sz w:val="20"/>
                <w:szCs w:val="20"/>
              </w:rPr>
              <w:t>5.9</w:t>
            </w:r>
          </w:p>
        </w:tc>
      </w:tr>
      <w:tr w:rsidR="00987BD4" w:rsidRPr="00CB567D" w14:paraId="019280C2"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532C8CB0" w14:textId="77777777" w:rsidR="00987BD4" w:rsidRPr="00CB567D" w:rsidRDefault="00987BD4" w:rsidP="00987BD4">
            <w:pPr>
              <w:rPr>
                <w:noProof/>
                <w:sz w:val="20"/>
                <w:szCs w:val="20"/>
              </w:rPr>
            </w:pPr>
            <w:r w:rsidRPr="00CB567D">
              <w:rPr>
                <w:noProof/>
                <w:sz w:val="20"/>
                <w:szCs w:val="20"/>
              </w:rPr>
              <w:t xml:space="preserve"> Greece </w:t>
            </w:r>
          </w:p>
        </w:tc>
        <w:tc>
          <w:tcPr>
            <w:tcW w:w="797" w:type="pct"/>
            <w:tcBorders>
              <w:top w:val="nil"/>
              <w:left w:val="nil"/>
              <w:bottom w:val="single" w:sz="4" w:space="0" w:color="auto"/>
              <w:right w:val="single" w:sz="4" w:space="0" w:color="auto"/>
            </w:tcBorders>
            <w:shd w:val="clear" w:color="000000" w:fill="FFFFFF"/>
            <w:noWrap/>
            <w:hideMark/>
          </w:tcPr>
          <w:p w14:paraId="6F1E10D4" w14:textId="7EDBFCDD" w:rsidR="00987BD4" w:rsidRPr="00987BD4" w:rsidRDefault="00987BD4" w:rsidP="00987BD4">
            <w:pPr>
              <w:jc w:val="right"/>
              <w:rPr>
                <w:noProof/>
                <w:sz w:val="20"/>
                <w:szCs w:val="20"/>
              </w:rPr>
            </w:pPr>
            <w:r w:rsidRPr="00987BD4">
              <w:rPr>
                <w:noProof/>
                <w:sz w:val="20"/>
                <w:szCs w:val="20"/>
              </w:rPr>
              <w:t>68.5</w:t>
            </w:r>
          </w:p>
        </w:tc>
        <w:tc>
          <w:tcPr>
            <w:tcW w:w="797" w:type="pct"/>
            <w:tcBorders>
              <w:top w:val="nil"/>
              <w:left w:val="nil"/>
              <w:bottom w:val="single" w:sz="4" w:space="0" w:color="auto"/>
              <w:right w:val="single" w:sz="4" w:space="0" w:color="auto"/>
            </w:tcBorders>
            <w:shd w:val="clear" w:color="000000" w:fill="FFFFFF"/>
            <w:noWrap/>
            <w:hideMark/>
          </w:tcPr>
          <w:p w14:paraId="6F788D7F" w14:textId="58809C2D" w:rsidR="00987BD4" w:rsidRPr="00987BD4" w:rsidRDefault="00987BD4" w:rsidP="00987BD4">
            <w:pPr>
              <w:jc w:val="right"/>
              <w:rPr>
                <w:noProof/>
                <w:sz w:val="20"/>
                <w:szCs w:val="20"/>
              </w:rPr>
            </w:pPr>
            <w:r w:rsidRPr="00987BD4">
              <w:rPr>
                <w:noProof/>
                <w:sz w:val="20"/>
                <w:szCs w:val="20"/>
              </w:rPr>
              <w:t>10.5</w:t>
            </w:r>
          </w:p>
        </w:tc>
        <w:tc>
          <w:tcPr>
            <w:tcW w:w="797" w:type="pct"/>
            <w:tcBorders>
              <w:top w:val="nil"/>
              <w:left w:val="nil"/>
              <w:bottom w:val="single" w:sz="4" w:space="0" w:color="auto"/>
              <w:right w:val="single" w:sz="4" w:space="0" w:color="auto"/>
            </w:tcBorders>
            <w:shd w:val="clear" w:color="000000" w:fill="FFFFFF"/>
            <w:noWrap/>
            <w:hideMark/>
          </w:tcPr>
          <w:p w14:paraId="7ED94455" w14:textId="58F447C8" w:rsidR="00987BD4" w:rsidRPr="00987BD4" w:rsidRDefault="00987BD4" w:rsidP="00987BD4">
            <w:pPr>
              <w:jc w:val="right"/>
              <w:rPr>
                <w:noProof/>
                <w:sz w:val="20"/>
                <w:szCs w:val="20"/>
              </w:rPr>
            </w:pPr>
            <w:r w:rsidRPr="00987BD4">
              <w:rPr>
                <w:noProof/>
                <w:sz w:val="20"/>
                <w:szCs w:val="20"/>
              </w:rPr>
              <w:t>15.9</w:t>
            </w:r>
          </w:p>
        </w:tc>
        <w:tc>
          <w:tcPr>
            <w:tcW w:w="798" w:type="pct"/>
            <w:tcBorders>
              <w:top w:val="nil"/>
              <w:left w:val="nil"/>
              <w:bottom w:val="single" w:sz="4" w:space="0" w:color="auto"/>
              <w:right w:val="single" w:sz="4" w:space="0" w:color="auto"/>
            </w:tcBorders>
            <w:shd w:val="clear" w:color="000000" w:fill="FFFFFF"/>
            <w:noWrap/>
            <w:hideMark/>
          </w:tcPr>
          <w:p w14:paraId="701F732D" w14:textId="2E72B0E7" w:rsidR="00987BD4" w:rsidRPr="00987BD4" w:rsidRDefault="00987BD4" w:rsidP="00987BD4">
            <w:pPr>
              <w:jc w:val="right"/>
              <w:rPr>
                <w:noProof/>
                <w:sz w:val="20"/>
                <w:szCs w:val="20"/>
              </w:rPr>
            </w:pPr>
            <w:r w:rsidRPr="00987BD4">
              <w:rPr>
                <w:noProof/>
                <w:sz w:val="20"/>
                <w:szCs w:val="20"/>
              </w:rPr>
              <w:t>11.9</w:t>
            </w:r>
          </w:p>
        </w:tc>
      </w:tr>
      <w:tr w:rsidR="00987BD4" w:rsidRPr="00CB567D" w14:paraId="1D041B44"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6C624C3E" w14:textId="77777777" w:rsidR="00987BD4" w:rsidRPr="00CB567D" w:rsidRDefault="00987BD4" w:rsidP="00987BD4">
            <w:pPr>
              <w:rPr>
                <w:noProof/>
                <w:sz w:val="20"/>
                <w:szCs w:val="20"/>
              </w:rPr>
            </w:pPr>
            <w:r w:rsidRPr="00CB567D">
              <w:rPr>
                <w:noProof/>
                <w:sz w:val="20"/>
                <w:szCs w:val="20"/>
              </w:rPr>
              <w:t xml:space="preserve"> Bulgaria </w:t>
            </w:r>
          </w:p>
        </w:tc>
        <w:tc>
          <w:tcPr>
            <w:tcW w:w="797" w:type="pct"/>
            <w:tcBorders>
              <w:top w:val="nil"/>
              <w:left w:val="nil"/>
              <w:bottom w:val="single" w:sz="4" w:space="0" w:color="auto"/>
              <w:right w:val="single" w:sz="4" w:space="0" w:color="auto"/>
            </w:tcBorders>
            <w:shd w:val="clear" w:color="000000" w:fill="FFFFFF"/>
            <w:noWrap/>
            <w:hideMark/>
          </w:tcPr>
          <w:p w14:paraId="1213E874" w14:textId="77777777" w:rsidR="00987BD4" w:rsidRPr="00987BD4" w:rsidRDefault="00987BD4" w:rsidP="00987BD4">
            <w:pPr>
              <w:jc w:val="right"/>
              <w:rPr>
                <w:noProof/>
                <w:sz w:val="20"/>
                <w:szCs w:val="20"/>
              </w:rPr>
            </w:pPr>
            <w:r w:rsidRPr="00987BD4">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20C967CF" w14:textId="77777777" w:rsidR="00987BD4" w:rsidRPr="00987BD4" w:rsidRDefault="00987BD4" w:rsidP="00987BD4">
            <w:pPr>
              <w:jc w:val="right"/>
              <w:rPr>
                <w:noProof/>
                <w:sz w:val="20"/>
                <w:szCs w:val="20"/>
              </w:rPr>
            </w:pPr>
            <w:r w:rsidRPr="00987BD4">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69A0367B" w14:textId="77777777" w:rsidR="00987BD4" w:rsidRPr="00987BD4" w:rsidRDefault="00987BD4" w:rsidP="00987BD4">
            <w:pPr>
              <w:jc w:val="right"/>
              <w:rPr>
                <w:noProof/>
                <w:sz w:val="20"/>
                <w:szCs w:val="20"/>
              </w:rPr>
            </w:pPr>
            <w:r w:rsidRPr="00987BD4">
              <w:rPr>
                <w:noProof/>
                <w:sz w:val="20"/>
                <w:szCs w:val="20"/>
              </w:rPr>
              <w:t>0.0</w:t>
            </w:r>
          </w:p>
        </w:tc>
        <w:tc>
          <w:tcPr>
            <w:tcW w:w="798" w:type="pct"/>
            <w:tcBorders>
              <w:top w:val="nil"/>
              <w:left w:val="nil"/>
              <w:bottom w:val="single" w:sz="4" w:space="0" w:color="auto"/>
              <w:right w:val="single" w:sz="4" w:space="0" w:color="auto"/>
            </w:tcBorders>
            <w:shd w:val="clear" w:color="000000" w:fill="FFFFFF"/>
            <w:noWrap/>
            <w:hideMark/>
          </w:tcPr>
          <w:p w14:paraId="4256F50F" w14:textId="77777777" w:rsidR="00987BD4" w:rsidRPr="00987BD4" w:rsidRDefault="00987BD4" w:rsidP="00987BD4">
            <w:pPr>
              <w:jc w:val="right"/>
              <w:rPr>
                <w:noProof/>
                <w:sz w:val="20"/>
                <w:szCs w:val="20"/>
              </w:rPr>
            </w:pPr>
            <w:r w:rsidRPr="00987BD4">
              <w:rPr>
                <w:noProof/>
                <w:sz w:val="20"/>
                <w:szCs w:val="20"/>
              </w:rPr>
              <w:t>0.0</w:t>
            </w:r>
          </w:p>
        </w:tc>
      </w:tr>
      <w:tr w:rsidR="00987BD4" w:rsidRPr="00CB567D" w14:paraId="37157B7B"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4196B8E0" w14:textId="77777777" w:rsidR="00987BD4" w:rsidRPr="00CB567D" w:rsidRDefault="00987BD4" w:rsidP="00987BD4">
            <w:pPr>
              <w:rPr>
                <w:noProof/>
                <w:sz w:val="20"/>
                <w:szCs w:val="20"/>
              </w:rPr>
            </w:pPr>
            <w:r w:rsidRPr="00CB567D">
              <w:rPr>
                <w:noProof/>
                <w:sz w:val="20"/>
                <w:szCs w:val="20"/>
              </w:rPr>
              <w:t xml:space="preserve"> Estonia </w:t>
            </w:r>
          </w:p>
        </w:tc>
        <w:tc>
          <w:tcPr>
            <w:tcW w:w="797" w:type="pct"/>
            <w:tcBorders>
              <w:top w:val="nil"/>
              <w:left w:val="nil"/>
              <w:bottom w:val="single" w:sz="4" w:space="0" w:color="auto"/>
              <w:right w:val="single" w:sz="4" w:space="0" w:color="auto"/>
            </w:tcBorders>
            <w:shd w:val="clear" w:color="000000" w:fill="FFFFFF"/>
            <w:noWrap/>
            <w:hideMark/>
          </w:tcPr>
          <w:p w14:paraId="4E3F338E" w14:textId="77777777" w:rsidR="00987BD4" w:rsidRPr="00987BD4" w:rsidRDefault="00987BD4" w:rsidP="00987BD4">
            <w:pPr>
              <w:jc w:val="right"/>
              <w:rPr>
                <w:noProof/>
                <w:sz w:val="20"/>
                <w:szCs w:val="20"/>
              </w:rPr>
            </w:pPr>
            <w:r w:rsidRPr="00987BD4">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69A9A1AE" w14:textId="77777777" w:rsidR="00987BD4" w:rsidRPr="00987BD4" w:rsidRDefault="00987BD4" w:rsidP="00987BD4">
            <w:pPr>
              <w:jc w:val="right"/>
              <w:rPr>
                <w:noProof/>
                <w:sz w:val="20"/>
                <w:szCs w:val="20"/>
              </w:rPr>
            </w:pPr>
            <w:r w:rsidRPr="00987BD4">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2BAC7AE9" w14:textId="77777777" w:rsidR="00987BD4" w:rsidRPr="00987BD4" w:rsidRDefault="00987BD4" w:rsidP="00987BD4">
            <w:pPr>
              <w:jc w:val="right"/>
              <w:rPr>
                <w:noProof/>
                <w:sz w:val="20"/>
                <w:szCs w:val="20"/>
              </w:rPr>
            </w:pPr>
            <w:r w:rsidRPr="00987BD4">
              <w:rPr>
                <w:noProof/>
                <w:sz w:val="20"/>
                <w:szCs w:val="20"/>
              </w:rPr>
              <w:t>0.0</w:t>
            </w:r>
          </w:p>
        </w:tc>
        <w:tc>
          <w:tcPr>
            <w:tcW w:w="798" w:type="pct"/>
            <w:tcBorders>
              <w:top w:val="nil"/>
              <w:left w:val="nil"/>
              <w:bottom w:val="single" w:sz="4" w:space="0" w:color="auto"/>
              <w:right w:val="single" w:sz="4" w:space="0" w:color="auto"/>
            </w:tcBorders>
            <w:shd w:val="clear" w:color="000000" w:fill="FFFFFF"/>
            <w:noWrap/>
            <w:hideMark/>
          </w:tcPr>
          <w:p w14:paraId="12F4094D" w14:textId="77777777" w:rsidR="00987BD4" w:rsidRPr="00987BD4" w:rsidRDefault="00987BD4" w:rsidP="00987BD4">
            <w:pPr>
              <w:jc w:val="right"/>
              <w:rPr>
                <w:noProof/>
                <w:sz w:val="20"/>
                <w:szCs w:val="20"/>
              </w:rPr>
            </w:pPr>
            <w:r w:rsidRPr="00987BD4">
              <w:rPr>
                <w:noProof/>
                <w:sz w:val="20"/>
                <w:szCs w:val="20"/>
              </w:rPr>
              <w:t>0.0</w:t>
            </w:r>
          </w:p>
        </w:tc>
      </w:tr>
      <w:tr w:rsidR="00987BD4" w:rsidRPr="00CB567D" w14:paraId="2868B0E0"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4E2EF37A" w14:textId="77777777" w:rsidR="00987BD4" w:rsidRPr="00CB567D" w:rsidRDefault="00987BD4" w:rsidP="00987BD4">
            <w:pPr>
              <w:rPr>
                <w:noProof/>
                <w:sz w:val="20"/>
                <w:szCs w:val="20"/>
              </w:rPr>
            </w:pPr>
            <w:r w:rsidRPr="00CB567D">
              <w:rPr>
                <w:noProof/>
                <w:sz w:val="20"/>
                <w:szCs w:val="20"/>
              </w:rPr>
              <w:t xml:space="preserve"> Croatia </w:t>
            </w:r>
          </w:p>
        </w:tc>
        <w:tc>
          <w:tcPr>
            <w:tcW w:w="797" w:type="pct"/>
            <w:tcBorders>
              <w:top w:val="nil"/>
              <w:left w:val="nil"/>
              <w:bottom w:val="single" w:sz="4" w:space="0" w:color="auto"/>
              <w:right w:val="single" w:sz="4" w:space="0" w:color="auto"/>
            </w:tcBorders>
            <w:shd w:val="clear" w:color="000000" w:fill="FFFFFF"/>
            <w:noWrap/>
            <w:hideMark/>
          </w:tcPr>
          <w:p w14:paraId="7A3F6855" w14:textId="31980551" w:rsidR="00987BD4" w:rsidRPr="00987BD4" w:rsidRDefault="00987BD4" w:rsidP="00987BD4">
            <w:pPr>
              <w:jc w:val="right"/>
              <w:rPr>
                <w:noProof/>
                <w:sz w:val="20"/>
                <w:szCs w:val="20"/>
              </w:rPr>
            </w:pPr>
            <w:r w:rsidRPr="00987BD4">
              <w:rPr>
                <w:noProof/>
                <w:sz w:val="20"/>
                <w:szCs w:val="20"/>
              </w:rPr>
              <w:t>34.3</w:t>
            </w:r>
          </w:p>
        </w:tc>
        <w:tc>
          <w:tcPr>
            <w:tcW w:w="797" w:type="pct"/>
            <w:tcBorders>
              <w:top w:val="nil"/>
              <w:left w:val="nil"/>
              <w:bottom w:val="single" w:sz="4" w:space="0" w:color="auto"/>
              <w:right w:val="single" w:sz="4" w:space="0" w:color="auto"/>
            </w:tcBorders>
            <w:shd w:val="clear" w:color="000000" w:fill="FFFFFF"/>
            <w:noWrap/>
            <w:hideMark/>
          </w:tcPr>
          <w:p w14:paraId="6D927CFD" w14:textId="3010D576" w:rsidR="00987BD4" w:rsidRPr="00987BD4" w:rsidRDefault="00987BD4" w:rsidP="00987BD4">
            <w:pPr>
              <w:jc w:val="right"/>
              <w:rPr>
                <w:noProof/>
                <w:sz w:val="20"/>
                <w:szCs w:val="20"/>
              </w:rPr>
            </w:pPr>
            <w:r w:rsidRPr="00987BD4">
              <w:rPr>
                <w:noProof/>
                <w:sz w:val="20"/>
                <w:szCs w:val="20"/>
              </w:rPr>
              <w:t>5.3</w:t>
            </w:r>
          </w:p>
        </w:tc>
        <w:tc>
          <w:tcPr>
            <w:tcW w:w="797" w:type="pct"/>
            <w:tcBorders>
              <w:top w:val="nil"/>
              <w:left w:val="nil"/>
              <w:bottom w:val="single" w:sz="4" w:space="0" w:color="auto"/>
              <w:right w:val="single" w:sz="4" w:space="0" w:color="auto"/>
            </w:tcBorders>
            <w:shd w:val="clear" w:color="000000" w:fill="FFFFFF"/>
            <w:noWrap/>
            <w:hideMark/>
          </w:tcPr>
          <w:p w14:paraId="27D1D658" w14:textId="10D9CBF6" w:rsidR="00987BD4" w:rsidRPr="00987BD4" w:rsidRDefault="00987BD4" w:rsidP="00987BD4">
            <w:pPr>
              <w:jc w:val="right"/>
              <w:rPr>
                <w:noProof/>
                <w:sz w:val="20"/>
                <w:szCs w:val="20"/>
              </w:rPr>
            </w:pPr>
            <w:r w:rsidRPr="00987BD4">
              <w:rPr>
                <w:noProof/>
                <w:sz w:val="20"/>
                <w:szCs w:val="20"/>
              </w:rPr>
              <w:t>7.9</w:t>
            </w:r>
          </w:p>
        </w:tc>
        <w:tc>
          <w:tcPr>
            <w:tcW w:w="798" w:type="pct"/>
            <w:tcBorders>
              <w:top w:val="nil"/>
              <w:left w:val="nil"/>
              <w:bottom w:val="single" w:sz="4" w:space="0" w:color="auto"/>
              <w:right w:val="single" w:sz="4" w:space="0" w:color="auto"/>
            </w:tcBorders>
            <w:shd w:val="clear" w:color="000000" w:fill="FFFFFF"/>
            <w:noWrap/>
            <w:hideMark/>
          </w:tcPr>
          <w:p w14:paraId="3818BF1E" w14:textId="0E7269C5" w:rsidR="00987BD4" w:rsidRPr="00987BD4" w:rsidRDefault="00987BD4" w:rsidP="00987BD4">
            <w:pPr>
              <w:jc w:val="right"/>
              <w:rPr>
                <w:noProof/>
                <w:sz w:val="20"/>
                <w:szCs w:val="20"/>
              </w:rPr>
            </w:pPr>
            <w:r w:rsidRPr="00987BD4">
              <w:rPr>
                <w:noProof/>
                <w:sz w:val="20"/>
                <w:szCs w:val="20"/>
              </w:rPr>
              <w:t>5.9</w:t>
            </w:r>
          </w:p>
        </w:tc>
      </w:tr>
      <w:tr w:rsidR="00987BD4" w:rsidRPr="00CB567D" w14:paraId="2507174F"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53564615" w14:textId="77777777" w:rsidR="00987BD4" w:rsidRPr="00CB567D" w:rsidRDefault="00987BD4" w:rsidP="00987BD4">
            <w:pPr>
              <w:rPr>
                <w:noProof/>
                <w:sz w:val="20"/>
                <w:szCs w:val="20"/>
              </w:rPr>
            </w:pPr>
            <w:r w:rsidRPr="00CB567D">
              <w:rPr>
                <w:noProof/>
                <w:sz w:val="20"/>
                <w:szCs w:val="20"/>
              </w:rPr>
              <w:t xml:space="preserve"> Lithuania </w:t>
            </w:r>
          </w:p>
        </w:tc>
        <w:tc>
          <w:tcPr>
            <w:tcW w:w="797" w:type="pct"/>
            <w:tcBorders>
              <w:top w:val="nil"/>
              <w:left w:val="nil"/>
              <w:bottom w:val="single" w:sz="4" w:space="0" w:color="auto"/>
              <w:right w:val="single" w:sz="4" w:space="0" w:color="auto"/>
            </w:tcBorders>
            <w:shd w:val="clear" w:color="000000" w:fill="FFFFFF"/>
            <w:noWrap/>
            <w:hideMark/>
          </w:tcPr>
          <w:p w14:paraId="2FCB8320" w14:textId="77777777" w:rsidR="00987BD4" w:rsidRPr="00987BD4" w:rsidRDefault="00987BD4" w:rsidP="00987BD4">
            <w:pPr>
              <w:jc w:val="right"/>
              <w:rPr>
                <w:noProof/>
                <w:sz w:val="20"/>
                <w:szCs w:val="20"/>
              </w:rPr>
            </w:pPr>
            <w:r w:rsidRPr="00987BD4">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2D7220E4" w14:textId="77777777" w:rsidR="00987BD4" w:rsidRPr="00987BD4" w:rsidRDefault="00987BD4" w:rsidP="00987BD4">
            <w:pPr>
              <w:jc w:val="right"/>
              <w:rPr>
                <w:noProof/>
                <w:sz w:val="20"/>
                <w:szCs w:val="20"/>
              </w:rPr>
            </w:pPr>
            <w:r w:rsidRPr="00987BD4">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0E64A27F" w14:textId="77777777" w:rsidR="00987BD4" w:rsidRPr="00987BD4" w:rsidRDefault="00987BD4" w:rsidP="00987BD4">
            <w:pPr>
              <w:jc w:val="right"/>
              <w:rPr>
                <w:noProof/>
                <w:sz w:val="20"/>
                <w:szCs w:val="20"/>
              </w:rPr>
            </w:pPr>
            <w:r w:rsidRPr="00987BD4">
              <w:rPr>
                <w:noProof/>
                <w:sz w:val="20"/>
                <w:szCs w:val="20"/>
              </w:rPr>
              <w:t>0.0</w:t>
            </w:r>
          </w:p>
        </w:tc>
        <w:tc>
          <w:tcPr>
            <w:tcW w:w="798" w:type="pct"/>
            <w:tcBorders>
              <w:top w:val="nil"/>
              <w:left w:val="nil"/>
              <w:bottom w:val="single" w:sz="4" w:space="0" w:color="auto"/>
              <w:right w:val="single" w:sz="4" w:space="0" w:color="auto"/>
            </w:tcBorders>
            <w:shd w:val="clear" w:color="000000" w:fill="FFFFFF"/>
            <w:noWrap/>
            <w:hideMark/>
          </w:tcPr>
          <w:p w14:paraId="45BAA98B" w14:textId="77777777" w:rsidR="00987BD4" w:rsidRPr="00987BD4" w:rsidRDefault="00987BD4" w:rsidP="00987BD4">
            <w:pPr>
              <w:jc w:val="right"/>
              <w:rPr>
                <w:noProof/>
                <w:sz w:val="20"/>
                <w:szCs w:val="20"/>
              </w:rPr>
            </w:pPr>
            <w:r w:rsidRPr="00987BD4">
              <w:rPr>
                <w:noProof/>
                <w:sz w:val="20"/>
                <w:szCs w:val="20"/>
              </w:rPr>
              <w:t>0.0</w:t>
            </w:r>
          </w:p>
        </w:tc>
      </w:tr>
      <w:tr w:rsidR="00987BD4" w:rsidRPr="00CB567D" w14:paraId="183393D5"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1C15F510" w14:textId="77777777" w:rsidR="00987BD4" w:rsidRPr="00CB567D" w:rsidRDefault="00987BD4" w:rsidP="00987BD4">
            <w:pPr>
              <w:rPr>
                <w:noProof/>
                <w:sz w:val="20"/>
                <w:szCs w:val="20"/>
              </w:rPr>
            </w:pPr>
            <w:r w:rsidRPr="00CB567D">
              <w:rPr>
                <w:noProof/>
                <w:sz w:val="20"/>
                <w:szCs w:val="20"/>
              </w:rPr>
              <w:t xml:space="preserve"> Hungary </w:t>
            </w:r>
          </w:p>
        </w:tc>
        <w:tc>
          <w:tcPr>
            <w:tcW w:w="797" w:type="pct"/>
            <w:tcBorders>
              <w:top w:val="nil"/>
              <w:left w:val="nil"/>
              <w:bottom w:val="single" w:sz="4" w:space="0" w:color="auto"/>
              <w:right w:val="single" w:sz="4" w:space="0" w:color="auto"/>
            </w:tcBorders>
            <w:shd w:val="clear" w:color="000000" w:fill="FFFFFF"/>
            <w:noWrap/>
            <w:hideMark/>
          </w:tcPr>
          <w:p w14:paraId="1167259B" w14:textId="26D8ED9B" w:rsidR="00987BD4" w:rsidRPr="00987BD4" w:rsidRDefault="00987BD4" w:rsidP="00987BD4">
            <w:pPr>
              <w:jc w:val="right"/>
              <w:rPr>
                <w:noProof/>
                <w:sz w:val="20"/>
                <w:szCs w:val="20"/>
              </w:rPr>
            </w:pPr>
            <w:r w:rsidRPr="00987BD4">
              <w:rPr>
                <w:noProof/>
                <w:sz w:val="20"/>
                <w:szCs w:val="20"/>
              </w:rPr>
              <w:t>102.8</w:t>
            </w:r>
          </w:p>
        </w:tc>
        <w:tc>
          <w:tcPr>
            <w:tcW w:w="797" w:type="pct"/>
            <w:tcBorders>
              <w:top w:val="nil"/>
              <w:left w:val="nil"/>
              <w:bottom w:val="single" w:sz="4" w:space="0" w:color="auto"/>
              <w:right w:val="single" w:sz="4" w:space="0" w:color="auto"/>
            </w:tcBorders>
            <w:shd w:val="clear" w:color="000000" w:fill="FFFFFF"/>
            <w:noWrap/>
            <w:hideMark/>
          </w:tcPr>
          <w:p w14:paraId="3D1A6707" w14:textId="6B2009C7" w:rsidR="00987BD4" w:rsidRPr="00987BD4" w:rsidRDefault="00987BD4" w:rsidP="00987BD4">
            <w:pPr>
              <w:jc w:val="right"/>
              <w:rPr>
                <w:noProof/>
                <w:sz w:val="20"/>
                <w:szCs w:val="20"/>
              </w:rPr>
            </w:pPr>
            <w:r w:rsidRPr="00987BD4">
              <w:rPr>
                <w:noProof/>
                <w:sz w:val="20"/>
                <w:szCs w:val="20"/>
              </w:rPr>
              <w:t>15.8</w:t>
            </w:r>
          </w:p>
        </w:tc>
        <w:tc>
          <w:tcPr>
            <w:tcW w:w="797" w:type="pct"/>
            <w:tcBorders>
              <w:top w:val="nil"/>
              <w:left w:val="nil"/>
              <w:bottom w:val="single" w:sz="4" w:space="0" w:color="auto"/>
              <w:right w:val="single" w:sz="4" w:space="0" w:color="auto"/>
            </w:tcBorders>
            <w:shd w:val="clear" w:color="000000" w:fill="FFFFFF"/>
            <w:noWrap/>
            <w:hideMark/>
          </w:tcPr>
          <w:p w14:paraId="38EF4877" w14:textId="47241985" w:rsidR="00987BD4" w:rsidRPr="00987BD4" w:rsidRDefault="00987BD4" w:rsidP="00987BD4">
            <w:pPr>
              <w:jc w:val="right"/>
              <w:rPr>
                <w:noProof/>
                <w:sz w:val="20"/>
                <w:szCs w:val="20"/>
              </w:rPr>
            </w:pPr>
            <w:r w:rsidRPr="00987BD4">
              <w:rPr>
                <w:noProof/>
                <w:sz w:val="20"/>
                <w:szCs w:val="20"/>
              </w:rPr>
              <w:t>23.8</w:t>
            </w:r>
          </w:p>
        </w:tc>
        <w:tc>
          <w:tcPr>
            <w:tcW w:w="798" w:type="pct"/>
            <w:tcBorders>
              <w:top w:val="nil"/>
              <w:left w:val="nil"/>
              <w:bottom w:val="single" w:sz="4" w:space="0" w:color="auto"/>
              <w:right w:val="single" w:sz="4" w:space="0" w:color="auto"/>
            </w:tcBorders>
            <w:shd w:val="clear" w:color="000000" w:fill="FFFFFF"/>
            <w:noWrap/>
            <w:hideMark/>
          </w:tcPr>
          <w:p w14:paraId="4EBBDDAA" w14:textId="4EF3D177" w:rsidR="00987BD4" w:rsidRPr="00987BD4" w:rsidRDefault="00987BD4" w:rsidP="00987BD4">
            <w:pPr>
              <w:jc w:val="right"/>
              <w:rPr>
                <w:noProof/>
                <w:sz w:val="20"/>
                <w:szCs w:val="20"/>
              </w:rPr>
            </w:pPr>
            <w:r w:rsidRPr="00987BD4">
              <w:rPr>
                <w:noProof/>
                <w:sz w:val="20"/>
                <w:szCs w:val="20"/>
              </w:rPr>
              <w:t>17.8</w:t>
            </w:r>
          </w:p>
        </w:tc>
      </w:tr>
      <w:tr w:rsidR="00987BD4" w:rsidRPr="00CB567D" w14:paraId="7F1AD11D"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0DBB1A63" w14:textId="77777777" w:rsidR="00987BD4" w:rsidRPr="00CB567D" w:rsidRDefault="00987BD4" w:rsidP="00987BD4">
            <w:pPr>
              <w:rPr>
                <w:noProof/>
                <w:sz w:val="20"/>
                <w:szCs w:val="20"/>
              </w:rPr>
            </w:pPr>
            <w:r w:rsidRPr="00CB567D">
              <w:rPr>
                <w:noProof/>
                <w:sz w:val="20"/>
                <w:szCs w:val="20"/>
              </w:rPr>
              <w:t xml:space="preserve"> Sweden </w:t>
            </w:r>
          </w:p>
        </w:tc>
        <w:tc>
          <w:tcPr>
            <w:tcW w:w="797" w:type="pct"/>
            <w:tcBorders>
              <w:top w:val="nil"/>
              <w:left w:val="nil"/>
              <w:bottom w:val="single" w:sz="4" w:space="0" w:color="auto"/>
              <w:right w:val="single" w:sz="4" w:space="0" w:color="auto"/>
            </w:tcBorders>
            <w:shd w:val="clear" w:color="000000" w:fill="FFFFFF"/>
            <w:noWrap/>
            <w:hideMark/>
          </w:tcPr>
          <w:p w14:paraId="5DF010CB" w14:textId="7AB7AD60" w:rsidR="00987BD4" w:rsidRPr="00987BD4" w:rsidRDefault="00987BD4" w:rsidP="00987BD4">
            <w:pPr>
              <w:jc w:val="right"/>
              <w:rPr>
                <w:noProof/>
                <w:sz w:val="20"/>
                <w:szCs w:val="20"/>
              </w:rPr>
            </w:pPr>
            <w:r w:rsidRPr="00987BD4">
              <w:rPr>
                <w:noProof/>
                <w:sz w:val="20"/>
                <w:szCs w:val="20"/>
              </w:rPr>
              <w:t>68.5</w:t>
            </w:r>
          </w:p>
        </w:tc>
        <w:tc>
          <w:tcPr>
            <w:tcW w:w="797" w:type="pct"/>
            <w:tcBorders>
              <w:top w:val="nil"/>
              <w:left w:val="nil"/>
              <w:bottom w:val="single" w:sz="4" w:space="0" w:color="auto"/>
              <w:right w:val="single" w:sz="4" w:space="0" w:color="auto"/>
            </w:tcBorders>
            <w:shd w:val="clear" w:color="000000" w:fill="FFFFFF"/>
            <w:noWrap/>
            <w:hideMark/>
          </w:tcPr>
          <w:p w14:paraId="5DC12ADD" w14:textId="73833255" w:rsidR="00987BD4" w:rsidRPr="00987BD4" w:rsidRDefault="00987BD4" w:rsidP="00987BD4">
            <w:pPr>
              <w:jc w:val="right"/>
              <w:rPr>
                <w:noProof/>
                <w:sz w:val="20"/>
                <w:szCs w:val="20"/>
              </w:rPr>
            </w:pPr>
            <w:r w:rsidRPr="00987BD4">
              <w:rPr>
                <w:noProof/>
                <w:sz w:val="20"/>
                <w:szCs w:val="20"/>
              </w:rPr>
              <w:t>10.5</w:t>
            </w:r>
          </w:p>
        </w:tc>
        <w:tc>
          <w:tcPr>
            <w:tcW w:w="797" w:type="pct"/>
            <w:tcBorders>
              <w:top w:val="nil"/>
              <w:left w:val="nil"/>
              <w:bottom w:val="single" w:sz="4" w:space="0" w:color="auto"/>
              <w:right w:val="single" w:sz="4" w:space="0" w:color="auto"/>
            </w:tcBorders>
            <w:shd w:val="clear" w:color="000000" w:fill="FFFFFF"/>
            <w:noWrap/>
            <w:hideMark/>
          </w:tcPr>
          <w:p w14:paraId="5696486F" w14:textId="0B2EEDD4" w:rsidR="00987BD4" w:rsidRPr="00987BD4" w:rsidRDefault="00987BD4" w:rsidP="00987BD4">
            <w:pPr>
              <w:jc w:val="right"/>
              <w:rPr>
                <w:noProof/>
                <w:sz w:val="20"/>
                <w:szCs w:val="20"/>
              </w:rPr>
            </w:pPr>
            <w:r w:rsidRPr="00987BD4">
              <w:rPr>
                <w:noProof/>
                <w:sz w:val="20"/>
                <w:szCs w:val="20"/>
              </w:rPr>
              <w:t>15.9</w:t>
            </w:r>
          </w:p>
        </w:tc>
        <w:tc>
          <w:tcPr>
            <w:tcW w:w="798" w:type="pct"/>
            <w:tcBorders>
              <w:top w:val="nil"/>
              <w:left w:val="nil"/>
              <w:bottom w:val="single" w:sz="4" w:space="0" w:color="auto"/>
              <w:right w:val="single" w:sz="4" w:space="0" w:color="auto"/>
            </w:tcBorders>
            <w:shd w:val="clear" w:color="000000" w:fill="FFFFFF"/>
            <w:noWrap/>
            <w:hideMark/>
          </w:tcPr>
          <w:p w14:paraId="5E65B698" w14:textId="226696BD" w:rsidR="00987BD4" w:rsidRPr="00987BD4" w:rsidRDefault="00987BD4" w:rsidP="00987BD4">
            <w:pPr>
              <w:jc w:val="right"/>
              <w:rPr>
                <w:noProof/>
                <w:sz w:val="20"/>
                <w:szCs w:val="20"/>
              </w:rPr>
            </w:pPr>
            <w:r w:rsidRPr="00987BD4">
              <w:rPr>
                <w:noProof/>
                <w:sz w:val="20"/>
                <w:szCs w:val="20"/>
              </w:rPr>
              <w:t>11.9</w:t>
            </w:r>
          </w:p>
        </w:tc>
      </w:tr>
      <w:tr w:rsidR="00987BD4" w:rsidRPr="00CB567D" w14:paraId="6CA37D2C"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42D534F4" w14:textId="55589DC5" w:rsidR="00987BD4" w:rsidRPr="00CB567D" w:rsidRDefault="00987BD4" w:rsidP="00987BD4">
            <w:pPr>
              <w:rPr>
                <w:noProof/>
                <w:sz w:val="20"/>
                <w:szCs w:val="20"/>
              </w:rPr>
            </w:pPr>
            <w:r w:rsidRPr="00CB567D">
              <w:rPr>
                <w:noProof/>
                <w:sz w:val="20"/>
                <w:szCs w:val="20"/>
              </w:rPr>
              <w:t xml:space="preserve"> Czechia</w:t>
            </w:r>
          </w:p>
        </w:tc>
        <w:tc>
          <w:tcPr>
            <w:tcW w:w="797" w:type="pct"/>
            <w:tcBorders>
              <w:top w:val="nil"/>
              <w:left w:val="nil"/>
              <w:bottom w:val="single" w:sz="4" w:space="0" w:color="auto"/>
              <w:right w:val="single" w:sz="4" w:space="0" w:color="auto"/>
            </w:tcBorders>
            <w:shd w:val="clear" w:color="000000" w:fill="FFFFFF"/>
            <w:noWrap/>
            <w:hideMark/>
          </w:tcPr>
          <w:p w14:paraId="085D5261" w14:textId="54B19764" w:rsidR="00987BD4" w:rsidRPr="00987BD4" w:rsidRDefault="00987BD4" w:rsidP="00987BD4">
            <w:pPr>
              <w:jc w:val="right"/>
              <w:rPr>
                <w:noProof/>
                <w:sz w:val="20"/>
                <w:szCs w:val="20"/>
              </w:rPr>
            </w:pPr>
            <w:r w:rsidRPr="00987BD4">
              <w:rPr>
                <w:noProof/>
                <w:sz w:val="20"/>
                <w:szCs w:val="20"/>
              </w:rPr>
              <w:t>102.8</w:t>
            </w:r>
          </w:p>
        </w:tc>
        <w:tc>
          <w:tcPr>
            <w:tcW w:w="797" w:type="pct"/>
            <w:tcBorders>
              <w:top w:val="nil"/>
              <w:left w:val="nil"/>
              <w:bottom w:val="single" w:sz="4" w:space="0" w:color="auto"/>
              <w:right w:val="single" w:sz="4" w:space="0" w:color="auto"/>
            </w:tcBorders>
            <w:shd w:val="clear" w:color="000000" w:fill="FFFFFF"/>
            <w:noWrap/>
            <w:hideMark/>
          </w:tcPr>
          <w:p w14:paraId="7F2E0FA1" w14:textId="3C09C327" w:rsidR="00987BD4" w:rsidRPr="00987BD4" w:rsidRDefault="00987BD4" w:rsidP="00987BD4">
            <w:pPr>
              <w:jc w:val="right"/>
              <w:rPr>
                <w:noProof/>
                <w:sz w:val="20"/>
                <w:szCs w:val="20"/>
              </w:rPr>
            </w:pPr>
            <w:r w:rsidRPr="00987BD4">
              <w:rPr>
                <w:noProof/>
                <w:sz w:val="20"/>
                <w:szCs w:val="20"/>
              </w:rPr>
              <w:t>15.8</w:t>
            </w:r>
          </w:p>
        </w:tc>
        <w:tc>
          <w:tcPr>
            <w:tcW w:w="797" w:type="pct"/>
            <w:tcBorders>
              <w:top w:val="nil"/>
              <w:left w:val="nil"/>
              <w:bottom w:val="single" w:sz="4" w:space="0" w:color="auto"/>
              <w:right w:val="single" w:sz="4" w:space="0" w:color="auto"/>
            </w:tcBorders>
            <w:shd w:val="clear" w:color="000000" w:fill="FFFFFF"/>
            <w:noWrap/>
            <w:hideMark/>
          </w:tcPr>
          <w:p w14:paraId="251A7CC4" w14:textId="5D907141" w:rsidR="00987BD4" w:rsidRPr="00987BD4" w:rsidRDefault="00987BD4" w:rsidP="00987BD4">
            <w:pPr>
              <w:jc w:val="right"/>
              <w:rPr>
                <w:noProof/>
                <w:sz w:val="20"/>
                <w:szCs w:val="20"/>
              </w:rPr>
            </w:pPr>
            <w:r w:rsidRPr="00987BD4">
              <w:rPr>
                <w:noProof/>
                <w:sz w:val="20"/>
                <w:szCs w:val="20"/>
              </w:rPr>
              <w:t>23.8</w:t>
            </w:r>
          </w:p>
        </w:tc>
        <w:tc>
          <w:tcPr>
            <w:tcW w:w="798" w:type="pct"/>
            <w:tcBorders>
              <w:top w:val="nil"/>
              <w:left w:val="nil"/>
              <w:bottom w:val="single" w:sz="4" w:space="0" w:color="auto"/>
              <w:right w:val="single" w:sz="4" w:space="0" w:color="auto"/>
            </w:tcBorders>
            <w:shd w:val="clear" w:color="000000" w:fill="FFFFFF"/>
            <w:noWrap/>
            <w:hideMark/>
          </w:tcPr>
          <w:p w14:paraId="043126A0" w14:textId="0955AC66" w:rsidR="00987BD4" w:rsidRPr="00987BD4" w:rsidRDefault="00987BD4" w:rsidP="00987BD4">
            <w:pPr>
              <w:jc w:val="right"/>
              <w:rPr>
                <w:noProof/>
                <w:sz w:val="20"/>
                <w:szCs w:val="20"/>
              </w:rPr>
            </w:pPr>
            <w:r w:rsidRPr="00987BD4">
              <w:rPr>
                <w:noProof/>
                <w:sz w:val="20"/>
                <w:szCs w:val="20"/>
              </w:rPr>
              <w:t>17.8</w:t>
            </w:r>
          </w:p>
        </w:tc>
      </w:tr>
      <w:tr w:rsidR="00987BD4" w:rsidRPr="00CB567D" w14:paraId="2A8DD4E6"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5705F1E6" w14:textId="77777777" w:rsidR="00987BD4" w:rsidRPr="00CB567D" w:rsidRDefault="00987BD4" w:rsidP="00987BD4">
            <w:pPr>
              <w:rPr>
                <w:noProof/>
                <w:sz w:val="20"/>
                <w:szCs w:val="20"/>
              </w:rPr>
            </w:pPr>
            <w:r w:rsidRPr="00CB567D">
              <w:rPr>
                <w:noProof/>
                <w:sz w:val="20"/>
                <w:szCs w:val="20"/>
              </w:rPr>
              <w:t xml:space="preserve"> Ireland </w:t>
            </w:r>
          </w:p>
        </w:tc>
        <w:tc>
          <w:tcPr>
            <w:tcW w:w="797" w:type="pct"/>
            <w:tcBorders>
              <w:top w:val="nil"/>
              <w:left w:val="nil"/>
              <w:bottom w:val="single" w:sz="4" w:space="0" w:color="auto"/>
              <w:right w:val="single" w:sz="4" w:space="0" w:color="auto"/>
            </w:tcBorders>
            <w:shd w:val="clear" w:color="000000" w:fill="FFFFFF"/>
            <w:noWrap/>
            <w:hideMark/>
          </w:tcPr>
          <w:p w14:paraId="1A1DFA92" w14:textId="36C37A1B" w:rsidR="00987BD4" w:rsidRPr="00987BD4" w:rsidRDefault="00987BD4" w:rsidP="00987BD4">
            <w:pPr>
              <w:jc w:val="right"/>
              <w:rPr>
                <w:noProof/>
                <w:sz w:val="20"/>
                <w:szCs w:val="20"/>
              </w:rPr>
            </w:pPr>
            <w:r w:rsidRPr="00987BD4">
              <w:rPr>
                <w:noProof/>
                <w:sz w:val="20"/>
                <w:szCs w:val="20"/>
              </w:rPr>
              <w:t>68.5</w:t>
            </w:r>
          </w:p>
        </w:tc>
        <w:tc>
          <w:tcPr>
            <w:tcW w:w="797" w:type="pct"/>
            <w:tcBorders>
              <w:top w:val="nil"/>
              <w:left w:val="nil"/>
              <w:bottom w:val="single" w:sz="4" w:space="0" w:color="auto"/>
              <w:right w:val="single" w:sz="4" w:space="0" w:color="auto"/>
            </w:tcBorders>
            <w:shd w:val="clear" w:color="000000" w:fill="FFFFFF"/>
            <w:noWrap/>
            <w:hideMark/>
          </w:tcPr>
          <w:p w14:paraId="0B2269BE" w14:textId="0430285E" w:rsidR="00987BD4" w:rsidRPr="00987BD4" w:rsidRDefault="00987BD4" w:rsidP="00987BD4">
            <w:pPr>
              <w:jc w:val="right"/>
              <w:rPr>
                <w:noProof/>
                <w:sz w:val="20"/>
                <w:szCs w:val="20"/>
              </w:rPr>
            </w:pPr>
            <w:r w:rsidRPr="00987BD4">
              <w:rPr>
                <w:noProof/>
                <w:sz w:val="20"/>
                <w:szCs w:val="20"/>
              </w:rPr>
              <w:t>10.5</w:t>
            </w:r>
          </w:p>
        </w:tc>
        <w:tc>
          <w:tcPr>
            <w:tcW w:w="797" w:type="pct"/>
            <w:tcBorders>
              <w:top w:val="nil"/>
              <w:left w:val="nil"/>
              <w:bottom w:val="single" w:sz="4" w:space="0" w:color="auto"/>
              <w:right w:val="single" w:sz="4" w:space="0" w:color="auto"/>
            </w:tcBorders>
            <w:shd w:val="clear" w:color="000000" w:fill="FFFFFF"/>
            <w:noWrap/>
            <w:hideMark/>
          </w:tcPr>
          <w:p w14:paraId="423F4210" w14:textId="4689475C" w:rsidR="00987BD4" w:rsidRPr="00987BD4" w:rsidRDefault="00987BD4" w:rsidP="00987BD4">
            <w:pPr>
              <w:jc w:val="right"/>
              <w:rPr>
                <w:noProof/>
                <w:sz w:val="20"/>
                <w:szCs w:val="20"/>
              </w:rPr>
            </w:pPr>
            <w:r w:rsidRPr="00987BD4">
              <w:rPr>
                <w:noProof/>
                <w:sz w:val="20"/>
                <w:szCs w:val="20"/>
              </w:rPr>
              <w:t>15.9</w:t>
            </w:r>
          </w:p>
        </w:tc>
        <w:tc>
          <w:tcPr>
            <w:tcW w:w="798" w:type="pct"/>
            <w:tcBorders>
              <w:top w:val="nil"/>
              <w:left w:val="nil"/>
              <w:bottom w:val="single" w:sz="4" w:space="0" w:color="auto"/>
              <w:right w:val="single" w:sz="4" w:space="0" w:color="auto"/>
            </w:tcBorders>
            <w:shd w:val="clear" w:color="000000" w:fill="FFFFFF"/>
            <w:noWrap/>
            <w:hideMark/>
          </w:tcPr>
          <w:p w14:paraId="0FD647D1" w14:textId="1B836A84" w:rsidR="00987BD4" w:rsidRPr="00987BD4" w:rsidRDefault="00987BD4" w:rsidP="00987BD4">
            <w:pPr>
              <w:jc w:val="right"/>
              <w:rPr>
                <w:noProof/>
                <w:sz w:val="20"/>
                <w:szCs w:val="20"/>
              </w:rPr>
            </w:pPr>
            <w:r w:rsidRPr="00987BD4">
              <w:rPr>
                <w:noProof/>
                <w:sz w:val="20"/>
                <w:szCs w:val="20"/>
              </w:rPr>
              <w:t>11.9</w:t>
            </w:r>
          </w:p>
        </w:tc>
      </w:tr>
      <w:tr w:rsidR="00987BD4" w:rsidRPr="00CB567D" w14:paraId="3F601B92"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1E2D4955" w14:textId="77777777" w:rsidR="00987BD4" w:rsidRPr="00CB567D" w:rsidRDefault="00987BD4" w:rsidP="00987BD4">
            <w:pPr>
              <w:rPr>
                <w:noProof/>
                <w:sz w:val="20"/>
                <w:szCs w:val="20"/>
              </w:rPr>
            </w:pPr>
            <w:r w:rsidRPr="00CB567D">
              <w:rPr>
                <w:noProof/>
                <w:sz w:val="20"/>
                <w:szCs w:val="20"/>
              </w:rPr>
              <w:t xml:space="preserve"> Slovenia </w:t>
            </w:r>
          </w:p>
        </w:tc>
        <w:tc>
          <w:tcPr>
            <w:tcW w:w="797" w:type="pct"/>
            <w:tcBorders>
              <w:top w:val="nil"/>
              <w:left w:val="nil"/>
              <w:bottom w:val="single" w:sz="4" w:space="0" w:color="auto"/>
              <w:right w:val="single" w:sz="4" w:space="0" w:color="auto"/>
            </w:tcBorders>
            <w:shd w:val="clear" w:color="000000" w:fill="FFFFFF"/>
            <w:noWrap/>
            <w:hideMark/>
          </w:tcPr>
          <w:p w14:paraId="4A630A2F" w14:textId="77777777" w:rsidR="00987BD4" w:rsidRPr="00987BD4" w:rsidRDefault="00987BD4" w:rsidP="00987BD4">
            <w:pPr>
              <w:jc w:val="right"/>
              <w:rPr>
                <w:noProof/>
                <w:sz w:val="20"/>
                <w:szCs w:val="20"/>
              </w:rPr>
            </w:pPr>
            <w:r w:rsidRPr="00987BD4">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548A91C7" w14:textId="77777777" w:rsidR="00987BD4" w:rsidRPr="00987BD4" w:rsidRDefault="00987BD4" w:rsidP="00987BD4">
            <w:pPr>
              <w:jc w:val="right"/>
              <w:rPr>
                <w:noProof/>
                <w:sz w:val="20"/>
                <w:szCs w:val="20"/>
              </w:rPr>
            </w:pPr>
            <w:r w:rsidRPr="00987BD4">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63075DED" w14:textId="77777777" w:rsidR="00987BD4" w:rsidRPr="00987BD4" w:rsidRDefault="00987BD4" w:rsidP="00987BD4">
            <w:pPr>
              <w:jc w:val="right"/>
              <w:rPr>
                <w:noProof/>
                <w:sz w:val="20"/>
                <w:szCs w:val="20"/>
              </w:rPr>
            </w:pPr>
            <w:r w:rsidRPr="00987BD4">
              <w:rPr>
                <w:noProof/>
                <w:sz w:val="20"/>
                <w:szCs w:val="20"/>
              </w:rPr>
              <w:t>0.0</w:t>
            </w:r>
          </w:p>
        </w:tc>
        <w:tc>
          <w:tcPr>
            <w:tcW w:w="798" w:type="pct"/>
            <w:tcBorders>
              <w:top w:val="nil"/>
              <w:left w:val="nil"/>
              <w:bottom w:val="single" w:sz="4" w:space="0" w:color="auto"/>
              <w:right w:val="single" w:sz="4" w:space="0" w:color="auto"/>
            </w:tcBorders>
            <w:shd w:val="clear" w:color="000000" w:fill="FFFFFF"/>
            <w:noWrap/>
            <w:hideMark/>
          </w:tcPr>
          <w:p w14:paraId="2CAB36C0" w14:textId="77777777" w:rsidR="00987BD4" w:rsidRPr="00987BD4" w:rsidRDefault="00987BD4" w:rsidP="00987BD4">
            <w:pPr>
              <w:jc w:val="right"/>
              <w:rPr>
                <w:noProof/>
                <w:sz w:val="20"/>
                <w:szCs w:val="20"/>
              </w:rPr>
            </w:pPr>
            <w:r w:rsidRPr="00987BD4">
              <w:rPr>
                <w:noProof/>
                <w:sz w:val="20"/>
                <w:szCs w:val="20"/>
              </w:rPr>
              <w:t>0.0</w:t>
            </w:r>
          </w:p>
        </w:tc>
      </w:tr>
      <w:tr w:rsidR="00987BD4" w:rsidRPr="00CB567D" w14:paraId="7776C9CC"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650E963D" w14:textId="77777777" w:rsidR="00987BD4" w:rsidRPr="00CB567D" w:rsidRDefault="00987BD4" w:rsidP="00987BD4">
            <w:pPr>
              <w:rPr>
                <w:noProof/>
                <w:sz w:val="20"/>
                <w:szCs w:val="20"/>
              </w:rPr>
            </w:pPr>
            <w:r w:rsidRPr="00CB567D">
              <w:rPr>
                <w:noProof/>
                <w:sz w:val="20"/>
                <w:szCs w:val="20"/>
              </w:rPr>
              <w:t xml:space="preserve"> Latvia </w:t>
            </w:r>
          </w:p>
        </w:tc>
        <w:tc>
          <w:tcPr>
            <w:tcW w:w="797" w:type="pct"/>
            <w:tcBorders>
              <w:top w:val="nil"/>
              <w:left w:val="nil"/>
              <w:bottom w:val="single" w:sz="4" w:space="0" w:color="auto"/>
              <w:right w:val="single" w:sz="4" w:space="0" w:color="auto"/>
            </w:tcBorders>
            <w:shd w:val="clear" w:color="000000" w:fill="FFFFFF"/>
            <w:noWrap/>
            <w:hideMark/>
          </w:tcPr>
          <w:p w14:paraId="7BA69911" w14:textId="77777777" w:rsidR="00987BD4" w:rsidRPr="00987BD4" w:rsidRDefault="00987BD4" w:rsidP="00987BD4">
            <w:pPr>
              <w:jc w:val="right"/>
              <w:rPr>
                <w:noProof/>
                <w:sz w:val="20"/>
                <w:szCs w:val="20"/>
              </w:rPr>
            </w:pPr>
            <w:r w:rsidRPr="00987BD4">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414B2B7E" w14:textId="77777777" w:rsidR="00987BD4" w:rsidRPr="00987BD4" w:rsidRDefault="00987BD4" w:rsidP="00987BD4">
            <w:pPr>
              <w:jc w:val="right"/>
              <w:rPr>
                <w:noProof/>
                <w:sz w:val="20"/>
                <w:szCs w:val="20"/>
              </w:rPr>
            </w:pPr>
            <w:r w:rsidRPr="00987BD4">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7BD06699" w14:textId="77777777" w:rsidR="00987BD4" w:rsidRPr="00987BD4" w:rsidRDefault="00987BD4" w:rsidP="00987BD4">
            <w:pPr>
              <w:jc w:val="right"/>
              <w:rPr>
                <w:noProof/>
                <w:sz w:val="20"/>
                <w:szCs w:val="20"/>
              </w:rPr>
            </w:pPr>
            <w:r w:rsidRPr="00987BD4">
              <w:rPr>
                <w:noProof/>
                <w:sz w:val="20"/>
                <w:szCs w:val="20"/>
              </w:rPr>
              <w:t>0.0</w:t>
            </w:r>
          </w:p>
        </w:tc>
        <w:tc>
          <w:tcPr>
            <w:tcW w:w="798" w:type="pct"/>
            <w:tcBorders>
              <w:top w:val="nil"/>
              <w:left w:val="nil"/>
              <w:bottom w:val="single" w:sz="4" w:space="0" w:color="auto"/>
              <w:right w:val="single" w:sz="4" w:space="0" w:color="auto"/>
            </w:tcBorders>
            <w:shd w:val="clear" w:color="000000" w:fill="FFFFFF"/>
            <w:noWrap/>
            <w:hideMark/>
          </w:tcPr>
          <w:p w14:paraId="04FCF605" w14:textId="77777777" w:rsidR="00987BD4" w:rsidRPr="00987BD4" w:rsidRDefault="00987BD4" w:rsidP="00987BD4">
            <w:pPr>
              <w:jc w:val="right"/>
              <w:rPr>
                <w:noProof/>
                <w:sz w:val="20"/>
                <w:szCs w:val="20"/>
              </w:rPr>
            </w:pPr>
            <w:r w:rsidRPr="00987BD4">
              <w:rPr>
                <w:noProof/>
                <w:sz w:val="20"/>
                <w:szCs w:val="20"/>
              </w:rPr>
              <w:t>0.0</w:t>
            </w:r>
          </w:p>
        </w:tc>
      </w:tr>
      <w:tr w:rsidR="00987BD4" w:rsidRPr="00CB567D" w14:paraId="599807DC"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232888DA" w14:textId="77777777" w:rsidR="00987BD4" w:rsidRPr="00CB567D" w:rsidRDefault="00987BD4" w:rsidP="00987BD4">
            <w:pPr>
              <w:rPr>
                <w:noProof/>
                <w:sz w:val="20"/>
                <w:szCs w:val="20"/>
              </w:rPr>
            </w:pPr>
            <w:r w:rsidRPr="00CB567D">
              <w:rPr>
                <w:noProof/>
                <w:sz w:val="20"/>
                <w:szCs w:val="20"/>
              </w:rPr>
              <w:t xml:space="preserve"> Romania </w:t>
            </w:r>
          </w:p>
        </w:tc>
        <w:tc>
          <w:tcPr>
            <w:tcW w:w="797" w:type="pct"/>
            <w:tcBorders>
              <w:top w:val="nil"/>
              <w:left w:val="nil"/>
              <w:bottom w:val="single" w:sz="4" w:space="0" w:color="auto"/>
              <w:right w:val="single" w:sz="4" w:space="0" w:color="auto"/>
            </w:tcBorders>
            <w:shd w:val="clear" w:color="000000" w:fill="FFFFFF"/>
            <w:noWrap/>
            <w:hideMark/>
          </w:tcPr>
          <w:p w14:paraId="6516E2D8" w14:textId="77777777" w:rsidR="00987BD4" w:rsidRPr="00987BD4" w:rsidRDefault="00987BD4" w:rsidP="00987BD4">
            <w:pPr>
              <w:jc w:val="right"/>
              <w:rPr>
                <w:noProof/>
                <w:sz w:val="20"/>
                <w:szCs w:val="20"/>
              </w:rPr>
            </w:pPr>
            <w:r w:rsidRPr="00987BD4">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3A095588" w14:textId="77777777" w:rsidR="00987BD4" w:rsidRPr="00987BD4" w:rsidRDefault="00987BD4" w:rsidP="00987BD4">
            <w:pPr>
              <w:jc w:val="right"/>
              <w:rPr>
                <w:noProof/>
                <w:sz w:val="20"/>
                <w:szCs w:val="20"/>
              </w:rPr>
            </w:pPr>
            <w:r w:rsidRPr="00987BD4">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13230CD0" w14:textId="77777777" w:rsidR="00987BD4" w:rsidRPr="00987BD4" w:rsidRDefault="00987BD4" w:rsidP="00987BD4">
            <w:pPr>
              <w:jc w:val="right"/>
              <w:rPr>
                <w:noProof/>
                <w:sz w:val="20"/>
                <w:szCs w:val="20"/>
              </w:rPr>
            </w:pPr>
            <w:r w:rsidRPr="00987BD4">
              <w:rPr>
                <w:noProof/>
                <w:sz w:val="20"/>
                <w:szCs w:val="20"/>
              </w:rPr>
              <w:t>0.0</w:t>
            </w:r>
          </w:p>
        </w:tc>
        <w:tc>
          <w:tcPr>
            <w:tcW w:w="798" w:type="pct"/>
            <w:tcBorders>
              <w:top w:val="nil"/>
              <w:left w:val="nil"/>
              <w:bottom w:val="single" w:sz="4" w:space="0" w:color="auto"/>
              <w:right w:val="single" w:sz="4" w:space="0" w:color="auto"/>
            </w:tcBorders>
            <w:shd w:val="clear" w:color="000000" w:fill="FFFFFF"/>
            <w:noWrap/>
            <w:hideMark/>
          </w:tcPr>
          <w:p w14:paraId="42AF4933" w14:textId="77777777" w:rsidR="00987BD4" w:rsidRPr="00987BD4" w:rsidRDefault="00987BD4" w:rsidP="00987BD4">
            <w:pPr>
              <w:jc w:val="right"/>
              <w:rPr>
                <w:noProof/>
                <w:sz w:val="20"/>
                <w:szCs w:val="20"/>
              </w:rPr>
            </w:pPr>
            <w:r w:rsidRPr="00987BD4">
              <w:rPr>
                <w:noProof/>
                <w:sz w:val="20"/>
                <w:szCs w:val="20"/>
              </w:rPr>
              <w:t>0.0</w:t>
            </w:r>
          </w:p>
        </w:tc>
      </w:tr>
      <w:tr w:rsidR="00987BD4" w:rsidRPr="00CB567D" w14:paraId="6F1AC5B1"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38727710" w14:textId="77777777" w:rsidR="00987BD4" w:rsidRPr="00CB567D" w:rsidRDefault="00987BD4" w:rsidP="00987BD4">
            <w:pPr>
              <w:rPr>
                <w:noProof/>
                <w:sz w:val="20"/>
                <w:szCs w:val="20"/>
              </w:rPr>
            </w:pPr>
            <w:r w:rsidRPr="00CB567D">
              <w:rPr>
                <w:noProof/>
                <w:sz w:val="20"/>
                <w:szCs w:val="20"/>
              </w:rPr>
              <w:t xml:space="preserve"> Slovakia </w:t>
            </w:r>
          </w:p>
        </w:tc>
        <w:tc>
          <w:tcPr>
            <w:tcW w:w="797" w:type="pct"/>
            <w:tcBorders>
              <w:top w:val="nil"/>
              <w:left w:val="nil"/>
              <w:bottom w:val="single" w:sz="4" w:space="0" w:color="auto"/>
              <w:right w:val="single" w:sz="4" w:space="0" w:color="auto"/>
            </w:tcBorders>
            <w:shd w:val="clear" w:color="000000" w:fill="FFFFFF"/>
            <w:noWrap/>
            <w:hideMark/>
          </w:tcPr>
          <w:p w14:paraId="1A4E691F" w14:textId="409A4B30" w:rsidR="00987BD4" w:rsidRPr="00987BD4" w:rsidRDefault="00987BD4" w:rsidP="00987BD4">
            <w:pPr>
              <w:jc w:val="right"/>
              <w:rPr>
                <w:noProof/>
                <w:sz w:val="20"/>
                <w:szCs w:val="20"/>
              </w:rPr>
            </w:pPr>
            <w:r w:rsidRPr="00987BD4">
              <w:rPr>
                <w:noProof/>
                <w:sz w:val="20"/>
                <w:szCs w:val="20"/>
              </w:rPr>
              <w:t>34.3</w:t>
            </w:r>
          </w:p>
        </w:tc>
        <w:tc>
          <w:tcPr>
            <w:tcW w:w="797" w:type="pct"/>
            <w:tcBorders>
              <w:top w:val="nil"/>
              <w:left w:val="nil"/>
              <w:bottom w:val="single" w:sz="4" w:space="0" w:color="auto"/>
              <w:right w:val="single" w:sz="4" w:space="0" w:color="auto"/>
            </w:tcBorders>
            <w:shd w:val="clear" w:color="000000" w:fill="FFFFFF"/>
            <w:noWrap/>
            <w:hideMark/>
          </w:tcPr>
          <w:p w14:paraId="4D23889A" w14:textId="7A434EC5" w:rsidR="00987BD4" w:rsidRPr="00987BD4" w:rsidRDefault="00987BD4" w:rsidP="00987BD4">
            <w:pPr>
              <w:jc w:val="right"/>
              <w:rPr>
                <w:noProof/>
                <w:sz w:val="20"/>
                <w:szCs w:val="20"/>
              </w:rPr>
            </w:pPr>
            <w:r w:rsidRPr="00987BD4">
              <w:rPr>
                <w:noProof/>
                <w:sz w:val="20"/>
                <w:szCs w:val="20"/>
              </w:rPr>
              <w:t>5.3</w:t>
            </w:r>
          </w:p>
        </w:tc>
        <w:tc>
          <w:tcPr>
            <w:tcW w:w="797" w:type="pct"/>
            <w:tcBorders>
              <w:top w:val="nil"/>
              <w:left w:val="nil"/>
              <w:bottom w:val="single" w:sz="4" w:space="0" w:color="auto"/>
              <w:right w:val="single" w:sz="4" w:space="0" w:color="auto"/>
            </w:tcBorders>
            <w:shd w:val="clear" w:color="000000" w:fill="FFFFFF"/>
            <w:noWrap/>
            <w:hideMark/>
          </w:tcPr>
          <w:p w14:paraId="673C5A94" w14:textId="0331CFB6" w:rsidR="00987BD4" w:rsidRPr="00987BD4" w:rsidRDefault="00987BD4" w:rsidP="00987BD4">
            <w:pPr>
              <w:jc w:val="right"/>
              <w:rPr>
                <w:noProof/>
                <w:sz w:val="20"/>
                <w:szCs w:val="20"/>
              </w:rPr>
            </w:pPr>
            <w:r w:rsidRPr="00987BD4">
              <w:rPr>
                <w:noProof/>
                <w:sz w:val="20"/>
                <w:szCs w:val="20"/>
              </w:rPr>
              <w:t>7.9</w:t>
            </w:r>
          </w:p>
        </w:tc>
        <w:tc>
          <w:tcPr>
            <w:tcW w:w="798" w:type="pct"/>
            <w:tcBorders>
              <w:top w:val="nil"/>
              <w:left w:val="nil"/>
              <w:bottom w:val="single" w:sz="4" w:space="0" w:color="auto"/>
              <w:right w:val="single" w:sz="4" w:space="0" w:color="auto"/>
            </w:tcBorders>
            <w:shd w:val="clear" w:color="000000" w:fill="FFFFFF"/>
            <w:noWrap/>
            <w:hideMark/>
          </w:tcPr>
          <w:p w14:paraId="116BC96B" w14:textId="28FA1B36" w:rsidR="00987BD4" w:rsidRPr="00987BD4" w:rsidRDefault="00987BD4" w:rsidP="00987BD4">
            <w:pPr>
              <w:jc w:val="right"/>
              <w:rPr>
                <w:noProof/>
                <w:sz w:val="20"/>
                <w:szCs w:val="20"/>
              </w:rPr>
            </w:pPr>
            <w:r w:rsidRPr="00987BD4">
              <w:rPr>
                <w:noProof/>
                <w:sz w:val="20"/>
                <w:szCs w:val="20"/>
              </w:rPr>
              <w:t>5.9</w:t>
            </w:r>
          </w:p>
        </w:tc>
      </w:tr>
      <w:tr w:rsidR="00987BD4" w:rsidRPr="00CB567D" w14:paraId="07C5131A" w14:textId="77777777" w:rsidTr="00987BD4">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711EFD80" w14:textId="5F4D337A" w:rsidR="00987BD4" w:rsidRPr="00CB567D" w:rsidRDefault="00987BD4" w:rsidP="00987BD4">
            <w:pPr>
              <w:rPr>
                <w:b/>
                <w:bCs/>
                <w:noProof/>
                <w:sz w:val="20"/>
                <w:szCs w:val="20"/>
              </w:rPr>
            </w:pPr>
            <w:r w:rsidRPr="00CB567D">
              <w:rPr>
                <w:b/>
                <w:bCs/>
                <w:noProof/>
                <w:sz w:val="20"/>
                <w:szCs w:val="20"/>
              </w:rPr>
              <w:t xml:space="preserve"> Total </w:t>
            </w:r>
          </w:p>
        </w:tc>
        <w:tc>
          <w:tcPr>
            <w:tcW w:w="797" w:type="pct"/>
            <w:tcBorders>
              <w:top w:val="nil"/>
              <w:left w:val="nil"/>
              <w:bottom w:val="single" w:sz="4" w:space="0" w:color="auto"/>
              <w:right w:val="single" w:sz="4" w:space="0" w:color="auto"/>
            </w:tcBorders>
            <w:shd w:val="clear" w:color="000000" w:fill="FFFFFF"/>
            <w:noWrap/>
            <w:hideMark/>
          </w:tcPr>
          <w:p w14:paraId="4CF00E69" w14:textId="7D78A3D2" w:rsidR="00987BD4" w:rsidRPr="00987BD4" w:rsidRDefault="00987BD4" w:rsidP="00987BD4">
            <w:pPr>
              <w:jc w:val="right"/>
              <w:rPr>
                <w:b/>
                <w:bCs/>
                <w:noProof/>
                <w:sz w:val="20"/>
                <w:szCs w:val="20"/>
              </w:rPr>
            </w:pPr>
            <w:r w:rsidRPr="00987BD4">
              <w:rPr>
                <w:b/>
                <w:bCs/>
                <w:noProof/>
                <w:sz w:val="20"/>
                <w:szCs w:val="20"/>
              </w:rPr>
              <w:t>3,425.2</w:t>
            </w:r>
          </w:p>
        </w:tc>
        <w:tc>
          <w:tcPr>
            <w:tcW w:w="797" w:type="pct"/>
            <w:tcBorders>
              <w:top w:val="nil"/>
              <w:left w:val="nil"/>
              <w:bottom w:val="single" w:sz="4" w:space="0" w:color="auto"/>
              <w:right w:val="single" w:sz="4" w:space="0" w:color="auto"/>
            </w:tcBorders>
            <w:shd w:val="clear" w:color="000000" w:fill="FFFFFF"/>
            <w:noWrap/>
            <w:hideMark/>
          </w:tcPr>
          <w:p w14:paraId="3065B62D" w14:textId="1831ADA0" w:rsidR="00987BD4" w:rsidRPr="00987BD4" w:rsidRDefault="00987BD4" w:rsidP="00987BD4">
            <w:pPr>
              <w:jc w:val="right"/>
              <w:rPr>
                <w:b/>
                <w:bCs/>
                <w:noProof/>
                <w:sz w:val="20"/>
                <w:szCs w:val="20"/>
              </w:rPr>
            </w:pPr>
            <w:r w:rsidRPr="00987BD4">
              <w:rPr>
                <w:b/>
                <w:bCs/>
                <w:noProof/>
                <w:sz w:val="20"/>
                <w:szCs w:val="20"/>
              </w:rPr>
              <w:t>526.3</w:t>
            </w:r>
          </w:p>
        </w:tc>
        <w:tc>
          <w:tcPr>
            <w:tcW w:w="797" w:type="pct"/>
            <w:tcBorders>
              <w:top w:val="nil"/>
              <w:left w:val="nil"/>
              <w:bottom w:val="single" w:sz="4" w:space="0" w:color="auto"/>
              <w:right w:val="single" w:sz="4" w:space="0" w:color="auto"/>
            </w:tcBorders>
            <w:shd w:val="clear" w:color="000000" w:fill="FFFFFF"/>
            <w:noWrap/>
            <w:hideMark/>
          </w:tcPr>
          <w:p w14:paraId="490AA2A1" w14:textId="44DE80C2" w:rsidR="00987BD4" w:rsidRPr="00987BD4" w:rsidRDefault="00987BD4" w:rsidP="00987BD4">
            <w:pPr>
              <w:jc w:val="right"/>
              <w:rPr>
                <w:b/>
                <w:bCs/>
                <w:noProof/>
                <w:sz w:val="20"/>
                <w:szCs w:val="20"/>
              </w:rPr>
            </w:pPr>
            <w:r w:rsidRPr="00987BD4">
              <w:rPr>
                <w:b/>
                <w:bCs/>
                <w:noProof/>
                <w:sz w:val="20"/>
                <w:szCs w:val="20"/>
              </w:rPr>
              <w:t>794.8</w:t>
            </w:r>
          </w:p>
        </w:tc>
        <w:tc>
          <w:tcPr>
            <w:tcW w:w="798" w:type="pct"/>
            <w:tcBorders>
              <w:top w:val="nil"/>
              <w:left w:val="nil"/>
              <w:bottom w:val="single" w:sz="4" w:space="0" w:color="auto"/>
              <w:right w:val="single" w:sz="4" w:space="0" w:color="auto"/>
            </w:tcBorders>
            <w:shd w:val="clear" w:color="000000" w:fill="FFFFFF"/>
            <w:noWrap/>
            <w:hideMark/>
          </w:tcPr>
          <w:p w14:paraId="380DE2DD" w14:textId="26FE5DB5" w:rsidR="00987BD4" w:rsidRPr="00987BD4" w:rsidRDefault="00987BD4" w:rsidP="00987BD4">
            <w:pPr>
              <w:jc w:val="right"/>
              <w:rPr>
                <w:b/>
                <w:bCs/>
                <w:noProof/>
                <w:sz w:val="20"/>
                <w:szCs w:val="20"/>
              </w:rPr>
            </w:pPr>
            <w:r w:rsidRPr="00987BD4">
              <w:rPr>
                <w:b/>
                <w:bCs/>
                <w:noProof/>
                <w:sz w:val="20"/>
                <w:szCs w:val="20"/>
              </w:rPr>
              <w:t>594.4</w:t>
            </w:r>
          </w:p>
        </w:tc>
      </w:tr>
    </w:tbl>
    <w:p w14:paraId="6A0D7E35" w14:textId="77777777" w:rsidR="007A35CC" w:rsidRPr="00F67B2C" w:rsidRDefault="007A35CC" w:rsidP="007A35CC">
      <w:pPr>
        <w:tabs>
          <w:tab w:val="left" w:pos="2302"/>
        </w:tabs>
        <w:spacing w:after="240"/>
        <w:jc w:val="both"/>
        <w:rPr>
          <w:i/>
          <w:noProof/>
          <w:sz w:val="20"/>
          <w:szCs w:val="20"/>
        </w:rPr>
      </w:pPr>
      <w:r w:rsidRPr="00F67B2C">
        <w:rPr>
          <w:i/>
          <w:noProof/>
          <w:spacing w:val="-8"/>
          <w:sz w:val="20"/>
          <w:szCs w:val="20"/>
        </w:rPr>
        <w:t xml:space="preserve">Source: </w:t>
      </w:r>
      <w:r w:rsidRPr="00F67B2C">
        <w:rPr>
          <w:i/>
          <w:noProof/>
          <w:sz w:val="20"/>
          <w:szCs w:val="20"/>
        </w:rPr>
        <w:t>Ricardo et al. (2026), Impact assessment support study</w:t>
      </w:r>
    </w:p>
    <w:p w14:paraId="237E6A1D" w14:textId="42743DB8" w:rsidR="007A35CC" w:rsidRPr="00383DBF" w:rsidRDefault="007A35CC" w:rsidP="007A35CC">
      <w:pPr>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71</w:t>
      </w:r>
      <w:r w:rsidRPr="00383DBF">
        <w:rPr>
          <w:i/>
          <w:noProof/>
          <w:sz w:val="22"/>
          <w:szCs w:val="22"/>
        </w:rPr>
        <w:fldChar w:fldCharType="end"/>
      </w:r>
      <w:r w:rsidRPr="00383DBF">
        <w:rPr>
          <w:i/>
          <w:noProof/>
          <w:sz w:val="22"/>
          <w:szCs w:val="22"/>
        </w:rPr>
        <w:t xml:space="preserve">: </w:t>
      </w:r>
      <w:r w:rsidR="000A69D4" w:rsidRPr="00383DBF">
        <w:rPr>
          <w:i/>
          <w:noProof/>
          <w:sz w:val="22"/>
          <w:szCs w:val="22"/>
        </w:rPr>
        <w:t xml:space="preserve">Total one-off and </w:t>
      </w:r>
      <w:r w:rsidRPr="00383DBF">
        <w:rPr>
          <w:i/>
          <w:noProof/>
          <w:sz w:val="22"/>
          <w:szCs w:val="22"/>
        </w:rPr>
        <w:t xml:space="preserve">recurrent adjustment costs for </w:t>
      </w:r>
      <w:r w:rsidR="00B3515E">
        <w:rPr>
          <w:i/>
          <w:noProof/>
          <w:sz w:val="22"/>
          <w:szCs w:val="22"/>
        </w:rPr>
        <w:t>non-SME</w:t>
      </w:r>
      <w:r w:rsidRPr="00383DBF">
        <w:rPr>
          <w:i/>
          <w:noProof/>
          <w:sz w:val="22"/>
          <w:szCs w:val="22"/>
        </w:rPr>
        <w:t xml:space="preserve"> B2C MDMS platforms due to PM1 in PO4 in 2028, 2030, 2040 and 2050 relative to the baseline </w:t>
      </w:r>
      <w:r w:rsidR="00363A11" w:rsidRPr="00383DBF">
        <w:rPr>
          <w:i/>
          <w:noProof/>
          <w:sz w:val="22"/>
          <w:szCs w:val="22"/>
        </w:rPr>
        <w:t>(thousand EUR, in 2024 prices)</w:t>
      </w:r>
    </w:p>
    <w:tbl>
      <w:tblPr>
        <w:tblW w:w="5000" w:type="pct"/>
        <w:tblLook w:val="04A0" w:firstRow="1" w:lastRow="0" w:firstColumn="1" w:lastColumn="0" w:noHBand="0" w:noVBand="1"/>
      </w:tblPr>
      <w:tblGrid>
        <w:gridCol w:w="3477"/>
        <w:gridCol w:w="1531"/>
        <w:gridCol w:w="1531"/>
        <w:gridCol w:w="1531"/>
        <w:gridCol w:w="1533"/>
      </w:tblGrid>
      <w:tr w:rsidR="00E53CB8" w:rsidRPr="00B17475" w14:paraId="56EAE007" w14:textId="77777777" w:rsidTr="00C82478">
        <w:trPr>
          <w:trHeight w:val="255"/>
          <w:tblHeader/>
        </w:trPr>
        <w:tc>
          <w:tcPr>
            <w:tcW w:w="1810" w:type="pct"/>
            <w:tcBorders>
              <w:top w:val="single" w:sz="4" w:space="0" w:color="auto"/>
              <w:left w:val="single" w:sz="4" w:space="0" w:color="auto"/>
              <w:bottom w:val="single" w:sz="4" w:space="0" w:color="auto"/>
              <w:right w:val="single" w:sz="4" w:space="0" w:color="auto"/>
            </w:tcBorders>
            <w:shd w:val="clear" w:color="000000" w:fill="0070C0"/>
            <w:noWrap/>
            <w:hideMark/>
          </w:tcPr>
          <w:p w14:paraId="775DBF1C" w14:textId="5AA6B49C" w:rsidR="00E53CB8" w:rsidRPr="00B17475" w:rsidRDefault="00E53CB8">
            <w:pPr>
              <w:jc w:val="center"/>
              <w:rPr>
                <w:b/>
                <w:bCs/>
                <w:noProof/>
                <w:color w:val="FFFFFF"/>
                <w:sz w:val="20"/>
                <w:szCs w:val="20"/>
              </w:rPr>
            </w:pPr>
          </w:p>
        </w:tc>
        <w:tc>
          <w:tcPr>
            <w:tcW w:w="797" w:type="pct"/>
            <w:tcBorders>
              <w:top w:val="single" w:sz="4" w:space="0" w:color="auto"/>
              <w:left w:val="nil"/>
              <w:bottom w:val="single" w:sz="4" w:space="0" w:color="auto"/>
              <w:right w:val="single" w:sz="4" w:space="0" w:color="auto"/>
            </w:tcBorders>
            <w:shd w:val="clear" w:color="000000" w:fill="0070C0"/>
            <w:noWrap/>
            <w:hideMark/>
          </w:tcPr>
          <w:p w14:paraId="627982A4" w14:textId="77777777" w:rsidR="00E53CB8" w:rsidRPr="00B17475" w:rsidRDefault="00E53CB8">
            <w:pPr>
              <w:jc w:val="center"/>
              <w:rPr>
                <w:b/>
                <w:bCs/>
                <w:noProof/>
                <w:color w:val="FFFFFF"/>
                <w:sz w:val="20"/>
                <w:szCs w:val="20"/>
              </w:rPr>
            </w:pPr>
            <w:r w:rsidRPr="00B17475">
              <w:rPr>
                <w:b/>
                <w:bCs/>
                <w:noProof/>
                <w:color w:val="FFFFFF"/>
                <w:sz w:val="20"/>
                <w:szCs w:val="20"/>
              </w:rPr>
              <w:t>2028</w:t>
            </w:r>
          </w:p>
        </w:tc>
        <w:tc>
          <w:tcPr>
            <w:tcW w:w="797" w:type="pct"/>
            <w:tcBorders>
              <w:top w:val="single" w:sz="4" w:space="0" w:color="auto"/>
              <w:left w:val="nil"/>
              <w:bottom w:val="single" w:sz="4" w:space="0" w:color="auto"/>
              <w:right w:val="single" w:sz="4" w:space="0" w:color="auto"/>
            </w:tcBorders>
            <w:shd w:val="clear" w:color="000000" w:fill="0070C0"/>
            <w:noWrap/>
            <w:hideMark/>
          </w:tcPr>
          <w:p w14:paraId="6A95B5F3" w14:textId="77777777" w:rsidR="00E53CB8" w:rsidRPr="00B17475" w:rsidRDefault="00E53CB8">
            <w:pPr>
              <w:jc w:val="center"/>
              <w:rPr>
                <w:b/>
                <w:bCs/>
                <w:noProof/>
                <w:color w:val="FFFFFF"/>
                <w:sz w:val="20"/>
                <w:szCs w:val="20"/>
              </w:rPr>
            </w:pPr>
            <w:r w:rsidRPr="00B17475">
              <w:rPr>
                <w:b/>
                <w:bCs/>
                <w:noProof/>
                <w:color w:val="FFFFFF"/>
                <w:sz w:val="20"/>
                <w:szCs w:val="20"/>
              </w:rPr>
              <w:t>2030</w:t>
            </w:r>
          </w:p>
        </w:tc>
        <w:tc>
          <w:tcPr>
            <w:tcW w:w="797" w:type="pct"/>
            <w:tcBorders>
              <w:top w:val="single" w:sz="4" w:space="0" w:color="auto"/>
              <w:left w:val="nil"/>
              <w:bottom w:val="single" w:sz="4" w:space="0" w:color="auto"/>
              <w:right w:val="single" w:sz="4" w:space="0" w:color="auto"/>
            </w:tcBorders>
            <w:shd w:val="clear" w:color="000000" w:fill="0070C0"/>
            <w:noWrap/>
            <w:hideMark/>
          </w:tcPr>
          <w:p w14:paraId="0C722C75" w14:textId="77777777" w:rsidR="00E53CB8" w:rsidRPr="00B17475" w:rsidRDefault="00E53CB8">
            <w:pPr>
              <w:jc w:val="center"/>
              <w:rPr>
                <w:b/>
                <w:bCs/>
                <w:noProof/>
                <w:color w:val="FFFFFF"/>
                <w:sz w:val="20"/>
                <w:szCs w:val="20"/>
              </w:rPr>
            </w:pPr>
            <w:r w:rsidRPr="00B17475">
              <w:rPr>
                <w:b/>
                <w:bCs/>
                <w:noProof/>
                <w:color w:val="FFFFFF"/>
                <w:sz w:val="20"/>
                <w:szCs w:val="20"/>
              </w:rPr>
              <w:t>2040</w:t>
            </w:r>
          </w:p>
        </w:tc>
        <w:tc>
          <w:tcPr>
            <w:tcW w:w="798" w:type="pct"/>
            <w:tcBorders>
              <w:top w:val="single" w:sz="4" w:space="0" w:color="auto"/>
              <w:left w:val="nil"/>
              <w:bottom w:val="single" w:sz="4" w:space="0" w:color="auto"/>
              <w:right w:val="single" w:sz="4" w:space="0" w:color="auto"/>
            </w:tcBorders>
            <w:shd w:val="clear" w:color="000000" w:fill="0070C0"/>
            <w:noWrap/>
            <w:hideMark/>
          </w:tcPr>
          <w:p w14:paraId="13203DAD" w14:textId="77777777" w:rsidR="00E53CB8" w:rsidRPr="00B17475" w:rsidRDefault="00E53CB8">
            <w:pPr>
              <w:jc w:val="center"/>
              <w:rPr>
                <w:b/>
                <w:bCs/>
                <w:noProof/>
                <w:color w:val="FFFFFF"/>
                <w:sz w:val="20"/>
                <w:szCs w:val="20"/>
              </w:rPr>
            </w:pPr>
            <w:r w:rsidRPr="00B17475">
              <w:rPr>
                <w:b/>
                <w:bCs/>
                <w:noProof/>
                <w:color w:val="FFFFFF"/>
                <w:sz w:val="20"/>
                <w:szCs w:val="20"/>
              </w:rPr>
              <w:t>2050</w:t>
            </w:r>
          </w:p>
        </w:tc>
      </w:tr>
      <w:tr w:rsidR="00C82478" w:rsidRPr="00B17475" w14:paraId="56029027"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0BA13FA4" w14:textId="77777777" w:rsidR="00C82478" w:rsidRPr="00B17475" w:rsidRDefault="00C82478" w:rsidP="00C82478">
            <w:pPr>
              <w:rPr>
                <w:noProof/>
                <w:sz w:val="20"/>
                <w:szCs w:val="20"/>
              </w:rPr>
            </w:pPr>
            <w:r w:rsidRPr="00B17475">
              <w:rPr>
                <w:noProof/>
                <w:sz w:val="20"/>
                <w:szCs w:val="20"/>
              </w:rPr>
              <w:t xml:space="preserve"> Germany </w:t>
            </w:r>
          </w:p>
        </w:tc>
        <w:tc>
          <w:tcPr>
            <w:tcW w:w="797" w:type="pct"/>
            <w:tcBorders>
              <w:top w:val="nil"/>
              <w:left w:val="nil"/>
              <w:bottom w:val="single" w:sz="4" w:space="0" w:color="auto"/>
              <w:right w:val="single" w:sz="4" w:space="0" w:color="auto"/>
            </w:tcBorders>
            <w:shd w:val="clear" w:color="000000" w:fill="FFFFFF"/>
            <w:noWrap/>
            <w:hideMark/>
          </w:tcPr>
          <w:p w14:paraId="44133AEA" w14:textId="2786EAF1" w:rsidR="00C82478" w:rsidRPr="00C82478" w:rsidRDefault="00C82478" w:rsidP="00C82478">
            <w:pPr>
              <w:jc w:val="right"/>
              <w:rPr>
                <w:noProof/>
                <w:sz w:val="20"/>
                <w:szCs w:val="20"/>
              </w:rPr>
            </w:pPr>
            <w:r w:rsidRPr="00C82478">
              <w:rPr>
                <w:noProof/>
                <w:sz w:val="20"/>
                <w:szCs w:val="20"/>
              </w:rPr>
              <w:t>411.0</w:t>
            </w:r>
          </w:p>
        </w:tc>
        <w:tc>
          <w:tcPr>
            <w:tcW w:w="797" w:type="pct"/>
            <w:tcBorders>
              <w:top w:val="nil"/>
              <w:left w:val="nil"/>
              <w:bottom w:val="single" w:sz="4" w:space="0" w:color="auto"/>
              <w:right w:val="single" w:sz="4" w:space="0" w:color="auto"/>
            </w:tcBorders>
            <w:shd w:val="clear" w:color="000000" w:fill="FFFFFF"/>
            <w:noWrap/>
            <w:hideMark/>
          </w:tcPr>
          <w:p w14:paraId="30C7EFA9" w14:textId="7DEFD486" w:rsidR="00C82478" w:rsidRPr="00C82478" w:rsidRDefault="00C82478" w:rsidP="00C82478">
            <w:pPr>
              <w:jc w:val="right"/>
              <w:rPr>
                <w:noProof/>
                <w:sz w:val="20"/>
                <w:szCs w:val="20"/>
              </w:rPr>
            </w:pPr>
            <w:r w:rsidRPr="00C82478">
              <w:rPr>
                <w:noProof/>
                <w:sz w:val="20"/>
                <w:szCs w:val="20"/>
              </w:rPr>
              <w:t>62.1</w:t>
            </w:r>
          </w:p>
        </w:tc>
        <w:tc>
          <w:tcPr>
            <w:tcW w:w="797" w:type="pct"/>
            <w:tcBorders>
              <w:top w:val="nil"/>
              <w:left w:val="nil"/>
              <w:bottom w:val="single" w:sz="4" w:space="0" w:color="auto"/>
              <w:right w:val="single" w:sz="4" w:space="0" w:color="auto"/>
            </w:tcBorders>
            <w:shd w:val="clear" w:color="000000" w:fill="FFFFFF"/>
            <w:noWrap/>
            <w:hideMark/>
          </w:tcPr>
          <w:p w14:paraId="0141F945" w14:textId="74B902A0" w:rsidR="00C82478" w:rsidRPr="00C82478" w:rsidRDefault="00C82478" w:rsidP="00C82478">
            <w:pPr>
              <w:jc w:val="right"/>
              <w:rPr>
                <w:noProof/>
                <w:sz w:val="20"/>
                <w:szCs w:val="20"/>
              </w:rPr>
            </w:pPr>
            <w:r w:rsidRPr="00C82478">
              <w:rPr>
                <w:noProof/>
                <w:sz w:val="20"/>
                <w:szCs w:val="20"/>
              </w:rPr>
              <w:t>100.1</w:t>
            </w:r>
          </w:p>
        </w:tc>
        <w:tc>
          <w:tcPr>
            <w:tcW w:w="798" w:type="pct"/>
            <w:tcBorders>
              <w:top w:val="nil"/>
              <w:left w:val="nil"/>
              <w:bottom w:val="single" w:sz="4" w:space="0" w:color="auto"/>
              <w:right w:val="single" w:sz="4" w:space="0" w:color="auto"/>
            </w:tcBorders>
            <w:shd w:val="clear" w:color="000000" w:fill="FFFFFF"/>
            <w:noWrap/>
            <w:hideMark/>
          </w:tcPr>
          <w:p w14:paraId="5B047B7F" w14:textId="78A6AE54" w:rsidR="00C82478" w:rsidRPr="00C82478" w:rsidRDefault="00C82478" w:rsidP="00C82478">
            <w:pPr>
              <w:jc w:val="right"/>
              <w:rPr>
                <w:noProof/>
                <w:sz w:val="20"/>
                <w:szCs w:val="20"/>
              </w:rPr>
            </w:pPr>
            <w:r w:rsidRPr="00C82478">
              <w:rPr>
                <w:noProof/>
                <w:sz w:val="20"/>
                <w:szCs w:val="20"/>
              </w:rPr>
              <w:t>71.6</w:t>
            </w:r>
          </w:p>
        </w:tc>
      </w:tr>
      <w:tr w:rsidR="00C82478" w:rsidRPr="00B17475" w14:paraId="2CFCEB85"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3B610561" w14:textId="77777777" w:rsidR="00C82478" w:rsidRPr="00B17475" w:rsidRDefault="00C82478" w:rsidP="00C82478">
            <w:pPr>
              <w:rPr>
                <w:noProof/>
                <w:sz w:val="20"/>
                <w:szCs w:val="20"/>
              </w:rPr>
            </w:pPr>
            <w:r w:rsidRPr="00B17475">
              <w:rPr>
                <w:noProof/>
                <w:sz w:val="20"/>
                <w:szCs w:val="20"/>
              </w:rPr>
              <w:t xml:space="preserve"> Austria </w:t>
            </w:r>
          </w:p>
        </w:tc>
        <w:tc>
          <w:tcPr>
            <w:tcW w:w="797" w:type="pct"/>
            <w:tcBorders>
              <w:top w:val="nil"/>
              <w:left w:val="nil"/>
              <w:bottom w:val="single" w:sz="4" w:space="0" w:color="auto"/>
              <w:right w:val="single" w:sz="4" w:space="0" w:color="auto"/>
            </w:tcBorders>
            <w:shd w:val="clear" w:color="000000" w:fill="FFFFFF"/>
            <w:noWrap/>
            <w:hideMark/>
          </w:tcPr>
          <w:p w14:paraId="14183295" w14:textId="2D7AD69C" w:rsidR="00C82478" w:rsidRPr="00C82478" w:rsidRDefault="00C82478" w:rsidP="00C82478">
            <w:pPr>
              <w:jc w:val="right"/>
              <w:rPr>
                <w:noProof/>
                <w:sz w:val="20"/>
                <w:szCs w:val="20"/>
              </w:rPr>
            </w:pPr>
            <w:r w:rsidRPr="00C82478">
              <w:rPr>
                <w:noProof/>
                <w:sz w:val="20"/>
                <w:szCs w:val="20"/>
              </w:rPr>
              <w:t>308.3</w:t>
            </w:r>
          </w:p>
        </w:tc>
        <w:tc>
          <w:tcPr>
            <w:tcW w:w="797" w:type="pct"/>
            <w:tcBorders>
              <w:top w:val="nil"/>
              <w:left w:val="nil"/>
              <w:bottom w:val="single" w:sz="4" w:space="0" w:color="auto"/>
              <w:right w:val="single" w:sz="4" w:space="0" w:color="auto"/>
            </w:tcBorders>
            <w:shd w:val="clear" w:color="000000" w:fill="FFFFFF"/>
            <w:noWrap/>
            <w:hideMark/>
          </w:tcPr>
          <w:p w14:paraId="7F593785" w14:textId="5C87EF85" w:rsidR="00C82478" w:rsidRPr="00C82478" w:rsidRDefault="00C82478" w:rsidP="00C82478">
            <w:pPr>
              <w:jc w:val="right"/>
              <w:rPr>
                <w:noProof/>
                <w:sz w:val="20"/>
                <w:szCs w:val="20"/>
              </w:rPr>
            </w:pPr>
            <w:r w:rsidRPr="00C82478">
              <w:rPr>
                <w:noProof/>
                <w:sz w:val="20"/>
                <w:szCs w:val="20"/>
              </w:rPr>
              <w:t>46.6</w:t>
            </w:r>
          </w:p>
        </w:tc>
        <w:tc>
          <w:tcPr>
            <w:tcW w:w="797" w:type="pct"/>
            <w:tcBorders>
              <w:top w:val="nil"/>
              <w:left w:val="nil"/>
              <w:bottom w:val="single" w:sz="4" w:space="0" w:color="auto"/>
              <w:right w:val="single" w:sz="4" w:space="0" w:color="auto"/>
            </w:tcBorders>
            <w:shd w:val="clear" w:color="000000" w:fill="FFFFFF"/>
            <w:noWrap/>
            <w:hideMark/>
          </w:tcPr>
          <w:p w14:paraId="1CB3EEC4" w14:textId="65FC9AC7" w:rsidR="00C82478" w:rsidRPr="00C82478" w:rsidRDefault="00C82478" w:rsidP="00C82478">
            <w:pPr>
              <w:jc w:val="right"/>
              <w:rPr>
                <w:noProof/>
                <w:sz w:val="20"/>
                <w:szCs w:val="20"/>
              </w:rPr>
            </w:pPr>
            <w:r w:rsidRPr="00C82478">
              <w:rPr>
                <w:noProof/>
                <w:sz w:val="20"/>
                <w:szCs w:val="20"/>
              </w:rPr>
              <w:t>75.0</w:t>
            </w:r>
          </w:p>
        </w:tc>
        <w:tc>
          <w:tcPr>
            <w:tcW w:w="798" w:type="pct"/>
            <w:tcBorders>
              <w:top w:val="nil"/>
              <w:left w:val="nil"/>
              <w:bottom w:val="single" w:sz="4" w:space="0" w:color="auto"/>
              <w:right w:val="single" w:sz="4" w:space="0" w:color="auto"/>
            </w:tcBorders>
            <w:shd w:val="clear" w:color="000000" w:fill="FFFFFF"/>
            <w:noWrap/>
            <w:hideMark/>
          </w:tcPr>
          <w:p w14:paraId="3DDB9C03" w14:textId="26CABFDA" w:rsidR="00C82478" w:rsidRPr="00C82478" w:rsidRDefault="00C82478" w:rsidP="00C82478">
            <w:pPr>
              <w:jc w:val="right"/>
              <w:rPr>
                <w:noProof/>
                <w:sz w:val="20"/>
                <w:szCs w:val="20"/>
              </w:rPr>
            </w:pPr>
            <w:r w:rsidRPr="00C82478">
              <w:rPr>
                <w:noProof/>
                <w:sz w:val="20"/>
                <w:szCs w:val="20"/>
              </w:rPr>
              <w:t>53.7</w:t>
            </w:r>
          </w:p>
        </w:tc>
      </w:tr>
      <w:tr w:rsidR="00C82478" w:rsidRPr="00B17475" w14:paraId="0D84FC40"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7DE40B47" w14:textId="77777777" w:rsidR="00C82478" w:rsidRPr="00B17475" w:rsidRDefault="00C82478" w:rsidP="00C82478">
            <w:pPr>
              <w:rPr>
                <w:noProof/>
                <w:sz w:val="20"/>
                <w:szCs w:val="20"/>
              </w:rPr>
            </w:pPr>
            <w:r w:rsidRPr="00B17475">
              <w:rPr>
                <w:noProof/>
                <w:sz w:val="20"/>
                <w:szCs w:val="20"/>
              </w:rPr>
              <w:t xml:space="preserve"> Denmark </w:t>
            </w:r>
          </w:p>
        </w:tc>
        <w:tc>
          <w:tcPr>
            <w:tcW w:w="797" w:type="pct"/>
            <w:tcBorders>
              <w:top w:val="nil"/>
              <w:left w:val="nil"/>
              <w:bottom w:val="single" w:sz="4" w:space="0" w:color="auto"/>
              <w:right w:val="single" w:sz="4" w:space="0" w:color="auto"/>
            </w:tcBorders>
            <w:shd w:val="clear" w:color="000000" w:fill="FFFFFF"/>
            <w:noWrap/>
            <w:hideMark/>
          </w:tcPr>
          <w:p w14:paraId="3091AB50" w14:textId="4B2ED5D4" w:rsidR="00C82478" w:rsidRPr="00C82478" w:rsidRDefault="00C82478" w:rsidP="00C82478">
            <w:pPr>
              <w:jc w:val="right"/>
              <w:rPr>
                <w:noProof/>
                <w:sz w:val="20"/>
                <w:szCs w:val="20"/>
              </w:rPr>
            </w:pPr>
            <w:r w:rsidRPr="00C82478">
              <w:rPr>
                <w:noProof/>
                <w:sz w:val="20"/>
                <w:szCs w:val="20"/>
              </w:rPr>
              <w:t>205.5</w:t>
            </w:r>
          </w:p>
        </w:tc>
        <w:tc>
          <w:tcPr>
            <w:tcW w:w="797" w:type="pct"/>
            <w:tcBorders>
              <w:top w:val="nil"/>
              <w:left w:val="nil"/>
              <w:bottom w:val="single" w:sz="4" w:space="0" w:color="auto"/>
              <w:right w:val="single" w:sz="4" w:space="0" w:color="auto"/>
            </w:tcBorders>
            <w:shd w:val="clear" w:color="000000" w:fill="FFFFFF"/>
            <w:noWrap/>
            <w:hideMark/>
          </w:tcPr>
          <w:p w14:paraId="5F65F41A" w14:textId="5ECDF25E" w:rsidR="00C82478" w:rsidRPr="00C82478" w:rsidRDefault="00C82478" w:rsidP="00C82478">
            <w:pPr>
              <w:jc w:val="right"/>
              <w:rPr>
                <w:noProof/>
                <w:sz w:val="20"/>
                <w:szCs w:val="20"/>
              </w:rPr>
            </w:pPr>
            <w:r w:rsidRPr="00C82478">
              <w:rPr>
                <w:noProof/>
                <w:sz w:val="20"/>
                <w:szCs w:val="20"/>
              </w:rPr>
              <w:t>31.1</w:t>
            </w:r>
          </w:p>
        </w:tc>
        <w:tc>
          <w:tcPr>
            <w:tcW w:w="797" w:type="pct"/>
            <w:tcBorders>
              <w:top w:val="nil"/>
              <w:left w:val="nil"/>
              <w:bottom w:val="single" w:sz="4" w:space="0" w:color="auto"/>
              <w:right w:val="single" w:sz="4" w:space="0" w:color="auto"/>
            </w:tcBorders>
            <w:shd w:val="clear" w:color="000000" w:fill="FFFFFF"/>
            <w:noWrap/>
            <w:hideMark/>
          </w:tcPr>
          <w:p w14:paraId="655273B1" w14:textId="1DD7DD83" w:rsidR="00C82478" w:rsidRPr="00C82478" w:rsidRDefault="00C82478" w:rsidP="00C82478">
            <w:pPr>
              <w:jc w:val="right"/>
              <w:rPr>
                <w:noProof/>
                <w:sz w:val="20"/>
                <w:szCs w:val="20"/>
              </w:rPr>
            </w:pPr>
            <w:r w:rsidRPr="00C82478">
              <w:rPr>
                <w:noProof/>
                <w:sz w:val="20"/>
                <w:szCs w:val="20"/>
              </w:rPr>
              <w:t>50.0</w:t>
            </w:r>
          </w:p>
        </w:tc>
        <w:tc>
          <w:tcPr>
            <w:tcW w:w="798" w:type="pct"/>
            <w:tcBorders>
              <w:top w:val="nil"/>
              <w:left w:val="nil"/>
              <w:bottom w:val="single" w:sz="4" w:space="0" w:color="auto"/>
              <w:right w:val="single" w:sz="4" w:space="0" w:color="auto"/>
            </w:tcBorders>
            <w:shd w:val="clear" w:color="000000" w:fill="FFFFFF"/>
            <w:noWrap/>
            <w:hideMark/>
          </w:tcPr>
          <w:p w14:paraId="272D3CDF" w14:textId="7D59AA80" w:rsidR="00C82478" w:rsidRPr="00C82478" w:rsidRDefault="00C82478" w:rsidP="00C82478">
            <w:pPr>
              <w:jc w:val="right"/>
              <w:rPr>
                <w:noProof/>
                <w:sz w:val="20"/>
                <w:szCs w:val="20"/>
              </w:rPr>
            </w:pPr>
            <w:r w:rsidRPr="00C82478">
              <w:rPr>
                <w:noProof/>
                <w:sz w:val="20"/>
                <w:szCs w:val="20"/>
              </w:rPr>
              <w:t>35.8</w:t>
            </w:r>
          </w:p>
        </w:tc>
      </w:tr>
      <w:tr w:rsidR="00C82478" w:rsidRPr="00B17475" w14:paraId="5D7A630F"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41CDD06F" w14:textId="77777777" w:rsidR="00C82478" w:rsidRPr="00B17475" w:rsidRDefault="00C82478" w:rsidP="00C82478">
            <w:pPr>
              <w:rPr>
                <w:noProof/>
                <w:sz w:val="20"/>
                <w:szCs w:val="20"/>
              </w:rPr>
            </w:pPr>
            <w:r w:rsidRPr="00B17475">
              <w:rPr>
                <w:noProof/>
                <w:sz w:val="20"/>
                <w:szCs w:val="20"/>
              </w:rPr>
              <w:t xml:space="preserve"> Luxembourg </w:t>
            </w:r>
          </w:p>
        </w:tc>
        <w:tc>
          <w:tcPr>
            <w:tcW w:w="797" w:type="pct"/>
            <w:tcBorders>
              <w:top w:val="nil"/>
              <w:left w:val="nil"/>
              <w:bottom w:val="single" w:sz="4" w:space="0" w:color="auto"/>
              <w:right w:val="single" w:sz="4" w:space="0" w:color="auto"/>
            </w:tcBorders>
            <w:shd w:val="clear" w:color="000000" w:fill="FFFFFF"/>
            <w:noWrap/>
            <w:hideMark/>
          </w:tcPr>
          <w:p w14:paraId="0FC1FA1C" w14:textId="73EEEE60" w:rsidR="00C82478" w:rsidRPr="00C82478" w:rsidRDefault="00C82478" w:rsidP="00C82478">
            <w:pPr>
              <w:jc w:val="right"/>
              <w:rPr>
                <w:noProof/>
                <w:sz w:val="20"/>
                <w:szCs w:val="20"/>
              </w:rPr>
            </w:pPr>
            <w:r w:rsidRPr="00C82478">
              <w:rPr>
                <w:noProof/>
                <w:sz w:val="20"/>
                <w:szCs w:val="20"/>
              </w:rPr>
              <w:t>137.0</w:t>
            </w:r>
          </w:p>
        </w:tc>
        <w:tc>
          <w:tcPr>
            <w:tcW w:w="797" w:type="pct"/>
            <w:tcBorders>
              <w:top w:val="nil"/>
              <w:left w:val="nil"/>
              <w:bottom w:val="single" w:sz="4" w:space="0" w:color="auto"/>
              <w:right w:val="single" w:sz="4" w:space="0" w:color="auto"/>
            </w:tcBorders>
            <w:shd w:val="clear" w:color="000000" w:fill="FFFFFF"/>
            <w:noWrap/>
            <w:hideMark/>
          </w:tcPr>
          <w:p w14:paraId="1FA4B819" w14:textId="303BDF13" w:rsidR="00C82478" w:rsidRPr="00C82478" w:rsidRDefault="00C82478" w:rsidP="00C82478">
            <w:pPr>
              <w:jc w:val="right"/>
              <w:rPr>
                <w:noProof/>
                <w:sz w:val="20"/>
                <w:szCs w:val="20"/>
              </w:rPr>
            </w:pPr>
            <w:r w:rsidRPr="00C82478">
              <w:rPr>
                <w:noProof/>
                <w:sz w:val="20"/>
                <w:szCs w:val="20"/>
              </w:rPr>
              <w:t>20.7</w:t>
            </w:r>
          </w:p>
        </w:tc>
        <w:tc>
          <w:tcPr>
            <w:tcW w:w="797" w:type="pct"/>
            <w:tcBorders>
              <w:top w:val="nil"/>
              <w:left w:val="nil"/>
              <w:bottom w:val="single" w:sz="4" w:space="0" w:color="auto"/>
              <w:right w:val="single" w:sz="4" w:space="0" w:color="auto"/>
            </w:tcBorders>
            <w:shd w:val="clear" w:color="000000" w:fill="FFFFFF"/>
            <w:noWrap/>
            <w:hideMark/>
          </w:tcPr>
          <w:p w14:paraId="0D376C34" w14:textId="03E99BAC" w:rsidR="00C82478" w:rsidRPr="00C82478" w:rsidRDefault="00C82478" w:rsidP="00C82478">
            <w:pPr>
              <w:jc w:val="right"/>
              <w:rPr>
                <w:noProof/>
                <w:sz w:val="20"/>
                <w:szCs w:val="20"/>
              </w:rPr>
            </w:pPr>
            <w:r w:rsidRPr="00C82478">
              <w:rPr>
                <w:noProof/>
                <w:sz w:val="20"/>
                <w:szCs w:val="20"/>
              </w:rPr>
              <w:t>33.4</w:t>
            </w:r>
          </w:p>
        </w:tc>
        <w:tc>
          <w:tcPr>
            <w:tcW w:w="798" w:type="pct"/>
            <w:tcBorders>
              <w:top w:val="nil"/>
              <w:left w:val="nil"/>
              <w:bottom w:val="single" w:sz="4" w:space="0" w:color="auto"/>
              <w:right w:val="single" w:sz="4" w:space="0" w:color="auto"/>
            </w:tcBorders>
            <w:shd w:val="clear" w:color="000000" w:fill="FFFFFF"/>
            <w:noWrap/>
            <w:hideMark/>
          </w:tcPr>
          <w:p w14:paraId="223EC78E" w14:textId="3405B8B4" w:rsidR="00C82478" w:rsidRPr="00C82478" w:rsidRDefault="00C82478" w:rsidP="00C82478">
            <w:pPr>
              <w:jc w:val="right"/>
              <w:rPr>
                <w:noProof/>
                <w:sz w:val="20"/>
                <w:szCs w:val="20"/>
              </w:rPr>
            </w:pPr>
            <w:r w:rsidRPr="00C82478">
              <w:rPr>
                <w:noProof/>
                <w:sz w:val="20"/>
                <w:szCs w:val="20"/>
              </w:rPr>
              <w:t>23.9</w:t>
            </w:r>
          </w:p>
        </w:tc>
      </w:tr>
      <w:tr w:rsidR="00C82478" w:rsidRPr="00B17475" w14:paraId="5C5F5BA8"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3B371370" w14:textId="77777777" w:rsidR="00C82478" w:rsidRPr="00B17475" w:rsidRDefault="00C82478" w:rsidP="00C82478">
            <w:pPr>
              <w:rPr>
                <w:noProof/>
                <w:sz w:val="20"/>
                <w:szCs w:val="20"/>
              </w:rPr>
            </w:pPr>
            <w:r w:rsidRPr="00B17475">
              <w:rPr>
                <w:noProof/>
                <w:sz w:val="20"/>
                <w:szCs w:val="20"/>
              </w:rPr>
              <w:t xml:space="preserve"> Finland </w:t>
            </w:r>
          </w:p>
        </w:tc>
        <w:tc>
          <w:tcPr>
            <w:tcW w:w="797" w:type="pct"/>
            <w:tcBorders>
              <w:top w:val="nil"/>
              <w:left w:val="nil"/>
              <w:bottom w:val="single" w:sz="4" w:space="0" w:color="auto"/>
              <w:right w:val="single" w:sz="4" w:space="0" w:color="auto"/>
            </w:tcBorders>
            <w:shd w:val="clear" w:color="000000" w:fill="FFFFFF"/>
            <w:noWrap/>
            <w:hideMark/>
          </w:tcPr>
          <w:p w14:paraId="4AF1731F" w14:textId="5A8B931A" w:rsidR="00C82478" w:rsidRPr="00C82478" w:rsidRDefault="00C82478" w:rsidP="00C82478">
            <w:pPr>
              <w:jc w:val="right"/>
              <w:rPr>
                <w:noProof/>
                <w:sz w:val="20"/>
                <w:szCs w:val="20"/>
              </w:rPr>
            </w:pPr>
            <w:r w:rsidRPr="00C82478">
              <w:rPr>
                <w:noProof/>
                <w:sz w:val="20"/>
                <w:szCs w:val="20"/>
              </w:rPr>
              <w:t>171.3</w:t>
            </w:r>
          </w:p>
        </w:tc>
        <w:tc>
          <w:tcPr>
            <w:tcW w:w="797" w:type="pct"/>
            <w:tcBorders>
              <w:top w:val="nil"/>
              <w:left w:val="nil"/>
              <w:bottom w:val="single" w:sz="4" w:space="0" w:color="auto"/>
              <w:right w:val="single" w:sz="4" w:space="0" w:color="auto"/>
            </w:tcBorders>
            <w:shd w:val="clear" w:color="000000" w:fill="FFFFFF"/>
            <w:noWrap/>
            <w:hideMark/>
          </w:tcPr>
          <w:p w14:paraId="2BDA5863" w14:textId="379731C0" w:rsidR="00C82478" w:rsidRPr="00C82478" w:rsidRDefault="00C82478" w:rsidP="00C82478">
            <w:pPr>
              <w:jc w:val="right"/>
              <w:rPr>
                <w:noProof/>
                <w:sz w:val="20"/>
                <w:szCs w:val="20"/>
              </w:rPr>
            </w:pPr>
            <w:r w:rsidRPr="00C82478">
              <w:rPr>
                <w:noProof/>
                <w:sz w:val="20"/>
                <w:szCs w:val="20"/>
              </w:rPr>
              <w:t>25.9</w:t>
            </w:r>
          </w:p>
        </w:tc>
        <w:tc>
          <w:tcPr>
            <w:tcW w:w="797" w:type="pct"/>
            <w:tcBorders>
              <w:top w:val="nil"/>
              <w:left w:val="nil"/>
              <w:bottom w:val="single" w:sz="4" w:space="0" w:color="auto"/>
              <w:right w:val="single" w:sz="4" w:space="0" w:color="auto"/>
            </w:tcBorders>
            <w:shd w:val="clear" w:color="000000" w:fill="FFFFFF"/>
            <w:noWrap/>
            <w:hideMark/>
          </w:tcPr>
          <w:p w14:paraId="727D858F" w14:textId="3E5C5C68" w:rsidR="00C82478" w:rsidRPr="00C82478" w:rsidRDefault="00C82478" w:rsidP="00C82478">
            <w:pPr>
              <w:jc w:val="right"/>
              <w:rPr>
                <w:noProof/>
                <w:sz w:val="20"/>
                <w:szCs w:val="20"/>
              </w:rPr>
            </w:pPr>
            <w:r w:rsidRPr="00C82478">
              <w:rPr>
                <w:noProof/>
                <w:sz w:val="20"/>
                <w:szCs w:val="20"/>
              </w:rPr>
              <w:t>41.7</w:t>
            </w:r>
          </w:p>
        </w:tc>
        <w:tc>
          <w:tcPr>
            <w:tcW w:w="798" w:type="pct"/>
            <w:tcBorders>
              <w:top w:val="nil"/>
              <w:left w:val="nil"/>
              <w:bottom w:val="single" w:sz="4" w:space="0" w:color="auto"/>
              <w:right w:val="single" w:sz="4" w:space="0" w:color="auto"/>
            </w:tcBorders>
            <w:shd w:val="clear" w:color="000000" w:fill="FFFFFF"/>
            <w:noWrap/>
            <w:hideMark/>
          </w:tcPr>
          <w:p w14:paraId="5479B69C" w14:textId="7851CA75" w:rsidR="00C82478" w:rsidRPr="00C82478" w:rsidRDefault="00C82478" w:rsidP="00C82478">
            <w:pPr>
              <w:jc w:val="right"/>
              <w:rPr>
                <w:noProof/>
                <w:sz w:val="20"/>
                <w:szCs w:val="20"/>
              </w:rPr>
            </w:pPr>
            <w:r w:rsidRPr="00C82478">
              <w:rPr>
                <w:noProof/>
                <w:sz w:val="20"/>
                <w:szCs w:val="20"/>
              </w:rPr>
              <w:t>29.8</w:t>
            </w:r>
          </w:p>
        </w:tc>
      </w:tr>
      <w:tr w:rsidR="00C82478" w:rsidRPr="00B17475" w14:paraId="1710774F"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514C25D4" w14:textId="77777777" w:rsidR="00C82478" w:rsidRPr="00B17475" w:rsidRDefault="00C82478" w:rsidP="00C82478">
            <w:pPr>
              <w:rPr>
                <w:noProof/>
                <w:sz w:val="20"/>
                <w:szCs w:val="20"/>
              </w:rPr>
            </w:pPr>
            <w:r w:rsidRPr="00B17475">
              <w:rPr>
                <w:noProof/>
                <w:sz w:val="20"/>
                <w:szCs w:val="20"/>
              </w:rPr>
              <w:t xml:space="preserve"> Spain </w:t>
            </w:r>
          </w:p>
        </w:tc>
        <w:tc>
          <w:tcPr>
            <w:tcW w:w="797" w:type="pct"/>
            <w:tcBorders>
              <w:top w:val="nil"/>
              <w:left w:val="nil"/>
              <w:bottom w:val="single" w:sz="4" w:space="0" w:color="auto"/>
              <w:right w:val="single" w:sz="4" w:space="0" w:color="auto"/>
            </w:tcBorders>
            <w:shd w:val="clear" w:color="000000" w:fill="FFFFFF"/>
            <w:noWrap/>
            <w:hideMark/>
          </w:tcPr>
          <w:p w14:paraId="71542222" w14:textId="74D0F20C" w:rsidR="00C82478" w:rsidRPr="00C82478" w:rsidRDefault="00C82478" w:rsidP="00C82478">
            <w:pPr>
              <w:jc w:val="right"/>
              <w:rPr>
                <w:noProof/>
                <w:sz w:val="20"/>
                <w:szCs w:val="20"/>
              </w:rPr>
            </w:pPr>
            <w:r w:rsidRPr="00C82478">
              <w:rPr>
                <w:noProof/>
                <w:sz w:val="20"/>
                <w:szCs w:val="20"/>
              </w:rPr>
              <w:t>137.0</w:t>
            </w:r>
          </w:p>
        </w:tc>
        <w:tc>
          <w:tcPr>
            <w:tcW w:w="797" w:type="pct"/>
            <w:tcBorders>
              <w:top w:val="nil"/>
              <w:left w:val="nil"/>
              <w:bottom w:val="single" w:sz="4" w:space="0" w:color="auto"/>
              <w:right w:val="single" w:sz="4" w:space="0" w:color="auto"/>
            </w:tcBorders>
            <w:shd w:val="clear" w:color="000000" w:fill="FFFFFF"/>
            <w:noWrap/>
            <w:hideMark/>
          </w:tcPr>
          <w:p w14:paraId="43AE76AD" w14:textId="0EE2A6D4" w:rsidR="00C82478" w:rsidRPr="00C82478" w:rsidRDefault="00C82478" w:rsidP="00C82478">
            <w:pPr>
              <w:jc w:val="right"/>
              <w:rPr>
                <w:noProof/>
                <w:sz w:val="20"/>
                <w:szCs w:val="20"/>
              </w:rPr>
            </w:pPr>
            <w:r w:rsidRPr="00C82478">
              <w:rPr>
                <w:noProof/>
                <w:sz w:val="20"/>
                <w:szCs w:val="20"/>
              </w:rPr>
              <w:t>20.7</w:t>
            </w:r>
          </w:p>
        </w:tc>
        <w:tc>
          <w:tcPr>
            <w:tcW w:w="797" w:type="pct"/>
            <w:tcBorders>
              <w:top w:val="nil"/>
              <w:left w:val="nil"/>
              <w:bottom w:val="single" w:sz="4" w:space="0" w:color="auto"/>
              <w:right w:val="single" w:sz="4" w:space="0" w:color="auto"/>
            </w:tcBorders>
            <w:shd w:val="clear" w:color="000000" w:fill="FFFFFF"/>
            <w:noWrap/>
            <w:hideMark/>
          </w:tcPr>
          <w:p w14:paraId="170B9C4C" w14:textId="2826DF38" w:rsidR="00C82478" w:rsidRPr="00C82478" w:rsidRDefault="00C82478" w:rsidP="00C82478">
            <w:pPr>
              <w:jc w:val="right"/>
              <w:rPr>
                <w:noProof/>
                <w:sz w:val="20"/>
                <w:szCs w:val="20"/>
              </w:rPr>
            </w:pPr>
            <w:r w:rsidRPr="00C82478">
              <w:rPr>
                <w:noProof/>
                <w:sz w:val="20"/>
                <w:szCs w:val="20"/>
              </w:rPr>
              <w:t>33.4</w:t>
            </w:r>
          </w:p>
        </w:tc>
        <w:tc>
          <w:tcPr>
            <w:tcW w:w="798" w:type="pct"/>
            <w:tcBorders>
              <w:top w:val="nil"/>
              <w:left w:val="nil"/>
              <w:bottom w:val="single" w:sz="4" w:space="0" w:color="auto"/>
              <w:right w:val="single" w:sz="4" w:space="0" w:color="auto"/>
            </w:tcBorders>
            <w:shd w:val="clear" w:color="000000" w:fill="FFFFFF"/>
            <w:noWrap/>
            <w:hideMark/>
          </w:tcPr>
          <w:p w14:paraId="3377D418" w14:textId="764E36C4" w:rsidR="00C82478" w:rsidRPr="00C82478" w:rsidRDefault="00C82478" w:rsidP="00C82478">
            <w:pPr>
              <w:jc w:val="right"/>
              <w:rPr>
                <w:noProof/>
                <w:sz w:val="20"/>
                <w:szCs w:val="20"/>
              </w:rPr>
            </w:pPr>
            <w:r w:rsidRPr="00C82478">
              <w:rPr>
                <w:noProof/>
                <w:sz w:val="20"/>
                <w:szCs w:val="20"/>
              </w:rPr>
              <w:t>23.9</w:t>
            </w:r>
          </w:p>
        </w:tc>
      </w:tr>
      <w:tr w:rsidR="00C82478" w:rsidRPr="00B17475" w14:paraId="2B299DF6"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6DBDDC53" w14:textId="77777777" w:rsidR="00C82478" w:rsidRPr="00B17475" w:rsidRDefault="00C82478" w:rsidP="00C82478">
            <w:pPr>
              <w:rPr>
                <w:noProof/>
                <w:sz w:val="20"/>
                <w:szCs w:val="20"/>
              </w:rPr>
            </w:pPr>
            <w:r w:rsidRPr="00B17475">
              <w:rPr>
                <w:noProof/>
                <w:sz w:val="20"/>
                <w:szCs w:val="20"/>
              </w:rPr>
              <w:t xml:space="preserve"> Netherlands </w:t>
            </w:r>
          </w:p>
        </w:tc>
        <w:tc>
          <w:tcPr>
            <w:tcW w:w="797" w:type="pct"/>
            <w:tcBorders>
              <w:top w:val="nil"/>
              <w:left w:val="nil"/>
              <w:bottom w:val="single" w:sz="4" w:space="0" w:color="auto"/>
              <w:right w:val="single" w:sz="4" w:space="0" w:color="auto"/>
            </w:tcBorders>
            <w:shd w:val="clear" w:color="000000" w:fill="FFFFFF"/>
            <w:noWrap/>
            <w:hideMark/>
          </w:tcPr>
          <w:p w14:paraId="27BA590F" w14:textId="3197EBB9" w:rsidR="00C82478" w:rsidRPr="00C82478" w:rsidRDefault="00C82478" w:rsidP="00C82478">
            <w:pPr>
              <w:jc w:val="right"/>
              <w:rPr>
                <w:noProof/>
                <w:sz w:val="20"/>
                <w:szCs w:val="20"/>
              </w:rPr>
            </w:pPr>
            <w:r w:rsidRPr="00C82478">
              <w:rPr>
                <w:noProof/>
                <w:sz w:val="20"/>
                <w:szCs w:val="20"/>
              </w:rPr>
              <w:t>342.5</w:t>
            </w:r>
          </w:p>
        </w:tc>
        <w:tc>
          <w:tcPr>
            <w:tcW w:w="797" w:type="pct"/>
            <w:tcBorders>
              <w:top w:val="nil"/>
              <w:left w:val="nil"/>
              <w:bottom w:val="single" w:sz="4" w:space="0" w:color="auto"/>
              <w:right w:val="single" w:sz="4" w:space="0" w:color="auto"/>
            </w:tcBorders>
            <w:shd w:val="clear" w:color="000000" w:fill="FFFFFF"/>
            <w:noWrap/>
            <w:hideMark/>
          </w:tcPr>
          <w:p w14:paraId="32F7667F" w14:textId="2C3AEF0D" w:rsidR="00C82478" w:rsidRPr="00C82478" w:rsidRDefault="00C82478" w:rsidP="00C82478">
            <w:pPr>
              <w:jc w:val="right"/>
              <w:rPr>
                <w:noProof/>
                <w:sz w:val="20"/>
                <w:szCs w:val="20"/>
              </w:rPr>
            </w:pPr>
            <w:r w:rsidRPr="00C82478">
              <w:rPr>
                <w:noProof/>
                <w:sz w:val="20"/>
                <w:szCs w:val="20"/>
              </w:rPr>
              <w:t>51.8</w:t>
            </w:r>
          </w:p>
        </w:tc>
        <w:tc>
          <w:tcPr>
            <w:tcW w:w="797" w:type="pct"/>
            <w:tcBorders>
              <w:top w:val="nil"/>
              <w:left w:val="nil"/>
              <w:bottom w:val="single" w:sz="4" w:space="0" w:color="auto"/>
              <w:right w:val="single" w:sz="4" w:space="0" w:color="auto"/>
            </w:tcBorders>
            <w:shd w:val="clear" w:color="000000" w:fill="FFFFFF"/>
            <w:noWrap/>
            <w:hideMark/>
          </w:tcPr>
          <w:p w14:paraId="5823EC01" w14:textId="6BF18D34" w:rsidR="00C82478" w:rsidRPr="00C82478" w:rsidRDefault="00C82478" w:rsidP="00C82478">
            <w:pPr>
              <w:jc w:val="right"/>
              <w:rPr>
                <w:noProof/>
                <w:sz w:val="20"/>
                <w:szCs w:val="20"/>
              </w:rPr>
            </w:pPr>
            <w:r w:rsidRPr="00C82478">
              <w:rPr>
                <w:noProof/>
                <w:sz w:val="20"/>
                <w:szCs w:val="20"/>
              </w:rPr>
              <w:t>83.4</w:t>
            </w:r>
          </w:p>
        </w:tc>
        <w:tc>
          <w:tcPr>
            <w:tcW w:w="798" w:type="pct"/>
            <w:tcBorders>
              <w:top w:val="nil"/>
              <w:left w:val="nil"/>
              <w:bottom w:val="single" w:sz="4" w:space="0" w:color="auto"/>
              <w:right w:val="single" w:sz="4" w:space="0" w:color="auto"/>
            </w:tcBorders>
            <w:shd w:val="clear" w:color="000000" w:fill="FFFFFF"/>
            <w:noWrap/>
            <w:hideMark/>
          </w:tcPr>
          <w:p w14:paraId="7521C258" w14:textId="2CC2E8AC" w:rsidR="00C82478" w:rsidRPr="00C82478" w:rsidRDefault="00C82478" w:rsidP="00C82478">
            <w:pPr>
              <w:jc w:val="right"/>
              <w:rPr>
                <w:noProof/>
                <w:sz w:val="20"/>
                <w:szCs w:val="20"/>
              </w:rPr>
            </w:pPr>
            <w:r w:rsidRPr="00C82478">
              <w:rPr>
                <w:noProof/>
                <w:sz w:val="20"/>
                <w:szCs w:val="20"/>
              </w:rPr>
              <w:t>59.6</w:t>
            </w:r>
          </w:p>
        </w:tc>
      </w:tr>
      <w:tr w:rsidR="00C82478" w:rsidRPr="00B17475" w14:paraId="5E6C6D83"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769DA0BC" w14:textId="77777777" w:rsidR="00C82478" w:rsidRPr="00B17475" w:rsidRDefault="00C82478" w:rsidP="00C82478">
            <w:pPr>
              <w:rPr>
                <w:noProof/>
                <w:sz w:val="20"/>
                <w:szCs w:val="20"/>
              </w:rPr>
            </w:pPr>
            <w:r w:rsidRPr="00B17475">
              <w:rPr>
                <w:noProof/>
                <w:sz w:val="20"/>
                <w:szCs w:val="20"/>
              </w:rPr>
              <w:t xml:space="preserve"> France </w:t>
            </w:r>
          </w:p>
        </w:tc>
        <w:tc>
          <w:tcPr>
            <w:tcW w:w="797" w:type="pct"/>
            <w:tcBorders>
              <w:top w:val="nil"/>
              <w:left w:val="nil"/>
              <w:bottom w:val="single" w:sz="4" w:space="0" w:color="auto"/>
              <w:right w:val="single" w:sz="4" w:space="0" w:color="auto"/>
            </w:tcBorders>
            <w:shd w:val="clear" w:color="000000" w:fill="FFFFFF"/>
            <w:noWrap/>
            <w:hideMark/>
          </w:tcPr>
          <w:p w14:paraId="182C393F" w14:textId="4C64CDCC" w:rsidR="00C82478" w:rsidRPr="00C82478" w:rsidRDefault="00C82478" w:rsidP="00C82478">
            <w:pPr>
              <w:jc w:val="right"/>
              <w:rPr>
                <w:noProof/>
                <w:sz w:val="20"/>
                <w:szCs w:val="20"/>
              </w:rPr>
            </w:pPr>
            <w:r w:rsidRPr="00C82478">
              <w:rPr>
                <w:noProof/>
                <w:sz w:val="20"/>
                <w:szCs w:val="20"/>
              </w:rPr>
              <w:t>445.3</w:t>
            </w:r>
          </w:p>
        </w:tc>
        <w:tc>
          <w:tcPr>
            <w:tcW w:w="797" w:type="pct"/>
            <w:tcBorders>
              <w:top w:val="nil"/>
              <w:left w:val="nil"/>
              <w:bottom w:val="single" w:sz="4" w:space="0" w:color="auto"/>
              <w:right w:val="single" w:sz="4" w:space="0" w:color="auto"/>
            </w:tcBorders>
            <w:shd w:val="clear" w:color="000000" w:fill="FFFFFF"/>
            <w:noWrap/>
            <w:hideMark/>
          </w:tcPr>
          <w:p w14:paraId="739CDD8E" w14:textId="5237F79B" w:rsidR="00C82478" w:rsidRPr="00C82478" w:rsidRDefault="00C82478" w:rsidP="00C82478">
            <w:pPr>
              <w:jc w:val="right"/>
              <w:rPr>
                <w:noProof/>
                <w:sz w:val="20"/>
                <w:szCs w:val="20"/>
              </w:rPr>
            </w:pPr>
            <w:r w:rsidRPr="00C82478">
              <w:rPr>
                <w:noProof/>
                <w:sz w:val="20"/>
                <w:szCs w:val="20"/>
              </w:rPr>
              <w:t>67.3</w:t>
            </w:r>
          </w:p>
        </w:tc>
        <w:tc>
          <w:tcPr>
            <w:tcW w:w="797" w:type="pct"/>
            <w:tcBorders>
              <w:top w:val="nil"/>
              <w:left w:val="nil"/>
              <w:bottom w:val="single" w:sz="4" w:space="0" w:color="auto"/>
              <w:right w:val="single" w:sz="4" w:space="0" w:color="auto"/>
            </w:tcBorders>
            <w:shd w:val="clear" w:color="000000" w:fill="FFFFFF"/>
            <w:noWrap/>
            <w:hideMark/>
          </w:tcPr>
          <w:p w14:paraId="63EC8F37" w14:textId="4822CFBF" w:rsidR="00C82478" w:rsidRPr="00C82478" w:rsidRDefault="00C82478" w:rsidP="00C82478">
            <w:pPr>
              <w:jc w:val="right"/>
              <w:rPr>
                <w:noProof/>
                <w:sz w:val="20"/>
                <w:szCs w:val="20"/>
              </w:rPr>
            </w:pPr>
            <w:r w:rsidRPr="00C82478">
              <w:rPr>
                <w:noProof/>
                <w:sz w:val="20"/>
                <w:szCs w:val="20"/>
              </w:rPr>
              <w:t>108.4</w:t>
            </w:r>
          </w:p>
        </w:tc>
        <w:tc>
          <w:tcPr>
            <w:tcW w:w="798" w:type="pct"/>
            <w:tcBorders>
              <w:top w:val="nil"/>
              <w:left w:val="nil"/>
              <w:bottom w:val="single" w:sz="4" w:space="0" w:color="auto"/>
              <w:right w:val="single" w:sz="4" w:space="0" w:color="auto"/>
            </w:tcBorders>
            <w:shd w:val="clear" w:color="000000" w:fill="FFFFFF"/>
            <w:noWrap/>
            <w:hideMark/>
          </w:tcPr>
          <w:p w14:paraId="053F09ED" w14:textId="7A88B570" w:rsidR="00C82478" w:rsidRPr="00C82478" w:rsidRDefault="00C82478" w:rsidP="00C82478">
            <w:pPr>
              <w:jc w:val="right"/>
              <w:rPr>
                <w:noProof/>
                <w:sz w:val="20"/>
                <w:szCs w:val="20"/>
              </w:rPr>
            </w:pPr>
            <w:r w:rsidRPr="00C82478">
              <w:rPr>
                <w:noProof/>
                <w:sz w:val="20"/>
                <w:szCs w:val="20"/>
              </w:rPr>
              <w:t>77.5</w:t>
            </w:r>
          </w:p>
        </w:tc>
      </w:tr>
      <w:tr w:rsidR="00C82478" w:rsidRPr="00B17475" w14:paraId="2ACC0CD4"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00B21F13" w14:textId="77777777" w:rsidR="00C82478" w:rsidRPr="00B17475" w:rsidRDefault="00C82478" w:rsidP="00C82478">
            <w:pPr>
              <w:rPr>
                <w:noProof/>
                <w:sz w:val="20"/>
                <w:szCs w:val="20"/>
              </w:rPr>
            </w:pPr>
            <w:r w:rsidRPr="00B17475">
              <w:rPr>
                <w:noProof/>
                <w:sz w:val="20"/>
                <w:szCs w:val="20"/>
              </w:rPr>
              <w:t xml:space="preserve"> Poland </w:t>
            </w:r>
          </w:p>
        </w:tc>
        <w:tc>
          <w:tcPr>
            <w:tcW w:w="797" w:type="pct"/>
            <w:tcBorders>
              <w:top w:val="nil"/>
              <w:left w:val="nil"/>
              <w:bottom w:val="single" w:sz="4" w:space="0" w:color="auto"/>
              <w:right w:val="single" w:sz="4" w:space="0" w:color="auto"/>
            </w:tcBorders>
            <w:shd w:val="clear" w:color="000000" w:fill="FFFFFF"/>
            <w:noWrap/>
            <w:hideMark/>
          </w:tcPr>
          <w:p w14:paraId="4C5EBF45" w14:textId="69A58ED5" w:rsidR="00C82478" w:rsidRPr="00C82478" w:rsidRDefault="00C82478" w:rsidP="00C82478">
            <w:pPr>
              <w:jc w:val="right"/>
              <w:rPr>
                <w:noProof/>
                <w:sz w:val="20"/>
                <w:szCs w:val="20"/>
              </w:rPr>
            </w:pPr>
            <w:r w:rsidRPr="00C82478">
              <w:rPr>
                <w:noProof/>
                <w:sz w:val="20"/>
                <w:szCs w:val="20"/>
              </w:rPr>
              <w:t>239.8</w:t>
            </w:r>
          </w:p>
        </w:tc>
        <w:tc>
          <w:tcPr>
            <w:tcW w:w="797" w:type="pct"/>
            <w:tcBorders>
              <w:top w:val="nil"/>
              <w:left w:val="nil"/>
              <w:bottom w:val="single" w:sz="4" w:space="0" w:color="auto"/>
              <w:right w:val="single" w:sz="4" w:space="0" w:color="auto"/>
            </w:tcBorders>
            <w:shd w:val="clear" w:color="000000" w:fill="FFFFFF"/>
            <w:noWrap/>
            <w:hideMark/>
          </w:tcPr>
          <w:p w14:paraId="69DC89B7" w14:textId="0F65790B" w:rsidR="00C82478" w:rsidRPr="00C82478" w:rsidRDefault="00C82478" w:rsidP="00C82478">
            <w:pPr>
              <w:jc w:val="right"/>
              <w:rPr>
                <w:noProof/>
                <w:sz w:val="20"/>
                <w:szCs w:val="20"/>
              </w:rPr>
            </w:pPr>
            <w:r w:rsidRPr="00C82478">
              <w:rPr>
                <w:noProof/>
                <w:sz w:val="20"/>
                <w:szCs w:val="20"/>
              </w:rPr>
              <w:t>36.2</w:t>
            </w:r>
          </w:p>
        </w:tc>
        <w:tc>
          <w:tcPr>
            <w:tcW w:w="797" w:type="pct"/>
            <w:tcBorders>
              <w:top w:val="nil"/>
              <w:left w:val="nil"/>
              <w:bottom w:val="single" w:sz="4" w:space="0" w:color="auto"/>
              <w:right w:val="single" w:sz="4" w:space="0" w:color="auto"/>
            </w:tcBorders>
            <w:shd w:val="clear" w:color="000000" w:fill="FFFFFF"/>
            <w:noWrap/>
            <w:hideMark/>
          </w:tcPr>
          <w:p w14:paraId="4C9C1A01" w14:textId="42E1518B" w:rsidR="00C82478" w:rsidRPr="00C82478" w:rsidRDefault="00C82478" w:rsidP="00C82478">
            <w:pPr>
              <w:jc w:val="right"/>
              <w:rPr>
                <w:noProof/>
                <w:sz w:val="20"/>
                <w:szCs w:val="20"/>
              </w:rPr>
            </w:pPr>
            <w:r w:rsidRPr="00C82478">
              <w:rPr>
                <w:noProof/>
                <w:sz w:val="20"/>
                <w:szCs w:val="20"/>
              </w:rPr>
              <w:t>58.4</w:t>
            </w:r>
          </w:p>
        </w:tc>
        <w:tc>
          <w:tcPr>
            <w:tcW w:w="798" w:type="pct"/>
            <w:tcBorders>
              <w:top w:val="nil"/>
              <w:left w:val="nil"/>
              <w:bottom w:val="single" w:sz="4" w:space="0" w:color="auto"/>
              <w:right w:val="single" w:sz="4" w:space="0" w:color="auto"/>
            </w:tcBorders>
            <w:shd w:val="clear" w:color="000000" w:fill="FFFFFF"/>
            <w:noWrap/>
            <w:hideMark/>
          </w:tcPr>
          <w:p w14:paraId="1B9E811E" w14:textId="59022453" w:rsidR="00C82478" w:rsidRPr="00C82478" w:rsidRDefault="00C82478" w:rsidP="00C82478">
            <w:pPr>
              <w:jc w:val="right"/>
              <w:rPr>
                <w:noProof/>
                <w:sz w:val="20"/>
                <w:szCs w:val="20"/>
              </w:rPr>
            </w:pPr>
            <w:r w:rsidRPr="00C82478">
              <w:rPr>
                <w:noProof/>
                <w:sz w:val="20"/>
                <w:szCs w:val="20"/>
              </w:rPr>
              <w:t>41.8</w:t>
            </w:r>
          </w:p>
        </w:tc>
      </w:tr>
      <w:tr w:rsidR="00C82478" w:rsidRPr="00B17475" w14:paraId="4DA95392"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7114EBF1" w14:textId="77777777" w:rsidR="00C82478" w:rsidRPr="00B17475" w:rsidRDefault="00C82478" w:rsidP="00C82478">
            <w:pPr>
              <w:rPr>
                <w:noProof/>
                <w:sz w:val="20"/>
                <w:szCs w:val="20"/>
              </w:rPr>
            </w:pPr>
            <w:r w:rsidRPr="00B17475">
              <w:rPr>
                <w:noProof/>
                <w:sz w:val="20"/>
                <w:szCs w:val="20"/>
              </w:rPr>
              <w:t xml:space="preserve"> Italy </w:t>
            </w:r>
          </w:p>
        </w:tc>
        <w:tc>
          <w:tcPr>
            <w:tcW w:w="797" w:type="pct"/>
            <w:tcBorders>
              <w:top w:val="nil"/>
              <w:left w:val="nil"/>
              <w:bottom w:val="single" w:sz="4" w:space="0" w:color="auto"/>
              <w:right w:val="single" w:sz="4" w:space="0" w:color="auto"/>
            </w:tcBorders>
            <w:shd w:val="clear" w:color="000000" w:fill="FFFFFF"/>
            <w:noWrap/>
            <w:hideMark/>
          </w:tcPr>
          <w:p w14:paraId="4AAC6EF7" w14:textId="42387465" w:rsidR="00C82478" w:rsidRPr="00C82478" w:rsidRDefault="00C82478" w:rsidP="00C82478">
            <w:pPr>
              <w:jc w:val="right"/>
              <w:rPr>
                <w:noProof/>
                <w:sz w:val="20"/>
                <w:szCs w:val="20"/>
              </w:rPr>
            </w:pPr>
            <w:r w:rsidRPr="00C82478">
              <w:rPr>
                <w:noProof/>
                <w:sz w:val="20"/>
                <w:szCs w:val="20"/>
              </w:rPr>
              <w:t>205.5</w:t>
            </w:r>
          </w:p>
        </w:tc>
        <w:tc>
          <w:tcPr>
            <w:tcW w:w="797" w:type="pct"/>
            <w:tcBorders>
              <w:top w:val="nil"/>
              <w:left w:val="nil"/>
              <w:bottom w:val="single" w:sz="4" w:space="0" w:color="auto"/>
              <w:right w:val="single" w:sz="4" w:space="0" w:color="auto"/>
            </w:tcBorders>
            <w:shd w:val="clear" w:color="000000" w:fill="FFFFFF"/>
            <w:noWrap/>
            <w:hideMark/>
          </w:tcPr>
          <w:p w14:paraId="5429E1A8" w14:textId="0AD62448" w:rsidR="00C82478" w:rsidRPr="00C82478" w:rsidRDefault="00C82478" w:rsidP="00C82478">
            <w:pPr>
              <w:jc w:val="right"/>
              <w:rPr>
                <w:noProof/>
                <w:sz w:val="20"/>
                <w:szCs w:val="20"/>
              </w:rPr>
            </w:pPr>
            <w:r w:rsidRPr="00C82478">
              <w:rPr>
                <w:noProof/>
                <w:sz w:val="20"/>
                <w:szCs w:val="20"/>
              </w:rPr>
              <w:t>31.1</w:t>
            </w:r>
          </w:p>
        </w:tc>
        <w:tc>
          <w:tcPr>
            <w:tcW w:w="797" w:type="pct"/>
            <w:tcBorders>
              <w:top w:val="nil"/>
              <w:left w:val="nil"/>
              <w:bottom w:val="single" w:sz="4" w:space="0" w:color="auto"/>
              <w:right w:val="single" w:sz="4" w:space="0" w:color="auto"/>
            </w:tcBorders>
            <w:shd w:val="clear" w:color="000000" w:fill="FFFFFF"/>
            <w:noWrap/>
            <w:hideMark/>
          </w:tcPr>
          <w:p w14:paraId="65C2C165" w14:textId="543A8C9C" w:rsidR="00C82478" w:rsidRPr="00C82478" w:rsidRDefault="00C82478" w:rsidP="00C82478">
            <w:pPr>
              <w:jc w:val="right"/>
              <w:rPr>
                <w:noProof/>
                <w:sz w:val="20"/>
                <w:szCs w:val="20"/>
              </w:rPr>
            </w:pPr>
            <w:r w:rsidRPr="00C82478">
              <w:rPr>
                <w:noProof/>
                <w:sz w:val="20"/>
                <w:szCs w:val="20"/>
              </w:rPr>
              <w:t>50.0</w:t>
            </w:r>
          </w:p>
        </w:tc>
        <w:tc>
          <w:tcPr>
            <w:tcW w:w="798" w:type="pct"/>
            <w:tcBorders>
              <w:top w:val="nil"/>
              <w:left w:val="nil"/>
              <w:bottom w:val="single" w:sz="4" w:space="0" w:color="auto"/>
              <w:right w:val="single" w:sz="4" w:space="0" w:color="auto"/>
            </w:tcBorders>
            <w:shd w:val="clear" w:color="000000" w:fill="FFFFFF"/>
            <w:noWrap/>
            <w:hideMark/>
          </w:tcPr>
          <w:p w14:paraId="7B8237F3" w14:textId="65312E30" w:rsidR="00C82478" w:rsidRPr="00C82478" w:rsidRDefault="00C82478" w:rsidP="00C82478">
            <w:pPr>
              <w:jc w:val="right"/>
              <w:rPr>
                <w:noProof/>
                <w:sz w:val="20"/>
                <w:szCs w:val="20"/>
              </w:rPr>
            </w:pPr>
            <w:r w:rsidRPr="00C82478">
              <w:rPr>
                <w:noProof/>
                <w:sz w:val="20"/>
                <w:szCs w:val="20"/>
              </w:rPr>
              <w:t>35.8</w:t>
            </w:r>
          </w:p>
        </w:tc>
      </w:tr>
      <w:tr w:rsidR="00C82478" w:rsidRPr="00B17475" w14:paraId="3EF21CD3"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73F7F043" w14:textId="77777777" w:rsidR="00C82478" w:rsidRPr="00B17475" w:rsidRDefault="00C82478" w:rsidP="00C82478">
            <w:pPr>
              <w:rPr>
                <w:noProof/>
                <w:sz w:val="20"/>
                <w:szCs w:val="20"/>
              </w:rPr>
            </w:pPr>
            <w:r w:rsidRPr="00B17475">
              <w:rPr>
                <w:noProof/>
                <w:sz w:val="20"/>
                <w:szCs w:val="20"/>
              </w:rPr>
              <w:t xml:space="preserve"> Belgium </w:t>
            </w:r>
          </w:p>
        </w:tc>
        <w:tc>
          <w:tcPr>
            <w:tcW w:w="797" w:type="pct"/>
            <w:tcBorders>
              <w:top w:val="nil"/>
              <w:left w:val="nil"/>
              <w:bottom w:val="single" w:sz="4" w:space="0" w:color="auto"/>
              <w:right w:val="single" w:sz="4" w:space="0" w:color="auto"/>
            </w:tcBorders>
            <w:shd w:val="clear" w:color="000000" w:fill="FFFFFF"/>
            <w:noWrap/>
            <w:hideMark/>
          </w:tcPr>
          <w:p w14:paraId="09C92D95" w14:textId="2AC5C865" w:rsidR="00C82478" w:rsidRPr="00C82478" w:rsidRDefault="00C82478" w:rsidP="00C82478">
            <w:pPr>
              <w:jc w:val="right"/>
              <w:rPr>
                <w:noProof/>
                <w:sz w:val="20"/>
                <w:szCs w:val="20"/>
              </w:rPr>
            </w:pPr>
            <w:r w:rsidRPr="00C82478">
              <w:rPr>
                <w:noProof/>
                <w:sz w:val="20"/>
                <w:szCs w:val="20"/>
              </w:rPr>
              <w:t>205.5</w:t>
            </w:r>
          </w:p>
        </w:tc>
        <w:tc>
          <w:tcPr>
            <w:tcW w:w="797" w:type="pct"/>
            <w:tcBorders>
              <w:top w:val="nil"/>
              <w:left w:val="nil"/>
              <w:bottom w:val="single" w:sz="4" w:space="0" w:color="auto"/>
              <w:right w:val="single" w:sz="4" w:space="0" w:color="auto"/>
            </w:tcBorders>
            <w:shd w:val="clear" w:color="000000" w:fill="FFFFFF"/>
            <w:noWrap/>
            <w:hideMark/>
          </w:tcPr>
          <w:p w14:paraId="05E66EB2" w14:textId="00A5A62F" w:rsidR="00C82478" w:rsidRPr="00C82478" w:rsidRDefault="00C82478" w:rsidP="00C82478">
            <w:pPr>
              <w:jc w:val="right"/>
              <w:rPr>
                <w:noProof/>
                <w:sz w:val="20"/>
                <w:szCs w:val="20"/>
              </w:rPr>
            </w:pPr>
            <w:r w:rsidRPr="00C82478">
              <w:rPr>
                <w:noProof/>
                <w:sz w:val="20"/>
                <w:szCs w:val="20"/>
              </w:rPr>
              <w:t>31.1</w:t>
            </w:r>
          </w:p>
        </w:tc>
        <w:tc>
          <w:tcPr>
            <w:tcW w:w="797" w:type="pct"/>
            <w:tcBorders>
              <w:top w:val="nil"/>
              <w:left w:val="nil"/>
              <w:bottom w:val="single" w:sz="4" w:space="0" w:color="auto"/>
              <w:right w:val="single" w:sz="4" w:space="0" w:color="auto"/>
            </w:tcBorders>
            <w:shd w:val="clear" w:color="000000" w:fill="FFFFFF"/>
            <w:noWrap/>
            <w:hideMark/>
          </w:tcPr>
          <w:p w14:paraId="743153AA" w14:textId="6DE5043B" w:rsidR="00C82478" w:rsidRPr="00C82478" w:rsidRDefault="00C82478" w:rsidP="00C82478">
            <w:pPr>
              <w:jc w:val="right"/>
              <w:rPr>
                <w:noProof/>
                <w:sz w:val="20"/>
                <w:szCs w:val="20"/>
              </w:rPr>
            </w:pPr>
            <w:r w:rsidRPr="00C82478">
              <w:rPr>
                <w:noProof/>
                <w:sz w:val="20"/>
                <w:szCs w:val="20"/>
              </w:rPr>
              <w:t>50.0</w:t>
            </w:r>
          </w:p>
        </w:tc>
        <w:tc>
          <w:tcPr>
            <w:tcW w:w="798" w:type="pct"/>
            <w:tcBorders>
              <w:top w:val="nil"/>
              <w:left w:val="nil"/>
              <w:bottom w:val="single" w:sz="4" w:space="0" w:color="auto"/>
              <w:right w:val="single" w:sz="4" w:space="0" w:color="auto"/>
            </w:tcBorders>
            <w:shd w:val="clear" w:color="000000" w:fill="FFFFFF"/>
            <w:noWrap/>
            <w:hideMark/>
          </w:tcPr>
          <w:p w14:paraId="23639905" w14:textId="05E03D41" w:rsidR="00C82478" w:rsidRPr="00C82478" w:rsidRDefault="00C82478" w:rsidP="00C82478">
            <w:pPr>
              <w:jc w:val="right"/>
              <w:rPr>
                <w:noProof/>
                <w:sz w:val="20"/>
                <w:szCs w:val="20"/>
              </w:rPr>
            </w:pPr>
            <w:r w:rsidRPr="00C82478">
              <w:rPr>
                <w:noProof/>
                <w:sz w:val="20"/>
                <w:szCs w:val="20"/>
              </w:rPr>
              <w:t>35.8</w:t>
            </w:r>
          </w:p>
        </w:tc>
      </w:tr>
      <w:tr w:rsidR="00C82478" w:rsidRPr="00B17475" w14:paraId="475F71E4"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6948937B" w14:textId="77777777" w:rsidR="00C82478" w:rsidRPr="00B17475" w:rsidRDefault="00C82478" w:rsidP="00C82478">
            <w:pPr>
              <w:rPr>
                <w:noProof/>
                <w:sz w:val="20"/>
                <w:szCs w:val="20"/>
              </w:rPr>
            </w:pPr>
            <w:r w:rsidRPr="00B17475">
              <w:rPr>
                <w:noProof/>
                <w:sz w:val="20"/>
                <w:szCs w:val="20"/>
              </w:rPr>
              <w:t xml:space="preserve"> Portugal </w:t>
            </w:r>
          </w:p>
        </w:tc>
        <w:tc>
          <w:tcPr>
            <w:tcW w:w="797" w:type="pct"/>
            <w:tcBorders>
              <w:top w:val="nil"/>
              <w:left w:val="nil"/>
              <w:bottom w:val="single" w:sz="4" w:space="0" w:color="auto"/>
              <w:right w:val="single" w:sz="4" w:space="0" w:color="auto"/>
            </w:tcBorders>
            <w:shd w:val="clear" w:color="000000" w:fill="FFFFFF"/>
            <w:noWrap/>
            <w:hideMark/>
          </w:tcPr>
          <w:p w14:paraId="204EC4CE" w14:textId="069AA256" w:rsidR="00C82478" w:rsidRPr="00C82478" w:rsidRDefault="00C82478" w:rsidP="00C82478">
            <w:pPr>
              <w:jc w:val="right"/>
              <w:rPr>
                <w:noProof/>
                <w:sz w:val="20"/>
                <w:szCs w:val="20"/>
              </w:rPr>
            </w:pPr>
            <w:r w:rsidRPr="00C82478">
              <w:rPr>
                <w:noProof/>
                <w:sz w:val="20"/>
                <w:szCs w:val="20"/>
              </w:rPr>
              <w:t>68.5</w:t>
            </w:r>
          </w:p>
        </w:tc>
        <w:tc>
          <w:tcPr>
            <w:tcW w:w="797" w:type="pct"/>
            <w:tcBorders>
              <w:top w:val="nil"/>
              <w:left w:val="nil"/>
              <w:bottom w:val="single" w:sz="4" w:space="0" w:color="auto"/>
              <w:right w:val="single" w:sz="4" w:space="0" w:color="auto"/>
            </w:tcBorders>
            <w:shd w:val="clear" w:color="000000" w:fill="FFFFFF"/>
            <w:noWrap/>
            <w:hideMark/>
          </w:tcPr>
          <w:p w14:paraId="08E0D4A0" w14:textId="755267CC" w:rsidR="00C82478" w:rsidRPr="00C82478" w:rsidRDefault="00C82478" w:rsidP="00C82478">
            <w:pPr>
              <w:jc w:val="right"/>
              <w:rPr>
                <w:noProof/>
                <w:sz w:val="20"/>
                <w:szCs w:val="20"/>
              </w:rPr>
            </w:pPr>
            <w:r w:rsidRPr="00C82478">
              <w:rPr>
                <w:noProof/>
                <w:sz w:val="20"/>
                <w:szCs w:val="20"/>
              </w:rPr>
              <w:t>10.4</w:t>
            </w:r>
          </w:p>
        </w:tc>
        <w:tc>
          <w:tcPr>
            <w:tcW w:w="797" w:type="pct"/>
            <w:tcBorders>
              <w:top w:val="nil"/>
              <w:left w:val="nil"/>
              <w:bottom w:val="single" w:sz="4" w:space="0" w:color="auto"/>
              <w:right w:val="single" w:sz="4" w:space="0" w:color="auto"/>
            </w:tcBorders>
            <w:shd w:val="clear" w:color="000000" w:fill="FFFFFF"/>
            <w:noWrap/>
            <w:hideMark/>
          </w:tcPr>
          <w:p w14:paraId="3449C409" w14:textId="756503E7" w:rsidR="00C82478" w:rsidRPr="00C82478" w:rsidRDefault="00C82478" w:rsidP="00C82478">
            <w:pPr>
              <w:jc w:val="right"/>
              <w:rPr>
                <w:noProof/>
                <w:sz w:val="20"/>
                <w:szCs w:val="20"/>
              </w:rPr>
            </w:pPr>
            <w:r w:rsidRPr="00C82478">
              <w:rPr>
                <w:noProof/>
                <w:sz w:val="20"/>
                <w:szCs w:val="20"/>
              </w:rPr>
              <w:t>16.7</w:t>
            </w:r>
          </w:p>
        </w:tc>
        <w:tc>
          <w:tcPr>
            <w:tcW w:w="798" w:type="pct"/>
            <w:tcBorders>
              <w:top w:val="nil"/>
              <w:left w:val="nil"/>
              <w:bottom w:val="single" w:sz="4" w:space="0" w:color="auto"/>
              <w:right w:val="single" w:sz="4" w:space="0" w:color="auto"/>
            </w:tcBorders>
            <w:shd w:val="clear" w:color="000000" w:fill="FFFFFF"/>
            <w:noWrap/>
            <w:hideMark/>
          </w:tcPr>
          <w:p w14:paraId="0CF252CE" w14:textId="3F53AC6E" w:rsidR="00C82478" w:rsidRPr="00C82478" w:rsidRDefault="00C82478" w:rsidP="00C82478">
            <w:pPr>
              <w:jc w:val="right"/>
              <w:rPr>
                <w:noProof/>
                <w:sz w:val="20"/>
                <w:szCs w:val="20"/>
              </w:rPr>
            </w:pPr>
            <w:r w:rsidRPr="00C82478">
              <w:rPr>
                <w:noProof/>
                <w:sz w:val="20"/>
                <w:szCs w:val="20"/>
              </w:rPr>
              <w:t>11.9</w:t>
            </w:r>
          </w:p>
        </w:tc>
      </w:tr>
      <w:tr w:rsidR="00C82478" w:rsidRPr="00B17475" w14:paraId="4C0C388B"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33A1157D" w14:textId="77777777" w:rsidR="00C82478" w:rsidRPr="00B17475" w:rsidRDefault="00C82478" w:rsidP="00C82478">
            <w:pPr>
              <w:rPr>
                <w:noProof/>
                <w:sz w:val="20"/>
                <w:szCs w:val="20"/>
              </w:rPr>
            </w:pPr>
            <w:r w:rsidRPr="00B17475">
              <w:rPr>
                <w:noProof/>
                <w:sz w:val="20"/>
                <w:szCs w:val="20"/>
              </w:rPr>
              <w:t xml:space="preserve"> Malta </w:t>
            </w:r>
          </w:p>
        </w:tc>
        <w:tc>
          <w:tcPr>
            <w:tcW w:w="797" w:type="pct"/>
            <w:tcBorders>
              <w:top w:val="nil"/>
              <w:left w:val="nil"/>
              <w:bottom w:val="single" w:sz="4" w:space="0" w:color="auto"/>
              <w:right w:val="single" w:sz="4" w:space="0" w:color="auto"/>
            </w:tcBorders>
            <w:shd w:val="clear" w:color="000000" w:fill="FFFFFF"/>
            <w:noWrap/>
            <w:hideMark/>
          </w:tcPr>
          <w:p w14:paraId="45C23833" w14:textId="080AC704" w:rsidR="00C82478" w:rsidRPr="00C82478" w:rsidRDefault="00C82478" w:rsidP="00C82478">
            <w:pPr>
              <w:jc w:val="right"/>
              <w:rPr>
                <w:noProof/>
                <w:sz w:val="20"/>
                <w:szCs w:val="20"/>
              </w:rPr>
            </w:pPr>
            <w:r w:rsidRPr="00C82478">
              <w:rPr>
                <w:noProof/>
                <w:sz w:val="20"/>
                <w:szCs w:val="20"/>
              </w:rPr>
              <w:t>34.3</w:t>
            </w:r>
          </w:p>
        </w:tc>
        <w:tc>
          <w:tcPr>
            <w:tcW w:w="797" w:type="pct"/>
            <w:tcBorders>
              <w:top w:val="nil"/>
              <w:left w:val="nil"/>
              <w:bottom w:val="single" w:sz="4" w:space="0" w:color="auto"/>
              <w:right w:val="single" w:sz="4" w:space="0" w:color="auto"/>
            </w:tcBorders>
            <w:shd w:val="clear" w:color="000000" w:fill="FFFFFF"/>
            <w:noWrap/>
            <w:hideMark/>
          </w:tcPr>
          <w:p w14:paraId="46F2C38F" w14:textId="208189C5" w:rsidR="00C82478" w:rsidRPr="00C82478" w:rsidRDefault="00C82478" w:rsidP="00C82478">
            <w:pPr>
              <w:jc w:val="right"/>
              <w:rPr>
                <w:noProof/>
                <w:sz w:val="20"/>
                <w:szCs w:val="20"/>
              </w:rPr>
            </w:pPr>
            <w:r w:rsidRPr="00C82478">
              <w:rPr>
                <w:noProof/>
                <w:sz w:val="20"/>
                <w:szCs w:val="20"/>
              </w:rPr>
              <w:t>5.2</w:t>
            </w:r>
          </w:p>
        </w:tc>
        <w:tc>
          <w:tcPr>
            <w:tcW w:w="797" w:type="pct"/>
            <w:tcBorders>
              <w:top w:val="nil"/>
              <w:left w:val="nil"/>
              <w:bottom w:val="single" w:sz="4" w:space="0" w:color="auto"/>
              <w:right w:val="single" w:sz="4" w:space="0" w:color="auto"/>
            </w:tcBorders>
            <w:shd w:val="clear" w:color="000000" w:fill="FFFFFF"/>
            <w:noWrap/>
            <w:hideMark/>
          </w:tcPr>
          <w:p w14:paraId="6A452647" w14:textId="248F0F94" w:rsidR="00C82478" w:rsidRPr="00C82478" w:rsidRDefault="00C82478" w:rsidP="00C82478">
            <w:pPr>
              <w:jc w:val="right"/>
              <w:rPr>
                <w:noProof/>
                <w:sz w:val="20"/>
                <w:szCs w:val="20"/>
              </w:rPr>
            </w:pPr>
            <w:r w:rsidRPr="00C82478">
              <w:rPr>
                <w:noProof/>
                <w:sz w:val="20"/>
                <w:szCs w:val="20"/>
              </w:rPr>
              <w:t>8.3</w:t>
            </w:r>
          </w:p>
        </w:tc>
        <w:tc>
          <w:tcPr>
            <w:tcW w:w="798" w:type="pct"/>
            <w:tcBorders>
              <w:top w:val="nil"/>
              <w:left w:val="nil"/>
              <w:bottom w:val="single" w:sz="4" w:space="0" w:color="auto"/>
              <w:right w:val="single" w:sz="4" w:space="0" w:color="auto"/>
            </w:tcBorders>
            <w:shd w:val="clear" w:color="000000" w:fill="FFFFFF"/>
            <w:noWrap/>
            <w:hideMark/>
          </w:tcPr>
          <w:p w14:paraId="79DA701E" w14:textId="1F555F68" w:rsidR="00C82478" w:rsidRPr="00C82478" w:rsidRDefault="00C82478" w:rsidP="00C82478">
            <w:pPr>
              <w:jc w:val="right"/>
              <w:rPr>
                <w:noProof/>
                <w:sz w:val="20"/>
                <w:szCs w:val="20"/>
              </w:rPr>
            </w:pPr>
            <w:r w:rsidRPr="00C82478">
              <w:rPr>
                <w:noProof/>
                <w:sz w:val="20"/>
                <w:szCs w:val="20"/>
              </w:rPr>
              <w:t>6.0</w:t>
            </w:r>
          </w:p>
        </w:tc>
      </w:tr>
      <w:tr w:rsidR="00C82478" w:rsidRPr="00B17475" w14:paraId="7AB0E1E9"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0BE1F9E7" w14:textId="77777777" w:rsidR="00C82478" w:rsidRPr="00B17475" w:rsidRDefault="00C82478" w:rsidP="00C82478">
            <w:pPr>
              <w:rPr>
                <w:noProof/>
                <w:sz w:val="20"/>
                <w:szCs w:val="20"/>
              </w:rPr>
            </w:pPr>
            <w:r w:rsidRPr="00B17475">
              <w:rPr>
                <w:noProof/>
                <w:sz w:val="20"/>
                <w:szCs w:val="20"/>
              </w:rPr>
              <w:t xml:space="preserve"> Cyprus </w:t>
            </w:r>
          </w:p>
        </w:tc>
        <w:tc>
          <w:tcPr>
            <w:tcW w:w="797" w:type="pct"/>
            <w:tcBorders>
              <w:top w:val="nil"/>
              <w:left w:val="nil"/>
              <w:bottom w:val="single" w:sz="4" w:space="0" w:color="auto"/>
              <w:right w:val="single" w:sz="4" w:space="0" w:color="auto"/>
            </w:tcBorders>
            <w:shd w:val="clear" w:color="000000" w:fill="FFFFFF"/>
            <w:noWrap/>
            <w:hideMark/>
          </w:tcPr>
          <w:p w14:paraId="773CB861" w14:textId="2939ECED" w:rsidR="00C82478" w:rsidRPr="00C82478" w:rsidRDefault="00C82478" w:rsidP="00C82478">
            <w:pPr>
              <w:jc w:val="right"/>
              <w:rPr>
                <w:noProof/>
                <w:sz w:val="20"/>
                <w:szCs w:val="20"/>
              </w:rPr>
            </w:pPr>
            <w:r w:rsidRPr="00C82478">
              <w:rPr>
                <w:noProof/>
                <w:sz w:val="20"/>
                <w:szCs w:val="20"/>
              </w:rPr>
              <w:t>34.3</w:t>
            </w:r>
          </w:p>
        </w:tc>
        <w:tc>
          <w:tcPr>
            <w:tcW w:w="797" w:type="pct"/>
            <w:tcBorders>
              <w:top w:val="nil"/>
              <w:left w:val="nil"/>
              <w:bottom w:val="single" w:sz="4" w:space="0" w:color="auto"/>
              <w:right w:val="single" w:sz="4" w:space="0" w:color="auto"/>
            </w:tcBorders>
            <w:shd w:val="clear" w:color="000000" w:fill="FFFFFF"/>
            <w:noWrap/>
            <w:hideMark/>
          </w:tcPr>
          <w:p w14:paraId="6F7A5A8B" w14:textId="2E431944" w:rsidR="00C82478" w:rsidRPr="00C82478" w:rsidRDefault="00C82478" w:rsidP="00C82478">
            <w:pPr>
              <w:jc w:val="right"/>
              <w:rPr>
                <w:noProof/>
                <w:sz w:val="20"/>
                <w:szCs w:val="20"/>
              </w:rPr>
            </w:pPr>
            <w:r w:rsidRPr="00C82478">
              <w:rPr>
                <w:noProof/>
                <w:sz w:val="20"/>
                <w:szCs w:val="20"/>
              </w:rPr>
              <w:t>5.2</w:t>
            </w:r>
          </w:p>
        </w:tc>
        <w:tc>
          <w:tcPr>
            <w:tcW w:w="797" w:type="pct"/>
            <w:tcBorders>
              <w:top w:val="nil"/>
              <w:left w:val="nil"/>
              <w:bottom w:val="single" w:sz="4" w:space="0" w:color="auto"/>
              <w:right w:val="single" w:sz="4" w:space="0" w:color="auto"/>
            </w:tcBorders>
            <w:shd w:val="clear" w:color="000000" w:fill="FFFFFF"/>
            <w:noWrap/>
            <w:hideMark/>
          </w:tcPr>
          <w:p w14:paraId="43F089B2" w14:textId="5F2CFF06" w:rsidR="00C82478" w:rsidRPr="00C82478" w:rsidRDefault="00C82478" w:rsidP="00C82478">
            <w:pPr>
              <w:jc w:val="right"/>
              <w:rPr>
                <w:noProof/>
                <w:sz w:val="20"/>
                <w:szCs w:val="20"/>
              </w:rPr>
            </w:pPr>
            <w:r w:rsidRPr="00C82478">
              <w:rPr>
                <w:noProof/>
                <w:sz w:val="20"/>
                <w:szCs w:val="20"/>
              </w:rPr>
              <w:t>8.3</w:t>
            </w:r>
          </w:p>
        </w:tc>
        <w:tc>
          <w:tcPr>
            <w:tcW w:w="798" w:type="pct"/>
            <w:tcBorders>
              <w:top w:val="nil"/>
              <w:left w:val="nil"/>
              <w:bottom w:val="single" w:sz="4" w:space="0" w:color="auto"/>
              <w:right w:val="single" w:sz="4" w:space="0" w:color="auto"/>
            </w:tcBorders>
            <w:shd w:val="clear" w:color="000000" w:fill="FFFFFF"/>
            <w:noWrap/>
            <w:hideMark/>
          </w:tcPr>
          <w:p w14:paraId="7DDF4D99" w14:textId="5C40614B" w:rsidR="00C82478" w:rsidRPr="00C82478" w:rsidRDefault="00C82478" w:rsidP="00C82478">
            <w:pPr>
              <w:jc w:val="right"/>
              <w:rPr>
                <w:noProof/>
                <w:sz w:val="20"/>
                <w:szCs w:val="20"/>
              </w:rPr>
            </w:pPr>
            <w:r w:rsidRPr="00C82478">
              <w:rPr>
                <w:noProof/>
                <w:sz w:val="20"/>
                <w:szCs w:val="20"/>
              </w:rPr>
              <w:t>6.0</w:t>
            </w:r>
          </w:p>
        </w:tc>
      </w:tr>
      <w:tr w:rsidR="00C82478" w:rsidRPr="00B17475" w14:paraId="4F7EC538"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6ED7A73F" w14:textId="77777777" w:rsidR="00C82478" w:rsidRPr="00B17475" w:rsidRDefault="00C82478" w:rsidP="00C82478">
            <w:pPr>
              <w:rPr>
                <w:noProof/>
                <w:sz w:val="20"/>
                <w:szCs w:val="20"/>
              </w:rPr>
            </w:pPr>
            <w:r w:rsidRPr="00B17475">
              <w:rPr>
                <w:noProof/>
                <w:sz w:val="20"/>
                <w:szCs w:val="20"/>
              </w:rPr>
              <w:t xml:space="preserve"> Greece </w:t>
            </w:r>
          </w:p>
        </w:tc>
        <w:tc>
          <w:tcPr>
            <w:tcW w:w="797" w:type="pct"/>
            <w:tcBorders>
              <w:top w:val="nil"/>
              <w:left w:val="nil"/>
              <w:bottom w:val="single" w:sz="4" w:space="0" w:color="auto"/>
              <w:right w:val="single" w:sz="4" w:space="0" w:color="auto"/>
            </w:tcBorders>
            <w:shd w:val="clear" w:color="000000" w:fill="FFFFFF"/>
            <w:noWrap/>
            <w:hideMark/>
          </w:tcPr>
          <w:p w14:paraId="6238029D" w14:textId="2CE16B77" w:rsidR="00C82478" w:rsidRPr="00C82478" w:rsidRDefault="00C82478" w:rsidP="00C82478">
            <w:pPr>
              <w:jc w:val="right"/>
              <w:rPr>
                <w:noProof/>
                <w:sz w:val="20"/>
                <w:szCs w:val="20"/>
              </w:rPr>
            </w:pPr>
            <w:r w:rsidRPr="00C82478">
              <w:rPr>
                <w:noProof/>
                <w:sz w:val="20"/>
                <w:szCs w:val="20"/>
              </w:rPr>
              <w:t>68.5</w:t>
            </w:r>
          </w:p>
        </w:tc>
        <w:tc>
          <w:tcPr>
            <w:tcW w:w="797" w:type="pct"/>
            <w:tcBorders>
              <w:top w:val="nil"/>
              <w:left w:val="nil"/>
              <w:bottom w:val="single" w:sz="4" w:space="0" w:color="auto"/>
              <w:right w:val="single" w:sz="4" w:space="0" w:color="auto"/>
            </w:tcBorders>
            <w:shd w:val="clear" w:color="000000" w:fill="FFFFFF"/>
            <w:noWrap/>
            <w:hideMark/>
          </w:tcPr>
          <w:p w14:paraId="19C91C13" w14:textId="5EE47950" w:rsidR="00C82478" w:rsidRPr="00C82478" w:rsidRDefault="00C82478" w:rsidP="00C82478">
            <w:pPr>
              <w:jc w:val="right"/>
              <w:rPr>
                <w:noProof/>
                <w:sz w:val="20"/>
                <w:szCs w:val="20"/>
              </w:rPr>
            </w:pPr>
            <w:r w:rsidRPr="00C82478">
              <w:rPr>
                <w:noProof/>
                <w:sz w:val="20"/>
                <w:szCs w:val="20"/>
              </w:rPr>
              <w:t>10.4</w:t>
            </w:r>
          </w:p>
        </w:tc>
        <w:tc>
          <w:tcPr>
            <w:tcW w:w="797" w:type="pct"/>
            <w:tcBorders>
              <w:top w:val="nil"/>
              <w:left w:val="nil"/>
              <w:bottom w:val="single" w:sz="4" w:space="0" w:color="auto"/>
              <w:right w:val="single" w:sz="4" w:space="0" w:color="auto"/>
            </w:tcBorders>
            <w:shd w:val="clear" w:color="000000" w:fill="FFFFFF"/>
            <w:noWrap/>
            <w:hideMark/>
          </w:tcPr>
          <w:p w14:paraId="5346D2FA" w14:textId="7E0EDE08" w:rsidR="00C82478" w:rsidRPr="00C82478" w:rsidRDefault="00C82478" w:rsidP="00C82478">
            <w:pPr>
              <w:jc w:val="right"/>
              <w:rPr>
                <w:noProof/>
                <w:sz w:val="20"/>
                <w:szCs w:val="20"/>
              </w:rPr>
            </w:pPr>
            <w:r w:rsidRPr="00C82478">
              <w:rPr>
                <w:noProof/>
                <w:sz w:val="20"/>
                <w:szCs w:val="20"/>
              </w:rPr>
              <w:t>16.7</w:t>
            </w:r>
          </w:p>
        </w:tc>
        <w:tc>
          <w:tcPr>
            <w:tcW w:w="798" w:type="pct"/>
            <w:tcBorders>
              <w:top w:val="nil"/>
              <w:left w:val="nil"/>
              <w:bottom w:val="single" w:sz="4" w:space="0" w:color="auto"/>
              <w:right w:val="single" w:sz="4" w:space="0" w:color="auto"/>
            </w:tcBorders>
            <w:shd w:val="clear" w:color="000000" w:fill="FFFFFF"/>
            <w:noWrap/>
            <w:hideMark/>
          </w:tcPr>
          <w:p w14:paraId="5F18A4FF" w14:textId="1B68CF4C" w:rsidR="00C82478" w:rsidRPr="00C82478" w:rsidRDefault="00C82478" w:rsidP="00C82478">
            <w:pPr>
              <w:jc w:val="right"/>
              <w:rPr>
                <w:noProof/>
                <w:sz w:val="20"/>
                <w:szCs w:val="20"/>
              </w:rPr>
            </w:pPr>
            <w:r w:rsidRPr="00C82478">
              <w:rPr>
                <w:noProof/>
                <w:sz w:val="20"/>
                <w:szCs w:val="20"/>
              </w:rPr>
              <w:t>11.9</w:t>
            </w:r>
          </w:p>
        </w:tc>
      </w:tr>
      <w:tr w:rsidR="00C82478" w:rsidRPr="00B17475" w14:paraId="1AA23BA9"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4D60D57A" w14:textId="77777777" w:rsidR="00C82478" w:rsidRPr="00B17475" w:rsidRDefault="00C82478" w:rsidP="00C82478">
            <w:pPr>
              <w:rPr>
                <w:noProof/>
                <w:sz w:val="20"/>
                <w:szCs w:val="20"/>
              </w:rPr>
            </w:pPr>
            <w:r w:rsidRPr="00B17475">
              <w:rPr>
                <w:noProof/>
                <w:sz w:val="20"/>
                <w:szCs w:val="20"/>
              </w:rPr>
              <w:t xml:space="preserve"> Bulgaria </w:t>
            </w:r>
          </w:p>
        </w:tc>
        <w:tc>
          <w:tcPr>
            <w:tcW w:w="797" w:type="pct"/>
            <w:tcBorders>
              <w:top w:val="nil"/>
              <w:left w:val="nil"/>
              <w:bottom w:val="single" w:sz="4" w:space="0" w:color="auto"/>
              <w:right w:val="single" w:sz="4" w:space="0" w:color="auto"/>
            </w:tcBorders>
            <w:shd w:val="clear" w:color="000000" w:fill="FFFFFF"/>
            <w:noWrap/>
            <w:hideMark/>
          </w:tcPr>
          <w:p w14:paraId="16EA84E3" w14:textId="77777777" w:rsidR="00C82478" w:rsidRPr="00C82478" w:rsidRDefault="00C82478" w:rsidP="00C82478">
            <w:pPr>
              <w:jc w:val="right"/>
              <w:rPr>
                <w:noProof/>
                <w:sz w:val="20"/>
                <w:szCs w:val="20"/>
              </w:rPr>
            </w:pPr>
            <w:r w:rsidRPr="00C82478">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3DF8AA98" w14:textId="77777777" w:rsidR="00C82478" w:rsidRPr="00C82478" w:rsidRDefault="00C82478" w:rsidP="00C82478">
            <w:pPr>
              <w:jc w:val="right"/>
              <w:rPr>
                <w:noProof/>
                <w:sz w:val="20"/>
                <w:szCs w:val="20"/>
              </w:rPr>
            </w:pPr>
            <w:r w:rsidRPr="00C82478">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07B5508E" w14:textId="77777777" w:rsidR="00C82478" w:rsidRPr="00C82478" w:rsidRDefault="00C82478" w:rsidP="00C82478">
            <w:pPr>
              <w:jc w:val="right"/>
              <w:rPr>
                <w:noProof/>
                <w:sz w:val="20"/>
                <w:szCs w:val="20"/>
              </w:rPr>
            </w:pPr>
            <w:r w:rsidRPr="00C82478">
              <w:rPr>
                <w:noProof/>
                <w:sz w:val="20"/>
                <w:szCs w:val="20"/>
              </w:rPr>
              <w:t>0.0</w:t>
            </w:r>
          </w:p>
        </w:tc>
        <w:tc>
          <w:tcPr>
            <w:tcW w:w="798" w:type="pct"/>
            <w:tcBorders>
              <w:top w:val="nil"/>
              <w:left w:val="nil"/>
              <w:bottom w:val="single" w:sz="4" w:space="0" w:color="auto"/>
              <w:right w:val="single" w:sz="4" w:space="0" w:color="auto"/>
            </w:tcBorders>
            <w:shd w:val="clear" w:color="000000" w:fill="FFFFFF"/>
            <w:noWrap/>
            <w:hideMark/>
          </w:tcPr>
          <w:p w14:paraId="51E00810" w14:textId="77777777" w:rsidR="00C82478" w:rsidRPr="00C82478" w:rsidRDefault="00C82478" w:rsidP="00C82478">
            <w:pPr>
              <w:jc w:val="right"/>
              <w:rPr>
                <w:noProof/>
                <w:sz w:val="20"/>
                <w:szCs w:val="20"/>
              </w:rPr>
            </w:pPr>
            <w:r w:rsidRPr="00C82478">
              <w:rPr>
                <w:noProof/>
                <w:sz w:val="20"/>
                <w:szCs w:val="20"/>
              </w:rPr>
              <w:t>0.0</w:t>
            </w:r>
          </w:p>
        </w:tc>
      </w:tr>
      <w:tr w:rsidR="00C82478" w:rsidRPr="00B17475" w14:paraId="124DC09D"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5CD780CF" w14:textId="77777777" w:rsidR="00C82478" w:rsidRPr="00B17475" w:rsidRDefault="00C82478" w:rsidP="00C82478">
            <w:pPr>
              <w:rPr>
                <w:noProof/>
                <w:sz w:val="20"/>
                <w:szCs w:val="20"/>
              </w:rPr>
            </w:pPr>
            <w:r w:rsidRPr="00B17475">
              <w:rPr>
                <w:noProof/>
                <w:sz w:val="20"/>
                <w:szCs w:val="20"/>
              </w:rPr>
              <w:t xml:space="preserve"> Estonia </w:t>
            </w:r>
          </w:p>
        </w:tc>
        <w:tc>
          <w:tcPr>
            <w:tcW w:w="797" w:type="pct"/>
            <w:tcBorders>
              <w:top w:val="nil"/>
              <w:left w:val="nil"/>
              <w:bottom w:val="single" w:sz="4" w:space="0" w:color="auto"/>
              <w:right w:val="single" w:sz="4" w:space="0" w:color="auto"/>
            </w:tcBorders>
            <w:shd w:val="clear" w:color="000000" w:fill="FFFFFF"/>
            <w:noWrap/>
            <w:hideMark/>
          </w:tcPr>
          <w:p w14:paraId="52756ACD" w14:textId="77777777" w:rsidR="00C82478" w:rsidRPr="00C82478" w:rsidRDefault="00C82478" w:rsidP="00C82478">
            <w:pPr>
              <w:jc w:val="right"/>
              <w:rPr>
                <w:noProof/>
                <w:sz w:val="20"/>
                <w:szCs w:val="20"/>
              </w:rPr>
            </w:pPr>
            <w:r w:rsidRPr="00C82478">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7D8F1FFF" w14:textId="77777777" w:rsidR="00C82478" w:rsidRPr="00C82478" w:rsidRDefault="00C82478" w:rsidP="00C82478">
            <w:pPr>
              <w:jc w:val="right"/>
              <w:rPr>
                <w:noProof/>
                <w:sz w:val="20"/>
                <w:szCs w:val="20"/>
              </w:rPr>
            </w:pPr>
            <w:r w:rsidRPr="00C82478">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76CB7E8E" w14:textId="77777777" w:rsidR="00C82478" w:rsidRPr="00C82478" w:rsidRDefault="00C82478" w:rsidP="00C82478">
            <w:pPr>
              <w:jc w:val="right"/>
              <w:rPr>
                <w:noProof/>
                <w:sz w:val="20"/>
                <w:szCs w:val="20"/>
              </w:rPr>
            </w:pPr>
            <w:r w:rsidRPr="00C82478">
              <w:rPr>
                <w:noProof/>
                <w:sz w:val="20"/>
                <w:szCs w:val="20"/>
              </w:rPr>
              <w:t>0.0</w:t>
            </w:r>
          </w:p>
        </w:tc>
        <w:tc>
          <w:tcPr>
            <w:tcW w:w="798" w:type="pct"/>
            <w:tcBorders>
              <w:top w:val="nil"/>
              <w:left w:val="nil"/>
              <w:bottom w:val="single" w:sz="4" w:space="0" w:color="auto"/>
              <w:right w:val="single" w:sz="4" w:space="0" w:color="auto"/>
            </w:tcBorders>
            <w:shd w:val="clear" w:color="000000" w:fill="FFFFFF"/>
            <w:noWrap/>
            <w:hideMark/>
          </w:tcPr>
          <w:p w14:paraId="77C316C7" w14:textId="77777777" w:rsidR="00C82478" w:rsidRPr="00C82478" w:rsidRDefault="00C82478" w:rsidP="00C82478">
            <w:pPr>
              <w:jc w:val="right"/>
              <w:rPr>
                <w:noProof/>
                <w:sz w:val="20"/>
                <w:szCs w:val="20"/>
              </w:rPr>
            </w:pPr>
            <w:r w:rsidRPr="00C82478">
              <w:rPr>
                <w:noProof/>
                <w:sz w:val="20"/>
                <w:szCs w:val="20"/>
              </w:rPr>
              <w:t>0.0</w:t>
            </w:r>
          </w:p>
        </w:tc>
      </w:tr>
      <w:tr w:rsidR="00C82478" w:rsidRPr="00B17475" w14:paraId="1005B6D0"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4BE3054D" w14:textId="77777777" w:rsidR="00C82478" w:rsidRPr="00B17475" w:rsidRDefault="00C82478" w:rsidP="00C82478">
            <w:pPr>
              <w:rPr>
                <w:noProof/>
                <w:sz w:val="20"/>
                <w:szCs w:val="20"/>
              </w:rPr>
            </w:pPr>
            <w:r w:rsidRPr="00B17475">
              <w:rPr>
                <w:noProof/>
                <w:sz w:val="20"/>
                <w:szCs w:val="20"/>
              </w:rPr>
              <w:t xml:space="preserve"> Croatia </w:t>
            </w:r>
          </w:p>
        </w:tc>
        <w:tc>
          <w:tcPr>
            <w:tcW w:w="797" w:type="pct"/>
            <w:tcBorders>
              <w:top w:val="nil"/>
              <w:left w:val="nil"/>
              <w:bottom w:val="single" w:sz="4" w:space="0" w:color="auto"/>
              <w:right w:val="single" w:sz="4" w:space="0" w:color="auto"/>
            </w:tcBorders>
            <w:shd w:val="clear" w:color="000000" w:fill="FFFFFF"/>
            <w:noWrap/>
            <w:hideMark/>
          </w:tcPr>
          <w:p w14:paraId="5F4F32A3" w14:textId="5CF35511" w:rsidR="00C82478" w:rsidRPr="00C82478" w:rsidRDefault="00C82478" w:rsidP="00C82478">
            <w:pPr>
              <w:jc w:val="right"/>
              <w:rPr>
                <w:noProof/>
                <w:sz w:val="20"/>
                <w:szCs w:val="20"/>
              </w:rPr>
            </w:pPr>
            <w:r w:rsidRPr="00C82478">
              <w:rPr>
                <w:noProof/>
                <w:sz w:val="20"/>
                <w:szCs w:val="20"/>
              </w:rPr>
              <w:t>34.3</w:t>
            </w:r>
          </w:p>
        </w:tc>
        <w:tc>
          <w:tcPr>
            <w:tcW w:w="797" w:type="pct"/>
            <w:tcBorders>
              <w:top w:val="nil"/>
              <w:left w:val="nil"/>
              <w:bottom w:val="single" w:sz="4" w:space="0" w:color="auto"/>
              <w:right w:val="single" w:sz="4" w:space="0" w:color="auto"/>
            </w:tcBorders>
            <w:shd w:val="clear" w:color="000000" w:fill="FFFFFF"/>
            <w:noWrap/>
            <w:hideMark/>
          </w:tcPr>
          <w:p w14:paraId="7C5684FB" w14:textId="7E135F83" w:rsidR="00C82478" w:rsidRPr="00C82478" w:rsidRDefault="00C82478" w:rsidP="00C82478">
            <w:pPr>
              <w:jc w:val="right"/>
              <w:rPr>
                <w:noProof/>
                <w:sz w:val="20"/>
                <w:szCs w:val="20"/>
              </w:rPr>
            </w:pPr>
            <w:r w:rsidRPr="00C82478">
              <w:rPr>
                <w:noProof/>
                <w:sz w:val="20"/>
                <w:szCs w:val="20"/>
              </w:rPr>
              <w:t>5.2</w:t>
            </w:r>
          </w:p>
        </w:tc>
        <w:tc>
          <w:tcPr>
            <w:tcW w:w="797" w:type="pct"/>
            <w:tcBorders>
              <w:top w:val="nil"/>
              <w:left w:val="nil"/>
              <w:bottom w:val="single" w:sz="4" w:space="0" w:color="auto"/>
              <w:right w:val="single" w:sz="4" w:space="0" w:color="auto"/>
            </w:tcBorders>
            <w:shd w:val="clear" w:color="000000" w:fill="FFFFFF"/>
            <w:noWrap/>
            <w:hideMark/>
          </w:tcPr>
          <w:p w14:paraId="1E38955C" w14:textId="48442BD6" w:rsidR="00C82478" w:rsidRPr="00C82478" w:rsidRDefault="00C82478" w:rsidP="00C82478">
            <w:pPr>
              <w:jc w:val="right"/>
              <w:rPr>
                <w:noProof/>
                <w:sz w:val="20"/>
                <w:szCs w:val="20"/>
              </w:rPr>
            </w:pPr>
            <w:r w:rsidRPr="00C82478">
              <w:rPr>
                <w:noProof/>
                <w:sz w:val="20"/>
                <w:szCs w:val="20"/>
              </w:rPr>
              <w:t>8.3</w:t>
            </w:r>
          </w:p>
        </w:tc>
        <w:tc>
          <w:tcPr>
            <w:tcW w:w="798" w:type="pct"/>
            <w:tcBorders>
              <w:top w:val="nil"/>
              <w:left w:val="nil"/>
              <w:bottom w:val="single" w:sz="4" w:space="0" w:color="auto"/>
              <w:right w:val="single" w:sz="4" w:space="0" w:color="auto"/>
            </w:tcBorders>
            <w:shd w:val="clear" w:color="000000" w:fill="FFFFFF"/>
            <w:noWrap/>
            <w:hideMark/>
          </w:tcPr>
          <w:p w14:paraId="7BC6ADC7" w14:textId="7A528555" w:rsidR="00C82478" w:rsidRPr="00C82478" w:rsidRDefault="00C82478" w:rsidP="00C82478">
            <w:pPr>
              <w:jc w:val="right"/>
              <w:rPr>
                <w:noProof/>
                <w:sz w:val="20"/>
                <w:szCs w:val="20"/>
              </w:rPr>
            </w:pPr>
            <w:r w:rsidRPr="00C82478">
              <w:rPr>
                <w:noProof/>
                <w:sz w:val="20"/>
                <w:szCs w:val="20"/>
              </w:rPr>
              <w:t>6.0</w:t>
            </w:r>
          </w:p>
        </w:tc>
      </w:tr>
      <w:tr w:rsidR="00C82478" w:rsidRPr="00B17475" w14:paraId="4EBCD4C9"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4643056E" w14:textId="77777777" w:rsidR="00C82478" w:rsidRPr="00B17475" w:rsidRDefault="00C82478" w:rsidP="00C82478">
            <w:pPr>
              <w:rPr>
                <w:noProof/>
                <w:sz w:val="20"/>
                <w:szCs w:val="20"/>
              </w:rPr>
            </w:pPr>
            <w:r w:rsidRPr="00B17475">
              <w:rPr>
                <w:noProof/>
                <w:sz w:val="20"/>
                <w:szCs w:val="20"/>
              </w:rPr>
              <w:t xml:space="preserve"> Lithuania </w:t>
            </w:r>
          </w:p>
        </w:tc>
        <w:tc>
          <w:tcPr>
            <w:tcW w:w="797" w:type="pct"/>
            <w:tcBorders>
              <w:top w:val="nil"/>
              <w:left w:val="nil"/>
              <w:bottom w:val="single" w:sz="4" w:space="0" w:color="auto"/>
              <w:right w:val="single" w:sz="4" w:space="0" w:color="auto"/>
            </w:tcBorders>
            <w:shd w:val="clear" w:color="000000" w:fill="FFFFFF"/>
            <w:noWrap/>
            <w:hideMark/>
          </w:tcPr>
          <w:p w14:paraId="14342BD3" w14:textId="77777777" w:rsidR="00C82478" w:rsidRPr="00C82478" w:rsidRDefault="00C82478" w:rsidP="00C82478">
            <w:pPr>
              <w:jc w:val="right"/>
              <w:rPr>
                <w:noProof/>
                <w:sz w:val="20"/>
                <w:szCs w:val="20"/>
              </w:rPr>
            </w:pPr>
            <w:r w:rsidRPr="00C82478">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3081EF7B" w14:textId="77777777" w:rsidR="00C82478" w:rsidRPr="00C82478" w:rsidRDefault="00C82478" w:rsidP="00C82478">
            <w:pPr>
              <w:jc w:val="right"/>
              <w:rPr>
                <w:noProof/>
                <w:sz w:val="20"/>
                <w:szCs w:val="20"/>
              </w:rPr>
            </w:pPr>
            <w:r w:rsidRPr="00C82478">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03CD1382" w14:textId="77777777" w:rsidR="00C82478" w:rsidRPr="00C82478" w:rsidRDefault="00C82478" w:rsidP="00C82478">
            <w:pPr>
              <w:jc w:val="right"/>
              <w:rPr>
                <w:noProof/>
                <w:sz w:val="20"/>
                <w:szCs w:val="20"/>
              </w:rPr>
            </w:pPr>
            <w:r w:rsidRPr="00C82478">
              <w:rPr>
                <w:noProof/>
                <w:sz w:val="20"/>
                <w:szCs w:val="20"/>
              </w:rPr>
              <w:t>0.0</w:t>
            </w:r>
          </w:p>
        </w:tc>
        <w:tc>
          <w:tcPr>
            <w:tcW w:w="798" w:type="pct"/>
            <w:tcBorders>
              <w:top w:val="nil"/>
              <w:left w:val="nil"/>
              <w:bottom w:val="single" w:sz="4" w:space="0" w:color="auto"/>
              <w:right w:val="single" w:sz="4" w:space="0" w:color="auto"/>
            </w:tcBorders>
            <w:shd w:val="clear" w:color="000000" w:fill="FFFFFF"/>
            <w:noWrap/>
            <w:hideMark/>
          </w:tcPr>
          <w:p w14:paraId="6D722330" w14:textId="77777777" w:rsidR="00C82478" w:rsidRPr="00C82478" w:rsidRDefault="00C82478" w:rsidP="00C82478">
            <w:pPr>
              <w:jc w:val="right"/>
              <w:rPr>
                <w:noProof/>
                <w:sz w:val="20"/>
                <w:szCs w:val="20"/>
              </w:rPr>
            </w:pPr>
            <w:r w:rsidRPr="00C82478">
              <w:rPr>
                <w:noProof/>
                <w:sz w:val="20"/>
                <w:szCs w:val="20"/>
              </w:rPr>
              <w:t>0.0</w:t>
            </w:r>
          </w:p>
        </w:tc>
      </w:tr>
      <w:tr w:rsidR="00C82478" w:rsidRPr="00B17475" w14:paraId="0ED09D25"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3D3BEFAC" w14:textId="77777777" w:rsidR="00C82478" w:rsidRPr="00B17475" w:rsidRDefault="00C82478" w:rsidP="00C82478">
            <w:pPr>
              <w:rPr>
                <w:noProof/>
                <w:sz w:val="20"/>
                <w:szCs w:val="20"/>
              </w:rPr>
            </w:pPr>
            <w:r w:rsidRPr="00B17475">
              <w:rPr>
                <w:noProof/>
                <w:sz w:val="20"/>
                <w:szCs w:val="20"/>
              </w:rPr>
              <w:t xml:space="preserve"> Hungary </w:t>
            </w:r>
          </w:p>
        </w:tc>
        <w:tc>
          <w:tcPr>
            <w:tcW w:w="797" w:type="pct"/>
            <w:tcBorders>
              <w:top w:val="nil"/>
              <w:left w:val="nil"/>
              <w:bottom w:val="single" w:sz="4" w:space="0" w:color="auto"/>
              <w:right w:val="single" w:sz="4" w:space="0" w:color="auto"/>
            </w:tcBorders>
            <w:shd w:val="clear" w:color="000000" w:fill="FFFFFF"/>
            <w:noWrap/>
            <w:hideMark/>
          </w:tcPr>
          <w:p w14:paraId="3F666C5B" w14:textId="73E1213C" w:rsidR="00C82478" w:rsidRPr="00C82478" w:rsidRDefault="00C82478" w:rsidP="00C82478">
            <w:pPr>
              <w:jc w:val="right"/>
              <w:rPr>
                <w:noProof/>
                <w:sz w:val="20"/>
                <w:szCs w:val="20"/>
              </w:rPr>
            </w:pPr>
            <w:r w:rsidRPr="00C82478">
              <w:rPr>
                <w:noProof/>
                <w:sz w:val="20"/>
                <w:szCs w:val="20"/>
              </w:rPr>
              <w:t>102.8</w:t>
            </w:r>
          </w:p>
        </w:tc>
        <w:tc>
          <w:tcPr>
            <w:tcW w:w="797" w:type="pct"/>
            <w:tcBorders>
              <w:top w:val="nil"/>
              <w:left w:val="nil"/>
              <w:bottom w:val="single" w:sz="4" w:space="0" w:color="auto"/>
              <w:right w:val="single" w:sz="4" w:space="0" w:color="auto"/>
            </w:tcBorders>
            <w:shd w:val="clear" w:color="000000" w:fill="FFFFFF"/>
            <w:noWrap/>
            <w:hideMark/>
          </w:tcPr>
          <w:p w14:paraId="5757B4DA" w14:textId="1EC4E9EB" w:rsidR="00C82478" w:rsidRPr="00C82478" w:rsidRDefault="00C82478" w:rsidP="00C82478">
            <w:pPr>
              <w:jc w:val="right"/>
              <w:rPr>
                <w:noProof/>
                <w:sz w:val="20"/>
                <w:szCs w:val="20"/>
              </w:rPr>
            </w:pPr>
            <w:r w:rsidRPr="00C82478">
              <w:rPr>
                <w:noProof/>
                <w:sz w:val="20"/>
                <w:szCs w:val="20"/>
              </w:rPr>
              <w:t>15.5</w:t>
            </w:r>
          </w:p>
        </w:tc>
        <w:tc>
          <w:tcPr>
            <w:tcW w:w="797" w:type="pct"/>
            <w:tcBorders>
              <w:top w:val="nil"/>
              <w:left w:val="nil"/>
              <w:bottom w:val="single" w:sz="4" w:space="0" w:color="auto"/>
              <w:right w:val="single" w:sz="4" w:space="0" w:color="auto"/>
            </w:tcBorders>
            <w:shd w:val="clear" w:color="000000" w:fill="FFFFFF"/>
            <w:noWrap/>
            <w:hideMark/>
          </w:tcPr>
          <w:p w14:paraId="5AC1E835" w14:textId="034E9E3D" w:rsidR="00C82478" w:rsidRPr="00C82478" w:rsidRDefault="00C82478" w:rsidP="00C82478">
            <w:pPr>
              <w:jc w:val="right"/>
              <w:rPr>
                <w:noProof/>
                <w:sz w:val="20"/>
                <w:szCs w:val="20"/>
              </w:rPr>
            </w:pPr>
            <w:r w:rsidRPr="00C82478">
              <w:rPr>
                <w:noProof/>
                <w:sz w:val="20"/>
                <w:szCs w:val="20"/>
              </w:rPr>
              <w:t>25.0</w:t>
            </w:r>
          </w:p>
        </w:tc>
        <w:tc>
          <w:tcPr>
            <w:tcW w:w="798" w:type="pct"/>
            <w:tcBorders>
              <w:top w:val="nil"/>
              <w:left w:val="nil"/>
              <w:bottom w:val="single" w:sz="4" w:space="0" w:color="auto"/>
              <w:right w:val="single" w:sz="4" w:space="0" w:color="auto"/>
            </w:tcBorders>
            <w:shd w:val="clear" w:color="000000" w:fill="FFFFFF"/>
            <w:noWrap/>
            <w:hideMark/>
          </w:tcPr>
          <w:p w14:paraId="5BF6315D" w14:textId="7A1930AC" w:rsidR="00C82478" w:rsidRPr="00C82478" w:rsidRDefault="00C82478" w:rsidP="00C82478">
            <w:pPr>
              <w:jc w:val="right"/>
              <w:rPr>
                <w:noProof/>
                <w:sz w:val="20"/>
                <w:szCs w:val="20"/>
              </w:rPr>
            </w:pPr>
            <w:r w:rsidRPr="00C82478">
              <w:rPr>
                <w:noProof/>
                <w:sz w:val="20"/>
                <w:szCs w:val="20"/>
              </w:rPr>
              <w:t>17.9</w:t>
            </w:r>
          </w:p>
        </w:tc>
      </w:tr>
      <w:tr w:rsidR="00C82478" w:rsidRPr="00B17475" w14:paraId="1C077534"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74295E8B" w14:textId="77777777" w:rsidR="00C82478" w:rsidRPr="00B17475" w:rsidRDefault="00C82478" w:rsidP="00C82478">
            <w:pPr>
              <w:rPr>
                <w:noProof/>
                <w:sz w:val="20"/>
                <w:szCs w:val="20"/>
              </w:rPr>
            </w:pPr>
            <w:r w:rsidRPr="00B17475">
              <w:rPr>
                <w:noProof/>
                <w:sz w:val="20"/>
                <w:szCs w:val="20"/>
              </w:rPr>
              <w:t xml:space="preserve"> Sweden </w:t>
            </w:r>
          </w:p>
        </w:tc>
        <w:tc>
          <w:tcPr>
            <w:tcW w:w="797" w:type="pct"/>
            <w:tcBorders>
              <w:top w:val="nil"/>
              <w:left w:val="nil"/>
              <w:bottom w:val="single" w:sz="4" w:space="0" w:color="auto"/>
              <w:right w:val="single" w:sz="4" w:space="0" w:color="auto"/>
            </w:tcBorders>
            <w:shd w:val="clear" w:color="000000" w:fill="FFFFFF"/>
            <w:noWrap/>
            <w:hideMark/>
          </w:tcPr>
          <w:p w14:paraId="721CECFC" w14:textId="336D1E43" w:rsidR="00C82478" w:rsidRPr="00C82478" w:rsidRDefault="00C82478" w:rsidP="00C82478">
            <w:pPr>
              <w:jc w:val="right"/>
              <w:rPr>
                <w:noProof/>
                <w:sz w:val="20"/>
                <w:szCs w:val="20"/>
              </w:rPr>
            </w:pPr>
            <w:r w:rsidRPr="00C82478">
              <w:rPr>
                <w:noProof/>
                <w:sz w:val="20"/>
                <w:szCs w:val="20"/>
              </w:rPr>
              <w:t>68.5</w:t>
            </w:r>
          </w:p>
        </w:tc>
        <w:tc>
          <w:tcPr>
            <w:tcW w:w="797" w:type="pct"/>
            <w:tcBorders>
              <w:top w:val="nil"/>
              <w:left w:val="nil"/>
              <w:bottom w:val="single" w:sz="4" w:space="0" w:color="auto"/>
              <w:right w:val="single" w:sz="4" w:space="0" w:color="auto"/>
            </w:tcBorders>
            <w:shd w:val="clear" w:color="000000" w:fill="FFFFFF"/>
            <w:noWrap/>
            <w:hideMark/>
          </w:tcPr>
          <w:p w14:paraId="5ABC6E5D" w14:textId="7C2ED0C5" w:rsidR="00C82478" w:rsidRPr="00C82478" w:rsidRDefault="00C82478" w:rsidP="00C82478">
            <w:pPr>
              <w:jc w:val="right"/>
              <w:rPr>
                <w:noProof/>
                <w:sz w:val="20"/>
                <w:szCs w:val="20"/>
              </w:rPr>
            </w:pPr>
            <w:r w:rsidRPr="00C82478">
              <w:rPr>
                <w:noProof/>
                <w:sz w:val="20"/>
                <w:szCs w:val="20"/>
              </w:rPr>
              <w:t>10.4</w:t>
            </w:r>
          </w:p>
        </w:tc>
        <w:tc>
          <w:tcPr>
            <w:tcW w:w="797" w:type="pct"/>
            <w:tcBorders>
              <w:top w:val="nil"/>
              <w:left w:val="nil"/>
              <w:bottom w:val="single" w:sz="4" w:space="0" w:color="auto"/>
              <w:right w:val="single" w:sz="4" w:space="0" w:color="auto"/>
            </w:tcBorders>
            <w:shd w:val="clear" w:color="000000" w:fill="FFFFFF"/>
            <w:noWrap/>
            <w:hideMark/>
          </w:tcPr>
          <w:p w14:paraId="09E2D881" w14:textId="2B0C0D01" w:rsidR="00C82478" w:rsidRPr="00C82478" w:rsidRDefault="00C82478" w:rsidP="00C82478">
            <w:pPr>
              <w:jc w:val="right"/>
              <w:rPr>
                <w:noProof/>
                <w:sz w:val="20"/>
                <w:szCs w:val="20"/>
              </w:rPr>
            </w:pPr>
            <w:r w:rsidRPr="00C82478">
              <w:rPr>
                <w:noProof/>
                <w:sz w:val="20"/>
                <w:szCs w:val="20"/>
              </w:rPr>
              <w:t>16.7</w:t>
            </w:r>
          </w:p>
        </w:tc>
        <w:tc>
          <w:tcPr>
            <w:tcW w:w="798" w:type="pct"/>
            <w:tcBorders>
              <w:top w:val="nil"/>
              <w:left w:val="nil"/>
              <w:bottom w:val="single" w:sz="4" w:space="0" w:color="auto"/>
              <w:right w:val="single" w:sz="4" w:space="0" w:color="auto"/>
            </w:tcBorders>
            <w:shd w:val="clear" w:color="000000" w:fill="FFFFFF"/>
            <w:noWrap/>
            <w:hideMark/>
          </w:tcPr>
          <w:p w14:paraId="5E9883DC" w14:textId="085BA786" w:rsidR="00C82478" w:rsidRPr="00C82478" w:rsidRDefault="00C82478" w:rsidP="00C82478">
            <w:pPr>
              <w:jc w:val="right"/>
              <w:rPr>
                <w:noProof/>
                <w:sz w:val="20"/>
                <w:szCs w:val="20"/>
              </w:rPr>
            </w:pPr>
            <w:r w:rsidRPr="00C82478">
              <w:rPr>
                <w:noProof/>
                <w:sz w:val="20"/>
                <w:szCs w:val="20"/>
              </w:rPr>
              <w:t>11.9</w:t>
            </w:r>
          </w:p>
        </w:tc>
      </w:tr>
      <w:tr w:rsidR="00C82478" w:rsidRPr="00B17475" w14:paraId="0E6E4CEF"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6527FD0B" w14:textId="62D72D4E" w:rsidR="00C82478" w:rsidRPr="00B17475" w:rsidRDefault="00C82478" w:rsidP="00C82478">
            <w:pPr>
              <w:rPr>
                <w:noProof/>
                <w:sz w:val="20"/>
                <w:szCs w:val="20"/>
              </w:rPr>
            </w:pPr>
            <w:r w:rsidRPr="00B17475">
              <w:rPr>
                <w:noProof/>
                <w:sz w:val="20"/>
                <w:szCs w:val="20"/>
              </w:rPr>
              <w:t xml:space="preserve"> Czechia</w:t>
            </w:r>
          </w:p>
        </w:tc>
        <w:tc>
          <w:tcPr>
            <w:tcW w:w="797" w:type="pct"/>
            <w:tcBorders>
              <w:top w:val="nil"/>
              <w:left w:val="nil"/>
              <w:bottom w:val="single" w:sz="4" w:space="0" w:color="auto"/>
              <w:right w:val="single" w:sz="4" w:space="0" w:color="auto"/>
            </w:tcBorders>
            <w:shd w:val="clear" w:color="000000" w:fill="FFFFFF"/>
            <w:noWrap/>
            <w:hideMark/>
          </w:tcPr>
          <w:p w14:paraId="4A236ED4" w14:textId="3F367015" w:rsidR="00C82478" w:rsidRPr="00C82478" w:rsidRDefault="00C82478" w:rsidP="00C82478">
            <w:pPr>
              <w:jc w:val="right"/>
              <w:rPr>
                <w:noProof/>
                <w:sz w:val="20"/>
                <w:szCs w:val="20"/>
              </w:rPr>
            </w:pPr>
            <w:r w:rsidRPr="00C82478">
              <w:rPr>
                <w:noProof/>
                <w:sz w:val="20"/>
                <w:szCs w:val="20"/>
              </w:rPr>
              <w:t>102.8</w:t>
            </w:r>
          </w:p>
        </w:tc>
        <w:tc>
          <w:tcPr>
            <w:tcW w:w="797" w:type="pct"/>
            <w:tcBorders>
              <w:top w:val="nil"/>
              <w:left w:val="nil"/>
              <w:bottom w:val="single" w:sz="4" w:space="0" w:color="auto"/>
              <w:right w:val="single" w:sz="4" w:space="0" w:color="auto"/>
            </w:tcBorders>
            <w:shd w:val="clear" w:color="000000" w:fill="FFFFFF"/>
            <w:noWrap/>
            <w:hideMark/>
          </w:tcPr>
          <w:p w14:paraId="4C5FA111" w14:textId="2676BC82" w:rsidR="00C82478" w:rsidRPr="00C82478" w:rsidRDefault="00C82478" w:rsidP="00C82478">
            <w:pPr>
              <w:jc w:val="right"/>
              <w:rPr>
                <w:noProof/>
                <w:sz w:val="20"/>
                <w:szCs w:val="20"/>
              </w:rPr>
            </w:pPr>
            <w:r w:rsidRPr="00C82478">
              <w:rPr>
                <w:noProof/>
                <w:sz w:val="20"/>
                <w:szCs w:val="20"/>
              </w:rPr>
              <w:t>15.5</w:t>
            </w:r>
          </w:p>
        </w:tc>
        <w:tc>
          <w:tcPr>
            <w:tcW w:w="797" w:type="pct"/>
            <w:tcBorders>
              <w:top w:val="nil"/>
              <w:left w:val="nil"/>
              <w:bottom w:val="single" w:sz="4" w:space="0" w:color="auto"/>
              <w:right w:val="single" w:sz="4" w:space="0" w:color="auto"/>
            </w:tcBorders>
            <w:shd w:val="clear" w:color="000000" w:fill="FFFFFF"/>
            <w:noWrap/>
            <w:hideMark/>
          </w:tcPr>
          <w:p w14:paraId="0BB2F227" w14:textId="342A89C4" w:rsidR="00C82478" w:rsidRPr="00C82478" w:rsidRDefault="00C82478" w:rsidP="00C82478">
            <w:pPr>
              <w:jc w:val="right"/>
              <w:rPr>
                <w:noProof/>
                <w:sz w:val="20"/>
                <w:szCs w:val="20"/>
              </w:rPr>
            </w:pPr>
            <w:r w:rsidRPr="00C82478">
              <w:rPr>
                <w:noProof/>
                <w:sz w:val="20"/>
                <w:szCs w:val="20"/>
              </w:rPr>
              <w:t>25.0</w:t>
            </w:r>
          </w:p>
        </w:tc>
        <w:tc>
          <w:tcPr>
            <w:tcW w:w="798" w:type="pct"/>
            <w:tcBorders>
              <w:top w:val="nil"/>
              <w:left w:val="nil"/>
              <w:bottom w:val="single" w:sz="4" w:space="0" w:color="auto"/>
              <w:right w:val="single" w:sz="4" w:space="0" w:color="auto"/>
            </w:tcBorders>
            <w:shd w:val="clear" w:color="000000" w:fill="FFFFFF"/>
            <w:noWrap/>
            <w:hideMark/>
          </w:tcPr>
          <w:p w14:paraId="6B008800" w14:textId="5EF3E311" w:rsidR="00C82478" w:rsidRPr="00C82478" w:rsidRDefault="00C82478" w:rsidP="00C82478">
            <w:pPr>
              <w:jc w:val="right"/>
              <w:rPr>
                <w:noProof/>
                <w:sz w:val="20"/>
                <w:szCs w:val="20"/>
              </w:rPr>
            </w:pPr>
            <w:r w:rsidRPr="00C82478">
              <w:rPr>
                <w:noProof/>
                <w:sz w:val="20"/>
                <w:szCs w:val="20"/>
              </w:rPr>
              <w:t>17.9</w:t>
            </w:r>
          </w:p>
        </w:tc>
      </w:tr>
      <w:tr w:rsidR="00C82478" w:rsidRPr="00B17475" w14:paraId="232E8016"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388A13B6" w14:textId="77777777" w:rsidR="00C82478" w:rsidRPr="00B17475" w:rsidRDefault="00C82478" w:rsidP="00C82478">
            <w:pPr>
              <w:rPr>
                <w:noProof/>
                <w:sz w:val="20"/>
                <w:szCs w:val="20"/>
              </w:rPr>
            </w:pPr>
            <w:r w:rsidRPr="00B17475">
              <w:rPr>
                <w:noProof/>
                <w:sz w:val="20"/>
                <w:szCs w:val="20"/>
              </w:rPr>
              <w:t xml:space="preserve"> Ireland </w:t>
            </w:r>
          </w:p>
        </w:tc>
        <w:tc>
          <w:tcPr>
            <w:tcW w:w="797" w:type="pct"/>
            <w:tcBorders>
              <w:top w:val="nil"/>
              <w:left w:val="nil"/>
              <w:bottom w:val="single" w:sz="4" w:space="0" w:color="auto"/>
              <w:right w:val="single" w:sz="4" w:space="0" w:color="auto"/>
            </w:tcBorders>
            <w:shd w:val="clear" w:color="000000" w:fill="FFFFFF"/>
            <w:noWrap/>
            <w:hideMark/>
          </w:tcPr>
          <w:p w14:paraId="24231160" w14:textId="4D5AEC3A" w:rsidR="00C82478" w:rsidRPr="00C82478" w:rsidRDefault="00C82478" w:rsidP="00C82478">
            <w:pPr>
              <w:jc w:val="right"/>
              <w:rPr>
                <w:noProof/>
                <w:sz w:val="20"/>
                <w:szCs w:val="20"/>
              </w:rPr>
            </w:pPr>
            <w:r w:rsidRPr="00C82478">
              <w:rPr>
                <w:noProof/>
                <w:sz w:val="20"/>
                <w:szCs w:val="20"/>
              </w:rPr>
              <w:t>68.5</w:t>
            </w:r>
          </w:p>
        </w:tc>
        <w:tc>
          <w:tcPr>
            <w:tcW w:w="797" w:type="pct"/>
            <w:tcBorders>
              <w:top w:val="nil"/>
              <w:left w:val="nil"/>
              <w:bottom w:val="single" w:sz="4" w:space="0" w:color="auto"/>
              <w:right w:val="single" w:sz="4" w:space="0" w:color="auto"/>
            </w:tcBorders>
            <w:shd w:val="clear" w:color="000000" w:fill="FFFFFF"/>
            <w:noWrap/>
            <w:hideMark/>
          </w:tcPr>
          <w:p w14:paraId="705E44B2" w14:textId="342539DF" w:rsidR="00C82478" w:rsidRPr="00C82478" w:rsidRDefault="00C82478" w:rsidP="00C82478">
            <w:pPr>
              <w:jc w:val="right"/>
              <w:rPr>
                <w:noProof/>
                <w:sz w:val="20"/>
                <w:szCs w:val="20"/>
              </w:rPr>
            </w:pPr>
            <w:r w:rsidRPr="00C82478">
              <w:rPr>
                <w:noProof/>
                <w:sz w:val="20"/>
                <w:szCs w:val="20"/>
              </w:rPr>
              <w:t>10.4</w:t>
            </w:r>
          </w:p>
        </w:tc>
        <w:tc>
          <w:tcPr>
            <w:tcW w:w="797" w:type="pct"/>
            <w:tcBorders>
              <w:top w:val="nil"/>
              <w:left w:val="nil"/>
              <w:bottom w:val="single" w:sz="4" w:space="0" w:color="auto"/>
              <w:right w:val="single" w:sz="4" w:space="0" w:color="auto"/>
            </w:tcBorders>
            <w:shd w:val="clear" w:color="000000" w:fill="FFFFFF"/>
            <w:noWrap/>
            <w:hideMark/>
          </w:tcPr>
          <w:p w14:paraId="6B7E6309" w14:textId="132A00D2" w:rsidR="00C82478" w:rsidRPr="00C82478" w:rsidRDefault="00C82478" w:rsidP="00C82478">
            <w:pPr>
              <w:jc w:val="right"/>
              <w:rPr>
                <w:noProof/>
                <w:sz w:val="20"/>
                <w:szCs w:val="20"/>
              </w:rPr>
            </w:pPr>
            <w:r w:rsidRPr="00C82478">
              <w:rPr>
                <w:noProof/>
                <w:sz w:val="20"/>
                <w:szCs w:val="20"/>
              </w:rPr>
              <w:t>16.7</w:t>
            </w:r>
          </w:p>
        </w:tc>
        <w:tc>
          <w:tcPr>
            <w:tcW w:w="798" w:type="pct"/>
            <w:tcBorders>
              <w:top w:val="nil"/>
              <w:left w:val="nil"/>
              <w:bottom w:val="single" w:sz="4" w:space="0" w:color="auto"/>
              <w:right w:val="single" w:sz="4" w:space="0" w:color="auto"/>
            </w:tcBorders>
            <w:shd w:val="clear" w:color="000000" w:fill="FFFFFF"/>
            <w:noWrap/>
            <w:hideMark/>
          </w:tcPr>
          <w:p w14:paraId="6AAA5291" w14:textId="4D6E45D7" w:rsidR="00C82478" w:rsidRPr="00C82478" w:rsidRDefault="00C82478" w:rsidP="00C82478">
            <w:pPr>
              <w:jc w:val="right"/>
              <w:rPr>
                <w:noProof/>
                <w:sz w:val="20"/>
                <w:szCs w:val="20"/>
              </w:rPr>
            </w:pPr>
            <w:r w:rsidRPr="00C82478">
              <w:rPr>
                <w:noProof/>
                <w:sz w:val="20"/>
                <w:szCs w:val="20"/>
              </w:rPr>
              <w:t>11.9</w:t>
            </w:r>
          </w:p>
        </w:tc>
      </w:tr>
      <w:tr w:rsidR="00C82478" w:rsidRPr="00B17475" w14:paraId="7709C854"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49F485B0" w14:textId="77777777" w:rsidR="00C82478" w:rsidRPr="00B17475" w:rsidRDefault="00C82478" w:rsidP="00C82478">
            <w:pPr>
              <w:rPr>
                <w:noProof/>
                <w:sz w:val="20"/>
                <w:szCs w:val="20"/>
              </w:rPr>
            </w:pPr>
            <w:r w:rsidRPr="00B17475">
              <w:rPr>
                <w:noProof/>
                <w:sz w:val="20"/>
                <w:szCs w:val="20"/>
              </w:rPr>
              <w:t xml:space="preserve"> Slovenia </w:t>
            </w:r>
          </w:p>
        </w:tc>
        <w:tc>
          <w:tcPr>
            <w:tcW w:w="797" w:type="pct"/>
            <w:tcBorders>
              <w:top w:val="nil"/>
              <w:left w:val="nil"/>
              <w:bottom w:val="single" w:sz="4" w:space="0" w:color="auto"/>
              <w:right w:val="single" w:sz="4" w:space="0" w:color="auto"/>
            </w:tcBorders>
            <w:shd w:val="clear" w:color="000000" w:fill="FFFFFF"/>
            <w:noWrap/>
            <w:hideMark/>
          </w:tcPr>
          <w:p w14:paraId="44B98588" w14:textId="77777777" w:rsidR="00C82478" w:rsidRPr="00C82478" w:rsidRDefault="00C82478" w:rsidP="00C82478">
            <w:pPr>
              <w:jc w:val="right"/>
              <w:rPr>
                <w:noProof/>
                <w:sz w:val="20"/>
                <w:szCs w:val="20"/>
              </w:rPr>
            </w:pPr>
            <w:r w:rsidRPr="00C82478">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1C448F05" w14:textId="77777777" w:rsidR="00C82478" w:rsidRPr="00C82478" w:rsidRDefault="00C82478" w:rsidP="00C82478">
            <w:pPr>
              <w:jc w:val="right"/>
              <w:rPr>
                <w:noProof/>
                <w:sz w:val="20"/>
                <w:szCs w:val="20"/>
              </w:rPr>
            </w:pPr>
            <w:r w:rsidRPr="00C82478">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0D2F79C7" w14:textId="77777777" w:rsidR="00C82478" w:rsidRPr="00C82478" w:rsidRDefault="00C82478" w:rsidP="00C82478">
            <w:pPr>
              <w:jc w:val="right"/>
              <w:rPr>
                <w:noProof/>
                <w:sz w:val="20"/>
                <w:szCs w:val="20"/>
              </w:rPr>
            </w:pPr>
            <w:r w:rsidRPr="00C82478">
              <w:rPr>
                <w:noProof/>
                <w:sz w:val="20"/>
                <w:szCs w:val="20"/>
              </w:rPr>
              <w:t>0.0</w:t>
            </w:r>
          </w:p>
        </w:tc>
        <w:tc>
          <w:tcPr>
            <w:tcW w:w="798" w:type="pct"/>
            <w:tcBorders>
              <w:top w:val="nil"/>
              <w:left w:val="nil"/>
              <w:bottom w:val="single" w:sz="4" w:space="0" w:color="auto"/>
              <w:right w:val="single" w:sz="4" w:space="0" w:color="auto"/>
            </w:tcBorders>
            <w:shd w:val="clear" w:color="000000" w:fill="FFFFFF"/>
            <w:noWrap/>
            <w:hideMark/>
          </w:tcPr>
          <w:p w14:paraId="715F7B4A" w14:textId="77777777" w:rsidR="00C82478" w:rsidRPr="00C82478" w:rsidRDefault="00C82478" w:rsidP="00C82478">
            <w:pPr>
              <w:jc w:val="right"/>
              <w:rPr>
                <w:noProof/>
                <w:sz w:val="20"/>
                <w:szCs w:val="20"/>
              </w:rPr>
            </w:pPr>
            <w:r w:rsidRPr="00C82478">
              <w:rPr>
                <w:noProof/>
                <w:sz w:val="20"/>
                <w:szCs w:val="20"/>
              </w:rPr>
              <w:t>0.0</w:t>
            </w:r>
          </w:p>
        </w:tc>
      </w:tr>
      <w:tr w:rsidR="00C82478" w:rsidRPr="00B17475" w14:paraId="699CDF4D"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4D5747DC" w14:textId="77777777" w:rsidR="00C82478" w:rsidRPr="00B17475" w:rsidRDefault="00C82478" w:rsidP="00C82478">
            <w:pPr>
              <w:rPr>
                <w:noProof/>
                <w:sz w:val="20"/>
                <w:szCs w:val="20"/>
              </w:rPr>
            </w:pPr>
            <w:r w:rsidRPr="00B17475">
              <w:rPr>
                <w:noProof/>
                <w:sz w:val="20"/>
                <w:szCs w:val="20"/>
              </w:rPr>
              <w:t xml:space="preserve"> Latvia </w:t>
            </w:r>
          </w:p>
        </w:tc>
        <w:tc>
          <w:tcPr>
            <w:tcW w:w="797" w:type="pct"/>
            <w:tcBorders>
              <w:top w:val="nil"/>
              <w:left w:val="nil"/>
              <w:bottom w:val="single" w:sz="4" w:space="0" w:color="auto"/>
              <w:right w:val="single" w:sz="4" w:space="0" w:color="auto"/>
            </w:tcBorders>
            <w:shd w:val="clear" w:color="000000" w:fill="FFFFFF"/>
            <w:noWrap/>
            <w:hideMark/>
          </w:tcPr>
          <w:p w14:paraId="286C9AD1" w14:textId="77777777" w:rsidR="00C82478" w:rsidRPr="00C82478" w:rsidRDefault="00C82478" w:rsidP="00C82478">
            <w:pPr>
              <w:jc w:val="right"/>
              <w:rPr>
                <w:noProof/>
                <w:sz w:val="20"/>
                <w:szCs w:val="20"/>
              </w:rPr>
            </w:pPr>
            <w:r w:rsidRPr="00C82478">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697BF9DF" w14:textId="77777777" w:rsidR="00C82478" w:rsidRPr="00C82478" w:rsidRDefault="00C82478" w:rsidP="00C82478">
            <w:pPr>
              <w:jc w:val="right"/>
              <w:rPr>
                <w:noProof/>
                <w:sz w:val="20"/>
                <w:szCs w:val="20"/>
              </w:rPr>
            </w:pPr>
            <w:r w:rsidRPr="00C82478">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542DD7D2" w14:textId="77777777" w:rsidR="00C82478" w:rsidRPr="00C82478" w:rsidRDefault="00C82478" w:rsidP="00C82478">
            <w:pPr>
              <w:jc w:val="right"/>
              <w:rPr>
                <w:noProof/>
                <w:sz w:val="20"/>
                <w:szCs w:val="20"/>
              </w:rPr>
            </w:pPr>
            <w:r w:rsidRPr="00C82478">
              <w:rPr>
                <w:noProof/>
                <w:sz w:val="20"/>
                <w:szCs w:val="20"/>
              </w:rPr>
              <w:t>0.0</w:t>
            </w:r>
          </w:p>
        </w:tc>
        <w:tc>
          <w:tcPr>
            <w:tcW w:w="798" w:type="pct"/>
            <w:tcBorders>
              <w:top w:val="nil"/>
              <w:left w:val="nil"/>
              <w:bottom w:val="single" w:sz="4" w:space="0" w:color="auto"/>
              <w:right w:val="single" w:sz="4" w:space="0" w:color="auto"/>
            </w:tcBorders>
            <w:shd w:val="clear" w:color="000000" w:fill="FFFFFF"/>
            <w:noWrap/>
            <w:hideMark/>
          </w:tcPr>
          <w:p w14:paraId="7DBD7E22" w14:textId="77777777" w:rsidR="00C82478" w:rsidRPr="00C82478" w:rsidRDefault="00C82478" w:rsidP="00C82478">
            <w:pPr>
              <w:jc w:val="right"/>
              <w:rPr>
                <w:noProof/>
                <w:sz w:val="20"/>
                <w:szCs w:val="20"/>
              </w:rPr>
            </w:pPr>
            <w:r w:rsidRPr="00C82478">
              <w:rPr>
                <w:noProof/>
                <w:sz w:val="20"/>
                <w:szCs w:val="20"/>
              </w:rPr>
              <w:t>0.0</w:t>
            </w:r>
          </w:p>
        </w:tc>
      </w:tr>
      <w:tr w:rsidR="00C82478" w:rsidRPr="00B17475" w14:paraId="4FF3E890"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422F7E0A" w14:textId="77777777" w:rsidR="00C82478" w:rsidRPr="00B17475" w:rsidRDefault="00C82478" w:rsidP="00C82478">
            <w:pPr>
              <w:rPr>
                <w:noProof/>
                <w:sz w:val="20"/>
                <w:szCs w:val="20"/>
              </w:rPr>
            </w:pPr>
            <w:r w:rsidRPr="00B17475">
              <w:rPr>
                <w:noProof/>
                <w:sz w:val="20"/>
                <w:szCs w:val="20"/>
              </w:rPr>
              <w:t xml:space="preserve"> Romania </w:t>
            </w:r>
          </w:p>
        </w:tc>
        <w:tc>
          <w:tcPr>
            <w:tcW w:w="797" w:type="pct"/>
            <w:tcBorders>
              <w:top w:val="nil"/>
              <w:left w:val="nil"/>
              <w:bottom w:val="single" w:sz="4" w:space="0" w:color="auto"/>
              <w:right w:val="single" w:sz="4" w:space="0" w:color="auto"/>
            </w:tcBorders>
            <w:shd w:val="clear" w:color="000000" w:fill="FFFFFF"/>
            <w:noWrap/>
            <w:hideMark/>
          </w:tcPr>
          <w:p w14:paraId="33032325" w14:textId="77777777" w:rsidR="00C82478" w:rsidRPr="00C82478" w:rsidRDefault="00C82478" w:rsidP="00C82478">
            <w:pPr>
              <w:jc w:val="right"/>
              <w:rPr>
                <w:noProof/>
                <w:sz w:val="20"/>
                <w:szCs w:val="20"/>
              </w:rPr>
            </w:pPr>
            <w:r w:rsidRPr="00C82478">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1A68104B" w14:textId="77777777" w:rsidR="00C82478" w:rsidRPr="00C82478" w:rsidRDefault="00C82478" w:rsidP="00C82478">
            <w:pPr>
              <w:jc w:val="right"/>
              <w:rPr>
                <w:noProof/>
                <w:sz w:val="20"/>
                <w:szCs w:val="20"/>
              </w:rPr>
            </w:pPr>
            <w:r w:rsidRPr="00C82478">
              <w:rPr>
                <w:noProof/>
                <w:sz w:val="20"/>
                <w:szCs w:val="20"/>
              </w:rPr>
              <w:t>0.0</w:t>
            </w:r>
          </w:p>
        </w:tc>
        <w:tc>
          <w:tcPr>
            <w:tcW w:w="797" w:type="pct"/>
            <w:tcBorders>
              <w:top w:val="nil"/>
              <w:left w:val="nil"/>
              <w:bottom w:val="single" w:sz="4" w:space="0" w:color="auto"/>
              <w:right w:val="single" w:sz="4" w:space="0" w:color="auto"/>
            </w:tcBorders>
            <w:shd w:val="clear" w:color="000000" w:fill="FFFFFF"/>
            <w:noWrap/>
            <w:hideMark/>
          </w:tcPr>
          <w:p w14:paraId="2545DC86" w14:textId="77777777" w:rsidR="00C82478" w:rsidRPr="00C82478" w:rsidRDefault="00C82478" w:rsidP="00C82478">
            <w:pPr>
              <w:jc w:val="right"/>
              <w:rPr>
                <w:noProof/>
                <w:sz w:val="20"/>
                <w:szCs w:val="20"/>
              </w:rPr>
            </w:pPr>
            <w:r w:rsidRPr="00C82478">
              <w:rPr>
                <w:noProof/>
                <w:sz w:val="20"/>
                <w:szCs w:val="20"/>
              </w:rPr>
              <w:t>0.0</w:t>
            </w:r>
          </w:p>
        </w:tc>
        <w:tc>
          <w:tcPr>
            <w:tcW w:w="798" w:type="pct"/>
            <w:tcBorders>
              <w:top w:val="nil"/>
              <w:left w:val="nil"/>
              <w:bottom w:val="single" w:sz="4" w:space="0" w:color="auto"/>
              <w:right w:val="single" w:sz="4" w:space="0" w:color="auto"/>
            </w:tcBorders>
            <w:shd w:val="clear" w:color="000000" w:fill="FFFFFF"/>
            <w:noWrap/>
            <w:hideMark/>
          </w:tcPr>
          <w:p w14:paraId="0429BAE7" w14:textId="77777777" w:rsidR="00C82478" w:rsidRPr="00C82478" w:rsidRDefault="00C82478" w:rsidP="00C82478">
            <w:pPr>
              <w:jc w:val="right"/>
              <w:rPr>
                <w:noProof/>
                <w:sz w:val="20"/>
                <w:szCs w:val="20"/>
              </w:rPr>
            </w:pPr>
            <w:r w:rsidRPr="00C82478">
              <w:rPr>
                <w:noProof/>
                <w:sz w:val="20"/>
                <w:szCs w:val="20"/>
              </w:rPr>
              <w:t>0.0</w:t>
            </w:r>
          </w:p>
        </w:tc>
      </w:tr>
      <w:tr w:rsidR="00C82478" w:rsidRPr="00B17475" w14:paraId="6F7717C4"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5B2DC270" w14:textId="77777777" w:rsidR="00C82478" w:rsidRPr="00B17475" w:rsidRDefault="00C82478" w:rsidP="00C82478">
            <w:pPr>
              <w:rPr>
                <w:noProof/>
                <w:sz w:val="20"/>
                <w:szCs w:val="20"/>
              </w:rPr>
            </w:pPr>
            <w:r w:rsidRPr="00B17475">
              <w:rPr>
                <w:noProof/>
                <w:sz w:val="20"/>
                <w:szCs w:val="20"/>
              </w:rPr>
              <w:t xml:space="preserve"> Slovakia </w:t>
            </w:r>
          </w:p>
        </w:tc>
        <w:tc>
          <w:tcPr>
            <w:tcW w:w="797" w:type="pct"/>
            <w:tcBorders>
              <w:top w:val="nil"/>
              <w:left w:val="nil"/>
              <w:bottom w:val="single" w:sz="4" w:space="0" w:color="auto"/>
              <w:right w:val="single" w:sz="4" w:space="0" w:color="auto"/>
            </w:tcBorders>
            <w:shd w:val="clear" w:color="000000" w:fill="FFFFFF"/>
            <w:noWrap/>
            <w:hideMark/>
          </w:tcPr>
          <w:p w14:paraId="058932A2" w14:textId="5EA9DB05" w:rsidR="00C82478" w:rsidRPr="00C82478" w:rsidRDefault="00C82478" w:rsidP="00C82478">
            <w:pPr>
              <w:jc w:val="right"/>
              <w:rPr>
                <w:noProof/>
                <w:sz w:val="20"/>
                <w:szCs w:val="20"/>
              </w:rPr>
            </w:pPr>
            <w:r w:rsidRPr="00C82478">
              <w:rPr>
                <w:noProof/>
                <w:sz w:val="20"/>
                <w:szCs w:val="20"/>
              </w:rPr>
              <w:t>34.3</w:t>
            </w:r>
          </w:p>
        </w:tc>
        <w:tc>
          <w:tcPr>
            <w:tcW w:w="797" w:type="pct"/>
            <w:tcBorders>
              <w:top w:val="nil"/>
              <w:left w:val="nil"/>
              <w:bottom w:val="single" w:sz="4" w:space="0" w:color="auto"/>
              <w:right w:val="single" w:sz="4" w:space="0" w:color="auto"/>
            </w:tcBorders>
            <w:shd w:val="clear" w:color="000000" w:fill="FFFFFF"/>
            <w:noWrap/>
            <w:hideMark/>
          </w:tcPr>
          <w:p w14:paraId="7B68328F" w14:textId="35442908" w:rsidR="00C82478" w:rsidRPr="00C82478" w:rsidRDefault="00C82478" w:rsidP="00C82478">
            <w:pPr>
              <w:jc w:val="right"/>
              <w:rPr>
                <w:noProof/>
                <w:sz w:val="20"/>
                <w:szCs w:val="20"/>
              </w:rPr>
            </w:pPr>
            <w:r w:rsidRPr="00C82478">
              <w:rPr>
                <w:noProof/>
                <w:sz w:val="20"/>
                <w:szCs w:val="20"/>
              </w:rPr>
              <w:t>5.2</w:t>
            </w:r>
          </w:p>
        </w:tc>
        <w:tc>
          <w:tcPr>
            <w:tcW w:w="797" w:type="pct"/>
            <w:tcBorders>
              <w:top w:val="nil"/>
              <w:left w:val="nil"/>
              <w:bottom w:val="single" w:sz="4" w:space="0" w:color="auto"/>
              <w:right w:val="single" w:sz="4" w:space="0" w:color="auto"/>
            </w:tcBorders>
            <w:shd w:val="clear" w:color="000000" w:fill="FFFFFF"/>
            <w:noWrap/>
            <w:hideMark/>
          </w:tcPr>
          <w:p w14:paraId="6768A39D" w14:textId="12E6E60F" w:rsidR="00C82478" w:rsidRPr="00C82478" w:rsidRDefault="00C82478" w:rsidP="00C82478">
            <w:pPr>
              <w:jc w:val="right"/>
              <w:rPr>
                <w:noProof/>
                <w:sz w:val="20"/>
                <w:szCs w:val="20"/>
              </w:rPr>
            </w:pPr>
            <w:r w:rsidRPr="00C82478">
              <w:rPr>
                <w:noProof/>
                <w:sz w:val="20"/>
                <w:szCs w:val="20"/>
              </w:rPr>
              <w:t>8.3</w:t>
            </w:r>
          </w:p>
        </w:tc>
        <w:tc>
          <w:tcPr>
            <w:tcW w:w="798" w:type="pct"/>
            <w:tcBorders>
              <w:top w:val="nil"/>
              <w:left w:val="nil"/>
              <w:bottom w:val="single" w:sz="4" w:space="0" w:color="auto"/>
              <w:right w:val="single" w:sz="4" w:space="0" w:color="auto"/>
            </w:tcBorders>
            <w:shd w:val="clear" w:color="000000" w:fill="FFFFFF"/>
            <w:noWrap/>
            <w:hideMark/>
          </w:tcPr>
          <w:p w14:paraId="3459AE0E" w14:textId="3F14923C" w:rsidR="00C82478" w:rsidRPr="00C82478" w:rsidRDefault="00C82478" w:rsidP="00C82478">
            <w:pPr>
              <w:jc w:val="right"/>
              <w:rPr>
                <w:noProof/>
                <w:sz w:val="20"/>
                <w:szCs w:val="20"/>
              </w:rPr>
            </w:pPr>
            <w:r w:rsidRPr="00C82478">
              <w:rPr>
                <w:noProof/>
                <w:sz w:val="20"/>
                <w:szCs w:val="20"/>
              </w:rPr>
              <w:t>6.0</w:t>
            </w:r>
          </w:p>
        </w:tc>
      </w:tr>
      <w:tr w:rsidR="00C82478" w:rsidRPr="00B17475" w14:paraId="6BEB6B42" w14:textId="77777777" w:rsidTr="00C82478">
        <w:trPr>
          <w:trHeight w:val="225"/>
        </w:trPr>
        <w:tc>
          <w:tcPr>
            <w:tcW w:w="1810" w:type="pct"/>
            <w:tcBorders>
              <w:top w:val="nil"/>
              <w:left w:val="single" w:sz="4" w:space="0" w:color="auto"/>
              <w:bottom w:val="single" w:sz="4" w:space="0" w:color="auto"/>
              <w:right w:val="single" w:sz="4" w:space="0" w:color="auto"/>
            </w:tcBorders>
            <w:shd w:val="clear" w:color="000000" w:fill="FFFFFF"/>
            <w:noWrap/>
            <w:hideMark/>
          </w:tcPr>
          <w:p w14:paraId="46D79B63" w14:textId="73F1EDF6" w:rsidR="00C82478" w:rsidRPr="00B17475" w:rsidRDefault="00C82478" w:rsidP="00C82478">
            <w:pPr>
              <w:rPr>
                <w:b/>
                <w:bCs/>
                <w:noProof/>
                <w:sz w:val="20"/>
                <w:szCs w:val="20"/>
              </w:rPr>
            </w:pPr>
            <w:r w:rsidRPr="00B17475">
              <w:rPr>
                <w:b/>
                <w:bCs/>
                <w:noProof/>
                <w:sz w:val="20"/>
                <w:szCs w:val="20"/>
              </w:rPr>
              <w:t xml:space="preserve"> Total </w:t>
            </w:r>
          </w:p>
        </w:tc>
        <w:tc>
          <w:tcPr>
            <w:tcW w:w="797" w:type="pct"/>
            <w:tcBorders>
              <w:top w:val="nil"/>
              <w:left w:val="nil"/>
              <w:bottom w:val="single" w:sz="4" w:space="0" w:color="auto"/>
              <w:right w:val="single" w:sz="4" w:space="0" w:color="auto"/>
            </w:tcBorders>
            <w:shd w:val="clear" w:color="000000" w:fill="FFFFFF"/>
            <w:noWrap/>
            <w:hideMark/>
          </w:tcPr>
          <w:p w14:paraId="5870EF11" w14:textId="133AD7E6" w:rsidR="00C82478" w:rsidRPr="00C82478" w:rsidRDefault="00C82478" w:rsidP="00C82478">
            <w:pPr>
              <w:jc w:val="right"/>
              <w:rPr>
                <w:b/>
                <w:bCs/>
                <w:noProof/>
                <w:sz w:val="20"/>
                <w:szCs w:val="20"/>
              </w:rPr>
            </w:pPr>
            <w:r w:rsidRPr="00C82478">
              <w:rPr>
                <w:b/>
                <w:bCs/>
                <w:noProof/>
                <w:sz w:val="20"/>
                <w:szCs w:val="20"/>
              </w:rPr>
              <w:t>3,425.2</w:t>
            </w:r>
          </w:p>
        </w:tc>
        <w:tc>
          <w:tcPr>
            <w:tcW w:w="797" w:type="pct"/>
            <w:tcBorders>
              <w:top w:val="nil"/>
              <w:left w:val="nil"/>
              <w:bottom w:val="single" w:sz="4" w:space="0" w:color="auto"/>
              <w:right w:val="single" w:sz="4" w:space="0" w:color="auto"/>
            </w:tcBorders>
            <w:shd w:val="clear" w:color="000000" w:fill="FFFFFF"/>
            <w:noWrap/>
            <w:hideMark/>
          </w:tcPr>
          <w:p w14:paraId="7F9051AA" w14:textId="53794CB3" w:rsidR="00C82478" w:rsidRPr="00C82478" w:rsidRDefault="00C82478" w:rsidP="00C82478">
            <w:pPr>
              <w:jc w:val="right"/>
              <w:rPr>
                <w:b/>
                <w:bCs/>
                <w:noProof/>
                <w:sz w:val="20"/>
                <w:szCs w:val="20"/>
              </w:rPr>
            </w:pPr>
            <w:r w:rsidRPr="00C82478">
              <w:rPr>
                <w:b/>
                <w:bCs/>
                <w:noProof/>
                <w:sz w:val="20"/>
                <w:szCs w:val="20"/>
              </w:rPr>
              <w:t>517.8</w:t>
            </w:r>
          </w:p>
        </w:tc>
        <w:tc>
          <w:tcPr>
            <w:tcW w:w="797" w:type="pct"/>
            <w:tcBorders>
              <w:top w:val="nil"/>
              <w:left w:val="nil"/>
              <w:bottom w:val="single" w:sz="4" w:space="0" w:color="auto"/>
              <w:right w:val="single" w:sz="4" w:space="0" w:color="auto"/>
            </w:tcBorders>
            <w:shd w:val="clear" w:color="000000" w:fill="FFFFFF"/>
            <w:noWrap/>
            <w:hideMark/>
          </w:tcPr>
          <w:p w14:paraId="5E99D593" w14:textId="6F804711" w:rsidR="00C82478" w:rsidRPr="00C82478" w:rsidRDefault="00C82478" w:rsidP="00C82478">
            <w:pPr>
              <w:jc w:val="right"/>
              <w:rPr>
                <w:b/>
                <w:bCs/>
                <w:noProof/>
                <w:sz w:val="20"/>
                <w:szCs w:val="20"/>
              </w:rPr>
            </w:pPr>
            <w:r w:rsidRPr="00C82478">
              <w:rPr>
                <w:b/>
                <w:bCs/>
                <w:noProof/>
                <w:sz w:val="20"/>
                <w:szCs w:val="20"/>
              </w:rPr>
              <w:t>833.8</w:t>
            </w:r>
          </w:p>
        </w:tc>
        <w:tc>
          <w:tcPr>
            <w:tcW w:w="798" w:type="pct"/>
            <w:tcBorders>
              <w:top w:val="nil"/>
              <w:left w:val="nil"/>
              <w:bottom w:val="single" w:sz="4" w:space="0" w:color="auto"/>
              <w:right w:val="single" w:sz="4" w:space="0" w:color="auto"/>
            </w:tcBorders>
            <w:shd w:val="clear" w:color="000000" w:fill="FFFFFF"/>
            <w:noWrap/>
            <w:hideMark/>
          </w:tcPr>
          <w:p w14:paraId="4EA35B1E" w14:textId="2733416D" w:rsidR="00C82478" w:rsidRPr="00C82478" w:rsidRDefault="00C82478" w:rsidP="00C82478">
            <w:pPr>
              <w:jc w:val="right"/>
              <w:rPr>
                <w:b/>
                <w:bCs/>
                <w:noProof/>
                <w:sz w:val="20"/>
                <w:szCs w:val="20"/>
              </w:rPr>
            </w:pPr>
            <w:r w:rsidRPr="00C82478">
              <w:rPr>
                <w:b/>
                <w:bCs/>
                <w:noProof/>
                <w:sz w:val="20"/>
                <w:szCs w:val="20"/>
              </w:rPr>
              <w:t>596.5</w:t>
            </w:r>
          </w:p>
        </w:tc>
      </w:tr>
    </w:tbl>
    <w:p w14:paraId="4269E52A" w14:textId="77777777" w:rsidR="007A35CC" w:rsidRPr="00D71008" w:rsidRDefault="007A35CC" w:rsidP="007A35CC">
      <w:pPr>
        <w:tabs>
          <w:tab w:val="left" w:pos="2302"/>
        </w:tabs>
        <w:spacing w:after="240"/>
        <w:jc w:val="both"/>
        <w:rPr>
          <w:i/>
          <w:iCs/>
          <w:noProof/>
          <w:sz w:val="20"/>
          <w:szCs w:val="20"/>
        </w:rPr>
      </w:pPr>
      <w:r w:rsidRPr="00B17475">
        <w:rPr>
          <w:i/>
          <w:noProof/>
          <w:spacing w:val="-8"/>
          <w:sz w:val="20"/>
          <w:szCs w:val="20"/>
        </w:rPr>
        <w:t xml:space="preserve">Source: </w:t>
      </w:r>
      <w:r w:rsidRPr="00B17475">
        <w:rPr>
          <w:i/>
          <w:noProof/>
          <w:sz w:val="20"/>
          <w:szCs w:val="20"/>
        </w:rPr>
        <w:t>Ricardo et al. (2026), Impact assessment support study</w:t>
      </w:r>
    </w:p>
    <w:p w14:paraId="6ECFB5FD" w14:textId="3C412E5B" w:rsidR="009259FA" w:rsidRPr="007670B7" w:rsidRDefault="009259FA" w:rsidP="007670B7">
      <w:pPr>
        <w:pStyle w:val="Text4"/>
        <w:spacing w:before="0" w:after="240"/>
        <w:ind w:left="0"/>
        <w:rPr>
          <w:rFonts w:ascii="Times New Roman" w:eastAsia="Calibri" w:hAnsi="Times New Roman"/>
          <w:noProof/>
          <w:spacing w:val="-8"/>
          <w:sz w:val="24"/>
          <w:szCs w:val="24"/>
        </w:rPr>
      </w:pPr>
      <w:r w:rsidRPr="007670B7">
        <w:rPr>
          <w:rFonts w:ascii="Times New Roman" w:eastAsia="Calibri" w:hAnsi="Times New Roman"/>
          <w:noProof/>
          <w:spacing w:val="-8"/>
          <w:sz w:val="24"/>
          <w:szCs w:val="24"/>
        </w:rPr>
        <w:t xml:space="preserve">Expressed as present value over 2028-2050 </w:t>
      </w:r>
      <w:r w:rsidR="00DC106E" w:rsidRPr="007670B7">
        <w:rPr>
          <w:rFonts w:ascii="Times New Roman" w:eastAsia="Calibri" w:hAnsi="Times New Roman"/>
          <w:noProof/>
          <w:spacing w:val="-8"/>
          <w:sz w:val="24"/>
          <w:szCs w:val="24"/>
        </w:rPr>
        <w:t xml:space="preserve">relative to the baseline, </w:t>
      </w:r>
      <w:r w:rsidRPr="007670B7">
        <w:rPr>
          <w:rFonts w:ascii="Times New Roman" w:eastAsia="Calibri" w:hAnsi="Times New Roman"/>
          <w:noProof/>
          <w:spacing w:val="-8"/>
          <w:sz w:val="24"/>
          <w:szCs w:val="24"/>
        </w:rPr>
        <w:t xml:space="preserve">the total one-off and recurrent adjustment costs </w:t>
      </w:r>
      <w:r w:rsidR="00375421" w:rsidRPr="007670B7">
        <w:rPr>
          <w:rFonts w:ascii="Times New Roman" w:eastAsia="Calibri" w:hAnsi="Times New Roman"/>
          <w:noProof/>
          <w:spacing w:val="-8"/>
          <w:sz w:val="24"/>
          <w:szCs w:val="24"/>
        </w:rPr>
        <w:t>due to PM1</w:t>
      </w:r>
      <w:r w:rsidRPr="007670B7">
        <w:rPr>
          <w:rFonts w:ascii="Times New Roman" w:eastAsia="Calibri" w:hAnsi="Times New Roman"/>
          <w:noProof/>
          <w:spacing w:val="-8"/>
          <w:sz w:val="24"/>
          <w:szCs w:val="24"/>
        </w:rPr>
        <w:t xml:space="preserve"> for</w:t>
      </w:r>
      <w:r w:rsidR="00B3515E">
        <w:rPr>
          <w:rFonts w:ascii="Times New Roman" w:eastAsia="Calibri" w:hAnsi="Times New Roman"/>
          <w:noProof/>
          <w:spacing w:val="-8"/>
          <w:sz w:val="24"/>
          <w:szCs w:val="24"/>
        </w:rPr>
        <w:t xml:space="preserve"> non-SME</w:t>
      </w:r>
      <w:r w:rsidRPr="007670B7">
        <w:rPr>
          <w:rFonts w:ascii="Times New Roman" w:eastAsia="Calibri" w:hAnsi="Times New Roman"/>
          <w:noProof/>
          <w:spacing w:val="-8"/>
          <w:sz w:val="24"/>
          <w:szCs w:val="24"/>
        </w:rPr>
        <w:t xml:space="preserve"> B2B and B2C MDMS </w:t>
      </w:r>
      <w:r w:rsidR="00C112E2" w:rsidRPr="007670B7">
        <w:rPr>
          <w:rFonts w:ascii="Times New Roman" w:eastAsia="Calibri" w:hAnsi="Times New Roman"/>
          <w:noProof/>
          <w:spacing w:val="-8"/>
          <w:sz w:val="24"/>
          <w:szCs w:val="24"/>
        </w:rPr>
        <w:t xml:space="preserve">platforms </w:t>
      </w:r>
      <w:r w:rsidRPr="007670B7">
        <w:rPr>
          <w:rFonts w:ascii="Times New Roman" w:eastAsia="Calibri" w:hAnsi="Times New Roman"/>
          <w:noProof/>
          <w:spacing w:val="-8"/>
          <w:sz w:val="24"/>
          <w:szCs w:val="24"/>
        </w:rPr>
        <w:t>are provided in the table below</w:t>
      </w:r>
      <w:r w:rsidR="004C43DE">
        <w:rPr>
          <w:rFonts w:ascii="Times New Roman" w:eastAsia="Calibri" w:hAnsi="Times New Roman"/>
          <w:noProof/>
          <w:spacing w:val="-8"/>
          <w:sz w:val="24"/>
          <w:szCs w:val="24"/>
        </w:rPr>
        <w:t>,</w:t>
      </w:r>
      <w:r w:rsidR="00DC106E" w:rsidRPr="007670B7">
        <w:rPr>
          <w:rFonts w:ascii="Times New Roman" w:eastAsia="Calibri" w:hAnsi="Times New Roman"/>
          <w:noProof/>
          <w:spacing w:val="-8"/>
          <w:sz w:val="24"/>
          <w:szCs w:val="24"/>
        </w:rPr>
        <w:t xml:space="preserve"> by policy option.</w:t>
      </w:r>
    </w:p>
    <w:p w14:paraId="6E3B9F70" w14:textId="64A5AC67" w:rsidR="00D36BC1" w:rsidRPr="00383DBF" w:rsidRDefault="00D36BC1" w:rsidP="00D36BC1">
      <w:pPr>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72</w:t>
      </w:r>
      <w:r w:rsidRPr="00383DBF">
        <w:rPr>
          <w:i/>
          <w:noProof/>
          <w:sz w:val="22"/>
          <w:szCs w:val="22"/>
        </w:rPr>
        <w:fldChar w:fldCharType="end"/>
      </w:r>
      <w:r w:rsidRPr="00383DBF">
        <w:rPr>
          <w:i/>
          <w:noProof/>
          <w:sz w:val="22"/>
          <w:szCs w:val="22"/>
        </w:rPr>
        <w:t xml:space="preserve">: One-off and recurrent adjustment costs for </w:t>
      </w:r>
      <w:r w:rsidR="00B3515E">
        <w:rPr>
          <w:i/>
          <w:noProof/>
          <w:sz w:val="22"/>
          <w:szCs w:val="22"/>
        </w:rPr>
        <w:t>non-SME</w:t>
      </w:r>
      <w:r w:rsidRPr="00383DBF">
        <w:rPr>
          <w:i/>
          <w:noProof/>
          <w:sz w:val="22"/>
          <w:szCs w:val="22"/>
        </w:rPr>
        <w:t xml:space="preserve"> MDMS platforms </w:t>
      </w:r>
      <w:r w:rsidR="00C52C7E" w:rsidRPr="00383DBF">
        <w:rPr>
          <w:i/>
          <w:noProof/>
          <w:sz w:val="22"/>
          <w:szCs w:val="22"/>
        </w:rPr>
        <w:t xml:space="preserve">(B2B and B2C) </w:t>
      </w:r>
      <w:r w:rsidRPr="00383DBF">
        <w:rPr>
          <w:i/>
          <w:noProof/>
          <w:sz w:val="22"/>
          <w:szCs w:val="22"/>
        </w:rPr>
        <w:t xml:space="preserve">due to PM1 in the policy options, expressed as present value over 2028-2050 relative to the baseline (in </w:t>
      </w:r>
      <w:r w:rsidR="00950EF6" w:rsidRPr="00383DBF">
        <w:rPr>
          <w:i/>
          <w:noProof/>
          <w:sz w:val="22"/>
          <w:szCs w:val="22"/>
        </w:rPr>
        <w:t xml:space="preserve">million EUR, </w:t>
      </w:r>
      <w:r w:rsidRPr="00383DBF">
        <w:rPr>
          <w:i/>
          <w:noProof/>
          <w:sz w:val="22"/>
          <w:szCs w:val="22"/>
        </w:rPr>
        <w:t>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61"/>
        <w:gridCol w:w="1210"/>
        <w:gridCol w:w="1212"/>
        <w:gridCol w:w="1210"/>
        <w:gridCol w:w="1210"/>
      </w:tblGrid>
      <w:tr w:rsidR="00AB1AF0" w:rsidRPr="008E7AAF" w14:paraId="3BF93BC4" w14:textId="77777777" w:rsidTr="00AC02F7">
        <w:trPr>
          <w:trHeight w:val="260"/>
          <w:tblHeader/>
        </w:trPr>
        <w:tc>
          <w:tcPr>
            <w:tcW w:w="2479" w:type="pct"/>
            <w:vMerge w:val="restart"/>
            <w:shd w:val="clear" w:color="auto" w:fill="0070C0"/>
            <w:noWrap/>
          </w:tcPr>
          <w:p w14:paraId="6E561170" w14:textId="77777777" w:rsidR="00AB1AF0" w:rsidRPr="008E7AAF" w:rsidRDefault="00AB1AF0">
            <w:pPr>
              <w:pStyle w:val="Text4"/>
              <w:spacing w:before="0" w:after="0"/>
              <w:ind w:left="0"/>
              <w:rPr>
                <w:rFonts w:ascii="Times New Roman" w:eastAsia="Calibri" w:hAnsi="Times New Roman"/>
                <w:bCs/>
                <w:noProof/>
              </w:rPr>
            </w:pPr>
          </w:p>
        </w:tc>
        <w:tc>
          <w:tcPr>
            <w:tcW w:w="2521" w:type="pct"/>
            <w:gridSpan w:val="4"/>
            <w:shd w:val="clear" w:color="auto" w:fill="0070C0"/>
            <w:noWrap/>
          </w:tcPr>
          <w:p w14:paraId="76E7F6F0" w14:textId="77777777" w:rsidR="00AB1AF0" w:rsidRPr="00E8420D" w:rsidRDefault="00AB1AF0">
            <w:pPr>
              <w:pStyle w:val="Text4"/>
              <w:spacing w:before="0" w:after="0"/>
              <w:ind w:left="0"/>
              <w:jc w:val="center"/>
              <w:rPr>
                <w:rFonts w:ascii="Times New Roman" w:eastAsia="Calibri" w:hAnsi="Times New Roman"/>
                <w:b/>
                <w:noProof/>
              </w:rPr>
            </w:pPr>
            <w:r w:rsidRPr="00E8420D">
              <w:rPr>
                <w:rFonts w:ascii="Times New Roman" w:eastAsia="Calibri" w:hAnsi="Times New Roman"/>
                <w:b/>
                <w:noProof/>
                <w:color w:val="FFFFFF" w:themeColor="background1"/>
              </w:rPr>
              <w:t>Difference to baseline</w:t>
            </w:r>
          </w:p>
        </w:tc>
      </w:tr>
      <w:tr w:rsidR="00AB1AF0" w:rsidRPr="008E7AAF" w14:paraId="042F2D19" w14:textId="77777777" w:rsidTr="00AC02F7">
        <w:trPr>
          <w:trHeight w:val="260"/>
          <w:tblHeader/>
        </w:trPr>
        <w:tc>
          <w:tcPr>
            <w:tcW w:w="2479" w:type="pct"/>
            <w:vMerge/>
            <w:shd w:val="clear" w:color="auto" w:fill="0070C0"/>
            <w:noWrap/>
          </w:tcPr>
          <w:p w14:paraId="63769B4D" w14:textId="77777777" w:rsidR="00AB1AF0" w:rsidRPr="008E7AAF" w:rsidRDefault="00AB1AF0">
            <w:pPr>
              <w:pStyle w:val="Text4"/>
              <w:spacing w:before="0" w:after="0"/>
              <w:ind w:left="0"/>
              <w:rPr>
                <w:rFonts w:ascii="Times New Roman" w:eastAsia="Calibri" w:hAnsi="Times New Roman"/>
                <w:bCs/>
                <w:noProof/>
              </w:rPr>
            </w:pPr>
          </w:p>
        </w:tc>
        <w:tc>
          <w:tcPr>
            <w:tcW w:w="630" w:type="pct"/>
            <w:shd w:val="clear" w:color="auto" w:fill="0070C0"/>
            <w:noWrap/>
          </w:tcPr>
          <w:p w14:paraId="5830D5A7" w14:textId="77777777" w:rsidR="00AB1AF0" w:rsidRPr="008E7AAF" w:rsidRDefault="00AB1AF0">
            <w:pPr>
              <w:pStyle w:val="Text4"/>
              <w:spacing w:before="0" w:after="0"/>
              <w:ind w:left="0"/>
              <w:jc w:val="center"/>
              <w:rPr>
                <w:rFonts w:ascii="Times New Roman" w:eastAsia="Calibri" w:hAnsi="Times New Roman"/>
                <w:b/>
                <w:noProof/>
                <w:color w:val="FFFFFF" w:themeColor="background1"/>
              </w:rPr>
            </w:pPr>
            <w:r w:rsidRPr="008E7AAF">
              <w:rPr>
                <w:rFonts w:ascii="Times New Roman" w:eastAsia="Calibri" w:hAnsi="Times New Roman"/>
                <w:b/>
                <w:noProof/>
                <w:color w:val="FFFFFF" w:themeColor="background1"/>
              </w:rPr>
              <w:t>PO1</w:t>
            </w:r>
          </w:p>
        </w:tc>
        <w:tc>
          <w:tcPr>
            <w:tcW w:w="631" w:type="pct"/>
            <w:shd w:val="clear" w:color="auto" w:fill="0070C0"/>
            <w:noWrap/>
          </w:tcPr>
          <w:p w14:paraId="64814B19" w14:textId="77777777" w:rsidR="00AB1AF0" w:rsidRPr="008E7AAF" w:rsidRDefault="00AB1AF0">
            <w:pPr>
              <w:pStyle w:val="Text4"/>
              <w:spacing w:before="0" w:after="0"/>
              <w:ind w:left="0"/>
              <w:jc w:val="center"/>
              <w:rPr>
                <w:rFonts w:ascii="Times New Roman" w:eastAsia="Calibri" w:hAnsi="Times New Roman"/>
                <w:b/>
                <w:noProof/>
                <w:color w:val="FFFFFF" w:themeColor="background1"/>
              </w:rPr>
            </w:pPr>
            <w:r w:rsidRPr="008E7AAF">
              <w:rPr>
                <w:rFonts w:ascii="Times New Roman" w:eastAsia="Calibri" w:hAnsi="Times New Roman"/>
                <w:b/>
                <w:noProof/>
                <w:color w:val="FFFFFF" w:themeColor="background1"/>
              </w:rPr>
              <w:t>PO2</w:t>
            </w:r>
          </w:p>
        </w:tc>
        <w:tc>
          <w:tcPr>
            <w:tcW w:w="630" w:type="pct"/>
            <w:shd w:val="clear" w:color="auto" w:fill="0070C0"/>
            <w:noWrap/>
          </w:tcPr>
          <w:p w14:paraId="4F2AD958" w14:textId="77777777" w:rsidR="00AB1AF0" w:rsidRPr="008E7AAF" w:rsidRDefault="00AB1AF0">
            <w:pPr>
              <w:pStyle w:val="Text4"/>
              <w:spacing w:before="0" w:after="0"/>
              <w:ind w:left="0"/>
              <w:jc w:val="center"/>
              <w:rPr>
                <w:rFonts w:ascii="Times New Roman" w:eastAsia="Calibri" w:hAnsi="Times New Roman"/>
                <w:b/>
                <w:noProof/>
                <w:color w:val="FFFFFF" w:themeColor="background1"/>
              </w:rPr>
            </w:pPr>
            <w:r w:rsidRPr="008E7AAF">
              <w:rPr>
                <w:rFonts w:ascii="Times New Roman" w:eastAsia="Calibri" w:hAnsi="Times New Roman"/>
                <w:b/>
                <w:noProof/>
                <w:color w:val="FFFFFF" w:themeColor="background1"/>
              </w:rPr>
              <w:t>PO3</w:t>
            </w:r>
          </w:p>
        </w:tc>
        <w:tc>
          <w:tcPr>
            <w:tcW w:w="630" w:type="pct"/>
            <w:shd w:val="clear" w:color="auto" w:fill="0070C0"/>
          </w:tcPr>
          <w:p w14:paraId="39E0E7F3" w14:textId="77777777" w:rsidR="00AB1AF0" w:rsidRPr="008E7AAF" w:rsidRDefault="00AB1AF0">
            <w:pPr>
              <w:pStyle w:val="Text4"/>
              <w:spacing w:before="0" w:after="0"/>
              <w:ind w:left="0"/>
              <w:jc w:val="center"/>
              <w:rPr>
                <w:rFonts w:ascii="Times New Roman" w:eastAsia="Calibri" w:hAnsi="Times New Roman"/>
                <w:b/>
                <w:noProof/>
                <w:color w:val="FFFFFF" w:themeColor="background1"/>
              </w:rPr>
            </w:pPr>
            <w:r w:rsidRPr="008E7AAF">
              <w:rPr>
                <w:rFonts w:ascii="Times New Roman" w:eastAsia="Calibri" w:hAnsi="Times New Roman"/>
                <w:b/>
                <w:noProof/>
                <w:color w:val="FFFFFF" w:themeColor="background1"/>
              </w:rPr>
              <w:t>PO4</w:t>
            </w:r>
          </w:p>
        </w:tc>
      </w:tr>
      <w:tr w:rsidR="00AC02F7" w:rsidRPr="008E7AAF" w14:paraId="521CBE01" w14:textId="77777777" w:rsidTr="00AC02F7">
        <w:trPr>
          <w:trHeight w:val="260"/>
        </w:trPr>
        <w:tc>
          <w:tcPr>
            <w:tcW w:w="2479" w:type="pct"/>
            <w:noWrap/>
            <w:hideMark/>
          </w:tcPr>
          <w:p w14:paraId="20E1C710" w14:textId="21300AE2" w:rsidR="00AC02F7" w:rsidRPr="008E7AAF" w:rsidRDefault="00AC02F7" w:rsidP="00AC02F7">
            <w:pPr>
              <w:pStyle w:val="Text4"/>
              <w:spacing w:before="0" w:after="0"/>
              <w:ind w:left="0"/>
              <w:rPr>
                <w:rFonts w:ascii="Times New Roman" w:eastAsia="Calibri" w:hAnsi="Times New Roman"/>
                <w:b/>
                <w:noProof/>
              </w:rPr>
            </w:pPr>
            <w:r w:rsidRPr="008E7AAF">
              <w:rPr>
                <w:rFonts w:ascii="Times New Roman" w:eastAsia="Calibri" w:hAnsi="Times New Roman"/>
                <w:b/>
                <w:noProof/>
              </w:rPr>
              <w:t>Total adjustment costs</w:t>
            </w:r>
          </w:p>
        </w:tc>
        <w:tc>
          <w:tcPr>
            <w:tcW w:w="630" w:type="pct"/>
            <w:shd w:val="clear" w:color="000000" w:fill="FFFFFF"/>
            <w:noWrap/>
            <w:hideMark/>
          </w:tcPr>
          <w:p w14:paraId="109E8662" w14:textId="69D46486" w:rsidR="00AC02F7" w:rsidRPr="00AC02F7" w:rsidRDefault="00AC02F7" w:rsidP="000B526F">
            <w:pPr>
              <w:pStyle w:val="Text4"/>
              <w:spacing w:before="0" w:after="0"/>
              <w:ind w:left="0"/>
              <w:jc w:val="right"/>
              <w:rPr>
                <w:rFonts w:ascii="Times New Roman" w:eastAsia="Calibri" w:hAnsi="Times New Roman"/>
                <w:noProof/>
              </w:rPr>
            </w:pPr>
            <w:r w:rsidRPr="00AC02F7">
              <w:rPr>
                <w:rFonts w:ascii="Times New Roman" w:hAnsi="Times New Roman"/>
                <w:noProof/>
                <w:color w:val="000000"/>
              </w:rPr>
              <w:t xml:space="preserve">12.0 </w:t>
            </w:r>
          </w:p>
        </w:tc>
        <w:tc>
          <w:tcPr>
            <w:tcW w:w="631" w:type="pct"/>
            <w:shd w:val="clear" w:color="000000" w:fill="FFFFFF"/>
            <w:noWrap/>
            <w:hideMark/>
          </w:tcPr>
          <w:p w14:paraId="2C9621B7" w14:textId="5DDBD923" w:rsidR="00AC02F7" w:rsidRPr="00AC02F7" w:rsidRDefault="00AC02F7" w:rsidP="000B526F">
            <w:pPr>
              <w:pStyle w:val="Text4"/>
              <w:spacing w:before="0" w:after="0"/>
              <w:ind w:left="0"/>
              <w:jc w:val="right"/>
              <w:rPr>
                <w:rFonts w:ascii="Times New Roman" w:eastAsia="Calibri" w:hAnsi="Times New Roman"/>
                <w:noProof/>
              </w:rPr>
            </w:pPr>
            <w:r w:rsidRPr="00AC02F7">
              <w:rPr>
                <w:rFonts w:ascii="Times New Roman" w:hAnsi="Times New Roman"/>
                <w:noProof/>
                <w:color w:val="000000"/>
              </w:rPr>
              <w:t xml:space="preserve">16.5 </w:t>
            </w:r>
          </w:p>
        </w:tc>
        <w:tc>
          <w:tcPr>
            <w:tcW w:w="630" w:type="pct"/>
            <w:shd w:val="clear" w:color="000000" w:fill="FFFFFF"/>
            <w:noWrap/>
            <w:hideMark/>
          </w:tcPr>
          <w:p w14:paraId="1698213B" w14:textId="0C2203B4" w:rsidR="00AC02F7" w:rsidRPr="00AC02F7" w:rsidRDefault="00AC02F7" w:rsidP="000B526F">
            <w:pPr>
              <w:pStyle w:val="Text4"/>
              <w:spacing w:before="0" w:after="0"/>
              <w:ind w:left="0"/>
              <w:jc w:val="right"/>
              <w:rPr>
                <w:rFonts w:ascii="Times New Roman" w:eastAsia="Calibri" w:hAnsi="Times New Roman"/>
                <w:noProof/>
              </w:rPr>
            </w:pPr>
            <w:r w:rsidRPr="00AC02F7">
              <w:rPr>
                <w:rFonts w:ascii="Times New Roman" w:hAnsi="Times New Roman"/>
                <w:noProof/>
                <w:color w:val="000000"/>
              </w:rPr>
              <w:t xml:space="preserve">15.8 </w:t>
            </w:r>
          </w:p>
        </w:tc>
        <w:tc>
          <w:tcPr>
            <w:tcW w:w="630" w:type="pct"/>
            <w:shd w:val="clear" w:color="000000" w:fill="FFFFFF"/>
          </w:tcPr>
          <w:p w14:paraId="653F8D4D" w14:textId="3DDC985F" w:rsidR="00AC02F7" w:rsidRPr="00AC02F7" w:rsidRDefault="00AC02F7" w:rsidP="000B526F">
            <w:pPr>
              <w:pStyle w:val="Text4"/>
              <w:spacing w:before="0" w:after="0"/>
              <w:ind w:left="0"/>
              <w:jc w:val="right"/>
              <w:rPr>
                <w:rFonts w:ascii="Times New Roman" w:eastAsia="Calibri" w:hAnsi="Times New Roman"/>
                <w:noProof/>
              </w:rPr>
            </w:pPr>
            <w:r w:rsidRPr="00AC02F7">
              <w:rPr>
                <w:rFonts w:ascii="Times New Roman" w:hAnsi="Times New Roman"/>
                <w:noProof/>
                <w:color w:val="000000"/>
              </w:rPr>
              <w:t xml:space="preserve">16.1 </w:t>
            </w:r>
          </w:p>
        </w:tc>
      </w:tr>
      <w:tr w:rsidR="00AC02F7" w:rsidRPr="008E7AAF" w14:paraId="25059CBA" w14:textId="77777777" w:rsidTr="00AC02F7">
        <w:trPr>
          <w:trHeight w:val="200"/>
        </w:trPr>
        <w:tc>
          <w:tcPr>
            <w:tcW w:w="2479" w:type="pct"/>
            <w:noWrap/>
          </w:tcPr>
          <w:p w14:paraId="33B20FF2" w14:textId="29F755EE" w:rsidR="00AC02F7" w:rsidRPr="008E7AAF" w:rsidRDefault="00AC02F7" w:rsidP="00AC02F7">
            <w:pPr>
              <w:pStyle w:val="Text4"/>
              <w:spacing w:before="0" w:after="0"/>
              <w:ind w:left="0"/>
              <w:rPr>
                <w:rFonts w:ascii="Times New Roman" w:eastAsia="Calibri" w:hAnsi="Times New Roman"/>
                <w:noProof/>
              </w:rPr>
            </w:pPr>
            <w:r w:rsidRPr="008E7AAF">
              <w:rPr>
                <w:rFonts w:ascii="Times New Roman" w:eastAsia="Calibri" w:hAnsi="Times New Roman"/>
                <w:noProof/>
              </w:rPr>
              <w:t xml:space="preserve">  One-off adjustment costs </w:t>
            </w:r>
          </w:p>
        </w:tc>
        <w:tc>
          <w:tcPr>
            <w:tcW w:w="630" w:type="pct"/>
            <w:shd w:val="clear" w:color="000000" w:fill="FFFFFF"/>
            <w:noWrap/>
          </w:tcPr>
          <w:p w14:paraId="511A79C0" w14:textId="4D3F3FC9" w:rsidR="00AC02F7" w:rsidRPr="00AC02F7" w:rsidRDefault="00AC02F7" w:rsidP="000B526F">
            <w:pPr>
              <w:pStyle w:val="Text4"/>
              <w:spacing w:before="0" w:after="0"/>
              <w:ind w:left="0"/>
              <w:jc w:val="right"/>
              <w:rPr>
                <w:rFonts w:ascii="Times New Roman" w:eastAsia="Calibri" w:hAnsi="Times New Roman"/>
                <w:noProof/>
              </w:rPr>
            </w:pPr>
            <w:r w:rsidRPr="00AC02F7">
              <w:rPr>
                <w:rFonts w:ascii="Times New Roman" w:hAnsi="Times New Roman"/>
                <w:noProof/>
                <w:color w:val="000000"/>
              </w:rPr>
              <w:t xml:space="preserve">4.7 </w:t>
            </w:r>
          </w:p>
        </w:tc>
        <w:tc>
          <w:tcPr>
            <w:tcW w:w="631" w:type="pct"/>
            <w:shd w:val="clear" w:color="000000" w:fill="FFFFFF"/>
            <w:noWrap/>
          </w:tcPr>
          <w:p w14:paraId="7FBD957C" w14:textId="2E612E29" w:rsidR="00AC02F7" w:rsidRPr="00AC02F7" w:rsidRDefault="00AC02F7" w:rsidP="000B526F">
            <w:pPr>
              <w:pStyle w:val="Text4"/>
              <w:spacing w:before="0" w:after="0"/>
              <w:ind w:left="0"/>
              <w:jc w:val="right"/>
              <w:rPr>
                <w:rFonts w:ascii="Times New Roman" w:eastAsia="Calibri" w:hAnsi="Times New Roman"/>
                <w:noProof/>
              </w:rPr>
            </w:pPr>
            <w:r w:rsidRPr="00AC02F7">
              <w:rPr>
                <w:rFonts w:ascii="Times New Roman" w:hAnsi="Times New Roman"/>
                <w:noProof/>
                <w:color w:val="000000"/>
              </w:rPr>
              <w:t xml:space="preserve">6.9 </w:t>
            </w:r>
          </w:p>
        </w:tc>
        <w:tc>
          <w:tcPr>
            <w:tcW w:w="630" w:type="pct"/>
            <w:shd w:val="clear" w:color="000000" w:fill="FFFFFF"/>
            <w:noWrap/>
          </w:tcPr>
          <w:p w14:paraId="271CB4FA" w14:textId="3D0F2D17" w:rsidR="00AC02F7" w:rsidRPr="00AC02F7" w:rsidRDefault="00AC02F7" w:rsidP="000B526F">
            <w:pPr>
              <w:pStyle w:val="Text4"/>
              <w:spacing w:before="0" w:after="0"/>
              <w:ind w:left="0"/>
              <w:jc w:val="right"/>
              <w:rPr>
                <w:rFonts w:ascii="Times New Roman" w:eastAsia="Calibri" w:hAnsi="Times New Roman"/>
                <w:noProof/>
              </w:rPr>
            </w:pPr>
            <w:r w:rsidRPr="00AC02F7">
              <w:rPr>
                <w:rFonts w:ascii="Times New Roman" w:hAnsi="Times New Roman"/>
                <w:noProof/>
                <w:color w:val="000000"/>
              </w:rPr>
              <w:t xml:space="preserve">6.4 </w:t>
            </w:r>
          </w:p>
        </w:tc>
        <w:tc>
          <w:tcPr>
            <w:tcW w:w="630" w:type="pct"/>
            <w:shd w:val="clear" w:color="000000" w:fill="FFFFFF"/>
          </w:tcPr>
          <w:p w14:paraId="1357A946" w14:textId="14B8B1D6" w:rsidR="00AC02F7" w:rsidRPr="00AC02F7" w:rsidRDefault="00AC02F7" w:rsidP="000B526F">
            <w:pPr>
              <w:pStyle w:val="Text4"/>
              <w:spacing w:before="0" w:after="0"/>
              <w:ind w:left="0"/>
              <w:jc w:val="right"/>
              <w:rPr>
                <w:rFonts w:ascii="Times New Roman" w:eastAsia="Calibri" w:hAnsi="Times New Roman"/>
                <w:noProof/>
              </w:rPr>
            </w:pPr>
            <w:r w:rsidRPr="00AC02F7">
              <w:rPr>
                <w:rFonts w:ascii="Times New Roman" w:hAnsi="Times New Roman"/>
                <w:noProof/>
                <w:color w:val="000000"/>
              </w:rPr>
              <w:t xml:space="preserve">6.6 </w:t>
            </w:r>
          </w:p>
        </w:tc>
      </w:tr>
      <w:tr w:rsidR="00AC02F7" w:rsidRPr="008E7AAF" w14:paraId="551379F5" w14:textId="77777777" w:rsidTr="00AC02F7">
        <w:trPr>
          <w:trHeight w:val="200"/>
        </w:trPr>
        <w:tc>
          <w:tcPr>
            <w:tcW w:w="2479" w:type="pct"/>
            <w:noWrap/>
          </w:tcPr>
          <w:p w14:paraId="635A4B2F" w14:textId="6EE1A927" w:rsidR="00AC02F7" w:rsidRPr="008E7AAF" w:rsidRDefault="00AC02F7" w:rsidP="008C606A">
            <w:pPr>
              <w:pStyle w:val="Text4"/>
              <w:keepNext/>
              <w:spacing w:before="0" w:after="0"/>
              <w:ind w:left="0"/>
              <w:rPr>
                <w:rFonts w:ascii="Times New Roman" w:eastAsia="Calibri" w:hAnsi="Times New Roman"/>
                <w:noProof/>
              </w:rPr>
            </w:pPr>
            <w:r w:rsidRPr="008E7AAF">
              <w:rPr>
                <w:rFonts w:ascii="Times New Roman" w:eastAsia="Calibri" w:hAnsi="Times New Roman"/>
                <w:noProof/>
              </w:rPr>
              <w:t xml:space="preserve">  Recurrent adjustment costs </w:t>
            </w:r>
          </w:p>
        </w:tc>
        <w:tc>
          <w:tcPr>
            <w:tcW w:w="630" w:type="pct"/>
            <w:shd w:val="clear" w:color="000000" w:fill="FFFFFF"/>
            <w:noWrap/>
          </w:tcPr>
          <w:p w14:paraId="1A032C15" w14:textId="514EDD19" w:rsidR="00AC02F7" w:rsidRPr="00AC02F7" w:rsidRDefault="00AC02F7" w:rsidP="000B526F">
            <w:pPr>
              <w:pStyle w:val="Text4"/>
              <w:keepNext/>
              <w:spacing w:before="0" w:after="0"/>
              <w:ind w:left="0"/>
              <w:jc w:val="right"/>
              <w:rPr>
                <w:rFonts w:ascii="Times New Roman" w:eastAsia="Calibri" w:hAnsi="Times New Roman"/>
                <w:noProof/>
              </w:rPr>
            </w:pPr>
            <w:r w:rsidRPr="00AC02F7">
              <w:rPr>
                <w:rFonts w:ascii="Times New Roman" w:hAnsi="Times New Roman"/>
                <w:noProof/>
                <w:color w:val="000000"/>
              </w:rPr>
              <w:t xml:space="preserve">7.3 </w:t>
            </w:r>
          </w:p>
        </w:tc>
        <w:tc>
          <w:tcPr>
            <w:tcW w:w="631" w:type="pct"/>
            <w:shd w:val="clear" w:color="000000" w:fill="FFFFFF"/>
            <w:noWrap/>
          </w:tcPr>
          <w:p w14:paraId="06BEEB96" w14:textId="11678397" w:rsidR="00AC02F7" w:rsidRPr="00AC02F7" w:rsidRDefault="00AC02F7" w:rsidP="000B526F">
            <w:pPr>
              <w:pStyle w:val="Text4"/>
              <w:keepNext/>
              <w:spacing w:before="0" w:after="0"/>
              <w:ind w:left="0"/>
              <w:jc w:val="right"/>
              <w:rPr>
                <w:rFonts w:ascii="Times New Roman" w:eastAsia="Calibri" w:hAnsi="Times New Roman"/>
                <w:noProof/>
              </w:rPr>
            </w:pPr>
            <w:r w:rsidRPr="00AC02F7">
              <w:rPr>
                <w:rFonts w:ascii="Times New Roman" w:hAnsi="Times New Roman"/>
                <w:noProof/>
                <w:color w:val="000000"/>
              </w:rPr>
              <w:t xml:space="preserve">9.7 </w:t>
            </w:r>
          </w:p>
        </w:tc>
        <w:tc>
          <w:tcPr>
            <w:tcW w:w="630" w:type="pct"/>
            <w:shd w:val="clear" w:color="000000" w:fill="FFFFFF"/>
            <w:noWrap/>
          </w:tcPr>
          <w:p w14:paraId="656097AE" w14:textId="0A80553E" w:rsidR="00AC02F7" w:rsidRPr="00AC02F7" w:rsidRDefault="00AC02F7" w:rsidP="000B526F">
            <w:pPr>
              <w:pStyle w:val="Text4"/>
              <w:keepNext/>
              <w:spacing w:before="0" w:after="0"/>
              <w:ind w:left="0"/>
              <w:jc w:val="right"/>
              <w:rPr>
                <w:rFonts w:ascii="Times New Roman" w:eastAsia="Calibri" w:hAnsi="Times New Roman"/>
                <w:noProof/>
              </w:rPr>
            </w:pPr>
            <w:r w:rsidRPr="00AC02F7">
              <w:rPr>
                <w:rFonts w:ascii="Times New Roman" w:hAnsi="Times New Roman"/>
                <w:noProof/>
                <w:color w:val="000000"/>
              </w:rPr>
              <w:t xml:space="preserve">9.3 </w:t>
            </w:r>
          </w:p>
        </w:tc>
        <w:tc>
          <w:tcPr>
            <w:tcW w:w="630" w:type="pct"/>
            <w:shd w:val="clear" w:color="000000" w:fill="FFFFFF"/>
          </w:tcPr>
          <w:p w14:paraId="45A7E546" w14:textId="5D6A611B" w:rsidR="00AC02F7" w:rsidRPr="00AC02F7" w:rsidRDefault="00AC02F7" w:rsidP="000B526F">
            <w:pPr>
              <w:pStyle w:val="Text4"/>
              <w:keepNext/>
              <w:spacing w:before="0" w:after="0"/>
              <w:ind w:left="0"/>
              <w:jc w:val="right"/>
              <w:rPr>
                <w:rFonts w:ascii="Times New Roman" w:eastAsia="Calibri" w:hAnsi="Times New Roman"/>
                <w:noProof/>
              </w:rPr>
            </w:pPr>
            <w:r w:rsidRPr="00AC02F7">
              <w:rPr>
                <w:rFonts w:ascii="Times New Roman" w:hAnsi="Times New Roman"/>
                <w:noProof/>
                <w:color w:val="000000"/>
              </w:rPr>
              <w:t>9</w:t>
            </w:r>
            <w:r w:rsidRPr="00E8420D">
              <w:rPr>
                <w:rFonts w:ascii="Times New Roman" w:eastAsia="Calibri" w:hAnsi="Times New Roman"/>
                <w:noProof/>
                <w:color w:val="000000"/>
              </w:rPr>
              <w:t>.</w:t>
            </w:r>
            <w:r w:rsidRPr="00AC02F7">
              <w:rPr>
                <w:rFonts w:ascii="Times New Roman" w:hAnsi="Times New Roman"/>
                <w:noProof/>
                <w:color w:val="000000"/>
              </w:rPr>
              <w:t xml:space="preserve">5 </w:t>
            </w:r>
          </w:p>
        </w:tc>
      </w:tr>
    </w:tbl>
    <w:p w14:paraId="101A9BA7" w14:textId="77777777" w:rsidR="00D36BC1" w:rsidRPr="00D71008" w:rsidRDefault="00D36BC1" w:rsidP="008C606A">
      <w:pPr>
        <w:keepNext/>
        <w:tabs>
          <w:tab w:val="left" w:pos="2302"/>
        </w:tabs>
        <w:spacing w:after="240"/>
        <w:jc w:val="both"/>
        <w:rPr>
          <w:i/>
          <w:iCs/>
          <w:noProof/>
          <w:sz w:val="20"/>
          <w:szCs w:val="20"/>
        </w:rPr>
      </w:pPr>
      <w:r w:rsidRPr="008E7AAF">
        <w:rPr>
          <w:i/>
          <w:iCs/>
          <w:noProof/>
          <w:spacing w:val="-8"/>
          <w:sz w:val="20"/>
          <w:szCs w:val="20"/>
        </w:rPr>
        <w:t xml:space="preserve">Source: </w:t>
      </w:r>
      <w:r w:rsidRPr="008E7AAF">
        <w:rPr>
          <w:i/>
          <w:iCs/>
          <w:noProof/>
          <w:sz w:val="20"/>
          <w:szCs w:val="20"/>
        </w:rPr>
        <w:t>Ricardo et al. (2026), Impact assessment support study</w:t>
      </w:r>
    </w:p>
    <w:p w14:paraId="56725B05" w14:textId="77777777" w:rsidR="00224360" w:rsidRDefault="000A01F9" w:rsidP="007B2D8E">
      <w:pPr>
        <w:pStyle w:val="ListParagraph"/>
        <w:keepNext/>
        <w:widowControl/>
        <w:numPr>
          <w:ilvl w:val="2"/>
          <w:numId w:val="10"/>
        </w:numPr>
        <w:autoSpaceDE/>
        <w:autoSpaceDN/>
        <w:spacing w:after="240"/>
        <w:jc w:val="both"/>
        <w:outlineLvl w:val="2"/>
        <w:rPr>
          <w:i/>
          <w:iCs/>
          <w:noProof/>
          <w:sz w:val="24"/>
          <w:szCs w:val="24"/>
        </w:rPr>
      </w:pPr>
      <w:bookmarkStart w:id="577" w:name="_Toc222749063"/>
      <w:bookmarkStart w:id="578" w:name="_Toc223980182"/>
      <w:r w:rsidRPr="00E70CE0">
        <w:rPr>
          <w:i/>
          <w:iCs/>
          <w:noProof/>
          <w:sz w:val="24"/>
          <w:szCs w:val="24"/>
        </w:rPr>
        <w:t>PM</w:t>
      </w:r>
      <w:r w:rsidR="004B13A3">
        <w:rPr>
          <w:i/>
          <w:iCs/>
          <w:noProof/>
          <w:sz w:val="24"/>
          <w:szCs w:val="24"/>
        </w:rPr>
        <w:t>2</w:t>
      </w:r>
      <w:r w:rsidRPr="00E70CE0">
        <w:rPr>
          <w:i/>
          <w:iCs/>
          <w:noProof/>
          <w:sz w:val="24"/>
          <w:szCs w:val="24"/>
        </w:rPr>
        <w:t xml:space="preserve"> – </w:t>
      </w:r>
      <w:r w:rsidR="007F10C5" w:rsidRPr="007F10C5">
        <w:rPr>
          <w:i/>
          <w:iCs/>
          <w:noProof/>
          <w:sz w:val="24"/>
          <w:szCs w:val="24"/>
        </w:rPr>
        <w:t>Obligation for all MDMS platforms to load and process data of operators with equal care and timeliness</w:t>
      </w:r>
      <w:bookmarkEnd w:id="577"/>
      <w:bookmarkEnd w:id="578"/>
    </w:p>
    <w:p w14:paraId="1714F2DB" w14:textId="7B751AA9" w:rsidR="00224360" w:rsidRPr="00224360" w:rsidRDefault="002E075A" w:rsidP="00224360">
      <w:pPr>
        <w:pStyle w:val="Text4"/>
        <w:spacing w:before="0" w:after="240"/>
        <w:ind w:left="0"/>
        <w:rPr>
          <w:rFonts w:ascii="Times New Roman" w:eastAsia="Calibri" w:hAnsi="Times New Roman"/>
          <w:noProof/>
          <w:spacing w:val="-8"/>
          <w:sz w:val="24"/>
          <w:szCs w:val="24"/>
        </w:rPr>
      </w:pPr>
      <w:r>
        <w:rPr>
          <w:rFonts w:ascii="Times New Roman" w:eastAsia="Calibri" w:hAnsi="Times New Roman"/>
          <w:noProof/>
          <w:spacing w:val="-8"/>
          <w:sz w:val="24"/>
          <w:szCs w:val="24"/>
        </w:rPr>
        <w:t xml:space="preserve">In PM2, </w:t>
      </w:r>
      <w:r w:rsidR="00905F4D">
        <w:rPr>
          <w:rFonts w:ascii="Times New Roman" w:eastAsia="Calibri" w:hAnsi="Times New Roman"/>
          <w:noProof/>
          <w:spacing w:val="-8"/>
          <w:sz w:val="24"/>
          <w:szCs w:val="24"/>
        </w:rPr>
        <w:t xml:space="preserve">non-SME </w:t>
      </w:r>
      <w:r w:rsidR="00224360" w:rsidRPr="00224360">
        <w:rPr>
          <w:rFonts w:ascii="Times New Roman" w:eastAsia="Calibri" w:hAnsi="Times New Roman"/>
          <w:noProof/>
          <w:spacing w:val="-8"/>
          <w:sz w:val="24"/>
          <w:szCs w:val="24"/>
        </w:rPr>
        <w:t>MDMS platform</w:t>
      </w:r>
      <w:r w:rsidR="00D2706E">
        <w:rPr>
          <w:rFonts w:ascii="Times New Roman" w:eastAsia="Calibri" w:hAnsi="Times New Roman"/>
          <w:noProof/>
          <w:spacing w:val="-8"/>
          <w:sz w:val="24"/>
          <w:szCs w:val="24"/>
        </w:rPr>
        <w:t>s</w:t>
      </w:r>
      <w:r w:rsidR="00224360" w:rsidRPr="00224360">
        <w:rPr>
          <w:rFonts w:ascii="Times New Roman" w:eastAsia="Calibri" w:hAnsi="Times New Roman"/>
          <w:noProof/>
          <w:spacing w:val="-8"/>
          <w:sz w:val="24"/>
          <w:szCs w:val="24"/>
        </w:rPr>
        <w:t xml:space="preserve"> (</w:t>
      </w:r>
      <w:r w:rsidR="00905F4D">
        <w:rPr>
          <w:rFonts w:ascii="Times New Roman" w:eastAsia="Calibri" w:hAnsi="Times New Roman"/>
          <w:noProof/>
          <w:spacing w:val="-8"/>
          <w:sz w:val="24"/>
          <w:szCs w:val="24"/>
        </w:rPr>
        <w:t xml:space="preserve">non-SME </w:t>
      </w:r>
      <w:r w:rsidR="00224360" w:rsidRPr="00224360">
        <w:rPr>
          <w:rFonts w:ascii="Times New Roman" w:eastAsia="Calibri" w:hAnsi="Times New Roman"/>
          <w:noProof/>
          <w:spacing w:val="-8"/>
          <w:sz w:val="24"/>
          <w:szCs w:val="24"/>
        </w:rPr>
        <w:t>B2B and B2C</w:t>
      </w:r>
      <w:r w:rsidR="00D2706E">
        <w:rPr>
          <w:rFonts w:ascii="Times New Roman" w:eastAsia="Calibri" w:hAnsi="Times New Roman"/>
          <w:noProof/>
          <w:spacing w:val="-8"/>
          <w:sz w:val="24"/>
          <w:szCs w:val="24"/>
        </w:rPr>
        <w:t xml:space="preserve"> platforms</w:t>
      </w:r>
      <w:r w:rsidR="00224360" w:rsidRPr="00224360">
        <w:rPr>
          <w:rFonts w:ascii="Times New Roman" w:eastAsia="Calibri" w:hAnsi="Times New Roman"/>
          <w:noProof/>
          <w:spacing w:val="-8"/>
          <w:sz w:val="24"/>
          <w:szCs w:val="24"/>
        </w:rPr>
        <w:t>) shall load and process data provided by transport operators, with equal care and</w:t>
      </w:r>
      <w:r w:rsidR="00224360" w:rsidRPr="00224360" w:rsidDel="00983BC5">
        <w:rPr>
          <w:rFonts w:ascii="Times New Roman" w:eastAsia="Calibri" w:hAnsi="Times New Roman"/>
          <w:noProof/>
          <w:spacing w:val="-8"/>
          <w:sz w:val="24"/>
          <w:szCs w:val="24"/>
        </w:rPr>
        <w:t xml:space="preserve"> </w:t>
      </w:r>
      <w:r w:rsidR="00224360" w:rsidRPr="00224360">
        <w:rPr>
          <w:rFonts w:ascii="Times New Roman" w:eastAsia="Calibri" w:hAnsi="Times New Roman"/>
          <w:noProof/>
          <w:spacing w:val="-8"/>
          <w:sz w:val="24"/>
          <w:szCs w:val="24"/>
        </w:rPr>
        <w:t xml:space="preserve">timeliness. </w:t>
      </w:r>
      <w:r w:rsidR="00591A34" w:rsidRPr="00591A34">
        <w:rPr>
          <w:rFonts w:ascii="Times New Roman" w:eastAsia="Calibri" w:hAnsi="Times New Roman"/>
          <w:noProof/>
          <w:spacing w:val="-8"/>
          <w:sz w:val="24"/>
          <w:szCs w:val="24"/>
        </w:rPr>
        <w:t xml:space="preserve">PM2 retains and extends to all </w:t>
      </w:r>
      <w:r w:rsidR="007F7205">
        <w:rPr>
          <w:rFonts w:ascii="Times New Roman" w:eastAsia="Calibri" w:hAnsi="Times New Roman"/>
          <w:noProof/>
          <w:spacing w:val="-8"/>
          <w:sz w:val="24"/>
          <w:szCs w:val="24"/>
        </w:rPr>
        <w:t>non-SME</w:t>
      </w:r>
      <w:r w:rsidR="00591A34" w:rsidRPr="00591A34">
        <w:rPr>
          <w:rFonts w:ascii="Times New Roman" w:eastAsia="Calibri" w:hAnsi="Times New Roman"/>
          <w:noProof/>
          <w:spacing w:val="-8"/>
          <w:sz w:val="24"/>
          <w:szCs w:val="24"/>
        </w:rPr>
        <w:t xml:space="preserve"> MDMS platforms the obligation provided in the CRS Code of Conduct, which is part of the baseline, to ensure fair treatment of all transport operators participating to a platform.</w:t>
      </w:r>
    </w:p>
    <w:p w14:paraId="12429DBF" w14:textId="77777777" w:rsidR="0003158F" w:rsidRDefault="0003158F" w:rsidP="007F3F4C">
      <w:pPr>
        <w:pStyle w:val="Text4"/>
        <w:spacing w:before="0"/>
        <w:ind w:left="0"/>
        <w:rPr>
          <w:rFonts w:ascii="Times New Roman" w:eastAsia="Calibri" w:hAnsi="Times New Roman"/>
          <w:noProof/>
          <w:spacing w:val="-8"/>
          <w:sz w:val="24"/>
          <w:szCs w:val="24"/>
        </w:rPr>
      </w:pPr>
      <w:r w:rsidRPr="0003158F">
        <w:rPr>
          <w:rFonts w:ascii="Times New Roman" w:eastAsia="Calibri" w:hAnsi="Times New Roman"/>
          <w:noProof/>
          <w:spacing w:val="-8"/>
          <w:sz w:val="24"/>
          <w:szCs w:val="24"/>
        </w:rPr>
        <w:t>The measure is expected to result in:</w:t>
      </w:r>
    </w:p>
    <w:p w14:paraId="4C1FF0D1" w14:textId="71C95DDC" w:rsidR="00D54647" w:rsidRPr="00CC66CD" w:rsidRDefault="00D54647" w:rsidP="001979E4">
      <w:pPr>
        <w:pStyle w:val="Nornal"/>
        <w:numPr>
          <w:ilvl w:val="0"/>
          <w:numId w:val="20"/>
        </w:numPr>
        <w:spacing w:after="120" w:line="240" w:lineRule="auto"/>
        <w:ind w:left="284" w:hanging="284"/>
        <w:rPr>
          <w:rFonts w:cs="Arial"/>
          <w:noProof/>
          <w:spacing w:val="-8"/>
          <w:sz w:val="24"/>
          <w:szCs w:val="24"/>
        </w:rPr>
      </w:pPr>
      <w:r w:rsidRPr="00CC66CD">
        <w:rPr>
          <w:rFonts w:cs="Arial"/>
          <w:noProof/>
          <w:spacing w:val="-8"/>
          <w:sz w:val="24"/>
          <w:szCs w:val="24"/>
        </w:rPr>
        <w:t>Adjustment costs for</w:t>
      </w:r>
      <w:r w:rsidR="00CC66CD">
        <w:rPr>
          <w:rFonts w:cs="Arial"/>
          <w:noProof/>
          <w:spacing w:val="-8"/>
          <w:sz w:val="24"/>
          <w:szCs w:val="24"/>
        </w:rPr>
        <w:t xml:space="preserve"> </w:t>
      </w:r>
      <w:r w:rsidR="00905F4D">
        <w:rPr>
          <w:rFonts w:cs="Arial"/>
          <w:noProof/>
          <w:spacing w:val="-8"/>
          <w:sz w:val="24"/>
          <w:szCs w:val="24"/>
        </w:rPr>
        <w:t>non-SME</w:t>
      </w:r>
      <w:r w:rsidRPr="00CC66CD">
        <w:rPr>
          <w:rFonts w:cs="Arial"/>
          <w:noProof/>
          <w:spacing w:val="-8"/>
          <w:sz w:val="24"/>
          <w:szCs w:val="24"/>
        </w:rPr>
        <w:t xml:space="preserve"> MDMS platforms</w:t>
      </w:r>
      <w:r w:rsidR="002B2AAF">
        <w:rPr>
          <w:rFonts w:cs="Arial"/>
          <w:noProof/>
          <w:spacing w:val="-8"/>
          <w:sz w:val="24"/>
          <w:szCs w:val="24"/>
        </w:rPr>
        <w:t xml:space="preserve"> </w:t>
      </w:r>
      <w:r w:rsidR="009E56DB">
        <w:rPr>
          <w:rFonts w:cs="Arial"/>
          <w:noProof/>
          <w:spacing w:val="-8"/>
          <w:sz w:val="24"/>
          <w:szCs w:val="24"/>
        </w:rPr>
        <w:t>(</w:t>
      </w:r>
      <w:r w:rsidR="002B2AAF">
        <w:rPr>
          <w:rFonts w:cs="Arial"/>
          <w:noProof/>
          <w:spacing w:val="-8"/>
          <w:sz w:val="24"/>
          <w:szCs w:val="24"/>
        </w:rPr>
        <w:t>excluding CRS platforms</w:t>
      </w:r>
      <w:r w:rsidR="009E56DB">
        <w:rPr>
          <w:rFonts w:cs="Arial"/>
          <w:noProof/>
          <w:spacing w:val="-8"/>
          <w:sz w:val="24"/>
          <w:szCs w:val="24"/>
        </w:rPr>
        <w:t>)</w:t>
      </w:r>
      <w:r w:rsidRPr="00CC66CD">
        <w:rPr>
          <w:rFonts w:cs="Arial"/>
          <w:noProof/>
          <w:spacing w:val="-8"/>
          <w:sz w:val="24"/>
          <w:szCs w:val="24"/>
        </w:rPr>
        <w:t xml:space="preserve"> to reprogramme for new requirements</w:t>
      </w:r>
      <w:r w:rsidR="009C342A">
        <w:rPr>
          <w:rFonts w:cs="Arial"/>
          <w:noProof/>
          <w:spacing w:val="-8"/>
          <w:sz w:val="24"/>
          <w:szCs w:val="24"/>
        </w:rPr>
        <w:t>:</w:t>
      </w:r>
    </w:p>
    <w:p w14:paraId="00664D15" w14:textId="307D4434" w:rsidR="00D54647" w:rsidRPr="007F3F4C" w:rsidRDefault="00D54647" w:rsidP="001979E4">
      <w:pPr>
        <w:pStyle w:val="ListParagraph"/>
        <w:widowControl/>
        <w:numPr>
          <w:ilvl w:val="1"/>
          <w:numId w:val="19"/>
        </w:numPr>
        <w:autoSpaceDE/>
        <w:autoSpaceDN/>
        <w:spacing w:before="0" w:after="120"/>
        <w:ind w:left="567" w:hanging="283"/>
        <w:jc w:val="both"/>
        <w:rPr>
          <w:noProof/>
          <w:spacing w:val="-8"/>
          <w:sz w:val="24"/>
          <w:szCs w:val="24"/>
        </w:rPr>
      </w:pPr>
      <w:r w:rsidRPr="007F3F4C">
        <w:rPr>
          <w:noProof/>
          <w:spacing w:val="-8"/>
          <w:sz w:val="24"/>
          <w:szCs w:val="24"/>
        </w:rPr>
        <w:t xml:space="preserve">One-off </w:t>
      </w:r>
      <w:r w:rsidR="009C342A">
        <w:rPr>
          <w:noProof/>
          <w:spacing w:val="-8"/>
          <w:sz w:val="24"/>
          <w:szCs w:val="24"/>
        </w:rPr>
        <w:t xml:space="preserve">adjustment </w:t>
      </w:r>
      <w:r w:rsidRPr="007F3F4C">
        <w:rPr>
          <w:noProof/>
          <w:spacing w:val="-8"/>
          <w:sz w:val="24"/>
          <w:szCs w:val="24"/>
        </w:rPr>
        <w:t xml:space="preserve">costs are </w:t>
      </w:r>
      <w:r w:rsidR="00F3196A">
        <w:rPr>
          <w:noProof/>
          <w:spacing w:val="-8"/>
          <w:sz w:val="24"/>
          <w:szCs w:val="24"/>
        </w:rPr>
        <w:t xml:space="preserve">expected for existing </w:t>
      </w:r>
      <w:r w:rsidR="00905F4D">
        <w:rPr>
          <w:noProof/>
          <w:spacing w:val="-8"/>
          <w:sz w:val="24"/>
          <w:szCs w:val="24"/>
        </w:rPr>
        <w:t>non-SME</w:t>
      </w:r>
      <w:r w:rsidR="00F3196A">
        <w:rPr>
          <w:noProof/>
          <w:spacing w:val="-8"/>
          <w:sz w:val="24"/>
          <w:szCs w:val="24"/>
        </w:rPr>
        <w:t xml:space="preserve"> MDMS platforms in 2028 (i.e. </w:t>
      </w:r>
      <w:r w:rsidRPr="007F3F4C">
        <w:rPr>
          <w:noProof/>
          <w:spacing w:val="-8"/>
          <w:sz w:val="24"/>
          <w:szCs w:val="24"/>
        </w:rPr>
        <w:t>first year of implementation</w:t>
      </w:r>
      <w:r w:rsidR="00F3196A">
        <w:rPr>
          <w:noProof/>
          <w:spacing w:val="-8"/>
          <w:sz w:val="24"/>
          <w:szCs w:val="24"/>
        </w:rPr>
        <w:t xml:space="preserve">) and for </w:t>
      </w:r>
      <w:r w:rsidRPr="007F3F4C">
        <w:rPr>
          <w:noProof/>
          <w:spacing w:val="-8"/>
          <w:sz w:val="24"/>
          <w:szCs w:val="24"/>
        </w:rPr>
        <w:t>new</w:t>
      </w:r>
      <w:r w:rsidR="00F3196A">
        <w:rPr>
          <w:noProof/>
          <w:spacing w:val="-8"/>
          <w:sz w:val="24"/>
          <w:szCs w:val="24"/>
        </w:rPr>
        <w:t xml:space="preserve"> </w:t>
      </w:r>
      <w:r w:rsidR="00905F4D">
        <w:rPr>
          <w:noProof/>
          <w:spacing w:val="-8"/>
          <w:sz w:val="24"/>
          <w:szCs w:val="24"/>
        </w:rPr>
        <w:t>non-SME</w:t>
      </w:r>
      <w:r w:rsidR="00F3196A">
        <w:rPr>
          <w:noProof/>
          <w:spacing w:val="-8"/>
          <w:sz w:val="24"/>
          <w:szCs w:val="24"/>
        </w:rPr>
        <w:t xml:space="preserve"> MDMS</w:t>
      </w:r>
      <w:r w:rsidRPr="007F3F4C">
        <w:rPr>
          <w:noProof/>
          <w:spacing w:val="-8"/>
          <w:sz w:val="24"/>
          <w:szCs w:val="24"/>
        </w:rPr>
        <w:t xml:space="preserve"> platforms that join the market each year</w:t>
      </w:r>
      <w:r w:rsidR="00F3196A">
        <w:rPr>
          <w:noProof/>
          <w:spacing w:val="-8"/>
          <w:sz w:val="24"/>
          <w:szCs w:val="24"/>
        </w:rPr>
        <w:t xml:space="preserve"> </w:t>
      </w:r>
      <w:r w:rsidR="00F441A7">
        <w:rPr>
          <w:noProof/>
          <w:spacing w:val="-8"/>
          <w:sz w:val="24"/>
          <w:szCs w:val="24"/>
        </w:rPr>
        <w:t>from 2029 onwards</w:t>
      </w:r>
      <w:r w:rsidRPr="007F3F4C">
        <w:rPr>
          <w:noProof/>
          <w:spacing w:val="-8"/>
          <w:sz w:val="24"/>
          <w:szCs w:val="24"/>
        </w:rPr>
        <w:t xml:space="preserve">. </w:t>
      </w:r>
    </w:p>
    <w:p w14:paraId="6FA7D938" w14:textId="50AE3F2E" w:rsidR="00D54647" w:rsidRPr="007F3F4C" w:rsidRDefault="00E50F81" w:rsidP="001979E4">
      <w:pPr>
        <w:pStyle w:val="ListParagraph"/>
        <w:widowControl/>
        <w:numPr>
          <w:ilvl w:val="1"/>
          <w:numId w:val="19"/>
        </w:numPr>
        <w:autoSpaceDE/>
        <w:autoSpaceDN/>
        <w:spacing w:before="0" w:after="240"/>
        <w:ind w:left="568" w:hanging="284"/>
        <w:jc w:val="both"/>
        <w:rPr>
          <w:noProof/>
          <w:spacing w:val="-8"/>
          <w:sz w:val="24"/>
          <w:szCs w:val="24"/>
        </w:rPr>
      </w:pPr>
      <w:r>
        <w:rPr>
          <w:noProof/>
          <w:spacing w:val="-8"/>
          <w:sz w:val="24"/>
          <w:szCs w:val="24"/>
        </w:rPr>
        <w:t>R</w:t>
      </w:r>
      <w:r w:rsidR="00D54647" w:rsidRPr="007F3F4C">
        <w:rPr>
          <w:noProof/>
          <w:spacing w:val="-8"/>
          <w:sz w:val="24"/>
          <w:szCs w:val="24"/>
        </w:rPr>
        <w:t xml:space="preserve">ecurrent </w:t>
      </w:r>
      <w:r>
        <w:rPr>
          <w:noProof/>
          <w:spacing w:val="-8"/>
          <w:sz w:val="24"/>
          <w:szCs w:val="24"/>
        </w:rPr>
        <w:t xml:space="preserve">adjustment </w:t>
      </w:r>
      <w:r w:rsidR="00D54647" w:rsidRPr="007F3F4C">
        <w:rPr>
          <w:noProof/>
          <w:spacing w:val="-8"/>
          <w:sz w:val="24"/>
          <w:szCs w:val="24"/>
        </w:rPr>
        <w:t xml:space="preserve">costs for </w:t>
      </w:r>
      <w:r w:rsidR="00905F4D">
        <w:rPr>
          <w:noProof/>
          <w:spacing w:val="-8"/>
          <w:sz w:val="24"/>
          <w:szCs w:val="24"/>
        </w:rPr>
        <w:t>non-SME</w:t>
      </w:r>
      <w:r>
        <w:rPr>
          <w:noProof/>
          <w:spacing w:val="-8"/>
          <w:sz w:val="24"/>
          <w:szCs w:val="24"/>
        </w:rPr>
        <w:t xml:space="preserve"> MDMS </w:t>
      </w:r>
      <w:r w:rsidR="00D54647" w:rsidRPr="007F3F4C">
        <w:rPr>
          <w:noProof/>
          <w:spacing w:val="-8"/>
          <w:sz w:val="24"/>
          <w:szCs w:val="24"/>
        </w:rPr>
        <w:t xml:space="preserve">platforms </w:t>
      </w:r>
      <w:r>
        <w:rPr>
          <w:noProof/>
          <w:spacing w:val="-8"/>
          <w:sz w:val="24"/>
          <w:szCs w:val="24"/>
        </w:rPr>
        <w:t>for maintenance</w:t>
      </w:r>
      <w:r w:rsidR="00F441A7">
        <w:rPr>
          <w:noProof/>
          <w:spacing w:val="-8"/>
          <w:sz w:val="24"/>
          <w:szCs w:val="24"/>
        </w:rPr>
        <w:t xml:space="preserve"> from 2029 onwards</w:t>
      </w:r>
      <w:r w:rsidR="00D54647" w:rsidRPr="007F3F4C">
        <w:rPr>
          <w:noProof/>
          <w:spacing w:val="-8"/>
          <w:sz w:val="24"/>
          <w:szCs w:val="24"/>
        </w:rPr>
        <w:t>.</w:t>
      </w:r>
    </w:p>
    <w:p w14:paraId="51AB2163" w14:textId="2AC690A2" w:rsidR="00F40593" w:rsidRDefault="00916056" w:rsidP="00F40593">
      <w:pPr>
        <w:pStyle w:val="Text4"/>
        <w:keepNext/>
        <w:widowControl w:val="0"/>
        <w:spacing w:before="0" w:after="240"/>
        <w:ind w:left="0"/>
        <w:rPr>
          <w:rFonts w:ascii="Times New Roman" w:eastAsia="Calibri" w:hAnsi="Times New Roman"/>
          <w:i/>
          <w:iCs/>
          <w:noProof/>
          <w:spacing w:val="-8"/>
          <w:sz w:val="24"/>
          <w:szCs w:val="24"/>
        </w:rPr>
      </w:pPr>
      <w:r w:rsidRPr="00916056">
        <w:rPr>
          <w:rFonts w:ascii="Times New Roman" w:eastAsia="Calibri" w:hAnsi="Times New Roman"/>
          <w:i/>
          <w:iCs/>
          <w:noProof/>
          <w:spacing w:val="-8"/>
          <w:sz w:val="24"/>
          <w:szCs w:val="24"/>
        </w:rPr>
        <w:t xml:space="preserve">One-off and recurrent adjustment costs for </w:t>
      </w:r>
      <w:r w:rsidR="00905F4D">
        <w:rPr>
          <w:rFonts w:ascii="Times New Roman" w:eastAsia="Calibri" w:hAnsi="Times New Roman"/>
          <w:i/>
          <w:iCs/>
          <w:noProof/>
          <w:spacing w:val="-8"/>
          <w:sz w:val="24"/>
          <w:szCs w:val="24"/>
        </w:rPr>
        <w:t>non-SME</w:t>
      </w:r>
      <w:r w:rsidRPr="00916056">
        <w:rPr>
          <w:rFonts w:ascii="Times New Roman" w:eastAsia="Calibri" w:hAnsi="Times New Roman"/>
          <w:i/>
          <w:iCs/>
          <w:noProof/>
          <w:spacing w:val="-8"/>
          <w:sz w:val="24"/>
          <w:szCs w:val="24"/>
        </w:rPr>
        <w:t xml:space="preserve"> MDMS platforms</w:t>
      </w:r>
      <w:r w:rsidR="00957F7F">
        <w:rPr>
          <w:rFonts w:ascii="Times New Roman" w:eastAsia="Calibri" w:hAnsi="Times New Roman"/>
          <w:i/>
          <w:iCs/>
          <w:noProof/>
          <w:spacing w:val="-8"/>
          <w:sz w:val="24"/>
          <w:szCs w:val="24"/>
        </w:rPr>
        <w:t xml:space="preserve"> (excluding CRS platforms)</w:t>
      </w:r>
    </w:p>
    <w:p w14:paraId="7FDA2CBF" w14:textId="66BDDC3A" w:rsidR="00F40593" w:rsidRPr="006D76B3" w:rsidRDefault="00F40593" w:rsidP="00F40593">
      <w:pPr>
        <w:pStyle w:val="Text4"/>
        <w:keepNext/>
        <w:widowControl w:val="0"/>
        <w:spacing w:before="0" w:after="240"/>
        <w:ind w:left="0"/>
        <w:rPr>
          <w:rFonts w:ascii="Times New Roman" w:eastAsia="Calibri" w:hAnsi="Times New Roman"/>
          <w:noProof/>
          <w:spacing w:val="-8"/>
          <w:sz w:val="24"/>
          <w:szCs w:val="24"/>
        </w:rPr>
      </w:pPr>
      <w:r w:rsidRPr="006D76B3">
        <w:rPr>
          <w:rFonts w:ascii="Times New Roman" w:eastAsia="Calibri" w:hAnsi="Times New Roman"/>
          <w:noProof/>
          <w:spacing w:val="-8"/>
          <w:sz w:val="24"/>
          <w:szCs w:val="24"/>
        </w:rPr>
        <w:t>PM2 is expected to require less effort than PM1</w:t>
      </w:r>
      <w:r w:rsidRPr="006D76B3">
        <w:rPr>
          <w:rStyle w:val="FootnoteReference"/>
          <w:rFonts w:ascii="Times New Roman" w:eastAsia="Calibri" w:hAnsi="Times New Roman"/>
          <w:noProof/>
          <w:spacing w:val="-8"/>
          <w:sz w:val="24"/>
          <w:szCs w:val="24"/>
        </w:rPr>
        <w:footnoteReference w:id="347"/>
      </w:r>
      <w:r w:rsidRPr="006D76B3">
        <w:rPr>
          <w:rFonts w:ascii="Times New Roman" w:eastAsia="Calibri" w:hAnsi="Times New Roman"/>
          <w:noProof/>
          <w:spacing w:val="-8"/>
          <w:sz w:val="24"/>
          <w:szCs w:val="24"/>
        </w:rPr>
        <w:t xml:space="preserve"> because it primarily entails standardising back-end pipelines to ensure operators’ data is loaded and processed with uniform care, timelines, and error-handling (eliminating preferential caching, fallbacks, or operator-specific prioritisation). This involves updates to logging, timeout harmonisation, and removal of custom prioritisation logic. Therefore, under a conservative approach, it is assumed that PM2 would require 75% of the workload of PM1 (i.e. 67.5 working days). This also accounts for synergies with PM1 (</w:t>
      </w:r>
      <w:r w:rsidRPr="006D76B3">
        <w:rPr>
          <w:rFonts w:ascii="Times New Roman" w:hAnsi="Times New Roman"/>
          <w:noProof/>
          <w:spacing w:val="-8"/>
          <w:sz w:val="24"/>
          <w:szCs w:val="24"/>
        </w:rPr>
        <w:t>neutral display)</w:t>
      </w:r>
      <w:r w:rsidRPr="006D76B3">
        <w:rPr>
          <w:rFonts w:ascii="Times New Roman" w:eastAsia="Calibri" w:hAnsi="Times New Roman"/>
          <w:noProof/>
          <w:spacing w:val="-8"/>
          <w:sz w:val="24"/>
          <w:szCs w:val="24"/>
        </w:rPr>
        <w:t xml:space="preserve">, PM3 (marketing and booking data sharing) and PM8 (GHG emission data). For example, fixing data flows evenly also supports sharing data with partners, saving time on data handling and checks. The one-off cost per MDMS platform is estimated at EUR 17,343 considering the hourly rates presented in section 3.2 of Annex 4. </w:t>
      </w:r>
    </w:p>
    <w:p w14:paraId="6FF39212" w14:textId="734382F7" w:rsidR="00F40593" w:rsidRPr="006D76B3" w:rsidRDefault="00F40593" w:rsidP="00F40593">
      <w:pPr>
        <w:pStyle w:val="Text4"/>
        <w:widowControl w:val="0"/>
        <w:spacing w:before="0" w:after="240"/>
        <w:ind w:left="0"/>
        <w:rPr>
          <w:rFonts w:ascii="Times New Roman" w:eastAsia="Calibri" w:hAnsi="Times New Roman"/>
          <w:noProof/>
          <w:spacing w:val="-8"/>
          <w:sz w:val="24"/>
          <w:szCs w:val="24"/>
        </w:rPr>
      </w:pPr>
      <w:r w:rsidRPr="006D76B3">
        <w:rPr>
          <w:rFonts w:ascii="Times New Roman" w:eastAsia="Calibri" w:hAnsi="Times New Roman"/>
          <w:noProof/>
          <w:spacing w:val="-8"/>
          <w:sz w:val="24"/>
          <w:szCs w:val="24"/>
        </w:rPr>
        <w:t xml:space="preserve">The total one-off adjustment costs in 2028 (i.e. the assumed year of implementation) are derived by multiplying the cost per MDMS platform with the number of </w:t>
      </w:r>
      <w:r w:rsidR="00905F4D">
        <w:rPr>
          <w:rFonts w:ascii="Times New Roman" w:eastAsia="Calibri" w:hAnsi="Times New Roman"/>
          <w:noProof/>
          <w:spacing w:val="-8"/>
          <w:sz w:val="24"/>
          <w:szCs w:val="24"/>
        </w:rPr>
        <w:t>non-SME</w:t>
      </w:r>
      <w:r w:rsidRPr="006D76B3">
        <w:rPr>
          <w:rFonts w:ascii="Times New Roman" w:eastAsia="Calibri" w:hAnsi="Times New Roman"/>
          <w:noProof/>
          <w:spacing w:val="-8"/>
          <w:sz w:val="24"/>
          <w:szCs w:val="24"/>
        </w:rPr>
        <w:t xml:space="preserve"> MDMS platforms (excluding CRS platforms which already implement these requirements in the baseline) estimated to be active in 2028. Post-2028, the one-off adjustment costs are derived by multiplying the cost per MDMS platform with the number of new </w:t>
      </w:r>
      <w:r w:rsidR="00905F4D">
        <w:rPr>
          <w:rFonts w:ascii="Times New Roman" w:eastAsia="Calibri" w:hAnsi="Times New Roman"/>
          <w:noProof/>
          <w:spacing w:val="-8"/>
          <w:sz w:val="24"/>
          <w:szCs w:val="24"/>
        </w:rPr>
        <w:t>non-SME</w:t>
      </w:r>
      <w:r w:rsidRPr="006D76B3">
        <w:rPr>
          <w:rFonts w:ascii="Times New Roman" w:eastAsia="Calibri" w:hAnsi="Times New Roman"/>
          <w:noProof/>
          <w:spacing w:val="-8"/>
          <w:sz w:val="24"/>
          <w:szCs w:val="24"/>
        </w:rPr>
        <w:t xml:space="preserve"> MDMS platforms joining the market each year. The number of </w:t>
      </w:r>
      <w:r w:rsidR="00C740B0">
        <w:rPr>
          <w:rFonts w:ascii="Times New Roman" w:eastAsia="Calibri" w:hAnsi="Times New Roman"/>
          <w:noProof/>
          <w:spacing w:val="-8"/>
          <w:sz w:val="24"/>
          <w:szCs w:val="24"/>
        </w:rPr>
        <w:t>non-SME</w:t>
      </w:r>
      <w:r w:rsidRPr="006D76B3">
        <w:rPr>
          <w:rFonts w:ascii="Times New Roman" w:eastAsia="Calibri" w:hAnsi="Times New Roman"/>
          <w:noProof/>
          <w:spacing w:val="-8"/>
          <w:sz w:val="24"/>
          <w:szCs w:val="24"/>
        </w:rPr>
        <w:t xml:space="preserve"> MDMS platforms per policy option and the associated one-off adjustment costs are shown in the table below for 2028, 2030, 2040 and 2050.</w:t>
      </w:r>
    </w:p>
    <w:p w14:paraId="6E37B1F3" w14:textId="628853E1" w:rsidR="00F40593" w:rsidRDefault="00F40593" w:rsidP="00F40593">
      <w:pPr>
        <w:pStyle w:val="Text4"/>
        <w:widowControl w:val="0"/>
        <w:spacing w:before="0" w:after="240"/>
        <w:ind w:left="0"/>
        <w:rPr>
          <w:rFonts w:ascii="Times New Roman" w:eastAsia="Calibri" w:hAnsi="Times New Roman"/>
          <w:noProof/>
          <w:spacing w:val="-8"/>
          <w:sz w:val="24"/>
          <w:szCs w:val="24"/>
        </w:rPr>
      </w:pPr>
      <w:r w:rsidRPr="006D76B3">
        <w:rPr>
          <w:rFonts w:ascii="Times New Roman" w:eastAsia="Calibri" w:hAnsi="Times New Roman"/>
          <w:noProof/>
          <w:spacing w:val="-8"/>
          <w:sz w:val="24"/>
          <w:szCs w:val="24"/>
        </w:rPr>
        <w:t xml:space="preserve">Recurrent adjustment costs for the maintenance of the system are estimated at 10% of the one-off costs (i.e. EUR 1,734 per MDMS platform). They are applied to the number of </w:t>
      </w:r>
      <w:r w:rsidR="00C740B0">
        <w:rPr>
          <w:rFonts w:ascii="Times New Roman" w:eastAsia="Calibri" w:hAnsi="Times New Roman"/>
          <w:noProof/>
          <w:spacing w:val="-8"/>
          <w:sz w:val="24"/>
          <w:szCs w:val="24"/>
        </w:rPr>
        <w:t>non-SME</w:t>
      </w:r>
      <w:r w:rsidRPr="006D76B3">
        <w:rPr>
          <w:rFonts w:ascii="Times New Roman" w:eastAsia="Calibri" w:hAnsi="Times New Roman"/>
          <w:noProof/>
          <w:spacing w:val="-8"/>
          <w:sz w:val="24"/>
          <w:szCs w:val="24"/>
        </w:rPr>
        <w:t xml:space="preserve"> MDMS platforms on the market from 2029 onwards (excluding CRS platforms which already implement these requirements in the baseline).</w:t>
      </w:r>
      <w:r>
        <w:rPr>
          <w:rFonts w:ascii="Times New Roman" w:eastAsia="Calibri" w:hAnsi="Times New Roman"/>
          <w:noProof/>
          <w:spacing w:val="-8"/>
          <w:sz w:val="24"/>
          <w:szCs w:val="24"/>
        </w:rPr>
        <w:t xml:space="preserve"> The total recurrent adjustment costs due to PM2 </w:t>
      </w:r>
      <w:r w:rsidRPr="006D76B3">
        <w:rPr>
          <w:rFonts w:ascii="Times New Roman" w:eastAsia="Calibri" w:hAnsi="Times New Roman"/>
          <w:noProof/>
          <w:spacing w:val="-8"/>
          <w:sz w:val="24"/>
          <w:szCs w:val="24"/>
        </w:rPr>
        <w:t>for 2028, 2030, 2040 and 2050</w:t>
      </w:r>
      <w:r>
        <w:rPr>
          <w:rFonts w:ascii="Times New Roman" w:eastAsia="Calibri" w:hAnsi="Times New Roman"/>
          <w:noProof/>
          <w:spacing w:val="-8"/>
          <w:sz w:val="24"/>
          <w:szCs w:val="24"/>
        </w:rPr>
        <w:t xml:space="preserve"> are shown in the table below. </w:t>
      </w:r>
    </w:p>
    <w:p w14:paraId="59742054" w14:textId="5BD1D5CC" w:rsidR="006B5F1F" w:rsidRPr="00383DBF" w:rsidRDefault="006B5F1F" w:rsidP="006B5F1F">
      <w:pPr>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73</w:t>
      </w:r>
      <w:r w:rsidRPr="00383DBF">
        <w:rPr>
          <w:i/>
          <w:noProof/>
          <w:sz w:val="22"/>
          <w:szCs w:val="22"/>
        </w:rPr>
        <w:fldChar w:fldCharType="end"/>
      </w:r>
      <w:r w:rsidRPr="00383DBF">
        <w:rPr>
          <w:i/>
          <w:noProof/>
          <w:sz w:val="22"/>
          <w:szCs w:val="22"/>
        </w:rPr>
        <w:t xml:space="preserve">: One-off and recurrent adjustment costs for </w:t>
      </w:r>
      <w:r w:rsidR="00C740B0">
        <w:rPr>
          <w:i/>
          <w:noProof/>
          <w:sz w:val="22"/>
          <w:szCs w:val="22"/>
        </w:rPr>
        <w:t>non-SME</w:t>
      </w:r>
      <w:r w:rsidRPr="00383DBF">
        <w:rPr>
          <w:i/>
          <w:noProof/>
          <w:sz w:val="22"/>
          <w:szCs w:val="22"/>
        </w:rPr>
        <w:t xml:space="preserve"> MDMS platforms (B2B and B2C, excluding CRS platforms) due to PM2 in the policy options in 2028, 2030, 2040 and 2050 relative to the baseline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2"/>
        <w:gridCol w:w="871"/>
        <w:gridCol w:w="870"/>
        <w:gridCol w:w="870"/>
        <w:gridCol w:w="870"/>
      </w:tblGrid>
      <w:tr w:rsidR="00DC7797" w:rsidRPr="00D810D8" w14:paraId="2CCFC0EB" w14:textId="77777777" w:rsidTr="00133126">
        <w:trPr>
          <w:trHeight w:val="260"/>
          <w:tblHeader/>
        </w:trPr>
        <w:tc>
          <w:tcPr>
            <w:tcW w:w="6122" w:type="dxa"/>
            <w:shd w:val="clear" w:color="auto" w:fill="0070C0"/>
            <w:noWrap/>
            <w:hideMark/>
          </w:tcPr>
          <w:p w14:paraId="28175E85" w14:textId="77777777" w:rsidR="009E5FBB" w:rsidRPr="00D810D8" w:rsidRDefault="009E5FBB">
            <w:pPr>
              <w:pStyle w:val="Text4"/>
              <w:spacing w:before="0" w:after="0"/>
              <w:ind w:left="0"/>
              <w:rPr>
                <w:rFonts w:ascii="Times New Roman" w:eastAsia="Calibri" w:hAnsi="Times New Roman"/>
                <w:bCs/>
                <w:noProof/>
              </w:rPr>
            </w:pPr>
            <w:r w:rsidRPr="00D810D8">
              <w:rPr>
                <w:rFonts w:ascii="Times New Roman" w:eastAsia="Calibri" w:hAnsi="Times New Roman"/>
                <w:bCs/>
                <w:noProof/>
              </w:rPr>
              <w:t> </w:t>
            </w:r>
          </w:p>
        </w:tc>
        <w:tc>
          <w:tcPr>
            <w:tcW w:w="871" w:type="dxa"/>
            <w:shd w:val="clear" w:color="auto" w:fill="0070C0"/>
            <w:noWrap/>
            <w:hideMark/>
          </w:tcPr>
          <w:p w14:paraId="2391EBD6" w14:textId="77777777" w:rsidR="009E5FBB" w:rsidRPr="005620BC" w:rsidRDefault="009E5FBB">
            <w:pPr>
              <w:pStyle w:val="Text4"/>
              <w:spacing w:before="0" w:after="0"/>
              <w:ind w:left="0"/>
              <w:jc w:val="center"/>
              <w:rPr>
                <w:rFonts w:ascii="Times New Roman" w:eastAsia="Calibri" w:hAnsi="Times New Roman"/>
                <w:b/>
                <w:noProof/>
                <w:color w:val="FFFFFF" w:themeColor="background1"/>
              </w:rPr>
            </w:pPr>
            <w:r w:rsidRPr="005620BC">
              <w:rPr>
                <w:rFonts w:ascii="Times New Roman" w:eastAsia="Calibri" w:hAnsi="Times New Roman"/>
                <w:b/>
                <w:noProof/>
                <w:color w:val="FFFFFF" w:themeColor="background1"/>
              </w:rPr>
              <w:t>2028</w:t>
            </w:r>
          </w:p>
        </w:tc>
        <w:tc>
          <w:tcPr>
            <w:tcW w:w="870" w:type="dxa"/>
            <w:shd w:val="clear" w:color="auto" w:fill="0070C0"/>
            <w:noWrap/>
            <w:hideMark/>
          </w:tcPr>
          <w:p w14:paraId="30112A37" w14:textId="77777777" w:rsidR="009E5FBB" w:rsidRPr="005620BC" w:rsidRDefault="009E5FBB">
            <w:pPr>
              <w:pStyle w:val="Text4"/>
              <w:spacing w:before="0" w:after="0"/>
              <w:ind w:left="0"/>
              <w:jc w:val="center"/>
              <w:rPr>
                <w:rFonts w:ascii="Times New Roman" w:eastAsia="Calibri" w:hAnsi="Times New Roman"/>
                <w:b/>
                <w:noProof/>
                <w:color w:val="FFFFFF" w:themeColor="background1"/>
              </w:rPr>
            </w:pPr>
            <w:r w:rsidRPr="005620BC">
              <w:rPr>
                <w:rFonts w:ascii="Times New Roman" w:eastAsia="Calibri" w:hAnsi="Times New Roman"/>
                <w:b/>
                <w:noProof/>
                <w:color w:val="FFFFFF" w:themeColor="background1"/>
              </w:rPr>
              <w:t>2030</w:t>
            </w:r>
          </w:p>
        </w:tc>
        <w:tc>
          <w:tcPr>
            <w:tcW w:w="870" w:type="dxa"/>
            <w:shd w:val="clear" w:color="auto" w:fill="0070C0"/>
            <w:noWrap/>
            <w:hideMark/>
          </w:tcPr>
          <w:p w14:paraId="1D8D3FAC" w14:textId="77777777" w:rsidR="009E5FBB" w:rsidRPr="005620BC" w:rsidRDefault="009E5FBB">
            <w:pPr>
              <w:pStyle w:val="Text4"/>
              <w:spacing w:before="0" w:after="0"/>
              <w:ind w:left="0"/>
              <w:jc w:val="center"/>
              <w:rPr>
                <w:rFonts w:ascii="Times New Roman" w:eastAsia="Calibri" w:hAnsi="Times New Roman"/>
                <w:b/>
                <w:noProof/>
                <w:color w:val="FFFFFF" w:themeColor="background1"/>
              </w:rPr>
            </w:pPr>
            <w:r w:rsidRPr="005620BC">
              <w:rPr>
                <w:rFonts w:ascii="Times New Roman" w:eastAsia="Calibri" w:hAnsi="Times New Roman"/>
                <w:b/>
                <w:noProof/>
                <w:color w:val="FFFFFF" w:themeColor="background1"/>
              </w:rPr>
              <w:t>2040</w:t>
            </w:r>
          </w:p>
        </w:tc>
        <w:tc>
          <w:tcPr>
            <w:tcW w:w="870" w:type="dxa"/>
            <w:shd w:val="clear" w:color="auto" w:fill="0070C0"/>
            <w:noWrap/>
            <w:hideMark/>
          </w:tcPr>
          <w:p w14:paraId="4ED06C18" w14:textId="77777777" w:rsidR="009E5FBB" w:rsidRPr="005620BC" w:rsidRDefault="009E5FBB">
            <w:pPr>
              <w:pStyle w:val="Text4"/>
              <w:spacing w:before="0" w:after="0"/>
              <w:ind w:left="0"/>
              <w:jc w:val="center"/>
              <w:rPr>
                <w:rFonts w:ascii="Times New Roman" w:eastAsia="Calibri" w:hAnsi="Times New Roman"/>
                <w:b/>
                <w:noProof/>
                <w:color w:val="FFFFFF" w:themeColor="background1"/>
              </w:rPr>
            </w:pPr>
            <w:r w:rsidRPr="005620BC">
              <w:rPr>
                <w:rFonts w:ascii="Times New Roman" w:eastAsia="Calibri" w:hAnsi="Times New Roman"/>
                <w:b/>
                <w:noProof/>
                <w:color w:val="FFFFFF" w:themeColor="background1"/>
              </w:rPr>
              <w:t>2050</w:t>
            </w:r>
          </w:p>
        </w:tc>
      </w:tr>
      <w:tr w:rsidR="001F6CA7" w:rsidRPr="00D810D8" w14:paraId="39162A0E" w14:textId="77777777" w:rsidTr="00133126">
        <w:trPr>
          <w:trHeight w:val="200"/>
        </w:trPr>
        <w:tc>
          <w:tcPr>
            <w:tcW w:w="6122" w:type="dxa"/>
            <w:noWrap/>
            <w:hideMark/>
          </w:tcPr>
          <w:p w14:paraId="3928B5F0" w14:textId="5EC1AB8E" w:rsidR="001F6CA7" w:rsidRPr="00D810D8" w:rsidRDefault="001F6CA7" w:rsidP="001F6CA7">
            <w:pPr>
              <w:pStyle w:val="Text4"/>
              <w:spacing w:before="0" w:after="0"/>
              <w:ind w:left="0"/>
              <w:rPr>
                <w:rFonts w:ascii="Times New Roman" w:eastAsia="Calibri" w:hAnsi="Times New Roman"/>
                <w:noProof/>
              </w:rPr>
            </w:pPr>
            <w:r w:rsidRPr="00D810D8">
              <w:rPr>
                <w:rFonts w:ascii="Times New Roman" w:eastAsia="Calibri" w:hAnsi="Times New Roman"/>
                <w:noProof/>
              </w:rPr>
              <w:t>One-off cost per MDMS platform</w:t>
            </w:r>
            <w:r>
              <w:rPr>
                <w:rFonts w:ascii="Times New Roman" w:eastAsia="Calibri" w:hAnsi="Times New Roman"/>
                <w:noProof/>
              </w:rPr>
              <w:t xml:space="preserve"> (</w:t>
            </w:r>
            <w:r w:rsidRPr="000D54CD">
              <w:rPr>
                <w:rFonts w:ascii="Times New Roman" w:eastAsia="Calibri" w:hAnsi="Times New Roman"/>
                <w:noProof/>
              </w:rPr>
              <w:t>excluding CRS)</w:t>
            </w:r>
            <w:r w:rsidRPr="00D810D8">
              <w:rPr>
                <w:rFonts w:ascii="Times New Roman" w:eastAsia="Calibri" w:hAnsi="Times New Roman"/>
                <w:noProof/>
              </w:rPr>
              <w:t xml:space="preserve"> to </w:t>
            </w:r>
            <w:r>
              <w:rPr>
                <w:rFonts w:ascii="Times New Roman" w:eastAsia="Calibri" w:hAnsi="Times New Roman"/>
                <w:noProof/>
              </w:rPr>
              <w:t>re</w:t>
            </w:r>
            <w:r w:rsidRPr="00D810D8">
              <w:rPr>
                <w:rFonts w:ascii="Times New Roman" w:eastAsia="Calibri" w:hAnsi="Times New Roman"/>
                <w:noProof/>
              </w:rPr>
              <w:t xml:space="preserve">programme for </w:t>
            </w:r>
            <w:r>
              <w:rPr>
                <w:rFonts w:ascii="Times New Roman" w:eastAsia="Calibri" w:hAnsi="Times New Roman"/>
                <w:noProof/>
              </w:rPr>
              <w:t>new requirements</w:t>
            </w:r>
            <w:r w:rsidRPr="00D810D8">
              <w:rPr>
                <w:rFonts w:ascii="Times New Roman" w:eastAsia="Calibri" w:hAnsi="Times New Roman"/>
                <w:noProof/>
              </w:rPr>
              <w:t xml:space="preserve"> (EUR) </w:t>
            </w:r>
          </w:p>
        </w:tc>
        <w:tc>
          <w:tcPr>
            <w:tcW w:w="871" w:type="dxa"/>
            <w:noWrap/>
            <w:hideMark/>
          </w:tcPr>
          <w:p w14:paraId="69D8855D" w14:textId="4458EEF5"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17,343</w:t>
            </w:r>
          </w:p>
        </w:tc>
        <w:tc>
          <w:tcPr>
            <w:tcW w:w="870" w:type="dxa"/>
            <w:noWrap/>
            <w:hideMark/>
          </w:tcPr>
          <w:p w14:paraId="32811E12" w14:textId="22D3FF94"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17,343</w:t>
            </w:r>
          </w:p>
        </w:tc>
        <w:tc>
          <w:tcPr>
            <w:tcW w:w="870" w:type="dxa"/>
            <w:noWrap/>
            <w:hideMark/>
          </w:tcPr>
          <w:p w14:paraId="1E6B77DA" w14:textId="3A008AB0"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17,343</w:t>
            </w:r>
          </w:p>
        </w:tc>
        <w:tc>
          <w:tcPr>
            <w:tcW w:w="870" w:type="dxa"/>
            <w:noWrap/>
            <w:hideMark/>
          </w:tcPr>
          <w:p w14:paraId="1BE19B79" w14:textId="41D54513"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17,343</w:t>
            </w:r>
          </w:p>
        </w:tc>
      </w:tr>
      <w:tr w:rsidR="001F6CA7" w:rsidRPr="00D810D8" w14:paraId="2D5BD26A" w14:textId="77777777" w:rsidTr="00133126">
        <w:trPr>
          <w:trHeight w:val="200"/>
        </w:trPr>
        <w:tc>
          <w:tcPr>
            <w:tcW w:w="6122" w:type="dxa"/>
            <w:noWrap/>
            <w:hideMark/>
          </w:tcPr>
          <w:p w14:paraId="22581E4C" w14:textId="77777777" w:rsidR="001F6CA7" w:rsidRPr="00D810D8" w:rsidRDefault="001F6CA7" w:rsidP="001F6CA7">
            <w:pPr>
              <w:pStyle w:val="Text4"/>
              <w:spacing w:before="0" w:after="0"/>
              <w:ind w:left="0"/>
              <w:rPr>
                <w:rFonts w:ascii="Times New Roman" w:eastAsia="Calibri" w:hAnsi="Times New Roman"/>
                <w:noProof/>
              </w:rPr>
            </w:pPr>
            <w:r w:rsidRPr="00D810D8">
              <w:rPr>
                <w:rFonts w:ascii="Times New Roman" w:eastAsia="Calibri" w:hAnsi="Times New Roman"/>
                <w:noProof/>
              </w:rPr>
              <w:t xml:space="preserve">Recurrent costs per MDMS platform (EUR) </w:t>
            </w:r>
          </w:p>
        </w:tc>
        <w:tc>
          <w:tcPr>
            <w:tcW w:w="871" w:type="dxa"/>
            <w:noWrap/>
            <w:hideMark/>
          </w:tcPr>
          <w:p w14:paraId="298F20D4" w14:textId="2DC7BA27"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color w:val="000000"/>
              </w:rPr>
              <w:t>0</w:t>
            </w:r>
          </w:p>
        </w:tc>
        <w:tc>
          <w:tcPr>
            <w:tcW w:w="870" w:type="dxa"/>
            <w:noWrap/>
            <w:hideMark/>
          </w:tcPr>
          <w:p w14:paraId="72EB28F9" w14:textId="623D323F"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1,734</w:t>
            </w:r>
          </w:p>
        </w:tc>
        <w:tc>
          <w:tcPr>
            <w:tcW w:w="870" w:type="dxa"/>
            <w:noWrap/>
            <w:hideMark/>
          </w:tcPr>
          <w:p w14:paraId="428FCEFE" w14:textId="60BD910C"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1,734</w:t>
            </w:r>
          </w:p>
        </w:tc>
        <w:tc>
          <w:tcPr>
            <w:tcW w:w="870" w:type="dxa"/>
            <w:noWrap/>
            <w:hideMark/>
          </w:tcPr>
          <w:p w14:paraId="2204CDE7" w14:textId="6372645B"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1,734</w:t>
            </w:r>
          </w:p>
        </w:tc>
      </w:tr>
      <w:tr w:rsidR="001F6CA7" w:rsidRPr="00D810D8" w14:paraId="42612CA3" w14:textId="77777777" w:rsidTr="00133126">
        <w:trPr>
          <w:trHeight w:val="210"/>
        </w:trPr>
        <w:tc>
          <w:tcPr>
            <w:tcW w:w="6122" w:type="dxa"/>
            <w:noWrap/>
            <w:hideMark/>
          </w:tcPr>
          <w:p w14:paraId="36A3E887" w14:textId="77777777" w:rsidR="001F6CA7" w:rsidRPr="00D810D8" w:rsidRDefault="001F6CA7" w:rsidP="001F6CA7">
            <w:pPr>
              <w:pStyle w:val="Text4"/>
              <w:spacing w:before="0" w:after="0"/>
              <w:ind w:left="0"/>
              <w:rPr>
                <w:rFonts w:ascii="Times New Roman" w:eastAsia="Calibri" w:hAnsi="Times New Roman"/>
                <w:b/>
                <w:bCs/>
                <w:noProof/>
              </w:rPr>
            </w:pPr>
            <w:r w:rsidRPr="00D810D8">
              <w:rPr>
                <w:rFonts w:ascii="Times New Roman" w:eastAsia="Calibri" w:hAnsi="Times New Roman"/>
                <w:b/>
                <w:bCs/>
                <w:noProof/>
              </w:rPr>
              <w:t xml:space="preserve">PO1 </w:t>
            </w:r>
          </w:p>
        </w:tc>
        <w:tc>
          <w:tcPr>
            <w:tcW w:w="871" w:type="dxa"/>
            <w:noWrap/>
            <w:hideMark/>
          </w:tcPr>
          <w:p w14:paraId="491C497A" w14:textId="3680DF96"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 </w:t>
            </w:r>
          </w:p>
        </w:tc>
        <w:tc>
          <w:tcPr>
            <w:tcW w:w="870" w:type="dxa"/>
            <w:noWrap/>
            <w:hideMark/>
          </w:tcPr>
          <w:p w14:paraId="5D3B9D44" w14:textId="090E3FE2"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 </w:t>
            </w:r>
          </w:p>
        </w:tc>
        <w:tc>
          <w:tcPr>
            <w:tcW w:w="870" w:type="dxa"/>
            <w:noWrap/>
            <w:hideMark/>
          </w:tcPr>
          <w:p w14:paraId="530D32A3" w14:textId="02B57209"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 </w:t>
            </w:r>
          </w:p>
        </w:tc>
        <w:tc>
          <w:tcPr>
            <w:tcW w:w="870" w:type="dxa"/>
            <w:noWrap/>
            <w:hideMark/>
          </w:tcPr>
          <w:p w14:paraId="3C5C7780" w14:textId="05E467D7"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 </w:t>
            </w:r>
          </w:p>
        </w:tc>
      </w:tr>
      <w:tr w:rsidR="001F6CA7" w:rsidRPr="00D810D8" w14:paraId="50ACDCF1" w14:textId="77777777" w:rsidTr="00133126">
        <w:trPr>
          <w:trHeight w:val="200"/>
        </w:trPr>
        <w:tc>
          <w:tcPr>
            <w:tcW w:w="6122" w:type="dxa"/>
            <w:noWrap/>
            <w:hideMark/>
          </w:tcPr>
          <w:p w14:paraId="24FA3977" w14:textId="743325D7" w:rsidR="001F6CA7" w:rsidRPr="00D810D8" w:rsidRDefault="001F6CA7" w:rsidP="001F6CA7">
            <w:pPr>
              <w:pStyle w:val="Text4"/>
              <w:spacing w:before="0" w:after="0"/>
              <w:ind w:left="0"/>
              <w:rPr>
                <w:rFonts w:ascii="Times New Roman" w:eastAsia="Calibri" w:hAnsi="Times New Roman"/>
                <w:noProof/>
              </w:rPr>
            </w:pPr>
            <w:r w:rsidRPr="000D54CD">
              <w:rPr>
                <w:rFonts w:ascii="Times New Roman" w:eastAsia="Calibri" w:hAnsi="Times New Roman"/>
                <w:noProof/>
              </w:rPr>
              <w:t xml:space="preserve">Number of </w:t>
            </w:r>
            <w:r>
              <w:rPr>
                <w:rFonts w:ascii="Times New Roman" w:eastAsia="Calibri" w:hAnsi="Times New Roman"/>
                <w:noProof/>
              </w:rPr>
              <w:t>non-SME</w:t>
            </w:r>
            <w:r w:rsidRPr="000D54CD">
              <w:rPr>
                <w:rFonts w:ascii="Times New Roman" w:eastAsia="Calibri" w:hAnsi="Times New Roman"/>
                <w:noProof/>
              </w:rPr>
              <w:t xml:space="preserve"> MDMS platforms (excluding CRSs) that incur one-off costs due to PM</w:t>
            </w:r>
            <w:r>
              <w:rPr>
                <w:rFonts w:ascii="Times New Roman" w:eastAsia="Calibri" w:hAnsi="Times New Roman"/>
                <w:noProof/>
              </w:rPr>
              <w:t>2</w:t>
            </w:r>
          </w:p>
        </w:tc>
        <w:tc>
          <w:tcPr>
            <w:tcW w:w="871" w:type="dxa"/>
            <w:noWrap/>
            <w:hideMark/>
          </w:tcPr>
          <w:p w14:paraId="2E7B5250" w14:textId="267048CC"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172</w:t>
            </w:r>
          </w:p>
        </w:tc>
        <w:tc>
          <w:tcPr>
            <w:tcW w:w="870" w:type="dxa"/>
            <w:noWrap/>
            <w:hideMark/>
          </w:tcPr>
          <w:p w14:paraId="4C1196DC" w14:textId="3CA59297"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4</w:t>
            </w:r>
          </w:p>
        </w:tc>
        <w:tc>
          <w:tcPr>
            <w:tcW w:w="870" w:type="dxa"/>
            <w:noWrap/>
            <w:hideMark/>
          </w:tcPr>
          <w:p w14:paraId="59D560EB" w14:textId="36F5894E"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2</w:t>
            </w:r>
          </w:p>
        </w:tc>
        <w:tc>
          <w:tcPr>
            <w:tcW w:w="870" w:type="dxa"/>
            <w:noWrap/>
            <w:hideMark/>
          </w:tcPr>
          <w:p w14:paraId="69F3FFE5" w14:textId="04A13A6C"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w:t>
            </w:r>
          </w:p>
        </w:tc>
      </w:tr>
      <w:tr w:rsidR="001F6CA7" w:rsidRPr="00D810D8" w14:paraId="0B6305C4" w14:textId="77777777" w:rsidTr="00133126">
        <w:trPr>
          <w:trHeight w:val="200"/>
        </w:trPr>
        <w:tc>
          <w:tcPr>
            <w:tcW w:w="6122" w:type="dxa"/>
            <w:noWrap/>
            <w:hideMark/>
          </w:tcPr>
          <w:p w14:paraId="12A4E0D8" w14:textId="693FA050" w:rsidR="001F6CA7" w:rsidRPr="00D810D8" w:rsidRDefault="001F6CA7" w:rsidP="001F6CA7">
            <w:pPr>
              <w:pStyle w:val="Text4"/>
              <w:spacing w:before="0" w:after="0"/>
              <w:ind w:left="0"/>
              <w:rPr>
                <w:rFonts w:ascii="Times New Roman" w:eastAsia="Calibri" w:hAnsi="Times New Roman"/>
                <w:noProof/>
              </w:rPr>
            </w:pPr>
            <w:r w:rsidRPr="000D54CD">
              <w:rPr>
                <w:rFonts w:ascii="Times New Roman" w:eastAsia="Calibri" w:hAnsi="Times New Roman"/>
                <w:noProof/>
              </w:rPr>
              <w:t xml:space="preserve">Number of </w:t>
            </w:r>
            <w:r>
              <w:rPr>
                <w:rFonts w:ascii="Times New Roman" w:eastAsia="Calibri" w:hAnsi="Times New Roman"/>
                <w:noProof/>
              </w:rPr>
              <w:t>non-SME</w:t>
            </w:r>
            <w:r w:rsidRPr="000D54CD">
              <w:rPr>
                <w:rFonts w:ascii="Times New Roman" w:eastAsia="Calibri" w:hAnsi="Times New Roman"/>
                <w:noProof/>
              </w:rPr>
              <w:t xml:space="preserve"> MDMS platforms (excluding CRSs) that incur recurrent costs due to PM</w:t>
            </w:r>
            <w:r>
              <w:rPr>
                <w:rFonts w:ascii="Times New Roman" w:eastAsia="Calibri" w:hAnsi="Times New Roman"/>
                <w:noProof/>
              </w:rPr>
              <w:t>2</w:t>
            </w:r>
          </w:p>
        </w:tc>
        <w:tc>
          <w:tcPr>
            <w:tcW w:w="871" w:type="dxa"/>
            <w:noWrap/>
            <w:hideMark/>
          </w:tcPr>
          <w:p w14:paraId="5A528965" w14:textId="384B06D8"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w:t>
            </w:r>
          </w:p>
        </w:tc>
        <w:tc>
          <w:tcPr>
            <w:tcW w:w="870" w:type="dxa"/>
            <w:noWrap/>
            <w:hideMark/>
          </w:tcPr>
          <w:p w14:paraId="2B6DDA1C" w14:textId="31525C7E"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179</w:t>
            </w:r>
          </w:p>
        </w:tc>
        <w:tc>
          <w:tcPr>
            <w:tcW w:w="870" w:type="dxa"/>
            <w:noWrap/>
            <w:hideMark/>
          </w:tcPr>
          <w:p w14:paraId="305525A9" w14:textId="3FB32750"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210</w:t>
            </w:r>
          </w:p>
        </w:tc>
        <w:tc>
          <w:tcPr>
            <w:tcW w:w="870" w:type="dxa"/>
            <w:noWrap/>
            <w:hideMark/>
          </w:tcPr>
          <w:p w14:paraId="4D9294CB" w14:textId="56F80439"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212</w:t>
            </w:r>
          </w:p>
        </w:tc>
      </w:tr>
      <w:tr w:rsidR="001F6CA7" w:rsidRPr="00D810D8" w14:paraId="46666C92" w14:textId="77777777" w:rsidTr="00133126">
        <w:trPr>
          <w:trHeight w:val="200"/>
        </w:trPr>
        <w:tc>
          <w:tcPr>
            <w:tcW w:w="6122" w:type="dxa"/>
            <w:noWrap/>
            <w:hideMark/>
          </w:tcPr>
          <w:p w14:paraId="70E0F7C2" w14:textId="77777777" w:rsidR="001F6CA7" w:rsidRPr="00D810D8" w:rsidRDefault="001F6CA7" w:rsidP="001F6CA7">
            <w:pPr>
              <w:pStyle w:val="Text4"/>
              <w:spacing w:before="0" w:after="0"/>
              <w:ind w:left="0"/>
              <w:rPr>
                <w:rFonts w:ascii="Times New Roman" w:eastAsia="Calibri" w:hAnsi="Times New Roman"/>
                <w:noProof/>
              </w:rPr>
            </w:pPr>
            <w:r w:rsidRPr="00D810D8">
              <w:rPr>
                <w:rFonts w:ascii="Times New Roman" w:eastAsia="Calibri" w:hAnsi="Times New Roman"/>
                <w:noProof/>
              </w:rPr>
              <w:t xml:space="preserve">Total one-off adjustment costs (million EUR) </w:t>
            </w:r>
          </w:p>
        </w:tc>
        <w:tc>
          <w:tcPr>
            <w:tcW w:w="871" w:type="dxa"/>
            <w:noWrap/>
            <w:hideMark/>
          </w:tcPr>
          <w:p w14:paraId="018DB93A" w14:textId="03C6E896"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3.0</w:t>
            </w:r>
          </w:p>
        </w:tc>
        <w:tc>
          <w:tcPr>
            <w:tcW w:w="870" w:type="dxa"/>
            <w:noWrap/>
            <w:hideMark/>
          </w:tcPr>
          <w:p w14:paraId="3507A157" w14:textId="00D568DC"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0.1</w:t>
            </w:r>
          </w:p>
        </w:tc>
        <w:tc>
          <w:tcPr>
            <w:tcW w:w="870" w:type="dxa"/>
            <w:noWrap/>
            <w:hideMark/>
          </w:tcPr>
          <w:p w14:paraId="00C55416" w14:textId="16247367"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0.0</w:t>
            </w:r>
          </w:p>
        </w:tc>
        <w:tc>
          <w:tcPr>
            <w:tcW w:w="870" w:type="dxa"/>
            <w:noWrap/>
            <w:hideMark/>
          </w:tcPr>
          <w:p w14:paraId="2D3787ED" w14:textId="0F6BE1BB"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0.0</w:t>
            </w:r>
          </w:p>
        </w:tc>
      </w:tr>
      <w:tr w:rsidR="001F6CA7" w:rsidRPr="00D810D8" w14:paraId="4088AD2F" w14:textId="77777777" w:rsidTr="00133126">
        <w:trPr>
          <w:trHeight w:val="200"/>
        </w:trPr>
        <w:tc>
          <w:tcPr>
            <w:tcW w:w="6122" w:type="dxa"/>
            <w:noWrap/>
            <w:hideMark/>
          </w:tcPr>
          <w:p w14:paraId="62600616" w14:textId="77777777" w:rsidR="001F6CA7" w:rsidRPr="00D810D8" w:rsidRDefault="001F6CA7" w:rsidP="001F6CA7">
            <w:pPr>
              <w:pStyle w:val="Text4"/>
              <w:spacing w:before="0" w:after="0"/>
              <w:ind w:left="0"/>
              <w:rPr>
                <w:rFonts w:ascii="Times New Roman" w:eastAsia="Calibri" w:hAnsi="Times New Roman"/>
                <w:noProof/>
              </w:rPr>
            </w:pPr>
            <w:r w:rsidRPr="00D810D8">
              <w:rPr>
                <w:rFonts w:ascii="Times New Roman" w:eastAsia="Calibri" w:hAnsi="Times New Roman"/>
                <w:noProof/>
              </w:rPr>
              <w:t xml:space="preserve">Total recurrent adjustment costs (million EUR) </w:t>
            </w:r>
          </w:p>
        </w:tc>
        <w:tc>
          <w:tcPr>
            <w:tcW w:w="871" w:type="dxa"/>
            <w:noWrap/>
            <w:hideMark/>
          </w:tcPr>
          <w:p w14:paraId="18D66D29" w14:textId="38BF8176"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0.0</w:t>
            </w:r>
          </w:p>
        </w:tc>
        <w:tc>
          <w:tcPr>
            <w:tcW w:w="870" w:type="dxa"/>
            <w:noWrap/>
            <w:hideMark/>
          </w:tcPr>
          <w:p w14:paraId="75267856" w14:textId="25D668BE"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0.3</w:t>
            </w:r>
          </w:p>
        </w:tc>
        <w:tc>
          <w:tcPr>
            <w:tcW w:w="870" w:type="dxa"/>
            <w:noWrap/>
            <w:hideMark/>
          </w:tcPr>
          <w:p w14:paraId="5FE36F28" w14:textId="2D7D0D27"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0.4</w:t>
            </w:r>
          </w:p>
        </w:tc>
        <w:tc>
          <w:tcPr>
            <w:tcW w:w="870" w:type="dxa"/>
            <w:noWrap/>
            <w:hideMark/>
          </w:tcPr>
          <w:p w14:paraId="332C2B5F" w14:textId="316E59A0"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0.4</w:t>
            </w:r>
          </w:p>
        </w:tc>
      </w:tr>
      <w:tr w:rsidR="001F6CA7" w:rsidRPr="00D810D8" w14:paraId="14720D34" w14:textId="77777777" w:rsidTr="00133126">
        <w:trPr>
          <w:trHeight w:val="210"/>
        </w:trPr>
        <w:tc>
          <w:tcPr>
            <w:tcW w:w="6122" w:type="dxa"/>
            <w:noWrap/>
            <w:hideMark/>
          </w:tcPr>
          <w:p w14:paraId="5668BD76" w14:textId="77777777" w:rsidR="001F6CA7" w:rsidRPr="00D810D8" w:rsidRDefault="001F6CA7" w:rsidP="001F6CA7">
            <w:pPr>
              <w:pStyle w:val="Text4"/>
              <w:spacing w:before="0" w:after="0"/>
              <w:ind w:left="0"/>
              <w:rPr>
                <w:rFonts w:ascii="Times New Roman" w:eastAsia="Calibri" w:hAnsi="Times New Roman"/>
                <w:b/>
                <w:bCs/>
                <w:noProof/>
              </w:rPr>
            </w:pPr>
            <w:r w:rsidRPr="00D810D8">
              <w:rPr>
                <w:rFonts w:ascii="Times New Roman" w:eastAsia="Calibri" w:hAnsi="Times New Roman"/>
                <w:b/>
                <w:bCs/>
                <w:noProof/>
              </w:rPr>
              <w:t xml:space="preserve">PO2 </w:t>
            </w:r>
          </w:p>
        </w:tc>
        <w:tc>
          <w:tcPr>
            <w:tcW w:w="871" w:type="dxa"/>
            <w:noWrap/>
            <w:hideMark/>
          </w:tcPr>
          <w:p w14:paraId="0B394C76" w14:textId="71711B66"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 </w:t>
            </w:r>
          </w:p>
        </w:tc>
        <w:tc>
          <w:tcPr>
            <w:tcW w:w="870" w:type="dxa"/>
            <w:noWrap/>
            <w:hideMark/>
          </w:tcPr>
          <w:p w14:paraId="3036F042" w14:textId="1B3514D0"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 </w:t>
            </w:r>
          </w:p>
        </w:tc>
        <w:tc>
          <w:tcPr>
            <w:tcW w:w="870" w:type="dxa"/>
            <w:noWrap/>
            <w:hideMark/>
          </w:tcPr>
          <w:p w14:paraId="46ABDFF4" w14:textId="5E6C33AC"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 </w:t>
            </w:r>
          </w:p>
        </w:tc>
        <w:tc>
          <w:tcPr>
            <w:tcW w:w="870" w:type="dxa"/>
            <w:noWrap/>
            <w:hideMark/>
          </w:tcPr>
          <w:p w14:paraId="4ABB7486" w14:textId="78072B97"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 </w:t>
            </w:r>
          </w:p>
        </w:tc>
      </w:tr>
      <w:tr w:rsidR="001F6CA7" w:rsidRPr="00D810D8" w14:paraId="473C8682" w14:textId="77777777" w:rsidTr="00133126">
        <w:trPr>
          <w:trHeight w:val="200"/>
        </w:trPr>
        <w:tc>
          <w:tcPr>
            <w:tcW w:w="6122" w:type="dxa"/>
            <w:noWrap/>
            <w:hideMark/>
          </w:tcPr>
          <w:p w14:paraId="7671332B" w14:textId="4BB3AD1E" w:rsidR="001F6CA7" w:rsidRPr="00D810D8" w:rsidRDefault="001F6CA7" w:rsidP="001F6CA7">
            <w:pPr>
              <w:pStyle w:val="Text4"/>
              <w:spacing w:before="0" w:after="0"/>
              <w:ind w:left="0"/>
              <w:rPr>
                <w:rFonts w:ascii="Times New Roman" w:eastAsia="Calibri" w:hAnsi="Times New Roman"/>
                <w:noProof/>
              </w:rPr>
            </w:pPr>
            <w:r w:rsidRPr="000D54CD">
              <w:rPr>
                <w:rFonts w:ascii="Times New Roman" w:eastAsia="Calibri" w:hAnsi="Times New Roman"/>
                <w:noProof/>
              </w:rPr>
              <w:t xml:space="preserve">Number of </w:t>
            </w:r>
            <w:r>
              <w:rPr>
                <w:rFonts w:ascii="Times New Roman" w:eastAsia="Calibri" w:hAnsi="Times New Roman"/>
                <w:noProof/>
              </w:rPr>
              <w:t>non-SME</w:t>
            </w:r>
            <w:r w:rsidRPr="000D54CD">
              <w:rPr>
                <w:rFonts w:ascii="Times New Roman" w:eastAsia="Calibri" w:hAnsi="Times New Roman"/>
                <w:noProof/>
              </w:rPr>
              <w:t xml:space="preserve"> MDMS platforms (excluding CRSs) that incur one-off costs due to PM</w:t>
            </w:r>
            <w:r>
              <w:rPr>
                <w:rFonts w:ascii="Times New Roman" w:eastAsia="Calibri" w:hAnsi="Times New Roman"/>
                <w:noProof/>
              </w:rPr>
              <w:t>2</w:t>
            </w:r>
          </w:p>
        </w:tc>
        <w:tc>
          <w:tcPr>
            <w:tcW w:w="871" w:type="dxa"/>
            <w:noWrap/>
            <w:hideMark/>
          </w:tcPr>
          <w:p w14:paraId="6FC4EA0F" w14:textId="46204574"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172</w:t>
            </w:r>
          </w:p>
        </w:tc>
        <w:tc>
          <w:tcPr>
            <w:tcW w:w="870" w:type="dxa"/>
            <w:noWrap/>
            <w:hideMark/>
          </w:tcPr>
          <w:p w14:paraId="705441F3" w14:textId="5F1547E2"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8</w:t>
            </w:r>
          </w:p>
        </w:tc>
        <w:tc>
          <w:tcPr>
            <w:tcW w:w="870" w:type="dxa"/>
            <w:noWrap/>
            <w:hideMark/>
          </w:tcPr>
          <w:p w14:paraId="6B72F4E5" w14:textId="4E7393A6"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13</w:t>
            </w:r>
          </w:p>
        </w:tc>
        <w:tc>
          <w:tcPr>
            <w:tcW w:w="870" w:type="dxa"/>
            <w:noWrap/>
            <w:hideMark/>
          </w:tcPr>
          <w:p w14:paraId="3429EB81" w14:textId="42F42C62"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w:t>
            </w:r>
          </w:p>
        </w:tc>
      </w:tr>
      <w:tr w:rsidR="001F6CA7" w:rsidRPr="00D810D8" w14:paraId="3DE76033" w14:textId="77777777" w:rsidTr="00133126">
        <w:trPr>
          <w:trHeight w:val="200"/>
        </w:trPr>
        <w:tc>
          <w:tcPr>
            <w:tcW w:w="6122" w:type="dxa"/>
            <w:noWrap/>
            <w:hideMark/>
          </w:tcPr>
          <w:p w14:paraId="7801107A" w14:textId="22E9DC4B" w:rsidR="001F6CA7" w:rsidRPr="00D810D8" w:rsidRDefault="001F6CA7" w:rsidP="001F6CA7">
            <w:pPr>
              <w:pStyle w:val="Text4"/>
              <w:spacing w:before="0" w:after="0"/>
              <w:ind w:left="0"/>
              <w:rPr>
                <w:rFonts w:ascii="Times New Roman" w:eastAsia="Calibri" w:hAnsi="Times New Roman"/>
                <w:noProof/>
              </w:rPr>
            </w:pPr>
            <w:r w:rsidRPr="000D54CD">
              <w:rPr>
                <w:rFonts w:ascii="Times New Roman" w:eastAsia="Calibri" w:hAnsi="Times New Roman"/>
                <w:noProof/>
              </w:rPr>
              <w:t xml:space="preserve">Number of </w:t>
            </w:r>
            <w:r>
              <w:rPr>
                <w:rFonts w:ascii="Times New Roman" w:eastAsia="Calibri" w:hAnsi="Times New Roman"/>
                <w:noProof/>
              </w:rPr>
              <w:t>non-SME</w:t>
            </w:r>
            <w:r w:rsidRPr="000D54CD">
              <w:rPr>
                <w:rFonts w:ascii="Times New Roman" w:eastAsia="Calibri" w:hAnsi="Times New Roman"/>
                <w:noProof/>
              </w:rPr>
              <w:t xml:space="preserve"> MDMS platforms (excluding CRSs) that incur recurrent costs due to PM</w:t>
            </w:r>
            <w:r>
              <w:rPr>
                <w:rFonts w:ascii="Times New Roman" w:eastAsia="Calibri" w:hAnsi="Times New Roman"/>
                <w:noProof/>
              </w:rPr>
              <w:t>2</w:t>
            </w:r>
          </w:p>
        </w:tc>
        <w:tc>
          <w:tcPr>
            <w:tcW w:w="871" w:type="dxa"/>
            <w:noWrap/>
            <w:hideMark/>
          </w:tcPr>
          <w:p w14:paraId="5BE1FDB2" w14:textId="2C5786B7"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w:t>
            </w:r>
          </w:p>
        </w:tc>
        <w:tc>
          <w:tcPr>
            <w:tcW w:w="870" w:type="dxa"/>
            <w:noWrap/>
            <w:hideMark/>
          </w:tcPr>
          <w:p w14:paraId="07CE8CBB" w14:textId="34D7EF86"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183</w:t>
            </w:r>
          </w:p>
        </w:tc>
        <w:tc>
          <w:tcPr>
            <w:tcW w:w="870" w:type="dxa"/>
            <w:noWrap/>
            <w:hideMark/>
          </w:tcPr>
          <w:p w14:paraId="19F9871A" w14:textId="5B0CC7BD"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312</w:t>
            </w:r>
          </w:p>
        </w:tc>
        <w:tc>
          <w:tcPr>
            <w:tcW w:w="870" w:type="dxa"/>
            <w:noWrap/>
            <w:hideMark/>
          </w:tcPr>
          <w:p w14:paraId="14C0A785" w14:textId="14577242"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306</w:t>
            </w:r>
          </w:p>
        </w:tc>
      </w:tr>
      <w:tr w:rsidR="001F6CA7" w:rsidRPr="00D810D8" w14:paraId="5543E026" w14:textId="77777777" w:rsidTr="00133126">
        <w:trPr>
          <w:trHeight w:val="200"/>
        </w:trPr>
        <w:tc>
          <w:tcPr>
            <w:tcW w:w="6122" w:type="dxa"/>
            <w:noWrap/>
            <w:hideMark/>
          </w:tcPr>
          <w:p w14:paraId="706257EB" w14:textId="77777777" w:rsidR="001F6CA7" w:rsidRPr="00D810D8" w:rsidRDefault="001F6CA7" w:rsidP="001F6CA7">
            <w:pPr>
              <w:pStyle w:val="Text4"/>
              <w:spacing w:before="0" w:after="0"/>
              <w:ind w:left="0"/>
              <w:rPr>
                <w:rFonts w:ascii="Times New Roman" w:eastAsia="Calibri" w:hAnsi="Times New Roman"/>
                <w:noProof/>
              </w:rPr>
            </w:pPr>
            <w:r w:rsidRPr="00D810D8">
              <w:rPr>
                <w:rFonts w:ascii="Times New Roman" w:eastAsia="Calibri" w:hAnsi="Times New Roman"/>
                <w:noProof/>
              </w:rPr>
              <w:t xml:space="preserve">Total one-off adjustment costs (million EUR) </w:t>
            </w:r>
          </w:p>
        </w:tc>
        <w:tc>
          <w:tcPr>
            <w:tcW w:w="871" w:type="dxa"/>
            <w:noWrap/>
            <w:hideMark/>
          </w:tcPr>
          <w:p w14:paraId="07D3D8F2" w14:textId="79C70439"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3.0</w:t>
            </w:r>
          </w:p>
        </w:tc>
        <w:tc>
          <w:tcPr>
            <w:tcW w:w="870" w:type="dxa"/>
            <w:noWrap/>
            <w:hideMark/>
          </w:tcPr>
          <w:p w14:paraId="65367814" w14:textId="62F9EC07"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0.1</w:t>
            </w:r>
          </w:p>
        </w:tc>
        <w:tc>
          <w:tcPr>
            <w:tcW w:w="870" w:type="dxa"/>
            <w:noWrap/>
            <w:hideMark/>
          </w:tcPr>
          <w:p w14:paraId="75A991FF" w14:textId="28E0A2FC"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0.2</w:t>
            </w:r>
          </w:p>
        </w:tc>
        <w:tc>
          <w:tcPr>
            <w:tcW w:w="870" w:type="dxa"/>
            <w:noWrap/>
            <w:hideMark/>
          </w:tcPr>
          <w:p w14:paraId="0552D1B6" w14:textId="4CD95A3D"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0.0</w:t>
            </w:r>
          </w:p>
        </w:tc>
      </w:tr>
      <w:tr w:rsidR="001F6CA7" w:rsidRPr="00D810D8" w14:paraId="3ECF7FCE" w14:textId="77777777" w:rsidTr="00133126">
        <w:trPr>
          <w:trHeight w:val="200"/>
        </w:trPr>
        <w:tc>
          <w:tcPr>
            <w:tcW w:w="6122" w:type="dxa"/>
            <w:noWrap/>
            <w:hideMark/>
          </w:tcPr>
          <w:p w14:paraId="27FAF204" w14:textId="77777777" w:rsidR="001F6CA7" w:rsidRPr="00D810D8" w:rsidRDefault="001F6CA7" w:rsidP="001F6CA7">
            <w:pPr>
              <w:pStyle w:val="Text4"/>
              <w:spacing w:before="0" w:after="0"/>
              <w:ind w:left="0"/>
              <w:rPr>
                <w:rFonts w:ascii="Times New Roman" w:eastAsia="Calibri" w:hAnsi="Times New Roman"/>
                <w:noProof/>
              </w:rPr>
            </w:pPr>
            <w:r w:rsidRPr="00D810D8">
              <w:rPr>
                <w:rFonts w:ascii="Times New Roman" w:eastAsia="Calibri" w:hAnsi="Times New Roman"/>
                <w:noProof/>
              </w:rPr>
              <w:t xml:space="preserve">Total recurrent adjustment costs (million EUR) </w:t>
            </w:r>
          </w:p>
        </w:tc>
        <w:tc>
          <w:tcPr>
            <w:tcW w:w="871" w:type="dxa"/>
            <w:noWrap/>
            <w:hideMark/>
          </w:tcPr>
          <w:p w14:paraId="61233F9E" w14:textId="4967B4F2"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0.0</w:t>
            </w:r>
          </w:p>
        </w:tc>
        <w:tc>
          <w:tcPr>
            <w:tcW w:w="870" w:type="dxa"/>
            <w:noWrap/>
            <w:hideMark/>
          </w:tcPr>
          <w:p w14:paraId="204C8B22" w14:textId="2A957923"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0.3</w:t>
            </w:r>
          </w:p>
        </w:tc>
        <w:tc>
          <w:tcPr>
            <w:tcW w:w="870" w:type="dxa"/>
            <w:noWrap/>
            <w:hideMark/>
          </w:tcPr>
          <w:p w14:paraId="33825F0F" w14:textId="435509A8"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0.5</w:t>
            </w:r>
          </w:p>
        </w:tc>
        <w:tc>
          <w:tcPr>
            <w:tcW w:w="870" w:type="dxa"/>
            <w:noWrap/>
            <w:hideMark/>
          </w:tcPr>
          <w:p w14:paraId="2B8595C5" w14:textId="306058FC"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0.5</w:t>
            </w:r>
          </w:p>
        </w:tc>
      </w:tr>
      <w:tr w:rsidR="001F6CA7" w:rsidRPr="00D810D8" w14:paraId="23CD112B" w14:textId="77777777" w:rsidTr="00133126">
        <w:trPr>
          <w:trHeight w:val="210"/>
        </w:trPr>
        <w:tc>
          <w:tcPr>
            <w:tcW w:w="6122" w:type="dxa"/>
            <w:noWrap/>
            <w:hideMark/>
          </w:tcPr>
          <w:p w14:paraId="3966E87D" w14:textId="77777777" w:rsidR="001F6CA7" w:rsidRPr="00D810D8" w:rsidRDefault="001F6CA7" w:rsidP="001F6CA7">
            <w:pPr>
              <w:pStyle w:val="Text4"/>
              <w:spacing w:before="0" w:after="0"/>
              <w:ind w:left="0"/>
              <w:rPr>
                <w:rFonts w:ascii="Times New Roman" w:eastAsia="Calibri" w:hAnsi="Times New Roman"/>
                <w:b/>
                <w:bCs/>
                <w:noProof/>
              </w:rPr>
            </w:pPr>
            <w:r w:rsidRPr="00D810D8">
              <w:rPr>
                <w:rFonts w:ascii="Times New Roman" w:eastAsia="Calibri" w:hAnsi="Times New Roman"/>
                <w:b/>
                <w:bCs/>
                <w:noProof/>
              </w:rPr>
              <w:t xml:space="preserve">PO3 </w:t>
            </w:r>
          </w:p>
        </w:tc>
        <w:tc>
          <w:tcPr>
            <w:tcW w:w="871" w:type="dxa"/>
            <w:noWrap/>
            <w:hideMark/>
          </w:tcPr>
          <w:p w14:paraId="3BF1D768" w14:textId="7B42850C"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 </w:t>
            </w:r>
          </w:p>
        </w:tc>
        <w:tc>
          <w:tcPr>
            <w:tcW w:w="870" w:type="dxa"/>
            <w:noWrap/>
            <w:hideMark/>
          </w:tcPr>
          <w:p w14:paraId="47E17C02" w14:textId="41F724D4"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 </w:t>
            </w:r>
          </w:p>
        </w:tc>
        <w:tc>
          <w:tcPr>
            <w:tcW w:w="870" w:type="dxa"/>
            <w:noWrap/>
            <w:hideMark/>
          </w:tcPr>
          <w:p w14:paraId="305F40A7" w14:textId="414CC271"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 </w:t>
            </w:r>
          </w:p>
        </w:tc>
        <w:tc>
          <w:tcPr>
            <w:tcW w:w="870" w:type="dxa"/>
            <w:noWrap/>
            <w:hideMark/>
          </w:tcPr>
          <w:p w14:paraId="51401E09" w14:textId="38CC3255"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 </w:t>
            </w:r>
          </w:p>
        </w:tc>
      </w:tr>
      <w:tr w:rsidR="001F6CA7" w:rsidRPr="00D810D8" w14:paraId="10C27F8B" w14:textId="77777777" w:rsidTr="00133126">
        <w:trPr>
          <w:trHeight w:val="200"/>
        </w:trPr>
        <w:tc>
          <w:tcPr>
            <w:tcW w:w="6122" w:type="dxa"/>
            <w:noWrap/>
            <w:hideMark/>
          </w:tcPr>
          <w:p w14:paraId="0D18668E" w14:textId="6B36A05F" w:rsidR="001F6CA7" w:rsidRPr="00D810D8" w:rsidRDefault="001F6CA7" w:rsidP="001F6CA7">
            <w:pPr>
              <w:pStyle w:val="Text4"/>
              <w:spacing w:before="0" w:after="0"/>
              <w:ind w:left="0"/>
              <w:rPr>
                <w:rFonts w:ascii="Times New Roman" w:eastAsia="Calibri" w:hAnsi="Times New Roman"/>
                <w:noProof/>
              </w:rPr>
            </w:pPr>
            <w:r w:rsidRPr="000D54CD">
              <w:rPr>
                <w:rFonts w:ascii="Times New Roman" w:eastAsia="Calibri" w:hAnsi="Times New Roman"/>
                <w:noProof/>
              </w:rPr>
              <w:t xml:space="preserve">Number of </w:t>
            </w:r>
            <w:r>
              <w:rPr>
                <w:rFonts w:ascii="Times New Roman" w:eastAsia="Calibri" w:hAnsi="Times New Roman"/>
                <w:noProof/>
              </w:rPr>
              <w:t>non-SME</w:t>
            </w:r>
            <w:r w:rsidRPr="000D54CD">
              <w:rPr>
                <w:rFonts w:ascii="Times New Roman" w:eastAsia="Calibri" w:hAnsi="Times New Roman"/>
                <w:noProof/>
              </w:rPr>
              <w:t xml:space="preserve"> MDMS platforms (excluding CRSs) that incur one-off costs due to PM</w:t>
            </w:r>
            <w:r>
              <w:rPr>
                <w:rFonts w:ascii="Times New Roman" w:eastAsia="Calibri" w:hAnsi="Times New Roman"/>
                <w:noProof/>
              </w:rPr>
              <w:t>2</w:t>
            </w:r>
          </w:p>
        </w:tc>
        <w:tc>
          <w:tcPr>
            <w:tcW w:w="871" w:type="dxa"/>
            <w:noWrap/>
            <w:hideMark/>
          </w:tcPr>
          <w:p w14:paraId="7C231772" w14:textId="0CB3B316"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172</w:t>
            </w:r>
          </w:p>
        </w:tc>
        <w:tc>
          <w:tcPr>
            <w:tcW w:w="870" w:type="dxa"/>
            <w:noWrap/>
            <w:hideMark/>
          </w:tcPr>
          <w:p w14:paraId="694763A7" w14:textId="64E9FC0D"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9</w:t>
            </w:r>
          </w:p>
        </w:tc>
        <w:tc>
          <w:tcPr>
            <w:tcW w:w="870" w:type="dxa"/>
            <w:noWrap/>
            <w:hideMark/>
          </w:tcPr>
          <w:p w14:paraId="72C6E597" w14:textId="7F776D3D"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11</w:t>
            </w:r>
          </w:p>
        </w:tc>
        <w:tc>
          <w:tcPr>
            <w:tcW w:w="870" w:type="dxa"/>
            <w:noWrap/>
            <w:hideMark/>
          </w:tcPr>
          <w:p w14:paraId="5362CF96" w14:textId="23A6BA4B"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w:t>
            </w:r>
          </w:p>
        </w:tc>
      </w:tr>
      <w:tr w:rsidR="001F6CA7" w:rsidRPr="00D810D8" w14:paraId="67823FA1" w14:textId="77777777" w:rsidTr="00133126">
        <w:trPr>
          <w:trHeight w:val="200"/>
        </w:trPr>
        <w:tc>
          <w:tcPr>
            <w:tcW w:w="6122" w:type="dxa"/>
            <w:noWrap/>
            <w:hideMark/>
          </w:tcPr>
          <w:p w14:paraId="10A3A701" w14:textId="2C5AF220" w:rsidR="001F6CA7" w:rsidRPr="00D810D8" w:rsidRDefault="001F6CA7" w:rsidP="001F6CA7">
            <w:pPr>
              <w:pStyle w:val="Text4"/>
              <w:spacing w:before="0" w:after="0"/>
              <w:ind w:left="0"/>
              <w:rPr>
                <w:rFonts w:ascii="Times New Roman" w:eastAsia="Calibri" w:hAnsi="Times New Roman"/>
                <w:noProof/>
              </w:rPr>
            </w:pPr>
            <w:r w:rsidRPr="000D54CD">
              <w:rPr>
                <w:rFonts w:ascii="Times New Roman" w:eastAsia="Calibri" w:hAnsi="Times New Roman"/>
                <w:noProof/>
              </w:rPr>
              <w:t xml:space="preserve">Number of </w:t>
            </w:r>
            <w:r>
              <w:rPr>
                <w:rFonts w:ascii="Times New Roman" w:eastAsia="Calibri" w:hAnsi="Times New Roman"/>
                <w:noProof/>
              </w:rPr>
              <w:t>non-SME</w:t>
            </w:r>
            <w:r w:rsidRPr="000D54CD">
              <w:rPr>
                <w:rFonts w:ascii="Times New Roman" w:eastAsia="Calibri" w:hAnsi="Times New Roman"/>
                <w:noProof/>
              </w:rPr>
              <w:t xml:space="preserve"> MDMS platforms (excluding CRSs) that incur recurrent costs due to PM</w:t>
            </w:r>
            <w:r>
              <w:rPr>
                <w:rFonts w:ascii="Times New Roman" w:eastAsia="Calibri" w:hAnsi="Times New Roman"/>
                <w:noProof/>
              </w:rPr>
              <w:t>2</w:t>
            </w:r>
          </w:p>
        </w:tc>
        <w:tc>
          <w:tcPr>
            <w:tcW w:w="871" w:type="dxa"/>
            <w:noWrap/>
            <w:hideMark/>
          </w:tcPr>
          <w:p w14:paraId="714A8AFB" w14:textId="4E458FE9"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w:t>
            </w:r>
          </w:p>
        </w:tc>
        <w:tc>
          <w:tcPr>
            <w:tcW w:w="870" w:type="dxa"/>
            <w:noWrap/>
            <w:hideMark/>
          </w:tcPr>
          <w:p w14:paraId="53C2B32C" w14:textId="5DAEAE1E"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182</w:t>
            </w:r>
          </w:p>
        </w:tc>
        <w:tc>
          <w:tcPr>
            <w:tcW w:w="870" w:type="dxa"/>
            <w:noWrap/>
            <w:hideMark/>
          </w:tcPr>
          <w:p w14:paraId="6F607FB7" w14:textId="115A91E3"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292</w:t>
            </w:r>
          </w:p>
        </w:tc>
        <w:tc>
          <w:tcPr>
            <w:tcW w:w="870" w:type="dxa"/>
            <w:noWrap/>
            <w:hideMark/>
          </w:tcPr>
          <w:p w14:paraId="64107C6D" w14:textId="5A9B74E6"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303</w:t>
            </w:r>
          </w:p>
        </w:tc>
      </w:tr>
      <w:tr w:rsidR="001F6CA7" w:rsidRPr="00D810D8" w14:paraId="258FDED6" w14:textId="77777777" w:rsidTr="00133126">
        <w:trPr>
          <w:trHeight w:val="200"/>
        </w:trPr>
        <w:tc>
          <w:tcPr>
            <w:tcW w:w="6122" w:type="dxa"/>
            <w:noWrap/>
            <w:hideMark/>
          </w:tcPr>
          <w:p w14:paraId="0AD0021F" w14:textId="77777777" w:rsidR="001F6CA7" w:rsidRPr="00D810D8" w:rsidRDefault="001F6CA7" w:rsidP="001F6CA7">
            <w:pPr>
              <w:pStyle w:val="Text4"/>
              <w:spacing w:before="0" w:after="0"/>
              <w:ind w:left="0"/>
              <w:rPr>
                <w:rFonts w:ascii="Times New Roman" w:eastAsia="Calibri" w:hAnsi="Times New Roman"/>
                <w:noProof/>
              </w:rPr>
            </w:pPr>
            <w:r w:rsidRPr="00D810D8">
              <w:rPr>
                <w:rFonts w:ascii="Times New Roman" w:eastAsia="Calibri" w:hAnsi="Times New Roman"/>
                <w:noProof/>
              </w:rPr>
              <w:t xml:space="preserve">Total one-off adjustment costs (million EUR) </w:t>
            </w:r>
          </w:p>
        </w:tc>
        <w:tc>
          <w:tcPr>
            <w:tcW w:w="871" w:type="dxa"/>
            <w:noWrap/>
            <w:hideMark/>
          </w:tcPr>
          <w:p w14:paraId="68EE11B0" w14:textId="18E087AE"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3.0</w:t>
            </w:r>
          </w:p>
        </w:tc>
        <w:tc>
          <w:tcPr>
            <w:tcW w:w="870" w:type="dxa"/>
            <w:noWrap/>
            <w:hideMark/>
          </w:tcPr>
          <w:p w14:paraId="10297025" w14:textId="78C1D5CE"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0.2</w:t>
            </w:r>
          </w:p>
        </w:tc>
        <w:tc>
          <w:tcPr>
            <w:tcW w:w="870" w:type="dxa"/>
            <w:noWrap/>
            <w:hideMark/>
          </w:tcPr>
          <w:p w14:paraId="20C001CD" w14:textId="3F34377F"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0.2</w:t>
            </w:r>
          </w:p>
        </w:tc>
        <w:tc>
          <w:tcPr>
            <w:tcW w:w="870" w:type="dxa"/>
            <w:noWrap/>
            <w:hideMark/>
          </w:tcPr>
          <w:p w14:paraId="0111DE75" w14:textId="5141E01F"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0.0</w:t>
            </w:r>
          </w:p>
        </w:tc>
      </w:tr>
      <w:tr w:rsidR="001F6CA7" w:rsidRPr="00D810D8" w14:paraId="2912BB4E" w14:textId="77777777" w:rsidTr="00133126">
        <w:trPr>
          <w:trHeight w:val="200"/>
        </w:trPr>
        <w:tc>
          <w:tcPr>
            <w:tcW w:w="6122" w:type="dxa"/>
            <w:noWrap/>
            <w:hideMark/>
          </w:tcPr>
          <w:p w14:paraId="1B64714A" w14:textId="77777777" w:rsidR="001F6CA7" w:rsidRPr="00D810D8" w:rsidRDefault="001F6CA7" w:rsidP="001F6CA7">
            <w:pPr>
              <w:pStyle w:val="Text4"/>
              <w:spacing w:before="0" w:after="0"/>
              <w:ind w:left="0"/>
              <w:rPr>
                <w:rFonts w:ascii="Times New Roman" w:eastAsia="Calibri" w:hAnsi="Times New Roman"/>
                <w:noProof/>
              </w:rPr>
            </w:pPr>
            <w:r w:rsidRPr="00D810D8">
              <w:rPr>
                <w:rFonts w:ascii="Times New Roman" w:eastAsia="Calibri" w:hAnsi="Times New Roman"/>
                <w:noProof/>
              </w:rPr>
              <w:t xml:space="preserve">Total recurrent adjustment costs (million EUR) </w:t>
            </w:r>
          </w:p>
        </w:tc>
        <w:tc>
          <w:tcPr>
            <w:tcW w:w="871" w:type="dxa"/>
            <w:noWrap/>
            <w:hideMark/>
          </w:tcPr>
          <w:p w14:paraId="775AF60A" w14:textId="673FEF0F"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0.0</w:t>
            </w:r>
          </w:p>
        </w:tc>
        <w:tc>
          <w:tcPr>
            <w:tcW w:w="870" w:type="dxa"/>
            <w:noWrap/>
            <w:hideMark/>
          </w:tcPr>
          <w:p w14:paraId="779DD122" w14:textId="1AC2FE93"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0.3</w:t>
            </w:r>
          </w:p>
        </w:tc>
        <w:tc>
          <w:tcPr>
            <w:tcW w:w="870" w:type="dxa"/>
            <w:noWrap/>
            <w:hideMark/>
          </w:tcPr>
          <w:p w14:paraId="7C6CF25E" w14:textId="45AD0500"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0.5</w:t>
            </w:r>
          </w:p>
        </w:tc>
        <w:tc>
          <w:tcPr>
            <w:tcW w:w="870" w:type="dxa"/>
            <w:noWrap/>
            <w:hideMark/>
          </w:tcPr>
          <w:p w14:paraId="7A9B0B70" w14:textId="19A5A24D"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0.5</w:t>
            </w:r>
          </w:p>
        </w:tc>
      </w:tr>
      <w:tr w:rsidR="001F6CA7" w:rsidRPr="00D810D8" w14:paraId="7D4DF677" w14:textId="77777777" w:rsidTr="00133126">
        <w:trPr>
          <w:trHeight w:val="210"/>
        </w:trPr>
        <w:tc>
          <w:tcPr>
            <w:tcW w:w="6122" w:type="dxa"/>
            <w:noWrap/>
            <w:hideMark/>
          </w:tcPr>
          <w:p w14:paraId="4EA85D4D" w14:textId="77777777" w:rsidR="001F6CA7" w:rsidRPr="00D810D8" w:rsidRDefault="001F6CA7" w:rsidP="001F6CA7">
            <w:pPr>
              <w:pStyle w:val="Text4"/>
              <w:spacing w:before="0" w:after="0"/>
              <w:ind w:left="0"/>
              <w:rPr>
                <w:rFonts w:ascii="Times New Roman" w:eastAsia="Calibri" w:hAnsi="Times New Roman"/>
                <w:b/>
                <w:bCs/>
                <w:noProof/>
              </w:rPr>
            </w:pPr>
            <w:r w:rsidRPr="00D810D8">
              <w:rPr>
                <w:rFonts w:ascii="Times New Roman" w:eastAsia="Calibri" w:hAnsi="Times New Roman"/>
                <w:b/>
                <w:bCs/>
                <w:noProof/>
              </w:rPr>
              <w:t xml:space="preserve">PO4 </w:t>
            </w:r>
          </w:p>
        </w:tc>
        <w:tc>
          <w:tcPr>
            <w:tcW w:w="871" w:type="dxa"/>
            <w:noWrap/>
            <w:hideMark/>
          </w:tcPr>
          <w:p w14:paraId="2C103521" w14:textId="02501A86"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 </w:t>
            </w:r>
          </w:p>
        </w:tc>
        <w:tc>
          <w:tcPr>
            <w:tcW w:w="870" w:type="dxa"/>
            <w:noWrap/>
            <w:hideMark/>
          </w:tcPr>
          <w:p w14:paraId="04D30AE2" w14:textId="56164325"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 </w:t>
            </w:r>
          </w:p>
        </w:tc>
        <w:tc>
          <w:tcPr>
            <w:tcW w:w="870" w:type="dxa"/>
            <w:noWrap/>
            <w:hideMark/>
          </w:tcPr>
          <w:p w14:paraId="2F55360D" w14:textId="2F1AD2B0"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 </w:t>
            </w:r>
          </w:p>
        </w:tc>
        <w:tc>
          <w:tcPr>
            <w:tcW w:w="870" w:type="dxa"/>
            <w:noWrap/>
            <w:hideMark/>
          </w:tcPr>
          <w:p w14:paraId="7307622B" w14:textId="3311782A"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 </w:t>
            </w:r>
          </w:p>
        </w:tc>
      </w:tr>
      <w:tr w:rsidR="001F6CA7" w:rsidRPr="00D810D8" w14:paraId="2C001104" w14:textId="77777777" w:rsidTr="00133126">
        <w:trPr>
          <w:trHeight w:val="200"/>
        </w:trPr>
        <w:tc>
          <w:tcPr>
            <w:tcW w:w="6122" w:type="dxa"/>
            <w:noWrap/>
            <w:hideMark/>
          </w:tcPr>
          <w:p w14:paraId="32F53455" w14:textId="7EC826F3" w:rsidR="001F6CA7" w:rsidRPr="00D810D8" w:rsidRDefault="001F6CA7" w:rsidP="001F6CA7">
            <w:pPr>
              <w:pStyle w:val="Text4"/>
              <w:spacing w:before="0" w:after="0"/>
              <w:ind w:left="0"/>
              <w:rPr>
                <w:rFonts w:ascii="Times New Roman" w:eastAsia="Calibri" w:hAnsi="Times New Roman"/>
                <w:noProof/>
              </w:rPr>
            </w:pPr>
            <w:r w:rsidRPr="000D54CD">
              <w:rPr>
                <w:rFonts w:ascii="Times New Roman" w:eastAsia="Calibri" w:hAnsi="Times New Roman"/>
                <w:noProof/>
              </w:rPr>
              <w:t xml:space="preserve">Number of </w:t>
            </w:r>
            <w:r>
              <w:rPr>
                <w:rFonts w:ascii="Times New Roman" w:eastAsia="Calibri" w:hAnsi="Times New Roman"/>
                <w:noProof/>
              </w:rPr>
              <w:t>non-SME</w:t>
            </w:r>
            <w:r w:rsidRPr="000D54CD">
              <w:rPr>
                <w:rFonts w:ascii="Times New Roman" w:eastAsia="Calibri" w:hAnsi="Times New Roman"/>
                <w:noProof/>
              </w:rPr>
              <w:t xml:space="preserve"> MDMS platforms (excluding CRSs) that incur one-off costs due to PM</w:t>
            </w:r>
            <w:r>
              <w:rPr>
                <w:rFonts w:ascii="Times New Roman" w:eastAsia="Calibri" w:hAnsi="Times New Roman"/>
                <w:noProof/>
              </w:rPr>
              <w:t>2</w:t>
            </w:r>
          </w:p>
        </w:tc>
        <w:tc>
          <w:tcPr>
            <w:tcW w:w="871" w:type="dxa"/>
            <w:noWrap/>
            <w:hideMark/>
          </w:tcPr>
          <w:p w14:paraId="03E57986" w14:textId="403BAF03"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172</w:t>
            </w:r>
          </w:p>
        </w:tc>
        <w:tc>
          <w:tcPr>
            <w:tcW w:w="870" w:type="dxa"/>
            <w:noWrap/>
            <w:hideMark/>
          </w:tcPr>
          <w:p w14:paraId="1573B896" w14:textId="4CB5D211"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8</w:t>
            </w:r>
          </w:p>
        </w:tc>
        <w:tc>
          <w:tcPr>
            <w:tcW w:w="870" w:type="dxa"/>
            <w:noWrap/>
            <w:hideMark/>
          </w:tcPr>
          <w:p w14:paraId="137D2118" w14:textId="7648B70E"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12</w:t>
            </w:r>
          </w:p>
        </w:tc>
        <w:tc>
          <w:tcPr>
            <w:tcW w:w="870" w:type="dxa"/>
            <w:noWrap/>
            <w:hideMark/>
          </w:tcPr>
          <w:p w14:paraId="426B5DF3" w14:textId="5EA38EF7"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w:t>
            </w:r>
          </w:p>
        </w:tc>
      </w:tr>
      <w:tr w:rsidR="001F6CA7" w:rsidRPr="00D810D8" w14:paraId="3B49B85C" w14:textId="77777777" w:rsidTr="00133126">
        <w:trPr>
          <w:trHeight w:val="200"/>
        </w:trPr>
        <w:tc>
          <w:tcPr>
            <w:tcW w:w="6122" w:type="dxa"/>
            <w:noWrap/>
            <w:hideMark/>
          </w:tcPr>
          <w:p w14:paraId="199982D9" w14:textId="60A7D83C" w:rsidR="001F6CA7" w:rsidRPr="00D810D8" w:rsidRDefault="001F6CA7" w:rsidP="001F6CA7">
            <w:pPr>
              <w:pStyle w:val="Text4"/>
              <w:spacing w:before="0" w:after="0"/>
              <w:ind w:left="0"/>
              <w:rPr>
                <w:rFonts w:ascii="Times New Roman" w:eastAsia="Calibri" w:hAnsi="Times New Roman"/>
                <w:noProof/>
              </w:rPr>
            </w:pPr>
            <w:r w:rsidRPr="000D54CD">
              <w:rPr>
                <w:rFonts w:ascii="Times New Roman" w:eastAsia="Calibri" w:hAnsi="Times New Roman"/>
                <w:noProof/>
              </w:rPr>
              <w:t xml:space="preserve">Number of </w:t>
            </w:r>
            <w:r>
              <w:rPr>
                <w:rFonts w:ascii="Times New Roman" w:eastAsia="Calibri" w:hAnsi="Times New Roman"/>
                <w:noProof/>
              </w:rPr>
              <w:t>non-SME</w:t>
            </w:r>
            <w:r w:rsidRPr="000D54CD">
              <w:rPr>
                <w:rFonts w:ascii="Times New Roman" w:eastAsia="Calibri" w:hAnsi="Times New Roman"/>
                <w:noProof/>
              </w:rPr>
              <w:t xml:space="preserve"> MDMS platforms (excluding CRSs) that incur recurrent costs due to PM</w:t>
            </w:r>
            <w:r>
              <w:rPr>
                <w:rFonts w:ascii="Times New Roman" w:eastAsia="Calibri" w:hAnsi="Times New Roman"/>
                <w:noProof/>
              </w:rPr>
              <w:t>2</w:t>
            </w:r>
          </w:p>
        </w:tc>
        <w:tc>
          <w:tcPr>
            <w:tcW w:w="871" w:type="dxa"/>
            <w:noWrap/>
            <w:hideMark/>
          </w:tcPr>
          <w:p w14:paraId="313D81BF" w14:textId="43B095BD"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w:t>
            </w:r>
          </w:p>
        </w:tc>
        <w:tc>
          <w:tcPr>
            <w:tcW w:w="870" w:type="dxa"/>
            <w:noWrap/>
            <w:hideMark/>
          </w:tcPr>
          <w:p w14:paraId="1FA737BB" w14:textId="686D3EBC"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183</w:t>
            </w:r>
          </w:p>
        </w:tc>
        <w:tc>
          <w:tcPr>
            <w:tcW w:w="870" w:type="dxa"/>
            <w:noWrap/>
            <w:hideMark/>
          </w:tcPr>
          <w:p w14:paraId="6D11D560" w14:textId="420CB2A6"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301</w:t>
            </w:r>
          </w:p>
        </w:tc>
        <w:tc>
          <w:tcPr>
            <w:tcW w:w="870" w:type="dxa"/>
            <w:noWrap/>
            <w:hideMark/>
          </w:tcPr>
          <w:p w14:paraId="6033B8E9" w14:textId="7C2E69E9"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305</w:t>
            </w:r>
          </w:p>
        </w:tc>
      </w:tr>
      <w:tr w:rsidR="001F6CA7" w:rsidRPr="00D810D8" w14:paraId="3BBB49D0" w14:textId="77777777" w:rsidTr="00133126">
        <w:trPr>
          <w:trHeight w:val="200"/>
        </w:trPr>
        <w:tc>
          <w:tcPr>
            <w:tcW w:w="6122" w:type="dxa"/>
            <w:noWrap/>
            <w:hideMark/>
          </w:tcPr>
          <w:p w14:paraId="1632629D" w14:textId="77777777" w:rsidR="001F6CA7" w:rsidRPr="00D810D8" w:rsidRDefault="001F6CA7" w:rsidP="001F6CA7">
            <w:pPr>
              <w:pStyle w:val="Text4"/>
              <w:spacing w:before="0" w:after="0"/>
              <w:ind w:left="0"/>
              <w:rPr>
                <w:rFonts w:ascii="Times New Roman" w:eastAsia="Calibri" w:hAnsi="Times New Roman"/>
                <w:noProof/>
              </w:rPr>
            </w:pPr>
            <w:r w:rsidRPr="00D810D8">
              <w:rPr>
                <w:rFonts w:ascii="Times New Roman" w:eastAsia="Calibri" w:hAnsi="Times New Roman"/>
                <w:noProof/>
              </w:rPr>
              <w:t xml:space="preserve">Total one-off adjustment costs (million EUR) </w:t>
            </w:r>
          </w:p>
        </w:tc>
        <w:tc>
          <w:tcPr>
            <w:tcW w:w="871" w:type="dxa"/>
            <w:noWrap/>
            <w:hideMark/>
          </w:tcPr>
          <w:p w14:paraId="25FDD590" w14:textId="1BA20728"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3.0</w:t>
            </w:r>
          </w:p>
        </w:tc>
        <w:tc>
          <w:tcPr>
            <w:tcW w:w="870" w:type="dxa"/>
            <w:noWrap/>
            <w:hideMark/>
          </w:tcPr>
          <w:p w14:paraId="15F6B574" w14:textId="31F95895"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0.1</w:t>
            </w:r>
          </w:p>
        </w:tc>
        <w:tc>
          <w:tcPr>
            <w:tcW w:w="870" w:type="dxa"/>
            <w:noWrap/>
            <w:hideMark/>
          </w:tcPr>
          <w:p w14:paraId="349BE933" w14:textId="45C817CE"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0.2</w:t>
            </w:r>
          </w:p>
        </w:tc>
        <w:tc>
          <w:tcPr>
            <w:tcW w:w="870" w:type="dxa"/>
            <w:noWrap/>
            <w:hideMark/>
          </w:tcPr>
          <w:p w14:paraId="5C4E1CFF" w14:textId="28462536"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0.0</w:t>
            </w:r>
          </w:p>
        </w:tc>
      </w:tr>
      <w:tr w:rsidR="001F6CA7" w:rsidRPr="00D810D8" w14:paraId="5A0EABA7" w14:textId="77777777" w:rsidTr="00133126">
        <w:trPr>
          <w:trHeight w:val="200"/>
        </w:trPr>
        <w:tc>
          <w:tcPr>
            <w:tcW w:w="6122" w:type="dxa"/>
            <w:noWrap/>
            <w:hideMark/>
          </w:tcPr>
          <w:p w14:paraId="1B0B8EFA" w14:textId="77777777" w:rsidR="001F6CA7" w:rsidRPr="00D810D8" w:rsidRDefault="001F6CA7" w:rsidP="001F6CA7">
            <w:pPr>
              <w:pStyle w:val="Text4"/>
              <w:spacing w:before="0" w:after="0"/>
              <w:ind w:left="0"/>
              <w:rPr>
                <w:rFonts w:ascii="Times New Roman" w:eastAsia="Calibri" w:hAnsi="Times New Roman"/>
                <w:noProof/>
              </w:rPr>
            </w:pPr>
            <w:r w:rsidRPr="00D810D8">
              <w:rPr>
                <w:rFonts w:ascii="Times New Roman" w:eastAsia="Calibri" w:hAnsi="Times New Roman"/>
                <w:noProof/>
              </w:rPr>
              <w:t xml:space="preserve">Total recurrent adjustment costs (million EUR) </w:t>
            </w:r>
          </w:p>
        </w:tc>
        <w:tc>
          <w:tcPr>
            <w:tcW w:w="871" w:type="dxa"/>
            <w:noWrap/>
            <w:hideMark/>
          </w:tcPr>
          <w:p w14:paraId="2578BB34" w14:textId="260E4742"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0.0</w:t>
            </w:r>
          </w:p>
        </w:tc>
        <w:tc>
          <w:tcPr>
            <w:tcW w:w="870" w:type="dxa"/>
            <w:noWrap/>
            <w:hideMark/>
          </w:tcPr>
          <w:p w14:paraId="23B27E14" w14:textId="0CD08320"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0.3</w:t>
            </w:r>
          </w:p>
        </w:tc>
        <w:tc>
          <w:tcPr>
            <w:tcW w:w="870" w:type="dxa"/>
            <w:noWrap/>
            <w:hideMark/>
          </w:tcPr>
          <w:p w14:paraId="119B83FC" w14:textId="3643156D"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0.5</w:t>
            </w:r>
          </w:p>
        </w:tc>
        <w:tc>
          <w:tcPr>
            <w:tcW w:w="870" w:type="dxa"/>
            <w:noWrap/>
            <w:hideMark/>
          </w:tcPr>
          <w:p w14:paraId="16230F4D" w14:textId="4699D648" w:rsidR="001F6CA7" w:rsidRPr="001F6CA7" w:rsidRDefault="001F6CA7" w:rsidP="001F6CA7">
            <w:pPr>
              <w:pStyle w:val="Text4"/>
              <w:spacing w:before="0" w:after="0"/>
              <w:ind w:left="0"/>
              <w:jc w:val="center"/>
              <w:rPr>
                <w:rFonts w:ascii="Times New Roman" w:eastAsia="Calibri" w:hAnsi="Times New Roman"/>
                <w:noProof/>
              </w:rPr>
            </w:pPr>
            <w:r w:rsidRPr="00133126">
              <w:rPr>
                <w:rFonts w:ascii="Times New Roman" w:hAnsi="Times New Roman"/>
                <w:noProof/>
              </w:rPr>
              <w:t>0.5</w:t>
            </w:r>
          </w:p>
        </w:tc>
      </w:tr>
    </w:tbl>
    <w:p w14:paraId="528CE36F" w14:textId="77777777" w:rsidR="00424A1A" w:rsidRPr="00D71008" w:rsidRDefault="00424A1A" w:rsidP="00424A1A">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0A364169" w14:textId="35AF781D" w:rsidR="009820D1" w:rsidRDefault="009820D1" w:rsidP="009820D1">
      <w:pPr>
        <w:pStyle w:val="Text4"/>
        <w:spacing w:before="0" w:after="240"/>
        <w:ind w:left="0"/>
        <w:rPr>
          <w:rFonts w:ascii="Times New Roman" w:eastAsia="Calibri" w:hAnsi="Times New Roman"/>
          <w:noProof/>
          <w:spacing w:val="-8"/>
          <w:sz w:val="24"/>
          <w:szCs w:val="24"/>
        </w:rPr>
      </w:pPr>
      <w:r w:rsidRPr="00AB18E0">
        <w:rPr>
          <w:rFonts w:ascii="Times New Roman" w:eastAsia="Calibri" w:hAnsi="Times New Roman"/>
          <w:noProof/>
          <w:spacing w:val="-8"/>
          <w:sz w:val="24"/>
          <w:szCs w:val="24"/>
        </w:rPr>
        <w:t xml:space="preserve">The table above covers total one-off and recurrent adjustment costs for both </w:t>
      </w:r>
      <w:r w:rsidR="00AD2776">
        <w:rPr>
          <w:rFonts w:ascii="Times New Roman" w:eastAsia="Calibri" w:hAnsi="Times New Roman"/>
          <w:noProof/>
          <w:spacing w:val="-8"/>
          <w:sz w:val="24"/>
          <w:szCs w:val="24"/>
        </w:rPr>
        <w:t>non-SME</w:t>
      </w:r>
      <w:r w:rsidRPr="00AB18E0">
        <w:rPr>
          <w:rFonts w:ascii="Times New Roman" w:eastAsia="Calibri" w:hAnsi="Times New Roman"/>
          <w:noProof/>
          <w:spacing w:val="-8"/>
          <w:sz w:val="24"/>
          <w:szCs w:val="24"/>
        </w:rPr>
        <w:t xml:space="preserve"> B2B and B2C platforms</w:t>
      </w:r>
      <w:r w:rsidR="00497DCA">
        <w:rPr>
          <w:rFonts w:ascii="Times New Roman" w:eastAsia="Calibri" w:hAnsi="Times New Roman"/>
          <w:noProof/>
          <w:spacing w:val="-8"/>
          <w:sz w:val="24"/>
          <w:szCs w:val="24"/>
        </w:rPr>
        <w:t xml:space="preserve"> (excluding CRS platforms)</w:t>
      </w:r>
      <w:r w:rsidRPr="00AB18E0">
        <w:rPr>
          <w:rFonts w:ascii="Times New Roman" w:eastAsia="Calibri" w:hAnsi="Times New Roman"/>
          <w:noProof/>
          <w:spacing w:val="-8"/>
          <w:sz w:val="24"/>
          <w:szCs w:val="24"/>
        </w:rPr>
        <w:t xml:space="preserve">. As </w:t>
      </w:r>
      <w:r>
        <w:rPr>
          <w:rFonts w:ascii="Times New Roman" w:eastAsia="Calibri" w:hAnsi="Times New Roman"/>
          <w:noProof/>
          <w:spacing w:val="-8"/>
          <w:sz w:val="24"/>
          <w:szCs w:val="24"/>
        </w:rPr>
        <w:t xml:space="preserve">already </w:t>
      </w:r>
      <w:r w:rsidRPr="00AB18E0">
        <w:rPr>
          <w:rFonts w:ascii="Times New Roman" w:eastAsia="Calibri" w:hAnsi="Times New Roman"/>
          <w:noProof/>
          <w:spacing w:val="-8"/>
          <w:sz w:val="24"/>
          <w:szCs w:val="24"/>
        </w:rPr>
        <w:t>explained, m</w:t>
      </w:r>
      <w:r w:rsidRPr="00AB18E0">
        <w:rPr>
          <w:rFonts w:ascii="Times New Roman" w:hAnsi="Times New Roman"/>
          <w:noProof/>
          <w:spacing w:val="-8"/>
          <w:sz w:val="24"/>
          <w:szCs w:val="24"/>
        </w:rPr>
        <w:t>ost B2B MDMS platforms operate EU-wide</w:t>
      </w:r>
      <w:r>
        <w:rPr>
          <w:rFonts w:ascii="Times New Roman" w:hAnsi="Times New Roman"/>
          <w:noProof/>
          <w:spacing w:val="-8"/>
          <w:sz w:val="24"/>
          <w:szCs w:val="24"/>
        </w:rPr>
        <w:t xml:space="preserve"> and</w:t>
      </w:r>
      <w:r w:rsidRPr="00AB18E0">
        <w:rPr>
          <w:rFonts w:ascii="Times New Roman" w:hAnsi="Times New Roman"/>
          <w:noProof/>
          <w:spacing w:val="-8"/>
          <w:sz w:val="24"/>
          <w:szCs w:val="24"/>
        </w:rPr>
        <w:t xml:space="preserve"> it is not possible to provide the costs by Member State.</w:t>
      </w:r>
      <w:r>
        <w:rPr>
          <w:rFonts w:ascii="Times New Roman" w:hAnsi="Times New Roman"/>
          <w:noProof/>
          <w:spacing w:val="-8"/>
          <w:sz w:val="24"/>
          <w:szCs w:val="24"/>
        </w:rPr>
        <w:t xml:space="preserve"> Therefore, only the part of the total </w:t>
      </w:r>
      <w:r w:rsidRPr="00AB18E0">
        <w:rPr>
          <w:rFonts w:ascii="Times New Roman" w:eastAsia="Calibri" w:hAnsi="Times New Roman"/>
          <w:noProof/>
          <w:spacing w:val="-8"/>
          <w:sz w:val="24"/>
          <w:szCs w:val="24"/>
        </w:rPr>
        <w:t>one-off and recurrent adjustment costs</w:t>
      </w:r>
      <w:r>
        <w:rPr>
          <w:rFonts w:ascii="Times New Roman" w:eastAsia="Calibri" w:hAnsi="Times New Roman"/>
          <w:noProof/>
          <w:spacing w:val="-8"/>
          <w:sz w:val="24"/>
          <w:szCs w:val="24"/>
        </w:rPr>
        <w:t xml:space="preserve"> for the B2C platforms is provided by Member State in the tables below, by policy option</w:t>
      </w:r>
      <w:r>
        <w:rPr>
          <w:rStyle w:val="FootnoteReference"/>
          <w:rFonts w:ascii="Times New Roman" w:eastAsia="Calibri" w:hAnsi="Times New Roman"/>
          <w:noProof/>
          <w:spacing w:val="-8"/>
          <w:sz w:val="24"/>
          <w:szCs w:val="24"/>
        </w:rPr>
        <w:footnoteReference w:id="348"/>
      </w:r>
      <w:r>
        <w:rPr>
          <w:rFonts w:ascii="Times New Roman" w:eastAsia="Calibri" w:hAnsi="Times New Roman"/>
          <w:noProof/>
          <w:spacing w:val="-8"/>
          <w:sz w:val="24"/>
          <w:szCs w:val="24"/>
        </w:rPr>
        <w:t xml:space="preserve">. </w:t>
      </w:r>
    </w:p>
    <w:p w14:paraId="5FA83244" w14:textId="12253A73" w:rsidR="002303A3" w:rsidRPr="00383DBF" w:rsidRDefault="002303A3" w:rsidP="002303A3">
      <w:pPr>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74</w:t>
      </w:r>
      <w:r w:rsidRPr="00383DBF">
        <w:rPr>
          <w:i/>
          <w:noProof/>
          <w:sz w:val="22"/>
          <w:szCs w:val="22"/>
        </w:rPr>
        <w:fldChar w:fldCharType="end"/>
      </w:r>
      <w:r w:rsidRPr="00383DBF">
        <w:rPr>
          <w:i/>
          <w:noProof/>
          <w:sz w:val="22"/>
          <w:szCs w:val="22"/>
        </w:rPr>
        <w:t xml:space="preserve">: Total one-off and recurrent adjustment costs for </w:t>
      </w:r>
      <w:r w:rsidR="00AD2776">
        <w:rPr>
          <w:i/>
          <w:noProof/>
          <w:sz w:val="22"/>
          <w:szCs w:val="22"/>
        </w:rPr>
        <w:t>non-SME</w:t>
      </w:r>
      <w:r w:rsidRPr="00383DBF">
        <w:rPr>
          <w:i/>
          <w:noProof/>
          <w:sz w:val="22"/>
          <w:szCs w:val="22"/>
        </w:rPr>
        <w:t xml:space="preserve"> B2C MDMS platforms due to PM2 in PO1 in 2028, 2030, 2040 and 2050 relative to the baseline (thousand EUR, in 2024 prices)</w:t>
      </w:r>
    </w:p>
    <w:tbl>
      <w:tblPr>
        <w:tblW w:w="5000" w:type="pct"/>
        <w:tblLook w:val="04A0" w:firstRow="1" w:lastRow="0" w:firstColumn="1" w:lastColumn="0" w:noHBand="0" w:noVBand="1"/>
      </w:tblPr>
      <w:tblGrid>
        <w:gridCol w:w="3241"/>
        <w:gridCol w:w="1591"/>
        <w:gridCol w:w="1591"/>
        <w:gridCol w:w="1590"/>
        <w:gridCol w:w="1590"/>
      </w:tblGrid>
      <w:tr w:rsidR="00952A6F" w:rsidRPr="00952A6F" w14:paraId="4121E115" w14:textId="77777777" w:rsidTr="00952A6F">
        <w:trPr>
          <w:trHeight w:val="255"/>
          <w:tblHeader/>
        </w:trPr>
        <w:tc>
          <w:tcPr>
            <w:tcW w:w="1687" w:type="pct"/>
            <w:tcBorders>
              <w:top w:val="single" w:sz="4" w:space="0" w:color="auto"/>
              <w:left w:val="single" w:sz="4" w:space="0" w:color="auto"/>
              <w:bottom w:val="single" w:sz="4" w:space="0" w:color="auto"/>
              <w:right w:val="single" w:sz="4" w:space="0" w:color="auto"/>
            </w:tcBorders>
            <w:shd w:val="clear" w:color="000000" w:fill="0070C0"/>
            <w:noWrap/>
            <w:hideMark/>
          </w:tcPr>
          <w:p w14:paraId="63466261" w14:textId="035F728C" w:rsidR="00952A6F" w:rsidRPr="00952A6F" w:rsidRDefault="00952A6F">
            <w:pPr>
              <w:jc w:val="center"/>
              <w:rPr>
                <w:b/>
                <w:bCs/>
                <w:noProof/>
                <w:color w:val="FFFFFF"/>
                <w:sz w:val="20"/>
                <w:szCs w:val="20"/>
              </w:rPr>
            </w:pPr>
          </w:p>
        </w:tc>
        <w:tc>
          <w:tcPr>
            <w:tcW w:w="828" w:type="pct"/>
            <w:tcBorders>
              <w:top w:val="single" w:sz="4" w:space="0" w:color="auto"/>
              <w:left w:val="nil"/>
              <w:bottom w:val="single" w:sz="4" w:space="0" w:color="auto"/>
              <w:right w:val="single" w:sz="4" w:space="0" w:color="auto"/>
            </w:tcBorders>
            <w:shd w:val="clear" w:color="000000" w:fill="0070C0"/>
            <w:noWrap/>
            <w:hideMark/>
          </w:tcPr>
          <w:p w14:paraId="1E391881" w14:textId="77777777" w:rsidR="00952A6F" w:rsidRPr="00952A6F" w:rsidRDefault="00952A6F">
            <w:pPr>
              <w:jc w:val="center"/>
              <w:rPr>
                <w:b/>
                <w:bCs/>
                <w:noProof/>
                <w:color w:val="FFFFFF"/>
                <w:sz w:val="20"/>
                <w:szCs w:val="20"/>
              </w:rPr>
            </w:pPr>
            <w:r w:rsidRPr="00952A6F">
              <w:rPr>
                <w:b/>
                <w:bCs/>
                <w:noProof/>
                <w:color w:val="FFFFFF"/>
                <w:sz w:val="20"/>
                <w:szCs w:val="20"/>
              </w:rPr>
              <w:t>2028</w:t>
            </w:r>
          </w:p>
        </w:tc>
        <w:tc>
          <w:tcPr>
            <w:tcW w:w="828" w:type="pct"/>
            <w:tcBorders>
              <w:top w:val="single" w:sz="4" w:space="0" w:color="auto"/>
              <w:left w:val="nil"/>
              <w:bottom w:val="single" w:sz="4" w:space="0" w:color="auto"/>
              <w:right w:val="single" w:sz="4" w:space="0" w:color="auto"/>
            </w:tcBorders>
            <w:shd w:val="clear" w:color="000000" w:fill="0070C0"/>
            <w:noWrap/>
            <w:hideMark/>
          </w:tcPr>
          <w:p w14:paraId="0F6DCA9C" w14:textId="77777777" w:rsidR="00952A6F" w:rsidRPr="00952A6F" w:rsidRDefault="00952A6F">
            <w:pPr>
              <w:jc w:val="center"/>
              <w:rPr>
                <w:b/>
                <w:bCs/>
                <w:noProof/>
                <w:color w:val="FFFFFF"/>
                <w:sz w:val="20"/>
                <w:szCs w:val="20"/>
              </w:rPr>
            </w:pPr>
            <w:r w:rsidRPr="00952A6F">
              <w:rPr>
                <w:b/>
                <w:bCs/>
                <w:noProof/>
                <w:color w:val="FFFFFF"/>
                <w:sz w:val="20"/>
                <w:szCs w:val="20"/>
              </w:rPr>
              <w:t>2030</w:t>
            </w:r>
          </w:p>
        </w:tc>
        <w:tc>
          <w:tcPr>
            <w:tcW w:w="828" w:type="pct"/>
            <w:tcBorders>
              <w:top w:val="single" w:sz="4" w:space="0" w:color="auto"/>
              <w:left w:val="nil"/>
              <w:bottom w:val="single" w:sz="4" w:space="0" w:color="auto"/>
              <w:right w:val="single" w:sz="4" w:space="0" w:color="auto"/>
            </w:tcBorders>
            <w:shd w:val="clear" w:color="000000" w:fill="0070C0"/>
            <w:noWrap/>
            <w:hideMark/>
          </w:tcPr>
          <w:p w14:paraId="02026990" w14:textId="77777777" w:rsidR="00952A6F" w:rsidRPr="00952A6F" w:rsidRDefault="00952A6F">
            <w:pPr>
              <w:jc w:val="center"/>
              <w:rPr>
                <w:b/>
                <w:bCs/>
                <w:noProof/>
                <w:color w:val="FFFFFF"/>
                <w:sz w:val="20"/>
                <w:szCs w:val="20"/>
              </w:rPr>
            </w:pPr>
            <w:r w:rsidRPr="00952A6F">
              <w:rPr>
                <w:b/>
                <w:bCs/>
                <w:noProof/>
                <w:color w:val="FFFFFF"/>
                <w:sz w:val="20"/>
                <w:szCs w:val="20"/>
              </w:rPr>
              <w:t>2040</w:t>
            </w:r>
          </w:p>
        </w:tc>
        <w:tc>
          <w:tcPr>
            <w:tcW w:w="828" w:type="pct"/>
            <w:tcBorders>
              <w:top w:val="single" w:sz="4" w:space="0" w:color="auto"/>
              <w:left w:val="nil"/>
              <w:bottom w:val="single" w:sz="4" w:space="0" w:color="auto"/>
              <w:right w:val="single" w:sz="4" w:space="0" w:color="auto"/>
            </w:tcBorders>
            <w:shd w:val="clear" w:color="000000" w:fill="0070C0"/>
            <w:noWrap/>
            <w:hideMark/>
          </w:tcPr>
          <w:p w14:paraId="31987734" w14:textId="77777777" w:rsidR="00952A6F" w:rsidRPr="00952A6F" w:rsidRDefault="00952A6F">
            <w:pPr>
              <w:jc w:val="center"/>
              <w:rPr>
                <w:b/>
                <w:bCs/>
                <w:noProof/>
                <w:color w:val="FFFFFF"/>
                <w:sz w:val="20"/>
                <w:szCs w:val="20"/>
              </w:rPr>
            </w:pPr>
            <w:r w:rsidRPr="00952A6F">
              <w:rPr>
                <w:b/>
                <w:bCs/>
                <w:noProof/>
                <w:color w:val="FFFFFF"/>
                <w:sz w:val="20"/>
                <w:szCs w:val="20"/>
              </w:rPr>
              <w:t>2050</w:t>
            </w:r>
          </w:p>
        </w:tc>
      </w:tr>
      <w:tr w:rsidR="00192EDB" w:rsidRPr="00952A6F" w14:paraId="48289091"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4BC4AF48" w14:textId="77777777" w:rsidR="00192EDB" w:rsidRPr="00952A6F" w:rsidRDefault="00192EDB" w:rsidP="00192EDB">
            <w:pPr>
              <w:outlineLvl w:val="0"/>
              <w:rPr>
                <w:noProof/>
                <w:sz w:val="20"/>
                <w:szCs w:val="20"/>
              </w:rPr>
            </w:pPr>
            <w:r w:rsidRPr="00952A6F">
              <w:rPr>
                <w:noProof/>
                <w:sz w:val="20"/>
                <w:szCs w:val="20"/>
              </w:rPr>
              <w:t xml:space="preserve"> </w:t>
            </w:r>
            <w:bookmarkStart w:id="579" w:name="_Toc223980183"/>
            <w:r w:rsidRPr="00952A6F">
              <w:rPr>
                <w:noProof/>
                <w:sz w:val="20"/>
                <w:szCs w:val="20"/>
              </w:rPr>
              <w:t>Germany</w:t>
            </w:r>
            <w:bookmarkEnd w:id="579"/>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3853007" w14:textId="30A996E9" w:rsidR="00192EDB" w:rsidRPr="00322CA4" w:rsidRDefault="00192EDB" w:rsidP="00192EDB">
            <w:pPr>
              <w:jc w:val="right"/>
              <w:outlineLvl w:val="0"/>
              <w:rPr>
                <w:noProof/>
                <w:sz w:val="20"/>
                <w:szCs w:val="20"/>
              </w:rPr>
            </w:pPr>
            <w:bookmarkStart w:id="580" w:name="_Toc223980184"/>
            <w:r w:rsidRPr="00322CA4">
              <w:rPr>
                <w:noProof/>
                <w:sz w:val="20"/>
                <w:szCs w:val="20"/>
              </w:rPr>
              <w:t>306.5</w:t>
            </w:r>
            <w:bookmarkEnd w:id="580"/>
          </w:p>
        </w:tc>
        <w:tc>
          <w:tcPr>
            <w:tcW w:w="828" w:type="pct"/>
            <w:tcBorders>
              <w:top w:val="nil"/>
              <w:left w:val="nil"/>
              <w:bottom w:val="single" w:sz="4" w:space="0" w:color="auto"/>
              <w:right w:val="single" w:sz="4" w:space="0" w:color="auto"/>
            </w:tcBorders>
            <w:shd w:val="clear" w:color="000000" w:fill="FFFFFF"/>
            <w:noWrap/>
            <w:hideMark/>
          </w:tcPr>
          <w:p w14:paraId="37905256" w14:textId="750F41CE" w:rsidR="00192EDB" w:rsidRPr="00322CA4" w:rsidRDefault="00192EDB" w:rsidP="00192EDB">
            <w:pPr>
              <w:jc w:val="right"/>
              <w:outlineLvl w:val="0"/>
              <w:rPr>
                <w:noProof/>
                <w:sz w:val="20"/>
                <w:szCs w:val="20"/>
              </w:rPr>
            </w:pPr>
            <w:bookmarkStart w:id="581" w:name="_Toc223980185"/>
            <w:r w:rsidRPr="00322CA4">
              <w:rPr>
                <w:noProof/>
                <w:sz w:val="20"/>
                <w:szCs w:val="20"/>
              </w:rPr>
              <w:t>38.4</w:t>
            </w:r>
            <w:bookmarkEnd w:id="581"/>
          </w:p>
        </w:tc>
        <w:tc>
          <w:tcPr>
            <w:tcW w:w="828" w:type="pct"/>
            <w:tcBorders>
              <w:top w:val="nil"/>
              <w:left w:val="nil"/>
              <w:bottom w:val="single" w:sz="4" w:space="0" w:color="auto"/>
              <w:right w:val="single" w:sz="4" w:space="0" w:color="auto"/>
            </w:tcBorders>
            <w:shd w:val="clear" w:color="000000" w:fill="FFFFFF"/>
            <w:noWrap/>
            <w:hideMark/>
          </w:tcPr>
          <w:p w14:paraId="36B38642" w14:textId="655C81E1" w:rsidR="00192EDB" w:rsidRPr="00322CA4" w:rsidRDefault="00192EDB" w:rsidP="00192EDB">
            <w:pPr>
              <w:jc w:val="right"/>
              <w:outlineLvl w:val="0"/>
              <w:rPr>
                <w:noProof/>
                <w:sz w:val="20"/>
                <w:szCs w:val="20"/>
              </w:rPr>
            </w:pPr>
            <w:bookmarkStart w:id="582" w:name="_Toc223980186"/>
            <w:r w:rsidRPr="00322CA4">
              <w:rPr>
                <w:noProof/>
                <w:sz w:val="20"/>
                <w:szCs w:val="20"/>
              </w:rPr>
              <w:t>41.3</w:t>
            </w:r>
            <w:bookmarkEnd w:id="582"/>
          </w:p>
        </w:tc>
        <w:tc>
          <w:tcPr>
            <w:tcW w:w="828" w:type="pct"/>
            <w:tcBorders>
              <w:top w:val="nil"/>
              <w:left w:val="nil"/>
              <w:bottom w:val="single" w:sz="4" w:space="0" w:color="auto"/>
              <w:right w:val="single" w:sz="4" w:space="0" w:color="auto"/>
            </w:tcBorders>
            <w:shd w:val="clear" w:color="000000" w:fill="FFFFFF"/>
            <w:noWrap/>
            <w:hideMark/>
          </w:tcPr>
          <w:p w14:paraId="203263BA" w14:textId="28EF934B" w:rsidR="00192EDB" w:rsidRPr="00322CA4" w:rsidRDefault="00192EDB" w:rsidP="00192EDB">
            <w:pPr>
              <w:jc w:val="right"/>
              <w:outlineLvl w:val="0"/>
              <w:rPr>
                <w:noProof/>
                <w:sz w:val="20"/>
                <w:szCs w:val="20"/>
              </w:rPr>
            </w:pPr>
            <w:bookmarkStart w:id="583" w:name="_Toc223980187"/>
            <w:r w:rsidRPr="00322CA4">
              <w:rPr>
                <w:noProof/>
                <w:sz w:val="20"/>
                <w:szCs w:val="20"/>
              </w:rPr>
              <w:t>37.7</w:t>
            </w:r>
            <w:bookmarkEnd w:id="583"/>
          </w:p>
        </w:tc>
      </w:tr>
      <w:tr w:rsidR="00192EDB" w:rsidRPr="00952A6F" w14:paraId="443B90DB"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573ED4C7" w14:textId="77777777" w:rsidR="00192EDB" w:rsidRPr="00952A6F" w:rsidRDefault="00192EDB" w:rsidP="00192EDB">
            <w:pPr>
              <w:outlineLvl w:val="0"/>
              <w:rPr>
                <w:noProof/>
                <w:sz w:val="20"/>
                <w:szCs w:val="20"/>
              </w:rPr>
            </w:pPr>
            <w:r w:rsidRPr="00952A6F">
              <w:rPr>
                <w:noProof/>
                <w:sz w:val="20"/>
                <w:szCs w:val="20"/>
              </w:rPr>
              <w:t xml:space="preserve"> </w:t>
            </w:r>
            <w:bookmarkStart w:id="584" w:name="_Toc223980188"/>
            <w:r w:rsidRPr="00952A6F">
              <w:rPr>
                <w:noProof/>
                <w:sz w:val="20"/>
                <w:szCs w:val="20"/>
              </w:rPr>
              <w:t>Austria</w:t>
            </w:r>
            <w:bookmarkEnd w:id="584"/>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075C8C9" w14:textId="09F27612" w:rsidR="00192EDB" w:rsidRPr="00322CA4" w:rsidRDefault="00192EDB" w:rsidP="00192EDB">
            <w:pPr>
              <w:jc w:val="right"/>
              <w:outlineLvl w:val="0"/>
              <w:rPr>
                <w:noProof/>
                <w:sz w:val="20"/>
                <w:szCs w:val="20"/>
              </w:rPr>
            </w:pPr>
            <w:bookmarkStart w:id="585" w:name="_Toc223980189"/>
            <w:r w:rsidRPr="00322CA4">
              <w:rPr>
                <w:noProof/>
                <w:sz w:val="20"/>
                <w:szCs w:val="20"/>
              </w:rPr>
              <w:t>229.9</w:t>
            </w:r>
            <w:bookmarkEnd w:id="585"/>
          </w:p>
        </w:tc>
        <w:tc>
          <w:tcPr>
            <w:tcW w:w="828" w:type="pct"/>
            <w:tcBorders>
              <w:top w:val="nil"/>
              <w:left w:val="nil"/>
              <w:bottom w:val="single" w:sz="4" w:space="0" w:color="auto"/>
              <w:right w:val="single" w:sz="4" w:space="0" w:color="auto"/>
            </w:tcBorders>
            <w:shd w:val="clear" w:color="000000" w:fill="FFFFFF"/>
            <w:noWrap/>
            <w:hideMark/>
          </w:tcPr>
          <w:p w14:paraId="61A48F79" w14:textId="35A85181" w:rsidR="00192EDB" w:rsidRPr="00322CA4" w:rsidRDefault="00192EDB" w:rsidP="00192EDB">
            <w:pPr>
              <w:jc w:val="right"/>
              <w:outlineLvl w:val="0"/>
              <w:rPr>
                <w:noProof/>
                <w:sz w:val="20"/>
                <w:szCs w:val="20"/>
              </w:rPr>
            </w:pPr>
            <w:bookmarkStart w:id="586" w:name="_Toc223980190"/>
            <w:r w:rsidRPr="00322CA4">
              <w:rPr>
                <w:noProof/>
                <w:sz w:val="20"/>
                <w:szCs w:val="20"/>
              </w:rPr>
              <w:t>28.8</w:t>
            </w:r>
            <w:bookmarkEnd w:id="586"/>
          </w:p>
        </w:tc>
        <w:tc>
          <w:tcPr>
            <w:tcW w:w="828" w:type="pct"/>
            <w:tcBorders>
              <w:top w:val="nil"/>
              <w:left w:val="nil"/>
              <w:bottom w:val="single" w:sz="4" w:space="0" w:color="auto"/>
              <w:right w:val="single" w:sz="4" w:space="0" w:color="auto"/>
            </w:tcBorders>
            <w:shd w:val="clear" w:color="000000" w:fill="FFFFFF"/>
            <w:noWrap/>
            <w:hideMark/>
          </w:tcPr>
          <w:p w14:paraId="0121079A" w14:textId="154B87D9" w:rsidR="00192EDB" w:rsidRPr="00322CA4" w:rsidRDefault="00192EDB" w:rsidP="00192EDB">
            <w:pPr>
              <w:jc w:val="right"/>
              <w:outlineLvl w:val="0"/>
              <w:rPr>
                <w:noProof/>
                <w:sz w:val="20"/>
                <w:szCs w:val="20"/>
              </w:rPr>
            </w:pPr>
            <w:bookmarkStart w:id="587" w:name="_Toc223980191"/>
            <w:r w:rsidRPr="00322CA4">
              <w:rPr>
                <w:noProof/>
                <w:sz w:val="20"/>
                <w:szCs w:val="20"/>
              </w:rPr>
              <w:t>31.0</w:t>
            </w:r>
            <w:bookmarkEnd w:id="587"/>
          </w:p>
        </w:tc>
        <w:tc>
          <w:tcPr>
            <w:tcW w:w="828" w:type="pct"/>
            <w:tcBorders>
              <w:top w:val="nil"/>
              <w:left w:val="nil"/>
              <w:bottom w:val="single" w:sz="4" w:space="0" w:color="auto"/>
              <w:right w:val="single" w:sz="4" w:space="0" w:color="auto"/>
            </w:tcBorders>
            <w:shd w:val="clear" w:color="000000" w:fill="FFFFFF"/>
            <w:noWrap/>
            <w:hideMark/>
          </w:tcPr>
          <w:p w14:paraId="6B2D4EF9" w14:textId="0DA75C56" w:rsidR="00192EDB" w:rsidRPr="00322CA4" w:rsidRDefault="00192EDB" w:rsidP="00192EDB">
            <w:pPr>
              <w:jc w:val="right"/>
              <w:outlineLvl w:val="0"/>
              <w:rPr>
                <w:noProof/>
                <w:sz w:val="20"/>
                <w:szCs w:val="20"/>
              </w:rPr>
            </w:pPr>
            <w:bookmarkStart w:id="588" w:name="_Toc223980192"/>
            <w:r w:rsidRPr="00322CA4">
              <w:rPr>
                <w:noProof/>
                <w:sz w:val="20"/>
                <w:szCs w:val="20"/>
              </w:rPr>
              <w:t>28.3</w:t>
            </w:r>
            <w:bookmarkEnd w:id="588"/>
          </w:p>
        </w:tc>
      </w:tr>
      <w:tr w:rsidR="00192EDB" w:rsidRPr="00952A6F" w14:paraId="33CA7165"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3C31043D" w14:textId="77777777" w:rsidR="00192EDB" w:rsidRPr="00952A6F" w:rsidRDefault="00192EDB" w:rsidP="00192EDB">
            <w:pPr>
              <w:outlineLvl w:val="0"/>
              <w:rPr>
                <w:noProof/>
                <w:sz w:val="20"/>
                <w:szCs w:val="20"/>
              </w:rPr>
            </w:pPr>
            <w:r w:rsidRPr="00952A6F">
              <w:rPr>
                <w:noProof/>
                <w:sz w:val="20"/>
                <w:szCs w:val="20"/>
              </w:rPr>
              <w:t xml:space="preserve"> </w:t>
            </w:r>
            <w:bookmarkStart w:id="589" w:name="_Toc223980193"/>
            <w:r w:rsidRPr="00952A6F">
              <w:rPr>
                <w:noProof/>
                <w:sz w:val="20"/>
                <w:szCs w:val="20"/>
              </w:rPr>
              <w:t>Denmark</w:t>
            </w:r>
            <w:bookmarkEnd w:id="589"/>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3F7C7A77" w14:textId="688E142D" w:rsidR="00192EDB" w:rsidRPr="00322CA4" w:rsidRDefault="00192EDB" w:rsidP="00192EDB">
            <w:pPr>
              <w:jc w:val="right"/>
              <w:outlineLvl w:val="0"/>
              <w:rPr>
                <w:noProof/>
                <w:sz w:val="20"/>
                <w:szCs w:val="20"/>
              </w:rPr>
            </w:pPr>
            <w:bookmarkStart w:id="590" w:name="_Toc223980194"/>
            <w:r w:rsidRPr="00322CA4">
              <w:rPr>
                <w:noProof/>
                <w:sz w:val="20"/>
                <w:szCs w:val="20"/>
              </w:rPr>
              <w:t>153.2</w:t>
            </w:r>
            <w:bookmarkEnd w:id="590"/>
          </w:p>
        </w:tc>
        <w:tc>
          <w:tcPr>
            <w:tcW w:w="828" w:type="pct"/>
            <w:tcBorders>
              <w:top w:val="nil"/>
              <w:left w:val="nil"/>
              <w:bottom w:val="single" w:sz="4" w:space="0" w:color="auto"/>
              <w:right w:val="single" w:sz="4" w:space="0" w:color="auto"/>
            </w:tcBorders>
            <w:shd w:val="clear" w:color="000000" w:fill="FFFFFF"/>
            <w:noWrap/>
            <w:hideMark/>
          </w:tcPr>
          <w:p w14:paraId="25730D0F" w14:textId="2DA8E062" w:rsidR="00192EDB" w:rsidRPr="00322CA4" w:rsidRDefault="00192EDB" w:rsidP="00192EDB">
            <w:pPr>
              <w:jc w:val="right"/>
              <w:outlineLvl w:val="0"/>
              <w:rPr>
                <w:noProof/>
                <w:sz w:val="20"/>
                <w:szCs w:val="20"/>
              </w:rPr>
            </w:pPr>
            <w:bookmarkStart w:id="591" w:name="_Toc223980195"/>
            <w:r w:rsidRPr="00322CA4">
              <w:rPr>
                <w:noProof/>
                <w:sz w:val="20"/>
                <w:szCs w:val="20"/>
              </w:rPr>
              <w:t>19.2</w:t>
            </w:r>
            <w:bookmarkEnd w:id="591"/>
          </w:p>
        </w:tc>
        <w:tc>
          <w:tcPr>
            <w:tcW w:w="828" w:type="pct"/>
            <w:tcBorders>
              <w:top w:val="nil"/>
              <w:left w:val="nil"/>
              <w:bottom w:val="single" w:sz="4" w:space="0" w:color="auto"/>
              <w:right w:val="single" w:sz="4" w:space="0" w:color="auto"/>
            </w:tcBorders>
            <w:shd w:val="clear" w:color="000000" w:fill="FFFFFF"/>
            <w:noWrap/>
            <w:hideMark/>
          </w:tcPr>
          <w:p w14:paraId="49C8CC85" w14:textId="42B4E7DE" w:rsidR="00192EDB" w:rsidRPr="00322CA4" w:rsidRDefault="00192EDB" w:rsidP="00192EDB">
            <w:pPr>
              <w:jc w:val="right"/>
              <w:outlineLvl w:val="0"/>
              <w:rPr>
                <w:noProof/>
                <w:sz w:val="20"/>
                <w:szCs w:val="20"/>
              </w:rPr>
            </w:pPr>
            <w:bookmarkStart w:id="592" w:name="_Toc223980196"/>
            <w:r w:rsidRPr="00322CA4">
              <w:rPr>
                <w:noProof/>
                <w:sz w:val="20"/>
                <w:szCs w:val="20"/>
              </w:rPr>
              <w:t>20.6</w:t>
            </w:r>
            <w:bookmarkEnd w:id="592"/>
          </w:p>
        </w:tc>
        <w:tc>
          <w:tcPr>
            <w:tcW w:w="828" w:type="pct"/>
            <w:tcBorders>
              <w:top w:val="nil"/>
              <w:left w:val="nil"/>
              <w:bottom w:val="single" w:sz="4" w:space="0" w:color="auto"/>
              <w:right w:val="single" w:sz="4" w:space="0" w:color="auto"/>
            </w:tcBorders>
            <w:shd w:val="clear" w:color="000000" w:fill="FFFFFF"/>
            <w:noWrap/>
            <w:hideMark/>
          </w:tcPr>
          <w:p w14:paraId="375ADC83" w14:textId="31300871" w:rsidR="00192EDB" w:rsidRPr="00322CA4" w:rsidRDefault="00192EDB" w:rsidP="00192EDB">
            <w:pPr>
              <w:jc w:val="right"/>
              <w:outlineLvl w:val="0"/>
              <w:rPr>
                <w:noProof/>
                <w:sz w:val="20"/>
                <w:szCs w:val="20"/>
              </w:rPr>
            </w:pPr>
            <w:bookmarkStart w:id="593" w:name="_Toc223980197"/>
            <w:r w:rsidRPr="00322CA4">
              <w:rPr>
                <w:noProof/>
                <w:sz w:val="20"/>
                <w:szCs w:val="20"/>
              </w:rPr>
              <w:t>18.9</w:t>
            </w:r>
            <w:bookmarkEnd w:id="593"/>
          </w:p>
        </w:tc>
      </w:tr>
      <w:tr w:rsidR="00192EDB" w:rsidRPr="00952A6F" w14:paraId="0B26F6F1"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786D076E" w14:textId="77777777" w:rsidR="00192EDB" w:rsidRPr="00952A6F" w:rsidRDefault="00192EDB" w:rsidP="00192EDB">
            <w:pPr>
              <w:outlineLvl w:val="0"/>
              <w:rPr>
                <w:noProof/>
                <w:sz w:val="20"/>
                <w:szCs w:val="20"/>
              </w:rPr>
            </w:pPr>
            <w:r w:rsidRPr="00952A6F">
              <w:rPr>
                <w:noProof/>
                <w:sz w:val="20"/>
                <w:szCs w:val="20"/>
              </w:rPr>
              <w:t xml:space="preserve"> </w:t>
            </w:r>
            <w:bookmarkStart w:id="594" w:name="_Toc223980198"/>
            <w:r w:rsidRPr="00952A6F">
              <w:rPr>
                <w:noProof/>
                <w:sz w:val="20"/>
                <w:szCs w:val="20"/>
              </w:rPr>
              <w:t>Luxembourg</w:t>
            </w:r>
            <w:bookmarkEnd w:id="594"/>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09C2FBB4" w14:textId="1AC093E5" w:rsidR="00192EDB" w:rsidRPr="00322CA4" w:rsidRDefault="00192EDB" w:rsidP="00192EDB">
            <w:pPr>
              <w:jc w:val="right"/>
              <w:outlineLvl w:val="0"/>
              <w:rPr>
                <w:noProof/>
                <w:sz w:val="20"/>
                <w:szCs w:val="20"/>
              </w:rPr>
            </w:pPr>
            <w:bookmarkStart w:id="595" w:name="_Toc223980199"/>
            <w:r w:rsidRPr="00322CA4">
              <w:rPr>
                <w:noProof/>
                <w:sz w:val="20"/>
                <w:szCs w:val="20"/>
              </w:rPr>
              <w:t>102.2</w:t>
            </w:r>
            <w:bookmarkEnd w:id="595"/>
          </w:p>
        </w:tc>
        <w:tc>
          <w:tcPr>
            <w:tcW w:w="828" w:type="pct"/>
            <w:tcBorders>
              <w:top w:val="nil"/>
              <w:left w:val="nil"/>
              <w:bottom w:val="single" w:sz="4" w:space="0" w:color="auto"/>
              <w:right w:val="single" w:sz="4" w:space="0" w:color="auto"/>
            </w:tcBorders>
            <w:shd w:val="clear" w:color="000000" w:fill="FFFFFF"/>
            <w:noWrap/>
            <w:hideMark/>
          </w:tcPr>
          <w:p w14:paraId="183EDBDE" w14:textId="68F67E8C" w:rsidR="00192EDB" w:rsidRPr="00322CA4" w:rsidRDefault="00192EDB" w:rsidP="00192EDB">
            <w:pPr>
              <w:jc w:val="right"/>
              <w:outlineLvl w:val="0"/>
              <w:rPr>
                <w:noProof/>
                <w:sz w:val="20"/>
                <w:szCs w:val="20"/>
              </w:rPr>
            </w:pPr>
            <w:bookmarkStart w:id="596" w:name="_Toc223980200"/>
            <w:r w:rsidRPr="00322CA4">
              <w:rPr>
                <w:noProof/>
                <w:sz w:val="20"/>
                <w:szCs w:val="20"/>
              </w:rPr>
              <w:t>12.8</w:t>
            </w:r>
            <w:bookmarkEnd w:id="596"/>
          </w:p>
        </w:tc>
        <w:tc>
          <w:tcPr>
            <w:tcW w:w="828" w:type="pct"/>
            <w:tcBorders>
              <w:top w:val="nil"/>
              <w:left w:val="nil"/>
              <w:bottom w:val="single" w:sz="4" w:space="0" w:color="auto"/>
              <w:right w:val="single" w:sz="4" w:space="0" w:color="auto"/>
            </w:tcBorders>
            <w:shd w:val="clear" w:color="000000" w:fill="FFFFFF"/>
            <w:noWrap/>
            <w:hideMark/>
          </w:tcPr>
          <w:p w14:paraId="3E85A552" w14:textId="5361B034" w:rsidR="00192EDB" w:rsidRPr="00322CA4" w:rsidRDefault="00192EDB" w:rsidP="00192EDB">
            <w:pPr>
              <w:jc w:val="right"/>
              <w:outlineLvl w:val="0"/>
              <w:rPr>
                <w:noProof/>
                <w:sz w:val="20"/>
                <w:szCs w:val="20"/>
              </w:rPr>
            </w:pPr>
            <w:bookmarkStart w:id="597" w:name="_Toc223980201"/>
            <w:r w:rsidRPr="00322CA4">
              <w:rPr>
                <w:noProof/>
                <w:sz w:val="20"/>
                <w:szCs w:val="20"/>
              </w:rPr>
              <w:t>13.8</w:t>
            </w:r>
            <w:bookmarkEnd w:id="597"/>
          </w:p>
        </w:tc>
        <w:tc>
          <w:tcPr>
            <w:tcW w:w="828" w:type="pct"/>
            <w:tcBorders>
              <w:top w:val="nil"/>
              <w:left w:val="nil"/>
              <w:bottom w:val="single" w:sz="4" w:space="0" w:color="auto"/>
              <w:right w:val="single" w:sz="4" w:space="0" w:color="auto"/>
            </w:tcBorders>
            <w:shd w:val="clear" w:color="000000" w:fill="FFFFFF"/>
            <w:noWrap/>
            <w:hideMark/>
          </w:tcPr>
          <w:p w14:paraId="2824142E" w14:textId="65B19195" w:rsidR="00192EDB" w:rsidRPr="00322CA4" w:rsidRDefault="00192EDB" w:rsidP="00192EDB">
            <w:pPr>
              <w:jc w:val="right"/>
              <w:outlineLvl w:val="0"/>
              <w:rPr>
                <w:noProof/>
                <w:sz w:val="20"/>
                <w:szCs w:val="20"/>
              </w:rPr>
            </w:pPr>
            <w:bookmarkStart w:id="598" w:name="_Toc223980202"/>
            <w:r w:rsidRPr="00322CA4">
              <w:rPr>
                <w:noProof/>
                <w:sz w:val="20"/>
                <w:szCs w:val="20"/>
              </w:rPr>
              <w:t>12.6</w:t>
            </w:r>
            <w:bookmarkEnd w:id="598"/>
          </w:p>
        </w:tc>
      </w:tr>
      <w:tr w:rsidR="00192EDB" w:rsidRPr="00952A6F" w14:paraId="24FE207B"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70DC20F0" w14:textId="77777777" w:rsidR="00192EDB" w:rsidRPr="00952A6F" w:rsidRDefault="00192EDB" w:rsidP="00192EDB">
            <w:pPr>
              <w:outlineLvl w:val="0"/>
              <w:rPr>
                <w:noProof/>
                <w:sz w:val="20"/>
                <w:szCs w:val="20"/>
              </w:rPr>
            </w:pPr>
            <w:r w:rsidRPr="00952A6F">
              <w:rPr>
                <w:noProof/>
                <w:sz w:val="20"/>
                <w:szCs w:val="20"/>
              </w:rPr>
              <w:t xml:space="preserve"> </w:t>
            </w:r>
            <w:bookmarkStart w:id="599" w:name="_Toc223980203"/>
            <w:r w:rsidRPr="00952A6F">
              <w:rPr>
                <w:noProof/>
                <w:sz w:val="20"/>
                <w:szCs w:val="20"/>
              </w:rPr>
              <w:t>Finland</w:t>
            </w:r>
            <w:bookmarkEnd w:id="599"/>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47E88987" w14:textId="682AE109" w:rsidR="00192EDB" w:rsidRPr="00322CA4" w:rsidRDefault="00192EDB" w:rsidP="00192EDB">
            <w:pPr>
              <w:jc w:val="right"/>
              <w:outlineLvl w:val="0"/>
              <w:rPr>
                <w:noProof/>
                <w:sz w:val="20"/>
                <w:szCs w:val="20"/>
              </w:rPr>
            </w:pPr>
            <w:bookmarkStart w:id="600" w:name="_Toc223980204"/>
            <w:r w:rsidRPr="00322CA4">
              <w:rPr>
                <w:noProof/>
                <w:sz w:val="20"/>
                <w:szCs w:val="20"/>
              </w:rPr>
              <w:t>127.7</w:t>
            </w:r>
            <w:bookmarkEnd w:id="600"/>
          </w:p>
        </w:tc>
        <w:tc>
          <w:tcPr>
            <w:tcW w:w="828" w:type="pct"/>
            <w:tcBorders>
              <w:top w:val="nil"/>
              <w:left w:val="nil"/>
              <w:bottom w:val="single" w:sz="4" w:space="0" w:color="auto"/>
              <w:right w:val="single" w:sz="4" w:space="0" w:color="auto"/>
            </w:tcBorders>
            <w:shd w:val="clear" w:color="000000" w:fill="FFFFFF"/>
            <w:noWrap/>
            <w:hideMark/>
          </w:tcPr>
          <w:p w14:paraId="3EF0E113" w14:textId="5008034A" w:rsidR="00192EDB" w:rsidRPr="00322CA4" w:rsidRDefault="00192EDB" w:rsidP="00192EDB">
            <w:pPr>
              <w:jc w:val="right"/>
              <w:outlineLvl w:val="0"/>
              <w:rPr>
                <w:noProof/>
                <w:sz w:val="20"/>
                <w:szCs w:val="20"/>
              </w:rPr>
            </w:pPr>
            <w:bookmarkStart w:id="601" w:name="_Toc223980205"/>
            <w:r w:rsidRPr="00322CA4">
              <w:rPr>
                <w:noProof/>
                <w:sz w:val="20"/>
                <w:szCs w:val="20"/>
              </w:rPr>
              <w:t>16.0</w:t>
            </w:r>
            <w:bookmarkEnd w:id="601"/>
          </w:p>
        </w:tc>
        <w:tc>
          <w:tcPr>
            <w:tcW w:w="828" w:type="pct"/>
            <w:tcBorders>
              <w:top w:val="nil"/>
              <w:left w:val="nil"/>
              <w:bottom w:val="single" w:sz="4" w:space="0" w:color="auto"/>
              <w:right w:val="single" w:sz="4" w:space="0" w:color="auto"/>
            </w:tcBorders>
            <w:shd w:val="clear" w:color="000000" w:fill="FFFFFF"/>
            <w:noWrap/>
            <w:hideMark/>
          </w:tcPr>
          <w:p w14:paraId="39F7785C" w14:textId="5E7312BC" w:rsidR="00192EDB" w:rsidRPr="00322CA4" w:rsidRDefault="00192EDB" w:rsidP="00192EDB">
            <w:pPr>
              <w:jc w:val="right"/>
              <w:outlineLvl w:val="0"/>
              <w:rPr>
                <w:noProof/>
                <w:sz w:val="20"/>
                <w:szCs w:val="20"/>
              </w:rPr>
            </w:pPr>
            <w:bookmarkStart w:id="602" w:name="_Toc223980206"/>
            <w:r w:rsidRPr="00322CA4">
              <w:rPr>
                <w:noProof/>
                <w:sz w:val="20"/>
                <w:szCs w:val="20"/>
              </w:rPr>
              <w:t>17.2</w:t>
            </w:r>
            <w:bookmarkEnd w:id="602"/>
          </w:p>
        </w:tc>
        <w:tc>
          <w:tcPr>
            <w:tcW w:w="828" w:type="pct"/>
            <w:tcBorders>
              <w:top w:val="nil"/>
              <w:left w:val="nil"/>
              <w:bottom w:val="single" w:sz="4" w:space="0" w:color="auto"/>
              <w:right w:val="single" w:sz="4" w:space="0" w:color="auto"/>
            </w:tcBorders>
            <w:shd w:val="clear" w:color="000000" w:fill="FFFFFF"/>
            <w:noWrap/>
            <w:hideMark/>
          </w:tcPr>
          <w:p w14:paraId="65D12ED2" w14:textId="7FA2A2DD" w:rsidR="00192EDB" w:rsidRPr="00322CA4" w:rsidRDefault="00192EDB" w:rsidP="00192EDB">
            <w:pPr>
              <w:jc w:val="right"/>
              <w:outlineLvl w:val="0"/>
              <w:rPr>
                <w:noProof/>
                <w:sz w:val="20"/>
                <w:szCs w:val="20"/>
              </w:rPr>
            </w:pPr>
            <w:bookmarkStart w:id="603" w:name="_Toc223980207"/>
            <w:r w:rsidRPr="00322CA4">
              <w:rPr>
                <w:noProof/>
                <w:sz w:val="20"/>
                <w:szCs w:val="20"/>
              </w:rPr>
              <w:t>15.7</w:t>
            </w:r>
            <w:bookmarkEnd w:id="603"/>
          </w:p>
        </w:tc>
      </w:tr>
      <w:tr w:rsidR="00192EDB" w:rsidRPr="00952A6F" w14:paraId="75B995AA"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4430E1A1" w14:textId="77777777" w:rsidR="00192EDB" w:rsidRPr="00952A6F" w:rsidRDefault="00192EDB" w:rsidP="00192EDB">
            <w:pPr>
              <w:outlineLvl w:val="0"/>
              <w:rPr>
                <w:noProof/>
                <w:sz w:val="20"/>
                <w:szCs w:val="20"/>
              </w:rPr>
            </w:pPr>
            <w:r w:rsidRPr="00952A6F">
              <w:rPr>
                <w:noProof/>
                <w:sz w:val="20"/>
                <w:szCs w:val="20"/>
              </w:rPr>
              <w:t xml:space="preserve"> </w:t>
            </w:r>
            <w:bookmarkStart w:id="604" w:name="_Toc223980208"/>
            <w:r w:rsidRPr="00952A6F">
              <w:rPr>
                <w:noProof/>
                <w:sz w:val="20"/>
                <w:szCs w:val="20"/>
              </w:rPr>
              <w:t>Spain</w:t>
            </w:r>
            <w:bookmarkEnd w:id="604"/>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24CBA40" w14:textId="1D4F000F" w:rsidR="00192EDB" w:rsidRPr="00322CA4" w:rsidRDefault="00192EDB" w:rsidP="00192EDB">
            <w:pPr>
              <w:jc w:val="right"/>
              <w:outlineLvl w:val="0"/>
              <w:rPr>
                <w:noProof/>
                <w:sz w:val="20"/>
                <w:szCs w:val="20"/>
              </w:rPr>
            </w:pPr>
            <w:bookmarkStart w:id="605" w:name="_Toc223980209"/>
            <w:r w:rsidRPr="00322CA4">
              <w:rPr>
                <w:noProof/>
                <w:sz w:val="20"/>
                <w:szCs w:val="20"/>
              </w:rPr>
              <w:t>102.2</w:t>
            </w:r>
            <w:bookmarkEnd w:id="605"/>
          </w:p>
        </w:tc>
        <w:tc>
          <w:tcPr>
            <w:tcW w:w="828" w:type="pct"/>
            <w:tcBorders>
              <w:top w:val="nil"/>
              <w:left w:val="nil"/>
              <w:bottom w:val="single" w:sz="4" w:space="0" w:color="auto"/>
              <w:right w:val="single" w:sz="4" w:space="0" w:color="auto"/>
            </w:tcBorders>
            <w:shd w:val="clear" w:color="000000" w:fill="FFFFFF"/>
            <w:noWrap/>
            <w:hideMark/>
          </w:tcPr>
          <w:p w14:paraId="7491FE24" w14:textId="7AC1F804" w:rsidR="00192EDB" w:rsidRPr="00322CA4" w:rsidRDefault="00192EDB" w:rsidP="00192EDB">
            <w:pPr>
              <w:jc w:val="right"/>
              <w:outlineLvl w:val="0"/>
              <w:rPr>
                <w:noProof/>
                <w:sz w:val="20"/>
                <w:szCs w:val="20"/>
              </w:rPr>
            </w:pPr>
            <w:bookmarkStart w:id="606" w:name="_Toc223980210"/>
            <w:r w:rsidRPr="00322CA4">
              <w:rPr>
                <w:noProof/>
                <w:sz w:val="20"/>
                <w:szCs w:val="20"/>
              </w:rPr>
              <w:t>12.8</w:t>
            </w:r>
            <w:bookmarkEnd w:id="606"/>
          </w:p>
        </w:tc>
        <w:tc>
          <w:tcPr>
            <w:tcW w:w="828" w:type="pct"/>
            <w:tcBorders>
              <w:top w:val="nil"/>
              <w:left w:val="nil"/>
              <w:bottom w:val="single" w:sz="4" w:space="0" w:color="auto"/>
              <w:right w:val="single" w:sz="4" w:space="0" w:color="auto"/>
            </w:tcBorders>
            <w:shd w:val="clear" w:color="000000" w:fill="FFFFFF"/>
            <w:noWrap/>
            <w:hideMark/>
          </w:tcPr>
          <w:p w14:paraId="1FCFA391" w14:textId="7E54B6F9" w:rsidR="00192EDB" w:rsidRPr="00322CA4" w:rsidRDefault="00192EDB" w:rsidP="00192EDB">
            <w:pPr>
              <w:jc w:val="right"/>
              <w:outlineLvl w:val="0"/>
              <w:rPr>
                <w:noProof/>
                <w:sz w:val="20"/>
                <w:szCs w:val="20"/>
              </w:rPr>
            </w:pPr>
            <w:bookmarkStart w:id="607" w:name="_Toc223980211"/>
            <w:r w:rsidRPr="00322CA4">
              <w:rPr>
                <w:noProof/>
                <w:sz w:val="20"/>
                <w:szCs w:val="20"/>
              </w:rPr>
              <w:t>13.8</w:t>
            </w:r>
            <w:bookmarkEnd w:id="607"/>
          </w:p>
        </w:tc>
        <w:tc>
          <w:tcPr>
            <w:tcW w:w="828" w:type="pct"/>
            <w:tcBorders>
              <w:top w:val="nil"/>
              <w:left w:val="nil"/>
              <w:bottom w:val="single" w:sz="4" w:space="0" w:color="auto"/>
              <w:right w:val="single" w:sz="4" w:space="0" w:color="auto"/>
            </w:tcBorders>
            <w:shd w:val="clear" w:color="000000" w:fill="FFFFFF"/>
            <w:noWrap/>
            <w:hideMark/>
          </w:tcPr>
          <w:p w14:paraId="7BC2A825" w14:textId="12FC62AD" w:rsidR="00192EDB" w:rsidRPr="00322CA4" w:rsidRDefault="00192EDB" w:rsidP="00192EDB">
            <w:pPr>
              <w:jc w:val="right"/>
              <w:outlineLvl w:val="0"/>
              <w:rPr>
                <w:noProof/>
                <w:sz w:val="20"/>
                <w:szCs w:val="20"/>
              </w:rPr>
            </w:pPr>
            <w:bookmarkStart w:id="608" w:name="_Toc223980212"/>
            <w:r w:rsidRPr="00322CA4">
              <w:rPr>
                <w:noProof/>
                <w:sz w:val="20"/>
                <w:szCs w:val="20"/>
              </w:rPr>
              <w:t>12.6</w:t>
            </w:r>
            <w:bookmarkEnd w:id="608"/>
          </w:p>
        </w:tc>
      </w:tr>
      <w:tr w:rsidR="00192EDB" w:rsidRPr="00952A6F" w14:paraId="398B74EA"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BAF8F45" w14:textId="77777777" w:rsidR="00192EDB" w:rsidRPr="00952A6F" w:rsidRDefault="00192EDB" w:rsidP="00192EDB">
            <w:pPr>
              <w:outlineLvl w:val="0"/>
              <w:rPr>
                <w:noProof/>
                <w:sz w:val="20"/>
                <w:szCs w:val="20"/>
              </w:rPr>
            </w:pPr>
            <w:r w:rsidRPr="00952A6F">
              <w:rPr>
                <w:noProof/>
                <w:sz w:val="20"/>
                <w:szCs w:val="20"/>
              </w:rPr>
              <w:t xml:space="preserve"> </w:t>
            </w:r>
            <w:bookmarkStart w:id="609" w:name="_Toc223980213"/>
            <w:r w:rsidRPr="00952A6F">
              <w:rPr>
                <w:noProof/>
                <w:sz w:val="20"/>
                <w:szCs w:val="20"/>
              </w:rPr>
              <w:t>Netherlands</w:t>
            </w:r>
            <w:bookmarkEnd w:id="609"/>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4918354A" w14:textId="77622FD5" w:rsidR="00192EDB" w:rsidRPr="00322CA4" w:rsidRDefault="00192EDB" w:rsidP="00192EDB">
            <w:pPr>
              <w:jc w:val="right"/>
              <w:outlineLvl w:val="0"/>
              <w:rPr>
                <w:noProof/>
                <w:sz w:val="20"/>
                <w:szCs w:val="20"/>
              </w:rPr>
            </w:pPr>
            <w:bookmarkStart w:id="610" w:name="_Toc223980214"/>
            <w:r w:rsidRPr="00322CA4">
              <w:rPr>
                <w:noProof/>
                <w:sz w:val="20"/>
                <w:szCs w:val="20"/>
              </w:rPr>
              <w:t>255.4</w:t>
            </w:r>
            <w:bookmarkEnd w:id="610"/>
          </w:p>
        </w:tc>
        <w:tc>
          <w:tcPr>
            <w:tcW w:w="828" w:type="pct"/>
            <w:tcBorders>
              <w:top w:val="nil"/>
              <w:left w:val="nil"/>
              <w:bottom w:val="single" w:sz="4" w:space="0" w:color="auto"/>
              <w:right w:val="single" w:sz="4" w:space="0" w:color="auto"/>
            </w:tcBorders>
            <w:shd w:val="clear" w:color="000000" w:fill="FFFFFF"/>
            <w:noWrap/>
            <w:hideMark/>
          </w:tcPr>
          <w:p w14:paraId="40C12F06" w14:textId="0CD1E5EF" w:rsidR="00192EDB" w:rsidRPr="00322CA4" w:rsidRDefault="00192EDB" w:rsidP="00192EDB">
            <w:pPr>
              <w:jc w:val="right"/>
              <w:outlineLvl w:val="0"/>
              <w:rPr>
                <w:noProof/>
                <w:sz w:val="20"/>
                <w:szCs w:val="20"/>
              </w:rPr>
            </w:pPr>
            <w:bookmarkStart w:id="611" w:name="_Toc223980215"/>
            <w:r w:rsidRPr="00322CA4">
              <w:rPr>
                <w:noProof/>
                <w:sz w:val="20"/>
                <w:szCs w:val="20"/>
              </w:rPr>
              <w:t>32.0</w:t>
            </w:r>
            <w:bookmarkEnd w:id="611"/>
          </w:p>
        </w:tc>
        <w:tc>
          <w:tcPr>
            <w:tcW w:w="828" w:type="pct"/>
            <w:tcBorders>
              <w:top w:val="nil"/>
              <w:left w:val="nil"/>
              <w:bottom w:val="single" w:sz="4" w:space="0" w:color="auto"/>
              <w:right w:val="single" w:sz="4" w:space="0" w:color="auto"/>
            </w:tcBorders>
            <w:shd w:val="clear" w:color="000000" w:fill="FFFFFF"/>
            <w:noWrap/>
            <w:hideMark/>
          </w:tcPr>
          <w:p w14:paraId="4E35DC89" w14:textId="6B6EB67F" w:rsidR="00192EDB" w:rsidRPr="00322CA4" w:rsidRDefault="00192EDB" w:rsidP="00192EDB">
            <w:pPr>
              <w:jc w:val="right"/>
              <w:outlineLvl w:val="0"/>
              <w:rPr>
                <w:noProof/>
                <w:sz w:val="20"/>
                <w:szCs w:val="20"/>
              </w:rPr>
            </w:pPr>
            <w:bookmarkStart w:id="612" w:name="_Toc223980216"/>
            <w:r w:rsidRPr="00322CA4">
              <w:rPr>
                <w:noProof/>
                <w:sz w:val="20"/>
                <w:szCs w:val="20"/>
              </w:rPr>
              <w:t>34.4</w:t>
            </w:r>
            <w:bookmarkEnd w:id="612"/>
          </w:p>
        </w:tc>
        <w:tc>
          <w:tcPr>
            <w:tcW w:w="828" w:type="pct"/>
            <w:tcBorders>
              <w:top w:val="nil"/>
              <w:left w:val="nil"/>
              <w:bottom w:val="single" w:sz="4" w:space="0" w:color="auto"/>
              <w:right w:val="single" w:sz="4" w:space="0" w:color="auto"/>
            </w:tcBorders>
            <w:shd w:val="clear" w:color="000000" w:fill="FFFFFF"/>
            <w:noWrap/>
            <w:hideMark/>
          </w:tcPr>
          <w:p w14:paraId="035A4811" w14:textId="115C1A94" w:rsidR="00192EDB" w:rsidRPr="00322CA4" w:rsidRDefault="00192EDB" w:rsidP="00192EDB">
            <w:pPr>
              <w:jc w:val="right"/>
              <w:outlineLvl w:val="0"/>
              <w:rPr>
                <w:noProof/>
                <w:sz w:val="20"/>
                <w:szCs w:val="20"/>
              </w:rPr>
            </w:pPr>
            <w:bookmarkStart w:id="613" w:name="_Toc223980217"/>
            <w:r w:rsidRPr="00322CA4">
              <w:rPr>
                <w:noProof/>
                <w:sz w:val="20"/>
                <w:szCs w:val="20"/>
              </w:rPr>
              <w:t>31.5</w:t>
            </w:r>
            <w:bookmarkEnd w:id="613"/>
          </w:p>
        </w:tc>
      </w:tr>
      <w:tr w:rsidR="00192EDB" w:rsidRPr="00952A6F" w14:paraId="15C3B2E5"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36110C73" w14:textId="77777777" w:rsidR="00192EDB" w:rsidRPr="00952A6F" w:rsidRDefault="00192EDB" w:rsidP="00192EDB">
            <w:pPr>
              <w:outlineLvl w:val="0"/>
              <w:rPr>
                <w:noProof/>
                <w:sz w:val="20"/>
                <w:szCs w:val="20"/>
              </w:rPr>
            </w:pPr>
            <w:r w:rsidRPr="00952A6F">
              <w:rPr>
                <w:noProof/>
                <w:sz w:val="20"/>
                <w:szCs w:val="20"/>
              </w:rPr>
              <w:t xml:space="preserve"> </w:t>
            </w:r>
            <w:bookmarkStart w:id="614" w:name="_Toc223980218"/>
            <w:r w:rsidRPr="00952A6F">
              <w:rPr>
                <w:noProof/>
                <w:sz w:val="20"/>
                <w:szCs w:val="20"/>
              </w:rPr>
              <w:t>France</w:t>
            </w:r>
            <w:bookmarkEnd w:id="614"/>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471770A4" w14:textId="15745DBC" w:rsidR="00192EDB" w:rsidRPr="00322CA4" w:rsidRDefault="00192EDB" w:rsidP="00192EDB">
            <w:pPr>
              <w:jc w:val="right"/>
              <w:outlineLvl w:val="0"/>
              <w:rPr>
                <w:noProof/>
                <w:sz w:val="20"/>
                <w:szCs w:val="20"/>
              </w:rPr>
            </w:pPr>
            <w:bookmarkStart w:id="615" w:name="_Toc223980219"/>
            <w:r w:rsidRPr="00322CA4">
              <w:rPr>
                <w:noProof/>
                <w:sz w:val="20"/>
                <w:szCs w:val="20"/>
              </w:rPr>
              <w:t>332.0</w:t>
            </w:r>
            <w:bookmarkEnd w:id="615"/>
          </w:p>
        </w:tc>
        <w:tc>
          <w:tcPr>
            <w:tcW w:w="828" w:type="pct"/>
            <w:tcBorders>
              <w:top w:val="nil"/>
              <w:left w:val="nil"/>
              <w:bottom w:val="single" w:sz="4" w:space="0" w:color="auto"/>
              <w:right w:val="single" w:sz="4" w:space="0" w:color="auto"/>
            </w:tcBorders>
            <w:shd w:val="clear" w:color="000000" w:fill="FFFFFF"/>
            <w:noWrap/>
            <w:hideMark/>
          </w:tcPr>
          <w:p w14:paraId="69492DC0" w14:textId="2C3CB117" w:rsidR="00192EDB" w:rsidRPr="00322CA4" w:rsidRDefault="00192EDB" w:rsidP="00192EDB">
            <w:pPr>
              <w:jc w:val="right"/>
              <w:outlineLvl w:val="0"/>
              <w:rPr>
                <w:noProof/>
                <w:sz w:val="20"/>
                <w:szCs w:val="20"/>
              </w:rPr>
            </w:pPr>
            <w:bookmarkStart w:id="616" w:name="_Toc223980220"/>
            <w:r w:rsidRPr="00322CA4">
              <w:rPr>
                <w:noProof/>
                <w:sz w:val="20"/>
                <w:szCs w:val="20"/>
              </w:rPr>
              <w:t>41.6</w:t>
            </w:r>
            <w:bookmarkEnd w:id="616"/>
          </w:p>
        </w:tc>
        <w:tc>
          <w:tcPr>
            <w:tcW w:w="828" w:type="pct"/>
            <w:tcBorders>
              <w:top w:val="nil"/>
              <w:left w:val="nil"/>
              <w:bottom w:val="single" w:sz="4" w:space="0" w:color="auto"/>
              <w:right w:val="single" w:sz="4" w:space="0" w:color="auto"/>
            </w:tcBorders>
            <w:shd w:val="clear" w:color="000000" w:fill="FFFFFF"/>
            <w:noWrap/>
            <w:hideMark/>
          </w:tcPr>
          <w:p w14:paraId="376D075A" w14:textId="2F62973F" w:rsidR="00192EDB" w:rsidRPr="00322CA4" w:rsidRDefault="00192EDB" w:rsidP="00192EDB">
            <w:pPr>
              <w:jc w:val="right"/>
              <w:outlineLvl w:val="0"/>
              <w:rPr>
                <w:noProof/>
                <w:sz w:val="20"/>
                <w:szCs w:val="20"/>
              </w:rPr>
            </w:pPr>
            <w:bookmarkStart w:id="617" w:name="_Toc223980221"/>
            <w:r w:rsidRPr="00322CA4">
              <w:rPr>
                <w:noProof/>
                <w:sz w:val="20"/>
                <w:szCs w:val="20"/>
              </w:rPr>
              <w:t>44.7</w:t>
            </w:r>
            <w:bookmarkEnd w:id="617"/>
          </w:p>
        </w:tc>
        <w:tc>
          <w:tcPr>
            <w:tcW w:w="828" w:type="pct"/>
            <w:tcBorders>
              <w:top w:val="nil"/>
              <w:left w:val="nil"/>
              <w:bottom w:val="single" w:sz="4" w:space="0" w:color="auto"/>
              <w:right w:val="single" w:sz="4" w:space="0" w:color="auto"/>
            </w:tcBorders>
            <w:shd w:val="clear" w:color="000000" w:fill="FFFFFF"/>
            <w:noWrap/>
            <w:hideMark/>
          </w:tcPr>
          <w:p w14:paraId="6CBFD10C" w14:textId="74512832" w:rsidR="00192EDB" w:rsidRPr="00322CA4" w:rsidRDefault="00192EDB" w:rsidP="00192EDB">
            <w:pPr>
              <w:jc w:val="right"/>
              <w:outlineLvl w:val="0"/>
              <w:rPr>
                <w:noProof/>
                <w:sz w:val="20"/>
                <w:szCs w:val="20"/>
              </w:rPr>
            </w:pPr>
            <w:bookmarkStart w:id="618" w:name="_Toc223980222"/>
            <w:r w:rsidRPr="00322CA4">
              <w:rPr>
                <w:noProof/>
                <w:sz w:val="20"/>
                <w:szCs w:val="20"/>
              </w:rPr>
              <w:t>40.9</w:t>
            </w:r>
            <w:bookmarkEnd w:id="618"/>
          </w:p>
        </w:tc>
      </w:tr>
      <w:tr w:rsidR="00192EDB" w:rsidRPr="00952A6F" w14:paraId="411ADF60"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0FB2C6A6" w14:textId="77777777" w:rsidR="00192EDB" w:rsidRPr="00952A6F" w:rsidRDefault="00192EDB" w:rsidP="00192EDB">
            <w:pPr>
              <w:outlineLvl w:val="0"/>
              <w:rPr>
                <w:noProof/>
                <w:sz w:val="20"/>
                <w:szCs w:val="20"/>
              </w:rPr>
            </w:pPr>
            <w:r w:rsidRPr="00952A6F">
              <w:rPr>
                <w:noProof/>
                <w:sz w:val="20"/>
                <w:szCs w:val="20"/>
              </w:rPr>
              <w:t xml:space="preserve"> </w:t>
            </w:r>
            <w:bookmarkStart w:id="619" w:name="_Toc223980223"/>
            <w:r w:rsidRPr="00952A6F">
              <w:rPr>
                <w:noProof/>
                <w:sz w:val="20"/>
                <w:szCs w:val="20"/>
              </w:rPr>
              <w:t>Poland</w:t>
            </w:r>
            <w:bookmarkEnd w:id="619"/>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87B7E68" w14:textId="687FFDF9" w:rsidR="00192EDB" w:rsidRPr="00322CA4" w:rsidRDefault="00192EDB" w:rsidP="00192EDB">
            <w:pPr>
              <w:jc w:val="right"/>
              <w:outlineLvl w:val="0"/>
              <w:rPr>
                <w:noProof/>
                <w:sz w:val="20"/>
                <w:szCs w:val="20"/>
              </w:rPr>
            </w:pPr>
            <w:bookmarkStart w:id="620" w:name="_Toc223980224"/>
            <w:r w:rsidRPr="00322CA4">
              <w:rPr>
                <w:noProof/>
                <w:sz w:val="20"/>
                <w:szCs w:val="20"/>
              </w:rPr>
              <w:t>178.8</w:t>
            </w:r>
            <w:bookmarkEnd w:id="620"/>
          </w:p>
        </w:tc>
        <w:tc>
          <w:tcPr>
            <w:tcW w:w="828" w:type="pct"/>
            <w:tcBorders>
              <w:top w:val="nil"/>
              <w:left w:val="nil"/>
              <w:bottom w:val="single" w:sz="4" w:space="0" w:color="auto"/>
              <w:right w:val="single" w:sz="4" w:space="0" w:color="auto"/>
            </w:tcBorders>
            <w:shd w:val="clear" w:color="000000" w:fill="FFFFFF"/>
            <w:noWrap/>
            <w:hideMark/>
          </w:tcPr>
          <w:p w14:paraId="14AD4D27" w14:textId="113F2462" w:rsidR="00192EDB" w:rsidRPr="00322CA4" w:rsidRDefault="00192EDB" w:rsidP="00192EDB">
            <w:pPr>
              <w:jc w:val="right"/>
              <w:outlineLvl w:val="0"/>
              <w:rPr>
                <w:noProof/>
                <w:sz w:val="20"/>
                <w:szCs w:val="20"/>
              </w:rPr>
            </w:pPr>
            <w:bookmarkStart w:id="621" w:name="_Toc223980225"/>
            <w:r w:rsidRPr="00322CA4">
              <w:rPr>
                <w:noProof/>
                <w:sz w:val="20"/>
                <w:szCs w:val="20"/>
              </w:rPr>
              <w:t>22.4</w:t>
            </w:r>
            <w:bookmarkEnd w:id="621"/>
          </w:p>
        </w:tc>
        <w:tc>
          <w:tcPr>
            <w:tcW w:w="828" w:type="pct"/>
            <w:tcBorders>
              <w:top w:val="nil"/>
              <w:left w:val="nil"/>
              <w:bottom w:val="single" w:sz="4" w:space="0" w:color="auto"/>
              <w:right w:val="single" w:sz="4" w:space="0" w:color="auto"/>
            </w:tcBorders>
            <w:shd w:val="clear" w:color="000000" w:fill="FFFFFF"/>
            <w:noWrap/>
            <w:hideMark/>
          </w:tcPr>
          <w:p w14:paraId="57757DD3" w14:textId="3E637ECC" w:rsidR="00192EDB" w:rsidRPr="00322CA4" w:rsidRDefault="00192EDB" w:rsidP="00192EDB">
            <w:pPr>
              <w:jc w:val="right"/>
              <w:outlineLvl w:val="0"/>
              <w:rPr>
                <w:noProof/>
                <w:sz w:val="20"/>
                <w:szCs w:val="20"/>
              </w:rPr>
            </w:pPr>
            <w:bookmarkStart w:id="622" w:name="_Toc223980226"/>
            <w:r w:rsidRPr="00322CA4">
              <w:rPr>
                <w:noProof/>
                <w:sz w:val="20"/>
                <w:szCs w:val="20"/>
              </w:rPr>
              <w:t>24.1</w:t>
            </w:r>
            <w:bookmarkEnd w:id="622"/>
          </w:p>
        </w:tc>
        <w:tc>
          <w:tcPr>
            <w:tcW w:w="828" w:type="pct"/>
            <w:tcBorders>
              <w:top w:val="nil"/>
              <w:left w:val="nil"/>
              <w:bottom w:val="single" w:sz="4" w:space="0" w:color="auto"/>
              <w:right w:val="single" w:sz="4" w:space="0" w:color="auto"/>
            </w:tcBorders>
            <w:shd w:val="clear" w:color="000000" w:fill="FFFFFF"/>
            <w:noWrap/>
            <w:hideMark/>
          </w:tcPr>
          <w:p w14:paraId="5168EB62" w14:textId="0A041E9F" w:rsidR="00192EDB" w:rsidRPr="00322CA4" w:rsidRDefault="00192EDB" w:rsidP="00192EDB">
            <w:pPr>
              <w:jc w:val="right"/>
              <w:outlineLvl w:val="0"/>
              <w:rPr>
                <w:noProof/>
                <w:sz w:val="20"/>
                <w:szCs w:val="20"/>
              </w:rPr>
            </w:pPr>
            <w:bookmarkStart w:id="623" w:name="_Toc223980227"/>
            <w:r w:rsidRPr="00322CA4">
              <w:rPr>
                <w:noProof/>
                <w:sz w:val="20"/>
                <w:szCs w:val="20"/>
              </w:rPr>
              <w:t>22.0</w:t>
            </w:r>
            <w:bookmarkEnd w:id="623"/>
          </w:p>
        </w:tc>
      </w:tr>
      <w:tr w:rsidR="00192EDB" w:rsidRPr="00952A6F" w14:paraId="063B7856"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3EF8385F" w14:textId="77777777" w:rsidR="00192EDB" w:rsidRPr="00952A6F" w:rsidRDefault="00192EDB" w:rsidP="00192EDB">
            <w:pPr>
              <w:outlineLvl w:val="0"/>
              <w:rPr>
                <w:noProof/>
                <w:sz w:val="20"/>
                <w:szCs w:val="20"/>
              </w:rPr>
            </w:pPr>
            <w:r w:rsidRPr="00952A6F">
              <w:rPr>
                <w:noProof/>
                <w:sz w:val="20"/>
                <w:szCs w:val="20"/>
              </w:rPr>
              <w:t xml:space="preserve"> </w:t>
            </w:r>
            <w:bookmarkStart w:id="624" w:name="_Toc223980228"/>
            <w:r w:rsidRPr="00952A6F">
              <w:rPr>
                <w:noProof/>
                <w:sz w:val="20"/>
                <w:szCs w:val="20"/>
              </w:rPr>
              <w:t>Italy</w:t>
            </w:r>
            <w:bookmarkEnd w:id="624"/>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3976DD3" w14:textId="5B176A50" w:rsidR="00192EDB" w:rsidRPr="00322CA4" w:rsidRDefault="00192EDB" w:rsidP="00192EDB">
            <w:pPr>
              <w:jc w:val="right"/>
              <w:outlineLvl w:val="0"/>
              <w:rPr>
                <w:noProof/>
                <w:sz w:val="20"/>
                <w:szCs w:val="20"/>
              </w:rPr>
            </w:pPr>
            <w:bookmarkStart w:id="625" w:name="_Toc223980229"/>
            <w:r w:rsidRPr="00322CA4">
              <w:rPr>
                <w:noProof/>
                <w:sz w:val="20"/>
                <w:szCs w:val="20"/>
              </w:rPr>
              <w:t>153.2</w:t>
            </w:r>
            <w:bookmarkEnd w:id="625"/>
          </w:p>
        </w:tc>
        <w:tc>
          <w:tcPr>
            <w:tcW w:w="828" w:type="pct"/>
            <w:tcBorders>
              <w:top w:val="nil"/>
              <w:left w:val="nil"/>
              <w:bottom w:val="single" w:sz="4" w:space="0" w:color="auto"/>
              <w:right w:val="single" w:sz="4" w:space="0" w:color="auto"/>
            </w:tcBorders>
            <w:shd w:val="clear" w:color="000000" w:fill="FFFFFF"/>
            <w:noWrap/>
            <w:hideMark/>
          </w:tcPr>
          <w:p w14:paraId="735D2545" w14:textId="2C5673E1" w:rsidR="00192EDB" w:rsidRPr="00322CA4" w:rsidRDefault="00192EDB" w:rsidP="00192EDB">
            <w:pPr>
              <w:jc w:val="right"/>
              <w:outlineLvl w:val="0"/>
              <w:rPr>
                <w:noProof/>
                <w:sz w:val="20"/>
                <w:szCs w:val="20"/>
              </w:rPr>
            </w:pPr>
            <w:bookmarkStart w:id="626" w:name="_Toc223980230"/>
            <w:r w:rsidRPr="00322CA4">
              <w:rPr>
                <w:noProof/>
                <w:sz w:val="20"/>
                <w:szCs w:val="20"/>
              </w:rPr>
              <w:t>19.2</w:t>
            </w:r>
            <w:bookmarkEnd w:id="626"/>
          </w:p>
        </w:tc>
        <w:tc>
          <w:tcPr>
            <w:tcW w:w="828" w:type="pct"/>
            <w:tcBorders>
              <w:top w:val="nil"/>
              <w:left w:val="nil"/>
              <w:bottom w:val="single" w:sz="4" w:space="0" w:color="auto"/>
              <w:right w:val="single" w:sz="4" w:space="0" w:color="auto"/>
            </w:tcBorders>
            <w:shd w:val="clear" w:color="000000" w:fill="FFFFFF"/>
            <w:noWrap/>
            <w:hideMark/>
          </w:tcPr>
          <w:p w14:paraId="576BBE4D" w14:textId="0BA83909" w:rsidR="00192EDB" w:rsidRPr="00322CA4" w:rsidRDefault="00192EDB" w:rsidP="00192EDB">
            <w:pPr>
              <w:jc w:val="right"/>
              <w:outlineLvl w:val="0"/>
              <w:rPr>
                <w:noProof/>
                <w:sz w:val="20"/>
                <w:szCs w:val="20"/>
              </w:rPr>
            </w:pPr>
            <w:bookmarkStart w:id="627" w:name="_Toc223980231"/>
            <w:r w:rsidRPr="00322CA4">
              <w:rPr>
                <w:noProof/>
                <w:sz w:val="20"/>
                <w:szCs w:val="20"/>
              </w:rPr>
              <w:t>20.6</w:t>
            </w:r>
            <w:bookmarkEnd w:id="627"/>
          </w:p>
        </w:tc>
        <w:tc>
          <w:tcPr>
            <w:tcW w:w="828" w:type="pct"/>
            <w:tcBorders>
              <w:top w:val="nil"/>
              <w:left w:val="nil"/>
              <w:bottom w:val="single" w:sz="4" w:space="0" w:color="auto"/>
              <w:right w:val="single" w:sz="4" w:space="0" w:color="auto"/>
            </w:tcBorders>
            <w:shd w:val="clear" w:color="000000" w:fill="FFFFFF"/>
            <w:noWrap/>
            <w:hideMark/>
          </w:tcPr>
          <w:p w14:paraId="5B708216" w14:textId="4FA0CDE2" w:rsidR="00192EDB" w:rsidRPr="00322CA4" w:rsidRDefault="00192EDB" w:rsidP="00192EDB">
            <w:pPr>
              <w:jc w:val="right"/>
              <w:outlineLvl w:val="0"/>
              <w:rPr>
                <w:noProof/>
                <w:sz w:val="20"/>
                <w:szCs w:val="20"/>
              </w:rPr>
            </w:pPr>
            <w:bookmarkStart w:id="628" w:name="_Toc223980232"/>
            <w:r w:rsidRPr="00322CA4">
              <w:rPr>
                <w:noProof/>
                <w:sz w:val="20"/>
                <w:szCs w:val="20"/>
              </w:rPr>
              <w:t>18.9</w:t>
            </w:r>
            <w:bookmarkEnd w:id="628"/>
          </w:p>
        </w:tc>
      </w:tr>
      <w:tr w:rsidR="00192EDB" w:rsidRPr="00952A6F" w14:paraId="42A6E6A1"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328435C3" w14:textId="77777777" w:rsidR="00192EDB" w:rsidRPr="00952A6F" w:rsidRDefault="00192EDB" w:rsidP="00192EDB">
            <w:pPr>
              <w:outlineLvl w:val="0"/>
              <w:rPr>
                <w:noProof/>
                <w:sz w:val="20"/>
                <w:szCs w:val="20"/>
              </w:rPr>
            </w:pPr>
            <w:r w:rsidRPr="00952A6F">
              <w:rPr>
                <w:noProof/>
                <w:sz w:val="20"/>
                <w:szCs w:val="20"/>
              </w:rPr>
              <w:t xml:space="preserve"> </w:t>
            </w:r>
            <w:bookmarkStart w:id="629" w:name="_Toc223980233"/>
            <w:r w:rsidRPr="00952A6F">
              <w:rPr>
                <w:noProof/>
                <w:sz w:val="20"/>
                <w:szCs w:val="20"/>
              </w:rPr>
              <w:t>Belgium</w:t>
            </w:r>
            <w:bookmarkEnd w:id="629"/>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50F4E5D" w14:textId="6707391B" w:rsidR="00192EDB" w:rsidRPr="00322CA4" w:rsidRDefault="00192EDB" w:rsidP="00192EDB">
            <w:pPr>
              <w:jc w:val="right"/>
              <w:outlineLvl w:val="0"/>
              <w:rPr>
                <w:noProof/>
                <w:sz w:val="20"/>
                <w:szCs w:val="20"/>
              </w:rPr>
            </w:pPr>
            <w:bookmarkStart w:id="630" w:name="_Toc223980234"/>
            <w:r w:rsidRPr="00322CA4">
              <w:rPr>
                <w:noProof/>
                <w:sz w:val="20"/>
                <w:szCs w:val="20"/>
              </w:rPr>
              <w:t>153.2</w:t>
            </w:r>
            <w:bookmarkEnd w:id="630"/>
          </w:p>
        </w:tc>
        <w:tc>
          <w:tcPr>
            <w:tcW w:w="828" w:type="pct"/>
            <w:tcBorders>
              <w:top w:val="nil"/>
              <w:left w:val="nil"/>
              <w:bottom w:val="single" w:sz="4" w:space="0" w:color="auto"/>
              <w:right w:val="single" w:sz="4" w:space="0" w:color="auto"/>
            </w:tcBorders>
            <w:shd w:val="clear" w:color="000000" w:fill="FFFFFF"/>
            <w:noWrap/>
            <w:hideMark/>
          </w:tcPr>
          <w:p w14:paraId="073DF512" w14:textId="1B26B121" w:rsidR="00192EDB" w:rsidRPr="00322CA4" w:rsidRDefault="00192EDB" w:rsidP="00192EDB">
            <w:pPr>
              <w:jc w:val="right"/>
              <w:outlineLvl w:val="0"/>
              <w:rPr>
                <w:noProof/>
                <w:sz w:val="20"/>
                <w:szCs w:val="20"/>
              </w:rPr>
            </w:pPr>
            <w:bookmarkStart w:id="631" w:name="_Toc223980235"/>
            <w:r w:rsidRPr="00322CA4">
              <w:rPr>
                <w:noProof/>
                <w:sz w:val="20"/>
                <w:szCs w:val="20"/>
              </w:rPr>
              <w:t>19.2</w:t>
            </w:r>
            <w:bookmarkEnd w:id="631"/>
          </w:p>
        </w:tc>
        <w:tc>
          <w:tcPr>
            <w:tcW w:w="828" w:type="pct"/>
            <w:tcBorders>
              <w:top w:val="nil"/>
              <w:left w:val="nil"/>
              <w:bottom w:val="single" w:sz="4" w:space="0" w:color="auto"/>
              <w:right w:val="single" w:sz="4" w:space="0" w:color="auto"/>
            </w:tcBorders>
            <w:shd w:val="clear" w:color="000000" w:fill="FFFFFF"/>
            <w:noWrap/>
            <w:hideMark/>
          </w:tcPr>
          <w:p w14:paraId="6EEF5840" w14:textId="3665FD2E" w:rsidR="00192EDB" w:rsidRPr="00322CA4" w:rsidRDefault="00192EDB" w:rsidP="00192EDB">
            <w:pPr>
              <w:jc w:val="right"/>
              <w:outlineLvl w:val="0"/>
              <w:rPr>
                <w:noProof/>
                <w:sz w:val="20"/>
                <w:szCs w:val="20"/>
              </w:rPr>
            </w:pPr>
            <w:bookmarkStart w:id="632" w:name="_Toc223980236"/>
            <w:r w:rsidRPr="00322CA4">
              <w:rPr>
                <w:noProof/>
                <w:sz w:val="20"/>
                <w:szCs w:val="20"/>
              </w:rPr>
              <w:t>20.6</w:t>
            </w:r>
            <w:bookmarkEnd w:id="632"/>
          </w:p>
        </w:tc>
        <w:tc>
          <w:tcPr>
            <w:tcW w:w="828" w:type="pct"/>
            <w:tcBorders>
              <w:top w:val="nil"/>
              <w:left w:val="nil"/>
              <w:bottom w:val="single" w:sz="4" w:space="0" w:color="auto"/>
              <w:right w:val="single" w:sz="4" w:space="0" w:color="auto"/>
            </w:tcBorders>
            <w:shd w:val="clear" w:color="000000" w:fill="FFFFFF"/>
            <w:noWrap/>
            <w:hideMark/>
          </w:tcPr>
          <w:p w14:paraId="6F198F9A" w14:textId="01AE9E6A" w:rsidR="00192EDB" w:rsidRPr="00322CA4" w:rsidRDefault="00192EDB" w:rsidP="00192EDB">
            <w:pPr>
              <w:jc w:val="right"/>
              <w:outlineLvl w:val="0"/>
              <w:rPr>
                <w:noProof/>
                <w:sz w:val="20"/>
                <w:szCs w:val="20"/>
              </w:rPr>
            </w:pPr>
            <w:bookmarkStart w:id="633" w:name="_Toc223980237"/>
            <w:r w:rsidRPr="00322CA4">
              <w:rPr>
                <w:noProof/>
                <w:sz w:val="20"/>
                <w:szCs w:val="20"/>
              </w:rPr>
              <w:t>18.9</w:t>
            </w:r>
            <w:bookmarkEnd w:id="633"/>
          </w:p>
        </w:tc>
      </w:tr>
      <w:tr w:rsidR="00192EDB" w:rsidRPr="00952A6F" w14:paraId="01E81AD5"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17EA86AF" w14:textId="77777777" w:rsidR="00192EDB" w:rsidRPr="00952A6F" w:rsidRDefault="00192EDB" w:rsidP="00192EDB">
            <w:pPr>
              <w:outlineLvl w:val="0"/>
              <w:rPr>
                <w:noProof/>
                <w:sz w:val="20"/>
                <w:szCs w:val="20"/>
              </w:rPr>
            </w:pPr>
            <w:r w:rsidRPr="00952A6F">
              <w:rPr>
                <w:noProof/>
                <w:sz w:val="20"/>
                <w:szCs w:val="20"/>
              </w:rPr>
              <w:t xml:space="preserve"> </w:t>
            </w:r>
            <w:bookmarkStart w:id="634" w:name="_Toc223980238"/>
            <w:r w:rsidRPr="00952A6F">
              <w:rPr>
                <w:noProof/>
                <w:sz w:val="20"/>
                <w:szCs w:val="20"/>
              </w:rPr>
              <w:t>Portugal</w:t>
            </w:r>
            <w:bookmarkEnd w:id="634"/>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B3D9309" w14:textId="22FFEDAD" w:rsidR="00192EDB" w:rsidRPr="00322CA4" w:rsidRDefault="00192EDB" w:rsidP="00192EDB">
            <w:pPr>
              <w:jc w:val="right"/>
              <w:outlineLvl w:val="0"/>
              <w:rPr>
                <w:noProof/>
                <w:sz w:val="20"/>
                <w:szCs w:val="20"/>
              </w:rPr>
            </w:pPr>
            <w:bookmarkStart w:id="635" w:name="_Toc223980239"/>
            <w:r w:rsidRPr="00322CA4">
              <w:rPr>
                <w:noProof/>
                <w:sz w:val="20"/>
                <w:szCs w:val="20"/>
              </w:rPr>
              <w:t>51.1</w:t>
            </w:r>
            <w:bookmarkEnd w:id="635"/>
          </w:p>
        </w:tc>
        <w:tc>
          <w:tcPr>
            <w:tcW w:w="828" w:type="pct"/>
            <w:tcBorders>
              <w:top w:val="nil"/>
              <w:left w:val="nil"/>
              <w:bottom w:val="single" w:sz="4" w:space="0" w:color="auto"/>
              <w:right w:val="single" w:sz="4" w:space="0" w:color="auto"/>
            </w:tcBorders>
            <w:shd w:val="clear" w:color="000000" w:fill="FFFFFF"/>
            <w:noWrap/>
            <w:hideMark/>
          </w:tcPr>
          <w:p w14:paraId="243E813C" w14:textId="4F4DBCEC" w:rsidR="00192EDB" w:rsidRPr="00322CA4" w:rsidRDefault="00192EDB" w:rsidP="00192EDB">
            <w:pPr>
              <w:jc w:val="right"/>
              <w:outlineLvl w:val="0"/>
              <w:rPr>
                <w:noProof/>
                <w:sz w:val="20"/>
                <w:szCs w:val="20"/>
              </w:rPr>
            </w:pPr>
            <w:bookmarkStart w:id="636" w:name="_Toc223980240"/>
            <w:r w:rsidRPr="00322CA4">
              <w:rPr>
                <w:noProof/>
                <w:sz w:val="20"/>
                <w:szCs w:val="20"/>
              </w:rPr>
              <w:t>6.4</w:t>
            </w:r>
            <w:bookmarkEnd w:id="636"/>
          </w:p>
        </w:tc>
        <w:tc>
          <w:tcPr>
            <w:tcW w:w="828" w:type="pct"/>
            <w:tcBorders>
              <w:top w:val="nil"/>
              <w:left w:val="nil"/>
              <w:bottom w:val="single" w:sz="4" w:space="0" w:color="auto"/>
              <w:right w:val="single" w:sz="4" w:space="0" w:color="auto"/>
            </w:tcBorders>
            <w:shd w:val="clear" w:color="000000" w:fill="FFFFFF"/>
            <w:noWrap/>
            <w:hideMark/>
          </w:tcPr>
          <w:p w14:paraId="0CF0A0C9" w14:textId="7455879E" w:rsidR="00192EDB" w:rsidRPr="00322CA4" w:rsidRDefault="00192EDB" w:rsidP="00192EDB">
            <w:pPr>
              <w:jc w:val="right"/>
              <w:outlineLvl w:val="0"/>
              <w:rPr>
                <w:noProof/>
                <w:sz w:val="20"/>
                <w:szCs w:val="20"/>
              </w:rPr>
            </w:pPr>
            <w:bookmarkStart w:id="637" w:name="_Toc223980241"/>
            <w:r w:rsidRPr="00322CA4">
              <w:rPr>
                <w:noProof/>
                <w:sz w:val="20"/>
                <w:szCs w:val="20"/>
              </w:rPr>
              <w:t>6.9</w:t>
            </w:r>
            <w:bookmarkEnd w:id="637"/>
          </w:p>
        </w:tc>
        <w:tc>
          <w:tcPr>
            <w:tcW w:w="828" w:type="pct"/>
            <w:tcBorders>
              <w:top w:val="nil"/>
              <w:left w:val="nil"/>
              <w:bottom w:val="single" w:sz="4" w:space="0" w:color="auto"/>
              <w:right w:val="single" w:sz="4" w:space="0" w:color="auto"/>
            </w:tcBorders>
            <w:shd w:val="clear" w:color="000000" w:fill="FFFFFF"/>
            <w:noWrap/>
            <w:hideMark/>
          </w:tcPr>
          <w:p w14:paraId="0654E529" w14:textId="1040A918" w:rsidR="00192EDB" w:rsidRPr="00322CA4" w:rsidRDefault="00192EDB" w:rsidP="00192EDB">
            <w:pPr>
              <w:jc w:val="right"/>
              <w:outlineLvl w:val="0"/>
              <w:rPr>
                <w:noProof/>
                <w:sz w:val="20"/>
                <w:szCs w:val="20"/>
              </w:rPr>
            </w:pPr>
            <w:bookmarkStart w:id="638" w:name="_Toc223980242"/>
            <w:r w:rsidRPr="00322CA4">
              <w:rPr>
                <w:noProof/>
                <w:sz w:val="20"/>
                <w:szCs w:val="20"/>
              </w:rPr>
              <w:t>6.3</w:t>
            </w:r>
            <w:bookmarkEnd w:id="638"/>
          </w:p>
        </w:tc>
      </w:tr>
      <w:tr w:rsidR="00192EDB" w:rsidRPr="00952A6F" w14:paraId="6FDB34C2"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405A150D" w14:textId="77777777" w:rsidR="00192EDB" w:rsidRPr="00952A6F" w:rsidRDefault="00192EDB" w:rsidP="00192EDB">
            <w:pPr>
              <w:outlineLvl w:val="0"/>
              <w:rPr>
                <w:noProof/>
                <w:sz w:val="20"/>
                <w:szCs w:val="20"/>
              </w:rPr>
            </w:pPr>
            <w:r w:rsidRPr="00952A6F">
              <w:rPr>
                <w:noProof/>
                <w:sz w:val="20"/>
                <w:szCs w:val="20"/>
              </w:rPr>
              <w:t xml:space="preserve"> </w:t>
            </w:r>
            <w:bookmarkStart w:id="639" w:name="_Toc223980243"/>
            <w:r w:rsidRPr="00952A6F">
              <w:rPr>
                <w:noProof/>
                <w:sz w:val="20"/>
                <w:szCs w:val="20"/>
              </w:rPr>
              <w:t>Malta</w:t>
            </w:r>
            <w:bookmarkEnd w:id="639"/>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AE66BFD" w14:textId="1BA3B864" w:rsidR="00192EDB" w:rsidRPr="00322CA4" w:rsidRDefault="00192EDB" w:rsidP="00192EDB">
            <w:pPr>
              <w:jc w:val="right"/>
              <w:outlineLvl w:val="0"/>
              <w:rPr>
                <w:noProof/>
                <w:sz w:val="20"/>
                <w:szCs w:val="20"/>
              </w:rPr>
            </w:pPr>
            <w:bookmarkStart w:id="640" w:name="_Toc223980244"/>
            <w:r w:rsidRPr="00322CA4">
              <w:rPr>
                <w:noProof/>
                <w:sz w:val="20"/>
                <w:szCs w:val="20"/>
              </w:rPr>
              <w:t>25.5</w:t>
            </w:r>
            <w:bookmarkEnd w:id="640"/>
          </w:p>
        </w:tc>
        <w:tc>
          <w:tcPr>
            <w:tcW w:w="828" w:type="pct"/>
            <w:tcBorders>
              <w:top w:val="nil"/>
              <w:left w:val="nil"/>
              <w:bottom w:val="single" w:sz="4" w:space="0" w:color="auto"/>
              <w:right w:val="single" w:sz="4" w:space="0" w:color="auto"/>
            </w:tcBorders>
            <w:shd w:val="clear" w:color="000000" w:fill="FFFFFF"/>
            <w:noWrap/>
            <w:hideMark/>
          </w:tcPr>
          <w:p w14:paraId="54C9B8B4" w14:textId="72E5906B" w:rsidR="00192EDB" w:rsidRPr="00322CA4" w:rsidRDefault="00192EDB" w:rsidP="00192EDB">
            <w:pPr>
              <w:jc w:val="right"/>
              <w:outlineLvl w:val="0"/>
              <w:rPr>
                <w:noProof/>
                <w:sz w:val="20"/>
                <w:szCs w:val="20"/>
              </w:rPr>
            </w:pPr>
            <w:bookmarkStart w:id="641" w:name="_Toc223980245"/>
            <w:r w:rsidRPr="00322CA4">
              <w:rPr>
                <w:noProof/>
                <w:sz w:val="20"/>
                <w:szCs w:val="20"/>
              </w:rPr>
              <w:t>3.2</w:t>
            </w:r>
            <w:bookmarkEnd w:id="641"/>
          </w:p>
        </w:tc>
        <w:tc>
          <w:tcPr>
            <w:tcW w:w="828" w:type="pct"/>
            <w:tcBorders>
              <w:top w:val="nil"/>
              <w:left w:val="nil"/>
              <w:bottom w:val="single" w:sz="4" w:space="0" w:color="auto"/>
              <w:right w:val="single" w:sz="4" w:space="0" w:color="auto"/>
            </w:tcBorders>
            <w:shd w:val="clear" w:color="000000" w:fill="FFFFFF"/>
            <w:noWrap/>
            <w:hideMark/>
          </w:tcPr>
          <w:p w14:paraId="59BFAB87" w14:textId="6BE24CA2" w:rsidR="00192EDB" w:rsidRPr="00322CA4" w:rsidRDefault="00192EDB" w:rsidP="00192EDB">
            <w:pPr>
              <w:jc w:val="right"/>
              <w:outlineLvl w:val="0"/>
              <w:rPr>
                <w:noProof/>
                <w:sz w:val="20"/>
                <w:szCs w:val="20"/>
              </w:rPr>
            </w:pPr>
            <w:bookmarkStart w:id="642" w:name="_Toc223980246"/>
            <w:r w:rsidRPr="00322CA4">
              <w:rPr>
                <w:noProof/>
                <w:sz w:val="20"/>
                <w:szCs w:val="20"/>
              </w:rPr>
              <w:t>3.4</w:t>
            </w:r>
            <w:bookmarkEnd w:id="642"/>
          </w:p>
        </w:tc>
        <w:tc>
          <w:tcPr>
            <w:tcW w:w="828" w:type="pct"/>
            <w:tcBorders>
              <w:top w:val="nil"/>
              <w:left w:val="nil"/>
              <w:bottom w:val="single" w:sz="4" w:space="0" w:color="auto"/>
              <w:right w:val="single" w:sz="4" w:space="0" w:color="auto"/>
            </w:tcBorders>
            <w:shd w:val="clear" w:color="000000" w:fill="FFFFFF"/>
            <w:noWrap/>
            <w:hideMark/>
          </w:tcPr>
          <w:p w14:paraId="29244797" w14:textId="63A2D51E" w:rsidR="00192EDB" w:rsidRPr="00322CA4" w:rsidRDefault="00192EDB" w:rsidP="00192EDB">
            <w:pPr>
              <w:jc w:val="right"/>
              <w:outlineLvl w:val="0"/>
              <w:rPr>
                <w:noProof/>
                <w:sz w:val="20"/>
                <w:szCs w:val="20"/>
              </w:rPr>
            </w:pPr>
            <w:bookmarkStart w:id="643" w:name="_Toc223980247"/>
            <w:r w:rsidRPr="00322CA4">
              <w:rPr>
                <w:noProof/>
                <w:sz w:val="20"/>
                <w:szCs w:val="20"/>
              </w:rPr>
              <w:t>3.1</w:t>
            </w:r>
            <w:bookmarkEnd w:id="643"/>
          </w:p>
        </w:tc>
      </w:tr>
      <w:tr w:rsidR="00192EDB" w:rsidRPr="00952A6F" w14:paraId="2605D3B9"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4783EC90" w14:textId="77777777" w:rsidR="00192EDB" w:rsidRPr="00952A6F" w:rsidRDefault="00192EDB" w:rsidP="00192EDB">
            <w:pPr>
              <w:outlineLvl w:val="0"/>
              <w:rPr>
                <w:noProof/>
                <w:sz w:val="20"/>
                <w:szCs w:val="20"/>
              </w:rPr>
            </w:pPr>
            <w:r w:rsidRPr="00952A6F">
              <w:rPr>
                <w:noProof/>
                <w:sz w:val="20"/>
                <w:szCs w:val="20"/>
              </w:rPr>
              <w:t xml:space="preserve"> </w:t>
            </w:r>
            <w:bookmarkStart w:id="644" w:name="_Toc223980248"/>
            <w:r w:rsidRPr="00952A6F">
              <w:rPr>
                <w:noProof/>
                <w:sz w:val="20"/>
                <w:szCs w:val="20"/>
              </w:rPr>
              <w:t>Cyprus</w:t>
            </w:r>
            <w:bookmarkEnd w:id="644"/>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B173458" w14:textId="78D6B9E2" w:rsidR="00192EDB" w:rsidRPr="00322CA4" w:rsidRDefault="00192EDB" w:rsidP="00192EDB">
            <w:pPr>
              <w:jc w:val="right"/>
              <w:outlineLvl w:val="0"/>
              <w:rPr>
                <w:noProof/>
                <w:sz w:val="20"/>
                <w:szCs w:val="20"/>
              </w:rPr>
            </w:pPr>
            <w:bookmarkStart w:id="645" w:name="_Toc223980249"/>
            <w:r w:rsidRPr="00322CA4">
              <w:rPr>
                <w:noProof/>
                <w:sz w:val="20"/>
                <w:szCs w:val="20"/>
              </w:rPr>
              <w:t>25.5</w:t>
            </w:r>
            <w:bookmarkEnd w:id="645"/>
          </w:p>
        </w:tc>
        <w:tc>
          <w:tcPr>
            <w:tcW w:w="828" w:type="pct"/>
            <w:tcBorders>
              <w:top w:val="nil"/>
              <w:left w:val="nil"/>
              <w:bottom w:val="single" w:sz="4" w:space="0" w:color="auto"/>
              <w:right w:val="single" w:sz="4" w:space="0" w:color="auto"/>
            </w:tcBorders>
            <w:shd w:val="clear" w:color="000000" w:fill="FFFFFF"/>
            <w:noWrap/>
            <w:hideMark/>
          </w:tcPr>
          <w:p w14:paraId="343FDA41" w14:textId="60A61912" w:rsidR="00192EDB" w:rsidRPr="00322CA4" w:rsidRDefault="00192EDB" w:rsidP="00192EDB">
            <w:pPr>
              <w:jc w:val="right"/>
              <w:outlineLvl w:val="0"/>
              <w:rPr>
                <w:noProof/>
                <w:sz w:val="20"/>
                <w:szCs w:val="20"/>
              </w:rPr>
            </w:pPr>
            <w:bookmarkStart w:id="646" w:name="_Toc223980250"/>
            <w:r w:rsidRPr="00322CA4">
              <w:rPr>
                <w:noProof/>
                <w:sz w:val="20"/>
                <w:szCs w:val="20"/>
              </w:rPr>
              <w:t>3.2</w:t>
            </w:r>
            <w:bookmarkEnd w:id="646"/>
          </w:p>
        </w:tc>
        <w:tc>
          <w:tcPr>
            <w:tcW w:w="828" w:type="pct"/>
            <w:tcBorders>
              <w:top w:val="nil"/>
              <w:left w:val="nil"/>
              <w:bottom w:val="single" w:sz="4" w:space="0" w:color="auto"/>
              <w:right w:val="single" w:sz="4" w:space="0" w:color="auto"/>
            </w:tcBorders>
            <w:shd w:val="clear" w:color="000000" w:fill="FFFFFF"/>
            <w:noWrap/>
            <w:hideMark/>
          </w:tcPr>
          <w:p w14:paraId="10A4B1A1" w14:textId="5F1CBF0C" w:rsidR="00192EDB" w:rsidRPr="00322CA4" w:rsidRDefault="00192EDB" w:rsidP="00192EDB">
            <w:pPr>
              <w:jc w:val="right"/>
              <w:outlineLvl w:val="0"/>
              <w:rPr>
                <w:noProof/>
                <w:sz w:val="20"/>
                <w:szCs w:val="20"/>
              </w:rPr>
            </w:pPr>
            <w:bookmarkStart w:id="647" w:name="_Toc223980251"/>
            <w:r w:rsidRPr="00322CA4">
              <w:rPr>
                <w:noProof/>
                <w:sz w:val="20"/>
                <w:szCs w:val="20"/>
              </w:rPr>
              <w:t>3.4</w:t>
            </w:r>
            <w:bookmarkEnd w:id="647"/>
          </w:p>
        </w:tc>
        <w:tc>
          <w:tcPr>
            <w:tcW w:w="828" w:type="pct"/>
            <w:tcBorders>
              <w:top w:val="nil"/>
              <w:left w:val="nil"/>
              <w:bottom w:val="single" w:sz="4" w:space="0" w:color="auto"/>
              <w:right w:val="single" w:sz="4" w:space="0" w:color="auto"/>
            </w:tcBorders>
            <w:shd w:val="clear" w:color="000000" w:fill="FFFFFF"/>
            <w:noWrap/>
            <w:hideMark/>
          </w:tcPr>
          <w:p w14:paraId="193F21F1" w14:textId="6CDA24B2" w:rsidR="00192EDB" w:rsidRPr="00322CA4" w:rsidRDefault="00192EDB" w:rsidP="00192EDB">
            <w:pPr>
              <w:jc w:val="right"/>
              <w:outlineLvl w:val="0"/>
              <w:rPr>
                <w:noProof/>
                <w:sz w:val="20"/>
                <w:szCs w:val="20"/>
              </w:rPr>
            </w:pPr>
            <w:bookmarkStart w:id="648" w:name="_Toc223980252"/>
            <w:r w:rsidRPr="00322CA4">
              <w:rPr>
                <w:noProof/>
                <w:sz w:val="20"/>
                <w:szCs w:val="20"/>
              </w:rPr>
              <w:t>3.1</w:t>
            </w:r>
            <w:bookmarkEnd w:id="648"/>
          </w:p>
        </w:tc>
      </w:tr>
      <w:tr w:rsidR="00192EDB" w:rsidRPr="00952A6F" w14:paraId="4195E2AB"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48982A63" w14:textId="77777777" w:rsidR="00192EDB" w:rsidRPr="00952A6F" w:rsidRDefault="00192EDB" w:rsidP="00192EDB">
            <w:pPr>
              <w:outlineLvl w:val="0"/>
              <w:rPr>
                <w:noProof/>
                <w:sz w:val="20"/>
                <w:szCs w:val="20"/>
              </w:rPr>
            </w:pPr>
            <w:r w:rsidRPr="00952A6F">
              <w:rPr>
                <w:noProof/>
                <w:sz w:val="20"/>
                <w:szCs w:val="20"/>
              </w:rPr>
              <w:t xml:space="preserve"> </w:t>
            </w:r>
            <w:bookmarkStart w:id="649" w:name="_Toc223980253"/>
            <w:r w:rsidRPr="00952A6F">
              <w:rPr>
                <w:noProof/>
                <w:sz w:val="20"/>
                <w:szCs w:val="20"/>
              </w:rPr>
              <w:t>Greece</w:t>
            </w:r>
            <w:bookmarkEnd w:id="649"/>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09EEB10" w14:textId="07BEABBE" w:rsidR="00192EDB" w:rsidRPr="00322CA4" w:rsidRDefault="00192EDB" w:rsidP="00192EDB">
            <w:pPr>
              <w:jc w:val="right"/>
              <w:outlineLvl w:val="0"/>
              <w:rPr>
                <w:noProof/>
                <w:sz w:val="20"/>
                <w:szCs w:val="20"/>
              </w:rPr>
            </w:pPr>
            <w:bookmarkStart w:id="650" w:name="_Toc223980254"/>
            <w:r w:rsidRPr="00322CA4">
              <w:rPr>
                <w:noProof/>
                <w:sz w:val="20"/>
                <w:szCs w:val="20"/>
              </w:rPr>
              <w:t>51.1</w:t>
            </w:r>
            <w:bookmarkEnd w:id="650"/>
          </w:p>
        </w:tc>
        <w:tc>
          <w:tcPr>
            <w:tcW w:w="828" w:type="pct"/>
            <w:tcBorders>
              <w:top w:val="nil"/>
              <w:left w:val="nil"/>
              <w:bottom w:val="single" w:sz="4" w:space="0" w:color="auto"/>
              <w:right w:val="single" w:sz="4" w:space="0" w:color="auto"/>
            </w:tcBorders>
            <w:shd w:val="clear" w:color="000000" w:fill="FFFFFF"/>
            <w:noWrap/>
            <w:hideMark/>
          </w:tcPr>
          <w:p w14:paraId="3BAC8926" w14:textId="38CF3ADE" w:rsidR="00192EDB" w:rsidRPr="00322CA4" w:rsidRDefault="00192EDB" w:rsidP="00192EDB">
            <w:pPr>
              <w:jc w:val="right"/>
              <w:outlineLvl w:val="0"/>
              <w:rPr>
                <w:noProof/>
                <w:sz w:val="20"/>
                <w:szCs w:val="20"/>
              </w:rPr>
            </w:pPr>
            <w:bookmarkStart w:id="651" w:name="_Toc223980255"/>
            <w:r w:rsidRPr="00322CA4">
              <w:rPr>
                <w:noProof/>
                <w:sz w:val="20"/>
                <w:szCs w:val="20"/>
              </w:rPr>
              <w:t>6.4</w:t>
            </w:r>
            <w:bookmarkEnd w:id="651"/>
          </w:p>
        </w:tc>
        <w:tc>
          <w:tcPr>
            <w:tcW w:w="828" w:type="pct"/>
            <w:tcBorders>
              <w:top w:val="nil"/>
              <w:left w:val="nil"/>
              <w:bottom w:val="single" w:sz="4" w:space="0" w:color="auto"/>
              <w:right w:val="single" w:sz="4" w:space="0" w:color="auto"/>
            </w:tcBorders>
            <w:shd w:val="clear" w:color="000000" w:fill="FFFFFF"/>
            <w:noWrap/>
            <w:hideMark/>
          </w:tcPr>
          <w:p w14:paraId="65164374" w14:textId="01121BE3" w:rsidR="00192EDB" w:rsidRPr="00322CA4" w:rsidRDefault="00192EDB" w:rsidP="00192EDB">
            <w:pPr>
              <w:jc w:val="right"/>
              <w:outlineLvl w:val="0"/>
              <w:rPr>
                <w:noProof/>
                <w:sz w:val="20"/>
                <w:szCs w:val="20"/>
              </w:rPr>
            </w:pPr>
            <w:bookmarkStart w:id="652" w:name="_Toc223980256"/>
            <w:r w:rsidRPr="00322CA4">
              <w:rPr>
                <w:noProof/>
                <w:sz w:val="20"/>
                <w:szCs w:val="20"/>
              </w:rPr>
              <w:t>6.9</w:t>
            </w:r>
            <w:bookmarkEnd w:id="652"/>
          </w:p>
        </w:tc>
        <w:tc>
          <w:tcPr>
            <w:tcW w:w="828" w:type="pct"/>
            <w:tcBorders>
              <w:top w:val="nil"/>
              <w:left w:val="nil"/>
              <w:bottom w:val="single" w:sz="4" w:space="0" w:color="auto"/>
              <w:right w:val="single" w:sz="4" w:space="0" w:color="auto"/>
            </w:tcBorders>
            <w:shd w:val="clear" w:color="000000" w:fill="FFFFFF"/>
            <w:noWrap/>
            <w:hideMark/>
          </w:tcPr>
          <w:p w14:paraId="2226B260" w14:textId="2EC480A6" w:rsidR="00192EDB" w:rsidRPr="00322CA4" w:rsidRDefault="00192EDB" w:rsidP="00192EDB">
            <w:pPr>
              <w:jc w:val="right"/>
              <w:outlineLvl w:val="0"/>
              <w:rPr>
                <w:noProof/>
                <w:sz w:val="20"/>
                <w:szCs w:val="20"/>
              </w:rPr>
            </w:pPr>
            <w:bookmarkStart w:id="653" w:name="_Toc223980257"/>
            <w:r w:rsidRPr="00322CA4">
              <w:rPr>
                <w:noProof/>
                <w:sz w:val="20"/>
                <w:szCs w:val="20"/>
              </w:rPr>
              <w:t>6.3</w:t>
            </w:r>
            <w:bookmarkEnd w:id="653"/>
          </w:p>
        </w:tc>
      </w:tr>
      <w:tr w:rsidR="00192EDB" w:rsidRPr="00952A6F" w14:paraId="762A8BB4"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E259323" w14:textId="77777777" w:rsidR="00192EDB" w:rsidRPr="00952A6F" w:rsidRDefault="00192EDB" w:rsidP="00192EDB">
            <w:pPr>
              <w:outlineLvl w:val="0"/>
              <w:rPr>
                <w:noProof/>
                <w:sz w:val="20"/>
                <w:szCs w:val="20"/>
              </w:rPr>
            </w:pPr>
            <w:r w:rsidRPr="00952A6F">
              <w:rPr>
                <w:noProof/>
                <w:sz w:val="20"/>
                <w:szCs w:val="20"/>
              </w:rPr>
              <w:t xml:space="preserve"> </w:t>
            </w:r>
            <w:bookmarkStart w:id="654" w:name="_Toc223980258"/>
            <w:r w:rsidRPr="00952A6F">
              <w:rPr>
                <w:noProof/>
                <w:sz w:val="20"/>
                <w:szCs w:val="20"/>
              </w:rPr>
              <w:t>Bulgaria</w:t>
            </w:r>
            <w:bookmarkEnd w:id="654"/>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728A7775" w14:textId="43882816" w:rsidR="00192EDB" w:rsidRPr="00322CA4" w:rsidRDefault="00192EDB" w:rsidP="00192EDB">
            <w:pPr>
              <w:jc w:val="right"/>
              <w:outlineLvl w:val="0"/>
              <w:rPr>
                <w:noProof/>
                <w:sz w:val="20"/>
                <w:szCs w:val="20"/>
              </w:rPr>
            </w:pPr>
            <w:bookmarkStart w:id="655" w:name="_Toc223980259"/>
            <w:r w:rsidRPr="00322CA4">
              <w:rPr>
                <w:noProof/>
                <w:sz w:val="20"/>
                <w:szCs w:val="20"/>
              </w:rPr>
              <w:t>0.0</w:t>
            </w:r>
            <w:bookmarkEnd w:id="655"/>
          </w:p>
        </w:tc>
        <w:tc>
          <w:tcPr>
            <w:tcW w:w="828" w:type="pct"/>
            <w:tcBorders>
              <w:top w:val="nil"/>
              <w:left w:val="nil"/>
              <w:bottom w:val="single" w:sz="4" w:space="0" w:color="auto"/>
              <w:right w:val="single" w:sz="4" w:space="0" w:color="auto"/>
            </w:tcBorders>
            <w:shd w:val="clear" w:color="000000" w:fill="FFFFFF"/>
            <w:noWrap/>
            <w:hideMark/>
          </w:tcPr>
          <w:p w14:paraId="4515CA3A" w14:textId="5976B9C8" w:rsidR="00192EDB" w:rsidRPr="00322CA4" w:rsidRDefault="00192EDB" w:rsidP="00192EDB">
            <w:pPr>
              <w:jc w:val="right"/>
              <w:outlineLvl w:val="0"/>
              <w:rPr>
                <w:noProof/>
                <w:sz w:val="20"/>
                <w:szCs w:val="20"/>
              </w:rPr>
            </w:pPr>
            <w:bookmarkStart w:id="656" w:name="_Toc223980260"/>
            <w:r w:rsidRPr="00322CA4">
              <w:rPr>
                <w:noProof/>
                <w:sz w:val="20"/>
                <w:szCs w:val="20"/>
              </w:rPr>
              <w:t>0.0</w:t>
            </w:r>
            <w:bookmarkEnd w:id="656"/>
          </w:p>
        </w:tc>
        <w:tc>
          <w:tcPr>
            <w:tcW w:w="828" w:type="pct"/>
            <w:tcBorders>
              <w:top w:val="nil"/>
              <w:left w:val="nil"/>
              <w:bottom w:val="single" w:sz="4" w:space="0" w:color="auto"/>
              <w:right w:val="single" w:sz="4" w:space="0" w:color="auto"/>
            </w:tcBorders>
            <w:shd w:val="clear" w:color="000000" w:fill="FFFFFF"/>
            <w:noWrap/>
            <w:hideMark/>
          </w:tcPr>
          <w:p w14:paraId="6FFBDD52" w14:textId="3AC21176" w:rsidR="00192EDB" w:rsidRPr="00322CA4" w:rsidRDefault="00192EDB" w:rsidP="00192EDB">
            <w:pPr>
              <w:jc w:val="right"/>
              <w:outlineLvl w:val="0"/>
              <w:rPr>
                <w:noProof/>
                <w:sz w:val="20"/>
                <w:szCs w:val="20"/>
              </w:rPr>
            </w:pPr>
            <w:bookmarkStart w:id="657" w:name="_Toc223980261"/>
            <w:r w:rsidRPr="00322CA4">
              <w:rPr>
                <w:noProof/>
                <w:sz w:val="20"/>
                <w:szCs w:val="20"/>
              </w:rPr>
              <w:t>0.0</w:t>
            </w:r>
            <w:bookmarkEnd w:id="657"/>
          </w:p>
        </w:tc>
        <w:tc>
          <w:tcPr>
            <w:tcW w:w="828" w:type="pct"/>
            <w:tcBorders>
              <w:top w:val="nil"/>
              <w:left w:val="nil"/>
              <w:bottom w:val="single" w:sz="4" w:space="0" w:color="auto"/>
              <w:right w:val="single" w:sz="4" w:space="0" w:color="auto"/>
            </w:tcBorders>
            <w:shd w:val="clear" w:color="000000" w:fill="FFFFFF"/>
            <w:noWrap/>
            <w:hideMark/>
          </w:tcPr>
          <w:p w14:paraId="2C669338" w14:textId="4224B39C" w:rsidR="00192EDB" w:rsidRPr="00322CA4" w:rsidRDefault="00192EDB" w:rsidP="00192EDB">
            <w:pPr>
              <w:jc w:val="right"/>
              <w:outlineLvl w:val="0"/>
              <w:rPr>
                <w:noProof/>
                <w:sz w:val="20"/>
                <w:szCs w:val="20"/>
              </w:rPr>
            </w:pPr>
            <w:bookmarkStart w:id="658" w:name="_Toc223980262"/>
            <w:r w:rsidRPr="00322CA4">
              <w:rPr>
                <w:noProof/>
                <w:sz w:val="20"/>
                <w:szCs w:val="20"/>
              </w:rPr>
              <w:t>0.0</w:t>
            </w:r>
            <w:bookmarkEnd w:id="658"/>
          </w:p>
        </w:tc>
      </w:tr>
      <w:tr w:rsidR="00192EDB" w:rsidRPr="00952A6F" w14:paraId="3753B401"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593E79B7" w14:textId="77777777" w:rsidR="00192EDB" w:rsidRPr="00952A6F" w:rsidRDefault="00192EDB" w:rsidP="00192EDB">
            <w:pPr>
              <w:outlineLvl w:val="0"/>
              <w:rPr>
                <w:noProof/>
                <w:sz w:val="20"/>
                <w:szCs w:val="20"/>
              </w:rPr>
            </w:pPr>
            <w:r w:rsidRPr="00952A6F">
              <w:rPr>
                <w:noProof/>
                <w:sz w:val="20"/>
                <w:szCs w:val="20"/>
              </w:rPr>
              <w:t xml:space="preserve"> </w:t>
            </w:r>
            <w:bookmarkStart w:id="659" w:name="_Toc223980263"/>
            <w:r w:rsidRPr="00952A6F">
              <w:rPr>
                <w:noProof/>
                <w:sz w:val="20"/>
                <w:szCs w:val="20"/>
              </w:rPr>
              <w:t>Estonia</w:t>
            </w:r>
            <w:bookmarkEnd w:id="659"/>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4CD04F1A" w14:textId="150B360D" w:rsidR="00192EDB" w:rsidRPr="00322CA4" w:rsidRDefault="00192EDB" w:rsidP="00192EDB">
            <w:pPr>
              <w:jc w:val="right"/>
              <w:outlineLvl w:val="0"/>
              <w:rPr>
                <w:noProof/>
                <w:sz w:val="20"/>
                <w:szCs w:val="20"/>
              </w:rPr>
            </w:pPr>
            <w:bookmarkStart w:id="660" w:name="_Toc223980264"/>
            <w:r w:rsidRPr="00322CA4">
              <w:rPr>
                <w:noProof/>
                <w:sz w:val="20"/>
                <w:szCs w:val="20"/>
              </w:rPr>
              <w:t>0.0</w:t>
            </w:r>
            <w:bookmarkEnd w:id="660"/>
          </w:p>
        </w:tc>
        <w:tc>
          <w:tcPr>
            <w:tcW w:w="828" w:type="pct"/>
            <w:tcBorders>
              <w:top w:val="nil"/>
              <w:left w:val="nil"/>
              <w:bottom w:val="single" w:sz="4" w:space="0" w:color="auto"/>
              <w:right w:val="single" w:sz="4" w:space="0" w:color="auto"/>
            </w:tcBorders>
            <w:shd w:val="clear" w:color="000000" w:fill="FFFFFF"/>
            <w:noWrap/>
            <w:hideMark/>
          </w:tcPr>
          <w:p w14:paraId="6E776851" w14:textId="6A25440C" w:rsidR="00192EDB" w:rsidRPr="00322CA4" w:rsidRDefault="00192EDB" w:rsidP="00192EDB">
            <w:pPr>
              <w:jc w:val="right"/>
              <w:outlineLvl w:val="0"/>
              <w:rPr>
                <w:noProof/>
                <w:sz w:val="20"/>
                <w:szCs w:val="20"/>
              </w:rPr>
            </w:pPr>
            <w:bookmarkStart w:id="661" w:name="_Toc223980265"/>
            <w:r w:rsidRPr="00322CA4">
              <w:rPr>
                <w:noProof/>
                <w:sz w:val="20"/>
                <w:szCs w:val="20"/>
              </w:rPr>
              <w:t>0.0</w:t>
            </w:r>
            <w:bookmarkEnd w:id="661"/>
          </w:p>
        </w:tc>
        <w:tc>
          <w:tcPr>
            <w:tcW w:w="828" w:type="pct"/>
            <w:tcBorders>
              <w:top w:val="nil"/>
              <w:left w:val="nil"/>
              <w:bottom w:val="single" w:sz="4" w:space="0" w:color="auto"/>
              <w:right w:val="single" w:sz="4" w:space="0" w:color="auto"/>
            </w:tcBorders>
            <w:shd w:val="clear" w:color="000000" w:fill="FFFFFF"/>
            <w:noWrap/>
            <w:hideMark/>
          </w:tcPr>
          <w:p w14:paraId="75E9DD64" w14:textId="32B06A75" w:rsidR="00192EDB" w:rsidRPr="00322CA4" w:rsidRDefault="00192EDB" w:rsidP="00192EDB">
            <w:pPr>
              <w:jc w:val="right"/>
              <w:outlineLvl w:val="0"/>
              <w:rPr>
                <w:noProof/>
                <w:sz w:val="20"/>
                <w:szCs w:val="20"/>
              </w:rPr>
            </w:pPr>
            <w:bookmarkStart w:id="662" w:name="_Toc223980266"/>
            <w:r w:rsidRPr="00322CA4">
              <w:rPr>
                <w:noProof/>
                <w:sz w:val="20"/>
                <w:szCs w:val="20"/>
              </w:rPr>
              <w:t>0.0</w:t>
            </w:r>
            <w:bookmarkEnd w:id="662"/>
          </w:p>
        </w:tc>
        <w:tc>
          <w:tcPr>
            <w:tcW w:w="828" w:type="pct"/>
            <w:tcBorders>
              <w:top w:val="nil"/>
              <w:left w:val="nil"/>
              <w:bottom w:val="single" w:sz="4" w:space="0" w:color="auto"/>
              <w:right w:val="single" w:sz="4" w:space="0" w:color="auto"/>
            </w:tcBorders>
            <w:shd w:val="clear" w:color="000000" w:fill="FFFFFF"/>
            <w:noWrap/>
            <w:hideMark/>
          </w:tcPr>
          <w:p w14:paraId="27DF29CF" w14:textId="34F0EC23" w:rsidR="00192EDB" w:rsidRPr="00322CA4" w:rsidRDefault="00192EDB" w:rsidP="00192EDB">
            <w:pPr>
              <w:jc w:val="right"/>
              <w:outlineLvl w:val="0"/>
              <w:rPr>
                <w:noProof/>
                <w:sz w:val="20"/>
                <w:szCs w:val="20"/>
              </w:rPr>
            </w:pPr>
            <w:bookmarkStart w:id="663" w:name="_Toc223980267"/>
            <w:r w:rsidRPr="00322CA4">
              <w:rPr>
                <w:noProof/>
                <w:sz w:val="20"/>
                <w:szCs w:val="20"/>
              </w:rPr>
              <w:t>0.0</w:t>
            </w:r>
            <w:bookmarkEnd w:id="663"/>
          </w:p>
        </w:tc>
      </w:tr>
      <w:tr w:rsidR="00192EDB" w:rsidRPr="00952A6F" w14:paraId="1022AC2C"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12D60FC" w14:textId="77777777" w:rsidR="00192EDB" w:rsidRPr="00952A6F" w:rsidRDefault="00192EDB" w:rsidP="00192EDB">
            <w:pPr>
              <w:outlineLvl w:val="0"/>
              <w:rPr>
                <w:noProof/>
                <w:sz w:val="20"/>
                <w:szCs w:val="20"/>
              </w:rPr>
            </w:pPr>
            <w:r w:rsidRPr="00952A6F">
              <w:rPr>
                <w:noProof/>
                <w:sz w:val="20"/>
                <w:szCs w:val="20"/>
              </w:rPr>
              <w:t xml:space="preserve"> </w:t>
            </w:r>
            <w:bookmarkStart w:id="664" w:name="_Toc223980268"/>
            <w:r w:rsidRPr="00952A6F">
              <w:rPr>
                <w:noProof/>
                <w:sz w:val="20"/>
                <w:szCs w:val="20"/>
              </w:rPr>
              <w:t>Croatia</w:t>
            </w:r>
            <w:bookmarkEnd w:id="664"/>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64EE561F" w14:textId="199FC832" w:rsidR="00192EDB" w:rsidRPr="00322CA4" w:rsidRDefault="00192EDB" w:rsidP="00192EDB">
            <w:pPr>
              <w:jc w:val="right"/>
              <w:outlineLvl w:val="0"/>
              <w:rPr>
                <w:noProof/>
                <w:sz w:val="20"/>
                <w:szCs w:val="20"/>
              </w:rPr>
            </w:pPr>
            <w:bookmarkStart w:id="665" w:name="_Toc223980269"/>
            <w:r w:rsidRPr="00322CA4">
              <w:rPr>
                <w:noProof/>
                <w:sz w:val="20"/>
                <w:szCs w:val="20"/>
              </w:rPr>
              <w:t>25.5</w:t>
            </w:r>
            <w:bookmarkEnd w:id="665"/>
          </w:p>
        </w:tc>
        <w:tc>
          <w:tcPr>
            <w:tcW w:w="828" w:type="pct"/>
            <w:tcBorders>
              <w:top w:val="nil"/>
              <w:left w:val="nil"/>
              <w:bottom w:val="single" w:sz="4" w:space="0" w:color="auto"/>
              <w:right w:val="single" w:sz="4" w:space="0" w:color="auto"/>
            </w:tcBorders>
            <w:shd w:val="clear" w:color="000000" w:fill="FFFFFF"/>
            <w:noWrap/>
            <w:hideMark/>
          </w:tcPr>
          <w:p w14:paraId="266AD468" w14:textId="21CFD299" w:rsidR="00192EDB" w:rsidRPr="00322CA4" w:rsidRDefault="00192EDB" w:rsidP="00192EDB">
            <w:pPr>
              <w:jc w:val="right"/>
              <w:outlineLvl w:val="0"/>
              <w:rPr>
                <w:noProof/>
                <w:sz w:val="20"/>
                <w:szCs w:val="20"/>
              </w:rPr>
            </w:pPr>
            <w:bookmarkStart w:id="666" w:name="_Toc223980270"/>
            <w:r w:rsidRPr="00322CA4">
              <w:rPr>
                <w:noProof/>
                <w:sz w:val="20"/>
                <w:szCs w:val="20"/>
              </w:rPr>
              <w:t>3.2</w:t>
            </w:r>
            <w:bookmarkEnd w:id="666"/>
          </w:p>
        </w:tc>
        <w:tc>
          <w:tcPr>
            <w:tcW w:w="828" w:type="pct"/>
            <w:tcBorders>
              <w:top w:val="nil"/>
              <w:left w:val="nil"/>
              <w:bottom w:val="single" w:sz="4" w:space="0" w:color="auto"/>
              <w:right w:val="single" w:sz="4" w:space="0" w:color="auto"/>
            </w:tcBorders>
            <w:shd w:val="clear" w:color="000000" w:fill="FFFFFF"/>
            <w:noWrap/>
            <w:hideMark/>
          </w:tcPr>
          <w:p w14:paraId="6B6357E5" w14:textId="3CCF0668" w:rsidR="00192EDB" w:rsidRPr="00322CA4" w:rsidRDefault="00192EDB" w:rsidP="00192EDB">
            <w:pPr>
              <w:jc w:val="right"/>
              <w:outlineLvl w:val="0"/>
              <w:rPr>
                <w:noProof/>
                <w:sz w:val="20"/>
                <w:szCs w:val="20"/>
              </w:rPr>
            </w:pPr>
            <w:bookmarkStart w:id="667" w:name="_Toc223980271"/>
            <w:r w:rsidRPr="00322CA4">
              <w:rPr>
                <w:noProof/>
                <w:sz w:val="20"/>
                <w:szCs w:val="20"/>
              </w:rPr>
              <w:t>3.4</w:t>
            </w:r>
            <w:bookmarkEnd w:id="667"/>
          </w:p>
        </w:tc>
        <w:tc>
          <w:tcPr>
            <w:tcW w:w="828" w:type="pct"/>
            <w:tcBorders>
              <w:top w:val="nil"/>
              <w:left w:val="nil"/>
              <w:bottom w:val="single" w:sz="4" w:space="0" w:color="auto"/>
              <w:right w:val="single" w:sz="4" w:space="0" w:color="auto"/>
            </w:tcBorders>
            <w:shd w:val="clear" w:color="000000" w:fill="FFFFFF"/>
            <w:noWrap/>
            <w:hideMark/>
          </w:tcPr>
          <w:p w14:paraId="5D2FDC48" w14:textId="6D35A0EA" w:rsidR="00192EDB" w:rsidRPr="00322CA4" w:rsidRDefault="00192EDB" w:rsidP="00192EDB">
            <w:pPr>
              <w:jc w:val="right"/>
              <w:outlineLvl w:val="0"/>
              <w:rPr>
                <w:noProof/>
                <w:sz w:val="20"/>
                <w:szCs w:val="20"/>
              </w:rPr>
            </w:pPr>
            <w:bookmarkStart w:id="668" w:name="_Toc223980272"/>
            <w:r w:rsidRPr="00322CA4">
              <w:rPr>
                <w:noProof/>
                <w:sz w:val="20"/>
                <w:szCs w:val="20"/>
              </w:rPr>
              <w:t>3.1</w:t>
            </w:r>
            <w:bookmarkEnd w:id="668"/>
          </w:p>
        </w:tc>
      </w:tr>
      <w:tr w:rsidR="00192EDB" w:rsidRPr="00952A6F" w14:paraId="1E27823A"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1D33CAAF" w14:textId="77777777" w:rsidR="00192EDB" w:rsidRPr="00952A6F" w:rsidRDefault="00192EDB" w:rsidP="00192EDB">
            <w:pPr>
              <w:outlineLvl w:val="0"/>
              <w:rPr>
                <w:noProof/>
                <w:sz w:val="20"/>
                <w:szCs w:val="20"/>
              </w:rPr>
            </w:pPr>
            <w:r w:rsidRPr="00952A6F">
              <w:rPr>
                <w:noProof/>
                <w:sz w:val="20"/>
                <w:szCs w:val="20"/>
              </w:rPr>
              <w:t xml:space="preserve"> </w:t>
            </w:r>
            <w:bookmarkStart w:id="669" w:name="_Toc223980273"/>
            <w:r w:rsidRPr="00952A6F">
              <w:rPr>
                <w:noProof/>
                <w:sz w:val="20"/>
                <w:szCs w:val="20"/>
              </w:rPr>
              <w:t>Lithuania</w:t>
            </w:r>
            <w:bookmarkEnd w:id="669"/>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66F365FA" w14:textId="3D6B28BE" w:rsidR="00192EDB" w:rsidRPr="00322CA4" w:rsidRDefault="00192EDB" w:rsidP="00192EDB">
            <w:pPr>
              <w:jc w:val="right"/>
              <w:outlineLvl w:val="0"/>
              <w:rPr>
                <w:noProof/>
                <w:sz w:val="20"/>
                <w:szCs w:val="20"/>
              </w:rPr>
            </w:pPr>
            <w:bookmarkStart w:id="670" w:name="_Toc223980274"/>
            <w:r w:rsidRPr="00322CA4">
              <w:rPr>
                <w:noProof/>
                <w:sz w:val="20"/>
                <w:szCs w:val="20"/>
              </w:rPr>
              <w:t>0.0</w:t>
            </w:r>
            <w:bookmarkEnd w:id="670"/>
          </w:p>
        </w:tc>
        <w:tc>
          <w:tcPr>
            <w:tcW w:w="828" w:type="pct"/>
            <w:tcBorders>
              <w:top w:val="nil"/>
              <w:left w:val="nil"/>
              <w:bottom w:val="single" w:sz="4" w:space="0" w:color="auto"/>
              <w:right w:val="single" w:sz="4" w:space="0" w:color="auto"/>
            </w:tcBorders>
            <w:shd w:val="clear" w:color="000000" w:fill="FFFFFF"/>
            <w:noWrap/>
            <w:hideMark/>
          </w:tcPr>
          <w:p w14:paraId="229C0FD3" w14:textId="5306E50D" w:rsidR="00192EDB" w:rsidRPr="00322CA4" w:rsidRDefault="00192EDB" w:rsidP="00192EDB">
            <w:pPr>
              <w:jc w:val="right"/>
              <w:outlineLvl w:val="0"/>
              <w:rPr>
                <w:noProof/>
                <w:sz w:val="20"/>
                <w:szCs w:val="20"/>
              </w:rPr>
            </w:pPr>
            <w:bookmarkStart w:id="671" w:name="_Toc223980275"/>
            <w:r w:rsidRPr="00322CA4">
              <w:rPr>
                <w:noProof/>
                <w:sz w:val="20"/>
                <w:szCs w:val="20"/>
              </w:rPr>
              <w:t>0.0</w:t>
            </w:r>
            <w:bookmarkEnd w:id="671"/>
          </w:p>
        </w:tc>
        <w:tc>
          <w:tcPr>
            <w:tcW w:w="828" w:type="pct"/>
            <w:tcBorders>
              <w:top w:val="nil"/>
              <w:left w:val="nil"/>
              <w:bottom w:val="single" w:sz="4" w:space="0" w:color="auto"/>
              <w:right w:val="single" w:sz="4" w:space="0" w:color="auto"/>
            </w:tcBorders>
            <w:shd w:val="clear" w:color="000000" w:fill="FFFFFF"/>
            <w:noWrap/>
            <w:hideMark/>
          </w:tcPr>
          <w:p w14:paraId="5817C99F" w14:textId="4A8E105E" w:rsidR="00192EDB" w:rsidRPr="00322CA4" w:rsidRDefault="00192EDB" w:rsidP="00192EDB">
            <w:pPr>
              <w:jc w:val="right"/>
              <w:outlineLvl w:val="0"/>
              <w:rPr>
                <w:noProof/>
                <w:sz w:val="20"/>
                <w:szCs w:val="20"/>
              </w:rPr>
            </w:pPr>
            <w:bookmarkStart w:id="672" w:name="_Toc223980276"/>
            <w:r w:rsidRPr="00322CA4">
              <w:rPr>
                <w:noProof/>
                <w:sz w:val="20"/>
                <w:szCs w:val="20"/>
              </w:rPr>
              <w:t>0.0</w:t>
            </w:r>
            <w:bookmarkEnd w:id="672"/>
          </w:p>
        </w:tc>
        <w:tc>
          <w:tcPr>
            <w:tcW w:w="828" w:type="pct"/>
            <w:tcBorders>
              <w:top w:val="nil"/>
              <w:left w:val="nil"/>
              <w:bottom w:val="single" w:sz="4" w:space="0" w:color="auto"/>
              <w:right w:val="single" w:sz="4" w:space="0" w:color="auto"/>
            </w:tcBorders>
            <w:shd w:val="clear" w:color="000000" w:fill="FFFFFF"/>
            <w:noWrap/>
            <w:hideMark/>
          </w:tcPr>
          <w:p w14:paraId="239ECCE7" w14:textId="4716CE86" w:rsidR="00192EDB" w:rsidRPr="00322CA4" w:rsidRDefault="00192EDB" w:rsidP="00192EDB">
            <w:pPr>
              <w:jc w:val="right"/>
              <w:outlineLvl w:val="0"/>
              <w:rPr>
                <w:noProof/>
                <w:sz w:val="20"/>
                <w:szCs w:val="20"/>
              </w:rPr>
            </w:pPr>
            <w:bookmarkStart w:id="673" w:name="_Toc223980277"/>
            <w:r w:rsidRPr="00322CA4">
              <w:rPr>
                <w:noProof/>
                <w:sz w:val="20"/>
                <w:szCs w:val="20"/>
              </w:rPr>
              <w:t>0.0</w:t>
            </w:r>
            <w:bookmarkEnd w:id="673"/>
          </w:p>
        </w:tc>
      </w:tr>
      <w:tr w:rsidR="00192EDB" w:rsidRPr="00952A6F" w14:paraId="12232C25"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CBBA969" w14:textId="77777777" w:rsidR="00192EDB" w:rsidRPr="00952A6F" w:rsidRDefault="00192EDB" w:rsidP="00192EDB">
            <w:pPr>
              <w:outlineLvl w:val="0"/>
              <w:rPr>
                <w:noProof/>
                <w:sz w:val="20"/>
                <w:szCs w:val="20"/>
              </w:rPr>
            </w:pPr>
            <w:r w:rsidRPr="00952A6F">
              <w:rPr>
                <w:noProof/>
                <w:sz w:val="20"/>
                <w:szCs w:val="20"/>
              </w:rPr>
              <w:t xml:space="preserve"> </w:t>
            </w:r>
            <w:bookmarkStart w:id="674" w:name="_Toc223980278"/>
            <w:r w:rsidRPr="00952A6F">
              <w:rPr>
                <w:noProof/>
                <w:sz w:val="20"/>
                <w:szCs w:val="20"/>
              </w:rPr>
              <w:t>Hungary</w:t>
            </w:r>
            <w:bookmarkEnd w:id="674"/>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765EFFC7" w14:textId="50FDC57E" w:rsidR="00192EDB" w:rsidRPr="00322CA4" w:rsidRDefault="00192EDB" w:rsidP="00192EDB">
            <w:pPr>
              <w:jc w:val="right"/>
              <w:outlineLvl w:val="0"/>
              <w:rPr>
                <w:noProof/>
                <w:sz w:val="20"/>
                <w:szCs w:val="20"/>
              </w:rPr>
            </w:pPr>
            <w:bookmarkStart w:id="675" w:name="_Toc223980279"/>
            <w:r w:rsidRPr="00322CA4">
              <w:rPr>
                <w:noProof/>
                <w:sz w:val="20"/>
                <w:szCs w:val="20"/>
              </w:rPr>
              <w:t>76.6</w:t>
            </w:r>
            <w:bookmarkEnd w:id="675"/>
          </w:p>
        </w:tc>
        <w:tc>
          <w:tcPr>
            <w:tcW w:w="828" w:type="pct"/>
            <w:tcBorders>
              <w:top w:val="nil"/>
              <w:left w:val="nil"/>
              <w:bottom w:val="single" w:sz="4" w:space="0" w:color="auto"/>
              <w:right w:val="single" w:sz="4" w:space="0" w:color="auto"/>
            </w:tcBorders>
            <w:shd w:val="clear" w:color="000000" w:fill="FFFFFF"/>
            <w:noWrap/>
            <w:hideMark/>
          </w:tcPr>
          <w:p w14:paraId="35875F05" w14:textId="328E524F" w:rsidR="00192EDB" w:rsidRPr="00322CA4" w:rsidRDefault="00192EDB" w:rsidP="00192EDB">
            <w:pPr>
              <w:jc w:val="right"/>
              <w:outlineLvl w:val="0"/>
              <w:rPr>
                <w:noProof/>
                <w:sz w:val="20"/>
                <w:szCs w:val="20"/>
              </w:rPr>
            </w:pPr>
            <w:bookmarkStart w:id="676" w:name="_Toc223980280"/>
            <w:r w:rsidRPr="00322CA4">
              <w:rPr>
                <w:noProof/>
                <w:sz w:val="20"/>
                <w:szCs w:val="20"/>
              </w:rPr>
              <w:t>9.6</w:t>
            </w:r>
            <w:bookmarkEnd w:id="676"/>
          </w:p>
        </w:tc>
        <w:tc>
          <w:tcPr>
            <w:tcW w:w="828" w:type="pct"/>
            <w:tcBorders>
              <w:top w:val="nil"/>
              <w:left w:val="nil"/>
              <w:bottom w:val="single" w:sz="4" w:space="0" w:color="auto"/>
              <w:right w:val="single" w:sz="4" w:space="0" w:color="auto"/>
            </w:tcBorders>
            <w:shd w:val="clear" w:color="000000" w:fill="FFFFFF"/>
            <w:noWrap/>
            <w:hideMark/>
          </w:tcPr>
          <w:p w14:paraId="255501AF" w14:textId="18F86AE2" w:rsidR="00192EDB" w:rsidRPr="00322CA4" w:rsidRDefault="00192EDB" w:rsidP="00192EDB">
            <w:pPr>
              <w:jc w:val="right"/>
              <w:outlineLvl w:val="0"/>
              <w:rPr>
                <w:noProof/>
                <w:sz w:val="20"/>
                <w:szCs w:val="20"/>
              </w:rPr>
            </w:pPr>
            <w:bookmarkStart w:id="677" w:name="_Toc223980281"/>
            <w:r w:rsidRPr="00322CA4">
              <w:rPr>
                <w:noProof/>
                <w:sz w:val="20"/>
                <w:szCs w:val="20"/>
              </w:rPr>
              <w:t>10.3</w:t>
            </w:r>
            <w:bookmarkEnd w:id="677"/>
          </w:p>
        </w:tc>
        <w:tc>
          <w:tcPr>
            <w:tcW w:w="828" w:type="pct"/>
            <w:tcBorders>
              <w:top w:val="nil"/>
              <w:left w:val="nil"/>
              <w:bottom w:val="single" w:sz="4" w:space="0" w:color="auto"/>
              <w:right w:val="single" w:sz="4" w:space="0" w:color="auto"/>
            </w:tcBorders>
            <w:shd w:val="clear" w:color="000000" w:fill="FFFFFF"/>
            <w:noWrap/>
            <w:hideMark/>
          </w:tcPr>
          <w:p w14:paraId="492E5943" w14:textId="0D290CD6" w:rsidR="00192EDB" w:rsidRPr="00322CA4" w:rsidRDefault="00192EDB" w:rsidP="00192EDB">
            <w:pPr>
              <w:jc w:val="right"/>
              <w:outlineLvl w:val="0"/>
              <w:rPr>
                <w:noProof/>
                <w:sz w:val="20"/>
                <w:szCs w:val="20"/>
              </w:rPr>
            </w:pPr>
            <w:bookmarkStart w:id="678" w:name="_Toc223980282"/>
            <w:r w:rsidRPr="00322CA4">
              <w:rPr>
                <w:noProof/>
                <w:sz w:val="20"/>
                <w:szCs w:val="20"/>
              </w:rPr>
              <w:t>9.4</w:t>
            </w:r>
            <w:bookmarkEnd w:id="678"/>
          </w:p>
        </w:tc>
      </w:tr>
      <w:tr w:rsidR="00192EDB" w:rsidRPr="00952A6F" w14:paraId="448462DD"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A6141E2" w14:textId="77777777" w:rsidR="00192EDB" w:rsidRPr="00952A6F" w:rsidRDefault="00192EDB" w:rsidP="00192EDB">
            <w:pPr>
              <w:outlineLvl w:val="0"/>
              <w:rPr>
                <w:noProof/>
                <w:sz w:val="20"/>
                <w:szCs w:val="20"/>
              </w:rPr>
            </w:pPr>
            <w:r w:rsidRPr="00952A6F">
              <w:rPr>
                <w:noProof/>
                <w:sz w:val="20"/>
                <w:szCs w:val="20"/>
              </w:rPr>
              <w:t xml:space="preserve"> </w:t>
            </w:r>
            <w:bookmarkStart w:id="679" w:name="_Toc223980283"/>
            <w:r w:rsidRPr="00952A6F">
              <w:rPr>
                <w:noProof/>
                <w:sz w:val="20"/>
                <w:szCs w:val="20"/>
              </w:rPr>
              <w:t>Sweden</w:t>
            </w:r>
            <w:bookmarkEnd w:id="679"/>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30296F04" w14:textId="7ADE3213" w:rsidR="00192EDB" w:rsidRPr="00322CA4" w:rsidRDefault="00192EDB" w:rsidP="00192EDB">
            <w:pPr>
              <w:jc w:val="right"/>
              <w:outlineLvl w:val="0"/>
              <w:rPr>
                <w:noProof/>
                <w:sz w:val="20"/>
                <w:szCs w:val="20"/>
              </w:rPr>
            </w:pPr>
            <w:bookmarkStart w:id="680" w:name="_Toc223980284"/>
            <w:r w:rsidRPr="00322CA4">
              <w:rPr>
                <w:noProof/>
                <w:sz w:val="20"/>
                <w:szCs w:val="20"/>
              </w:rPr>
              <w:t>51.1</w:t>
            </w:r>
            <w:bookmarkEnd w:id="680"/>
          </w:p>
        </w:tc>
        <w:tc>
          <w:tcPr>
            <w:tcW w:w="828" w:type="pct"/>
            <w:tcBorders>
              <w:top w:val="nil"/>
              <w:left w:val="nil"/>
              <w:bottom w:val="single" w:sz="4" w:space="0" w:color="auto"/>
              <w:right w:val="single" w:sz="4" w:space="0" w:color="auto"/>
            </w:tcBorders>
            <w:shd w:val="clear" w:color="000000" w:fill="FFFFFF"/>
            <w:noWrap/>
            <w:hideMark/>
          </w:tcPr>
          <w:p w14:paraId="4094C638" w14:textId="3933F5EB" w:rsidR="00192EDB" w:rsidRPr="00322CA4" w:rsidRDefault="00192EDB" w:rsidP="00192EDB">
            <w:pPr>
              <w:jc w:val="right"/>
              <w:outlineLvl w:val="0"/>
              <w:rPr>
                <w:noProof/>
                <w:sz w:val="20"/>
                <w:szCs w:val="20"/>
              </w:rPr>
            </w:pPr>
            <w:bookmarkStart w:id="681" w:name="_Toc223980285"/>
            <w:r w:rsidRPr="00322CA4">
              <w:rPr>
                <w:noProof/>
                <w:sz w:val="20"/>
                <w:szCs w:val="20"/>
              </w:rPr>
              <w:t>6.4</w:t>
            </w:r>
            <w:bookmarkEnd w:id="681"/>
          </w:p>
        </w:tc>
        <w:tc>
          <w:tcPr>
            <w:tcW w:w="828" w:type="pct"/>
            <w:tcBorders>
              <w:top w:val="nil"/>
              <w:left w:val="nil"/>
              <w:bottom w:val="single" w:sz="4" w:space="0" w:color="auto"/>
              <w:right w:val="single" w:sz="4" w:space="0" w:color="auto"/>
            </w:tcBorders>
            <w:shd w:val="clear" w:color="000000" w:fill="FFFFFF"/>
            <w:noWrap/>
            <w:hideMark/>
          </w:tcPr>
          <w:p w14:paraId="26851D0D" w14:textId="196E0B52" w:rsidR="00192EDB" w:rsidRPr="00322CA4" w:rsidRDefault="00192EDB" w:rsidP="00192EDB">
            <w:pPr>
              <w:jc w:val="right"/>
              <w:outlineLvl w:val="0"/>
              <w:rPr>
                <w:noProof/>
                <w:sz w:val="20"/>
                <w:szCs w:val="20"/>
              </w:rPr>
            </w:pPr>
            <w:bookmarkStart w:id="682" w:name="_Toc223980286"/>
            <w:r w:rsidRPr="00322CA4">
              <w:rPr>
                <w:noProof/>
                <w:sz w:val="20"/>
                <w:szCs w:val="20"/>
              </w:rPr>
              <w:t>6.9</w:t>
            </w:r>
            <w:bookmarkEnd w:id="682"/>
          </w:p>
        </w:tc>
        <w:tc>
          <w:tcPr>
            <w:tcW w:w="828" w:type="pct"/>
            <w:tcBorders>
              <w:top w:val="nil"/>
              <w:left w:val="nil"/>
              <w:bottom w:val="single" w:sz="4" w:space="0" w:color="auto"/>
              <w:right w:val="single" w:sz="4" w:space="0" w:color="auto"/>
            </w:tcBorders>
            <w:shd w:val="clear" w:color="000000" w:fill="FFFFFF"/>
            <w:noWrap/>
            <w:hideMark/>
          </w:tcPr>
          <w:p w14:paraId="5BB832DE" w14:textId="2DB4FF30" w:rsidR="00192EDB" w:rsidRPr="00322CA4" w:rsidRDefault="00192EDB" w:rsidP="00192EDB">
            <w:pPr>
              <w:jc w:val="right"/>
              <w:outlineLvl w:val="0"/>
              <w:rPr>
                <w:noProof/>
                <w:sz w:val="20"/>
                <w:szCs w:val="20"/>
              </w:rPr>
            </w:pPr>
            <w:bookmarkStart w:id="683" w:name="_Toc223980287"/>
            <w:r w:rsidRPr="00322CA4">
              <w:rPr>
                <w:noProof/>
                <w:sz w:val="20"/>
                <w:szCs w:val="20"/>
              </w:rPr>
              <w:t>6.3</w:t>
            </w:r>
            <w:bookmarkEnd w:id="683"/>
          </w:p>
        </w:tc>
      </w:tr>
      <w:tr w:rsidR="00192EDB" w:rsidRPr="00952A6F" w14:paraId="591CE2F8"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5D18790" w14:textId="5DF7B3B7" w:rsidR="00192EDB" w:rsidRPr="00952A6F" w:rsidRDefault="00192EDB" w:rsidP="00192EDB">
            <w:pPr>
              <w:outlineLvl w:val="0"/>
              <w:rPr>
                <w:noProof/>
                <w:sz w:val="20"/>
                <w:szCs w:val="20"/>
              </w:rPr>
            </w:pPr>
            <w:r>
              <w:rPr>
                <w:noProof/>
                <w:sz w:val="20"/>
                <w:szCs w:val="20"/>
              </w:rPr>
              <w:t xml:space="preserve"> </w:t>
            </w:r>
            <w:bookmarkStart w:id="684" w:name="_Toc223980288"/>
            <w:r w:rsidRPr="00B17475">
              <w:rPr>
                <w:noProof/>
                <w:sz w:val="20"/>
                <w:szCs w:val="20"/>
              </w:rPr>
              <w:t>Czechia</w:t>
            </w:r>
            <w:bookmarkEnd w:id="684"/>
          </w:p>
        </w:tc>
        <w:tc>
          <w:tcPr>
            <w:tcW w:w="828" w:type="pct"/>
            <w:tcBorders>
              <w:top w:val="nil"/>
              <w:left w:val="nil"/>
              <w:bottom w:val="single" w:sz="4" w:space="0" w:color="auto"/>
              <w:right w:val="single" w:sz="4" w:space="0" w:color="auto"/>
            </w:tcBorders>
            <w:shd w:val="clear" w:color="000000" w:fill="FFFFFF"/>
            <w:noWrap/>
            <w:hideMark/>
          </w:tcPr>
          <w:p w14:paraId="724A5987" w14:textId="13AEA956" w:rsidR="00192EDB" w:rsidRPr="00322CA4" w:rsidRDefault="00192EDB" w:rsidP="00192EDB">
            <w:pPr>
              <w:jc w:val="right"/>
              <w:outlineLvl w:val="0"/>
              <w:rPr>
                <w:noProof/>
                <w:sz w:val="20"/>
                <w:szCs w:val="20"/>
              </w:rPr>
            </w:pPr>
            <w:bookmarkStart w:id="685" w:name="_Toc223980289"/>
            <w:r w:rsidRPr="00322CA4">
              <w:rPr>
                <w:noProof/>
                <w:sz w:val="20"/>
                <w:szCs w:val="20"/>
              </w:rPr>
              <w:t>76.6</w:t>
            </w:r>
            <w:bookmarkEnd w:id="685"/>
          </w:p>
        </w:tc>
        <w:tc>
          <w:tcPr>
            <w:tcW w:w="828" w:type="pct"/>
            <w:tcBorders>
              <w:top w:val="nil"/>
              <w:left w:val="nil"/>
              <w:bottom w:val="single" w:sz="4" w:space="0" w:color="auto"/>
              <w:right w:val="single" w:sz="4" w:space="0" w:color="auto"/>
            </w:tcBorders>
            <w:shd w:val="clear" w:color="000000" w:fill="FFFFFF"/>
            <w:noWrap/>
            <w:hideMark/>
          </w:tcPr>
          <w:p w14:paraId="2959956B" w14:textId="2EA2F400" w:rsidR="00192EDB" w:rsidRPr="00322CA4" w:rsidRDefault="00192EDB" w:rsidP="00192EDB">
            <w:pPr>
              <w:jc w:val="right"/>
              <w:outlineLvl w:val="0"/>
              <w:rPr>
                <w:noProof/>
                <w:sz w:val="20"/>
                <w:szCs w:val="20"/>
              </w:rPr>
            </w:pPr>
            <w:bookmarkStart w:id="686" w:name="_Toc223980290"/>
            <w:r w:rsidRPr="00322CA4">
              <w:rPr>
                <w:noProof/>
                <w:sz w:val="20"/>
                <w:szCs w:val="20"/>
              </w:rPr>
              <w:t>9.6</w:t>
            </w:r>
            <w:bookmarkEnd w:id="686"/>
          </w:p>
        </w:tc>
        <w:tc>
          <w:tcPr>
            <w:tcW w:w="828" w:type="pct"/>
            <w:tcBorders>
              <w:top w:val="nil"/>
              <w:left w:val="nil"/>
              <w:bottom w:val="single" w:sz="4" w:space="0" w:color="auto"/>
              <w:right w:val="single" w:sz="4" w:space="0" w:color="auto"/>
            </w:tcBorders>
            <w:shd w:val="clear" w:color="000000" w:fill="FFFFFF"/>
            <w:noWrap/>
            <w:hideMark/>
          </w:tcPr>
          <w:p w14:paraId="6CC5E9A2" w14:textId="3C7780D6" w:rsidR="00192EDB" w:rsidRPr="00322CA4" w:rsidRDefault="00192EDB" w:rsidP="00192EDB">
            <w:pPr>
              <w:jc w:val="right"/>
              <w:outlineLvl w:val="0"/>
              <w:rPr>
                <w:noProof/>
                <w:sz w:val="20"/>
                <w:szCs w:val="20"/>
              </w:rPr>
            </w:pPr>
            <w:bookmarkStart w:id="687" w:name="_Toc223980291"/>
            <w:r w:rsidRPr="00322CA4">
              <w:rPr>
                <w:noProof/>
                <w:sz w:val="20"/>
                <w:szCs w:val="20"/>
              </w:rPr>
              <w:t>10.3</w:t>
            </w:r>
            <w:bookmarkEnd w:id="687"/>
          </w:p>
        </w:tc>
        <w:tc>
          <w:tcPr>
            <w:tcW w:w="828" w:type="pct"/>
            <w:tcBorders>
              <w:top w:val="nil"/>
              <w:left w:val="nil"/>
              <w:bottom w:val="single" w:sz="4" w:space="0" w:color="auto"/>
              <w:right w:val="single" w:sz="4" w:space="0" w:color="auto"/>
            </w:tcBorders>
            <w:shd w:val="clear" w:color="000000" w:fill="FFFFFF"/>
            <w:noWrap/>
            <w:hideMark/>
          </w:tcPr>
          <w:p w14:paraId="7FA0DBCA" w14:textId="4F966D9B" w:rsidR="00192EDB" w:rsidRPr="00322CA4" w:rsidRDefault="00192EDB" w:rsidP="00192EDB">
            <w:pPr>
              <w:jc w:val="right"/>
              <w:outlineLvl w:val="0"/>
              <w:rPr>
                <w:noProof/>
                <w:sz w:val="20"/>
                <w:szCs w:val="20"/>
              </w:rPr>
            </w:pPr>
            <w:bookmarkStart w:id="688" w:name="_Toc223980292"/>
            <w:r w:rsidRPr="00322CA4">
              <w:rPr>
                <w:noProof/>
                <w:sz w:val="20"/>
                <w:szCs w:val="20"/>
              </w:rPr>
              <w:t>9.4</w:t>
            </w:r>
            <w:bookmarkEnd w:id="688"/>
          </w:p>
        </w:tc>
      </w:tr>
      <w:tr w:rsidR="00192EDB" w:rsidRPr="00952A6F" w14:paraId="5E420B74"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443C3769" w14:textId="77777777" w:rsidR="00192EDB" w:rsidRPr="00952A6F" w:rsidRDefault="00192EDB" w:rsidP="00192EDB">
            <w:pPr>
              <w:outlineLvl w:val="0"/>
              <w:rPr>
                <w:noProof/>
                <w:sz w:val="20"/>
                <w:szCs w:val="20"/>
              </w:rPr>
            </w:pPr>
            <w:r w:rsidRPr="00952A6F">
              <w:rPr>
                <w:noProof/>
                <w:sz w:val="20"/>
                <w:szCs w:val="20"/>
              </w:rPr>
              <w:t xml:space="preserve"> </w:t>
            </w:r>
            <w:bookmarkStart w:id="689" w:name="_Toc223980293"/>
            <w:r w:rsidRPr="00952A6F">
              <w:rPr>
                <w:noProof/>
                <w:sz w:val="20"/>
                <w:szCs w:val="20"/>
              </w:rPr>
              <w:t>Ireland</w:t>
            </w:r>
            <w:bookmarkEnd w:id="689"/>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5267F86" w14:textId="58F7A14F" w:rsidR="00192EDB" w:rsidRPr="00322CA4" w:rsidRDefault="00192EDB" w:rsidP="00192EDB">
            <w:pPr>
              <w:jc w:val="right"/>
              <w:outlineLvl w:val="0"/>
              <w:rPr>
                <w:noProof/>
                <w:sz w:val="20"/>
                <w:szCs w:val="20"/>
              </w:rPr>
            </w:pPr>
            <w:bookmarkStart w:id="690" w:name="_Toc223980294"/>
            <w:r w:rsidRPr="00322CA4">
              <w:rPr>
                <w:noProof/>
                <w:sz w:val="20"/>
                <w:szCs w:val="20"/>
              </w:rPr>
              <w:t>51.1</w:t>
            </w:r>
            <w:bookmarkEnd w:id="690"/>
          </w:p>
        </w:tc>
        <w:tc>
          <w:tcPr>
            <w:tcW w:w="828" w:type="pct"/>
            <w:tcBorders>
              <w:top w:val="nil"/>
              <w:left w:val="nil"/>
              <w:bottom w:val="single" w:sz="4" w:space="0" w:color="auto"/>
              <w:right w:val="single" w:sz="4" w:space="0" w:color="auto"/>
            </w:tcBorders>
            <w:shd w:val="clear" w:color="000000" w:fill="FFFFFF"/>
            <w:noWrap/>
            <w:hideMark/>
          </w:tcPr>
          <w:p w14:paraId="40F7235A" w14:textId="2EF430E9" w:rsidR="00192EDB" w:rsidRPr="00322CA4" w:rsidRDefault="00192EDB" w:rsidP="00192EDB">
            <w:pPr>
              <w:jc w:val="right"/>
              <w:outlineLvl w:val="0"/>
              <w:rPr>
                <w:noProof/>
                <w:sz w:val="20"/>
                <w:szCs w:val="20"/>
              </w:rPr>
            </w:pPr>
            <w:bookmarkStart w:id="691" w:name="_Toc223980295"/>
            <w:r w:rsidRPr="00322CA4">
              <w:rPr>
                <w:noProof/>
                <w:sz w:val="20"/>
                <w:szCs w:val="20"/>
              </w:rPr>
              <w:t>6.4</w:t>
            </w:r>
            <w:bookmarkEnd w:id="691"/>
          </w:p>
        </w:tc>
        <w:tc>
          <w:tcPr>
            <w:tcW w:w="828" w:type="pct"/>
            <w:tcBorders>
              <w:top w:val="nil"/>
              <w:left w:val="nil"/>
              <w:bottom w:val="single" w:sz="4" w:space="0" w:color="auto"/>
              <w:right w:val="single" w:sz="4" w:space="0" w:color="auto"/>
            </w:tcBorders>
            <w:shd w:val="clear" w:color="000000" w:fill="FFFFFF"/>
            <w:noWrap/>
            <w:hideMark/>
          </w:tcPr>
          <w:p w14:paraId="64140E35" w14:textId="690532FC" w:rsidR="00192EDB" w:rsidRPr="00322CA4" w:rsidRDefault="00192EDB" w:rsidP="00192EDB">
            <w:pPr>
              <w:jc w:val="right"/>
              <w:outlineLvl w:val="0"/>
              <w:rPr>
                <w:noProof/>
                <w:sz w:val="20"/>
                <w:szCs w:val="20"/>
              </w:rPr>
            </w:pPr>
            <w:bookmarkStart w:id="692" w:name="_Toc223980296"/>
            <w:r w:rsidRPr="00322CA4">
              <w:rPr>
                <w:noProof/>
                <w:sz w:val="20"/>
                <w:szCs w:val="20"/>
              </w:rPr>
              <w:t>6.9</w:t>
            </w:r>
            <w:bookmarkEnd w:id="692"/>
          </w:p>
        </w:tc>
        <w:tc>
          <w:tcPr>
            <w:tcW w:w="828" w:type="pct"/>
            <w:tcBorders>
              <w:top w:val="nil"/>
              <w:left w:val="nil"/>
              <w:bottom w:val="single" w:sz="4" w:space="0" w:color="auto"/>
              <w:right w:val="single" w:sz="4" w:space="0" w:color="auto"/>
            </w:tcBorders>
            <w:shd w:val="clear" w:color="000000" w:fill="FFFFFF"/>
            <w:noWrap/>
            <w:hideMark/>
          </w:tcPr>
          <w:p w14:paraId="7071F146" w14:textId="0781CD4F" w:rsidR="00192EDB" w:rsidRPr="00322CA4" w:rsidRDefault="00192EDB" w:rsidP="00192EDB">
            <w:pPr>
              <w:jc w:val="right"/>
              <w:outlineLvl w:val="0"/>
              <w:rPr>
                <w:noProof/>
                <w:sz w:val="20"/>
                <w:szCs w:val="20"/>
              </w:rPr>
            </w:pPr>
            <w:bookmarkStart w:id="693" w:name="_Toc223980297"/>
            <w:r w:rsidRPr="00322CA4">
              <w:rPr>
                <w:noProof/>
                <w:sz w:val="20"/>
                <w:szCs w:val="20"/>
              </w:rPr>
              <w:t>6.3</w:t>
            </w:r>
            <w:bookmarkEnd w:id="693"/>
          </w:p>
        </w:tc>
      </w:tr>
      <w:tr w:rsidR="00192EDB" w:rsidRPr="00952A6F" w14:paraId="700AE377"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6BE5941" w14:textId="77777777" w:rsidR="00192EDB" w:rsidRPr="00952A6F" w:rsidRDefault="00192EDB" w:rsidP="00192EDB">
            <w:pPr>
              <w:outlineLvl w:val="0"/>
              <w:rPr>
                <w:noProof/>
                <w:sz w:val="20"/>
                <w:szCs w:val="20"/>
              </w:rPr>
            </w:pPr>
            <w:r w:rsidRPr="00952A6F">
              <w:rPr>
                <w:noProof/>
                <w:sz w:val="20"/>
                <w:szCs w:val="20"/>
              </w:rPr>
              <w:t xml:space="preserve"> </w:t>
            </w:r>
            <w:bookmarkStart w:id="694" w:name="_Toc223980298"/>
            <w:r w:rsidRPr="00952A6F">
              <w:rPr>
                <w:noProof/>
                <w:sz w:val="20"/>
                <w:szCs w:val="20"/>
              </w:rPr>
              <w:t>Slovenia</w:t>
            </w:r>
            <w:bookmarkEnd w:id="694"/>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6F72CC9B" w14:textId="19AE086C" w:rsidR="00192EDB" w:rsidRPr="00322CA4" w:rsidRDefault="00192EDB" w:rsidP="00192EDB">
            <w:pPr>
              <w:jc w:val="right"/>
              <w:outlineLvl w:val="0"/>
              <w:rPr>
                <w:noProof/>
                <w:sz w:val="20"/>
                <w:szCs w:val="20"/>
              </w:rPr>
            </w:pPr>
            <w:bookmarkStart w:id="695" w:name="_Toc223980299"/>
            <w:r w:rsidRPr="00322CA4">
              <w:rPr>
                <w:noProof/>
                <w:sz w:val="20"/>
                <w:szCs w:val="20"/>
              </w:rPr>
              <w:t>0.0</w:t>
            </w:r>
            <w:bookmarkEnd w:id="695"/>
          </w:p>
        </w:tc>
        <w:tc>
          <w:tcPr>
            <w:tcW w:w="828" w:type="pct"/>
            <w:tcBorders>
              <w:top w:val="nil"/>
              <w:left w:val="nil"/>
              <w:bottom w:val="single" w:sz="4" w:space="0" w:color="auto"/>
              <w:right w:val="single" w:sz="4" w:space="0" w:color="auto"/>
            </w:tcBorders>
            <w:shd w:val="clear" w:color="000000" w:fill="FFFFFF"/>
            <w:noWrap/>
            <w:hideMark/>
          </w:tcPr>
          <w:p w14:paraId="222046C7" w14:textId="4485DDF7" w:rsidR="00192EDB" w:rsidRPr="00322CA4" w:rsidRDefault="00192EDB" w:rsidP="00192EDB">
            <w:pPr>
              <w:jc w:val="right"/>
              <w:outlineLvl w:val="0"/>
              <w:rPr>
                <w:noProof/>
                <w:sz w:val="20"/>
                <w:szCs w:val="20"/>
              </w:rPr>
            </w:pPr>
            <w:bookmarkStart w:id="696" w:name="_Toc223980300"/>
            <w:r w:rsidRPr="00322CA4">
              <w:rPr>
                <w:noProof/>
                <w:sz w:val="20"/>
                <w:szCs w:val="20"/>
              </w:rPr>
              <w:t>0.0</w:t>
            </w:r>
            <w:bookmarkEnd w:id="696"/>
          </w:p>
        </w:tc>
        <w:tc>
          <w:tcPr>
            <w:tcW w:w="828" w:type="pct"/>
            <w:tcBorders>
              <w:top w:val="nil"/>
              <w:left w:val="nil"/>
              <w:bottom w:val="single" w:sz="4" w:space="0" w:color="auto"/>
              <w:right w:val="single" w:sz="4" w:space="0" w:color="auto"/>
            </w:tcBorders>
            <w:shd w:val="clear" w:color="000000" w:fill="FFFFFF"/>
            <w:noWrap/>
            <w:hideMark/>
          </w:tcPr>
          <w:p w14:paraId="4B480C7F" w14:textId="5EA1388D" w:rsidR="00192EDB" w:rsidRPr="00322CA4" w:rsidRDefault="00192EDB" w:rsidP="00192EDB">
            <w:pPr>
              <w:jc w:val="right"/>
              <w:outlineLvl w:val="0"/>
              <w:rPr>
                <w:noProof/>
                <w:sz w:val="20"/>
                <w:szCs w:val="20"/>
              </w:rPr>
            </w:pPr>
            <w:bookmarkStart w:id="697" w:name="_Toc223980301"/>
            <w:r w:rsidRPr="00322CA4">
              <w:rPr>
                <w:noProof/>
                <w:sz w:val="20"/>
                <w:szCs w:val="20"/>
              </w:rPr>
              <w:t>0.0</w:t>
            </w:r>
            <w:bookmarkEnd w:id="697"/>
          </w:p>
        </w:tc>
        <w:tc>
          <w:tcPr>
            <w:tcW w:w="828" w:type="pct"/>
            <w:tcBorders>
              <w:top w:val="nil"/>
              <w:left w:val="nil"/>
              <w:bottom w:val="single" w:sz="4" w:space="0" w:color="auto"/>
              <w:right w:val="single" w:sz="4" w:space="0" w:color="auto"/>
            </w:tcBorders>
            <w:shd w:val="clear" w:color="000000" w:fill="FFFFFF"/>
            <w:noWrap/>
            <w:hideMark/>
          </w:tcPr>
          <w:p w14:paraId="26143390" w14:textId="6A0361AC" w:rsidR="00192EDB" w:rsidRPr="00322CA4" w:rsidRDefault="00192EDB" w:rsidP="00192EDB">
            <w:pPr>
              <w:jc w:val="right"/>
              <w:outlineLvl w:val="0"/>
              <w:rPr>
                <w:noProof/>
                <w:sz w:val="20"/>
                <w:szCs w:val="20"/>
              </w:rPr>
            </w:pPr>
            <w:bookmarkStart w:id="698" w:name="_Toc223980302"/>
            <w:r w:rsidRPr="00322CA4">
              <w:rPr>
                <w:noProof/>
                <w:sz w:val="20"/>
                <w:szCs w:val="20"/>
              </w:rPr>
              <w:t>0.0</w:t>
            </w:r>
            <w:bookmarkEnd w:id="698"/>
          </w:p>
        </w:tc>
      </w:tr>
      <w:tr w:rsidR="00192EDB" w:rsidRPr="00952A6F" w14:paraId="0ECA434A"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CC5495C" w14:textId="77777777" w:rsidR="00192EDB" w:rsidRPr="00952A6F" w:rsidRDefault="00192EDB" w:rsidP="00192EDB">
            <w:pPr>
              <w:outlineLvl w:val="0"/>
              <w:rPr>
                <w:noProof/>
                <w:sz w:val="20"/>
                <w:szCs w:val="20"/>
              </w:rPr>
            </w:pPr>
            <w:r w:rsidRPr="00952A6F">
              <w:rPr>
                <w:noProof/>
                <w:sz w:val="20"/>
                <w:szCs w:val="20"/>
              </w:rPr>
              <w:t xml:space="preserve"> </w:t>
            </w:r>
            <w:bookmarkStart w:id="699" w:name="_Toc223980303"/>
            <w:r w:rsidRPr="00952A6F">
              <w:rPr>
                <w:noProof/>
                <w:sz w:val="20"/>
                <w:szCs w:val="20"/>
              </w:rPr>
              <w:t>Latvia</w:t>
            </w:r>
            <w:bookmarkEnd w:id="699"/>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679C3572" w14:textId="1EC6E545" w:rsidR="00192EDB" w:rsidRPr="00322CA4" w:rsidRDefault="00192EDB" w:rsidP="00192EDB">
            <w:pPr>
              <w:jc w:val="right"/>
              <w:outlineLvl w:val="0"/>
              <w:rPr>
                <w:noProof/>
                <w:sz w:val="20"/>
                <w:szCs w:val="20"/>
              </w:rPr>
            </w:pPr>
            <w:bookmarkStart w:id="700" w:name="_Toc223980304"/>
            <w:r w:rsidRPr="00322CA4">
              <w:rPr>
                <w:noProof/>
                <w:sz w:val="20"/>
                <w:szCs w:val="20"/>
              </w:rPr>
              <w:t>0.0</w:t>
            </w:r>
            <w:bookmarkEnd w:id="700"/>
          </w:p>
        </w:tc>
        <w:tc>
          <w:tcPr>
            <w:tcW w:w="828" w:type="pct"/>
            <w:tcBorders>
              <w:top w:val="nil"/>
              <w:left w:val="nil"/>
              <w:bottom w:val="single" w:sz="4" w:space="0" w:color="auto"/>
              <w:right w:val="single" w:sz="4" w:space="0" w:color="auto"/>
            </w:tcBorders>
            <w:shd w:val="clear" w:color="000000" w:fill="FFFFFF"/>
            <w:noWrap/>
            <w:hideMark/>
          </w:tcPr>
          <w:p w14:paraId="6EBB4D53" w14:textId="4F563D1D" w:rsidR="00192EDB" w:rsidRPr="00322CA4" w:rsidRDefault="00192EDB" w:rsidP="00192EDB">
            <w:pPr>
              <w:jc w:val="right"/>
              <w:outlineLvl w:val="0"/>
              <w:rPr>
                <w:noProof/>
                <w:sz w:val="20"/>
                <w:szCs w:val="20"/>
              </w:rPr>
            </w:pPr>
            <w:bookmarkStart w:id="701" w:name="_Toc223980305"/>
            <w:r w:rsidRPr="00322CA4">
              <w:rPr>
                <w:noProof/>
                <w:sz w:val="20"/>
                <w:szCs w:val="20"/>
              </w:rPr>
              <w:t>0.0</w:t>
            </w:r>
            <w:bookmarkEnd w:id="701"/>
          </w:p>
        </w:tc>
        <w:tc>
          <w:tcPr>
            <w:tcW w:w="828" w:type="pct"/>
            <w:tcBorders>
              <w:top w:val="nil"/>
              <w:left w:val="nil"/>
              <w:bottom w:val="single" w:sz="4" w:space="0" w:color="auto"/>
              <w:right w:val="single" w:sz="4" w:space="0" w:color="auto"/>
            </w:tcBorders>
            <w:shd w:val="clear" w:color="000000" w:fill="FFFFFF"/>
            <w:noWrap/>
            <w:hideMark/>
          </w:tcPr>
          <w:p w14:paraId="22924D1C" w14:textId="3A737274" w:rsidR="00192EDB" w:rsidRPr="00322CA4" w:rsidRDefault="00192EDB" w:rsidP="00192EDB">
            <w:pPr>
              <w:jc w:val="right"/>
              <w:outlineLvl w:val="0"/>
              <w:rPr>
                <w:noProof/>
                <w:sz w:val="20"/>
                <w:szCs w:val="20"/>
              </w:rPr>
            </w:pPr>
            <w:bookmarkStart w:id="702" w:name="_Toc223980306"/>
            <w:r w:rsidRPr="00322CA4">
              <w:rPr>
                <w:noProof/>
                <w:sz w:val="20"/>
                <w:szCs w:val="20"/>
              </w:rPr>
              <w:t>0.0</w:t>
            </w:r>
            <w:bookmarkEnd w:id="702"/>
          </w:p>
        </w:tc>
        <w:tc>
          <w:tcPr>
            <w:tcW w:w="828" w:type="pct"/>
            <w:tcBorders>
              <w:top w:val="nil"/>
              <w:left w:val="nil"/>
              <w:bottom w:val="single" w:sz="4" w:space="0" w:color="auto"/>
              <w:right w:val="single" w:sz="4" w:space="0" w:color="auto"/>
            </w:tcBorders>
            <w:shd w:val="clear" w:color="000000" w:fill="FFFFFF"/>
            <w:noWrap/>
            <w:hideMark/>
          </w:tcPr>
          <w:p w14:paraId="61A4EAA2" w14:textId="79FA9BB6" w:rsidR="00192EDB" w:rsidRPr="00322CA4" w:rsidRDefault="00192EDB" w:rsidP="00192EDB">
            <w:pPr>
              <w:jc w:val="right"/>
              <w:outlineLvl w:val="0"/>
              <w:rPr>
                <w:noProof/>
                <w:sz w:val="20"/>
                <w:szCs w:val="20"/>
              </w:rPr>
            </w:pPr>
            <w:bookmarkStart w:id="703" w:name="_Toc223980307"/>
            <w:r w:rsidRPr="00322CA4">
              <w:rPr>
                <w:noProof/>
                <w:sz w:val="20"/>
                <w:szCs w:val="20"/>
              </w:rPr>
              <w:t>0.0</w:t>
            </w:r>
            <w:bookmarkEnd w:id="703"/>
          </w:p>
        </w:tc>
      </w:tr>
      <w:tr w:rsidR="00192EDB" w:rsidRPr="00952A6F" w14:paraId="780D07FD"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008419B8" w14:textId="77777777" w:rsidR="00192EDB" w:rsidRPr="00952A6F" w:rsidRDefault="00192EDB" w:rsidP="00192EDB">
            <w:pPr>
              <w:outlineLvl w:val="0"/>
              <w:rPr>
                <w:noProof/>
                <w:sz w:val="20"/>
                <w:szCs w:val="20"/>
              </w:rPr>
            </w:pPr>
            <w:r w:rsidRPr="00952A6F">
              <w:rPr>
                <w:noProof/>
                <w:sz w:val="20"/>
                <w:szCs w:val="20"/>
              </w:rPr>
              <w:t xml:space="preserve"> </w:t>
            </w:r>
            <w:bookmarkStart w:id="704" w:name="_Toc223980308"/>
            <w:r w:rsidRPr="00952A6F">
              <w:rPr>
                <w:noProof/>
                <w:sz w:val="20"/>
                <w:szCs w:val="20"/>
              </w:rPr>
              <w:t>Romania</w:t>
            </w:r>
            <w:bookmarkEnd w:id="704"/>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66DB6548" w14:textId="1E349193" w:rsidR="00192EDB" w:rsidRPr="00322CA4" w:rsidRDefault="00192EDB" w:rsidP="00192EDB">
            <w:pPr>
              <w:jc w:val="right"/>
              <w:outlineLvl w:val="0"/>
              <w:rPr>
                <w:noProof/>
                <w:sz w:val="20"/>
                <w:szCs w:val="20"/>
              </w:rPr>
            </w:pPr>
            <w:bookmarkStart w:id="705" w:name="_Toc223980309"/>
            <w:r w:rsidRPr="00322CA4">
              <w:rPr>
                <w:noProof/>
                <w:sz w:val="20"/>
                <w:szCs w:val="20"/>
              </w:rPr>
              <w:t>0.0</w:t>
            </w:r>
            <w:bookmarkEnd w:id="705"/>
          </w:p>
        </w:tc>
        <w:tc>
          <w:tcPr>
            <w:tcW w:w="828" w:type="pct"/>
            <w:tcBorders>
              <w:top w:val="nil"/>
              <w:left w:val="nil"/>
              <w:bottom w:val="single" w:sz="4" w:space="0" w:color="auto"/>
              <w:right w:val="single" w:sz="4" w:space="0" w:color="auto"/>
            </w:tcBorders>
            <w:shd w:val="clear" w:color="000000" w:fill="FFFFFF"/>
            <w:noWrap/>
            <w:hideMark/>
          </w:tcPr>
          <w:p w14:paraId="09C97944" w14:textId="61C18300" w:rsidR="00192EDB" w:rsidRPr="00322CA4" w:rsidRDefault="00192EDB" w:rsidP="00192EDB">
            <w:pPr>
              <w:jc w:val="right"/>
              <w:outlineLvl w:val="0"/>
              <w:rPr>
                <w:noProof/>
                <w:sz w:val="20"/>
                <w:szCs w:val="20"/>
              </w:rPr>
            </w:pPr>
            <w:bookmarkStart w:id="706" w:name="_Toc223980310"/>
            <w:r w:rsidRPr="00322CA4">
              <w:rPr>
                <w:noProof/>
                <w:sz w:val="20"/>
                <w:szCs w:val="20"/>
              </w:rPr>
              <w:t>0.0</w:t>
            </w:r>
            <w:bookmarkEnd w:id="706"/>
          </w:p>
        </w:tc>
        <w:tc>
          <w:tcPr>
            <w:tcW w:w="828" w:type="pct"/>
            <w:tcBorders>
              <w:top w:val="nil"/>
              <w:left w:val="nil"/>
              <w:bottom w:val="single" w:sz="4" w:space="0" w:color="auto"/>
              <w:right w:val="single" w:sz="4" w:space="0" w:color="auto"/>
            </w:tcBorders>
            <w:shd w:val="clear" w:color="000000" w:fill="FFFFFF"/>
            <w:noWrap/>
            <w:hideMark/>
          </w:tcPr>
          <w:p w14:paraId="113DD92F" w14:textId="57CB8598" w:rsidR="00192EDB" w:rsidRPr="00322CA4" w:rsidRDefault="00192EDB" w:rsidP="00192EDB">
            <w:pPr>
              <w:jc w:val="right"/>
              <w:outlineLvl w:val="0"/>
              <w:rPr>
                <w:noProof/>
                <w:sz w:val="20"/>
                <w:szCs w:val="20"/>
              </w:rPr>
            </w:pPr>
            <w:bookmarkStart w:id="707" w:name="_Toc223980311"/>
            <w:r w:rsidRPr="00322CA4">
              <w:rPr>
                <w:noProof/>
                <w:sz w:val="20"/>
                <w:szCs w:val="20"/>
              </w:rPr>
              <w:t>0.0</w:t>
            </w:r>
            <w:bookmarkEnd w:id="707"/>
          </w:p>
        </w:tc>
        <w:tc>
          <w:tcPr>
            <w:tcW w:w="828" w:type="pct"/>
            <w:tcBorders>
              <w:top w:val="nil"/>
              <w:left w:val="nil"/>
              <w:bottom w:val="single" w:sz="4" w:space="0" w:color="auto"/>
              <w:right w:val="single" w:sz="4" w:space="0" w:color="auto"/>
            </w:tcBorders>
            <w:shd w:val="clear" w:color="000000" w:fill="FFFFFF"/>
            <w:noWrap/>
            <w:hideMark/>
          </w:tcPr>
          <w:p w14:paraId="0CC18B63" w14:textId="35D0F5F4" w:rsidR="00192EDB" w:rsidRPr="00322CA4" w:rsidRDefault="00192EDB" w:rsidP="00192EDB">
            <w:pPr>
              <w:jc w:val="right"/>
              <w:outlineLvl w:val="0"/>
              <w:rPr>
                <w:noProof/>
                <w:sz w:val="20"/>
                <w:szCs w:val="20"/>
              </w:rPr>
            </w:pPr>
            <w:bookmarkStart w:id="708" w:name="_Toc223980312"/>
            <w:r w:rsidRPr="00322CA4">
              <w:rPr>
                <w:noProof/>
                <w:sz w:val="20"/>
                <w:szCs w:val="20"/>
              </w:rPr>
              <w:t>0.0</w:t>
            </w:r>
            <w:bookmarkEnd w:id="708"/>
          </w:p>
        </w:tc>
      </w:tr>
      <w:tr w:rsidR="00192EDB" w:rsidRPr="00952A6F" w14:paraId="082D2A5C"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6F86980" w14:textId="77777777" w:rsidR="00192EDB" w:rsidRPr="00952A6F" w:rsidRDefault="00192EDB" w:rsidP="00192EDB">
            <w:pPr>
              <w:outlineLvl w:val="0"/>
              <w:rPr>
                <w:noProof/>
                <w:sz w:val="20"/>
                <w:szCs w:val="20"/>
              </w:rPr>
            </w:pPr>
            <w:r w:rsidRPr="00952A6F">
              <w:rPr>
                <w:noProof/>
                <w:sz w:val="20"/>
                <w:szCs w:val="20"/>
              </w:rPr>
              <w:t xml:space="preserve"> </w:t>
            </w:r>
            <w:bookmarkStart w:id="709" w:name="_Toc223980313"/>
            <w:r w:rsidRPr="00952A6F">
              <w:rPr>
                <w:noProof/>
                <w:sz w:val="20"/>
                <w:szCs w:val="20"/>
              </w:rPr>
              <w:t>Slovakia</w:t>
            </w:r>
            <w:bookmarkEnd w:id="709"/>
            <w:r w:rsidRPr="00952A6F">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2F41F41" w14:textId="2C787466" w:rsidR="00192EDB" w:rsidRPr="00322CA4" w:rsidRDefault="00192EDB" w:rsidP="00192EDB">
            <w:pPr>
              <w:jc w:val="right"/>
              <w:outlineLvl w:val="0"/>
              <w:rPr>
                <w:noProof/>
                <w:sz w:val="20"/>
                <w:szCs w:val="20"/>
              </w:rPr>
            </w:pPr>
            <w:bookmarkStart w:id="710" w:name="_Toc223980314"/>
            <w:r w:rsidRPr="00322CA4">
              <w:rPr>
                <w:noProof/>
                <w:sz w:val="20"/>
                <w:szCs w:val="20"/>
              </w:rPr>
              <w:t>25.5</w:t>
            </w:r>
            <w:bookmarkEnd w:id="710"/>
          </w:p>
        </w:tc>
        <w:tc>
          <w:tcPr>
            <w:tcW w:w="828" w:type="pct"/>
            <w:tcBorders>
              <w:top w:val="nil"/>
              <w:left w:val="nil"/>
              <w:bottom w:val="single" w:sz="4" w:space="0" w:color="auto"/>
              <w:right w:val="single" w:sz="4" w:space="0" w:color="auto"/>
            </w:tcBorders>
            <w:shd w:val="clear" w:color="000000" w:fill="FFFFFF"/>
            <w:noWrap/>
            <w:hideMark/>
          </w:tcPr>
          <w:p w14:paraId="0A5FCC98" w14:textId="24162FF8" w:rsidR="00192EDB" w:rsidRPr="00322CA4" w:rsidRDefault="00192EDB" w:rsidP="00192EDB">
            <w:pPr>
              <w:jc w:val="right"/>
              <w:outlineLvl w:val="0"/>
              <w:rPr>
                <w:noProof/>
                <w:sz w:val="20"/>
                <w:szCs w:val="20"/>
              </w:rPr>
            </w:pPr>
            <w:bookmarkStart w:id="711" w:name="_Toc223980315"/>
            <w:r w:rsidRPr="00322CA4">
              <w:rPr>
                <w:noProof/>
                <w:sz w:val="20"/>
                <w:szCs w:val="20"/>
              </w:rPr>
              <w:t>3.2</w:t>
            </w:r>
            <w:bookmarkEnd w:id="711"/>
          </w:p>
        </w:tc>
        <w:tc>
          <w:tcPr>
            <w:tcW w:w="828" w:type="pct"/>
            <w:tcBorders>
              <w:top w:val="nil"/>
              <w:left w:val="nil"/>
              <w:bottom w:val="single" w:sz="4" w:space="0" w:color="auto"/>
              <w:right w:val="single" w:sz="4" w:space="0" w:color="auto"/>
            </w:tcBorders>
            <w:shd w:val="clear" w:color="000000" w:fill="FFFFFF"/>
            <w:noWrap/>
            <w:hideMark/>
          </w:tcPr>
          <w:p w14:paraId="18389DBE" w14:textId="023AF871" w:rsidR="00192EDB" w:rsidRPr="00322CA4" w:rsidRDefault="00192EDB" w:rsidP="00192EDB">
            <w:pPr>
              <w:jc w:val="right"/>
              <w:outlineLvl w:val="0"/>
              <w:rPr>
                <w:noProof/>
                <w:sz w:val="20"/>
                <w:szCs w:val="20"/>
              </w:rPr>
            </w:pPr>
            <w:bookmarkStart w:id="712" w:name="_Toc223980316"/>
            <w:r w:rsidRPr="00322CA4">
              <w:rPr>
                <w:noProof/>
                <w:sz w:val="20"/>
                <w:szCs w:val="20"/>
              </w:rPr>
              <w:t>3.4</w:t>
            </w:r>
            <w:bookmarkEnd w:id="712"/>
          </w:p>
        </w:tc>
        <w:tc>
          <w:tcPr>
            <w:tcW w:w="828" w:type="pct"/>
            <w:tcBorders>
              <w:top w:val="nil"/>
              <w:left w:val="nil"/>
              <w:bottom w:val="single" w:sz="4" w:space="0" w:color="auto"/>
              <w:right w:val="single" w:sz="4" w:space="0" w:color="auto"/>
            </w:tcBorders>
            <w:shd w:val="clear" w:color="000000" w:fill="FFFFFF"/>
            <w:noWrap/>
            <w:hideMark/>
          </w:tcPr>
          <w:p w14:paraId="4F08302E" w14:textId="2B59B522" w:rsidR="00192EDB" w:rsidRPr="00322CA4" w:rsidRDefault="00192EDB" w:rsidP="00192EDB">
            <w:pPr>
              <w:jc w:val="right"/>
              <w:outlineLvl w:val="0"/>
              <w:rPr>
                <w:noProof/>
                <w:sz w:val="20"/>
                <w:szCs w:val="20"/>
              </w:rPr>
            </w:pPr>
            <w:bookmarkStart w:id="713" w:name="_Toc223980317"/>
            <w:r w:rsidRPr="00322CA4">
              <w:rPr>
                <w:noProof/>
                <w:sz w:val="20"/>
                <w:szCs w:val="20"/>
              </w:rPr>
              <w:t>3.1</w:t>
            </w:r>
            <w:bookmarkEnd w:id="713"/>
          </w:p>
        </w:tc>
      </w:tr>
      <w:tr w:rsidR="00192EDB" w:rsidRPr="00952A6F" w14:paraId="4CC61B5D" w14:textId="77777777" w:rsidTr="00952A6F">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47BEB023" w14:textId="70D70172" w:rsidR="00192EDB" w:rsidRPr="00952A6F" w:rsidRDefault="00192EDB" w:rsidP="00192EDB">
            <w:pPr>
              <w:rPr>
                <w:b/>
                <w:bCs/>
                <w:noProof/>
                <w:sz w:val="20"/>
                <w:szCs w:val="20"/>
              </w:rPr>
            </w:pPr>
            <w:r w:rsidRPr="00952A6F">
              <w:rPr>
                <w:b/>
                <w:bCs/>
                <w:noProof/>
                <w:sz w:val="20"/>
                <w:szCs w:val="20"/>
              </w:rPr>
              <w:t xml:space="preserve"> Total </w:t>
            </w:r>
          </w:p>
        </w:tc>
        <w:tc>
          <w:tcPr>
            <w:tcW w:w="828" w:type="pct"/>
            <w:tcBorders>
              <w:top w:val="nil"/>
              <w:left w:val="nil"/>
              <w:bottom w:val="single" w:sz="4" w:space="0" w:color="auto"/>
              <w:right w:val="single" w:sz="4" w:space="0" w:color="auto"/>
            </w:tcBorders>
            <w:shd w:val="clear" w:color="000000" w:fill="FFFFFF"/>
            <w:noWrap/>
            <w:hideMark/>
          </w:tcPr>
          <w:p w14:paraId="797808B3" w14:textId="2B86A808" w:rsidR="00192EDB" w:rsidRPr="00322CA4" w:rsidRDefault="00192EDB" w:rsidP="00192EDB">
            <w:pPr>
              <w:jc w:val="right"/>
              <w:rPr>
                <w:b/>
                <w:bCs/>
                <w:noProof/>
                <w:sz w:val="20"/>
                <w:szCs w:val="20"/>
              </w:rPr>
            </w:pPr>
            <w:r w:rsidRPr="00322CA4">
              <w:rPr>
                <w:b/>
                <w:bCs/>
                <w:noProof/>
                <w:sz w:val="20"/>
                <w:szCs w:val="20"/>
              </w:rPr>
              <w:t>2,554.1</w:t>
            </w:r>
          </w:p>
        </w:tc>
        <w:tc>
          <w:tcPr>
            <w:tcW w:w="828" w:type="pct"/>
            <w:tcBorders>
              <w:top w:val="nil"/>
              <w:left w:val="nil"/>
              <w:bottom w:val="single" w:sz="4" w:space="0" w:color="auto"/>
              <w:right w:val="single" w:sz="4" w:space="0" w:color="auto"/>
            </w:tcBorders>
            <w:shd w:val="clear" w:color="000000" w:fill="FFFFFF"/>
            <w:noWrap/>
            <w:hideMark/>
          </w:tcPr>
          <w:p w14:paraId="0CF2C101" w14:textId="67E8FABE" w:rsidR="00192EDB" w:rsidRPr="00322CA4" w:rsidRDefault="00192EDB" w:rsidP="00192EDB">
            <w:pPr>
              <w:jc w:val="right"/>
              <w:rPr>
                <w:b/>
                <w:bCs/>
                <w:noProof/>
                <w:sz w:val="20"/>
                <w:szCs w:val="20"/>
              </w:rPr>
            </w:pPr>
            <w:r w:rsidRPr="00322CA4">
              <w:rPr>
                <w:b/>
                <w:bCs/>
                <w:noProof/>
                <w:sz w:val="20"/>
                <w:szCs w:val="20"/>
              </w:rPr>
              <w:t>320.0</w:t>
            </w:r>
          </w:p>
        </w:tc>
        <w:tc>
          <w:tcPr>
            <w:tcW w:w="828" w:type="pct"/>
            <w:tcBorders>
              <w:top w:val="nil"/>
              <w:left w:val="nil"/>
              <w:bottom w:val="single" w:sz="4" w:space="0" w:color="auto"/>
              <w:right w:val="single" w:sz="4" w:space="0" w:color="auto"/>
            </w:tcBorders>
            <w:shd w:val="clear" w:color="000000" w:fill="FFFFFF"/>
            <w:noWrap/>
            <w:hideMark/>
          </w:tcPr>
          <w:p w14:paraId="57E2EE25" w14:textId="6FE841EF" w:rsidR="00192EDB" w:rsidRPr="00322CA4" w:rsidRDefault="00192EDB" w:rsidP="00192EDB">
            <w:pPr>
              <w:jc w:val="right"/>
              <w:rPr>
                <w:b/>
                <w:bCs/>
                <w:noProof/>
                <w:sz w:val="20"/>
                <w:szCs w:val="20"/>
              </w:rPr>
            </w:pPr>
            <w:r w:rsidRPr="00322CA4">
              <w:rPr>
                <w:b/>
                <w:bCs/>
                <w:noProof/>
                <w:sz w:val="20"/>
                <w:szCs w:val="20"/>
              </w:rPr>
              <w:t>344.1</w:t>
            </w:r>
          </w:p>
        </w:tc>
        <w:tc>
          <w:tcPr>
            <w:tcW w:w="828" w:type="pct"/>
            <w:tcBorders>
              <w:top w:val="nil"/>
              <w:left w:val="nil"/>
              <w:bottom w:val="single" w:sz="4" w:space="0" w:color="auto"/>
              <w:right w:val="single" w:sz="4" w:space="0" w:color="auto"/>
            </w:tcBorders>
            <w:shd w:val="clear" w:color="000000" w:fill="FFFFFF"/>
            <w:noWrap/>
            <w:hideMark/>
          </w:tcPr>
          <w:p w14:paraId="37D6F6C8" w14:textId="3C3651C7" w:rsidR="00192EDB" w:rsidRPr="00322CA4" w:rsidRDefault="00192EDB" w:rsidP="00192EDB">
            <w:pPr>
              <w:jc w:val="right"/>
              <w:rPr>
                <w:b/>
                <w:bCs/>
                <w:noProof/>
                <w:sz w:val="20"/>
                <w:szCs w:val="20"/>
              </w:rPr>
            </w:pPr>
            <w:r w:rsidRPr="00322CA4">
              <w:rPr>
                <w:b/>
                <w:bCs/>
                <w:noProof/>
                <w:sz w:val="20"/>
                <w:szCs w:val="20"/>
              </w:rPr>
              <w:t>314.6</w:t>
            </w:r>
          </w:p>
        </w:tc>
      </w:tr>
    </w:tbl>
    <w:p w14:paraId="7570F918" w14:textId="77777777" w:rsidR="002303A3" w:rsidRPr="00952A6F" w:rsidRDefault="002303A3" w:rsidP="002303A3">
      <w:pPr>
        <w:tabs>
          <w:tab w:val="left" w:pos="2302"/>
        </w:tabs>
        <w:spacing w:after="240"/>
        <w:jc w:val="both"/>
        <w:rPr>
          <w:i/>
          <w:noProof/>
          <w:sz w:val="20"/>
          <w:szCs w:val="20"/>
        </w:rPr>
      </w:pPr>
      <w:r w:rsidRPr="00952A6F">
        <w:rPr>
          <w:i/>
          <w:noProof/>
          <w:spacing w:val="-8"/>
          <w:sz w:val="20"/>
          <w:szCs w:val="20"/>
        </w:rPr>
        <w:t xml:space="preserve">Source: </w:t>
      </w:r>
      <w:r w:rsidRPr="00952A6F">
        <w:rPr>
          <w:i/>
          <w:noProof/>
          <w:sz w:val="20"/>
          <w:szCs w:val="20"/>
        </w:rPr>
        <w:t>Ricardo et al. (2026), Impact assessment support study</w:t>
      </w:r>
    </w:p>
    <w:p w14:paraId="0A110695" w14:textId="2CAB9B1C" w:rsidR="002303A3" w:rsidRPr="00383DBF" w:rsidRDefault="002303A3" w:rsidP="00383DBF">
      <w:pPr>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75</w:t>
      </w:r>
      <w:r w:rsidRPr="00383DBF">
        <w:rPr>
          <w:i/>
          <w:noProof/>
          <w:sz w:val="22"/>
          <w:szCs w:val="22"/>
        </w:rPr>
        <w:fldChar w:fldCharType="end"/>
      </w:r>
      <w:r w:rsidRPr="00383DBF">
        <w:rPr>
          <w:i/>
          <w:noProof/>
          <w:sz w:val="22"/>
          <w:szCs w:val="22"/>
        </w:rPr>
        <w:t>: Total one-off and recurrent adjustment costs for</w:t>
      </w:r>
      <w:r w:rsidR="00AD2776">
        <w:rPr>
          <w:i/>
          <w:noProof/>
          <w:sz w:val="22"/>
          <w:szCs w:val="22"/>
        </w:rPr>
        <w:t xml:space="preserve"> non-SME</w:t>
      </w:r>
      <w:r w:rsidRPr="00383DBF">
        <w:rPr>
          <w:i/>
          <w:noProof/>
          <w:sz w:val="22"/>
          <w:szCs w:val="22"/>
        </w:rPr>
        <w:t xml:space="preserve"> B2C MDMS platforms due to PM2 in PO2 in 2028, 2030, 2040 and 2050 relative to the baseline (thousand EUR, in 2024 prices)</w:t>
      </w:r>
    </w:p>
    <w:tbl>
      <w:tblPr>
        <w:tblW w:w="5000" w:type="pct"/>
        <w:tblLook w:val="04A0" w:firstRow="1" w:lastRow="0" w:firstColumn="1" w:lastColumn="0" w:noHBand="0" w:noVBand="1"/>
      </w:tblPr>
      <w:tblGrid>
        <w:gridCol w:w="3241"/>
        <w:gridCol w:w="1591"/>
        <w:gridCol w:w="1591"/>
        <w:gridCol w:w="1590"/>
        <w:gridCol w:w="1590"/>
      </w:tblGrid>
      <w:tr w:rsidR="008F6B42" w:rsidRPr="008F6B42" w14:paraId="2C2F8376" w14:textId="77777777" w:rsidTr="008F6B42">
        <w:trPr>
          <w:trHeight w:val="255"/>
          <w:tblHeader/>
        </w:trPr>
        <w:tc>
          <w:tcPr>
            <w:tcW w:w="1687" w:type="pct"/>
            <w:tcBorders>
              <w:top w:val="single" w:sz="4" w:space="0" w:color="auto"/>
              <w:left w:val="single" w:sz="4" w:space="0" w:color="auto"/>
              <w:bottom w:val="single" w:sz="4" w:space="0" w:color="auto"/>
              <w:right w:val="single" w:sz="4" w:space="0" w:color="auto"/>
            </w:tcBorders>
            <w:shd w:val="clear" w:color="000000" w:fill="0070C0"/>
            <w:noWrap/>
            <w:hideMark/>
          </w:tcPr>
          <w:p w14:paraId="4BC8F0ED" w14:textId="19A8B882" w:rsidR="003F5BF8" w:rsidRPr="008F6B42" w:rsidRDefault="003F5BF8" w:rsidP="008F6B42">
            <w:pPr>
              <w:keepNext/>
              <w:jc w:val="center"/>
              <w:rPr>
                <w:b/>
                <w:bCs/>
                <w:noProof/>
                <w:color w:val="FFFFFF"/>
                <w:sz w:val="20"/>
                <w:szCs w:val="20"/>
              </w:rPr>
            </w:pPr>
          </w:p>
        </w:tc>
        <w:tc>
          <w:tcPr>
            <w:tcW w:w="828" w:type="pct"/>
            <w:tcBorders>
              <w:top w:val="single" w:sz="4" w:space="0" w:color="auto"/>
              <w:left w:val="nil"/>
              <w:bottom w:val="single" w:sz="4" w:space="0" w:color="auto"/>
              <w:right w:val="single" w:sz="4" w:space="0" w:color="auto"/>
            </w:tcBorders>
            <w:shd w:val="clear" w:color="000000" w:fill="0070C0"/>
            <w:noWrap/>
            <w:hideMark/>
          </w:tcPr>
          <w:p w14:paraId="76CF93A1" w14:textId="77777777" w:rsidR="003F5BF8" w:rsidRPr="008F6B42" w:rsidRDefault="003F5BF8" w:rsidP="008F6B42">
            <w:pPr>
              <w:keepNext/>
              <w:jc w:val="center"/>
              <w:rPr>
                <w:b/>
                <w:bCs/>
                <w:noProof/>
                <w:color w:val="FFFFFF"/>
                <w:sz w:val="20"/>
                <w:szCs w:val="20"/>
              </w:rPr>
            </w:pPr>
            <w:r w:rsidRPr="008F6B42">
              <w:rPr>
                <w:b/>
                <w:bCs/>
                <w:noProof/>
                <w:color w:val="FFFFFF"/>
                <w:sz w:val="20"/>
                <w:szCs w:val="20"/>
              </w:rPr>
              <w:t>2028</w:t>
            </w:r>
          </w:p>
        </w:tc>
        <w:tc>
          <w:tcPr>
            <w:tcW w:w="828" w:type="pct"/>
            <w:tcBorders>
              <w:top w:val="single" w:sz="4" w:space="0" w:color="auto"/>
              <w:left w:val="nil"/>
              <w:bottom w:val="single" w:sz="4" w:space="0" w:color="auto"/>
              <w:right w:val="single" w:sz="4" w:space="0" w:color="auto"/>
            </w:tcBorders>
            <w:shd w:val="clear" w:color="000000" w:fill="0070C0"/>
            <w:noWrap/>
            <w:hideMark/>
          </w:tcPr>
          <w:p w14:paraId="145F7809" w14:textId="77777777" w:rsidR="003F5BF8" w:rsidRPr="008F6B42" w:rsidRDefault="003F5BF8" w:rsidP="008F6B42">
            <w:pPr>
              <w:keepNext/>
              <w:jc w:val="center"/>
              <w:rPr>
                <w:b/>
                <w:bCs/>
                <w:noProof/>
                <w:color w:val="FFFFFF"/>
                <w:sz w:val="20"/>
                <w:szCs w:val="20"/>
              </w:rPr>
            </w:pPr>
            <w:r w:rsidRPr="008F6B42">
              <w:rPr>
                <w:b/>
                <w:bCs/>
                <w:noProof/>
                <w:color w:val="FFFFFF"/>
                <w:sz w:val="20"/>
                <w:szCs w:val="20"/>
              </w:rPr>
              <w:t>2030</w:t>
            </w:r>
          </w:p>
        </w:tc>
        <w:tc>
          <w:tcPr>
            <w:tcW w:w="828" w:type="pct"/>
            <w:tcBorders>
              <w:top w:val="single" w:sz="4" w:space="0" w:color="auto"/>
              <w:left w:val="nil"/>
              <w:bottom w:val="single" w:sz="4" w:space="0" w:color="auto"/>
              <w:right w:val="single" w:sz="4" w:space="0" w:color="auto"/>
            </w:tcBorders>
            <w:shd w:val="clear" w:color="000000" w:fill="0070C0"/>
            <w:noWrap/>
            <w:hideMark/>
          </w:tcPr>
          <w:p w14:paraId="2D8C9E27" w14:textId="77777777" w:rsidR="003F5BF8" w:rsidRPr="008F6B42" w:rsidRDefault="003F5BF8" w:rsidP="008F6B42">
            <w:pPr>
              <w:keepNext/>
              <w:jc w:val="center"/>
              <w:rPr>
                <w:b/>
                <w:bCs/>
                <w:noProof/>
                <w:color w:val="FFFFFF"/>
                <w:sz w:val="20"/>
                <w:szCs w:val="20"/>
              </w:rPr>
            </w:pPr>
            <w:r w:rsidRPr="008F6B42">
              <w:rPr>
                <w:b/>
                <w:bCs/>
                <w:noProof/>
                <w:color w:val="FFFFFF"/>
                <w:sz w:val="20"/>
                <w:szCs w:val="20"/>
              </w:rPr>
              <w:t>2040</w:t>
            </w:r>
          </w:p>
        </w:tc>
        <w:tc>
          <w:tcPr>
            <w:tcW w:w="828" w:type="pct"/>
            <w:tcBorders>
              <w:top w:val="single" w:sz="4" w:space="0" w:color="auto"/>
              <w:left w:val="nil"/>
              <w:bottom w:val="single" w:sz="4" w:space="0" w:color="auto"/>
              <w:right w:val="single" w:sz="4" w:space="0" w:color="auto"/>
            </w:tcBorders>
            <w:shd w:val="clear" w:color="000000" w:fill="0070C0"/>
            <w:noWrap/>
            <w:hideMark/>
          </w:tcPr>
          <w:p w14:paraId="069C1071" w14:textId="77777777" w:rsidR="003F5BF8" w:rsidRPr="008F6B42" w:rsidRDefault="003F5BF8" w:rsidP="008F6B42">
            <w:pPr>
              <w:keepNext/>
              <w:jc w:val="center"/>
              <w:rPr>
                <w:b/>
                <w:bCs/>
                <w:noProof/>
                <w:color w:val="FFFFFF"/>
                <w:sz w:val="20"/>
                <w:szCs w:val="20"/>
              </w:rPr>
            </w:pPr>
            <w:r w:rsidRPr="008F6B42">
              <w:rPr>
                <w:b/>
                <w:bCs/>
                <w:noProof/>
                <w:color w:val="FFFFFF"/>
                <w:sz w:val="20"/>
                <w:szCs w:val="20"/>
              </w:rPr>
              <w:t>2050</w:t>
            </w:r>
          </w:p>
        </w:tc>
      </w:tr>
      <w:tr w:rsidR="007833EF" w:rsidRPr="008F6B42" w14:paraId="22845E1F"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35D3197D" w14:textId="77777777" w:rsidR="007833EF" w:rsidRPr="008F6B42" w:rsidRDefault="007833EF" w:rsidP="007833EF">
            <w:pPr>
              <w:outlineLvl w:val="0"/>
              <w:rPr>
                <w:noProof/>
                <w:sz w:val="20"/>
                <w:szCs w:val="20"/>
              </w:rPr>
            </w:pPr>
            <w:r w:rsidRPr="008F6B42">
              <w:rPr>
                <w:noProof/>
                <w:sz w:val="20"/>
                <w:szCs w:val="20"/>
              </w:rPr>
              <w:t xml:space="preserve"> </w:t>
            </w:r>
            <w:bookmarkStart w:id="714" w:name="_Toc223980318"/>
            <w:r w:rsidRPr="008F6B42">
              <w:rPr>
                <w:noProof/>
                <w:sz w:val="20"/>
                <w:szCs w:val="20"/>
              </w:rPr>
              <w:t>Germany</w:t>
            </w:r>
            <w:bookmarkEnd w:id="71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7E859F28" w14:textId="012E494E" w:rsidR="007833EF" w:rsidRPr="007833EF" w:rsidRDefault="007833EF" w:rsidP="007833EF">
            <w:pPr>
              <w:jc w:val="right"/>
              <w:outlineLvl w:val="0"/>
              <w:rPr>
                <w:noProof/>
                <w:sz w:val="20"/>
                <w:szCs w:val="20"/>
              </w:rPr>
            </w:pPr>
            <w:bookmarkStart w:id="715" w:name="_Toc223980319"/>
            <w:r w:rsidRPr="007833EF">
              <w:rPr>
                <w:noProof/>
                <w:sz w:val="20"/>
                <w:szCs w:val="20"/>
              </w:rPr>
              <w:t>306.5</w:t>
            </w:r>
            <w:bookmarkEnd w:id="715"/>
          </w:p>
        </w:tc>
        <w:tc>
          <w:tcPr>
            <w:tcW w:w="828" w:type="pct"/>
            <w:tcBorders>
              <w:top w:val="nil"/>
              <w:left w:val="nil"/>
              <w:bottom w:val="single" w:sz="4" w:space="0" w:color="auto"/>
              <w:right w:val="single" w:sz="4" w:space="0" w:color="auto"/>
            </w:tcBorders>
            <w:shd w:val="clear" w:color="000000" w:fill="FFFFFF"/>
            <w:noWrap/>
            <w:hideMark/>
          </w:tcPr>
          <w:p w14:paraId="6737BE0F" w14:textId="67BEEEE1" w:rsidR="007833EF" w:rsidRPr="007833EF" w:rsidRDefault="007833EF" w:rsidP="007833EF">
            <w:pPr>
              <w:jc w:val="right"/>
              <w:outlineLvl w:val="0"/>
              <w:rPr>
                <w:noProof/>
                <w:sz w:val="20"/>
                <w:szCs w:val="20"/>
              </w:rPr>
            </w:pPr>
            <w:bookmarkStart w:id="716" w:name="_Toc223980320"/>
            <w:r w:rsidRPr="007833EF">
              <w:rPr>
                <w:noProof/>
                <w:sz w:val="20"/>
                <w:szCs w:val="20"/>
              </w:rPr>
              <w:t>47.2</w:t>
            </w:r>
            <w:bookmarkEnd w:id="716"/>
          </w:p>
        </w:tc>
        <w:tc>
          <w:tcPr>
            <w:tcW w:w="828" w:type="pct"/>
            <w:tcBorders>
              <w:top w:val="nil"/>
              <w:left w:val="nil"/>
              <w:bottom w:val="single" w:sz="4" w:space="0" w:color="auto"/>
              <w:right w:val="single" w:sz="4" w:space="0" w:color="auto"/>
            </w:tcBorders>
            <w:shd w:val="clear" w:color="000000" w:fill="FFFFFF"/>
            <w:noWrap/>
            <w:hideMark/>
          </w:tcPr>
          <w:p w14:paraId="60834174" w14:textId="22DF1AC3" w:rsidR="007833EF" w:rsidRPr="007833EF" w:rsidRDefault="007833EF" w:rsidP="007833EF">
            <w:pPr>
              <w:jc w:val="right"/>
              <w:outlineLvl w:val="0"/>
              <w:rPr>
                <w:noProof/>
                <w:sz w:val="20"/>
                <w:szCs w:val="20"/>
              </w:rPr>
            </w:pPr>
            <w:bookmarkStart w:id="717" w:name="_Toc223980321"/>
            <w:r w:rsidRPr="007833EF">
              <w:rPr>
                <w:noProof/>
                <w:sz w:val="20"/>
                <w:szCs w:val="20"/>
              </w:rPr>
              <w:t>79.3</w:t>
            </w:r>
            <w:bookmarkEnd w:id="717"/>
          </w:p>
        </w:tc>
        <w:tc>
          <w:tcPr>
            <w:tcW w:w="828" w:type="pct"/>
            <w:tcBorders>
              <w:top w:val="nil"/>
              <w:left w:val="nil"/>
              <w:bottom w:val="single" w:sz="4" w:space="0" w:color="auto"/>
              <w:right w:val="single" w:sz="4" w:space="0" w:color="auto"/>
            </w:tcBorders>
            <w:shd w:val="clear" w:color="000000" w:fill="FFFFFF"/>
            <w:noWrap/>
            <w:hideMark/>
          </w:tcPr>
          <w:p w14:paraId="2672F095" w14:textId="641274CB" w:rsidR="007833EF" w:rsidRPr="007833EF" w:rsidRDefault="007833EF" w:rsidP="007833EF">
            <w:pPr>
              <w:jc w:val="right"/>
              <w:outlineLvl w:val="0"/>
              <w:rPr>
                <w:noProof/>
                <w:sz w:val="20"/>
                <w:szCs w:val="20"/>
              </w:rPr>
            </w:pPr>
            <w:bookmarkStart w:id="718" w:name="_Toc223980322"/>
            <w:r w:rsidRPr="007833EF">
              <w:rPr>
                <w:noProof/>
                <w:sz w:val="20"/>
                <w:szCs w:val="20"/>
              </w:rPr>
              <w:t>54.4</w:t>
            </w:r>
            <w:bookmarkEnd w:id="718"/>
          </w:p>
        </w:tc>
      </w:tr>
      <w:tr w:rsidR="007833EF" w:rsidRPr="008F6B42" w14:paraId="5BA8098E"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4B1B8482" w14:textId="77777777" w:rsidR="007833EF" w:rsidRPr="008F6B42" w:rsidRDefault="007833EF" w:rsidP="007833EF">
            <w:pPr>
              <w:outlineLvl w:val="0"/>
              <w:rPr>
                <w:noProof/>
                <w:sz w:val="20"/>
                <w:szCs w:val="20"/>
              </w:rPr>
            </w:pPr>
            <w:r w:rsidRPr="008F6B42">
              <w:rPr>
                <w:noProof/>
                <w:sz w:val="20"/>
                <w:szCs w:val="20"/>
              </w:rPr>
              <w:t xml:space="preserve"> </w:t>
            </w:r>
            <w:bookmarkStart w:id="719" w:name="_Toc223980323"/>
            <w:r w:rsidRPr="008F6B42">
              <w:rPr>
                <w:noProof/>
                <w:sz w:val="20"/>
                <w:szCs w:val="20"/>
              </w:rPr>
              <w:t>Austria</w:t>
            </w:r>
            <w:bookmarkEnd w:id="71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79B7405F" w14:textId="3317744D" w:rsidR="007833EF" w:rsidRPr="007833EF" w:rsidRDefault="007833EF" w:rsidP="007833EF">
            <w:pPr>
              <w:jc w:val="right"/>
              <w:outlineLvl w:val="0"/>
              <w:rPr>
                <w:noProof/>
                <w:sz w:val="20"/>
                <w:szCs w:val="20"/>
              </w:rPr>
            </w:pPr>
            <w:bookmarkStart w:id="720" w:name="_Toc223980324"/>
            <w:r w:rsidRPr="007833EF">
              <w:rPr>
                <w:noProof/>
                <w:sz w:val="20"/>
                <w:szCs w:val="20"/>
              </w:rPr>
              <w:t>229.9</w:t>
            </w:r>
            <w:bookmarkEnd w:id="720"/>
          </w:p>
        </w:tc>
        <w:tc>
          <w:tcPr>
            <w:tcW w:w="828" w:type="pct"/>
            <w:tcBorders>
              <w:top w:val="nil"/>
              <w:left w:val="nil"/>
              <w:bottom w:val="single" w:sz="4" w:space="0" w:color="auto"/>
              <w:right w:val="single" w:sz="4" w:space="0" w:color="auto"/>
            </w:tcBorders>
            <w:shd w:val="clear" w:color="000000" w:fill="FFFFFF"/>
            <w:noWrap/>
            <w:hideMark/>
          </w:tcPr>
          <w:p w14:paraId="062D71DA" w14:textId="25D57EAC" w:rsidR="007833EF" w:rsidRPr="007833EF" w:rsidRDefault="007833EF" w:rsidP="007833EF">
            <w:pPr>
              <w:jc w:val="right"/>
              <w:outlineLvl w:val="0"/>
              <w:rPr>
                <w:noProof/>
                <w:sz w:val="20"/>
                <w:szCs w:val="20"/>
              </w:rPr>
            </w:pPr>
            <w:bookmarkStart w:id="721" w:name="_Toc223980325"/>
            <w:r w:rsidRPr="007833EF">
              <w:rPr>
                <w:noProof/>
                <w:sz w:val="20"/>
                <w:szCs w:val="20"/>
              </w:rPr>
              <w:t>35.4</w:t>
            </w:r>
            <w:bookmarkEnd w:id="721"/>
          </w:p>
        </w:tc>
        <w:tc>
          <w:tcPr>
            <w:tcW w:w="828" w:type="pct"/>
            <w:tcBorders>
              <w:top w:val="nil"/>
              <w:left w:val="nil"/>
              <w:bottom w:val="single" w:sz="4" w:space="0" w:color="auto"/>
              <w:right w:val="single" w:sz="4" w:space="0" w:color="auto"/>
            </w:tcBorders>
            <w:shd w:val="clear" w:color="000000" w:fill="FFFFFF"/>
            <w:noWrap/>
            <w:hideMark/>
          </w:tcPr>
          <w:p w14:paraId="18757D0F" w14:textId="0A695804" w:rsidR="007833EF" w:rsidRPr="007833EF" w:rsidRDefault="007833EF" w:rsidP="007833EF">
            <w:pPr>
              <w:jc w:val="right"/>
              <w:outlineLvl w:val="0"/>
              <w:rPr>
                <w:noProof/>
                <w:sz w:val="20"/>
                <w:szCs w:val="20"/>
              </w:rPr>
            </w:pPr>
            <w:bookmarkStart w:id="722" w:name="_Toc223980326"/>
            <w:r w:rsidRPr="007833EF">
              <w:rPr>
                <w:noProof/>
                <w:sz w:val="20"/>
                <w:szCs w:val="20"/>
              </w:rPr>
              <w:t>59.5</w:t>
            </w:r>
            <w:bookmarkEnd w:id="722"/>
          </w:p>
        </w:tc>
        <w:tc>
          <w:tcPr>
            <w:tcW w:w="828" w:type="pct"/>
            <w:tcBorders>
              <w:top w:val="nil"/>
              <w:left w:val="nil"/>
              <w:bottom w:val="single" w:sz="4" w:space="0" w:color="auto"/>
              <w:right w:val="single" w:sz="4" w:space="0" w:color="auto"/>
            </w:tcBorders>
            <w:shd w:val="clear" w:color="000000" w:fill="FFFFFF"/>
            <w:noWrap/>
            <w:hideMark/>
          </w:tcPr>
          <w:p w14:paraId="6E4B5926" w14:textId="06624887" w:rsidR="007833EF" w:rsidRPr="007833EF" w:rsidRDefault="007833EF" w:rsidP="007833EF">
            <w:pPr>
              <w:jc w:val="right"/>
              <w:outlineLvl w:val="0"/>
              <w:rPr>
                <w:noProof/>
                <w:sz w:val="20"/>
                <w:szCs w:val="20"/>
              </w:rPr>
            </w:pPr>
            <w:bookmarkStart w:id="723" w:name="_Toc223980327"/>
            <w:r w:rsidRPr="007833EF">
              <w:rPr>
                <w:noProof/>
                <w:sz w:val="20"/>
                <w:szCs w:val="20"/>
              </w:rPr>
              <w:t>40.8</w:t>
            </w:r>
            <w:bookmarkEnd w:id="723"/>
          </w:p>
        </w:tc>
      </w:tr>
      <w:tr w:rsidR="007833EF" w:rsidRPr="008F6B42" w14:paraId="021F1F9A"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58836513" w14:textId="77777777" w:rsidR="007833EF" w:rsidRPr="008F6B42" w:rsidRDefault="007833EF" w:rsidP="007833EF">
            <w:pPr>
              <w:outlineLvl w:val="0"/>
              <w:rPr>
                <w:noProof/>
                <w:sz w:val="20"/>
                <w:szCs w:val="20"/>
              </w:rPr>
            </w:pPr>
            <w:r w:rsidRPr="008F6B42">
              <w:rPr>
                <w:noProof/>
                <w:sz w:val="20"/>
                <w:szCs w:val="20"/>
              </w:rPr>
              <w:t xml:space="preserve"> </w:t>
            </w:r>
            <w:bookmarkStart w:id="724" w:name="_Toc223980328"/>
            <w:r w:rsidRPr="008F6B42">
              <w:rPr>
                <w:noProof/>
                <w:sz w:val="20"/>
                <w:szCs w:val="20"/>
              </w:rPr>
              <w:t>Denmark</w:t>
            </w:r>
            <w:bookmarkEnd w:id="72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43C97799" w14:textId="038529EE" w:rsidR="007833EF" w:rsidRPr="007833EF" w:rsidRDefault="007833EF" w:rsidP="007833EF">
            <w:pPr>
              <w:jc w:val="right"/>
              <w:outlineLvl w:val="0"/>
              <w:rPr>
                <w:noProof/>
                <w:sz w:val="20"/>
                <w:szCs w:val="20"/>
              </w:rPr>
            </w:pPr>
            <w:bookmarkStart w:id="725" w:name="_Toc223980329"/>
            <w:r w:rsidRPr="007833EF">
              <w:rPr>
                <w:noProof/>
                <w:sz w:val="20"/>
                <w:szCs w:val="20"/>
              </w:rPr>
              <w:t>153.2</w:t>
            </w:r>
            <w:bookmarkEnd w:id="725"/>
          </w:p>
        </w:tc>
        <w:tc>
          <w:tcPr>
            <w:tcW w:w="828" w:type="pct"/>
            <w:tcBorders>
              <w:top w:val="nil"/>
              <w:left w:val="nil"/>
              <w:bottom w:val="single" w:sz="4" w:space="0" w:color="auto"/>
              <w:right w:val="single" w:sz="4" w:space="0" w:color="auto"/>
            </w:tcBorders>
            <w:shd w:val="clear" w:color="000000" w:fill="FFFFFF"/>
            <w:noWrap/>
            <w:hideMark/>
          </w:tcPr>
          <w:p w14:paraId="22FDFF6D" w14:textId="26A63C7F" w:rsidR="007833EF" w:rsidRPr="007833EF" w:rsidRDefault="007833EF" w:rsidP="007833EF">
            <w:pPr>
              <w:jc w:val="right"/>
              <w:outlineLvl w:val="0"/>
              <w:rPr>
                <w:noProof/>
                <w:sz w:val="20"/>
                <w:szCs w:val="20"/>
              </w:rPr>
            </w:pPr>
            <w:bookmarkStart w:id="726" w:name="_Toc223980330"/>
            <w:r w:rsidRPr="007833EF">
              <w:rPr>
                <w:noProof/>
                <w:sz w:val="20"/>
                <w:szCs w:val="20"/>
              </w:rPr>
              <w:t>23.6</w:t>
            </w:r>
            <w:bookmarkEnd w:id="726"/>
          </w:p>
        </w:tc>
        <w:tc>
          <w:tcPr>
            <w:tcW w:w="828" w:type="pct"/>
            <w:tcBorders>
              <w:top w:val="nil"/>
              <w:left w:val="nil"/>
              <w:bottom w:val="single" w:sz="4" w:space="0" w:color="auto"/>
              <w:right w:val="single" w:sz="4" w:space="0" w:color="auto"/>
            </w:tcBorders>
            <w:shd w:val="clear" w:color="000000" w:fill="FFFFFF"/>
            <w:noWrap/>
            <w:hideMark/>
          </w:tcPr>
          <w:p w14:paraId="053CC015" w14:textId="526B8DFB" w:rsidR="007833EF" w:rsidRPr="007833EF" w:rsidRDefault="007833EF" w:rsidP="007833EF">
            <w:pPr>
              <w:jc w:val="right"/>
              <w:outlineLvl w:val="0"/>
              <w:rPr>
                <w:noProof/>
                <w:sz w:val="20"/>
                <w:szCs w:val="20"/>
              </w:rPr>
            </w:pPr>
            <w:bookmarkStart w:id="727" w:name="_Toc223980331"/>
            <w:r w:rsidRPr="007833EF">
              <w:rPr>
                <w:noProof/>
                <w:sz w:val="20"/>
                <w:szCs w:val="20"/>
              </w:rPr>
              <w:t>39.7</w:t>
            </w:r>
            <w:bookmarkEnd w:id="727"/>
          </w:p>
        </w:tc>
        <w:tc>
          <w:tcPr>
            <w:tcW w:w="828" w:type="pct"/>
            <w:tcBorders>
              <w:top w:val="nil"/>
              <w:left w:val="nil"/>
              <w:bottom w:val="single" w:sz="4" w:space="0" w:color="auto"/>
              <w:right w:val="single" w:sz="4" w:space="0" w:color="auto"/>
            </w:tcBorders>
            <w:shd w:val="clear" w:color="000000" w:fill="FFFFFF"/>
            <w:noWrap/>
            <w:hideMark/>
          </w:tcPr>
          <w:p w14:paraId="06A1A40C" w14:textId="0332B8B8" w:rsidR="007833EF" w:rsidRPr="007833EF" w:rsidRDefault="007833EF" w:rsidP="007833EF">
            <w:pPr>
              <w:jc w:val="right"/>
              <w:outlineLvl w:val="0"/>
              <w:rPr>
                <w:noProof/>
                <w:sz w:val="20"/>
                <w:szCs w:val="20"/>
              </w:rPr>
            </w:pPr>
            <w:bookmarkStart w:id="728" w:name="_Toc223980332"/>
            <w:r w:rsidRPr="007833EF">
              <w:rPr>
                <w:noProof/>
                <w:sz w:val="20"/>
                <w:szCs w:val="20"/>
              </w:rPr>
              <w:t>27.2</w:t>
            </w:r>
            <w:bookmarkEnd w:id="728"/>
          </w:p>
        </w:tc>
      </w:tr>
      <w:tr w:rsidR="007833EF" w:rsidRPr="008F6B42" w14:paraId="6AB22ED8"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7F0C161B" w14:textId="77777777" w:rsidR="007833EF" w:rsidRPr="008F6B42" w:rsidRDefault="007833EF" w:rsidP="007833EF">
            <w:pPr>
              <w:outlineLvl w:val="0"/>
              <w:rPr>
                <w:noProof/>
                <w:sz w:val="20"/>
                <w:szCs w:val="20"/>
              </w:rPr>
            </w:pPr>
            <w:r w:rsidRPr="008F6B42">
              <w:rPr>
                <w:noProof/>
                <w:sz w:val="20"/>
                <w:szCs w:val="20"/>
              </w:rPr>
              <w:t xml:space="preserve"> </w:t>
            </w:r>
            <w:bookmarkStart w:id="729" w:name="_Toc223980333"/>
            <w:r w:rsidRPr="008F6B42">
              <w:rPr>
                <w:noProof/>
                <w:sz w:val="20"/>
                <w:szCs w:val="20"/>
              </w:rPr>
              <w:t>Luxembourg</w:t>
            </w:r>
            <w:bookmarkEnd w:id="72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0DB90EBD" w14:textId="4BE518D9" w:rsidR="007833EF" w:rsidRPr="007833EF" w:rsidRDefault="007833EF" w:rsidP="007833EF">
            <w:pPr>
              <w:jc w:val="right"/>
              <w:outlineLvl w:val="0"/>
              <w:rPr>
                <w:noProof/>
                <w:sz w:val="20"/>
                <w:szCs w:val="20"/>
              </w:rPr>
            </w:pPr>
            <w:bookmarkStart w:id="730" w:name="_Toc223980334"/>
            <w:r w:rsidRPr="007833EF">
              <w:rPr>
                <w:noProof/>
                <w:sz w:val="20"/>
                <w:szCs w:val="20"/>
              </w:rPr>
              <w:t>102.2</w:t>
            </w:r>
            <w:bookmarkEnd w:id="730"/>
          </w:p>
        </w:tc>
        <w:tc>
          <w:tcPr>
            <w:tcW w:w="828" w:type="pct"/>
            <w:tcBorders>
              <w:top w:val="nil"/>
              <w:left w:val="nil"/>
              <w:bottom w:val="single" w:sz="4" w:space="0" w:color="auto"/>
              <w:right w:val="single" w:sz="4" w:space="0" w:color="auto"/>
            </w:tcBorders>
            <w:shd w:val="clear" w:color="000000" w:fill="FFFFFF"/>
            <w:noWrap/>
            <w:hideMark/>
          </w:tcPr>
          <w:p w14:paraId="0F7715B2" w14:textId="2EF72AE8" w:rsidR="007833EF" w:rsidRPr="007833EF" w:rsidRDefault="007833EF" w:rsidP="007833EF">
            <w:pPr>
              <w:jc w:val="right"/>
              <w:outlineLvl w:val="0"/>
              <w:rPr>
                <w:noProof/>
                <w:sz w:val="20"/>
                <w:szCs w:val="20"/>
              </w:rPr>
            </w:pPr>
            <w:bookmarkStart w:id="731" w:name="_Toc223980335"/>
            <w:r w:rsidRPr="007833EF">
              <w:rPr>
                <w:noProof/>
                <w:sz w:val="20"/>
                <w:szCs w:val="20"/>
              </w:rPr>
              <w:t>15.7</w:t>
            </w:r>
            <w:bookmarkEnd w:id="731"/>
          </w:p>
        </w:tc>
        <w:tc>
          <w:tcPr>
            <w:tcW w:w="828" w:type="pct"/>
            <w:tcBorders>
              <w:top w:val="nil"/>
              <w:left w:val="nil"/>
              <w:bottom w:val="single" w:sz="4" w:space="0" w:color="auto"/>
              <w:right w:val="single" w:sz="4" w:space="0" w:color="auto"/>
            </w:tcBorders>
            <w:shd w:val="clear" w:color="000000" w:fill="FFFFFF"/>
            <w:noWrap/>
            <w:hideMark/>
          </w:tcPr>
          <w:p w14:paraId="66880782" w14:textId="5B35CA3D" w:rsidR="007833EF" w:rsidRPr="007833EF" w:rsidRDefault="007833EF" w:rsidP="007833EF">
            <w:pPr>
              <w:jc w:val="right"/>
              <w:outlineLvl w:val="0"/>
              <w:rPr>
                <w:noProof/>
                <w:sz w:val="20"/>
                <w:szCs w:val="20"/>
              </w:rPr>
            </w:pPr>
            <w:bookmarkStart w:id="732" w:name="_Toc223980336"/>
            <w:r w:rsidRPr="007833EF">
              <w:rPr>
                <w:noProof/>
                <w:sz w:val="20"/>
                <w:szCs w:val="20"/>
              </w:rPr>
              <w:t>26.4</w:t>
            </w:r>
            <w:bookmarkEnd w:id="732"/>
          </w:p>
        </w:tc>
        <w:tc>
          <w:tcPr>
            <w:tcW w:w="828" w:type="pct"/>
            <w:tcBorders>
              <w:top w:val="nil"/>
              <w:left w:val="nil"/>
              <w:bottom w:val="single" w:sz="4" w:space="0" w:color="auto"/>
              <w:right w:val="single" w:sz="4" w:space="0" w:color="auto"/>
            </w:tcBorders>
            <w:shd w:val="clear" w:color="000000" w:fill="FFFFFF"/>
            <w:noWrap/>
            <w:hideMark/>
          </w:tcPr>
          <w:p w14:paraId="0B94E8C3" w14:textId="399C7CB3" w:rsidR="007833EF" w:rsidRPr="007833EF" w:rsidRDefault="007833EF" w:rsidP="007833EF">
            <w:pPr>
              <w:jc w:val="right"/>
              <w:outlineLvl w:val="0"/>
              <w:rPr>
                <w:noProof/>
                <w:sz w:val="20"/>
                <w:szCs w:val="20"/>
              </w:rPr>
            </w:pPr>
            <w:bookmarkStart w:id="733" w:name="_Toc223980337"/>
            <w:r w:rsidRPr="007833EF">
              <w:rPr>
                <w:noProof/>
                <w:sz w:val="20"/>
                <w:szCs w:val="20"/>
              </w:rPr>
              <w:t>18.1</w:t>
            </w:r>
            <w:bookmarkEnd w:id="733"/>
          </w:p>
        </w:tc>
      </w:tr>
      <w:tr w:rsidR="007833EF" w:rsidRPr="008F6B42" w14:paraId="02E628E2"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50BC028A" w14:textId="77777777" w:rsidR="007833EF" w:rsidRPr="008F6B42" w:rsidRDefault="007833EF" w:rsidP="007833EF">
            <w:pPr>
              <w:outlineLvl w:val="0"/>
              <w:rPr>
                <w:noProof/>
                <w:sz w:val="20"/>
                <w:szCs w:val="20"/>
              </w:rPr>
            </w:pPr>
            <w:r w:rsidRPr="008F6B42">
              <w:rPr>
                <w:noProof/>
                <w:sz w:val="20"/>
                <w:szCs w:val="20"/>
              </w:rPr>
              <w:t xml:space="preserve"> </w:t>
            </w:r>
            <w:bookmarkStart w:id="734" w:name="_Toc223980338"/>
            <w:r w:rsidRPr="008F6B42">
              <w:rPr>
                <w:noProof/>
                <w:sz w:val="20"/>
                <w:szCs w:val="20"/>
              </w:rPr>
              <w:t>Finland</w:t>
            </w:r>
            <w:bookmarkEnd w:id="73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7BA3B74" w14:textId="4368A024" w:rsidR="007833EF" w:rsidRPr="007833EF" w:rsidRDefault="007833EF" w:rsidP="007833EF">
            <w:pPr>
              <w:jc w:val="right"/>
              <w:outlineLvl w:val="0"/>
              <w:rPr>
                <w:noProof/>
                <w:sz w:val="20"/>
                <w:szCs w:val="20"/>
              </w:rPr>
            </w:pPr>
            <w:bookmarkStart w:id="735" w:name="_Toc223980339"/>
            <w:r w:rsidRPr="007833EF">
              <w:rPr>
                <w:noProof/>
                <w:sz w:val="20"/>
                <w:szCs w:val="20"/>
              </w:rPr>
              <w:t>127.7</w:t>
            </w:r>
            <w:bookmarkEnd w:id="735"/>
          </w:p>
        </w:tc>
        <w:tc>
          <w:tcPr>
            <w:tcW w:w="828" w:type="pct"/>
            <w:tcBorders>
              <w:top w:val="nil"/>
              <w:left w:val="nil"/>
              <w:bottom w:val="single" w:sz="4" w:space="0" w:color="auto"/>
              <w:right w:val="single" w:sz="4" w:space="0" w:color="auto"/>
            </w:tcBorders>
            <w:shd w:val="clear" w:color="000000" w:fill="FFFFFF"/>
            <w:noWrap/>
            <w:hideMark/>
          </w:tcPr>
          <w:p w14:paraId="1E87AA62" w14:textId="1FD45900" w:rsidR="007833EF" w:rsidRPr="007833EF" w:rsidRDefault="007833EF" w:rsidP="007833EF">
            <w:pPr>
              <w:jc w:val="right"/>
              <w:outlineLvl w:val="0"/>
              <w:rPr>
                <w:noProof/>
                <w:sz w:val="20"/>
                <w:szCs w:val="20"/>
              </w:rPr>
            </w:pPr>
            <w:bookmarkStart w:id="736" w:name="_Toc223980340"/>
            <w:r w:rsidRPr="007833EF">
              <w:rPr>
                <w:noProof/>
                <w:sz w:val="20"/>
                <w:szCs w:val="20"/>
              </w:rPr>
              <w:t>19.7</w:t>
            </w:r>
            <w:bookmarkEnd w:id="736"/>
          </w:p>
        </w:tc>
        <w:tc>
          <w:tcPr>
            <w:tcW w:w="828" w:type="pct"/>
            <w:tcBorders>
              <w:top w:val="nil"/>
              <w:left w:val="nil"/>
              <w:bottom w:val="single" w:sz="4" w:space="0" w:color="auto"/>
              <w:right w:val="single" w:sz="4" w:space="0" w:color="auto"/>
            </w:tcBorders>
            <w:shd w:val="clear" w:color="000000" w:fill="FFFFFF"/>
            <w:noWrap/>
            <w:hideMark/>
          </w:tcPr>
          <w:p w14:paraId="55A031E4" w14:textId="30671943" w:rsidR="007833EF" w:rsidRPr="007833EF" w:rsidRDefault="007833EF" w:rsidP="007833EF">
            <w:pPr>
              <w:jc w:val="right"/>
              <w:outlineLvl w:val="0"/>
              <w:rPr>
                <w:noProof/>
                <w:sz w:val="20"/>
                <w:szCs w:val="20"/>
              </w:rPr>
            </w:pPr>
            <w:bookmarkStart w:id="737" w:name="_Toc223980341"/>
            <w:r w:rsidRPr="007833EF">
              <w:rPr>
                <w:noProof/>
                <w:sz w:val="20"/>
                <w:szCs w:val="20"/>
              </w:rPr>
              <w:t>33.0</w:t>
            </w:r>
            <w:bookmarkEnd w:id="737"/>
          </w:p>
        </w:tc>
        <w:tc>
          <w:tcPr>
            <w:tcW w:w="828" w:type="pct"/>
            <w:tcBorders>
              <w:top w:val="nil"/>
              <w:left w:val="nil"/>
              <w:bottom w:val="single" w:sz="4" w:space="0" w:color="auto"/>
              <w:right w:val="single" w:sz="4" w:space="0" w:color="auto"/>
            </w:tcBorders>
            <w:shd w:val="clear" w:color="000000" w:fill="FFFFFF"/>
            <w:noWrap/>
            <w:hideMark/>
          </w:tcPr>
          <w:p w14:paraId="7DA6CBD2" w14:textId="7E40E505" w:rsidR="007833EF" w:rsidRPr="007833EF" w:rsidRDefault="007833EF" w:rsidP="007833EF">
            <w:pPr>
              <w:jc w:val="right"/>
              <w:outlineLvl w:val="0"/>
              <w:rPr>
                <w:noProof/>
                <w:sz w:val="20"/>
                <w:szCs w:val="20"/>
              </w:rPr>
            </w:pPr>
            <w:bookmarkStart w:id="738" w:name="_Toc223980342"/>
            <w:r w:rsidRPr="007833EF">
              <w:rPr>
                <w:noProof/>
                <w:sz w:val="20"/>
                <w:szCs w:val="20"/>
              </w:rPr>
              <w:t>22.7</w:t>
            </w:r>
            <w:bookmarkEnd w:id="738"/>
          </w:p>
        </w:tc>
      </w:tr>
      <w:tr w:rsidR="007833EF" w:rsidRPr="008F6B42" w14:paraId="7190A3AD"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52BB27AA" w14:textId="77777777" w:rsidR="007833EF" w:rsidRPr="008F6B42" w:rsidRDefault="007833EF" w:rsidP="007833EF">
            <w:pPr>
              <w:outlineLvl w:val="0"/>
              <w:rPr>
                <w:noProof/>
                <w:sz w:val="20"/>
                <w:szCs w:val="20"/>
              </w:rPr>
            </w:pPr>
            <w:r w:rsidRPr="008F6B42">
              <w:rPr>
                <w:noProof/>
                <w:sz w:val="20"/>
                <w:szCs w:val="20"/>
              </w:rPr>
              <w:t xml:space="preserve"> </w:t>
            </w:r>
            <w:bookmarkStart w:id="739" w:name="_Toc223980343"/>
            <w:r w:rsidRPr="008F6B42">
              <w:rPr>
                <w:noProof/>
                <w:sz w:val="20"/>
                <w:szCs w:val="20"/>
              </w:rPr>
              <w:t>Spain</w:t>
            </w:r>
            <w:bookmarkEnd w:id="73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70ED7C20" w14:textId="1A9EEE2D" w:rsidR="007833EF" w:rsidRPr="007833EF" w:rsidRDefault="007833EF" w:rsidP="007833EF">
            <w:pPr>
              <w:jc w:val="right"/>
              <w:outlineLvl w:val="0"/>
              <w:rPr>
                <w:noProof/>
                <w:sz w:val="20"/>
                <w:szCs w:val="20"/>
              </w:rPr>
            </w:pPr>
            <w:bookmarkStart w:id="740" w:name="_Toc223980344"/>
            <w:r w:rsidRPr="007833EF">
              <w:rPr>
                <w:noProof/>
                <w:sz w:val="20"/>
                <w:szCs w:val="20"/>
              </w:rPr>
              <w:t>102.2</w:t>
            </w:r>
            <w:bookmarkEnd w:id="740"/>
          </w:p>
        </w:tc>
        <w:tc>
          <w:tcPr>
            <w:tcW w:w="828" w:type="pct"/>
            <w:tcBorders>
              <w:top w:val="nil"/>
              <w:left w:val="nil"/>
              <w:bottom w:val="single" w:sz="4" w:space="0" w:color="auto"/>
              <w:right w:val="single" w:sz="4" w:space="0" w:color="auto"/>
            </w:tcBorders>
            <w:shd w:val="clear" w:color="000000" w:fill="FFFFFF"/>
            <w:noWrap/>
            <w:hideMark/>
          </w:tcPr>
          <w:p w14:paraId="61BFC086" w14:textId="5E23E37A" w:rsidR="007833EF" w:rsidRPr="007833EF" w:rsidRDefault="007833EF" w:rsidP="007833EF">
            <w:pPr>
              <w:jc w:val="right"/>
              <w:outlineLvl w:val="0"/>
              <w:rPr>
                <w:noProof/>
                <w:sz w:val="20"/>
                <w:szCs w:val="20"/>
              </w:rPr>
            </w:pPr>
            <w:bookmarkStart w:id="741" w:name="_Toc223980345"/>
            <w:r w:rsidRPr="007833EF">
              <w:rPr>
                <w:noProof/>
                <w:sz w:val="20"/>
                <w:szCs w:val="20"/>
              </w:rPr>
              <w:t>15.7</w:t>
            </w:r>
            <w:bookmarkEnd w:id="741"/>
          </w:p>
        </w:tc>
        <w:tc>
          <w:tcPr>
            <w:tcW w:w="828" w:type="pct"/>
            <w:tcBorders>
              <w:top w:val="nil"/>
              <w:left w:val="nil"/>
              <w:bottom w:val="single" w:sz="4" w:space="0" w:color="auto"/>
              <w:right w:val="single" w:sz="4" w:space="0" w:color="auto"/>
            </w:tcBorders>
            <w:shd w:val="clear" w:color="000000" w:fill="FFFFFF"/>
            <w:noWrap/>
            <w:hideMark/>
          </w:tcPr>
          <w:p w14:paraId="1449B9E9" w14:textId="21DAA2D4" w:rsidR="007833EF" w:rsidRPr="007833EF" w:rsidRDefault="007833EF" w:rsidP="007833EF">
            <w:pPr>
              <w:jc w:val="right"/>
              <w:outlineLvl w:val="0"/>
              <w:rPr>
                <w:noProof/>
                <w:sz w:val="20"/>
                <w:szCs w:val="20"/>
              </w:rPr>
            </w:pPr>
            <w:bookmarkStart w:id="742" w:name="_Toc223980346"/>
            <w:r w:rsidRPr="007833EF">
              <w:rPr>
                <w:noProof/>
                <w:sz w:val="20"/>
                <w:szCs w:val="20"/>
              </w:rPr>
              <w:t>26.4</w:t>
            </w:r>
            <w:bookmarkEnd w:id="742"/>
          </w:p>
        </w:tc>
        <w:tc>
          <w:tcPr>
            <w:tcW w:w="828" w:type="pct"/>
            <w:tcBorders>
              <w:top w:val="nil"/>
              <w:left w:val="nil"/>
              <w:bottom w:val="single" w:sz="4" w:space="0" w:color="auto"/>
              <w:right w:val="single" w:sz="4" w:space="0" w:color="auto"/>
            </w:tcBorders>
            <w:shd w:val="clear" w:color="000000" w:fill="FFFFFF"/>
            <w:noWrap/>
            <w:hideMark/>
          </w:tcPr>
          <w:p w14:paraId="6B6DE254" w14:textId="5BA55AE2" w:rsidR="007833EF" w:rsidRPr="007833EF" w:rsidRDefault="007833EF" w:rsidP="007833EF">
            <w:pPr>
              <w:jc w:val="right"/>
              <w:outlineLvl w:val="0"/>
              <w:rPr>
                <w:noProof/>
                <w:sz w:val="20"/>
                <w:szCs w:val="20"/>
              </w:rPr>
            </w:pPr>
            <w:bookmarkStart w:id="743" w:name="_Toc223980347"/>
            <w:r w:rsidRPr="007833EF">
              <w:rPr>
                <w:noProof/>
                <w:sz w:val="20"/>
                <w:szCs w:val="20"/>
              </w:rPr>
              <w:t>18.1</w:t>
            </w:r>
            <w:bookmarkEnd w:id="743"/>
          </w:p>
        </w:tc>
      </w:tr>
      <w:tr w:rsidR="007833EF" w:rsidRPr="008F6B42" w14:paraId="690E499D"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54E42B18" w14:textId="77777777" w:rsidR="007833EF" w:rsidRPr="008F6B42" w:rsidRDefault="007833EF" w:rsidP="007833EF">
            <w:pPr>
              <w:outlineLvl w:val="0"/>
              <w:rPr>
                <w:noProof/>
                <w:sz w:val="20"/>
                <w:szCs w:val="20"/>
              </w:rPr>
            </w:pPr>
            <w:r w:rsidRPr="008F6B42">
              <w:rPr>
                <w:noProof/>
                <w:sz w:val="20"/>
                <w:szCs w:val="20"/>
              </w:rPr>
              <w:t xml:space="preserve"> </w:t>
            </w:r>
            <w:bookmarkStart w:id="744" w:name="_Toc223980348"/>
            <w:r w:rsidRPr="008F6B42">
              <w:rPr>
                <w:noProof/>
                <w:sz w:val="20"/>
                <w:szCs w:val="20"/>
              </w:rPr>
              <w:t>Netherlands</w:t>
            </w:r>
            <w:bookmarkEnd w:id="74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0560C50" w14:textId="719C6EF5" w:rsidR="007833EF" w:rsidRPr="007833EF" w:rsidRDefault="007833EF" w:rsidP="007833EF">
            <w:pPr>
              <w:jc w:val="right"/>
              <w:outlineLvl w:val="0"/>
              <w:rPr>
                <w:noProof/>
                <w:sz w:val="20"/>
                <w:szCs w:val="20"/>
              </w:rPr>
            </w:pPr>
            <w:bookmarkStart w:id="745" w:name="_Toc223980349"/>
            <w:r w:rsidRPr="007833EF">
              <w:rPr>
                <w:noProof/>
                <w:sz w:val="20"/>
                <w:szCs w:val="20"/>
              </w:rPr>
              <w:t>255.4</w:t>
            </w:r>
            <w:bookmarkEnd w:id="745"/>
          </w:p>
        </w:tc>
        <w:tc>
          <w:tcPr>
            <w:tcW w:w="828" w:type="pct"/>
            <w:tcBorders>
              <w:top w:val="nil"/>
              <w:left w:val="nil"/>
              <w:bottom w:val="single" w:sz="4" w:space="0" w:color="auto"/>
              <w:right w:val="single" w:sz="4" w:space="0" w:color="auto"/>
            </w:tcBorders>
            <w:shd w:val="clear" w:color="000000" w:fill="FFFFFF"/>
            <w:noWrap/>
            <w:hideMark/>
          </w:tcPr>
          <w:p w14:paraId="102335AD" w14:textId="1959AB8F" w:rsidR="007833EF" w:rsidRPr="007833EF" w:rsidRDefault="007833EF" w:rsidP="007833EF">
            <w:pPr>
              <w:jc w:val="right"/>
              <w:outlineLvl w:val="0"/>
              <w:rPr>
                <w:noProof/>
                <w:sz w:val="20"/>
                <w:szCs w:val="20"/>
              </w:rPr>
            </w:pPr>
            <w:bookmarkStart w:id="746" w:name="_Toc223980350"/>
            <w:r w:rsidRPr="007833EF">
              <w:rPr>
                <w:noProof/>
                <w:sz w:val="20"/>
                <w:szCs w:val="20"/>
              </w:rPr>
              <w:t>39.3</w:t>
            </w:r>
            <w:bookmarkEnd w:id="746"/>
          </w:p>
        </w:tc>
        <w:tc>
          <w:tcPr>
            <w:tcW w:w="828" w:type="pct"/>
            <w:tcBorders>
              <w:top w:val="nil"/>
              <w:left w:val="nil"/>
              <w:bottom w:val="single" w:sz="4" w:space="0" w:color="auto"/>
              <w:right w:val="single" w:sz="4" w:space="0" w:color="auto"/>
            </w:tcBorders>
            <w:shd w:val="clear" w:color="000000" w:fill="FFFFFF"/>
            <w:noWrap/>
            <w:hideMark/>
          </w:tcPr>
          <w:p w14:paraId="31CEF4CE" w14:textId="20175ED9" w:rsidR="007833EF" w:rsidRPr="007833EF" w:rsidRDefault="007833EF" w:rsidP="007833EF">
            <w:pPr>
              <w:jc w:val="right"/>
              <w:outlineLvl w:val="0"/>
              <w:rPr>
                <w:noProof/>
                <w:sz w:val="20"/>
                <w:szCs w:val="20"/>
              </w:rPr>
            </w:pPr>
            <w:bookmarkStart w:id="747" w:name="_Toc223980351"/>
            <w:r w:rsidRPr="007833EF">
              <w:rPr>
                <w:noProof/>
                <w:sz w:val="20"/>
                <w:szCs w:val="20"/>
              </w:rPr>
              <w:t>66.1</w:t>
            </w:r>
            <w:bookmarkEnd w:id="747"/>
          </w:p>
        </w:tc>
        <w:tc>
          <w:tcPr>
            <w:tcW w:w="828" w:type="pct"/>
            <w:tcBorders>
              <w:top w:val="nil"/>
              <w:left w:val="nil"/>
              <w:bottom w:val="single" w:sz="4" w:space="0" w:color="auto"/>
              <w:right w:val="single" w:sz="4" w:space="0" w:color="auto"/>
            </w:tcBorders>
            <w:shd w:val="clear" w:color="000000" w:fill="FFFFFF"/>
            <w:noWrap/>
            <w:hideMark/>
          </w:tcPr>
          <w:p w14:paraId="6B925D32" w14:textId="3B9E72C4" w:rsidR="007833EF" w:rsidRPr="007833EF" w:rsidRDefault="007833EF" w:rsidP="007833EF">
            <w:pPr>
              <w:jc w:val="right"/>
              <w:outlineLvl w:val="0"/>
              <w:rPr>
                <w:noProof/>
                <w:sz w:val="20"/>
                <w:szCs w:val="20"/>
              </w:rPr>
            </w:pPr>
            <w:bookmarkStart w:id="748" w:name="_Toc223980352"/>
            <w:r w:rsidRPr="007833EF">
              <w:rPr>
                <w:noProof/>
                <w:sz w:val="20"/>
                <w:szCs w:val="20"/>
              </w:rPr>
              <w:t>45.3</w:t>
            </w:r>
            <w:bookmarkEnd w:id="748"/>
          </w:p>
        </w:tc>
      </w:tr>
      <w:tr w:rsidR="007833EF" w:rsidRPr="008F6B42" w14:paraId="38DF27F7"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42AEF03" w14:textId="77777777" w:rsidR="007833EF" w:rsidRPr="008F6B42" w:rsidRDefault="007833EF" w:rsidP="007833EF">
            <w:pPr>
              <w:outlineLvl w:val="0"/>
              <w:rPr>
                <w:noProof/>
                <w:sz w:val="20"/>
                <w:szCs w:val="20"/>
              </w:rPr>
            </w:pPr>
            <w:r w:rsidRPr="008F6B42">
              <w:rPr>
                <w:noProof/>
                <w:sz w:val="20"/>
                <w:szCs w:val="20"/>
              </w:rPr>
              <w:t xml:space="preserve"> </w:t>
            </w:r>
            <w:bookmarkStart w:id="749" w:name="_Toc223980353"/>
            <w:r w:rsidRPr="008F6B42">
              <w:rPr>
                <w:noProof/>
                <w:sz w:val="20"/>
                <w:szCs w:val="20"/>
              </w:rPr>
              <w:t>France</w:t>
            </w:r>
            <w:bookmarkEnd w:id="74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E204444" w14:textId="48A58B11" w:rsidR="007833EF" w:rsidRPr="007833EF" w:rsidRDefault="007833EF" w:rsidP="007833EF">
            <w:pPr>
              <w:jc w:val="right"/>
              <w:outlineLvl w:val="0"/>
              <w:rPr>
                <w:noProof/>
                <w:sz w:val="20"/>
                <w:szCs w:val="20"/>
              </w:rPr>
            </w:pPr>
            <w:bookmarkStart w:id="750" w:name="_Toc223980354"/>
            <w:r w:rsidRPr="007833EF">
              <w:rPr>
                <w:noProof/>
                <w:sz w:val="20"/>
                <w:szCs w:val="20"/>
              </w:rPr>
              <w:t>332.0</w:t>
            </w:r>
            <w:bookmarkEnd w:id="750"/>
          </w:p>
        </w:tc>
        <w:tc>
          <w:tcPr>
            <w:tcW w:w="828" w:type="pct"/>
            <w:tcBorders>
              <w:top w:val="nil"/>
              <w:left w:val="nil"/>
              <w:bottom w:val="single" w:sz="4" w:space="0" w:color="auto"/>
              <w:right w:val="single" w:sz="4" w:space="0" w:color="auto"/>
            </w:tcBorders>
            <w:shd w:val="clear" w:color="000000" w:fill="FFFFFF"/>
            <w:noWrap/>
            <w:hideMark/>
          </w:tcPr>
          <w:p w14:paraId="16E7E06A" w14:textId="11D4D80E" w:rsidR="007833EF" w:rsidRPr="007833EF" w:rsidRDefault="007833EF" w:rsidP="007833EF">
            <w:pPr>
              <w:jc w:val="right"/>
              <w:outlineLvl w:val="0"/>
              <w:rPr>
                <w:noProof/>
                <w:sz w:val="20"/>
                <w:szCs w:val="20"/>
              </w:rPr>
            </w:pPr>
            <w:bookmarkStart w:id="751" w:name="_Toc223980355"/>
            <w:r w:rsidRPr="007833EF">
              <w:rPr>
                <w:noProof/>
                <w:sz w:val="20"/>
                <w:szCs w:val="20"/>
              </w:rPr>
              <w:t>51.1</w:t>
            </w:r>
            <w:bookmarkEnd w:id="751"/>
          </w:p>
        </w:tc>
        <w:tc>
          <w:tcPr>
            <w:tcW w:w="828" w:type="pct"/>
            <w:tcBorders>
              <w:top w:val="nil"/>
              <w:left w:val="nil"/>
              <w:bottom w:val="single" w:sz="4" w:space="0" w:color="auto"/>
              <w:right w:val="single" w:sz="4" w:space="0" w:color="auto"/>
            </w:tcBorders>
            <w:shd w:val="clear" w:color="000000" w:fill="FFFFFF"/>
            <w:noWrap/>
            <w:hideMark/>
          </w:tcPr>
          <w:p w14:paraId="5898F1B6" w14:textId="2D715280" w:rsidR="007833EF" w:rsidRPr="007833EF" w:rsidRDefault="007833EF" w:rsidP="007833EF">
            <w:pPr>
              <w:jc w:val="right"/>
              <w:outlineLvl w:val="0"/>
              <w:rPr>
                <w:noProof/>
                <w:sz w:val="20"/>
                <w:szCs w:val="20"/>
              </w:rPr>
            </w:pPr>
            <w:bookmarkStart w:id="752" w:name="_Toc223980356"/>
            <w:r w:rsidRPr="007833EF">
              <w:rPr>
                <w:noProof/>
                <w:sz w:val="20"/>
                <w:szCs w:val="20"/>
              </w:rPr>
              <w:t>85.9</w:t>
            </w:r>
            <w:bookmarkEnd w:id="752"/>
          </w:p>
        </w:tc>
        <w:tc>
          <w:tcPr>
            <w:tcW w:w="828" w:type="pct"/>
            <w:tcBorders>
              <w:top w:val="nil"/>
              <w:left w:val="nil"/>
              <w:bottom w:val="single" w:sz="4" w:space="0" w:color="auto"/>
              <w:right w:val="single" w:sz="4" w:space="0" w:color="auto"/>
            </w:tcBorders>
            <w:shd w:val="clear" w:color="000000" w:fill="FFFFFF"/>
            <w:noWrap/>
            <w:hideMark/>
          </w:tcPr>
          <w:p w14:paraId="7E7DBD96" w14:textId="6F76C1ED" w:rsidR="007833EF" w:rsidRPr="007833EF" w:rsidRDefault="007833EF" w:rsidP="007833EF">
            <w:pPr>
              <w:jc w:val="right"/>
              <w:outlineLvl w:val="0"/>
              <w:rPr>
                <w:noProof/>
                <w:sz w:val="20"/>
                <w:szCs w:val="20"/>
              </w:rPr>
            </w:pPr>
            <w:bookmarkStart w:id="753" w:name="_Toc223980357"/>
            <w:r w:rsidRPr="007833EF">
              <w:rPr>
                <w:noProof/>
                <w:sz w:val="20"/>
                <w:szCs w:val="20"/>
              </w:rPr>
              <w:t>59.0</w:t>
            </w:r>
            <w:bookmarkEnd w:id="753"/>
          </w:p>
        </w:tc>
      </w:tr>
      <w:tr w:rsidR="007833EF" w:rsidRPr="008F6B42" w14:paraId="51B6ED6F"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40D0DF6" w14:textId="77777777" w:rsidR="007833EF" w:rsidRPr="008F6B42" w:rsidRDefault="007833EF" w:rsidP="007833EF">
            <w:pPr>
              <w:outlineLvl w:val="0"/>
              <w:rPr>
                <w:noProof/>
                <w:sz w:val="20"/>
                <w:szCs w:val="20"/>
              </w:rPr>
            </w:pPr>
            <w:r w:rsidRPr="008F6B42">
              <w:rPr>
                <w:noProof/>
                <w:sz w:val="20"/>
                <w:szCs w:val="20"/>
              </w:rPr>
              <w:t xml:space="preserve"> </w:t>
            </w:r>
            <w:bookmarkStart w:id="754" w:name="_Toc223980358"/>
            <w:r w:rsidRPr="008F6B42">
              <w:rPr>
                <w:noProof/>
                <w:sz w:val="20"/>
                <w:szCs w:val="20"/>
              </w:rPr>
              <w:t>Poland</w:t>
            </w:r>
            <w:bookmarkEnd w:id="75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63DD9166" w14:textId="39FAA19A" w:rsidR="007833EF" w:rsidRPr="007833EF" w:rsidRDefault="007833EF" w:rsidP="007833EF">
            <w:pPr>
              <w:jc w:val="right"/>
              <w:outlineLvl w:val="0"/>
              <w:rPr>
                <w:noProof/>
                <w:sz w:val="20"/>
                <w:szCs w:val="20"/>
              </w:rPr>
            </w:pPr>
            <w:bookmarkStart w:id="755" w:name="_Toc223980359"/>
            <w:r w:rsidRPr="007833EF">
              <w:rPr>
                <w:noProof/>
                <w:sz w:val="20"/>
                <w:szCs w:val="20"/>
              </w:rPr>
              <w:t>178.8</w:t>
            </w:r>
            <w:bookmarkEnd w:id="755"/>
          </w:p>
        </w:tc>
        <w:tc>
          <w:tcPr>
            <w:tcW w:w="828" w:type="pct"/>
            <w:tcBorders>
              <w:top w:val="nil"/>
              <w:left w:val="nil"/>
              <w:bottom w:val="single" w:sz="4" w:space="0" w:color="auto"/>
              <w:right w:val="single" w:sz="4" w:space="0" w:color="auto"/>
            </w:tcBorders>
            <w:shd w:val="clear" w:color="000000" w:fill="FFFFFF"/>
            <w:noWrap/>
            <w:hideMark/>
          </w:tcPr>
          <w:p w14:paraId="461FD9A2" w14:textId="5F165833" w:rsidR="007833EF" w:rsidRPr="007833EF" w:rsidRDefault="007833EF" w:rsidP="007833EF">
            <w:pPr>
              <w:jc w:val="right"/>
              <w:outlineLvl w:val="0"/>
              <w:rPr>
                <w:noProof/>
                <w:sz w:val="20"/>
                <w:szCs w:val="20"/>
              </w:rPr>
            </w:pPr>
            <w:bookmarkStart w:id="756" w:name="_Toc223980360"/>
            <w:r w:rsidRPr="007833EF">
              <w:rPr>
                <w:noProof/>
                <w:sz w:val="20"/>
                <w:szCs w:val="20"/>
              </w:rPr>
              <w:t>27.5</w:t>
            </w:r>
            <w:bookmarkEnd w:id="756"/>
          </w:p>
        </w:tc>
        <w:tc>
          <w:tcPr>
            <w:tcW w:w="828" w:type="pct"/>
            <w:tcBorders>
              <w:top w:val="nil"/>
              <w:left w:val="nil"/>
              <w:bottom w:val="single" w:sz="4" w:space="0" w:color="auto"/>
              <w:right w:val="single" w:sz="4" w:space="0" w:color="auto"/>
            </w:tcBorders>
            <w:shd w:val="clear" w:color="000000" w:fill="FFFFFF"/>
            <w:noWrap/>
            <w:hideMark/>
          </w:tcPr>
          <w:p w14:paraId="4EED050D" w14:textId="774292C3" w:rsidR="007833EF" w:rsidRPr="007833EF" w:rsidRDefault="007833EF" w:rsidP="007833EF">
            <w:pPr>
              <w:jc w:val="right"/>
              <w:outlineLvl w:val="0"/>
              <w:rPr>
                <w:noProof/>
                <w:sz w:val="20"/>
                <w:szCs w:val="20"/>
              </w:rPr>
            </w:pPr>
            <w:bookmarkStart w:id="757" w:name="_Toc223980361"/>
            <w:r w:rsidRPr="007833EF">
              <w:rPr>
                <w:noProof/>
                <w:sz w:val="20"/>
                <w:szCs w:val="20"/>
              </w:rPr>
              <w:t>46.3</w:t>
            </w:r>
            <w:bookmarkEnd w:id="757"/>
          </w:p>
        </w:tc>
        <w:tc>
          <w:tcPr>
            <w:tcW w:w="828" w:type="pct"/>
            <w:tcBorders>
              <w:top w:val="nil"/>
              <w:left w:val="nil"/>
              <w:bottom w:val="single" w:sz="4" w:space="0" w:color="auto"/>
              <w:right w:val="single" w:sz="4" w:space="0" w:color="auto"/>
            </w:tcBorders>
            <w:shd w:val="clear" w:color="000000" w:fill="FFFFFF"/>
            <w:noWrap/>
            <w:hideMark/>
          </w:tcPr>
          <w:p w14:paraId="75E79E75" w14:textId="500534CE" w:rsidR="007833EF" w:rsidRPr="007833EF" w:rsidRDefault="007833EF" w:rsidP="007833EF">
            <w:pPr>
              <w:jc w:val="right"/>
              <w:outlineLvl w:val="0"/>
              <w:rPr>
                <w:noProof/>
                <w:sz w:val="20"/>
                <w:szCs w:val="20"/>
              </w:rPr>
            </w:pPr>
            <w:bookmarkStart w:id="758" w:name="_Toc223980362"/>
            <w:r w:rsidRPr="007833EF">
              <w:rPr>
                <w:noProof/>
                <w:sz w:val="20"/>
                <w:szCs w:val="20"/>
              </w:rPr>
              <w:t>31.7</w:t>
            </w:r>
            <w:bookmarkEnd w:id="758"/>
          </w:p>
        </w:tc>
      </w:tr>
      <w:tr w:rsidR="007833EF" w:rsidRPr="008F6B42" w14:paraId="73B0CB83"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71BF89C5" w14:textId="77777777" w:rsidR="007833EF" w:rsidRPr="008F6B42" w:rsidRDefault="007833EF" w:rsidP="007833EF">
            <w:pPr>
              <w:outlineLvl w:val="0"/>
              <w:rPr>
                <w:noProof/>
                <w:sz w:val="20"/>
                <w:szCs w:val="20"/>
              </w:rPr>
            </w:pPr>
            <w:r w:rsidRPr="008F6B42">
              <w:rPr>
                <w:noProof/>
                <w:sz w:val="20"/>
                <w:szCs w:val="20"/>
              </w:rPr>
              <w:t xml:space="preserve"> </w:t>
            </w:r>
            <w:bookmarkStart w:id="759" w:name="_Toc223980363"/>
            <w:r w:rsidRPr="008F6B42">
              <w:rPr>
                <w:noProof/>
                <w:sz w:val="20"/>
                <w:szCs w:val="20"/>
              </w:rPr>
              <w:t>Italy</w:t>
            </w:r>
            <w:bookmarkEnd w:id="75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C155196" w14:textId="72C7A750" w:rsidR="007833EF" w:rsidRPr="007833EF" w:rsidRDefault="007833EF" w:rsidP="007833EF">
            <w:pPr>
              <w:jc w:val="right"/>
              <w:outlineLvl w:val="0"/>
              <w:rPr>
                <w:noProof/>
                <w:sz w:val="20"/>
                <w:szCs w:val="20"/>
              </w:rPr>
            </w:pPr>
            <w:bookmarkStart w:id="760" w:name="_Toc223980364"/>
            <w:r w:rsidRPr="007833EF">
              <w:rPr>
                <w:noProof/>
                <w:sz w:val="20"/>
                <w:szCs w:val="20"/>
              </w:rPr>
              <w:t>153.2</w:t>
            </w:r>
            <w:bookmarkEnd w:id="760"/>
          </w:p>
        </w:tc>
        <w:tc>
          <w:tcPr>
            <w:tcW w:w="828" w:type="pct"/>
            <w:tcBorders>
              <w:top w:val="nil"/>
              <w:left w:val="nil"/>
              <w:bottom w:val="single" w:sz="4" w:space="0" w:color="auto"/>
              <w:right w:val="single" w:sz="4" w:space="0" w:color="auto"/>
            </w:tcBorders>
            <w:shd w:val="clear" w:color="000000" w:fill="FFFFFF"/>
            <w:noWrap/>
            <w:hideMark/>
          </w:tcPr>
          <w:p w14:paraId="38E7CD9F" w14:textId="706A9827" w:rsidR="007833EF" w:rsidRPr="007833EF" w:rsidRDefault="007833EF" w:rsidP="007833EF">
            <w:pPr>
              <w:jc w:val="right"/>
              <w:outlineLvl w:val="0"/>
              <w:rPr>
                <w:noProof/>
                <w:sz w:val="20"/>
                <w:szCs w:val="20"/>
              </w:rPr>
            </w:pPr>
            <w:bookmarkStart w:id="761" w:name="_Toc223980365"/>
            <w:r w:rsidRPr="007833EF">
              <w:rPr>
                <w:noProof/>
                <w:sz w:val="20"/>
                <w:szCs w:val="20"/>
              </w:rPr>
              <w:t>23.6</w:t>
            </w:r>
            <w:bookmarkEnd w:id="761"/>
          </w:p>
        </w:tc>
        <w:tc>
          <w:tcPr>
            <w:tcW w:w="828" w:type="pct"/>
            <w:tcBorders>
              <w:top w:val="nil"/>
              <w:left w:val="nil"/>
              <w:bottom w:val="single" w:sz="4" w:space="0" w:color="auto"/>
              <w:right w:val="single" w:sz="4" w:space="0" w:color="auto"/>
            </w:tcBorders>
            <w:shd w:val="clear" w:color="000000" w:fill="FFFFFF"/>
            <w:noWrap/>
            <w:hideMark/>
          </w:tcPr>
          <w:p w14:paraId="2FC81658" w14:textId="445C062E" w:rsidR="007833EF" w:rsidRPr="007833EF" w:rsidRDefault="007833EF" w:rsidP="007833EF">
            <w:pPr>
              <w:jc w:val="right"/>
              <w:outlineLvl w:val="0"/>
              <w:rPr>
                <w:noProof/>
                <w:sz w:val="20"/>
                <w:szCs w:val="20"/>
              </w:rPr>
            </w:pPr>
            <w:bookmarkStart w:id="762" w:name="_Toc223980366"/>
            <w:r w:rsidRPr="007833EF">
              <w:rPr>
                <w:noProof/>
                <w:sz w:val="20"/>
                <w:szCs w:val="20"/>
              </w:rPr>
              <w:t>39.7</w:t>
            </w:r>
            <w:bookmarkEnd w:id="762"/>
          </w:p>
        </w:tc>
        <w:tc>
          <w:tcPr>
            <w:tcW w:w="828" w:type="pct"/>
            <w:tcBorders>
              <w:top w:val="nil"/>
              <w:left w:val="nil"/>
              <w:bottom w:val="single" w:sz="4" w:space="0" w:color="auto"/>
              <w:right w:val="single" w:sz="4" w:space="0" w:color="auto"/>
            </w:tcBorders>
            <w:shd w:val="clear" w:color="000000" w:fill="FFFFFF"/>
            <w:noWrap/>
            <w:hideMark/>
          </w:tcPr>
          <w:p w14:paraId="2A0DEFAF" w14:textId="1965EFD9" w:rsidR="007833EF" w:rsidRPr="007833EF" w:rsidRDefault="007833EF" w:rsidP="007833EF">
            <w:pPr>
              <w:jc w:val="right"/>
              <w:outlineLvl w:val="0"/>
              <w:rPr>
                <w:noProof/>
                <w:sz w:val="20"/>
                <w:szCs w:val="20"/>
              </w:rPr>
            </w:pPr>
            <w:bookmarkStart w:id="763" w:name="_Toc223980367"/>
            <w:r w:rsidRPr="007833EF">
              <w:rPr>
                <w:noProof/>
                <w:sz w:val="20"/>
                <w:szCs w:val="20"/>
              </w:rPr>
              <w:t>27.2</w:t>
            </w:r>
            <w:bookmarkEnd w:id="763"/>
          </w:p>
        </w:tc>
      </w:tr>
      <w:tr w:rsidR="007833EF" w:rsidRPr="008F6B42" w14:paraId="4CE90884"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07C509B" w14:textId="77777777" w:rsidR="007833EF" w:rsidRPr="008F6B42" w:rsidRDefault="007833EF" w:rsidP="007833EF">
            <w:pPr>
              <w:outlineLvl w:val="0"/>
              <w:rPr>
                <w:noProof/>
                <w:sz w:val="20"/>
                <w:szCs w:val="20"/>
              </w:rPr>
            </w:pPr>
            <w:r w:rsidRPr="008F6B42">
              <w:rPr>
                <w:noProof/>
                <w:sz w:val="20"/>
                <w:szCs w:val="20"/>
              </w:rPr>
              <w:t xml:space="preserve"> </w:t>
            </w:r>
            <w:bookmarkStart w:id="764" w:name="_Toc223980368"/>
            <w:r w:rsidRPr="008F6B42">
              <w:rPr>
                <w:noProof/>
                <w:sz w:val="20"/>
                <w:szCs w:val="20"/>
              </w:rPr>
              <w:t>Belgium</w:t>
            </w:r>
            <w:bookmarkEnd w:id="76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C2D396E" w14:textId="76AF2933" w:rsidR="007833EF" w:rsidRPr="007833EF" w:rsidRDefault="007833EF" w:rsidP="007833EF">
            <w:pPr>
              <w:jc w:val="right"/>
              <w:outlineLvl w:val="0"/>
              <w:rPr>
                <w:noProof/>
                <w:sz w:val="20"/>
                <w:szCs w:val="20"/>
              </w:rPr>
            </w:pPr>
            <w:bookmarkStart w:id="765" w:name="_Toc223980369"/>
            <w:r w:rsidRPr="007833EF">
              <w:rPr>
                <w:noProof/>
                <w:sz w:val="20"/>
                <w:szCs w:val="20"/>
              </w:rPr>
              <w:t>153.2</w:t>
            </w:r>
            <w:bookmarkEnd w:id="765"/>
          </w:p>
        </w:tc>
        <w:tc>
          <w:tcPr>
            <w:tcW w:w="828" w:type="pct"/>
            <w:tcBorders>
              <w:top w:val="nil"/>
              <w:left w:val="nil"/>
              <w:bottom w:val="single" w:sz="4" w:space="0" w:color="auto"/>
              <w:right w:val="single" w:sz="4" w:space="0" w:color="auto"/>
            </w:tcBorders>
            <w:shd w:val="clear" w:color="000000" w:fill="FFFFFF"/>
            <w:noWrap/>
            <w:hideMark/>
          </w:tcPr>
          <w:p w14:paraId="0E00F2C0" w14:textId="38CC93C5" w:rsidR="007833EF" w:rsidRPr="007833EF" w:rsidRDefault="007833EF" w:rsidP="007833EF">
            <w:pPr>
              <w:jc w:val="right"/>
              <w:outlineLvl w:val="0"/>
              <w:rPr>
                <w:noProof/>
                <w:sz w:val="20"/>
                <w:szCs w:val="20"/>
              </w:rPr>
            </w:pPr>
            <w:bookmarkStart w:id="766" w:name="_Toc223980370"/>
            <w:r w:rsidRPr="007833EF">
              <w:rPr>
                <w:noProof/>
                <w:sz w:val="20"/>
                <w:szCs w:val="20"/>
              </w:rPr>
              <w:t>23.6</w:t>
            </w:r>
            <w:bookmarkEnd w:id="766"/>
          </w:p>
        </w:tc>
        <w:tc>
          <w:tcPr>
            <w:tcW w:w="828" w:type="pct"/>
            <w:tcBorders>
              <w:top w:val="nil"/>
              <w:left w:val="nil"/>
              <w:bottom w:val="single" w:sz="4" w:space="0" w:color="auto"/>
              <w:right w:val="single" w:sz="4" w:space="0" w:color="auto"/>
            </w:tcBorders>
            <w:shd w:val="clear" w:color="000000" w:fill="FFFFFF"/>
            <w:noWrap/>
            <w:hideMark/>
          </w:tcPr>
          <w:p w14:paraId="556D75A8" w14:textId="1B4DCB5A" w:rsidR="007833EF" w:rsidRPr="007833EF" w:rsidRDefault="007833EF" w:rsidP="007833EF">
            <w:pPr>
              <w:jc w:val="right"/>
              <w:outlineLvl w:val="0"/>
              <w:rPr>
                <w:noProof/>
                <w:sz w:val="20"/>
                <w:szCs w:val="20"/>
              </w:rPr>
            </w:pPr>
            <w:bookmarkStart w:id="767" w:name="_Toc223980371"/>
            <w:r w:rsidRPr="007833EF">
              <w:rPr>
                <w:noProof/>
                <w:sz w:val="20"/>
                <w:szCs w:val="20"/>
              </w:rPr>
              <w:t>39.7</w:t>
            </w:r>
            <w:bookmarkEnd w:id="767"/>
          </w:p>
        </w:tc>
        <w:tc>
          <w:tcPr>
            <w:tcW w:w="828" w:type="pct"/>
            <w:tcBorders>
              <w:top w:val="nil"/>
              <w:left w:val="nil"/>
              <w:bottom w:val="single" w:sz="4" w:space="0" w:color="auto"/>
              <w:right w:val="single" w:sz="4" w:space="0" w:color="auto"/>
            </w:tcBorders>
            <w:shd w:val="clear" w:color="000000" w:fill="FFFFFF"/>
            <w:noWrap/>
            <w:hideMark/>
          </w:tcPr>
          <w:p w14:paraId="634799ED" w14:textId="127F0CEC" w:rsidR="007833EF" w:rsidRPr="007833EF" w:rsidRDefault="007833EF" w:rsidP="007833EF">
            <w:pPr>
              <w:jc w:val="right"/>
              <w:outlineLvl w:val="0"/>
              <w:rPr>
                <w:noProof/>
                <w:sz w:val="20"/>
                <w:szCs w:val="20"/>
              </w:rPr>
            </w:pPr>
            <w:bookmarkStart w:id="768" w:name="_Toc223980372"/>
            <w:r w:rsidRPr="007833EF">
              <w:rPr>
                <w:noProof/>
                <w:sz w:val="20"/>
                <w:szCs w:val="20"/>
              </w:rPr>
              <w:t>27.2</w:t>
            </w:r>
            <w:bookmarkEnd w:id="768"/>
          </w:p>
        </w:tc>
      </w:tr>
      <w:tr w:rsidR="007833EF" w:rsidRPr="008F6B42" w14:paraId="61FDEE51"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2F88D9E" w14:textId="77777777" w:rsidR="007833EF" w:rsidRPr="008F6B42" w:rsidRDefault="007833EF" w:rsidP="007833EF">
            <w:pPr>
              <w:outlineLvl w:val="0"/>
              <w:rPr>
                <w:noProof/>
                <w:sz w:val="20"/>
                <w:szCs w:val="20"/>
              </w:rPr>
            </w:pPr>
            <w:r w:rsidRPr="008F6B42">
              <w:rPr>
                <w:noProof/>
                <w:sz w:val="20"/>
                <w:szCs w:val="20"/>
              </w:rPr>
              <w:t xml:space="preserve"> </w:t>
            </w:r>
            <w:bookmarkStart w:id="769" w:name="_Toc223980373"/>
            <w:r w:rsidRPr="008F6B42">
              <w:rPr>
                <w:noProof/>
                <w:sz w:val="20"/>
                <w:szCs w:val="20"/>
              </w:rPr>
              <w:t>Portugal</w:t>
            </w:r>
            <w:bookmarkEnd w:id="76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345D9BD3" w14:textId="2F1F6951" w:rsidR="007833EF" w:rsidRPr="007833EF" w:rsidRDefault="007833EF" w:rsidP="007833EF">
            <w:pPr>
              <w:jc w:val="right"/>
              <w:outlineLvl w:val="0"/>
              <w:rPr>
                <w:noProof/>
                <w:sz w:val="20"/>
                <w:szCs w:val="20"/>
              </w:rPr>
            </w:pPr>
            <w:bookmarkStart w:id="770" w:name="_Toc223980374"/>
            <w:r w:rsidRPr="007833EF">
              <w:rPr>
                <w:noProof/>
                <w:sz w:val="20"/>
                <w:szCs w:val="20"/>
              </w:rPr>
              <w:t>51.1</w:t>
            </w:r>
            <w:bookmarkEnd w:id="770"/>
          </w:p>
        </w:tc>
        <w:tc>
          <w:tcPr>
            <w:tcW w:w="828" w:type="pct"/>
            <w:tcBorders>
              <w:top w:val="nil"/>
              <w:left w:val="nil"/>
              <w:bottom w:val="single" w:sz="4" w:space="0" w:color="auto"/>
              <w:right w:val="single" w:sz="4" w:space="0" w:color="auto"/>
            </w:tcBorders>
            <w:shd w:val="clear" w:color="000000" w:fill="FFFFFF"/>
            <w:noWrap/>
            <w:hideMark/>
          </w:tcPr>
          <w:p w14:paraId="062FB4B0" w14:textId="63180903" w:rsidR="007833EF" w:rsidRPr="007833EF" w:rsidRDefault="007833EF" w:rsidP="007833EF">
            <w:pPr>
              <w:jc w:val="right"/>
              <w:outlineLvl w:val="0"/>
              <w:rPr>
                <w:noProof/>
                <w:sz w:val="20"/>
                <w:szCs w:val="20"/>
              </w:rPr>
            </w:pPr>
            <w:bookmarkStart w:id="771" w:name="_Toc223980375"/>
            <w:r w:rsidRPr="007833EF">
              <w:rPr>
                <w:noProof/>
                <w:sz w:val="20"/>
                <w:szCs w:val="20"/>
              </w:rPr>
              <w:t>7.9</w:t>
            </w:r>
            <w:bookmarkEnd w:id="771"/>
          </w:p>
        </w:tc>
        <w:tc>
          <w:tcPr>
            <w:tcW w:w="828" w:type="pct"/>
            <w:tcBorders>
              <w:top w:val="nil"/>
              <w:left w:val="nil"/>
              <w:bottom w:val="single" w:sz="4" w:space="0" w:color="auto"/>
              <w:right w:val="single" w:sz="4" w:space="0" w:color="auto"/>
            </w:tcBorders>
            <w:shd w:val="clear" w:color="000000" w:fill="FFFFFF"/>
            <w:noWrap/>
            <w:hideMark/>
          </w:tcPr>
          <w:p w14:paraId="6F337EE7" w14:textId="2C1EA7F6" w:rsidR="007833EF" w:rsidRPr="007833EF" w:rsidRDefault="007833EF" w:rsidP="007833EF">
            <w:pPr>
              <w:jc w:val="right"/>
              <w:outlineLvl w:val="0"/>
              <w:rPr>
                <w:noProof/>
                <w:sz w:val="20"/>
                <w:szCs w:val="20"/>
              </w:rPr>
            </w:pPr>
            <w:bookmarkStart w:id="772" w:name="_Toc223980376"/>
            <w:r w:rsidRPr="007833EF">
              <w:rPr>
                <w:noProof/>
                <w:sz w:val="20"/>
                <w:szCs w:val="20"/>
              </w:rPr>
              <w:t>13.2</w:t>
            </w:r>
            <w:bookmarkEnd w:id="772"/>
          </w:p>
        </w:tc>
        <w:tc>
          <w:tcPr>
            <w:tcW w:w="828" w:type="pct"/>
            <w:tcBorders>
              <w:top w:val="nil"/>
              <w:left w:val="nil"/>
              <w:bottom w:val="single" w:sz="4" w:space="0" w:color="auto"/>
              <w:right w:val="single" w:sz="4" w:space="0" w:color="auto"/>
            </w:tcBorders>
            <w:shd w:val="clear" w:color="000000" w:fill="FFFFFF"/>
            <w:noWrap/>
            <w:hideMark/>
          </w:tcPr>
          <w:p w14:paraId="25986240" w14:textId="2F1E431D" w:rsidR="007833EF" w:rsidRPr="007833EF" w:rsidRDefault="007833EF" w:rsidP="007833EF">
            <w:pPr>
              <w:jc w:val="right"/>
              <w:outlineLvl w:val="0"/>
              <w:rPr>
                <w:noProof/>
                <w:sz w:val="20"/>
                <w:szCs w:val="20"/>
              </w:rPr>
            </w:pPr>
            <w:bookmarkStart w:id="773" w:name="_Toc223980377"/>
            <w:r w:rsidRPr="007833EF">
              <w:rPr>
                <w:noProof/>
                <w:sz w:val="20"/>
                <w:szCs w:val="20"/>
              </w:rPr>
              <w:t>9.1</w:t>
            </w:r>
            <w:bookmarkEnd w:id="773"/>
          </w:p>
        </w:tc>
      </w:tr>
      <w:tr w:rsidR="007833EF" w:rsidRPr="008F6B42" w14:paraId="1E7A7221"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5AC74B0" w14:textId="77777777" w:rsidR="007833EF" w:rsidRPr="008F6B42" w:rsidRDefault="007833EF" w:rsidP="007833EF">
            <w:pPr>
              <w:outlineLvl w:val="0"/>
              <w:rPr>
                <w:noProof/>
                <w:sz w:val="20"/>
                <w:szCs w:val="20"/>
              </w:rPr>
            </w:pPr>
            <w:r w:rsidRPr="008F6B42">
              <w:rPr>
                <w:noProof/>
                <w:sz w:val="20"/>
                <w:szCs w:val="20"/>
              </w:rPr>
              <w:t xml:space="preserve"> </w:t>
            </w:r>
            <w:bookmarkStart w:id="774" w:name="_Toc223980378"/>
            <w:r w:rsidRPr="008F6B42">
              <w:rPr>
                <w:noProof/>
                <w:sz w:val="20"/>
                <w:szCs w:val="20"/>
              </w:rPr>
              <w:t>Malta</w:t>
            </w:r>
            <w:bookmarkEnd w:id="77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40566EB" w14:textId="37017299" w:rsidR="007833EF" w:rsidRPr="007833EF" w:rsidRDefault="007833EF" w:rsidP="007833EF">
            <w:pPr>
              <w:jc w:val="right"/>
              <w:outlineLvl w:val="0"/>
              <w:rPr>
                <w:noProof/>
                <w:sz w:val="20"/>
                <w:szCs w:val="20"/>
              </w:rPr>
            </w:pPr>
            <w:bookmarkStart w:id="775" w:name="_Toc223980379"/>
            <w:r w:rsidRPr="007833EF">
              <w:rPr>
                <w:noProof/>
                <w:sz w:val="20"/>
                <w:szCs w:val="20"/>
              </w:rPr>
              <w:t>25.5</w:t>
            </w:r>
            <w:bookmarkEnd w:id="775"/>
          </w:p>
        </w:tc>
        <w:tc>
          <w:tcPr>
            <w:tcW w:w="828" w:type="pct"/>
            <w:tcBorders>
              <w:top w:val="nil"/>
              <w:left w:val="nil"/>
              <w:bottom w:val="single" w:sz="4" w:space="0" w:color="auto"/>
              <w:right w:val="single" w:sz="4" w:space="0" w:color="auto"/>
            </w:tcBorders>
            <w:shd w:val="clear" w:color="000000" w:fill="FFFFFF"/>
            <w:noWrap/>
            <w:hideMark/>
          </w:tcPr>
          <w:p w14:paraId="7E4A1D2F" w14:textId="4D9620DD" w:rsidR="007833EF" w:rsidRPr="007833EF" w:rsidRDefault="007833EF" w:rsidP="007833EF">
            <w:pPr>
              <w:jc w:val="right"/>
              <w:outlineLvl w:val="0"/>
              <w:rPr>
                <w:noProof/>
                <w:sz w:val="20"/>
                <w:szCs w:val="20"/>
              </w:rPr>
            </w:pPr>
            <w:bookmarkStart w:id="776" w:name="_Toc223980380"/>
            <w:r w:rsidRPr="007833EF">
              <w:rPr>
                <w:noProof/>
                <w:sz w:val="20"/>
                <w:szCs w:val="20"/>
              </w:rPr>
              <w:t>3.9</w:t>
            </w:r>
            <w:bookmarkEnd w:id="776"/>
          </w:p>
        </w:tc>
        <w:tc>
          <w:tcPr>
            <w:tcW w:w="828" w:type="pct"/>
            <w:tcBorders>
              <w:top w:val="nil"/>
              <w:left w:val="nil"/>
              <w:bottom w:val="single" w:sz="4" w:space="0" w:color="auto"/>
              <w:right w:val="single" w:sz="4" w:space="0" w:color="auto"/>
            </w:tcBorders>
            <w:shd w:val="clear" w:color="000000" w:fill="FFFFFF"/>
            <w:noWrap/>
            <w:hideMark/>
          </w:tcPr>
          <w:p w14:paraId="7C4E8FC7" w14:textId="13778A7E" w:rsidR="007833EF" w:rsidRPr="007833EF" w:rsidRDefault="007833EF" w:rsidP="007833EF">
            <w:pPr>
              <w:jc w:val="right"/>
              <w:outlineLvl w:val="0"/>
              <w:rPr>
                <w:noProof/>
                <w:sz w:val="20"/>
                <w:szCs w:val="20"/>
              </w:rPr>
            </w:pPr>
            <w:bookmarkStart w:id="777" w:name="_Toc223980381"/>
            <w:r w:rsidRPr="007833EF">
              <w:rPr>
                <w:noProof/>
                <w:sz w:val="20"/>
                <w:szCs w:val="20"/>
              </w:rPr>
              <w:t>6.6</w:t>
            </w:r>
            <w:bookmarkEnd w:id="777"/>
          </w:p>
        </w:tc>
        <w:tc>
          <w:tcPr>
            <w:tcW w:w="828" w:type="pct"/>
            <w:tcBorders>
              <w:top w:val="nil"/>
              <w:left w:val="nil"/>
              <w:bottom w:val="single" w:sz="4" w:space="0" w:color="auto"/>
              <w:right w:val="single" w:sz="4" w:space="0" w:color="auto"/>
            </w:tcBorders>
            <w:shd w:val="clear" w:color="000000" w:fill="FFFFFF"/>
            <w:noWrap/>
            <w:hideMark/>
          </w:tcPr>
          <w:p w14:paraId="6CEEC14C" w14:textId="6C08ACD5" w:rsidR="007833EF" w:rsidRPr="007833EF" w:rsidRDefault="007833EF" w:rsidP="007833EF">
            <w:pPr>
              <w:jc w:val="right"/>
              <w:outlineLvl w:val="0"/>
              <w:rPr>
                <w:noProof/>
                <w:sz w:val="20"/>
                <w:szCs w:val="20"/>
              </w:rPr>
            </w:pPr>
            <w:bookmarkStart w:id="778" w:name="_Toc223980382"/>
            <w:r w:rsidRPr="007833EF">
              <w:rPr>
                <w:noProof/>
                <w:sz w:val="20"/>
                <w:szCs w:val="20"/>
              </w:rPr>
              <w:t>4.5</w:t>
            </w:r>
            <w:bookmarkEnd w:id="778"/>
          </w:p>
        </w:tc>
      </w:tr>
      <w:tr w:rsidR="007833EF" w:rsidRPr="008F6B42" w14:paraId="554F0AF4"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5A7916A8" w14:textId="77777777" w:rsidR="007833EF" w:rsidRPr="008F6B42" w:rsidRDefault="007833EF" w:rsidP="007833EF">
            <w:pPr>
              <w:outlineLvl w:val="0"/>
              <w:rPr>
                <w:noProof/>
                <w:sz w:val="20"/>
                <w:szCs w:val="20"/>
              </w:rPr>
            </w:pPr>
            <w:r w:rsidRPr="008F6B42">
              <w:rPr>
                <w:noProof/>
                <w:sz w:val="20"/>
                <w:szCs w:val="20"/>
              </w:rPr>
              <w:t xml:space="preserve"> </w:t>
            </w:r>
            <w:bookmarkStart w:id="779" w:name="_Toc223980383"/>
            <w:r w:rsidRPr="008F6B42">
              <w:rPr>
                <w:noProof/>
                <w:sz w:val="20"/>
                <w:szCs w:val="20"/>
              </w:rPr>
              <w:t>Cyprus</w:t>
            </w:r>
            <w:bookmarkEnd w:id="77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72670D7C" w14:textId="23DB55E6" w:rsidR="007833EF" w:rsidRPr="007833EF" w:rsidRDefault="007833EF" w:rsidP="007833EF">
            <w:pPr>
              <w:jc w:val="right"/>
              <w:outlineLvl w:val="0"/>
              <w:rPr>
                <w:noProof/>
                <w:sz w:val="20"/>
                <w:szCs w:val="20"/>
              </w:rPr>
            </w:pPr>
            <w:bookmarkStart w:id="780" w:name="_Toc223980384"/>
            <w:r w:rsidRPr="007833EF">
              <w:rPr>
                <w:noProof/>
                <w:sz w:val="20"/>
                <w:szCs w:val="20"/>
              </w:rPr>
              <w:t>25.5</w:t>
            </w:r>
            <w:bookmarkEnd w:id="780"/>
          </w:p>
        </w:tc>
        <w:tc>
          <w:tcPr>
            <w:tcW w:w="828" w:type="pct"/>
            <w:tcBorders>
              <w:top w:val="nil"/>
              <w:left w:val="nil"/>
              <w:bottom w:val="single" w:sz="4" w:space="0" w:color="auto"/>
              <w:right w:val="single" w:sz="4" w:space="0" w:color="auto"/>
            </w:tcBorders>
            <w:shd w:val="clear" w:color="000000" w:fill="FFFFFF"/>
            <w:noWrap/>
            <w:hideMark/>
          </w:tcPr>
          <w:p w14:paraId="767D41CF" w14:textId="307B2F66" w:rsidR="007833EF" w:rsidRPr="007833EF" w:rsidRDefault="007833EF" w:rsidP="007833EF">
            <w:pPr>
              <w:jc w:val="right"/>
              <w:outlineLvl w:val="0"/>
              <w:rPr>
                <w:noProof/>
                <w:sz w:val="20"/>
                <w:szCs w:val="20"/>
              </w:rPr>
            </w:pPr>
            <w:bookmarkStart w:id="781" w:name="_Toc223980385"/>
            <w:r w:rsidRPr="007833EF">
              <w:rPr>
                <w:noProof/>
                <w:sz w:val="20"/>
                <w:szCs w:val="20"/>
              </w:rPr>
              <w:t>3.9</w:t>
            </w:r>
            <w:bookmarkEnd w:id="781"/>
          </w:p>
        </w:tc>
        <w:tc>
          <w:tcPr>
            <w:tcW w:w="828" w:type="pct"/>
            <w:tcBorders>
              <w:top w:val="nil"/>
              <w:left w:val="nil"/>
              <w:bottom w:val="single" w:sz="4" w:space="0" w:color="auto"/>
              <w:right w:val="single" w:sz="4" w:space="0" w:color="auto"/>
            </w:tcBorders>
            <w:shd w:val="clear" w:color="000000" w:fill="FFFFFF"/>
            <w:noWrap/>
            <w:hideMark/>
          </w:tcPr>
          <w:p w14:paraId="3E529477" w14:textId="00D6238A" w:rsidR="007833EF" w:rsidRPr="007833EF" w:rsidRDefault="007833EF" w:rsidP="007833EF">
            <w:pPr>
              <w:jc w:val="right"/>
              <w:outlineLvl w:val="0"/>
              <w:rPr>
                <w:noProof/>
                <w:sz w:val="20"/>
                <w:szCs w:val="20"/>
              </w:rPr>
            </w:pPr>
            <w:bookmarkStart w:id="782" w:name="_Toc223980386"/>
            <w:r w:rsidRPr="007833EF">
              <w:rPr>
                <w:noProof/>
                <w:sz w:val="20"/>
                <w:szCs w:val="20"/>
              </w:rPr>
              <w:t>6.6</w:t>
            </w:r>
            <w:bookmarkEnd w:id="782"/>
          </w:p>
        </w:tc>
        <w:tc>
          <w:tcPr>
            <w:tcW w:w="828" w:type="pct"/>
            <w:tcBorders>
              <w:top w:val="nil"/>
              <w:left w:val="nil"/>
              <w:bottom w:val="single" w:sz="4" w:space="0" w:color="auto"/>
              <w:right w:val="single" w:sz="4" w:space="0" w:color="auto"/>
            </w:tcBorders>
            <w:shd w:val="clear" w:color="000000" w:fill="FFFFFF"/>
            <w:noWrap/>
            <w:hideMark/>
          </w:tcPr>
          <w:p w14:paraId="01167339" w14:textId="321E238D" w:rsidR="007833EF" w:rsidRPr="007833EF" w:rsidRDefault="007833EF" w:rsidP="007833EF">
            <w:pPr>
              <w:jc w:val="right"/>
              <w:outlineLvl w:val="0"/>
              <w:rPr>
                <w:noProof/>
                <w:sz w:val="20"/>
                <w:szCs w:val="20"/>
              </w:rPr>
            </w:pPr>
            <w:bookmarkStart w:id="783" w:name="_Toc223980387"/>
            <w:r w:rsidRPr="007833EF">
              <w:rPr>
                <w:noProof/>
                <w:sz w:val="20"/>
                <w:szCs w:val="20"/>
              </w:rPr>
              <w:t>4.5</w:t>
            </w:r>
            <w:bookmarkEnd w:id="783"/>
          </w:p>
        </w:tc>
      </w:tr>
      <w:tr w:rsidR="007833EF" w:rsidRPr="008F6B42" w14:paraId="558A3D2F"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546403CA" w14:textId="77777777" w:rsidR="007833EF" w:rsidRPr="008F6B42" w:rsidRDefault="007833EF" w:rsidP="007833EF">
            <w:pPr>
              <w:outlineLvl w:val="0"/>
              <w:rPr>
                <w:noProof/>
                <w:sz w:val="20"/>
                <w:szCs w:val="20"/>
              </w:rPr>
            </w:pPr>
            <w:r w:rsidRPr="008F6B42">
              <w:rPr>
                <w:noProof/>
                <w:sz w:val="20"/>
                <w:szCs w:val="20"/>
              </w:rPr>
              <w:t xml:space="preserve"> </w:t>
            </w:r>
            <w:bookmarkStart w:id="784" w:name="_Toc223980388"/>
            <w:r w:rsidRPr="008F6B42">
              <w:rPr>
                <w:noProof/>
                <w:sz w:val="20"/>
                <w:szCs w:val="20"/>
              </w:rPr>
              <w:t>Greece</w:t>
            </w:r>
            <w:bookmarkEnd w:id="78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BF236D3" w14:textId="49469777" w:rsidR="007833EF" w:rsidRPr="007833EF" w:rsidRDefault="007833EF" w:rsidP="007833EF">
            <w:pPr>
              <w:jc w:val="right"/>
              <w:outlineLvl w:val="0"/>
              <w:rPr>
                <w:noProof/>
                <w:sz w:val="20"/>
                <w:szCs w:val="20"/>
              </w:rPr>
            </w:pPr>
            <w:bookmarkStart w:id="785" w:name="_Toc223980389"/>
            <w:r w:rsidRPr="007833EF">
              <w:rPr>
                <w:noProof/>
                <w:sz w:val="20"/>
                <w:szCs w:val="20"/>
              </w:rPr>
              <w:t>51.1</w:t>
            </w:r>
            <w:bookmarkEnd w:id="785"/>
          </w:p>
        </w:tc>
        <w:tc>
          <w:tcPr>
            <w:tcW w:w="828" w:type="pct"/>
            <w:tcBorders>
              <w:top w:val="nil"/>
              <w:left w:val="nil"/>
              <w:bottom w:val="single" w:sz="4" w:space="0" w:color="auto"/>
              <w:right w:val="single" w:sz="4" w:space="0" w:color="auto"/>
            </w:tcBorders>
            <w:shd w:val="clear" w:color="000000" w:fill="FFFFFF"/>
            <w:noWrap/>
            <w:hideMark/>
          </w:tcPr>
          <w:p w14:paraId="362DF958" w14:textId="342D7AE6" w:rsidR="007833EF" w:rsidRPr="007833EF" w:rsidRDefault="007833EF" w:rsidP="007833EF">
            <w:pPr>
              <w:jc w:val="right"/>
              <w:outlineLvl w:val="0"/>
              <w:rPr>
                <w:noProof/>
                <w:sz w:val="20"/>
                <w:szCs w:val="20"/>
              </w:rPr>
            </w:pPr>
            <w:bookmarkStart w:id="786" w:name="_Toc223980390"/>
            <w:r w:rsidRPr="007833EF">
              <w:rPr>
                <w:noProof/>
                <w:sz w:val="20"/>
                <w:szCs w:val="20"/>
              </w:rPr>
              <w:t>7.9</w:t>
            </w:r>
            <w:bookmarkEnd w:id="786"/>
          </w:p>
        </w:tc>
        <w:tc>
          <w:tcPr>
            <w:tcW w:w="828" w:type="pct"/>
            <w:tcBorders>
              <w:top w:val="nil"/>
              <w:left w:val="nil"/>
              <w:bottom w:val="single" w:sz="4" w:space="0" w:color="auto"/>
              <w:right w:val="single" w:sz="4" w:space="0" w:color="auto"/>
            </w:tcBorders>
            <w:shd w:val="clear" w:color="000000" w:fill="FFFFFF"/>
            <w:noWrap/>
            <w:hideMark/>
          </w:tcPr>
          <w:p w14:paraId="1CC383C1" w14:textId="4FD09070" w:rsidR="007833EF" w:rsidRPr="007833EF" w:rsidRDefault="007833EF" w:rsidP="007833EF">
            <w:pPr>
              <w:jc w:val="right"/>
              <w:outlineLvl w:val="0"/>
              <w:rPr>
                <w:noProof/>
                <w:sz w:val="20"/>
                <w:szCs w:val="20"/>
              </w:rPr>
            </w:pPr>
            <w:bookmarkStart w:id="787" w:name="_Toc223980391"/>
            <w:r w:rsidRPr="007833EF">
              <w:rPr>
                <w:noProof/>
                <w:sz w:val="20"/>
                <w:szCs w:val="20"/>
              </w:rPr>
              <w:t>13.2</w:t>
            </w:r>
            <w:bookmarkEnd w:id="787"/>
          </w:p>
        </w:tc>
        <w:tc>
          <w:tcPr>
            <w:tcW w:w="828" w:type="pct"/>
            <w:tcBorders>
              <w:top w:val="nil"/>
              <w:left w:val="nil"/>
              <w:bottom w:val="single" w:sz="4" w:space="0" w:color="auto"/>
              <w:right w:val="single" w:sz="4" w:space="0" w:color="auto"/>
            </w:tcBorders>
            <w:shd w:val="clear" w:color="000000" w:fill="FFFFFF"/>
            <w:noWrap/>
            <w:hideMark/>
          </w:tcPr>
          <w:p w14:paraId="13A25457" w14:textId="0F41EC16" w:rsidR="007833EF" w:rsidRPr="007833EF" w:rsidRDefault="007833EF" w:rsidP="007833EF">
            <w:pPr>
              <w:jc w:val="right"/>
              <w:outlineLvl w:val="0"/>
              <w:rPr>
                <w:noProof/>
                <w:sz w:val="20"/>
                <w:szCs w:val="20"/>
              </w:rPr>
            </w:pPr>
            <w:bookmarkStart w:id="788" w:name="_Toc223980392"/>
            <w:r w:rsidRPr="007833EF">
              <w:rPr>
                <w:noProof/>
                <w:sz w:val="20"/>
                <w:szCs w:val="20"/>
              </w:rPr>
              <w:t>9.1</w:t>
            </w:r>
            <w:bookmarkEnd w:id="788"/>
          </w:p>
        </w:tc>
      </w:tr>
      <w:tr w:rsidR="007833EF" w:rsidRPr="008F6B42" w14:paraId="66E94B22"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335A1B07" w14:textId="77777777" w:rsidR="007833EF" w:rsidRPr="008F6B42" w:rsidRDefault="007833EF" w:rsidP="007833EF">
            <w:pPr>
              <w:outlineLvl w:val="0"/>
              <w:rPr>
                <w:noProof/>
                <w:sz w:val="20"/>
                <w:szCs w:val="20"/>
              </w:rPr>
            </w:pPr>
            <w:r w:rsidRPr="008F6B42">
              <w:rPr>
                <w:noProof/>
                <w:sz w:val="20"/>
                <w:szCs w:val="20"/>
              </w:rPr>
              <w:t xml:space="preserve"> </w:t>
            </w:r>
            <w:bookmarkStart w:id="789" w:name="_Toc223980393"/>
            <w:r w:rsidRPr="008F6B42">
              <w:rPr>
                <w:noProof/>
                <w:sz w:val="20"/>
                <w:szCs w:val="20"/>
              </w:rPr>
              <w:t>Bulgaria</w:t>
            </w:r>
            <w:bookmarkEnd w:id="78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2CBA50D" w14:textId="77777777" w:rsidR="007833EF" w:rsidRPr="007833EF" w:rsidRDefault="007833EF" w:rsidP="007833EF">
            <w:pPr>
              <w:jc w:val="right"/>
              <w:outlineLvl w:val="0"/>
              <w:rPr>
                <w:noProof/>
                <w:sz w:val="20"/>
                <w:szCs w:val="20"/>
              </w:rPr>
            </w:pPr>
            <w:bookmarkStart w:id="790" w:name="_Toc223980394"/>
            <w:r w:rsidRPr="007833EF">
              <w:rPr>
                <w:noProof/>
                <w:sz w:val="20"/>
                <w:szCs w:val="20"/>
              </w:rPr>
              <w:t>0.0</w:t>
            </w:r>
            <w:bookmarkEnd w:id="790"/>
          </w:p>
        </w:tc>
        <w:tc>
          <w:tcPr>
            <w:tcW w:w="828" w:type="pct"/>
            <w:tcBorders>
              <w:top w:val="nil"/>
              <w:left w:val="nil"/>
              <w:bottom w:val="single" w:sz="4" w:space="0" w:color="auto"/>
              <w:right w:val="single" w:sz="4" w:space="0" w:color="auto"/>
            </w:tcBorders>
            <w:shd w:val="clear" w:color="000000" w:fill="FFFFFF"/>
            <w:noWrap/>
            <w:hideMark/>
          </w:tcPr>
          <w:p w14:paraId="79879E77" w14:textId="77777777" w:rsidR="007833EF" w:rsidRPr="007833EF" w:rsidRDefault="007833EF" w:rsidP="007833EF">
            <w:pPr>
              <w:jc w:val="right"/>
              <w:outlineLvl w:val="0"/>
              <w:rPr>
                <w:noProof/>
                <w:sz w:val="20"/>
                <w:szCs w:val="20"/>
              </w:rPr>
            </w:pPr>
            <w:bookmarkStart w:id="791" w:name="_Toc223980395"/>
            <w:r w:rsidRPr="007833EF">
              <w:rPr>
                <w:noProof/>
                <w:sz w:val="20"/>
                <w:szCs w:val="20"/>
              </w:rPr>
              <w:t>0.0</w:t>
            </w:r>
            <w:bookmarkEnd w:id="791"/>
          </w:p>
        </w:tc>
        <w:tc>
          <w:tcPr>
            <w:tcW w:w="828" w:type="pct"/>
            <w:tcBorders>
              <w:top w:val="nil"/>
              <w:left w:val="nil"/>
              <w:bottom w:val="single" w:sz="4" w:space="0" w:color="auto"/>
              <w:right w:val="single" w:sz="4" w:space="0" w:color="auto"/>
            </w:tcBorders>
            <w:shd w:val="clear" w:color="000000" w:fill="FFFFFF"/>
            <w:noWrap/>
            <w:hideMark/>
          </w:tcPr>
          <w:p w14:paraId="62D724A7" w14:textId="77777777" w:rsidR="007833EF" w:rsidRPr="007833EF" w:rsidRDefault="007833EF" w:rsidP="007833EF">
            <w:pPr>
              <w:jc w:val="right"/>
              <w:outlineLvl w:val="0"/>
              <w:rPr>
                <w:noProof/>
                <w:sz w:val="20"/>
                <w:szCs w:val="20"/>
              </w:rPr>
            </w:pPr>
            <w:bookmarkStart w:id="792" w:name="_Toc223980396"/>
            <w:r w:rsidRPr="007833EF">
              <w:rPr>
                <w:noProof/>
                <w:sz w:val="20"/>
                <w:szCs w:val="20"/>
              </w:rPr>
              <w:t>0.0</w:t>
            </w:r>
            <w:bookmarkEnd w:id="792"/>
          </w:p>
        </w:tc>
        <w:tc>
          <w:tcPr>
            <w:tcW w:w="828" w:type="pct"/>
            <w:tcBorders>
              <w:top w:val="nil"/>
              <w:left w:val="nil"/>
              <w:bottom w:val="single" w:sz="4" w:space="0" w:color="auto"/>
              <w:right w:val="single" w:sz="4" w:space="0" w:color="auto"/>
            </w:tcBorders>
            <w:shd w:val="clear" w:color="000000" w:fill="FFFFFF"/>
            <w:noWrap/>
            <w:hideMark/>
          </w:tcPr>
          <w:p w14:paraId="72A60A62" w14:textId="77777777" w:rsidR="007833EF" w:rsidRPr="007833EF" w:rsidRDefault="007833EF" w:rsidP="007833EF">
            <w:pPr>
              <w:jc w:val="right"/>
              <w:outlineLvl w:val="0"/>
              <w:rPr>
                <w:noProof/>
                <w:sz w:val="20"/>
                <w:szCs w:val="20"/>
              </w:rPr>
            </w:pPr>
            <w:bookmarkStart w:id="793" w:name="_Toc223980397"/>
            <w:r w:rsidRPr="007833EF">
              <w:rPr>
                <w:noProof/>
                <w:sz w:val="20"/>
                <w:szCs w:val="20"/>
              </w:rPr>
              <w:t>0.0</w:t>
            </w:r>
            <w:bookmarkEnd w:id="793"/>
          </w:p>
        </w:tc>
      </w:tr>
      <w:tr w:rsidR="007833EF" w:rsidRPr="008F6B42" w14:paraId="39AF1D6E"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1EF4492C" w14:textId="77777777" w:rsidR="007833EF" w:rsidRPr="008F6B42" w:rsidRDefault="007833EF" w:rsidP="007833EF">
            <w:pPr>
              <w:outlineLvl w:val="0"/>
              <w:rPr>
                <w:noProof/>
                <w:sz w:val="20"/>
                <w:szCs w:val="20"/>
              </w:rPr>
            </w:pPr>
            <w:r w:rsidRPr="008F6B42">
              <w:rPr>
                <w:noProof/>
                <w:sz w:val="20"/>
                <w:szCs w:val="20"/>
              </w:rPr>
              <w:t xml:space="preserve"> </w:t>
            </w:r>
            <w:bookmarkStart w:id="794" w:name="_Toc223980398"/>
            <w:r w:rsidRPr="008F6B42">
              <w:rPr>
                <w:noProof/>
                <w:sz w:val="20"/>
                <w:szCs w:val="20"/>
              </w:rPr>
              <w:t>Estonia</w:t>
            </w:r>
            <w:bookmarkEnd w:id="79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CA7CD17" w14:textId="77777777" w:rsidR="007833EF" w:rsidRPr="007833EF" w:rsidRDefault="007833EF" w:rsidP="007833EF">
            <w:pPr>
              <w:jc w:val="right"/>
              <w:outlineLvl w:val="0"/>
              <w:rPr>
                <w:noProof/>
                <w:sz w:val="20"/>
                <w:szCs w:val="20"/>
              </w:rPr>
            </w:pPr>
            <w:bookmarkStart w:id="795" w:name="_Toc223980399"/>
            <w:r w:rsidRPr="007833EF">
              <w:rPr>
                <w:noProof/>
                <w:sz w:val="20"/>
                <w:szCs w:val="20"/>
              </w:rPr>
              <w:t>0.0</w:t>
            </w:r>
            <w:bookmarkEnd w:id="795"/>
          </w:p>
        </w:tc>
        <w:tc>
          <w:tcPr>
            <w:tcW w:w="828" w:type="pct"/>
            <w:tcBorders>
              <w:top w:val="nil"/>
              <w:left w:val="nil"/>
              <w:bottom w:val="single" w:sz="4" w:space="0" w:color="auto"/>
              <w:right w:val="single" w:sz="4" w:space="0" w:color="auto"/>
            </w:tcBorders>
            <w:shd w:val="clear" w:color="000000" w:fill="FFFFFF"/>
            <w:noWrap/>
            <w:hideMark/>
          </w:tcPr>
          <w:p w14:paraId="6C73B65B" w14:textId="77777777" w:rsidR="007833EF" w:rsidRPr="007833EF" w:rsidRDefault="007833EF" w:rsidP="007833EF">
            <w:pPr>
              <w:jc w:val="right"/>
              <w:outlineLvl w:val="0"/>
              <w:rPr>
                <w:noProof/>
                <w:sz w:val="20"/>
                <w:szCs w:val="20"/>
              </w:rPr>
            </w:pPr>
            <w:bookmarkStart w:id="796" w:name="_Toc223980400"/>
            <w:r w:rsidRPr="007833EF">
              <w:rPr>
                <w:noProof/>
                <w:sz w:val="20"/>
                <w:szCs w:val="20"/>
              </w:rPr>
              <w:t>0.0</w:t>
            </w:r>
            <w:bookmarkEnd w:id="796"/>
          </w:p>
        </w:tc>
        <w:tc>
          <w:tcPr>
            <w:tcW w:w="828" w:type="pct"/>
            <w:tcBorders>
              <w:top w:val="nil"/>
              <w:left w:val="nil"/>
              <w:bottom w:val="single" w:sz="4" w:space="0" w:color="auto"/>
              <w:right w:val="single" w:sz="4" w:space="0" w:color="auto"/>
            </w:tcBorders>
            <w:shd w:val="clear" w:color="000000" w:fill="FFFFFF"/>
            <w:noWrap/>
            <w:hideMark/>
          </w:tcPr>
          <w:p w14:paraId="2E27BA72" w14:textId="77777777" w:rsidR="007833EF" w:rsidRPr="007833EF" w:rsidRDefault="007833EF" w:rsidP="007833EF">
            <w:pPr>
              <w:jc w:val="right"/>
              <w:outlineLvl w:val="0"/>
              <w:rPr>
                <w:noProof/>
                <w:sz w:val="20"/>
                <w:szCs w:val="20"/>
              </w:rPr>
            </w:pPr>
            <w:bookmarkStart w:id="797" w:name="_Toc223980401"/>
            <w:r w:rsidRPr="007833EF">
              <w:rPr>
                <w:noProof/>
                <w:sz w:val="20"/>
                <w:szCs w:val="20"/>
              </w:rPr>
              <w:t>0.0</w:t>
            </w:r>
            <w:bookmarkEnd w:id="797"/>
          </w:p>
        </w:tc>
        <w:tc>
          <w:tcPr>
            <w:tcW w:w="828" w:type="pct"/>
            <w:tcBorders>
              <w:top w:val="nil"/>
              <w:left w:val="nil"/>
              <w:bottom w:val="single" w:sz="4" w:space="0" w:color="auto"/>
              <w:right w:val="single" w:sz="4" w:space="0" w:color="auto"/>
            </w:tcBorders>
            <w:shd w:val="clear" w:color="000000" w:fill="FFFFFF"/>
            <w:noWrap/>
            <w:hideMark/>
          </w:tcPr>
          <w:p w14:paraId="452864C8" w14:textId="77777777" w:rsidR="007833EF" w:rsidRPr="007833EF" w:rsidRDefault="007833EF" w:rsidP="007833EF">
            <w:pPr>
              <w:jc w:val="right"/>
              <w:outlineLvl w:val="0"/>
              <w:rPr>
                <w:noProof/>
                <w:sz w:val="20"/>
                <w:szCs w:val="20"/>
              </w:rPr>
            </w:pPr>
            <w:bookmarkStart w:id="798" w:name="_Toc223980402"/>
            <w:r w:rsidRPr="007833EF">
              <w:rPr>
                <w:noProof/>
                <w:sz w:val="20"/>
                <w:szCs w:val="20"/>
              </w:rPr>
              <w:t>0.0</w:t>
            </w:r>
            <w:bookmarkEnd w:id="798"/>
          </w:p>
        </w:tc>
      </w:tr>
      <w:tr w:rsidR="007833EF" w:rsidRPr="008F6B42" w14:paraId="2466E7B4"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0E08D776" w14:textId="77777777" w:rsidR="007833EF" w:rsidRPr="008F6B42" w:rsidRDefault="007833EF" w:rsidP="007833EF">
            <w:pPr>
              <w:outlineLvl w:val="0"/>
              <w:rPr>
                <w:noProof/>
                <w:sz w:val="20"/>
                <w:szCs w:val="20"/>
              </w:rPr>
            </w:pPr>
            <w:r w:rsidRPr="008F6B42">
              <w:rPr>
                <w:noProof/>
                <w:sz w:val="20"/>
                <w:szCs w:val="20"/>
              </w:rPr>
              <w:t xml:space="preserve"> </w:t>
            </w:r>
            <w:bookmarkStart w:id="799" w:name="_Toc223980403"/>
            <w:r w:rsidRPr="008F6B42">
              <w:rPr>
                <w:noProof/>
                <w:sz w:val="20"/>
                <w:szCs w:val="20"/>
              </w:rPr>
              <w:t>Croatia</w:t>
            </w:r>
            <w:bookmarkEnd w:id="79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043E7CD3" w14:textId="189FD7BD" w:rsidR="007833EF" w:rsidRPr="007833EF" w:rsidRDefault="007833EF" w:rsidP="007833EF">
            <w:pPr>
              <w:jc w:val="right"/>
              <w:outlineLvl w:val="0"/>
              <w:rPr>
                <w:noProof/>
                <w:sz w:val="20"/>
                <w:szCs w:val="20"/>
              </w:rPr>
            </w:pPr>
            <w:bookmarkStart w:id="800" w:name="_Toc223980404"/>
            <w:r w:rsidRPr="007833EF">
              <w:rPr>
                <w:noProof/>
                <w:sz w:val="20"/>
                <w:szCs w:val="20"/>
              </w:rPr>
              <w:t>25.5</w:t>
            </w:r>
            <w:bookmarkEnd w:id="800"/>
          </w:p>
        </w:tc>
        <w:tc>
          <w:tcPr>
            <w:tcW w:w="828" w:type="pct"/>
            <w:tcBorders>
              <w:top w:val="nil"/>
              <w:left w:val="nil"/>
              <w:bottom w:val="single" w:sz="4" w:space="0" w:color="auto"/>
              <w:right w:val="single" w:sz="4" w:space="0" w:color="auto"/>
            </w:tcBorders>
            <w:shd w:val="clear" w:color="000000" w:fill="FFFFFF"/>
            <w:noWrap/>
            <w:hideMark/>
          </w:tcPr>
          <w:p w14:paraId="6C474B8B" w14:textId="472419A5" w:rsidR="007833EF" w:rsidRPr="007833EF" w:rsidRDefault="007833EF" w:rsidP="007833EF">
            <w:pPr>
              <w:jc w:val="right"/>
              <w:outlineLvl w:val="0"/>
              <w:rPr>
                <w:noProof/>
                <w:sz w:val="20"/>
                <w:szCs w:val="20"/>
              </w:rPr>
            </w:pPr>
            <w:bookmarkStart w:id="801" w:name="_Toc223980405"/>
            <w:r w:rsidRPr="007833EF">
              <w:rPr>
                <w:noProof/>
                <w:sz w:val="20"/>
                <w:szCs w:val="20"/>
              </w:rPr>
              <w:t>3.9</w:t>
            </w:r>
            <w:bookmarkEnd w:id="801"/>
          </w:p>
        </w:tc>
        <w:tc>
          <w:tcPr>
            <w:tcW w:w="828" w:type="pct"/>
            <w:tcBorders>
              <w:top w:val="nil"/>
              <w:left w:val="nil"/>
              <w:bottom w:val="single" w:sz="4" w:space="0" w:color="auto"/>
              <w:right w:val="single" w:sz="4" w:space="0" w:color="auto"/>
            </w:tcBorders>
            <w:shd w:val="clear" w:color="000000" w:fill="FFFFFF"/>
            <w:noWrap/>
            <w:hideMark/>
          </w:tcPr>
          <w:p w14:paraId="062A09BD" w14:textId="4EF89A52" w:rsidR="007833EF" w:rsidRPr="007833EF" w:rsidRDefault="007833EF" w:rsidP="007833EF">
            <w:pPr>
              <w:jc w:val="right"/>
              <w:outlineLvl w:val="0"/>
              <w:rPr>
                <w:noProof/>
                <w:sz w:val="20"/>
                <w:szCs w:val="20"/>
              </w:rPr>
            </w:pPr>
            <w:bookmarkStart w:id="802" w:name="_Toc223980406"/>
            <w:r w:rsidRPr="007833EF">
              <w:rPr>
                <w:noProof/>
                <w:sz w:val="20"/>
                <w:szCs w:val="20"/>
              </w:rPr>
              <w:t>6.6</w:t>
            </w:r>
            <w:bookmarkEnd w:id="802"/>
          </w:p>
        </w:tc>
        <w:tc>
          <w:tcPr>
            <w:tcW w:w="828" w:type="pct"/>
            <w:tcBorders>
              <w:top w:val="nil"/>
              <w:left w:val="nil"/>
              <w:bottom w:val="single" w:sz="4" w:space="0" w:color="auto"/>
              <w:right w:val="single" w:sz="4" w:space="0" w:color="auto"/>
            </w:tcBorders>
            <w:shd w:val="clear" w:color="000000" w:fill="FFFFFF"/>
            <w:noWrap/>
            <w:hideMark/>
          </w:tcPr>
          <w:p w14:paraId="15C43D0D" w14:textId="32450B4A" w:rsidR="007833EF" w:rsidRPr="007833EF" w:rsidRDefault="007833EF" w:rsidP="007833EF">
            <w:pPr>
              <w:jc w:val="right"/>
              <w:outlineLvl w:val="0"/>
              <w:rPr>
                <w:noProof/>
                <w:sz w:val="20"/>
                <w:szCs w:val="20"/>
              </w:rPr>
            </w:pPr>
            <w:bookmarkStart w:id="803" w:name="_Toc223980407"/>
            <w:r w:rsidRPr="007833EF">
              <w:rPr>
                <w:noProof/>
                <w:sz w:val="20"/>
                <w:szCs w:val="20"/>
              </w:rPr>
              <w:t>4.5</w:t>
            </w:r>
            <w:bookmarkEnd w:id="803"/>
          </w:p>
        </w:tc>
      </w:tr>
      <w:tr w:rsidR="007833EF" w:rsidRPr="008F6B42" w14:paraId="433726CF"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1AD39EEA" w14:textId="77777777" w:rsidR="007833EF" w:rsidRPr="008F6B42" w:rsidRDefault="007833EF" w:rsidP="007833EF">
            <w:pPr>
              <w:outlineLvl w:val="0"/>
              <w:rPr>
                <w:noProof/>
                <w:sz w:val="20"/>
                <w:szCs w:val="20"/>
              </w:rPr>
            </w:pPr>
            <w:r w:rsidRPr="008F6B42">
              <w:rPr>
                <w:noProof/>
                <w:sz w:val="20"/>
                <w:szCs w:val="20"/>
              </w:rPr>
              <w:t xml:space="preserve"> </w:t>
            </w:r>
            <w:bookmarkStart w:id="804" w:name="_Toc223980408"/>
            <w:r w:rsidRPr="008F6B42">
              <w:rPr>
                <w:noProof/>
                <w:sz w:val="20"/>
                <w:szCs w:val="20"/>
              </w:rPr>
              <w:t>Lithuania</w:t>
            </w:r>
            <w:bookmarkEnd w:id="80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4384252A" w14:textId="77777777" w:rsidR="007833EF" w:rsidRPr="007833EF" w:rsidRDefault="007833EF" w:rsidP="007833EF">
            <w:pPr>
              <w:jc w:val="right"/>
              <w:outlineLvl w:val="0"/>
              <w:rPr>
                <w:noProof/>
                <w:sz w:val="20"/>
                <w:szCs w:val="20"/>
              </w:rPr>
            </w:pPr>
            <w:bookmarkStart w:id="805" w:name="_Toc223980409"/>
            <w:r w:rsidRPr="007833EF">
              <w:rPr>
                <w:noProof/>
                <w:sz w:val="20"/>
                <w:szCs w:val="20"/>
              </w:rPr>
              <w:t>0.0</w:t>
            </w:r>
            <w:bookmarkEnd w:id="805"/>
          </w:p>
        </w:tc>
        <w:tc>
          <w:tcPr>
            <w:tcW w:w="828" w:type="pct"/>
            <w:tcBorders>
              <w:top w:val="nil"/>
              <w:left w:val="nil"/>
              <w:bottom w:val="single" w:sz="4" w:space="0" w:color="auto"/>
              <w:right w:val="single" w:sz="4" w:space="0" w:color="auto"/>
            </w:tcBorders>
            <w:shd w:val="clear" w:color="000000" w:fill="FFFFFF"/>
            <w:noWrap/>
            <w:hideMark/>
          </w:tcPr>
          <w:p w14:paraId="3F9291E7" w14:textId="77777777" w:rsidR="007833EF" w:rsidRPr="007833EF" w:rsidRDefault="007833EF" w:rsidP="007833EF">
            <w:pPr>
              <w:jc w:val="right"/>
              <w:outlineLvl w:val="0"/>
              <w:rPr>
                <w:noProof/>
                <w:sz w:val="20"/>
                <w:szCs w:val="20"/>
              </w:rPr>
            </w:pPr>
            <w:bookmarkStart w:id="806" w:name="_Toc223980410"/>
            <w:r w:rsidRPr="007833EF">
              <w:rPr>
                <w:noProof/>
                <w:sz w:val="20"/>
                <w:szCs w:val="20"/>
              </w:rPr>
              <w:t>0.0</w:t>
            </w:r>
            <w:bookmarkEnd w:id="806"/>
          </w:p>
        </w:tc>
        <w:tc>
          <w:tcPr>
            <w:tcW w:w="828" w:type="pct"/>
            <w:tcBorders>
              <w:top w:val="nil"/>
              <w:left w:val="nil"/>
              <w:bottom w:val="single" w:sz="4" w:space="0" w:color="auto"/>
              <w:right w:val="single" w:sz="4" w:space="0" w:color="auto"/>
            </w:tcBorders>
            <w:shd w:val="clear" w:color="000000" w:fill="FFFFFF"/>
            <w:noWrap/>
            <w:hideMark/>
          </w:tcPr>
          <w:p w14:paraId="74F415FE" w14:textId="77777777" w:rsidR="007833EF" w:rsidRPr="007833EF" w:rsidRDefault="007833EF" w:rsidP="007833EF">
            <w:pPr>
              <w:jc w:val="right"/>
              <w:outlineLvl w:val="0"/>
              <w:rPr>
                <w:noProof/>
                <w:sz w:val="20"/>
                <w:szCs w:val="20"/>
              </w:rPr>
            </w:pPr>
            <w:bookmarkStart w:id="807" w:name="_Toc223980411"/>
            <w:r w:rsidRPr="007833EF">
              <w:rPr>
                <w:noProof/>
                <w:sz w:val="20"/>
                <w:szCs w:val="20"/>
              </w:rPr>
              <w:t>0.0</w:t>
            </w:r>
            <w:bookmarkEnd w:id="807"/>
          </w:p>
        </w:tc>
        <w:tc>
          <w:tcPr>
            <w:tcW w:w="828" w:type="pct"/>
            <w:tcBorders>
              <w:top w:val="nil"/>
              <w:left w:val="nil"/>
              <w:bottom w:val="single" w:sz="4" w:space="0" w:color="auto"/>
              <w:right w:val="single" w:sz="4" w:space="0" w:color="auto"/>
            </w:tcBorders>
            <w:shd w:val="clear" w:color="000000" w:fill="FFFFFF"/>
            <w:noWrap/>
            <w:hideMark/>
          </w:tcPr>
          <w:p w14:paraId="52FCB1A0" w14:textId="77777777" w:rsidR="007833EF" w:rsidRPr="007833EF" w:rsidRDefault="007833EF" w:rsidP="007833EF">
            <w:pPr>
              <w:jc w:val="right"/>
              <w:outlineLvl w:val="0"/>
              <w:rPr>
                <w:noProof/>
                <w:sz w:val="20"/>
                <w:szCs w:val="20"/>
              </w:rPr>
            </w:pPr>
            <w:bookmarkStart w:id="808" w:name="_Toc223980412"/>
            <w:r w:rsidRPr="007833EF">
              <w:rPr>
                <w:noProof/>
                <w:sz w:val="20"/>
                <w:szCs w:val="20"/>
              </w:rPr>
              <w:t>0.0</w:t>
            </w:r>
            <w:bookmarkEnd w:id="808"/>
          </w:p>
        </w:tc>
      </w:tr>
      <w:tr w:rsidR="007833EF" w:rsidRPr="008F6B42" w14:paraId="7BA65C5B"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35D8AB51" w14:textId="77777777" w:rsidR="007833EF" w:rsidRPr="008F6B42" w:rsidRDefault="007833EF" w:rsidP="007833EF">
            <w:pPr>
              <w:outlineLvl w:val="0"/>
              <w:rPr>
                <w:noProof/>
                <w:sz w:val="20"/>
                <w:szCs w:val="20"/>
              </w:rPr>
            </w:pPr>
            <w:r w:rsidRPr="008F6B42">
              <w:rPr>
                <w:noProof/>
                <w:sz w:val="20"/>
                <w:szCs w:val="20"/>
              </w:rPr>
              <w:t xml:space="preserve"> </w:t>
            </w:r>
            <w:bookmarkStart w:id="809" w:name="_Toc223980413"/>
            <w:r w:rsidRPr="008F6B42">
              <w:rPr>
                <w:noProof/>
                <w:sz w:val="20"/>
                <w:szCs w:val="20"/>
              </w:rPr>
              <w:t>Hungary</w:t>
            </w:r>
            <w:bookmarkEnd w:id="80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4310D47" w14:textId="308125F8" w:rsidR="007833EF" w:rsidRPr="007833EF" w:rsidRDefault="007833EF" w:rsidP="007833EF">
            <w:pPr>
              <w:jc w:val="right"/>
              <w:outlineLvl w:val="0"/>
              <w:rPr>
                <w:noProof/>
                <w:sz w:val="20"/>
                <w:szCs w:val="20"/>
              </w:rPr>
            </w:pPr>
            <w:bookmarkStart w:id="810" w:name="_Toc223980414"/>
            <w:r w:rsidRPr="007833EF">
              <w:rPr>
                <w:noProof/>
                <w:sz w:val="20"/>
                <w:szCs w:val="20"/>
              </w:rPr>
              <w:t>76.6</w:t>
            </w:r>
            <w:bookmarkEnd w:id="810"/>
          </w:p>
        </w:tc>
        <w:tc>
          <w:tcPr>
            <w:tcW w:w="828" w:type="pct"/>
            <w:tcBorders>
              <w:top w:val="nil"/>
              <w:left w:val="nil"/>
              <w:bottom w:val="single" w:sz="4" w:space="0" w:color="auto"/>
              <w:right w:val="single" w:sz="4" w:space="0" w:color="auto"/>
            </w:tcBorders>
            <w:shd w:val="clear" w:color="000000" w:fill="FFFFFF"/>
            <w:noWrap/>
            <w:hideMark/>
          </w:tcPr>
          <w:p w14:paraId="78D7483D" w14:textId="659A5FA7" w:rsidR="007833EF" w:rsidRPr="007833EF" w:rsidRDefault="007833EF" w:rsidP="007833EF">
            <w:pPr>
              <w:jc w:val="right"/>
              <w:outlineLvl w:val="0"/>
              <w:rPr>
                <w:noProof/>
                <w:sz w:val="20"/>
                <w:szCs w:val="20"/>
              </w:rPr>
            </w:pPr>
            <w:bookmarkStart w:id="811" w:name="_Toc223980415"/>
            <w:r w:rsidRPr="007833EF">
              <w:rPr>
                <w:noProof/>
                <w:sz w:val="20"/>
                <w:szCs w:val="20"/>
              </w:rPr>
              <w:t>11.8</w:t>
            </w:r>
            <w:bookmarkEnd w:id="811"/>
          </w:p>
        </w:tc>
        <w:tc>
          <w:tcPr>
            <w:tcW w:w="828" w:type="pct"/>
            <w:tcBorders>
              <w:top w:val="nil"/>
              <w:left w:val="nil"/>
              <w:bottom w:val="single" w:sz="4" w:space="0" w:color="auto"/>
              <w:right w:val="single" w:sz="4" w:space="0" w:color="auto"/>
            </w:tcBorders>
            <w:shd w:val="clear" w:color="000000" w:fill="FFFFFF"/>
            <w:noWrap/>
            <w:hideMark/>
          </w:tcPr>
          <w:p w14:paraId="75FB3821" w14:textId="6E54799C" w:rsidR="007833EF" w:rsidRPr="007833EF" w:rsidRDefault="007833EF" w:rsidP="007833EF">
            <w:pPr>
              <w:jc w:val="right"/>
              <w:outlineLvl w:val="0"/>
              <w:rPr>
                <w:noProof/>
                <w:sz w:val="20"/>
                <w:szCs w:val="20"/>
              </w:rPr>
            </w:pPr>
            <w:bookmarkStart w:id="812" w:name="_Toc223980416"/>
            <w:r w:rsidRPr="007833EF">
              <w:rPr>
                <w:noProof/>
                <w:sz w:val="20"/>
                <w:szCs w:val="20"/>
              </w:rPr>
              <w:t>19.8</w:t>
            </w:r>
            <w:bookmarkEnd w:id="812"/>
          </w:p>
        </w:tc>
        <w:tc>
          <w:tcPr>
            <w:tcW w:w="828" w:type="pct"/>
            <w:tcBorders>
              <w:top w:val="nil"/>
              <w:left w:val="nil"/>
              <w:bottom w:val="single" w:sz="4" w:space="0" w:color="auto"/>
              <w:right w:val="single" w:sz="4" w:space="0" w:color="auto"/>
            </w:tcBorders>
            <w:shd w:val="clear" w:color="000000" w:fill="FFFFFF"/>
            <w:noWrap/>
            <w:hideMark/>
          </w:tcPr>
          <w:p w14:paraId="41A54073" w14:textId="39CA3DBF" w:rsidR="007833EF" w:rsidRPr="007833EF" w:rsidRDefault="007833EF" w:rsidP="007833EF">
            <w:pPr>
              <w:jc w:val="right"/>
              <w:outlineLvl w:val="0"/>
              <w:rPr>
                <w:noProof/>
                <w:sz w:val="20"/>
                <w:szCs w:val="20"/>
              </w:rPr>
            </w:pPr>
            <w:bookmarkStart w:id="813" w:name="_Toc223980417"/>
            <w:r w:rsidRPr="007833EF">
              <w:rPr>
                <w:noProof/>
                <w:sz w:val="20"/>
                <w:szCs w:val="20"/>
              </w:rPr>
              <w:t>13.6</w:t>
            </w:r>
            <w:bookmarkEnd w:id="813"/>
          </w:p>
        </w:tc>
      </w:tr>
      <w:tr w:rsidR="007833EF" w:rsidRPr="008F6B42" w14:paraId="6990265B"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3832146F" w14:textId="77777777" w:rsidR="007833EF" w:rsidRPr="008F6B42" w:rsidRDefault="007833EF" w:rsidP="007833EF">
            <w:pPr>
              <w:outlineLvl w:val="0"/>
              <w:rPr>
                <w:noProof/>
                <w:sz w:val="20"/>
                <w:szCs w:val="20"/>
              </w:rPr>
            </w:pPr>
            <w:r w:rsidRPr="008F6B42">
              <w:rPr>
                <w:noProof/>
                <w:sz w:val="20"/>
                <w:szCs w:val="20"/>
              </w:rPr>
              <w:t xml:space="preserve"> </w:t>
            </w:r>
            <w:bookmarkStart w:id="814" w:name="_Toc223980418"/>
            <w:r w:rsidRPr="008F6B42">
              <w:rPr>
                <w:noProof/>
                <w:sz w:val="20"/>
                <w:szCs w:val="20"/>
              </w:rPr>
              <w:t>Sweden</w:t>
            </w:r>
            <w:bookmarkEnd w:id="81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7446A616" w14:textId="1EAFADC4" w:rsidR="007833EF" w:rsidRPr="007833EF" w:rsidRDefault="007833EF" w:rsidP="007833EF">
            <w:pPr>
              <w:jc w:val="right"/>
              <w:outlineLvl w:val="0"/>
              <w:rPr>
                <w:noProof/>
                <w:sz w:val="20"/>
                <w:szCs w:val="20"/>
              </w:rPr>
            </w:pPr>
            <w:bookmarkStart w:id="815" w:name="_Toc223980419"/>
            <w:r w:rsidRPr="007833EF">
              <w:rPr>
                <w:noProof/>
                <w:sz w:val="20"/>
                <w:szCs w:val="20"/>
              </w:rPr>
              <w:t>51.1</w:t>
            </w:r>
            <w:bookmarkEnd w:id="815"/>
          </w:p>
        </w:tc>
        <w:tc>
          <w:tcPr>
            <w:tcW w:w="828" w:type="pct"/>
            <w:tcBorders>
              <w:top w:val="nil"/>
              <w:left w:val="nil"/>
              <w:bottom w:val="single" w:sz="4" w:space="0" w:color="auto"/>
              <w:right w:val="single" w:sz="4" w:space="0" w:color="auto"/>
            </w:tcBorders>
            <w:shd w:val="clear" w:color="000000" w:fill="FFFFFF"/>
            <w:noWrap/>
            <w:hideMark/>
          </w:tcPr>
          <w:p w14:paraId="555E89EF" w14:textId="54AA08D3" w:rsidR="007833EF" w:rsidRPr="007833EF" w:rsidRDefault="007833EF" w:rsidP="007833EF">
            <w:pPr>
              <w:jc w:val="right"/>
              <w:outlineLvl w:val="0"/>
              <w:rPr>
                <w:noProof/>
                <w:sz w:val="20"/>
                <w:szCs w:val="20"/>
              </w:rPr>
            </w:pPr>
            <w:bookmarkStart w:id="816" w:name="_Toc223980420"/>
            <w:r w:rsidRPr="007833EF">
              <w:rPr>
                <w:noProof/>
                <w:sz w:val="20"/>
                <w:szCs w:val="20"/>
              </w:rPr>
              <w:t>7.9</w:t>
            </w:r>
            <w:bookmarkEnd w:id="816"/>
          </w:p>
        </w:tc>
        <w:tc>
          <w:tcPr>
            <w:tcW w:w="828" w:type="pct"/>
            <w:tcBorders>
              <w:top w:val="nil"/>
              <w:left w:val="nil"/>
              <w:bottom w:val="single" w:sz="4" w:space="0" w:color="auto"/>
              <w:right w:val="single" w:sz="4" w:space="0" w:color="auto"/>
            </w:tcBorders>
            <w:shd w:val="clear" w:color="000000" w:fill="FFFFFF"/>
            <w:noWrap/>
            <w:hideMark/>
          </w:tcPr>
          <w:p w14:paraId="26DE7E0D" w14:textId="1A217194" w:rsidR="007833EF" w:rsidRPr="007833EF" w:rsidRDefault="007833EF" w:rsidP="007833EF">
            <w:pPr>
              <w:jc w:val="right"/>
              <w:outlineLvl w:val="0"/>
              <w:rPr>
                <w:noProof/>
                <w:sz w:val="20"/>
                <w:szCs w:val="20"/>
              </w:rPr>
            </w:pPr>
            <w:bookmarkStart w:id="817" w:name="_Toc223980421"/>
            <w:r w:rsidRPr="007833EF">
              <w:rPr>
                <w:noProof/>
                <w:sz w:val="20"/>
                <w:szCs w:val="20"/>
              </w:rPr>
              <w:t>13.2</w:t>
            </w:r>
            <w:bookmarkEnd w:id="817"/>
          </w:p>
        </w:tc>
        <w:tc>
          <w:tcPr>
            <w:tcW w:w="828" w:type="pct"/>
            <w:tcBorders>
              <w:top w:val="nil"/>
              <w:left w:val="nil"/>
              <w:bottom w:val="single" w:sz="4" w:space="0" w:color="auto"/>
              <w:right w:val="single" w:sz="4" w:space="0" w:color="auto"/>
            </w:tcBorders>
            <w:shd w:val="clear" w:color="000000" w:fill="FFFFFF"/>
            <w:noWrap/>
            <w:hideMark/>
          </w:tcPr>
          <w:p w14:paraId="40968599" w14:textId="100EF5F6" w:rsidR="007833EF" w:rsidRPr="007833EF" w:rsidRDefault="007833EF" w:rsidP="007833EF">
            <w:pPr>
              <w:jc w:val="right"/>
              <w:outlineLvl w:val="0"/>
              <w:rPr>
                <w:noProof/>
                <w:sz w:val="20"/>
                <w:szCs w:val="20"/>
              </w:rPr>
            </w:pPr>
            <w:bookmarkStart w:id="818" w:name="_Toc223980422"/>
            <w:r w:rsidRPr="007833EF">
              <w:rPr>
                <w:noProof/>
                <w:sz w:val="20"/>
                <w:szCs w:val="20"/>
              </w:rPr>
              <w:t>9.1</w:t>
            </w:r>
            <w:bookmarkEnd w:id="818"/>
          </w:p>
        </w:tc>
      </w:tr>
      <w:tr w:rsidR="007833EF" w:rsidRPr="008F6B42" w14:paraId="3BECC786"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5A1C60DA" w14:textId="34442067" w:rsidR="007833EF" w:rsidRPr="008F6B42" w:rsidRDefault="007833EF" w:rsidP="007833EF">
            <w:pPr>
              <w:outlineLvl w:val="0"/>
              <w:rPr>
                <w:noProof/>
                <w:sz w:val="20"/>
                <w:szCs w:val="20"/>
              </w:rPr>
            </w:pPr>
            <w:r w:rsidRPr="008F6B42">
              <w:rPr>
                <w:noProof/>
                <w:sz w:val="20"/>
                <w:szCs w:val="20"/>
              </w:rPr>
              <w:t xml:space="preserve"> </w:t>
            </w:r>
            <w:bookmarkStart w:id="819" w:name="_Toc223980423"/>
            <w:r w:rsidRPr="008F6B42">
              <w:rPr>
                <w:noProof/>
                <w:sz w:val="20"/>
                <w:szCs w:val="20"/>
              </w:rPr>
              <w:t>Czechia</w:t>
            </w:r>
            <w:bookmarkEnd w:id="819"/>
          </w:p>
        </w:tc>
        <w:tc>
          <w:tcPr>
            <w:tcW w:w="828" w:type="pct"/>
            <w:tcBorders>
              <w:top w:val="nil"/>
              <w:left w:val="nil"/>
              <w:bottom w:val="single" w:sz="4" w:space="0" w:color="auto"/>
              <w:right w:val="single" w:sz="4" w:space="0" w:color="auto"/>
            </w:tcBorders>
            <w:shd w:val="clear" w:color="000000" w:fill="FFFFFF"/>
            <w:noWrap/>
            <w:hideMark/>
          </w:tcPr>
          <w:p w14:paraId="0DBC6556" w14:textId="28FEA4E0" w:rsidR="007833EF" w:rsidRPr="007833EF" w:rsidRDefault="007833EF" w:rsidP="007833EF">
            <w:pPr>
              <w:jc w:val="right"/>
              <w:outlineLvl w:val="0"/>
              <w:rPr>
                <w:noProof/>
                <w:sz w:val="20"/>
                <w:szCs w:val="20"/>
              </w:rPr>
            </w:pPr>
            <w:bookmarkStart w:id="820" w:name="_Toc223980424"/>
            <w:r w:rsidRPr="007833EF">
              <w:rPr>
                <w:noProof/>
                <w:sz w:val="20"/>
                <w:szCs w:val="20"/>
              </w:rPr>
              <w:t>76.6</w:t>
            </w:r>
            <w:bookmarkEnd w:id="820"/>
          </w:p>
        </w:tc>
        <w:tc>
          <w:tcPr>
            <w:tcW w:w="828" w:type="pct"/>
            <w:tcBorders>
              <w:top w:val="nil"/>
              <w:left w:val="nil"/>
              <w:bottom w:val="single" w:sz="4" w:space="0" w:color="auto"/>
              <w:right w:val="single" w:sz="4" w:space="0" w:color="auto"/>
            </w:tcBorders>
            <w:shd w:val="clear" w:color="000000" w:fill="FFFFFF"/>
            <w:noWrap/>
            <w:hideMark/>
          </w:tcPr>
          <w:p w14:paraId="0F885B6D" w14:textId="4C07FC4B" w:rsidR="007833EF" w:rsidRPr="007833EF" w:rsidRDefault="007833EF" w:rsidP="007833EF">
            <w:pPr>
              <w:jc w:val="right"/>
              <w:outlineLvl w:val="0"/>
              <w:rPr>
                <w:noProof/>
                <w:sz w:val="20"/>
                <w:szCs w:val="20"/>
              </w:rPr>
            </w:pPr>
            <w:bookmarkStart w:id="821" w:name="_Toc223980425"/>
            <w:r w:rsidRPr="007833EF">
              <w:rPr>
                <w:noProof/>
                <w:sz w:val="20"/>
                <w:szCs w:val="20"/>
              </w:rPr>
              <w:t>11.8</w:t>
            </w:r>
            <w:bookmarkEnd w:id="821"/>
          </w:p>
        </w:tc>
        <w:tc>
          <w:tcPr>
            <w:tcW w:w="828" w:type="pct"/>
            <w:tcBorders>
              <w:top w:val="nil"/>
              <w:left w:val="nil"/>
              <w:bottom w:val="single" w:sz="4" w:space="0" w:color="auto"/>
              <w:right w:val="single" w:sz="4" w:space="0" w:color="auto"/>
            </w:tcBorders>
            <w:shd w:val="clear" w:color="000000" w:fill="FFFFFF"/>
            <w:noWrap/>
            <w:hideMark/>
          </w:tcPr>
          <w:p w14:paraId="7D282D80" w14:textId="696697B2" w:rsidR="007833EF" w:rsidRPr="007833EF" w:rsidRDefault="007833EF" w:rsidP="007833EF">
            <w:pPr>
              <w:jc w:val="right"/>
              <w:outlineLvl w:val="0"/>
              <w:rPr>
                <w:noProof/>
                <w:sz w:val="20"/>
                <w:szCs w:val="20"/>
              </w:rPr>
            </w:pPr>
            <w:bookmarkStart w:id="822" w:name="_Toc223980426"/>
            <w:r w:rsidRPr="007833EF">
              <w:rPr>
                <w:noProof/>
                <w:sz w:val="20"/>
                <w:szCs w:val="20"/>
              </w:rPr>
              <w:t>19.8</w:t>
            </w:r>
            <w:bookmarkEnd w:id="822"/>
          </w:p>
        </w:tc>
        <w:tc>
          <w:tcPr>
            <w:tcW w:w="828" w:type="pct"/>
            <w:tcBorders>
              <w:top w:val="nil"/>
              <w:left w:val="nil"/>
              <w:bottom w:val="single" w:sz="4" w:space="0" w:color="auto"/>
              <w:right w:val="single" w:sz="4" w:space="0" w:color="auto"/>
            </w:tcBorders>
            <w:shd w:val="clear" w:color="000000" w:fill="FFFFFF"/>
            <w:noWrap/>
            <w:hideMark/>
          </w:tcPr>
          <w:p w14:paraId="09667D97" w14:textId="1FD66853" w:rsidR="007833EF" w:rsidRPr="007833EF" w:rsidRDefault="007833EF" w:rsidP="007833EF">
            <w:pPr>
              <w:jc w:val="right"/>
              <w:outlineLvl w:val="0"/>
              <w:rPr>
                <w:noProof/>
                <w:sz w:val="20"/>
                <w:szCs w:val="20"/>
              </w:rPr>
            </w:pPr>
            <w:bookmarkStart w:id="823" w:name="_Toc223980427"/>
            <w:r w:rsidRPr="007833EF">
              <w:rPr>
                <w:noProof/>
                <w:sz w:val="20"/>
                <w:szCs w:val="20"/>
              </w:rPr>
              <w:t>13.6</w:t>
            </w:r>
            <w:bookmarkEnd w:id="823"/>
          </w:p>
        </w:tc>
      </w:tr>
      <w:tr w:rsidR="007833EF" w:rsidRPr="008F6B42" w14:paraId="5BF5AA8D"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05AF25F7" w14:textId="77777777" w:rsidR="007833EF" w:rsidRPr="008F6B42" w:rsidRDefault="007833EF" w:rsidP="007833EF">
            <w:pPr>
              <w:outlineLvl w:val="0"/>
              <w:rPr>
                <w:noProof/>
                <w:sz w:val="20"/>
                <w:szCs w:val="20"/>
              </w:rPr>
            </w:pPr>
            <w:r w:rsidRPr="008F6B42">
              <w:rPr>
                <w:noProof/>
                <w:sz w:val="20"/>
                <w:szCs w:val="20"/>
              </w:rPr>
              <w:t xml:space="preserve"> </w:t>
            </w:r>
            <w:bookmarkStart w:id="824" w:name="_Toc223980428"/>
            <w:r w:rsidRPr="008F6B42">
              <w:rPr>
                <w:noProof/>
                <w:sz w:val="20"/>
                <w:szCs w:val="20"/>
              </w:rPr>
              <w:t>Ireland</w:t>
            </w:r>
            <w:bookmarkEnd w:id="82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B5036BE" w14:textId="7F6CF7C3" w:rsidR="007833EF" w:rsidRPr="007833EF" w:rsidRDefault="007833EF" w:rsidP="007833EF">
            <w:pPr>
              <w:jc w:val="right"/>
              <w:outlineLvl w:val="0"/>
              <w:rPr>
                <w:noProof/>
                <w:sz w:val="20"/>
                <w:szCs w:val="20"/>
              </w:rPr>
            </w:pPr>
            <w:bookmarkStart w:id="825" w:name="_Toc223980429"/>
            <w:r w:rsidRPr="007833EF">
              <w:rPr>
                <w:noProof/>
                <w:sz w:val="20"/>
                <w:szCs w:val="20"/>
              </w:rPr>
              <w:t>51.1</w:t>
            </w:r>
            <w:bookmarkEnd w:id="825"/>
          </w:p>
        </w:tc>
        <w:tc>
          <w:tcPr>
            <w:tcW w:w="828" w:type="pct"/>
            <w:tcBorders>
              <w:top w:val="nil"/>
              <w:left w:val="nil"/>
              <w:bottom w:val="single" w:sz="4" w:space="0" w:color="auto"/>
              <w:right w:val="single" w:sz="4" w:space="0" w:color="auto"/>
            </w:tcBorders>
            <w:shd w:val="clear" w:color="000000" w:fill="FFFFFF"/>
            <w:noWrap/>
            <w:hideMark/>
          </w:tcPr>
          <w:p w14:paraId="3F50F1D6" w14:textId="1269FC36" w:rsidR="007833EF" w:rsidRPr="007833EF" w:rsidRDefault="007833EF" w:rsidP="007833EF">
            <w:pPr>
              <w:jc w:val="right"/>
              <w:outlineLvl w:val="0"/>
              <w:rPr>
                <w:noProof/>
                <w:sz w:val="20"/>
                <w:szCs w:val="20"/>
              </w:rPr>
            </w:pPr>
            <w:bookmarkStart w:id="826" w:name="_Toc223980430"/>
            <w:r w:rsidRPr="007833EF">
              <w:rPr>
                <w:noProof/>
                <w:sz w:val="20"/>
                <w:szCs w:val="20"/>
              </w:rPr>
              <w:t>7.9</w:t>
            </w:r>
            <w:bookmarkEnd w:id="826"/>
          </w:p>
        </w:tc>
        <w:tc>
          <w:tcPr>
            <w:tcW w:w="828" w:type="pct"/>
            <w:tcBorders>
              <w:top w:val="nil"/>
              <w:left w:val="nil"/>
              <w:bottom w:val="single" w:sz="4" w:space="0" w:color="auto"/>
              <w:right w:val="single" w:sz="4" w:space="0" w:color="auto"/>
            </w:tcBorders>
            <w:shd w:val="clear" w:color="000000" w:fill="FFFFFF"/>
            <w:noWrap/>
            <w:hideMark/>
          </w:tcPr>
          <w:p w14:paraId="1F5A7E47" w14:textId="06FD6D93" w:rsidR="007833EF" w:rsidRPr="007833EF" w:rsidRDefault="007833EF" w:rsidP="007833EF">
            <w:pPr>
              <w:jc w:val="right"/>
              <w:outlineLvl w:val="0"/>
              <w:rPr>
                <w:noProof/>
                <w:sz w:val="20"/>
                <w:szCs w:val="20"/>
              </w:rPr>
            </w:pPr>
            <w:bookmarkStart w:id="827" w:name="_Toc223980431"/>
            <w:r w:rsidRPr="007833EF">
              <w:rPr>
                <w:noProof/>
                <w:sz w:val="20"/>
                <w:szCs w:val="20"/>
              </w:rPr>
              <w:t>13.2</w:t>
            </w:r>
            <w:bookmarkEnd w:id="827"/>
          </w:p>
        </w:tc>
        <w:tc>
          <w:tcPr>
            <w:tcW w:w="828" w:type="pct"/>
            <w:tcBorders>
              <w:top w:val="nil"/>
              <w:left w:val="nil"/>
              <w:bottom w:val="single" w:sz="4" w:space="0" w:color="auto"/>
              <w:right w:val="single" w:sz="4" w:space="0" w:color="auto"/>
            </w:tcBorders>
            <w:shd w:val="clear" w:color="000000" w:fill="FFFFFF"/>
            <w:noWrap/>
            <w:hideMark/>
          </w:tcPr>
          <w:p w14:paraId="6DAB33F8" w14:textId="43615E98" w:rsidR="007833EF" w:rsidRPr="007833EF" w:rsidRDefault="007833EF" w:rsidP="007833EF">
            <w:pPr>
              <w:jc w:val="right"/>
              <w:outlineLvl w:val="0"/>
              <w:rPr>
                <w:noProof/>
                <w:sz w:val="20"/>
                <w:szCs w:val="20"/>
              </w:rPr>
            </w:pPr>
            <w:bookmarkStart w:id="828" w:name="_Toc223980432"/>
            <w:r w:rsidRPr="007833EF">
              <w:rPr>
                <w:noProof/>
                <w:sz w:val="20"/>
                <w:szCs w:val="20"/>
              </w:rPr>
              <w:t>9.1</w:t>
            </w:r>
            <w:bookmarkEnd w:id="828"/>
          </w:p>
        </w:tc>
      </w:tr>
      <w:tr w:rsidR="007833EF" w:rsidRPr="008F6B42" w14:paraId="64BC3790"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7A9CCDFE" w14:textId="77777777" w:rsidR="007833EF" w:rsidRPr="008F6B42" w:rsidRDefault="007833EF" w:rsidP="007833EF">
            <w:pPr>
              <w:outlineLvl w:val="0"/>
              <w:rPr>
                <w:noProof/>
                <w:sz w:val="20"/>
                <w:szCs w:val="20"/>
              </w:rPr>
            </w:pPr>
            <w:r w:rsidRPr="008F6B42">
              <w:rPr>
                <w:noProof/>
                <w:sz w:val="20"/>
                <w:szCs w:val="20"/>
              </w:rPr>
              <w:t xml:space="preserve"> </w:t>
            </w:r>
            <w:bookmarkStart w:id="829" w:name="_Toc223980433"/>
            <w:r w:rsidRPr="008F6B42">
              <w:rPr>
                <w:noProof/>
                <w:sz w:val="20"/>
                <w:szCs w:val="20"/>
              </w:rPr>
              <w:t>Slovenia</w:t>
            </w:r>
            <w:bookmarkEnd w:id="82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6C978341" w14:textId="77777777" w:rsidR="007833EF" w:rsidRPr="007833EF" w:rsidRDefault="007833EF" w:rsidP="007833EF">
            <w:pPr>
              <w:jc w:val="right"/>
              <w:outlineLvl w:val="0"/>
              <w:rPr>
                <w:noProof/>
                <w:sz w:val="20"/>
                <w:szCs w:val="20"/>
              </w:rPr>
            </w:pPr>
            <w:bookmarkStart w:id="830" w:name="_Toc223980434"/>
            <w:r w:rsidRPr="007833EF">
              <w:rPr>
                <w:noProof/>
                <w:sz w:val="20"/>
                <w:szCs w:val="20"/>
              </w:rPr>
              <w:t>0.0</w:t>
            </w:r>
            <w:bookmarkEnd w:id="830"/>
          </w:p>
        </w:tc>
        <w:tc>
          <w:tcPr>
            <w:tcW w:w="828" w:type="pct"/>
            <w:tcBorders>
              <w:top w:val="nil"/>
              <w:left w:val="nil"/>
              <w:bottom w:val="single" w:sz="4" w:space="0" w:color="auto"/>
              <w:right w:val="single" w:sz="4" w:space="0" w:color="auto"/>
            </w:tcBorders>
            <w:shd w:val="clear" w:color="000000" w:fill="FFFFFF"/>
            <w:noWrap/>
            <w:hideMark/>
          </w:tcPr>
          <w:p w14:paraId="0B9349BB" w14:textId="77777777" w:rsidR="007833EF" w:rsidRPr="007833EF" w:rsidRDefault="007833EF" w:rsidP="007833EF">
            <w:pPr>
              <w:jc w:val="right"/>
              <w:outlineLvl w:val="0"/>
              <w:rPr>
                <w:noProof/>
                <w:sz w:val="20"/>
                <w:szCs w:val="20"/>
              </w:rPr>
            </w:pPr>
            <w:bookmarkStart w:id="831" w:name="_Toc223980435"/>
            <w:r w:rsidRPr="007833EF">
              <w:rPr>
                <w:noProof/>
                <w:sz w:val="20"/>
                <w:szCs w:val="20"/>
              </w:rPr>
              <w:t>0.0</w:t>
            </w:r>
            <w:bookmarkEnd w:id="831"/>
          </w:p>
        </w:tc>
        <w:tc>
          <w:tcPr>
            <w:tcW w:w="828" w:type="pct"/>
            <w:tcBorders>
              <w:top w:val="nil"/>
              <w:left w:val="nil"/>
              <w:bottom w:val="single" w:sz="4" w:space="0" w:color="auto"/>
              <w:right w:val="single" w:sz="4" w:space="0" w:color="auto"/>
            </w:tcBorders>
            <w:shd w:val="clear" w:color="000000" w:fill="FFFFFF"/>
            <w:noWrap/>
            <w:hideMark/>
          </w:tcPr>
          <w:p w14:paraId="2C803AD0" w14:textId="77777777" w:rsidR="007833EF" w:rsidRPr="007833EF" w:rsidRDefault="007833EF" w:rsidP="007833EF">
            <w:pPr>
              <w:jc w:val="right"/>
              <w:outlineLvl w:val="0"/>
              <w:rPr>
                <w:noProof/>
                <w:sz w:val="20"/>
                <w:szCs w:val="20"/>
              </w:rPr>
            </w:pPr>
            <w:bookmarkStart w:id="832" w:name="_Toc223980436"/>
            <w:r w:rsidRPr="007833EF">
              <w:rPr>
                <w:noProof/>
                <w:sz w:val="20"/>
                <w:szCs w:val="20"/>
              </w:rPr>
              <w:t>0.0</w:t>
            </w:r>
            <w:bookmarkEnd w:id="832"/>
          </w:p>
        </w:tc>
        <w:tc>
          <w:tcPr>
            <w:tcW w:w="828" w:type="pct"/>
            <w:tcBorders>
              <w:top w:val="nil"/>
              <w:left w:val="nil"/>
              <w:bottom w:val="single" w:sz="4" w:space="0" w:color="auto"/>
              <w:right w:val="single" w:sz="4" w:space="0" w:color="auto"/>
            </w:tcBorders>
            <w:shd w:val="clear" w:color="000000" w:fill="FFFFFF"/>
            <w:noWrap/>
            <w:hideMark/>
          </w:tcPr>
          <w:p w14:paraId="4E5D1A06" w14:textId="77777777" w:rsidR="007833EF" w:rsidRPr="007833EF" w:rsidRDefault="007833EF" w:rsidP="007833EF">
            <w:pPr>
              <w:jc w:val="right"/>
              <w:outlineLvl w:val="0"/>
              <w:rPr>
                <w:noProof/>
                <w:sz w:val="20"/>
                <w:szCs w:val="20"/>
              </w:rPr>
            </w:pPr>
            <w:bookmarkStart w:id="833" w:name="_Toc223980437"/>
            <w:r w:rsidRPr="007833EF">
              <w:rPr>
                <w:noProof/>
                <w:sz w:val="20"/>
                <w:szCs w:val="20"/>
              </w:rPr>
              <w:t>0.0</w:t>
            </w:r>
            <w:bookmarkEnd w:id="833"/>
          </w:p>
        </w:tc>
      </w:tr>
      <w:tr w:rsidR="007833EF" w:rsidRPr="008F6B42" w14:paraId="77708629"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3AC71EC" w14:textId="77777777" w:rsidR="007833EF" w:rsidRPr="008F6B42" w:rsidRDefault="007833EF" w:rsidP="007833EF">
            <w:pPr>
              <w:outlineLvl w:val="0"/>
              <w:rPr>
                <w:noProof/>
                <w:sz w:val="20"/>
                <w:szCs w:val="20"/>
              </w:rPr>
            </w:pPr>
            <w:r w:rsidRPr="008F6B42">
              <w:rPr>
                <w:noProof/>
                <w:sz w:val="20"/>
                <w:szCs w:val="20"/>
              </w:rPr>
              <w:t xml:space="preserve"> </w:t>
            </w:r>
            <w:bookmarkStart w:id="834" w:name="_Toc223980438"/>
            <w:r w:rsidRPr="008F6B42">
              <w:rPr>
                <w:noProof/>
                <w:sz w:val="20"/>
                <w:szCs w:val="20"/>
              </w:rPr>
              <w:t>Latvia</w:t>
            </w:r>
            <w:bookmarkEnd w:id="83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99B1FB6" w14:textId="77777777" w:rsidR="007833EF" w:rsidRPr="007833EF" w:rsidRDefault="007833EF" w:rsidP="007833EF">
            <w:pPr>
              <w:jc w:val="right"/>
              <w:outlineLvl w:val="0"/>
              <w:rPr>
                <w:noProof/>
                <w:sz w:val="20"/>
                <w:szCs w:val="20"/>
              </w:rPr>
            </w:pPr>
            <w:bookmarkStart w:id="835" w:name="_Toc223980439"/>
            <w:r w:rsidRPr="007833EF">
              <w:rPr>
                <w:noProof/>
                <w:sz w:val="20"/>
                <w:szCs w:val="20"/>
              </w:rPr>
              <w:t>0.0</w:t>
            </w:r>
            <w:bookmarkEnd w:id="835"/>
          </w:p>
        </w:tc>
        <w:tc>
          <w:tcPr>
            <w:tcW w:w="828" w:type="pct"/>
            <w:tcBorders>
              <w:top w:val="nil"/>
              <w:left w:val="nil"/>
              <w:bottom w:val="single" w:sz="4" w:space="0" w:color="auto"/>
              <w:right w:val="single" w:sz="4" w:space="0" w:color="auto"/>
            </w:tcBorders>
            <w:shd w:val="clear" w:color="000000" w:fill="FFFFFF"/>
            <w:noWrap/>
            <w:hideMark/>
          </w:tcPr>
          <w:p w14:paraId="3F1C4CB4" w14:textId="77777777" w:rsidR="007833EF" w:rsidRPr="007833EF" w:rsidRDefault="007833EF" w:rsidP="007833EF">
            <w:pPr>
              <w:jc w:val="right"/>
              <w:outlineLvl w:val="0"/>
              <w:rPr>
                <w:noProof/>
                <w:sz w:val="20"/>
                <w:szCs w:val="20"/>
              </w:rPr>
            </w:pPr>
            <w:bookmarkStart w:id="836" w:name="_Toc223980440"/>
            <w:r w:rsidRPr="007833EF">
              <w:rPr>
                <w:noProof/>
                <w:sz w:val="20"/>
                <w:szCs w:val="20"/>
              </w:rPr>
              <w:t>0.0</w:t>
            </w:r>
            <w:bookmarkEnd w:id="836"/>
          </w:p>
        </w:tc>
        <w:tc>
          <w:tcPr>
            <w:tcW w:w="828" w:type="pct"/>
            <w:tcBorders>
              <w:top w:val="nil"/>
              <w:left w:val="nil"/>
              <w:bottom w:val="single" w:sz="4" w:space="0" w:color="auto"/>
              <w:right w:val="single" w:sz="4" w:space="0" w:color="auto"/>
            </w:tcBorders>
            <w:shd w:val="clear" w:color="000000" w:fill="FFFFFF"/>
            <w:noWrap/>
            <w:hideMark/>
          </w:tcPr>
          <w:p w14:paraId="3BB76916" w14:textId="77777777" w:rsidR="007833EF" w:rsidRPr="007833EF" w:rsidRDefault="007833EF" w:rsidP="007833EF">
            <w:pPr>
              <w:jc w:val="right"/>
              <w:outlineLvl w:val="0"/>
              <w:rPr>
                <w:noProof/>
                <w:sz w:val="20"/>
                <w:szCs w:val="20"/>
              </w:rPr>
            </w:pPr>
            <w:bookmarkStart w:id="837" w:name="_Toc223980441"/>
            <w:r w:rsidRPr="007833EF">
              <w:rPr>
                <w:noProof/>
                <w:sz w:val="20"/>
                <w:szCs w:val="20"/>
              </w:rPr>
              <w:t>0.0</w:t>
            </w:r>
            <w:bookmarkEnd w:id="837"/>
          </w:p>
        </w:tc>
        <w:tc>
          <w:tcPr>
            <w:tcW w:w="828" w:type="pct"/>
            <w:tcBorders>
              <w:top w:val="nil"/>
              <w:left w:val="nil"/>
              <w:bottom w:val="single" w:sz="4" w:space="0" w:color="auto"/>
              <w:right w:val="single" w:sz="4" w:space="0" w:color="auto"/>
            </w:tcBorders>
            <w:shd w:val="clear" w:color="000000" w:fill="FFFFFF"/>
            <w:noWrap/>
            <w:hideMark/>
          </w:tcPr>
          <w:p w14:paraId="064746B7" w14:textId="77777777" w:rsidR="007833EF" w:rsidRPr="007833EF" w:rsidRDefault="007833EF" w:rsidP="007833EF">
            <w:pPr>
              <w:jc w:val="right"/>
              <w:outlineLvl w:val="0"/>
              <w:rPr>
                <w:noProof/>
                <w:sz w:val="20"/>
                <w:szCs w:val="20"/>
              </w:rPr>
            </w:pPr>
            <w:bookmarkStart w:id="838" w:name="_Toc223980442"/>
            <w:r w:rsidRPr="007833EF">
              <w:rPr>
                <w:noProof/>
                <w:sz w:val="20"/>
                <w:szCs w:val="20"/>
              </w:rPr>
              <w:t>0.0</w:t>
            </w:r>
            <w:bookmarkEnd w:id="838"/>
          </w:p>
        </w:tc>
      </w:tr>
      <w:tr w:rsidR="007833EF" w:rsidRPr="008F6B42" w14:paraId="524493D8"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32D7CF20" w14:textId="77777777" w:rsidR="007833EF" w:rsidRPr="008F6B42" w:rsidRDefault="007833EF" w:rsidP="007833EF">
            <w:pPr>
              <w:outlineLvl w:val="0"/>
              <w:rPr>
                <w:noProof/>
                <w:sz w:val="20"/>
                <w:szCs w:val="20"/>
              </w:rPr>
            </w:pPr>
            <w:r w:rsidRPr="008F6B42">
              <w:rPr>
                <w:noProof/>
                <w:sz w:val="20"/>
                <w:szCs w:val="20"/>
              </w:rPr>
              <w:t xml:space="preserve"> </w:t>
            </w:r>
            <w:bookmarkStart w:id="839" w:name="_Toc223980443"/>
            <w:r w:rsidRPr="008F6B42">
              <w:rPr>
                <w:noProof/>
                <w:sz w:val="20"/>
                <w:szCs w:val="20"/>
              </w:rPr>
              <w:t>Romania</w:t>
            </w:r>
            <w:bookmarkEnd w:id="83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C31DEC3" w14:textId="77777777" w:rsidR="007833EF" w:rsidRPr="007833EF" w:rsidRDefault="007833EF" w:rsidP="007833EF">
            <w:pPr>
              <w:jc w:val="right"/>
              <w:outlineLvl w:val="0"/>
              <w:rPr>
                <w:noProof/>
                <w:sz w:val="20"/>
                <w:szCs w:val="20"/>
              </w:rPr>
            </w:pPr>
            <w:bookmarkStart w:id="840" w:name="_Toc223980444"/>
            <w:r w:rsidRPr="007833EF">
              <w:rPr>
                <w:noProof/>
                <w:sz w:val="20"/>
                <w:szCs w:val="20"/>
              </w:rPr>
              <w:t>0.0</w:t>
            </w:r>
            <w:bookmarkEnd w:id="840"/>
          </w:p>
        </w:tc>
        <w:tc>
          <w:tcPr>
            <w:tcW w:w="828" w:type="pct"/>
            <w:tcBorders>
              <w:top w:val="nil"/>
              <w:left w:val="nil"/>
              <w:bottom w:val="single" w:sz="4" w:space="0" w:color="auto"/>
              <w:right w:val="single" w:sz="4" w:space="0" w:color="auto"/>
            </w:tcBorders>
            <w:shd w:val="clear" w:color="000000" w:fill="FFFFFF"/>
            <w:noWrap/>
            <w:hideMark/>
          </w:tcPr>
          <w:p w14:paraId="403B940A" w14:textId="77777777" w:rsidR="007833EF" w:rsidRPr="007833EF" w:rsidRDefault="007833EF" w:rsidP="007833EF">
            <w:pPr>
              <w:jc w:val="right"/>
              <w:outlineLvl w:val="0"/>
              <w:rPr>
                <w:noProof/>
                <w:sz w:val="20"/>
                <w:szCs w:val="20"/>
              </w:rPr>
            </w:pPr>
            <w:bookmarkStart w:id="841" w:name="_Toc223980445"/>
            <w:r w:rsidRPr="007833EF">
              <w:rPr>
                <w:noProof/>
                <w:sz w:val="20"/>
                <w:szCs w:val="20"/>
              </w:rPr>
              <w:t>0.0</w:t>
            </w:r>
            <w:bookmarkEnd w:id="841"/>
          </w:p>
        </w:tc>
        <w:tc>
          <w:tcPr>
            <w:tcW w:w="828" w:type="pct"/>
            <w:tcBorders>
              <w:top w:val="nil"/>
              <w:left w:val="nil"/>
              <w:bottom w:val="single" w:sz="4" w:space="0" w:color="auto"/>
              <w:right w:val="single" w:sz="4" w:space="0" w:color="auto"/>
            </w:tcBorders>
            <w:shd w:val="clear" w:color="000000" w:fill="FFFFFF"/>
            <w:noWrap/>
            <w:hideMark/>
          </w:tcPr>
          <w:p w14:paraId="48AB1C1F" w14:textId="77777777" w:rsidR="007833EF" w:rsidRPr="007833EF" w:rsidRDefault="007833EF" w:rsidP="007833EF">
            <w:pPr>
              <w:jc w:val="right"/>
              <w:outlineLvl w:val="0"/>
              <w:rPr>
                <w:noProof/>
                <w:sz w:val="20"/>
                <w:szCs w:val="20"/>
              </w:rPr>
            </w:pPr>
            <w:bookmarkStart w:id="842" w:name="_Toc223980446"/>
            <w:r w:rsidRPr="007833EF">
              <w:rPr>
                <w:noProof/>
                <w:sz w:val="20"/>
                <w:szCs w:val="20"/>
              </w:rPr>
              <w:t>0.0</w:t>
            </w:r>
            <w:bookmarkEnd w:id="842"/>
          </w:p>
        </w:tc>
        <w:tc>
          <w:tcPr>
            <w:tcW w:w="828" w:type="pct"/>
            <w:tcBorders>
              <w:top w:val="nil"/>
              <w:left w:val="nil"/>
              <w:bottom w:val="single" w:sz="4" w:space="0" w:color="auto"/>
              <w:right w:val="single" w:sz="4" w:space="0" w:color="auto"/>
            </w:tcBorders>
            <w:shd w:val="clear" w:color="000000" w:fill="FFFFFF"/>
            <w:noWrap/>
            <w:hideMark/>
          </w:tcPr>
          <w:p w14:paraId="6762BEF4" w14:textId="77777777" w:rsidR="007833EF" w:rsidRPr="007833EF" w:rsidRDefault="007833EF" w:rsidP="007833EF">
            <w:pPr>
              <w:jc w:val="right"/>
              <w:outlineLvl w:val="0"/>
              <w:rPr>
                <w:noProof/>
                <w:sz w:val="20"/>
                <w:szCs w:val="20"/>
              </w:rPr>
            </w:pPr>
            <w:bookmarkStart w:id="843" w:name="_Toc223980447"/>
            <w:r w:rsidRPr="007833EF">
              <w:rPr>
                <w:noProof/>
                <w:sz w:val="20"/>
                <w:szCs w:val="20"/>
              </w:rPr>
              <w:t>0.0</w:t>
            </w:r>
            <w:bookmarkEnd w:id="843"/>
          </w:p>
        </w:tc>
      </w:tr>
      <w:tr w:rsidR="007833EF" w:rsidRPr="008F6B42" w14:paraId="32121D08"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BE8B351" w14:textId="77777777" w:rsidR="007833EF" w:rsidRPr="008F6B42" w:rsidRDefault="007833EF" w:rsidP="007833EF">
            <w:pPr>
              <w:outlineLvl w:val="0"/>
              <w:rPr>
                <w:noProof/>
                <w:sz w:val="20"/>
                <w:szCs w:val="20"/>
              </w:rPr>
            </w:pPr>
            <w:r w:rsidRPr="008F6B42">
              <w:rPr>
                <w:noProof/>
                <w:sz w:val="20"/>
                <w:szCs w:val="20"/>
              </w:rPr>
              <w:t xml:space="preserve"> </w:t>
            </w:r>
            <w:bookmarkStart w:id="844" w:name="_Toc223980448"/>
            <w:r w:rsidRPr="008F6B42">
              <w:rPr>
                <w:noProof/>
                <w:sz w:val="20"/>
                <w:szCs w:val="20"/>
              </w:rPr>
              <w:t>Slovakia</w:t>
            </w:r>
            <w:bookmarkEnd w:id="84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933E8D8" w14:textId="6D524F2A" w:rsidR="007833EF" w:rsidRPr="007833EF" w:rsidRDefault="007833EF" w:rsidP="007833EF">
            <w:pPr>
              <w:jc w:val="right"/>
              <w:outlineLvl w:val="0"/>
              <w:rPr>
                <w:noProof/>
                <w:sz w:val="20"/>
                <w:szCs w:val="20"/>
              </w:rPr>
            </w:pPr>
            <w:bookmarkStart w:id="845" w:name="_Toc223980449"/>
            <w:r w:rsidRPr="007833EF">
              <w:rPr>
                <w:noProof/>
                <w:sz w:val="20"/>
                <w:szCs w:val="20"/>
              </w:rPr>
              <w:t>25.5</w:t>
            </w:r>
            <w:bookmarkEnd w:id="845"/>
          </w:p>
        </w:tc>
        <w:tc>
          <w:tcPr>
            <w:tcW w:w="828" w:type="pct"/>
            <w:tcBorders>
              <w:top w:val="nil"/>
              <w:left w:val="nil"/>
              <w:bottom w:val="single" w:sz="4" w:space="0" w:color="auto"/>
              <w:right w:val="single" w:sz="4" w:space="0" w:color="auto"/>
            </w:tcBorders>
            <w:shd w:val="clear" w:color="000000" w:fill="FFFFFF"/>
            <w:noWrap/>
            <w:hideMark/>
          </w:tcPr>
          <w:p w14:paraId="777865B5" w14:textId="09B3EB82" w:rsidR="007833EF" w:rsidRPr="007833EF" w:rsidRDefault="007833EF" w:rsidP="007833EF">
            <w:pPr>
              <w:jc w:val="right"/>
              <w:outlineLvl w:val="0"/>
              <w:rPr>
                <w:noProof/>
                <w:sz w:val="20"/>
                <w:szCs w:val="20"/>
              </w:rPr>
            </w:pPr>
            <w:bookmarkStart w:id="846" w:name="_Toc223980450"/>
            <w:r w:rsidRPr="007833EF">
              <w:rPr>
                <w:noProof/>
                <w:sz w:val="20"/>
                <w:szCs w:val="20"/>
              </w:rPr>
              <w:t>3.9</w:t>
            </w:r>
            <w:bookmarkEnd w:id="846"/>
          </w:p>
        </w:tc>
        <w:tc>
          <w:tcPr>
            <w:tcW w:w="828" w:type="pct"/>
            <w:tcBorders>
              <w:top w:val="nil"/>
              <w:left w:val="nil"/>
              <w:bottom w:val="single" w:sz="4" w:space="0" w:color="auto"/>
              <w:right w:val="single" w:sz="4" w:space="0" w:color="auto"/>
            </w:tcBorders>
            <w:shd w:val="clear" w:color="000000" w:fill="FFFFFF"/>
            <w:noWrap/>
            <w:hideMark/>
          </w:tcPr>
          <w:p w14:paraId="60E2B648" w14:textId="565E8768" w:rsidR="007833EF" w:rsidRPr="007833EF" w:rsidRDefault="007833EF" w:rsidP="007833EF">
            <w:pPr>
              <w:jc w:val="right"/>
              <w:outlineLvl w:val="0"/>
              <w:rPr>
                <w:noProof/>
                <w:sz w:val="20"/>
                <w:szCs w:val="20"/>
              </w:rPr>
            </w:pPr>
            <w:bookmarkStart w:id="847" w:name="_Toc223980451"/>
            <w:r w:rsidRPr="007833EF">
              <w:rPr>
                <w:noProof/>
                <w:sz w:val="20"/>
                <w:szCs w:val="20"/>
              </w:rPr>
              <w:t>6.6</w:t>
            </w:r>
            <w:bookmarkEnd w:id="847"/>
          </w:p>
        </w:tc>
        <w:tc>
          <w:tcPr>
            <w:tcW w:w="828" w:type="pct"/>
            <w:tcBorders>
              <w:top w:val="nil"/>
              <w:left w:val="nil"/>
              <w:bottom w:val="single" w:sz="4" w:space="0" w:color="auto"/>
              <w:right w:val="single" w:sz="4" w:space="0" w:color="auto"/>
            </w:tcBorders>
            <w:shd w:val="clear" w:color="000000" w:fill="FFFFFF"/>
            <w:noWrap/>
            <w:hideMark/>
          </w:tcPr>
          <w:p w14:paraId="7477C6CA" w14:textId="037D8EEE" w:rsidR="007833EF" w:rsidRPr="007833EF" w:rsidRDefault="007833EF" w:rsidP="007833EF">
            <w:pPr>
              <w:jc w:val="right"/>
              <w:outlineLvl w:val="0"/>
              <w:rPr>
                <w:noProof/>
                <w:sz w:val="20"/>
                <w:szCs w:val="20"/>
              </w:rPr>
            </w:pPr>
            <w:bookmarkStart w:id="848" w:name="_Toc223980452"/>
            <w:r w:rsidRPr="007833EF">
              <w:rPr>
                <w:noProof/>
                <w:sz w:val="20"/>
                <w:szCs w:val="20"/>
              </w:rPr>
              <w:t>4.5</w:t>
            </w:r>
            <w:bookmarkEnd w:id="848"/>
          </w:p>
        </w:tc>
      </w:tr>
      <w:tr w:rsidR="007833EF" w:rsidRPr="008F6B42" w14:paraId="0E7129A0"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7BF09A3D" w14:textId="2069E5FC" w:rsidR="007833EF" w:rsidRPr="008F6B42" w:rsidRDefault="007833EF" w:rsidP="007833EF">
            <w:pPr>
              <w:rPr>
                <w:b/>
                <w:bCs/>
                <w:noProof/>
                <w:sz w:val="20"/>
                <w:szCs w:val="20"/>
              </w:rPr>
            </w:pPr>
            <w:r w:rsidRPr="008F6B42">
              <w:rPr>
                <w:b/>
                <w:bCs/>
                <w:noProof/>
                <w:sz w:val="20"/>
                <w:szCs w:val="20"/>
              </w:rPr>
              <w:t xml:space="preserve"> Total </w:t>
            </w:r>
          </w:p>
        </w:tc>
        <w:tc>
          <w:tcPr>
            <w:tcW w:w="828" w:type="pct"/>
            <w:tcBorders>
              <w:top w:val="nil"/>
              <w:left w:val="nil"/>
              <w:bottom w:val="single" w:sz="4" w:space="0" w:color="auto"/>
              <w:right w:val="single" w:sz="4" w:space="0" w:color="auto"/>
            </w:tcBorders>
            <w:shd w:val="clear" w:color="000000" w:fill="FFFFFF"/>
            <w:noWrap/>
            <w:hideMark/>
          </w:tcPr>
          <w:p w14:paraId="585A0A4C" w14:textId="02E0F464" w:rsidR="007833EF" w:rsidRPr="007833EF" w:rsidRDefault="007833EF" w:rsidP="007833EF">
            <w:pPr>
              <w:jc w:val="right"/>
              <w:rPr>
                <w:b/>
                <w:bCs/>
                <w:noProof/>
                <w:sz w:val="20"/>
                <w:szCs w:val="20"/>
              </w:rPr>
            </w:pPr>
            <w:r w:rsidRPr="007833EF">
              <w:rPr>
                <w:b/>
                <w:bCs/>
                <w:noProof/>
                <w:sz w:val="20"/>
                <w:szCs w:val="20"/>
              </w:rPr>
              <w:t>2,554.1</w:t>
            </w:r>
          </w:p>
        </w:tc>
        <w:tc>
          <w:tcPr>
            <w:tcW w:w="828" w:type="pct"/>
            <w:tcBorders>
              <w:top w:val="nil"/>
              <w:left w:val="nil"/>
              <w:bottom w:val="single" w:sz="4" w:space="0" w:color="auto"/>
              <w:right w:val="single" w:sz="4" w:space="0" w:color="auto"/>
            </w:tcBorders>
            <w:shd w:val="clear" w:color="000000" w:fill="FFFFFF"/>
            <w:noWrap/>
            <w:hideMark/>
          </w:tcPr>
          <w:p w14:paraId="1149F46E" w14:textId="0B0C4F16" w:rsidR="007833EF" w:rsidRPr="007833EF" w:rsidRDefault="007833EF" w:rsidP="007833EF">
            <w:pPr>
              <w:jc w:val="right"/>
              <w:rPr>
                <w:b/>
                <w:bCs/>
                <w:noProof/>
                <w:sz w:val="20"/>
                <w:szCs w:val="20"/>
              </w:rPr>
            </w:pPr>
            <w:r w:rsidRPr="007833EF">
              <w:rPr>
                <w:b/>
                <w:bCs/>
                <w:noProof/>
                <w:sz w:val="20"/>
                <w:szCs w:val="20"/>
              </w:rPr>
              <w:t>393.2</w:t>
            </w:r>
          </w:p>
        </w:tc>
        <w:tc>
          <w:tcPr>
            <w:tcW w:w="828" w:type="pct"/>
            <w:tcBorders>
              <w:top w:val="nil"/>
              <w:left w:val="nil"/>
              <w:bottom w:val="single" w:sz="4" w:space="0" w:color="auto"/>
              <w:right w:val="single" w:sz="4" w:space="0" w:color="auto"/>
            </w:tcBorders>
            <w:shd w:val="clear" w:color="000000" w:fill="FFFFFF"/>
            <w:noWrap/>
            <w:hideMark/>
          </w:tcPr>
          <w:p w14:paraId="5D32EC3D" w14:textId="7242BFA8" w:rsidR="007833EF" w:rsidRPr="007833EF" w:rsidRDefault="007833EF" w:rsidP="007833EF">
            <w:pPr>
              <w:jc w:val="right"/>
              <w:rPr>
                <w:b/>
                <w:bCs/>
                <w:noProof/>
                <w:sz w:val="20"/>
                <w:szCs w:val="20"/>
              </w:rPr>
            </w:pPr>
            <w:r w:rsidRPr="007833EF">
              <w:rPr>
                <w:b/>
                <w:bCs/>
                <w:noProof/>
                <w:sz w:val="20"/>
                <w:szCs w:val="20"/>
              </w:rPr>
              <w:t>661.0</w:t>
            </w:r>
          </w:p>
        </w:tc>
        <w:tc>
          <w:tcPr>
            <w:tcW w:w="828" w:type="pct"/>
            <w:tcBorders>
              <w:top w:val="nil"/>
              <w:left w:val="nil"/>
              <w:bottom w:val="single" w:sz="4" w:space="0" w:color="auto"/>
              <w:right w:val="single" w:sz="4" w:space="0" w:color="auto"/>
            </w:tcBorders>
            <w:shd w:val="clear" w:color="000000" w:fill="FFFFFF"/>
            <w:noWrap/>
            <w:hideMark/>
          </w:tcPr>
          <w:p w14:paraId="059DB68E" w14:textId="05BF7780" w:rsidR="007833EF" w:rsidRPr="007833EF" w:rsidRDefault="007833EF" w:rsidP="007833EF">
            <w:pPr>
              <w:jc w:val="right"/>
              <w:rPr>
                <w:b/>
                <w:bCs/>
                <w:noProof/>
                <w:sz w:val="20"/>
                <w:szCs w:val="20"/>
              </w:rPr>
            </w:pPr>
            <w:r w:rsidRPr="007833EF">
              <w:rPr>
                <w:b/>
                <w:bCs/>
                <w:noProof/>
                <w:sz w:val="20"/>
                <w:szCs w:val="20"/>
              </w:rPr>
              <w:t>453.5</w:t>
            </w:r>
          </w:p>
        </w:tc>
      </w:tr>
    </w:tbl>
    <w:p w14:paraId="1CA20DC2" w14:textId="77777777" w:rsidR="002303A3" w:rsidRPr="008F6B42" w:rsidRDefault="002303A3" w:rsidP="002303A3">
      <w:pPr>
        <w:tabs>
          <w:tab w:val="left" w:pos="2302"/>
        </w:tabs>
        <w:spacing w:after="240"/>
        <w:jc w:val="both"/>
        <w:rPr>
          <w:i/>
          <w:noProof/>
          <w:sz w:val="20"/>
          <w:szCs w:val="20"/>
        </w:rPr>
      </w:pPr>
      <w:r w:rsidRPr="008F6B42">
        <w:rPr>
          <w:i/>
          <w:noProof/>
          <w:spacing w:val="-8"/>
          <w:sz w:val="20"/>
          <w:szCs w:val="20"/>
        </w:rPr>
        <w:t xml:space="preserve">Source: </w:t>
      </w:r>
      <w:r w:rsidRPr="008F6B42">
        <w:rPr>
          <w:i/>
          <w:noProof/>
          <w:sz w:val="20"/>
          <w:szCs w:val="20"/>
        </w:rPr>
        <w:t>Ricardo et al. (2026), Impact assessment support study</w:t>
      </w:r>
    </w:p>
    <w:p w14:paraId="0FF6973B" w14:textId="01FCD9CC" w:rsidR="002303A3" w:rsidRPr="00383DBF" w:rsidRDefault="002303A3" w:rsidP="002303A3">
      <w:pPr>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76</w:t>
      </w:r>
      <w:r w:rsidRPr="00383DBF">
        <w:rPr>
          <w:i/>
          <w:noProof/>
          <w:sz w:val="22"/>
          <w:szCs w:val="22"/>
        </w:rPr>
        <w:fldChar w:fldCharType="end"/>
      </w:r>
      <w:r w:rsidRPr="00383DBF">
        <w:rPr>
          <w:i/>
          <w:noProof/>
          <w:sz w:val="22"/>
          <w:szCs w:val="22"/>
        </w:rPr>
        <w:t xml:space="preserve">: Total one-off and recurrent adjustment costs for </w:t>
      </w:r>
      <w:r w:rsidR="00AD2776">
        <w:rPr>
          <w:i/>
          <w:noProof/>
          <w:sz w:val="22"/>
          <w:szCs w:val="22"/>
        </w:rPr>
        <w:t>non-SME</w:t>
      </w:r>
      <w:r w:rsidRPr="00383DBF">
        <w:rPr>
          <w:i/>
          <w:noProof/>
          <w:sz w:val="22"/>
          <w:szCs w:val="22"/>
        </w:rPr>
        <w:t xml:space="preserve"> B2C MDMS platforms due to PM2 in PO3 in 2028, 2030, 2040 and 2050 relative to the baseline (thousand EUR, in 2024 prices)</w:t>
      </w:r>
    </w:p>
    <w:tbl>
      <w:tblPr>
        <w:tblW w:w="5000" w:type="pct"/>
        <w:tblLook w:val="04A0" w:firstRow="1" w:lastRow="0" w:firstColumn="1" w:lastColumn="0" w:noHBand="0" w:noVBand="1"/>
      </w:tblPr>
      <w:tblGrid>
        <w:gridCol w:w="3241"/>
        <w:gridCol w:w="1591"/>
        <w:gridCol w:w="1591"/>
        <w:gridCol w:w="1590"/>
        <w:gridCol w:w="1590"/>
      </w:tblGrid>
      <w:tr w:rsidR="008F6B42" w:rsidRPr="008F6B42" w14:paraId="3ADFC209" w14:textId="77777777" w:rsidTr="008F6B42">
        <w:trPr>
          <w:trHeight w:val="255"/>
          <w:tblHeader/>
        </w:trPr>
        <w:tc>
          <w:tcPr>
            <w:tcW w:w="1687" w:type="pct"/>
            <w:tcBorders>
              <w:top w:val="single" w:sz="4" w:space="0" w:color="auto"/>
              <w:left w:val="single" w:sz="4" w:space="0" w:color="auto"/>
              <w:bottom w:val="single" w:sz="4" w:space="0" w:color="auto"/>
              <w:right w:val="single" w:sz="4" w:space="0" w:color="auto"/>
            </w:tcBorders>
            <w:shd w:val="clear" w:color="000000" w:fill="0070C0"/>
            <w:noWrap/>
            <w:hideMark/>
          </w:tcPr>
          <w:p w14:paraId="395E27D4" w14:textId="7E125593" w:rsidR="003F5BF8" w:rsidRPr="008F6B42" w:rsidRDefault="003F5BF8">
            <w:pPr>
              <w:jc w:val="center"/>
              <w:rPr>
                <w:b/>
                <w:bCs/>
                <w:noProof/>
                <w:color w:val="FFFFFF"/>
                <w:sz w:val="20"/>
                <w:szCs w:val="20"/>
              </w:rPr>
            </w:pPr>
          </w:p>
        </w:tc>
        <w:tc>
          <w:tcPr>
            <w:tcW w:w="828" w:type="pct"/>
            <w:tcBorders>
              <w:top w:val="single" w:sz="4" w:space="0" w:color="auto"/>
              <w:left w:val="nil"/>
              <w:bottom w:val="single" w:sz="4" w:space="0" w:color="auto"/>
              <w:right w:val="single" w:sz="4" w:space="0" w:color="auto"/>
            </w:tcBorders>
            <w:shd w:val="clear" w:color="000000" w:fill="0070C0"/>
            <w:noWrap/>
            <w:hideMark/>
          </w:tcPr>
          <w:p w14:paraId="6C2ACCA0" w14:textId="77777777" w:rsidR="003F5BF8" w:rsidRPr="008F6B42" w:rsidRDefault="003F5BF8">
            <w:pPr>
              <w:jc w:val="center"/>
              <w:rPr>
                <w:b/>
                <w:bCs/>
                <w:noProof/>
                <w:color w:val="FFFFFF"/>
                <w:sz w:val="20"/>
                <w:szCs w:val="20"/>
              </w:rPr>
            </w:pPr>
            <w:r w:rsidRPr="008F6B42">
              <w:rPr>
                <w:b/>
                <w:bCs/>
                <w:noProof/>
                <w:color w:val="FFFFFF"/>
                <w:sz w:val="20"/>
                <w:szCs w:val="20"/>
              </w:rPr>
              <w:t>2028</w:t>
            </w:r>
          </w:p>
        </w:tc>
        <w:tc>
          <w:tcPr>
            <w:tcW w:w="828" w:type="pct"/>
            <w:tcBorders>
              <w:top w:val="single" w:sz="4" w:space="0" w:color="auto"/>
              <w:left w:val="nil"/>
              <w:bottom w:val="single" w:sz="4" w:space="0" w:color="auto"/>
              <w:right w:val="single" w:sz="4" w:space="0" w:color="auto"/>
            </w:tcBorders>
            <w:shd w:val="clear" w:color="000000" w:fill="0070C0"/>
            <w:noWrap/>
            <w:hideMark/>
          </w:tcPr>
          <w:p w14:paraId="40F90372" w14:textId="77777777" w:rsidR="003F5BF8" w:rsidRPr="008F6B42" w:rsidRDefault="003F5BF8">
            <w:pPr>
              <w:jc w:val="center"/>
              <w:rPr>
                <w:b/>
                <w:bCs/>
                <w:noProof/>
                <w:color w:val="FFFFFF"/>
                <w:sz w:val="20"/>
                <w:szCs w:val="20"/>
              </w:rPr>
            </w:pPr>
            <w:r w:rsidRPr="008F6B42">
              <w:rPr>
                <w:b/>
                <w:bCs/>
                <w:noProof/>
                <w:color w:val="FFFFFF"/>
                <w:sz w:val="20"/>
                <w:szCs w:val="20"/>
              </w:rPr>
              <w:t>2030</w:t>
            </w:r>
          </w:p>
        </w:tc>
        <w:tc>
          <w:tcPr>
            <w:tcW w:w="828" w:type="pct"/>
            <w:tcBorders>
              <w:top w:val="single" w:sz="4" w:space="0" w:color="auto"/>
              <w:left w:val="nil"/>
              <w:bottom w:val="single" w:sz="4" w:space="0" w:color="auto"/>
              <w:right w:val="single" w:sz="4" w:space="0" w:color="auto"/>
            </w:tcBorders>
            <w:shd w:val="clear" w:color="000000" w:fill="0070C0"/>
            <w:noWrap/>
            <w:hideMark/>
          </w:tcPr>
          <w:p w14:paraId="2C0606DB" w14:textId="77777777" w:rsidR="003F5BF8" w:rsidRPr="008F6B42" w:rsidRDefault="003F5BF8">
            <w:pPr>
              <w:jc w:val="center"/>
              <w:rPr>
                <w:b/>
                <w:bCs/>
                <w:noProof/>
                <w:color w:val="FFFFFF"/>
                <w:sz w:val="20"/>
                <w:szCs w:val="20"/>
              </w:rPr>
            </w:pPr>
            <w:r w:rsidRPr="008F6B42">
              <w:rPr>
                <w:b/>
                <w:bCs/>
                <w:noProof/>
                <w:color w:val="FFFFFF"/>
                <w:sz w:val="20"/>
                <w:szCs w:val="20"/>
              </w:rPr>
              <w:t>2040</w:t>
            </w:r>
          </w:p>
        </w:tc>
        <w:tc>
          <w:tcPr>
            <w:tcW w:w="828" w:type="pct"/>
            <w:tcBorders>
              <w:top w:val="single" w:sz="4" w:space="0" w:color="auto"/>
              <w:left w:val="nil"/>
              <w:bottom w:val="single" w:sz="4" w:space="0" w:color="auto"/>
              <w:right w:val="single" w:sz="4" w:space="0" w:color="auto"/>
            </w:tcBorders>
            <w:shd w:val="clear" w:color="000000" w:fill="0070C0"/>
            <w:noWrap/>
            <w:hideMark/>
          </w:tcPr>
          <w:p w14:paraId="7E41BC3F" w14:textId="77777777" w:rsidR="003F5BF8" w:rsidRPr="008F6B42" w:rsidRDefault="003F5BF8">
            <w:pPr>
              <w:jc w:val="center"/>
              <w:rPr>
                <w:b/>
                <w:bCs/>
                <w:noProof/>
                <w:color w:val="FFFFFF"/>
                <w:sz w:val="20"/>
                <w:szCs w:val="20"/>
              </w:rPr>
            </w:pPr>
            <w:r w:rsidRPr="008F6B42">
              <w:rPr>
                <w:b/>
                <w:bCs/>
                <w:noProof/>
                <w:color w:val="FFFFFF"/>
                <w:sz w:val="20"/>
                <w:szCs w:val="20"/>
              </w:rPr>
              <w:t>2050</w:t>
            </w:r>
          </w:p>
        </w:tc>
      </w:tr>
      <w:tr w:rsidR="00304E43" w:rsidRPr="008F6B42" w14:paraId="4A07BC55"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3523A491" w14:textId="77777777" w:rsidR="00304E43" w:rsidRPr="008F6B42" w:rsidRDefault="00304E43" w:rsidP="00304E43">
            <w:pPr>
              <w:outlineLvl w:val="0"/>
              <w:rPr>
                <w:noProof/>
                <w:sz w:val="20"/>
                <w:szCs w:val="20"/>
              </w:rPr>
            </w:pPr>
            <w:r w:rsidRPr="008F6B42">
              <w:rPr>
                <w:noProof/>
                <w:sz w:val="20"/>
                <w:szCs w:val="20"/>
              </w:rPr>
              <w:t xml:space="preserve"> </w:t>
            </w:r>
            <w:bookmarkStart w:id="849" w:name="_Toc223980453"/>
            <w:r w:rsidRPr="008F6B42">
              <w:rPr>
                <w:noProof/>
                <w:sz w:val="20"/>
                <w:szCs w:val="20"/>
              </w:rPr>
              <w:t>Germany</w:t>
            </w:r>
            <w:bookmarkEnd w:id="84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336D2B97" w14:textId="13B66F9B" w:rsidR="00304E43" w:rsidRPr="00304E43" w:rsidRDefault="00304E43" w:rsidP="00304E43">
            <w:pPr>
              <w:jc w:val="right"/>
              <w:outlineLvl w:val="0"/>
              <w:rPr>
                <w:noProof/>
                <w:sz w:val="20"/>
                <w:szCs w:val="20"/>
              </w:rPr>
            </w:pPr>
            <w:bookmarkStart w:id="850" w:name="_Toc223980454"/>
            <w:r w:rsidRPr="00304E43">
              <w:rPr>
                <w:noProof/>
                <w:sz w:val="20"/>
                <w:szCs w:val="20"/>
              </w:rPr>
              <w:t>306.5</w:t>
            </w:r>
            <w:bookmarkEnd w:id="850"/>
          </w:p>
        </w:tc>
        <w:tc>
          <w:tcPr>
            <w:tcW w:w="828" w:type="pct"/>
            <w:tcBorders>
              <w:top w:val="nil"/>
              <w:left w:val="nil"/>
              <w:bottom w:val="single" w:sz="4" w:space="0" w:color="auto"/>
              <w:right w:val="single" w:sz="4" w:space="0" w:color="auto"/>
            </w:tcBorders>
            <w:shd w:val="clear" w:color="000000" w:fill="FFFFFF"/>
            <w:noWrap/>
            <w:hideMark/>
          </w:tcPr>
          <w:p w14:paraId="7E2DFC52" w14:textId="58E44DAC" w:rsidR="00304E43" w:rsidRPr="00304E43" w:rsidRDefault="00304E43" w:rsidP="00304E43">
            <w:pPr>
              <w:jc w:val="right"/>
              <w:outlineLvl w:val="0"/>
              <w:rPr>
                <w:noProof/>
                <w:sz w:val="20"/>
                <w:szCs w:val="20"/>
              </w:rPr>
            </w:pPr>
            <w:bookmarkStart w:id="851" w:name="_Toc223980455"/>
            <w:r w:rsidRPr="00304E43">
              <w:rPr>
                <w:noProof/>
                <w:sz w:val="20"/>
                <w:szCs w:val="20"/>
              </w:rPr>
              <w:t>47.9</w:t>
            </w:r>
            <w:bookmarkEnd w:id="851"/>
          </w:p>
        </w:tc>
        <w:tc>
          <w:tcPr>
            <w:tcW w:w="828" w:type="pct"/>
            <w:tcBorders>
              <w:top w:val="nil"/>
              <w:left w:val="nil"/>
              <w:bottom w:val="single" w:sz="4" w:space="0" w:color="auto"/>
              <w:right w:val="single" w:sz="4" w:space="0" w:color="auto"/>
            </w:tcBorders>
            <w:shd w:val="clear" w:color="000000" w:fill="FFFFFF"/>
            <w:noWrap/>
            <w:hideMark/>
          </w:tcPr>
          <w:p w14:paraId="4535C608" w14:textId="49849A72" w:rsidR="00304E43" w:rsidRPr="00304E43" w:rsidRDefault="00304E43" w:rsidP="00304E43">
            <w:pPr>
              <w:jc w:val="right"/>
              <w:outlineLvl w:val="0"/>
              <w:rPr>
                <w:noProof/>
                <w:sz w:val="20"/>
                <w:szCs w:val="20"/>
              </w:rPr>
            </w:pPr>
            <w:bookmarkStart w:id="852" w:name="_Toc223980456"/>
            <w:r w:rsidRPr="00304E43">
              <w:rPr>
                <w:noProof/>
                <w:sz w:val="20"/>
                <w:szCs w:val="20"/>
              </w:rPr>
              <w:t>72.1</w:t>
            </w:r>
            <w:bookmarkEnd w:id="852"/>
          </w:p>
        </w:tc>
        <w:tc>
          <w:tcPr>
            <w:tcW w:w="828" w:type="pct"/>
            <w:tcBorders>
              <w:top w:val="nil"/>
              <w:left w:val="nil"/>
              <w:bottom w:val="single" w:sz="4" w:space="0" w:color="auto"/>
              <w:right w:val="single" w:sz="4" w:space="0" w:color="auto"/>
            </w:tcBorders>
            <w:shd w:val="clear" w:color="000000" w:fill="FFFFFF"/>
            <w:noWrap/>
            <w:hideMark/>
          </w:tcPr>
          <w:p w14:paraId="3AFAFEA4" w14:textId="7F25F4E1" w:rsidR="00304E43" w:rsidRPr="00304E43" w:rsidRDefault="00304E43" w:rsidP="00304E43">
            <w:pPr>
              <w:jc w:val="right"/>
              <w:outlineLvl w:val="0"/>
              <w:rPr>
                <w:noProof/>
                <w:sz w:val="20"/>
                <w:szCs w:val="20"/>
              </w:rPr>
            </w:pPr>
            <w:bookmarkStart w:id="853" w:name="_Toc223980457"/>
            <w:r w:rsidRPr="00304E43">
              <w:rPr>
                <w:noProof/>
                <w:sz w:val="20"/>
                <w:szCs w:val="20"/>
              </w:rPr>
              <w:t>54.0</w:t>
            </w:r>
            <w:bookmarkEnd w:id="853"/>
          </w:p>
        </w:tc>
      </w:tr>
      <w:tr w:rsidR="00304E43" w:rsidRPr="008F6B42" w14:paraId="5996D013"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5D0F228" w14:textId="77777777" w:rsidR="00304E43" w:rsidRPr="008F6B42" w:rsidRDefault="00304E43" w:rsidP="00304E43">
            <w:pPr>
              <w:outlineLvl w:val="0"/>
              <w:rPr>
                <w:noProof/>
                <w:sz w:val="20"/>
                <w:szCs w:val="20"/>
              </w:rPr>
            </w:pPr>
            <w:r w:rsidRPr="008F6B42">
              <w:rPr>
                <w:noProof/>
                <w:sz w:val="20"/>
                <w:szCs w:val="20"/>
              </w:rPr>
              <w:t xml:space="preserve"> </w:t>
            </w:r>
            <w:bookmarkStart w:id="854" w:name="_Toc223980458"/>
            <w:r w:rsidRPr="008F6B42">
              <w:rPr>
                <w:noProof/>
                <w:sz w:val="20"/>
                <w:szCs w:val="20"/>
              </w:rPr>
              <w:t>Austria</w:t>
            </w:r>
            <w:bookmarkEnd w:id="85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BE6A3E0" w14:textId="6E306A66" w:rsidR="00304E43" w:rsidRPr="00304E43" w:rsidRDefault="00304E43" w:rsidP="00304E43">
            <w:pPr>
              <w:jc w:val="right"/>
              <w:outlineLvl w:val="0"/>
              <w:rPr>
                <w:noProof/>
                <w:sz w:val="20"/>
                <w:szCs w:val="20"/>
              </w:rPr>
            </w:pPr>
            <w:bookmarkStart w:id="855" w:name="_Toc223980459"/>
            <w:r w:rsidRPr="00304E43">
              <w:rPr>
                <w:noProof/>
                <w:sz w:val="20"/>
                <w:szCs w:val="20"/>
              </w:rPr>
              <w:t>229.9</w:t>
            </w:r>
            <w:bookmarkEnd w:id="855"/>
          </w:p>
        </w:tc>
        <w:tc>
          <w:tcPr>
            <w:tcW w:w="828" w:type="pct"/>
            <w:tcBorders>
              <w:top w:val="nil"/>
              <w:left w:val="nil"/>
              <w:bottom w:val="single" w:sz="4" w:space="0" w:color="auto"/>
              <w:right w:val="single" w:sz="4" w:space="0" w:color="auto"/>
            </w:tcBorders>
            <w:shd w:val="clear" w:color="000000" w:fill="FFFFFF"/>
            <w:noWrap/>
            <w:hideMark/>
          </w:tcPr>
          <w:p w14:paraId="3A299CD2" w14:textId="526EC543" w:rsidR="00304E43" w:rsidRPr="00304E43" w:rsidRDefault="00304E43" w:rsidP="00304E43">
            <w:pPr>
              <w:jc w:val="right"/>
              <w:outlineLvl w:val="0"/>
              <w:rPr>
                <w:noProof/>
                <w:sz w:val="20"/>
                <w:szCs w:val="20"/>
              </w:rPr>
            </w:pPr>
            <w:bookmarkStart w:id="856" w:name="_Toc223980460"/>
            <w:r w:rsidRPr="00304E43">
              <w:rPr>
                <w:noProof/>
                <w:sz w:val="20"/>
                <w:szCs w:val="20"/>
              </w:rPr>
              <w:t>35.9</w:t>
            </w:r>
            <w:bookmarkEnd w:id="856"/>
          </w:p>
        </w:tc>
        <w:tc>
          <w:tcPr>
            <w:tcW w:w="828" w:type="pct"/>
            <w:tcBorders>
              <w:top w:val="nil"/>
              <w:left w:val="nil"/>
              <w:bottom w:val="single" w:sz="4" w:space="0" w:color="auto"/>
              <w:right w:val="single" w:sz="4" w:space="0" w:color="auto"/>
            </w:tcBorders>
            <w:shd w:val="clear" w:color="000000" w:fill="FFFFFF"/>
            <w:noWrap/>
            <w:hideMark/>
          </w:tcPr>
          <w:p w14:paraId="6971F2F6" w14:textId="7E927F11" w:rsidR="00304E43" w:rsidRPr="00304E43" w:rsidRDefault="00304E43" w:rsidP="00304E43">
            <w:pPr>
              <w:jc w:val="right"/>
              <w:outlineLvl w:val="0"/>
              <w:rPr>
                <w:noProof/>
                <w:sz w:val="20"/>
                <w:szCs w:val="20"/>
              </w:rPr>
            </w:pPr>
            <w:bookmarkStart w:id="857" w:name="_Toc223980461"/>
            <w:r w:rsidRPr="00304E43">
              <w:rPr>
                <w:noProof/>
                <w:sz w:val="20"/>
                <w:szCs w:val="20"/>
              </w:rPr>
              <w:t>54.1</w:t>
            </w:r>
            <w:bookmarkEnd w:id="857"/>
          </w:p>
        </w:tc>
        <w:tc>
          <w:tcPr>
            <w:tcW w:w="828" w:type="pct"/>
            <w:tcBorders>
              <w:top w:val="nil"/>
              <w:left w:val="nil"/>
              <w:bottom w:val="single" w:sz="4" w:space="0" w:color="auto"/>
              <w:right w:val="single" w:sz="4" w:space="0" w:color="auto"/>
            </w:tcBorders>
            <w:shd w:val="clear" w:color="000000" w:fill="FFFFFF"/>
            <w:noWrap/>
            <w:hideMark/>
          </w:tcPr>
          <w:p w14:paraId="5382BCEE" w14:textId="5521A650" w:rsidR="00304E43" w:rsidRPr="00304E43" w:rsidRDefault="00304E43" w:rsidP="00304E43">
            <w:pPr>
              <w:jc w:val="right"/>
              <w:outlineLvl w:val="0"/>
              <w:rPr>
                <w:noProof/>
                <w:sz w:val="20"/>
                <w:szCs w:val="20"/>
              </w:rPr>
            </w:pPr>
            <w:bookmarkStart w:id="858" w:name="_Toc223980462"/>
            <w:r w:rsidRPr="00304E43">
              <w:rPr>
                <w:noProof/>
                <w:sz w:val="20"/>
                <w:szCs w:val="20"/>
              </w:rPr>
              <w:t>40.5</w:t>
            </w:r>
            <w:bookmarkEnd w:id="858"/>
          </w:p>
        </w:tc>
      </w:tr>
      <w:tr w:rsidR="00304E43" w:rsidRPr="008F6B42" w14:paraId="178EAF4E"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09B94C09" w14:textId="77777777" w:rsidR="00304E43" w:rsidRPr="008F6B42" w:rsidRDefault="00304E43" w:rsidP="00304E43">
            <w:pPr>
              <w:outlineLvl w:val="0"/>
              <w:rPr>
                <w:noProof/>
                <w:sz w:val="20"/>
                <w:szCs w:val="20"/>
              </w:rPr>
            </w:pPr>
            <w:r w:rsidRPr="008F6B42">
              <w:rPr>
                <w:noProof/>
                <w:sz w:val="20"/>
                <w:szCs w:val="20"/>
              </w:rPr>
              <w:t xml:space="preserve"> </w:t>
            </w:r>
            <w:bookmarkStart w:id="859" w:name="_Toc223980463"/>
            <w:r w:rsidRPr="008F6B42">
              <w:rPr>
                <w:noProof/>
                <w:sz w:val="20"/>
                <w:szCs w:val="20"/>
              </w:rPr>
              <w:t>Denmark</w:t>
            </w:r>
            <w:bookmarkEnd w:id="85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4A6B4A9" w14:textId="06F61DB6" w:rsidR="00304E43" w:rsidRPr="00304E43" w:rsidRDefault="00304E43" w:rsidP="00304E43">
            <w:pPr>
              <w:jc w:val="right"/>
              <w:outlineLvl w:val="0"/>
              <w:rPr>
                <w:noProof/>
                <w:sz w:val="20"/>
                <w:szCs w:val="20"/>
              </w:rPr>
            </w:pPr>
            <w:bookmarkStart w:id="860" w:name="_Toc223980464"/>
            <w:r w:rsidRPr="00304E43">
              <w:rPr>
                <w:noProof/>
                <w:sz w:val="20"/>
                <w:szCs w:val="20"/>
              </w:rPr>
              <w:t>153.2</w:t>
            </w:r>
            <w:bookmarkEnd w:id="860"/>
          </w:p>
        </w:tc>
        <w:tc>
          <w:tcPr>
            <w:tcW w:w="828" w:type="pct"/>
            <w:tcBorders>
              <w:top w:val="nil"/>
              <w:left w:val="nil"/>
              <w:bottom w:val="single" w:sz="4" w:space="0" w:color="auto"/>
              <w:right w:val="single" w:sz="4" w:space="0" w:color="auto"/>
            </w:tcBorders>
            <w:shd w:val="clear" w:color="000000" w:fill="FFFFFF"/>
            <w:noWrap/>
            <w:hideMark/>
          </w:tcPr>
          <w:p w14:paraId="2A6D847F" w14:textId="2ADE9002" w:rsidR="00304E43" w:rsidRPr="00304E43" w:rsidRDefault="00304E43" w:rsidP="00304E43">
            <w:pPr>
              <w:jc w:val="right"/>
              <w:outlineLvl w:val="0"/>
              <w:rPr>
                <w:noProof/>
                <w:sz w:val="20"/>
                <w:szCs w:val="20"/>
              </w:rPr>
            </w:pPr>
            <w:bookmarkStart w:id="861" w:name="_Toc223980465"/>
            <w:r w:rsidRPr="00304E43">
              <w:rPr>
                <w:noProof/>
                <w:sz w:val="20"/>
                <w:szCs w:val="20"/>
              </w:rPr>
              <w:t>24.0</w:t>
            </w:r>
            <w:bookmarkEnd w:id="861"/>
          </w:p>
        </w:tc>
        <w:tc>
          <w:tcPr>
            <w:tcW w:w="828" w:type="pct"/>
            <w:tcBorders>
              <w:top w:val="nil"/>
              <w:left w:val="nil"/>
              <w:bottom w:val="single" w:sz="4" w:space="0" w:color="auto"/>
              <w:right w:val="single" w:sz="4" w:space="0" w:color="auto"/>
            </w:tcBorders>
            <w:shd w:val="clear" w:color="000000" w:fill="FFFFFF"/>
            <w:noWrap/>
            <w:hideMark/>
          </w:tcPr>
          <w:p w14:paraId="4680D274" w14:textId="37475BBE" w:rsidR="00304E43" w:rsidRPr="00304E43" w:rsidRDefault="00304E43" w:rsidP="00304E43">
            <w:pPr>
              <w:jc w:val="right"/>
              <w:outlineLvl w:val="0"/>
              <w:rPr>
                <w:noProof/>
                <w:sz w:val="20"/>
                <w:szCs w:val="20"/>
              </w:rPr>
            </w:pPr>
            <w:bookmarkStart w:id="862" w:name="_Toc223980466"/>
            <w:r w:rsidRPr="00304E43">
              <w:rPr>
                <w:noProof/>
                <w:sz w:val="20"/>
                <w:szCs w:val="20"/>
              </w:rPr>
              <w:t>36.0</w:t>
            </w:r>
            <w:bookmarkEnd w:id="862"/>
          </w:p>
        </w:tc>
        <w:tc>
          <w:tcPr>
            <w:tcW w:w="828" w:type="pct"/>
            <w:tcBorders>
              <w:top w:val="nil"/>
              <w:left w:val="nil"/>
              <w:bottom w:val="single" w:sz="4" w:space="0" w:color="auto"/>
              <w:right w:val="single" w:sz="4" w:space="0" w:color="auto"/>
            </w:tcBorders>
            <w:shd w:val="clear" w:color="000000" w:fill="FFFFFF"/>
            <w:noWrap/>
            <w:hideMark/>
          </w:tcPr>
          <w:p w14:paraId="57168F92" w14:textId="479758A5" w:rsidR="00304E43" w:rsidRPr="00304E43" w:rsidRDefault="00304E43" w:rsidP="00304E43">
            <w:pPr>
              <w:jc w:val="right"/>
              <w:outlineLvl w:val="0"/>
              <w:rPr>
                <w:noProof/>
                <w:sz w:val="20"/>
                <w:szCs w:val="20"/>
              </w:rPr>
            </w:pPr>
            <w:bookmarkStart w:id="863" w:name="_Toc223980467"/>
            <w:r w:rsidRPr="00304E43">
              <w:rPr>
                <w:noProof/>
                <w:sz w:val="20"/>
                <w:szCs w:val="20"/>
              </w:rPr>
              <w:t>27.0</w:t>
            </w:r>
            <w:bookmarkEnd w:id="863"/>
          </w:p>
        </w:tc>
      </w:tr>
      <w:tr w:rsidR="00304E43" w:rsidRPr="008F6B42" w14:paraId="18BE800C"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57E7FFF4" w14:textId="77777777" w:rsidR="00304E43" w:rsidRPr="008F6B42" w:rsidRDefault="00304E43" w:rsidP="00304E43">
            <w:pPr>
              <w:outlineLvl w:val="0"/>
              <w:rPr>
                <w:noProof/>
                <w:sz w:val="20"/>
                <w:szCs w:val="20"/>
              </w:rPr>
            </w:pPr>
            <w:r w:rsidRPr="008F6B42">
              <w:rPr>
                <w:noProof/>
                <w:sz w:val="20"/>
                <w:szCs w:val="20"/>
              </w:rPr>
              <w:t xml:space="preserve"> </w:t>
            </w:r>
            <w:bookmarkStart w:id="864" w:name="_Toc223980468"/>
            <w:r w:rsidRPr="008F6B42">
              <w:rPr>
                <w:noProof/>
                <w:sz w:val="20"/>
                <w:szCs w:val="20"/>
              </w:rPr>
              <w:t>Luxembourg</w:t>
            </w:r>
            <w:bookmarkEnd w:id="86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7A530B74" w14:textId="14309CDE" w:rsidR="00304E43" w:rsidRPr="00304E43" w:rsidRDefault="00304E43" w:rsidP="00304E43">
            <w:pPr>
              <w:jc w:val="right"/>
              <w:outlineLvl w:val="0"/>
              <w:rPr>
                <w:noProof/>
                <w:sz w:val="20"/>
                <w:szCs w:val="20"/>
              </w:rPr>
            </w:pPr>
            <w:bookmarkStart w:id="865" w:name="_Toc223980469"/>
            <w:r w:rsidRPr="00304E43">
              <w:rPr>
                <w:noProof/>
                <w:sz w:val="20"/>
                <w:szCs w:val="20"/>
              </w:rPr>
              <w:t>102.2</w:t>
            </w:r>
            <w:bookmarkEnd w:id="865"/>
          </w:p>
        </w:tc>
        <w:tc>
          <w:tcPr>
            <w:tcW w:w="828" w:type="pct"/>
            <w:tcBorders>
              <w:top w:val="nil"/>
              <w:left w:val="nil"/>
              <w:bottom w:val="single" w:sz="4" w:space="0" w:color="auto"/>
              <w:right w:val="single" w:sz="4" w:space="0" w:color="auto"/>
            </w:tcBorders>
            <w:shd w:val="clear" w:color="000000" w:fill="FFFFFF"/>
            <w:noWrap/>
            <w:hideMark/>
          </w:tcPr>
          <w:p w14:paraId="5EEB5CD8" w14:textId="27FEABD8" w:rsidR="00304E43" w:rsidRPr="00304E43" w:rsidRDefault="00304E43" w:rsidP="00304E43">
            <w:pPr>
              <w:jc w:val="right"/>
              <w:outlineLvl w:val="0"/>
              <w:rPr>
                <w:noProof/>
                <w:sz w:val="20"/>
                <w:szCs w:val="20"/>
              </w:rPr>
            </w:pPr>
            <w:bookmarkStart w:id="866" w:name="_Toc223980470"/>
            <w:r w:rsidRPr="00304E43">
              <w:rPr>
                <w:noProof/>
                <w:sz w:val="20"/>
                <w:szCs w:val="20"/>
              </w:rPr>
              <w:t>16.0</w:t>
            </w:r>
            <w:bookmarkEnd w:id="866"/>
          </w:p>
        </w:tc>
        <w:tc>
          <w:tcPr>
            <w:tcW w:w="828" w:type="pct"/>
            <w:tcBorders>
              <w:top w:val="nil"/>
              <w:left w:val="nil"/>
              <w:bottom w:val="single" w:sz="4" w:space="0" w:color="auto"/>
              <w:right w:val="single" w:sz="4" w:space="0" w:color="auto"/>
            </w:tcBorders>
            <w:shd w:val="clear" w:color="000000" w:fill="FFFFFF"/>
            <w:noWrap/>
            <w:hideMark/>
          </w:tcPr>
          <w:p w14:paraId="0655C67B" w14:textId="701343F9" w:rsidR="00304E43" w:rsidRPr="00304E43" w:rsidRDefault="00304E43" w:rsidP="00304E43">
            <w:pPr>
              <w:jc w:val="right"/>
              <w:outlineLvl w:val="0"/>
              <w:rPr>
                <w:noProof/>
                <w:sz w:val="20"/>
                <w:szCs w:val="20"/>
              </w:rPr>
            </w:pPr>
            <w:bookmarkStart w:id="867" w:name="_Toc223980471"/>
            <w:r w:rsidRPr="00304E43">
              <w:rPr>
                <w:noProof/>
                <w:sz w:val="20"/>
                <w:szCs w:val="20"/>
              </w:rPr>
              <w:t>24.0</w:t>
            </w:r>
            <w:bookmarkEnd w:id="867"/>
          </w:p>
        </w:tc>
        <w:tc>
          <w:tcPr>
            <w:tcW w:w="828" w:type="pct"/>
            <w:tcBorders>
              <w:top w:val="nil"/>
              <w:left w:val="nil"/>
              <w:bottom w:val="single" w:sz="4" w:space="0" w:color="auto"/>
              <w:right w:val="single" w:sz="4" w:space="0" w:color="auto"/>
            </w:tcBorders>
            <w:shd w:val="clear" w:color="000000" w:fill="FFFFFF"/>
            <w:noWrap/>
            <w:hideMark/>
          </w:tcPr>
          <w:p w14:paraId="23AC0167" w14:textId="2E23A4BD" w:rsidR="00304E43" w:rsidRPr="00304E43" w:rsidRDefault="00304E43" w:rsidP="00304E43">
            <w:pPr>
              <w:jc w:val="right"/>
              <w:outlineLvl w:val="0"/>
              <w:rPr>
                <w:noProof/>
                <w:sz w:val="20"/>
                <w:szCs w:val="20"/>
              </w:rPr>
            </w:pPr>
            <w:bookmarkStart w:id="868" w:name="_Toc223980472"/>
            <w:r w:rsidRPr="00304E43">
              <w:rPr>
                <w:noProof/>
                <w:sz w:val="20"/>
                <w:szCs w:val="20"/>
              </w:rPr>
              <w:t>18.0</w:t>
            </w:r>
            <w:bookmarkEnd w:id="868"/>
          </w:p>
        </w:tc>
      </w:tr>
      <w:tr w:rsidR="00304E43" w:rsidRPr="008F6B42" w14:paraId="427A15EB"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5F43059A" w14:textId="77777777" w:rsidR="00304E43" w:rsidRPr="008F6B42" w:rsidRDefault="00304E43" w:rsidP="00304E43">
            <w:pPr>
              <w:outlineLvl w:val="0"/>
              <w:rPr>
                <w:noProof/>
                <w:sz w:val="20"/>
                <w:szCs w:val="20"/>
              </w:rPr>
            </w:pPr>
            <w:r w:rsidRPr="008F6B42">
              <w:rPr>
                <w:noProof/>
                <w:sz w:val="20"/>
                <w:szCs w:val="20"/>
              </w:rPr>
              <w:t xml:space="preserve"> </w:t>
            </w:r>
            <w:bookmarkStart w:id="869" w:name="_Toc223980473"/>
            <w:r w:rsidRPr="008F6B42">
              <w:rPr>
                <w:noProof/>
                <w:sz w:val="20"/>
                <w:szCs w:val="20"/>
              </w:rPr>
              <w:t>Finland</w:t>
            </w:r>
            <w:bookmarkEnd w:id="86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93ADC75" w14:textId="2873B51D" w:rsidR="00304E43" w:rsidRPr="00304E43" w:rsidRDefault="00304E43" w:rsidP="00304E43">
            <w:pPr>
              <w:jc w:val="right"/>
              <w:outlineLvl w:val="0"/>
              <w:rPr>
                <w:noProof/>
                <w:sz w:val="20"/>
                <w:szCs w:val="20"/>
              </w:rPr>
            </w:pPr>
            <w:bookmarkStart w:id="870" w:name="_Toc223980474"/>
            <w:r w:rsidRPr="00304E43">
              <w:rPr>
                <w:noProof/>
                <w:sz w:val="20"/>
                <w:szCs w:val="20"/>
              </w:rPr>
              <w:t>127.7</w:t>
            </w:r>
            <w:bookmarkEnd w:id="870"/>
          </w:p>
        </w:tc>
        <w:tc>
          <w:tcPr>
            <w:tcW w:w="828" w:type="pct"/>
            <w:tcBorders>
              <w:top w:val="nil"/>
              <w:left w:val="nil"/>
              <w:bottom w:val="single" w:sz="4" w:space="0" w:color="auto"/>
              <w:right w:val="single" w:sz="4" w:space="0" w:color="auto"/>
            </w:tcBorders>
            <w:shd w:val="clear" w:color="000000" w:fill="FFFFFF"/>
            <w:noWrap/>
            <w:hideMark/>
          </w:tcPr>
          <w:p w14:paraId="5228437A" w14:textId="79F7D3D3" w:rsidR="00304E43" w:rsidRPr="00304E43" w:rsidRDefault="00304E43" w:rsidP="00304E43">
            <w:pPr>
              <w:jc w:val="right"/>
              <w:outlineLvl w:val="0"/>
              <w:rPr>
                <w:noProof/>
                <w:sz w:val="20"/>
                <w:szCs w:val="20"/>
              </w:rPr>
            </w:pPr>
            <w:bookmarkStart w:id="871" w:name="_Toc223980475"/>
            <w:r w:rsidRPr="00304E43">
              <w:rPr>
                <w:noProof/>
                <w:sz w:val="20"/>
                <w:szCs w:val="20"/>
              </w:rPr>
              <w:t>20.0</w:t>
            </w:r>
            <w:bookmarkEnd w:id="871"/>
          </w:p>
        </w:tc>
        <w:tc>
          <w:tcPr>
            <w:tcW w:w="828" w:type="pct"/>
            <w:tcBorders>
              <w:top w:val="nil"/>
              <w:left w:val="nil"/>
              <w:bottom w:val="single" w:sz="4" w:space="0" w:color="auto"/>
              <w:right w:val="single" w:sz="4" w:space="0" w:color="auto"/>
            </w:tcBorders>
            <w:shd w:val="clear" w:color="000000" w:fill="FFFFFF"/>
            <w:noWrap/>
            <w:hideMark/>
          </w:tcPr>
          <w:p w14:paraId="6DB18A64" w14:textId="338651FE" w:rsidR="00304E43" w:rsidRPr="00304E43" w:rsidRDefault="00304E43" w:rsidP="00304E43">
            <w:pPr>
              <w:jc w:val="right"/>
              <w:outlineLvl w:val="0"/>
              <w:rPr>
                <w:noProof/>
                <w:sz w:val="20"/>
                <w:szCs w:val="20"/>
              </w:rPr>
            </w:pPr>
            <w:bookmarkStart w:id="872" w:name="_Toc223980476"/>
            <w:r w:rsidRPr="00304E43">
              <w:rPr>
                <w:noProof/>
                <w:sz w:val="20"/>
                <w:szCs w:val="20"/>
              </w:rPr>
              <w:t>30.0</w:t>
            </w:r>
            <w:bookmarkEnd w:id="872"/>
          </w:p>
        </w:tc>
        <w:tc>
          <w:tcPr>
            <w:tcW w:w="828" w:type="pct"/>
            <w:tcBorders>
              <w:top w:val="nil"/>
              <w:left w:val="nil"/>
              <w:bottom w:val="single" w:sz="4" w:space="0" w:color="auto"/>
              <w:right w:val="single" w:sz="4" w:space="0" w:color="auto"/>
            </w:tcBorders>
            <w:shd w:val="clear" w:color="000000" w:fill="FFFFFF"/>
            <w:noWrap/>
            <w:hideMark/>
          </w:tcPr>
          <w:p w14:paraId="4F170DD2" w14:textId="43045F5B" w:rsidR="00304E43" w:rsidRPr="00304E43" w:rsidRDefault="00304E43" w:rsidP="00304E43">
            <w:pPr>
              <w:jc w:val="right"/>
              <w:outlineLvl w:val="0"/>
              <w:rPr>
                <w:noProof/>
                <w:sz w:val="20"/>
                <w:szCs w:val="20"/>
              </w:rPr>
            </w:pPr>
            <w:bookmarkStart w:id="873" w:name="_Toc223980477"/>
            <w:r w:rsidRPr="00304E43">
              <w:rPr>
                <w:noProof/>
                <w:sz w:val="20"/>
                <w:szCs w:val="20"/>
              </w:rPr>
              <w:t>22.5</w:t>
            </w:r>
            <w:bookmarkEnd w:id="873"/>
          </w:p>
        </w:tc>
      </w:tr>
      <w:tr w:rsidR="00304E43" w:rsidRPr="008F6B42" w14:paraId="229A04B6"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0A7B009" w14:textId="77777777" w:rsidR="00304E43" w:rsidRPr="008F6B42" w:rsidRDefault="00304E43" w:rsidP="00304E43">
            <w:pPr>
              <w:outlineLvl w:val="0"/>
              <w:rPr>
                <w:noProof/>
                <w:sz w:val="20"/>
                <w:szCs w:val="20"/>
              </w:rPr>
            </w:pPr>
            <w:r w:rsidRPr="008F6B42">
              <w:rPr>
                <w:noProof/>
                <w:sz w:val="20"/>
                <w:szCs w:val="20"/>
              </w:rPr>
              <w:t xml:space="preserve"> </w:t>
            </w:r>
            <w:bookmarkStart w:id="874" w:name="_Toc223980478"/>
            <w:r w:rsidRPr="008F6B42">
              <w:rPr>
                <w:noProof/>
                <w:sz w:val="20"/>
                <w:szCs w:val="20"/>
              </w:rPr>
              <w:t>Spain</w:t>
            </w:r>
            <w:bookmarkEnd w:id="87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C19370B" w14:textId="19CAF6FC" w:rsidR="00304E43" w:rsidRPr="00304E43" w:rsidRDefault="00304E43" w:rsidP="00304E43">
            <w:pPr>
              <w:jc w:val="right"/>
              <w:outlineLvl w:val="0"/>
              <w:rPr>
                <w:noProof/>
                <w:sz w:val="20"/>
                <w:szCs w:val="20"/>
              </w:rPr>
            </w:pPr>
            <w:bookmarkStart w:id="875" w:name="_Toc223980479"/>
            <w:r w:rsidRPr="00304E43">
              <w:rPr>
                <w:noProof/>
                <w:sz w:val="20"/>
                <w:szCs w:val="20"/>
              </w:rPr>
              <w:t>102.2</w:t>
            </w:r>
            <w:bookmarkEnd w:id="875"/>
          </w:p>
        </w:tc>
        <w:tc>
          <w:tcPr>
            <w:tcW w:w="828" w:type="pct"/>
            <w:tcBorders>
              <w:top w:val="nil"/>
              <w:left w:val="nil"/>
              <w:bottom w:val="single" w:sz="4" w:space="0" w:color="auto"/>
              <w:right w:val="single" w:sz="4" w:space="0" w:color="auto"/>
            </w:tcBorders>
            <w:shd w:val="clear" w:color="000000" w:fill="FFFFFF"/>
            <w:noWrap/>
            <w:hideMark/>
          </w:tcPr>
          <w:p w14:paraId="0E615872" w14:textId="1A71DB9E" w:rsidR="00304E43" w:rsidRPr="00304E43" w:rsidRDefault="00304E43" w:rsidP="00304E43">
            <w:pPr>
              <w:jc w:val="right"/>
              <w:outlineLvl w:val="0"/>
              <w:rPr>
                <w:noProof/>
                <w:sz w:val="20"/>
                <w:szCs w:val="20"/>
              </w:rPr>
            </w:pPr>
            <w:bookmarkStart w:id="876" w:name="_Toc223980480"/>
            <w:r w:rsidRPr="00304E43">
              <w:rPr>
                <w:noProof/>
                <w:sz w:val="20"/>
                <w:szCs w:val="20"/>
              </w:rPr>
              <w:t>16.0</w:t>
            </w:r>
            <w:bookmarkEnd w:id="876"/>
          </w:p>
        </w:tc>
        <w:tc>
          <w:tcPr>
            <w:tcW w:w="828" w:type="pct"/>
            <w:tcBorders>
              <w:top w:val="nil"/>
              <w:left w:val="nil"/>
              <w:bottom w:val="single" w:sz="4" w:space="0" w:color="auto"/>
              <w:right w:val="single" w:sz="4" w:space="0" w:color="auto"/>
            </w:tcBorders>
            <w:shd w:val="clear" w:color="000000" w:fill="FFFFFF"/>
            <w:noWrap/>
            <w:hideMark/>
          </w:tcPr>
          <w:p w14:paraId="478AD0C6" w14:textId="1D030D79" w:rsidR="00304E43" w:rsidRPr="00304E43" w:rsidRDefault="00304E43" w:rsidP="00304E43">
            <w:pPr>
              <w:jc w:val="right"/>
              <w:outlineLvl w:val="0"/>
              <w:rPr>
                <w:noProof/>
                <w:sz w:val="20"/>
                <w:szCs w:val="20"/>
              </w:rPr>
            </w:pPr>
            <w:bookmarkStart w:id="877" w:name="_Toc223980481"/>
            <w:r w:rsidRPr="00304E43">
              <w:rPr>
                <w:noProof/>
                <w:sz w:val="20"/>
                <w:szCs w:val="20"/>
              </w:rPr>
              <w:t>24.0</w:t>
            </w:r>
            <w:bookmarkEnd w:id="877"/>
          </w:p>
        </w:tc>
        <w:tc>
          <w:tcPr>
            <w:tcW w:w="828" w:type="pct"/>
            <w:tcBorders>
              <w:top w:val="nil"/>
              <w:left w:val="nil"/>
              <w:bottom w:val="single" w:sz="4" w:space="0" w:color="auto"/>
              <w:right w:val="single" w:sz="4" w:space="0" w:color="auto"/>
            </w:tcBorders>
            <w:shd w:val="clear" w:color="000000" w:fill="FFFFFF"/>
            <w:noWrap/>
            <w:hideMark/>
          </w:tcPr>
          <w:p w14:paraId="33782115" w14:textId="1928A2F7" w:rsidR="00304E43" w:rsidRPr="00304E43" w:rsidRDefault="00304E43" w:rsidP="00304E43">
            <w:pPr>
              <w:jc w:val="right"/>
              <w:outlineLvl w:val="0"/>
              <w:rPr>
                <w:noProof/>
                <w:sz w:val="20"/>
                <w:szCs w:val="20"/>
              </w:rPr>
            </w:pPr>
            <w:bookmarkStart w:id="878" w:name="_Toc223980482"/>
            <w:r w:rsidRPr="00304E43">
              <w:rPr>
                <w:noProof/>
                <w:sz w:val="20"/>
                <w:szCs w:val="20"/>
              </w:rPr>
              <w:t>18.0</w:t>
            </w:r>
            <w:bookmarkEnd w:id="878"/>
          </w:p>
        </w:tc>
      </w:tr>
      <w:tr w:rsidR="00304E43" w:rsidRPr="008F6B42" w14:paraId="5743A0D3"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09B38B0B" w14:textId="77777777" w:rsidR="00304E43" w:rsidRPr="008F6B42" w:rsidRDefault="00304E43" w:rsidP="00304E43">
            <w:pPr>
              <w:outlineLvl w:val="0"/>
              <w:rPr>
                <w:noProof/>
                <w:sz w:val="20"/>
                <w:szCs w:val="20"/>
              </w:rPr>
            </w:pPr>
            <w:r w:rsidRPr="008F6B42">
              <w:rPr>
                <w:noProof/>
                <w:sz w:val="20"/>
                <w:szCs w:val="20"/>
              </w:rPr>
              <w:t xml:space="preserve"> </w:t>
            </w:r>
            <w:bookmarkStart w:id="879" w:name="_Toc223980483"/>
            <w:r w:rsidRPr="008F6B42">
              <w:rPr>
                <w:noProof/>
                <w:sz w:val="20"/>
                <w:szCs w:val="20"/>
              </w:rPr>
              <w:t>Netherlands</w:t>
            </w:r>
            <w:bookmarkEnd w:id="87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47E9DF11" w14:textId="4700A690" w:rsidR="00304E43" w:rsidRPr="00304E43" w:rsidRDefault="00304E43" w:rsidP="00304E43">
            <w:pPr>
              <w:jc w:val="right"/>
              <w:outlineLvl w:val="0"/>
              <w:rPr>
                <w:noProof/>
                <w:sz w:val="20"/>
                <w:szCs w:val="20"/>
              </w:rPr>
            </w:pPr>
            <w:bookmarkStart w:id="880" w:name="_Toc223980484"/>
            <w:r w:rsidRPr="00304E43">
              <w:rPr>
                <w:noProof/>
                <w:sz w:val="20"/>
                <w:szCs w:val="20"/>
              </w:rPr>
              <w:t>255.4</w:t>
            </w:r>
            <w:bookmarkEnd w:id="880"/>
          </w:p>
        </w:tc>
        <w:tc>
          <w:tcPr>
            <w:tcW w:w="828" w:type="pct"/>
            <w:tcBorders>
              <w:top w:val="nil"/>
              <w:left w:val="nil"/>
              <w:bottom w:val="single" w:sz="4" w:space="0" w:color="auto"/>
              <w:right w:val="single" w:sz="4" w:space="0" w:color="auto"/>
            </w:tcBorders>
            <w:shd w:val="clear" w:color="000000" w:fill="FFFFFF"/>
            <w:noWrap/>
            <w:hideMark/>
          </w:tcPr>
          <w:p w14:paraId="721F603F" w14:textId="7F02AB10" w:rsidR="00304E43" w:rsidRPr="00304E43" w:rsidRDefault="00304E43" w:rsidP="00304E43">
            <w:pPr>
              <w:jc w:val="right"/>
              <w:outlineLvl w:val="0"/>
              <w:rPr>
                <w:noProof/>
                <w:sz w:val="20"/>
                <w:szCs w:val="20"/>
              </w:rPr>
            </w:pPr>
            <w:bookmarkStart w:id="881" w:name="_Toc223980485"/>
            <w:r w:rsidRPr="00304E43">
              <w:rPr>
                <w:noProof/>
                <w:sz w:val="20"/>
                <w:szCs w:val="20"/>
              </w:rPr>
              <w:t>39.9</w:t>
            </w:r>
            <w:bookmarkEnd w:id="881"/>
          </w:p>
        </w:tc>
        <w:tc>
          <w:tcPr>
            <w:tcW w:w="828" w:type="pct"/>
            <w:tcBorders>
              <w:top w:val="nil"/>
              <w:left w:val="nil"/>
              <w:bottom w:val="single" w:sz="4" w:space="0" w:color="auto"/>
              <w:right w:val="single" w:sz="4" w:space="0" w:color="auto"/>
            </w:tcBorders>
            <w:shd w:val="clear" w:color="000000" w:fill="FFFFFF"/>
            <w:noWrap/>
            <w:hideMark/>
          </w:tcPr>
          <w:p w14:paraId="38BC3F42" w14:textId="24699354" w:rsidR="00304E43" w:rsidRPr="00304E43" w:rsidRDefault="00304E43" w:rsidP="00304E43">
            <w:pPr>
              <w:jc w:val="right"/>
              <w:outlineLvl w:val="0"/>
              <w:rPr>
                <w:noProof/>
                <w:sz w:val="20"/>
                <w:szCs w:val="20"/>
              </w:rPr>
            </w:pPr>
            <w:bookmarkStart w:id="882" w:name="_Toc223980486"/>
            <w:r w:rsidRPr="00304E43">
              <w:rPr>
                <w:noProof/>
                <w:sz w:val="20"/>
                <w:szCs w:val="20"/>
              </w:rPr>
              <w:t>60.1</w:t>
            </w:r>
            <w:bookmarkEnd w:id="882"/>
          </w:p>
        </w:tc>
        <w:tc>
          <w:tcPr>
            <w:tcW w:w="828" w:type="pct"/>
            <w:tcBorders>
              <w:top w:val="nil"/>
              <w:left w:val="nil"/>
              <w:bottom w:val="single" w:sz="4" w:space="0" w:color="auto"/>
              <w:right w:val="single" w:sz="4" w:space="0" w:color="auto"/>
            </w:tcBorders>
            <w:shd w:val="clear" w:color="000000" w:fill="FFFFFF"/>
            <w:noWrap/>
            <w:hideMark/>
          </w:tcPr>
          <w:p w14:paraId="28D38FE2" w14:textId="0145C394" w:rsidR="00304E43" w:rsidRPr="00304E43" w:rsidRDefault="00304E43" w:rsidP="00304E43">
            <w:pPr>
              <w:jc w:val="right"/>
              <w:outlineLvl w:val="0"/>
              <w:rPr>
                <w:noProof/>
                <w:sz w:val="20"/>
                <w:szCs w:val="20"/>
              </w:rPr>
            </w:pPr>
            <w:bookmarkStart w:id="883" w:name="_Toc223980487"/>
            <w:r w:rsidRPr="00304E43">
              <w:rPr>
                <w:noProof/>
                <w:sz w:val="20"/>
                <w:szCs w:val="20"/>
              </w:rPr>
              <w:t>45.0</w:t>
            </w:r>
            <w:bookmarkEnd w:id="883"/>
          </w:p>
        </w:tc>
      </w:tr>
      <w:tr w:rsidR="00304E43" w:rsidRPr="008F6B42" w14:paraId="1F9634EE"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587DA2AE" w14:textId="77777777" w:rsidR="00304E43" w:rsidRPr="008F6B42" w:rsidRDefault="00304E43" w:rsidP="00304E43">
            <w:pPr>
              <w:outlineLvl w:val="0"/>
              <w:rPr>
                <w:noProof/>
                <w:sz w:val="20"/>
                <w:szCs w:val="20"/>
              </w:rPr>
            </w:pPr>
            <w:r w:rsidRPr="008F6B42">
              <w:rPr>
                <w:noProof/>
                <w:sz w:val="20"/>
                <w:szCs w:val="20"/>
              </w:rPr>
              <w:t xml:space="preserve"> </w:t>
            </w:r>
            <w:bookmarkStart w:id="884" w:name="_Toc223980488"/>
            <w:r w:rsidRPr="008F6B42">
              <w:rPr>
                <w:noProof/>
                <w:sz w:val="20"/>
                <w:szCs w:val="20"/>
              </w:rPr>
              <w:t>France</w:t>
            </w:r>
            <w:bookmarkEnd w:id="88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66D6D9DB" w14:textId="6C6CB1DF" w:rsidR="00304E43" w:rsidRPr="00304E43" w:rsidRDefault="00304E43" w:rsidP="00304E43">
            <w:pPr>
              <w:jc w:val="right"/>
              <w:outlineLvl w:val="0"/>
              <w:rPr>
                <w:noProof/>
                <w:sz w:val="20"/>
                <w:szCs w:val="20"/>
              </w:rPr>
            </w:pPr>
            <w:bookmarkStart w:id="885" w:name="_Toc223980489"/>
            <w:r w:rsidRPr="00304E43">
              <w:rPr>
                <w:noProof/>
                <w:sz w:val="20"/>
                <w:szCs w:val="20"/>
              </w:rPr>
              <w:t>332.0</w:t>
            </w:r>
            <w:bookmarkEnd w:id="885"/>
          </w:p>
        </w:tc>
        <w:tc>
          <w:tcPr>
            <w:tcW w:w="828" w:type="pct"/>
            <w:tcBorders>
              <w:top w:val="nil"/>
              <w:left w:val="nil"/>
              <w:bottom w:val="single" w:sz="4" w:space="0" w:color="auto"/>
              <w:right w:val="single" w:sz="4" w:space="0" w:color="auto"/>
            </w:tcBorders>
            <w:shd w:val="clear" w:color="000000" w:fill="FFFFFF"/>
            <w:noWrap/>
            <w:hideMark/>
          </w:tcPr>
          <w:p w14:paraId="5B708EEF" w14:textId="20F09F31" w:rsidR="00304E43" w:rsidRPr="00304E43" w:rsidRDefault="00304E43" w:rsidP="00304E43">
            <w:pPr>
              <w:jc w:val="right"/>
              <w:outlineLvl w:val="0"/>
              <w:rPr>
                <w:noProof/>
                <w:sz w:val="20"/>
                <w:szCs w:val="20"/>
              </w:rPr>
            </w:pPr>
            <w:bookmarkStart w:id="886" w:name="_Toc223980490"/>
            <w:r w:rsidRPr="00304E43">
              <w:rPr>
                <w:noProof/>
                <w:sz w:val="20"/>
                <w:szCs w:val="20"/>
              </w:rPr>
              <w:t>51.9</w:t>
            </w:r>
            <w:bookmarkEnd w:id="886"/>
          </w:p>
        </w:tc>
        <w:tc>
          <w:tcPr>
            <w:tcW w:w="828" w:type="pct"/>
            <w:tcBorders>
              <w:top w:val="nil"/>
              <w:left w:val="nil"/>
              <w:bottom w:val="single" w:sz="4" w:space="0" w:color="auto"/>
              <w:right w:val="single" w:sz="4" w:space="0" w:color="auto"/>
            </w:tcBorders>
            <w:shd w:val="clear" w:color="000000" w:fill="FFFFFF"/>
            <w:noWrap/>
            <w:hideMark/>
          </w:tcPr>
          <w:p w14:paraId="082841A4" w14:textId="4A17DE76" w:rsidR="00304E43" w:rsidRPr="00304E43" w:rsidRDefault="00304E43" w:rsidP="00304E43">
            <w:pPr>
              <w:jc w:val="right"/>
              <w:outlineLvl w:val="0"/>
              <w:rPr>
                <w:noProof/>
                <w:sz w:val="20"/>
                <w:szCs w:val="20"/>
              </w:rPr>
            </w:pPr>
            <w:bookmarkStart w:id="887" w:name="_Toc223980491"/>
            <w:r w:rsidRPr="00304E43">
              <w:rPr>
                <w:noProof/>
                <w:sz w:val="20"/>
                <w:szCs w:val="20"/>
              </w:rPr>
              <w:t>78.1</w:t>
            </w:r>
            <w:bookmarkEnd w:id="887"/>
          </w:p>
        </w:tc>
        <w:tc>
          <w:tcPr>
            <w:tcW w:w="828" w:type="pct"/>
            <w:tcBorders>
              <w:top w:val="nil"/>
              <w:left w:val="nil"/>
              <w:bottom w:val="single" w:sz="4" w:space="0" w:color="auto"/>
              <w:right w:val="single" w:sz="4" w:space="0" w:color="auto"/>
            </w:tcBorders>
            <w:shd w:val="clear" w:color="000000" w:fill="FFFFFF"/>
            <w:noWrap/>
            <w:hideMark/>
          </w:tcPr>
          <w:p w14:paraId="0B6AE9C0" w14:textId="10BE2F89" w:rsidR="00304E43" w:rsidRPr="00304E43" w:rsidRDefault="00304E43" w:rsidP="00304E43">
            <w:pPr>
              <w:jc w:val="right"/>
              <w:outlineLvl w:val="0"/>
              <w:rPr>
                <w:noProof/>
                <w:sz w:val="20"/>
                <w:szCs w:val="20"/>
              </w:rPr>
            </w:pPr>
            <w:bookmarkStart w:id="888" w:name="_Toc223980492"/>
            <w:r w:rsidRPr="00304E43">
              <w:rPr>
                <w:noProof/>
                <w:sz w:val="20"/>
                <w:szCs w:val="20"/>
              </w:rPr>
              <w:t>58.5</w:t>
            </w:r>
            <w:bookmarkEnd w:id="888"/>
          </w:p>
        </w:tc>
      </w:tr>
      <w:tr w:rsidR="00304E43" w:rsidRPr="008F6B42" w14:paraId="53BC8AC9"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079618E" w14:textId="77777777" w:rsidR="00304E43" w:rsidRPr="008F6B42" w:rsidRDefault="00304E43" w:rsidP="00304E43">
            <w:pPr>
              <w:outlineLvl w:val="0"/>
              <w:rPr>
                <w:noProof/>
                <w:sz w:val="20"/>
                <w:szCs w:val="20"/>
              </w:rPr>
            </w:pPr>
            <w:r w:rsidRPr="008F6B42">
              <w:rPr>
                <w:noProof/>
                <w:sz w:val="20"/>
                <w:szCs w:val="20"/>
              </w:rPr>
              <w:t xml:space="preserve"> </w:t>
            </w:r>
            <w:bookmarkStart w:id="889" w:name="_Toc223980493"/>
            <w:r w:rsidRPr="008F6B42">
              <w:rPr>
                <w:noProof/>
                <w:sz w:val="20"/>
                <w:szCs w:val="20"/>
              </w:rPr>
              <w:t>Poland</w:t>
            </w:r>
            <w:bookmarkEnd w:id="88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BA06F49" w14:textId="6B324600" w:rsidR="00304E43" w:rsidRPr="00304E43" w:rsidRDefault="00304E43" w:rsidP="00304E43">
            <w:pPr>
              <w:jc w:val="right"/>
              <w:outlineLvl w:val="0"/>
              <w:rPr>
                <w:noProof/>
                <w:sz w:val="20"/>
                <w:szCs w:val="20"/>
              </w:rPr>
            </w:pPr>
            <w:bookmarkStart w:id="890" w:name="_Toc223980494"/>
            <w:r w:rsidRPr="00304E43">
              <w:rPr>
                <w:noProof/>
                <w:sz w:val="20"/>
                <w:szCs w:val="20"/>
              </w:rPr>
              <w:t>178.8</w:t>
            </w:r>
            <w:bookmarkEnd w:id="890"/>
          </w:p>
        </w:tc>
        <w:tc>
          <w:tcPr>
            <w:tcW w:w="828" w:type="pct"/>
            <w:tcBorders>
              <w:top w:val="nil"/>
              <w:left w:val="nil"/>
              <w:bottom w:val="single" w:sz="4" w:space="0" w:color="auto"/>
              <w:right w:val="single" w:sz="4" w:space="0" w:color="auto"/>
            </w:tcBorders>
            <w:shd w:val="clear" w:color="000000" w:fill="FFFFFF"/>
            <w:noWrap/>
            <w:hideMark/>
          </w:tcPr>
          <w:p w14:paraId="44DA102C" w14:textId="02B466CA" w:rsidR="00304E43" w:rsidRPr="00304E43" w:rsidRDefault="00304E43" w:rsidP="00304E43">
            <w:pPr>
              <w:jc w:val="right"/>
              <w:outlineLvl w:val="0"/>
              <w:rPr>
                <w:noProof/>
                <w:sz w:val="20"/>
                <w:szCs w:val="20"/>
              </w:rPr>
            </w:pPr>
            <w:bookmarkStart w:id="891" w:name="_Toc223980495"/>
            <w:r w:rsidRPr="00304E43">
              <w:rPr>
                <w:noProof/>
                <w:sz w:val="20"/>
                <w:szCs w:val="20"/>
              </w:rPr>
              <w:t>27.9</w:t>
            </w:r>
            <w:bookmarkEnd w:id="891"/>
          </w:p>
        </w:tc>
        <w:tc>
          <w:tcPr>
            <w:tcW w:w="828" w:type="pct"/>
            <w:tcBorders>
              <w:top w:val="nil"/>
              <w:left w:val="nil"/>
              <w:bottom w:val="single" w:sz="4" w:space="0" w:color="auto"/>
              <w:right w:val="single" w:sz="4" w:space="0" w:color="auto"/>
            </w:tcBorders>
            <w:shd w:val="clear" w:color="000000" w:fill="FFFFFF"/>
            <w:noWrap/>
            <w:hideMark/>
          </w:tcPr>
          <w:p w14:paraId="7CAB3ADA" w14:textId="5DD7FF5D" w:rsidR="00304E43" w:rsidRPr="00304E43" w:rsidRDefault="00304E43" w:rsidP="00304E43">
            <w:pPr>
              <w:jc w:val="right"/>
              <w:outlineLvl w:val="0"/>
              <w:rPr>
                <w:noProof/>
                <w:sz w:val="20"/>
                <w:szCs w:val="20"/>
              </w:rPr>
            </w:pPr>
            <w:bookmarkStart w:id="892" w:name="_Toc223980496"/>
            <w:r w:rsidRPr="00304E43">
              <w:rPr>
                <w:noProof/>
                <w:sz w:val="20"/>
                <w:szCs w:val="20"/>
              </w:rPr>
              <w:t>42.0</w:t>
            </w:r>
            <w:bookmarkEnd w:id="892"/>
          </w:p>
        </w:tc>
        <w:tc>
          <w:tcPr>
            <w:tcW w:w="828" w:type="pct"/>
            <w:tcBorders>
              <w:top w:val="nil"/>
              <w:left w:val="nil"/>
              <w:bottom w:val="single" w:sz="4" w:space="0" w:color="auto"/>
              <w:right w:val="single" w:sz="4" w:space="0" w:color="auto"/>
            </w:tcBorders>
            <w:shd w:val="clear" w:color="000000" w:fill="FFFFFF"/>
            <w:noWrap/>
            <w:hideMark/>
          </w:tcPr>
          <w:p w14:paraId="4FFDB95A" w14:textId="426C8487" w:rsidR="00304E43" w:rsidRPr="00304E43" w:rsidRDefault="00304E43" w:rsidP="00304E43">
            <w:pPr>
              <w:jc w:val="right"/>
              <w:outlineLvl w:val="0"/>
              <w:rPr>
                <w:noProof/>
                <w:sz w:val="20"/>
                <w:szCs w:val="20"/>
              </w:rPr>
            </w:pPr>
            <w:bookmarkStart w:id="893" w:name="_Toc223980497"/>
            <w:r w:rsidRPr="00304E43">
              <w:rPr>
                <w:noProof/>
                <w:sz w:val="20"/>
                <w:szCs w:val="20"/>
              </w:rPr>
              <w:t>31.5</w:t>
            </w:r>
            <w:bookmarkEnd w:id="893"/>
          </w:p>
        </w:tc>
      </w:tr>
      <w:tr w:rsidR="00304E43" w:rsidRPr="008F6B42" w14:paraId="246A7384"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032519BD" w14:textId="77777777" w:rsidR="00304E43" w:rsidRPr="008F6B42" w:rsidRDefault="00304E43" w:rsidP="00304E43">
            <w:pPr>
              <w:outlineLvl w:val="0"/>
              <w:rPr>
                <w:noProof/>
                <w:sz w:val="20"/>
                <w:szCs w:val="20"/>
              </w:rPr>
            </w:pPr>
            <w:r w:rsidRPr="008F6B42">
              <w:rPr>
                <w:noProof/>
                <w:sz w:val="20"/>
                <w:szCs w:val="20"/>
              </w:rPr>
              <w:t xml:space="preserve"> </w:t>
            </w:r>
            <w:bookmarkStart w:id="894" w:name="_Toc223980498"/>
            <w:r w:rsidRPr="008F6B42">
              <w:rPr>
                <w:noProof/>
                <w:sz w:val="20"/>
                <w:szCs w:val="20"/>
              </w:rPr>
              <w:t>Italy</w:t>
            </w:r>
            <w:bookmarkEnd w:id="89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41591D89" w14:textId="5825158B" w:rsidR="00304E43" w:rsidRPr="00304E43" w:rsidRDefault="00304E43" w:rsidP="00304E43">
            <w:pPr>
              <w:jc w:val="right"/>
              <w:outlineLvl w:val="0"/>
              <w:rPr>
                <w:noProof/>
                <w:sz w:val="20"/>
                <w:szCs w:val="20"/>
              </w:rPr>
            </w:pPr>
            <w:bookmarkStart w:id="895" w:name="_Toc223980499"/>
            <w:r w:rsidRPr="00304E43">
              <w:rPr>
                <w:noProof/>
                <w:sz w:val="20"/>
                <w:szCs w:val="20"/>
              </w:rPr>
              <w:t>153.2</w:t>
            </w:r>
            <w:bookmarkEnd w:id="895"/>
          </w:p>
        </w:tc>
        <w:tc>
          <w:tcPr>
            <w:tcW w:w="828" w:type="pct"/>
            <w:tcBorders>
              <w:top w:val="nil"/>
              <w:left w:val="nil"/>
              <w:bottom w:val="single" w:sz="4" w:space="0" w:color="auto"/>
              <w:right w:val="single" w:sz="4" w:space="0" w:color="auto"/>
            </w:tcBorders>
            <w:shd w:val="clear" w:color="000000" w:fill="FFFFFF"/>
            <w:noWrap/>
            <w:hideMark/>
          </w:tcPr>
          <w:p w14:paraId="12CEDB41" w14:textId="21B861EB" w:rsidR="00304E43" w:rsidRPr="00304E43" w:rsidRDefault="00304E43" w:rsidP="00304E43">
            <w:pPr>
              <w:jc w:val="right"/>
              <w:outlineLvl w:val="0"/>
              <w:rPr>
                <w:noProof/>
                <w:sz w:val="20"/>
                <w:szCs w:val="20"/>
              </w:rPr>
            </w:pPr>
            <w:bookmarkStart w:id="896" w:name="_Toc223980500"/>
            <w:r w:rsidRPr="00304E43">
              <w:rPr>
                <w:noProof/>
                <w:sz w:val="20"/>
                <w:szCs w:val="20"/>
              </w:rPr>
              <w:t>24.0</w:t>
            </w:r>
            <w:bookmarkEnd w:id="896"/>
          </w:p>
        </w:tc>
        <w:tc>
          <w:tcPr>
            <w:tcW w:w="828" w:type="pct"/>
            <w:tcBorders>
              <w:top w:val="nil"/>
              <w:left w:val="nil"/>
              <w:bottom w:val="single" w:sz="4" w:space="0" w:color="auto"/>
              <w:right w:val="single" w:sz="4" w:space="0" w:color="auto"/>
            </w:tcBorders>
            <w:shd w:val="clear" w:color="000000" w:fill="FFFFFF"/>
            <w:noWrap/>
            <w:hideMark/>
          </w:tcPr>
          <w:p w14:paraId="24BE05DC" w14:textId="399147D8" w:rsidR="00304E43" w:rsidRPr="00304E43" w:rsidRDefault="00304E43" w:rsidP="00304E43">
            <w:pPr>
              <w:jc w:val="right"/>
              <w:outlineLvl w:val="0"/>
              <w:rPr>
                <w:noProof/>
                <w:sz w:val="20"/>
                <w:szCs w:val="20"/>
              </w:rPr>
            </w:pPr>
            <w:bookmarkStart w:id="897" w:name="_Toc223980501"/>
            <w:r w:rsidRPr="00304E43">
              <w:rPr>
                <w:noProof/>
                <w:sz w:val="20"/>
                <w:szCs w:val="20"/>
              </w:rPr>
              <w:t>36.0</w:t>
            </w:r>
            <w:bookmarkEnd w:id="897"/>
          </w:p>
        </w:tc>
        <w:tc>
          <w:tcPr>
            <w:tcW w:w="828" w:type="pct"/>
            <w:tcBorders>
              <w:top w:val="nil"/>
              <w:left w:val="nil"/>
              <w:bottom w:val="single" w:sz="4" w:space="0" w:color="auto"/>
              <w:right w:val="single" w:sz="4" w:space="0" w:color="auto"/>
            </w:tcBorders>
            <w:shd w:val="clear" w:color="000000" w:fill="FFFFFF"/>
            <w:noWrap/>
            <w:hideMark/>
          </w:tcPr>
          <w:p w14:paraId="28F39A12" w14:textId="157DEA49" w:rsidR="00304E43" w:rsidRPr="00304E43" w:rsidRDefault="00304E43" w:rsidP="00304E43">
            <w:pPr>
              <w:jc w:val="right"/>
              <w:outlineLvl w:val="0"/>
              <w:rPr>
                <w:noProof/>
                <w:sz w:val="20"/>
                <w:szCs w:val="20"/>
              </w:rPr>
            </w:pPr>
            <w:bookmarkStart w:id="898" w:name="_Toc223980502"/>
            <w:r w:rsidRPr="00304E43">
              <w:rPr>
                <w:noProof/>
                <w:sz w:val="20"/>
                <w:szCs w:val="20"/>
              </w:rPr>
              <w:t>27.0</w:t>
            </w:r>
            <w:bookmarkEnd w:id="898"/>
          </w:p>
        </w:tc>
      </w:tr>
      <w:tr w:rsidR="00304E43" w:rsidRPr="008F6B42" w14:paraId="7E8C5952"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2DE53AA" w14:textId="77777777" w:rsidR="00304E43" w:rsidRPr="008F6B42" w:rsidRDefault="00304E43" w:rsidP="00304E43">
            <w:pPr>
              <w:outlineLvl w:val="0"/>
              <w:rPr>
                <w:noProof/>
                <w:sz w:val="20"/>
                <w:szCs w:val="20"/>
              </w:rPr>
            </w:pPr>
            <w:r w:rsidRPr="008F6B42">
              <w:rPr>
                <w:noProof/>
                <w:sz w:val="20"/>
                <w:szCs w:val="20"/>
              </w:rPr>
              <w:t xml:space="preserve"> </w:t>
            </w:r>
            <w:bookmarkStart w:id="899" w:name="_Toc223980503"/>
            <w:r w:rsidRPr="008F6B42">
              <w:rPr>
                <w:noProof/>
                <w:sz w:val="20"/>
                <w:szCs w:val="20"/>
              </w:rPr>
              <w:t>Belgium</w:t>
            </w:r>
            <w:bookmarkEnd w:id="89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463C69E3" w14:textId="1A91AA92" w:rsidR="00304E43" w:rsidRPr="00304E43" w:rsidRDefault="00304E43" w:rsidP="00304E43">
            <w:pPr>
              <w:jc w:val="right"/>
              <w:outlineLvl w:val="0"/>
              <w:rPr>
                <w:noProof/>
                <w:sz w:val="20"/>
                <w:szCs w:val="20"/>
              </w:rPr>
            </w:pPr>
            <w:bookmarkStart w:id="900" w:name="_Toc223980504"/>
            <w:r w:rsidRPr="00304E43">
              <w:rPr>
                <w:noProof/>
                <w:sz w:val="20"/>
                <w:szCs w:val="20"/>
              </w:rPr>
              <w:t>153.2</w:t>
            </w:r>
            <w:bookmarkEnd w:id="900"/>
          </w:p>
        </w:tc>
        <w:tc>
          <w:tcPr>
            <w:tcW w:w="828" w:type="pct"/>
            <w:tcBorders>
              <w:top w:val="nil"/>
              <w:left w:val="nil"/>
              <w:bottom w:val="single" w:sz="4" w:space="0" w:color="auto"/>
              <w:right w:val="single" w:sz="4" w:space="0" w:color="auto"/>
            </w:tcBorders>
            <w:shd w:val="clear" w:color="000000" w:fill="FFFFFF"/>
            <w:noWrap/>
            <w:hideMark/>
          </w:tcPr>
          <w:p w14:paraId="16B70E19" w14:textId="6149516B" w:rsidR="00304E43" w:rsidRPr="00304E43" w:rsidRDefault="00304E43" w:rsidP="00304E43">
            <w:pPr>
              <w:jc w:val="right"/>
              <w:outlineLvl w:val="0"/>
              <w:rPr>
                <w:noProof/>
                <w:sz w:val="20"/>
                <w:szCs w:val="20"/>
              </w:rPr>
            </w:pPr>
            <w:bookmarkStart w:id="901" w:name="_Toc223980505"/>
            <w:r w:rsidRPr="00304E43">
              <w:rPr>
                <w:noProof/>
                <w:sz w:val="20"/>
                <w:szCs w:val="20"/>
              </w:rPr>
              <w:t>24.0</w:t>
            </w:r>
            <w:bookmarkEnd w:id="901"/>
          </w:p>
        </w:tc>
        <w:tc>
          <w:tcPr>
            <w:tcW w:w="828" w:type="pct"/>
            <w:tcBorders>
              <w:top w:val="nil"/>
              <w:left w:val="nil"/>
              <w:bottom w:val="single" w:sz="4" w:space="0" w:color="auto"/>
              <w:right w:val="single" w:sz="4" w:space="0" w:color="auto"/>
            </w:tcBorders>
            <w:shd w:val="clear" w:color="000000" w:fill="FFFFFF"/>
            <w:noWrap/>
            <w:hideMark/>
          </w:tcPr>
          <w:p w14:paraId="07A48663" w14:textId="54C5606B" w:rsidR="00304E43" w:rsidRPr="00304E43" w:rsidRDefault="00304E43" w:rsidP="00304E43">
            <w:pPr>
              <w:jc w:val="right"/>
              <w:outlineLvl w:val="0"/>
              <w:rPr>
                <w:noProof/>
                <w:sz w:val="20"/>
                <w:szCs w:val="20"/>
              </w:rPr>
            </w:pPr>
            <w:bookmarkStart w:id="902" w:name="_Toc223980506"/>
            <w:r w:rsidRPr="00304E43">
              <w:rPr>
                <w:noProof/>
                <w:sz w:val="20"/>
                <w:szCs w:val="20"/>
              </w:rPr>
              <w:t>36.0</w:t>
            </w:r>
            <w:bookmarkEnd w:id="902"/>
          </w:p>
        </w:tc>
        <w:tc>
          <w:tcPr>
            <w:tcW w:w="828" w:type="pct"/>
            <w:tcBorders>
              <w:top w:val="nil"/>
              <w:left w:val="nil"/>
              <w:bottom w:val="single" w:sz="4" w:space="0" w:color="auto"/>
              <w:right w:val="single" w:sz="4" w:space="0" w:color="auto"/>
            </w:tcBorders>
            <w:shd w:val="clear" w:color="000000" w:fill="FFFFFF"/>
            <w:noWrap/>
            <w:hideMark/>
          </w:tcPr>
          <w:p w14:paraId="4DC44B5F" w14:textId="3310CDF3" w:rsidR="00304E43" w:rsidRPr="00304E43" w:rsidRDefault="00304E43" w:rsidP="00304E43">
            <w:pPr>
              <w:jc w:val="right"/>
              <w:outlineLvl w:val="0"/>
              <w:rPr>
                <w:noProof/>
                <w:sz w:val="20"/>
                <w:szCs w:val="20"/>
              </w:rPr>
            </w:pPr>
            <w:bookmarkStart w:id="903" w:name="_Toc223980507"/>
            <w:r w:rsidRPr="00304E43">
              <w:rPr>
                <w:noProof/>
                <w:sz w:val="20"/>
                <w:szCs w:val="20"/>
              </w:rPr>
              <w:t>27.0</w:t>
            </w:r>
            <w:bookmarkEnd w:id="903"/>
          </w:p>
        </w:tc>
      </w:tr>
      <w:tr w:rsidR="00304E43" w:rsidRPr="008F6B42" w14:paraId="1E8F1D98"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94B8883" w14:textId="77777777" w:rsidR="00304E43" w:rsidRPr="008F6B42" w:rsidRDefault="00304E43" w:rsidP="00304E43">
            <w:pPr>
              <w:outlineLvl w:val="0"/>
              <w:rPr>
                <w:noProof/>
                <w:sz w:val="20"/>
                <w:szCs w:val="20"/>
              </w:rPr>
            </w:pPr>
            <w:r w:rsidRPr="008F6B42">
              <w:rPr>
                <w:noProof/>
                <w:sz w:val="20"/>
                <w:szCs w:val="20"/>
              </w:rPr>
              <w:t xml:space="preserve"> </w:t>
            </w:r>
            <w:bookmarkStart w:id="904" w:name="_Toc223980508"/>
            <w:r w:rsidRPr="008F6B42">
              <w:rPr>
                <w:noProof/>
                <w:sz w:val="20"/>
                <w:szCs w:val="20"/>
              </w:rPr>
              <w:t>Portugal</w:t>
            </w:r>
            <w:bookmarkEnd w:id="90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1C0EED2" w14:textId="26B9BE64" w:rsidR="00304E43" w:rsidRPr="00304E43" w:rsidRDefault="00304E43" w:rsidP="00304E43">
            <w:pPr>
              <w:jc w:val="right"/>
              <w:outlineLvl w:val="0"/>
              <w:rPr>
                <w:noProof/>
                <w:sz w:val="20"/>
                <w:szCs w:val="20"/>
              </w:rPr>
            </w:pPr>
            <w:bookmarkStart w:id="905" w:name="_Toc223980509"/>
            <w:r w:rsidRPr="00304E43">
              <w:rPr>
                <w:noProof/>
                <w:sz w:val="20"/>
                <w:szCs w:val="20"/>
              </w:rPr>
              <w:t>51.1</w:t>
            </w:r>
            <w:bookmarkEnd w:id="905"/>
          </w:p>
        </w:tc>
        <w:tc>
          <w:tcPr>
            <w:tcW w:w="828" w:type="pct"/>
            <w:tcBorders>
              <w:top w:val="nil"/>
              <w:left w:val="nil"/>
              <w:bottom w:val="single" w:sz="4" w:space="0" w:color="auto"/>
              <w:right w:val="single" w:sz="4" w:space="0" w:color="auto"/>
            </w:tcBorders>
            <w:shd w:val="clear" w:color="000000" w:fill="FFFFFF"/>
            <w:noWrap/>
            <w:hideMark/>
          </w:tcPr>
          <w:p w14:paraId="3196B0FA" w14:textId="3EC9D75F" w:rsidR="00304E43" w:rsidRPr="00304E43" w:rsidRDefault="00304E43" w:rsidP="00304E43">
            <w:pPr>
              <w:jc w:val="right"/>
              <w:outlineLvl w:val="0"/>
              <w:rPr>
                <w:noProof/>
                <w:sz w:val="20"/>
                <w:szCs w:val="20"/>
              </w:rPr>
            </w:pPr>
            <w:bookmarkStart w:id="906" w:name="_Toc223980510"/>
            <w:r w:rsidRPr="00304E43">
              <w:rPr>
                <w:noProof/>
                <w:sz w:val="20"/>
                <w:szCs w:val="20"/>
              </w:rPr>
              <w:t>8.0</w:t>
            </w:r>
            <w:bookmarkEnd w:id="906"/>
          </w:p>
        </w:tc>
        <w:tc>
          <w:tcPr>
            <w:tcW w:w="828" w:type="pct"/>
            <w:tcBorders>
              <w:top w:val="nil"/>
              <w:left w:val="nil"/>
              <w:bottom w:val="single" w:sz="4" w:space="0" w:color="auto"/>
              <w:right w:val="single" w:sz="4" w:space="0" w:color="auto"/>
            </w:tcBorders>
            <w:shd w:val="clear" w:color="000000" w:fill="FFFFFF"/>
            <w:noWrap/>
            <w:hideMark/>
          </w:tcPr>
          <w:p w14:paraId="7D10339E" w14:textId="60583791" w:rsidR="00304E43" w:rsidRPr="00304E43" w:rsidRDefault="00304E43" w:rsidP="00304E43">
            <w:pPr>
              <w:jc w:val="right"/>
              <w:outlineLvl w:val="0"/>
              <w:rPr>
                <w:noProof/>
                <w:sz w:val="20"/>
                <w:szCs w:val="20"/>
              </w:rPr>
            </w:pPr>
            <w:bookmarkStart w:id="907" w:name="_Toc223980511"/>
            <w:r w:rsidRPr="00304E43">
              <w:rPr>
                <w:noProof/>
                <w:sz w:val="20"/>
                <w:szCs w:val="20"/>
              </w:rPr>
              <w:t>12.0</w:t>
            </w:r>
            <w:bookmarkEnd w:id="907"/>
          </w:p>
        </w:tc>
        <w:tc>
          <w:tcPr>
            <w:tcW w:w="828" w:type="pct"/>
            <w:tcBorders>
              <w:top w:val="nil"/>
              <w:left w:val="nil"/>
              <w:bottom w:val="single" w:sz="4" w:space="0" w:color="auto"/>
              <w:right w:val="single" w:sz="4" w:space="0" w:color="auto"/>
            </w:tcBorders>
            <w:shd w:val="clear" w:color="000000" w:fill="FFFFFF"/>
            <w:noWrap/>
            <w:hideMark/>
          </w:tcPr>
          <w:p w14:paraId="71993B91" w14:textId="3358B0A2" w:rsidR="00304E43" w:rsidRPr="00304E43" w:rsidRDefault="00304E43" w:rsidP="00304E43">
            <w:pPr>
              <w:jc w:val="right"/>
              <w:outlineLvl w:val="0"/>
              <w:rPr>
                <w:noProof/>
                <w:sz w:val="20"/>
                <w:szCs w:val="20"/>
              </w:rPr>
            </w:pPr>
            <w:bookmarkStart w:id="908" w:name="_Toc223980512"/>
            <w:r w:rsidRPr="00304E43">
              <w:rPr>
                <w:noProof/>
                <w:sz w:val="20"/>
                <w:szCs w:val="20"/>
              </w:rPr>
              <w:t>9.0</w:t>
            </w:r>
            <w:bookmarkEnd w:id="908"/>
          </w:p>
        </w:tc>
      </w:tr>
      <w:tr w:rsidR="00304E43" w:rsidRPr="008F6B42" w14:paraId="7D6DB932"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736F03B1" w14:textId="77777777" w:rsidR="00304E43" w:rsidRPr="008F6B42" w:rsidRDefault="00304E43" w:rsidP="00304E43">
            <w:pPr>
              <w:outlineLvl w:val="0"/>
              <w:rPr>
                <w:noProof/>
                <w:sz w:val="20"/>
                <w:szCs w:val="20"/>
              </w:rPr>
            </w:pPr>
            <w:r w:rsidRPr="008F6B42">
              <w:rPr>
                <w:noProof/>
                <w:sz w:val="20"/>
                <w:szCs w:val="20"/>
              </w:rPr>
              <w:t xml:space="preserve"> </w:t>
            </w:r>
            <w:bookmarkStart w:id="909" w:name="_Toc223980513"/>
            <w:r w:rsidRPr="008F6B42">
              <w:rPr>
                <w:noProof/>
                <w:sz w:val="20"/>
                <w:szCs w:val="20"/>
              </w:rPr>
              <w:t>Malta</w:t>
            </w:r>
            <w:bookmarkEnd w:id="90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04ED9557" w14:textId="6C7D1376" w:rsidR="00304E43" w:rsidRPr="00304E43" w:rsidRDefault="00304E43" w:rsidP="00304E43">
            <w:pPr>
              <w:jc w:val="right"/>
              <w:outlineLvl w:val="0"/>
              <w:rPr>
                <w:noProof/>
                <w:sz w:val="20"/>
                <w:szCs w:val="20"/>
              </w:rPr>
            </w:pPr>
            <w:bookmarkStart w:id="910" w:name="_Toc223980514"/>
            <w:r w:rsidRPr="00304E43">
              <w:rPr>
                <w:noProof/>
                <w:sz w:val="20"/>
                <w:szCs w:val="20"/>
              </w:rPr>
              <w:t>25.5</w:t>
            </w:r>
            <w:bookmarkEnd w:id="910"/>
          </w:p>
        </w:tc>
        <w:tc>
          <w:tcPr>
            <w:tcW w:w="828" w:type="pct"/>
            <w:tcBorders>
              <w:top w:val="nil"/>
              <w:left w:val="nil"/>
              <w:bottom w:val="single" w:sz="4" w:space="0" w:color="auto"/>
              <w:right w:val="single" w:sz="4" w:space="0" w:color="auto"/>
            </w:tcBorders>
            <w:shd w:val="clear" w:color="000000" w:fill="FFFFFF"/>
            <w:noWrap/>
            <w:hideMark/>
          </w:tcPr>
          <w:p w14:paraId="2986DDC8" w14:textId="15608331" w:rsidR="00304E43" w:rsidRPr="00304E43" w:rsidRDefault="00304E43" w:rsidP="00304E43">
            <w:pPr>
              <w:jc w:val="right"/>
              <w:outlineLvl w:val="0"/>
              <w:rPr>
                <w:noProof/>
                <w:sz w:val="20"/>
                <w:szCs w:val="20"/>
              </w:rPr>
            </w:pPr>
            <w:bookmarkStart w:id="911" w:name="_Toc223980515"/>
            <w:r w:rsidRPr="00304E43">
              <w:rPr>
                <w:noProof/>
                <w:sz w:val="20"/>
                <w:szCs w:val="20"/>
              </w:rPr>
              <w:t>4.0</w:t>
            </w:r>
            <w:bookmarkEnd w:id="911"/>
          </w:p>
        </w:tc>
        <w:tc>
          <w:tcPr>
            <w:tcW w:w="828" w:type="pct"/>
            <w:tcBorders>
              <w:top w:val="nil"/>
              <w:left w:val="nil"/>
              <w:bottom w:val="single" w:sz="4" w:space="0" w:color="auto"/>
              <w:right w:val="single" w:sz="4" w:space="0" w:color="auto"/>
            </w:tcBorders>
            <w:shd w:val="clear" w:color="000000" w:fill="FFFFFF"/>
            <w:noWrap/>
            <w:hideMark/>
          </w:tcPr>
          <w:p w14:paraId="35F71DD2" w14:textId="3295A2E1" w:rsidR="00304E43" w:rsidRPr="00304E43" w:rsidRDefault="00304E43" w:rsidP="00304E43">
            <w:pPr>
              <w:jc w:val="right"/>
              <w:outlineLvl w:val="0"/>
              <w:rPr>
                <w:noProof/>
                <w:sz w:val="20"/>
                <w:szCs w:val="20"/>
              </w:rPr>
            </w:pPr>
            <w:bookmarkStart w:id="912" w:name="_Toc223980516"/>
            <w:r w:rsidRPr="00304E43">
              <w:rPr>
                <w:noProof/>
                <w:sz w:val="20"/>
                <w:szCs w:val="20"/>
              </w:rPr>
              <w:t>6.0</w:t>
            </w:r>
            <w:bookmarkEnd w:id="912"/>
          </w:p>
        </w:tc>
        <w:tc>
          <w:tcPr>
            <w:tcW w:w="828" w:type="pct"/>
            <w:tcBorders>
              <w:top w:val="nil"/>
              <w:left w:val="nil"/>
              <w:bottom w:val="single" w:sz="4" w:space="0" w:color="auto"/>
              <w:right w:val="single" w:sz="4" w:space="0" w:color="auto"/>
            </w:tcBorders>
            <w:shd w:val="clear" w:color="000000" w:fill="FFFFFF"/>
            <w:noWrap/>
            <w:hideMark/>
          </w:tcPr>
          <w:p w14:paraId="643FC4CC" w14:textId="31964E6E" w:rsidR="00304E43" w:rsidRPr="00304E43" w:rsidRDefault="00304E43" w:rsidP="00304E43">
            <w:pPr>
              <w:jc w:val="right"/>
              <w:outlineLvl w:val="0"/>
              <w:rPr>
                <w:noProof/>
                <w:sz w:val="20"/>
                <w:szCs w:val="20"/>
              </w:rPr>
            </w:pPr>
            <w:bookmarkStart w:id="913" w:name="_Toc223980517"/>
            <w:r w:rsidRPr="00304E43">
              <w:rPr>
                <w:noProof/>
                <w:sz w:val="20"/>
                <w:szCs w:val="20"/>
              </w:rPr>
              <w:t>4.5</w:t>
            </w:r>
            <w:bookmarkEnd w:id="913"/>
          </w:p>
        </w:tc>
      </w:tr>
      <w:tr w:rsidR="00304E43" w:rsidRPr="008F6B42" w14:paraId="39437C5D"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7566B35D" w14:textId="77777777" w:rsidR="00304E43" w:rsidRPr="008F6B42" w:rsidRDefault="00304E43" w:rsidP="00304E43">
            <w:pPr>
              <w:outlineLvl w:val="0"/>
              <w:rPr>
                <w:noProof/>
                <w:sz w:val="20"/>
                <w:szCs w:val="20"/>
              </w:rPr>
            </w:pPr>
            <w:r w:rsidRPr="008F6B42">
              <w:rPr>
                <w:noProof/>
                <w:sz w:val="20"/>
                <w:szCs w:val="20"/>
              </w:rPr>
              <w:t xml:space="preserve"> </w:t>
            </w:r>
            <w:bookmarkStart w:id="914" w:name="_Toc223980518"/>
            <w:r w:rsidRPr="008F6B42">
              <w:rPr>
                <w:noProof/>
                <w:sz w:val="20"/>
                <w:szCs w:val="20"/>
              </w:rPr>
              <w:t>Cyprus</w:t>
            </w:r>
            <w:bookmarkEnd w:id="91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7FFBEEE4" w14:textId="6E4BB0BE" w:rsidR="00304E43" w:rsidRPr="00304E43" w:rsidRDefault="00304E43" w:rsidP="00304E43">
            <w:pPr>
              <w:jc w:val="right"/>
              <w:outlineLvl w:val="0"/>
              <w:rPr>
                <w:noProof/>
                <w:sz w:val="20"/>
                <w:szCs w:val="20"/>
              </w:rPr>
            </w:pPr>
            <w:bookmarkStart w:id="915" w:name="_Toc223980519"/>
            <w:r w:rsidRPr="00304E43">
              <w:rPr>
                <w:noProof/>
                <w:sz w:val="20"/>
                <w:szCs w:val="20"/>
              </w:rPr>
              <w:t>25.5</w:t>
            </w:r>
            <w:bookmarkEnd w:id="915"/>
          </w:p>
        </w:tc>
        <w:tc>
          <w:tcPr>
            <w:tcW w:w="828" w:type="pct"/>
            <w:tcBorders>
              <w:top w:val="nil"/>
              <w:left w:val="nil"/>
              <w:bottom w:val="single" w:sz="4" w:space="0" w:color="auto"/>
              <w:right w:val="single" w:sz="4" w:space="0" w:color="auto"/>
            </w:tcBorders>
            <w:shd w:val="clear" w:color="000000" w:fill="FFFFFF"/>
            <w:noWrap/>
            <w:hideMark/>
          </w:tcPr>
          <w:p w14:paraId="7F08A79F" w14:textId="68C8609B" w:rsidR="00304E43" w:rsidRPr="00304E43" w:rsidRDefault="00304E43" w:rsidP="00304E43">
            <w:pPr>
              <w:jc w:val="right"/>
              <w:outlineLvl w:val="0"/>
              <w:rPr>
                <w:noProof/>
                <w:sz w:val="20"/>
                <w:szCs w:val="20"/>
              </w:rPr>
            </w:pPr>
            <w:bookmarkStart w:id="916" w:name="_Toc223980520"/>
            <w:r w:rsidRPr="00304E43">
              <w:rPr>
                <w:noProof/>
                <w:sz w:val="20"/>
                <w:szCs w:val="20"/>
              </w:rPr>
              <w:t>4.0</w:t>
            </w:r>
            <w:bookmarkEnd w:id="916"/>
          </w:p>
        </w:tc>
        <w:tc>
          <w:tcPr>
            <w:tcW w:w="828" w:type="pct"/>
            <w:tcBorders>
              <w:top w:val="nil"/>
              <w:left w:val="nil"/>
              <w:bottom w:val="single" w:sz="4" w:space="0" w:color="auto"/>
              <w:right w:val="single" w:sz="4" w:space="0" w:color="auto"/>
            </w:tcBorders>
            <w:shd w:val="clear" w:color="000000" w:fill="FFFFFF"/>
            <w:noWrap/>
            <w:hideMark/>
          </w:tcPr>
          <w:p w14:paraId="0A137647" w14:textId="6A2F169D" w:rsidR="00304E43" w:rsidRPr="00304E43" w:rsidRDefault="00304E43" w:rsidP="00304E43">
            <w:pPr>
              <w:jc w:val="right"/>
              <w:outlineLvl w:val="0"/>
              <w:rPr>
                <w:noProof/>
                <w:sz w:val="20"/>
                <w:szCs w:val="20"/>
              </w:rPr>
            </w:pPr>
            <w:bookmarkStart w:id="917" w:name="_Toc223980521"/>
            <w:r w:rsidRPr="00304E43">
              <w:rPr>
                <w:noProof/>
                <w:sz w:val="20"/>
                <w:szCs w:val="20"/>
              </w:rPr>
              <w:t>6.0</w:t>
            </w:r>
            <w:bookmarkEnd w:id="917"/>
          </w:p>
        </w:tc>
        <w:tc>
          <w:tcPr>
            <w:tcW w:w="828" w:type="pct"/>
            <w:tcBorders>
              <w:top w:val="nil"/>
              <w:left w:val="nil"/>
              <w:bottom w:val="single" w:sz="4" w:space="0" w:color="auto"/>
              <w:right w:val="single" w:sz="4" w:space="0" w:color="auto"/>
            </w:tcBorders>
            <w:shd w:val="clear" w:color="000000" w:fill="FFFFFF"/>
            <w:noWrap/>
            <w:hideMark/>
          </w:tcPr>
          <w:p w14:paraId="27AD2A7B" w14:textId="2B836BFD" w:rsidR="00304E43" w:rsidRPr="00304E43" w:rsidRDefault="00304E43" w:rsidP="00304E43">
            <w:pPr>
              <w:jc w:val="right"/>
              <w:outlineLvl w:val="0"/>
              <w:rPr>
                <w:noProof/>
                <w:sz w:val="20"/>
                <w:szCs w:val="20"/>
              </w:rPr>
            </w:pPr>
            <w:bookmarkStart w:id="918" w:name="_Toc223980522"/>
            <w:r w:rsidRPr="00304E43">
              <w:rPr>
                <w:noProof/>
                <w:sz w:val="20"/>
                <w:szCs w:val="20"/>
              </w:rPr>
              <w:t>4.5</w:t>
            </w:r>
            <w:bookmarkEnd w:id="918"/>
          </w:p>
        </w:tc>
      </w:tr>
      <w:tr w:rsidR="00304E43" w:rsidRPr="008F6B42" w14:paraId="05449225"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D06C0CB" w14:textId="77777777" w:rsidR="00304E43" w:rsidRPr="008F6B42" w:rsidRDefault="00304E43" w:rsidP="00304E43">
            <w:pPr>
              <w:outlineLvl w:val="0"/>
              <w:rPr>
                <w:noProof/>
                <w:sz w:val="20"/>
                <w:szCs w:val="20"/>
              </w:rPr>
            </w:pPr>
            <w:r w:rsidRPr="008F6B42">
              <w:rPr>
                <w:noProof/>
                <w:sz w:val="20"/>
                <w:szCs w:val="20"/>
              </w:rPr>
              <w:t xml:space="preserve"> </w:t>
            </w:r>
            <w:bookmarkStart w:id="919" w:name="_Toc223980523"/>
            <w:r w:rsidRPr="008F6B42">
              <w:rPr>
                <w:noProof/>
                <w:sz w:val="20"/>
                <w:szCs w:val="20"/>
              </w:rPr>
              <w:t>Greece</w:t>
            </w:r>
            <w:bookmarkEnd w:id="91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371F10C0" w14:textId="6BD2926A" w:rsidR="00304E43" w:rsidRPr="00304E43" w:rsidRDefault="00304E43" w:rsidP="00304E43">
            <w:pPr>
              <w:jc w:val="right"/>
              <w:outlineLvl w:val="0"/>
              <w:rPr>
                <w:noProof/>
                <w:sz w:val="20"/>
                <w:szCs w:val="20"/>
              </w:rPr>
            </w:pPr>
            <w:bookmarkStart w:id="920" w:name="_Toc223980524"/>
            <w:r w:rsidRPr="00304E43">
              <w:rPr>
                <w:noProof/>
                <w:sz w:val="20"/>
                <w:szCs w:val="20"/>
              </w:rPr>
              <w:t>51.1</w:t>
            </w:r>
            <w:bookmarkEnd w:id="920"/>
          </w:p>
        </w:tc>
        <w:tc>
          <w:tcPr>
            <w:tcW w:w="828" w:type="pct"/>
            <w:tcBorders>
              <w:top w:val="nil"/>
              <w:left w:val="nil"/>
              <w:bottom w:val="single" w:sz="4" w:space="0" w:color="auto"/>
              <w:right w:val="single" w:sz="4" w:space="0" w:color="auto"/>
            </w:tcBorders>
            <w:shd w:val="clear" w:color="000000" w:fill="FFFFFF"/>
            <w:noWrap/>
            <w:hideMark/>
          </w:tcPr>
          <w:p w14:paraId="3DD269E5" w14:textId="0847CD9E" w:rsidR="00304E43" w:rsidRPr="00304E43" w:rsidRDefault="00304E43" w:rsidP="00304E43">
            <w:pPr>
              <w:jc w:val="right"/>
              <w:outlineLvl w:val="0"/>
              <w:rPr>
                <w:noProof/>
                <w:sz w:val="20"/>
                <w:szCs w:val="20"/>
              </w:rPr>
            </w:pPr>
            <w:bookmarkStart w:id="921" w:name="_Toc223980525"/>
            <w:r w:rsidRPr="00304E43">
              <w:rPr>
                <w:noProof/>
                <w:sz w:val="20"/>
                <w:szCs w:val="20"/>
              </w:rPr>
              <w:t>8.0</w:t>
            </w:r>
            <w:bookmarkEnd w:id="921"/>
          </w:p>
        </w:tc>
        <w:tc>
          <w:tcPr>
            <w:tcW w:w="828" w:type="pct"/>
            <w:tcBorders>
              <w:top w:val="nil"/>
              <w:left w:val="nil"/>
              <w:bottom w:val="single" w:sz="4" w:space="0" w:color="auto"/>
              <w:right w:val="single" w:sz="4" w:space="0" w:color="auto"/>
            </w:tcBorders>
            <w:shd w:val="clear" w:color="000000" w:fill="FFFFFF"/>
            <w:noWrap/>
            <w:hideMark/>
          </w:tcPr>
          <w:p w14:paraId="4C354F5B" w14:textId="45A7E976" w:rsidR="00304E43" w:rsidRPr="00304E43" w:rsidRDefault="00304E43" w:rsidP="00304E43">
            <w:pPr>
              <w:jc w:val="right"/>
              <w:outlineLvl w:val="0"/>
              <w:rPr>
                <w:noProof/>
                <w:sz w:val="20"/>
                <w:szCs w:val="20"/>
              </w:rPr>
            </w:pPr>
            <w:bookmarkStart w:id="922" w:name="_Toc223980526"/>
            <w:r w:rsidRPr="00304E43">
              <w:rPr>
                <w:noProof/>
                <w:sz w:val="20"/>
                <w:szCs w:val="20"/>
              </w:rPr>
              <w:t>12.0</w:t>
            </w:r>
            <w:bookmarkEnd w:id="922"/>
          </w:p>
        </w:tc>
        <w:tc>
          <w:tcPr>
            <w:tcW w:w="828" w:type="pct"/>
            <w:tcBorders>
              <w:top w:val="nil"/>
              <w:left w:val="nil"/>
              <w:bottom w:val="single" w:sz="4" w:space="0" w:color="auto"/>
              <w:right w:val="single" w:sz="4" w:space="0" w:color="auto"/>
            </w:tcBorders>
            <w:shd w:val="clear" w:color="000000" w:fill="FFFFFF"/>
            <w:noWrap/>
            <w:hideMark/>
          </w:tcPr>
          <w:p w14:paraId="343235BE" w14:textId="55B41D25" w:rsidR="00304E43" w:rsidRPr="00304E43" w:rsidRDefault="00304E43" w:rsidP="00304E43">
            <w:pPr>
              <w:jc w:val="right"/>
              <w:outlineLvl w:val="0"/>
              <w:rPr>
                <w:noProof/>
                <w:sz w:val="20"/>
                <w:szCs w:val="20"/>
              </w:rPr>
            </w:pPr>
            <w:bookmarkStart w:id="923" w:name="_Toc223980527"/>
            <w:r w:rsidRPr="00304E43">
              <w:rPr>
                <w:noProof/>
                <w:sz w:val="20"/>
                <w:szCs w:val="20"/>
              </w:rPr>
              <w:t>9.0</w:t>
            </w:r>
            <w:bookmarkEnd w:id="923"/>
          </w:p>
        </w:tc>
      </w:tr>
      <w:tr w:rsidR="00304E43" w:rsidRPr="008F6B42" w14:paraId="469CC546"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32A739EF" w14:textId="77777777" w:rsidR="00304E43" w:rsidRPr="008F6B42" w:rsidRDefault="00304E43" w:rsidP="00304E43">
            <w:pPr>
              <w:outlineLvl w:val="0"/>
              <w:rPr>
                <w:noProof/>
                <w:sz w:val="20"/>
                <w:szCs w:val="20"/>
              </w:rPr>
            </w:pPr>
            <w:r w:rsidRPr="008F6B42">
              <w:rPr>
                <w:noProof/>
                <w:sz w:val="20"/>
                <w:szCs w:val="20"/>
              </w:rPr>
              <w:t xml:space="preserve"> </w:t>
            </w:r>
            <w:bookmarkStart w:id="924" w:name="_Toc223980528"/>
            <w:r w:rsidRPr="008F6B42">
              <w:rPr>
                <w:noProof/>
                <w:sz w:val="20"/>
                <w:szCs w:val="20"/>
              </w:rPr>
              <w:t>Bulgaria</w:t>
            </w:r>
            <w:bookmarkEnd w:id="92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4664AE8" w14:textId="77777777" w:rsidR="00304E43" w:rsidRPr="00304E43" w:rsidRDefault="00304E43" w:rsidP="00304E43">
            <w:pPr>
              <w:jc w:val="right"/>
              <w:outlineLvl w:val="0"/>
              <w:rPr>
                <w:noProof/>
                <w:sz w:val="20"/>
                <w:szCs w:val="20"/>
              </w:rPr>
            </w:pPr>
            <w:bookmarkStart w:id="925" w:name="_Toc223980529"/>
            <w:r w:rsidRPr="00304E43">
              <w:rPr>
                <w:noProof/>
                <w:sz w:val="20"/>
                <w:szCs w:val="20"/>
              </w:rPr>
              <w:t>0.0</w:t>
            </w:r>
            <w:bookmarkEnd w:id="925"/>
          </w:p>
        </w:tc>
        <w:tc>
          <w:tcPr>
            <w:tcW w:w="828" w:type="pct"/>
            <w:tcBorders>
              <w:top w:val="nil"/>
              <w:left w:val="nil"/>
              <w:bottom w:val="single" w:sz="4" w:space="0" w:color="auto"/>
              <w:right w:val="single" w:sz="4" w:space="0" w:color="auto"/>
            </w:tcBorders>
            <w:shd w:val="clear" w:color="000000" w:fill="FFFFFF"/>
            <w:noWrap/>
            <w:hideMark/>
          </w:tcPr>
          <w:p w14:paraId="73549240" w14:textId="77777777" w:rsidR="00304E43" w:rsidRPr="00304E43" w:rsidRDefault="00304E43" w:rsidP="00304E43">
            <w:pPr>
              <w:jc w:val="right"/>
              <w:outlineLvl w:val="0"/>
              <w:rPr>
                <w:noProof/>
                <w:sz w:val="20"/>
                <w:szCs w:val="20"/>
              </w:rPr>
            </w:pPr>
            <w:bookmarkStart w:id="926" w:name="_Toc223980530"/>
            <w:r w:rsidRPr="00304E43">
              <w:rPr>
                <w:noProof/>
                <w:sz w:val="20"/>
                <w:szCs w:val="20"/>
              </w:rPr>
              <w:t>0.0</w:t>
            </w:r>
            <w:bookmarkEnd w:id="926"/>
          </w:p>
        </w:tc>
        <w:tc>
          <w:tcPr>
            <w:tcW w:w="828" w:type="pct"/>
            <w:tcBorders>
              <w:top w:val="nil"/>
              <w:left w:val="nil"/>
              <w:bottom w:val="single" w:sz="4" w:space="0" w:color="auto"/>
              <w:right w:val="single" w:sz="4" w:space="0" w:color="auto"/>
            </w:tcBorders>
            <w:shd w:val="clear" w:color="000000" w:fill="FFFFFF"/>
            <w:noWrap/>
            <w:hideMark/>
          </w:tcPr>
          <w:p w14:paraId="0E7B97A4" w14:textId="77777777" w:rsidR="00304E43" w:rsidRPr="00304E43" w:rsidRDefault="00304E43" w:rsidP="00304E43">
            <w:pPr>
              <w:jc w:val="right"/>
              <w:outlineLvl w:val="0"/>
              <w:rPr>
                <w:noProof/>
                <w:sz w:val="20"/>
                <w:szCs w:val="20"/>
              </w:rPr>
            </w:pPr>
            <w:bookmarkStart w:id="927" w:name="_Toc223980531"/>
            <w:r w:rsidRPr="00304E43">
              <w:rPr>
                <w:noProof/>
                <w:sz w:val="20"/>
                <w:szCs w:val="20"/>
              </w:rPr>
              <w:t>0.0</w:t>
            </w:r>
            <w:bookmarkEnd w:id="927"/>
          </w:p>
        </w:tc>
        <w:tc>
          <w:tcPr>
            <w:tcW w:w="828" w:type="pct"/>
            <w:tcBorders>
              <w:top w:val="nil"/>
              <w:left w:val="nil"/>
              <w:bottom w:val="single" w:sz="4" w:space="0" w:color="auto"/>
              <w:right w:val="single" w:sz="4" w:space="0" w:color="auto"/>
            </w:tcBorders>
            <w:shd w:val="clear" w:color="000000" w:fill="FFFFFF"/>
            <w:noWrap/>
            <w:hideMark/>
          </w:tcPr>
          <w:p w14:paraId="367521C1" w14:textId="77777777" w:rsidR="00304E43" w:rsidRPr="00304E43" w:rsidRDefault="00304E43" w:rsidP="00304E43">
            <w:pPr>
              <w:jc w:val="right"/>
              <w:outlineLvl w:val="0"/>
              <w:rPr>
                <w:noProof/>
                <w:sz w:val="20"/>
                <w:szCs w:val="20"/>
              </w:rPr>
            </w:pPr>
            <w:bookmarkStart w:id="928" w:name="_Toc223980532"/>
            <w:r w:rsidRPr="00304E43">
              <w:rPr>
                <w:noProof/>
                <w:sz w:val="20"/>
                <w:szCs w:val="20"/>
              </w:rPr>
              <w:t>0.0</w:t>
            </w:r>
            <w:bookmarkEnd w:id="928"/>
          </w:p>
        </w:tc>
      </w:tr>
      <w:tr w:rsidR="00304E43" w:rsidRPr="008F6B42" w14:paraId="0FCF96DD"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0748F84F" w14:textId="77777777" w:rsidR="00304E43" w:rsidRPr="008F6B42" w:rsidRDefault="00304E43" w:rsidP="00304E43">
            <w:pPr>
              <w:outlineLvl w:val="0"/>
              <w:rPr>
                <w:noProof/>
                <w:sz w:val="20"/>
                <w:szCs w:val="20"/>
              </w:rPr>
            </w:pPr>
            <w:r w:rsidRPr="008F6B42">
              <w:rPr>
                <w:noProof/>
                <w:sz w:val="20"/>
                <w:szCs w:val="20"/>
              </w:rPr>
              <w:t xml:space="preserve"> </w:t>
            </w:r>
            <w:bookmarkStart w:id="929" w:name="_Toc223980533"/>
            <w:r w:rsidRPr="008F6B42">
              <w:rPr>
                <w:noProof/>
                <w:sz w:val="20"/>
                <w:szCs w:val="20"/>
              </w:rPr>
              <w:t>Estonia</w:t>
            </w:r>
            <w:bookmarkEnd w:id="92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56A9511" w14:textId="77777777" w:rsidR="00304E43" w:rsidRPr="00304E43" w:rsidRDefault="00304E43" w:rsidP="00304E43">
            <w:pPr>
              <w:jc w:val="right"/>
              <w:outlineLvl w:val="0"/>
              <w:rPr>
                <w:noProof/>
                <w:sz w:val="20"/>
                <w:szCs w:val="20"/>
              </w:rPr>
            </w:pPr>
            <w:bookmarkStart w:id="930" w:name="_Toc223980534"/>
            <w:r w:rsidRPr="00304E43">
              <w:rPr>
                <w:noProof/>
                <w:sz w:val="20"/>
                <w:szCs w:val="20"/>
              </w:rPr>
              <w:t>0.0</w:t>
            </w:r>
            <w:bookmarkEnd w:id="930"/>
          </w:p>
        </w:tc>
        <w:tc>
          <w:tcPr>
            <w:tcW w:w="828" w:type="pct"/>
            <w:tcBorders>
              <w:top w:val="nil"/>
              <w:left w:val="nil"/>
              <w:bottom w:val="single" w:sz="4" w:space="0" w:color="auto"/>
              <w:right w:val="single" w:sz="4" w:space="0" w:color="auto"/>
            </w:tcBorders>
            <w:shd w:val="clear" w:color="000000" w:fill="FFFFFF"/>
            <w:noWrap/>
            <w:hideMark/>
          </w:tcPr>
          <w:p w14:paraId="34E560A7" w14:textId="77777777" w:rsidR="00304E43" w:rsidRPr="00304E43" w:rsidRDefault="00304E43" w:rsidP="00304E43">
            <w:pPr>
              <w:jc w:val="right"/>
              <w:outlineLvl w:val="0"/>
              <w:rPr>
                <w:noProof/>
                <w:sz w:val="20"/>
                <w:szCs w:val="20"/>
              </w:rPr>
            </w:pPr>
            <w:bookmarkStart w:id="931" w:name="_Toc223980535"/>
            <w:r w:rsidRPr="00304E43">
              <w:rPr>
                <w:noProof/>
                <w:sz w:val="20"/>
                <w:szCs w:val="20"/>
              </w:rPr>
              <w:t>0.0</w:t>
            </w:r>
            <w:bookmarkEnd w:id="931"/>
          </w:p>
        </w:tc>
        <w:tc>
          <w:tcPr>
            <w:tcW w:w="828" w:type="pct"/>
            <w:tcBorders>
              <w:top w:val="nil"/>
              <w:left w:val="nil"/>
              <w:bottom w:val="single" w:sz="4" w:space="0" w:color="auto"/>
              <w:right w:val="single" w:sz="4" w:space="0" w:color="auto"/>
            </w:tcBorders>
            <w:shd w:val="clear" w:color="000000" w:fill="FFFFFF"/>
            <w:noWrap/>
            <w:hideMark/>
          </w:tcPr>
          <w:p w14:paraId="5EB9B857" w14:textId="77777777" w:rsidR="00304E43" w:rsidRPr="00304E43" w:rsidRDefault="00304E43" w:rsidP="00304E43">
            <w:pPr>
              <w:jc w:val="right"/>
              <w:outlineLvl w:val="0"/>
              <w:rPr>
                <w:noProof/>
                <w:sz w:val="20"/>
                <w:szCs w:val="20"/>
              </w:rPr>
            </w:pPr>
            <w:bookmarkStart w:id="932" w:name="_Toc223980536"/>
            <w:r w:rsidRPr="00304E43">
              <w:rPr>
                <w:noProof/>
                <w:sz w:val="20"/>
                <w:szCs w:val="20"/>
              </w:rPr>
              <w:t>0.0</w:t>
            </w:r>
            <w:bookmarkEnd w:id="932"/>
          </w:p>
        </w:tc>
        <w:tc>
          <w:tcPr>
            <w:tcW w:w="828" w:type="pct"/>
            <w:tcBorders>
              <w:top w:val="nil"/>
              <w:left w:val="nil"/>
              <w:bottom w:val="single" w:sz="4" w:space="0" w:color="auto"/>
              <w:right w:val="single" w:sz="4" w:space="0" w:color="auto"/>
            </w:tcBorders>
            <w:shd w:val="clear" w:color="000000" w:fill="FFFFFF"/>
            <w:noWrap/>
            <w:hideMark/>
          </w:tcPr>
          <w:p w14:paraId="15E1BAFF" w14:textId="77777777" w:rsidR="00304E43" w:rsidRPr="00304E43" w:rsidRDefault="00304E43" w:rsidP="00304E43">
            <w:pPr>
              <w:jc w:val="right"/>
              <w:outlineLvl w:val="0"/>
              <w:rPr>
                <w:noProof/>
                <w:sz w:val="20"/>
                <w:szCs w:val="20"/>
              </w:rPr>
            </w:pPr>
            <w:bookmarkStart w:id="933" w:name="_Toc223980537"/>
            <w:r w:rsidRPr="00304E43">
              <w:rPr>
                <w:noProof/>
                <w:sz w:val="20"/>
                <w:szCs w:val="20"/>
              </w:rPr>
              <w:t>0.0</w:t>
            </w:r>
            <w:bookmarkEnd w:id="933"/>
          </w:p>
        </w:tc>
      </w:tr>
      <w:tr w:rsidR="00304E43" w:rsidRPr="008F6B42" w14:paraId="06EEAE39"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9DB680A" w14:textId="77777777" w:rsidR="00304E43" w:rsidRPr="008F6B42" w:rsidRDefault="00304E43" w:rsidP="00304E43">
            <w:pPr>
              <w:outlineLvl w:val="0"/>
              <w:rPr>
                <w:noProof/>
                <w:sz w:val="20"/>
                <w:szCs w:val="20"/>
              </w:rPr>
            </w:pPr>
            <w:r w:rsidRPr="008F6B42">
              <w:rPr>
                <w:noProof/>
                <w:sz w:val="20"/>
                <w:szCs w:val="20"/>
              </w:rPr>
              <w:t xml:space="preserve"> </w:t>
            </w:r>
            <w:bookmarkStart w:id="934" w:name="_Toc223980538"/>
            <w:r w:rsidRPr="008F6B42">
              <w:rPr>
                <w:noProof/>
                <w:sz w:val="20"/>
                <w:szCs w:val="20"/>
              </w:rPr>
              <w:t>Croatia</w:t>
            </w:r>
            <w:bookmarkEnd w:id="93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6133139C" w14:textId="190398FE" w:rsidR="00304E43" w:rsidRPr="00304E43" w:rsidRDefault="00304E43" w:rsidP="00304E43">
            <w:pPr>
              <w:jc w:val="right"/>
              <w:outlineLvl w:val="0"/>
              <w:rPr>
                <w:noProof/>
                <w:sz w:val="20"/>
                <w:szCs w:val="20"/>
              </w:rPr>
            </w:pPr>
            <w:bookmarkStart w:id="935" w:name="_Toc223980539"/>
            <w:r w:rsidRPr="00304E43">
              <w:rPr>
                <w:noProof/>
                <w:sz w:val="20"/>
                <w:szCs w:val="20"/>
              </w:rPr>
              <w:t>25.5</w:t>
            </w:r>
            <w:bookmarkEnd w:id="935"/>
          </w:p>
        </w:tc>
        <w:tc>
          <w:tcPr>
            <w:tcW w:w="828" w:type="pct"/>
            <w:tcBorders>
              <w:top w:val="nil"/>
              <w:left w:val="nil"/>
              <w:bottom w:val="single" w:sz="4" w:space="0" w:color="auto"/>
              <w:right w:val="single" w:sz="4" w:space="0" w:color="auto"/>
            </w:tcBorders>
            <w:shd w:val="clear" w:color="000000" w:fill="FFFFFF"/>
            <w:noWrap/>
            <w:hideMark/>
          </w:tcPr>
          <w:p w14:paraId="7F84288D" w14:textId="3A1102B8" w:rsidR="00304E43" w:rsidRPr="00304E43" w:rsidRDefault="00304E43" w:rsidP="00304E43">
            <w:pPr>
              <w:jc w:val="right"/>
              <w:outlineLvl w:val="0"/>
              <w:rPr>
                <w:noProof/>
                <w:sz w:val="20"/>
                <w:szCs w:val="20"/>
              </w:rPr>
            </w:pPr>
            <w:bookmarkStart w:id="936" w:name="_Toc223980540"/>
            <w:r w:rsidRPr="00304E43">
              <w:rPr>
                <w:noProof/>
                <w:sz w:val="20"/>
                <w:szCs w:val="20"/>
              </w:rPr>
              <w:t>4.0</w:t>
            </w:r>
            <w:bookmarkEnd w:id="936"/>
          </w:p>
        </w:tc>
        <w:tc>
          <w:tcPr>
            <w:tcW w:w="828" w:type="pct"/>
            <w:tcBorders>
              <w:top w:val="nil"/>
              <w:left w:val="nil"/>
              <w:bottom w:val="single" w:sz="4" w:space="0" w:color="auto"/>
              <w:right w:val="single" w:sz="4" w:space="0" w:color="auto"/>
            </w:tcBorders>
            <w:shd w:val="clear" w:color="000000" w:fill="FFFFFF"/>
            <w:noWrap/>
            <w:hideMark/>
          </w:tcPr>
          <w:p w14:paraId="0C14A41C" w14:textId="39A21A65" w:rsidR="00304E43" w:rsidRPr="00304E43" w:rsidRDefault="00304E43" w:rsidP="00304E43">
            <w:pPr>
              <w:jc w:val="right"/>
              <w:outlineLvl w:val="0"/>
              <w:rPr>
                <w:noProof/>
                <w:sz w:val="20"/>
                <w:szCs w:val="20"/>
              </w:rPr>
            </w:pPr>
            <w:bookmarkStart w:id="937" w:name="_Toc223980541"/>
            <w:r w:rsidRPr="00304E43">
              <w:rPr>
                <w:noProof/>
                <w:sz w:val="20"/>
                <w:szCs w:val="20"/>
              </w:rPr>
              <w:t>6.0</w:t>
            </w:r>
            <w:bookmarkEnd w:id="937"/>
          </w:p>
        </w:tc>
        <w:tc>
          <w:tcPr>
            <w:tcW w:w="828" w:type="pct"/>
            <w:tcBorders>
              <w:top w:val="nil"/>
              <w:left w:val="nil"/>
              <w:bottom w:val="single" w:sz="4" w:space="0" w:color="auto"/>
              <w:right w:val="single" w:sz="4" w:space="0" w:color="auto"/>
            </w:tcBorders>
            <w:shd w:val="clear" w:color="000000" w:fill="FFFFFF"/>
            <w:noWrap/>
            <w:hideMark/>
          </w:tcPr>
          <w:p w14:paraId="0EE87574" w14:textId="1ADB6E75" w:rsidR="00304E43" w:rsidRPr="00304E43" w:rsidRDefault="00304E43" w:rsidP="00304E43">
            <w:pPr>
              <w:jc w:val="right"/>
              <w:outlineLvl w:val="0"/>
              <w:rPr>
                <w:noProof/>
                <w:sz w:val="20"/>
                <w:szCs w:val="20"/>
              </w:rPr>
            </w:pPr>
            <w:bookmarkStart w:id="938" w:name="_Toc223980542"/>
            <w:r w:rsidRPr="00304E43">
              <w:rPr>
                <w:noProof/>
                <w:sz w:val="20"/>
                <w:szCs w:val="20"/>
              </w:rPr>
              <w:t>4.5</w:t>
            </w:r>
            <w:bookmarkEnd w:id="938"/>
          </w:p>
        </w:tc>
      </w:tr>
      <w:tr w:rsidR="00304E43" w:rsidRPr="008F6B42" w14:paraId="4E244E12"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0D9E7456" w14:textId="77777777" w:rsidR="00304E43" w:rsidRPr="008F6B42" w:rsidRDefault="00304E43" w:rsidP="00304E43">
            <w:pPr>
              <w:outlineLvl w:val="0"/>
              <w:rPr>
                <w:noProof/>
                <w:sz w:val="20"/>
                <w:szCs w:val="20"/>
              </w:rPr>
            </w:pPr>
            <w:r w:rsidRPr="008F6B42">
              <w:rPr>
                <w:noProof/>
                <w:sz w:val="20"/>
                <w:szCs w:val="20"/>
              </w:rPr>
              <w:t xml:space="preserve"> </w:t>
            </w:r>
            <w:bookmarkStart w:id="939" w:name="_Toc223980543"/>
            <w:r w:rsidRPr="008F6B42">
              <w:rPr>
                <w:noProof/>
                <w:sz w:val="20"/>
                <w:szCs w:val="20"/>
              </w:rPr>
              <w:t>Lithuania</w:t>
            </w:r>
            <w:bookmarkEnd w:id="93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2E1C07E" w14:textId="77777777" w:rsidR="00304E43" w:rsidRPr="00304E43" w:rsidRDefault="00304E43" w:rsidP="00304E43">
            <w:pPr>
              <w:jc w:val="right"/>
              <w:outlineLvl w:val="0"/>
              <w:rPr>
                <w:noProof/>
                <w:sz w:val="20"/>
                <w:szCs w:val="20"/>
              </w:rPr>
            </w:pPr>
            <w:bookmarkStart w:id="940" w:name="_Toc223980544"/>
            <w:r w:rsidRPr="00304E43">
              <w:rPr>
                <w:noProof/>
                <w:sz w:val="20"/>
                <w:szCs w:val="20"/>
              </w:rPr>
              <w:t>0.0</w:t>
            </w:r>
            <w:bookmarkEnd w:id="940"/>
          </w:p>
        </w:tc>
        <w:tc>
          <w:tcPr>
            <w:tcW w:w="828" w:type="pct"/>
            <w:tcBorders>
              <w:top w:val="nil"/>
              <w:left w:val="nil"/>
              <w:bottom w:val="single" w:sz="4" w:space="0" w:color="auto"/>
              <w:right w:val="single" w:sz="4" w:space="0" w:color="auto"/>
            </w:tcBorders>
            <w:shd w:val="clear" w:color="000000" w:fill="FFFFFF"/>
            <w:noWrap/>
            <w:hideMark/>
          </w:tcPr>
          <w:p w14:paraId="79A24C8E" w14:textId="77777777" w:rsidR="00304E43" w:rsidRPr="00304E43" w:rsidRDefault="00304E43" w:rsidP="00304E43">
            <w:pPr>
              <w:jc w:val="right"/>
              <w:outlineLvl w:val="0"/>
              <w:rPr>
                <w:noProof/>
                <w:sz w:val="20"/>
                <w:szCs w:val="20"/>
              </w:rPr>
            </w:pPr>
            <w:bookmarkStart w:id="941" w:name="_Toc223980545"/>
            <w:r w:rsidRPr="00304E43">
              <w:rPr>
                <w:noProof/>
                <w:sz w:val="20"/>
                <w:szCs w:val="20"/>
              </w:rPr>
              <w:t>0.0</w:t>
            </w:r>
            <w:bookmarkEnd w:id="941"/>
          </w:p>
        </w:tc>
        <w:tc>
          <w:tcPr>
            <w:tcW w:w="828" w:type="pct"/>
            <w:tcBorders>
              <w:top w:val="nil"/>
              <w:left w:val="nil"/>
              <w:bottom w:val="single" w:sz="4" w:space="0" w:color="auto"/>
              <w:right w:val="single" w:sz="4" w:space="0" w:color="auto"/>
            </w:tcBorders>
            <w:shd w:val="clear" w:color="000000" w:fill="FFFFFF"/>
            <w:noWrap/>
            <w:hideMark/>
          </w:tcPr>
          <w:p w14:paraId="625FD8EC" w14:textId="77777777" w:rsidR="00304E43" w:rsidRPr="00304E43" w:rsidRDefault="00304E43" w:rsidP="00304E43">
            <w:pPr>
              <w:jc w:val="right"/>
              <w:outlineLvl w:val="0"/>
              <w:rPr>
                <w:noProof/>
                <w:sz w:val="20"/>
                <w:szCs w:val="20"/>
              </w:rPr>
            </w:pPr>
            <w:bookmarkStart w:id="942" w:name="_Toc223980546"/>
            <w:r w:rsidRPr="00304E43">
              <w:rPr>
                <w:noProof/>
                <w:sz w:val="20"/>
                <w:szCs w:val="20"/>
              </w:rPr>
              <w:t>0.0</w:t>
            </w:r>
            <w:bookmarkEnd w:id="942"/>
          </w:p>
        </w:tc>
        <w:tc>
          <w:tcPr>
            <w:tcW w:w="828" w:type="pct"/>
            <w:tcBorders>
              <w:top w:val="nil"/>
              <w:left w:val="nil"/>
              <w:bottom w:val="single" w:sz="4" w:space="0" w:color="auto"/>
              <w:right w:val="single" w:sz="4" w:space="0" w:color="auto"/>
            </w:tcBorders>
            <w:shd w:val="clear" w:color="000000" w:fill="FFFFFF"/>
            <w:noWrap/>
            <w:hideMark/>
          </w:tcPr>
          <w:p w14:paraId="1211C0F6" w14:textId="77777777" w:rsidR="00304E43" w:rsidRPr="00304E43" w:rsidRDefault="00304E43" w:rsidP="00304E43">
            <w:pPr>
              <w:jc w:val="right"/>
              <w:outlineLvl w:val="0"/>
              <w:rPr>
                <w:noProof/>
                <w:sz w:val="20"/>
                <w:szCs w:val="20"/>
              </w:rPr>
            </w:pPr>
            <w:bookmarkStart w:id="943" w:name="_Toc223980547"/>
            <w:r w:rsidRPr="00304E43">
              <w:rPr>
                <w:noProof/>
                <w:sz w:val="20"/>
                <w:szCs w:val="20"/>
              </w:rPr>
              <w:t>0.0</w:t>
            </w:r>
            <w:bookmarkEnd w:id="943"/>
          </w:p>
        </w:tc>
      </w:tr>
      <w:tr w:rsidR="00304E43" w:rsidRPr="008F6B42" w14:paraId="2546A7A0"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1D3E4ED" w14:textId="77777777" w:rsidR="00304E43" w:rsidRPr="008F6B42" w:rsidRDefault="00304E43" w:rsidP="00304E43">
            <w:pPr>
              <w:outlineLvl w:val="0"/>
              <w:rPr>
                <w:noProof/>
                <w:sz w:val="20"/>
                <w:szCs w:val="20"/>
              </w:rPr>
            </w:pPr>
            <w:r w:rsidRPr="008F6B42">
              <w:rPr>
                <w:noProof/>
                <w:sz w:val="20"/>
                <w:szCs w:val="20"/>
              </w:rPr>
              <w:t xml:space="preserve"> </w:t>
            </w:r>
            <w:bookmarkStart w:id="944" w:name="_Toc223980548"/>
            <w:r w:rsidRPr="008F6B42">
              <w:rPr>
                <w:noProof/>
                <w:sz w:val="20"/>
                <w:szCs w:val="20"/>
              </w:rPr>
              <w:t>Hungary</w:t>
            </w:r>
            <w:bookmarkEnd w:id="94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9023084" w14:textId="3FB6E601" w:rsidR="00304E43" w:rsidRPr="00304E43" w:rsidRDefault="00304E43" w:rsidP="00304E43">
            <w:pPr>
              <w:jc w:val="right"/>
              <w:outlineLvl w:val="0"/>
              <w:rPr>
                <w:noProof/>
                <w:sz w:val="20"/>
                <w:szCs w:val="20"/>
              </w:rPr>
            </w:pPr>
            <w:bookmarkStart w:id="945" w:name="_Toc223980549"/>
            <w:r w:rsidRPr="00304E43">
              <w:rPr>
                <w:noProof/>
                <w:sz w:val="20"/>
                <w:szCs w:val="20"/>
              </w:rPr>
              <w:t>76.6</w:t>
            </w:r>
            <w:bookmarkEnd w:id="945"/>
          </w:p>
        </w:tc>
        <w:tc>
          <w:tcPr>
            <w:tcW w:w="828" w:type="pct"/>
            <w:tcBorders>
              <w:top w:val="nil"/>
              <w:left w:val="nil"/>
              <w:bottom w:val="single" w:sz="4" w:space="0" w:color="auto"/>
              <w:right w:val="single" w:sz="4" w:space="0" w:color="auto"/>
            </w:tcBorders>
            <w:shd w:val="clear" w:color="000000" w:fill="FFFFFF"/>
            <w:noWrap/>
            <w:hideMark/>
          </w:tcPr>
          <w:p w14:paraId="040BF852" w14:textId="66A2935F" w:rsidR="00304E43" w:rsidRPr="00304E43" w:rsidRDefault="00304E43" w:rsidP="00304E43">
            <w:pPr>
              <w:jc w:val="right"/>
              <w:outlineLvl w:val="0"/>
              <w:rPr>
                <w:noProof/>
                <w:sz w:val="20"/>
                <w:szCs w:val="20"/>
              </w:rPr>
            </w:pPr>
            <w:bookmarkStart w:id="946" w:name="_Toc223980550"/>
            <w:r w:rsidRPr="00304E43">
              <w:rPr>
                <w:noProof/>
                <w:sz w:val="20"/>
                <w:szCs w:val="20"/>
              </w:rPr>
              <w:t>12.0</w:t>
            </w:r>
            <w:bookmarkEnd w:id="946"/>
          </w:p>
        </w:tc>
        <w:tc>
          <w:tcPr>
            <w:tcW w:w="828" w:type="pct"/>
            <w:tcBorders>
              <w:top w:val="nil"/>
              <w:left w:val="nil"/>
              <w:bottom w:val="single" w:sz="4" w:space="0" w:color="auto"/>
              <w:right w:val="single" w:sz="4" w:space="0" w:color="auto"/>
            </w:tcBorders>
            <w:shd w:val="clear" w:color="000000" w:fill="FFFFFF"/>
            <w:noWrap/>
            <w:hideMark/>
          </w:tcPr>
          <w:p w14:paraId="5A421663" w14:textId="05FC89A5" w:rsidR="00304E43" w:rsidRPr="00304E43" w:rsidRDefault="00304E43" w:rsidP="00304E43">
            <w:pPr>
              <w:jc w:val="right"/>
              <w:outlineLvl w:val="0"/>
              <w:rPr>
                <w:noProof/>
                <w:sz w:val="20"/>
                <w:szCs w:val="20"/>
              </w:rPr>
            </w:pPr>
            <w:bookmarkStart w:id="947" w:name="_Toc223980551"/>
            <w:r w:rsidRPr="00304E43">
              <w:rPr>
                <w:noProof/>
                <w:sz w:val="20"/>
                <w:szCs w:val="20"/>
              </w:rPr>
              <w:t>18.0</w:t>
            </w:r>
            <w:bookmarkEnd w:id="947"/>
          </w:p>
        </w:tc>
        <w:tc>
          <w:tcPr>
            <w:tcW w:w="828" w:type="pct"/>
            <w:tcBorders>
              <w:top w:val="nil"/>
              <w:left w:val="nil"/>
              <w:bottom w:val="single" w:sz="4" w:space="0" w:color="auto"/>
              <w:right w:val="single" w:sz="4" w:space="0" w:color="auto"/>
            </w:tcBorders>
            <w:shd w:val="clear" w:color="000000" w:fill="FFFFFF"/>
            <w:noWrap/>
            <w:hideMark/>
          </w:tcPr>
          <w:p w14:paraId="3461C170" w14:textId="44392228" w:rsidR="00304E43" w:rsidRPr="00304E43" w:rsidRDefault="00304E43" w:rsidP="00304E43">
            <w:pPr>
              <w:jc w:val="right"/>
              <w:outlineLvl w:val="0"/>
              <w:rPr>
                <w:noProof/>
                <w:sz w:val="20"/>
                <w:szCs w:val="20"/>
              </w:rPr>
            </w:pPr>
            <w:bookmarkStart w:id="948" w:name="_Toc223980552"/>
            <w:r w:rsidRPr="00304E43">
              <w:rPr>
                <w:noProof/>
                <w:sz w:val="20"/>
                <w:szCs w:val="20"/>
              </w:rPr>
              <w:t>13.5</w:t>
            </w:r>
            <w:bookmarkEnd w:id="948"/>
          </w:p>
        </w:tc>
      </w:tr>
      <w:tr w:rsidR="00304E43" w:rsidRPr="008F6B42" w14:paraId="6FE7650C"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29978F9" w14:textId="77777777" w:rsidR="00304E43" w:rsidRPr="008F6B42" w:rsidRDefault="00304E43" w:rsidP="00304E43">
            <w:pPr>
              <w:outlineLvl w:val="0"/>
              <w:rPr>
                <w:noProof/>
                <w:sz w:val="20"/>
                <w:szCs w:val="20"/>
              </w:rPr>
            </w:pPr>
            <w:r w:rsidRPr="008F6B42">
              <w:rPr>
                <w:noProof/>
                <w:sz w:val="20"/>
                <w:szCs w:val="20"/>
              </w:rPr>
              <w:t xml:space="preserve"> </w:t>
            </w:r>
            <w:bookmarkStart w:id="949" w:name="_Toc223980553"/>
            <w:r w:rsidRPr="008F6B42">
              <w:rPr>
                <w:noProof/>
                <w:sz w:val="20"/>
                <w:szCs w:val="20"/>
              </w:rPr>
              <w:t>Sweden</w:t>
            </w:r>
            <w:bookmarkEnd w:id="94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74C2A5BF" w14:textId="5EE0409B" w:rsidR="00304E43" w:rsidRPr="00304E43" w:rsidRDefault="00304E43" w:rsidP="00304E43">
            <w:pPr>
              <w:jc w:val="right"/>
              <w:outlineLvl w:val="0"/>
              <w:rPr>
                <w:noProof/>
                <w:sz w:val="20"/>
                <w:szCs w:val="20"/>
              </w:rPr>
            </w:pPr>
            <w:bookmarkStart w:id="950" w:name="_Toc223980554"/>
            <w:r w:rsidRPr="00304E43">
              <w:rPr>
                <w:noProof/>
                <w:sz w:val="20"/>
                <w:szCs w:val="20"/>
              </w:rPr>
              <w:t>51.1</w:t>
            </w:r>
            <w:bookmarkEnd w:id="950"/>
          </w:p>
        </w:tc>
        <w:tc>
          <w:tcPr>
            <w:tcW w:w="828" w:type="pct"/>
            <w:tcBorders>
              <w:top w:val="nil"/>
              <w:left w:val="nil"/>
              <w:bottom w:val="single" w:sz="4" w:space="0" w:color="auto"/>
              <w:right w:val="single" w:sz="4" w:space="0" w:color="auto"/>
            </w:tcBorders>
            <w:shd w:val="clear" w:color="000000" w:fill="FFFFFF"/>
            <w:noWrap/>
            <w:hideMark/>
          </w:tcPr>
          <w:p w14:paraId="6A5D808D" w14:textId="5C1B5F9C" w:rsidR="00304E43" w:rsidRPr="00304E43" w:rsidRDefault="00304E43" w:rsidP="00304E43">
            <w:pPr>
              <w:jc w:val="right"/>
              <w:outlineLvl w:val="0"/>
              <w:rPr>
                <w:noProof/>
                <w:sz w:val="20"/>
                <w:szCs w:val="20"/>
              </w:rPr>
            </w:pPr>
            <w:bookmarkStart w:id="951" w:name="_Toc223980555"/>
            <w:r w:rsidRPr="00304E43">
              <w:rPr>
                <w:noProof/>
                <w:sz w:val="20"/>
                <w:szCs w:val="20"/>
              </w:rPr>
              <w:t>8.0</w:t>
            </w:r>
            <w:bookmarkEnd w:id="951"/>
          </w:p>
        </w:tc>
        <w:tc>
          <w:tcPr>
            <w:tcW w:w="828" w:type="pct"/>
            <w:tcBorders>
              <w:top w:val="nil"/>
              <w:left w:val="nil"/>
              <w:bottom w:val="single" w:sz="4" w:space="0" w:color="auto"/>
              <w:right w:val="single" w:sz="4" w:space="0" w:color="auto"/>
            </w:tcBorders>
            <w:shd w:val="clear" w:color="000000" w:fill="FFFFFF"/>
            <w:noWrap/>
            <w:hideMark/>
          </w:tcPr>
          <w:p w14:paraId="20199E48" w14:textId="212FD3B1" w:rsidR="00304E43" w:rsidRPr="00304E43" w:rsidRDefault="00304E43" w:rsidP="00304E43">
            <w:pPr>
              <w:jc w:val="right"/>
              <w:outlineLvl w:val="0"/>
              <w:rPr>
                <w:noProof/>
                <w:sz w:val="20"/>
                <w:szCs w:val="20"/>
              </w:rPr>
            </w:pPr>
            <w:bookmarkStart w:id="952" w:name="_Toc223980556"/>
            <w:r w:rsidRPr="00304E43">
              <w:rPr>
                <w:noProof/>
                <w:sz w:val="20"/>
                <w:szCs w:val="20"/>
              </w:rPr>
              <w:t>12.0</w:t>
            </w:r>
            <w:bookmarkEnd w:id="952"/>
          </w:p>
        </w:tc>
        <w:tc>
          <w:tcPr>
            <w:tcW w:w="828" w:type="pct"/>
            <w:tcBorders>
              <w:top w:val="nil"/>
              <w:left w:val="nil"/>
              <w:bottom w:val="single" w:sz="4" w:space="0" w:color="auto"/>
              <w:right w:val="single" w:sz="4" w:space="0" w:color="auto"/>
            </w:tcBorders>
            <w:shd w:val="clear" w:color="000000" w:fill="FFFFFF"/>
            <w:noWrap/>
            <w:hideMark/>
          </w:tcPr>
          <w:p w14:paraId="11D9E9B4" w14:textId="42D8F5FB" w:rsidR="00304E43" w:rsidRPr="00304E43" w:rsidRDefault="00304E43" w:rsidP="00304E43">
            <w:pPr>
              <w:jc w:val="right"/>
              <w:outlineLvl w:val="0"/>
              <w:rPr>
                <w:noProof/>
                <w:sz w:val="20"/>
                <w:szCs w:val="20"/>
              </w:rPr>
            </w:pPr>
            <w:bookmarkStart w:id="953" w:name="_Toc223980557"/>
            <w:r w:rsidRPr="00304E43">
              <w:rPr>
                <w:noProof/>
                <w:sz w:val="20"/>
                <w:szCs w:val="20"/>
              </w:rPr>
              <w:t>9.0</w:t>
            </w:r>
            <w:bookmarkEnd w:id="953"/>
          </w:p>
        </w:tc>
      </w:tr>
      <w:tr w:rsidR="00304E43" w:rsidRPr="008F6B42" w14:paraId="1E491D14"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1B1C6237" w14:textId="5A1FD3DE" w:rsidR="00304E43" w:rsidRPr="008F6B42" w:rsidRDefault="00304E43" w:rsidP="00304E43">
            <w:pPr>
              <w:outlineLvl w:val="0"/>
              <w:rPr>
                <w:noProof/>
                <w:sz w:val="20"/>
                <w:szCs w:val="20"/>
              </w:rPr>
            </w:pPr>
            <w:r w:rsidRPr="008F6B42">
              <w:rPr>
                <w:noProof/>
                <w:sz w:val="20"/>
                <w:szCs w:val="20"/>
              </w:rPr>
              <w:t xml:space="preserve"> </w:t>
            </w:r>
            <w:bookmarkStart w:id="954" w:name="_Toc223980558"/>
            <w:r w:rsidRPr="008F6B42">
              <w:rPr>
                <w:noProof/>
                <w:sz w:val="20"/>
                <w:szCs w:val="20"/>
              </w:rPr>
              <w:t>Czechia</w:t>
            </w:r>
            <w:bookmarkEnd w:id="954"/>
          </w:p>
        </w:tc>
        <w:tc>
          <w:tcPr>
            <w:tcW w:w="828" w:type="pct"/>
            <w:tcBorders>
              <w:top w:val="nil"/>
              <w:left w:val="nil"/>
              <w:bottom w:val="single" w:sz="4" w:space="0" w:color="auto"/>
              <w:right w:val="single" w:sz="4" w:space="0" w:color="auto"/>
            </w:tcBorders>
            <w:shd w:val="clear" w:color="000000" w:fill="FFFFFF"/>
            <w:noWrap/>
            <w:hideMark/>
          </w:tcPr>
          <w:p w14:paraId="2AF09E57" w14:textId="18617F5E" w:rsidR="00304E43" w:rsidRPr="00304E43" w:rsidRDefault="00304E43" w:rsidP="00304E43">
            <w:pPr>
              <w:jc w:val="right"/>
              <w:outlineLvl w:val="0"/>
              <w:rPr>
                <w:noProof/>
                <w:sz w:val="20"/>
                <w:szCs w:val="20"/>
              </w:rPr>
            </w:pPr>
            <w:bookmarkStart w:id="955" w:name="_Toc223980559"/>
            <w:r w:rsidRPr="00304E43">
              <w:rPr>
                <w:noProof/>
                <w:sz w:val="20"/>
                <w:szCs w:val="20"/>
              </w:rPr>
              <w:t>76.6</w:t>
            </w:r>
            <w:bookmarkEnd w:id="955"/>
          </w:p>
        </w:tc>
        <w:tc>
          <w:tcPr>
            <w:tcW w:w="828" w:type="pct"/>
            <w:tcBorders>
              <w:top w:val="nil"/>
              <w:left w:val="nil"/>
              <w:bottom w:val="single" w:sz="4" w:space="0" w:color="auto"/>
              <w:right w:val="single" w:sz="4" w:space="0" w:color="auto"/>
            </w:tcBorders>
            <w:shd w:val="clear" w:color="000000" w:fill="FFFFFF"/>
            <w:noWrap/>
            <w:hideMark/>
          </w:tcPr>
          <w:p w14:paraId="6BF73895" w14:textId="6F60032D" w:rsidR="00304E43" w:rsidRPr="00304E43" w:rsidRDefault="00304E43" w:rsidP="00304E43">
            <w:pPr>
              <w:jc w:val="right"/>
              <w:outlineLvl w:val="0"/>
              <w:rPr>
                <w:noProof/>
                <w:sz w:val="20"/>
                <w:szCs w:val="20"/>
              </w:rPr>
            </w:pPr>
            <w:bookmarkStart w:id="956" w:name="_Toc223980560"/>
            <w:r w:rsidRPr="00304E43">
              <w:rPr>
                <w:noProof/>
                <w:sz w:val="20"/>
                <w:szCs w:val="20"/>
              </w:rPr>
              <w:t>12.0</w:t>
            </w:r>
            <w:bookmarkEnd w:id="956"/>
          </w:p>
        </w:tc>
        <w:tc>
          <w:tcPr>
            <w:tcW w:w="828" w:type="pct"/>
            <w:tcBorders>
              <w:top w:val="nil"/>
              <w:left w:val="nil"/>
              <w:bottom w:val="single" w:sz="4" w:space="0" w:color="auto"/>
              <w:right w:val="single" w:sz="4" w:space="0" w:color="auto"/>
            </w:tcBorders>
            <w:shd w:val="clear" w:color="000000" w:fill="FFFFFF"/>
            <w:noWrap/>
            <w:hideMark/>
          </w:tcPr>
          <w:p w14:paraId="0642A930" w14:textId="5166C0DE" w:rsidR="00304E43" w:rsidRPr="00304E43" w:rsidRDefault="00304E43" w:rsidP="00304E43">
            <w:pPr>
              <w:jc w:val="right"/>
              <w:outlineLvl w:val="0"/>
              <w:rPr>
                <w:noProof/>
                <w:sz w:val="20"/>
                <w:szCs w:val="20"/>
              </w:rPr>
            </w:pPr>
            <w:bookmarkStart w:id="957" w:name="_Toc223980561"/>
            <w:r w:rsidRPr="00304E43">
              <w:rPr>
                <w:noProof/>
                <w:sz w:val="20"/>
                <w:szCs w:val="20"/>
              </w:rPr>
              <w:t>18.0</w:t>
            </w:r>
            <w:bookmarkEnd w:id="957"/>
          </w:p>
        </w:tc>
        <w:tc>
          <w:tcPr>
            <w:tcW w:w="828" w:type="pct"/>
            <w:tcBorders>
              <w:top w:val="nil"/>
              <w:left w:val="nil"/>
              <w:bottom w:val="single" w:sz="4" w:space="0" w:color="auto"/>
              <w:right w:val="single" w:sz="4" w:space="0" w:color="auto"/>
            </w:tcBorders>
            <w:shd w:val="clear" w:color="000000" w:fill="FFFFFF"/>
            <w:noWrap/>
            <w:hideMark/>
          </w:tcPr>
          <w:p w14:paraId="4661500F" w14:textId="6E01F7A9" w:rsidR="00304E43" w:rsidRPr="00304E43" w:rsidRDefault="00304E43" w:rsidP="00304E43">
            <w:pPr>
              <w:jc w:val="right"/>
              <w:outlineLvl w:val="0"/>
              <w:rPr>
                <w:noProof/>
                <w:sz w:val="20"/>
                <w:szCs w:val="20"/>
              </w:rPr>
            </w:pPr>
            <w:bookmarkStart w:id="958" w:name="_Toc223980562"/>
            <w:r w:rsidRPr="00304E43">
              <w:rPr>
                <w:noProof/>
                <w:sz w:val="20"/>
                <w:szCs w:val="20"/>
              </w:rPr>
              <w:t>13.5</w:t>
            </w:r>
            <w:bookmarkEnd w:id="958"/>
          </w:p>
        </w:tc>
      </w:tr>
      <w:tr w:rsidR="00304E43" w:rsidRPr="008F6B42" w14:paraId="265E3772"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75ED42A2" w14:textId="77777777" w:rsidR="00304E43" w:rsidRPr="008F6B42" w:rsidRDefault="00304E43" w:rsidP="00304E43">
            <w:pPr>
              <w:outlineLvl w:val="0"/>
              <w:rPr>
                <w:noProof/>
                <w:sz w:val="20"/>
                <w:szCs w:val="20"/>
              </w:rPr>
            </w:pPr>
            <w:r w:rsidRPr="008F6B42">
              <w:rPr>
                <w:noProof/>
                <w:sz w:val="20"/>
                <w:szCs w:val="20"/>
              </w:rPr>
              <w:t xml:space="preserve"> </w:t>
            </w:r>
            <w:bookmarkStart w:id="959" w:name="_Toc223980563"/>
            <w:r w:rsidRPr="008F6B42">
              <w:rPr>
                <w:noProof/>
                <w:sz w:val="20"/>
                <w:szCs w:val="20"/>
              </w:rPr>
              <w:t>Ireland</w:t>
            </w:r>
            <w:bookmarkEnd w:id="95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A222DCD" w14:textId="5C8707A1" w:rsidR="00304E43" w:rsidRPr="00304E43" w:rsidRDefault="00304E43" w:rsidP="00304E43">
            <w:pPr>
              <w:jc w:val="right"/>
              <w:outlineLvl w:val="0"/>
              <w:rPr>
                <w:noProof/>
                <w:sz w:val="20"/>
                <w:szCs w:val="20"/>
              </w:rPr>
            </w:pPr>
            <w:bookmarkStart w:id="960" w:name="_Toc223980564"/>
            <w:r w:rsidRPr="00304E43">
              <w:rPr>
                <w:noProof/>
                <w:sz w:val="20"/>
                <w:szCs w:val="20"/>
              </w:rPr>
              <w:t>51.1</w:t>
            </w:r>
            <w:bookmarkEnd w:id="960"/>
          </w:p>
        </w:tc>
        <w:tc>
          <w:tcPr>
            <w:tcW w:w="828" w:type="pct"/>
            <w:tcBorders>
              <w:top w:val="nil"/>
              <w:left w:val="nil"/>
              <w:bottom w:val="single" w:sz="4" w:space="0" w:color="auto"/>
              <w:right w:val="single" w:sz="4" w:space="0" w:color="auto"/>
            </w:tcBorders>
            <w:shd w:val="clear" w:color="000000" w:fill="FFFFFF"/>
            <w:noWrap/>
            <w:hideMark/>
          </w:tcPr>
          <w:p w14:paraId="7C43C924" w14:textId="433C816E" w:rsidR="00304E43" w:rsidRPr="00304E43" w:rsidRDefault="00304E43" w:rsidP="00304E43">
            <w:pPr>
              <w:jc w:val="right"/>
              <w:outlineLvl w:val="0"/>
              <w:rPr>
                <w:noProof/>
                <w:sz w:val="20"/>
                <w:szCs w:val="20"/>
              </w:rPr>
            </w:pPr>
            <w:bookmarkStart w:id="961" w:name="_Toc223980565"/>
            <w:r w:rsidRPr="00304E43">
              <w:rPr>
                <w:noProof/>
                <w:sz w:val="20"/>
                <w:szCs w:val="20"/>
              </w:rPr>
              <w:t>8.0</w:t>
            </w:r>
            <w:bookmarkEnd w:id="961"/>
          </w:p>
        </w:tc>
        <w:tc>
          <w:tcPr>
            <w:tcW w:w="828" w:type="pct"/>
            <w:tcBorders>
              <w:top w:val="nil"/>
              <w:left w:val="nil"/>
              <w:bottom w:val="single" w:sz="4" w:space="0" w:color="auto"/>
              <w:right w:val="single" w:sz="4" w:space="0" w:color="auto"/>
            </w:tcBorders>
            <w:shd w:val="clear" w:color="000000" w:fill="FFFFFF"/>
            <w:noWrap/>
            <w:hideMark/>
          </w:tcPr>
          <w:p w14:paraId="4F8868B5" w14:textId="033E3FEB" w:rsidR="00304E43" w:rsidRPr="00304E43" w:rsidRDefault="00304E43" w:rsidP="00304E43">
            <w:pPr>
              <w:jc w:val="right"/>
              <w:outlineLvl w:val="0"/>
              <w:rPr>
                <w:noProof/>
                <w:sz w:val="20"/>
                <w:szCs w:val="20"/>
              </w:rPr>
            </w:pPr>
            <w:bookmarkStart w:id="962" w:name="_Toc223980566"/>
            <w:r w:rsidRPr="00304E43">
              <w:rPr>
                <w:noProof/>
                <w:sz w:val="20"/>
                <w:szCs w:val="20"/>
              </w:rPr>
              <w:t>12.0</w:t>
            </w:r>
            <w:bookmarkEnd w:id="962"/>
          </w:p>
        </w:tc>
        <w:tc>
          <w:tcPr>
            <w:tcW w:w="828" w:type="pct"/>
            <w:tcBorders>
              <w:top w:val="nil"/>
              <w:left w:val="nil"/>
              <w:bottom w:val="single" w:sz="4" w:space="0" w:color="auto"/>
              <w:right w:val="single" w:sz="4" w:space="0" w:color="auto"/>
            </w:tcBorders>
            <w:shd w:val="clear" w:color="000000" w:fill="FFFFFF"/>
            <w:noWrap/>
            <w:hideMark/>
          </w:tcPr>
          <w:p w14:paraId="3F25C0B2" w14:textId="0626BD84" w:rsidR="00304E43" w:rsidRPr="00304E43" w:rsidRDefault="00304E43" w:rsidP="00304E43">
            <w:pPr>
              <w:jc w:val="right"/>
              <w:outlineLvl w:val="0"/>
              <w:rPr>
                <w:noProof/>
                <w:sz w:val="20"/>
                <w:szCs w:val="20"/>
              </w:rPr>
            </w:pPr>
            <w:bookmarkStart w:id="963" w:name="_Toc223980567"/>
            <w:r w:rsidRPr="00304E43">
              <w:rPr>
                <w:noProof/>
                <w:sz w:val="20"/>
                <w:szCs w:val="20"/>
              </w:rPr>
              <w:t>9.0</w:t>
            </w:r>
            <w:bookmarkEnd w:id="963"/>
          </w:p>
        </w:tc>
      </w:tr>
      <w:tr w:rsidR="00304E43" w:rsidRPr="008F6B42" w14:paraId="4E0ADBCC"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0781CE89" w14:textId="77777777" w:rsidR="00304E43" w:rsidRPr="008F6B42" w:rsidRDefault="00304E43" w:rsidP="00304E43">
            <w:pPr>
              <w:outlineLvl w:val="0"/>
              <w:rPr>
                <w:noProof/>
                <w:sz w:val="20"/>
                <w:szCs w:val="20"/>
              </w:rPr>
            </w:pPr>
            <w:r w:rsidRPr="008F6B42">
              <w:rPr>
                <w:noProof/>
                <w:sz w:val="20"/>
                <w:szCs w:val="20"/>
              </w:rPr>
              <w:t xml:space="preserve"> </w:t>
            </w:r>
            <w:bookmarkStart w:id="964" w:name="_Toc223980568"/>
            <w:r w:rsidRPr="008F6B42">
              <w:rPr>
                <w:noProof/>
                <w:sz w:val="20"/>
                <w:szCs w:val="20"/>
              </w:rPr>
              <w:t>Slovenia</w:t>
            </w:r>
            <w:bookmarkEnd w:id="96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9DD0123" w14:textId="77777777" w:rsidR="00304E43" w:rsidRPr="00304E43" w:rsidRDefault="00304E43" w:rsidP="00304E43">
            <w:pPr>
              <w:jc w:val="right"/>
              <w:outlineLvl w:val="0"/>
              <w:rPr>
                <w:noProof/>
                <w:sz w:val="20"/>
                <w:szCs w:val="20"/>
              </w:rPr>
            </w:pPr>
            <w:bookmarkStart w:id="965" w:name="_Toc223980569"/>
            <w:r w:rsidRPr="00304E43">
              <w:rPr>
                <w:noProof/>
                <w:sz w:val="20"/>
                <w:szCs w:val="20"/>
              </w:rPr>
              <w:t>0.0</w:t>
            </w:r>
            <w:bookmarkEnd w:id="965"/>
          </w:p>
        </w:tc>
        <w:tc>
          <w:tcPr>
            <w:tcW w:w="828" w:type="pct"/>
            <w:tcBorders>
              <w:top w:val="nil"/>
              <w:left w:val="nil"/>
              <w:bottom w:val="single" w:sz="4" w:space="0" w:color="auto"/>
              <w:right w:val="single" w:sz="4" w:space="0" w:color="auto"/>
            </w:tcBorders>
            <w:shd w:val="clear" w:color="000000" w:fill="FFFFFF"/>
            <w:noWrap/>
            <w:hideMark/>
          </w:tcPr>
          <w:p w14:paraId="4E816B5D" w14:textId="77777777" w:rsidR="00304E43" w:rsidRPr="00304E43" w:rsidRDefault="00304E43" w:rsidP="00304E43">
            <w:pPr>
              <w:jc w:val="right"/>
              <w:outlineLvl w:val="0"/>
              <w:rPr>
                <w:noProof/>
                <w:sz w:val="20"/>
                <w:szCs w:val="20"/>
              </w:rPr>
            </w:pPr>
            <w:bookmarkStart w:id="966" w:name="_Toc223980570"/>
            <w:r w:rsidRPr="00304E43">
              <w:rPr>
                <w:noProof/>
                <w:sz w:val="20"/>
                <w:szCs w:val="20"/>
              </w:rPr>
              <w:t>0.0</w:t>
            </w:r>
            <w:bookmarkEnd w:id="966"/>
          </w:p>
        </w:tc>
        <w:tc>
          <w:tcPr>
            <w:tcW w:w="828" w:type="pct"/>
            <w:tcBorders>
              <w:top w:val="nil"/>
              <w:left w:val="nil"/>
              <w:bottom w:val="single" w:sz="4" w:space="0" w:color="auto"/>
              <w:right w:val="single" w:sz="4" w:space="0" w:color="auto"/>
            </w:tcBorders>
            <w:shd w:val="clear" w:color="000000" w:fill="FFFFFF"/>
            <w:noWrap/>
            <w:hideMark/>
          </w:tcPr>
          <w:p w14:paraId="5600ABD8" w14:textId="77777777" w:rsidR="00304E43" w:rsidRPr="00304E43" w:rsidRDefault="00304E43" w:rsidP="00304E43">
            <w:pPr>
              <w:jc w:val="right"/>
              <w:outlineLvl w:val="0"/>
              <w:rPr>
                <w:noProof/>
                <w:sz w:val="20"/>
                <w:szCs w:val="20"/>
              </w:rPr>
            </w:pPr>
            <w:bookmarkStart w:id="967" w:name="_Toc223980571"/>
            <w:r w:rsidRPr="00304E43">
              <w:rPr>
                <w:noProof/>
                <w:sz w:val="20"/>
                <w:szCs w:val="20"/>
              </w:rPr>
              <w:t>0.0</w:t>
            </w:r>
            <w:bookmarkEnd w:id="967"/>
          </w:p>
        </w:tc>
        <w:tc>
          <w:tcPr>
            <w:tcW w:w="828" w:type="pct"/>
            <w:tcBorders>
              <w:top w:val="nil"/>
              <w:left w:val="nil"/>
              <w:bottom w:val="single" w:sz="4" w:space="0" w:color="auto"/>
              <w:right w:val="single" w:sz="4" w:space="0" w:color="auto"/>
            </w:tcBorders>
            <w:shd w:val="clear" w:color="000000" w:fill="FFFFFF"/>
            <w:noWrap/>
            <w:hideMark/>
          </w:tcPr>
          <w:p w14:paraId="72CD6E3C" w14:textId="77777777" w:rsidR="00304E43" w:rsidRPr="00304E43" w:rsidRDefault="00304E43" w:rsidP="00304E43">
            <w:pPr>
              <w:jc w:val="right"/>
              <w:outlineLvl w:val="0"/>
              <w:rPr>
                <w:noProof/>
                <w:sz w:val="20"/>
                <w:szCs w:val="20"/>
              </w:rPr>
            </w:pPr>
            <w:bookmarkStart w:id="968" w:name="_Toc223980572"/>
            <w:r w:rsidRPr="00304E43">
              <w:rPr>
                <w:noProof/>
                <w:sz w:val="20"/>
                <w:szCs w:val="20"/>
              </w:rPr>
              <w:t>0.0</w:t>
            </w:r>
            <w:bookmarkEnd w:id="968"/>
          </w:p>
        </w:tc>
      </w:tr>
      <w:tr w:rsidR="00304E43" w:rsidRPr="008F6B42" w14:paraId="29F66A5C"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119EFF72" w14:textId="77777777" w:rsidR="00304E43" w:rsidRPr="008F6B42" w:rsidRDefault="00304E43" w:rsidP="00304E43">
            <w:pPr>
              <w:outlineLvl w:val="0"/>
              <w:rPr>
                <w:noProof/>
                <w:sz w:val="20"/>
                <w:szCs w:val="20"/>
              </w:rPr>
            </w:pPr>
            <w:r w:rsidRPr="008F6B42">
              <w:rPr>
                <w:noProof/>
                <w:sz w:val="20"/>
                <w:szCs w:val="20"/>
              </w:rPr>
              <w:t xml:space="preserve"> </w:t>
            </w:r>
            <w:bookmarkStart w:id="969" w:name="_Toc223980573"/>
            <w:r w:rsidRPr="008F6B42">
              <w:rPr>
                <w:noProof/>
                <w:sz w:val="20"/>
                <w:szCs w:val="20"/>
              </w:rPr>
              <w:t>Latvia</w:t>
            </w:r>
            <w:bookmarkEnd w:id="96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BBA8631" w14:textId="77777777" w:rsidR="00304E43" w:rsidRPr="00304E43" w:rsidRDefault="00304E43" w:rsidP="00304E43">
            <w:pPr>
              <w:jc w:val="right"/>
              <w:outlineLvl w:val="0"/>
              <w:rPr>
                <w:noProof/>
                <w:sz w:val="20"/>
                <w:szCs w:val="20"/>
              </w:rPr>
            </w:pPr>
            <w:bookmarkStart w:id="970" w:name="_Toc223980574"/>
            <w:r w:rsidRPr="00304E43">
              <w:rPr>
                <w:noProof/>
                <w:sz w:val="20"/>
                <w:szCs w:val="20"/>
              </w:rPr>
              <w:t>0.0</w:t>
            </w:r>
            <w:bookmarkEnd w:id="970"/>
          </w:p>
        </w:tc>
        <w:tc>
          <w:tcPr>
            <w:tcW w:w="828" w:type="pct"/>
            <w:tcBorders>
              <w:top w:val="nil"/>
              <w:left w:val="nil"/>
              <w:bottom w:val="single" w:sz="4" w:space="0" w:color="auto"/>
              <w:right w:val="single" w:sz="4" w:space="0" w:color="auto"/>
            </w:tcBorders>
            <w:shd w:val="clear" w:color="000000" w:fill="FFFFFF"/>
            <w:noWrap/>
            <w:hideMark/>
          </w:tcPr>
          <w:p w14:paraId="5DBACE1B" w14:textId="77777777" w:rsidR="00304E43" w:rsidRPr="00304E43" w:rsidRDefault="00304E43" w:rsidP="00304E43">
            <w:pPr>
              <w:jc w:val="right"/>
              <w:outlineLvl w:val="0"/>
              <w:rPr>
                <w:noProof/>
                <w:sz w:val="20"/>
                <w:szCs w:val="20"/>
              </w:rPr>
            </w:pPr>
            <w:bookmarkStart w:id="971" w:name="_Toc223980575"/>
            <w:r w:rsidRPr="00304E43">
              <w:rPr>
                <w:noProof/>
                <w:sz w:val="20"/>
                <w:szCs w:val="20"/>
              </w:rPr>
              <w:t>0.0</w:t>
            </w:r>
            <w:bookmarkEnd w:id="971"/>
          </w:p>
        </w:tc>
        <w:tc>
          <w:tcPr>
            <w:tcW w:w="828" w:type="pct"/>
            <w:tcBorders>
              <w:top w:val="nil"/>
              <w:left w:val="nil"/>
              <w:bottom w:val="single" w:sz="4" w:space="0" w:color="auto"/>
              <w:right w:val="single" w:sz="4" w:space="0" w:color="auto"/>
            </w:tcBorders>
            <w:shd w:val="clear" w:color="000000" w:fill="FFFFFF"/>
            <w:noWrap/>
            <w:hideMark/>
          </w:tcPr>
          <w:p w14:paraId="6281C683" w14:textId="77777777" w:rsidR="00304E43" w:rsidRPr="00304E43" w:rsidRDefault="00304E43" w:rsidP="00304E43">
            <w:pPr>
              <w:jc w:val="right"/>
              <w:outlineLvl w:val="0"/>
              <w:rPr>
                <w:noProof/>
                <w:sz w:val="20"/>
                <w:szCs w:val="20"/>
              </w:rPr>
            </w:pPr>
            <w:bookmarkStart w:id="972" w:name="_Toc223980576"/>
            <w:r w:rsidRPr="00304E43">
              <w:rPr>
                <w:noProof/>
                <w:sz w:val="20"/>
                <w:szCs w:val="20"/>
              </w:rPr>
              <w:t>0.0</w:t>
            </w:r>
            <w:bookmarkEnd w:id="972"/>
          </w:p>
        </w:tc>
        <w:tc>
          <w:tcPr>
            <w:tcW w:w="828" w:type="pct"/>
            <w:tcBorders>
              <w:top w:val="nil"/>
              <w:left w:val="nil"/>
              <w:bottom w:val="single" w:sz="4" w:space="0" w:color="auto"/>
              <w:right w:val="single" w:sz="4" w:space="0" w:color="auto"/>
            </w:tcBorders>
            <w:shd w:val="clear" w:color="000000" w:fill="FFFFFF"/>
            <w:noWrap/>
            <w:hideMark/>
          </w:tcPr>
          <w:p w14:paraId="27A96E3A" w14:textId="77777777" w:rsidR="00304E43" w:rsidRPr="00304E43" w:rsidRDefault="00304E43" w:rsidP="00304E43">
            <w:pPr>
              <w:jc w:val="right"/>
              <w:outlineLvl w:val="0"/>
              <w:rPr>
                <w:noProof/>
                <w:sz w:val="20"/>
                <w:szCs w:val="20"/>
              </w:rPr>
            </w:pPr>
            <w:bookmarkStart w:id="973" w:name="_Toc223980577"/>
            <w:r w:rsidRPr="00304E43">
              <w:rPr>
                <w:noProof/>
                <w:sz w:val="20"/>
                <w:szCs w:val="20"/>
              </w:rPr>
              <w:t>0.0</w:t>
            </w:r>
            <w:bookmarkEnd w:id="973"/>
          </w:p>
        </w:tc>
      </w:tr>
      <w:tr w:rsidR="00304E43" w:rsidRPr="008F6B42" w14:paraId="7B4A0081"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D5B033E" w14:textId="77777777" w:rsidR="00304E43" w:rsidRPr="008F6B42" w:rsidRDefault="00304E43" w:rsidP="00304E43">
            <w:pPr>
              <w:outlineLvl w:val="0"/>
              <w:rPr>
                <w:noProof/>
                <w:sz w:val="20"/>
                <w:szCs w:val="20"/>
              </w:rPr>
            </w:pPr>
            <w:r w:rsidRPr="008F6B42">
              <w:rPr>
                <w:noProof/>
                <w:sz w:val="20"/>
                <w:szCs w:val="20"/>
              </w:rPr>
              <w:t xml:space="preserve"> </w:t>
            </w:r>
            <w:bookmarkStart w:id="974" w:name="_Toc223980578"/>
            <w:r w:rsidRPr="008F6B42">
              <w:rPr>
                <w:noProof/>
                <w:sz w:val="20"/>
                <w:szCs w:val="20"/>
              </w:rPr>
              <w:t>Romania</w:t>
            </w:r>
            <w:bookmarkEnd w:id="97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79847B9" w14:textId="77777777" w:rsidR="00304E43" w:rsidRPr="00304E43" w:rsidRDefault="00304E43" w:rsidP="00304E43">
            <w:pPr>
              <w:jc w:val="right"/>
              <w:outlineLvl w:val="0"/>
              <w:rPr>
                <w:noProof/>
                <w:sz w:val="20"/>
                <w:szCs w:val="20"/>
              </w:rPr>
            </w:pPr>
            <w:bookmarkStart w:id="975" w:name="_Toc223980579"/>
            <w:r w:rsidRPr="00304E43">
              <w:rPr>
                <w:noProof/>
                <w:sz w:val="20"/>
                <w:szCs w:val="20"/>
              </w:rPr>
              <w:t>0.0</w:t>
            </w:r>
            <w:bookmarkEnd w:id="975"/>
          </w:p>
        </w:tc>
        <w:tc>
          <w:tcPr>
            <w:tcW w:w="828" w:type="pct"/>
            <w:tcBorders>
              <w:top w:val="nil"/>
              <w:left w:val="nil"/>
              <w:bottom w:val="single" w:sz="4" w:space="0" w:color="auto"/>
              <w:right w:val="single" w:sz="4" w:space="0" w:color="auto"/>
            </w:tcBorders>
            <w:shd w:val="clear" w:color="000000" w:fill="FFFFFF"/>
            <w:noWrap/>
            <w:hideMark/>
          </w:tcPr>
          <w:p w14:paraId="08047B1F" w14:textId="77777777" w:rsidR="00304E43" w:rsidRPr="00304E43" w:rsidRDefault="00304E43" w:rsidP="00304E43">
            <w:pPr>
              <w:jc w:val="right"/>
              <w:outlineLvl w:val="0"/>
              <w:rPr>
                <w:noProof/>
                <w:sz w:val="20"/>
                <w:szCs w:val="20"/>
              </w:rPr>
            </w:pPr>
            <w:bookmarkStart w:id="976" w:name="_Toc223980580"/>
            <w:r w:rsidRPr="00304E43">
              <w:rPr>
                <w:noProof/>
                <w:sz w:val="20"/>
                <w:szCs w:val="20"/>
              </w:rPr>
              <w:t>0.0</w:t>
            </w:r>
            <w:bookmarkEnd w:id="976"/>
          </w:p>
        </w:tc>
        <w:tc>
          <w:tcPr>
            <w:tcW w:w="828" w:type="pct"/>
            <w:tcBorders>
              <w:top w:val="nil"/>
              <w:left w:val="nil"/>
              <w:bottom w:val="single" w:sz="4" w:space="0" w:color="auto"/>
              <w:right w:val="single" w:sz="4" w:space="0" w:color="auto"/>
            </w:tcBorders>
            <w:shd w:val="clear" w:color="000000" w:fill="FFFFFF"/>
            <w:noWrap/>
            <w:hideMark/>
          </w:tcPr>
          <w:p w14:paraId="2EF411DB" w14:textId="77777777" w:rsidR="00304E43" w:rsidRPr="00304E43" w:rsidRDefault="00304E43" w:rsidP="00304E43">
            <w:pPr>
              <w:jc w:val="right"/>
              <w:outlineLvl w:val="0"/>
              <w:rPr>
                <w:noProof/>
                <w:sz w:val="20"/>
                <w:szCs w:val="20"/>
              </w:rPr>
            </w:pPr>
            <w:bookmarkStart w:id="977" w:name="_Toc223980581"/>
            <w:r w:rsidRPr="00304E43">
              <w:rPr>
                <w:noProof/>
                <w:sz w:val="20"/>
                <w:szCs w:val="20"/>
              </w:rPr>
              <w:t>0.0</w:t>
            </w:r>
            <w:bookmarkEnd w:id="977"/>
          </w:p>
        </w:tc>
        <w:tc>
          <w:tcPr>
            <w:tcW w:w="828" w:type="pct"/>
            <w:tcBorders>
              <w:top w:val="nil"/>
              <w:left w:val="nil"/>
              <w:bottom w:val="single" w:sz="4" w:space="0" w:color="auto"/>
              <w:right w:val="single" w:sz="4" w:space="0" w:color="auto"/>
            </w:tcBorders>
            <w:shd w:val="clear" w:color="000000" w:fill="FFFFFF"/>
            <w:noWrap/>
            <w:hideMark/>
          </w:tcPr>
          <w:p w14:paraId="645DBDDF" w14:textId="77777777" w:rsidR="00304E43" w:rsidRPr="00304E43" w:rsidRDefault="00304E43" w:rsidP="00304E43">
            <w:pPr>
              <w:jc w:val="right"/>
              <w:outlineLvl w:val="0"/>
              <w:rPr>
                <w:noProof/>
                <w:sz w:val="20"/>
                <w:szCs w:val="20"/>
              </w:rPr>
            </w:pPr>
            <w:bookmarkStart w:id="978" w:name="_Toc223980582"/>
            <w:r w:rsidRPr="00304E43">
              <w:rPr>
                <w:noProof/>
                <w:sz w:val="20"/>
                <w:szCs w:val="20"/>
              </w:rPr>
              <w:t>0.0</w:t>
            </w:r>
            <w:bookmarkEnd w:id="978"/>
          </w:p>
        </w:tc>
      </w:tr>
      <w:tr w:rsidR="00304E43" w:rsidRPr="008F6B42" w14:paraId="4F61004F"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10255AA" w14:textId="77777777" w:rsidR="00304E43" w:rsidRPr="008F6B42" w:rsidRDefault="00304E43" w:rsidP="00304E43">
            <w:pPr>
              <w:outlineLvl w:val="0"/>
              <w:rPr>
                <w:noProof/>
                <w:sz w:val="20"/>
                <w:szCs w:val="20"/>
              </w:rPr>
            </w:pPr>
            <w:r w:rsidRPr="008F6B42">
              <w:rPr>
                <w:noProof/>
                <w:sz w:val="20"/>
                <w:szCs w:val="20"/>
              </w:rPr>
              <w:t xml:space="preserve"> </w:t>
            </w:r>
            <w:bookmarkStart w:id="979" w:name="_Toc223980583"/>
            <w:r w:rsidRPr="008F6B42">
              <w:rPr>
                <w:noProof/>
                <w:sz w:val="20"/>
                <w:szCs w:val="20"/>
              </w:rPr>
              <w:t>Slovakia</w:t>
            </w:r>
            <w:bookmarkEnd w:id="97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319D3DE4" w14:textId="0E8BCAFC" w:rsidR="00304E43" w:rsidRPr="00304E43" w:rsidRDefault="00304E43" w:rsidP="00304E43">
            <w:pPr>
              <w:jc w:val="right"/>
              <w:outlineLvl w:val="0"/>
              <w:rPr>
                <w:noProof/>
                <w:sz w:val="20"/>
                <w:szCs w:val="20"/>
              </w:rPr>
            </w:pPr>
            <w:bookmarkStart w:id="980" w:name="_Toc223980584"/>
            <w:r w:rsidRPr="00304E43">
              <w:rPr>
                <w:noProof/>
                <w:sz w:val="20"/>
                <w:szCs w:val="20"/>
              </w:rPr>
              <w:t>25.5</w:t>
            </w:r>
            <w:bookmarkEnd w:id="980"/>
          </w:p>
        </w:tc>
        <w:tc>
          <w:tcPr>
            <w:tcW w:w="828" w:type="pct"/>
            <w:tcBorders>
              <w:top w:val="nil"/>
              <w:left w:val="nil"/>
              <w:bottom w:val="single" w:sz="4" w:space="0" w:color="auto"/>
              <w:right w:val="single" w:sz="4" w:space="0" w:color="auto"/>
            </w:tcBorders>
            <w:shd w:val="clear" w:color="000000" w:fill="FFFFFF"/>
            <w:noWrap/>
            <w:hideMark/>
          </w:tcPr>
          <w:p w14:paraId="785C1337" w14:textId="23F6ECF5" w:rsidR="00304E43" w:rsidRPr="00304E43" w:rsidRDefault="00304E43" w:rsidP="00304E43">
            <w:pPr>
              <w:jc w:val="right"/>
              <w:outlineLvl w:val="0"/>
              <w:rPr>
                <w:noProof/>
                <w:sz w:val="20"/>
                <w:szCs w:val="20"/>
              </w:rPr>
            </w:pPr>
            <w:bookmarkStart w:id="981" w:name="_Toc223980585"/>
            <w:r w:rsidRPr="00304E43">
              <w:rPr>
                <w:noProof/>
                <w:sz w:val="20"/>
                <w:szCs w:val="20"/>
              </w:rPr>
              <w:t>4.0</w:t>
            </w:r>
            <w:bookmarkEnd w:id="981"/>
          </w:p>
        </w:tc>
        <w:tc>
          <w:tcPr>
            <w:tcW w:w="828" w:type="pct"/>
            <w:tcBorders>
              <w:top w:val="nil"/>
              <w:left w:val="nil"/>
              <w:bottom w:val="single" w:sz="4" w:space="0" w:color="auto"/>
              <w:right w:val="single" w:sz="4" w:space="0" w:color="auto"/>
            </w:tcBorders>
            <w:shd w:val="clear" w:color="000000" w:fill="FFFFFF"/>
            <w:noWrap/>
            <w:hideMark/>
          </w:tcPr>
          <w:p w14:paraId="7F5A1871" w14:textId="52ED2A73" w:rsidR="00304E43" w:rsidRPr="00304E43" w:rsidRDefault="00304E43" w:rsidP="00304E43">
            <w:pPr>
              <w:jc w:val="right"/>
              <w:outlineLvl w:val="0"/>
              <w:rPr>
                <w:noProof/>
                <w:sz w:val="20"/>
                <w:szCs w:val="20"/>
              </w:rPr>
            </w:pPr>
            <w:bookmarkStart w:id="982" w:name="_Toc223980586"/>
            <w:r w:rsidRPr="00304E43">
              <w:rPr>
                <w:noProof/>
                <w:sz w:val="20"/>
                <w:szCs w:val="20"/>
              </w:rPr>
              <w:t>6.0</w:t>
            </w:r>
            <w:bookmarkEnd w:id="982"/>
          </w:p>
        </w:tc>
        <w:tc>
          <w:tcPr>
            <w:tcW w:w="828" w:type="pct"/>
            <w:tcBorders>
              <w:top w:val="nil"/>
              <w:left w:val="nil"/>
              <w:bottom w:val="single" w:sz="4" w:space="0" w:color="auto"/>
              <w:right w:val="single" w:sz="4" w:space="0" w:color="auto"/>
            </w:tcBorders>
            <w:shd w:val="clear" w:color="000000" w:fill="FFFFFF"/>
            <w:noWrap/>
            <w:hideMark/>
          </w:tcPr>
          <w:p w14:paraId="3E68A3CF" w14:textId="6F826780" w:rsidR="00304E43" w:rsidRPr="00304E43" w:rsidRDefault="00304E43" w:rsidP="00304E43">
            <w:pPr>
              <w:jc w:val="right"/>
              <w:outlineLvl w:val="0"/>
              <w:rPr>
                <w:noProof/>
                <w:sz w:val="20"/>
                <w:szCs w:val="20"/>
              </w:rPr>
            </w:pPr>
            <w:bookmarkStart w:id="983" w:name="_Toc223980587"/>
            <w:r w:rsidRPr="00304E43">
              <w:rPr>
                <w:noProof/>
                <w:sz w:val="20"/>
                <w:szCs w:val="20"/>
              </w:rPr>
              <w:t>4.5</w:t>
            </w:r>
            <w:bookmarkEnd w:id="983"/>
          </w:p>
        </w:tc>
      </w:tr>
      <w:tr w:rsidR="00304E43" w:rsidRPr="008F6B42" w14:paraId="4BE6A26E" w14:textId="77777777" w:rsidTr="008F6B42">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5755B4CF" w14:textId="324E39F6" w:rsidR="00304E43" w:rsidRPr="008F6B42" w:rsidRDefault="00304E43" w:rsidP="00304E43">
            <w:pPr>
              <w:rPr>
                <w:b/>
                <w:bCs/>
                <w:noProof/>
                <w:sz w:val="20"/>
                <w:szCs w:val="20"/>
              </w:rPr>
            </w:pPr>
            <w:r w:rsidRPr="008F6B42">
              <w:rPr>
                <w:b/>
                <w:bCs/>
                <w:noProof/>
                <w:sz w:val="20"/>
                <w:szCs w:val="20"/>
              </w:rPr>
              <w:t xml:space="preserve"> Total </w:t>
            </w:r>
          </w:p>
        </w:tc>
        <w:tc>
          <w:tcPr>
            <w:tcW w:w="828" w:type="pct"/>
            <w:tcBorders>
              <w:top w:val="nil"/>
              <w:left w:val="nil"/>
              <w:bottom w:val="single" w:sz="4" w:space="0" w:color="auto"/>
              <w:right w:val="single" w:sz="4" w:space="0" w:color="auto"/>
            </w:tcBorders>
            <w:shd w:val="clear" w:color="000000" w:fill="FFFFFF"/>
            <w:noWrap/>
            <w:hideMark/>
          </w:tcPr>
          <w:p w14:paraId="0E064870" w14:textId="78C97EA6" w:rsidR="00304E43" w:rsidRPr="00304E43" w:rsidRDefault="00304E43" w:rsidP="00304E43">
            <w:pPr>
              <w:jc w:val="right"/>
              <w:rPr>
                <w:b/>
                <w:bCs/>
                <w:noProof/>
                <w:sz w:val="20"/>
                <w:szCs w:val="20"/>
              </w:rPr>
            </w:pPr>
            <w:r w:rsidRPr="00304E43">
              <w:rPr>
                <w:b/>
                <w:bCs/>
                <w:noProof/>
                <w:sz w:val="20"/>
                <w:szCs w:val="20"/>
              </w:rPr>
              <w:t>2,554.1</w:t>
            </w:r>
          </w:p>
        </w:tc>
        <w:tc>
          <w:tcPr>
            <w:tcW w:w="828" w:type="pct"/>
            <w:tcBorders>
              <w:top w:val="nil"/>
              <w:left w:val="nil"/>
              <w:bottom w:val="single" w:sz="4" w:space="0" w:color="auto"/>
              <w:right w:val="single" w:sz="4" w:space="0" w:color="auto"/>
            </w:tcBorders>
            <w:shd w:val="clear" w:color="000000" w:fill="FFFFFF"/>
            <w:noWrap/>
            <w:hideMark/>
          </w:tcPr>
          <w:p w14:paraId="22159EFF" w14:textId="650CAEE6" w:rsidR="00304E43" w:rsidRPr="00304E43" w:rsidRDefault="00304E43" w:rsidP="00304E43">
            <w:pPr>
              <w:jc w:val="right"/>
              <w:rPr>
                <w:b/>
                <w:bCs/>
                <w:noProof/>
                <w:sz w:val="20"/>
                <w:szCs w:val="20"/>
              </w:rPr>
            </w:pPr>
            <w:r w:rsidRPr="00304E43">
              <w:rPr>
                <w:b/>
                <w:bCs/>
                <w:noProof/>
                <w:sz w:val="20"/>
                <w:szCs w:val="20"/>
              </w:rPr>
              <w:t>399.2</w:t>
            </w:r>
          </w:p>
        </w:tc>
        <w:tc>
          <w:tcPr>
            <w:tcW w:w="828" w:type="pct"/>
            <w:tcBorders>
              <w:top w:val="nil"/>
              <w:left w:val="nil"/>
              <w:bottom w:val="single" w:sz="4" w:space="0" w:color="auto"/>
              <w:right w:val="single" w:sz="4" w:space="0" w:color="auto"/>
            </w:tcBorders>
            <w:shd w:val="clear" w:color="000000" w:fill="FFFFFF"/>
            <w:noWrap/>
            <w:hideMark/>
          </w:tcPr>
          <w:p w14:paraId="328159DB" w14:textId="329E8C7D" w:rsidR="00304E43" w:rsidRPr="00304E43" w:rsidRDefault="00304E43" w:rsidP="00304E43">
            <w:pPr>
              <w:jc w:val="right"/>
              <w:rPr>
                <w:b/>
                <w:bCs/>
                <w:noProof/>
                <w:sz w:val="20"/>
                <w:szCs w:val="20"/>
              </w:rPr>
            </w:pPr>
            <w:r w:rsidRPr="00304E43">
              <w:rPr>
                <w:b/>
                <w:bCs/>
                <w:noProof/>
                <w:sz w:val="20"/>
                <w:szCs w:val="20"/>
              </w:rPr>
              <w:t>600.6</w:t>
            </w:r>
          </w:p>
        </w:tc>
        <w:tc>
          <w:tcPr>
            <w:tcW w:w="828" w:type="pct"/>
            <w:tcBorders>
              <w:top w:val="nil"/>
              <w:left w:val="nil"/>
              <w:bottom w:val="single" w:sz="4" w:space="0" w:color="auto"/>
              <w:right w:val="single" w:sz="4" w:space="0" w:color="auto"/>
            </w:tcBorders>
            <w:shd w:val="clear" w:color="000000" w:fill="FFFFFF"/>
            <w:noWrap/>
            <w:hideMark/>
          </w:tcPr>
          <w:p w14:paraId="2760E965" w14:textId="07807693" w:rsidR="00304E43" w:rsidRPr="00304E43" w:rsidRDefault="00304E43" w:rsidP="00304E43">
            <w:pPr>
              <w:jc w:val="right"/>
              <w:rPr>
                <w:b/>
                <w:bCs/>
                <w:noProof/>
                <w:sz w:val="20"/>
                <w:szCs w:val="20"/>
              </w:rPr>
            </w:pPr>
            <w:r w:rsidRPr="00304E43">
              <w:rPr>
                <w:b/>
                <w:bCs/>
                <w:noProof/>
                <w:sz w:val="20"/>
                <w:szCs w:val="20"/>
              </w:rPr>
              <w:t>450.3</w:t>
            </w:r>
          </w:p>
        </w:tc>
      </w:tr>
    </w:tbl>
    <w:p w14:paraId="67426306" w14:textId="77777777" w:rsidR="002303A3" w:rsidRPr="008F6B42" w:rsidRDefault="002303A3" w:rsidP="002303A3">
      <w:pPr>
        <w:tabs>
          <w:tab w:val="left" w:pos="2302"/>
        </w:tabs>
        <w:spacing w:after="240"/>
        <w:jc w:val="both"/>
        <w:rPr>
          <w:i/>
          <w:noProof/>
          <w:sz w:val="20"/>
          <w:szCs w:val="20"/>
        </w:rPr>
      </w:pPr>
      <w:r w:rsidRPr="008F6B42">
        <w:rPr>
          <w:i/>
          <w:noProof/>
          <w:spacing w:val="-8"/>
          <w:sz w:val="20"/>
          <w:szCs w:val="20"/>
        </w:rPr>
        <w:t xml:space="preserve">Source: </w:t>
      </w:r>
      <w:r w:rsidRPr="008F6B42">
        <w:rPr>
          <w:i/>
          <w:noProof/>
          <w:sz w:val="20"/>
          <w:szCs w:val="20"/>
        </w:rPr>
        <w:t>Ricardo et al. (2026), Impact assessment support study</w:t>
      </w:r>
    </w:p>
    <w:p w14:paraId="78DDD810" w14:textId="70F03F7A" w:rsidR="002303A3" w:rsidRPr="00383DBF" w:rsidRDefault="002303A3" w:rsidP="002303A3">
      <w:pPr>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77</w:t>
      </w:r>
      <w:r w:rsidRPr="00383DBF">
        <w:rPr>
          <w:i/>
          <w:noProof/>
          <w:sz w:val="22"/>
          <w:szCs w:val="22"/>
        </w:rPr>
        <w:fldChar w:fldCharType="end"/>
      </w:r>
      <w:r w:rsidRPr="00383DBF">
        <w:rPr>
          <w:i/>
          <w:noProof/>
          <w:sz w:val="22"/>
          <w:szCs w:val="22"/>
        </w:rPr>
        <w:t xml:space="preserve">: Total one-off and recurrent adjustment costs for </w:t>
      </w:r>
      <w:r w:rsidR="00AD2776">
        <w:rPr>
          <w:i/>
          <w:noProof/>
          <w:sz w:val="22"/>
          <w:szCs w:val="22"/>
        </w:rPr>
        <w:t>non-SME</w:t>
      </w:r>
      <w:r w:rsidRPr="00383DBF">
        <w:rPr>
          <w:i/>
          <w:noProof/>
          <w:sz w:val="22"/>
          <w:szCs w:val="22"/>
        </w:rPr>
        <w:t xml:space="preserve"> B2C MDMS platforms due to PM2 in PO4 in 2028, 2030, 2040 and 2050 relative to the baseline (thousand EUR, in 2024 prices)</w:t>
      </w:r>
    </w:p>
    <w:tbl>
      <w:tblPr>
        <w:tblW w:w="5000" w:type="pct"/>
        <w:tblLook w:val="04A0" w:firstRow="1" w:lastRow="0" w:firstColumn="1" w:lastColumn="0" w:noHBand="0" w:noVBand="1"/>
      </w:tblPr>
      <w:tblGrid>
        <w:gridCol w:w="3241"/>
        <w:gridCol w:w="1591"/>
        <w:gridCol w:w="1591"/>
        <w:gridCol w:w="1590"/>
        <w:gridCol w:w="1590"/>
      </w:tblGrid>
      <w:tr w:rsidR="00E12170" w:rsidRPr="008F6B42" w14:paraId="6FDD2CDB" w14:textId="77777777" w:rsidTr="00E12170">
        <w:trPr>
          <w:trHeight w:val="255"/>
          <w:tblHeader/>
        </w:trPr>
        <w:tc>
          <w:tcPr>
            <w:tcW w:w="1687" w:type="pct"/>
            <w:tcBorders>
              <w:top w:val="single" w:sz="4" w:space="0" w:color="auto"/>
              <w:left w:val="single" w:sz="4" w:space="0" w:color="auto"/>
              <w:bottom w:val="single" w:sz="4" w:space="0" w:color="auto"/>
              <w:right w:val="single" w:sz="4" w:space="0" w:color="auto"/>
            </w:tcBorders>
            <w:shd w:val="clear" w:color="000000" w:fill="0070C0"/>
            <w:noWrap/>
            <w:hideMark/>
          </w:tcPr>
          <w:p w14:paraId="4F7BBAAF" w14:textId="372C1C80" w:rsidR="00E12170" w:rsidRPr="008F6B42" w:rsidRDefault="00E12170">
            <w:pPr>
              <w:jc w:val="center"/>
              <w:rPr>
                <w:b/>
                <w:bCs/>
                <w:noProof/>
                <w:color w:val="FFFFFF"/>
                <w:sz w:val="20"/>
                <w:szCs w:val="20"/>
              </w:rPr>
            </w:pPr>
          </w:p>
        </w:tc>
        <w:tc>
          <w:tcPr>
            <w:tcW w:w="828" w:type="pct"/>
            <w:tcBorders>
              <w:top w:val="single" w:sz="4" w:space="0" w:color="auto"/>
              <w:left w:val="nil"/>
              <w:bottom w:val="single" w:sz="4" w:space="0" w:color="auto"/>
              <w:right w:val="single" w:sz="4" w:space="0" w:color="auto"/>
            </w:tcBorders>
            <w:shd w:val="clear" w:color="000000" w:fill="0070C0"/>
            <w:noWrap/>
            <w:hideMark/>
          </w:tcPr>
          <w:p w14:paraId="58B5A3EA" w14:textId="77777777" w:rsidR="00E12170" w:rsidRPr="008F6B42" w:rsidRDefault="00E12170">
            <w:pPr>
              <w:jc w:val="center"/>
              <w:rPr>
                <w:b/>
                <w:bCs/>
                <w:noProof/>
                <w:color w:val="FFFFFF"/>
                <w:sz w:val="20"/>
                <w:szCs w:val="20"/>
              </w:rPr>
            </w:pPr>
            <w:r w:rsidRPr="008F6B42">
              <w:rPr>
                <w:b/>
                <w:bCs/>
                <w:noProof/>
                <w:color w:val="FFFFFF"/>
                <w:sz w:val="20"/>
                <w:szCs w:val="20"/>
              </w:rPr>
              <w:t>2028</w:t>
            </w:r>
          </w:p>
        </w:tc>
        <w:tc>
          <w:tcPr>
            <w:tcW w:w="828" w:type="pct"/>
            <w:tcBorders>
              <w:top w:val="single" w:sz="4" w:space="0" w:color="auto"/>
              <w:left w:val="nil"/>
              <w:bottom w:val="single" w:sz="4" w:space="0" w:color="auto"/>
              <w:right w:val="single" w:sz="4" w:space="0" w:color="auto"/>
            </w:tcBorders>
            <w:shd w:val="clear" w:color="000000" w:fill="0070C0"/>
            <w:noWrap/>
            <w:hideMark/>
          </w:tcPr>
          <w:p w14:paraId="4B5E27C4" w14:textId="77777777" w:rsidR="00E12170" w:rsidRPr="008F6B42" w:rsidRDefault="00E12170">
            <w:pPr>
              <w:jc w:val="center"/>
              <w:rPr>
                <w:b/>
                <w:bCs/>
                <w:noProof/>
                <w:color w:val="FFFFFF"/>
                <w:sz w:val="20"/>
                <w:szCs w:val="20"/>
              </w:rPr>
            </w:pPr>
            <w:r w:rsidRPr="008F6B42">
              <w:rPr>
                <w:b/>
                <w:bCs/>
                <w:noProof/>
                <w:color w:val="FFFFFF"/>
                <w:sz w:val="20"/>
                <w:szCs w:val="20"/>
              </w:rPr>
              <w:t>2030</w:t>
            </w:r>
          </w:p>
        </w:tc>
        <w:tc>
          <w:tcPr>
            <w:tcW w:w="828" w:type="pct"/>
            <w:tcBorders>
              <w:top w:val="single" w:sz="4" w:space="0" w:color="auto"/>
              <w:left w:val="nil"/>
              <w:bottom w:val="single" w:sz="4" w:space="0" w:color="auto"/>
              <w:right w:val="single" w:sz="4" w:space="0" w:color="auto"/>
            </w:tcBorders>
            <w:shd w:val="clear" w:color="000000" w:fill="0070C0"/>
            <w:noWrap/>
            <w:hideMark/>
          </w:tcPr>
          <w:p w14:paraId="76286949" w14:textId="77777777" w:rsidR="00E12170" w:rsidRPr="008F6B42" w:rsidRDefault="00E12170">
            <w:pPr>
              <w:jc w:val="center"/>
              <w:rPr>
                <w:b/>
                <w:bCs/>
                <w:noProof/>
                <w:color w:val="FFFFFF"/>
                <w:sz w:val="20"/>
                <w:szCs w:val="20"/>
              </w:rPr>
            </w:pPr>
            <w:r w:rsidRPr="008F6B42">
              <w:rPr>
                <w:b/>
                <w:bCs/>
                <w:noProof/>
                <w:color w:val="FFFFFF"/>
                <w:sz w:val="20"/>
                <w:szCs w:val="20"/>
              </w:rPr>
              <w:t>2040</w:t>
            </w:r>
          </w:p>
        </w:tc>
        <w:tc>
          <w:tcPr>
            <w:tcW w:w="828" w:type="pct"/>
            <w:tcBorders>
              <w:top w:val="single" w:sz="4" w:space="0" w:color="auto"/>
              <w:left w:val="nil"/>
              <w:bottom w:val="single" w:sz="4" w:space="0" w:color="auto"/>
              <w:right w:val="single" w:sz="4" w:space="0" w:color="auto"/>
            </w:tcBorders>
            <w:shd w:val="clear" w:color="000000" w:fill="0070C0"/>
            <w:noWrap/>
            <w:hideMark/>
          </w:tcPr>
          <w:p w14:paraId="075C029E" w14:textId="77777777" w:rsidR="00E12170" w:rsidRPr="008F6B42" w:rsidRDefault="00E12170">
            <w:pPr>
              <w:jc w:val="center"/>
              <w:rPr>
                <w:b/>
                <w:bCs/>
                <w:noProof/>
                <w:color w:val="FFFFFF"/>
                <w:sz w:val="20"/>
                <w:szCs w:val="20"/>
              </w:rPr>
            </w:pPr>
            <w:r w:rsidRPr="008F6B42">
              <w:rPr>
                <w:b/>
                <w:bCs/>
                <w:noProof/>
                <w:color w:val="FFFFFF"/>
                <w:sz w:val="20"/>
                <w:szCs w:val="20"/>
              </w:rPr>
              <w:t>2050</w:t>
            </w:r>
          </w:p>
        </w:tc>
      </w:tr>
      <w:tr w:rsidR="000B66C8" w:rsidRPr="008F6B42" w14:paraId="25568765"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130EB603" w14:textId="77777777" w:rsidR="000B66C8" w:rsidRPr="008F6B42" w:rsidRDefault="000B66C8" w:rsidP="000B66C8">
            <w:pPr>
              <w:outlineLvl w:val="0"/>
              <w:rPr>
                <w:noProof/>
                <w:sz w:val="20"/>
                <w:szCs w:val="20"/>
              </w:rPr>
            </w:pPr>
            <w:r w:rsidRPr="008F6B42">
              <w:rPr>
                <w:noProof/>
                <w:sz w:val="20"/>
                <w:szCs w:val="20"/>
              </w:rPr>
              <w:t xml:space="preserve"> </w:t>
            </w:r>
            <w:bookmarkStart w:id="984" w:name="_Toc223980588"/>
            <w:r w:rsidRPr="008F6B42">
              <w:rPr>
                <w:noProof/>
                <w:sz w:val="20"/>
                <w:szCs w:val="20"/>
              </w:rPr>
              <w:t>Germany</w:t>
            </w:r>
            <w:bookmarkEnd w:id="98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36694CA9" w14:textId="231ED763" w:rsidR="000B66C8" w:rsidRPr="000B66C8" w:rsidRDefault="000B66C8" w:rsidP="000B66C8">
            <w:pPr>
              <w:jc w:val="right"/>
              <w:outlineLvl w:val="0"/>
              <w:rPr>
                <w:noProof/>
                <w:sz w:val="20"/>
                <w:szCs w:val="20"/>
              </w:rPr>
            </w:pPr>
            <w:bookmarkStart w:id="985" w:name="_Toc223980589"/>
            <w:r w:rsidRPr="000B66C8">
              <w:rPr>
                <w:noProof/>
                <w:sz w:val="20"/>
                <w:szCs w:val="20"/>
              </w:rPr>
              <w:t>306.5</w:t>
            </w:r>
            <w:bookmarkEnd w:id="985"/>
          </w:p>
        </w:tc>
        <w:tc>
          <w:tcPr>
            <w:tcW w:w="828" w:type="pct"/>
            <w:tcBorders>
              <w:top w:val="nil"/>
              <w:left w:val="nil"/>
              <w:bottom w:val="single" w:sz="4" w:space="0" w:color="auto"/>
              <w:right w:val="single" w:sz="4" w:space="0" w:color="auto"/>
            </w:tcBorders>
            <w:shd w:val="clear" w:color="000000" w:fill="FFFFFF"/>
            <w:noWrap/>
            <w:hideMark/>
          </w:tcPr>
          <w:p w14:paraId="00AEB262" w14:textId="7139B61F" w:rsidR="000B66C8" w:rsidRPr="000B66C8" w:rsidRDefault="000B66C8" w:rsidP="000B66C8">
            <w:pPr>
              <w:jc w:val="right"/>
              <w:outlineLvl w:val="0"/>
              <w:rPr>
                <w:noProof/>
                <w:sz w:val="20"/>
                <w:szCs w:val="20"/>
              </w:rPr>
            </w:pPr>
            <w:bookmarkStart w:id="986" w:name="_Toc223980590"/>
            <w:r w:rsidRPr="000B66C8">
              <w:rPr>
                <w:noProof/>
                <w:sz w:val="20"/>
                <w:szCs w:val="20"/>
              </w:rPr>
              <w:t>47.1</w:t>
            </w:r>
            <w:bookmarkEnd w:id="986"/>
          </w:p>
        </w:tc>
        <w:tc>
          <w:tcPr>
            <w:tcW w:w="828" w:type="pct"/>
            <w:tcBorders>
              <w:top w:val="nil"/>
              <w:left w:val="nil"/>
              <w:bottom w:val="single" w:sz="4" w:space="0" w:color="auto"/>
              <w:right w:val="single" w:sz="4" w:space="0" w:color="auto"/>
            </w:tcBorders>
            <w:shd w:val="clear" w:color="000000" w:fill="FFFFFF"/>
            <w:noWrap/>
            <w:hideMark/>
          </w:tcPr>
          <w:p w14:paraId="48FE1BEA" w14:textId="4E0CB634" w:rsidR="000B66C8" w:rsidRPr="000B66C8" w:rsidRDefault="000B66C8" w:rsidP="000B66C8">
            <w:pPr>
              <w:jc w:val="right"/>
              <w:outlineLvl w:val="0"/>
              <w:rPr>
                <w:noProof/>
                <w:sz w:val="20"/>
                <w:szCs w:val="20"/>
              </w:rPr>
            </w:pPr>
            <w:bookmarkStart w:id="987" w:name="_Toc223980591"/>
            <w:r w:rsidRPr="000B66C8">
              <w:rPr>
                <w:noProof/>
                <w:sz w:val="20"/>
                <w:szCs w:val="20"/>
              </w:rPr>
              <w:t>75.6</w:t>
            </w:r>
            <w:bookmarkEnd w:id="987"/>
          </w:p>
        </w:tc>
        <w:tc>
          <w:tcPr>
            <w:tcW w:w="828" w:type="pct"/>
            <w:tcBorders>
              <w:top w:val="nil"/>
              <w:left w:val="nil"/>
              <w:bottom w:val="single" w:sz="4" w:space="0" w:color="auto"/>
              <w:right w:val="single" w:sz="4" w:space="0" w:color="auto"/>
            </w:tcBorders>
            <w:shd w:val="clear" w:color="000000" w:fill="FFFFFF"/>
            <w:noWrap/>
            <w:hideMark/>
          </w:tcPr>
          <w:p w14:paraId="5781B055" w14:textId="58B6B4F1" w:rsidR="000B66C8" w:rsidRPr="000B66C8" w:rsidRDefault="000B66C8" w:rsidP="000B66C8">
            <w:pPr>
              <w:jc w:val="right"/>
              <w:outlineLvl w:val="0"/>
              <w:rPr>
                <w:noProof/>
                <w:sz w:val="20"/>
                <w:szCs w:val="20"/>
              </w:rPr>
            </w:pPr>
            <w:bookmarkStart w:id="988" w:name="_Toc223980592"/>
            <w:r w:rsidRPr="000B66C8">
              <w:rPr>
                <w:noProof/>
                <w:sz w:val="20"/>
                <w:szCs w:val="20"/>
              </w:rPr>
              <w:t>54.2</w:t>
            </w:r>
            <w:bookmarkEnd w:id="988"/>
          </w:p>
        </w:tc>
      </w:tr>
      <w:tr w:rsidR="000B66C8" w:rsidRPr="008F6B42" w14:paraId="100E719C"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0394F15B" w14:textId="77777777" w:rsidR="000B66C8" w:rsidRPr="008F6B42" w:rsidRDefault="000B66C8" w:rsidP="000B66C8">
            <w:pPr>
              <w:outlineLvl w:val="0"/>
              <w:rPr>
                <w:noProof/>
                <w:sz w:val="20"/>
                <w:szCs w:val="20"/>
              </w:rPr>
            </w:pPr>
            <w:r w:rsidRPr="008F6B42">
              <w:rPr>
                <w:noProof/>
                <w:sz w:val="20"/>
                <w:szCs w:val="20"/>
              </w:rPr>
              <w:t xml:space="preserve"> </w:t>
            </w:r>
            <w:bookmarkStart w:id="989" w:name="_Toc223980593"/>
            <w:r w:rsidRPr="008F6B42">
              <w:rPr>
                <w:noProof/>
                <w:sz w:val="20"/>
                <w:szCs w:val="20"/>
              </w:rPr>
              <w:t>Austria</w:t>
            </w:r>
            <w:bookmarkEnd w:id="98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03FBE45D" w14:textId="74486966" w:rsidR="000B66C8" w:rsidRPr="000B66C8" w:rsidRDefault="000B66C8" w:rsidP="000B66C8">
            <w:pPr>
              <w:jc w:val="right"/>
              <w:outlineLvl w:val="0"/>
              <w:rPr>
                <w:noProof/>
                <w:sz w:val="20"/>
                <w:szCs w:val="20"/>
              </w:rPr>
            </w:pPr>
            <w:bookmarkStart w:id="990" w:name="_Toc223980594"/>
            <w:r w:rsidRPr="000B66C8">
              <w:rPr>
                <w:noProof/>
                <w:sz w:val="20"/>
                <w:szCs w:val="20"/>
              </w:rPr>
              <w:t>229.9</w:t>
            </w:r>
            <w:bookmarkEnd w:id="990"/>
          </w:p>
        </w:tc>
        <w:tc>
          <w:tcPr>
            <w:tcW w:w="828" w:type="pct"/>
            <w:tcBorders>
              <w:top w:val="nil"/>
              <w:left w:val="nil"/>
              <w:bottom w:val="single" w:sz="4" w:space="0" w:color="auto"/>
              <w:right w:val="single" w:sz="4" w:space="0" w:color="auto"/>
            </w:tcBorders>
            <w:shd w:val="clear" w:color="000000" w:fill="FFFFFF"/>
            <w:noWrap/>
            <w:hideMark/>
          </w:tcPr>
          <w:p w14:paraId="71746F04" w14:textId="190064D2" w:rsidR="000B66C8" w:rsidRPr="000B66C8" w:rsidRDefault="000B66C8" w:rsidP="000B66C8">
            <w:pPr>
              <w:jc w:val="right"/>
              <w:outlineLvl w:val="0"/>
              <w:rPr>
                <w:noProof/>
                <w:sz w:val="20"/>
                <w:szCs w:val="20"/>
              </w:rPr>
            </w:pPr>
            <w:bookmarkStart w:id="991" w:name="_Toc223980595"/>
            <w:r w:rsidRPr="000B66C8">
              <w:rPr>
                <w:noProof/>
                <w:sz w:val="20"/>
                <w:szCs w:val="20"/>
              </w:rPr>
              <w:t>35.4</w:t>
            </w:r>
            <w:bookmarkEnd w:id="991"/>
          </w:p>
        </w:tc>
        <w:tc>
          <w:tcPr>
            <w:tcW w:w="828" w:type="pct"/>
            <w:tcBorders>
              <w:top w:val="nil"/>
              <w:left w:val="nil"/>
              <w:bottom w:val="single" w:sz="4" w:space="0" w:color="auto"/>
              <w:right w:val="single" w:sz="4" w:space="0" w:color="auto"/>
            </w:tcBorders>
            <w:shd w:val="clear" w:color="000000" w:fill="FFFFFF"/>
            <w:noWrap/>
            <w:hideMark/>
          </w:tcPr>
          <w:p w14:paraId="1AD3E53D" w14:textId="3F287C05" w:rsidR="000B66C8" w:rsidRPr="000B66C8" w:rsidRDefault="000B66C8" w:rsidP="000B66C8">
            <w:pPr>
              <w:jc w:val="right"/>
              <w:outlineLvl w:val="0"/>
              <w:rPr>
                <w:noProof/>
                <w:sz w:val="20"/>
                <w:szCs w:val="20"/>
              </w:rPr>
            </w:pPr>
            <w:bookmarkStart w:id="992" w:name="_Toc223980596"/>
            <w:r w:rsidRPr="000B66C8">
              <w:rPr>
                <w:noProof/>
                <w:sz w:val="20"/>
                <w:szCs w:val="20"/>
              </w:rPr>
              <w:t>56.7</w:t>
            </w:r>
            <w:bookmarkEnd w:id="992"/>
          </w:p>
        </w:tc>
        <w:tc>
          <w:tcPr>
            <w:tcW w:w="828" w:type="pct"/>
            <w:tcBorders>
              <w:top w:val="nil"/>
              <w:left w:val="nil"/>
              <w:bottom w:val="single" w:sz="4" w:space="0" w:color="auto"/>
              <w:right w:val="single" w:sz="4" w:space="0" w:color="auto"/>
            </w:tcBorders>
            <w:shd w:val="clear" w:color="000000" w:fill="FFFFFF"/>
            <w:noWrap/>
            <w:hideMark/>
          </w:tcPr>
          <w:p w14:paraId="4E0E2781" w14:textId="0F2A9A58" w:rsidR="000B66C8" w:rsidRPr="000B66C8" w:rsidRDefault="000B66C8" w:rsidP="000B66C8">
            <w:pPr>
              <w:jc w:val="right"/>
              <w:outlineLvl w:val="0"/>
              <w:rPr>
                <w:noProof/>
                <w:sz w:val="20"/>
                <w:szCs w:val="20"/>
              </w:rPr>
            </w:pPr>
            <w:bookmarkStart w:id="993" w:name="_Toc223980597"/>
            <w:r w:rsidRPr="000B66C8">
              <w:rPr>
                <w:noProof/>
                <w:sz w:val="20"/>
                <w:szCs w:val="20"/>
              </w:rPr>
              <w:t>40.7</w:t>
            </w:r>
            <w:bookmarkEnd w:id="993"/>
          </w:p>
        </w:tc>
      </w:tr>
      <w:tr w:rsidR="000B66C8" w:rsidRPr="008F6B42" w14:paraId="4F7B7C18"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152916CF" w14:textId="77777777" w:rsidR="000B66C8" w:rsidRPr="008F6B42" w:rsidRDefault="000B66C8" w:rsidP="000B66C8">
            <w:pPr>
              <w:outlineLvl w:val="0"/>
              <w:rPr>
                <w:noProof/>
                <w:sz w:val="20"/>
                <w:szCs w:val="20"/>
              </w:rPr>
            </w:pPr>
            <w:r w:rsidRPr="008F6B42">
              <w:rPr>
                <w:noProof/>
                <w:sz w:val="20"/>
                <w:szCs w:val="20"/>
              </w:rPr>
              <w:t xml:space="preserve"> </w:t>
            </w:r>
            <w:bookmarkStart w:id="994" w:name="_Toc223980598"/>
            <w:r w:rsidRPr="008F6B42">
              <w:rPr>
                <w:noProof/>
                <w:sz w:val="20"/>
                <w:szCs w:val="20"/>
              </w:rPr>
              <w:t>Denmark</w:t>
            </w:r>
            <w:bookmarkEnd w:id="99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645CD252" w14:textId="706FE33B" w:rsidR="000B66C8" w:rsidRPr="000B66C8" w:rsidRDefault="000B66C8" w:rsidP="000B66C8">
            <w:pPr>
              <w:jc w:val="right"/>
              <w:outlineLvl w:val="0"/>
              <w:rPr>
                <w:noProof/>
                <w:sz w:val="20"/>
                <w:szCs w:val="20"/>
              </w:rPr>
            </w:pPr>
            <w:bookmarkStart w:id="995" w:name="_Toc223980599"/>
            <w:r w:rsidRPr="000B66C8">
              <w:rPr>
                <w:noProof/>
                <w:sz w:val="20"/>
                <w:szCs w:val="20"/>
              </w:rPr>
              <w:t>153.2</w:t>
            </w:r>
            <w:bookmarkEnd w:id="995"/>
          </w:p>
        </w:tc>
        <w:tc>
          <w:tcPr>
            <w:tcW w:w="828" w:type="pct"/>
            <w:tcBorders>
              <w:top w:val="nil"/>
              <w:left w:val="nil"/>
              <w:bottom w:val="single" w:sz="4" w:space="0" w:color="auto"/>
              <w:right w:val="single" w:sz="4" w:space="0" w:color="auto"/>
            </w:tcBorders>
            <w:shd w:val="clear" w:color="000000" w:fill="FFFFFF"/>
            <w:noWrap/>
            <w:hideMark/>
          </w:tcPr>
          <w:p w14:paraId="57FD8CCC" w14:textId="0F6D304B" w:rsidR="000B66C8" w:rsidRPr="000B66C8" w:rsidRDefault="000B66C8" w:rsidP="000B66C8">
            <w:pPr>
              <w:jc w:val="right"/>
              <w:outlineLvl w:val="0"/>
              <w:rPr>
                <w:noProof/>
                <w:sz w:val="20"/>
                <w:szCs w:val="20"/>
              </w:rPr>
            </w:pPr>
            <w:bookmarkStart w:id="996" w:name="_Toc223980600"/>
            <w:r w:rsidRPr="000B66C8">
              <w:rPr>
                <w:noProof/>
                <w:sz w:val="20"/>
                <w:szCs w:val="20"/>
              </w:rPr>
              <w:t>23.6</w:t>
            </w:r>
            <w:bookmarkEnd w:id="996"/>
          </w:p>
        </w:tc>
        <w:tc>
          <w:tcPr>
            <w:tcW w:w="828" w:type="pct"/>
            <w:tcBorders>
              <w:top w:val="nil"/>
              <w:left w:val="nil"/>
              <w:bottom w:val="single" w:sz="4" w:space="0" w:color="auto"/>
              <w:right w:val="single" w:sz="4" w:space="0" w:color="auto"/>
            </w:tcBorders>
            <w:shd w:val="clear" w:color="000000" w:fill="FFFFFF"/>
            <w:noWrap/>
            <w:hideMark/>
          </w:tcPr>
          <w:p w14:paraId="350F555D" w14:textId="6AE26969" w:rsidR="000B66C8" w:rsidRPr="000B66C8" w:rsidRDefault="000B66C8" w:rsidP="000B66C8">
            <w:pPr>
              <w:jc w:val="right"/>
              <w:outlineLvl w:val="0"/>
              <w:rPr>
                <w:noProof/>
                <w:sz w:val="20"/>
                <w:szCs w:val="20"/>
              </w:rPr>
            </w:pPr>
            <w:bookmarkStart w:id="997" w:name="_Toc223980601"/>
            <w:r w:rsidRPr="000B66C8">
              <w:rPr>
                <w:noProof/>
                <w:sz w:val="20"/>
                <w:szCs w:val="20"/>
              </w:rPr>
              <w:t>37.8</w:t>
            </w:r>
            <w:bookmarkEnd w:id="997"/>
          </w:p>
        </w:tc>
        <w:tc>
          <w:tcPr>
            <w:tcW w:w="828" w:type="pct"/>
            <w:tcBorders>
              <w:top w:val="nil"/>
              <w:left w:val="nil"/>
              <w:bottom w:val="single" w:sz="4" w:space="0" w:color="auto"/>
              <w:right w:val="single" w:sz="4" w:space="0" w:color="auto"/>
            </w:tcBorders>
            <w:shd w:val="clear" w:color="000000" w:fill="FFFFFF"/>
            <w:noWrap/>
            <w:hideMark/>
          </w:tcPr>
          <w:p w14:paraId="284A8FCD" w14:textId="0AF2DBE1" w:rsidR="000B66C8" w:rsidRPr="000B66C8" w:rsidRDefault="000B66C8" w:rsidP="000B66C8">
            <w:pPr>
              <w:jc w:val="right"/>
              <w:outlineLvl w:val="0"/>
              <w:rPr>
                <w:noProof/>
                <w:sz w:val="20"/>
                <w:szCs w:val="20"/>
              </w:rPr>
            </w:pPr>
            <w:bookmarkStart w:id="998" w:name="_Toc223980602"/>
            <w:r w:rsidRPr="000B66C8">
              <w:rPr>
                <w:noProof/>
                <w:sz w:val="20"/>
                <w:szCs w:val="20"/>
              </w:rPr>
              <w:t>27.1</w:t>
            </w:r>
            <w:bookmarkEnd w:id="998"/>
          </w:p>
        </w:tc>
      </w:tr>
      <w:tr w:rsidR="000B66C8" w:rsidRPr="008F6B42" w14:paraId="191503D3"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4F548FA4" w14:textId="77777777" w:rsidR="000B66C8" w:rsidRPr="008F6B42" w:rsidRDefault="000B66C8" w:rsidP="000B66C8">
            <w:pPr>
              <w:outlineLvl w:val="0"/>
              <w:rPr>
                <w:noProof/>
                <w:sz w:val="20"/>
                <w:szCs w:val="20"/>
              </w:rPr>
            </w:pPr>
            <w:r w:rsidRPr="008F6B42">
              <w:rPr>
                <w:noProof/>
                <w:sz w:val="20"/>
                <w:szCs w:val="20"/>
              </w:rPr>
              <w:t xml:space="preserve"> </w:t>
            </w:r>
            <w:bookmarkStart w:id="999" w:name="_Toc223980603"/>
            <w:r w:rsidRPr="008F6B42">
              <w:rPr>
                <w:noProof/>
                <w:sz w:val="20"/>
                <w:szCs w:val="20"/>
              </w:rPr>
              <w:t>Luxembourg</w:t>
            </w:r>
            <w:bookmarkEnd w:id="99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7A176822" w14:textId="21EA0E99" w:rsidR="000B66C8" w:rsidRPr="000B66C8" w:rsidRDefault="000B66C8" w:rsidP="000B66C8">
            <w:pPr>
              <w:jc w:val="right"/>
              <w:outlineLvl w:val="0"/>
              <w:rPr>
                <w:noProof/>
                <w:sz w:val="20"/>
                <w:szCs w:val="20"/>
              </w:rPr>
            </w:pPr>
            <w:bookmarkStart w:id="1000" w:name="_Toc223980604"/>
            <w:r w:rsidRPr="000B66C8">
              <w:rPr>
                <w:noProof/>
                <w:sz w:val="20"/>
                <w:szCs w:val="20"/>
              </w:rPr>
              <w:t>102.2</w:t>
            </w:r>
            <w:bookmarkEnd w:id="1000"/>
          </w:p>
        </w:tc>
        <w:tc>
          <w:tcPr>
            <w:tcW w:w="828" w:type="pct"/>
            <w:tcBorders>
              <w:top w:val="nil"/>
              <w:left w:val="nil"/>
              <w:bottom w:val="single" w:sz="4" w:space="0" w:color="auto"/>
              <w:right w:val="single" w:sz="4" w:space="0" w:color="auto"/>
            </w:tcBorders>
            <w:shd w:val="clear" w:color="000000" w:fill="FFFFFF"/>
            <w:noWrap/>
            <w:hideMark/>
          </w:tcPr>
          <w:p w14:paraId="6F02CD38" w14:textId="2B3EBE7A" w:rsidR="000B66C8" w:rsidRPr="000B66C8" w:rsidRDefault="000B66C8" w:rsidP="000B66C8">
            <w:pPr>
              <w:jc w:val="right"/>
              <w:outlineLvl w:val="0"/>
              <w:rPr>
                <w:noProof/>
                <w:sz w:val="20"/>
                <w:szCs w:val="20"/>
              </w:rPr>
            </w:pPr>
            <w:bookmarkStart w:id="1001" w:name="_Toc223980605"/>
            <w:r w:rsidRPr="000B66C8">
              <w:rPr>
                <w:noProof/>
                <w:sz w:val="20"/>
                <w:szCs w:val="20"/>
              </w:rPr>
              <w:t>15.7</w:t>
            </w:r>
            <w:bookmarkEnd w:id="1001"/>
          </w:p>
        </w:tc>
        <w:tc>
          <w:tcPr>
            <w:tcW w:w="828" w:type="pct"/>
            <w:tcBorders>
              <w:top w:val="nil"/>
              <w:left w:val="nil"/>
              <w:bottom w:val="single" w:sz="4" w:space="0" w:color="auto"/>
              <w:right w:val="single" w:sz="4" w:space="0" w:color="auto"/>
            </w:tcBorders>
            <w:shd w:val="clear" w:color="000000" w:fill="FFFFFF"/>
            <w:noWrap/>
            <w:hideMark/>
          </w:tcPr>
          <w:p w14:paraId="5987DAB3" w14:textId="211E1F52" w:rsidR="000B66C8" w:rsidRPr="000B66C8" w:rsidRDefault="000B66C8" w:rsidP="000B66C8">
            <w:pPr>
              <w:jc w:val="right"/>
              <w:outlineLvl w:val="0"/>
              <w:rPr>
                <w:noProof/>
                <w:sz w:val="20"/>
                <w:szCs w:val="20"/>
              </w:rPr>
            </w:pPr>
            <w:bookmarkStart w:id="1002" w:name="_Toc223980606"/>
            <w:r w:rsidRPr="000B66C8">
              <w:rPr>
                <w:noProof/>
                <w:sz w:val="20"/>
                <w:szCs w:val="20"/>
              </w:rPr>
              <w:t>25.2</w:t>
            </w:r>
            <w:bookmarkEnd w:id="1002"/>
          </w:p>
        </w:tc>
        <w:tc>
          <w:tcPr>
            <w:tcW w:w="828" w:type="pct"/>
            <w:tcBorders>
              <w:top w:val="nil"/>
              <w:left w:val="nil"/>
              <w:bottom w:val="single" w:sz="4" w:space="0" w:color="auto"/>
              <w:right w:val="single" w:sz="4" w:space="0" w:color="auto"/>
            </w:tcBorders>
            <w:shd w:val="clear" w:color="000000" w:fill="FFFFFF"/>
            <w:noWrap/>
            <w:hideMark/>
          </w:tcPr>
          <w:p w14:paraId="4BDDDA85" w14:textId="1BA44DD4" w:rsidR="000B66C8" w:rsidRPr="000B66C8" w:rsidRDefault="000B66C8" w:rsidP="000B66C8">
            <w:pPr>
              <w:jc w:val="right"/>
              <w:outlineLvl w:val="0"/>
              <w:rPr>
                <w:noProof/>
                <w:sz w:val="20"/>
                <w:szCs w:val="20"/>
              </w:rPr>
            </w:pPr>
            <w:bookmarkStart w:id="1003" w:name="_Toc223980607"/>
            <w:r w:rsidRPr="000B66C8">
              <w:rPr>
                <w:noProof/>
                <w:sz w:val="20"/>
                <w:szCs w:val="20"/>
              </w:rPr>
              <w:t>18.1</w:t>
            </w:r>
            <w:bookmarkEnd w:id="1003"/>
          </w:p>
        </w:tc>
      </w:tr>
      <w:tr w:rsidR="000B66C8" w:rsidRPr="008F6B42" w14:paraId="0817763D"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56407185" w14:textId="77777777" w:rsidR="000B66C8" w:rsidRPr="008F6B42" w:rsidRDefault="000B66C8" w:rsidP="000B66C8">
            <w:pPr>
              <w:outlineLvl w:val="0"/>
              <w:rPr>
                <w:noProof/>
                <w:sz w:val="20"/>
                <w:szCs w:val="20"/>
              </w:rPr>
            </w:pPr>
            <w:r w:rsidRPr="008F6B42">
              <w:rPr>
                <w:noProof/>
                <w:sz w:val="20"/>
                <w:szCs w:val="20"/>
              </w:rPr>
              <w:t xml:space="preserve"> </w:t>
            </w:r>
            <w:bookmarkStart w:id="1004" w:name="_Toc223980608"/>
            <w:r w:rsidRPr="008F6B42">
              <w:rPr>
                <w:noProof/>
                <w:sz w:val="20"/>
                <w:szCs w:val="20"/>
              </w:rPr>
              <w:t>Finland</w:t>
            </w:r>
            <w:bookmarkEnd w:id="100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014FDA2E" w14:textId="094A8AF8" w:rsidR="000B66C8" w:rsidRPr="000B66C8" w:rsidRDefault="000B66C8" w:rsidP="000B66C8">
            <w:pPr>
              <w:jc w:val="right"/>
              <w:outlineLvl w:val="0"/>
              <w:rPr>
                <w:noProof/>
                <w:sz w:val="20"/>
                <w:szCs w:val="20"/>
              </w:rPr>
            </w:pPr>
            <w:bookmarkStart w:id="1005" w:name="_Toc223980609"/>
            <w:r w:rsidRPr="000B66C8">
              <w:rPr>
                <w:noProof/>
                <w:sz w:val="20"/>
                <w:szCs w:val="20"/>
              </w:rPr>
              <w:t>127.7</w:t>
            </w:r>
            <w:bookmarkEnd w:id="1005"/>
          </w:p>
        </w:tc>
        <w:tc>
          <w:tcPr>
            <w:tcW w:w="828" w:type="pct"/>
            <w:tcBorders>
              <w:top w:val="nil"/>
              <w:left w:val="nil"/>
              <w:bottom w:val="single" w:sz="4" w:space="0" w:color="auto"/>
              <w:right w:val="single" w:sz="4" w:space="0" w:color="auto"/>
            </w:tcBorders>
            <w:shd w:val="clear" w:color="000000" w:fill="FFFFFF"/>
            <w:noWrap/>
            <w:hideMark/>
          </w:tcPr>
          <w:p w14:paraId="6F71C889" w14:textId="0BC2147A" w:rsidR="000B66C8" w:rsidRPr="000B66C8" w:rsidRDefault="000B66C8" w:rsidP="000B66C8">
            <w:pPr>
              <w:jc w:val="right"/>
              <w:outlineLvl w:val="0"/>
              <w:rPr>
                <w:noProof/>
                <w:sz w:val="20"/>
                <w:szCs w:val="20"/>
              </w:rPr>
            </w:pPr>
            <w:bookmarkStart w:id="1006" w:name="_Toc223980610"/>
            <w:r w:rsidRPr="000B66C8">
              <w:rPr>
                <w:noProof/>
                <w:sz w:val="20"/>
                <w:szCs w:val="20"/>
              </w:rPr>
              <w:t>19.6</w:t>
            </w:r>
            <w:bookmarkEnd w:id="1006"/>
          </w:p>
        </w:tc>
        <w:tc>
          <w:tcPr>
            <w:tcW w:w="828" w:type="pct"/>
            <w:tcBorders>
              <w:top w:val="nil"/>
              <w:left w:val="nil"/>
              <w:bottom w:val="single" w:sz="4" w:space="0" w:color="auto"/>
              <w:right w:val="single" w:sz="4" w:space="0" w:color="auto"/>
            </w:tcBorders>
            <w:shd w:val="clear" w:color="000000" w:fill="FFFFFF"/>
            <w:noWrap/>
            <w:hideMark/>
          </w:tcPr>
          <w:p w14:paraId="7B2727F4" w14:textId="2F9851A1" w:rsidR="000B66C8" w:rsidRPr="000B66C8" w:rsidRDefault="000B66C8" w:rsidP="000B66C8">
            <w:pPr>
              <w:jc w:val="right"/>
              <w:outlineLvl w:val="0"/>
              <w:rPr>
                <w:noProof/>
                <w:sz w:val="20"/>
                <w:szCs w:val="20"/>
              </w:rPr>
            </w:pPr>
            <w:bookmarkStart w:id="1007" w:name="_Toc223980611"/>
            <w:r w:rsidRPr="000B66C8">
              <w:rPr>
                <w:noProof/>
                <w:sz w:val="20"/>
                <w:szCs w:val="20"/>
              </w:rPr>
              <w:t>31.5</w:t>
            </w:r>
            <w:bookmarkEnd w:id="1007"/>
          </w:p>
        </w:tc>
        <w:tc>
          <w:tcPr>
            <w:tcW w:w="828" w:type="pct"/>
            <w:tcBorders>
              <w:top w:val="nil"/>
              <w:left w:val="nil"/>
              <w:bottom w:val="single" w:sz="4" w:space="0" w:color="auto"/>
              <w:right w:val="single" w:sz="4" w:space="0" w:color="auto"/>
            </w:tcBorders>
            <w:shd w:val="clear" w:color="000000" w:fill="FFFFFF"/>
            <w:noWrap/>
            <w:hideMark/>
          </w:tcPr>
          <w:p w14:paraId="2834AE82" w14:textId="01806801" w:rsidR="000B66C8" w:rsidRPr="000B66C8" w:rsidRDefault="000B66C8" w:rsidP="000B66C8">
            <w:pPr>
              <w:jc w:val="right"/>
              <w:outlineLvl w:val="0"/>
              <w:rPr>
                <w:noProof/>
                <w:sz w:val="20"/>
                <w:szCs w:val="20"/>
              </w:rPr>
            </w:pPr>
            <w:bookmarkStart w:id="1008" w:name="_Toc223980612"/>
            <w:r w:rsidRPr="000B66C8">
              <w:rPr>
                <w:noProof/>
                <w:sz w:val="20"/>
                <w:szCs w:val="20"/>
              </w:rPr>
              <w:t>22.6</w:t>
            </w:r>
            <w:bookmarkEnd w:id="1008"/>
          </w:p>
        </w:tc>
      </w:tr>
      <w:tr w:rsidR="000B66C8" w:rsidRPr="008F6B42" w14:paraId="3A69C1F8"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071FC0CE" w14:textId="77777777" w:rsidR="000B66C8" w:rsidRPr="008F6B42" w:rsidRDefault="000B66C8" w:rsidP="000B66C8">
            <w:pPr>
              <w:outlineLvl w:val="0"/>
              <w:rPr>
                <w:noProof/>
                <w:sz w:val="20"/>
                <w:szCs w:val="20"/>
              </w:rPr>
            </w:pPr>
            <w:r w:rsidRPr="008F6B42">
              <w:rPr>
                <w:noProof/>
                <w:sz w:val="20"/>
                <w:szCs w:val="20"/>
              </w:rPr>
              <w:t xml:space="preserve"> </w:t>
            </w:r>
            <w:bookmarkStart w:id="1009" w:name="_Toc223980613"/>
            <w:r w:rsidRPr="008F6B42">
              <w:rPr>
                <w:noProof/>
                <w:sz w:val="20"/>
                <w:szCs w:val="20"/>
              </w:rPr>
              <w:t>Spain</w:t>
            </w:r>
            <w:bookmarkEnd w:id="100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68344C9D" w14:textId="3622B206" w:rsidR="000B66C8" w:rsidRPr="000B66C8" w:rsidRDefault="000B66C8" w:rsidP="000B66C8">
            <w:pPr>
              <w:jc w:val="right"/>
              <w:outlineLvl w:val="0"/>
              <w:rPr>
                <w:noProof/>
                <w:sz w:val="20"/>
                <w:szCs w:val="20"/>
              </w:rPr>
            </w:pPr>
            <w:bookmarkStart w:id="1010" w:name="_Toc223980614"/>
            <w:r w:rsidRPr="000B66C8">
              <w:rPr>
                <w:noProof/>
                <w:sz w:val="20"/>
                <w:szCs w:val="20"/>
              </w:rPr>
              <w:t>102.2</w:t>
            </w:r>
            <w:bookmarkEnd w:id="1010"/>
          </w:p>
        </w:tc>
        <w:tc>
          <w:tcPr>
            <w:tcW w:w="828" w:type="pct"/>
            <w:tcBorders>
              <w:top w:val="nil"/>
              <w:left w:val="nil"/>
              <w:bottom w:val="single" w:sz="4" w:space="0" w:color="auto"/>
              <w:right w:val="single" w:sz="4" w:space="0" w:color="auto"/>
            </w:tcBorders>
            <w:shd w:val="clear" w:color="000000" w:fill="FFFFFF"/>
            <w:noWrap/>
            <w:hideMark/>
          </w:tcPr>
          <w:p w14:paraId="396C2290" w14:textId="6C146AD7" w:rsidR="000B66C8" w:rsidRPr="000B66C8" w:rsidRDefault="000B66C8" w:rsidP="000B66C8">
            <w:pPr>
              <w:jc w:val="right"/>
              <w:outlineLvl w:val="0"/>
              <w:rPr>
                <w:noProof/>
                <w:sz w:val="20"/>
                <w:szCs w:val="20"/>
              </w:rPr>
            </w:pPr>
            <w:bookmarkStart w:id="1011" w:name="_Toc223980615"/>
            <w:r w:rsidRPr="000B66C8">
              <w:rPr>
                <w:noProof/>
                <w:sz w:val="20"/>
                <w:szCs w:val="20"/>
              </w:rPr>
              <w:t>15.7</w:t>
            </w:r>
            <w:bookmarkEnd w:id="1011"/>
          </w:p>
        </w:tc>
        <w:tc>
          <w:tcPr>
            <w:tcW w:w="828" w:type="pct"/>
            <w:tcBorders>
              <w:top w:val="nil"/>
              <w:left w:val="nil"/>
              <w:bottom w:val="single" w:sz="4" w:space="0" w:color="auto"/>
              <w:right w:val="single" w:sz="4" w:space="0" w:color="auto"/>
            </w:tcBorders>
            <w:shd w:val="clear" w:color="000000" w:fill="FFFFFF"/>
            <w:noWrap/>
            <w:hideMark/>
          </w:tcPr>
          <w:p w14:paraId="0476CE00" w14:textId="6653BD87" w:rsidR="000B66C8" w:rsidRPr="000B66C8" w:rsidRDefault="000B66C8" w:rsidP="000B66C8">
            <w:pPr>
              <w:jc w:val="right"/>
              <w:outlineLvl w:val="0"/>
              <w:rPr>
                <w:noProof/>
                <w:sz w:val="20"/>
                <w:szCs w:val="20"/>
              </w:rPr>
            </w:pPr>
            <w:bookmarkStart w:id="1012" w:name="_Toc223980616"/>
            <w:r w:rsidRPr="000B66C8">
              <w:rPr>
                <w:noProof/>
                <w:sz w:val="20"/>
                <w:szCs w:val="20"/>
              </w:rPr>
              <w:t>25.2</w:t>
            </w:r>
            <w:bookmarkEnd w:id="1012"/>
          </w:p>
        </w:tc>
        <w:tc>
          <w:tcPr>
            <w:tcW w:w="828" w:type="pct"/>
            <w:tcBorders>
              <w:top w:val="nil"/>
              <w:left w:val="nil"/>
              <w:bottom w:val="single" w:sz="4" w:space="0" w:color="auto"/>
              <w:right w:val="single" w:sz="4" w:space="0" w:color="auto"/>
            </w:tcBorders>
            <w:shd w:val="clear" w:color="000000" w:fill="FFFFFF"/>
            <w:noWrap/>
            <w:hideMark/>
          </w:tcPr>
          <w:p w14:paraId="5CC987C0" w14:textId="359AD4F6" w:rsidR="000B66C8" w:rsidRPr="000B66C8" w:rsidRDefault="000B66C8" w:rsidP="000B66C8">
            <w:pPr>
              <w:jc w:val="right"/>
              <w:outlineLvl w:val="0"/>
              <w:rPr>
                <w:noProof/>
                <w:sz w:val="20"/>
                <w:szCs w:val="20"/>
              </w:rPr>
            </w:pPr>
            <w:bookmarkStart w:id="1013" w:name="_Toc223980617"/>
            <w:r w:rsidRPr="000B66C8">
              <w:rPr>
                <w:noProof/>
                <w:sz w:val="20"/>
                <w:szCs w:val="20"/>
              </w:rPr>
              <w:t>18.1</w:t>
            </w:r>
            <w:bookmarkEnd w:id="1013"/>
          </w:p>
        </w:tc>
      </w:tr>
      <w:tr w:rsidR="000B66C8" w:rsidRPr="008F6B42" w14:paraId="307C912F"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06430C2E" w14:textId="77777777" w:rsidR="000B66C8" w:rsidRPr="008F6B42" w:rsidRDefault="000B66C8" w:rsidP="000B66C8">
            <w:pPr>
              <w:outlineLvl w:val="0"/>
              <w:rPr>
                <w:noProof/>
                <w:sz w:val="20"/>
                <w:szCs w:val="20"/>
              </w:rPr>
            </w:pPr>
            <w:r w:rsidRPr="008F6B42">
              <w:rPr>
                <w:noProof/>
                <w:sz w:val="20"/>
                <w:szCs w:val="20"/>
              </w:rPr>
              <w:t xml:space="preserve"> </w:t>
            </w:r>
            <w:bookmarkStart w:id="1014" w:name="_Toc223980618"/>
            <w:r w:rsidRPr="008F6B42">
              <w:rPr>
                <w:noProof/>
                <w:sz w:val="20"/>
                <w:szCs w:val="20"/>
              </w:rPr>
              <w:t>Netherlands</w:t>
            </w:r>
            <w:bookmarkEnd w:id="101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5370651" w14:textId="0FE8B0F2" w:rsidR="000B66C8" w:rsidRPr="000B66C8" w:rsidRDefault="000B66C8" w:rsidP="000B66C8">
            <w:pPr>
              <w:jc w:val="right"/>
              <w:outlineLvl w:val="0"/>
              <w:rPr>
                <w:noProof/>
                <w:sz w:val="20"/>
                <w:szCs w:val="20"/>
              </w:rPr>
            </w:pPr>
            <w:bookmarkStart w:id="1015" w:name="_Toc223980619"/>
            <w:r w:rsidRPr="000B66C8">
              <w:rPr>
                <w:noProof/>
                <w:sz w:val="20"/>
                <w:szCs w:val="20"/>
              </w:rPr>
              <w:t>255.4</w:t>
            </w:r>
            <w:bookmarkEnd w:id="1015"/>
          </w:p>
        </w:tc>
        <w:tc>
          <w:tcPr>
            <w:tcW w:w="828" w:type="pct"/>
            <w:tcBorders>
              <w:top w:val="nil"/>
              <w:left w:val="nil"/>
              <w:bottom w:val="single" w:sz="4" w:space="0" w:color="auto"/>
              <w:right w:val="single" w:sz="4" w:space="0" w:color="auto"/>
            </w:tcBorders>
            <w:shd w:val="clear" w:color="000000" w:fill="FFFFFF"/>
            <w:noWrap/>
            <w:hideMark/>
          </w:tcPr>
          <w:p w14:paraId="3AFA47D0" w14:textId="6CD8E3A4" w:rsidR="000B66C8" w:rsidRPr="000B66C8" w:rsidRDefault="000B66C8" w:rsidP="000B66C8">
            <w:pPr>
              <w:jc w:val="right"/>
              <w:outlineLvl w:val="0"/>
              <w:rPr>
                <w:noProof/>
                <w:sz w:val="20"/>
                <w:szCs w:val="20"/>
              </w:rPr>
            </w:pPr>
            <w:bookmarkStart w:id="1016" w:name="_Toc223980620"/>
            <w:r w:rsidRPr="000B66C8">
              <w:rPr>
                <w:noProof/>
                <w:sz w:val="20"/>
                <w:szCs w:val="20"/>
              </w:rPr>
              <w:t>39.3</w:t>
            </w:r>
            <w:bookmarkEnd w:id="1016"/>
          </w:p>
        </w:tc>
        <w:tc>
          <w:tcPr>
            <w:tcW w:w="828" w:type="pct"/>
            <w:tcBorders>
              <w:top w:val="nil"/>
              <w:left w:val="nil"/>
              <w:bottom w:val="single" w:sz="4" w:space="0" w:color="auto"/>
              <w:right w:val="single" w:sz="4" w:space="0" w:color="auto"/>
            </w:tcBorders>
            <w:shd w:val="clear" w:color="000000" w:fill="FFFFFF"/>
            <w:noWrap/>
            <w:hideMark/>
          </w:tcPr>
          <w:p w14:paraId="2EA1D01A" w14:textId="57A1FF77" w:rsidR="000B66C8" w:rsidRPr="000B66C8" w:rsidRDefault="000B66C8" w:rsidP="000B66C8">
            <w:pPr>
              <w:jc w:val="right"/>
              <w:outlineLvl w:val="0"/>
              <w:rPr>
                <w:noProof/>
                <w:sz w:val="20"/>
                <w:szCs w:val="20"/>
              </w:rPr>
            </w:pPr>
            <w:bookmarkStart w:id="1017" w:name="_Toc223980621"/>
            <w:r w:rsidRPr="000B66C8">
              <w:rPr>
                <w:noProof/>
                <w:sz w:val="20"/>
                <w:szCs w:val="20"/>
              </w:rPr>
              <w:t>63.0</w:t>
            </w:r>
            <w:bookmarkEnd w:id="1017"/>
          </w:p>
        </w:tc>
        <w:tc>
          <w:tcPr>
            <w:tcW w:w="828" w:type="pct"/>
            <w:tcBorders>
              <w:top w:val="nil"/>
              <w:left w:val="nil"/>
              <w:bottom w:val="single" w:sz="4" w:space="0" w:color="auto"/>
              <w:right w:val="single" w:sz="4" w:space="0" w:color="auto"/>
            </w:tcBorders>
            <w:shd w:val="clear" w:color="000000" w:fill="FFFFFF"/>
            <w:noWrap/>
            <w:hideMark/>
          </w:tcPr>
          <w:p w14:paraId="10B9519C" w14:textId="7CD25FDA" w:rsidR="000B66C8" w:rsidRPr="000B66C8" w:rsidRDefault="000B66C8" w:rsidP="000B66C8">
            <w:pPr>
              <w:jc w:val="right"/>
              <w:outlineLvl w:val="0"/>
              <w:rPr>
                <w:noProof/>
                <w:sz w:val="20"/>
                <w:szCs w:val="20"/>
              </w:rPr>
            </w:pPr>
            <w:bookmarkStart w:id="1018" w:name="_Toc223980622"/>
            <w:r w:rsidRPr="000B66C8">
              <w:rPr>
                <w:noProof/>
                <w:sz w:val="20"/>
                <w:szCs w:val="20"/>
              </w:rPr>
              <w:t>45.2</w:t>
            </w:r>
            <w:bookmarkEnd w:id="1018"/>
          </w:p>
        </w:tc>
      </w:tr>
      <w:tr w:rsidR="000B66C8" w:rsidRPr="008F6B42" w14:paraId="55012602"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35DA84CD" w14:textId="77777777" w:rsidR="000B66C8" w:rsidRPr="008F6B42" w:rsidRDefault="000B66C8" w:rsidP="000B66C8">
            <w:pPr>
              <w:outlineLvl w:val="0"/>
              <w:rPr>
                <w:noProof/>
                <w:sz w:val="20"/>
                <w:szCs w:val="20"/>
              </w:rPr>
            </w:pPr>
            <w:r w:rsidRPr="008F6B42">
              <w:rPr>
                <w:noProof/>
                <w:sz w:val="20"/>
                <w:szCs w:val="20"/>
              </w:rPr>
              <w:t xml:space="preserve"> </w:t>
            </w:r>
            <w:bookmarkStart w:id="1019" w:name="_Toc223980623"/>
            <w:r w:rsidRPr="008F6B42">
              <w:rPr>
                <w:noProof/>
                <w:sz w:val="20"/>
                <w:szCs w:val="20"/>
              </w:rPr>
              <w:t>France</w:t>
            </w:r>
            <w:bookmarkEnd w:id="101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B258650" w14:textId="2DB4366B" w:rsidR="000B66C8" w:rsidRPr="000B66C8" w:rsidRDefault="000B66C8" w:rsidP="000B66C8">
            <w:pPr>
              <w:jc w:val="right"/>
              <w:outlineLvl w:val="0"/>
              <w:rPr>
                <w:noProof/>
                <w:sz w:val="20"/>
                <w:szCs w:val="20"/>
              </w:rPr>
            </w:pPr>
            <w:bookmarkStart w:id="1020" w:name="_Toc223980624"/>
            <w:r w:rsidRPr="000B66C8">
              <w:rPr>
                <w:noProof/>
                <w:sz w:val="20"/>
                <w:szCs w:val="20"/>
              </w:rPr>
              <w:t>332.0</w:t>
            </w:r>
            <w:bookmarkEnd w:id="1020"/>
          </w:p>
        </w:tc>
        <w:tc>
          <w:tcPr>
            <w:tcW w:w="828" w:type="pct"/>
            <w:tcBorders>
              <w:top w:val="nil"/>
              <w:left w:val="nil"/>
              <w:bottom w:val="single" w:sz="4" w:space="0" w:color="auto"/>
              <w:right w:val="single" w:sz="4" w:space="0" w:color="auto"/>
            </w:tcBorders>
            <w:shd w:val="clear" w:color="000000" w:fill="FFFFFF"/>
            <w:noWrap/>
            <w:hideMark/>
          </w:tcPr>
          <w:p w14:paraId="099E7CBD" w14:textId="75986309" w:rsidR="000B66C8" w:rsidRPr="000B66C8" w:rsidRDefault="000B66C8" w:rsidP="000B66C8">
            <w:pPr>
              <w:jc w:val="right"/>
              <w:outlineLvl w:val="0"/>
              <w:rPr>
                <w:noProof/>
                <w:sz w:val="20"/>
                <w:szCs w:val="20"/>
              </w:rPr>
            </w:pPr>
            <w:bookmarkStart w:id="1021" w:name="_Toc223980625"/>
            <w:r w:rsidRPr="000B66C8">
              <w:rPr>
                <w:noProof/>
                <w:sz w:val="20"/>
                <w:szCs w:val="20"/>
              </w:rPr>
              <w:t>51.1</w:t>
            </w:r>
            <w:bookmarkEnd w:id="1021"/>
          </w:p>
        </w:tc>
        <w:tc>
          <w:tcPr>
            <w:tcW w:w="828" w:type="pct"/>
            <w:tcBorders>
              <w:top w:val="nil"/>
              <w:left w:val="nil"/>
              <w:bottom w:val="single" w:sz="4" w:space="0" w:color="auto"/>
              <w:right w:val="single" w:sz="4" w:space="0" w:color="auto"/>
            </w:tcBorders>
            <w:shd w:val="clear" w:color="000000" w:fill="FFFFFF"/>
            <w:noWrap/>
            <w:hideMark/>
          </w:tcPr>
          <w:p w14:paraId="202411B0" w14:textId="721C4B00" w:rsidR="000B66C8" w:rsidRPr="000B66C8" w:rsidRDefault="000B66C8" w:rsidP="000B66C8">
            <w:pPr>
              <w:jc w:val="right"/>
              <w:outlineLvl w:val="0"/>
              <w:rPr>
                <w:noProof/>
                <w:sz w:val="20"/>
                <w:szCs w:val="20"/>
              </w:rPr>
            </w:pPr>
            <w:bookmarkStart w:id="1022" w:name="_Toc223980626"/>
            <w:r w:rsidRPr="000B66C8">
              <w:rPr>
                <w:noProof/>
                <w:sz w:val="20"/>
                <w:szCs w:val="20"/>
              </w:rPr>
              <w:t>81.9</w:t>
            </w:r>
            <w:bookmarkEnd w:id="1022"/>
          </w:p>
        </w:tc>
        <w:tc>
          <w:tcPr>
            <w:tcW w:w="828" w:type="pct"/>
            <w:tcBorders>
              <w:top w:val="nil"/>
              <w:left w:val="nil"/>
              <w:bottom w:val="single" w:sz="4" w:space="0" w:color="auto"/>
              <w:right w:val="single" w:sz="4" w:space="0" w:color="auto"/>
            </w:tcBorders>
            <w:shd w:val="clear" w:color="000000" w:fill="FFFFFF"/>
            <w:noWrap/>
            <w:hideMark/>
          </w:tcPr>
          <w:p w14:paraId="22C75B2A" w14:textId="42762D38" w:rsidR="000B66C8" w:rsidRPr="000B66C8" w:rsidRDefault="000B66C8" w:rsidP="000B66C8">
            <w:pPr>
              <w:jc w:val="right"/>
              <w:outlineLvl w:val="0"/>
              <w:rPr>
                <w:noProof/>
                <w:sz w:val="20"/>
                <w:szCs w:val="20"/>
              </w:rPr>
            </w:pPr>
            <w:bookmarkStart w:id="1023" w:name="_Toc223980627"/>
            <w:r w:rsidRPr="000B66C8">
              <w:rPr>
                <w:noProof/>
                <w:sz w:val="20"/>
                <w:szCs w:val="20"/>
              </w:rPr>
              <w:t>58.7</w:t>
            </w:r>
            <w:bookmarkEnd w:id="1023"/>
          </w:p>
        </w:tc>
      </w:tr>
      <w:tr w:rsidR="000B66C8" w:rsidRPr="008F6B42" w14:paraId="0D0551A7"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81C0D12" w14:textId="77777777" w:rsidR="000B66C8" w:rsidRPr="008F6B42" w:rsidRDefault="000B66C8" w:rsidP="000B66C8">
            <w:pPr>
              <w:outlineLvl w:val="0"/>
              <w:rPr>
                <w:noProof/>
                <w:sz w:val="20"/>
                <w:szCs w:val="20"/>
              </w:rPr>
            </w:pPr>
            <w:r w:rsidRPr="008F6B42">
              <w:rPr>
                <w:noProof/>
                <w:sz w:val="20"/>
                <w:szCs w:val="20"/>
              </w:rPr>
              <w:t xml:space="preserve"> </w:t>
            </w:r>
            <w:bookmarkStart w:id="1024" w:name="_Toc223980628"/>
            <w:r w:rsidRPr="008F6B42">
              <w:rPr>
                <w:noProof/>
                <w:sz w:val="20"/>
                <w:szCs w:val="20"/>
              </w:rPr>
              <w:t>Poland</w:t>
            </w:r>
            <w:bookmarkEnd w:id="102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72E260F" w14:textId="4AB19EAD" w:rsidR="000B66C8" w:rsidRPr="000B66C8" w:rsidRDefault="000B66C8" w:rsidP="000B66C8">
            <w:pPr>
              <w:jc w:val="right"/>
              <w:outlineLvl w:val="0"/>
              <w:rPr>
                <w:noProof/>
                <w:sz w:val="20"/>
                <w:szCs w:val="20"/>
              </w:rPr>
            </w:pPr>
            <w:bookmarkStart w:id="1025" w:name="_Toc223980629"/>
            <w:r w:rsidRPr="000B66C8">
              <w:rPr>
                <w:noProof/>
                <w:sz w:val="20"/>
                <w:szCs w:val="20"/>
              </w:rPr>
              <w:t>178.8</w:t>
            </w:r>
            <w:bookmarkEnd w:id="1025"/>
          </w:p>
        </w:tc>
        <w:tc>
          <w:tcPr>
            <w:tcW w:w="828" w:type="pct"/>
            <w:tcBorders>
              <w:top w:val="nil"/>
              <w:left w:val="nil"/>
              <w:bottom w:val="single" w:sz="4" w:space="0" w:color="auto"/>
              <w:right w:val="single" w:sz="4" w:space="0" w:color="auto"/>
            </w:tcBorders>
            <w:shd w:val="clear" w:color="000000" w:fill="FFFFFF"/>
            <w:noWrap/>
            <w:hideMark/>
          </w:tcPr>
          <w:p w14:paraId="2076E1F8" w14:textId="1B212AD1" w:rsidR="000B66C8" w:rsidRPr="000B66C8" w:rsidRDefault="000B66C8" w:rsidP="000B66C8">
            <w:pPr>
              <w:jc w:val="right"/>
              <w:outlineLvl w:val="0"/>
              <w:rPr>
                <w:noProof/>
                <w:sz w:val="20"/>
                <w:szCs w:val="20"/>
              </w:rPr>
            </w:pPr>
            <w:bookmarkStart w:id="1026" w:name="_Toc223980630"/>
            <w:r w:rsidRPr="000B66C8">
              <w:rPr>
                <w:noProof/>
                <w:sz w:val="20"/>
                <w:szCs w:val="20"/>
              </w:rPr>
              <w:t>27.5</w:t>
            </w:r>
            <w:bookmarkEnd w:id="1026"/>
          </w:p>
        </w:tc>
        <w:tc>
          <w:tcPr>
            <w:tcW w:w="828" w:type="pct"/>
            <w:tcBorders>
              <w:top w:val="nil"/>
              <w:left w:val="nil"/>
              <w:bottom w:val="single" w:sz="4" w:space="0" w:color="auto"/>
              <w:right w:val="single" w:sz="4" w:space="0" w:color="auto"/>
            </w:tcBorders>
            <w:shd w:val="clear" w:color="000000" w:fill="FFFFFF"/>
            <w:noWrap/>
            <w:hideMark/>
          </w:tcPr>
          <w:p w14:paraId="0BC7BCBE" w14:textId="627450D7" w:rsidR="000B66C8" w:rsidRPr="000B66C8" w:rsidRDefault="000B66C8" w:rsidP="000B66C8">
            <w:pPr>
              <w:jc w:val="right"/>
              <w:outlineLvl w:val="0"/>
              <w:rPr>
                <w:noProof/>
                <w:sz w:val="20"/>
                <w:szCs w:val="20"/>
              </w:rPr>
            </w:pPr>
            <w:bookmarkStart w:id="1027" w:name="_Toc223980631"/>
            <w:r w:rsidRPr="000B66C8">
              <w:rPr>
                <w:noProof/>
                <w:sz w:val="20"/>
                <w:szCs w:val="20"/>
              </w:rPr>
              <w:t>44.1</w:t>
            </w:r>
            <w:bookmarkEnd w:id="1027"/>
          </w:p>
        </w:tc>
        <w:tc>
          <w:tcPr>
            <w:tcW w:w="828" w:type="pct"/>
            <w:tcBorders>
              <w:top w:val="nil"/>
              <w:left w:val="nil"/>
              <w:bottom w:val="single" w:sz="4" w:space="0" w:color="auto"/>
              <w:right w:val="single" w:sz="4" w:space="0" w:color="auto"/>
            </w:tcBorders>
            <w:shd w:val="clear" w:color="000000" w:fill="FFFFFF"/>
            <w:noWrap/>
            <w:hideMark/>
          </w:tcPr>
          <w:p w14:paraId="08A069BE" w14:textId="234E3BCC" w:rsidR="000B66C8" w:rsidRPr="000B66C8" w:rsidRDefault="000B66C8" w:rsidP="000B66C8">
            <w:pPr>
              <w:jc w:val="right"/>
              <w:outlineLvl w:val="0"/>
              <w:rPr>
                <w:noProof/>
                <w:sz w:val="20"/>
                <w:szCs w:val="20"/>
              </w:rPr>
            </w:pPr>
            <w:bookmarkStart w:id="1028" w:name="_Toc223980632"/>
            <w:r w:rsidRPr="000B66C8">
              <w:rPr>
                <w:noProof/>
                <w:sz w:val="20"/>
                <w:szCs w:val="20"/>
              </w:rPr>
              <w:t>31.6</w:t>
            </w:r>
            <w:bookmarkEnd w:id="1028"/>
          </w:p>
        </w:tc>
      </w:tr>
      <w:tr w:rsidR="000B66C8" w:rsidRPr="008F6B42" w14:paraId="113C5DEE"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01A2CEA" w14:textId="77777777" w:rsidR="000B66C8" w:rsidRPr="008F6B42" w:rsidRDefault="000B66C8" w:rsidP="000B66C8">
            <w:pPr>
              <w:outlineLvl w:val="0"/>
              <w:rPr>
                <w:noProof/>
                <w:sz w:val="20"/>
                <w:szCs w:val="20"/>
              </w:rPr>
            </w:pPr>
            <w:r w:rsidRPr="008F6B42">
              <w:rPr>
                <w:noProof/>
                <w:sz w:val="20"/>
                <w:szCs w:val="20"/>
              </w:rPr>
              <w:t xml:space="preserve"> </w:t>
            </w:r>
            <w:bookmarkStart w:id="1029" w:name="_Toc223980633"/>
            <w:r w:rsidRPr="008F6B42">
              <w:rPr>
                <w:noProof/>
                <w:sz w:val="20"/>
                <w:szCs w:val="20"/>
              </w:rPr>
              <w:t>Italy</w:t>
            </w:r>
            <w:bookmarkEnd w:id="102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739DE28" w14:textId="0B58C5F9" w:rsidR="000B66C8" w:rsidRPr="000B66C8" w:rsidRDefault="000B66C8" w:rsidP="000B66C8">
            <w:pPr>
              <w:jc w:val="right"/>
              <w:outlineLvl w:val="0"/>
              <w:rPr>
                <w:noProof/>
                <w:sz w:val="20"/>
                <w:szCs w:val="20"/>
              </w:rPr>
            </w:pPr>
            <w:bookmarkStart w:id="1030" w:name="_Toc223980634"/>
            <w:r w:rsidRPr="000B66C8">
              <w:rPr>
                <w:noProof/>
                <w:sz w:val="20"/>
                <w:szCs w:val="20"/>
              </w:rPr>
              <w:t>153.2</w:t>
            </w:r>
            <w:bookmarkEnd w:id="1030"/>
          </w:p>
        </w:tc>
        <w:tc>
          <w:tcPr>
            <w:tcW w:w="828" w:type="pct"/>
            <w:tcBorders>
              <w:top w:val="nil"/>
              <w:left w:val="nil"/>
              <w:bottom w:val="single" w:sz="4" w:space="0" w:color="auto"/>
              <w:right w:val="single" w:sz="4" w:space="0" w:color="auto"/>
            </w:tcBorders>
            <w:shd w:val="clear" w:color="000000" w:fill="FFFFFF"/>
            <w:noWrap/>
            <w:hideMark/>
          </w:tcPr>
          <w:p w14:paraId="720C7381" w14:textId="67AF9229" w:rsidR="000B66C8" w:rsidRPr="000B66C8" w:rsidRDefault="000B66C8" w:rsidP="000B66C8">
            <w:pPr>
              <w:jc w:val="right"/>
              <w:outlineLvl w:val="0"/>
              <w:rPr>
                <w:noProof/>
                <w:sz w:val="20"/>
                <w:szCs w:val="20"/>
              </w:rPr>
            </w:pPr>
            <w:bookmarkStart w:id="1031" w:name="_Toc223980635"/>
            <w:r w:rsidRPr="000B66C8">
              <w:rPr>
                <w:noProof/>
                <w:sz w:val="20"/>
                <w:szCs w:val="20"/>
              </w:rPr>
              <w:t>23.6</w:t>
            </w:r>
            <w:bookmarkEnd w:id="1031"/>
          </w:p>
        </w:tc>
        <w:tc>
          <w:tcPr>
            <w:tcW w:w="828" w:type="pct"/>
            <w:tcBorders>
              <w:top w:val="nil"/>
              <w:left w:val="nil"/>
              <w:bottom w:val="single" w:sz="4" w:space="0" w:color="auto"/>
              <w:right w:val="single" w:sz="4" w:space="0" w:color="auto"/>
            </w:tcBorders>
            <w:shd w:val="clear" w:color="000000" w:fill="FFFFFF"/>
            <w:noWrap/>
            <w:hideMark/>
          </w:tcPr>
          <w:p w14:paraId="62B806EF" w14:textId="55870B48" w:rsidR="000B66C8" w:rsidRPr="000B66C8" w:rsidRDefault="000B66C8" w:rsidP="000B66C8">
            <w:pPr>
              <w:jc w:val="right"/>
              <w:outlineLvl w:val="0"/>
              <w:rPr>
                <w:noProof/>
                <w:sz w:val="20"/>
                <w:szCs w:val="20"/>
              </w:rPr>
            </w:pPr>
            <w:bookmarkStart w:id="1032" w:name="_Toc223980636"/>
            <w:r w:rsidRPr="000B66C8">
              <w:rPr>
                <w:noProof/>
                <w:sz w:val="20"/>
                <w:szCs w:val="20"/>
              </w:rPr>
              <w:t>37.8</w:t>
            </w:r>
            <w:bookmarkEnd w:id="1032"/>
          </w:p>
        </w:tc>
        <w:tc>
          <w:tcPr>
            <w:tcW w:w="828" w:type="pct"/>
            <w:tcBorders>
              <w:top w:val="nil"/>
              <w:left w:val="nil"/>
              <w:bottom w:val="single" w:sz="4" w:space="0" w:color="auto"/>
              <w:right w:val="single" w:sz="4" w:space="0" w:color="auto"/>
            </w:tcBorders>
            <w:shd w:val="clear" w:color="000000" w:fill="FFFFFF"/>
            <w:noWrap/>
            <w:hideMark/>
          </w:tcPr>
          <w:p w14:paraId="48EEEE64" w14:textId="38C8A193" w:rsidR="000B66C8" w:rsidRPr="000B66C8" w:rsidRDefault="000B66C8" w:rsidP="000B66C8">
            <w:pPr>
              <w:jc w:val="right"/>
              <w:outlineLvl w:val="0"/>
              <w:rPr>
                <w:noProof/>
                <w:sz w:val="20"/>
                <w:szCs w:val="20"/>
              </w:rPr>
            </w:pPr>
            <w:bookmarkStart w:id="1033" w:name="_Toc223980637"/>
            <w:r w:rsidRPr="000B66C8">
              <w:rPr>
                <w:noProof/>
                <w:sz w:val="20"/>
                <w:szCs w:val="20"/>
              </w:rPr>
              <w:t>27.1</w:t>
            </w:r>
            <w:bookmarkEnd w:id="1033"/>
          </w:p>
        </w:tc>
      </w:tr>
      <w:tr w:rsidR="000B66C8" w:rsidRPr="008F6B42" w14:paraId="21264D0E"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53EC20A4" w14:textId="77777777" w:rsidR="000B66C8" w:rsidRPr="008F6B42" w:rsidRDefault="000B66C8" w:rsidP="000B66C8">
            <w:pPr>
              <w:outlineLvl w:val="0"/>
              <w:rPr>
                <w:noProof/>
                <w:sz w:val="20"/>
                <w:szCs w:val="20"/>
              </w:rPr>
            </w:pPr>
            <w:r w:rsidRPr="008F6B42">
              <w:rPr>
                <w:noProof/>
                <w:sz w:val="20"/>
                <w:szCs w:val="20"/>
              </w:rPr>
              <w:t xml:space="preserve"> </w:t>
            </w:r>
            <w:bookmarkStart w:id="1034" w:name="_Toc223980638"/>
            <w:r w:rsidRPr="008F6B42">
              <w:rPr>
                <w:noProof/>
                <w:sz w:val="20"/>
                <w:szCs w:val="20"/>
              </w:rPr>
              <w:t>Belgium</w:t>
            </w:r>
            <w:bookmarkEnd w:id="103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4AD21BA" w14:textId="03EB44C5" w:rsidR="000B66C8" w:rsidRPr="000B66C8" w:rsidRDefault="000B66C8" w:rsidP="000B66C8">
            <w:pPr>
              <w:jc w:val="right"/>
              <w:outlineLvl w:val="0"/>
              <w:rPr>
                <w:noProof/>
                <w:sz w:val="20"/>
                <w:szCs w:val="20"/>
              </w:rPr>
            </w:pPr>
            <w:bookmarkStart w:id="1035" w:name="_Toc223980639"/>
            <w:r w:rsidRPr="000B66C8">
              <w:rPr>
                <w:noProof/>
                <w:sz w:val="20"/>
                <w:szCs w:val="20"/>
              </w:rPr>
              <w:t>153.2</w:t>
            </w:r>
            <w:bookmarkEnd w:id="1035"/>
          </w:p>
        </w:tc>
        <w:tc>
          <w:tcPr>
            <w:tcW w:w="828" w:type="pct"/>
            <w:tcBorders>
              <w:top w:val="nil"/>
              <w:left w:val="nil"/>
              <w:bottom w:val="single" w:sz="4" w:space="0" w:color="auto"/>
              <w:right w:val="single" w:sz="4" w:space="0" w:color="auto"/>
            </w:tcBorders>
            <w:shd w:val="clear" w:color="000000" w:fill="FFFFFF"/>
            <w:noWrap/>
            <w:hideMark/>
          </w:tcPr>
          <w:p w14:paraId="20F3907F" w14:textId="73B9EE2A" w:rsidR="000B66C8" w:rsidRPr="000B66C8" w:rsidRDefault="000B66C8" w:rsidP="000B66C8">
            <w:pPr>
              <w:jc w:val="right"/>
              <w:outlineLvl w:val="0"/>
              <w:rPr>
                <w:noProof/>
                <w:sz w:val="20"/>
                <w:szCs w:val="20"/>
              </w:rPr>
            </w:pPr>
            <w:bookmarkStart w:id="1036" w:name="_Toc223980640"/>
            <w:r w:rsidRPr="000B66C8">
              <w:rPr>
                <w:noProof/>
                <w:sz w:val="20"/>
                <w:szCs w:val="20"/>
              </w:rPr>
              <w:t>23.6</w:t>
            </w:r>
            <w:bookmarkEnd w:id="1036"/>
          </w:p>
        </w:tc>
        <w:tc>
          <w:tcPr>
            <w:tcW w:w="828" w:type="pct"/>
            <w:tcBorders>
              <w:top w:val="nil"/>
              <w:left w:val="nil"/>
              <w:bottom w:val="single" w:sz="4" w:space="0" w:color="auto"/>
              <w:right w:val="single" w:sz="4" w:space="0" w:color="auto"/>
            </w:tcBorders>
            <w:shd w:val="clear" w:color="000000" w:fill="FFFFFF"/>
            <w:noWrap/>
            <w:hideMark/>
          </w:tcPr>
          <w:p w14:paraId="3AFB2D42" w14:textId="3EF2AEBA" w:rsidR="000B66C8" w:rsidRPr="000B66C8" w:rsidRDefault="000B66C8" w:rsidP="000B66C8">
            <w:pPr>
              <w:jc w:val="right"/>
              <w:outlineLvl w:val="0"/>
              <w:rPr>
                <w:noProof/>
                <w:sz w:val="20"/>
                <w:szCs w:val="20"/>
              </w:rPr>
            </w:pPr>
            <w:bookmarkStart w:id="1037" w:name="_Toc223980641"/>
            <w:r w:rsidRPr="000B66C8">
              <w:rPr>
                <w:noProof/>
                <w:sz w:val="20"/>
                <w:szCs w:val="20"/>
              </w:rPr>
              <w:t>37.8</w:t>
            </w:r>
            <w:bookmarkEnd w:id="1037"/>
          </w:p>
        </w:tc>
        <w:tc>
          <w:tcPr>
            <w:tcW w:w="828" w:type="pct"/>
            <w:tcBorders>
              <w:top w:val="nil"/>
              <w:left w:val="nil"/>
              <w:bottom w:val="single" w:sz="4" w:space="0" w:color="auto"/>
              <w:right w:val="single" w:sz="4" w:space="0" w:color="auto"/>
            </w:tcBorders>
            <w:shd w:val="clear" w:color="000000" w:fill="FFFFFF"/>
            <w:noWrap/>
            <w:hideMark/>
          </w:tcPr>
          <w:p w14:paraId="5103FDA4" w14:textId="7F25FDF1" w:rsidR="000B66C8" w:rsidRPr="000B66C8" w:rsidRDefault="000B66C8" w:rsidP="000B66C8">
            <w:pPr>
              <w:jc w:val="right"/>
              <w:outlineLvl w:val="0"/>
              <w:rPr>
                <w:noProof/>
                <w:sz w:val="20"/>
                <w:szCs w:val="20"/>
              </w:rPr>
            </w:pPr>
            <w:bookmarkStart w:id="1038" w:name="_Toc223980642"/>
            <w:r w:rsidRPr="000B66C8">
              <w:rPr>
                <w:noProof/>
                <w:sz w:val="20"/>
                <w:szCs w:val="20"/>
              </w:rPr>
              <w:t>27.1</w:t>
            </w:r>
            <w:bookmarkEnd w:id="1038"/>
          </w:p>
        </w:tc>
      </w:tr>
      <w:tr w:rsidR="000B66C8" w:rsidRPr="008F6B42" w14:paraId="1F3D9577"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5566C8B5" w14:textId="77777777" w:rsidR="000B66C8" w:rsidRPr="008F6B42" w:rsidRDefault="000B66C8" w:rsidP="000B66C8">
            <w:pPr>
              <w:outlineLvl w:val="0"/>
              <w:rPr>
                <w:noProof/>
                <w:sz w:val="20"/>
                <w:szCs w:val="20"/>
              </w:rPr>
            </w:pPr>
            <w:r w:rsidRPr="008F6B42">
              <w:rPr>
                <w:noProof/>
                <w:sz w:val="20"/>
                <w:szCs w:val="20"/>
              </w:rPr>
              <w:t xml:space="preserve"> </w:t>
            </w:r>
            <w:bookmarkStart w:id="1039" w:name="_Toc223980643"/>
            <w:r w:rsidRPr="008F6B42">
              <w:rPr>
                <w:noProof/>
                <w:sz w:val="20"/>
                <w:szCs w:val="20"/>
              </w:rPr>
              <w:t>Portugal</w:t>
            </w:r>
            <w:bookmarkEnd w:id="103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632EB18D" w14:textId="6F8C07B9" w:rsidR="000B66C8" w:rsidRPr="000B66C8" w:rsidRDefault="000B66C8" w:rsidP="000B66C8">
            <w:pPr>
              <w:jc w:val="right"/>
              <w:outlineLvl w:val="0"/>
              <w:rPr>
                <w:noProof/>
                <w:sz w:val="20"/>
                <w:szCs w:val="20"/>
              </w:rPr>
            </w:pPr>
            <w:bookmarkStart w:id="1040" w:name="_Toc223980644"/>
            <w:r w:rsidRPr="000B66C8">
              <w:rPr>
                <w:noProof/>
                <w:sz w:val="20"/>
                <w:szCs w:val="20"/>
              </w:rPr>
              <w:t>51.1</w:t>
            </w:r>
            <w:bookmarkEnd w:id="1040"/>
          </w:p>
        </w:tc>
        <w:tc>
          <w:tcPr>
            <w:tcW w:w="828" w:type="pct"/>
            <w:tcBorders>
              <w:top w:val="nil"/>
              <w:left w:val="nil"/>
              <w:bottom w:val="single" w:sz="4" w:space="0" w:color="auto"/>
              <w:right w:val="single" w:sz="4" w:space="0" w:color="auto"/>
            </w:tcBorders>
            <w:shd w:val="clear" w:color="000000" w:fill="FFFFFF"/>
            <w:noWrap/>
            <w:hideMark/>
          </w:tcPr>
          <w:p w14:paraId="115E5A59" w14:textId="6A114A1A" w:rsidR="000B66C8" w:rsidRPr="000B66C8" w:rsidRDefault="000B66C8" w:rsidP="000B66C8">
            <w:pPr>
              <w:jc w:val="right"/>
              <w:outlineLvl w:val="0"/>
              <w:rPr>
                <w:noProof/>
                <w:sz w:val="20"/>
                <w:szCs w:val="20"/>
              </w:rPr>
            </w:pPr>
            <w:bookmarkStart w:id="1041" w:name="_Toc223980645"/>
            <w:r w:rsidRPr="000B66C8">
              <w:rPr>
                <w:noProof/>
                <w:sz w:val="20"/>
                <w:szCs w:val="20"/>
              </w:rPr>
              <w:t>7.9</w:t>
            </w:r>
            <w:bookmarkEnd w:id="1041"/>
          </w:p>
        </w:tc>
        <w:tc>
          <w:tcPr>
            <w:tcW w:w="828" w:type="pct"/>
            <w:tcBorders>
              <w:top w:val="nil"/>
              <w:left w:val="nil"/>
              <w:bottom w:val="single" w:sz="4" w:space="0" w:color="auto"/>
              <w:right w:val="single" w:sz="4" w:space="0" w:color="auto"/>
            </w:tcBorders>
            <w:shd w:val="clear" w:color="000000" w:fill="FFFFFF"/>
            <w:noWrap/>
            <w:hideMark/>
          </w:tcPr>
          <w:p w14:paraId="6BBCBFED" w14:textId="3454B810" w:rsidR="000B66C8" w:rsidRPr="000B66C8" w:rsidRDefault="000B66C8" w:rsidP="000B66C8">
            <w:pPr>
              <w:jc w:val="right"/>
              <w:outlineLvl w:val="0"/>
              <w:rPr>
                <w:noProof/>
                <w:sz w:val="20"/>
                <w:szCs w:val="20"/>
              </w:rPr>
            </w:pPr>
            <w:bookmarkStart w:id="1042" w:name="_Toc223980646"/>
            <w:r w:rsidRPr="000B66C8">
              <w:rPr>
                <w:noProof/>
                <w:sz w:val="20"/>
                <w:szCs w:val="20"/>
              </w:rPr>
              <w:t>12.6</w:t>
            </w:r>
            <w:bookmarkEnd w:id="1042"/>
          </w:p>
        </w:tc>
        <w:tc>
          <w:tcPr>
            <w:tcW w:w="828" w:type="pct"/>
            <w:tcBorders>
              <w:top w:val="nil"/>
              <w:left w:val="nil"/>
              <w:bottom w:val="single" w:sz="4" w:space="0" w:color="auto"/>
              <w:right w:val="single" w:sz="4" w:space="0" w:color="auto"/>
            </w:tcBorders>
            <w:shd w:val="clear" w:color="000000" w:fill="FFFFFF"/>
            <w:noWrap/>
            <w:hideMark/>
          </w:tcPr>
          <w:p w14:paraId="431BDEC2" w14:textId="312617E1" w:rsidR="000B66C8" w:rsidRPr="000B66C8" w:rsidRDefault="000B66C8" w:rsidP="000B66C8">
            <w:pPr>
              <w:jc w:val="right"/>
              <w:outlineLvl w:val="0"/>
              <w:rPr>
                <w:noProof/>
                <w:sz w:val="20"/>
                <w:szCs w:val="20"/>
              </w:rPr>
            </w:pPr>
            <w:bookmarkStart w:id="1043" w:name="_Toc223980647"/>
            <w:r w:rsidRPr="000B66C8">
              <w:rPr>
                <w:noProof/>
                <w:sz w:val="20"/>
                <w:szCs w:val="20"/>
              </w:rPr>
              <w:t>9.0</w:t>
            </w:r>
            <w:bookmarkEnd w:id="1043"/>
          </w:p>
        </w:tc>
      </w:tr>
      <w:tr w:rsidR="000B66C8" w:rsidRPr="008F6B42" w14:paraId="01378885"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189BB9AB" w14:textId="77777777" w:rsidR="000B66C8" w:rsidRPr="008F6B42" w:rsidRDefault="000B66C8" w:rsidP="000B66C8">
            <w:pPr>
              <w:outlineLvl w:val="0"/>
              <w:rPr>
                <w:noProof/>
                <w:sz w:val="20"/>
                <w:szCs w:val="20"/>
              </w:rPr>
            </w:pPr>
            <w:r w:rsidRPr="008F6B42">
              <w:rPr>
                <w:noProof/>
                <w:sz w:val="20"/>
                <w:szCs w:val="20"/>
              </w:rPr>
              <w:t xml:space="preserve"> </w:t>
            </w:r>
            <w:bookmarkStart w:id="1044" w:name="_Toc223980648"/>
            <w:r w:rsidRPr="008F6B42">
              <w:rPr>
                <w:noProof/>
                <w:sz w:val="20"/>
                <w:szCs w:val="20"/>
              </w:rPr>
              <w:t>Malta</w:t>
            </w:r>
            <w:bookmarkEnd w:id="104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92E9AE2" w14:textId="1D6ED2F4" w:rsidR="000B66C8" w:rsidRPr="000B66C8" w:rsidRDefault="000B66C8" w:rsidP="000B66C8">
            <w:pPr>
              <w:jc w:val="right"/>
              <w:outlineLvl w:val="0"/>
              <w:rPr>
                <w:noProof/>
                <w:sz w:val="20"/>
                <w:szCs w:val="20"/>
              </w:rPr>
            </w:pPr>
            <w:bookmarkStart w:id="1045" w:name="_Toc223980649"/>
            <w:r w:rsidRPr="000B66C8">
              <w:rPr>
                <w:noProof/>
                <w:sz w:val="20"/>
                <w:szCs w:val="20"/>
              </w:rPr>
              <w:t>25.5</w:t>
            </w:r>
            <w:bookmarkEnd w:id="1045"/>
          </w:p>
        </w:tc>
        <w:tc>
          <w:tcPr>
            <w:tcW w:w="828" w:type="pct"/>
            <w:tcBorders>
              <w:top w:val="nil"/>
              <w:left w:val="nil"/>
              <w:bottom w:val="single" w:sz="4" w:space="0" w:color="auto"/>
              <w:right w:val="single" w:sz="4" w:space="0" w:color="auto"/>
            </w:tcBorders>
            <w:shd w:val="clear" w:color="000000" w:fill="FFFFFF"/>
            <w:noWrap/>
            <w:hideMark/>
          </w:tcPr>
          <w:p w14:paraId="7BF887B2" w14:textId="3F9FA7AB" w:rsidR="000B66C8" w:rsidRPr="000B66C8" w:rsidRDefault="000B66C8" w:rsidP="000B66C8">
            <w:pPr>
              <w:jc w:val="right"/>
              <w:outlineLvl w:val="0"/>
              <w:rPr>
                <w:noProof/>
                <w:sz w:val="20"/>
                <w:szCs w:val="20"/>
              </w:rPr>
            </w:pPr>
            <w:bookmarkStart w:id="1046" w:name="_Toc223980650"/>
            <w:r w:rsidRPr="000B66C8">
              <w:rPr>
                <w:noProof/>
                <w:sz w:val="20"/>
                <w:szCs w:val="20"/>
              </w:rPr>
              <w:t>3.9</w:t>
            </w:r>
            <w:bookmarkEnd w:id="1046"/>
          </w:p>
        </w:tc>
        <w:tc>
          <w:tcPr>
            <w:tcW w:w="828" w:type="pct"/>
            <w:tcBorders>
              <w:top w:val="nil"/>
              <w:left w:val="nil"/>
              <w:bottom w:val="single" w:sz="4" w:space="0" w:color="auto"/>
              <w:right w:val="single" w:sz="4" w:space="0" w:color="auto"/>
            </w:tcBorders>
            <w:shd w:val="clear" w:color="000000" w:fill="FFFFFF"/>
            <w:noWrap/>
            <w:hideMark/>
          </w:tcPr>
          <w:p w14:paraId="087AAF54" w14:textId="6AF01A78" w:rsidR="000B66C8" w:rsidRPr="000B66C8" w:rsidRDefault="000B66C8" w:rsidP="000B66C8">
            <w:pPr>
              <w:jc w:val="right"/>
              <w:outlineLvl w:val="0"/>
              <w:rPr>
                <w:noProof/>
                <w:sz w:val="20"/>
                <w:szCs w:val="20"/>
              </w:rPr>
            </w:pPr>
            <w:bookmarkStart w:id="1047" w:name="_Toc223980651"/>
            <w:r w:rsidRPr="000B66C8">
              <w:rPr>
                <w:noProof/>
                <w:sz w:val="20"/>
                <w:szCs w:val="20"/>
              </w:rPr>
              <w:t>6.3</w:t>
            </w:r>
            <w:bookmarkEnd w:id="1047"/>
          </w:p>
        </w:tc>
        <w:tc>
          <w:tcPr>
            <w:tcW w:w="828" w:type="pct"/>
            <w:tcBorders>
              <w:top w:val="nil"/>
              <w:left w:val="nil"/>
              <w:bottom w:val="single" w:sz="4" w:space="0" w:color="auto"/>
              <w:right w:val="single" w:sz="4" w:space="0" w:color="auto"/>
            </w:tcBorders>
            <w:shd w:val="clear" w:color="000000" w:fill="FFFFFF"/>
            <w:noWrap/>
            <w:hideMark/>
          </w:tcPr>
          <w:p w14:paraId="65A4E023" w14:textId="18345526" w:rsidR="000B66C8" w:rsidRPr="000B66C8" w:rsidRDefault="000B66C8" w:rsidP="000B66C8">
            <w:pPr>
              <w:jc w:val="right"/>
              <w:outlineLvl w:val="0"/>
              <w:rPr>
                <w:noProof/>
                <w:sz w:val="20"/>
                <w:szCs w:val="20"/>
              </w:rPr>
            </w:pPr>
            <w:bookmarkStart w:id="1048" w:name="_Toc223980652"/>
            <w:r w:rsidRPr="000B66C8">
              <w:rPr>
                <w:noProof/>
                <w:sz w:val="20"/>
                <w:szCs w:val="20"/>
              </w:rPr>
              <w:t>4.5</w:t>
            </w:r>
            <w:bookmarkEnd w:id="1048"/>
          </w:p>
        </w:tc>
      </w:tr>
      <w:tr w:rsidR="000B66C8" w:rsidRPr="008F6B42" w14:paraId="06D9DDE9"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4A7CF5B6" w14:textId="77777777" w:rsidR="000B66C8" w:rsidRPr="008F6B42" w:rsidRDefault="000B66C8" w:rsidP="000B66C8">
            <w:pPr>
              <w:outlineLvl w:val="0"/>
              <w:rPr>
                <w:noProof/>
                <w:sz w:val="20"/>
                <w:szCs w:val="20"/>
              </w:rPr>
            </w:pPr>
            <w:r w:rsidRPr="008F6B42">
              <w:rPr>
                <w:noProof/>
                <w:sz w:val="20"/>
                <w:szCs w:val="20"/>
              </w:rPr>
              <w:t xml:space="preserve"> </w:t>
            </w:r>
            <w:bookmarkStart w:id="1049" w:name="_Toc223980653"/>
            <w:r w:rsidRPr="008F6B42">
              <w:rPr>
                <w:noProof/>
                <w:sz w:val="20"/>
                <w:szCs w:val="20"/>
              </w:rPr>
              <w:t>Cyprus</w:t>
            </w:r>
            <w:bookmarkEnd w:id="104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36EB2514" w14:textId="2AB3477B" w:rsidR="000B66C8" w:rsidRPr="000B66C8" w:rsidRDefault="000B66C8" w:rsidP="000B66C8">
            <w:pPr>
              <w:jc w:val="right"/>
              <w:outlineLvl w:val="0"/>
              <w:rPr>
                <w:noProof/>
                <w:sz w:val="20"/>
                <w:szCs w:val="20"/>
              </w:rPr>
            </w:pPr>
            <w:bookmarkStart w:id="1050" w:name="_Toc223980654"/>
            <w:r w:rsidRPr="000B66C8">
              <w:rPr>
                <w:noProof/>
                <w:sz w:val="20"/>
                <w:szCs w:val="20"/>
              </w:rPr>
              <w:t>25.5</w:t>
            </w:r>
            <w:bookmarkEnd w:id="1050"/>
          </w:p>
        </w:tc>
        <w:tc>
          <w:tcPr>
            <w:tcW w:w="828" w:type="pct"/>
            <w:tcBorders>
              <w:top w:val="nil"/>
              <w:left w:val="nil"/>
              <w:bottom w:val="single" w:sz="4" w:space="0" w:color="auto"/>
              <w:right w:val="single" w:sz="4" w:space="0" w:color="auto"/>
            </w:tcBorders>
            <w:shd w:val="clear" w:color="000000" w:fill="FFFFFF"/>
            <w:noWrap/>
            <w:hideMark/>
          </w:tcPr>
          <w:p w14:paraId="75FA4D06" w14:textId="3ACA07C2" w:rsidR="000B66C8" w:rsidRPr="000B66C8" w:rsidRDefault="000B66C8" w:rsidP="000B66C8">
            <w:pPr>
              <w:jc w:val="right"/>
              <w:outlineLvl w:val="0"/>
              <w:rPr>
                <w:noProof/>
                <w:sz w:val="20"/>
                <w:szCs w:val="20"/>
              </w:rPr>
            </w:pPr>
            <w:bookmarkStart w:id="1051" w:name="_Toc223980655"/>
            <w:r w:rsidRPr="000B66C8">
              <w:rPr>
                <w:noProof/>
                <w:sz w:val="20"/>
                <w:szCs w:val="20"/>
              </w:rPr>
              <w:t>3.9</w:t>
            </w:r>
            <w:bookmarkEnd w:id="1051"/>
          </w:p>
        </w:tc>
        <w:tc>
          <w:tcPr>
            <w:tcW w:w="828" w:type="pct"/>
            <w:tcBorders>
              <w:top w:val="nil"/>
              <w:left w:val="nil"/>
              <w:bottom w:val="single" w:sz="4" w:space="0" w:color="auto"/>
              <w:right w:val="single" w:sz="4" w:space="0" w:color="auto"/>
            </w:tcBorders>
            <w:shd w:val="clear" w:color="000000" w:fill="FFFFFF"/>
            <w:noWrap/>
            <w:hideMark/>
          </w:tcPr>
          <w:p w14:paraId="1E69DA70" w14:textId="739881A7" w:rsidR="000B66C8" w:rsidRPr="000B66C8" w:rsidRDefault="000B66C8" w:rsidP="000B66C8">
            <w:pPr>
              <w:jc w:val="right"/>
              <w:outlineLvl w:val="0"/>
              <w:rPr>
                <w:noProof/>
                <w:sz w:val="20"/>
                <w:szCs w:val="20"/>
              </w:rPr>
            </w:pPr>
            <w:bookmarkStart w:id="1052" w:name="_Toc223980656"/>
            <w:r w:rsidRPr="000B66C8">
              <w:rPr>
                <w:noProof/>
                <w:sz w:val="20"/>
                <w:szCs w:val="20"/>
              </w:rPr>
              <w:t>6.3</w:t>
            </w:r>
            <w:bookmarkEnd w:id="1052"/>
          </w:p>
        </w:tc>
        <w:tc>
          <w:tcPr>
            <w:tcW w:w="828" w:type="pct"/>
            <w:tcBorders>
              <w:top w:val="nil"/>
              <w:left w:val="nil"/>
              <w:bottom w:val="single" w:sz="4" w:space="0" w:color="auto"/>
              <w:right w:val="single" w:sz="4" w:space="0" w:color="auto"/>
            </w:tcBorders>
            <w:shd w:val="clear" w:color="000000" w:fill="FFFFFF"/>
            <w:noWrap/>
            <w:hideMark/>
          </w:tcPr>
          <w:p w14:paraId="5DEDCCE2" w14:textId="3CB2DE40" w:rsidR="000B66C8" w:rsidRPr="000B66C8" w:rsidRDefault="000B66C8" w:rsidP="000B66C8">
            <w:pPr>
              <w:jc w:val="right"/>
              <w:outlineLvl w:val="0"/>
              <w:rPr>
                <w:noProof/>
                <w:sz w:val="20"/>
                <w:szCs w:val="20"/>
              </w:rPr>
            </w:pPr>
            <w:bookmarkStart w:id="1053" w:name="_Toc223980657"/>
            <w:r w:rsidRPr="000B66C8">
              <w:rPr>
                <w:noProof/>
                <w:sz w:val="20"/>
                <w:szCs w:val="20"/>
              </w:rPr>
              <w:t>4.5</w:t>
            </w:r>
            <w:bookmarkEnd w:id="1053"/>
          </w:p>
        </w:tc>
      </w:tr>
      <w:tr w:rsidR="000B66C8" w:rsidRPr="008F6B42" w14:paraId="73E1FFBA"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F22E505" w14:textId="77777777" w:rsidR="000B66C8" w:rsidRPr="008F6B42" w:rsidRDefault="000B66C8" w:rsidP="000B66C8">
            <w:pPr>
              <w:outlineLvl w:val="0"/>
              <w:rPr>
                <w:noProof/>
                <w:sz w:val="20"/>
                <w:szCs w:val="20"/>
              </w:rPr>
            </w:pPr>
            <w:r w:rsidRPr="008F6B42">
              <w:rPr>
                <w:noProof/>
                <w:sz w:val="20"/>
                <w:szCs w:val="20"/>
              </w:rPr>
              <w:t xml:space="preserve"> </w:t>
            </w:r>
            <w:bookmarkStart w:id="1054" w:name="_Toc223980658"/>
            <w:r w:rsidRPr="008F6B42">
              <w:rPr>
                <w:noProof/>
                <w:sz w:val="20"/>
                <w:szCs w:val="20"/>
              </w:rPr>
              <w:t>Greece</w:t>
            </w:r>
            <w:bookmarkEnd w:id="105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8B8E58E" w14:textId="35051D62" w:rsidR="000B66C8" w:rsidRPr="000B66C8" w:rsidRDefault="000B66C8" w:rsidP="000B66C8">
            <w:pPr>
              <w:jc w:val="right"/>
              <w:outlineLvl w:val="0"/>
              <w:rPr>
                <w:noProof/>
                <w:sz w:val="20"/>
                <w:szCs w:val="20"/>
              </w:rPr>
            </w:pPr>
            <w:bookmarkStart w:id="1055" w:name="_Toc223980659"/>
            <w:r w:rsidRPr="000B66C8">
              <w:rPr>
                <w:noProof/>
                <w:sz w:val="20"/>
                <w:szCs w:val="20"/>
              </w:rPr>
              <w:t>51.1</w:t>
            </w:r>
            <w:bookmarkEnd w:id="1055"/>
          </w:p>
        </w:tc>
        <w:tc>
          <w:tcPr>
            <w:tcW w:w="828" w:type="pct"/>
            <w:tcBorders>
              <w:top w:val="nil"/>
              <w:left w:val="nil"/>
              <w:bottom w:val="single" w:sz="4" w:space="0" w:color="auto"/>
              <w:right w:val="single" w:sz="4" w:space="0" w:color="auto"/>
            </w:tcBorders>
            <w:shd w:val="clear" w:color="000000" w:fill="FFFFFF"/>
            <w:noWrap/>
            <w:hideMark/>
          </w:tcPr>
          <w:p w14:paraId="584B526C" w14:textId="2045142B" w:rsidR="000B66C8" w:rsidRPr="000B66C8" w:rsidRDefault="000B66C8" w:rsidP="000B66C8">
            <w:pPr>
              <w:jc w:val="right"/>
              <w:outlineLvl w:val="0"/>
              <w:rPr>
                <w:noProof/>
                <w:sz w:val="20"/>
                <w:szCs w:val="20"/>
              </w:rPr>
            </w:pPr>
            <w:bookmarkStart w:id="1056" w:name="_Toc223980660"/>
            <w:r w:rsidRPr="000B66C8">
              <w:rPr>
                <w:noProof/>
                <w:sz w:val="20"/>
                <w:szCs w:val="20"/>
              </w:rPr>
              <w:t>7.9</w:t>
            </w:r>
            <w:bookmarkEnd w:id="1056"/>
          </w:p>
        </w:tc>
        <w:tc>
          <w:tcPr>
            <w:tcW w:w="828" w:type="pct"/>
            <w:tcBorders>
              <w:top w:val="nil"/>
              <w:left w:val="nil"/>
              <w:bottom w:val="single" w:sz="4" w:space="0" w:color="auto"/>
              <w:right w:val="single" w:sz="4" w:space="0" w:color="auto"/>
            </w:tcBorders>
            <w:shd w:val="clear" w:color="000000" w:fill="FFFFFF"/>
            <w:noWrap/>
            <w:hideMark/>
          </w:tcPr>
          <w:p w14:paraId="5CA5F145" w14:textId="152367C0" w:rsidR="000B66C8" w:rsidRPr="000B66C8" w:rsidRDefault="000B66C8" w:rsidP="000B66C8">
            <w:pPr>
              <w:jc w:val="right"/>
              <w:outlineLvl w:val="0"/>
              <w:rPr>
                <w:noProof/>
                <w:sz w:val="20"/>
                <w:szCs w:val="20"/>
              </w:rPr>
            </w:pPr>
            <w:bookmarkStart w:id="1057" w:name="_Toc223980661"/>
            <w:r w:rsidRPr="000B66C8">
              <w:rPr>
                <w:noProof/>
                <w:sz w:val="20"/>
                <w:szCs w:val="20"/>
              </w:rPr>
              <w:t>12.6</w:t>
            </w:r>
            <w:bookmarkEnd w:id="1057"/>
          </w:p>
        </w:tc>
        <w:tc>
          <w:tcPr>
            <w:tcW w:w="828" w:type="pct"/>
            <w:tcBorders>
              <w:top w:val="nil"/>
              <w:left w:val="nil"/>
              <w:bottom w:val="single" w:sz="4" w:space="0" w:color="auto"/>
              <w:right w:val="single" w:sz="4" w:space="0" w:color="auto"/>
            </w:tcBorders>
            <w:shd w:val="clear" w:color="000000" w:fill="FFFFFF"/>
            <w:noWrap/>
            <w:hideMark/>
          </w:tcPr>
          <w:p w14:paraId="6525BD74" w14:textId="0A4FF816" w:rsidR="000B66C8" w:rsidRPr="000B66C8" w:rsidRDefault="000B66C8" w:rsidP="000B66C8">
            <w:pPr>
              <w:jc w:val="right"/>
              <w:outlineLvl w:val="0"/>
              <w:rPr>
                <w:noProof/>
                <w:sz w:val="20"/>
                <w:szCs w:val="20"/>
              </w:rPr>
            </w:pPr>
            <w:bookmarkStart w:id="1058" w:name="_Toc223980662"/>
            <w:r w:rsidRPr="000B66C8">
              <w:rPr>
                <w:noProof/>
                <w:sz w:val="20"/>
                <w:szCs w:val="20"/>
              </w:rPr>
              <w:t>9.0</w:t>
            </w:r>
            <w:bookmarkEnd w:id="1058"/>
          </w:p>
        </w:tc>
      </w:tr>
      <w:tr w:rsidR="000B66C8" w:rsidRPr="008F6B42" w14:paraId="2BE62345"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401C74B0" w14:textId="77777777" w:rsidR="000B66C8" w:rsidRPr="008F6B42" w:rsidRDefault="000B66C8" w:rsidP="000B66C8">
            <w:pPr>
              <w:outlineLvl w:val="0"/>
              <w:rPr>
                <w:noProof/>
                <w:sz w:val="20"/>
                <w:szCs w:val="20"/>
              </w:rPr>
            </w:pPr>
            <w:r w:rsidRPr="008F6B42">
              <w:rPr>
                <w:noProof/>
                <w:sz w:val="20"/>
                <w:szCs w:val="20"/>
              </w:rPr>
              <w:t xml:space="preserve"> </w:t>
            </w:r>
            <w:bookmarkStart w:id="1059" w:name="_Toc223980663"/>
            <w:r w:rsidRPr="008F6B42">
              <w:rPr>
                <w:noProof/>
                <w:sz w:val="20"/>
                <w:szCs w:val="20"/>
              </w:rPr>
              <w:t>Bulgaria</w:t>
            </w:r>
            <w:bookmarkEnd w:id="105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EB54FFE" w14:textId="77777777" w:rsidR="000B66C8" w:rsidRPr="000B66C8" w:rsidRDefault="000B66C8" w:rsidP="000B66C8">
            <w:pPr>
              <w:jc w:val="right"/>
              <w:outlineLvl w:val="0"/>
              <w:rPr>
                <w:noProof/>
                <w:sz w:val="20"/>
                <w:szCs w:val="20"/>
              </w:rPr>
            </w:pPr>
            <w:bookmarkStart w:id="1060" w:name="_Toc223980664"/>
            <w:r w:rsidRPr="000B66C8">
              <w:rPr>
                <w:noProof/>
                <w:sz w:val="20"/>
                <w:szCs w:val="20"/>
              </w:rPr>
              <w:t>0.0</w:t>
            </w:r>
            <w:bookmarkEnd w:id="1060"/>
          </w:p>
        </w:tc>
        <w:tc>
          <w:tcPr>
            <w:tcW w:w="828" w:type="pct"/>
            <w:tcBorders>
              <w:top w:val="nil"/>
              <w:left w:val="nil"/>
              <w:bottom w:val="single" w:sz="4" w:space="0" w:color="auto"/>
              <w:right w:val="single" w:sz="4" w:space="0" w:color="auto"/>
            </w:tcBorders>
            <w:shd w:val="clear" w:color="000000" w:fill="FFFFFF"/>
            <w:noWrap/>
            <w:hideMark/>
          </w:tcPr>
          <w:p w14:paraId="2CCA84C3" w14:textId="77777777" w:rsidR="000B66C8" w:rsidRPr="000B66C8" w:rsidRDefault="000B66C8" w:rsidP="000B66C8">
            <w:pPr>
              <w:jc w:val="right"/>
              <w:outlineLvl w:val="0"/>
              <w:rPr>
                <w:noProof/>
                <w:sz w:val="20"/>
                <w:szCs w:val="20"/>
              </w:rPr>
            </w:pPr>
            <w:bookmarkStart w:id="1061" w:name="_Toc223980665"/>
            <w:r w:rsidRPr="000B66C8">
              <w:rPr>
                <w:noProof/>
                <w:sz w:val="20"/>
                <w:szCs w:val="20"/>
              </w:rPr>
              <w:t>0.0</w:t>
            </w:r>
            <w:bookmarkEnd w:id="1061"/>
          </w:p>
        </w:tc>
        <w:tc>
          <w:tcPr>
            <w:tcW w:w="828" w:type="pct"/>
            <w:tcBorders>
              <w:top w:val="nil"/>
              <w:left w:val="nil"/>
              <w:bottom w:val="single" w:sz="4" w:space="0" w:color="auto"/>
              <w:right w:val="single" w:sz="4" w:space="0" w:color="auto"/>
            </w:tcBorders>
            <w:shd w:val="clear" w:color="000000" w:fill="FFFFFF"/>
            <w:noWrap/>
            <w:hideMark/>
          </w:tcPr>
          <w:p w14:paraId="7053FD3C" w14:textId="77777777" w:rsidR="000B66C8" w:rsidRPr="000B66C8" w:rsidRDefault="000B66C8" w:rsidP="000B66C8">
            <w:pPr>
              <w:jc w:val="right"/>
              <w:outlineLvl w:val="0"/>
              <w:rPr>
                <w:noProof/>
                <w:sz w:val="20"/>
                <w:szCs w:val="20"/>
              </w:rPr>
            </w:pPr>
            <w:bookmarkStart w:id="1062" w:name="_Toc223980666"/>
            <w:r w:rsidRPr="000B66C8">
              <w:rPr>
                <w:noProof/>
                <w:sz w:val="20"/>
                <w:szCs w:val="20"/>
              </w:rPr>
              <w:t>0.0</w:t>
            </w:r>
            <w:bookmarkEnd w:id="1062"/>
          </w:p>
        </w:tc>
        <w:tc>
          <w:tcPr>
            <w:tcW w:w="828" w:type="pct"/>
            <w:tcBorders>
              <w:top w:val="nil"/>
              <w:left w:val="nil"/>
              <w:bottom w:val="single" w:sz="4" w:space="0" w:color="auto"/>
              <w:right w:val="single" w:sz="4" w:space="0" w:color="auto"/>
            </w:tcBorders>
            <w:shd w:val="clear" w:color="000000" w:fill="FFFFFF"/>
            <w:noWrap/>
            <w:hideMark/>
          </w:tcPr>
          <w:p w14:paraId="6126E32D" w14:textId="77777777" w:rsidR="000B66C8" w:rsidRPr="000B66C8" w:rsidRDefault="000B66C8" w:rsidP="000B66C8">
            <w:pPr>
              <w:jc w:val="right"/>
              <w:outlineLvl w:val="0"/>
              <w:rPr>
                <w:noProof/>
                <w:sz w:val="20"/>
                <w:szCs w:val="20"/>
              </w:rPr>
            </w:pPr>
            <w:bookmarkStart w:id="1063" w:name="_Toc223980667"/>
            <w:r w:rsidRPr="000B66C8">
              <w:rPr>
                <w:noProof/>
                <w:sz w:val="20"/>
                <w:szCs w:val="20"/>
              </w:rPr>
              <w:t>0.0</w:t>
            </w:r>
            <w:bookmarkEnd w:id="1063"/>
          </w:p>
        </w:tc>
      </w:tr>
      <w:tr w:rsidR="000B66C8" w:rsidRPr="008F6B42" w14:paraId="5F4AAD7A"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36E3D373" w14:textId="77777777" w:rsidR="000B66C8" w:rsidRPr="008F6B42" w:rsidRDefault="000B66C8" w:rsidP="000B66C8">
            <w:pPr>
              <w:outlineLvl w:val="0"/>
              <w:rPr>
                <w:noProof/>
                <w:sz w:val="20"/>
                <w:szCs w:val="20"/>
              </w:rPr>
            </w:pPr>
            <w:r w:rsidRPr="008F6B42">
              <w:rPr>
                <w:noProof/>
                <w:sz w:val="20"/>
                <w:szCs w:val="20"/>
              </w:rPr>
              <w:t xml:space="preserve"> </w:t>
            </w:r>
            <w:bookmarkStart w:id="1064" w:name="_Toc223980668"/>
            <w:r w:rsidRPr="008F6B42">
              <w:rPr>
                <w:noProof/>
                <w:sz w:val="20"/>
                <w:szCs w:val="20"/>
              </w:rPr>
              <w:t>Estonia</w:t>
            </w:r>
            <w:bookmarkEnd w:id="106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D33C442" w14:textId="77777777" w:rsidR="000B66C8" w:rsidRPr="000B66C8" w:rsidRDefault="000B66C8" w:rsidP="000B66C8">
            <w:pPr>
              <w:jc w:val="right"/>
              <w:outlineLvl w:val="0"/>
              <w:rPr>
                <w:noProof/>
                <w:sz w:val="20"/>
                <w:szCs w:val="20"/>
              </w:rPr>
            </w:pPr>
            <w:bookmarkStart w:id="1065" w:name="_Toc223980669"/>
            <w:r w:rsidRPr="000B66C8">
              <w:rPr>
                <w:noProof/>
                <w:sz w:val="20"/>
                <w:szCs w:val="20"/>
              </w:rPr>
              <w:t>0.0</w:t>
            </w:r>
            <w:bookmarkEnd w:id="1065"/>
          </w:p>
        </w:tc>
        <w:tc>
          <w:tcPr>
            <w:tcW w:w="828" w:type="pct"/>
            <w:tcBorders>
              <w:top w:val="nil"/>
              <w:left w:val="nil"/>
              <w:bottom w:val="single" w:sz="4" w:space="0" w:color="auto"/>
              <w:right w:val="single" w:sz="4" w:space="0" w:color="auto"/>
            </w:tcBorders>
            <w:shd w:val="clear" w:color="000000" w:fill="FFFFFF"/>
            <w:noWrap/>
            <w:hideMark/>
          </w:tcPr>
          <w:p w14:paraId="25FCFDE2" w14:textId="77777777" w:rsidR="000B66C8" w:rsidRPr="000B66C8" w:rsidRDefault="000B66C8" w:rsidP="000B66C8">
            <w:pPr>
              <w:jc w:val="right"/>
              <w:outlineLvl w:val="0"/>
              <w:rPr>
                <w:noProof/>
                <w:sz w:val="20"/>
                <w:szCs w:val="20"/>
              </w:rPr>
            </w:pPr>
            <w:bookmarkStart w:id="1066" w:name="_Toc223980670"/>
            <w:r w:rsidRPr="000B66C8">
              <w:rPr>
                <w:noProof/>
                <w:sz w:val="20"/>
                <w:szCs w:val="20"/>
              </w:rPr>
              <w:t>0.0</w:t>
            </w:r>
            <w:bookmarkEnd w:id="1066"/>
          </w:p>
        </w:tc>
        <w:tc>
          <w:tcPr>
            <w:tcW w:w="828" w:type="pct"/>
            <w:tcBorders>
              <w:top w:val="nil"/>
              <w:left w:val="nil"/>
              <w:bottom w:val="single" w:sz="4" w:space="0" w:color="auto"/>
              <w:right w:val="single" w:sz="4" w:space="0" w:color="auto"/>
            </w:tcBorders>
            <w:shd w:val="clear" w:color="000000" w:fill="FFFFFF"/>
            <w:noWrap/>
            <w:hideMark/>
          </w:tcPr>
          <w:p w14:paraId="75A47BC6" w14:textId="77777777" w:rsidR="000B66C8" w:rsidRPr="000B66C8" w:rsidRDefault="000B66C8" w:rsidP="000B66C8">
            <w:pPr>
              <w:jc w:val="right"/>
              <w:outlineLvl w:val="0"/>
              <w:rPr>
                <w:noProof/>
                <w:sz w:val="20"/>
                <w:szCs w:val="20"/>
              </w:rPr>
            </w:pPr>
            <w:bookmarkStart w:id="1067" w:name="_Toc223980671"/>
            <w:r w:rsidRPr="000B66C8">
              <w:rPr>
                <w:noProof/>
                <w:sz w:val="20"/>
                <w:szCs w:val="20"/>
              </w:rPr>
              <w:t>0.0</w:t>
            </w:r>
            <w:bookmarkEnd w:id="1067"/>
          </w:p>
        </w:tc>
        <w:tc>
          <w:tcPr>
            <w:tcW w:w="828" w:type="pct"/>
            <w:tcBorders>
              <w:top w:val="nil"/>
              <w:left w:val="nil"/>
              <w:bottom w:val="single" w:sz="4" w:space="0" w:color="auto"/>
              <w:right w:val="single" w:sz="4" w:space="0" w:color="auto"/>
            </w:tcBorders>
            <w:shd w:val="clear" w:color="000000" w:fill="FFFFFF"/>
            <w:noWrap/>
            <w:hideMark/>
          </w:tcPr>
          <w:p w14:paraId="422D4F5E" w14:textId="77777777" w:rsidR="000B66C8" w:rsidRPr="000B66C8" w:rsidRDefault="000B66C8" w:rsidP="000B66C8">
            <w:pPr>
              <w:jc w:val="right"/>
              <w:outlineLvl w:val="0"/>
              <w:rPr>
                <w:noProof/>
                <w:sz w:val="20"/>
                <w:szCs w:val="20"/>
              </w:rPr>
            </w:pPr>
            <w:bookmarkStart w:id="1068" w:name="_Toc223980672"/>
            <w:r w:rsidRPr="000B66C8">
              <w:rPr>
                <w:noProof/>
                <w:sz w:val="20"/>
                <w:szCs w:val="20"/>
              </w:rPr>
              <w:t>0.0</w:t>
            </w:r>
            <w:bookmarkEnd w:id="1068"/>
          </w:p>
        </w:tc>
      </w:tr>
      <w:tr w:rsidR="000B66C8" w:rsidRPr="008F6B42" w14:paraId="3754AF95"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4EEE037A" w14:textId="77777777" w:rsidR="000B66C8" w:rsidRPr="008F6B42" w:rsidRDefault="000B66C8" w:rsidP="000B66C8">
            <w:pPr>
              <w:outlineLvl w:val="0"/>
              <w:rPr>
                <w:noProof/>
                <w:sz w:val="20"/>
                <w:szCs w:val="20"/>
              </w:rPr>
            </w:pPr>
            <w:r w:rsidRPr="008F6B42">
              <w:rPr>
                <w:noProof/>
                <w:sz w:val="20"/>
                <w:szCs w:val="20"/>
              </w:rPr>
              <w:t xml:space="preserve"> </w:t>
            </w:r>
            <w:bookmarkStart w:id="1069" w:name="_Toc223980673"/>
            <w:r w:rsidRPr="008F6B42">
              <w:rPr>
                <w:noProof/>
                <w:sz w:val="20"/>
                <w:szCs w:val="20"/>
              </w:rPr>
              <w:t>Croatia</w:t>
            </w:r>
            <w:bookmarkEnd w:id="106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C083737" w14:textId="718E21F5" w:rsidR="000B66C8" w:rsidRPr="000B66C8" w:rsidRDefault="000B66C8" w:rsidP="000B66C8">
            <w:pPr>
              <w:jc w:val="right"/>
              <w:outlineLvl w:val="0"/>
              <w:rPr>
                <w:noProof/>
                <w:sz w:val="20"/>
                <w:szCs w:val="20"/>
              </w:rPr>
            </w:pPr>
            <w:bookmarkStart w:id="1070" w:name="_Toc223980674"/>
            <w:r w:rsidRPr="000B66C8">
              <w:rPr>
                <w:noProof/>
                <w:sz w:val="20"/>
                <w:szCs w:val="20"/>
              </w:rPr>
              <w:t>25.5</w:t>
            </w:r>
            <w:bookmarkEnd w:id="1070"/>
          </w:p>
        </w:tc>
        <w:tc>
          <w:tcPr>
            <w:tcW w:w="828" w:type="pct"/>
            <w:tcBorders>
              <w:top w:val="nil"/>
              <w:left w:val="nil"/>
              <w:bottom w:val="single" w:sz="4" w:space="0" w:color="auto"/>
              <w:right w:val="single" w:sz="4" w:space="0" w:color="auto"/>
            </w:tcBorders>
            <w:shd w:val="clear" w:color="000000" w:fill="FFFFFF"/>
            <w:noWrap/>
            <w:hideMark/>
          </w:tcPr>
          <w:p w14:paraId="023AEEEF" w14:textId="74B9B75A" w:rsidR="000B66C8" w:rsidRPr="000B66C8" w:rsidRDefault="000B66C8" w:rsidP="000B66C8">
            <w:pPr>
              <w:jc w:val="right"/>
              <w:outlineLvl w:val="0"/>
              <w:rPr>
                <w:noProof/>
                <w:sz w:val="20"/>
                <w:szCs w:val="20"/>
              </w:rPr>
            </w:pPr>
            <w:bookmarkStart w:id="1071" w:name="_Toc223980675"/>
            <w:r w:rsidRPr="000B66C8">
              <w:rPr>
                <w:noProof/>
                <w:sz w:val="20"/>
                <w:szCs w:val="20"/>
              </w:rPr>
              <w:t>3.9</w:t>
            </w:r>
            <w:bookmarkEnd w:id="1071"/>
          </w:p>
        </w:tc>
        <w:tc>
          <w:tcPr>
            <w:tcW w:w="828" w:type="pct"/>
            <w:tcBorders>
              <w:top w:val="nil"/>
              <w:left w:val="nil"/>
              <w:bottom w:val="single" w:sz="4" w:space="0" w:color="auto"/>
              <w:right w:val="single" w:sz="4" w:space="0" w:color="auto"/>
            </w:tcBorders>
            <w:shd w:val="clear" w:color="000000" w:fill="FFFFFF"/>
            <w:noWrap/>
            <w:hideMark/>
          </w:tcPr>
          <w:p w14:paraId="29ECF1E9" w14:textId="13BBE192" w:rsidR="000B66C8" w:rsidRPr="000B66C8" w:rsidRDefault="000B66C8" w:rsidP="000B66C8">
            <w:pPr>
              <w:jc w:val="right"/>
              <w:outlineLvl w:val="0"/>
              <w:rPr>
                <w:noProof/>
                <w:sz w:val="20"/>
                <w:szCs w:val="20"/>
              </w:rPr>
            </w:pPr>
            <w:bookmarkStart w:id="1072" w:name="_Toc223980676"/>
            <w:r w:rsidRPr="000B66C8">
              <w:rPr>
                <w:noProof/>
                <w:sz w:val="20"/>
                <w:szCs w:val="20"/>
              </w:rPr>
              <w:t>6.3</w:t>
            </w:r>
            <w:bookmarkEnd w:id="1072"/>
          </w:p>
        </w:tc>
        <w:tc>
          <w:tcPr>
            <w:tcW w:w="828" w:type="pct"/>
            <w:tcBorders>
              <w:top w:val="nil"/>
              <w:left w:val="nil"/>
              <w:bottom w:val="single" w:sz="4" w:space="0" w:color="auto"/>
              <w:right w:val="single" w:sz="4" w:space="0" w:color="auto"/>
            </w:tcBorders>
            <w:shd w:val="clear" w:color="000000" w:fill="FFFFFF"/>
            <w:noWrap/>
            <w:hideMark/>
          </w:tcPr>
          <w:p w14:paraId="02093C23" w14:textId="29C96AD8" w:rsidR="000B66C8" w:rsidRPr="000B66C8" w:rsidRDefault="000B66C8" w:rsidP="000B66C8">
            <w:pPr>
              <w:jc w:val="right"/>
              <w:outlineLvl w:val="0"/>
              <w:rPr>
                <w:noProof/>
                <w:sz w:val="20"/>
                <w:szCs w:val="20"/>
              </w:rPr>
            </w:pPr>
            <w:bookmarkStart w:id="1073" w:name="_Toc223980677"/>
            <w:r w:rsidRPr="000B66C8">
              <w:rPr>
                <w:noProof/>
                <w:sz w:val="20"/>
                <w:szCs w:val="20"/>
              </w:rPr>
              <w:t>4.5</w:t>
            </w:r>
            <w:bookmarkEnd w:id="1073"/>
          </w:p>
        </w:tc>
      </w:tr>
      <w:tr w:rsidR="000B66C8" w:rsidRPr="008F6B42" w14:paraId="7B2A5331"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46E0A8B2" w14:textId="77777777" w:rsidR="000B66C8" w:rsidRPr="008F6B42" w:rsidRDefault="000B66C8" w:rsidP="000B66C8">
            <w:pPr>
              <w:outlineLvl w:val="0"/>
              <w:rPr>
                <w:noProof/>
                <w:sz w:val="20"/>
                <w:szCs w:val="20"/>
              </w:rPr>
            </w:pPr>
            <w:r w:rsidRPr="008F6B42">
              <w:rPr>
                <w:noProof/>
                <w:sz w:val="20"/>
                <w:szCs w:val="20"/>
              </w:rPr>
              <w:t xml:space="preserve"> </w:t>
            </w:r>
            <w:bookmarkStart w:id="1074" w:name="_Toc223980678"/>
            <w:r w:rsidRPr="008F6B42">
              <w:rPr>
                <w:noProof/>
                <w:sz w:val="20"/>
                <w:szCs w:val="20"/>
              </w:rPr>
              <w:t>Lithuania</w:t>
            </w:r>
            <w:bookmarkEnd w:id="107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33B47CAC" w14:textId="77777777" w:rsidR="000B66C8" w:rsidRPr="000B66C8" w:rsidRDefault="000B66C8" w:rsidP="000B66C8">
            <w:pPr>
              <w:jc w:val="right"/>
              <w:outlineLvl w:val="0"/>
              <w:rPr>
                <w:noProof/>
                <w:sz w:val="20"/>
                <w:szCs w:val="20"/>
              </w:rPr>
            </w:pPr>
            <w:bookmarkStart w:id="1075" w:name="_Toc223980679"/>
            <w:r w:rsidRPr="000B66C8">
              <w:rPr>
                <w:noProof/>
                <w:sz w:val="20"/>
                <w:szCs w:val="20"/>
              </w:rPr>
              <w:t>0.0</w:t>
            </w:r>
            <w:bookmarkEnd w:id="1075"/>
          </w:p>
        </w:tc>
        <w:tc>
          <w:tcPr>
            <w:tcW w:w="828" w:type="pct"/>
            <w:tcBorders>
              <w:top w:val="nil"/>
              <w:left w:val="nil"/>
              <w:bottom w:val="single" w:sz="4" w:space="0" w:color="auto"/>
              <w:right w:val="single" w:sz="4" w:space="0" w:color="auto"/>
            </w:tcBorders>
            <w:shd w:val="clear" w:color="000000" w:fill="FFFFFF"/>
            <w:noWrap/>
            <w:hideMark/>
          </w:tcPr>
          <w:p w14:paraId="2E1F9B51" w14:textId="77777777" w:rsidR="000B66C8" w:rsidRPr="000B66C8" w:rsidRDefault="000B66C8" w:rsidP="000B66C8">
            <w:pPr>
              <w:jc w:val="right"/>
              <w:outlineLvl w:val="0"/>
              <w:rPr>
                <w:noProof/>
                <w:sz w:val="20"/>
                <w:szCs w:val="20"/>
              </w:rPr>
            </w:pPr>
            <w:bookmarkStart w:id="1076" w:name="_Toc223980680"/>
            <w:r w:rsidRPr="000B66C8">
              <w:rPr>
                <w:noProof/>
                <w:sz w:val="20"/>
                <w:szCs w:val="20"/>
              </w:rPr>
              <w:t>0.0</w:t>
            </w:r>
            <w:bookmarkEnd w:id="1076"/>
          </w:p>
        </w:tc>
        <w:tc>
          <w:tcPr>
            <w:tcW w:w="828" w:type="pct"/>
            <w:tcBorders>
              <w:top w:val="nil"/>
              <w:left w:val="nil"/>
              <w:bottom w:val="single" w:sz="4" w:space="0" w:color="auto"/>
              <w:right w:val="single" w:sz="4" w:space="0" w:color="auto"/>
            </w:tcBorders>
            <w:shd w:val="clear" w:color="000000" w:fill="FFFFFF"/>
            <w:noWrap/>
            <w:hideMark/>
          </w:tcPr>
          <w:p w14:paraId="0D963B2F" w14:textId="77777777" w:rsidR="000B66C8" w:rsidRPr="000B66C8" w:rsidRDefault="000B66C8" w:rsidP="000B66C8">
            <w:pPr>
              <w:jc w:val="right"/>
              <w:outlineLvl w:val="0"/>
              <w:rPr>
                <w:noProof/>
                <w:sz w:val="20"/>
                <w:szCs w:val="20"/>
              </w:rPr>
            </w:pPr>
            <w:bookmarkStart w:id="1077" w:name="_Toc223980681"/>
            <w:r w:rsidRPr="000B66C8">
              <w:rPr>
                <w:noProof/>
                <w:sz w:val="20"/>
                <w:szCs w:val="20"/>
              </w:rPr>
              <w:t>0.0</w:t>
            </w:r>
            <w:bookmarkEnd w:id="1077"/>
          </w:p>
        </w:tc>
        <w:tc>
          <w:tcPr>
            <w:tcW w:w="828" w:type="pct"/>
            <w:tcBorders>
              <w:top w:val="nil"/>
              <w:left w:val="nil"/>
              <w:bottom w:val="single" w:sz="4" w:space="0" w:color="auto"/>
              <w:right w:val="single" w:sz="4" w:space="0" w:color="auto"/>
            </w:tcBorders>
            <w:shd w:val="clear" w:color="000000" w:fill="FFFFFF"/>
            <w:noWrap/>
            <w:hideMark/>
          </w:tcPr>
          <w:p w14:paraId="57693BDC" w14:textId="77777777" w:rsidR="000B66C8" w:rsidRPr="000B66C8" w:rsidRDefault="000B66C8" w:rsidP="000B66C8">
            <w:pPr>
              <w:jc w:val="right"/>
              <w:outlineLvl w:val="0"/>
              <w:rPr>
                <w:noProof/>
                <w:sz w:val="20"/>
                <w:szCs w:val="20"/>
              </w:rPr>
            </w:pPr>
            <w:bookmarkStart w:id="1078" w:name="_Toc223980682"/>
            <w:r w:rsidRPr="000B66C8">
              <w:rPr>
                <w:noProof/>
                <w:sz w:val="20"/>
                <w:szCs w:val="20"/>
              </w:rPr>
              <w:t>0.0</w:t>
            </w:r>
            <w:bookmarkEnd w:id="1078"/>
          </w:p>
        </w:tc>
      </w:tr>
      <w:tr w:rsidR="000B66C8" w:rsidRPr="008F6B42" w14:paraId="56D45128"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1C66AB3" w14:textId="77777777" w:rsidR="000B66C8" w:rsidRPr="008F6B42" w:rsidRDefault="000B66C8" w:rsidP="000B66C8">
            <w:pPr>
              <w:outlineLvl w:val="0"/>
              <w:rPr>
                <w:noProof/>
                <w:sz w:val="20"/>
                <w:szCs w:val="20"/>
              </w:rPr>
            </w:pPr>
            <w:r w:rsidRPr="008F6B42">
              <w:rPr>
                <w:noProof/>
                <w:sz w:val="20"/>
                <w:szCs w:val="20"/>
              </w:rPr>
              <w:t xml:space="preserve"> </w:t>
            </w:r>
            <w:bookmarkStart w:id="1079" w:name="_Toc223980683"/>
            <w:r w:rsidRPr="008F6B42">
              <w:rPr>
                <w:noProof/>
                <w:sz w:val="20"/>
                <w:szCs w:val="20"/>
              </w:rPr>
              <w:t>Hungary</w:t>
            </w:r>
            <w:bookmarkEnd w:id="107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53F81E15" w14:textId="6755B295" w:rsidR="000B66C8" w:rsidRPr="000B66C8" w:rsidRDefault="000B66C8" w:rsidP="000B66C8">
            <w:pPr>
              <w:jc w:val="right"/>
              <w:outlineLvl w:val="0"/>
              <w:rPr>
                <w:noProof/>
                <w:sz w:val="20"/>
                <w:szCs w:val="20"/>
              </w:rPr>
            </w:pPr>
            <w:bookmarkStart w:id="1080" w:name="_Toc223980684"/>
            <w:r w:rsidRPr="000B66C8">
              <w:rPr>
                <w:noProof/>
                <w:sz w:val="20"/>
                <w:szCs w:val="20"/>
              </w:rPr>
              <w:t>76.6</w:t>
            </w:r>
            <w:bookmarkEnd w:id="1080"/>
          </w:p>
        </w:tc>
        <w:tc>
          <w:tcPr>
            <w:tcW w:w="828" w:type="pct"/>
            <w:tcBorders>
              <w:top w:val="nil"/>
              <w:left w:val="nil"/>
              <w:bottom w:val="single" w:sz="4" w:space="0" w:color="auto"/>
              <w:right w:val="single" w:sz="4" w:space="0" w:color="auto"/>
            </w:tcBorders>
            <w:shd w:val="clear" w:color="000000" w:fill="FFFFFF"/>
            <w:noWrap/>
            <w:hideMark/>
          </w:tcPr>
          <w:p w14:paraId="70A6E949" w14:textId="5DB0F257" w:rsidR="000B66C8" w:rsidRPr="000B66C8" w:rsidRDefault="000B66C8" w:rsidP="000B66C8">
            <w:pPr>
              <w:jc w:val="right"/>
              <w:outlineLvl w:val="0"/>
              <w:rPr>
                <w:noProof/>
                <w:sz w:val="20"/>
                <w:szCs w:val="20"/>
              </w:rPr>
            </w:pPr>
            <w:bookmarkStart w:id="1081" w:name="_Toc223980685"/>
            <w:r w:rsidRPr="000B66C8">
              <w:rPr>
                <w:noProof/>
                <w:sz w:val="20"/>
                <w:szCs w:val="20"/>
              </w:rPr>
              <w:t>11.8</w:t>
            </w:r>
            <w:bookmarkEnd w:id="1081"/>
          </w:p>
        </w:tc>
        <w:tc>
          <w:tcPr>
            <w:tcW w:w="828" w:type="pct"/>
            <w:tcBorders>
              <w:top w:val="nil"/>
              <w:left w:val="nil"/>
              <w:bottom w:val="single" w:sz="4" w:space="0" w:color="auto"/>
              <w:right w:val="single" w:sz="4" w:space="0" w:color="auto"/>
            </w:tcBorders>
            <w:shd w:val="clear" w:color="000000" w:fill="FFFFFF"/>
            <w:noWrap/>
            <w:hideMark/>
          </w:tcPr>
          <w:p w14:paraId="4E5097AB" w14:textId="684DE93E" w:rsidR="000B66C8" w:rsidRPr="000B66C8" w:rsidRDefault="000B66C8" w:rsidP="000B66C8">
            <w:pPr>
              <w:jc w:val="right"/>
              <w:outlineLvl w:val="0"/>
              <w:rPr>
                <w:noProof/>
                <w:sz w:val="20"/>
                <w:szCs w:val="20"/>
              </w:rPr>
            </w:pPr>
            <w:bookmarkStart w:id="1082" w:name="_Toc223980686"/>
            <w:r w:rsidRPr="000B66C8">
              <w:rPr>
                <w:noProof/>
                <w:sz w:val="20"/>
                <w:szCs w:val="20"/>
              </w:rPr>
              <w:t>18.9</w:t>
            </w:r>
            <w:bookmarkEnd w:id="1082"/>
          </w:p>
        </w:tc>
        <w:tc>
          <w:tcPr>
            <w:tcW w:w="828" w:type="pct"/>
            <w:tcBorders>
              <w:top w:val="nil"/>
              <w:left w:val="nil"/>
              <w:bottom w:val="single" w:sz="4" w:space="0" w:color="auto"/>
              <w:right w:val="single" w:sz="4" w:space="0" w:color="auto"/>
            </w:tcBorders>
            <w:shd w:val="clear" w:color="000000" w:fill="FFFFFF"/>
            <w:noWrap/>
            <w:hideMark/>
          </w:tcPr>
          <w:p w14:paraId="04D76898" w14:textId="0FF9D01C" w:rsidR="000B66C8" w:rsidRPr="000B66C8" w:rsidRDefault="000B66C8" w:rsidP="000B66C8">
            <w:pPr>
              <w:jc w:val="right"/>
              <w:outlineLvl w:val="0"/>
              <w:rPr>
                <w:noProof/>
                <w:sz w:val="20"/>
                <w:szCs w:val="20"/>
              </w:rPr>
            </w:pPr>
            <w:bookmarkStart w:id="1083" w:name="_Toc223980687"/>
            <w:r w:rsidRPr="000B66C8">
              <w:rPr>
                <w:noProof/>
                <w:sz w:val="20"/>
                <w:szCs w:val="20"/>
              </w:rPr>
              <w:t>13.6</w:t>
            </w:r>
            <w:bookmarkEnd w:id="1083"/>
          </w:p>
        </w:tc>
      </w:tr>
      <w:tr w:rsidR="000B66C8" w:rsidRPr="008F6B42" w14:paraId="65DD0970"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A3A3F61" w14:textId="77777777" w:rsidR="000B66C8" w:rsidRPr="008F6B42" w:rsidRDefault="000B66C8" w:rsidP="000B66C8">
            <w:pPr>
              <w:outlineLvl w:val="0"/>
              <w:rPr>
                <w:noProof/>
                <w:sz w:val="20"/>
                <w:szCs w:val="20"/>
              </w:rPr>
            </w:pPr>
            <w:r w:rsidRPr="008F6B42">
              <w:rPr>
                <w:noProof/>
                <w:sz w:val="20"/>
                <w:szCs w:val="20"/>
              </w:rPr>
              <w:t xml:space="preserve"> </w:t>
            </w:r>
            <w:bookmarkStart w:id="1084" w:name="_Toc223980688"/>
            <w:r w:rsidRPr="008F6B42">
              <w:rPr>
                <w:noProof/>
                <w:sz w:val="20"/>
                <w:szCs w:val="20"/>
              </w:rPr>
              <w:t>Sweden</w:t>
            </w:r>
            <w:bookmarkEnd w:id="108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179E2988" w14:textId="7DB17AD0" w:rsidR="000B66C8" w:rsidRPr="000B66C8" w:rsidRDefault="000B66C8" w:rsidP="000B66C8">
            <w:pPr>
              <w:jc w:val="right"/>
              <w:outlineLvl w:val="0"/>
              <w:rPr>
                <w:noProof/>
                <w:sz w:val="20"/>
                <w:szCs w:val="20"/>
              </w:rPr>
            </w:pPr>
            <w:bookmarkStart w:id="1085" w:name="_Toc223980689"/>
            <w:r w:rsidRPr="000B66C8">
              <w:rPr>
                <w:noProof/>
                <w:sz w:val="20"/>
                <w:szCs w:val="20"/>
              </w:rPr>
              <w:t>51.1</w:t>
            </w:r>
            <w:bookmarkEnd w:id="1085"/>
          </w:p>
        </w:tc>
        <w:tc>
          <w:tcPr>
            <w:tcW w:w="828" w:type="pct"/>
            <w:tcBorders>
              <w:top w:val="nil"/>
              <w:left w:val="nil"/>
              <w:bottom w:val="single" w:sz="4" w:space="0" w:color="auto"/>
              <w:right w:val="single" w:sz="4" w:space="0" w:color="auto"/>
            </w:tcBorders>
            <w:shd w:val="clear" w:color="000000" w:fill="FFFFFF"/>
            <w:noWrap/>
            <w:hideMark/>
          </w:tcPr>
          <w:p w14:paraId="29AC1036" w14:textId="1CC18A0E" w:rsidR="000B66C8" w:rsidRPr="000B66C8" w:rsidRDefault="000B66C8" w:rsidP="000B66C8">
            <w:pPr>
              <w:jc w:val="right"/>
              <w:outlineLvl w:val="0"/>
              <w:rPr>
                <w:noProof/>
                <w:sz w:val="20"/>
                <w:szCs w:val="20"/>
              </w:rPr>
            </w:pPr>
            <w:bookmarkStart w:id="1086" w:name="_Toc223980690"/>
            <w:r w:rsidRPr="000B66C8">
              <w:rPr>
                <w:noProof/>
                <w:sz w:val="20"/>
                <w:szCs w:val="20"/>
              </w:rPr>
              <w:t>7.9</w:t>
            </w:r>
            <w:bookmarkEnd w:id="1086"/>
          </w:p>
        </w:tc>
        <w:tc>
          <w:tcPr>
            <w:tcW w:w="828" w:type="pct"/>
            <w:tcBorders>
              <w:top w:val="nil"/>
              <w:left w:val="nil"/>
              <w:bottom w:val="single" w:sz="4" w:space="0" w:color="auto"/>
              <w:right w:val="single" w:sz="4" w:space="0" w:color="auto"/>
            </w:tcBorders>
            <w:shd w:val="clear" w:color="000000" w:fill="FFFFFF"/>
            <w:noWrap/>
            <w:hideMark/>
          </w:tcPr>
          <w:p w14:paraId="48F6BE3C" w14:textId="47DA04BE" w:rsidR="000B66C8" w:rsidRPr="000B66C8" w:rsidRDefault="000B66C8" w:rsidP="000B66C8">
            <w:pPr>
              <w:jc w:val="right"/>
              <w:outlineLvl w:val="0"/>
              <w:rPr>
                <w:noProof/>
                <w:sz w:val="20"/>
                <w:szCs w:val="20"/>
              </w:rPr>
            </w:pPr>
            <w:bookmarkStart w:id="1087" w:name="_Toc223980691"/>
            <w:r w:rsidRPr="000B66C8">
              <w:rPr>
                <w:noProof/>
                <w:sz w:val="20"/>
                <w:szCs w:val="20"/>
              </w:rPr>
              <w:t>12.6</w:t>
            </w:r>
            <w:bookmarkEnd w:id="1087"/>
          </w:p>
        </w:tc>
        <w:tc>
          <w:tcPr>
            <w:tcW w:w="828" w:type="pct"/>
            <w:tcBorders>
              <w:top w:val="nil"/>
              <w:left w:val="nil"/>
              <w:bottom w:val="single" w:sz="4" w:space="0" w:color="auto"/>
              <w:right w:val="single" w:sz="4" w:space="0" w:color="auto"/>
            </w:tcBorders>
            <w:shd w:val="clear" w:color="000000" w:fill="FFFFFF"/>
            <w:noWrap/>
            <w:hideMark/>
          </w:tcPr>
          <w:p w14:paraId="3CECDCBD" w14:textId="11F4B5B5" w:rsidR="000B66C8" w:rsidRPr="000B66C8" w:rsidRDefault="000B66C8" w:rsidP="000B66C8">
            <w:pPr>
              <w:jc w:val="right"/>
              <w:outlineLvl w:val="0"/>
              <w:rPr>
                <w:noProof/>
                <w:sz w:val="20"/>
                <w:szCs w:val="20"/>
              </w:rPr>
            </w:pPr>
            <w:bookmarkStart w:id="1088" w:name="_Toc223980692"/>
            <w:r w:rsidRPr="000B66C8">
              <w:rPr>
                <w:noProof/>
                <w:sz w:val="20"/>
                <w:szCs w:val="20"/>
              </w:rPr>
              <w:t>9.0</w:t>
            </w:r>
            <w:bookmarkEnd w:id="1088"/>
          </w:p>
        </w:tc>
      </w:tr>
      <w:tr w:rsidR="000B66C8" w:rsidRPr="008F6B42" w14:paraId="59878DB3"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6BBFF22A" w14:textId="01B9425B" w:rsidR="000B66C8" w:rsidRPr="008F6B42" w:rsidRDefault="000B66C8" w:rsidP="000B66C8">
            <w:pPr>
              <w:outlineLvl w:val="0"/>
              <w:rPr>
                <w:noProof/>
                <w:sz w:val="20"/>
                <w:szCs w:val="20"/>
              </w:rPr>
            </w:pPr>
            <w:r w:rsidRPr="008F6B42">
              <w:rPr>
                <w:noProof/>
                <w:sz w:val="20"/>
                <w:szCs w:val="20"/>
              </w:rPr>
              <w:t xml:space="preserve"> </w:t>
            </w:r>
            <w:bookmarkStart w:id="1089" w:name="_Toc223980693"/>
            <w:r w:rsidRPr="008F6B42">
              <w:rPr>
                <w:noProof/>
                <w:sz w:val="20"/>
                <w:szCs w:val="20"/>
              </w:rPr>
              <w:t>Czechia</w:t>
            </w:r>
            <w:bookmarkEnd w:id="1089"/>
          </w:p>
        </w:tc>
        <w:tc>
          <w:tcPr>
            <w:tcW w:w="828" w:type="pct"/>
            <w:tcBorders>
              <w:top w:val="nil"/>
              <w:left w:val="nil"/>
              <w:bottom w:val="single" w:sz="4" w:space="0" w:color="auto"/>
              <w:right w:val="single" w:sz="4" w:space="0" w:color="auto"/>
            </w:tcBorders>
            <w:shd w:val="clear" w:color="000000" w:fill="FFFFFF"/>
            <w:noWrap/>
            <w:hideMark/>
          </w:tcPr>
          <w:p w14:paraId="3DBA255A" w14:textId="73EB9B92" w:rsidR="000B66C8" w:rsidRPr="000B66C8" w:rsidRDefault="000B66C8" w:rsidP="000B66C8">
            <w:pPr>
              <w:jc w:val="right"/>
              <w:outlineLvl w:val="0"/>
              <w:rPr>
                <w:noProof/>
                <w:sz w:val="20"/>
                <w:szCs w:val="20"/>
              </w:rPr>
            </w:pPr>
            <w:bookmarkStart w:id="1090" w:name="_Toc223980694"/>
            <w:r w:rsidRPr="000B66C8">
              <w:rPr>
                <w:noProof/>
                <w:sz w:val="20"/>
                <w:szCs w:val="20"/>
              </w:rPr>
              <w:t>76.6</w:t>
            </w:r>
            <w:bookmarkEnd w:id="1090"/>
          </w:p>
        </w:tc>
        <w:tc>
          <w:tcPr>
            <w:tcW w:w="828" w:type="pct"/>
            <w:tcBorders>
              <w:top w:val="nil"/>
              <w:left w:val="nil"/>
              <w:bottom w:val="single" w:sz="4" w:space="0" w:color="auto"/>
              <w:right w:val="single" w:sz="4" w:space="0" w:color="auto"/>
            </w:tcBorders>
            <w:shd w:val="clear" w:color="000000" w:fill="FFFFFF"/>
            <w:noWrap/>
            <w:hideMark/>
          </w:tcPr>
          <w:p w14:paraId="2937BD59" w14:textId="30BC206F" w:rsidR="000B66C8" w:rsidRPr="000B66C8" w:rsidRDefault="000B66C8" w:rsidP="000B66C8">
            <w:pPr>
              <w:jc w:val="right"/>
              <w:outlineLvl w:val="0"/>
              <w:rPr>
                <w:noProof/>
                <w:sz w:val="20"/>
                <w:szCs w:val="20"/>
              </w:rPr>
            </w:pPr>
            <w:bookmarkStart w:id="1091" w:name="_Toc223980695"/>
            <w:r w:rsidRPr="000B66C8">
              <w:rPr>
                <w:noProof/>
                <w:sz w:val="20"/>
                <w:szCs w:val="20"/>
              </w:rPr>
              <w:t>11.8</w:t>
            </w:r>
            <w:bookmarkEnd w:id="1091"/>
          </w:p>
        </w:tc>
        <w:tc>
          <w:tcPr>
            <w:tcW w:w="828" w:type="pct"/>
            <w:tcBorders>
              <w:top w:val="nil"/>
              <w:left w:val="nil"/>
              <w:bottom w:val="single" w:sz="4" w:space="0" w:color="auto"/>
              <w:right w:val="single" w:sz="4" w:space="0" w:color="auto"/>
            </w:tcBorders>
            <w:shd w:val="clear" w:color="000000" w:fill="FFFFFF"/>
            <w:noWrap/>
            <w:hideMark/>
          </w:tcPr>
          <w:p w14:paraId="5A67B607" w14:textId="3C35077C" w:rsidR="000B66C8" w:rsidRPr="000B66C8" w:rsidRDefault="000B66C8" w:rsidP="000B66C8">
            <w:pPr>
              <w:jc w:val="right"/>
              <w:outlineLvl w:val="0"/>
              <w:rPr>
                <w:noProof/>
                <w:sz w:val="20"/>
                <w:szCs w:val="20"/>
              </w:rPr>
            </w:pPr>
            <w:bookmarkStart w:id="1092" w:name="_Toc223980696"/>
            <w:r w:rsidRPr="000B66C8">
              <w:rPr>
                <w:noProof/>
                <w:sz w:val="20"/>
                <w:szCs w:val="20"/>
              </w:rPr>
              <w:t>18.9</w:t>
            </w:r>
            <w:bookmarkEnd w:id="1092"/>
          </w:p>
        </w:tc>
        <w:tc>
          <w:tcPr>
            <w:tcW w:w="828" w:type="pct"/>
            <w:tcBorders>
              <w:top w:val="nil"/>
              <w:left w:val="nil"/>
              <w:bottom w:val="single" w:sz="4" w:space="0" w:color="auto"/>
              <w:right w:val="single" w:sz="4" w:space="0" w:color="auto"/>
            </w:tcBorders>
            <w:shd w:val="clear" w:color="000000" w:fill="FFFFFF"/>
            <w:noWrap/>
            <w:hideMark/>
          </w:tcPr>
          <w:p w14:paraId="57BF1B4F" w14:textId="596CEC9F" w:rsidR="000B66C8" w:rsidRPr="000B66C8" w:rsidRDefault="000B66C8" w:rsidP="000B66C8">
            <w:pPr>
              <w:jc w:val="right"/>
              <w:outlineLvl w:val="0"/>
              <w:rPr>
                <w:noProof/>
                <w:sz w:val="20"/>
                <w:szCs w:val="20"/>
              </w:rPr>
            </w:pPr>
            <w:bookmarkStart w:id="1093" w:name="_Toc223980697"/>
            <w:r w:rsidRPr="000B66C8">
              <w:rPr>
                <w:noProof/>
                <w:sz w:val="20"/>
                <w:szCs w:val="20"/>
              </w:rPr>
              <w:t>13.6</w:t>
            </w:r>
            <w:bookmarkEnd w:id="1093"/>
          </w:p>
        </w:tc>
      </w:tr>
      <w:tr w:rsidR="000B66C8" w:rsidRPr="008F6B42" w14:paraId="08FBC3AE"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4053EA5D" w14:textId="77777777" w:rsidR="000B66C8" w:rsidRPr="008F6B42" w:rsidRDefault="000B66C8" w:rsidP="000B66C8">
            <w:pPr>
              <w:outlineLvl w:val="0"/>
              <w:rPr>
                <w:noProof/>
                <w:sz w:val="20"/>
                <w:szCs w:val="20"/>
              </w:rPr>
            </w:pPr>
            <w:r w:rsidRPr="008F6B42">
              <w:rPr>
                <w:noProof/>
                <w:sz w:val="20"/>
                <w:szCs w:val="20"/>
              </w:rPr>
              <w:t xml:space="preserve"> </w:t>
            </w:r>
            <w:bookmarkStart w:id="1094" w:name="_Toc223980698"/>
            <w:r w:rsidRPr="008F6B42">
              <w:rPr>
                <w:noProof/>
                <w:sz w:val="20"/>
                <w:szCs w:val="20"/>
              </w:rPr>
              <w:t>Ireland</w:t>
            </w:r>
            <w:bookmarkEnd w:id="109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6E52BF8F" w14:textId="42BE8207" w:rsidR="000B66C8" w:rsidRPr="000B66C8" w:rsidRDefault="000B66C8" w:rsidP="000B66C8">
            <w:pPr>
              <w:jc w:val="right"/>
              <w:outlineLvl w:val="0"/>
              <w:rPr>
                <w:noProof/>
                <w:sz w:val="20"/>
                <w:szCs w:val="20"/>
              </w:rPr>
            </w:pPr>
            <w:bookmarkStart w:id="1095" w:name="_Toc223980699"/>
            <w:r w:rsidRPr="000B66C8">
              <w:rPr>
                <w:noProof/>
                <w:sz w:val="20"/>
                <w:szCs w:val="20"/>
              </w:rPr>
              <w:t>51.1</w:t>
            </w:r>
            <w:bookmarkEnd w:id="1095"/>
          </w:p>
        </w:tc>
        <w:tc>
          <w:tcPr>
            <w:tcW w:w="828" w:type="pct"/>
            <w:tcBorders>
              <w:top w:val="nil"/>
              <w:left w:val="nil"/>
              <w:bottom w:val="single" w:sz="4" w:space="0" w:color="auto"/>
              <w:right w:val="single" w:sz="4" w:space="0" w:color="auto"/>
            </w:tcBorders>
            <w:shd w:val="clear" w:color="000000" w:fill="FFFFFF"/>
            <w:noWrap/>
            <w:hideMark/>
          </w:tcPr>
          <w:p w14:paraId="778BBF9E" w14:textId="218F2076" w:rsidR="000B66C8" w:rsidRPr="000B66C8" w:rsidRDefault="000B66C8" w:rsidP="000B66C8">
            <w:pPr>
              <w:jc w:val="right"/>
              <w:outlineLvl w:val="0"/>
              <w:rPr>
                <w:noProof/>
                <w:sz w:val="20"/>
                <w:szCs w:val="20"/>
              </w:rPr>
            </w:pPr>
            <w:bookmarkStart w:id="1096" w:name="_Toc223980700"/>
            <w:r w:rsidRPr="000B66C8">
              <w:rPr>
                <w:noProof/>
                <w:sz w:val="20"/>
                <w:szCs w:val="20"/>
              </w:rPr>
              <w:t>7.9</w:t>
            </w:r>
            <w:bookmarkEnd w:id="1096"/>
          </w:p>
        </w:tc>
        <w:tc>
          <w:tcPr>
            <w:tcW w:w="828" w:type="pct"/>
            <w:tcBorders>
              <w:top w:val="nil"/>
              <w:left w:val="nil"/>
              <w:bottom w:val="single" w:sz="4" w:space="0" w:color="auto"/>
              <w:right w:val="single" w:sz="4" w:space="0" w:color="auto"/>
            </w:tcBorders>
            <w:shd w:val="clear" w:color="000000" w:fill="FFFFFF"/>
            <w:noWrap/>
            <w:hideMark/>
          </w:tcPr>
          <w:p w14:paraId="4742F52D" w14:textId="0ADD0126" w:rsidR="000B66C8" w:rsidRPr="000B66C8" w:rsidRDefault="000B66C8" w:rsidP="000B66C8">
            <w:pPr>
              <w:jc w:val="right"/>
              <w:outlineLvl w:val="0"/>
              <w:rPr>
                <w:noProof/>
                <w:sz w:val="20"/>
                <w:szCs w:val="20"/>
              </w:rPr>
            </w:pPr>
            <w:bookmarkStart w:id="1097" w:name="_Toc223980701"/>
            <w:r w:rsidRPr="000B66C8">
              <w:rPr>
                <w:noProof/>
                <w:sz w:val="20"/>
                <w:szCs w:val="20"/>
              </w:rPr>
              <w:t>12.6</w:t>
            </w:r>
            <w:bookmarkEnd w:id="1097"/>
          </w:p>
        </w:tc>
        <w:tc>
          <w:tcPr>
            <w:tcW w:w="828" w:type="pct"/>
            <w:tcBorders>
              <w:top w:val="nil"/>
              <w:left w:val="nil"/>
              <w:bottom w:val="single" w:sz="4" w:space="0" w:color="auto"/>
              <w:right w:val="single" w:sz="4" w:space="0" w:color="auto"/>
            </w:tcBorders>
            <w:shd w:val="clear" w:color="000000" w:fill="FFFFFF"/>
            <w:noWrap/>
            <w:hideMark/>
          </w:tcPr>
          <w:p w14:paraId="6EC4A506" w14:textId="5B81BDB5" w:rsidR="000B66C8" w:rsidRPr="000B66C8" w:rsidRDefault="000B66C8" w:rsidP="000B66C8">
            <w:pPr>
              <w:jc w:val="right"/>
              <w:outlineLvl w:val="0"/>
              <w:rPr>
                <w:noProof/>
                <w:sz w:val="20"/>
                <w:szCs w:val="20"/>
              </w:rPr>
            </w:pPr>
            <w:bookmarkStart w:id="1098" w:name="_Toc223980702"/>
            <w:r w:rsidRPr="000B66C8">
              <w:rPr>
                <w:noProof/>
                <w:sz w:val="20"/>
                <w:szCs w:val="20"/>
              </w:rPr>
              <w:t>9.0</w:t>
            </w:r>
            <w:bookmarkEnd w:id="1098"/>
          </w:p>
        </w:tc>
      </w:tr>
      <w:tr w:rsidR="000B66C8" w:rsidRPr="008F6B42" w14:paraId="37034832"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3D8E9E49" w14:textId="77777777" w:rsidR="000B66C8" w:rsidRPr="008F6B42" w:rsidRDefault="000B66C8" w:rsidP="000B66C8">
            <w:pPr>
              <w:outlineLvl w:val="0"/>
              <w:rPr>
                <w:noProof/>
                <w:sz w:val="20"/>
                <w:szCs w:val="20"/>
              </w:rPr>
            </w:pPr>
            <w:r w:rsidRPr="008F6B42">
              <w:rPr>
                <w:noProof/>
                <w:sz w:val="20"/>
                <w:szCs w:val="20"/>
              </w:rPr>
              <w:t xml:space="preserve"> </w:t>
            </w:r>
            <w:bookmarkStart w:id="1099" w:name="_Toc223980703"/>
            <w:r w:rsidRPr="008F6B42">
              <w:rPr>
                <w:noProof/>
                <w:sz w:val="20"/>
                <w:szCs w:val="20"/>
              </w:rPr>
              <w:t>Slovenia</w:t>
            </w:r>
            <w:bookmarkEnd w:id="109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235B3994" w14:textId="77777777" w:rsidR="000B66C8" w:rsidRPr="000B66C8" w:rsidRDefault="000B66C8" w:rsidP="000B66C8">
            <w:pPr>
              <w:jc w:val="right"/>
              <w:outlineLvl w:val="0"/>
              <w:rPr>
                <w:noProof/>
                <w:sz w:val="20"/>
                <w:szCs w:val="20"/>
              </w:rPr>
            </w:pPr>
            <w:bookmarkStart w:id="1100" w:name="_Toc223980704"/>
            <w:r w:rsidRPr="000B66C8">
              <w:rPr>
                <w:noProof/>
                <w:sz w:val="20"/>
                <w:szCs w:val="20"/>
              </w:rPr>
              <w:t>0.0</w:t>
            </w:r>
            <w:bookmarkEnd w:id="1100"/>
          </w:p>
        </w:tc>
        <w:tc>
          <w:tcPr>
            <w:tcW w:w="828" w:type="pct"/>
            <w:tcBorders>
              <w:top w:val="nil"/>
              <w:left w:val="nil"/>
              <w:bottom w:val="single" w:sz="4" w:space="0" w:color="auto"/>
              <w:right w:val="single" w:sz="4" w:space="0" w:color="auto"/>
            </w:tcBorders>
            <w:shd w:val="clear" w:color="000000" w:fill="FFFFFF"/>
            <w:noWrap/>
            <w:hideMark/>
          </w:tcPr>
          <w:p w14:paraId="7DBC9B2F" w14:textId="77777777" w:rsidR="000B66C8" w:rsidRPr="000B66C8" w:rsidRDefault="000B66C8" w:rsidP="000B66C8">
            <w:pPr>
              <w:jc w:val="right"/>
              <w:outlineLvl w:val="0"/>
              <w:rPr>
                <w:noProof/>
                <w:sz w:val="20"/>
                <w:szCs w:val="20"/>
              </w:rPr>
            </w:pPr>
            <w:bookmarkStart w:id="1101" w:name="_Toc223980705"/>
            <w:r w:rsidRPr="000B66C8">
              <w:rPr>
                <w:noProof/>
                <w:sz w:val="20"/>
                <w:szCs w:val="20"/>
              </w:rPr>
              <w:t>0.0</w:t>
            </w:r>
            <w:bookmarkEnd w:id="1101"/>
          </w:p>
        </w:tc>
        <w:tc>
          <w:tcPr>
            <w:tcW w:w="828" w:type="pct"/>
            <w:tcBorders>
              <w:top w:val="nil"/>
              <w:left w:val="nil"/>
              <w:bottom w:val="single" w:sz="4" w:space="0" w:color="auto"/>
              <w:right w:val="single" w:sz="4" w:space="0" w:color="auto"/>
            </w:tcBorders>
            <w:shd w:val="clear" w:color="000000" w:fill="FFFFFF"/>
            <w:noWrap/>
            <w:hideMark/>
          </w:tcPr>
          <w:p w14:paraId="479A51A9" w14:textId="77777777" w:rsidR="000B66C8" w:rsidRPr="000B66C8" w:rsidRDefault="000B66C8" w:rsidP="000B66C8">
            <w:pPr>
              <w:jc w:val="right"/>
              <w:outlineLvl w:val="0"/>
              <w:rPr>
                <w:noProof/>
                <w:sz w:val="20"/>
                <w:szCs w:val="20"/>
              </w:rPr>
            </w:pPr>
            <w:bookmarkStart w:id="1102" w:name="_Toc223980706"/>
            <w:r w:rsidRPr="000B66C8">
              <w:rPr>
                <w:noProof/>
                <w:sz w:val="20"/>
                <w:szCs w:val="20"/>
              </w:rPr>
              <w:t>0.0</w:t>
            </w:r>
            <w:bookmarkEnd w:id="1102"/>
          </w:p>
        </w:tc>
        <w:tc>
          <w:tcPr>
            <w:tcW w:w="828" w:type="pct"/>
            <w:tcBorders>
              <w:top w:val="nil"/>
              <w:left w:val="nil"/>
              <w:bottom w:val="single" w:sz="4" w:space="0" w:color="auto"/>
              <w:right w:val="single" w:sz="4" w:space="0" w:color="auto"/>
            </w:tcBorders>
            <w:shd w:val="clear" w:color="000000" w:fill="FFFFFF"/>
            <w:noWrap/>
            <w:hideMark/>
          </w:tcPr>
          <w:p w14:paraId="063B9657" w14:textId="77777777" w:rsidR="000B66C8" w:rsidRPr="000B66C8" w:rsidRDefault="000B66C8" w:rsidP="000B66C8">
            <w:pPr>
              <w:jc w:val="right"/>
              <w:outlineLvl w:val="0"/>
              <w:rPr>
                <w:noProof/>
                <w:sz w:val="20"/>
                <w:szCs w:val="20"/>
              </w:rPr>
            </w:pPr>
            <w:bookmarkStart w:id="1103" w:name="_Toc223980707"/>
            <w:r w:rsidRPr="000B66C8">
              <w:rPr>
                <w:noProof/>
                <w:sz w:val="20"/>
                <w:szCs w:val="20"/>
              </w:rPr>
              <w:t>0.0</w:t>
            </w:r>
            <w:bookmarkEnd w:id="1103"/>
          </w:p>
        </w:tc>
      </w:tr>
      <w:tr w:rsidR="000B66C8" w:rsidRPr="008F6B42" w14:paraId="3C3D3854"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13F56FAC" w14:textId="77777777" w:rsidR="000B66C8" w:rsidRPr="008F6B42" w:rsidRDefault="000B66C8" w:rsidP="000B66C8">
            <w:pPr>
              <w:outlineLvl w:val="0"/>
              <w:rPr>
                <w:noProof/>
                <w:sz w:val="20"/>
                <w:szCs w:val="20"/>
              </w:rPr>
            </w:pPr>
            <w:r w:rsidRPr="008F6B42">
              <w:rPr>
                <w:noProof/>
                <w:sz w:val="20"/>
                <w:szCs w:val="20"/>
              </w:rPr>
              <w:t xml:space="preserve"> </w:t>
            </w:r>
            <w:bookmarkStart w:id="1104" w:name="_Toc223980708"/>
            <w:r w:rsidRPr="008F6B42">
              <w:rPr>
                <w:noProof/>
                <w:sz w:val="20"/>
                <w:szCs w:val="20"/>
              </w:rPr>
              <w:t>Latvia</w:t>
            </w:r>
            <w:bookmarkEnd w:id="110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49C9D43A" w14:textId="77777777" w:rsidR="000B66C8" w:rsidRPr="000B66C8" w:rsidRDefault="000B66C8" w:rsidP="000B66C8">
            <w:pPr>
              <w:jc w:val="right"/>
              <w:outlineLvl w:val="0"/>
              <w:rPr>
                <w:noProof/>
                <w:sz w:val="20"/>
                <w:szCs w:val="20"/>
              </w:rPr>
            </w:pPr>
            <w:bookmarkStart w:id="1105" w:name="_Toc223980709"/>
            <w:r w:rsidRPr="000B66C8">
              <w:rPr>
                <w:noProof/>
                <w:sz w:val="20"/>
                <w:szCs w:val="20"/>
              </w:rPr>
              <w:t>0.0</w:t>
            </w:r>
            <w:bookmarkEnd w:id="1105"/>
          </w:p>
        </w:tc>
        <w:tc>
          <w:tcPr>
            <w:tcW w:w="828" w:type="pct"/>
            <w:tcBorders>
              <w:top w:val="nil"/>
              <w:left w:val="nil"/>
              <w:bottom w:val="single" w:sz="4" w:space="0" w:color="auto"/>
              <w:right w:val="single" w:sz="4" w:space="0" w:color="auto"/>
            </w:tcBorders>
            <w:shd w:val="clear" w:color="000000" w:fill="FFFFFF"/>
            <w:noWrap/>
            <w:hideMark/>
          </w:tcPr>
          <w:p w14:paraId="5EDF9E7E" w14:textId="77777777" w:rsidR="000B66C8" w:rsidRPr="000B66C8" w:rsidRDefault="000B66C8" w:rsidP="000B66C8">
            <w:pPr>
              <w:jc w:val="right"/>
              <w:outlineLvl w:val="0"/>
              <w:rPr>
                <w:noProof/>
                <w:sz w:val="20"/>
                <w:szCs w:val="20"/>
              </w:rPr>
            </w:pPr>
            <w:bookmarkStart w:id="1106" w:name="_Toc223980710"/>
            <w:r w:rsidRPr="000B66C8">
              <w:rPr>
                <w:noProof/>
                <w:sz w:val="20"/>
                <w:szCs w:val="20"/>
              </w:rPr>
              <w:t>0.0</w:t>
            </w:r>
            <w:bookmarkEnd w:id="1106"/>
          </w:p>
        </w:tc>
        <w:tc>
          <w:tcPr>
            <w:tcW w:w="828" w:type="pct"/>
            <w:tcBorders>
              <w:top w:val="nil"/>
              <w:left w:val="nil"/>
              <w:bottom w:val="single" w:sz="4" w:space="0" w:color="auto"/>
              <w:right w:val="single" w:sz="4" w:space="0" w:color="auto"/>
            </w:tcBorders>
            <w:shd w:val="clear" w:color="000000" w:fill="FFFFFF"/>
            <w:noWrap/>
            <w:hideMark/>
          </w:tcPr>
          <w:p w14:paraId="43D0376B" w14:textId="77777777" w:rsidR="000B66C8" w:rsidRPr="000B66C8" w:rsidRDefault="000B66C8" w:rsidP="000B66C8">
            <w:pPr>
              <w:jc w:val="right"/>
              <w:outlineLvl w:val="0"/>
              <w:rPr>
                <w:noProof/>
                <w:sz w:val="20"/>
                <w:szCs w:val="20"/>
              </w:rPr>
            </w:pPr>
            <w:bookmarkStart w:id="1107" w:name="_Toc223980711"/>
            <w:r w:rsidRPr="000B66C8">
              <w:rPr>
                <w:noProof/>
                <w:sz w:val="20"/>
                <w:szCs w:val="20"/>
              </w:rPr>
              <w:t>0.0</w:t>
            </w:r>
            <w:bookmarkEnd w:id="1107"/>
          </w:p>
        </w:tc>
        <w:tc>
          <w:tcPr>
            <w:tcW w:w="828" w:type="pct"/>
            <w:tcBorders>
              <w:top w:val="nil"/>
              <w:left w:val="nil"/>
              <w:bottom w:val="single" w:sz="4" w:space="0" w:color="auto"/>
              <w:right w:val="single" w:sz="4" w:space="0" w:color="auto"/>
            </w:tcBorders>
            <w:shd w:val="clear" w:color="000000" w:fill="FFFFFF"/>
            <w:noWrap/>
            <w:hideMark/>
          </w:tcPr>
          <w:p w14:paraId="25EAD013" w14:textId="77777777" w:rsidR="000B66C8" w:rsidRPr="000B66C8" w:rsidRDefault="000B66C8" w:rsidP="000B66C8">
            <w:pPr>
              <w:jc w:val="right"/>
              <w:outlineLvl w:val="0"/>
              <w:rPr>
                <w:noProof/>
                <w:sz w:val="20"/>
                <w:szCs w:val="20"/>
              </w:rPr>
            </w:pPr>
            <w:bookmarkStart w:id="1108" w:name="_Toc223980712"/>
            <w:r w:rsidRPr="000B66C8">
              <w:rPr>
                <w:noProof/>
                <w:sz w:val="20"/>
                <w:szCs w:val="20"/>
              </w:rPr>
              <w:t>0.0</w:t>
            </w:r>
            <w:bookmarkEnd w:id="1108"/>
          </w:p>
        </w:tc>
      </w:tr>
      <w:tr w:rsidR="000B66C8" w:rsidRPr="008F6B42" w14:paraId="02C3E119"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13A6B6AD" w14:textId="77777777" w:rsidR="000B66C8" w:rsidRPr="008F6B42" w:rsidRDefault="000B66C8" w:rsidP="000B66C8">
            <w:pPr>
              <w:outlineLvl w:val="0"/>
              <w:rPr>
                <w:noProof/>
                <w:sz w:val="20"/>
                <w:szCs w:val="20"/>
              </w:rPr>
            </w:pPr>
            <w:r w:rsidRPr="008F6B42">
              <w:rPr>
                <w:noProof/>
                <w:sz w:val="20"/>
                <w:szCs w:val="20"/>
              </w:rPr>
              <w:t xml:space="preserve"> </w:t>
            </w:r>
            <w:bookmarkStart w:id="1109" w:name="_Toc223980713"/>
            <w:r w:rsidRPr="008F6B42">
              <w:rPr>
                <w:noProof/>
                <w:sz w:val="20"/>
                <w:szCs w:val="20"/>
              </w:rPr>
              <w:t>Romania</w:t>
            </w:r>
            <w:bookmarkEnd w:id="1109"/>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7DBABB3F" w14:textId="77777777" w:rsidR="000B66C8" w:rsidRPr="000B66C8" w:rsidRDefault="000B66C8" w:rsidP="000B66C8">
            <w:pPr>
              <w:jc w:val="right"/>
              <w:outlineLvl w:val="0"/>
              <w:rPr>
                <w:noProof/>
                <w:sz w:val="20"/>
                <w:szCs w:val="20"/>
              </w:rPr>
            </w:pPr>
            <w:bookmarkStart w:id="1110" w:name="_Toc223980714"/>
            <w:r w:rsidRPr="000B66C8">
              <w:rPr>
                <w:noProof/>
                <w:sz w:val="20"/>
                <w:szCs w:val="20"/>
              </w:rPr>
              <w:t>0.0</w:t>
            </w:r>
            <w:bookmarkEnd w:id="1110"/>
          </w:p>
        </w:tc>
        <w:tc>
          <w:tcPr>
            <w:tcW w:w="828" w:type="pct"/>
            <w:tcBorders>
              <w:top w:val="nil"/>
              <w:left w:val="nil"/>
              <w:bottom w:val="single" w:sz="4" w:space="0" w:color="auto"/>
              <w:right w:val="single" w:sz="4" w:space="0" w:color="auto"/>
            </w:tcBorders>
            <w:shd w:val="clear" w:color="000000" w:fill="FFFFFF"/>
            <w:noWrap/>
            <w:hideMark/>
          </w:tcPr>
          <w:p w14:paraId="7FAE6D1F" w14:textId="77777777" w:rsidR="000B66C8" w:rsidRPr="000B66C8" w:rsidRDefault="000B66C8" w:rsidP="000B66C8">
            <w:pPr>
              <w:jc w:val="right"/>
              <w:outlineLvl w:val="0"/>
              <w:rPr>
                <w:noProof/>
                <w:sz w:val="20"/>
                <w:szCs w:val="20"/>
              </w:rPr>
            </w:pPr>
            <w:bookmarkStart w:id="1111" w:name="_Toc223980715"/>
            <w:r w:rsidRPr="000B66C8">
              <w:rPr>
                <w:noProof/>
                <w:sz w:val="20"/>
                <w:szCs w:val="20"/>
              </w:rPr>
              <w:t>0.0</w:t>
            </w:r>
            <w:bookmarkEnd w:id="1111"/>
          </w:p>
        </w:tc>
        <w:tc>
          <w:tcPr>
            <w:tcW w:w="828" w:type="pct"/>
            <w:tcBorders>
              <w:top w:val="nil"/>
              <w:left w:val="nil"/>
              <w:bottom w:val="single" w:sz="4" w:space="0" w:color="auto"/>
              <w:right w:val="single" w:sz="4" w:space="0" w:color="auto"/>
            </w:tcBorders>
            <w:shd w:val="clear" w:color="000000" w:fill="FFFFFF"/>
            <w:noWrap/>
            <w:hideMark/>
          </w:tcPr>
          <w:p w14:paraId="619D4D99" w14:textId="77777777" w:rsidR="000B66C8" w:rsidRPr="000B66C8" w:rsidRDefault="000B66C8" w:rsidP="000B66C8">
            <w:pPr>
              <w:jc w:val="right"/>
              <w:outlineLvl w:val="0"/>
              <w:rPr>
                <w:noProof/>
                <w:sz w:val="20"/>
                <w:szCs w:val="20"/>
              </w:rPr>
            </w:pPr>
            <w:bookmarkStart w:id="1112" w:name="_Toc223980716"/>
            <w:r w:rsidRPr="000B66C8">
              <w:rPr>
                <w:noProof/>
                <w:sz w:val="20"/>
                <w:szCs w:val="20"/>
              </w:rPr>
              <w:t>0.0</w:t>
            </w:r>
            <w:bookmarkEnd w:id="1112"/>
          </w:p>
        </w:tc>
        <w:tc>
          <w:tcPr>
            <w:tcW w:w="828" w:type="pct"/>
            <w:tcBorders>
              <w:top w:val="nil"/>
              <w:left w:val="nil"/>
              <w:bottom w:val="single" w:sz="4" w:space="0" w:color="auto"/>
              <w:right w:val="single" w:sz="4" w:space="0" w:color="auto"/>
            </w:tcBorders>
            <w:shd w:val="clear" w:color="000000" w:fill="FFFFFF"/>
            <w:noWrap/>
            <w:hideMark/>
          </w:tcPr>
          <w:p w14:paraId="6AB6D2DA" w14:textId="77777777" w:rsidR="000B66C8" w:rsidRPr="000B66C8" w:rsidRDefault="000B66C8" w:rsidP="000B66C8">
            <w:pPr>
              <w:jc w:val="right"/>
              <w:outlineLvl w:val="0"/>
              <w:rPr>
                <w:noProof/>
                <w:sz w:val="20"/>
                <w:szCs w:val="20"/>
              </w:rPr>
            </w:pPr>
            <w:bookmarkStart w:id="1113" w:name="_Toc223980717"/>
            <w:r w:rsidRPr="000B66C8">
              <w:rPr>
                <w:noProof/>
                <w:sz w:val="20"/>
                <w:szCs w:val="20"/>
              </w:rPr>
              <w:t>0.0</w:t>
            </w:r>
            <w:bookmarkEnd w:id="1113"/>
          </w:p>
        </w:tc>
      </w:tr>
      <w:tr w:rsidR="000B66C8" w:rsidRPr="008F6B42" w14:paraId="17E3A39A"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2F9F1EC6" w14:textId="77777777" w:rsidR="000B66C8" w:rsidRPr="008F6B42" w:rsidRDefault="000B66C8" w:rsidP="000B66C8">
            <w:pPr>
              <w:outlineLvl w:val="0"/>
              <w:rPr>
                <w:noProof/>
                <w:sz w:val="20"/>
                <w:szCs w:val="20"/>
              </w:rPr>
            </w:pPr>
            <w:r w:rsidRPr="008F6B42">
              <w:rPr>
                <w:noProof/>
                <w:sz w:val="20"/>
                <w:szCs w:val="20"/>
              </w:rPr>
              <w:t xml:space="preserve"> </w:t>
            </w:r>
            <w:bookmarkStart w:id="1114" w:name="_Toc223980718"/>
            <w:r w:rsidRPr="008F6B42">
              <w:rPr>
                <w:noProof/>
                <w:sz w:val="20"/>
                <w:szCs w:val="20"/>
              </w:rPr>
              <w:t>Slovakia</w:t>
            </w:r>
            <w:bookmarkEnd w:id="1114"/>
            <w:r w:rsidRPr="008F6B42">
              <w:rPr>
                <w:noProof/>
                <w:sz w:val="20"/>
                <w:szCs w:val="20"/>
              </w:rPr>
              <w:t xml:space="preserve"> </w:t>
            </w:r>
          </w:p>
        </w:tc>
        <w:tc>
          <w:tcPr>
            <w:tcW w:w="828" w:type="pct"/>
            <w:tcBorders>
              <w:top w:val="nil"/>
              <w:left w:val="nil"/>
              <w:bottom w:val="single" w:sz="4" w:space="0" w:color="auto"/>
              <w:right w:val="single" w:sz="4" w:space="0" w:color="auto"/>
            </w:tcBorders>
            <w:shd w:val="clear" w:color="000000" w:fill="FFFFFF"/>
            <w:noWrap/>
            <w:hideMark/>
          </w:tcPr>
          <w:p w14:paraId="066C6F99" w14:textId="14C9572F" w:rsidR="000B66C8" w:rsidRPr="000B66C8" w:rsidRDefault="000B66C8" w:rsidP="000B66C8">
            <w:pPr>
              <w:jc w:val="right"/>
              <w:outlineLvl w:val="0"/>
              <w:rPr>
                <w:noProof/>
                <w:sz w:val="20"/>
                <w:szCs w:val="20"/>
              </w:rPr>
            </w:pPr>
            <w:bookmarkStart w:id="1115" w:name="_Toc223980719"/>
            <w:r w:rsidRPr="000B66C8">
              <w:rPr>
                <w:noProof/>
                <w:sz w:val="20"/>
                <w:szCs w:val="20"/>
              </w:rPr>
              <w:t>25.5</w:t>
            </w:r>
            <w:bookmarkEnd w:id="1115"/>
          </w:p>
        </w:tc>
        <w:tc>
          <w:tcPr>
            <w:tcW w:w="828" w:type="pct"/>
            <w:tcBorders>
              <w:top w:val="nil"/>
              <w:left w:val="nil"/>
              <w:bottom w:val="single" w:sz="4" w:space="0" w:color="auto"/>
              <w:right w:val="single" w:sz="4" w:space="0" w:color="auto"/>
            </w:tcBorders>
            <w:shd w:val="clear" w:color="000000" w:fill="FFFFFF"/>
            <w:noWrap/>
            <w:hideMark/>
          </w:tcPr>
          <w:p w14:paraId="0901E6A6" w14:textId="0B2252E3" w:rsidR="000B66C8" w:rsidRPr="000B66C8" w:rsidRDefault="000B66C8" w:rsidP="000B66C8">
            <w:pPr>
              <w:jc w:val="right"/>
              <w:outlineLvl w:val="0"/>
              <w:rPr>
                <w:noProof/>
                <w:sz w:val="20"/>
                <w:szCs w:val="20"/>
              </w:rPr>
            </w:pPr>
            <w:bookmarkStart w:id="1116" w:name="_Toc223980720"/>
            <w:r w:rsidRPr="000B66C8">
              <w:rPr>
                <w:noProof/>
                <w:sz w:val="20"/>
                <w:szCs w:val="20"/>
              </w:rPr>
              <w:t>3.9</w:t>
            </w:r>
            <w:bookmarkEnd w:id="1116"/>
          </w:p>
        </w:tc>
        <w:tc>
          <w:tcPr>
            <w:tcW w:w="828" w:type="pct"/>
            <w:tcBorders>
              <w:top w:val="nil"/>
              <w:left w:val="nil"/>
              <w:bottom w:val="single" w:sz="4" w:space="0" w:color="auto"/>
              <w:right w:val="single" w:sz="4" w:space="0" w:color="auto"/>
            </w:tcBorders>
            <w:shd w:val="clear" w:color="000000" w:fill="FFFFFF"/>
            <w:noWrap/>
            <w:hideMark/>
          </w:tcPr>
          <w:p w14:paraId="28FA2C46" w14:textId="3ED27368" w:rsidR="000B66C8" w:rsidRPr="000B66C8" w:rsidRDefault="000B66C8" w:rsidP="000B66C8">
            <w:pPr>
              <w:jc w:val="right"/>
              <w:outlineLvl w:val="0"/>
              <w:rPr>
                <w:noProof/>
                <w:sz w:val="20"/>
                <w:szCs w:val="20"/>
              </w:rPr>
            </w:pPr>
            <w:bookmarkStart w:id="1117" w:name="_Toc223980721"/>
            <w:r w:rsidRPr="000B66C8">
              <w:rPr>
                <w:noProof/>
                <w:sz w:val="20"/>
                <w:szCs w:val="20"/>
              </w:rPr>
              <w:t>6.3</w:t>
            </w:r>
            <w:bookmarkEnd w:id="1117"/>
          </w:p>
        </w:tc>
        <w:tc>
          <w:tcPr>
            <w:tcW w:w="828" w:type="pct"/>
            <w:tcBorders>
              <w:top w:val="nil"/>
              <w:left w:val="nil"/>
              <w:bottom w:val="single" w:sz="4" w:space="0" w:color="auto"/>
              <w:right w:val="single" w:sz="4" w:space="0" w:color="auto"/>
            </w:tcBorders>
            <w:shd w:val="clear" w:color="000000" w:fill="FFFFFF"/>
            <w:noWrap/>
            <w:hideMark/>
          </w:tcPr>
          <w:p w14:paraId="2081353A" w14:textId="2AA22550" w:rsidR="000B66C8" w:rsidRPr="000B66C8" w:rsidRDefault="000B66C8" w:rsidP="000B66C8">
            <w:pPr>
              <w:jc w:val="right"/>
              <w:outlineLvl w:val="0"/>
              <w:rPr>
                <w:noProof/>
                <w:sz w:val="20"/>
                <w:szCs w:val="20"/>
              </w:rPr>
            </w:pPr>
            <w:bookmarkStart w:id="1118" w:name="_Toc223980722"/>
            <w:r w:rsidRPr="000B66C8">
              <w:rPr>
                <w:noProof/>
                <w:sz w:val="20"/>
                <w:szCs w:val="20"/>
              </w:rPr>
              <w:t>4.5</w:t>
            </w:r>
            <w:bookmarkEnd w:id="1118"/>
          </w:p>
        </w:tc>
      </w:tr>
      <w:tr w:rsidR="000B66C8" w:rsidRPr="008F6B42" w14:paraId="09306EE8" w14:textId="77777777" w:rsidTr="00E12170">
        <w:trPr>
          <w:trHeight w:val="225"/>
        </w:trPr>
        <w:tc>
          <w:tcPr>
            <w:tcW w:w="1687" w:type="pct"/>
            <w:tcBorders>
              <w:top w:val="nil"/>
              <w:left w:val="single" w:sz="4" w:space="0" w:color="auto"/>
              <w:bottom w:val="single" w:sz="4" w:space="0" w:color="auto"/>
              <w:right w:val="single" w:sz="4" w:space="0" w:color="auto"/>
            </w:tcBorders>
            <w:shd w:val="clear" w:color="000000" w:fill="FFFFFF"/>
            <w:noWrap/>
            <w:hideMark/>
          </w:tcPr>
          <w:p w14:paraId="130800E6" w14:textId="0E24DC82" w:rsidR="000B66C8" w:rsidRPr="008F6B42" w:rsidRDefault="000B66C8" w:rsidP="000B66C8">
            <w:pPr>
              <w:rPr>
                <w:b/>
                <w:bCs/>
                <w:noProof/>
                <w:sz w:val="20"/>
                <w:szCs w:val="20"/>
              </w:rPr>
            </w:pPr>
            <w:r w:rsidRPr="008F6B42">
              <w:rPr>
                <w:b/>
                <w:bCs/>
                <w:noProof/>
                <w:sz w:val="20"/>
                <w:szCs w:val="20"/>
              </w:rPr>
              <w:t xml:space="preserve"> Total </w:t>
            </w:r>
          </w:p>
        </w:tc>
        <w:tc>
          <w:tcPr>
            <w:tcW w:w="828" w:type="pct"/>
            <w:tcBorders>
              <w:top w:val="nil"/>
              <w:left w:val="nil"/>
              <w:bottom w:val="single" w:sz="4" w:space="0" w:color="auto"/>
              <w:right w:val="single" w:sz="4" w:space="0" w:color="auto"/>
            </w:tcBorders>
            <w:shd w:val="clear" w:color="000000" w:fill="FFFFFF"/>
            <w:noWrap/>
            <w:hideMark/>
          </w:tcPr>
          <w:p w14:paraId="351722A4" w14:textId="297E414F" w:rsidR="000B66C8" w:rsidRPr="000B66C8" w:rsidRDefault="000B66C8" w:rsidP="000B66C8">
            <w:pPr>
              <w:jc w:val="right"/>
              <w:rPr>
                <w:b/>
                <w:bCs/>
                <w:noProof/>
                <w:sz w:val="20"/>
                <w:szCs w:val="20"/>
              </w:rPr>
            </w:pPr>
            <w:r w:rsidRPr="000B66C8">
              <w:rPr>
                <w:b/>
                <w:bCs/>
                <w:noProof/>
                <w:sz w:val="20"/>
                <w:szCs w:val="20"/>
              </w:rPr>
              <w:t>2,554.1</w:t>
            </w:r>
          </w:p>
        </w:tc>
        <w:tc>
          <w:tcPr>
            <w:tcW w:w="828" w:type="pct"/>
            <w:tcBorders>
              <w:top w:val="nil"/>
              <w:left w:val="nil"/>
              <w:bottom w:val="single" w:sz="4" w:space="0" w:color="auto"/>
              <w:right w:val="single" w:sz="4" w:space="0" w:color="auto"/>
            </w:tcBorders>
            <w:shd w:val="clear" w:color="000000" w:fill="FFFFFF"/>
            <w:noWrap/>
            <w:hideMark/>
          </w:tcPr>
          <w:p w14:paraId="5398B210" w14:textId="6B9C45F8" w:rsidR="000B66C8" w:rsidRPr="000B66C8" w:rsidRDefault="000B66C8" w:rsidP="000B66C8">
            <w:pPr>
              <w:jc w:val="right"/>
              <w:rPr>
                <w:b/>
                <w:bCs/>
                <w:noProof/>
                <w:sz w:val="20"/>
                <w:szCs w:val="20"/>
              </w:rPr>
            </w:pPr>
            <w:r w:rsidRPr="000B66C8">
              <w:rPr>
                <w:b/>
                <w:bCs/>
                <w:noProof/>
                <w:sz w:val="20"/>
                <w:szCs w:val="20"/>
              </w:rPr>
              <w:t>392.8</w:t>
            </w:r>
          </w:p>
        </w:tc>
        <w:tc>
          <w:tcPr>
            <w:tcW w:w="828" w:type="pct"/>
            <w:tcBorders>
              <w:top w:val="nil"/>
              <w:left w:val="nil"/>
              <w:bottom w:val="single" w:sz="4" w:space="0" w:color="auto"/>
              <w:right w:val="single" w:sz="4" w:space="0" w:color="auto"/>
            </w:tcBorders>
            <w:shd w:val="clear" w:color="000000" w:fill="FFFFFF"/>
            <w:noWrap/>
            <w:hideMark/>
          </w:tcPr>
          <w:p w14:paraId="23F3EA67" w14:textId="653525DD" w:rsidR="000B66C8" w:rsidRPr="000B66C8" w:rsidRDefault="000B66C8" w:rsidP="000B66C8">
            <w:pPr>
              <w:jc w:val="right"/>
              <w:rPr>
                <w:b/>
                <w:bCs/>
                <w:noProof/>
                <w:sz w:val="20"/>
                <w:szCs w:val="20"/>
              </w:rPr>
            </w:pPr>
            <w:r w:rsidRPr="000B66C8">
              <w:rPr>
                <w:b/>
                <w:bCs/>
                <w:noProof/>
                <w:sz w:val="20"/>
                <w:szCs w:val="20"/>
              </w:rPr>
              <w:t>629.8</w:t>
            </w:r>
          </w:p>
        </w:tc>
        <w:tc>
          <w:tcPr>
            <w:tcW w:w="828" w:type="pct"/>
            <w:tcBorders>
              <w:top w:val="nil"/>
              <w:left w:val="nil"/>
              <w:bottom w:val="single" w:sz="4" w:space="0" w:color="auto"/>
              <w:right w:val="single" w:sz="4" w:space="0" w:color="auto"/>
            </w:tcBorders>
            <w:shd w:val="clear" w:color="000000" w:fill="FFFFFF"/>
            <w:noWrap/>
            <w:hideMark/>
          </w:tcPr>
          <w:p w14:paraId="5F743C0C" w14:textId="42FA8958" w:rsidR="000B66C8" w:rsidRPr="000B66C8" w:rsidRDefault="000B66C8" w:rsidP="000B66C8">
            <w:pPr>
              <w:jc w:val="right"/>
              <w:rPr>
                <w:b/>
                <w:bCs/>
                <w:noProof/>
                <w:sz w:val="20"/>
                <w:szCs w:val="20"/>
              </w:rPr>
            </w:pPr>
            <w:r w:rsidRPr="000B66C8">
              <w:rPr>
                <w:b/>
                <w:bCs/>
                <w:noProof/>
                <w:sz w:val="20"/>
                <w:szCs w:val="20"/>
              </w:rPr>
              <w:t>451.8</w:t>
            </w:r>
          </w:p>
        </w:tc>
      </w:tr>
    </w:tbl>
    <w:p w14:paraId="0C81D308" w14:textId="77777777" w:rsidR="002303A3" w:rsidRPr="00D71008" w:rsidRDefault="002303A3" w:rsidP="002303A3">
      <w:pPr>
        <w:tabs>
          <w:tab w:val="left" w:pos="2302"/>
        </w:tabs>
        <w:spacing w:after="240"/>
        <w:jc w:val="both"/>
        <w:rPr>
          <w:i/>
          <w:iCs/>
          <w:noProof/>
          <w:sz w:val="20"/>
          <w:szCs w:val="20"/>
        </w:rPr>
      </w:pPr>
      <w:r w:rsidRPr="008F6B42">
        <w:rPr>
          <w:i/>
          <w:noProof/>
          <w:spacing w:val="-8"/>
          <w:sz w:val="20"/>
          <w:szCs w:val="20"/>
        </w:rPr>
        <w:t xml:space="preserve">Source: </w:t>
      </w:r>
      <w:r w:rsidRPr="008F6B42">
        <w:rPr>
          <w:i/>
          <w:noProof/>
          <w:sz w:val="20"/>
          <w:szCs w:val="20"/>
        </w:rPr>
        <w:t>Ricardo et al. (2026), Impact assessment support study</w:t>
      </w:r>
    </w:p>
    <w:p w14:paraId="393AAB97" w14:textId="72EF0711" w:rsidR="0059745C" w:rsidRPr="007670B7" w:rsidRDefault="0059745C" w:rsidP="0059745C">
      <w:pPr>
        <w:pStyle w:val="Text4"/>
        <w:spacing w:before="0" w:after="240"/>
        <w:ind w:left="0"/>
        <w:rPr>
          <w:rFonts w:ascii="Times New Roman" w:eastAsia="Calibri" w:hAnsi="Times New Roman"/>
          <w:noProof/>
          <w:spacing w:val="-8"/>
          <w:sz w:val="24"/>
          <w:szCs w:val="24"/>
        </w:rPr>
      </w:pPr>
      <w:r w:rsidRPr="007670B7">
        <w:rPr>
          <w:rFonts w:ascii="Times New Roman" w:eastAsia="Calibri" w:hAnsi="Times New Roman"/>
          <w:noProof/>
          <w:spacing w:val="-8"/>
          <w:sz w:val="24"/>
          <w:szCs w:val="24"/>
        </w:rPr>
        <w:t>Expressed as present value over 2028-2050 relative to the baseline, the total one-off and recurrent adjustment costs due to PM</w:t>
      </w:r>
      <w:r>
        <w:rPr>
          <w:rFonts w:ascii="Times New Roman" w:eastAsia="Calibri" w:hAnsi="Times New Roman"/>
          <w:noProof/>
          <w:spacing w:val="-8"/>
          <w:sz w:val="24"/>
          <w:szCs w:val="24"/>
        </w:rPr>
        <w:t>2</w:t>
      </w:r>
      <w:r w:rsidRPr="007670B7">
        <w:rPr>
          <w:rFonts w:ascii="Times New Roman" w:eastAsia="Calibri" w:hAnsi="Times New Roman"/>
          <w:noProof/>
          <w:spacing w:val="-8"/>
          <w:sz w:val="24"/>
          <w:szCs w:val="24"/>
        </w:rPr>
        <w:t xml:space="preserve"> for </w:t>
      </w:r>
      <w:r w:rsidR="00DC158C">
        <w:rPr>
          <w:rFonts w:ascii="Times New Roman" w:eastAsia="Calibri" w:hAnsi="Times New Roman"/>
          <w:noProof/>
          <w:spacing w:val="-8"/>
          <w:sz w:val="24"/>
          <w:szCs w:val="24"/>
        </w:rPr>
        <w:t>non-SME</w:t>
      </w:r>
      <w:r w:rsidRPr="007670B7">
        <w:rPr>
          <w:rFonts w:ascii="Times New Roman" w:eastAsia="Calibri" w:hAnsi="Times New Roman"/>
          <w:noProof/>
          <w:spacing w:val="-8"/>
          <w:sz w:val="24"/>
          <w:szCs w:val="24"/>
        </w:rPr>
        <w:t xml:space="preserve"> B2B and B2C MDMS platforms </w:t>
      </w:r>
      <w:r>
        <w:rPr>
          <w:rFonts w:ascii="Times New Roman" w:eastAsia="Calibri" w:hAnsi="Times New Roman"/>
          <w:noProof/>
          <w:spacing w:val="-8"/>
          <w:sz w:val="24"/>
          <w:szCs w:val="24"/>
        </w:rPr>
        <w:t xml:space="preserve">(excluding CRS platforms) </w:t>
      </w:r>
      <w:r w:rsidRPr="007670B7">
        <w:rPr>
          <w:rFonts w:ascii="Times New Roman" w:eastAsia="Calibri" w:hAnsi="Times New Roman"/>
          <w:noProof/>
          <w:spacing w:val="-8"/>
          <w:sz w:val="24"/>
          <w:szCs w:val="24"/>
        </w:rPr>
        <w:t>are provided in the table below</w:t>
      </w:r>
      <w:r>
        <w:rPr>
          <w:rFonts w:ascii="Times New Roman" w:eastAsia="Calibri" w:hAnsi="Times New Roman"/>
          <w:noProof/>
          <w:spacing w:val="-8"/>
          <w:sz w:val="24"/>
          <w:szCs w:val="24"/>
        </w:rPr>
        <w:t>,</w:t>
      </w:r>
      <w:r w:rsidRPr="007670B7">
        <w:rPr>
          <w:rFonts w:ascii="Times New Roman" w:eastAsia="Calibri" w:hAnsi="Times New Roman"/>
          <w:noProof/>
          <w:spacing w:val="-8"/>
          <w:sz w:val="24"/>
          <w:szCs w:val="24"/>
        </w:rPr>
        <w:t xml:space="preserve"> by policy option.</w:t>
      </w:r>
    </w:p>
    <w:p w14:paraId="1AD58F0F" w14:textId="6253DC7D" w:rsidR="0059745C" w:rsidRPr="00383DBF" w:rsidRDefault="0059745C" w:rsidP="00383DBF">
      <w:pPr>
        <w:keepNext/>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78</w:t>
      </w:r>
      <w:r w:rsidRPr="00383DBF">
        <w:rPr>
          <w:i/>
          <w:noProof/>
          <w:sz w:val="22"/>
          <w:szCs w:val="22"/>
        </w:rPr>
        <w:fldChar w:fldCharType="end"/>
      </w:r>
      <w:r w:rsidRPr="00383DBF">
        <w:rPr>
          <w:i/>
          <w:noProof/>
          <w:sz w:val="22"/>
          <w:szCs w:val="22"/>
        </w:rPr>
        <w:t xml:space="preserve">: One-off and recurrent adjustment costs for </w:t>
      </w:r>
      <w:r w:rsidR="00DC158C">
        <w:rPr>
          <w:i/>
          <w:noProof/>
          <w:sz w:val="22"/>
          <w:szCs w:val="22"/>
        </w:rPr>
        <w:t>non-SME</w:t>
      </w:r>
      <w:r w:rsidRPr="00383DBF">
        <w:rPr>
          <w:i/>
          <w:noProof/>
          <w:sz w:val="22"/>
          <w:szCs w:val="22"/>
        </w:rPr>
        <w:t xml:space="preserve"> MDMS platforms (B2B and B2C, excluding CRS platforms) due to PM</w:t>
      </w:r>
      <w:r w:rsidR="00F13031" w:rsidRPr="00383DBF">
        <w:rPr>
          <w:i/>
          <w:noProof/>
          <w:sz w:val="22"/>
          <w:szCs w:val="22"/>
        </w:rPr>
        <w:t>2</w:t>
      </w:r>
      <w:r w:rsidRPr="00383DBF">
        <w:rPr>
          <w:i/>
          <w:noProof/>
          <w:sz w:val="22"/>
          <w:szCs w:val="22"/>
        </w:rPr>
        <w:t xml:space="preserve"> in the policy options, expressed as present value over 2028-2050 relative to the baseline (in </w:t>
      </w:r>
      <w:r w:rsidR="008F60F8" w:rsidRPr="00383DBF">
        <w:rPr>
          <w:i/>
          <w:noProof/>
          <w:sz w:val="22"/>
          <w:szCs w:val="22"/>
        </w:rPr>
        <w:t xml:space="preserve">million EUR, </w:t>
      </w:r>
      <w:r w:rsidRPr="00383DBF">
        <w:rPr>
          <w:i/>
          <w:noProof/>
          <w:sz w:val="22"/>
          <w:szCs w:val="22"/>
        </w:rPr>
        <w:t>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1690"/>
        <w:gridCol w:w="1690"/>
        <w:gridCol w:w="1690"/>
        <w:gridCol w:w="1690"/>
      </w:tblGrid>
      <w:tr w:rsidR="00266057" w:rsidRPr="00266057" w14:paraId="22BBCE71" w14:textId="77777777" w:rsidTr="00D9694F">
        <w:trPr>
          <w:trHeight w:val="282"/>
          <w:tblHeader/>
        </w:trPr>
        <w:tc>
          <w:tcPr>
            <w:tcW w:w="1480" w:type="pct"/>
            <w:vMerge w:val="restart"/>
            <w:shd w:val="clear" w:color="000000" w:fill="0070C0"/>
          </w:tcPr>
          <w:p w14:paraId="574EF376" w14:textId="77777777" w:rsidR="00266057" w:rsidRPr="0079765B" w:rsidRDefault="00266057" w:rsidP="00383DBF">
            <w:pPr>
              <w:pStyle w:val="BodyText"/>
              <w:keepNext/>
              <w:rPr>
                <w:b/>
                <w:noProof/>
                <w:sz w:val="20"/>
                <w:szCs w:val="20"/>
                <w:lang w:eastAsia="en-IE"/>
              </w:rPr>
            </w:pPr>
          </w:p>
        </w:tc>
        <w:tc>
          <w:tcPr>
            <w:tcW w:w="3520" w:type="pct"/>
            <w:gridSpan w:val="4"/>
            <w:shd w:val="clear" w:color="000000" w:fill="0070C0"/>
            <w:hideMark/>
          </w:tcPr>
          <w:p w14:paraId="0ADEDC73" w14:textId="0913D712" w:rsidR="00266057" w:rsidRPr="0079765B" w:rsidRDefault="00266057" w:rsidP="00383DBF">
            <w:pPr>
              <w:pStyle w:val="BodyText"/>
              <w:keepNext/>
              <w:rPr>
                <w:b/>
                <w:noProof/>
                <w:color w:val="FFFFFF" w:themeColor="background1"/>
                <w:sz w:val="20"/>
                <w:szCs w:val="20"/>
                <w:lang w:eastAsia="en-IE"/>
              </w:rPr>
            </w:pPr>
            <w:r w:rsidRPr="0079765B">
              <w:rPr>
                <w:b/>
                <w:noProof/>
                <w:color w:val="FFFFFF" w:themeColor="background1"/>
                <w:sz w:val="20"/>
                <w:szCs w:val="20"/>
                <w:lang w:eastAsia="en-IE"/>
              </w:rPr>
              <w:t>Difference to baseline</w:t>
            </w:r>
          </w:p>
        </w:tc>
      </w:tr>
      <w:tr w:rsidR="00266057" w:rsidRPr="00266057" w14:paraId="1E7F5113" w14:textId="77777777" w:rsidTr="00D9694F">
        <w:trPr>
          <w:trHeight w:val="282"/>
          <w:tblHeader/>
        </w:trPr>
        <w:tc>
          <w:tcPr>
            <w:tcW w:w="1480" w:type="pct"/>
            <w:vMerge/>
            <w:shd w:val="clear" w:color="000000" w:fill="0070C0"/>
            <w:noWrap/>
          </w:tcPr>
          <w:p w14:paraId="19EB9467" w14:textId="77777777" w:rsidR="00266057" w:rsidRPr="0079765B" w:rsidRDefault="00266057" w:rsidP="00657B12">
            <w:pPr>
              <w:pStyle w:val="BodyText"/>
              <w:rPr>
                <w:b/>
                <w:noProof/>
                <w:sz w:val="20"/>
                <w:szCs w:val="20"/>
                <w:lang w:eastAsia="en-IE"/>
              </w:rPr>
            </w:pPr>
          </w:p>
        </w:tc>
        <w:tc>
          <w:tcPr>
            <w:tcW w:w="880" w:type="pct"/>
            <w:shd w:val="clear" w:color="000000" w:fill="0070C0"/>
            <w:hideMark/>
          </w:tcPr>
          <w:p w14:paraId="7DA8F49A" w14:textId="77777777" w:rsidR="00266057" w:rsidRPr="0079765B" w:rsidRDefault="00266057" w:rsidP="005704BA">
            <w:pPr>
              <w:pStyle w:val="BodyText"/>
              <w:ind w:left="0"/>
              <w:jc w:val="center"/>
              <w:rPr>
                <w:b/>
                <w:noProof/>
                <w:sz w:val="20"/>
                <w:szCs w:val="20"/>
                <w:lang w:eastAsia="en-IE"/>
              </w:rPr>
            </w:pPr>
            <w:r w:rsidRPr="0079765B">
              <w:rPr>
                <w:b/>
                <w:noProof/>
                <w:color w:val="FFFFFF" w:themeColor="background1"/>
                <w:sz w:val="20"/>
                <w:szCs w:val="20"/>
                <w:lang w:eastAsia="en-IE"/>
              </w:rPr>
              <w:t>PO1</w:t>
            </w:r>
          </w:p>
        </w:tc>
        <w:tc>
          <w:tcPr>
            <w:tcW w:w="880" w:type="pct"/>
            <w:shd w:val="clear" w:color="000000" w:fill="0070C0"/>
            <w:hideMark/>
          </w:tcPr>
          <w:p w14:paraId="55BCB932" w14:textId="77777777" w:rsidR="00266057" w:rsidRPr="0079765B" w:rsidRDefault="00266057" w:rsidP="005704BA">
            <w:pPr>
              <w:pStyle w:val="BodyText"/>
              <w:ind w:left="0"/>
              <w:jc w:val="center"/>
              <w:rPr>
                <w:b/>
                <w:noProof/>
                <w:color w:val="FFFFFF" w:themeColor="background1"/>
                <w:sz w:val="20"/>
                <w:szCs w:val="20"/>
                <w:lang w:eastAsia="en-IE"/>
              </w:rPr>
            </w:pPr>
            <w:r w:rsidRPr="0079765B">
              <w:rPr>
                <w:b/>
                <w:noProof/>
                <w:color w:val="FFFFFF" w:themeColor="background1"/>
                <w:sz w:val="20"/>
                <w:szCs w:val="20"/>
                <w:lang w:eastAsia="en-IE"/>
              </w:rPr>
              <w:t>PO2</w:t>
            </w:r>
          </w:p>
        </w:tc>
        <w:tc>
          <w:tcPr>
            <w:tcW w:w="880" w:type="pct"/>
            <w:shd w:val="clear" w:color="000000" w:fill="0070C0"/>
            <w:hideMark/>
          </w:tcPr>
          <w:p w14:paraId="441999BE" w14:textId="77777777" w:rsidR="00266057" w:rsidRPr="0079765B" w:rsidRDefault="00266057" w:rsidP="005704BA">
            <w:pPr>
              <w:pStyle w:val="BodyText"/>
              <w:ind w:left="0"/>
              <w:jc w:val="center"/>
              <w:rPr>
                <w:b/>
                <w:noProof/>
                <w:color w:val="FFFFFF" w:themeColor="background1"/>
                <w:sz w:val="20"/>
                <w:szCs w:val="20"/>
                <w:lang w:eastAsia="en-IE"/>
              </w:rPr>
            </w:pPr>
            <w:r w:rsidRPr="0079765B">
              <w:rPr>
                <w:b/>
                <w:noProof/>
                <w:color w:val="FFFFFF" w:themeColor="background1"/>
                <w:sz w:val="20"/>
                <w:szCs w:val="20"/>
                <w:lang w:eastAsia="en-IE"/>
              </w:rPr>
              <w:t>PO3</w:t>
            </w:r>
          </w:p>
        </w:tc>
        <w:tc>
          <w:tcPr>
            <w:tcW w:w="880" w:type="pct"/>
            <w:shd w:val="clear" w:color="000000" w:fill="0070C0"/>
            <w:hideMark/>
          </w:tcPr>
          <w:p w14:paraId="252BDB0D" w14:textId="77777777" w:rsidR="00266057" w:rsidRPr="0079765B" w:rsidRDefault="00266057" w:rsidP="005704BA">
            <w:pPr>
              <w:pStyle w:val="BodyText"/>
              <w:ind w:left="0"/>
              <w:jc w:val="center"/>
              <w:rPr>
                <w:b/>
                <w:noProof/>
                <w:color w:val="FFFFFF" w:themeColor="background1"/>
                <w:sz w:val="20"/>
                <w:szCs w:val="20"/>
                <w:lang w:eastAsia="en-IE"/>
              </w:rPr>
            </w:pPr>
            <w:r w:rsidRPr="0079765B">
              <w:rPr>
                <w:b/>
                <w:noProof/>
                <w:color w:val="FFFFFF" w:themeColor="background1"/>
                <w:sz w:val="20"/>
                <w:szCs w:val="20"/>
                <w:lang w:eastAsia="en-IE"/>
              </w:rPr>
              <w:t>PO4</w:t>
            </w:r>
          </w:p>
        </w:tc>
      </w:tr>
      <w:tr w:rsidR="006B69B1" w:rsidRPr="00266057" w14:paraId="231EE3B0" w14:textId="77777777" w:rsidTr="0079765B">
        <w:trPr>
          <w:trHeight w:val="282"/>
        </w:trPr>
        <w:tc>
          <w:tcPr>
            <w:tcW w:w="1480" w:type="pct"/>
            <w:shd w:val="clear" w:color="000000" w:fill="FFFFFF"/>
            <w:hideMark/>
          </w:tcPr>
          <w:p w14:paraId="15560718" w14:textId="77777777" w:rsidR="006B69B1" w:rsidRPr="0079765B" w:rsidRDefault="006B69B1" w:rsidP="006B69B1">
            <w:pPr>
              <w:pStyle w:val="BodyText"/>
              <w:ind w:left="0"/>
              <w:rPr>
                <w:noProof/>
                <w:color w:val="000000"/>
                <w:sz w:val="20"/>
                <w:szCs w:val="20"/>
                <w:lang w:eastAsia="en-IE"/>
              </w:rPr>
            </w:pPr>
            <w:r w:rsidRPr="0079765B">
              <w:rPr>
                <w:noProof/>
                <w:color w:val="000000"/>
                <w:sz w:val="20"/>
                <w:szCs w:val="20"/>
                <w:lang w:eastAsia="en-IE"/>
              </w:rPr>
              <w:t>Total adjustment costs</w:t>
            </w:r>
          </w:p>
        </w:tc>
        <w:tc>
          <w:tcPr>
            <w:tcW w:w="880" w:type="pct"/>
            <w:shd w:val="clear" w:color="000000" w:fill="FFFFFF"/>
            <w:noWrap/>
            <w:hideMark/>
          </w:tcPr>
          <w:p w14:paraId="205AD83F" w14:textId="38DE5243" w:rsidR="006B69B1" w:rsidRPr="0079765B" w:rsidRDefault="006B69B1" w:rsidP="006B69B1">
            <w:pPr>
              <w:pStyle w:val="BodyText"/>
              <w:ind w:left="0"/>
              <w:jc w:val="right"/>
              <w:rPr>
                <w:noProof/>
                <w:color w:val="000000"/>
                <w:sz w:val="20"/>
                <w:szCs w:val="20"/>
                <w:lang w:eastAsia="en-IE"/>
              </w:rPr>
            </w:pPr>
            <w:r>
              <w:rPr>
                <w:noProof/>
                <w:color w:val="000000"/>
                <w:sz w:val="20"/>
                <w:szCs w:val="20"/>
              </w:rPr>
              <w:t>9.0</w:t>
            </w:r>
          </w:p>
        </w:tc>
        <w:tc>
          <w:tcPr>
            <w:tcW w:w="880" w:type="pct"/>
            <w:shd w:val="clear" w:color="000000" w:fill="FFFFFF"/>
            <w:noWrap/>
            <w:hideMark/>
          </w:tcPr>
          <w:p w14:paraId="5826A906" w14:textId="4406B5D2" w:rsidR="006B69B1" w:rsidRPr="0079765B" w:rsidRDefault="006B69B1" w:rsidP="006B69B1">
            <w:pPr>
              <w:pStyle w:val="BodyText"/>
              <w:ind w:left="0"/>
              <w:jc w:val="right"/>
              <w:rPr>
                <w:noProof/>
                <w:color w:val="000000"/>
                <w:sz w:val="20"/>
                <w:szCs w:val="20"/>
                <w:lang w:eastAsia="en-IE"/>
              </w:rPr>
            </w:pPr>
            <w:r>
              <w:rPr>
                <w:noProof/>
                <w:color w:val="000000"/>
                <w:sz w:val="20"/>
                <w:szCs w:val="20"/>
              </w:rPr>
              <w:t>12.4</w:t>
            </w:r>
          </w:p>
        </w:tc>
        <w:tc>
          <w:tcPr>
            <w:tcW w:w="880" w:type="pct"/>
            <w:shd w:val="clear" w:color="000000" w:fill="FFFFFF"/>
            <w:noWrap/>
            <w:hideMark/>
          </w:tcPr>
          <w:p w14:paraId="5E2F3799" w14:textId="507A1F31" w:rsidR="006B69B1" w:rsidRPr="0079765B" w:rsidRDefault="006B69B1" w:rsidP="006B69B1">
            <w:pPr>
              <w:pStyle w:val="BodyText"/>
              <w:ind w:left="0"/>
              <w:jc w:val="right"/>
              <w:rPr>
                <w:noProof/>
                <w:color w:val="000000"/>
                <w:sz w:val="20"/>
                <w:szCs w:val="20"/>
                <w:lang w:eastAsia="en-IE"/>
              </w:rPr>
            </w:pPr>
            <w:r>
              <w:rPr>
                <w:noProof/>
                <w:color w:val="000000"/>
                <w:sz w:val="20"/>
                <w:szCs w:val="20"/>
              </w:rPr>
              <w:t>11.8</w:t>
            </w:r>
          </w:p>
        </w:tc>
        <w:tc>
          <w:tcPr>
            <w:tcW w:w="880" w:type="pct"/>
            <w:shd w:val="clear" w:color="000000" w:fill="FFFFFF"/>
            <w:noWrap/>
            <w:hideMark/>
          </w:tcPr>
          <w:p w14:paraId="5474E26A" w14:textId="780B75D6" w:rsidR="006B69B1" w:rsidRPr="0079765B" w:rsidRDefault="006B69B1" w:rsidP="006B69B1">
            <w:pPr>
              <w:pStyle w:val="BodyText"/>
              <w:ind w:left="0"/>
              <w:jc w:val="right"/>
              <w:rPr>
                <w:noProof/>
                <w:color w:val="000000"/>
                <w:sz w:val="20"/>
                <w:szCs w:val="20"/>
                <w:lang w:eastAsia="en-IE"/>
              </w:rPr>
            </w:pPr>
            <w:r>
              <w:rPr>
                <w:noProof/>
                <w:color w:val="000000"/>
                <w:sz w:val="20"/>
                <w:szCs w:val="20"/>
              </w:rPr>
              <w:t>12.1</w:t>
            </w:r>
          </w:p>
        </w:tc>
      </w:tr>
      <w:tr w:rsidR="006B69B1" w:rsidRPr="00266057" w14:paraId="07F532A3" w14:textId="77777777" w:rsidTr="0079765B">
        <w:trPr>
          <w:trHeight w:val="282"/>
        </w:trPr>
        <w:tc>
          <w:tcPr>
            <w:tcW w:w="1480" w:type="pct"/>
            <w:shd w:val="clear" w:color="000000" w:fill="FFFFFF"/>
            <w:noWrap/>
            <w:hideMark/>
          </w:tcPr>
          <w:p w14:paraId="73118EFB" w14:textId="055ABC02" w:rsidR="006B69B1" w:rsidRPr="0079765B" w:rsidRDefault="006B69B1" w:rsidP="006B69B1">
            <w:pPr>
              <w:pStyle w:val="BodyText"/>
              <w:ind w:left="0"/>
              <w:rPr>
                <w:noProof/>
                <w:color w:val="000000"/>
                <w:sz w:val="20"/>
                <w:szCs w:val="20"/>
                <w:lang w:eastAsia="en-IE"/>
              </w:rPr>
            </w:pPr>
            <w:r w:rsidRPr="0079765B">
              <w:rPr>
                <w:rFonts w:eastAsia="Calibri"/>
                <w:noProof/>
                <w:sz w:val="20"/>
                <w:szCs w:val="20"/>
              </w:rPr>
              <w:t xml:space="preserve">One-off adjustment costs </w:t>
            </w:r>
          </w:p>
        </w:tc>
        <w:tc>
          <w:tcPr>
            <w:tcW w:w="880" w:type="pct"/>
            <w:shd w:val="clear" w:color="000000" w:fill="FFFFFF"/>
            <w:noWrap/>
            <w:hideMark/>
          </w:tcPr>
          <w:p w14:paraId="03A72E4B" w14:textId="6AB4872E" w:rsidR="006B69B1" w:rsidRPr="0079765B" w:rsidRDefault="006B69B1" w:rsidP="006B69B1">
            <w:pPr>
              <w:pStyle w:val="BodyText"/>
              <w:ind w:left="0"/>
              <w:jc w:val="right"/>
              <w:rPr>
                <w:noProof/>
                <w:color w:val="000000"/>
                <w:sz w:val="20"/>
                <w:szCs w:val="20"/>
                <w:lang w:eastAsia="en-IE"/>
              </w:rPr>
            </w:pPr>
            <w:r>
              <w:rPr>
                <w:noProof/>
                <w:color w:val="000000"/>
                <w:sz w:val="20"/>
                <w:szCs w:val="20"/>
              </w:rPr>
              <w:t>3.5</w:t>
            </w:r>
          </w:p>
        </w:tc>
        <w:tc>
          <w:tcPr>
            <w:tcW w:w="880" w:type="pct"/>
            <w:shd w:val="clear" w:color="000000" w:fill="FFFFFF"/>
            <w:noWrap/>
            <w:hideMark/>
          </w:tcPr>
          <w:p w14:paraId="3FA7B782" w14:textId="2AB2D40B" w:rsidR="006B69B1" w:rsidRPr="0079765B" w:rsidRDefault="006B69B1" w:rsidP="006B69B1">
            <w:pPr>
              <w:pStyle w:val="BodyText"/>
              <w:ind w:left="0"/>
              <w:jc w:val="right"/>
              <w:rPr>
                <w:noProof/>
                <w:color w:val="000000"/>
                <w:sz w:val="20"/>
                <w:szCs w:val="20"/>
                <w:lang w:eastAsia="en-IE"/>
              </w:rPr>
            </w:pPr>
            <w:r>
              <w:rPr>
                <w:noProof/>
                <w:color w:val="000000"/>
                <w:sz w:val="20"/>
                <w:szCs w:val="20"/>
              </w:rPr>
              <w:t>5.1</w:t>
            </w:r>
          </w:p>
        </w:tc>
        <w:tc>
          <w:tcPr>
            <w:tcW w:w="880" w:type="pct"/>
            <w:shd w:val="clear" w:color="000000" w:fill="FFFFFF"/>
            <w:noWrap/>
            <w:hideMark/>
          </w:tcPr>
          <w:p w14:paraId="2037BBEA" w14:textId="297D65CA" w:rsidR="006B69B1" w:rsidRPr="0079765B" w:rsidRDefault="006B69B1" w:rsidP="006B69B1">
            <w:pPr>
              <w:pStyle w:val="BodyText"/>
              <w:ind w:left="0"/>
              <w:jc w:val="right"/>
              <w:rPr>
                <w:noProof/>
                <w:color w:val="000000"/>
                <w:sz w:val="20"/>
                <w:szCs w:val="20"/>
                <w:lang w:eastAsia="en-IE"/>
              </w:rPr>
            </w:pPr>
            <w:r>
              <w:rPr>
                <w:noProof/>
                <w:color w:val="000000"/>
                <w:sz w:val="20"/>
                <w:szCs w:val="20"/>
              </w:rPr>
              <w:t>4.8</w:t>
            </w:r>
          </w:p>
        </w:tc>
        <w:tc>
          <w:tcPr>
            <w:tcW w:w="880" w:type="pct"/>
            <w:shd w:val="clear" w:color="000000" w:fill="FFFFFF"/>
            <w:hideMark/>
          </w:tcPr>
          <w:p w14:paraId="1530B0A4" w14:textId="4AB6CE46" w:rsidR="006B69B1" w:rsidRPr="0079765B" w:rsidRDefault="006B69B1" w:rsidP="006B69B1">
            <w:pPr>
              <w:pStyle w:val="BodyText"/>
              <w:ind w:left="0"/>
              <w:jc w:val="right"/>
              <w:rPr>
                <w:noProof/>
                <w:color w:val="000000"/>
                <w:sz w:val="20"/>
                <w:szCs w:val="20"/>
                <w:lang w:eastAsia="en-IE"/>
              </w:rPr>
            </w:pPr>
            <w:r>
              <w:rPr>
                <w:noProof/>
                <w:color w:val="000000"/>
                <w:sz w:val="20"/>
                <w:szCs w:val="20"/>
              </w:rPr>
              <w:t>5.0</w:t>
            </w:r>
          </w:p>
        </w:tc>
      </w:tr>
      <w:tr w:rsidR="006B69B1" w:rsidRPr="00266057" w14:paraId="13FE7F94" w14:textId="77777777" w:rsidTr="0079765B">
        <w:trPr>
          <w:trHeight w:val="282"/>
        </w:trPr>
        <w:tc>
          <w:tcPr>
            <w:tcW w:w="1480" w:type="pct"/>
            <w:shd w:val="clear" w:color="000000" w:fill="FFFFFF"/>
            <w:noWrap/>
            <w:hideMark/>
          </w:tcPr>
          <w:p w14:paraId="64A44D63" w14:textId="6310C4EE" w:rsidR="006B69B1" w:rsidRPr="0079765B" w:rsidRDefault="006B69B1" w:rsidP="006B69B1">
            <w:pPr>
              <w:pStyle w:val="BodyText"/>
              <w:ind w:left="0"/>
              <w:rPr>
                <w:noProof/>
                <w:color w:val="000000"/>
                <w:sz w:val="20"/>
                <w:szCs w:val="20"/>
                <w:lang w:eastAsia="en-IE"/>
              </w:rPr>
            </w:pPr>
            <w:r w:rsidRPr="0079765B">
              <w:rPr>
                <w:rFonts w:eastAsia="Calibri"/>
                <w:noProof/>
                <w:sz w:val="20"/>
                <w:szCs w:val="20"/>
              </w:rPr>
              <w:t xml:space="preserve">Recurrent adjustment costs </w:t>
            </w:r>
          </w:p>
        </w:tc>
        <w:tc>
          <w:tcPr>
            <w:tcW w:w="880" w:type="pct"/>
            <w:shd w:val="clear" w:color="000000" w:fill="FFFFFF"/>
            <w:noWrap/>
            <w:hideMark/>
          </w:tcPr>
          <w:p w14:paraId="0E39B552" w14:textId="62142FBD" w:rsidR="006B69B1" w:rsidRPr="0079765B" w:rsidRDefault="006B69B1" w:rsidP="006B69B1">
            <w:pPr>
              <w:pStyle w:val="BodyText"/>
              <w:ind w:left="0"/>
              <w:jc w:val="right"/>
              <w:rPr>
                <w:noProof/>
                <w:color w:val="000000"/>
                <w:sz w:val="20"/>
                <w:szCs w:val="20"/>
                <w:lang w:eastAsia="en-IE"/>
              </w:rPr>
            </w:pPr>
            <w:r>
              <w:rPr>
                <w:noProof/>
                <w:color w:val="000000"/>
                <w:sz w:val="20"/>
                <w:szCs w:val="20"/>
              </w:rPr>
              <w:t>5.4</w:t>
            </w:r>
          </w:p>
        </w:tc>
        <w:tc>
          <w:tcPr>
            <w:tcW w:w="880" w:type="pct"/>
            <w:shd w:val="clear" w:color="000000" w:fill="FFFFFF"/>
            <w:noWrap/>
            <w:hideMark/>
          </w:tcPr>
          <w:p w14:paraId="56EDC2E9" w14:textId="3B785D79" w:rsidR="006B69B1" w:rsidRPr="0079765B" w:rsidRDefault="006B69B1" w:rsidP="006B69B1">
            <w:pPr>
              <w:pStyle w:val="BodyText"/>
              <w:ind w:left="0"/>
              <w:jc w:val="right"/>
              <w:rPr>
                <w:noProof/>
                <w:color w:val="000000"/>
                <w:sz w:val="20"/>
                <w:szCs w:val="20"/>
                <w:lang w:eastAsia="en-IE"/>
              </w:rPr>
            </w:pPr>
            <w:r>
              <w:rPr>
                <w:noProof/>
                <w:color w:val="000000"/>
                <w:sz w:val="20"/>
                <w:szCs w:val="20"/>
              </w:rPr>
              <w:t>7.3</w:t>
            </w:r>
          </w:p>
        </w:tc>
        <w:tc>
          <w:tcPr>
            <w:tcW w:w="880" w:type="pct"/>
            <w:shd w:val="clear" w:color="000000" w:fill="FFFFFF"/>
            <w:noWrap/>
            <w:hideMark/>
          </w:tcPr>
          <w:p w14:paraId="7A5B405B" w14:textId="13A6AF72" w:rsidR="006B69B1" w:rsidRPr="0079765B" w:rsidRDefault="006B69B1" w:rsidP="006B69B1">
            <w:pPr>
              <w:pStyle w:val="BodyText"/>
              <w:ind w:left="0"/>
              <w:jc w:val="right"/>
              <w:rPr>
                <w:noProof/>
                <w:color w:val="000000"/>
                <w:sz w:val="20"/>
                <w:szCs w:val="20"/>
                <w:lang w:eastAsia="en-IE"/>
              </w:rPr>
            </w:pPr>
            <w:r>
              <w:rPr>
                <w:noProof/>
                <w:color w:val="000000"/>
                <w:sz w:val="20"/>
                <w:szCs w:val="20"/>
              </w:rPr>
              <w:t>7.0</w:t>
            </w:r>
          </w:p>
        </w:tc>
        <w:tc>
          <w:tcPr>
            <w:tcW w:w="880" w:type="pct"/>
            <w:shd w:val="clear" w:color="000000" w:fill="FFFFFF"/>
            <w:hideMark/>
          </w:tcPr>
          <w:p w14:paraId="19C0C97D" w14:textId="7CA55CA3" w:rsidR="006B69B1" w:rsidRPr="0079765B" w:rsidRDefault="006B69B1" w:rsidP="006B69B1">
            <w:pPr>
              <w:pStyle w:val="BodyText"/>
              <w:ind w:left="0"/>
              <w:jc w:val="right"/>
              <w:rPr>
                <w:noProof/>
                <w:color w:val="000000"/>
                <w:sz w:val="20"/>
                <w:szCs w:val="20"/>
                <w:lang w:eastAsia="en-IE"/>
              </w:rPr>
            </w:pPr>
            <w:r>
              <w:rPr>
                <w:noProof/>
                <w:color w:val="000000"/>
                <w:sz w:val="20"/>
                <w:szCs w:val="20"/>
              </w:rPr>
              <w:t>7.1</w:t>
            </w:r>
          </w:p>
        </w:tc>
      </w:tr>
    </w:tbl>
    <w:p w14:paraId="0BD32BDD" w14:textId="4EE3F3E0" w:rsidR="00266057" w:rsidRPr="001B2988" w:rsidRDefault="00266057" w:rsidP="001B2988">
      <w:pPr>
        <w:tabs>
          <w:tab w:val="left" w:pos="2302"/>
        </w:tabs>
        <w:spacing w:after="240"/>
        <w:jc w:val="both"/>
        <w:rPr>
          <w:i/>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1962B5B4" w14:textId="5D0DA235" w:rsidR="006B5F1F" w:rsidRPr="00CA2654" w:rsidRDefault="00CA2654" w:rsidP="007B2D8E">
      <w:pPr>
        <w:pStyle w:val="ListParagraph"/>
        <w:keepNext/>
        <w:widowControl/>
        <w:numPr>
          <w:ilvl w:val="2"/>
          <w:numId w:val="10"/>
        </w:numPr>
        <w:autoSpaceDE/>
        <w:autoSpaceDN/>
        <w:spacing w:after="240"/>
        <w:jc w:val="both"/>
        <w:outlineLvl w:val="2"/>
        <w:rPr>
          <w:i/>
          <w:iCs/>
          <w:noProof/>
          <w:sz w:val="24"/>
          <w:szCs w:val="24"/>
        </w:rPr>
      </w:pPr>
      <w:bookmarkStart w:id="1119" w:name="_Toc222749064"/>
      <w:bookmarkStart w:id="1120" w:name="_Toc223980723"/>
      <w:r w:rsidRPr="00CA2654">
        <w:rPr>
          <w:i/>
          <w:iCs/>
          <w:noProof/>
          <w:sz w:val="24"/>
          <w:szCs w:val="24"/>
        </w:rPr>
        <w:t>PM3 – Obligation for all MDMS platforms to share marketing and booking data in a fair way, when requested by transport operators</w:t>
      </w:r>
      <w:bookmarkEnd w:id="1119"/>
      <w:r w:rsidR="00C0275F">
        <w:rPr>
          <w:i/>
          <w:iCs/>
          <w:noProof/>
          <w:sz w:val="24"/>
          <w:szCs w:val="24"/>
        </w:rPr>
        <w:t xml:space="preserve"> and authorities</w:t>
      </w:r>
      <w:bookmarkEnd w:id="1120"/>
    </w:p>
    <w:p w14:paraId="12EDD6B0" w14:textId="2DFE594D" w:rsidR="00097B13" w:rsidRDefault="00CF5E9E" w:rsidP="00097B13">
      <w:pPr>
        <w:pStyle w:val="Text4"/>
        <w:spacing w:before="0" w:after="240"/>
        <w:ind w:left="0"/>
        <w:rPr>
          <w:rFonts w:ascii="Times New Roman" w:eastAsia="Calibri" w:hAnsi="Times New Roman"/>
          <w:noProof/>
          <w:spacing w:val="-8"/>
          <w:sz w:val="24"/>
          <w:szCs w:val="24"/>
        </w:rPr>
      </w:pPr>
      <w:r>
        <w:rPr>
          <w:rFonts w:ascii="Times New Roman" w:eastAsia="Calibri" w:hAnsi="Times New Roman"/>
          <w:noProof/>
          <w:spacing w:val="-8"/>
          <w:sz w:val="24"/>
          <w:szCs w:val="24"/>
        </w:rPr>
        <w:t>In PM3, m</w:t>
      </w:r>
      <w:r w:rsidR="00097B13" w:rsidRPr="00097B13">
        <w:rPr>
          <w:rFonts w:ascii="Times New Roman" w:eastAsia="Calibri" w:hAnsi="Times New Roman"/>
          <w:noProof/>
          <w:spacing w:val="-8"/>
          <w:sz w:val="24"/>
          <w:szCs w:val="24"/>
        </w:rPr>
        <w:t xml:space="preserve">arketing, booking and sales data </w:t>
      </w:r>
      <w:r>
        <w:rPr>
          <w:rFonts w:ascii="Times New Roman" w:eastAsia="Calibri" w:hAnsi="Times New Roman"/>
          <w:noProof/>
          <w:spacing w:val="-8"/>
          <w:sz w:val="24"/>
          <w:szCs w:val="24"/>
        </w:rPr>
        <w:t xml:space="preserve">will need to </w:t>
      </w:r>
      <w:r w:rsidR="00097B13" w:rsidRPr="00097B13">
        <w:rPr>
          <w:rFonts w:ascii="Times New Roman" w:eastAsia="Calibri" w:hAnsi="Times New Roman"/>
          <w:noProof/>
          <w:spacing w:val="-8"/>
          <w:sz w:val="24"/>
          <w:szCs w:val="24"/>
        </w:rPr>
        <w:t xml:space="preserve">be made available by MDMS platforms, when there is such request by transport operators, provided that such data are offered with equal timeliness and on a non-discriminatory basis to all transport operators displayed on that platform. </w:t>
      </w:r>
      <w:r w:rsidR="00196D84">
        <w:rPr>
          <w:rFonts w:ascii="Times New Roman" w:eastAsia="Calibri" w:hAnsi="Times New Roman"/>
          <w:noProof/>
          <w:spacing w:val="-8"/>
          <w:sz w:val="24"/>
          <w:szCs w:val="24"/>
        </w:rPr>
        <w:t xml:space="preserve">PM3 </w:t>
      </w:r>
      <w:r w:rsidR="00196D84" w:rsidRPr="00097B13">
        <w:rPr>
          <w:rFonts w:ascii="Times New Roman" w:eastAsia="Calibri" w:hAnsi="Times New Roman"/>
          <w:noProof/>
          <w:spacing w:val="-8"/>
          <w:sz w:val="24"/>
          <w:szCs w:val="24"/>
        </w:rPr>
        <w:t xml:space="preserve">retains and extends to all MDMS platforms, the obligation provided </w:t>
      </w:r>
      <w:r w:rsidR="00196D84">
        <w:rPr>
          <w:rFonts w:ascii="Times New Roman" w:eastAsia="Calibri" w:hAnsi="Times New Roman"/>
          <w:noProof/>
          <w:spacing w:val="-8"/>
          <w:sz w:val="24"/>
          <w:szCs w:val="24"/>
        </w:rPr>
        <w:t>by</w:t>
      </w:r>
      <w:r w:rsidR="00196D84" w:rsidRPr="00097B13">
        <w:rPr>
          <w:rFonts w:ascii="Times New Roman" w:eastAsia="Calibri" w:hAnsi="Times New Roman"/>
          <w:noProof/>
          <w:spacing w:val="-8"/>
          <w:sz w:val="24"/>
          <w:szCs w:val="24"/>
        </w:rPr>
        <w:t xml:space="preserve"> CRS Code of Conduct (</w:t>
      </w:r>
      <w:r w:rsidR="00196D84">
        <w:rPr>
          <w:rFonts w:ascii="Times New Roman" w:eastAsia="Calibri" w:hAnsi="Times New Roman"/>
          <w:noProof/>
          <w:spacing w:val="-8"/>
          <w:sz w:val="24"/>
          <w:szCs w:val="24"/>
        </w:rPr>
        <w:t>which is part of the baseline</w:t>
      </w:r>
      <w:r w:rsidR="00196D84" w:rsidRPr="00097B13">
        <w:rPr>
          <w:rFonts w:ascii="Times New Roman" w:eastAsia="Calibri" w:hAnsi="Times New Roman"/>
          <w:noProof/>
          <w:spacing w:val="-8"/>
          <w:sz w:val="24"/>
          <w:szCs w:val="24"/>
        </w:rPr>
        <w:t>) to prevent CRSs and other MDMS from using marketing and booking data to increase their bargaining power against carriers and travel agents.</w:t>
      </w:r>
    </w:p>
    <w:p w14:paraId="09B80710" w14:textId="77777777" w:rsidR="008418A0" w:rsidRDefault="008418A0" w:rsidP="008418A0">
      <w:pPr>
        <w:pStyle w:val="Text4"/>
        <w:spacing w:before="0"/>
        <w:ind w:left="0"/>
        <w:rPr>
          <w:rFonts w:ascii="Times New Roman" w:eastAsia="Calibri" w:hAnsi="Times New Roman"/>
          <w:noProof/>
          <w:spacing w:val="-8"/>
          <w:sz w:val="24"/>
          <w:szCs w:val="24"/>
        </w:rPr>
      </w:pPr>
      <w:r w:rsidRPr="0003158F">
        <w:rPr>
          <w:rFonts w:ascii="Times New Roman" w:eastAsia="Calibri" w:hAnsi="Times New Roman"/>
          <w:noProof/>
          <w:spacing w:val="-8"/>
          <w:sz w:val="24"/>
          <w:szCs w:val="24"/>
        </w:rPr>
        <w:t>The measure is expected to result in:</w:t>
      </w:r>
    </w:p>
    <w:p w14:paraId="73F3984C" w14:textId="68B9A285" w:rsidR="008418A0" w:rsidRPr="00CC66CD" w:rsidRDefault="008418A0" w:rsidP="001979E4">
      <w:pPr>
        <w:pStyle w:val="Nornal"/>
        <w:numPr>
          <w:ilvl w:val="0"/>
          <w:numId w:val="20"/>
        </w:numPr>
        <w:spacing w:after="120" w:line="240" w:lineRule="auto"/>
        <w:ind w:left="284" w:hanging="284"/>
        <w:rPr>
          <w:rFonts w:cs="Arial"/>
          <w:noProof/>
          <w:spacing w:val="-8"/>
          <w:sz w:val="24"/>
          <w:szCs w:val="24"/>
        </w:rPr>
      </w:pPr>
      <w:r w:rsidRPr="00CC66CD">
        <w:rPr>
          <w:rFonts w:cs="Arial"/>
          <w:noProof/>
          <w:spacing w:val="-8"/>
          <w:sz w:val="24"/>
          <w:szCs w:val="24"/>
        </w:rPr>
        <w:t>Adjustment costs for</w:t>
      </w:r>
      <w:r>
        <w:rPr>
          <w:rFonts w:cs="Arial"/>
          <w:noProof/>
          <w:spacing w:val="-8"/>
          <w:sz w:val="24"/>
          <w:szCs w:val="24"/>
        </w:rPr>
        <w:t xml:space="preserve"> </w:t>
      </w:r>
      <w:r w:rsidR="00233EB8">
        <w:rPr>
          <w:rFonts w:cs="Arial"/>
          <w:noProof/>
          <w:spacing w:val="-8"/>
          <w:sz w:val="24"/>
          <w:szCs w:val="24"/>
        </w:rPr>
        <w:t>non-SME</w:t>
      </w:r>
      <w:r w:rsidRPr="00CC66CD">
        <w:rPr>
          <w:rFonts w:cs="Arial"/>
          <w:noProof/>
          <w:spacing w:val="-8"/>
          <w:sz w:val="24"/>
          <w:szCs w:val="24"/>
        </w:rPr>
        <w:t xml:space="preserve"> MDMS platforms</w:t>
      </w:r>
      <w:r>
        <w:rPr>
          <w:rFonts w:cs="Arial"/>
          <w:noProof/>
          <w:spacing w:val="-8"/>
          <w:sz w:val="24"/>
          <w:szCs w:val="24"/>
        </w:rPr>
        <w:t xml:space="preserve"> (excluding CRS platforms</w:t>
      </w:r>
      <w:r w:rsidR="002A47A7">
        <w:rPr>
          <w:rFonts w:cs="Arial"/>
          <w:noProof/>
          <w:spacing w:val="-8"/>
          <w:sz w:val="24"/>
          <w:szCs w:val="24"/>
        </w:rPr>
        <w:t xml:space="preserve"> and NCAs</w:t>
      </w:r>
      <w:r>
        <w:rPr>
          <w:rFonts w:cs="Arial"/>
          <w:noProof/>
          <w:spacing w:val="-8"/>
          <w:sz w:val="24"/>
          <w:szCs w:val="24"/>
        </w:rPr>
        <w:t>)</w:t>
      </w:r>
      <w:r w:rsidRPr="00CC66CD">
        <w:rPr>
          <w:rFonts w:cs="Arial"/>
          <w:noProof/>
          <w:spacing w:val="-8"/>
          <w:sz w:val="24"/>
          <w:szCs w:val="24"/>
        </w:rPr>
        <w:t xml:space="preserve"> to reprogramme for </w:t>
      </w:r>
      <w:r w:rsidR="00914514" w:rsidRPr="00914514">
        <w:rPr>
          <w:rFonts w:cs="Arial"/>
          <w:noProof/>
          <w:spacing w:val="-8"/>
          <w:sz w:val="24"/>
          <w:szCs w:val="24"/>
        </w:rPr>
        <w:t>marketing and booking data requirements</w:t>
      </w:r>
      <w:r>
        <w:rPr>
          <w:rFonts w:cs="Arial"/>
          <w:noProof/>
          <w:spacing w:val="-8"/>
          <w:sz w:val="24"/>
          <w:szCs w:val="24"/>
        </w:rPr>
        <w:t>:</w:t>
      </w:r>
    </w:p>
    <w:p w14:paraId="6326913F" w14:textId="7C4FB8CC" w:rsidR="008418A0" w:rsidRPr="007F3F4C" w:rsidRDefault="008418A0" w:rsidP="001979E4">
      <w:pPr>
        <w:pStyle w:val="ListParagraph"/>
        <w:widowControl/>
        <w:numPr>
          <w:ilvl w:val="1"/>
          <w:numId w:val="19"/>
        </w:numPr>
        <w:autoSpaceDE/>
        <w:autoSpaceDN/>
        <w:spacing w:before="0" w:after="120"/>
        <w:ind w:left="567" w:hanging="283"/>
        <w:jc w:val="both"/>
        <w:rPr>
          <w:noProof/>
          <w:spacing w:val="-8"/>
          <w:sz w:val="24"/>
          <w:szCs w:val="24"/>
        </w:rPr>
      </w:pPr>
      <w:r w:rsidRPr="007F3F4C">
        <w:rPr>
          <w:noProof/>
          <w:spacing w:val="-8"/>
          <w:sz w:val="24"/>
          <w:szCs w:val="24"/>
        </w:rPr>
        <w:t xml:space="preserve">One-off </w:t>
      </w:r>
      <w:r>
        <w:rPr>
          <w:noProof/>
          <w:spacing w:val="-8"/>
          <w:sz w:val="24"/>
          <w:szCs w:val="24"/>
        </w:rPr>
        <w:t xml:space="preserve">adjustment </w:t>
      </w:r>
      <w:r w:rsidRPr="007F3F4C">
        <w:rPr>
          <w:noProof/>
          <w:spacing w:val="-8"/>
          <w:sz w:val="24"/>
          <w:szCs w:val="24"/>
        </w:rPr>
        <w:t xml:space="preserve">costs are </w:t>
      </w:r>
      <w:r>
        <w:rPr>
          <w:noProof/>
          <w:spacing w:val="-8"/>
          <w:sz w:val="24"/>
          <w:szCs w:val="24"/>
        </w:rPr>
        <w:t xml:space="preserve">expected for existing </w:t>
      </w:r>
      <w:r w:rsidR="00233EB8">
        <w:rPr>
          <w:noProof/>
          <w:spacing w:val="-8"/>
          <w:sz w:val="24"/>
          <w:szCs w:val="24"/>
        </w:rPr>
        <w:t>non-SME</w:t>
      </w:r>
      <w:r>
        <w:rPr>
          <w:noProof/>
          <w:spacing w:val="-8"/>
          <w:sz w:val="24"/>
          <w:szCs w:val="24"/>
        </w:rPr>
        <w:t xml:space="preserve"> MDMS platforms in 2028 (i.e. </w:t>
      </w:r>
      <w:r w:rsidRPr="007F3F4C">
        <w:rPr>
          <w:noProof/>
          <w:spacing w:val="-8"/>
          <w:sz w:val="24"/>
          <w:szCs w:val="24"/>
        </w:rPr>
        <w:t>first year of implementation</w:t>
      </w:r>
      <w:r>
        <w:rPr>
          <w:noProof/>
          <w:spacing w:val="-8"/>
          <w:sz w:val="24"/>
          <w:szCs w:val="24"/>
        </w:rPr>
        <w:t xml:space="preserve">) and for </w:t>
      </w:r>
      <w:r w:rsidRPr="007F3F4C">
        <w:rPr>
          <w:noProof/>
          <w:spacing w:val="-8"/>
          <w:sz w:val="24"/>
          <w:szCs w:val="24"/>
        </w:rPr>
        <w:t>new</w:t>
      </w:r>
      <w:r>
        <w:rPr>
          <w:noProof/>
          <w:spacing w:val="-8"/>
          <w:sz w:val="24"/>
          <w:szCs w:val="24"/>
        </w:rPr>
        <w:t xml:space="preserve"> </w:t>
      </w:r>
      <w:r w:rsidR="00233EB8">
        <w:rPr>
          <w:noProof/>
          <w:spacing w:val="-8"/>
          <w:sz w:val="24"/>
          <w:szCs w:val="24"/>
        </w:rPr>
        <w:t>non-SME</w:t>
      </w:r>
      <w:r>
        <w:rPr>
          <w:noProof/>
          <w:spacing w:val="-8"/>
          <w:sz w:val="24"/>
          <w:szCs w:val="24"/>
        </w:rPr>
        <w:t xml:space="preserve"> MDMS</w:t>
      </w:r>
      <w:r w:rsidRPr="007F3F4C">
        <w:rPr>
          <w:noProof/>
          <w:spacing w:val="-8"/>
          <w:sz w:val="24"/>
          <w:szCs w:val="24"/>
        </w:rPr>
        <w:t xml:space="preserve"> platforms that join the market each year</w:t>
      </w:r>
      <w:r>
        <w:rPr>
          <w:noProof/>
          <w:spacing w:val="-8"/>
          <w:sz w:val="24"/>
          <w:szCs w:val="24"/>
        </w:rPr>
        <w:t xml:space="preserve"> from 2029 onwards</w:t>
      </w:r>
      <w:r w:rsidRPr="007F3F4C">
        <w:rPr>
          <w:noProof/>
          <w:spacing w:val="-8"/>
          <w:sz w:val="24"/>
          <w:szCs w:val="24"/>
        </w:rPr>
        <w:t xml:space="preserve">. </w:t>
      </w:r>
    </w:p>
    <w:p w14:paraId="599EFE9E" w14:textId="19716884" w:rsidR="008418A0" w:rsidRPr="007F3F4C" w:rsidRDefault="008418A0" w:rsidP="001979E4">
      <w:pPr>
        <w:pStyle w:val="ListParagraph"/>
        <w:widowControl/>
        <w:numPr>
          <w:ilvl w:val="1"/>
          <w:numId w:val="19"/>
        </w:numPr>
        <w:autoSpaceDE/>
        <w:autoSpaceDN/>
        <w:spacing w:before="0" w:after="240"/>
        <w:ind w:left="568" w:hanging="284"/>
        <w:jc w:val="both"/>
        <w:rPr>
          <w:noProof/>
          <w:spacing w:val="-8"/>
          <w:sz w:val="24"/>
          <w:szCs w:val="24"/>
        </w:rPr>
      </w:pPr>
      <w:r>
        <w:rPr>
          <w:noProof/>
          <w:spacing w:val="-8"/>
          <w:sz w:val="24"/>
          <w:szCs w:val="24"/>
        </w:rPr>
        <w:t>R</w:t>
      </w:r>
      <w:r w:rsidRPr="007F3F4C">
        <w:rPr>
          <w:noProof/>
          <w:spacing w:val="-8"/>
          <w:sz w:val="24"/>
          <w:szCs w:val="24"/>
        </w:rPr>
        <w:t xml:space="preserve">ecurrent </w:t>
      </w:r>
      <w:r>
        <w:rPr>
          <w:noProof/>
          <w:spacing w:val="-8"/>
          <w:sz w:val="24"/>
          <w:szCs w:val="24"/>
        </w:rPr>
        <w:t xml:space="preserve">adjustment </w:t>
      </w:r>
      <w:r w:rsidRPr="007F3F4C">
        <w:rPr>
          <w:noProof/>
          <w:spacing w:val="-8"/>
          <w:sz w:val="24"/>
          <w:szCs w:val="24"/>
        </w:rPr>
        <w:t xml:space="preserve">costs for </w:t>
      </w:r>
      <w:r w:rsidR="00233EB8">
        <w:rPr>
          <w:noProof/>
          <w:spacing w:val="-8"/>
          <w:sz w:val="24"/>
          <w:szCs w:val="24"/>
        </w:rPr>
        <w:t>non-SME</w:t>
      </w:r>
      <w:r>
        <w:rPr>
          <w:noProof/>
          <w:spacing w:val="-8"/>
          <w:sz w:val="24"/>
          <w:szCs w:val="24"/>
        </w:rPr>
        <w:t xml:space="preserve"> MDMS </w:t>
      </w:r>
      <w:r w:rsidRPr="007F3F4C">
        <w:rPr>
          <w:noProof/>
          <w:spacing w:val="-8"/>
          <w:sz w:val="24"/>
          <w:szCs w:val="24"/>
        </w:rPr>
        <w:t xml:space="preserve">platforms </w:t>
      </w:r>
      <w:r>
        <w:rPr>
          <w:noProof/>
          <w:spacing w:val="-8"/>
          <w:sz w:val="24"/>
          <w:szCs w:val="24"/>
        </w:rPr>
        <w:t>for maintenance from 2029 onwards</w:t>
      </w:r>
      <w:r w:rsidRPr="007F3F4C">
        <w:rPr>
          <w:noProof/>
          <w:spacing w:val="-8"/>
          <w:sz w:val="24"/>
          <w:szCs w:val="24"/>
        </w:rPr>
        <w:t>.</w:t>
      </w:r>
    </w:p>
    <w:p w14:paraId="7685DD41" w14:textId="30C81A5B" w:rsidR="009D718F" w:rsidRDefault="009D718F" w:rsidP="009D718F">
      <w:pPr>
        <w:pStyle w:val="Text4"/>
        <w:keepNext/>
        <w:widowControl w:val="0"/>
        <w:spacing w:before="0" w:after="240"/>
        <w:ind w:left="0"/>
        <w:rPr>
          <w:rFonts w:ascii="Times New Roman" w:eastAsia="Calibri" w:hAnsi="Times New Roman"/>
          <w:i/>
          <w:iCs/>
          <w:noProof/>
          <w:spacing w:val="-8"/>
          <w:sz w:val="24"/>
          <w:szCs w:val="24"/>
        </w:rPr>
      </w:pPr>
      <w:r w:rsidRPr="00916056">
        <w:rPr>
          <w:rFonts w:ascii="Times New Roman" w:eastAsia="Calibri" w:hAnsi="Times New Roman"/>
          <w:i/>
          <w:iCs/>
          <w:noProof/>
          <w:spacing w:val="-8"/>
          <w:sz w:val="24"/>
          <w:szCs w:val="24"/>
        </w:rPr>
        <w:t xml:space="preserve">One-off and recurrent adjustment costs for </w:t>
      </w:r>
      <w:r w:rsidR="00233EB8">
        <w:rPr>
          <w:rFonts w:ascii="Times New Roman" w:eastAsia="Calibri" w:hAnsi="Times New Roman"/>
          <w:i/>
          <w:iCs/>
          <w:noProof/>
          <w:spacing w:val="-8"/>
          <w:sz w:val="24"/>
          <w:szCs w:val="24"/>
        </w:rPr>
        <w:t>non-SME</w:t>
      </w:r>
      <w:r w:rsidRPr="00916056">
        <w:rPr>
          <w:rFonts w:ascii="Times New Roman" w:eastAsia="Calibri" w:hAnsi="Times New Roman"/>
          <w:i/>
          <w:iCs/>
          <w:noProof/>
          <w:spacing w:val="-8"/>
          <w:sz w:val="24"/>
          <w:szCs w:val="24"/>
        </w:rPr>
        <w:t xml:space="preserve"> MDMS platforms</w:t>
      </w:r>
      <w:r>
        <w:rPr>
          <w:rFonts w:ascii="Times New Roman" w:eastAsia="Calibri" w:hAnsi="Times New Roman"/>
          <w:i/>
          <w:iCs/>
          <w:noProof/>
          <w:spacing w:val="-8"/>
          <w:sz w:val="24"/>
          <w:szCs w:val="24"/>
        </w:rPr>
        <w:t xml:space="preserve"> (excluding CRS platforms</w:t>
      </w:r>
      <w:r w:rsidR="00D63FB7">
        <w:rPr>
          <w:rFonts w:ascii="Times New Roman" w:eastAsia="Calibri" w:hAnsi="Times New Roman"/>
          <w:i/>
          <w:iCs/>
          <w:noProof/>
          <w:spacing w:val="-8"/>
          <w:sz w:val="24"/>
          <w:szCs w:val="24"/>
        </w:rPr>
        <w:t xml:space="preserve"> and NCAs</w:t>
      </w:r>
      <w:r>
        <w:rPr>
          <w:rFonts w:ascii="Times New Roman" w:eastAsia="Calibri" w:hAnsi="Times New Roman"/>
          <w:i/>
          <w:iCs/>
          <w:noProof/>
          <w:spacing w:val="-8"/>
          <w:sz w:val="24"/>
          <w:szCs w:val="24"/>
        </w:rPr>
        <w:t>)</w:t>
      </w:r>
    </w:p>
    <w:p w14:paraId="718111FE" w14:textId="7F252B00" w:rsidR="00BB379E" w:rsidRPr="005C1F89" w:rsidRDefault="00BB379E" w:rsidP="00BB379E">
      <w:pPr>
        <w:pStyle w:val="Text4"/>
        <w:spacing w:before="0" w:after="240"/>
        <w:ind w:left="0"/>
        <w:rPr>
          <w:rFonts w:ascii="Times New Roman" w:eastAsia="Calibri" w:hAnsi="Times New Roman"/>
          <w:noProof/>
          <w:spacing w:val="-8"/>
          <w:sz w:val="24"/>
          <w:szCs w:val="24"/>
        </w:rPr>
      </w:pPr>
      <w:r w:rsidRPr="005C1F89">
        <w:rPr>
          <w:rFonts w:ascii="Times New Roman" w:eastAsia="Calibri" w:hAnsi="Times New Roman"/>
          <w:noProof/>
          <w:spacing w:val="-8"/>
          <w:sz w:val="24"/>
          <w:szCs w:val="24"/>
        </w:rPr>
        <w:t xml:space="preserve">The one-off implementation effort for PM3 is expected to be similar to that of PM2 (67.5 working days). As PM2, PM3 affects only backend data‑handling and governance processes, without requiring the extensive reprogramming of ranking logic, display behaviour or user‑interface components that drive a higher workload in PM1. Although PM3 concerns a different data domain, the technical scope remains comparably narrower and predominantly limited to adjustments of the automated data flows that already exist, access controls and audit mechanisms. The estimated effort for PM3 also takes into account the synergies with PM1, PM2 and PM8. The one-off cost per </w:t>
      </w:r>
      <w:r w:rsidR="00E753E0">
        <w:rPr>
          <w:rFonts w:ascii="Times New Roman" w:eastAsia="Calibri" w:hAnsi="Times New Roman"/>
          <w:noProof/>
          <w:spacing w:val="-8"/>
          <w:sz w:val="24"/>
          <w:szCs w:val="24"/>
        </w:rPr>
        <w:t>non-SME</w:t>
      </w:r>
      <w:r w:rsidRPr="005C1F89">
        <w:rPr>
          <w:rFonts w:ascii="Times New Roman" w:eastAsia="Calibri" w:hAnsi="Times New Roman"/>
          <w:noProof/>
          <w:spacing w:val="-8"/>
          <w:sz w:val="24"/>
          <w:szCs w:val="24"/>
        </w:rPr>
        <w:t xml:space="preserve"> MDMS platform is estimated at EUR 17,343 considering the hourly rates presented in section 3.2 of Annex 4. </w:t>
      </w:r>
    </w:p>
    <w:p w14:paraId="7F9C2CB0" w14:textId="72E91B11" w:rsidR="00BB379E" w:rsidRPr="005C1F89" w:rsidRDefault="00BB379E" w:rsidP="00BB379E">
      <w:pPr>
        <w:pStyle w:val="Text4"/>
        <w:spacing w:before="0" w:after="240"/>
        <w:ind w:left="0"/>
        <w:rPr>
          <w:rFonts w:ascii="Times New Roman" w:eastAsia="Calibri" w:hAnsi="Times New Roman"/>
          <w:noProof/>
          <w:spacing w:val="-8"/>
          <w:sz w:val="24"/>
          <w:szCs w:val="24"/>
        </w:rPr>
      </w:pPr>
      <w:r w:rsidRPr="005C1F89">
        <w:rPr>
          <w:rFonts w:ascii="Times New Roman" w:eastAsia="Calibri" w:hAnsi="Times New Roman"/>
          <w:noProof/>
          <w:spacing w:val="-8"/>
          <w:sz w:val="24"/>
          <w:szCs w:val="24"/>
        </w:rPr>
        <w:t xml:space="preserve">The total one-off adjustment costs in 2028 (i.e. the assumed year of implementation) are derived by multiplying the cost per MDMS platform with the number of </w:t>
      </w:r>
      <w:r w:rsidR="00E753E0">
        <w:rPr>
          <w:rFonts w:ascii="Times New Roman" w:eastAsia="Calibri" w:hAnsi="Times New Roman"/>
          <w:noProof/>
          <w:spacing w:val="-8"/>
          <w:sz w:val="24"/>
          <w:szCs w:val="24"/>
        </w:rPr>
        <w:t>non-SME</w:t>
      </w:r>
      <w:r w:rsidRPr="005C1F89">
        <w:rPr>
          <w:rFonts w:ascii="Times New Roman" w:eastAsia="Calibri" w:hAnsi="Times New Roman"/>
          <w:noProof/>
          <w:spacing w:val="-8"/>
          <w:sz w:val="24"/>
          <w:szCs w:val="24"/>
        </w:rPr>
        <w:t xml:space="preserve"> MDMS platforms (excluding CRS platforms and NCAs</w:t>
      </w:r>
      <w:r>
        <w:rPr>
          <w:rFonts w:ascii="Times New Roman" w:eastAsia="Calibri" w:hAnsi="Times New Roman"/>
          <w:noProof/>
          <w:spacing w:val="-8"/>
          <w:sz w:val="24"/>
          <w:szCs w:val="24"/>
        </w:rPr>
        <w:t>,</w:t>
      </w:r>
      <w:r w:rsidRPr="005C1F89">
        <w:rPr>
          <w:rFonts w:ascii="Times New Roman" w:eastAsia="Calibri" w:hAnsi="Times New Roman"/>
          <w:noProof/>
          <w:spacing w:val="-8"/>
          <w:sz w:val="24"/>
          <w:szCs w:val="24"/>
        </w:rPr>
        <w:t xml:space="preserve"> which already implement these requirements in the baseline) estimated to be active in 2028. Post-2028, the one-off adjustment costs are derived by multiplying the cost per MDMS platform with the number of new </w:t>
      </w:r>
      <w:r w:rsidR="009059F3">
        <w:rPr>
          <w:rFonts w:ascii="Times New Roman" w:eastAsia="Calibri" w:hAnsi="Times New Roman"/>
          <w:noProof/>
          <w:spacing w:val="-8"/>
          <w:sz w:val="24"/>
          <w:szCs w:val="24"/>
        </w:rPr>
        <w:t>non-SME</w:t>
      </w:r>
      <w:r w:rsidRPr="005C1F89">
        <w:rPr>
          <w:rFonts w:ascii="Times New Roman" w:eastAsia="Calibri" w:hAnsi="Times New Roman"/>
          <w:noProof/>
          <w:spacing w:val="-8"/>
          <w:sz w:val="24"/>
          <w:szCs w:val="24"/>
        </w:rPr>
        <w:t xml:space="preserve"> MDMS platforms joining the market each year. The number of </w:t>
      </w:r>
      <w:r w:rsidR="009059F3">
        <w:rPr>
          <w:rFonts w:ascii="Times New Roman" w:eastAsia="Calibri" w:hAnsi="Times New Roman"/>
          <w:noProof/>
          <w:spacing w:val="-8"/>
          <w:sz w:val="24"/>
          <w:szCs w:val="24"/>
        </w:rPr>
        <w:t>non-SME</w:t>
      </w:r>
      <w:r w:rsidRPr="005C1F89">
        <w:rPr>
          <w:rFonts w:ascii="Times New Roman" w:eastAsia="Calibri" w:hAnsi="Times New Roman"/>
          <w:noProof/>
          <w:spacing w:val="-8"/>
          <w:sz w:val="24"/>
          <w:szCs w:val="24"/>
        </w:rPr>
        <w:t xml:space="preserve"> MDMS platforms per policy option and the associated one-off adjustment costs are shown in the table below for 2028, 2030, 2040 and 2050.</w:t>
      </w:r>
    </w:p>
    <w:p w14:paraId="256B600A" w14:textId="4B1E86CD" w:rsidR="00BB379E" w:rsidRPr="005C1F89" w:rsidRDefault="00BB379E" w:rsidP="00BB379E">
      <w:pPr>
        <w:pStyle w:val="Text4"/>
        <w:spacing w:before="0" w:after="240"/>
        <w:ind w:left="0"/>
        <w:rPr>
          <w:rFonts w:ascii="Times New Roman" w:eastAsia="Calibri" w:hAnsi="Times New Roman"/>
          <w:noProof/>
          <w:spacing w:val="-8"/>
          <w:sz w:val="24"/>
          <w:szCs w:val="24"/>
        </w:rPr>
      </w:pPr>
      <w:r w:rsidRPr="005C1F89">
        <w:rPr>
          <w:rFonts w:ascii="Times New Roman" w:eastAsia="Calibri" w:hAnsi="Times New Roman"/>
          <w:noProof/>
          <w:spacing w:val="-8"/>
          <w:sz w:val="24"/>
          <w:szCs w:val="24"/>
        </w:rPr>
        <w:t xml:space="preserve">Recurrent adjustment costs for the maintenance of the system are estimated at 10% of the one-off costs (i.e. EUR 1,734 per MDMS platform). They are applied to the number of </w:t>
      </w:r>
      <w:r w:rsidR="009059F3">
        <w:rPr>
          <w:rFonts w:ascii="Times New Roman" w:eastAsia="Calibri" w:hAnsi="Times New Roman"/>
          <w:noProof/>
          <w:spacing w:val="-8"/>
          <w:sz w:val="24"/>
          <w:szCs w:val="24"/>
        </w:rPr>
        <w:t>non-SME</w:t>
      </w:r>
      <w:r w:rsidRPr="005C1F89">
        <w:rPr>
          <w:rFonts w:ascii="Times New Roman" w:eastAsia="Calibri" w:hAnsi="Times New Roman"/>
          <w:noProof/>
          <w:spacing w:val="-8"/>
          <w:sz w:val="24"/>
          <w:szCs w:val="24"/>
        </w:rPr>
        <w:t xml:space="preserve"> MDMS platforms on the market from 2029 onwards (excluding CRS platforms and NCAs</w:t>
      </w:r>
      <w:r>
        <w:rPr>
          <w:rFonts w:ascii="Times New Roman" w:eastAsia="Calibri" w:hAnsi="Times New Roman"/>
          <w:noProof/>
          <w:spacing w:val="-8"/>
          <w:sz w:val="24"/>
          <w:szCs w:val="24"/>
        </w:rPr>
        <w:t>,</w:t>
      </w:r>
      <w:r w:rsidRPr="005C1F89">
        <w:rPr>
          <w:rFonts w:ascii="Times New Roman" w:eastAsia="Calibri" w:hAnsi="Times New Roman"/>
          <w:noProof/>
          <w:spacing w:val="-8"/>
          <w:sz w:val="24"/>
          <w:szCs w:val="24"/>
        </w:rPr>
        <w:t xml:space="preserve"> which already implement these requirements in the baseline). The total recurrent adjustment costs due to PM3 for 2028, 2030, 2040 and 2050 are shown in the table below. </w:t>
      </w:r>
    </w:p>
    <w:p w14:paraId="578B70EA" w14:textId="6C416E7A" w:rsidR="003610AE" w:rsidRPr="00DB078C" w:rsidRDefault="003610AE" w:rsidP="00DB078C">
      <w:pPr>
        <w:keepNext/>
        <w:tabs>
          <w:tab w:val="left" w:pos="1134"/>
        </w:tabs>
        <w:jc w:val="both"/>
        <w:rPr>
          <w:i/>
          <w:noProof/>
          <w:sz w:val="22"/>
          <w:szCs w:val="22"/>
        </w:rPr>
      </w:pPr>
      <w:r w:rsidRPr="00DB078C">
        <w:rPr>
          <w:i/>
          <w:noProof/>
          <w:sz w:val="22"/>
          <w:szCs w:val="22"/>
        </w:rPr>
        <w:t xml:space="preserve">Table </w:t>
      </w:r>
      <w:r w:rsidRPr="00DB078C">
        <w:rPr>
          <w:i/>
          <w:noProof/>
          <w:sz w:val="22"/>
          <w:szCs w:val="22"/>
        </w:rPr>
        <w:fldChar w:fldCharType="begin"/>
      </w:r>
      <w:r w:rsidRPr="00DB078C">
        <w:rPr>
          <w:i/>
          <w:noProof/>
          <w:sz w:val="22"/>
          <w:szCs w:val="22"/>
        </w:rPr>
        <w:instrText xml:space="preserve"> SEQ Table \* ARABIC </w:instrText>
      </w:r>
      <w:r w:rsidRPr="00DB078C">
        <w:rPr>
          <w:i/>
          <w:noProof/>
          <w:sz w:val="22"/>
          <w:szCs w:val="22"/>
        </w:rPr>
        <w:fldChar w:fldCharType="separate"/>
      </w:r>
      <w:r w:rsidR="0055391F">
        <w:rPr>
          <w:i/>
          <w:noProof/>
          <w:sz w:val="22"/>
          <w:szCs w:val="22"/>
        </w:rPr>
        <w:t>79</w:t>
      </w:r>
      <w:r w:rsidRPr="00DB078C">
        <w:rPr>
          <w:i/>
          <w:noProof/>
          <w:sz w:val="22"/>
          <w:szCs w:val="22"/>
        </w:rPr>
        <w:fldChar w:fldCharType="end"/>
      </w:r>
      <w:r w:rsidRPr="00DB078C">
        <w:rPr>
          <w:i/>
          <w:noProof/>
          <w:sz w:val="22"/>
          <w:szCs w:val="22"/>
        </w:rPr>
        <w:t xml:space="preserve">: One-off and recurrent adjustment costs for </w:t>
      </w:r>
      <w:r w:rsidR="009059F3">
        <w:rPr>
          <w:i/>
          <w:noProof/>
          <w:sz w:val="22"/>
          <w:szCs w:val="22"/>
        </w:rPr>
        <w:t>non-SME</w:t>
      </w:r>
      <w:r w:rsidRPr="00DB078C">
        <w:rPr>
          <w:i/>
          <w:noProof/>
          <w:sz w:val="22"/>
          <w:szCs w:val="22"/>
        </w:rPr>
        <w:t xml:space="preserve"> MDMS platforms (B2B and B2C, excluding CRS platforms and NCAs) due to PM3 in the policy options in 2028, 2030, 2040 and 2050 relative to the baseline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2"/>
        <w:gridCol w:w="871"/>
        <w:gridCol w:w="870"/>
        <w:gridCol w:w="870"/>
        <w:gridCol w:w="870"/>
      </w:tblGrid>
      <w:tr w:rsidR="00B11AC3" w:rsidRPr="005C1F89" w14:paraId="1C429C7F" w14:textId="77777777" w:rsidTr="00322518">
        <w:trPr>
          <w:trHeight w:val="260"/>
          <w:tblHeader/>
        </w:trPr>
        <w:tc>
          <w:tcPr>
            <w:tcW w:w="6122" w:type="dxa"/>
            <w:shd w:val="clear" w:color="auto" w:fill="0070C0"/>
            <w:noWrap/>
            <w:hideMark/>
          </w:tcPr>
          <w:p w14:paraId="6560D3C1" w14:textId="77777777" w:rsidR="00B11AC3" w:rsidRPr="00A90824" w:rsidRDefault="00B11AC3">
            <w:pPr>
              <w:pStyle w:val="Text4"/>
              <w:spacing w:before="0" w:after="0"/>
              <w:ind w:left="0"/>
              <w:rPr>
                <w:rFonts w:ascii="Times New Roman" w:eastAsia="Calibri" w:hAnsi="Times New Roman"/>
                <w:b/>
                <w:noProof/>
                <w:color w:val="FFFFFF" w:themeColor="background1"/>
              </w:rPr>
            </w:pPr>
            <w:r w:rsidRPr="00A90824">
              <w:rPr>
                <w:rFonts w:ascii="Times New Roman" w:eastAsia="Calibri" w:hAnsi="Times New Roman"/>
                <w:b/>
                <w:noProof/>
                <w:color w:val="FFFFFF" w:themeColor="background1"/>
              </w:rPr>
              <w:t> </w:t>
            </w:r>
          </w:p>
        </w:tc>
        <w:tc>
          <w:tcPr>
            <w:tcW w:w="871" w:type="dxa"/>
            <w:shd w:val="clear" w:color="auto" w:fill="0070C0"/>
            <w:noWrap/>
            <w:hideMark/>
          </w:tcPr>
          <w:p w14:paraId="4EA89138" w14:textId="77777777" w:rsidR="00B11AC3" w:rsidRPr="00A90824" w:rsidRDefault="00B11AC3">
            <w:pPr>
              <w:pStyle w:val="Text4"/>
              <w:spacing w:before="0" w:after="0"/>
              <w:ind w:left="0"/>
              <w:jc w:val="center"/>
              <w:rPr>
                <w:rFonts w:ascii="Times New Roman" w:eastAsia="Calibri" w:hAnsi="Times New Roman"/>
                <w:b/>
                <w:noProof/>
                <w:color w:val="FFFFFF" w:themeColor="background1"/>
              </w:rPr>
            </w:pPr>
            <w:r w:rsidRPr="00A90824">
              <w:rPr>
                <w:rFonts w:ascii="Times New Roman" w:eastAsia="Calibri" w:hAnsi="Times New Roman"/>
                <w:b/>
                <w:noProof/>
                <w:color w:val="FFFFFF" w:themeColor="background1"/>
              </w:rPr>
              <w:t>2028</w:t>
            </w:r>
          </w:p>
        </w:tc>
        <w:tc>
          <w:tcPr>
            <w:tcW w:w="870" w:type="dxa"/>
            <w:shd w:val="clear" w:color="auto" w:fill="0070C0"/>
            <w:noWrap/>
            <w:hideMark/>
          </w:tcPr>
          <w:p w14:paraId="33D7DFB8" w14:textId="77777777" w:rsidR="00B11AC3" w:rsidRPr="00A90824" w:rsidRDefault="00B11AC3">
            <w:pPr>
              <w:pStyle w:val="Text4"/>
              <w:spacing w:before="0" w:after="0"/>
              <w:ind w:left="0"/>
              <w:jc w:val="center"/>
              <w:rPr>
                <w:rFonts w:ascii="Times New Roman" w:eastAsia="Calibri" w:hAnsi="Times New Roman"/>
                <w:b/>
                <w:noProof/>
                <w:color w:val="FFFFFF" w:themeColor="background1"/>
              </w:rPr>
            </w:pPr>
            <w:r w:rsidRPr="00A90824">
              <w:rPr>
                <w:rFonts w:ascii="Times New Roman" w:eastAsia="Calibri" w:hAnsi="Times New Roman"/>
                <w:b/>
                <w:noProof/>
                <w:color w:val="FFFFFF" w:themeColor="background1"/>
              </w:rPr>
              <w:t>2030</w:t>
            </w:r>
          </w:p>
        </w:tc>
        <w:tc>
          <w:tcPr>
            <w:tcW w:w="870" w:type="dxa"/>
            <w:shd w:val="clear" w:color="auto" w:fill="0070C0"/>
            <w:noWrap/>
            <w:hideMark/>
          </w:tcPr>
          <w:p w14:paraId="7BAE6F88" w14:textId="77777777" w:rsidR="00B11AC3" w:rsidRPr="00A90824" w:rsidRDefault="00B11AC3">
            <w:pPr>
              <w:pStyle w:val="Text4"/>
              <w:spacing w:before="0" w:after="0"/>
              <w:ind w:left="0"/>
              <w:jc w:val="center"/>
              <w:rPr>
                <w:rFonts w:ascii="Times New Roman" w:eastAsia="Calibri" w:hAnsi="Times New Roman"/>
                <w:b/>
                <w:noProof/>
                <w:color w:val="FFFFFF" w:themeColor="background1"/>
              </w:rPr>
            </w:pPr>
            <w:r w:rsidRPr="00A90824">
              <w:rPr>
                <w:rFonts w:ascii="Times New Roman" w:eastAsia="Calibri" w:hAnsi="Times New Roman"/>
                <w:b/>
                <w:noProof/>
                <w:color w:val="FFFFFF" w:themeColor="background1"/>
              </w:rPr>
              <w:t>2040</w:t>
            </w:r>
          </w:p>
        </w:tc>
        <w:tc>
          <w:tcPr>
            <w:tcW w:w="870" w:type="dxa"/>
            <w:shd w:val="clear" w:color="auto" w:fill="0070C0"/>
            <w:noWrap/>
            <w:hideMark/>
          </w:tcPr>
          <w:p w14:paraId="6DF99E81" w14:textId="77777777" w:rsidR="00B11AC3" w:rsidRPr="00A90824" w:rsidRDefault="00B11AC3">
            <w:pPr>
              <w:pStyle w:val="Text4"/>
              <w:spacing w:before="0" w:after="0"/>
              <w:ind w:left="0"/>
              <w:jc w:val="center"/>
              <w:rPr>
                <w:rFonts w:ascii="Times New Roman" w:eastAsia="Calibri" w:hAnsi="Times New Roman"/>
                <w:b/>
                <w:noProof/>
                <w:color w:val="FFFFFF" w:themeColor="background1"/>
              </w:rPr>
            </w:pPr>
            <w:r w:rsidRPr="00A90824">
              <w:rPr>
                <w:rFonts w:ascii="Times New Roman" w:eastAsia="Calibri" w:hAnsi="Times New Roman"/>
                <w:b/>
                <w:noProof/>
                <w:color w:val="FFFFFF" w:themeColor="background1"/>
              </w:rPr>
              <w:t>2050</w:t>
            </w:r>
          </w:p>
        </w:tc>
      </w:tr>
      <w:tr w:rsidR="00D45A3B" w:rsidRPr="005C1F89" w14:paraId="6FC48AAF" w14:textId="77777777" w:rsidTr="00322518">
        <w:trPr>
          <w:trHeight w:val="200"/>
        </w:trPr>
        <w:tc>
          <w:tcPr>
            <w:tcW w:w="6122" w:type="dxa"/>
            <w:noWrap/>
            <w:hideMark/>
          </w:tcPr>
          <w:p w14:paraId="427A81B0" w14:textId="77777777" w:rsidR="00D45A3B" w:rsidRPr="005C1F89" w:rsidRDefault="00D45A3B" w:rsidP="00D45A3B">
            <w:pPr>
              <w:pStyle w:val="Text4"/>
              <w:spacing w:before="0" w:after="0"/>
              <w:ind w:left="0"/>
              <w:rPr>
                <w:rFonts w:ascii="Times New Roman" w:eastAsia="Calibri" w:hAnsi="Times New Roman"/>
                <w:noProof/>
              </w:rPr>
            </w:pPr>
            <w:r w:rsidRPr="00D810D8">
              <w:rPr>
                <w:rFonts w:ascii="Times New Roman" w:eastAsia="Calibri" w:hAnsi="Times New Roman"/>
                <w:noProof/>
              </w:rPr>
              <w:t>One-off cost per MDMS platform</w:t>
            </w:r>
            <w:r>
              <w:rPr>
                <w:rFonts w:ascii="Times New Roman" w:eastAsia="Calibri" w:hAnsi="Times New Roman"/>
                <w:noProof/>
              </w:rPr>
              <w:t xml:space="preserve"> (</w:t>
            </w:r>
            <w:r w:rsidRPr="000D54CD">
              <w:rPr>
                <w:rFonts w:ascii="Times New Roman" w:eastAsia="Calibri" w:hAnsi="Times New Roman"/>
                <w:noProof/>
              </w:rPr>
              <w:t>excluding CRS</w:t>
            </w:r>
            <w:r>
              <w:rPr>
                <w:rFonts w:ascii="Times New Roman" w:eastAsia="Calibri" w:hAnsi="Times New Roman"/>
                <w:noProof/>
              </w:rPr>
              <w:t xml:space="preserve"> and NCA</w:t>
            </w:r>
            <w:r w:rsidRPr="000D54CD">
              <w:rPr>
                <w:rFonts w:ascii="Times New Roman" w:eastAsia="Calibri" w:hAnsi="Times New Roman"/>
                <w:noProof/>
              </w:rPr>
              <w:t>)</w:t>
            </w:r>
            <w:r w:rsidRPr="00D810D8">
              <w:rPr>
                <w:rFonts w:ascii="Times New Roman" w:eastAsia="Calibri" w:hAnsi="Times New Roman"/>
                <w:noProof/>
              </w:rPr>
              <w:t xml:space="preserve"> to </w:t>
            </w:r>
            <w:r>
              <w:rPr>
                <w:rFonts w:ascii="Times New Roman" w:eastAsia="Calibri" w:hAnsi="Times New Roman"/>
                <w:noProof/>
              </w:rPr>
              <w:t>re</w:t>
            </w:r>
            <w:r w:rsidRPr="00D810D8">
              <w:rPr>
                <w:rFonts w:ascii="Times New Roman" w:eastAsia="Calibri" w:hAnsi="Times New Roman"/>
                <w:noProof/>
              </w:rPr>
              <w:t xml:space="preserve">programme for </w:t>
            </w:r>
            <w:r>
              <w:rPr>
                <w:rFonts w:ascii="Times New Roman" w:eastAsia="Calibri" w:hAnsi="Times New Roman"/>
                <w:noProof/>
              </w:rPr>
              <w:t>new requirements</w:t>
            </w:r>
            <w:r w:rsidRPr="00D810D8">
              <w:rPr>
                <w:rFonts w:ascii="Times New Roman" w:eastAsia="Calibri" w:hAnsi="Times New Roman"/>
                <w:noProof/>
              </w:rPr>
              <w:t xml:space="preserve"> (EUR) </w:t>
            </w:r>
          </w:p>
        </w:tc>
        <w:tc>
          <w:tcPr>
            <w:tcW w:w="871" w:type="dxa"/>
            <w:noWrap/>
            <w:hideMark/>
          </w:tcPr>
          <w:p w14:paraId="70CE16B3" w14:textId="379752F0"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17,343</w:t>
            </w:r>
          </w:p>
        </w:tc>
        <w:tc>
          <w:tcPr>
            <w:tcW w:w="870" w:type="dxa"/>
            <w:noWrap/>
            <w:hideMark/>
          </w:tcPr>
          <w:p w14:paraId="2D49C218" w14:textId="43558898"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17,343</w:t>
            </w:r>
          </w:p>
        </w:tc>
        <w:tc>
          <w:tcPr>
            <w:tcW w:w="870" w:type="dxa"/>
            <w:noWrap/>
            <w:hideMark/>
          </w:tcPr>
          <w:p w14:paraId="01A7F04F" w14:textId="43660D07"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17,343</w:t>
            </w:r>
          </w:p>
        </w:tc>
        <w:tc>
          <w:tcPr>
            <w:tcW w:w="870" w:type="dxa"/>
            <w:noWrap/>
            <w:hideMark/>
          </w:tcPr>
          <w:p w14:paraId="22BAB528" w14:textId="3D0EAF44"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17,343</w:t>
            </w:r>
          </w:p>
        </w:tc>
      </w:tr>
      <w:tr w:rsidR="00D45A3B" w:rsidRPr="005C1F89" w14:paraId="65BC9E12" w14:textId="77777777" w:rsidTr="00322518">
        <w:trPr>
          <w:trHeight w:val="200"/>
        </w:trPr>
        <w:tc>
          <w:tcPr>
            <w:tcW w:w="6122" w:type="dxa"/>
            <w:noWrap/>
            <w:hideMark/>
          </w:tcPr>
          <w:p w14:paraId="62094808" w14:textId="77777777" w:rsidR="00D45A3B" w:rsidRPr="005C1F89" w:rsidRDefault="00D45A3B" w:rsidP="00D45A3B">
            <w:pPr>
              <w:pStyle w:val="Text4"/>
              <w:spacing w:before="0" w:after="0"/>
              <w:ind w:left="0"/>
              <w:rPr>
                <w:rFonts w:ascii="Times New Roman" w:eastAsia="Calibri" w:hAnsi="Times New Roman"/>
                <w:noProof/>
              </w:rPr>
            </w:pPr>
            <w:r w:rsidRPr="005C1F89">
              <w:rPr>
                <w:rFonts w:ascii="Times New Roman" w:eastAsia="Calibri" w:hAnsi="Times New Roman"/>
                <w:noProof/>
              </w:rPr>
              <w:t xml:space="preserve">Recurrent costs per MDMS platform (EUR) </w:t>
            </w:r>
          </w:p>
        </w:tc>
        <w:tc>
          <w:tcPr>
            <w:tcW w:w="871" w:type="dxa"/>
            <w:noWrap/>
            <w:hideMark/>
          </w:tcPr>
          <w:p w14:paraId="191D4515" w14:textId="7766A8DA"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color w:val="000000"/>
              </w:rPr>
              <w:t>0</w:t>
            </w:r>
          </w:p>
        </w:tc>
        <w:tc>
          <w:tcPr>
            <w:tcW w:w="870" w:type="dxa"/>
            <w:noWrap/>
            <w:hideMark/>
          </w:tcPr>
          <w:p w14:paraId="12EFF8DE" w14:textId="3868BBA4"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1,734</w:t>
            </w:r>
          </w:p>
        </w:tc>
        <w:tc>
          <w:tcPr>
            <w:tcW w:w="870" w:type="dxa"/>
            <w:noWrap/>
            <w:hideMark/>
          </w:tcPr>
          <w:p w14:paraId="1B2B2601" w14:textId="24F35394"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1,734</w:t>
            </w:r>
          </w:p>
        </w:tc>
        <w:tc>
          <w:tcPr>
            <w:tcW w:w="870" w:type="dxa"/>
            <w:noWrap/>
            <w:hideMark/>
          </w:tcPr>
          <w:p w14:paraId="615DC788" w14:textId="25DA15CE"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1,734</w:t>
            </w:r>
          </w:p>
        </w:tc>
      </w:tr>
      <w:tr w:rsidR="00D45A3B" w:rsidRPr="005C1F89" w14:paraId="1ED10585" w14:textId="77777777" w:rsidTr="00322518">
        <w:trPr>
          <w:trHeight w:val="210"/>
        </w:trPr>
        <w:tc>
          <w:tcPr>
            <w:tcW w:w="6122" w:type="dxa"/>
            <w:noWrap/>
            <w:hideMark/>
          </w:tcPr>
          <w:p w14:paraId="10090770" w14:textId="77777777" w:rsidR="00D45A3B" w:rsidRPr="005C1F89" w:rsidRDefault="00D45A3B" w:rsidP="00D45A3B">
            <w:pPr>
              <w:pStyle w:val="Text4"/>
              <w:spacing w:before="0" w:after="0"/>
              <w:ind w:left="0"/>
              <w:rPr>
                <w:rFonts w:ascii="Times New Roman" w:eastAsia="Calibri" w:hAnsi="Times New Roman"/>
                <w:b/>
                <w:bCs/>
                <w:noProof/>
              </w:rPr>
            </w:pPr>
            <w:r w:rsidRPr="005C1F89">
              <w:rPr>
                <w:rFonts w:ascii="Times New Roman" w:eastAsia="Calibri" w:hAnsi="Times New Roman"/>
                <w:b/>
                <w:bCs/>
                <w:noProof/>
              </w:rPr>
              <w:t xml:space="preserve">PO1 </w:t>
            </w:r>
          </w:p>
        </w:tc>
        <w:tc>
          <w:tcPr>
            <w:tcW w:w="871" w:type="dxa"/>
            <w:noWrap/>
            <w:hideMark/>
          </w:tcPr>
          <w:p w14:paraId="456F0092" w14:textId="3A834CCA"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 </w:t>
            </w:r>
          </w:p>
        </w:tc>
        <w:tc>
          <w:tcPr>
            <w:tcW w:w="870" w:type="dxa"/>
            <w:noWrap/>
            <w:hideMark/>
          </w:tcPr>
          <w:p w14:paraId="4E75B34F" w14:textId="5A25A9C3"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 </w:t>
            </w:r>
          </w:p>
        </w:tc>
        <w:tc>
          <w:tcPr>
            <w:tcW w:w="870" w:type="dxa"/>
            <w:noWrap/>
            <w:hideMark/>
          </w:tcPr>
          <w:p w14:paraId="146CC87A" w14:textId="71EE8982"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 </w:t>
            </w:r>
          </w:p>
        </w:tc>
        <w:tc>
          <w:tcPr>
            <w:tcW w:w="870" w:type="dxa"/>
            <w:noWrap/>
            <w:hideMark/>
          </w:tcPr>
          <w:p w14:paraId="2C539D94" w14:textId="671E411A"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 </w:t>
            </w:r>
          </w:p>
        </w:tc>
      </w:tr>
      <w:tr w:rsidR="00D45A3B" w:rsidRPr="005C1F89" w14:paraId="084380AD" w14:textId="77777777" w:rsidTr="00322518">
        <w:trPr>
          <w:trHeight w:val="200"/>
        </w:trPr>
        <w:tc>
          <w:tcPr>
            <w:tcW w:w="6122" w:type="dxa"/>
            <w:noWrap/>
            <w:hideMark/>
          </w:tcPr>
          <w:p w14:paraId="53CD6F1F" w14:textId="2BE1E6B6" w:rsidR="00D45A3B" w:rsidRPr="005C1F89" w:rsidRDefault="00D45A3B" w:rsidP="00D45A3B">
            <w:pPr>
              <w:pStyle w:val="Text4"/>
              <w:spacing w:before="0" w:after="0"/>
              <w:ind w:left="0"/>
              <w:rPr>
                <w:rFonts w:ascii="Times New Roman" w:eastAsia="Calibri" w:hAnsi="Times New Roman"/>
                <w:noProof/>
              </w:rPr>
            </w:pPr>
            <w:r w:rsidRPr="000D54CD">
              <w:rPr>
                <w:rFonts w:ascii="Times New Roman" w:eastAsia="Calibri" w:hAnsi="Times New Roman"/>
                <w:noProof/>
              </w:rPr>
              <w:t xml:space="preserve">Number of </w:t>
            </w:r>
            <w:r>
              <w:rPr>
                <w:rFonts w:ascii="Times New Roman" w:eastAsia="Calibri" w:hAnsi="Times New Roman"/>
                <w:noProof/>
              </w:rPr>
              <w:t>non-SME</w:t>
            </w:r>
            <w:r w:rsidRPr="000D54CD">
              <w:rPr>
                <w:rFonts w:ascii="Times New Roman" w:eastAsia="Calibri" w:hAnsi="Times New Roman"/>
                <w:noProof/>
              </w:rPr>
              <w:t xml:space="preserve"> MDMS platforms (excluding CRSs</w:t>
            </w:r>
            <w:r>
              <w:rPr>
                <w:rFonts w:ascii="Times New Roman" w:eastAsia="Calibri" w:hAnsi="Times New Roman"/>
                <w:noProof/>
              </w:rPr>
              <w:t xml:space="preserve"> and NCAs</w:t>
            </w:r>
            <w:r w:rsidRPr="000D54CD">
              <w:rPr>
                <w:rFonts w:ascii="Times New Roman" w:eastAsia="Calibri" w:hAnsi="Times New Roman"/>
                <w:noProof/>
              </w:rPr>
              <w:t>) that incur one-off costs due to PM</w:t>
            </w:r>
            <w:r>
              <w:rPr>
                <w:rFonts w:ascii="Times New Roman" w:eastAsia="Calibri" w:hAnsi="Times New Roman"/>
                <w:noProof/>
              </w:rPr>
              <w:t>3</w:t>
            </w:r>
          </w:p>
        </w:tc>
        <w:tc>
          <w:tcPr>
            <w:tcW w:w="871" w:type="dxa"/>
            <w:noWrap/>
            <w:hideMark/>
          </w:tcPr>
          <w:p w14:paraId="0B2CCDC2" w14:textId="0EB46C79"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133</w:t>
            </w:r>
          </w:p>
        </w:tc>
        <w:tc>
          <w:tcPr>
            <w:tcW w:w="870" w:type="dxa"/>
            <w:noWrap/>
            <w:hideMark/>
          </w:tcPr>
          <w:p w14:paraId="50DE489E" w14:textId="3AB21242"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3</w:t>
            </w:r>
          </w:p>
        </w:tc>
        <w:tc>
          <w:tcPr>
            <w:tcW w:w="870" w:type="dxa"/>
            <w:noWrap/>
            <w:hideMark/>
          </w:tcPr>
          <w:p w14:paraId="7A94B7A0" w14:textId="5C733F92"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2</w:t>
            </w:r>
          </w:p>
        </w:tc>
        <w:tc>
          <w:tcPr>
            <w:tcW w:w="870" w:type="dxa"/>
            <w:noWrap/>
            <w:hideMark/>
          </w:tcPr>
          <w:p w14:paraId="36557A59" w14:textId="4C5ABCD3"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w:t>
            </w:r>
          </w:p>
        </w:tc>
      </w:tr>
      <w:tr w:rsidR="00D45A3B" w:rsidRPr="005C1F89" w14:paraId="676B7B9A" w14:textId="77777777" w:rsidTr="00322518">
        <w:trPr>
          <w:trHeight w:val="200"/>
        </w:trPr>
        <w:tc>
          <w:tcPr>
            <w:tcW w:w="6122" w:type="dxa"/>
            <w:noWrap/>
            <w:hideMark/>
          </w:tcPr>
          <w:p w14:paraId="20AC263F" w14:textId="3E7CB05D" w:rsidR="00D45A3B" w:rsidRPr="005C1F89" w:rsidRDefault="00D45A3B" w:rsidP="00D45A3B">
            <w:pPr>
              <w:pStyle w:val="Text4"/>
              <w:spacing w:before="0" w:after="0"/>
              <w:ind w:left="0"/>
              <w:rPr>
                <w:rFonts w:ascii="Times New Roman" w:eastAsia="Calibri" w:hAnsi="Times New Roman"/>
                <w:noProof/>
              </w:rPr>
            </w:pPr>
            <w:r w:rsidRPr="000D54CD">
              <w:rPr>
                <w:rFonts w:ascii="Times New Roman" w:eastAsia="Calibri" w:hAnsi="Times New Roman"/>
                <w:noProof/>
              </w:rPr>
              <w:t>Number of</w:t>
            </w:r>
            <w:r>
              <w:rPr>
                <w:rFonts w:ascii="Times New Roman" w:eastAsia="Calibri" w:hAnsi="Times New Roman"/>
                <w:noProof/>
              </w:rPr>
              <w:t xml:space="preserve"> non-SME</w:t>
            </w:r>
            <w:r w:rsidRPr="000D54CD">
              <w:rPr>
                <w:rFonts w:ascii="Times New Roman" w:eastAsia="Calibri" w:hAnsi="Times New Roman"/>
                <w:noProof/>
              </w:rPr>
              <w:t xml:space="preserve"> MDMS platforms (excluding CRSs</w:t>
            </w:r>
            <w:r>
              <w:rPr>
                <w:rFonts w:ascii="Times New Roman" w:eastAsia="Calibri" w:hAnsi="Times New Roman"/>
                <w:noProof/>
              </w:rPr>
              <w:t xml:space="preserve"> and NCAs</w:t>
            </w:r>
            <w:r w:rsidRPr="000D54CD">
              <w:rPr>
                <w:rFonts w:ascii="Times New Roman" w:eastAsia="Calibri" w:hAnsi="Times New Roman"/>
                <w:noProof/>
              </w:rPr>
              <w:t>) that incur recurrent costs due to PM</w:t>
            </w:r>
            <w:r>
              <w:rPr>
                <w:rFonts w:ascii="Times New Roman" w:eastAsia="Calibri" w:hAnsi="Times New Roman"/>
                <w:noProof/>
              </w:rPr>
              <w:t>3</w:t>
            </w:r>
          </w:p>
        </w:tc>
        <w:tc>
          <w:tcPr>
            <w:tcW w:w="871" w:type="dxa"/>
            <w:noWrap/>
            <w:hideMark/>
          </w:tcPr>
          <w:p w14:paraId="0743F79C" w14:textId="500ABCFF"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w:t>
            </w:r>
          </w:p>
        </w:tc>
        <w:tc>
          <w:tcPr>
            <w:tcW w:w="870" w:type="dxa"/>
            <w:noWrap/>
            <w:hideMark/>
          </w:tcPr>
          <w:p w14:paraId="557EE267" w14:textId="47017461"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136</w:t>
            </w:r>
          </w:p>
        </w:tc>
        <w:tc>
          <w:tcPr>
            <w:tcW w:w="870" w:type="dxa"/>
            <w:noWrap/>
            <w:hideMark/>
          </w:tcPr>
          <w:p w14:paraId="7FC0753C" w14:textId="1DDA7CBD"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159</w:t>
            </w:r>
          </w:p>
        </w:tc>
        <w:tc>
          <w:tcPr>
            <w:tcW w:w="870" w:type="dxa"/>
            <w:noWrap/>
            <w:hideMark/>
          </w:tcPr>
          <w:p w14:paraId="155E8D9D" w14:textId="61F02DC8"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161</w:t>
            </w:r>
          </w:p>
        </w:tc>
      </w:tr>
      <w:tr w:rsidR="00D45A3B" w:rsidRPr="005C1F89" w14:paraId="66FBD0B8" w14:textId="77777777" w:rsidTr="00322518">
        <w:trPr>
          <w:trHeight w:val="200"/>
        </w:trPr>
        <w:tc>
          <w:tcPr>
            <w:tcW w:w="6122" w:type="dxa"/>
            <w:noWrap/>
            <w:hideMark/>
          </w:tcPr>
          <w:p w14:paraId="2171AC4C" w14:textId="77777777" w:rsidR="00D45A3B" w:rsidRPr="005C1F89" w:rsidRDefault="00D45A3B" w:rsidP="00D45A3B">
            <w:pPr>
              <w:pStyle w:val="Text4"/>
              <w:spacing w:before="0" w:after="0"/>
              <w:ind w:left="0"/>
              <w:rPr>
                <w:rFonts w:ascii="Times New Roman" w:eastAsia="Calibri" w:hAnsi="Times New Roman"/>
                <w:noProof/>
              </w:rPr>
            </w:pPr>
            <w:r w:rsidRPr="005C1F89">
              <w:rPr>
                <w:rFonts w:ascii="Times New Roman" w:eastAsia="Calibri" w:hAnsi="Times New Roman"/>
                <w:noProof/>
              </w:rPr>
              <w:t xml:space="preserve">Total one-off adjustment costs (million EUR) </w:t>
            </w:r>
          </w:p>
        </w:tc>
        <w:tc>
          <w:tcPr>
            <w:tcW w:w="871" w:type="dxa"/>
            <w:noWrap/>
            <w:hideMark/>
          </w:tcPr>
          <w:p w14:paraId="20EBA1EC" w14:textId="56194AAA"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2.3</w:t>
            </w:r>
          </w:p>
        </w:tc>
        <w:tc>
          <w:tcPr>
            <w:tcW w:w="870" w:type="dxa"/>
            <w:noWrap/>
            <w:hideMark/>
          </w:tcPr>
          <w:p w14:paraId="0AAFAB10" w14:textId="23524303"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0.0</w:t>
            </w:r>
          </w:p>
        </w:tc>
        <w:tc>
          <w:tcPr>
            <w:tcW w:w="870" w:type="dxa"/>
            <w:noWrap/>
            <w:hideMark/>
          </w:tcPr>
          <w:p w14:paraId="10422D80" w14:textId="25E1891B"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0.0</w:t>
            </w:r>
          </w:p>
        </w:tc>
        <w:tc>
          <w:tcPr>
            <w:tcW w:w="870" w:type="dxa"/>
            <w:noWrap/>
            <w:hideMark/>
          </w:tcPr>
          <w:p w14:paraId="55D8532D" w14:textId="5855A16E"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0.0</w:t>
            </w:r>
          </w:p>
        </w:tc>
      </w:tr>
      <w:tr w:rsidR="00D45A3B" w:rsidRPr="005C1F89" w14:paraId="37342BDC" w14:textId="77777777" w:rsidTr="00322518">
        <w:trPr>
          <w:trHeight w:val="200"/>
        </w:trPr>
        <w:tc>
          <w:tcPr>
            <w:tcW w:w="6122" w:type="dxa"/>
            <w:noWrap/>
            <w:hideMark/>
          </w:tcPr>
          <w:p w14:paraId="658307D8" w14:textId="77777777" w:rsidR="00D45A3B" w:rsidRPr="005C1F89" w:rsidRDefault="00D45A3B" w:rsidP="00D45A3B">
            <w:pPr>
              <w:pStyle w:val="Text4"/>
              <w:spacing w:before="0" w:after="0"/>
              <w:ind w:left="0"/>
              <w:rPr>
                <w:rFonts w:ascii="Times New Roman" w:eastAsia="Calibri" w:hAnsi="Times New Roman"/>
                <w:noProof/>
              </w:rPr>
            </w:pPr>
            <w:r w:rsidRPr="005C1F89">
              <w:rPr>
                <w:rFonts w:ascii="Times New Roman" w:eastAsia="Calibri" w:hAnsi="Times New Roman"/>
                <w:noProof/>
              </w:rPr>
              <w:t xml:space="preserve">Total recurrent adjustment costs (million EUR) </w:t>
            </w:r>
          </w:p>
        </w:tc>
        <w:tc>
          <w:tcPr>
            <w:tcW w:w="871" w:type="dxa"/>
            <w:noWrap/>
            <w:hideMark/>
          </w:tcPr>
          <w:p w14:paraId="6ED0E3F9" w14:textId="681EE3E2"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0.0</w:t>
            </w:r>
          </w:p>
        </w:tc>
        <w:tc>
          <w:tcPr>
            <w:tcW w:w="870" w:type="dxa"/>
            <w:noWrap/>
            <w:hideMark/>
          </w:tcPr>
          <w:p w14:paraId="5EC6C6FC" w14:textId="041936AA"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0.2</w:t>
            </w:r>
          </w:p>
        </w:tc>
        <w:tc>
          <w:tcPr>
            <w:tcW w:w="870" w:type="dxa"/>
            <w:noWrap/>
            <w:hideMark/>
          </w:tcPr>
          <w:p w14:paraId="0ACC9162" w14:textId="5652B7E7"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0.3</w:t>
            </w:r>
          </w:p>
        </w:tc>
        <w:tc>
          <w:tcPr>
            <w:tcW w:w="870" w:type="dxa"/>
            <w:noWrap/>
            <w:hideMark/>
          </w:tcPr>
          <w:p w14:paraId="64F21C4A" w14:textId="3E65EFD6"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0.3</w:t>
            </w:r>
          </w:p>
        </w:tc>
      </w:tr>
      <w:tr w:rsidR="00D45A3B" w:rsidRPr="005C1F89" w14:paraId="5DBCC583" w14:textId="77777777" w:rsidTr="00322518">
        <w:trPr>
          <w:trHeight w:val="210"/>
        </w:trPr>
        <w:tc>
          <w:tcPr>
            <w:tcW w:w="6122" w:type="dxa"/>
            <w:noWrap/>
            <w:hideMark/>
          </w:tcPr>
          <w:p w14:paraId="67835CC1" w14:textId="77777777" w:rsidR="00D45A3B" w:rsidRPr="005C1F89" w:rsidRDefault="00D45A3B" w:rsidP="00D45A3B">
            <w:pPr>
              <w:pStyle w:val="Text4"/>
              <w:spacing w:before="0" w:after="0"/>
              <w:ind w:left="0"/>
              <w:rPr>
                <w:rFonts w:ascii="Times New Roman" w:eastAsia="Calibri" w:hAnsi="Times New Roman"/>
                <w:b/>
                <w:bCs/>
                <w:noProof/>
              </w:rPr>
            </w:pPr>
            <w:r w:rsidRPr="005C1F89">
              <w:rPr>
                <w:rFonts w:ascii="Times New Roman" w:eastAsia="Calibri" w:hAnsi="Times New Roman"/>
                <w:b/>
                <w:bCs/>
                <w:noProof/>
              </w:rPr>
              <w:t xml:space="preserve">PO2 </w:t>
            </w:r>
          </w:p>
        </w:tc>
        <w:tc>
          <w:tcPr>
            <w:tcW w:w="871" w:type="dxa"/>
            <w:noWrap/>
            <w:hideMark/>
          </w:tcPr>
          <w:p w14:paraId="358A3D0B" w14:textId="67AEB331"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 </w:t>
            </w:r>
          </w:p>
        </w:tc>
        <w:tc>
          <w:tcPr>
            <w:tcW w:w="870" w:type="dxa"/>
            <w:noWrap/>
            <w:hideMark/>
          </w:tcPr>
          <w:p w14:paraId="13549C2D" w14:textId="341D3F76"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 </w:t>
            </w:r>
          </w:p>
        </w:tc>
        <w:tc>
          <w:tcPr>
            <w:tcW w:w="870" w:type="dxa"/>
            <w:noWrap/>
            <w:hideMark/>
          </w:tcPr>
          <w:p w14:paraId="2FF82145" w14:textId="6118517B"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 </w:t>
            </w:r>
          </w:p>
        </w:tc>
        <w:tc>
          <w:tcPr>
            <w:tcW w:w="870" w:type="dxa"/>
            <w:noWrap/>
            <w:hideMark/>
          </w:tcPr>
          <w:p w14:paraId="5D213360" w14:textId="7CFABDB0"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 </w:t>
            </w:r>
          </w:p>
        </w:tc>
      </w:tr>
      <w:tr w:rsidR="00D45A3B" w:rsidRPr="005C1F89" w14:paraId="3E4BD8D3" w14:textId="77777777" w:rsidTr="00322518">
        <w:trPr>
          <w:trHeight w:val="200"/>
        </w:trPr>
        <w:tc>
          <w:tcPr>
            <w:tcW w:w="6122" w:type="dxa"/>
            <w:noWrap/>
            <w:hideMark/>
          </w:tcPr>
          <w:p w14:paraId="2DF2120D" w14:textId="7D9E3442" w:rsidR="00D45A3B" w:rsidRPr="005C1F89" w:rsidRDefault="00D45A3B" w:rsidP="00D45A3B">
            <w:pPr>
              <w:pStyle w:val="Text4"/>
              <w:spacing w:before="0" w:after="0"/>
              <w:ind w:left="0"/>
              <w:rPr>
                <w:rFonts w:ascii="Times New Roman" w:eastAsia="Calibri" w:hAnsi="Times New Roman"/>
                <w:noProof/>
              </w:rPr>
            </w:pPr>
            <w:r w:rsidRPr="000D54CD">
              <w:rPr>
                <w:rFonts w:ascii="Times New Roman" w:eastAsia="Calibri" w:hAnsi="Times New Roman"/>
                <w:noProof/>
              </w:rPr>
              <w:t xml:space="preserve">Number of </w:t>
            </w:r>
            <w:r>
              <w:rPr>
                <w:rFonts w:ascii="Times New Roman" w:eastAsia="Calibri" w:hAnsi="Times New Roman"/>
                <w:noProof/>
              </w:rPr>
              <w:t>non-SME</w:t>
            </w:r>
            <w:r w:rsidRPr="000D54CD">
              <w:rPr>
                <w:rFonts w:ascii="Times New Roman" w:eastAsia="Calibri" w:hAnsi="Times New Roman"/>
                <w:noProof/>
              </w:rPr>
              <w:t xml:space="preserve"> MDMS platforms (excluding CRSs</w:t>
            </w:r>
            <w:r>
              <w:rPr>
                <w:rFonts w:ascii="Times New Roman" w:eastAsia="Calibri" w:hAnsi="Times New Roman"/>
                <w:noProof/>
              </w:rPr>
              <w:t xml:space="preserve"> and NCAs</w:t>
            </w:r>
            <w:r w:rsidRPr="000D54CD">
              <w:rPr>
                <w:rFonts w:ascii="Times New Roman" w:eastAsia="Calibri" w:hAnsi="Times New Roman"/>
                <w:noProof/>
              </w:rPr>
              <w:t>) that incur one-off costs due to PM</w:t>
            </w:r>
            <w:r>
              <w:rPr>
                <w:rFonts w:ascii="Times New Roman" w:eastAsia="Calibri" w:hAnsi="Times New Roman"/>
                <w:noProof/>
              </w:rPr>
              <w:t>3</w:t>
            </w:r>
          </w:p>
        </w:tc>
        <w:tc>
          <w:tcPr>
            <w:tcW w:w="871" w:type="dxa"/>
            <w:noWrap/>
            <w:hideMark/>
          </w:tcPr>
          <w:p w14:paraId="3AAB3FEF" w14:textId="3A4BF941"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133</w:t>
            </w:r>
          </w:p>
        </w:tc>
        <w:tc>
          <w:tcPr>
            <w:tcW w:w="870" w:type="dxa"/>
            <w:noWrap/>
            <w:hideMark/>
          </w:tcPr>
          <w:p w14:paraId="56C08B0A" w14:textId="0FA6173F"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6</w:t>
            </w:r>
          </w:p>
        </w:tc>
        <w:tc>
          <w:tcPr>
            <w:tcW w:w="870" w:type="dxa"/>
            <w:noWrap/>
            <w:hideMark/>
          </w:tcPr>
          <w:p w14:paraId="33A2E8F5" w14:textId="71D67D30"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10</w:t>
            </w:r>
          </w:p>
        </w:tc>
        <w:tc>
          <w:tcPr>
            <w:tcW w:w="870" w:type="dxa"/>
            <w:noWrap/>
            <w:hideMark/>
          </w:tcPr>
          <w:p w14:paraId="0BCFCF2E" w14:textId="4C8D8835"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w:t>
            </w:r>
          </w:p>
        </w:tc>
      </w:tr>
      <w:tr w:rsidR="00D45A3B" w:rsidRPr="005C1F89" w14:paraId="2A4DCC40" w14:textId="77777777" w:rsidTr="00322518">
        <w:trPr>
          <w:trHeight w:val="200"/>
        </w:trPr>
        <w:tc>
          <w:tcPr>
            <w:tcW w:w="6122" w:type="dxa"/>
            <w:noWrap/>
            <w:hideMark/>
          </w:tcPr>
          <w:p w14:paraId="7EC9EA92" w14:textId="56E5185F" w:rsidR="00D45A3B" w:rsidRPr="005C1F89" w:rsidRDefault="00D45A3B" w:rsidP="00D45A3B">
            <w:pPr>
              <w:pStyle w:val="Text4"/>
              <w:spacing w:before="0" w:after="0"/>
              <w:ind w:left="0"/>
              <w:rPr>
                <w:rFonts w:ascii="Times New Roman" w:eastAsia="Calibri" w:hAnsi="Times New Roman"/>
                <w:noProof/>
              </w:rPr>
            </w:pPr>
            <w:r w:rsidRPr="000D54CD">
              <w:rPr>
                <w:rFonts w:ascii="Times New Roman" w:eastAsia="Calibri" w:hAnsi="Times New Roman"/>
                <w:noProof/>
              </w:rPr>
              <w:t>Number of</w:t>
            </w:r>
            <w:r>
              <w:rPr>
                <w:rFonts w:ascii="Times New Roman" w:eastAsia="Calibri" w:hAnsi="Times New Roman"/>
                <w:noProof/>
              </w:rPr>
              <w:t xml:space="preserve"> non-SME</w:t>
            </w:r>
            <w:r w:rsidRPr="000D54CD">
              <w:rPr>
                <w:rFonts w:ascii="Times New Roman" w:eastAsia="Calibri" w:hAnsi="Times New Roman"/>
                <w:noProof/>
              </w:rPr>
              <w:t xml:space="preserve"> MDMS platforms (excluding CRSs</w:t>
            </w:r>
            <w:r>
              <w:rPr>
                <w:rFonts w:ascii="Times New Roman" w:eastAsia="Calibri" w:hAnsi="Times New Roman"/>
                <w:noProof/>
              </w:rPr>
              <w:t xml:space="preserve"> and NCAs</w:t>
            </w:r>
            <w:r w:rsidRPr="000D54CD">
              <w:rPr>
                <w:rFonts w:ascii="Times New Roman" w:eastAsia="Calibri" w:hAnsi="Times New Roman"/>
                <w:noProof/>
              </w:rPr>
              <w:t>) that incur recurrent costs due to PM</w:t>
            </w:r>
            <w:r>
              <w:rPr>
                <w:rFonts w:ascii="Times New Roman" w:eastAsia="Calibri" w:hAnsi="Times New Roman"/>
                <w:noProof/>
              </w:rPr>
              <w:t>3</w:t>
            </w:r>
          </w:p>
        </w:tc>
        <w:tc>
          <w:tcPr>
            <w:tcW w:w="871" w:type="dxa"/>
            <w:noWrap/>
            <w:hideMark/>
          </w:tcPr>
          <w:p w14:paraId="2338CDAA" w14:textId="6CAF3723"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w:t>
            </w:r>
          </w:p>
        </w:tc>
        <w:tc>
          <w:tcPr>
            <w:tcW w:w="870" w:type="dxa"/>
            <w:noWrap/>
            <w:hideMark/>
          </w:tcPr>
          <w:p w14:paraId="5536B884" w14:textId="18E32A69"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139</w:t>
            </w:r>
          </w:p>
        </w:tc>
        <w:tc>
          <w:tcPr>
            <w:tcW w:w="870" w:type="dxa"/>
            <w:noWrap/>
            <w:hideMark/>
          </w:tcPr>
          <w:p w14:paraId="2F517DEA" w14:textId="5DDEB8D0"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236</w:t>
            </w:r>
          </w:p>
        </w:tc>
        <w:tc>
          <w:tcPr>
            <w:tcW w:w="870" w:type="dxa"/>
            <w:noWrap/>
            <w:hideMark/>
          </w:tcPr>
          <w:p w14:paraId="64584B4E" w14:textId="4464E605"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232</w:t>
            </w:r>
          </w:p>
        </w:tc>
      </w:tr>
      <w:tr w:rsidR="00D45A3B" w:rsidRPr="005C1F89" w14:paraId="1794040D" w14:textId="77777777" w:rsidTr="00322518">
        <w:trPr>
          <w:trHeight w:val="200"/>
        </w:trPr>
        <w:tc>
          <w:tcPr>
            <w:tcW w:w="6122" w:type="dxa"/>
            <w:noWrap/>
            <w:hideMark/>
          </w:tcPr>
          <w:p w14:paraId="05A16FB9" w14:textId="77777777" w:rsidR="00D45A3B" w:rsidRPr="005C1F89" w:rsidRDefault="00D45A3B" w:rsidP="00D45A3B">
            <w:pPr>
              <w:pStyle w:val="Text4"/>
              <w:spacing w:before="0" w:after="0"/>
              <w:ind w:left="0"/>
              <w:rPr>
                <w:rFonts w:ascii="Times New Roman" w:eastAsia="Calibri" w:hAnsi="Times New Roman"/>
                <w:noProof/>
              </w:rPr>
            </w:pPr>
            <w:r w:rsidRPr="005C1F89">
              <w:rPr>
                <w:rFonts w:ascii="Times New Roman" w:eastAsia="Calibri" w:hAnsi="Times New Roman"/>
                <w:noProof/>
              </w:rPr>
              <w:t xml:space="preserve">Total one-off adjustment costs (million EUR) </w:t>
            </w:r>
          </w:p>
        </w:tc>
        <w:tc>
          <w:tcPr>
            <w:tcW w:w="871" w:type="dxa"/>
            <w:noWrap/>
            <w:hideMark/>
          </w:tcPr>
          <w:p w14:paraId="1D47AFBA" w14:textId="6DD91B37"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2.3</w:t>
            </w:r>
          </w:p>
        </w:tc>
        <w:tc>
          <w:tcPr>
            <w:tcW w:w="870" w:type="dxa"/>
            <w:noWrap/>
            <w:hideMark/>
          </w:tcPr>
          <w:p w14:paraId="622D29CA" w14:textId="3CF5FF2C"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0.1</w:t>
            </w:r>
          </w:p>
        </w:tc>
        <w:tc>
          <w:tcPr>
            <w:tcW w:w="870" w:type="dxa"/>
            <w:noWrap/>
            <w:hideMark/>
          </w:tcPr>
          <w:p w14:paraId="79A92590" w14:textId="444B0DEE"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0.2</w:t>
            </w:r>
          </w:p>
        </w:tc>
        <w:tc>
          <w:tcPr>
            <w:tcW w:w="870" w:type="dxa"/>
            <w:noWrap/>
            <w:hideMark/>
          </w:tcPr>
          <w:p w14:paraId="6912F6D4" w14:textId="0E62403A"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0.0</w:t>
            </w:r>
          </w:p>
        </w:tc>
      </w:tr>
      <w:tr w:rsidR="00D45A3B" w:rsidRPr="005C1F89" w14:paraId="4047B89C" w14:textId="77777777" w:rsidTr="00322518">
        <w:trPr>
          <w:trHeight w:val="200"/>
        </w:trPr>
        <w:tc>
          <w:tcPr>
            <w:tcW w:w="6122" w:type="dxa"/>
            <w:noWrap/>
            <w:hideMark/>
          </w:tcPr>
          <w:p w14:paraId="246C22D1" w14:textId="77777777" w:rsidR="00D45A3B" w:rsidRPr="005C1F89" w:rsidRDefault="00D45A3B" w:rsidP="00D45A3B">
            <w:pPr>
              <w:pStyle w:val="Text4"/>
              <w:spacing w:before="0" w:after="0"/>
              <w:ind w:left="0"/>
              <w:rPr>
                <w:rFonts w:ascii="Times New Roman" w:eastAsia="Calibri" w:hAnsi="Times New Roman"/>
                <w:noProof/>
              </w:rPr>
            </w:pPr>
            <w:r w:rsidRPr="005C1F89">
              <w:rPr>
                <w:rFonts w:ascii="Times New Roman" w:eastAsia="Calibri" w:hAnsi="Times New Roman"/>
                <w:noProof/>
              </w:rPr>
              <w:t xml:space="preserve">Total recurrent adjustment costs (million EUR) </w:t>
            </w:r>
          </w:p>
        </w:tc>
        <w:tc>
          <w:tcPr>
            <w:tcW w:w="871" w:type="dxa"/>
            <w:noWrap/>
            <w:hideMark/>
          </w:tcPr>
          <w:p w14:paraId="63807953" w14:textId="6A469F99"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0.0</w:t>
            </w:r>
          </w:p>
        </w:tc>
        <w:tc>
          <w:tcPr>
            <w:tcW w:w="870" w:type="dxa"/>
            <w:noWrap/>
            <w:hideMark/>
          </w:tcPr>
          <w:p w14:paraId="52BB5758" w14:textId="3265A911"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0.2</w:t>
            </w:r>
          </w:p>
        </w:tc>
        <w:tc>
          <w:tcPr>
            <w:tcW w:w="870" w:type="dxa"/>
            <w:noWrap/>
            <w:hideMark/>
          </w:tcPr>
          <w:p w14:paraId="78129DE9" w14:textId="0113CE04"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0.4</w:t>
            </w:r>
          </w:p>
        </w:tc>
        <w:tc>
          <w:tcPr>
            <w:tcW w:w="870" w:type="dxa"/>
            <w:noWrap/>
            <w:hideMark/>
          </w:tcPr>
          <w:p w14:paraId="7D40F6C4" w14:textId="6FD324F3"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0.4</w:t>
            </w:r>
          </w:p>
        </w:tc>
      </w:tr>
      <w:tr w:rsidR="00D45A3B" w:rsidRPr="005C1F89" w14:paraId="06F74080" w14:textId="77777777" w:rsidTr="00322518">
        <w:trPr>
          <w:trHeight w:val="210"/>
        </w:trPr>
        <w:tc>
          <w:tcPr>
            <w:tcW w:w="6122" w:type="dxa"/>
            <w:noWrap/>
            <w:hideMark/>
          </w:tcPr>
          <w:p w14:paraId="1A8218CF" w14:textId="77777777" w:rsidR="00D45A3B" w:rsidRPr="005C1F89" w:rsidRDefault="00D45A3B" w:rsidP="00D45A3B">
            <w:pPr>
              <w:pStyle w:val="Text4"/>
              <w:spacing w:before="0" w:after="0"/>
              <w:ind w:left="0"/>
              <w:rPr>
                <w:rFonts w:ascii="Times New Roman" w:eastAsia="Calibri" w:hAnsi="Times New Roman"/>
                <w:b/>
                <w:bCs/>
                <w:noProof/>
              </w:rPr>
            </w:pPr>
            <w:r w:rsidRPr="005C1F89">
              <w:rPr>
                <w:rFonts w:ascii="Times New Roman" w:eastAsia="Calibri" w:hAnsi="Times New Roman"/>
                <w:b/>
                <w:bCs/>
                <w:noProof/>
              </w:rPr>
              <w:t xml:space="preserve">PO3 </w:t>
            </w:r>
          </w:p>
        </w:tc>
        <w:tc>
          <w:tcPr>
            <w:tcW w:w="871" w:type="dxa"/>
            <w:noWrap/>
            <w:hideMark/>
          </w:tcPr>
          <w:p w14:paraId="0BFE7267" w14:textId="123D72A5"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 </w:t>
            </w:r>
          </w:p>
        </w:tc>
        <w:tc>
          <w:tcPr>
            <w:tcW w:w="870" w:type="dxa"/>
            <w:noWrap/>
            <w:hideMark/>
          </w:tcPr>
          <w:p w14:paraId="3B778B8C" w14:textId="5A63E667"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 </w:t>
            </w:r>
          </w:p>
        </w:tc>
        <w:tc>
          <w:tcPr>
            <w:tcW w:w="870" w:type="dxa"/>
            <w:noWrap/>
            <w:hideMark/>
          </w:tcPr>
          <w:p w14:paraId="74314130" w14:textId="458ADBAE"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 </w:t>
            </w:r>
          </w:p>
        </w:tc>
        <w:tc>
          <w:tcPr>
            <w:tcW w:w="870" w:type="dxa"/>
            <w:noWrap/>
            <w:hideMark/>
          </w:tcPr>
          <w:p w14:paraId="209ECBA5" w14:textId="7B1A6904"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 </w:t>
            </w:r>
          </w:p>
        </w:tc>
      </w:tr>
      <w:tr w:rsidR="00D45A3B" w:rsidRPr="005C1F89" w14:paraId="5F5D783D" w14:textId="77777777" w:rsidTr="00322518">
        <w:trPr>
          <w:trHeight w:val="200"/>
        </w:trPr>
        <w:tc>
          <w:tcPr>
            <w:tcW w:w="6122" w:type="dxa"/>
            <w:noWrap/>
            <w:hideMark/>
          </w:tcPr>
          <w:p w14:paraId="567233E2" w14:textId="1545CD7E" w:rsidR="00D45A3B" w:rsidRPr="005C1F89" w:rsidRDefault="00D45A3B" w:rsidP="00D45A3B">
            <w:pPr>
              <w:pStyle w:val="Text4"/>
              <w:spacing w:before="0" w:after="0"/>
              <w:ind w:left="0"/>
              <w:rPr>
                <w:rFonts w:ascii="Times New Roman" w:eastAsia="Calibri" w:hAnsi="Times New Roman"/>
                <w:noProof/>
              </w:rPr>
            </w:pPr>
            <w:r w:rsidRPr="000D54CD">
              <w:rPr>
                <w:rFonts w:ascii="Times New Roman" w:eastAsia="Calibri" w:hAnsi="Times New Roman"/>
                <w:noProof/>
              </w:rPr>
              <w:t xml:space="preserve">Number of </w:t>
            </w:r>
            <w:r>
              <w:rPr>
                <w:rFonts w:ascii="Times New Roman" w:eastAsia="Calibri" w:hAnsi="Times New Roman"/>
                <w:noProof/>
              </w:rPr>
              <w:t>non-SME</w:t>
            </w:r>
            <w:r w:rsidRPr="000D54CD">
              <w:rPr>
                <w:rFonts w:ascii="Times New Roman" w:eastAsia="Calibri" w:hAnsi="Times New Roman"/>
                <w:noProof/>
              </w:rPr>
              <w:t xml:space="preserve"> MDMS platforms (excluding CRSs</w:t>
            </w:r>
            <w:r>
              <w:rPr>
                <w:rFonts w:ascii="Times New Roman" w:eastAsia="Calibri" w:hAnsi="Times New Roman"/>
                <w:noProof/>
              </w:rPr>
              <w:t xml:space="preserve"> and NCAs</w:t>
            </w:r>
            <w:r w:rsidRPr="000D54CD">
              <w:rPr>
                <w:rFonts w:ascii="Times New Roman" w:eastAsia="Calibri" w:hAnsi="Times New Roman"/>
                <w:noProof/>
              </w:rPr>
              <w:t>) that incur one-off costs due to PM</w:t>
            </w:r>
            <w:r>
              <w:rPr>
                <w:rFonts w:ascii="Times New Roman" w:eastAsia="Calibri" w:hAnsi="Times New Roman"/>
                <w:noProof/>
              </w:rPr>
              <w:t>3</w:t>
            </w:r>
          </w:p>
        </w:tc>
        <w:tc>
          <w:tcPr>
            <w:tcW w:w="871" w:type="dxa"/>
            <w:noWrap/>
            <w:hideMark/>
          </w:tcPr>
          <w:p w14:paraId="763D4695" w14:textId="3F3BB13E"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133</w:t>
            </w:r>
          </w:p>
        </w:tc>
        <w:tc>
          <w:tcPr>
            <w:tcW w:w="870" w:type="dxa"/>
            <w:noWrap/>
            <w:hideMark/>
          </w:tcPr>
          <w:p w14:paraId="27C9A808" w14:textId="700B7BDA"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7</w:t>
            </w:r>
          </w:p>
        </w:tc>
        <w:tc>
          <w:tcPr>
            <w:tcW w:w="870" w:type="dxa"/>
            <w:noWrap/>
            <w:hideMark/>
          </w:tcPr>
          <w:p w14:paraId="7E4015F1" w14:textId="039B3C5B"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9</w:t>
            </w:r>
          </w:p>
        </w:tc>
        <w:tc>
          <w:tcPr>
            <w:tcW w:w="870" w:type="dxa"/>
            <w:noWrap/>
            <w:hideMark/>
          </w:tcPr>
          <w:p w14:paraId="7B96B2FC" w14:textId="756720BC"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w:t>
            </w:r>
          </w:p>
        </w:tc>
      </w:tr>
      <w:tr w:rsidR="00D45A3B" w:rsidRPr="005C1F89" w14:paraId="019E1888" w14:textId="77777777" w:rsidTr="00322518">
        <w:trPr>
          <w:trHeight w:val="200"/>
        </w:trPr>
        <w:tc>
          <w:tcPr>
            <w:tcW w:w="6122" w:type="dxa"/>
            <w:noWrap/>
            <w:hideMark/>
          </w:tcPr>
          <w:p w14:paraId="1FDA9E65" w14:textId="0607FA5F" w:rsidR="00D45A3B" w:rsidRPr="005C1F89" w:rsidRDefault="00D45A3B" w:rsidP="00D45A3B">
            <w:pPr>
              <w:pStyle w:val="Text4"/>
              <w:spacing w:before="0" w:after="0"/>
              <w:ind w:left="0"/>
              <w:rPr>
                <w:rFonts w:ascii="Times New Roman" w:eastAsia="Calibri" w:hAnsi="Times New Roman"/>
                <w:noProof/>
              </w:rPr>
            </w:pPr>
            <w:r w:rsidRPr="000D54CD">
              <w:rPr>
                <w:rFonts w:ascii="Times New Roman" w:eastAsia="Calibri" w:hAnsi="Times New Roman"/>
                <w:noProof/>
              </w:rPr>
              <w:t>Number of</w:t>
            </w:r>
            <w:r>
              <w:rPr>
                <w:rFonts w:ascii="Times New Roman" w:eastAsia="Calibri" w:hAnsi="Times New Roman"/>
                <w:noProof/>
              </w:rPr>
              <w:t xml:space="preserve"> non-SME</w:t>
            </w:r>
            <w:r w:rsidRPr="000D54CD">
              <w:rPr>
                <w:rFonts w:ascii="Times New Roman" w:eastAsia="Calibri" w:hAnsi="Times New Roman"/>
                <w:noProof/>
              </w:rPr>
              <w:t xml:space="preserve"> MDMS platforms (excluding CRSs</w:t>
            </w:r>
            <w:r>
              <w:rPr>
                <w:rFonts w:ascii="Times New Roman" w:eastAsia="Calibri" w:hAnsi="Times New Roman"/>
                <w:noProof/>
              </w:rPr>
              <w:t xml:space="preserve"> and NCAs</w:t>
            </w:r>
            <w:r w:rsidRPr="000D54CD">
              <w:rPr>
                <w:rFonts w:ascii="Times New Roman" w:eastAsia="Calibri" w:hAnsi="Times New Roman"/>
                <w:noProof/>
              </w:rPr>
              <w:t>) that incur recurrent costs due to PM</w:t>
            </w:r>
            <w:r>
              <w:rPr>
                <w:rFonts w:ascii="Times New Roman" w:eastAsia="Calibri" w:hAnsi="Times New Roman"/>
                <w:noProof/>
              </w:rPr>
              <w:t>3</w:t>
            </w:r>
          </w:p>
        </w:tc>
        <w:tc>
          <w:tcPr>
            <w:tcW w:w="871" w:type="dxa"/>
            <w:noWrap/>
            <w:hideMark/>
          </w:tcPr>
          <w:p w14:paraId="20FB4131" w14:textId="105FB68C"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w:t>
            </w:r>
          </w:p>
        </w:tc>
        <w:tc>
          <w:tcPr>
            <w:tcW w:w="870" w:type="dxa"/>
            <w:noWrap/>
            <w:hideMark/>
          </w:tcPr>
          <w:p w14:paraId="6200A6A0" w14:textId="42EAE237"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138</w:t>
            </w:r>
          </w:p>
        </w:tc>
        <w:tc>
          <w:tcPr>
            <w:tcW w:w="870" w:type="dxa"/>
            <w:noWrap/>
            <w:hideMark/>
          </w:tcPr>
          <w:p w14:paraId="4E05404F" w14:textId="47F52B27"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222</w:t>
            </w:r>
          </w:p>
        </w:tc>
        <w:tc>
          <w:tcPr>
            <w:tcW w:w="870" w:type="dxa"/>
            <w:noWrap/>
            <w:hideMark/>
          </w:tcPr>
          <w:p w14:paraId="3A80FE07" w14:textId="23854279"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230</w:t>
            </w:r>
          </w:p>
        </w:tc>
      </w:tr>
      <w:tr w:rsidR="00D45A3B" w:rsidRPr="005C1F89" w14:paraId="082960F5" w14:textId="77777777" w:rsidTr="00322518">
        <w:trPr>
          <w:trHeight w:val="200"/>
        </w:trPr>
        <w:tc>
          <w:tcPr>
            <w:tcW w:w="6122" w:type="dxa"/>
            <w:noWrap/>
            <w:hideMark/>
          </w:tcPr>
          <w:p w14:paraId="291FBF8C" w14:textId="77777777" w:rsidR="00D45A3B" w:rsidRPr="005C1F89" w:rsidRDefault="00D45A3B" w:rsidP="00D45A3B">
            <w:pPr>
              <w:pStyle w:val="Text4"/>
              <w:spacing w:before="0" w:after="0"/>
              <w:ind w:left="0"/>
              <w:rPr>
                <w:rFonts w:ascii="Times New Roman" w:eastAsia="Calibri" w:hAnsi="Times New Roman"/>
                <w:noProof/>
              </w:rPr>
            </w:pPr>
            <w:r w:rsidRPr="005C1F89">
              <w:rPr>
                <w:rFonts w:ascii="Times New Roman" w:eastAsia="Calibri" w:hAnsi="Times New Roman"/>
                <w:noProof/>
              </w:rPr>
              <w:t xml:space="preserve">Total one-off adjustment costs (million EUR) </w:t>
            </w:r>
          </w:p>
        </w:tc>
        <w:tc>
          <w:tcPr>
            <w:tcW w:w="871" w:type="dxa"/>
            <w:noWrap/>
            <w:hideMark/>
          </w:tcPr>
          <w:p w14:paraId="420422CB" w14:textId="4A53E47D"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2.3</w:t>
            </w:r>
          </w:p>
        </w:tc>
        <w:tc>
          <w:tcPr>
            <w:tcW w:w="870" w:type="dxa"/>
            <w:noWrap/>
            <w:hideMark/>
          </w:tcPr>
          <w:p w14:paraId="33B7AF49" w14:textId="0F7162A9"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0.1</w:t>
            </w:r>
          </w:p>
        </w:tc>
        <w:tc>
          <w:tcPr>
            <w:tcW w:w="870" w:type="dxa"/>
            <w:noWrap/>
            <w:hideMark/>
          </w:tcPr>
          <w:p w14:paraId="28CC441C" w14:textId="0BE2994E"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0.1</w:t>
            </w:r>
          </w:p>
        </w:tc>
        <w:tc>
          <w:tcPr>
            <w:tcW w:w="870" w:type="dxa"/>
            <w:noWrap/>
            <w:hideMark/>
          </w:tcPr>
          <w:p w14:paraId="3F5DAFAD" w14:textId="0F2009C0"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0.0</w:t>
            </w:r>
          </w:p>
        </w:tc>
      </w:tr>
      <w:tr w:rsidR="00D45A3B" w:rsidRPr="005C1F89" w14:paraId="0C08997E" w14:textId="77777777" w:rsidTr="00322518">
        <w:trPr>
          <w:trHeight w:val="200"/>
        </w:trPr>
        <w:tc>
          <w:tcPr>
            <w:tcW w:w="6122" w:type="dxa"/>
            <w:noWrap/>
            <w:hideMark/>
          </w:tcPr>
          <w:p w14:paraId="36795A11" w14:textId="77777777" w:rsidR="00D45A3B" w:rsidRPr="005C1F89" w:rsidRDefault="00D45A3B" w:rsidP="00D45A3B">
            <w:pPr>
              <w:pStyle w:val="Text4"/>
              <w:spacing w:before="0" w:after="0"/>
              <w:ind w:left="0"/>
              <w:rPr>
                <w:rFonts w:ascii="Times New Roman" w:eastAsia="Calibri" w:hAnsi="Times New Roman"/>
                <w:noProof/>
              </w:rPr>
            </w:pPr>
            <w:r w:rsidRPr="005C1F89">
              <w:rPr>
                <w:rFonts w:ascii="Times New Roman" w:eastAsia="Calibri" w:hAnsi="Times New Roman"/>
                <w:noProof/>
              </w:rPr>
              <w:t xml:space="preserve">Total recurrent adjustment costs (million EUR) </w:t>
            </w:r>
          </w:p>
        </w:tc>
        <w:tc>
          <w:tcPr>
            <w:tcW w:w="871" w:type="dxa"/>
            <w:noWrap/>
            <w:hideMark/>
          </w:tcPr>
          <w:p w14:paraId="68810774" w14:textId="5B22B801"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0.0</w:t>
            </w:r>
          </w:p>
        </w:tc>
        <w:tc>
          <w:tcPr>
            <w:tcW w:w="870" w:type="dxa"/>
            <w:noWrap/>
            <w:hideMark/>
          </w:tcPr>
          <w:p w14:paraId="3907DFB5" w14:textId="5DF9F37A"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0.2</w:t>
            </w:r>
          </w:p>
        </w:tc>
        <w:tc>
          <w:tcPr>
            <w:tcW w:w="870" w:type="dxa"/>
            <w:noWrap/>
            <w:hideMark/>
          </w:tcPr>
          <w:p w14:paraId="7E1DF22D" w14:textId="58FE657D"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0.4</w:t>
            </w:r>
          </w:p>
        </w:tc>
        <w:tc>
          <w:tcPr>
            <w:tcW w:w="870" w:type="dxa"/>
            <w:noWrap/>
            <w:hideMark/>
          </w:tcPr>
          <w:p w14:paraId="5DE096DE" w14:textId="328841E8"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0.4</w:t>
            </w:r>
          </w:p>
        </w:tc>
      </w:tr>
      <w:tr w:rsidR="00D45A3B" w:rsidRPr="005C1F89" w14:paraId="0582DA47" w14:textId="77777777" w:rsidTr="00322518">
        <w:trPr>
          <w:trHeight w:val="210"/>
        </w:trPr>
        <w:tc>
          <w:tcPr>
            <w:tcW w:w="6122" w:type="dxa"/>
            <w:noWrap/>
            <w:hideMark/>
          </w:tcPr>
          <w:p w14:paraId="40F53E41" w14:textId="77777777" w:rsidR="00D45A3B" w:rsidRPr="005C1F89" w:rsidRDefault="00D45A3B" w:rsidP="00D45A3B">
            <w:pPr>
              <w:pStyle w:val="Text4"/>
              <w:spacing w:before="0" w:after="0"/>
              <w:ind w:left="0"/>
              <w:rPr>
                <w:rFonts w:ascii="Times New Roman" w:eastAsia="Calibri" w:hAnsi="Times New Roman"/>
                <w:b/>
                <w:bCs/>
                <w:noProof/>
              </w:rPr>
            </w:pPr>
            <w:r w:rsidRPr="005C1F89">
              <w:rPr>
                <w:rFonts w:ascii="Times New Roman" w:eastAsia="Calibri" w:hAnsi="Times New Roman"/>
                <w:b/>
                <w:bCs/>
                <w:noProof/>
              </w:rPr>
              <w:t xml:space="preserve">PO4 </w:t>
            </w:r>
          </w:p>
        </w:tc>
        <w:tc>
          <w:tcPr>
            <w:tcW w:w="871" w:type="dxa"/>
            <w:noWrap/>
            <w:hideMark/>
          </w:tcPr>
          <w:p w14:paraId="1B622865" w14:textId="30551E6D"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 </w:t>
            </w:r>
          </w:p>
        </w:tc>
        <w:tc>
          <w:tcPr>
            <w:tcW w:w="870" w:type="dxa"/>
            <w:noWrap/>
            <w:hideMark/>
          </w:tcPr>
          <w:p w14:paraId="1FB469EF" w14:textId="4C7CF777"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 </w:t>
            </w:r>
          </w:p>
        </w:tc>
        <w:tc>
          <w:tcPr>
            <w:tcW w:w="870" w:type="dxa"/>
            <w:noWrap/>
            <w:hideMark/>
          </w:tcPr>
          <w:p w14:paraId="6750B4FD" w14:textId="712E6F16"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 </w:t>
            </w:r>
          </w:p>
        </w:tc>
        <w:tc>
          <w:tcPr>
            <w:tcW w:w="870" w:type="dxa"/>
            <w:noWrap/>
            <w:hideMark/>
          </w:tcPr>
          <w:p w14:paraId="1E3C2C79" w14:textId="1D689D8C"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 </w:t>
            </w:r>
          </w:p>
        </w:tc>
      </w:tr>
      <w:tr w:rsidR="00D45A3B" w:rsidRPr="005C1F89" w14:paraId="5A8EF1F6" w14:textId="77777777" w:rsidTr="00322518">
        <w:trPr>
          <w:trHeight w:val="200"/>
        </w:trPr>
        <w:tc>
          <w:tcPr>
            <w:tcW w:w="6122" w:type="dxa"/>
            <w:noWrap/>
            <w:hideMark/>
          </w:tcPr>
          <w:p w14:paraId="07FC91BD" w14:textId="7777BD81" w:rsidR="00D45A3B" w:rsidRPr="005C1F89" w:rsidRDefault="00D45A3B" w:rsidP="00D45A3B">
            <w:pPr>
              <w:pStyle w:val="Text4"/>
              <w:spacing w:before="0" w:after="0"/>
              <w:ind w:left="0"/>
              <w:rPr>
                <w:rFonts w:ascii="Times New Roman" w:eastAsia="Calibri" w:hAnsi="Times New Roman"/>
                <w:noProof/>
              </w:rPr>
            </w:pPr>
            <w:r w:rsidRPr="000D54CD">
              <w:rPr>
                <w:rFonts w:ascii="Times New Roman" w:eastAsia="Calibri" w:hAnsi="Times New Roman"/>
                <w:noProof/>
              </w:rPr>
              <w:t xml:space="preserve">Number of </w:t>
            </w:r>
            <w:r>
              <w:rPr>
                <w:rFonts w:ascii="Times New Roman" w:eastAsia="Calibri" w:hAnsi="Times New Roman"/>
                <w:noProof/>
              </w:rPr>
              <w:t>non-SME</w:t>
            </w:r>
            <w:r w:rsidRPr="000D54CD">
              <w:rPr>
                <w:rFonts w:ascii="Times New Roman" w:eastAsia="Calibri" w:hAnsi="Times New Roman"/>
                <w:noProof/>
              </w:rPr>
              <w:t xml:space="preserve"> MDMS platforms (excluding CRSs</w:t>
            </w:r>
            <w:r>
              <w:rPr>
                <w:rFonts w:ascii="Times New Roman" w:eastAsia="Calibri" w:hAnsi="Times New Roman"/>
                <w:noProof/>
              </w:rPr>
              <w:t xml:space="preserve"> and NCAs</w:t>
            </w:r>
            <w:r w:rsidRPr="000D54CD">
              <w:rPr>
                <w:rFonts w:ascii="Times New Roman" w:eastAsia="Calibri" w:hAnsi="Times New Roman"/>
                <w:noProof/>
              </w:rPr>
              <w:t>) that incur one-off costs due to PM</w:t>
            </w:r>
            <w:r>
              <w:rPr>
                <w:rFonts w:ascii="Times New Roman" w:eastAsia="Calibri" w:hAnsi="Times New Roman"/>
                <w:noProof/>
              </w:rPr>
              <w:t>3</w:t>
            </w:r>
          </w:p>
        </w:tc>
        <w:tc>
          <w:tcPr>
            <w:tcW w:w="871" w:type="dxa"/>
            <w:noWrap/>
            <w:hideMark/>
          </w:tcPr>
          <w:p w14:paraId="7F6FBF1F" w14:textId="5170D5C1"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133</w:t>
            </w:r>
          </w:p>
        </w:tc>
        <w:tc>
          <w:tcPr>
            <w:tcW w:w="870" w:type="dxa"/>
            <w:noWrap/>
            <w:hideMark/>
          </w:tcPr>
          <w:p w14:paraId="7D0402B1" w14:textId="70C53B68"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6</w:t>
            </w:r>
          </w:p>
        </w:tc>
        <w:tc>
          <w:tcPr>
            <w:tcW w:w="870" w:type="dxa"/>
            <w:noWrap/>
            <w:hideMark/>
          </w:tcPr>
          <w:p w14:paraId="1DE83903" w14:textId="5984ED01"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9</w:t>
            </w:r>
          </w:p>
        </w:tc>
        <w:tc>
          <w:tcPr>
            <w:tcW w:w="870" w:type="dxa"/>
            <w:noWrap/>
            <w:hideMark/>
          </w:tcPr>
          <w:p w14:paraId="70DFF38A" w14:textId="5B8532AD"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w:t>
            </w:r>
          </w:p>
        </w:tc>
      </w:tr>
      <w:tr w:rsidR="00D45A3B" w:rsidRPr="005C1F89" w14:paraId="16F39C82" w14:textId="77777777" w:rsidTr="00322518">
        <w:trPr>
          <w:trHeight w:val="200"/>
        </w:trPr>
        <w:tc>
          <w:tcPr>
            <w:tcW w:w="6122" w:type="dxa"/>
            <w:noWrap/>
            <w:hideMark/>
          </w:tcPr>
          <w:p w14:paraId="38E55BE2" w14:textId="6DA43E03" w:rsidR="00D45A3B" w:rsidRPr="005C1F89" w:rsidRDefault="00D45A3B" w:rsidP="00D45A3B">
            <w:pPr>
              <w:pStyle w:val="Text4"/>
              <w:spacing w:before="0" w:after="0"/>
              <w:ind w:left="0"/>
              <w:rPr>
                <w:rFonts w:ascii="Times New Roman" w:eastAsia="Calibri" w:hAnsi="Times New Roman"/>
                <w:noProof/>
              </w:rPr>
            </w:pPr>
            <w:r w:rsidRPr="000D54CD">
              <w:rPr>
                <w:rFonts w:ascii="Times New Roman" w:eastAsia="Calibri" w:hAnsi="Times New Roman"/>
                <w:noProof/>
              </w:rPr>
              <w:t>Number of</w:t>
            </w:r>
            <w:r>
              <w:rPr>
                <w:rFonts w:ascii="Times New Roman" w:eastAsia="Calibri" w:hAnsi="Times New Roman"/>
                <w:noProof/>
              </w:rPr>
              <w:t xml:space="preserve"> non-SME</w:t>
            </w:r>
            <w:r w:rsidRPr="000D54CD">
              <w:rPr>
                <w:rFonts w:ascii="Times New Roman" w:eastAsia="Calibri" w:hAnsi="Times New Roman"/>
                <w:noProof/>
              </w:rPr>
              <w:t xml:space="preserve"> MDMS platforms (excluding CRSs</w:t>
            </w:r>
            <w:r>
              <w:rPr>
                <w:rFonts w:ascii="Times New Roman" w:eastAsia="Calibri" w:hAnsi="Times New Roman"/>
                <w:noProof/>
              </w:rPr>
              <w:t xml:space="preserve"> and NCAs</w:t>
            </w:r>
            <w:r w:rsidRPr="000D54CD">
              <w:rPr>
                <w:rFonts w:ascii="Times New Roman" w:eastAsia="Calibri" w:hAnsi="Times New Roman"/>
                <w:noProof/>
              </w:rPr>
              <w:t>) that incur recurrent costs due to PM</w:t>
            </w:r>
            <w:r>
              <w:rPr>
                <w:rFonts w:ascii="Times New Roman" w:eastAsia="Calibri" w:hAnsi="Times New Roman"/>
                <w:noProof/>
              </w:rPr>
              <w:t>3</w:t>
            </w:r>
          </w:p>
        </w:tc>
        <w:tc>
          <w:tcPr>
            <w:tcW w:w="871" w:type="dxa"/>
            <w:noWrap/>
            <w:hideMark/>
          </w:tcPr>
          <w:p w14:paraId="5202CE0F" w14:textId="1FF60598"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w:t>
            </w:r>
          </w:p>
        </w:tc>
        <w:tc>
          <w:tcPr>
            <w:tcW w:w="870" w:type="dxa"/>
            <w:noWrap/>
            <w:hideMark/>
          </w:tcPr>
          <w:p w14:paraId="50A7F0F0" w14:textId="3C415D87"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138</w:t>
            </w:r>
          </w:p>
        </w:tc>
        <w:tc>
          <w:tcPr>
            <w:tcW w:w="870" w:type="dxa"/>
            <w:noWrap/>
            <w:hideMark/>
          </w:tcPr>
          <w:p w14:paraId="55D2F8B5" w14:textId="32ADDE8F"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229</w:t>
            </w:r>
          </w:p>
        </w:tc>
        <w:tc>
          <w:tcPr>
            <w:tcW w:w="870" w:type="dxa"/>
            <w:noWrap/>
            <w:hideMark/>
          </w:tcPr>
          <w:p w14:paraId="199C2993" w14:textId="533FD79C"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231</w:t>
            </w:r>
          </w:p>
        </w:tc>
      </w:tr>
      <w:tr w:rsidR="00D45A3B" w:rsidRPr="005C1F89" w14:paraId="14C3AE45" w14:textId="77777777" w:rsidTr="00322518">
        <w:trPr>
          <w:trHeight w:val="200"/>
        </w:trPr>
        <w:tc>
          <w:tcPr>
            <w:tcW w:w="6122" w:type="dxa"/>
            <w:noWrap/>
            <w:hideMark/>
          </w:tcPr>
          <w:p w14:paraId="1AC7F23B" w14:textId="77777777" w:rsidR="00D45A3B" w:rsidRPr="005C1F89" w:rsidRDefault="00D45A3B" w:rsidP="00D45A3B">
            <w:pPr>
              <w:pStyle w:val="Text4"/>
              <w:spacing w:before="0" w:after="0"/>
              <w:ind w:left="0"/>
              <w:rPr>
                <w:rFonts w:ascii="Times New Roman" w:eastAsia="Calibri" w:hAnsi="Times New Roman"/>
                <w:noProof/>
              </w:rPr>
            </w:pPr>
            <w:r w:rsidRPr="005C1F89">
              <w:rPr>
                <w:rFonts w:ascii="Times New Roman" w:eastAsia="Calibri" w:hAnsi="Times New Roman"/>
                <w:noProof/>
              </w:rPr>
              <w:t xml:space="preserve">Total one-off adjustment costs (million EUR) </w:t>
            </w:r>
          </w:p>
        </w:tc>
        <w:tc>
          <w:tcPr>
            <w:tcW w:w="871" w:type="dxa"/>
            <w:noWrap/>
            <w:hideMark/>
          </w:tcPr>
          <w:p w14:paraId="03A49475" w14:textId="533F5656"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2.3</w:t>
            </w:r>
          </w:p>
        </w:tc>
        <w:tc>
          <w:tcPr>
            <w:tcW w:w="870" w:type="dxa"/>
            <w:noWrap/>
            <w:hideMark/>
          </w:tcPr>
          <w:p w14:paraId="5BE009DE" w14:textId="3FDFF2D7"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0.1</w:t>
            </w:r>
          </w:p>
        </w:tc>
        <w:tc>
          <w:tcPr>
            <w:tcW w:w="870" w:type="dxa"/>
            <w:noWrap/>
            <w:hideMark/>
          </w:tcPr>
          <w:p w14:paraId="3CE780C9" w14:textId="0D73F488"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0.2</w:t>
            </w:r>
          </w:p>
        </w:tc>
        <w:tc>
          <w:tcPr>
            <w:tcW w:w="870" w:type="dxa"/>
            <w:noWrap/>
            <w:hideMark/>
          </w:tcPr>
          <w:p w14:paraId="18447185" w14:textId="3478B164"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0.0</w:t>
            </w:r>
          </w:p>
        </w:tc>
      </w:tr>
      <w:tr w:rsidR="00D45A3B" w:rsidRPr="005C1F89" w14:paraId="552032E1" w14:textId="77777777" w:rsidTr="00322518">
        <w:trPr>
          <w:trHeight w:val="200"/>
        </w:trPr>
        <w:tc>
          <w:tcPr>
            <w:tcW w:w="6122" w:type="dxa"/>
            <w:noWrap/>
            <w:hideMark/>
          </w:tcPr>
          <w:p w14:paraId="32015453" w14:textId="77777777" w:rsidR="00D45A3B" w:rsidRPr="005C1F89" w:rsidRDefault="00D45A3B" w:rsidP="00D45A3B">
            <w:pPr>
              <w:pStyle w:val="Text4"/>
              <w:spacing w:before="0" w:after="0"/>
              <w:ind w:left="0"/>
              <w:rPr>
                <w:rFonts w:ascii="Times New Roman" w:eastAsia="Calibri" w:hAnsi="Times New Roman"/>
                <w:noProof/>
              </w:rPr>
            </w:pPr>
            <w:r w:rsidRPr="005C1F89">
              <w:rPr>
                <w:rFonts w:ascii="Times New Roman" w:eastAsia="Calibri" w:hAnsi="Times New Roman"/>
                <w:noProof/>
              </w:rPr>
              <w:t xml:space="preserve">Total recurrent adjustment costs (million EUR) </w:t>
            </w:r>
          </w:p>
        </w:tc>
        <w:tc>
          <w:tcPr>
            <w:tcW w:w="871" w:type="dxa"/>
            <w:noWrap/>
            <w:hideMark/>
          </w:tcPr>
          <w:p w14:paraId="780CC406" w14:textId="153A14B5"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0.0</w:t>
            </w:r>
          </w:p>
        </w:tc>
        <w:tc>
          <w:tcPr>
            <w:tcW w:w="870" w:type="dxa"/>
            <w:noWrap/>
            <w:hideMark/>
          </w:tcPr>
          <w:p w14:paraId="1CC90C26" w14:textId="70393340"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0.2</w:t>
            </w:r>
          </w:p>
        </w:tc>
        <w:tc>
          <w:tcPr>
            <w:tcW w:w="870" w:type="dxa"/>
            <w:noWrap/>
            <w:hideMark/>
          </w:tcPr>
          <w:p w14:paraId="67E3CBEB" w14:textId="5D7013BC"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0.4</w:t>
            </w:r>
          </w:p>
        </w:tc>
        <w:tc>
          <w:tcPr>
            <w:tcW w:w="870" w:type="dxa"/>
            <w:noWrap/>
            <w:hideMark/>
          </w:tcPr>
          <w:p w14:paraId="2912E677" w14:textId="2FB20C4F" w:rsidR="00D45A3B" w:rsidRPr="00D45A3B" w:rsidRDefault="00D45A3B" w:rsidP="00D45A3B">
            <w:pPr>
              <w:pStyle w:val="Text4"/>
              <w:spacing w:before="0" w:after="0"/>
              <w:ind w:left="0"/>
              <w:contextualSpacing/>
              <w:jc w:val="right"/>
              <w:rPr>
                <w:rFonts w:ascii="Times New Roman" w:eastAsia="Calibri" w:hAnsi="Times New Roman"/>
                <w:noProof/>
              </w:rPr>
            </w:pPr>
            <w:r w:rsidRPr="00D45A3B">
              <w:rPr>
                <w:rFonts w:ascii="Times New Roman" w:hAnsi="Times New Roman"/>
                <w:noProof/>
              </w:rPr>
              <w:t>0.4</w:t>
            </w:r>
          </w:p>
        </w:tc>
      </w:tr>
    </w:tbl>
    <w:p w14:paraId="57D3CC06" w14:textId="77777777" w:rsidR="00BF0063" w:rsidRPr="00D71008" w:rsidRDefault="00BF0063" w:rsidP="00BF0063">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438AF52C" w14:textId="5C47EA3C" w:rsidR="00525716" w:rsidRDefault="00525716" w:rsidP="00525716">
      <w:pPr>
        <w:pStyle w:val="Text4"/>
        <w:spacing w:before="0" w:after="240"/>
        <w:ind w:left="0"/>
        <w:rPr>
          <w:rFonts w:ascii="Times New Roman" w:eastAsia="Calibri" w:hAnsi="Times New Roman"/>
          <w:noProof/>
          <w:spacing w:val="-8"/>
          <w:sz w:val="24"/>
          <w:szCs w:val="24"/>
        </w:rPr>
      </w:pPr>
      <w:r w:rsidRPr="00AB18E0">
        <w:rPr>
          <w:rFonts w:ascii="Times New Roman" w:eastAsia="Calibri" w:hAnsi="Times New Roman"/>
          <w:noProof/>
          <w:spacing w:val="-8"/>
          <w:sz w:val="24"/>
          <w:szCs w:val="24"/>
        </w:rPr>
        <w:t xml:space="preserve">The table above covers total one-off and recurrent adjustment costs for both </w:t>
      </w:r>
      <w:r w:rsidR="00615150">
        <w:rPr>
          <w:rFonts w:ascii="Times New Roman" w:eastAsia="Calibri" w:hAnsi="Times New Roman"/>
          <w:noProof/>
          <w:spacing w:val="-8"/>
          <w:sz w:val="24"/>
          <w:szCs w:val="24"/>
        </w:rPr>
        <w:t>non-SME</w:t>
      </w:r>
      <w:r w:rsidRPr="00AB18E0">
        <w:rPr>
          <w:rFonts w:ascii="Times New Roman" w:eastAsia="Calibri" w:hAnsi="Times New Roman"/>
          <w:noProof/>
          <w:spacing w:val="-8"/>
          <w:sz w:val="24"/>
          <w:szCs w:val="24"/>
        </w:rPr>
        <w:t xml:space="preserve"> B2B and B2C platforms</w:t>
      </w:r>
      <w:r>
        <w:rPr>
          <w:rFonts w:ascii="Times New Roman" w:eastAsia="Calibri" w:hAnsi="Times New Roman"/>
          <w:noProof/>
          <w:spacing w:val="-8"/>
          <w:sz w:val="24"/>
          <w:szCs w:val="24"/>
        </w:rPr>
        <w:t xml:space="preserve"> (excluding CRS platforms and NCAs)</w:t>
      </w:r>
      <w:r w:rsidRPr="00AB18E0">
        <w:rPr>
          <w:rFonts w:ascii="Times New Roman" w:eastAsia="Calibri" w:hAnsi="Times New Roman"/>
          <w:noProof/>
          <w:spacing w:val="-8"/>
          <w:sz w:val="24"/>
          <w:szCs w:val="24"/>
        </w:rPr>
        <w:t xml:space="preserve">. As </w:t>
      </w:r>
      <w:r>
        <w:rPr>
          <w:rFonts w:ascii="Times New Roman" w:eastAsia="Calibri" w:hAnsi="Times New Roman"/>
          <w:noProof/>
          <w:spacing w:val="-8"/>
          <w:sz w:val="24"/>
          <w:szCs w:val="24"/>
        </w:rPr>
        <w:t xml:space="preserve">already </w:t>
      </w:r>
      <w:r w:rsidRPr="00AB18E0">
        <w:rPr>
          <w:rFonts w:ascii="Times New Roman" w:eastAsia="Calibri" w:hAnsi="Times New Roman"/>
          <w:noProof/>
          <w:spacing w:val="-8"/>
          <w:sz w:val="24"/>
          <w:szCs w:val="24"/>
        </w:rPr>
        <w:t>explained, m</w:t>
      </w:r>
      <w:r w:rsidRPr="00AB18E0">
        <w:rPr>
          <w:rFonts w:ascii="Times New Roman" w:hAnsi="Times New Roman"/>
          <w:noProof/>
          <w:spacing w:val="-8"/>
          <w:sz w:val="24"/>
          <w:szCs w:val="24"/>
        </w:rPr>
        <w:t>ost B2B MDMS platforms operate EU-wide</w:t>
      </w:r>
      <w:r>
        <w:rPr>
          <w:rFonts w:ascii="Times New Roman" w:hAnsi="Times New Roman"/>
          <w:noProof/>
          <w:spacing w:val="-8"/>
          <w:sz w:val="24"/>
          <w:szCs w:val="24"/>
        </w:rPr>
        <w:t xml:space="preserve"> and</w:t>
      </w:r>
      <w:r w:rsidRPr="00AB18E0">
        <w:rPr>
          <w:rFonts w:ascii="Times New Roman" w:hAnsi="Times New Roman"/>
          <w:noProof/>
          <w:spacing w:val="-8"/>
          <w:sz w:val="24"/>
          <w:szCs w:val="24"/>
        </w:rPr>
        <w:t xml:space="preserve"> it is not possible to provide the costs by Member State.</w:t>
      </w:r>
      <w:r>
        <w:rPr>
          <w:rFonts w:ascii="Times New Roman" w:hAnsi="Times New Roman"/>
          <w:noProof/>
          <w:spacing w:val="-8"/>
          <w:sz w:val="24"/>
          <w:szCs w:val="24"/>
        </w:rPr>
        <w:t xml:space="preserve"> Therefore, only the part of the total </w:t>
      </w:r>
      <w:r w:rsidRPr="00AB18E0">
        <w:rPr>
          <w:rFonts w:ascii="Times New Roman" w:eastAsia="Calibri" w:hAnsi="Times New Roman"/>
          <w:noProof/>
          <w:spacing w:val="-8"/>
          <w:sz w:val="24"/>
          <w:szCs w:val="24"/>
        </w:rPr>
        <w:t>one-off and recurrent adjustment costs</w:t>
      </w:r>
      <w:r>
        <w:rPr>
          <w:rFonts w:ascii="Times New Roman" w:eastAsia="Calibri" w:hAnsi="Times New Roman"/>
          <w:noProof/>
          <w:spacing w:val="-8"/>
          <w:sz w:val="24"/>
          <w:szCs w:val="24"/>
        </w:rPr>
        <w:t xml:space="preserve"> for the B2C platforms is provided by Member State in the tables below, by policy option</w:t>
      </w:r>
      <w:r>
        <w:rPr>
          <w:rStyle w:val="FootnoteReference"/>
          <w:rFonts w:ascii="Times New Roman" w:eastAsia="Calibri" w:hAnsi="Times New Roman"/>
          <w:noProof/>
          <w:spacing w:val="-8"/>
          <w:sz w:val="24"/>
          <w:szCs w:val="24"/>
        </w:rPr>
        <w:footnoteReference w:id="349"/>
      </w:r>
      <w:r>
        <w:rPr>
          <w:rFonts w:ascii="Times New Roman" w:eastAsia="Calibri" w:hAnsi="Times New Roman"/>
          <w:noProof/>
          <w:spacing w:val="-8"/>
          <w:sz w:val="24"/>
          <w:szCs w:val="24"/>
        </w:rPr>
        <w:t xml:space="preserve">. </w:t>
      </w:r>
    </w:p>
    <w:p w14:paraId="44EC6303" w14:textId="4ECF5398" w:rsidR="00525716" w:rsidRPr="00DB078C" w:rsidRDefault="00525716" w:rsidP="00DB078C">
      <w:pPr>
        <w:keepNext/>
        <w:tabs>
          <w:tab w:val="left" w:pos="1134"/>
        </w:tabs>
        <w:jc w:val="both"/>
        <w:rPr>
          <w:i/>
          <w:noProof/>
          <w:sz w:val="22"/>
          <w:szCs w:val="22"/>
        </w:rPr>
      </w:pPr>
      <w:r w:rsidRPr="00DB078C">
        <w:rPr>
          <w:i/>
          <w:noProof/>
          <w:sz w:val="22"/>
          <w:szCs w:val="22"/>
        </w:rPr>
        <w:t xml:space="preserve">Table </w:t>
      </w:r>
      <w:r w:rsidRPr="00DB078C">
        <w:rPr>
          <w:i/>
          <w:noProof/>
          <w:sz w:val="22"/>
          <w:szCs w:val="22"/>
        </w:rPr>
        <w:fldChar w:fldCharType="begin"/>
      </w:r>
      <w:r w:rsidRPr="00DB078C">
        <w:rPr>
          <w:i/>
          <w:noProof/>
          <w:sz w:val="22"/>
          <w:szCs w:val="22"/>
        </w:rPr>
        <w:instrText xml:space="preserve"> SEQ Table \* ARABIC </w:instrText>
      </w:r>
      <w:r w:rsidRPr="00DB078C">
        <w:rPr>
          <w:i/>
          <w:noProof/>
          <w:sz w:val="22"/>
          <w:szCs w:val="22"/>
        </w:rPr>
        <w:fldChar w:fldCharType="separate"/>
      </w:r>
      <w:r w:rsidR="0055391F">
        <w:rPr>
          <w:i/>
          <w:noProof/>
          <w:sz w:val="22"/>
          <w:szCs w:val="22"/>
        </w:rPr>
        <w:t>80</w:t>
      </w:r>
      <w:r w:rsidRPr="00DB078C">
        <w:rPr>
          <w:i/>
          <w:noProof/>
          <w:sz w:val="22"/>
          <w:szCs w:val="22"/>
        </w:rPr>
        <w:fldChar w:fldCharType="end"/>
      </w:r>
      <w:r w:rsidRPr="00DB078C">
        <w:rPr>
          <w:i/>
          <w:noProof/>
          <w:sz w:val="22"/>
          <w:szCs w:val="22"/>
        </w:rPr>
        <w:t xml:space="preserve">: Total one-off and recurrent adjustment costs for </w:t>
      </w:r>
      <w:r w:rsidR="00E65F03">
        <w:rPr>
          <w:i/>
          <w:noProof/>
          <w:sz w:val="22"/>
          <w:szCs w:val="22"/>
        </w:rPr>
        <w:t>non-SME</w:t>
      </w:r>
      <w:r w:rsidRPr="00DB078C">
        <w:rPr>
          <w:i/>
          <w:noProof/>
          <w:sz w:val="22"/>
          <w:szCs w:val="22"/>
        </w:rPr>
        <w:t xml:space="preserve"> B2C MDMS platforms due to PM</w:t>
      </w:r>
      <w:r w:rsidR="00597FA0" w:rsidRPr="00DB078C">
        <w:rPr>
          <w:i/>
          <w:noProof/>
          <w:sz w:val="22"/>
          <w:szCs w:val="22"/>
        </w:rPr>
        <w:t>3</w:t>
      </w:r>
      <w:r w:rsidRPr="00DB078C">
        <w:rPr>
          <w:i/>
          <w:noProof/>
          <w:sz w:val="22"/>
          <w:szCs w:val="22"/>
        </w:rPr>
        <w:t xml:space="preserve"> in PO1 in 2028, 2030, 2040 and 2050 relative to the baseline (thousand EUR, in 2024 prices)</w:t>
      </w:r>
    </w:p>
    <w:tbl>
      <w:tblPr>
        <w:tblW w:w="5000" w:type="pct"/>
        <w:tblLook w:val="04A0" w:firstRow="1" w:lastRow="0" w:firstColumn="1" w:lastColumn="0" w:noHBand="0" w:noVBand="1"/>
      </w:tblPr>
      <w:tblGrid>
        <w:gridCol w:w="3053"/>
        <w:gridCol w:w="1638"/>
        <w:gridCol w:w="1638"/>
        <w:gridCol w:w="1638"/>
        <w:gridCol w:w="1636"/>
      </w:tblGrid>
      <w:tr w:rsidR="005E2C09" w:rsidRPr="005E2C09" w14:paraId="2B0812E0" w14:textId="77777777" w:rsidTr="00A17C78">
        <w:trPr>
          <w:trHeight w:val="255"/>
          <w:tblHeader/>
        </w:trPr>
        <w:tc>
          <w:tcPr>
            <w:tcW w:w="1589" w:type="pct"/>
            <w:tcBorders>
              <w:top w:val="single" w:sz="4" w:space="0" w:color="auto"/>
              <w:left w:val="single" w:sz="4" w:space="0" w:color="auto"/>
              <w:bottom w:val="single" w:sz="4" w:space="0" w:color="auto"/>
              <w:right w:val="single" w:sz="4" w:space="0" w:color="auto"/>
            </w:tcBorders>
            <w:shd w:val="clear" w:color="000000" w:fill="0070C0"/>
            <w:noWrap/>
            <w:hideMark/>
          </w:tcPr>
          <w:p w14:paraId="23C4BF81" w14:textId="56DB2459" w:rsidR="0066054A" w:rsidRPr="005E2C09" w:rsidRDefault="0066054A">
            <w:pPr>
              <w:jc w:val="center"/>
              <w:rPr>
                <w:b/>
                <w:bCs/>
                <w:noProof/>
                <w:color w:val="FFFFFF"/>
                <w:sz w:val="20"/>
                <w:szCs w:val="20"/>
              </w:rPr>
            </w:pPr>
          </w:p>
        </w:tc>
        <w:tc>
          <w:tcPr>
            <w:tcW w:w="853" w:type="pct"/>
            <w:tcBorders>
              <w:top w:val="single" w:sz="4" w:space="0" w:color="auto"/>
              <w:left w:val="nil"/>
              <w:bottom w:val="single" w:sz="4" w:space="0" w:color="auto"/>
              <w:right w:val="single" w:sz="4" w:space="0" w:color="auto"/>
            </w:tcBorders>
            <w:shd w:val="clear" w:color="000000" w:fill="0070C0"/>
            <w:noWrap/>
            <w:hideMark/>
          </w:tcPr>
          <w:p w14:paraId="4DF3778D" w14:textId="77777777" w:rsidR="0066054A" w:rsidRPr="005E2C09" w:rsidRDefault="0066054A">
            <w:pPr>
              <w:jc w:val="center"/>
              <w:rPr>
                <w:b/>
                <w:bCs/>
                <w:noProof/>
                <w:color w:val="FFFFFF"/>
                <w:sz w:val="20"/>
                <w:szCs w:val="20"/>
              </w:rPr>
            </w:pPr>
            <w:r w:rsidRPr="005E2C09">
              <w:rPr>
                <w:b/>
                <w:bCs/>
                <w:noProof/>
                <w:color w:val="FFFFFF"/>
                <w:sz w:val="20"/>
                <w:szCs w:val="20"/>
              </w:rPr>
              <w:t>2028</w:t>
            </w:r>
          </w:p>
        </w:tc>
        <w:tc>
          <w:tcPr>
            <w:tcW w:w="853" w:type="pct"/>
            <w:tcBorders>
              <w:top w:val="single" w:sz="4" w:space="0" w:color="auto"/>
              <w:left w:val="nil"/>
              <w:bottom w:val="single" w:sz="4" w:space="0" w:color="auto"/>
              <w:right w:val="single" w:sz="4" w:space="0" w:color="auto"/>
            </w:tcBorders>
            <w:shd w:val="clear" w:color="000000" w:fill="0070C0"/>
            <w:noWrap/>
            <w:hideMark/>
          </w:tcPr>
          <w:p w14:paraId="103E4533" w14:textId="77777777" w:rsidR="0066054A" w:rsidRPr="005E2C09" w:rsidRDefault="0066054A">
            <w:pPr>
              <w:jc w:val="center"/>
              <w:rPr>
                <w:b/>
                <w:bCs/>
                <w:noProof/>
                <w:color w:val="FFFFFF"/>
                <w:sz w:val="20"/>
                <w:szCs w:val="20"/>
              </w:rPr>
            </w:pPr>
            <w:r w:rsidRPr="005E2C09">
              <w:rPr>
                <w:b/>
                <w:bCs/>
                <w:noProof/>
                <w:color w:val="FFFFFF"/>
                <w:sz w:val="20"/>
                <w:szCs w:val="20"/>
              </w:rPr>
              <w:t>2030</w:t>
            </w:r>
          </w:p>
        </w:tc>
        <w:tc>
          <w:tcPr>
            <w:tcW w:w="853" w:type="pct"/>
            <w:tcBorders>
              <w:top w:val="single" w:sz="4" w:space="0" w:color="auto"/>
              <w:left w:val="nil"/>
              <w:bottom w:val="single" w:sz="4" w:space="0" w:color="auto"/>
              <w:right w:val="single" w:sz="4" w:space="0" w:color="auto"/>
            </w:tcBorders>
            <w:shd w:val="clear" w:color="000000" w:fill="0070C0"/>
            <w:noWrap/>
            <w:hideMark/>
          </w:tcPr>
          <w:p w14:paraId="3FF17B5C" w14:textId="77777777" w:rsidR="0066054A" w:rsidRPr="005E2C09" w:rsidRDefault="0066054A">
            <w:pPr>
              <w:jc w:val="center"/>
              <w:rPr>
                <w:b/>
                <w:bCs/>
                <w:noProof/>
                <w:color w:val="FFFFFF"/>
                <w:sz w:val="20"/>
                <w:szCs w:val="20"/>
              </w:rPr>
            </w:pPr>
            <w:r w:rsidRPr="005E2C09">
              <w:rPr>
                <w:b/>
                <w:bCs/>
                <w:noProof/>
                <w:color w:val="FFFFFF"/>
                <w:sz w:val="20"/>
                <w:szCs w:val="20"/>
              </w:rPr>
              <w:t>2040</w:t>
            </w:r>
          </w:p>
        </w:tc>
        <w:tc>
          <w:tcPr>
            <w:tcW w:w="853" w:type="pct"/>
            <w:tcBorders>
              <w:top w:val="single" w:sz="4" w:space="0" w:color="auto"/>
              <w:left w:val="nil"/>
              <w:bottom w:val="single" w:sz="4" w:space="0" w:color="auto"/>
              <w:right w:val="single" w:sz="4" w:space="0" w:color="auto"/>
            </w:tcBorders>
            <w:shd w:val="clear" w:color="000000" w:fill="0070C0"/>
            <w:noWrap/>
            <w:hideMark/>
          </w:tcPr>
          <w:p w14:paraId="2E165D5A" w14:textId="77777777" w:rsidR="0066054A" w:rsidRPr="005E2C09" w:rsidRDefault="0066054A">
            <w:pPr>
              <w:jc w:val="center"/>
              <w:rPr>
                <w:b/>
                <w:bCs/>
                <w:noProof/>
                <w:color w:val="FFFFFF"/>
                <w:sz w:val="20"/>
                <w:szCs w:val="20"/>
              </w:rPr>
            </w:pPr>
            <w:r w:rsidRPr="005E2C09">
              <w:rPr>
                <w:b/>
                <w:bCs/>
                <w:noProof/>
                <w:color w:val="FFFFFF"/>
                <w:sz w:val="20"/>
                <w:szCs w:val="20"/>
              </w:rPr>
              <w:t>2050</w:t>
            </w:r>
          </w:p>
        </w:tc>
      </w:tr>
      <w:tr w:rsidR="00A17C78" w:rsidRPr="005E2C09" w14:paraId="46B79285"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6FC8D24B" w14:textId="77777777" w:rsidR="00A17C78" w:rsidRPr="005E2C09" w:rsidRDefault="00A17C78" w:rsidP="00A17C78">
            <w:pPr>
              <w:rPr>
                <w:noProof/>
                <w:sz w:val="20"/>
                <w:szCs w:val="20"/>
              </w:rPr>
            </w:pPr>
            <w:r w:rsidRPr="005E2C09">
              <w:rPr>
                <w:noProof/>
                <w:sz w:val="20"/>
                <w:szCs w:val="20"/>
              </w:rPr>
              <w:t xml:space="preserve"> Germany </w:t>
            </w:r>
          </w:p>
        </w:tc>
        <w:tc>
          <w:tcPr>
            <w:tcW w:w="853" w:type="pct"/>
            <w:tcBorders>
              <w:top w:val="nil"/>
              <w:left w:val="nil"/>
              <w:bottom w:val="single" w:sz="4" w:space="0" w:color="auto"/>
              <w:right w:val="single" w:sz="4" w:space="0" w:color="auto"/>
            </w:tcBorders>
            <w:shd w:val="clear" w:color="000000" w:fill="FFFFFF"/>
            <w:noWrap/>
            <w:hideMark/>
          </w:tcPr>
          <w:p w14:paraId="06388CEC" w14:textId="6A10F437" w:rsidR="00A17C78" w:rsidRPr="00A17C78" w:rsidRDefault="00A17C78" w:rsidP="00A17C78">
            <w:pPr>
              <w:jc w:val="right"/>
              <w:rPr>
                <w:noProof/>
                <w:sz w:val="20"/>
                <w:szCs w:val="20"/>
              </w:rPr>
            </w:pPr>
            <w:r w:rsidRPr="00A17C78">
              <w:rPr>
                <w:noProof/>
                <w:sz w:val="20"/>
                <w:szCs w:val="20"/>
              </w:rPr>
              <w:t>236.5</w:t>
            </w:r>
          </w:p>
        </w:tc>
        <w:tc>
          <w:tcPr>
            <w:tcW w:w="853" w:type="pct"/>
            <w:tcBorders>
              <w:top w:val="nil"/>
              <w:left w:val="nil"/>
              <w:bottom w:val="single" w:sz="4" w:space="0" w:color="auto"/>
              <w:right w:val="single" w:sz="4" w:space="0" w:color="auto"/>
            </w:tcBorders>
            <w:shd w:val="clear" w:color="000000" w:fill="FFFFFF"/>
            <w:noWrap/>
            <w:hideMark/>
          </w:tcPr>
          <w:p w14:paraId="4282EF02" w14:textId="2775C902" w:rsidR="00A17C78" w:rsidRPr="00A17C78" w:rsidRDefault="00A17C78" w:rsidP="00A17C78">
            <w:pPr>
              <w:jc w:val="right"/>
              <w:rPr>
                <w:noProof/>
                <w:sz w:val="20"/>
                <w:szCs w:val="20"/>
              </w:rPr>
            </w:pPr>
            <w:r w:rsidRPr="00A17C78">
              <w:rPr>
                <w:noProof/>
                <w:sz w:val="20"/>
                <w:szCs w:val="20"/>
              </w:rPr>
              <w:t>29.1</w:t>
            </w:r>
          </w:p>
        </w:tc>
        <w:tc>
          <w:tcPr>
            <w:tcW w:w="853" w:type="pct"/>
            <w:tcBorders>
              <w:top w:val="nil"/>
              <w:left w:val="nil"/>
              <w:bottom w:val="single" w:sz="4" w:space="0" w:color="auto"/>
              <w:right w:val="single" w:sz="4" w:space="0" w:color="auto"/>
            </w:tcBorders>
            <w:shd w:val="clear" w:color="000000" w:fill="FFFFFF"/>
            <w:noWrap/>
            <w:hideMark/>
          </w:tcPr>
          <w:p w14:paraId="3417FF30" w14:textId="6CAD2232" w:rsidR="00A17C78" w:rsidRPr="00A17C78" w:rsidRDefault="00A17C78" w:rsidP="00A17C78">
            <w:pPr>
              <w:jc w:val="right"/>
              <w:rPr>
                <w:noProof/>
                <w:sz w:val="20"/>
                <w:szCs w:val="20"/>
              </w:rPr>
            </w:pPr>
            <w:r w:rsidRPr="00A17C78">
              <w:rPr>
                <w:noProof/>
                <w:sz w:val="20"/>
                <w:szCs w:val="20"/>
              </w:rPr>
              <w:t>31.3</w:t>
            </w:r>
          </w:p>
        </w:tc>
        <w:tc>
          <w:tcPr>
            <w:tcW w:w="853" w:type="pct"/>
            <w:tcBorders>
              <w:top w:val="nil"/>
              <w:left w:val="nil"/>
              <w:bottom w:val="single" w:sz="4" w:space="0" w:color="auto"/>
              <w:right w:val="single" w:sz="4" w:space="0" w:color="auto"/>
            </w:tcBorders>
            <w:shd w:val="clear" w:color="000000" w:fill="FFFFFF"/>
            <w:noWrap/>
            <w:hideMark/>
          </w:tcPr>
          <w:p w14:paraId="17A597A7" w14:textId="4905DB83" w:rsidR="00A17C78" w:rsidRPr="00A17C78" w:rsidRDefault="00A17C78" w:rsidP="00A17C78">
            <w:pPr>
              <w:jc w:val="right"/>
              <w:rPr>
                <w:noProof/>
                <w:sz w:val="20"/>
                <w:szCs w:val="20"/>
              </w:rPr>
            </w:pPr>
            <w:r w:rsidRPr="00A17C78">
              <w:rPr>
                <w:noProof/>
                <w:sz w:val="20"/>
                <w:szCs w:val="20"/>
              </w:rPr>
              <w:t>28.6</w:t>
            </w:r>
          </w:p>
        </w:tc>
      </w:tr>
      <w:tr w:rsidR="00A17C78" w:rsidRPr="005E2C09" w14:paraId="61516374"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0B7CE2A5" w14:textId="77777777" w:rsidR="00A17C78" w:rsidRPr="005E2C09" w:rsidRDefault="00A17C78" w:rsidP="00A17C78">
            <w:pPr>
              <w:rPr>
                <w:noProof/>
                <w:sz w:val="20"/>
                <w:szCs w:val="20"/>
              </w:rPr>
            </w:pPr>
            <w:r w:rsidRPr="005E2C09">
              <w:rPr>
                <w:noProof/>
                <w:sz w:val="20"/>
                <w:szCs w:val="20"/>
              </w:rPr>
              <w:t xml:space="preserve"> Austria </w:t>
            </w:r>
          </w:p>
        </w:tc>
        <w:tc>
          <w:tcPr>
            <w:tcW w:w="853" w:type="pct"/>
            <w:tcBorders>
              <w:top w:val="nil"/>
              <w:left w:val="nil"/>
              <w:bottom w:val="single" w:sz="4" w:space="0" w:color="auto"/>
              <w:right w:val="single" w:sz="4" w:space="0" w:color="auto"/>
            </w:tcBorders>
            <w:shd w:val="clear" w:color="000000" w:fill="FFFFFF"/>
            <w:noWrap/>
            <w:hideMark/>
          </w:tcPr>
          <w:p w14:paraId="510F7DC0" w14:textId="00C31A78" w:rsidR="00A17C78" w:rsidRPr="00A17C78" w:rsidRDefault="00A17C78" w:rsidP="00A17C78">
            <w:pPr>
              <w:jc w:val="right"/>
              <w:rPr>
                <w:noProof/>
                <w:sz w:val="20"/>
                <w:szCs w:val="20"/>
              </w:rPr>
            </w:pPr>
            <w:r w:rsidRPr="00A17C78">
              <w:rPr>
                <w:noProof/>
                <w:sz w:val="20"/>
                <w:szCs w:val="20"/>
              </w:rPr>
              <w:t>177.4</w:t>
            </w:r>
          </w:p>
        </w:tc>
        <w:tc>
          <w:tcPr>
            <w:tcW w:w="853" w:type="pct"/>
            <w:tcBorders>
              <w:top w:val="nil"/>
              <w:left w:val="nil"/>
              <w:bottom w:val="single" w:sz="4" w:space="0" w:color="auto"/>
              <w:right w:val="single" w:sz="4" w:space="0" w:color="auto"/>
            </w:tcBorders>
            <w:shd w:val="clear" w:color="000000" w:fill="FFFFFF"/>
            <w:noWrap/>
            <w:hideMark/>
          </w:tcPr>
          <w:p w14:paraId="5A58163A" w14:textId="57DB13F5" w:rsidR="00A17C78" w:rsidRPr="00A17C78" w:rsidRDefault="00A17C78" w:rsidP="00A17C78">
            <w:pPr>
              <w:jc w:val="right"/>
              <w:rPr>
                <w:noProof/>
                <w:sz w:val="20"/>
                <w:szCs w:val="20"/>
              </w:rPr>
            </w:pPr>
            <w:r w:rsidRPr="00A17C78">
              <w:rPr>
                <w:noProof/>
                <w:sz w:val="20"/>
                <w:szCs w:val="20"/>
              </w:rPr>
              <w:t>21.8</w:t>
            </w:r>
          </w:p>
        </w:tc>
        <w:tc>
          <w:tcPr>
            <w:tcW w:w="853" w:type="pct"/>
            <w:tcBorders>
              <w:top w:val="nil"/>
              <w:left w:val="nil"/>
              <w:bottom w:val="single" w:sz="4" w:space="0" w:color="auto"/>
              <w:right w:val="single" w:sz="4" w:space="0" w:color="auto"/>
            </w:tcBorders>
            <w:shd w:val="clear" w:color="000000" w:fill="FFFFFF"/>
            <w:noWrap/>
            <w:hideMark/>
          </w:tcPr>
          <w:p w14:paraId="005982FF" w14:textId="0A9977D9" w:rsidR="00A17C78" w:rsidRPr="00A17C78" w:rsidRDefault="00A17C78" w:rsidP="00A17C78">
            <w:pPr>
              <w:jc w:val="right"/>
              <w:rPr>
                <w:noProof/>
                <w:sz w:val="20"/>
                <w:szCs w:val="20"/>
              </w:rPr>
            </w:pPr>
            <w:r w:rsidRPr="00A17C78">
              <w:rPr>
                <w:noProof/>
                <w:sz w:val="20"/>
                <w:szCs w:val="20"/>
              </w:rPr>
              <w:t>23.5</w:t>
            </w:r>
          </w:p>
        </w:tc>
        <w:tc>
          <w:tcPr>
            <w:tcW w:w="853" w:type="pct"/>
            <w:tcBorders>
              <w:top w:val="nil"/>
              <w:left w:val="nil"/>
              <w:bottom w:val="single" w:sz="4" w:space="0" w:color="auto"/>
              <w:right w:val="single" w:sz="4" w:space="0" w:color="auto"/>
            </w:tcBorders>
            <w:shd w:val="clear" w:color="000000" w:fill="FFFFFF"/>
            <w:noWrap/>
            <w:hideMark/>
          </w:tcPr>
          <w:p w14:paraId="05030E89" w14:textId="3C97769B" w:rsidR="00A17C78" w:rsidRPr="00A17C78" w:rsidRDefault="00A17C78" w:rsidP="00A17C78">
            <w:pPr>
              <w:jc w:val="right"/>
              <w:rPr>
                <w:noProof/>
                <w:sz w:val="20"/>
                <w:szCs w:val="20"/>
              </w:rPr>
            </w:pPr>
            <w:r w:rsidRPr="00A17C78">
              <w:rPr>
                <w:noProof/>
                <w:sz w:val="20"/>
                <w:szCs w:val="20"/>
              </w:rPr>
              <w:t>21.5</w:t>
            </w:r>
          </w:p>
        </w:tc>
      </w:tr>
      <w:tr w:rsidR="00A17C78" w:rsidRPr="005E2C09" w14:paraId="1F3CCC85"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0A613E82" w14:textId="77777777" w:rsidR="00A17C78" w:rsidRPr="005E2C09" w:rsidRDefault="00A17C78" w:rsidP="00A17C78">
            <w:pPr>
              <w:rPr>
                <w:noProof/>
                <w:sz w:val="20"/>
                <w:szCs w:val="20"/>
              </w:rPr>
            </w:pPr>
            <w:r w:rsidRPr="005E2C09">
              <w:rPr>
                <w:noProof/>
                <w:sz w:val="20"/>
                <w:szCs w:val="20"/>
              </w:rPr>
              <w:t xml:space="preserve"> Denmark </w:t>
            </w:r>
          </w:p>
        </w:tc>
        <w:tc>
          <w:tcPr>
            <w:tcW w:w="853" w:type="pct"/>
            <w:tcBorders>
              <w:top w:val="nil"/>
              <w:left w:val="nil"/>
              <w:bottom w:val="single" w:sz="4" w:space="0" w:color="auto"/>
              <w:right w:val="single" w:sz="4" w:space="0" w:color="auto"/>
            </w:tcBorders>
            <w:shd w:val="clear" w:color="000000" w:fill="FFFFFF"/>
            <w:noWrap/>
            <w:hideMark/>
          </w:tcPr>
          <w:p w14:paraId="4FA7BAFF" w14:textId="19ADE9AF" w:rsidR="00A17C78" w:rsidRPr="00A17C78" w:rsidRDefault="00A17C78" w:rsidP="00A17C78">
            <w:pPr>
              <w:jc w:val="right"/>
              <w:rPr>
                <w:noProof/>
                <w:sz w:val="20"/>
                <w:szCs w:val="20"/>
              </w:rPr>
            </w:pPr>
            <w:r w:rsidRPr="00A17C78">
              <w:rPr>
                <w:noProof/>
                <w:sz w:val="20"/>
                <w:szCs w:val="20"/>
              </w:rPr>
              <w:t>118.3</w:t>
            </w:r>
          </w:p>
        </w:tc>
        <w:tc>
          <w:tcPr>
            <w:tcW w:w="853" w:type="pct"/>
            <w:tcBorders>
              <w:top w:val="nil"/>
              <w:left w:val="nil"/>
              <w:bottom w:val="single" w:sz="4" w:space="0" w:color="auto"/>
              <w:right w:val="single" w:sz="4" w:space="0" w:color="auto"/>
            </w:tcBorders>
            <w:shd w:val="clear" w:color="000000" w:fill="FFFFFF"/>
            <w:noWrap/>
            <w:hideMark/>
          </w:tcPr>
          <w:p w14:paraId="70BDA432" w14:textId="3FEA9C17" w:rsidR="00A17C78" w:rsidRPr="00A17C78" w:rsidRDefault="00A17C78" w:rsidP="00A17C78">
            <w:pPr>
              <w:jc w:val="right"/>
              <w:rPr>
                <w:noProof/>
                <w:sz w:val="20"/>
                <w:szCs w:val="20"/>
              </w:rPr>
            </w:pPr>
            <w:r w:rsidRPr="00A17C78">
              <w:rPr>
                <w:noProof/>
                <w:sz w:val="20"/>
                <w:szCs w:val="20"/>
              </w:rPr>
              <w:t>14.6</w:t>
            </w:r>
          </w:p>
        </w:tc>
        <w:tc>
          <w:tcPr>
            <w:tcW w:w="853" w:type="pct"/>
            <w:tcBorders>
              <w:top w:val="nil"/>
              <w:left w:val="nil"/>
              <w:bottom w:val="single" w:sz="4" w:space="0" w:color="auto"/>
              <w:right w:val="single" w:sz="4" w:space="0" w:color="auto"/>
            </w:tcBorders>
            <w:shd w:val="clear" w:color="000000" w:fill="FFFFFF"/>
            <w:noWrap/>
            <w:hideMark/>
          </w:tcPr>
          <w:p w14:paraId="36511105" w14:textId="2672FD11" w:rsidR="00A17C78" w:rsidRPr="00A17C78" w:rsidRDefault="00A17C78" w:rsidP="00A17C78">
            <w:pPr>
              <w:jc w:val="right"/>
              <w:rPr>
                <w:noProof/>
                <w:sz w:val="20"/>
                <w:szCs w:val="20"/>
              </w:rPr>
            </w:pPr>
            <w:r w:rsidRPr="00A17C78">
              <w:rPr>
                <w:noProof/>
                <w:sz w:val="20"/>
                <w:szCs w:val="20"/>
              </w:rPr>
              <w:t>15.7</w:t>
            </w:r>
          </w:p>
        </w:tc>
        <w:tc>
          <w:tcPr>
            <w:tcW w:w="853" w:type="pct"/>
            <w:tcBorders>
              <w:top w:val="nil"/>
              <w:left w:val="nil"/>
              <w:bottom w:val="single" w:sz="4" w:space="0" w:color="auto"/>
              <w:right w:val="single" w:sz="4" w:space="0" w:color="auto"/>
            </w:tcBorders>
            <w:shd w:val="clear" w:color="000000" w:fill="FFFFFF"/>
            <w:noWrap/>
            <w:hideMark/>
          </w:tcPr>
          <w:p w14:paraId="5F06B439" w14:textId="24633F6F" w:rsidR="00A17C78" w:rsidRPr="00A17C78" w:rsidRDefault="00A17C78" w:rsidP="00A17C78">
            <w:pPr>
              <w:jc w:val="right"/>
              <w:rPr>
                <w:noProof/>
                <w:sz w:val="20"/>
                <w:szCs w:val="20"/>
              </w:rPr>
            </w:pPr>
            <w:r w:rsidRPr="00A17C78">
              <w:rPr>
                <w:noProof/>
                <w:sz w:val="20"/>
                <w:szCs w:val="20"/>
              </w:rPr>
              <w:t>14.3</w:t>
            </w:r>
          </w:p>
        </w:tc>
      </w:tr>
      <w:tr w:rsidR="00A17C78" w:rsidRPr="005E2C09" w14:paraId="4C9E1058"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A7ECDAC" w14:textId="77777777" w:rsidR="00A17C78" w:rsidRPr="005E2C09" w:rsidRDefault="00A17C78" w:rsidP="00A17C78">
            <w:pPr>
              <w:rPr>
                <w:noProof/>
                <w:sz w:val="20"/>
                <w:szCs w:val="20"/>
              </w:rPr>
            </w:pPr>
            <w:r w:rsidRPr="005E2C09">
              <w:rPr>
                <w:noProof/>
                <w:sz w:val="20"/>
                <w:szCs w:val="20"/>
              </w:rPr>
              <w:t xml:space="preserve"> Luxembourg </w:t>
            </w:r>
          </w:p>
        </w:tc>
        <w:tc>
          <w:tcPr>
            <w:tcW w:w="853" w:type="pct"/>
            <w:tcBorders>
              <w:top w:val="nil"/>
              <w:left w:val="nil"/>
              <w:bottom w:val="single" w:sz="4" w:space="0" w:color="auto"/>
              <w:right w:val="single" w:sz="4" w:space="0" w:color="auto"/>
            </w:tcBorders>
            <w:shd w:val="clear" w:color="000000" w:fill="FFFFFF"/>
            <w:noWrap/>
            <w:hideMark/>
          </w:tcPr>
          <w:p w14:paraId="6DA54B00" w14:textId="0E853907" w:rsidR="00A17C78" w:rsidRPr="00A17C78" w:rsidRDefault="00A17C78" w:rsidP="00A17C78">
            <w:pPr>
              <w:jc w:val="right"/>
              <w:rPr>
                <w:noProof/>
                <w:sz w:val="20"/>
                <w:szCs w:val="20"/>
              </w:rPr>
            </w:pPr>
            <w:r w:rsidRPr="00A17C78">
              <w:rPr>
                <w:noProof/>
                <w:sz w:val="20"/>
                <w:szCs w:val="20"/>
              </w:rPr>
              <w:t>78.8</w:t>
            </w:r>
          </w:p>
        </w:tc>
        <w:tc>
          <w:tcPr>
            <w:tcW w:w="853" w:type="pct"/>
            <w:tcBorders>
              <w:top w:val="nil"/>
              <w:left w:val="nil"/>
              <w:bottom w:val="single" w:sz="4" w:space="0" w:color="auto"/>
              <w:right w:val="single" w:sz="4" w:space="0" w:color="auto"/>
            </w:tcBorders>
            <w:shd w:val="clear" w:color="000000" w:fill="FFFFFF"/>
            <w:noWrap/>
            <w:hideMark/>
          </w:tcPr>
          <w:p w14:paraId="793B213A" w14:textId="27E981C2" w:rsidR="00A17C78" w:rsidRPr="00A17C78" w:rsidRDefault="00A17C78" w:rsidP="00A17C78">
            <w:pPr>
              <w:jc w:val="right"/>
              <w:rPr>
                <w:noProof/>
                <w:sz w:val="20"/>
                <w:szCs w:val="20"/>
              </w:rPr>
            </w:pPr>
            <w:r w:rsidRPr="00A17C78">
              <w:rPr>
                <w:noProof/>
                <w:sz w:val="20"/>
                <w:szCs w:val="20"/>
              </w:rPr>
              <w:t>9.7</w:t>
            </w:r>
          </w:p>
        </w:tc>
        <w:tc>
          <w:tcPr>
            <w:tcW w:w="853" w:type="pct"/>
            <w:tcBorders>
              <w:top w:val="nil"/>
              <w:left w:val="nil"/>
              <w:bottom w:val="single" w:sz="4" w:space="0" w:color="auto"/>
              <w:right w:val="single" w:sz="4" w:space="0" w:color="auto"/>
            </w:tcBorders>
            <w:shd w:val="clear" w:color="000000" w:fill="FFFFFF"/>
            <w:noWrap/>
            <w:hideMark/>
          </w:tcPr>
          <w:p w14:paraId="6C76B35E" w14:textId="4423BC81" w:rsidR="00A17C78" w:rsidRPr="00A17C78" w:rsidRDefault="00A17C78" w:rsidP="00A17C78">
            <w:pPr>
              <w:jc w:val="right"/>
              <w:rPr>
                <w:noProof/>
                <w:sz w:val="20"/>
                <w:szCs w:val="20"/>
              </w:rPr>
            </w:pPr>
            <w:r w:rsidRPr="00A17C78">
              <w:rPr>
                <w:noProof/>
                <w:sz w:val="20"/>
                <w:szCs w:val="20"/>
              </w:rPr>
              <w:t>10.4</w:t>
            </w:r>
          </w:p>
        </w:tc>
        <w:tc>
          <w:tcPr>
            <w:tcW w:w="853" w:type="pct"/>
            <w:tcBorders>
              <w:top w:val="nil"/>
              <w:left w:val="nil"/>
              <w:bottom w:val="single" w:sz="4" w:space="0" w:color="auto"/>
              <w:right w:val="single" w:sz="4" w:space="0" w:color="auto"/>
            </w:tcBorders>
            <w:shd w:val="clear" w:color="000000" w:fill="FFFFFF"/>
            <w:noWrap/>
            <w:hideMark/>
          </w:tcPr>
          <w:p w14:paraId="20CBFC62" w14:textId="2A037037" w:rsidR="00A17C78" w:rsidRPr="00A17C78" w:rsidRDefault="00A17C78" w:rsidP="00A17C78">
            <w:pPr>
              <w:jc w:val="right"/>
              <w:rPr>
                <w:noProof/>
                <w:sz w:val="20"/>
                <w:szCs w:val="20"/>
              </w:rPr>
            </w:pPr>
            <w:r w:rsidRPr="00A17C78">
              <w:rPr>
                <w:noProof/>
                <w:sz w:val="20"/>
                <w:szCs w:val="20"/>
              </w:rPr>
              <w:t>9.5</w:t>
            </w:r>
          </w:p>
        </w:tc>
      </w:tr>
      <w:tr w:rsidR="00A17C78" w:rsidRPr="005E2C09" w14:paraId="16E3C5A7"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66E5EA84" w14:textId="77777777" w:rsidR="00A17C78" w:rsidRPr="005E2C09" w:rsidRDefault="00A17C78" w:rsidP="00A17C78">
            <w:pPr>
              <w:rPr>
                <w:noProof/>
                <w:sz w:val="20"/>
                <w:szCs w:val="20"/>
              </w:rPr>
            </w:pPr>
            <w:r w:rsidRPr="005E2C09">
              <w:rPr>
                <w:noProof/>
                <w:sz w:val="20"/>
                <w:szCs w:val="20"/>
              </w:rPr>
              <w:t xml:space="preserve"> Finland </w:t>
            </w:r>
          </w:p>
        </w:tc>
        <w:tc>
          <w:tcPr>
            <w:tcW w:w="853" w:type="pct"/>
            <w:tcBorders>
              <w:top w:val="nil"/>
              <w:left w:val="nil"/>
              <w:bottom w:val="single" w:sz="4" w:space="0" w:color="auto"/>
              <w:right w:val="single" w:sz="4" w:space="0" w:color="auto"/>
            </w:tcBorders>
            <w:shd w:val="clear" w:color="000000" w:fill="FFFFFF"/>
            <w:noWrap/>
            <w:hideMark/>
          </w:tcPr>
          <w:p w14:paraId="1D62AF09" w14:textId="60F4AF2B" w:rsidR="00A17C78" w:rsidRPr="00A17C78" w:rsidRDefault="00A17C78" w:rsidP="00A17C78">
            <w:pPr>
              <w:jc w:val="right"/>
              <w:rPr>
                <w:noProof/>
                <w:sz w:val="20"/>
                <w:szCs w:val="20"/>
              </w:rPr>
            </w:pPr>
            <w:r w:rsidRPr="00A17C78">
              <w:rPr>
                <w:noProof/>
                <w:sz w:val="20"/>
                <w:szCs w:val="20"/>
              </w:rPr>
              <w:t>98.5</w:t>
            </w:r>
          </w:p>
        </w:tc>
        <w:tc>
          <w:tcPr>
            <w:tcW w:w="853" w:type="pct"/>
            <w:tcBorders>
              <w:top w:val="nil"/>
              <w:left w:val="nil"/>
              <w:bottom w:val="single" w:sz="4" w:space="0" w:color="auto"/>
              <w:right w:val="single" w:sz="4" w:space="0" w:color="auto"/>
            </w:tcBorders>
            <w:shd w:val="clear" w:color="000000" w:fill="FFFFFF"/>
            <w:noWrap/>
            <w:hideMark/>
          </w:tcPr>
          <w:p w14:paraId="6DE1A104" w14:textId="25F0DF83" w:rsidR="00A17C78" w:rsidRPr="00A17C78" w:rsidRDefault="00A17C78" w:rsidP="00A17C78">
            <w:pPr>
              <w:jc w:val="right"/>
              <w:rPr>
                <w:noProof/>
                <w:sz w:val="20"/>
                <w:szCs w:val="20"/>
              </w:rPr>
            </w:pPr>
            <w:r w:rsidRPr="00A17C78">
              <w:rPr>
                <w:noProof/>
                <w:sz w:val="20"/>
                <w:szCs w:val="20"/>
              </w:rPr>
              <w:t>12.1</w:t>
            </w:r>
          </w:p>
        </w:tc>
        <w:tc>
          <w:tcPr>
            <w:tcW w:w="853" w:type="pct"/>
            <w:tcBorders>
              <w:top w:val="nil"/>
              <w:left w:val="nil"/>
              <w:bottom w:val="single" w:sz="4" w:space="0" w:color="auto"/>
              <w:right w:val="single" w:sz="4" w:space="0" w:color="auto"/>
            </w:tcBorders>
            <w:shd w:val="clear" w:color="000000" w:fill="FFFFFF"/>
            <w:noWrap/>
            <w:hideMark/>
          </w:tcPr>
          <w:p w14:paraId="03EB11DD" w14:textId="24BB64BB" w:rsidR="00A17C78" w:rsidRPr="00A17C78" w:rsidRDefault="00A17C78" w:rsidP="00A17C78">
            <w:pPr>
              <w:jc w:val="right"/>
              <w:rPr>
                <w:noProof/>
                <w:sz w:val="20"/>
                <w:szCs w:val="20"/>
              </w:rPr>
            </w:pPr>
            <w:r w:rsidRPr="00A17C78">
              <w:rPr>
                <w:noProof/>
                <w:sz w:val="20"/>
                <w:szCs w:val="20"/>
              </w:rPr>
              <w:t>13.1</w:t>
            </w:r>
          </w:p>
        </w:tc>
        <w:tc>
          <w:tcPr>
            <w:tcW w:w="853" w:type="pct"/>
            <w:tcBorders>
              <w:top w:val="nil"/>
              <w:left w:val="nil"/>
              <w:bottom w:val="single" w:sz="4" w:space="0" w:color="auto"/>
              <w:right w:val="single" w:sz="4" w:space="0" w:color="auto"/>
            </w:tcBorders>
            <w:shd w:val="clear" w:color="000000" w:fill="FFFFFF"/>
            <w:noWrap/>
            <w:hideMark/>
          </w:tcPr>
          <w:p w14:paraId="6C19050D" w14:textId="44141FFE" w:rsidR="00A17C78" w:rsidRPr="00A17C78" w:rsidRDefault="00A17C78" w:rsidP="00A17C78">
            <w:pPr>
              <w:jc w:val="right"/>
              <w:rPr>
                <w:noProof/>
                <w:sz w:val="20"/>
                <w:szCs w:val="20"/>
              </w:rPr>
            </w:pPr>
            <w:r w:rsidRPr="00A17C78">
              <w:rPr>
                <w:noProof/>
                <w:sz w:val="20"/>
                <w:szCs w:val="20"/>
              </w:rPr>
              <w:t>11.9</w:t>
            </w:r>
          </w:p>
        </w:tc>
      </w:tr>
      <w:tr w:rsidR="00A17C78" w:rsidRPr="005E2C09" w14:paraId="3D0C83C2"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3B2249F2" w14:textId="77777777" w:rsidR="00A17C78" w:rsidRPr="005E2C09" w:rsidRDefault="00A17C78" w:rsidP="00A17C78">
            <w:pPr>
              <w:rPr>
                <w:noProof/>
                <w:sz w:val="20"/>
                <w:szCs w:val="20"/>
              </w:rPr>
            </w:pPr>
            <w:r w:rsidRPr="005E2C09">
              <w:rPr>
                <w:noProof/>
                <w:sz w:val="20"/>
                <w:szCs w:val="20"/>
              </w:rPr>
              <w:t xml:space="preserve"> Spain </w:t>
            </w:r>
          </w:p>
        </w:tc>
        <w:tc>
          <w:tcPr>
            <w:tcW w:w="853" w:type="pct"/>
            <w:tcBorders>
              <w:top w:val="nil"/>
              <w:left w:val="nil"/>
              <w:bottom w:val="single" w:sz="4" w:space="0" w:color="auto"/>
              <w:right w:val="single" w:sz="4" w:space="0" w:color="auto"/>
            </w:tcBorders>
            <w:shd w:val="clear" w:color="000000" w:fill="FFFFFF"/>
            <w:noWrap/>
            <w:hideMark/>
          </w:tcPr>
          <w:p w14:paraId="2D7B9E2F" w14:textId="531C26BE" w:rsidR="00A17C78" w:rsidRPr="00A17C78" w:rsidRDefault="00A17C78" w:rsidP="00A17C78">
            <w:pPr>
              <w:jc w:val="right"/>
              <w:rPr>
                <w:noProof/>
                <w:sz w:val="20"/>
                <w:szCs w:val="20"/>
              </w:rPr>
            </w:pPr>
            <w:r w:rsidRPr="00A17C78">
              <w:rPr>
                <w:noProof/>
                <w:sz w:val="20"/>
                <w:szCs w:val="20"/>
              </w:rPr>
              <w:t>78.8</w:t>
            </w:r>
          </w:p>
        </w:tc>
        <w:tc>
          <w:tcPr>
            <w:tcW w:w="853" w:type="pct"/>
            <w:tcBorders>
              <w:top w:val="nil"/>
              <w:left w:val="nil"/>
              <w:bottom w:val="single" w:sz="4" w:space="0" w:color="auto"/>
              <w:right w:val="single" w:sz="4" w:space="0" w:color="auto"/>
            </w:tcBorders>
            <w:shd w:val="clear" w:color="000000" w:fill="FFFFFF"/>
            <w:noWrap/>
            <w:hideMark/>
          </w:tcPr>
          <w:p w14:paraId="7A703FAC" w14:textId="7A072E32" w:rsidR="00A17C78" w:rsidRPr="00A17C78" w:rsidRDefault="00A17C78" w:rsidP="00A17C78">
            <w:pPr>
              <w:jc w:val="right"/>
              <w:rPr>
                <w:noProof/>
                <w:sz w:val="20"/>
                <w:szCs w:val="20"/>
              </w:rPr>
            </w:pPr>
            <w:r w:rsidRPr="00A17C78">
              <w:rPr>
                <w:noProof/>
                <w:sz w:val="20"/>
                <w:szCs w:val="20"/>
              </w:rPr>
              <w:t>9.7</w:t>
            </w:r>
          </w:p>
        </w:tc>
        <w:tc>
          <w:tcPr>
            <w:tcW w:w="853" w:type="pct"/>
            <w:tcBorders>
              <w:top w:val="nil"/>
              <w:left w:val="nil"/>
              <w:bottom w:val="single" w:sz="4" w:space="0" w:color="auto"/>
              <w:right w:val="single" w:sz="4" w:space="0" w:color="auto"/>
            </w:tcBorders>
            <w:shd w:val="clear" w:color="000000" w:fill="FFFFFF"/>
            <w:noWrap/>
            <w:hideMark/>
          </w:tcPr>
          <w:p w14:paraId="3F479814" w14:textId="008438F1" w:rsidR="00A17C78" w:rsidRPr="00A17C78" w:rsidRDefault="00A17C78" w:rsidP="00A17C78">
            <w:pPr>
              <w:jc w:val="right"/>
              <w:rPr>
                <w:noProof/>
                <w:sz w:val="20"/>
                <w:szCs w:val="20"/>
              </w:rPr>
            </w:pPr>
            <w:r w:rsidRPr="00A17C78">
              <w:rPr>
                <w:noProof/>
                <w:sz w:val="20"/>
                <w:szCs w:val="20"/>
              </w:rPr>
              <w:t>10.4</w:t>
            </w:r>
          </w:p>
        </w:tc>
        <w:tc>
          <w:tcPr>
            <w:tcW w:w="853" w:type="pct"/>
            <w:tcBorders>
              <w:top w:val="nil"/>
              <w:left w:val="nil"/>
              <w:bottom w:val="single" w:sz="4" w:space="0" w:color="auto"/>
              <w:right w:val="single" w:sz="4" w:space="0" w:color="auto"/>
            </w:tcBorders>
            <w:shd w:val="clear" w:color="000000" w:fill="FFFFFF"/>
            <w:noWrap/>
            <w:hideMark/>
          </w:tcPr>
          <w:p w14:paraId="38A21500" w14:textId="6B8923EE" w:rsidR="00A17C78" w:rsidRPr="00A17C78" w:rsidRDefault="00A17C78" w:rsidP="00A17C78">
            <w:pPr>
              <w:jc w:val="right"/>
              <w:rPr>
                <w:noProof/>
                <w:sz w:val="20"/>
                <w:szCs w:val="20"/>
              </w:rPr>
            </w:pPr>
            <w:r w:rsidRPr="00A17C78">
              <w:rPr>
                <w:noProof/>
                <w:sz w:val="20"/>
                <w:szCs w:val="20"/>
              </w:rPr>
              <w:t>9.5</w:t>
            </w:r>
          </w:p>
        </w:tc>
      </w:tr>
      <w:tr w:rsidR="00A17C78" w:rsidRPr="005E2C09" w14:paraId="223209A0"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24276C64" w14:textId="77777777" w:rsidR="00A17C78" w:rsidRPr="005E2C09" w:rsidRDefault="00A17C78" w:rsidP="00A17C78">
            <w:pPr>
              <w:rPr>
                <w:noProof/>
                <w:sz w:val="20"/>
                <w:szCs w:val="20"/>
              </w:rPr>
            </w:pPr>
            <w:r w:rsidRPr="005E2C09">
              <w:rPr>
                <w:noProof/>
                <w:sz w:val="20"/>
                <w:szCs w:val="20"/>
              </w:rPr>
              <w:t xml:space="preserve"> Netherlands </w:t>
            </w:r>
          </w:p>
        </w:tc>
        <w:tc>
          <w:tcPr>
            <w:tcW w:w="853" w:type="pct"/>
            <w:tcBorders>
              <w:top w:val="nil"/>
              <w:left w:val="nil"/>
              <w:bottom w:val="single" w:sz="4" w:space="0" w:color="auto"/>
              <w:right w:val="single" w:sz="4" w:space="0" w:color="auto"/>
            </w:tcBorders>
            <w:shd w:val="clear" w:color="000000" w:fill="FFFFFF"/>
            <w:noWrap/>
            <w:hideMark/>
          </w:tcPr>
          <w:p w14:paraId="1775F3AD" w14:textId="07344C04" w:rsidR="00A17C78" w:rsidRPr="00A17C78" w:rsidRDefault="00A17C78" w:rsidP="00A17C78">
            <w:pPr>
              <w:jc w:val="right"/>
              <w:rPr>
                <w:noProof/>
                <w:sz w:val="20"/>
                <w:szCs w:val="20"/>
              </w:rPr>
            </w:pPr>
            <w:r w:rsidRPr="00A17C78">
              <w:rPr>
                <w:noProof/>
                <w:sz w:val="20"/>
                <w:szCs w:val="20"/>
              </w:rPr>
              <w:t>197.1</w:t>
            </w:r>
          </w:p>
        </w:tc>
        <w:tc>
          <w:tcPr>
            <w:tcW w:w="853" w:type="pct"/>
            <w:tcBorders>
              <w:top w:val="nil"/>
              <w:left w:val="nil"/>
              <w:bottom w:val="single" w:sz="4" w:space="0" w:color="auto"/>
              <w:right w:val="single" w:sz="4" w:space="0" w:color="auto"/>
            </w:tcBorders>
            <w:shd w:val="clear" w:color="000000" w:fill="FFFFFF"/>
            <w:noWrap/>
            <w:hideMark/>
          </w:tcPr>
          <w:p w14:paraId="2311E1EE" w14:textId="7C54D957" w:rsidR="00A17C78" w:rsidRPr="00A17C78" w:rsidRDefault="00A17C78" w:rsidP="00A17C78">
            <w:pPr>
              <w:jc w:val="right"/>
              <w:rPr>
                <w:noProof/>
                <w:sz w:val="20"/>
                <w:szCs w:val="20"/>
              </w:rPr>
            </w:pPr>
            <w:r w:rsidRPr="00A17C78">
              <w:rPr>
                <w:noProof/>
                <w:sz w:val="20"/>
                <w:szCs w:val="20"/>
              </w:rPr>
              <w:t>24.3</w:t>
            </w:r>
          </w:p>
        </w:tc>
        <w:tc>
          <w:tcPr>
            <w:tcW w:w="853" w:type="pct"/>
            <w:tcBorders>
              <w:top w:val="nil"/>
              <w:left w:val="nil"/>
              <w:bottom w:val="single" w:sz="4" w:space="0" w:color="auto"/>
              <w:right w:val="single" w:sz="4" w:space="0" w:color="auto"/>
            </w:tcBorders>
            <w:shd w:val="clear" w:color="000000" w:fill="FFFFFF"/>
            <w:noWrap/>
            <w:hideMark/>
          </w:tcPr>
          <w:p w14:paraId="00153624" w14:textId="5E22DF08" w:rsidR="00A17C78" w:rsidRPr="00A17C78" w:rsidRDefault="00A17C78" w:rsidP="00A17C78">
            <w:pPr>
              <w:jc w:val="right"/>
              <w:rPr>
                <w:noProof/>
                <w:sz w:val="20"/>
                <w:szCs w:val="20"/>
              </w:rPr>
            </w:pPr>
            <w:r w:rsidRPr="00A17C78">
              <w:rPr>
                <w:noProof/>
                <w:sz w:val="20"/>
                <w:szCs w:val="20"/>
              </w:rPr>
              <w:t>26.1</w:t>
            </w:r>
          </w:p>
        </w:tc>
        <w:tc>
          <w:tcPr>
            <w:tcW w:w="853" w:type="pct"/>
            <w:tcBorders>
              <w:top w:val="nil"/>
              <w:left w:val="nil"/>
              <w:bottom w:val="single" w:sz="4" w:space="0" w:color="auto"/>
              <w:right w:val="single" w:sz="4" w:space="0" w:color="auto"/>
            </w:tcBorders>
            <w:shd w:val="clear" w:color="000000" w:fill="FFFFFF"/>
            <w:noWrap/>
            <w:hideMark/>
          </w:tcPr>
          <w:p w14:paraId="48CAABEA" w14:textId="7AD31CA1" w:rsidR="00A17C78" w:rsidRPr="00A17C78" w:rsidRDefault="00A17C78" w:rsidP="00A17C78">
            <w:pPr>
              <w:jc w:val="right"/>
              <w:rPr>
                <w:noProof/>
                <w:sz w:val="20"/>
                <w:szCs w:val="20"/>
              </w:rPr>
            </w:pPr>
            <w:r w:rsidRPr="00A17C78">
              <w:rPr>
                <w:noProof/>
                <w:sz w:val="20"/>
                <w:szCs w:val="20"/>
              </w:rPr>
              <w:t>23.9</w:t>
            </w:r>
          </w:p>
        </w:tc>
      </w:tr>
      <w:tr w:rsidR="00A17C78" w:rsidRPr="005E2C09" w14:paraId="2A2F08FD"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4A80987" w14:textId="77777777" w:rsidR="00A17C78" w:rsidRPr="005E2C09" w:rsidRDefault="00A17C78" w:rsidP="00A17C78">
            <w:pPr>
              <w:rPr>
                <w:noProof/>
                <w:sz w:val="20"/>
                <w:szCs w:val="20"/>
              </w:rPr>
            </w:pPr>
            <w:r w:rsidRPr="005E2C09">
              <w:rPr>
                <w:noProof/>
                <w:sz w:val="20"/>
                <w:szCs w:val="20"/>
              </w:rPr>
              <w:t xml:space="preserve"> France </w:t>
            </w:r>
          </w:p>
        </w:tc>
        <w:tc>
          <w:tcPr>
            <w:tcW w:w="853" w:type="pct"/>
            <w:tcBorders>
              <w:top w:val="nil"/>
              <w:left w:val="nil"/>
              <w:bottom w:val="single" w:sz="4" w:space="0" w:color="auto"/>
              <w:right w:val="single" w:sz="4" w:space="0" w:color="auto"/>
            </w:tcBorders>
            <w:shd w:val="clear" w:color="000000" w:fill="FFFFFF"/>
            <w:noWrap/>
            <w:hideMark/>
          </w:tcPr>
          <w:p w14:paraId="6D82680A" w14:textId="0FFE4DD1" w:rsidR="00A17C78" w:rsidRPr="00A17C78" w:rsidRDefault="00A17C78" w:rsidP="00A17C78">
            <w:pPr>
              <w:jc w:val="right"/>
              <w:rPr>
                <w:noProof/>
                <w:sz w:val="20"/>
                <w:szCs w:val="20"/>
              </w:rPr>
            </w:pPr>
            <w:r w:rsidRPr="00A17C78">
              <w:rPr>
                <w:noProof/>
                <w:sz w:val="20"/>
                <w:szCs w:val="20"/>
              </w:rPr>
              <w:t>256.2</w:t>
            </w:r>
          </w:p>
        </w:tc>
        <w:tc>
          <w:tcPr>
            <w:tcW w:w="853" w:type="pct"/>
            <w:tcBorders>
              <w:top w:val="nil"/>
              <w:left w:val="nil"/>
              <w:bottom w:val="single" w:sz="4" w:space="0" w:color="auto"/>
              <w:right w:val="single" w:sz="4" w:space="0" w:color="auto"/>
            </w:tcBorders>
            <w:shd w:val="clear" w:color="000000" w:fill="FFFFFF"/>
            <w:noWrap/>
            <w:hideMark/>
          </w:tcPr>
          <w:p w14:paraId="3EDE4C55" w14:textId="29FC122F" w:rsidR="00A17C78" w:rsidRPr="00A17C78" w:rsidRDefault="00A17C78" w:rsidP="00A17C78">
            <w:pPr>
              <w:jc w:val="right"/>
              <w:rPr>
                <w:noProof/>
                <w:sz w:val="20"/>
                <w:szCs w:val="20"/>
              </w:rPr>
            </w:pPr>
            <w:r w:rsidRPr="00A17C78">
              <w:rPr>
                <w:noProof/>
                <w:sz w:val="20"/>
                <w:szCs w:val="20"/>
              </w:rPr>
              <w:t>31.6</w:t>
            </w:r>
          </w:p>
        </w:tc>
        <w:tc>
          <w:tcPr>
            <w:tcW w:w="853" w:type="pct"/>
            <w:tcBorders>
              <w:top w:val="nil"/>
              <w:left w:val="nil"/>
              <w:bottom w:val="single" w:sz="4" w:space="0" w:color="auto"/>
              <w:right w:val="single" w:sz="4" w:space="0" w:color="auto"/>
            </w:tcBorders>
            <w:shd w:val="clear" w:color="000000" w:fill="FFFFFF"/>
            <w:noWrap/>
            <w:hideMark/>
          </w:tcPr>
          <w:p w14:paraId="712326BA" w14:textId="465264F3" w:rsidR="00A17C78" w:rsidRPr="00A17C78" w:rsidRDefault="00A17C78" w:rsidP="00A17C78">
            <w:pPr>
              <w:jc w:val="right"/>
              <w:rPr>
                <w:noProof/>
                <w:sz w:val="20"/>
                <w:szCs w:val="20"/>
              </w:rPr>
            </w:pPr>
            <w:r w:rsidRPr="00A17C78">
              <w:rPr>
                <w:noProof/>
                <w:sz w:val="20"/>
                <w:szCs w:val="20"/>
              </w:rPr>
              <w:t>33.9</w:t>
            </w:r>
          </w:p>
        </w:tc>
        <w:tc>
          <w:tcPr>
            <w:tcW w:w="853" w:type="pct"/>
            <w:tcBorders>
              <w:top w:val="nil"/>
              <w:left w:val="nil"/>
              <w:bottom w:val="single" w:sz="4" w:space="0" w:color="auto"/>
              <w:right w:val="single" w:sz="4" w:space="0" w:color="auto"/>
            </w:tcBorders>
            <w:shd w:val="clear" w:color="000000" w:fill="FFFFFF"/>
            <w:noWrap/>
            <w:hideMark/>
          </w:tcPr>
          <w:p w14:paraId="6C91A335" w14:textId="61F789E1" w:rsidR="00A17C78" w:rsidRPr="00A17C78" w:rsidRDefault="00A17C78" w:rsidP="00A17C78">
            <w:pPr>
              <w:jc w:val="right"/>
              <w:rPr>
                <w:noProof/>
                <w:sz w:val="20"/>
                <w:szCs w:val="20"/>
              </w:rPr>
            </w:pPr>
            <w:r w:rsidRPr="00A17C78">
              <w:rPr>
                <w:noProof/>
                <w:sz w:val="20"/>
                <w:szCs w:val="20"/>
              </w:rPr>
              <w:t>31.0</w:t>
            </w:r>
          </w:p>
        </w:tc>
      </w:tr>
      <w:tr w:rsidR="00A17C78" w:rsidRPr="005E2C09" w14:paraId="36710DC8"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69789891" w14:textId="77777777" w:rsidR="00A17C78" w:rsidRPr="005E2C09" w:rsidRDefault="00A17C78" w:rsidP="00A17C78">
            <w:pPr>
              <w:rPr>
                <w:noProof/>
                <w:sz w:val="20"/>
                <w:szCs w:val="20"/>
              </w:rPr>
            </w:pPr>
            <w:r w:rsidRPr="005E2C09">
              <w:rPr>
                <w:noProof/>
                <w:sz w:val="20"/>
                <w:szCs w:val="20"/>
              </w:rPr>
              <w:t xml:space="preserve"> Poland </w:t>
            </w:r>
          </w:p>
        </w:tc>
        <w:tc>
          <w:tcPr>
            <w:tcW w:w="853" w:type="pct"/>
            <w:tcBorders>
              <w:top w:val="nil"/>
              <w:left w:val="nil"/>
              <w:bottom w:val="single" w:sz="4" w:space="0" w:color="auto"/>
              <w:right w:val="single" w:sz="4" w:space="0" w:color="auto"/>
            </w:tcBorders>
            <w:shd w:val="clear" w:color="000000" w:fill="FFFFFF"/>
            <w:noWrap/>
            <w:hideMark/>
          </w:tcPr>
          <w:p w14:paraId="5281D787" w14:textId="70716124" w:rsidR="00A17C78" w:rsidRPr="00A17C78" w:rsidRDefault="00A17C78" w:rsidP="00A17C78">
            <w:pPr>
              <w:jc w:val="right"/>
              <w:rPr>
                <w:noProof/>
                <w:sz w:val="20"/>
                <w:szCs w:val="20"/>
              </w:rPr>
            </w:pPr>
            <w:r w:rsidRPr="00A17C78">
              <w:rPr>
                <w:noProof/>
                <w:sz w:val="20"/>
                <w:szCs w:val="20"/>
              </w:rPr>
              <w:t>138.0</w:t>
            </w:r>
          </w:p>
        </w:tc>
        <w:tc>
          <w:tcPr>
            <w:tcW w:w="853" w:type="pct"/>
            <w:tcBorders>
              <w:top w:val="nil"/>
              <w:left w:val="nil"/>
              <w:bottom w:val="single" w:sz="4" w:space="0" w:color="auto"/>
              <w:right w:val="single" w:sz="4" w:space="0" w:color="auto"/>
            </w:tcBorders>
            <w:shd w:val="clear" w:color="000000" w:fill="FFFFFF"/>
            <w:noWrap/>
            <w:hideMark/>
          </w:tcPr>
          <w:p w14:paraId="5A36429D" w14:textId="48A88B34" w:rsidR="00A17C78" w:rsidRPr="00A17C78" w:rsidRDefault="00A17C78" w:rsidP="00A17C78">
            <w:pPr>
              <w:jc w:val="right"/>
              <w:rPr>
                <w:noProof/>
                <w:sz w:val="20"/>
                <w:szCs w:val="20"/>
              </w:rPr>
            </w:pPr>
            <w:r w:rsidRPr="00A17C78">
              <w:rPr>
                <w:noProof/>
                <w:sz w:val="20"/>
                <w:szCs w:val="20"/>
              </w:rPr>
              <w:t>17.0</w:t>
            </w:r>
          </w:p>
        </w:tc>
        <w:tc>
          <w:tcPr>
            <w:tcW w:w="853" w:type="pct"/>
            <w:tcBorders>
              <w:top w:val="nil"/>
              <w:left w:val="nil"/>
              <w:bottom w:val="single" w:sz="4" w:space="0" w:color="auto"/>
              <w:right w:val="single" w:sz="4" w:space="0" w:color="auto"/>
            </w:tcBorders>
            <w:shd w:val="clear" w:color="000000" w:fill="FFFFFF"/>
            <w:noWrap/>
            <w:hideMark/>
          </w:tcPr>
          <w:p w14:paraId="6EA66270" w14:textId="04F11DBD" w:rsidR="00A17C78" w:rsidRPr="00A17C78" w:rsidRDefault="00A17C78" w:rsidP="00A17C78">
            <w:pPr>
              <w:jc w:val="right"/>
              <w:rPr>
                <w:noProof/>
                <w:sz w:val="20"/>
                <w:szCs w:val="20"/>
              </w:rPr>
            </w:pPr>
            <w:r w:rsidRPr="00A17C78">
              <w:rPr>
                <w:noProof/>
                <w:sz w:val="20"/>
                <w:szCs w:val="20"/>
              </w:rPr>
              <w:t>18.3</w:t>
            </w:r>
          </w:p>
        </w:tc>
        <w:tc>
          <w:tcPr>
            <w:tcW w:w="853" w:type="pct"/>
            <w:tcBorders>
              <w:top w:val="nil"/>
              <w:left w:val="nil"/>
              <w:bottom w:val="single" w:sz="4" w:space="0" w:color="auto"/>
              <w:right w:val="single" w:sz="4" w:space="0" w:color="auto"/>
            </w:tcBorders>
            <w:shd w:val="clear" w:color="000000" w:fill="FFFFFF"/>
            <w:noWrap/>
            <w:hideMark/>
          </w:tcPr>
          <w:p w14:paraId="001B67FD" w14:textId="310E98F4" w:rsidR="00A17C78" w:rsidRPr="00A17C78" w:rsidRDefault="00A17C78" w:rsidP="00A17C78">
            <w:pPr>
              <w:jc w:val="right"/>
              <w:rPr>
                <w:noProof/>
                <w:sz w:val="20"/>
                <w:szCs w:val="20"/>
              </w:rPr>
            </w:pPr>
            <w:r w:rsidRPr="00A17C78">
              <w:rPr>
                <w:noProof/>
                <w:sz w:val="20"/>
                <w:szCs w:val="20"/>
              </w:rPr>
              <w:t>16.7</w:t>
            </w:r>
          </w:p>
        </w:tc>
      </w:tr>
      <w:tr w:rsidR="00A17C78" w:rsidRPr="005E2C09" w14:paraId="2993DBE2"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2A2A8654" w14:textId="77777777" w:rsidR="00A17C78" w:rsidRPr="005E2C09" w:rsidRDefault="00A17C78" w:rsidP="00A17C78">
            <w:pPr>
              <w:rPr>
                <w:noProof/>
                <w:sz w:val="20"/>
                <w:szCs w:val="20"/>
              </w:rPr>
            </w:pPr>
            <w:r w:rsidRPr="005E2C09">
              <w:rPr>
                <w:noProof/>
                <w:sz w:val="20"/>
                <w:szCs w:val="20"/>
              </w:rPr>
              <w:t xml:space="preserve"> Italy </w:t>
            </w:r>
          </w:p>
        </w:tc>
        <w:tc>
          <w:tcPr>
            <w:tcW w:w="853" w:type="pct"/>
            <w:tcBorders>
              <w:top w:val="nil"/>
              <w:left w:val="nil"/>
              <w:bottom w:val="single" w:sz="4" w:space="0" w:color="auto"/>
              <w:right w:val="single" w:sz="4" w:space="0" w:color="auto"/>
            </w:tcBorders>
            <w:shd w:val="clear" w:color="000000" w:fill="FFFFFF"/>
            <w:noWrap/>
            <w:hideMark/>
          </w:tcPr>
          <w:p w14:paraId="3C70101E" w14:textId="180E9273" w:rsidR="00A17C78" w:rsidRPr="00A17C78" w:rsidRDefault="00A17C78" w:rsidP="00A17C78">
            <w:pPr>
              <w:jc w:val="right"/>
              <w:rPr>
                <w:noProof/>
                <w:sz w:val="20"/>
                <w:szCs w:val="20"/>
              </w:rPr>
            </w:pPr>
            <w:r w:rsidRPr="00A17C78">
              <w:rPr>
                <w:noProof/>
                <w:sz w:val="20"/>
                <w:szCs w:val="20"/>
              </w:rPr>
              <w:t>118.3</w:t>
            </w:r>
          </w:p>
        </w:tc>
        <w:tc>
          <w:tcPr>
            <w:tcW w:w="853" w:type="pct"/>
            <w:tcBorders>
              <w:top w:val="nil"/>
              <w:left w:val="nil"/>
              <w:bottom w:val="single" w:sz="4" w:space="0" w:color="auto"/>
              <w:right w:val="single" w:sz="4" w:space="0" w:color="auto"/>
            </w:tcBorders>
            <w:shd w:val="clear" w:color="000000" w:fill="FFFFFF"/>
            <w:noWrap/>
            <w:hideMark/>
          </w:tcPr>
          <w:p w14:paraId="3227334E" w14:textId="0214F609" w:rsidR="00A17C78" w:rsidRPr="00A17C78" w:rsidRDefault="00A17C78" w:rsidP="00A17C78">
            <w:pPr>
              <w:jc w:val="right"/>
              <w:rPr>
                <w:noProof/>
                <w:sz w:val="20"/>
                <w:szCs w:val="20"/>
              </w:rPr>
            </w:pPr>
            <w:r w:rsidRPr="00A17C78">
              <w:rPr>
                <w:noProof/>
                <w:sz w:val="20"/>
                <w:szCs w:val="20"/>
              </w:rPr>
              <w:t>14.6</w:t>
            </w:r>
          </w:p>
        </w:tc>
        <w:tc>
          <w:tcPr>
            <w:tcW w:w="853" w:type="pct"/>
            <w:tcBorders>
              <w:top w:val="nil"/>
              <w:left w:val="nil"/>
              <w:bottom w:val="single" w:sz="4" w:space="0" w:color="auto"/>
              <w:right w:val="single" w:sz="4" w:space="0" w:color="auto"/>
            </w:tcBorders>
            <w:shd w:val="clear" w:color="000000" w:fill="FFFFFF"/>
            <w:noWrap/>
            <w:hideMark/>
          </w:tcPr>
          <w:p w14:paraId="24E7FA19" w14:textId="792F69D8" w:rsidR="00A17C78" w:rsidRPr="00A17C78" w:rsidRDefault="00A17C78" w:rsidP="00A17C78">
            <w:pPr>
              <w:jc w:val="right"/>
              <w:rPr>
                <w:noProof/>
                <w:sz w:val="20"/>
                <w:szCs w:val="20"/>
              </w:rPr>
            </w:pPr>
            <w:r w:rsidRPr="00A17C78">
              <w:rPr>
                <w:noProof/>
                <w:sz w:val="20"/>
                <w:szCs w:val="20"/>
              </w:rPr>
              <w:t>15.7</w:t>
            </w:r>
          </w:p>
        </w:tc>
        <w:tc>
          <w:tcPr>
            <w:tcW w:w="853" w:type="pct"/>
            <w:tcBorders>
              <w:top w:val="nil"/>
              <w:left w:val="nil"/>
              <w:bottom w:val="single" w:sz="4" w:space="0" w:color="auto"/>
              <w:right w:val="single" w:sz="4" w:space="0" w:color="auto"/>
            </w:tcBorders>
            <w:shd w:val="clear" w:color="000000" w:fill="FFFFFF"/>
            <w:noWrap/>
            <w:hideMark/>
          </w:tcPr>
          <w:p w14:paraId="727264D9" w14:textId="2AFC749D" w:rsidR="00A17C78" w:rsidRPr="00A17C78" w:rsidRDefault="00A17C78" w:rsidP="00A17C78">
            <w:pPr>
              <w:jc w:val="right"/>
              <w:rPr>
                <w:noProof/>
                <w:sz w:val="20"/>
                <w:szCs w:val="20"/>
              </w:rPr>
            </w:pPr>
            <w:r w:rsidRPr="00A17C78">
              <w:rPr>
                <w:noProof/>
                <w:sz w:val="20"/>
                <w:szCs w:val="20"/>
              </w:rPr>
              <w:t>14.3</w:t>
            </w:r>
          </w:p>
        </w:tc>
      </w:tr>
      <w:tr w:rsidR="00A17C78" w:rsidRPr="005E2C09" w14:paraId="56C252E6"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28673B1B" w14:textId="77777777" w:rsidR="00A17C78" w:rsidRPr="005E2C09" w:rsidRDefault="00A17C78" w:rsidP="00A17C78">
            <w:pPr>
              <w:rPr>
                <w:noProof/>
                <w:sz w:val="20"/>
                <w:szCs w:val="20"/>
              </w:rPr>
            </w:pPr>
            <w:r w:rsidRPr="005E2C09">
              <w:rPr>
                <w:noProof/>
                <w:sz w:val="20"/>
                <w:szCs w:val="20"/>
              </w:rPr>
              <w:t xml:space="preserve"> Belgium </w:t>
            </w:r>
          </w:p>
        </w:tc>
        <w:tc>
          <w:tcPr>
            <w:tcW w:w="853" w:type="pct"/>
            <w:tcBorders>
              <w:top w:val="nil"/>
              <w:left w:val="nil"/>
              <w:bottom w:val="single" w:sz="4" w:space="0" w:color="auto"/>
              <w:right w:val="single" w:sz="4" w:space="0" w:color="auto"/>
            </w:tcBorders>
            <w:shd w:val="clear" w:color="000000" w:fill="FFFFFF"/>
            <w:noWrap/>
            <w:hideMark/>
          </w:tcPr>
          <w:p w14:paraId="1B5331A9" w14:textId="3212803B" w:rsidR="00A17C78" w:rsidRPr="00A17C78" w:rsidRDefault="00A17C78" w:rsidP="00A17C78">
            <w:pPr>
              <w:jc w:val="right"/>
              <w:rPr>
                <w:noProof/>
                <w:sz w:val="20"/>
                <w:szCs w:val="20"/>
              </w:rPr>
            </w:pPr>
            <w:r w:rsidRPr="00A17C78">
              <w:rPr>
                <w:noProof/>
                <w:sz w:val="20"/>
                <w:szCs w:val="20"/>
              </w:rPr>
              <w:t>118.3</w:t>
            </w:r>
          </w:p>
        </w:tc>
        <w:tc>
          <w:tcPr>
            <w:tcW w:w="853" w:type="pct"/>
            <w:tcBorders>
              <w:top w:val="nil"/>
              <w:left w:val="nil"/>
              <w:bottom w:val="single" w:sz="4" w:space="0" w:color="auto"/>
              <w:right w:val="single" w:sz="4" w:space="0" w:color="auto"/>
            </w:tcBorders>
            <w:shd w:val="clear" w:color="000000" w:fill="FFFFFF"/>
            <w:noWrap/>
            <w:hideMark/>
          </w:tcPr>
          <w:p w14:paraId="61A4D25F" w14:textId="0ACE1F12" w:rsidR="00A17C78" w:rsidRPr="00A17C78" w:rsidRDefault="00A17C78" w:rsidP="00A17C78">
            <w:pPr>
              <w:jc w:val="right"/>
              <w:rPr>
                <w:noProof/>
                <w:sz w:val="20"/>
                <w:szCs w:val="20"/>
              </w:rPr>
            </w:pPr>
            <w:r w:rsidRPr="00A17C78">
              <w:rPr>
                <w:noProof/>
                <w:sz w:val="20"/>
                <w:szCs w:val="20"/>
              </w:rPr>
              <w:t>14.6</w:t>
            </w:r>
          </w:p>
        </w:tc>
        <w:tc>
          <w:tcPr>
            <w:tcW w:w="853" w:type="pct"/>
            <w:tcBorders>
              <w:top w:val="nil"/>
              <w:left w:val="nil"/>
              <w:bottom w:val="single" w:sz="4" w:space="0" w:color="auto"/>
              <w:right w:val="single" w:sz="4" w:space="0" w:color="auto"/>
            </w:tcBorders>
            <w:shd w:val="clear" w:color="000000" w:fill="FFFFFF"/>
            <w:noWrap/>
            <w:hideMark/>
          </w:tcPr>
          <w:p w14:paraId="0B276646" w14:textId="208A9B88" w:rsidR="00A17C78" w:rsidRPr="00A17C78" w:rsidRDefault="00A17C78" w:rsidP="00A17C78">
            <w:pPr>
              <w:jc w:val="right"/>
              <w:rPr>
                <w:noProof/>
                <w:sz w:val="20"/>
                <w:szCs w:val="20"/>
              </w:rPr>
            </w:pPr>
            <w:r w:rsidRPr="00A17C78">
              <w:rPr>
                <w:noProof/>
                <w:sz w:val="20"/>
                <w:szCs w:val="20"/>
              </w:rPr>
              <w:t>15.7</w:t>
            </w:r>
          </w:p>
        </w:tc>
        <w:tc>
          <w:tcPr>
            <w:tcW w:w="853" w:type="pct"/>
            <w:tcBorders>
              <w:top w:val="nil"/>
              <w:left w:val="nil"/>
              <w:bottom w:val="single" w:sz="4" w:space="0" w:color="auto"/>
              <w:right w:val="single" w:sz="4" w:space="0" w:color="auto"/>
            </w:tcBorders>
            <w:shd w:val="clear" w:color="000000" w:fill="FFFFFF"/>
            <w:noWrap/>
            <w:hideMark/>
          </w:tcPr>
          <w:p w14:paraId="018B4428" w14:textId="007D6768" w:rsidR="00A17C78" w:rsidRPr="00A17C78" w:rsidRDefault="00A17C78" w:rsidP="00A17C78">
            <w:pPr>
              <w:jc w:val="right"/>
              <w:rPr>
                <w:noProof/>
                <w:sz w:val="20"/>
                <w:szCs w:val="20"/>
              </w:rPr>
            </w:pPr>
            <w:r w:rsidRPr="00A17C78">
              <w:rPr>
                <w:noProof/>
                <w:sz w:val="20"/>
                <w:szCs w:val="20"/>
              </w:rPr>
              <w:t>14.3</w:t>
            </w:r>
          </w:p>
        </w:tc>
      </w:tr>
      <w:tr w:rsidR="00A17C78" w:rsidRPr="005E2C09" w14:paraId="0E7C3ECB"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7F32D60" w14:textId="77777777" w:rsidR="00A17C78" w:rsidRPr="005E2C09" w:rsidRDefault="00A17C78" w:rsidP="00A17C78">
            <w:pPr>
              <w:rPr>
                <w:noProof/>
                <w:sz w:val="20"/>
                <w:szCs w:val="20"/>
              </w:rPr>
            </w:pPr>
            <w:r w:rsidRPr="005E2C09">
              <w:rPr>
                <w:noProof/>
                <w:sz w:val="20"/>
                <w:szCs w:val="20"/>
              </w:rPr>
              <w:t xml:space="preserve"> Portugal </w:t>
            </w:r>
          </w:p>
        </w:tc>
        <w:tc>
          <w:tcPr>
            <w:tcW w:w="853" w:type="pct"/>
            <w:tcBorders>
              <w:top w:val="nil"/>
              <w:left w:val="nil"/>
              <w:bottom w:val="single" w:sz="4" w:space="0" w:color="auto"/>
              <w:right w:val="single" w:sz="4" w:space="0" w:color="auto"/>
            </w:tcBorders>
            <w:shd w:val="clear" w:color="000000" w:fill="FFFFFF"/>
            <w:noWrap/>
            <w:hideMark/>
          </w:tcPr>
          <w:p w14:paraId="4720AFCA" w14:textId="65F4C0B1" w:rsidR="00A17C78" w:rsidRPr="00A17C78" w:rsidRDefault="00A17C78" w:rsidP="00A17C78">
            <w:pPr>
              <w:jc w:val="right"/>
              <w:rPr>
                <w:noProof/>
                <w:sz w:val="20"/>
                <w:szCs w:val="20"/>
              </w:rPr>
            </w:pPr>
            <w:r w:rsidRPr="00A17C78">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4C04B239" w14:textId="7991442E" w:rsidR="00A17C78" w:rsidRPr="00A17C78" w:rsidRDefault="00A17C78" w:rsidP="00A17C78">
            <w:pPr>
              <w:jc w:val="right"/>
              <w:rPr>
                <w:noProof/>
                <w:sz w:val="20"/>
                <w:szCs w:val="20"/>
              </w:rPr>
            </w:pPr>
            <w:r w:rsidRPr="00A17C78">
              <w:rPr>
                <w:noProof/>
                <w:sz w:val="20"/>
                <w:szCs w:val="20"/>
              </w:rPr>
              <w:t>4.9</w:t>
            </w:r>
          </w:p>
        </w:tc>
        <w:tc>
          <w:tcPr>
            <w:tcW w:w="853" w:type="pct"/>
            <w:tcBorders>
              <w:top w:val="nil"/>
              <w:left w:val="nil"/>
              <w:bottom w:val="single" w:sz="4" w:space="0" w:color="auto"/>
              <w:right w:val="single" w:sz="4" w:space="0" w:color="auto"/>
            </w:tcBorders>
            <w:shd w:val="clear" w:color="000000" w:fill="FFFFFF"/>
            <w:noWrap/>
            <w:hideMark/>
          </w:tcPr>
          <w:p w14:paraId="6B360660" w14:textId="54F18402" w:rsidR="00A17C78" w:rsidRPr="00A17C78" w:rsidRDefault="00A17C78" w:rsidP="00A17C78">
            <w:pPr>
              <w:jc w:val="right"/>
              <w:rPr>
                <w:noProof/>
                <w:sz w:val="20"/>
                <w:szCs w:val="20"/>
              </w:rPr>
            </w:pPr>
            <w:r w:rsidRPr="00A17C78">
              <w:rPr>
                <w:noProof/>
                <w:sz w:val="20"/>
                <w:szCs w:val="20"/>
              </w:rPr>
              <w:t>5.2</w:t>
            </w:r>
          </w:p>
        </w:tc>
        <w:tc>
          <w:tcPr>
            <w:tcW w:w="853" w:type="pct"/>
            <w:tcBorders>
              <w:top w:val="nil"/>
              <w:left w:val="nil"/>
              <w:bottom w:val="single" w:sz="4" w:space="0" w:color="auto"/>
              <w:right w:val="single" w:sz="4" w:space="0" w:color="auto"/>
            </w:tcBorders>
            <w:shd w:val="clear" w:color="000000" w:fill="FFFFFF"/>
            <w:noWrap/>
            <w:hideMark/>
          </w:tcPr>
          <w:p w14:paraId="129F90A1" w14:textId="50621EC3" w:rsidR="00A17C78" w:rsidRPr="00A17C78" w:rsidRDefault="00A17C78" w:rsidP="00A17C78">
            <w:pPr>
              <w:jc w:val="right"/>
              <w:rPr>
                <w:noProof/>
                <w:sz w:val="20"/>
                <w:szCs w:val="20"/>
              </w:rPr>
            </w:pPr>
            <w:r w:rsidRPr="00A17C78">
              <w:rPr>
                <w:noProof/>
                <w:sz w:val="20"/>
                <w:szCs w:val="20"/>
              </w:rPr>
              <w:t>4.8</w:t>
            </w:r>
          </w:p>
        </w:tc>
      </w:tr>
      <w:tr w:rsidR="00A17C78" w:rsidRPr="005E2C09" w14:paraId="1585D289"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4F819E1A" w14:textId="77777777" w:rsidR="00A17C78" w:rsidRPr="005E2C09" w:rsidRDefault="00A17C78" w:rsidP="00A17C78">
            <w:pPr>
              <w:rPr>
                <w:noProof/>
                <w:sz w:val="20"/>
                <w:szCs w:val="20"/>
              </w:rPr>
            </w:pPr>
            <w:r w:rsidRPr="005E2C09">
              <w:rPr>
                <w:noProof/>
                <w:sz w:val="20"/>
                <w:szCs w:val="20"/>
              </w:rPr>
              <w:t xml:space="preserve"> Malta </w:t>
            </w:r>
          </w:p>
        </w:tc>
        <w:tc>
          <w:tcPr>
            <w:tcW w:w="853" w:type="pct"/>
            <w:tcBorders>
              <w:top w:val="nil"/>
              <w:left w:val="nil"/>
              <w:bottom w:val="single" w:sz="4" w:space="0" w:color="auto"/>
              <w:right w:val="single" w:sz="4" w:space="0" w:color="auto"/>
            </w:tcBorders>
            <w:shd w:val="clear" w:color="000000" w:fill="FFFFFF"/>
            <w:noWrap/>
            <w:hideMark/>
          </w:tcPr>
          <w:p w14:paraId="3A9B39AA" w14:textId="5F42F71B" w:rsidR="00A17C78" w:rsidRPr="00A17C78" w:rsidRDefault="00A17C78" w:rsidP="00A17C78">
            <w:pPr>
              <w:jc w:val="right"/>
              <w:rPr>
                <w:noProof/>
                <w:sz w:val="20"/>
                <w:szCs w:val="20"/>
              </w:rPr>
            </w:pPr>
            <w:r w:rsidRPr="00A17C78">
              <w:rPr>
                <w:noProof/>
                <w:sz w:val="20"/>
                <w:szCs w:val="20"/>
              </w:rPr>
              <w:t>19.7</w:t>
            </w:r>
          </w:p>
        </w:tc>
        <w:tc>
          <w:tcPr>
            <w:tcW w:w="853" w:type="pct"/>
            <w:tcBorders>
              <w:top w:val="nil"/>
              <w:left w:val="nil"/>
              <w:bottom w:val="single" w:sz="4" w:space="0" w:color="auto"/>
              <w:right w:val="single" w:sz="4" w:space="0" w:color="auto"/>
            </w:tcBorders>
            <w:shd w:val="clear" w:color="000000" w:fill="FFFFFF"/>
            <w:noWrap/>
            <w:hideMark/>
          </w:tcPr>
          <w:p w14:paraId="70001003" w14:textId="270E9F9A" w:rsidR="00A17C78" w:rsidRPr="00A17C78" w:rsidRDefault="00A17C78" w:rsidP="00A17C78">
            <w:pPr>
              <w:jc w:val="right"/>
              <w:rPr>
                <w:noProof/>
                <w:sz w:val="20"/>
                <w:szCs w:val="20"/>
              </w:rPr>
            </w:pPr>
            <w:r w:rsidRPr="00A17C78">
              <w:rPr>
                <w:noProof/>
                <w:sz w:val="20"/>
                <w:szCs w:val="20"/>
              </w:rPr>
              <w:t>2.4</w:t>
            </w:r>
          </w:p>
        </w:tc>
        <w:tc>
          <w:tcPr>
            <w:tcW w:w="853" w:type="pct"/>
            <w:tcBorders>
              <w:top w:val="nil"/>
              <w:left w:val="nil"/>
              <w:bottom w:val="single" w:sz="4" w:space="0" w:color="auto"/>
              <w:right w:val="single" w:sz="4" w:space="0" w:color="auto"/>
            </w:tcBorders>
            <w:shd w:val="clear" w:color="000000" w:fill="FFFFFF"/>
            <w:noWrap/>
            <w:hideMark/>
          </w:tcPr>
          <w:p w14:paraId="4D733A73" w14:textId="770D93C9" w:rsidR="00A17C78" w:rsidRPr="00A17C78" w:rsidRDefault="00A17C78" w:rsidP="00A17C78">
            <w:pPr>
              <w:jc w:val="right"/>
              <w:rPr>
                <w:noProof/>
                <w:sz w:val="20"/>
                <w:szCs w:val="20"/>
              </w:rPr>
            </w:pPr>
            <w:r w:rsidRPr="00A17C78">
              <w:rPr>
                <w:noProof/>
                <w:sz w:val="20"/>
                <w:szCs w:val="20"/>
              </w:rPr>
              <w:t>2.6</w:t>
            </w:r>
          </w:p>
        </w:tc>
        <w:tc>
          <w:tcPr>
            <w:tcW w:w="853" w:type="pct"/>
            <w:tcBorders>
              <w:top w:val="nil"/>
              <w:left w:val="nil"/>
              <w:bottom w:val="single" w:sz="4" w:space="0" w:color="auto"/>
              <w:right w:val="single" w:sz="4" w:space="0" w:color="auto"/>
            </w:tcBorders>
            <w:shd w:val="clear" w:color="000000" w:fill="FFFFFF"/>
            <w:noWrap/>
            <w:hideMark/>
          </w:tcPr>
          <w:p w14:paraId="58963541" w14:textId="5EEB72BD" w:rsidR="00A17C78" w:rsidRPr="00A17C78" w:rsidRDefault="00A17C78" w:rsidP="00A17C78">
            <w:pPr>
              <w:jc w:val="right"/>
              <w:rPr>
                <w:noProof/>
                <w:sz w:val="20"/>
                <w:szCs w:val="20"/>
              </w:rPr>
            </w:pPr>
            <w:r w:rsidRPr="00A17C78">
              <w:rPr>
                <w:noProof/>
                <w:sz w:val="20"/>
                <w:szCs w:val="20"/>
              </w:rPr>
              <w:t>2.4</w:t>
            </w:r>
          </w:p>
        </w:tc>
      </w:tr>
      <w:tr w:rsidR="00A17C78" w:rsidRPr="005E2C09" w14:paraId="6EA01F5E"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49EA9607" w14:textId="77777777" w:rsidR="00A17C78" w:rsidRPr="005E2C09" w:rsidRDefault="00A17C78" w:rsidP="00A17C78">
            <w:pPr>
              <w:rPr>
                <w:noProof/>
                <w:sz w:val="20"/>
                <w:szCs w:val="20"/>
              </w:rPr>
            </w:pPr>
            <w:r w:rsidRPr="005E2C09">
              <w:rPr>
                <w:noProof/>
                <w:sz w:val="20"/>
                <w:szCs w:val="20"/>
              </w:rPr>
              <w:t xml:space="preserve"> Cyprus </w:t>
            </w:r>
          </w:p>
        </w:tc>
        <w:tc>
          <w:tcPr>
            <w:tcW w:w="853" w:type="pct"/>
            <w:tcBorders>
              <w:top w:val="nil"/>
              <w:left w:val="nil"/>
              <w:bottom w:val="single" w:sz="4" w:space="0" w:color="auto"/>
              <w:right w:val="single" w:sz="4" w:space="0" w:color="auto"/>
            </w:tcBorders>
            <w:shd w:val="clear" w:color="000000" w:fill="FFFFFF"/>
            <w:noWrap/>
            <w:hideMark/>
          </w:tcPr>
          <w:p w14:paraId="478A7697" w14:textId="099DAC15" w:rsidR="00A17C78" w:rsidRPr="00A17C78" w:rsidRDefault="00A17C78" w:rsidP="00A17C78">
            <w:pPr>
              <w:jc w:val="right"/>
              <w:rPr>
                <w:noProof/>
                <w:sz w:val="20"/>
                <w:szCs w:val="20"/>
              </w:rPr>
            </w:pPr>
            <w:r w:rsidRPr="00A17C78">
              <w:rPr>
                <w:noProof/>
                <w:sz w:val="20"/>
                <w:szCs w:val="20"/>
              </w:rPr>
              <w:t>19.7</w:t>
            </w:r>
          </w:p>
        </w:tc>
        <w:tc>
          <w:tcPr>
            <w:tcW w:w="853" w:type="pct"/>
            <w:tcBorders>
              <w:top w:val="nil"/>
              <w:left w:val="nil"/>
              <w:bottom w:val="single" w:sz="4" w:space="0" w:color="auto"/>
              <w:right w:val="single" w:sz="4" w:space="0" w:color="auto"/>
            </w:tcBorders>
            <w:shd w:val="clear" w:color="000000" w:fill="FFFFFF"/>
            <w:noWrap/>
            <w:hideMark/>
          </w:tcPr>
          <w:p w14:paraId="25F455D9" w14:textId="00DF58EE" w:rsidR="00A17C78" w:rsidRPr="00A17C78" w:rsidRDefault="00A17C78" w:rsidP="00A17C78">
            <w:pPr>
              <w:jc w:val="right"/>
              <w:rPr>
                <w:noProof/>
                <w:sz w:val="20"/>
                <w:szCs w:val="20"/>
              </w:rPr>
            </w:pPr>
            <w:r w:rsidRPr="00A17C78">
              <w:rPr>
                <w:noProof/>
                <w:sz w:val="20"/>
                <w:szCs w:val="20"/>
              </w:rPr>
              <w:t>2.4</w:t>
            </w:r>
          </w:p>
        </w:tc>
        <w:tc>
          <w:tcPr>
            <w:tcW w:w="853" w:type="pct"/>
            <w:tcBorders>
              <w:top w:val="nil"/>
              <w:left w:val="nil"/>
              <w:bottom w:val="single" w:sz="4" w:space="0" w:color="auto"/>
              <w:right w:val="single" w:sz="4" w:space="0" w:color="auto"/>
            </w:tcBorders>
            <w:shd w:val="clear" w:color="000000" w:fill="FFFFFF"/>
            <w:noWrap/>
            <w:hideMark/>
          </w:tcPr>
          <w:p w14:paraId="298E3B41" w14:textId="136357E3" w:rsidR="00A17C78" w:rsidRPr="00A17C78" w:rsidRDefault="00A17C78" w:rsidP="00A17C78">
            <w:pPr>
              <w:jc w:val="right"/>
              <w:rPr>
                <w:noProof/>
                <w:sz w:val="20"/>
                <w:szCs w:val="20"/>
              </w:rPr>
            </w:pPr>
            <w:r w:rsidRPr="00A17C78">
              <w:rPr>
                <w:noProof/>
                <w:sz w:val="20"/>
                <w:szCs w:val="20"/>
              </w:rPr>
              <w:t>2.6</w:t>
            </w:r>
          </w:p>
        </w:tc>
        <w:tc>
          <w:tcPr>
            <w:tcW w:w="853" w:type="pct"/>
            <w:tcBorders>
              <w:top w:val="nil"/>
              <w:left w:val="nil"/>
              <w:bottom w:val="single" w:sz="4" w:space="0" w:color="auto"/>
              <w:right w:val="single" w:sz="4" w:space="0" w:color="auto"/>
            </w:tcBorders>
            <w:shd w:val="clear" w:color="000000" w:fill="FFFFFF"/>
            <w:noWrap/>
            <w:hideMark/>
          </w:tcPr>
          <w:p w14:paraId="5083E2C9" w14:textId="652F667F" w:rsidR="00A17C78" w:rsidRPr="00A17C78" w:rsidRDefault="00A17C78" w:rsidP="00A17C78">
            <w:pPr>
              <w:jc w:val="right"/>
              <w:rPr>
                <w:noProof/>
                <w:sz w:val="20"/>
                <w:szCs w:val="20"/>
              </w:rPr>
            </w:pPr>
            <w:r w:rsidRPr="00A17C78">
              <w:rPr>
                <w:noProof/>
                <w:sz w:val="20"/>
                <w:szCs w:val="20"/>
              </w:rPr>
              <w:t>2.4</w:t>
            </w:r>
          </w:p>
        </w:tc>
      </w:tr>
      <w:tr w:rsidR="00A17C78" w:rsidRPr="005E2C09" w14:paraId="763DD0E5"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0FE05E00" w14:textId="77777777" w:rsidR="00A17C78" w:rsidRPr="005E2C09" w:rsidRDefault="00A17C78" w:rsidP="00A17C78">
            <w:pPr>
              <w:rPr>
                <w:noProof/>
                <w:sz w:val="20"/>
                <w:szCs w:val="20"/>
              </w:rPr>
            </w:pPr>
            <w:r w:rsidRPr="005E2C09">
              <w:rPr>
                <w:noProof/>
                <w:sz w:val="20"/>
                <w:szCs w:val="20"/>
              </w:rPr>
              <w:t xml:space="preserve"> Greece </w:t>
            </w:r>
          </w:p>
        </w:tc>
        <w:tc>
          <w:tcPr>
            <w:tcW w:w="853" w:type="pct"/>
            <w:tcBorders>
              <w:top w:val="nil"/>
              <w:left w:val="nil"/>
              <w:bottom w:val="single" w:sz="4" w:space="0" w:color="auto"/>
              <w:right w:val="single" w:sz="4" w:space="0" w:color="auto"/>
            </w:tcBorders>
            <w:shd w:val="clear" w:color="000000" w:fill="FFFFFF"/>
            <w:noWrap/>
            <w:hideMark/>
          </w:tcPr>
          <w:p w14:paraId="2D82DB6D" w14:textId="667C02F8" w:rsidR="00A17C78" w:rsidRPr="00A17C78" w:rsidRDefault="00A17C78" w:rsidP="00A17C78">
            <w:pPr>
              <w:jc w:val="right"/>
              <w:rPr>
                <w:noProof/>
                <w:sz w:val="20"/>
                <w:szCs w:val="20"/>
              </w:rPr>
            </w:pPr>
            <w:r w:rsidRPr="00A17C78">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1028ABA2" w14:textId="3E8ACABF" w:rsidR="00A17C78" w:rsidRPr="00A17C78" w:rsidRDefault="00A17C78" w:rsidP="00A17C78">
            <w:pPr>
              <w:jc w:val="right"/>
              <w:rPr>
                <w:noProof/>
                <w:sz w:val="20"/>
                <w:szCs w:val="20"/>
              </w:rPr>
            </w:pPr>
            <w:r w:rsidRPr="00A17C78">
              <w:rPr>
                <w:noProof/>
                <w:sz w:val="20"/>
                <w:szCs w:val="20"/>
              </w:rPr>
              <w:t>4.9</w:t>
            </w:r>
          </w:p>
        </w:tc>
        <w:tc>
          <w:tcPr>
            <w:tcW w:w="853" w:type="pct"/>
            <w:tcBorders>
              <w:top w:val="nil"/>
              <w:left w:val="nil"/>
              <w:bottom w:val="single" w:sz="4" w:space="0" w:color="auto"/>
              <w:right w:val="single" w:sz="4" w:space="0" w:color="auto"/>
            </w:tcBorders>
            <w:shd w:val="clear" w:color="000000" w:fill="FFFFFF"/>
            <w:noWrap/>
            <w:hideMark/>
          </w:tcPr>
          <w:p w14:paraId="034D20D3" w14:textId="6D90D561" w:rsidR="00A17C78" w:rsidRPr="00A17C78" w:rsidRDefault="00A17C78" w:rsidP="00A17C78">
            <w:pPr>
              <w:jc w:val="right"/>
              <w:rPr>
                <w:noProof/>
                <w:sz w:val="20"/>
                <w:szCs w:val="20"/>
              </w:rPr>
            </w:pPr>
            <w:r w:rsidRPr="00A17C78">
              <w:rPr>
                <w:noProof/>
                <w:sz w:val="20"/>
                <w:szCs w:val="20"/>
              </w:rPr>
              <w:t>5.2</w:t>
            </w:r>
          </w:p>
        </w:tc>
        <w:tc>
          <w:tcPr>
            <w:tcW w:w="853" w:type="pct"/>
            <w:tcBorders>
              <w:top w:val="nil"/>
              <w:left w:val="nil"/>
              <w:bottom w:val="single" w:sz="4" w:space="0" w:color="auto"/>
              <w:right w:val="single" w:sz="4" w:space="0" w:color="auto"/>
            </w:tcBorders>
            <w:shd w:val="clear" w:color="000000" w:fill="FFFFFF"/>
            <w:noWrap/>
            <w:hideMark/>
          </w:tcPr>
          <w:p w14:paraId="40F0F041" w14:textId="6856DBD4" w:rsidR="00A17C78" w:rsidRPr="00A17C78" w:rsidRDefault="00A17C78" w:rsidP="00A17C78">
            <w:pPr>
              <w:jc w:val="right"/>
              <w:rPr>
                <w:noProof/>
                <w:sz w:val="20"/>
                <w:szCs w:val="20"/>
              </w:rPr>
            </w:pPr>
            <w:r w:rsidRPr="00A17C78">
              <w:rPr>
                <w:noProof/>
                <w:sz w:val="20"/>
                <w:szCs w:val="20"/>
              </w:rPr>
              <w:t>4.8</w:t>
            </w:r>
          </w:p>
        </w:tc>
      </w:tr>
      <w:tr w:rsidR="00A17C78" w:rsidRPr="005E2C09" w14:paraId="66A769AE"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3C83C585" w14:textId="77777777" w:rsidR="00A17C78" w:rsidRPr="005E2C09" w:rsidRDefault="00A17C78" w:rsidP="00A17C78">
            <w:pPr>
              <w:rPr>
                <w:noProof/>
                <w:sz w:val="20"/>
                <w:szCs w:val="20"/>
              </w:rPr>
            </w:pPr>
            <w:r w:rsidRPr="005E2C09">
              <w:rPr>
                <w:noProof/>
                <w:sz w:val="20"/>
                <w:szCs w:val="20"/>
              </w:rPr>
              <w:t xml:space="preserve"> Bulgaria </w:t>
            </w:r>
          </w:p>
        </w:tc>
        <w:tc>
          <w:tcPr>
            <w:tcW w:w="853" w:type="pct"/>
            <w:tcBorders>
              <w:top w:val="nil"/>
              <w:left w:val="nil"/>
              <w:bottom w:val="single" w:sz="4" w:space="0" w:color="auto"/>
              <w:right w:val="single" w:sz="4" w:space="0" w:color="auto"/>
            </w:tcBorders>
            <w:shd w:val="clear" w:color="000000" w:fill="FFFFFF"/>
            <w:noWrap/>
            <w:hideMark/>
          </w:tcPr>
          <w:p w14:paraId="263D618D"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1BD416B9"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32786909"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50625017" w14:textId="77777777" w:rsidR="00A17C78" w:rsidRPr="00A17C78" w:rsidRDefault="00A17C78" w:rsidP="00A17C78">
            <w:pPr>
              <w:jc w:val="right"/>
              <w:rPr>
                <w:noProof/>
                <w:sz w:val="20"/>
                <w:szCs w:val="20"/>
              </w:rPr>
            </w:pPr>
            <w:r w:rsidRPr="00A17C78">
              <w:rPr>
                <w:noProof/>
                <w:sz w:val="20"/>
                <w:szCs w:val="20"/>
              </w:rPr>
              <w:t>0.0</w:t>
            </w:r>
          </w:p>
        </w:tc>
      </w:tr>
      <w:tr w:rsidR="00A17C78" w:rsidRPr="005E2C09" w14:paraId="75A4C4ED"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3F8E248F" w14:textId="77777777" w:rsidR="00A17C78" w:rsidRPr="005E2C09" w:rsidRDefault="00A17C78" w:rsidP="00A17C78">
            <w:pPr>
              <w:rPr>
                <w:noProof/>
                <w:sz w:val="20"/>
                <w:szCs w:val="20"/>
              </w:rPr>
            </w:pPr>
            <w:r w:rsidRPr="005E2C09">
              <w:rPr>
                <w:noProof/>
                <w:sz w:val="20"/>
                <w:szCs w:val="20"/>
              </w:rPr>
              <w:t xml:space="preserve"> Estonia </w:t>
            </w:r>
          </w:p>
        </w:tc>
        <w:tc>
          <w:tcPr>
            <w:tcW w:w="853" w:type="pct"/>
            <w:tcBorders>
              <w:top w:val="nil"/>
              <w:left w:val="nil"/>
              <w:bottom w:val="single" w:sz="4" w:space="0" w:color="auto"/>
              <w:right w:val="single" w:sz="4" w:space="0" w:color="auto"/>
            </w:tcBorders>
            <w:shd w:val="clear" w:color="000000" w:fill="FFFFFF"/>
            <w:noWrap/>
            <w:hideMark/>
          </w:tcPr>
          <w:p w14:paraId="4B1D4E73"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3E577D13"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3D661FF0"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11E41275" w14:textId="77777777" w:rsidR="00A17C78" w:rsidRPr="00A17C78" w:rsidRDefault="00A17C78" w:rsidP="00A17C78">
            <w:pPr>
              <w:jc w:val="right"/>
              <w:rPr>
                <w:noProof/>
                <w:sz w:val="20"/>
                <w:szCs w:val="20"/>
              </w:rPr>
            </w:pPr>
            <w:r w:rsidRPr="00A17C78">
              <w:rPr>
                <w:noProof/>
                <w:sz w:val="20"/>
                <w:szCs w:val="20"/>
              </w:rPr>
              <w:t>0.0</w:t>
            </w:r>
          </w:p>
        </w:tc>
      </w:tr>
      <w:tr w:rsidR="00A17C78" w:rsidRPr="005E2C09" w14:paraId="0A979F61"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4D23C1AA" w14:textId="77777777" w:rsidR="00A17C78" w:rsidRPr="005E2C09" w:rsidRDefault="00A17C78" w:rsidP="00A17C78">
            <w:pPr>
              <w:rPr>
                <w:noProof/>
                <w:sz w:val="20"/>
                <w:szCs w:val="20"/>
              </w:rPr>
            </w:pPr>
            <w:r w:rsidRPr="005E2C09">
              <w:rPr>
                <w:noProof/>
                <w:sz w:val="20"/>
                <w:szCs w:val="20"/>
              </w:rPr>
              <w:t xml:space="preserve"> Croatia </w:t>
            </w:r>
          </w:p>
        </w:tc>
        <w:tc>
          <w:tcPr>
            <w:tcW w:w="853" w:type="pct"/>
            <w:tcBorders>
              <w:top w:val="nil"/>
              <w:left w:val="nil"/>
              <w:bottom w:val="single" w:sz="4" w:space="0" w:color="auto"/>
              <w:right w:val="single" w:sz="4" w:space="0" w:color="auto"/>
            </w:tcBorders>
            <w:shd w:val="clear" w:color="000000" w:fill="FFFFFF"/>
            <w:noWrap/>
            <w:hideMark/>
          </w:tcPr>
          <w:p w14:paraId="6FC9837A" w14:textId="7BF02525" w:rsidR="00A17C78" w:rsidRPr="00A17C78" w:rsidRDefault="00A17C78" w:rsidP="00A17C78">
            <w:pPr>
              <w:jc w:val="right"/>
              <w:rPr>
                <w:noProof/>
                <w:sz w:val="20"/>
                <w:szCs w:val="20"/>
              </w:rPr>
            </w:pPr>
            <w:r w:rsidRPr="00A17C78">
              <w:rPr>
                <w:noProof/>
                <w:sz w:val="20"/>
                <w:szCs w:val="20"/>
              </w:rPr>
              <w:t>19.7</w:t>
            </w:r>
          </w:p>
        </w:tc>
        <w:tc>
          <w:tcPr>
            <w:tcW w:w="853" w:type="pct"/>
            <w:tcBorders>
              <w:top w:val="nil"/>
              <w:left w:val="nil"/>
              <w:bottom w:val="single" w:sz="4" w:space="0" w:color="auto"/>
              <w:right w:val="single" w:sz="4" w:space="0" w:color="auto"/>
            </w:tcBorders>
            <w:shd w:val="clear" w:color="000000" w:fill="FFFFFF"/>
            <w:noWrap/>
            <w:hideMark/>
          </w:tcPr>
          <w:p w14:paraId="20C5CEAA" w14:textId="46CDE9FD" w:rsidR="00A17C78" w:rsidRPr="00A17C78" w:rsidRDefault="00A17C78" w:rsidP="00A17C78">
            <w:pPr>
              <w:jc w:val="right"/>
              <w:rPr>
                <w:noProof/>
                <w:sz w:val="20"/>
                <w:szCs w:val="20"/>
              </w:rPr>
            </w:pPr>
            <w:r w:rsidRPr="00A17C78">
              <w:rPr>
                <w:noProof/>
                <w:sz w:val="20"/>
                <w:szCs w:val="20"/>
              </w:rPr>
              <w:t>2.4</w:t>
            </w:r>
          </w:p>
        </w:tc>
        <w:tc>
          <w:tcPr>
            <w:tcW w:w="853" w:type="pct"/>
            <w:tcBorders>
              <w:top w:val="nil"/>
              <w:left w:val="nil"/>
              <w:bottom w:val="single" w:sz="4" w:space="0" w:color="auto"/>
              <w:right w:val="single" w:sz="4" w:space="0" w:color="auto"/>
            </w:tcBorders>
            <w:shd w:val="clear" w:color="000000" w:fill="FFFFFF"/>
            <w:noWrap/>
            <w:hideMark/>
          </w:tcPr>
          <w:p w14:paraId="5F962699" w14:textId="649657F7" w:rsidR="00A17C78" w:rsidRPr="00A17C78" w:rsidRDefault="00A17C78" w:rsidP="00A17C78">
            <w:pPr>
              <w:jc w:val="right"/>
              <w:rPr>
                <w:noProof/>
                <w:sz w:val="20"/>
                <w:szCs w:val="20"/>
              </w:rPr>
            </w:pPr>
            <w:r w:rsidRPr="00A17C78">
              <w:rPr>
                <w:noProof/>
                <w:sz w:val="20"/>
                <w:szCs w:val="20"/>
              </w:rPr>
              <w:t>2.6</w:t>
            </w:r>
          </w:p>
        </w:tc>
        <w:tc>
          <w:tcPr>
            <w:tcW w:w="853" w:type="pct"/>
            <w:tcBorders>
              <w:top w:val="nil"/>
              <w:left w:val="nil"/>
              <w:bottom w:val="single" w:sz="4" w:space="0" w:color="auto"/>
              <w:right w:val="single" w:sz="4" w:space="0" w:color="auto"/>
            </w:tcBorders>
            <w:shd w:val="clear" w:color="000000" w:fill="FFFFFF"/>
            <w:noWrap/>
            <w:hideMark/>
          </w:tcPr>
          <w:p w14:paraId="1E53A96E" w14:textId="76B97C63" w:rsidR="00A17C78" w:rsidRPr="00A17C78" w:rsidRDefault="00A17C78" w:rsidP="00A17C78">
            <w:pPr>
              <w:jc w:val="right"/>
              <w:rPr>
                <w:noProof/>
                <w:sz w:val="20"/>
                <w:szCs w:val="20"/>
              </w:rPr>
            </w:pPr>
            <w:r w:rsidRPr="00A17C78">
              <w:rPr>
                <w:noProof/>
                <w:sz w:val="20"/>
                <w:szCs w:val="20"/>
              </w:rPr>
              <w:t>2.4</w:t>
            </w:r>
          </w:p>
        </w:tc>
      </w:tr>
      <w:tr w:rsidR="00A17C78" w:rsidRPr="005E2C09" w14:paraId="70932DAD"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5CA0B7A" w14:textId="77777777" w:rsidR="00A17C78" w:rsidRPr="005E2C09" w:rsidRDefault="00A17C78" w:rsidP="00A17C78">
            <w:pPr>
              <w:rPr>
                <w:noProof/>
                <w:sz w:val="20"/>
                <w:szCs w:val="20"/>
              </w:rPr>
            </w:pPr>
            <w:r w:rsidRPr="005E2C09">
              <w:rPr>
                <w:noProof/>
                <w:sz w:val="20"/>
                <w:szCs w:val="20"/>
              </w:rPr>
              <w:t xml:space="preserve"> Lithuania </w:t>
            </w:r>
          </w:p>
        </w:tc>
        <w:tc>
          <w:tcPr>
            <w:tcW w:w="853" w:type="pct"/>
            <w:tcBorders>
              <w:top w:val="nil"/>
              <w:left w:val="nil"/>
              <w:bottom w:val="single" w:sz="4" w:space="0" w:color="auto"/>
              <w:right w:val="single" w:sz="4" w:space="0" w:color="auto"/>
            </w:tcBorders>
            <w:shd w:val="clear" w:color="000000" w:fill="FFFFFF"/>
            <w:noWrap/>
            <w:hideMark/>
          </w:tcPr>
          <w:p w14:paraId="63272CD9"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70F05F77"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508B41E1"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096B3314" w14:textId="77777777" w:rsidR="00A17C78" w:rsidRPr="00A17C78" w:rsidRDefault="00A17C78" w:rsidP="00A17C78">
            <w:pPr>
              <w:jc w:val="right"/>
              <w:rPr>
                <w:noProof/>
                <w:sz w:val="20"/>
                <w:szCs w:val="20"/>
              </w:rPr>
            </w:pPr>
            <w:r w:rsidRPr="00A17C78">
              <w:rPr>
                <w:noProof/>
                <w:sz w:val="20"/>
                <w:szCs w:val="20"/>
              </w:rPr>
              <w:t>0.0</w:t>
            </w:r>
          </w:p>
        </w:tc>
      </w:tr>
      <w:tr w:rsidR="00A17C78" w:rsidRPr="005E2C09" w14:paraId="4F6AEA3F"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594C3484" w14:textId="77777777" w:rsidR="00A17C78" w:rsidRPr="005E2C09" w:rsidRDefault="00A17C78" w:rsidP="00A17C78">
            <w:pPr>
              <w:rPr>
                <w:noProof/>
                <w:sz w:val="20"/>
                <w:szCs w:val="20"/>
              </w:rPr>
            </w:pPr>
            <w:r w:rsidRPr="005E2C09">
              <w:rPr>
                <w:noProof/>
                <w:sz w:val="20"/>
                <w:szCs w:val="20"/>
              </w:rPr>
              <w:t xml:space="preserve"> Hungary </w:t>
            </w:r>
          </w:p>
        </w:tc>
        <w:tc>
          <w:tcPr>
            <w:tcW w:w="853" w:type="pct"/>
            <w:tcBorders>
              <w:top w:val="nil"/>
              <w:left w:val="nil"/>
              <w:bottom w:val="single" w:sz="4" w:space="0" w:color="auto"/>
              <w:right w:val="single" w:sz="4" w:space="0" w:color="auto"/>
            </w:tcBorders>
            <w:shd w:val="clear" w:color="000000" w:fill="FFFFFF"/>
            <w:noWrap/>
            <w:hideMark/>
          </w:tcPr>
          <w:p w14:paraId="5B8790BB" w14:textId="708370AC" w:rsidR="00A17C78" w:rsidRPr="00A17C78" w:rsidRDefault="00A17C78" w:rsidP="00A17C78">
            <w:pPr>
              <w:jc w:val="right"/>
              <w:rPr>
                <w:noProof/>
                <w:sz w:val="20"/>
                <w:szCs w:val="20"/>
              </w:rPr>
            </w:pPr>
            <w:r w:rsidRPr="00A17C78">
              <w:rPr>
                <w:noProof/>
                <w:sz w:val="20"/>
                <w:szCs w:val="20"/>
              </w:rPr>
              <w:t>59.1</w:t>
            </w:r>
          </w:p>
        </w:tc>
        <w:tc>
          <w:tcPr>
            <w:tcW w:w="853" w:type="pct"/>
            <w:tcBorders>
              <w:top w:val="nil"/>
              <w:left w:val="nil"/>
              <w:bottom w:val="single" w:sz="4" w:space="0" w:color="auto"/>
              <w:right w:val="single" w:sz="4" w:space="0" w:color="auto"/>
            </w:tcBorders>
            <w:shd w:val="clear" w:color="000000" w:fill="FFFFFF"/>
            <w:noWrap/>
            <w:hideMark/>
          </w:tcPr>
          <w:p w14:paraId="7AC83B88" w14:textId="7D866DB1" w:rsidR="00A17C78" w:rsidRPr="00A17C78" w:rsidRDefault="00A17C78" w:rsidP="00A17C78">
            <w:pPr>
              <w:jc w:val="right"/>
              <w:rPr>
                <w:noProof/>
                <w:sz w:val="20"/>
                <w:szCs w:val="20"/>
              </w:rPr>
            </w:pPr>
            <w:r w:rsidRPr="00A17C78">
              <w:rPr>
                <w:noProof/>
                <w:sz w:val="20"/>
                <w:szCs w:val="20"/>
              </w:rPr>
              <w:t>7.3</w:t>
            </w:r>
          </w:p>
        </w:tc>
        <w:tc>
          <w:tcPr>
            <w:tcW w:w="853" w:type="pct"/>
            <w:tcBorders>
              <w:top w:val="nil"/>
              <w:left w:val="nil"/>
              <w:bottom w:val="single" w:sz="4" w:space="0" w:color="auto"/>
              <w:right w:val="single" w:sz="4" w:space="0" w:color="auto"/>
            </w:tcBorders>
            <w:shd w:val="clear" w:color="000000" w:fill="FFFFFF"/>
            <w:noWrap/>
            <w:hideMark/>
          </w:tcPr>
          <w:p w14:paraId="6EA0DC4B" w14:textId="292B1F35" w:rsidR="00A17C78" w:rsidRPr="00A17C78" w:rsidRDefault="00A17C78" w:rsidP="00A17C78">
            <w:pPr>
              <w:jc w:val="right"/>
              <w:rPr>
                <w:noProof/>
                <w:sz w:val="20"/>
                <w:szCs w:val="20"/>
              </w:rPr>
            </w:pPr>
            <w:r w:rsidRPr="00A17C78">
              <w:rPr>
                <w:noProof/>
                <w:sz w:val="20"/>
                <w:szCs w:val="20"/>
              </w:rPr>
              <w:t>7.8</w:t>
            </w:r>
          </w:p>
        </w:tc>
        <w:tc>
          <w:tcPr>
            <w:tcW w:w="853" w:type="pct"/>
            <w:tcBorders>
              <w:top w:val="nil"/>
              <w:left w:val="nil"/>
              <w:bottom w:val="single" w:sz="4" w:space="0" w:color="auto"/>
              <w:right w:val="single" w:sz="4" w:space="0" w:color="auto"/>
            </w:tcBorders>
            <w:shd w:val="clear" w:color="000000" w:fill="FFFFFF"/>
            <w:noWrap/>
            <w:hideMark/>
          </w:tcPr>
          <w:p w14:paraId="2C302E3F" w14:textId="7658EA20" w:rsidR="00A17C78" w:rsidRPr="00A17C78" w:rsidRDefault="00A17C78" w:rsidP="00A17C78">
            <w:pPr>
              <w:jc w:val="right"/>
              <w:rPr>
                <w:noProof/>
                <w:sz w:val="20"/>
                <w:szCs w:val="20"/>
              </w:rPr>
            </w:pPr>
            <w:r w:rsidRPr="00A17C78">
              <w:rPr>
                <w:noProof/>
                <w:sz w:val="20"/>
                <w:szCs w:val="20"/>
              </w:rPr>
              <w:t>7.2</w:t>
            </w:r>
          </w:p>
        </w:tc>
      </w:tr>
      <w:tr w:rsidR="00A17C78" w:rsidRPr="005E2C09" w14:paraId="3A30EBF2"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53A9580A" w14:textId="77777777" w:rsidR="00A17C78" w:rsidRPr="005E2C09" w:rsidRDefault="00A17C78" w:rsidP="00A17C78">
            <w:pPr>
              <w:rPr>
                <w:noProof/>
                <w:sz w:val="20"/>
                <w:szCs w:val="20"/>
              </w:rPr>
            </w:pPr>
            <w:r w:rsidRPr="005E2C09">
              <w:rPr>
                <w:noProof/>
                <w:sz w:val="20"/>
                <w:szCs w:val="20"/>
              </w:rPr>
              <w:t xml:space="preserve"> Sweden </w:t>
            </w:r>
          </w:p>
        </w:tc>
        <w:tc>
          <w:tcPr>
            <w:tcW w:w="853" w:type="pct"/>
            <w:tcBorders>
              <w:top w:val="nil"/>
              <w:left w:val="nil"/>
              <w:bottom w:val="single" w:sz="4" w:space="0" w:color="auto"/>
              <w:right w:val="single" w:sz="4" w:space="0" w:color="auto"/>
            </w:tcBorders>
            <w:shd w:val="clear" w:color="000000" w:fill="FFFFFF"/>
            <w:noWrap/>
            <w:hideMark/>
          </w:tcPr>
          <w:p w14:paraId="22A359B7" w14:textId="4C1ABE77" w:rsidR="00A17C78" w:rsidRPr="00A17C78" w:rsidRDefault="00A17C78" w:rsidP="00A17C78">
            <w:pPr>
              <w:jc w:val="right"/>
              <w:rPr>
                <w:noProof/>
                <w:sz w:val="20"/>
                <w:szCs w:val="20"/>
              </w:rPr>
            </w:pPr>
            <w:r w:rsidRPr="00A17C78">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6FB59267" w14:textId="3909CA5A" w:rsidR="00A17C78" w:rsidRPr="00A17C78" w:rsidRDefault="00A17C78" w:rsidP="00A17C78">
            <w:pPr>
              <w:jc w:val="right"/>
              <w:rPr>
                <w:noProof/>
                <w:sz w:val="20"/>
                <w:szCs w:val="20"/>
              </w:rPr>
            </w:pPr>
            <w:r w:rsidRPr="00A17C78">
              <w:rPr>
                <w:noProof/>
                <w:sz w:val="20"/>
                <w:szCs w:val="20"/>
              </w:rPr>
              <w:t>4.9</w:t>
            </w:r>
          </w:p>
        </w:tc>
        <w:tc>
          <w:tcPr>
            <w:tcW w:w="853" w:type="pct"/>
            <w:tcBorders>
              <w:top w:val="nil"/>
              <w:left w:val="nil"/>
              <w:bottom w:val="single" w:sz="4" w:space="0" w:color="auto"/>
              <w:right w:val="single" w:sz="4" w:space="0" w:color="auto"/>
            </w:tcBorders>
            <w:shd w:val="clear" w:color="000000" w:fill="FFFFFF"/>
            <w:noWrap/>
            <w:hideMark/>
          </w:tcPr>
          <w:p w14:paraId="23BE59DA" w14:textId="47A4A07B" w:rsidR="00A17C78" w:rsidRPr="00A17C78" w:rsidRDefault="00A17C78" w:rsidP="00A17C78">
            <w:pPr>
              <w:jc w:val="right"/>
              <w:rPr>
                <w:noProof/>
                <w:sz w:val="20"/>
                <w:szCs w:val="20"/>
              </w:rPr>
            </w:pPr>
            <w:r w:rsidRPr="00A17C78">
              <w:rPr>
                <w:noProof/>
                <w:sz w:val="20"/>
                <w:szCs w:val="20"/>
              </w:rPr>
              <w:t>5.2</w:t>
            </w:r>
          </w:p>
        </w:tc>
        <w:tc>
          <w:tcPr>
            <w:tcW w:w="853" w:type="pct"/>
            <w:tcBorders>
              <w:top w:val="nil"/>
              <w:left w:val="nil"/>
              <w:bottom w:val="single" w:sz="4" w:space="0" w:color="auto"/>
              <w:right w:val="single" w:sz="4" w:space="0" w:color="auto"/>
            </w:tcBorders>
            <w:shd w:val="clear" w:color="000000" w:fill="FFFFFF"/>
            <w:noWrap/>
            <w:hideMark/>
          </w:tcPr>
          <w:p w14:paraId="5889D157" w14:textId="11AD7AF5" w:rsidR="00A17C78" w:rsidRPr="00A17C78" w:rsidRDefault="00A17C78" w:rsidP="00A17C78">
            <w:pPr>
              <w:jc w:val="right"/>
              <w:rPr>
                <w:noProof/>
                <w:sz w:val="20"/>
                <w:szCs w:val="20"/>
              </w:rPr>
            </w:pPr>
            <w:r w:rsidRPr="00A17C78">
              <w:rPr>
                <w:noProof/>
                <w:sz w:val="20"/>
                <w:szCs w:val="20"/>
              </w:rPr>
              <w:t>4.8</w:t>
            </w:r>
          </w:p>
        </w:tc>
      </w:tr>
      <w:tr w:rsidR="00A17C78" w:rsidRPr="005E2C09" w14:paraId="5861585E"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01D867A1" w14:textId="28B585CF" w:rsidR="00A17C78" w:rsidRPr="005E2C09" w:rsidRDefault="00A17C78" w:rsidP="00A17C78">
            <w:pPr>
              <w:rPr>
                <w:noProof/>
                <w:sz w:val="20"/>
                <w:szCs w:val="20"/>
              </w:rPr>
            </w:pPr>
            <w:r w:rsidRPr="005E2C09">
              <w:rPr>
                <w:noProof/>
                <w:sz w:val="20"/>
                <w:szCs w:val="20"/>
              </w:rPr>
              <w:t xml:space="preserve"> Czechia</w:t>
            </w:r>
          </w:p>
        </w:tc>
        <w:tc>
          <w:tcPr>
            <w:tcW w:w="853" w:type="pct"/>
            <w:tcBorders>
              <w:top w:val="nil"/>
              <w:left w:val="nil"/>
              <w:bottom w:val="single" w:sz="4" w:space="0" w:color="auto"/>
              <w:right w:val="single" w:sz="4" w:space="0" w:color="auto"/>
            </w:tcBorders>
            <w:shd w:val="clear" w:color="000000" w:fill="FFFFFF"/>
            <w:noWrap/>
            <w:hideMark/>
          </w:tcPr>
          <w:p w14:paraId="660C2E41" w14:textId="4752CE8A" w:rsidR="00A17C78" w:rsidRPr="00A17C78" w:rsidRDefault="00A17C78" w:rsidP="00A17C78">
            <w:pPr>
              <w:jc w:val="right"/>
              <w:rPr>
                <w:noProof/>
                <w:sz w:val="20"/>
                <w:szCs w:val="20"/>
              </w:rPr>
            </w:pPr>
            <w:r w:rsidRPr="00A17C78">
              <w:rPr>
                <w:noProof/>
                <w:sz w:val="20"/>
                <w:szCs w:val="20"/>
              </w:rPr>
              <w:t>59.1</w:t>
            </w:r>
          </w:p>
        </w:tc>
        <w:tc>
          <w:tcPr>
            <w:tcW w:w="853" w:type="pct"/>
            <w:tcBorders>
              <w:top w:val="nil"/>
              <w:left w:val="nil"/>
              <w:bottom w:val="single" w:sz="4" w:space="0" w:color="auto"/>
              <w:right w:val="single" w:sz="4" w:space="0" w:color="auto"/>
            </w:tcBorders>
            <w:shd w:val="clear" w:color="000000" w:fill="FFFFFF"/>
            <w:noWrap/>
            <w:hideMark/>
          </w:tcPr>
          <w:p w14:paraId="7C57583E" w14:textId="4ECA4D30" w:rsidR="00A17C78" w:rsidRPr="00A17C78" w:rsidRDefault="00A17C78" w:rsidP="00A17C78">
            <w:pPr>
              <w:jc w:val="right"/>
              <w:rPr>
                <w:noProof/>
                <w:sz w:val="20"/>
                <w:szCs w:val="20"/>
              </w:rPr>
            </w:pPr>
            <w:r w:rsidRPr="00A17C78">
              <w:rPr>
                <w:noProof/>
                <w:sz w:val="20"/>
                <w:szCs w:val="20"/>
              </w:rPr>
              <w:t>7.3</w:t>
            </w:r>
          </w:p>
        </w:tc>
        <w:tc>
          <w:tcPr>
            <w:tcW w:w="853" w:type="pct"/>
            <w:tcBorders>
              <w:top w:val="nil"/>
              <w:left w:val="nil"/>
              <w:bottom w:val="single" w:sz="4" w:space="0" w:color="auto"/>
              <w:right w:val="single" w:sz="4" w:space="0" w:color="auto"/>
            </w:tcBorders>
            <w:shd w:val="clear" w:color="000000" w:fill="FFFFFF"/>
            <w:noWrap/>
            <w:hideMark/>
          </w:tcPr>
          <w:p w14:paraId="3DE13131" w14:textId="42000819" w:rsidR="00A17C78" w:rsidRPr="00A17C78" w:rsidRDefault="00A17C78" w:rsidP="00A17C78">
            <w:pPr>
              <w:jc w:val="right"/>
              <w:rPr>
                <w:noProof/>
                <w:sz w:val="20"/>
                <w:szCs w:val="20"/>
              </w:rPr>
            </w:pPr>
            <w:r w:rsidRPr="00A17C78">
              <w:rPr>
                <w:noProof/>
                <w:sz w:val="20"/>
                <w:szCs w:val="20"/>
              </w:rPr>
              <w:t>7.8</w:t>
            </w:r>
          </w:p>
        </w:tc>
        <w:tc>
          <w:tcPr>
            <w:tcW w:w="853" w:type="pct"/>
            <w:tcBorders>
              <w:top w:val="nil"/>
              <w:left w:val="nil"/>
              <w:bottom w:val="single" w:sz="4" w:space="0" w:color="auto"/>
              <w:right w:val="single" w:sz="4" w:space="0" w:color="auto"/>
            </w:tcBorders>
            <w:shd w:val="clear" w:color="000000" w:fill="FFFFFF"/>
            <w:noWrap/>
            <w:hideMark/>
          </w:tcPr>
          <w:p w14:paraId="03290995" w14:textId="164382DF" w:rsidR="00A17C78" w:rsidRPr="00A17C78" w:rsidRDefault="00A17C78" w:rsidP="00A17C78">
            <w:pPr>
              <w:jc w:val="right"/>
              <w:rPr>
                <w:noProof/>
                <w:sz w:val="20"/>
                <w:szCs w:val="20"/>
              </w:rPr>
            </w:pPr>
            <w:r w:rsidRPr="00A17C78">
              <w:rPr>
                <w:noProof/>
                <w:sz w:val="20"/>
                <w:szCs w:val="20"/>
              </w:rPr>
              <w:t>7.2</w:t>
            </w:r>
          </w:p>
        </w:tc>
      </w:tr>
      <w:tr w:rsidR="00A17C78" w:rsidRPr="005E2C09" w14:paraId="1AB491EB"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2987F3AE" w14:textId="77777777" w:rsidR="00A17C78" w:rsidRPr="005E2C09" w:rsidRDefault="00A17C78" w:rsidP="00A17C78">
            <w:pPr>
              <w:rPr>
                <w:noProof/>
                <w:sz w:val="20"/>
                <w:szCs w:val="20"/>
              </w:rPr>
            </w:pPr>
            <w:r w:rsidRPr="005E2C09">
              <w:rPr>
                <w:noProof/>
                <w:sz w:val="20"/>
                <w:szCs w:val="20"/>
              </w:rPr>
              <w:t xml:space="preserve"> Ireland </w:t>
            </w:r>
          </w:p>
        </w:tc>
        <w:tc>
          <w:tcPr>
            <w:tcW w:w="853" w:type="pct"/>
            <w:tcBorders>
              <w:top w:val="nil"/>
              <w:left w:val="nil"/>
              <w:bottom w:val="single" w:sz="4" w:space="0" w:color="auto"/>
              <w:right w:val="single" w:sz="4" w:space="0" w:color="auto"/>
            </w:tcBorders>
            <w:shd w:val="clear" w:color="000000" w:fill="FFFFFF"/>
            <w:noWrap/>
            <w:hideMark/>
          </w:tcPr>
          <w:p w14:paraId="5F9C2969" w14:textId="37006C0B" w:rsidR="00A17C78" w:rsidRPr="00A17C78" w:rsidRDefault="00A17C78" w:rsidP="00A17C78">
            <w:pPr>
              <w:jc w:val="right"/>
              <w:rPr>
                <w:noProof/>
                <w:sz w:val="20"/>
                <w:szCs w:val="20"/>
              </w:rPr>
            </w:pPr>
            <w:r w:rsidRPr="00A17C78">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04ED7AC3" w14:textId="263DC354" w:rsidR="00A17C78" w:rsidRPr="00A17C78" w:rsidRDefault="00A17C78" w:rsidP="00A17C78">
            <w:pPr>
              <w:jc w:val="right"/>
              <w:rPr>
                <w:noProof/>
                <w:sz w:val="20"/>
                <w:szCs w:val="20"/>
              </w:rPr>
            </w:pPr>
            <w:r w:rsidRPr="00A17C78">
              <w:rPr>
                <w:noProof/>
                <w:sz w:val="20"/>
                <w:szCs w:val="20"/>
              </w:rPr>
              <w:t>4.9</w:t>
            </w:r>
          </w:p>
        </w:tc>
        <w:tc>
          <w:tcPr>
            <w:tcW w:w="853" w:type="pct"/>
            <w:tcBorders>
              <w:top w:val="nil"/>
              <w:left w:val="nil"/>
              <w:bottom w:val="single" w:sz="4" w:space="0" w:color="auto"/>
              <w:right w:val="single" w:sz="4" w:space="0" w:color="auto"/>
            </w:tcBorders>
            <w:shd w:val="clear" w:color="000000" w:fill="FFFFFF"/>
            <w:noWrap/>
            <w:hideMark/>
          </w:tcPr>
          <w:p w14:paraId="258B479C" w14:textId="2A7B457C" w:rsidR="00A17C78" w:rsidRPr="00A17C78" w:rsidRDefault="00A17C78" w:rsidP="00A17C78">
            <w:pPr>
              <w:jc w:val="right"/>
              <w:rPr>
                <w:noProof/>
                <w:sz w:val="20"/>
                <w:szCs w:val="20"/>
              </w:rPr>
            </w:pPr>
            <w:r w:rsidRPr="00A17C78">
              <w:rPr>
                <w:noProof/>
                <w:sz w:val="20"/>
                <w:szCs w:val="20"/>
              </w:rPr>
              <w:t>5.2</w:t>
            </w:r>
          </w:p>
        </w:tc>
        <w:tc>
          <w:tcPr>
            <w:tcW w:w="853" w:type="pct"/>
            <w:tcBorders>
              <w:top w:val="nil"/>
              <w:left w:val="nil"/>
              <w:bottom w:val="single" w:sz="4" w:space="0" w:color="auto"/>
              <w:right w:val="single" w:sz="4" w:space="0" w:color="auto"/>
            </w:tcBorders>
            <w:shd w:val="clear" w:color="000000" w:fill="FFFFFF"/>
            <w:noWrap/>
            <w:hideMark/>
          </w:tcPr>
          <w:p w14:paraId="6B46EB0F" w14:textId="562562F6" w:rsidR="00A17C78" w:rsidRPr="00A17C78" w:rsidRDefault="00A17C78" w:rsidP="00A17C78">
            <w:pPr>
              <w:jc w:val="right"/>
              <w:rPr>
                <w:noProof/>
                <w:sz w:val="20"/>
                <w:szCs w:val="20"/>
              </w:rPr>
            </w:pPr>
            <w:r w:rsidRPr="00A17C78">
              <w:rPr>
                <w:noProof/>
                <w:sz w:val="20"/>
                <w:szCs w:val="20"/>
              </w:rPr>
              <w:t>4.8</w:t>
            </w:r>
          </w:p>
        </w:tc>
      </w:tr>
      <w:tr w:rsidR="00A17C78" w:rsidRPr="005E2C09" w14:paraId="15BFDF35"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C4E9467" w14:textId="77777777" w:rsidR="00A17C78" w:rsidRPr="005E2C09" w:rsidRDefault="00A17C78" w:rsidP="00A17C78">
            <w:pPr>
              <w:rPr>
                <w:noProof/>
                <w:sz w:val="20"/>
                <w:szCs w:val="20"/>
              </w:rPr>
            </w:pPr>
            <w:r w:rsidRPr="005E2C09">
              <w:rPr>
                <w:noProof/>
                <w:sz w:val="20"/>
                <w:szCs w:val="20"/>
              </w:rPr>
              <w:t xml:space="preserve"> Slovenia </w:t>
            </w:r>
          </w:p>
        </w:tc>
        <w:tc>
          <w:tcPr>
            <w:tcW w:w="853" w:type="pct"/>
            <w:tcBorders>
              <w:top w:val="nil"/>
              <w:left w:val="nil"/>
              <w:bottom w:val="single" w:sz="4" w:space="0" w:color="auto"/>
              <w:right w:val="single" w:sz="4" w:space="0" w:color="auto"/>
            </w:tcBorders>
            <w:shd w:val="clear" w:color="000000" w:fill="FFFFFF"/>
            <w:noWrap/>
            <w:hideMark/>
          </w:tcPr>
          <w:p w14:paraId="0D9FF775"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4CE4F448"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067C5184"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6A4FE2E2" w14:textId="77777777" w:rsidR="00A17C78" w:rsidRPr="00A17C78" w:rsidRDefault="00A17C78" w:rsidP="00A17C78">
            <w:pPr>
              <w:jc w:val="right"/>
              <w:rPr>
                <w:noProof/>
                <w:sz w:val="20"/>
                <w:szCs w:val="20"/>
              </w:rPr>
            </w:pPr>
            <w:r w:rsidRPr="00A17C78">
              <w:rPr>
                <w:noProof/>
                <w:sz w:val="20"/>
                <w:szCs w:val="20"/>
              </w:rPr>
              <w:t>0.0</w:t>
            </w:r>
          </w:p>
        </w:tc>
      </w:tr>
      <w:tr w:rsidR="00A17C78" w:rsidRPr="005E2C09" w14:paraId="6448D499"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CE2A554" w14:textId="77777777" w:rsidR="00A17C78" w:rsidRPr="005E2C09" w:rsidRDefault="00A17C78" w:rsidP="00A17C78">
            <w:pPr>
              <w:rPr>
                <w:noProof/>
                <w:sz w:val="20"/>
                <w:szCs w:val="20"/>
              </w:rPr>
            </w:pPr>
            <w:r w:rsidRPr="005E2C09">
              <w:rPr>
                <w:noProof/>
                <w:sz w:val="20"/>
                <w:szCs w:val="20"/>
              </w:rPr>
              <w:t xml:space="preserve"> Latvia </w:t>
            </w:r>
          </w:p>
        </w:tc>
        <w:tc>
          <w:tcPr>
            <w:tcW w:w="853" w:type="pct"/>
            <w:tcBorders>
              <w:top w:val="nil"/>
              <w:left w:val="nil"/>
              <w:bottom w:val="single" w:sz="4" w:space="0" w:color="auto"/>
              <w:right w:val="single" w:sz="4" w:space="0" w:color="auto"/>
            </w:tcBorders>
            <w:shd w:val="clear" w:color="000000" w:fill="FFFFFF"/>
            <w:noWrap/>
            <w:hideMark/>
          </w:tcPr>
          <w:p w14:paraId="1DED86BF"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3C571159"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73415381"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2C2D6357" w14:textId="77777777" w:rsidR="00A17C78" w:rsidRPr="00A17C78" w:rsidRDefault="00A17C78" w:rsidP="00A17C78">
            <w:pPr>
              <w:jc w:val="right"/>
              <w:rPr>
                <w:noProof/>
                <w:sz w:val="20"/>
                <w:szCs w:val="20"/>
              </w:rPr>
            </w:pPr>
            <w:r w:rsidRPr="00A17C78">
              <w:rPr>
                <w:noProof/>
                <w:sz w:val="20"/>
                <w:szCs w:val="20"/>
              </w:rPr>
              <w:t>0.0</w:t>
            </w:r>
          </w:p>
        </w:tc>
      </w:tr>
      <w:tr w:rsidR="00A17C78" w:rsidRPr="005E2C09" w14:paraId="59E1451D"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5910E32C" w14:textId="77777777" w:rsidR="00A17C78" w:rsidRPr="005E2C09" w:rsidRDefault="00A17C78" w:rsidP="00A17C78">
            <w:pPr>
              <w:rPr>
                <w:noProof/>
                <w:sz w:val="20"/>
                <w:szCs w:val="20"/>
              </w:rPr>
            </w:pPr>
            <w:r w:rsidRPr="005E2C09">
              <w:rPr>
                <w:noProof/>
                <w:sz w:val="20"/>
                <w:szCs w:val="20"/>
              </w:rPr>
              <w:t xml:space="preserve"> Romania </w:t>
            </w:r>
          </w:p>
        </w:tc>
        <w:tc>
          <w:tcPr>
            <w:tcW w:w="853" w:type="pct"/>
            <w:tcBorders>
              <w:top w:val="nil"/>
              <w:left w:val="nil"/>
              <w:bottom w:val="single" w:sz="4" w:space="0" w:color="auto"/>
              <w:right w:val="single" w:sz="4" w:space="0" w:color="auto"/>
            </w:tcBorders>
            <w:shd w:val="clear" w:color="000000" w:fill="FFFFFF"/>
            <w:noWrap/>
            <w:hideMark/>
          </w:tcPr>
          <w:p w14:paraId="77E7F6E8"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18F82003"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01F0E524" w14:textId="77777777" w:rsidR="00A17C78" w:rsidRPr="00A17C78" w:rsidRDefault="00A17C78" w:rsidP="00A17C78">
            <w:pPr>
              <w:jc w:val="right"/>
              <w:rPr>
                <w:noProof/>
                <w:sz w:val="20"/>
                <w:szCs w:val="20"/>
              </w:rPr>
            </w:pPr>
            <w:r w:rsidRPr="00A17C78">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11934596" w14:textId="77777777" w:rsidR="00A17C78" w:rsidRPr="00A17C78" w:rsidRDefault="00A17C78" w:rsidP="00A17C78">
            <w:pPr>
              <w:jc w:val="right"/>
              <w:rPr>
                <w:noProof/>
                <w:sz w:val="20"/>
                <w:szCs w:val="20"/>
              </w:rPr>
            </w:pPr>
            <w:r w:rsidRPr="00A17C78">
              <w:rPr>
                <w:noProof/>
                <w:sz w:val="20"/>
                <w:szCs w:val="20"/>
              </w:rPr>
              <w:t>0.0</w:t>
            </w:r>
          </w:p>
        </w:tc>
      </w:tr>
      <w:tr w:rsidR="00A17C78" w:rsidRPr="005E2C09" w14:paraId="0C1B7769"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32254E2A" w14:textId="77777777" w:rsidR="00A17C78" w:rsidRPr="005E2C09" w:rsidRDefault="00A17C78" w:rsidP="00A17C78">
            <w:pPr>
              <w:rPr>
                <w:noProof/>
                <w:sz w:val="20"/>
                <w:szCs w:val="20"/>
              </w:rPr>
            </w:pPr>
            <w:r w:rsidRPr="005E2C09">
              <w:rPr>
                <w:noProof/>
                <w:sz w:val="20"/>
                <w:szCs w:val="20"/>
              </w:rPr>
              <w:t xml:space="preserve"> Slovakia </w:t>
            </w:r>
          </w:p>
        </w:tc>
        <w:tc>
          <w:tcPr>
            <w:tcW w:w="853" w:type="pct"/>
            <w:tcBorders>
              <w:top w:val="nil"/>
              <w:left w:val="nil"/>
              <w:bottom w:val="single" w:sz="4" w:space="0" w:color="auto"/>
              <w:right w:val="single" w:sz="4" w:space="0" w:color="auto"/>
            </w:tcBorders>
            <w:shd w:val="clear" w:color="000000" w:fill="FFFFFF"/>
            <w:noWrap/>
            <w:hideMark/>
          </w:tcPr>
          <w:p w14:paraId="5C3478EC" w14:textId="015CFC39" w:rsidR="00A17C78" w:rsidRPr="00A17C78" w:rsidRDefault="00A17C78" w:rsidP="00A17C78">
            <w:pPr>
              <w:jc w:val="right"/>
              <w:rPr>
                <w:noProof/>
                <w:sz w:val="20"/>
                <w:szCs w:val="20"/>
              </w:rPr>
            </w:pPr>
            <w:r w:rsidRPr="00A17C78">
              <w:rPr>
                <w:noProof/>
                <w:sz w:val="20"/>
                <w:szCs w:val="20"/>
              </w:rPr>
              <w:t>19.7</w:t>
            </w:r>
          </w:p>
        </w:tc>
        <w:tc>
          <w:tcPr>
            <w:tcW w:w="853" w:type="pct"/>
            <w:tcBorders>
              <w:top w:val="nil"/>
              <w:left w:val="nil"/>
              <w:bottom w:val="single" w:sz="4" w:space="0" w:color="auto"/>
              <w:right w:val="single" w:sz="4" w:space="0" w:color="auto"/>
            </w:tcBorders>
            <w:shd w:val="clear" w:color="000000" w:fill="FFFFFF"/>
            <w:noWrap/>
            <w:hideMark/>
          </w:tcPr>
          <w:p w14:paraId="640FE381" w14:textId="6744B8E0" w:rsidR="00A17C78" w:rsidRPr="00A17C78" w:rsidRDefault="00A17C78" w:rsidP="00A17C78">
            <w:pPr>
              <w:jc w:val="right"/>
              <w:rPr>
                <w:noProof/>
                <w:sz w:val="20"/>
                <w:szCs w:val="20"/>
              </w:rPr>
            </w:pPr>
            <w:r w:rsidRPr="00A17C78">
              <w:rPr>
                <w:noProof/>
                <w:sz w:val="20"/>
                <w:szCs w:val="20"/>
              </w:rPr>
              <w:t>2.4</w:t>
            </w:r>
          </w:p>
        </w:tc>
        <w:tc>
          <w:tcPr>
            <w:tcW w:w="853" w:type="pct"/>
            <w:tcBorders>
              <w:top w:val="nil"/>
              <w:left w:val="nil"/>
              <w:bottom w:val="single" w:sz="4" w:space="0" w:color="auto"/>
              <w:right w:val="single" w:sz="4" w:space="0" w:color="auto"/>
            </w:tcBorders>
            <w:shd w:val="clear" w:color="000000" w:fill="FFFFFF"/>
            <w:noWrap/>
            <w:hideMark/>
          </w:tcPr>
          <w:p w14:paraId="5097A9AC" w14:textId="5275481E" w:rsidR="00A17C78" w:rsidRPr="00A17C78" w:rsidRDefault="00A17C78" w:rsidP="00A17C78">
            <w:pPr>
              <w:jc w:val="right"/>
              <w:rPr>
                <w:noProof/>
                <w:sz w:val="20"/>
                <w:szCs w:val="20"/>
              </w:rPr>
            </w:pPr>
            <w:r w:rsidRPr="00A17C78">
              <w:rPr>
                <w:noProof/>
                <w:sz w:val="20"/>
                <w:szCs w:val="20"/>
              </w:rPr>
              <w:t>2.6</w:t>
            </w:r>
          </w:p>
        </w:tc>
        <w:tc>
          <w:tcPr>
            <w:tcW w:w="853" w:type="pct"/>
            <w:tcBorders>
              <w:top w:val="nil"/>
              <w:left w:val="nil"/>
              <w:bottom w:val="single" w:sz="4" w:space="0" w:color="auto"/>
              <w:right w:val="single" w:sz="4" w:space="0" w:color="auto"/>
            </w:tcBorders>
            <w:shd w:val="clear" w:color="000000" w:fill="FFFFFF"/>
            <w:noWrap/>
            <w:hideMark/>
          </w:tcPr>
          <w:p w14:paraId="65551535" w14:textId="785C9736" w:rsidR="00A17C78" w:rsidRPr="00A17C78" w:rsidRDefault="00A17C78" w:rsidP="00A17C78">
            <w:pPr>
              <w:jc w:val="right"/>
              <w:rPr>
                <w:noProof/>
                <w:sz w:val="20"/>
                <w:szCs w:val="20"/>
              </w:rPr>
            </w:pPr>
            <w:r w:rsidRPr="00A17C78">
              <w:rPr>
                <w:noProof/>
                <w:sz w:val="20"/>
                <w:szCs w:val="20"/>
              </w:rPr>
              <w:t>2.4</w:t>
            </w:r>
          </w:p>
        </w:tc>
      </w:tr>
      <w:tr w:rsidR="00A17C78" w:rsidRPr="005E2C09" w14:paraId="04096DEB" w14:textId="77777777" w:rsidTr="00A17C78">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4C0B2DE" w14:textId="0AB46F81" w:rsidR="00A17C78" w:rsidRPr="005E2C09" w:rsidRDefault="00A17C78" w:rsidP="00A17C78">
            <w:pPr>
              <w:rPr>
                <w:b/>
                <w:bCs/>
                <w:noProof/>
                <w:sz w:val="20"/>
                <w:szCs w:val="20"/>
              </w:rPr>
            </w:pPr>
            <w:r w:rsidRPr="005E2C09">
              <w:rPr>
                <w:b/>
                <w:bCs/>
                <w:noProof/>
                <w:sz w:val="20"/>
                <w:szCs w:val="20"/>
              </w:rPr>
              <w:t xml:space="preserve"> Total </w:t>
            </w:r>
          </w:p>
        </w:tc>
        <w:tc>
          <w:tcPr>
            <w:tcW w:w="853" w:type="pct"/>
            <w:tcBorders>
              <w:top w:val="nil"/>
              <w:left w:val="nil"/>
              <w:bottom w:val="single" w:sz="4" w:space="0" w:color="auto"/>
              <w:right w:val="single" w:sz="4" w:space="0" w:color="auto"/>
            </w:tcBorders>
            <w:shd w:val="clear" w:color="000000" w:fill="FFFFFF"/>
            <w:noWrap/>
            <w:hideMark/>
          </w:tcPr>
          <w:p w14:paraId="3F9A9935" w14:textId="1321FD8A" w:rsidR="00A17C78" w:rsidRPr="00A17C78" w:rsidRDefault="00A17C78" w:rsidP="00A17C78">
            <w:pPr>
              <w:jc w:val="right"/>
              <w:rPr>
                <w:b/>
                <w:bCs/>
                <w:noProof/>
                <w:sz w:val="20"/>
                <w:szCs w:val="20"/>
              </w:rPr>
            </w:pPr>
            <w:r w:rsidRPr="00A17C78">
              <w:rPr>
                <w:b/>
                <w:bCs/>
                <w:noProof/>
                <w:sz w:val="20"/>
                <w:szCs w:val="20"/>
              </w:rPr>
              <w:t>1,970.9</w:t>
            </w:r>
          </w:p>
        </w:tc>
        <w:tc>
          <w:tcPr>
            <w:tcW w:w="853" w:type="pct"/>
            <w:tcBorders>
              <w:top w:val="nil"/>
              <w:left w:val="nil"/>
              <w:bottom w:val="single" w:sz="4" w:space="0" w:color="auto"/>
              <w:right w:val="single" w:sz="4" w:space="0" w:color="auto"/>
            </w:tcBorders>
            <w:shd w:val="clear" w:color="000000" w:fill="FFFFFF"/>
            <w:noWrap/>
            <w:hideMark/>
          </w:tcPr>
          <w:p w14:paraId="28F466B0" w14:textId="1A08419F" w:rsidR="00A17C78" w:rsidRPr="00A17C78" w:rsidRDefault="00A17C78" w:rsidP="00A17C78">
            <w:pPr>
              <w:jc w:val="right"/>
              <w:rPr>
                <w:b/>
                <w:bCs/>
                <w:noProof/>
                <w:sz w:val="20"/>
                <w:szCs w:val="20"/>
              </w:rPr>
            </w:pPr>
            <w:r w:rsidRPr="00A17C78">
              <w:rPr>
                <w:b/>
                <w:bCs/>
                <w:noProof/>
                <w:sz w:val="20"/>
                <w:szCs w:val="20"/>
              </w:rPr>
              <w:t>242.7</w:t>
            </w:r>
          </w:p>
        </w:tc>
        <w:tc>
          <w:tcPr>
            <w:tcW w:w="853" w:type="pct"/>
            <w:tcBorders>
              <w:top w:val="nil"/>
              <w:left w:val="nil"/>
              <w:bottom w:val="single" w:sz="4" w:space="0" w:color="auto"/>
              <w:right w:val="single" w:sz="4" w:space="0" w:color="auto"/>
            </w:tcBorders>
            <w:shd w:val="clear" w:color="000000" w:fill="FFFFFF"/>
            <w:noWrap/>
            <w:hideMark/>
          </w:tcPr>
          <w:p w14:paraId="43143F03" w14:textId="49CA23DD" w:rsidR="00A17C78" w:rsidRPr="00A17C78" w:rsidRDefault="00A17C78" w:rsidP="00A17C78">
            <w:pPr>
              <w:jc w:val="right"/>
              <w:rPr>
                <w:b/>
                <w:bCs/>
                <w:noProof/>
                <w:sz w:val="20"/>
                <w:szCs w:val="20"/>
              </w:rPr>
            </w:pPr>
            <w:r w:rsidRPr="00A17C78">
              <w:rPr>
                <w:b/>
                <w:bCs/>
                <w:noProof/>
                <w:sz w:val="20"/>
                <w:szCs w:val="20"/>
              </w:rPr>
              <w:t>261.0</w:t>
            </w:r>
          </w:p>
        </w:tc>
        <w:tc>
          <w:tcPr>
            <w:tcW w:w="853" w:type="pct"/>
            <w:tcBorders>
              <w:top w:val="nil"/>
              <w:left w:val="nil"/>
              <w:bottom w:val="single" w:sz="4" w:space="0" w:color="auto"/>
              <w:right w:val="single" w:sz="4" w:space="0" w:color="auto"/>
            </w:tcBorders>
            <w:shd w:val="clear" w:color="000000" w:fill="FFFFFF"/>
            <w:noWrap/>
            <w:hideMark/>
          </w:tcPr>
          <w:p w14:paraId="7AC21E18" w14:textId="6ACEAA7A" w:rsidR="00A17C78" w:rsidRPr="00A17C78" w:rsidRDefault="00A17C78" w:rsidP="00A17C78">
            <w:pPr>
              <w:jc w:val="right"/>
              <w:rPr>
                <w:b/>
                <w:bCs/>
                <w:noProof/>
                <w:sz w:val="20"/>
                <w:szCs w:val="20"/>
              </w:rPr>
            </w:pPr>
            <w:r w:rsidRPr="00A17C78">
              <w:rPr>
                <w:b/>
                <w:bCs/>
                <w:noProof/>
                <w:sz w:val="20"/>
                <w:szCs w:val="20"/>
              </w:rPr>
              <w:t>238.6</w:t>
            </w:r>
          </w:p>
        </w:tc>
      </w:tr>
    </w:tbl>
    <w:p w14:paraId="6AA4349C" w14:textId="77777777" w:rsidR="00525716" w:rsidRPr="005E2C09" w:rsidRDefault="00525716" w:rsidP="00525716">
      <w:pPr>
        <w:tabs>
          <w:tab w:val="left" w:pos="2302"/>
        </w:tabs>
        <w:spacing w:after="240"/>
        <w:jc w:val="both"/>
        <w:rPr>
          <w:i/>
          <w:noProof/>
          <w:sz w:val="20"/>
          <w:szCs w:val="20"/>
        </w:rPr>
      </w:pPr>
      <w:r w:rsidRPr="005E2C09">
        <w:rPr>
          <w:i/>
          <w:noProof/>
          <w:spacing w:val="-8"/>
          <w:sz w:val="20"/>
          <w:szCs w:val="20"/>
        </w:rPr>
        <w:t xml:space="preserve">Source: </w:t>
      </w:r>
      <w:r w:rsidRPr="005E2C09">
        <w:rPr>
          <w:i/>
          <w:noProof/>
          <w:sz w:val="20"/>
          <w:szCs w:val="20"/>
        </w:rPr>
        <w:t>Ricardo et al. (2026), Impact assessment support study</w:t>
      </w:r>
    </w:p>
    <w:p w14:paraId="388336F0" w14:textId="3ABB4184" w:rsidR="00525716" w:rsidRPr="00DB078C" w:rsidRDefault="00525716" w:rsidP="00DB078C">
      <w:pPr>
        <w:keepNext/>
        <w:tabs>
          <w:tab w:val="left" w:pos="1134"/>
        </w:tabs>
        <w:jc w:val="both"/>
        <w:rPr>
          <w:i/>
          <w:noProof/>
          <w:sz w:val="22"/>
          <w:szCs w:val="22"/>
        </w:rPr>
      </w:pPr>
      <w:r w:rsidRPr="00DB078C">
        <w:rPr>
          <w:i/>
          <w:noProof/>
          <w:sz w:val="22"/>
          <w:szCs w:val="22"/>
        </w:rPr>
        <w:t xml:space="preserve">Table </w:t>
      </w:r>
      <w:r w:rsidRPr="00DB078C">
        <w:rPr>
          <w:i/>
          <w:noProof/>
          <w:sz w:val="22"/>
          <w:szCs w:val="22"/>
        </w:rPr>
        <w:fldChar w:fldCharType="begin"/>
      </w:r>
      <w:r w:rsidRPr="00DB078C">
        <w:rPr>
          <w:i/>
          <w:noProof/>
          <w:sz w:val="22"/>
          <w:szCs w:val="22"/>
        </w:rPr>
        <w:instrText xml:space="preserve"> SEQ Table \* ARABIC </w:instrText>
      </w:r>
      <w:r w:rsidRPr="00DB078C">
        <w:rPr>
          <w:i/>
          <w:noProof/>
          <w:sz w:val="22"/>
          <w:szCs w:val="22"/>
        </w:rPr>
        <w:fldChar w:fldCharType="separate"/>
      </w:r>
      <w:r w:rsidR="0055391F">
        <w:rPr>
          <w:i/>
          <w:noProof/>
          <w:sz w:val="22"/>
          <w:szCs w:val="22"/>
        </w:rPr>
        <w:t>81</w:t>
      </w:r>
      <w:r w:rsidRPr="00DB078C">
        <w:rPr>
          <w:i/>
          <w:noProof/>
          <w:sz w:val="22"/>
          <w:szCs w:val="22"/>
        </w:rPr>
        <w:fldChar w:fldCharType="end"/>
      </w:r>
      <w:r w:rsidRPr="00DB078C">
        <w:rPr>
          <w:i/>
          <w:noProof/>
          <w:sz w:val="22"/>
          <w:szCs w:val="22"/>
        </w:rPr>
        <w:t xml:space="preserve">: Total one-off and recurrent adjustment costs for </w:t>
      </w:r>
      <w:r w:rsidR="00E65F03">
        <w:rPr>
          <w:i/>
          <w:noProof/>
          <w:sz w:val="22"/>
          <w:szCs w:val="22"/>
        </w:rPr>
        <w:t>non-SME</w:t>
      </w:r>
      <w:r w:rsidRPr="00DB078C">
        <w:rPr>
          <w:i/>
          <w:noProof/>
          <w:sz w:val="22"/>
          <w:szCs w:val="22"/>
        </w:rPr>
        <w:t xml:space="preserve"> B2C MDMS platforms due to PM</w:t>
      </w:r>
      <w:r w:rsidR="00597FA0" w:rsidRPr="00DB078C">
        <w:rPr>
          <w:i/>
          <w:noProof/>
          <w:sz w:val="22"/>
          <w:szCs w:val="22"/>
        </w:rPr>
        <w:t>3</w:t>
      </w:r>
      <w:r w:rsidRPr="00DB078C">
        <w:rPr>
          <w:i/>
          <w:noProof/>
          <w:sz w:val="22"/>
          <w:szCs w:val="22"/>
        </w:rPr>
        <w:t xml:space="preserve"> in PO2 in 2028, 2030, 2040 and 2050 relative to the baseline (thousand EUR, in 2024 prices)</w:t>
      </w:r>
    </w:p>
    <w:tbl>
      <w:tblPr>
        <w:tblW w:w="5000" w:type="pct"/>
        <w:tblLook w:val="04A0" w:firstRow="1" w:lastRow="0" w:firstColumn="1" w:lastColumn="0" w:noHBand="0" w:noVBand="1"/>
      </w:tblPr>
      <w:tblGrid>
        <w:gridCol w:w="3053"/>
        <w:gridCol w:w="1638"/>
        <w:gridCol w:w="1638"/>
        <w:gridCol w:w="1638"/>
        <w:gridCol w:w="1636"/>
      </w:tblGrid>
      <w:tr w:rsidR="005E2C09" w:rsidRPr="005E2C09" w14:paraId="52210870" w14:textId="77777777" w:rsidTr="000267A4">
        <w:trPr>
          <w:trHeight w:val="255"/>
          <w:tblHeader/>
        </w:trPr>
        <w:tc>
          <w:tcPr>
            <w:tcW w:w="1589" w:type="pct"/>
            <w:tcBorders>
              <w:top w:val="single" w:sz="4" w:space="0" w:color="auto"/>
              <w:left w:val="single" w:sz="4" w:space="0" w:color="auto"/>
              <w:bottom w:val="single" w:sz="4" w:space="0" w:color="auto"/>
              <w:right w:val="single" w:sz="4" w:space="0" w:color="auto"/>
            </w:tcBorders>
            <w:shd w:val="clear" w:color="000000" w:fill="0070C0"/>
            <w:noWrap/>
            <w:hideMark/>
          </w:tcPr>
          <w:p w14:paraId="7253CF7D" w14:textId="112D1CBE" w:rsidR="00890701" w:rsidRPr="005E2C09" w:rsidRDefault="00890701">
            <w:pPr>
              <w:jc w:val="center"/>
              <w:rPr>
                <w:b/>
                <w:bCs/>
                <w:noProof/>
                <w:color w:val="FFFFFF"/>
                <w:sz w:val="20"/>
                <w:szCs w:val="20"/>
              </w:rPr>
            </w:pPr>
          </w:p>
        </w:tc>
        <w:tc>
          <w:tcPr>
            <w:tcW w:w="853" w:type="pct"/>
            <w:tcBorders>
              <w:top w:val="single" w:sz="4" w:space="0" w:color="auto"/>
              <w:left w:val="nil"/>
              <w:bottom w:val="single" w:sz="4" w:space="0" w:color="auto"/>
              <w:right w:val="single" w:sz="4" w:space="0" w:color="auto"/>
            </w:tcBorders>
            <w:shd w:val="clear" w:color="000000" w:fill="0070C0"/>
            <w:noWrap/>
            <w:hideMark/>
          </w:tcPr>
          <w:p w14:paraId="144BE7F2" w14:textId="77777777" w:rsidR="00890701" w:rsidRPr="005E2C09" w:rsidRDefault="00890701">
            <w:pPr>
              <w:jc w:val="center"/>
              <w:rPr>
                <w:b/>
                <w:bCs/>
                <w:noProof/>
                <w:color w:val="FFFFFF"/>
                <w:sz w:val="20"/>
                <w:szCs w:val="20"/>
              </w:rPr>
            </w:pPr>
            <w:r w:rsidRPr="005E2C09">
              <w:rPr>
                <w:b/>
                <w:bCs/>
                <w:noProof/>
                <w:color w:val="FFFFFF"/>
                <w:sz w:val="20"/>
                <w:szCs w:val="20"/>
              </w:rPr>
              <w:t>2028</w:t>
            </w:r>
          </w:p>
        </w:tc>
        <w:tc>
          <w:tcPr>
            <w:tcW w:w="853" w:type="pct"/>
            <w:tcBorders>
              <w:top w:val="single" w:sz="4" w:space="0" w:color="auto"/>
              <w:left w:val="nil"/>
              <w:bottom w:val="single" w:sz="4" w:space="0" w:color="auto"/>
              <w:right w:val="single" w:sz="4" w:space="0" w:color="auto"/>
            </w:tcBorders>
            <w:shd w:val="clear" w:color="000000" w:fill="0070C0"/>
            <w:noWrap/>
            <w:hideMark/>
          </w:tcPr>
          <w:p w14:paraId="3F0DFA5E" w14:textId="77777777" w:rsidR="00890701" w:rsidRPr="005E2C09" w:rsidRDefault="00890701">
            <w:pPr>
              <w:jc w:val="center"/>
              <w:rPr>
                <w:b/>
                <w:bCs/>
                <w:noProof/>
                <w:color w:val="FFFFFF"/>
                <w:sz w:val="20"/>
                <w:szCs w:val="20"/>
              </w:rPr>
            </w:pPr>
            <w:r w:rsidRPr="005E2C09">
              <w:rPr>
                <w:b/>
                <w:bCs/>
                <w:noProof/>
                <w:color w:val="FFFFFF"/>
                <w:sz w:val="20"/>
                <w:szCs w:val="20"/>
              </w:rPr>
              <w:t>2030</w:t>
            </w:r>
          </w:p>
        </w:tc>
        <w:tc>
          <w:tcPr>
            <w:tcW w:w="853" w:type="pct"/>
            <w:tcBorders>
              <w:top w:val="single" w:sz="4" w:space="0" w:color="auto"/>
              <w:left w:val="nil"/>
              <w:bottom w:val="single" w:sz="4" w:space="0" w:color="auto"/>
              <w:right w:val="single" w:sz="4" w:space="0" w:color="auto"/>
            </w:tcBorders>
            <w:shd w:val="clear" w:color="000000" w:fill="0070C0"/>
            <w:noWrap/>
            <w:hideMark/>
          </w:tcPr>
          <w:p w14:paraId="164ABE9E" w14:textId="77777777" w:rsidR="00890701" w:rsidRPr="005E2C09" w:rsidRDefault="00890701">
            <w:pPr>
              <w:jc w:val="center"/>
              <w:rPr>
                <w:b/>
                <w:bCs/>
                <w:noProof/>
                <w:color w:val="FFFFFF"/>
                <w:sz w:val="20"/>
                <w:szCs w:val="20"/>
              </w:rPr>
            </w:pPr>
            <w:r w:rsidRPr="005E2C09">
              <w:rPr>
                <w:b/>
                <w:bCs/>
                <w:noProof/>
                <w:color w:val="FFFFFF"/>
                <w:sz w:val="20"/>
                <w:szCs w:val="20"/>
              </w:rPr>
              <w:t>2040</w:t>
            </w:r>
          </w:p>
        </w:tc>
        <w:tc>
          <w:tcPr>
            <w:tcW w:w="853" w:type="pct"/>
            <w:tcBorders>
              <w:top w:val="single" w:sz="4" w:space="0" w:color="auto"/>
              <w:left w:val="nil"/>
              <w:bottom w:val="single" w:sz="4" w:space="0" w:color="auto"/>
              <w:right w:val="single" w:sz="4" w:space="0" w:color="auto"/>
            </w:tcBorders>
            <w:shd w:val="clear" w:color="000000" w:fill="0070C0"/>
            <w:noWrap/>
            <w:hideMark/>
          </w:tcPr>
          <w:p w14:paraId="4C7F7E67" w14:textId="77777777" w:rsidR="00890701" w:rsidRPr="005E2C09" w:rsidRDefault="00890701">
            <w:pPr>
              <w:jc w:val="center"/>
              <w:rPr>
                <w:b/>
                <w:bCs/>
                <w:noProof/>
                <w:color w:val="FFFFFF"/>
                <w:sz w:val="20"/>
                <w:szCs w:val="20"/>
              </w:rPr>
            </w:pPr>
            <w:r w:rsidRPr="005E2C09">
              <w:rPr>
                <w:b/>
                <w:bCs/>
                <w:noProof/>
                <w:color w:val="FFFFFF"/>
                <w:sz w:val="20"/>
                <w:szCs w:val="20"/>
              </w:rPr>
              <w:t>2050</w:t>
            </w:r>
          </w:p>
        </w:tc>
      </w:tr>
      <w:tr w:rsidR="000267A4" w:rsidRPr="005E2C09" w14:paraId="525CD7A2"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584D946A" w14:textId="77777777" w:rsidR="000267A4" w:rsidRPr="005E2C09" w:rsidRDefault="000267A4" w:rsidP="000267A4">
            <w:pPr>
              <w:rPr>
                <w:noProof/>
                <w:sz w:val="20"/>
                <w:szCs w:val="20"/>
              </w:rPr>
            </w:pPr>
            <w:r w:rsidRPr="005E2C09">
              <w:rPr>
                <w:noProof/>
                <w:sz w:val="20"/>
                <w:szCs w:val="20"/>
              </w:rPr>
              <w:t xml:space="preserve"> Germany </w:t>
            </w:r>
          </w:p>
        </w:tc>
        <w:tc>
          <w:tcPr>
            <w:tcW w:w="853" w:type="pct"/>
            <w:tcBorders>
              <w:top w:val="nil"/>
              <w:left w:val="nil"/>
              <w:bottom w:val="single" w:sz="4" w:space="0" w:color="auto"/>
              <w:right w:val="single" w:sz="4" w:space="0" w:color="auto"/>
            </w:tcBorders>
            <w:shd w:val="clear" w:color="000000" w:fill="FFFFFF"/>
            <w:noWrap/>
            <w:hideMark/>
          </w:tcPr>
          <w:p w14:paraId="33439DA5" w14:textId="066D5850" w:rsidR="000267A4" w:rsidRPr="000267A4" w:rsidRDefault="000267A4" w:rsidP="000267A4">
            <w:pPr>
              <w:jc w:val="right"/>
              <w:rPr>
                <w:noProof/>
                <w:sz w:val="20"/>
                <w:szCs w:val="20"/>
              </w:rPr>
            </w:pPr>
            <w:r w:rsidRPr="000267A4">
              <w:rPr>
                <w:noProof/>
                <w:sz w:val="20"/>
                <w:szCs w:val="20"/>
              </w:rPr>
              <w:t>236.5</w:t>
            </w:r>
          </w:p>
        </w:tc>
        <w:tc>
          <w:tcPr>
            <w:tcW w:w="853" w:type="pct"/>
            <w:tcBorders>
              <w:top w:val="nil"/>
              <w:left w:val="nil"/>
              <w:bottom w:val="single" w:sz="4" w:space="0" w:color="auto"/>
              <w:right w:val="single" w:sz="4" w:space="0" w:color="auto"/>
            </w:tcBorders>
            <w:shd w:val="clear" w:color="000000" w:fill="FFFFFF"/>
            <w:noWrap/>
            <w:hideMark/>
          </w:tcPr>
          <w:p w14:paraId="44039570" w14:textId="2BE1A385" w:rsidR="000267A4" w:rsidRPr="000267A4" w:rsidRDefault="000267A4" w:rsidP="000267A4">
            <w:pPr>
              <w:jc w:val="right"/>
              <w:rPr>
                <w:noProof/>
                <w:sz w:val="20"/>
                <w:szCs w:val="20"/>
              </w:rPr>
            </w:pPr>
            <w:r w:rsidRPr="000267A4">
              <w:rPr>
                <w:noProof/>
                <w:sz w:val="20"/>
                <w:szCs w:val="20"/>
              </w:rPr>
              <w:t>35.8</w:t>
            </w:r>
          </w:p>
        </w:tc>
        <w:tc>
          <w:tcPr>
            <w:tcW w:w="853" w:type="pct"/>
            <w:tcBorders>
              <w:top w:val="nil"/>
              <w:left w:val="nil"/>
              <w:bottom w:val="single" w:sz="4" w:space="0" w:color="auto"/>
              <w:right w:val="single" w:sz="4" w:space="0" w:color="auto"/>
            </w:tcBorders>
            <w:shd w:val="clear" w:color="000000" w:fill="FFFFFF"/>
            <w:noWrap/>
            <w:hideMark/>
          </w:tcPr>
          <w:p w14:paraId="5888C300" w14:textId="0A4AF079" w:rsidR="000267A4" w:rsidRPr="000267A4" w:rsidRDefault="000267A4" w:rsidP="000267A4">
            <w:pPr>
              <w:jc w:val="right"/>
              <w:rPr>
                <w:noProof/>
                <w:sz w:val="20"/>
                <w:szCs w:val="20"/>
              </w:rPr>
            </w:pPr>
            <w:r w:rsidRPr="000267A4">
              <w:rPr>
                <w:noProof/>
                <w:sz w:val="20"/>
                <w:szCs w:val="20"/>
              </w:rPr>
              <w:t>60.2</w:t>
            </w:r>
          </w:p>
        </w:tc>
        <w:tc>
          <w:tcPr>
            <w:tcW w:w="853" w:type="pct"/>
            <w:tcBorders>
              <w:top w:val="nil"/>
              <w:left w:val="nil"/>
              <w:bottom w:val="single" w:sz="4" w:space="0" w:color="auto"/>
              <w:right w:val="single" w:sz="4" w:space="0" w:color="auto"/>
            </w:tcBorders>
            <w:shd w:val="clear" w:color="000000" w:fill="FFFFFF"/>
            <w:noWrap/>
            <w:hideMark/>
          </w:tcPr>
          <w:p w14:paraId="11ADC4A0" w14:textId="77F80C8C" w:rsidR="000267A4" w:rsidRPr="000267A4" w:rsidRDefault="000267A4" w:rsidP="000267A4">
            <w:pPr>
              <w:jc w:val="right"/>
              <w:rPr>
                <w:noProof/>
                <w:sz w:val="20"/>
                <w:szCs w:val="20"/>
              </w:rPr>
            </w:pPr>
            <w:r w:rsidRPr="000267A4">
              <w:rPr>
                <w:noProof/>
                <w:sz w:val="20"/>
                <w:szCs w:val="20"/>
              </w:rPr>
              <w:t>41.3</w:t>
            </w:r>
          </w:p>
        </w:tc>
      </w:tr>
      <w:tr w:rsidR="000267A4" w:rsidRPr="005E2C09" w14:paraId="29721B7C"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4EC953D1" w14:textId="77777777" w:rsidR="000267A4" w:rsidRPr="005E2C09" w:rsidRDefault="000267A4" w:rsidP="000267A4">
            <w:pPr>
              <w:rPr>
                <w:noProof/>
                <w:sz w:val="20"/>
                <w:szCs w:val="20"/>
              </w:rPr>
            </w:pPr>
            <w:r w:rsidRPr="005E2C09">
              <w:rPr>
                <w:noProof/>
                <w:sz w:val="20"/>
                <w:szCs w:val="20"/>
              </w:rPr>
              <w:t xml:space="preserve"> Austria </w:t>
            </w:r>
          </w:p>
        </w:tc>
        <w:tc>
          <w:tcPr>
            <w:tcW w:w="853" w:type="pct"/>
            <w:tcBorders>
              <w:top w:val="nil"/>
              <w:left w:val="nil"/>
              <w:bottom w:val="single" w:sz="4" w:space="0" w:color="auto"/>
              <w:right w:val="single" w:sz="4" w:space="0" w:color="auto"/>
            </w:tcBorders>
            <w:shd w:val="clear" w:color="000000" w:fill="FFFFFF"/>
            <w:noWrap/>
            <w:hideMark/>
          </w:tcPr>
          <w:p w14:paraId="1CA15D55" w14:textId="020658B7" w:rsidR="000267A4" w:rsidRPr="000267A4" w:rsidRDefault="000267A4" w:rsidP="000267A4">
            <w:pPr>
              <w:jc w:val="right"/>
              <w:rPr>
                <w:noProof/>
                <w:sz w:val="20"/>
                <w:szCs w:val="20"/>
              </w:rPr>
            </w:pPr>
            <w:r w:rsidRPr="000267A4">
              <w:rPr>
                <w:noProof/>
                <w:sz w:val="20"/>
                <w:szCs w:val="20"/>
              </w:rPr>
              <w:t>177.4</w:t>
            </w:r>
          </w:p>
        </w:tc>
        <w:tc>
          <w:tcPr>
            <w:tcW w:w="853" w:type="pct"/>
            <w:tcBorders>
              <w:top w:val="nil"/>
              <w:left w:val="nil"/>
              <w:bottom w:val="single" w:sz="4" w:space="0" w:color="auto"/>
              <w:right w:val="single" w:sz="4" w:space="0" w:color="auto"/>
            </w:tcBorders>
            <w:shd w:val="clear" w:color="000000" w:fill="FFFFFF"/>
            <w:noWrap/>
            <w:hideMark/>
          </w:tcPr>
          <w:p w14:paraId="758648A3" w14:textId="48860FB7" w:rsidR="000267A4" w:rsidRPr="000267A4" w:rsidRDefault="000267A4" w:rsidP="000267A4">
            <w:pPr>
              <w:jc w:val="right"/>
              <w:rPr>
                <w:noProof/>
                <w:sz w:val="20"/>
                <w:szCs w:val="20"/>
              </w:rPr>
            </w:pPr>
            <w:r w:rsidRPr="000267A4">
              <w:rPr>
                <w:noProof/>
                <w:sz w:val="20"/>
                <w:szCs w:val="20"/>
              </w:rPr>
              <w:t>26.8</w:t>
            </w:r>
          </w:p>
        </w:tc>
        <w:tc>
          <w:tcPr>
            <w:tcW w:w="853" w:type="pct"/>
            <w:tcBorders>
              <w:top w:val="nil"/>
              <w:left w:val="nil"/>
              <w:bottom w:val="single" w:sz="4" w:space="0" w:color="auto"/>
              <w:right w:val="single" w:sz="4" w:space="0" w:color="auto"/>
            </w:tcBorders>
            <w:shd w:val="clear" w:color="000000" w:fill="FFFFFF"/>
            <w:noWrap/>
            <w:hideMark/>
          </w:tcPr>
          <w:p w14:paraId="3B9D8F59" w14:textId="5A15B1E7" w:rsidR="000267A4" w:rsidRPr="000267A4" w:rsidRDefault="000267A4" w:rsidP="000267A4">
            <w:pPr>
              <w:jc w:val="right"/>
              <w:rPr>
                <w:noProof/>
                <w:sz w:val="20"/>
                <w:szCs w:val="20"/>
              </w:rPr>
            </w:pPr>
            <w:r w:rsidRPr="000267A4">
              <w:rPr>
                <w:noProof/>
                <w:sz w:val="20"/>
                <w:szCs w:val="20"/>
              </w:rPr>
              <w:t>45.1</w:t>
            </w:r>
          </w:p>
        </w:tc>
        <w:tc>
          <w:tcPr>
            <w:tcW w:w="853" w:type="pct"/>
            <w:tcBorders>
              <w:top w:val="nil"/>
              <w:left w:val="nil"/>
              <w:bottom w:val="single" w:sz="4" w:space="0" w:color="auto"/>
              <w:right w:val="single" w:sz="4" w:space="0" w:color="auto"/>
            </w:tcBorders>
            <w:shd w:val="clear" w:color="000000" w:fill="FFFFFF"/>
            <w:noWrap/>
            <w:hideMark/>
          </w:tcPr>
          <w:p w14:paraId="2691262C" w14:textId="0D56D445" w:rsidR="000267A4" w:rsidRPr="000267A4" w:rsidRDefault="000267A4" w:rsidP="000267A4">
            <w:pPr>
              <w:jc w:val="right"/>
              <w:rPr>
                <w:noProof/>
                <w:sz w:val="20"/>
                <w:szCs w:val="20"/>
              </w:rPr>
            </w:pPr>
            <w:r w:rsidRPr="000267A4">
              <w:rPr>
                <w:noProof/>
                <w:sz w:val="20"/>
                <w:szCs w:val="20"/>
              </w:rPr>
              <w:t>31.0</w:t>
            </w:r>
          </w:p>
        </w:tc>
      </w:tr>
      <w:tr w:rsidR="000267A4" w:rsidRPr="005E2C09" w14:paraId="2A25A8F1"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995320D" w14:textId="77777777" w:rsidR="000267A4" w:rsidRPr="005E2C09" w:rsidRDefault="000267A4" w:rsidP="000267A4">
            <w:pPr>
              <w:rPr>
                <w:noProof/>
                <w:sz w:val="20"/>
                <w:szCs w:val="20"/>
              </w:rPr>
            </w:pPr>
            <w:r w:rsidRPr="005E2C09">
              <w:rPr>
                <w:noProof/>
                <w:sz w:val="20"/>
                <w:szCs w:val="20"/>
              </w:rPr>
              <w:t xml:space="preserve"> Denmark </w:t>
            </w:r>
          </w:p>
        </w:tc>
        <w:tc>
          <w:tcPr>
            <w:tcW w:w="853" w:type="pct"/>
            <w:tcBorders>
              <w:top w:val="nil"/>
              <w:left w:val="nil"/>
              <w:bottom w:val="single" w:sz="4" w:space="0" w:color="auto"/>
              <w:right w:val="single" w:sz="4" w:space="0" w:color="auto"/>
            </w:tcBorders>
            <w:shd w:val="clear" w:color="000000" w:fill="FFFFFF"/>
            <w:noWrap/>
            <w:hideMark/>
          </w:tcPr>
          <w:p w14:paraId="0BADD393" w14:textId="571A1D60" w:rsidR="000267A4" w:rsidRPr="000267A4" w:rsidRDefault="000267A4" w:rsidP="000267A4">
            <w:pPr>
              <w:jc w:val="right"/>
              <w:rPr>
                <w:noProof/>
                <w:sz w:val="20"/>
                <w:szCs w:val="20"/>
              </w:rPr>
            </w:pPr>
            <w:r w:rsidRPr="000267A4">
              <w:rPr>
                <w:noProof/>
                <w:sz w:val="20"/>
                <w:szCs w:val="20"/>
              </w:rPr>
              <w:t>118.3</w:t>
            </w:r>
          </w:p>
        </w:tc>
        <w:tc>
          <w:tcPr>
            <w:tcW w:w="853" w:type="pct"/>
            <w:tcBorders>
              <w:top w:val="nil"/>
              <w:left w:val="nil"/>
              <w:bottom w:val="single" w:sz="4" w:space="0" w:color="auto"/>
              <w:right w:val="single" w:sz="4" w:space="0" w:color="auto"/>
            </w:tcBorders>
            <w:shd w:val="clear" w:color="000000" w:fill="FFFFFF"/>
            <w:noWrap/>
            <w:hideMark/>
          </w:tcPr>
          <w:p w14:paraId="269A6062" w14:textId="1FE5E290" w:rsidR="000267A4" w:rsidRPr="000267A4" w:rsidRDefault="000267A4" w:rsidP="000267A4">
            <w:pPr>
              <w:jc w:val="right"/>
              <w:rPr>
                <w:noProof/>
                <w:sz w:val="20"/>
                <w:szCs w:val="20"/>
              </w:rPr>
            </w:pPr>
            <w:r w:rsidRPr="000267A4">
              <w:rPr>
                <w:noProof/>
                <w:sz w:val="20"/>
                <w:szCs w:val="20"/>
              </w:rPr>
              <w:t>17.9</w:t>
            </w:r>
          </w:p>
        </w:tc>
        <w:tc>
          <w:tcPr>
            <w:tcW w:w="853" w:type="pct"/>
            <w:tcBorders>
              <w:top w:val="nil"/>
              <w:left w:val="nil"/>
              <w:bottom w:val="single" w:sz="4" w:space="0" w:color="auto"/>
              <w:right w:val="single" w:sz="4" w:space="0" w:color="auto"/>
            </w:tcBorders>
            <w:shd w:val="clear" w:color="000000" w:fill="FFFFFF"/>
            <w:noWrap/>
            <w:hideMark/>
          </w:tcPr>
          <w:p w14:paraId="0B704900" w14:textId="51317D5C" w:rsidR="000267A4" w:rsidRPr="000267A4" w:rsidRDefault="000267A4" w:rsidP="000267A4">
            <w:pPr>
              <w:jc w:val="right"/>
              <w:rPr>
                <w:noProof/>
                <w:sz w:val="20"/>
                <w:szCs w:val="20"/>
              </w:rPr>
            </w:pPr>
            <w:r w:rsidRPr="000267A4">
              <w:rPr>
                <w:noProof/>
                <w:sz w:val="20"/>
                <w:szCs w:val="20"/>
              </w:rPr>
              <w:t>30.1</w:t>
            </w:r>
          </w:p>
        </w:tc>
        <w:tc>
          <w:tcPr>
            <w:tcW w:w="853" w:type="pct"/>
            <w:tcBorders>
              <w:top w:val="nil"/>
              <w:left w:val="nil"/>
              <w:bottom w:val="single" w:sz="4" w:space="0" w:color="auto"/>
              <w:right w:val="single" w:sz="4" w:space="0" w:color="auto"/>
            </w:tcBorders>
            <w:shd w:val="clear" w:color="000000" w:fill="FFFFFF"/>
            <w:noWrap/>
            <w:hideMark/>
          </w:tcPr>
          <w:p w14:paraId="6DAD3DB8" w14:textId="72A32476" w:rsidR="000267A4" w:rsidRPr="000267A4" w:rsidRDefault="000267A4" w:rsidP="000267A4">
            <w:pPr>
              <w:jc w:val="right"/>
              <w:rPr>
                <w:noProof/>
                <w:sz w:val="20"/>
                <w:szCs w:val="20"/>
              </w:rPr>
            </w:pPr>
            <w:r w:rsidRPr="000267A4">
              <w:rPr>
                <w:noProof/>
                <w:sz w:val="20"/>
                <w:szCs w:val="20"/>
              </w:rPr>
              <w:t>20.6</w:t>
            </w:r>
          </w:p>
        </w:tc>
      </w:tr>
      <w:tr w:rsidR="000267A4" w:rsidRPr="005E2C09" w14:paraId="594DBA77"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01CEEB03" w14:textId="77777777" w:rsidR="000267A4" w:rsidRPr="005E2C09" w:rsidRDefault="000267A4" w:rsidP="000267A4">
            <w:pPr>
              <w:rPr>
                <w:noProof/>
                <w:sz w:val="20"/>
                <w:szCs w:val="20"/>
              </w:rPr>
            </w:pPr>
            <w:r w:rsidRPr="005E2C09">
              <w:rPr>
                <w:noProof/>
                <w:sz w:val="20"/>
                <w:szCs w:val="20"/>
              </w:rPr>
              <w:t xml:space="preserve"> Luxembourg </w:t>
            </w:r>
          </w:p>
        </w:tc>
        <w:tc>
          <w:tcPr>
            <w:tcW w:w="853" w:type="pct"/>
            <w:tcBorders>
              <w:top w:val="nil"/>
              <w:left w:val="nil"/>
              <w:bottom w:val="single" w:sz="4" w:space="0" w:color="auto"/>
              <w:right w:val="single" w:sz="4" w:space="0" w:color="auto"/>
            </w:tcBorders>
            <w:shd w:val="clear" w:color="000000" w:fill="FFFFFF"/>
            <w:noWrap/>
            <w:hideMark/>
          </w:tcPr>
          <w:p w14:paraId="7A1A942C" w14:textId="77BAAE3D" w:rsidR="000267A4" w:rsidRPr="000267A4" w:rsidRDefault="000267A4" w:rsidP="000267A4">
            <w:pPr>
              <w:jc w:val="right"/>
              <w:rPr>
                <w:noProof/>
                <w:sz w:val="20"/>
                <w:szCs w:val="20"/>
              </w:rPr>
            </w:pPr>
            <w:r w:rsidRPr="000267A4">
              <w:rPr>
                <w:noProof/>
                <w:sz w:val="20"/>
                <w:szCs w:val="20"/>
              </w:rPr>
              <w:t>78.8</w:t>
            </w:r>
          </w:p>
        </w:tc>
        <w:tc>
          <w:tcPr>
            <w:tcW w:w="853" w:type="pct"/>
            <w:tcBorders>
              <w:top w:val="nil"/>
              <w:left w:val="nil"/>
              <w:bottom w:val="single" w:sz="4" w:space="0" w:color="auto"/>
              <w:right w:val="single" w:sz="4" w:space="0" w:color="auto"/>
            </w:tcBorders>
            <w:shd w:val="clear" w:color="000000" w:fill="FFFFFF"/>
            <w:noWrap/>
            <w:hideMark/>
          </w:tcPr>
          <w:p w14:paraId="68B36421" w14:textId="4FBB3F3D" w:rsidR="000267A4" w:rsidRPr="000267A4" w:rsidRDefault="000267A4" w:rsidP="000267A4">
            <w:pPr>
              <w:jc w:val="right"/>
              <w:rPr>
                <w:noProof/>
                <w:sz w:val="20"/>
                <w:szCs w:val="20"/>
              </w:rPr>
            </w:pPr>
            <w:r w:rsidRPr="000267A4">
              <w:rPr>
                <w:noProof/>
                <w:sz w:val="20"/>
                <w:szCs w:val="20"/>
              </w:rPr>
              <w:t>11.9</w:t>
            </w:r>
          </w:p>
        </w:tc>
        <w:tc>
          <w:tcPr>
            <w:tcW w:w="853" w:type="pct"/>
            <w:tcBorders>
              <w:top w:val="nil"/>
              <w:left w:val="nil"/>
              <w:bottom w:val="single" w:sz="4" w:space="0" w:color="auto"/>
              <w:right w:val="single" w:sz="4" w:space="0" w:color="auto"/>
            </w:tcBorders>
            <w:shd w:val="clear" w:color="000000" w:fill="FFFFFF"/>
            <w:noWrap/>
            <w:hideMark/>
          </w:tcPr>
          <w:p w14:paraId="45153867" w14:textId="5D75E259" w:rsidR="000267A4" w:rsidRPr="000267A4" w:rsidRDefault="000267A4" w:rsidP="000267A4">
            <w:pPr>
              <w:jc w:val="right"/>
              <w:rPr>
                <w:noProof/>
                <w:sz w:val="20"/>
                <w:szCs w:val="20"/>
              </w:rPr>
            </w:pPr>
            <w:r w:rsidRPr="000267A4">
              <w:rPr>
                <w:noProof/>
                <w:sz w:val="20"/>
                <w:szCs w:val="20"/>
              </w:rPr>
              <w:t>20.1</w:t>
            </w:r>
          </w:p>
        </w:tc>
        <w:tc>
          <w:tcPr>
            <w:tcW w:w="853" w:type="pct"/>
            <w:tcBorders>
              <w:top w:val="nil"/>
              <w:left w:val="nil"/>
              <w:bottom w:val="single" w:sz="4" w:space="0" w:color="auto"/>
              <w:right w:val="single" w:sz="4" w:space="0" w:color="auto"/>
            </w:tcBorders>
            <w:shd w:val="clear" w:color="000000" w:fill="FFFFFF"/>
            <w:noWrap/>
            <w:hideMark/>
          </w:tcPr>
          <w:p w14:paraId="5A21AF44" w14:textId="0E794C59" w:rsidR="000267A4" w:rsidRPr="000267A4" w:rsidRDefault="000267A4" w:rsidP="000267A4">
            <w:pPr>
              <w:jc w:val="right"/>
              <w:rPr>
                <w:noProof/>
                <w:sz w:val="20"/>
                <w:szCs w:val="20"/>
              </w:rPr>
            </w:pPr>
            <w:r w:rsidRPr="000267A4">
              <w:rPr>
                <w:noProof/>
                <w:sz w:val="20"/>
                <w:szCs w:val="20"/>
              </w:rPr>
              <w:t>13.8</w:t>
            </w:r>
          </w:p>
        </w:tc>
      </w:tr>
      <w:tr w:rsidR="000267A4" w:rsidRPr="005E2C09" w14:paraId="26E91671"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5F73D40" w14:textId="77777777" w:rsidR="000267A4" w:rsidRPr="005E2C09" w:rsidRDefault="000267A4" w:rsidP="000267A4">
            <w:pPr>
              <w:rPr>
                <w:noProof/>
                <w:sz w:val="20"/>
                <w:szCs w:val="20"/>
              </w:rPr>
            </w:pPr>
            <w:r w:rsidRPr="005E2C09">
              <w:rPr>
                <w:noProof/>
                <w:sz w:val="20"/>
                <w:szCs w:val="20"/>
              </w:rPr>
              <w:t xml:space="preserve"> Finland </w:t>
            </w:r>
          </w:p>
        </w:tc>
        <w:tc>
          <w:tcPr>
            <w:tcW w:w="853" w:type="pct"/>
            <w:tcBorders>
              <w:top w:val="nil"/>
              <w:left w:val="nil"/>
              <w:bottom w:val="single" w:sz="4" w:space="0" w:color="auto"/>
              <w:right w:val="single" w:sz="4" w:space="0" w:color="auto"/>
            </w:tcBorders>
            <w:shd w:val="clear" w:color="000000" w:fill="FFFFFF"/>
            <w:noWrap/>
            <w:hideMark/>
          </w:tcPr>
          <w:p w14:paraId="48F587CE" w14:textId="5E72A7E7" w:rsidR="000267A4" w:rsidRPr="000267A4" w:rsidRDefault="000267A4" w:rsidP="000267A4">
            <w:pPr>
              <w:jc w:val="right"/>
              <w:rPr>
                <w:noProof/>
                <w:sz w:val="20"/>
                <w:szCs w:val="20"/>
              </w:rPr>
            </w:pPr>
            <w:r w:rsidRPr="000267A4">
              <w:rPr>
                <w:noProof/>
                <w:sz w:val="20"/>
                <w:szCs w:val="20"/>
              </w:rPr>
              <w:t>98.5</w:t>
            </w:r>
          </w:p>
        </w:tc>
        <w:tc>
          <w:tcPr>
            <w:tcW w:w="853" w:type="pct"/>
            <w:tcBorders>
              <w:top w:val="nil"/>
              <w:left w:val="nil"/>
              <w:bottom w:val="single" w:sz="4" w:space="0" w:color="auto"/>
              <w:right w:val="single" w:sz="4" w:space="0" w:color="auto"/>
            </w:tcBorders>
            <w:shd w:val="clear" w:color="000000" w:fill="FFFFFF"/>
            <w:noWrap/>
            <w:hideMark/>
          </w:tcPr>
          <w:p w14:paraId="0E67D596" w14:textId="6FA0443F" w:rsidR="000267A4" w:rsidRPr="000267A4" w:rsidRDefault="000267A4" w:rsidP="000267A4">
            <w:pPr>
              <w:jc w:val="right"/>
              <w:rPr>
                <w:noProof/>
                <w:sz w:val="20"/>
                <w:szCs w:val="20"/>
              </w:rPr>
            </w:pPr>
            <w:r w:rsidRPr="000267A4">
              <w:rPr>
                <w:noProof/>
                <w:sz w:val="20"/>
                <w:szCs w:val="20"/>
              </w:rPr>
              <w:t>14.9</w:t>
            </w:r>
          </w:p>
        </w:tc>
        <w:tc>
          <w:tcPr>
            <w:tcW w:w="853" w:type="pct"/>
            <w:tcBorders>
              <w:top w:val="nil"/>
              <w:left w:val="nil"/>
              <w:bottom w:val="single" w:sz="4" w:space="0" w:color="auto"/>
              <w:right w:val="single" w:sz="4" w:space="0" w:color="auto"/>
            </w:tcBorders>
            <w:shd w:val="clear" w:color="000000" w:fill="FFFFFF"/>
            <w:noWrap/>
            <w:hideMark/>
          </w:tcPr>
          <w:p w14:paraId="4079969C" w14:textId="72672456" w:rsidR="000267A4" w:rsidRPr="000267A4" w:rsidRDefault="000267A4" w:rsidP="000267A4">
            <w:pPr>
              <w:jc w:val="right"/>
              <w:rPr>
                <w:noProof/>
                <w:sz w:val="20"/>
                <w:szCs w:val="20"/>
              </w:rPr>
            </w:pPr>
            <w:r w:rsidRPr="000267A4">
              <w:rPr>
                <w:noProof/>
                <w:sz w:val="20"/>
                <w:szCs w:val="20"/>
              </w:rPr>
              <w:t>25.1</w:t>
            </w:r>
          </w:p>
        </w:tc>
        <w:tc>
          <w:tcPr>
            <w:tcW w:w="853" w:type="pct"/>
            <w:tcBorders>
              <w:top w:val="nil"/>
              <w:left w:val="nil"/>
              <w:bottom w:val="single" w:sz="4" w:space="0" w:color="auto"/>
              <w:right w:val="single" w:sz="4" w:space="0" w:color="auto"/>
            </w:tcBorders>
            <w:shd w:val="clear" w:color="000000" w:fill="FFFFFF"/>
            <w:noWrap/>
            <w:hideMark/>
          </w:tcPr>
          <w:p w14:paraId="1393C494" w14:textId="79E9F664" w:rsidR="000267A4" w:rsidRPr="000267A4" w:rsidRDefault="000267A4" w:rsidP="000267A4">
            <w:pPr>
              <w:jc w:val="right"/>
              <w:rPr>
                <w:noProof/>
                <w:sz w:val="20"/>
                <w:szCs w:val="20"/>
              </w:rPr>
            </w:pPr>
            <w:r w:rsidRPr="000267A4">
              <w:rPr>
                <w:noProof/>
                <w:sz w:val="20"/>
                <w:szCs w:val="20"/>
              </w:rPr>
              <w:t>17.2</w:t>
            </w:r>
          </w:p>
        </w:tc>
      </w:tr>
      <w:tr w:rsidR="000267A4" w:rsidRPr="005E2C09" w14:paraId="7C5A7DC5"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570EBB20" w14:textId="77777777" w:rsidR="000267A4" w:rsidRPr="005E2C09" w:rsidRDefault="000267A4" w:rsidP="000267A4">
            <w:pPr>
              <w:rPr>
                <w:noProof/>
                <w:sz w:val="20"/>
                <w:szCs w:val="20"/>
              </w:rPr>
            </w:pPr>
            <w:r w:rsidRPr="005E2C09">
              <w:rPr>
                <w:noProof/>
                <w:sz w:val="20"/>
                <w:szCs w:val="20"/>
              </w:rPr>
              <w:t xml:space="preserve"> Spain </w:t>
            </w:r>
          </w:p>
        </w:tc>
        <w:tc>
          <w:tcPr>
            <w:tcW w:w="853" w:type="pct"/>
            <w:tcBorders>
              <w:top w:val="nil"/>
              <w:left w:val="nil"/>
              <w:bottom w:val="single" w:sz="4" w:space="0" w:color="auto"/>
              <w:right w:val="single" w:sz="4" w:space="0" w:color="auto"/>
            </w:tcBorders>
            <w:shd w:val="clear" w:color="000000" w:fill="FFFFFF"/>
            <w:noWrap/>
            <w:hideMark/>
          </w:tcPr>
          <w:p w14:paraId="6B2D9ECD" w14:textId="1F9E63F9" w:rsidR="000267A4" w:rsidRPr="000267A4" w:rsidRDefault="000267A4" w:rsidP="000267A4">
            <w:pPr>
              <w:jc w:val="right"/>
              <w:rPr>
                <w:noProof/>
                <w:sz w:val="20"/>
                <w:szCs w:val="20"/>
              </w:rPr>
            </w:pPr>
            <w:r w:rsidRPr="000267A4">
              <w:rPr>
                <w:noProof/>
                <w:sz w:val="20"/>
                <w:szCs w:val="20"/>
              </w:rPr>
              <w:t>78.8</w:t>
            </w:r>
          </w:p>
        </w:tc>
        <w:tc>
          <w:tcPr>
            <w:tcW w:w="853" w:type="pct"/>
            <w:tcBorders>
              <w:top w:val="nil"/>
              <w:left w:val="nil"/>
              <w:bottom w:val="single" w:sz="4" w:space="0" w:color="auto"/>
              <w:right w:val="single" w:sz="4" w:space="0" w:color="auto"/>
            </w:tcBorders>
            <w:shd w:val="clear" w:color="000000" w:fill="FFFFFF"/>
            <w:noWrap/>
            <w:hideMark/>
          </w:tcPr>
          <w:p w14:paraId="5032190E" w14:textId="1A6E14DC" w:rsidR="000267A4" w:rsidRPr="000267A4" w:rsidRDefault="000267A4" w:rsidP="000267A4">
            <w:pPr>
              <w:jc w:val="right"/>
              <w:rPr>
                <w:noProof/>
                <w:sz w:val="20"/>
                <w:szCs w:val="20"/>
              </w:rPr>
            </w:pPr>
            <w:r w:rsidRPr="000267A4">
              <w:rPr>
                <w:noProof/>
                <w:sz w:val="20"/>
                <w:szCs w:val="20"/>
              </w:rPr>
              <w:t>11.9</w:t>
            </w:r>
          </w:p>
        </w:tc>
        <w:tc>
          <w:tcPr>
            <w:tcW w:w="853" w:type="pct"/>
            <w:tcBorders>
              <w:top w:val="nil"/>
              <w:left w:val="nil"/>
              <w:bottom w:val="single" w:sz="4" w:space="0" w:color="auto"/>
              <w:right w:val="single" w:sz="4" w:space="0" w:color="auto"/>
            </w:tcBorders>
            <w:shd w:val="clear" w:color="000000" w:fill="FFFFFF"/>
            <w:noWrap/>
            <w:hideMark/>
          </w:tcPr>
          <w:p w14:paraId="2CF80E38" w14:textId="0C2307C1" w:rsidR="000267A4" w:rsidRPr="000267A4" w:rsidRDefault="000267A4" w:rsidP="000267A4">
            <w:pPr>
              <w:jc w:val="right"/>
              <w:rPr>
                <w:noProof/>
                <w:sz w:val="20"/>
                <w:szCs w:val="20"/>
              </w:rPr>
            </w:pPr>
            <w:r w:rsidRPr="000267A4">
              <w:rPr>
                <w:noProof/>
                <w:sz w:val="20"/>
                <w:szCs w:val="20"/>
              </w:rPr>
              <w:t>20.1</w:t>
            </w:r>
          </w:p>
        </w:tc>
        <w:tc>
          <w:tcPr>
            <w:tcW w:w="853" w:type="pct"/>
            <w:tcBorders>
              <w:top w:val="nil"/>
              <w:left w:val="nil"/>
              <w:bottom w:val="single" w:sz="4" w:space="0" w:color="auto"/>
              <w:right w:val="single" w:sz="4" w:space="0" w:color="auto"/>
            </w:tcBorders>
            <w:shd w:val="clear" w:color="000000" w:fill="FFFFFF"/>
            <w:noWrap/>
            <w:hideMark/>
          </w:tcPr>
          <w:p w14:paraId="434655E8" w14:textId="36ED23B2" w:rsidR="000267A4" w:rsidRPr="000267A4" w:rsidRDefault="000267A4" w:rsidP="000267A4">
            <w:pPr>
              <w:jc w:val="right"/>
              <w:rPr>
                <w:noProof/>
                <w:sz w:val="20"/>
                <w:szCs w:val="20"/>
              </w:rPr>
            </w:pPr>
            <w:r w:rsidRPr="000267A4">
              <w:rPr>
                <w:noProof/>
                <w:sz w:val="20"/>
                <w:szCs w:val="20"/>
              </w:rPr>
              <w:t>13.8</w:t>
            </w:r>
          </w:p>
        </w:tc>
      </w:tr>
      <w:tr w:rsidR="000267A4" w:rsidRPr="005E2C09" w14:paraId="4C27D338"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3697DC43" w14:textId="77777777" w:rsidR="000267A4" w:rsidRPr="005E2C09" w:rsidRDefault="000267A4" w:rsidP="000267A4">
            <w:pPr>
              <w:rPr>
                <w:noProof/>
                <w:sz w:val="20"/>
                <w:szCs w:val="20"/>
              </w:rPr>
            </w:pPr>
            <w:r w:rsidRPr="005E2C09">
              <w:rPr>
                <w:noProof/>
                <w:sz w:val="20"/>
                <w:szCs w:val="20"/>
              </w:rPr>
              <w:t xml:space="preserve"> Netherlands </w:t>
            </w:r>
          </w:p>
        </w:tc>
        <w:tc>
          <w:tcPr>
            <w:tcW w:w="853" w:type="pct"/>
            <w:tcBorders>
              <w:top w:val="nil"/>
              <w:left w:val="nil"/>
              <w:bottom w:val="single" w:sz="4" w:space="0" w:color="auto"/>
              <w:right w:val="single" w:sz="4" w:space="0" w:color="auto"/>
            </w:tcBorders>
            <w:shd w:val="clear" w:color="000000" w:fill="FFFFFF"/>
            <w:noWrap/>
            <w:hideMark/>
          </w:tcPr>
          <w:p w14:paraId="7AE9CD2E" w14:textId="427F406D" w:rsidR="000267A4" w:rsidRPr="000267A4" w:rsidRDefault="000267A4" w:rsidP="000267A4">
            <w:pPr>
              <w:jc w:val="right"/>
              <w:rPr>
                <w:noProof/>
                <w:sz w:val="20"/>
                <w:szCs w:val="20"/>
              </w:rPr>
            </w:pPr>
            <w:r w:rsidRPr="000267A4">
              <w:rPr>
                <w:noProof/>
                <w:sz w:val="20"/>
                <w:szCs w:val="20"/>
              </w:rPr>
              <w:t>197.1</w:t>
            </w:r>
          </w:p>
        </w:tc>
        <w:tc>
          <w:tcPr>
            <w:tcW w:w="853" w:type="pct"/>
            <w:tcBorders>
              <w:top w:val="nil"/>
              <w:left w:val="nil"/>
              <w:bottom w:val="single" w:sz="4" w:space="0" w:color="auto"/>
              <w:right w:val="single" w:sz="4" w:space="0" w:color="auto"/>
            </w:tcBorders>
            <w:shd w:val="clear" w:color="000000" w:fill="FFFFFF"/>
            <w:noWrap/>
            <w:hideMark/>
          </w:tcPr>
          <w:p w14:paraId="76714B8E" w14:textId="26D76A7E" w:rsidR="000267A4" w:rsidRPr="000267A4" w:rsidRDefault="000267A4" w:rsidP="000267A4">
            <w:pPr>
              <w:jc w:val="right"/>
              <w:rPr>
                <w:noProof/>
                <w:sz w:val="20"/>
                <w:szCs w:val="20"/>
              </w:rPr>
            </w:pPr>
            <w:r w:rsidRPr="000267A4">
              <w:rPr>
                <w:noProof/>
                <w:sz w:val="20"/>
                <w:szCs w:val="20"/>
              </w:rPr>
              <w:t>29.8</w:t>
            </w:r>
          </w:p>
        </w:tc>
        <w:tc>
          <w:tcPr>
            <w:tcW w:w="853" w:type="pct"/>
            <w:tcBorders>
              <w:top w:val="nil"/>
              <w:left w:val="nil"/>
              <w:bottom w:val="single" w:sz="4" w:space="0" w:color="auto"/>
              <w:right w:val="single" w:sz="4" w:space="0" w:color="auto"/>
            </w:tcBorders>
            <w:shd w:val="clear" w:color="000000" w:fill="FFFFFF"/>
            <w:noWrap/>
            <w:hideMark/>
          </w:tcPr>
          <w:p w14:paraId="736C6B83" w14:textId="311D35E5" w:rsidR="000267A4" w:rsidRPr="000267A4" w:rsidRDefault="000267A4" w:rsidP="000267A4">
            <w:pPr>
              <w:jc w:val="right"/>
              <w:rPr>
                <w:noProof/>
                <w:sz w:val="20"/>
                <w:szCs w:val="20"/>
              </w:rPr>
            </w:pPr>
            <w:r w:rsidRPr="000267A4">
              <w:rPr>
                <w:noProof/>
                <w:sz w:val="20"/>
                <w:szCs w:val="20"/>
              </w:rPr>
              <w:t>50.1</w:t>
            </w:r>
          </w:p>
        </w:tc>
        <w:tc>
          <w:tcPr>
            <w:tcW w:w="853" w:type="pct"/>
            <w:tcBorders>
              <w:top w:val="nil"/>
              <w:left w:val="nil"/>
              <w:bottom w:val="single" w:sz="4" w:space="0" w:color="auto"/>
              <w:right w:val="single" w:sz="4" w:space="0" w:color="auto"/>
            </w:tcBorders>
            <w:shd w:val="clear" w:color="000000" w:fill="FFFFFF"/>
            <w:noWrap/>
            <w:hideMark/>
          </w:tcPr>
          <w:p w14:paraId="21657435" w14:textId="48A96F07" w:rsidR="000267A4" w:rsidRPr="000267A4" w:rsidRDefault="000267A4" w:rsidP="000267A4">
            <w:pPr>
              <w:jc w:val="right"/>
              <w:rPr>
                <w:noProof/>
                <w:sz w:val="20"/>
                <w:szCs w:val="20"/>
              </w:rPr>
            </w:pPr>
            <w:r w:rsidRPr="000267A4">
              <w:rPr>
                <w:noProof/>
                <w:sz w:val="20"/>
                <w:szCs w:val="20"/>
              </w:rPr>
              <w:t>34.4</w:t>
            </w:r>
          </w:p>
        </w:tc>
      </w:tr>
      <w:tr w:rsidR="000267A4" w:rsidRPr="005E2C09" w14:paraId="0B508815"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2EDEED80" w14:textId="77777777" w:rsidR="000267A4" w:rsidRPr="005E2C09" w:rsidRDefault="000267A4" w:rsidP="000267A4">
            <w:pPr>
              <w:rPr>
                <w:noProof/>
                <w:sz w:val="20"/>
                <w:szCs w:val="20"/>
              </w:rPr>
            </w:pPr>
            <w:r w:rsidRPr="005E2C09">
              <w:rPr>
                <w:noProof/>
                <w:sz w:val="20"/>
                <w:szCs w:val="20"/>
              </w:rPr>
              <w:t xml:space="preserve"> France </w:t>
            </w:r>
          </w:p>
        </w:tc>
        <w:tc>
          <w:tcPr>
            <w:tcW w:w="853" w:type="pct"/>
            <w:tcBorders>
              <w:top w:val="nil"/>
              <w:left w:val="nil"/>
              <w:bottom w:val="single" w:sz="4" w:space="0" w:color="auto"/>
              <w:right w:val="single" w:sz="4" w:space="0" w:color="auto"/>
            </w:tcBorders>
            <w:shd w:val="clear" w:color="000000" w:fill="FFFFFF"/>
            <w:noWrap/>
            <w:hideMark/>
          </w:tcPr>
          <w:p w14:paraId="394A1F64" w14:textId="27153B68" w:rsidR="000267A4" w:rsidRPr="000267A4" w:rsidRDefault="000267A4" w:rsidP="000267A4">
            <w:pPr>
              <w:jc w:val="right"/>
              <w:rPr>
                <w:noProof/>
                <w:sz w:val="20"/>
                <w:szCs w:val="20"/>
              </w:rPr>
            </w:pPr>
            <w:r w:rsidRPr="000267A4">
              <w:rPr>
                <w:noProof/>
                <w:sz w:val="20"/>
                <w:szCs w:val="20"/>
              </w:rPr>
              <w:t>256.2</w:t>
            </w:r>
          </w:p>
        </w:tc>
        <w:tc>
          <w:tcPr>
            <w:tcW w:w="853" w:type="pct"/>
            <w:tcBorders>
              <w:top w:val="nil"/>
              <w:left w:val="nil"/>
              <w:bottom w:val="single" w:sz="4" w:space="0" w:color="auto"/>
              <w:right w:val="single" w:sz="4" w:space="0" w:color="auto"/>
            </w:tcBorders>
            <w:shd w:val="clear" w:color="000000" w:fill="FFFFFF"/>
            <w:noWrap/>
            <w:hideMark/>
          </w:tcPr>
          <w:p w14:paraId="6BA31BA3" w14:textId="7494D2C7" w:rsidR="000267A4" w:rsidRPr="000267A4" w:rsidRDefault="000267A4" w:rsidP="000267A4">
            <w:pPr>
              <w:jc w:val="right"/>
              <w:rPr>
                <w:noProof/>
                <w:sz w:val="20"/>
                <w:szCs w:val="20"/>
              </w:rPr>
            </w:pPr>
            <w:r w:rsidRPr="000267A4">
              <w:rPr>
                <w:noProof/>
                <w:sz w:val="20"/>
                <w:szCs w:val="20"/>
              </w:rPr>
              <w:t>38.8</w:t>
            </w:r>
          </w:p>
        </w:tc>
        <w:tc>
          <w:tcPr>
            <w:tcW w:w="853" w:type="pct"/>
            <w:tcBorders>
              <w:top w:val="nil"/>
              <w:left w:val="nil"/>
              <w:bottom w:val="single" w:sz="4" w:space="0" w:color="auto"/>
              <w:right w:val="single" w:sz="4" w:space="0" w:color="auto"/>
            </w:tcBorders>
            <w:shd w:val="clear" w:color="000000" w:fill="FFFFFF"/>
            <w:noWrap/>
            <w:hideMark/>
          </w:tcPr>
          <w:p w14:paraId="6B683406" w14:textId="0C671FDF" w:rsidR="000267A4" w:rsidRPr="000267A4" w:rsidRDefault="000267A4" w:rsidP="000267A4">
            <w:pPr>
              <w:jc w:val="right"/>
              <w:rPr>
                <w:noProof/>
                <w:sz w:val="20"/>
                <w:szCs w:val="20"/>
              </w:rPr>
            </w:pPr>
            <w:r w:rsidRPr="000267A4">
              <w:rPr>
                <w:noProof/>
                <w:sz w:val="20"/>
                <w:szCs w:val="20"/>
              </w:rPr>
              <w:t>65.2</w:t>
            </w:r>
          </w:p>
        </w:tc>
        <w:tc>
          <w:tcPr>
            <w:tcW w:w="853" w:type="pct"/>
            <w:tcBorders>
              <w:top w:val="nil"/>
              <w:left w:val="nil"/>
              <w:bottom w:val="single" w:sz="4" w:space="0" w:color="auto"/>
              <w:right w:val="single" w:sz="4" w:space="0" w:color="auto"/>
            </w:tcBorders>
            <w:shd w:val="clear" w:color="000000" w:fill="FFFFFF"/>
            <w:noWrap/>
            <w:hideMark/>
          </w:tcPr>
          <w:p w14:paraId="17A0B51B" w14:textId="6B3E5FFD" w:rsidR="000267A4" w:rsidRPr="000267A4" w:rsidRDefault="000267A4" w:rsidP="000267A4">
            <w:pPr>
              <w:jc w:val="right"/>
              <w:rPr>
                <w:noProof/>
                <w:sz w:val="20"/>
                <w:szCs w:val="20"/>
              </w:rPr>
            </w:pPr>
            <w:r w:rsidRPr="000267A4">
              <w:rPr>
                <w:noProof/>
                <w:sz w:val="20"/>
                <w:szCs w:val="20"/>
              </w:rPr>
              <w:t>44.7</w:t>
            </w:r>
          </w:p>
        </w:tc>
      </w:tr>
      <w:tr w:rsidR="000267A4" w:rsidRPr="005E2C09" w14:paraId="0148CF63"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2B8134BE" w14:textId="77777777" w:rsidR="000267A4" w:rsidRPr="005E2C09" w:rsidRDefault="000267A4" w:rsidP="000267A4">
            <w:pPr>
              <w:rPr>
                <w:noProof/>
                <w:sz w:val="20"/>
                <w:szCs w:val="20"/>
              </w:rPr>
            </w:pPr>
            <w:r w:rsidRPr="005E2C09">
              <w:rPr>
                <w:noProof/>
                <w:sz w:val="20"/>
                <w:szCs w:val="20"/>
              </w:rPr>
              <w:t xml:space="preserve"> Poland </w:t>
            </w:r>
          </w:p>
        </w:tc>
        <w:tc>
          <w:tcPr>
            <w:tcW w:w="853" w:type="pct"/>
            <w:tcBorders>
              <w:top w:val="nil"/>
              <w:left w:val="nil"/>
              <w:bottom w:val="single" w:sz="4" w:space="0" w:color="auto"/>
              <w:right w:val="single" w:sz="4" w:space="0" w:color="auto"/>
            </w:tcBorders>
            <w:shd w:val="clear" w:color="000000" w:fill="FFFFFF"/>
            <w:noWrap/>
            <w:hideMark/>
          </w:tcPr>
          <w:p w14:paraId="16D12FD2" w14:textId="52F54CAB" w:rsidR="000267A4" w:rsidRPr="000267A4" w:rsidRDefault="000267A4" w:rsidP="000267A4">
            <w:pPr>
              <w:jc w:val="right"/>
              <w:rPr>
                <w:noProof/>
                <w:sz w:val="20"/>
                <w:szCs w:val="20"/>
              </w:rPr>
            </w:pPr>
            <w:r w:rsidRPr="000267A4">
              <w:rPr>
                <w:noProof/>
                <w:sz w:val="20"/>
                <w:szCs w:val="20"/>
              </w:rPr>
              <w:t>138.0</w:t>
            </w:r>
          </w:p>
        </w:tc>
        <w:tc>
          <w:tcPr>
            <w:tcW w:w="853" w:type="pct"/>
            <w:tcBorders>
              <w:top w:val="nil"/>
              <w:left w:val="nil"/>
              <w:bottom w:val="single" w:sz="4" w:space="0" w:color="auto"/>
              <w:right w:val="single" w:sz="4" w:space="0" w:color="auto"/>
            </w:tcBorders>
            <w:shd w:val="clear" w:color="000000" w:fill="FFFFFF"/>
            <w:noWrap/>
            <w:hideMark/>
          </w:tcPr>
          <w:p w14:paraId="72245A1C" w14:textId="278B1B5B" w:rsidR="000267A4" w:rsidRPr="000267A4" w:rsidRDefault="000267A4" w:rsidP="000267A4">
            <w:pPr>
              <w:jc w:val="right"/>
              <w:rPr>
                <w:noProof/>
                <w:sz w:val="20"/>
                <w:szCs w:val="20"/>
              </w:rPr>
            </w:pPr>
            <w:r w:rsidRPr="000267A4">
              <w:rPr>
                <w:noProof/>
                <w:sz w:val="20"/>
                <w:szCs w:val="20"/>
              </w:rPr>
              <w:t>20.9</w:t>
            </w:r>
          </w:p>
        </w:tc>
        <w:tc>
          <w:tcPr>
            <w:tcW w:w="853" w:type="pct"/>
            <w:tcBorders>
              <w:top w:val="nil"/>
              <w:left w:val="nil"/>
              <w:bottom w:val="single" w:sz="4" w:space="0" w:color="auto"/>
              <w:right w:val="single" w:sz="4" w:space="0" w:color="auto"/>
            </w:tcBorders>
            <w:shd w:val="clear" w:color="000000" w:fill="FFFFFF"/>
            <w:noWrap/>
            <w:hideMark/>
          </w:tcPr>
          <w:p w14:paraId="77A1E7AB" w14:textId="1EA546BB" w:rsidR="000267A4" w:rsidRPr="000267A4" w:rsidRDefault="000267A4" w:rsidP="000267A4">
            <w:pPr>
              <w:jc w:val="right"/>
              <w:rPr>
                <w:noProof/>
                <w:sz w:val="20"/>
                <w:szCs w:val="20"/>
              </w:rPr>
            </w:pPr>
            <w:r w:rsidRPr="000267A4">
              <w:rPr>
                <w:noProof/>
                <w:sz w:val="20"/>
                <w:szCs w:val="20"/>
              </w:rPr>
              <w:t>35.1</w:t>
            </w:r>
          </w:p>
        </w:tc>
        <w:tc>
          <w:tcPr>
            <w:tcW w:w="853" w:type="pct"/>
            <w:tcBorders>
              <w:top w:val="nil"/>
              <w:left w:val="nil"/>
              <w:bottom w:val="single" w:sz="4" w:space="0" w:color="auto"/>
              <w:right w:val="single" w:sz="4" w:space="0" w:color="auto"/>
            </w:tcBorders>
            <w:shd w:val="clear" w:color="000000" w:fill="FFFFFF"/>
            <w:noWrap/>
            <w:hideMark/>
          </w:tcPr>
          <w:p w14:paraId="194182EF" w14:textId="45973126" w:rsidR="000267A4" w:rsidRPr="000267A4" w:rsidRDefault="000267A4" w:rsidP="000267A4">
            <w:pPr>
              <w:jc w:val="right"/>
              <w:rPr>
                <w:noProof/>
                <w:sz w:val="20"/>
                <w:szCs w:val="20"/>
              </w:rPr>
            </w:pPr>
            <w:r w:rsidRPr="000267A4">
              <w:rPr>
                <w:noProof/>
                <w:sz w:val="20"/>
                <w:szCs w:val="20"/>
              </w:rPr>
              <w:t>24.1</w:t>
            </w:r>
          </w:p>
        </w:tc>
      </w:tr>
      <w:tr w:rsidR="000267A4" w:rsidRPr="005E2C09" w14:paraId="37A44002"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6148C428" w14:textId="77777777" w:rsidR="000267A4" w:rsidRPr="005E2C09" w:rsidRDefault="000267A4" w:rsidP="000267A4">
            <w:pPr>
              <w:rPr>
                <w:noProof/>
                <w:sz w:val="20"/>
                <w:szCs w:val="20"/>
              </w:rPr>
            </w:pPr>
            <w:r w:rsidRPr="005E2C09">
              <w:rPr>
                <w:noProof/>
                <w:sz w:val="20"/>
                <w:szCs w:val="20"/>
              </w:rPr>
              <w:t xml:space="preserve"> Italy </w:t>
            </w:r>
          </w:p>
        </w:tc>
        <w:tc>
          <w:tcPr>
            <w:tcW w:w="853" w:type="pct"/>
            <w:tcBorders>
              <w:top w:val="nil"/>
              <w:left w:val="nil"/>
              <w:bottom w:val="single" w:sz="4" w:space="0" w:color="auto"/>
              <w:right w:val="single" w:sz="4" w:space="0" w:color="auto"/>
            </w:tcBorders>
            <w:shd w:val="clear" w:color="000000" w:fill="FFFFFF"/>
            <w:noWrap/>
            <w:hideMark/>
          </w:tcPr>
          <w:p w14:paraId="3F9A1F67" w14:textId="54456801" w:rsidR="000267A4" w:rsidRPr="000267A4" w:rsidRDefault="000267A4" w:rsidP="000267A4">
            <w:pPr>
              <w:jc w:val="right"/>
              <w:rPr>
                <w:noProof/>
                <w:sz w:val="20"/>
                <w:szCs w:val="20"/>
              </w:rPr>
            </w:pPr>
            <w:r w:rsidRPr="000267A4">
              <w:rPr>
                <w:noProof/>
                <w:sz w:val="20"/>
                <w:szCs w:val="20"/>
              </w:rPr>
              <w:t>118.3</w:t>
            </w:r>
          </w:p>
        </w:tc>
        <w:tc>
          <w:tcPr>
            <w:tcW w:w="853" w:type="pct"/>
            <w:tcBorders>
              <w:top w:val="nil"/>
              <w:left w:val="nil"/>
              <w:bottom w:val="single" w:sz="4" w:space="0" w:color="auto"/>
              <w:right w:val="single" w:sz="4" w:space="0" w:color="auto"/>
            </w:tcBorders>
            <w:shd w:val="clear" w:color="000000" w:fill="FFFFFF"/>
            <w:noWrap/>
            <w:hideMark/>
          </w:tcPr>
          <w:p w14:paraId="16B394CD" w14:textId="05B3C91B" w:rsidR="000267A4" w:rsidRPr="000267A4" w:rsidRDefault="000267A4" w:rsidP="000267A4">
            <w:pPr>
              <w:jc w:val="right"/>
              <w:rPr>
                <w:noProof/>
                <w:sz w:val="20"/>
                <w:szCs w:val="20"/>
              </w:rPr>
            </w:pPr>
            <w:r w:rsidRPr="000267A4">
              <w:rPr>
                <w:noProof/>
                <w:sz w:val="20"/>
                <w:szCs w:val="20"/>
              </w:rPr>
              <w:t>17.9</w:t>
            </w:r>
          </w:p>
        </w:tc>
        <w:tc>
          <w:tcPr>
            <w:tcW w:w="853" w:type="pct"/>
            <w:tcBorders>
              <w:top w:val="nil"/>
              <w:left w:val="nil"/>
              <w:bottom w:val="single" w:sz="4" w:space="0" w:color="auto"/>
              <w:right w:val="single" w:sz="4" w:space="0" w:color="auto"/>
            </w:tcBorders>
            <w:shd w:val="clear" w:color="000000" w:fill="FFFFFF"/>
            <w:noWrap/>
            <w:hideMark/>
          </w:tcPr>
          <w:p w14:paraId="026042E9" w14:textId="5D36C302" w:rsidR="000267A4" w:rsidRPr="000267A4" w:rsidRDefault="000267A4" w:rsidP="000267A4">
            <w:pPr>
              <w:jc w:val="right"/>
              <w:rPr>
                <w:noProof/>
                <w:sz w:val="20"/>
                <w:szCs w:val="20"/>
              </w:rPr>
            </w:pPr>
            <w:r w:rsidRPr="000267A4">
              <w:rPr>
                <w:noProof/>
                <w:sz w:val="20"/>
                <w:szCs w:val="20"/>
              </w:rPr>
              <w:t>30.1</w:t>
            </w:r>
          </w:p>
        </w:tc>
        <w:tc>
          <w:tcPr>
            <w:tcW w:w="853" w:type="pct"/>
            <w:tcBorders>
              <w:top w:val="nil"/>
              <w:left w:val="nil"/>
              <w:bottom w:val="single" w:sz="4" w:space="0" w:color="auto"/>
              <w:right w:val="single" w:sz="4" w:space="0" w:color="auto"/>
            </w:tcBorders>
            <w:shd w:val="clear" w:color="000000" w:fill="FFFFFF"/>
            <w:noWrap/>
            <w:hideMark/>
          </w:tcPr>
          <w:p w14:paraId="41F38E3B" w14:textId="18E41865" w:rsidR="000267A4" w:rsidRPr="000267A4" w:rsidRDefault="000267A4" w:rsidP="000267A4">
            <w:pPr>
              <w:jc w:val="right"/>
              <w:rPr>
                <w:noProof/>
                <w:sz w:val="20"/>
                <w:szCs w:val="20"/>
              </w:rPr>
            </w:pPr>
            <w:r w:rsidRPr="000267A4">
              <w:rPr>
                <w:noProof/>
                <w:sz w:val="20"/>
                <w:szCs w:val="20"/>
              </w:rPr>
              <w:t>20.6</w:t>
            </w:r>
          </w:p>
        </w:tc>
      </w:tr>
      <w:tr w:rsidR="000267A4" w:rsidRPr="005E2C09" w14:paraId="13EA4B61"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33385DA6" w14:textId="77777777" w:rsidR="000267A4" w:rsidRPr="005E2C09" w:rsidRDefault="000267A4" w:rsidP="000267A4">
            <w:pPr>
              <w:rPr>
                <w:noProof/>
                <w:sz w:val="20"/>
                <w:szCs w:val="20"/>
              </w:rPr>
            </w:pPr>
            <w:r w:rsidRPr="005E2C09">
              <w:rPr>
                <w:noProof/>
                <w:sz w:val="20"/>
                <w:szCs w:val="20"/>
              </w:rPr>
              <w:t xml:space="preserve"> Belgium </w:t>
            </w:r>
          </w:p>
        </w:tc>
        <w:tc>
          <w:tcPr>
            <w:tcW w:w="853" w:type="pct"/>
            <w:tcBorders>
              <w:top w:val="nil"/>
              <w:left w:val="nil"/>
              <w:bottom w:val="single" w:sz="4" w:space="0" w:color="auto"/>
              <w:right w:val="single" w:sz="4" w:space="0" w:color="auto"/>
            </w:tcBorders>
            <w:shd w:val="clear" w:color="000000" w:fill="FFFFFF"/>
            <w:noWrap/>
            <w:hideMark/>
          </w:tcPr>
          <w:p w14:paraId="146D89BE" w14:textId="0188870E" w:rsidR="000267A4" w:rsidRPr="000267A4" w:rsidRDefault="000267A4" w:rsidP="000267A4">
            <w:pPr>
              <w:jc w:val="right"/>
              <w:rPr>
                <w:noProof/>
                <w:sz w:val="20"/>
                <w:szCs w:val="20"/>
              </w:rPr>
            </w:pPr>
            <w:r w:rsidRPr="000267A4">
              <w:rPr>
                <w:noProof/>
                <w:sz w:val="20"/>
                <w:szCs w:val="20"/>
              </w:rPr>
              <w:t>118.3</w:t>
            </w:r>
          </w:p>
        </w:tc>
        <w:tc>
          <w:tcPr>
            <w:tcW w:w="853" w:type="pct"/>
            <w:tcBorders>
              <w:top w:val="nil"/>
              <w:left w:val="nil"/>
              <w:bottom w:val="single" w:sz="4" w:space="0" w:color="auto"/>
              <w:right w:val="single" w:sz="4" w:space="0" w:color="auto"/>
            </w:tcBorders>
            <w:shd w:val="clear" w:color="000000" w:fill="FFFFFF"/>
            <w:noWrap/>
            <w:hideMark/>
          </w:tcPr>
          <w:p w14:paraId="4949E8BB" w14:textId="6DB1C594" w:rsidR="000267A4" w:rsidRPr="000267A4" w:rsidRDefault="000267A4" w:rsidP="000267A4">
            <w:pPr>
              <w:jc w:val="right"/>
              <w:rPr>
                <w:noProof/>
                <w:sz w:val="20"/>
                <w:szCs w:val="20"/>
              </w:rPr>
            </w:pPr>
            <w:r w:rsidRPr="000267A4">
              <w:rPr>
                <w:noProof/>
                <w:sz w:val="20"/>
                <w:szCs w:val="20"/>
              </w:rPr>
              <w:t>17.9</w:t>
            </w:r>
          </w:p>
        </w:tc>
        <w:tc>
          <w:tcPr>
            <w:tcW w:w="853" w:type="pct"/>
            <w:tcBorders>
              <w:top w:val="nil"/>
              <w:left w:val="nil"/>
              <w:bottom w:val="single" w:sz="4" w:space="0" w:color="auto"/>
              <w:right w:val="single" w:sz="4" w:space="0" w:color="auto"/>
            </w:tcBorders>
            <w:shd w:val="clear" w:color="000000" w:fill="FFFFFF"/>
            <w:noWrap/>
            <w:hideMark/>
          </w:tcPr>
          <w:p w14:paraId="33723C4E" w14:textId="57F5A006" w:rsidR="000267A4" w:rsidRPr="000267A4" w:rsidRDefault="000267A4" w:rsidP="000267A4">
            <w:pPr>
              <w:jc w:val="right"/>
              <w:rPr>
                <w:noProof/>
                <w:sz w:val="20"/>
                <w:szCs w:val="20"/>
              </w:rPr>
            </w:pPr>
            <w:r w:rsidRPr="000267A4">
              <w:rPr>
                <w:noProof/>
                <w:sz w:val="20"/>
                <w:szCs w:val="20"/>
              </w:rPr>
              <w:t>30.1</w:t>
            </w:r>
          </w:p>
        </w:tc>
        <w:tc>
          <w:tcPr>
            <w:tcW w:w="853" w:type="pct"/>
            <w:tcBorders>
              <w:top w:val="nil"/>
              <w:left w:val="nil"/>
              <w:bottom w:val="single" w:sz="4" w:space="0" w:color="auto"/>
              <w:right w:val="single" w:sz="4" w:space="0" w:color="auto"/>
            </w:tcBorders>
            <w:shd w:val="clear" w:color="000000" w:fill="FFFFFF"/>
            <w:noWrap/>
            <w:hideMark/>
          </w:tcPr>
          <w:p w14:paraId="4080452B" w14:textId="0508E2B8" w:rsidR="000267A4" w:rsidRPr="000267A4" w:rsidRDefault="000267A4" w:rsidP="000267A4">
            <w:pPr>
              <w:jc w:val="right"/>
              <w:rPr>
                <w:noProof/>
                <w:sz w:val="20"/>
                <w:szCs w:val="20"/>
              </w:rPr>
            </w:pPr>
            <w:r w:rsidRPr="000267A4">
              <w:rPr>
                <w:noProof/>
                <w:sz w:val="20"/>
                <w:szCs w:val="20"/>
              </w:rPr>
              <w:t>20.6</w:t>
            </w:r>
          </w:p>
        </w:tc>
      </w:tr>
      <w:tr w:rsidR="000267A4" w:rsidRPr="005E2C09" w14:paraId="7BA8CC8D"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E5A8A07" w14:textId="77777777" w:rsidR="000267A4" w:rsidRPr="005E2C09" w:rsidRDefault="000267A4" w:rsidP="000267A4">
            <w:pPr>
              <w:rPr>
                <w:noProof/>
                <w:sz w:val="20"/>
                <w:szCs w:val="20"/>
              </w:rPr>
            </w:pPr>
            <w:r w:rsidRPr="005E2C09">
              <w:rPr>
                <w:noProof/>
                <w:sz w:val="20"/>
                <w:szCs w:val="20"/>
              </w:rPr>
              <w:t xml:space="preserve"> Portugal </w:t>
            </w:r>
          </w:p>
        </w:tc>
        <w:tc>
          <w:tcPr>
            <w:tcW w:w="853" w:type="pct"/>
            <w:tcBorders>
              <w:top w:val="nil"/>
              <w:left w:val="nil"/>
              <w:bottom w:val="single" w:sz="4" w:space="0" w:color="auto"/>
              <w:right w:val="single" w:sz="4" w:space="0" w:color="auto"/>
            </w:tcBorders>
            <w:shd w:val="clear" w:color="000000" w:fill="FFFFFF"/>
            <w:noWrap/>
            <w:hideMark/>
          </w:tcPr>
          <w:p w14:paraId="126DF474" w14:textId="40EE6CD5" w:rsidR="000267A4" w:rsidRPr="000267A4" w:rsidRDefault="000267A4" w:rsidP="000267A4">
            <w:pPr>
              <w:jc w:val="right"/>
              <w:rPr>
                <w:noProof/>
                <w:sz w:val="20"/>
                <w:szCs w:val="20"/>
              </w:rPr>
            </w:pPr>
            <w:r w:rsidRPr="000267A4">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1F47CBAD" w14:textId="15D205DE" w:rsidR="000267A4" w:rsidRPr="000267A4" w:rsidRDefault="000267A4" w:rsidP="000267A4">
            <w:pPr>
              <w:jc w:val="right"/>
              <w:rPr>
                <w:noProof/>
                <w:sz w:val="20"/>
                <w:szCs w:val="20"/>
              </w:rPr>
            </w:pPr>
            <w:r w:rsidRPr="000267A4">
              <w:rPr>
                <w:noProof/>
                <w:sz w:val="20"/>
                <w:szCs w:val="20"/>
              </w:rPr>
              <w:t>6.0</w:t>
            </w:r>
          </w:p>
        </w:tc>
        <w:tc>
          <w:tcPr>
            <w:tcW w:w="853" w:type="pct"/>
            <w:tcBorders>
              <w:top w:val="nil"/>
              <w:left w:val="nil"/>
              <w:bottom w:val="single" w:sz="4" w:space="0" w:color="auto"/>
              <w:right w:val="single" w:sz="4" w:space="0" w:color="auto"/>
            </w:tcBorders>
            <w:shd w:val="clear" w:color="000000" w:fill="FFFFFF"/>
            <w:noWrap/>
            <w:hideMark/>
          </w:tcPr>
          <w:p w14:paraId="205D74E8" w14:textId="3537CB00" w:rsidR="000267A4" w:rsidRPr="000267A4" w:rsidRDefault="000267A4" w:rsidP="000267A4">
            <w:pPr>
              <w:jc w:val="right"/>
              <w:rPr>
                <w:noProof/>
                <w:sz w:val="20"/>
                <w:szCs w:val="20"/>
              </w:rPr>
            </w:pPr>
            <w:r w:rsidRPr="000267A4">
              <w:rPr>
                <w:noProof/>
                <w:sz w:val="20"/>
                <w:szCs w:val="20"/>
              </w:rPr>
              <w:t>10.0</w:t>
            </w:r>
          </w:p>
        </w:tc>
        <w:tc>
          <w:tcPr>
            <w:tcW w:w="853" w:type="pct"/>
            <w:tcBorders>
              <w:top w:val="nil"/>
              <w:left w:val="nil"/>
              <w:bottom w:val="single" w:sz="4" w:space="0" w:color="auto"/>
              <w:right w:val="single" w:sz="4" w:space="0" w:color="auto"/>
            </w:tcBorders>
            <w:shd w:val="clear" w:color="000000" w:fill="FFFFFF"/>
            <w:noWrap/>
            <w:hideMark/>
          </w:tcPr>
          <w:p w14:paraId="3C5A9F94" w14:textId="38737F11" w:rsidR="000267A4" w:rsidRPr="000267A4" w:rsidRDefault="000267A4" w:rsidP="000267A4">
            <w:pPr>
              <w:jc w:val="right"/>
              <w:rPr>
                <w:noProof/>
                <w:sz w:val="20"/>
                <w:szCs w:val="20"/>
              </w:rPr>
            </w:pPr>
            <w:r w:rsidRPr="000267A4">
              <w:rPr>
                <w:noProof/>
                <w:sz w:val="20"/>
                <w:szCs w:val="20"/>
              </w:rPr>
              <w:t>6.9</w:t>
            </w:r>
          </w:p>
        </w:tc>
      </w:tr>
      <w:tr w:rsidR="000267A4" w:rsidRPr="005E2C09" w14:paraId="071C192F"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5BC2A9F" w14:textId="77777777" w:rsidR="000267A4" w:rsidRPr="005E2C09" w:rsidRDefault="000267A4" w:rsidP="000267A4">
            <w:pPr>
              <w:rPr>
                <w:noProof/>
                <w:sz w:val="20"/>
                <w:szCs w:val="20"/>
              </w:rPr>
            </w:pPr>
            <w:r w:rsidRPr="005E2C09">
              <w:rPr>
                <w:noProof/>
                <w:sz w:val="20"/>
                <w:szCs w:val="20"/>
              </w:rPr>
              <w:t xml:space="preserve"> Malta </w:t>
            </w:r>
          </w:p>
        </w:tc>
        <w:tc>
          <w:tcPr>
            <w:tcW w:w="853" w:type="pct"/>
            <w:tcBorders>
              <w:top w:val="nil"/>
              <w:left w:val="nil"/>
              <w:bottom w:val="single" w:sz="4" w:space="0" w:color="auto"/>
              <w:right w:val="single" w:sz="4" w:space="0" w:color="auto"/>
            </w:tcBorders>
            <w:shd w:val="clear" w:color="000000" w:fill="FFFFFF"/>
            <w:noWrap/>
            <w:hideMark/>
          </w:tcPr>
          <w:p w14:paraId="6EBBD0BA" w14:textId="41DE6E44" w:rsidR="000267A4" w:rsidRPr="000267A4" w:rsidRDefault="000267A4" w:rsidP="000267A4">
            <w:pPr>
              <w:jc w:val="right"/>
              <w:rPr>
                <w:noProof/>
                <w:sz w:val="20"/>
                <w:szCs w:val="20"/>
              </w:rPr>
            </w:pPr>
            <w:r w:rsidRPr="000267A4">
              <w:rPr>
                <w:noProof/>
                <w:sz w:val="20"/>
                <w:szCs w:val="20"/>
              </w:rPr>
              <w:t>19.7</w:t>
            </w:r>
          </w:p>
        </w:tc>
        <w:tc>
          <w:tcPr>
            <w:tcW w:w="853" w:type="pct"/>
            <w:tcBorders>
              <w:top w:val="nil"/>
              <w:left w:val="nil"/>
              <w:bottom w:val="single" w:sz="4" w:space="0" w:color="auto"/>
              <w:right w:val="single" w:sz="4" w:space="0" w:color="auto"/>
            </w:tcBorders>
            <w:shd w:val="clear" w:color="000000" w:fill="FFFFFF"/>
            <w:noWrap/>
            <w:hideMark/>
          </w:tcPr>
          <w:p w14:paraId="36436DE6" w14:textId="0D38FE4C" w:rsidR="000267A4" w:rsidRPr="000267A4" w:rsidRDefault="000267A4" w:rsidP="000267A4">
            <w:pPr>
              <w:jc w:val="right"/>
              <w:rPr>
                <w:noProof/>
                <w:sz w:val="20"/>
                <w:szCs w:val="20"/>
              </w:rPr>
            </w:pPr>
            <w:r w:rsidRPr="000267A4">
              <w:rPr>
                <w:noProof/>
                <w:sz w:val="20"/>
                <w:szCs w:val="20"/>
              </w:rPr>
              <w:t>3.0</w:t>
            </w:r>
          </w:p>
        </w:tc>
        <w:tc>
          <w:tcPr>
            <w:tcW w:w="853" w:type="pct"/>
            <w:tcBorders>
              <w:top w:val="nil"/>
              <w:left w:val="nil"/>
              <w:bottom w:val="single" w:sz="4" w:space="0" w:color="auto"/>
              <w:right w:val="single" w:sz="4" w:space="0" w:color="auto"/>
            </w:tcBorders>
            <w:shd w:val="clear" w:color="000000" w:fill="FFFFFF"/>
            <w:noWrap/>
            <w:hideMark/>
          </w:tcPr>
          <w:p w14:paraId="53DBF3FC" w14:textId="5E806A0C" w:rsidR="000267A4" w:rsidRPr="000267A4" w:rsidRDefault="000267A4" w:rsidP="000267A4">
            <w:pPr>
              <w:jc w:val="right"/>
              <w:rPr>
                <w:noProof/>
                <w:sz w:val="20"/>
                <w:szCs w:val="20"/>
              </w:rPr>
            </w:pPr>
            <w:r w:rsidRPr="000267A4">
              <w:rPr>
                <w:noProof/>
                <w:sz w:val="20"/>
                <w:szCs w:val="20"/>
              </w:rPr>
              <w:t>5.0</w:t>
            </w:r>
          </w:p>
        </w:tc>
        <w:tc>
          <w:tcPr>
            <w:tcW w:w="853" w:type="pct"/>
            <w:tcBorders>
              <w:top w:val="nil"/>
              <w:left w:val="nil"/>
              <w:bottom w:val="single" w:sz="4" w:space="0" w:color="auto"/>
              <w:right w:val="single" w:sz="4" w:space="0" w:color="auto"/>
            </w:tcBorders>
            <w:shd w:val="clear" w:color="000000" w:fill="FFFFFF"/>
            <w:noWrap/>
            <w:hideMark/>
          </w:tcPr>
          <w:p w14:paraId="382BE5CF" w14:textId="7F713049" w:rsidR="000267A4" w:rsidRPr="000267A4" w:rsidRDefault="000267A4" w:rsidP="000267A4">
            <w:pPr>
              <w:jc w:val="right"/>
              <w:rPr>
                <w:noProof/>
                <w:sz w:val="20"/>
                <w:szCs w:val="20"/>
              </w:rPr>
            </w:pPr>
            <w:r w:rsidRPr="000267A4">
              <w:rPr>
                <w:noProof/>
                <w:sz w:val="20"/>
                <w:szCs w:val="20"/>
              </w:rPr>
              <w:t>3.4</w:t>
            </w:r>
          </w:p>
        </w:tc>
      </w:tr>
      <w:tr w:rsidR="000267A4" w:rsidRPr="005E2C09" w14:paraId="1FAE4C11"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5BFED187" w14:textId="77777777" w:rsidR="000267A4" w:rsidRPr="005E2C09" w:rsidRDefault="000267A4" w:rsidP="000267A4">
            <w:pPr>
              <w:rPr>
                <w:noProof/>
                <w:sz w:val="20"/>
                <w:szCs w:val="20"/>
              </w:rPr>
            </w:pPr>
            <w:r w:rsidRPr="005E2C09">
              <w:rPr>
                <w:noProof/>
                <w:sz w:val="20"/>
                <w:szCs w:val="20"/>
              </w:rPr>
              <w:t xml:space="preserve"> Cyprus </w:t>
            </w:r>
          </w:p>
        </w:tc>
        <w:tc>
          <w:tcPr>
            <w:tcW w:w="853" w:type="pct"/>
            <w:tcBorders>
              <w:top w:val="nil"/>
              <w:left w:val="nil"/>
              <w:bottom w:val="single" w:sz="4" w:space="0" w:color="auto"/>
              <w:right w:val="single" w:sz="4" w:space="0" w:color="auto"/>
            </w:tcBorders>
            <w:shd w:val="clear" w:color="000000" w:fill="FFFFFF"/>
            <w:noWrap/>
            <w:hideMark/>
          </w:tcPr>
          <w:p w14:paraId="59B8FD63" w14:textId="3456703C" w:rsidR="000267A4" w:rsidRPr="000267A4" w:rsidRDefault="000267A4" w:rsidP="000267A4">
            <w:pPr>
              <w:jc w:val="right"/>
              <w:rPr>
                <w:noProof/>
                <w:sz w:val="20"/>
                <w:szCs w:val="20"/>
              </w:rPr>
            </w:pPr>
            <w:r w:rsidRPr="000267A4">
              <w:rPr>
                <w:noProof/>
                <w:sz w:val="20"/>
                <w:szCs w:val="20"/>
              </w:rPr>
              <w:t>19.7</w:t>
            </w:r>
          </w:p>
        </w:tc>
        <w:tc>
          <w:tcPr>
            <w:tcW w:w="853" w:type="pct"/>
            <w:tcBorders>
              <w:top w:val="nil"/>
              <w:left w:val="nil"/>
              <w:bottom w:val="single" w:sz="4" w:space="0" w:color="auto"/>
              <w:right w:val="single" w:sz="4" w:space="0" w:color="auto"/>
            </w:tcBorders>
            <w:shd w:val="clear" w:color="000000" w:fill="FFFFFF"/>
            <w:noWrap/>
            <w:hideMark/>
          </w:tcPr>
          <w:p w14:paraId="28DD9489" w14:textId="731C7041" w:rsidR="000267A4" w:rsidRPr="000267A4" w:rsidRDefault="000267A4" w:rsidP="000267A4">
            <w:pPr>
              <w:jc w:val="right"/>
              <w:rPr>
                <w:noProof/>
                <w:sz w:val="20"/>
                <w:szCs w:val="20"/>
              </w:rPr>
            </w:pPr>
            <w:r w:rsidRPr="000267A4">
              <w:rPr>
                <w:noProof/>
                <w:sz w:val="20"/>
                <w:szCs w:val="20"/>
              </w:rPr>
              <w:t>3.0</w:t>
            </w:r>
          </w:p>
        </w:tc>
        <w:tc>
          <w:tcPr>
            <w:tcW w:w="853" w:type="pct"/>
            <w:tcBorders>
              <w:top w:val="nil"/>
              <w:left w:val="nil"/>
              <w:bottom w:val="single" w:sz="4" w:space="0" w:color="auto"/>
              <w:right w:val="single" w:sz="4" w:space="0" w:color="auto"/>
            </w:tcBorders>
            <w:shd w:val="clear" w:color="000000" w:fill="FFFFFF"/>
            <w:noWrap/>
            <w:hideMark/>
          </w:tcPr>
          <w:p w14:paraId="57980FE1" w14:textId="250B723D" w:rsidR="000267A4" w:rsidRPr="000267A4" w:rsidRDefault="000267A4" w:rsidP="000267A4">
            <w:pPr>
              <w:jc w:val="right"/>
              <w:rPr>
                <w:noProof/>
                <w:sz w:val="20"/>
                <w:szCs w:val="20"/>
              </w:rPr>
            </w:pPr>
            <w:r w:rsidRPr="000267A4">
              <w:rPr>
                <w:noProof/>
                <w:sz w:val="20"/>
                <w:szCs w:val="20"/>
              </w:rPr>
              <w:t>5.0</w:t>
            </w:r>
          </w:p>
        </w:tc>
        <w:tc>
          <w:tcPr>
            <w:tcW w:w="853" w:type="pct"/>
            <w:tcBorders>
              <w:top w:val="nil"/>
              <w:left w:val="nil"/>
              <w:bottom w:val="single" w:sz="4" w:space="0" w:color="auto"/>
              <w:right w:val="single" w:sz="4" w:space="0" w:color="auto"/>
            </w:tcBorders>
            <w:shd w:val="clear" w:color="000000" w:fill="FFFFFF"/>
            <w:noWrap/>
            <w:hideMark/>
          </w:tcPr>
          <w:p w14:paraId="7FA608D8" w14:textId="432A551E" w:rsidR="000267A4" w:rsidRPr="000267A4" w:rsidRDefault="000267A4" w:rsidP="000267A4">
            <w:pPr>
              <w:jc w:val="right"/>
              <w:rPr>
                <w:noProof/>
                <w:sz w:val="20"/>
                <w:szCs w:val="20"/>
              </w:rPr>
            </w:pPr>
            <w:r w:rsidRPr="000267A4">
              <w:rPr>
                <w:noProof/>
                <w:sz w:val="20"/>
                <w:szCs w:val="20"/>
              </w:rPr>
              <w:t>3.4</w:t>
            </w:r>
          </w:p>
        </w:tc>
      </w:tr>
      <w:tr w:rsidR="000267A4" w:rsidRPr="005E2C09" w14:paraId="7FBB075D"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CA8FCEB" w14:textId="77777777" w:rsidR="000267A4" w:rsidRPr="005E2C09" w:rsidRDefault="000267A4" w:rsidP="000267A4">
            <w:pPr>
              <w:rPr>
                <w:noProof/>
                <w:sz w:val="20"/>
                <w:szCs w:val="20"/>
              </w:rPr>
            </w:pPr>
            <w:r w:rsidRPr="005E2C09">
              <w:rPr>
                <w:noProof/>
                <w:sz w:val="20"/>
                <w:szCs w:val="20"/>
              </w:rPr>
              <w:t xml:space="preserve"> Greece </w:t>
            </w:r>
          </w:p>
        </w:tc>
        <w:tc>
          <w:tcPr>
            <w:tcW w:w="853" w:type="pct"/>
            <w:tcBorders>
              <w:top w:val="nil"/>
              <w:left w:val="nil"/>
              <w:bottom w:val="single" w:sz="4" w:space="0" w:color="auto"/>
              <w:right w:val="single" w:sz="4" w:space="0" w:color="auto"/>
            </w:tcBorders>
            <w:shd w:val="clear" w:color="000000" w:fill="FFFFFF"/>
            <w:noWrap/>
            <w:hideMark/>
          </w:tcPr>
          <w:p w14:paraId="79FBADEA" w14:textId="4A103A43" w:rsidR="000267A4" w:rsidRPr="000267A4" w:rsidRDefault="000267A4" w:rsidP="000267A4">
            <w:pPr>
              <w:jc w:val="right"/>
              <w:rPr>
                <w:noProof/>
                <w:sz w:val="20"/>
                <w:szCs w:val="20"/>
              </w:rPr>
            </w:pPr>
            <w:r w:rsidRPr="000267A4">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474BF599" w14:textId="6B97F86D" w:rsidR="000267A4" w:rsidRPr="000267A4" w:rsidRDefault="000267A4" w:rsidP="000267A4">
            <w:pPr>
              <w:jc w:val="right"/>
              <w:rPr>
                <w:noProof/>
                <w:sz w:val="20"/>
                <w:szCs w:val="20"/>
              </w:rPr>
            </w:pPr>
            <w:r w:rsidRPr="000267A4">
              <w:rPr>
                <w:noProof/>
                <w:sz w:val="20"/>
                <w:szCs w:val="20"/>
              </w:rPr>
              <w:t>6.0</w:t>
            </w:r>
          </w:p>
        </w:tc>
        <w:tc>
          <w:tcPr>
            <w:tcW w:w="853" w:type="pct"/>
            <w:tcBorders>
              <w:top w:val="nil"/>
              <w:left w:val="nil"/>
              <w:bottom w:val="single" w:sz="4" w:space="0" w:color="auto"/>
              <w:right w:val="single" w:sz="4" w:space="0" w:color="auto"/>
            </w:tcBorders>
            <w:shd w:val="clear" w:color="000000" w:fill="FFFFFF"/>
            <w:noWrap/>
            <w:hideMark/>
          </w:tcPr>
          <w:p w14:paraId="4819D7B5" w14:textId="40225081" w:rsidR="000267A4" w:rsidRPr="000267A4" w:rsidRDefault="000267A4" w:rsidP="000267A4">
            <w:pPr>
              <w:jc w:val="right"/>
              <w:rPr>
                <w:noProof/>
                <w:sz w:val="20"/>
                <w:szCs w:val="20"/>
              </w:rPr>
            </w:pPr>
            <w:r w:rsidRPr="000267A4">
              <w:rPr>
                <w:noProof/>
                <w:sz w:val="20"/>
                <w:szCs w:val="20"/>
              </w:rPr>
              <w:t>10.0</w:t>
            </w:r>
          </w:p>
        </w:tc>
        <w:tc>
          <w:tcPr>
            <w:tcW w:w="853" w:type="pct"/>
            <w:tcBorders>
              <w:top w:val="nil"/>
              <w:left w:val="nil"/>
              <w:bottom w:val="single" w:sz="4" w:space="0" w:color="auto"/>
              <w:right w:val="single" w:sz="4" w:space="0" w:color="auto"/>
            </w:tcBorders>
            <w:shd w:val="clear" w:color="000000" w:fill="FFFFFF"/>
            <w:noWrap/>
            <w:hideMark/>
          </w:tcPr>
          <w:p w14:paraId="22750E87" w14:textId="7F7735B5" w:rsidR="000267A4" w:rsidRPr="000267A4" w:rsidRDefault="000267A4" w:rsidP="000267A4">
            <w:pPr>
              <w:jc w:val="right"/>
              <w:rPr>
                <w:noProof/>
                <w:sz w:val="20"/>
                <w:szCs w:val="20"/>
              </w:rPr>
            </w:pPr>
            <w:r w:rsidRPr="000267A4">
              <w:rPr>
                <w:noProof/>
                <w:sz w:val="20"/>
                <w:szCs w:val="20"/>
              </w:rPr>
              <w:t>6.9</w:t>
            </w:r>
          </w:p>
        </w:tc>
      </w:tr>
      <w:tr w:rsidR="000267A4" w:rsidRPr="005E2C09" w14:paraId="32F00F1B"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45166F13" w14:textId="77777777" w:rsidR="000267A4" w:rsidRPr="005E2C09" w:rsidRDefault="000267A4" w:rsidP="000267A4">
            <w:pPr>
              <w:rPr>
                <w:noProof/>
                <w:sz w:val="20"/>
                <w:szCs w:val="20"/>
              </w:rPr>
            </w:pPr>
            <w:r w:rsidRPr="005E2C09">
              <w:rPr>
                <w:noProof/>
                <w:sz w:val="20"/>
                <w:szCs w:val="20"/>
              </w:rPr>
              <w:t xml:space="preserve"> Bulgaria </w:t>
            </w:r>
          </w:p>
        </w:tc>
        <w:tc>
          <w:tcPr>
            <w:tcW w:w="853" w:type="pct"/>
            <w:tcBorders>
              <w:top w:val="nil"/>
              <w:left w:val="nil"/>
              <w:bottom w:val="single" w:sz="4" w:space="0" w:color="auto"/>
              <w:right w:val="single" w:sz="4" w:space="0" w:color="auto"/>
            </w:tcBorders>
            <w:shd w:val="clear" w:color="000000" w:fill="FFFFFF"/>
            <w:noWrap/>
            <w:hideMark/>
          </w:tcPr>
          <w:p w14:paraId="08B00226"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634F21E7"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6DD47A4D"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0B64BE95" w14:textId="77777777" w:rsidR="000267A4" w:rsidRPr="000267A4" w:rsidRDefault="000267A4" w:rsidP="000267A4">
            <w:pPr>
              <w:jc w:val="right"/>
              <w:rPr>
                <w:noProof/>
                <w:sz w:val="20"/>
                <w:szCs w:val="20"/>
              </w:rPr>
            </w:pPr>
            <w:r w:rsidRPr="000267A4">
              <w:rPr>
                <w:noProof/>
                <w:sz w:val="20"/>
                <w:szCs w:val="20"/>
              </w:rPr>
              <w:t>0.0</w:t>
            </w:r>
          </w:p>
        </w:tc>
      </w:tr>
      <w:tr w:rsidR="000267A4" w:rsidRPr="005E2C09" w14:paraId="63784F78"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3E804265" w14:textId="77777777" w:rsidR="000267A4" w:rsidRPr="005E2C09" w:rsidRDefault="000267A4" w:rsidP="000267A4">
            <w:pPr>
              <w:rPr>
                <w:noProof/>
                <w:sz w:val="20"/>
                <w:szCs w:val="20"/>
              </w:rPr>
            </w:pPr>
            <w:r w:rsidRPr="005E2C09">
              <w:rPr>
                <w:noProof/>
                <w:sz w:val="20"/>
                <w:szCs w:val="20"/>
              </w:rPr>
              <w:t xml:space="preserve"> Estonia </w:t>
            </w:r>
          </w:p>
        </w:tc>
        <w:tc>
          <w:tcPr>
            <w:tcW w:w="853" w:type="pct"/>
            <w:tcBorders>
              <w:top w:val="nil"/>
              <w:left w:val="nil"/>
              <w:bottom w:val="single" w:sz="4" w:space="0" w:color="auto"/>
              <w:right w:val="single" w:sz="4" w:space="0" w:color="auto"/>
            </w:tcBorders>
            <w:shd w:val="clear" w:color="000000" w:fill="FFFFFF"/>
            <w:noWrap/>
            <w:hideMark/>
          </w:tcPr>
          <w:p w14:paraId="597FF063"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1C35DBAF"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59399A9F"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11ED9BA2" w14:textId="77777777" w:rsidR="000267A4" w:rsidRPr="000267A4" w:rsidRDefault="000267A4" w:rsidP="000267A4">
            <w:pPr>
              <w:jc w:val="right"/>
              <w:rPr>
                <w:noProof/>
                <w:sz w:val="20"/>
                <w:szCs w:val="20"/>
              </w:rPr>
            </w:pPr>
            <w:r w:rsidRPr="000267A4">
              <w:rPr>
                <w:noProof/>
                <w:sz w:val="20"/>
                <w:szCs w:val="20"/>
              </w:rPr>
              <w:t>0.0</w:t>
            </w:r>
          </w:p>
        </w:tc>
      </w:tr>
      <w:tr w:rsidR="000267A4" w:rsidRPr="005E2C09" w14:paraId="136FFE1E"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98DA296" w14:textId="77777777" w:rsidR="000267A4" w:rsidRPr="005E2C09" w:rsidRDefault="000267A4" w:rsidP="000267A4">
            <w:pPr>
              <w:rPr>
                <w:noProof/>
                <w:sz w:val="20"/>
                <w:szCs w:val="20"/>
              </w:rPr>
            </w:pPr>
            <w:r w:rsidRPr="005E2C09">
              <w:rPr>
                <w:noProof/>
                <w:sz w:val="20"/>
                <w:szCs w:val="20"/>
              </w:rPr>
              <w:t xml:space="preserve"> Croatia </w:t>
            </w:r>
          </w:p>
        </w:tc>
        <w:tc>
          <w:tcPr>
            <w:tcW w:w="853" w:type="pct"/>
            <w:tcBorders>
              <w:top w:val="nil"/>
              <w:left w:val="nil"/>
              <w:bottom w:val="single" w:sz="4" w:space="0" w:color="auto"/>
              <w:right w:val="single" w:sz="4" w:space="0" w:color="auto"/>
            </w:tcBorders>
            <w:shd w:val="clear" w:color="000000" w:fill="FFFFFF"/>
            <w:noWrap/>
            <w:hideMark/>
          </w:tcPr>
          <w:p w14:paraId="69A30EDC" w14:textId="4C66535D" w:rsidR="000267A4" w:rsidRPr="000267A4" w:rsidRDefault="000267A4" w:rsidP="000267A4">
            <w:pPr>
              <w:jc w:val="right"/>
              <w:rPr>
                <w:noProof/>
                <w:sz w:val="20"/>
                <w:szCs w:val="20"/>
              </w:rPr>
            </w:pPr>
            <w:r w:rsidRPr="000267A4">
              <w:rPr>
                <w:noProof/>
                <w:sz w:val="20"/>
                <w:szCs w:val="20"/>
              </w:rPr>
              <w:t>19.7</w:t>
            </w:r>
          </w:p>
        </w:tc>
        <w:tc>
          <w:tcPr>
            <w:tcW w:w="853" w:type="pct"/>
            <w:tcBorders>
              <w:top w:val="nil"/>
              <w:left w:val="nil"/>
              <w:bottom w:val="single" w:sz="4" w:space="0" w:color="auto"/>
              <w:right w:val="single" w:sz="4" w:space="0" w:color="auto"/>
            </w:tcBorders>
            <w:shd w:val="clear" w:color="000000" w:fill="FFFFFF"/>
            <w:noWrap/>
            <w:hideMark/>
          </w:tcPr>
          <w:p w14:paraId="2F7DFADE" w14:textId="0C98F187" w:rsidR="000267A4" w:rsidRPr="000267A4" w:rsidRDefault="000267A4" w:rsidP="000267A4">
            <w:pPr>
              <w:jc w:val="right"/>
              <w:rPr>
                <w:noProof/>
                <w:sz w:val="20"/>
                <w:szCs w:val="20"/>
              </w:rPr>
            </w:pPr>
            <w:r w:rsidRPr="000267A4">
              <w:rPr>
                <w:noProof/>
                <w:sz w:val="20"/>
                <w:szCs w:val="20"/>
              </w:rPr>
              <w:t>3.0</w:t>
            </w:r>
          </w:p>
        </w:tc>
        <w:tc>
          <w:tcPr>
            <w:tcW w:w="853" w:type="pct"/>
            <w:tcBorders>
              <w:top w:val="nil"/>
              <w:left w:val="nil"/>
              <w:bottom w:val="single" w:sz="4" w:space="0" w:color="auto"/>
              <w:right w:val="single" w:sz="4" w:space="0" w:color="auto"/>
            </w:tcBorders>
            <w:shd w:val="clear" w:color="000000" w:fill="FFFFFF"/>
            <w:noWrap/>
            <w:hideMark/>
          </w:tcPr>
          <w:p w14:paraId="0F0DF489" w14:textId="62767A3E" w:rsidR="000267A4" w:rsidRPr="000267A4" w:rsidRDefault="000267A4" w:rsidP="000267A4">
            <w:pPr>
              <w:jc w:val="right"/>
              <w:rPr>
                <w:noProof/>
                <w:sz w:val="20"/>
                <w:szCs w:val="20"/>
              </w:rPr>
            </w:pPr>
            <w:r w:rsidRPr="000267A4">
              <w:rPr>
                <w:noProof/>
                <w:sz w:val="20"/>
                <w:szCs w:val="20"/>
              </w:rPr>
              <w:t>5.0</w:t>
            </w:r>
          </w:p>
        </w:tc>
        <w:tc>
          <w:tcPr>
            <w:tcW w:w="853" w:type="pct"/>
            <w:tcBorders>
              <w:top w:val="nil"/>
              <w:left w:val="nil"/>
              <w:bottom w:val="single" w:sz="4" w:space="0" w:color="auto"/>
              <w:right w:val="single" w:sz="4" w:space="0" w:color="auto"/>
            </w:tcBorders>
            <w:shd w:val="clear" w:color="000000" w:fill="FFFFFF"/>
            <w:noWrap/>
            <w:hideMark/>
          </w:tcPr>
          <w:p w14:paraId="256AF61A" w14:textId="763C912F" w:rsidR="000267A4" w:rsidRPr="000267A4" w:rsidRDefault="000267A4" w:rsidP="000267A4">
            <w:pPr>
              <w:jc w:val="right"/>
              <w:rPr>
                <w:noProof/>
                <w:sz w:val="20"/>
                <w:szCs w:val="20"/>
              </w:rPr>
            </w:pPr>
            <w:r w:rsidRPr="000267A4">
              <w:rPr>
                <w:noProof/>
                <w:sz w:val="20"/>
                <w:szCs w:val="20"/>
              </w:rPr>
              <w:t>3.4</w:t>
            </w:r>
          </w:p>
        </w:tc>
      </w:tr>
      <w:tr w:rsidR="000267A4" w:rsidRPr="005E2C09" w14:paraId="0AC5FFAA"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4A7480FE" w14:textId="77777777" w:rsidR="000267A4" w:rsidRPr="005E2C09" w:rsidRDefault="000267A4" w:rsidP="000267A4">
            <w:pPr>
              <w:rPr>
                <w:noProof/>
                <w:sz w:val="20"/>
                <w:szCs w:val="20"/>
              </w:rPr>
            </w:pPr>
            <w:r w:rsidRPr="005E2C09">
              <w:rPr>
                <w:noProof/>
                <w:sz w:val="20"/>
                <w:szCs w:val="20"/>
              </w:rPr>
              <w:t xml:space="preserve"> Lithuania </w:t>
            </w:r>
          </w:p>
        </w:tc>
        <w:tc>
          <w:tcPr>
            <w:tcW w:w="853" w:type="pct"/>
            <w:tcBorders>
              <w:top w:val="nil"/>
              <w:left w:val="nil"/>
              <w:bottom w:val="single" w:sz="4" w:space="0" w:color="auto"/>
              <w:right w:val="single" w:sz="4" w:space="0" w:color="auto"/>
            </w:tcBorders>
            <w:shd w:val="clear" w:color="000000" w:fill="FFFFFF"/>
            <w:noWrap/>
            <w:hideMark/>
          </w:tcPr>
          <w:p w14:paraId="72855DAC"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016781AE"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7AE69CCA"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7C19F481" w14:textId="77777777" w:rsidR="000267A4" w:rsidRPr="000267A4" w:rsidRDefault="000267A4" w:rsidP="000267A4">
            <w:pPr>
              <w:jc w:val="right"/>
              <w:rPr>
                <w:noProof/>
                <w:sz w:val="20"/>
                <w:szCs w:val="20"/>
              </w:rPr>
            </w:pPr>
            <w:r w:rsidRPr="000267A4">
              <w:rPr>
                <w:noProof/>
                <w:sz w:val="20"/>
                <w:szCs w:val="20"/>
              </w:rPr>
              <w:t>0.0</w:t>
            </w:r>
          </w:p>
        </w:tc>
      </w:tr>
      <w:tr w:rsidR="000267A4" w:rsidRPr="005E2C09" w14:paraId="1CE37B68"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68EDC78A" w14:textId="77777777" w:rsidR="000267A4" w:rsidRPr="005E2C09" w:rsidRDefault="000267A4" w:rsidP="000267A4">
            <w:pPr>
              <w:rPr>
                <w:noProof/>
                <w:sz w:val="20"/>
                <w:szCs w:val="20"/>
              </w:rPr>
            </w:pPr>
            <w:r w:rsidRPr="005E2C09">
              <w:rPr>
                <w:noProof/>
                <w:sz w:val="20"/>
                <w:szCs w:val="20"/>
              </w:rPr>
              <w:t xml:space="preserve"> Hungary </w:t>
            </w:r>
          </w:p>
        </w:tc>
        <w:tc>
          <w:tcPr>
            <w:tcW w:w="853" w:type="pct"/>
            <w:tcBorders>
              <w:top w:val="nil"/>
              <w:left w:val="nil"/>
              <w:bottom w:val="single" w:sz="4" w:space="0" w:color="auto"/>
              <w:right w:val="single" w:sz="4" w:space="0" w:color="auto"/>
            </w:tcBorders>
            <w:shd w:val="clear" w:color="000000" w:fill="FFFFFF"/>
            <w:noWrap/>
            <w:hideMark/>
          </w:tcPr>
          <w:p w14:paraId="050CEE79" w14:textId="0979659D" w:rsidR="000267A4" w:rsidRPr="000267A4" w:rsidRDefault="000267A4" w:rsidP="000267A4">
            <w:pPr>
              <w:jc w:val="right"/>
              <w:rPr>
                <w:noProof/>
                <w:sz w:val="20"/>
                <w:szCs w:val="20"/>
              </w:rPr>
            </w:pPr>
            <w:r w:rsidRPr="000267A4">
              <w:rPr>
                <w:noProof/>
                <w:sz w:val="20"/>
                <w:szCs w:val="20"/>
              </w:rPr>
              <w:t>59.1</w:t>
            </w:r>
          </w:p>
        </w:tc>
        <w:tc>
          <w:tcPr>
            <w:tcW w:w="853" w:type="pct"/>
            <w:tcBorders>
              <w:top w:val="nil"/>
              <w:left w:val="nil"/>
              <w:bottom w:val="single" w:sz="4" w:space="0" w:color="auto"/>
              <w:right w:val="single" w:sz="4" w:space="0" w:color="auto"/>
            </w:tcBorders>
            <w:shd w:val="clear" w:color="000000" w:fill="FFFFFF"/>
            <w:noWrap/>
            <w:hideMark/>
          </w:tcPr>
          <w:p w14:paraId="5C255CAA" w14:textId="113BDEA0" w:rsidR="000267A4" w:rsidRPr="000267A4" w:rsidRDefault="000267A4" w:rsidP="000267A4">
            <w:pPr>
              <w:jc w:val="right"/>
              <w:rPr>
                <w:noProof/>
                <w:sz w:val="20"/>
                <w:szCs w:val="20"/>
              </w:rPr>
            </w:pPr>
            <w:r w:rsidRPr="000267A4">
              <w:rPr>
                <w:noProof/>
                <w:sz w:val="20"/>
                <w:szCs w:val="20"/>
              </w:rPr>
              <w:t>8.9</w:t>
            </w:r>
          </w:p>
        </w:tc>
        <w:tc>
          <w:tcPr>
            <w:tcW w:w="853" w:type="pct"/>
            <w:tcBorders>
              <w:top w:val="nil"/>
              <w:left w:val="nil"/>
              <w:bottom w:val="single" w:sz="4" w:space="0" w:color="auto"/>
              <w:right w:val="single" w:sz="4" w:space="0" w:color="auto"/>
            </w:tcBorders>
            <w:shd w:val="clear" w:color="000000" w:fill="FFFFFF"/>
            <w:noWrap/>
            <w:hideMark/>
          </w:tcPr>
          <w:p w14:paraId="2060D541" w14:textId="40D86882" w:rsidR="000267A4" w:rsidRPr="000267A4" w:rsidRDefault="000267A4" w:rsidP="000267A4">
            <w:pPr>
              <w:jc w:val="right"/>
              <w:rPr>
                <w:noProof/>
                <w:sz w:val="20"/>
                <w:szCs w:val="20"/>
              </w:rPr>
            </w:pPr>
            <w:r w:rsidRPr="000267A4">
              <w:rPr>
                <w:noProof/>
                <w:sz w:val="20"/>
                <w:szCs w:val="20"/>
              </w:rPr>
              <w:t>15.0</w:t>
            </w:r>
          </w:p>
        </w:tc>
        <w:tc>
          <w:tcPr>
            <w:tcW w:w="853" w:type="pct"/>
            <w:tcBorders>
              <w:top w:val="nil"/>
              <w:left w:val="nil"/>
              <w:bottom w:val="single" w:sz="4" w:space="0" w:color="auto"/>
              <w:right w:val="single" w:sz="4" w:space="0" w:color="auto"/>
            </w:tcBorders>
            <w:shd w:val="clear" w:color="000000" w:fill="FFFFFF"/>
            <w:noWrap/>
            <w:hideMark/>
          </w:tcPr>
          <w:p w14:paraId="3DE1DCE1" w14:textId="492E0889" w:rsidR="000267A4" w:rsidRPr="000267A4" w:rsidRDefault="000267A4" w:rsidP="000267A4">
            <w:pPr>
              <w:jc w:val="right"/>
              <w:rPr>
                <w:noProof/>
                <w:sz w:val="20"/>
                <w:szCs w:val="20"/>
              </w:rPr>
            </w:pPr>
            <w:r w:rsidRPr="000267A4">
              <w:rPr>
                <w:noProof/>
                <w:sz w:val="20"/>
                <w:szCs w:val="20"/>
              </w:rPr>
              <w:t>10.3</w:t>
            </w:r>
          </w:p>
        </w:tc>
      </w:tr>
      <w:tr w:rsidR="000267A4" w:rsidRPr="005E2C09" w14:paraId="109CC739"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5E020C30" w14:textId="77777777" w:rsidR="000267A4" w:rsidRPr="005E2C09" w:rsidRDefault="000267A4" w:rsidP="000267A4">
            <w:pPr>
              <w:rPr>
                <w:noProof/>
                <w:sz w:val="20"/>
                <w:szCs w:val="20"/>
              </w:rPr>
            </w:pPr>
            <w:r w:rsidRPr="005E2C09">
              <w:rPr>
                <w:noProof/>
                <w:sz w:val="20"/>
                <w:szCs w:val="20"/>
              </w:rPr>
              <w:t xml:space="preserve"> Sweden </w:t>
            </w:r>
          </w:p>
        </w:tc>
        <w:tc>
          <w:tcPr>
            <w:tcW w:w="853" w:type="pct"/>
            <w:tcBorders>
              <w:top w:val="nil"/>
              <w:left w:val="nil"/>
              <w:bottom w:val="single" w:sz="4" w:space="0" w:color="auto"/>
              <w:right w:val="single" w:sz="4" w:space="0" w:color="auto"/>
            </w:tcBorders>
            <w:shd w:val="clear" w:color="000000" w:fill="FFFFFF"/>
            <w:noWrap/>
            <w:hideMark/>
          </w:tcPr>
          <w:p w14:paraId="0F9A6B40" w14:textId="060A4A49" w:rsidR="000267A4" w:rsidRPr="000267A4" w:rsidRDefault="000267A4" w:rsidP="000267A4">
            <w:pPr>
              <w:jc w:val="right"/>
              <w:rPr>
                <w:noProof/>
                <w:sz w:val="20"/>
                <w:szCs w:val="20"/>
              </w:rPr>
            </w:pPr>
            <w:r w:rsidRPr="000267A4">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3211399D" w14:textId="53D0962E" w:rsidR="000267A4" w:rsidRPr="000267A4" w:rsidRDefault="000267A4" w:rsidP="000267A4">
            <w:pPr>
              <w:jc w:val="right"/>
              <w:rPr>
                <w:noProof/>
                <w:sz w:val="20"/>
                <w:szCs w:val="20"/>
              </w:rPr>
            </w:pPr>
            <w:r w:rsidRPr="000267A4">
              <w:rPr>
                <w:noProof/>
                <w:sz w:val="20"/>
                <w:szCs w:val="20"/>
              </w:rPr>
              <w:t>6.0</w:t>
            </w:r>
          </w:p>
        </w:tc>
        <w:tc>
          <w:tcPr>
            <w:tcW w:w="853" w:type="pct"/>
            <w:tcBorders>
              <w:top w:val="nil"/>
              <w:left w:val="nil"/>
              <w:bottom w:val="single" w:sz="4" w:space="0" w:color="auto"/>
              <w:right w:val="single" w:sz="4" w:space="0" w:color="auto"/>
            </w:tcBorders>
            <w:shd w:val="clear" w:color="000000" w:fill="FFFFFF"/>
            <w:noWrap/>
            <w:hideMark/>
          </w:tcPr>
          <w:p w14:paraId="59DBFAD3" w14:textId="041E3D61" w:rsidR="000267A4" w:rsidRPr="000267A4" w:rsidRDefault="000267A4" w:rsidP="000267A4">
            <w:pPr>
              <w:jc w:val="right"/>
              <w:rPr>
                <w:noProof/>
                <w:sz w:val="20"/>
                <w:szCs w:val="20"/>
              </w:rPr>
            </w:pPr>
            <w:r w:rsidRPr="000267A4">
              <w:rPr>
                <w:noProof/>
                <w:sz w:val="20"/>
                <w:szCs w:val="20"/>
              </w:rPr>
              <w:t>10.0</w:t>
            </w:r>
          </w:p>
        </w:tc>
        <w:tc>
          <w:tcPr>
            <w:tcW w:w="853" w:type="pct"/>
            <w:tcBorders>
              <w:top w:val="nil"/>
              <w:left w:val="nil"/>
              <w:bottom w:val="single" w:sz="4" w:space="0" w:color="auto"/>
              <w:right w:val="single" w:sz="4" w:space="0" w:color="auto"/>
            </w:tcBorders>
            <w:shd w:val="clear" w:color="000000" w:fill="FFFFFF"/>
            <w:noWrap/>
            <w:hideMark/>
          </w:tcPr>
          <w:p w14:paraId="673252BB" w14:textId="17255D7A" w:rsidR="000267A4" w:rsidRPr="000267A4" w:rsidRDefault="000267A4" w:rsidP="000267A4">
            <w:pPr>
              <w:jc w:val="right"/>
              <w:rPr>
                <w:noProof/>
                <w:sz w:val="20"/>
                <w:szCs w:val="20"/>
              </w:rPr>
            </w:pPr>
            <w:r w:rsidRPr="000267A4">
              <w:rPr>
                <w:noProof/>
                <w:sz w:val="20"/>
                <w:szCs w:val="20"/>
              </w:rPr>
              <w:t>6.9</w:t>
            </w:r>
          </w:p>
        </w:tc>
      </w:tr>
      <w:tr w:rsidR="000267A4" w:rsidRPr="005E2C09" w14:paraId="03C9794A"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69938FC6" w14:textId="68EE1875" w:rsidR="000267A4" w:rsidRPr="005E2C09" w:rsidRDefault="000267A4" w:rsidP="000267A4">
            <w:pPr>
              <w:rPr>
                <w:noProof/>
                <w:sz w:val="20"/>
                <w:szCs w:val="20"/>
              </w:rPr>
            </w:pPr>
            <w:r w:rsidRPr="005E2C09">
              <w:rPr>
                <w:noProof/>
                <w:sz w:val="20"/>
                <w:szCs w:val="20"/>
              </w:rPr>
              <w:t xml:space="preserve"> Czechia</w:t>
            </w:r>
          </w:p>
        </w:tc>
        <w:tc>
          <w:tcPr>
            <w:tcW w:w="853" w:type="pct"/>
            <w:tcBorders>
              <w:top w:val="nil"/>
              <w:left w:val="nil"/>
              <w:bottom w:val="single" w:sz="4" w:space="0" w:color="auto"/>
              <w:right w:val="single" w:sz="4" w:space="0" w:color="auto"/>
            </w:tcBorders>
            <w:shd w:val="clear" w:color="000000" w:fill="FFFFFF"/>
            <w:noWrap/>
            <w:hideMark/>
          </w:tcPr>
          <w:p w14:paraId="5CFF965D" w14:textId="0F7FBD62" w:rsidR="000267A4" w:rsidRPr="000267A4" w:rsidRDefault="000267A4" w:rsidP="000267A4">
            <w:pPr>
              <w:jc w:val="right"/>
              <w:rPr>
                <w:noProof/>
                <w:sz w:val="20"/>
                <w:szCs w:val="20"/>
              </w:rPr>
            </w:pPr>
            <w:r w:rsidRPr="000267A4">
              <w:rPr>
                <w:noProof/>
                <w:sz w:val="20"/>
                <w:szCs w:val="20"/>
              </w:rPr>
              <w:t>59.1</w:t>
            </w:r>
          </w:p>
        </w:tc>
        <w:tc>
          <w:tcPr>
            <w:tcW w:w="853" w:type="pct"/>
            <w:tcBorders>
              <w:top w:val="nil"/>
              <w:left w:val="nil"/>
              <w:bottom w:val="single" w:sz="4" w:space="0" w:color="auto"/>
              <w:right w:val="single" w:sz="4" w:space="0" w:color="auto"/>
            </w:tcBorders>
            <w:shd w:val="clear" w:color="000000" w:fill="FFFFFF"/>
            <w:noWrap/>
            <w:hideMark/>
          </w:tcPr>
          <w:p w14:paraId="54385C27" w14:textId="32910496" w:rsidR="000267A4" w:rsidRPr="000267A4" w:rsidRDefault="000267A4" w:rsidP="000267A4">
            <w:pPr>
              <w:jc w:val="right"/>
              <w:rPr>
                <w:noProof/>
                <w:sz w:val="20"/>
                <w:szCs w:val="20"/>
              </w:rPr>
            </w:pPr>
            <w:r w:rsidRPr="000267A4">
              <w:rPr>
                <w:noProof/>
                <w:sz w:val="20"/>
                <w:szCs w:val="20"/>
              </w:rPr>
              <w:t>8.9</w:t>
            </w:r>
          </w:p>
        </w:tc>
        <w:tc>
          <w:tcPr>
            <w:tcW w:w="853" w:type="pct"/>
            <w:tcBorders>
              <w:top w:val="nil"/>
              <w:left w:val="nil"/>
              <w:bottom w:val="single" w:sz="4" w:space="0" w:color="auto"/>
              <w:right w:val="single" w:sz="4" w:space="0" w:color="auto"/>
            </w:tcBorders>
            <w:shd w:val="clear" w:color="000000" w:fill="FFFFFF"/>
            <w:noWrap/>
            <w:hideMark/>
          </w:tcPr>
          <w:p w14:paraId="1134335D" w14:textId="0069B9E0" w:rsidR="000267A4" w:rsidRPr="000267A4" w:rsidRDefault="000267A4" w:rsidP="000267A4">
            <w:pPr>
              <w:jc w:val="right"/>
              <w:rPr>
                <w:noProof/>
                <w:sz w:val="20"/>
                <w:szCs w:val="20"/>
              </w:rPr>
            </w:pPr>
            <w:r w:rsidRPr="000267A4">
              <w:rPr>
                <w:noProof/>
                <w:sz w:val="20"/>
                <w:szCs w:val="20"/>
              </w:rPr>
              <w:t>15.0</w:t>
            </w:r>
          </w:p>
        </w:tc>
        <w:tc>
          <w:tcPr>
            <w:tcW w:w="853" w:type="pct"/>
            <w:tcBorders>
              <w:top w:val="nil"/>
              <w:left w:val="nil"/>
              <w:bottom w:val="single" w:sz="4" w:space="0" w:color="auto"/>
              <w:right w:val="single" w:sz="4" w:space="0" w:color="auto"/>
            </w:tcBorders>
            <w:shd w:val="clear" w:color="000000" w:fill="FFFFFF"/>
            <w:noWrap/>
            <w:hideMark/>
          </w:tcPr>
          <w:p w14:paraId="1AA33F8B" w14:textId="730C6F82" w:rsidR="000267A4" w:rsidRPr="000267A4" w:rsidRDefault="000267A4" w:rsidP="000267A4">
            <w:pPr>
              <w:jc w:val="right"/>
              <w:rPr>
                <w:noProof/>
                <w:sz w:val="20"/>
                <w:szCs w:val="20"/>
              </w:rPr>
            </w:pPr>
            <w:r w:rsidRPr="000267A4">
              <w:rPr>
                <w:noProof/>
                <w:sz w:val="20"/>
                <w:szCs w:val="20"/>
              </w:rPr>
              <w:t>10.3</w:t>
            </w:r>
          </w:p>
        </w:tc>
      </w:tr>
      <w:tr w:rsidR="000267A4" w:rsidRPr="005E2C09" w14:paraId="738791F3"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633EAB6D" w14:textId="77777777" w:rsidR="000267A4" w:rsidRPr="005E2C09" w:rsidRDefault="000267A4" w:rsidP="000267A4">
            <w:pPr>
              <w:rPr>
                <w:noProof/>
                <w:sz w:val="20"/>
                <w:szCs w:val="20"/>
              </w:rPr>
            </w:pPr>
            <w:r w:rsidRPr="005E2C09">
              <w:rPr>
                <w:noProof/>
                <w:sz w:val="20"/>
                <w:szCs w:val="20"/>
              </w:rPr>
              <w:t xml:space="preserve"> Ireland </w:t>
            </w:r>
          </w:p>
        </w:tc>
        <w:tc>
          <w:tcPr>
            <w:tcW w:w="853" w:type="pct"/>
            <w:tcBorders>
              <w:top w:val="nil"/>
              <w:left w:val="nil"/>
              <w:bottom w:val="single" w:sz="4" w:space="0" w:color="auto"/>
              <w:right w:val="single" w:sz="4" w:space="0" w:color="auto"/>
            </w:tcBorders>
            <w:shd w:val="clear" w:color="000000" w:fill="FFFFFF"/>
            <w:noWrap/>
            <w:hideMark/>
          </w:tcPr>
          <w:p w14:paraId="7643607E" w14:textId="3F1EC3B7" w:rsidR="000267A4" w:rsidRPr="000267A4" w:rsidRDefault="000267A4" w:rsidP="000267A4">
            <w:pPr>
              <w:jc w:val="right"/>
              <w:rPr>
                <w:noProof/>
                <w:sz w:val="20"/>
                <w:szCs w:val="20"/>
              </w:rPr>
            </w:pPr>
            <w:r w:rsidRPr="000267A4">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11D9B132" w14:textId="1A472484" w:rsidR="000267A4" w:rsidRPr="000267A4" w:rsidRDefault="000267A4" w:rsidP="000267A4">
            <w:pPr>
              <w:jc w:val="right"/>
              <w:rPr>
                <w:noProof/>
                <w:sz w:val="20"/>
                <w:szCs w:val="20"/>
              </w:rPr>
            </w:pPr>
            <w:r w:rsidRPr="000267A4">
              <w:rPr>
                <w:noProof/>
                <w:sz w:val="20"/>
                <w:szCs w:val="20"/>
              </w:rPr>
              <w:t>6.0</w:t>
            </w:r>
          </w:p>
        </w:tc>
        <w:tc>
          <w:tcPr>
            <w:tcW w:w="853" w:type="pct"/>
            <w:tcBorders>
              <w:top w:val="nil"/>
              <w:left w:val="nil"/>
              <w:bottom w:val="single" w:sz="4" w:space="0" w:color="auto"/>
              <w:right w:val="single" w:sz="4" w:space="0" w:color="auto"/>
            </w:tcBorders>
            <w:shd w:val="clear" w:color="000000" w:fill="FFFFFF"/>
            <w:noWrap/>
            <w:hideMark/>
          </w:tcPr>
          <w:p w14:paraId="676F8289" w14:textId="3650980C" w:rsidR="000267A4" w:rsidRPr="000267A4" w:rsidRDefault="000267A4" w:rsidP="000267A4">
            <w:pPr>
              <w:jc w:val="right"/>
              <w:rPr>
                <w:noProof/>
                <w:sz w:val="20"/>
                <w:szCs w:val="20"/>
              </w:rPr>
            </w:pPr>
            <w:r w:rsidRPr="000267A4">
              <w:rPr>
                <w:noProof/>
                <w:sz w:val="20"/>
                <w:szCs w:val="20"/>
              </w:rPr>
              <w:t>10.0</w:t>
            </w:r>
          </w:p>
        </w:tc>
        <w:tc>
          <w:tcPr>
            <w:tcW w:w="853" w:type="pct"/>
            <w:tcBorders>
              <w:top w:val="nil"/>
              <w:left w:val="nil"/>
              <w:bottom w:val="single" w:sz="4" w:space="0" w:color="auto"/>
              <w:right w:val="single" w:sz="4" w:space="0" w:color="auto"/>
            </w:tcBorders>
            <w:shd w:val="clear" w:color="000000" w:fill="FFFFFF"/>
            <w:noWrap/>
            <w:hideMark/>
          </w:tcPr>
          <w:p w14:paraId="3BEFA487" w14:textId="4CE5D1C3" w:rsidR="000267A4" w:rsidRPr="000267A4" w:rsidRDefault="000267A4" w:rsidP="000267A4">
            <w:pPr>
              <w:jc w:val="right"/>
              <w:rPr>
                <w:noProof/>
                <w:sz w:val="20"/>
                <w:szCs w:val="20"/>
              </w:rPr>
            </w:pPr>
            <w:r w:rsidRPr="000267A4">
              <w:rPr>
                <w:noProof/>
                <w:sz w:val="20"/>
                <w:szCs w:val="20"/>
              </w:rPr>
              <w:t>6.9</w:t>
            </w:r>
          </w:p>
        </w:tc>
      </w:tr>
      <w:tr w:rsidR="000267A4" w:rsidRPr="005E2C09" w14:paraId="63E956EC"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32F71F59" w14:textId="77777777" w:rsidR="000267A4" w:rsidRPr="005E2C09" w:rsidRDefault="000267A4" w:rsidP="000267A4">
            <w:pPr>
              <w:rPr>
                <w:noProof/>
                <w:sz w:val="20"/>
                <w:szCs w:val="20"/>
              </w:rPr>
            </w:pPr>
            <w:r w:rsidRPr="005E2C09">
              <w:rPr>
                <w:noProof/>
                <w:sz w:val="20"/>
                <w:szCs w:val="20"/>
              </w:rPr>
              <w:t xml:space="preserve"> Slovenia </w:t>
            </w:r>
          </w:p>
        </w:tc>
        <w:tc>
          <w:tcPr>
            <w:tcW w:w="853" w:type="pct"/>
            <w:tcBorders>
              <w:top w:val="nil"/>
              <w:left w:val="nil"/>
              <w:bottom w:val="single" w:sz="4" w:space="0" w:color="auto"/>
              <w:right w:val="single" w:sz="4" w:space="0" w:color="auto"/>
            </w:tcBorders>
            <w:shd w:val="clear" w:color="000000" w:fill="FFFFFF"/>
            <w:noWrap/>
            <w:hideMark/>
          </w:tcPr>
          <w:p w14:paraId="4D7A6DC7"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6CD239F7"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5806AE4B"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13594CF0" w14:textId="77777777" w:rsidR="000267A4" w:rsidRPr="000267A4" w:rsidRDefault="000267A4" w:rsidP="000267A4">
            <w:pPr>
              <w:jc w:val="right"/>
              <w:rPr>
                <w:noProof/>
                <w:sz w:val="20"/>
                <w:szCs w:val="20"/>
              </w:rPr>
            </w:pPr>
            <w:r w:rsidRPr="000267A4">
              <w:rPr>
                <w:noProof/>
                <w:sz w:val="20"/>
                <w:szCs w:val="20"/>
              </w:rPr>
              <w:t>0.0</w:t>
            </w:r>
          </w:p>
        </w:tc>
      </w:tr>
      <w:tr w:rsidR="000267A4" w:rsidRPr="005E2C09" w14:paraId="79EDF05C"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09B87D5F" w14:textId="77777777" w:rsidR="000267A4" w:rsidRPr="005E2C09" w:rsidRDefault="000267A4" w:rsidP="000267A4">
            <w:pPr>
              <w:rPr>
                <w:noProof/>
                <w:sz w:val="20"/>
                <w:szCs w:val="20"/>
              </w:rPr>
            </w:pPr>
            <w:r w:rsidRPr="005E2C09">
              <w:rPr>
                <w:noProof/>
                <w:sz w:val="20"/>
                <w:szCs w:val="20"/>
              </w:rPr>
              <w:t xml:space="preserve"> Latvia </w:t>
            </w:r>
          </w:p>
        </w:tc>
        <w:tc>
          <w:tcPr>
            <w:tcW w:w="853" w:type="pct"/>
            <w:tcBorders>
              <w:top w:val="nil"/>
              <w:left w:val="nil"/>
              <w:bottom w:val="single" w:sz="4" w:space="0" w:color="auto"/>
              <w:right w:val="single" w:sz="4" w:space="0" w:color="auto"/>
            </w:tcBorders>
            <w:shd w:val="clear" w:color="000000" w:fill="FFFFFF"/>
            <w:noWrap/>
            <w:hideMark/>
          </w:tcPr>
          <w:p w14:paraId="05AE4CA1"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0ABE68ED"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45CBF48F"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3C71EF16" w14:textId="77777777" w:rsidR="000267A4" w:rsidRPr="000267A4" w:rsidRDefault="000267A4" w:rsidP="000267A4">
            <w:pPr>
              <w:jc w:val="right"/>
              <w:rPr>
                <w:noProof/>
                <w:sz w:val="20"/>
                <w:szCs w:val="20"/>
              </w:rPr>
            </w:pPr>
            <w:r w:rsidRPr="000267A4">
              <w:rPr>
                <w:noProof/>
                <w:sz w:val="20"/>
                <w:szCs w:val="20"/>
              </w:rPr>
              <w:t>0.0</w:t>
            </w:r>
          </w:p>
        </w:tc>
      </w:tr>
      <w:tr w:rsidR="000267A4" w:rsidRPr="005E2C09" w14:paraId="235E6AF7"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382B03AA" w14:textId="77777777" w:rsidR="000267A4" w:rsidRPr="005E2C09" w:rsidRDefault="000267A4" w:rsidP="000267A4">
            <w:pPr>
              <w:rPr>
                <w:noProof/>
                <w:sz w:val="20"/>
                <w:szCs w:val="20"/>
              </w:rPr>
            </w:pPr>
            <w:r w:rsidRPr="005E2C09">
              <w:rPr>
                <w:noProof/>
                <w:sz w:val="20"/>
                <w:szCs w:val="20"/>
              </w:rPr>
              <w:t xml:space="preserve"> Romania </w:t>
            </w:r>
          </w:p>
        </w:tc>
        <w:tc>
          <w:tcPr>
            <w:tcW w:w="853" w:type="pct"/>
            <w:tcBorders>
              <w:top w:val="nil"/>
              <w:left w:val="nil"/>
              <w:bottom w:val="single" w:sz="4" w:space="0" w:color="auto"/>
              <w:right w:val="single" w:sz="4" w:space="0" w:color="auto"/>
            </w:tcBorders>
            <w:shd w:val="clear" w:color="000000" w:fill="FFFFFF"/>
            <w:noWrap/>
            <w:hideMark/>
          </w:tcPr>
          <w:p w14:paraId="65386F8A"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411BF8B8"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692180C9" w14:textId="77777777" w:rsidR="000267A4" w:rsidRPr="000267A4" w:rsidRDefault="000267A4" w:rsidP="000267A4">
            <w:pPr>
              <w:jc w:val="right"/>
              <w:rPr>
                <w:noProof/>
                <w:sz w:val="20"/>
                <w:szCs w:val="20"/>
              </w:rPr>
            </w:pPr>
            <w:r w:rsidRPr="000267A4">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455685F9" w14:textId="77777777" w:rsidR="000267A4" w:rsidRPr="000267A4" w:rsidRDefault="000267A4" w:rsidP="000267A4">
            <w:pPr>
              <w:jc w:val="right"/>
              <w:rPr>
                <w:noProof/>
                <w:sz w:val="20"/>
                <w:szCs w:val="20"/>
              </w:rPr>
            </w:pPr>
            <w:r w:rsidRPr="000267A4">
              <w:rPr>
                <w:noProof/>
                <w:sz w:val="20"/>
                <w:szCs w:val="20"/>
              </w:rPr>
              <w:t>0.0</w:t>
            </w:r>
          </w:p>
        </w:tc>
      </w:tr>
      <w:tr w:rsidR="000267A4" w:rsidRPr="005E2C09" w14:paraId="249DEB17"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83A4079" w14:textId="77777777" w:rsidR="000267A4" w:rsidRPr="005E2C09" w:rsidRDefault="000267A4" w:rsidP="000267A4">
            <w:pPr>
              <w:rPr>
                <w:noProof/>
                <w:sz w:val="20"/>
                <w:szCs w:val="20"/>
              </w:rPr>
            </w:pPr>
            <w:r w:rsidRPr="005E2C09">
              <w:rPr>
                <w:noProof/>
                <w:sz w:val="20"/>
                <w:szCs w:val="20"/>
              </w:rPr>
              <w:t xml:space="preserve"> Slovakia </w:t>
            </w:r>
          </w:p>
        </w:tc>
        <w:tc>
          <w:tcPr>
            <w:tcW w:w="853" w:type="pct"/>
            <w:tcBorders>
              <w:top w:val="nil"/>
              <w:left w:val="nil"/>
              <w:bottom w:val="single" w:sz="4" w:space="0" w:color="auto"/>
              <w:right w:val="single" w:sz="4" w:space="0" w:color="auto"/>
            </w:tcBorders>
            <w:shd w:val="clear" w:color="000000" w:fill="FFFFFF"/>
            <w:noWrap/>
            <w:hideMark/>
          </w:tcPr>
          <w:p w14:paraId="6DC84B61" w14:textId="4A2EF603" w:rsidR="000267A4" w:rsidRPr="000267A4" w:rsidRDefault="000267A4" w:rsidP="000267A4">
            <w:pPr>
              <w:jc w:val="right"/>
              <w:rPr>
                <w:noProof/>
                <w:sz w:val="20"/>
                <w:szCs w:val="20"/>
              </w:rPr>
            </w:pPr>
            <w:r w:rsidRPr="000267A4">
              <w:rPr>
                <w:noProof/>
                <w:sz w:val="20"/>
                <w:szCs w:val="20"/>
              </w:rPr>
              <w:t>19.7</w:t>
            </w:r>
          </w:p>
        </w:tc>
        <w:tc>
          <w:tcPr>
            <w:tcW w:w="853" w:type="pct"/>
            <w:tcBorders>
              <w:top w:val="nil"/>
              <w:left w:val="nil"/>
              <w:bottom w:val="single" w:sz="4" w:space="0" w:color="auto"/>
              <w:right w:val="single" w:sz="4" w:space="0" w:color="auto"/>
            </w:tcBorders>
            <w:shd w:val="clear" w:color="000000" w:fill="FFFFFF"/>
            <w:noWrap/>
            <w:hideMark/>
          </w:tcPr>
          <w:p w14:paraId="3800B7F5" w14:textId="06A0BDBD" w:rsidR="000267A4" w:rsidRPr="000267A4" w:rsidRDefault="000267A4" w:rsidP="000267A4">
            <w:pPr>
              <w:jc w:val="right"/>
              <w:rPr>
                <w:noProof/>
                <w:sz w:val="20"/>
                <w:szCs w:val="20"/>
              </w:rPr>
            </w:pPr>
            <w:r w:rsidRPr="000267A4">
              <w:rPr>
                <w:noProof/>
                <w:sz w:val="20"/>
                <w:szCs w:val="20"/>
              </w:rPr>
              <w:t>3.0</w:t>
            </w:r>
          </w:p>
        </w:tc>
        <w:tc>
          <w:tcPr>
            <w:tcW w:w="853" w:type="pct"/>
            <w:tcBorders>
              <w:top w:val="nil"/>
              <w:left w:val="nil"/>
              <w:bottom w:val="single" w:sz="4" w:space="0" w:color="auto"/>
              <w:right w:val="single" w:sz="4" w:space="0" w:color="auto"/>
            </w:tcBorders>
            <w:shd w:val="clear" w:color="000000" w:fill="FFFFFF"/>
            <w:noWrap/>
            <w:hideMark/>
          </w:tcPr>
          <w:p w14:paraId="0E9E0541" w14:textId="5F9BBDAC" w:rsidR="000267A4" w:rsidRPr="000267A4" w:rsidRDefault="000267A4" w:rsidP="000267A4">
            <w:pPr>
              <w:jc w:val="right"/>
              <w:rPr>
                <w:noProof/>
                <w:sz w:val="20"/>
                <w:szCs w:val="20"/>
              </w:rPr>
            </w:pPr>
            <w:r w:rsidRPr="000267A4">
              <w:rPr>
                <w:noProof/>
                <w:sz w:val="20"/>
                <w:szCs w:val="20"/>
              </w:rPr>
              <w:t>5.0</w:t>
            </w:r>
          </w:p>
        </w:tc>
        <w:tc>
          <w:tcPr>
            <w:tcW w:w="853" w:type="pct"/>
            <w:tcBorders>
              <w:top w:val="nil"/>
              <w:left w:val="nil"/>
              <w:bottom w:val="single" w:sz="4" w:space="0" w:color="auto"/>
              <w:right w:val="single" w:sz="4" w:space="0" w:color="auto"/>
            </w:tcBorders>
            <w:shd w:val="clear" w:color="000000" w:fill="FFFFFF"/>
            <w:noWrap/>
            <w:hideMark/>
          </w:tcPr>
          <w:p w14:paraId="5F3C3A85" w14:textId="74C84A4B" w:rsidR="000267A4" w:rsidRPr="000267A4" w:rsidRDefault="000267A4" w:rsidP="000267A4">
            <w:pPr>
              <w:jc w:val="right"/>
              <w:rPr>
                <w:noProof/>
                <w:sz w:val="20"/>
                <w:szCs w:val="20"/>
              </w:rPr>
            </w:pPr>
            <w:r w:rsidRPr="000267A4">
              <w:rPr>
                <w:noProof/>
                <w:sz w:val="20"/>
                <w:szCs w:val="20"/>
              </w:rPr>
              <w:t>3.4</w:t>
            </w:r>
          </w:p>
        </w:tc>
      </w:tr>
      <w:tr w:rsidR="000267A4" w:rsidRPr="005E2C09" w14:paraId="5F9A5901" w14:textId="77777777" w:rsidTr="000267A4">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5950A4F9" w14:textId="4C371D55" w:rsidR="000267A4" w:rsidRPr="005E2C09" w:rsidRDefault="000267A4" w:rsidP="000267A4">
            <w:pPr>
              <w:rPr>
                <w:b/>
                <w:bCs/>
                <w:noProof/>
                <w:sz w:val="20"/>
                <w:szCs w:val="20"/>
              </w:rPr>
            </w:pPr>
            <w:r w:rsidRPr="005E2C09">
              <w:rPr>
                <w:b/>
                <w:bCs/>
                <w:noProof/>
                <w:sz w:val="20"/>
                <w:szCs w:val="20"/>
              </w:rPr>
              <w:t xml:space="preserve"> Total </w:t>
            </w:r>
          </w:p>
        </w:tc>
        <w:tc>
          <w:tcPr>
            <w:tcW w:w="853" w:type="pct"/>
            <w:tcBorders>
              <w:top w:val="nil"/>
              <w:left w:val="nil"/>
              <w:bottom w:val="single" w:sz="4" w:space="0" w:color="auto"/>
              <w:right w:val="single" w:sz="4" w:space="0" w:color="auto"/>
            </w:tcBorders>
            <w:shd w:val="clear" w:color="000000" w:fill="FFFFFF"/>
            <w:noWrap/>
            <w:hideMark/>
          </w:tcPr>
          <w:p w14:paraId="05D5D993" w14:textId="42D72525" w:rsidR="000267A4" w:rsidRPr="000267A4" w:rsidRDefault="000267A4" w:rsidP="000267A4">
            <w:pPr>
              <w:jc w:val="right"/>
              <w:rPr>
                <w:b/>
                <w:bCs/>
                <w:noProof/>
                <w:sz w:val="20"/>
                <w:szCs w:val="20"/>
              </w:rPr>
            </w:pPr>
            <w:r w:rsidRPr="000267A4">
              <w:rPr>
                <w:b/>
                <w:bCs/>
                <w:noProof/>
                <w:sz w:val="20"/>
                <w:szCs w:val="20"/>
              </w:rPr>
              <w:t>1,970.9</w:t>
            </w:r>
          </w:p>
        </w:tc>
        <w:tc>
          <w:tcPr>
            <w:tcW w:w="853" w:type="pct"/>
            <w:tcBorders>
              <w:top w:val="nil"/>
              <w:left w:val="nil"/>
              <w:bottom w:val="single" w:sz="4" w:space="0" w:color="auto"/>
              <w:right w:val="single" w:sz="4" w:space="0" w:color="auto"/>
            </w:tcBorders>
            <w:shd w:val="clear" w:color="000000" w:fill="FFFFFF"/>
            <w:noWrap/>
            <w:hideMark/>
          </w:tcPr>
          <w:p w14:paraId="78088C34" w14:textId="52B8C6B2" w:rsidR="000267A4" w:rsidRPr="000267A4" w:rsidRDefault="000267A4" w:rsidP="000267A4">
            <w:pPr>
              <w:jc w:val="right"/>
              <w:rPr>
                <w:b/>
                <w:bCs/>
                <w:noProof/>
                <w:sz w:val="20"/>
                <w:szCs w:val="20"/>
              </w:rPr>
            </w:pPr>
            <w:r w:rsidRPr="000267A4">
              <w:rPr>
                <w:b/>
                <w:bCs/>
                <w:noProof/>
                <w:sz w:val="20"/>
                <w:szCs w:val="20"/>
              </w:rPr>
              <w:t>298.3</w:t>
            </w:r>
          </w:p>
        </w:tc>
        <w:tc>
          <w:tcPr>
            <w:tcW w:w="853" w:type="pct"/>
            <w:tcBorders>
              <w:top w:val="nil"/>
              <w:left w:val="nil"/>
              <w:bottom w:val="single" w:sz="4" w:space="0" w:color="auto"/>
              <w:right w:val="single" w:sz="4" w:space="0" w:color="auto"/>
            </w:tcBorders>
            <w:shd w:val="clear" w:color="000000" w:fill="FFFFFF"/>
            <w:noWrap/>
            <w:hideMark/>
          </w:tcPr>
          <w:p w14:paraId="7AF7A2BE" w14:textId="15AB74BB" w:rsidR="000267A4" w:rsidRPr="000267A4" w:rsidRDefault="000267A4" w:rsidP="000267A4">
            <w:pPr>
              <w:jc w:val="right"/>
              <w:rPr>
                <w:b/>
                <w:bCs/>
                <w:noProof/>
                <w:sz w:val="20"/>
                <w:szCs w:val="20"/>
              </w:rPr>
            </w:pPr>
            <w:r w:rsidRPr="000267A4">
              <w:rPr>
                <w:b/>
                <w:bCs/>
                <w:noProof/>
                <w:sz w:val="20"/>
                <w:szCs w:val="20"/>
              </w:rPr>
              <w:t>501.3</w:t>
            </w:r>
          </w:p>
        </w:tc>
        <w:tc>
          <w:tcPr>
            <w:tcW w:w="853" w:type="pct"/>
            <w:tcBorders>
              <w:top w:val="nil"/>
              <w:left w:val="nil"/>
              <w:bottom w:val="single" w:sz="4" w:space="0" w:color="auto"/>
              <w:right w:val="single" w:sz="4" w:space="0" w:color="auto"/>
            </w:tcBorders>
            <w:shd w:val="clear" w:color="000000" w:fill="FFFFFF"/>
            <w:noWrap/>
            <w:hideMark/>
          </w:tcPr>
          <w:p w14:paraId="092B5CF8" w14:textId="6DA9EA25" w:rsidR="000267A4" w:rsidRPr="000267A4" w:rsidRDefault="000267A4" w:rsidP="000267A4">
            <w:pPr>
              <w:jc w:val="right"/>
              <w:rPr>
                <w:b/>
                <w:bCs/>
                <w:noProof/>
                <w:sz w:val="20"/>
                <w:szCs w:val="20"/>
              </w:rPr>
            </w:pPr>
            <w:r w:rsidRPr="000267A4">
              <w:rPr>
                <w:b/>
                <w:bCs/>
                <w:noProof/>
                <w:sz w:val="20"/>
                <w:szCs w:val="20"/>
              </w:rPr>
              <w:t>344.0</w:t>
            </w:r>
          </w:p>
        </w:tc>
      </w:tr>
    </w:tbl>
    <w:p w14:paraId="42B61116" w14:textId="77777777" w:rsidR="00525716" w:rsidRPr="005E2C09" w:rsidRDefault="00525716" w:rsidP="00525716">
      <w:pPr>
        <w:tabs>
          <w:tab w:val="left" w:pos="2302"/>
        </w:tabs>
        <w:spacing w:after="240"/>
        <w:jc w:val="both"/>
        <w:rPr>
          <w:i/>
          <w:noProof/>
          <w:sz w:val="20"/>
          <w:szCs w:val="20"/>
        </w:rPr>
      </w:pPr>
      <w:r w:rsidRPr="005E2C09">
        <w:rPr>
          <w:i/>
          <w:noProof/>
          <w:spacing w:val="-8"/>
          <w:sz w:val="20"/>
          <w:szCs w:val="20"/>
        </w:rPr>
        <w:t xml:space="preserve">Source: </w:t>
      </w:r>
      <w:r w:rsidRPr="005E2C09">
        <w:rPr>
          <w:i/>
          <w:noProof/>
          <w:sz w:val="20"/>
          <w:szCs w:val="20"/>
        </w:rPr>
        <w:t>Ricardo et al. (2026), Impact assessment support study</w:t>
      </w:r>
    </w:p>
    <w:p w14:paraId="5DBA4E42" w14:textId="139C7D4F" w:rsidR="00525716" w:rsidRPr="00DB078C" w:rsidRDefault="00525716" w:rsidP="00DB078C">
      <w:pPr>
        <w:keepNext/>
        <w:tabs>
          <w:tab w:val="left" w:pos="1134"/>
        </w:tabs>
        <w:jc w:val="both"/>
        <w:rPr>
          <w:i/>
          <w:noProof/>
          <w:sz w:val="22"/>
          <w:szCs w:val="22"/>
        </w:rPr>
      </w:pPr>
      <w:r w:rsidRPr="00DB078C">
        <w:rPr>
          <w:i/>
          <w:noProof/>
          <w:sz w:val="22"/>
          <w:szCs w:val="22"/>
        </w:rPr>
        <w:t xml:space="preserve">Table </w:t>
      </w:r>
      <w:r w:rsidRPr="00DB078C">
        <w:rPr>
          <w:i/>
          <w:noProof/>
          <w:sz w:val="22"/>
          <w:szCs w:val="22"/>
        </w:rPr>
        <w:fldChar w:fldCharType="begin"/>
      </w:r>
      <w:r w:rsidRPr="00DB078C">
        <w:rPr>
          <w:i/>
          <w:noProof/>
          <w:sz w:val="22"/>
          <w:szCs w:val="22"/>
        </w:rPr>
        <w:instrText xml:space="preserve"> SEQ Table \* ARABIC </w:instrText>
      </w:r>
      <w:r w:rsidRPr="00DB078C">
        <w:rPr>
          <w:i/>
          <w:noProof/>
          <w:sz w:val="22"/>
          <w:szCs w:val="22"/>
        </w:rPr>
        <w:fldChar w:fldCharType="separate"/>
      </w:r>
      <w:r w:rsidR="0055391F">
        <w:rPr>
          <w:i/>
          <w:noProof/>
          <w:sz w:val="22"/>
          <w:szCs w:val="22"/>
        </w:rPr>
        <w:t>82</w:t>
      </w:r>
      <w:r w:rsidRPr="00DB078C">
        <w:rPr>
          <w:i/>
          <w:noProof/>
          <w:sz w:val="22"/>
          <w:szCs w:val="22"/>
        </w:rPr>
        <w:fldChar w:fldCharType="end"/>
      </w:r>
      <w:r w:rsidRPr="00DB078C">
        <w:rPr>
          <w:i/>
          <w:noProof/>
          <w:sz w:val="22"/>
          <w:szCs w:val="22"/>
        </w:rPr>
        <w:t xml:space="preserve">: Total one-off and recurrent adjustment costs for </w:t>
      </w:r>
      <w:r w:rsidR="00E65F03">
        <w:rPr>
          <w:i/>
          <w:noProof/>
          <w:sz w:val="22"/>
          <w:szCs w:val="22"/>
        </w:rPr>
        <w:t>non-SME</w:t>
      </w:r>
      <w:r w:rsidRPr="00DB078C">
        <w:rPr>
          <w:i/>
          <w:noProof/>
          <w:sz w:val="22"/>
          <w:szCs w:val="22"/>
        </w:rPr>
        <w:t xml:space="preserve"> B2C MDMS platforms due to PM</w:t>
      </w:r>
      <w:r w:rsidR="00597FA0" w:rsidRPr="00DB078C">
        <w:rPr>
          <w:i/>
          <w:noProof/>
          <w:sz w:val="22"/>
          <w:szCs w:val="22"/>
        </w:rPr>
        <w:t>3</w:t>
      </w:r>
      <w:r w:rsidRPr="00DB078C">
        <w:rPr>
          <w:i/>
          <w:noProof/>
          <w:sz w:val="22"/>
          <w:szCs w:val="22"/>
        </w:rPr>
        <w:t xml:space="preserve"> in PO3 in 2028, 2030, 2040 and 2050 relative to the baseline (thousand EUR, in 2024 prices)</w:t>
      </w:r>
    </w:p>
    <w:tbl>
      <w:tblPr>
        <w:tblW w:w="5000" w:type="pct"/>
        <w:tblLook w:val="04A0" w:firstRow="1" w:lastRow="0" w:firstColumn="1" w:lastColumn="0" w:noHBand="0" w:noVBand="1"/>
      </w:tblPr>
      <w:tblGrid>
        <w:gridCol w:w="3053"/>
        <w:gridCol w:w="1638"/>
        <w:gridCol w:w="1638"/>
        <w:gridCol w:w="1638"/>
        <w:gridCol w:w="1636"/>
      </w:tblGrid>
      <w:tr w:rsidR="00A633A1" w:rsidRPr="00A633A1" w14:paraId="2CFB58C2" w14:textId="77777777" w:rsidTr="0009689D">
        <w:trPr>
          <w:trHeight w:val="255"/>
          <w:tblHeader/>
        </w:trPr>
        <w:tc>
          <w:tcPr>
            <w:tcW w:w="1589" w:type="pct"/>
            <w:tcBorders>
              <w:top w:val="single" w:sz="4" w:space="0" w:color="auto"/>
              <w:left w:val="single" w:sz="4" w:space="0" w:color="auto"/>
              <w:bottom w:val="single" w:sz="4" w:space="0" w:color="auto"/>
              <w:right w:val="single" w:sz="4" w:space="0" w:color="auto"/>
            </w:tcBorders>
            <w:shd w:val="clear" w:color="000000" w:fill="0070C0"/>
            <w:noWrap/>
            <w:hideMark/>
          </w:tcPr>
          <w:p w14:paraId="38AF40A4" w14:textId="2FD9A90D" w:rsidR="00890701" w:rsidRPr="00A633A1" w:rsidRDefault="00890701">
            <w:pPr>
              <w:jc w:val="center"/>
              <w:rPr>
                <w:b/>
                <w:bCs/>
                <w:noProof/>
                <w:color w:val="FFFFFF"/>
                <w:sz w:val="20"/>
                <w:szCs w:val="20"/>
              </w:rPr>
            </w:pPr>
          </w:p>
        </w:tc>
        <w:tc>
          <w:tcPr>
            <w:tcW w:w="853" w:type="pct"/>
            <w:tcBorders>
              <w:top w:val="single" w:sz="4" w:space="0" w:color="auto"/>
              <w:left w:val="nil"/>
              <w:bottom w:val="single" w:sz="4" w:space="0" w:color="auto"/>
              <w:right w:val="single" w:sz="4" w:space="0" w:color="auto"/>
            </w:tcBorders>
            <w:shd w:val="clear" w:color="000000" w:fill="0070C0"/>
            <w:noWrap/>
            <w:hideMark/>
          </w:tcPr>
          <w:p w14:paraId="364F9B49" w14:textId="77777777" w:rsidR="00890701" w:rsidRPr="00A633A1" w:rsidRDefault="00890701">
            <w:pPr>
              <w:jc w:val="center"/>
              <w:rPr>
                <w:b/>
                <w:bCs/>
                <w:noProof/>
                <w:color w:val="FFFFFF"/>
                <w:sz w:val="20"/>
                <w:szCs w:val="20"/>
              </w:rPr>
            </w:pPr>
            <w:r w:rsidRPr="00A633A1">
              <w:rPr>
                <w:b/>
                <w:bCs/>
                <w:noProof/>
                <w:color w:val="FFFFFF"/>
                <w:sz w:val="20"/>
                <w:szCs w:val="20"/>
              </w:rPr>
              <w:t>2028</w:t>
            </w:r>
          </w:p>
        </w:tc>
        <w:tc>
          <w:tcPr>
            <w:tcW w:w="853" w:type="pct"/>
            <w:tcBorders>
              <w:top w:val="single" w:sz="4" w:space="0" w:color="auto"/>
              <w:left w:val="nil"/>
              <w:bottom w:val="single" w:sz="4" w:space="0" w:color="auto"/>
              <w:right w:val="single" w:sz="4" w:space="0" w:color="auto"/>
            </w:tcBorders>
            <w:shd w:val="clear" w:color="000000" w:fill="0070C0"/>
            <w:noWrap/>
            <w:hideMark/>
          </w:tcPr>
          <w:p w14:paraId="270512D7" w14:textId="77777777" w:rsidR="00890701" w:rsidRPr="00A633A1" w:rsidRDefault="00890701">
            <w:pPr>
              <w:jc w:val="center"/>
              <w:rPr>
                <w:b/>
                <w:bCs/>
                <w:noProof/>
                <w:color w:val="FFFFFF"/>
                <w:sz w:val="20"/>
                <w:szCs w:val="20"/>
              </w:rPr>
            </w:pPr>
            <w:r w:rsidRPr="00A633A1">
              <w:rPr>
                <w:b/>
                <w:bCs/>
                <w:noProof/>
                <w:color w:val="FFFFFF"/>
                <w:sz w:val="20"/>
                <w:szCs w:val="20"/>
              </w:rPr>
              <w:t>2030</w:t>
            </w:r>
          </w:p>
        </w:tc>
        <w:tc>
          <w:tcPr>
            <w:tcW w:w="853" w:type="pct"/>
            <w:tcBorders>
              <w:top w:val="single" w:sz="4" w:space="0" w:color="auto"/>
              <w:left w:val="nil"/>
              <w:bottom w:val="single" w:sz="4" w:space="0" w:color="auto"/>
              <w:right w:val="single" w:sz="4" w:space="0" w:color="auto"/>
            </w:tcBorders>
            <w:shd w:val="clear" w:color="000000" w:fill="0070C0"/>
            <w:noWrap/>
            <w:hideMark/>
          </w:tcPr>
          <w:p w14:paraId="08B09B59" w14:textId="77777777" w:rsidR="00890701" w:rsidRPr="00A633A1" w:rsidRDefault="00890701">
            <w:pPr>
              <w:jc w:val="center"/>
              <w:rPr>
                <w:b/>
                <w:bCs/>
                <w:noProof/>
                <w:color w:val="FFFFFF"/>
                <w:sz w:val="20"/>
                <w:szCs w:val="20"/>
              </w:rPr>
            </w:pPr>
            <w:r w:rsidRPr="00A633A1">
              <w:rPr>
                <w:b/>
                <w:bCs/>
                <w:noProof/>
                <w:color w:val="FFFFFF"/>
                <w:sz w:val="20"/>
                <w:szCs w:val="20"/>
              </w:rPr>
              <w:t>2040</w:t>
            </w:r>
          </w:p>
        </w:tc>
        <w:tc>
          <w:tcPr>
            <w:tcW w:w="853" w:type="pct"/>
            <w:tcBorders>
              <w:top w:val="single" w:sz="4" w:space="0" w:color="auto"/>
              <w:left w:val="nil"/>
              <w:bottom w:val="single" w:sz="4" w:space="0" w:color="auto"/>
              <w:right w:val="single" w:sz="4" w:space="0" w:color="auto"/>
            </w:tcBorders>
            <w:shd w:val="clear" w:color="000000" w:fill="0070C0"/>
            <w:noWrap/>
            <w:hideMark/>
          </w:tcPr>
          <w:p w14:paraId="7A44659E" w14:textId="77777777" w:rsidR="00890701" w:rsidRPr="00A633A1" w:rsidRDefault="00890701">
            <w:pPr>
              <w:jc w:val="center"/>
              <w:rPr>
                <w:b/>
                <w:bCs/>
                <w:noProof/>
                <w:color w:val="FFFFFF"/>
                <w:sz w:val="20"/>
                <w:szCs w:val="20"/>
              </w:rPr>
            </w:pPr>
            <w:r w:rsidRPr="00A633A1">
              <w:rPr>
                <w:b/>
                <w:bCs/>
                <w:noProof/>
                <w:color w:val="FFFFFF"/>
                <w:sz w:val="20"/>
                <w:szCs w:val="20"/>
              </w:rPr>
              <w:t>2050</w:t>
            </w:r>
          </w:p>
        </w:tc>
      </w:tr>
      <w:tr w:rsidR="0009689D" w:rsidRPr="00A633A1" w14:paraId="73521C24"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4188D5C8" w14:textId="77777777" w:rsidR="0009689D" w:rsidRPr="00A633A1" w:rsidRDefault="0009689D" w:rsidP="0009689D">
            <w:pPr>
              <w:rPr>
                <w:noProof/>
                <w:sz w:val="20"/>
                <w:szCs w:val="20"/>
              </w:rPr>
            </w:pPr>
            <w:r w:rsidRPr="00A633A1">
              <w:rPr>
                <w:noProof/>
                <w:sz w:val="20"/>
                <w:szCs w:val="20"/>
              </w:rPr>
              <w:t xml:space="preserve"> Germany </w:t>
            </w:r>
          </w:p>
        </w:tc>
        <w:tc>
          <w:tcPr>
            <w:tcW w:w="853" w:type="pct"/>
            <w:tcBorders>
              <w:top w:val="nil"/>
              <w:left w:val="nil"/>
              <w:bottom w:val="single" w:sz="4" w:space="0" w:color="auto"/>
              <w:right w:val="single" w:sz="4" w:space="0" w:color="auto"/>
            </w:tcBorders>
            <w:shd w:val="clear" w:color="000000" w:fill="FFFFFF"/>
            <w:noWrap/>
            <w:hideMark/>
          </w:tcPr>
          <w:p w14:paraId="397E2230" w14:textId="656786A8" w:rsidR="0009689D" w:rsidRPr="0009689D" w:rsidRDefault="0009689D" w:rsidP="0009689D">
            <w:pPr>
              <w:jc w:val="right"/>
              <w:rPr>
                <w:noProof/>
                <w:sz w:val="20"/>
                <w:szCs w:val="20"/>
              </w:rPr>
            </w:pPr>
            <w:r w:rsidRPr="0009689D">
              <w:rPr>
                <w:noProof/>
                <w:sz w:val="20"/>
                <w:szCs w:val="20"/>
              </w:rPr>
              <w:t>236.5</w:t>
            </w:r>
          </w:p>
        </w:tc>
        <w:tc>
          <w:tcPr>
            <w:tcW w:w="853" w:type="pct"/>
            <w:tcBorders>
              <w:top w:val="nil"/>
              <w:left w:val="nil"/>
              <w:bottom w:val="single" w:sz="4" w:space="0" w:color="auto"/>
              <w:right w:val="single" w:sz="4" w:space="0" w:color="auto"/>
            </w:tcBorders>
            <w:shd w:val="clear" w:color="000000" w:fill="FFFFFF"/>
            <w:noWrap/>
            <w:hideMark/>
          </w:tcPr>
          <w:p w14:paraId="36F25EAF" w14:textId="4FA5D816" w:rsidR="0009689D" w:rsidRPr="0009689D" w:rsidRDefault="0009689D" w:rsidP="0009689D">
            <w:pPr>
              <w:jc w:val="right"/>
              <w:rPr>
                <w:noProof/>
                <w:sz w:val="20"/>
                <w:szCs w:val="20"/>
              </w:rPr>
            </w:pPr>
            <w:r w:rsidRPr="0009689D">
              <w:rPr>
                <w:noProof/>
                <w:sz w:val="20"/>
                <w:szCs w:val="20"/>
              </w:rPr>
              <w:t>36.3</w:t>
            </w:r>
          </w:p>
        </w:tc>
        <w:tc>
          <w:tcPr>
            <w:tcW w:w="853" w:type="pct"/>
            <w:tcBorders>
              <w:top w:val="nil"/>
              <w:left w:val="nil"/>
              <w:bottom w:val="single" w:sz="4" w:space="0" w:color="auto"/>
              <w:right w:val="single" w:sz="4" w:space="0" w:color="auto"/>
            </w:tcBorders>
            <w:shd w:val="clear" w:color="000000" w:fill="FFFFFF"/>
            <w:noWrap/>
            <w:hideMark/>
          </w:tcPr>
          <w:p w14:paraId="0B2731D9" w14:textId="285FA3E7" w:rsidR="0009689D" w:rsidRPr="0009689D" w:rsidRDefault="0009689D" w:rsidP="0009689D">
            <w:pPr>
              <w:jc w:val="right"/>
              <w:rPr>
                <w:noProof/>
                <w:sz w:val="20"/>
                <w:szCs w:val="20"/>
              </w:rPr>
            </w:pPr>
            <w:r w:rsidRPr="0009689D">
              <w:rPr>
                <w:noProof/>
                <w:sz w:val="20"/>
                <w:szCs w:val="20"/>
              </w:rPr>
              <w:t>54.7</w:t>
            </w:r>
          </w:p>
        </w:tc>
        <w:tc>
          <w:tcPr>
            <w:tcW w:w="853" w:type="pct"/>
            <w:tcBorders>
              <w:top w:val="nil"/>
              <w:left w:val="nil"/>
              <w:bottom w:val="single" w:sz="4" w:space="0" w:color="auto"/>
              <w:right w:val="single" w:sz="4" w:space="0" w:color="auto"/>
            </w:tcBorders>
            <w:shd w:val="clear" w:color="000000" w:fill="FFFFFF"/>
            <w:noWrap/>
            <w:hideMark/>
          </w:tcPr>
          <w:p w14:paraId="79B0163D" w14:textId="781F9B92" w:rsidR="0009689D" w:rsidRPr="0009689D" w:rsidRDefault="0009689D" w:rsidP="0009689D">
            <w:pPr>
              <w:jc w:val="right"/>
              <w:rPr>
                <w:noProof/>
                <w:sz w:val="20"/>
                <w:szCs w:val="20"/>
              </w:rPr>
            </w:pPr>
            <w:r w:rsidRPr="0009689D">
              <w:rPr>
                <w:noProof/>
                <w:sz w:val="20"/>
                <w:szCs w:val="20"/>
              </w:rPr>
              <w:t>41.0</w:t>
            </w:r>
          </w:p>
        </w:tc>
      </w:tr>
      <w:tr w:rsidR="0009689D" w:rsidRPr="00A633A1" w14:paraId="3FFB7DE1"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300E8631" w14:textId="77777777" w:rsidR="0009689D" w:rsidRPr="00A633A1" w:rsidRDefault="0009689D" w:rsidP="0009689D">
            <w:pPr>
              <w:rPr>
                <w:noProof/>
                <w:sz w:val="20"/>
                <w:szCs w:val="20"/>
              </w:rPr>
            </w:pPr>
            <w:r w:rsidRPr="00A633A1">
              <w:rPr>
                <w:noProof/>
                <w:sz w:val="20"/>
                <w:szCs w:val="20"/>
              </w:rPr>
              <w:t xml:space="preserve"> Austria </w:t>
            </w:r>
          </w:p>
        </w:tc>
        <w:tc>
          <w:tcPr>
            <w:tcW w:w="853" w:type="pct"/>
            <w:tcBorders>
              <w:top w:val="nil"/>
              <w:left w:val="nil"/>
              <w:bottom w:val="single" w:sz="4" w:space="0" w:color="auto"/>
              <w:right w:val="single" w:sz="4" w:space="0" w:color="auto"/>
            </w:tcBorders>
            <w:shd w:val="clear" w:color="000000" w:fill="FFFFFF"/>
            <w:noWrap/>
            <w:hideMark/>
          </w:tcPr>
          <w:p w14:paraId="383EDC0B" w14:textId="6FA03B41" w:rsidR="0009689D" w:rsidRPr="0009689D" w:rsidRDefault="0009689D" w:rsidP="0009689D">
            <w:pPr>
              <w:jc w:val="right"/>
              <w:rPr>
                <w:noProof/>
                <w:sz w:val="20"/>
                <w:szCs w:val="20"/>
              </w:rPr>
            </w:pPr>
            <w:r w:rsidRPr="0009689D">
              <w:rPr>
                <w:noProof/>
                <w:sz w:val="20"/>
                <w:szCs w:val="20"/>
              </w:rPr>
              <w:t>177.4</w:t>
            </w:r>
          </w:p>
        </w:tc>
        <w:tc>
          <w:tcPr>
            <w:tcW w:w="853" w:type="pct"/>
            <w:tcBorders>
              <w:top w:val="nil"/>
              <w:left w:val="nil"/>
              <w:bottom w:val="single" w:sz="4" w:space="0" w:color="auto"/>
              <w:right w:val="single" w:sz="4" w:space="0" w:color="auto"/>
            </w:tcBorders>
            <w:shd w:val="clear" w:color="000000" w:fill="FFFFFF"/>
            <w:noWrap/>
            <w:hideMark/>
          </w:tcPr>
          <w:p w14:paraId="5E8C6E75" w14:textId="710E1955" w:rsidR="0009689D" w:rsidRPr="0009689D" w:rsidRDefault="0009689D" w:rsidP="0009689D">
            <w:pPr>
              <w:jc w:val="right"/>
              <w:rPr>
                <w:noProof/>
                <w:sz w:val="20"/>
                <w:szCs w:val="20"/>
              </w:rPr>
            </w:pPr>
            <w:r w:rsidRPr="0009689D">
              <w:rPr>
                <w:noProof/>
                <w:sz w:val="20"/>
                <w:szCs w:val="20"/>
              </w:rPr>
              <w:t>27.2</w:t>
            </w:r>
          </w:p>
        </w:tc>
        <w:tc>
          <w:tcPr>
            <w:tcW w:w="853" w:type="pct"/>
            <w:tcBorders>
              <w:top w:val="nil"/>
              <w:left w:val="nil"/>
              <w:bottom w:val="single" w:sz="4" w:space="0" w:color="auto"/>
              <w:right w:val="single" w:sz="4" w:space="0" w:color="auto"/>
            </w:tcBorders>
            <w:shd w:val="clear" w:color="000000" w:fill="FFFFFF"/>
            <w:noWrap/>
            <w:hideMark/>
          </w:tcPr>
          <w:p w14:paraId="4C765DE3" w14:textId="44EEC14C" w:rsidR="0009689D" w:rsidRPr="0009689D" w:rsidRDefault="0009689D" w:rsidP="0009689D">
            <w:pPr>
              <w:jc w:val="right"/>
              <w:rPr>
                <w:noProof/>
                <w:sz w:val="20"/>
                <w:szCs w:val="20"/>
              </w:rPr>
            </w:pPr>
            <w:r w:rsidRPr="0009689D">
              <w:rPr>
                <w:noProof/>
                <w:sz w:val="20"/>
                <w:szCs w:val="20"/>
              </w:rPr>
              <w:t>41.0</w:t>
            </w:r>
          </w:p>
        </w:tc>
        <w:tc>
          <w:tcPr>
            <w:tcW w:w="853" w:type="pct"/>
            <w:tcBorders>
              <w:top w:val="nil"/>
              <w:left w:val="nil"/>
              <w:bottom w:val="single" w:sz="4" w:space="0" w:color="auto"/>
              <w:right w:val="single" w:sz="4" w:space="0" w:color="auto"/>
            </w:tcBorders>
            <w:shd w:val="clear" w:color="000000" w:fill="FFFFFF"/>
            <w:noWrap/>
            <w:hideMark/>
          </w:tcPr>
          <w:p w14:paraId="73FCB011" w14:textId="167A5E59" w:rsidR="0009689D" w:rsidRPr="0009689D" w:rsidRDefault="0009689D" w:rsidP="0009689D">
            <w:pPr>
              <w:jc w:val="right"/>
              <w:rPr>
                <w:noProof/>
                <w:sz w:val="20"/>
                <w:szCs w:val="20"/>
              </w:rPr>
            </w:pPr>
            <w:r w:rsidRPr="0009689D">
              <w:rPr>
                <w:noProof/>
                <w:sz w:val="20"/>
                <w:szCs w:val="20"/>
              </w:rPr>
              <w:t>30.7</w:t>
            </w:r>
          </w:p>
        </w:tc>
      </w:tr>
      <w:tr w:rsidR="0009689D" w:rsidRPr="00A633A1" w14:paraId="10DB43B8"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2E18E466" w14:textId="77777777" w:rsidR="0009689D" w:rsidRPr="00A633A1" w:rsidRDefault="0009689D" w:rsidP="0009689D">
            <w:pPr>
              <w:rPr>
                <w:noProof/>
                <w:sz w:val="20"/>
                <w:szCs w:val="20"/>
              </w:rPr>
            </w:pPr>
            <w:r w:rsidRPr="00A633A1">
              <w:rPr>
                <w:noProof/>
                <w:sz w:val="20"/>
                <w:szCs w:val="20"/>
              </w:rPr>
              <w:t xml:space="preserve"> Denmark </w:t>
            </w:r>
          </w:p>
        </w:tc>
        <w:tc>
          <w:tcPr>
            <w:tcW w:w="853" w:type="pct"/>
            <w:tcBorders>
              <w:top w:val="nil"/>
              <w:left w:val="nil"/>
              <w:bottom w:val="single" w:sz="4" w:space="0" w:color="auto"/>
              <w:right w:val="single" w:sz="4" w:space="0" w:color="auto"/>
            </w:tcBorders>
            <w:shd w:val="clear" w:color="000000" w:fill="FFFFFF"/>
            <w:noWrap/>
            <w:hideMark/>
          </w:tcPr>
          <w:p w14:paraId="0BFEF7B9" w14:textId="6F8238B9" w:rsidR="0009689D" w:rsidRPr="0009689D" w:rsidRDefault="0009689D" w:rsidP="0009689D">
            <w:pPr>
              <w:jc w:val="right"/>
              <w:rPr>
                <w:noProof/>
                <w:sz w:val="20"/>
                <w:szCs w:val="20"/>
              </w:rPr>
            </w:pPr>
            <w:r w:rsidRPr="0009689D">
              <w:rPr>
                <w:noProof/>
                <w:sz w:val="20"/>
                <w:szCs w:val="20"/>
              </w:rPr>
              <w:t>118.3</w:t>
            </w:r>
          </w:p>
        </w:tc>
        <w:tc>
          <w:tcPr>
            <w:tcW w:w="853" w:type="pct"/>
            <w:tcBorders>
              <w:top w:val="nil"/>
              <w:left w:val="nil"/>
              <w:bottom w:val="single" w:sz="4" w:space="0" w:color="auto"/>
              <w:right w:val="single" w:sz="4" w:space="0" w:color="auto"/>
            </w:tcBorders>
            <w:shd w:val="clear" w:color="000000" w:fill="FFFFFF"/>
            <w:noWrap/>
            <w:hideMark/>
          </w:tcPr>
          <w:p w14:paraId="4F721F71" w14:textId="71C6FA7B" w:rsidR="0009689D" w:rsidRPr="0009689D" w:rsidRDefault="0009689D" w:rsidP="0009689D">
            <w:pPr>
              <w:jc w:val="right"/>
              <w:rPr>
                <w:noProof/>
                <w:sz w:val="20"/>
                <w:szCs w:val="20"/>
              </w:rPr>
            </w:pPr>
            <w:r w:rsidRPr="0009689D">
              <w:rPr>
                <w:noProof/>
                <w:sz w:val="20"/>
                <w:szCs w:val="20"/>
              </w:rPr>
              <w:t>18.2</w:t>
            </w:r>
          </w:p>
        </w:tc>
        <w:tc>
          <w:tcPr>
            <w:tcW w:w="853" w:type="pct"/>
            <w:tcBorders>
              <w:top w:val="nil"/>
              <w:left w:val="nil"/>
              <w:bottom w:val="single" w:sz="4" w:space="0" w:color="auto"/>
              <w:right w:val="single" w:sz="4" w:space="0" w:color="auto"/>
            </w:tcBorders>
            <w:shd w:val="clear" w:color="000000" w:fill="FFFFFF"/>
            <w:noWrap/>
            <w:hideMark/>
          </w:tcPr>
          <w:p w14:paraId="682D0478" w14:textId="79842276" w:rsidR="0009689D" w:rsidRPr="0009689D" w:rsidRDefault="0009689D" w:rsidP="0009689D">
            <w:pPr>
              <w:jc w:val="right"/>
              <w:rPr>
                <w:noProof/>
                <w:sz w:val="20"/>
                <w:szCs w:val="20"/>
              </w:rPr>
            </w:pPr>
            <w:r w:rsidRPr="0009689D">
              <w:rPr>
                <w:noProof/>
                <w:sz w:val="20"/>
                <w:szCs w:val="20"/>
              </w:rPr>
              <w:t>27.3</w:t>
            </w:r>
          </w:p>
        </w:tc>
        <w:tc>
          <w:tcPr>
            <w:tcW w:w="853" w:type="pct"/>
            <w:tcBorders>
              <w:top w:val="nil"/>
              <w:left w:val="nil"/>
              <w:bottom w:val="single" w:sz="4" w:space="0" w:color="auto"/>
              <w:right w:val="single" w:sz="4" w:space="0" w:color="auto"/>
            </w:tcBorders>
            <w:shd w:val="clear" w:color="000000" w:fill="FFFFFF"/>
            <w:noWrap/>
            <w:hideMark/>
          </w:tcPr>
          <w:p w14:paraId="2211684E" w14:textId="5D2B0AB7" w:rsidR="0009689D" w:rsidRPr="0009689D" w:rsidRDefault="0009689D" w:rsidP="0009689D">
            <w:pPr>
              <w:jc w:val="right"/>
              <w:rPr>
                <w:noProof/>
                <w:sz w:val="20"/>
                <w:szCs w:val="20"/>
              </w:rPr>
            </w:pPr>
            <w:r w:rsidRPr="0009689D">
              <w:rPr>
                <w:noProof/>
                <w:sz w:val="20"/>
                <w:szCs w:val="20"/>
              </w:rPr>
              <w:t>20.5</w:t>
            </w:r>
          </w:p>
        </w:tc>
      </w:tr>
      <w:tr w:rsidR="0009689D" w:rsidRPr="00A633A1" w14:paraId="46BEC0D4"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46C192FB" w14:textId="77777777" w:rsidR="0009689D" w:rsidRPr="00A633A1" w:rsidRDefault="0009689D" w:rsidP="0009689D">
            <w:pPr>
              <w:rPr>
                <w:noProof/>
                <w:sz w:val="20"/>
                <w:szCs w:val="20"/>
              </w:rPr>
            </w:pPr>
            <w:r w:rsidRPr="00A633A1">
              <w:rPr>
                <w:noProof/>
                <w:sz w:val="20"/>
                <w:szCs w:val="20"/>
              </w:rPr>
              <w:t xml:space="preserve"> Luxembourg </w:t>
            </w:r>
          </w:p>
        </w:tc>
        <w:tc>
          <w:tcPr>
            <w:tcW w:w="853" w:type="pct"/>
            <w:tcBorders>
              <w:top w:val="nil"/>
              <w:left w:val="nil"/>
              <w:bottom w:val="single" w:sz="4" w:space="0" w:color="auto"/>
              <w:right w:val="single" w:sz="4" w:space="0" w:color="auto"/>
            </w:tcBorders>
            <w:shd w:val="clear" w:color="000000" w:fill="FFFFFF"/>
            <w:noWrap/>
            <w:hideMark/>
          </w:tcPr>
          <w:p w14:paraId="0B307650" w14:textId="57470671" w:rsidR="0009689D" w:rsidRPr="0009689D" w:rsidRDefault="0009689D" w:rsidP="0009689D">
            <w:pPr>
              <w:jc w:val="right"/>
              <w:rPr>
                <w:noProof/>
                <w:sz w:val="20"/>
                <w:szCs w:val="20"/>
              </w:rPr>
            </w:pPr>
            <w:r w:rsidRPr="0009689D">
              <w:rPr>
                <w:noProof/>
                <w:sz w:val="20"/>
                <w:szCs w:val="20"/>
              </w:rPr>
              <w:t>78.8</w:t>
            </w:r>
          </w:p>
        </w:tc>
        <w:tc>
          <w:tcPr>
            <w:tcW w:w="853" w:type="pct"/>
            <w:tcBorders>
              <w:top w:val="nil"/>
              <w:left w:val="nil"/>
              <w:bottom w:val="single" w:sz="4" w:space="0" w:color="auto"/>
              <w:right w:val="single" w:sz="4" w:space="0" w:color="auto"/>
            </w:tcBorders>
            <w:shd w:val="clear" w:color="000000" w:fill="FFFFFF"/>
            <w:noWrap/>
            <w:hideMark/>
          </w:tcPr>
          <w:p w14:paraId="5D378758" w14:textId="5ACEEF78" w:rsidR="0009689D" w:rsidRPr="0009689D" w:rsidRDefault="0009689D" w:rsidP="0009689D">
            <w:pPr>
              <w:jc w:val="right"/>
              <w:rPr>
                <w:noProof/>
                <w:sz w:val="20"/>
                <w:szCs w:val="20"/>
              </w:rPr>
            </w:pPr>
            <w:r w:rsidRPr="0009689D">
              <w:rPr>
                <w:noProof/>
                <w:sz w:val="20"/>
                <w:szCs w:val="20"/>
              </w:rPr>
              <w:t>12.1</w:t>
            </w:r>
          </w:p>
        </w:tc>
        <w:tc>
          <w:tcPr>
            <w:tcW w:w="853" w:type="pct"/>
            <w:tcBorders>
              <w:top w:val="nil"/>
              <w:left w:val="nil"/>
              <w:bottom w:val="single" w:sz="4" w:space="0" w:color="auto"/>
              <w:right w:val="single" w:sz="4" w:space="0" w:color="auto"/>
            </w:tcBorders>
            <w:shd w:val="clear" w:color="000000" w:fill="FFFFFF"/>
            <w:noWrap/>
            <w:hideMark/>
          </w:tcPr>
          <w:p w14:paraId="36502239" w14:textId="4FC5C74D" w:rsidR="0009689D" w:rsidRPr="0009689D" w:rsidRDefault="0009689D" w:rsidP="0009689D">
            <w:pPr>
              <w:jc w:val="right"/>
              <w:rPr>
                <w:noProof/>
                <w:sz w:val="20"/>
                <w:szCs w:val="20"/>
              </w:rPr>
            </w:pPr>
            <w:r w:rsidRPr="0009689D">
              <w:rPr>
                <w:noProof/>
                <w:sz w:val="20"/>
                <w:szCs w:val="20"/>
              </w:rPr>
              <w:t>18.2</w:t>
            </w:r>
          </w:p>
        </w:tc>
        <w:tc>
          <w:tcPr>
            <w:tcW w:w="853" w:type="pct"/>
            <w:tcBorders>
              <w:top w:val="nil"/>
              <w:left w:val="nil"/>
              <w:bottom w:val="single" w:sz="4" w:space="0" w:color="auto"/>
              <w:right w:val="single" w:sz="4" w:space="0" w:color="auto"/>
            </w:tcBorders>
            <w:shd w:val="clear" w:color="000000" w:fill="FFFFFF"/>
            <w:noWrap/>
            <w:hideMark/>
          </w:tcPr>
          <w:p w14:paraId="3B3DA3B9" w14:textId="717BC6B6" w:rsidR="0009689D" w:rsidRPr="0009689D" w:rsidRDefault="0009689D" w:rsidP="0009689D">
            <w:pPr>
              <w:jc w:val="right"/>
              <w:rPr>
                <w:noProof/>
                <w:sz w:val="20"/>
                <w:szCs w:val="20"/>
              </w:rPr>
            </w:pPr>
            <w:r w:rsidRPr="0009689D">
              <w:rPr>
                <w:noProof/>
                <w:sz w:val="20"/>
                <w:szCs w:val="20"/>
              </w:rPr>
              <w:t>13.7</w:t>
            </w:r>
          </w:p>
        </w:tc>
      </w:tr>
      <w:tr w:rsidR="0009689D" w:rsidRPr="00A633A1" w14:paraId="7DE2306A"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EF86FF1" w14:textId="77777777" w:rsidR="0009689D" w:rsidRPr="00A633A1" w:rsidRDefault="0009689D" w:rsidP="0009689D">
            <w:pPr>
              <w:rPr>
                <w:noProof/>
                <w:sz w:val="20"/>
                <w:szCs w:val="20"/>
              </w:rPr>
            </w:pPr>
            <w:r w:rsidRPr="00A633A1">
              <w:rPr>
                <w:noProof/>
                <w:sz w:val="20"/>
                <w:szCs w:val="20"/>
              </w:rPr>
              <w:t xml:space="preserve"> Finland </w:t>
            </w:r>
          </w:p>
        </w:tc>
        <w:tc>
          <w:tcPr>
            <w:tcW w:w="853" w:type="pct"/>
            <w:tcBorders>
              <w:top w:val="nil"/>
              <w:left w:val="nil"/>
              <w:bottom w:val="single" w:sz="4" w:space="0" w:color="auto"/>
              <w:right w:val="single" w:sz="4" w:space="0" w:color="auto"/>
            </w:tcBorders>
            <w:shd w:val="clear" w:color="000000" w:fill="FFFFFF"/>
            <w:noWrap/>
            <w:hideMark/>
          </w:tcPr>
          <w:p w14:paraId="3BEB2BBF" w14:textId="348329FB" w:rsidR="0009689D" w:rsidRPr="0009689D" w:rsidRDefault="0009689D" w:rsidP="0009689D">
            <w:pPr>
              <w:jc w:val="right"/>
              <w:rPr>
                <w:noProof/>
                <w:sz w:val="20"/>
                <w:szCs w:val="20"/>
              </w:rPr>
            </w:pPr>
            <w:r w:rsidRPr="0009689D">
              <w:rPr>
                <w:noProof/>
                <w:sz w:val="20"/>
                <w:szCs w:val="20"/>
              </w:rPr>
              <w:t>98.5</w:t>
            </w:r>
          </w:p>
        </w:tc>
        <w:tc>
          <w:tcPr>
            <w:tcW w:w="853" w:type="pct"/>
            <w:tcBorders>
              <w:top w:val="nil"/>
              <w:left w:val="nil"/>
              <w:bottom w:val="single" w:sz="4" w:space="0" w:color="auto"/>
              <w:right w:val="single" w:sz="4" w:space="0" w:color="auto"/>
            </w:tcBorders>
            <w:shd w:val="clear" w:color="000000" w:fill="FFFFFF"/>
            <w:noWrap/>
            <w:hideMark/>
          </w:tcPr>
          <w:p w14:paraId="47FA04E5" w14:textId="26EE5162" w:rsidR="0009689D" w:rsidRPr="0009689D" w:rsidRDefault="0009689D" w:rsidP="0009689D">
            <w:pPr>
              <w:jc w:val="right"/>
              <w:rPr>
                <w:noProof/>
                <w:sz w:val="20"/>
                <w:szCs w:val="20"/>
              </w:rPr>
            </w:pPr>
            <w:r w:rsidRPr="0009689D">
              <w:rPr>
                <w:noProof/>
                <w:sz w:val="20"/>
                <w:szCs w:val="20"/>
              </w:rPr>
              <w:t>15.1</w:t>
            </w:r>
          </w:p>
        </w:tc>
        <w:tc>
          <w:tcPr>
            <w:tcW w:w="853" w:type="pct"/>
            <w:tcBorders>
              <w:top w:val="nil"/>
              <w:left w:val="nil"/>
              <w:bottom w:val="single" w:sz="4" w:space="0" w:color="auto"/>
              <w:right w:val="single" w:sz="4" w:space="0" w:color="auto"/>
            </w:tcBorders>
            <w:shd w:val="clear" w:color="000000" w:fill="FFFFFF"/>
            <w:noWrap/>
            <w:hideMark/>
          </w:tcPr>
          <w:p w14:paraId="5D9A9C1B" w14:textId="1FB4F638" w:rsidR="0009689D" w:rsidRPr="0009689D" w:rsidRDefault="0009689D" w:rsidP="0009689D">
            <w:pPr>
              <w:jc w:val="right"/>
              <w:rPr>
                <w:noProof/>
                <w:sz w:val="20"/>
                <w:szCs w:val="20"/>
              </w:rPr>
            </w:pPr>
            <w:r w:rsidRPr="0009689D">
              <w:rPr>
                <w:noProof/>
                <w:sz w:val="20"/>
                <w:szCs w:val="20"/>
              </w:rPr>
              <w:t>22.8</w:t>
            </w:r>
          </w:p>
        </w:tc>
        <w:tc>
          <w:tcPr>
            <w:tcW w:w="853" w:type="pct"/>
            <w:tcBorders>
              <w:top w:val="nil"/>
              <w:left w:val="nil"/>
              <w:bottom w:val="single" w:sz="4" w:space="0" w:color="auto"/>
              <w:right w:val="single" w:sz="4" w:space="0" w:color="auto"/>
            </w:tcBorders>
            <w:shd w:val="clear" w:color="000000" w:fill="FFFFFF"/>
            <w:noWrap/>
            <w:hideMark/>
          </w:tcPr>
          <w:p w14:paraId="0F63ACA0" w14:textId="7C567F1B" w:rsidR="0009689D" w:rsidRPr="0009689D" w:rsidRDefault="0009689D" w:rsidP="0009689D">
            <w:pPr>
              <w:jc w:val="right"/>
              <w:rPr>
                <w:noProof/>
                <w:sz w:val="20"/>
                <w:szCs w:val="20"/>
              </w:rPr>
            </w:pPr>
            <w:r w:rsidRPr="0009689D">
              <w:rPr>
                <w:noProof/>
                <w:sz w:val="20"/>
                <w:szCs w:val="20"/>
              </w:rPr>
              <w:t>17.1</w:t>
            </w:r>
          </w:p>
        </w:tc>
      </w:tr>
      <w:tr w:rsidR="0009689D" w:rsidRPr="00A633A1" w14:paraId="54B95DB5"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69685ED9" w14:textId="77777777" w:rsidR="0009689D" w:rsidRPr="00A633A1" w:rsidRDefault="0009689D" w:rsidP="0009689D">
            <w:pPr>
              <w:rPr>
                <w:noProof/>
                <w:sz w:val="20"/>
                <w:szCs w:val="20"/>
              </w:rPr>
            </w:pPr>
            <w:r w:rsidRPr="00A633A1">
              <w:rPr>
                <w:noProof/>
                <w:sz w:val="20"/>
                <w:szCs w:val="20"/>
              </w:rPr>
              <w:t xml:space="preserve"> Spain </w:t>
            </w:r>
          </w:p>
        </w:tc>
        <w:tc>
          <w:tcPr>
            <w:tcW w:w="853" w:type="pct"/>
            <w:tcBorders>
              <w:top w:val="nil"/>
              <w:left w:val="nil"/>
              <w:bottom w:val="single" w:sz="4" w:space="0" w:color="auto"/>
              <w:right w:val="single" w:sz="4" w:space="0" w:color="auto"/>
            </w:tcBorders>
            <w:shd w:val="clear" w:color="000000" w:fill="FFFFFF"/>
            <w:noWrap/>
            <w:hideMark/>
          </w:tcPr>
          <w:p w14:paraId="640B8CE9" w14:textId="1D573AED" w:rsidR="0009689D" w:rsidRPr="0009689D" w:rsidRDefault="0009689D" w:rsidP="0009689D">
            <w:pPr>
              <w:jc w:val="right"/>
              <w:rPr>
                <w:noProof/>
                <w:sz w:val="20"/>
                <w:szCs w:val="20"/>
              </w:rPr>
            </w:pPr>
            <w:r w:rsidRPr="0009689D">
              <w:rPr>
                <w:noProof/>
                <w:sz w:val="20"/>
                <w:szCs w:val="20"/>
              </w:rPr>
              <w:t>78.8</w:t>
            </w:r>
          </w:p>
        </w:tc>
        <w:tc>
          <w:tcPr>
            <w:tcW w:w="853" w:type="pct"/>
            <w:tcBorders>
              <w:top w:val="nil"/>
              <w:left w:val="nil"/>
              <w:bottom w:val="single" w:sz="4" w:space="0" w:color="auto"/>
              <w:right w:val="single" w:sz="4" w:space="0" w:color="auto"/>
            </w:tcBorders>
            <w:shd w:val="clear" w:color="000000" w:fill="FFFFFF"/>
            <w:noWrap/>
            <w:hideMark/>
          </w:tcPr>
          <w:p w14:paraId="2A29BDEF" w14:textId="367C635A" w:rsidR="0009689D" w:rsidRPr="0009689D" w:rsidRDefault="0009689D" w:rsidP="0009689D">
            <w:pPr>
              <w:jc w:val="right"/>
              <w:rPr>
                <w:noProof/>
                <w:sz w:val="20"/>
                <w:szCs w:val="20"/>
              </w:rPr>
            </w:pPr>
            <w:r w:rsidRPr="0009689D">
              <w:rPr>
                <w:noProof/>
                <w:sz w:val="20"/>
                <w:szCs w:val="20"/>
              </w:rPr>
              <w:t>12.1</w:t>
            </w:r>
          </w:p>
        </w:tc>
        <w:tc>
          <w:tcPr>
            <w:tcW w:w="853" w:type="pct"/>
            <w:tcBorders>
              <w:top w:val="nil"/>
              <w:left w:val="nil"/>
              <w:bottom w:val="single" w:sz="4" w:space="0" w:color="auto"/>
              <w:right w:val="single" w:sz="4" w:space="0" w:color="auto"/>
            </w:tcBorders>
            <w:shd w:val="clear" w:color="000000" w:fill="FFFFFF"/>
            <w:noWrap/>
            <w:hideMark/>
          </w:tcPr>
          <w:p w14:paraId="1E6833E5" w14:textId="5CFC3196" w:rsidR="0009689D" w:rsidRPr="0009689D" w:rsidRDefault="0009689D" w:rsidP="0009689D">
            <w:pPr>
              <w:jc w:val="right"/>
              <w:rPr>
                <w:noProof/>
                <w:sz w:val="20"/>
                <w:szCs w:val="20"/>
              </w:rPr>
            </w:pPr>
            <w:r w:rsidRPr="0009689D">
              <w:rPr>
                <w:noProof/>
                <w:sz w:val="20"/>
                <w:szCs w:val="20"/>
              </w:rPr>
              <w:t>18.2</w:t>
            </w:r>
          </w:p>
        </w:tc>
        <w:tc>
          <w:tcPr>
            <w:tcW w:w="853" w:type="pct"/>
            <w:tcBorders>
              <w:top w:val="nil"/>
              <w:left w:val="nil"/>
              <w:bottom w:val="single" w:sz="4" w:space="0" w:color="auto"/>
              <w:right w:val="single" w:sz="4" w:space="0" w:color="auto"/>
            </w:tcBorders>
            <w:shd w:val="clear" w:color="000000" w:fill="FFFFFF"/>
            <w:noWrap/>
            <w:hideMark/>
          </w:tcPr>
          <w:p w14:paraId="1E9BA944" w14:textId="520722AE" w:rsidR="0009689D" w:rsidRPr="0009689D" w:rsidRDefault="0009689D" w:rsidP="0009689D">
            <w:pPr>
              <w:jc w:val="right"/>
              <w:rPr>
                <w:noProof/>
                <w:sz w:val="20"/>
                <w:szCs w:val="20"/>
              </w:rPr>
            </w:pPr>
            <w:r w:rsidRPr="0009689D">
              <w:rPr>
                <w:noProof/>
                <w:sz w:val="20"/>
                <w:szCs w:val="20"/>
              </w:rPr>
              <w:t>13.7</w:t>
            </w:r>
          </w:p>
        </w:tc>
      </w:tr>
      <w:tr w:rsidR="0009689D" w:rsidRPr="00A633A1" w14:paraId="667C380F"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664CD7F2" w14:textId="77777777" w:rsidR="0009689D" w:rsidRPr="00A633A1" w:rsidRDefault="0009689D" w:rsidP="0009689D">
            <w:pPr>
              <w:rPr>
                <w:noProof/>
                <w:sz w:val="20"/>
                <w:szCs w:val="20"/>
              </w:rPr>
            </w:pPr>
            <w:r w:rsidRPr="00A633A1">
              <w:rPr>
                <w:noProof/>
                <w:sz w:val="20"/>
                <w:szCs w:val="20"/>
              </w:rPr>
              <w:t xml:space="preserve"> Netherlands </w:t>
            </w:r>
          </w:p>
        </w:tc>
        <w:tc>
          <w:tcPr>
            <w:tcW w:w="853" w:type="pct"/>
            <w:tcBorders>
              <w:top w:val="nil"/>
              <w:left w:val="nil"/>
              <w:bottom w:val="single" w:sz="4" w:space="0" w:color="auto"/>
              <w:right w:val="single" w:sz="4" w:space="0" w:color="auto"/>
            </w:tcBorders>
            <w:shd w:val="clear" w:color="000000" w:fill="FFFFFF"/>
            <w:noWrap/>
            <w:hideMark/>
          </w:tcPr>
          <w:p w14:paraId="2D054E09" w14:textId="76CA4938" w:rsidR="0009689D" w:rsidRPr="0009689D" w:rsidRDefault="0009689D" w:rsidP="0009689D">
            <w:pPr>
              <w:jc w:val="right"/>
              <w:rPr>
                <w:noProof/>
                <w:sz w:val="20"/>
                <w:szCs w:val="20"/>
              </w:rPr>
            </w:pPr>
            <w:r w:rsidRPr="0009689D">
              <w:rPr>
                <w:noProof/>
                <w:sz w:val="20"/>
                <w:szCs w:val="20"/>
              </w:rPr>
              <w:t>197.1</w:t>
            </w:r>
          </w:p>
        </w:tc>
        <w:tc>
          <w:tcPr>
            <w:tcW w:w="853" w:type="pct"/>
            <w:tcBorders>
              <w:top w:val="nil"/>
              <w:left w:val="nil"/>
              <w:bottom w:val="single" w:sz="4" w:space="0" w:color="auto"/>
              <w:right w:val="single" w:sz="4" w:space="0" w:color="auto"/>
            </w:tcBorders>
            <w:shd w:val="clear" w:color="000000" w:fill="FFFFFF"/>
            <w:noWrap/>
            <w:hideMark/>
          </w:tcPr>
          <w:p w14:paraId="3F8F710F" w14:textId="4967EBA5" w:rsidR="0009689D" w:rsidRPr="0009689D" w:rsidRDefault="0009689D" w:rsidP="0009689D">
            <w:pPr>
              <w:jc w:val="right"/>
              <w:rPr>
                <w:noProof/>
                <w:sz w:val="20"/>
                <w:szCs w:val="20"/>
              </w:rPr>
            </w:pPr>
            <w:r w:rsidRPr="0009689D">
              <w:rPr>
                <w:noProof/>
                <w:sz w:val="20"/>
                <w:szCs w:val="20"/>
              </w:rPr>
              <w:t>30.3</w:t>
            </w:r>
          </w:p>
        </w:tc>
        <w:tc>
          <w:tcPr>
            <w:tcW w:w="853" w:type="pct"/>
            <w:tcBorders>
              <w:top w:val="nil"/>
              <w:left w:val="nil"/>
              <w:bottom w:val="single" w:sz="4" w:space="0" w:color="auto"/>
              <w:right w:val="single" w:sz="4" w:space="0" w:color="auto"/>
            </w:tcBorders>
            <w:shd w:val="clear" w:color="000000" w:fill="FFFFFF"/>
            <w:noWrap/>
            <w:hideMark/>
          </w:tcPr>
          <w:p w14:paraId="7CF1125B" w14:textId="32C7EDFC" w:rsidR="0009689D" w:rsidRPr="0009689D" w:rsidRDefault="0009689D" w:rsidP="0009689D">
            <w:pPr>
              <w:jc w:val="right"/>
              <w:rPr>
                <w:noProof/>
                <w:sz w:val="20"/>
                <w:szCs w:val="20"/>
              </w:rPr>
            </w:pPr>
            <w:r w:rsidRPr="0009689D">
              <w:rPr>
                <w:noProof/>
                <w:sz w:val="20"/>
                <w:szCs w:val="20"/>
              </w:rPr>
              <w:t>45.6</w:t>
            </w:r>
          </w:p>
        </w:tc>
        <w:tc>
          <w:tcPr>
            <w:tcW w:w="853" w:type="pct"/>
            <w:tcBorders>
              <w:top w:val="nil"/>
              <w:left w:val="nil"/>
              <w:bottom w:val="single" w:sz="4" w:space="0" w:color="auto"/>
              <w:right w:val="single" w:sz="4" w:space="0" w:color="auto"/>
            </w:tcBorders>
            <w:shd w:val="clear" w:color="000000" w:fill="FFFFFF"/>
            <w:noWrap/>
            <w:hideMark/>
          </w:tcPr>
          <w:p w14:paraId="475A18F5" w14:textId="3B01BC9B" w:rsidR="0009689D" w:rsidRPr="0009689D" w:rsidRDefault="0009689D" w:rsidP="0009689D">
            <w:pPr>
              <w:jc w:val="right"/>
              <w:rPr>
                <w:noProof/>
                <w:sz w:val="20"/>
                <w:szCs w:val="20"/>
              </w:rPr>
            </w:pPr>
            <w:r w:rsidRPr="0009689D">
              <w:rPr>
                <w:noProof/>
                <w:sz w:val="20"/>
                <w:szCs w:val="20"/>
              </w:rPr>
              <w:t>34.2</w:t>
            </w:r>
          </w:p>
        </w:tc>
      </w:tr>
      <w:tr w:rsidR="0009689D" w:rsidRPr="00A633A1" w14:paraId="6F3582BD"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467F751C" w14:textId="77777777" w:rsidR="0009689D" w:rsidRPr="00A633A1" w:rsidRDefault="0009689D" w:rsidP="0009689D">
            <w:pPr>
              <w:rPr>
                <w:noProof/>
                <w:sz w:val="20"/>
                <w:szCs w:val="20"/>
              </w:rPr>
            </w:pPr>
            <w:r w:rsidRPr="00A633A1">
              <w:rPr>
                <w:noProof/>
                <w:sz w:val="20"/>
                <w:szCs w:val="20"/>
              </w:rPr>
              <w:t xml:space="preserve"> France </w:t>
            </w:r>
          </w:p>
        </w:tc>
        <w:tc>
          <w:tcPr>
            <w:tcW w:w="853" w:type="pct"/>
            <w:tcBorders>
              <w:top w:val="nil"/>
              <w:left w:val="nil"/>
              <w:bottom w:val="single" w:sz="4" w:space="0" w:color="auto"/>
              <w:right w:val="single" w:sz="4" w:space="0" w:color="auto"/>
            </w:tcBorders>
            <w:shd w:val="clear" w:color="000000" w:fill="FFFFFF"/>
            <w:noWrap/>
            <w:hideMark/>
          </w:tcPr>
          <w:p w14:paraId="22BC8EF6" w14:textId="4CAD5AE7" w:rsidR="0009689D" w:rsidRPr="0009689D" w:rsidRDefault="0009689D" w:rsidP="0009689D">
            <w:pPr>
              <w:jc w:val="right"/>
              <w:rPr>
                <w:noProof/>
                <w:sz w:val="20"/>
                <w:szCs w:val="20"/>
              </w:rPr>
            </w:pPr>
            <w:r w:rsidRPr="0009689D">
              <w:rPr>
                <w:noProof/>
                <w:sz w:val="20"/>
                <w:szCs w:val="20"/>
              </w:rPr>
              <w:t>256.2</w:t>
            </w:r>
          </w:p>
        </w:tc>
        <w:tc>
          <w:tcPr>
            <w:tcW w:w="853" w:type="pct"/>
            <w:tcBorders>
              <w:top w:val="nil"/>
              <w:left w:val="nil"/>
              <w:bottom w:val="single" w:sz="4" w:space="0" w:color="auto"/>
              <w:right w:val="single" w:sz="4" w:space="0" w:color="auto"/>
            </w:tcBorders>
            <w:shd w:val="clear" w:color="000000" w:fill="FFFFFF"/>
            <w:noWrap/>
            <w:hideMark/>
          </w:tcPr>
          <w:p w14:paraId="36C53A66" w14:textId="31852C88" w:rsidR="0009689D" w:rsidRPr="0009689D" w:rsidRDefault="0009689D" w:rsidP="0009689D">
            <w:pPr>
              <w:jc w:val="right"/>
              <w:rPr>
                <w:noProof/>
                <w:sz w:val="20"/>
                <w:szCs w:val="20"/>
              </w:rPr>
            </w:pPr>
            <w:r w:rsidRPr="0009689D">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475E3C63" w14:textId="5D0A245D" w:rsidR="0009689D" w:rsidRPr="0009689D" w:rsidRDefault="0009689D" w:rsidP="0009689D">
            <w:pPr>
              <w:jc w:val="right"/>
              <w:rPr>
                <w:noProof/>
                <w:sz w:val="20"/>
                <w:szCs w:val="20"/>
              </w:rPr>
            </w:pPr>
            <w:r w:rsidRPr="0009689D">
              <w:rPr>
                <w:noProof/>
                <w:sz w:val="20"/>
                <w:szCs w:val="20"/>
              </w:rPr>
              <w:t>59.2</w:t>
            </w:r>
          </w:p>
        </w:tc>
        <w:tc>
          <w:tcPr>
            <w:tcW w:w="853" w:type="pct"/>
            <w:tcBorders>
              <w:top w:val="nil"/>
              <w:left w:val="nil"/>
              <w:bottom w:val="single" w:sz="4" w:space="0" w:color="auto"/>
              <w:right w:val="single" w:sz="4" w:space="0" w:color="auto"/>
            </w:tcBorders>
            <w:shd w:val="clear" w:color="000000" w:fill="FFFFFF"/>
            <w:noWrap/>
            <w:hideMark/>
          </w:tcPr>
          <w:p w14:paraId="053F79EF" w14:textId="6921DE26" w:rsidR="0009689D" w:rsidRPr="0009689D" w:rsidRDefault="0009689D" w:rsidP="0009689D">
            <w:pPr>
              <w:jc w:val="right"/>
              <w:rPr>
                <w:noProof/>
                <w:sz w:val="20"/>
                <w:szCs w:val="20"/>
              </w:rPr>
            </w:pPr>
            <w:r w:rsidRPr="0009689D">
              <w:rPr>
                <w:noProof/>
                <w:sz w:val="20"/>
                <w:szCs w:val="20"/>
              </w:rPr>
              <w:t>44.4</w:t>
            </w:r>
          </w:p>
        </w:tc>
      </w:tr>
      <w:tr w:rsidR="0009689D" w:rsidRPr="00A633A1" w14:paraId="7324142B"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2E58059" w14:textId="77777777" w:rsidR="0009689D" w:rsidRPr="00A633A1" w:rsidRDefault="0009689D" w:rsidP="0009689D">
            <w:pPr>
              <w:rPr>
                <w:noProof/>
                <w:sz w:val="20"/>
                <w:szCs w:val="20"/>
              </w:rPr>
            </w:pPr>
            <w:r w:rsidRPr="00A633A1">
              <w:rPr>
                <w:noProof/>
                <w:sz w:val="20"/>
                <w:szCs w:val="20"/>
              </w:rPr>
              <w:t xml:space="preserve"> Poland </w:t>
            </w:r>
          </w:p>
        </w:tc>
        <w:tc>
          <w:tcPr>
            <w:tcW w:w="853" w:type="pct"/>
            <w:tcBorders>
              <w:top w:val="nil"/>
              <w:left w:val="nil"/>
              <w:bottom w:val="single" w:sz="4" w:space="0" w:color="auto"/>
              <w:right w:val="single" w:sz="4" w:space="0" w:color="auto"/>
            </w:tcBorders>
            <w:shd w:val="clear" w:color="000000" w:fill="FFFFFF"/>
            <w:noWrap/>
            <w:hideMark/>
          </w:tcPr>
          <w:p w14:paraId="6979C18D" w14:textId="535433E4" w:rsidR="0009689D" w:rsidRPr="0009689D" w:rsidRDefault="0009689D" w:rsidP="0009689D">
            <w:pPr>
              <w:jc w:val="right"/>
              <w:rPr>
                <w:noProof/>
                <w:sz w:val="20"/>
                <w:szCs w:val="20"/>
              </w:rPr>
            </w:pPr>
            <w:r w:rsidRPr="0009689D">
              <w:rPr>
                <w:noProof/>
                <w:sz w:val="20"/>
                <w:szCs w:val="20"/>
              </w:rPr>
              <w:t>138.0</w:t>
            </w:r>
          </w:p>
        </w:tc>
        <w:tc>
          <w:tcPr>
            <w:tcW w:w="853" w:type="pct"/>
            <w:tcBorders>
              <w:top w:val="nil"/>
              <w:left w:val="nil"/>
              <w:bottom w:val="single" w:sz="4" w:space="0" w:color="auto"/>
              <w:right w:val="single" w:sz="4" w:space="0" w:color="auto"/>
            </w:tcBorders>
            <w:shd w:val="clear" w:color="000000" w:fill="FFFFFF"/>
            <w:noWrap/>
            <w:hideMark/>
          </w:tcPr>
          <w:p w14:paraId="7F033BB9" w14:textId="605794BB" w:rsidR="0009689D" w:rsidRPr="0009689D" w:rsidRDefault="0009689D" w:rsidP="0009689D">
            <w:pPr>
              <w:jc w:val="right"/>
              <w:rPr>
                <w:noProof/>
                <w:sz w:val="20"/>
                <w:szCs w:val="20"/>
              </w:rPr>
            </w:pPr>
            <w:r w:rsidRPr="0009689D">
              <w:rPr>
                <w:noProof/>
                <w:sz w:val="20"/>
                <w:szCs w:val="20"/>
              </w:rPr>
              <w:t>21.2</w:t>
            </w:r>
          </w:p>
        </w:tc>
        <w:tc>
          <w:tcPr>
            <w:tcW w:w="853" w:type="pct"/>
            <w:tcBorders>
              <w:top w:val="nil"/>
              <w:left w:val="nil"/>
              <w:bottom w:val="single" w:sz="4" w:space="0" w:color="auto"/>
              <w:right w:val="single" w:sz="4" w:space="0" w:color="auto"/>
            </w:tcBorders>
            <w:shd w:val="clear" w:color="000000" w:fill="FFFFFF"/>
            <w:noWrap/>
            <w:hideMark/>
          </w:tcPr>
          <w:p w14:paraId="3A1731ED" w14:textId="1AF1C126" w:rsidR="0009689D" w:rsidRPr="0009689D" w:rsidRDefault="0009689D" w:rsidP="0009689D">
            <w:pPr>
              <w:jc w:val="right"/>
              <w:rPr>
                <w:noProof/>
                <w:sz w:val="20"/>
                <w:szCs w:val="20"/>
              </w:rPr>
            </w:pPr>
            <w:r w:rsidRPr="0009689D">
              <w:rPr>
                <w:noProof/>
                <w:sz w:val="20"/>
                <w:szCs w:val="20"/>
              </w:rPr>
              <w:t>31.9</w:t>
            </w:r>
          </w:p>
        </w:tc>
        <w:tc>
          <w:tcPr>
            <w:tcW w:w="853" w:type="pct"/>
            <w:tcBorders>
              <w:top w:val="nil"/>
              <w:left w:val="nil"/>
              <w:bottom w:val="single" w:sz="4" w:space="0" w:color="auto"/>
              <w:right w:val="single" w:sz="4" w:space="0" w:color="auto"/>
            </w:tcBorders>
            <w:shd w:val="clear" w:color="000000" w:fill="FFFFFF"/>
            <w:noWrap/>
            <w:hideMark/>
          </w:tcPr>
          <w:p w14:paraId="26E3258B" w14:textId="478B81E8" w:rsidR="0009689D" w:rsidRPr="0009689D" w:rsidRDefault="0009689D" w:rsidP="0009689D">
            <w:pPr>
              <w:jc w:val="right"/>
              <w:rPr>
                <w:noProof/>
                <w:sz w:val="20"/>
                <w:szCs w:val="20"/>
              </w:rPr>
            </w:pPr>
            <w:r w:rsidRPr="0009689D">
              <w:rPr>
                <w:noProof/>
                <w:sz w:val="20"/>
                <w:szCs w:val="20"/>
              </w:rPr>
              <w:t>23.9</w:t>
            </w:r>
          </w:p>
        </w:tc>
      </w:tr>
      <w:tr w:rsidR="0009689D" w:rsidRPr="00A633A1" w14:paraId="770AF7FF"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4A26AB2F" w14:textId="77777777" w:rsidR="0009689D" w:rsidRPr="00A633A1" w:rsidRDefault="0009689D" w:rsidP="0009689D">
            <w:pPr>
              <w:rPr>
                <w:noProof/>
                <w:sz w:val="20"/>
                <w:szCs w:val="20"/>
              </w:rPr>
            </w:pPr>
            <w:r w:rsidRPr="00A633A1">
              <w:rPr>
                <w:noProof/>
                <w:sz w:val="20"/>
                <w:szCs w:val="20"/>
              </w:rPr>
              <w:t xml:space="preserve"> Italy </w:t>
            </w:r>
          </w:p>
        </w:tc>
        <w:tc>
          <w:tcPr>
            <w:tcW w:w="853" w:type="pct"/>
            <w:tcBorders>
              <w:top w:val="nil"/>
              <w:left w:val="nil"/>
              <w:bottom w:val="single" w:sz="4" w:space="0" w:color="auto"/>
              <w:right w:val="single" w:sz="4" w:space="0" w:color="auto"/>
            </w:tcBorders>
            <w:shd w:val="clear" w:color="000000" w:fill="FFFFFF"/>
            <w:noWrap/>
            <w:hideMark/>
          </w:tcPr>
          <w:p w14:paraId="488203C3" w14:textId="4E037679" w:rsidR="0009689D" w:rsidRPr="0009689D" w:rsidRDefault="0009689D" w:rsidP="0009689D">
            <w:pPr>
              <w:jc w:val="right"/>
              <w:rPr>
                <w:noProof/>
                <w:sz w:val="20"/>
                <w:szCs w:val="20"/>
              </w:rPr>
            </w:pPr>
            <w:r w:rsidRPr="0009689D">
              <w:rPr>
                <w:noProof/>
                <w:sz w:val="20"/>
                <w:szCs w:val="20"/>
              </w:rPr>
              <w:t>118.3</w:t>
            </w:r>
          </w:p>
        </w:tc>
        <w:tc>
          <w:tcPr>
            <w:tcW w:w="853" w:type="pct"/>
            <w:tcBorders>
              <w:top w:val="nil"/>
              <w:left w:val="nil"/>
              <w:bottom w:val="single" w:sz="4" w:space="0" w:color="auto"/>
              <w:right w:val="single" w:sz="4" w:space="0" w:color="auto"/>
            </w:tcBorders>
            <w:shd w:val="clear" w:color="000000" w:fill="FFFFFF"/>
            <w:noWrap/>
            <w:hideMark/>
          </w:tcPr>
          <w:p w14:paraId="3ED739F0" w14:textId="75E4EDF3" w:rsidR="0009689D" w:rsidRPr="0009689D" w:rsidRDefault="0009689D" w:rsidP="0009689D">
            <w:pPr>
              <w:jc w:val="right"/>
              <w:rPr>
                <w:noProof/>
                <w:sz w:val="20"/>
                <w:szCs w:val="20"/>
              </w:rPr>
            </w:pPr>
            <w:r w:rsidRPr="0009689D">
              <w:rPr>
                <w:noProof/>
                <w:sz w:val="20"/>
                <w:szCs w:val="20"/>
              </w:rPr>
              <w:t>18.2</w:t>
            </w:r>
          </w:p>
        </w:tc>
        <w:tc>
          <w:tcPr>
            <w:tcW w:w="853" w:type="pct"/>
            <w:tcBorders>
              <w:top w:val="nil"/>
              <w:left w:val="nil"/>
              <w:bottom w:val="single" w:sz="4" w:space="0" w:color="auto"/>
              <w:right w:val="single" w:sz="4" w:space="0" w:color="auto"/>
            </w:tcBorders>
            <w:shd w:val="clear" w:color="000000" w:fill="FFFFFF"/>
            <w:noWrap/>
            <w:hideMark/>
          </w:tcPr>
          <w:p w14:paraId="61D68DD1" w14:textId="6A8975FE" w:rsidR="0009689D" w:rsidRPr="0009689D" w:rsidRDefault="0009689D" w:rsidP="0009689D">
            <w:pPr>
              <w:jc w:val="right"/>
              <w:rPr>
                <w:noProof/>
                <w:sz w:val="20"/>
                <w:szCs w:val="20"/>
              </w:rPr>
            </w:pPr>
            <w:r w:rsidRPr="0009689D">
              <w:rPr>
                <w:noProof/>
                <w:sz w:val="20"/>
                <w:szCs w:val="20"/>
              </w:rPr>
              <w:t>27.3</w:t>
            </w:r>
          </w:p>
        </w:tc>
        <w:tc>
          <w:tcPr>
            <w:tcW w:w="853" w:type="pct"/>
            <w:tcBorders>
              <w:top w:val="nil"/>
              <w:left w:val="nil"/>
              <w:bottom w:val="single" w:sz="4" w:space="0" w:color="auto"/>
              <w:right w:val="single" w:sz="4" w:space="0" w:color="auto"/>
            </w:tcBorders>
            <w:shd w:val="clear" w:color="000000" w:fill="FFFFFF"/>
            <w:noWrap/>
            <w:hideMark/>
          </w:tcPr>
          <w:p w14:paraId="7F0B7EC3" w14:textId="36806EB6" w:rsidR="0009689D" w:rsidRPr="0009689D" w:rsidRDefault="0009689D" w:rsidP="0009689D">
            <w:pPr>
              <w:jc w:val="right"/>
              <w:rPr>
                <w:noProof/>
                <w:sz w:val="20"/>
                <w:szCs w:val="20"/>
              </w:rPr>
            </w:pPr>
            <w:r w:rsidRPr="0009689D">
              <w:rPr>
                <w:noProof/>
                <w:sz w:val="20"/>
                <w:szCs w:val="20"/>
              </w:rPr>
              <w:t>20.5</w:t>
            </w:r>
          </w:p>
        </w:tc>
      </w:tr>
      <w:tr w:rsidR="0009689D" w:rsidRPr="00A633A1" w14:paraId="0ED1262C"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AD8E6E5" w14:textId="77777777" w:rsidR="0009689D" w:rsidRPr="00A633A1" w:rsidRDefault="0009689D" w:rsidP="0009689D">
            <w:pPr>
              <w:rPr>
                <w:noProof/>
                <w:sz w:val="20"/>
                <w:szCs w:val="20"/>
              </w:rPr>
            </w:pPr>
            <w:r w:rsidRPr="00A633A1">
              <w:rPr>
                <w:noProof/>
                <w:sz w:val="20"/>
                <w:szCs w:val="20"/>
              </w:rPr>
              <w:t xml:space="preserve"> Belgium </w:t>
            </w:r>
          </w:p>
        </w:tc>
        <w:tc>
          <w:tcPr>
            <w:tcW w:w="853" w:type="pct"/>
            <w:tcBorders>
              <w:top w:val="nil"/>
              <w:left w:val="nil"/>
              <w:bottom w:val="single" w:sz="4" w:space="0" w:color="auto"/>
              <w:right w:val="single" w:sz="4" w:space="0" w:color="auto"/>
            </w:tcBorders>
            <w:shd w:val="clear" w:color="000000" w:fill="FFFFFF"/>
            <w:noWrap/>
            <w:hideMark/>
          </w:tcPr>
          <w:p w14:paraId="6E1EE9BB" w14:textId="782402FF" w:rsidR="0009689D" w:rsidRPr="0009689D" w:rsidRDefault="0009689D" w:rsidP="0009689D">
            <w:pPr>
              <w:jc w:val="right"/>
              <w:rPr>
                <w:noProof/>
                <w:sz w:val="20"/>
                <w:szCs w:val="20"/>
              </w:rPr>
            </w:pPr>
            <w:r w:rsidRPr="0009689D">
              <w:rPr>
                <w:noProof/>
                <w:sz w:val="20"/>
                <w:szCs w:val="20"/>
              </w:rPr>
              <w:t>118.3</w:t>
            </w:r>
          </w:p>
        </w:tc>
        <w:tc>
          <w:tcPr>
            <w:tcW w:w="853" w:type="pct"/>
            <w:tcBorders>
              <w:top w:val="nil"/>
              <w:left w:val="nil"/>
              <w:bottom w:val="single" w:sz="4" w:space="0" w:color="auto"/>
              <w:right w:val="single" w:sz="4" w:space="0" w:color="auto"/>
            </w:tcBorders>
            <w:shd w:val="clear" w:color="000000" w:fill="FFFFFF"/>
            <w:noWrap/>
            <w:hideMark/>
          </w:tcPr>
          <w:p w14:paraId="32F9A598" w14:textId="1893EA66" w:rsidR="0009689D" w:rsidRPr="0009689D" w:rsidRDefault="0009689D" w:rsidP="0009689D">
            <w:pPr>
              <w:jc w:val="right"/>
              <w:rPr>
                <w:noProof/>
                <w:sz w:val="20"/>
                <w:szCs w:val="20"/>
              </w:rPr>
            </w:pPr>
            <w:r w:rsidRPr="0009689D">
              <w:rPr>
                <w:noProof/>
                <w:sz w:val="20"/>
                <w:szCs w:val="20"/>
              </w:rPr>
              <w:t>18.2</w:t>
            </w:r>
          </w:p>
        </w:tc>
        <w:tc>
          <w:tcPr>
            <w:tcW w:w="853" w:type="pct"/>
            <w:tcBorders>
              <w:top w:val="nil"/>
              <w:left w:val="nil"/>
              <w:bottom w:val="single" w:sz="4" w:space="0" w:color="auto"/>
              <w:right w:val="single" w:sz="4" w:space="0" w:color="auto"/>
            </w:tcBorders>
            <w:shd w:val="clear" w:color="000000" w:fill="FFFFFF"/>
            <w:noWrap/>
            <w:hideMark/>
          </w:tcPr>
          <w:p w14:paraId="2E527908" w14:textId="7D9404F9" w:rsidR="0009689D" w:rsidRPr="0009689D" w:rsidRDefault="0009689D" w:rsidP="0009689D">
            <w:pPr>
              <w:jc w:val="right"/>
              <w:rPr>
                <w:noProof/>
                <w:sz w:val="20"/>
                <w:szCs w:val="20"/>
              </w:rPr>
            </w:pPr>
            <w:r w:rsidRPr="0009689D">
              <w:rPr>
                <w:noProof/>
                <w:sz w:val="20"/>
                <w:szCs w:val="20"/>
              </w:rPr>
              <w:t>27.3</w:t>
            </w:r>
          </w:p>
        </w:tc>
        <w:tc>
          <w:tcPr>
            <w:tcW w:w="853" w:type="pct"/>
            <w:tcBorders>
              <w:top w:val="nil"/>
              <w:left w:val="nil"/>
              <w:bottom w:val="single" w:sz="4" w:space="0" w:color="auto"/>
              <w:right w:val="single" w:sz="4" w:space="0" w:color="auto"/>
            </w:tcBorders>
            <w:shd w:val="clear" w:color="000000" w:fill="FFFFFF"/>
            <w:noWrap/>
            <w:hideMark/>
          </w:tcPr>
          <w:p w14:paraId="2CFA0651" w14:textId="328FADF5" w:rsidR="0009689D" w:rsidRPr="0009689D" w:rsidRDefault="0009689D" w:rsidP="0009689D">
            <w:pPr>
              <w:jc w:val="right"/>
              <w:rPr>
                <w:noProof/>
                <w:sz w:val="20"/>
                <w:szCs w:val="20"/>
              </w:rPr>
            </w:pPr>
            <w:r w:rsidRPr="0009689D">
              <w:rPr>
                <w:noProof/>
                <w:sz w:val="20"/>
                <w:szCs w:val="20"/>
              </w:rPr>
              <w:t>20.5</w:t>
            </w:r>
          </w:p>
        </w:tc>
      </w:tr>
      <w:tr w:rsidR="0009689D" w:rsidRPr="00A633A1" w14:paraId="0A388E61"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08B22A2C" w14:textId="77777777" w:rsidR="0009689D" w:rsidRPr="00A633A1" w:rsidRDefault="0009689D" w:rsidP="0009689D">
            <w:pPr>
              <w:rPr>
                <w:noProof/>
                <w:sz w:val="20"/>
                <w:szCs w:val="20"/>
              </w:rPr>
            </w:pPr>
            <w:r w:rsidRPr="00A633A1">
              <w:rPr>
                <w:noProof/>
                <w:sz w:val="20"/>
                <w:szCs w:val="20"/>
              </w:rPr>
              <w:t xml:space="preserve"> Portugal </w:t>
            </w:r>
          </w:p>
        </w:tc>
        <w:tc>
          <w:tcPr>
            <w:tcW w:w="853" w:type="pct"/>
            <w:tcBorders>
              <w:top w:val="nil"/>
              <w:left w:val="nil"/>
              <w:bottom w:val="single" w:sz="4" w:space="0" w:color="auto"/>
              <w:right w:val="single" w:sz="4" w:space="0" w:color="auto"/>
            </w:tcBorders>
            <w:shd w:val="clear" w:color="000000" w:fill="FFFFFF"/>
            <w:noWrap/>
            <w:hideMark/>
          </w:tcPr>
          <w:p w14:paraId="360898B3" w14:textId="4D116040" w:rsidR="0009689D" w:rsidRPr="0009689D" w:rsidRDefault="0009689D" w:rsidP="0009689D">
            <w:pPr>
              <w:jc w:val="right"/>
              <w:rPr>
                <w:noProof/>
                <w:sz w:val="20"/>
                <w:szCs w:val="20"/>
              </w:rPr>
            </w:pPr>
            <w:r w:rsidRPr="0009689D">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02D6E625" w14:textId="2EA665B2" w:rsidR="0009689D" w:rsidRPr="0009689D" w:rsidRDefault="0009689D" w:rsidP="0009689D">
            <w:pPr>
              <w:jc w:val="right"/>
              <w:rPr>
                <w:noProof/>
                <w:sz w:val="20"/>
                <w:szCs w:val="20"/>
              </w:rPr>
            </w:pPr>
            <w:r w:rsidRPr="0009689D">
              <w:rPr>
                <w:noProof/>
                <w:sz w:val="20"/>
                <w:szCs w:val="20"/>
              </w:rPr>
              <w:t>6.1</w:t>
            </w:r>
          </w:p>
        </w:tc>
        <w:tc>
          <w:tcPr>
            <w:tcW w:w="853" w:type="pct"/>
            <w:tcBorders>
              <w:top w:val="nil"/>
              <w:left w:val="nil"/>
              <w:bottom w:val="single" w:sz="4" w:space="0" w:color="auto"/>
              <w:right w:val="single" w:sz="4" w:space="0" w:color="auto"/>
            </w:tcBorders>
            <w:shd w:val="clear" w:color="000000" w:fill="FFFFFF"/>
            <w:noWrap/>
            <w:hideMark/>
          </w:tcPr>
          <w:p w14:paraId="0947C820" w14:textId="40982D77" w:rsidR="0009689D" w:rsidRPr="0009689D" w:rsidRDefault="0009689D" w:rsidP="0009689D">
            <w:pPr>
              <w:jc w:val="right"/>
              <w:rPr>
                <w:noProof/>
                <w:sz w:val="20"/>
                <w:szCs w:val="20"/>
              </w:rPr>
            </w:pPr>
            <w:r w:rsidRPr="0009689D">
              <w:rPr>
                <w:noProof/>
                <w:sz w:val="20"/>
                <w:szCs w:val="20"/>
              </w:rPr>
              <w:t>9.1</w:t>
            </w:r>
          </w:p>
        </w:tc>
        <w:tc>
          <w:tcPr>
            <w:tcW w:w="853" w:type="pct"/>
            <w:tcBorders>
              <w:top w:val="nil"/>
              <w:left w:val="nil"/>
              <w:bottom w:val="single" w:sz="4" w:space="0" w:color="auto"/>
              <w:right w:val="single" w:sz="4" w:space="0" w:color="auto"/>
            </w:tcBorders>
            <w:shd w:val="clear" w:color="000000" w:fill="FFFFFF"/>
            <w:noWrap/>
            <w:hideMark/>
          </w:tcPr>
          <w:p w14:paraId="21D52D53" w14:textId="2914F2DE" w:rsidR="0009689D" w:rsidRPr="0009689D" w:rsidRDefault="0009689D" w:rsidP="0009689D">
            <w:pPr>
              <w:jc w:val="right"/>
              <w:rPr>
                <w:noProof/>
                <w:sz w:val="20"/>
                <w:szCs w:val="20"/>
              </w:rPr>
            </w:pPr>
            <w:r w:rsidRPr="0009689D">
              <w:rPr>
                <w:noProof/>
                <w:sz w:val="20"/>
                <w:szCs w:val="20"/>
              </w:rPr>
              <w:t>6.8</w:t>
            </w:r>
          </w:p>
        </w:tc>
      </w:tr>
      <w:tr w:rsidR="0009689D" w:rsidRPr="00A633A1" w14:paraId="29C54106"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36BAE389" w14:textId="77777777" w:rsidR="0009689D" w:rsidRPr="00A633A1" w:rsidRDefault="0009689D" w:rsidP="0009689D">
            <w:pPr>
              <w:rPr>
                <w:noProof/>
                <w:sz w:val="20"/>
                <w:szCs w:val="20"/>
              </w:rPr>
            </w:pPr>
            <w:r w:rsidRPr="00A633A1">
              <w:rPr>
                <w:noProof/>
                <w:sz w:val="20"/>
                <w:szCs w:val="20"/>
              </w:rPr>
              <w:t xml:space="preserve"> Malta </w:t>
            </w:r>
          </w:p>
        </w:tc>
        <w:tc>
          <w:tcPr>
            <w:tcW w:w="853" w:type="pct"/>
            <w:tcBorders>
              <w:top w:val="nil"/>
              <w:left w:val="nil"/>
              <w:bottom w:val="single" w:sz="4" w:space="0" w:color="auto"/>
              <w:right w:val="single" w:sz="4" w:space="0" w:color="auto"/>
            </w:tcBorders>
            <w:shd w:val="clear" w:color="000000" w:fill="FFFFFF"/>
            <w:noWrap/>
            <w:hideMark/>
          </w:tcPr>
          <w:p w14:paraId="3AB7DB1F" w14:textId="23B5F0D0" w:rsidR="0009689D" w:rsidRPr="0009689D" w:rsidRDefault="0009689D" w:rsidP="0009689D">
            <w:pPr>
              <w:jc w:val="right"/>
              <w:rPr>
                <w:noProof/>
                <w:sz w:val="20"/>
                <w:szCs w:val="20"/>
              </w:rPr>
            </w:pPr>
            <w:r w:rsidRPr="0009689D">
              <w:rPr>
                <w:noProof/>
                <w:sz w:val="20"/>
                <w:szCs w:val="20"/>
              </w:rPr>
              <w:t>19.7</w:t>
            </w:r>
          </w:p>
        </w:tc>
        <w:tc>
          <w:tcPr>
            <w:tcW w:w="853" w:type="pct"/>
            <w:tcBorders>
              <w:top w:val="nil"/>
              <w:left w:val="nil"/>
              <w:bottom w:val="single" w:sz="4" w:space="0" w:color="auto"/>
              <w:right w:val="single" w:sz="4" w:space="0" w:color="auto"/>
            </w:tcBorders>
            <w:shd w:val="clear" w:color="000000" w:fill="FFFFFF"/>
            <w:noWrap/>
            <w:hideMark/>
          </w:tcPr>
          <w:p w14:paraId="3A5DF60D" w14:textId="15E41DF4" w:rsidR="0009689D" w:rsidRPr="0009689D" w:rsidRDefault="0009689D" w:rsidP="0009689D">
            <w:pPr>
              <w:jc w:val="right"/>
              <w:rPr>
                <w:noProof/>
                <w:sz w:val="20"/>
                <w:szCs w:val="20"/>
              </w:rPr>
            </w:pPr>
            <w:r w:rsidRPr="0009689D">
              <w:rPr>
                <w:noProof/>
                <w:sz w:val="20"/>
                <w:szCs w:val="20"/>
              </w:rPr>
              <w:t>3.0</w:t>
            </w:r>
          </w:p>
        </w:tc>
        <w:tc>
          <w:tcPr>
            <w:tcW w:w="853" w:type="pct"/>
            <w:tcBorders>
              <w:top w:val="nil"/>
              <w:left w:val="nil"/>
              <w:bottom w:val="single" w:sz="4" w:space="0" w:color="auto"/>
              <w:right w:val="single" w:sz="4" w:space="0" w:color="auto"/>
            </w:tcBorders>
            <w:shd w:val="clear" w:color="000000" w:fill="FFFFFF"/>
            <w:noWrap/>
            <w:hideMark/>
          </w:tcPr>
          <w:p w14:paraId="41B516A2" w14:textId="6B5DCA91" w:rsidR="0009689D" w:rsidRPr="0009689D" w:rsidRDefault="0009689D" w:rsidP="0009689D">
            <w:pPr>
              <w:jc w:val="right"/>
              <w:rPr>
                <w:noProof/>
                <w:sz w:val="20"/>
                <w:szCs w:val="20"/>
              </w:rPr>
            </w:pPr>
            <w:r w:rsidRPr="0009689D">
              <w:rPr>
                <w:noProof/>
                <w:sz w:val="20"/>
                <w:szCs w:val="20"/>
              </w:rPr>
              <w:t>4.6</w:t>
            </w:r>
          </w:p>
        </w:tc>
        <w:tc>
          <w:tcPr>
            <w:tcW w:w="853" w:type="pct"/>
            <w:tcBorders>
              <w:top w:val="nil"/>
              <w:left w:val="nil"/>
              <w:bottom w:val="single" w:sz="4" w:space="0" w:color="auto"/>
              <w:right w:val="single" w:sz="4" w:space="0" w:color="auto"/>
            </w:tcBorders>
            <w:shd w:val="clear" w:color="000000" w:fill="FFFFFF"/>
            <w:noWrap/>
            <w:hideMark/>
          </w:tcPr>
          <w:p w14:paraId="5B320A62" w14:textId="08310DF9" w:rsidR="0009689D" w:rsidRPr="0009689D" w:rsidRDefault="0009689D" w:rsidP="0009689D">
            <w:pPr>
              <w:jc w:val="right"/>
              <w:rPr>
                <w:noProof/>
                <w:sz w:val="20"/>
                <w:szCs w:val="20"/>
              </w:rPr>
            </w:pPr>
            <w:r w:rsidRPr="0009689D">
              <w:rPr>
                <w:noProof/>
                <w:sz w:val="20"/>
                <w:szCs w:val="20"/>
              </w:rPr>
              <w:t>3.4</w:t>
            </w:r>
          </w:p>
        </w:tc>
      </w:tr>
      <w:tr w:rsidR="0009689D" w:rsidRPr="00A633A1" w14:paraId="086D4E3B"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0F5C3A7B" w14:textId="77777777" w:rsidR="0009689D" w:rsidRPr="00A633A1" w:rsidRDefault="0009689D" w:rsidP="0009689D">
            <w:pPr>
              <w:rPr>
                <w:noProof/>
                <w:sz w:val="20"/>
                <w:szCs w:val="20"/>
              </w:rPr>
            </w:pPr>
            <w:r w:rsidRPr="00A633A1">
              <w:rPr>
                <w:noProof/>
                <w:sz w:val="20"/>
                <w:szCs w:val="20"/>
              </w:rPr>
              <w:t xml:space="preserve"> Cyprus </w:t>
            </w:r>
          </w:p>
        </w:tc>
        <w:tc>
          <w:tcPr>
            <w:tcW w:w="853" w:type="pct"/>
            <w:tcBorders>
              <w:top w:val="nil"/>
              <w:left w:val="nil"/>
              <w:bottom w:val="single" w:sz="4" w:space="0" w:color="auto"/>
              <w:right w:val="single" w:sz="4" w:space="0" w:color="auto"/>
            </w:tcBorders>
            <w:shd w:val="clear" w:color="000000" w:fill="FFFFFF"/>
            <w:noWrap/>
            <w:hideMark/>
          </w:tcPr>
          <w:p w14:paraId="603C361B" w14:textId="5CF1AF25" w:rsidR="0009689D" w:rsidRPr="0009689D" w:rsidRDefault="0009689D" w:rsidP="0009689D">
            <w:pPr>
              <w:jc w:val="right"/>
              <w:rPr>
                <w:noProof/>
                <w:sz w:val="20"/>
                <w:szCs w:val="20"/>
              </w:rPr>
            </w:pPr>
            <w:r w:rsidRPr="0009689D">
              <w:rPr>
                <w:noProof/>
                <w:sz w:val="20"/>
                <w:szCs w:val="20"/>
              </w:rPr>
              <w:t>19.7</w:t>
            </w:r>
          </w:p>
        </w:tc>
        <w:tc>
          <w:tcPr>
            <w:tcW w:w="853" w:type="pct"/>
            <w:tcBorders>
              <w:top w:val="nil"/>
              <w:left w:val="nil"/>
              <w:bottom w:val="single" w:sz="4" w:space="0" w:color="auto"/>
              <w:right w:val="single" w:sz="4" w:space="0" w:color="auto"/>
            </w:tcBorders>
            <w:shd w:val="clear" w:color="000000" w:fill="FFFFFF"/>
            <w:noWrap/>
            <w:hideMark/>
          </w:tcPr>
          <w:p w14:paraId="00F49735" w14:textId="3ED9064B" w:rsidR="0009689D" w:rsidRPr="0009689D" w:rsidRDefault="0009689D" w:rsidP="0009689D">
            <w:pPr>
              <w:jc w:val="right"/>
              <w:rPr>
                <w:noProof/>
                <w:sz w:val="20"/>
                <w:szCs w:val="20"/>
              </w:rPr>
            </w:pPr>
            <w:r w:rsidRPr="0009689D">
              <w:rPr>
                <w:noProof/>
                <w:sz w:val="20"/>
                <w:szCs w:val="20"/>
              </w:rPr>
              <w:t>3.0</w:t>
            </w:r>
          </w:p>
        </w:tc>
        <w:tc>
          <w:tcPr>
            <w:tcW w:w="853" w:type="pct"/>
            <w:tcBorders>
              <w:top w:val="nil"/>
              <w:left w:val="nil"/>
              <w:bottom w:val="single" w:sz="4" w:space="0" w:color="auto"/>
              <w:right w:val="single" w:sz="4" w:space="0" w:color="auto"/>
            </w:tcBorders>
            <w:shd w:val="clear" w:color="000000" w:fill="FFFFFF"/>
            <w:noWrap/>
            <w:hideMark/>
          </w:tcPr>
          <w:p w14:paraId="42598739" w14:textId="26D33BA5" w:rsidR="0009689D" w:rsidRPr="0009689D" w:rsidRDefault="0009689D" w:rsidP="0009689D">
            <w:pPr>
              <w:jc w:val="right"/>
              <w:rPr>
                <w:noProof/>
                <w:sz w:val="20"/>
                <w:szCs w:val="20"/>
              </w:rPr>
            </w:pPr>
            <w:r w:rsidRPr="0009689D">
              <w:rPr>
                <w:noProof/>
                <w:sz w:val="20"/>
                <w:szCs w:val="20"/>
              </w:rPr>
              <w:t>4.6</w:t>
            </w:r>
          </w:p>
        </w:tc>
        <w:tc>
          <w:tcPr>
            <w:tcW w:w="853" w:type="pct"/>
            <w:tcBorders>
              <w:top w:val="nil"/>
              <w:left w:val="nil"/>
              <w:bottom w:val="single" w:sz="4" w:space="0" w:color="auto"/>
              <w:right w:val="single" w:sz="4" w:space="0" w:color="auto"/>
            </w:tcBorders>
            <w:shd w:val="clear" w:color="000000" w:fill="FFFFFF"/>
            <w:noWrap/>
            <w:hideMark/>
          </w:tcPr>
          <w:p w14:paraId="7FA56DAC" w14:textId="10A3FEF6" w:rsidR="0009689D" w:rsidRPr="0009689D" w:rsidRDefault="0009689D" w:rsidP="0009689D">
            <w:pPr>
              <w:jc w:val="right"/>
              <w:rPr>
                <w:noProof/>
                <w:sz w:val="20"/>
                <w:szCs w:val="20"/>
              </w:rPr>
            </w:pPr>
            <w:r w:rsidRPr="0009689D">
              <w:rPr>
                <w:noProof/>
                <w:sz w:val="20"/>
                <w:szCs w:val="20"/>
              </w:rPr>
              <w:t>3.4</w:t>
            </w:r>
          </w:p>
        </w:tc>
      </w:tr>
      <w:tr w:rsidR="0009689D" w:rsidRPr="00A633A1" w14:paraId="5D9A0242"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645EF2E4" w14:textId="77777777" w:rsidR="0009689D" w:rsidRPr="00A633A1" w:rsidRDefault="0009689D" w:rsidP="0009689D">
            <w:pPr>
              <w:rPr>
                <w:noProof/>
                <w:sz w:val="20"/>
                <w:szCs w:val="20"/>
              </w:rPr>
            </w:pPr>
            <w:r w:rsidRPr="00A633A1">
              <w:rPr>
                <w:noProof/>
                <w:sz w:val="20"/>
                <w:szCs w:val="20"/>
              </w:rPr>
              <w:t xml:space="preserve"> Greece </w:t>
            </w:r>
          </w:p>
        </w:tc>
        <w:tc>
          <w:tcPr>
            <w:tcW w:w="853" w:type="pct"/>
            <w:tcBorders>
              <w:top w:val="nil"/>
              <w:left w:val="nil"/>
              <w:bottom w:val="single" w:sz="4" w:space="0" w:color="auto"/>
              <w:right w:val="single" w:sz="4" w:space="0" w:color="auto"/>
            </w:tcBorders>
            <w:shd w:val="clear" w:color="000000" w:fill="FFFFFF"/>
            <w:noWrap/>
            <w:hideMark/>
          </w:tcPr>
          <w:p w14:paraId="2998FD48" w14:textId="7E78EAEC" w:rsidR="0009689D" w:rsidRPr="0009689D" w:rsidRDefault="0009689D" w:rsidP="0009689D">
            <w:pPr>
              <w:jc w:val="right"/>
              <w:rPr>
                <w:noProof/>
                <w:sz w:val="20"/>
                <w:szCs w:val="20"/>
              </w:rPr>
            </w:pPr>
            <w:r w:rsidRPr="0009689D">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6D396E92" w14:textId="7FD94B7A" w:rsidR="0009689D" w:rsidRPr="0009689D" w:rsidRDefault="0009689D" w:rsidP="0009689D">
            <w:pPr>
              <w:jc w:val="right"/>
              <w:rPr>
                <w:noProof/>
                <w:sz w:val="20"/>
                <w:szCs w:val="20"/>
              </w:rPr>
            </w:pPr>
            <w:r w:rsidRPr="0009689D">
              <w:rPr>
                <w:noProof/>
                <w:sz w:val="20"/>
                <w:szCs w:val="20"/>
              </w:rPr>
              <w:t>6.1</w:t>
            </w:r>
          </w:p>
        </w:tc>
        <w:tc>
          <w:tcPr>
            <w:tcW w:w="853" w:type="pct"/>
            <w:tcBorders>
              <w:top w:val="nil"/>
              <w:left w:val="nil"/>
              <w:bottom w:val="single" w:sz="4" w:space="0" w:color="auto"/>
              <w:right w:val="single" w:sz="4" w:space="0" w:color="auto"/>
            </w:tcBorders>
            <w:shd w:val="clear" w:color="000000" w:fill="FFFFFF"/>
            <w:noWrap/>
            <w:hideMark/>
          </w:tcPr>
          <w:p w14:paraId="4F53D8D0" w14:textId="4E318F51" w:rsidR="0009689D" w:rsidRPr="0009689D" w:rsidRDefault="0009689D" w:rsidP="0009689D">
            <w:pPr>
              <w:jc w:val="right"/>
              <w:rPr>
                <w:noProof/>
                <w:sz w:val="20"/>
                <w:szCs w:val="20"/>
              </w:rPr>
            </w:pPr>
            <w:r w:rsidRPr="0009689D">
              <w:rPr>
                <w:noProof/>
                <w:sz w:val="20"/>
                <w:szCs w:val="20"/>
              </w:rPr>
              <w:t>9.1</w:t>
            </w:r>
          </w:p>
        </w:tc>
        <w:tc>
          <w:tcPr>
            <w:tcW w:w="853" w:type="pct"/>
            <w:tcBorders>
              <w:top w:val="nil"/>
              <w:left w:val="nil"/>
              <w:bottom w:val="single" w:sz="4" w:space="0" w:color="auto"/>
              <w:right w:val="single" w:sz="4" w:space="0" w:color="auto"/>
            </w:tcBorders>
            <w:shd w:val="clear" w:color="000000" w:fill="FFFFFF"/>
            <w:noWrap/>
            <w:hideMark/>
          </w:tcPr>
          <w:p w14:paraId="5EB1947A" w14:textId="5E53E3FA" w:rsidR="0009689D" w:rsidRPr="0009689D" w:rsidRDefault="0009689D" w:rsidP="0009689D">
            <w:pPr>
              <w:jc w:val="right"/>
              <w:rPr>
                <w:noProof/>
                <w:sz w:val="20"/>
                <w:szCs w:val="20"/>
              </w:rPr>
            </w:pPr>
            <w:r w:rsidRPr="0009689D">
              <w:rPr>
                <w:noProof/>
                <w:sz w:val="20"/>
                <w:szCs w:val="20"/>
              </w:rPr>
              <w:t>6.8</w:t>
            </w:r>
          </w:p>
        </w:tc>
      </w:tr>
      <w:tr w:rsidR="0009689D" w:rsidRPr="00A633A1" w14:paraId="67461862"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8557411" w14:textId="77777777" w:rsidR="0009689D" w:rsidRPr="00A633A1" w:rsidRDefault="0009689D" w:rsidP="0009689D">
            <w:pPr>
              <w:rPr>
                <w:noProof/>
                <w:sz w:val="20"/>
                <w:szCs w:val="20"/>
              </w:rPr>
            </w:pPr>
            <w:r w:rsidRPr="00A633A1">
              <w:rPr>
                <w:noProof/>
                <w:sz w:val="20"/>
                <w:szCs w:val="20"/>
              </w:rPr>
              <w:t xml:space="preserve"> Bulgaria </w:t>
            </w:r>
          </w:p>
        </w:tc>
        <w:tc>
          <w:tcPr>
            <w:tcW w:w="853" w:type="pct"/>
            <w:tcBorders>
              <w:top w:val="nil"/>
              <w:left w:val="nil"/>
              <w:bottom w:val="single" w:sz="4" w:space="0" w:color="auto"/>
              <w:right w:val="single" w:sz="4" w:space="0" w:color="auto"/>
            </w:tcBorders>
            <w:shd w:val="clear" w:color="000000" w:fill="FFFFFF"/>
            <w:noWrap/>
            <w:hideMark/>
          </w:tcPr>
          <w:p w14:paraId="0152A511"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5A933E70"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5DCF308B"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70863257" w14:textId="77777777" w:rsidR="0009689D" w:rsidRPr="0009689D" w:rsidRDefault="0009689D" w:rsidP="0009689D">
            <w:pPr>
              <w:jc w:val="right"/>
              <w:rPr>
                <w:noProof/>
                <w:sz w:val="20"/>
                <w:szCs w:val="20"/>
              </w:rPr>
            </w:pPr>
            <w:r w:rsidRPr="0009689D">
              <w:rPr>
                <w:noProof/>
                <w:sz w:val="20"/>
                <w:szCs w:val="20"/>
              </w:rPr>
              <w:t>0.0</w:t>
            </w:r>
          </w:p>
        </w:tc>
      </w:tr>
      <w:tr w:rsidR="0009689D" w:rsidRPr="00A633A1" w14:paraId="7B0CD1D6"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07224D48" w14:textId="77777777" w:rsidR="0009689D" w:rsidRPr="00A633A1" w:rsidRDefault="0009689D" w:rsidP="0009689D">
            <w:pPr>
              <w:rPr>
                <w:noProof/>
                <w:sz w:val="20"/>
                <w:szCs w:val="20"/>
              </w:rPr>
            </w:pPr>
            <w:r w:rsidRPr="00A633A1">
              <w:rPr>
                <w:noProof/>
                <w:sz w:val="20"/>
                <w:szCs w:val="20"/>
              </w:rPr>
              <w:t xml:space="preserve"> Estonia </w:t>
            </w:r>
          </w:p>
        </w:tc>
        <w:tc>
          <w:tcPr>
            <w:tcW w:w="853" w:type="pct"/>
            <w:tcBorders>
              <w:top w:val="nil"/>
              <w:left w:val="nil"/>
              <w:bottom w:val="single" w:sz="4" w:space="0" w:color="auto"/>
              <w:right w:val="single" w:sz="4" w:space="0" w:color="auto"/>
            </w:tcBorders>
            <w:shd w:val="clear" w:color="000000" w:fill="FFFFFF"/>
            <w:noWrap/>
            <w:hideMark/>
          </w:tcPr>
          <w:p w14:paraId="49FB894A"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51CEB652"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02354AD9"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51851F41" w14:textId="77777777" w:rsidR="0009689D" w:rsidRPr="0009689D" w:rsidRDefault="0009689D" w:rsidP="0009689D">
            <w:pPr>
              <w:jc w:val="right"/>
              <w:rPr>
                <w:noProof/>
                <w:sz w:val="20"/>
                <w:szCs w:val="20"/>
              </w:rPr>
            </w:pPr>
            <w:r w:rsidRPr="0009689D">
              <w:rPr>
                <w:noProof/>
                <w:sz w:val="20"/>
                <w:szCs w:val="20"/>
              </w:rPr>
              <w:t>0.0</w:t>
            </w:r>
          </w:p>
        </w:tc>
      </w:tr>
      <w:tr w:rsidR="0009689D" w:rsidRPr="00A633A1" w14:paraId="256836D4"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35DAEBB0" w14:textId="77777777" w:rsidR="0009689D" w:rsidRPr="00A633A1" w:rsidRDefault="0009689D" w:rsidP="0009689D">
            <w:pPr>
              <w:rPr>
                <w:noProof/>
                <w:sz w:val="20"/>
                <w:szCs w:val="20"/>
              </w:rPr>
            </w:pPr>
            <w:r w:rsidRPr="00A633A1">
              <w:rPr>
                <w:noProof/>
                <w:sz w:val="20"/>
                <w:szCs w:val="20"/>
              </w:rPr>
              <w:t xml:space="preserve"> Croatia </w:t>
            </w:r>
          </w:p>
        </w:tc>
        <w:tc>
          <w:tcPr>
            <w:tcW w:w="853" w:type="pct"/>
            <w:tcBorders>
              <w:top w:val="nil"/>
              <w:left w:val="nil"/>
              <w:bottom w:val="single" w:sz="4" w:space="0" w:color="auto"/>
              <w:right w:val="single" w:sz="4" w:space="0" w:color="auto"/>
            </w:tcBorders>
            <w:shd w:val="clear" w:color="000000" w:fill="FFFFFF"/>
            <w:noWrap/>
            <w:hideMark/>
          </w:tcPr>
          <w:p w14:paraId="2A909CF9" w14:textId="44E007FD" w:rsidR="0009689D" w:rsidRPr="0009689D" w:rsidRDefault="0009689D" w:rsidP="0009689D">
            <w:pPr>
              <w:jc w:val="right"/>
              <w:rPr>
                <w:noProof/>
                <w:sz w:val="20"/>
                <w:szCs w:val="20"/>
              </w:rPr>
            </w:pPr>
            <w:r w:rsidRPr="0009689D">
              <w:rPr>
                <w:noProof/>
                <w:sz w:val="20"/>
                <w:szCs w:val="20"/>
              </w:rPr>
              <w:t>19.7</w:t>
            </w:r>
          </w:p>
        </w:tc>
        <w:tc>
          <w:tcPr>
            <w:tcW w:w="853" w:type="pct"/>
            <w:tcBorders>
              <w:top w:val="nil"/>
              <w:left w:val="nil"/>
              <w:bottom w:val="single" w:sz="4" w:space="0" w:color="auto"/>
              <w:right w:val="single" w:sz="4" w:space="0" w:color="auto"/>
            </w:tcBorders>
            <w:shd w:val="clear" w:color="000000" w:fill="FFFFFF"/>
            <w:noWrap/>
            <w:hideMark/>
          </w:tcPr>
          <w:p w14:paraId="08E2D4BA" w14:textId="619F3D97" w:rsidR="0009689D" w:rsidRPr="0009689D" w:rsidRDefault="0009689D" w:rsidP="0009689D">
            <w:pPr>
              <w:jc w:val="right"/>
              <w:rPr>
                <w:noProof/>
                <w:sz w:val="20"/>
                <w:szCs w:val="20"/>
              </w:rPr>
            </w:pPr>
            <w:r w:rsidRPr="0009689D">
              <w:rPr>
                <w:noProof/>
                <w:sz w:val="20"/>
                <w:szCs w:val="20"/>
              </w:rPr>
              <w:t>3.0</w:t>
            </w:r>
          </w:p>
        </w:tc>
        <w:tc>
          <w:tcPr>
            <w:tcW w:w="853" w:type="pct"/>
            <w:tcBorders>
              <w:top w:val="nil"/>
              <w:left w:val="nil"/>
              <w:bottom w:val="single" w:sz="4" w:space="0" w:color="auto"/>
              <w:right w:val="single" w:sz="4" w:space="0" w:color="auto"/>
            </w:tcBorders>
            <w:shd w:val="clear" w:color="000000" w:fill="FFFFFF"/>
            <w:noWrap/>
            <w:hideMark/>
          </w:tcPr>
          <w:p w14:paraId="01079600" w14:textId="350AAB0A" w:rsidR="0009689D" w:rsidRPr="0009689D" w:rsidRDefault="0009689D" w:rsidP="0009689D">
            <w:pPr>
              <w:jc w:val="right"/>
              <w:rPr>
                <w:noProof/>
                <w:sz w:val="20"/>
                <w:szCs w:val="20"/>
              </w:rPr>
            </w:pPr>
            <w:r w:rsidRPr="0009689D">
              <w:rPr>
                <w:noProof/>
                <w:sz w:val="20"/>
                <w:szCs w:val="20"/>
              </w:rPr>
              <w:t>4.6</w:t>
            </w:r>
          </w:p>
        </w:tc>
        <w:tc>
          <w:tcPr>
            <w:tcW w:w="853" w:type="pct"/>
            <w:tcBorders>
              <w:top w:val="nil"/>
              <w:left w:val="nil"/>
              <w:bottom w:val="single" w:sz="4" w:space="0" w:color="auto"/>
              <w:right w:val="single" w:sz="4" w:space="0" w:color="auto"/>
            </w:tcBorders>
            <w:shd w:val="clear" w:color="000000" w:fill="FFFFFF"/>
            <w:noWrap/>
            <w:hideMark/>
          </w:tcPr>
          <w:p w14:paraId="1B123AD8" w14:textId="755068A9" w:rsidR="0009689D" w:rsidRPr="0009689D" w:rsidRDefault="0009689D" w:rsidP="0009689D">
            <w:pPr>
              <w:jc w:val="right"/>
              <w:rPr>
                <w:noProof/>
                <w:sz w:val="20"/>
                <w:szCs w:val="20"/>
              </w:rPr>
            </w:pPr>
            <w:r w:rsidRPr="0009689D">
              <w:rPr>
                <w:noProof/>
                <w:sz w:val="20"/>
                <w:szCs w:val="20"/>
              </w:rPr>
              <w:t>3.4</w:t>
            </w:r>
          </w:p>
        </w:tc>
      </w:tr>
      <w:tr w:rsidR="0009689D" w:rsidRPr="00A633A1" w14:paraId="06ACDFE1"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2A0C3780" w14:textId="77777777" w:rsidR="0009689D" w:rsidRPr="00A633A1" w:rsidRDefault="0009689D" w:rsidP="0009689D">
            <w:pPr>
              <w:rPr>
                <w:noProof/>
                <w:sz w:val="20"/>
                <w:szCs w:val="20"/>
              </w:rPr>
            </w:pPr>
            <w:r w:rsidRPr="00A633A1">
              <w:rPr>
                <w:noProof/>
                <w:sz w:val="20"/>
                <w:szCs w:val="20"/>
              </w:rPr>
              <w:t xml:space="preserve"> Lithuania </w:t>
            </w:r>
          </w:p>
        </w:tc>
        <w:tc>
          <w:tcPr>
            <w:tcW w:w="853" w:type="pct"/>
            <w:tcBorders>
              <w:top w:val="nil"/>
              <w:left w:val="nil"/>
              <w:bottom w:val="single" w:sz="4" w:space="0" w:color="auto"/>
              <w:right w:val="single" w:sz="4" w:space="0" w:color="auto"/>
            </w:tcBorders>
            <w:shd w:val="clear" w:color="000000" w:fill="FFFFFF"/>
            <w:noWrap/>
            <w:hideMark/>
          </w:tcPr>
          <w:p w14:paraId="31B9E87A"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441870A4"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78A61D60"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17C1F3A6" w14:textId="77777777" w:rsidR="0009689D" w:rsidRPr="0009689D" w:rsidRDefault="0009689D" w:rsidP="0009689D">
            <w:pPr>
              <w:jc w:val="right"/>
              <w:rPr>
                <w:noProof/>
                <w:sz w:val="20"/>
                <w:szCs w:val="20"/>
              </w:rPr>
            </w:pPr>
            <w:r w:rsidRPr="0009689D">
              <w:rPr>
                <w:noProof/>
                <w:sz w:val="20"/>
                <w:szCs w:val="20"/>
              </w:rPr>
              <w:t>0.0</w:t>
            </w:r>
          </w:p>
        </w:tc>
      </w:tr>
      <w:tr w:rsidR="0009689D" w:rsidRPr="00A633A1" w14:paraId="7FE1F047"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31157389" w14:textId="77777777" w:rsidR="0009689D" w:rsidRPr="00A633A1" w:rsidRDefault="0009689D" w:rsidP="0009689D">
            <w:pPr>
              <w:rPr>
                <w:noProof/>
                <w:sz w:val="20"/>
                <w:szCs w:val="20"/>
              </w:rPr>
            </w:pPr>
            <w:r w:rsidRPr="00A633A1">
              <w:rPr>
                <w:noProof/>
                <w:sz w:val="20"/>
                <w:szCs w:val="20"/>
              </w:rPr>
              <w:t xml:space="preserve"> Hungary </w:t>
            </w:r>
          </w:p>
        </w:tc>
        <w:tc>
          <w:tcPr>
            <w:tcW w:w="853" w:type="pct"/>
            <w:tcBorders>
              <w:top w:val="nil"/>
              <w:left w:val="nil"/>
              <w:bottom w:val="single" w:sz="4" w:space="0" w:color="auto"/>
              <w:right w:val="single" w:sz="4" w:space="0" w:color="auto"/>
            </w:tcBorders>
            <w:shd w:val="clear" w:color="000000" w:fill="FFFFFF"/>
            <w:noWrap/>
            <w:hideMark/>
          </w:tcPr>
          <w:p w14:paraId="1EFE1C79" w14:textId="039583F9" w:rsidR="0009689D" w:rsidRPr="0009689D" w:rsidRDefault="0009689D" w:rsidP="0009689D">
            <w:pPr>
              <w:jc w:val="right"/>
              <w:rPr>
                <w:noProof/>
                <w:sz w:val="20"/>
                <w:szCs w:val="20"/>
              </w:rPr>
            </w:pPr>
            <w:r w:rsidRPr="0009689D">
              <w:rPr>
                <w:noProof/>
                <w:sz w:val="20"/>
                <w:szCs w:val="20"/>
              </w:rPr>
              <w:t>59.1</w:t>
            </w:r>
          </w:p>
        </w:tc>
        <w:tc>
          <w:tcPr>
            <w:tcW w:w="853" w:type="pct"/>
            <w:tcBorders>
              <w:top w:val="nil"/>
              <w:left w:val="nil"/>
              <w:bottom w:val="single" w:sz="4" w:space="0" w:color="auto"/>
              <w:right w:val="single" w:sz="4" w:space="0" w:color="auto"/>
            </w:tcBorders>
            <w:shd w:val="clear" w:color="000000" w:fill="FFFFFF"/>
            <w:noWrap/>
            <w:hideMark/>
          </w:tcPr>
          <w:p w14:paraId="15970F4C" w14:textId="19F492D8" w:rsidR="0009689D" w:rsidRPr="0009689D" w:rsidRDefault="0009689D" w:rsidP="0009689D">
            <w:pPr>
              <w:jc w:val="right"/>
              <w:rPr>
                <w:noProof/>
                <w:sz w:val="20"/>
                <w:szCs w:val="20"/>
              </w:rPr>
            </w:pPr>
            <w:r w:rsidRPr="0009689D">
              <w:rPr>
                <w:noProof/>
                <w:sz w:val="20"/>
                <w:szCs w:val="20"/>
              </w:rPr>
              <w:t>9.1</w:t>
            </w:r>
          </w:p>
        </w:tc>
        <w:tc>
          <w:tcPr>
            <w:tcW w:w="853" w:type="pct"/>
            <w:tcBorders>
              <w:top w:val="nil"/>
              <w:left w:val="nil"/>
              <w:bottom w:val="single" w:sz="4" w:space="0" w:color="auto"/>
              <w:right w:val="single" w:sz="4" w:space="0" w:color="auto"/>
            </w:tcBorders>
            <w:shd w:val="clear" w:color="000000" w:fill="FFFFFF"/>
            <w:noWrap/>
            <w:hideMark/>
          </w:tcPr>
          <w:p w14:paraId="5F329912" w14:textId="56B22276" w:rsidR="0009689D" w:rsidRPr="0009689D" w:rsidRDefault="0009689D" w:rsidP="0009689D">
            <w:pPr>
              <w:jc w:val="right"/>
              <w:rPr>
                <w:noProof/>
                <w:sz w:val="20"/>
                <w:szCs w:val="20"/>
              </w:rPr>
            </w:pPr>
            <w:r w:rsidRPr="0009689D">
              <w:rPr>
                <w:noProof/>
                <w:sz w:val="20"/>
                <w:szCs w:val="20"/>
              </w:rPr>
              <w:t>13.7</w:t>
            </w:r>
          </w:p>
        </w:tc>
        <w:tc>
          <w:tcPr>
            <w:tcW w:w="853" w:type="pct"/>
            <w:tcBorders>
              <w:top w:val="nil"/>
              <w:left w:val="nil"/>
              <w:bottom w:val="single" w:sz="4" w:space="0" w:color="auto"/>
              <w:right w:val="single" w:sz="4" w:space="0" w:color="auto"/>
            </w:tcBorders>
            <w:shd w:val="clear" w:color="000000" w:fill="FFFFFF"/>
            <w:noWrap/>
            <w:hideMark/>
          </w:tcPr>
          <w:p w14:paraId="332725CD" w14:textId="0AE0F957" w:rsidR="0009689D" w:rsidRPr="0009689D" w:rsidRDefault="0009689D" w:rsidP="0009689D">
            <w:pPr>
              <w:jc w:val="right"/>
              <w:rPr>
                <w:noProof/>
                <w:sz w:val="20"/>
                <w:szCs w:val="20"/>
              </w:rPr>
            </w:pPr>
            <w:r w:rsidRPr="0009689D">
              <w:rPr>
                <w:noProof/>
                <w:sz w:val="20"/>
                <w:szCs w:val="20"/>
              </w:rPr>
              <w:t>10.2</w:t>
            </w:r>
          </w:p>
        </w:tc>
      </w:tr>
      <w:tr w:rsidR="0009689D" w:rsidRPr="00A633A1" w14:paraId="258FB3D4"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9CBC696" w14:textId="77777777" w:rsidR="0009689D" w:rsidRPr="00A633A1" w:rsidRDefault="0009689D" w:rsidP="0009689D">
            <w:pPr>
              <w:rPr>
                <w:noProof/>
                <w:sz w:val="20"/>
                <w:szCs w:val="20"/>
              </w:rPr>
            </w:pPr>
            <w:r w:rsidRPr="00A633A1">
              <w:rPr>
                <w:noProof/>
                <w:sz w:val="20"/>
                <w:szCs w:val="20"/>
              </w:rPr>
              <w:t xml:space="preserve"> Sweden </w:t>
            </w:r>
          </w:p>
        </w:tc>
        <w:tc>
          <w:tcPr>
            <w:tcW w:w="853" w:type="pct"/>
            <w:tcBorders>
              <w:top w:val="nil"/>
              <w:left w:val="nil"/>
              <w:bottom w:val="single" w:sz="4" w:space="0" w:color="auto"/>
              <w:right w:val="single" w:sz="4" w:space="0" w:color="auto"/>
            </w:tcBorders>
            <w:shd w:val="clear" w:color="000000" w:fill="FFFFFF"/>
            <w:noWrap/>
            <w:hideMark/>
          </w:tcPr>
          <w:p w14:paraId="398E2675" w14:textId="73CA245E" w:rsidR="0009689D" w:rsidRPr="0009689D" w:rsidRDefault="0009689D" w:rsidP="0009689D">
            <w:pPr>
              <w:jc w:val="right"/>
              <w:rPr>
                <w:noProof/>
                <w:sz w:val="20"/>
                <w:szCs w:val="20"/>
              </w:rPr>
            </w:pPr>
            <w:r w:rsidRPr="0009689D">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1D6638AA" w14:textId="2CE218F8" w:rsidR="0009689D" w:rsidRPr="0009689D" w:rsidRDefault="0009689D" w:rsidP="0009689D">
            <w:pPr>
              <w:jc w:val="right"/>
              <w:rPr>
                <w:noProof/>
                <w:sz w:val="20"/>
                <w:szCs w:val="20"/>
              </w:rPr>
            </w:pPr>
            <w:r w:rsidRPr="0009689D">
              <w:rPr>
                <w:noProof/>
                <w:sz w:val="20"/>
                <w:szCs w:val="20"/>
              </w:rPr>
              <w:t>6.1</w:t>
            </w:r>
          </w:p>
        </w:tc>
        <w:tc>
          <w:tcPr>
            <w:tcW w:w="853" w:type="pct"/>
            <w:tcBorders>
              <w:top w:val="nil"/>
              <w:left w:val="nil"/>
              <w:bottom w:val="single" w:sz="4" w:space="0" w:color="auto"/>
              <w:right w:val="single" w:sz="4" w:space="0" w:color="auto"/>
            </w:tcBorders>
            <w:shd w:val="clear" w:color="000000" w:fill="FFFFFF"/>
            <w:noWrap/>
            <w:hideMark/>
          </w:tcPr>
          <w:p w14:paraId="75988348" w14:textId="78E4AE71" w:rsidR="0009689D" w:rsidRPr="0009689D" w:rsidRDefault="0009689D" w:rsidP="0009689D">
            <w:pPr>
              <w:jc w:val="right"/>
              <w:rPr>
                <w:noProof/>
                <w:sz w:val="20"/>
                <w:szCs w:val="20"/>
              </w:rPr>
            </w:pPr>
            <w:r w:rsidRPr="0009689D">
              <w:rPr>
                <w:noProof/>
                <w:sz w:val="20"/>
                <w:szCs w:val="20"/>
              </w:rPr>
              <w:t>9.1</w:t>
            </w:r>
          </w:p>
        </w:tc>
        <w:tc>
          <w:tcPr>
            <w:tcW w:w="853" w:type="pct"/>
            <w:tcBorders>
              <w:top w:val="nil"/>
              <w:left w:val="nil"/>
              <w:bottom w:val="single" w:sz="4" w:space="0" w:color="auto"/>
              <w:right w:val="single" w:sz="4" w:space="0" w:color="auto"/>
            </w:tcBorders>
            <w:shd w:val="clear" w:color="000000" w:fill="FFFFFF"/>
            <w:noWrap/>
            <w:hideMark/>
          </w:tcPr>
          <w:p w14:paraId="76F163D4" w14:textId="780528C6" w:rsidR="0009689D" w:rsidRPr="0009689D" w:rsidRDefault="0009689D" w:rsidP="0009689D">
            <w:pPr>
              <w:jc w:val="right"/>
              <w:rPr>
                <w:noProof/>
                <w:sz w:val="20"/>
                <w:szCs w:val="20"/>
              </w:rPr>
            </w:pPr>
            <w:r w:rsidRPr="0009689D">
              <w:rPr>
                <w:noProof/>
                <w:sz w:val="20"/>
                <w:szCs w:val="20"/>
              </w:rPr>
              <w:t>6.8</w:t>
            </w:r>
          </w:p>
        </w:tc>
      </w:tr>
      <w:tr w:rsidR="0009689D" w:rsidRPr="00A633A1" w14:paraId="78341B52"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4F29094" w14:textId="253D4128" w:rsidR="0009689D" w:rsidRPr="00A633A1" w:rsidRDefault="0009689D" w:rsidP="0009689D">
            <w:pPr>
              <w:rPr>
                <w:noProof/>
                <w:sz w:val="20"/>
                <w:szCs w:val="20"/>
              </w:rPr>
            </w:pPr>
            <w:r w:rsidRPr="00A633A1">
              <w:rPr>
                <w:noProof/>
                <w:sz w:val="20"/>
                <w:szCs w:val="20"/>
              </w:rPr>
              <w:t xml:space="preserve"> Czechia</w:t>
            </w:r>
          </w:p>
        </w:tc>
        <w:tc>
          <w:tcPr>
            <w:tcW w:w="853" w:type="pct"/>
            <w:tcBorders>
              <w:top w:val="nil"/>
              <w:left w:val="nil"/>
              <w:bottom w:val="single" w:sz="4" w:space="0" w:color="auto"/>
              <w:right w:val="single" w:sz="4" w:space="0" w:color="auto"/>
            </w:tcBorders>
            <w:shd w:val="clear" w:color="000000" w:fill="FFFFFF"/>
            <w:noWrap/>
            <w:hideMark/>
          </w:tcPr>
          <w:p w14:paraId="38A138F6" w14:textId="78FA1A5B" w:rsidR="0009689D" w:rsidRPr="0009689D" w:rsidRDefault="0009689D" w:rsidP="0009689D">
            <w:pPr>
              <w:jc w:val="right"/>
              <w:rPr>
                <w:noProof/>
                <w:sz w:val="20"/>
                <w:szCs w:val="20"/>
              </w:rPr>
            </w:pPr>
            <w:r w:rsidRPr="0009689D">
              <w:rPr>
                <w:noProof/>
                <w:sz w:val="20"/>
                <w:szCs w:val="20"/>
              </w:rPr>
              <w:t>59.1</w:t>
            </w:r>
          </w:p>
        </w:tc>
        <w:tc>
          <w:tcPr>
            <w:tcW w:w="853" w:type="pct"/>
            <w:tcBorders>
              <w:top w:val="nil"/>
              <w:left w:val="nil"/>
              <w:bottom w:val="single" w:sz="4" w:space="0" w:color="auto"/>
              <w:right w:val="single" w:sz="4" w:space="0" w:color="auto"/>
            </w:tcBorders>
            <w:shd w:val="clear" w:color="000000" w:fill="FFFFFF"/>
            <w:noWrap/>
            <w:hideMark/>
          </w:tcPr>
          <w:p w14:paraId="1C12FBE1" w14:textId="2DD1FA96" w:rsidR="0009689D" w:rsidRPr="0009689D" w:rsidRDefault="0009689D" w:rsidP="0009689D">
            <w:pPr>
              <w:jc w:val="right"/>
              <w:rPr>
                <w:noProof/>
                <w:sz w:val="20"/>
                <w:szCs w:val="20"/>
              </w:rPr>
            </w:pPr>
            <w:r w:rsidRPr="0009689D">
              <w:rPr>
                <w:noProof/>
                <w:sz w:val="20"/>
                <w:szCs w:val="20"/>
              </w:rPr>
              <w:t>9.1</w:t>
            </w:r>
          </w:p>
        </w:tc>
        <w:tc>
          <w:tcPr>
            <w:tcW w:w="853" w:type="pct"/>
            <w:tcBorders>
              <w:top w:val="nil"/>
              <w:left w:val="nil"/>
              <w:bottom w:val="single" w:sz="4" w:space="0" w:color="auto"/>
              <w:right w:val="single" w:sz="4" w:space="0" w:color="auto"/>
            </w:tcBorders>
            <w:shd w:val="clear" w:color="000000" w:fill="FFFFFF"/>
            <w:noWrap/>
            <w:hideMark/>
          </w:tcPr>
          <w:p w14:paraId="1F55974B" w14:textId="6B872B20" w:rsidR="0009689D" w:rsidRPr="0009689D" w:rsidRDefault="0009689D" w:rsidP="0009689D">
            <w:pPr>
              <w:jc w:val="right"/>
              <w:rPr>
                <w:noProof/>
                <w:sz w:val="20"/>
                <w:szCs w:val="20"/>
              </w:rPr>
            </w:pPr>
            <w:r w:rsidRPr="0009689D">
              <w:rPr>
                <w:noProof/>
                <w:sz w:val="20"/>
                <w:szCs w:val="20"/>
              </w:rPr>
              <w:t>13.7</w:t>
            </w:r>
          </w:p>
        </w:tc>
        <w:tc>
          <w:tcPr>
            <w:tcW w:w="853" w:type="pct"/>
            <w:tcBorders>
              <w:top w:val="nil"/>
              <w:left w:val="nil"/>
              <w:bottom w:val="single" w:sz="4" w:space="0" w:color="auto"/>
              <w:right w:val="single" w:sz="4" w:space="0" w:color="auto"/>
            </w:tcBorders>
            <w:shd w:val="clear" w:color="000000" w:fill="FFFFFF"/>
            <w:noWrap/>
            <w:hideMark/>
          </w:tcPr>
          <w:p w14:paraId="3199E6B2" w14:textId="3B8E5446" w:rsidR="0009689D" w:rsidRPr="0009689D" w:rsidRDefault="0009689D" w:rsidP="0009689D">
            <w:pPr>
              <w:jc w:val="right"/>
              <w:rPr>
                <w:noProof/>
                <w:sz w:val="20"/>
                <w:szCs w:val="20"/>
              </w:rPr>
            </w:pPr>
            <w:r w:rsidRPr="0009689D">
              <w:rPr>
                <w:noProof/>
                <w:sz w:val="20"/>
                <w:szCs w:val="20"/>
              </w:rPr>
              <w:t>10.2</w:t>
            </w:r>
          </w:p>
        </w:tc>
      </w:tr>
      <w:tr w:rsidR="0009689D" w:rsidRPr="00A633A1" w14:paraId="320EBA72"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0208FEC5" w14:textId="77777777" w:rsidR="0009689D" w:rsidRPr="00A633A1" w:rsidRDefault="0009689D" w:rsidP="0009689D">
            <w:pPr>
              <w:rPr>
                <w:noProof/>
                <w:sz w:val="20"/>
                <w:szCs w:val="20"/>
              </w:rPr>
            </w:pPr>
            <w:r w:rsidRPr="00A633A1">
              <w:rPr>
                <w:noProof/>
                <w:sz w:val="20"/>
                <w:szCs w:val="20"/>
              </w:rPr>
              <w:t xml:space="preserve"> Ireland </w:t>
            </w:r>
          </w:p>
        </w:tc>
        <w:tc>
          <w:tcPr>
            <w:tcW w:w="853" w:type="pct"/>
            <w:tcBorders>
              <w:top w:val="nil"/>
              <w:left w:val="nil"/>
              <w:bottom w:val="single" w:sz="4" w:space="0" w:color="auto"/>
              <w:right w:val="single" w:sz="4" w:space="0" w:color="auto"/>
            </w:tcBorders>
            <w:shd w:val="clear" w:color="000000" w:fill="FFFFFF"/>
            <w:noWrap/>
            <w:hideMark/>
          </w:tcPr>
          <w:p w14:paraId="2E228749" w14:textId="5E43DFC3" w:rsidR="0009689D" w:rsidRPr="0009689D" w:rsidRDefault="0009689D" w:rsidP="0009689D">
            <w:pPr>
              <w:jc w:val="right"/>
              <w:rPr>
                <w:noProof/>
                <w:sz w:val="20"/>
                <w:szCs w:val="20"/>
              </w:rPr>
            </w:pPr>
            <w:r w:rsidRPr="0009689D">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7DACCC71" w14:textId="6CEC2FFA" w:rsidR="0009689D" w:rsidRPr="0009689D" w:rsidRDefault="0009689D" w:rsidP="0009689D">
            <w:pPr>
              <w:jc w:val="right"/>
              <w:rPr>
                <w:noProof/>
                <w:sz w:val="20"/>
                <w:szCs w:val="20"/>
              </w:rPr>
            </w:pPr>
            <w:r w:rsidRPr="0009689D">
              <w:rPr>
                <w:noProof/>
                <w:sz w:val="20"/>
                <w:szCs w:val="20"/>
              </w:rPr>
              <w:t>6.1</w:t>
            </w:r>
          </w:p>
        </w:tc>
        <w:tc>
          <w:tcPr>
            <w:tcW w:w="853" w:type="pct"/>
            <w:tcBorders>
              <w:top w:val="nil"/>
              <w:left w:val="nil"/>
              <w:bottom w:val="single" w:sz="4" w:space="0" w:color="auto"/>
              <w:right w:val="single" w:sz="4" w:space="0" w:color="auto"/>
            </w:tcBorders>
            <w:shd w:val="clear" w:color="000000" w:fill="FFFFFF"/>
            <w:noWrap/>
            <w:hideMark/>
          </w:tcPr>
          <w:p w14:paraId="692C027C" w14:textId="3BF9787D" w:rsidR="0009689D" w:rsidRPr="0009689D" w:rsidRDefault="0009689D" w:rsidP="0009689D">
            <w:pPr>
              <w:jc w:val="right"/>
              <w:rPr>
                <w:noProof/>
                <w:sz w:val="20"/>
                <w:szCs w:val="20"/>
              </w:rPr>
            </w:pPr>
            <w:r w:rsidRPr="0009689D">
              <w:rPr>
                <w:noProof/>
                <w:sz w:val="20"/>
                <w:szCs w:val="20"/>
              </w:rPr>
              <w:t>9.1</w:t>
            </w:r>
          </w:p>
        </w:tc>
        <w:tc>
          <w:tcPr>
            <w:tcW w:w="853" w:type="pct"/>
            <w:tcBorders>
              <w:top w:val="nil"/>
              <w:left w:val="nil"/>
              <w:bottom w:val="single" w:sz="4" w:space="0" w:color="auto"/>
              <w:right w:val="single" w:sz="4" w:space="0" w:color="auto"/>
            </w:tcBorders>
            <w:shd w:val="clear" w:color="000000" w:fill="FFFFFF"/>
            <w:noWrap/>
            <w:hideMark/>
          </w:tcPr>
          <w:p w14:paraId="58683D91" w14:textId="6C903830" w:rsidR="0009689D" w:rsidRPr="0009689D" w:rsidRDefault="0009689D" w:rsidP="0009689D">
            <w:pPr>
              <w:jc w:val="right"/>
              <w:rPr>
                <w:noProof/>
                <w:sz w:val="20"/>
                <w:szCs w:val="20"/>
              </w:rPr>
            </w:pPr>
            <w:r w:rsidRPr="0009689D">
              <w:rPr>
                <w:noProof/>
                <w:sz w:val="20"/>
                <w:szCs w:val="20"/>
              </w:rPr>
              <w:t>6.8</w:t>
            </w:r>
          </w:p>
        </w:tc>
      </w:tr>
      <w:tr w:rsidR="0009689D" w:rsidRPr="00A633A1" w14:paraId="788003CD"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A1367ED" w14:textId="77777777" w:rsidR="0009689D" w:rsidRPr="00A633A1" w:rsidRDefault="0009689D" w:rsidP="0009689D">
            <w:pPr>
              <w:rPr>
                <w:noProof/>
                <w:sz w:val="20"/>
                <w:szCs w:val="20"/>
              </w:rPr>
            </w:pPr>
            <w:r w:rsidRPr="00A633A1">
              <w:rPr>
                <w:noProof/>
                <w:sz w:val="20"/>
                <w:szCs w:val="20"/>
              </w:rPr>
              <w:t xml:space="preserve"> Slovenia </w:t>
            </w:r>
          </w:p>
        </w:tc>
        <w:tc>
          <w:tcPr>
            <w:tcW w:w="853" w:type="pct"/>
            <w:tcBorders>
              <w:top w:val="nil"/>
              <w:left w:val="nil"/>
              <w:bottom w:val="single" w:sz="4" w:space="0" w:color="auto"/>
              <w:right w:val="single" w:sz="4" w:space="0" w:color="auto"/>
            </w:tcBorders>
            <w:shd w:val="clear" w:color="000000" w:fill="FFFFFF"/>
            <w:noWrap/>
            <w:hideMark/>
          </w:tcPr>
          <w:p w14:paraId="5586D7FF"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311936DE"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2F5AA556"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4385A10B" w14:textId="77777777" w:rsidR="0009689D" w:rsidRPr="0009689D" w:rsidRDefault="0009689D" w:rsidP="0009689D">
            <w:pPr>
              <w:jc w:val="right"/>
              <w:rPr>
                <w:noProof/>
                <w:sz w:val="20"/>
                <w:szCs w:val="20"/>
              </w:rPr>
            </w:pPr>
            <w:r w:rsidRPr="0009689D">
              <w:rPr>
                <w:noProof/>
                <w:sz w:val="20"/>
                <w:szCs w:val="20"/>
              </w:rPr>
              <w:t>0.0</w:t>
            </w:r>
          </w:p>
        </w:tc>
      </w:tr>
      <w:tr w:rsidR="0009689D" w:rsidRPr="00A633A1" w14:paraId="0E193EE2"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621EC363" w14:textId="77777777" w:rsidR="0009689D" w:rsidRPr="00A633A1" w:rsidRDefault="0009689D" w:rsidP="0009689D">
            <w:pPr>
              <w:rPr>
                <w:noProof/>
                <w:sz w:val="20"/>
                <w:szCs w:val="20"/>
              </w:rPr>
            </w:pPr>
            <w:r w:rsidRPr="00A633A1">
              <w:rPr>
                <w:noProof/>
                <w:sz w:val="20"/>
                <w:szCs w:val="20"/>
              </w:rPr>
              <w:t xml:space="preserve"> Latvia </w:t>
            </w:r>
          </w:p>
        </w:tc>
        <w:tc>
          <w:tcPr>
            <w:tcW w:w="853" w:type="pct"/>
            <w:tcBorders>
              <w:top w:val="nil"/>
              <w:left w:val="nil"/>
              <w:bottom w:val="single" w:sz="4" w:space="0" w:color="auto"/>
              <w:right w:val="single" w:sz="4" w:space="0" w:color="auto"/>
            </w:tcBorders>
            <w:shd w:val="clear" w:color="000000" w:fill="FFFFFF"/>
            <w:noWrap/>
            <w:hideMark/>
          </w:tcPr>
          <w:p w14:paraId="513A86CE"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4D525E82"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6C007A9D"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696CCD9F" w14:textId="77777777" w:rsidR="0009689D" w:rsidRPr="0009689D" w:rsidRDefault="0009689D" w:rsidP="0009689D">
            <w:pPr>
              <w:jc w:val="right"/>
              <w:rPr>
                <w:noProof/>
                <w:sz w:val="20"/>
                <w:szCs w:val="20"/>
              </w:rPr>
            </w:pPr>
            <w:r w:rsidRPr="0009689D">
              <w:rPr>
                <w:noProof/>
                <w:sz w:val="20"/>
                <w:szCs w:val="20"/>
              </w:rPr>
              <w:t>0.0</w:t>
            </w:r>
          </w:p>
        </w:tc>
      </w:tr>
      <w:tr w:rsidR="0009689D" w:rsidRPr="00A633A1" w14:paraId="0B366F89"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98E09B6" w14:textId="77777777" w:rsidR="0009689D" w:rsidRPr="00A633A1" w:rsidRDefault="0009689D" w:rsidP="0009689D">
            <w:pPr>
              <w:rPr>
                <w:noProof/>
                <w:sz w:val="20"/>
                <w:szCs w:val="20"/>
              </w:rPr>
            </w:pPr>
            <w:r w:rsidRPr="00A633A1">
              <w:rPr>
                <w:noProof/>
                <w:sz w:val="20"/>
                <w:szCs w:val="20"/>
              </w:rPr>
              <w:t xml:space="preserve"> Romania </w:t>
            </w:r>
          </w:p>
        </w:tc>
        <w:tc>
          <w:tcPr>
            <w:tcW w:w="853" w:type="pct"/>
            <w:tcBorders>
              <w:top w:val="nil"/>
              <w:left w:val="nil"/>
              <w:bottom w:val="single" w:sz="4" w:space="0" w:color="auto"/>
              <w:right w:val="single" w:sz="4" w:space="0" w:color="auto"/>
            </w:tcBorders>
            <w:shd w:val="clear" w:color="000000" w:fill="FFFFFF"/>
            <w:noWrap/>
            <w:hideMark/>
          </w:tcPr>
          <w:p w14:paraId="5917925D"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7856CE60"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35383BDA" w14:textId="77777777" w:rsidR="0009689D" w:rsidRPr="0009689D" w:rsidRDefault="0009689D" w:rsidP="0009689D">
            <w:pPr>
              <w:jc w:val="right"/>
              <w:rPr>
                <w:noProof/>
                <w:sz w:val="20"/>
                <w:szCs w:val="20"/>
              </w:rPr>
            </w:pPr>
            <w:r w:rsidRPr="0009689D">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495CE127" w14:textId="77777777" w:rsidR="0009689D" w:rsidRPr="0009689D" w:rsidRDefault="0009689D" w:rsidP="0009689D">
            <w:pPr>
              <w:jc w:val="right"/>
              <w:rPr>
                <w:noProof/>
                <w:sz w:val="20"/>
                <w:szCs w:val="20"/>
              </w:rPr>
            </w:pPr>
            <w:r w:rsidRPr="0009689D">
              <w:rPr>
                <w:noProof/>
                <w:sz w:val="20"/>
                <w:szCs w:val="20"/>
              </w:rPr>
              <w:t>0.0</w:t>
            </w:r>
          </w:p>
        </w:tc>
      </w:tr>
      <w:tr w:rsidR="0009689D" w:rsidRPr="00A633A1" w14:paraId="1FF0C099"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4261907E" w14:textId="77777777" w:rsidR="0009689D" w:rsidRPr="00A633A1" w:rsidRDefault="0009689D" w:rsidP="0009689D">
            <w:pPr>
              <w:rPr>
                <w:noProof/>
                <w:sz w:val="20"/>
                <w:szCs w:val="20"/>
              </w:rPr>
            </w:pPr>
            <w:r w:rsidRPr="00A633A1">
              <w:rPr>
                <w:noProof/>
                <w:sz w:val="20"/>
                <w:szCs w:val="20"/>
              </w:rPr>
              <w:t xml:space="preserve"> Slovakia </w:t>
            </w:r>
          </w:p>
        </w:tc>
        <w:tc>
          <w:tcPr>
            <w:tcW w:w="853" w:type="pct"/>
            <w:tcBorders>
              <w:top w:val="nil"/>
              <w:left w:val="nil"/>
              <w:bottom w:val="single" w:sz="4" w:space="0" w:color="auto"/>
              <w:right w:val="single" w:sz="4" w:space="0" w:color="auto"/>
            </w:tcBorders>
            <w:shd w:val="clear" w:color="000000" w:fill="FFFFFF"/>
            <w:noWrap/>
            <w:hideMark/>
          </w:tcPr>
          <w:p w14:paraId="33F114AE" w14:textId="0C9BAA70" w:rsidR="0009689D" w:rsidRPr="0009689D" w:rsidRDefault="0009689D" w:rsidP="0009689D">
            <w:pPr>
              <w:jc w:val="right"/>
              <w:rPr>
                <w:noProof/>
                <w:sz w:val="20"/>
                <w:szCs w:val="20"/>
              </w:rPr>
            </w:pPr>
            <w:r w:rsidRPr="0009689D">
              <w:rPr>
                <w:noProof/>
                <w:sz w:val="20"/>
                <w:szCs w:val="20"/>
              </w:rPr>
              <w:t>19.7</w:t>
            </w:r>
          </w:p>
        </w:tc>
        <w:tc>
          <w:tcPr>
            <w:tcW w:w="853" w:type="pct"/>
            <w:tcBorders>
              <w:top w:val="nil"/>
              <w:left w:val="nil"/>
              <w:bottom w:val="single" w:sz="4" w:space="0" w:color="auto"/>
              <w:right w:val="single" w:sz="4" w:space="0" w:color="auto"/>
            </w:tcBorders>
            <w:shd w:val="clear" w:color="000000" w:fill="FFFFFF"/>
            <w:noWrap/>
            <w:hideMark/>
          </w:tcPr>
          <w:p w14:paraId="42B3280F" w14:textId="4AE636F8" w:rsidR="0009689D" w:rsidRPr="0009689D" w:rsidRDefault="0009689D" w:rsidP="0009689D">
            <w:pPr>
              <w:jc w:val="right"/>
              <w:rPr>
                <w:noProof/>
                <w:sz w:val="20"/>
                <w:szCs w:val="20"/>
              </w:rPr>
            </w:pPr>
            <w:r w:rsidRPr="0009689D">
              <w:rPr>
                <w:noProof/>
                <w:sz w:val="20"/>
                <w:szCs w:val="20"/>
              </w:rPr>
              <w:t>3.0</w:t>
            </w:r>
          </w:p>
        </w:tc>
        <w:tc>
          <w:tcPr>
            <w:tcW w:w="853" w:type="pct"/>
            <w:tcBorders>
              <w:top w:val="nil"/>
              <w:left w:val="nil"/>
              <w:bottom w:val="single" w:sz="4" w:space="0" w:color="auto"/>
              <w:right w:val="single" w:sz="4" w:space="0" w:color="auto"/>
            </w:tcBorders>
            <w:shd w:val="clear" w:color="000000" w:fill="FFFFFF"/>
            <w:noWrap/>
            <w:hideMark/>
          </w:tcPr>
          <w:p w14:paraId="6E14A0E9" w14:textId="7CD7AF57" w:rsidR="0009689D" w:rsidRPr="0009689D" w:rsidRDefault="0009689D" w:rsidP="0009689D">
            <w:pPr>
              <w:jc w:val="right"/>
              <w:rPr>
                <w:noProof/>
                <w:sz w:val="20"/>
                <w:szCs w:val="20"/>
              </w:rPr>
            </w:pPr>
            <w:r w:rsidRPr="0009689D">
              <w:rPr>
                <w:noProof/>
                <w:sz w:val="20"/>
                <w:szCs w:val="20"/>
              </w:rPr>
              <w:t>4.6</w:t>
            </w:r>
          </w:p>
        </w:tc>
        <w:tc>
          <w:tcPr>
            <w:tcW w:w="853" w:type="pct"/>
            <w:tcBorders>
              <w:top w:val="nil"/>
              <w:left w:val="nil"/>
              <w:bottom w:val="single" w:sz="4" w:space="0" w:color="auto"/>
              <w:right w:val="single" w:sz="4" w:space="0" w:color="auto"/>
            </w:tcBorders>
            <w:shd w:val="clear" w:color="000000" w:fill="FFFFFF"/>
            <w:noWrap/>
            <w:hideMark/>
          </w:tcPr>
          <w:p w14:paraId="286E0634" w14:textId="796EA858" w:rsidR="0009689D" w:rsidRPr="0009689D" w:rsidRDefault="0009689D" w:rsidP="0009689D">
            <w:pPr>
              <w:jc w:val="right"/>
              <w:rPr>
                <w:noProof/>
                <w:sz w:val="20"/>
                <w:szCs w:val="20"/>
              </w:rPr>
            </w:pPr>
            <w:r w:rsidRPr="0009689D">
              <w:rPr>
                <w:noProof/>
                <w:sz w:val="20"/>
                <w:szCs w:val="20"/>
              </w:rPr>
              <w:t>3.4</w:t>
            </w:r>
          </w:p>
        </w:tc>
      </w:tr>
      <w:tr w:rsidR="0009689D" w:rsidRPr="00A633A1" w14:paraId="1E6AF713" w14:textId="77777777" w:rsidTr="0009689D">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21980E6" w14:textId="0C7FB840" w:rsidR="0009689D" w:rsidRPr="00A633A1" w:rsidRDefault="0009689D" w:rsidP="0009689D">
            <w:pPr>
              <w:rPr>
                <w:b/>
                <w:bCs/>
                <w:noProof/>
                <w:sz w:val="20"/>
                <w:szCs w:val="20"/>
              </w:rPr>
            </w:pPr>
            <w:r w:rsidRPr="00A633A1">
              <w:rPr>
                <w:b/>
                <w:bCs/>
                <w:noProof/>
                <w:sz w:val="20"/>
                <w:szCs w:val="20"/>
              </w:rPr>
              <w:t xml:space="preserve"> Total </w:t>
            </w:r>
          </w:p>
        </w:tc>
        <w:tc>
          <w:tcPr>
            <w:tcW w:w="853" w:type="pct"/>
            <w:tcBorders>
              <w:top w:val="nil"/>
              <w:left w:val="nil"/>
              <w:bottom w:val="single" w:sz="4" w:space="0" w:color="auto"/>
              <w:right w:val="single" w:sz="4" w:space="0" w:color="auto"/>
            </w:tcBorders>
            <w:shd w:val="clear" w:color="000000" w:fill="FFFFFF"/>
            <w:noWrap/>
            <w:hideMark/>
          </w:tcPr>
          <w:p w14:paraId="5772F728" w14:textId="253D2F08" w:rsidR="0009689D" w:rsidRPr="0009689D" w:rsidRDefault="0009689D" w:rsidP="0009689D">
            <w:pPr>
              <w:jc w:val="right"/>
              <w:rPr>
                <w:b/>
                <w:bCs/>
                <w:noProof/>
                <w:sz w:val="20"/>
                <w:szCs w:val="20"/>
              </w:rPr>
            </w:pPr>
            <w:r w:rsidRPr="0009689D">
              <w:rPr>
                <w:b/>
                <w:bCs/>
                <w:noProof/>
                <w:sz w:val="20"/>
                <w:szCs w:val="20"/>
              </w:rPr>
              <w:t>1,970.9</w:t>
            </w:r>
          </w:p>
        </w:tc>
        <w:tc>
          <w:tcPr>
            <w:tcW w:w="853" w:type="pct"/>
            <w:tcBorders>
              <w:top w:val="nil"/>
              <w:left w:val="nil"/>
              <w:bottom w:val="single" w:sz="4" w:space="0" w:color="auto"/>
              <w:right w:val="single" w:sz="4" w:space="0" w:color="auto"/>
            </w:tcBorders>
            <w:shd w:val="clear" w:color="000000" w:fill="FFFFFF"/>
            <w:noWrap/>
            <w:hideMark/>
          </w:tcPr>
          <w:p w14:paraId="7080A041" w14:textId="37421182" w:rsidR="0009689D" w:rsidRPr="0009689D" w:rsidRDefault="0009689D" w:rsidP="0009689D">
            <w:pPr>
              <w:jc w:val="right"/>
              <w:rPr>
                <w:b/>
                <w:bCs/>
                <w:noProof/>
                <w:sz w:val="20"/>
                <w:szCs w:val="20"/>
              </w:rPr>
            </w:pPr>
            <w:r w:rsidRPr="0009689D">
              <w:rPr>
                <w:b/>
                <w:bCs/>
                <w:noProof/>
                <w:sz w:val="20"/>
                <w:szCs w:val="20"/>
              </w:rPr>
              <w:t>302.8</w:t>
            </w:r>
          </w:p>
        </w:tc>
        <w:tc>
          <w:tcPr>
            <w:tcW w:w="853" w:type="pct"/>
            <w:tcBorders>
              <w:top w:val="nil"/>
              <w:left w:val="nil"/>
              <w:bottom w:val="single" w:sz="4" w:space="0" w:color="auto"/>
              <w:right w:val="single" w:sz="4" w:space="0" w:color="auto"/>
            </w:tcBorders>
            <w:shd w:val="clear" w:color="000000" w:fill="FFFFFF"/>
            <w:noWrap/>
            <w:hideMark/>
          </w:tcPr>
          <w:p w14:paraId="1190DEF1" w14:textId="7CA68CA1" w:rsidR="0009689D" w:rsidRPr="0009689D" w:rsidRDefault="0009689D" w:rsidP="0009689D">
            <w:pPr>
              <w:jc w:val="right"/>
              <w:rPr>
                <w:b/>
                <w:bCs/>
                <w:noProof/>
                <w:sz w:val="20"/>
                <w:szCs w:val="20"/>
              </w:rPr>
            </w:pPr>
            <w:r w:rsidRPr="0009689D">
              <w:rPr>
                <w:b/>
                <w:bCs/>
                <w:noProof/>
                <w:sz w:val="20"/>
                <w:szCs w:val="20"/>
              </w:rPr>
              <w:t>455.5</w:t>
            </w:r>
          </w:p>
        </w:tc>
        <w:tc>
          <w:tcPr>
            <w:tcW w:w="853" w:type="pct"/>
            <w:tcBorders>
              <w:top w:val="nil"/>
              <w:left w:val="nil"/>
              <w:bottom w:val="single" w:sz="4" w:space="0" w:color="auto"/>
              <w:right w:val="single" w:sz="4" w:space="0" w:color="auto"/>
            </w:tcBorders>
            <w:shd w:val="clear" w:color="000000" w:fill="FFFFFF"/>
            <w:noWrap/>
            <w:hideMark/>
          </w:tcPr>
          <w:p w14:paraId="7DC58ACE" w14:textId="1C6DE59D" w:rsidR="0009689D" w:rsidRPr="0009689D" w:rsidRDefault="0009689D" w:rsidP="0009689D">
            <w:pPr>
              <w:jc w:val="right"/>
              <w:rPr>
                <w:b/>
                <w:bCs/>
                <w:noProof/>
                <w:sz w:val="20"/>
                <w:szCs w:val="20"/>
              </w:rPr>
            </w:pPr>
            <w:r w:rsidRPr="0009689D">
              <w:rPr>
                <w:b/>
                <w:bCs/>
                <w:noProof/>
                <w:sz w:val="20"/>
                <w:szCs w:val="20"/>
              </w:rPr>
              <w:t>341.5</w:t>
            </w:r>
          </w:p>
        </w:tc>
      </w:tr>
    </w:tbl>
    <w:p w14:paraId="2B6A9BC9" w14:textId="77777777" w:rsidR="00525716" w:rsidRPr="00A633A1" w:rsidRDefault="00525716" w:rsidP="00525716">
      <w:pPr>
        <w:tabs>
          <w:tab w:val="left" w:pos="2302"/>
        </w:tabs>
        <w:spacing w:after="240"/>
        <w:jc w:val="both"/>
        <w:rPr>
          <w:i/>
          <w:noProof/>
          <w:sz w:val="20"/>
          <w:szCs w:val="20"/>
        </w:rPr>
      </w:pPr>
      <w:r w:rsidRPr="00A633A1">
        <w:rPr>
          <w:i/>
          <w:noProof/>
          <w:spacing w:val="-8"/>
          <w:sz w:val="20"/>
          <w:szCs w:val="20"/>
        </w:rPr>
        <w:t xml:space="preserve">Source: </w:t>
      </w:r>
      <w:r w:rsidRPr="00A633A1">
        <w:rPr>
          <w:i/>
          <w:noProof/>
          <w:sz w:val="20"/>
          <w:szCs w:val="20"/>
        </w:rPr>
        <w:t>Ricardo et al. (2026), Impact assessment support study</w:t>
      </w:r>
    </w:p>
    <w:p w14:paraId="33E72565" w14:textId="4D14355C" w:rsidR="00525716" w:rsidRPr="00DB078C" w:rsidRDefault="00525716" w:rsidP="00DB078C">
      <w:pPr>
        <w:keepNext/>
        <w:tabs>
          <w:tab w:val="left" w:pos="1134"/>
        </w:tabs>
        <w:jc w:val="both"/>
        <w:rPr>
          <w:i/>
          <w:noProof/>
          <w:sz w:val="22"/>
          <w:szCs w:val="22"/>
        </w:rPr>
      </w:pPr>
      <w:r w:rsidRPr="00DB078C">
        <w:rPr>
          <w:i/>
          <w:noProof/>
          <w:sz w:val="22"/>
          <w:szCs w:val="22"/>
        </w:rPr>
        <w:t xml:space="preserve">Table </w:t>
      </w:r>
      <w:r w:rsidRPr="00DB078C">
        <w:rPr>
          <w:i/>
          <w:noProof/>
          <w:sz w:val="22"/>
          <w:szCs w:val="22"/>
        </w:rPr>
        <w:fldChar w:fldCharType="begin"/>
      </w:r>
      <w:r w:rsidRPr="00DB078C">
        <w:rPr>
          <w:i/>
          <w:noProof/>
          <w:sz w:val="22"/>
          <w:szCs w:val="22"/>
        </w:rPr>
        <w:instrText xml:space="preserve"> SEQ Table \* ARABIC </w:instrText>
      </w:r>
      <w:r w:rsidRPr="00DB078C">
        <w:rPr>
          <w:i/>
          <w:noProof/>
          <w:sz w:val="22"/>
          <w:szCs w:val="22"/>
        </w:rPr>
        <w:fldChar w:fldCharType="separate"/>
      </w:r>
      <w:r w:rsidR="0055391F">
        <w:rPr>
          <w:i/>
          <w:noProof/>
          <w:sz w:val="22"/>
          <w:szCs w:val="22"/>
        </w:rPr>
        <w:t>83</w:t>
      </w:r>
      <w:r w:rsidRPr="00DB078C">
        <w:rPr>
          <w:i/>
          <w:noProof/>
          <w:sz w:val="22"/>
          <w:szCs w:val="22"/>
        </w:rPr>
        <w:fldChar w:fldCharType="end"/>
      </w:r>
      <w:r w:rsidRPr="00DB078C">
        <w:rPr>
          <w:i/>
          <w:noProof/>
          <w:sz w:val="22"/>
          <w:szCs w:val="22"/>
        </w:rPr>
        <w:t xml:space="preserve">: Total one-off and recurrent adjustment costs for </w:t>
      </w:r>
      <w:r w:rsidR="00E65F03">
        <w:rPr>
          <w:i/>
          <w:noProof/>
          <w:sz w:val="22"/>
          <w:szCs w:val="22"/>
        </w:rPr>
        <w:t>non-SME</w:t>
      </w:r>
      <w:r w:rsidRPr="00DB078C">
        <w:rPr>
          <w:i/>
          <w:noProof/>
          <w:sz w:val="22"/>
          <w:szCs w:val="22"/>
        </w:rPr>
        <w:t xml:space="preserve"> B2C MDMS platforms due to PM</w:t>
      </w:r>
      <w:r w:rsidR="00597FA0" w:rsidRPr="00DB078C">
        <w:rPr>
          <w:i/>
          <w:noProof/>
          <w:sz w:val="22"/>
          <w:szCs w:val="22"/>
        </w:rPr>
        <w:t>3</w:t>
      </w:r>
      <w:r w:rsidRPr="00DB078C">
        <w:rPr>
          <w:i/>
          <w:noProof/>
          <w:sz w:val="22"/>
          <w:szCs w:val="22"/>
        </w:rPr>
        <w:t xml:space="preserve"> in PO4 in 2028, 2030, 2040 and 2050 relative to the baseline (thousand EUR, in 2024 prices)</w:t>
      </w:r>
    </w:p>
    <w:tbl>
      <w:tblPr>
        <w:tblW w:w="5000" w:type="pct"/>
        <w:tblLook w:val="04A0" w:firstRow="1" w:lastRow="0" w:firstColumn="1" w:lastColumn="0" w:noHBand="0" w:noVBand="1"/>
      </w:tblPr>
      <w:tblGrid>
        <w:gridCol w:w="3053"/>
        <w:gridCol w:w="1638"/>
        <w:gridCol w:w="1638"/>
        <w:gridCol w:w="1638"/>
        <w:gridCol w:w="1636"/>
      </w:tblGrid>
      <w:tr w:rsidR="00A633A1" w:rsidRPr="00A633A1" w14:paraId="53A83E53" w14:textId="77777777" w:rsidTr="004075FB">
        <w:trPr>
          <w:trHeight w:val="255"/>
          <w:tblHeader/>
        </w:trPr>
        <w:tc>
          <w:tcPr>
            <w:tcW w:w="1589" w:type="pct"/>
            <w:tcBorders>
              <w:top w:val="single" w:sz="4" w:space="0" w:color="auto"/>
              <w:left w:val="single" w:sz="4" w:space="0" w:color="auto"/>
              <w:bottom w:val="single" w:sz="4" w:space="0" w:color="auto"/>
              <w:right w:val="single" w:sz="4" w:space="0" w:color="auto"/>
            </w:tcBorders>
            <w:shd w:val="clear" w:color="000000" w:fill="0070C0"/>
            <w:noWrap/>
            <w:hideMark/>
          </w:tcPr>
          <w:p w14:paraId="0EB24348" w14:textId="1DF9A01A" w:rsidR="00890701" w:rsidRPr="00A633A1" w:rsidRDefault="00890701">
            <w:pPr>
              <w:jc w:val="center"/>
              <w:rPr>
                <w:b/>
                <w:bCs/>
                <w:noProof/>
                <w:color w:val="FFFFFF"/>
                <w:sz w:val="20"/>
                <w:szCs w:val="20"/>
              </w:rPr>
            </w:pPr>
          </w:p>
        </w:tc>
        <w:tc>
          <w:tcPr>
            <w:tcW w:w="853" w:type="pct"/>
            <w:tcBorders>
              <w:top w:val="single" w:sz="4" w:space="0" w:color="auto"/>
              <w:left w:val="nil"/>
              <w:bottom w:val="single" w:sz="4" w:space="0" w:color="auto"/>
              <w:right w:val="single" w:sz="4" w:space="0" w:color="auto"/>
            </w:tcBorders>
            <w:shd w:val="clear" w:color="000000" w:fill="0070C0"/>
            <w:noWrap/>
            <w:hideMark/>
          </w:tcPr>
          <w:p w14:paraId="67CBE2B7" w14:textId="77777777" w:rsidR="00890701" w:rsidRPr="00A633A1" w:rsidRDefault="00890701">
            <w:pPr>
              <w:jc w:val="center"/>
              <w:rPr>
                <w:b/>
                <w:bCs/>
                <w:noProof/>
                <w:color w:val="FFFFFF"/>
                <w:sz w:val="20"/>
                <w:szCs w:val="20"/>
              </w:rPr>
            </w:pPr>
            <w:r w:rsidRPr="00A633A1">
              <w:rPr>
                <w:b/>
                <w:bCs/>
                <w:noProof/>
                <w:color w:val="FFFFFF"/>
                <w:sz w:val="20"/>
                <w:szCs w:val="20"/>
              </w:rPr>
              <w:t>2028</w:t>
            </w:r>
          </w:p>
        </w:tc>
        <w:tc>
          <w:tcPr>
            <w:tcW w:w="853" w:type="pct"/>
            <w:tcBorders>
              <w:top w:val="single" w:sz="4" w:space="0" w:color="auto"/>
              <w:left w:val="nil"/>
              <w:bottom w:val="single" w:sz="4" w:space="0" w:color="auto"/>
              <w:right w:val="single" w:sz="4" w:space="0" w:color="auto"/>
            </w:tcBorders>
            <w:shd w:val="clear" w:color="000000" w:fill="0070C0"/>
            <w:noWrap/>
            <w:hideMark/>
          </w:tcPr>
          <w:p w14:paraId="13C58437" w14:textId="77777777" w:rsidR="00890701" w:rsidRPr="00A633A1" w:rsidRDefault="00890701">
            <w:pPr>
              <w:jc w:val="center"/>
              <w:rPr>
                <w:b/>
                <w:bCs/>
                <w:noProof/>
                <w:color w:val="FFFFFF"/>
                <w:sz w:val="20"/>
                <w:szCs w:val="20"/>
              </w:rPr>
            </w:pPr>
            <w:r w:rsidRPr="00A633A1">
              <w:rPr>
                <w:b/>
                <w:bCs/>
                <w:noProof/>
                <w:color w:val="FFFFFF"/>
                <w:sz w:val="20"/>
                <w:szCs w:val="20"/>
              </w:rPr>
              <w:t>2030</w:t>
            </w:r>
          </w:p>
        </w:tc>
        <w:tc>
          <w:tcPr>
            <w:tcW w:w="853" w:type="pct"/>
            <w:tcBorders>
              <w:top w:val="single" w:sz="4" w:space="0" w:color="auto"/>
              <w:left w:val="nil"/>
              <w:bottom w:val="single" w:sz="4" w:space="0" w:color="auto"/>
              <w:right w:val="single" w:sz="4" w:space="0" w:color="auto"/>
            </w:tcBorders>
            <w:shd w:val="clear" w:color="000000" w:fill="0070C0"/>
            <w:noWrap/>
            <w:hideMark/>
          </w:tcPr>
          <w:p w14:paraId="1B6DDD84" w14:textId="77777777" w:rsidR="00890701" w:rsidRPr="00A633A1" w:rsidRDefault="00890701">
            <w:pPr>
              <w:jc w:val="center"/>
              <w:rPr>
                <w:b/>
                <w:bCs/>
                <w:noProof/>
                <w:color w:val="FFFFFF"/>
                <w:sz w:val="20"/>
                <w:szCs w:val="20"/>
              </w:rPr>
            </w:pPr>
            <w:r w:rsidRPr="00A633A1">
              <w:rPr>
                <w:b/>
                <w:bCs/>
                <w:noProof/>
                <w:color w:val="FFFFFF"/>
                <w:sz w:val="20"/>
                <w:szCs w:val="20"/>
              </w:rPr>
              <w:t>2040</w:t>
            </w:r>
          </w:p>
        </w:tc>
        <w:tc>
          <w:tcPr>
            <w:tcW w:w="853" w:type="pct"/>
            <w:tcBorders>
              <w:top w:val="single" w:sz="4" w:space="0" w:color="auto"/>
              <w:left w:val="nil"/>
              <w:bottom w:val="single" w:sz="4" w:space="0" w:color="auto"/>
              <w:right w:val="single" w:sz="4" w:space="0" w:color="auto"/>
            </w:tcBorders>
            <w:shd w:val="clear" w:color="000000" w:fill="0070C0"/>
            <w:noWrap/>
            <w:hideMark/>
          </w:tcPr>
          <w:p w14:paraId="60D7D8E2" w14:textId="77777777" w:rsidR="00890701" w:rsidRPr="00A633A1" w:rsidRDefault="00890701">
            <w:pPr>
              <w:jc w:val="center"/>
              <w:rPr>
                <w:b/>
                <w:bCs/>
                <w:noProof/>
                <w:color w:val="FFFFFF"/>
                <w:sz w:val="20"/>
                <w:szCs w:val="20"/>
              </w:rPr>
            </w:pPr>
            <w:r w:rsidRPr="00A633A1">
              <w:rPr>
                <w:b/>
                <w:bCs/>
                <w:noProof/>
                <w:color w:val="FFFFFF"/>
                <w:sz w:val="20"/>
                <w:szCs w:val="20"/>
              </w:rPr>
              <w:t>2050</w:t>
            </w:r>
          </w:p>
        </w:tc>
      </w:tr>
      <w:tr w:rsidR="004075FB" w:rsidRPr="00A633A1" w14:paraId="4544F4A4"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86BE964" w14:textId="77777777" w:rsidR="004075FB" w:rsidRPr="00A633A1" w:rsidRDefault="004075FB" w:rsidP="004075FB">
            <w:pPr>
              <w:rPr>
                <w:noProof/>
                <w:sz w:val="20"/>
                <w:szCs w:val="20"/>
              </w:rPr>
            </w:pPr>
            <w:r w:rsidRPr="00A633A1">
              <w:rPr>
                <w:noProof/>
                <w:sz w:val="20"/>
                <w:szCs w:val="20"/>
              </w:rPr>
              <w:t xml:space="preserve"> Germany </w:t>
            </w:r>
          </w:p>
        </w:tc>
        <w:tc>
          <w:tcPr>
            <w:tcW w:w="853" w:type="pct"/>
            <w:tcBorders>
              <w:top w:val="nil"/>
              <w:left w:val="nil"/>
              <w:bottom w:val="single" w:sz="4" w:space="0" w:color="auto"/>
              <w:right w:val="single" w:sz="4" w:space="0" w:color="auto"/>
            </w:tcBorders>
            <w:shd w:val="clear" w:color="000000" w:fill="FFFFFF"/>
            <w:noWrap/>
            <w:hideMark/>
          </w:tcPr>
          <w:p w14:paraId="5EE5891A" w14:textId="41E132D8" w:rsidR="004075FB" w:rsidRPr="000A529C" w:rsidRDefault="004075FB" w:rsidP="004075FB">
            <w:pPr>
              <w:jc w:val="right"/>
              <w:rPr>
                <w:noProof/>
                <w:sz w:val="20"/>
                <w:szCs w:val="20"/>
              </w:rPr>
            </w:pPr>
            <w:r w:rsidRPr="000A529C">
              <w:rPr>
                <w:noProof/>
                <w:sz w:val="20"/>
                <w:szCs w:val="20"/>
              </w:rPr>
              <w:t>236.5</w:t>
            </w:r>
          </w:p>
        </w:tc>
        <w:tc>
          <w:tcPr>
            <w:tcW w:w="853" w:type="pct"/>
            <w:tcBorders>
              <w:top w:val="nil"/>
              <w:left w:val="nil"/>
              <w:bottom w:val="single" w:sz="4" w:space="0" w:color="auto"/>
              <w:right w:val="single" w:sz="4" w:space="0" w:color="auto"/>
            </w:tcBorders>
            <w:shd w:val="clear" w:color="000000" w:fill="FFFFFF"/>
            <w:noWrap/>
            <w:hideMark/>
          </w:tcPr>
          <w:p w14:paraId="26C99A51" w14:textId="776864A1" w:rsidR="004075FB" w:rsidRPr="000A529C" w:rsidRDefault="004075FB" w:rsidP="004075FB">
            <w:pPr>
              <w:jc w:val="right"/>
              <w:rPr>
                <w:noProof/>
                <w:sz w:val="20"/>
                <w:szCs w:val="20"/>
              </w:rPr>
            </w:pPr>
            <w:r w:rsidRPr="000A529C">
              <w:rPr>
                <w:noProof/>
                <w:sz w:val="20"/>
                <w:szCs w:val="20"/>
              </w:rPr>
              <w:t>35.8</w:t>
            </w:r>
          </w:p>
        </w:tc>
        <w:tc>
          <w:tcPr>
            <w:tcW w:w="853" w:type="pct"/>
            <w:tcBorders>
              <w:top w:val="nil"/>
              <w:left w:val="nil"/>
              <w:bottom w:val="single" w:sz="4" w:space="0" w:color="auto"/>
              <w:right w:val="single" w:sz="4" w:space="0" w:color="auto"/>
            </w:tcBorders>
            <w:shd w:val="clear" w:color="000000" w:fill="FFFFFF"/>
            <w:noWrap/>
            <w:hideMark/>
          </w:tcPr>
          <w:p w14:paraId="1F31D02C" w14:textId="7AE95E5C" w:rsidR="004075FB" w:rsidRPr="000A529C" w:rsidRDefault="004075FB" w:rsidP="004075FB">
            <w:pPr>
              <w:jc w:val="right"/>
              <w:rPr>
                <w:noProof/>
                <w:sz w:val="20"/>
                <w:szCs w:val="20"/>
              </w:rPr>
            </w:pPr>
            <w:r w:rsidRPr="000A529C">
              <w:rPr>
                <w:noProof/>
                <w:sz w:val="20"/>
                <w:szCs w:val="20"/>
              </w:rPr>
              <w:t>57.3</w:t>
            </w:r>
          </w:p>
        </w:tc>
        <w:tc>
          <w:tcPr>
            <w:tcW w:w="853" w:type="pct"/>
            <w:tcBorders>
              <w:top w:val="nil"/>
              <w:left w:val="nil"/>
              <w:bottom w:val="single" w:sz="4" w:space="0" w:color="auto"/>
              <w:right w:val="single" w:sz="4" w:space="0" w:color="auto"/>
            </w:tcBorders>
            <w:shd w:val="clear" w:color="000000" w:fill="FFFFFF"/>
            <w:noWrap/>
            <w:hideMark/>
          </w:tcPr>
          <w:p w14:paraId="550BEB0B" w14:textId="65D5E296" w:rsidR="004075FB" w:rsidRPr="000A529C" w:rsidRDefault="004075FB" w:rsidP="004075FB">
            <w:pPr>
              <w:jc w:val="right"/>
              <w:rPr>
                <w:noProof/>
                <w:sz w:val="20"/>
                <w:szCs w:val="20"/>
              </w:rPr>
            </w:pPr>
            <w:r w:rsidRPr="000A529C">
              <w:rPr>
                <w:noProof/>
                <w:sz w:val="20"/>
                <w:szCs w:val="20"/>
              </w:rPr>
              <w:t>41.1</w:t>
            </w:r>
          </w:p>
        </w:tc>
      </w:tr>
      <w:tr w:rsidR="004075FB" w:rsidRPr="00A633A1" w14:paraId="0277413D"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016A03C9" w14:textId="77777777" w:rsidR="004075FB" w:rsidRPr="00A633A1" w:rsidRDefault="004075FB" w:rsidP="004075FB">
            <w:pPr>
              <w:rPr>
                <w:noProof/>
                <w:sz w:val="20"/>
                <w:szCs w:val="20"/>
              </w:rPr>
            </w:pPr>
            <w:r w:rsidRPr="00A633A1">
              <w:rPr>
                <w:noProof/>
                <w:sz w:val="20"/>
                <w:szCs w:val="20"/>
              </w:rPr>
              <w:t xml:space="preserve"> Austria </w:t>
            </w:r>
          </w:p>
        </w:tc>
        <w:tc>
          <w:tcPr>
            <w:tcW w:w="853" w:type="pct"/>
            <w:tcBorders>
              <w:top w:val="nil"/>
              <w:left w:val="nil"/>
              <w:bottom w:val="single" w:sz="4" w:space="0" w:color="auto"/>
              <w:right w:val="single" w:sz="4" w:space="0" w:color="auto"/>
            </w:tcBorders>
            <w:shd w:val="clear" w:color="000000" w:fill="FFFFFF"/>
            <w:noWrap/>
            <w:hideMark/>
          </w:tcPr>
          <w:p w14:paraId="5B1FDF14" w14:textId="59627560" w:rsidR="004075FB" w:rsidRPr="000A529C" w:rsidRDefault="004075FB" w:rsidP="004075FB">
            <w:pPr>
              <w:jc w:val="right"/>
              <w:rPr>
                <w:noProof/>
                <w:sz w:val="20"/>
                <w:szCs w:val="20"/>
              </w:rPr>
            </w:pPr>
            <w:r w:rsidRPr="000A529C">
              <w:rPr>
                <w:noProof/>
                <w:sz w:val="20"/>
                <w:szCs w:val="20"/>
              </w:rPr>
              <w:t>177.4</w:t>
            </w:r>
          </w:p>
        </w:tc>
        <w:tc>
          <w:tcPr>
            <w:tcW w:w="853" w:type="pct"/>
            <w:tcBorders>
              <w:top w:val="nil"/>
              <w:left w:val="nil"/>
              <w:bottom w:val="single" w:sz="4" w:space="0" w:color="auto"/>
              <w:right w:val="single" w:sz="4" w:space="0" w:color="auto"/>
            </w:tcBorders>
            <w:shd w:val="clear" w:color="000000" w:fill="FFFFFF"/>
            <w:noWrap/>
            <w:hideMark/>
          </w:tcPr>
          <w:p w14:paraId="70BDF0C9" w14:textId="313DB865" w:rsidR="004075FB" w:rsidRPr="000A529C" w:rsidRDefault="004075FB" w:rsidP="004075FB">
            <w:pPr>
              <w:jc w:val="right"/>
              <w:rPr>
                <w:noProof/>
                <w:sz w:val="20"/>
                <w:szCs w:val="20"/>
              </w:rPr>
            </w:pPr>
            <w:r w:rsidRPr="000A529C">
              <w:rPr>
                <w:noProof/>
                <w:sz w:val="20"/>
                <w:szCs w:val="20"/>
              </w:rPr>
              <w:t>26.8</w:t>
            </w:r>
          </w:p>
        </w:tc>
        <w:tc>
          <w:tcPr>
            <w:tcW w:w="853" w:type="pct"/>
            <w:tcBorders>
              <w:top w:val="nil"/>
              <w:left w:val="nil"/>
              <w:bottom w:val="single" w:sz="4" w:space="0" w:color="auto"/>
              <w:right w:val="single" w:sz="4" w:space="0" w:color="auto"/>
            </w:tcBorders>
            <w:shd w:val="clear" w:color="000000" w:fill="FFFFFF"/>
            <w:noWrap/>
            <w:hideMark/>
          </w:tcPr>
          <w:p w14:paraId="41CB3140" w14:textId="27D7D056" w:rsidR="004075FB" w:rsidRPr="000A529C" w:rsidRDefault="004075FB" w:rsidP="004075FB">
            <w:pPr>
              <w:jc w:val="right"/>
              <w:rPr>
                <w:noProof/>
                <w:sz w:val="20"/>
                <w:szCs w:val="20"/>
              </w:rPr>
            </w:pPr>
            <w:r w:rsidRPr="000A529C">
              <w:rPr>
                <w:noProof/>
                <w:sz w:val="20"/>
                <w:szCs w:val="20"/>
              </w:rPr>
              <w:t>43.0</w:t>
            </w:r>
          </w:p>
        </w:tc>
        <w:tc>
          <w:tcPr>
            <w:tcW w:w="853" w:type="pct"/>
            <w:tcBorders>
              <w:top w:val="nil"/>
              <w:left w:val="nil"/>
              <w:bottom w:val="single" w:sz="4" w:space="0" w:color="auto"/>
              <w:right w:val="single" w:sz="4" w:space="0" w:color="auto"/>
            </w:tcBorders>
            <w:shd w:val="clear" w:color="000000" w:fill="FFFFFF"/>
            <w:noWrap/>
            <w:hideMark/>
          </w:tcPr>
          <w:p w14:paraId="2B2D4330" w14:textId="1D603E53" w:rsidR="004075FB" w:rsidRPr="000A529C" w:rsidRDefault="004075FB" w:rsidP="004075FB">
            <w:pPr>
              <w:jc w:val="right"/>
              <w:rPr>
                <w:noProof/>
                <w:sz w:val="20"/>
                <w:szCs w:val="20"/>
              </w:rPr>
            </w:pPr>
            <w:r w:rsidRPr="000A529C">
              <w:rPr>
                <w:noProof/>
                <w:sz w:val="20"/>
                <w:szCs w:val="20"/>
              </w:rPr>
              <w:t>30.8</w:t>
            </w:r>
          </w:p>
        </w:tc>
      </w:tr>
      <w:tr w:rsidR="004075FB" w:rsidRPr="00A633A1" w14:paraId="79FD7B4F"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340E6880" w14:textId="77777777" w:rsidR="004075FB" w:rsidRPr="00A633A1" w:rsidRDefault="004075FB" w:rsidP="004075FB">
            <w:pPr>
              <w:rPr>
                <w:noProof/>
                <w:sz w:val="20"/>
                <w:szCs w:val="20"/>
              </w:rPr>
            </w:pPr>
            <w:r w:rsidRPr="00A633A1">
              <w:rPr>
                <w:noProof/>
                <w:sz w:val="20"/>
                <w:szCs w:val="20"/>
              </w:rPr>
              <w:t xml:space="preserve"> Denmark </w:t>
            </w:r>
          </w:p>
        </w:tc>
        <w:tc>
          <w:tcPr>
            <w:tcW w:w="853" w:type="pct"/>
            <w:tcBorders>
              <w:top w:val="nil"/>
              <w:left w:val="nil"/>
              <w:bottom w:val="single" w:sz="4" w:space="0" w:color="auto"/>
              <w:right w:val="single" w:sz="4" w:space="0" w:color="auto"/>
            </w:tcBorders>
            <w:shd w:val="clear" w:color="000000" w:fill="FFFFFF"/>
            <w:noWrap/>
            <w:hideMark/>
          </w:tcPr>
          <w:p w14:paraId="27CBB7D7" w14:textId="1043A9C8" w:rsidR="004075FB" w:rsidRPr="000A529C" w:rsidRDefault="004075FB" w:rsidP="004075FB">
            <w:pPr>
              <w:jc w:val="right"/>
              <w:rPr>
                <w:noProof/>
                <w:sz w:val="20"/>
                <w:szCs w:val="20"/>
              </w:rPr>
            </w:pPr>
            <w:r w:rsidRPr="000A529C">
              <w:rPr>
                <w:noProof/>
                <w:sz w:val="20"/>
                <w:szCs w:val="20"/>
              </w:rPr>
              <w:t>118.3</w:t>
            </w:r>
          </w:p>
        </w:tc>
        <w:tc>
          <w:tcPr>
            <w:tcW w:w="853" w:type="pct"/>
            <w:tcBorders>
              <w:top w:val="nil"/>
              <w:left w:val="nil"/>
              <w:bottom w:val="single" w:sz="4" w:space="0" w:color="auto"/>
              <w:right w:val="single" w:sz="4" w:space="0" w:color="auto"/>
            </w:tcBorders>
            <w:shd w:val="clear" w:color="000000" w:fill="FFFFFF"/>
            <w:noWrap/>
            <w:hideMark/>
          </w:tcPr>
          <w:p w14:paraId="4D588C92" w14:textId="0ED516E8" w:rsidR="004075FB" w:rsidRPr="000A529C" w:rsidRDefault="004075FB" w:rsidP="004075FB">
            <w:pPr>
              <w:jc w:val="right"/>
              <w:rPr>
                <w:noProof/>
                <w:sz w:val="20"/>
                <w:szCs w:val="20"/>
              </w:rPr>
            </w:pPr>
            <w:r w:rsidRPr="000A529C">
              <w:rPr>
                <w:noProof/>
                <w:sz w:val="20"/>
                <w:szCs w:val="20"/>
              </w:rPr>
              <w:t>17.9</w:t>
            </w:r>
          </w:p>
        </w:tc>
        <w:tc>
          <w:tcPr>
            <w:tcW w:w="853" w:type="pct"/>
            <w:tcBorders>
              <w:top w:val="nil"/>
              <w:left w:val="nil"/>
              <w:bottom w:val="single" w:sz="4" w:space="0" w:color="auto"/>
              <w:right w:val="single" w:sz="4" w:space="0" w:color="auto"/>
            </w:tcBorders>
            <w:shd w:val="clear" w:color="000000" w:fill="FFFFFF"/>
            <w:noWrap/>
            <w:hideMark/>
          </w:tcPr>
          <w:p w14:paraId="5915923B" w14:textId="1FDC6D11" w:rsidR="004075FB" w:rsidRPr="000A529C" w:rsidRDefault="004075FB" w:rsidP="004075FB">
            <w:pPr>
              <w:jc w:val="right"/>
              <w:rPr>
                <w:noProof/>
                <w:sz w:val="20"/>
                <w:szCs w:val="20"/>
              </w:rPr>
            </w:pPr>
            <w:r w:rsidRPr="000A529C">
              <w:rPr>
                <w:noProof/>
                <w:sz w:val="20"/>
                <w:szCs w:val="20"/>
              </w:rPr>
              <w:t>28.7</w:t>
            </w:r>
          </w:p>
        </w:tc>
        <w:tc>
          <w:tcPr>
            <w:tcW w:w="853" w:type="pct"/>
            <w:tcBorders>
              <w:top w:val="nil"/>
              <w:left w:val="nil"/>
              <w:bottom w:val="single" w:sz="4" w:space="0" w:color="auto"/>
              <w:right w:val="single" w:sz="4" w:space="0" w:color="auto"/>
            </w:tcBorders>
            <w:shd w:val="clear" w:color="000000" w:fill="FFFFFF"/>
            <w:noWrap/>
            <w:hideMark/>
          </w:tcPr>
          <w:p w14:paraId="2B97CF6E" w14:textId="6650F426" w:rsidR="004075FB" w:rsidRPr="000A529C" w:rsidRDefault="004075FB" w:rsidP="004075FB">
            <w:pPr>
              <w:jc w:val="right"/>
              <w:rPr>
                <w:noProof/>
                <w:sz w:val="20"/>
                <w:szCs w:val="20"/>
              </w:rPr>
            </w:pPr>
            <w:r w:rsidRPr="000A529C">
              <w:rPr>
                <w:noProof/>
                <w:sz w:val="20"/>
                <w:szCs w:val="20"/>
              </w:rPr>
              <w:t>20.6</w:t>
            </w:r>
          </w:p>
        </w:tc>
      </w:tr>
      <w:tr w:rsidR="004075FB" w:rsidRPr="00A633A1" w14:paraId="05E78734"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0C70896D" w14:textId="77777777" w:rsidR="004075FB" w:rsidRPr="00A633A1" w:rsidRDefault="004075FB" w:rsidP="004075FB">
            <w:pPr>
              <w:rPr>
                <w:noProof/>
                <w:sz w:val="20"/>
                <w:szCs w:val="20"/>
              </w:rPr>
            </w:pPr>
            <w:r w:rsidRPr="00A633A1">
              <w:rPr>
                <w:noProof/>
                <w:sz w:val="20"/>
                <w:szCs w:val="20"/>
              </w:rPr>
              <w:t xml:space="preserve"> Luxembourg </w:t>
            </w:r>
          </w:p>
        </w:tc>
        <w:tc>
          <w:tcPr>
            <w:tcW w:w="853" w:type="pct"/>
            <w:tcBorders>
              <w:top w:val="nil"/>
              <w:left w:val="nil"/>
              <w:bottom w:val="single" w:sz="4" w:space="0" w:color="auto"/>
              <w:right w:val="single" w:sz="4" w:space="0" w:color="auto"/>
            </w:tcBorders>
            <w:shd w:val="clear" w:color="000000" w:fill="FFFFFF"/>
            <w:noWrap/>
            <w:hideMark/>
          </w:tcPr>
          <w:p w14:paraId="5454DAA9" w14:textId="4AB340E0" w:rsidR="004075FB" w:rsidRPr="000A529C" w:rsidRDefault="004075FB" w:rsidP="004075FB">
            <w:pPr>
              <w:jc w:val="right"/>
              <w:rPr>
                <w:noProof/>
                <w:sz w:val="20"/>
                <w:szCs w:val="20"/>
              </w:rPr>
            </w:pPr>
            <w:r w:rsidRPr="000A529C">
              <w:rPr>
                <w:noProof/>
                <w:sz w:val="20"/>
                <w:szCs w:val="20"/>
              </w:rPr>
              <w:t>78.8</w:t>
            </w:r>
          </w:p>
        </w:tc>
        <w:tc>
          <w:tcPr>
            <w:tcW w:w="853" w:type="pct"/>
            <w:tcBorders>
              <w:top w:val="nil"/>
              <w:left w:val="nil"/>
              <w:bottom w:val="single" w:sz="4" w:space="0" w:color="auto"/>
              <w:right w:val="single" w:sz="4" w:space="0" w:color="auto"/>
            </w:tcBorders>
            <w:shd w:val="clear" w:color="000000" w:fill="FFFFFF"/>
            <w:noWrap/>
            <w:hideMark/>
          </w:tcPr>
          <w:p w14:paraId="56556AD9" w14:textId="59CCC0DE" w:rsidR="004075FB" w:rsidRPr="000A529C" w:rsidRDefault="004075FB" w:rsidP="004075FB">
            <w:pPr>
              <w:jc w:val="right"/>
              <w:rPr>
                <w:noProof/>
                <w:sz w:val="20"/>
                <w:szCs w:val="20"/>
              </w:rPr>
            </w:pPr>
            <w:r w:rsidRPr="000A529C">
              <w:rPr>
                <w:noProof/>
                <w:sz w:val="20"/>
                <w:szCs w:val="20"/>
              </w:rPr>
              <w:t>11.9</w:t>
            </w:r>
          </w:p>
        </w:tc>
        <w:tc>
          <w:tcPr>
            <w:tcW w:w="853" w:type="pct"/>
            <w:tcBorders>
              <w:top w:val="nil"/>
              <w:left w:val="nil"/>
              <w:bottom w:val="single" w:sz="4" w:space="0" w:color="auto"/>
              <w:right w:val="single" w:sz="4" w:space="0" w:color="auto"/>
            </w:tcBorders>
            <w:shd w:val="clear" w:color="000000" w:fill="FFFFFF"/>
            <w:noWrap/>
            <w:hideMark/>
          </w:tcPr>
          <w:p w14:paraId="25F0DE6D" w14:textId="1F0FE948" w:rsidR="004075FB" w:rsidRPr="000A529C" w:rsidRDefault="004075FB" w:rsidP="004075FB">
            <w:pPr>
              <w:jc w:val="right"/>
              <w:rPr>
                <w:noProof/>
                <w:sz w:val="20"/>
                <w:szCs w:val="20"/>
              </w:rPr>
            </w:pPr>
            <w:r w:rsidRPr="000A529C">
              <w:rPr>
                <w:noProof/>
                <w:sz w:val="20"/>
                <w:szCs w:val="20"/>
              </w:rPr>
              <w:t>19.1</w:t>
            </w:r>
          </w:p>
        </w:tc>
        <w:tc>
          <w:tcPr>
            <w:tcW w:w="853" w:type="pct"/>
            <w:tcBorders>
              <w:top w:val="nil"/>
              <w:left w:val="nil"/>
              <w:bottom w:val="single" w:sz="4" w:space="0" w:color="auto"/>
              <w:right w:val="single" w:sz="4" w:space="0" w:color="auto"/>
            </w:tcBorders>
            <w:shd w:val="clear" w:color="000000" w:fill="FFFFFF"/>
            <w:noWrap/>
            <w:hideMark/>
          </w:tcPr>
          <w:p w14:paraId="2491BC0A" w14:textId="40752076" w:rsidR="004075FB" w:rsidRPr="000A529C" w:rsidRDefault="004075FB" w:rsidP="004075FB">
            <w:pPr>
              <w:jc w:val="right"/>
              <w:rPr>
                <w:noProof/>
                <w:sz w:val="20"/>
                <w:szCs w:val="20"/>
              </w:rPr>
            </w:pPr>
            <w:r w:rsidRPr="000A529C">
              <w:rPr>
                <w:noProof/>
                <w:sz w:val="20"/>
                <w:szCs w:val="20"/>
              </w:rPr>
              <w:t>13.7</w:t>
            </w:r>
          </w:p>
        </w:tc>
      </w:tr>
      <w:tr w:rsidR="004075FB" w:rsidRPr="00A633A1" w14:paraId="1D0242D0"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E3A98E1" w14:textId="77777777" w:rsidR="004075FB" w:rsidRPr="00A633A1" w:rsidRDefault="004075FB" w:rsidP="004075FB">
            <w:pPr>
              <w:rPr>
                <w:noProof/>
                <w:sz w:val="20"/>
                <w:szCs w:val="20"/>
              </w:rPr>
            </w:pPr>
            <w:r w:rsidRPr="00A633A1">
              <w:rPr>
                <w:noProof/>
                <w:sz w:val="20"/>
                <w:szCs w:val="20"/>
              </w:rPr>
              <w:t xml:space="preserve"> Finland </w:t>
            </w:r>
          </w:p>
        </w:tc>
        <w:tc>
          <w:tcPr>
            <w:tcW w:w="853" w:type="pct"/>
            <w:tcBorders>
              <w:top w:val="nil"/>
              <w:left w:val="nil"/>
              <w:bottom w:val="single" w:sz="4" w:space="0" w:color="auto"/>
              <w:right w:val="single" w:sz="4" w:space="0" w:color="auto"/>
            </w:tcBorders>
            <w:shd w:val="clear" w:color="000000" w:fill="FFFFFF"/>
            <w:noWrap/>
            <w:hideMark/>
          </w:tcPr>
          <w:p w14:paraId="4907B20D" w14:textId="686B1646" w:rsidR="004075FB" w:rsidRPr="000A529C" w:rsidRDefault="004075FB" w:rsidP="004075FB">
            <w:pPr>
              <w:jc w:val="right"/>
              <w:rPr>
                <w:noProof/>
                <w:sz w:val="20"/>
                <w:szCs w:val="20"/>
              </w:rPr>
            </w:pPr>
            <w:r w:rsidRPr="000A529C">
              <w:rPr>
                <w:noProof/>
                <w:sz w:val="20"/>
                <w:szCs w:val="20"/>
              </w:rPr>
              <w:t>98.5</w:t>
            </w:r>
          </w:p>
        </w:tc>
        <w:tc>
          <w:tcPr>
            <w:tcW w:w="853" w:type="pct"/>
            <w:tcBorders>
              <w:top w:val="nil"/>
              <w:left w:val="nil"/>
              <w:bottom w:val="single" w:sz="4" w:space="0" w:color="auto"/>
              <w:right w:val="single" w:sz="4" w:space="0" w:color="auto"/>
            </w:tcBorders>
            <w:shd w:val="clear" w:color="000000" w:fill="FFFFFF"/>
            <w:noWrap/>
            <w:hideMark/>
          </w:tcPr>
          <w:p w14:paraId="47466D0C" w14:textId="6F42593D" w:rsidR="004075FB" w:rsidRPr="000A529C" w:rsidRDefault="004075FB" w:rsidP="004075FB">
            <w:pPr>
              <w:jc w:val="right"/>
              <w:rPr>
                <w:noProof/>
                <w:sz w:val="20"/>
                <w:szCs w:val="20"/>
              </w:rPr>
            </w:pPr>
            <w:r w:rsidRPr="000A529C">
              <w:rPr>
                <w:noProof/>
                <w:sz w:val="20"/>
                <w:szCs w:val="20"/>
              </w:rPr>
              <w:t>14.9</w:t>
            </w:r>
          </w:p>
        </w:tc>
        <w:tc>
          <w:tcPr>
            <w:tcW w:w="853" w:type="pct"/>
            <w:tcBorders>
              <w:top w:val="nil"/>
              <w:left w:val="nil"/>
              <w:bottom w:val="single" w:sz="4" w:space="0" w:color="auto"/>
              <w:right w:val="single" w:sz="4" w:space="0" w:color="auto"/>
            </w:tcBorders>
            <w:shd w:val="clear" w:color="000000" w:fill="FFFFFF"/>
            <w:noWrap/>
            <w:hideMark/>
          </w:tcPr>
          <w:p w14:paraId="73D23468" w14:textId="5F6662E2" w:rsidR="004075FB" w:rsidRPr="000A529C" w:rsidRDefault="004075FB" w:rsidP="004075FB">
            <w:pPr>
              <w:jc w:val="right"/>
              <w:rPr>
                <w:noProof/>
                <w:sz w:val="20"/>
                <w:szCs w:val="20"/>
              </w:rPr>
            </w:pPr>
            <w:r w:rsidRPr="000A529C">
              <w:rPr>
                <w:noProof/>
                <w:sz w:val="20"/>
                <w:szCs w:val="20"/>
              </w:rPr>
              <w:t>23.9</w:t>
            </w:r>
          </w:p>
        </w:tc>
        <w:tc>
          <w:tcPr>
            <w:tcW w:w="853" w:type="pct"/>
            <w:tcBorders>
              <w:top w:val="nil"/>
              <w:left w:val="nil"/>
              <w:bottom w:val="single" w:sz="4" w:space="0" w:color="auto"/>
              <w:right w:val="single" w:sz="4" w:space="0" w:color="auto"/>
            </w:tcBorders>
            <w:shd w:val="clear" w:color="000000" w:fill="FFFFFF"/>
            <w:noWrap/>
            <w:hideMark/>
          </w:tcPr>
          <w:p w14:paraId="62316BD2" w14:textId="75EC5D54" w:rsidR="004075FB" w:rsidRPr="000A529C" w:rsidRDefault="004075FB" w:rsidP="004075FB">
            <w:pPr>
              <w:jc w:val="right"/>
              <w:rPr>
                <w:noProof/>
                <w:sz w:val="20"/>
                <w:szCs w:val="20"/>
              </w:rPr>
            </w:pPr>
            <w:r w:rsidRPr="000A529C">
              <w:rPr>
                <w:noProof/>
                <w:sz w:val="20"/>
                <w:szCs w:val="20"/>
              </w:rPr>
              <w:t>17.1</w:t>
            </w:r>
          </w:p>
        </w:tc>
      </w:tr>
      <w:tr w:rsidR="004075FB" w:rsidRPr="00A633A1" w14:paraId="15871920"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AC9F223" w14:textId="77777777" w:rsidR="004075FB" w:rsidRPr="00A633A1" w:rsidRDefault="004075FB" w:rsidP="004075FB">
            <w:pPr>
              <w:rPr>
                <w:noProof/>
                <w:sz w:val="20"/>
                <w:szCs w:val="20"/>
              </w:rPr>
            </w:pPr>
            <w:r w:rsidRPr="00A633A1">
              <w:rPr>
                <w:noProof/>
                <w:sz w:val="20"/>
                <w:szCs w:val="20"/>
              </w:rPr>
              <w:t xml:space="preserve"> Spain </w:t>
            </w:r>
          </w:p>
        </w:tc>
        <w:tc>
          <w:tcPr>
            <w:tcW w:w="853" w:type="pct"/>
            <w:tcBorders>
              <w:top w:val="nil"/>
              <w:left w:val="nil"/>
              <w:bottom w:val="single" w:sz="4" w:space="0" w:color="auto"/>
              <w:right w:val="single" w:sz="4" w:space="0" w:color="auto"/>
            </w:tcBorders>
            <w:shd w:val="clear" w:color="000000" w:fill="FFFFFF"/>
            <w:noWrap/>
            <w:hideMark/>
          </w:tcPr>
          <w:p w14:paraId="305B1AFB" w14:textId="07C54892" w:rsidR="004075FB" w:rsidRPr="000A529C" w:rsidRDefault="004075FB" w:rsidP="004075FB">
            <w:pPr>
              <w:jc w:val="right"/>
              <w:rPr>
                <w:noProof/>
                <w:sz w:val="20"/>
                <w:szCs w:val="20"/>
              </w:rPr>
            </w:pPr>
            <w:r w:rsidRPr="000A529C">
              <w:rPr>
                <w:noProof/>
                <w:sz w:val="20"/>
                <w:szCs w:val="20"/>
              </w:rPr>
              <w:t>78.8</w:t>
            </w:r>
          </w:p>
        </w:tc>
        <w:tc>
          <w:tcPr>
            <w:tcW w:w="853" w:type="pct"/>
            <w:tcBorders>
              <w:top w:val="nil"/>
              <w:left w:val="nil"/>
              <w:bottom w:val="single" w:sz="4" w:space="0" w:color="auto"/>
              <w:right w:val="single" w:sz="4" w:space="0" w:color="auto"/>
            </w:tcBorders>
            <w:shd w:val="clear" w:color="000000" w:fill="FFFFFF"/>
            <w:noWrap/>
            <w:hideMark/>
          </w:tcPr>
          <w:p w14:paraId="3226E92C" w14:textId="367DAFA1" w:rsidR="004075FB" w:rsidRPr="000A529C" w:rsidRDefault="004075FB" w:rsidP="004075FB">
            <w:pPr>
              <w:jc w:val="right"/>
              <w:rPr>
                <w:noProof/>
                <w:sz w:val="20"/>
                <w:szCs w:val="20"/>
              </w:rPr>
            </w:pPr>
            <w:r w:rsidRPr="000A529C">
              <w:rPr>
                <w:noProof/>
                <w:sz w:val="20"/>
                <w:szCs w:val="20"/>
              </w:rPr>
              <w:t>11.9</w:t>
            </w:r>
          </w:p>
        </w:tc>
        <w:tc>
          <w:tcPr>
            <w:tcW w:w="853" w:type="pct"/>
            <w:tcBorders>
              <w:top w:val="nil"/>
              <w:left w:val="nil"/>
              <w:bottom w:val="single" w:sz="4" w:space="0" w:color="auto"/>
              <w:right w:val="single" w:sz="4" w:space="0" w:color="auto"/>
            </w:tcBorders>
            <w:shd w:val="clear" w:color="000000" w:fill="FFFFFF"/>
            <w:noWrap/>
            <w:hideMark/>
          </w:tcPr>
          <w:p w14:paraId="19CC1C98" w14:textId="0EC77BDF" w:rsidR="004075FB" w:rsidRPr="000A529C" w:rsidRDefault="004075FB" w:rsidP="004075FB">
            <w:pPr>
              <w:jc w:val="right"/>
              <w:rPr>
                <w:noProof/>
                <w:sz w:val="20"/>
                <w:szCs w:val="20"/>
              </w:rPr>
            </w:pPr>
            <w:r w:rsidRPr="000A529C">
              <w:rPr>
                <w:noProof/>
                <w:sz w:val="20"/>
                <w:szCs w:val="20"/>
              </w:rPr>
              <w:t>19.1</w:t>
            </w:r>
          </w:p>
        </w:tc>
        <w:tc>
          <w:tcPr>
            <w:tcW w:w="853" w:type="pct"/>
            <w:tcBorders>
              <w:top w:val="nil"/>
              <w:left w:val="nil"/>
              <w:bottom w:val="single" w:sz="4" w:space="0" w:color="auto"/>
              <w:right w:val="single" w:sz="4" w:space="0" w:color="auto"/>
            </w:tcBorders>
            <w:shd w:val="clear" w:color="000000" w:fill="FFFFFF"/>
            <w:noWrap/>
            <w:hideMark/>
          </w:tcPr>
          <w:p w14:paraId="4671C45E" w14:textId="15E7DF53" w:rsidR="004075FB" w:rsidRPr="000A529C" w:rsidRDefault="004075FB" w:rsidP="004075FB">
            <w:pPr>
              <w:jc w:val="right"/>
              <w:rPr>
                <w:noProof/>
                <w:sz w:val="20"/>
                <w:szCs w:val="20"/>
              </w:rPr>
            </w:pPr>
            <w:r w:rsidRPr="000A529C">
              <w:rPr>
                <w:noProof/>
                <w:sz w:val="20"/>
                <w:szCs w:val="20"/>
              </w:rPr>
              <w:t>13.7</w:t>
            </w:r>
          </w:p>
        </w:tc>
      </w:tr>
      <w:tr w:rsidR="004075FB" w:rsidRPr="00A633A1" w14:paraId="2AF9054D"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ADBA555" w14:textId="77777777" w:rsidR="004075FB" w:rsidRPr="00A633A1" w:rsidRDefault="004075FB" w:rsidP="004075FB">
            <w:pPr>
              <w:rPr>
                <w:noProof/>
                <w:sz w:val="20"/>
                <w:szCs w:val="20"/>
              </w:rPr>
            </w:pPr>
            <w:r w:rsidRPr="00A633A1">
              <w:rPr>
                <w:noProof/>
                <w:sz w:val="20"/>
                <w:szCs w:val="20"/>
              </w:rPr>
              <w:t xml:space="preserve"> Netherlands </w:t>
            </w:r>
          </w:p>
        </w:tc>
        <w:tc>
          <w:tcPr>
            <w:tcW w:w="853" w:type="pct"/>
            <w:tcBorders>
              <w:top w:val="nil"/>
              <w:left w:val="nil"/>
              <w:bottom w:val="single" w:sz="4" w:space="0" w:color="auto"/>
              <w:right w:val="single" w:sz="4" w:space="0" w:color="auto"/>
            </w:tcBorders>
            <w:shd w:val="clear" w:color="000000" w:fill="FFFFFF"/>
            <w:noWrap/>
            <w:hideMark/>
          </w:tcPr>
          <w:p w14:paraId="57629D5F" w14:textId="7B6F274D" w:rsidR="004075FB" w:rsidRPr="000A529C" w:rsidRDefault="004075FB" w:rsidP="004075FB">
            <w:pPr>
              <w:jc w:val="right"/>
              <w:rPr>
                <w:noProof/>
                <w:sz w:val="20"/>
                <w:szCs w:val="20"/>
              </w:rPr>
            </w:pPr>
            <w:r w:rsidRPr="000A529C">
              <w:rPr>
                <w:noProof/>
                <w:sz w:val="20"/>
                <w:szCs w:val="20"/>
              </w:rPr>
              <w:t>197.1</w:t>
            </w:r>
          </w:p>
        </w:tc>
        <w:tc>
          <w:tcPr>
            <w:tcW w:w="853" w:type="pct"/>
            <w:tcBorders>
              <w:top w:val="nil"/>
              <w:left w:val="nil"/>
              <w:bottom w:val="single" w:sz="4" w:space="0" w:color="auto"/>
              <w:right w:val="single" w:sz="4" w:space="0" w:color="auto"/>
            </w:tcBorders>
            <w:shd w:val="clear" w:color="000000" w:fill="FFFFFF"/>
            <w:noWrap/>
            <w:hideMark/>
          </w:tcPr>
          <w:p w14:paraId="7D3C2A23" w14:textId="72439EFE" w:rsidR="004075FB" w:rsidRPr="000A529C" w:rsidRDefault="004075FB" w:rsidP="004075FB">
            <w:pPr>
              <w:jc w:val="right"/>
              <w:rPr>
                <w:noProof/>
                <w:sz w:val="20"/>
                <w:szCs w:val="20"/>
              </w:rPr>
            </w:pPr>
            <w:r w:rsidRPr="000A529C">
              <w:rPr>
                <w:noProof/>
                <w:sz w:val="20"/>
                <w:szCs w:val="20"/>
              </w:rPr>
              <w:t>29.8</w:t>
            </w:r>
          </w:p>
        </w:tc>
        <w:tc>
          <w:tcPr>
            <w:tcW w:w="853" w:type="pct"/>
            <w:tcBorders>
              <w:top w:val="nil"/>
              <w:left w:val="nil"/>
              <w:bottom w:val="single" w:sz="4" w:space="0" w:color="auto"/>
              <w:right w:val="single" w:sz="4" w:space="0" w:color="auto"/>
            </w:tcBorders>
            <w:shd w:val="clear" w:color="000000" w:fill="FFFFFF"/>
            <w:noWrap/>
            <w:hideMark/>
          </w:tcPr>
          <w:p w14:paraId="08297EBF" w14:textId="27377760" w:rsidR="004075FB" w:rsidRPr="000A529C" w:rsidRDefault="004075FB" w:rsidP="004075FB">
            <w:pPr>
              <w:jc w:val="right"/>
              <w:rPr>
                <w:noProof/>
                <w:sz w:val="20"/>
                <w:szCs w:val="20"/>
              </w:rPr>
            </w:pPr>
            <w:r w:rsidRPr="000A529C">
              <w:rPr>
                <w:noProof/>
                <w:sz w:val="20"/>
                <w:szCs w:val="20"/>
              </w:rPr>
              <w:t>47.8</w:t>
            </w:r>
          </w:p>
        </w:tc>
        <w:tc>
          <w:tcPr>
            <w:tcW w:w="853" w:type="pct"/>
            <w:tcBorders>
              <w:top w:val="nil"/>
              <w:left w:val="nil"/>
              <w:bottom w:val="single" w:sz="4" w:space="0" w:color="auto"/>
              <w:right w:val="single" w:sz="4" w:space="0" w:color="auto"/>
            </w:tcBorders>
            <w:shd w:val="clear" w:color="000000" w:fill="FFFFFF"/>
            <w:noWrap/>
            <w:hideMark/>
          </w:tcPr>
          <w:p w14:paraId="3AF02CF2" w14:textId="15EB7685" w:rsidR="004075FB" w:rsidRPr="000A529C" w:rsidRDefault="004075FB" w:rsidP="004075FB">
            <w:pPr>
              <w:jc w:val="right"/>
              <w:rPr>
                <w:noProof/>
                <w:sz w:val="20"/>
                <w:szCs w:val="20"/>
              </w:rPr>
            </w:pPr>
            <w:r w:rsidRPr="000A529C">
              <w:rPr>
                <w:noProof/>
                <w:sz w:val="20"/>
                <w:szCs w:val="20"/>
              </w:rPr>
              <w:t>34.3</w:t>
            </w:r>
          </w:p>
        </w:tc>
      </w:tr>
      <w:tr w:rsidR="004075FB" w:rsidRPr="00A633A1" w14:paraId="2F3771EE"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2E4D1618" w14:textId="77777777" w:rsidR="004075FB" w:rsidRPr="00A633A1" w:rsidRDefault="004075FB" w:rsidP="004075FB">
            <w:pPr>
              <w:rPr>
                <w:noProof/>
                <w:sz w:val="20"/>
                <w:szCs w:val="20"/>
              </w:rPr>
            </w:pPr>
            <w:r w:rsidRPr="00A633A1">
              <w:rPr>
                <w:noProof/>
                <w:sz w:val="20"/>
                <w:szCs w:val="20"/>
              </w:rPr>
              <w:t xml:space="preserve"> France </w:t>
            </w:r>
          </w:p>
        </w:tc>
        <w:tc>
          <w:tcPr>
            <w:tcW w:w="853" w:type="pct"/>
            <w:tcBorders>
              <w:top w:val="nil"/>
              <w:left w:val="nil"/>
              <w:bottom w:val="single" w:sz="4" w:space="0" w:color="auto"/>
              <w:right w:val="single" w:sz="4" w:space="0" w:color="auto"/>
            </w:tcBorders>
            <w:shd w:val="clear" w:color="000000" w:fill="FFFFFF"/>
            <w:noWrap/>
            <w:hideMark/>
          </w:tcPr>
          <w:p w14:paraId="5E555642" w14:textId="052E7B3A" w:rsidR="004075FB" w:rsidRPr="000A529C" w:rsidRDefault="004075FB" w:rsidP="004075FB">
            <w:pPr>
              <w:jc w:val="right"/>
              <w:rPr>
                <w:noProof/>
                <w:sz w:val="20"/>
                <w:szCs w:val="20"/>
              </w:rPr>
            </w:pPr>
            <w:r w:rsidRPr="000A529C">
              <w:rPr>
                <w:noProof/>
                <w:sz w:val="20"/>
                <w:szCs w:val="20"/>
              </w:rPr>
              <w:t>256.2</w:t>
            </w:r>
          </w:p>
        </w:tc>
        <w:tc>
          <w:tcPr>
            <w:tcW w:w="853" w:type="pct"/>
            <w:tcBorders>
              <w:top w:val="nil"/>
              <w:left w:val="nil"/>
              <w:bottom w:val="single" w:sz="4" w:space="0" w:color="auto"/>
              <w:right w:val="single" w:sz="4" w:space="0" w:color="auto"/>
            </w:tcBorders>
            <w:shd w:val="clear" w:color="000000" w:fill="FFFFFF"/>
            <w:noWrap/>
            <w:hideMark/>
          </w:tcPr>
          <w:p w14:paraId="0ADAFD05" w14:textId="633A084E" w:rsidR="004075FB" w:rsidRPr="000A529C" w:rsidRDefault="004075FB" w:rsidP="004075FB">
            <w:pPr>
              <w:jc w:val="right"/>
              <w:rPr>
                <w:noProof/>
                <w:sz w:val="20"/>
                <w:szCs w:val="20"/>
              </w:rPr>
            </w:pPr>
            <w:r w:rsidRPr="000A529C">
              <w:rPr>
                <w:noProof/>
                <w:sz w:val="20"/>
                <w:szCs w:val="20"/>
              </w:rPr>
              <w:t>38.7</w:t>
            </w:r>
          </w:p>
        </w:tc>
        <w:tc>
          <w:tcPr>
            <w:tcW w:w="853" w:type="pct"/>
            <w:tcBorders>
              <w:top w:val="nil"/>
              <w:left w:val="nil"/>
              <w:bottom w:val="single" w:sz="4" w:space="0" w:color="auto"/>
              <w:right w:val="single" w:sz="4" w:space="0" w:color="auto"/>
            </w:tcBorders>
            <w:shd w:val="clear" w:color="000000" w:fill="FFFFFF"/>
            <w:noWrap/>
            <w:hideMark/>
          </w:tcPr>
          <w:p w14:paraId="0E295088" w14:textId="445D86EE" w:rsidR="004075FB" w:rsidRPr="000A529C" w:rsidRDefault="004075FB" w:rsidP="004075FB">
            <w:pPr>
              <w:jc w:val="right"/>
              <w:rPr>
                <w:noProof/>
                <w:sz w:val="20"/>
                <w:szCs w:val="20"/>
              </w:rPr>
            </w:pPr>
            <w:r w:rsidRPr="000A529C">
              <w:rPr>
                <w:noProof/>
                <w:sz w:val="20"/>
                <w:szCs w:val="20"/>
              </w:rPr>
              <w:t>62.1</w:t>
            </w:r>
          </w:p>
        </w:tc>
        <w:tc>
          <w:tcPr>
            <w:tcW w:w="853" w:type="pct"/>
            <w:tcBorders>
              <w:top w:val="nil"/>
              <w:left w:val="nil"/>
              <w:bottom w:val="single" w:sz="4" w:space="0" w:color="auto"/>
              <w:right w:val="single" w:sz="4" w:space="0" w:color="auto"/>
            </w:tcBorders>
            <w:shd w:val="clear" w:color="000000" w:fill="FFFFFF"/>
            <w:noWrap/>
            <w:hideMark/>
          </w:tcPr>
          <w:p w14:paraId="62032F38" w14:textId="530E3632" w:rsidR="004075FB" w:rsidRPr="000A529C" w:rsidRDefault="004075FB" w:rsidP="004075FB">
            <w:pPr>
              <w:jc w:val="right"/>
              <w:rPr>
                <w:noProof/>
                <w:sz w:val="20"/>
                <w:szCs w:val="20"/>
              </w:rPr>
            </w:pPr>
            <w:r w:rsidRPr="000A529C">
              <w:rPr>
                <w:noProof/>
                <w:sz w:val="20"/>
                <w:szCs w:val="20"/>
              </w:rPr>
              <w:t>44.5</w:t>
            </w:r>
          </w:p>
        </w:tc>
      </w:tr>
      <w:tr w:rsidR="004075FB" w:rsidRPr="00A633A1" w14:paraId="6AE633A1"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D1A713A" w14:textId="77777777" w:rsidR="004075FB" w:rsidRPr="00A633A1" w:rsidRDefault="004075FB" w:rsidP="004075FB">
            <w:pPr>
              <w:rPr>
                <w:noProof/>
                <w:sz w:val="20"/>
                <w:szCs w:val="20"/>
              </w:rPr>
            </w:pPr>
            <w:r w:rsidRPr="00A633A1">
              <w:rPr>
                <w:noProof/>
                <w:sz w:val="20"/>
                <w:szCs w:val="20"/>
              </w:rPr>
              <w:t xml:space="preserve"> Poland </w:t>
            </w:r>
          </w:p>
        </w:tc>
        <w:tc>
          <w:tcPr>
            <w:tcW w:w="853" w:type="pct"/>
            <w:tcBorders>
              <w:top w:val="nil"/>
              <w:left w:val="nil"/>
              <w:bottom w:val="single" w:sz="4" w:space="0" w:color="auto"/>
              <w:right w:val="single" w:sz="4" w:space="0" w:color="auto"/>
            </w:tcBorders>
            <w:shd w:val="clear" w:color="000000" w:fill="FFFFFF"/>
            <w:noWrap/>
            <w:hideMark/>
          </w:tcPr>
          <w:p w14:paraId="7A76BFFE" w14:textId="6341FEEB" w:rsidR="004075FB" w:rsidRPr="000A529C" w:rsidRDefault="004075FB" w:rsidP="004075FB">
            <w:pPr>
              <w:jc w:val="right"/>
              <w:rPr>
                <w:noProof/>
                <w:sz w:val="20"/>
                <w:szCs w:val="20"/>
              </w:rPr>
            </w:pPr>
            <w:r w:rsidRPr="000A529C">
              <w:rPr>
                <w:noProof/>
                <w:sz w:val="20"/>
                <w:szCs w:val="20"/>
              </w:rPr>
              <w:t>138.0</w:t>
            </w:r>
          </w:p>
        </w:tc>
        <w:tc>
          <w:tcPr>
            <w:tcW w:w="853" w:type="pct"/>
            <w:tcBorders>
              <w:top w:val="nil"/>
              <w:left w:val="nil"/>
              <w:bottom w:val="single" w:sz="4" w:space="0" w:color="auto"/>
              <w:right w:val="single" w:sz="4" w:space="0" w:color="auto"/>
            </w:tcBorders>
            <w:shd w:val="clear" w:color="000000" w:fill="FFFFFF"/>
            <w:noWrap/>
            <w:hideMark/>
          </w:tcPr>
          <w:p w14:paraId="38B07247" w14:textId="75DD66A4" w:rsidR="004075FB" w:rsidRPr="000A529C" w:rsidRDefault="004075FB" w:rsidP="004075FB">
            <w:pPr>
              <w:jc w:val="right"/>
              <w:rPr>
                <w:noProof/>
                <w:sz w:val="20"/>
                <w:szCs w:val="20"/>
              </w:rPr>
            </w:pPr>
            <w:r w:rsidRPr="000A529C">
              <w:rPr>
                <w:noProof/>
                <w:sz w:val="20"/>
                <w:szCs w:val="20"/>
              </w:rPr>
              <w:t>20.9</w:t>
            </w:r>
          </w:p>
        </w:tc>
        <w:tc>
          <w:tcPr>
            <w:tcW w:w="853" w:type="pct"/>
            <w:tcBorders>
              <w:top w:val="nil"/>
              <w:left w:val="nil"/>
              <w:bottom w:val="single" w:sz="4" w:space="0" w:color="auto"/>
              <w:right w:val="single" w:sz="4" w:space="0" w:color="auto"/>
            </w:tcBorders>
            <w:shd w:val="clear" w:color="000000" w:fill="FFFFFF"/>
            <w:noWrap/>
            <w:hideMark/>
          </w:tcPr>
          <w:p w14:paraId="641CE322" w14:textId="49B7A9A6" w:rsidR="004075FB" w:rsidRPr="000A529C" w:rsidRDefault="004075FB" w:rsidP="004075FB">
            <w:pPr>
              <w:jc w:val="right"/>
              <w:rPr>
                <w:noProof/>
                <w:sz w:val="20"/>
                <w:szCs w:val="20"/>
              </w:rPr>
            </w:pPr>
            <w:r w:rsidRPr="000A529C">
              <w:rPr>
                <w:noProof/>
                <w:sz w:val="20"/>
                <w:szCs w:val="20"/>
              </w:rPr>
              <w:t>33.4</w:t>
            </w:r>
          </w:p>
        </w:tc>
        <w:tc>
          <w:tcPr>
            <w:tcW w:w="853" w:type="pct"/>
            <w:tcBorders>
              <w:top w:val="nil"/>
              <w:left w:val="nil"/>
              <w:bottom w:val="single" w:sz="4" w:space="0" w:color="auto"/>
              <w:right w:val="single" w:sz="4" w:space="0" w:color="auto"/>
            </w:tcBorders>
            <w:shd w:val="clear" w:color="000000" w:fill="FFFFFF"/>
            <w:noWrap/>
            <w:hideMark/>
          </w:tcPr>
          <w:p w14:paraId="43428B48" w14:textId="25F419C0" w:rsidR="004075FB" w:rsidRPr="000A529C" w:rsidRDefault="004075FB" w:rsidP="004075FB">
            <w:pPr>
              <w:jc w:val="right"/>
              <w:rPr>
                <w:noProof/>
                <w:sz w:val="20"/>
                <w:szCs w:val="20"/>
              </w:rPr>
            </w:pPr>
            <w:r w:rsidRPr="000A529C">
              <w:rPr>
                <w:noProof/>
                <w:sz w:val="20"/>
                <w:szCs w:val="20"/>
              </w:rPr>
              <w:t>24.0</w:t>
            </w:r>
          </w:p>
        </w:tc>
      </w:tr>
      <w:tr w:rsidR="004075FB" w:rsidRPr="00A633A1" w14:paraId="37354570"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C57859A" w14:textId="77777777" w:rsidR="004075FB" w:rsidRPr="00A633A1" w:rsidRDefault="004075FB" w:rsidP="004075FB">
            <w:pPr>
              <w:rPr>
                <w:noProof/>
                <w:sz w:val="20"/>
                <w:szCs w:val="20"/>
              </w:rPr>
            </w:pPr>
            <w:r w:rsidRPr="00A633A1">
              <w:rPr>
                <w:noProof/>
                <w:sz w:val="20"/>
                <w:szCs w:val="20"/>
              </w:rPr>
              <w:t xml:space="preserve"> Italy </w:t>
            </w:r>
          </w:p>
        </w:tc>
        <w:tc>
          <w:tcPr>
            <w:tcW w:w="853" w:type="pct"/>
            <w:tcBorders>
              <w:top w:val="nil"/>
              <w:left w:val="nil"/>
              <w:bottom w:val="single" w:sz="4" w:space="0" w:color="auto"/>
              <w:right w:val="single" w:sz="4" w:space="0" w:color="auto"/>
            </w:tcBorders>
            <w:shd w:val="clear" w:color="000000" w:fill="FFFFFF"/>
            <w:noWrap/>
            <w:hideMark/>
          </w:tcPr>
          <w:p w14:paraId="64AD1DD0" w14:textId="208CA96D" w:rsidR="004075FB" w:rsidRPr="000A529C" w:rsidRDefault="004075FB" w:rsidP="004075FB">
            <w:pPr>
              <w:jc w:val="right"/>
              <w:rPr>
                <w:noProof/>
                <w:sz w:val="20"/>
                <w:szCs w:val="20"/>
              </w:rPr>
            </w:pPr>
            <w:r w:rsidRPr="000A529C">
              <w:rPr>
                <w:noProof/>
                <w:sz w:val="20"/>
                <w:szCs w:val="20"/>
              </w:rPr>
              <w:t>118.3</w:t>
            </w:r>
          </w:p>
        </w:tc>
        <w:tc>
          <w:tcPr>
            <w:tcW w:w="853" w:type="pct"/>
            <w:tcBorders>
              <w:top w:val="nil"/>
              <w:left w:val="nil"/>
              <w:bottom w:val="single" w:sz="4" w:space="0" w:color="auto"/>
              <w:right w:val="single" w:sz="4" w:space="0" w:color="auto"/>
            </w:tcBorders>
            <w:shd w:val="clear" w:color="000000" w:fill="FFFFFF"/>
            <w:noWrap/>
            <w:hideMark/>
          </w:tcPr>
          <w:p w14:paraId="605DAF98" w14:textId="4F4C89CC" w:rsidR="004075FB" w:rsidRPr="000A529C" w:rsidRDefault="004075FB" w:rsidP="004075FB">
            <w:pPr>
              <w:jc w:val="right"/>
              <w:rPr>
                <w:noProof/>
                <w:sz w:val="20"/>
                <w:szCs w:val="20"/>
              </w:rPr>
            </w:pPr>
            <w:r w:rsidRPr="000A529C">
              <w:rPr>
                <w:noProof/>
                <w:sz w:val="20"/>
                <w:szCs w:val="20"/>
              </w:rPr>
              <w:t>17.9</w:t>
            </w:r>
          </w:p>
        </w:tc>
        <w:tc>
          <w:tcPr>
            <w:tcW w:w="853" w:type="pct"/>
            <w:tcBorders>
              <w:top w:val="nil"/>
              <w:left w:val="nil"/>
              <w:bottom w:val="single" w:sz="4" w:space="0" w:color="auto"/>
              <w:right w:val="single" w:sz="4" w:space="0" w:color="auto"/>
            </w:tcBorders>
            <w:shd w:val="clear" w:color="000000" w:fill="FFFFFF"/>
            <w:noWrap/>
            <w:hideMark/>
          </w:tcPr>
          <w:p w14:paraId="05263DCD" w14:textId="464F30B9" w:rsidR="004075FB" w:rsidRPr="000A529C" w:rsidRDefault="004075FB" w:rsidP="004075FB">
            <w:pPr>
              <w:jc w:val="right"/>
              <w:rPr>
                <w:noProof/>
                <w:sz w:val="20"/>
                <w:szCs w:val="20"/>
              </w:rPr>
            </w:pPr>
            <w:r w:rsidRPr="000A529C">
              <w:rPr>
                <w:noProof/>
                <w:sz w:val="20"/>
                <w:szCs w:val="20"/>
              </w:rPr>
              <w:t>28.7</w:t>
            </w:r>
          </w:p>
        </w:tc>
        <w:tc>
          <w:tcPr>
            <w:tcW w:w="853" w:type="pct"/>
            <w:tcBorders>
              <w:top w:val="nil"/>
              <w:left w:val="nil"/>
              <w:bottom w:val="single" w:sz="4" w:space="0" w:color="auto"/>
              <w:right w:val="single" w:sz="4" w:space="0" w:color="auto"/>
            </w:tcBorders>
            <w:shd w:val="clear" w:color="000000" w:fill="FFFFFF"/>
            <w:noWrap/>
            <w:hideMark/>
          </w:tcPr>
          <w:p w14:paraId="271DA44F" w14:textId="670D0C56" w:rsidR="004075FB" w:rsidRPr="000A529C" w:rsidRDefault="004075FB" w:rsidP="004075FB">
            <w:pPr>
              <w:jc w:val="right"/>
              <w:rPr>
                <w:noProof/>
                <w:sz w:val="20"/>
                <w:szCs w:val="20"/>
              </w:rPr>
            </w:pPr>
            <w:r w:rsidRPr="000A529C">
              <w:rPr>
                <w:noProof/>
                <w:sz w:val="20"/>
                <w:szCs w:val="20"/>
              </w:rPr>
              <w:t>20.6</w:t>
            </w:r>
          </w:p>
        </w:tc>
      </w:tr>
      <w:tr w:rsidR="004075FB" w:rsidRPr="00A633A1" w14:paraId="33D453E0"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1B5B242" w14:textId="77777777" w:rsidR="004075FB" w:rsidRPr="00A633A1" w:rsidRDefault="004075FB" w:rsidP="004075FB">
            <w:pPr>
              <w:rPr>
                <w:noProof/>
                <w:sz w:val="20"/>
                <w:szCs w:val="20"/>
              </w:rPr>
            </w:pPr>
            <w:r w:rsidRPr="00A633A1">
              <w:rPr>
                <w:noProof/>
                <w:sz w:val="20"/>
                <w:szCs w:val="20"/>
              </w:rPr>
              <w:t xml:space="preserve"> Belgium </w:t>
            </w:r>
          </w:p>
        </w:tc>
        <w:tc>
          <w:tcPr>
            <w:tcW w:w="853" w:type="pct"/>
            <w:tcBorders>
              <w:top w:val="nil"/>
              <w:left w:val="nil"/>
              <w:bottom w:val="single" w:sz="4" w:space="0" w:color="auto"/>
              <w:right w:val="single" w:sz="4" w:space="0" w:color="auto"/>
            </w:tcBorders>
            <w:shd w:val="clear" w:color="000000" w:fill="FFFFFF"/>
            <w:noWrap/>
            <w:hideMark/>
          </w:tcPr>
          <w:p w14:paraId="028435EB" w14:textId="7A9F24FE" w:rsidR="004075FB" w:rsidRPr="000A529C" w:rsidRDefault="004075FB" w:rsidP="004075FB">
            <w:pPr>
              <w:jc w:val="right"/>
              <w:rPr>
                <w:noProof/>
                <w:sz w:val="20"/>
                <w:szCs w:val="20"/>
              </w:rPr>
            </w:pPr>
            <w:r w:rsidRPr="000A529C">
              <w:rPr>
                <w:noProof/>
                <w:sz w:val="20"/>
                <w:szCs w:val="20"/>
              </w:rPr>
              <w:t>118.3</w:t>
            </w:r>
          </w:p>
        </w:tc>
        <w:tc>
          <w:tcPr>
            <w:tcW w:w="853" w:type="pct"/>
            <w:tcBorders>
              <w:top w:val="nil"/>
              <w:left w:val="nil"/>
              <w:bottom w:val="single" w:sz="4" w:space="0" w:color="auto"/>
              <w:right w:val="single" w:sz="4" w:space="0" w:color="auto"/>
            </w:tcBorders>
            <w:shd w:val="clear" w:color="000000" w:fill="FFFFFF"/>
            <w:noWrap/>
            <w:hideMark/>
          </w:tcPr>
          <w:p w14:paraId="251524BB" w14:textId="465B17BD" w:rsidR="004075FB" w:rsidRPr="000A529C" w:rsidRDefault="004075FB" w:rsidP="004075FB">
            <w:pPr>
              <w:jc w:val="right"/>
              <w:rPr>
                <w:noProof/>
                <w:sz w:val="20"/>
                <w:szCs w:val="20"/>
              </w:rPr>
            </w:pPr>
            <w:r w:rsidRPr="000A529C">
              <w:rPr>
                <w:noProof/>
                <w:sz w:val="20"/>
                <w:szCs w:val="20"/>
              </w:rPr>
              <w:t>17.9</w:t>
            </w:r>
          </w:p>
        </w:tc>
        <w:tc>
          <w:tcPr>
            <w:tcW w:w="853" w:type="pct"/>
            <w:tcBorders>
              <w:top w:val="nil"/>
              <w:left w:val="nil"/>
              <w:bottom w:val="single" w:sz="4" w:space="0" w:color="auto"/>
              <w:right w:val="single" w:sz="4" w:space="0" w:color="auto"/>
            </w:tcBorders>
            <w:shd w:val="clear" w:color="000000" w:fill="FFFFFF"/>
            <w:noWrap/>
            <w:hideMark/>
          </w:tcPr>
          <w:p w14:paraId="372EE1CB" w14:textId="2FAA840E" w:rsidR="004075FB" w:rsidRPr="000A529C" w:rsidRDefault="004075FB" w:rsidP="004075FB">
            <w:pPr>
              <w:jc w:val="right"/>
              <w:rPr>
                <w:noProof/>
                <w:sz w:val="20"/>
                <w:szCs w:val="20"/>
              </w:rPr>
            </w:pPr>
            <w:r w:rsidRPr="000A529C">
              <w:rPr>
                <w:noProof/>
                <w:sz w:val="20"/>
                <w:szCs w:val="20"/>
              </w:rPr>
              <w:t>28.7</w:t>
            </w:r>
          </w:p>
        </w:tc>
        <w:tc>
          <w:tcPr>
            <w:tcW w:w="853" w:type="pct"/>
            <w:tcBorders>
              <w:top w:val="nil"/>
              <w:left w:val="nil"/>
              <w:bottom w:val="single" w:sz="4" w:space="0" w:color="auto"/>
              <w:right w:val="single" w:sz="4" w:space="0" w:color="auto"/>
            </w:tcBorders>
            <w:shd w:val="clear" w:color="000000" w:fill="FFFFFF"/>
            <w:noWrap/>
            <w:hideMark/>
          </w:tcPr>
          <w:p w14:paraId="1C98FAA5" w14:textId="3B98D11F" w:rsidR="004075FB" w:rsidRPr="000A529C" w:rsidRDefault="004075FB" w:rsidP="004075FB">
            <w:pPr>
              <w:jc w:val="right"/>
              <w:rPr>
                <w:noProof/>
                <w:sz w:val="20"/>
                <w:szCs w:val="20"/>
              </w:rPr>
            </w:pPr>
            <w:r w:rsidRPr="000A529C">
              <w:rPr>
                <w:noProof/>
                <w:sz w:val="20"/>
                <w:szCs w:val="20"/>
              </w:rPr>
              <w:t>20.6</w:t>
            </w:r>
          </w:p>
        </w:tc>
      </w:tr>
      <w:tr w:rsidR="004075FB" w:rsidRPr="00A633A1" w14:paraId="2D6A7403"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3A27A3C" w14:textId="77777777" w:rsidR="004075FB" w:rsidRPr="00A633A1" w:rsidRDefault="004075FB" w:rsidP="004075FB">
            <w:pPr>
              <w:rPr>
                <w:noProof/>
                <w:sz w:val="20"/>
                <w:szCs w:val="20"/>
              </w:rPr>
            </w:pPr>
            <w:r w:rsidRPr="00A633A1">
              <w:rPr>
                <w:noProof/>
                <w:sz w:val="20"/>
                <w:szCs w:val="20"/>
              </w:rPr>
              <w:t xml:space="preserve"> Portugal </w:t>
            </w:r>
          </w:p>
        </w:tc>
        <w:tc>
          <w:tcPr>
            <w:tcW w:w="853" w:type="pct"/>
            <w:tcBorders>
              <w:top w:val="nil"/>
              <w:left w:val="nil"/>
              <w:bottom w:val="single" w:sz="4" w:space="0" w:color="auto"/>
              <w:right w:val="single" w:sz="4" w:space="0" w:color="auto"/>
            </w:tcBorders>
            <w:shd w:val="clear" w:color="000000" w:fill="FFFFFF"/>
            <w:noWrap/>
            <w:hideMark/>
          </w:tcPr>
          <w:p w14:paraId="3B38430A" w14:textId="709B6967" w:rsidR="004075FB" w:rsidRPr="000A529C" w:rsidRDefault="004075FB" w:rsidP="004075FB">
            <w:pPr>
              <w:jc w:val="right"/>
              <w:rPr>
                <w:noProof/>
                <w:sz w:val="20"/>
                <w:szCs w:val="20"/>
              </w:rPr>
            </w:pPr>
            <w:r w:rsidRPr="000A529C">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78709831" w14:textId="152777C7" w:rsidR="004075FB" w:rsidRPr="000A529C" w:rsidRDefault="004075FB" w:rsidP="004075FB">
            <w:pPr>
              <w:jc w:val="right"/>
              <w:rPr>
                <w:noProof/>
                <w:sz w:val="20"/>
                <w:szCs w:val="20"/>
              </w:rPr>
            </w:pPr>
            <w:r w:rsidRPr="000A529C">
              <w:rPr>
                <w:noProof/>
                <w:sz w:val="20"/>
                <w:szCs w:val="20"/>
              </w:rPr>
              <w:t>6.0</w:t>
            </w:r>
          </w:p>
        </w:tc>
        <w:tc>
          <w:tcPr>
            <w:tcW w:w="853" w:type="pct"/>
            <w:tcBorders>
              <w:top w:val="nil"/>
              <w:left w:val="nil"/>
              <w:bottom w:val="single" w:sz="4" w:space="0" w:color="auto"/>
              <w:right w:val="single" w:sz="4" w:space="0" w:color="auto"/>
            </w:tcBorders>
            <w:shd w:val="clear" w:color="000000" w:fill="FFFFFF"/>
            <w:noWrap/>
            <w:hideMark/>
          </w:tcPr>
          <w:p w14:paraId="128B8D89" w14:textId="262ABB60" w:rsidR="004075FB" w:rsidRPr="000A529C" w:rsidRDefault="004075FB" w:rsidP="004075FB">
            <w:pPr>
              <w:jc w:val="right"/>
              <w:rPr>
                <w:noProof/>
                <w:sz w:val="20"/>
                <w:szCs w:val="20"/>
              </w:rPr>
            </w:pPr>
            <w:r w:rsidRPr="000A529C">
              <w:rPr>
                <w:noProof/>
                <w:sz w:val="20"/>
                <w:szCs w:val="20"/>
              </w:rPr>
              <w:t>9.6</w:t>
            </w:r>
          </w:p>
        </w:tc>
        <w:tc>
          <w:tcPr>
            <w:tcW w:w="853" w:type="pct"/>
            <w:tcBorders>
              <w:top w:val="nil"/>
              <w:left w:val="nil"/>
              <w:bottom w:val="single" w:sz="4" w:space="0" w:color="auto"/>
              <w:right w:val="single" w:sz="4" w:space="0" w:color="auto"/>
            </w:tcBorders>
            <w:shd w:val="clear" w:color="000000" w:fill="FFFFFF"/>
            <w:noWrap/>
            <w:hideMark/>
          </w:tcPr>
          <w:p w14:paraId="0EC16C75" w14:textId="5063208D" w:rsidR="004075FB" w:rsidRPr="000A529C" w:rsidRDefault="004075FB" w:rsidP="004075FB">
            <w:pPr>
              <w:jc w:val="right"/>
              <w:rPr>
                <w:noProof/>
                <w:sz w:val="20"/>
                <w:szCs w:val="20"/>
              </w:rPr>
            </w:pPr>
            <w:r w:rsidRPr="000A529C">
              <w:rPr>
                <w:noProof/>
                <w:sz w:val="20"/>
                <w:szCs w:val="20"/>
              </w:rPr>
              <w:t>6.9</w:t>
            </w:r>
          </w:p>
        </w:tc>
      </w:tr>
      <w:tr w:rsidR="004075FB" w:rsidRPr="00A633A1" w14:paraId="7ACFE791"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67F150B5" w14:textId="77777777" w:rsidR="004075FB" w:rsidRPr="00A633A1" w:rsidRDefault="004075FB" w:rsidP="004075FB">
            <w:pPr>
              <w:rPr>
                <w:noProof/>
                <w:sz w:val="20"/>
                <w:szCs w:val="20"/>
              </w:rPr>
            </w:pPr>
            <w:r w:rsidRPr="00A633A1">
              <w:rPr>
                <w:noProof/>
                <w:sz w:val="20"/>
                <w:szCs w:val="20"/>
              </w:rPr>
              <w:t xml:space="preserve"> Malta </w:t>
            </w:r>
          </w:p>
        </w:tc>
        <w:tc>
          <w:tcPr>
            <w:tcW w:w="853" w:type="pct"/>
            <w:tcBorders>
              <w:top w:val="nil"/>
              <w:left w:val="nil"/>
              <w:bottom w:val="single" w:sz="4" w:space="0" w:color="auto"/>
              <w:right w:val="single" w:sz="4" w:space="0" w:color="auto"/>
            </w:tcBorders>
            <w:shd w:val="clear" w:color="000000" w:fill="FFFFFF"/>
            <w:noWrap/>
            <w:hideMark/>
          </w:tcPr>
          <w:p w14:paraId="2FB223BF" w14:textId="05E4906D" w:rsidR="004075FB" w:rsidRPr="000A529C" w:rsidRDefault="004075FB" w:rsidP="004075FB">
            <w:pPr>
              <w:jc w:val="right"/>
              <w:rPr>
                <w:noProof/>
                <w:sz w:val="20"/>
                <w:szCs w:val="20"/>
              </w:rPr>
            </w:pPr>
            <w:r w:rsidRPr="000A529C">
              <w:rPr>
                <w:noProof/>
                <w:sz w:val="20"/>
                <w:szCs w:val="20"/>
              </w:rPr>
              <w:t>19.7</w:t>
            </w:r>
          </w:p>
        </w:tc>
        <w:tc>
          <w:tcPr>
            <w:tcW w:w="853" w:type="pct"/>
            <w:tcBorders>
              <w:top w:val="nil"/>
              <w:left w:val="nil"/>
              <w:bottom w:val="single" w:sz="4" w:space="0" w:color="auto"/>
              <w:right w:val="single" w:sz="4" w:space="0" w:color="auto"/>
            </w:tcBorders>
            <w:shd w:val="clear" w:color="000000" w:fill="FFFFFF"/>
            <w:noWrap/>
            <w:hideMark/>
          </w:tcPr>
          <w:p w14:paraId="601210C1" w14:textId="2C8558DA" w:rsidR="004075FB" w:rsidRPr="000A529C" w:rsidRDefault="004075FB" w:rsidP="004075FB">
            <w:pPr>
              <w:jc w:val="right"/>
              <w:rPr>
                <w:noProof/>
                <w:sz w:val="20"/>
                <w:szCs w:val="20"/>
              </w:rPr>
            </w:pPr>
            <w:r w:rsidRPr="000A529C">
              <w:rPr>
                <w:noProof/>
                <w:sz w:val="20"/>
                <w:szCs w:val="20"/>
              </w:rPr>
              <w:t>3.0</w:t>
            </w:r>
          </w:p>
        </w:tc>
        <w:tc>
          <w:tcPr>
            <w:tcW w:w="853" w:type="pct"/>
            <w:tcBorders>
              <w:top w:val="nil"/>
              <w:left w:val="nil"/>
              <w:bottom w:val="single" w:sz="4" w:space="0" w:color="auto"/>
              <w:right w:val="single" w:sz="4" w:space="0" w:color="auto"/>
            </w:tcBorders>
            <w:shd w:val="clear" w:color="000000" w:fill="FFFFFF"/>
            <w:noWrap/>
            <w:hideMark/>
          </w:tcPr>
          <w:p w14:paraId="3019A90F" w14:textId="12AE5FF7" w:rsidR="004075FB" w:rsidRPr="000A529C" w:rsidRDefault="004075FB" w:rsidP="004075FB">
            <w:pPr>
              <w:jc w:val="right"/>
              <w:rPr>
                <w:noProof/>
                <w:sz w:val="20"/>
                <w:szCs w:val="20"/>
              </w:rPr>
            </w:pPr>
            <w:r w:rsidRPr="000A529C">
              <w:rPr>
                <w:noProof/>
                <w:sz w:val="20"/>
                <w:szCs w:val="20"/>
              </w:rPr>
              <w:t>4.8</w:t>
            </w:r>
          </w:p>
        </w:tc>
        <w:tc>
          <w:tcPr>
            <w:tcW w:w="853" w:type="pct"/>
            <w:tcBorders>
              <w:top w:val="nil"/>
              <w:left w:val="nil"/>
              <w:bottom w:val="single" w:sz="4" w:space="0" w:color="auto"/>
              <w:right w:val="single" w:sz="4" w:space="0" w:color="auto"/>
            </w:tcBorders>
            <w:shd w:val="clear" w:color="000000" w:fill="FFFFFF"/>
            <w:noWrap/>
            <w:hideMark/>
          </w:tcPr>
          <w:p w14:paraId="63778255" w14:textId="46A4461F" w:rsidR="004075FB" w:rsidRPr="000A529C" w:rsidRDefault="004075FB" w:rsidP="004075FB">
            <w:pPr>
              <w:jc w:val="right"/>
              <w:rPr>
                <w:noProof/>
                <w:sz w:val="20"/>
                <w:szCs w:val="20"/>
              </w:rPr>
            </w:pPr>
            <w:r w:rsidRPr="000A529C">
              <w:rPr>
                <w:noProof/>
                <w:sz w:val="20"/>
                <w:szCs w:val="20"/>
              </w:rPr>
              <w:t>3.4</w:t>
            </w:r>
          </w:p>
        </w:tc>
      </w:tr>
      <w:tr w:rsidR="004075FB" w:rsidRPr="00A633A1" w14:paraId="3DA5B0B1"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4F3AD13" w14:textId="77777777" w:rsidR="004075FB" w:rsidRPr="00A633A1" w:rsidRDefault="004075FB" w:rsidP="004075FB">
            <w:pPr>
              <w:rPr>
                <w:noProof/>
                <w:sz w:val="20"/>
                <w:szCs w:val="20"/>
              </w:rPr>
            </w:pPr>
            <w:r w:rsidRPr="00A633A1">
              <w:rPr>
                <w:noProof/>
                <w:sz w:val="20"/>
                <w:szCs w:val="20"/>
              </w:rPr>
              <w:t xml:space="preserve"> Cyprus </w:t>
            </w:r>
          </w:p>
        </w:tc>
        <w:tc>
          <w:tcPr>
            <w:tcW w:w="853" w:type="pct"/>
            <w:tcBorders>
              <w:top w:val="nil"/>
              <w:left w:val="nil"/>
              <w:bottom w:val="single" w:sz="4" w:space="0" w:color="auto"/>
              <w:right w:val="single" w:sz="4" w:space="0" w:color="auto"/>
            </w:tcBorders>
            <w:shd w:val="clear" w:color="000000" w:fill="FFFFFF"/>
            <w:noWrap/>
            <w:hideMark/>
          </w:tcPr>
          <w:p w14:paraId="63436E11" w14:textId="2722E05D" w:rsidR="004075FB" w:rsidRPr="000A529C" w:rsidRDefault="004075FB" w:rsidP="004075FB">
            <w:pPr>
              <w:jc w:val="right"/>
              <w:rPr>
                <w:noProof/>
                <w:sz w:val="20"/>
                <w:szCs w:val="20"/>
              </w:rPr>
            </w:pPr>
            <w:r w:rsidRPr="000A529C">
              <w:rPr>
                <w:noProof/>
                <w:sz w:val="20"/>
                <w:szCs w:val="20"/>
              </w:rPr>
              <w:t>19.7</w:t>
            </w:r>
          </w:p>
        </w:tc>
        <w:tc>
          <w:tcPr>
            <w:tcW w:w="853" w:type="pct"/>
            <w:tcBorders>
              <w:top w:val="nil"/>
              <w:left w:val="nil"/>
              <w:bottom w:val="single" w:sz="4" w:space="0" w:color="auto"/>
              <w:right w:val="single" w:sz="4" w:space="0" w:color="auto"/>
            </w:tcBorders>
            <w:shd w:val="clear" w:color="000000" w:fill="FFFFFF"/>
            <w:noWrap/>
            <w:hideMark/>
          </w:tcPr>
          <w:p w14:paraId="2CE27CE9" w14:textId="0006261B" w:rsidR="004075FB" w:rsidRPr="000A529C" w:rsidRDefault="004075FB" w:rsidP="004075FB">
            <w:pPr>
              <w:jc w:val="right"/>
              <w:rPr>
                <w:noProof/>
                <w:sz w:val="20"/>
                <w:szCs w:val="20"/>
              </w:rPr>
            </w:pPr>
            <w:r w:rsidRPr="000A529C">
              <w:rPr>
                <w:noProof/>
                <w:sz w:val="20"/>
                <w:szCs w:val="20"/>
              </w:rPr>
              <w:t>3.0</w:t>
            </w:r>
          </w:p>
        </w:tc>
        <w:tc>
          <w:tcPr>
            <w:tcW w:w="853" w:type="pct"/>
            <w:tcBorders>
              <w:top w:val="nil"/>
              <w:left w:val="nil"/>
              <w:bottom w:val="single" w:sz="4" w:space="0" w:color="auto"/>
              <w:right w:val="single" w:sz="4" w:space="0" w:color="auto"/>
            </w:tcBorders>
            <w:shd w:val="clear" w:color="000000" w:fill="FFFFFF"/>
            <w:noWrap/>
            <w:hideMark/>
          </w:tcPr>
          <w:p w14:paraId="07DEBE5B" w14:textId="06F096E1" w:rsidR="004075FB" w:rsidRPr="000A529C" w:rsidRDefault="004075FB" w:rsidP="004075FB">
            <w:pPr>
              <w:jc w:val="right"/>
              <w:rPr>
                <w:noProof/>
                <w:sz w:val="20"/>
                <w:szCs w:val="20"/>
              </w:rPr>
            </w:pPr>
            <w:r w:rsidRPr="000A529C">
              <w:rPr>
                <w:noProof/>
                <w:sz w:val="20"/>
                <w:szCs w:val="20"/>
              </w:rPr>
              <w:t>4.8</w:t>
            </w:r>
          </w:p>
        </w:tc>
        <w:tc>
          <w:tcPr>
            <w:tcW w:w="853" w:type="pct"/>
            <w:tcBorders>
              <w:top w:val="nil"/>
              <w:left w:val="nil"/>
              <w:bottom w:val="single" w:sz="4" w:space="0" w:color="auto"/>
              <w:right w:val="single" w:sz="4" w:space="0" w:color="auto"/>
            </w:tcBorders>
            <w:shd w:val="clear" w:color="000000" w:fill="FFFFFF"/>
            <w:noWrap/>
            <w:hideMark/>
          </w:tcPr>
          <w:p w14:paraId="07395605" w14:textId="56D8EAA3" w:rsidR="004075FB" w:rsidRPr="000A529C" w:rsidRDefault="004075FB" w:rsidP="004075FB">
            <w:pPr>
              <w:jc w:val="right"/>
              <w:rPr>
                <w:noProof/>
                <w:sz w:val="20"/>
                <w:szCs w:val="20"/>
              </w:rPr>
            </w:pPr>
            <w:r w:rsidRPr="000A529C">
              <w:rPr>
                <w:noProof/>
                <w:sz w:val="20"/>
                <w:szCs w:val="20"/>
              </w:rPr>
              <w:t>3.4</w:t>
            </w:r>
          </w:p>
        </w:tc>
      </w:tr>
      <w:tr w:rsidR="004075FB" w:rsidRPr="00A633A1" w14:paraId="585F4755"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8785CF5" w14:textId="77777777" w:rsidR="004075FB" w:rsidRPr="00A633A1" w:rsidRDefault="004075FB" w:rsidP="004075FB">
            <w:pPr>
              <w:rPr>
                <w:noProof/>
                <w:sz w:val="20"/>
                <w:szCs w:val="20"/>
              </w:rPr>
            </w:pPr>
            <w:r w:rsidRPr="00A633A1">
              <w:rPr>
                <w:noProof/>
                <w:sz w:val="20"/>
                <w:szCs w:val="20"/>
              </w:rPr>
              <w:t xml:space="preserve"> Greece </w:t>
            </w:r>
          </w:p>
        </w:tc>
        <w:tc>
          <w:tcPr>
            <w:tcW w:w="853" w:type="pct"/>
            <w:tcBorders>
              <w:top w:val="nil"/>
              <w:left w:val="nil"/>
              <w:bottom w:val="single" w:sz="4" w:space="0" w:color="auto"/>
              <w:right w:val="single" w:sz="4" w:space="0" w:color="auto"/>
            </w:tcBorders>
            <w:shd w:val="clear" w:color="000000" w:fill="FFFFFF"/>
            <w:noWrap/>
            <w:hideMark/>
          </w:tcPr>
          <w:p w14:paraId="5C92D0A2" w14:textId="5AAE5FD9" w:rsidR="004075FB" w:rsidRPr="000A529C" w:rsidRDefault="004075FB" w:rsidP="004075FB">
            <w:pPr>
              <w:jc w:val="right"/>
              <w:rPr>
                <w:noProof/>
                <w:sz w:val="20"/>
                <w:szCs w:val="20"/>
              </w:rPr>
            </w:pPr>
            <w:r w:rsidRPr="000A529C">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075AC872" w14:textId="6EA00064" w:rsidR="004075FB" w:rsidRPr="000A529C" w:rsidRDefault="004075FB" w:rsidP="004075FB">
            <w:pPr>
              <w:jc w:val="right"/>
              <w:rPr>
                <w:noProof/>
                <w:sz w:val="20"/>
                <w:szCs w:val="20"/>
              </w:rPr>
            </w:pPr>
            <w:r w:rsidRPr="000A529C">
              <w:rPr>
                <w:noProof/>
                <w:sz w:val="20"/>
                <w:szCs w:val="20"/>
              </w:rPr>
              <w:t>6.0</w:t>
            </w:r>
          </w:p>
        </w:tc>
        <w:tc>
          <w:tcPr>
            <w:tcW w:w="853" w:type="pct"/>
            <w:tcBorders>
              <w:top w:val="nil"/>
              <w:left w:val="nil"/>
              <w:bottom w:val="single" w:sz="4" w:space="0" w:color="auto"/>
              <w:right w:val="single" w:sz="4" w:space="0" w:color="auto"/>
            </w:tcBorders>
            <w:shd w:val="clear" w:color="000000" w:fill="FFFFFF"/>
            <w:noWrap/>
            <w:hideMark/>
          </w:tcPr>
          <w:p w14:paraId="40C87EFA" w14:textId="0B3BE023" w:rsidR="004075FB" w:rsidRPr="000A529C" w:rsidRDefault="004075FB" w:rsidP="004075FB">
            <w:pPr>
              <w:jc w:val="right"/>
              <w:rPr>
                <w:noProof/>
                <w:sz w:val="20"/>
                <w:szCs w:val="20"/>
              </w:rPr>
            </w:pPr>
            <w:r w:rsidRPr="000A529C">
              <w:rPr>
                <w:noProof/>
                <w:sz w:val="20"/>
                <w:szCs w:val="20"/>
              </w:rPr>
              <w:t>9.6</w:t>
            </w:r>
          </w:p>
        </w:tc>
        <w:tc>
          <w:tcPr>
            <w:tcW w:w="853" w:type="pct"/>
            <w:tcBorders>
              <w:top w:val="nil"/>
              <w:left w:val="nil"/>
              <w:bottom w:val="single" w:sz="4" w:space="0" w:color="auto"/>
              <w:right w:val="single" w:sz="4" w:space="0" w:color="auto"/>
            </w:tcBorders>
            <w:shd w:val="clear" w:color="000000" w:fill="FFFFFF"/>
            <w:noWrap/>
            <w:hideMark/>
          </w:tcPr>
          <w:p w14:paraId="66BC142F" w14:textId="13125018" w:rsidR="004075FB" w:rsidRPr="000A529C" w:rsidRDefault="004075FB" w:rsidP="004075FB">
            <w:pPr>
              <w:jc w:val="right"/>
              <w:rPr>
                <w:noProof/>
                <w:sz w:val="20"/>
                <w:szCs w:val="20"/>
              </w:rPr>
            </w:pPr>
            <w:r w:rsidRPr="000A529C">
              <w:rPr>
                <w:noProof/>
                <w:sz w:val="20"/>
                <w:szCs w:val="20"/>
              </w:rPr>
              <w:t>6.9</w:t>
            </w:r>
          </w:p>
        </w:tc>
      </w:tr>
      <w:tr w:rsidR="004075FB" w:rsidRPr="00A633A1" w14:paraId="6763B996"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5A40762C" w14:textId="77777777" w:rsidR="004075FB" w:rsidRPr="00A633A1" w:rsidRDefault="004075FB" w:rsidP="004075FB">
            <w:pPr>
              <w:rPr>
                <w:noProof/>
                <w:sz w:val="20"/>
                <w:szCs w:val="20"/>
              </w:rPr>
            </w:pPr>
            <w:r w:rsidRPr="00A633A1">
              <w:rPr>
                <w:noProof/>
                <w:sz w:val="20"/>
                <w:szCs w:val="20"/>
              </w:rPr>
              <w:t xml:space="preserve"> Bulgaria </w:t>
            </w:r>
          </w:p>
        </w:tc>
        <w:tc>
          <w:tcPr>
            <w:tcW w:w="853" w:type="pct"/>
            <w:tcBorders>
              <w:top w:val="nil"/>
              <w:left w:val="nil"/>
              <w:bottom w:val="single" w:sz="4" w:space="0" w:color="auto"/>
              <w:right w:val="single" w:sz="4" w:space="0" w:color="auto"/>
            </w:tcBorders>
            <w:shd w:val="clear" w:color="000000" w:fill="FFFFFF"/>
            <w:noWrap/>
            <w:hideMark/>
          </w:tcPr>
          <w:p w14:paraId="76025E35"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53E50A7E"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14D06BB4"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1AC08965" w14:textId="77777777" w:rsidR="004075FB" w:rsidRPr="000A529C" w:rsidRDefault="004075FB" w:rsidP="004075FB">
            <w:pPr>
              <w:jc w:val="right"/>
              <w:rPr>
                <w:noProof/>
                <w:sz w:val="20"/>
                <w:szCs w:val="20"/>
              </w:rPr>
            </w:pPr>
            <w:r w:rsidRPr="000A529C">
              <w:rPr>
                <w:noProof/>
                <w:sz w:val="20"/>
                <w:szCs w:val="20"/>
              </w:rPr>
              <w:t>0.0</w:t>
            </w:r>
          </w:p>
        </w:tc>
      </w:tr>
      <w:tr w:rsidR="004075FB" w:rsidRPr="00A633A1" w14:paraId="4A2C2E5B"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77D39DC9" w14:textId="77777777" w:rsidR="004075FB" w:rsidRPr="00A633A1" w:rsidRDefault="004075FB" w:rsidP="004075FB">
            <w:pPr>
              <w:rPr>
                <w:noProof/>
                <w:sz w:val="20"/>
                <w:szCs w:val="20"/>
              </w:rPr>
            </w:pPr>
            <w:r w:rsidRPr="00A633A1">
              <w:rPr>
                <w:noProof/>
                <w:sz w:val="20"/>
                <w:szCs w:val="20"/>
              </w:rPr>
              <w:t xml:space="preserve"> Estonia </w:t>
            </w:r>
          </w:p>
        </w:tc>
        <w:tc>
          <w:tcPr>
            <w:tcW w:w="853" w:type="pct"/>
            <w:tcBorders>
              <w:top w:val="nil"/>
              <w:left w:val="nil"/>
              <w:bottom w:val="single" w:sz="4" w:space="0" w:color="auto"/>
              <w:right w:val="single" w:sz="4" w:space="0" w:color="auto"/>
            </w:tcBorders>
            <w:shd w:val="clear" w:color="000000" w:fill="FFFFFF"/>
            <w:noWrap/>
            <w:hideMark/>
          </w:tcPr>
          <w:p w14:paraId="0C591040"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4FD10DD6"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220CB97D"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5D34B5B8" w14:textId="77777777" w:rsidR="004075FB" w:rsidRPr="000A529C" w:rsidRDefault="004075FB" w:rsidP="004075FB">
            <w:pPr>
              <w:jc w:val="right"/>
              <w:rPr>
                <w:noProof/>
                <w:sz w:val="20"/>
                <w:szCs w:val="20"/>
              </w:rPr>
            </w:pPr>
            <w:r w:rsidRPr="000A529C">
              <w:rPr>
                <w:noProof/>
                <w:sz w:val="20"/>
                <w:szCs w:val="20"/>
              </w:rPr>
              <w:t>0.0</w:t>
            </w:r>
          </w:p>
        </w:tc>
      </w:tr>
      <w:tr w:rsidR="004075FB" w:rsidRPr="00A633A1" w14:paraId="52E76FBA"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BFB4316" w14:textId="77777777" w:rsidR="004075FB" w:rsidRPr="00A633A1" w:rsidRDefault="004075FB" w:rsidP="004075FB">
            <w:pPr>
              <w:rPr>
                <w:noProof/>
                <w:sz w:val="20"/>
                <w:szCs w:val="20"/>
              </w:rPr>
            </w:pPr>
            <w:r w:rsidRPr="00A633A1">
              <w:rPr>
                <w:noProof/>
                <w:sz w:val="20"/>
                <w:szCs w:val="20"/>
              </w:rPr>
              <w:t xml:space="preserve"> Croatia </w:t>
            </w:r>
          </w:p>
        </w:tc>
        <w:tc>
          <w:tcPr>
            <w:tcW w:w="853" w:type="pct"/>
            <w:tcBorders>
              <w:top w:val="nil"/>
              <w:left w:val="nil"/>
              <w:bottom w:val="single" w:sz="4" w:space="0" w:color="auto"/>
              <w:right w:val="single" w:sz="4" w:space="0" w:color="auto"/>
            </w:tcBorders>
            <w:shd w:val="clear" w:color="000000" w:fill="FFFFFF"/>
            <w:noWrap/>
            <w:hideMark/>
          </w:tcPr>
          <w:p w14:paraId="1149574C" w14:textId="08AE314B" w:rsidR="004075FB" w:rsidRPr="000A529C" w:rsidRDefault="004075FB" w:rsidP="004075FB">
            <w:pPr>
              <w:jc w:val="right"/>
              <w:rPr>
                <w:noProof/>
                <w:sz w:val="20"/>
                <w:szCs w:val="20"/>
              </w:rPr>
            </w:pPr>
            <w:r w:rsidRPr="000A529C">
              <w:rPr>
                <w:noProof/>
                <w:sz w:val="20"/>
                <w:szCs w:val="20"/>
              </w:rPr>
              <w:t>19.7</w:t>
            </w:r>
          </w:p>
        </w:tc>
        <w:tc>
          <w:tcPr>
            <w:tcW w:w="853" w:type="pct"/>
            <w:tcBorders>
              <w:top w:val="nil"/>
              <w:left w:val="nil"/>
              <w:bottom w:val="single" w:sz="4" w:space="0" w:color="auto"/>
              <w:right w:val="single" w:sz="4" w:space="0" w:color="auto"/>
            </w:tcBorders>
            <w:shd w:val="clear" w:color="000000" w:fill="FFFFFF"/>
            <w:noWrap/>
            <w:hideMark/>
          </w:tcPr>
          <w:p w14:paraId="45A6A9D8" w14:textId="1DA5C7C4" w:rsidR="004075FB" w:rsidRPr="000A529C" w:rsidRDefault="004075FB" w:rsidP="004075FB">
            <w:pPr>
              <w:jc w:val="right"/>
              <w:rPr>
                <w:noProof/>
                <w:sz w:val="20"/>
                <w:szCs w:val="20"/>
              </w:rPr>
            </w:pPr>
            <w:r w:rsidRPr="000A529C">
              <w:rPr>
                <w:noProof/>
                <w:sz w:val="20"/>
                <w:szCs w:val="20"/>
              </w:rPr>
              <w:t>3.0</w:t>
            </w:r>
          </w:p>
        </w:tc>
        <w:tc>
          <w:tcPr>
            <w:tcW w:w="853" w:type="pct"/>
            <w:tcBorders>
              <w:top w:val="nil"/>
              <w:left w:val="nil"/>
              <w:bottom w:val="single" w:sz="4" w:space="0" w:color="auto"/>
              <w:right w:val="single" w:sz="4" w:space="0" w:color="auto"/>
            </w:tcBorders>
            <w:shd w:val="clear" w:color="000000" w:fill="FFFFFF"/>
            <w:noWrap/>
            <w:hideMark/>
          </w:tcPr>
          <w:p w14:paraId="25CE95E4" w14:textId="7BED628C" w:rsidR="004075FB" w:rsidRPr="000A529C" w:rsidRDefault="004075FB" w:rsidP="004075FB">
            <w:pPr>
              <w:jc w:val="right"/>
              <w:rPr>
                <w:noProof/>
                <w:sz w:val="20"/>
                <w:szCs w:val="20"/>
              </w:rPr>
            </w:pPr>
            <w:r w:rsidRPr="000A529C">
              <w:rPr>
                <w:noProof/>
                <w:sz w:val="20"/>
                <w:szCs w:val="20"/>
              </w:rPr>
              <w:t>4.8</w:t>
            </w:r>
          </w:p>
        </w:tc>
        <w:tc>
          <w:tcPr>
            <w:tcW w:w="853" w:type="pct"/>
            <w:tcBorders>
              <w:top w:val="nil"/>
              <w:left w:val="nil"/>
              <w:bottom w:val="single" w:sz="4" w:space="0" w:color="auto"/>
              <w:right w:val="single" w:sz="4" w:space="0" w:color="auto"/>
            </w:tcBorders>
            <w:shd w:val="clear" w:color="000000" w:fill="FFFFFF"/>
            <w:noWrap/>
            <w:hideMark/>
          </w:tcPr>
          <w:p w14:paraId="01591E2E" w14:textId="5CEA857A" w:rsidR="004075FB" w:rsidRPr="000A529C" w:rsidRDefault="004075FB" w:rsidP="004075FB">
            <w:pPr>
              <w:jc w:val="right"/>
              <w:rPr>
                <w:noProof/>
                <w:sz w:val="20"/>
                <w:szCs w:val="20"/>
              </w:rPr>
            </w:pPr>
            <w:r w:rsidRPr="000A529C">
              <w:rPr>
                <w:noProof/>
                <w:sz w:val="20"/>
                <w:szCs w:val="20"/>
              </w:rPr>
              <w:t>3.4</w:t>
            </w:r>
          </w:p>
        </w:tc>
      </w:tr>
      <w:tr w:rsidR="004075FB" w:rsidRPr="00A633A1" w14:paraId="55613494"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3B60213" w14:textId="77777777" w:rsidR="004075FB" w:rsidRPr="00A633A1" w:rsidRDefault="004075FB" w:rsidP="004075FB">
            <w:pPr>
              <w:rPr>
                <w:noProof/>
                <w:sz w:val="20"/>
                <w:szCs w:val="20"/>
              </w:rPr>
            </w:pPr>
            <w:r w:rsidRPr="00A633A1">
              <w:rPr>
                <w:noProof/>
                <w:sz w:val="20"/>
                <w:szCs w:val="20"/>
              </w:rPr>
              <w:t xml:space="preserve"> Lithuania </w:t>
            </w:r>
          </w:p>
        </w:tc>
        <w:tc>
          <w:tcPr>
            <w:tcW w:w="853" w:type="pct"/>
            <w:tcBorders>
              <w:top w:val="nil"/>
              <w:left w:val="nil"/>
              <w:bottom w:val="single" w:sz="4" w:space="0" w:color="auto"/>
              <w:right w:val="single" w:sz="4" w:space="0" w:color="auto"/>
            </w:tcBorders>
            <w:shd w:val="clear" w:color="000000" w:fill="FFFFFF"/>
            <w:noWrap/>
            <w:hideMark/>
          </w:tcPr>
          <w:p w14:paraId="487A4721"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1607879F"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39EA8EF1"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767A8585" w14:textId="77777777" w:rsidR="004075FB" w:rsidRPr="000A529C" w:rsidRDefault="004075FB" w:rsidP="004075FB">
            <w:pPr>
              <w:jc w:val="right"/>
              <w:rPr>
                <w:noProof/>
                <w:sz w:val="20"/>
                <w:szCs w:val="20"/>
              </w:rPr>
            </w:pPr>
            <w:r w:rsidRPr="000A529C">
              <w:rPr>
                <w:noProof/>
                <w:sz w:val="20"/>
                <w:szCs w:val="20"/>
              </w:rPr>
              <w:t>0.0</w:t>
            </w:r>
          </w:p>
        </w:tc>
      </w:tr>
      <w:tr w:rsidR="004075FB" w:rsidRPr="00A633A1" w14:paraId="1897F898"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0D2AF5F3" w14:textId="77777777" w:rsidR="004075FB" w:rsidRPr="00A633A1" w:rsidRDefault="004075FB" w:rsidP="004075FB">
            <w:pPr>
              <w:rPr>
                <w:noProof/>
                <w:sz w:val="20"/>
                <w:szCs w:val="20"/>
              </w:rPr>
            </w:pPr>
            <w:r w:rsidRPr="00A633A1">
              <w:rPr>
                <w:noProof/>
                <w:sz w:val="20"/>
                <w:szCs w:val="20"/>
              </w:rPr>
              <w:t xml:space="preserve"> Hungary </w:t>
            </w:r>
          </w:p>
        </w:tc>
        <w:tc>
          <w:tcPr>
            <w:tcW w:w="853" w:type="pct"/>
            <w:tcBorders>
              <w:top w:val="nil"/>
              <w:left w:val="nil"/>
              <w:bottom w:val="single" w:sz="4" w:space="0" w:color="auto"/>
              <w:right w:val="single" w:sz="4" w:space="0" w:color="auto"/>
            </w:tcBorders>
            <w:shd w:val="clear" w:color="000000" w:fill="FFFFFF"/>
            <w:noWrap/>
            <w:hideMark/>
          </w:tcPr>
          <w:p w14:paraId="442A1922" w14:textId="3C6A2FA6" w:rsidR="004075FB" w:rsidRPr="000A529C" w:rsidRDefault="004075FB" w:rsidP="004075FB">
            <w:pPr>
              <w:jc w:val="right"/>
              <w:rPr>
                <w:noProof/>
                <w:sz w:val="20"/>
                <w:szCs w:val="20"/>
              </w:rPr>
            </w:pPr>
            <w:r w:rsidRPr="000A529C">
              <w:rPr>
                <w:noProof/>
                <w:sz w:val="20"/>
                <w:szCs w:val="20"/>
              </w:rPr>
              <w:t>59.1</w:t>
            </w:r>
          </w:p>
        </w:tc>
        <w:tc>
          <w:tcPr>
            <w:tcW w:w="853" w:type="pct"/>
            <w:tcBorders>
              <w:top w:val="nil"/>
              <w:left w:val="nil"/>
              <w:bottom w:val="single" w:sz="4" w:space="0" w:color="auto"/>
              <w:right w:val="single" w:sz="4" w:space="0" w:color="auto"/>
            </w:tcBorders>
            <w:shd w:val="clear" w:color="000000" w:fill="FFFFFF"/>
            <w:noWrap/>
            <w:hideMark/>
          </w:tcPr>
          <w:p w14:paraId="1E130D7D" w14:textId="50B2B996" w:rsidR="004075FB" w:rsidRPr="000A529C" w:rsidRDefault="004075FB" w:rsidP="004075FB">
            <w:pPr>
              <w:jc w:val="right"/>
              <w:rPr>
                <w:noProof/>
                <w:sz w:val="20"/>
                <w:szCs w:val="20"/>
              </w:rPr>
            </w:pPr>
            <w:r w:rsidRPr="000A529C">
              <w:rPr>
                <w:noProof/>
                <w:sz w:val="20"/>
                <w:szCs w:val="20"/>
              </w:rPr>
              <w:t>8.9</w:t>
            </w:r>
          </w:p>
        </w:tc>
        <w:tc>
          <w:tcPr>
            <w:tcW w:w="853" w:type="pct"/>
            <w:tcBorders>
              <w:top w:val="nil"/>
              <w:left w:val="nil"/>
              <w:bottom w:val="single" w:sz="4" w:space="0" w:color="auto"/>
              <w:right w:val="single" w:sz="4" w:space="0" w:color="auto"/>
            </w:tcBorders>
            <w:shd w:val="clear" w:color="000000" w:fill="FFFFFF"/>
            <w:noWrap/>
            <w:hideMark/>
          </w:tcPr>
          <w:p w14:paraId="5BF9299C" w14:textId="738697DD" w:rsidR="004075FB" w:rsidRPr="000A529C" w:rsidRDefault="004075FB" w:rsidP="004075FB">
            <w:pPr>
              <w:jc w:val="right"/>
              <w:rPr>
                <w:noProof/>
                <w:sz w:val="20"/>
                <w:szCs w:val="20"/>
              </w:rPr>
            </w:pPr>
            <w:r w:rsidRPr="000A529C">
              <w:rPr>
                <w:noProof/>
                <w:sz w:val="20"/>
                <w:szCs w:val="20"/>
              </w:rPr>
              <w:t>14.3</w:t>
            </w:r>
          </w:p>
        </w:tc>
        <w:tc>
          <w:tcPr>
            <w:tcW w:w="853" w:type="pct"/>
            <w:tcBorders>
              <w:top w:val="nil"/>
              <w:left w:val="nil"/>
              <w:bottom w:val="single" w:sz="4" w:space="0" w:color="auto"/>
              <w:right w:val="single" w:sz="4" w:space="0" w:color="auto"/>
            </w:tcBorders>
            <w:shd w:val="clear" w:color="000000" w:fill="FFFFFF"/>
            <w:noWrap/>
            <w:hideMark/>
          </w:tcPr>
          <w:p w14:paraId="00BE1E2B" w14:textId="0D7CFA77" w:rsidR="004075FB" w:rsidRPr="000A529C" w:rsidRDefault="004075FB" w:rsidP="004075FB">
            <w:pPr>
              <w:jc w:val="right"/>
              <w:rPr>
                <w:noProof/>
                <w:sz w:val="20"/>
                <w:szCs w:val="20"/>
              </w:rPr>
            </w:pPr>
            <w:r w:rsidRPr="000A529C">
              <w:rPr>
                <w:noProof/>
                <w:sz w:val="20"/>
                <w:szCs w:val="20"/>
              </w:rPr>
              <w:t>10.3</w:t>
            </w:r>
          </w:p>
        </w:tc>
      </w:tr>
      <w:tr w:rsidR="004075FB" w:rsidRPr="00A633A1" w14:paraId="3B3C5F9F"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9288FB4" w14:textId="77777777" w:rsidR="004075FB" w:rsidRPr="00A633A1" w:rsidRDefault="004075FB" w:rsidP="004075FB">
            <w:pPr>
              <w:rPr>
                <w:noProof/>
                <w:sz w:val="20"/>
                <w:szCs w:val="20"/>
              </w:rPr>
            </w:pPr>
            <w:r w:rsidRPr="00A633A1">
              <w:rPr>
                <w:noProof/>
                <w:sz w:val="20"/>
                <w:szCs w:val="20"/>
              </w:rPr>
              <w:t xml:space="preserve"> Sweden </w:t>
            </w:r>
          </w:p>
        </w:tc>
        <w:tc>
          <w:tcPr>
            <w:tcW w:w="853" w:type="pct"/>
            <w:tcBorders>
              <w:top w:val="nil"/>
              <w:left w:val="nil"/>
              <w:bottom w:val="single" w:sz="4" w:space="0" w:color="auto"/>
              <w:right w:val="single" w:sz="4" w:space="0" w:color="auto"/>
            </w:tcBorders>
            <w:shd w:val="clear" w:color="000000" w:fill="FFFFFF"/>
            <w:noWrap/>
            <w:hideMark/>
          </w:tcPr>
          <w:p w14:paraId="441D9903" w14:textId="0EA16067" w:rsidR="004075FB" w:rsidRPr="000A529C" w:rsidRDefault="004075FB" w:rsidP="004075FB">
            <w:pPr>
              <w:jc w:val="right"/>
              <w:rPr>
                <w:noProof/>
                <w:sz w:val="20"/>
                <w:szCs w:val="20"/>
              </w:rPr>
            </w:pPr>
            <w:r w:rsidRPr="000A529C">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3E83D527" w14:textId="5FFC1998" w:rsidR="004075FB" w:rsidRPr="000A529C" w:rsidRDefault="004075FB" w:rsidP="004075FB">
            <w:pPr>
              <w:jc w:val="right"/>
              <w:rPr>
                <w:noProof/>
                <w:sz w:val="20"/>
                <w:szCs w:val="20"/>
              </w:rPr>
            </w:pPr>
            <w:r w:rsidRPr="000A529C">
              <w:rPr>
                <w:noProof/>
                <w:sz w:val="20"/>
                <w:szCs w:val="20"/>
              </w:rPr>
              <w:t>6.0</w:t>
            </w:r>
          </w:p>
        </w:tc>
        <w:tc>
          <w:tcPr>
            <w:tcW w:w="853" w:type="pct"/>
            <w:tcBorders>
              <w:top w:val="nil"/>
              <w:left w:val="nil"/>
              <w:bottom w:val="single" w:sz="4" w:space="0" w:color="auto"/>
              <w:right w:val="single" w:sz="4" w:space="0" w:color="auto"/>
            </w:tcBorders>
            <w:shd w:val="clear" w:color="000000" w:fill="FFFFFF"/>
            <w:noWrap/>
            <w:hideMark/>
          </w:tcPr>
          <w:p w14:paraId="62951F38" w14:textId="656ED5AD" w:rsidR="004075FB" w:rsidRPr="000A529C" w:rsidRDefault="004075FB" w:rsidP="004075FB">
            <w:pPr>
              <w:jc w:val="right"/>
              <w:rPr>
                <w:noProof/>
                <w:sz w:val="20"/>
                <w:szCs w:val="20"/>
              </w:rPr>
            </w:pPr>
            <w:r w:rsidRPr="000A529C">
              <w:rPr>
                <w:noProof/>
                <w:sz w:val="20"/>
                <w:szCs w:val="20"/>
              </w:rPr>
              <w:t>9.6</w:t>
            </w:r>
          </w:p>
        </w:tc>
        <w:tc>
          <w:tcPr>
            <w:tcW w:w="853" w:type="pct"/>
            <w:tcBorders>
              <w:top w:val="nil"/>
              <w:left w:val="nil"/>
              <w:bottom w:val="single" w:sz="4" w:space="0" w:color="auto"/>
              <w:right w:val="single" w:sz="4" w:space="0" w:color="auto"/>
            </w:tcBorders>
            <w:shd w:val="clear" w:color="000000" w:fill="FFFFFF"/>
            <w:noWrap/>
            <w:hideMark/>
          </w:tcPr>
          <w:p w14:paraId="0DDB9052" w14:textId="6808388B" w:rsidR="004075FB" w:rsidRPr="000A529C" w:rsidRDefault="004075FB" w:rsidP="004075FB">
            <w:pPr>
              <w:jc w:val="right"/>
              <w:rPr>
                <w:noProof/>
                <w:sz w:val="20"/>
                <w:szCs w:val="20"/>
              </w:rPr>
            </w:pPr>
            <w:r w:rsidRPr="000A529C">
              <w:rPr>
                <w:noProof/>
                <w:sz w:val="20"/>
                <w:szCs w:val="20"/>
              </w:rPr>
              <w:t>6.9</w:t>
            </w:r>
          </w:p>
        </w:tc>
      </w:tr>
      <w:tr w:rsidR="004075FB" w:rsidRPr="00A633A1" w14:paraId="12ADB9BB"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162D3BB1" w14:textId="4DF0FE6E" w:rsidR="004075FB" w:rsidRPr="00A633A1" w:rsidRDefault="004075FB" w:rsidP="004075FB">
            <w:pPr>
              <w:rPr>
                <w:noProof/>
                <w:sz w:val="20"/>
                <w:szCs w:val="20"/>
              </w:rPr>
            </w:pPr>
            <w:r w:rsidRPr="00A633A1">
              <w:rPr>
                <w:noProof/>
                <w:sz w:val="20"/>
                <w:szCs w:val="20"/>
              </w:rPr>
              <w:t xml:space="preserve"> Czechia</w:t>
            </w:r>
          </w:p>
        </w:tc>
        <w:tc>
          <w:tcPr>
            <w:tcW w:w="853" w:type="pct"/>
            <w:tcBorders>
              <w:top w:val="nil"/>
              <w:left w:val="nil"/>
              <w:bottom w:val="single" w:sz="4" w:space="0" w:color="auto"/>
              <w:right w:val="single" w:sz="4" w:space="0" w:color="auto"/>
            </w:tcBorders>
            <w:shd w:val="clear" w:color="000000" w:fill="FFFFFF"/>
            <w:noWrap/>
            <w:hideMark/>
          </w:tcPr>
          <w:p w14:paraId="6057C27A" w14:textId="1E6E1F83" w:rsidR="004075FB" w:rsidRPr="000A529C" w:rsidRDefault="004075FB" w:rsidP="004075FB">
            <w:pPr>
              <w:jc w:val="right"/>
              <w:rPr>
                <w:noProof/>
                <w:sz w:val="20"/>
                <w:szCs w:val="20"/>
              </w:rPr>
            </w:pPr>
            <w:r w:rsidRPr="000A529C">
              <w:rPr>
                <w:noProof/>
                <w:sz w:val="20"/>
                <w:szCs w:val="20"/>
              </w:rPr>
              <w:t>59.1</w:t>
            </w:r>
          </w:p>
        </w:tc>
        <w:tc>
          <w:tcPr>
            <w:tcW w:w="853" w:type="pct"/>
            <w:tcBorders>
              <w:top w:val="nil"/>
              <w:left w:val="nil"/>
              <w:bottom w:val="single" w:sz="4" w:space="0" w:color="auto"/>
              <w:right w:val="single" w:sz="4" w:space="0" w:color="auto"/>
            </w:tcBorders>
            <w:shd w:val="clear" w:color="000000" w:fill="FFFFFF"/>
            <w:noWrap/>
            <w:hideMark/>
          </w:tcPr>
          <w:p w14:paraId="21CC9F9C" w14:textId="01BBB777" w:rsidR="004075FB" w:rsidRPr="000A529C" w:rsidRDefault="004075FB" w:rsidP="004075FB">
            <w:pPr>
              <w:jc w:val="right"/>
              <w:rPr>
                <w:noProof/>
                <w:sz w:val="20"/>
                <w:szCs w:val="20"/>
              </w:rPr>
            </w:pPr>
            <w:r w:rsidRPr="000A529C">
              <w:rPr>
                <w:noProof/>
                <w:sz w:val="20"/>
                <w:szCs w:val="20"/>
              </w:rPr>
              <w:t>8.9</w:t>
            </w:r>
          </w:p>
        </w:tc>
        <w:tc>
          <w:tcPr>
            <w:tcW w:w="853" w:type="pct"/>
            <w:tcBorders>
              <w:top w:val="nil"/>
              <w:left w:val="nil"/>
              <w:bottom w:val="single" w:sz="4" w:space="0" w:color="auto"/>
              <w:right w:val="single" w:sz="4" w:space="0" w:color="auto"/>
            </w:tcBorders>
            <w:shd w:val="clear" w:color="000000" w:fill="FFFFFF"/>
            <w:noWrap/>
            <w:hideMark/>
          </w:tcPr>
          <w:p w14:paraId="4213DC9E" w14:textId="1979FFAA" w:rsidR="004075FB" w:rsidRPr="000A529C" w:rsidRDefault="004075FB" w:rsidP="004075FB">
            <w:pPr>
              <w:jc w:val="right"/>
              <w:rPr>
                <w:noProof/>
                <w:sz w:val="20"/>
                <w:szCs w:val="20"/>
              </w:rPr>
            </w:pPr>
            <w:r w:rsidRPr="000A529C">
              <w:rPr>
                <w:noProof/>
                <w:sz w:val="20"/>
                <w:szCs w:val="20"/>
              </w:rPr>
              <w:t>14.3</w:t>
            </w:r>
          </w:p>
        </w:tc>
        <w:tc>
          <w:tcPr>
            <w:tcW w:w="853" w:type="pct"/>
            <w:tcBorders>
              <w:top w:val="nil"/>
              <w:left w:val="nil"/>
              <w:bottom w:val="single" w:sz="4" w:space="0" w:color="auto"/>
              <w:right w:val="single" w:sz="4" w:space="0" w:color="auto"/>
            </w:tcBorders>
            <w:shd w:val="clear" w:color="000000" w:fill="FFFFFF"/>
            <w:noWrap/>
            <w:hideMark/>
          </w:tcPr>
          <w:p w14:paraId="0F03750A" w14:textId="7851CF69" w:rsidR="004075FB" w:rsidRPr="000A529C" w:rsidRDefault="004075FB" w:rsidP="004075FB">
            <w:pPr>
              <w:jc w:val="right"/>
              <w:rPr>
                <w:noProof/>
                <w:sz w:val="20"/>
                <w:szCs w:val="20"/>
              </w:rPr>
            </w:pPr>
            <w:r w:rsidRPr="000A529C">
              <w:rPr>
                <w:noProof/>
                <w:sz w:val="20"/>
                <w:szCs w:val="20"/>
              </w:rPr>
              <w:t>10.3</w:t>
            </w:r>
          </w:p>
        </w:tc>
      </w:tr>
      <w:tr w:rsidR="004075FB" w:rsidRPr="00A633A1" w14:paraId="01071476"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2DBAFE25" w14:textId="77777777" w:rsidR="004075FB" w:rsidRPr="00A633A1" w:rsidRDefault="004075FB" w:rsidP="004075FB">
            <w:pPr>
              <w:rPr>
                <w:noProof/>
                <w:sz w:val="20"/>
                <w:szCs w:val="20"/>
              </w:rPr>
            </w:pPr>
            <w:r w:rsidRPr="00A633A1">
              <w:rPr>
                <w:noProof/>
                <w:sz w:val="20"/>
                <w:szCs w:val="20"/>
              </w:rPr>
              <w:t xml:space="preserve"> Ireland </w:t>
            </w:r>
          </w:p>
        </w:tc>
        <w:tc>
          <w:tcPr>
            <w:tcW w:w="853" w:type="pct"/>
            <w:tcBorders>
              <w:top w:val="nil"/>
              <w:left w:val="nil"/>
              <w:bottom w:val="single" w:sz="4" w:space="0" w:color="auto"/>
              <w:right w:val="single" w:sz="4" w:space="0" w:color="auto"/>
            </w:tcBorders>
            <w:shd w:val="clear" w:color="000000" w:fill="FFFFFF"/>
            <w:noWrap/>
            <w:hideMark/>
          </w:tcPr>
          <w:p w14:paraId="79B4A8A8" w14:textId="758ED7E4" w:rsidR="004075FB" w:rsidRPr="000A529C" w:rsidRDefault="004075FB" w:rsidP="004075FB">
            <w:pPr>
              <w:jc w:val="right"/>
              <w:rPr>
                <w:noProof/>
                <w:sz w:val="20"/>
                <w:szCs w:val="20"/>
              </w:rPr>
            </w:pPr>
            <w:r w:rsidRPr="000A529C">
              <w:rPr>
                <w:noProof/>
                <w:sz w:val="20"/>
                <w:szCs w:val="20"/>
              </w:rPr>
              <w:t>39.4</w:t>
            </w:r>
          </w:p>
        </w:tc>
        <w:tc>
          <w:tcPr>
            <w:tcW w:w="853" w:type="pct"/>
            <w:tcBorders>
              <w:top w:val="nil"/>
              <w:left w:val="nil"/>
              <w:bottom w:val="single" w:sz="4" w:space="0" w:color="auto"/>
              <w:right w:val="single" w:sz="4" w:space="0" w:color="auto"/>
            </w:tcBorders>
            <w:shd w:val="clear" w:color="000000" w:fill="FFFFFF"/>
            <w:noWrap/>
            <w:hideMark/>
          </w:tcPr>
          <w:p w14:paraId="22B71F5B" w14:textId="03FD43A3" w:rsidR="004075FB" w:rsidRPr="000A529C" w:rsidRDefault="004075FB" w:rsidP="004075FB">
            <w:pPr>
              <w:jc w:val="right"/>
              <w:rPr>
                <w:noProof/>
                <w:sz w:val="20"/>
                <w:szCs w:val="20"/>
              </w:rPr>
            </w:pPr>
            <w:r w:rsidRPr="000A529C">
              <w:rPr>
                <w:noProof/>
                <w:sz w:val="20"/>
                <w:szCs w:val="20"/>
              </w:rPr>
              <w:t>6.0</w:t>
            </w:r>
          </w:p>
        </w:tc>
        <w:tc>
          <w:tcPr>
            <w:tcW w:w="853" w:type="pct"/>
            <w:tcBorders>
              <w:top w:val="nil"/>
              <w:left w:val="nil"/>
              <w:bottom w:val="single" w:sz="4" w:space="0" w:color="auto"/>
              <w:right w:val="single" w:sz="4" w:space="0" w:color="auto"/>
            </w:tcBorders>
            <w:shd w:val="clear" w:color="000000" w:fill="FFFFFF"/>
            <w:noWrap/>
            <w:hideMark/>
          </w:tcPr>
          <w:p w14:paraId="663AB64E" w14:textId="261876CB" w:rsidR="004075FB" w:rsidRPr="000A529C" w:rsidRDefault="004075FB" w:rsidP="004075FB">
            <w:pPr>
              <w:jc w:val="right"/>
              <w:rPr>
                <w:noProof/>
                <w:sz w:val="20"/>
                <w:szCs w:val="20"/>
              </w:rPr>
            </w:pPr>
            <w:r w:rsidRPr="000A529C">
              <w:rPr>
                <w:noProof/>
                <w:sz w:val="20"/>
                <w:szCs w:val="20"/>
              </w:rPr>
              <w:t>9.6</w:t>
            </w:r>
          </w:p>
        </w:tc>
        <w:tc>
          <w:tcPr>
            <w:tcW w:w="853" w:type="pct"/>
            <w:tcBorders>
              <w:top w:val="nil"/>
              <w:left w:val="nil"/>
              <w:bottom w:val="single" w:sz="4" w:space="0" w:color="auto"/>
              <w:right w:val="single" w:sz="4" w:space="0" w:color="auto"/>
            </w:tcBorders>
            <w:shd w:val="clear" w:color="000000" w:fill="FFFFFF"/>
            <w:noWrap/>
            <w:hideMark/>
          </w:tcPr>
          <w:p w14:paraId="7570BCC7" w14:textId="13921487" w:rsidR="004075FB" w:rsidRPr="000A529C" w:rsidRDefault="004075FB" w:rsidP="004075FB">
            <w:pPr>
              <w:jc w:val="right"/>
              <w:rPr>
                <w:noProof/>
                <w:sz w:val="20"/>
                <w:szCs w:val="20"/>
              </w:rPr>
            </w:pPr>
            <w:r w:rsidRPr="000A529C">
              <w:rPr>
                <w:noProof/>
                <w:sz w:val="20"/>
                <w:szCs w:val="20"/>
              </w:rPr>
              <w:t>6.9</w:t>
            </w:r>
          </w:p>
        </w:tc>
      </w:tr>
      <w:tr w:rsidR="004075FB" w:rsidRPr="00A633A1" w14:paraId="67362CED"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07A89138" w14:textId="77777777" w:rsidR="004075FB" w:rsidRPr="00A633A1" w:rsidRDefault="004075FB" w:rsidP="004075FB">
            <w:pPr>
              <w:rPr>
                <w:noProof/>
                <w:sz w:val="20"/>
                <w:szCs w:val="20"/>
              </w:rPr>
            </w:pPr>
            <w:r w:rsidRPr="00A633A1">
              <w:rPr>
                <w:noProof/>
                <w:sz w:val="20"/>
                <w:szCs w:val="20"/>
              </w:rPr>
              <w:t xml:space="preserve"> Slovenia </w:t>
            </w:r>
          </w:p>
        </w:tc>
        <w:tc>
          <w:tcPr>
            <w:tcW w:w="853" w:type="pct"/>
            <w:tcBorders>
              <w:top w:val="nil"/>
              <w:left w:val="nil"/>
              <w:bottom w:val="single" w:sz="4" w:space="0" w:color="auto"/>
              <w:right w:val="single" w:sz="4" w:space="0" w:color="auto"/>
            </w:tcBorders>
            <w:shd w:val="clear" w:color="000000" w:fill="FFFFFF"/>
            <w:noWrap/>
            <w:hideMark/>
          </w:tcPr>
          <w:p w14:paraId="68D7B41C"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3625864E"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589E1E53"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44FE34A3" w14:textId="77777777" w:rsidR="004075FB" w:rsidRPr="000A529C" w:rsidRDefault="004075FB" w:rsidP="004075FB">
            <w:pPr>
              <w:jc w:val="right"/>
              <w:rPr>
                <w:noProof/>
                <w:sz w:val="20"/>
                <w:szCs w:val="20"/>
              </w:rPr>
            </w:pPr>
            <w:r w:rsidRPr="000A529C">
              <w:rPr>
                <w:noProof/>
                <w:sz w:val="20"/>
                <w:szCs w:val="20"/>
              </w:rPr>
              <w:t>0.0</w:t>
            </w:r>
          </w:p>
        </w:tc>
      </w:tr>
      <w:tr w:rsidR="004075FB" w:rsidRPr="00A633A1" w14:paraId="4E656079"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24666687" w14:textId="77777777" w:rsidR="004075FB" w:rsidRPr="00A633A1" w:rsidRDefault="004075FB" w:rsidP="004075FB">
            <w:pPr>
              <w:rPr>
                <w:noProof/>
                <w:sz w:val="20"/>
                <w:szCs w:val="20"/>
              </w:rPr>
            </w:pPr>
            <w:r w:rsidRPr="00A633A1">
              <w:rPr>
                <w:noProof/>
                <w:sz w:val="20"/>
                <w:szCs w:val="20"/>
              </w:rPr>
              <w:t xml:space="preserve"> Latvia </w:t>
            </w:r>
          </w:p>
        </w:tc>
        <w:tc>
          <w:tcPr>
            <w:tcW w:w="853" w:type="pct"/>
            <w:tcBorders>
              <w:top w:val="nil"/>
              <w:left w:val="nil"/>
              <w:bottom w:val="single" w:sz="4" w:space="0" w:color="auto"/>
              <w:right w:val="single" w:sz="4" w:space="0" w:color="auto"/>
            </w:tcBorders>
            <w:shd w:val="clear" w:color="000000" w:fill="FFFFFF"/>
            <w:noWrap/>
            <w:hideMark/>
          </w:tcPr>
          <w:p w14:paraId="07780823"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22DCD7F2"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0D551F5B"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15A0A1A1" w14:textId="77777777" w:rsidR="004075FB" w:rsidRPr="000A529C" w:rsidRDefault="004075FB" w:rsidP="004075FB">
            <w:pPr>
              <w:jc w:val="right"/>
              <w:rPr>
                <w:noProof/>
                <w:sz w:val="20"/>
                <w:szCs w:val="20"/>
              </w:rPr>
            </w:pPr>
            <w:r w:rsidRPr="000A529C">
              <w:rPr>
                <w:noProof/>
                <w:sz w:val="20"/>
                <w:szCs w:val="20"/>
              </w:rPr>
              <w:t>0.0</w:t>
            </w:r>
          </w:p>
        </w:tc>
      </w:tr>
      <w:tr w:rsidR="004075FB" w:rsidRPr="00A633A1" w14:paraId="0FA0C016"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2232EAA2" w14:textId="77777777" w:rsidR="004075FB" w:rsidRPr="00A633A1" w:rsidRDefault="004075FB" w:rsidP="004075FB">
            <w:pPr>
              <w:rPr>
                <w:noProof/>
                <w:sz w:val="20"/>
                <w:szCs w:val="20"/>
              </w:rPr>
            </w:pPr>
            <w:r w:rsidRPr="00A633A1">
              <w:rPr>
                <w:noProof/>
                <w:sz w:val="20"/>
                <w:szCs w:val="20"/>
              </w:rPr>
              <w:t xml:space="preserve"> Romania </w:t>
            </w:r>
          </w:p>
        </w:tc>
        <w:tc>
          <w:tcPr>
            <w:tcW w:w="853" w:type="pct"/>
            <w:tcBorders>
              <w:top w:val="nil"/>
              <w:left w:val="nil"/>
              <w:bottom w:val="single" w:sz="4" w:space="0" w:color="auto"/>
              <w:right w:val="single" w:sz="4" w:space="0" w:color="auto"/>
            </w:tcBorders>
            <w:shd w:val="clear" w:color="000000" w:fill="FFFFFF"/>
            <w:noWrap/>
            <w:hideMark/>
          </w:tcPr>
          <w:p w14:paraId="1660192D"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7FB2A265"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030CEEBC" w14:textId="77777777" w:rsidR="004075FB" w:rsidRPr="000A529C" w:rsidRDefault="004075FB" w:rsidP="004075FB">
            <w:pPr>
              <w:jc w:val="right"/>
              <w:rPr>
                <w:noProof/>
                <w:sz w:val="20"/>
                <w:szCs w:val="20"/>
              </w:rPr>
            </w:pPr>
            <w:r w:rsidRPr="000A529C">
              <w:rPr>
                <w:noProof/>
                <w:sz w:val="20"/>
                <w:szCs w:val="20"/>
              </w:rPr>
              <w:t>0.0</w:t>
            </w:r>
          </w:p>
        </w:tc>
        <w:tc>
          <w:tcPr>
            <w:tcW w:w="853" w:type="pct"/>
            <w:tcBorders>
              <w:top w:val="nil"/>
              <w:left w:val="nil"/>
              <w:bottom w:val="single" w:sz="4" w:space="0" w:color="auto"/>
              <w:right w:val="single" w:sz="4" w:space="0" w:color="auto"/>
            </w:tcBorders>
            <w:shd w:val="clear" w:color="000000" w:fill="FFFFFF"/>
            <w:noWrap/>
            <w:hideMark/>
          </w:tcPr>
          <w:p w14:paraId="222F6775" w14:textId="77777777" w:rsidR="004075FB" w:rsidRPr="000A529C" w:rsidRDefault="004075FB" w:rsidP="004075FB">
            <w:pPr>
              <w:jc w:val="right"/>
              <w:rPr>
                <w:noProof/>
                <w:sz w:val="20"/>
                <w:szCs w:val="20"/>
              </w:rPr>
            </w:pPr>
            <w:r w:rsidRPr="000A529C">
              <w:rPr>
                <w:noProof/>
                <w:sz w:val="20"/>
                <w:szCs w:val="20"/>
              </w:rPr>
              <w:t>0.0</w:t>
            </w:r>
          </w:p>
        </w:tc>
      </w:tr>
      <w:tr w:rsidR="004075FB" w:rsidRPr="00A633A1" w14:paraId="615FF6C7"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24F5C889" w14:textId="77777777" w:rsidR="004075FB" w:rsidRPr="00A633A1" w:rsidRDefault="004075FB" w:rsidP="004075FB">
            <w:pPr>
              <w:rPr>
                <w:noProof/>
                <w:sz w:val="20"/>
                <w:szCs w:val="20"/>
              </w:rPr>
            </w:pPr>
            <w:r w:rsidRPr="00A633A1">
              <w:rPr>
                <w:noProof/>
                <w:sz w:val="20"/>
                <w:szCs w:val="20"/>
              </w:rPr>
              <w:t xml:space="preserve"> Slovakia </w:t>
            </w:r>
          </w:p>
        </w:tc>
        <w:tc>
          <w:tcPr>
            <w:tcW w:w="853" w:type="pct"/>
            <w:tcBorders>
              <w:top w:val="nil"/>
              <w:left w:val="nil"/>
              <w:bottom w:val="single" w:sz="4" w:space="0" w:color="auto"/>
              <w:right w:val="single" w:sz="4" w:space="0" w:color="auto"/>
            </w:tcBorders>
            <w:shd w:val="clear" w:color="000000" w:fill="FFFFFF"/>
            <w:noWrap/>
            <w:hideMark/>
          </w:tcPr>
          <w:p w14:paraId="041B009F" w14:textId="4EA6AE9F" w:rsidR="004075FB" w:rsidRPr="000A529C" w:rsidRDefault="004075FB" w:rsidP="004075FB">
            <w:pPr>
              <w:jc w:val="right"/>
              <w:rPr>
                <w:noProof/>
                <w:sz w:val="20"/>
                <w:szCs w:val="20"/>
              </w:rPr>
            </w:pPr>
            <w:r w:rsidRPr="000A529C">
              <w:rPr>
                <w:noProof/>
                <w:sz w:val="20"/>
                <w:szCs w:val="20"/>
              </w:rPr>
              <w:t>19.7</w:t>
            </w:r>
          </w:p>
        </w:tc>
        <w:tc>
          <w:tcPr>
            <w:tcW w:w="853" w:type="pct"/>
            <w:tcBorders>
              <w:top w:val="nil"/>
              <w:left w:val="nil"/>
              <w:bottom w:val="single" w:sz="4" w:space="0" w:color="auto"/>
              <w:right w:val="single" w:sz="4" w:space="0" w:color="auto"/>
            </w:tcBorders>
            <w:shd w:val="clear" w:color="000000" w:fill="FFFFFF"/>
            <w:noWrap/>
            <w:hideMark/>
          </w:tcPr>
          <w:p w14:paraId="1AF386DE" w14:textId="6B85D882" w:rsidR="004075FB" w:rsidRPr="000A529C" w:rsidRDefault="004075FB" w:rsidP="004075FB">
            <w:pPr>
              <w:jc w:val="right"/>
              <w:rPr>
                <w:noProof/>
                <w:sz w:val="20"/>
                <w:szCs w:val="20"/>
              </w:rPr>
            </w:pPr>
            <w:r w:rsidRPr="000A529C">
              <w:rPr>
                <w:noProof/>
                <w:sz w:val="20"/>
                <w:szCs w:val="20"/>
              </w:rPr>
              <w:t>3.0</w:t>
            </w:r>
          </w:p>
        </w:tc>
        <w:tc>
          <w:tcPr>
            <w:tcW w:w="853" w:type="pct"/>
            <w:tcBorders>
              <w:top w:val="nil"/>
              <w:left w:val="nil"/>
              <w:bottom w:val="single" w:sz="4" w:space="0" w:color="auto"/>
              <w:right w:val="single" w:sz="4" w:space="0" w:color="auto"/>
            </w:tcBorders>
            <w:shd w:val="clear" w:color="000000" w:fill="FFFFFF"/>
            <w:noWrap/>
            <w:hideMark/>
          </w:tcPr>
          <w:p w14:paraId="0B89A17B" w14:textId="08CFEFC3" w:rsidR="004075FB" w:rsidRPr="000A529C" w:rsidRDefault="004075FB" w:rsidP="004075FB">
            <w:pPr>
              <w:jc w:val="right"/>
              <w:rPr>
                <w:noProof/>
                <w:sz w:val="20"/>
                <w:szCs w:val="20"/>
              </w:rPr>
            </w:pPr>
            <w:r w:rsidRPr="000A529C">
              <w:rPr>
                <w:noProof/>
                <w:sz w:val="20"/>
                <w:szCs w:val="20"/>
              </w:rPr>
              <w:t>4.8</w:t>
            </w:r>
          </w:p>
        </w:tc>
        <w:tc>
          <w:tcPr>
            <w:tcW w:w="853" w:type="pct"/>
            <w:tcBorders>
              <w:top w:val="nil"/>
              <w:left w:val="nil"/>
              <w:bottom w:val="single" w:sz="4" w:space="0" w:color="auto"/>
              <w:right w:val="single" w:sz="4" w:space="0" w:color="auto"/>
            </w:tcBorders>
            <w:shd w:val="clear" w:color="000000" w:fill="FFFFFF"/>
            <w:noWrap/>
            <w:hideMark/>
          </w:tcPr>
          <w:p w14:paraId="3A04B351" w14:textId="2C2DBB1F" w:rsidR="004075FB" w:rsidRPr="000A529C" w:rsidRDefault="004075FB" w:rsidP="004075FB">
            <w:pPr>
              <w:jc w:val="right"/>
              <w:rPr>
                <w:noProof/>
                <w:sz w:val="20"/>
                <w:szCs w:val="20"/>
              </w:rPr>
            </w:pPr>
            <w:r w:rsidRPr="000A529C">
              <w:rPr>
                <w:noProof/>
                <w:sz w:val="20"/>
                <w:szCs w:val="20"/>
              </w:rPr>
              <w:t>3.4</w:t>
            </w:r>
          </w:p>
        </w:tc>
      </w:tr>
      <w:tr w:rsidR="004075FB" w:rsidRPr="00A633A1" w14:paraId="0E679716" w14:textId="77777777" w:rsidTr="004075FB">
        <w:trPr>
          <w:trHeight w:val="225"/>
        </w:trPr>
        <w:tc>
          <w:tcPr>
            <w:tcW w:w="1589" w:type="pct"/>
            <w:tcBorders>
              <w:top w:val="nil"/>
              <w:left w:val="single" w:sz="4" w:space="0" w:color="auto"/>
              <w:bottom w:val="single" w:sz="4" w:space="0" w:color="auto"/>
              <w:right w:val="single" w:sz="4" w:space="0" w:color="auto"/>
            </w:tcBorders>
            <w:shd w:val="clear" w:color="000000" w:fill="FFFFFF"/>
            <w:noWrap/>
            <w:hideMark/>
          </w:tcPr>
          <w:p w14:paraId="398B0DA8" w14:textId="72CF4F5F" w:rsidR="004075FB" w:rsidRPr="00A633A1" w:rsidRDefault="004075FB" w:rsidP="004075FB">
            <w:pPr>
              <w:rPr>
                <w:b/>
                <w:bCs/>
                <w:noProof/>
                <w:sz w:val="20"/>
                <w:szCs w:val="20"/>
              </w:rPr>
            </w:pPr>
            <w:r w:rsidRPr="00A633A1">
              <w:rPr>
                <w:b/>
                <w:bCs/>
                <w:noProof/>
                <w:sz w:val="20"/>
                <w:szCs w:val="20"/>
              </w:rPr>
              <w:t xml:space="preserve"> Total </w:t>
            </w:r>
          </w:p>
        </w:tc>
        <w:tc>
          <w:tcPr>
            <w:tcW w:w="853" w:type="pct"/>
            <w:tcBorders>
              <w:top w:val="nil"/>
              <w:left w:val="nil"/>
              <w:bottom w:val="single" w:sz="4" w:space="0" w:color="auto"/>
              <w:right w:val="single" w:sz="4" w:space="0" w:color="auto"/>
            </w:tcBorders>
            <w:shd w:val="clear" w:color="000000" w:fill="FFFFFF"/>
            <w:noWrap/>
            <w:hideMark/>
          </w:tcPr>
          <w:p w14:paraId="2697A5F2" w14:textId="71705F56" w:rsidR="004075FB" w:rsidRPr="000A529C" w:rsidRDefault="004075FB" w:rsidP="004075FB">
            <w:pPr>
              <w:jc w:val="right"/>
              <w:rPr>
                <w:b/>
                <w:bCs/>
                <w:noProof/>
                <w:sz w:val="20"/>
                <w:szCs w:val="20"/>
              </w:rPr>
            </w:pPr>
            <w:r w:rsidRPr="000A529C">
              <w:rPr>
                <w:b/>
                <w:bCs/>
                <w:noProof/>
                <w:sz w:val="20"/>
                <w:szCs w:val="20"/>
              </w:rPr>
              <w:t>1,970.9</w:t>
            </w:r>
          </w:p>
        </w:tc>
        <w:tc>
          <w:tcPr>
            <w:tcW w:w="853" w:type="pct"/>
            <w:tcBorders>
              <w:top w:val="nil"/>
              <w:left w:val="nil"/>
              <w:bottom w:val="single" w:sz="4" w:space="0" w:color="auto"/>
              <w:right w:val="single" w:sz="4" w:space="0" w:color="auto"/>
            </w:tcBorders>
            <w:shd w:val="clear" w:color="000000" w:fill="FFFFFF"/>
            <w:noWrap/>
            <w:hideMark/>
          </w:tcPr>
          <w:p w14:paraId="22C60C6F" w14:textId="7F066697" w:rsidR="004075FB" w:rsidRPr="000A529C" w:rsidRDefault="004075FB" w:rsidP="004075FB">
            <w:pPr>
              <w:jc w:val="right"/>
              <w:rPr>
                <w:b/>
                <w:bCs/>
                <w:noProof/>
                <w:sz w:val="20"/>
                <w:szCs w:val="20"/>
              </w:rPr>
            </w:pPr>
            <w:r w:rsidRPr="000A529C">
              <w:rPr>
                <w:b/>
                <w:bCs/>
                <w:noProof/>
                <w:sz w:val="20"/>
                <w:szCs w:val="20"/>
              </w:rPr>
              <w:t>297.9</w:t>
            </w:r>
          </w:p>
        </w:tc>
        <w:tc>
          <w:tcPr>
            <w:tcW w:w="853" w:type="pct"/>
            <w:tcBorders>
              <w:top w:val="nil"/>
              <w:left w:val="nil"/>
              <w:bottom w:val="single" w:sz="4" w:space="0" w:color="auto"/>
              <w:right w:val="single" w:sz="4" w:space="0" w:color="auto"/>
            </w:tcBorders>
            <w:shd w:val="clear" w:color="000000" w:fill="FFFFFF"/>
            <w:noWrap/>
            <w:hideMark/>
          </w:tcPr>
          <w:p w14:paraId="22D7B7CC" w14:textId="339AB4E7" w:rsidR="004075FB" w:rsidRPr="000A529C" w:rsidRDefault="004075FB" w:rsidP="004075FB">
            <w:pPr>
              <w:jc w:val="right"/>
              <w:rPr>
                <w:b/>
                <w:bCs/>
                <w:noProof/>
                <w:sz w:val="20"/>
                <w:szCs w:val="20"/>
              </w:rPr>
            </w:pPr>
            <w:r w:rsidRPr="000A529C">
              <w:rPr>
                <w:b/>
                <w:bCs/>
                <w:noProof/>
                <w:sz w:val="20"/>
                <w:szCs w:val="20"/>
              </w:rPr>
              <w:t>477.7</w:t>
            </w:r>
          </w:p>
        </w:tc>
        <w:tc>
          <w:tcPr>
            <w:tcW w:w="853" w:type="pct"/>
            <w:tcBorders>
              <w:top w:val="nil"/>
              <w:left w:val="nil"/>
              <w:bottom w:val="single" w:sz="4" w:space="0" w:color="auto"/>
              <w:right w:val="single" w:sz="4" w:space="0" w:color="auto"/>
            </w:tcBorders>
            <w:shd w:val="clear" w:color="000000" w:fill="FFFFFF"/>
            <w:noWrap/>
            <w:hideMark/>
          </w:tcPr>
          <w:p w14:paraId="48B2CCCC" w14:textId="511ADA1C" w:rsidR="004075FB" w:rsidRPr="000A529C" w:rsidRDefault="004075FB" w:rsidP="004075FB">
            <w:pPr>
              <w:jc w:val="right"/>
              <w:rPr>
                <w:b/>
                <w:bCs/>
                <w:noProof/>
                <w:sz w:val="20"/>
                <w:szCs w:val="20"/>
              </w:rPr>
            </w:pPr>
            <w:r w:rsidRPr="000A529C">
              <w:rPr>
                <w:b/>
                <w:bCs/>
                <w:noProof/>
                <w:sz w:val="20"/>
                <w:szCs w:val="20"/>
              </w:rPr>
              <w:t>342.7</w:t>
            </w:r>
          </w:p>
        </w:tc>
      </w:tr>
    </w:tbl>
    <w:p w14:paraId="19171EE8" w14:textId="77777777" w:rsidR="00525716" w:rsidRPr="00D71008" w:rsidRDefault="00525716" w:rsidP="00525716">
      <w:pPr>
        <w:tabs>
          <w:tab w:val="left" w:pos="2302"/>
        </w:tabs>
        <w:spacing w:after="240"/>
        <w:jc w:val="both"/>
        <w:rPr>
          <w:i/>
          <w:iCs/>
          <w:noProof/>
          <w:sz w:val="20"/>
          <w:szCs w:val="20"/>
        </w:rPr>
      </w:pPr>
      <w:r w:rsidRPr="00A633A1">
        <w:rPr>
          <w:i/>
          <w:noProof/>
          <w:spacing w:val="-8"/>
          <w:sz w:val="20"/>
          <w:szCs w:val="20"/>
        </w:rPr>
        <w:t xml:space="preserve">Source: </w:t>
      </w:r>
      <w:r w:rsidRPr="00A633A1">
        <w:rPr>
          <w:i/>
          <w:noProof/>
          <w:sz w:val="20"/>
          <w:szCs w:val="20"/>
        </w:rPr>
        <w:t>Ricardo et al. (2026), Impact assessment support study</w:t>
      </w:r>
    </w:p>
    <w:p w14:paraId="42E7F939" w14:textId="6BA17508" w:rsidR="00392AC4" w:rsidRDefault="00392AC4" w:rsidP="00392AC4">
      <w:pPr>
        <w:pStyle w:val="Text4"/>
        <w:spacing w:before="0" w:after="240"/>
        <w:ind w:left="0"/>
        <w:rPr>
          <w:rFonts w:ascii="Times New Roman" w:eastAsia="Calibri" w:hAnsi="Times New Roman"/>
          <w:noProof/>
          <w:spacing w:val="-8"/>
          <w:sz w:val="24"/>
          <w:szCs w:val="24"/>
        </w:rPr>
      </w:pPr>
      <w:r w:rsidRPr="007670B7">
        <w:rPr>
          <w:rFonts w:ascii="Times New Roman" w:eastAsia="Calibri" w:hAnsi="Times New Roman"/>
          <w:noProof/>
          <w:spacing w:val="-8"/>
          <w:sz w:val="24"/>
          <w:szCs w:val="24"/>
        </w:rPr>
        <w:t>Expressed as present value over 2028-2050 relative to the baseline, the total one-off and recurrent adjustment costs due to PM</w:t>
      </w:r>
      <w:r>
        <w:rPr>
          <w:rFonts w:ascii="Times New Roman" w:eastAsia="Calibri" w:hAnsi="Times New Roman"/>
          <w:noProof/>
          <w:spacing w:val="-8"/>
          <w:sz w:val="24"/>
          <w:szCs w:val="24"/>
        </w:rPr>
        <w:t>3</w:t>
      </w:r>
      <w:r w:rsidRPr="007670B7">
        <w:rPr>
          <w:rFonts w:ascii="Times New Roman" w:eastAsia="Calibri" w:hAnsi="Times New Roman"/>
          <w:noProof/>
          <w:spacing w:val="-8"/>
          <w:sz w:val="24"/>
          <w:szCs w:val="24"/>
        </w:rPr>
        <w:t xml:space="preserve"> for </w:t>
      </w:r>
      <w:r w:rsidR="00E65F03">
        <w:rPr>
          <w:rFonts w:ascii="Times New Roman" w:eastAsia="Calibri" w:hAnsi="Times New Roman"/>
          <w:noProof/>
          <w:spacing w:val="-8"/>
          <w:sz w:val="24"/>
          <w:szCs w:val="24"/>
        </w:rPr>
        <w:t>non-SME</w:t>
      </w:r>
      <w:r w:rsidRPr="007670B7">
        <w:rPr>
          <w:rFonts w:ascii="Times New Roman" w:eastAsia="Calibri" w:hAnsi="Times New Roman"/>
          <w:noProof/>
          <w:spacing w:val="-8"/>
          <w:sz w:val="24"/>
          <w:szCs w:val="24"/>
        </w:rPr>
        <w:t xml:space="preserve"> B2B and B2C MDMS platforms </w:t>
      </w:r>
      <w:r>
        <w:rPr>
          <w:rFonts w:ascii="Times New Roman" w:eastAsia="Calibri" w:hAnsi="Times New Roman"/>
          <w:noProof/>
          <w:spacing w:val="-8"/>
          <w:sz w:val="24"/>
          <w:szCs w:val="24"/>
        </w:rPr>
        <w:t xml:space="preserve">(excluding CRS platforms and NCAs) </w:t>
      </w:r>
      <w:r w:rsidRPr="007670B7">
        <w:rPr>
          <w:rFonts w:ascii="Times New Roman" w:eastAsia="Calibri" w:hAnsi="Times New Roman"/>
          <w:noProof/>
          <w:spacing w:val="-8"/>
          <w:sz w:val="24"/>
          <w:szCs w:val="24"/>
        </w:rPr>
        <w:t>are provided in the table below</w:t>
      </w:r>
      <w:r>
        <w:rPr>
          <w:rFonts w:ascii="Times New Roman" w:eastAsia="Calibri" w:hAnsi="Times New Roman"/>
          <w:noProof/>
          <w:spacing w:val="-8"/>
          <w:sz w:val="24"/>
          <w:szCs w:val="24"/>
        </w:rPr>
        <w:t>,</w:t>
      </w:r>
      <w:r w:rsidRPr="007670B7">
        <w:rPr>
          <w:rFonts w:ascii="Times New Roman" w:eastAsia="Calibri" w:hAnsi="Times New Roman"/>
          <w:noProof/>
          <w:spacing w:val="-8"/>
          <w:sz w:val="24"/>
          <w:szCs w:val="24"/>
        </w:rPr>
        <w:t xml:space="preserve"> by policy option.</w:t>
      </w:r>
    </w:p>
    <w:p w14:paraId="6ADD12AF" w14:textId="660A2E2E" w:rsidR="00706225" w:rsidRPr="00DB078C" w:rsidRDefault="00706225" w:rsidP="00FC6DE4">
      <w:pPr>
        <w:keepNext/>
        <w:tabs>
          <w:tab w:val="left" w:pos="1134"/>
        </w:tabs>
        <w:jc w:val="both"/>
        <w:rPr>
          <w:i/>
          <w:noProof/>
          <w:sz w:val="22"/>
          <w:szCs w:val="22"/>
        </w:rPr>
      </w:pPr>
      <w:r w:rsidRPr="00DB078C">
        <w:rPr>
          <w:i/>
          <w:noProof/>
          <w:sz w:val="22"/>
          <w:szCs w:val="22"/>
        </w:rPr>
        <w:t xml:space="preserve">Table </w:t>
      </w:r>
      <w:r w:rsidRPr="00DB078C">
        <w:rPr>
          <w:i/>
          <w:noProof/>
          <w:sz w:val="22"/>
          <w:szCs w:val="22"/>
        </w:rPr>
        <w:fldChar w:fldCharType="begin"/>
      </w:r>
      <w:r w:rsidRPr="00DB078C">
        <w:rPr>
          <w:i/>
          <w:noProof/>
          <w:sz w:val="22"/>
          <w:szCs w:val="22"/>
        </w:rPr>
        <w:instrText xml:space="preserve"> SEQ Table \* ARABIC </w:instrText>
      </w:r>
      <w:r w:rsidRPr="00DB078C">
        <w:rPr>
          <w:i/>
          <w:noProof/>
          <w:sz w:val="22"/>
          <w:szCs w:val="22"/>
        </w:rPr>
        <w:fldChar w:fldCharType="separate"/>
      </w:r>
      <w:r w:rsidR="0055391F">
        <w:rPr>
          <w:i/>
          <w:noProof/>
          <w:sz w:val="22"/>
          <w:szCs w:val="22"/>
        </w:rPr>
        <w:t>84</w:t>
      </w:r>
      <w:r w:rsidRPr="00DB078C">
        <w:rPr>
          <w:i/>
          <w:noProof/>
          <w:sz w:val="22"/>
          <w:szCs w:val="22"/>
        </w:rPr>
        <w:fldChar w:fldCharType="end"/>
      </w:r>
      <w:r w:rsidRPr="00DB078C">
        <w:rPr>
          <w:i/>
          <w:noProof/>
          <w:sz w:val="22"/>
          <w:szCs w:val="22"/>
        </w:rPr>
        <w:t xml:space="preserve">: One-off and recurrent adjustment costs for </w:t>
      </w:r>
      <w:r w:rsidR="00E65F03">
        <w:rPr>
          <w:i/>
          <w:noProof/>
          <w:sz w:val="22"/>
          <w:szCs w:val="22"/>
        </w:rPr>
        <w:t>non-SME</w:t>
      </w:r>
      <w:r w:rsidRPr="00DB078C">
        <w:rPr>
          <w:i/>
          <w:noProof/>
          <w:sz w:val="22"/>
          <w:szCs w:val="22"/>
        </w:rPr>
        <w:t xml:space="preserve"> MDMS platforms (B2B and B2C, excluding CRS platforms and NCAs) due to PM3 in the policy options, expressed as present value over 2028-2050 relative to the baseline (in </w:t>
      </w:r>
      <w:r w:rsidR="00422E0E" w:rsidRPr="00DB078C">
        <w:rPr>
          <w:i/>
          <w:noProof/>
          <w:sz w:val="22"/>
          <w:szCs w:val="22"/>
        </w:rPr>
        <w:t xml:space="preserve">million EUR, </w:t>
      </w:r>
      <w:r w:rsidRPr="00DB078C">
        <w:rPr>
          <w:i/>
          <w:noProof/>
          <w:sz w:val="22"/>
          <w:szCs w:val="22"/>
        </w:rPr>
        <w:t>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1240"/>
        <w:gridCol w:w="1240"/>
        <w:gridCol w:w="1240"/>
        <w:gridCol w:w="1240"/>
      </w:tblGrid>
      <w:tr w:rsidR="00706225" w:rsidRPr="00155931" w14:paraId="00145EA8" w14:textId="77777777" w:rsidTr="00397040">
        <w:trPr>
          <w:trHeight w:val="282"/>
          <w:tblHeader/>
        </w:trPr>
        <w:tc>
          <w:tcPr>
            <w:tcW w:w="4643" w:type="dxa"/>
            <w:vMerge w:val="restart"/>
            <w:shd w:val="clear" w:color="000000" w:fill="0070C0"/>
            <w:hideMark/>
          </w:tcPr>
          <w:p w14:paraId="76A773CB" w14:textId="4F3D620F" w:rsidR="00706225" w:rsidRPr="00C87F59" w:rsidRDefault="00706225" w:rsidP="00FC50CB">
            <w:pPr>
              <w:pStyle w:val="BodyText"/>
              <w:rPr>
                <w:b/>
                <w:noProof/>
                <w:sz w:val="20"/>
                <w:szCs w:val="20"/>
                <w:lang w:eastAsia="en-IE"/>
              </w:rPr>
            </w:pPr>
          </w:p>
        </w:tc>
        <w:tc>
          <w:tcPr>
            <w:tcW w:w="4960" w:type="dxa"/>
            <w:gridSpan w:val="4"/>
            <w:shd w:val="clear" w:color="000000" w:fill="0070C0"/>
            <w:hideMark/>
          </w:tcPr>
          <w:p w14:paraId="111224A4" w14:textId="1D7D0A9D" w:rsidR="00706225" w:rsidRPr="00C87F59" w:rsidRDefault="00706225" w:rsidP="00FC50CB">
            <w:pPr>
              <w:pStyle w:val="BodyText"/>
              <w:rPr>
                <w:b/>
                <w:noProof/>
                <w:color w:val="FFFFFF" w:themeColor="background1"/>
                <w:sz w:val="20"/>
                <w:szCs w:val="20"/>
                <w:lang w:eastAsia="en-IE"/>
              </w:rPr>
            </w:pPr>
            <w:r w:rsidRPr="00C87F59">
              <w:rPr>
                <w:b/>
                <w:noProof/>
                <w:color w:val="FFFFFF" w:themeColor="background1"/>
                <w:sz w:val="20"/>
                <w:szCs w:val="20"/>
                <w:lang w:eastAsia="en-IE"/>
              </w:rPr>
              <w:t xml:space="preserve">Difference to </w:t>
            </w:r>
            <w:r w:rsidR="00422E0E" w:rsidRPr="00C87F59">
              <w:rPr>
                <w:b/>
                <w:noProof/>
                <w:color w:val="FFFFFF" w:themeColor="background1"/>
                <w:sz w:val="20"/>
                <w:szCs w:val="20"/>
                <w:lang w:eastAsia="en-IE"/>
              </w:rPr>
              <w:t>b</w:t>
            </w:r>
            <w:r w:rsidRPr="00C87F59">
              <w:rPr>
                <w:b/>
                <w:noProof/>
                <w:color w:val="FFFFFF" w:themeColor="background1"/>
                <w:sz w:val="20"/>
                <w:szCs w:val="20"/>
                <w:lang w:eastAsia="en-IE"/>
              </w:rPr>
              <w:t>aseline</w:t>
            </w:r>
          </w:p>
        </w:tc>
      </w:tr>
      <w:tr w:rsidR="00706225" w:rsidRPr="00155931" w14:paraId="1A3658EF" w14:textId="77777777" w:rsidTr="00397040">
        <w:trPr>
          <w:trHeight w:val="282"/>
          <w:tblHeader/>
        </w:trPr>
        <w:tc>
          <w:tcPr>
            <w:tcW w:w="4643" w:type="dxa"/>
            <w:vMerge/>
            <w:shd w:val="clear" w:color="000000" w:fill="0070C0"/>
            <w:noWrap/>
          </w:tcPr>
          <w:p w14:paraId="287FF38D" w14:textId="77777777" w:rsidR="00706225" w:rsidRPr="00C87F59" w:rsidRDefault="00706225" w:rsidP="00FC50CB">
            <w:pPr>
              <w:pStyle w:val="BodyText"/>
              <w:rPr>
                <w:b/>
                <w:noProof/>
                <w:sz w:val="20"/>
                <w:szCs w:val="20"/>
                <w:lang w:eastAsia="en-IE"/>
              </w:rPr>
            </w:pPr>
          </w:p>
        </w:tc>
        <w:tc>
          <w:tcPr>
            <w:tcW w:w="1240" w:type="dxa"/>
            <w:shd w:val="clear" w:color="000000" w:fill="0070C0"/>
            <w:hideMark/>
          </w:tcPr>
          <w:p w14:paraId="4FAF3B9E" w14:textId="77777777" w:rsidR="00706225" w:rsidRPr="00C87F59" w:rsidRDefault="00706225" w:rsidP="00C87F59">
            <w:pPr>
              <w:pStyle w:val="BodyText"/>
              <w:ind w:left="0"/>
              <w:jc w:val="center"/>
              <w:rPr>
                <w:b/>
                <w:noProof/>
                <w:color w:val="FFFFFF" w:themeColor="background1"/>
                <w:sz w:val="20"/>
                <w:szCs w:val="20"/>
                <w:lang w:eastAsia="en-IE"/>
              </w:rPr>
            </w:pPr>
            <w:r w:rsidRPr="00C87F59">
              <w:rPr>
                <w:b/>
                <w:noProof/>
                <w:color w:val="FFFFFF" w:themeColor="background1"/>
                <w:sz w:val="20"/>
                <w:szCs w:val="20"/>
                <w:lang w:eastAsia="en-IE"/>
              </w:rPr>
              <w:t>PO1</w:t>
            </w:r>
          </w:p>
        </w:tc>
        <w:tc>
          <w:tcPr>
            <w:tcW w:w="1240" w:type="dxa"/>
            <w:shd w:val="clear" w:color="000000" w:fill="0070C0"/>
            <w:hideMark/>
          </w:tcPr>
          <w:p w14:paraId="108F0A3F" w14:textId="77777777" w:rsidR="00706225" w:rsidRPr="00C87F59" w:rsidRDefault="00706225" w:rsidP="00C87F59">
            <w:pPr>
              <w:pStyle w:val="BodyText"/>
              <w:ind w:left="0"/>
              <w:jc w:val="center"/>
              <w:rPr>
                <w:b/>
                <w:noProof/>
                <w:color w:val="FFFFFF" w:themeColor="background1"/>
                <w:sz w:val="20"/>
                <w:szCs w:val="20"/>
                <w:lang w:eastAsia="en-IE"/>
              </w:rPr>
            </w:pPr>
            <w:r w:rsidRPr="00C87F59">
              <w:rPr>
                <w:b/>
                <w:noProof/>
                <w:color w:val="FFFFFF" w:themeColor="background1"/>
                <w:sz w:val="20"/>
                <w:szCs w:val="20"/>
                <w:lang w:eastAsia="en-IE"/>
              </w:rPr>
              <w:t>PO2</w:t>
            </w:r>
          </w:p>
        </w:tc>
        <w:tc>
          <w:tcPr>
            <w:tcW w:w="1240" w:type="dxa"/>
            <w:shd w:val="clear" w:color="000000" w:fill="0070C0"/>
            <w:hideMark/>
          </w:tcPr>
          <w:p w14:paraId="5A88D14D" w14:textId="77777777" w:rsidR="00706225" w:rsidRPr="00C87F59" w:rsidRDefault="00706225" w:rsidP="00C87F59">
            <w:pPr>
              <w:pStyle w:val="BodyText"/>
              <w:ind w:left="0"/>
              <w:jc w:val="center"/>
              <w:rPr>
                <w:b/>
                <w:noProof/>
                <w:color w:val="FFFFFF" w:themeColor="background1"/>
                <w:sz w:val="20"/>
                <w:szCs w:val="20"/>
                <w:lang w:eastAsia="en-IE"/>
              </w:rPr>
            </w:pPr>
            <w:r w:rsidRPr="00C87F59">
              <w:rPr>
                <w:b/>
                <w:noProof/>
                <w:color w:val="FFFFFF" w:themeColor="background1"/>
                <w:sz w:val="20"/>
                <w:szCs w:val="20"/>
                <w:lang w:eastAsia="en-IE"/>
              </w:rPr>
              <w:t>PO3</w:t>
            </w:r>
          </w:p>
        </w:tc>
        <w:tc>
          <w:tcPr>
            <w:tcW w:w="1240" w:type="dxa"/>
            <w:shd w:val="clear" w:color="000000" w:fill="0070C0"/>
            <w:hideMark/>
          </w:tcPr>
          <w:p w14:paraId="4DD25C93" w14:textId="77777777" w:rsidR="00706225" w:rsidRPr="00C87F59" w:rsidRDefault="00706225" w:rsidP="00C87F59">
            <w:pPr>
              <w:pStyle w:val="BodyText"/>
              <w:ind w:left="0"/>
              <w:jc w:val="center"/>
              <w:rPr>
                <w:b/>
                <w:noProof/>
                <w:color w:val="FFFFFF" w:themeColor="background1"/>
                <w:sz w:val="20"/>
                <w:szCs w:val="20"/>
                <w:lang w:eastAsia="en-IE"/>
              </w:rPr>
            </w:pPr>
            <w:r w:rsidRPr="00C87F59">
              <w:rPr>
                <w:b/>
                <w:noProof/>
                <w:color w:val="FFFFFF" w:themeColor="background1"/>
                <w:sz w:val="20"/>
                <w:szCs w:val="20"/>
                <w:lang w:eastAsia="en-IE"/>
              </w:rPr>
              <w:t>PO4</w:t>
            </w:r>
          </w:p>
        </w:tc>
      </w:tr>
      <w:tr w:rsidR="003F749B" w:rsidRPr="00155931" w14:paraId="63BE0B65" w14:textId="77777777" w:rsidTr="00397040">
        <w:trPr>
          <w:trHeight w:val="282"/>
        </w:trPr>
        <w:tc>
          <w:tcPr>
            <w:tcW w:w="4643" w:type="dxa"/>
            <w:shd w:val="clear" w:color="000000" w:fill="FFFFFF"/>
            <w:hideMark/>
          </w:tcPr>
          <w:p w14:paraId="31FE8106" w14:textId="77777777" w:rsidR="003F749B" w:rsidRPr="00C87F59" w:rsidRDefault="003F749B" w:rsidP="003F749B">
            <w:pPr>
              <w:pStyle w:val="BodyText"/>
              <w:ind w:left="0"/>
              <w:rPr>
                <w:noProof/>
                <w:color w:val="000000"/>
                <w:sz w:val="20"/>
                <w:szCs w:val="20"/>
                <w:lang w:eastAsia="en-IE"/>
              </w:rPr>
            </w:pPr>
            <w:r w:rsidRPr="00C87F59">
              <w:rPr>
                <w:noProof/>
                <w:color w:val="000000"/>
                <w:sz w:val="20"/>
                <w:szCs w:val="20"/>
                <w:lang w:eastAsia="en-IE"/>
              </w:rPr>
              <w:t>Total adjustment costs</w:t>
            </w:r>
          </w:p>
        </w:tc>
        <w:tc>
          <w:tcPr>
            <w:tcW w:w="1240" w:type="dxa"/>
            <w:shd w:val="clear" w:color="000000" w:fill="FFFFFF"/>
            <w:noWrap/>
            <w:hideMark/>
          </w:tcPr>
          <w:p w14:paraId="0BA87F80" w14:textId="33B5DE98" w:rsidR="003F749B" w:rsidRPr="00C87F59" w:rsidRDefault="003F749B" w:rsidP="003F749B">
            <w:pPr>
              <w:pStyle w:val="BodyText"/>
              <w:ind w:left="0"/>
              <w:jc w:val="right"/>
              <w:rPr>
                <w:noProof/>
                <w:color w:val="000000"/>
                <w:sz w:val="20"/>
                <w:szCs w:val="20"/>
                <w:lang w:eastAsia="en-IE"/>
              </w:rPr>
            </w:pPr>
            <w:r>
              <w:rPr>
                <w:noProof/>
                <w:color w:val="000000"/>
                <w:sz w:val="20"/>
                <w:szCs w:val="20"/>
              </w:rPr>
              <w:t xml:space="preserve">6.9 </w:t>
            </w:r>
          </w:p>
        </w:tc>
        <w:tc>
          <w:tcPr>
            <w:tcW w:w="1240" w:type="dxa"/>
            <w:shd w:val="clear" w:color="000000" w:fill="FFFFFF"/>
            <w:noWrap/>
            <w:hideMark/>
          </w:tcPr>
          <w:p w14:paraId="5A300D71" w14:textId="3E2B2391" w:rsidR="003F749B" w:rsidRPr="00C87F59" w:rsidRDefault="003F749B" w:rsidP="003F749B">
            <w:pPr>
              <w:pStyle w:val="BodyText"/>
              <w:ind w:left="0"/>
              <w:jc w:val="right"/>
              <w:rPr>
                <w:noProof/>
                <w:color w:val="000000"/>
                <w:sz w:val="20"/>
                <w:szCs w:val="20"/>
                <w:lang w:eastAsia="en-IE"/>
              </w:rPr>
            </w:pPr>
            <w:r>
              <w:rPr>
                <w:noProof/>
                <w:color w:val="000000"/>
                <w:sz w:val="20"/>
                <w:szCs w:val="20"/>
              </w:rPr>
              <w:t xml:space="preserve">9.5 </w:t>
            </w:r>
          </w:p>
        </w:tc>
        <w:tc>
          <w:tcPr>
            <w:tcW w:w="1240" w:type="dxa"/>
            <w:shd w:val="clear" w:color="000000" w:fill="FFFFFF"/>
            <w:noWrap/>
            <w:hideMark/>
          </w:tcPr>
          <w:p w14:paraId="00808DE2" w14:textId="5CF0C90C" w:rsidR="003F749B" w:rsidRPr="00C87F59" w:rsidRDefault="003F749B" w:rsidP="003F749B">
            <w:pPr>
              <w:pStyle w:val="BodyText"/>
              <w:ind w:left="0"/>
              <w:jc w:val="right"/>
              <w:rPr>
                <w:noProof/>
                <w:color w:val="000000"/>
                <w:sz w:val="20"/>
                <w:szCs w:val="20"/>
                <w:lang w:eastAsia="en-IE"/>
              </w:rPr>
            </w:pPr>
            <w:r>
              <w:rPr>
                <w:noProof/>
                <w:color w:val="000000"/>
                <w:sz w:val="20"/>
                <w:szCs w:val="20"/>
              </w:rPr>
              <w:t xml:space="preserve">9.1 </w:t>
            </w:r>
          </w:p>
        </w:tc>
        <w:tc>
          <w:tcPr>
            <w:tcW w:w="1240" w:type="dxa"/>
            <w:shd w:val="clear" w:color="000000" w:fill="FFFFFF"/>
            <w:noWrap/>
            <w:hideMark/>
          </w:tcPr>
          <w:p w14:paraId="5ECFC4CE" w14:textId="541E0B6D" w:rsidR="003F749B" w:rsidRPr="00C87F59" w:rsidRDefault="003F749B" w:rsidP="003F749B">
            <w:pPr>
              <w:pStyle w:val="BodyText"/>
              <w:ind w:left="0"/>
              <w:jc w:val="right"/>
              <w:rPr>
                <w:noProof/>
                <w:color w:val="000000"/>
                <w:sz w:val="20"/>
                <w:szCs w:val="20"/>
                <w:lang w:eastAsia="en-IE"/>
              </w:rPr>
            </w:pPr>
            <w:r>
              <w:rPr>
                <w:noProof/>
                <w:color w:val="000000"/>
                <w:sz w:val="20"/>
                <w:szCs w:val="20"/>
              </w:rPr>
              <w:t xml:space="preserve">9.3 </w:t>
            </w:r>
          </w:p>
        </w:tc>
      </w:tr>
      <w:tr w:rsidR="003F749B" w:rsidRPr="00155931" w14:paraId="5E2CDB0B" w14:textId="77777777" w:rsidTr="00397040">
        <w:trPr>
          <w:trHeight w:val="282"/>
        </w:trPr>
        <w:tc>
          <w:tcPr>
            <w:tcW w:w="4643" w:type="dxa"/>
            <w:shd w:val="clear" w:color="000000" w:fill="FFFFFF"/>
            <w:noWrap/>
            <w:hideMark/>
          </w:tcPr>
          <w:p w14:paraId="0CC810F7" w14:textId="167E25C9" w:rsidR="003F749B" w:rsidRPr="00C87F59" w:rsidRDefault="003F749B" w:rsidP="003F749B">
            <w:pPr>
              <w:pStyle w:val="BodyText"/>
              <w:ind w:left="0"/>
              <w:rPr>
                <w:noProof/>
                <w:color w:val="000000"/>
                <w:sz w:val="20"/>
                <w:szCs w:val="20"/>
                <w:lang w:eastAsia="en-IE"/>
              </w:rPr>
            </w:pPr>
            <w:r w:rsidRPr="00C87F59">
              <w:rPr>
                <w:rFonts w:eastAsia="Calibri"/>
                <w:noProof/>
                <w:sz w:val="20"/>
                <w:szCs w:val="20"/>
              </w:rPr>
              <w:t xml:space="preserve">One-off adjustment costs </w:t>
            </w:r>
          </w:p>
        </w:tc>
        <w:tc>
          <w:tcPr>
            <w:tcW w:w="1240" w:type="dxa"/>
            <w:shd w:val="clear" w:color="000000" w:fill="FFFFFF"/>
            <w:noWrap/>
            <w:hideMark/>
          </w:tcPr>
          <w:p w14:paraId="723F7D17" w14:textId="3A139D17" w:rsidR="003F749B" w:rsidRPr="00C87F59" w:rsidRDefault="003F749B" w:rsidP="003F749B">
            <w:pPr>
              <w:pStyle w:val="BodyText"/>
              <w:ind w:left="0"/>
              <w:jc w:val="right"/>
              <w:rPr>
                <w:noProof/>
                <w:color w:val="000000"/>
                <w:sz w:val="20"/>
                <w:szCs w:val="20"/>
                <w:lang w:eastAsia="en-IE"/>
              </w:rPr>
            </w:pPr>
            <w:r>
              <w:rPr>
                <w:noProof/>
                <w:color w:val="000000"/>
                <w:sz w:val="20"/>
                <w:szCs w:val="20"/>
              </w:rPr>
              <w:t xml:space="preserve">2.7 </w:t>
            </w:r>
          </w:p>
        </w:tc>
        <w:tc>
          <w:tcPr>
            <w:tcW w:w="1240" w:type="dxa"/>
            <w:shd w:val="clear" w:color="000000" w:fill="FFFFFF"/>
            <w:noWrap/>
            <w:hideMark/>
          </w:tcPr>
          <w:p w14:paraId="08AEBF63" w14:textId="127D5201" w:rsidR="003F749B" w:rsidRPr="00C87F59" w:rsidRDefault="003F749B" w:rsidP="003F749B">
            <w:pPr>
              <w:pStyle w:val="BodyText"/>
              <w:ind w:left="0"/>
              <w:jc w:val="right"/>
              <w:rPr>
                <w:noProof/>
                <w:color w:val="000000"/>
                <w:sz w:val="20"/>
                <w:szCs w:val="20"/>
                <w:lang w:eastAsia="en-IE"/>
              </w:rPr>
            </w:pPr>
            <w:r>
              <w:rPr>
                <w:noProof/>
                <w:color w:val="000000"/>
                <w:sz w:val="20"/>
                <w:szCs w:val="20"/>
              </w:rPr>
              <w:t xml:space="preserve">3.9 </w:t>
            </w:r>
          </w:p>
        </w:tc>
        <w:tc>
          <w:tcPr>
            <w:tcW w:w="1240" w:type="dxa"/>
            <w:shd w:val="clear" w:color="000000" w:fill="FFFFFF"/>
            <w:noWrap/>
            <w:hideMark/>
          </w:tcPr>
          <w:p w14:paraId="32F0FF53" w14:textId="0EBB23C1" w:rsidR="003F749B" w:rsidRPr="00C87F59" w:rsidRDefault="003F749B" w:rsidP="003F749B">
            <w:pPr>
              <w:pStyle w:val="BodyText"/>
              <w:ind w:left="0"/>
              <w:jc w:val="right"/>
              <w:rPr>
                <w:noProof/>
                <w:color w:val="000000"/>
                <w:sz w:val="20"/>
                <w:szCs w:val="20"/>
                <w:lang w:eastAsia="en-IE"/>
              </w:rPr>
            </w:pPr>
            <w:r>
              <w:rPr>
                <w:noProof/>
                <w:color w:val="000000"/>
                <w:sz w:val="20"/>
                <w:szCs w:val="20"/>
              </w:rPr>
              <w:t xml:space="preserve">3.7 </w:t>
            </w:r>
          </w:p>
        </w:tc>
        <w:tc>
          <w:tcPr>
            <w:tcW w:w="1240" w:type="dxa"/>
            <w:shd w:val="clear" w:color="000000" w:fill="FFFFFF"/>
            <w:hideMark/>
          </w:tcPr>
          <w:p w14:paraId="627FDC21" w14:textId="00481203" w:rsidR="003F749B" w:rsidRPr="00C87F59" w:rsidRDefault="003F749B" w:rsidP="003F749B">
            <w:pPr>
              <w:pStyle w:val="BodyText"/>
              <w:ind w:left="0"/>
              <w:jc w:val="right"/>
              <w:rPr>
                <w:noProof/>
                <w:color w:val="000000"/>
                <w:sz w:val="20"/>
                <w:szCs w:val="20"/>
                <w:lang w:eastAsia="en-IE"/>
              </w:rPr>
            </w:pPr>
            <w:r>
              <w:rPr>
                <w:noProof/>
                <w:color w:val="000000"/>
                <w:sz w:val="20"/>
                <w:szCs w:val="20"/>
              </w:rPr>
              <w:t xml:space="preserve">3.8 </w:t>
            </w:r>
          </w:p>
        </w:tc>
      </w:tr>
      <w:tr w:rsidR="003F749B" w:rsidRPr="00155931" w14:paraId="201654D3" w14:textId="77777777" w:rsidTr="00397040">
        <w:trPr>
          <w:trHeight w:val="282"/>
        </w:trPr>
        <w:tc>
          <w:tcPr>
            <w:tcW w:w="4643" w:type="dxa"/>
            <w:shd w:val="clear" w:color="000000" w:fill="FFFFFF"/>
            <w:noWrap/>
            <w:hideMark/>
          </w:tcPr>
          <w:p w14:paraId="79DC14E7" w14:textId="234562E0" w:rsidR="003F749B" w:rsidRPr="00C87F59" w:rsidRDefault="003F749B" w:rsidP="003F749B">
            <w:pPr>
              <w:pStyle w:val="BodyText"/>
              <w:ind w:left="0"/>
              <w:rPr>
                <w:noProof/>
                <w:color w:val="000000"/>
                <w:sz w:val="20"/>
                <w:szCs w:val="20"/>
                <w:lang w:eastAsia="en-IE"/>
              </w:rPr>
            </w:pPr>
            <w:r w:rsidRPr="00C87F59">
              <w:rPr>
                <w:rFonts w:eastAsia="Calibri"/>
                <w:noProof/>
                <w:sz w:val="20"/>
                <w:szCs w:val="20"/>
              </w:rPr>
              <w:t xml:space="preserve">Recurrent adjustment costs </w:t>
            </w:r>
          </w:p>
        </w:tc>
        <w:tc>
          <w:tcPr>
            <w:tcW w:w="1240" w:type="dxa"/>
            <w:shd w:val="clear" w:color="000000" w:fill="FFFFFF"/>
            <w:noWrap/>
            <w:hideMark/>
          </w:tcPr>
          <w:p w14:paraId="0B1ACEF1" w14:textId="3C56D467" w:rsidR="003F749B" w:rsidRPr="00C87F59" w:rsidRDefault="003F749B" w:rsidP="003F749B">
            <w:pPr>
              <w:pStyle w:val="BodyText"/>
              <w:ind w:left="0"/>
              <w:jc w:val="right"/>
              <w:rPr>
                <w:noProof/>
                <w:color w:val="000000"/>
                <w:sz w:val="20"/>
                <w:szCs w:val="20"/>
                <w:lang w:eastAsia="en-IE"/>
              </w:rPr>
            </w:pPr>
            <w:r>
              <w:rPr>
                <w:noProof/>
                <w:color w:val="000000"/>
                <w:sz w:val="20"/>
                <w:szCs w:val="20"/>
              </w:rPr>
              <w:t xml:space="preserve">4.2 </w:t>
            </w:r>
          </w:p>
        </w:tc>
        <w:tc>
          <w:tcPr>
            <w:tcW w:w="1240" w:type="dxa"/>
            <w:shd w:val="clear" w:color="000000" w:fill="FFFFFF"/>
            <w:noWrap/>
            <w:hideMark/>
          </w:tcPr>
          <w:p w14:paraId="1E81B21E" w14:textId="4FDD97E3" w:rsidR="003F749B" w:rsidRPr="00C87F59" w:rsidRDefault="003F749B" w:rsidP="003F749B">
            <w:pPr>
              <w:pStyle w:val="BodyText"/>
              <w:ind w:left="0"/>
              <w:jc w:val="right"/>
              <w:rPr>
                <w:noProof/>
                <w:color w:val="000000"/>
                <w:sz w:val="20"/>
                <w:szCs w:val="20"/>
                <w:lang w:eastAsia="en-IE"/>
              </w:rPr>
            </w:pPr>
            <w:r>
              <w:rPr>
                <w:noProof/>
                <w:color w:val="000000"/>
                <w:sz w:val="20"/>
                <w:szCs w:val="20"/>
              </w:rPr>
              <w:t xml:space="preserve">5.6 </w:t>
            </w:r>
          </w:p>
        </w:tc>
        <w:tc>
          <w:tcPr>
            <w:tcW w:w="1240" w:type="dxa"/>
            <w:shd w:val="clear" w:color="000000" w:fill="FFFFFF"/>
            <w:noWrap/>
            <w:hideMark/>
          </w:tcPr>
          <w:p w14:paraId="709AF612" w14:textId="67027193" w:rsidR="003F749B" w:rsidRPr="00C87F59" w:rsidRDefault="003F749B" w:rsidP="003F749B">
            <w:pPr>
              <w:pStyle w:val="BodyText"/>
              <w:ind w:left="0"/>
              <w:jc w:val="right"/>
              <w:rPr>
                <w:noProof/>
                <w:color w:val="000000"/>
                <w:sz w:val="20"/>
                <w:szCs w:val="20"/>
                <w:lang w:eastAsia="en-IE"/>
              </w:rPr>
            </w:pPr>
            <w:r>
              <w:rPr>
                <w:noProof/>
                <w:color w:val="000000"/>
                <w:sz w:val="20"/>
                <w:szCs w:val="20"/>
              </w:rPr>
              <w:t xml:space="preserve">5.4 </w:t>
            </w:r>
          </w:p>
        </w:tc>
        <w:tc>
          <w:tcPr>
            <w:tcW w:w="1240" w:type="dxa"/>
            <w:shd w:val="clear" w:color="000000" w:fill="FFFFFF"/>
            <w:hideMark/>
          </w:tcPr>
          <w:p w14:paraId="03DF1431" w14:textId="243D09A5" w:rsidR="003F749B" w:rsidRPr="00C87F59" w:rsidRDefault="003F749B" w:rsidP="003F749B">
            <w:pPr>
              <w:pStyle w:val="BodyText"/>
              <w:ind w:left="0"/>
              <w:jc w:val="right"/>
              <w:rPr>
                <w:noProof/>
                <w:color w:val="000000"/>
                <w:sz w:val="20"/>
                <w:szCs w:val="20"/>
                <w:lang w:eastAsia="en-IE"/>
              </w:rPr>
            </w:pPr>
            <w:r>
              <w:rPr>
                <w:noProof/>
                <w:color w:val="000000"/>
                <w:sz w:val="20"/>
                <w:szCs w:val="20"/>
              </w:rPr>
              <w:t xml:space="preserve">5.5 </w:t>
            </w:r>
          </w:p>
        </w:tc>
      </w:tr>
    </w:tbl>
    <w:p w14:paraId="3EF2A5D9" w14:textId="77777777" w:rsidR="00706225" w:rsidRPr="00D71008" w:rsidRDefault="00706225" w:rsidP="00706225">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6F3DC325" w14:textId="7CAD868F" w:rsidR="00706225" w:rsidRPr="00957031" w:rsidRDefault="00957031" w:rsidP="007B2D8E">
      <w:pPr>
        <w:pStyle w:val="ListParagraph"/>
        <w:keepNext/>
        <w:widowControl/>
        <w:numPr>
          <w:ilvl w:val="2"/>
          <w:numId w:val="10"/>
        </w:numPr>
        <w:autoSpaceDE/>
        <w:autoSpaceDN/>
        <w:spacing w:after="240"/>
        <w:jc w:val="both"/>
        <w:outlineLvl w:val="2"/>
        <w:rPr>
          <w:i/>
          <w:iCs/>
          <w:noProof/>
          <w:sz w:val="24"/>
          <w:szCs w:val="24"/>
        </w:rPr>
      </w:pPr>
      <w:bookmarkStart w:id="1121" w:name="_Toc222749065"/>
      <w:bookmarkStart w:id="1122" w:name="_Toc223980724"/>
      <w:r w:rsidRPr="00957031">
        <w:rPr>
          <w:i/>
          <w:iCs/>
          <w:noProof/>
          <w:sz w:val="24"/>
          <w:szCs w:val="24"/>
        </w:rPr>
        <w:t>PM4 – Obligation for all B2B MDMS platforms to treat subscribers fairly and clearly identify in their display banned airlines. Obligation for third countries B2B MDMS to ensure equal treatment of EU air carriers</w:t>
      </w:r>
      <w:bookmarkEnd w:id="1121"/>
      <w:bookmarkEnd w:id="1122"/>
    </w:p>
    <w:p w14:paraId="05A15028" w14:textId="77777777" w:rsidR="00692E9F" w:rsidRPr="000E2EC2" w:rsidRDefault="00692E9F" w:rsidP="00692E9F">
      <w:pPr>
        <w:pStyle w:val="Text4"/>
        <w:spacing w:before="0" w:after="240"/>
        <w:ind w:left="0"/>
        <w:rPr>
          <w:rFonts w:ascii="Times New Roman" w:eastAsia="Calibri" w:hAnsi="Times New Roman"/>
          <w:noProof/>
          <w:spacing w:val="-8"/>
          <w:sz w:val="24"/>
          <w:szCs w:val="24"/>
        </w:rPr>
      </w:pPr>
      <w:r w:rsidRPr="00692E9F">
        <w:rPr>
          <w:rFonts w:ascii="Times New Roman" w:eastAsia="Calibri" w:hAnsi="Times New Roman"/>
          <w:noProof/>
          <w:spacing w:val="-8"/>
          <w:sz w:val="24"/>
          <w:szCs w:val="24"/>
        </w:rPr>
        <w:t>In PM4, all B2B MDMS platforms will need to fairly treat subscribers and not impose unfair and unjustified conditions to travel agents in their commercial relationships with them. All B2B MDMS platforms shall comply with the obligations to bring air carriers subject to an operating ban to the attention of passengers. Third countries B2B MDMS will need to equally treat EU air carriers and third country air carriers. PM3 retains and extends to all B2B MDMS platforms the rule on fair treatment of subscribers provided for by the CRS Code of Conduct which is part of the baseline.</w:t>
      </w:r>
    </w:p>
    <w:p w14:paraId="188CC84E" w14:textId="77777777" w:rsidR="00692E9F" w:rsidRPr="000E2EC2" w:rsidRDefault="00692E9F" w:rsidP="00692E9F">
      <w:pPr>
        <w:pStyle w:val="Text4"/>
        <w:spacing w:before="0" w:after="240"/>
        <w:ind w:left="0"/>
        <w:rPr>
          <w:rFonts w:ascii="Times New Roman" w:eastAsia="Calibri" w:hAnsi="Times New Roman"/>
          <w:noProof/>
          <w:spacing w:val="-8"/>
          <w:sz w:val="24"/>
          <w:szCs w:val="24"/>
        </w:rPr>
      </w:pPr>
      <w:r w:rsidRPr="000E2EC2">
        <w:rPr>
          <w:rFonts w:ascii="Times New Roman" w:eastAsia="Calibri" w:hAnsi="Times New Roman"/>
          <w:noProof/>
          <w:spacing w:val="-8"/>
          <w:sz w:val="24"/>
          <w:szCs w:val="24"/>
        </w:rPr>
        <w:t xml:space="preserve">Extending the fair treatment rule to all B2B MDMS platforms involves removing unfair contractual clauses and practices but does not require major platform engineering changes. Extending the CRS Code of Conduct to all B2B MDMS platforms would result in negligible one-off adjustment costs and negligible recurrent IT expenditures. Stakeholders reported that no significant contractual revisions are needed, neither IT system changes nor additional administrative burden for public authorities. Ensuring equivalent treatment of EU airlines on third countries B2B MDMS is also expected to generate negligible costs for platforms outside the EU, if any. Any potential revenue loss arising from increased competition would result in market redistribution among MDMS platforms rather than a net cost for MDMS platforms group. On this basis, no costs are </w:t>
      </w:r>
      <w:r>
        <w:rPr>
          <w:rFonts w:ascii="Times New Roman" w:eastAsia="Calibri" w:hAnsi="Times New Roman"/>
          <w:noProof/>
          <w:spacing w:val="-8"/>
          <w:sz w:val="24"/>
          <w:szCs w:val="24"/>
        </w:rPr>
        <w:t>estimated</w:t>
      </w:r>
      <w:r w:rsidRPr="000E2EC2">
        <w:rPr>
          <w:rFonts w:ascii="Times New Roman" w:eastAsia="Calibri" w:hAnsi="Times New Roman"/>
          <w:noProof/>
          <w:spacing w:val="-8"/>
          <w:sz w:val="24"/>
          <w:szCs w:val="24"/>
        </w:rPr>
        <w:t xml:space="preserve"> by PM4.</w:t>
      </w:r>
    </w:p>
    <w:p w14:paraId="43785177" w14:textId="78B71835" w:rsidR="003943BF" w:rsidRPr="00957031" w:rsidRDefault="003943BF" w:rsidP="007B2D8E">
      <w:pPr>
        <w:pStyle w:val="ListParagraph"/>
        <w:keepNext/>
        <w:widowControl/>
        <w:numPr>
          <w:ilvl w:val="2"/>
          <w:numId w:val="10"/>
        </w:numPr>
        <w:autoSpaceDE/>
        <w:autoSpaceDN/>
        <w:spacing w:after="240"/>
        <w:jc w:val="both"/>
        <w:outlineLvl w:val="2"/>
        <w:rPr>
          <w:i/>
          <w:iCs/>
          <w:noProof/>
          <w:sz w:val="24"/>
          <w:szCs w:val="24"/>
        </w:rPr>
      </w:pPr>
      <w:bookmarkStart w:id="1123" w:name="_Toc222749066"/>
      <w:bookmarkStart w:id="1124" w:name="_Toc223980725"/>
      <w:r w:rsidRPr="00957031">
        <w:rPr>
          <w:i/>
          <w:iCs/>
          <w:noProof/>
          <w:sz w:val="24"/>
          <w:szCs w:val="24"/>
        </w:rPr>
        <w:t>PM</w:t>
      </w:r>
      <w:r w:rsidR="00D24F72">
        <w:rPr>
          <w:i/>
          <w:iCs/>
          <w:noProof/>
          <w:sz w:val="24"/>
          <w:szCs w:val="24"/>
        </w:rPr>
        <w:t>5</w:t>
      </w:r>
      <w:r w:rsidRPr="00957031">
        <w:rPr>
          <w:i/>
          <w:iCs/>
          <w:noProof/>
          <w:sz w:val="24"/>
          <w:szCs w:val="24"/>
        </w:rPr>
        <w:t xml:space="preserve"> – </w:t>
      </w:r>
      <w:r w:rsidR="00D24F72" w:rsidRPr="00D24F72">
        <w:rPr>
          <w:i/>
          <w:iCs/>
          <w:noProof/>
          <w:sz w:val="24"/>
          <w:szCs w:val="24"/>
        </w:rPr>
        <w:t>Remove provisions from CRS Code of Conduct on data protection which are no longer necessary due to GDPR</w:t>
      </w:r>
      <w:bookmarkEnd w:id="1123"/>
      <w:bookmarkEnd w:id="1124"/>
    </w:p>
    <w:p w14:paraId="4951CEB7" w14:textId="12FED8A3" w:rsidR="00097B13" w:rsidRDefault="00446603" w:rsidP="00097B13">
      <w:pPr>
        <w:pStyle w:val="Text4"/>
        <w:spacing w:before="0" w:after="240"/>
        <w:ind w:left="0"/>
        <w:rPr>
          <w:rFonts w:ascii="Times New Roman" w:eastAsia="Calibri" w:hAnsi="Times New Roman"/>
          <w:noProof/>
          <w:spacing w:val="-8"/>
          <w:sz w:val="24"/>
          <w:szCs w:val="24"/>
        </w:rPr>
      </w:pPr>
      <w:r>
        <w:rPr>
          <w:rFonts w:ascii="Times New Roman" w:eastAsia="Calibri" w:hAnsi="Times New Roman"/>
          <w:noProof/>
          <w:spacing w:val="-8"/>
          <w:sz w:val="24"/>
          <w:szCs w:val="24"/>
        </w:rPr>
        <w:t xml:space="preserve">In PM5, </w:t>
      </w:r>
      <w:r w:rsidR="00267848">
        <w:rPr>
          <w:rFonts w:ascii="Times New Roman" w:eastAsia="Calibri" w:hAnsi="Times New Roman"/>
          <w:noProof/>
          <w:spacing w:val="-8"/>
          <w:sz w:val="24"/>
          <w:szCs w:val="24"/>
        </w:rPr>
        <w:t>t</w:t>
      </w:r>
      <w:r w:rsidRPr="00446603">
        <w:rPr>
          <w:rFonts w:ascii="Times New Roman" w:eastAsia="Calibri" w:hAnsi="Times New Roman"/>
          <w:noProof/>
          <w:spacing w:val="-8"/>
          <w:sz w:val="24"/>
          <w:szCs w:val="24"/>
        </w:rPr>
        <w:t xml:space="preserve">he provisions </w:t>
      </w:r>
      <w:r w:rsidR="00267848" w:rsidRPr="00267848">
        <w:rPr>
          <w:rFonts w:ascii="Times New Roman" w:eastAsia="Calibri" w:hAnsi="Times New Roman"/>
          <w:noProof/>
          <w:spacing w:val="-8"/>
          <w:sz w:val="24"/>
          <w:szCs w:val="24"/>
        </w:rPr>
        <w:t xml:space="preserve">from </w:t>
      </w:r>
      <w:r w:rsidR="00C7668D">
        <w:rPr>
          <w:rFonts w:ascii="Times New Roman" w:eastAsia="Calibri" w:hAnsi="Times New Roman"/>
          <w:noProof/>
          <w:spacing w:val="-8"/>
          <w:sz w:val="24"/>
          <w:szCs w:val="24"/>
        </w:rPr>
        <w:t xml:space="preserve">the </w:t>
      </w:r>
      <w:r w:rsidR="00267848" w:rsidRPr="00267848">
        <w:rPr>
          <w:rFonts w:ascii="Times New Roman" w:eastAsia="Calibri" w:hAnsi="Times New Roman"/>
          <w:noProof/>
          <w:spacing w:val="-8"/>
          <w:sz w:val="24"/>
          <w:szCs w:val="24"/>
        </w:rPr>
        <w:t xml:space="preserve">CRS Code of Conduct on data protection </w:t>
      </w:r>
      <w:r w:rsidRPr="00446603">
        <w:rPr>
          <w:rFonts w:ascii="Times New Roman" w:eastAsia="Calibri" w:hAnsi="Times New Roman"/>
          <w:noProof/>
          <w:spacing w:val="-8"/>
          <w:sz w:val="24"/>
          <w:szCs w:val="24"/>
        </w:rPr>
        <w:t>will be repealed as they are not relevant and fit for purpose anymore, given market, regulatory and technological changes. Notably, the entry into force of GDPR already provides the necessary framework to ensure data protection on ticketing platforms.</w:t>
      </w:r>
    </w:p>
    <w:p w14:paraId="47C085D8" w14:textId="7B5A6624" w:rsidR="0043153D" w:rsidRDefault="0043153D" w:rsidP="00097B13">
      <w:pPr>
        <w:pStyle w:val="Text4"/>
        <w:spacing w:before="0" w:after="240"/>
        <w:ind w:left="0"/>
        <w:rPr>
          <w:rFonts w:ascii="Times New Roman" w:eastAsia="Calibri" w:hAnsi="Times New Roman"/>
          <w:noProof/>
          <w:spacing w:val="-8"/>
          <w:sz w:val="24"/>
          <w:szCs w:val="24"/>
        </w:rPr>
      </w:pPr>
      <w:r>
        <w:rPr>
          <w:rFonts w:ascii="Times New Roman" w:eastAsia="Calibri" w:hAnsi="Times New Roman"/>
          <w:noProof/>
          <w:spacing w:val="-8"/>
          <w:sz w:val="24"/>
          <w:szCs w:val="24"/>
        </w:rPr>
        <w:t>No costs or costs savings are expected due to PM5</w:t>
      </w:r>
      <w:r w:rsidR="00E74AC8">
        <w:rPr>
          <w:rFonts w:ascii="Times New Roman" w:eastAsia="Calibri" w:hAnsi="Times New Roman"/>
          <w:noProof/>
          <w:spacing w:val="-8"/>
          <w:sz w:val="24"/>
          <w:szCs w:val="24"/>
        </w:rPr>
        <w:t xml:space="preserve"> as</w:t>
      </w:r>
      <w:r>
        <w:rPr>
          <w:rFonts w:ascii="Times New Roman" w:eastAsia="Calibri" w:hAnsi="Times New Roman"/>
          <w:noProof/>
          <w:spacing w:val="-8"/>
          <w:sz w:val="24"/>
          <w:szCs w:val="24"/>
        </w:rPr>
        <w:t xml:space="preserve"> </w:t>
      </w:r>
      <w:r w:rsidR="00C80ED1">
        <w:rPr>
          <w:rFonts w:ascii="Times New Roman" w:eastAsia="Calibri" w:hAnsi="Times New Roman"/>
          <w:noProof/>
          <w:spacing w:val="-8"/>
          <w:sz w:val="24"/>
          <w:szCs w:val="24"/>
        </w:rPr>
        <w:t xml:space="preserve">MDMS platforms and operators will continue to </w:t>
      </w:r>
      <w:r w:rsidR="00D94DF4">
        <w:rPr>
          <w:rFonts w:ascii="Times New Roman" w:eastAsia="Calibri" w:hAnsi="Times New Roman"/>
          <w:noProof/>
          <w:spacing w:val="-8"/>
          <w:sz w:val="24"/>
          <w:szCs w:val="24"/>
        </w:rPr>
        <w:t xml:space="preserve">apply the GDPR rules. </w:t>
      </w:r>
    </w:p>
    <w:p w14:paraId="7F2992F9" w14:textId="07D08460" w:rsidR="00F043AF" w:rsidRPr="00067776" w:rsidRDefault="00F043AF" w:rsidP="007B2D8E">
      <w:pPr>
        <w:pStyle w:val="ListParagraph"/>
        <w:keepNext/>
        <w:widowControl/>
        <w:numPr>
          <w:ilvl w:val="2"/>
          <w:numId w:val="10"/>
        </w:numPr>
        <w:autoSpaceDE/>
        <w:autoSpaceDN/>
        <w:spacing w:after="240"/>
        <w:jc w:val="both"/>
        <w:outlineLvl w:val="2"/>
        <w:rPr>
          <w:i/>
          <w:iCs/>
          <w:noProof/>
          <w:sz w:val="24"/>
          <w:szCs w:val="24"/>
        </w:rPr>
      </w:pPr>
      <w:bookmarkStart w:id="1125" w:name="_Toc222749067"/>
      <w:bookmarkStart w:id="1126" w:name="_Toc223980726"/>
      <w:r w:rsidRPr="00067776">
        <w:rPr>
          <w:i/>
          <w:iCs/>
          <w:noProof/>
          <w:sz w:val="24"/>
          <w:szCs w:val="24"/>
        </w:rPr>
        <w:t>PM6 – Obligation for Member States to appoint a national authority to settle disputes between parties, and establish an EU enforcement network for coordination</w:t>
      </w:r>
      <w:bookmarkEnd w:id="1125"/>
      <w:bookmarkEnd w:id="1126"/>
    </w:p>
    <w:p w14:paraId="147EA567" w14:textId="17F81CAB" w:rsidR="00B0744D" w:rsidRPr="00B0744D" w:rsidRDefault="00B0744D" w:rsidP="00B0744D">
      <w:pPr>
        <w:pStyle w:val="Text4"/>
        <w:spacing w:before="0" w:after="240"/>
        <w:ind w:left="0"/>
        <w:rPr>
          <w:rFonts w:ascii="Times New Roman" w:eastAsia="Calibri" w:hAnsi="Times New Roman"/>
          <w:noProof/>
          <w:spacing w:val="-8"/>
          <w:sz w:val="24"/>
          <w:szCs w:val="24"/>
        </w:rPr>
      </w:pPr>
      <w:r w:rsidRPr="00B0744D">
        <w:rPr>
          <w:rFonts w:ascii="Times New Roman" w:eastAsia="Calibri" w:hAnsi="Times New Roman"/>
          <w:noProof/>
          <w:spacing w:val="-8"/>
          <w:sz w:val="24"/>
          <w:szCs w:val="24"/>
        </w:rPr>
        <w:t xml:space="preserve">According to PM6, each Member State shall appoint one national enforcement body (NEB), responsible for disputes related to neutral display or rules on contractual agreements. Member States already have competent authorities responsible for resolving disputes in relevant areas, such as competition authorities, transport regulatory authorities, and rail regulators. In addition, the EU Data Act requires Member States to ensure that a competent authority or appropriate mechanism is in place to address disputes and oversee compliance with FRAND (Fair, Reasonable, and Non-Discriminatory) conditions, particularly in relation to data access and </w:t>
      </w:r>
      <w:r w:rsidRPr="00D64E4B">
        <w:rPr>
          <w:rFonts w:ascii="Times New Roman" w:eastAsia="Calibri" w:hAnsi="Times New Roman"/>
          <w:noProof/>
          <w:spacing w:val="-8"/>
          <w:sz w:val="24"/>
          <w:szCs w:val="24"/>
        </w:rPr>
        <w:t>sharing. It is therefore assumed that Member States will not need to establish new bodies. At most, existing</w:t>
      </w:r>
      <w:r w:rsidRPr="00B0744D">
        <w:rPr>
          <w:rFonts w:ascii="Times New Roman" w:eastAsia="Calibri" w:hAnsi="Times New Roman"/>
          <w:noProof/>
          <w:spacing w:val="-8"/>
          <w:sz w:val="24"/>
          <w:szCs w:val="24"/>
        </w:rPr>
        <w:t xml:space="preserve"> authorities may need to expand their operational capacity. This could involve recruiting additional staff, legal and competition specialists to handle potential increases in disputes and ensure regulatory compliance. The enforcement and monitoring of compliance with the new rules will also be handled by NEBs. The Commission will establish an enforcement network to ensure consistent enforcement in the EU</w:t>
      </w:r>
      <w:r w:rsidR="00F82E47">
        <w:rPr>
          <w:rFonts w:ascii="Times New Roman" w:eastAsia="Calibri" w:hAnsi="Times New Roman"/>
          <w:noProof/>
          <w:spacing w:val="-8"/>
          <w:sz w:val="24"/>
          <w:szCs w:val="24"/>
        </w:rPr>
        <w:t xml:space="preserve"> </w:t>
      </w:r>
      <w:r w:rsidR="00F82E47" w:rsidRPr="00F82E47">
        <w:rPr>
          <w:rFonts w:ascii="Times New Roman" w:eastAsia="Calibri" w:hAnsi="Times New Roman"/>
          <w:noProof/>
          <w:spacing w:val="-8"/>
          <w:sz w:val="24"/>
          <w:szCs w:val="24"/>
        </w:rPr>
        <w:t>and monitor the market</w:t>
      </w:r>
      <w:r w:rsidRPr="00B0744D">
        <w:rPr>
          <w:rFonts w:ascii="Times New Roman" w:eastAsia="Calibri" w:hAnsi="Times New Roman"/>
          <w:noProof/>
          <w:spacing w:val="-8"/>
          <w:sz w:val="24"/>
          <w:szCs w:val="24"/>
        </w:rPr>
        <w:t>.</w:t>
      </w:r>
    </w:p>
    <w:p w14:paraId="11E1681F" w14:textId="77777777" w:rsidR="00FE64CF" w:rsidRDefault="00FE64CF" w:rsidP="00FE64CF">
      <w:pPr>
        <w:pStyle w:val="Text4"/>
        <w:spacing w:before="0"/>
        <w:ind w:left="0"/>
        <w:rPr>
          <w:rFonts w:ascii="Times New Roman" w:eastAsia="Calibri" w:hAnsi="Times New Roman"/>
          <w:noProof/>
          <w:spacing w:val="-8"/>
          <w:sz w:val="24"/>
          <w:szCs w:val="24"/>
        </w:rPr>
      </w:pPr>
      <w:r w:rsidRPr="0003158F">
        <w:rPr>
          <w:rFonts w:ascii="Times New Roman" w:eastAsia="Calibri" w:hAnsi="Times New Roman"/>
          <w:noProof/>
          <w:spacing w:val="-8"/>
          <w:sz w:val="24"/>
          <w:szCs w:val="24"/>
        </w:rPr>
        <w:t>The measure is expected to result in:</w:t>
      </w:r>
    </w:p>
    <w:p w14:paraId="3AE023C8" w14:textId="76A4424F" w:rsidR="004928EF" w:rsidRDefault="00AF09C1" w:rsidP="001979E4">
      <w:pPr>
        <w:pStyle w:val="Nornal"/>
        <w:numPr>
          <w:ilvl w:val="0"/>
          <w:numId w:val="20"/>
        </w:numPr>
        <w:tabs>
          <w:tab w:val="left" w:pos="284"/>
        </w:tabs>
        <w:spacing w:after="120" w:line="240" w:lineRule="auto"/>
        <w:ind w:left="284" w:hanging="284"/>
        <w:rPr>
          <w:rFonts w:cs="Arial"/>
          <w:noProof/>
          <w:spacing w:val="-8"/>
          <w:sz w:val="24"/>
          <w:szCs w:val="24"/>
        </w:rPr>
      </w:pPr>
      <w:r>
        <w:rPr>
          <w:rFonts w:cs="Arial"/>
          <w:noProof/>
          <w:spacing w:val="-8"/>
          <w:sz w:val="24"/>
          <w:szCs w:val="24"/>
        </w:rPr>
        <w:t>Recurrent administrative</w:t>
      </w:r>
      <w:r w:rsidR="00FE64CF" w:rsidRPr="00CC66CD">
        <w:rPr>
          <w:rFonts w:cs="Arial"/>
          <w:noProof/>
          <w:spacing w:val="-8"/>
          <w:sz w:val="24"/>
          <w:szCs w:val="24"/>
        </w:rPr>
        <w:t xml:space="preserve"> costs for</w:t>
      </w:r>
      <w:r w:rsidR="00FE64CF">
        <w:rPr>
          <w:rFonts w:cs="Arial"/>
          <w:noProof/>
          <w:spacing w:val="-8"/>
          <w:sz w:val="24"/>
          <w:szCs w:val="24"/>
        </w:rPr>
        <w:t xml:space="preserve"> </w:t>
      </w:r>
      <w:r>
        <w:rPr>
          <w:rFonts w:cs="Arial"/>
          <w:noProof/>
          <w:spacing w:val="-8"/>
          <w:sz w:val="24"/>
          <w:szCs w:val="24"/>
        </w:rPr>
        <w:t xml:space="preserve">national authorities </w:t>
      </w:r>
      <w:r w:rsidR="004928EF" w:rsidRPr="004928EF">
        <w:rPr>
          <w:rFonts w:cs="Arial"/>
          <w:noProof/>
          <w:spacing w:val="-8"/>
          <w:sz w:val="24"/>
          <w:szCs w:val="24"/>
        </w:rPr>
        <w:t>to settle disputes</w:t>
      </w:r>
      <w:r w:rsidR="00E77BC5">
        <w:rPr>
          <w:rFonts w:cs="Arial"/>
          <w:noProof/>
          <w:spacing w:val="-8"/>
          <w:sz w:val="24"/>
          <w:szCs w:val="24"/>
        </w:rPr>
        <w:t>;</w:t>
      </w:r>
    </w:p>
    <w:p w14:paraId="036310B7" w14:textId="4A01BE64" w:rsidR="00E77BC5" w:rsidRPr="00580AC5" w:rsidRDefault="00E77BC5" w:rsidP="001979E4">
      <w:pPr>
        <w:pStyle w:val="Text4"/>
        <w:numPr>
          <w:ilvl w:val="0"/>
          <w:numId w:val="20"/>
        </w:numPr>
        <w:tabs>
          <w:tab w:val="left" w:pos="284"/>
        </w:tabs>
        <w:spacing w:before="0"/>
        <w:ind w:left="284" w:hanging="284"/>
        <w:rPr>
          <w:rFonts w:ascii="Times New Roman" w:eastAsia="Calibri" w:hAnsi="Times New Roman"/>
          <w:noProof/>
          <w:spacing w:val="-8"/>
          <w:sz w:val="24"/>
          <w:szCs w:val="24"/>
        </w:rPr>
      </w:pPr>
      <w:r w:rsidRPr="00580AC5">
        <w:rPr>
          <w:rFonts w:ascii="Times New Roman" w:eastAsia="Calibri" w:hAnsi="Times New Roman"/>
          <w:noProof/>
          <w:spacing w:val="-8"/>
          <w:sz w:val="24"/>
          <w:szCs w:val="24"/>
        </w:rPr>
        <w:t>Recurrent enforcement costs for national authorities to monitor the correct implementation of new rules and monitor the market for entities with SMP</w:t>
      </w:r>
      <w:r>
        <w:rPr>
          <w:rFonts w:ascii="Times New Roman" w:eastAsia="Calibri" w:hAnsi="Times New Roman"/>
          <w:noProof/>
          <w:spacing w:val="-8"/>
          <w:sz w:val="24"/>
          <w:szCs w:val="24"/>
        </w:rPr>
        <w:t>;</w:t>
      </w:r>
    </w:p>
    <w:p w14:paraId="0A84EE3D" w14:textId="7E96B2E7" w:rsidR="00E77BC5" w:rsidRPr="00580AC5" w:rsidRDefault="00E77BC5" w:rsidP="001979E4">
      <w:pPr>
        <w:pStyle w:val="Text4"/>
        <w:numPr>
          <w:ilvl w:val="0"/>
          <w:numId w:val="20"/>
        </w:numPr>
        <w:tabs>
          <w:tab w:val="left" w:pos="284"/>
        </w:tabs>
        <w:spacing w:before="0" w:after="240"/>
        <w:ind w:left="284" w:hanging="284"/>
        <w:rPr>
          <w:rFonts w:ascii="Times New Roman" w:eastAsia="Calibri" w:hAnsi="Times New Roman"/>
          <w:bCs/>
          <w:noProof/>
          <w:spacing w:val="-8"/>
          <w:sz w:val="24"/>
          <w:szCs w:val="24"/>
        </w:rPr>
      </w:pPr>
      <w:r w:rsidRPr="00580AC5">
        <w:rPr>
          <w:rFonts w:ascii="Times New Roman" w:eastAsia="Calibri" w:hAnsi="Times New Roman"/>
          <w:bCs/>
          <w:noProof/>
          <w:spacing w:val="-8"/>
          <w:sz w:val="24"/>
          <w:szCs w:val="24"/>
        </w:rPr>
        <w:t>Recurrent adjustment costs for the European Commissions for organising meetings of the EU-wide enforcement network, to exchange best practices</w:t>
      </w:r>
      <w:r w:rsidR="00D02CF6">
        <w:rPr>
          <w:rFonts w:ascii="Times New Roman" w:eastAsia="Calibri" w:hAnsi="Times New Roman"/>
          <w:bCs/>
          <w:noProof/>
          <w:spacing w:val="-8"/>
          <w:sz w:val="24"/>
          <w:szCs w:val="24"/>
        </w:rPr>
        <w:t>, and for monitoring the market</w:t>
      </w:r>
      <w:r w:rsidRPr="00580AC5">
        <w:rPr>
          <w:rFonts w:ascii="Times New Roman" w:eastAsia="Calibri" w:hAnsi="Times New Roman"/>
          <w:bCs/>
          <w:noProof/>
          <w:spacing w:val="-8"/>
          <w:sz w:val="24"/>
          <w:szCs w:val="24"/>
        </w:rPr>
        <w:t>.</w:t>
      </w:r>
    </w:p>
    <w:p w14:paraId="20385E25" w14:textId="5414B1E4" w:rsidR="00B0744D" w:rsidRPr="001E147D" w:rsidRDefault="004928EF" w:rsidP="009D6993">
      <w:pPr>
        <w:pStyle w:val="Text1"/>
        <w:ind w:left="0"/>
        <w:rPr>
          <w:i/>
          <w:iCs/>
          <w:noProof/>
          <w:szCs w:val="24"/>
          <w:highlight w:val="yellow"/>
        </w:rPr>
      </w:pPr>
      <w:r w:rsidRPr="001E147D">
        <w:rPr>
          <w:rFonts w:cs="Arial"/>
          <w:i/>
          <w:iCs/>
          <w:noProof/>
          <w:spacing w:val="-8"/>
          <w:szCs w:val="24"/>
        </w:rPr>
        <w:t>Recurrent administrative costs for national authorities to settle disputes</w:t>
      </w:r>
    </w:p>
    <w:p w14:paraId="5696AC22" w14:textId="36299C0C" w:rsidR="004928EF" w:rsidRPr="00CC66CD" w:rsidRDefault="004928EF" w:rsidP="001B7EC4">
      <w:pPr>
        <w:pStyle w:val="Nornal"/>
        <w:spacing w:after="120" w:line="240" w:lineRule="auto"/>
        <w:rPr>
          <w:rFonts w:cs="Arial"/>
          <w:noProof/>
          <w:spacing w:val="-8"/>
          <w:sz w:val="24"/>
          <w:szCs w:val="24"/>
        </w:rPr>
      </w:pPr>
      <w:r w:rsidRPr="004928EF">
        <w:rPr>
          <w:rFonts w:cs="Arial"/>
          <w:noProof/>
          <w:spacing w:val="-8"/>
          <w:sz w:val="24"/>
          <w:szCs w:val="24"/>
        </w:rPr>
        <w:t>Member States already have competent authorities responsible for resolving disputes in relevant areas, such as competition authorities, transport regulatory authorities, and rail regulators. In addition, the EU Data Act requires Member States to ensure that a competent authority or appropriate mechanism is in place to address disputes and oversee compliance with FRAND (Fair, Reasonable, and Non-Discriminatory) conditions, particularly in relation to data access and sharing.</w:t>
      </w:r>
      <w:r w:rsidR="001B7EC4">
        <w:rPr>
          <w:rFonts w:cs="Arial"/>
          <w:noProof/>
          <w:spacing w:val="-8"/>
          <w:sz w:val="24"/>
          <w:szCs w:val="24"/>
        </w:rPr>
        <w:t xml:space="preserve"> </w:t>
      </w:r>
      <w:r w:rsidR="001B7EC4" w:rsidRPr="001B7EC4">
        <w:rPr>
          <w:rFonts w:cs="Arial"/>
          <w:noProof/>
          <w:spacing w:val="-8"/>
          <w:sz w:val="24"/>
          <w:szCs w:val="24"/>
        </w:rPr>
        <w:t>It is therefore assumed that Member States will not need to establish new bodies. At most, existing authorities may need to expand their operational capacity. This could involve recruiting additional staff, legal and competition specialists to handle potential increases in disputes</w:t>
      </w:r>
      <w:r w:rsidR="00EA1EBF">
        <w:rPr>
          <w:rFonts w:cs="Arial"/>
          <w:noProof/>
          <w:spacing w:val="-8"/>
          <w:sz w:val="24"/>
          <w:szCs w:val="24"/>
        </w:rPr>
        <w:t xml:space="preserve"> and report on disputes and coordinate in the context of the EU enforcement network.</w:t>
      </w:r>
      <w:r w:rsidR="00312C23">
        <w:rPr>
          <w:rFonts w:cs="Arial"/>
          <w:noProof/>
          <w:spacing w:val="-8"/>
          <w:sz w:val="24"/>
          <w:szCs w:val="24"/>
        </w:rPr>
        <w:t xml:space="preserve"> </w:t>
      </w:r>
    </w:p>
    <w:p w14:paraId="494FF3D1" w14:textId="71E0ADD8" w:rsidR="00C26395" w:rsidRPr="00AC6609" w:rsidRDefault="00C26395" w:rsidP="00C26395">
      <w:pPr>
        <w:pStyle w:val="Text4"/>
        <w:spacing w:before="0" w:after="240"/>
        <w:ind w:left="0"/>
        <w:rPr>
          <w:rFonts w:ascii="Times New Roman" w:eastAsia="Calibri" w:hAnsi="Times New Roman"/>
          <w:noProof/>
          <w:spacing w:val="-8"/>
          <w:sz w:val="24"/>
          <w:szCs w:val="24"/>
        </w:rPr>
      </w:pPr>
      <w:r w:rsidRPr="00AC6609">
        <w:rPr>
          <w:rFonts w:ascii="Times New Roman" w:eastAsia="Calibri" w:hAnsi="Times New Roman"/>
          <w:noProof/>
          <w:spacing w:val="-8"/>
          <w:sz w:val="24"/>
          <w:szCs w:val="24"/>
        </w:rPr>
        <w:t>According to PM6, this will be carried out by 27 national authorities. One FTE</w:t>
      </w:r>
      <w:r w:rsidRPr="00AC6609" w:rsidDel="00B426E3">
        <w:rPr>
          <w:rFonts w:ascii="Times New Roman" w:eastAsia="Calibri" w:hAnsi="Times New Roman"/>
          <w:noProof/>
          <w:spacing w:val="-8"/>
          <w:sz w:val="24"/>
          <w:szCs w:val="24"/>
        </w:rPr>
        <w:t xml:space="preserve"> </w:t>
      </w:r>
      <w:r w:rsidRPr="00AC6609">
        <w:rPr>
          <w:rFonts w:ascii="Times New Roman" w:eastAsia="Calibri" w:hAnsi="Times New Roman"/>
          <w:noProof/>
          <w:spacing w:val="-8"/>
          <w:sz w:val="24"/>
          <w:szCs w:val="24"/>
        </w:rPr>
        <w:t>is assumed to be needed per</w:t>
      </w:r>
      <w:r w:rsidRPr="00AC6609" w:rsidDel="00B426E3">
        <w:rPr>
          <w:rFonts w:ascii="Times New Roman" w:eastAsia="Calibri" w:hAnsi="Times New Roman"/>
          <w:noProof/>
          <w:spacing w:val="-8"/>
          <w:sz w:val="24"/>
          <w:szCs w:val="24"/>
        </w:rPr>
        <w:t xml:space="preserve"> </w:t>
      </w:r>
      <w:r w:rsidRPr="00AC6609">
        <w:rPr>
          <w:rFonts w:ascii="Times New Roman" w:eastAsia="Calibri" w:hAnsi="Times New Roman"/>
          <w:noProof/>
          <w:spacing w:val="-8"/>
          <w:sz w:val="24"/>
          <w:szCs w:val="24"/>
        </w:rPr>
        <w:t>national authority. Considering the hourly rates presented in section 3.2 of Annex 4, the recurrent administrative costs per national authority is estimated at EUR 56,527. At EU level, this corresponds to total recurrent administrative costs of EUR 1.5</w:t>
      </w:r>
      <w:r w:rsidR="00C07B00">
        <w:rPr>
          <w:rFonts w:ascii="Times New Roman" w:eastAsia="Calibri" w:hAnsi="Times New Roman"/>
          <w:noProof/>
          <w:spacing w:val="-8"/>
          <w:sz w:val="24"/>
          <w:szCs w:val="24"/>
        </w:rPr>
        <w:t>3</w:t>
      </w:r>
      <w:r w:rsidRPr="00AC6609">
        <w:rPr>
          <w:rFonts w:ascii="Times New Roman" w:eastAsia="Calibri" w:hAnsi="Times New Roman"/>
          <w:noProof/>
          <w:spacing w:val="-8"/>
          <w:sz w:val="24"/>
          <w:szCs w:val="24"/>
        </w:rPr>
        <w:t xml:space="preserve"> million per year from 2028 onwards. Expressed as present value over 2028-2050, relative to the baseline, they are estimated at EUR 25.8 million. </w:t>
      </w:r>
    </w:p>
    <w:p w14:paraId="562E51F2" w14:textId="3B0623E7" w:rsidR="00D25AC9" w:rsidRPr="00DB078C" w:rsidRDefault="00D25AC9" w:rsidP="00C83D80">
      <w:pPr>
        <w:keepNext/>
        <w:tabs>
          <w:tab w:val="left" w:pos="1134"/>
        </w:tabs>
        <w:jc w:val="both"/>
        <w:rPr>
          <w:i/>
          <w:noProof/>
          <w:sz w:val="22"/>
          <w:szCs w:val="22"/>
        </w:rPr>
      </w:pPr>
      <w:r w:rsidRPr="00DB078C">
        <w:rPr>
          <w:i/>
          <w:noProof/>
          <w:sz w:val="22"/>
          <w:szCs w:val="22"/>
        </w:rPr>
        <w:t xml:space="preserve">Table </w:t>
      </w:r>
      <w:r w:rsidRPr="00DB078C">
        <w:rPr>
          <w:i/>
          <w:noProof/>
          <w:sz w:val="22"/>
          <w:szCs w:val="22"/>
        </w:rPr>
        <w:fldChar w:fldCharType="begin"/>
      </w:r>
      <w:r w:rsidRPr="00DB078C">
        <w:rPr>
          <w:i/>
          <w:noProof/>
          <w:sz w:val="22"/>
          <w:szCs w:val="22"/>
        </w:rPr>
        <w:instrText xml:space="preserve"> SEQ Table \* ARABIC </w:instrText>
      </w:r>
      <w:r w:rsidRPr="00DB078C">
        <w:rPr>
          <w:i/>
          <w:noProof/>
          <w:sz w:val="22"/>
          <w:szCs w:val="22"/>
        </w:rPr>
        <w:fldChar w:fldCharType="separate"/>
      </w:r>
      <w:r w:rsidR="0055391F">
        <w:rPr>
          <w:i/>
          <w:noProof/>
          <w:sz w:val="22"/>
          <w:szCs w:val="22"/>
        </w:rPr>
        <w:t>85</w:t>
      </w:r>
      <w:r w:rsidRPr="00DB078C">
        <w:rPr>
          <w:i/>
          <w:noProof/>
          <w:sz w:val="22"/>
          <w:szCs w:val="22"/>
        </w:rPr>
        <w:fldChar w:fldCharType="end"/>
      </w:r>
      <w:r w:rsidRPr="00DB078C">
        <w:rPr>
          <w:i/>
          <w:noProof/>
          <w:sz w:val="22"/>
          <w:szCs w:val="22"/>
        </w:rPr>
        <w:t>: Recurrent administrative costs for national authorities due to PM6 in all policy options in 2028, 2030, 2040 and 2050 relative to the baseline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7"/>
        <w:gridCol w:w="1091"/>
        <w:gridCol w:w="1091"/>
        <w:gridCol w:w="1091"/>
        <w:gridCol w:w="1093"/>
      </w:tblGrid>
      <w:tr w:rsidR="00D25AC9" w:rsidRPr="00F85486" w14:paraId="7B0FB049" w14:textId="77777777" w:rsidTr="00963BDC">
        <w:trPr>
          <w:trHeight w:val="260"/>
          <w:tblHeader/>
        </w:trPr>
        <w:tc>
          <w:tcPr>
            <w:tcW w:w="2727" w:type="pct"/>
            <w:shd w:val="clear" w:color="auto" w:fill="0070C0"/>
            <w:noWrap/>
            <w:hideMark/>
          </w:tcPr>
          <w:p w14:paraId="4A0AA07B" w14:textId="77777777" w:rsidR="00D25AC9" w:rsidRPr="00963BDC" w:rsidRDefault="00D25AC9">
            <w:pPr>
              <w:pStyle w:val="Text4"/>
              <w:spacing w:before="0" w:after="0"/>
              <w:ind w:left="0"/>
              <w:rPr>
                <w:rFonts w:ascii="Times New Roman" w:eastAsia="Calibri" w:hAnsi="Times New Roman"/>
                <w:b/>
                <w:noProof/>
                <w:color w:val="FFFFFF" w:themeColor="background1"/>
              </w:rPr>
            </w:pPr>
            <w:r w:rsidRPr="00963BDC">
              <w:rPr>
                <w:rFonts w:ascii="Times New Roman" w:eastAsia="Calibri" w:hAnsi="Times New Roman"/>
                <w:b/>
                <w:noProof/>
                <w:color w:val="FFFFFF" w:themeColor="background1"/>
              </w:rPr>
              <w:t> </w:t>
            </w:r>
          </w:p>
        </w:tc>
        <w:tc>
          <w:tcPr>
            <w:tcW w:w="568" w:type="pct"/>
            <w:shd w:val="clear" w:color="auto" w:fill="0070C0"/>
            <w:noWrap/>
            <w:hideMark/>
          </w:tcPr>
          <w:p w14:paraId="14BB7A49" w14:textId="77777777" w:rsidR="00D25AC9" w:rsidRPr="00963BDC" w:rsidRDefault="00D25AC9">
            <w:pPr>
              <w:pStyle w:val="Text4"/>
              <w:spacing w:before="0" w:after="0"/>
              <w:ind w:left="0"/>
              <w:jc w:val="center"/>
              <w:rPr>
                <w:rFonts w:ascii="Times New Roman" w:eastAsia="Calibri" w:hAnsi="Times New Roman"/>
                <w:b/>
                <w:noProof/>
                <w:color w:val="FFFFFF" w:themeColor="background1"/>
              </w:rPr>
            </w:pPr>
            <w:r w:rsidRPr="00963BDC">
              <w:rPr>
                <w:rFonts w:ascii="Times New Roman" w:eastAsia="Calibri" w:hAnsi="Times New Roman"/>
                <w:b/>
                <w:noProof/>
                <w:color w:val="FFFFFF" w:themeColor="background1"/>
              </w:rPr>
              <w:t>2028</w:t>
            </w:r>
          </w:p>
        </w:tc>
        <w:tc>
          <w:tcPr>
            <w:tcW w:w="568" w:type="pct"/>
            <w:shd w:val="clear" w:color="auto" w:fill="0070C0"/>
            <w:noWrap/>
            <w:hideMark/>
          </w:tcPr>
          <w:p w14:paraId="774EEFB3" w14:textId="77777777" w:rsidR="00D25AC9" w:rsidRPr="00963BDC" w:rsidRDefault="00D25AC9">
            <w:pPr>
              <w:pStyle w:val="Text4"/>
              <w:spacing w:before="0" w:after="0"/>
              <w:ind w:left="0"/>
              <w:jc w:val="center"/>
              <w:rPr>
                <w:rFonts w:ascii="Times New Roman" w:eastAsia="Calibri" w:hAnsi="Times New Roman"/>
                <w:b/>
                <w:noProof/>
                <w:color w:val="FFFFFF" w:themeColor="background1"/>
              </w:rPr>
            </w:pPr>
            <w:r w:rsidRPr="00963BDC">
              <w:rPr>
                <w:rFonts w:ascii="Times New Roman" w:eastAsia="Calibri" w:hAnsi="Times New Roman"/>
                <w:b/>
                <w:noProof/>
                <w:color w:val="FFFFFF" w:themeColor="background1"/>
              </w:rPr>
              <w:t>2030</w:t>
            </w:r>
          </w:p>
        </w:tc>
        <w:tc>
          <w:tcPr>
            <w:tcW w:w="568" w:type="pct"/>
            <w:shd w:val="clear" w:color="auto" w:fill="0070C0"/>
            <w:noWrap/>
            <w:hideMark/>
          </w:tcPr>
          <w:p w14:paraId="2A4E942C" w14:textId="77777777" w:rsidR="00D25AC9" w:rsidRPr="00963BDC" w:rsidRDefault="00D25AC9">
            <w:pPr>
              <w:pStyle w:val="Text4"/>
              <w:spacing w:before="0" w:after="0"/>
              <w:ind w:left="0"/>
              <w:jc w:val="center"/>
              <w:rPr>
                <w:rFonts w:ascii="Times New Roman" w:eastAsia="Calibri" w:hAnsi="Times New Roman"/>
                <w:b/>
                <w:noProof/>
                <w:color w:val="FFFFFF" w:themeColor="background1"/>
              </w:rPr>
            </w:pPr>
            <w:r w:rsidRPr="00963BDC">
              <w:rPr>
                <w:rFonts w:ascii="Times New Roman" w:eastAsia="Calibri" w:hAnsi="Times New Roman"/>
                <w:b/>
                <w:noProof/>
                <w:color w:val="FFFFFF" w:themeColor="background1"/>
              </w:rPr>
              <w:t>2040</w:t>
            </w:r>
          </w:p>
        </w:tc>
        <w:tc>
          <w:tcPr>
            <w:tcW w:w="569" w:type="pct"/>
            <w:shd w:val="clear" w:color="auto" w:fill="0070C0"/>
            <w:noWrap/>
            <w:hideMark/>
          </w:tcPr>
          <w:p w14:paraId="2397366D" w14:textId="77777777" w:rsidR="00D25AC9" w:rsidRPr="00963BDC" w:rsidRDefault="00D25AC9">
            <w:pPr>
              <w:pStyle w:val="Text4"/>
              <w:spacing w:before="0" w:after="0"/>
              <w:ind w:left="0"/>
              <w:jc w:val="center"/>
              <w:rPr>
                <w:rFonts w:ascii="Times New Roman" w:eastAsia="Calibri" w:hAnsi="Times New Roman"/>
                <w:b/>
                <w:noProof/>
                <w:color w:val="FFFFFF" w:themeColor="background1"/>
              </w:rPr>
            </w:pPr>
            <w:r w:rsidRPr="00963BDC">
              <w:rPr>
                <w:rFonts w:ascii="Times New Roman" w:eastAsia="Calibri" w:hAnsi="Times New Roman"/>
                <w:b/>
                <w:noProof/>
                <w:color w:val="FFFFFF" w:themeColor="background1"/>
              </w:rPr>
              <w:t>2050</w:t>
            </w:r>
          </w:p>
        </w:tc>
      </w:tr>
      <w:tr w:rsidR="00D25AC9" w:rsidRPr="00F85486" w14:paraId="0291F379" w14:textId="77777777" w:rsidTr="00D25AC9">
        <w:trPr>
          <w:trHeight w:val="200"/>
        </w:trPr>
        <w:tc>
          <w:tcPr>
            <w:tcW w:w="2727" w:type="pct"/>
            <w:noWrap/>
            <w:vAlign w:val="bottom"/>
            <w:hideMark/>
          </w:tcPr>
          <w:p w14:paraId="23EAE5AB" w14:textId="77777777" w:rsidR="00D25AC9" w:rsidRPr="00F85486" w:rsidRDefault="00D25AC9">
            <w:pPr>
              <w:pStyle w:val="Text4"/>
              <w:spacing w:before="0" w:after="0"/>
              <w:ind w:left="0"/>
              <w:rPr>
                <w:rFonts w:ascii="Times New Roman" w:eastAsia="Calibri" w:hAnsi="Times New Roman"/>
                <w:noProof/>
              </w:rPr>
            </w:pPr>
            <w:r w:rsidRPr="00F85486">
              <w:rPr>
                <w:rFonts w:ascii="Times New Roman" w:hAnsi="Times New Roman"/>
                <w:noProof/>
              </w:rPr>
              <w:t xml:space="preserve"> Administrative cost per </w:t>
            </w:r>
            <w:r>
              <w:rPr>
                <w:rFonts w:ascii="Times New Roman" w:hAnsi="Times New Roman"/>
                <w:noProof/>
              </w:rPr>
              <w:t>national authority</w:t>
            </w:r>
            <w:r w:rsidRPr="00F85486">
              <w:rPr>
                <w:rFonts w:ascii="Times New Roman" w:hAnsi="Times New Roman"/>
                <w:noProof/>
              </w:rPr>
              <w:t xml:space="preserve"> (EUR)</w:t>
            </w:r>
          </w:p>
        </w:tc>
        <w:tc>
          <w:tcPr>
            <w:tcW w:w="568" w:type="pct"/>
            <w:noWrap/>
            <w:hideMark/>
          </w:tcPr>
          <w:p w14:paraId="0579A26C" w14:textId="77777777" w:rsidR="00D25AC9" w:rsidRPr="00F85486" w:rsidRDefault="00D25AC9">
            <w:pPr>
              <w:pStyle w:val="Text4"/>
              <w:spacing w:before="0" w:after="0"/>
              <w:ind w:left="0"/>
              <w:jc w:val="right"/>
              <w:rPr>
                <w:rFonts w:ascii="Times New Roman" w:eastAsia="Calibri" w:hAnsi="Times New Roman"/>
                <w:noProof/>
              </w:rPr>
            </w:pPr>
            <w:r w:rsidRPr="00F85486">
              <w:rPr>
                <w:rFonts w:ascii="Times New Roman" w:eastAsia="Calibri" w:hAnsi="Times New Roman"/>
                <w:noProof/>
              </w:rPr>
              <w:t>56,527</w:t>
            </w:r>
          </w:p>
        </w:tc>
        <w:tc>
          <w:tcPr>
            <w:tcW w:w="568" w:type="pct"/>
            <w:noWrap/>
            <w:hideMark/>
          </w:tcPr>
          <w:p w14:paraId="2658BFC9" w14:textId="77777777" w:rsidR="00D25AC9" w:rsidRPr="00F85486" w:rsidRDefault="00D25AC9">
            <w:pPr>
              <w:pStyle w:val="Text4"/>
              <w:spacing w:before="0" w:after="0"/>
              <w:ind w:left="0"/>
              <w:jc w:val="right"/>
              <w:rPr>
                <w:rFonts w:ascii="Times New Roman" w:eastAsia="Calibri" w:hAnsi="Times New Roman"/>
                <w:noProof/>
              </w:rPr>
            </w:pPr>
            <w:r w:rsidRPr="00F85486">
              <w:rPr>
                <w:rFonts w:ascii="Times New Roman" w:eastAsia="Calibri" w:hAnsi="Times New Roman"/>
                <w:noProof/>
              </w:rPr>
              <w:t>56,527</w:t>
            </w:r>
          </w:p>
        </w:tc>
        <w:tc>
          <w:tcPr>
            <w:tcW w:w="568" w:type="pct"/>
            <w:noWrap/>
            <w:hideMark/>
          </w:tcPr>
          <w:p w14:paraId="35C23E7D" w14:textId="77777777" w:rsidR="00D25AC9" w:rsidRPr="00F85486" w:rsidRDefault="00D25AC9">
            <w:pPr>
              <w:pStyle w:val="Text4"/>
              <w:spacing w:before="0" w:after="0"/>
              <w:ind w:left="0"/>
              <w:jc w:val="right"/>
              <w:rPr>
                <w:rFonts w:ascii="Times New Roman" w:eastAsia="Calibri" w:hAnsi="Times New Roman"/>
                <w:noProof/>
              </w:rPr>
            </w:pPr>
            <w:r w:rsidRPr="00F85486">
              <w:rPr>
                <w:rFonts w:ascii="Times New Roman" w:eastAsia="Calibri" w:hAnsi="Times New Roman"/>
                <w:noProof/>
              </w:rPr>
              <w:t>56,527</w:t>
            </w:r>
          </w:p>
        </w:tc>
        <w:tc>
          <w:tcPr>
            <w:tcW w:w="569" w:type="pct"/>
            <w:noWrap/>
            <w:hideMark/>
          </w:tcPr>
          <w:p w14:paraId="77E40B49" w14:textId="77777777" w:rsidR="00D25AC9" w:rsidRPr="00F85486" w:rsidRDefault="00D25AC9">
            <w:pPr>
              <w:pStyle w:val="Text4"/>
              <w:spacing w:before="0" w:after="0"/>
              <w:ind w:left="0"/>
              <w:jc w:val="right"/>
              <w:rPr>
                <w:rFonts w:ascii="Times New Roman" w:eastAsia="Calibri" w:hAnsi="Times New Roman"/>
                <w:noProof/>
              </w:rPr>
            </w:pPr>
            <w:r w:rsidRPr="00F85486">
              <w:rPr>
                <w:rFonts w:ascii="Times New Roman" w:eastAsia="Calibri" w:hAnsi="Times New Roman"/>
                <w:noProof/>
              </w:rPr>
              <w:t>56,527</w:t>
            </w:r>
          </w:p>
        </w:tc>
      </w:tr>
      <w:tr w:rsidR="00D25AC9" w:rsidRPr="00F85486" w14:paraId="3CEEBA31" w14:textId="77777777" w:rsidTr="00D25AC9">
        <w:trPr>
          <w:trHeight w:val="200"/>
        </w:trPr>
        <w:tc>
          <w:tcPr>
            <w:tcW w:w="2727" w:type="pct"/>
            <w:noWrap/>
            <w:hideMark/>
          </w:tcPr>
          <w:p w14:paraId="3436177D" w14:textId="77777777" w:rsidR="00D25AC9" w:rsidRPr="00F85486" w:rsidRDefault="00D25AC9">
            <w:pPr>
              <w:pStyle w:val="Text4"/>
              <w:spacing w:before="0" w:after="0"/>
              <w:ind w:left="0"/>
              <w:rPr>
                <w:rFonts w:ascii="Times New Roman" w:eastAsia="Calibri" w:hAnsi="Times New Roman"/>
                <w:noProof/>
              </w:rPr>
            </w:pPr>
            <w:r w:rsidRPr="00F85486">
              <w:rPr>
                <w:rFonts w:ascii="Times New Roman" w:hAnsi="Times New Roman"/>
                <w:b/>
                <w:bCs/>
                <w:noProof/>
              </w:rPr>
              <w:t xml:space="preserve"> All </w:t>
            </w:r>
            <w:r>
              <w:rPr>
                <w:rFonts w:ascii="Times New Roman" w:hAnsi="Times New Roman"/>
                <w:b/>
                <w:bCs/>
                <w:noProof/>
              </w:rPr>
              <w:t>policy options</w:t>
            </w:r>
          </w:p>
        </w:tc>
        <w:tc>
          <w:tcPr>
            <w:tcW w:w="568" w:type="pct"/>
            <w:noWrap/>
            <w:vAlign w:val="bottom"/>
            <w:hideMark/>
          </w:tcPr>
          <w:p w14:paraId="1A2FE889" w14:textId="77777777" w:rsidR="00D25AC9" w:rsidRPr="00F85486" w:rsidRDefault="00D25AC9">
            <w:pPr>
              <w:pStyle w:val="Text4"/>
              <w:spacing w:before="0" w:after="0"/>
              <w:ind w:left="0"/>
              <w:jc w:val="right"/>
              <w:rPr>
                <w:rFonts w:ascii="Times New Roman" w:eastAsia="Calibri" w:hAnsi="Times New Roman"/>
                <w:noProof/>
              </w:rPr>
            </w:pPr>
          </w:p>
        </w:tc>
        <w:tc>
          <w:tcPr>
            <w:tcW w:w="568" w:type="pct"/>
            <w:noWrap/>
            <w:vAlign w:val="bottom"/>
            <w:hideMark/>
          </w:tcPr>
          <w:p w14:paraId="3AF89D3F" w14:textId="77777777" w:rsidR="00D25AC9" w:rsidRPr="00F85486" w:rsidRDefault="00D25AC9">
            <w:pPr>
              <w:pStyle w:val="Text4"/>
              <w:spacing w:before="0" w:after="0"/>
              <w:ind w:left="0"/>
              <w:jc w:val="right"/>
              <w:rPr>
                <w:rFonts w:ascii="Times New Roman" w:eastAsia="Calibri" w:hAnsi="Times New Roman"/>
                <w:noProof/>
              </w:rPr>
            </w:pPr>
          </w:p>
        </w:tc>
        <w:tc>
          <w:tcPr>
            <w:tcW w:w="568" w:type="pct"/>
            <w:noWrap/>
            <w:vAlign w:val="bottom"/>
            <w:hideMark/>
          </w:tcPr>
          <w:p w14:paraId="6EB54CAE" w14:textId="77777777" w:rsidR="00D25AC9" w:rsidRPr="00F85486" w:rsidRDefault="00D25AC9">
            <w:pPr>
              <w:pStyle w:val="Text4"/>
              <w:spacing w:before="0" w:after="0"/>
              <w:ind w:left="0"/>
              <w:jc w:val="right"/>
              <w:rPr>
                <w:rFonts w:ascii="Times New Roman" w:eastAsia="Calibri" w:hAnsi="Times New Roman"/>
                <w:noProof/>
              </w:rPr>
            </w:pPr>
          </w:p>
        </w:tc>
        <w:tc>
          <w:tcPr>
            <w:tcW w:w="569" w:type="pct"/>
            <w:noWrap/>
            <w:vAlign w:val="bottom"/>
            <w:hideMark/>
          </w:tcPr>
          <w:p w14:paraId="3C4BA466" w14:textId="77777777" w:rsidR="00D25AC9" w:rsidRPr="00F85486" w:rsidRDefault="00D25AC9">
            <w:pPr>
              <w:pStyle w:val="Text4"/>
              <w:spacing w:before="0" w:after="0"/>
              <w:ind w:left="0"/>
              <w:jc w:val="right"/>
              <w:rPr>
                <w:rFonts w:ascii="Times New Roman" w:eastAsia="Calibri" w:hAnsi="Times New Roman"/>
                <w:noProof/>
              </w:rPr>
            </w:pPr>
          </w:p>
        </w:tc>
      </w:tr>
      <w:tr w:rsidR="00D25AC9" w:rsidRPr="00F85486" w14:paraId="3C46FB68" w14:textId="77777777" w:rsidTr="00D25AC9">
        <w:trPr>
          <w:trHeight w:val="210"/>
        </w:trPr>
        <w:tc>
          <w:tcPr>
            <w:tcW w:w="2727" w:type="pct"/>
            <w:noWrap/>
            <w:hideMark/>
          </w:tcPr>
          <w:p w14:paraId="2D69BB2D" w14:textId="77777777" w:rsidR="00D25AC9" w:rsidRPr="00F85486" w:rsidRDefault="00D25AC9">
            <w:pPr>
              <w:pStyle w:val="Text4"/>
              <w:spacing w:before="0" w:after="0"/>
              <w:ind w:left="0"/>
              <w:rPr>
                <w:rFonts w:ascii="Times New Roman" w:eastAsia="Calibri" w:hAnsi="Times New Roman"/>
                <w:b/>
                <w:bCs/>
                <w:noProof/>
              </w:rPr>
            </w:pPr>
            <w:r w:rsidRPr="00F85486">
              <w:rPr>
                <w:rFonts w:ascii="Times New Roman" w:hAnsi="Times New Roman"/>
                <w:noProof/>
              </w:rPr>
              <w:t xml:space="preserve"> Recurrent administrative costs </w:t>
            </w:r>
            <w:r>
              <w:rPr>
                <w:rFonts w:ascii="Times New Roman" w:hAnsi="Times New Roman"/>
                <w:noProof/>
              </w:rPr>
              <w:t>at EU level</w:t>
            </w:r>
            <w:r w:rsidRPr="00F85486">
              <w:rPr>
                <w:rFonts w:ascii="Times New Roman" w:hAnsi="Times New Roman"/>
                <w:noProof/>
              </w:rPr>
              <w:t xml:space="preserve"> (million EUR) </w:t>
            </w:r>
          </w:p>
        </w:tc>
        <w:tc>
          <w:tcPr>
            <w:tcW w:w="568" w:type="pct"/>
            <w:noWrap/>
            <w:vAlign w:val="bottom"/>
            <w:hideMark/>
          </w:tcPr>
          <w:p w14:paraId="4C3E6ADD" w14:textId="2AE43487" w:rsidR="00D25AC9" w:rsidRPr="00F85486" w:rsidRDefault="00D25AC9">
            <w:pPr>
              <w:pStyle w:val="Text4"/>
              <w:spacing w:before="0" w:after="0"/>
              <w:ind w:left="0"/>
              <w:jc w:val="right"/>
              <w:rPr>
                <w:rFonts w:ascii="Times New Roman" w:eastAsia="Calibri" w:hAnsi="Times New Roman"/>
                <w:noProof/>
              </w:rPr>
            </w:pPr>
            <w:r w:rsidRPr="00F85486">
              <w:rPr>
                <w:rFonts w:ascii="Times New Roman" w:hAnsi="Times New Roman"/>
                <w:noProof/>
              </w:rPr>
              <w:t>1.5</w:t>
            </w:r>
            <w:r w:rsidR="005B396C">
              <w:rPr>
                <w:rFonts w:ascii="Times New Roman" w:hAnsi="Times New Roman"/>
                <w:noProof/>
              </w:rPr>
              <w:t>3</w:t>
            </w:r>
          </w:p>
        </w:tc>
        <w:tc>
          <w:tcPr>
            <w:tcW w:w="568" w:type="pct"/>
            <w:noWrap/>
            <w:vAlign w:val="bottom"/>
            <w:hideMark/>
          </w:tcPr>
          <w:p w14:paraId="11967EFF" w14:textId="7D6DABF2" w:rsidR="00D25AC9" w:rsidRPr="00F85486" w:rsidRDefault="00D25AC9">
            <w:pPr>
              <w:pStyle w:val="Text4"/>
              <w:spacing w:before="0" w:after="0"/>
              <w:ind w:left="0"/>
              <w:jc w:val="right"/>
              <w:rPr>
                <w:rFonts w:ascii="Times New Roman" w:eastAsia="Calibri" w:hAnsi="Times New Roman"/>
                <w:noProof/>
              </w:rPr>
            </w:pPr>
            <w:r w:rsidRPr="00F85486">
              <w:rPr>
                <w:rFonts w:ascii="Times New Roman" w:hAnsi="Times New Roman"/>
                <w:noProof/>
              </w:rPr>
              <w:t>1.5</w:t>
            </w:r>
            <w:r w:rsidR="005B396C">
              <w:rPr>
                <w:rFonts w:ascii="Times New Roman" w:hAnsi="Times New Roman"/>
                <w:noProof/>
              </w:rPr>
              <w:t>3</w:t>
            </w:r>
          </w:p>
        </w:tc>
        <w:tc>
          <w:tcPr>
            <w:tcW w:w="568" w:type="pct"/>
            <w:noWrap/>
            <w:vAlign w:val="bottom"/>
            <w:hideMark/>
          </w:tcPr>
          <w:p w14:paraId="5592C6E4" w14:textId="724B7329" w:rsidR="00D25AC9" w:rsidRPr="00F85486" w:rsidRDefault="00D25AC9">
            <w:pPr>
              <w:pStyle w:val="Text4"/>
              <w:spacing w:before="0" w:after="0"/>
              <w:ind w:left="0"/>
              <w:jc w:val="right"/>
              <w:rPr>
                <w:rFonts w:ascii="Times New Roman" w:eastAsia="Calibri" w:hAnsi="Times New Roman"/>
                <w:noProof/>
              </w:rPr>
            </w:pPr>
            <w:r w:rsidRPr="00F85486">
              <w:rPr>
                <w:rFonts w:ascii="Times New Roman" w:hAnsi="Times New Roman"/>
                <w:noProof/>
              </w:rPr>
              <w:t>1.5</w:t>
            </w:r>
            <w:r w:rsidR="005B396C">
              <w:rPr>
                <w:rFonts w:ascii="Times New Roman" w:hAnsi="Times New Roman"/>
                <w:noProof/>
              </w:rPr>
              <w:t>3</w:t>
            </w:r>
          </w:p>
        </w:tc>
        <w:tc>
          <w:tcPr>
            <w:tcW w:w="569" w:type="pct"/>
            <w:noWrap/>
            <w:vAlign w:val="bottom"/>
            <w:hideMark/>
          </w:tcPr>
          <w:p w14:paraId="7AE4F2E3" w14:textId="26D2AE55" w:rsidR="00D25AC9" w:rsidRPr="00F85486" w:rsidRDefault="00D25AC9">
            <w:pPr>
              <w:pStyle w:val="Text4"/>
              <w:spacing w:before="0" w:after="0"/>
              <w:ind w:left="0"/>
              <w:jc w:val="right"/>
              <w:rPr>
                <w:rFonts w:ascii="Times New Roman" w:eastAsia="Calibri" w:hAnsi="Times New Roman"/>
                <w:noProof/>
              </w:rPr>
            </w:pPr>
            <w:r w:rsidRPr="00F85486">
              <w:rPr>
                <w:rFonts w:ascii="Times New Roman" w:hAnsi="Times New Roman"/>
                <w:noProof/>
              </w:rPr>
              <w:t>1.5</w:t>
            </w:r>
            <w:r w:rsidR="005B396C">
              <w:rPr>
                <w:rFonts w:ascii="Times New Roman" w:hAnsi="Times New Roman"/>
                <w:noProof/>
              </w:rPr>
              <w:t>3</w:t>
            </w:r>
          </w:p>
        </w:tc>
      </w:tr>
    </w:tbl>
    <w:p w14:paraId="6024A2D6" w14:textId="77777777" w:rsidR="00D25AC9" w:rsidRPr="00D71008" w:rsidRDefault="00D25AC9" w:rsidP="00D25AC9">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2B14616C" w14:textId="38CA5C49" w:rsidR="00D25AC9" w:rsidRPr="00DB078C" w:rsidRDefault="00D25AC9" w:rsidP="00C83D80">
      <w:pPr>
        <w:keepNext/>
        <w:tabs>
          <w:tab w:val="left" w:pos="1134"/>
        </w:tabs>
        <w:jc w:val="both"/>
        <w:rPr>
          <w:i/>
          <w:noProof/>
          <w:sz w:val="22"/>
          <w:szCs w:val="22"/>
        </w:rPr>
      </w:pPr>
      <w:r w:rsidRPr="00DB078C">
        <w:rPr>
          <w:i/>
          <w:noProof/>
          <w:sz w:val="22"/>
          <w:szCs w:val="22"/>
        </w:rPr>
        <w:t xml:space="preserve">Table </w:t>
      </w:r>
      <w:r w:rsidRPr="00DB078C">
        <w:rPr>
          <w:i/>
          <w:noProof/>
          <w:sz w:val="22"/>
          <w:szCs w:val="22"/>
        </w:rPr>
        <w:fldChar w:fldCharType="begin"/>
      </w:r>
      <w:r w:rsidRPr="00DB078C">
        <w:rPr>
          <w:i/>
          <w:noProof/>
          <w:sz w:val="22"/>
          <w:szCs w:val="22"/>
        </w:rPr>
        <w:instrText xml:space="preserve"> SEQ Table \* ARABIC </w:instrText>
      </w:r>
      <w:r w:rsidRPr="00DB078C">
        <w:rPr>
          <w:i/>
          <w:noProof/>
          <w:sz w:val="22"/>
          <w:szCs w:val="22"/>
        </w:rPr>
        <w:fldChar w:fldCharType="separate"/>
      </w:r>
      <w:r w:rsidR="0055391F">
        <w:rPr>
          <w:i/>
          <w:noProof/>
          <w:sz w:val="22"/>
          <w:szCs w:val="22"/>
        </w:rPr>
        <w:t>86</w:t>
      </w:r>
      <w:r w:rsidRPr="00DB078C">
        <w:rPr>
          <w:i/>
          <w:noProof/>
          <w:sz w:val="22"/>
          <w:szCs w:val="22"/>
        </w:rPr>
        <w:fldChar w:fldCharType="end"/>
      </w:r>
      <w:r w:rsidRPr="00DB078C">
        <w:rPr>
          <w:i/>
          <w:noProof/>
          <w:sz w:val="22"/>
          <w:szCs w:val="22"/>
        </w:rPr>
        <w:t xml:space="preserve">: </w:t>
      </w:r>
      <w:r w:rsidR="006B11E3" w:rsidRPr="00DB078C">
        <w:rPr>
          <w:i/>
          <w:noProof/>
          <w:sz w:val="22"/>
          <w:szCs w:val="22"/>
        </w:rPr>
        <w:t>A</w:t>
      </w:r>
      <w:r w:rsidRPr="00DB078C">
        <w:rPr>
          <w:i/>
          <w:noProof/>
          <w:sz w:val="22"/>
          <w:szCs w:val="22"/>
        </w:rPr>
        <w:t>dministrative costs for national authorities due to PM6 in all policy options relative to the baseline, expressed as present value over 2028-2050 (in million EUR,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8"/>
        <w:gridCol w:w="941"/>
        <w:gridCol w:w="1056"/>
        <w:gridCol w:w="1056"/>
        <w:gridCol w:w="1052"/>
      </w:tblGrid>
      <w:tr w:rsidR="00D25AC9" w:rsidRPr="00F85486" w14:paraId="000FC2C8" w14:textId="77777777" w:rsidTr="00595DF7">
        <w:trPr>
          <w:trHeight w:val="260"/>
          <w:tblHeader/>
        </w:trPr>
        <w:tc>
          <w:tcPr>
            <w:tcW w:w="2862" w:type="pct"/>
            <w:vMerge w:val="restart"/>
            <w:shd w:val="clear" w:color="auto" w:fill="0070C0"/>
            <w:noWrap/>
          </w:tcPr>
          <w:p w14:paraId="47EA294D" w14:textId="77777777" w:rsidR="00D25AC9" w:rsidRPr="00B01A79" w:rsidRDefault="00D25AC9">
            <w:pPr>
              <w:pStyle w:val="Text4"/>
              <w:spacing w:before="0" w:after="0"/>
              <w:ind w:left="0"/>
              <w:rPr>
                <w:rFonts w:ascii="Times New Roman" w:eastAsia="Calibri" w:hAnsi="Times New Roman"/>
                <w:b/>
                <w:noProof/>
                <w:color w:val="FFFFFF" w:themeColor="background1"/>
              </w:rPr>
            </w:pPr>
          </w:p>
        </w:tc>
        <w:tc>
          <w:tcPr>
            <w:tcW w:w="2138" w:type="pct"/>
            <w:gridSpan w:val="4"/>
            <w:shd w:val="clear" w:color="auto" w:fill="0070C0"/>
            <w:noWrap/>
          </w:tcPr>
          <w:p w14:paraId="7D3F4A3B" w14:textId="77777777" w:rsidR="00D25AC9" w:rsidRPr="00B01A79" w:rsidRDefault="00D25AC9">
            <w:pPr>
              <w:pStyle w:val="Text4"/>
              <w:spacing w:before="0" w:after="0"/>
              <w:ind w:left="0"/>
              <w:jc w:val="center"/>
              <w:rPr>
                <w:rFonts w:ascii="Times New Roman" w:eastAsia="Calibri" w:hAnsi="Times New Roman"/>
                <w:b/>
                <w:noProof/>
                <w:color w:val="FFFFFF" w:themeColor="background1"/>
              </w:rPr>
            </w:pPr>
            <w:r w:rsidRPr="00B01A79">
              <w:rPr>
                <w:rFonts w:ascii="Times New Roman" w:eastAsia="Calibri" w:hAnsi="Times New Roman"/>
                <w:b/>
                <w:noProof/>
                <w:color w:val="FFFFFF" w:themeColor="background1"/>
              </w:rPr>
              <w:t>Difference to baseline</w:t>
            </w:r>
          </w:p>
        </w:tc>
      </w:tr>
      <w:tr w:rsidR="00D25AC9" w:rsidRPr="00F85486" w14:paraId="1903144D" w14:textId="77777777" w:rsidTr="00595DF7">
        <w:trPr>
          <w:trHeight w:val="260"/>
          <w:tblHeader/>
        </w:trPr>
        <w:tc>
          <w:tcPr>
            <w:tcW w:w="2862" w:type="pct"/>
            <w:vMerge/>
            <w:shd w:val="clear" w:color="auto" w:fill="0070C0"/>
            <w:noWrap/>
          </w:tcPr>
          <w:p w14:paraId="77B0242E" w14:textId="77777777" w:rsidR="00D25AC9" w:rsidRPr="00B01A79" w:rsidRDefault="00D25AC9">
            <w:pPr>
              <w:pStyle w:val="Text4"/>
              <w:spacing w:before="0" w:after="0"/>
              <w:ind w:left="0"/>
              <w:rPr>
                <w:rFonts w:ascii="Times New Roman" w:eastAsia="Calibri" w:hAnsi="Times New Roman"/>
                <w:b/>
                <w:noProof/>
                <w:color w:val="FFFFFF" w:themeColor="background1"/>
              </w:rPr>
            </w:pPr>
          </w:p>
        </w:tc>
        <w:tc>
          <w:tcPr>
            <w:tcW w:w="490" w:type="pct"/>
            <w:shd w:val="clear" w:color="auto" w:fill="0070C0"/>
            <w:noWrap/>
          </w:tcPr>
          <w:p w14:paraId="3B68FB63" w14:textId="77777777" w:rsidR="00D25AC9" w:rsidRPr="00F85486" w:rsidRDefault="00D25AC9">
            <w:pPr>
              <w:pStyle w:val="Text4"/>
              <w:spacing w:before="0" w:after="0"/>
              <w:ind w:left="0"/>
              <w:jc w:val="center"/>
              <w:rPr>
                <w:rFonts w:ascii="Times New Roman" w:eastAsia="Calibri" w:hAnsi="Times New Roman"/>
                <w:b/>
                <w:noProof/>
                <w:color w:val="FFFFFF" w:themeColor="background1"/>
              </w:rPr>
            </w:pPr>
            <w:r w:rsidRPr="00F85486">
              <w:rPr>
                <w:rFonts w:ascii="Times New Roman" w:eastAsia="Calibri" w:hAnsi="Times New Roman"/>
                <w:b/>
                <w:noProof/>
                <w:color w:val="FFFFFF" w:themeColor="background1"/>
              </w:rPr>
              <w:t>PO1</w:t>
            </w:r>
          </w:p>
        </w:tc>
        <w:tc>
          <w:tcPr>
            <w:tcW w:w="550" w:type="pct"/>
            <w:shd w:val="clear" w:color="auto" w:fill="0070C0"/>
            <w:noWrap/>
          </w:tcPr>
          <w:p w14:paraId="4580E433" w14:textId="77777777" w:rsidR="00D25AC9" w:rsidRPr="00F85486" w:rsidRDefault="00D25AC9">
            <w:pPr>
              <w:pStyle w:val="Text4"/>
              <w:spacing w:before="0" w:after="0"/>
              <w:ind w:left="0"/>
              <w:jc w:val="center"/>
              <w:rPr>
                <w:rFonts w:ascii="Times New Roman" w:eastAsia="Calibri" w:hAnsi="Times New Roman"/>
                <w:b/>
                <w:noProof/>
                <w:color w:val="FFFFFF" w:themeColor="background1"/>
              </w:rPr>
            </w:pPr>
            <w:r w:rsidRPr="00F85486">
              <w:rPr>
                <w:rFonts w:ascii="Times New Roman" w:eastAsia="Calibri" w:hAnsi="Times New Roman"/>
                <w:b/>
                <w:noProof/>
                <w:color w:val="FFFFFF" w:themeColor="background1"/>
              </w:rPr>
              <w:t>PO2</w:t>
            </w:r>
          </w:p>
        </w:tc>
        <w:tc>
          <w:tcPr>
            <w:tcW w:w="550" w:type="pct"/>
            <w:shd w:val="clear" w:color="auto" w:fill="0070C0"/>
            <w:noWrap/>
          </w:tcPr>
          <w:p w14:paraId="7CBF4D31" w14:textId="77777777" w:rsidR="00D25AC9" w:rsidRPr="00F85486" w:rsidRDefault="00D25AC9">
            <w:pPr>
              <w:pStyle w:val="Text4"/>
              <w:spacing w:before="0" w:after="0"/>
              <w:ind w:left="0"/>
              <w:jc w:val="center"/>
              <w:rPr>
                <w:rFonts w:ascii="Times New Roman" w:eastAsia="Calibri" w:hAnsi="Times New Roman"/>
                <w:b/>
                <w:noProof/>
                <w:color w:val="FFFFFF" w:themeColor="background1"/>
              </w:rPr>
            </w:pPr>
            <w:r w:rsidRPr="00F85486">
              <w:rPr>
                <w:rFonts w:ascii="Times New Roman" w:eastAsia="Calibri" w:hAnsi="Times New Roman"/>
                <w:b/>
                <w:noProof/>
                <w:color w:val="FFFFFF" w:themeColor="background1"/>
              </w:rPr>
              <w:t>PO3</w:t>
            </w:r>
          </w:p>
        </w:tc>
        <w:tc>
          <w:tcPr>
            <w:tcW w:w="549" w:type="pct"/>
            <w:shd w:val="clear" w:color="auto" w:fill="0070C0"/>
          </w:tcPr>
          <w:p w14:paraId="52015ABE" w14:textId="77777777" w:rsidR="00D25AC9" w:rsidRPr="00F85486" w:rsidRDefault="00D25AC9">
            <w:pPr>
              <w:pStyle w:val="Text4"/>
              <w:spacing w:before="0" w:after="0"/>
              <w:ind w:left="0"/>
              <w:jc w:val="center"/>
              <w:rPr>
                <w:rFonts w:ascii="Times New Roman" w:eastAsia="Calibri" w:hAnsi="Times New Roman"/>
                <w:b/>
                <w:noProof/>
                <w:color w:val="FFFFFF" w:themeColor="background1"/>
              </w:rPr>
            </w:pPr>
            <w:r w:rsidRPr="00F85486">
              <w:rPr>
                <w:rFonts w:ascii="Times New Roman" w:eastAsia="Calibri" w:hAnsi="Times New Roman"/>
                <w:b/>
                <w:noProof/>
                <w:color w:val="FFFFFF" w:themeColor="background1"/>
              </w:rPr>
              <w:t>PO4</w:t>
            </w:r>
          </w:p>
        </w:tc>
      </w:tr>
      <w:tr w:rsidR="00D25AC9" w:rsidRPr="00F85486" w14:paraId="3E95B1A5" w14:textId="77777777" w:rsidTr="00D25AC9">
        <w:trPr>
          <w:trHeight w:val="260"/>
        </w:trPr>
        <w:tc>
          <w:tcPr>
            <w:tcW w:w="2862" w:type="pct"/>
            <w:noWrap/>
            <w:hideMark/>
          </w:tcPr>
          <w:p w14:paraId="262E8951" w14:textId="77777777" w:rsidR="00D25AC9" w:rsidRPr="00F85486" w:rsidRDefault="00D25AC9">
            <w:pPr>
              <w:pStyle w:val="Text4"/>
              <w:spacing w:before="0" w:after="0"/>
              <w:ind w:left="0"/>
              <w:rPr>
                <w:rFonts w:ascii="Times New Roman" w:eastAsia="Calibri" w:hAnsi="Times New Roman"/>
                <w:b/>
                <w:noProof/>
              </w:rPr>
            </w:pPr>
            <w:r w:rsidRPr="00F85486">
              <w:rPr>
                <w:rFonts w:ascii="Times New Roman" w:eastAsia="Calibri" w:hAnsi="Times New Roman"/>
                <w:b/>
                <w:noProof/>
              </w:rPr>
              <w:t xml:space="preserve">Total </w:t>
            </w:r>
            <w:r>
              <w:rPr>
                <w:rFonts w:ascii="Times New Roman" w:eastAsia="Calibri" w:hAnsi="Times New Roman"/>
                <w:b/>
                <w:noProof/>
              </w:rPr>
              <w:t xml:space="preserve">administrative </w:t>
            </w:r>
            <w:r w:rsidRPr="00F85486">
              <w:rPr>
                <w:rFonts w:ascii="Times New Roman" w:eastAsia="Calibri" w:hAnsi="Times New Roman"/>
                <w:b/>
                <w:noProof/>
              </w:rPr>
              <w:t>cost</w:t>
            </w:r>
            <w:r>
              <w:rPr>
                <w:rFonts w:ascii="Times New Roman" w:eastAsia="Calibri" w:hAnsi="Times New Roman"/>
                <w:b/>
                <w:noProof/>
              </w:rPr>
              <w:t>s</w:t>
            </w:r>
          </w:p>
        </w:tc>
        <w:tc>
          <w:tcPr>
            <w:tcW w:w="490" w:type="pct"/>
            <w:shd w:val="clear" w:color="000000" w:fill="FFFFFF"/>
            <w:noWrap/>
          </w:tcPr>
          <w:p w14:paraId="6256BCDE" w14:textId="77777777" w:rsidR="00D25AC9" w:rsidRPr="00F85486" w:rsidRDefault="00D25AC9">
            <w:pPr>
              <w:pStyle w:val="Text4"/>
              <w:spacing w:before="0" w:after="0"/>
              <w:ind w:left="0"/>
              <w:jc w:val="right"/>
              <w:rPr>
                <w:rFonts w:ascii="Times New Roman" w:eastAsia="Calibri" w:hAnsi="Times New Roman"/>
                <w:bCs/>
                <w:noProof/>
                <w:color w:val="FFFFFF" w:themeColor="background1"/>
              </w:rPr>
            </w:pPr>
            <w:r w:rsidRPr="00F85486">
              <w:rPr>
                <w:rFonts w:ascii="Times New Roman" w:hAnsi="Times New Roman"/>
                <w:noProof/>
                <w:color w:val="000000"/>
              </w:rPr>
              <w:t>25.8</w:t>
            </w:r>
          </w:p>
        </w:tc>
        <w:tc>
          <w:tcPr>
            <w:tcW w:w="550" w:type="pct"/>
            <w:shd w:val="clear" w:color="000000" w:fill="FFFFFF"/>
            <w:noWrap/>
          </w:tcPr>
          <w:p w14:paraId="349885B0" w14:textId="77777777" w:rsidR="00D25AC9" w:rsidRPr="00F85486" w:rsidRDefault="00D25AC9">
            <w:pPr>
              <w:pStyle w:val="Text4"/>
              <w:spacing w:before="0" w:after="0"/>
              <w:ind w:left="0"/>
              <w:jc w:val="right"/>
              <w:rPr>
                <w:rFonts w:ascii="Times New Roman" w:eastAsia="Calibri" w:hAnsi="Times New Roman"/>
                <w:bCs/>
                <w:noProof/>
                <w:color w:val="FFFFFF" w:themeColor="background1"/>
              </w:rPr>
            </w:pPr>
            <w:r w:rsidRPr="00F85486">
              <w:rPr>
                <w:rFonts w:ascii="Times New Roman" w:hAnsi="Times New Roman"/>
                <w:noProof/>
                <w:color w:val="000000"/>
              </w:rPr>
              <w:t>25.8</w:t>
            </w:r>
          </w:p>
        </w:tc>
        <w:tc>
          <w:tcPr>
            <w:tcW w:w="550" w:type="pct"/>
            <w:shd w:val="clear" w:color="000000" w:fill="FFFFFF"/>
            <w:noWrap/>
          </w:tcPr>
          <w:p w14:paraId="5A4D8023" w14:textId="77777777" w:rsidR="00D25AC9" w:rsidRPr="00F85486" w:rsidRDefault="00D25AC9">
            <w:pPr>
              <w:pStyle w:val="Text4"/>
              <w:spacing w:before="0" w:after="0"/>
              <w:ind w:left="0"/>
              <w:jc w:val="right"/>
              <w:rPr>
                <w:rFonts w:ascii="Times New Roman" w:eastAsia="Calibri" w:hAnsi="Times New Roman"/>
                <w:bCs/>
                <w:noProof/>
                <w:color w:val="FFFFFF" w:themeColor="background1"/>
              </w:rPr>
            </w:pPr>
            <w:r w:rsidRPr="00F85486">
              <w:rPr>
                <w:rFonts w:ascii="Times New Roman" w:hAnsi="Times New Roman"/>
                <w:noProof/>
                <w:color w:val="000000"/>
              </w:rPr>
              <w:t>25.8</w:t>
            </w:r>
          </w:p>
        </w:tc>
        <w:tc>
          <w:tcPr>
            <w:tcW w:w="549" w:type="pct"/>
            <w:shd w:val="clear" w:color="000000" w:fill="FFFFFF"/>
          </w:tcPr>
          <w:p w14:paraId="6A399854" w14:textId="77777777" w:rsidR="00D25AC9" w:rsidRPr="00F85486" w:rsidRDefault="00D25AC9">
            <w:pPr>
              <w:pStyle w:val="Text4"/>
              <w:spacing w:before="0" w:after="0"/>
              <w:ind w:left="0"/>
              <w:jc w:val="right"/>
              <w:rPr>
                <w:rFonts w:ascii="Times New Roman" w:eastAsia="Calibri" w:hAnsi="Times New Roman"/>
                <w:bCs/>
                <w:noProof/>
                <w:color w:val="FFFFFF" w:themeColor="background1"/>
              </w:rPr>
            </w:pPr>
            <w:r w:rsidRPr="00F85486">
              <w:rPr>
                <w:rFonts w:ascii="Times New Roman" w:hAnsi="Times New Roman"/>
                <w:noProof/>
                <w:color w:val="000000"/>
              </w:rPr>
              <w:t>25.8</w:t>
            </w:r>
          </w:p>
        </w:tc>
      </w:tr>
      <w:tr w:rsidR="00D25AC9" w:rsidRPr="00F85486" w14:paraId="7A8E7C48" w14:textId="77777777" w:rsidTr="00D25AC9">
        <w:trPr>
          <w:trHeight w:val="200"/>
        </w:trPr>
        <w:tc>
          <w:tcPr>
            <w:tcW w:w="2862" w:type="pct"/>
            <w:noWrap/>
          </w:tcPr>
          <w:p w14:paraId="0FCCECB3" w14:textId="77777777" w:rsidR="00D25AC9" w:rsidRPr="00F85486" w:rsidRDefault="00D25AC9">
            <w:pPr>
              <w:pStyle w:val="Text4"/>
              <w:spacing w:before="0" w:after="0"/>
              <w:ind w:left="0"/>
              <w:rPr>
                <w:rFonts w:ascii="Times New Roman" w:eastAsia="Calibri" w:hAnsi="Times New Roman"/>
                <w:noProof/>
              </w:rPr>
            </w:pPr>
            <w:r w:rsidRPr="00F85486">
              <w:rPr>
                <w:rFonts w:ascii="Times New Roman" w:eastAsia="Calibri" w:hAnsi="Times New Roman"/>
                <w:noProof/>
              </w:rPr>
              <w:t xml:space="preserve">  One-off </w:t>
            </w:r>
            <w:r>
              <w:rPr>
                <w:rFonts w:ascii="Times New Roman" w:eastAsia="Calibri" w:hAnsi="Times New Roman"/>
                <w:noProof/>
              </w:rPr>
              <w:t xml:space="preserve">administrative </w:t>
            </w:r>
            <w:r w:rsidRPr="00F85486">
              <w:rPr>
                <w:rFonts w:ascii="Times New Roman" w:eastAsia="Calibri" w:hAnsi="Times New Roman"/>
                <w:noProof/>
              </w:rPr>
              <w:t xml:space="preserve">costs </w:t>
            </w:r>
          </w:p>
        </w:tc>
        <w:tc>
          <w:tcPr>
            <w:tcW w:w="490" w:type="pct"/>
            <w:shd w:val="clear" w:color="000000" w:fill="FFFFFF"/>
            <w:noWrap/>
          </w:tcPr>
          <w:p w14:paraId="43A135C4" w14:textId="77777777" w:rsidR="00D25AC9" w:rsidRPr="00F85486" w:rsidRDefault="00D25AC9">
            <w:pPr>
              <w:pStyle w:val="Text4"/>
              <w:spacing w:before="0" w:after="0"/>
              <w:ind w:left="0"/>
              <w:jc w:val="right"/>
              <w:rPr>
                <w:rFonts w:ascii="Times New Roman" w:eastAsia="Calibri" w:hAnsi="Times New Roman"/>
                <w:noProof/>
              </w:rPr>
            </w:pPr>
            <w:r w:rsidRPr="00F85486">
              <w:rPr>
                <w:rFonts w:ascii="Times New Roman" w:hAnsi="Times New Roman"/>
                <w:noProof/>
                <w:color w:val="000000"/>
              </w:rPr>
              <w:t>0</w:t>
            </w:r>
          </w:p>
        </w:tc>
        <w:tc>
          <w:tcPr>
            <w:tcW w:w="550" w:type="pct"/>
            <w:shd w:val="clear" w:color="000000" w:fill="FFFFFF"/>
            <w:noWrap/>
          </w:tcPr>
          <w:p w14:paraId="1A987686" w14:textId="77777777" w:rsidR="00D25AC9" w:rsidRPr="00F85486" w:rsidRDefault="00D25AC9">
            <w:pPr>
              <w:pStyle w:val="Text4"/>
              <w:spacing w:before="0" w:after="0"/>
              <w:ind w:left="0"/>
              <w:jc w:val="right"/>
              <w:rPr>
                <w:rFonts w:ascii="Times New Roman" w:eastAsia="Calibri" w:hAnsi="Times New Roman"/>
                <w:noProof/>
              </w:rPr>
            </w:pPr>
            <w:r w:rsidRPr="00F85486">
              <w:rPr>
                <w:rFonts w:ascii="Times New Roman" w:hAnsi="Times New Roman"/>
                <w:noProof/>
                <w:color w:val="000000"/>
              </w:rPr>
              <w:t>0</w:t>
            </w:r>
          </w:p>
        </w:tc>
        <w:tc>
          <w:tcPr>
            <w:tcW w:w="550" w:type="pct"/>
            <w:shd w:val="clear" w:color="000000" w:fill="FFFFFF"/>
            <w:noWrap/>
          </w:tcPr>
          <w:p w14:paraId="6607AFBF" w14:textId="77777777" w:rsidR="00D25AC9" w:rsidRPr="00F85486" w:rsidRDefault="00D25AC9">
            <w:pPr>
              <w:pStyle w:val="Text4"/>
              <w:spacing w:before="0" w:after="0"/>
              <w:ind w:left="0"/>
              <w:jc w:val="right"/>
              <w:rPr>
                <w:rFonts w:ascii="Times New Roman" w:eastAsia="Calibri" w:hAnsi="Times New Roman"/>
                <w:noProof/>
              </w:rPr>
            </w:pPr>
            <w:r w:rsidRPr="00F85486">
              <w:rPr>
                <w:rFonts w:ascii="Times New Roman" w:hAnsi="Times New Roman"/>
                <w:noProof/>
                <w:color w:val="000000"/>
              </w:rPr>
              <w:t>0</w:t>
            </w:r>
          </w:p>
        </w:tc>
        <w:tc>
          <w:tcPr>
            <w:tcW w:w="549" w:type="pct"/>
            <w:shd w:val="clear" w:color="000000" w:fill="FFFFFF"/>
          </w:tcPr>
          <w:p w14:paraId="4FEE0DA6" w14:textId="77777777" w:rsidR="00D25AC9" w:rsidRPr="00F85486" w:rsidRDefault="00D25AC9">
            <w:pPr>
              <w:pStyle w:val="Text4"/>
              <w:spacing w:before="0" w:after="0"/>
              <w:ind w:left="0"/>
              <w:jc w:val="right"/>
              <w:rPr>
                <w:rFonts w:ascii="Times New Roman" w:eastAsia="Calibri" w:hAnsi="Times New Roman"/>
                <w:noProof/>
              </w:rPr>
            </w:pPr>
            <w:r w:rsidRPr="00F85486">
              <w:rPr>
                <w:rFonts w:ascii="Times New Roman" w:hAnsi="Times New Roman"/>
                <w:noProof/>
                <w:color w:val="000000"/>
              </w:rPr>
              <w:t>0</w:t>
            </w:r>
          </w:p>
        </w:tc>
      </w:tr>
      <w:tr w:rsidR="00D25AC9" w:rsidRPr="00F85486" w14:paraId="5766E9B4" w14:textId="77777777" w:rsidTr="00D25AC9">
        <w:trPr>
          <w:trHeight w:val="200"/>
        </w:trPr>
        <w:tc>
          <w:tcPr>
            <w:tcW w:w="2862" w:type="pct"/>
            <w:noWrap/>
          </w:tcPr>
          <w:p w14:paraId="4742D456" w14:textId="77777777" w:rsidR="00D25AC9" w:rsidRPr="00F85486" w:rsidRDefault="00D25AC9" w:rsidP="00595DF7">
            <w:pPr>
              <w:pStyle w:val="Text4"/>
              <w:keepNext/>
              <w:spacing w:before="0" w:after="0"/>
              <w:ind w:left="0"/>
              <w:jc w:val="left"/>
              <w:rPr>
                <w:rFonts w:ascii="Times New Roman" w:eastAsia="Calibri" w:hAnsi="Times New Roman"/>
                <w:noProof/>
              </w:rPr>
            </w:pPr>
            <w:r w:rsidRPr="00F85486">
              <w:rPr>
                <w:rFonts w:ascii="Times New Roman" w:eastAsia="Calibri" w:hAnsi="Times New Roman"/>
                <w:noProof/>
              </w:rPr>
              <w:t xml:space="preserve">  Recurrent administrative cost</w:t>
            </w:r>
            <w:r>
              <w:rPr>
                <w:rFonts w:ascii="Times New Roman" w:eastAsia="Calibri" w:hAnsi="Times New Roman"/>
                <w:noProof/>
              </w:rPr>
              <w:t>s</w:t>
            </w:r>
            <w:r w:rsidRPr="00F85486">
              <w:rPr>
                <w:rFonts w:ascii="Times New Roman" w:eastAsia="Calibri" w:hAnsi="Times New Roman"/>
                <w:noProof/>
              </w:rPr>
              <w:t xml:space="preserve"> </w:t>
            </w:r>
          </w:p>
        </w:tc>
        <w:tc>
          <w:tcPr>
            <w:tcW w:w="490" w:type="pct"/>
            <w:shd w:val="clear" w:color="000000" w:fill="FFFFFF"/>
            <w:noWrap/>
          </w:tcPr>
          <w:p w14:paraId="69D8BC95" w14:textId="77777777" w:rsidR="00D25AC9" w:rsidRPr="00F85486" w:rsidRDefault="00D25AC9" w:rsidP="00595DF7">
            <w:pPr>
              <w:pStyle w:val="Text4"/>
              <w:keepNext/>
              <w:spacing w:before="0" w:after="0"/>
              <w:ind w:left="0"/>
              <w:jc w:val="right"/>
              <w:rPr>
                <w:rFonts w:ascii="Times New Roman" w:eastAsia="Calibri" w:hAnsi="Times New Roman"/>
                <w:noProof/>
              </w:rPr>
            </w:pPr>
            <w:r w:rsidRPr="00F85486">
              <w:rPr>
                <w:rFonts w:ascii="Times New Roman" w:hAnsi="Times New Roman"/>
                <w:noProof/>
                <w:color w:val="000000"/>
              </w:rPr>
              <w:t>25.8</w:t>
            </w:r>
          </w:p>
        </w:tc>
        <w:tc>
          <w:tcPr>
            <w:tcW w:w="550" w:type="pct"/>
            <w:shd w:val="clear" w:color="000000" w:fill="FFFFFF"/>
            <w:noWrap/>
          </w:tcPr>
          <w:p w14:paraId="3AC79C10" w14:textId="77777777" w:rsidR="00D25AC9" w:rsidRPr="00F85486" w:rsidRDefault="00D25AC9" w:rsidP="00595DF7">
            <w:pPr>
              <w:pStyle w:val="Text4"/>
              <w:keepNext/>
              <w:spacing w:before="0" w:after="0"/>
              <w:ind w:left="0"/>
              <w:jc w:val="right"/>
              <w:rPr>
                <w:rFonts w:ascii="Times New Roman" w:eastAsia="Calibri" w:hAnsi="Times New Roman"/>
                <w:noProof/>
              </w:rPr>
            </w:pPr>
            <w:r w:rsidRPr="00F85486">
              <w:rPr>
                <w:rFonts w:ascii="Times New Roman" w:hAnsi="Times New Roman"/>
                <w:noProof/>
                <w:color w:val="000000"/>
              </w:rPr>
              <w:t>25.8</w:t>
            </w:r>
          </w:p>
        </w:tc>
        <w:tc>
          <w:tcPr>
            <w:tcW w:w="550" w:type="pct"/>
            <w:shd w:val="clear" w:color="000000" w:fill="FFFFFF"/>
            <w:noWrap/>
          </w:tcPr>
          <w:p w14:paraId="16BAD5ED" w14:textId="77777777" w:rsidR="00D25AC9" w:rsidRPr="00F85486" w:rsidRDefault="00D25AC9" w:rsidP="00595DF7">
            <w:pPr>
              <w:pStyle w:val="Text4"/>
              <w:keepNext/>
              <w:spacing w:before="0" w:after="0"/>
              <w:ind w:left="0"/>
              <w:jc w:val="right"/>
              <w:rPr>
                <w:rFonts w:ascii="Times New Roman" w:eastAsia="Calibri" w:hAnsi="Times New Roman"/>
                <w:noProof/>
              </w:rPr>
            </w:pPr>
            <w:r w:rsidRPr="00F85486">
              <w:rPr>
                <w:rFonts w:ascii="Times New Roman" w:hAnsi="Times New Roman"/>
                <w:noProof/>
                <w:color w:val="000000"/>
              </w:rPr>
              <w:t>25.8</w:t>
            </w:r>
          </w:p>
        </w:tc>
        <w:tc>
          <w:tcPr>
            <w:tcW w:w="549" w:type="pct"/>
            <w:shd w:val="clear" w:color="000000" w:fill="FFFFFF"/>
          </w:tcPr>
          <w:p w14:paraId="18AD9CD9" w14:textId="77777777" w:rsidR="00D25AC9" w:rsidRPr="00F85486" w:rsidRDefault="00D25AC9" w:rsidP="00595DF7">
            <w:pPr>
              <w:pStyle w:val="Text4"/>
              <w:keepNext/>
              <w:spacing w:before="0" w:after="0"/>
              <w:ind w:left="0"/>
              <w:jc w:val="right"/>
              <w:rPr>
                <w:rFonts w:ascii="Times New Roman" w:eastAsia="Calibri" w:hAnsi="Times New Roman"/>
                <w:noProof/>
              </w:rPr>
            </w:pPr>
            <w:r w:rsidRPr="00F85486">
              <w:rPr>
                <w:rFonts w:ascii="Times New Roman" w:hAnsi="Times New Roman"/>
                <w:noProof/>
                <w:color w:val="000000"/>
              </w:rPr>
              <w:t>25.8</w:t>
            </w:r>
          </w:p>
        </w:tc>
      </w:tr>
    </w:tbl>
    <w:p w14:paraId="6A7CAB58" w14:textId="77777777" w:rsidR="00D25AC9" w:rsidRPr="00D71008" w:rsidRDefault="00D25AC9" w:rsidP="00595DF7">
      <w:pPr>
        <w:keepNext/>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1521AC9B" w14:textId="2D807CE5" w:rsidR="009D6993" w:rsidRPr="006D42D9" w:rsidRDefault="009D6993" w:rsidP="009D6993">
      <w:pPr>
        <w:pStyle w:val="Text1"/>
        <w:ind w:left="0"/>
        <w:rPr>
          <w:i/>
          <w:noProof/>
          <w:szCs w:val="24"/>
        </w:rPr>
      </w:pPr>
      <w:r w:rsidRPr="006D42D9">
        <w:rPr>
          <w:i/>
          <w:noProof/>
          <w:szCs w:val="24"/>
        </w:rPr>
        <w:t xml:space="preserve">Recurrent enforcement costs for national authorities </w:t>
      </w:r>
    </w:p>
    <w:p w14:paraId="47E7782C" w14:textId="6139753E" w:rsidR="009D6993" w:rsidRPr="002E4456" w:rsidRDefault="009D6993" w:rsidP="009D6993">
      <w:pPr>
        <w:pStyle w:val="Text4"/>
        <w:spacing w:before="0" w:after="240"/>
        <w:ind w:left="0"/>
        <w:rPr>
          <w:rFonts w:ascii="Times New Roman" w:eastAsia="Calibri" w:hAnsi="Times New Roman"/>
          <w:noProof/>
          <w:spacing w:val="-8"/>
          <w:sz w:val="24"/>
          <w:szCs w:val="24"/>
        </w:rPr>
      </w:pPr>
      <w:r w:rsidRPr="009510BD">
        <w:rPr>
          <w:rFonts w:ascii="Times New Roman" w:eastAsia="Calibri" w:hAnsi="Times New Roman"/>
          <w:noProof/>
          <w:spacing w:val="-8"/>
          <w:sz w:val="24"/>
          <w:szCs w:val="24"/>
        </w:rPr>
        <w:t xml:space="preserve">Based on stakeholder feedback </w:t>
      </w:r>
      <w:r w:rsidR="00363BF2" w:rsidRPr="009510BD">
        <w:rPr>
          <w:rFonts w:ascii="Times New Roman" w:eastAsia="Calibri" w:hAnsi="Times New Roman"/>
          <w:noProof/>
          <w:spacing w:val="-8"/>
          <w:sz w:val="24"/>
          <w:szCs w:val="24"/>
        </w:rPr>
        <w:t>the new rules</w:t>
      </w:r>
      <w:r w:rsidRPr="009510BD">
        <w:rPr>
          <w:rFonts w:ascii="Times New Roman" w:eastAsia="Calibri" w:hAnsi="Times New Roman"/>
          <w:noProof/>
          <w:spacing w:val="-8"/>
          <w:sz w:val="24"/>
          <w:szCs w:val="24"/>
        </w:rPr>
        <w:t xml:space="preserve"> will require labour effort for monitoring the enforcement of the obligations</w:t>
      </w:r>
      <w:r w:rsidR="003604E5" w:rsidRPr="009510BD">
        <w:rPr>
          <w:rFonts w:ascii="Times New Roman" w:eastAsia="Calibri" w:hAnsi="Times New Roman"/>
          <w:noProof/>
          <w:spacing w:val="-8"/>
          <w:sz w:val="24"/>
          <w:szCs w:val="24"/>
        </w:rPr>
        <w:t xml:space="preserve"> and monitor the market for entities with SMP</w:t>
      </w:r>
      <w:r w:rsidRPr="009510BD">
        <w:rPr>
          <w:rFonts w:ascii="Times New Roman" w:eastAsia="Calibri" w:hAnsi="Times New Roman"/>
          <w:noProof/>
          <w:spacing w:val="-8"/>
          <w:sz w:val="24"/>
          <w:szCs w:val="24"/>
        </w:rPr>
        <w:t xml:space="preserve">. </w:t>
      </w:r>
      <w:r w:rsidR="00F42A94">
        <w:rPr>
          <w:rFonts w:ascii="Times New Roman" w:eastAsia="Calibri" w:hAnsi="Times New Roman"/>
          <w:noProof/>
          <w:spacing w:val="-8"/>
          <w:sz w:val="24"/>
          <w:szCs w:val="24"/>
        </w:rPr>
        <w:t xml:space="preserve">Maximum </w:t>
      </w:r>
      <w:r w:rsidR="00181780" w:rsidRPr="009510BD">
        <w:rPr>
          <w:rFonts w:ascii="Times New Roman" w:eastAsia="Calibri" w:hAnsi="Times New Roman"/>
          <w:noProof/>
          <w:spacing w:val="-8"/>
          <w:sz w:val="24"/>
          <w:szCs w:val="24"/>
        </w:rPr>
        <w:t>4</w:t>
      </w:r>
      <w:r w:rsidRPr="009510BD">
        <w:rPr>
          <w:rFonts w:ascii="Times New Roman" w:eastAsia="Calibri" w:hAnsi="Times New Roman"/>
          <w:noProof/>
          <w:spacing w:val="-8"/>
          <w:sz w:val="24"/>
          <w:szCs w:val="24"/>
        </w:rPr>
        <w:t xml:space="preserve"> FTEs were estimated to be needed by Member State, noting that costs are difficult to separate by individual policy measure. Taking into account the hourly rates presented in section 3.2 of Annex 4, the recurrent enforcement costs </w:t>
      </w:r>
      <w:r w:rsidR="00D20F46" w:rsidRPr="009510BD">
        <w:rPr>
          <w:rFonts w:ascii="Times New Roman" w:eastAsia="Calibri" w:hAnsi="Times New Roman"/>
          <w:noProof/>
          <w:spacing w:val="-8"/>
          <w:sz w:val="24"/>
          <w:szCs w:val="24"/>
        </w:rPr>
        <w:t xml:space="preserve">by </w:t>
      </w:r>
      <w:r w:rsidR="00DE013F" w:rsidRPr="009510BD">
        <w:rPr>
          <w:rFonts w:ascii="Times New Roman" w:eastAsia="Calibri" w:hAnsi="Times New Roman"/>
          <w:noProof/>
          <w:spacing w:val="-8"/>
          <w:sz w:val="24"/>
          <w:szCs w:val="24"/>
        </w:rPr>
        <w:t xml:space="preserve">Member State </w:t>
      </w:r>
      <w:r w:rsidRPr="009510BD">
        <w:rPr>
          <w:rFonts w:ascii="Times New Roman" w:eastAsia="Calibri" w:hAnsi="Times New Roman"/>
          <w:noProof/>
          <w:spacing w:val="-8"/>
          <w:sz w:val="24"/>
          <w:szCs w:val="24"/>
        </w:rPr>
        <w:t xml:space="preserve">are estimated at EUR </w:t>
      </w:r>
      <w:r w:rsidR="00E8169A" w:rsidRPr="009510BD">
        <w:rPr>
          <w:rFonts w:ascii="Times New Roman" w:eastAsia="Calibri" w:hAnsi="Times New Roman"/>
          <w:noProof/>
          <w:spacing w:val="-8"/>
          <w:sz w:val="24"/>
          <w:szCs w:val="24"/>
        </w:rPr>
        <w:t>226,106</w:t>
      </w:r>
      <w:r w:rsidRPr="009510BD">
        <w:rPr>
          <w:rFonts w:ascii="Times New Roman" w:eastAsia="Calibri" w:hAnsi="Times New Roman"/>
          <w:noProof/>
          <w:spacing w:val="-8"/>
          <w:sz w:val="24"/>
          <w:szCs w:val="24"/>
        </w:rPr>
        <w:t xml:space="preserve">, or EUR </w:t>
      </w:r>
      <w:r w:rsidR="00E8169A" w:rsidRPr="009510BD">
        <w:rPr>
          <w:rFonts w:ascii="Times New Roman" w:eastAsia="Calibri" w:hAnsi="Times New Roman"/>
          <w:noProof/>
          <w:spacing w:val="-8"/>
          <w:sz w:val="24"/>
          <w:szCs w:val="24"/>
        </w:rPr>
        <w:t>6.1</w:t>
      </w:r>
      <w:r w:rsidRPr="009510BD">
        <w:rPr>
          <w:rFonts w:ascii="Times New Roman" w:eastAsia="Calibri" w:hAnsi="Times New Roman"/>
          <w:noProof/>
          <w:spacing w:val="-8"/>
          <w:sz w:val="24"/>
          <w:szCs w:val="24"/>
        </w:rPr>
        <w:t xml:space="preserve"> million at EU level from 2028 onwards in all policy options. Expressed as present value over 2028-2050 relative to the baseline, they are estimated at EUR </w:t>
      </w:r>
      <w:r w:rsidR="002A5917" w:rsidRPr="009510BD">
        <w:rPr>
          <w:rFonts w:ascii="Times New Roman" w:eastAsia="Calibri" w:hAnsi="Times New Roman"/>
          <w:noProof/>
          <w:spacing w:val="-8"/>
          <w:sz w:val="24"/>
          <w:szCs w:val="24"/>
        </w:rPr>
        <w:t>106.5</w:t>
      </w:r>
      <w:r w:rsidRPr="009510BD">
        <w:rPr>
          <w:rFonts w:ascii="Times New Roman" w:eastAsia="Calibri" w:hAnsi="Times New Roman"/>
          <w:noProof/>
          <w:spacing w:val="-8"/>
          <w:sz w:val="24"/>
          <w:szCs w:val="24"/>
        </w:rPr>
        <w:t xml:space="preserve"> million in all policy options.</w:t>
      </w:r>
      <w:r w:rsidRPr="002E4456">
        <w:rPr>
          <w:rFonts w:ascii="Times New Roman" w:eastAsia="Calibri" w:hAnsi="Times New Roman"/>
          <w:noProof/>
          <w:spacing w:val="-8"/>
          <w:sz w:val="24"/>
          <w:szCs w:val="24"/>
        </w:rPr>
        <w:t xml:space="preserve">    </w:t>
      </w:r>
    </w:p>
    <w:p w14:paraId="15F9FCDD" w14:textId="1D42D8B5" w:rsidR="009D6993" w:rsidRPr="00DB078C" w:rsidRDefault="009D6993" w:rsidP="00BE39B9">
      <w:pPr>
        <w:keepNext/>
        <w:tabs>
          <w:tab w:val="left" w:pos="1134"/>
        </w:tabs>
        <w:jc w:val="both"/>
        <w:rPr>
          <w:i/>
          <w:noProof/>
          <w:sz w:val="22"/>
          <w:szCs w:val="22"/>
        </w:rPr>
      </w:pPr>
      <w:r w:rsidRPr="00DB078C">
        <w:rPr>
          <w:i/>
          <w:noProof/>
          <w:sz w:val="22"/>
          <w:szCs w:val="22"/>
        </w:rPr>
        <w:t xml:space="preserve">Table </w:t>
      </w:r>
      <w:r w:rsidRPr="00DB078C">
        <w:rPr>
          <w:i/>
          <w:noProof/>
          <w:sz w:val="22"/>
          <w:szCs w:val="22"/>
        </w:rPr>
        <w:fldChar w:fldCharType="begin"/>
      </w:r>
      <w:r w:rsidRPr="00DB078C">
        <w:rPr>
          <w:i/>
          <w:noProof/>
          <w:sz w:val="22"/>
          <w:szCs w:val="22"/>
        </w:rPr>
        <w:instrText xml:space="preserve"> SEQ Table \* ARABIC </w:instrText>
      </w:r>
      <w:r w:rsidRPr="00DB078C">
        <w:rPr>
          <w:i/>
          <w:noProof/>
          <w:sz w:val="22"/>
          <w:szCs w:val="22"/>
        </w:rPr>
        <w:fldChar w:fldCharType="separate"/>
      </w:r>
      <w:r w:rsidR="0055391F">
        <w:rPr>
          <w:i/>
          <w:noProof/>
          <w:sz w:val="22"/>
          <w:szCs w:val="22"/>
        </w:rPr>
        <w:t>87</w:t>
      </w:r>
      <w:r w:rsidRPr="00DB078C">
        <w:rPr>
          <w:i/>
          <w:noProof/>
          <w:sz w:val="22"/>
          <w:szCs w:val="22"/>
        </w:rPr>
        <w:fldChar w:fldCharType="end"/>
      </w:r>
      <w:r w:rsidRPr="00DB078C">
        <w:rPr>
          <w:i/>
          <w:noProof/>
          <w:sz w:val="22"/>
          <w:szCs w:val="22"/>
        </w:rPr>
        <w:t>: Recurrent enforcement costs for national authorities due to PM</w:t>
      </w:r>
      <w:r w:rsidR="00FC370D" w:rsidRPr="00DB078C">
        <w:rPr>
          <w:i/>
          <w:noProof/>
          <w:sz w:val="22"/>
          <w:szCs w:val="22"/>
        </w:rPr>
        <w:t>6</w:t>
      </w:r>
      <w:r w:rsidRPr="00DB078C">
        <w:rPr>
          <w:i/>
          <w:noProof/>
          <w:sz w:val="22"/>
          <w:szCs w:val="22"/>
        </w:rPr>
        <w:t xml:space="preserve"> in all policy options in 2028, 2030, 2040 and 2050 relative to the baseline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7"/>
        <w:gridCol w:w="1091"/>
        <w:gridCol w:w="1091"/>
        <w:gridCol w:w="1091"/>
        <w:gridCol w:w="1093"/>
      </w:tblGrid>
      <w:tr w:rsidR="009D6993" w:rsidRPr="002E4456" w14:paraId="0AD29322" w14:textId="77777777" w:rsidTr="00BE39B9">
        <w:trPr>
          <w:trHeight w:val="255"/>
          <w:tblHeader/>
        </w:trPr>
        <w:tc>
          <w:tcPr>
            <w:tcW w:w="2727" w:type="pct"/>
            <w:shd w:val="clear" w:color="auto" w:fill="0070C0"/>
            <w:noWrap/>
            <w:hideMark/>
          </w:tcPr>
          <w:p w14:paraId="32666BB3" w14:textId="77777777" w:rsidR="009D6993" w:rsidRPr="00BE39B9" w:rsidRDefault="009D6993" w:rsidP="00BE39B9">
            <w:pPr>
              <w:pStyle w:val="Text4"/>
              <w:keepNext/>
              <w:spacing w:before="0" w:after="0"/>
              <w:ind w:left="0"/>
              <w:rPr>
                <w:rFonts w:ascii="Times New Roman" w:eastAsia="Calibri" w:hAnsi="Times New Roman"/>
                <w:b/>
                <w:noProof/>
                <w:color w:val="FFFFFF" w:themeColor="background1"/>
              </w:rPr>
            </w:pPr>
            <w:r w:rsidRPr="00BE39B9">
              <w:rPr>
                <w:rFonts w:ascii="Times New Roman" w:eastAsia="Calibri" w:hAnsi="Times New Roman"/>
                <w:b/>
                <w:noProof/>
                <w:color w:val="FFFFFF" w:themeColor="background1"/>
              </w:rPr>
              <w:t> </w:t>
            </w:r>
          </w:p>
        </w:tc>
        <w:tc>
          <w:tcPr>
            <w:tcW w:w="568" w:type="pct"/>
            <w:shd w:val="clear" w:color="auto" w:fill="0070C0"/>
            <w:noWrap/>
            <w:hideMark/>
          </w:tcPr>
          <w:p w14:paraId="1E3E7B76" w14:textId="77777777" w:rsidR="009D6993" w:rsidRPr="00BE39B9" w:rsidRDefault="009D6993" w:rsidP="00BE39B9">
            <w:pPr>
              <w:pStyle w:val="Text4"/>
              <w:keepNext/>
              <w:spacing w:before="0" w:after="0"/>
              <w:ind w:left="0"/>
              <w:jc w:val="center"/>
              <w:rPr>
                <w:rFonts w:ascii="Times New Roman" w:eastAsia="Calibri" w:hAnsi="Times New Roman"/>
                <w:b/>
                <w:noProof/>
                <w:color w:val="FFFFFF" w:themeColor="background1"/>
              </w:rPr>
            </w:pPr>
            <w:r w:rsidRPr="00BE39B9">
              <w:rPr>
                <w:rFonts w:ascii="Times New Roman" w:eastAsia="Calibri" w:hAnsi="Times New Roman"/>
                <w:b/>
                <w:noProof/>
                <w:color w:val="FFFFFF" w:themeColor="background1"/>
              </w:rPr>
              <w:t>2028</w:t>
            </w:r>
          </w:p>
        </w:tc>
        <w:tc>
          <w:tcPr>
            <w:tcW w:w="568" w:type="pct"/>
            <w:shd w:val="clear" w:color="auto" w:fill="0070C0"/>
            <w:noWrap/>
            <w:hideMark/>
          </w:tcPr>
          <w:p w14:paraId="5E1311A4" w14:textId="77777777" w:rsidR="009D6993" w:rsidRPr="00BE39B9" w:rsidRDefault="009D6993" w:rsidP="00BE39B9">
            <w:pPr>
              <w:pStyle w:val="Text4"/>
              <w:keepNext/>
              <w:spacing w:before="0" w:after="0"/>
              <w:ind w:left="0"/>
              <w:jc w:val="center"/>
              <w:rPr>
                <w:rFonts w:ascii="Times New Roman" w:eastAsia="Calibri" w:hAnsi="Times New Roman"/>
                <w:b/>
                <w:noProof/>
                <w:color w:val="FFFFFF" w:themeColor="background1"/>
              </w:rPr>
            </w:pPr>
            <w:r w:rsidRPr="00BE39B9">
              <w:rPr>
                <w:rFonts w:ascii="Times New Roman" w:eastAsia="Calibri" w:hAnsi="Times New Roman"/>
                <w:b/>
                <w:noProof/>
                <w:color w:val="FFFFFF" w:themeColor="background1"/>
              </w:rPr>
              <w:t>2030</w:t>
            </w:r>
          </w:p>
        </w:tc>
        <w:tc>
          <w:tcPr>
            <w:tcW w:w="568" w:type="pct"/>
            <w:shd w:val="clear" w:color="auto" w:fill="0070C0"/>
            <w:noWrap/>
            <w:hideMark/>
          </w:tcPr>
          <w:p w14:paraId="1C98AE20" w14:textId="77777777" w:rsidR="009D6993" w:rsidRPr="00BE39B9" w:rsidRDefault="009D6993" w:rsidP="00BE39B9">
            <w:pPr>
              <w:pStyle w:val="Text4"/>
              <w:keepNext/>
              <w:spacing w:before="0" w:after="0"/>
              <w:ind w:left="0"/>
              <w:jc w:val="center"/>
              <w:rPr>
                <w:rFonts w:ascii="Times New Roman" w:eastAsia="Calibri" w:hAnsi="Times New Roman"/>
                <w:b/>
                <w:noProof/>
                <w:color w:val="FFFFFF" w:themeColor="background1"/>
              </w:rPr>
            </w:pPr>
            <w:r w:rsidRPr="00BE39B9">
              <w:rPr>
                <w:rFonts w:ascii="Times New Roman" w:eastAsia="Calibri" w:hAnsi="Times New Roman"/>
                <w:b/>
                <w:noProof/>
                <w:color w:val="FFFFFF" w:themeColor="background1"/>
              </w:rPr>
              <w:t>2040</w:t>
            </w:r>
          </w:p>
        </w:tc>
        <w:tc>
          <w:tcPr>
            <w:tcW w:w="569" w:type="pct"/>
            <w:shd w:val="clear" w:color="auto" w:fill="0070C0"/>
            <w:noWrap/>
            <w:hideMark/>
          </w:tcPr>
          <w:p w14:paraId="285CCA88" w14:textId="77777777" w:rsidR="009D6993" w:rsidRPr="00BE39B9" w:rsidRDefault="009D6993" w:rsidP="00BE39B9">
            <w:pPr>
              <w:pStyle w:val="Text4"/>
              <w:keepNext/>
              <w:spacing w:before="0" w:after="0"/>
              <w:ind w:left="0"/>
              <w:jc w:val="center"/>
              <w:rPr>
                <w:rFonts w:ascii="Times New Roman" w:eastAsia="Calibri" w:hAnsi="Times New Roman"/>
                <w:b/>
                <w:noProof/>
                <w:color w:val="FFFFFF" w:themeColor="background1"/>
              </w:rPr>
            </w:pPr>
            <w:r w:rsidRPr="00BE39B9">
              <w:rPr>
                <w:rFonts w:ascii="Times New Roman" w:eastAsia="Calibri" w:hAnsi="Times New Roman"/>
                <w:b/>
                <w:noProof/>
                <w:color w:val="FFFFFF" w:themeColor="background1"/>
              </w:rPr>
              <w:t>2050</w:t>
            </w:r>
          </w:p>
        </w:tc>
      </w:tr>
      <w:tr w:rsidR="00856E1E" w:rsidRPr="00B36215" w14:paraId="57F13E8C" w14:textId="77777777" w:rsidTr="00856E1E">
        <w:trPr>
          <w:trHeight w:val="255"/>
        </w:trPr>
        <w:tc>
          <w:tcPr>
            <w:tcW w:w="2727" w:type="pct"/>
            <w:noWrap/>
            <w:hideMark/>
          </w:tcPr>
          <w:p w14:paraId="4B633D04" w14:textId="77777777" w:rsidR="00856E1E" w:rsidRPr="00B36215" w:rsidRDefault="00856E1E" w:rsidP="00856E1E">
            <w:pPr>
              <w:pStyle w:val="Text4"/>
              <w:spacing w:before="0" w:after="0"/>
              <w:ind w:left="0"/>
              <w:rPr>
                <w:rFonts w:ascii="Times New Roman" w:eastAsia="Calibri" w:hAnsi="Times New Roman"/>
                <w:noProof/>
              </w:rPr>
            </w:pPr>
            <w:r w:rsidRPr="00B36215">
              <w:rPr>
                <w:rFonts w:ascii="Times New Roman" w:hAnsi="Times New Roman"/>
                <w:noProof/>
              </w:rPr>
              <w:t xml:space="preserve"> Cost for monitoring enforcement per Member State (EUR) </w:t>
            </w:r>
          </w:p>
        </w:tc>
        <w:tc>
          <w:tcPr>
            <w:tcW w:w="568" w:type="pct"/>
            <w:noWrap/>
            <w:hideMark/>
          </w:tcPr>
          <w:p w14:paraId="3928AF1A" w14:textId="4A51D146" w:rsidR="00856E1E" w:rsidRPr="00B36215" w:rsidRDefault="00856E1E" w:rsidP="00856E1E">
            <w:pPr>
              <w:pStyle w:val="Text4"/>
              <w:spacing w:before="0" w:after="0"/>
              <w:ind w:left="0"/>
              <w:jc w:val="right"/>
              <w:rPr>
                <w:rFonts w:ascii="Times New Roman" w:eastAsia="Calibri" w:hAnsi="Times New Roman"/>
                <w:noProof/>
              </w:rPr>
            </w:pPr>
            <w:r w:rsidRPr="00B36215">
              <w:rPr>
                <w:rFonts w:ascii="Times New Roman" w:eastAsia="Calibri" w:hAnsi="Times New Roman"/>
                <w:noProof/>
                <w:spacing w:val="-8"/>
              </w:rPr>
              <w:t>226,106</w:t>
            </w:r>
          </w:p>
        </w:tc>
        <w:tc>
          <w:tcPr>
            <w:tcW w:w="568" w:type="pct"/>
            <w:noWrap/>
            <w:hideMark/>
          </w:tcPr>
          <w:p w14:paraId="68D23A74" w14:textId="184B30A8" w:rsidR="00856E1E" w:rsidRPr="00B36215" w:rsidRDefault="00856E1E" w:rsidP="00856E1E">
            <w:pPr>
              <w:pStyle w:val="Text4"/>
              <w:spacing w:before="0" w:after="0"/>
              <w:ind w:left="0"/>
              <w:jc w:val="right"/>
              <w:rPr>
                <w:rFonts w:ascii="Times New Roman" w:eastAsia="Calibri" w:hAnsi="Times New Roman"/>
                <w:noProof/>
              </w:rPr>
            </w:pPr>
            <w:r w:rsidRPr="00B36215">
              <w:rPr>
                <w:rFonts w:ascii="Times New Roman" w:eastAsia="Calibri" w:hAnsi="Times New Roman"/>
                <w:noProof/>
                <w:spacing w:val="-8"/>
              </w:rPr>
              <w:t>226,106</w:t>
            </w:r>
          </w:p>
        </w:tc>
        <w:tc>
          <w:tcPr>
            <w:tcW w:w="568" w:type="pct"/>
            <w:noWrap/>
            <w:hideMark/>
          </w:tcPr>
          <w:p w14:paraId="64197551" w14:textId="7FA939B8" w:rsidR="00856E1E" w:rsidRPr="00B36215" w:rsidRDefault="00856E1E" w:rsidP="00856E1E">
            <w:pPr>
              <w:pStyle w:val="Text4"/>
              <w:spacing w:before="0" w:after="0"/>
              <w:ind w:left="0"/>
              <w:jc w:val="right"/>
              <w:rPr>
                <w:rFonts w:ascii="Times New Roman" w:eastAsia="Calibri" w:hAnsi="Times New Roman"/>
                <w:noProof/>
              </w:rPr>
            </w:pPr>
            <w:r w:rsidRPr="00B36215">
              <w:rPr>
                <w:rFonts w:ascii="Times New Roman" w:eastAsia="Calibri" w:hAnsi="Times New Roman"/>
                <w:noProof/>
                <w:spacing w:val="-8"/>
              </w:rPr>
              <w:t>226,106</w:t>
            </w:r>
          </w:p>
        </w:tc>
        <w:tc>
          <w:tcPr>
            <w:tcW w:w="569" w:type="pct"/>
            <w:noWrap/>
            <w:hideMark/>
          </w:tcPr>
          <w:p w14:paraId="3FB683F6" w14:textId="2F3D955E" w:rsidR="00856E1E" w:rsidRPr="00B36215" w:rsidRDefault="00856E1E" w:rsidP="00856E1E">
            <w:pPr>
              <w:pStyle w:val="Text4"/>
              <w:spacing w:before="0" w:after="0"/>
              <w:ind w:left="0"/>
              <w:jc w:val="right"/>
              <w:rPr>
                <w:rFonts w:ascii="Times New Roman" w:eastAsia="Calibri" w:hAnsi="Times New Roman"/>
                <w:noProof/>
              </w:rPr>
            </w:pPr>
            <w:r w:rsidRPr="00B36215">
              <w:rPr>
                <w:rFonts w:ascii="Times New Roman" w:eastAsia="Calibri" w:hAnsi="Times New Roman"/>
                <w:noProof/>
                <w:spacing w:val="-8"/>
              </w:rPr>
              <w:t>226,106</w:t>
            </w:r>
          </w:p>
        </w:tc>
      </w:tr>
      <w:tr w:rsidR="009D6993" w:rsidRPr="002E4456" w14:paraId="3386DB37" w14:textId="77777777" w:rsidTr="00856E1E">
        <w:trPr>
          <w:trHeight w:val="255"/>
        </w:trPr>
        <w:tc>
          <w:tcPr>
            <w:tcW w:w="2727" w:type="pct"/>
            <w:noWrap/>
            <w:hideMark/>
          </w:tcPr>
          <w:p w14:paraId="5CF953F4" w14:textId="77777777" w:rsidR="009D6993" w:rsidRPr="002E4456" w:rsidRDefault="009D6993" w:rsidP="00856E1E">
            <w:pPr>
              <w:pStyle w:val="Text4"/>
              <w:spacing w:before="0" w:after="0"/>
              <w:ind w:left="0"/>
              <w:rPr>
                <w:rFonts w:ascii="Times New Roman" w:eastAsia="Calibri" w:hAnsi="Times New Roman"/>
                <w:noProof/>
              </w:rPr>
            </w:pPr>
            <w:r w:rsidRPr="002E4456">
              <w:rPr>
                <w:rFonts w:ascii="Times New Roman" w:hAnsi="Times New Roman"/>
                <w:b/>
                <w:bCs/>
                <w:noProof/>
              </w:rPr>
              <w:t xml:space="preserve"> All policy options </w:t>
            </w:r>
          </w:p>
        </w:tc>
        <w:tc>
          <w:tcPr>
            <w:tcW w:w="568" w:type="pct"/>
            <w:noWrap/>
            <w:hideMark/>
          </w:tcPr>
          <w:p w14:paraId="6416A256" w14:textId="77777777" w:rsidR="009D6993" w:rsidRPr="002E4456" w:rsidRDefault="009D6993" w:rsidP="00856E1E">
            <w:pPr>
              <w:pStyle w:val="Text4"/>
              <w:spacing w:before="0" w:after="0"/>
              <w:ind w:left="0"/>
              <w:jc w:val="right"/>
              <w:rPr>
                <w:rFonts w:ascii="Times New Roman" w:eastAsia="Calibri" w:hAnsi="Times New Roman"/>
                <w:noProof/>
              </w:rPr>
            </w:pPr>
            <w:r w:rsidRPr="002E4456">
              <w:rPr>
                <w:rFonts w:ascii="Times New Roman" w:hAnsi="Times New Roman"/>
                <w:noProof/>
              </w:rPr>
              <w:t> </w:t>
            </w:r>
          </w:p>
        </w:tc>
        <w:tc>
          <w:tcPr>
            <w:tcW w:w="568" w:type="pct"/>
            <w:noWrap/>
            <w:hideMark/>
          </w:tcPr>
          <w:p w14:paraId="535EB042" w14:textId="77777777" w:rsidR="009D6993" w:rsidRPr="002E4456" w:rsidRDefault="009D6993" w:rsidP="00856E1E">
            <w:pPr>
              <w:pStyle w:val="Text4"/>
              <w:spacing w:before="0" w:after="0"/>
              <w:ind w:left="0"/>
              <w:jc w:val="right"/>
              <w:rPr>
                <w:rFonts w:ascii="Times New Roman" w:eastAsia="Calibri" w:hAnsi="Times New Roman"/>
                <w:noProof/>
              </w:rPr>
            </w:pPr>
            <w:r w:rsidRPr="002E4456">
              <w:rPr>
                <w:rFonts w:ascii="Times New Roman" w:hAnsi="Times New Roman"/>
                <w:noProof/>
              </w:rPr>
              <w:t> </w:t>
            </w:r>
          </w:p>
        </w:tc>
        <w:tc>
          <w:tcPr>
            <w:tcW w:w="568" w:type="pct"/>
            <w:noWrap/>
            <w:hideMark/>
          </w:tcPr>
          <w:p w14:paraId="729CA6D8" w14:textId="77777777" w:rsidR="009D6993" w:rsidRPr="002E4456" w:rsidRDefault="009D6993" w:rsidP="00856E1E">
            <w:pPr>
              <w:pStyle w:val="Text4"/>
              <w:spacing w:before="0" w:after="0"/>
              <w:ind w:left="0"/>
              <w:jc w:val="right"/>
              <w:rPr>
                <w:rFonts w:ascii="Times New Roman" w:eastAsia="Calibri" w:hAnsi="Times New Roman"/>
                <w:noProof/>
              </w:rPr>
            </w:pPr>
            <w:r w:rsidRPr="002E4456">
              <w:rPr>
                <w:rFonts w:ascii="Times New Roman" w:hAnsi="Times New Roman"/>
                <w:noProof/>
              </w:rPr>
              <w:t> </w:t>
            </w:r>
          </w:p>
        </w:tc>
        <w:tc>
          <w:tcPr>
            <w:tcW w:w="569" w:type="pct"/>
            <w:noWrap/>
            <w:hideMark/>
          </w:tcPr>
          <w:p w14:paraId="7EB9A89F" w14:textId="77777777" w:rsidR="009D6993" w:rsidRPr="002E4456" w:rsidRDefault="009D6993" w:rsidP="00856E1E">
            <w:pPr>
              <w:pStyle w:val="Text4"/>
              <w:spacing w:before="0" w:after="0"/>
              <w:ind w:left="0"/>
              <w:jc w:val="right"/>
              <w:rPr>
                <w:rFonts w:ascii="Times New Roman" w:eastAsia="Calibri" w:hAnsi="Times New Roman"/>
                <w:noProof/>
              </w:rPr>
            </w:pPr>
            <w:r w:rsidRPr="002E4456">
              <w:rPr>
                <w:rFonts w:ascii="Times New Roman" w:hAnsi="Times New Roman"/>
                <w:noProof/>
              </w:rPr>
              <w:t> </w:t>
            </w:r>
          </w:p>
        </w:tc>
      </w:tr>
      <w:tr w:rsidR="00A05413" w:rsidRPr="002E4456" w14:paraId="49E75E9E" w14:textId="77777777" w:rsidTr="00856E1E">
        <w:trPr>
          <w:trHeight w:val="255"/>
        </w:trPr>
        <w:tc>
          <w:tcPr>
            <w:tcW w:w="2727" w:type="pct"/>
            <w:noWrap/>
            <w:hideMark/>
          </w:tcPr>
          <w:p w14:paraId="5794A5C5" w14:textId="77777777" w:rsidR="00A05413" w:rsidRPr="002E4456" w:rsidRDefault="00A05413" w:rsidP="00A05413">
            <w:pPr>
              <w:pStyle w:val="Text4"/>
              <w:spacing w:before="0" w:after="0"/>
              <w:ind w:left="0"/>
              <w:rPr>
                <w:rFonts w:ascii="Times New Roman" w:eastAsia="Calibri" w:hAnsi="Times New Roman"/>
                <w:b/>
                <w:bCs/>
                <w:noProof/>
              </w:rPr>
            </w:pPr>
            <w:r w:rsidRPr="002E4456">
              <w:rPr>
                <w:rFonts w:ascii="Times New Roman" w:hAnsi="Times New Roman"/>
                <w:noProof/>
              </w:rPr>
              <w:t xml:space="preserve"> Total recurrent enforcement costs at EU level (million EUR) </w:t>
            </w:r>
          </w:p>
        </w:tc>
        <w:tc>
          <w:tcPr>
            <w:tcW w:w="568" w:type="pct"/>
            <w:noWrap/>
            <w:hideMark/>
          </w:tcPr>
          <w:p w14:paraId="7CA859C5" w14:textId="54634A11" w:rsidR="00A05413" w:rsidRPr="002E4456" w:rsidRDefault="00A05413" w:rsidP="00A05413">
            <w:pPr>
              <w:pStyle w:val="Text4"/>
              <w:spacing w:before="0" w:after="0"/>
              <w:ind w:left="0"/>
              <w:jc w:val="right"/>
              <w:rPr>
                <w:rFonts w:ascii="Times New Roman" w:eastAsia="Calibri" w:hAnsi="Times New Roman"/>
                <w:noProof/>
              </w:rPr>
            </w:pPr>
            <w:r>
              <w:rPr>
                <w:rFonts w:ascii="Times New Roman" w:hAnsi="Times New Roman"/>
                <w:noProof/>
              </w:rPr>
              <w:t>6.1</w:t>
            </w:r>
          </w:p>
        </w:tc>
        <w:tc>
          <w:tcPr>
            <w:tcW w:w="568" w:type="pct"/>
            <w:noWrap/>
            <w:hideMark/>
          </w:tcPr>
          <w:p w14:paraId="6188C749" w14:textId="001D5B03" w:rsidR="00A05413" w:rsidRPr="002E4456" w:rsidRDefault="00A05413" w:rsidP="00A05413">
            <w:pPr>
              <w:pStyle w:val="Text4"/>
              <w:spacing w:before="0" w:after="0"/>
              <w:ind w:left="0"/>
              <w:jc w:val="right"/>
              <w:rPr>
                <w:rFonts w:ascii="Times New Roman" w:eastAsia="Calibri" w:hAnsi="Times New Roman"/>
                <w:noProof/>
              </w:rPr>
            </w:pPr>
            <w:r>
              <w:rPr>
                <w:rFonts w:ascii="Times New Roman" w:hAnsi="Times New Roman"/>
                <w:noProof/>
              </w:rPr>
              <w:t>6.1</w:t>
            </w:r>
          </w:p>
        </w:tc>
        <w:tc>
          <w:tcPr>
            <w:tcW w:w="568" w:type="pct"/>
            <w:noWrap/>
            <w:hideMark/>
          </w:tcPr>
          <w:p w14:paraId="57522AF0" w14:textId="01394262" w:rsidR="00A05413" w:rsidRPr="002E4456" w:rsidRDefault="00A05413" w:rsidP="00A05413">
            <w:pPr>
              <w:pStyle w:val="Text4"/>
              <w:spacing w:before="0" w:after="0"/>
              <w:ind w:left="0"/>
              <w:jc w:val="right"/>
              <w:rPr>
                <w:rFonts w:ascii="Times New Roman" w:eastAsia="Calibri" w:hAnsi="Times New Roman"/>
                <w:noProof/>
              </w:rPr>
            </w:pPr>
            <w:r>
              <w:rPr>
                <w:rFonts w:ascii="Times New Roman" w:hAnsi="Times New Roman"/>
                <w:noProof/>
              </w:rPr>
              <w:t>6.1</w:t>
            </w:r>
          </w:p>
        </w:tc>
        <w:tc>
          <w:tcPr>
            <w:tcW w:w="569" w:type="pct"/>
            <w:noWrap/>
            <w:hideMark/>
          </w:tcPr>
          <w:p w14:paraId="064616DA" w14:textId="0CB4573D" w:rsidR="00A05413" w:rsidRPr="002E4456" w:rsidRDefault="00A05413" w:rsidP="00A05413">
            <w:pPr>
              <w:pStyle w:val="Text4"/>
              <w:spacing w:before="0" w:after="0"/>
              <w:ind w:left="0"/>
              <w:jc w:val="right"/>
              <w:rPr>
                <w:rFonts w:ascii="Times New Roman" w:eastAsia="Calibri" w:hAnsi="Times New Roman"/>
                <w:noProof/>
              </w:rPr>
            </w:pPr>
            <w:r>
              <w:rPr>
                <w:rFonts w:ascii="Times New Roman" w:hAnsi="Times New Roman"/>
                <w:noProof/>
              </w:rPr>
              <w:t>6.1</w:t>
            </w:r>
          </w:p>
        </w:tc>
      </w:tr>
    </w:tbl>
    <w:p w14:paraId="4C25C0CB" w14:textId="77777777" w:rsidR="009D6993" w:rsidRPr="00151B09" w:rsidRDefault="009D6993" w:rsidP="009D6993">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5F620D14" w14:textId="77EB282C" w:rsidR="009D6993" w:rsidRPr="00DB078C" w:rsidRDefault="009D6993" w:rsidP="00DB078C">
      <w:pPr>
        <w:keepNext/>
        <w:tabs>
          <w:tab w:val="left" w:pos="1134"/>
        </w:tabs>
        <w:jc w:val="both"/>
        <w:rPr>
          <w:i/>
          <w:noProof/>
          <w:sz w:val="22"/>
          <w:szCs w:val="22"/>
        </w:rPr>
      </w:pPr>
      <w:r w:rsidRPr="00DB078C">
        <w:rPr>
          <w:i/>
          <w:noProof/>
          <w:sz w:val="22"/>
          <w:szCs w:val="22"/>
        </w:rPr>
        <w:t xml:space="preserve">Table </w:t>
      </w:r>
      <w:r w:rsidRPr="00DB078C">
        <w:rPr>
          <w:i/>
          <w:noProof/>
          <w:sz w:val="22"/>
          <w:szCs w:val="22"/>
        </w:rPr>
        <w:fldChar w:fldCharType="begin"/>
      </w:r>
      <w:r w:rsidRPr="00DB078C">
        <w:rPr>
          <w:i/>
          <w:noProof/>
          <w:sz w:val="22"/>
          <w:szCs w:val="22"/>
        </w:rPr>
        <w:instrText xml:space="preserve"> SEQ Table \* ARABIC </w:instrText>
      </w:r>
      <w:r w:rsidRPr="00DB078C">
        <w:rPr>
          <w:i/>
          <w:noProof/>
          <w:sz w:val="22"/>
          <w:szCs w:val="22"/>
        </w:rPr>
        <w:fldChar w:fldCharType="separate"/>
      </w:r>
      <w:r w:rsidR="0055391F">
        <w:rPr>
          <w:i/>
          <w:noProof/>
          <w:sz w:val="22"/>
          <w:szCs w:val="22"/>
        </w:rPr>
        <w:t>88</w:t>
      </w:r>
      <w:r w:rsidRPr="00DB078C">
        <w:rPr>
          <w:i/>
          <w:noProof/>
          <w:sz w:val="22"/>
          <w:szCs w:val="22"/>
        </w:rPr>
        <w:fldChar w:fldCharType="end"/>
      </w:r>
      <w:r w:rsidRPr="00DB078C">
        <w:rPr>
          <w:i/>
          <w:noProof/>
          <w:sz w:val="22"/>
          <w:szCs w:val="22"/>
        </w:rPr>
        <w:t>: Recurrent enforcement costs for national authorities due to PM</w:t>
      </w:r>
      <w:r w:rsidR="00FC370D" w:rsidRPr="00DB078C">
        <w:rPr>
          <w:i/>
          <w:noProof/>
          <w:sz w:val="22"/>
          <w:szCs w:val="22"/>
        </w:rPr>
        <w:t>6</w:t>
      </w:r>
      <w:r w:rsidRPr="00DB078C">
        <w:rPr>
          <w:i/>
          <w:noProof/>
          <w:sz w:val="22"/>
          <w:szCs w:val="22"/>
        </w:rPr>
        <w:t xml:space="preserve"> in all policy options relative to the baseline, expressed as present value over 2028-2050 (in million EUR,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3"/>
        <w:gridCol w:w="1056"/>
        <w:gridCol w:w="1056"/>
        <w:gridCol w:w="1056"/>
        <w:gridCol w:w="1052"/>
      </w:tblGrid>
      <w:tr w:rsidR="009D6993" w:rsidRPr="00B36215" w14:paraId="33E5DBCF" w14:textId="77777777" w:rsidTr="001B0D03">
        <w:trPr>
          <w:trHeight w:val="260"/>
          <w:tblHeader/>
        </w:trPr>
        <w:tc>
          <w:tcPr>
            <w:tcW w:w="2802" w:type="pct"/>
            <w:vMerge w:val="restart"/>
            <w:shd w:val="clear" w:color="auto" w:fill="0070C0"/>
            <w:noWrap/>
          </w:tcPr>
          <w:p w14:paraId="4F9C903B" w14:textId="77777777" w:rsidR="009D6993" w:rsidRPr="00BE39B9" w:rsidRDefault="009D6993" w:rsidP="00B36215">
            <w:pPr>
              <w:pStyle w:val="Text4"/>
              <w:spacing w:before="0" w:after="0"/>
              <w:ind w:left="0"/>
              <w:rPr>
                <w:rFonts w:ascii="Times New Roman" w:eastAsia="Calibri" w:hAnsi="Times New Roman"/>
                <w:b/>
                <w:noProof/>
                <w:color w:val="FFFFFF" w:themeColor="background1"/>
              </w:rPr>
            </w:pPr>
          </w:p>
        </w:tc>
        <w:tc>
          <w:tcPr>
            <w:tcW w:w="2198" w:type="pct"/>
            <w:gridSpan w:val="4"/>
            <w:shd w:val="clear" w:color="auto" w:fill="0070C0"/>
            <w:noWrap/>
          </w:tcPr>
          <w:p w14:paraId="44560AB7" w14:textId="77777777" w:rsidR="009D6993" w:rsidRPr="00BE39B9" w:rsidRDefault="009D6993" w:rsidP="00B36215">
            <w:pPr>
              <w:pStyle w:val="Text4"/>
              <w:spacing w:before="0" w:after="0"/>
              <w:ind w:left="0"/>
              <w:jc w:val="center"/>
              <w:rPr>
                <w:rFonts w:ascii="Times New Roman" w:eastAsia="Calibri" w:hAnsi="Times New Roman"/>
                <w:b/>
                <w:noProof/>
                <w:color w:val="FFFFFF" w:themeColor="background1"/>
              </w:rPr>
            </w:pPr>
            <w:r w:rsidRPr="00BE39B9">
              <w:rPr>
                <w:rFonts w:ascii="Times New Roman" w:eastAsia="Calibri" w:hAnsi="Times New Roman"/>
                <w:b/>
                <w:noProof/>
                <w:color w:val="FFFFFF" w:themeColor="background1"/>
              </w:rPr>
              <w:t>Difference to baseline</w:t>
            </w:r>
          </w:p>
        </w:tc>
      </w:tr>
      <w:tr w:rsidR="009D6993" w:rsidRPr="00B36215" w14:paraId="4A19FE75" w14:textId="77777777" w:rsidTr="001B0D03">
        <w:trPr>
          <w:trHeight w:val="260"/>
          <w:tblHeader/>
        </w:trPr>
        <w:tc>
          <w:tcPr>
            <w:tcW w:w="2802" w:type="pct"/>
            <w:vMerge/>
            <w:noWrap/>
          </w:tcPr>
          <w:p w14:paraId="142E5910" w14:textId="77777777" w:rsidR="009D6993" w:rsidRPr="00BE39B9" w:rsidRDefault="009D6993" w:rsidP="00B36215">
            <w:pPr>
              <w:pStyle w:val="Text4"/>
              <w:spacing w:before="0" w:after="0"/>
              <w:ind w:left="0"/>
              <w:rPr>
                <w:rFonts w:ascii="Times New Roman" w:eastAsia="Calibri" w:hAnsi="Times New Roman"/>
                <w:b/>
                <w:noProof/>
                <w:color w:val="FFFFFF" w:themeColor="background1"/>
              </w:rPr>
            </w:pPr>
          </w:p>
        </w:tc>
        <w:tc>
          <w:tcPr>
            <w:tcW w:w="550" w:type="pct"/>
            <w:shd w:val="clear" w:color="auto" w:fill="0070C0"/>
            <w:noWrap/>
          </w:tcPr>
          <w:p w14:paraId="511B6B84" w14:textId="77777777" w:rsidR="009D6993" w:rsidRPr="00B36215" w:rsidRDefault="009D6993" w:rsidP="00B36215">
            <w:pPr>
              <w:pStyle w:val="Text4"/>
              <w:spacing w:before="0" w:after="0"/>
              <w:ind w:left="0"/>
              <w:jc w:val="center"/>
              <w:rPr>
                <w:rFonts w:ascii="Times New Roman" w:eastAsia="Calibri" w:hAnsi="Times New Roman"/>
                <w:b/>
                <w:noProof/>
                <w:color w:val="FFFFFF" w:themeColor="background1"/>
              </w:rPr>
            </w:pPr>
            <w:r w:rsidRPr="00B36215">
              <w:rPr>
                <w:rFonts w:ascii="Times New Roman" w:eastAsia="Calibri" w:hAnsi="Times New Roman"/>
                <w:b/>
                <w:noProof/>
                <w:color w:val="FFFFFF" w:themeColor="background1"/>
              </w:rPr>
              <w:t>PO1</w:t>
            </w:r>
          </w:p>
        </w:tc>
        <w:tc>
          <w:tcPr>
            <w:tcW w:w="550" w:type="pct"/>
            <w:shd w:val="clear" w:color="auto" w:fill="0070C0"/>
            <w:noWrap/>
          </w:tcPr>
          <w:p w14:paraId="23F88357" w14:textId="77777777" w:rsidR="009D6993" w:rsidRPr="00B36215" w:rsidRDefault="009D6993" w:rsidP="00B36215">
            <w:pPr>
              <w:pStyle w:val="Text4"/>
              <w:spacing w:before="0" w:after="0"/>
              <w:ind w:left="0"/>
              <w:jc w:val="center"/>
              <w:rPr>
                <w:rFonts w:ascii="Times New Roman" w:eastAsia="Calibri" w:hAnsi="Times New Roman"/>
                <w:b/>
                <w:noProof/>
                <w:color w:val="FFFFFF" w:themeColor="background1"/>
              </w:rPr>
            </w:pPr>
            <w:r w:rsidRPr="00B36215">
              <w:rPr>
                <w:rFonts w:ascii="Times New Roman" w:eastAsia="Calibri" w:hAnsi="Times New Roman"/>
                <w:b/>
                <w:noProof/>
                <w:color w:val="FFFFFF" w:themeColor="background1"/>
              </w:rPr>
              <w:t>PO2</w:t>
            </w:r>
          </w:p>
        </w:tc>
        <w:tc>
          <w:tcPr>
            <w:tcW w:w="550" w:type="pct"/>
            <w:shd w:val="clear" w:color="auto" w:fill="0070C0"/>
            <w:noWrap/>
          </w:tcPr>
          <w:p w14:paraId="0FD37906" w14:textId="77777777" w:rsidR="009D6993" w:rsidRPr="00B36215" w:rsidRDefault="009D6993" w:rsidP="00B36215">
            <w:pPr>
              <w:pStyle w:val="Text4"/>
              <w:spacing w:before="0" w:after="0"/>
              <w:ind w:left="0"/>
              <w:jc w:val="center"/>
              <w:rPr>
                <w:rFonts w:ascii="Times New Roman" w:eastAsia="Calibri" w:hAnsi="Times New Roman"/>
                <w:b/>
                <w:noProof/>
                <w:color w:val="FFFFFF" w:themeColor="background1"/>
              </w:rPr>
            </w:pPr>
            <w:r w:rsidRPr="00B36215">
              <w:rPr>
                <w:rFonts w:ascii="Times New Roman" w:eastAsia="Calibri" w:hAnsi="Times New Roman"/>
                <w:b/>
                <w:noProof/>
                <w:color w:val="FFFFFF" w:themeColor="background1"/>
              </w:rPr>
              <w:t>PO3</w:t>
            </w:r>
          </w:p>
        </w:tc>
        <w:tc>
          <w:tcPr>
            <w:tcW w:w="549" w:type="pct"/>
            <w:shd w:val="clear" w:color="auto" w:fill="0070C0"/>
          </w:tcPr>
          <w:p w14:paraId="3ED69B8B" w14:textId="77777777" w:rsidR="009D6993" w:rsidRPr="00B36215" w:rsidRDefault="009D6993" w:rsidP="00B36215">
            <w:pPr>
              <w:pStyle w:val="Text4"/>
              <w:spacing w:before="0" w:after="0"/>
              <w:ind w:left="0"/>
              <w:jc w:val="center"/>
              <w:rPr>
                <w:rFonts w:ascii="Times New Roman" w:eastAsia="Calibri" w:hAnsi="Times New Roman"/>
                <w:b/>
                <w:noProof/>
                <w:color w:val="FFFFFF" w:themeColor="background1"/>
              </w:rPr>
            </w:pPr>
            <w:r w:rsidRPr="00B36215">
              <w:rPr>
                <w:rFonts w:ascii="Times New Roman" w:eastAsia="Calibri" w:hAnsi="Times New Roman"/>
                <w:b/>
                <w:noProof/>
                <w:color w:val="FFFFFF" w:themeColor="background1"/>
              </w:rPr>
              <w:t>PO4</w:t>
            </w:r>
          </w:p>
        </w:tc>
      </w:tr>
      <w:tr w:rsidR="00A05413" w:rsidRPr="00B36215" w14:paraId="6217E7F6" w14:textId="77777777" w:rsidTr="001B0D03">
        <w:trPr>
          <w:trHeight w:val="260"/>
        </w:trPr>
        <w:tc>
          <w:tcPr>
            <w:tcW w:w="2802" w:type="pct"/>
            <w:noWrap/>
            <w:hideMark/>
          </w:tcPr>
          <w:p w14:paraId="6243BBF9" w14:textId="77777777" w:rsidR="00A05413" w:rsidRPr="00B36215" w:rsidRDefault="00A05413" w:rsidP="00B36215">
            <w:pPr>
              <w:pStyle w:val="Text4"/>
              <w:spacing w:before="0" w:after="0"/>
              <w:ind w:left="0"/>
              <w:rPr>
                <w:rFonts w:ascii="Times New Roman" w:eastAsia="Calibri" w:hAnsi="Times New Roman"/>
                <w:b/>
                <w:noProof/>
              </w:rPr>
            </w:pPr>
            <w:r w:rsidRPr="00B36215">
              <w:rPr>
                <w:rFonts w:ascii="Times New Roman" w:eastAsia="Calibri" w:hAnsi="Times New Roman"/>
                <w:bCs/>
                <w:noProof/>
              </w:rPr>
              <w:t> </w:t>
            </w:r>
            <w:r w:rsidRPr="00B36215">
              <w:rPr>
                <w:rFonts w:ascii="Times New Roman" w:eastAsia="Calibri" w:hAnsi="Times New Roman"/>
                <w:b/>
                <w:noProof/>
              </w:rPr>
              <w:t>Total enforcement costs</w:t>
            </w:r>
          </w:p>
        </w:tc>
        <w:tc>
          <w:tcPr>
            <w:tcW w:w="550" w:type="pct"/>
            <w:shd w:val="clear" w:color="auto" w:fill="FFFFFF" w:themeFill="background1"/>
            <w:noWrap/>
            <w:hideMark/>
          </w:tcPr>
          <w:p w14:paraId="5B8F27C1" w14:textId="288B5A20" w:rsidR="00A05413" w:rsidRPr="00B36215" w:rsidRDefault="00A05413" w:rsidP="00EF54E2">
            <w:pPr>
              <w:pStyle w:val="Text4"/>
              <w:spacing w:before="0" w:after="0"/>
              <w:ind w:left="0"/>
              <w:jc w:val="right"/>
              <w:rPr>
                <w:rFonts w:ascii="Times New Roman" w:eastAsia="Calibri" w:hAnsi="Times New Roman"/>
                <w:bCs/>
                <w:noProof/>
                <w:color w:val="FFFFFF" w:themeColor="background1"/>
              </w:rPr>
            </w:pPr>
            <w:r w:rsidRPr="00B36215">
              <w:rPr>
                <w:rFonts w:ascii="Times New Roman" w:hAnsi="Times New Roman"/>
                <w:noProof/>
              </w:rPr>
              <w:t xml:space="preserve">106.5 </w:t>
            </w:r>
          </w:p>
        </w:tc>
        <w:tc>
          <w:tcPr>
            <w:tcW w:w="550" w:type="pct"/>
            <w:shd w:val="clear" w:color="auto" w:fill="FFFFFF" w:themeFill="background1"/>
            <w:noWrap/>
            <w:hideMark/>
          </w:tcPr>
          <w:p w14:paraId="1DF51153" w14:textId="050D4B7B" w:rsidR="00A05413" w:rsidRPr="00B36215" w:rsidRDefault="00A05413" w:rsidP="00EF54E2">
            <w:pPr>
              <w:pStyle w:val="Text4"/>
              <w:spacing w:before="0" w:after="0"/>
              <w:ind w:left="0"/>
              <w:jc w:val="right"/>
              <w:rPr>
                <w:rFonts w:ascii="Times New Roman" w:eastAsia="Calibri" w:hAnsi="Times New Roman"/>
                <w:bCs/>
                <w:noProof/>
                <w:color w:val="FFFFFF" w:themeColor="background1"/>
              </w:rPr>
            </w:pPr>
            <w:r w:rsidRPr="00B36215">
              <w:rPr>
                <w:rFonts w:ascii="Times New Roman" w:hAnsi="Times New Roman"/>
                <w:noProof/>
              </w:rPr>
              <w:t xml:space="preserve">106.5 </w:t>
            </w:r>
          </w:p>
        </w:tc>
        <w:tc>
          <w:tcPr>
            <w:tcW w:w="550" w:type="pct"/>
            <w:shd w:val="clear" w:color="auto" w:fill="FFFFFF" w:themeFill="background1"/>
            <w:noWrap/>
            <w:hideMark/>
          </w:tcPr>
          <w:p w14:paraId="5DA65A71" w14:textId="6A155698" w:rsidR="00A05413" w:rsidRPr="00B36215" w:rsidRDefault="00A05413" w:rsidP="00EF54E2">
            <w:pPr>
              <w:pStyle w:val="Text4"/>
              <w:spacing w:before="0" w:after="0"/>
              <w:ind w:left="0"/>
              <w:jc w:val="right"/>
              <w:rPr>
                <w:rFonts w:ascii="Times New Roman" w:eastAsia="Calibri" w:hAnsi="Times New Roman"/>
                <w:bCs/>
                <w:noProof/>
                <w:color w:val="FFFFFF" w:themeColor="background1"/>
              </w:rPr>
            </w:pPr>
            <w:r w:rsidRPr="00B36215">
              <w:rPr>
                <w:rFonts w:ascii="Times New Roman" w:hAnsi="Times New Roman"/>
                <w:noProof/>
              </w:rPr>
              <w:t xml:space="preserve">106.5 </w:t>
            </w:r>
          </w:p>
        </w:tc>
        <w:tc>
          <w:tcPr>
            <w:tcW w:w="549" w:type="pct"/>
            <w:shd w:val="clear" w:color="auto" w:fill="FFFFFF" w:themeFill="background1"/>
          </w:tcPr>
          <w:p w14:paraId="51E89138" w14:textId="4FA7E5CD" w:rsidR="00A05413" w:rsidRPr="00B36215" w:rsidRDefault="00A05413" w:rsidP="00EF54E2">
            <w:pPr>
              <w:pStyle w:val="Text4"/>
              <w:spacing w:before="0" w:after="0"/>
              <w:ind w:left="0"/>
              <w:jc w:val="right"/>
              <w:rPr>
                <w:rFonts w:ascii="Times New Roman" w:eastAsia="Calibri" w:hAnsi="Times New Roman"/>
                <w:bCs/>
                <w:noProof/>
                <w:color w:val="FFFFFF" w:themeColor="background1"/>
              </w:rPr>
            </w:pPr>
            <w:r w:rsidRPr="00B36215">
              <w:rPr>
                <w:rFonts w:ascii="Times New Roman" w:hAnsi="Times New Roman"/>
                <w:noProof/>
              </w:rPr>
              <w:t xml:space="preserve">106.5 </w:t>
            </w:r>
          </w:p>
        </w:tc>
      </w:tr>
      <w:tr w:rsidR="009D6993" w:rsidRPr="00B36215" w14:paraId="262DE932" w14:textId="77777777" w:rsidTr="001B0D03">
        <w:trPr>
          <w:trHeight w:val="200"/>
        </w:trPr>
        <w:tc>
          <w:tcPr>
            <w:tcW w:w="2802" w:type="pct"/>
            <w:noWrap/>
          </w:tcPr>
          <w:p w14:paraId="4A2AA14F" w14:textId="1171F38A" w:rsidR="009D6993" w:rsidRPr="00B36215" w:rsidRDefault="009D6993" w:rsidP="00B36215">
            <w:pPr>
              <w:pStyle w:val="Text4"/>
              <w:spacing w:before="0" w:after="0"/>
              <w:ind w:left="0"/>
              <w:rPr>
                <w:rFonts w:ascii="Times New Roman" w:eastAsia="Calibri" w:hAnsi="Times New Roman"/>
                <w:noProof/>
              </w:rPr>
            </w:pPr>
            <w:r w:rsidRPr="00B36215">
              <w:rPr>
                <w:rFonts w:ascii="Times New Roman" w:eastAsia="Calibri" w:hAnsi="Times New Roman"/>
                <w:noProof/>
              </w:rPr>
              <w:t xml:space="preserve">   One-off </w:t>
            </w:r>
            <w:r w:rsidRPr="00B36215">
              <w:rPr>
                <w:rFonts w:ascii="Times New Roman" w:hAnsi="Times New Roman"/>
                <w:noProof/>
              </w:rPr>
              <w:t xml:space="preserve">enforcement </w:t>
            </w:r>
            <w:r w:rsidRPr="00B36215">
              <w:rPr>
                <w:rFonts w:ascii="Times New Roman" w:eastAsia="Calibri" w:hAnsi="Times New Roman"/>
                <w:noProof/>
              </w:rPr>
              <w:t xml:space="preserve">costs </w:t>
            </w:r>
          </w:p>
        </w:tc>
        <w:tc>
          <w:tcPr>
            <w:tcW w:w="550" w:type="pct"/>
            <w:shd w:val="clear" w:color="auto" w:fill="FFFFFF" w:themeFill="background1"/>
            <w:noWrap/>
          </w:tcPr>
          <w:p w14:paraId="607B1E7A" w14:textId="77777777" w:rsidR="009D6993" w:rsidRPr="00B36215" w:rsidRDefault="009D6993" w:rsidP="00EF54E2">
            <w:pPr>
              <w:pStyle w:val="Text4"/>
              <w:spacing w:before="0" w:after="0"/>
              <w:ind w:left="0"/>
              <w:jc w:val="right"/>
              <w:rPr>
                <w:rFonts w:ascii="Times New Roman" w:eastAsia="Calibri" w:hAnsi="Times New Roman"/>
                <w:noProof/>
              </w:rPr>
            </w:pPr>
            <w:r w:rsidRPr="00B36215">
              <w:rPr>
                <w:rFonts w:ascii="Times New Roman" w:hAnsi="Times New Roman"/>
                <w:noProof/>
              </w:rPr>
              <w:t>0</w:t>
            </w:r>
          </w:p>
        </w:tc>
        <w:tc>
          <w:tcPr>
            <w:tcW w:w="550" w:type="pct"/>
            <w:shd w:val="clear" w:color="auto" w:fill="FFFFFF" w:themeFill="background1"/>
            <w:noWrap/>
          </w:tcPr>
          <w:p w14:paraId="6E4D12CC" w14:textId="77777777" w:rsidR="009D6993" w:rsidRPr="00B36215" w:rsidRDefault="009D6993" w:rsidP="00EF54E2">
            <w:pPr>
              <w:pStyle w:val="Text4"/>
              <w:spacing w:before="0" w:after="0"/>
              <w:ind w:left="0"/>
              <w:jc w:val="right"/>
              <w:rPr>
                <w:rFonts w:ascii="Times New Roman" w:eastAsia="Calibri" w:hAnsi="Times New Roman"/>
                <w:noProof/>
              </w:rPr>
            </w:pPr>
            <w:r w:rsidRPr="00B36215">
              <w:rPr>
                <w:rFonts w:ascii="Times New Roman" w:hAnsi="Times New Roman"/>
                <w:noProof/>
              </w:rPr>
              <w:t>0</w:t>
            </w:r>
          </w:p>
        </w:tc>
        <w:tc>
          <w:tcPr>
            <w:tcW w:w="550" w:type="pct"/>
            <w:shd w:val="clear" w:color="auto" w:fill="FFFFFF" w:themeFill="background1"/>
            <w:noWrap/>
          </w:tcPr>
          <w:p w14:paraId="1DD70C34" w14:textId="77777777" w:rsidR="009D6993" w:rsidRPr="00B36215" w:rsidRDefault="009D6993" w:rsidP="00EF54E2">
            <w:pPr>
              <w:pStyle w:val="Text4"/>
              <w:spacing w:before="0" w:after="0"/>
              <w:ind w:left="0"/>
              <w:jc w:val="right"/>
              <w:rPr>
                <w:rFonts w:ascii="Times New Roman" w:eastAsia="Calibri" w:hAnsi="Times New Roman"/>
                <w:noProof/>
              </w:rPr>
            </w:pPr>
            <w:r w:rsidRPr="00B36215">
              <w:rPr>
                <w:rFonts w:ascii="Times New Roman" w:hAnsi="Times New Roman"/>
                <w:noProof/>
              </w:rPr>
              <w:t xml:space="preserve"> 0 </w:t>
            </w:r>
          </w:p>
        </w:tc>
        <w:tc>
          <w:tcPr>
            <w:tcW w:w="549" w:type="pct"/>
            <w:shd w:val="clear" w:color="auto" w:fill="FFFFFF" w:themeFill="background1"/>
          </w:tcPr>
          <w:p w14:paraId="5DFBF68A" w14:textId="77777777" w:rsidR="009D6993" w:rsidRPr="00B36215" w:rsidRDefault="009D6993" w:rsidP="00EF54E2">
            <w:pPr>
              <w:pStyle w:val="Text4"/>
              <w:spacing w:before="0" w:after="0"/>
              <w:ind w:left="0"/>
              <w:jc w:val="right"/>
              <w:rPr>
                <w:rFonts w:ascii="Times New Roman" w:eastAsia="Calibri" w:hAnsi="Times New Roman"/>
                <w:noProof/>
              </w:rPr>
            </w:pPr>
            <w:r w:rsidRPr="00B36215">
              <w:rPr>
                <w:rFonts w:ascii="Times New Roman" w:hAnsi="Times New Roman"/>
                <w:noProof/>
              </w:rPr>
              <w:t xml:space="preserve"> 0 </w:t>
            </w:r>
          </w:p>
        </w:tc>
      </w:tr>
      <w:tr w:rsidR="001B0D03" w:rsidRPr="00B36215" w14:paraId="44021447" w14:textId="77777777" w:rsidTr="001B0D03">
        <w:trPr>
          <w:trHeight w:val="200"/>
        </w:trPr>
        <w:tc>
          <w:tcPr>
            <w:tcW w:w="2802" w:type="pct"/>
            <w:noWrap/>
          </w:tcPr>
          <w:p w14:paraId="4A57ED91" w14:textId="185B6E14" w:rsidR="001B0D03" w:rsidRPr="004E336D" w:rsidRDefault="001B0D03" w:rsidP="001B0D03">
            <w:pPr>
              <w:pStyle w:val="Text4"/>
              <w:spacing w:before="0" w:after="0"/>
              <w:ind w:left="0"/>
              <w:rPr>
                <w:rFonts w:ascii="Times New Roman" w:eastAsia="Calibri" w:hAnsi="Times New Roman"/>
                <w:noProof/>
              </w:rPr>
            </w:pPr>
            <w:r w:rsidRPr="004E336D">
              <w:rPr>
                <w:rFonts w:ascii="Times New Roman" w:eastAsia="Calibri" w:hAnsi="Times New Roman"/>
                <w:noProof/>
              </w:rPr>
              <w:t xml:space="preserve">   Recurrent </w:t>
            </w:r>
            <w:r w:rsidRPr="004E336D">
              <w:rPr>
                <w:rFonts w:ascii="Times New Roman" w:hAnsi="Times New Roman"/>
                <w:noProof/>
              </w:rPr>
              <w:t xml:space="preserve">enforcement </w:t>
            </w:r>
            <w:r w:rsidRPr="004E336D">
              <w:rPr>
                <w:rFonts w:ascii="Times New Roman" w:eastAsia="Calibri" w:hAnsi="Times New Roman"/>
                <w:noProof/>
              </w:rPr>
              <w:t xml:space="preserve">costs </w:t>
            </w:r>
          </w:p>
        </w:tc>
        <w:tc>
          <w:tcPr>
            <w:tcW w:w="550" w:type="pct"/>
            <w:shd w:val="clear" w:color="auto" w:fill="FFFFFF" w:themeFill="background1"/>
            <w:noWrap/>
          </w:tcPr>
          <w:p w14:paraId="2A41BBAE" w14:textId="23F2EB9C" w:rsidR="001B0D03" w:rsidRPr="00B36215" w:rsidRDefault="001B0D03" w:rsidP="001B0D03">
            <w:pPr>
              <w:pStyle w:val="Text4"/>
              <w:spacing w:before="0" w:after="0"/>
              <w:ind w:left="0"/>
              <w:jc w:val="right"/>
              <w:rPr>
                <w:rFonts w:ascii="Times New Roman" w:eastAsia="Calibri" w:hAnsi="Times New Roman"/>
                <w:noProof/>
              </w:rPr>
            </w:pPr>
            <w:r w:rsidRPr="00B36215">
              <w:rPr>
                <w:rFonts w:ascii="Times New Roman" w:hAnsi="Times New Roman"/>
                <w:noProof/>
              </w:rPr>
              <w:t xml:space="preserve">106.5 </w:t>
            </w:r>
          </w:p>
        </w:tc>
        <w:tc>
          <w:tcPr>
            <w:tcW w:w="550" w:type="pct"/>
            <w:shd w:val="clear" w:color="auto" w:fill="FFFFFF" w:themeFill="background1"/>
            <w:noWrap/>
          </w:tcPr>
          <w:p w14:paraId="36C9BA2F" w14:textId="3DF9A9F2" w:rsidR="001B0D03" w:rsidRPr="00B36215" w:rsidRDefault="001B0D03" w:rsidP="001B0D03">
            <w:pPr>
              <w:pStyle w:val="Text4"/>
              <w:spacing w:before="0" w:after="0"/>
              <w:ind w:left="0"/>
              <w:jc w:val="right"/>
              <w:rPr>
                <w:rFonts w:ascii="Times New Roman" w:eastAsia="Calibri" w:hAnsi="Times New Roman"/>
                <w:noProof/>
              </w:rPr>
            </w:pPr>
            <w:r w:rsidRPr="00B36215">
              <w:rPr>
                <w:rFonts w:ascii="Times New Roman" w:hAnsi="Times New Roman"/>
                <w:noProof/>
              </w:rPr>
              <w:t xml:space="preserve">106.5 </w:t>
            </w:r>
          </w:p>
        </w:tc>
        <w:tc>
          <w:tcPr>
            <w:tcW w:w="550" w:type="pct"/>
            <w:shd w:val="clear" w:color="auto" w:fill="FFFFFF" w:themeFill="background1"/>
            <w:noWrap/>
          </w:tcPr>
          <w:p w14:paraId="73F86AD9" w14:textId="54908086" w:rsidR="001B0D03" w:rsidRPr="00B36215" w:rsidRDefault="001B0D03" w:rsidP="001B0D03">
            <w:pPr>
              <w:pStyle w:val="Text4"/>
              <w:spacing w:before="0" w:after="0"/>
              <w:ind w:left="0"/>
              <w:jc w:val="right"/>
              <w:rPr>
                <w:rFonts w:ascii="Times New Roman" w:eastAsia="Calibri" w:hAnsi="Times New Roman"/>
                <w:noProof/>
              </w:rPr>
            </w:pPr>
            <w:r w:rsidRPr="00B36215">
              <w:rPr>
                <w:rFonts w:ascii="Times New Roman" w:hAnsi="Times New Roman"/>
                <w:noProof/>
              </w:rPr>
              <w:t xml:space="preserve">106.5 </w:t>
            </w:r>
          </w:p>
        </w:tc>
        <w:tc>
          <w:tcPr>
            <w:tcW w:w="549" w:type="pct"/>
            <w:shd w:val="clear" w:color="auto" w:fill="FFFFFF" w:themeFill="background1"/>
          </w:tcPr>
          <w:p w14:paraId="1C27F581" w14:textId="6C5FE17F" w:rsidR="001B0D03" w:rsidRPr="00B36215" w:rsidRDefault="001B0D03" w:rsidP="001B0D03">
            <w:pPr>
              <w:pStyle w:val="Text4"/>
              <w:spacing w:before="0" w:after="0"/>
              <w:ind w:left="0"/>
              <w:jc w:val="right"/>
              <w:rPr>
                <w:rFonts w:ascii="Times New Roman" w:eastAsia="Calibri" w:hAnsi="Times New Roman"/>
                <w:noProof/>
              </w:rPr>
            </w:pPr>
            <w:r w:rsidRPr="00B36215">
              <w:rPr>
                <w:rFonts w:ascii="Times New Roman" w:hAnsi="Times New Roman"/>
                <w:noProof/>
              </w:rPr>
              <w:t xml:space="preserve">106.5 </w:t>
            </w:r>
          </w:p>
        </w:tc>
      </w:tr>
    </w:tbl>
    <w:p w14:paraId="1ED0CD66" w14:textId="77777777" w:rsidR="009D6993" w:rsidRPr="00D71008" w:rsidRDefault="009D6993" w:rsidP="009D6993">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2D21D7EC" w14:textId="76DAE6F3" w:rsidR="00926053" w:rsidRPr="006D42D9" w:rsidRDefault="00926053" w:rsidP="009054B3">
      <w:pPr>
        <w:pStyle w:val="Text1"/>
        <w:keepNext/>
        <w:ind w:left="0"/>
        <w:rPr>
          <w:i/>
          <w:noProof/>
          <w:szCs w:val="24"/>
        </w:rPr>
      </w:pPr>
      <w:r w:rsidRPr="006D42D9">
        <w:rPr>
          <w:i/>
          <w:noProof/>
          <w:szCs w:val="24"/>
        </w:rPr>
        <w:t xml:space="preserve">Recurrent </w:t>
      </w:r>
      <w:r>
        <w:rPr>
          <w:i/>
          <w:noProof/>
          <w:szCs w:val="24"/>
        </w:rPr>
        <w:t>adjustment</w:t>
      </w:r>
      <w:r w:rsidRPr="006D42D9">
        <w:rPr>
          <w:i/>
          <w:noProof/>
          <w:szCs w:val="24"/>
        </w:rPr>
        <w:t xml:space="preserve"> costs for </w:t>
      </w:r>
      <w:r>
        <w:rPr>
          <w:i/>
          <w:noProof/>
          <w:szCs w:val="24"/>
        </w:rPr>
        <w:t>the European Commission</w:t>
      </w:r>
    </w:p>
    <w:p w14:paraId="63036747" w14:textId="647203FD" w:rsidR="00611E17" w:rsidRPr="00E735AF" w:rsidRDefault="00611E17" w:rsidP="009054B3">
      <w:pPr>
        <w:pStyle w:val="Text4"/>
        <w:keepNext/>
        <w:spacing w:before="0" w:after="240"/>
        <w:ind w:left="0"/>
        <w:rPr>
          <w:rFonts w:ascii="Times New Roman" w:eastAsia="Calibri" w:hAnsi="Times New Roman"/>
          <w:noProof/>
          <w:spacing w:val="-8"/>
          <w:sz w:val="24"/>
          <w:szCs w:val="24"/>
        </w:rPr>
      </w:pPr>
      <w:r w:rsidRPr="00E735AF">
        <w:rPr>
          <w:rFonts w:ascii="Times New Roman" w:eastAsia="Calibri" w:hAnsi="Times New Roman"/>
          <w:noProof/>
          <w:spacing w:val="-8"/>
          <w:sz w:val="24"/>
          <w:szCs w:val="24"/>
        </w:rPr>
        <w:t>The European Commission</w:t>
      </w:r>
      <w:r w:rsidR="00E735AF">
        <w:rPr>
          <w:rFonts w:ascii="Times New Roman" w:eastAsia="Calibri" w:hAnsi="Times New Roman"/>
          <w:noProof/>
          <w:spacing w:val="-8"/>
          <w:sz w:val="24"/>
          <w:szCs w:val="24"/>
        </w:rPr>
        <w:t xml:space="preserve"> (EC)</w:t>
      </w:r>
      <w:r w:rsidRPr="00E735AF">
        <w:rPr>
          <w:rFonts w:ascii="Times New Roman" w:eastAsia="Calibri" w:hAnsi="Times New Roman"/>
          <w:noProof/>
          <w:spacing w:val="-8"/>
          <w:sz w:val="24"/>
          <w:szCs w:val="24"/>
        </w:rPr>
        <w:t xml:space="preserve"> is assumed to organise one meeting of the EU‑wide enforcement network per year from 2028 onwards, to exchange best practices. The average cost for a two-day in-person meeting hosted by EC, where participants are reimbursed by the EC, is around EUR 30,000. Thus, the recurrent adjustment costs for the European Commission are estimated at EUR 30,000 per year from 2028 onwards. </w:t>
      </w:r>
      <w:r w:rsidR="00F42A94" w:rsidRPr="00F42A94">
        <w:rPr>
          <w:rFonts w:ascii="Times New Roman" w:eastAsia="Calibri" w:hAnsi="Times New Roman"/>
          <w:noProof/>
          <w:spacing w:val="-8"/>
          <w:sz w:val="24"/>
          <w:szCs w:val="24"/>
        </w:rPr>
        <w:t>In addition, each two years from 2030 onwards, a Eurobarometer survey is assumed to be conducted. The costs for the Eurobarometer survey, are assumed at EUR 100,000 per year based on the costs of the Eurobarometer survey conducted in 2024.</w:t>
      </w:r>
      <w:r w:rsidR="00F42A94">
        <w:rPr>
          <w:rFonts w:ascii="Times New Roman" w:eastAsia="Calibri" w:hAnsi="Times New Roman"/>
          <w:noProof/>
          <w:spacing w:val="-8"/>
          <w:sz w:val="24"/>
          <w:szCs w:val="24"/>
        </w:rPr>
        <w:t xml:space="preserve"> </w:t>
      </w:r>
      <w:r w:rsidR="00F42A94" w:rsidRPr="00E735AF">
        <w:rPr>
          <w:rFonts w:ascii="Times New Roman" w:eastAsia="Calibri" w:hAnsi="Times New Roman"/>
          <w:noProof/>
          <w:spacing w:val="-8"/>
          <w:sz w:val="24"/>
          <w:szCs w:val="24"/>
        </w:rPr>
        <w:t>Expressed as present value over 2028-2050</w:t>
      </w:r>
      <w:r w:rsidR="00F42A94">
        <w:rPr>
          <w:rFonts w:ascii="Times New Roman" w:eastAsia="Calibri" w:hAnsi="Times New Roman"/>
          <w:noProof/>
          <w:spacing w:val="-8"/>
          <w:sz w:val="24"/>
          <w:szCs w:val="24"/>
        </w:rPr>
        <w:t xml:space="preserve"> relative to the baseline,</w:t>
      </w:r>
      <w:r w:rsidR="00F42A94" w:rsidRPr="00E735AF">
        <w:rPr>
          <w:rFonts w:ascii="Times New Roman" w:eastAsia="Calibri" w:hAnsi="Times New Roman"/>
          <w:noProof/>
          <w:spacing w:val="-8"/>
          <w:sz w:val="24"/>
          <w:szCs w:val="24"/>
        </w:rPr>
        <w:t xml:space="preserve"> </w:t>
      </w:r>
      <w:r w:rsidR="004A0EB2">
        <w:rPr>
          <w:rFonts w:ascii="Times New Roman" w:eastAsia="Calibri" w:hAnsi="Times New Roman"/>
          <w:noProof/>
          <w:spacing w:val="-8"/>
          <w:sz w:val="24"/>
          <w:szCs w:val="24"/>
        </w:rPr>
        <w:t xml:space="preserve">total recurrent adjustment costs for the European Commissions are </w:t>
      </w:r>
      <w:r w:rsidR="00F42A94" w:rsidRPr="00E735AF">
        <w:rPr>
          <w:rFonts w:ascii="Times New Roman" w:eastAsia="Calibri" w:hAnsi="Times New Roman"/>
          <w:noProof/>
          <w:spacing w:val="-8"/>
          <w:sz w:val="24"/>
          <w:szCs w:val="24"/>
        </w:rPr>
        <w:t xml:space="preserve">estimated at EUR </w:t>
      </w:r>
      <w:r w:rsidR="00533642">
        <w:rPr>
          <w:rFonts w:ascii="Times New Roman" w:eastAsia="Calibri" w:hAnsi="Times New Roman"/>
          <w:noProof/>
          <w:spacing w:val="-8"/>
          <w:sz w:val="24"/>
          <w:szCs w:val="24"/>
        </w:rPr>
        <w:t>1.3 million</w:t>
      </w:r>
      <w:r w:rsidR="00F42A94" w:rsidRPr="00E735AF">
        <w:rPr>
          <w:rFonts w:ascii="Times New Roman" w:eastAsia="Calibri" w:hAnsi="Times New Roman"/>
          <w:noProof/>
          <w:spacing w:val="-8"/>
          <w:sz w:val="24"/>
          <w:szCs w:val="24"/>
        </w:rPr>
        <w:t xml:space="preserve"> </w:t>
      </w:r>
      <w:r w:rsidR="00F42A94">
        <w:rPr>
          <w:rFonts w:ascii="Times New Roman" w:eastAsia="Calibri" w:hAnsi="Times New Roman"/>
          <w:noProof/>
          <w:spacing w:val="-8"/>
          <w:sz w:val="24"/>
          <w:szCs w:val="24"/>
        </w:rPr>
        <w:t>in all policy options.</w:t>
      </w:r>
    </w:p>
    <w:p w14:paraId="62B4D46C" w14:textId="7A8E2992" w:rsidR="00D64E4B" w:rsidRDefault="00D64E4B" w:rsidP="007B2D8E">
      <w:pPr>
        <w:pStyle w:val="ListParagraph"/>
        <w:keepNext/>
        <w:widowControl/>
        <w:numPr>
          <w:ilvl w:val="2"/>
          <w:numId w:val="10"/>
        </w:numPr>
        <w:autoSpaceDE/>
        <w:autoSpaceDN/>
        <w:spacing w:after="240"/>
        <w:jc w:val="both"/>
        <w:outlineLvl w:val="2"/>
        <w:rPr>
          <w:i/>
          <w:iCs/>
          <w:noProof/>
          <w:sz w:val="24"/>
          <w:szCs w:val="24"/>
        </w:rPr>
      </w:pPr>
      <w:bookmarkStart w:id="1127" w:name="_Toc222749068"/>
      <w:bookmarkStart w:id="1128" w:name="_Toc223980727"/>
      <w:r w:rsidRPr="00BC201A">
        <w:rPr>
          <w:i/>
          <w:iCs/>
          <w:noProof/>
          <w:sz w:val="24"/>
          <w:szCs w:val="24"/>
        </w:rPr>
        <w:t>PM7 – Obligation for all B2C MDMS platforms to share data for mobility management</w:t>
      </w:r>
      <w:bookmarkEnd w:id="1127"/>
      <w:bookmarkEnd w:id="1128"/>
    </w:p>
    <w:p w14:paraId="21067BD9" w14:textId="3F30EB69" w:rsidR="00176ECD" w:rsidRPr="009256A3" w:rsidRDefault="00176ECD" w:rsidP="009256A3">
      <w:pPr>
        <w:pStyle w:val="Text4"/>
        <w:spacing w:before="0" w:after="240"/>
        <w:ind w:left="0"/>
        <w:rPr>
          <w:rFonts w:ascii="Times New Roman" w:eastAsia="Calibri" w:hAnsi="Times New Roman"/>
          <w:noProof/>
          <w:spacing w:val="-8"/>
          <w:sz w:val="24"/>
          <w:szCs w:val="24"/>
        </w:rPr>
      </w:pPr>
      <w:r>
        <w:rPr>
          <w:rFonts w:ascii="Times New Roman" w:eastAsia="Calibri" w:hAnsi="Times New Roman"/>
          <w:noProof/>
          <w:spacing w:val="-8"/>
          <w:sz w:val="24"/>
          <w:szCs w:val="24"/>
        </w:rPr>
        <w:t xml:space="preserve">In PM7, </w:t>
      </w:r>
      <w:r w:rsidR="00AE763D">
        <w:rPr>
          <w:rFonts w:ascii="Times New Roman" w:eastAsia="Calibri" w:hAnsi="Times New Roman"/>
          <w:noProof/>
          <w:spacing w:val="-8"/>
          <w:sz w:val="24"/>
          <w:szCs w:val="24"/>
        </w:rPr>
        <w:t>u</w:t>
      </w:r>
      <w:r w:rsidRPr="009256A3">
        <w:rPr>
          <w:rFonts w:ascii="Times New Roman" w:eastAsia="Calibri" w:hAnsi="Times New Roman"/>
          <w:noProof/>
          <w:spacing w:val="-8"/>
          <w:sz w:val="24"/>
          <w:szCs w:val="24"/>
        </w:rPr>
        <w:t xml:space="preserve">pon request of a public transport authority, MDMS platforms </w:t>
      </w:r>
      <w:r w:rsidR="00AE763D">
        <w:rPr>
          <w:rFonts w:ascii="Times New Roman" w:eastAsia="Calibri" w:hAnsi="Times New Roman"/>
          <w:noProof/>
          <w:spacing w:val="-8"/>
          <w:sz w:val="24"/>
          <w:szCs w:val="24"/>
        </w:rPr>
        <w:t xml:space="preserve">would need to </w:t>
      </w:r>
      <w:r w:rsidRPr="009256A3">
        <w:rPr>
          <w:rFonts w:ascii="Times New Roman" w:eastAsia="Calibri" w:hAnsi="Times New Roman"/>
          <w:noProof/>
          <w:spacing w:val="-8"/>
          <w:sz w:val="24"/>
          <w:szCs w:val="24"/>
        </w:rPr>
        <w:t xml:space="preserve">provide data relevant for improving the effectiveness of public transport policies on the territories which fall under the responsibility of the public transport authority. The data </w:t>
      </w:r>
      <w:r w:rsidR="009256A3">
        <w:rPr>
          <w:rFonts w:ascii="Times New Roman" w:eastAsia="Calibri" w:hAnsi="Times New Roman"/>
          <w:noProof/>
          <w:spacing w:val="-8"/>
          <w:sz w:val="24"/>
          <w:szCs w:val="24"/>
        </w:rPr>
        <w:t xml:space="preserve">needs to be </w:t>
      </w:r>
      <w:r w:rsidRPr="009256A3">
        <w:rPr>
          <w:rFonts w:ascii="Times New Roman" w:eastAsia="Calibri" w:hAnsi="Times New Roman"/>
          <w:noProof/>
          <w:spacing w:val="-8"/>
          <w:sz w:val="24"/>
          <w:szCs w:val="24"/>
        </w:rPr>
        <w:t>aggregated and anonymised.</w:t>
      </w:r>
    </w:p>
    <w:p w14:paraId="21027E85" w14:textId="77777777" w:rsidR="00A91E64" w:rsidRDefault="00A91E64" w:rsidP="00A91E64">
      <w:pPr>
        <w:pStyle w:val="Text4"/>
        <w:spacing w:before="0"/>
        <w:ind w:left="0"/>
        <w:rPr>
          <w:rFonts w:ascii="Times New Roman" w:eastAsia="Calibri" w:hAnsi="Times New Roman"/>
          <w:noProof/>
          <w:spacing w:val="-8"/>
          <w:sz w:val="24"/>
          <w:szCs w:val="24"/>
        </w:rPr>
      </w:pPr>
      <w:r w:rsidRPr="0003158F">
        <w:rPr>
          <w:rFonts w:ascii="Times New Roman" w:eastAsia="Calibri" w:hAnsi="Times New Roman"/>
          <w:noProof/>
          <w:spacing w:val="-8"/>
          <w:sz w:val="24"/>
          <w:szCs w:val="24"/>
        </w:rPr>
        <w:t>The measure is expected to result in:</w:t>
      </w:r>
    </w:p>
    <w:p w14:paraId="7878A08A" w14:textId="40C2D4E4" w:rsidR="002834CD" w:rsidRPr="00826CB8" w:rsidRDefault="002834CD" w:rsidP="001979E4">
      <w:pPr>
        <w:pStyle w:val="Nornal"/>
        <w:numPr>
          <w:ilvl w:val="0"/>
          <w:numId w:val="20"/>
        </w:numPr>
        <w:spacing w:after="120" w:line="240" w:lineRule="auto"/>
        <w:ind w:left="284" w:hanging="284"/>
        <w:rPr>
          <w:rFonts w:cs="Arial"/>
          <w:noProof/>
          <w:spacing w:val="-8"/>
          <w:sz w:val="24"/>
          <w:szCs w:val="24"/>
        </w:rPr>
      </w:pPr>
      <w:r w:rsidRPr="00826CB8">
        <w:rPr>
          <w:rFonts w:cs="Arial"/>
          <w:noProof/>
          <w:spacing w:val="-8"/>
          <w:sz w:val="24"/>
          <w:szCs w:val="24"/>
        </w:rPr>
        <w:t xml:space="preserve">Adjustment costs for </w:t>
      </w:r>
      <w:r w:rsidR="00707C4C">
        <w:rPr>
          <w:rFonts w:cs="Arial"/>
          <w:noProof/>
          <w:spacing w:val="-8"/>
          <w:sz w:val="24"/>
          <w:szCs w:val="24"/>
        </w:rPr>
        <w:t>non-SME</w:t>
      </w:r>
      <w:r w:rsidR="00C720C4">
        <w:rPr>
          <w:rFonts w:cs="Arial"/>
          <w:noProof/>
          <w:spacing w:val="-8"/>
          <w:sz w:val="24"/>
          <w:szCs w:val="24"/>
        </w:rPr>
        <w:t xml:space="preserve"> </w:t>
      </w:r>
      <w:r w:rsidRPr="00826CB8">
        <w:rPr>
          <w:rFonts w:cs="Arial"/>
          <w:noProof/>
          <w:spacing w:val="-8"/>
          <w:sz w:val="24"/>
          <w:szCs w:val="24"/>
        </w:rPr>
        <w:t xml:space="preserve">B2C platforms to set up and maintain data sharing interfaces </w:t>
      </w:r>
      <w:r w:rsidR="00AB3F45">
        <w:rPr>
          <w:rFonts w:cs="Arial"/>
          <w:noProof/>
          <w:spacing w:val="-8"/>
          <w:sz w:val="24"/>
          <w:szCs w:val="24"/>
        </w:rPr>
        <w:t xml:space="preserve">(API) </w:t>
      </w:r>
      <w:r w:rsidRPr="00826CB8">
        <w:rPr>
          <w:rFonts w:cs="Arial"/>
          <w:noProof/>
          <w:spacing w:val="-8"/>
          <w:sz w:val="24"/>
          <w:szCs w:val="24"/>
        </w:rPr>
        <w:t>with public authorities</w:t>
      </w:r>
      <w:r w:rsidR="008505EB">
        <w:rPr>
          <w:rFonts w:cs="Arial"/>
          <w:noProof/>
          <w:spacing w:val="-8"/>
          <w:sz w:val="24"/>
          <w:szCs w:val="24"/>
        </w:rPr>
        <w:t>, of which:</w:t>
      </w:r>
      <w:r w:rsidRPr="00826CB8">
        <w:rPr>
          <w:rFonts w:cs="Arial"/>
          <w:noProof/>
          <w:spacing w:val="-8"/>
          <w:sz w:val="24"/>
          <w:szCs w:val="24"/>
        </w:rPr>
        <w:t xml:space="preserve"> </w:t>
      </w:r>
    </w:p>
    <w:p w14:paraId="46B3C81E" w14:textId="0A7CFE3B" w:rsidR="002834CD" w:rsidRPr="00826CB8" w:rsidRDefault="002834CD" w:rsidP="001979E4">
      <w:pPr>
        <w:pStyle w:val="Nornal"/>
        <w:numPr>
          <w:ilvl w:val="1"/>
          <w:numId w:val="31"/>
        </w:numPr>
        <w:spacing w:after="120" w:line="240" w:lineRule="auto"/>
        <w:ind w:left="567" w:hanging="283"/>
        <w:rPr>
          <w:rFonts w:cs="Arial"/>
          <w:noProof/>
          <w:spacing w:val="-8"/>
          <w:sz w:val="24"/>
          <w:szCs w:val="24"/>
        </w:rPr>
      </w:pPr>
      <w:r w:rsidRPr="00826CB8">
        <w:rPr>
          <w:rFonts w:cs="Arial"/>
          <w:noProof/>
          <w:spacing w:val="-8"/>
          <w:sz w:val="24"/>
          <w:szCs w:val="24"/>
        </w:rPr>
        <w:t xml:space="preserve">One-off adjustment costs for the set-up </w:t>
      </w:r>
      <w:r w:rsidR="008505EB">
        <w:rPr>
          <w:rFonts w:cs="Arial"/>
          <w:noProof/>
          <w:spacing w:val="-8"/>
          <w:sz w:val="24"/>
          <w:szCs w:val="24"/>
        </w:rPr>
        <w:t xml:space="preserve">of the </w:t>
      </w:r>
      <w:r w:rsidRPr="00826CB8">
        <w:rPr>
          <w:rFonts w:cs="Arial"/>
          <w:noProof/>
          <w:spacing w:val="-8"/>
          <w:sz w:val="24"/>
          <w:szCs w:val="24"/>
        </w:rPr>
        <w:t>API</w:t>
      </w:r>
      <w:r w:rsidR="008505EB">
        <w:rPr>
          <w:rFonts w:cs="Arial"/>
          <w:noProof/>
          <w:spacing w:val="-8"/>
          <w:sz w:val="24"/>
          <w:szCs w:val="24"/>
        </w:rPr>
        <w:t>;</w:t>
      </w:r>
    </w:p>
    <w:p w14:paraId="7A10F5A5" w14:textId="43E57CF9" w:rsidR="002834CD" w:rsidRPr="00826CB8" w:rsidRDefault="002834CD" w:rsidP="001979E4">
      <w:pPr>
        <w:pStyle w:val="Nornal"/>
        <w:numPr>
          <w:ilvl w:val="1"/>
          <w:numId w:val="31"/>
        </w:numPr>
        <w:spacing w:after="120" w:line="240" w:lineRule="auto"/>
        <w:ind w:left="567" w:hanging="283"/>
        <w:rPr>
          <w:rFonts w:cs="Arial"/>
          <w:noProof/>
          <w:spacing w:val="-8"/>
          <w:sz w:val="24"/>
          <w:szCs w:val="24"/>
        </w:rPr>
      </w:pPr>
      <w:r w:rsidRPr="00826CB8">
        <w:rPr>
          <w:rFonts w:cs="Arial"/>
          <w:noProof/>
          <w:spacing w:val="-8"/>
          <w:sz w:val="24"/>
          <w:szCs w:val="24"/>
        </w:rPr>
        <w:t>Recurrent adjustment costs corresponding to the maintenance of the API</w:t>
      </w:r>
      <w:r w:rsidR="008505EB">
        <w:rPr>
          <w:rFonts w:cs="Arial"/>
          <w:noProof/>
          <w:spacing w:val="-8"/>
          <w:sz w:val="24"/>
          <w:szCs w:val="24"/>
        </w:rPr>
        <w:t>.</w:t>
      </w:r>
    </w:p>
    <w:p w14:paraId="406A4D33" w14:textId="761D909A" w:rsidR="00A93F0D" w:rsidRPr="006D42D9" w:rsidRDefault="00A93F0D" w:rsidP="00A93F0D">
      <w:pPr>
        <w:pStyle w:val="Text1"/>
        <w:ind w:left="0"/>
        <w:rPr>
          <w:i/>
          <w:noProof/>
          <w:szCs w:val="24"/>
        </w:rPr>
      </w:pPr>
      <w:r>
        <w:rPr>
          <w:i/>
          <w:noProof/>
          <w:szCs w:val="24"/>
        </w:rPr>
        <w:t>One-off and recurrent adjustment</w:t>
      </w:r>
      <w:r w:rsidRPr="006D42D9">
        <w:rPr>
          <w:i/>
          <w:noProof/>
          <w:szCs w:val="24"/>
        </w:rPr>
        <w:t xml:space="preserve"> costs for</w:t>
      </w:r>
      <w:r w:rsidR="00CE3158">
        <w:rPr>
          <w:i/>
          <w:noProof/>
          <w:szCs w:val="24"/>
        </w:rPr>
        <w:t xml:space="preserve"> </w:t>
      </w:r>
      <w:r w:rsidR="00C720C4">
        <w:rPr>
          <w:i/>
          <w:noProof/>
          <w:szCs w:val="24"/>
        </w:rPr>
        <w:t>non-SME</w:t>
      </w:r>
      <w:r w:rsidR="00C720C4" w:rsidRPr="006D42D9">
        <w:rPr>
          <w:i/>
          <w:noProof/>
          <w:szCs w:val="24"/>
        </w:rPr>
        <w:t xml:space="preserve"> </w:t>
      </w:r>
      <w:r>
        <w:rPr>
          <w:i/>
          <w:noProof/>
          <w:szCs w:val="24"/>
        </w:rPr>
        <w:t>B2C platforms</w:t>
      </w:r>
    </w:p>
    <w:p w14:paraId="158A30A8" w14:textId="0BF6F79E" w:rsidR="00102459" w:rsidRPr="00E93CF0" w:rsidRDefault="00102459" w:rsidP="00102459">
      <w:pPr>
        <w:pStyle w:val="Text4"/>
        <w:spacing w:before="0" w:after="240"/>
        <w:ind w:left="0"/>
        <w:rPr>
          <w:rFonts w:ascii="Times New Roman" w:eastAsia="Calibri" w:hAnsi="Times New Roman"/>
          <w:noProof/>
          <w:spacing w:val="-8"/>
          <w:sz w:val="24"/>
          <w:szCs w:val="24"/>
        </w:rPr>
      </w:pPr>
      <w:r w:rsidRPr="00E93CF0">
        <w:rPr>
          <w:rFonts w:ascii="Times New Roman" w:eastAsia="Calibri" w:hAnsi="Times New Roman"/>
          <w:noProof/>
          <w:spacing w:val="-8"/>
          <w:sz w:val="24"/>
          <w:szCs w:val="24"/>
        </w:rPr>
        <w:t xml:space="preserve">To enable the sharing of data critical for mobility management with public authorities, </w:t>
      </w:r>
      <w:r w:rsidR="00C720C4">
        <w:rPr>
          <w:rFonts w:ascii="Times New Roman" w:eastAsia="Calibri" w:hAnsi="Times New Roman"/>
          <w:noProof/>
          <w:spacing w:val="-8"/>
          <w:sz w:val="24"/>
          <w:szCs w:val="24"/>
        </w:rPr>
        <w:t xml:space="preserve">non-SME </w:t>
      </w:r>
      <w:r>
        <w:rPr>
          <w:rFonts w:ascii="Times New Roman" w:eastAsia="Calibri" w:hAnsi="Times New Roman"/>
          <w:noProof/>
          <w:spacing w:val="-8"/>
          <w:sz w:val="24"/>
          <w:szCs w:val="24"/>
        </w:rPr>
        <w:t xml:space="preserve">B2C </w:t>
      </w:r>
      <w:r w:rsidRPr="00E93CF0">
        <w:rPr>
          <w:rFonts w:ascii="Times New Roman" w:eastAsia="Calibri" w:hAnsi="Times New Roman"/>
          <w:noProof/>
          <w:spacing w:val="-8"/>
          <w:sz w:val="24"/>
          <w:szCs w:val="24"/>
        </w:rPr>
        <w:t xml:space="preserve">platforms are expected to incur </w:t>
      </w:r>
      <w:r>
        <w:rPr>
          <w:rFonts w:ascii="Times New Roman" w:eastAsia="Calibri" w:hAnsi="Times New Roman"/>
          <w:noProof/>
          <w:spacing w:val="-8"/>
          <w:sz w:val="24"/>
          <w:szCs w:val="24"/>
        </w:rPr>
        <w:t xml:space="preserve">one-off </w:t>
      </w:r>
      <w:r w:rsidRPr="00E93CF0">
        <w:rPr>
          <w:rFonts w:ascii="Times New Roman" w:eastAsia="Calibri" w:hAnsi="Times New Roman"/>
          <w:noProof/>
          <w:spacing w:val="-8"/>
          <w:sz w:val="24"/>
          <w:szCs w:val="24"/>
        </w:rPr>
        <w:t xml:space="preserve">costs </w:t>
      </w:r>
      <w:r>
        <w:rPr>
          <w:rFonts w:ascii="Times New Roman" w:eastAsia="Calibri" w:hAnsi="Times New Roman"/>
          <w:noProof/>
          <w:spacing w:val="-8"/>
          <w:sz w:val="24"/>
          <w:szCs w:val="24"/>
        </w:rPr>
        <w:t>for</w:t>
      </w:r>
      <w:r w:rsidRPr="00E93CF0">
        <w:rPr>
          <w:rFonts w:ascii="Times New Roman" w:eastAsia="Calibri" w:hAnsi="Times New Roman"/>
          <w:noProof/>
          <w:spacing w:val="-8"/>
          <w:sz w:val="24"/>
          <w:szCs w:val="24"/>
        </w:rPr>
        <w:t xml:space="preserve"> setting up and maintaining an API with the relevant </w:t>
      </w:r>
      <w:r>
        <w:rPr>
          <w:rFonts w:ascii="Times New Roman" w:eastAsia="Calibri" w:hAnsi="Times New Roman"/>
          <w:noProof/>
          <w:spacing w:val="-8"/>
          <w:sz w:val="24"/>
          <w:szCs w:val="24"/>
        </w:rPr>
        <w:t xml:space="preserve">national </w:t>
      </w:r>
      <w:r w:rsidRPr="00E93CF0">
        <w:rPr>
          <w:rFonts w:ascii="Times New Roman" w:eastAsia="Calibri" w:hAnsi="Times New Roman"/>
          <w:noProof/>
          <w:spacing w:val="-8"/>
          <w:sz w:val="24"/>
          <w:szCs w:val="24"/>
        </w:rPr>
        <w:t>authorit</w:t>
      </w:r>
      <w:r>
        <w:rPr>
          <w:rFonts w:ascii="Times New Roman" w:eastAsia="Calibri" w:hAnsi="Times New Roman"/>
          <w:noProof/>
          <w:spacing w:val="-8"/>
          <w:sz w:val="24"/>
          <w:szCs w:val="24"/>
        </w:rPr>
        <w:t>y</w:t>
      </w:r>
      <w:r w:rsidRPr="00E93CF0">
        <w:rPr>
          <w:rFonts w:ascii="Times New Roman" w:eastAsia="Calibri" w:hAnsi="Times New Roman"/>
          <w:noProof/>
          <w:spacing w:val="-8"/>
          <w:sz w:val="24"/>
          <w:szCs w:val="24"/>
        </w:rPr>
        <w:t>. Drawing on stakeholder feedback, the one-off adjustment cost</w:t>
      </w:r>
      <w:r>
        <w:rPr>
          <w:rFonts w:ascii="Times New Roman" w:eastAsia="Calibri" w:hAnsi="Times New Roman"/>
          <w:noProof/>
          <w:spacing w:val="-8"/>
          <w:sz w:val="24"/>
          <w:szCs w:val="24"/>
        </w:rPr>
        <w:t>s</w:t>
      </w:r>
      <w:r w:rsidRPr="00E93CF0">
        <w:rPr>
          <w:rFonts w:ascii="Times New Roman" w:eastAsia="Calibri" w:hAnsi="Times New Roman"/>
          <w:noProof/>
          <w:spacing w:val="-8"/>
          <w:sz w:val="24"/>
          <w:szCs w:val="24"/>
        </w:rPr>
        <w:t xml:space="preserve"> borne by a </w:t>
      </w:r>
      <w:r w:rsidR="00C720C4">
        <w:rPr>
          <w:rFonts w:ascii="Times New Roman" w:eastAsia="Calibri" w:hAnsi="Times New Roman"/>
          <w:noProof/>
          <w:spacing w:val="-8"/>
          <w:sz w:val="24"/>
          <w:szCs w:val="24"/>
        </w:rPr>
        <w:t xml:space="preserve">non-SME </w:t>
      </w:r>
      <w:r w:rsidRPr="00E93CF0">
        <w:rPr>
          <w:rFonts w:ascii="Times New Roman" w:eastAsia="Calibri" w:hAnsi="Times New Roman"/>
          <w:noProof/>
          <w:spacing w:val="-8"/>
          <w:sz w:val="24"/>
          <w:szCs w:val="24"/>
        </w:rPr>
        <w:t xml:space="preserve">B2C platform </w:t>
      </w:r>
      <w:r>
        <w:rPr>
          <w:rFonts w:ascii="Times New Roman" w:eastAsia="Calibri" w:hAnsi="Times New Roman"/>
          <w:noProof/>
          <w:spacing w:val="-8"/>
          <w:sz w:val="24"/>
          <w:szCs w:val="24"/>
        </w:rPr>
        <w:t xml:space="preserve">for setting up an API </w:t>
      </w:r>
      <w:r w:rsidRPr="00E93CF0">
        <w:rPr>
          <w:rFonts w:ascii="Times New Roman" w:eastAsia="Calibri" w:hAnsi="Times New Roman"/>
          <w:noProof/>
          <w:spacing w:val="-8"/>
          <w:sz w:val="24"/>
          <w:szCs w:val="24"/>
        </w:rPr>
        <w:t xml:space="preserve">is estimated at EUR 117,719 </w:t>
      </w:r>
      <w:r>
        <w:rPr>
          <w:rFonts w:ascii="Times New Roman" w:eastAsia="Calibri" w:hAnsi="Times New Roman"/>
          <w:noProof/>
          <w:spacing w:val="-8"/>
          <w:sz w:val="24"/>
          <w:szCs w:val="24"/>
        </w:rPr>
        <w:t xml:space="preserve">in </w:t>
      </w:r>
      <w:r w:rsidRPr="00E93CF0">
        <w:rPr>
          <w:rFonts w:ascii="Times New Roman" w:eastAsia="Calibri" w:hAnsi="Times New Roman"/>
          <w:noProof/>
          <w:spacing w:val="-8"/>
          <w:sz w:val="24"/>
          <w:szCs w:val="24"/>
        </w:rPr>
        <w:t>2024 prices</w:t>
      </w:r>
      <w:r w:rsidRPr="00E93CF0">
        <w:rPr>
          <w:rStyle w:val="FootnoteReference"/>
          <w:rFonts w:ascii="Times New Roman" w:eastAsia="Calibri" w:hAnsi="Times New Roman"/>
          <w:noProof/>
          <w:spacing w:val="-8"/>
          <w:sz w:val="24"/>
          <w:szCs w:val="24"/>
        </w:rPr>
        <w:footnoteReference w:id="350"/>
      </w:r>
      <w:r w:rsidRPr="00E93CF0">
        <w:rPr>
          <w:rFonts w:ascii="Times New Roman" w:eastAsia="Calibri" w:hAnsi="Times New Roman"/>
          <w:noProof/>
          <w:spacing w:val="-8"/>
          <w:sz w:val="24"/>
          <w:szCs w:val="24"/>
        </w:rPr>
        <w:t>.</w:t>
      </w:r>
      <w:r>
        <w:rPr>
          <w:rFonts w:ascii="Times New Roman" w:eastAsia="Calibri" w:hAnsi="Times New Roman"/>
          <w:noProof/>
          <w:spacing w:val="-8"/>
          <w:sz w:val="24"/>
          <w:szCs w:val="24"/>
        </w:rPr>
        <w:t xml:space="preserve"> </w:t>
      </w:r>
      <w:r w:rsidRPr="00E93CF0">
        <w:rPr>
          <w:rFonts w:ascii="Times New Roman" w:eastAsia="Calibri" w:hAnsi="Times New Roman"/>
          <w:noProof/>
          <w:spacing w:val="-8"/>
          <w:sz w:val="24"/>
          <w:szCs w:val="24"/>
        </w:rPr>
        <w:t xml:space="preserve">The one‑off cost is multiplied </w:t>
      </w:r>
      <w:r>
        <w:rPr>
          <w:rFonts w:ascii="Times New Roman" w:eastAsia="Calibri" w:hAnsi="Times New Roman"/>
          <w:noProof/>
          <w:spacing w:val="-8"/>
          <w:sz w:val="24"/>
          <w:szCs w:val="24"/>
        </w:rPr>
        <w:t>with</w:t>
      </w:r>
      <w:r w:rsidRPr="00E93CF0">
        <w:rPr>
          <w:rFonts w:ascii="Times New Roman" w:eastAsia="Calibri" w:hAnsi="Times New Roman"/>
          <w:noProof/>
          <w:spacing w:val="-8"/>
          <w:sz w:val="24"/>
          <w:szCs w:val="24"/>
        </w:rPr>
        <w:t xml:space="preserve"> the number of </w:t>
      </w:r>
      <w:r w:rsidR="00511ACA">
        <w:rPr>
          <w:rFonts w:ascii="Times New Roman" w:eastAsia="Calibri" w:hAnsi="Times New Roman"/>
          <w:noProof/>
          <w:spacing w:val="-8"/>
          <w:sz w:val="24"/>
          <w:szCs w:val="24"/>
        </w:rPr>
        <w:t>non-SME</w:t>
      </w:r>
      <w:r w:rsidR="00511ACA" w:rsidRPr="00E93CF0">
        <w:rPr>
          <w:rFonts w:ascii="Times New Roman" w:eastAsia="Calibri" w:hAnsi="Times New Roman"/>
          <w:noProof/>
          <w:spacing w:val="-8"/>
          <w:sz w:val="24"/>
          <w:szCs w:val="24"/>
        </w:rPr>
        <w:t xml:space="preserve"> </w:t>
      </w:r>
      <w:r w:rsidRPr="00E93CF0">
        <w:rPr>
          <w:rFonts w:ascii="Times New Roman" w:eastAsia="Calibri" w:hAnsi="Times New Roman"/>
          <w:noProof/>
          <w:spacing w:val="-8"/>
          <w:sz w:val="24"/>
          <w:szCs w:val="24"/>
        </w:rPr>
        <w:t xml:space="preserve">B2C MDMS platforms </w:t>
      </w:r>
      <w:r>
        <w:rPr>
          <w:rFonts w:ascii="Times New Roman" w:eastAsia="Calibri" w:hAnsi="Times New Roman"/>
          <w:noProof/>
          <w:spacing w:val="-8"/>
          <w:sz w:val="24"/>
          <w:szCs w:val="24"/>
        </w:rPr>
        <w:t xml:space="preserve">projected to </w:t>
      </w:r>
      <w:r w:rsidRPr="00E93CF0">
        <w:rPr>
          <w:rFonts w:ascii="Times New Roman" w:eastAsia="Calibri" w:hAnsi="Times New Roman"/>
          <w:noProof/>
          <w:spacing w:val="-8"/>
          <w:sz w:val="24"/>
          <w:szCs w:val="24"/>
        </w:rPr>
        <w:t xml:space="preserve">be active in </w:t>
      </w:r>
      <w:r>
        <w:rPr>
          <w:rFonts w:ascii="Times New Roman" w:eastAsia="Calibri" w:hAnsi="Times New Roman"/>
          <w:noProof/>
          <w:spacing w:val="-8"/>
          <w:sz w:val="24"/>
          <w:szCs w:val="24"/>
        </w:rPr>
        <w:t xml:space="preserve">2028 (i.e. </w:t>
      </w:r>
      <w:r w:rsidRPr="00E93CF0">
        <w:rPr>
          <w:rFonts w:ascii="Times New Roman" w:eastAsia="Calibri" w:hAnsi="Times New Roman"/>
          <w:noProof/>
          <w:spacing w:val="-8"/>
          <w:sz w:val="24"/>
          <w:szCs w:val="24"/>
        </w:rPr>
        <w:t>the implementation year</w:t>
      </w:r>
      <w:r>
        <w:rPr>
          <w:rFonts w:ascii="Times New Roman" w:eastAsia="Calibri" w:hAnsi="Times New Roman"/>
          <w:noProof/>
          <w:spacing w:val="-8"/>
          <w:sz w:val="24"/>
          <w:szCs w:val="24"/>
        </w:rPr>
        <w:t>)</w:t>
      </w:r>
      <w:r w:rsidRPr="00E93CF0">
        <w:rPr>
          <w:rFonts w:ascii="Times New Roman" w:eastAsia="Calibri" w:hAnsi="Times New Roman"/>
          <w:noProof/>
          <w:spacing w:val="-8"/>
          <w:sz w:val="24"/>
          <w:szCs w:val="24"/>
        </w:rPr>
        <w:t xml:space="preserve"> and </w:t>
      </w:r>
      <w:r>
        <w:rPr>
          <w:rFonts w:ascii="Times New Roman" w:eastAsia="Calibri" w:hAnsi="Times New Roman"/>
          <w:noProof/>
          <w:spacing w:val="-8"/>
          <w:sz w:val="24"/>
          <w:szCs w:val="24"/>
        </w:rPr>
        <w:t xml:space="preserve">with the number of </w:t>
      </w:r>
      <w:r w:rsidRPr="00E93CF0">
        <w:rPr>
          <w:rFonts w:ascii="Times New Roman" w:eastAsia="Calibri" w:hAnsi="Times New Roman"/>
          <w:noProof/>
          <w:spacing w:val="-8"/>
          <w:sz w:val="24"/>
          <w:szCs w:val="24"/>
        </w:rPr>
        <w:t xml:space="preserve">new </w:t>
      </w:r>
      <w:r w:rsidR="00511ACA">
        <w:rPr>
          <w:rFonts w:ascii="Times New Roman" w:eastAsia="Calibri" w:hAnsi="Times New Roman"/>
          <w:noProof/>
          <w:spacing w:val="-8"/>
          <w:sz w:val="24"/>
          <w:szCs w:val="24"/>
        </w:rPr>
        <w:t>non-SME</w:t>
      </w:r>
      <w:r w:rsidR="00511ACA" w:rsidRPr="00E93CF0">
        <w:rPr>
          <w:rFonts w:ascii="Times New Roman" w:eastAsia="Calibri" w:hAnsi="Times New Roman"/>
          <w:noProof/>
          <w:spacing w:val="-8"/>
          <w:sz w:val="24"/>
          <w:szCs w:val="24"/>
        </w:rPr>
        <w:t xml:space="preserve"> </w:t>
      </w:r>
      <w:r w:rsidRPr="00E93CF0">
        <w:rPr>
          <w:rFonts w:ascii="Times New Roman" w:eastAsia="Calibri" w:hAnsi="Times New Roman"/>
          <w:noProof/>
          <w:spacing w:val="-8"/>
          <w:sz w:val="24"/>
          <w:szCs w:val="24"/>
        </w:rPr>
        <w:t>B2C platforms joining the market from 2029</w:t>
      </w:r>
      <w:r>
        <w:rPr>
          <w:rFonts w:ascii="Times New Roman" w:eastAsia="Calibri" w:hAnsi="Times New Roman"/>
          <w:noProof/>
          <w:spacing w:val="-8"/>
          <w:sz w:val="24"/>
          <w:szCs w:val="24"/>
        </w:rPr>
        <w:t xml:space="preserve"> onwards to derive the total one-off adjustment costs</w:t>
      </w:r>
      <w:r w:rsidRPr="00E93CF0">
        <w:rPr>
          <w:rFonts w:ascii="Times New Roman" w:eastAsia="Calibri" w:hAnsi="Times New Roman"/>
          <w:noProof/>
          <w:spacing w:val="-8"/>
          <w:sz w:val="24"/>
          <w:szCs w:val="24"/>
        </w:rPr>
        <w:t xml:space="preserve">. </w:t>
      </w:r>
    </w:p>
    <w:p w14:paraId="717948B6" w14:textId="177688BF" w:rsidR="00102459" w:rsidRPr="00E93CF0" w:rsidRDefault="00102459" w:rsidP="00102459">
      <w:pPr>
        <w:pStyle w:val="Text4"/>
        <w:spacing w:before="0" w:after="240"/>
        <w:ind w:left="0"/>
        <w:rPr>
          <w:rFonts w:ascii="Times New Roman" w:eastAsia="Calibri" w:hAnsi="Times New Roman"/>
          <w:noProof/>
          <w:spacing w:val="-8"/>
          <w:sz w:val="24"/>
          <w:szCs w:val="24"/>
        </w:rPr>
      </w:pPr>
      <w:r>
        <w:rPr>
          <w:rFonts w:ascii="Times New Roman" w:eastAsia="Calibri" w:hAnsi="Times New Roman"/>
          <w:noProof/>
          <w:spacing w:val="-8"/>
          <w:sz w:val="24"/>
          <w:szCs w:val="24"/>
        </w:rPr>
        <w:t>T</w:t>
      </w:r>
      <w:r w:rsidRPr="00E93CF0">
        <w:rPr>
          <w:rFonts w:ascii="Times New Roman" w:eastAsia="Calibri" w:hAnsi="Times New Roman"/>
          <w:noProof/>
          <w:spacing w:val="-8"/>
          <w:sz w:val="24"/>
          <w:szCs w:val="24"/>
        </w:rPr>
        <w:t>he maintenance of the API</w:t>
      </w:r>
      <w:r>
        <w:rPr>
          <w:rFonts w:ascii="Times New Roman" w:eastAsia="Calibri" w:hAnsi="Times New Roman"/>
          <w:noProof/>
          <w:spacing w:val="-8"/>
          <w:sz w:val="24"/>
          <w:szCs w:val="24"/>
        </w:rPr>
        <w:t xml:space="preserve"> is estimated at </w:t>
      </w:r>
      <w:r w:rsidRPr="00E93CF0">
        <w:rPr>
          <w:rFonts w:ascii="Times New Roman" w:eastAsia="Calibri" w:hAnsi="Times New Roman"/>
          <w:noProof/>
          <w:spacing w:val="-8"/>
          <w:sz w:val="24"/>
          <w:szCs w:val="24"/>
        </w:rPr>
        <w:t xml:space="preserve">10% of the initial setup cost </w:t>
      </w:r>
      <w:r>
        <w:rPr>
          <w:rFonts w:ascii="Times New Roman" w:eastAsia="Calibri" w:hAnsi="Times New Roman"/>
          <w:noProof/>
          <w:spacing w:val="-8"/>
          <w:sz w:val="24"/>
          <w:szCs w:val="24"/>
        </w:rPr>
        <w:t xml:space="preserve">(i.e. </w:t>
      </w:r>
      <w:r w:rsidRPr="00E93CF0">
        <w:rPr>
          <w:rFonts w:ascii="Times New Roman" w:eastAsia="Calibri" w:hAnsi="Times New Roman"/>
          <w:noProof/>
          <w:spacing w:val="-8"/>
          <w:sz w:val="24"/>
          <w:szCs w:val="24"/>
        </w:rPr>
        <w:t>EUR </w:t>
      </w:r>
      <w:r w:rsidR="00270E47" w:rsidRPr="00270E47">
        <w:rPr>
          <w:rFonts w:ascii="Times New Roman" w:eastAsia="Calibri" w:hAnsi="Times New Roman"/>
          <w:noProof/>
          <w:spacing w:val="-8"/>
          <w:sz w:val="24"/>
          <w:szCs w:val="24"/>
        </w:rPr>
        <w:t>11,772</w:t>
      </w:r>
      <w:r>
        <w:rPr>
          <w:rFonts w:ascii="Times New Roman" w:eastAsia="Calibri" w:hAnsi="Times New Roman"/>
          <w:noProof/>
          <w:spacing w:val="-8"/>
          <w:sz w:val="24"/>
          <w:szCs w:val="24"/>
        </w:rPr>
        <w:t xml:space="preserve">) and is </w:t>
      </w:r>
      <w:r w:rsidRPr="00E93CF0">
        <w:rPr>
          <w:rFonts w:ascii="Times New Roman" w:eastAsia="Calibri" w:hAnsi="Times New Roman"/>
          <w:noProof/>
          <w:spacing w:val="-8"/>
          <w:sz w:val="24"/>
          <w:szCs w:val="24"/>
        </w:rPr>
        <w:t>applied from 2029 onwards. This concerns the platforms that are operational each year and have already incurred the one-off setup cost.</w:t>
      </w:r>
    </w:p>
    <w:p w14:paraId="54E76A59" w14:textId="7742AF79" w:rsidR="00102459" w:rsidRPr="00E93CF0" w:rsidRDefault="00102459" w:rsidP="00102459">
      <w:pPr>
        <w:pStyle w:val="Text4"/>
        <w:spacing w:before="0" w:after="240"/>
        <w:ind w:left="0"/>
        <w:rPr>
          <w:rFonts w:eastAsia="Calibri"/>
          <w:noProof/>
        </w:rPr>
      </w:pPr>
      <w:r w:rsidRPr="00E93CF0">
        <w:rPr>
          <w:rFonts w:ascii="Times New Roman" w:eastAsia="Calibri" w:hAnsi="Times New Roman"/>
          <w:noProof/>
          <w:spacing w:val="-8"/>
          <w:sz w:val="24"/>
          <w:szCs w:val="24"/>
        </w:rPr>
        <w:t>The</w:t>
      </w:r>
      <w:r>
        <w:rPr>
          <w:rFonts w:ascii="Times New Roman" w:eastAsia="Calibri" w:hAnsi="Times New Roman"/>
          <w:noProof/>
          <w:spacing w:val="-8"/>
          <w:sz w:val="24"/>
          <w:szCs w:val="24"/>
        </w:rPr>
        <w:t xml:space="preserve"> number of </w:t>
      </w:r>
      <w:r w:rsidR="00602CD0">
        <w:rPr>
          <w:rFonts w:ascii="Times New Roman" w:eastAsia="Calibri" w:hAnsi="Times New Roman"/>
          <w:noProof/>
          <w:spacing w:val="-8"/>
          <w:sz w:val="24"/>
          <w:szCs w:val="24"/>
        </w:rPr>
        <w:t>non-SME</w:t>
      </w:r>
      <w:r w:rsidRPr="00E93CF0">
        <w:rPr>
          <w:rFonts w:ascii="Times New Roman" w:eastAsia="Calibri" w:hAnsi="Times New Roman"/>
          <w:noProof/>
          <w:spacing w:val="-8"/>
          <w:sz w:val="24"/>
          <w:szCs w:val="24"/>
        </w:rPr>
        <w:t xml:space="preserve"> B2C MDMS platforms </w:t>
      </w:r>
      <w:r>
        <w:rPr>
          <w:rFonts w:ascii="Times New Roman" w:eastAsia="Calibri" w:hAnsi="Times New Roman"/>
          <w:noProof/>
          <w:spacing w:val="-8"/>
          <w:sz w:val="24"/>
          <w:szCs w:val="24"/>
        </w:rPr>
        <w:t xml:space="preserve">subject to PM7 </w:t>
      </w:r>
      <w:r w:rsidRPr="00E93CF0">
        <w:rPr>
          <w:rFonts w:ascii="Times New Roman" w:eastAsia="Calibri" w:hAnsi="Times New Roman"/>
          <w:noProof/>
          <w:spacing w:val="-8"/>
          <w:sz w:val="24"/>
          <w:szCs w:val="24"/>
        </w:rPr>
        <w:t xml:space="preserve">and the </w:t>
      </w:r>
      <w:r>
        <w:rPr>
          <w:rFonts w:ascii="Times New Roman" w:eastAsia="Calibri" w:hAnsi="Times New Roman"/>
          <w:noProof/>
          <w:spacing w:val="-8"/>
          <w:sz w:val="24"/>
          <w:szCs w:val="24"/>
        </w:rPr>
        <w:t xml:space="preserve">one-off and recurrent adjustment </w:t>
      </w:r>
      <w:r w:rsidRPr="00E93CF0">
        <w:rPr>
          <w:rFonts w:ascii="Times New Roman" w:eastAsia="Calibri" w:hAnsi="Times New Roman"/>
          <w:noProof/>
          <w:spacing w:val="-8"/>
          <w:sz w:val="24"/>
          <w:szCs w:val="24"/>
        </w:rPr>
        <w:t xml:space="preserve">costs for 2028, 2030, 2040 and 2050 for each policy option relative to the baseline are provided in the </w:t>
      </w:r>
      <w:r>
        <w:rPr>
          <w:rFonts w:ascii="Times New Roman" w:eastAsia="Calibri" w:hAnsi="Times New Roman"/>
          <w:noProof/>
          <w:spacing w:val="-8"/>
          <w:sz w:val="24"/>
          <w:szCs w:val="24"/>
        </w:rPr>
        <w:t xml:space="preserve">table below. </w:t>
      </w:r>
    </w:p>
    <w:p w14:paraId="44B5BBFE" w14:textId="08C28B7A" w:rsidR="00D42D63" w:rsidRPr="00DB078C" w:rsidRDefault="00D42D63" w:rsidP="00DB078C">
      <w:pPr>
        <w:keepNext/>
        <w:tabs>
          <w:tab w:val="left" w:pos="1134"/>
        </w:tabs>
        <w:jc w:val="both"/>
        <w:rPr>
          <w:i/>
          <w:noProof/>
          <w:sz w:val="22"/>
          <w:szCs w:val="22"/>
        </w:rPr>
      </w:pPr>
      <w:r w:rsidRPr="00DB078C">
        <w:rPr>
          <w:i/>
          <w:noProof/>
          <w:sz w:val="22"/>
          <w:szCs w:val="22"/>
        </w:rPr>
        <w:t xml:space="preserve">Table </w:t>
      </w:r>
      <w:r w:rsidRPr="00DB078C">
        <w:rPr>
          <w:i/>
          <w:noProof/>
          <w:sz w:val="22"/>
          <w:szCs w:val="22"/>
        </w:rPr>
        <w:fldChar w:fldCharType="begin"/>
      </w:r>
      <w:r w:rsidRPr="00DB078C">
        <w:rPr>
          <w:i/>
          <w:noProof/>
          <w:sz w:val="22"/>
          <w:szCs w:val="22"/>
        </w:rPr>
        <w:instrText xml:space="preserve"> SEQ Table \* ARABIC </w:instrText>
      </w:r>
      <w:r w:rsidRPr="00DB078C">
        <w:rPr>
          <w:i/>
          <w:noProof/>
          <w:sz w:val="22"/>
          <w:szCs w:val="22"/>
        </w:rPr>
        <w:fldChar w:fldCharType="separate"/>
      </w:r>
      <w:r w:rsidR="0055391F">
        <w:rPr>
          <w:i/>
          <w:noProof/>
          <w:sz w:val="22"/>
          <w:szCs w:val="22"/>
        </w:rPr>
        <w:t>89</w:t>
      </w:r>
      <w:r w:rsidRPr="00DB078C">
        <w:rPr>
          <w:i/>
          <w:noProof/>
          <w:sz w:val="22"/>
          <w:szCs w:val="22"/>
        </w:rPr>
        <w:fldChar w:fldCharType="end"/>
      </w:r>
      <w:r w:rsidRPr="00DB078C">
        <w:rPr>
          <w:i/>
          <w:noProof/>
          <w:sz w:val="22"/>
          <w:szCs w:val="22"/>
        </w:rPr>
        <w:t xml:space="preserve">: One-off and recurrent adjustment costs for </w:t>
      </w:r>
      <w:r w:rsidR="00602CD0">
        <w:rPr>
          <w:i/>
          <w:noProof/>
          <w:sz w:val="22"/>
          <w:szCs w:val="22"/>
        </w:rPr>
        <w:t>non-SME</w:t>
      </w:r>
      <w:r w:rsidRPr="00DB078C">
        <w:rPr>
          <w:i/>
          <w:noProof/>
          <w:sz w:val="22"/>
          <w:szCs w:val="22"/>
        </w:rPr>
        <w:t xml:space="preserve"> B2C platforms due to PM7 in the policy options in 2028, 2030, 2040 and 2050 relative to the baseline (in 2024 prices)</w:t>
      </w:r>
    </w:p>
    <w:tbl>
      <w:tblPr>
        <w:tblW w:w="501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8"/>
        <w:gridCol w:w="1546"/>
        <w:gridCol w:w="1544"/>
        <w:gridCol w:w="1544"/>
        <w:gridCol w:w="1546"/>
      </w:tblGrid>
      <w:tr w:rsidR="00C33C87" w:rsidRPr="005A3B73" w14:paraId="31A3EBF3" w14:textId="77777777" w:rsidTr="000C21A1">
        <w:trPr>
          <w:trHeight w:val="225"/>
          <w:tblHeader/>
        </w:trPr>
        <w:tc>
          <w:tcPr>
            <w:tcW w:w="1794" w:type="pct"/>
            <w:shd w:val="clear" w:color="auto" w:fill="0070C0"/>
            <w:noWrap/>
            <w:hideMark/>
          </w:tcPr>
          <w:p w14:paraId="0F030A45" w14:textId="77777777" w:rsidR="00EA4D2D" w:rsidRPr="004E336D" w:rsidRDefault="00EA4D2D">
            <w:pPr>
              <w:jc w:val="center"/>
              <w:rPr>
                <w:b/>
                <w:noProof/>
                <w:color w:val="FFFFFF"/>
                <w:sz w:val="20"/>
                <w:szCs w:val="20"/>
              </w:rPr>
            </w:pPr>
            <w:r w:rsidRPr="004E336D">
              <w:rPr>
                <w:b/>
                <w:noProof/>
                <w:color w:val="FFFFFF"/>
                <w:sz w:val="20"/>
                <w:szCs w:val="20"/>
              </w:rPr>
              <w:t> </w:t>
            </w:r>
          </w:p>
        </w:tc>
        <w:tc>
          <w:tcPr>
            <w:tcW w:w="802" w:type="pct"/>
            <w:shd w:val="clear" w:color="auto" w:fill="0070C0"/>
            <w:noWrap/>
            <w:hideMark/>
          </w:tcPr>
          <w:p w14:paraId="02ADC127" w14:textId="77777777" w:rsidR="00EA4D2D" w:rsidRPr="004E336D" w:rsidRDefault="00EA4D2D">
            <w:pPr>
              <w:jc w:val="right"/>
              <w:rPr>
                <w:b/>
                <w:noProof/>
                <w:color w:val="FFFFFF"/>
                <w:sz w:val="20"/>
                <w:szCs w:val="20"/>
              </w:rPr>
            </w:pPr>
            <w:r w:rsidRPr="004E336D">
              <w:rPr>
                <w:b/>
                <w:noProof/>
                <w:color w:val="FFFFFF"/>
                <w:sz w:val="20"/>
                <w:szCs w:val="20"/>
              </w:rPr>
              <w:t>2028</w:t>
            </w:r>
          </w:p>
        </w:tc>
        <w:tc>
          <w:tcPr>
            <w:tcW w:w="801" w:type="pct"/>
            <w:shd w:val="clear" w:color="auto" w:fill="0070C0"/>
            <w:noWrap/>
            <w:hideMark/>
          </w:tcPr>
          <w:p w14:paraId="5ED79E9A" w14:textId="77777777" w:rsidR="00EA4D2D" w:rsidRPr="004E336D" w:rsidRDefault="00EA4D2D">
            <w:pPr>
              <w:jc w:val="right"/>
              <w:rPr>
                <w:b/>
                <w:noProof/>
                <w:color w:val="FFFFFF"/>
                <w:sz w:val="20"/>
                <w:szCs w:val="20"/>
              </w:rPr>
            </w:pPr>
            <w:r w:rsidRPr="004E336D">
              <w:rPr>
                <w:b/>
                <w:noProof/>
                <w:color w:val="FFFFFF"/>
                <w:sz w:val="20"/>
                <w:szCs w:val="20"/>
              </w:rPr>
              <w:t>2030</w:t>
            </w:r>
          </w:p>
        </w:tc>
        <w:tc>
          <w:tcPr>
            <w:tcW w:w="801" w:type="pct"/>
            <w:shd w:val="clear" w:color="auto" w:fill="0070C0"/>
            <w:noWrap/>
            <w:hideMark/>
          </w:tcPr>
          <w:p w14:paraId="10EC64F3" w14:textId="77777777" w:rsidR="00EA4D2D" w:rsidRPr="004E336D" w:rsidRDefault="00EA4D2D">
            <w:pPr>
              <w:jc w:val="right"/>
              <w:rPr>
                <w:b/>
                <w:noProof/>
                <w:color w:val="FFFFFF"/>
                <w:sz w:val="20"/>
                <w:szCs w:val="20"/>
              </w:rPr>
            </w:pPr>
            <w:r w:rsidRPr="004E336D">
              <w:rPr>
                <w:b/>
                <w:noProof/>
                <w:color w:val="FFFFFF"/>
                <w:sz w:val="20"/>
                <w:szCs w:val="20"/>
              </w:rPr>
              <w:t>2040</w:t>
            </w:r>
          </w:p>
        </w:tc>
        <w:tc>
          <w:tcPr>
            <w:tcW w:w="802" w:type="pct"/>
            <w:shd w:val="clear" w:color="auto" w:fill="0070C0"/>
            <w:noWrap/>
            <w:hideMark/>
          </w:tcPr>
          <w:p w14:paraId="57E97114" w14:textId="77777777" w:rsidR="00EA4D2D" w:rsidRPr="004E336D" w:rsidRDefault="00EA4D2D">
            <w:pPr>
              <w:jc w:val="right"/>
              <w:rPr>
                <w:b/>
                <w:noProof/>
                <w:color w:val="FFFFFF"/>
                <w:sz w:val="20"/>
                <w:szCs w:val="20"/>
              </w:rPr>
            </w:pPr>
            <w:r w:rsidRPr="004E336D">
              <w:rPr>
                <w:b/>
                <w:noProof/>
                <w:color w:val="FFFFFF"/>
                <w:sz w:val="20"/>
                <w:szCs w:val="20"/>
              </w:rPr>
              <w:t>2050</w:t>
            </w:r>
          </w:p>
        </w:tc>
      </w:tr>
      <w:tr w:rsidR="00C33C87" w:rsidRPr="005A3B73" w14:paraId="43704D35" w14:textId="77777777" w:rsidTr="000C21A1">
        <w:trPr>
          <w:trHeight w:val="225"/>
        </w:trPr>
        <w:tc>
          <w:tcPr>
            <w:tcW w:w="1794" w:type="pct"/>
            <w:shd w:val="clear" w:color="auto" w:fill="FFFFFF" w:themeFill="background1"/>
            <w:noWrap/>
            <w:hideMark/>
          </w:tcPr>
          <w:p w14:paraId="789FA164" w14:textId="2A2812DF" w:rsidR="00B657E3" w:rsidRPr="004E336D" w:rsidRDefault="00B657E3" w:rsidP="00B657E3">
            <w:pPr>
              <w:rPr>
                <w:noProof/>
                <w:sz w:val="20"/>
                <w:szCs w:val="20"/>
              </w:rPr>
            </w:pPr>
            <w:r w:rsidRPr="004E336D">
              <w:rPr>
                <w:noProof/>
                <w:sz w:val="20"/>
                <w:szCs w:val="20"/>
              </w:rPr>
              <w:t xml:space="preserve">One-off cost per B2C platform for setting up the API (EUR) </w:t>
            </w:r>
          </w:p>
        </w:tc>
        <w:tc>
          <w:tcPr>
            <w:tcW w:w="802" w:type="pct"/>
            <w:shd w:val="clear" w:color="auto" w:fill="FFFFFF" w:themeFill="background1"/>
            <w:noWrap/>
            <w:hideMark/>
          </w:tcPr>
          <w:p w14:paraId="1EFF6A8C" w14:textId="0D824E14" w:rsidR="00B657E3" w:rsidRPr="000C21A1" w:rsidRDefault="00B657E3" w:rsidP="00B657E3">
            <w:pPr>
              <w:jc w:val="right"/>
              <w:rPr>
                <w:noProof/>
                <w:sz w:val="20"/>
                <w:szCs w:val="20"/>
              </w:rPr>
            </w:pPr>
            <w:r w:rsidRPr="000C21A1">
              <w:rPr>
                <w:noProof/>
                <w:sz w:val="20"/>
                <w:szCs w:val="20"/>
              </w:rPr>
              <w:t>117,719</w:t>
            </w:r>
          </w:p>
        </w:tc>
        <w:tc>
          <w:tcPr>
            <w:tcW w:w="801" w:type="pct"/>
            <w:shd w:val="clear" w:color="auto" w:fill="FFFFFF" w:themeFill="background1"/>
            <w:noWrap/>
            <w:hideMark/>
          </w:tcPr>
          <w:p w14:paraId="47A74205" w14:textId="5AF9FCD4" w:rsidR="00B657E3" w:rsidRPr="000C21A1" w:rsidRDefault="00B657E3" w:rsidP="00B657E3">
            <w:pPr>
              <w:jc w:val="right"/>
              <w:rPr>
                <w:noProof/>
                <w:sz w:val="20"/>
                <w:szCs w:val="20"/>
              </w:rPr>
            </w:pPr>
            <w:r w:rsidRPr="000C21A1">
              <w:rPr>
                <w:noProof/>
                <w:sz w:val="20"/>
                <w:szCs w:val="20"/>
              </w:rPr>
              <w:t>117,719</w:t>
            </w:r>
          </w:p>
        </w:tc>
        <w:tc>
          <w:tcPr>
            <w:tcW w:w="801" w:type="pct"/>
            <w:shd w:val="clear" w:color="auto" w:fill="FFFFFF" w:themeFill="background1"/>
            <w:noWrap/>
            <w:hideMark/>
          </w:tcPr>
          <w:p w14:paraId="769C8664" w14:textId="43652742" w:rsidR="00B657E3" w:rsidRPr="000C21A1" w:rsidRDefault="00B657E3" w:rsidP="00B657E3">
            <w:pPr>
              <w:jc w:val="right"/>
              <w:rPr>
                <w:noProof/>
                <w:sz w:val="20"/>
                <w:szCs w:val="20"/>
              </w:rPr>
            </w:pPr>
            <w:r w:rsidRPr="000C21A1">
              <w:rPr>
                <w:noProof/>
                <w:sz w:val="20"/>
                <w:szCs w:val="20"/>
              </w:rPr>
              <w:t>117,719</w:t>
            </w:r>
          </w:p>
        </w:tc>
        <w:tc>
          <w:tcPr>
            <w:tcW w:w="802" w:type="pct"/>
            <w:shd w:val="clear" w:color="auto" w:fill="FFFFFF" w:themeFill="background1"/>
            <w:noWrap/>
            <w:hideMark/>
          </w:tcPr>
          <w:p w14:paraId="6DDC9C97" w14:textId="1A9FEB71" w:rsidR="00B657E3" w:rsidRPr="000C21A1" w:rsidRDefault="00B657E3" w:rsidP="00B657E3">
            <w:pPr>
              <w:jc w:val="right"/>
              <w:rPr>
                <w:noProof/>
                <w:sz w:val="20"/>
                <w:szCs w:val="20"/>
              </w:rPr>
            </w:pPr>
            <w:r w:rsidRPr="000C21A1">
              <w:rPr>
                <w:noProof/>
                <w:sz w:val="20"/>
                <w:szCs w:val="20"/>
              </w:rPr>
              <w:t>117,719</w:t>
            </w:r>
          </w:p>
        </w:tc>
      </w:tr>
      <w:tr w:rsidR="00C33C87" w:rsidRPr="005A3B73" w14:paraId="3BC18200" w14:textId="77777777" w:rsidTr="000C21A1">
        <w:trPr>
          <w:trHeight w:val="225"/>
        </w:trPr>
        <w:tc>
          <w:tcPr>
            <w:tcW w:w="1794" w:type="pct"/>
            <w:shd w:val="clear" w:color="auto" w:fill="FFFFFF" w:themeFill="background1"/>
            <w:noWrap/>
            <w:hideMark/>
          </w:tcPr>
          <w:p w14:paraId="464EC9F0" w14:textId="77777777" w:rsidR="00B657E3" w:rsidRPr="004E336D" w:rsidRDefault="00B657E3" w:rsidP="00B657E3">
            <w:pPr>
              <w:rPr>
                <w:noProof/>
                <w:sz w:val="20"/>
                <w:szCs w:val="20"/>
              </w:rPr>
            </w:pPr>
            <w:r w:rsidRPr="004E336D">
              <w:rPr>
                <w:noProof/>
                <w:sz w:val="20"/>
                <w:szCs w:val="20"/>
              </w:rPr>
              <w:t xml:space="preserve">Recurrent cost per B2C platform for maintaining the API (EUR) </w:t>
            </w:r>
          </w:p>
        </w:tc>
        <w:tc>
          <w:tcPr>
            <w:tcW w:w="802" w:type="pct"/>
            <w:shd w:val="clear" w:color="auto" w:fill="FFFFFF" w:themeFill="background1"/>
            <w:noWrap/>
            <w:hideMark/>
          </w:tcPr>
          <w:p w14:paraId="57A5D44D" w14:textId="04180713" w:rsidR="00B657E3" w:rsidRPr="000C21A1" w:rsidRDefault="00B657E3" w:rsidP="00B657E3">
            <w:pPr>
              <w:jc w:val="right"/>
              <w:rPr>
                <w:noProof/>
                <w:sz w:val="20"/>
                <w:szCs w:val="20"/>
              </w:rPr>
            </w:pPr>
            <w:r w:rsidRPr="000C21A1">
              <w:rPr>
                <w:noProof/>
                <w:sz w:val="20"/>
                <w:szCs w:val="20"/>
              </w:rPr>
              <w:t>11,772</w:t>
            </w:r>
          </w:p>
        </w:tc>
        <w:tc>
          <w:tcPr>
            <w:tcW w:w="801" w:type="pct"/>
            <w:shd w:val="clear" w:color="auto" w:fill="FFFFFF" w:themeFill="background1"/>
            <w:noWrap/>
            <w:hideMark/>
          </w:tcPr>
          <w:p w14:paraId="0FCE7F31" w14:textId="28D42025" w:rsidR="00B657E3" w:rsidRPr="000C21A1" w:rsidRDefault="00B657E3" w:rsidP="00B657E3">
            <w:pPr>
              <w:jc w:val="right"/>
              <w:rPr>
                <w:noProof/>
                <w:sz w:val="20"/>
                <w:szCs w:val="20"/>
              </w:rPr>
            </w:pPr>
            <w:r w:rsidRPr="000C21A1">
              <w:rPr>
                <w:noProof/>
                <w:sz w:val="20"/>
                <w:szCs w:val="20"/>
              </w:rPr>
              <w:t>11,772</w:t>
            </w:r>
          </w:p>
        </w:tc>
        <w:tc>
          <w:tcPr>
            <w:tcW w:w="801" w:type="pct"/>
            <w:shd w:val="clear" w:color="auto" w:fill="FFFFFF" w:themeFill="background1"/>
            <w:noWrap/>
            <w:hideMark/>
          </w:tcPr>
          <w:p w14:paraId="7FF23FE2" w14:textId="6CE206C7" w:rsidR="00B657E3" w:rsidRPr="000C21A1" w:rsidRDefault="00B657E3" w:rsidP="00B657E3">
            <w:pPr>
              <w:jc w:val="right"/>
              <w:rPr>
                <w:noProof/>
                <w:sz w:val="20"/>
                <w:szCs w:val="20"/>
              </w:rPr>
            </w:pPr>
            <w:r w:rsidRPr="000C21A1">
              <w:rPr>
                <w:noProof/>
                <w:sz w:val="20"/>
                <w:szCs w:val="20"/>
              </w:rPr>
              <w:t>11,772</w:t>
            </w:r>
          </w:p>
        </w:tc>
        <w:tc>
          <w:tcPr>
            <w:tcW w:w="802" w:type="pct"/>
            <w:shd w:val="clear" w:color="auto" w:fill="FFFFFF" w:themeFill="background1"/>
            <w:noWrap/>
            <w:hideMark/>
          </w:tcPr>
          <w:p w14:paraId="0B89AD14" w14:textId="362AEA3E" w:rsidR="00B657E3" w:rsidRPr="000C21A1" w:rsidRDefault="00B657E3" w:rsidP="00B657E3">
            <w:pPr>
              <w:jc w:val="right"/>
              <w:rPr>
                <w:noProof/>
                <w:sz w:val="20"/>
                <w:szCs w:val="20"/>
              </w:rPr>
            </w:pPr>
            <w:r w:rsidRPr="000C21A1">
              <w:rPr>
                <w:noProof/>
                <w:sz w:val="20"/>
                <w:szCs w:val="20"/>
              </w:rPr>
              <w:t>11,772</w:t>
            </w:r>
          </w:p>
        </w:tc>
      </w:tr>
      <w:tr w:rsidR="00C33C87" w:rsidRPr="005A3B73" w14:paraId="447079B9" w14:textId="77777777" w:rsidTr="000C21A1">
        <w:trPr>
          <w:trHeight w:val="225"/>
        </w:trPr>
        <w:tc>
          <w:tcPr>
            <w:tcW w:w="1794" w:type="pct"/>
            <w:shd w:val="clear" w:color="auto" w:fill="FFFFFF" w:themeFill="background1"/>
            <w:noWrap/>
            <w:hideMark/>
          </w:tcPr>
          <w:p w14:paraId="09A51A83" w14:textId="77777777" w:rsidR="00B657E3" w:rsidRPr="004E336D" w:rsidRDefault="00B657E3" w:rsidP="00B657E3">
            <w:pPr>
              <w:rPr>
                <w:b/>
                <w:noProof/>
                <w:sz w:val="20"/>
                <w:szCs w:val="20"/>
              </w:rPr>
            </w:pPr>
            <w:r w:rsidRPr="004E336D">
              <w:rPr>
                <w:b/>
                <w:noProof/>
                <w:sz w:val="20"/>
                <w:szCs w:val="20"/>
              </w:rPr>
              <w:t xml:space="preserve">PO1 </w:t>
            </w:r>
          </w:p>
        </w:tc>
        <w:tc>
          <w:tcPr>
            <w:tcW w:w="802" w:type="pct"/>
            <w:shd w:val="clear" w:color="auto" w:fill="FFFFFF" w:themeFill="background1"/>
            <w:noWrap/>
            <w:hideMark/>
          </w:tcPr>
          <w:p w14:paraId="1DF6C545" w14:textId="2769205F" w:rsidR="00B657E3" w:rsidRPr="000C21A1" w:rsidRDefault="00B657E3" w:rsidP="00B657E3">
            <w:pPr>
              <w:jc w:val="right"/>
              <w:rPr>
                <w:noProof/>
                <w:sz w:val="20"/>
                <w:szCs w:val="20"/>
              </w:rPr>
            </w:pPr>
            <w:r w:rsidRPr="000C21A1">
              <w:rPr>
                <w:noProof/>
                <w:sz w:val="20"/>
                <w:szCs w:val="20"/>
              </w:rPr>
              <w:t> </w:t>
            </w:r>
          </w:p>
        </w:tc>
        <w:tc>
          <w:tcPr>
            <w:tcW w:w="801" w:type="pct"/>
            <w:shd w:val="clear" w:color="auto" w:fill="FFFFFF" w:themeFill="background1"/>
            <w:noWrap/>
            <w:hideMark/>
          </w:tcPr>
          <w:p w14:paraId="1EFAABF4" w14:textId="070B99CF" w:rsidR="00B657E3" w:rsidRPr="000C21A1" w:rsidRDefault="00B657E3" w:rsidP="00B657E3">
            <w:pPr>
              <w:jc w:val="right"/>
              <w:rPr>
                <w:noProof/>
                <w:sz w:val="20"/>
                <w:szCs w:val="20"/>
              </w:rPr>
            </w:pPr>
            <w:r w:rsidRPr="000C21A1">
              <w:rPr>
                <w:noProof/>
                <w:sz w:val="20"/>
                <w:szCs w:val="20"/>
              </w:rPr>
              <w:t> </w:t>
            </w:r>
          </w:p>
        </w:tc>
        <w:tc>
          <w:tcPr>
            <w:tcW w:w="801" w:type="pct"/>
            <w:shd w:val="clear" w:color="auto" w:fill="FFFFFF" w:themeFill="background1"/>
            <w:noWrap/>
            <w:hideMark/>
          </w:tcPr>
          <w:p w14:paraId="11A378D9" w14:textId="63183DA3" w:rsidR="00B657E3" w:rsidRPr="000C21A1" w:rsidRDefault="00B657E3" w:rsidP="00B657E3">
            <w:pPr>
              <w:jc w:val="right"/>
              <w:rPr>
                <w:noProof/>
                <w:sz w:val="20"/>
                <w:szCs w:val="20"/>
              </w:rPr>
            </w:pPr>
            <w:r w:rsidRPr="000C21A1">
              <w:rPr>
                <w:noProof/>
                <w:sz w:val="20"/>
                <w:szCs w:val="20"/>
              </w:rPr>
              <w:t> </w:t>
            </w:r>
          </w:p>
        </w:tc>
        <w:tc>
          <w:tcPr>
            <w:tcW w:w="802" w:type="pct"/>
            <w:shd w:val="clear" w:color="auto" w:fill="FFFFFF" w:themeFill="background1"/>
            <w:noWrap/>
            <w:hideMark/>
          </w:tcPr>
          <w:p w14:paraId="475FE211" w14:textId="34019332" w:rsidR="00B657E3" w:rsidRPr="000C21A1" w:rsidRDefault="00B657E3" w:rsidP="00B657E3">
            <w:pPr>
              <w:jc w:val="right"/>
              <w:rPr>
                <w:noProof/>
                <w:sz w:val="20"/>
                <w:szCs w:val="20"/>
              </w:rPr>
            </w:pPr>
            <w:r w:rsidRPr="000C21A1">
              <w:rPr>
                <w:noProof/>
                <w:sz w:val="20"/>
                <w:szCs w:val="20"/>
              </w:rPr>
              <w:t> </w:t>
            </w:r>
          </w:p>
        </w:tc>
      </w:tr>
      <w:tr w:rsidR="00C33C87" w:rsidRPr="005A3B73" w14:paraId="1217BBD1" w14:textId="77777777" w:rsidTr="000C21A1">
        <w:trPr>
          <w:trHeight w:val="225"/>
        </w:trPr>
        <w:tc>
          <w:tcPr>
            <w:tcW w:w="1794" w:type="pct"/>
            <w:shd w:val="clear" w:color="auto" w:fill="FFFFFF" w:themeFill="background1"/>
            <w:noWrap/>
            <w:hideMark/>
          </w:tcPr>
          <w:p w14:paraId="29FA75FD" w14:textId="5E68B274" w:rsidR="00B657E3" w:rsidRPr="004E336D" w:rsidRDefault="00B657E3" w:rsidP="00B657E3">
            <w:pPr>
              <w:rPr>
                <w:noProof/>
                <w:sz w:val="20"/>
                <w:szCs w:val="20"/>
              </w:rPr>
            </w:pPr>
            <w:r w:rsidRPr="004E336D">
              <w:rPr>
                <w:noProof/>
                <w:sz w:val="20"/>
                <w:szCs w:val="20"/>
              </w:rPr>
              <w:t xml:space="preserve">Number of </w:t>
            </w:r>
            <w:r>
              <w:rPr>
                <w:noProof/>
                <w:sz w:val="20"/>
                <w:szCs w:val="20"/>
              </w:rPr>
              <w:t>non-SME</w:t>
            </w:r>
            <w:r w:rsidRPr="004E336D">
              <w:rPr>
                <w:noProof/>
                <w:sz w:val="20"/>
                <w:szCs w:val="20"/>
              </w:rPr>
              <w:t xml:space="preserve"> B2C MDMS platforms that incur one-off costs due to PM7 </w:t>
            </w:r>
          </w:p>
        </w:tc>
        <w:tc>
          <w:tcPr>
            <w:tcW w:w="802" w:type="pct"/>
            <w:shd w:val="clear" w:color="auto" w:fill="FFFFFF" w:themeFill="background1"/>
            <w:noWrap/>
            <w:hideMark/>
          </w:tcPr>
          <w:p w14:paraId="088D4534" w14:textId="3B78BE1B" w:rsidR="00B657E3" w:rsidRPr="000C21A1" w:rsidRDefault="00B657E3" w:rsidP="00B657E3">
            <w:pPr>
              <w:jc w:val="right"/>
              <w:rPr>
                <w:noProof/>
                <w:sz w:val="20"/>
                <w:szCs w:val="20"/>
              </w:rPr>
            </w:pPr>
            <w:r w:rsidRPr="000C21A1">
              <w:rPr>
                <w:noProof/>
                <w:sz w:val="20"/>
                <w:szCs w:val="20"/>
              </w:rPr>
              <w:t>150</w:t>
            </w:r>
          </w:p>
        </w:tc>
        <w:tc>
          <w:tcPr>
            <w:tcW w:w="801" w:type="pct"/>
            <w:shd w:val="clear" w:color="auto" w:fill="FFFFFF" w:themeFill="background1"/>
            <w:noWrap/>
            <w:hideMark/>
          </w:tcPr>
          <w:p w14:paraId="2EA48AA6" w14:textId="2221DC97" w:rsidR="00B657E3" w:rsidRPr="000C21A1" w:rsidRDefault="00B657E3" w:rsidP="00B657E3">
            <w:pPr>
              <w:jc w:val="right"/>
              <w:rPr>
                <w:noProof/>
                <w:sz w:val="20"/>
                <w:szCs w:val="20"/>
              </w:rPr>
            </w:pPr>
            <w:r w:rsidRPr="000C21A1">
              <w:rPr>
                <w:noProof/>
                <w:sz w:val="20"/>
                <w:szCs w:val="20"/>
              </w:rPr>
              <w:t>3</w:t>
            </w:r>
          </w:p>
        </w:tc>
        <w:tc>
          <w:tcPr>
            <w:tcW w:w="801" w:type="pct"/>
            <w:shd w:val="clear" w:color="auto" w:fill="FFFFFF" w:themeFill="background1"/>
            <w:noWrap/>
            <w:hideMark/>
          </w:tcPr>
          <w:p w14:paraId="7967C2F7" w14:textId="08184AFA" w:rsidR="00B657E3" w:rsidRPr="000C21A1" w:rsidRDefault="00B657E3" w:rsidP="00B657E3">
            <w:pPr>
              <w:jc w:val="right"/>
              <w:rPr>
                <w:noProof/>
                <w:sz w:val="20"/>
                <w:szCs w:val="20"/>
              </w:rPr>
            </w:pPr>
            <w:r w:rsidRPr="000C21A1">
              <w:rPr>
                <w:noProof/>
                <w:sz w:val="20"/>
                <w:szCs w:val="20"/>
              </w:rPr>
              <w:t>2</w:t>
            </w:r>
          </w:p>
        </w:tc>
        <w:tc>
          <w:tcPr>
            <w:tcW w:w="802" w:type="pct"/>
            <w:shd w:val="clear" w:color="auto" w:fill="FFFFFF" w:themeFill="background1"/>
            <w:noWrap/>
            <w:hideMark/>
          </w:tcPr>
          <w:p w14:paraId="1CAF7492" w14:textId="2700FC30" w:rsidR="00B657E3" w:rsidRPr="000C21A1" w:rsidRDefault="00B657E3" w:rsidP="00B657E3">
            <w:pPr>
              <w:jc w:val="right"/>
              <w:rPr>
                <w:noProof/>
                <w:sz w:val="20"/>
                <w:szCs w:val="20"/>
              </w:rPr>
            </w:pPr>
            <w:r w:rsidRPr="000C21A1">
              <w:rPr>
                <w:noProof/>
                <w:sz w:val="20"/>
                <w:szCs w:val="20"/>
              </w:rPr>
              <w:t>0</w:t>
            </w:r>
          </w:p>
        </w:tc>
      </w:tr>
      <w:tr w:rsidR="00C33C87" w:rsidRPr="005A3B73" w14:paraId="6A3453EE" w14:textId="77777777" w:rsidTr="000C21A1">
        <w:trPr>
          <w:trHeight w:val="225"/>
        </w:trPr>
        <w:tc>
          <w:tcPr>
            <w:tcW w:w="1794" w:type="pct"/>
            <w:shd w:val="clear" w:color="auto" w:fill="FFFFFF" w:themeFill="background1"/>
            <w:noWrap/>
            <w:hideMark/>
          </w:tcPr>
          <w:p w14:paraId="338CEBF0" w14:textId="7192E3E1" w:rsidR="00B657E3" w:rsidRPr="004E336D" w:rsidRDefault="00B657E3" w:rsidP="00B657E3">
            <w:pPr>
              <w:rPr>
                <w:noProof/>
                <w:sz w:val="20"/>
                <w:szCs w:val="20"/>
              </w:rPr>
            </w:pPr>
            <w:r w:rsidRPr="004E336D">
              <w:rPr>
                <w:noProof/>
                <w:sz w:val="20"/>
                <w:szCs w:val="20"/>
              </w:rPr>
              <w:t xml:space="preserve">Number of </w:t>
            </w:r>
            <w:r>
              <w:rPr>
                <w:noProof/>
                <w:sz w:val="20"/>
                <w:szCs w:val="20"/>
              </w:rPr>
              <w:t>non-SME</w:t>
            </w:r>
            <w:r w:rsidRPr="004E336D">
              <w:rPr>
                <w:noProof/>
                <w:sz w:val="20"/>
                <w:szCs w:val="20"/>
              </w:rPr>
              <w:t xml:space="preserve"> B2C MDMS platforms that incur recurrent costs due to PM7 </w:t>
            </w:r>
          </w:p>
        </w:tc>
        <w:tc>
          <w:tcPr>
            <w:tcW w:w="802" w:type="pct"/>
            <w:shd w:val="clear" w:color="auto" w:fill="FFFFFF" w:themeFill="background1"/>
            <w:noWrap/>
            <w:hideMark/>
          </w:tcPr>
          <w:p w14:paraId="404413B4" w14:textId="6BD78D15" w:rsidR="00B657E3" w:rsidRPr="000C21A1" w:rsidRDefault="00B657E3" w:rsidP="00B657E3">
            <w:pPr>
              <w:jc w:val="right"/>
              <w:rPr>
                <w:noProof/>
                <w:sz w:val="20"/>
                <w:szCs w:val="20"/>
              </w:rPr>
            </w:pPr>
            <w:r w:rsidRPr="000C21A1">
              <w:rPr>
                <w:noProof/>
                <w:sz w:val="20"/>
                <w:szCs w:val="20"/>
              </w:rPr>
              <w:t>0</w:t>
            </w:r>
          </w:p>
        </w:tc>
        <w:tc>
          <w:tcPr>
            <w:tcW w:w="801" w:type="pct"/>
            <w:shd w:val="clear" w:color="auto" w:fill="FFFFFF" w:themeFill="background1"/>
            <w:noWrap/>
            <w:hideMark/>
          </w:tcPr>
          <w:p w14:paraId="0EB4BF1A" w14:textId="474C620E" w:rsidR="00B657E3" w:rsidRPr="000C21A1" w:rsidRDefault="00B657E3" w:rsidP="00B657E3">
            <w:pPr>
              <w:jc w:val="right"/>
              <w:rPr>
                <w:noProof/>
                <w:sz w:val="20"/>
                <w:szCs w:val="20"/>
              </w:rPr>
            </w:pPr>
            <w:r w:rsidRPr="000C21A1">
              <w:rPr>
                <w:noProof/>
                <w:sz w:val="20"/>
                <w:szCs w:val="20"/>
              </w:rPr>
              <w:t>153</w:t>
            </w:r>
          </w:p>
        </w:tc>
        <w:tc>
          <w:tcPr>
            <w:tcW w:w="801" w:type="pct"/>
            <w:shd w:val="clear" w:color="auto" w:fill="FFFFFF" w:themeFill="background1"/>
            <w:noWrap/>
            <w:hideMark/>
          </w:tcPr>
          <w:p w14:paraId="471412B3" w14:textId="585A7DA3" w:rsidR="00B657E3" w:rsidRPr="000C21A1" w:rsidRDefault="00B657E3" w:rsidP="00B657E3">
            <w:pPr>
              <w:jc w:val="right"/>
              <w:rPr>
                <w:noProof/>
                <w:sz w:val="20"/>
                <w:szCs w:val="20"/>
              </w:rPr>
            </w:pPr>
            <w:r w:rsidRPr="000C21A1">
              <w:rPr>
                <w:noProof/>
                <w:sz w:val="20"/>
                <w:szCs w:val="20"/>
              </w:rPr>
              <w:t>179</w:t>
            </w:r>
          </w:p>
        </w:tc>
        <w:tc>
          <w:tcPr>
            <w:tcW w:w="802" w:type="pct"/>
            <w:shd w:val="clear" w:color="auto" w:fill="FFFFFF" w:themeFill="background1"/>
            <w:noWrap/>
            <w:hideMark/>
          </w:tcPr>
          <w:p w14:paraId="681E3717" w14:textId="2292CC27" w:rsidR="00B657E3" w:rsidRPr="000C21A1" w:rsidRDefault="00B657E3" w:rsidP="00B657E3">
            <w:pPr>
              <w:jc w:val="right"/>
              <w:rPr>
                <w:noProof/>
                <w:sz w:val="20"/>
                <w:szCs w:val="20"/>
              </w:rPr>
            </w:pPr>
            <w:r w:rsidRPr="000C21A1">
              <w:rPr>
                <w:noProof/>
                <w:sz w:val="20"/>
                <w:szCs w:val="20"/>
              </w:rPr>
              <w:t>181</w:t>
            </w:r>
          </w:p>
        </w:tc>
      </w:tr>
      <w:tr w:rsidR="00C33C87" w:rsidRPr="005A3B73" w14:paraId="18DA4668" w14:textId="77777777" w:rsidTr="000C21A1">
        <w:trPr>
          <w:trHeight w:val="225"/>
        </w:trPr>
        <w:tc>
          <w:tcPr>
            <w:tcW w:w="1794" w:type="pct"/>
            <w:shd w:val="clear" w:color="auto" w:fill="FFFFFF" w:themeFill="background1"/>
            <w:noWrap/>
            <w:hideMark/>
          </w:tcPr>
          <w:p w14:paraId="7484C4D9" w14:textId="77777777" w:rsidR="00B657E3" w:rsidRPr="004E336D" w:rsidRDefault="00B657E3" w:rsidP="00B657E3">
            <w:pPr>
              <w:rPr>
                <w:noProof/>
                <w:sz w:val="20"/>
                <w:szCs w:val="20"/>
              </w:rPr>
            </w:pPr>
            <w:r w:rsidRPr="004E336D">
              <w:rPr>
                <w:noProof/>
                <w:sz w:val="20"/>
                <w:szCs w:val="20"/>
              </w:rPr>
              <w:t xml:space="preserve">Total one-off adjustment costs (million EUR) </w:t>
            </w:r>
          </w:p>
        </w:tc>
        <w:tc>
          <w:tcPr>
            <w:tcW w:w="802" w:type="pct"/>
            <w:shd w:val="clear" w:color="auto" w:fill="FFFFFF" w:themeFill="background1"/>
            <w:noWrap/>
            <w:hideMark/>
          </w:tcPr>
          <w:p w14:paraId="2480AE8C" w14:textId="74AECA42" w:rsidR="00B657E3" w:rsidRPr="000C21A1" w:rsidRDefault="00B657E3" w:rsidP="00B657E3">
            <w:pPr>
              <w:jc w:val="right"/>
              <w:rPr>
                <w:noProof/>
                <w:sz w:val="20"/>
                <w:szCs w:val="20"/>
              </w:rPr>
            </w:pPr>
            <w:r w:rsidRPr="000C21A1">
              <w:rPr>
                <w:noProof/>
                <w:sz w:val="20"/>
                <w:szCs w:val="20"/>
              </w:rPr>
              <w:t>17.6</w:t>
            </w:r>
          </w:p>
        </w:tc>
        <w:tc>
          <w:tcPr>
            <w:tcW w:w="801" w:type="pct"/>
            <w:shd w:val="clear" w:color="auto" w:fill="FFFFFF" w:themeFill="background1"/>
            <w:noWrap/>
            <w:hideMark/>
          </w:tcPr>
          <w:p w14:paraId="77B4F21E" w14:textId="70923ADD" w:rsidR="00B657E3" w:rsidRPr="000C21A1" w:rsidRDefault="00B657E3" w:rsidP="00B657E3">
            <w:pPr>
              <w:jc w:val="right"/>
              <w:rPr>
                <w:noProof/>
                <w:sz w:val="20"/>
                <w:szCs w:val="20"/>
              </w:rPr>
            </w:pPr>
            <w:r w:rsidRPr="000C21A1">
              <w:rPr>
                <w:noProof/>
                <w:sz w:val="20"/>
                <w:szCs w:val="20"/>
              </w:rPr>
              <w:t>0.4</w:t>
            </w:r>
          </w:p>
        </w:tc>
        <w:tc>
          <w:tcPr>
            <w:tcW w:w="801" w:type="pct"/>
            <w:shd w:val="clear" w:color="auto" w:fill="FFFFFF" w:themeFill="background1"/>
            <w:noWrap/>
            <w:hideMark/>
          </w:tcPr>
          <w:p w14:paraId="73B9711E" w14:textId="34E917E9" w:rsidR="00B657E3" w:rsidRPr="000C21A1" w:rsidRDefault="00B657E3" w:rsidP="00B657E3">
            <w:pPr>
              <w:jc w:val="right"/>
              <w:rPr>
                <w:noProof/>
                <w:sz w:val="20"/>
                <w:szCs w:val="20"/>
              </w:rPr>
            </w:pPr>
            <w:r w:rsidRPr="000C21A1">
              <w:rPr>
                <w:noProof/>
                <w:sz w:val="20"/>
                <w:szCs w:val="20"/>
              </w:rPr>
              <w:t>0.2</w:t>
            </w:r>
          </w:p>
        </w:tc>
        <w:tc>
          <w:tcPr>
            <w:tcW w:w="802" w:type="pct"/>
            <w:shd w:val="clear" w:color="auto" w:fill="FFFFFF" w:themeFill="background1"/>
            <w:noWrap/>
            <w:hideMark/>
          </w:tcPr>
          <w:p w14:paraId="2C356E6E" w14:textId="5DC61BC0" w:rsidR="00B657E3" w:rsidRPr="000C21A1" w:rsidRDefault="00B657E3" w:rsidP="00B657E3">
            <w:pPr>
              <w:jc w:val="right"/>
              <w:rPr>
                <w:noProof/>
                <w:sz w:val="20"/>
                <w:szCs w:val="20"/>
              </w:rPr>
            </w:pPr>
            <w:r w:rsidRPr="000C21A1">
              <w:rPr>
                <w:noProof/>
                <w:sz w:val="20"/>
                <w:szCs w:val="20"/>
              </w:rPr>
              <w:t>0.0</w:t>
            </w:r>
          </w:p>
        </w:tc>
      </w:tr>
      <w:tr w:rsidR="00C33C87" w:rsidRPr="005A3B73" w14:paraId="1665F44C" w14:textId="77777777" w:rsidTr="000C21A1">
        <w:trPr>
          <w:trHeight w:val="225"/>
        </w:trPr>
        <w:tc>
          <w:tcPr>
            <w:tcW w:w="1794" w:type="pct"/>
            <w:shd w:val="clear" w:color="auto" w:fill="FFFFFF" w:themeFill="background1"/>
            <w:noWrap/>
            <w:hideMark/>
          </w:tcPr>
          <w:p w14:paraId="08CBD276" w14:textId="77777777" w:rsidR="00B657E3" w:rsidRPr="004E336D" w:rsidRDefault="00B657E3" w:rsidP="00B657E3">
            <w:pPr>
              <w:rPr>
                <w:noProof/>
                <w:sz w:val="20"/>
                <w:szCs w:val="20"/>
              </w:rPr>
            </w:pPr>
            <w:r w:rsidRPr="004E336D">
              <w:rPr>
                <w:noProof/>
                <w:sz w:val="20"/>
                <w:szCs w:val="20"/>
              </w:rPr>
              <w:t xml:space="preserve">Total recurrent adjustment costs (million EUR) </w:t>
            </w:r>
          </w:p>
        </w:tc>
        <w:tc>
          <w:tcPr>
            <w:tcW w:w="802" w:type="pct"/>
            <w:shd w:val="clear" w:color="auto" w:fill="FFFFFF" w:themeFill="background1"/>
            <w:noWrap/>
            <w:hideMark/>
          </w:tcPr>
          <w:p w14:paraId="0E55A1B5" w14:textId="30954EAA" w:rsidR="00B657E3" w:rsidRPr="000C21A1" w:rsidRDefault="00B657E3" w:rsidP="00B657E3">
            <w:pPr>
              <w:jc w:val="right"/>
              <w:rPr>
                <w:noProof/>
                <w:sz w:val="20"/>
                <w:szCs w:val="20"/>
              </w:rPr>
            </w:pPr>
            <w:r w:rsidRPr="000C21A1">
              <w:rPr>
                <w:noProof/>
                <w:sz w:val="20"/>
                <w:szCs w:val="20"/>
              </w:rPr>
              <w:t>0.0</w:t>
            </w:r>
          </w:p>
        </w:tc>
        <w:tc>
          <w:tcPr>
            <w:tcW w:w="801" w:type="pct"/>
            <w:shd w:val="clear" w:color="auto" w:fill="FFFFFF" w:themeFill="background1"/>
            <w:noWrap/>
            <w:hideMark/>
          </w:tcPr>
          <w:p w14:paraId="06295002" w14:textId="6AF79690" w:rsidR="00B657E3" w:rsidRPr="000C21A1" w:rsidRDefault="00B657E3" w:rsidP="00B657E3">
            <w:pPr>
              <w:jc w:val="right"/>
              <w:rPr>
                <w:noProof/>
                <w:sz w:val="20"/>
                <w:szCs w:val="20"/>
              </w:rPr>
            </w:pPr>
            <w:r w:rsidRPr="000C21A1">
              <w:rPr>
                <w:noProof/>
                <w:sz w:val="20"/>
                <w:szCs w:val="20"/>
              </w:rPr>
              <w:t>1.8</w:t>
            </w:r>
          </w:p>
        </w:tc>
        <w:tc>
          <w:tcPr>
            <w:tcW w:w="801" w:type="pct"/>
            <w:shd w:val="clear" w:color="auto" w:fill="FFFFFF" w:themeFill="background1"/>
            <w:noWrap/>
            <w:hideMark/>
          </w:tcPr>
          <w:p w14:paraId="79EF197D" w14:textId="3758051A" w:rsidR="00B657E3" w:rsidRPr="000C21A1" w:rsidRDefault="00B657E3" w:rsidP="00B657E3">
            <w:pPr>
              <w:jc w:val="right"/>
              <w:rPr>
                <w:noProof/>
                <w:sz w:val="20"/>
                <w:szCs w:val="20"/>
              </w:rPr>
            </w:pPr>
            <w:r w:rsidRPr="000C21A1">
              <w:rPr>
                <w:noProof/>
                <w:sz w:val="20"/>
                <w:szCs w:val="20"/>
              </w:rPr>
              <w:t>2.1</w:t>
            </w:r>
          </w:p>
        </w:tc>
        <w:tc>
          <w:tcPr>
            <w:tcW w:w="802" w:type="pct"/>
            <w:shd w:val="clear" w:color="auto" w:fill="FFFFFF" w:themeFill="background1"/>
            <w:noWrap/>
            <w:hideMark/>
          </w:tcPr>
          <w:p w14:paraId="64B1DC86" w14:textId="46C89AC6" w:rsidR="00B657E3" w:rsidRPr="000C21A1" w:rsidRDefault="00B657E3" w:rsidP="00B657E3">
            <w:pPr>
              <w:jc w:val="right"/>
              <w:rPr>
                <w:noProof/>
                <w:sz w:val="20"/>
                <w:szCs w:val="20"/>
              </w:rPr>
            </w:pPr>
            <w:r w:rsidRPr="000C21A1">
              <w:rPr>
                <w:noProof/>
                <w:sz w:val="20"/>
                <w:szCs w:val="20"/>
              </w:rPr>
              <w:t>2.1</w:t>
            </w:r>
          </w:p>
        </w:tc>
      </w:tr>
      <w:tr w:rsidR="00C33C87" w:rsidRPr="005A3B73" w14:paraId="044CA45F" w14:textId="77777777" w:rsidTr="000C21A1">
        <w:trPr>
          <w:trHeight w:val="225"/>
        </w:trPr>
        <w:tc>
          <w:tcPr>
            <w:tcW w:w="1794" w:type="pct"/>
            <w:shd w:val="clear" w:color="auto" w:fill="FFFFFF" w:themeFill="background1"/>
            <w:noWrap/>
            <w:hideMark/>
          </w:tcPr>
          <w:p w14:paraId="6059C580" w14:textId="77777777" w:rsidR="00B657E3" w:rsidRPr="004E336D" w:rsidRDefault="00B657E3" w:rsidP="00B657E3">
            <w:pPr>
              <w:rPr>
                <w:b/>
                <w:noProof/>
                <w:sz w:val="20"/>
                <w:szCs w:val="20"/>
              </w:rPr>
            </w:pPr>
            <w:r w:rsidRPr="004E336D">
              <w:rPr>
                <w:b/>
                <w:noProof/>
                <w:sz w:val="20"/>
                <w:szCs w:val="20"/>
              </w:rPr>
              <w:t xml:space="preserve">PO2 </w:t>
            </w:r>
          </w:p>
        </w:tc>
        <w:tc>
          <w:tcPr>
            <w:tcW w:w="802" w:type="pct"/>
            <w:shd w:val="clear" w:color="auto" w:fill="FFFFFF" w:themeFill="background1"/>
            <w:noWrap/>
            <w:hideMark/>
          </w:tcPr>
          <w:p w14:paraId="6EFA9AAF" w14:textId="18E68017" w:rsidR="00B657E3" w:rsidRPr="000C21A1" w:rsidRDefault="00B657E3" w:rsidP="00B657E3">
            <w:pPr>
              <w:jc w:val="right"/>
              <w:rPr>
                <w:noProof/>
                <w:sz w:val="20"/>
                <w:szCs w:val="20"/>
              </w:rPr>
            </w:pPr>
            <w:r w:rsidRPr="000C21A1">
              <w:rPr>
                <w:noProof/>
                <w:sz w:val="20"/>
                <w:szCs w:val="20"/>
              </w:rPr>
              <w:t> </w:t>
            </w:r>
          </w:p>
        </w:tc>
        <w:tc>
          <w:tcPr>
            <w:tcW w:w="801" w:type="pct"/>
            <w:shd w:val="clear" w:color="auto" w:fill="FFFFFF" w:themeFill="background1"/>
            <w:noWrap/>
            <w:hideMark/>
          </w:tcPr>
          <w:p w14:paraId="1F0D2DF4" w14:textId="5DCCA3E2" w:rsidR="00B657E3" w:rsidRPr="000C21A1" w:rsidRDefault="00B657E3" w:rsidP="00B657E3">
            <w:pPr>
              <w:jc w:val="right"/>
              <w:rPr>
                <w:noProof/>
                <w:sz w:val="20"/>
                <w:szCs w:val="20"/>
              </w:rPr>
            </w:pPr>
            <w:r w:rsidRPr="000C21A1">
              <w:rPr>
                <w:noProof/>
                <w:sz w:val="20"/>
                <w:szCs w:val="20"/>
              </w:rPr>
              <w:t> </w:t>
            </w:r>
          </w:p>
        </w:tc>
        <w:tc>
          <w:tcPr>
            <w:tcW w:w="801" w:type="pct"/>
            <w:shd w:val="clear" w:color="auto" w:fill="FFFFFF" w:themeFill="background1"/>
            <w:noWrap/>
            <w:hideMark/>
          </w:tcPr>
          <w:p w14:paraId="57A89F37" w14:textId="0EB7F16B" w:rsidR="00B657E3" w:rsidRPr="000C21A1" w:rsidRDefault="00B657E3" w:rsidP="00B657E3">
            <w:pPr>
              <w:jc w:val="right"/>
              <w:rPr>
                <w:noProof/>
                <w:sz w:val="20"/>
                <w:szCs w:val="20"/>
              </w:rPr>
            </w:pPr>
            <w:r w:rsidRPr="000C21A1">
              <w:rPr>
                <w:noProof/>
                <w:sz w:val="20"/>
                <w:szCs w:val="20"/>
              </w:rPr>
              <w:t> </w:t>
            </w:r>
          </w:p>
        </w:tc>
        <w:tc>
          <w:tcPr>
            <w:tcW w:w="802" w:type="pct"/>
            <w:shd w:val="clear" w:color="auto" w:fill="FFFFFF" w:themeFill="background1"/>
            <w:noWrap/>
            <w:hideMark/>
          </w:tcPr>
          <w:p w14:paraId="7AF0D5F2" w14:textId="41B540F5" w:rsidR="00B657E3" w:rsidRPr="000C21A1" w:rsidRDefault="00B657E3" w:rsidP="00B657E3">
            <w:pPr>
              <w:jc w:val="right"/>
              <w:rPr>
                <w:noProof/>
                <w:sz w:val="20"/>
                <w:szCs w:val="20"/>
              </w:rPr>
            </w:pPr>
            <w:r w:rsidRPr="000C21A1">
              <w:rPr>
                <w:noProof/>
                <w:sz w:val="20"/>
                <w:szCs w:val="20"/>
              </w:rPr>
              <w:t> </w:t>
            </w:r>
          </w:p>
        </w:tc>
      </w:tr>
      <w:tr w:rsidR="00C33C87" w:rsidRPr="005A3B73" w14:paraId="07A4498A" w14:textId="77777777" w:rsidTr="000C21A1">
        <w:trPr>
          <w:trHeight w:val="225"/>
        </w:trPr>
        <w:tc>
          <w:tcPr>
            <w:tcW w:w="1794" w:type="pct"/>
            <w:shd w:val="clear" w:color="auto" w:fill="FFFFFF" w:themeFill="background1"/>
            <w:noWrap/>
            <w:hideMark/>
          </w:tcPr>
          <w:p w14:paraId="0B4A82F1" w14:textId="2B3D237A" w:rsidR="00B657E3" w:rsidRPr="004E336D" w:rsidRDefault="00B657E3" w:rsidP="00B657E3">
            <w:pPr>
              <w:rPr>
                <w:noProof/>
                <w:sz w:val="20"/>
                <w:szCs w:val="20"/>
              </w:rPr>
            </w:pPr>
            <w:r w:rsidRPr="004E336D">
              <w:rPr>
                <w:noProof/>
                <w:sz w:val="20"/>
                <w:szCs w:val="20"/>
              </w:rPr>
              <w:t xml:space="preserve">Number of </w:t>
            </w:r>
            <w:r>
              <w:rPr>
                <w:noProof/>
                <w:sz w:val="20"/>
                <w:szCs w:val="20"/>
              </w:rPr>
              <w:t>non-SME</w:t>
            </w:r>
            <w:r w:rsidRPr="004E336D">
              <w:rPr>
                <w:noProof/>
                <w:sz w:val="20"/>
                <w:szCs w:val="20"/>
              </w:rPr>
              <w:t xml:space="preserve"> B2C MDMS platforms that incur one-off costs due to PM7 </w:t>
            </w:r>
          </w:p>
        </w:tc>
        <w:tc>
          <w:tcPr>
            <w:tcW w:w="802" w:type="pct"/>
            <w:shd w:val="clear" w:color="auto" w:fill="FFFFFF" w:themeFill="background1"/>
            <w:noWrap/>
            <w:hideMark/>
          </w:tcPr>
          <w:p w14:paraId="448E1465" w14:textId="6189BB7D" w:rsidR="00B657E3" w:rsidRPr="000C21A1" w:rsidRDefault="00B657E3" w:rsidP="00B657E3">
            <w:pPr>
              <w:jc w:val="right"/>
              <w:rPr>
                <w:noProof/>
                <w:sz w:val="20"/>
                <w:szCs w:val="20"/>
              </w:rPr>
            </w:pPr>
            <w:r w:rsidRPr="000C21A1">
              <w:rPr>
                <w:noProof/>
                <w:sz w:val="20"/>
                <w:szCs w:val="20"/>
              </w:rPr>
              <w:t>150</w:t>
            </w:r>
          </w:p>
        </w:tc>
        <w:tc>
          <w:tcPr>
            <w:tcW w:w="801" w:type="pct"/>
            <w:shd w:val="clear" w:color="auto" w:fill="FFFFFF" w:themeFill="background1"/>
            <w:noWrap/>
            <w:hideMark/>
          </w:tcPr>
          <w:p w14:paraId="19B12D0D" w14:textId="7BEA84FF" w:rsidR="00B657E3" w:rsidRPr="000C21A1" w:rsidRDefault="00B657E3" w:rsidP="00B657E3">
            <w:pPr>
              <w:jc w:val="right"/>
              <w:rPr>
                <w:noProof/>
                <w:sz w:val="20"/>
                <w:szCs w:val="20"/>
              </w:rPr>
            </w:pPr>
            <w:r w:rsidRPr="000C21A1">
              <w:rPr>
                <w:noProof/>
                <w:sz w:val="20"/>
                <w:szCs w:val="20"/>
              </w:rPr>
              <w:t>7</w:t>
            </w:r>
          </w:p>
        </w:tc>
        <w:tc>
          <w:tcPr>
            <w:tcW w:w="801" w:type="pct"/>
            <w:shd w:val="clear" w:color="auto" w:fill="FFFFFF" w:themeFill="background1"/>
            <w:noWrap/>
            <w:hideMark/>
          </w:tcPr>
          <w:p w14:paraId="3D1A14B4" w14:textId="6EFD1BA0" w:rsidR="00B657E3" w:rsidRPr="000C21A1" w:rsidRDefault="00B657E3" w:rsidP="00B657E3">
            <w:pPr>
              <w:jc w:val="right"/>
              <w:rPr>
                <w:noProof/>
                <w:sz w:val="20"/>
                <w:szCs w:val="20"/>
              </w:rPr>
            </w:pPr>
            <w:r w:rsidRPr="000C21A1">
              <w:rPr>
                <w:noProof/>
                <w:sz w:val="20"/>
                <w:szCs w:val="20"/>
              </w:rPr>
              <w:t>11</w:t>
            </w:r>
          </w:p>
        </w:tc>
        <w:tc>
          <w:tcPr>
            <w:tcW w:w="802" w:type="pct"/>
            <w:shd w:val="clear" w:color="auto" w:fill="FFFFFF" w:themeFill="background1"/>
            <w:noWrap/>
            <w:hideMark/>
          </w:tcPr>
          <w:p w14:paraId="2C991416" w14:textId="7F19C607" w:rsidR="00B657E3" w:rsidRPr="000C21A1" w:rsidRDefault="00B657E3" w:rsidP="00B657E3">
            <w:pPr>
              <w:jc w:val="right"/>
              <w:rPr>
                <w:noProof/>
                <w:sz w:val="20"/>
                <w:szCs w:val="20"/>
              </w:rPr>
            </w:pPr>
            <w:r w:rsidRPr="000C21A1">
              <w:rPr>
                <w:noProof/>
                <w:sz w:val="20"/>
                <w:szCs w:val="20"/>
              </w:rPr>
              <w:t>0</w:t>
            </w:r>
          </w:p>
        </w:tc>
      </w:tr>
      <w:tr w:rsidR="00C33C87" w:rsidRPr="005A3B73" w14:paraId="0097EB8E" w14:textId="77777777" w:rsidTr="000C21A1">
        <w:trPr>
          <w:trHeight w:val="225"/>
        </w:trPr>
        <w:tc>
          <w:tcPr>
            <w:tcW w:w="1794" w:type="pct"/>
            <w:shd w:val="clear" w:color="auto" w:fill="FFFFFF" w:themeFill="background1"/>
            <w:noWrap/>
            <w:hideMark/>
          </w:tcPr>
          <w:p w14:paraId="44A5F9CA" w14:textId="6386D928" w:rsidR="00B657E3" w:rsidRPr="004E336D" w:rsidRDefault="00B657E3" w:rsidP="00B657E3">
            <w:pPr>
              <w:rPr>
                <w:noProof/>
                <w:sz w:val="20"/>
                <w:szCs w:val="20"/>
              </w:rPr>
            </w:pPr>
            <w:r w:rsidRPr="004E336D">
              <w:rPr>
                <w:noProof/>
                <w:sz w:val="20"/>
                <w:szCs w:val="20"/>
              </w:rPr>
              <w:t xml:space="preserve">Number of </w:t>
            </w:r>
            <w:r>
              <w:rPr>
                <w:noProof/>
                <w:sz w:val="20"/>
                <w:szCs w:val="20"/>
              </w:rPr>
              <w:t>non-SME</w:t>
            </w:r>
            <w:r w:rsidRPr="004E336D">
              <w:rPr>
                <w:noProof/>
                <w:sz w:val="20"/>
                <w:szCs w:val="20"/>
              </w:rPr>
              <w:t xml:space="preserve"> B2C MDMS platforms that incur recurrent costs due to PM7 </w:t>
            </w:r>
          </w:p>
        </w:tc>
        <w:tc>
          <w:tcPr>
            <w:tcW w:w="802" w:type="pct"/>
            <w:shd w:val="clear" w:color="auto" w:fill="FFFFFF" w:themeFill="background1"/>
            <w:noWrap/>
            <w:hideMark/>
          </w:tcPr>
          <w:p w14:paraId="2E6C9F3D" w14:textId="1ACEF2F5" w:rsidR="00B657E3" w:rsidRPr="000C21A1" w:rsidRDefault="00B657E3" w:rsidP="00B657E3">
            <w:pPr>
              <w:jc w:val="right"/>
              <w:rPr>
                <w:noProof/>
                <w:sz w:val="20"/>
                <w:szCs w:val="20"/>
              </w:rPr>
            </w:pPr>
            <w:r w:rsidRPr="000C21A1">
              <w:rPr>
                <w:noProof/>
                <w:sz w:val="20"/>
                <w:szCs w:val="20"/>
              </w:rPr>
              <w:t>0</w:t>
            </w:r>
          </w:p>
        </w:tc>
        <w:tc>
          <w:tcPr>
            <w:tcW w:w="801" w:type="pct"/>
            <w:shd w:val="clear" w:color="auto" w:fill="FFFFFF" w:themeFill="background1"/>
            <w:noWrap/>
            <w:hideMark/>
          </w:tcPr>
          <w:p w14:paraId="1825AD5F" w14:textId="104B5096" w:rsidR="00B657E3" w:rsidRPr="000C21A1" w:rsidRDefault="00B657E3" w:rsidP="00B657E3">
            <w:pPr>
              <w:jc w:val="right"/>
              <w:rPr>
                <w:noProof/>
                <w:sz w:val="20"/>
                <w:szCs w:val="20"/>
              </w:rPr>
            </w:pPr>
            <w:r w:rsidRPr="000C21A1">
              <w:rPr>
                <w:noProof/>
                <w:sz w:val="20"/>
                <w:szCs w:val="20"/>
              </w:rPr>
              <w:t>157</w:t>
            </w:r>
          </w:p>
        </w:tc>
        <w:tc>
          <w:tcPr>
            <w:tcW w:w="801" w:type="pct"/>
            <w:shd w:val="clear" w:color="auto" w:fill="FFFFFF" w:themeFill="background1"/>
            <w:noWrap/>
            <w:hideMark/>
          </w:tcPr>
          <w:p w14:paraId="7878D08D" w14:textId="345F4B15" w:rsidR="00B657E3" w:rsidRPr="000C21A1" w:rsidRDefault="00B657E3" w:rsidP="00B657E3">
            <w:pPr>
              <w:jc w:val="right"/>
              <w:rPr>
                <w:noProof/>
                <w:sz w:val="20"/>
                <w:szCs w:val="20"/>
              </w:rPr>
            </w:pPr>
            <w:r w:rsidRPr="000C21A1">
              <w:rPr>
                <w:noProof/>
                <w:sz w:val="20"/>
                <w:szCs w:val="20"/>
              </w:rPr>
              <w:t>267</w:t>
            </w:r>
          </w:p>
        </w:tc>
        <w:tc>
          <w:tcPr>
            <w:tcW w:w="802" w:type="pct"/>
            <w:shd w:val="clear" w:color="auto" w:fill="FFFFFF" w:themeFill="background1"/>
            <w:noWrap/>
            <w:hideMark/>
          </w:tcPr>
          <w:p w14:paraId="4DE5B685" w14:textId="46D02E22" w:rsidR="00B657E3" w:rsidRPr="000C21A1" w:rsidRDefault="00B657E3" w:rsidP="00B657E3">
            <w:pPr>
              <w:jc w:val="right"/>
              <w:rPr>
                <w:noProof/>
                <w:sz w:val="20"/>
                <w:szCs w:val="20"/>
              </w:rPr>
            </w:pPr>
            <w:r w:rsidRPr="000C21A1">
              <w:rPr>
                <w:noProof/>
                <w:sz w:val="20"/>
                <w:szCs w:val="20"/>
              </w:rPr>
              <w:t>261</w:t>
            </w:r>
          </w:p>
        </w:tc>
      </w:tr>
      <w:tr w:rsidR="00C33C87" w:rsidRPr="005A3B73" w14:paraId="1D296630" w14:textId="77777777" w:rsidTr="000C21A1">
        <w:trPr>
          <w:trHeight w:val="225"/>
        </w:trPr>
        <w:tc>
          <w:tcPr>
            <w:tcW w:w="1794" w:type="pct"/>
            <w:shd w:val="clear" w:color="auto" w:fill="FFFFFF" w:themeFill="background1"/>
            <w:noWrap/>
            <w:hideMark/>
          </w:tcPr>
          <w:p w14:paraId="5F3454E4" w14:textId="77777777" w:rsidR="00B657E3" w:rsidRPr="004E336D" w:rsidRDefault="00B657E3" w:rsidP="00B657E3">
            <w:pPr>
              <w:rPr>
                <w:noProof/>
                <w:sz w:val="20"/>
                <w:szCs w:val="20"/>
              </w:rPr>
            </w:pPr>
            <w:r w:rsidRPr="004E336D">
              <w:rPr>
                <w:noProof/>
                <w:sz w:val="20"/>
                <w:szCs w:val="20"/>
              </w:rPr>
              <w:t xml:space="preserve">Total one-off adjustment costs (million EUR) </w:t>
            </w:r>
          </w:p>
        </w:tc>
        <w:tc>
          <w:tcPr>
            <w:tcW w:w="802" w:type="pct"/>
            <w:shd w:val="clear" w:color="auto" w:fill="FFFFFF" w:themeFill="background1"/>
            <w:noWrap/>
            <w:hideMark/>
          </w:tcPr>
          <w:p w14:paraId="75A99268" w14:textId="3B86AF76" w:rsidR="00B657E3" w:rsidRPr="000C21A1" w:rsidRDefault="00B657E3" w:rsidP="00B657E3">
            <w:pPr>
              <w:jc w:val="right"/>
              <w:rPr>
                <w:noProof/>
                <w:sz w:val="20"/>
                <w:szCs w:val="20"/>
              </w:rPr>
            </w:pPr>
            <w:r w:rsidRPr="000C21A1">
              <w:rPr>
                <w:noProof/>
                <w:sz w:val="20"/>
                <w:szCs w:val="20"/>
              </w:rPr>
              <w:t>17.6</w:t>
            </w:r>
          </w:p>
        </w:tc>
        <w:tc>
          <w:tcPr>
            <w:tcW w:w="801" w:type="pct"/>
            <w:shd w:val="clear" w:color="auto" w:fill="FFFFFF" w:themeFill="background1"/>
            <w:noWrap/>
            <w:hideMark/>
          </w:tcPr>
          <w:p w14:paraId="05629473" w14:textId="390604EE" w:rsidR="00B657E3" w:rsidRPr="000C21A1" w:rsidRDefault="00B657E3" w:rsidP="00B657E3">
            <w:pPr>
              <w:jc w:val="right"/>
              <w:rPr>
                <w:noProof/>
                <w:sz w:val="20"/>
                <w:szCs w:val="20"/>
              </w:rPr>
            </w:pPr>
            <w:r w:rsidRPr="000C21A1">
              <w:rPr>
                <w:noProof/>
                <w:sz w:val="20"/>
                <w:szCs w:val="20"/>
              </w:rPr>
              <w:t>0.8</w:t>
            </w:r>
          </w:p>
        </w:tc>
        <w:tc>
          <w:tcPr>
            <w:tcW w:w="801" w:type="pct"/>
            <w:shd w:val="clear" w:color="auto" w:fill="FFFFFF" w:themeFill="background1"/>
            <w:noWrap/>
            <w:hideMark/>
          </w:tcPr>
          <w:p w14:paraId="31E5AC36" w14:textId="36F7E7BE" w:rsidR="00B657E3" w:rsidRPr="000C21A1" w:rsidRDefault="00B657E3" w:rsidP="00B657E3">
            <w:pPr>
              <w:jc w:val="right"/>
              <w:rPr>
                <w:noProof/>
                <w:sz w:val="20"/>
                <w:szCs w:val="20"/>
              </w:rPr>
            </w:pPr>
            <w:r w:rsidRPr="000C21A1">
              <w:rPr>
                <w:noProof/>
                <w:sz w:val="20"/>
                <w:szCs w:val="20"/>
              </w:rPr>
              <w:t>1.3</w:t>
            </w:r>
          </w:p>
        </w:tc>
        <w:tc>
          <w:tcPr>
            <w:tcW w:w="802" w:type="pct"/>
            <w:shd w:val="clear" w:color="auto" w:fill="FFFFFF" w:themeFill="background1"/>
            <w:noWrap/>
            <w:hideMark/>
          </w:tcPr>
          <w:p w14:paraId="530C6271" w14:textId="2080F07F" w:rsidR="00B657E3" w:rsidRPr="000C21A1" w:rsidRDefault="00B657E3" w:rsidP="00B657E3">
            <w:pPr>
              <w:jc w:val="right"/>
              <w:rPr>
                <w:noProof/>
                <w:sz w:val="20"/>
                <w:szCs w:val="20"/>
              </w:rPr>
            </w:pPr>
            <w:r w:rsidRPr="000C21A1">
              <w:rPr>
                <w:noProof/>
                <w:sz w:val="20"/>
                <w:szCs w:val="20"/>
              </w:rPr>
              <w:t>0.0</w:t>
            </w:r>
          </w:p>
        </w:tc>
      </w:tr>
      <w:tr w:rsidR="00C33C87" w:rsidRPr="005A3B73" w14:paraId="5D3C05B1" w14:textId="77777777" w:rsidTr="000C21A1">
        <w:trPr>
          <w:trHeight w:val="225"/>
        </w:trPr>
        <w:tc>
          <w:tcPr>
            <w:tcW w:w="1794" w:type="pct"/>
            <w:shd w:val="clear" w:color="auto" w:fill="FFFFFF" w:themeFill="background1"/>
            <w:noWrap/>
            <w:hideMark/>
          </w:tcPr>
          <w:p w14:paraId="584210CF" w14:textId="77777777" w:rsidR="00B657E3" w:rsidRPr="004E336D" w:rsidRDefault="00B657E3" w:rsidP="00B657E3">
            <w:pPr>
              <w:rPr>
                <w:noProof/>
                <w:sz w:val="20"/>
                <w:szCs w:val="20"/>
              </w:rPr>
            </w:pPr>
            <w:r w:rsidRPr="004E336D">
              <w:rPr>
                <w:noProof/>
                <w:sz w:val="20"/>
                <w:szCs w:val="20"/>
              </w:rPr>
              <w:t xml:space="preserve">Total recurrent adjustment costs (million EUR) </w:t>
            </w:r>
          </w:p>
        </w:tc>
        <w:tc>
          <w:tcPr>
            <w:tcW w:w="802" w:type="pct"/>
            <w:shd w:val="clear" w:color="auto" w:fill="FFFFFF" w:themeFill="background1"/>
            <w:noWrap/>
            <w:hideMark/>
          </w:tcPr>
          <w:p w14:paraId="798BB913" w14:textId="74F31403" w:rsidR="00B657E3" w:rsidRPr="000C21A1" w:rsidRDefault="00B657E3" w:rsidP="00B657E3">
            <w:pPr>
              <w:jc w:val="right"/>
              <w:rPr>
                <w:noProof/>
                <w:sz w:val="20"/>
                <w:szCs w:val="20"/>
              </w:rPr>
            </w:pPr>
            <w:r w:rsidRPr="000C21A1">
              <w:rPr>
                <w:noProof/>
                <w:sz w:val="20"/>
                <w:szCs w:val="20"/>
              </w:rPr>
              <w:t>0.0</w:t>
            </w:r>
          </w:p>
        </w:tc>
        <w:tc>
          <w:tcPr>
            <w:tcW w:w="801" w:type="pct"/>
            <w:shd w:val="clear" w:color="auto" w:fill="FFFFFF" w:themeFill="background1"/>
            <w:noWrap/>
            <w:hideMark/>
          </w:tcPr>
          <w:p w14:paraId="004812FB" w14:textId="2C539DF8" w:rsidR="00B657E3" w:rsidRPr="000C21A1" w:rsidRDefault="00B657E3" w:rsidP="00B657E3">
            <w:pPr>
              <w:jc w:val="right"/>
              <w:rPr>
                <w:noProof/>
                <w:sz w:val="20"/>
                <w:szCs w:val="20"/>
              </w:rPr>
            </w:pPr>
            <w:r w:rsidRPr="000C21A1">
              <w:rPr>
                <w:noProof/>
                <w:sz w:val="20"/>
                <w:szCs w:val="20"/>
              </w:rPr>
              <w:t>1.8</w:t>
            </w:r>
          </w:p>
        </w:tc>
        <w:tc>
          <w:tcPr>
            <w:tcW w:w="801" w:type="pct"/>
            <w:shd w:val="clear" w:color="auto" w:fill="FFFFFF" w:themeFill="background1"/>
            <w:noWrap/>
            <w:hideMark/>
          </w:tcPr>
          <w:p w14:paraId="680CCB12" w14:textId="1EDFF5B5" w:rsidR="00B657E3" w:rsidRPr="000C21A1" w:rsidRDefault="00B657E3" w:rsidP="00B657E3">
            <w:pPr>
              <w:jc w:val="right"/>
              <w:rPr>
                <w:noProof/>
                <w:sz w:val="20"/>
                <w:szCs w:val="20"/>
              </w:rPr>
            </w:pPr>
            <w:r w:rsidRPr="000C21A1">
              <w:rPr>
                <w:noProof/>
                <w:sz w:val="20"/>
                <w:szCs w:val="20"/>
              </w:rPr>
              <w:t>3.1</w:t>
            </w:r>
          </w:p>
        </w:tc>
        <w:tc>
          <w:tcPr>
            <w:tcW w:w="802" w:type="pct"/>
            <w:shd w:val="clear" w:color="auto" w:fill="FFFFFF" w:themeFill="background1"/>
            <w:noWrap/>
            <w:hideMark/>
          </w:tcPr>
          <w:p w14:paraId="4DD771F8" w14:textId="10E1E697" w:rsidR="00B657E3" w:rsidRPr="000C21A1" w:rsidRDefault="00B657E3" w:rsidP="00B657E3">
            <w:pPr>
              <w:jc w:val="right"/>
              <w:rPr>
                <w:noProof/>
                <w:sz w:val="20"/>
                <w:szCs w:val="20"/>
              </w:rPr>
            </w:pPr>
            <w:r w:rsidRPr="000C21A1">
              <w:rPr>
                <w:noProof/>
                <w:sz w:val="20"/>
                <w:szCs w:val="20"/>
              </w:rPr>
              <w:t>3.1</w:t>
            </w:r>
          </w:p>
        </w:tc>
      </w:tr>
      <w:tr w:rsidR="00C33C87" w:rsidRPr="005A3B73" w14:paraId="3675486B" w14:textId="77777777" w:rsidTr="000C21A1">
        <w:trPr>
          <w:trHeight w:val="225"/>
        </w:trPr>
        <w:tc>
          <w:tcPr>
            <w:tcW w:w="1794" w:type="pct"/>
            <w:shd w:val="clear" w:color="auto" w:fill="FFFFFF" w:themeFill="background1"/>
            <w:noWrap/>
            <w:hideMark/>
          </w:tcPr>
          <w:p w14:paraId="62B345E5" w14:textId="77777777" w:rsidR="00B657E3" w:rsidRPr="004E336D" w:rsidRDefault="00B657E3" w:rsidP="00B657E3">
            <w:pPr>
              <w:rPr>
                <w:b/>
                <w:noProof/>
                <w:sz w:val="20"/>
                <w:szCs w:val="20"/>
              </w:rPr>
            </w:pPr>
            <w:r w:rsidRPr="004E336D">
              <w:rPr>
                <w:b/>
                <w:noProof/>
                <w:sz w:val="20"/>
                <w:szCs w:val="20"/>
              </w:rPr>
              <w:t xml:space="preserve">PO3 </w:t>
            </w:r>
          </w:p>
        </w:tc>
        <w:tc>
          <w:tcPr>
            <w:tcW w:w="802" w:type="pct"/>
            <w:shd w:val="clear" w:color="auto" w:fill="FFFFFF" w:themeFill="background1"/>
            <w:noWrap/>
            <w:hideMark/>
          </w:tcPr>
          <w:p w14:paraId="128D3FEE" w14:textId="4557ED6C" w:rsidR="00B657E3" w:rsidRPr="000C21A1" w:rsidRDefault="00B657E3" w:rsidP="00B657E3">
            <w:pPr>
              <w:jc w:val="right"/>
              <w:rPr>
                <w:noProof/>
                <w:sz w:val="20"/>
                <w:szCs w:val="20"/>
              </w:rPr>
            </w:pPr>
            <w:r w:rsidRPr="000C21A1">
              <w:rPr>
                <w:noProof/>
                <w:sz w:val="20"/>
                <w:szCs w:val="20"/>
              </w:rPr>
              <w:t> </w:t>
            </w:r>
          </w:p>
        </w:tc>
        <w:tc>
          <w:tcPr>
            <w:tcW w:w="801" w:type="pct"/>
            <w:shd w:val="clear" w:color="auto" w:fill="FFFFFF" w:themeFill="background1"/>
            <w:noWrap/>
            <w:hideMark/>
          </w:tcPr>
          <w:p w14:paraId="4FDA49DA" w14:textId="593C1569" w:rsidR="00B657E3" w:rsidRPr="000C21A1" w:rsidRDefault="00B657E3" w:rsidP="00B657E3">
            <w:pPr>
              <w:jc w:val="right"/>
              <w:rPr>
                <w:noProof/>
                <w:sz w:val="20"/>
                <w:szCs w:val="20"/>
              </w:rPr>
            </w:pPr>
            <w:r w:rsidRPr="000C21A1">
              <w:rPr>
                <w:noProof/>
                <w:sz w:val="20"/>
                <w:szCs w:val="20"/>
              </w:rPr>
              <w:t> </w:t>
            </w:r>
          </w:p>
        </w:tc>
        <w:tc>
          <w:tcPr>
            <w:tcW w:w="801" w:type="pct"/>
            <w:shd w:val="clear" w:color="auto" w:fill="FFFFFF" w:themeFill="background1"/>
            <w:noWrap/>
            <w:hideMark/>
          </w:tcPr>
          <w:p w14:paraId="04501979" w14:textId="710E3A6D" w:rsidR="00B657E3" w:rsidRPr="000C21A1" w:rsidRDefault="00B657E3" w:rsidP="00B657E3">
            <w:pPr>
              <w:jc w:val="right"/>
              <w:rPr>
                <w:noProof/>
                <w:sz w:val="20"/>
                <w:szCs w:val="20"/>
              </w:rPr>
            </w:pPr>
            <w:r w:rsidRPr="000C21A1">
              <w:rPr>
                <w:noProof/>
                <w:sz w:val="20"/>
                <w:szCs w:val="20"/>
              </w:rPr>
              <w:t> </w:t>
            </w:r>
          </w:p>
        </w:tc>
        <w:tc>
          <w:tcPr>
            <w:tcW w:w="802" w:type="pct"/>
            <w:shd w:val="clear" w:color="auto" w:fill="FFFFFF" w:themeFill="background1"/>
            <w:noWrap/>
            <w:hideMark/>
          </w:tcPr>
          <w:p w14:paraId="0FEDF24E" w14:textId="49E46D45" w:rsidR="00B657E3" w:rsidRPr="000C21A1" w:rsidRDefault="00B657E3" w:rsidP="00B657E3">
            <w:pPr>
              <w:jc w:val="right"/>
              <w:rPr>
                <w:noProof/>
                <w:sz w:val="20"/>
                <w:szCs w:val="20"/>
              </w:rPr>
            </w:pPr>
            <w:r w:rsidRPr="000C21A1">
              <w:rPr>
                <w:noProof/>
                <w:sz w:val="20"/>
                <w:szCs w:val="20"/>
              </w:rPr>
              <w:t> </w:t>
            </w:r>
          </w:p>
        </w:tc>
      </w:tr>
      <w:tr w:rsidR="00C33C87" w:rsidRPr="005A3B73" w14:paraId="5BBAA4D0" w14:textId="77777777" w:rsidTr="000C21A1">
        <w:trPr>
          <w:trHeight w:val="225"/>
        </w:trPr>
        <w:tc>
          <w:tcPr>
            <w:tcW w:w="1794" w:type="pct"/>
            <w:shd w:val="clear" w:color="auto" w:fill="FFFFFF" w:themeFill="background1"/>
            <w:noWrap/>
            <w:hideMark/>
          </w:tcPr>
          <w:p w14:paraId="4C67FF8C" w14:textId="4745CB91" w:rsidR="00B657E3" w:rsidRPr="004E336D" w:rsidRDefault="00B657E3" w:rsidP="00B657E3">
            <w:pPr>
              <w:rPr>
                <w:noProof/>
                <w:sz w:val="20"/>
                <w:szCs w:val="20"/>
              </w:rPr>
            </w:pPr>
            <w:r w:rsidRPr="004E336D">
              <w:rPr>
                <w:noProof/>
                <w:sz w:val="20"/>
                <w:szCs w:val="20"/>
              </w:rPr>
              <w:t xml:space="preserve">Number of </w:t>
            </w:r>
            <w:r>
              <w:rPr>
                <w:noProof/>
                <w:sz w:val="20"/>
                <w:szCs w:val="20"/>
              </w:rPr>
              <w:t>non-SME</w:t>
            </w:r>
            <w:r w:rsidRPr="004E336D">
              <w:rPr>
                <w:noProof/>
                <w:sz w:val="20"/>
                <w:szCs w:val="20"/>
              </w:rPr>
              <w:t xml:space="preserve"> B2C MDMS platforms that incur one-off costs due to PM7 </w:t>
            </w:r>
          </w:p>
        </w:tc>
        <w:tc>
          <w:tcPr>
            <w:tcW w:w="802" w:type="pct"/>
            <w:shd w:val="clear" w:color="auto" w:fill="FFFFFF" w:themeFill="background1"/>
            <w:noWrap/>
            <w:hideMark/>
          </w:tcPr>
          <w:p w14:paraId="4CC36D0F" w14:textId="5B40CBB4" w:rsidR="00B657E3" w:rsidRPr="000C21A1" w:rsidRDefault="00B657E3" w:rsidP="00B657E3">
            <w:pPr>
              <w:jc w:val="right"/>
              <w:rPr>
                <w:noProof/>
                <w:sz w:val="20"/>
                <w:szCs w:val="20"/>
              </w:rPr>
            </w:pPr>
            <w:r w:rsidRPr="000C21A1">
              <w:rPr>
                <w:noProof/>
                <w:sz w:val="20"/>
                <w:szCs w:val="20"/>
              </w:rPr>
              <w:t>150</w:t>
            </w:r>
          </w:p>
        </w:tc>
        <w:tc>
          <w:tcPr>
            <w:tcW w:w="801" w:type="pct"/>
            <w:shd w:val="clear" w:color="auto" w:fill="FFFFFF" w:themeFill="background1"/>
            <w:noWrap/>
            <w:hideMark/>
          </w:tcPr>
          <w:p w14:paraId="003BB211" w14:textId="5FD397D9" w:rsidR="00B657E3" w:rsidRPr="000C21A1" w:rsidRDefault="00B657E3" w:rsidP="00B657E3">
            <w:pPr>
              <w:jc w:val="right"/>
              <w:rPr>
                <w:noProof/>
                <w:sz w:val="20"/>
                <w:szCs w:val="20"/>
              </w:rPr>
            </w:pPr>
            <w:r w:rsidRPr="000C21A1">
              <w:rPr>
                <w:noProof/>
                <w:sz w:val="20"/>
                <w:szCs w:val="20"/>
              </w:rPr>
              <w:t>7</w:t>
            </w:r>
          </w:p>
        </w:tc>
        <w:tc>
          <w:tcPr>
            <w:tcW w:w="801" w:type="pct"/>
            <w:shd w:val="clear" w:color="auto" w:fill="FFFFFF" w:themeFill="background1"/>
            <w:noWrap/>
            <w:hideMark/>
          </w:tcPr>
          <w:p w14:paraId="0D2AF2F2" w14:textId="53754968" w:rsidR="00B657E3" w:rsidRPr="000C21A1" w:rsidRDefault="00B657E3" w:rsidP="00B657E3">
            <w:pPr>
              <w:jc w:val="right"/>
              <w:rPr>
                <w:noProof/>
                <w:sz w:val="20"/>
                <w:szCs w:val="20"/>
              </w:rPr>
            </w:pPr>
            <w:r w:rsidRPr="000C21A1">
              <w:rPr>
                <w:noProof/>
                <w:sz w:val="20"/>
                <w:szCs w:val="20"/>
              </w:rPr>
              <w:t>10</w:t>
            </w:r>
          </w:p>
        </w:tc>
        <w:tc>
          <w:tcPr>
            <w:tcW w:w="802" w:type="pct"/>
            <w:shd w:val="clear" w:color="auto" w:fill="FFFFFF" w:themeFill="background1"/>
            <w:noWrap/>
            <w:hideMark/>
          </w:tcPr>
          <w:p w14:paraId="43B6ED4E" w14:textId="558DF1FF" w:rsidR="00B657E3" w:rsidRPr="000C21A1" w:rsidRDefault="00B657E3" w:rsidP="00B657E3">
            <w:pPr>
              <w:jc w:val="right"/>
              <w:rPr>
                <w:noProof/>
                <w:sz w:val="20"/>
                <w:szCs w:val="20"/>
              </w:rPr>
            </w:pPr>
            <w:r w:rsidRPr="000C21A1">
              <w:rPr>
                <w:noProof/>
                <w:sz w:val="20"/>
                <w:szCs w:val="20"/>
              </w:rPr>
              <w:t>0</w:t>
            </w:r>
          </w:p>
        </w:tc>
      </w:tr>
      <w:tr w:rsidR="00C33C87" w:rsidRPr="005A3B73" w14:paraId="314219EE" w14:textId="77777777" w:rsidTr="000C21A1">
        <w:trPr>
          <w:trHeight w:val="225"/>
        </w:trPr>
        <w:tc>
          <w:tcPr>
            <w:tcW w:w="1794" w:type="pct"/>
            <w:shd w:val="clear" w:color="auto" w:fill="FFFFFF" w:themeFill="background1"/>
            <w:noWrap/>
            <w:hideMark/>
          </w:tcPr>
          <w:p w14:paraId="2251A82A" w14:textId="5B9F5310" w:rsidR="00B657E3" w:rsidRPr="004E336D" w:rsidRDefault="00B657E3" w:rsidP="00B657E3">
            <w:pPr>
              <w:rPr>
                <w:noProof/>
                <w:sz w:val="20"/>
                <w:szCs w:val="20"/>
              </w:rPr>
            </w:pPr>
            <w:r w:rsidRPr="004E336D">
              <w:rPr>
                <w:noProof/>
                <w:sz w:val="20"/>
                <w:szCs w:val="20"/>
              </w:rPr>
              <w:t xml:space="preserve">Number of </w:t>
            </w:r>
            <w:r>
              <w:rPr>
                <w:noProof/>
                <w:sz w:val="20"/>
                <w:szCs w:val="20"/>
              </w:rPr>
              <w:t>non-SME</w:t>
            </w:r>
            <w:r w:rsidRPr="004E336D">
              <w:rPr>
                <w:noProof/>
                <w:sz w:val="20"/>
                <w:szCs w:val="20"/>
              </w:rPr>
              <w:t xml:space="preserve"> B2C MDMS platforms that incur recurrent costs due to PM7 </w:t>
            </w:r>
          </w:p>
        </w:tc>
        <w:tc>
          <w:tcPr>
            <w:tcW w:w="802" w:type="pct"/>
            <w:shd w:val="clear" w:color="auto" w:fill="FFFFFF" w:themeFill="background1"/>
            <w:noWrap/>
            <w:hideMark/>
          </w:tcPr>
          <w:p w14:paraId="31AD1C9D" w14:textId="4189ADF6" w:rsidR="00B657E3" w:rsidRPr="000C21A1" w:rsidRDefault="00B657E3" w:rsidP="00B657E3">
            <w:pPr>
              <w:jc w:val="right"/>
              <w:rPr>
                <w:noProof/>
                <w:sz w:val="20"/>
                <w:szCs w:val="20"/>
              </w:rPr>
            </w:pPr>
            <w:r w:rsidRPr="000C21A1">
              <w:rPr>
                <w:noProof/>
                <w:sz w:val="20"/>
                <w:szCs w:val="20"/>
              </w:rPr>
              <w:t>0</w:t>
            </w:r>
          </w:p>
        </w:tc>
        <w:tc>
          <w:tcPr>
            <w:tcW w:w="801" w:type="pct"/>
            <w:shd w:val="clear" w:color="auto" w:fill="FFFFFF" w:themeFill="background1"/>
            <w:noWrap/>
            <w:hideMark/>
          </w:tcPr>
          <w:p w14:paraId="592F8634" w14:textId="59E3868A" w:rsidR="00B657E3" w:rsidRPr="000C21A1" w:rsidRDefault="00B657E3" w:rsidP="00B657E3">
            <w:pPr>
              <w:jc w:val="right"/>
              <w:rPr>
                <w:noProof/>
                <w:sz w:val="20"/>
                <w:szCs w:val="20"/>
              </w:rPr>
            </w:pPr>
            <w:r w:rsidRPr="000C21A1">
              <w:rPr>
                <w:noProof/>
                <w:sz w:val="20"/>
                <w:szCs w:val="20"/>
              </w:rPr>
              <w:t>156</w:t>
            </w:r>
          </w:p>
        </w:tc>
        <w:tc>
          <w:tcPr>
            <w:tcW w:w="801" w:type="pct"/>
            <w:shd w:val="clear" w:color="auto" w:fill="FFFFFF" w:themeFill="background1"/>
            <w:noWrap/>
            <w:hideMark/>
          </w:tcPr>
          <w:p w14:paraId="0F3C6A8F" w14:textId="08AD439D" w:rsidR="00B657E3" w:rsidRPr="000C21A1" w:rsidRDefault="00B657E3" w:rsidP="00B657E3">
            <w:pPr>
              <w:jc w:val="right"/>
              <w:rPr>
                <w:noProof/>
                <w:sz w:val="20"/>
                <w:szCs w:val="20"/>
              </w:rPr>
            </w:pPr>
            <w:r w:rsidRPr="000C21A1">
              <w:rPr>
                <w:noProof/>
                <w:sz w:val="20"/>
                <w:szCs w:val="20"/>
              </w:rPr>
              <w:t>250</w:t>
            </w:r>
          </w:p>
        </w:tc>
        <w:tc>
          <w:tcPr>
            <w:tcW w:w="802" w:type="pct"/>
            <w:shd w:val="clear" w:color="auto" w:fill="FFFFFF" w:themeFill="background1"/>
            <w:noWrap/>
            <w:hideMark/>
          </w:tcPr>
          <w:p w14:paraId="1BD0B87B" w14:textId="7A078B97" w:rsidR="00B657E3" w:rsidRPr="000C21A1" w:rsidRDefault="00B657E3" w:rsidP="00B657E3">
            <w:pPr>
              <w:jc w:val="right"/>
              <w:rPr>
                <w:noProof/>
                <w:sz w:val="20"/>
                <w:szCs w:val="20"/>
              </w:rPr>
            </w:pPr>
            <w:r w:rsidRPr="000C21A1">
              <w:rPr>
                <w:noProof/>
                <w:sz w:val="20"/>
                <w:szCs w:val="20"/>
              </w:rPr>
              <w:t>260</w:t>
            </w:r>
          </w:p>
        </w:tc>
      </w:tr>
      <w:tr w:rsidR="00C33C87" w:rsidRPr="005A3B73" w14:paraId="143107BE" w14:textId="77777777" w:rsidTr="000C21A1">
        <w:trPr>
          <w:trHeight w:val="225"/>
        </w:trPr>
        <w:tc>
          <w:tcPr>
            <w:tcW w:w="1794" w:type="pct"/>
            <w:shd w:val="clear" w:color="auto" w:fill="FFFFFF" w:themeFill="background1"/>
            <w:noWrap/>
            <w:hideMark/>
          </w:tcPr>
          <w:p w14:paraId="4FE991BB" w14:textId="77777777" w:rsidR="00B657E3" w:rsidRPr="004E336D" w:rsidRDefault="00B657E3" w:rsidP="00B657E3">
            <w:pPr>
              <w:rPr>
                <w:noProof/>
                <w:sz w:val="20"/>
                <w:szCs w:val="20"/>
              </w:rPr>
            </w:pPr>
            <w:r w:rsidRPr="004E336D">
              <w:rPr>
                <w:noProof/>
                <w:sz w:val="20"/>
                <w:szCs w:val="20"/>
              </w:rPr>
              <w:t xml:space="preserve">Total one-off adjustment costs (million EUR) </w:t>
            </w:r>
          </w:p>
        </w:tc>
        <w:tc>
          <w:tcPr>
            <w:tcW w:w="802" w:type="pct"/>
            <w:shd w:val="clear" w:color="auto" w:fill="FFFFFF" w:themeFill="background1"/>
            <w:noWrap/>
            <w:hideMark/>
          </w:tcPr>
          <w:p w14:paraId="4E889DB5" w14:textId="0E830A7B" w:rsidR="00B657E3" w:rsidRPr="000C21A1" w:rsidRDefault="00B657E3" w:rsidP="00B657E3">
            <w:pPr>
              <w:jc w:val="right"/>
              <w:rPr>
                <w:noProof/>
                <w:sz w:val="20"/>
                <w:szCs w:val="20"/>
              </w:rPr>
            </w:pPr>
            <w:r w:rsidRPr="000C21A1">
              <w:rPr>
                <w:noProof/>
                <w:sz w:val="20"/>
                <w:szCs w:val="20"/>
              </w:rPr>
              <w:t>17.6</w:t>
            </w:r>
          </w:p>
        </w:tc>
        <w:tc>
          <w:tcPr>
            <w:tcW w:w="801" w:type="pct"/>
            <w:shd w:val="clear" w:color="auto" w:fill="FFFFFF" w:themeFill="background1"/>
            <w:noWrap/>
            <w:hideMark/>
          </w:tcPr>
          <w:p w14:paraId="6A16FC5F" w14:textId="5435D671" w:rsidR="00B657E3" w:rsidRPr="000C21A1" w:rsidRDefault="00B657E3" w:rsidP="00B657E3">
            <w:pPr>
              <w:jc w:val="right"/>
              <w:rPr>
                <w:noProof/>
                <w:sz w:val="20"/>
                <w:szCs w:val="20"/>
              </w:rPr>
            </w:pPr>
            <w:r w:rsidRPr="000C21A1">
              <w:rPr>
                <w:noProof/>
                <w:sz w:val="20"/>
                <w:szCs w:val="20"/>
              </w:rPr>
              <w:t>0.9</w:t>
            </w:r>
          </w:p>
        </w:tc>
        <w:tc>
          <w:tcPr>
            <w:tcW w:w="801" w:type="pct"/>
            <w:shd w:val="clear" w:color="auto" w:fill="FFFFFF" w:themeFill="background1"/>
            <w:noWrap/>
            <w:hideMark/>
          </w:tcPr>
          <w:p w14:paraId="0EDCBDA1" w14:textId="30708B03" w:rsidR="00B657E3" w:rsidRPr="000C21A1" w:rsidRDefault="00B657E3" w:rsidP="00B657E3">
            <w:pPr>
              <w:jc w:val="right"/>
              <w:rPr>
                <w:noProof/>
                <w:sz w:val="20"/>
                <w:szCs w:val="20"/>
              </w:rPr>
            </w:pPr>
            <w:r w:rsidRPr="000C21A1">
              <w:rPr>
                <w:noProof/>
                <w:sz w:val="20"/>
                <w:szCs w:val="20"/>
              </w:rPr>
              <w:t>1.1</w:t>
            </w:r>
          </w:p>
        </w:tc>
        <w:tc>
          <w:tcPr>
            <w:tcW w:w="802" w:type="pct"/>
            <w:shd w:val="clear" w:color="auto" w:fill="FFFFFF" w:themeFill="background1"/>
            <w:noWrap/>
            <w:hideMark/>
          </w:tcPr>
          <w:p w14:paraId="4563794B" w14:textId="3B0189E0" w:rsidR="00B657E3" w:rsidRPr="000C21A1" w:rsidRDefault="00B657E3" w:rsidP="00B657E3">
            <w:pPr>
              <w:jc w:val="right"/>
              <w:rPr>
                <w:noProof/>
                <w:sz w:val="20"/>
                <w:szCs w:val="20"/>
              </w:rPr>
            </w:pPr>
            <w:r w:rsidRPr="000C21A1">
              <w:rPr>
                <w:noProof/>
                <w:sz w:val="20"/>
                <w:szCs w:val="20"/>
              </w:rPr>
              <w:t>0.0</w:t>
            </w:r>
          </w:p>
        </w:tc>
      </w:tr>
      <w:tr w:rsidR="00C33C87" w:rsidRPr="005A3B73" w14:paraId="6B298D6F" w14:textId="77777777" w:rsidTr="000C21A1">
        <w:trPr>
          <w:trHeight w:val="225"/>
        </w:trPr>
        <w:tc>
          <w:tcPr>
            <w:tcW w:w="1794" w:type="pct"/>
            <w:shd w:val="clear" w:color="auto" w:fill="FFFFFF" w:themeFill="background1"/>
            <w:noWrap/>
            <w:hideMark/>
          </w:tcPr>
          <w:p w14:paraId="3802C12A" w14:textId="77777777" w:rsidR="00B657E3" w:rsidRPr="004E336D" w:rsidRDefault="00B657E3" w:rsidP="00B657E3">
            <w:pPr>
              <w:rPr>
                <w:noProof/>
                <w:sz w:val="20"/>
                <w:szCs w:val="20"/>
              </w:rPr>
            </w:pPr>
            <w:r w:rsidRPr="004E336D">
              <w:rPr>
                <w:noProof/>
                <w:sz w:val="20"/>
                <w:szCs w:val="20"/>
              </w:rPr>
              <w:t xml:space="preserve">Total recurrent adjustment costs (million EUR) </w:t>
            </w:r>
          </w:p>
        </w:tc>
        <w:tc>
          <w:tcPr>
            <w:tcW w:w="802" w:type="pct"/>
            <w:shd w:val="clear" w:color="auto" w:fill="FFFFFF" w:themeFill="background1"/>
            <w:noWrap/>
            <w:hideMark/>
          </w:tcPr>
          <w:p w14:paraId="5CB94A7D" w14:textId="0D867023" w:rsidR="00B657E3" w:rsidRPr="000C21A1" w:rsidRDefault="00B657E3" w:rsidP="00B657E3">
            <w:pPr>
              <w:jc w:val="right"/>
              <w:rPr>
                <w:noProof/>
                <w:sz w:val="20"/>
                <w:szCs w:val="20"/>
              </w:rPr>
            </w:pPr>
            <w:r w:rsidRPr="000C21A1">
              <w:rPr>
                <w:noProof/>
                <w:sz w:val="20"/>
                <w:szCs w:val="20"/>
              </w:rPr>
              <w:t>0.0</w:t>
            </w:r>
          </w:p>
        </w:tc>
        <w:tc>
          <w:tcPr>
            <w:tcW w:w="801" w:type="pct"/>
            <w:shd w:val="clear" w:color="auto" w:fill="FFFFFF" w:themeFill="background1"/>
            <w:noWrap/>
            <w:hideMark/>
          </w:tcPr>
          <w:p w14:paraId="4B6B7C45" w14:textId="7988A5EF" w:rsidR="00B657E3" w:rsidRPr="000C21A1" w:rsidRDefault="00B657E3" w:rsidP="00B657E3">
            <w:pPr>
              <w:jc w:val="right"/>
              <w:rPr>
                <w:noProof/>
                <w:sz w:val="20"/>
                <w:szCs w:val="20"/>
              </w:rPr>
            </w:pPr>
            <w:r w:rsidRPr="000C21A1">
              <w:rPr>
                <w:noProof/>
                <w:sz w:val="20"/>
                <w:szCs w:val="20"/>
              </w:rPr>
              <w:t>1.8</w:t>
            </w:r>
          </w:p>
        </w:tc>
        <w:tc>
          <w:tcPr>
            <w:tcW w:w="801" w:type="pct"/>
            <w:shd w:val="clear" w:color="auto" w:fill="FFFFFF" w:themeFill="background1"/>
            <w:noWrap/>
            <w:hideMark/>
          </w:tcPr>
          <w:p w14:paraId="758B3B41" w14:textId="0A52BD03" w:rsidR="00B657E3" w:rsidRPr="000C21A1" w:rsidRDefault="00B657E3" w:rsidP="00B657E3">
            <w:pPr>
              <w:jc w:val="right"/>
              <w:rPr>
                <w:noProof/>
                <w:sz w:val="20"/>
                <w:szCs w:val="20"/>
              </w:rPr>
            </w:pPr>
            <w:r w:rsidRPr="000C21A1">
              <w:rPr>
                <w:noProof/>
                <w:sz w:val="20"/>
                <w:szCs w:val="20"/>
              </w:rPr>
              <w:t>2.9</w:t>
            </w:r>
          </w:p>
        </w:tc>
        <w:tc>
          <w:tcPr>
            <w:tcW w:w="802" w:type="pct"/>
            <w:shd w:val="clear" w:color="auto" w:fill="FFFFFF" w:themeFill="background1"/>
            <w:noWrap/>
            <w:hideMark/>
          </w:tcPr>
          <w:p w14:paraId="796D24CC" w14:textId="2329C0E2" w:rsidR="00B657E3" w:rsidRPr="000C21A1" w:rsidRDefault="00B657E3" w:rsidP="00B657E3">
            <w:pPr>
              <w:jc w:val="right"/>
              <w:rPr>
                <w:noProof/>
                <w:sz w:val="20"/>
                <w:szCs w:val="20"/>
              </w:rPr>
            </w:pPr>
            <w:r w:rsidRPr="000C21A1">
              <w:rPr>
                <w:noProof/>
                <w:sz w:val="20"/>
                <w:szCs w:val="20"/>
              </w:rPr>
              <w:t>3.1</w:t>
            </w:r>
          </w:p>
        </w:tc>
      </w:tr>
      <w:tr w:rsidR="00C33C87" w:rsidRPr="005A3B73" w14:paraId="51B60CEC" w14:textId="77777777" w:rsidTr="000C21A1">
        <w:trPr>
          <w:trHeight w:val="225"/>
        </w:trPr>
        <w:tc>
          <w:tcPr>
            <w:tcW w:w="1794" w:type="pct"/>
            <w:shd w:val="clear" w:color="auto" w:fill="FFFFFF" w:themeFill="background1"/>
            <w:noWrap/>
            <w:hideMark/>
          </w:tcPr>
          <w:p w14:paraId="3423C7BF" w14:textId="77777777" w:rsidR="00B657E3" w:rsidRPr="004E336D" w:rsidRDefault="00B657E3" w:rsidP="00B657E3">
            <w:pPr>
              <w:rPr>
                <w:b/>
                <w:noProof/>
                <w:sz w:val="20"/>
                <w:szCs w:val="20"/>
              </w:rPr>
            </w:pPr>
            <w:r w:rsidRPr="004E336D">
              <w:rPr>
                <w:b/>
                <w:noProof/>
                <w:sz w:val="20"/>
                <w:szCs w:val="20"/>
              </w:rPr>
              <w:t xml:space="preserve">PO4 </w:t>
            </w:r>
          </w:p>
        </w:tc>
        <w:tc>
          <w:tcPr>
            <w:tcW w:w="802" w:type="pct"/>
            <w:shd w:val="clear" w:color="auto" w:fill="FFFFFF" w:themeFill="background1"/>
            <w:noWrap/>
            <w:hideMark/>
          </w:tcPr>
          <w:p w14:paraId="5BB2BDEE" w14:textId="13D958B3" w:rsidR="00B657E3" w:rsidRPr="000C21A1" w:rsidRDefault="00B657E3" w:rsidP="00B657E3">
            <w:pPr>
              <w:jc w:val="right"/>
              <w:rPr>
                <w:noProof/>
                <w:sz w:val="20"/>
                <w:szCs w:val="20"/>
              </w:rPr>
            </w:pPr>
            <w:r w:rsidRPr="000C21A1">
              <w:rPr>
                <w:noProof/>
                <w:sz w:val="20"/>
                <w:szCs w:val="20"/>
              </w:rPr>
              <w:t> </w:t>
            </w:r>
          </w:p>
        </w:tc>
        <w:tc>
          <w:tcPr>
            <w:tcW w:w="801" w:type="pct"/>
            <w:shd w:val="clear" w:color="auto" w:fill="FFFFFF" w:themeFill="background1"/>
            <w:noWrap/>
            <w:hideMark/>
          </w:tcPr>
          <w:p w14:paraId="732D419A" w14:textId="142C8028" w:rsidR="00B657E3" w:rsidRPr="000C21A1" w:rsidRDefault="00B657E3" w:rsidP="00B657E3">
            <w:pPr>
              <w:jc w:val="right"/>
              <w:rPr>
                <w:noProof/>
                <w:sz w:val="20"/>
                <w:szCs w:val="20"/>
              </w:rPr>
            </w:pPr>
            <w:r w:rsidRPr="000C21A1">
              <w:rPr>
                <w:noProof/>
                <w:sz w:val="20"/>
                <w:szCs w:val="20"/>
              </w:rPr>
              <w:t> </w:t>
            </w:r>
          </w:p>
        </w:tc>
        <w:tc>
          <w:tcPr>
            <w:tcW w:w="801" w:type="pct"/>
            <w:shd w:val="clear" w:color="auto" w:fill="FFFFFF" w:themeFill="background1"/>
            <w:noWrap/>
            <w:hideMark/>
          </w:tcPr>
          <w:p w14:paraId="2A3AB199" w14:textId="0A3D29B2" w:rsidR="00B657E3" w:rsidRPr="000C21A1" w:rsidRDefault="00B657E3" w:rsidP="00B657E3">
            <w:pPr>
              <w:jc w:val="right"/>
              <w:rPr>
                <w:noProof/>
                <w:sz w:val="20"/>
                <w:szCs w:val="20"/>
              </w:rPr>
            </w:pPr>
            <w:r w:rsidRPr="000C21A1">
              <w:rPr>
                <w:noProof/>
                <w:sz w:val="20"/>
                <w:szCs w:val="20"/>
              </w:rPr>
              <w:t> </w:t>
            </w:r>
          </w:p>
        </w:tc>
        <w:tc>
          <w:tcPr>
            <w:tcW w:w="802" w:type="pct"/>
            <w:shd w:val="clear" w:color="auto" w:fill="FFFFFF" w:themeFill="background1"/>
            <w:noWrap/>
            <w:hideMark/>
          </w:tcPr>
          <w:p w14:paraId="28BC0FC7" w14:textId="677536C0" w:rsidR="00B657E3" w:rsidRPr="000C21A1" w:rsidRDefault="00B657E3" w:rsidP="00B657E3">
            <w:pPr>
              <w:jc w:val="right"/>
              <w:rPr>
                <w:noProof/>
                <w:sz w:val="20"/>
                <w:szCs w:val="20"/>
              </w:rPr>
            </w:pPr>
            <w:r w:rsidRPr="000C21A1">
              <w:rPr>
                <w:noProof/>
                <w:sz w:val="20"/>
                <w:szCs w:val="20"/>
              </w:rPr>
              <w:t> </w:t>
            </w:r>
          </w:p>
        </w:tc>
      </w:tr>
      <w:tr w:rsidR="00C33C87" w:rsidRPr="005A3B73" w14:paraId="0FDF4D1C" w14:textId="77777777" w:rsidTr="000C21A1">
        <w:trPr>
          <w:trHeight w:val="225"/>
        </w:trPr>
        <w:tc>
          <w:tcPr>
            <w:tcW w:w="1794" w:type="pct"/>
            <w:shd w:val="clear" w:color="auto" w:fill="FFFFFF" w:themeFill="background1"/>
            <w:noWrap/>
            <w:hideMark/>
          </w:tcPr>
          <w:p w14:paraId="501AAC73" w14:textId="0A428168" w:rsidR="00B657E3" w:rsidRPr="004E336D" w:rsidRDefault="00B657E3" w:rsidP="00B657E3">
            <w:pPr>
              <w:rPr>
                <w:noProof/>
                <w:sz w:val="20"/>
                <w:szCs w:val="20"/>
              </w:rPr>
            </w:pPr>
            <w:r w:rsidRPr="004E336D">
              <w:rPr>
                <w:noProof/>
                <w:sz w:val="20"/>
                <w:szCs w:val="20"/>
              </w:rPr>
              <w:t xml:space="preserve">Number of </w:t>
            </w:r>
            <w:r>
              <w:rPr>
                <w:noProof/>
                <w:sz w:val="20"/>
                <w:szCs w:val="20"/>
              </w:rPr>
              <w:t>non-SME</w:t>
            </w:r>
            <w:r w:rsidRPr="004E336D">
              <w:rPr>
                <w:noProof/>
                <w:sz w:val="20"/>
                <w:szCs w:val="20"/>
              </w:rPr>
              <w:t xml:space="preserve"> B2C MDMS platforms that incur one-off costs due to PM7 </w:t>
            </w:r>
          </w:p>
        </w:tc>
        <w:tc>
          <w:tcPr>
            <w:tcW w:w="802" w:type="pct"/>
            <w:shd w:val="clear" w:color="auto" w:fill="FFFFFF" w:themeFill="background1"/>
            <w:noWrap/>
            <w:hideMark/>
          </w:tcPr>
          <w:p w14:paraId="2A569524" w14:textId="16C26095" w:rsidR="00B657E3" w:rsidRPr="000C21A1" w:rsidRDefault="00B657E3" w:rsidP="00B657E3">
            <w:pPr>
              <w:jc w:val="right"/>
              <w:rPr>
                <w:noProof/>
                <w:sz w:val="20"/>
                <w:szCs w:val="20"/>
              </w:rPr>
            </w:pPr>
            <w:r w:rsidRPr="000C21A1">
              <w:rPr>
                <w:noProof/>
                <w:sz w:val="20"/>
                <w:szCs w:val="20"/>
              </w:rPr>
              <w:t>150</w:t>
            </w:r>
          </w:p>
        </w:tc>
        <w:tc>
          <w:tcPr>
            <w:tcW w:w="801" w:type="pct"/>
            <w:shd w:val="clear" w:color="auto" w:fill="FFFFFF" w:themeFill="background1"/>
            <w:noWrap/>
            <w:hideMark/>
          </w:tcPr>
          <w:p w14:paraId="56A445FE" w14:textId="39FFFF22" w:rsidR="00B657E3" w:rsidRPr="000C21A1" w:rsidRDefault="00B657E3" w:rsidP="00B657E3">
            <w:pPr>
              <w:jc w:val="right"/>
              <w:rPr>
                <w:noProof/>
                <w:sz w:val="20"/>
                <w:szCs w:val="20"/>
              </w:rPr>
            </w:pPr>
            <w:r w:rsidRPr="000C21A1">
              <w:rPr>
                <w:noProof/>
                <w:sz w:val="20"/>
                <w:szCs w:val="20"/>
              </w:rPr>
              <w:t>7</w:t>
            </w:r>
          </w:p>
        </w:tc>
        <w:tc>
          <w:tcPr>
            <w:tcW w:w="801" w:type="pct"/>
            <w:shd w:val="clear" w:color="auto" w:fill="FFFFFF" w:themeFill="background1"/>
            <w:noWrap/>
            <w:hideMark/>
          </w:tcPr>
          <w:p w14:paraId="771DF8C9" w14:textId="2CEB8E60" w:rsidR="00B657E3" w:rsidRPr="000C21A1" w:rsidRDefault="00B657E3" w:rsidP="00B657E3">
            <w:pPr>
              <w:jc w:val="right"/>
              <w:rPr>
                <w:noProof/>
                <w:sz w:val="20"/>
                <w:szCs w:val="20"/>
              </w:rPr>
            </w:pPr>
            <w:r w:rsidRPr="000C21A1">
              <w:rPr>
                <w:noProof/>
                <w:sz w:val="20"/>
                <w:szCs w:val="20"/>
              </w:rPr>
              <w:t>11</w:t>
            </w:r>
          </w:p>
        </w:tc>
        <w:tc>
          <w:tcPr>
            <w:tcW w:w="802" w:type="pct"/>
            <w:shd w:val="clear" w:color="auto" w:fill="FFFFFF" w:themeFill="background1"/>
            <w:noWrap/>
            <w:hideMark/>
          </w:tcPr>
          <w:p w14:paraId="53DE3D37" w14:textId="63C1B63D" w:rsidR="00B657E3" w:rsidRPr="000C21A1" w:rsidRDefault="00B657E3" w:rsidP="00B657E3">
            <w:pPr>
              <w:jc w:val="right"/>
              <w:rPr>
                <w:noProof/>
                <w:sz w:val="20"/>
                <w:szCs w:val="20"/>
              </w:rPr>
            </w:pPr>
            <w:r w:rsidRPr="000C21A1">
              <w:rPr>
                <w:noProof/>
                <w:sz w:val="20"/>
                <w:szCs w:val="20"/>
              </w:rPr>
              <w:t>0</w:t>
            </w:r>
          </w:p>
        </w:tc>
      </w:tr>
      <w:tr w:rsidR="00C33C87" w:rsidRPr="005A3B73" w14:paraId="7BB2F5F4" w14:textId="77777777" w:rsidTr="000C21A1">
        <w:trPr>
          <w:trHeight w:val="225"/>
        </w:trPr>
        <w:tc>
          <w:tcPr>
            <w:tcW w:w="1794" w:type="pct"/>
            <w:shd w:val="clear" w:color="auto" w:fill="FFFFFF" w:themeFill="background1"/>
            <w:noWrap/>
            <w:hideMark/>
          </w:tcPr>
          <w:p w14:paraId="049DF4C1" w14:textId="346B182C" w:rsidR="00B657E3" w:rsidRPr="004E336D" w:rsidRDefault="00B657E3" w:rsidP="00B657E3">
            <w:pPr>
              <w:rPr>
                <w:noProof/>
                <w:sz w:val="20"/>
                <w:szCs w:val="20"/>
              </w:rPr>
            </w:pPr>
            <w:r w:rsidRPr="004E336D">
              <w:rPr>
                <w:noProof/>
                <w:sz w:val="20"/>
                <w:szCs w:val="20"/>
              </w:rPr>
              <w:t xml:space="preserve">Number of </w:t>
            </w:r>
            <w:r>
              <w:rPr>
                <w:noProof/>
                <w:sz w:val="20"/>
                <w:szCs w:val="20"/>
              </w:rPr>
              <w:t>non-SME</w:t>
            </w:r>
            <w:r w:rsidRPr="004E336D">
              <w:rPr>
                <w:noProof/>
                <w:sz w:val="20"/>
                <w:szCs w:val="20"/>
              </w:rPr>
              <w:t xml:space="preserve"> B2C MDMS platforms that incur recurrent costs due to PM7 </w:t>
            </w:r>
          </w:p>
        </w:tc>
        <w:tc>
          <w:tcPr>
            <w:tcW w:w="802" w:type="pct"/>
            <w:shd w:val="clear" w:color="auto" w:fill="FFFFFF" w:themeFill="background1"/>
            <w:noWrap/>
            <w:hideMark/>
          </w:tcPr>
          <w:p w14:paraId="3AC351D3" w14:textId="1979394C" w:rsidR="00B657E3" w:rsidRPr="000C21A1" w:rsidRDefault="00B657E3" w:rsidP="00B657E3">
            <w:pPr>
              <w:jc w:val="right"/>
              <w:rPr>
                <w:noProof/>
                <w:sz w:val="20"/>
                <w:szCs w:val="20"/>
              </w:rPr>
            </w:pPr>
            <w:r w:rsidRPr="000C21A1">
              <w:rPr>
                <w:noProof/>
                <w:sz w:val="20"/>
                <w:szCs w:val="20"/>
              </w:rPr>
              <w:t>0</w:t>
            </w:r>
          </w:p>
        </w:tc>
        <w:tc>
          <w:tcPr>
            <w:tcW w:w="801" w:type="pct"/>
            <w:shd w:val="clear" w:color="auto" w:fill="FFFFFF" w:themeFill="background1"/>
            <w:noWrap/>
            <w:hideMark/>
          </w:tcPr>
          <w:p w14:paraId="7226F0F4" w14:textId="5A97EB1B" w:rsidR="00B657E3" w:rsidRPr="000C21A1" w:rsidRDefault="00B657E3" w:rsidP="00B657E3">
            <w:pPr>
              <w:jc w:val="right"/>
              <w:rPr>
                <w:noProof/>
                <w:sz w:val="20"/>
                <w:szCs w:val="20"/>
              </w:rPr>
            </w:pPr>
            <w:r w:rsidRPr="000C21A1">
              <w:rPr>
                <w:noProof/>
                <w:sz w:val="20"/>
                <w:szCs w:val="20"/>
              </w:rPr>
              <w:t>156</w:t>
            </w:r>
          </w:p>
        </w:tc>
        <w:tc>
          <w:tcPr>
            <w:tcW w:w="801" w:type="pct"/>
            <w:shd w:val="clear" w:color="auto" w:fill="FFFFFF" w:themeFill="background1"/>
            <w:noWrap/>
            <w:hideMark/>
          </w:tcPr>
          <w:p w14:paraId="5AF6B0A8" w14:textId="11234420" w:rsidR="00B657E3" w:rsidRPr="000C21A1" w:rsidRDefault="00B657E3" w:rsidP="00B657E3">
            <w:pPr>
              <w:jc w:val="right"/>
              <w:rPr>
                <w:noProof/>
                <w:sz w:val="20"/>
                <w:szCs w:val="20"/>
              </w:rPr>
            </w:pPr>
            <w:r w:rsidRPr="000C21A1">
              <w:rPr>
                <w:noProof/>
                <w:sz w:val="20"/>
                <w:szCs w:val="20"/>
              </w:rPr>
              <w:t>258</w:t>
            </w:r>
          </w:p>
        </w:tc>
        <w:tc>
          <w:tcPr>
            <w:tcW w:w="802" w:type="pct"/>
            <w:shd w:val="clear" w:color="auto" w:fill="FFFFFF" w:themeFill="background1"/>
            <w:noWrap/>
            <w:hideMark/>
          </w:tcPr>
          <w:p w14:paraId="44E40C26" w14:textId="10F946E3" w:rsidR="00B657E3" w:rsidRPr="000C21A1" w:rsidRDefault="00B657E3" w:rsidP="00B657E3">
            <w:pPr>
              <w:jc w:val="right"/>
              <w:rPr>
                <w:noProof/>
                <w:sz w:val="20"/>
                <w:szCs w:val="20"/>
              </w:rPr>
            </w:pPr>
            <w:r w:rsidRPr="000C21A1">
              <w:rPr>
                <w:noProof/>
                <w:sz w:val="20"/>
                <w:szCs w:val="20"/>
              </w:rPr>
              <w:t>260</w:t>
            </w:r>
          </w:p>
        </w:tc>
      </w:tr>
      <w:tr w:rsidR="00C33C87" w:rsidRPr="005A3B73" w14:paraId="4C56EC3B" w14:textId="77777777" w:rsidTr="000C21A1">
        <w:trPr>
          <w:trHeight w:val="225"/>
        </w:trPr>
        <w:tc>
          <w:tcPr>
            <w:tcW w:w="1794" w:type="pct"/>
            <w:shd w:val="clear" w:color="auto" w:fill="FFFFFF" w:themeFill="background1"/>
            <w:noWrap/>
            <w:hideMark/>
          </w:tcPr>
          <w:p w14:paraId="1B927DEA" w14:textId="77777777" w:rsidR="00B657E3" w:rsidRPr="004E336D" w:rsidRDefault="00B657E3" w:rsidP="00B657E3">
            <w:pPr>
              <w:rPr>
                <w:noProof/>
                <w:sz w:val="20"/>
                <w:szCs w:val="20"/>
              </w:rPr>
            </w:pPr>
            <w:r w:rsidRPr="004E336D">
              <w:rPr>
                <w:noProof/>
                <w:sz w:val="20"/>
                <w:szCs w:val="20"/>
              </w:rPr>
              <w:t xml:space="preserve">Total one-off adjustment costs (million EUR) </w:t>
            </w:r>
          </w:p>
        </w:tc>
        <w:tc>
          <w:tcPr>
            <w:tcW w:w="802" w:type="pct"/>
            <w:shd w:val="clear" w:color="auto" w:fill="FFFFFF" w:themeFill="background1"/>
            <w:noWrap/>
            <w:hideMark/>
          </w:tcPr>
          <w:p w14:paraId="5DF53F9D" w14:textId="46211BFA" w:rsidR="00B657E3" w:rsidRPr="000C21A1" w:rsidRDefault="00B657E3" w:rsidP="00B657E3">
            <w:pPr>
              <w:jc w:val="right"/>
              <w:rPr>
                <w:noProof/>
                <w:sz w:val="20"/>
                <w:szCs w:val="20"/>
              </w:rPr>
            </w:pPr>
            <w:r w:rsidRPr="000C21A1">
              <w:rPr>
                <w:noProof/>
                <w:sz w:val="20"/>
                <w:szCs w:val="20"/>
              </w:rPr>
              <w:t>17.6</w:t>
            </w:r>
          </w:p>
        </w:tc>
        <w:tc>
          <w:tcPr>
            <w:tcW w:w="801" w:type="pct"/>
            <w:shd w:val="clear" w:color="auto" w:fill="FFFFFF" w:themeFill="background1"/>
            <w:noWrap/>
            <w:hideMark/>
          </w:tcPr>
          <w:p w14:paraId="2496606D" w14:textId="7F3B116B" w:rsidR="00B657E3" w:rsidRPr="000C21A1" w:rsidRDefault="00B657E3" w:rsidP="00B657E3">
            <w:pPr>
              <w:jc w:val="right"/>
              <w:rPr>
                <w:noProof/>
                <w:sz w:val="20"/>
                <w:szCs w:val="20"/>
              </w:rPr>
            </w:pPr>
            <w:r w:rsidRPr="000C21A1">
              <w:rPr>
                <w:noProof/>
                <w:sz w:val="20"/>
                <w:szCs w:val="20"/>
              </w:rPr>
              <w:t>0.8</w:t>
            </w:r>
          </w:p>
        </w:tc>
        <w:tc>
          <w:tcPr>
            <w:tcW w:w="801" w:type="pct"/>
            <w:shd w:val="clear" w:color="auto" w:fill="FFFFFF" w:themeFill="background1"/>
            <w:noWrap/>
            <w:hideMark/>
          </w:tcPr>
          <w:p w14:paraId="37FDE8C6" w14:textId="181840A4" w:rsidR="00B657E3" w:rsidRPr="000C21A1" w:rsidRDefault="00B657E3" w:rsidP="00B657E3">
            <w:pPr>
              <w:jc w:val="right"/>
              <w:rPr>
                <w:noProof/>
                <w:sz w:val="20"/>
                <w:szCs w:val="20"/>
              </w:rPr>
            </w:pPr>
            <w:r w:rsidRPr="000C21A1">
              <w:rPr>
                <w:noProof/>
                <w:sz w:val="20"/>
                <w:szCs w:val="20"/>
              </w:rPr>
              <w:t>1.2</w:t>
            </w:r>
          </w:p>
        </w:tc>
        <w:tc>
          <w:tcPr>
            <w:tcW w:w="802" w:type="pct"/>
            <w:shd w:val="clear" w:color="auto" w:fill="FFFFFF" w:themeFill="background1"/>
            <w:noWrap/>
            <w:hideMark/>
          </w:tcPr>
          <w:p w14:paraId="22D7D018" w14:textId="14B85B61" w:rsidR="00B657E3" w:rsidRPr="000C21A1" w:rsidRDefault="00B657E3" w:rsidP="00B657E3">
            <w:pPr>
              <w:jc w:val="right"/>
              <w:rPr>
                <w:noProof/>
                <w:sz w:val="20"/>
                <w:szCs w:val="20"/>
              </w:rPr>
            </w:pPr>
            <w:r w:rsidRPr="000C21A1">
              <w:rPr>
                <w:noProof/>
                <w:sz w:val="20"/>
                <w:szCs w:val="20"/>
              </w:rPr>
              <w:t>0.0</w:t>
            </w:r>
          </w:p>
        </w:tc>
      </w:tr>
      <w:tr w:rsidR="00C33C87" w:rsidRPr="005A3B73" w14:paraId="5489CA2E" w14:textId="77777777" w:rsidTr="000C21A1">
        <w:trPr>
          <w:trHeight w:val="225"/>
        </w:trPr>
        <w:tc>
          <w:tcPr>
            <w:tcW w:w="1794" w:type="pct"/>
            <w:shd w:val="clear" w:color="auto" w:fill="FFFFFF" w:themeFill="background1"/>
            <w:noWrap/>
            <w:hideMark/>
          </w:tcPr>
          <w:p w14:paraId="3DB16029" w14:textId="77777777" w:rsidR="00B657E3" w:rsidRPr="004E336D" w:rsidRDefault="00B657E3" w:rsidP="00B657E3">
            <w:pPr>
              <w:rPr>
                <w:noProof/>
                <w:sz w:val="20"/>
                <w:szCs w:val="20"/>
              </w:rPr>
            </w:pPr>
            <w:r w:rsidRPr="004E336D">
              <w:rPr>
                <w:noProof/>
                <w:sz w:val="20"/>
                <w:szCs w:val="20"/>
              </w:rPr>
              <w:t xml:space="preserve">Total recurrent adjustment costs (million EUR) </w:t>
            </w:r>
          </w:p>
        </w:tc>
        <w:tc>
          <w:tcPr>
            <w:tcW w:w="802" w:type="pct"/>
            <w:shd w:val="clear" w:color="auto" w:fill="FFFFFF" w:themeFill="background1"/>
            <w:noWrap/>
            <w:hideMark/>
          </w:tcPr>
          <w:p w14:paraId="58C2DEBB" w14:textId="445677FB" w:rsidR="00B657E3" w:rsidRPr="000C21A1" w:rsidRDefault="00B657E3" w:rsidP="00B657E3">
            <w:pPr>
              <w:jc w:val="right"/>
              <w:rPr>
                <w:noProof/>
                <w:sz w:val="20"/>
                <w:szCs w:val="20"/>
              </w:rPr>
            </w:pPr>
            <w:r w:rsidRPr="000C21A1">
              <w:rPr>
                <w:noProof/>
                <w:sz w:val="20"/>
                <w:szCs w:val="20"/>
              </w:rPr>
              <w:t>0.0</w:t>
            </w:r>
          </w:p>
        </w:tc>
        <w:tc>
          <w:tcPr>
            <w:tcW w:w="801" w:type="pct"/>
            <w:shd w:val="clear" w:color="auto" w:fill="FFFFFF" w:themeFill="background1"/>
            <w:noWrap/>
            <w:hideMark/>
          </w:tcPr>
          <w:p w14:paraId="46E7A3F8" w14:textId="4445A655" w:rsidR="00B657E3" w:rsidRPr="000C21A1" w:rsidRDefault="00B657E3" w:rsidP="00B657E3">
            <w:pPr>
              <w:jc w:val="right"/>
              <w:rPr>
                <w:noProof/>
                <w:sz w:val="20"/>
                <w:szCs w:val="20"/>
              </w:rPr>
            </w:pPr>
            <w:r w:rsidRPr="000C21A1">
              <w:rPr>
                <w:noProof/>
                <w:sz w:val="20"/>
                <w:szCs w:val="20"/>
              </w:rPr>
              <w:t>1.8</w:t>
            </w:r>
          </w:p>
        </w:tc>
        <w:tc>
          <w:tcPr>
            <w:tcW w:w="801" w:type="pct"/>
            <w:shd w:val="clear" w:color="auto" w:fill="FFFFFF" w:themeFill="background1"/>
            <w:noWrap/>
            <w:hideMark/>
          </w:tcPr>
          <w:p w14:paraId="3F8A3A7C" w14:textId="3F0AF607" w:rsidR="00B657E3" w:rsidRPr="000C21A1" w:rsidRDefault="00B657E3" w:rsidP="00B657E3">
            <w:pPr>
              <w:jc w:val="right"/>
              <w:rPr>
                <w:noProof/>
                <w:sz w:val="20"/>
                <w:szCs w:val="20"/>
              </w:rPr>
            </w:pPr>
            <w:r w:rsidRPr="000C21A1">
              <w:rPr>
                <w:noProof/>
                <w:sz w:val="20"/>
                <w:szCs w:val="20"/>
              </w:rPr>
              <w:t>3.0</w:t>
            </w:r>
          </w:p>
        </w:tc>
        <w:tc>
          <w:tcPr>
            <w:tcW w:w="802" w:type="pct"/>
            <w:shd w:val="clear" w:color="auto" w:fill="FFFFFF" w:themeFill="background1"/>
            <w:noWrap/>
            <w:hideMark/>
          </w:tcPr>
          <w:p w14:paraId="34F27546" w14:textId="228D3AA5" w:rsidR="00B657E3" w:rsidRPr="000C21A1" w:rsidRDefault="00B657E3" w:rsidP="00B657E3">
            <w:pPr>
              <w:jc w:val="right"/>
              <w:rPr>
                <w:noProof/>
                <w:sz w:val="20"/>
                <w:szCs w:val="20"/>
              </w:rPr>
            </w:pPr>
            <w:r w:rsidRPr="000C21A1">
              <w:rPr>
                <w:noProof/>
                <w:sz w:val="20"/>
                <w:szCs w:val="20"/>
              </w:rPr>
              <w:t>3.1</w:t>
            </w:r>
          </w:p>
        </w:tc>
      </w:tr>
    </w:tbl>
    <w:p w14:paraId="7DCE7B52" w14:textId="77777777" w:rsidR="00927E4D" w:rsidRPr="00D71008" w:rsidRDefault="00927E4D" w:rsidP="00927E4D">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29D7A58E" w14:textId="25DD092A" w:rsidR="009467A1" w:rsidRDefault="009467A1" w:rsidP="009467A1">
      <w:pPr>
        <w:pStyle w:val="Text4"/>
        <w:spacing w:before="0" w:after="240"/>
        <w:ind w:left="0"/>
        <w:rPr>
          <w:rFonts w:ascii="Times New Roman" w:eastAsia="Calibri" w:hAnsi="Times New Roman"/>
          <w:noProof/>
          <w:spacing w:val="-8"/>
          <w:sz w:val="24"/>
          <w:szCs w:val="24"/>
        </w:rPr>
      </w:pPr>
      <w:r w:rsidRPr="00AB18E0">
        <w:rPr>
          <w:rFonts w:ascii="Times New Roman" w:eastAsia="Calibri" w:hAnsi="Times New Roman"/>
          <w:noProof/>
          <w:spacing w:val="-8"/>
          <w:sz w:val="24"/>
          <w:szCs w:val="24"/>
        </w:rPr>
        <w:t>The table</w:t>
      </w:r>
      <w:r>
        <w:rPr>
          <w:rFonts w:ascii="Times New Roman" w:eastAsia="Calibri" w:hAnsi="Times New Roman"/>
          <w:noProof/>
          <w:spacing w:val="-8"/>
          <w:sz w:val="24"/>
          <w:szCs w:val="24"/>
        </w:rPr>
        <w:t>s</w:t>
      </w:r>
      <w:r w:rsidRPr="00AB18E0">
        <w:rPr>
          <w:rFonts w:ascii="Times New Roman" w:eastAsia="Calibri" w:hAnsi="Times New Roman"/>
          <w:noProof/>
          <w:spacing w:val="-8"/>
          <w:sz w:val="24"/>
          <w:szCs w:val="24"/>
        </w:rPr>
        <w:t xml:space="preserve"> </w:t>
      </w:r>
      <w:r>
        <w:rPr>
          <w:rFonts w:ascii="Times New Roman" w:eastAsia="Calibri" w:hAnsi="Times New Roman"/>
          <w:noProof/>
          <w:spacing w:val="-8"/>
          <w:sz w:val="24"/>
          <w:szCs w:val="24"/>
        </w:rPr>
        <w:t xml:space="preserve">below present the </w:t>
      </w:r>
      <w:r w:rsidRPr="00AB18E0">
        <w:rPr>
          <w:rFonts w:ascii="Times New Roman" w:eastAsia="Calibri" w:hAnsi="Times New Roman"/>
          <w:noProof/>
          <w:spacing w:val="-8"/>
          <w:sz w:val="24"/>
          <w:szCs w:val="24"/>
        </w:rPr>
        <w:t>total one-off and recurrent adjustment costs</w:t>
      </w:r>
      <w:r>
        <w:rPr>
          <w:rFonts w:ascii="Times New Roman" w:eastAsia="Calibri" w:hAnsi="Times New Roman"/>
          <w:noProof/>
          <w:spacing w:val="-8"/>
          <w:sz w:val="24"/>
          <w:szCs w:val="24"/>
        </w:rPr>
        <w:t xml:space="preserve"> for </w:t>
      </w:r>
      <w:r w:rsidR="00CE1027">
        <w:rPr>
          <w:rFonts w:ascii="Times New Roman" w:eastAsia="Calibri" w:hAnsi="Times New Roman"/>
          <w:noProof/>
          <w:spacing w:val="-8"/>
          <w:sz w:val="24"/>
          <w:szCs w:val="24"/>
        </w:rPr>
        <w:t>non-SME</w:t>
      </w:r>
      <w:r w:rsidR="007C08C4">
        <w:rPr>
          <w:rFonts w:ascii="Times New Roman" w:eastAsia="Calibri" w:hAnsi="Times New Roman"/>
          <w:noProof/>
          <w:spacing w:val="-8"/>
          <w:sz w:val="24"/>
          <w:szCs w:val="24"/>
        </w:rPr>
        <w:t xml:space="preserve"> </w:t>
      </w:r>
      <w:r>
        <w:rPr>
          <w:rFonts w:ascii="Times New Roman" w:eastAsia="Calibri" w:hAnsi="Times New Roman"/>
          <w:noProof/>
          <w:spacing w:val="-8"/>
          <w:sz w:val="24"/>
          <w:szCs w:val="24"/>
        </w:rPr>
        <w:t xml:space="preserve">B2C platforms </w:t>
      </w:r>
      <w:r w:rsidRPr="00AB18E0">
        <w:rPr>
          <w:rFonts w:ascii="Times New Roman" w:eastAsia="Calibri" w:hAnsi="Times New Roman"/>
          <w:noProof/>
          <w:spacing w:val="-8"/>
          <w:sz w:val="24"/>
          <w:szCs w:val="24"/>
        </w:rPr>
        <w:t>by Member State</w:t>
      </w:r>
      <w:r>
        <w:rPr>
          <w:rFonts w:ascii="Times New Roman" w:eastAsia="Calibri" w:hAnsi="Times New Roman"/>
          <w:noProof/>
          <w:spacing w:val="-8"/>
          <w:sz w:val="24"/>
          <w:szCs w:val="24"/>
        </w:rPr>
        <w:t xml:space="preserve"> </w:t>
      </w:r>
      <w:r w:rsidR="007C08C4">
        <w:rPr>
          <w:rFonts w:ascii="Times New Roman" w:eastAsia="Calibri" w:hAnsi="Times New Roman"/>
          <w:noProof/>
          <w:spacing w:val="-8"/>
          <w:sz w:val="24"/>
          <w:szCs w:val="24"/>
        </w:rPr>
        <w:t>for 2028, 2030, 2040 and 2050</w:t>
      </w:r>
      <w:r>
        <w:rPr>
          <w:rFonts w:ascii="Times New Roman" w:eastAsia="Calibri" w:hAnsi="Times New Roman"/>
          <w:noProof/>
          <w:spacing w:val="-8"/>
          <w:sz w:val="24"/>
          <w:szCs w:val="24"/>
        </w:rPr>
        <w:t>, by policy option</w:t>
      </w:r>
      <w:r>
        <w:rPr>
          <w:rStyle w:val="FootnoteReference"/>
          <w:rFonts w:ascii="Times New Roman" w:eastAsia="Calibri" w:hAnsi="Times New Roman"/>
          <w:noProof/>
          <w:spacing w:val="-8"/>
          <w:sz w:val="24"/>
          <w:szCs w:val="24"/>
        </w:rPr>
        <w:footnoteReference w:id="351"/>
      </w:r>
      <w:r>
        <w:rPr>
          <w:rFonts w:ascii="Times New Roman" w:eastAsia="Calibri" w:hAnsi="Times New Roman"/>
          <w:noProof/>
          <w:spacing w:val="-8"/>
          <w:sz w:val="24"/>
          <w:szCs w:val="24"/>
        </w:rPr>
        <w:t xml:space="preserve">. </w:t>
      </w:r>
    </w:p>
    <w:p w14:paraId="50F706AA" w14:textId="4EEF976D" w:rsidR="009467A1" w:rsidRPr="00DB078C" w:rsidRDefault="009467A1" w:rsidP="00DB078C">
      <w:pPr>
        <w:keepNext/>
        <w:tabs>
          <w:tab w:val="left" w:pos="1134"/>
        </w:tabs>
        <w:jc w:val="both"/>
        <w:rPr>
          <w:i/>
          <w:noProof/>
          <w:sz w:val="22"/>
          <w:szCs w:val="22"/>
        </w:rPr>
      </w:pPr>
      <w:r w:rsidRPr="00DB078C">
        <w:rPr>
          <w:i/>
          <w:noProof/>
          <w:sz w:val="22"/>
          <w:szCs w:val="22"/>
        </w:rPr>
        <w:t xml:space="preserve">Table </w:t>
      </w:r>
      <w:r w:rsidRPr="00DB078C">
        <w:rPr>
          <w:i/>
          <w:noProof/>
          <w:sz w:val="22"/>
          <w:szCs w:val="22"/>
        </w:rPr>
        <w:fldChar w:fldCharType="begin"/>
      </w:r>
      <w:r w:rsidRPr="00DB078C">
        <w:rPr>
          <w:i/>
          <w:noProof/>
          <w:sz w:val="22"/>
          <w:szCs w:val="22"/>
        </w:rPr>
        <w:instrText xml:space="preserve"> SEQ Table \* ARABIC </w:instrText>
      </w:r>
      <w:r w:rsidRPr="00DB078C">
        <w:rPr>
          <w:i/>
          <w:noProof/>
          <w:sz w:val="22"/>
          <w:szCs w:val="22"/>
        </w:rPr>
        <w:fldChar w:fldCharType="separate"/>
      </w:r>
      <w:r w:rsidR="0055391F">
        <w:rPr>
          <w:i/>
          <w:noProof/>
          <w:sz w:val="22"/>
          <w:szCs w:val="22"/>
        </w:rPr>
        <w:t>90</w:t>
      </w:r>
      <w:r w:rsidRPr="00DB078C">
        <w:rPr>
          <w:i/>
          <w:noProof/>
          <w:sz w:val="22"/>
          <w:szCs w:val="22"/>
        </w:rPr>
        <w:fldChar w:fldCharType="end"/>
      </w:r>
      <w:r w:rsidRPr="00DB078C">
        <w:rPr>
          <w:i/>
          <w:noProof/>
          <w:sz w:val="22"/>
          <w:szCs w:val="22"/>
        </w:rPr>
        <w:t xml:space="preserve">: Total one-off and recurrent adjustment costs for </w:t>
      </w:r>
      <w:r w:rsidR="00CE1027">
        <w:rPr>
          <w:i/>
          <w:noProof/>
          <w:sz w:val="22"/>
          <w:szCs w:val="22"/>
        </w:rPr>
        <w:t>non-SME</w:t>
      </w:r>
      <w:r w:rsidRPr="00DB078C">
        <w:rPr>
          <w:i/>
          <w:noProof/>
          <w:sz w:val="22"/>
          <w:szCs w:val="22"/>
        </w:rPr>
        <w:t xml:space="preserve"> B2C MDMS platforms due to PM</w:t>
      </w:r>
      <w:r w:rsidR="00790239" w:rsidRPr="00DB078C">
        <w:rPr>
          <w:i/>
          <w:noProof/>
          <w:sz w:val="22"/>
          <w:szCs w:val="22"/>
        </w:rPr>
        <w:t>7</w:t>
      </w:r>
      <w:r w:rsidRPr="00DB078C">
        <w:rPr>
          <w:i/>
          <w:noProof/>
          <w:sz w:val="22"/>
          <w:szCs w:val="22"/>
        </w:rPr>
        <w:t xml:space="preserve"> in PO1 in 2028, 2030, 2040 and 2050 relative to the baseline (thousand EUR, in 2024 prices)</w:t>
      </w:r>
    </w:p>
    <w:tbl>
      <w:tblPr>
        <w:tblW w:w="5000" w:type="pct"/>
        <w:tblLook w:val="04A0" w:firstRow="1" w:lastRow="0" w:firstColumn="1" w:lastColumn="0" w:noHBand="0" w:noVBand="1"/>
      </w:tblPr>
      <w:tblGrid>
        <w:gridCol w:w="3503"/>
        <w:gridCol w:w="1525"/>
        <w:gridCol w:w="1525"/>
        <w:gridCol w:w="1525"/>
        <w:gridCol w:w="1525"/>
      </w:tblGrid>
      <w:tr w:rsidR="008A6DC6" w:rsidRPr="00C14AF8" w14:paraId="2EA61164" w14:textId="77777777" w:rsidTr="00C14AF8">
        <w:trPr>
          <w:trHeight w:val="255"/>
          <w:tblHeader/>
        </w:trPr>
        <w:tc>
          <w:tcPr>
            <w:tcW w:w="1824" w:type="pct"/>
            <w:tcBorders>
              <w:top w:val="single" w:sz="4" w:space="0" w:color="auto"/>
              <w:left w:val="single" w:sz="4" w:space="0" w:color="auto"/>
              <w:bottom w:val="single" w:sz="4" w:space="0" w:color="auto"/>
              <w:right w:val="single" w:sz="4" w:space="0" w:color="auto"/>
            </w:tcBorders>
            <w:shd w:val="clear" w:color="000000" w:fill="0070C0"/>
            <w:noWrap/>
            <w:hideMark/>
          </w:tcPr>
          <w:p w14:paraId="0536BA53" w14:textId="2504BE12" w:rsidR="008A6DC6" w:rsidRPr="00C14AF8" w:rsidRDefault="008A6DC6">
            <w:pPr>
              <w:jc w:val="center"/>
              <w:rPr>
                <w:b/>
                <w:bCs/>
                <w:noProof/>
                <w:color w:val="FFFFFF"/>
                <w:sz w:val="20"/>
                <w:szCs w:val="20"/>
              </w:rPr>
            </w:pPr>
          </w:p>
        </w:tc>
        <w:tc>
          <w:tcPr>
            <w:tcW w:w="794" w:type="pct"/>
            <w:tcBorders>
              <w:top w:val="single" w:sz="4" w:space="0" w:color="auto"/>
              <w:left w:val="nil"/>
              <w:bottom w:val="single" w:sz="4" w:space="0" w:color="auto"/>
              <w:right w:val="single" w:sz="4" w:space="0" w:color="auto"/>
            </w:tcBorders>
            <w:shd w:val="clear" w:color="000000" w:fill="0070C0"/>
            <w:noWrap/>
            <w:hideMark/>
          </w:tcPr>
          <w:p w14:paraId="1F96B721" w14:textId="77777777" w:rsidR="008A6DC6" w:rsidRPr="00C14AF8" w:rsidRDefault="008A6DC6">
            <w:pPr>
              <w:jc w:val="center"/>
              <w:rPr>
                <w:b/>
                <w:bCs/>
                <w:noProof/>
                <w:color w:val="FFFFFF"/>
                <w:sz w:val="20"/>
                <w:szCs w:val="20"/>
              </w:rPr>
            </w:pPr>
            <w:r w:rsidRPr="00C14AF8">
              <w:rPr>
                <w:b/>
                <w:bCs/>
                <w:noProof/>
                <w:color w:val="FFFFFF"/>
                <w:sz w:val="20"/>
                <w:szCs w:val="20"/>
              </w:rPr>
              <w:t>2028</w:t>
            </w:r>
          </w:p>
        </w:tc>
        <w:tc>
          <w:tcPr>
            <w:tcW w:w="794" w:type="pct"/>
            <w:tcBorders>
              <w:top w:val="single" w:sz="4" w:space="0" w:color="auto"/>
              <w:left w:val="nil"/>
              <w:bottom w:val="single" w:sz="4" w:space="0" w:color="auto"/>
              <w:right w:val="single" w:sz="4" w:space="0" w:color="auto"/>
            </w:tcBorders>
            <w:shd w:val="clear" w:color="000000" w:fill="0070C0"/>
            <w:noWrap/>
            <w:hideMark/>
          </w:tcPr>
          <w:p w14:paraId="73FC3092" w14:textId="77777777" w:rsidR="008A6DC6" w:rsidRPr="00C14AF8" w:rsidRDefault="008A6DC6">
            <w:pPr>
              <w:jc w:val="center"/>
              <w:rPr>
                <w:b/>
                <w:bCs/>
                <w:noProof/>
                <w:color w:val="FFFFFF"/>
                <w:sz w:val="20"/>
                <w:szCs w:val="20"/>
              </w:rPr>
            </w:pPr>
            <w:r w:rsidRPr="00C14AF8">
              <w:rPr>
                <w:b/>
                <w:bCs/>
                <w:noProof/>
                <w:color w:val="FFFFFF"/>
                <w:sz w:val="20"/>
                <w:szCs w:val="20"/>
              </w:rPr>
              <w:t>2030</w:t>
            </w:r>
          </w:p>
        </w:tc>
        <w:tc>
          <w:tcPr>
            <w:tcW w:w="794" w:type="pct"/>
            <w:tcBorders>
              <w:top w:val="single" w:sz="4" w:space="0" w:color="auto"/>
              <w:left w:val="nil"/>
              <w:bottom w:val="single" w:sz="4" w:space="0" w:color="auto"/>
              <w:right w:val="single" w:sz="4" w:space="0" w:color="auto"/>
            </w:tcBorders>
            <w:shd w:val="clear" w:color="000000" w:fill="0070C0"/>
            <w:noWrap/>
            <w:hideMark/>
          </w:tcPr>
          <w:p w14:paraId="2CE04B19" w14:textId="77777777" w:rsidR="008A6DC6" w:rsidRPr="00C14AF8" w:rsidRDefault="008A6DC6">
            <w:pPr>
              <w:jc w:val="center"/>
              <w:rPr>
                <w:b/>
                <w:bCs/>
                <w:noProof/>
                <w:color w:val="FFFFFF"/>
                <w:sz w:val="20"/>
                <w:szCs w:val="20"/>
              </w:rPr>
            </w:pPr>
            <w:r w:rsidRPr="00C14AF8">
              <w:rPr>
                <w:b/>
                <w:bCs/>
                <w:noProof/>
                <w:color w:val="FFFFFF"/>
                <w:sz w:val="20"/>
                <w:szCs w:val="20"/>
              </w:rPr>
              <w:t>2040</w:t>
            </w:r>
          </w:p>
        </w:tc>
        <w:tc>
          <w:tcPr>
            <w:tcW w:w="794" w:type="pct"/>
            <w:tcBorders>
              <w:top w:val="single" w:sz="4" w:space="0" w:color="auto"/>
              <w:left w:val="nil"/>
              <w:bottom w:val="single" w:sz="4" w:space="0" w:color="auto"/>
              <w:right w:val="single" w:sz="4" w:space="0" w:color="auto"/>
            </w:tcBorders>
            <w:shd w:val="clear" w:color="000000" w:fill="0070C0"/>
            <w:noWrap/>
            <w:hideMark/>
          </w:tcPr>
          <w:p w14:paraId="33ADD3E0" w14:textId="77777777" w:rsidR="008A6DC6" w:rsidRPr="00C14AF8" w:rsidRDefault="008A6DC6">
            <w:pPr>
              <w:jc w:val="center"/>
              <w:rPr>
                <w:b/>
                <w:bCs/>
                <w:noProof/>
                <w:color w:val="FFFFFF"/>
                <w:sz w:val="20"/>
                <w:szCs w:val="20"/>
              </w:rPr>
            </w:pPr>
            <w:r w:rsidRPr="00C14AF8">
              <w:rPr>
                <w:b/>
                <w:bCs/>
                <w:noProof/>
                <w:color w:val="FFFFFF"/>
                <w:sz w:val="20"/>
                <w:szCs w:val="20"/>
              </w:rPr>
              <w:t>2050</w:t>
            </w:r>
          </w:p>
        </w:tc>
      </w:tr>
      <w:tr w:rsidR="00160A0D" w:rsidRPr="00C14AF8" w14:paraId="17CF87AF"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3F5FB13" w14:textId="77777777" w:rsidR="00160A0D" w:rsidRPr="00C14AF8" w:rsidRDefault="00160A0D" w:rsidP="00160A0D">
            <w:pPr>
              <w:outlineLvl w:val="0"/>
              <w:rPr>
                <w:noProof/>
                <w:sz w:val="20"/>
                <w:szCs w:val="20"/>
              </w:rPr>
            </w:pPr>
            <w:r w:rsidRPr="00C14AF8">
              <w:rPr>
                <w:noProof/>
                <w:sz w:val="20"/>
                <w:szCs w:val="20"/>
              </w:rPr>
              <w:t xml:space="preserve"> </w:t>
            </w:r>
            <w:bookmarkStart w:id="1129" w:name="_Toc223980728"/>
            <w:r w:rsidRPr="00C14AF8">
              <w:rPr>
                <w:noProof/>
                <w:sz w:val="20"/>
                <w:szCs w:val="20"/>
              </w:rPr>
              <w:t>Germany</w:t>
            </w:r>
            <w:bookmarkEnd w:id="112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7EADE842" w14:textId="20B54861" w:rsidR="00160A0D" w:rsidRPr="00160A0D" w:rsidRDefault="00160A0D" w:rsidP="00160A0D">
            <w:pPr>
              <w:jc w:val="right"/>
              <w:outlineLvl w:val="0"/>
              <w:rPr>
                <w:noProof/>
                <w:sz w:val="20"/>
                <w:szCs w:val="20"/>
              </w:rPr>
            </w:pPr>
            <w:bookmarkStart w:id="1130" w:name="_Toc223980729"/>
            <w:r w:rsidRPr="00160A0D">
              <w:rPr>
                <w:noProof/>
                <w:sz w:val="20"/>
                <w:szCs w:val="20"/>
              </w:rPr>
              <w:t>2,116.5</w:t>
            </w:r>
            <w:bookmarkEnd w:id="1130"/>
          </w:p>
        </w:tc>
        <w:tc>
          <w:tcPr>
            <w:tcW w:w="794" w:type="pct"/>
            <w:tcBorders>
              <w:top w:val="nil"/>
              <w:left w:val="nil"/>
              <w:bottom w:val="single" w:sz="4" w:space="0" w:color="auto"/>
              <w:right w:val="single" w:sz="4" w:space="0" w:color="auto"/>
            </w:tcBorders>
            <w:shd w:val="clear" w:color="000000" w:fill="FFFFFF"/>
            <w:noWrap/>
            <w:hideMark/>
          </w:tcPr>
          <w:p w14:paraId="70B41C71" w14:textId="65A66636" w:rsidR="00160A0D" w:rsidRPr="00160A0D" w:rsidRDefault="00160A0D" w:rsidP="00160A0D">
            <w:pPr>
              <w:jc w:val="right"/>
              <w:outlineLvl w:val="0"/>
              <w:rPr>
                <w:noProof/>
                <w:sz w:val="20"/>
                <w:szCs w:val="20"/>
              </w:rPr>
            </w:pPr>
            <w:bookmarkStart w:id="1131" w:name="_Toc223980730"/>
            <w:r w:rsidRPr="00160A0D">
              <w:rPr>
                <w:noProof/>
                <w:sz w:val="20"/>
                <w:szCs w:val="20"/>
              </w:rPr>
              <w:t>260.7</w:t>
            </w:r>
            <w:bookmarkEnd w:id="1131"/>
          </w:p>
        </w:tc>
        <w:tc>
          <w:tcPr>
            <w:tcW w:w="794" w:type="pct"/>
            <w:tcBorders>
              <w:top w:val="nil"/>
              <w:left w:val="nil"/>
              <w:bottom w:val="single" w:sz="4" w:space="0" w:color="auto"/>
              <w:right w:val="single" w:sz="4" w:space="0" w:color="auto"/>
            </w:tcBorders>
            <w:shd w:val="clear" w:color="000000" w:fill="FFFFFF"/>
            <w:noWrap/>
            <w:hideMark/>
          </w:tcPr>
          <w:p w14:paraId="48B40D9E" w14:textId="3BAC0F91" w:rsidR="00160A0D" w:rsidRPr="00160A0D" w:rsidRDefault="00160A0D" w:rsidP="00160A0D">
            <w:pPr>
              <w:jc w:val="right"/>
              <w:outlineLvl w:val="0"/>
              <w:rPr>
                <w:noProof/>
                <w:sz w:val="20"/>
                <w:szCs w:val="20"/>
              </w:rPr>
            </w:pPr>
            <w:bookmarkStart w:id="1132" w:name="_Toc223980731"/>
            <w:r w:rsidRPr="00160A0D">
              <w:rPr>
                <w:noProof/>
                <w:sz w:val="20"/>
                <w:szCs w:val="20"/>
              </w:rPr>
              <w:t>280.3</w:t>
            </w:r>
            <w:bookmarkEnd w:id="1132"/>
          </w:p>
        </w:tc>
        <w:tc>
          <w:tcPr>
            <w:tcW w:w="794" w:type="pct"/>
            <w:tcBorders>
              <w:top w:val="nil"/>
              <w:left w:val="nil"/>
              <w:bottom w:val="single" w:sz="4" w:space="0" w:color="auto"/>
              <w:right w:val="single" w:sz="4" w:space="0" w:color="auto"/>
            </w:tcBorders>
            <w:shd w:val="clear" w:color="000000" w:fill="FFFFFF"/>
            <w:noWrap/>
            <w:hideMark/>
          </w:tcPr>
          <w:p w14:paraId="3E7B35E6" w14:textId="52DE015F" w:rsidR="00160A0D" w:rsidRPr="00160A0D" w:rsidRDefault="00160A0D" w:rsidP="00160A0D">
            <w:pPr>
              <w:jc w:val="right"/>
              <w:outlineLvl w:val="0"/>
              <w:rPr>
                <w:noProof/>
                <w:sz w:val="20"/>
                <w:szCs w:val="20"/>
              </w:rPr>
            </w:pPr>
            <w:bookmarkStart w:id="1133" w:name="_Toc223980732"/>
            <w:r w:rsidRPr="00160A0D">
              <w:rPr>
                <w:noProof/>
                <w:sz w:val="20"/>
                <w:szCs w:val="20"/>
              </w:rPr>
              <w:t>256.2</w:t>
            </w:r>
            <w:bookmarkEnd w:id="1133"/>
          </w:p>
        </w:tc>
      </w:tr>
      <w:tr w:rsidR="00160A0D" w:rsidRPr="00C14AF8" w14:paraId="6FEC0E05"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0F94F0DC" w14:textId="77777777" w:rsidR="00160A0D" w:rsidRPr="00C14AF8" w:rsidRDefault="00160A0D" w:rsidP="00160A0D">
            <w:pPr>
              <w:outlineLvl w:val="0"/>
              <w:rPr>
                <w:noProof/>
                <w:sz w:val="20"/>
                <w:szCs w:val="20"/>
              </w:rPr>
            </w:pPr>
            <w:r w:rsidRPr="00C14AF8">
              <w:rPr>
                <w:noProof/>
                <w:sz w:val="20"/>
                <w:szCs w:val="20"/>
              </w:rPr>
              <w:t xml:space="preserve"> </w:t>
            </w:r>
            <w:bookmarkStart w:id="1134" w:name="_Toc223980733"/>
            <w:r w:rsidRPr="00C14AF8">
              <w:rPr>
                <w:noProof/>
                <w:sz w:val="20"/>
                <w:szCs w:val="20"/>
              </w:rPr>
              <w:t>Austria</w:t>
            </w:r>
            <w:bookmarkEnd w:id="113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5FE8E8CF" w14:textId="29E76F3B" w:rsidR="00160A0D" w:rsidRPr="00160A0D" w:rsidRDefault="00160A0D" w:rsidP="00160A0D">
            <w:pPr>
              <w:jc w:val="right"/>
              <w:outlineLvl w:val="0"/>
              <w:rPr>
                <w:noProof/>
                <w:sz w:val="20"/>
                <w:szCs w:val="20"/>
              </w:rPr>
            </w:pPr>
            <w:bookmarkStart w:id="1135" w:name="_Toc223980734"/>
            <w:r w:rsidRPr="00160A0D">
              <w:rPr>
                <w:noProof/>
                <w:sz w:val="20"/>
                <w:szCs w:val="20"/>
              </w:rPr>
              <w:t>1,587.4</w:t>
            </w:r>
            <w:bookmarkEnd w:id="1135"/>
          </w:p>
        </w:tc>
        <w:tc>
          <w:tcPr>
            <w:tcW w:w="794" w:type="pct"/>
            <w:tcBorders>
              <w:top w:val="nil"/>
              <w:left w:val="nil"/>
              <w:bottom w:val="single" w:sz="4" w:space="0" w:color="auto"/>
              <w:right w:val="single" w:sz="4" w:space="0" w:color="auto"/>
            </w:tcBorders>
            <w:shd w:val="clear" w:color="000000" w:fill="FFFFFF"/>
            <w:noWrap/>
            <w:hideMark/>
          </w:tcPr>
          <w:p w14:paraId="05383295" w14:textId="2EA2FC7B" w:rsidR="00160A0D" w:rsidRPr="00160A0D" w:rsidRDefault="00160A0D" w:rsidP="00160A0D">
            <w:pPr>
              <w:jc w:val="right"/>
              <w:outlineLvl w:val="0"/>
              <w:rPr>
                <w:noProof/>
                <w:sz w:val="20"/>
                <w:szCs w:val="20"/>
              </w:rPr>
            </w:pPr>
            <w:bookmarkStart w:id="1136" w:name="_Toc223980735"/>
            <w:r w:rsidRPr="00160A0D">
              <w:rPr>
                <w:noProof/>
                <w:sz w:val="20"/>
                <w:szCs w:val="20"/>
              </w:rPr>
              <w:t>195.5</w:t>
            </w:r>
            <w:bookmarkEnd w:id="1136"/>
          </w:p>
        </w:tc>
        <w:tc>
          <w:tcPr>
            <w:tcW w:w="794" w:type="pct"/>
            <w:tcBorders>
              <w:top w:val="nil"/>
              <w:left w:val="nil"/>
              <w:bottom w:val="single" w:sz="4" w:space="0" w:color="auto"/>
              <w:right w:val="single" w:sz="4" w:space="0" w:color="auto"/>
            </w:tcBorders>
            <w:shd w:val="clear" w:color="000000" w:fill="FFFFFF"/>
            <w:noWrap/>
            <w:hideMark/>
          </w:tcPr>
          <w:p w14:paraId="57F92863" w14:textId="3DBCD08D" w:rsidR="00160A0D" w:rsidRPr="00160A0D" w:rsidRDefault="00160A0D" w:rsidP="00160A0D">
            <w:pPr>
              <w:jc w:val="right"/>
              <w:outlineLvl w:val="0"/>
              <w:rPr>
                <w:noProof/>
                <w:sz w:val="20"/>
                <w:szCs w:val="20"/>
              </w:rPr>
            </w:pPr>
            <w:bookmarkStart w:id="1137" w:name="_Toc223980736"/>
            <w:r w:rsidRPr="00160A0D">
              <w:rPr>
                <w:noProof/>
                <w:sz w:val="20"/>
                <w:szCs w:val="20"/>
              </w:rPr>
              <w:t>210.2</w:t>
            </w:r>
            <w:bookmarkEnd w:id="1137"/>
          </w:p>
        </w:tc>
        <w:tc>
          <w:tcPr>
            <w:tcW w:w="794" w:type="pct"/>
            <w:tcBorders>
              <w:top w:val="nil"/>
              <w:left w:val="nil"/>
              <w:bottom w:val="single" w:sz="4" w:space="0" w:color="auto"/>
              <w:right w:val="single" w:sz="4" w:space="0" w:color="auto"/>
            </w:tcBorders>
            <w:shd w:val="clear" w:color="000000" w:fill="FFFFFF"/>
            <w:noWrap/>
            <w:hideMark/>
          </w:tcPr>
          <w:p w14:paraId="0C8F48E4" w14:textId="0F999136" w:rsidR="00160A0D" w:rsidRPr="00160A0D" w:rsidRDefault="00160A0D" w:rsidP="00160A0D">
            <w:pPr>
              <w:jc w:val="right"/>
              <w:outlineLvl w:val="0"/>
              <w:rPr>
                <w:noProof/>
                <w:sz w:val="20"/>
                <w:szCs w:val="20"/>
              </w:rPr>
            </w:pPr>
            <w:bookmarkStart w:id="1138" w:name="_Toc223980737"/>
            <w:r w:rsidRPr="00160A0D">
              <w:rPr>
                <w:noProof/>
                <w:sz w:val="20"/>
                <w:szCs w:val="20"/>
              </w:rPr>
              <w:t>192.2</w:t>
            </w:r>
            <w:bookmarkEnd w:id="1138"/>
          </w:p>
        </w:tc>
      </w:tr>
      <w:tr w:rsidR="00160A0D" w:rsidRPr="00C14AF8" w14:paraId="597F2D24"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4DE2C2B0" w14:textId="77777777" w:rsidR="00160A0D" w:rsidRPr="00C14AF8" w:rsidRDefault="00160A0D" w:rsidP="00160A0D">
            <w:pPr>
              <w:outlineLvl w:val="0"/>
              <w:rPr>
                <w:noProof/>
                <w:sz w:val="20"/>
                <w:szCs w:val="20"/>
              </w:rPr>
            </w:pPr>
            <w:r w:rsidRPr="00C14AF8">
              <w:rPr>
                <w:noProof/>
                <w:sz w:val="20"/>
                <w:szCs w:val="20"/>
              </w:rPr>
              <w:t xml:space="preserve"> </w:t>
            </w:r>
            <w:bookmarkStart w:id="1139" w:name="_Toc223980738"/>
            <w:r w:rsidRPr="00C14AF8">
              <w:rPr>
                <w:noProof/>
                <w:sz w:val="20"/>
                <w:szCs w:val="20"/>
              </w:rPr>
              <w:t>Denmark</w:t>
            </w:r>
            <w:bookmarkEnd w:id="113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0F53B0EF" w14:textId="11646BE2" w:rsidR="00160A0D" w:rsidRPr="00160A0D" w:rsidRDefault="00160A0D" w:rsidP="00160A0D">
            <w:pPr>
              <w:jc w:val="right"/>
              <w:outlineLvl w:val="0"/>
              <w:rPr>
                <w:noProof/>
                <w:sz w:val="20"/>
                <w:szCs w:val="20"/>
              </w:rPr>
            </w:pPr>
            <w:bookmarkStart w:id="1140" w:name="_Toc223980739"/>
            <w:r w:rsidRPr="00160A0D">
              <w:rPr>
                <w:noProof/>
                <w:sz w:val="20"/>
                <w:szCs w:val="20"/>
              </w:rPr>
              <w:t>1,058.3</w:t>
            </w:r>
            <w:bookmarkEnd w:id="1140"/>
          </w:p>
        </w:tc>
        <w:tc>
          <w:tcPr>
            <w:tcW w:w="794" w:type="pct"/>
            <w:tcBorders>
              <w:top w:val="nil"/>
              <w:left w:val="nil"/>
              <w:bottom w:val="single" w:sz="4" w:space="0" w:color="auto"/>
              <w:right w:val="single" w:sz="4" w:space="0" w:color="auto"/>
            </w:tcBorders>
            <w:shd w:val="clear" w:color="000000" w:fill="FFFFFF"/>
            <w:noWrap/>
            <w:hideMark/>
          </w:tcPr>
          <w:p w14:paraId="18B76FE2" w14:textId="548B7778" w:rsidR="00160A0D" w:rsidRPr="00160A0D" w:rsidRDefault="00160A0D" w:rsidP="00160A0D">
            <w:pPr>
              <w:jc w:val="right"/>
              <w:outlineLvl w:val="0"/>
              <w:rPr>
                <w:noProof/>
                <w:sz w:val="20"/>
                <w:szCs w:val="20"/>
              </w:rPr>
            </w:pPr>
            <w:bookmarkStart w:id="1141" w:name="_Toc223980740"/>
            <w:r w:rsidRPr="00160A0D">
              <w:rPr>
                <w:noProof/>
                <w:sz w:val="20"/>
                <w:szCs w:val="20"/>
              </w:rPr>
              <w:t>130.3</w:t>
            </w:r>
            <w:bookmarkEnd w:id="1141"/>
          </w:p>
        </w:tc>
        <w:tc>
          <w:tcPr>
            <w:tcW w:w="794" w:type="pct"/>
            <w:tcBorders>
              <w:top w:val="nil"/>
              <w:left w:val="nil"/>
              <w:bottom w:val="single" w:sz="4" w:space="0" w:color="auto"/>
              <w:right w:val="single" w:sz="4" w:space="0" w:color="auto"/>
            </w:tcBorders>
            <w:shd w:val="clear" w:color="000000" w:fill="FFFFFF"/>
            <w:noWrap/>
            <w:hideMark/>
          </w:tcPr>
          <w:p w14:paraId="504BE746" w14:textId="0573238B" w:rsidR="00160A0D" w:rsidRPr="00160A0D" w:rsidRDefault="00160A0D" w:rsidP="00160A0D">
            <w:pPr>
              <w:jc w:val="right"/>
              <w:outlineLvl w:val="0"/>
              <w:rPr>
                <w:noProof/>
                <w:sz w:val="20"/>
                <w:szCs w:val="20"/>
              </w:rPr>
            </w:pPr>
            <w:bookmarkStart w:id="1142" w:name="_Toc223980741"/>
            <w:r w:rsidRPr="00160A0D">
              <w:rPr>
                <w:noProof/>
                <w:sz w:val="20"/>
                <w:szCs w:val="20"/>
              </w:rPr>
              <w:t>140.1</w:t>
            </w:r>
            <w:bookmarkEnd w:id="1142"/>
          </w:p>
        </w:tc>
        <w:tc>
          <w:tcPr>
            <w:tcW w:w="794" w:type="pct"/>
            <w:tcBorders>
              <w:top w:val="nil"/>
              <w:left w:val="nil"/>
              <w:bottom w:val="single" w:sz="4" w:space="0" w:color="auto"/>
              <w:right w:val="single" w:sz="4" w:space="0" w:color="auto"/>
            </w:tcBorders>
            <w:shd w:val="clear" w:color="000000" w:fill="FFFFFF"/>
            <w:noWrap/>
            <w:hideMark/>
          </w:tcPr>
          <w:p w14:paraId="0AF44EC9" w14:textId="2D274305" w:rsidR="00160A0D" w:rsidRPr="00160A0D" w:rsidRDefault="00160A0D" w:rsidP="00160A0D">
            <w:pPr>
              <w:jc w:val="right"/>
              <w:outlineLvl w:val="0"/>
              <w:rPr>
                <w:noProof/>
                <w:sz w:val="20"/>
                <w:szCs w:val="20"/>
              </w:rPr>
            </w:pPr>
            <w:bookmarkStart w:id="1143" w:name="_Toc223980742"/>
            <w:r w:rsidRPr="00160A0D">
              <w:rPr>
                <w:noProof/>
                <w:sz w:val="20"/>
                <w:szCs w:val="20"/>
              </w:rPr>
              <w:t>128.1</w:t>
            </w:r>
            <w:bookmarkEnd w:id="1143"/>
          </w:p>
        </w:tc>
      </w:tr>
      <w:tr w:rsidR="00160A0D" w:rsidRPr="00C14AF8" w14:paraId="4A73066D"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7EF399C9" w14:textId="77777777" w:rsidR="00160A0D" w:rsidRPr="00C14AF8" w:rsidRDefault="00160A0D" w:rsidP="00160A0D">
            <w:pPr>
              <w:outlineLvl w:val="0"/>
              <w:rPr>
                <w:noProof/>
                <w:sz w:val="20"/>
                <w:szCs w:val="20"/>
              </w:rPr>
            </w:pPr>
            <w:r w:rsidRPr="00C14AF8">
              <w:rPr>
                <w:noProof/>
                <w:sz w:val="20"/>
                <w:szCs w:val="20"/>
              </w:rPr>
              <w:t xml:space="preserve"> </w:t>
            </w:r>
            <w:bookmarkStart w:id="1144" w:name="_Toc223980743"/>
            <w:r w:rsidRPr="00C14AF8">
              <w:rPr>
                <w:noProof/>
                <w:sz w:val="20"/>
                <w:szCs w:val="20"/>
              </w:rPr>
              <w:t>Luxembourg</w:t>
            </w:r>
            <w:bookmarkEnd w:id="114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625FC0CF" w14:textId="5642E125" w:rsidR="00160A0D" w:rsidRPr="00160A0D" w:rsidRDefault="00160A0D" w:rsidP="00160A0D">
            <w:pPr>
              <w:jc w:val="right"/>
              <w:outlineLvl w:val="0"/>
              <w:rPr>
                <w:noProof/>
                <w:sz w:val="20"/>
                <w:szCs w:val="20"/>
              </w:rPr>
            </w:pPr>
            <w:bookmarkStart w:id="1145" w:name="_Toc223980744"/>
            <w:r w:rsidRPr="00160A0D">
              <w:rPr>
                <w:noProof/>
                <w:sz w:val="20"/>
                <w:szCs w:val="20"/>
              </w:rPr>
              <w:t>705.5</w:t>
            </w:r>
            <w:bookmarkEnd w:id="1145"/>
          </w:p>
        </w:tc>
        <w:tc>
          <w:tcPr>
            <w:tcW w:w="794" w:type="pct"/>
            <w:tcBorders>
              <w:top w:val="nil"/>
              <w:left w:val="nil"/>
              <w:bottom w:val="single" w:sz="4" w:space="0" w:color="auto"/>
              <w:right w:val="single" w:sz="4" w:space="0" w:color="auto"/>
            </w:tcBorders>
            <w:shd w:val="clear" w:color="000000" w:fill="FFFFFF"/>
            <w:noWrap/>
            <w:hideMark/>
          </w:tcPr>
          <w:p w14:paraId="0E74AABB" w14:textId="5EC42979" w:rsidR="00160A0D" w:rsidRPr="00160A0D" w:rsidRDefault="00160A0D" w:rsidP="00160A0D">
            <w:pPr>
              <w:jc w:val="right"/>
              <w:outlineLvl w:val="0"/>
              <w:rPr>
                <w:noProof/>
                <w:sz w:val="20"/>
                <w:szCs w:val="20"/>
              </w:rPr>
            </w:pPr>
            <w:bookmarkStart w:id="1146" w:name="_Toc223980745"/>
            <w:r w:rsidRPr="00160A0D">
              <w:rPr>
                <w:noProof/>
                <w:sz w:val="20"/>
                <w:szCs w:val="20"/>
              </w:rPr>
              <w:t>86.9</w:t>
            </w:r>
            <w:bookmarkEnd w:id="1146"/>
          </w:p>
        </w:tc>
        <w:tc>
          <w:tcPr>
            <w:tcW w:w="794" w:type="pct"/>
            <w:tcBorders>
              <w:top w:val="nil"/>
              <w:left w:val="nil"/>
              <w:bottom w:val="single" w:sz="4" w:space="0" w:color="auto"/>
              <w:right w:val="single" w:sz="4" w:space="0" w:color="auto"/>
            </w:tcBorders>
            <w:shd w:val="clear" w:color="000000" w:fill="FFFFFF"/>
            <w:noWrap/>
            <w:hideMark/>
          </w:tcPr>
          <w:p w14:paraId="2CC68022" w14:textId="2677E96A" w:rsidR="00160A0D" w:rsidRPr="00160A0D" w:rsidRDefault="00160A0D" w:rsidP="00160A0D">
            <w:pPr>
              <w:jc w:val="right"/>
              <w:outlineLvl w:val="0"/>
              <w:rPr>
                <w:noProof/>
                <w:sz w:val="20"/>
                <w:szCs w:val="20"/>
              </w:rPr>
            </w:pPr>
            <w:bookmarkStart w:id="1147" w:name="_Toc223980746"/>
            <w:r w:rsidRPr="00160A0D">
              <w:rPr>
                <w:noProof/>
                <w:sz w:val="20"/>
                <w:szCs w:val="20"/>
              </w:rPr>
              <w:t>93.4</w:t>
            </w:r>
            <w:bookmarkEnd w:id="1147"/>
          </w:p>
        </w:tc>
        <w:tc>
          <w:tcPr>
            <w:tcW w:w="794" w:type="pct"/>
            <w:tcBorders>
              <w:top w:val="nil"/>
              <w:left w:val="nil"/>
              <w:bottom w:val="single" w:sz="4" w:space="0" w:color="auto"/>
              <w:right w:val="single" w:sz="4" w:space="0" w:color="auto"/>
            </w:tcBorders>
            <w:shd w:val="clear" w:color="000000" w:fill="FFFFFF"/>
            <w:noWrap/>
            <w:hideMark/>
          </w:tcPr>
          <w:p w14:paraId="562E54AB" w14:textId="614254E8" w:rsidR="00160A0D" w:rsidRPr="00160A0D" w:rsidRDefault="00160A0D" w:rsidP="00160A0D">
            <w:pPr>
              <w:jc w:val="right"/>
              <w:outlineLvl w:val="0"/>
              <w:rPr>
                <w:noProof/>
                <w:sz w:val="20"/>
                <w:szCs w:val="20"/>
              </w:rPr>
            </w:pPr>
            <w:bookmarkStart w:id="1148" w:name="_Toc223980747"/>
            <w:r w:rsidRPr="00160A0D">
              <w:rPr>
                <w:noProof/>
                <w:sz w:val="20"/>
                <w:szCs w:val="20"/>
              </w:rPr>
              <w:t>85.4</w:t>
            </w:r>
            <w:bookmarkEnd w:id="1148"/>
          </w:p>
        </w:tc>
      </w:tr>
      <w:tr w:rsidR="00160A0D" w:rsidRPr="00C14AF8" w14:paraId="2C5C86B9"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9CA696D" w14:textId="77777777" w:rsidR="00160A0D" w:rsidRPr="00C14AF8" w:rsidRDefault="00160A0D" w:rsidP="00160A0D">
            <w:pPr>
              <w:outlineLvl w:val="0"/>
              <w:rPr>
                <w:noProof/>
                <w:sz w:val="20"/>
                <w:szCs w:val="20"/>
              </w:rPr>
            </w:pPr>
            <w:r w:rsidRPr="00C14AF8">
              <w:rPr>
                <w:noProof/>
                <w:sz w:val="20"/>
                <w:szCs w:val="20"/>
              </w:rPr>
              <w:t xml:space="preserve"> </w:t>
            </w:r>
            <w:bookmarkStart w:id="1149" w:name="_Toc223980748"/>
            <w:r w:rsidRPr="00C14AF8">
              <w:rPr>
                <w:noProof/>
                <w:sz w:val="20"/>
                <w:szCs w:val="20"/>
              </w:rPr>
              <w:t>Finland</w:t>
            </w:r>
            <w:bookmarkEnd w:id="114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253B4EAB" w14:textId="48C03A79" w:rsidR="00160A0D" w:rsidRPr="00160A0D" w:rsidRDefault="00160A0D" w:rsidP="00160A0D">
            <w:pPr>
              <w:jc w:val="right"/>
              <w:outlineLvl w:val="0"/>
              <w:rPr>
                <w:noProof/>
                <w:sz w:val="20"/>
                <w:szCs w:val="20"/>
              </w:rPr>
            </w:pPr>
            <w:bookmarkStart w:id="1150" w:name="_Toc223980749"/>
            <w:r w:rsidRPr="00160A0D">
              <w:rPr>
                <w:noProof/>
                <w:sz w:val="20"/>
                <w:szCs w:val="20"/>
              </w:rPr>
              <w:t>881.9</w:t>
            </w:r>
            <w:bookmarkEnd w:id="1150"/>
          </w:p>
        </w:tc>
        <w:tc>
          <w:tcPr>
            <w:tcW w:w="794" w:type="pct"/>
            <w:tcBorders>
              <w:top w:val="nil"/>
              <w:left w:val="nil"/>
              <w:bottom w:val="single" w:sz="4" w:space="0" w:color="auto"/>
              <w:right w:val="single" w:sz="4" w:space="0" w:color="auto"/>
            </w:tcBorders>
            <w:shd w:val="clear" w:color="000000" w:fill="FFFFFF"/>
            <w:noWrap/>
            <w:hideMark/>
          </w:tcPr>
          <w:p w14:paraId="6F45C851" w14:textId="119006E8" w:rsidR="00160A0D" w:rsidRPr="00160A0D" w:rsidRDefault="00160A0D" w:rsidP="00160A0D">
            <w:pPr>
              <w:jc w:val="right"/>
              <w:outlineLvl w:val="0"/>
              <w:rPr>
                <w:noProof/>
                <w:sz w:val="20"/>
                <w:szCs w:val="20"/>
              </w:rPr>
            </w:pPr>
            <w:bookmarkStart w:id="1151" w:name="_Toc223980750"/>
            <w:r w:rsidRPr="00160A0D">
              <w:rPr>
                <w:noProof/>
                <w:sz w:val="20"/>
                <w:szCs w:val="20"/>
              </w:rPr>
              <w:t>108.6</w:t>
            </w:r>
            <w:bookmarkEnd w:id="1151"/>
          </w:p>
        </w:tc>
        <w:tc>
          <w:tcPr>
            <w:tcW w:w="794" w:type="pct"/>
            <w:tcBorders>
              <w:top w:val="nil"/>
              <w:left w:val="nil"/>
              <w:bottom w:val="single" w:sz="4" w:space="0" w:color="auto"/>
              <w:right w:val="single" w:sz="4" w:space="0" w:color="auto"/>
            </w:tcBorders>
            <w:shd w:val="clear" w:color="000000" w:fill="FFFFFF"/>
            <w:noWrap/>
            <w:hideMark/>
          </w:tcPr>
          <w:p w14:paraId="6322AF3A" w14:textId="5D65A8AD" w:rsidR="00160A0D" w:rsidRPr="00160A0D" w:rsidRDefault="00160A0D" w:rsidP="00160A0D">
            <w:pPr>
              <w:jc w:val="right"/>
              <w:outlineLvl w:val="0"/>
              <w:rPr>
                <w:noProof/>
                <w:sz w:val="20"/>
                <w:szCs w:val="20"/>
              </w:rPr>
            </w:pPr>
            <w:bookmarkStart w:id="1152" w:name="_Toc223980751"/>
            <w:r w:rsidRPr="00160A0D">
              <w:rPr>
                <w:noProof/>
                <w:sz w:val="20"/>
                <w:szCs w:val="20"/>
              </w:rPr>
              <w:t>116.8</w:t>
            </w:r>
            <w:bookmarkEnd w:id="1152"/>
          </w:p>
        </w:tc>
        <w:tc>
          <w:tcPr>
            <w:tcW w:w="794" w:type="pct"/>
            <w:tcBorders>
              <w:top w:val="nil"/>
              <w:left w:val="nil"/>
              <w:bottom w:val="single" w:sz="4" w:space="0" w:color="auto"/>
              <w:right w:val="single" w:sz="4" w:space="0" w:color="auto"/>
            </w:tcBorders>
            <w:shd w:val="clear" w:color="000000" w:fill="FFFFFF"/>
            <w:noWrap/>
            <w:hideMark/>
          </w:tcPr>
          <w:p w14:paraId="44A9422D" w14:textId="2004F01B" w:rsidR="00160A0D" w:rsidRPr="00160A0D" w:rsidRDefault="00160A0D" w:rsidP="00160A0D">
            <w:pPr>
              <w:jc w:val="right"/>
              <w:outlineLvl w:val="0"/>
              <w:rPr>
                <w:noProof/>
                <w:sz w:val="20"/>
                <w:szCs w:val="20"/>
              </w:rPr>
            </w:pPr>
            <w:bookmarkStart w:id="1153" w:name="_Toc223980752"/>
            <w:r w:rsidRPr="00160A0D">
              <w:rPr>
                <w:noProof/>
                <w:sz w:val="20"/>
                <w:szCs w:val="20"/>
              </w:rPr>
              <w:t>106.8</w:t>
            </w:r>
            <w:bookmarkEnd w:id="1153"/>
          </w:p>
        </w:tc>
      </w:tr>
      <w:tr w:rsidR="00160A0D" w:rsidRPr="00C14AF8" w14:paraId="5B2D7760"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74A940E5" w14:textId="77777777" w:rsidR="00160A0D" w:rsidRPr="00C14AF8" w:rsidRDefault="00160A0D" w:rsidP="00160A0D">
            <w:pPr>
              <w:outlineLvl w:val="0"/>
              <w:rPr>
                <w:noProof/>
                <w:sz w:val="20"/>
                <w:szCs w:val="20"/>
              </w:rPr>
            </w:pPr>
            <w:r w:rsidRPr="00C14AF8">
              <w:rPr>
                <w:noProof/>
                <w:sz w:val="20"/>
                <w:szCs w:val="20"/>
              </w:rPr>
              <w:t xml:space="preserve"> </w:t>
            </w:r>
            <w:bookmarkStart w:id="1154" w:name="_Toc223980753"/>
            <w:r w:rsidRPr="00C14AF8">
              <w:rPr>
                <w:noProof/>
                <w:sz w:val="20"/>
                <w:szCs w:val="20"/>
              </w:rPr>
              <w:t>Spain</w:t>
            </w:r>
            <w:bookmarkEnd w:id="115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1C2B7B4B" w14:textId="787C0DED" w:rsidR="00160A0D" w:rsidRPr="00160A0D" w:rsidRDefault="00160A0D" w:rsidP="00160A0D">
            <w:pPr>
              <w:jc w:val="right"/>
              <w:outlineLvl w:val="0"/>
              <w:rPr>
                <w:noProof/>
                <w:sz w:val="20"/>
                <w:szCs w:val="20"/>
              </w:rPr>
            </w:pPr>
            <w:bookmarkStart w:id="1155" w:name="_Toc223980754"/>
            <w:r w:rsidRPr="00160A0D">
              <w:rPr>
                <w:noProof/>
                <w:sz w:val="20"/>
                <w:szCs w:val="20"/>
              </w:rPr>
              <w:t>705.5</w:t>
            </w:r>
            <w:bookmarkEnd w:id="1155"/>
          </w:p>
        </w:tc>
        <w:tc>
          <w:tcPr>
            <w:tcW w:w="794" w:type="pct"/>
            <w:tcBorders>
              <w:top w:val="nil"/>
              <w:left w:val="nil"/>
              <w:bottom w:val="single" w:sz="4" w:space="0" w:color="auto"/>
              <w:right w:val="single" w:sz="4" w:space="0" w:color="auto"/>
            </w:tcBorders>
            <w:shd w:val="clear" w:color="000000" w:fill="FFFFFF"/>
            <w:noWrap/>
            <w:hideMark/>
          </w:tcPr>
          <w:p w14:paraId="4B25A784" w14:textId="4A2F404C" w:rsidR="00160A0D" w:rsidRPr="00160A0D" w:rsidRDefault="00160A0D" w:rsidP="00160A0D">
            <w:pPr>
              <w:jc w:val="right"/>
              <w:outlineLvl w:val="0"/>
              <w:rPr>
                <w:noProof/>
                <w:sz w:val="20"/>
                <w:szCs w:val="20"/>
              </w:rPr>
            </w:pPr>
            <w:bookmarkStart w:id="1156" w:name="_Toc223980755"/>
            <w:r w:rsidRPr="00160A0D">
              <w:rPr>
                <w:noProof/>
                <w:sz w:val="20"/>
                <w:szCs w:val="20"/>
              </w:rPr>
              <w:t>86.9</w:t>
            </w:r>
            <w:bookmarkEnd w:id="1156"/>
          </w:p>
        </w:tc>
        <w:tc>
          <w:tcPr>
            <w:tcW w:w="794" w:type="pct"/>
            <w:tcBorders>
              <w:top w:val="nil"/>
              <w:left w:val="nil"/>
              <w:bottom w:val="single" w:sz="4" w:space="0" w:color="auto"/>
              <w:right w:val="single" w:sz="4" w:space="0" w:color="auto"/>
            </w:tcBorders>
            <w:shd w:val="clear" w:color="000000" w:fill="FFFFFF"/>
            <w:noWrap/>
            <w:hideMark/>
          </w:tcPr>
          <w:p w14:paraId="7E98406D" w14:textId="11C27F8D" w:rsidR="00160A0D" w:rsidRPr="00160A0D" w:rsidRDefault="00160A0D" w:rsidP="00160A0D">
            <w:pPr>
              <w:jc w:val="right"/>
              <w:outlineLvl w:val="0"/>
              <w:rPr>
                <w:noProof/>
                <w:sz w:val="20"/>
                <w:szCs w:val="20"/>
              </w:rPr>
            </w:pPr>
            <w:bookmarkStart w:id="1157" w:name="_Toc223980756"/>
            <w:r w:rsidRPr="00160A0D">
              <w:rPr>
                <w:noProof/>
                <w:sz w:val="20"/>
                <w:szCs w:val="20"/>
              </w:rPr>
              <w:t>93.4</w:t>
            </w:r>
            <w:bookmarkEnd w:id="1157"/>
          </w:p>
        </w:tc>
        <w:tc>
          <w:tcPr>
            <w:tcW w:w="794" w:type="pct"/>
            <w:tcBorders>
              <w:top w:val="nil"/>
              <w:left w:val="nil"/>
              <w:bottom w:val="single" w:sz="4" w:space="0" w:color="auto"/>
              <w:right w:val="single" w:sz="4" w:space="0" w:color="auto"/>
            </w:tcBorders>
            <w:shd w:val="clear" w:color="000000" w:fill="FFFFFF"/>
            <w:noWrap/>
            <w:hideMark/>
          </w:tcPr>
          <w:p w14:paraId="31EC8EC2" w14:textId="6DA3F2D3" w:rsidR="00160A0D" w:rsidRPr="00160A0D" w:rsidRDefault="00160A0D" w:rsidP="00160A0D">
            <w:pPr>
              <w:jc w:val="right"/>
              <w:outlineLvl w:val="0"/>
              <w:rPr>
                <w:noProof/>
                <w:sz w:val="20"/>
                <w:szCs w:val="20"/>
              </w:rPr>
            </w:pPr>
            <w:bookmarkStart w:id="1158" w:name="_Toc223980757"/>
            <w:r w:rsidRPr="00160A0D">
              <w:rPr>
                <w:noProof/>
                <w:sz w:val="20"/>
                <w:szCs w:val="20"/>
              </w:rPr>
              <w:t>85.4</w:t>
            </w:r>
            <w:bookmarkEnd w:id="1158"/>
          </w:p>
        </w:tc>
      </w:tr>
      <w:tr w:rsidR="00160A0D" w:rsidRPr="00C14AF8" w14:paraId="0CFB9593"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7A4981FA" w14:textId="77777777" w:rsidR="00160A0D" w:rsidRPr="00C14AF8" w:rsidRDefault="00160A0D" w:rsidP="00160A0D">
            <w:pPr>
              <w:outlineLvl w:val="0"/>
              <w:rPr>
                <w:noProof/>
                <w:sz w:val="20"/>
                <w:szCs w:val="20"/>
              </w:rPr>
            </w:pPr>
            <w:r w:rsidRPr="00C14AF8">
              <w:rPr>
                <w:noProof/>
                <w:sz w:val="20"/>
                <w:szCs w:val="20"/>
              </w:rPr>
              <w:t xml:space="preserve"> </w:t>
            </w:r>
            <w:bookmarkStart w:id="1159" w:name="_Toc223980758"/>
            <w:r w:rsidRPr="00C14AF8">
              <w:rPr>
                <w:noProof/>
                <w:sz w:val="20"/>
                <w:szCs w:val="20"/>
              </w:rPr>
              <w:t>Netherlands</w:t>
            </w:r>
            <w:bookmarkEnd w:id="115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710C476F" w14:textId="45A7881B" w:rsidR="00160A0D" w:rsidRPr="00160A0D" w:rsidRDefault="00160A0D" w:rsidP="00160A0D">
            <w:pPr>
              <w:jc w:val="right"/>
              <w:outlineLvl w:val="0"/>
              <w:rPr>
                <w:noProof/>
                <w:sz w:val="20"/>
                <w:szCs w:val="20"/>
              </w:rPr>
            </w:pPr>
            <w:bookmarkStart w:id="1160" w:name="_Toc223980759"/>
            <w:r w:rsidRPr="00160A0D">
              <w:rPr>
                <w:noProof/>
                <w:sz w:val="20"/>
                <w:szCs w:val="20"/>
              </w:rPr>
              <w:t>1,763.8</w:t>
            </w:r>
            <w:bookmarkEnd w:id="1160"/>
          </w:p>
        </w:tc>
        <w:tc>
          <w:tcPr>
            <w:tcW w:w="794" w:type="pct"/>
            <w:tcBorders>
              <w:top w:val="nil"/>
              <w:left w:val="nil"/>
              <w:bottom w:val="single" w:sz="4" w:space="0" w:color="auto"/>
              <w:right w:val="single" w:sz="4" w:space="0" w:color="auto"/>
            </w:tcBorders>
            <w:shd w:val="clear" w:color="000000" w:fill="FFFFFF"/>
            <w:noWrap/>
            <w:hideMark/>
          </w:tcPr>
          <w:p w14:paraId="7F1D51A6" w14:textId="471D4C99" w:rsidR="00160A0D" w:rsidRPr="00160A0D" w:rsidRDefault="00160A0D" w:rsidP="00160A0D">
            <w:pPr>
              <w:jc w:val="right"/>
              <w:outlineLvl w:val="0"/>
              <w:rPr>
                <w:noProof/>
                <w:sz w:val="20"/>
                <w:szCs w:val="20"/>
              </w:rPr>
            </w:pPr>
            <w:bookmarkStart w:id="1161" w:name="_Toc223980760"/>
            <w:r w:rsidRPr="00160A0D">
              <w:rPr>
                <w:noProof/>
                <w:sz w:val="20"/>
                <w:szCs w:val="20"/>
              </w:rPr>
              <w:t>217.2</w:t>
            </w:r>
            <w:bookmarkEnd w:id="1161"/>
          </w:p>
        </w:tc>
        <w:tc>
          <w:tcPr>
            <w:tcW w:w="794" w:type="pct"/>
            <w:tcBorders>
              <w:top w:val="nil"/>
              <w:left w:val="nil"/>
              <w:bottom w:val="single" w:sz="4" w:space="0" w:color="auto"/>
              <w:right w:val="single" w:sz="4" w:space="0" w:color="auto"/>
            </w:tcBorders>
            <w:shd w:val="clear" w:color="000000" w:fill="FFFFFF"/>
            <w:noWrap/>
            <w:hideMark/>
          </w:tcPr>
          <w:p w14:paraId="22D255E7" w14:textId="4A106CC9" w:rsidR="00160A0D" w:rsidRPr="00160A0D" w:rsidRDefault="00160A0D" w:rsidP="00160A0D">
            <w:pPr>
              <w:jc w:val="right"/>
              <w:outlineLvl w:val="0"/>
              <w:rPr>
                <w:noProof/>
                <w:sz w:val="20"/>
                <w:szCs w:val="20"/>
              </w:rPr>
            </w:pPr>
            <w:bookmarkStart w:id="1162" w:name="_Toc223980761"/>
            <w:r w:rsidRPr="00160A0D">
              <w:rPr>
                <w:noProof/>
                <w:sz w:val="20"/>
                <w:szCs w:val="20"/>
              </w:rPr>
              <w:t>233.6</w:t>
            </w:r>
            <w:bookmarkEnd w:id="1162"/>
          </w:p>
        </w:tc>
        <w:tc>
          <w:tcPr>
            <w:tcW w:w="794" w:type="pct"/>
            <w:tcBorders>
              <w:top w:val="nil"/>
              <w:left w:val="nil"/>
              <w:bottom w:val="single" w:sz="4" w:space="0" w:color="auto"/>
              <w:right w:val="single" w:sz="4" w:space="0" w:color="auto"/>
            </w:tcBorders>
            <w:shd w:val="clear" w:color="000000" w:fill="FFFFFF"/>
            <w:noWrap/>
            <w:hideMark/>
          </w:tcPr>
          <w:p w14:paraId="7A36377C" w14:textId="732A47BD" w:rsidR="00160A0D" w:rsidRPr="00160A0D" w:rsidRDefault="00160A0D" w:rsidP="00160A0D">
            <w:pPr>
              <w:jc w:val="right"/>
              <w:outlineLvl w:val="0"/>
              <w:rPr>
                <w:noProof/>
                <w:sz w:val="20"/>
                <w:szCs w:val="20"/>
              </w:rPr>
            </w:pPr>
            <w:bookmarkStart w:id="1163" w:name="_Toc223980762"/>
            <w:r w:rsidRPr="00160A0D">
              <w:rPr>
                <w:noProof/>
                <w:sz w:val="20"/>
                <w:szCs w:val="20"/>
              </w:rPr>
              <w:t>213.5</w:t>
            </w:r>
            <w:bookmarkEnd w:id="1163"/>
          </w:p>
        </w:tc>
      </w:tr>
      <w:tr w:rsidR="00160A0D" w:rsidRPr="00C14AF8" w14:paraId="7A65EF59"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2AA5CFE4" w14:textId="77777777" w:rsidR="00160A0D" w:rsidRPr="00C14AF8" w:rsidRDefault="00160A0D" w:rsidP="00160A0D">
            <w:pPr>
              <w:outlineLvl w:val="0"/>
              <w:rPr>
                <w:noProof/>
                <w:sz w:val="20"/>
                <w:szCs w:val="20"/>
              </w:rPr>
            </w:pPr>
            <w:r w:rsidRPr="00C14AF8">
              <w:rPr>
                <w:noProof/>
                <w:sz w:val="20"/>
                <w:szCs w:val="20"/>
              </w:rPr>
              <w:t xml:space="preserve"> </w:t>
            </w:r>
            <w:bookmarkStart w:id="1164" w:name="_Toc223980763"/>
            <w:r w:rsidRPr="00C14AF8">
              <w:rPr>
                <w:noProof/>
                <w:sz w:val="20"/>
                <w:szCs w:val="20"/>
              </w:rPr>
              <w:t>France</w:t>
            </w:r>
            <w:bookmarkEnd w:id="116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36252D1A" w14:textId="380F0D01" w:rsidR="00160A0D" w:rsidRPr="00160A0D" w:rsidRDefault="00160A0D" w:rsidP="00160A0D">
            <w:pPr>
              <w:jc w:val="right"/>
              <w:outlineLvl w:val="0"/>
              <w:rPr>
                <w:noProof/>
                <w:sz w:val="20"/>
                <w:szCs w:val="20"/>
              </w:rPr>
            </w:pPr>
            <w:bookmarkStart w:id="1165" w:name="_Toc223980764"/>
            <w:r w:rsidRPr="00160A0D">
              <w:rPr>
                <w:noProof/>
                <w:sz w:val="20"/>
                <w:szCs w:val="20"/>
              </w:rPr>
              <w:t>2,292.9</w:t>
            </w:r>
            <w:bookmarkEnd w:id="1165"/>
          </w:p>
        </w:tc>
        <w:tc>
          <w:tcPr>
            <w:tcW w:w="794" w:type="pct"/>
            <w:tcBorders>
              <w:top w:val="nil"/>
              <w:left w:val="nil"/>
              <w:bottom w:val="single" w:sz="4" w:space="0" w:color="auto"/>
              <w:right w:val="single" w:sz="4" w:space="0" w:color="auto"/>
            </w:tcBorders>
            <w:shd w:val="clear" w:color="000000" w:fill="FFFFFF"/>
            <w:noWrap/>
            <w:hideMark/>
          </w:tcPr>
          <w:p w14:paraId="4B401F07" w14:textId="3472B635" w:rsidR="00160A0D" w:rsidRPr="00160A0D" w:rsidRDefault="00160A0D" w:rsidP="00160A0D">
            <w:pPr>
              <w:jc w:val="right"/>
              <w:outlineLvl w:val="0"/>
              <w:rPr>
                <w:noProof/>
                <w:sz w:val="20"/>
                <w:szCs w:val="20"/>
              </w:rPr>
            </w:pPr>
            <w:bookmarkStart w:id="1166" w:name="_Toc223980765"/>
            <w:r w:rsidRPr="00160A0D">
              <w:rPr>
                <w:noProof/>
                <w:sz w:val="20"/>
                <w:szCs w:val="20"/>
              </w:rPr>
              <w:t>282.4</w:t>
            </w:r>
            <w:bookmarkEnd w:id="1166"/>
          </w:p>
        </w:tc>
        <w:tc>
          <w:tcPr>
            <w:tcW w:w="794" w:type="pct"/>
            <w:tcBorders>
              <w:top w:val="nil"/>
              <w:left w:val="nil"/>
              <w:bottom w:val="single" w:sz="4" w:space="0" w:color="auto"/>
              <w:right w:val="single" w:sz="4" w:space="0" w:color="auto"/>
            </w:tcBorders>
            <w:shd w:val="clear" w:color="000000" w:fill="FFFFFF"/>
            <w:noWrap/>
            <w:hideMark/>
          </w:tcPr>
          <w:p w14:paraId="75F32E8D" w14:textId="2FC4D6BD" w:rsidR="00160A0D" w:rsidRPr="00160A0D" w:rsidRDefault="00160A0D" w:rsidP="00160A0D">
            <w:pPr>
              <w:jc w:val="right"/>
              <w:outlineLvl w:val="0"/>
              <w:rPr>
                <w:noProof/>
                <w:sz w:val="20"/>
                <w:szCs w:val="20"/>
              </w:rPr>
            </w:pPr>
            <w:bookmarkStart w:id="1167" w:name="_Toc223980766"/>
            <w:r w:rsidRPr="00160A0D">
              <w:rPr>
                <w:noProof/>
                <w:sz w:val="20"/>
                <w:szCs w:val="20"/>
              </w:rPr>
              <w:t>303.6</w:t>
            </w:r>
            <w:bookmarkEnd w:id="1167"/>
          </w:p>
        </w:tc>
        <w:tc>
          <w:tcPr>
            <w:tcW w:w="794" w:type="pct"/>
            <w:tcBorders>
              <w:top w:val="nil"/>
              <w:left w:val="nil"/>
              <w:bottom w:val="single" w:sz="4" w:space="0" w:color="auto"/>
              <w:right w:val="single" w:sz="4" w:space="0" w:color="auto"/>
            </w:tcBorders>
            <w:shd w:val="clear" w:color="000000" w:fill="FFFFFF"/>
            <w:noWrap/>
            <w:hideMark/>
          </w:tcPr>
          <w:p w14:paraId="0D4DBD5A" w14:textId="2D6ECF14" w:rsidR="00160A0D" w:rsidRPr="00160A0D" w:rsidRDefault="00160A0D" w:rsidP="00160A0D">
            <w:pPr>
              <w:jc w:val="right"/>
              <w:outlineLvl w:val="0"/>
              <w:rPr>
                <w:noProof/>
                <w:sz w:val="20"/>
                <w:szCs w:val="20"/>
              </w:rPr>
            </w:pPr>
            <w:bookmarkStart w:id="1168" w:name="_Toc223980767"/>
            <w:r w:rsidRPr="00160A0D">
              <w:rPr>
                <w:noProof/>
                <w:sz w:val="20"/>
                <w:szCs w:val="20"/>
              </w:rPr>
              <w:t>277.6</w:t>
            </w:r>
            <w:bookmarkEnd w:id="1168"/>
          </w:p>
        </w:tc>
      </w:tr>
      <w:tr w:rsidR="00160A0D" w:rsidRPr="00C14AF8" w14:paraId="2154DA00"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39C1860" w14:textId="77777777" w:rsidR="00160A0D" w:rsidRPr="00C14AF8" w:rsidRDefault="00160A0D" w:rsidP="00160A0D">
            <w:pPr>
              <w:outlineLvl w:val="0"/>
              <w:rPr>
                <w:noProof/>
                <w:sz w:val="20"/>
                <w:szCs w:val="20"/>
              </w:rPr>
            </w:pPr>
            <w:r w:rsidRPr="00C14AF8">
              <w:rPr>
                <w:noProof/>
                <w:sz w:val="20"/>
                <w:szCs w:val="20"/>
              </w:rPr>
              <w:t xml:space="preserve"> </w:t>
            </w:r>
            <w:bookmarkStart w:id="1169" w:name="_Toc223980768"/>
            <w:r w:rsidRPr="00C14AF8">
              <w:rPr>
                <w:noProof/>
                <w:sz w:val="20"/>
                <w:szCs w:val="20"/>
              </w:rPr>
              <w:t>Poland</w:t>
            </w:r>
            <w:bookmarkEnd w:id="116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065FFC36" w14:textId="0F0AF182" w:rsidR="00160A0D" w:rsidRPr="00160A0D" w:rsidRDefault="00160A0D" w:rsidP="00160A0D">
            <w:pPr>
              <w:jc w:val="right"/>
              <w:outlineLvl w:val="0"/>
              <w:rPr>
                <w:noProof/>
                <w:sz w:val="20"/>
                <w:szCs w:val="20"/>
              </w:rPr>
            </w:pPr>
            <w:bookmarkStart w:id="1170" w:name="_Toc223980769"/>
            <w:r w:rsidRPr="00160A0D">
              <w:rPr>
                <w:noProof/>
                <w:sz w:val="20"/>
                <w:szCs w:val="20"/>
              </w:rPr>
              <w:t>1,234.7</w:t>
            </w:r>
            <w:bookmarkEnd w:id="1170"/>
          </w:p>
        </w:tc>
        <w:tc>
          <w:tcPr>
            <w:tcW w:w="794" w:type="pct"/>
            <w:tcBorders>
              <w:top w:val="nil"/>
              <w:left w:val="nil"/>
              <w:bottom w:val="single" w:sz="4" w:space="0" w:color="auto"/>
              <w:right w:val="single" w:sz="4" w:space="0" w:color="auto"/>
            </w:tcBorders>
            <w:shd w:val="clear" w:color="000000" w:fill="FFFFFF"/>
            <w:noWrap/>
            <w:hideMark/>
          </w:tcPr>
          <w:p w14:paraId="2B5B5539" w14:textId="31DFC764" w:rsidR="00160A0D" w:rsidRPr="00160A0D" w:rsidRDefault="00160A0D" w:rsidP="00160A0D">
            <w:pPr>
              <w:jc w:val="right"/>
              <w:outlineLvl w:val="0"/>
              <w:rPr>
                <w:noProof/>
                <w:sz w:val="20"/>
                <w:szCs w:val="20"/>
              </w:rPr>
            </w:pPr>
            <w:bookmarkStart w:id="1171" w:name="_Toc223980770"/>
            <w:r w:rsidRPr="00160A0D">
              <w:rPr>
                <w:noProof/>
                <w:sz w:val="20"/>
                <w:szCs w:val="20"/>
              </w:rPr>
              <w:t>152.1</w:t>
            </w:r>
            <w:bookmarkEnd w:id="1171"/>
          </w:p>
        </w:tc>
        <w:tc>
          <w:tcPr>
            <w:tcW w:w="794" w:type="pct"/>
            <w:tcBorders>
              <w:top w:val="nil"/>
              <w:left w:val="nil"/>
              <w:bottom w:val="single" w:sz="4" w:space="0" w:color="auto"/>
              <w:right w:val="single" w:sz="4" w:space="0" w:color="auto"/>
            </w:tcBorders>
            <w:shd w:val="clear" w:color="000000" w:fill="FFFFFF"/>
            <w:noWrap/>
            <w:hideMark/>
          </w:tcPr>
          <w:p w14:paraId="69E1289F" w14:textId="70F125E3" w:rsidR="00160A0D" w:rsidRPr="00160A0D" w:rsidRDefault="00160A0D" w:rsidP="00160A0D">
            <w:pPr>
              <w:jc w:val="right"/>
              <w:outlineLvl w:val="0"/>
              <w:rPr>
                <w:noProof/>
                <w:sz w:val="20"/>
                <w:szCs w:val="20"/>
              </w:rPr>
            </w:pPr>
            <w:bookmarkStart w:id="1172" w:name="_Toc223980771"/>
            <w:r w:rsidRPr="00160A0D">
              <w:rPr>
                <w:noProof/>
                <w:sz w:val="20"/>
                <w:szCs w:val="20"/>
              </w:rPr>
              <w:t>163.5</w:t>
            </w:r>
            <w:bookmarkEnd w:id="1172"/>
          </w:p>
        </w:tc>
        <w:tc>
          <w:tcPr>
            <w:tcW w:w="794" w:type="pct"/>
            <w:tcBorders>
              <w:top w:val="nil"/>
              <w:left w:val="nil"/>
              <w:bottom w:val="single" w:sz="4" w:space="0" w:color="auto"/>
              <w:right w:val="single" w:sz="4" w:space="0" w:color="auto"/>
            </w:tcBorders>
            <w:shd w:val="clear" w:color="000000" w:fill="FFFFFF"/>
            <w:noWrap/>
            <w:hideMark/>
          </w:tcPr>
          <w:p w14:paraId="7DE04F73" w14:textId="6E475825" w:rsidR="00160A0D" w:rsidRPr="00160A0D" w:rsidRDefault="00160A0D" w:rsidP="00160A0D">
            <w:pPr>
              <w:jc w:val="right"/>
              <w:outlineLvl w:val="0"/>
              <w:rPr>
                <w:noProof/>
                <w:sz w:val="20"/>
                <w:szCs w:val="20"/>
              </w:rPr>
            </w:pPr>
            <w:bookmarkStart w:id="1173" w:name="_Toc223980772"/>
            <w:r w:rsidRPr="00160A0D">
              <w:rPr>
                <w:noProof/>
                <w:sz w:val="20"/>
                <w:szCs w:val="20"/>
              </w:rPr>
              <w:t>149.5</w:t>
            </w:r>
            <w:bookmarkEnd w:id="1173"/>
          </w:p>
        </w:tc>
      </w:tr>
      <w:tr w:rsidR="00160A0D" w:rsidRPr="00C14AF8" w14:paraId="4565666A"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4F3C0924" w14:textId="77777777" w:rsidR="00160A0D" w:rsidRPr="00C14AF8" w:rsidRDefault="00160A0D" w:rsidP="00160A0D">
            <w:pPr>
              <w:outlineLvl w:val="0"/>
              <w:rPr>
                <w:noProof/>
                <w:sz w:val="20"/>
                <w:szCs w:val="20"/>
              </w:rPr>
            </w:pPr>
            <w:r w:rsidRPr="00C14AF8">
              <w:rPr>
                <w:noProof/>
                <w:sz w:val="20"/>
                <w:szCs w:val="20"/>
              </w:rPr>
              <w:t xml:space="preserve"> </w:t>
            </w:r>
            <w:bookmarkStart w:id="1174" w:name="_Toc223980773"/>
            <w:r w:rsidRPr="00C14AF8">
              <w:rPr>
                <w:noProof/>
                <w:sz w:val="20"/>
                <w:szCs w:val="20"/>
              </w:rPr>
              <w:t>Italy</w:t>
            </w:r>
            <w:bookmarkEnd w:id="117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4D378D6F" w14:textId="420D65D3" w:rsidR="00160A0D" w:rsidRPr="00160A0D" w:rsidRDefault="00160A0D" w:rsidP="00160A0D">
            <w:pPr>
              <w:jc w:val="right"/>
              <w:outlineLvl w:val="0"/>
              <w:rPr>
                <w:noProof/>
                <w:sz w:val="20"/>
                <w:szCs w:val="20"/>
              </w:rPr>
            </w:pPr>
            <w:bookmarkStart w:id="1175" w:name="_Toc223980774"/>
            <w:r w:rsidRPr="00160A0D">
              <w:rPr>
                <w:noProof/>
                <w:sz w:val="20"/>
                <w:szCs w:val="20"/>
              </w:rPr>
              <w:t>1,058.3</w:t>
            </w:r>
            <w:bookmarkEnd w:id="1175"/>
          </w:p>
        </w:tc>
        <w:tc>
          <w:tcPr>
            <w:tcW w:w="794" w:type="pct"/>
            <w:tcBorders>
              <w:top w:val="nil"/>
              <w:left w:val="nil"/>
              <w:bottom w:val="single" w:sz="4" w:space="0" w:color="auto"/>
              <w:right w:val="single" w:sz="4" w:space="0" w:color="auto"/>
            </w:tcBorders>
            <w:shd w:val="clear" w:color="000000" w:fill="FFFFFF"/>
            <w:noWrap/>
            <w:hideMark/>
          </w:tcPr>
          <w:p w14:paraId="6739AF9E" w14:textId="1708162A" w:rsidR="00160A0D" w:rsidRPr="00160A0D" w:rsidRDefault="00160A0D" w:rsidP="00160A0D">
            <w:pPr>
              <w:jc w:val="right"/>
              <w:outlineLvl w:val="0"/>
              <w:rPr>
                <w:noProof/>
                <w:sz w:val="20"/>
                <w:szCs w:val="20"/>
              </w:rPr>
            </w:pPr>
            <w:bookmarkStart w:id="1176" w:name="_Toc223980775"/>
            <w:r w:rsidRPr="00160A0D">
              <w:rPr>
                <w:noProof/>
                <w:sz w:val="20"/>
                <w:szCs w:val="20"/>
              </w:rPr>
              <w:t>130.3</w:t>
            </w:r>
            <w:bookmarkEnd w:id="1176"/>
          </w:p>
        </w:tc>
        <w:tc>
          <w:tcPr>
            <w:tcW w:w="794" w:type="pct"/>
            <w:tcBorders>
              <w:top w:val="nil"/>
              <w:left w:val="nil"/>
              <w:bottom w:val="single" w:sz="4" w:space="0" w:color="auto"/>
              <w:right w:val="single" w:sz="4" w:space="0" w:color="auto"/>
            </w:tcBorders>
            <w:shd w:val="clear" w:color="000000" w:fill="FFFFFF"/>
            <w:noWrap/>
            <w:hideMark/>
          </w:tcPr>
          <w:p w14:paraId="2B132780" w14:textId="2C46F9D0" w:rsidR="00160A0D" w:rsidRPr="00160A0D" w:rsidRDefault="00160A0D" w:rsidP="00160A0D">
            <w:pPr>
              <w:jc w:val="right"/>
              <w:outlineLvl w:val="0"/>
              <w:rPr>
                <w:noProof/>
                <w:sz w:val="20"/>
                <w:szCs w:val="20"/>
              </w:rPr>
            </w:pPr>
            <w:bookmarkStart w:id="1177" w:name="_Toc223980776"/>
            <w:r w:rsidRPr="00160A0D">
              <w:rPr>
                <w:noProof/>
                <w:sz w:val="20"/>
                <w:szCs w:val="20"/>
              </w:rPr>
              <w:t>140.1</w:t>
            </w:r>
            <w:bookmarkEnd w:id="1177"/>
          </w:p>
        </w:tc>
        <w:tc>
          <w:tcPr>
            <w:tcW w:w="794" w:type="pct"/>
            <w:tcBorders>
              <w:top w:val="nil"/>
              <w:left w:val="nil"/>
              <w:bottom w:val="single" w:sz="4" w:space="0" w:color="auto"/>
              <w:right w:val="single" w:sz="4" w:space="0" w:color="auto"/>
            </w:tcBorders>
            <w:shd w:val="clear" w:color="000000" w:fill="FFFFFF"/>
            <w:noWrap/>
            <w:hideMark/>
          </w:tcPr>
          <w:p w14:paraId="18DF30F2" w14:textId="39EA6F03" w:rsidR="00160A0D" w:rsidRPr="00160A0D" w:rsidRDefault="00160A0D" w:rsidP="00160A0D">
            <w:pPr>
              <w:jc w:val="right"/>
              <w:outlineLvl w:val="0"/>
              <w:rPr>
                <w:noProof/>
                <w:sz w:val="20"/>
                <w:szCs w:val="20"/>
              </w:rPr>
            </w:pPr>
            <w:bookmarkStart w:id="1178" w:name="_Toc223980777"/>
            <w:r w:rsidRPr="00160A0D">
              <w:rPr>
                <w:noProof/>
                <w:sz w:val="20"/>
                <w:szCs w:val="20"/>
              </w:rPr>
              <w:t>128.1</w:t>
            </w:r>
            <w:bookmarkEnd w:id="1178"/>
          </w:p>
        </w:tc>
      </w:tr>
      <w:tr w:rsidR="00160A0D" w:rsidRPr="00C14AF8" w14:paraId="7DA19F00"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5E16DAAE" w14:textId="77777777" w:rsidR="00160A0D" w:rsidRPr="00C14AF8" w:rsidRDefault="00160A0D" w:rsidP="00160A0D">
            <w:pPr>
              <w:outlineLvl w:val="0"/>
              <w:rPr>
                <w:noProof/>
                <w:sz w:val="20"/>
                <w:szCs w:val="20"/>
              </w:rPr>
            </w:pPr>
            <w:r w:rsidRPr="00C14AF8">
              <w:rPr>
                <w:noProof/>
                <w:sz w:val="20"/>
                <w:szCs w:val="20"/>
              </w:rPr>
              <w:t xml:space="preserve"> </w:t>
            </w:r>
            <w:bookmarkStart w:id="1179" w:name="_Toc223980778"/>
            <w:r w:rsidRPr="00C14AF8">
              <w:rPr>
                <w:noProof/>
                <w:sz w:val="20"/>
                <w:szCs w:val="20"/>
              </w:rPr>
              <w:t>Belgium</w:t>
            </w:r>
            <w:bookmarkEnd w:id="117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2DD02DD0" w14:textId="71B1A6BF" w:rsidR="00160A0D" w:rsidRPr="00160A0D" w:rsidRDefault="00160A0D" w:rsidP="00160A0D">
            <w:pPr>
              <w:jc w:val="right"/>
              <w:outlineLvl w:val="0"/>
              <w:rPr>
                <w:noProof/>
                <w:sz w:val="20"/>
                <w:szCs w:val="20"/>
              </w:rPr>
            </w:pPr>
            <w:bookmarkStart w:id="1180" w:name="_Toc223980779"/>
            <w:r w:rsidRPr="00160A0D">
              <w:rPr>
                <w:noProof/>
                <w:sz w:val="20"/>
                <w:szCs w:val="20"/>
              </w:rPr>
              <w:t>1,058.3</w:t>
            </w:r>
            <w:bookmarkEnd w:id="1180"/>
          </w:p>
        </w:tc>
        <w:tc>
          <w:tcPr>
            <w:tcW w:w="794" w:type="pct"/>
            <w:tcBorders>
              <w:top w:val="nil"/>
              <w:left w:val="nil"/>
              <w:bottom w:val="single" w:sz="4" w:space="0" w:color="auto"/>
              <w:right w:val="single" w:sz="4" w:space="0" w:color="auto"/>
            </w:tcBorders>
            <w:shd w:val="clear" w:color="000000" w:fill="FFFFFF"/>
            <w:noWrap/>
            <w:hideMark/>
          </w:tcPr>
          <w:p w14:paraId="267A4DEB" w14:textId="4756D35D" w:rsidR="00160A0D" w:rsidRPr="00160A0D" w:rsidRDefault="00160A0D" w:rsidP="00160A0D">
            <w:pPr>
              <w:jc w:val="right"/>
              <w:outlineLvl w:val="0"/>
              <w:rPr>
                <w:noProof/>
                <w:sz w:val="20"/>
                <w:szCs w:val="20"/>
              </w:rPr>
            </w:pPr>
            <w:bookmarkStart w:id="1181" w:name="_Toc223980780"/>
            <w:r w:rsidRPr="00160A0D">
              <w:rPr>
                <w:noProof/>
                <w:sz w:val="20"/>
                <w:szCs w:val="20"/>
              </w:rPr>
              <w:t>130.3</w:t>
            </w:r>
            <w:bookmarkEnd w:id="1181"/>
          </w:p>
        </w:tc>
        <w:tc>
          <w:tcPr>
            <w:tcW w:w="794" w:type="pct"/>
            <w:tcBorders>
              <w:top w:val="nil"/>
              <w:left w:val="nil"/>
              <w:bottom w:val="single" w:sz="4" w:space="0" w:color="auto"/>
              <w:right w:val="single" w:sz="4" w:space="0" w:color="auto"/>
            </w:tcBorders>
            <w:shd w:val="clear" w:color="000000" w:fill="FFFFFF"/>
            <w:noWrap/>
            <w:hideMark/>
          </w:tcPr>
          <w:p w14:paraId="3D0C038B" w14:textId="68F778DD" w:rsidR="00160A0D" w:rsidRPr="00160A0D" w:rsidRDefault="00160A0D" w:rsidP="00160A0D">
            <w:pPr>
              <w:jc w:val="right"/>
              <w:outlineLvl w:val="0"/>
              <w:rPr>
                <w:noProof/>
                <w:sz w:val="20"/>
                <w:szCs w:val="20"/>
              </w:rPr>
            </w:pPr>
            <w:bookmarkStart w:id="1182" w:name="_Toc223980781"/>
            <w:r w:rsidRPr="00160A0D">
              <w:rPr>
                <w:noProof/>
                <w:sz w:val="20"/>
                <w:szCs w:val="20"/>
              </w:rPr>
              <w:t>140.1</w:t>
            </w:r>
            <w:bookmarkEnd w:id="1182"/>
          </w:p>
        </w:tc>
        <w:tc>
          <w:tcPr>
            <w:tcW w:w="794" w:type="pct"/>
            <w:tcBorders>
              <w:top w:val="nil"/>
              <w:left w:val="nil"/>
              <w:bottom w:val="single" w:sz="4" w:space="0" w:color="auto"/>
              <w:right w:val="single" w:sz="4" w:space="0" w:color="auto"/>
            </w:tcBorders>
            <w:shd w:val="clear" w:color="000000" w:fill="FFFFFF"/>
            <w:noWrap/>
            <w:hideMark/>
          </w:tcPr>
          <w:p w14:paraId="10F0B6CD" w14:textId="78E4AD91" w:rsidR="00160A0D" w:rsidRPr="00160A0D" w:rsidRDefault="00160A0D" w:rsidP="00160A0D">
            <w:pPr>
              <w:jc w:val="right"/>
              <w:outlineLvl w:val="0"/>
              <w:rPr>
                <w:noProof/>
                <w:sz w:val="20"/>
                <w:szCs w:val="20"/>
              </w:rPr>
            </w:pPr>
            <w:bookmarkStart w:id="1183" w:name="_Toc223980782"/>
            <w:r w:rsidRPr="00160A0D">
              <w:rPr>
                <w:noProof/>
                <w:sz w:val="20"/>
                <w:szCs w:val="20"/>
              </w:rPr>
              <w:t>128.1</w:t>
            </w:r>
            <w:bookmarkEnd w:id="1183"/>
          </w:p>
        </w:tc>
      </w:tr>
      <w:tr w:rsidR="00160A0D" w:rsidRPr="00C14AF8" w14:paraId="7CE28787"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C5DBC9C" w14:textId="77777777" w:rsidR="00160A0D" w:rsidRPr="00C14AF8" w:rsidRDefault="00160A0D" w:rsidP="00160A0D">
            <w:pPr>
              <w:outlineLvl w:val="0"/>
              <w:rPr>
                <w:noProof/>
                <w:sz w:val="20"/>
                <w:szCs w:val="20"/>
              </w:rPr>
            </w:pPr>
            <w:r w:rsidRPr="00C14AF8">
              <w:rPr>
                <w:noProof/>
                <w:sz w:val="20"/>
                <w:szCs w:val="20"/>
              </w:rPr>
              <w:t xml:space="preserve"> </w:t>
            </w:r>
            <w:bookmarkStart w:id="1184" w:name="_Toc223980783"/>
            <w:r w:rsidRPr="00C14AF8">
              <w:rPr>
                <w:noProof/>
                <w:sz w:val="20"/>
                <w:szCs w:val="20"/>
              </w:rPr>
              <w:t>Portugal</w:t>
            </w:r>
            <w:bookmarkEnd w:id="118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73197F04" w14:textId="77E39A78" w:rsidR="00160A0D" w:rsidRPr="00160A0D" w:rsidRDefault="00160A0D" w:rsidP="00160A0D">
            <w:pPr>
              <w:jc w:val="right"/>
              <w:outlineLvl w:val="0"/>
              <w:rPr>
                <w:noProof/>
                <w:sz w:val="20"/>
                <w:szCs w:val="20"/>
              </w:rPr>
            </w:pPr>
            <w:bookmarkStart w:id="1185" w:name="_Toc223980784"/>
            <w:r w:rsidRPr="00160A0D">
              <w:rPr>
                <w:noProof/>
                <w:sz w:val="20"/>
                <w:szCs w:val="20"/>
              </w:rPr>
              <w:t>352.8</w:t>
            </w:r>
            <w:bookmarkEnd w:id="1185"/>
          </w:p>
        </w:tc>
        <w:tc>
          <w:tcPr>
            <w:tcW w:w="794" w:type="pct"/>
            <w:tcBorders>
              <w:top w:val="nil"/>
              <w:left w:val="nil"/>
              <w:bottom w:val="single" w:sz="4" w:space="0" w:color="auto"/>
              <w:right w:val="single" w:sz="4" w:space="0" w:color="auto"/>
            </w:tcBorders>
            <w:shd w:val="clear" w:color="000000" w:fill="FFFFFF"/>
            <w:noWrap/>
            <w:hideMark/>
          </w:tcPr>
          <w:p w14:paraId="342AAE32" w14:textId="71A9E51A" w:rsidR="00160A0D" w:rsidRPr="00160A0D" w:rsidRDefault="00160A0D" w:rsidP="00160A0D">
            <w:pPr>
              <w:jc w:val="right"/>
              <w:outlineLvl w:val="0"/>
              <w:rPr>
                <w:noProof/>
                <w:sz w:val="20"/>
                <w:szCs w:val="20"/>
              </w:rPr>
            </w:pPr>
            <w:bookmarkStart w:id="1186" w:name="_Toc223980785"/>
            <w:r w:rsidRPr="00160A0D">
              <w:rPr>
                <w:noProof/>
                <w:sz w:val="20"/>
                <w:szCs w:val="20"/>
              </w:rPr>
              <w:t>43.4</w:t>
            </w:r>
            <w:bookmarkEnd w:id="1186"/>
          </w:p>
        </w:tc>
        <w:tc>
          <w:tcPr>
            <w:tcW w:w="794" w:type="pct"/>
            <w:tcBorders>
              <w:top w:val="nil"/>
              <w:left w:val="nil"/>
              <w:bottom w:val="single" w:sz="4" w:space="0" w:color="auto"/>
              <w:right w:val="single" w:sz="4" w:space="0" w:color="auto"/>
            </w:tcBorders>
            <w:shd w:val="clear" w:color="000000" w:fill="FFFFFF"/>
            <w:noWrap/>
            <w:hideMark/>
          </w:tcPr>
          <w:p w14:paraId="646983D0" w14:textId="1DC70BDC" w:rsidR="00160A0D" w:rsidRPr="00160A0D" w:rsidRDefault="00160A0D" w:rsidP="00160A0D">
            <w:pPr>
              <w:jc w:val="right"/>
              <w:outlineLvl w:val="0"/>
              <w:rPr>
                <w:noProof/>
                <w:sz w:val="20"/>
                <w:szCs w:val="20"/>
              </w:rPr>
            </w:pPr>
            <w:bookmarkStart w:id="1187" w:name="_Toc223980786"/>
            <w:r w:rsidRPr="00160A0D">
              <w:rPr>
                <w:noProof/>
                <w:sz w:val="20"/>
                <w:szCs w:val="20"/>
              </w:rPr>
              <w:t>46.7</w:t>
            </w:r>
            <w:bookmarkEnd w:id="1187"/>
          </w:p>
        </w:tc>
        <w:tc>
          <w:tcPr>
            <w:tcW w:w="794" w:type="pct"/>
            <w:tcBorders>
              <w:top w:val="nil"/>
              <w:left w:val="nil"/>
              <w:bottom w:val="single" w:sz="4" w:space="0" w:color="auto"/>
              <w:right w:val="single" w:sz="4" w:space="0" w:color="auto"/>
            </w:tcBorders>
            <w:shd w:val="clear" w:color="000000" w:fill="FFFFFF"/>
            <w:noWrap/>
            <w:hideMark/>
          </w:tcPr>
          <w:p w14:paraId="3EF29FA0" w14:textId="781EC2AC" w:rsidR="00160A0D" w:rsidRPr="00160A0D" w:rsidRDefault="00160A0D" w:rsidP="00160A0D">
            <w:pPr>
              <w:jc w:val="right"/>
              <w:outlineLvl w:val="0"/>
              <w:rPr>
                <w:noProof/>
                <w:sz w:val="20"/>
                <w:szCs w:val="20"/>
              </w:rPr>
            </w:pPr>
            <w:bookmarkStart w:id="1188" w:name="_Toc223980787"/>
            <w:r w:rsidRPr="00160A0D">
              <w:rPr>
                <w:noProof/>
                <w:sz w:val="20"/>
                <w:szCs w:val="20"/>
              </w:rPr>
              <w:t>42.7</w:t>
            </w:r>
            <w:bookmarkEnd w:id="1188"/>
          </w:p>
        </w:tc>
      </w:tr>
      <w:tr w:rsidR="00160A0D" w:rsidRPr="00C14AF8" w14:paraId="303CD68D"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19762E0C" w14:textId="77777777" w:rsidR="00160A0D" w:rsidRPr="00C14AF8" w:rsidRDefault="00160A0D" w:rsidP="00160A0D">
            <w:pPr>
              <w:outlineLvl w:val="0"/>
              <w:rPr>
                <w:noProof/>
                <w:sz w:val="20"/>
                <w:szCs w:val="20"/>
              </w:rPr>
            </w:pPr>
            <w:r w:rsidRPr="00C14AF8">
              <w:rPr>
                <w:noProof/>
                <w:sz w:val="20"/>
                <w:szCs w:val="20"/>
              </w:rPr>
              <w:t xml:space="preserve"> </w:t>
            </w:r>
            <w:bookmarkStart w:id="1189" w:name="_Toc223980788"/>
            <w:r w:rsidRPr="00C14AF8">
              <w:rPr>
                <w:noProof/>
                <w:sz w:val="20"/>
                <w:szCs w:val="20"/>
              </w:rPr>
              <w:t>Malta</w:t>
            </w:r>
            <w:bookmarkEnd w:id="118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65D13A54" w14:textId="4F1F32D3" w:rsidR="00160A0D" w:rsidRPr="00160A0D" w:rsidRDefault="00160A0D" w:rsidP="00160A0D">
            <w:pPr>
              <w:jc w:val="right"/>
              <w:outlineLvl w:val="0"/>
              <w:rPr>
                <w:noProof/>
                <w:sz w:val="20"/>
                <w:szCs w:val="20"/>
              </w:rPr>
            </w:pPr>
            <w:bookmarkStart w:id="1190" w:name="_Toc223980789"/>
            <w:r w:rsidRPr="00160A0D">
              <w:rPr>
                <w:noProof/>
                <w:sz w:val="20"/>
                <w:szCs w:val="20"/>
              </w:rPr>
              <w:t>176.4</w:t>
            </w:r>
            <w:bookmarkEnd w:id="1190"/>
          </w:p>
        </w:tc>
        <w:tc>
          <w:tcPr>
            <w:tcW w:w="794" w:type="pct"/>
            <w:tcBorders>
              <w:top w:val="nil"/>
              <w:left w:val="nil"/>
              <w:bottom w:val="single" w:sz="4" w:space="0" w:color="auto"/>
              <w:right w:val="single" w:sz="4" w:space="0" w:color="auto"/>
            </w:tcBorders>
            <w:shd w:val="clear" w:color="000000" w:fill="FFFFFF"/>
            <w:noWrap/>
            <w:hideMark/>
          </w:tcPr>
          <w:p w14:paraId="26B79CA8" w14:textId="7AEDA9AE" w:rsidR="00160A0D" w:rsidRPr="00160A0D" w:rsidRDefault="00160A0D" w:rsidP="00160A0D">
            <w:pPr>
              <w:jc w:val="right"/>
              <w:outlineLvl w:val="0"/>
              <w:rPr>
                <w:noProof/>
                <w:sz w:val="20"/>
                <w:szCs w:val="20"/>
              </w:rPr>
            </w:pPr>
            <w:bookmarkStart w:id="1191" w:name="_Toc223980790"/>
            <w:r w:rsidRPr="00160A0D">
              <w:rPr>
                <w:noProof/>
                <w:sz w:val="20"/>
                <w:szCs w:val="20"/>
              </w:rPr>
              <w:t>21.7</w:t>
            </w:r>
            <w:bookmarkEnd w:id="1191"/>
          </w:p>
        </w:tc>
        <w:tc>
          <w:tcPr>
            <w:tcW w:w="794" w:type="pct"/>
            <w:tcBorders>
              <w:top w:val="nil"/>
              <w:left w:val="nil"/>
              <w:bottom w:val="single" w:sz="4" w:space="0" w:color="auto"/>
              <w:right w:val="single" w:sz="4" w:space="0" w:color="auto"/>
            </w:tcBorders>
            <w:shd w:val="clear" w:color="000000" w:fill="FFFFFF"/>
            <w:noWrap/>
            <w:hideMark/>
          </w:tcPr>
          <w:p w14:paraId="6D01A156" w14:textId="0A938109" w:rsidR="00160A0D" w:rsidRPr="00160A0D" w:rsidRDefault="00160A0D" w:rsidP="00160A0D">
            <w:pPr>
              <w:jc w:val="right"/>
              <w:outlineLvl w:val="0"/>
              <w:rPr>
                <w:noProof/>
                <w:sz w:val="20"/>
                <w:szCs w:val="20"/>
              </w:rPr>
            </w:pPr>
            <w:bookmarkStart w:id="1192" w:name="_Toc223980791"/>
            <w:r w:rsidRPr="00160A0D">
              <w:rPr>
                <w:noProof/>
                <w:sz w:val="20"/>
                <w:szCs w:val="20"/>
              </w:rPr>
              <w:t>23.4</w:t>
            </w:r>
            <w:bookmarkEnd w:id="1192"/>
          </w:p>
        </w:tc>
        <w:tc>
          <w:tcPr>
            <w:tcW w:w="794" w:type="pct"/>
            <w:tcBorders>
              <w:top w:val="nil"/>
              <w:left w:val="nil"/>
              <w:bottom w:val="single" w:sz="4" w:space="0" w:color="auto"/>
              <w:right w:val="single" w:sz="4" w:space="0" w:color="auto"/>
            </w:tcBorders>
            <w:shd w:val="clear" w:color="000000" w:fill="FFFFFF"/>
            <w:noWrap/>
            <w:hideMark/>
          </w:tcPr>
          <w:p w14:paraId="729744F1" w14:textId="57C9DD75" w:rsidR="00160A0D" w:rsidRPr="00160A0D" w:rsidRDefault="00160A0D" w:rsidP="00160A0D">
            <w:pPr>
              <w:jc w:val="right"/>
              <w:outlineLvl w:val="0"/>
              <w:rPr>
                <w:noProof/>
                <w:sz w:val="20"/>
                <w:szCs w:val="20"/>
              </w:rPr>
            </w:pPr>
            <w:bookmarkStart w:id="1193" w:name="_Toc223980792"/>
            <w:r w:rsidRPr="00160A0D">
              <w:rPr>
                <w:noProof/>
                <w:sz w:val="20"/>
                <w:szCs w:val="20"/>
              </w:rPr>
              <w:t>21.4</w:t>
            </w:r>
            <w:bookmarkEnd w:id="1193"/>
          </w:p>
        </w:tc>
      </w:tr>
      <w:tr w:rsidR="00160A0D" w:rsidRPr="00C14AF8" w14:paraId="0D54EAA6"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28FFA296" w14:textId="77777777" w:rsidR="00160A0D" w:rsidRPr="00C14AF8" w:rsidRDefault="00160A0D" w:rsidP="00160A0D">
            <w:pPr>
              <w:outlineLvl w:val="0"/>
              <w:rPr>
                <w:noProof/>
                <w:sz w:val="20"/>
                <w:szCs w:val="20"/>
              </w:rPr>
            </w:pPr>
            <w:r w:rsidRPr="00C14AF8">
              <w:rPr>
                <w:noProof/>
                <w:sz w:val="20"/>
                <w:szCs w:val="20"/>
              </w:rPr>
              <w:t xml:space="preserve"> </w:t>
            </w:r>
            <w:bookmarkStart w:id="1194" w:name="_Toc223980793"/>
            <w:r w:rsidRPr="00C14AF8">
              <w:rPr>
                <w:noProof/>
                <w:sz w:val="20"/>
                <w:szCs w:val="20"/>
              </w:rPr>
              <w:t>Cyprus</w:t>
            </w:r>
            <w:bookmarkEnd w:id="119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720D1348" w14:textId="7641AB44" w:rsidR="00160A0D" w:rsidRPr="00160A0D" w:rsidRDefault="00160A0D" w:rsidP="00160A0D">
            <w:pPr>
              <w:jc w:val="right"/>
              <w:outlineLvl w:val="0"/>
              <w:rPr>
                <w:noProof/>
                <w:sz w:val="20"/>
                <w:szCs w:val="20"/>
              </w:rPr>
            </w:pPr>
            <w:bookmarkStart w:id="1195" w:name="_Toc223980794"/>
            <w:r w:rsidRPr="00160A0D">
              <w:rPr>
                <w:noProof/>
                <w:sz w:val="20"/>
                <w:szCs w:val="20"/>
              </w:rPr>
              <w:t>176.4</w:t>
            </w:r>
            <w:bookmarkEnd w:id="1195"/>
          </w:p>
        </w:tc>
        <w:tc>
          <w:tcPr>
            <w:tcW w:w="794" w:type="pct"/>
            <w:tcBorders>
              <w:top w:val="nil"/>
              <w:left w:val="nil"/>
              <w:bottom w:val="single" w:sz="4" w:space="0" w:color="auto"/>
              <w:right w:val="single" w:sz="4" w:space="0" w:color="auto"/>
            </w:tcBorders>
            <w:shd w:val="clear" w:color="000000" w:fill="FFFFFF"/>
            <w:noWrap/>
            <w:hideMark/>
          </w:tcPr>
          <w:p w14:paraId="7AA9933C" w14:textId="505440C5" w:rsidR="00160A0D" w:rsidRPr="00160A0D" w:rsidRDefault="00160A0D" w:rsidP="00160A0D">
            <w:pPr>
              <w:jc w:val="right"/>
              <w:outlineLvl w:val="0"/>
              <w:rPr>
                <w:noProof/>
                <w:sz w:val="20"/>
                <w:szCs w:val="20"/>
              </w:rPr>
            </w:pPr>
            <w:bookmarkStart w:id="1196" w:name="_Toc223980795"/>
            <w:r w:rsidRPr="00160A0D">
              <w:rPr>
                <w:noProof/>
                <w:sz w:val="20"/>
                <w:szCs w:val="20"/>
              </w:rPr>
              <w:t>21.7</w:t>
            </w:r>
            <w:bookmarkEnd w:id="1196"/>
          </w:p>
        </w:tc>
        <w:tc>
          <w:tcPr>
            <w:tcW w:w="794" w:type="pct"/>
            <w:tcBorders>
              <w:top w:val="nil"/>
              <w:left w:val="nil"/>
              <w:bottom w:val="single" w:sz="4" w:space="0" w:color="auto"/>
              <w:right w:val="single" w:sz="4" w:space="0" w:color="auto"/>
            </w:tcBorders>
            <w:shd w:val="clear" w:color="000000" w:fill="FFFFFF"/>
            <w:noWrap/>
            <w:hideMark/>
          </w:tcPr>
          <w:p w14:paraId="56825C28" w14:textId="4B45A327" w:rsidR="00160A0D" w:rsidRPr="00160A0D" w:rsidRDefault="00160A0D" w:rsidP="00160A0D">
            <w:pPr>
              <w:jc w:val="right"/>
              <w:outlineLvl w:val="0"/>
              <w:rPr>
                <w:noProof/>
                <w:sz w:val="20"/>
                <w:szCs w:val="20"/>
              </w:rPr>
            </w:pPr>
            <w:bookmarkStart w:id="1197" w:name="_Toc223980796"/>
            <w:r w:rsidRPr="00160A0D">
              <w:rPr>
                <w:noProof/>
                <w:sz w:val="20"/>
                <w:szCs w:val="20"/>
              </w:rPr>
              <w:t>23.4</w:t>
            </w:r>
            <w:bookmarkEnd w:id="1197"/>
          </w:p>
        </w:tc>
        <w:tc>
          <w:tcPr>
            <w:tcW w:w="794" w:type="pct"/>
            <w:tcBorders>
              <w:top w:val="nil"/>
              <w:left w:val="nil"/>
              <w:bottom w:val="single" w:sz="4" w:space="0" w:color="auto"/>
              <w:right w:val="single" w:sz="4" w:space="0" w:color="auto"/>
            </w:tcBorders>
            <w:shd w:val="clear" w:color="000000" w:fill="FFFFFF"/>
            <w:noWrap/>
            <w:hideMark/>
          </w:tcPr>
          <w:p w14:paraId="62165201" w14:textId="4990E3FD" w:rsidR="00160A0D" w:rsidRPr="00160A0D" w:rsidRDefault="00160A0D" w:rsidP="00160A0D">
            <w:pPr>
              <w:jc w:val="right"/>
              <w:outlineLvl w:val="0"/>
              <w:rPr>
                <w:noProof/>
                <w:sz w:val="20"/>
                <w:szCs w:val="20"/>
              </w:rPr>
            </w:pPr>
            <w:bookmarkStart w:id="1198" w:name="_Toc223980797"/>
            <w:r w:rsidRPr="00160A0D">
              <w:rPr>
                <w:noProof/>
                <w:sz w:val="20"/>
                <w:szCs w:val="20"/>
              </w:rPr>
              <w:t>21.4</w:t>
            </w:r>
            <w:bookmarkEnd w:id="1198"/>
          </w:p>
        </w:tc>
      </w:tr>
      <w:tr w:rsidR="00160A0D" w:rsidRPr="00C14AF8" w14:paraId="08820A35"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0DBAA691" w14:textId="77777777" w:rsidR="00160A0D" w:rsidRPr="00C14AF8" w:rsidRDefault="00160A0D" w:rsidP="00160A0D">
            <w:pPr>
              <w:outlineLvl w:val="0"/>
              <w:rPr>
                <w:noProof/>
                <w:sz w:val="20"/>
                <w:szCs w:val="20"/>
              </w:rPr>
            </w:pPr>
            <w:r w:rsidRPr="00C14AF8">
              <w:rPr>
                <w:noProof/>
                <w:sz w:val="20"/>
                <w:szCs w:val="20"/>
              </w:rPr>
              <w:t xml:space="preserve"> </w:t>
            </w:r>
            <w:bookmarkStart w:id="1199" w:name="_Toc223980798"/>
            <w:r w:rsidRPr="00C14AF8">
              <w:rPr>
                <w:noProof/>
                <w:sz w:val="20"/>
                <w:szCs w:val="20"/>
              </w:rPr>
              <w:t>Greece</w:t>
            </w:r>
            <w:bookmarkEnd w:id="119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4C94CE5C" w14:textId="56872C10" w:rsidR="00160A0D" w:rsidRPr="00160A0D" w:rsidRDefault="00160A0D" w:rsidP="00160A0D">
            <w:pPr>
              <w:jc w:val="right"/>
              <w:outlineLvl w:val="0"/>
              <w:rPr>
                <w:noProof/>
                <w:sz w:val="20"/>
                <w:szCs w:val="20"/>
              </w:rPr>
            </w:pPr>
            <w:bookmarkStart w:id="1200" w:name="_Toc223980799"/>
            <w:r w:rsidRPr="00160A0D">
              <w:rPr>
                <w:noProof/>
                <w:sz w:val="20"/>
                <w:szCs w:val="20"/>
              </w:rPr>
              <w:t>352.8</w:t>
            </w:r>
            <w:bookmarkEnd w:id="1200"/>
          </w:p>
        </w:tc>
        <w:tc>
          <w:tcPr>
            <w:tcW w:w="794" w:type="pct"/>
            <w:tcBorders>
              <w:top w:val="nil"/>
              <w:left w:val="nil"/>
              <w:bottom w:val="single" w:sz="4" w:space="0" w:color="auto"/>
              <w:right w:val="single" w:sz="4" w:space="0" w:color="auto"/>
            </w:tcBorders>
            <w:shd w:val="clear" w:color="000000" w:fill="FFFFFF"/>
            <w:noWrap/>
            <w:hideMark/>
          </w:tcPr>
          <w:p w14:paraId="03BD766B" w14:textId="1AB242C6" w:rsidR="00160A0D" w:rsidRPr="00160A0D" w:rsidRDefault="00160A0D" w:rsidP="00160A0D">
            <w:pPr>
              <w:jc w:val="right"/>
              <w:outlineLvl w:val="0"/>
              <w:rPr>
                <w:noProof/>
                <w:sz w:val="20"/>
                <w:szCs w:val="20"/>
              </w:rPr>
            </w:pPr>
            <w:bookmarkStart w:id="1201" w:name="_Toc223980800"/>
            <w:r w:rsidRPr="00160A0D">
              <w:rPr>
                <w:noProof/>
                <w:sz w:val="20"/>
                <w:szCs w:val="20"/>
              </w:rPr>
              <w:t>43.4</w:t>
            </w:r>
            <w:bookmarkEnd w:id="1201"/>
          </w:p>
        </w:tc>
        <w:tc>
          <w:tcPr>
            <w:tcW w:w="794" w:type="pct"/>
            <w:tcBorders>
              <w:top w:val="nil"/>
              <w:left w:val="nil"/>
              <w:bottom w:val="single" w:sz="4" w:space="0" w:color="auto"/>
              <w:right w:val="single" w:sz="4" w:space="0" w:color="auto"/>
            </w:tcBorders>
            <w:shd w:val="clear" w:color="000000" w:fill="FFFFFF"/>
            <w:noWrap/>
            <w:hideMark/>
          </w:tcPr>
          <w:p w14:paraId="167495EE" w14:textId="43B85B0E" w:rsidR="00160A0D" w:rsidRPr="00160A0D" w:rsidRDefault="00160A0D" w:rsidP="00160A0D">
            <w:pPr>
              <w:jc w:val="right"/>
              <w:outlineLvl w:val="0"/>
              <w:rPr>
                <w:noProof/>
                <w:sz w:val="20"/>
                <w:szCs w:val="20"/>
              </w:rPr>
            </w:pPr>
            <w:bookmarkStart w:id="1202" w:name="_Toc223980801"/>
            <w:r w:rsidRPr="00160A0D">
              <w:rPr>
                <w:noProof/>
                <w:sz w:val="20"/>
                <w:szCs w:val="20"/>
              </w:rPr>
              <w:t>46.7</w:t>
            </w:r>
            <w:bookmarkEnd w:id="1202"/>
          </w:p>
        </w:tc>
        <w:tc>
          <w:tcPr>
            <w:tcW w:w="794" w:type="pct"/>
            <w:tcBorders>
              <w:top w:val="nil"/>
              <w:left w:val="nil"/>
              <w:bottom w:val="single" w:sz="4" w:space="0" w:color="auto"/>
              <w:right w:val="single" w:sz="4" w:space="0" w:color="auto"/>
            </w:tcBorders>
            <w:shd w:val="clear" w:color="000000" w:fill="FFFFFF"/>
            <w:noWrap/>
            <w:hideMark/>
          </w:tcPr>
          <w:p w14:paraId="11A881A3" w14:textId="1289F99C" w:rsidR="00160A0D" w:rsidRPr="00160A0D" w:rsidRDefault="00160A0D" w:rsidP="00160A0D">
            <w:pPr>
              <w:jc w:val="right"/>
              <w:outlineLvl w:val="0"/>
              <w:rPr>
                <w:noProof/>
                <w:sz w:val="20"/>
                <w:szCs w:val="20"/>
              </w:rPr>
            </w:pPr>
            <w:bookmarkStart w:id="1203" w:name="_Toc223980802"/>
            <w:r w:rsidRPr="00160A0D">
              <w:rPr>
                <w:noProof/>
                <w:sz w:val="20"/>
                <w:szCs w:val="20"/>
              </w:rPr>
              <w:t>42.7</w:t>
            </w:r>
            <w:bookmarkEnd w:id="1203"/>
          </w:p>
        </w:tc>
      </w:tr>
      <w:tr w:rsidR="00160A0D" w:rsidRPr="00C14AF8" w14:paraId="4222F853"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7FCE4B5F" w14:textId="77777777" w:rsidR="00160A0D" w:rsidRPr="00C14AF8" w:rsidRDefault="00160A0D" w:rsidP="00160A0D">
            <w:pPr>
              <w:outlineLvl w:val="0"/>
              <w:rPr>
                <w:noProof/>
                <w:sz w:val="20"/>
                <w:szCs w:val="20"/>
              </w:rPr>
            </w:pPr>
            <w:r w:rsidRPr="00C14AF8">
              <w:rPr>
                <w:noProof/>
                <w:sz w:val="20"/>
                <w:szCs w:val="20"/>
              </w:rPr>
              <w:t xml:space="preserve"> </w:t>
            </w:r>
            <w:bookmarkStart w:id="1204" w:name="_Toc223980803"/>
            <w:r w:rsidRPr="00C14AF8">
              <w:rPr>
                <w:noProof/>
                <w:sz w:val="20"/>
                <w:szCs w:val="20"/>
              </w:rPr>
              <w:t>Bulgaria</w:t>
            </w:r>
            <w:bookmarkEnd w:id="120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282E7D97" w14:textId="77777777" w:rsidR="00160A0D" w:rsidRPr="00160A0D" w:rsidRDefault="00160A0D" w:rsidP="00160A0D">
            <w:pPr>
              <w:jc w:val="right"/>
              <w:outlineLvl w:val="0"/>
              <w:rPr>
                <w:noProof/>
                <w:sz w:val="20"/>
                <w:szCs w:val="20"/>
              </w:rPr>
            </w:pPr>
            <w:bookmarkStart w:id="1205" w:name="_Toc223980804"/>
            <w:r w:rsidRPr="00160A0D">
              <w:rPr>
                <w:noProof/>
                <w:sz w:val="20"/>
                <w:szCs w:val="20"/>
              </w:rPr>
              <w:t>0.0</w:t>
            </w:r>
            <w:bookmarkEnd w:id="1205"/>
          </w:p>
        </w:tc>
        <w:tc>
          <w:tcPr>
            <w:tcW w:w="794" w:type="pct"/>
            <w:tcBorders>
              <w:top w:val="nil"/>
              <w:left w:val="nil"/>
              <w:bottom w:val="single" w:sz="4" w:space="0" w:color="auto"/>
              <w:right w:val="single" w:sz="4" w:space="0" w:color="auto"/>
            </w:tcBorders>
            <w:shd w:val="clear" w:color="000000" w:fill="FFFFFF"/>
            <w:noWrap/>
            <w:hideMark/>
          </w:tcPr>
          <w:p w14:paraId="1A94C9EC" w14:textId="77777777" w:rsidR="00160A0D" w:rsidRPr="00160A0D" w:rsidRDefault="00160A0D" w:rsidP="00160A0D">
            <w:pPr>
              <w:jc w:val="right"/>
              <w:outlineLvl w:val="0"/>
              <w:rPr>
                <w:noProof/>
                <w:sz w:val="20"/>
                <w:szCs w:val="20"/>
              </w:rPr>
            </w:pPr>
            <w:bookmarkStart w:id="1206" w:name="_Toc223980805"/>
            <w:r w:rsidRPr="00160A0D">
              <w:rPr>
                <w:noProof/>
                <w:sz w:val="20"/>
                <w:szCs w:val="20"/>
              </w:rPr>
              <w:t>0.0</w:t>
            </w:r>
            <w:bookmarkEnd w:id="1206"/>
          </w:p>
        </w:tc>
        <w:tc>
          <w:tcPr>
            <w:tcW w:w="794" w:type="pct"/>
            <w:tcBorders>
              <w:top w:val="nil"/>
              <w:left w:val="nil"/>
              <w:bottom w:val="single" w:sz="4" w:space="0" w:color="auto"/>
              <w:right w:val="single" w:sz="4" w:space="0" w:color="auto"/>
            </w:tcBorders>
            <w:shd w:val="clear" w:color="000000" w:fill="FFFFFF"/>
            <w:noWrap/>
            <w:hideMark/>
          </w:tcPr>
          <w:p w14:paraId="591321D3" w14:textId="77777777" w:rsidR="00160A0D" w:rsidRPr="00160A0D" w:rsidRDefault="00160A0D" w:rsidP="00160A0D">
            <w:pPr>
              <w:jc w:val="right"/>
              <w:outlineLvl w:val="0"/>
              <w:rPr>
                <w:noProof/>
                <w:sz w:val="20"/>
                <w:szCs w:val="20"/>
              </w:rPr>
            </w:pPr>
            <w:bookmarkStart w:id="1207" w:name="_Toc223980806"/>
            <w:r w:rsidRPr="00160A0D">
              <w:rPr>
                <w:noProof/>
                <w:sz w:val="20"/>
                <w:szCs w:val="20"/>
              </w:rPr>
              <w:t>0.0</w:t>
            </w:r>
            <w:bookmarkEnd w:id="1207"/>
          </w:p>
        </w:tc>
        <w:tc>
          <w:tcPr>
            <w:tcW w:w="794" w:type="pct"/>
            <w:tcBorders>
              <w:top w:val="nil"/>
              <w:left w:val="nil"/>
              <w:bottom w:val="single" w:sz="4" w:space="0" w:color="auto"/>
              <w:right w:val="single" w:sz="4" w:space="0" w:color="auto"/>
            </w:tcBorders>
            <w:shd w:val="clear" w:color="000000" w:fill="FFFFFF"/>
            <w:noWrap/>
            <w:hideMark/>
          </w:tcPr>
          <w:p w14:paraId="4E05733E" w14:textId="77777777" w:rsidR="00160A0D" w:rsidRPr="00160A0D" w:rsidRDefault="00160A0D" w:rsidP="00160A0D">
            <w:pPr>
              <w:jc w:val="right"/>
              <w:outlineLvl w:val="0"/>
              <w:rPr>
                <w:noProof/>
                <w:sz w:val="20"/>
                <w:szCs w:val="20"/>
              </w:rPr>
            </w:pPr>
            <w:bookmarkStart w:id="1208" w:name="_Toc223980807"/>
            <w:r w:rsidRPr="00160A0D">
              <w:rPr>
                <w:noProof/>
                <w:sz w:val="20"/>
                <w:szCs w:val="20"/>
              </w:rPr>
              <w:t>0.0</w:t>
            </w:r>
            <w:bookmarkEnd w:id="1208"/>
          </w:p>
        </w:tc>
      </w:tr>
      <w:tr w:rsidR="00160A0D" w:rsidRPr="00C14AF8" w14:paraId="7F17B8E2"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529D6A15" w14:textId="77777777" w:rsidR="00160A0D" w:rsidRPr="00C14AF8" w:rsidRDefault="00160A0D" w:rsidP="00160A0D">
            <w:pPr>
              <w:outlineLvl w:val="0"/>
              <w:rPr>
                <w:noProof/>
                <w:sz w:val="20"/>
                <w:szCs w:val="20"/>
              </w:rPr>
            </w:pPr>
            <w:r w:rsidRPr="00C14AF8">
              <w:rPr>
                <w:noProof/>
                <w:sz w:val="20"/>
                <w:szCs w:val="20"/>
              </w:rPr>
              <w:t xml:space="preserve"> </w:t>
            </w:r>
            <w:bookmarkStart w:id="1209" w:name="_Toc223980808"/>
            <w:r w:rsidRPr="00C14AF8">
              <w:rPr>
                <w:noProof/>
                <w:sz w:val="20"/>
                <w:szCs w:val="20"/>
              </w:rPr>
              <w:t>Estonia</w:t>
            </w:r>
            <w:bookmarkEnd w:id="120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7BFB90FA" w14:textId="77777777" w:rsidR="00160A0D" w:rsidRPr="00160A0D" w:rsidRDefault="00160A0D" w:rsidP="00160A0D">
            <w:pPr>
              <w:jc w:val="right"/>
              <w:outlineLvl w:val="0"/>
              <w:rPr>
                <w:noProof/>
                <w:sz w:val="20"/>
                <w:szCs w:val="20"/>
              </w:rPr>
            </w:pPr>
            <w:bookmarkStart w:id="1210" w:name="_Toc223980809"/>
            <w:r w:rsidRPr="00160A0D">
              <w:rPr>
                <w:noProof/>
                <w:sz w:val="20"/>
                <w:szCs w:val="20"/>
              </w:rPr>
              <w:t>0.0</w:t>
            </w:r>
            <w:bookmarkEnd w:id="1210"/>
          </w:p>
        </w:tc>
        <w:tc>
          <w:tcPr>
            <w:tcW w:w="794" w:type="pct"/>
            <w:tcBorders>
              <w:top w:val="nil"/>
              <w:left w:val="nil"/>
              <w:bottom w:val="single" w:sz="4" w:space="0" w:color="auto"/>
              <w:right w:val="single" w:sz="4" w:space="0" w:color="auto"/>
            </w:tcBorders>
            <w:shd w:val="clear" w:color="000000" w:fill="FFFFFF"/>
            <w:noWrap/>
            <w:hideMark/>
          </w:tcPr>
          <w:p w14:paraId="7CF5AF7E" w14:textId="77777777" w:rsidR="00160A0D" w:rsidRPr="00160A0D" w:rsidRDefault="00160A0D" w:rsidP="00160A0D">
            <w:pPr>
              <w:jc w:val="right"/>
              <w:outlineLvl w:val="0"/>
              <w:rPr>
                <w:noProof/>
                <w:sz w:val="20"/>
                <w:szCs w:val="20"/>
              </w:rPr>
            </w:pPr>
            <w:bookmarkStart w:id="1211" w:name="_Toc223980810"/>
            <w:r w:rsidRPr="00160A0D">
              <w:rPr>
                <w:noProof/>
                <w:sz w:val="20"/>
                <w:szCs w:val="20"/>
              </w:rPr>
              <w:t>0.0</w:t>
            </w:r>
            <w:bookmarkEnd w:id="1211"/>
          </w:p>
        </w:tc>
        <w:tc>
          <w:tcPr>
            <w:tcW w:w="794" w:type="pct"/>
            <w:tcBorders>
              <w:top w:val="nil"/>
              <w:left w:val="nil"/>
              <w:bottom w:val="single" w:sz="4" w:space="0" w:color="auto"/>
              <w:right w:val="single" w:sz="4" w:space="0" w:color="auto"/>
            </w:tcBorders>
            <w:shd w:val="clear" w:color="000000" w:fill="FFFFFF"/>
            <w:noWrap/>
            <w:hideMark/>
          </w:tcPr>
          <w:p w14:paraId="785A6B88" w14:textId="77777777" w:rsidR="00160A0D" w:rsidRPr="00160A0D" w:rsidRDefault="00160A0D" w:rsidP="00160A0D">
            <w:pPr>
              <w:jc w:val="right"/>
              <w:outlineLvl w:val="0"/>
              <w:rPr>
                <w:noProof/>
                <w:sz w:val="20"/>
                <w:szCs w:val="20"/>
              </w:rPr>
            </w:pPr>
            <w:bookmarkStart w:id="1212" w:name="_Toc223980811"/>
            <w:r w:rsidRPr="00160A0D">
              <w:rPr>
                <w:noProof/>
                <w:sz w:val="20"/>
                <w:szCs w:val="20"/>
              </w:rPr>
              <w:t>0.0</w:t>
            </w:r>
            <w:bookmarkEnd w:id="1212"/>
          </w:p>
        </w:tc>
        <w:tc>
          <w:tcPr>
            <w:tcW w:w="794" w:type="pct"/>
            <w:tcBorders>
              <w:top w:val="nil"/>
              <w:left w:val="nil"/>
              <w:bottom w:val="single" w:sz="4" w:space="0" w:color="auto"/>
              <w:right w:val="single" w:sz="4" w:space="0" w:color="auto"/>
            </w:tcBorders>
            <w:shd w:val="clear" w:color="000000" w:fill="FFFFFF"/>
            <w:noWrap/>
            <w:hideMark/>
          </w:tcPr>
          <w:p w14:paraId="3FDC3CDD" w14:textId="77777777" w:rsidR="00160A0D" w:rsidRPr="00160A0D" w:rsidRDefault="00160A0D" w:rsidP="00160A0D">
            <w:pPr>
              <w:jc w:val="right"/>
              <w:outlineLvl w:val="0"/>
              <w:rPr>
                <w:noProof/>
                <w:sz w:val="20"/>
                <w:szCs w:val="20"/>
              </w:rPr>
            </w:pPr>
            <w:bookmarkStart w:id="1213" w:name="_Toc223980812"/>
            <w:r w:rsidRPr="00160A0D">
              <w:rPr>
                <w:noProof/>
                <w:sz w:val="20"/>
                <w:szCs w:val="20"/>
              </w:rPr>
              <w:t>0.0</w:t>
            </w:r>
            <w:bookmarkEnd w:id="1213"/>
          </w:p>
        </w:tc>
      </w:tr>
      <w:tr w:rsidR="00160A0D" w:rsidRPr="00C14AF8" w14:paraId="2E691080"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4C1CA4B2" w14:textId="77777777" w:rsidR="00160A0D" w:rsidRPr="00C14AF8" w:rsidRDefault="00160A0D" w:rsidP="00160A0D">
            <w:pPr>
              <w:outlineLvl w:val="0"/>
              <w:rPr>
                <w:noProof/>
                <w:sz w:val="20"/>
                <w:szCs w:val="20"/>
              </w:rPr>
            </w:pPr>
            <w:r w:rsidRPr="00C14AF8">
              <w:rPr>
                <w:noProof/>
                <w:sz w:val="20"/>
                <w:szCs w:val="20"/>
              </w:rPr>
              <w:t xml:space="preserve"> </w:t>
            </w:r>
            <w:bookmarkStart w:id="1214" w:name="_Toc223980813"/>
            <w:r w:rsidRPr="00C14AF8">
              <w:rPr>
                <w:noProof/>
                <w:sz w:val="20"/>
                <w:szCs w:val="20"/>
              </w:rPr>
              <w:t>Croatia</w:t>
            </w:r>
            <w:bookmarkEnd w:id="121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01E71E67" w14:textId="48D42869" w:rsidR="00160A0D" w:rsidRPr="00160A0D" w:rsidRDefault="00160A0D" w:rsidP="00160A0D">
            <w:pPr>
              <w:jc w:val="right"/>
              <w:outlineLvl w:val="0"/>
              <w:rPr>
                <w:noProof/>
                <w:sz w:val="20"/>
                <w:szCs w:val="20"/>
              </w:rPr>
            </w:pPr>
            <w:bookmarkStart w:id="1215" w:name="_Toc223980814"/>
            <w:r w:rsidRPr="00160A0D">
              <w:rPr>
                <w:noProof/>
                <w:sz w:val="20"/>
                <w:szCs w:val="20"/>
              </w:rPr>
              <w:t>176.4</w:t>
            </w:r>
            <w:bookmarkEnd w:id="1215"/>
          </w:p>
        </w:tc>
        <w:tc>
          <w:tcPr>
            <w:tcW w:w="794" w:type="pct"/>
            <w:tcBorders>
              <w:top w:val="nil"/>
              <w:left w:val="nil"/>
              <w:bottom w:val="single" w:sz="4" w:space="0" w:color="auto"/>
              <w:right w:val="single" w:sz="4" w:space="0" w:color="auto"/>
            </w:tcBorders>
            <w:shd w:val="clear" w:color="000000" w:fill="FFFFFF"/>
            <w:noWrap/>
            <w:hideMark/>
          </w:tcPr>
          <w:p w14:paraId="1A8611D0" w14:textId="0E1F14C5" w:rsidR="00160A0D" w:rsidRPr="00160A0D" w:rsidRDefault="00160A0D" w:rsidP="00160A0D">
            <w:pPr>
              <w:jc w:val="right"/>
              <w:outlineLvl w:val="0"/>
              <w:rPr>
                <w:noProof/>
                <w:sz w:val="20"/>
                <w:szCs w:val="20"/>
              </w:rPr>
            </w:pPr>
            <w:bookmarkStart w:id="1216" w:name="_Toc223980815"/>
            <w:r w:rsidRPr="00160A0D">
              <w:rPr>
                <w:noProof/>
                <w:sz w:val="20"/>
                <w:szCs w:val="20"/>
              </w:rPr>
              <w:t>21.7</w:t>
            </w:r>
            <w:bookmarkEnd w:id="1216"/>
          </w:p>
        </w:tc>
        <w:tc>
          <w:tcPr>
            <w:tcW w:w="794" w:type="pct"/>
            <w:tcBorders>
              <w:top w:val="nil"/>
              <w:left w:val="nil"/>
              <w:bottom w:val="single" w:sz="4" w:space="0" w:color="auto"/>
              <w:right w:val="single" w:sz="4" w:space="0" w:color="auto"/>
            </w:tcBorders>
            <w:shd w:val="clear" w:color="000000" w:fill="FFFFFF"/>
            <w:noWrap/>
            <w:hideMark/>
          </w:tcPr>
          <w:p w14:paraId="24661B7A" w14:textId="596C8E20" w:rsidR="00160A0D" w:rsidRPr="00160A0D" w:rsidRDefault="00160A0D" w:rsidP="00160A0D">
            <w:pPr>
              <w:jc w:val="right"/>
              <w:outlineLvl w:val="0"/>
              <w:rPr>
                <w:noProof/>
                <w:sz w:val="20"/>
                <w:szCs w:val="20"/>
              </w:rPr>
            </w:pPr>
            <w:bookmarkStart w:id="1217" w:name="_Toc223980816"/>
            <w:r w:rsidRPr="00160A0D">
              <w:rPr>
                <w:noProof/>
                <w:sz w:val="20"/>
                <w:szCs w:val="20"/>
              </w:rPr>
              <w:t>23.4</w:t>
            </w:r>
            <w:bookmarkEnd w:id="1217"/>
          </w:p>
        </w:tc>
        <w:tc>
          <w:tcPr>
            <w:tcW w:w="794" w:type="pct"/>
            <w:tcBorders>
              <w:top w:val="nil"/>
              <w:left w:val="nil"/>
              <w:bottom w:val="single" w:sz="4" w:space="0" w:color="auto"/>
              <w:right w:val="single" w:sz="4" w:space="0" w:color="auto"/>
            </w:tcBorders>
            <w:shd w:val="clear" w:color="000000" w:fill="FFFFFF"/>
            <w:noWrap/>
            <w:hideMark/>
          </w:tcPr>
          <w:p w14:paraId="7C38E9AA" w14:textId="3495432F" w:rsidR="00160A0D" w:rsidRPr="00160A0D" w:rsidRDefault="00160A0D" w:rsidP="00160A0D">
            <w:pPr>
              <w:jc w:val="right"/>
              <w:outlineLvl w:val="0"/>
              <w:rPr>
                <w:noProof/>
                <w:sz w:val="20"/>
                <w:szCs w:val="20"/>
              </w:rPr>
            </w:pPr>
            <w:bookmarkStart w:id="1218" w:name="_Toc223980817"/>
            <w:r w:rsidRPr="00160A0D">
              <w:rPr>
                <w:noProof/>
                <w:sz w:val="20"/>
                <w:szCs w:val="20"/>
              </w:rPr>
              <w:t>21.4</w:t>
            </w:r>
            <w:bookmarkEnd w:id="1218"/>
          </w:p>
        </w:tc>
      </w:tr>
      <w:tr w:rsidR="00160A0D" w:rsidRPr="00C14AF8" w14:paraId="01349647"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0FAACE27" w14:textId="77777777" w:rsidR="00160A0D" w:rsidRPr="00C14AF8" w:rsidRDefault="00160A0D" w:rsidP="00160A0D">
            <w:pPr>
              <w:outlineLvl w:val="0"/>
              <w:rPr>
                <w:noProof/>
                <w:sz w:val="20"/>
                <w:szCs w:val="20"/>
              </w:rPr>
            </w:pPr>
            <w:r w:rsidRPr="00C14AF8">
              <w:rPr>
                <w:noProof/>
                <w:sz w:val="20"/>
                <w:szCs w:val="20"/>
              </w:rPr>
              <w:t xml:space="preserve"> </w:t>
            </w:r>
            <w:bookmarkStart w:id="1219" w:name="_Toc223980818"/>
            <w:r w:rsidRPr="00C14AF8">
              <w:rPr>
                <w:noProof/>
                <w:sz w:val="20"/>
                <w:szCs w:val="20"/>
              </w:rPr>
              <w:t>Lithuania</w:t>
            </w:r>
            <w:bookmarkEnd w:id="121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26B364DE" w14:textId="77777777" w:rsidR="00160A0D" w:rsidRPr="00160A0D" w:rsidRDefault="00160A0D" w:rsidP="00160A0D">
            <w:pPr>
              <w:jc w:val="right"/>
              <w:outlineLvl w:val="0"/>
              <w:rPr>
                <w:noProof/>
                <w:sz w:val="20"/>
                <w:szCs w:val="20"/>
              </w:rPr>
            </w:pPr>
            <w:bookmarkStart w:id="1220" w:name="_Toc223980819"/>
            <w:r w:rsidRPr="00160A0D">
              <w:rPr>
                <w:noProof/>
                <w:sz w:val="20"/>
                <w:szCs w:val="20"/>
              </w:rPr>
              <w:t>0.0</w:t>
            </w:r>
            <w:bookmarkEnd w:id="1220"/>
          </w:p>
        </w:tc>
        <w:tc>
          <w:tcPr>
            <w:tcW w:w="794" w:type="pct"/>
            <w:tcBorders>
              <w:top w:val="nil"/>
              <w:left w:val="nil"/>
              <w:bottom w:val="single" w:sz="4" w:space="0" w:color="auto"/>
              <w:right w:val="single" w:sz="4" w:space="0" w:color="auto"/>
            </w:tcBorders>
            <w:shd w:val="clear" w:color="000000" w:fill="FFFFFF"/>
            <w:noWrap/>
            <w:hideMark/>
          </w:tcPr>
          <w:p w14:paraId="4B31630D" w14:textId="77777777" w:rsidR="00160A0D" w:rsidRPr="00160A0D" w:rsidRDefault="00160A0D" w:rsidP="00160A0D">
            <w:pPr>
              <w:jc w:val="right"/>
              <w:outlineLvl w:val="0"/>
              <w:rPr>
                <w:noProof/>
                <w:sz w:val="20"/>
                <w:szCs w:val="20"/>
              </w:rPr>
            </w:pPr>
            <w:bookmarkStart w:id="1221" w:name="_Toc223980820"/>
            <w:r w:rsidRPr="00160A0D">
              <w:rPr>
                <w:noProof/>
                <w:sz w:val="20"/>
                <w:szCs w:val="20"/>
              </w:rPr>
              <w:t>0.0</w:t>
            </w:r>
            <w:bookmarkEnd w:id="1221"/>
          </w:p>
        </w:tc>
        <w:tc>
          <w:tcPr>
            <w:tcW w:w="794" w:type="pct"/>
            <w:tcBorders>
              <w:top w:val="nil"/>
              <w:left w:val="nil"/>
              <w:bottom w:val="single" w:sz="4" w:space="0" w:color="auto"/>
              <w:right w:val="single" w:sz="4" w:space="0" w:color="auto"/>
            </w:tcBorders>
            <w:shd w:val="clear" w:color="000000" w:fill="FFFFFF"/>
            <w:noWrap/>
            <w:hideMark/>
          </w:tcPr>
          <w:p w14:paraId="40B1D1B9" w14:textId="77777777" w:rsidR="00160A0D" w:rsidRPr="00160A0D" w:rsidRDefault="00160A0D" w:rsidP="00160A0D">
            <w:pPr>
              <w:jc w:val="right"/>
              <w:outlineLvl w:val="0"/>
              <w:rPr>
                <w:noProof/>
                <w:sz w:val="20"/>
                <w:szCs w:val="20"/>
              </w:rPr>
            </w:pPr>
            <w:bookmarkStart w:id="1222" w:name="_Toc223980821"/>
            <w:r w:rsidRPr="00160A0D">
              <w:rPr>
                <w:noProof/>
                <w:sz w:val="20"/>
                <w:szCs w:val="20"/>
              </w:rPr>
              <w:t>0.0</w:t>
            </w:r>
            <w:bookmarkEnd w:id="1222"/>
          </w:p>
        </w:tc>
        <w:tc>
          <w:tcPr>
            <w:tcW w:w="794" w:type="pct"/>
            <w:tcBorders>
              <w:top w:val="nil"/>
              <w:left w:val="nil"/>
              <w:bottom w:val="single" w:sz="4" w:space="0" w:color="auto"/>
              <w:right w:val="single" w:sz="4" w:space="0" w:color="auto"/>
            </w:tcBorders>
            <w:shd w:val="clear" w:color="000000" w:fill="FFFFFF"/>
            <w:noWrap/>
            <w:hideMark/>
          </w:tcPr>
          <w:p w14:paraId="00C7848C" w14:textId="77777777" w:rsidR="00160A0D" w:rsidRPr="00160A0D" w:rsidRDefault="00160A0D" w:rsidP="00160A0D">
            <w:pPr>
              <w:jc w:val="right"/>
              <w:outlineLvl w:val="0"/>
              <w:rPr>
                <w:noProof/>
                <w:sz w:val="20"/>
                <w:szCs w:val="20"/>
              </w:rPr>
            </w:pPr>
            <w:bookmarkStart w:id="1223" w:name="_Toc223980822"/>
            <w:r w:rsidRPr="00160A0D">
              <w:rPr>
                <w:noProof/>
                <w:sz w:val="20"/>
                <w:szCs w:val="20"/>
              </w:rPr>
              <w:t>0.0</w:t>
            </w:r>
            <w:bookmarkEnd w:id="1223"/>
          </w:p>
        </w:tc>
      </w:tr>
      <w:tr w:rsidR="00160A0D" w:rsidRPr="00C14AF8" w14:paraId="4B1106C5"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5975C3BC" w14:textId="77777777" w:rsidR="00160A0D" w:rsidRPr="00C14AF8" w:rsidRDefault="00160A0D" w:rsidP="00160A0D">
            <w:pPr>
              <w:outlineLvl w:val="0"/>
              <w:rPr>
                <w:noProof/>
                <w:sz w:val="20"/>
                <w:szCs w:val="20"/>
              </w:rPr>
            </w:pPr>
            <w:r w:rsidRPr="00C14AF8">
              <w:rPr>
                <w:noProof/>
                <w:sz w:val="20"/>
                <w:szCs w:val="20"/>
              </w:rPr>
              <w:t xml:space="preserve"> </w:t>
            </w:r>
            <w:bookmarkStart w:id="1224" w:name="_Toc223980823"/>
            <w:r w:rsidRPr="00C14AF8">
              <w:rPr>
                <w:noProof/>
                <w:sz w:val="20"/>
                <w:szCs w:val="20"/>
              </w:rPr>
              <w:t>Hungary</w:t>
            </w:r>
            <w:bookmarkEnd w:id="122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15E2F381" w14:textId="66365189" w:rsidR="00160A0D" w:rsidRPr="00160A0D" w:rsidRDefault="00160A0D" w:rsidP="00160A0D">
            <w:pPr>
              <w:jc w:val="right"/>
              <w:outlineLvl w:val="0"/>
              <w:rPr>
                <w:noProof/>
                <w:sz w:val="20"/>
                <w:szCs w:val="20"/>
              </w:rPr>
            </w:pPr>
            <w:bookmarkStart w:id="1225" w:name="_Toc223980824"/>
            <w:r w:rsidRPr="00160A0D">
              <w:rPr>
                <w:noProof/>
                <w:sz w:val="20"/>
                <w:szCs w:val="20"/>
              </w:rPr>
              <w:t>529.1</w:t>
            </w:r>
            <w:bookmarkEnd w:id="1225"/>
          </w:p>
        </w:tc>
        <w:tc>
          <w:tcPr>
            <w:tcW w:w="794" w:type="pct"/>
            <w:tcBorders>
              <w:top w:val="nil"/>
              <w:left w:val="nil"/>
              <w:bottom w:val="single" w:sz="4" w:space="0" w:color="auto"/>
              <w:right w:val="single" w:sz="4" w:space="0" w:color="auto"/>
            </w:tcBorders>
            <w:shd w:val="clear" w:color="000000" w:fill="FFFFFF"/>
            <w:noWrap/>
            <w:hideMark/>
          </w:tcPr>
          <w:p w14:paraId="3EA44BD1" w14:textId="4CE2D6C6" w:rsidR="00160A0D" w:rsidRPr="00160A0D" w:rsidRDefault="00160A0D" w:rsidP="00160A0D">
            <w:pPr>
              <w:jc w:val="right"/>
              <w:outlineLvl w:val="0"/>
              <w:rPr>
                <w:noProof/>
                <w:sz w:val="20"/>
                <w:szCs w:val="20"/>
              </w:rPr>
            </w:pPr>
            <w:bookmarkStart w:id="1226" w:name="_Toc223980825"/>
            <w:r w:rsidRPr="00160A0D">
              <w:rPr>
                <w:noProof/>
                <w:sz w:val="20"/>
                <w:szCs w:val="20"/>
              </w:rPr>
              <w:t>65.2</w:t>
            </w:r>
            <w:bookmarkEnd w:id="1226"/>
          </w:p>
        </w:tc>
        <w:tc>
          <w:tcPr>
            <w:tcW w:w="794" w:type="pct"/>
            <w:tcBorders>
              <w:top w:val="nil"/>
              <w:left w:val="nil"/>
              <w:bottom w:val="single" w:sz="4" w:space="0" w:color="auto"/>
              <w:right w:val="single" w:sz="4" w:space="0" w:color="auto"/>
            </w:tcBorders>
            <w:shd w:val="clear" w:color="000000" w:fill="FFFFFF"/>
            <w:noWrap/>
            <w:hideMark/>
          </w:tcPr>
          <w:p w14:paraId="3FFD745B" w14:textId="35565A40" w:rsidR="00160A0D" w:rsidRPr="00160A0D" w:rsidRDefault="00160A0D" w:rsidP="00160A0D">
            <w:pPr>
              <w:jc w:val="right"/>
              <w:outlineLvl w:val="0"/>
              <w:rPr>
                <w:noProof/>
                <w:sz w:val="20"/>
                <w:szCs w:val="20"/>
              </w:rPr>
            </w:pPr>
            <w:bookmarkStart w:id="1227" w:name="_Toc223980826"/>
            <w:r w:rsidRPr="00160A0D">
              <w:rPr>
                <w:noProof/>
                <w:sz w:val="20"/>
                <w:szCs w:val="20"/>
              </w:rPr>
              <w:t>70.1</w:t>
            </w:r>
            <w:bookmarkEnd w:id="1227"/>
          </w:p>
        </w:tc>
        <w:tc>
          <w:tcPr>
            <w:tcW w:w="794" w:type="pct"/>
            <w:tcBorders>
              <w:top w:val="nil"/>
              <w:left w:val="nil"/>
              <w:bottom w:val="single" w:sz="4" w:space="0" w:color="auto"/>
              <w:right w:val="single" w:sz="4" w:space="0" w:color="auto"/>
            </w:tcBorders>
            <w:shd w:val="clear" w:color="000000" w:fill="FFFFFF"/>
            <w:noWrap/>
            <w:hideMark/>
          </w:tcPr>
          <w:p w14:paraId="7965A251" w14:textId="4CD10771" w:rsidR="00160A0D" w:rsidRPr="00160A0D" w:rsidRDefault="00160A0D" w:rsidP="00160A0D">
            <w:pPr>
              <w:jc w:val="right"/>
              <w:outlineLvl w:val="0"/>
              <w:rPr>
                <w:noProof/>
                <w:sz w:val="20"/>
                <w:szCs w:val="20"/>
              </w:rPr>
            </w:pPr>
            <w:bookmarkStart w:id="1228" w:name="_Toc223980827"/>
            <w:r w:rsidRPr="00160A0D">
              <w:rPr>
                <w:noProof/>
                <w:sz w:val="20"/>
                <w:szCs w:val="20"/>
              </w:rPr>
              <w:t>64.1</w:t>
            </w:r>
            <w:bookmarkEnd w:id="1228"/>
          </w:p>
        </w:tc>
      </w:tr>
      <w:tr w:rsidR="00160A0D" w:rsidRPr="00C14AF8" w14:paraId="4F7D72B8"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73D8B75" w14:textId="77777777" w:rsidR="00160A0D" w:rsidRPr="00C14AF8" w:rsidRDefault="00160A0D" w:rsidP="00160A0D">
            <w:pPr>
              <w:outlineLvl w:val="0"/>
              <w:rPr>
                <w:noProof/>
                <w:sz w:val="20"/>
                <w:szCs w:val="20"/>
              </w:rPr>
            </w:pPr>
            <w:r w:rsidRPr="00C14AF8">
              <w:rPr>
                <w:noProof/>
                <w:sz w:val="20"/>
                <w:szCs w:val="20"/>
              </w:rPr>
              <w:t xml:space="preserve"> </w:t>
            </w:r>
            <w:bookmarkStart w:id="1229" w:name="_Toc223980828"/>
            <w:r w:rsidRPr="00C14AF8">
              <w:rPr>
                <w:noProof/>
                <w:sz w:val="20"/>
                <w:szCs w:val="20"/>
              </w:rPr>
              <w:t>Sweden</w:t>
            </w:r>
            <w:bookmarkEnd w:id="122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3F1BE3D1" w14:textId="0A174AC1" w:rsidR="00160A0D" w:rsidRPr="00160A0D" w:rsidRDefault="00160A0D" w:rsidP="00160A0D">
            <w:pPr>
              <w:jc w:val="right"/>
              <w:outlineLvl w:val="0"/>
              <w:rPr>
                <w:noProof/>
                <w:sz w:val="20"/>
                <w:szCs w:val="20"/>
              </w:rPr>
            </w:pPr>
            <w:bookmarkStart w:id="1230" w:name="_Toc223980829"/>
            <w:r w:rsidRPr="00160A0D">
              <w:rPr>
                <w:noProof/>
                <w:sz w:val="20"/>
                <w:szCs w:val="20"/>
              </w:rPr>
              <w:t>352.8</w:t>
            </w:r>
            <w:bookmarkEnd w:id="1230"/>
          </w:p>
        </w:tc>
        <w:tc>
          <w:tcPr>
            <w:tcW w:w="794" w:type="pct"/>
            <w:tcBorders>
              <w:top w:val="nil"/>
              <w:left w:val="nil"/>
              <w:bottom w:val="single" w:sz="4" w:space="0" w:color="auto"/>
              <w:right w:val="single" w:sz="4" w:space="0" w:color="auto"/>
            </w:tcBorders>
            <w:shd w:val="clear" w:color="000000" w:fill="FFFFFF"/>
            <w:noWrap/>
            <w:hideMark/>
          </w:tcPr>
          <w:p w14:paraId="2BFF9A60" w14:textId="3A9B7347" w:rsidR="00160A0D" w:rsidRPr="00160A0D" w:rsidRDefault="00160A0D" w:rsidP="00160A0D">
            <w:pPr>
              <w:jc w:val="right"/>
              <w:outlineLvl w:val="0"/>
              <w:rPr>
                <w:noProof/>
                <w:sz w:val="20"/>
                <w:szCs w:val="20"/>
              </w:rPr>
            </w:pPr>
            <w:bookmarkStart w:id="1231" w:name="_Toc223980830"/>
            <w:r w:rsidRPr="00160A0D">
              <w:rPr>
                <w:noProof/>
                <w:sz w:val="20"/>
                <w:szCs w:val="20"/>
              </w:rPr>
              <w:t>43.4</w:t>
            </w:r>
            <w:bookmarkEnd w:id="1231"/>
          </w:p>
        </w:tc>
        <w:tc>
          <w:tcPr>
            <w:tcW w:w="794" w:type="pct"/>
            <w:tcBorders>
              <w:top w:val="nil"/>
              <w:left w:val="nil"/>
              <w:bottom w:val="single" w:sz="4" w:space="0" w:color="auto"/>
              <w:right w:val="single" w:sz="4" w:space="0" w:color="auto"/>
            </w:tcBorders>
            <w:shd w:val="clear" w:color="000000" w:fill="FFFFFF"/>
            <w:noWrap/>
            <w:hideMark/>
          </w:tcPr>
          <w:p w14:paraId="07D2195D" w14:textId="78A2483A" w:rsidR="00160A0D" w:rsidRPr="00160A0D" w:rsidRDefault="00160A0D" w:rsidP="00160A0D">
            <w:pPr>
              <w:jc w:val="right"/>
              <w:outlineLvl w:val="0"/>
              <w:rPr>
                <w:noProof/>
                <w:sz w:val="20"/>
                <w:szCs w:val="20"/>
              </w:rPr>
            </w:pPr>
            <w:bookmarkStart w:id="1232" w:name="_Toc223980831"/>
            <w:r w:rsidRPr="00160A0D">
              <w:rPr>
                <w:noProof/>
                <w:sz w:val="20"/>
                <w:szCs w:val="20"/>
              </w:rPr>
              <w:t>46.7</w:t>
            </w:r>
            <w:bookmarkEnd w:id="1232"/>
          </w:p>
        </w:tc>
        <w:tc>
          <w:tcPr>
            <w:tcW w:w="794" w:type="pct"/>
            <w:tcBorders>
              <w:top w:val="nil"/>
              <w:left w:val="nil"/>
              <w:bottom w:val="single" w:sz="4" w:space="0" w:color="auto"/>
              <w:right w:val="single" w:sz="4" w:space="0" w:color="auto"/>
            </w:tcBorders>
            <w:shd w:val="clear" w:color="000000" w:fill="FFFFFF"/>
            <w:noWrap/>
            <w:hideMark/>
          </w:tcPr>
          <w:p w14:paraId="2223B903" w14:textId="04B9C652" w:rsidR="00160A0D" w:rsidRPr="00160A0D" w:rsidRDefault="00160A0D" w:rsidP="00160A0D">
            <w:pPr>
              <w:jc w:val="right"/>
              <w:outlineLvl w:val="0"/>
              <w:rPr>
                <w:noProof/>
                <w:sz w:val="20"/>
                <w:szCs w:val="20"/>
              </w:rPr>
            </w:pPr>
            <w:bookmarkStart w:id="1233" w:name="_Toc223980832"/>
            <w:r w:rsidRPr="00160A0D">
              <w:rPr>
                <w:noProof/>
                <w:sz w:val="20"/>
                <w:szCs w:val="20"/>
              </w:rPr>
              <w:t>42.7</w:t>
            </w:r>
            <w:bookmarkEnd w:id="1233"/>
          </w:p>
        </w:tc>
      </w:tr>
      <w:tr w:rsidR="00160A0D" w:rsidRPr="00C14AF8" w14:paraId="77D7B921"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1AA6D363" w14:textId="1BFBC6C2" w:rsidR="00160A0D" w:rsidRPr="00C14AF8" w:rsidRDefault="00160A0D" w:rsidP="00160A0D">
            <w:pPr>
              <w:outlineLvl w:val="0"/>
              <w:rPr>
                <w:noProof/>
                <w:sz w:val="20"/>
                <w:szCs w:val="20"/>
              </w:rPr>
            </w:pPr>
            <w:r w:rsidRPr="00C14AF8">
              <w:rPr>
                <w:noProof/>
                <w:sz w:val="20"/>
                <w:szCs w:val="20"/>
              </w:rPr>
              <w:t xml:space="preserve"> </w:t>
            </w:r>
            <w:bookmarkStart w:id="1234" w:name="_Toc223980833"/>
            <w:r w:rsidRPr="00C14AF8">
              <w:rPr>
                <w:noProof/>
                <w:sz w:val="20"/>
                <w:szCs w:val="20"/>
              </w:rPr>
              <w:t>Czechia</w:t>
            </w:r>
            <w:bookmarkEnd w:id="1234"/>
          </w:p>
        </w:tc>
        <w:tc>
          <w:tcPr>
            <w:tcW w:w="794" w:type="pct"/>
            <w:tcBorders>
              <w:top w:val="nil"/>
              <w:left w:val="nil"/>
              <w:bottom w:val="single" w:sz="4" w:space="0" w:color="auto"/>
              <w:right w:val="single" w:sz="4" w:space="0" w:color="auto"/>
            </w:tcBorders>
            <w:shd w:val="clear" w:color="000000" w:fill="FFFFFF"/>
            <w:noWrap/>
            <w:hideMark/>
          </w:tcPr>
          <w:p w14:paraId="0D084EF1" w14:textId="65F9E4F8" w:rsidR="00160A0D" w:rsidRPr="00160A0D" w:rsidRDefault="00160A0D" w:rsidP="00160A0D">
            <w:pPr>
              <w:jc w:val="right"/>
              <w:outlineLvl w:val="0"/>
              <w:rPr>
                <w:noProof/>
                <w:sz w:val="20"/>
                <w:szCs w:val="20"/>
              </w:rPr>
            </w:pPr>
            <w:bookmarkStart w:id="1235" w:name="_Toc223980834"/>
            <w:r w:rsidRPr="00160A0D">
              <w:rPr>
                <w:noProof/>
                <w:sz w:val="20"/>
                <w:szCs w:val="20"/>
              </w:rPr>
              <w:t>529.1</w:t>
            </w:r>
            <w:bookmarkEnd w:id="1235"/>
          </w:p>
        </w:tc>
        <w:tc>
          <w:tcPr>
            <w:tcW w:w="794" w:type="pct"/>
            <w:tcBorders>
              <w:top w:val="nil"/>
              <w:left w:val="nil"/>
              <w:bottom w:val="single" w:sz="4" w:space="0" w:color="auto"/>
              <w:right w:val="single" w:sz="4" w:space="0" w:color="auto"/>
            </w:tcBorders>
            <w:shd w:val="clear" w:color="000000" w:fill="FFFFFF"/>
            <w:noWrap/>
            <w:hideMark/>
          </w:tcPr>
          <w:p w14:paraId="12C91C17" w14:textId="3ED1EC3D" w:rsidR="00160A0D" w:rsidRPr="00160A0D" w:rsidRDefault="00160A0D" w:rsidP="00160A0D">
            <w:pPr>
              <w:jc w:val="right"/>
              <w:outlineLvl w:val="0"/>
              <w:rPr>
                <w:noProof/>
                <w:sz w:val="20"/>
                <w:szCs w:val="20"/>
              </w:rPr>
            </w:pPr>
            <w:bookmarkStart w:id="1236" w:name="_Toc223980835"/>
            <w:r w:rsidRPr="00160A0D">
              <w:rPr>
                <w:noProof/>
                <w:sz w:val="20"/>
                <w:szCs w:val="20"/>
              </w:rPr>
              <w:t>65.2</w:t>
            </w:r>
            <w:bookmarkEnd w:id="1236"/>
          </w:p>
        </w:tc>
        <w:tc>
          <w:tcPr>
            <w:tcW w:w="794" w:type="pct"/>
            <w:tcBorders>
              <w:top w:val="nil"/>
              <w:left w:val="nil"/>
              <w:bottom w:val="single" w:sz="4" w:space="0" w:color="auto"/>
              <w:right w:val="single" w:sz="4" w:space="0" w:color="auto"/>
            </w:tcBorders>
            <w:shd w:val="clear" w:color="000000" w:fill="FFFFFF"/>
            <w:noWrap/>
            <w:hideMark/>
          </w:tcPr>
          <w:p w14:paraId="48475C19" w14:textId="1660BA74" w:rsidR="00160A0D" w:rsidRPr="00160A0D" w:rsidRDefault="00160A0D" w:rsidP="00160A0D">
            <w:pPr>
              <w:jc w:val="right"/>
              <w:outlineLvl w:val="0"/>
              <w:rPr>
                <w:noProof/>
                <w:sz w:val="20"/>
                <w:szCs w:val="20"/>
              </w:rPr>
            </w:pPr>
            <w:bookmarkStart w:id="1237" w:name="_Toc223980836"/>
            <w:r w:rsidRPr="00160A0D">
              <w:rPr>
                <w:noProof/>
                <w:sz w:val="20"/>
                <w:szCs w:val="20"/>
              </w:rPr>
              <w:t>70.1</w:t>
            </w:r>
            <w:bookmarkEnd w:id="1237"/>
          </w:p>
        </w:tc>
        <w:tc>
          <w:tcPr>
            <w:tcW w:w="794" w:type="pct"/>
            <w:tcBorders>
              <w:top w:val="nil"/>
              <w:left w:val="nil"/>
              <w:bottom w:val="single" w:sz="4" w:space="0" w:color="auto"/>
              <w:right w:val="single" w:sz="4" w:space="0" w:color="auto"/>
            </w:tcBorders>
            <w:shd w:val="clear" w:color="000000" w:fill="FFFFFF"/>
            <w:noWrap/>
            <w:hideMark/>
          </w:tcPr>
          <w:p w14:paraId="74A4F855" w14:textId="17DDA2E6" w:rsidR="00160A0D" w:rsidRPr="00160A0D" w:rsidRDefault="00160A0D" w:rsidP="00160A0D">
            <w:pPr>
              <w:jc w:val="right"/>
              <w:outlineLvl w:val="0"/>
              <w:rPr>
                <w:noProof/>
                <w:sz w:val="20"/>
                <w:szCs w:val="20"/>
              </w:rPr>
            </w:pPr>
            <w:bookmarkStart w:id="1238" w:name="_Toc223980837"/>
            <w:r w:rsidRPr="00160A0D">
              <w:rPr>
                <w:noProof/>
                <w:sz w:val="20"/>
                <w:szCs w:val="20"/>
              </w:rPr>
              <w:t>64.1</w:t>
            </w:r>
            <w:bookmarkEnd w:id="1238"/>
          </w:p>
        </w:tc>
      </w:tr>
      <w:tr w:rsidR="00160A0D" w:rsidRPr="00C14AF8" w14:paraId="4BB1FE84"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29E628B1" w14:textId="77777777" w:rsidR="00160A0D" w:rsidRPr="00C14AF8" w:rsidRDefault="00160A0D" w:rsidP="00160A0D">
            <w:pPr>
              <w:outlineLvl w:val="0"/>
              <w:rPr>
                <w:noProof/>
                <w:sz w:val="20"/>
                <w:szCs w:val="20"/>
              </w:rPr>
            </w:pPr>
            <w:r w:rsidRPr="00C14AF8">
              <w:rPr>
                <w:noProof/>
                <w:sz w:val="20"/>
                <w:szCs w:val="20"/>
              </w:rPr>
              <w:t xml:space="preserve"> </w:t>
            </w:r>
            <w:bookmarkStart w:id="1239" w:name="_Toc223980838"/>
            <w:r w:rsidRPr="00C14AF8">
              <w:rPr>
                <w:noProof/>
                <w:sz w:val="20"/>
                <w:szCs w:val="20"/>
              </w:rPr>
              <w:t>Ireland</w:t>
            </w:r>
            <w:bookmarkEnd w:id="123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7DB3D1F5" w14:textId="2CBF1238" w:rsidR="00160A0D" w:rsidRPr="00160A0D" w:rsidRDefault="00160A0D" w:rsidP="00160A0D">
            <w:pPr>
              <w:jc w:val="right"/>
              <w:outlineLvl w:val="0"/>
              <w:rPr>
                <w:noProof/>
                <w:sz w:val="20"/>
                <w:szCs w:val="20"/>
              </w:rPr>
            </w:pPr>
            <w:bookmarkStart w:id="1240" w:name="_Toc223980839"/>
            <w:r w:rsidRPr="00160A0D">
              <w:rPr>
                <w:noProof/>
                <w:sz w:val="20"/>
                <w:szCs w:val="20"/>
              </w:rPr>
              <w:t>352.8</w:t>
            </w:r>
            <w:bookmarkEnd w:id="1240"/>
          </w:p>
        </w:tc>
        <w:tc>
          <w:tcPr>
            <w:tcW w:w="794" w:type="pct"/>
            <w:tcBorders>
              <w:top w:val="nil"/>
              <w:left w:val="nil"/>
              <w:bottom w:val="single" w:sz="4" w:space="0" w:color="auto"/>
              <w:right w:val="single" w:sz="4" w:space="0" w:color="auto"/>
            </w:tcBorders>
            <w:shd w:val="clear" w:color="000000" w:fill="FFFFFF"/>
            <w:noWrap/>
            <w:hideMark/>
          </w:tcPr>
          <w:p w14:paraId="768AA507" w14:textId="392ABED1" w:rsidR="00160A0D" w:rsidRPr="00160A0D" w:rsidRDefault="00160A0D" w:rsidP="00160A0D">
            <w:pPr>
              <w:jc w:val="right"/>
              <w:outlineLvl w:val="0"/>
              <w:rPr>
                <w:noProof/>
                <w:sz w:val="20"/>
                <w:szCs w:val="20"/>
              </w:rPr>
            </w:pPr>
            <w:bookmarkStart w:id="1241" w:name="_Toc223980840"/>
            <w:r w:rsidRPr="00160A0D">
              <w:rPr>
                <w:noProof/>
                <w:sz w:val="20"/>
                <w:szCs w:val="20"/>
              </w:rPr>
              <w:t>43.4</w:t>
            </w:r>
            <w:bookmarkEnd w:id="1241"/>
          </w:p>
        </w:tc>
        <w:tc>
          <w:tcPr>
            <w:tcW w:w="794" w:type="pct"/>
            <w:tcBorders>
              <w:top w:val="nil"/>
              <w:left w:val="nil"/>
              <w:bottom w:val="single" w:sz="4" w:space="0" w:color="auto"/>
              <w:right w:val="single" w:sz="4" w:space="0" w:color="auto"/>
            </w:tcBorders>
            <w:shd w:val="clear" w:color="000000" w:fill="FFFFFF"/>
            <w:noWrap/>
            <w:hideMark/>
          </w:tcPr>
          <w:p w14:paraId="3FE9F5A7" w14:textId="37E734EA" w:rsidR="00160A0D" w:rsidRPr="00160A0D" w:rsidRDefault="00160A0D" w:rsidP="00160A0D">
            <w:pPr>
              <w:jc w:val="right"/>
              <w:outlineLvl w:val="0"/>
              <w:rPr>
                <w:noProof/>
                <w:sz w:val="20"/>
                <w:szCs w:val="20"/>
              </w:rPr>
            </w:pPr>
            <w:bookmarkStart w:id="1242" w:name="_Toc223980841"/>
            <w:r w:rsidRPr="00160A0D">
              <w:rPr>
                <w:noProof/>
                <w:sz w:val="20"/>
                <w:szCs w:val="20"/>
              </w:rPr>
              <w:t>46.7</w:t>
            </w:r>
            <w:bookmarkEnd w:id="1242"/>
          </w:p>
        </w:tc>
        <w:tc>
          <w:tcPr>
            <w:tcW w:w="794" w:type="pct"/>
            <w:tcBorders>
              <w:top w:val="nil"/>
              <w:left w:val="nil"/>
              <w:bottom w:val="single" w:sz="4" w:space="0" w:color="auto"/>
              <w:right w:val="single" w:sz="4" w:space="0" w:color="auto"/>
            </w:tcBorders>
            <w:shd w:val="clear" w:color="000000" w:fill="FFFFFF"/>
            <w:noWrap/>
            <w:hideMark/>
          </w:tcPr>
          <w:p w14:paraId="0D81E81B" w14:textId="3BE5B872" w:rsidR="00160A0D" w:rsidRPr="00160A0D" w:rsidRDefault="00160A0D" w:rsidP="00160A0D">
            <w:pPr>
              <w:jc w:val="right"/>
              <w:outlineLvl w:val="0"/>
              <w:rPr>
                <w:noProof/>
                <w:sz w:val="20"/>
                <w:szCs w:val="20"/>
              </w:rPr>
            </w:pPr>
            <w:bookmarkStart w:id="1243" w:name="_Toc223980842"/>
            <w:r w:rsidRPr="00160A0D">
              <w:rPr>
                <w:noProof/>
                <w:sz w:val="20"/>
                <w:szCs w:val="20"/>
              </w:rPr>
              <w:t>42.7</w:t>
            </w:r>
            <w:bookmarkEnd w:id="1243"/>
          </w:p>
        </w:tc>
      </w:tr>
      <w:tr w:rsidR="00160A0D" w:rsidRPr="00C14AF8" w14:paraId="6A923C60"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067DFC54" w14:textId="77777777" w:rsidR="00160A0D" w:rsidRPr="00C14AF8" w:rsidRDefault="00160A0D" w:rsidP="00160A0D">
            <w:pPr>
              <w:outlineLvl w:val="0"/>
              <w:rPr>
                <w:noProof/>
                <w:sz w:val="20"/>
                <w:szCs w:val="20"/>
              </w:rPr>
            </w:pPr>
            <w:r w:rsidRPr="00C14AF8">
              <w:rPr>
                <w:noProof/>
                <w:sz w:val="20"/>
                <w:szCs w:val="20"/>
              </w:rPr>
              <w:t xml:space="preserve"> </w:t>
            </w:r>
            <w:bookmarkStart w:id="1244" w:name="_Toc223980843"/>
            <w:r w:rsidRPr="00C14AF8">
              <w:rPr>
                <w:noProof/>
                <w:sz w:val="20"/>
                <w:szCs w:val="20"/>
              </w:rPr>
              <w:t>Slovenia</w:t>
            </w:r>
            <w:bookmarkEnd w:id="124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2A45C4FC" w14:textId="77777777" w:rsidR="00160A0D" w:rsidRPr="00160A0D" w:rsidRDefault="00160A0D" w:rsidP="00160A0D">
            <w:pPr>
              <w:jc w:val="right"/>
              <w:outlineLvl w:val="0"/>
              <w:rPr>
                <w:noProof/>
                <w:sz w:val="20"/>
                <w:szCs w:val="20"/>
              </w:rPr>
            </w:pPr>
            <w:bookmarkStart w:id="1245" w:name="_Toc223980844"/>
            <w:r w:rsidRPr="00160A0D">
              <w:rPr>
                <w:noProof/>
                <w:sz w:val="20"/>
                <w:szCs w:val="20"/>
              </w:rPr>
              <w:t>0.0</w:t>
            </w:r>
            <w:bookmarkEnd w:id="1245"/>
          </w:p>
        </w:tc>
        <w:tc>
          <w:tcPr>
            <w:tcW w:w="794" w:type="pct"/>
            <w:tcBorders>
              <w:top w:val="nil"/>
              <w:left w:val="nil"/>
              <w:bottom w:val="single" w:sz="4" w:space="0" w:color="auto"/>
              <w:right w:val="single" w:sz="4" w:space="0" w:color="auto"/>
            </w:tcBorders>
            <w:shd w:val="clear" w:color="000000" w:fill="FFFFFF"/>
            <w:noWrap/>
            <w:hideMark/>
          </w:tcPr>
          <w:p w14:paraId="51A2C04D" w14:textId="77777777" w:rsidR="00160A0D" w:rsidRPr="00160A0D" w:rsidRDefault="00160A0D" w:rsidP="00160A0D">
            <w:pPr>
              <w:jc w:val="right"/>
              <w:outlineLvl w:val="0"/>
              <w:rPr>
                <w:noProof/>
                <w:sz w:val="20"/>
                <w:szCs w:val="20"/>
              </w:rPr>
            </w:pPr>
            <w:bookmarkStart w:id="1246" w:name="_Toc223980845"/>
            <w:r w:rsidRPr="00160A0D">
              <w:rPr>
                <w:noProof/>
                <w:sz w:val="20"/>
                <w:szCs w:val="20"/>
              </w:rPr>
              <w:t>0.0</w:t>
            </w:r>
            <w:bookmarkEnd w:id="1246"/>
          </w:p>
        </w:tc>
        <w:tc>
          <w:tcPr>
            <w:tcW w:w="794" w:type="pct"/>
            <w:tcBorders>
              <w:top w:val="nil"/>
              <w:left w:val="nil"/>
              <w:bottom w:val="single" w:sz="4" w:space="0" w:color="auto"/>
              <w:right w:val="single" w:sz="4" w:space="0" w:color="auto"/>
            </w:tcBorders>
            <w:shd w:val="clear" w:color="000000" w:fill="FFFFFF"/>
            <w:noWrap/>
            <w:hideMark/>
          </w:tcPr>
          <w:p w14:paraId="6BB8321F" w14:textId="77777777" w:rsidR="00160A0D" w:rsidRPr="00160A0D" w:rsidRDefault="00160A0D" w:rsidP="00160A0D">
            <w:pPr>
              <w:jc w:val="right"/>
              <w:outlineLvl w:val="0"/>
              <w:rPr>
                <w:noProof/>
                <w:sz w:val="20"/>
                <w:szCs w:val="20"/>
              </w:rPr>
            </w:pPr>
            <w:bookmarkStart w:id="1247" w:name="_Toc223980846"/>
            <w:r w:rsidRPr="00160A0D">
              <w:rPr>
                <w:noProof/>
                <w:sz w:val="20"/>
                <w:szCs w:val="20"/>
              </w:rPr>
              <w:t>0.0</w:t>
            </w:r>
            <w:bookmarkEnd w:id="1247"/>
          </w:p>
        </w:tc>
        <w:tc>
          <w:tcPr>
            <w:tcW w:w="794" w:type="pct"/>
            <w:tcBorders>
              <w:top w:val="nil"/>
              <w:left w:val="nil"/>
              <w:bottom w:val="single" w:sz="4" w:space="0" w:color="auto"/>
              <w:right w:val="single" w:sz="4" w:space="0" w:color="auto"/>
            </w:tcBorders>
            <w:shd w:val="clear" w:color="000000" w:fill="FFFFFF"/>
            <w:noWrap/>
            <w:hideMark/>
          </w:tcPr>
          <w:p w14:paraId="1467BB89" w14:textId="77777777" w:rsidR="00160A0D" w:rsidRPr="00160A0D" w:rsidRDefault="00160A0D" w:rsidP="00160A0D">
            <w:pPr>
              <w:jc w:val="right"/>
              <w:outlineLvl w:val="0"/>
              <w:rPr>
                <w:noProof/>
                <w:sz w:val="20"/>
                <w:szCs w:val="20"/>
              </w:rPr>
            </w:pPr>
            <w:bookmarkStart w:id="1248" w:name="_Toc223980847"/>
            <w:r w:rsidRPr="00160A0D">
              <w:rPr>
                <w:noProof/>
                <w:sz w:val="20"/>
                <w:szCs w:val="20"/>
              </w:rPr>
              <w:t>0.0</w:t>
            </w:r>
            <w:bookmarkEnd w:id="1248"/>
          </w:p>
        </w:tc>
      </w:tr>
      <w:tr w:rsidR="00160A0D" w:rsidRPr="00C14AF8" w14:paraId="56C50C26"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07232544" w14:textId="77777777" w:rsidR="00160A0D" w:rsidRPr="00C14AF8" w:rsidRDefault="00160A0D" w:rsidP="00160A0D">
            <w:pPr>
              <w:outlineLvl w:val="0"/>
              <w:rPr>
                <w:noProof/>
                <w:sz w:val="20"/>
                <w:szCs w:val="20"/>
              </w:rPr>
            </w:pPr>
            <w:r w:rsidRPr="00C14AF8">
              <w:rPr>
                <w:noProof/>
                <w:sz w:val="20"/>
                <w:szCs w:val="20"/>
              </w:rPr>
              <w:t xml:space="preserve"> </w:t>
            </w:r>
            <w:bookmarkStart w:id="1249" w:name="_Toc223980848"/>
            <w:r w:rsidRPr="00C14AF8">
              <w:rPr>
                <w:noProof/>
                <w:sz w:val="20"/>
                <w:szCs w:val="20"/>
              </w:rPr>
              <w:t>Latvia</w:t>
            </w:r>
            <w:bookmarkEnd w:id="124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6A5954E0" w14:textId="77777777" w:rsidR="00160A0D" w:rsidRPr="00160A0D" w:rsidRDefault="00160A0D" w:rsidP="00160A0D">
            <w:pPr>
              <w:jc w:val="right"/>
              <w:outlineLvl w:val="0"/>
              <w:rPr>
                <w:noProof/>
                <w:sz w:val="20"/>
                <w:szCs w:val="20"/>
              </w:rPr>
            </w:pPr>
            <w:bookmarkStart w:id="1250" w:name="_Toc223980849"/>
            <w:r w:rsidRPr="00160A0D">
              <w:rPr>
                <w:noProof/>
                <w:sz w:val="20"/>
                <w:szCs w:val="20"/>
              </w:rPr>
              <w:t>0.0</w:t>
            </w:r>
            <w:bookmarkEnd w:id="1250"/>
          </w:p>
        </w:tc>
        <w:tc>
          <w:tcPr>
            <w:tcW w:w="794" w:type="pct"/>
            <w:tcBorders>
              <w:top w:val="nil"/>
              <w:left w:val="nil"/>
              <w:bottom w:val="single" w:sz="4" w:space="0" w:color="auto"/>
              <w:right w:val="single" w:sz="4" w:space="0" w:color="auto"/>
            </w:tcBorders>
            <w:shd w:val="clear" w:color="000000" w:fill="FFFFFF"/>
            <w:noWrap/>
            <w:hideMark/>
          </w:tcPr>
          <w:p w14:paraId="001A17E8" w14:textId="77777777" w:rsidR="00160A0D" w:rsidRPr="00160A0D" w:rsidRDefault="00160A0D" w:rsidP="00160A0D">
            <w:pPr>
              <w:jc w:val="right"/>
              <w:outlineLvl w:val="0"/>
              <w:rPr>
                <w:noProof/>
                <w:sz w:val="20"/>
                <w:szCs w:val="20"/>
              </w:rPr>
            </w:pPr>
            <w:bookmarkStart w:id="1251" w:name="_Toc223980850"/>
            <w:r w:rsidRPr="00160A0D">
              <w:rPr>
                <w:noProof/>
                <w:sz w:val="20"/>
                <w:szCs w:val="20"/>
              </w:rPr>
              <w:t>0.0</w:t>
            </w:r>
            <w:bookmarkEnd w:id="1251"/>
          </w:p>
        </w:tc>
        <w:tc>
          <w:tcPr>
            <w:tcW w:w="794" w:type="pct"/>
            <w:tcBorders>
              <w:top w:val="nil"/>
              <w:left w:val="nil"/>
              <w:bottom w:val="single" w:sz="4" w:space="0" w:color="auto"/>
              <w:right w:val="single" w:sz="4" w:space="0" w:color="auto"/>
            </w:tcBorders>
            <w:shd w:val="clear" w:color="000000" w:fill="FFFFFF"/>
            <w:noWrap/>
            <w:hideMark/>
          </w:tcPr>
          <w:p w14:paraId="0413BC6F" w14:textId="77777777" w:rsidR="00160A0D" w:rsidRPr="00160A0D" w:rsidRDefault="00160A0D" w:rsidP="00160A0D">
            <w:pPr>
              <w:jc w:val="right"/>
              <w:outlineLvl w:val="0"/>
              <w:rPr>
                <w:noProof/>
                <w:sz w:val="20"/>
                <w:szCs w:val="20"/>
              </w:rPr>
            </w:pPr>
            <w:bookmarkStart w:id="1252" w:name="_Toc223980851"/>
            <w:r w:rsidRPr="00160A0D">
              <w:rPr>
                <w:noProof/>
                <w:sz w:val="20"/>
                <w:szCs w:val="20"/>
              </w:rPr>
              <w:t>0.0</w:t>
            </w:r>
            <w:bookmarkEnd w:id="1252"/>
          </w:p>
        </w:tc>
        <w:tc>
          <w:tcPr>
            <w:tcW w:w="794" w:type="pct"/>
            <w:tcBorders>
              <w:top w:val="nil"/>
              <w:left w:val="nil"/>
              <w:bottom w:val="single" w:sz="4" w:space="0" w:color="auto"/>
              <w:right w:val="single" w:sz="4" w:space="0" w:color="auto"/>
            </w:tcBorders>
            <w:shd w:val="clear" w:color="000000" w:fill="FFFFFF"/>
            <w:noWrap/>
            <w:hideMark/>
          </w:tcPr>
          <w:p w14:paraId="043094B1" w14:textId="77777777" w:rsidR="00160A0D" w:rsidRPr="00160A0D" w:rsidRDefault="00160A0D" w:rsidP="00160A0D">
            <w:pPr>
              <w:jc w:val="right"/>
              <w:outlineLvl w:val="0"/>
              <w:rPr>
                <w:noProof/>
                <w:sz w:val="20"/>
                <w:szCs w:val="20"/>
              </w:rPr>
            </w:pPr>
            <w:bookmarkStart w:id="1253" w:name="_Toc223980852"/>
            <w:r w:rsidRPr="00160A0D">
              <w:rPr>
                <w:noProof/>
                <w:sz w:val="20"/>
                <w:szCs w:val="20"/>
              </w:rPr>
              <w:t>0.0</w:t>
            </w:r>
            <w:bookmarkEnd w:id="1253"/>
          </w:p>
        </w:tc>
      </w:tr>
      <w:tr w:rsidR="00160A0D" w:rsidRPr="00C14AF8" w14:paraId="060E7702"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06FEA28" w14:textId="77777777" w:rsidR="00160A0D" w:rsidRPr="00C14AF8" w:rsidRDefault="00160A0D" w:rsidP="00160A0D">
            <w:pPr>
              <w:outlineLvl w:val="0"/>
              <w:rPr>
                <w:noProof/>
                <w:sz w:val="20"/>
                <w:szCs w:val="20"/>
              </w:rPr>
            </w:pPr>
            <w:r w:rsidRPr="00C14AF8">
              <w:rPr>
                <w:noProof/>
                <w:sz w:val="20"/>
                <w:szCs w:val="20"/>
              </w:rPr>
              <w:t xml:space="preserve"> </w:t>
            </w:r>
            <w:bookmarkStart w:id="1254" w:name="_Toc223980853"/>
            <w:r w:rsidRPr="00C14AF8">
              <w:rPr>
                <w:noProof/>
                <w:sz w:val="20"/>
                <w:szCs w:val="20"/>
              </w:rPr>
              <w:t>Romania</w:t>
            </w:r>
            <w:bookmarkEnd w:id="125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4076F040" w14:textId="77777777" w:rsidR="00160A0D" w:rsidRPr="00160A0D" w:rsidRDefault="00160A0D" w:rsidP="00160A0D">
            <w:pPr>
              <w:jc w:val="right"/>
              <w:outlineLvl w:val="0"/>
              <w:rPr>
                <w:noProof/>
                <w:sz w:val="20"/>
                <w:szCs w:val="20"/>
              </w:rPr>
            </w:pPr>
            <w:bookmarkStart w:id="1255" w:name="_Toc223980854"/>
            <w:r w:rsidRPr="00160A0D">
              <w:rPr>
                <w:noProof/>
                <w:sz w:val="20"/>
                <w:szCs w:val="20"/>
              </w:rPr>
              <w:t>0.0</w:t>
            </w:r>
            <w:bookmarkEnd w:id="1255"/>
          </w:p>
        </w:tc>
        <w:tc>
          <w:tcPr>
            <w:tcW w:w="794" w:type="pct"/>
            <w:tcBorders>
              <w:top w:val="nil"/>
              <w:left w:val="nil"/>
              <w:bottom w:val="single" w:sz="4" w:space="0" w:color="auto"/>
              <w:right w:val="single" w:sz="4" w:space="0" w:color="auto"/>
            </w:tcBorders>
            <w:shd w:val="clear" w:color="000000" w:fill="FFFFFF"/>
            <w:noWrap/>
            <w:hideMark/>
          </w:tcPr>
          <w:p w14:paraId="2DEB9A6C" w14:textId="77777777" w:rsidR="00160A0D" w:rsidRPr="00160A0D" w:rsidRDefault="00160A0D" w:rsidP="00160A0D">
            <w:pPr>
              <w:jc w:val="right"/>
              <w:outlineLvl w:val="0"/>
              <w:rPr>
                <w:noProof/>
                <w:sz w:val="20"/>
                <w:szCs w:val="20"/>
              </w:rPr>
            </w:pPr>
            <w:bookmarkStart w:id="1256" w:name="_Toc223980855"/>
            <w:r w:rsidRPr="00160A0D">
              <w:rPr>
                <w:noProof/>
                <w:sz w:val="20"/>
                <w:szCs w:val="20"/>
              </w:rPr>
              <w:t>0.0</w:t>
            </w:r>
            <w:bookmarkEnd w:id="1256"/>
          </w:p>
        </w:tc>
        <w:tc>
          <w:tcPr>
            <w:tcW w:w="794" w:type="pct"/>
            <w:tcBorders>
              <w:top w:val="nil"/>
              <w:left w:val="nil"/>
              <w:bottom w:val="single" w:sz="4" w:space="0" w:color="auto"/>
              <w:right w:val="single" w:sz="4" w:space="0" w:color="auto"/>
            </w:tcBorders>
            <w:shd w:val="clear" w:color="000000" w:fill="FFFFFF"/>
            <w:noWrap/>
            <w:hideMark/>
          </w:tcPr>
          <w:p w14:paraId="428FEC8A" w14:textId="77777777" w:rsidR="00160A0D" w:rsidRPr="00160A0D" w:rsidRDefault="00160A0D" w:rsidP="00160A0D">
            <w:pPr>
              <w:jc w:val="right"/>
              <w:outlineLvl w:val="0"/>
              <w:rPr>
                <w:noProof/>
                <w:sz w:val="20"/>
                <w:szCs w:val="20"/>
              </w:rPr>
            </w:pPr>
            <w:bookmarkStart w:id="1257" w:name="_Toc223980856"/>
            <w:r w:rsidRPr="00160A0D">
              <w:rPr>
                <w:noProof/>
                <w:sz w:val="20"/>
                <w:szCs w:val="20"/>
              </w:rPr>
              <w:t>0.0</w:t>
            </w:r>
            <w:bookmarkEnd w:id="1257"/>
          </w:p>
        </w:tc>
        <w:tc>
          <w:tcPr>
            <w:tcW w:w="794" w:type="pct"/>
            <w:tcBorders>
              <w:top w:val="nil"/>
              <w:left w:val="nil"/>
              <w:bottom w:val="single" w:sz="4" w:space="0" w:color="auto"/>
              <w:right w:val="single" w:sz="4" w:space="0" w:color="auto"/>
            </w:tcBorders>
            <w:shd w:val="clear" w:color="000000" w:fill="FFFFFF"/>
            <w:noWrap/>
            <w:hideMark/>
          </w:tcPr>
          <w:p w14:paraId="267232AA" w14:textId="77777777" w:rsidR="00160A0D" w:rsidRPr="00160A0D" w:rsidRDefault="00160A0D" w:rsidP="00160A0D">
            <w:pPr>
              <w:jc w:val="right"/>
              <w:outlineLvl w:val="0"/>
              <w:rPr>
                <w:noProof/>
                <w:sz w:val="20"/>
                <w:szCs w:val="20"/>
              </w:rPr>
            </w:pPr>
            <w:bookmarkStart w:id="1258" w:name="_Toc223980857"/>
            <w:r w:rsidRPr="00160A0D">
              <w:rPr>
                <w:noProof/>
                <w:sz w:val="20"/>
                <w:szCs w:val="20"/>
              </w:rPr>
              <w:t>0.0</w:t>
            </w:r>
            <w:bookmarkEnd w:id="1258"/>
          </w:p>
        </w:tc>
      </w:tr>
      <w:tr w:rsidR="00160A0D" w:rsidRPr="00C14AF8" w14:paraId="69F0DEDF"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73F833A2" w14:textId="77777777" w:rsidR="00160A0D" w:rsidRPr="00C14AF8" w:rsidRDefault="00160A0D" w:rsidP="00160A0D">
            <w:pPr>
              <w:outlineLvl w:val="0"/>
              <w:rPr>
                <w:noProof/>
                <w:sz w:val="20"/>
                <w:szCs w:val="20"/>
              </w:rPr>
            </w:pPr>
            <w:r w:rsidRPr="00C14AF8">
              <w:rPr>
                <w:noProof/>
                <w:sz w:val="20"/>
                <w:szCs w:val="20"/>
              </w:rPr>
              <w:t xml:space="preserve"> </w:t>
            </w:r>
            <w:bookmarkStart w:id="1259" w:name="_Toc223980858"/>
            <w:r w:rsidRPr="00C14AF8">
              <w:rPr>
                <w:noProof/>
                <w:sz w:val="20"/>
                <w:szCs w:val="20"/>
              </w:rPr>
              <w:t>Slovakia</w:t>
            </w:r>
            <w:bookmarkEnd w:id="125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13E1B8A1" w14:textId="2F3CAD4F" w:rsidR="00160A0D" w:rsidRPr="00160A0D" w:rsidRDefault="00160A0D" w:rsidP="00160A0D">
            <w:pPr>
              <w:jc w:val="right"/>
              <w:outlineLvl w:val="0"/>
              <w:rPr>
                <w:noProof/>
                <w:sz w:val="20"/>
                <w:szCs w:val="20"/>
              </w:rPr>
            </w:pPr>
            <w:bookmarkStart w:id="1260" w:name="_Toc223980859"/>
            <w:r w:rsidRPr="00160A0D">
              <w:rPr>
                <w:noProof/>
                <w:sz w:val="20"/>
                <w:szCs w:val="20"/>
              </w:rPr>
              <w:t>176.4</w:t>
            </w:r>
            <w:bookmarkEnd w:id="1260"/>
          </w:p>
        </w:tc>
        <w:tc>
          <w:tcPr>
            <w:tcW w:w="794" w:type="pct"/>
            <w:tcBorders>
              <w:top w:val="nil"/>
              <w:left w:val="nil"/>
              <w:bottom w:val="single" w:sz="4" w:space="0" w:color="auto"/>
              <w:right w:val="single" w:sz="4" w:space="0" w:color="auto"/>
            </w:tcBorders>
            <w:shd w:val="clear" w:color="000000" w:fill="FFFFFF"/>
            <w:noWrap/>
            <w:hideMark/>
          </w:tcPr>
          <w:p w14:paraId="5574A5D2" w14:textId="45D18BB6" w:rsidR="00160A0D" w:rsidRPr="00160A0D" w:rsidRDefault="00160A0D" w:rsidP="00160A0D">
            <w:pPr>
              <w:jc w:val="right"/>
              <w:outlineLvl w:val="0"/>
              <w:rPr>
                <w:noProof/>
                <w:sz w:val="20"/>
                <w:szCs w:val="20"/>
              </w:rPr>
            </w:pPr>
            <w:bookmarkStart w:id="1261" w:name="_Toc223980860"/>
            <w:r w:rsidRPr="00160A0D">
              <w:rPr>
                <w:noProof/>
                <w:sz w:val="20"/>
                <w:szCs w:val="20"/>
              </w:rPr>
              <w:t>21.7</w:t>
            </w:r>
            <w:bookmarkEnd w:id="1261"/>
          </w:p>
        </w:tc>
        <w:tc>
          <w:tcPr>
            <w:tcW w:w="794" w:type="pct"/>
            <w:tcBorders>
              <w:top w:val="nil"/>
              <w:left w:val="nil"/>
              <w:bottom w:val="single" w:sz="4" w:space="0" w:color="auto"/>
              <w:right w:val="single" w:sz="4" w:space="0" w:color="auto"/>
            </w:tcBorders>
            <w:shd w:val="clear" w:color="000000" w:fill="FFFFFF"/>
            <w:noWrap/>
            <w:hideMark/>
          </w:tcPr>
          <w:p w14:paraId="770A3F01" w14:textId="12E9A10F" w:rsidR="00160A0D" w:rsidRPr="00160A0D" w:rsidRDefault="00160A0D" w:rsidP="00160A0D">
            <w:pPr>
              <w:jc w:val="right"/>
              <w:outlineLvl w:val="0"/>
              <w:rPr>
                <w:noProof/>
                <w:sz w:val="20"/>
                <w:szCs w:val="20"/>
              </w:rPr>
            </w:pPr>
            <w:bookmarkStart w:id="1262" w:name="_Toc223980861"/>
            <w:r w:rsidRPr="00160A0D">
              <w:rPr>
                <w:noProof/>
                <w:sz w:val="20"/>
                <w:szCs w:val="20"/>
              </w:rPr>
              <w:t>23.4</w:t>
            </w:r>
            <w:bookmarkEnd w:id="1262"/>
          </w:p>
        </w:tc>
        <w:tc>
          <w:tcPr>
            <w:tcW w:w="794" w:type="pct"/>
            <w:tcBorders>
              <w:top w:val="nil"/>
              <w:left w:val="nil"/>
              <w:bottom w:val="single" w:sz="4" w:space="0" w:color="auto"/>
              <w:right w:val="single" w:sz="4" w:space="0" w:color="auto"/>
            </w:tcBorders>
            <w:shd w:val="clear" w:color="000000" w:fill="FFFFFF"/>
            <w:noWrap/>
            <w:hideMark/>
          </w:tcPr>
          <w:p w14:paraId="5F2001C5" w14:textId="27D46B0E" w:rsidR="00160A0D" w:rsidRPr="00160A0D" w:rsidRDefault="00160A0D" w:rsidP="00160A0D">
            <w:pPr>
              <w:jc w:val="right"/>
              <w:outlineLvl w:val="0"/>
              <w:rPr>
                <w:noProof/>
                <w:sz w:val="20"/>
                <w:szCs w:val="20"/>
              </w:rPr>
            </w:pPr>
            <w:bookmarkStart w:id="1263" w:name="_Toc223980862"/>
            <w:r w:rsidRPr="00160A0D">
              <w:rPr>
                <w:noProof/>
                <w:sz w:val="20"/>
                <w:szCs w:val="20"/>
              </w:rPr>
              <w:t>21.4</w:t>
            </w:r>
            <w:bookmarkEnd w:id="1263"/>
          </w:p>
        </w:tc>
      </w:tr>
      <w:tr w:rsidR="00160A0D" w:rsidRPr="00C14AF8" w14:paraId="08BB3575"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58A2F7F6" w14:textId="3A860749" w:rsidR="00160A0D" w:rsidRPr="00C14AF8" w:rsidRDefault="00160A0D" w:rsidP="00160A0D">
            <w:pPr>
              <w:rPr>
                <w:b/>
                <w:bCs/>
                <w:noProof/>
                <w:sz w:val="20"/>
                <w:szCs w:val="20"/>
              </w:rPr>
            </w:pPr>
            <w:r w:rsidRPr="00C14AF8">
              <w:rPr>
                <w:b/>
                <w:bCs/>
                <w:noProof/>
                <w:sz w:val="20"/>
                <w:szCs w:val="20"/>
              </w:rPr>
              <w:t xml:space="preserve"> Total </w:t>
            </w:r>
          </w:p>
        </w:tc>
        <w:tc>
          <w:tcPr>
            <w:tcW w:w="794" w:type="pct"/>
            <w:tcBorders>
              <w:top w:val="nil"/>
              <w:left w:val="nil"/>
              <w:bottom w:val="single" w:sz="4" w:space="0" w:color="auto"/>
              <w:right w:val="single" w:sz="4" w:space="0" w:color="auto"/>
            </w:tcBorders>
            <w:shd w:val="clear" w:color="000000" w:fill="FFFFFF"/>
            <w:noWrap/>
            <w:hideMark/>
          </w:tcPr>
          <w:p w14:paraId="7F0F883B" w14:textId="1B1BD12E" w:rsidR="00160A0D" w:rsidRPr="00160A0D" w:rsidRDefault="00160A0D" w:rsidP="00160A0D">
            <w:pPr>
              <w:jc w:val="right"/>
              <w:rPr>
                <w:b/>
                <w:bCs/>
                <w:noProof/>
                <w:sz w:val="20"/>
                <w:szCs w:val="20"/>
              </w:rPr>
            </w:pPr>
            <w:r w:rsidRPr="00160A0D">
              <w:rPr>
                <w:b/>
                <w:bCs/>
                <w:noProof/>
                <w:sz w:val="20"/>
                <w:szCs w:val="20"/>
              </w:rPr>
              <w:t>17,637.9</w:t>
            </w:r>
          </w:p>
        </w:tc>
        <w:tc>
          <w:tcPr>
            <w:tcW w:w="794" w:type="pct"/>
            <w:tcBorders>
              <w:top w:val="nil"/>
              <w:left w:val="nil"/>
              <w:bottom w:val="single" w:sz="4" w:space="0" w:color="auto"/>
              <w:right w:val="single" w:sz="4" w:space="0" w:color="auto"/>
            </w:tcBorders>
            <w:shd w:val="clear" w:color="000000" w:fill="FFFFFF"/>
            <w:noWrap/>
            <w:hideMark/>
          </w:tcPr>
          <w:p w14:paraId="11EA46E8" w14:textId="15348411" w:rsidR="00160A0D" w:rsidRPr="00160A0D" w:rsidRDefault="00160A0D" w:rsidP="00160A0D">
            <w:pPr>
              <w:jc w:val="right"/>
              <w:rPr>
                <w:b/>
                <w:bCs/>
                <w:noProof/>
                <w:sz w:val="20"/>
                <w:szCs w:val="20"/>
              </w:rPr>
            </w:pPr>
            <w:r w:rsidRPr="00160A0D">
              <w:rPr>
                <w:b/>
                <w:bCs/>
                <w:noProof/>
                <w:sz w:val="20"/>
                <w:szCs w:val="20"/>
              </w:rPr>
              <w:t>2,172.3</w:t>
            </w:r>
          </w:p>
        </w:tc>
        <w:tc>
          <w:tcPr>
            <w:tcW w:w="794" w:type="pct"/>
            <w:tcBorders>
              <w:top w:val="nil"/>
              <w:left w:val="nil"/>
              <w:bottom w:val="single" w:sz="4" w:space="0" w:color="auto"/>
              <w:right w:val="single" w:sz="4" w:space="0" w:color="auto"/>
            </w:tcBorders>
            <w:shd w:val="clear" w:color="000000" w:fill="FFFFFF"/>
            <w:noWrap/>
            <w:hideMark/>
          </w:tcPr>
          <w:p w14:paraId="63AEF557" w14:textId="1ABB360D" w:rsidR="00160A0D" w:rsidRPr="00160A0D" w:rsidRDefault="00160A0D" w:rsidP="00160A0D">
            <w:pPr>
              <w:jc w:val="right"/>
              <w:rPr>
                <w:b/>
                <w:bCs/>
                <w:noProof/>
                <w:sz w:val="20"/>
                <w:szCs w:val="20"/>
              </w:rPr>
            </w:pPr>
            <w:r w:rsidRPr="00160A0D">
              <w:rPr>
                <w:b/>
                <w:bCs/>
                <w:noProof/>
                <w:sz w:val="20"/>
                <w:szCs w:val="20"/>
              </w:rPr>
              <w:t>2,335.7</w:t>
            </w:r>
          </w:p>
        </w:tc>
        <w:tc>
          <w:tcPr>
            <w:tcW w:w="794" w:type="pct"/>
            <w:tcBorders>
              <w:top w:val="nil"/>
              <w:left w:val="nil"/>
              <w:bottom w:val="single" w:sz="4" w:space="0" w:color="auto"/>
              <w:right w:val="single" w:sz="4" w:space="0" w:color="auto"/>
            </w:tcBorders>
            <w:shd w:val="clear" w:color="000000" w:fill="FFFFFF"/>
            <w:noWrap/>
            <w:hideMark/>
          </w:tcPr>
          <w:p w14:paraId="4A06FA40" w14:textId="1B155B34" w:rsidR="00160A0D" w:rsidRPr="00160A0D" w:rsidRDefault="00160A0D" w:rsidP="00160A0D">
            <w:pPr>
              <w:jc w:val="right"/>
              <w:rPr>
                <w:b/>
                <w:bCs/>
                <w:noProof/>
                <w:sz w:val="20"/>
                <w:szCs w:val="20"/>
              </w:rPr>
            </w:pPr>
            <w:r w:rsidRPr="00160A0D">
              <w:rPr>
                <w:b/>
                <w:bCs/>
                <w:noProof/>
                <w:sz w:val="20"/>
                <w:szCs w:val="20"/>
              </w:rPr>
              <w:t>2,135.2</w:t>
            </w:r>
          </w:p>
        </w:tc>
      </w:tr>
    </w:tbl>
    <w:p w14:paraId="130304EC" w14:textId="77777777" w:rsidR="009467A1" w:rsidRPr="00C14AF8" w:rsidRDefault="009467A1" w:rsidP="009467A1">
      <w:pPr>
        <w:tabs>
          <w:tab w:val="left" w:pos="2302"/>
        </w:tabs>
        <w:spacing w:after="240"/>
        <w:jc w:val="both"/>
        <w:rPr>
          <w:i/>
          <w:noProof/>
          <w:sz w:val="20"/>
          <w:szCs w:val="20"/>
        </w:rPr>
      </w:pPr>
      <w:r w:rsidRPr="00C14AF8">
        <w:rPr>
          <w:i/>
          <w:noProof/>
          <w:spacing w:val="-8"/>
          <w:sz w:val="20"/>
          <w:szCs w:val="20"/>
        </w:rPr>
        <w:t xml:space="preserve">Source: </w:t>
      </w:r>
      <w:r w:rsidRPr="00C14AF8">
        <w:rPr>
          <w:i/>
          <w:noProof/>
          <w:sz w:val="20"/>
          <w:szCs w:val="20"/>
        </w:rPr>
        <w:t>Ricardo et al. (2026), Impact assessment support study</w:t>
      </w:r>
    </w:p>
    <w:p w14:paraId="75E08C53" w14:textId="1B5B0D7F" w:rsidR="009467A1" w:rsidRPr="00DB078C" w:rsidRDefault="009467A1" w:rsidP="00DB078C">
      <w:pPr>
        <w:keepNext/>
        <w:tabs>
          <w:tab w:val="left" w:pos="1134"/>
        </w:tabs>
        <w:jc w:val="both"/>
        <w:rPr>
          <w:i/>
          <w:noProof/>
          <w:sz w:val="22"/>
          <w:szCs w:val="22"/>
        </w:rPr>
      </w:pPr>
      <w:r w:rsidRPr="00DB078C">
        <w:rPr>
          <w:i/>
          <w:noProof/>
          <w:sz w:val="22"/>
          <w:szCs w:val="22"/>
        </w:rPr>
        <w:t xml:space="preserve">Table </w:t>
      </w:r>
      <w:r w:rsidRPr="00DB078C">
        <w:rPr>
          <w:i/>
          <w:noProof/>
          <w:sz w:val="22"/>
          <w:szCs w:val="22"/>
        </w:rPr>
        <w:fldChar w:fldCharType="begin"/>
      </w:r>
      <w:r w:rsidRPr="00DB078C">
        <w:rPr>
          <w:i/>
          <w:noProof/>
          <w:sz w:val="22"/>
          <w:szCs w:val="22"/>
        </w:rPr>
        <w:instrText xml:space="preserve"> SEQ Table \* ARABIC </w:instrText>
      </w:r>
      <w:r w:rsidRPr="00DB078C">
        <w:rPr>
          <w:i/>
          <w:noProof/>
          <w:sz w:val="22"/>
          <w:szCs w:val="22"/>
        </w:rPr>
        <w:fldChar w:fldCharType="separate"/>
      </w:r>
      <w:r w:rsidR="0055391F">
        <w:rPr>
          <w:i/>
          <w:noProof/>
          <w:sz w:val="22"/>
          <w:szCs w:val="22"/>
        </w:rPr>
        <w:t>91</w:t>
      </w:r>
      <w:r w:rsidRPr="00DB078C">
        <w:rPr>
          <w:i/>
          <w:noProof/>
          <w:sz w:val="22"/>
          <w:szCs w:val="22"/>
        </w:rPr>
        <w:fldChar w:fldCharType="end"/>
      </w:r>
      <w:r w:rsidRPr="00DB078C">
        <w:rPr>
          <w:i/>
          <w:noProof/>
          <w:sz w:val="22"/>
          <w:szCs w:val="22"/>
        </w:rPr>
        <w:t xml:space="preserve">: Total one-off and recurrent adjustment costs for </w:t>
      </w:r>
      <w:r w:rsidR="00CE1027">
        <w:rPr>
          <w:i/>
          <w:noProof/>
          <w:sz w:val="22"/>
          <w:szCs w:val="22"/>
        </w:rPr>
        <w:t>non-SME</w:t>
      </w:r>
      <w:r w:rsidRPr="00DB078C">
        <w:rPr>
          <w:i/>
          <w:noProof/>
          <w:sz w:val="22"/>
          <w:szCs w:val="22"/>
        </w:rPr>
        <w:t xml:space="preserve"> B2C MDMS platforms due to PM</w:t>
      </w:r>
      <w:r w:rsidR="00790239" w:rsidRPr="00DB078C">
        <w:rPr>
          <w:i/>
          <w:noProof/>
          <w:sz w:val="22"/>
          <w:szCs w:val="22"/>
        </w:rPr>
        <w:t>7</w:t>
      </w:r>
      <w:r w:rsidRPr="00DB078C">
        <w:rPr>
          <w:i/>
          <w:noProof/>
          <w:sz w:val="22"/>
          <w:szCs w:val="22"/>
        </w:rPr>
        <w:t xml:space="preserve"> in PO2 in 2028, 2030, 2040 and 2050 relative to the baseline (thousand EUR, in 2024 prices)</w:t>
      </w:r>
    </w:p>
    <w:tbl>
      <w:tblPr>
        <w:tblW w:w="5000" w:type="pct"/>
        <w:tblLook w:val="04A0" w:firstRow="1" w:lastRow="0" w:firstColumn="1" w:lastColumn="0" w:noHBand="0" w:noVBand="1"/>
      </w:tblPr>
      <w:tblGrid>
        <w:gridCol w:w="3503"/>
        <w:gridCol w:w="1525"/>
        <w:gridCol w:w="1525"/>
        <w:gridCol w:w="1525"/>
        <w:gridCol w:w="1525"/>
      </w:tblGrid>
      <w:tr w:rsidR="00C137A9" w:rsidRPr="00C14AF8" w14:paraId="160A9BBB" w14:textId="77777777" w:rsidTr="00C14AF8">
        <w:trPr>
          <w:trHeight w:val="255"/>
          <w:tblHeader/>
        </w:trPr>
        <w:tc>
          <w:tcPr>
            <w:tcW w:w="1824" w:type="pct"/>
            <w:tcBorders>
              <w:top w:val="single" w:sz="4" w:space="0" w:color="auto"/>
              <w:left w:val="single" w:sz="4" w:space="0" w:color="auto"/>
              <w:bottom w:val="single" w:sz="4" w:space="0" w:color="auto"/>
              <w:right w:val="single" w:sz="4" w:space="0" w:color="auto"/>
            </w:tcBorders>
            <w:shd w:val="clear" w:color="000000" w:fill="0070C0"/>
            <w:noWrap/>
            <w:hideMark/>
          </w:tcPr>
          <w:p w14:paraId="562BCA5A" w14:textId="4549C7E2" w:rsidR="00C137A9" w:rsidRPr="00C14AF8" w:rsidRDefault="00C137A9">
            <w:pPr>
              <w:jc w:val="center"/>
              <w:rPr>
                <w:b/>
                <w:bCs/>
                <w:noProof/>
                <w:color w:val="FFFFFF"/>
                <w:sz w:val="20"/>
                <w:szCs w:val="20"/>
              </w:rPr>
            </w:pPr>
          </w:p>
        </w:tc>
        <w:tc>
          <w:tcPr>
            <w:tcW w:w="794" w:type="pct"/>
            <w:tcBorders>
              <w:top w:val="single" w:sz="4" w:space="0" w:color="auto"/>
              <w:left w:val="nil"/>
              <w:bottom w:val="single" w:sz="4" w:space="0" w:color="auto"/>
              <w:right w:val="single" w:sz="4" w:space="0" w:color="auto"/>
            </w:tcBorders>
            <w:shd w:val="clear" w:color="000000" w:fill="0070C0"/>
            <w:noWrap/>
            <w:hideMark/>
          </w:tcPr>
          <w:p w14:paraId="68FEB8C2" w14:textId="77777777" w:rsidR="00C137A9" w:rsidRPr="00C14AF8" w:rsidRDefault="00C137A9">
            <w:pPr>
              <w:jc w:val="center"/>
              <w:rPr>
                <w:b/>
                <w:bCs/>
                <w:noProof/>
                <w:color w:val="FFFFFF"/>
                <w:sz w:val="20"/>
                <w:szCs w:val="20"/>
              </w:rPr>
            </w:pPr>
            <w:r w:rsidRPr="00C14AF8">
              <w:rPr>
                <w:b/>
                <w:bCs/>
                <w:noProof/>
                <w:color w:val="FFFFFF"/>
                <w:sz w:val="20"/>
                <w:szCs w:val="20"/>
              </w:rPr>
              <w:t>2028</w:t>
            </w:r>
          </w:p>
        </w:tc>
        <w:tc>
          <w:tcPr>
            <w:tcW w:w="794" w:type="pct"/>
            <w:tcBorders>
              <w:top w:val="single" w:sz="4" w:space="0" w:color="auto"/>
              <w:left w:val="nil"/>
              <w:bottom w:val="single" w:sz="4" w:space="0" w:color="auto"/>
              <w:right w:val="single" w:sz="4" w:space="0" w:color="auto"/>
            </w:tcBorders>
            <w:shd w:val="clear" w:color="000000" w:fill="0070C0"/>
            <w:noWrap/>
            <w:hideMark/>
          </w:tcPr>
          <w:p w14:paraId="0F02D10F" w14:textId="77777777" w:rsidR="00C137A9" w:rsidRPr="00C14AF8" w:rsidRDefault="00C137A9">
            <w:pPr>
              <w:jc w:val="center"/>
              <w:rPr>
                <w:b/>
                <w:bCs/>
                <w:noProof/>
                <w:color w:val="FFFFFF"/>
                <w:sz w:val="20"/>
                <w:szCs w:val="20"/>
              </w:rPr>
            </w:pPr>
            <w:r w:rsidRPr="00C14AF8">
              <w:rPr>
                <w:b/>
                <w:bCs/>
                <w:noProof/>
                <w:color w:val="FFFFFF"/>
                <w:sz w:val="20"/>
                <w:szCs w:val="20"/>
              </w:rPr>
              <w:t>2030</w:t>
            </w:r>
          </w:p>
        </w:tc>
        <w:tc>
          <w:tcPr>
            <w:tcW w:w="794" w:type="pct"/>
            <w:tcBorders>
              <w:top w:val="single" w:sz="4" w:space="0" w:color="auto"/>
              <w:left w:val="nil"/>
              <w:bottom w:val="single" w:sz="4" w:space="0" w:color="auto"/>
              <w:right w:val="single" w:sz="4" w:space="0" w:color="auto"/>
            </w:tcBorders>
            <w:shd w:val="clear" w:color="000000" w:fill="0070C0"/>
            <w:noWrap/>
            <w:hideMark/>
          </w:tcPr>
          <w:p w14:paraId="7A1AD31C" w14:textId="77777777" w:rsidR="00C137A9" w:rsidRPr="00C14AF8" w:rsidRDefault="00C137A9">
            <w:pPr>
              <w:jc w:val="center"/>
              <w:rPr>
                <w:b/>
                <w:bCs/>
                <w:noProof/>
                <w:color w:val="FFFFFF"/>
                <w:sz w:val="20"/>
                <w:szCs w:val="20"/>
              </w:rPr>
            </w:pPr>
            <w:r w:rsidRPr="00C14AF8">
              <w:rPr>
                <w:b/>
                <w:bCs/>
                <w:noProof/>
                <w:color w:val="FFFFFF"/>
                <w:sz w:val="20"/>
                <w:szCs w:val="20"/>
              </w:rPr>
              <w:t>2040</w:t>
            </w:r>
          </w:p>
        </w:tc>
        <w:tc>
          <w:tcPr>
            <w:tcW w:w="794" w:type="pct"/>
            <w:tcBorders>
              <w:top w:val="single" w:sz="4" w:space="0" w:color="auto"/>
              <w:left w:val="nil"/>
              <w:bottom w:val="single" w:sz="4" w:space="0" w:color="auto"/>
              <w:right w:val="single" w:sz="4" w:space="0" w:color="auto"/>
            </w:tcBorders>
            <w:shd w:val="clear" w:color="000000" w:fill="0070C0"/>
            <w:noWrap/>
            <w:hideMark/>
          </w:tcPr>
          <w:p w14:paraId="7221CEE2" w14:textId="77777777" w:rsidR="00C137A9" w:rsidRPr="00C14AF8" w:rsidRDefault="00C137A9">
            <w:pPr>
              <w:jc w:val="center"/>
              <w:rPr>
                <w:b/>
                <w:bCs/>
                <w:noProof/>
                <w:color w:val="FFFFFF"/>
                <w:sz w:val="20"/>
                <w:szCs w:val="20"/>
              </w:rPr>
            </w:pPr>
            <w:r w:rsidRPr="00C14AF8">
              <w:rPr>
                <w:b/>
                <w:bCs/>
                <w:noProof/>
                <w:color w:val="FFFFFF"/>
                <w:sz w:val="20"/>
                <w:szCs w:val="20"/>
              </w:rPr>
              <w:t>2050</w:t>
            </w:r>
          </w:p>
        </w:tc>
      </w:tr>
      <w:tr w:rsidR="009423A7" w:rsidRPr="00C14AF8" w14:paraId="6FB4142E"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0051081" w14:textId="77777777" w:rsidR="009423A7" w:rsidRPr="00C14AF8" w:rsidRDefault="009423A7" w:rsidP="009423A7">
            <w:pPr>
              <w:outlineLvl w:val="0"/>
              <w:rPr>
                <w:noProof/>
                <w:sz w:val="20"/>
                <w:szCs w:val="20"/>
              </w:rPr>
            </w:pPr>
            <w:r w:rsidRPr="00C14AF8">
              <w:rPr>
                <w:noProof/>
                <w:sz w:val="20"/>
                <w:szCs w:val="20"/>
              </w:rPr>
              <w:t xml:space="preserve"> </w:t>
            </w:r>
            <w:bookmarkStart w:id="1264" w:name="_Toc223980863"/>
            <w:r w:rsidRPr="00C14AF8">
              <w:rPr>
                <w:noProof/>
                <w:sz w:val="20"/>
                <w:szCs w:val="20"/>
              </w:rPr>
              <w:t>Germany</w:t>
            </w:r>
            <w:bookmarkEnd w:id="126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4D56E7D9" w14:textId="2AC4FCDD" w:rsidR="009423A7" w:rsidRPr="009423A7" w:rsidRDefault="009423A7" w:rsidP="009423A7">
            <w:pPr>
              <w:jc w:val="right"/>
              <w:outlineLvl w:val="0"/>
              <w:rPr>
                <w:noProof/>
                <w:sz w:val="20"/>
                <w:szCs w:val="20"/>
              </w:rPr>
            </w:pPr>
            <w:bookmarkStart w:id="1265" w:name="_Toc223980864"/>
            <w:r w:rsidRPr="009423A7">
              <w:rPr>
                <w:noProof/>
                <w:sz w:val="20"/>
                <w:szCs w:val="20"/>
              </w:rPr>
              <w:t>2,116.5</w:t>
            </w:r>
            <w:bookmarkEnd w:id="1265"/>
          </w:p>
        </w:tc>
        <w:tc>
          <w:tcPr>
            <w:tcW w:w="794" w:type="pct"/>
            <w:tcBorders>
              <w:top w:val="nil"/>
              <w:left w:val="nil"/>
              <w:bottom w:val="single" w:sz="4" w:space="0" w:color="auto"/>
              <w:right w:val="single" w:sz="4" w:space="0" w:color="auto"/>
            </w:tcBorders>
            <w:shd w:val="clear" w:color="000000" w:fill="FFFFFF"/>
            <w:noWrap/>
            <w:hideMark/>
          </w:tcPr>
          <w:p w14:paraId="1A095882" w14:textId="622566E6" w:rsidR="009423A7" w:rsidRPr="009423A7" w:rsidRDefault="009423A7" w:rsidP="009423A7">
            <w:pPr>
              <w:jc w:val="right"/>
              <w:outlineLvl w:val="0"/>
              <w:rPr>
                <w:noProof/>
                <w:sz w:val="20"/>
                <w:szCs w:val="20"/>
              </w:rPr>
            </w:pPr>
            <w:bookmarkStart w:id="1266" w:name="_Toc223980865"/>
            <w:r w:rsidRPr="009423A7">
              <w:rPr>
                <w:noProof/>
                <w:sz w:val="20"/>
                <w:szCs w:val="20"/>
              </w:rPr>
              <w:t>320.3</w:t>
            </w:r>
            <w:bookmarkEnd w:id="1266"/>
          </w:p>
        </w:tc>
        <w:tc>
          <w:tcPr>
            <w:tcW w:w="794" w:type="pct"/>
            <w:tcBorders>
              <w:top w:val="nil"/>
              <w:left w:val="nil"/>
              <w:bottom w:val="single" w:sz="4" w:space="0" w:color="auto"/>
              <w:right w:val="single" w:sz="4" w:space="0" w:color="auto"/>
            </w:tcBorders>
            <w:shd w:val="clear" w:color="000000" w:fill="FFFFFF"/>
            <w:noWrap/>
            <w:hideMark/>
          </w:tcPr>
          <w:p w14:paraId="7395438C" w14:textId="4FE983BC" w:rsidR="009423A7" w:rsidRPr="009423A7" w:rsidRDefault="009423A7" w:rsidP="009423A7">
            <w:pPr>
              <w:jc w:val="right"/>
              <w:outlineLvl w:val="0"/>
              <w:rPr>
                <w:noProof/>
                <w:sz w:val="20"/>
                <w:szCs w:val="20"/>
              </w:rPr>
            </w:pPr>
            <w:bookmarkStart w:id="1267" w:name="_Toc223980866"/>
            <w:r w:rsidRPr="009423A7">
              <w:rPr>
                <w:noProof/>
                <w:sz w:val="20"/>
                <w:szCs w:val="20"/>
              </w:rPr>
              <w:t>537.8</w:t>
            </w:r>
            <w:bookmarkEnd w:id="1267"/>
          </w:p>
        </w:tc>
        <w:tc>
          <w:tcPr>
            <w:tcW w:w="794" w:type="pct"/>
            <w:tcBorders>
              <w:top w:val="nil"/>
              <w:left w:val="nil"/>
              <w:bottom w:val="single" w:sz="4" w:space="0" w:color="auto"/>
              <w:right w:val="single" w:sz="4" w:space="0" w:color="auto"/>
            </w:tcBorders>
            <w:shd w:val="clear" w:color="000000" w:fill="FFFFFF"/>
            <w:noWrap/>
            <w:hideMark/>
          </w:tcPr>
          <w:p w14:paraId="404D4746" w14:textId="4C6F98A4" w:rsidR="009423A7" w:rsidRPr="009423A7" w:rsidRDefault="009423A7" w:rsidP="009423A7">
            <w:pPr>
              <w:jc w:val="right"/>
              <w:outlineLvl w:val="0"/>
              <w:rPr>
                <w:noProof/>
                <w:sz w:val="20"/>
                <w:szCs w:val="20"/>
              </w:rPr>
            </w:pPr>
            <w:bookmarkStart w:id="1268" w:name="_Toc223980867"/>
            <w:r w:rsidRPr="009423A7">
              <w:rPr>
                <w:noProof/>
                <w:sz w:val="20"/>
                <w:szCs w:val="20"/>
              </w:rPr>
              <w:t>369.3</w:t>
            </w:r>
            <w:bookmarkEnd w:id="1268"/>
          </w:p>
        </w:tc>
      </w:tr>
      <w:tr w:rsidR="009423A7" w:rsidRPr="00C14AF8" w14:paraId="40ACD677"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A771B0D" w14:textId="77777777" w:rsidR="009423A7" w:rsidRPr="00C14AF8" w:rsidRDefault="009423A7" w:rsidP="009423A7">
            <w:pPr>
              <w:outlineLvl w:val="0"/>
              <w:rPr>
                <w:noProof/>
                <w:sz w:val="20"/>
                <w:szCs w:val="20"/>
              </w:rPr>
            </w:pPr>
            <w:r w:rsidRPr="00C14AF8">
              <w:rPr>
                <w:noProof/>
                <w:sz w:val="20"/>
                <w:szCs w:val="20"/>
              </w:rPr>
              <w:t xml:space="preserve"> </w:t>
            </w:r>
            <w:bookmarkStart w:id="1269" w:name="_Toc223980868"/>
            <w:r w:rsidRPr="00C14AF8">
              <w:rPr>
                <w:noProof/>
                <w:sz w:val="20"/>
                <w:szCs w:val="20"/>
              </w:rPr>
              <w:t>Austria</w:t>
            </w:r>
            <w:bookmarkEnd w:id="126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7655A2C0" w14:textId="703FA125" w:rsidR="009423A7" w:rsidRPr="009423A7" w:rsidRDefault="009423A7" w:rsidP="009423A7">
            <w:pPr>
              <w:jc w:val="right"/>
              <w:outlineLvl w:val="0"/>
              <w:rPr>
                <w:noProof/>
                <w:sz w:val="20"/>
                <w:szCs w:val="20"/>
              </w:rPr>
            </w:pPr>
            <w:bookmarkStart w:id="1270" w:name="_Toc223980869"/>
            <w:r w:rsidRPr="009423A7">
              <w:rPr>
                <w:noProof/>
                <w:sz w:val="20"/>
                <w:szCs w:val="20"/>
              </w:rPr>
              <w:t>1,587.4</w:t>
            </w:r>
            <w:bookmarkEnd w:id="1270"/>
          </w:p>
        </w:tc>
        <w:tc>
          <w:tcPr>
            <w:tcW w:w="794" w:type="pct"/>
            <w:tcBorders>
              <w:top w:val="nil"/>
              <w:left w:val="nil"/>
              <w:bottom w:val="single" w:sz="4" w:space="0" w:color="auto"/>
              <w:right w:val="single" w:sz="4" w:space="0" w:color="auto"/>
            </w:tcBorders>
            <w:shd w:val="clear" w:color="000000" w:fill="FFFFFF"/>
            <w:noWrap/>
            <w:hideMark/>
          </w:tcPr>
          <w:p w14:paraId="4E51A892" w14:textId="5415F2EA" w:rsidR="009423A7" w:rsidRPr="009423A7" w:rsidRDefault="009423A7" w:rsidP="009423A7">
            <w:pPr>
              <w:jc w:val="right"/>
              <w:outlineLvl w:val="0"/>
              <w:rPr>
                <w:noProof/>
                <w:sz w:val="20"/>
                <w:szCs w:val="20"/>
              </w:rPr>
            </w:pPr>
            <w:bookmarkStart w:id="1271" w:name="_Toc223980870"/>
            <w:r w:rsidRPr="009423A7">
              <w:rPr>
                <w:noProof/>
                <w:sz w:val="20"/>
                <w:szCs w:val="20"/>
              </w:rPr>
              <w:t>240.2</w:t>
            </w:r>
            <w:bookmarkEnd w:id="1271"/>
          </w:p>
        </w:tc>
        <w:tc>
          <w:tcPr>
            <w:tcW w:w="794" w:type="pct"/>
            <w:tcBorders>
              <w:top w:val="nil"/>
              <w:left w:val="nil"/>
              <w:bottom w:val="single" w:sz="4" w:space="0" w:color="auto"/>
              <w:right w:val="single" w:sz="4" w:space="0" w:color="auto"/>
            </w:tcBorders>
            <w:shd w:val="clear" w:color="000000" w:fill="FFFFFF"/>
            <w:noWrap/>
            <w:hideMark/>
          </w:tcPr>
          <w:p w14:paraId="2DBCB697" w14:textId="6914D931" w:rsidR="009423A7" w:rsidRPr="009423A7" w:rsidRDefault="009423A7" w:rsidP="009423A7">
            <w:pPr>
              <w:jc w:val="right"/>
              <w:outlineLvl w:val="0"/>
              <w:rPr>
                <w:noProof/>
                <w:sz w:val="20"/>
                <w:szCs w:val="20"/>
              </w:rPr>
            </w:pPr>
            <w:bookmarkStart w:id="1272" w:name="_Toc223980871"/>
            <w:r w:rsidRPr="009423A7">
              <w:rPr>
                <w:noProof/>
                <w:sz w:val="20"/>
                <w:szCs w:val="20"/>
              </w:rPr>
              <w:t>403.4</w:t>
            </w:r>
            <w:bookmarkEnd w:id="1272"/>
          </w:p>
        </w:tc>
        <w:tc>
          <w:tcPr>
            <w:tcW w:w="794" w:type="pct"/>
            <w:tcBorders>
              <w:top w:val="nil"/>
              <w:left w:val="nil"/>
              <w:bottom w:val="single" w:sz="4" w:space="0" w:color="auto"/>
              <w:right w:val="single" w:sz="4" w:space="0" w:color="auto"/>
            </w:tcBorders>
            <w:shd w:val="clear" w:color="000000" w:fill="FFFFFF"/>
            <w:noWrap/>
            <w:hideMark/>
          </w:tcPr>
          <w:p w14:paraId="3BB5989F" w14:textId="5FDD1300" w:rsidR="009423A7" w:rsidRPr="009423A7" w:rsidRDefault="009423A7" w:rsidP="009423A7">
            <w:pPr>
              <w:jc w:val="right"/>
              <w:outlineLvl w:val="0"/>
              <w:rPr>
                <w:noProof/>
                <w:sz w:val="20"/>
                <w:szCs w:val="20"/>
              </w:rPr>
            </w:pPr>
            <w:bookmarkStart w:id="1273" w:name="_Toc223980872"/>
            <w:r w:rsidRPr="009423A7">
              <w:rPr>
                <w:noProof/>
                <w:sz w:val="20"/>
                <w:szCs w:val="20"/>
              </w:rPr>
              <w:t>277.0</w:t>
            </w:r>
            <w:bookmarkEnd w:id="1273"/>
          </w:p>
        </w:tc>
      </w:tr>
      <w:tr w:rsidR="009423A7" w:rsidRPr="00C14AF8" w14:paraId="59E4F515"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41AC70BE" w14:textId="77777777" w:rsidR="009423A7" w:rsidRPr="00C14AF8" w:rsidRDefault="009423A7" w:rsidP="009423A7">
            <w:pPr>
              <w:outlineLvl w:val="0"/>
              <w:rPr>
                <w:noProof/>
                <w:sz w:val="20"/>
                <w:szCs w:val="20"/>
              </w:rPr>
            </w:pPr>
            <w:r w:rsidRPr="00C14AF8">
              <w:rPr>
                <w:noProof/>
                <w:sz w:val="20"/>
                <w:szCs w:val="20"/>
              </w:rPr>
              <w:t xml:space="preserve"> </w:t>
            </w:r>
            <w:bookmarkStart w:id="1274" w:name="_Toc223980873"/>
            <w:r w:rsidRPr="00C14AF8">
              <w:rPr>
                <w:noProof/>
                <w:sz w:val="20"/>
                <w:szCs w:val="20"/>
              </w:rPr>
              <w:t>Denmark</w:t>
            </w:r>
            <w:bookmarkEnd w:id="127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0F6DF6E1" w14:textId="3F2EDDE9" w:rsidR="009423A7" w:rsidRPr="009423A7" w:rsidRDefault="009423A7" w:rsidP="009423A7">
            <w:pPr>
              <w:jc w:val="right"/>
              <w:outlineLvl w:val="0"/>
              <w:rPr>
                <w:noProof/>
                <w:sz w:val="20"/>
                <w:szCs w:val="20"/>
              </w:rPr>
            </w:pPr>
            <w:bookmarkStart w:id="1275" w:name="_Toc223980874"/>
            <w:r w:rsidRPr="009423A7">
              <w:rPr>
                <w:noProof/>
                <w:sz w:val="20"/>
                <w:szCs w:val="20"/>
              </w:rPr>
              <w:t>1,058.3</w:t>
            </w:r>
            <w:bookmarkEnd w:id="1275"/>
          </w:p>
        </w:tc>
        <w:tc>
          <w:tcPr>
            <w:tcW w:w="794" w:type="pct"/>
            <w:tcBorders>
              <w:top w:val="nil"/>
              <w:left w:val="nil"/>
              <w:bottom w:val="single" w:sz="4" w:space="0" w:color="auto"/>
              <w:right w:val="single" w:sz="4" w:space="0" w:color="auto"/>
            </w:tcBorders>
            <w:shd w:val="clear" w:color="000000" w:fill="FFFFFF"/>
            <w:noWrap/>
            <w:hideMark/>
          </w:tcPr>
          <w:p w14:paraId="08A4BEA7" w14:textId="0404179A" w:rsidR="009423A7" w:rsidRPr="009423A7" w:rsidRDefault="009423A7" w:rsidP="009423A7">
            <w:pPr>
              <w:jc w:val="right"/>
              <w:outlineLvl w:val="0"/>
              <w:rPr>
                <w:noProof/>
                <w:sz w:val="20"/>
                <w:szCs w:val="20"/>
              </w:rPr>
            </w:pPr>
            <w:bookmarkStart w:id="1276" w:name="_Toc223980875"/>
            <w:r w:rsidRPr="009423A7">
              <w:rPr>
                <w:noProof/>
                <w:sz w:val="20"/>
                <w:szCs w:val="20"/>
              </w:rPr>
              <w:t>160.2</w:t>
            </w:r>
            <w:bookmarkEnd w:id="1276"/>
          </w:p>
        </w:tc>
        <w:tc>
          <w:tcPr>
            <w:tcW w:w="794" w:type="pct"/>
            <w:tcBorders>
              <w:top w:val="nil"/>
              <w:left w:val="nil"/>
              <w:bottom w:val="single" w:sz="4" w:space="0" w:color="auto"/>
              <w:right w:val="single" w:sz="4" w:space="0" w:color="auto"/>
            </w:tcBorders>
            <w:shd w:val="clear" w:color="000000" w:fill="FFFFFF"/>
            <w:noWrap/>
            <w:hideMark/>
          </w:tcPr>
          <w:p w14:paraId="3332C6E3" w14:textId="2C0A2E43" w:rsidR="009423A7" w:rsidRPr="009423A7" w:rsidRDefault="009423A7" w:rsidP="009423A7">
            <w:pPr>
              <w:jc w:val="right"/>
              <w:outlineLvl w:val="0"/>
              <w:rPr>
                <w:noProof/>
                <w:sz w:val="20"/>
                <w:szCs w:val="20"/>
              </w:rPr>
            </w:pPr>
            <w:bookmarkStart w:id="1277" w:name="_Toc223980876"/>
            <w:r w:rsidRPr="009423A7">
              <w:rPr>
                <w:noProof/>
                <w:sz w:val="20"/>
                <w:szCs w:val="20"/>
              </w:rPr>
              <w:t>268.9</w:t>
            </w:r>
            <w:bookmarkEnd w:id="1277"/>
          </w:p>
        </w:tc>
        <w:tc>
          <w:tcPr>
            <w:tcW w:w="794" w:type="pct"/>
            <w:tcBorders>
              <w:top w:val="nil"/>
              <w:left w:val="nil"/>
              <w:bottom w:val="single" w:sz="4" w:space="0" w:color="auto"/>
              <w:right w:val="single" w:sz="4" w:space="0" w:color="auto"/>
            </w:tcBorders>
            <w:shd w:val="clear" w:color="000000" w:fill="FFFFFF"/>
            <w:noWrap/>
            <w:hideMark/>
          </w:tcPr>
          <w:p w14:paraId="3E04D179" w14:textId="1D9D867A" w:rsidR="009423A7" w:rsidRPr="009423A7" w:rsidRDefault="009423A7" w:rsidP="009423A7">
            <w:pPr>
              <w:jc w:val="right"/>
              <w:outlineLvl w:val="0"/>
              <w:rPr>
                <w:noProof/>
                <w:sz w:val="20"/>
                <w:szCs w:val="20"/>
              </w:rPr>
            </w:pPr>
            <w:bookmarkStart w:id="1278" w:name="_Toc223980877"/>
            <w:r w:rsidRPr="009423A7">
              <w:rPr>
                <w:noProof/>
                <w:sz w:val="20"/>
                <w:szCs w:val="20"/>
              </w:rPr>
              <w:t>184.7</w:t>
            </w:r>
            <w:bookmarkEnd w:id="1278"/>
          </w:p>
        </w:tc>
      </w:tr>
      <w:tr w:rsidR="009423A7" w:rsidRPr="00C14AF8" w14:paraId="4B9D7D72"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F9B1692" w14:textId="77777777" w:rsidR="009423A7" w:rsidRPr="00C14AF8" w:rsidRDefault="009423A7" w:rsidP="009423A7">
            <w:pPr>
              <w:outlineLvl w:val="0"/>
              <w:rPr>
                <w:noProof/>
                <w:sz w:val="20"/>
                <w:szCs w:val="20"/>
              </w:rPr>
            </w:pPr>
            <w:r w:rsidRPr="00C14AF8">
              <w:rPr>
                <w:noProof/>
                <w:sz w:val="20"/>
                <w:szCs w:val="20"/>
              </w:rPr>
              <w:t xml:space="preserve"> </w:t>
            </w:r>
            <w:bookmarkStart w:id="1279" w:name="_Toc223980878"/>
            <w:r w:rsidRPr="00C14AF8">
              <w:rPr>
                <w:noProof/>
                <w:sz w:val="20"/>
                <w:szCs w:val="20"/>
              </w:rPr>
              <w:t>Luxembourg</w:t>
            </w:r>
            <w:bookmarkEnd w:id="127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3BBDC71D" w14:textId="3F3CAA65" w:rsidR="009423A7" w:rsidRPr="009423A7" w:rsidRDefault="009423A7" w:rsidP="009423A7">
            <w:pPr>
              <w:jc w:val="right"/>
              <w:outlineLvl w:val="0"/>
              <w:rPr>
                <w:noProof/>
                <w:sz w:val="20"/>
                <w:szCs w:val="20"/>
              </w:rPr>
            </w:pPr>
            <w:bookmarkStart w:id="1280" w:name="_Toc223980879"/>
            <w:r w:rsidRPr="009423A7">
              <w:rPr>
                <w:noProof/>
                <w:sz w:val="20"/>
                <w:szCs w:val="20"/>
              </w:rPr>
              <w:t>705.5</w:t>
            </w:r>
            <w:bookmarkEnd w:id="1280"/>
          </w:p>
        </w:tc>
        <w:tc>
          <w:tcPr>
            <w:tcW w:w="794" w:type="pct"/>
            <w:tcBorders>
              <w:top w:val="nil"/>
              <w:left w:val="nil"/>
              <w:bottom w:val="single" w:sz="4" w:space="0" w:color="auto"/>
              <w:right w:val="single" w:sz="4" w:space="0" w:color="auto"/>
            </w:tcBorders>
            <w:shd w:val="clear" w:color="000000" w:fill="FFFFFF"/>
            <w:noWrap/>
            <w:hideMark/>
          </w:tcPr>
          <w:p w14:paraId="7A8C88D6" w14:textId="1561C7C0" w:rsidR="009423A7" w:rsidRPr="009423A7" w:rsidRDefault="009423A7" w:rsidP="009423A7">
            <w:pPr>
              <w:jc w:val="right"/>
              <w:outlineLvl w:val="0"/>
              <w:rPr>
                <w:noProof/>
                <w:sz w:val="20"/>
                <w:szCs w:val="20"/>
              </w:rPr>
            </w:pPr>
            <w:bookmarkStart w:id="1281" w:name="_Toc223980880"/>
            <w:r w:rsidRPr="009423A7">
              <w:rPr>
                <w:noProof/>
                <w:sz w:val="20"/>
                <w:szCs w:val="20"/>
              </w:rPr>
              <w:t>106.8</w:t>
            </w:r>
            <w:bookmarkEnd w:id="1281"/>
          </w:p>
        </w:tc>
        <w:tc>
          <w:tcPr>
            <w:tcW w:w="794" w:type="pct"/>
            <w:tcBorders>
              <w:top w:val="nil"/>
              <w:left w:val="nil"/>
              <w:bottom w:val="single" w:sz="4" w:space="0" w:color="auto"/>
              <w:right w:val="single" w:sz="4" w:space="0" w:color="auto"/>
            </w:tcBorders>
            <w:shd w:val="clear" w:color="000000" w:fill="FFFFFF"/>
            <w:noWrap/>
            <w:hideMark/>
          </w:tcPr>
          <w:p w14:paraId="7C6A69C2" w14:textId="6338C92B" w:rsidR="009423A7" w:rsidRPr="009423A7" w:rsidRDefault="009423A7" w:rsidP="009423A7">
            <w:pPr>
              <w:jc w:val="right"/>
              <w:outlineLvl w:val="0"/>
              <w:rPr>
                <w:noProof/>
                <w:sz w:val="20"/>
                <w:szCs w:val="20"/>
              </w:rPr>
            </w:pPr>
            <w:bookmarkStart w:id="1282" w:name="_Toc223980881"/>
            <w:r w:rsidRPr="009423A7">
              <w:rPr>
                <w:noProof/>
                <w:sz w:val="20"/>
                <w:szCs w:val="20"/>
              </w:rPr>
              <w:t>179.3</w:t>
            </w:r>
            <w:bookmarkEnd w:id="1282"/>
          </w:p>
        </w:tc>
        <w:tc>
          <w:tcPr>
            <w:tcW w:w="794" w:type="pct"/>
            <w:tcBorders>
              <w:top w:val="nil"/>
              <w:left w:val="nil"/>
              <w:bottom w:val="single" w:sz="4" w:space="0" w:color="auto"/>
              <w:right w:val="single" w:sz="4" w:space="0" w:color="auto"/>
            </w:tcBorders>
            <w:shd w:val="clear" w:color="000000" w:fill="FFFFFF"/>
            <w:noWrap/>
            <w:hideMark/>
          </w:tcPr>
          <w:p w14:paraId="19682699" w14:textId="148A6E36" w:rsidR="009423A7" w:rsidRPr="009423A7" w:rsidRDefault="009423A7" w:rsidP="009423A7">
            <w:pPr>
              <w:jc w:val="right"/>
              <w:outlineLvl w:val="0"/>
              <w:rPr>
                <w:noProof/>
                <w:sz w:val="20"/>
                <w:szCs w:val="20"/>
              </w:rPr>
            </w:pPr>
            <w:bookmarkStart w:id="1283" w:name="_Toc223980882"/>
            <w:r w:rsidRPr="009423A7">
              <w:rPr>
                <w:noProof/>
                <w:sz w:val="20"/>
                <w:szCs w:val="20"/>
              </w:rPr>
              <w:t>123.1</w:t>
            </w:r>
            <w:bookmarkEnd w:id="1283"/>
          </w:p>
        </w:tc>
      </w:tr>
      <w:tr w:rsidR="009423A7" w:rsidRPr="00C14AF8" w14:paraId="72167EA4"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73E24B4A" w14:textId="77777777" w:rsidR="009423A7" w:rsidRPr="00C14AF8" w:rsidRDefault="009423A7" w:rsidP="009423A7">
            <w:pPr>
              <w:outlineLvl w:val="0"/>
              <w:rPr>
                <w:noProof/>
                <w:sz w:val="20"/>
                <w:szCs w:val="20"/>
              </w:rPr>
            </w:pPr>
            <w:r w:rsidRPr="00C14AF8">
              <w:rPr>
                <w:noProof/>
                <w:sz w:val="20"/>
                <w:szCs w:val="20"/>
              </w:rPr>
              <w:t xml:space="preserve"> </w:t>
            </w:r>
            <w:bookmarkStart w:id="1284" w:name="_Toc223980883"/>
            <w:r w:rsidRPr="00C14AF8">
              <w:rPr>
                <w:noProof/>
                <w:sz w:val="20"/>
                <w:szCs w:val="20"/>
              </w:rPr>
              <w:t>Finland</w:t>
            </w:r>
            <w:bookmarkEnd w:id="128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4B6F3DA8" w14:textId="1DB2BD33" w:rsidR="009423A7" w:rsidRPr="009423A7" w:rsidRDefault="009423A7" w:rsidP="009423A7">
            <w:pPr>
              <w:jc w:val="right"/>
              <w:outlineLvl w:val="0"/>
              <w:rPr>
                <w:noProof/>
                <w:sz w:val="20"/>
                <w:szCs w:val="20"/>
              </w:rPr>
            </w:pPr>
            <w:bookmarkStart w:id="1285" w:name="_Toc223980884"/>
            <w:r w:rsidRPr="009423A7">
              <w:rPr>
                <w:noProof/>
                <w:sz w:val="20"/>
                <w:szCs w:val="20"/>
              </w:rPr>
              <w:t>881.9</w:t>
            </w:r>
            <w:bookmarkEnd w:id="1285"/>
          </w:p>
        </w:tc>
        <w:tc>
          <w:tcPr>
            <w:tcW w:w="794" w:type="pct"/>
            <w:tcBorders>
              <w:top w:val="nil"/>
              <w:left w:val="nil"/>
              <w:bottom w:val="single" w:sz="4" w:space="0" w:color="auto"/>
              <w:right w:val="single" w:sz="4" w:space="0" w:color="auto"/>
            </w:tcBorders>
            <w:shd w:val="clear" w:color="000000" w:fill="FFFFFF"/>
            <w:noWrap/>
            <w:hideMark/>
          </w:tcPr>
          <w:p w14:paraId="059D45E7" w14:textId="6D110E1D" w:rsidR="009423A7" w:rsidRPr="009423A7" w:rsidRDefault="009423A7" w:rsidP="009423A7">
            <w:pPr>
              <w:jc w:val="right"/>
              <w:outlineLvl w:val="0"/>
              <w:rPr>
                <w:noProof/>
                <w:sz w:val="20"/>
                <w:szCs w:val="20"/>
              </w:rPr>
            </w:pPr>
            <w:bookmarkStart w:id="1286" w:name="_Toc223980885"/>
            <w:r w:rsidRPr="009423A7">
              <w:rPr>
                <w:noProof/>
                <w:sz w:val="20"/>
                <w:szCs w:val="20"/>
              </w:rPr>
              <w:t>133.5</w:t>
            </w:r>
            <w:bookmarkEnd w:id="1286"/>
          </w:p>
        </w:tc>
        <w:tc>
          <w:tcPr>
            <w:tcW w:w="794" w:type="pct"/>
            <w:tcBorders>
              <w:top w:val="nil"/>
              <w:left w:val="nil"/>
              <w:bottom w:val="single" w:sz="4" w:space="0" w:color="auto"/>
              <w:right w:val="single" w:sz="4" w:space="0" w:color="auto"/>
            </w:tcBorders>
            <w:shd w:val="clear" w:color="000000" w:fill="FFFFFF"/>
            <w:noWrap/>
            <w:hideMark/>
          </w:tcPr>
          <w:p w14:paraId="7D8F69A9" w14:textId="42575E67" w:rsidR="009423A7" w:rsidRPr="009423A7" w:rsidRDefault="009423A7" w:rsidP="009423A7">
            <w:pPr>
              <w:jc w:val="right"/>
              <w:outlineLvl w:val="0"/>
              <w:rPr>
                <w:noProof/>
                <w:sz w:val="20"/>
                <w:szCs w:val="20"/>
              </w:rPr>
            </w:pPr>
            <w:bookmarkStart w:id="1287" w:name="_Toc223980886"/>
            <w:r w:rsidRPr="009423A7">
              <w:rPr>
                <w:noProof/>
                <w:sz w:val="20"/>
                <w:szCs w:val="20"/>
              </w:rPr>
              <w:t>224.1</w:t>
            </w:r>
            <w:bookmarkEnd w:id="1287"/>
          </w:p>
        </w:tc>
        <w:tc>
          <w:tcPr>
            <w:tcW w:w="794" w:type="pct"/>
            <w:tcBorders>
              <w:top w:val="nil"/>
              <w:left w:val="nil"/>
              <w:bottom w:val="single" w:sz="4" w:space="0" w:color="auto"/>
              <w:right w:val="single" w:sz="4" w:space="0" w:color="auto"/>
            </w:tcBorders>
            <w:shd w:val="clear" w:color="000000" w:fill="FFFFFF"/>
            <w:noWrap/>
            <w:hideMark/>
          </w:tcPr>
          <w:p w14:paraId="01D561D3" w14:textId="2CCD769A" w:rsidR="009423A7" w:rsidRPr="009423A7" w:rsidRDefault="009423A7" w:rsidP="009423A7">
            <w:pPr>
              <w:jc w:val="right"/>
              <w:outlineLvl w:val="0"/>
              <w:rPr>
                <w:noProof/>
                <w:sz w:val="20"/>
                <w:szCs w:val="20"/>
              </w:rPr>
            </w:pPr>
            <w:bookmarkStart w:id="1288" w:name="_Toc223980887"/>
            <w:r w:rsidRPr="009423A7">
              <w:rPr>
                <w:noProof/>
                <w:sz w:val="20"/>
                <w:szCs w:val="20"/>
              </w:rPr>
              <w:t>153.9</w:t>
            </w:r>
            <w:bookmarkEnd w:id="1288"/>
          </w:p>
        </w:tc>
      </w:tr>
      <w:tr w:rsidR="009423A7" w:rsidRPr="00C14AF8" w14:paraId="0024CE24"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405531D" w14:textId="77777777" w:rsidR="009423A7" w:rsidRPr="00C14AF8" w:rsidRDefault="009423A7" w:rsidP="009423A7">
            <w:pPr>
              <w:outlineLvl w:val="0"/>
              <w:rPr>
                <w:noProof/>
                <w:sz w:val="20"/>
                <w:szCs w:val="20"/>
              </w:rPr>
            </w:pPr>
            <w:r w:rsidRPr="00C14AF8">
              <w:rPr>
                <w:noProof/>
                <w:sz w:val="20"/>
                <w:szCs w:val="20"/>
              </w:rPr>
              <w:t xml:space="preserve"> </w:t>
            </w:r>
            <w:bookmarkStart w:id="1289" w:name="_Toc223980888"/>
            <w:r w:rsidRPr="00C14AF8">
              <w:rPr>
                <w:noProof/>
                <w:sz w:val="20"/>
                <w:szCs w:val="20"/>
              </w:rPr>
              <w:t>Spain</w:t>
            </w:r>
            <w:bookmarkEnd w:id="128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3B5261EB" w14:textId="614BBBF9" w:rsidR="009423A7" w:rsidRPr="009423A7" w:rsidRDefault="009423A7" w:rsidP="009423A7">
            <w:pPr>
              <w:jc w:val="right"/>
              <w:outlineLvl w:val="0"/>
              <w:rPr>
                <w:noProof/>
                <w:sz w:val="20"/>
                <w:szCs w:val="20"/>
              </w:rPr>
            </w:pPr>
            <w:bookmarkStart w:id="1290" w:name="_Toc223980889"/>
            <w:r w:rsidRPr="009423A7">
              <w:rPr>
                <w:noProof/>
                <w:sz w:val="20"/>
                <w:szCs w:val="20"/>
              </w:rPr>
              <w:t>705.5</w:t>
            </w:r>
            <w:bookmarkEnd w:id="1290"/>
          </w:p>
        </w:tc>
        <w:tc>
          <w:tcPr>
            <w:tcW w:w="794" w:type="pct"/>
            <w:tcBorders>
              <w:top w:val="nil"/>
              <w:left w:val="nil"/>
              <w:bottom w:val="single" w:sz="4" w:space="0" w:color="auto"/>
              <w:right w:val="single" w:sz="4" w:space="0" w:color="auto"/>
            </w:tcBorders>
            <w:shd w:val="clear" w:color="000000" w:fill="FFFFFF"/>
            <w:noWrap/>
            <w:hideMark/>
          </w:tcPr>
          <w:p w14:paraId="62833ACD" w14:textId="31772AFB" w:rsidR="009423A7" w:rsidRPr="009423A7" w:rsidRDefault="009423A7" w:rsidP="009423A7">
            <w:pPr>
              <w:jc w:val="right"/>
              <w:outlineLvl w:val="0"/>
              <w:rPr>
                <w:noProof/>
                <w:sz w:val="20"/>
                <w:szCs w:val="20"/>
              </w:rPr>
            </w:pPr>
            <w:bookmarkStart w:id="1291" w:name="_Toc223980890"/>
            <w:r w:rsidRPr="009423A7">
              <w:rPr>
                <w:noProof/>
                <w:sz w:val="20"/>
                <w:szCs w:val="20"/>
              </w:rPr>
              <w:t>106.8</w:t>
            </w:r>
            <w:bookmarkEnd w:id="1291"/>
          </w:p>
        </w:tc>
        <w:tc>
          <w:tcPr>
            <w:tcW w:w="794" w:type="pct"/>
            <w:tcBorders>
              <w:top w:val="nil"/>
              <w:left w:val="nil"/>
              <w:bottom w:val="single" w:sz="4" w:space="0" w:color="auto"/>
              <w:right w:val="single" w:sz="4" w:space="0" w:color="auto"/>
            </w:tcBorders>
            <w:shd w:val="clear" w:color="000000" w:fill="FFFFFF"/>
            <w:noWrap/>
            <w:hideMark/>
          </w:tcPr>
          <w:p w14:paraId="5F73C0C8" w14:textId="43B8ABC3" w:rsidR="009423A7" w:rsidRPr="009423A7" w:rsidRDefault="009423A7" w:rsidP="009423A7">
            <w:pPr>
              <w:jc w:val="right"/>
              <w:outlineLvl w:val="0"/>
              <w:rPr>
                <w:noProof/>
                <w:sz w:val="20"/>
                <w:szCs w:val="20"/>
              </w:rPr>
            </w:pPr>
            <w:bookmarkStart w:id="1292" w:name="_Toc223980891"/>
            <w:r w:rsidRPr="009423A7">
              <w:rPr>
                <w:noProof/>
                <w:sz w:val="20"/>
                <w:szCs w:val="20"/>
              </w:rPr>
              <w:t>179.3</w:t>
            </w:r>
            <w:bookmarkEnd w:id="1292"/>
          </w:p>
        </w:tc>
        <w:tc>
          <w:tcPr>
            <w:tcW w:w="794" w:type="pct"/>
            <w:tcBorders>
              <w:top w:val="nil"/>
              <w:left w:val="nil"/>
              <w:bottom w:val="single" w:sz="4" w:space="0" w:color="auto"/>
              <w:right w:val="single" w:sz="4" w:space="0" w:color="auto"/>
            </w:tcBorders>
            <w:shd w:val="clear" w:color="000000" w:fill="FFFFFF"/>
            <w:noWrap/>
            <w:hideMark/>
          </w:tcPr>
          <w:p w14:paraId="76B7B196" w14:textId="1EA223BF" w:rsidR="009423A7" w:rsidRPr="009423A7" w:rsidRDefault="009423A7" w:rsidP="009423A7">
            <w:pPr>
              <w:jc w:val="right"/>
              <w:outlineLvl w:val="0"/>
              <w:rPr>
                <w:noProof/>
                <w:sz w:val="20"/>
                <w:szCs w:val="20"/>
              </w:rPr>
            </w:pPr>
            <w:bookmarkStart w:id="1293" w:name="_Toc223980892"/>
            <w:r w:rsidRPr="009423A7">
              <w:rPr>
                <w:noProof/>
                <w:sz w:val="20"/>
                <w:szCs w:val="20"/>
              </w:rPr>
              <w:t>123.1</w:t>
            </w:r>
            <w:bookmarkEnd w:id="1293"/>
          </w:p>
        </w:tc>
      </w:tr>
      <w:tr w:rsidR="009423A7" w:rsidRPr="00C14AF8" w14:paraId="43C01FC0"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1F04FE4B" w14:textId="77777777" w:rsidR="009423A7" w:rsidRPr="00C14AF8" w:rsidRDefault="009423A7" w:rsidP="009423A7">
            <w:pPr>
              <w:outlineLvl w:val="0"/>
              <w:rPr>
                <w:noProof/>
                <w:sz w:val="20"/>
                <w:szCs w:val="20"/>
              </w:rPr>
            </w:pPr>
            <w:r w:rsidRPr="00C14AF8">
              <w:rPr>
                <w:noProof/>
                <w:sz w:val="20"/>
                <w:szCs w:val="20"/>
              </w:rPr>
              <w:t xml:space="preserve"> </w:t>
            </w:r>
            <w:bookmarkStart w:id="1294" w:name="_Toc223980893"/>
            <w:r w:rsidRPr="00C14AF8">
              <w:rPr>
                <w:noProof/>
                <w:sz w:val="20"/>
                <w:szCs w:val="20"/>
              </w:rPr>
              <w:t>Netherlands</w:t>
            </w:r>
            <w:bookmarkEnd w:id="129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1D9C341A" w14:textId="4D4209F0" w:rsidR="009423A7" w:rsidRPr="009423A7" w:rsidRDefault="009423A7" w:rsidP="009423A7">
            <w:pPr>
              <w:jc w:val="right"/>
              <w:outlineLvl w:val="0"/>
              <w:rPr>
                <w:noProof/>
                <w:sz w:val="20"/>
                <w:szCs w:val="20"/>
              </w:rPr>
            </w:pPr>
            <w:bookmarkStart w:id="1295" w:name="_Toc223980894"/>
            <w:r w:rsidRPr="009423A7">
              <w:rPr>
                <w:noProof/>
                <w:sz w:val="20"/>
                <w:szCs w:val="20"/>
              </w:rPr>
              <w:t>1,763.8</w:t>
            </w:r>
            <w:bookmarkEnd w:id="1295"/>
          </w:p>
        </w:tc>
        <w:tc>
          <w:tcPr>
            <w:tcW w:w="794" w:type="pct"/>
            <w:tcBorders>
              <w:top w:val="nil"/>
              <w:left w:val="nil"/>
              <w:bottom w:val="single" w:sz="4" w:space="0" w:color="auto"/>
              <w:right w:val="single" w:sz="4" w:space="0" w:color="auto"/>
            </w:tcBorders>
            <w:shd w:val="clear" w:color="000000" w:fill="FFFFFF"/>
            <w:noWrap/>
            <w:hideMark/>
          </w:tcPr>
          <w:p w14:paraId="0C879BCC" w14:textId="798414D3" w:rsidR="009423A7" w:rsidRPr="009423A7" w:rsidRDefault="009423A7" w:rsidP="009423A7">
            <w:pPr>
              <w:jc w:val="right"/>
              <w:outlineLvl w:val="0"/>
              <w:rPr>
                <w:noProof/>
                <w:sz w:val="20"/>
                <w:szCs w:val="20"/>
              </w:rPr>
            </w:pPr>
            <w:bookmarkStart w:id="1296" w:name="_Toc223980895"/>
            <w:r w:rsidRPr="009423A7">
              <w:rPr>
                <w:noProof/>
                <w:sz w:val="20"/>
                <w:szCs w:val="20"/>
              </w:rPr>
              <w:t>266.9</w:t>
            </w:r>
            <w:bookmarkEnd w:id="1296"/>
          </w:p>
        </w:tc>
        <w:tc>
          <w:tcPr>
            <w:tcW w:w="794" w:type="pct"/>
            <w:tcBorders>
              <w:top w:val="nil"/>
              <w:left w:val="nil"/>
              <w:bottom w:val="single" w:sz="4" w:space="0" w:color="auto"/>
              <w:right w:val="single" w:sz="4" w:space="0" w:color="auto"/>
            </w:tcBorders>
            <w:shd w:val="clear" w:color="000000" w:fill="FFFFFF"/>
            <w:noWrap/>
            <w:hideMark/>
          </w:tcPr>
          <w:p w14:paraId="49708620" w14:textId="5B1FDE48" w:rsidR="009423A7" w:rsidRPr="009423A7" w:rsidRDefault="009423A7" w:rsidP="009423A7">
            <w:pPr>
              <w:jc w:val="right"/>
              <w:outlineLvl w:val="0"/>
              <w:rPr>
                <w:noProof/>
                <w:sz w:val="20"/>
                <w:szCs w:val="20"/>
              </w:rPr>
            </w:pPr>
            <w:bookmarkStart w:id="1297" w:name="_Toc223980896"/>
            <w:r w:rsidRPr="009423A7">
              <w:rPr>
                <w:noProof/>
                <w:sz w:val="20"/>
                <w:szCs w:val="20"/>
              </w:rPr>
              <w:t>448.2</w:t>
            </w:r>
            <w:bookmarkEnd w:id="1297"/>
          </w:p>
        </w:tc>
        <w:tc>
          <w:tcPr>
            <w:tcW w:w="794" w:type="pct"/>
            <w:tcBorders>
              <w:top w:val="nil"/>
              <w:left w:val="nil"/>
              <w:bottom w:val="single" w:sz="4" w:space="0" w:color="auto"/>
              <w:right w:val="single" w:sz="4" w:space="0" w:color="auto"/>
            </w:tcBorders>
            <w:shd w:val="clear" w:color="000000" w:fill="FFFFFF"/>
            <w:noWrap/>
            <w:hideMark/>
          </w:tcPr>
          <w:p w14:paraId="7CD6491F" w14:textId="709F6544" w:rsidR="009423A7" w:rsidRPr="009423A7" w:rsidRDefault="009423A7" w:rsidP="009423A7">
            <w:pPr>
              <w:jc w:val="right"/>
              <w:outlineLvl w:val="0"/>
              <w:rPr>
                <w:noProof/>
                <w:sz w:val="20"/>
                <w:szCs w:val="20"/>
              </w:rPr>
            </w:pPr>
            <w:bookmarkStart w:id="1298" w:name="_Toc223980897"/>
            <w:r w:rsidRPr="009423A7">
              <w:rPr>
                <w:noProof/>
                <w:sz w:val="20"/>
                <w:szCs w:val="20"/>
              </w:rPr>
              <w:t>307.8</w:t>
            </w:r>
            <w:bookmarkEnd w:id="1298"/>
          </w:p>
        </w:tc>
      </w:tr>
      <w:tr w:rsidR="009423A7" w:rsidRPr="00C14AF8" w14:paraId="0F5387C8"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C8EDB65" w14:textId="77777777" w:rsidR="009423A7" w:rsidRPr="00C14AF8" w:rsidRDefault="009423A7" w:rsidP="009423A7">
            <w:pPr>
              <w:outlineLvl w:val="0"/>
              <w:rPr>
                <w:noProof/>
                <w:sz w:val="20"/>
                <w:szCs w:val="20"/>
              </w:rPr>
            </w:pPr>
            <w:r w:rsidRPr="00C14AF8">
              <w:rPr>
                <w:noProof/>
                <w:sz w:val="20"/>
                <w:szCs w:val="20"/>
              </w:rPr>
              <w:t xml:space="preserve"> </w:t>
            </w:r>
            <w:bookmarkStart w:id="1299" w:name="_Toc223980898"/>
            <w:r w:rsidRPr="00C14AF8">
              <w:rPr>
                <w:noProof/>
                <w:sz w:val="20"/>
                <w:szCs w:val="20"/>
              </w:rPr>
              <w:t>France</w:t>
            </w:r>
            <w:bookmarkEnd w:id="129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4F8398F1" w14:textId="2DFCDE3C" w:rsidR="009423A7" w:rsidRPr="009423A7" w:rsidRDefault="009423A7" w:rsidP="009423A7">
            <w:pPr>
              <w:jc w:val="right"/>
              <w:outlineLvl w:val="0"/>
              <w:rPr>
                <w:noProof/>
                <w:sz w:val="20"/>
                <w:szCs w:val="20"/>
              </w:rPr>
            </w:pPr>
            <w:bookmarkStart w:id="1300" w:name="_Toc223980899"/>
            <w:r w:rsidRPr="009423A7">
              <w:rPr>
                <w:noProof/>
                <w:sz w:val="20"/>
                <w:szCs w:val="20"/>
              </w:rPr>
              <w:t>2,292.9</w:t>
            </w:r>
            <w:bookmarkEnd w:id="1300"/>
          </w:p>
        </w:tc>
        <w:tc>
          <w:tcPr>
            <w:tcW w:w="794" w:type="pct"/>
            <w:tcBorders>
              <w:top w:val="nil"/>
              <w:left w:val="nil"/>
              <w:bottom w:val="single" w:sz="4" w:space="0" w:color="auto"/>
              <w:right w:val="single" w:sz="4" w:space="0" w:color="auto"/>
            </w:tcBorders>
            <w:shd w:val="clear" w:color="000000" w:fill="FFFFFF"/>
            <w:noWrap/>
            <w:hideMark/>
          </w:tcPr>
          <w:p w14:paraId="068F3AEF" w14:textId="58E67970" w:rsidR="009423A7" w:rsidRPr="009423A7" w:rsidRDefault="009423A7" w:rsidP="009423A7">
            <w:pPr>
              <w:jc w:val="right"/>
              <w:outlineLvl w:val="0"/>
              <w:rPr>
                <w:noProof/>
                <w:sz w:val="20"/>
                <w:szCs w:val="20"/>
              </w:rPr>
            </w:pPr>
            <w:bookmarkStart w:id="1301" w:name="_Toc223980900"/>
            <w:r w:rsidRPr="009423A7">
              <w:rPr>
                <w:noProof/>
                <w:sz w:val="20"/>
                <w:szCs w:val="20"/>
              </w:rPr>
              <w:t>347.0</w:t>
            </w:r>
            <w:bookmarkEnd w:id="1301"/>
          </w:p>
        </w:tc>
        <w:tc>
          <w:tcPr>
            <w:tcW w:w="794" w:type="pct"/>
            <w:tcBorders>
              <w:top w:val="nil"/>
              <w:left w:val="nil"/>
              <w:bottom w:val="single" w:sz="4" w:space="0" w:color="auto"/>
              <w:right w:val="single" w:sz="4" w:space="0" w:color="auto"/>
            </w:tcBorders>
            <w:shd w:val="clear" w:color="000000" w:fill="FFFFFF"/>
            <w:noWrap/>
            <w:hideMark/>
          </w:tcPr>
          <w:p w14:paraId="3FD48D16" w14:textId="1CCDAF22" w:rsidR="009423A7" w:rsidRPr="009423A7" w:rsidRDefault="009423A7" w:rsidP="009423A7">
            <w:pPr>
              <w:jc w:val="right"/>
              <w:outlineLvl w:val="0"/>
              <w:rPr>
                <w:noProof/>
                <w:sz w:val="20"/>
                <w:szCs w:val="20"/>
              </w:rPr>
            </w:pPr>
            <w:bookmarkStart w:id="1302" w:name="_Toc223980901"/>
            <w:r w:rsidRPr="009423A7">
              <w:rPr>
                <w:noProof/>
                <w:sz w:val="20"/>
                <w:szCs w:val="20"/>
              </w:rPr>
              <w:t>582.6</w:t>
            </w:r>
            <w:bookmarkEnd w:id="1302"/>
          </w:p>
        </w:tc>
        <w:tc>
          <w:tcPr>
            <w:tcW w:w="794" w:type="pct"/>
            <w:tcBorders>
              <w:top w:val="nil"/>
              <w:left w:val="nil"/>
              <w:bottom w:val="single" w:sz="4" w:space="0" w:color="auto"/>
              <w:right w:val="single" w:sz="4" w:space="0" w:color="auto"/>
            </w:tcBorders>
            <w:shd w:val="clear" w:color="000000" w:fill="FFFFFF"/>
            <w:noWrap/>
            <w:hideMark/>
          </w:tcPr>
          <w:p w14:paraId="5835498D" w14:textId="19C45EFB" w:rsidR="009423A7" w:rsidRPr="009423A7" w:rsidRDefault="009423A7" w:rsidP="009423A7">
            <w:pPr>
              <w:jc w:val="right"/>
              <w:outlineLvl w:val="0"/>
              <w:rPr>
                <w:noProof/>
                <w:sz w:val="20"/>
                <w:szCs w:val="20"/>
              </w:rPr>
            </w:pPr>
            <w:bookmarkStart w:id="1303" w:name="_Toc223980902"/>
            <w:r w:rsidRPr="009423A7">
              <w:rPr>
                <w:noProof/>
                <w:sz w:val="20"/>
                <w:szCs w:val="20"/>
              </w:rPr>
              <w:t>400.1</w:t>
            </w:r>
            <w:bookmarkEnd w:id="1303"/>
          </w:p>
        </w:tc>
      </w:tr>
      <w:tr w:rsidR="009423A7" w:rsidRPr="00C14AF8" w14:paraId="50B69988"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128CCA2B" w14:textId="77777777" w:rsidR="009423A7" w:rsidRPr="00C14AF8" w:rsidRDefault="009423A7" w:rsidP="009423A7">
            <w:pPr>
              <w:outlineLvl w:val="0"/>
              <w:rPr>
                <w:noProof/>
                <w:sz w:val="20"/>
                <w:szCs w:val="20"/>
              </w:rPr>
            </w:pPr>
            <w:r w:rsidRPr="00C14AF8">
              <w:rPr>
                <w:noProof/>
                <w:sz w:val="20"/>
                <w:szCs w:val="20"/>
              </w:rPr>
              <w:t xml:space="preserve"> </w:t>
            </w:r>
            <w:bookmarkStart w:id="1304" w:name="_Toc223980903"/>
            <w:r w:rsidRPr="00C14AF8">
              <w:rPr>
                <w:noProof/>
                <w:sz w:val="20"/>
                <w:szCs w:val="20"/>
              </w:rPr>
              <w:t>Poland</w:t>
            </w:r>
            <w:bookmarkEnd w:id="130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3E34842D" w14:textId="1D7C7C6E" w:rsidR="009423A7" w:rsidRPr="009423A7" w:rsidRDefault="009423A7" w:rsidP="009423A7">
            <w:pPr>
              <w:jc w:val="right"/>
              <w:outlineLvl w:val="0"/>
              <w:rPr>
                <w:noProof/>
                <w:sz w:val="20"/>
                <w:szCs w:val="20"/>
              </w:rPr>
            </w:pPr>
            <w:bookmarkStart w:id="1305" w:name="_Toc223980904"/>
            <w:r w:rsidRPr="009423A7">
              <w:rPr>
                <w:noProof/>
                <w:sz w:val="20"/>
                <w:szCs w:val="20"/>
              </w:rPr>
              <w:t>1,234.7</w:t>
            </w:r>
            <w:bookmarkEnd w:id="1305"/>
          </w:p>
        </w:tc>
        <w:tc>
          <w:tcPr>
            <w:tcW w:w="794" w:type="pct"/>
            <w:tcBorders>
              <w:top w:val="nil"/>
              <w:left w:val="nil"/>
              <w:bottom w:val="single" w:sz="4" w:space="0" w:color="auto"/>
              <w:right w:val="single" w:sz="4" w:space="0" w:color="auto"/>
            </w:tcBorders>
            <w:shd w:val="clear" w:color="000000" w:fill="FFFFFF"/>
            <w:noWrap/>
            <w:hideMark/>
          </w:tcPr>
          <w:p w14:paraId="7FBF80CB" w14:textId="4BBE591C" w:rsidR="009423A7" w:rsidRPr="009423A7" w:rsidRDefault="009423A7" w:rsidP="009423A7">
            <w:pPr>
              <w:jc w:val="right"/>
              <w:outlineLvl w:val="0"/>
              <w:rPr>
                <w:noProof/>
                <w:sz w:val="20"/>
                <w:szCs w:val="20"/>
              </w:rPr>
            </w:pPr>
            <w:bookmarkStart w:id="1306" w:name="_Toc223980905"/>
            <w:r w:rsidRPr="009423A7">
              <w:rPr>
                <w:noProof/>
                <w:sz w:val="20"/>
                <w:szCs w:val="20"/>
              </w:rPr>
              <w:t>186.8</w:t>
            </w:r>
            <w:bookmarkEnd w:id="1306"/>
          </w:p>
        </w:tc>
        <w:tc>
          <w:tcPr>
            <w:tcW w:w="794" w:type="pct"/>
            <w:tcBorders>
              <w:top w:val="nil"/>
              <w:left w:val="nil"/>
              <w:bottom w:val="single" w:sz="4" w:space="0" w:color="auto"/>
              <w:right w:val="single" w:sz="4" w:space="0" w:color="auto"/>
            </w:tcBorders>
            <w:shd w:val="clear" w:color="000000" w:fill="FFFFFF"/>
            <w:noWrap/>
            <w:hideMark/>
          </w:tcPr>
          <w:p w14:paraId="70BCF2C4" w14:textId="606D5625" w:rsidR="009423A7" w:rsidRPr="009423A7" w:rsidRDefault="009423A7" w:rsidP="009423A7">
            <w:pPr>
              <w:jc w:val="right"/>
              <w:outlineLvl w:val="0"/>
              <w:rPr>
                <w:noProof/>
                <w:sz w:val="20"/>
                <w:szCs w:val="20"/>
              </w:rPr>
            </w:pPr>
            <w:bookmarkStart w:id="1307" w:name="_Toc223980906"/>
            <w:r w:rsidRPr="009423A7">
              <w:rPr>
                <w:noProof/>
                <w:sz w:val="20"/>
                <w:szCs w:val="20"/>
              </w:rPr>
              <w:t>313.7</w:t>
            </w:r>
            <w:bookmarkEnd w:id="1307"/>
          </w:p>
        </w:tc>
        <w:tc>
          <w:tcPr>
            <w:tcW w:w="794" w:type="pct"/>
            <w:tcBorders>
              <w:top w:val="nil"/>
              <w:left w:val="nil"/>
              <w:bottom w:val="single" w:sz="4" w:space="0" w:color="auto"/>
              <w:right w:val="single" w:sz="4" w:space="0" w:color="auto"/>
            </w:tcBorders>
            <w:shd w:val="clear" w:color="000000" w:fill="FFFFFF"/>
            <w:noWrap/>
            <w:hideMark/>
          </w:tcPr>
          <w:p w14:paraId="1BBA2F55" w14:textId="5D8EB483" w:rsidR="009423A7" w:rsidRPr="009423A7" w:rsidRDefault="009423A7" w:rsidP="009423A7">
            <w:pPr>
              <w:jc w:val="right"/>
              <w:outlineLvl w:val="0"/>
              <w:rPr>
                <w:noProof/>
                <w:sz w:val="20"/>
                <w:szCs w:val="20"/>
              </w:rPr>
            </w:pPr>
            <w:bookmarkStart w:id="1308" w:name="_Toc223980907"/>
            <w:r w:rsidRPr="009423A7">
              <w:rPr>
                <w:noProof/>
                <w:sz w:val="20"/>
                <w:szCs w:val="20"/>
              </w:rPr>
              <w:t>215.4</w:t>
            </w:r>
            <w:bookmarkEnd w:id="1308"/>
          </w:p>
        </w:tc>
      </w:tr>
      <w:tr w:rsidR="009423A7" w:rsidRPr="00C14AF8" w14:paraId="6AA4F9D9"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082CE574" w14:textId="77777777" w:rsidR="009423A7" w:rsidRPr="00C14AF8" w:rsidRDefault="009423A7" w:rsidP="009423A7">
            <w:pPr>
              <w:outlineLvl w:val="0"/>
              <w:rPr>
                <w:noProof/>
                <w:sz w:val="20"/>
                <w:szCs w:val="20"/>
              </w:rPr>
            </w:pPr>
            <w:r w:rsidRPr="00C14AF8">
              <w:rPr>
                <w:noProof/>
                <w:sz w:val="20"/>
                <w:szCs w:val="20"/>
              </w:rPr>
              <w:t xml:space="preserve"> </w:t>
            </w:r>
            <w:bookmarkStart w:id="1309" w:name="_Toc223980908"/>
            <w:r w:rsidRPr="00C14AF8">
              <w:rPr>
                <w:noProof/>
                <w:sz w:val="20"/>
                <w:szCs w:val="20"/>
              </w:rPr>
              <w:t>Italy</w:t>
            </w:r>
            <w:bookmarkEnd w:id="130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3D6B4DF6" w14:textId="46AFF515" w:rsidR="009423A7" w:rsidRPr="009423A7" w:rsidRDefault="009423A7" w:rsidP="009423A7">
            <w:pPr>
              <w:jc w:val="right"/>
              <w:outlineLvl w:val="0"/>
              <w:rPr>
                <w:noProof/>
                <w:sz w:val="20"/>
                <w:szCs w:val="20"/>
              </w:rPr>
            </w:pPr>
            <w:bookmarkStart w:id="1310" w:name="_Toc223980909"/>
            <w:r w:rsidRPr="009423A7">
              <w:rPr>
                <w:noProof/>
                <w:sz w:val="20"/>
                <w:szCs w:val="20"/>
              </w:rPr>
              <w:t>1,058.3</w:t>
            </w:r>
            <w:bookmarkEnd w:id="1310"/>
          </w:p>
        </w:tc>
        <w:tc>
          <w:tcPr>
            <w:tcW w:w="794" w:type="pct"/>
            <w:tcBorders>
              <w:top w:val="nil"/>
              <w:left w:val="nil"/>
              <w:bottom w:val="single" w:sz="4" w:space="0" w:color="auto"/>
              <w:right w:val="single" w:sz="4" w:space="0" w:color="auto"/>
            </w:tcBorders>
            <w:shd w:val="clear" w:color="000000" w:fill="FFFFFF"/>
            <w:noWrap/>
            <w:hideMark/>
          </w:tcPr>
          <w:p w14:paraId="589AA065" w14:textId="675A0B41" w:rsidR="009423A7" w:rsidRPr="009423A7" w:rsidRDefault="009423A7" w:rsidP="009423A7">
            <w:pPr>
              <w:jc w:val="right"/>
              <w:outlineLvl w:val="0"/>
              <w:rPr>
                <w:noProof/>
                <w:sz w:val="20"/>
                <w:szCs w:val="20"/>
              </w:rPr>
            </w:pPr>
            <w:bookmarkStart w:id="1311" w:name="_Toc223980910"/>
            <w:r w:rsidRPr="009423A7">
              <w:rPr>
                <w:noProof/>
                <w:sz w:val="20"/>
                <w:szCs w:val="20"/>
              </w:rPr>
              <w:t>160.2</w:t>
            </w:r>
            <w:bookmarkEnd w:id="1311"/>
          </w:p>
        </w:tc>
        <w:tc>
          <w:tcPr>
            <w:tcW w:w="794" w:type="pct"/>
            <w:tcBorders>
              <w:top w:val="nil"/>
              <w:left w:val="nil"/>
              <w:bottom w:val="single" w:sz="4" w:space="0" w:color="auto"/>
              <w:right w:val="single" w:sz="4" w:space="0" w:color="auto"/>
            </w:tcBorders>
            <w:shd w:val="clear" w:color="000000" w:fill="FFFFFF"/>
            <w:noWrap/>
            <w:hideMark/>
          </w:tcPr>
          <w:p w14:paraId="3F082E37" w14:textId="046EBAA6" w:rsidR="009423A7" w:rsidRPr="009423A7" w:rsidRDefault="009423A7" w:rsidP="009423A7">
            <w:pPr>
              <w:jc w:val="right"/>
              <w:outlineLvl w:val="0"/>
              <w:rPr>
                <w:noProof/>
                <w:sz w:val="20"/>
                <w:szCs w:val="20"/>
              </w:rPr>
            </w:pPr>
            <w:bookmarkStart w:id="1312" w:name="_Toc223980911"/>
            <w:r w:rsidRPr="009423A7">
              <w:rPr>
                <w:noProof/>
                <w:sz w:val="20"/>
                <w:szCs w:val="20"/>
              </w:rPr>
              <w:t>268.9</w:t>
            </w:r>
            <w:bookmarkEnd w:id="1312"/>
          </w:p>
        </w:tc>
        <w:tc>
          <w:tcPr>
            <w:tcW w:w="794" w:type="pct"/>
            <w:tcBorders>
              <w:top w:val="nil"/>
              <w:left w:val="nil"/>
              <w:bottom w:val="single" w:sz="4" w:space="0" w:color="auto"/>
              <w:right w:val="single" w:sz="4" w:space="0" w:color="auto"/>
            </w:tcBorders>
            <w:shd w:val="clear" w:color="000000" w:fill="FFFFFF"/>
            <w:noWrap/>
            <w:hideMark/>
          </w:tcPr>
          <w:p w14:paraId="37E1C08F" w14:textId="26FB135A" w:rsidR="009423A7" w:rsidRPr="009423A7" w:rsidRDefault="009423A7" w:rsidP="009423A7">
            <w:pPr>
              <w:jc w:val="right"/>
              <w:outlineLvl w:val="0"/>
              <w:rPr>
                <w:noProof/>
                <w:sz w:val="20"/>
                <w:szCs w:val="20"/>
              </w:rPr>
            </w:pPr>
            <w:bookmarkStart w:id="1313" w:name="_Toc223980912"/>
            <w:r w:rsidRPr="009423A7">
              <w:rPr>
                <w:noProof/>
                <w:sz w:val="20"/>
                <w:szCs w:val="20"/>
              </w:rPr>
              <w:t>184.7</w:t>
            </w:r>
            <w:bookmarkEnd w:id="1313"/>
          </w:p>
        </w:tc>
      </w:tr>
      <w:tr w:rsidR="009423A7" w:rsidRPr="00C14AF8" w14:paraId="43234E3E"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5611FA1C" w14:textId="77777777" w:rsidR="009423A7" w:rsidRPr="00C14AF8" w:rsidRDefault="009423A7" w:rsidP="009423A7">
            <w:pPr>
              <w:outlineLvl w:val="0"/>
              <w:rPr>
                <w:noProof/>
                <w:sz w:val="20"/>
                <w:szCs w:val="20"/>
              </w:rPr>
            </w:pPr>
            <w:r w:rsidRPr="00C14AF8">
              <w:rPr>
                <w:noProof/>
                <w:sz w:val="20"/>
                <w:szCs w:val="20"/>
              </w:rPr>
              <w:t xml:space="preserve"> </w:t>
            </w:r>
            <w:bookmarkStart w:id="1314" w:name="_Toc223980913"/>
            <w:r w:rsidRPr="00C14AF8">
              <w:rPr>
                <w:noProof/>
                <w:sz w:val="20"/>
                <w:szCs w:val="20"/>
              </w:rPr>
              <w:t>Belgium</w:t>
            </w:r>
            <w:bookmarkEnd w:id="131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0AB4DCD1" w14:textId="09221B25" w:rsidR="009423A7" w:rsidRPr="009423A7" w:rsidRDefault="009423A7" w:rsidP="009423A7">
            <w:pPr>
              <w:jc w:val="right"/>
              <w:outlineLvl w:val="0"/>
              <w:rPr>
                <w:noProof/>
                <w:sz w:val="20"/>
                <w:szCs w:val="20"/>
              </w:rPr>
            </w:pPr>
            <w:bookmarkStart w:id="1315" w:name="_Toc223980914"/>
            <w:r w:rsidRPr="009423A7">
              <w:rPr>
                <w:noProof/>
                <w:sz w:val="20"/>
                <w:szCs w:val="20"/>
              </w:rPr>
              <w:t>1,058.3</w:t>
            </w:r>
            <w:bookmarkEnd w:id="1315"/>
          </w:p>
        </w:tc>
        <w:tc>
          <w:tcPr>
            <w:tcW w:w="794" w:type="pct"/>
            <w:tcBorders>
              <w:top w:val="nil"/>
              <w:left w:val="nil"/>
              <w:bottom w:val="single" w:sz="4" w:space="0" w:color="auto"/>
              <w:right w:val="single" w:sz="4" w:space="0" w:color="auto"/>
            </w:tcBorders>
            <w:shd w:val="clear" w:color="000000" w:fill="FFFFFF"/>
            <w:noWrap/>
            <w:hideMark/>
          </w:tcPr>
          <w:p w14:paraId="5787ECD4" w14:textId="7C781DCC" w:rsidR="009423A7" w:rsidRPr="009423A7" w:rsidRDefault="009423A7" w:rsidP="009423A7">
            <w:pPr>
              <w:jc w:val="right"/>
              <w:outlineLvl w:val="0"/>
              <w:rPr>
                <w:noProof/>
                <w:sz w:val="20"/>
                <w:szCs w:val="20"/>
              </w:rPr>
            </w:pPr>
            <w:bookmarkStart w:id="1316" w:name="_Toc223980915"/>
            <w:r w:rsidRPr="009423A7">
              <w:rPr>
                <w:noProof/>
                <w:sz w:val="20"/>
                <w:szCs w:val="20"/>
              </w:rPr>
              <w:t>160.2</w:t>
            </w:r>
            <w:bookmarkEnd w:id="1316"/>
          </w:p>
        </w:tc>
        <w:tc>
          <w:tcPr>
            <w:tcW w:w="794" w:type="pct"/>
            <w:tcBorders>
              <w:top w:val="nil"/>
              <w:left w:val="nil"/>
              <w:bottom w:val="single" w:sz="4" w:space="0" w:color="auto"/>
              <w:right w:val="single" w:sz="4" w:space="0" w:color="auto"/>
            </w:tcBorders>
            <w:shd w:val="clear" w:color="000000" w:fill="FFFFFF"/>
            <w:noWrap/>
            <w:hideMark/>
          </w:tcPr>
          <w:p w14:paraId="149575FB" w14:textId="271C26A1" w:rsidR="009423A7" w:rsidRPr="009423A7" w:rsidRDefault="009423A7" w:rsidP="009423A7">
            <w:pPr>
              <w:jc w:val="right"/>
              <w:outlineLvl w:val="0"/>
              <w:rPr>
                <w:noProof/>
                <w:sz w:val="20"/>
                <w:szCs w:val="20"/>
              </w:rPr>
            </w:pPr>
            <w:bookmarkStart w:id="1317" w:name="_Toc223980916"/>
            <w:r w:rsidRPr="009423A7">
              <w:rPr>
                <w:noProof/>
                <w:sz w:val="20"/>
                <w:szCs w:val="20"/>
              </w:rPr>
              <w:t>268.9</w:t>
            </w:r>
            <w:bookmarkEnd w:id="1317"/>
          </w:p>
        </w:tc>
        <w:tc>
          <w:tcPr>
            <w:tcW w:w="794" w:type="pct"/>
            <w:tcBorders>
              <w:top w:val="nil"/>
              <w:left w:val="nil"/>
              <w:bottom w:val="single" w:sz="4" w:space="0" w:color="auto"/>
              <w:right w:val="single" w:sz="4" w:space="0" w:color="auto"/>
            </w:tcBorders>
            <w:shd w:val="clear" w:color="000000" w:fill="FFFFFF"/>
            <w:noWrap/>
            <w:hideMark/>
          </w:tcPr>
          <w:p w14:paraId="44DBE66A" w14:textId="7E02AA5A" w:rsidR="009423A7" w:rsidRPr="009423A7" w:rsidRDefault="009423A7" w:rsidP="009423A7">
            <w:pPr>
              <w:jc w:val="right"/>
              <w:outlineLvl w:val="0"/>
              <w:rPr>
                <w:noProof/>
                <w:sz w:val="20"/>
                <w:szCs w:val="20"/>
              </w:rPr>
            </w:pPr>
            <w:bookmarkStart w:id="1318" w:name="_Toc223980917"/>
            <w:r w:rsidRPr="009423A7">
              <w:rPr>
                <w:noProof/>
                <w:sz w:val="20"/>
                <w:szCs w:val="20"/>
              </w:rPr>
              <w:t>184.7</w:t>
            </w:r>
            <w:bookmarkEnd w:id="1318"/>
          </w:p>
        </w:tc>
      </w:tr>
      <w:tr w:rsidR="009423A7" w:rsidRPr="00C14AF8" w14:paraId="7321A2F7"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C7D8348" w14:textId="77777777" w:rsidR="009423A7" w:rsidRPr="00C14AF8" w:rsidRDefault="009423A7" w:rsidP="009423A7">
            <w:pPr>
              <w:outlineLvl w:val="0"/>
              <w:rPr>
                <w:noProof/>
                <w:sz w:val="20"/>
                <w:szCs w:val="20"/>
              </w:rPr>
            </w:pPr>
            <w:r w:rsidRPr="00C14AF8">
              <w:rPr>
                <w:noProof/>
                <w:sz w:val="20"/>
                <w:szCs w:val="20"/>
              </w:rPr>
              <w:t xml:space="preserve"> </w:t>
            </w:r>
            <w:bookmarkStart w:id="1319" w:name="_Toc223980918"/>
            <w:r w:rsidRPr="00C14AF8">
              <w:rPr>
                <w:noProof/>
                <w:sz w:val="20"/>
                <w:szCs w:val="20"/>
              </w:rPr>
              <w:t>Portugal</w:t>
            </w:r>
            <w:bookmarkEnd w:id="131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36222411" w14:textId="474E43EB" w:rsidR="009423A7" w:rsidRPr="009423A7" w:rsidRDefault="009423A7" w:rsidP="009423A7">
            <w:pPr>
              <w:jc w:val="right"/>
              <w:outlineLvl w:val="0"/>
              <w:rPr>
                <w:noProof/>
                <w:sz w:val="20"/>
                <w:szCs w:val="20"/>
              </w:rPr>
            </w:pPr>
            <w:bookmarkStart w:id="1320" w:name="_Toc223980919"/>
            <w:r w:rsidRPr="009423A7">
              <w:rPr>
                <w:noProof/>
                <w:sz w:val="20"/>
                <w:szCs w:val="20"/>
              </w:rPr>
              <w:t>352.8</w:t>
            </w:r>
            <w:bookmarkEnd w:id="1320"/>
          </w:p>
        </w:tc>
        <w:tc>
          <w:tcPr>
            <w:tcW w:w="794" w:type="pct"/>
            <w:tcBorders>
              <w:top w:val="nil"/>
              <w:left w:val="nil"/>
              <w:bottom w:val="single" w:sz="4" w:space="0" w:color="auto"/>
              <w:right w:val="single" w:sz="4" w:space="0" w:color="auto"/>
            </w:tcBorders>
            <w:shd w:val="clear" w:color="000000" w:fill="FFFFFF"/>
            <w:noWrap/>
            <w:hideMark/>
          </w:tcPr>
          <w:p w14:paraId="56CE81E2" w14:textId="209066B7" w:rsidR="009423A7" w:rsidRPr="009423A7" w:rsidRDefault="009423A7" w:rsidP="009423A7">
            <w:pPr>
              <w:jc w:val="right"/>
              <w:outlineLvl w:val="0"/>
              <w:rPr>
                <w:noProof/>
                <w:sz w:val="20"/>
                <w:szCs w:val="20"/>
              </w:rPr>
            </w:pPr>
            <w:bookmarkStart w:id="1321" w:name="_Toc223980920"/>
            <w:r w:rsidRPr="009423A7">
              <w:rPr>
                <w:noProof/>
                <w:sz w:val="20"/>
                <w:szCs w:val="20"/>
              </w:rPr>
              <w:t>53.4</w:t>
            </w:r>
            <w:bookmarkEnd w:id="1321"/>
          </w:p>
        </w:tc>
        <w:tc>
          <w:tcPr>
            <w:tcW w:w="794" w:type="pct"/>
            <w:tcBorders>
              <w:top w:val="nil"/>
              <w:left w:val="nil"/>
              <w:bottom w:val="single" w:sz="4" w:space="0" w:color="auto"/>
              <w:right w:val="single" w:sz="4" w:space="0" w:color="auto"/>
            </w:tcBorders>
            <w:shd w:val="clear" w:color="000000" w:fill="FFFFFF"/>
            <w:noWrap/>
            <w:hideMark/>
          </w:tcPr>
          <w:p w14:paraId="4B598F8C" w14:textId="5EC133E0" w:rsidR="009423A7" w:rsidRPr="009423A7" w:rsidRDefault="009423A7" w:rsidP="009423A7">
            <w:pPr>
              <w:jc w:val="right"/>
              <w:outlineLvl w:val="0"/>
              <w:rPr>
                <w:noProof/>
                <w:sz w:val="20"/>
                <w:szCs w:val="20"/>
              </w:rPr>
            </w:pPr>
            <w:bookmarkStart w:id="1322" w:name="_Toc223980921"/>
            <w:r w:rsidRPr="009423A7">
              <w:rPr>
                <w:noProof/>
                <w:sz w:val="20"/>
                <w:szCs w:val="20"/>
              </w:rPr>
              <w:t>89.6</w:t>
            </w:r>
            <w:bookmarkEnd w:id="1322"/>
          </w:p>
        </w:tc>
        <w:tc>
          <w:tcPr>
            <w:tcW w:w="794" w:type="pct"/>
            <w:tcBorders>
              <w:top w:val="nil"/>
              <w:left w:val="nil"/>
              <w:bottom w:val="single" w:sz="4" w:space="0" w:color="auto"/>
              <w:right w:val="single" w:sz="4" w:space="0" w:color="auto"/>
            </w:tcBorders>
            <w:shd w:val="clear" w:color="000000" w:fill="FFFFFF"/>
            <w:noWrap/>
            <w:hideMark/>
          </w:tcPr>
          <w:p w14:paraId="45E4BC89" w14:textId="34EFF776" w:rsidR="009423A7" w:rsidRPr="009423A7" w:rsidRDefault="009423A7" w:rsidP="009423A7">
            <w:pPr>
              <w:jc w:val="right"/>
              <w:outlineLvl w:val="0"/>
              <w:rPr>
                <w:noProof/>
                <w:sz w:val="20"/>
                <w:szCs w:val="20"/>
              </w:rPr>
            </w:pPr>
            <w:bookmarkStart w:id="1323" w:name="_Toc223980922"/>
            <w:r w:rsidRPr="009423A7">
              <w:rPr>
                <w:noProof/>
                <w:sz w:val="20"/>
                <w:szCs w:val="20"/>
              </w:rPr>
              <w:t>61.6</w:t>
            </w:r>
            <w:bookmarkEnd w:id="1323"/>
          </w:p>
        </w:tc>
      </w:tr>
      <w:tr w:rsidR="009423A7" w:rsidRPr="00C14AF8" w14:paraId="08BC22D6"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C75DDB5" w14:textId="77777777" w:rsidR="009423A7" w:rsidRPr="00C14AF8" w:rsidRDefault="009423A7" w:rsidP="009423A7">
            <w:pPr>
              <w:outlineLvl w:val="0"/>
              <w:rPr>
                <w:noProof/>
                <w:sz w:val="20"/>
                <w:szCs w:val="20"/>
              </w:rPr>
            </w:pPr>
            <w:r w:rsidRPr="00C14AF8">
              <w:rPr>
                <w:noProof/>
                <w:sz w:val="20"/>
                <w:szCs w:val="20"/>
              </w:rPr>
              <w:t xml:space="preserve"> </w:t>
            </w:r>
            <w:bookmarkStart w:id="1324" w:name="_Toc223980923"/>
            <w:r w:rsidRPr="00C14AF8">
              <w:rPr>
                <w:noProof/>
                <w:sz w:val="20"/>
                <w:szCs w:val="20"/>
              </w:rPr>
              <w:t>Malta</w:t>
            </w:r>
            <w:bookmarkEnd w:id="132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00C74BE3" w14:textId="74F53099" w:rsidR="009423A7" w:rsidRPr="009423A7" w:rsidRDefault="009423A7" w:rsidP="009423A7">
            <w:pPr>
              <w:jc w:val="right"/>
              <w:outlineLvl w:val="0"/>
              <w:rPr>
                <w:noProof/>
                <w:sz w:val="20"/>
                <w:szCs w:val="20"/>
              </w:rPr>
            </w:pPr>
            <w:bookmarkStart w:id="1325" w:name="_Toc223980924"/>
            <w:r w:rsidRPr="009423A7">
              <w:rPr>
                <w:noProof/>
                <w:sz w:val="20"/>
                <w:szCs w:val="20"/>
              </w:rPr>
              <w:t>176.4</w:t>
            </w:r>
            <w:bookmarkEnd w:id="1325"/>
          </w:p>
        </w:tc>
        <w:tc>
          <w:tcPr>
            <w:tcW w:w="794" w:type="pct"/>
            <w:tcBorders>
              <w:top w:val="nil"/>
              <w:left w:val="nil"/>
              <w:bottom w:val="single" w:sz="4" w:space="0" w:color="auto"/>
              <w:right w:val="single" w:sz="4" w:space="0" w:color="auto"/>
            </w:tcBorders>
            <w:shd w:val="clear" w:color="000000" w:fill="FFFFFF"/>
            <w:noWrap/>
            <w:hideMark/>
          </w:tcPr>
          <w:p w14:paraId="78B702ED" w14:textId="7D564967" w:rsidR="009423A7" w:rsidRPr="009423A7" w:rsidRDefault="009423A7" w:rsidP="009423A7">
            <w:pPr>
              <w:jc w:val="right"/>
              <w:outlineLvl w:val="0"/>
              <w:rPr>
                <w:noProof/>
                <w:sz w:val="20"/>
                <w:szCs w:val="20"/>
              </w:rPr>
            </w:pPr>
            <w:bookmarkStart w:id="1326" w:name="_Toc223980925"/>
            <w:r w:rsidRPr="009423A7">
              <w:rPr>
                <w:noProof/>
                <w:sz w:val="20"/>
                <w:szCs w:val="20"/>
              </w:rPr>
              <w:t>26.7</w:t>
            </w:r>
            <w:bookmarkEnd w:id="1326"/>
          </w:p>
        </w:tc>
        <w:tc>
          <w:tcPr>
            <w:tcW w:w="794" w:type="pct"/>
            <w:tcBorders>
              <w:top w:val="nil"/>
              <w:left w:val="nil"/>
              <w:bottom w:val="single" w:sz="4" w:space="0" w:color="auto"/>
              <w:right w:val="single" w:sz="4" w:space="0" w:color="auto"/>
            </w:tcBorders>
            <w:shd w:val="clear" w:color="000000" w:fill="FFFFFF"/>
            <w:noWrap/>
            <w:hideMark/>
          </w:tcPr>
          <w:p w14:paraId="1FF83889" w14:textId="724ADCF1" w:rsidR="009423A7" w:rsidRPr="009423A7" w:rsidRDefault="009423A7" w:rsidP="009423A7">
            <w:pPr>
              <w:jc w:val="right"/>
              <w:outlineLvl w:val="0"/>
              <w:rPr>
                <w:noProof/>
                <w:sz w:val="20"/>
                <w:szCs w:val="20"/>
              </w:rPr>
            </w:pPr>
            <w:bookmarkStart w:id="1327" w:name="_Toc223980926"/>
            <w:r w:rsidRPr="009423A7">
              <w:rPr>
                <w:noProof/>
                <w:sz w:val="20"/>
                <w:szCs w:val="20"/>
              </w:rPr>
              <w:t>44.8</w:t>
            </w:r>
            <w:bookmarkEnd w:id="1327"/>
          </w:p>
        </w:tc>
        <w:tc>
          <w:tcPr>
            <w:tcW w:w="794" w:type="pct"/>
            <w:tcBorders>
              <w:top w:val="nil"/>
              <w:left w:val="nil"/>
              <w:bottom w:val="single" w:sz="4" w:space="0" w:color="auto"/>
              <w:right w:val="single" w:sz="4" w:space="0" w:color="auto"/>
            </w:tcBorders>
            <w:shd w:val="clear" w:color="000000" w:fill="FFFFFF"/>
            <w:noWrap/>
            <w:hideMark/>
          </w:tcPr>
          <w:p w14:paraId="109D9725" w14:textId="3D0AF260" w:rsidR="009423A7" w:rsidRPr="009423A7" w:rsidRDefault="009423A7" w:rsidP="009423A7">
            <w:pPr>
              <w:jc w:val="right"/>
              <w:outlineLvl w:val="0"/>
              <w:rPr>
                <w:noProof/>
                <w:sz w:val="20"/>
                <w:szCs w:val="20"/>
              </w:rPr>
            </w:pPr>
            <w:bookmarkStart w:id="1328" w:name="_Toc223980927"/>
            <w:r w:rsidRPr="009423A7">
              <w:rPr>
                <w:noProof/>
                <w:sz w:val="20"/>
                <w:szCs w:val="20"/>
              </w:rPr>
              <w:t>30.8</w:t>
            </w:r>
            <w:bookmarkEnd w:id="1328"/>
          </w:p>
        </w:tc>
      </w:tr>
      <w:tr w:rsidR="009423A7" w:rsidRPr="00C14AF8" w14:paraId="4CFCD293"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4912EA7" w14:textId="77777777" w:rsidR="009423A7" w:rsidRPr="00C14AF8" w:rsidRDefault="009423A7" w:rsidP="009423A7">
            <w:pPr>
              <w:outlineLvl w:val="0"/>
              <w:rPr>
                <w:noProof/>
                <w:sz w:val="20"/>
                <w:szCs w:val="20"/>
              </w:rPr>
            </w:pPr>
            <w:r w:rsidRPr="00C14AF8">
              <w:rPr>
                <w:noProof/>
                <w:sz w:val="20"/>
                <w:szCs w:val="20"/>
              </w:rPr>
              <w:t xml:space="preserve"> </w:t>
            </w:r>
            <w:bookmarkStart w:id="1329" w:name="_Toc223980928"/>
            <w:r w:rsidRPr="00C14AF8">
              <w:rPr>
                <w:noProof/>
                <w:sz w:val="20"/>
                <w:szCs w:val="20"/>
              </w:rPr>
              <w:t>Cyprus</w:t>
            </w:r>
            <w:bookmarkEnd w:id="132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40B79E60" w14:textId="68012B35" w:rsidR="009423A7" w:rsidRPr="009423A7" w:rsidRDefault="009423A7" w:rsidP="009423A7">
            <w:pPr>
              <w:jc w:val="right"/>
              <w:outlineLvl w:val="0"/>
              <w:rPr>
                <w:noProof/>
                <w:sz w:val="20"/>
                <w:szCs w:val="20"/>
              </w:rPr>
            </w:pPr>
            <w:bookmarkStart w:id="1330" w:name="_Toc223980929"/>
            <w:r w:rsidRPr="009423A7">
              <w:rPr>
                <w:noProof/>
                <w:sz w:val="20"/>
                <w:szCs w:val="20"/>
              </w:rPr>
              <w:t>176.4</w:t>
            </w:r>
            <w:bookmarkEnd w:id="1330"/>
          </w:p>
        </w:tc>
        <w:tc>
          <w:tcPr>
            <w:tcW w:w="794" w:type="pct"/>
            <w:tcBorders>
              <w:top w:val="nil"/>
              <w:left w:val="nil"/>
              <w:bottom w:val="single" w:sz="4" w:space="0" w:color="auto"/>
              <w:right w:val="single" w:sz="4" w:space="0" w:color="auto"/>
            </w:tcBorders>
            <w:shd w:val="clear" w:color="000000" w:fill="FFFFFF"/>
            <w:noWrap/>
            <w:hideMark/>
          </w:tcPr>
          <w:p w14:paraId="5F439D51" w14:textId="0FE38465" w:rsidR="009423A7" w:rsidRPr="009423A7" w:rsidRDefault="009423A7" w:rsidP="009423A7">
            <w:pPr>
              <w:jc w:val="right"/>
              <w:outlineLvl w:val="0"/>
              <w:rPr>
                <w:noProof/>
                <w:sz w:val="20"/>
                <w:szCs w:val="20"/>
              </w:rPr>
            </w:pPr>
            <w:bookmarkStart w:id="1331" w:name="_Toc223980930"/>
            <w:r w:rsidRPr="009423A7">
              <w:rPr>
                <w:noProof/>
                <w:sz w:val="20"/>
                <w:szCs w:val="20"/>
              </w:rPr>
              <w:t>26.7</w:t>
            </w:r>
            <w:bookmarkEnd w:id="1331"/>
          </w:p>
        </w:tc>
        <w:tc>
          <w:tcPr>
            <w:tcW w:w="794" w:type="pct"/>
            <w:tcBorders>
              <w:top w:val="nil"/>
              <w:left w:val="nil"/>
              <w:bottom w:val="single" w:sz="4" w:space="0" w:color="auto"/>
              <w:right w:val="single" w:sz="4" w:space="0" w:color="auto"/>
            </w:tcBorders>
            <w:shd w:val="clear" w:color="000000" w:fill="FFFFFF"/>
            <w:noWrap/>
            <w:hideMark/>
          </w:tcPr>
          <w:p w14:paraId="3FF72177" w14:textId="265ADF00" w:rsidR="009423A7" w:rsidRPr="009423A7" w:rsidRDefault="009423A7" w:rsidP="009423A7">
            <w:pPr>
              <w:jc w:val="right"/>
              <w:outlineLvl w:val="0"/>
              <w:rPr>
                <w:noProof/>
                <w:sz w:val="20"/>
                <w:szCs w:val="20"/>
              </w:rPr>
            </w:pPr>
            <w:bookmarkStart w:id="1332" w:name="_Toc223980931"/>
            <w:r w:rsidRPr="009423A7">
              <w:rPr>
                <w:noProof/>
                <w:sz w:val="20"/>
                <w:szCs w:val="20"/>
              </w:rPr>
              <w:t>44.8</w:t>
            </w:r>
            <w:bookmarkEnd w:id="1332"/>
          </w:p>
        </w:tc>
        <w:tc>
          <w:tcPr>
            <w:tcW w:w="794" w:type="pct"/>
            <w:tcBorders>
              <w:top w:val="nil"/>
              <w:left w:val="nil"/>
              <w:bottom w:val="single" w:sz="4" w:space="0" w:color="auto"/>
              <w:right w:val="single" w:sz="4" w:space="0" w:color="auto"/>
            </w:tcBorders>
            <w:shd w:val="clear" w:color="000000" w:fill="FFFFFF"/>
            <w:noWrap/>
            <w:hideMark/>
          </w:tcPr>
          <w:p w14:paraId="06CBA16F" w14:textId="0729C158" w:rsidR="009423A7" w:rsidRPr="009423A7" w:rsidRDefault="009423A7" w:rsidP="009423A7">
            <w:pPr>
              <w:jc w:val="right"/>
              <w:outlineLvl w:val="0"/>
              <w:rPr>
                <w:noProof/>
                <w:sz w:val="20"/>
                <w:szCs w:val="20"/>
              </w:rPr>
            </w:pPr>
            <w:bookmarkStart w:id="1333" w:name="_Toc223980932"/>
            <w:r w:rsidRPr="009423A7">
              <w:rPr>
                <w:noProof/>
                <w:sz w:val="20"/>
                <w:szCs w:val="20"/>
              </w:rPr>
              <w:t>30.8</w:t>
            </w:r>
            <w:bookmarkEnd w:id="1333"/>
          </w:p>
        </w:tc>
      </w:tr>
      <w:tr w:rsidR="009423A7" w:rsidRPr="00C14AF8" w14:paraId="795357B0"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1A273489" w14:textId="77777777" w:rsidR="009423A7" w:rsidRPr="00C14AF8" w:rsidRDefault="009423A7" w:rsidP="009423A7">
            <w:pPr>
              <w:outlineLvl w:val="0"/>
              <w:rPr>
                <w:noProof/>
                <w:sz w:val="20"/>
                <w:szCs w:val="20"/>
              </w:rPr>
            </w:pPr>
            <w:r w:rsidRPr="00C14AF8">
              <w:rPr>
                <w:noProof/>
                <w:sz w:val="20"/>
                <w:szCs w:val="20"/>
              </w:rPr>
              <w:t xml:space="preserve"> </w:t>
            </w:r>
            <w:bookmarkStart w:id="1334" w:name="_Toc223980933"/>
            <w:r w:rsidRPr="00C14AF8">
              <w:rPr>
                <w:noProof/>
                <w:sz w:val="20"/>
                <w:szCs w:val="20"/>
              </w:rPr>
              <w:t>Greece</w:t>
            </w:r>
            <w:bookmarkEnd w:id="133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6D172B28" w14:textId="67EB053D" w:rsidR="009423A7" w:rsidRPr="009423A7" w:rsidRDefault="009423A7" w:rsidP="009423A7">
            <w:pPr>
              <w:jc w:val="right"/>
              <w:outlineLvl w:val="0"/>
              <w:rPr>
                <w:noProof/>
                <w:sz w:val="20"/>
                <w:szCs w:val="20"/>
              </w:rPr>
            </w:pPr>
            <w:bookmarkStart w:id="1335" w:name="_Toc223980934"/>
            <w:r w:rsidRPr="009423A7">
              <w:rPr>
                <w:noProof/>
                <w:sz w:val="20"/>
                <w:szCs w:val="20"/>
              </w:rPr>
              <w:t>352.8</w:t>
            </w:r>
            <w:bookmarkEnd w:id="1335"/>
          </w:p>
        </w:tc>
        <w:tc>
          <w:tcPr>
            <w:tcW w:w="794" w:type="pct"/>
            <w:tcBorders>
              <w:top w:val="nil"/>
              <w:left w:val="nil"/>
              <w:bottom w:val="single" w:sz="4" w:space="0" w:color="auto"/>
              <w:right w:val="single" w:sz="4" w:space="0" w:color="auto"/>
            </w:tcBorders>
            <w:shd w:val="clear" w:color="000000" w:fill="FFFFFF"/>
            <w:noWrap/>
            <w:hideMark/>
          </w:tcPr>
          <w:p w14:paraId="2CDF90FF" w14:textId="3E34DECF" w:rsidR="009423A7" w:rsidRPr="009423A7" w:rsidRDefault="009423A7" w:rsidP="009423A7">
            <w:pPr>
              <w:jc w:val="right"/>
              <w:outlineLvl w:val="0"/>
              <w:rPr>
                <w:noProof/>
                <w:sz w:val="20"/>
                <w:szCs w:val="20"/>
              </w:rPr>
            </w:pPr>
            <w:bookmarkStart w:id="1336" w:name="_Toc223980935"/>
            <w:r w:rsidRPr="009423A7">
              <w:rPr>
                <w:noProof/>
                <w:sz w:val="20"/>
                <w:szCs w:val="20"/>
              </w:rPr>
              <w:t>53.4</w:t>
            </w:r>
            <w:bookmarkEnd w:id="1336"/>
          </w:p>
        </w:tc>
        <w:tc>
          <w:tcPr>
            <w:tcW w:w="794" w:type="pct"/>
            <w:tcBorders>
              <w:top w:val="nil"/>
              <w:left w:val="nil"/>
              <w:bottom w:val="single" w:sz="4" w:space="0" w:color="auto"/>
              <w:right w:val="single" w:sz="4" w:space="0" w:color="auto"/>
            </w:tcBorders>
            <w:shd w:val="clear" w:color="000000" w:fill="FFFFFF"/>
            <w:noWrap/>
            <w:hideMark/>
          </w:tcPr>
          <w:p w14:paraId="17CA5D08" w14:textId="0D548963" w:rsidR="009423A7" w:rsidRPr="009423A7" w:rsidRDefault="009423A7" w:rsidP="009423A7">
            <w:pPr>
              <w:jc w:val="right"/>
              <w:outlineLvl w:val="0"/>
              <w:rPr>
                <w:noProof/>
                <w:sz w:val="20"/>
                <w:szCs w:val="20"/>
              </w:rPr>
            </w:pPr>
            <w:bookmarkStart w:id="1337" w:name="_Toc223980936"/>
            <w:r w:rsidRPr="009423A7">
              <w:rPr>
                <w:noProof/>
                <w:sz w:val="20"/>
                <w:szCs w:val="20"/>
              </w:rPr>
              <w:t>89.6</w:t>
            </w:r>
            <w:bookmarkEnd w:id="1337"/>
          </w:p>
        </w:tc>
        <w:tc>
          <w:tcPr>
            <w:tcW w:w="794" w:type="pct"/>
            <w:tcBorders>
              <w:top w:val="nil"/>
              <w:left w:val="nil"/>
              <w:bottom w:val="single" w:sz="4" w:space="0" w:color="auto"/>
              <w:right w:val="single" w:sz="4" w:space="0" w:color="auto"/>
            </w:tcBorders>
            <w:shd w:val="clear" w:color="000000" w:fill="FFFFFF"/>
            <w:noWrap/>
            <w:hideMark/>
          </w:tcPr>
          <w:p w14:paraId="495FBFF1" w14:textId="7F275ACD" w:rsidR="009423A7" w:rsidRPr="009423A7" w:rsidRDefault="009423A7" w:rsidP="009423A7">
            <w:pPr>
              <w:jc w:val="right"/>
              <w:outlineLvl w:val="0"/>
              <w:rPr>
                <w:noProof/>
                <w:sz w:val="20"/>
                <w:szCs w:val="20"/>
              </w:rPr>
            </w:pPr>
            <w:bookmarkStart w:id="1338" w:name="_Toc223980937"/>
            <w:r w:rsidRPr="009423A7">
              <w:rPr>
                <w:noProof/>
                <w:sz w:val="20"/>
                <w:szCs w:val="20"/>
              </w:rPr>
              <w:t>61.6</w:t>
            </w:r>
            <w:bookmarkEnd w:id="1338"/>
          </w:p>
        </w:tc>
      </w:tr>
      <w:tr w:rsidR="009423A7" w:rsidRPr="00C14AF8" w14:paraId="22B2C531"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0D5804A9" w14:textId="77777777" w:rsidR="009423A7" w:rsidRPr="00C14AF8" w:rsidRDefault="009423A7" w:rsidP="009423A7">
            <w:pPr>
              <w:outlineLvl w:val="0"/>
              <w:rPr>
                <w:noProof/>
                <w:sz w:val="20"/>
                <w:szCs w:val="20"/>
              </w:rPr>
            </w:pPr>
            <w:r w:rsidRPr="00C14AF8">
              <w:rPr>
                <w:noProof/>
                <w:sz w:val="20"/>
                <w:szCs w:val="20"/>
              </w:rPr>
              <w:t xml:space="preserve"> </w:t>
            </w:r>
            <w:bookmarkStart w:id="1339" w:name="_Toc223980938"/>
            <w:r w:rsidRPr="00C14AF8">
              <w:rPr>
                <w:noProof/>
                <w:sz w:val="20"/>
                <w:szCs w:val="20"/>
              </w:rPr>
              <w:t>Bulgaria</w:t>
            </w:r>
            <w:bookmarkEnd w:id="133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04B7757B" w14:textId="77777777" w:rsidR="009423A7" w:rsidRPr="009423A7" w:rsidRDefault="009423A7" w:rsidP="009423A7">
            <w:pPr>
              <w:jc w:val="right"/>
              <w:outlineLvl w:val="0"/>
              <w:rPr>
                <w:noProof/>
                <w:sz w:val="20"/>
                <w:szCs w:val="20"/>
              </w:rPr>
            </w:pPr>
            <w:bookmarkStart w:id="1340" w:name="_Toc223980939"/>
            <w:r w:rsidRPr="009423A7">
              <w:rPr>
                <w:noProof/>
                <w:sz w:val="20"/>
                <w:szCs w:val="20"/>
              </w:rPr>
              <w:t>0.0</w:t>
            </w:r>
            <w:bookmarkEnd w:id="1340"/>
          </w:p>
        </w:tc>
        <w:tc>
          <w:tcPr>
            <w:tcW w:w="794" w:type="pct"/>
            <w:tcBorders>
              <w:top w:val="nil"/>
              <w:left w:val="nil"/>
              <w:bottom w:val="single" w:sz="4" w:space="0" w:color="auto"/>
              <w:right w:val="single" w:sz="4" w:space="0" w:color="auto"/>
            </w:tcBorders>
            <w:shd w:val="clear" w:color="000000" w:fill="FFFFFF"/>
            <w:noWrap/>
            <w:hideMark/>
          </w:tcPr>
          <w:p w14:paraId="0D229800" w14:textId="77777777" w:rsidR="009423A7" w:rsidRPr="009423A7" w:rsidRDefault="009423A7" w:rsidP="009423A7">
            <w:pPr>
              <w:jc w:val="right"/>
              <w:outlineLvl w:val="0"/>
              <w:rPr>
                <w:noProof/>
                <w:sz w:val="20"/>
                <w:szCs w:val="20"/>
              </w:rPr>
            </w:pPr>
            <w:bookmarkStart w:id="1341" w:name="_Toc223980940"/>
            <w:r w:rsidRPr="009423A7">
              <w:rPr>
                <w:noProof/>
                <w:sz w:val="20"/>
                <w:szCs w:val="20"/>
              </w:rPr>
              <w:t>0.0</w:t>
            </w:r>
            <w:bookmarkEnd w:id="1341"/>
          </w:p>
        </w:tc>
        <w:tc>
          <w:tcPr>
            <w:tcW w:w="794" w:type="pct"/>
            <w:tcBorders>
              <w:top w:val="nil"/>
              <w:left w:val="nil"/>
              <w:bottom w:val="single" w:sz="4" w:space="0" w:color="auto"/>
              <w:right w:val="single" w:sz="4" w:space="0" w:color="auto"/>
            </w:tcBorders>
            <w:shd w:val="clear" w:color="000000" w:fill="FFFFFF"/>
            <w:noWrap/>
            <w:hideMark/>
          </w:tcPr>
          <w:p w14:paraId="032DE0D7" w14:textId="77777777" w:rsidR="009423A7" w:rsidRPr="009423A7" w:rsidRDefault="009423A7" w:rsidP="009423A7">
            <w:pPr>
              <w:jc w:val="right"/>
              <w:outlineLvl w:val="0"/>
              <w:rPr>
                <w:noProof/>
                <w:sz w:val="20"/>
                <w:szCs w:val="20"/>
              </w:rPr>
            </w:pPr>
            <w:bookmarkStart w:id="1342" w:name="_Toc223980941"/>
            <w:r w:rsidRPr="009423A7">
              <w:rPr>
                <w:noProof/>
                <w:sz w:val="20"/>
                <w:szCs w:val="20"/>
              </w:rPr>
              <w:t>0.0</w:t>
            </w:r>
            <w:bookmarkEnd w:id="1342"/>
          </w:p>
        </w:tc>
        <w:tc>
          <w:tcPr>
            <w:tcW w:w="794" w:type="pct"/>
            <w:tcBorders>
              <w:top w:val="nil"/>
              <w:left w:val="nil"/>
              <w:bottom w:val="single" w:sz="4" w:space="0" w:color="auto"/>
              <w:right w:val="single" w:sz="4" w:space="0" w:color="auto"/>
            </w:tcBorders>
            <w:shd w:val="clear" w:color="000000" w:fill="FFFFFF"/>
            <w:noWrap/>
            <w:hideMark/>
          </w:tcPr>
          <w:p w14:paraId="12174B5C" w14:textId="77777777" w:rsidR="009423A7" w:rsidRPr="009423A7" w:rsidRDefault="009423A7" w:rsidP="009423A7">
            <w:pPr>
              <w:jc w:val="right"/>
              <w:outlineLvl w:val="0"/>
              <w:rPr>
                <w:noProof/>
                <w:sz w:val="20"/>
                <w:szCs w:val="20"/>
              </w:rPr>
            </w:pPr>
            <w:bookmarkStart w:id="1343" w:name="_Toc223980942"/>
            <w:r w:rsidRPr="009423A7">
              <w:rPr>
                <w:noProof/>
                <w:sz w:val="20"/>
                <w:szCs w:val="20"/>
              </w:rPr>
              <w:t>0.0</w:t>
            </w:r>
            <w:bookmarkEnd w:id="1343"/>
          </w:p>
        </w:tc>
      </w:tr>
      <w:tr w:rsidR="009423A7" w:rsidRPr="00C14AF8" w14:paraId="1F1F9124"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F43BF32" w14:textId="77777777" w:rsidR="009423A7" w:rsidRPr="00C14AF8" w:rsidRDefault="009423A7" w:rsidP="009423A7">
            <w:pPr>
              <w:outlineLvl w:val="0"/>
              <w:rPr>
                <w:noProof/>
                <w:sz w:val="20"/>
                <w:szCs w:val="20"/>
              </w:rPr>
            </w:pPr>
            <w:r w:rsidRPr="00C14AF8">
              <w:rPr>
                <w:noProof/>
                <w:sz w:val="20"/>
                <w:szCs w:val="20"/>
              </w:rPr>
              <w:t xml:space="preserve"> </w:t>
            </w:r>
            <w:bookmarkStart w:id="1344" w:name="_Toc223980943"/>
            <w:r w:rsidRPr="00C14AF8">
              <w:rPr>
                <w:noProof/>
                <w:sz w:val="20"/>
                <w:szCs w:val="20"/>
              </w:rPr>
              <w:t>Estonia</w:t>
            </w:r>
            <w:bookmarkEnd w:id="134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250AA533" w14:textId="77777777" w:rsidR="009423A7" w:rsidRPr="009423A7" w:rsidRDefault="009423A7" w:rsidP="009423A7">
            <w:pPr>
              <w:jc w:val="right"/>
              <w:outlineLvl w:val="0"/>
              <w:rPr>
                <w:noProof/>
                <w:sz w:val="20"/>
                <w:szCs w:val="20"/>
              </w:rPr>
            </w:pPr>
            <w:bookmarkStart w:id="1345" w:name="_Toc223980944"/>
            <w:r w:rsidRPr="009423A7">
              <w:rPr>
                <w:noProof/>
                <w:sz w:val="20"/>
                <w:szCs w:val="20"/>
              </w:rPr>
              <w:t>0.0</w:t>
            </w:r>
            <w:bookmarkEnd w:id="1345"/>
          </w:p>
        </w:tc>
        <w:tc>
          <w:tcPr>
            <w:tcW w:w="794" w:type="pct"/>
            <w:tcBorders>
              <w:top w:val="nil"/>
              <w:left w:val="nil"/>
              <w:bottom w:val="single" w:sz="4" w:space="0" w:color="auto"/>
              <w:right w:val="single" w:sz="4" w:space="0" w:color="auto"/>
            </w:tcBorders>
            <w:shd w:val="clear" w:color="000000" w:fill="FFFFFF"/>
            <w:noWrap/>
            <w:hideMark/>
          </w:tcPr>
          <w:p w14:paraId="24706CAC" w14:textId="77777777" w:rsidR="009423A7" w:rsidRPr="009423A7" w:rsidRDefault="009423A7" w:rsidP="009423A7">
            <w:pPr>
              <w:jc w:val="right"/>
              <w:outlineLvl w:val="0"/>
              <w:rPr>
                <w:noProof/>
                <w:sz w:val="20"/>
                <w:szCs w:val="20"/>
              </w:rPr>
            </w:pPr>
            <w:bookmarkStart w:id="1346" w:name="_Toc223980945"/>
            <w:r w:rsidRPr="009423A7">
              <w:rPr>
                <w:noProof/>
                <w:sz w:val="20"/>
                <w:szCs w:val="20"/>
              </w:rPr>
              <w:t>0.0</w:t>
            </w:r>
            <w:bookmarkEnd w:id="1346"/>
          </w:p>
        </w:tc>
        <w:tc>
          <w:tcPr>
            <w:tcW w:w="794" w:type="pct"/>
            <w:tcBorders>
              <w:top w:val="nil"/>
              <w:left w:val="nil"/>
              <w:bottom w:val="single" w:sz="4" w:space="0" w:color="auto"/>
              <w:right w:val="single" w:sz="4" w:space="0" w:color="auto"/>
            </w:tcBorders>
            <w:shd w:val="clear" w:color="000000" w:fill="FFFFFF"/>
            <w:noWrap/>
            <w:hideMark/>
          </w:tcPr>
          <w:p w14:paraId="0805BF7B" w14:textId="77777777" w:rsidR="009423A7" w:rsidRPr="009423A7" w:rsidRDefault="009423A7" w:rsidP="009423A7">
            <w:pPr>
              <w:jc w:val="right"/>
              <w:outlineLvl w:val="0"/>
              <w:rPr>
                <w:noProof/>
                <w:sz w:val="20"/>
                <w:szCs w:val="20"/>
              </w:rPr>
            </w:pPr>
            <w:bookmarkStart w:id="1347" w:name="_Toc223980946"/>
            <w:r w:rsidRPr="009423A7">
              <w:rPr>
                <w:noProof/>
                <w:sz w:val="20"/>
                <w:szCs w:val="20"/>
              </w:rPr>
              <w:t>0.0</w:t>
            </w:r>
            <w:bookmarkEnd w:id="1347"/>
          </w:p>
        </w:tc>
        <w:tc>
          <w:tcPr>
            <w:tcW w:w="794" w:type="pct"/>
            <w:tcBorders>
              <w:top w:val="nil"/>
              <w:left w:val="nil"/>
              <w:bottom w:val="single" w:sz="4" w:space="0" w:color="auto"/>
              <w:right w:val="single" w:sz="4" w:space="0" w:color="auto"/>
            </w:tcBorders>
            <w:shd w:val="clear" w:color="000000" w:fill="FFFFFF"/>
            <w:noWrap/>
            <w:hideMark/>
          </w:tcPr>
          <w:p w14:paraId="5F8F7F9D" w14:textId="77777777" w:rsidR="009423A7" w:rsidRPr="009423A7" w:rsidRDefault="009423A7" w:rsidP="009423A7">
            <w:pPr>
              <w:jc w:val="right"/>
              <w:outlineLvl w:val="0"/>
              <w:rPr>
                <w:noProof/>
                <w:sz w:val="20"/>
                <w:szCs w:val="20"/>
              </w:rPr>
            </w:pPr>
            <w:bookmarkStart w:id="1348" w:name="_Toc223980947"/>
            <w:r w:rsidRPr="009423A7">
              <w:rPr>
                <w:noProof/>
                <w:sz w:val="20"/>
                <w:szCs w:val="20"/>
              </w:rPr>
              <w:t>0.0</w:t>
            </w:r>
            <w:bookmarkEnd w:id="1348"/>
          </w:p>
        </w:tc>
      </w:tr>
      <w:tr w:rsidR="009423A7" w:rsidRPr="00C14AF8" w14:paraId="6DC5C475"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190FC329" w14:textId="77777777" w:rsidR="009423A7" w:rsidRPr="00C14AF8" w:rsidRDefault="009423A7" w:rsidP="009423A7">
            <w:pPr>
              <w:outlineLvl w:val="0"/>
              <w:rPr>
                <w:noProof/>
                <w:sz w:val="20"/>
                <w:szCs w:val="20"/>
              </w:rPr>
            </w:pPr>
            <w:r w:rsidRPr="00C14AF8">
              <w:rPr>
                <w:noProof/>
                <w:sz w:val="20"/>
                <w:szCs w:val="20"/>
              </w:rPr>
              <w:t xml:space="preserve"> </w:t>
            </w:r>
            <w:bookmarkStart w:id="1349" w:name="_Toc223980948"/>
            <w:r w:rsidRPr="00C14AF8">
              <w:rPr>
                <w:noProof/>
                <w:sz w:val="20"/>
                <w:szCs w:val="20"/>
              </w:rPr>
              <w:t>Croatia</w:t>
            </w:r>
            <w:bookmarkEnd w:id="134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0CBEAE66" w14:textId="7004B71A" w:rsidR="009423A7" w:rsidRPr="009423A7" w:rsidRDefault="009423A7" w:rsidP="009423A7">
            <w:pPr>
              <w:jc w:val="right"/>
              <w:outlineLvl w:val="0"/>
              <w:rPr>
                <w:noProof/>
                <w:sz w:val="20"/>
                <w:szCs w:val="20"/>
              </w:rPr>
            </w:pPr>
            <w:bookmarkStart w:id="1350" w:name="_Toc223980949"/>
            <w:r w:rsidRPr="009423A7">
              <w:rPr>
                <w:noProof/>
                <w:sz w:val="20"/>
                <w:szCs w:val="20"/>
              </w:rPr>
              <w:t>176.4</w:t>
            </w:r>
            <w:bookmarkEnd w:id="1350"/>
          </w:p>
        </w:tc>
        <w:tc>
          <w:tcPr>
            <w:tcW w:w="794" w:type="pct"/>
            <w:tcBorders>
              <w:top w:val="nil"/>
              <w:left w:val="nil"/>
              <w:bottom w:val="single" w:sz="4" w:space="0" w:color="auto"/>
              <w:right w:val="single" w:sz="4" w:space="0" w:color="auto"/>
            </w:tcBorders>
            <w:shd w:val="clear" w:color="000000" w:fill="FFFFFF"/>
            <w:noWrap/>
            <w:hideMark/>
          </w:tcPr>
          <w:p w14:paraId="0A3542DE" w14:textId="7FF15E2C" w:rsidR="009423A7" w:rsidRPr="009423A7" w:rsidRDefault="009423A7" w:rsidP="009423A7">
            <w:pPr>
              <w:jc w:val="right"/>
              <w:outlineLvl w:val="0"/>
              <w:rPr>
                <w:noProof/>
                <w:sz w:val="20"/>
                <w:szCs w:val="20"/>
              </w:rPr>
            </w:pPr>
            <w:bookmarkStart w:id="1351" w:name="_Toc223980950"/>
            <w:r w:rsidRPr="009423A7">
              <w:rPr>
                <w:noProof/>
                <w:sz w:val="20"/>
                <w:szCs w:val="20"/>
              </w:rPr>
              <w:t>26.7</w:t>
            </w:r>
            <w:bookmarkEnd w:id="1351"/>
          </w:p>
        </w:tc>
        <w:tc>
          <w:tcPr>
            <w:tcW w:w="794" w:type="pct"/>
            <w:tcBorders>
              <w:top w:val="nil"/>
              <w:left w:val="nil"/>
              <w:bottom w:val="single" w:sz="4" w:space="0" w:color="auto"/>
              <w:right w:val="single" w:sz="4" w:space="0" w:color="auto"/>
            </w:tcBorders>
            <w:shd w:val="clear" w:color="000000" w:fill="FFFFFF"/>
            <w:noWrap/>
            <w:hideMark/>
          </w:tcPr>
          <w:p w14:paraId="385300E3" w14:textId="69B6B664" w:rsidR="009423A7" w:rsidRPr="009423A7" w:rsidRDefault="009423A7" w:rsidP="009423A7">
            <w:pPr>
              <w:jc w:val="right"/>
              <w:outlineLvl w:val="0"/>
              <w:rPr>
                <w:noProof/>
                <w:sz w:val="20"/>
                <w:szCs w:val="20"/>
              </w:rPr>
            </w:pPr>
            <w:bookmarkStart w:id="1352" w:name="_Toc223980951"/>
            <w:r w:rsidRPr="009423A7">
              <w:rPr>
                <w:noProof/>
                <w:sz w:val="20"/>
                <w:szCs w:val="20"/>
              </w:rPr>
              <w:t>44.8</w:t>
            </w:r>
            <w:bookmarkEnd w:id="1352"/>
          </w:p>
        </w:tc>
        <w:tc>
          <w:tcPr>
            <w:tcW w:w="794" w:type="pct"/>
            <w:tcBorders>
              <w:top w:val="nil"/>
              <w:left w:val="nil"/>
              <w:bottom w:val="single" w:sz="4" w:space="0" w:color="auto"/>
              <w:right w:val="single" w:sz="4" w:space="0" w:color="auto"/>
            </w:tcBorders>
            <w:shd w:val="clear" w:color="000000" w:fill="FFFFFF"/>
            <w:noWrap/>
            <w:hideMark/>
          </w:tcPr>
          <w:p w14:paraId="6355CDD1" w14:textId="218016A3" w:rsidR="009423A7" w:rsidRPr="009423A7" w:rsidRDefault="009423A7" w:rsidP="009423A7">
            <w:pPr>
              <w:jc w:val="right"/>
              <w:outlineLvl w:val="0"/>
              <w:rPr>
                <w:noProof/>
                <w:sz w:val="20"/>
                <w:szCs w:val="20"/>
              </w:rPr>
            </w:pPr>
            <w:bookmarkStart w:id="1353" w:name="_Toc223980952"/>
            <w:r w:rsidRPr="009423A7">
              <w:rPr>
                <w:noProof/>
                <w:sz w:val="20"/>
                <w:szCs w:val="20"/>
              </w:rPr>
              <w:t>30.8</w:t>
            </w:r>
            <w:bookmarkEnd w:id="1353"/>
          </w:p>
        </w:tc>
      </w:tr>
      <w:tr w:rsidR="009423A7" w:rsidRPr="00C14AF8" w14:paraId="29BDB818"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570EAE2B" w14:textId="77777777" w:rsidR="009423A7" w:rsidRPr="00C14AF8" w:rsidRDefault="009423A7" w:rsidP="009423A7">
            <w:pPr>
              <w:outlineLvl w:val="0"/>
              <w:rPr>
                <w:noProof/>
                <w:sz w:val="20"/>
                <w:szCs w:val="20"/>
              </w:rPr>
            </w:pPr>
            <w:r w:rsidRPr="00C14AF8">
              <w:rPr>
                <w:noProof/>
                <w:sz w:val="20"/>
                <w:szCs w:val="20"/>
              </w:rPr>
              <w:t xml:space="preserve"> </w:t>
            </w:r>
            <w:bookmarkStart w:id="1354" w:name="_Toc223980953"/>
            <w:r w:rsidRPr="00C14AF8">
              <w:rPr>
                <w:noProof/>
                <w:sz w:val="20"/>
                <w:szCs w:val="20"/>
              </w:rPr>
              <w:t>Lithuania</w:t>
            </w:r>
            <w:bookmarkEnd w:id="135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693C9696" w14:textId="77777777" w:rsidR="009423A7" w:rsidRPr="009423A7" w:rsidRDefault="009423A7" w:rsidP="009423A7">
            <w:pPr>
              <w:jc w:val="right"/>
              <w:outlineLvl w:val="0"/>
              <w:rPr>
                <w:noProof/>
                <w:sz w:val="20"/>
                <w:szCs w:val="20"/>
              </w:rPr>
            </w:pPr>
            <w:bookmarkStart w:id="1355" w:name="_Toc223980954"/>
            <w:r w:rsidRPr="009423A7">
              <w:rPr>
                <w:noProof/>
                <w:sz w:val="20"/>
                <w:szCs w:val="20"/>
              </w:rPr>
              <w:t>0.0</w:t>
            </w:r>
            <w:bookmarkEnd w:id="1355"/>
          </w:p>
        </w:tc>
        <w:tc>
          <w:tcPr>
            <w:tcW w:w="794" w:type="pct"/>
            <w:tcBorders>
              <w:top w:val="nil"/>
              <w:left w:val="nil"/>
              <w:bottom w:val="single" w:sz="4" w:space="0" w:color="auto"/>
              <w:right w:val="single" w:sz="4" w:space="0" w:color="auto"/>
            </w:tcBorders>
            <w:shd w:val="clear" w:color="000000" w:fill="FFFFFF"/>
            <w:noWrap/>
            <w:hideMark/>
          </w:tcPr>
          <w:p w14:paraId="5469F911" w14:textId="77777777" w:rsidR="009423A7" w:rsidRPr="009423A7" w:rsidRDefault="009423A7" w:rsidP="009423A7">
            <w:pPr>
              <w:jc w:val="right"/>
              <w:outlineLvl w:val="0"/>
              <w:rPr>
                <w:noProof/>
                <w:sz w:val="20"/>
                <w:szCs w:val="20"/>
              </w:rPr>
            </w:pPr>
            <w:bookmarkStart w:id="1356" w:name="_Toc223980955"/>
            <w:r w:rsidRPr="009423A7">
              <w:rPr>
                <w:noProof/>
                <w:sz w:val="20"/>
                <w:szCs w:val="20"/>
              </w:rPr>
              <w:t>0.0</w:t>
            </w:r>
            <w:bookmarkEnd w:id="1356"/>
          </w:p>
        </w:tc>
        <w:tc>
          <w:tcPr>
            <w:tcW w:w="794" w:type="pct"/>
            <w:tcBorders>
              <w:top w:val="nil"/>
              <w:left w:val="nil"/>
              <w:bottom w:val="single" w:sz="4" w:space="0" w:color="auto"/>
              <w:right w:val="single" w:sz="4" w:space="0" w:color="auto"/>
            </w:tcBorders>
            <w:shd w:val="clear" w:color="000000" w:fill="FFFFFF"/>
            <w:noWrap/>
            <w:hideMark/>
          </w:tcPr>
          <w:p w14:paraId="0084F5B2" w14:textId="77777777" w:rsidR="009423A7" w:rsidRPr="009423A7" w:rsidRDefault="009423A7" w:rsidP="009423A7">
            <w:pPr>
              <w:jc w:val="right"/>
              <w:outlineLvl w:val="0"/>
              <w:rPr>
                <w:noProof/>
                <w:sz w:val="20"/>
                <w:szCs w:val="20"/>
              </w:rPr>
            </w:pPr>
            <w:bookmarkStart w:id="1357" w:name="_Toc223980956"/>
            <w:r w:rsidRPr="009423A7">
              <w:rPr>
                <w:noProof/>
                <w:sz w:val="20"/>
                <w:szCs w:val="20"/>
              </w:rPr>
              <w:t>0.0</w:t>
            </w:r>
            <w:bookmarkEnd w:id="1357"/>
          </w:p>
        </w:tc>
        <w:tc>
          <w:tcPr>
            <w:tcW w:w="794" w:type="pct"/>
            <w:tcBorders>
              <w:top w:val="nil"/>
              <w:left w:val="nil"/>
              <w:bottom w:val="single" w:sz="4" w:space="0" w:color="auto"/>
              <w:right w:val="single" w:sz="4" w:space="0" w:color="auto"/>
            </w:tcBorders>
            <w:shd w:val="clear" w:color="000000" w:fill="FFFFFF"/>
            <w:noWrap/>
            <w:hideMark/>
          </w:tcPr>
          <w:p w14:paraId="07D24C17" w14:textId="77777777" w:rsidR="009423A7" w:rsidRPr="009423A7" w:rsidRDefault="009423A7" w:rsidP="009423A7">
            <w:pPr>
              <w:jc w:val="right"/>
              <w:outlineLvl w:val="0"/>
              <w:rPr>
                <w:noProof/>
                <w:sz w:val="20"/>
                <w:szCs w:val="20"/>
              </w:rPr>
            </w:pPr>
            <w:bookmarkStart w:id="1358" w:name="_Toc223980957"/>
            <w:r w:rsidRPr="009423A7">
              <w:rPr>
                <w:noProof/>
                <w:sz w:val="20"/>
                <w:szCs w:val="20"/>
              </w:rPr>
              <w:t>0.0</w:t>
            </w:r>
            <w:bookmarkEnd w:id="1358"/>
          </w:p>
        </w:tc>
      </w:tr>
      <w:tr w:rsidR="009423A7" w:rsidRPr="00C14AF8" w14:paraId="7881724C"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E4C365D" w14:textId="77777777" w:rsidR="009423A7" w:rsidRPr="00C14AF8" w:rsidRDefault="009423A7" w:rsidP="009423A7">
            <w:pPr>
              <w:outlineLvl w:val="0"/>
              <w:rPr>
                <w:noProof/>
                <w:sz w:val="20"/>
                <w:szCs w:val="20"/>
              </w:rPr>
            </w:pPr>
            <w:r w:rsidRPr="00C14AF8">
              <w:rPr>
                <w:noProof/>
                <w:sz w:val="20"/>
                <w:szCs w:val="20"/>
              </w:rPr>
              <w:t xml:space="preserve"> </w:t>
            </w:r>
            <w:bookmarkStart w:id="1359" w:name="_Toc223980958"/>
            <w:r w:rsidRPr="00C14AF8">
              <w:rPr>
                <w:noProof/>
                <w:sz w:val="20"/>
                <w:szCs w:val="20"/>
              </w:rPr>
              <w:t>Hungary</w:t>
            </w:r>
            <w:bookmarkEnd w:id="135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7CCE7479" w14:textId="501ACDC6" w:rsidR="009423A7" w:rsidRPr="009423A7" w:rsidRDefault="009423A7" w:rsidP="009423A7">
            <w:pPr>
              <w:jc w:val="right"/>
              <w:outlineLvl w:val="0"/>
              <w:rPr>
                <w:noProof/>
                <w:sz w:val="20"/>
                <w:szCs w:val="20"/>
              </w:rPr>
            </w:pPr>
            <w:bookmarkStart w:id="1360" w:name="_Toc223980959"/>
            <w:r w:rsidRPr="009423A7">
              <w:rPr>
                <w:noProof/>
                <w:sz w:val="20"/>
                <w:szCs w:val="20"/>
              </w:rPr>
              <w:t>529.1</w:t>
            </w:r>
            <w:bookmarkEnd w:id="1360"/>
          </w:p>
        </w:tc>
        <w:tc>
          <w:tcPr>
            <w:tcW w:w="794" w:type="pct"/>
            <w:tcBorders>
              <w:top w:val="nil"/>
              <w:left w:val="nil"/>
              <w:bottom w:val="single" w:sz="4" w:space="0" w:color="auto"/>
              <w:right w:val="single" w:sz="4" w:space="0" w:color="auto"/>
            </w:tcBorders>
            <w:shd w:val="clear" w:color="000000" w:fill="FFFFFF"/>
            <w:noWrap/>
            <w:hideMark/>
          </w:tcPr>
          <w:p w14:paraId="175730BC" w14:textId="2F55177F" w:rsidR="009423A7" w:rsidRPr="009423A7" w:rsidRDefault="009423A7" w:rsidP="009423A7">
            <w:pPr>
              <w:jc w:val="right"/>
              <w:outlineLvl w:val="0"/>
              <w:rPr>
                <w:noProof/>
                <w:sz w:val="20"/>
                <w:szCs w:val="20"/>
              </w:rPr>
            </w:pPr>
            <w:bookmarkStart w:id="1361" w:name="_Toc223980960"/>
            <w:r w:rsidRPr="009423A7">
              <w:rPr>
                <w:noProof/>
                <w:sz w:val="20"/>
                <w:szCs w:val="20"/>
              </w:rPr>
              <w:t>80.1</w:t>
            </w:r>
            <w:bookmarkEnd w:id="1361"/>
          </w:p>
        </w:tc>
        <w:tc>
          <w:tcPr>
            <w:tcW w:w="794" w:type="pct"/>
            <w:tcBorders>
              <w:top w:val="nil"/>
              <w:left w:val="nil"/>
              <w:bottom w:val="single" w:sz="4" w:space="0" w:color="auto"/>
              <w:right w:val="single" w:sz="4" w:space="0" w:color="auto"/>
            </w:tcBorders>
            <w:shd w:val="clear" w:color="000000" w:fill="FFFFFF"/>
            <w:noWrap/>
            <w:hideMark/>
          </w:tcPr>
          <w:p w14:paraId="06F549A2" w14:textId="6E733E06" w:rsidR="009423A7" w:rsidRPr="009423A7" w:rsidRDefault="009423A7" w:rsidP="009423A7">
            <w:pPr>
              <w:jc w:val="right"/>
              <w:outlineLvl w:val="0"/>
              <w:rPr>
                <w:noProof/>
                <w:sz w:val="20"/>
                <w:szCs w:val="20"/>
              </w:rPr>
            </w:pPr>
            <w:bookmarkStart w:id="1362" w:name="_Toc223980961"/>
            <w:r w:rsidRPr="009423A7">
              <w:rPr>
                <w:noProof/>
                <w:sz w:val="20"/>
                <w:szCs w:val="20"/>
              </w:rPr>
              <w:t>134.5</w:t>
            </w:r>
            <w:bookmarkEnd w:id="1362"/>
          </w:p>
        </w:tc>
        <w:tc>
          <w:tcPr>
            <w:tcW w:w="794" w:type="pct"/>
            <w:tcBorders>
              <w:top w:val="nil"/>
              <w:left w:val="nil"/>
              <w:bottom w:val="single" w:sz="4" w:space="0" w:color="auto"/>
              <w:right w:val="single" w:sz="4" w:space="0" w:color="auto"/>
            </w:tcBorders>
            <w:shd w:val="clear" w:color="000000" w:fill="FFFFFF"/>
            <w:noWrap/>
            <w:hideMark/>
          </w:tcPr>
          <w:p w14:paraId="0B167B36" w14:textId="561F52AE" w:rsidR="009423A7" w:rsidRPr="009423A7" w:rsidRDefault="009423A7" w:rsidP="009423A7">
            <w:pPr>
              <w:jc w:val="right"/>
              <w:outlineLvl w:val="0"/>
              <w:rPr>
                <w:noProof/>
                <w:sz w:val="20"/>
                <w:szCs w:val="20"/>
              </w:rPr>
            </w:pPr>
            <w:bookmarkStart w:id="1363" w:name="_Toc223980962"/>
            <w:r w:rsidRPr="009423A7">
              <w:rPr>
                <w:noProof/>
                <w:sz w:val="20"/>
                <w:szCs w:val="20"/>
              </w:rPr>
              <w:t>92.3</w:t>
            </w:r>
            <w:bookmarkEnd w:id="1363"/>
          </w:p>
        </w:tc>
      </w:tr>
      <w:tr w:rsidR="009423A7" w:rsidRPr="00C14AF8" w14:paraId="3EF71344"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190AC9D8" w14:textId="77777777" w:rsidR="009423A7" w:rsidRPr="00C14AF8" w:rsidRDefault="009423A7" w:rsidP="009423A7">
            <w:pPr>
              <w:outlineLvl w:val="0"/>
              <w:rPr>
                <w:noProof/>
                <w:sz w:val="20"/>
                <w:szCs w:val="20"/>
              </w:rPr>
            </w:pPr>
            <w:r w:rsidRPr="00C14AF8">
              <w:rPr>
                <w:noProof/>
                <w:sz w:val="20"/>
                <w:szCs w:val="20"/>
              </w:rPr>
              <w:t xml:space="preserve"> </w:t>
            </w:r>
            <w:bookmarkStart w:id="1364" w:name="_Toc223980963"/>
            <w:r w:rsidRPr="00C14AF8">
              <w:rPr>
                <w:noProof/>
                <w:sz w:val="20"/>
                <w:szCs w:val="20"/>
              </w:rPr>
              <w:t>Sweden</w:t>
            </w:r>
            <w:bookmarkEnd w:id="136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4DEE1D3D" w14:textId="0AB3C9A3" w:rsidR="009423A7" w:rsidRPr="009423A7" w:rsidRDefault="009423A7" w:rsidP="009423A7">
            <w:pPr>
              <w:jc w:val="right"/>
              <w:outlineLvl w:val="0"/>
              <w:rPr>
                <w:noProof/>
                <w:sz w:val="20"/>
                <w:szCs w:val="20"/>
              </w:rPr>
            </w:pPr>
            <w:bookmarkStart w:id="1365" w:name="_Toc223980964"/>
            <w:r w:rsidRPr="009423A7">
              <w:rPr>
                <w:noProof/>
                <w:sz w:val="20"/>
                <w:szCs w:val="20"/>
              </w:rPr>
              <w:t>352.8</w:t>
            </w:r>
            <w:bookmarkEnd w:id="1365"/>
          </w:p>
        </w:tc>
        <w:tc>
          <w:tcPr>
            <w:tcW w:w="794" w:type="pct"/>
            <w:tcBorders>
              <w:top w:val="nil"/>
              <w:left w:val="nil"/>
              <w:bottom w:val="single" w:sz="4" w:space="0" w:color="auto"/>
              <w:right w:val="single" w:sz="4" w:space="0" w:color="auto"/>
            </w:tcBorders>
            <w:shd w:val="clear" w:color="000000" w:fill="FFFFFF"/>
            <w:noWrap/>
            <w:hideMark/>
          </w:tcPr>
          <w:p w14:paraId="42E488B9" w14:textId="2E4B1F53" w:rsidR="009423A7" w:rsidRPr="009423A7" w:rsidRDefault="009423A7" w:rsidP="009423A7">
            <w:pPr>
              <w:jc w:val="right"/>
              <w:outlineLvl w:val="0"/>
              <w:rPr>
                <w:noProof/>
                <w:sz w:val="20"/>
                <w:szCs w:val="20"/>
              </w:rPr>
            </w:pPr>
            <w:bookmarkStart w:id="1366" w:name="_Toc223980965"/>
            <w:r w:rsidRPr="009423A7">
              <w:rPr>
                <w:noProof/>
                <w:sz w:val="20"/>
                <w:szCs w:val="20"/>
              </w:rPr>
              <w:t>53.4</w:t>
            </w:r>
            <w:bookmarkEnd w:id="1366"/>
          </w:p>
        </w:tc>
        <w:tc>
          <w:tcPr>
            <w:tcW w:w="794" w:type="pct"/>
            <w:tcBorders>
              <w:top w:val="nil"/>
              <w:left w:val="nil"/>
              <w:bottom w:val="single" w:sz="4" w:space="0" w:color="auto"/>
              <w:right w:val="single" w:sz="4" w:space="0" w:color="auto"/>
            </w:tcBorders>
            <w:shd w:val="clear" w:color="000000" w:fill="FFFFFF"/>
            <w:noWrap/>
            <w:hideMark/>
          </w:tcPr>
          <w:p w14:paraId="545DF9B2" w14:textId="12FD73F8" w:rsidR="009423A7" w:rsidRPr="009423A7" w:rsidRDefault="009423A7" w:rsidP="009423A7">
            <w:pPr>
              <w:jc w:val="right"/>
              <w:outlineLvl w:val="0"/>
              <w:rPr>
                <w:noProof/>
                <w:sz w:val="20"/>
                <w:szCs w:val="20"/>
              </w:rPr>
            </w:pPr>
            <w:bookmarkStart w:id="1367" w:name="_Toc223980966"/>
            <w:r w:rsidRPr="009423A7">
              <w:rPr>
                <w:noProof/>
                <w:sz w:val="20"/>
                <w:szCs w:val="20"/>
              </w:rPr>
              <w:t>89.6</w:t>
            </w:r>
            <w:bookmarkEnd w:id="1367"/>
          </w:p>
        </w:tc>
        <w:tc>
          <w:tcPr>
            <w:tcW w:w="794" w:type="pct"/>
            <w:tcBorders>
              <w:top w:val="nil"/>
              <w:left w:val="nil"/>
              <w:bottom w:val="single" w:sz="4" w:space="0" w:color="auto"/>
              <w:right w:val="single" w:sz="4" w:space="0" w:color="auto"/>
            </w:tcBorders>
            <w:shd w:val="clear" w:color="000000" w:fill="FFFFFF"/>
            <w:noWrap/>
            <w:hideMark/>
          </w:tcPr>
          <w:p w14:paraId="34410F5C" w14:textId="2056A924" w:rsidR="009423A7" w:rsidRPr="009423A7" w:rsidRDefault="009423A7" w:rsidP="009423A7">
            <w:pPr>
              <w:jc w:val="right"/>
              <w:outlineLvl w:val="0"/>
              <w:rPr>
                <w:noProof/>
                <w:sz w:val="20"/>
                <w:szCs w:val="20"/>
              </w:rPr>
            </w:pPr>
            <w:bookmarkStart w:id="1368" w:name="_Toc223980967"/>
            <w:r w:rsidRPr="009423A7">
              <w:rPr>
                <w:noProof/>
                <w:sz w:val="20"/>
                <w:szCs w:val="20"/>
              </w:rPr>
              <w:t>61.6</w:t>
            </w:r>
            <w:bookmarkEnd w:id="1368"/>
          </w:p>
        </w:tc>
      </w:tr>
      <w:tr w:rsidR="009423A7" w:rsidRPr="00C14AF8" w14:paraId="4D9B9E9C"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27AADF30" w14:textId="3ED67B6D" w:rsidR="009423A7" w:rsidRPr="00C14AF8" w:rsidRDefault="009423A7" w:rsidP="009423A7">
            <w:pPr>
              <w:outlineLvl w:val="0"/>
              <w:rPr>
                <w:noProof/>
                <w:sz w:val="20"/>
                <w:szCs w:val="20"/>
              </w:rPr>
            </w:pPr>
            <w:r w:rsidRPr="00C14AF8">
              <w:rPr>
                <w:noProof/>
                <w:sz w:val="20"/>
                <w:szCs w:val="20"/>
              </w:rPr>
              <w:t xml:space="preserve"> </w:t>
            </w:r>
            <w:bookmarkStart w:id="1369" w:name="_Toc223980968"/>
            <w:r w:rsidRPr="00C14AF8">
              <w:rPr>
                <w:noProof/>
                <w:sz w:val="20"/>
                <w:szCs w:val="20"/>
              </w:rPr>
              <w:t>Czechia</w:t>
            </w:r>
            <w:bookmarkEnd w:id="1369"/>
          </w:p>
        </w:tc>
        <w:tc>
          <w:tcPr>
            <w:tcW w:w="794" w:type="pct"/>
            <w:tcBorders>
              <w:top w:val="nil"/>
              <w:left w:val="nil"/>
              <w:bottom w:val="single" w:sz="4" w:space="0" w:color="auto"/>
              <w:right w:val="single" w:sz="4" w:space="0" w:color="auto"/>
            </w:tcBorders>
            <w:shd w:val="clear" w:color="000000" w:fill="FFFFFF"/>
            <w:noWrap/>
            <w:hideMark/>
          </w:tcPr>
          <w:p w14:paraId="6140F2DA" w14:textId="37A39ED3" w:rsidR="009423A7" w:rsidRPr="009423A7" w:rsidRDefault="009423A7" w:rsidP="009423A7">
            <w:pPr>
              <w:jc w:val="right"/>
              <w:outlineLvl w:val="0"/>
              <w:rPr>
                <w:noProof/>
                <w:sz w:val="20"/>
                <w:szCs w:val="20"/>
              </w:rPr>
            </w:pPr>
            <w:bookmarkStart w:id="1370" w:name="_Toc223980969"/>
            <w:r w:rsidRPr="009423A7">
              <w:rPr>
                <w:noProof/>
                <w:sz w:val="20"/>
                <w:szCs w:val="20"/>
              </w:rPr>
              <w:t>529.1</w:t>
            </w:r>
            <w:bookmarkEnd w:id="1370"/>
          </w:p>
        </w:tc>
        <w:tc>
          <w:tcPr>
            <w:tcW w:w="794" w:type="pct"/>
            <w:tcBorders>
              <w:top w:val="nil"/>
              <w:left w:val="nil"/>
              <w:bottom w:val="single" w:sz="4" w:space="0" w:color="auto"/>
              <w:right w:val="single" w:sz="4" w:space="0" w:color="auto"/>
            </w:tcBorders>
            <w:shd w:val="clear" w:color="000000" w:fill="FFFFFF"/>
            <w:noWrap/>
            <w:hideMark/>
          </w:tcPr>
          <w:p w14:paraId="13B17ACD" w14:textId="1B10C8D7" w:rsidR="009423A7" w:rsidRPr="009423A7" w:rsidRDefault="009423A7" w:rsidP="009423A7">
            <w:pPr>
              <w:jc w:val="right"/>
              <w:outlineLvl w:val="0"/>
              <w:rPr>
                <w:noProof/>
                <w:sz w:val="20"/>
                <w:szCs w:val="20"/>
              </w:rPr>
            </w:pPr>
            <w:bookmarkStart w:id="1371" w:name="_Toc223980970"/>
            <w:r w:rsidRPr="009423A7">
              <w:rPr>
                <w:noProof/>
                <w:sz w:val="20"/>
                <w:szCs w:val="20"/>
              </w:rPr>
              <w:t>80.1</w:t>
            </w:r>
            <w:bookmarkEnd w:id="1371"/>
          </w:p>
        </w:tc>
        <w:tc>
          <w:tcPr>
            <w:tcW w:w="794" w:type="pct"/>
            <w:tcBorders>
              <w:top w:val="nil"/>
              <w:left w:val="nil"/>
              <w:bottom w:val="single" w:sz="4" w:space="0" w:color="auto"/>
              <w:right w:val="single" w:sz="4" w:space="0" w:color="auto"/>
            </w:tcBorders>
            <w:shd w:val="clear" w:color="000000" w:fill="FFFFFF"/>
            <w:noWrap/>
            <w:hideMark/>
          </w:tcPr>
          <w:p w14:paraId="1AC0C9A4" w14:textId="6DF59ED1" w:rsidR="009423A7" w:rsidRPr="009423A7" w:rsidRDefault="009423A7" w:rsidP="009423A7">
            <w:pPr>
              <w:jc w:val="right"/>
              <w:outlineLvl w:val="0"/>
              <w:rPr>
                <w:noProof/>
                <w:sz w:val="20"/>
                <w:szCs w:val="20"/>
              </w:rPr>
            </w:pPr>
            <w:bookmarkStart w:id="1372" w:name="_Toc223980971"/>
            <w:r w:rsidRPr="009423A7">
              <w:rPr>
                <w:noProof/>
                <w:sz w:val="20"/>
                <w:szCs w:val="20"/>
              </w:rPr>
              <w:t>134.5</w:t>
            </w:r>
            <w:bookmarkEnd w:id="1372"/>
          </w:p>
        </w:tc>
        <w:tc>
          <w:tcPr>
            <w:tcW w:w="794" w:type="pct"/>
            <w:tcBorders>
              <w:top w:val="nil"/>
              <w:left w:val="nil"/>
              <w:bottom w:val="single" w:sz="4" w:space="0" w:color="auto"/>
              <w:right w:val="single" w:sz="4" w:space="0" w:color="auto"/>
            </w:tcBorders>
            <w:shd w:val="clear" w:color="000000" w:fill="FFFFFF"/>
            <w:noWrap/>
            <w:hideMark/>
          </w:tcPr>
          <w:p w14:paraId="710450C6" w14:textId="02DAB968" w:rsidR="009423A7" w:rsidRPr="009423A7" w:rsidRDefault="009423A7" w:rsidP="009423A7">
            <w:pPr>
              <w:jc w:val="right"/>
              <w:outlineLvl w:val="0"/>
              <w:rPr>
                <w:noProof/>
                <w:sz w:val="20"/>
                <w:szCs w:val="20"/>
              </w:rPr>
            </w:pPr>
            <w:bookmarkStart w:id="1373" w:name="_Toc223980972"/>
            <w:r w:rsidRPr="009423A7">
              <w:rPr>
                <w:noProof/>
                <w:sz w:val="20"/>
                <w:szCs w:val="20"/>
              </w:rPr>
              <w:t>92.3</w:t>
            </w:r>
            <w:bookmarkEnd w:id="1373"/>
          </w:p>
        </w:tc>
      </w:tr>
      <w:tr w:rsidR="009423A7" w:rsidRPr="00C14AF8" w14:paraId="79048D9D"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620A90D" w14:textId="77777777" w:rsidR="009423A7" w:rsidRPr="00C14AF8" w:rsidRDefault="009423A7" w:rsidP="009423A7">
            <w:pPr>
              <w:outlineLvl w:val="0"/>
              <w:rPr>
                <w:noProof/>
                <w:sz w:val="20"/>
                <w:szCs w:val="20"/>
              </w:rPr>
            </w:pPr>
            <w:r w:rsidRPr="00C14AF8">
              <w:rPr>
                <w:noProof/>
                <w:sz w:val="20"/>
                <w:szCs w:val="20"/>
              </w:rPr>
              <w:t xml:space="preserve"> </w:t>
            </w:r>
            <w:bookmarkStart w:id="1374" w:name="_Toc223980973"/>
            <w:r w:rsidRPr="00C14AF8">
              <w:rPr>
                <w:noProof/>
                <w:sz w:val="20"/>
                <w:szCs w:val="20"/>
              </w:rPr>
              <w:t>Ireland</w:t>
            </w:r>
            <w:bookmarkEnd w:id="137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0E024486" w14:textId="1C077977" w:rsidR="009423A7" w:rsidRPr="009423A7" w:rsidRDefault="009423A7" w:rsidP="009423A7">
            <w:pPr>
              <w:jc w:val="right"/>
              <w:outlineLvl w:val="0"/>
              <w:rPr>
                <w:noProof/>
                <w:sz w:val="20"/>
                <w:szCs w:val="20"/>
              </w:rPr>
            </w:pPr>
            <w:bookmarkStart w:id="1375" w:name="_Toc223980974"/>
            <w:r w:rsidRPr="009423A7">
              <w:rPr>
                <w:noProof/>
                <w:sz w:val="20"/>
                <w:szCs w:val="20"/>
              </w:rPr>
              <w:t>352.8</w:t>
            </w:r>
            <w:bookmarkEnd w:id="1375"/>
          </w:p>
        </w:tc>
        <w:tc>
          <w:tcPr>
            <w:tcW w:w="794" w:type="pct"/>
            <w:tcBorders>
              <w:top w:val="nil"/>
              <w:left w:val="nil"/>
              <w:bottom w:val="single" w:sz="4" w:space="0" w:color="auto"/>
              <w:right w:val="single" w:sz="4" w:space="0" w:color="auto"/>
            </w:tcBorders>
            <w:shd w:val="clear" w:color="000000" w:fill="FFFFFF"/>
            <w:noWrap/>
            <w:hideMark/>
          </w:tcPr>
          <w:p w14:paraId="080B7245" w14:textId="65CB83ED" w:rsidR="009423A7" w:rsidRPr="009423A7" w:rsidRDefault="009423A7" w:rsidP="009423A7">
            <w:pPr>
              <w:jc w:val="right"/>
              <w:outlineLvl w:val="0"/>
              <w:rPr>
                <w:noProof/>
                <w:sz w:val="20"/>
                <w:szCs w:val="20"/>
              </w:rPr>
            </w:pPr>
            <w:bookmarkStart w:id="1376" w:name="_Toc223980975"/>
            <w:r w:rsidRPr="009423A7">
              <w:rPr>
                <w:noProof/>
                <w:sz w:val="20"/>
                <w:szCs w:val="20"/>
              </w:rPr>
              <w:t>53.4</w:t>
            </w:r>
            <w:bookmarkEnd w:id="1376"/>
          </w:p>
        </w:tc>
        <w:tc>
          <w:tcPr>
            <w:tcW w:w="794" w:type="pct"/>
            <w:tcBorders>
              <w:top w:val="nil"/>
              <w:left w:val="nil"/>
              <w:bottom w:val="single" w:sz="4" w:space="0" w:color="auto"/>
              <w:right w:val="single" w:sz="4" w:space="0" w:color="auto"/>
            </w:tcBorders>
            <w:shd w:val="clear" w:color="000000" w:fill="FFFFFF"/>
            <w:noWrap/>
            <w:hideMark/>
          </w:tcPr>
          <w:p w14:paraId="3A2B6D46" w14:textId="4B9106B2" w:rsidR="009423A7" w:rsidRPr="009423A7" w:rsidRDefault="009423A7" w:rsidP="009423A7">
            <w:pPr>
              <w:jc w:val="right"/>
              <w:outlineLvl w:val="0"/>
              <w:rPr>
                <w:noProof/>
                <w:sz w:val="20"/>
                <w:szCs w:val="20"/>
              </w:rPr>
            </w:pPr>
            <w:bookmarkStart w:id="1377" w:name="_Toc223980976"/>
            <w:r w:rsidRPr="009423A7">
              <w:rPr>
                <w:noProof/>
                <w:sz w:val="20"/>
                <w:szCs w:val="20"/>
              </w:rPr>
              <w:t>89.6</w:t>
            </w:r>
            <w:bookmarkEnd w:id="1377"/>
          </w:p>
        </w:tc>
        <w:tc>
          <w:tcPr>
            <w:tcW w:w="794" w:type="pct"/>
            <w:tcBorders>
              <w:top w:val="nil"/>
              <w:left w:val="nil"/>
              <w:bottom w:val="single" w:sz="4" w:space="0" w:color="auto"/>
              <w:right w:val="single" w:sz="4" w:space="0" w:color="auto"/>
            </w:tcBorders>
            <w:shd w:val="clear" w:color="000000" w:fill="FFFFFF"/>
            <w:noWrap/>
            <w:hideMark/>
          </w:tcPr>
          <w:p w14:paraId="2F0BF6B7" w14:textId="15BAAE36" w:rsidR="009423A7" w:rsidRPr="009423A7" w:rsidRDefault="009423A7" w:rsidP="009423A7">
            <w:pPr>
              <w:jc w:val="right"/>
              <w:outlineLvl w:val="0"/>
              <w:rPr>
                <w:noProof/>
                <w:sz w:val="20"/>
                <w:szCs w:val="20"/>
              </w:rPr>
            </w:pPr>
            <w:bookmarkStart w:id="1378" w:name="_Toc223980977"/>
            <w:r w:rsidRPr="009423A7">
              <w:rPr>
                <w:noProof/>
                <w:sz w:val="20"/>
                <w:szCs w:val="20"/>
              </w:rPr>
              <w:t>61.6</w:t>
            </w:r>
            <w:bookmarkEnd w:id="1378"/>
          </w:p>
        </w:tc>
      </w:tr>
      <w:tr w:rsidR="009423A7" w:rsidRPr="00C14AF8" w14:paraId="2F01F09B"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EB9B6A6" w14:textId="77777777" w:rsidR="009423A7" w:rsidRPr="00C14AF8" w:rsidRDefault="009423A7" w:rsidP="009423A7">
            <w:pPr>
              <w:outlineLvl w:val="0"/>
              <w:rPr>
                <w:noProof/>
                <w:sz w:val="20"/>
                <w:szCs w:val="20"/>
              </w:rPr>
            </w:pPr>
            <w:r w:rsidRPr="00C14AF8">
              <w:rPr>
                <w:noProof/>
                <w:sz w:val="20"/>
                <w:szCs w:val="20"/>
              </w:rPr>
              <w:t xml:space="preserve"> </w:t>
            </w:r>
            <w:bookmarkStart w:id="1379" w:name="_Toc223980978"/>
            <w:r w:rsidRPr="00C14AF8">
              <w:rPr>
                <w:noProof/>
                <w:sz w:val="20"/>
                <w:szCs w:val="20"/>
              </w:rPr>
              <w:t>Slovenia</w:t>
            </w:r>
            <w:bookmarkEnd w:id="137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75A0C675" w14:textId="77777777" w:rsidR="009423A7" w:rsidRPr="009423A7" w:rsidRDefault="009423A7" w:rsidP="009423A7">
            <w:pPr>
              <w:jc w:val="right"/>
              <w:outlineLvl w:val="0"/>
              <w:rPr>
                <w:noProof/>
                <w:sz w:val="20"/>
                <w:szCs w:val="20"/>
              </w:rPr>
            </w:pPr>
            <w:bookmarkStart w:id="1380" w:name="_Toc223980979"/>
            <w:r w:rsidRPr="009423A7">
              <w:rPr>
                <w:noProof/>
                <w:sz w:val="20"/>
                <w:szCs w:val="20"/>
              </w:rPr>
              <w:t>0.0</w:t>
            </w:r>
            <w:bookmarkEnd w:id="1380"/>
          </w:p>
        </w:tc>
        <w:tc>
          <w:tcPr>
            <w:tcW w:w="794" w:type="pct"/>
            <w:tcBorders>
              <w:top w:val="nil"/>
              <w:left w:val="nil"/>
              <w:bottom w:val="single" w:sz="4" w:space="0" w:color="auto"/>
              <w:right w:val="single" w:sz="4" w:space="0" w:color="auto"/>
            </w:tcBorders>
            <w:shd w:val="clear" w:color="000000" w:fill="FFFFFF"/>
            <w:noWrap/>
            <w:hideMark/>
          </w:tcPr>
          <w:p w14:paraId="33EA73A3" w14:textId="77777777" w:rsidR="009423A7" w:rsidRPr="009423A7" w:rsidRDefault="009423A7" w:rsidP="009423A7">
            <w:pPr>
              <w:jc w:val="right"/>
              <w:outlineLvl w:val="0"/>
              <w:rPr>
                <w:noProof/>
                <w:sz w:val="20"/>
                <w:szCs w:val="20"/>
              </w:rPr>
            </w:pPr>
            <w:bookmarkStart w:id="1381" w:name="_Toc223980980"/>
            <w:r w:rsidRPr="009423A7">
              <w:rPr>
                <w:noProof/>
                <w:sz w:val="20"/>
                <w:szCs w:val="20"/>
              </w:rPr>
              <w:t>0.0</w:t>
            </w:r>
            <w:bookmarkEnd w:id="1381"/>
          </w:p>
        </w:tc>
        <w:tc>
          <w:tcPr>
            <w:tcW w:w="794" w:type="pct"/>
            <w:tcBorders>
              <w:top w:val="nil"/>
              <w:left w:val="nil"/>
              <w:bottom w:val="single" w:sz="4" w:space="0" w:color="auto"/>
              <w:right w:val="single" w:sz="4" w:space="0" w:color="auto"/>
            </w:tcBorders>
            <w:shd w:val="clear" w:color="000000" w:fill="FFFFFF"/>
            <w:noWrap/>
            <w:hideMark/>
          </w:tcPr>
          <w:p w14:paraId="4462F4E1" w14:textId="77777777" w:rsidR="009423A7" w:rsidRPr="009423A7" w:rsidRDefault="009423A7" w:rsidP="009423A7">
            <w:pPr>
              <w:jc w:val="right"/>
              <w:outlineLvl w:val="0"/>
              <w:rPr>
                <w:noProof/>
                <w:sz w:val="20"/>
                <w:szCs w:val="20"/>
              </w:rPr>
            </w:pPr>
            <w:bookmarkStart w:id="1382" w:name="_Toc223980981"/>
            <w:r w:rsidRPr="009423A7">
              <w:rPr>
                <w:noProof/>
                <w:sz w:val="20"/>
                <w:szCs w:val="20"/>
              </w:rPr>
              <w:t>0.0</w:t>
            </w:r>
            <w:bookmarkEnd w:id="1382"/>
          </w:p>
        </w:tc>
        <w:tc>
          <w:tcPr>
            <w:tcW w:w="794" w:type="pct"/>
            <w:tcBorders>
              <w:top w:val="nil"/>
              <w:left w:val="nil"/>
              <w:bottom w:val="single" w:sz="4" w:space="0" w:color="auto"/>
              <w:right w:val="single" w:sz="4" w:space="0" w:color="auto"/>
            </w:tcBorders>
            <w:shd w:val="clear" w:color="000000" w:fill="FFFFFF"/>
            <w:noWrap/>
            <w:hideMark/>
          </w:tcPr>
          <w:p w14:paraId="23592C37" w14:textId="77777777" w:rsidR="009423A7" w:rsidRPr="009423A7" w:rsidRDefault="009423A7" w:rsidP="009423A7">
            <w:pPr>
              <w:jc w:val="right"/>
              <w:outlineLvl w:val="0"/>
              <w:rPr>
                <w:noProof/>
                <w:sz w:val="20"/>
                <w:szCs w:val="20"/>
              </w:rPr>
            </w:pPr>
            <w:bookmarkStart w:id="1383" w:name="_Toc223980982"/>
            <w:r w:rsidRPr="009423A7">
              <w:rPr>
                <w:noProof/>
                <w:sz w:val="20"/>
                <w:szCs w:val="20"/>
              </w:rPr>
              <w:t>0.0</w:t>
            </w:r>
            <w:bookmarkEnd w:id="1383"/>
          </w:p>
        </w:tc>
      </w:tr>
      <w:tr w:rsidR="009423A7" w:rsidRPr="00C14AF8" w14:paraId="226F2AD4"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78782DBE" w14:textId="77777777" w:rsidR="009423A7" w:rsidRPr="00C14AF8" w:rsidRDefault="009423A7" w:rsidP="009423A7">
            <w:pPr>
              <w:outlineLvl w:val="0"/>
              <w:rPr>
                <w:noProof/>
                <w:sz w:val="20"/>
                <w:szCs w:val="20"/>
              </w:rPr>
            </w:pPr>
            <w:r w:rsidRPr="00C14AF8">
              <w:rPr>
                <w:noProof/>
                <w:sz w:val="20"/>
                <w:szCs w:val="20"/>
              </w:rPr>
              <w:t xml:space="preserve"> </w:t>
            </w:r>
            <w:bookmarkStart w:id="1384" w:name="_Toc223980983"/>
            <w:r w:rsidRPr="00C14AF8">
              <w:rPr>
                <w:noProof/>
                <w:sz w:val="20"/>
                <w:szCs w:val="20"/>
              </w:rPr>
              <w:t>Latvia</w:t>
            </w:r>
            <w:bookmarkEnd w:id="138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357FBE25" w14:textId="77777777" w:rsidR="009423A7" w:rsidRPr="009423A7" w:rsidRDefault="009423A7" w:rsidP="009423A7">
            <w:pPr>
              <w:jc w:val="right"/>
              <w:outlineLvl w:val="0"/>
              <w:rPr>
                <w:noProof/>
                <w:sz w:val="20"/>
                <w:szCs w:val="20"/>
              </w:rPr>
            </w:pPr>
            <w:bookmarkStart w:id="1385" w:name="_Toc223980984"/>
            <w:r w:rsidRPr="009423A7">
              <w:rPr>
                <w:noProof/>
                <w:sz w:val="20"/>
                <w:szCs w:val="20"/>
              </w:rPr>
              <w:t>0.0</w:t>
            </w:r>
            <w:bookmarkEnd w:id="1385"/>
          </w:p>
        </w:tc>
        <w:tc>
          <w:tcPr>
            <w:tcW w:w="794" w:type="pct"/>
            <w:tcBorders>
              <w:top w:val="nil"/>
              <w:left w:val="nil"/>
              <w:bottom w:val="single" w:sz="4" w:space="0" w:color="auto"/>
              <w:right w:val="single" w:sz="4" w:space="0" w:color="auto"/>
            </w:tcBorders>
            <w:shd w:val="clear" w:color="000000" w:fill="FFFFFF"/>
            <w:noWrap/>
            <w:hideMark/>
          </w:tcPr>
          <w:p w14:paraId="00AE6F7B" w14:textId="77777777" w:rsidR="009423A7" w:rsidRPr="009423A7" w:rsidRDefault="009423A7" w:rsidP="009423A7">
            <w:pPr>
              <w:jc w:val="right"/>
              <w:outlineLvl w:val="0"/>
              <w:rPr>
                <w:noProof/>
                <w:sz w:val="20"/>
                <w:szCs w:val="20"/>
              </w:rPr>
            </w:pPr>
            <w:bookmarkStart w:id="1386" w:name="_Toc223980985"/>
            <w:r w:rsidRPr="009423A7">
              <w:rPr>
                <w:noProof/>
                <w:sz w:val="20"/>
                <w:szCs w:val="20"/>
              </w:rPr>
              <w:t>0.0</w:t>
            </w:r>
            <w:bookmarkEnd w:id="1386"/>
          </w:p>
        </w:tc>
        <w:tc>
          <w:tcPr>
            <w:tcW w:w="794" w:type="pct"/>
            <w:tcBorders>
              <w:top w:val="nil"/>
              <w:left w:val="nil"/>
              <w:bottom w:val="single" w:sz="4" w:space="0" w:color="auto"/>
              <w:right w:val="single" w:sz="4" w:space="0" w:color="auto"/>
            </w:tcBorders>
            <w:shd w:val="clear" w:color="000000" w:fill="FFFFFF"/>
            <w:noWrap/>
            <w:hideMark/>
          </w:tcPr>
          <w:p w14:paraId="3EF77396" w14:textId="77777777" w:rsidR="009423A7" w:rsidRPr="009423A7" w:rsidRDefault="009423A7" w:rsidP="009423A7">
            <w:pPr>
              <w:jc w:val="right"/>
              <w:outlineLvl w:val="0"/>
              <w:rPr>
                <w:noProof/>
                <w:sz w:val="20"/>
                <w:szCs w:val="20"/>
              </w:rPr>
            </w:pPr>
            <w:bookmarkStart w:id="1387" w:name="_Toc223980986"/>
            <w:r w:rsidRPr="009423A7">
              <w:rPr>
                <w:noProof/>
                <w:sz w:val="20"/>
                <w:szCs w:val="20"/>
              </w:rPr>
              <w:t>0.0</w:t>
            </w:r>
            <w:bookmarkEnd w:id="1387"/>
          </w:p>
        </w:tc>
        <w:tc>
          <w:tcPr>
            <w:tcW w:w="794" w:type="pct"/>
            <w:tcBorders>
              <w:top w:val="nil"/>
              <w:left w:val="nil"/>
              <w:bottom w:val="single" w:sz="4" w:space="0" w:color="auto"/>
              <w:right w:val="single" w:sz="4" w:space="0" w:color="auto"/>
            </w:tcBorders>
            <w:shd w:val="clear" w:color="000000" w:fill="FFFFFF"/>
            <w:noWrap/>
            <w:hideMark/>
          </w:tcPr>
          <w:p w14:paraId="361A1A49" w14:textId="77777777" w:rsidR="009423A7" w:rsidRPr="009423A7" w:rsidRDefault="009423A7" w:rsidP="009423A7">
            <w:pPr>
              <w:jc w:val="right"/>
              <w:outlineLvl w:val="0"/>
              <w:rPr>
                <w:noProof/>
                <w:sz w:val="20"/>
                <w:szCs w:val="20"/>
              </w:rPr>
            </w:pPr>
            <w:bookmarkStart w:id="1388" w:name="_Toc223980987"/>
            <w:r w:rsidRPr="009423A7">
              <w:rPr>
                <w:noProof/>
                <w:sz w:val="20"/>
                <w:szCs w:val="20"/>
              </w:rPr>
              <w:t>0.0</w:t>
            </w:r>
            <w:bookmarkEnd w:id="1388"/>
          </w:p>
        </w:tc>
      </w:tr>
      <w:tr w:rsidR="009423A7" w:rsidRPr="00C14AF8" w14:paraId="1491E8F6"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1DCAC55C" w14:textId="77777777" w:rsidR="009423A7" w:rsidRPr="00C14AF8" w:rsidRDefault="009423A7" w:rsidP="009423A7">
            <w:pPr>
              <w:outlineLvl w:val="0"/>
              <w:rPr>
                <w:noProof/>
                <w:sz w:val="20"/>
                <w:szCs w:val="20"/>
              </w:rPr>
            </w:pPr>
            <w:r w:rsidRPr="00C14AF8">
              <w:rPr>
                <w:noProof/>
                <w:sz w:val="20"/>
                <w:szCs w:val="20"/>
              </w:rPr>
              <w:t xml:space="preserve"> </w:t>
            </w:r>
            <w:bookmarkStart w:id="1389" w:name="_Toc223980988"/>
            <w:r w:rsidRPr="00C14AF8">
              <w:rPr>
                <w:noProof/>
                <w:sz w:val="20"/>
                <w:szCs w:val="20"/>
              </w:rPr>
              <w:t>Romania</w:t>
            </w:r>
            <w:bookmarkEnd w:id="138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070212B2" w14:textId="77777777" w:rsidR="009423A7" w:rsidRPr="009423A7" w:rsidRDefault="009423A7" w:rsidP="009423A7">
            <w:pPr>
              <w:jc w:val="right"/>
              <w:outlineLvl w:val="0"/>
              <w:rPr>
                <w:noProof/>
                <w:sz w:val="20"/>
                <w:szCs w:val="20"/>
              </w:rPr>
            </w:pPr>
            <w:bookmarkStart w:id="1390" w:name="_Toc223980989"/>
            <w:r w:rsidRPr="009423A7">
              <w:rPr>
                <w:noProof/>
                <w:sz w:val="20"/>
                <w:szCs w:val="20"/>
              </w:rPr>
              <w:t>0.0</w:t>
            </w:r>
            <w:bookmarkEnd w:id="1390"/>
          </w:p>
        </w:tc>
        <w:tc>
          <w:tcPr>
            <w:tcW w:w="794" w:type="pct"/>
            <w:tcBorders>
              <w:top w:val="nil"/>
              <w:left w:val="nil"/>
              <w:bottom w:val="single" w:sz="4" w:space="0" w:color="auto"/>
              <w:right w:val="single" w:sz="4" w:space="0" w:color="auto"/>
            </w:tcBorders>
            <w:shd w:val="clear" w:color="000000" w:fill="FFFFFF"/>
            <w:noWrap/>
            <w:hideMark/>
          </w:tcPr>
          <w:p w14:paraId="7593F9F2" w14:textId="77777777" w:rsidR="009423A7" w:rsidRPr="009423A7" w:rsidRDefault="009423A7" w:rsidP="009423A7">
            <w:pPr>
              <w:jc w:val="right"/>
              <w:outlineLvl w:val="0"/>
              <w:rPr>
                <w:noProof/>
                <w:sz w:val="20"/>
                <w:szCs w:val="20"/>
              </w:rPr>
            </w:pPr>
            <w:bookmarkStart w:id="1391" w:name="_Toc223980990"/>
            <w:r w:rsidRPr="009423A7">
              <w:rPr>
                <w:noProof/>
                <w:sz w:val="20"/>
                <w:szCs w:val="20"/>
              </w:rPr>
              <w:t>0.0</w:t>
            </w:r>
            <w:bookmarkEnd w:id="1391"/>
          </w:p>
        </w:tc>
        <w:tc>
          <w:tcPr>
            <w:tcW w:w="794" w:type="pct"/>
            <w:tcBorders>
              <w:top w:val="nil"/>
              <w:left w:val="nil"/>
              <w:bottom w:val="single" w:sz="4" w:space="0" w:color="auto"/>
              <w:right w:val="single" w:sz="4" w:space="0" w:color="auto"/>
            </w:tcBorders>
            <w:shd w:val="clear" w:color="000000" w:fill="FFFFFF"/>
            <w:noWrap/>
            <w:hideMark/>
          </w:tcPr>
          <w:p w14:paraId="48E8BD76" w14:textId="77777777" w:rsidR="009423A7" w:rsidRPr="009423A7" w:rsidRDefault="009423A7" w:rsidP="009423A7">
            <w:pPr>
              <w:jc w:val="right"/>
              <w:outlineLvl w:val="0"/>
              <w:rPr>
                <w:noProof/>
                <w:sz w:val="20"/>
                <w:szCs w:val="20"/>
              </w:rPr>
            </w:pPr>
            <w:bookmarkStart w:id="1392" w:name="_Toc223980991"/>
            <w:r w:rsidRPr="009423A7">
              <w:rPr>
                <w:noProof/>
                <w:sz w:val="20"/>
                <w:szCs w:val="20"/>
              </w:rPr>
              <w:t>0.0</w:t>
            </w:r>
            <w:bookmarkEnd w:id="1392"/>
          </w:p>
        </w:tc>
        <w:tc>
          <w:tcPr>
            <w:tcW w:w="794" w:type="pct"/>
            <w:tcBorders>
              <w:top w:val="nil"/>
              <w:left w:val="nil"/>
              <w:bottom w:val="single" w:sz="4" w:space="0" w:color="auto"/>
              <w:right w:val="single" w:sz="4" w:space="0" w:color="auto"/>
            </w:tcBorders>
            <w:shd w:val="clear" w:color="000000" w:fill="FFFFFF"/>
            <w:noWrap/>
            <w:hideMark/>
          </w:tcPr>
          <w:p w14:paraId="23B93E25" w14:textId="77777777" w:rsidR="009423A7" w:rsidRPr="009423A7" w:rsidRDefault="009423A7" w:rsidP="009423A7">
            <w:pPr>
              <w:jc w:val="right"/>
              <w:outlineLvl w:val="0"/>
              <w:rPr>
                <w:noProof/>
                <w:sz w:val="20"/>
                <w:szCs w:val="20"/>
              </w:rPr>
            </w:pPr>
            <w:bookmarkStart w:id="1393" w:name="_Toc223980992"/>
            <w:r w:rsidRPr="009423A7">
              <w:rPr>
                <w:noProof/>
                <w:sz w:val="20"/>
                <w:szCs w:val="20"/>
              </w:rPr>
              <w:t>0.0</w:t>
            </w:r>
            <w:bookmarkEnd w:id="1393"/>
          </w:p>
        </w:tc>
      </w:tr>
      <w:tr w:rsidR="009423A7" w:rsidRPr="00C14AF8" w14:paraId="72223D7C"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CA2DED6" w14:textId="77777777" w:rsidR="009423A7" w:rsidRPr="00C14AF8" w:rsidRDefault="009423A7" w:rsidP="009423A7">
            <w:pPr>
              <w:outlineLvl w:val="0"/>
              <w:rPr>
                <w:noProof/>
                <w:sz w:val="20"/>
                <w:szCs w:val="20"/>
              </w:rPr>
            </w:pPr>
            <w:r w:rsidRPr="00C14AF8">
              <w:rPr>
                <w:noProof/>
                <w:sz w:val="20"/>
                <w:szCs w:val="20"/>
              </w:rPr>
              <w:t xml:space="preserve"> </w:t>
            </w:r>
            <w:bookmarkStart w:id="1394" w:name="_Toc223980993"/>
            <w:r w:rsidRPr="00C14AF8">
              <w:rPr>
                <w:noProof/>
                <w:sz w:val="20"/>
                <w:szCs w:val="20"/>
              </w:rPr>
              <w:t>Slovakia</w:t>
            </w:r>
            <w:bookmarkEnd w:id="139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4F4B9DCB" w14:textId="6E3E36C8" w:rsidR="009423A7" w:rsidRPr="009423A7" w:rsidRDefault="009423A7" w:rsidP="009423A7">
            <w:pPr>
              <w:jc w:val="right"/>
              <w:outlineLvl w:val="0"/>
              <w:rPr>
                <w:noProof/>
                <w:sz w:val="20"/>
                <w:szCs w:val="20"/>
              </w:rPr>
            </w:pPr>
            <w:bookmarkStart w:id="1395" w:name="_Toc223980994"/>
            <w:r w:rsidRPr="009423A7">
              <w:rPr>
                <w:noProof/>
                <w:sz w:val="20"/>
                <w:szCs w:val="20"/>
              </w:rPr>
              <w:t>176.4</w:t>
            </w:r>
            <w:bookmarkEnd w:id="1395"/>
          </w:p>
        </w:tc>
        <w:tc>
          <w:tcPr>
            <w:tcW w:w="794" w:type="pct"/>
            <w:tcBorders>
              <w:top w:val="nil"/>
              <w:left w:val="nil"/>
              <w:bottom w:val="single" w:sz="4" w:space="0" w:color="auto"/>
              <w:right w:val="single" w:sz="4" w:space="0" w:color="auto"/>
            </w:tcBorders>
            <w:shd w:val="clear" w:color="000000" w:fill="FFFFFF"/>
            <w:noWrap/>
            <w:hideMark/>
          </w:tcPr>
          <w:p w14:paraId="22F15DB9" w14:textId="63C89A87" w:rsidR="009423A7" w:rsidRPr="009423A7" w:rsidRDefault="009423A7" w:rsidP="009423A7">
            <w:pPr>
              <w:jc w:val="right"/>
              <w:outlineLvl w:val="0"/>
              <w:rPr>
                <w:noProof/>
                <w:sz w:val="20"/>
                <w:szCs w:val="20"/>
              </w:rPr>
            </w:pPr>
            <w:bookmarkStart w:id="1396" w:name="_Toc223980995"/>
            <w:r w:rsidRPr="009423A7">
              <w:rPr>
                <w:noProof/>
                <w:sz w:val="20"/>
                <w:szCs w:val="20"/>
              </w:rPr>
              <w:t>26.7</w:t>
            </w:r>
            <w:bookmarkEnd w:id="1396"/>
          </w:p>
        </w:tc>
        <w:tc>
          <w:tcPr>
            <w:tcW w:w="794" w:type="pct"/>
            <w:tcBorders>
              <w:top w:val="nil"/>
              <w:left w:val="nil"/>
              <w:bottom w:val="single" w:sz="4" w:space="0" w:color="auto"/>
              <w:right w:val="single" w:sz="4" w:space="0" w:color="auto"/>
            </w:tcBorders>
            <w:shd w:val="clear" w:color="000000" w:fill="FFFFFF"/>
            <w:noWrap/>
            <w:hideMark/>
          </w:tcPr>
          <w:p w14:paraId="20A5480B" w14:textId="21DD2142" w:rsidR="009423A7" w:rsidRPr="009423A7" w:rsidRDefault="009423A7" w:rsidP="009423A7">
            <w:pPr>
              <w:jc w:val="right"/>
              <w:outlineLvl w:val="0"/>
              <w:rPr>
                <w:noProof/>
                <w:sz w:val="20"/>
                <w:szCs w:val="20"/>
              </w:rPr>
            </w:pPr>
            <w:bookmarkStart w:id="1397" w:name="_Toc223980996"/>
            <w:r w:rsidRPr="009423A7">
              <w:rPr>
                <w:noProof/>
                <w:sz w:val="20"/>
                <w:szCs w:val="20"/>
              </w:rPr>
              <w:t>44.8</w:t>
            </w:r>
            <w:bookmarkEnd w:id="1397"/>
          </w:p>
        </w:tc>
        <w:tc>
          <w:tcPr>
            <w:tcW w:w="794" w:type="pct"/>
            <w:tcBorders>
              <w:top w:val="nil"/>
              <w:left w:val="nil"/>
              <w:bottom w:val="single" w:sz="4" w:space="0" w:color="auto"/>
              <w:right w:val="single" w:sz="4" w:space="0" w:color="auto"/>
            </w:tcBorders>
            <w:shd w:val="clear" w:color="000000" w:fill="FFFFFF"/>
            <w:noWrap/>
            <w:hideMark/>
          </w:tcPr>
          <w:p w14:paraId="7FC98C8F" w14:textId="3B51B040" w:rsidR="009423A7" w:rsidRPr="009423A7" w:rsidRDefault="009423A7" w:rsidP="009423A7">
            <w:pPr>
              <w:jc w:val="right"/>
              <w:outlineLvl w:val="0"/>
              <w:rPr>
                <w:noProof/>
                <w:sz w:val="20"/>
                <w:szCs w:val="20"/>
              </w:rPr>
            </w:pPr>
            <w:bookmarkStart w:id="1398" w:name="_Toc223980997"/>
            <w:r w:rsidRPr="009423A7">
              <w:rPr>
                <w:noProof/>
                <w:sz w:val="20"/>
                <w:szCs w:val="20"/>
              </w:rPr>
              <w:t>30.8</w:t>
            </w:r>
            <w:bookmarkEnd w:id="1398"/>
          </w:p>
        </w:tc>
      </w:tr>
      <w:tr w:rsidR="009423A7" w:rsidRPr="00C14AF8" w14:paraId="1E6C5901"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269DC1D9" w14:textId="565F0F36" w:rsidR="009423A7" w:rsidRPr="00C14AF8" w:rsidRDefault="009423A7" w:rsidP="009423A7">
            <w:pPr>
              <w:rPr>
                <w:b/>
                <w:bCs/>
                <w:noProof/>
                <w:sz w:val="20"/>
                <w:szCs w:val="20"/>
              </w:rPr>
            </w:pPr>
            <w:r w:rsidRPr="00C14AF8">
              <w:rPr>
                <w:b/>
                <w:bCs/>
                <w:noProof/>
                <w:sz w:val="20"/>
                <w:szCs w:val="20"/>
              </w:rPr>
              <w:t xml:space="preserve"> Total </w:t>
            </w:r>
          </w:p>
        </w:tc>
        <w:tc>
          <w:tcPr>
            <w:tcW w:w="794" w:type="pct"/>
            <w:tcBorders>
              <w:top w:val="nil"/>
              <w:left w:val="nil"/>
              <w:bottom w:val="single" w:sz="4" w:space="0" w:color="auto"/>
              <w:right w:val="single" w:sz="4" w:space="0" w:color="auto"/>
            </w:tcBorders>
            <w:shd w:val="clear" w:color="000000" w:fill="FFFFFF"/>
            <w:noWrap/>
            <w:hideMark/>
          </w:tcPr>
          <w:p w14:paraId="0D2268CB" w14:textId="47E367D5" w:rsidR="009423A7" w:rsidRPr="009423A7" w:rsidRDefault="009423A7" w:rsidP="009423A7">
            <w:pPr>
              <w:jc w:val="right"/>
              <w:rPr>
                <w:b/>
                <w:bCs/>
                <w:noProof/>
                <w:sz w:val="20"/>
                <w:szCs w:val="20"/>
              </w:rPr>
            </w:pPr>
            <w:r w:rsidRPr="009423A7">
              <w:rPr>
                <w:b/>
                <w:bCs/>
                <w:noProof/>
                <w:sz w:val="20"/>
                <w:szCs w:val="20"/>
              </w:rPr>
              <w:t>17,637.9</w:t>
            </w:r>
          </w:p>
        </w:tc>
        <w:tc>
          <w:tcPr>
            <w:tcW w:w="794" w:type="pct"/>
            <w:tcBorders>
              <w:top w:val="nil"/>
              <w:left w:val="nil"/>
              <w:bottom w:val="single" w:sz="4" w:space="0" w:color="auto"/>
              <w:right w:val="single" w:sz="4" w:space="0" w:color="auto"/>
            </w:tcBorders>
            <w:shd w:val="clear" w:color="000000" w:fill="FFFFFF"/>
            <w:noWrap/>
            <w:hideMark/>
          </w:tcPr>
          <w:p w14:paraId="7C1AE7BE" w14:textId="7A133562" w:rsidR="009423A7" w:rsidRPr="009423A7" w:rsidRDefault="009423A7" w:rsidP="009423A7">
            <w:pPr>
              <w:jc w:val="right"/>
              <w:rPr>
                <w:b/>
                <w:bCs/>
                <w:noProof/>
                <w:sz w:val="20"/>
                <w:szCs w:val="20"/>
              </w:rPr>
            </w:pPr>
            <w:r w:rsidRPr="009423A7">
              <w:rPr>
                <w:b/>
                <w:bCs/>
                <w:noProof/>
                <w:sz w:val="20"/>
                <w:szCs w:val="20"/>
              </w:rPr>
              <w:t>2,669.2</w:t>
            </w:r>
          </w:p>
        </w:tc>
        <w:tc>
          <w:tcPr>
            <w:tcW w:w="794" w:type="pct"/>
            <w:tcBorders>
              <w:top w:val="nil"/>
              <w:left w:val="nil"/>
              <w:bottom w:val="single" w:sz="4" w:space="0" w:color="auto"/>
              <w:right w:val="single" w:sz="4" w:space="0" w:color="auto"/>
            </w:tcBorders>
            <w:shd w:val="clear" w:color="000000" w:fill="FFFFFF"/>
            <w:noWrap/>
            <w:hideMark/>
          </w:tcPr>
          <w:p w14:paraId="2F39667A" w14:textId="4DF3FD17" w:rsidR="009423A7" w:rsidRPr="009423A7" w:rsidRDefault="009423A7" w:rsidP="009423A7">
            <w:pPr>
              <w:jc w:val="right"/>
              <w:rPr>
                <w:b/>
                <w:bCs/>
                <w:noProof/>
                <w:sz w:val="20"/>
                <w:szCs w:val="20"/>
              </w:rPr>
            </w:pPr>
            <w:r w:rsidRPr="009423A7">
              <w:rPr>
                <w:b/>
                <w:bCs/>
                <w:noProof/>
                <w:sz w:val="20"/>
                <w:szCs w:val="20"/>
              </w:rPr>
              <w:t>4,481.8</w:t>
            </w:r>
          </w:p>
        </w:tc>
        <w:tc>
          <w:tcPr>
            <w:tcW w:w="794" w:type="pct"/>
            <w:tcBorders>
              <w:top w:val="nil"/>
              <w:left w:val="nil"/>
              <w:bottom w:val="single" w:sz="4" w:space="0" w:color="auto"/>
              <w:right w:val="single" w:sz="4" w:space="0" w:color="auto"/>
            </w:tcBorders>
            <w:shd w:val="clear" w:color="000000" w:fill="FFFFFF"/>
            <w:noWrap/>
            <w:hideMark/>
          </w:tcPr>
          <w:p w14:paraId="481D12F0" w14:textId="24414B60" w:rsidR="009423A7" w:rsidRPr="009423A7" w:rsidRDefault="009423A7" w:rsidP="009423A7">
            <w:pPr>
              <w:jc w:val="right"/>
              <w:rPr>
                <w:b/>
                <w:bCs/>
                <w:noProof/>
                <w:sz w:val="20"/>
                <w:szCs w:val="20"/>
              </w:rPr>
            </w:pPr>
            <w:r w:rsidRPr="009423A7">
              <w:rPr>
                <w:b/>
                <w:bCs/>
                <w:noProof/>
                <w:sz w:val="20"/>
                <w:szCs w:val="20"/>
              </w:rPr>
              <w:t>3,077.9</w:t>
            </w:r>
          </w:p>
        </w:tc>
      </w:tr>
    </w:tbl>
    <w:p w14:paraId="02E14DF7" w14:textId="77777777" w:rsidR="009467A1" w:rsidRPr="00C14AF8" w:rsidRDefault="009467A1" w:rsidP="009467A1">
      <w:pPr>
        <w:tabs>
          <w:tab w:val="left" w:pos="2302"/>
        </w:tabs>
        <w:spacing w:after="240"/>
        <w:jc w:val="both"/>
        <w:rPr>
          <w:i/>
          <w:noProof/>
          <w:sz w:val="20"/>
          <w:szCs w:val="20"/>
        </w:rPr>
      </w:pPr>
      <w:r w:rsidRPr="00C14AF8">
        <w:rPr>
          <w:i/>
          <w:noProof/>
          <w:spacing w:val="-8"/>
          <w:sz w:val="20"/>
          <w:szCs w:val="20"/>
        </w:rPr>
        <w:t xml:space="preserve">Source: </w:t>
      </w:r>
      <w:r w:rsidRPr="00C14AF8">
        <w:rPr>
          <w:i/>
          <w:noProof/>
          <w:sz w:val="20"/>
          <w:szCs w:val="20"/>
        </w:rPr>
        <w:t>Ricardo et al. (2026), Impact assessment support study</w:t>
      </w:r>
    </w:p>
    <w:p w14:paraId="1878A8CB" w14:textId="61D22C53" w:rsidR="009467A1" w:rsidRPr="00DB078C" w:rsidRDefault="009467A1" w:rsidP="00DB078C">
      <w:pPr>
        <w:keepNext/>
        <w:tabs>
          <w:tab w:val="left" w:pos="1134"/>
        </w:tabs>
        <w:jc w:val="both"/>
        <w:rPr>
          <w:i/>
          <w:noProof/>
          <w:sz w:val="22"/>
          <w:szCs w:val="22"/>
        </w:rPr>
      </w:pPr>
      <w:r w:rsidRPr="00DB078C">
        <w:rPr>
          <w:i/>
          <w:noProof/>
          <w:sz w:val="22"/>
          <w:szCs w:val="22"/>
        </w:rPr>
        <w:t xml:space="preserve">Table </w:t>
      </w:r>
      <w:r w:rsidRPr="00DB078C">
        <w:rPr>
          <w:i/>
          <w:noProof/>
          <w:sz w:val="22"/>
          <w:szCs w:val="22"/>
        </w:rPr>
        <w:fldChar w:fldCharType="begin"/>
      </w:r>
      <w:r w:rsidRPr="00DB078C">
        <w:rPr>
          <w:i/>
          <w:noProof/>
          <w:sz w:val="22"/>
          <w:szCs w:val="22"/>
        </w:rPr>
        <w:instrText xml:space="preserve"> SEQ Table \* ARABIC </w:instrText>
      </w:r>
      <w:r w:rsidRPr="00DB078C">
        <w:rPr>
          <w:i/>
          <w:noProof/>
          <w:sz w:val="22"/>
          <w:szCs w:val="22"/>
        </w:rPr>
        <w:fldChar w:fldCharType="separate"/>
      </w:r>
      <w:r w:rsidR="0055391F">
        <w:rPr>
          <w:i/>
          <w:noProof/>
          <w:sz w:val="22"/>
          <w:szCs w:val="22"/>
        </w:rPr>
        <w:t>92</w:t>
      </w:r>
      <w:r w:rsidRPr="00DB078C">
        <w:rPr>
          <w:i/>
          <w:noProof/>
          <w:sz w:val="22"/>
          <w:szCs w:val="22"/>
        </w:rPr>
        <w:fldChar w:fldCharType="end"/>
      </w:r>
      <w:r w:rsidRPr="00DB078C">
        <w:rPr>
          <w:i/>
          <w:noProof/>
          <w:sz w:val="22"/>
          <w:szCs w:val="22"/>
        </w:rPr>
        <w:t xml:space="preserve">: Total one-off and recurrent adjustment costs for </w:t>
      </w:r>
      <w:r w:rsidR="00CE1027">
        <w:rPr>
          <w:i/>
          <w:noProof/>
          <w:sz w:val="22"/>
          <w:szCs w:val="22"/>
        </w:rPr>
        <w:t>non-SME</w:t>
      </w:r>
      <w:r w:rsidRPr="00DB078C">
        <w:rPr>
          <w:i/>
          <w:noProof/>
          <w:sz w:val="22"/>
          <w:szCs w:val="22"/>
        </w:rPr>
        <w:t xml:space="preserve"> B2C MDMS platforms due to PM</w:t>
      </w:r>
      <w:r w:rsidR="00790239" w:rsidRPr="00DB078C">
        <w:rPr>
          <w:i/>
          <w:noProof/>
          <w:sz w:val="22"/>
          <w:szCs w:val="22"/>
        </w:rPr>
        <w:t>7</w:t>
      </w:r>
      <w:r w:rsidRPr="00DB078C">
        <w:rPr>
          <w:i/>
          <w:noProof/>
          <w:sz w:val="22"/>
          <w:szCs w:val="22"/>
        </w:rPr>
        <w:t xml:space="preserve"> in PO3 in 2028, 2030, 2040 and 2050 relative to the baseline (thousand EUR, in 2024 prices)</w:t>
      </w:r>
    </w:p>
    <w:tbl>
      <w:tblPr>
        <w:tblW w:w="5000" w:type="pct"/>
        <w:tblLook w:val="04A0" w:firstRow="1" w:lastRow="0" w:firstColumn="1" w:lastColumn="0" w:noHBand="0" w:noVBand="1"/>
      </w:tblPr>
      <w:tblGrid>
        <w:gridCol w:w="3503"/>
        <w:gridCol w:w="1525"/>
        <w:gridCol w:w="1525"/>
        <w:gridCol w:w="1525"/>
        <w:gridCol w:w="1525"/>
      </w:tblGrid>
      <w:tr w:rsidR="00C137A9" w:rsidRPr="00C14AF8" w14:paraId="70229DFC" w14:textId="77777777" w:rsidTr="00C14AF8">
        <w:trPr>
          <w:trHeight w:val="255"/>
          <w:tblHeader/>
        </w:trPr>
        <w:tc>
          <w:tcPr>
            <w:tcW w:w="1824" w:type="pct"/>
            <w:tcBorders>
              <w:top w:val="single" w:sz="4" w:space="0" w:color="auto"/>
              <w:left w:val="single" w:sz="4" w:space="0" w:color="auto"/>
              <w:bottom w:val="single" w:sz="4" w:space="0" w:color="auto"/>
              <w:right w:val="single" w:sz="4" w:space="0" w:color="auto"/>
            </w:tcBorders>
            <w:shd w:val="clear" w:color="000000" w:fill="0070C0"/>
            <w:noWrap/>
            <w:hideMark/>
          </w:tcPr>
          <w:p w14:paraId="482168C0" w14:textId="56DC2407" w:rsidR="00C137A9" w:rsidRPr="00C14AF8" w:rsidRDefault="00C137A9">
            <w:pPr>
              <w:jc w:val="center"/>
              <w:rPr>
                <w:b/>
                <w:bCs/>
                <w:noProof/>
                <w:color w:val="FFFFFF"/>
                <w:sz w:val="20"/>
                <w:szCs w:val="20"/>
              </w:rPr>
            </w:pPr>
          </w:p>
        </w:tc>
        <w:tc>
          <w:tcPr>
            <w:tcW w:w="794" w:type="pct"/>
            <w:tcBorders>
              <w:top w:val="single" w:sz="4" w:space="0" w:color="auto"/>
              <w:left w:val="nil"/>
              <w:bottom w:val="single" w:sz="4" w:space="0" w:color="auto"/>
              <w:right w:val="single" w:sz="4" w:space="0" w:color="auto"/>
            </w:tcBorders>
            <w:shd w:val="clear" w:color="000000" w:fill="0070C0"/>
            <w:noWrap/>
            <w:hideMark/>
          </w:tcPr>
          <w:p w14:paraId="44BC6903" w14:textId="77777777" w:rsidR="00C137A9" w:rsidRPr="00C14AF8" w:rsidRDefault="00C137A9">
            <w:pPr>
              <w:jc w:val="center"/>
              <w:rPr>
                <w:b/>
                <w:bCs/>
                <w:noProof/>
                <w:color w:val="FFFFFF"/>
                <w:sz w:val="20"/>
                <w:szCs w:val="20"/>
              </w:rPr>
            </w:pPr>
            <w:r w:rsidRPr="00C14AF8">
              <w:rPr>
                <w:b/>
                <w:bCs/>
                <w:noProof/>
                <w:color w:val="FFFFFF"/>
                <w:sz w:val="20"/>
                <w:szCs w:val="20"/>
              </w:rPr>
              <w:t>2028</w:t>
            </w:r>
          </w:p>
        </w:tc>
        <w:tc>
          <w:tcPr>
            <w:tcW w:w="794" w:type="pct"/>
            <w:tcBorders>
              <w:top w:val="single" w:sz="4" w:space="0" w:color="auto"/>
              <w:left w:val="nil"/>
              <w:bottom w:val="single" w:sz="4" w:space="0" w:color="auto"/>
              <w:right w:val="single" w:sz="4" w:space="0" w:color="auto"/>
            </w:tcBorders>
            <w:shd w:val="clear" w:color="000000" w:fill="0070C0"/>
            <w:noWrap/>
            <w:hideMark/>
          </w:tcPr>
          <w:p w14:paraId="0B157B13" w14:textId="77777777" w:rsidR="00C137A9" w:rsidRPr="00C14AF8" w:rsidRDefault="00C137A9">
            <w:pPr>
              <w:jc w:val="center"/>
              <w:rPr>
                <w:b/>
                <w:bCs/>
                <w:noProof/>
                <w:color w:val="FFFFFF"/>
                <w:sz w:val="20"/>
                <w:szCs w:val="20"/>
              </w:rPr>
            </w:pPr>
            <w:r w:rsidRPr="00C14AF8">
              <w:rPr>
                <w:b/>
                <w:bCs/>
                <w:noProof/>
                <w:color w:val="FFFFFF"/>
                <w:sz w:val="20"/>
                <w:szCs w:val="20"/>
              </w:rPr>
              <w:t>2030</w:t>
            </w:r>
          </w:p>
        </w:tc>
        <w:tc>
          <w:tcPr>
            <w:tcW w:w="794" w:type="pct"/>
            <w:tcBorders>
              <w:top w:val="single" w:sz="4" w:space="0" w:color="auto"/>
              <w:left w:val="nil"/>
              <w:bottom w:val="single" w:sz="4" w:space="0" w:color="auto"/>
              <w:right w:val="single" w:sz="4" w:space="0" w:color="auto"/>
            </w:tcBorders>
            <w:shd w:val="clear" w:color="000000" w:fill="0070C0"/>
            <w:noWrap/>
            <w:hideMark/>
          </w:tcPr>
          <w:p w14:paraId="521F395B" w14:textId="77777777" w:rsidR="00C137A9" w:rsidRPr="00C14AF8" w:rsidRDefault="00C137A9">
            <w:pPr>
              <w:jc w:val="center"/>
              <w:rPr>
                <w:b/>
                <w:bCs/>
                <w:noProof/>
                <w:color w:val="FFFFFF"/>
                <w:sz w:val="20"/>
                <w:szCs w:val="20"/>
              </w:rPr>
            </w:pPr>
            <w:r w:rsidRPr="00C14AF8">
              <w:rPr>
                <w:b/>
                <w:bCs/>
                <w:noProof/>
                <w:color w:val="FFFFFF"/>
                <w:sz w:val="20"/>
                <w:szCs w:val="20"/>
              </w:rPr>
              <w:t>2040</w:t>
            </w:r>
          </w:p>
        </w:tc>
        <w:tc>
          <w:tcPr>
            <w:tcW w:w="794" w:type="pct"/>
            <w:tcBorders>
              <w:top w:val="single" w:sz="4" w:space="0" w:color="auto"/>
              <w:left w:val="nil"/>
              <w:bottom w:val="single" w:sz="4" w:space="0" w:color="auto"/>
              <w:right w:val="single" w:sz="4" w:space="0" w:color="auto"/>
            </w:tcBorders>
            <w:shd w:val="clear" w:color="000000" w:fill="0070C0"/>
            <w:noWrap/>
            <w:hideMark/>
          </w:tcPr>
          <w:p w14:paraId="12E82D68" w14:textId="77777777" w:rsidR="00C137A9" w:rsidRPr="00C14AF8" w:rsidRDefault="00C137A9">
            <w:pPr>
              <w:jc w:val="center"/>
              <w:rPr>
                <w:b/>
                <w:bCs/>
                <w:noProof/>
                <w:color w:val="FFFFFF"/>
                <w:sz w:val="20"/>
                <w:szCs w:val="20"/>
              </w:rPr>
            </w:pPr>
            <w:r w:rsidRPr="00C14AF8">
              <w:rPr>
                <w:b/>
                <w:bCs/>
                <w:noProof/>
                <w:color w:val="FFFFFF"/>
                <w:sz w:val="20"/>
                <w:szCs w:val="20"/>
              </w:rPr>
              <w:t>2050</w:t>
            </w:r>
          </w:p>
        </w:tc>
      </w:tr>
      <w:tr w:rsidR="00975A9E" w:rsidRPr="00C14AF8" w14:paraId="49A2DF75"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7B13B704" w14:textId="77777777" w:rsidR="00975A9E" w:rsidRPr="00C14AF8" w:rsidRDefault="00975A9E" w:rsidP="00975A9E">
            <w:pPr>
              <w:outlineLvl w:val="0"/>
              <w:rPr>
                <w:noProof/>
                <w:sz w:val="20"/>
                <w:szCs w:val="20"/>
              </w:rPr>
            </w:pPr>
            <w:r w:rsidRPr="00C14AF8">
              <w:rPr>
                <w:noProof/>
                <w:sz w:val="20"/>
                <w:szCs w:val="20"/>
              </w:rPr>
              <w:t xml:space="preserve"> </w:t>
            </w:r>
            <w:bookmarkStart w:id="1399" w:name="_Toc223980998"/>
            <w:r w:rsidRPr="00C14AF8">
              <w:rPr>
                <w:noProof/>
                <w:sz w:val="20"/>
                <w:szCs w:val="20"/>
              </w:rPr>
              <w:t>Germany</w:t>
            </w:r>
            <w:bookmarkEnd w:id="139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3E611900" w14:textId="35A2AD70" w:rsidR="00975A9E" w:rsidRPr="00975A9E" w:rsidRDefault="00975A9E" w:rsidP="00975A9E">
            <w:pPr>
              <w:jc w:val="right"/>
              <w:outlineLvl w:val="0"/>
              <w:rPr>
                <w:noProof/>
                <w:sz w:val="20"/>
                <w:szCs w:val="20"/>
              </w:rPr>
            </w:pPr>
            <w:bookmarkStart w:id="1400" w:name="_Toc223980999"/>
            <w:r w:rsidRPr="00975A9E">
              <w:rPr>
                <w:noProof/>
                <w:sz w:val="20"/>
                <w:szCs w:val="20"/>
              </w:rPr>
              <w:t>2,116.5</w:t>
            </w:r>
            <w:bookmarkEnd w:id="1400"/>
          </w:p>
        </w:tc>
        <w:tc>
          <w:tcPr>
            <w:tcW w:w="794" w:type="pct"/>
            <w:tcBorders>
              <w:top w:val="nil"/>
              <w:left w:val="nil"/>
              <w:bottom w:val="single" w:sz="4" w:space="0" w:color="auto"/>
              <w:right w:val="single" w:sz="4" w:space="0" w:color="auto"/>
            </w:tcBorders>
            <w:shd w:val="clear" w:color="000000" w:fill="FFFFFF"/>
            <w:noWrap/>
            <w:hideMark/>
          </w:tcPr>
          <w:p w14:paraId="2E08FB47" w14:textId="3CE47708" w:rsidR="00975A9E" w:rsidRPr="00975A9E" w:rsidRDefault="00975A9E" w:rsidP="00975A9E">
            <w:pPr>
              <w:jc w:val="right"/>
              <w:outlineLvl w:val="0"/>
              <w:rPr>
                <w:noProof/>
                <w:sz w:val="20"/>
                <w:szCs w:val="20"/>
              </w:rPr>
            </w:pPr>
            <w:bookmarkStart w:id="1401" w:name="_Toc223981000"/>
            <w:r w:rsidRPr="00975A9E">
              <w:rPr>
                <w:noProof/>
                <w:sz w:val="20"/>
                <w:szCs w:val="20"/>
              </w:rPr>
              <w:t>326.3</w:t>
            </w:r>
            <w:bookmarkEnd w:id="1401"/>
          </w:p>
        </w:tc>
        <w:tc>
          <w:tcPr>
            <w:tcW w:w="794" w:type="pct"/>
            <w:tcBorders>
              <w:top w:val="nil"/>
              <w:left w:val="nil"/>
              <w:bottom w:val="single" w:sz="4" w:space="0" w:color="auto"/>
              <w:right w:val="single" w:sz="4" w:space="0" w:color="auto"/>
            </w:tcBorders>
            <w:shd w:val="clear" w:color="000000" w:fill="FFFFFF"/>
            <w:noWrap/>
            <w:hideMark/>
          </w:tcPr>
          <w:p w14:paraId="299CAA50" w14:textId="23B7437A" w:rsidR="00975A9E" w:rsidRPr="00975A9E" w:rsidRDefault="00975A9E" w:rsidP="00975A9E">
            <w:pPr>
              <w:jc w:val="right"/>
              <w:outlineLvl w:val="0"/>
              <w:rPr>
                <w:noProof/>
                <w:sz w:val="20"/>
                <w:szCs w:val="20"/>
              </w:rPr>
            </w:pPr>
            <w:bookmarkStart w:id="1402" w:name="_Toc223981001"/>
            <w:r w:rsidRPr="00975A9E">
              <w:rPr>
                <w:noProof/>
                <w:sz w:val="20"/>
                <w:szCs w:val="20"/>
              </w:rPr>
              <w:t>488.9</w:t>
            </w:r>
            <w:bookmarkEnd w:id="1402"/>
          </w:p>
        </w:tc>
        <w:tc>
          <w:tcPr>
            <w:tcW w:w="794" w:type="pct"/>
            <w:tcBorders>
              <w:top w:val="nil"/>
              <w:left w:val="nil"/>
              <w:bottom w:val="single" w:sz="4" w:space="0" w:color="auto"/>
              <w:right w:val="single" w:sz="4" w:space="0" w:color="auto"/>
            </w:tcBorders>
            <w:shd w:val="clear" w:color="000000" w:fill="FFFFFF"/>
            <w:noWrap/>
            <w:hideMark/>
          </w:tcPr>
          <w:p w14:paraId="7A3E7887" w14:textId="48A4636E" w:rsidR="00975A9E" w:rsidRPr="00975A9E" w:rsidRDefault="00975A9E" w:rsidP="00975A9E">
            <w:pPr>
              <w:jc w:val="right"/>
              <w:outlineLvl w:val="0"/>
              <w:rPr>
                <w:noProof/>
                <w:sz w:val="20"/>
                <w:szCs w:val="20"/>
              </w:rPr>
            </w:pPr>
            <w:bookmarkStart w:id="1403" w:name="_Toc223981002"/>
            <w:r w:rsidRPr="00975A9E">
              <w:rPr>
                <w:noProof/>
                <w:sz w:val="20"/>
                <w:szCs w:val="20"/>
              </w:rPr>
              <w:t>366.8</w:t>
            </w:r>
            <w:bookmarkEnd w:id="1403"/>
          </w:p>
        </w:tc>
      </w:tr>
      <w:tr w:rsidR="00975A9E" w:rsidRPr="00C14AF8" w14:paraId="0B1ACF65"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086374A2" w14:textId="77777777" w:rsidR="00975A9E" w:rsidRPr="00C14AF8" w:rsidRDefault="00975A9E" w:rsidP="00975A9E">
            <w:pPr>
              <w:outlineLvl w:val="0"/>
              <w:rPr>
                <w:noProof/>
                <w:sz w:val="20"/>
                <w:szCs w:val="20"/>
              </w:rPr>
            </w:pPr>
            <w:r w:rsidRPr="00C14AF8">
              <w:rPr>
                <w:noProof/>
                <w:sz w:val="20"/>
                <w:szCs w:val="20"/>
              </w:rPr>
              <w:t xml:space="preserve"> </w:t>
            </w:r>
            <w:bookmarkStart w:id="1404" w:name="_Toc223981003"/>
            <w:r w:rsidRPr="00C14AF8">
              <w:rPr>
                <w:noProof/>
                <w:sz w:val="20"/>
                <w:szCs w:val="20"/>
              </w:rPr>
              <w:t>Austria</w:t>
            </w:r>
            <w:bookmarkEnd w:id="140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6A7E1841" w14:textId="65875112" w:rsidR="00975A9E" w:rsidRPr="00975A9E" w:rsidRDefault="00975A9E" w:rsidP="00975A9E">
            <w:pPr>
              <w:jc w:val="right"/>
              <w:outlineLvl w:val="0"/>
              <w:rPr>
                <w:noProof/>
                <w:sz w:val="20"/>
                <w:szCs w:val="20"/>
              </w:rPr>
            </w:pPr>
            <w:bookmarkStart w:id="1405" w:name="_Toc223981004"/>
            <w:r w:rsidRPr="00975A9E">
              <w:rPr>
                <w:noProof/>
                <w:sz w:val="20"/>
                <w:szCs w:val="20"/>
              </w:rPr>
              <w:t>1,587.4</w:t>
            </w:r>
            <w:bookmarkEnd w:id="1405"/>
          </w:p>
        </w:tc>
        <w:tc>
          <w:tcPr>
            <w:tcW w:w="794" w:type="pct"/>
            <w:tcBorders>
              <w:top w:val="nil"/>
              <w:left w:val="nil"/>
              <w:bottom w:val="single" w:sz="4" w:space="0" w:color="auto"/>
              <w:right w:val="single" w:sz="4" w:space="0" w:color="auto"/>
            </w:tcBorders>
            <w:shd w:val="clear" w:color="000000" w:fill="FFFFFF"/>
            <w:noWrap/>
            <w:hideMark/>
          </w:tcPr>
          <w:p w14:paraId="027578AB" w14:textId="133DFEC7" w:rsidR="00975A9E" w:rsidRPr="00975A9E" w:rsidRDefault="00975A9E" w:rsidP="00975A9E">
            <w:pPr>
              <w:jc w:val="right"/>
              <w:outlineLvl w:val="0"/>
              <w:rPr>
                <w:noProof/>
                <w:sz w:val="20"/>
                <w:szCs w:val="20"/>
              </w:rPr>
            </w:pPr>
            <w:bookmarkStart w:id="1406" w:name="_Toc223981005"/>
            <w:r w:rsidRPr="00975A9E">
              <w:rPr>
                <w:noProof/>
                <w:sz w:val="20"/>
                <w:szCs w:val="20"/>
              </w:rPr>
              <w:t>244.7</w:t>
            </w:r>
            <w:bookmarkEnd w:id="1406"/>
          </w:p>
        </w:tc>
        <w:tc>
          <w:tcPr>
            <w:tcW w:w="794" w:type="pct"/>
            <w:tcBorders>
              <w:top w:val="nil"/>
              <w:left w:val="nil"/>
              <w:bottom w:val="single" w:sz="4" w:space="0" w:color="auto"/>
              <w:right w:val="single" w:sz="4" w:space="0" w:color="auto"/>
            </w:tcBorders>
            <w:shd w:val="clear" w:color="000000" w:fill="FFFFFF"/>
            <w:noWrap/>
            <w:hideMark/>
          </w:tcPr>
          <w:p w14:paraId="6FA2DFAE" w14:textId="4C63C699" w:rsidR="00975A9E" w:rsidRPr="00975A9E" w:rsidRDefault="00975A9E" w:rsidP="00975A9E">
            <w:pPr>
              <w:jc w:val="right"/>
              <w:outlineLvl w:val="0"/>
              <w:rPr>
                <w:noProof/>
                <w:sz w:val="20"/>
                <w:szCs w:val="20"/>
              </w:rPr>
            </w:pPr>
            <w:bookmarkStart w:id="1407" w:name="_Toc223981006"/>
            <w:r w:rsidRPr="00975A9E">
              <w:rPr>
                <w:noProof/>
                <w:sz w:val="20"/>
                <w:szCs w:val="20"/>
              </w:rPr>
              <w:t>366.7</w:t>
            </w:r>
            <w:bookmarkEnd w:id="1407"/>
          </w:p>
        </w:tc>
        <w:tc>
          <w:tcPr>
            <w:tcW w:w="794" w:type="pct"/>
            <w:tcBorders>
              <w:top w:val="nil"/>
              <w:left w:val="nil"/>
              <w:bottom w:val="single" w:sz="4" w:space="0" w:color="auto"/>
              <w:right w:val="single" w:sz="4" w:space="0" w:color="auto"/>
            </w:tcBorders>
            <w:shd w:val="clear" w:color="000000" w:fill="FFFFFF"/>
            <w:noWrap/>
            <w:hideMark/>
          </w:tcPr>
          <w:p w14:paraId="566C12D1" w14:textId="2AC6BF2A" w:rsidR="00975A9E" w:rsidRPr="00975A9E" w:rsidRDefault="00975A9E" w:rsidP="00975A9E">
            <w:pPr>
              <w:jc w:val="right"/>
              <w:outlineLvl w:val="0"/>
              <w:rPr>
                <w:noProof/>
                <w:sz w:val="20"/>
                <w:szCs w:val="20"/>
              </w:rPr>
            </w:pPr>
            <w:bookmarkStart w:id="1408" w:name="_Toc223981007"/>
            <w:r w:rsidRPr="00975A9E">
              <w:rPr>
                <w:noProof/>
                <w:sz w:val="20"/>
                <w:szCs w:val="20"/>
              </w:rPr>
              <w:t>275.1</w:t>
            </w:r>
            <w:bookmarkEnd w:id="1408"/>
          </w:p>
        </w:tc>
      </w:tr>
      <w:tr w:rsidR="00975A9E" w:rsidRPr="00C14AF8" w14:paraId="01AABD37"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1E9305A6" w14:textId="77777777" w:rsidR="00975A9E" w:rsidRPr="00C14AF8" w:rsidRDefault="00975A9E" w:rsidP="00975A9E">
            <w:pPr>
              <w:outlineLvl w:val="0"/>
              <w:rPr>
                <w:noProof/>
                <w:sz w:val="20"/>
                <w:szCs w:val="20"/>
              </w:rPr>
            </w:pPr>
            <w:r w:rsidRPr="00C14AF8">
              <w:rPr>
                <w:noProof/>
                <w:sz w:val="20"/>
                <w:szCs w:val="20"/>
              </w:rPr>
              <w:t xml:space="preserve"> </w:t>
            </w:r>
            <w:bookmarkStart w:id="1409" w:name="_Toc223981008"/>
            <w:r w:rsidRPr="00C14AF8">
              <w:rPr>
                <w:noProof/>
                <w:sz w:val="20"/>
                <w:szCs w:val="20"/>
              </w:rPr>
              <w:t>Denmark</w:t>
            </w:r>
            <w:bookmarkEnd w:id="140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094C6E60" w14:textId="25A07119" w:rsidR="00975A9E" w:rsidRPr="00975A9E" w:rsidRDefault="00975A9E" w:rsidP="00975A9E">
            <w:pPr>
              <w:jc w:val="right"/>
              <w:outlineLvl w:val="0"/>
              <w:rPr>
                <w:noProof/>
                <w:sz w:val="20"/>
                <w:szCs w:val="20"/>
              </w:rPr>
            </w:pPr>
            <w:bookmarkStart w:id="1410" w:name="_Toc223981009"/>
            <w:r w:rsidRPr="00975A9E">
              <w:rPr>
                <w:noProof/>
                <w:sz w:val="20"/>
                <w:szCs w:val="20"/>
              </w:rPr>
              <w:t>1,058.3</w:t>
            </w:r>
            <w:bookmarkEnd w:id="1410"/>
          </w:p>
        </w:tc>
        <w:tc>
          <w:tcPr>
            <w:tcW w:w="794" w:type="pct"/>
            <w:tcBorders>
              <w:top w:val="nil"/>
              <w:left w:val="nil"/>
              <w:bottom w:val="single" w:sz="4" w:space="0" w:color="auto"/>
              <w:right w:val="single" w:sz="4" w:space="0" w:color="auto"/>
            </w:tcBorders>
            <w:shd w:val="clear" w:color="000000" w:fill="FFFFFF"/>
            <w:noWrap/>
            <w:hideMark/>
          </w:tcPr>
          <w:p w14:paraId="54330DC6" w14:textId="171F8076" w:rsidR="00975A9E" w:rsidRPr="00975A9E" w:rsidRDefault="00975A9E" w:rsidP="00975A9E">
            <w:pPr>
              <w:jc w:val="right"/>
              <w:outlineLvl w:val="0"/>
              <w:rPr>
                <w:noProof/>
                <w:sz w:val="20"/>
                <w:szCs w:val="20"/>
              </w:rPr>
            </w:pPr>
            <w:bookmarkStart w:id="1411" w:name="_Toc223981010"/>
            <w:r w:rsidRPr="00975A9E">
              <w:rPr>
                <w:noProof/>
                <w:sz w:val="20"/>
                <w:szCs w:val="20"/>
              </w:rPr>
              <w:t>163.2</w:t>
            </w:r>
            <w:bookmarkEnd w:id="1411"/>
          </w:p>
        </w:tc>
        <w:tc>
          <w:tcPr>
            <w:tcW w:w="794" w:type="pct"/>
            <w:tcBorders>
              <w:top w:val="nil"/>
              <w:left w:val="nil"/>
              <w:bottom w:val="single" w:sz="4" w:space="0" w:color="auto"/>
              <w:right w:val="single" w:sz="4" w:space="0" w:color="auto"/>
            </w:tcBorders>
            <w:shd w:val="clear" w:color="000000" w:fill="FFFFFF"/>
            <w:noWrap/>
            <w:hideMark/>
          </w:tcPr>
          <w:p w14:paraId="45A447E9" w14:textId="2E8FE112" w:rsidR="00975A9E" w:rsidRPr="00975A9E" w:rsidRDefault="00975A9E" w:rsidP="00975A9E">
            <w:pPr>
              <w:jc w:val="right"/>
              <w:outlineLvl w:val="0"/>
              <w:rPr>
                <w:noProof/>
                <w:sz w:val="20"/>
                <w:szCs w:val="20"/>
              </w:rPr>
            </w:pPr>
            <w:bookmarkStart w:id="1412" w:name="_Toc223981011"/>
            <w:r w:rsidRPr="00975A9E">
              <w:rPr>
                <w:noProof/>
                <w:sz w:val="20"/>
                <w:szCs w:val="20"/>
              </w:rPr>
              <w:t>244.5</w:t>
            </w:r>
            <w:bookmarkEnd w:id="1412"/>
          </w:p>
        </w:tc>
        <w:tc>
          <w:tcPr>
            <w:tcW w:w="794" w:type="pct"/>
            <w:tcBorders>
              <w:top w:val="nil"/>
              <w:left w:val="nil"/>
              <w:bottom w:val="single" w:sz="4" w:space="0" w:color="auto"/>
              <w:right w:val="single" w:sz="4" w:space="0" w:color="auto"/>
            </w:tcBorders>
            <w:shd w:val="clear" w:color="000000" w:fill="FFFFFF"/>
            <w:noWrap/>
            <w:hideMark/>
          </w:tcPr>
          <w:p w14:paraId="4A678D76" w14:textId="60BA3DD6" w:rsidR="00975A9E" w:rsidRPr="00975A9E" w:rsidRDefault="00975A9E" w:rsidP="00975A9E">
            <w:pPr>
              <w:jc w:val="right"/>
              <w:outlineLvl w:val="0"/>
              <w:rPr>
                <w:noProof/>
                <w:sz w:val="20"/>
                <w:szCs w:val="20"/>
              </w:rPr>
            </w:pPr>
            <w:bookmarkStart w:id="1413" w:name="_Toc223981012"/>
            <w:r w:rsidRPr="00975A9E">
              <w:rPr>
                <w:noProof/>
                <w:sz w:val="20"/>
                <w:szCs w:val="20"/>
              </w:rPr>
              <w:t>183.4</w:t>
            </w:r>
            <w:bookmarkEnd w:id="1413"/>
          </w:p>
        </w:tc>
      </w:tr>
      <w:tr w:rsidR="00975A9E" w:rsidRPr="00C14AF8" w14:paraId="7BD991CA"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0E299630" w14:textId="77777777" w:rsidR="00975A9E" w:rsidRPr="00C14AF8" w:rsidRDefault="00975A9E" w:rsidP="00975A9E">
            <w:pPr>
              <w:outlineLvl w:val="0"/>
              <w:rPr>
                <w:noProof/>
                <w:sz w:val="20"/>
                <w:szCs w:val="20"/>
              </w:rPr>
            </w:pPr>
            <w:r w:rsidRPr="00C14AF8">
              <w:rPr>
                <w:noProof/>
                <w:sz w:val="20"/>
                <w:szCs w:val="20"/>
              </w:rPr>
              <w:t xml:space="preserve"> </w:t>
            </w:r>
            <w:bookmarkStart w:id="1414" w:name="_Toc223981013"/>
            <w:r w:rsidRPr="00C14AF8">
              <w:rPr>
                <w:noProof/>
                <w:sz w:val="20"/>
                <w:szCs w:val="20"/>
              </w:rPr>
              <w:t>Luxembourg</w:t>
            </w:r>
            <w:bookmarkEnd w:id="141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6C73738C" w14:textId="63E333D3" w:rsidR="00975A9E" w:rsidRPr="00975A9E" w:rsidRDefault="00975A9E" w:rsidP="00975A9E">
            <w:pPr>
              <w:jc w:val="right"/>
              <w:outlineLvl w:val="0"/>
              <w:rPr>
                <w:noProof/>
                <w:sz w:val="20"/>
                <w:szCs w:val="20"/>
              </w:rPr>
            </w:pPr>
            <w:bookmarkStart w:id="1415" w:name="_Toc223981014"/>
            <w:r w:rsidRPr="00975A9E">
              <w:rPr>
                <w:noProof/>
                <w:sz w:val="20"/>
                <w:szCs w:val="20"/>
              </w:rPr>
              <w:t>705.5</w:t>
            </w:r>
            <w:bookmarkEnd w:id="1415"/>
          </w:p>
        </w:tc>
        <w:tc>
          <w:tcPr>
            <w:tcW w:w="794" w:type="pct"/>
            <w:tcBorders>
              <w:top w:val="nil"/>
              <w:left w:val="nil"/>
              <w:bottom w:val="single" w:sz="4" w:space="0" w:color="auto"/>
              <w:right w:val="single" w:sz="4" w:space="0" w:color="auto"/>
            </w:tcBorders>
            <w:shd w:val="clear" w:color="000000" w:fill="FFFFFF"/>
            <w:noWrap/>
            <w:hideMark/>
          </w:tcPr>
          <w:p w14:paraId="2424B6F9" w14:textId="1E4813E0" w:rsidR="00975A9E" w:rsidRPr="00975A9E" w:rsidRDefault="00975A9E" w:rsidP="00975A9E">
            <w:pPr>
              <w:jc w:val="right"/>
              <w:outlineLvl w:val="0"/>
              <w:rPr>
                <w:noProof/>
                <w:sz w:val="20"/>
                <w:szCs w:val="20"/>
              </w:rPr>
            </w:pPr>
            <w:bookmarkStart w:id="1416" w:name="_Toc223981015"/>
            <w:r w:rsidRPr="00975A9E">
              <w:rPr>
                <w:noProof/>
                <w:sz w:val="20"/>
                <w:szCs w:val="20"/>
              </w:rPr>
              <w:t>108.8</w:t>
            </w:r>
            <w:bookmarkEnd w:id="1416"/>
          </w:p>
        </w:tc>
        <w:tc>
          <w:tcPr>
            <w:tcW w:w="794" w:type="pct"/>
            <w:tcBorders>
              <w:top w:val="nil"/>
              <w:left w:val="nil"/>
              <w:bottom w:val="single" w:sz="4" w:space="0" w:color="auto"/>
              <w:right w:val="single" w:sz="4" w:space="0" w:color="auto"/>
            </w:tcBorders>
            <w:shd w:val="clear" w:color="000000" w:fill="FFFFFF"/>
            <w:noWrap/>
            <w:hideMark/>
          </w:tcPr>
          <w:p w14:paraId="2F8C44B3" w14:textId="4E2F3345" w:rsidR="00975A9E" w:rsidRPr="00975A9E" w:rsidRDefault="00975A9E" w:rsidP="00975A9E">
            <w:pPr>
              <w:jc w:val="right"/>
              <w:outlineLvl w:val="0"/>
              <w:rPr>
                <w:noProof/>
                <w:sz w:val="20"/>
                <w:szCs w:val="20"/>
              </w:rPr>
            </w:pPr>
            <w:bookmarkStart w:id="1417" w:name="_Toc223981016"/>
            <w:r w:rsidRPr="00975A9E">
              <w:rPr>
                <w:noProof/>
                <w:sz w:val="20"/>
                <w:szCs w:val="20"/>
              </w:rPr>
              <w:t>163.0</w:t>
            </w:r>
            <w:bookmarkEnd w:id="1417"/>
          </w:p>
        </w:tc>
        <w:tc>
          <w:tcPr>
            <w:tcW w:w="794" w:type="pct"/>
            <w:tcBorders>
              <w:top w:val="nil"/>
              <w:left w:val="nil"/>
              <w:bottom w:val="single" w:sz="4" w:space="0" w:color="auto"/>
              <w:right w:val="single" w:sz="4" w:space="0" w:color="auto"/>
            </w:tcBorders>
            <w:shd w:val="clear" w:color="000000" w:fill="FFFFFF"/>
            <w:noWrap/>
            <w:hideMark/>
          </w:tcPr>
          <w:p w14:paraId="3334637D" w14:textId="03CEAF11" w:rsidR="00975A9E" w:rsidRPr="00975A9E" w:rsidRDefault="00975A9E" w:rsidP="00975A9E">
            <w:pPr>
              <w:jc w:val="right"/>
              <w:outlineLvl w:val="0"/>
              <w:rPr>
                <w:noProof/>
                <w:sz w:val="20"/>
                <w:szCs w:val="20"/>
              </w:rPr>
            </w:pPr>
            <w:bookmarkStart w:id="1418" w:name="_Toc223981017"/>
            <w:r w:rsidRPr="00975A9E">
              <w:rPr>
                <w:noProof/>
                <w:sz w:val="20"/>
                <w:szCs w:val="20"/>
              </w:rPr>
              <w:t>122.3</w:t>
            </w:r>
            <w:bookmarkEnd w:id="1418"/>
          </w:p>
        </w:tc>
      </w:tr>
      <w:tr w:rsidR="00975A9E" w:rsidRPr="00C14AF8" w14:paraId="53D219B5"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4BAFB5A" w14:textId="77777777" w:rsidR="00975A9E" w:rsidRPr="00C14AF8" w:rsidRDefault="00975A9E" w:rsidP="00975A9E">
            <w:pPr>
              <w:outlineLvl w:val="0"/>
              <w:rPr>
                <w:noProof/>
                <w:sz w:val="20"/>
                <w:szCs w:val="20"/>
              </w:rPr>
            </w:pPr>
            <w:r w:rsidRPr="00C14AF8">
              <w:rPr>
                <w:noProof/>
                <w:sz w:val="20"/>
                <w:szCs w:val="20"/>
              </w:rPr>
              <w:t xml:space="preserve"> </w:t>
            </w:r>
            <w:bookmarkStart w:id="1419" w:name="_Toc223981018"/>
            <w:r w:rsidRPr="00C14AF8">
              <w:rPr>
                <w:noProof/>
                <w:sz w:val="20"/>
                <w:szCs w:val="20"/>
              </w:rPr>
              <w:t>Finland</w:t>
            </w:r>
            <w:bookmarkEnd w:id="141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74498708" w14:textId="2B1EE037" w:rsidR="00975A9E" w:rsidRPr="00975A9E" w:rsidRDefault="00975A9E" w:rsidP="00975A9E">
            <w:pPr>
              <w:jc w:val="right"/>
              <w:outlineLvl w:val="0"/>
              <w:rPr>
                <w:noProof/>
                <w:sz w:val="20"/>
                <w:szCs w:val="20"/>
              </w:rPr>
            </w:pPr>
            <w:bookmarkStart w:id="1420" w:name="_Toc223981019"/>
            <w:r w:rsidRPr="00975A9E">
              <w:rPr>
                <w:noProof/>
                <w:sz w:val="20"/>
                <w:szCs w:val="20"/>
              </w:rPr>
              <w:t>881.9</w:t>
            </w:r>
            <w:bookmarkEnd w:id="1420"/>
          </w:p>
        </w:tc>
        <w:tc>
          <w:tcPr>
            <w:tcW w:w="794" w:type="pct"/>
            <w:tcBorders>
              <w:top w:val="nil"/>
              <w:left w:val="nil"/>
              <w:bottom w:val="single" w:sz="4" w:space="0" w:color="auto"/>
              <w:right w:val="single" w:sz="4" w:space="0" w:color="auto"/>
            </w:tcBorders>
            <w:shd w:val="clear" w:color="000000" w:fill="FFFFFF"/>
            <w:noWrap/>
            <w:hideMark/>
          </w:tcPr>
          <w:p w14:paraId="43CE27DB" w14:textId="5A8C6AEE" w:rsidR="00975A9E" w:rsidRPr="00975A9E" w:rsidRDefault="00975A9E" w:rsidP="00975A9E">
            <w:pPr>
              <w:jc w:val="right"/>
              <w:outlineLvl w:val="0"/>
              <w:rPr>
                <w:noProof/>
                <w:sz w:val="20"/>
                <w:szCs w:val="20"/>
              </w:rPr>
            </w:pPr>
            <w:bookmarkStart w:id="1421" w:name="_Toc223981020"/>
            <w:r w:rsidRPr="00975A9E">
              <w:rPr>
                <w:noProof/>
                <w:sz w:val="20"/>
                <w:szCs w:val="20"/>
              </w:rPr>
              <w:t>136.0</w:t>
            </w:r>
            <w:bookmarkEnd w:id="1421"/>
          </w:p>
        </w:tc>
        <w:tc>
          <w:tcPr>
            <w:tcW w:w="794" w:type="pct"/>
            <w:tcBorders>
              <w:top w:val="nil"/>
              <w:left w:val="nil"/>
              <w:bottom w:val="single" w:sz="4" w:space="0" w:color="auto"/>
              <w:right w:val="single" w:sz="4" w:space="0" w:color="auto"/>
            </w:tcBorders>
            <w:shd w:val="clear" w:color="000000" w:fill="FFFFFF"/>
            <w:noWrap/>
            <w:hideMark/>
          </w:tcPr>
          <w:p w14:paraId="56DBD067" w14:textId="57EF1B34" w:rsidR="00975A9E" w:rsidRPr="00975A9E" w:rsidRDefault="00975A9E" w:rsidP="00975A9E">
            <w:pPr>
              <w:jc w:val="right"/>
              <w:outlineLvl w:val="0"/>
              <w:rPr>
                <w:noProof/>
                <w:sz w:val="20"/>
                <w:szCs w:val="20"/>
              </w:rPr>
            </w:pPr>
            <w:bookmarkStart w:id="1422" w:name="_Toc223981021"/>
            <w:r w:rsidRPr="00975A9E">
              <w:rPr>
                <w:noProof/>
                <w:sz w:val="20"/>
                <w:szCs w:val="20"/>
              </w:rPr>
              <w:t>203.7</w:t>
            </w:r>
            <w:bookmarkEnd w:id="1422"/>
          </w:p>
        </w:tc>
        <w:tc>
          <w:tcPr>
            <w:tcW w:w="794" w:type="pct"/>
            <w:tcBorders>
              <w:top w:val="nil"/>
              <w:left w:val="nil"/>
              <w:bottom w:val="single" w:sz="4" w:space="0" w:color="auto"/>
              <w:right w:val="single" w:sz="4" w:space="0" w:color="auto"/>
            </w:tcBorders>
            <w:shd w:val="clear" w:color="000000" w:fill="FFFFFF"/>
            <w:noWrap/>
            <w:hideMark/>
          </w:tcPr>
          <w:p w14:paraId="49D6E313" w14:textId="0AF38591" w:rsidR="00975A9E" w:rsidRPr="00975A9E" w:rsidRDefault="00975A9E" w:rsidP="00975A9E">
            <w:pPr>
              <w:jc w:val="right"/>
              <w:outlineLvl w:val="0"/>
              <w:rPr>
                <w:noProof/>
                <w:sz w:val="20"/>
                <w:szCs w:val="20"/>
              </w:rPr>
            </w:pPr>
            <w:bookmarkStart w:id="1423" w:name="_Toc223981022"/>
            <w:r w:rsidRPr="00975A9E">
              <w:rPr>
                <w:noProof/>
                <w:sz w:val="20"/>
                <w:szCs w:val="20"/>
              </w:rPr>
              <w:t>152.8</w:t>
            </w:r>
            <w:bookmarkEnd w:id="1423"/>
          </w:p>
        </w:tc>
      </w:tr>
      <w:tr w:rsidR="00975A9E" w:rsidRPr="00C14AF8" w14:paraId="2E2DAEAE"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E310B5F" w14:textId="77777777" w:rsidR="00975A9E" w:rsidRPr="00C14AF8" w:rsidRDefault="00975A9E" w:rsidP="00975A9E">
            <w:pPr>
              <w:outlineLvl w:val="0"/>
              <w:rPr>
                <w:noProof/>
                <w:sz w:val="20"/>
                <w:szCs w:val="20"/>
              </w:rPr>
            </w:pPr>
            <w:r w:rsidRPr="00C14AF8">
              <w:rPr>
                <w:noProof/>
                <w:sz w:val="20"/>
                <w:szCs w:val="20"/>
              </w:rPr>
              <w:t xml:space="preserve"> </w:t>
            </w:r>
            <w:bookmarkStart w:id="1424" w:name="_Toc223981023"/>
            <w:r w:rsidRPr="00C14AF8">
              <w:rPr>
                <w:noProof/>
                <w:sz w:val="20"/>
                <w:szCs w:val="20"/>
              </w:rPr>
              <w:t>Spain</w:t>
            </w:r>
            <w:bookmarkEnd w:id="142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7A8E1473" w14:textId="3B57BFD4" w:rsidR="00975A9E" w:rsidRPr="00975A9E" w:rsidRDefault="00975A9E" w:rsidP="00975A9E">
            <w:pPr>
              <w:jc w:val="right"/>
              <w:outlineLvl w:val="0"/>
              <w:rPr>
                <w:noProof/>
                <w:sz w:val="20"/>
                <w:szCs w:val="20"/>
              </w:rPr>
            </w:pPr>
            <w:bookmarkStart w:id="1425" w:name="_Toc223981024"/>
            <w:r w:rsidRPr="00975A9E">
              <w:rPr>
                <w:noProof/>
                <w:sz w:val="20"/>
                <w:szCs w:val="20"/>
              </w:rPr>
              <w:t>705.5</w:t>
            </w:r>
            <w:bookmarkEnd w:id="1425"/>
          </w:p>
        </w:tc>
        <w:tc>
          <w:tcPr>
            <w:tcW w:w="794" w:type="pct"/>
            <w:tcBorders>
              <w:top w:val="nil"/>
              <w:left w:val="nil"/>
              <w:bottom w:val="single" w:sz="4" w:space="0" w:color="auto"/>
              <w:right w:val="single" w:sz="4" w:space="0" w:color="auto"/>
            </w:tcBorders>
            <w:shd w:val="clear" w:color="000000" w:fill="FFFFFF"/>
            <w:noWrap/>
            <w:hideMark/>
          </w:tcPr>
          <w:p w14:paraId="37B370EB" w14:textId="3066EBAD" w:rsidR="00975A9E" w:rsidRPr="00975A9E" w:rsidRDefault="00975A9E" w:rsidP="00975A9E">
            <w:pPr>
              <w:jc w:val="right"/>
              <w:outlineLvl w:val="0"/>
              <w:rPr>
                <w:noProof/>
                <w:sz w:val="20"/>
                <w:szCs w:val="20"/>
              </w:rPr>
            </w:pPr>
            <w:bookmarkStart w:id="1426" w:name="_Toc223981025"/>
            <w:r w:rsidRPr="00975A9E">
              <w:rPr>
                <w:noProof/>
                <w:sz w:val="20"/>
                <w:szCs w:val="20"/>
              </w:rPr>
              <w:t>108.8</w:t>
            </w:r>
            <w:bookmarkEnd w:id="1426"/>
          </w:p>
        </w:tc>
        <w:tc>
          <w:tcPr>
            <w:tcW w:w="794" w:type="pct"/>
            <w:tcBorders>
              <w:top w:val="nil"/>
              <w:left w:val="nil"/>
              <w:bottom w:val="single" w:sz="4" w:space="0" w:color="auto"/>
              <w:right w:val="single" w:sz="4" w:space="0" w:color="auto"/>
            </w:tcBorders>
            <w:shd w:val="clear" w:color="000000" w:fill="FFFFFF"/>
            <w:noWrap/>
            <w:hideMark/>
          </w:tcPr>
          <w:p w14:paraId="79FFCBFF" w14:textId="776C2682" w:rsidR="00975A9E" w:rsidRPr="00975A9E" w:rsidRDefault="00975A9E" w:rsidP="00975A9E">
            <w:pPr>
              <w:jc w:val="right"/>
              <w:outlineLvl w:val="0"/>
              <w:rPr>
                <w:noProof/>
                <w:sz w:val="20"/>
                <w:szCs w:val="20"/>
              </w:rPr>
            </w:pPr>
            <w:bookmarkStart w:id="1427" w:name="_Toc223981026"/>
            <w:r w:rsidRPr="00975A9E">
              <w:rPr>
                <w:noProof/>
                <w:sz w:val="20"/>
                <w:szCs w:val="20"/>
              </w:rPr>
              <w:t>163.0</w:t>
            </w:r>
            <w:bookmarkEnd w:id="1427"/>
          </w:p>
        </w:tc>
        <w:tc>
          <w:tcPr>
            <w:tcW w:w="794" w:type="pct"/>
            <w:tcBorders>
              <w:top w:val="nil"/>
              <w:left w:val="nil"/>
              <w:bottom w:val="single" w:sz="4" w:space="0" w:color="auto"/>
              <w:right w:val="single" w:sz="4" w:space="0" w:color="auto"/>
            </w:tcBorders>
            <w:shd w:val="clear" w:color="000000" w:fill="FFFFFF"/>
            <w:noWrap/>
            <w:hideMark/>
          </w:tcPr>
          <w:p w14:paraId="6541F3AA" w14:textId="0B0E4131" w:rsidR="00975A9E" w:rsidRPr="00975A9E" w:rsidRDefault="00975A9E" w:rsidP="00975A9E">
            <w:pPr>
              <w:jc w:val="right"/>
              <w:outlineLvl w:val="0"/>
              <w:rPr>
                <w:noProof/>
                <w:sz w:val="20"/>
                <w:szCs w:val="20"/>
              </w:rPr>
            </w:pPr>
            <w:bookmarkStart w:id="1428" w:name="_Toc223981027"/>
            <w:r w:rsidRPr="00975A9E">
              <w:rPr>
                <w:noProof/>
                <w:sz w:val="20"/>
                <w:szCs w:val="20"/>
              </w:rPr>
              <w:t>122.3</w:t>
            </w:r>
            <w:bookmarkEnd w:id="1428"/>
          </w:p>
        </w:tc>
      </w:tr>
      <w:tr w:rsidR="00975A9E" w:rsidRPr="00C14AF8" w14:paraId="53199A95"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29930E99" w14:textId="77777777" w:rsidR="00975A9E" w:rsidRPr="00C14AF8" w:rsidRDefault="00975A9E" w:rsidP="00975A9E">
            <w:pPr>
              <w:outlineLvl w:val="0"/>
              <w:rPr>
                <w:noProof/>
                <w:sz w:val="20"/>
                <w:szCs w:val="20"/>
              </w:rPr>
            </w:pPr>
            <w:r w:rsidRPr="00C14AF8">
              <w:rPr>
                <w:noProof/>
                <w:sz w:val="20"/>
                <w:szCs w:val="20"/>
              </w:rPr>
              <w:t xml:space="preserve"> </w:t>
            </w:r>
            <w:bookmarkStart w:id="1429" w:name="_Toc223981028"/>
            <w:r w:rsidRPr="00C14AF8">
              <w:rPr>
                <w:noProof/>
                <w:sz w:val="20"/>
                <w:szCs w:val="20"/>
              </w:rPr>
              <w:t>Netherlands</w:t>
            </w:r>
            <w:bookmarkEnd w:id="142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09A3BEB4" w14:textId="3CE7A0EF" w:rsidR="00975A9E" w:rsidRPr="00975A9E" w:rsidRDefault="00975A9E" w:rsidP="00975A9E">
            <w:pPr>
              <w:jc w:val="right"/>
              <w:outlineLvl w:val="0"/>
              <w:rPr>
                <w:noProof/>
                <w:sz w:val="20"/>
                <w:szCs w:val="20"/>
              </w:rPr>
            </w:pPr>
            <w:bookmarkStart w:id="1430" w:name="_Toc223981029"/>
            <w:r w:rsidRPr="00975A9E">
              <w:rPr>
                <w:noProof/>
                <w:sz w:val="20"/>
                <w:szCs w:val="20"/>
              </w:rPr>
              <w:t>1,763.8</w:t>
            </w:r>
            <w:bookmarkEnd w:id="1430"/>
          </w:p>
        </w:tc>
        <w:tc>
          <w:tcPr>
            <w:tcW w:w="794" w:type="pct"/>
            <w:tcBorders>
              <w:top w:val="nil"/>
              <w:left w:val="nil"/>
              <w:bottom w:val="single" w:sz="4" w:space="0" w:color="auto"/>
              <w:right w:val="single" w:sz="4" w:space="0" w:color="auto"/>
            </w:tcBorders>
            <w:shd w:val="clear" w:color="000000" w:fill="FFFFFF"/>
            <w:noWrap/>
            <w:hideMark/>
          </w:tcPr>
          <w:p w14:paraId="69D7BEED" w14:textId="1D15CA24" w:rsidR="00975A9E" w:rsidRPr="00975A9E" w:rsidRDefault="00975A9E" w:rsidP="00975A9E">
            <w:pPr>
              <w:jc w:val="right"/>
              <w:outlineLvl w:val="0"/>
              <w:rPr>
                <w:noProof/>
                <w:sz w:val="20"/>
                <w:szCs w:val="20"/>
              </w:rPr>
            </w:pPr>
            <w:bookmarkStart w:id="1431" w:name="_Toc223981030"/>
            <w:r w:rsidRPr="00975A9E">
              <w:rPr>
                <w:noProof/>
                <w:sz w:val="20"/>
                <w:szCs w:val="20"/>
              </w:rPr>
              <w:t>271.9</w:t>
            </w:r>
            <w:bookmarkEnd w:id="1431"/>
          </w:p>
        </w:tc>
        <w:tc>
          <w:tcPr>
            <w:tcW w:w="794" w:type="pct"/>
            <w:tcBorders>
              <w:top w:val="nil"/>
              <w:left w:val="nil"/>
              <w:bottom w:val="single" w:sz="4" w:space="0" w:color="auto"/>
              <w:right w:val="single" w:sz="4" w:space="0" w:color="auto"/>
            </w:tcBorders>
            <w:shd w:val="clear" w:color="000000" w:fill="FFFFFF"/>
            <w:noWrap/>
            <w:hideMark/>
          </w:tcPr>
          <w:p w14:paraId="14C48B80" w14:textId="67F88E55" w:rsidR="00975A9E" w:rsidRPr="00975A9E" w:rsidRDefault="00975A9E" w:rsidP="00975A9E">
            <w:pPr>
              <w:jc w:val="right"/>
              <w:outlineLvl w:val="0"/>
              <w:rPr>
                <w:noProof/>
                <w:sz w:val="20"/>
                <w:szCs w:val="20"/>
              </w:rPr>
            </w:pPr>
            <w:bookmarkStart w:id="1432" w:name="_Toc223981031"/>
            <w:r w:rsidRPr="00975A9E">
              <w:rPr>
                <w:noProof/>
                <w:sz w:val="20"/>
                <w:szCs w:val="20"/>
              </w:rPr>
              <w:t>407.4</w:t>
            </w:r>
            <w:bookmarkEnd w:id="1432"/>
          </w:p>
        </w:tc>
        <w:tc>
          <w:tcPr>
            <w:tcW w:w="794" w:type="pct"/>
            <w:tcBorders>
              <w:top w:val="nil"/>
              <w:left w:val="nil"/>
              <w:bottom w:val="single" w:sz="4" w:space="0" w:color="auto"/>
              <w:right w:val="single" w:sz="4" w:space="0" w:color="auto"/>
            </w:tcBorders>
            <w:shd w:val="clear" w:color="000000" w:fill="FFFFFF"/>
            <w:noWrap/>
            <w:hideMark/>
          </w:tcPr>
          <w:p w14:paraId="53287B93" w14:textId="4579491E" w:rsidR="00975A9E" w:rsidRPr="00975A9E" w:rsidRDefault="00975A9E" w:rsidP="00975A9E">
            <w:pPr>
              <w:jc w:val="right"/>
              <w:outlineLvl w:val="0"/>
              <w:rPr>
                <w:noProof/>
                <w:sz w:val="20"/>
                <w:szCs w:val="20"/>
              </w:rPr>
            </w:pPr>
            <w:bookmarkStart w:id="1433" w:name="_Toc223981032"/>
            <w:r w:rsidRPr="00975A9E">
              <w:rPr>
                <w:noProof/>
                <w:sz w:val="20"/>
                <w:szCs w:val="20"/>
              </w:rPr>
              <w:t>305.6</w:t>
            </w:r>
            <w:bookmarkEnd w:id="1433"/>
          </w:p>
        </w:tc>
      </w:tr>
      <w:tr w:rsidR="00975A9E" w:rsidRPr="00C14AF8" w14:paraId="3FEA1F14"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184C1A5A" w14:textId="77777777" w:rsidR="00975A9E" w:rsidRPr="00C14AF8" w:rsidRDefault="00975A9E" w:rsidP="00975A9E">
            <w:pPr>
              <w:outlineLvl w:val="0"/>
              <w:rPr>
                <w:noProof/>
                <w:sz w:val="20"/>
                <w:szCs w:val="20"/>
              </w:rPr>
            </w:pPr>
            <w:r w:rsidRPr="00C14AF8">
              <w:rPr>
                <w:noProof/>
                <w:sz w:val="20"/>
                <w:szCs w:val="20"/>
              </w:rPr>
              <w:t xml:space="preserve"> </w:t>
            </w:r>
            <w:bookmarkStart w:id="1434" w:name="_Toc223981033"/>
            <w:r w:rsidRPr="00C14AF8">
              <w:rPr>
                <w:noProof/>
                <w:sz w:val="20"/>
                <w:szCs w:val="20"/>
              </w:rPr>
              <w:t>France</w:t>
            </w:r>
            <w:bookmarkEnd w:id="143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3A9BA877" w14:textId="58F6CF80" w:rsidR="00975A9E" w:rsidRPr="00975A9E" w:rsidRDefault="00975A9E" w:rsidP="00975A9E">
            <w:pPr>
              <w:jc w:val="right"/>
              <w:outlineLvl w:val="0"/>
              <w:rPr>
                <w:noProof/>
                <w:sz w:val="20"/>
                <w:szCs w:val="20"/>
              </w:rPr>
            </w:pPr>
            <w:bookmarkStart w:id="1435" w:name="_Toc223981034"/>
            <w:r w:rsidRPr="00975A9E">
              <w:rPr>
                <w:noProof/>
                <w:sz w:val="20"/>
                <w:szCs w:val="20"/>
              </w:rPr>
              <w:t>2,292.9</w:t>
            </w:r>
            <w:bookmarkEnd w:id="1435"/>
          </w:p>
        </w:tc>
        <w:tc>
          <w:tcPr>
            <w:tcW w:w="794" w:type="pct"/>
            <w:tcBorders>
              <w:top w:val="nil"/>
              <w:left w:val="nil"/>
              <w:bottom w:val="single" w:sz="4" w:space="0" w:color="auto"/>
              <w:right w:val="single" w:sz="4" w:space="0" w:color="auto"/>
            </w:tcBorders>
            <w:shd w:val="clear" w:color="000000" w:fill="FFFFFF"/>
            <w:noWrap/>
            <w:hideMark/>
          </w:tcPr>
          <w:p w14:paraId="009AB8CC" w14:textId="0F8345E8" w:rsidR="00975A9E" w:rsidRPr="00975A9E" w:rsidRDefault="00975A9E" w:rsidP="00975A9E">
            <w:pPr>
              <w:jc w:val="right"/>
              <w:outlineLvl w:val="0"/>
              <w:rPr>
                <w:noProof/>
                <w:sz w:val="20"/>
                <w:szCs w:val="20"/>
              </w:rPr>
            </w:pPr>
            <w:bookmarkStart w:id="1436" w:name="_Toc223981035"/>
            <w:r w:rsidRPr="00975A9E">
              <w:rPr>
                <w:noProof/>
                <w:sz w:val="20"/>
                <w:szCs w:val="20"/>
              </w:rPr>
              <w:t>353.5</w:t>
            </w:r>
            <w:bookmarkEnd w:id="1436"/>
          </w:p>
        </w:tc>
        <w:tc>
          <w:tcPr>
            <w:tcW w:w="794" w:type="pct"/>
            <w:tcBorders>
              <w:top w:val="nil"/>
              <w:left w:val="nil"/>
              <w:bottom w:val="single" w:sz="4" w:space="0" w:color="auto"/>
              <w:right w:val="single" w:sz="4" w:space="0" w:color="auto"/>
            </w:tcBorders>
            <w:shd w:val="clear" w:color="000000" w:fill="FFFFFF"/>
            <w:noWrap/>
            <w:hideMark/>
          </w:tcPr>
          <w:p w14:paraId="4AB01C3C" w14:textId="3A1D980B" w:rsidR="00975A9E" w:rsidRPr="00975A9E" w:rsidRDefault="00975A9E" w:rsidP="00975A9E">
            <w:pPr>
              <w:jc w:val="right"/>
              <w:outlineLvl w:val="0"/>
              <w:rPr>
                <w:noProof/>
                <w:sz w:val="20"/>
                <w:szCs w:val="20"/>
              </w:rPr>
            </w:pPr>
            <w:bookmarkStart w:id="1437" w:name="_Toc223981036"/>
            <w:r w:rsidRPr="00975A9E">
              <w:rPr>
                <w:noProof/>
                <w:sz w:val="20"/>
                <w:szCs w:val="20"/>
              </w:rPr>
              <w:t>529.7</w:t>
            </w:r>
            <w:bookmarkEnd w:id="1437"/>
          </w:p>
        </w:tc>
        <w:tc>
          <w:tcPr>
            <w:tcW w:w="794" w:type="pct"/>
            <w:tcBorders>
              <w:top w:val="nil"/>
              <w:left w:val="nil"/>
              <w:bottom w:val="single" w:sz="4" w:space="0" w:color="auto"/>
              <w:right w:val="single" w:sz="4" w:space="0" w:color="auto"/>
            </w:tcBorders>
            <w:shd w:val="clear" w:color="000000" w:fill="FFFFFF"/>
            <w:noWrap/>
            <w:hideMark/>
          </w:tcPr>
          <w:p w14:paraId="6138177E" w14:textId="1C5EB1C5" w:rsidR="00975A9E" w:rsidRPr="00975A9E" w:rsidRDefault="00975A9E" w:rsidP="00975A9E">
            <w:pPr>
              <w:jc w:val="right"/>
              <w:outlineLvl w:val="0"/>
              <w:rPr>
                <w:noProof/>
                <w:sz w:val="20"/>
                <w:szCs w:val="20"/>
              </w:rPr>
            </w:pPr>
            <w:bookmarkStart w:id="1438" w:name="_Toc223981037"/>
            <w:r w:rsidRPr="00975A9E">
              <w:rPr>
                <w:noProof/>
                <w:sz w:val="20"/>
                <w:szCs w:val="20"/>
              </w:rPr>
              <w:t>397.3</w:t>
            </w:r>
            <w:bookmarkEnd w:id="1438"/>
          </w:p>
        </w:tc>
      </w:tr>
      <w:tr w:rsidR="00975A9E" w:rsidRPr="00C14AF8" w14:paraId="3A11E8CB"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13B72819" w14:textId="77777777" w:rsidR="00975A9E" w:rsidRPr="00C14AF8" w:rsidRDefault="00975A9E" w:rsidP="00975A9E">
            <w:pPr>
              <w:outlineLvl w:val="0"/>
              <w:rPr>
                <w:noProof/>
                <w:sz w:val="20"/>
                <w:szCs w:val="20"/>
              </w:rPr>
            </w:pPr>
            <w:r w:rsidRPr="00C14AF8">
              <w:rPr>
                <w:noProof/>
                <w:sz w:val="20"/>
                <w:szCs w:val="20"/>
              </w:rPr>
              <w:t xml:space="preserve"> </w:t>
            </w:r>
            <w:bookmarkStart w:id="1439" w:name="_Toc223981038"/>
            <w:r w:rsidRPr="00C14AF8">
              <w:rPr>
                <w:noProof/>
                <w:sz w:val="20"/>
                <w:szCs w:val="20"/>
              </w:rPr>
              <w:t>Poland</w:t>
            </w:r>
            <w:bookmarkEnd w:id="143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7489F4C9" w14:textId="77D688E3" w:rsidR="00975A9E" w:rsidRPr="00975A9E" w:rsidRDefault="00975A9E" w:rsidP="00975A9E">
            <w:pPr>
              <w:jc w:val="right"/>
              <w:outlineLvl w:val="0"/>
              <w:rPr>
                <w:noProof/>
                <w:sz w:val="20"/>
                <w:szCs w:val="20"/>
              </w:rPr>
            </w:pPr>
            <w:bookmarkStart w:id="1440" w:name="_Toc223981039"/>
            <w:r w:rsidRPr="00975A9E">
              <w:rPr>
                <w:noProof/>
                <w:sz w:val="20"/>
                <w:szCs w:val="20"/>
              </w:rPr>
              <w:t>1,234.7</w:t>
            </w:r>
            <w:bookmarkEnd w:id="1440"/>
          </w:p>
        </w:tc>
        <w:tc>
          <w:tcPr>
            <w:tcW w:w="794" w:type="pct"/>
            <w:tcBorders>
              <w:top w:val="nil"/>
              <w:left w:val="nil"/>
              <w:bottom w:val="single" w:sz="4" w:space="0" w:color="auto"/>
              <w:right w:val="single" w:sz="4" w:space="0" w:color="auto"/>
            </w:tcBorders>
            <w:shd w:val="clear" w:color="000000" w:fill="FFFFFF"/>
            <w:noWrap/>
            <w:hideMark/>
          </w:tcPr>
          <w:p w14:paraId="6B80BB94" w14:textId="7C4E60C0" w:rsidR="00975A9E" w:rsidRPr="00975A9E" w:rsidRDefault="00975A9E" w:rsidP="00975A9E">
            <w:pPr>
              <w:jc w:val="right"/>
              <w:outlineLvl w:val="0"/>
              <w:rPr>
                <w:noProof/>
                <w:sz w:val="20"/>
                <w:szCs w:val="20"/>
              </w:rPr>
            </w:pPr>
            <w:bookmarkStart w:id="1441" w:name="_Toc223981040"/>
            <w:r w:rsidRPr="00975A9E">
              <w:rPr>
                <w:noProof/>
                <w:sz w:val="20"/>
                <w:szCs w:val="20"/>
              </w:rPr>
              <w:t>190.3</w:t>
            </w:r>
            <w:bookmarkEnd w:id="1441"/>
          </w:p>
        </w:tc>
        <w:tc>
          <w:tcPr>
            <w:tcW w:w="794" w:type="pct"/>
            <w:tcBorders>
              <w:top w:val="nil"/>
              <w:left w:val="nil"/>
              <w:bottom w:val="single" w:sz="4" w:space="0" w:color="auto"/>
              <w:right w:val="single" w:sz="4" w:space="0" w:color="auto"/>
            </w:tcBorders>
            <w:shd w:val="clear" w:color="000000" w:fill="FFFFFF"/>
            <w:noWrap/>
            <w:hideMark/>
          </w:tcPr>
          <w:p w14:paraId="44A900A5" w14:textId="65E2A25B" w:rsidR="00975A9E" w:rsidRPr="00975A9E" w:rsidRDefault="00975A9E" w:rsidP="00975A9E">
            <w:pPr>
              <w:jc w:val="right"/>
              <w:outlineLvl w:val="0"/>
              <w:rPr>
                <w:noProof/>
                <w:sz w:val="20"/>
                <w:szCs w:val="20"/>
              </w:rPr>
            </w:pPr>
            <w:bookmarkStart w:id="1442" w:name="_Toc223981041"/>
            <w:r w:rsidRPr="00975A9E">
              <w:rPr>
                <w:noProof/>
                <w:sz w:val="20"/>
                <w:szCs w:val="20"/>
              </w:rPr>
              <w:t>285.2</w:t>
            </w:r>
            <w:bookmarkEnd w:id="1442"/>
          </w:p>
        </w:tc>
        <w:tc>
          <w:tcPr>
            <w:tcW w:w="794" w:type="pct"/>
            <w:tcBorders>
              <w:top w:val="nil"/>
              <w:left w:val="nil"/>
              <w:bottom w:val="single" w:sz="4" w:space="0" w:color="auto"/>
              <w:right w:val="single" w:sz="4" w:space="0" w:color="auto"/>
            </w:tcBorders>
            <w:shd w:val="clear" w:color="000000" w:fill="FFFFFF"/>
            <w:noWrap/>
            <w:hideMark/>
          </w:tcPr>
          <w:p w14:paraId="228A98BA" w14:textId="427B5998" w:rsidR="00975A9E" w:rsidRPr="00975A9E" w:rsidRDefault="00975A9E" w:rsidP="00975A9E">
            <w:pPr>
              <w:jc w:val="right"/>
              <w:outlineLvl w:val="0"/>
              <w:rPr>
                <w:noProof/>
                <w:sz w:val="20"/>
                <w:szCs w:val="20"/>
              </w:rPr>
            </w:pPr>
            <w:bookmarkStart w:id="1443" w:name="_Toc223981042"/>
            <w:r w:rsidRPr="00975A9E">
              <w:rPr>
                <w:noProof/>
                <w:sz w:val="20"/>
                <w:szCs w:val="20"/>
              </w:rPr>
              <w:t>213.9</w:t>
            </w:r>
            <w:bookmarkEnd w:id="1443"/>
          </w:p>
        </w:tc>
      </w:tr>
      <w:tr w:rsidR="00975A9E" w:rsidRPr="00C14AF8" w14:paraId="38F399BD"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5C1C89B0" w14:textId="77777777" w:rsidR="00975A9E" w:rsidRPr="00C14AF8" w:rsidRDefault="00975A9E" w:rsidP="00975A9E">
            <w:pPr>
              <w:outlineLvl w:val="0"/>
              <w:rPr>
                <w:noProof/>
                <w:sz w:val="20"/>
                <w:szCs w:val="20"/>
              </w:rPr>
            </w:pPr>
            <w:r w:rsidRPr="00C14AF8">
              <w:rPr>
                <w:noProof/>
                <w:sz w:val="20"/>
                <w:szCs w:val="20"/>
              </w:rPr>
              <w:t xml:space="preserve"> </w:t>
            </w:r>
            <w:bookmarkStart w:id="1444" w:name="_Toc223981043"/>
            <w:r w:rsidRPr="00C14AF8">
              <w:rPr>
                <w:noProof/>
                <w:sz w:val="20"/>
                <w:szCs w:val="20"/>
              </w:rPr>
              <w:t>Italy</w:t>
            </w:r>
            <w:bookmarkEnd w:id="144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4DDB0BE3" w14:textId="11290293" w:rsidR="00975A9E" w:rsidRPr="00975A9E" w:rsidRDefault="00975A9E" w:rsidP="00975A9E">
            <w:pPr>
              <w:jc w:val="right"/>
              <w:outlineLvl w:val="0"/>
              <w:rPr>
                <w:noProof/>
                <w:sz w:val="20"/>
                <w:szCs w:val="20"/>
              </w:rPr>
            </w:pPr>
            <w:bookmarkStart w:id="1445" w:name="_Toc223981044"/>
            <w:r w:rsidRPr="00975A9E">
              <w:rPr>
                <w:noProof/>
                <w:sz w:val="20"/>
                <w:szCs w:val="20"/>
              </w:rPr>
              <w:t>1,058.3</w:t>
            </w:r>
            <w:bookmarkEnd w:id="1445"/>
          </w:p>
        </w:tc>
        <w:tc>
          <w:tcPr>
            <w:tcW w:w="794" w:type="pct"/>
            <w:tcBorders>
              <w:top w:val="nil"/>
              <w:left w:val="nil"/>
              <w:bottom w:val="single" w:sz="4" w:space="0" w:color="auto"/>
              <w:right w:val="single" w:sz="4" w:space="0" w:color="auto"/>
            </w:tcBorders>
            <w:shd w:val="clear" w:color="000000" w:fill="FFFFFF"/>
            <w:noWrap/>
            <w:hideMark/>
          </w:tcPr>
          <w:p w14:paraId="6763F355" w14:textId="6D547985" w:rsidR="00975A9E" w:rsidRPr="00975A9E" w:rsidRDefault="00975A9E" w:rsidP="00975A9E">
            <w:pPr>
              <w:jc w:val="right"/>
              <w:outlineLvl w:val="0"/>
              <w:rPr>
                <w:noProof/>
                <w:sz w:val="20"/>
                <w:szCs w:val="20"/>
              </w:rPr>
            </w:pPr>
            <w:bookmarkStart w:id="1446" w:name="_Toc223981045"/>
            <w:r w:rsidRPr="00975A9E">
              <w:rPr>
                <w:noProof/>
                <w:sz w:val="20"/>
                <w:szCs w:val="20"/>
              </w:rPr>
              <w:t>163.2</w:t>
            </w:r>
            <w:bookmarkEnd w:id="1446"/>
          </w:p>
        </w:tc>
        <w:tc>
          <w:tcPr>
            <w:tcW w:w="794" w:type="pct"/>
            <w:tcBorders>
              <w:top w:val="nil"/>
              <w:left w:val="nil"/>
              <w:bottom w:val="single" w:sz="4" w:space="0" w:color="auto"/>
              <w:right w:val="single" w:sz="4" w:space="0" w:color="auto"/>
            </w:tcBorders>
            <w:shd w:val="clear" w:color="000000" w:fill="FFFFFF"/>
            <w:noWrap/>
            <w:hideMark/>
          </w:tcPr>
          <w:p w14:paraId="007AE4FD" w14:textId="5CC6E564" w:rsidR="00975A9E" w:rsidRPr="00975A9E" w:rsidRDefault="00975A9E" w:rsidP="00975A9E">
            <w:pPr>
              <w:jc w:val="right"/>
              <w:outlineLvl w:val="0"/>
              <w:rPr>
                <w:noProof/>
                <w:sz w:val="20"/>
                <w:szCs w:val="20"/>
              </w:rPr>
            </w:pPr>
            <w:bookmarkStart w:id="1447" w:name="_Toc223981046"/>
            <w:r w:rsidRPr="00975A9E">
              <w:rPr>
                <w:noProof/>
                <w:sz w:val="20"/>
                <w:szCs w:val="20"/>
              </w:rPr>
              <w:t>244.5</w:t>
            </w:r>
            <w:bookmarkEnd w:id="1447"/>
          </w:p>
        </w:tc>
        <w:tc>
          <w:tcPr>
            <w:tcW w:w="794" w:type="pct"/>
            <w:tcBorders>
              <w:top w:val="nil"/>
              <w:left w:val="nil"/>
              <w:bottom w:val="single" w:sz="4" w:space="0" w:color="auto"/>
              <w:right w:val="single" w:sz="4" w:space="0" w:color="auto"/>
            </w:tcBorders>
            <w:shd w:val="clear" w:color="000000" w:fill="FFFFFF"/>
            <w:noWrap/>
            <w:hideMark/>
          </w:tcPr>
          <w:p w14:paraId="05AF80FA" w14:textId="555B13C1" w:rsidR="00975A9E" w:rsidRPr="00975A9E" w:rsidRDefault="00975A9E" w:rsidP="00975A9E">
            <w:pPr>
              <w:jc w:val="right"/>
              <w:outlineLvl w:val="0"/>
              <w:rPr>
                <w:noProof/>
                <w:sz w:val="20"/>
                <w:szCs w:val="20"/>
              </w:rPr>
            </w:pPr>
            <w:bookmarkStart w:id="1448" w:name="_Toc223981047"/>
            <w:r w:rsidRPr="00975A9E">
              <w:rPr>
                <w:noProof/>
                <w:sz w:val="20"/>
                <w:szCs w:val="20"/>
              </w:rPr>
              <w:t>183.4</w:t>
            </w:r>
            <w:bookmarkEnd w:id="1448"/>
          </w:p>
        </w:tc>
      </w:tr>
      <w:tr w:rsidR="00975A9E" w:rsidRPr="00C14AF8" w14:paraId="0C09E504"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745DBF5B" w14:textId="77777777" w:rsidR="00975A9E" w:rsidRPr="00C14AF8" w:rsidRDefault="00975A9E" w:rsidP="00975A9E">
            <w:pPr>
              <w:outlineLvl w:val="0"/>
              <w:rPr>
                <w:noProof/>
                <w:sz w:val="20"/>
                <w:szCs w:val="20"/>
              </w:rPr>
            </w:pPr>
            <w:r w:rsidRPr="00C14AF8">
              <w:rPr>
                <w:noProof/>
                <w:sz w:val="20"/>
                <w:szCs w:val="20"/>
              </w:rPr>
              <w:t xml:space="preserve"> </w:t>
            </w:r>
            <w:bookmarkStart w:id="1449" w:name="_Toc223981048"/>
            <w:r w:rsidRPr="00C14AF8">
              <w:rPr>
                <w:noProof/>
                <w:sz w:val="20"/>
                <w:szCs w:val="20"/>
              </w:rPr>
              <w:t>Belgium</w:t>
            </w:r>
            <w:bookmarkEnd w:id="144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4B8302E4" w14:textId="2211B891" w:rsidR="00975A9E" w:rsidRPr="00975A9E" w:rsidRDefault="00975A9E" w:rsidP="00975A9E">
            <w:pPr>
              <w:jc w:val="right"/>
              <w:outlineLvl w:val="0"/>
              <w:rPr>
                <w:noProof/>
                <w:sz w:val="20"/>
                <w:szCs w:val="20"/>
              </w:rPr>
            </w:pPr>
            <w:bookmarkStart w:id="1450" w:name="_Toc223981049"/>
            <w:r w:rsidRPr="00975A9E">
              <w:rPr>
                <w:noProof/>
                <w:sz w:val="20"/>
                <w:szCs w:val="20"/>
              </w:rPr>
              <w:t>1,058.3</w:t>
            </w:r>
            <w:bookmarkEnd w:id="1450"/>
          </w:p>
        </w:tc>
        <w:tc>
          <w:tcPr>
            <w:tcW w:w="794" w:type="pct"/>
            <w:tcBorders>
              <w:top w:val="nil"/>
              <w:left w:val="nil"/>
              <w:bottom w:val="single" w:sz="4" w:space="0" w:color="auto"/>
              <w:right w:val="single" w:sz="4" w:space="0" w:color="auto"/>
            </w:tcBorders>
            <w:shd w:val="clear" w:color="000000" w:fill="FFFFFF"/>
            <w:noWrap/>
            <w:hideMark/>
          </w:tcPr>
          <w:p w14:paraId="7C12AFFA" w14:textId="1CE26A45" w:rsidR="00975A9E" w:rsidRPr="00975A9E" w:rsidRDefault="00975A9E" w:rsidP="00975A9E">
            <w:pPr>
              <w:jc w:val="right"/>
              <w:outlineLvl w:val="0"/>
              <w:rPr>
                <w:noProof/>
                <w:sz w:val="20"/>
                <w:szCs w:val="20"/>
              </w:rPr>
            </w:pPr>
            <w:bookmarkStart w:id="1451" w:name="_Toc223981050"/>
            <w:r w:rsidRPr="00975A9E">
              <w:rPr>
                <w:noProof/>
                <w:sz w:val="20"/>
                <w:szCs w:val="20"/>
              </w:rPr>
              <w:t>163.2</w:t>
            </w:r>
            <w:bookmarkEnd w:id="1451"/>
          </w:p>
        </w:tc>
        <w:tc>
          <w:tcPr>
            <w:tcW w:w="794" w:type="pct"/>
            <w:tcBorders>
              <w:top w:val="nil"/>
              <w:left w:val="nil"/>
              <w:bottom w:val="single" w:sz="4" w:space="0" w:color="auto"/>
              <w:right w:val="single" w:sz="4" w:space="0" w:color="auto"/>
            </w:tcBorders>
            <w:shd w:val="clear" w:color="000000" w:fill="FFFFFF"/>
            <w:noWrap/>
            <w:hideMark/>
          </w:tcPr>
          <w:p w14:paraId="73F61123" w14:textId="35139981" w:rsidR="00975A9E" w:rsidRPr="00975A9E" w:rsidRDefault="00975A9E" w:rsidP="00975A9E">
            <w:pPr>
              <w:jc w:val="right"/>
              <w:outlineLvl w:val="0"/>
              <w:rPr>
                <w:noProof/>
                <w:sz w:val="20"/>
                <w:szCs w:val="20"/>
              </w:rPr>
            </w:pPr>
            <w:bookmarkStart w:id="1452" w:name="_Toc223981051"/>
            <w:r w:rsidRPr="00975A9E">
              <w:rPr>
                <w:noProof/>
                <w:sz w:val="20"/>
                <w:szCs w:val="20"/>
              </w:rPr>
              <w:t>244.5</w:t>
            </w:r>
            <w:bookmarkEnd w:id="1452"/>
          </w:p>
        </w:tc>
        <w:tc>
          <w:tcPr>
            <w:tcW w:w="794" w:type="pct"/>
            <w:tcBorders>
              <w:top w:val="nil"/>
              <w:left w:val="nil"/>
              <w:bottom w:val="single" w:sz="4" w:space="0" w:color="auto"/>
              <w:right w:val="single" w:sz="4" w:space="0" w:color="auto"/>
            </w:tcBorders>
            <w:shd w:val="clear" w:color="000000" w:fill="FFFFFF"/>
            <w:noWrap/>
            <w:hideMark/>
          </w:tcPr>
          <w:p w14:paraId="41FC6DB7" w14:textId="4BF4CBCB" w:rsidR="00975A9E" w:rsidRPr="00975A9E" w:rsidRDefault="00975A9E" w:rsidP="00975A9E">
            <w:pPr>
              <w:jc w:val="right"/>
              <w:outlineLvl w:val="0"/>
              <w:rPr>
                <w:noProof/>
                <w:sz w:val="20"/>
                <w:szCs w:val="20"/>
              </w:rPr>
            </w:pPr>
            <w:bookmarkStart w:id="1453" w:name="_Toc223981052"/>
            <w:r w:rsidRPr="00975A9E">
              <w:rPr>
                <w:noProof/>
                <w:sz w:val="20"/>
                <w:szCs w:val="20"/>
              </w:rPr>
              <w:t>183.4</w:t>
            </w:r>
            <w:bookmarkEnd w:id="1453"/>
          </w:p>
        </w:tc>
      </w:tr>
      <w:tr w:rsidR="00975A9E" w:rsidRPr="00C14AF8" w14:paraId="494BD332"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72A394A1" w14:textId="77777777" w:rsidR="00975A9E" w:rsidRPr="00C14AF8" w:rsidRDefault="00975A9E" w:rsidP="00975A9E">
            <w:pPr>
              <w:outlineLvl w:val="0"/>
              <w:rPr>
                <w:noProof/>
                <w:sz w:val="20"/>
                <w:szCs w:val="20"/>
              </w:rPr>
            </w:pPr>
            <w:r w:rsidRPr="00C14AF8">
              <w:rPr>
                <w:noProof/>
                <w:sz w:val="20"/>
                <w:szCs w:val="20"/>
              </w:rPr>
              <w:t xml:space="preserve"> </w:t>
            </w:r>
            <w:bookmarkStart w:id="1454" w:name="_Toc223981053"/>
            <w:r w:rsidRPr="00C14AF8">
              <w:rPr>
                <w:noProof/>
                <w:sz w:val="20"/>
                <w:szCs w:val="20"/>
              </w:rPr>
              <w:t>Portugal</w:t>
            </w:r>
            <w:bookmarkEnd w:id="145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0889DDF3" w14:textId="093B1419" w:rsidR="00975A9E" w:rsidRPr="00975A9E" w:rsidRDefault="00975A9E" w:rsidP="00975A9E">
            <w:pPr>
              <w:jc w:val="right"/>
              <w:outlineLvl w:val="0"/>
              <w:rPr>
                <w:noProof/>
                <w:sz w:val="20"/>
                <w:szCs w:val="20"/>
              </w:rPr>
            </w:pPr>
            <w:bookmarkStart w:id="1455" w:name="_Toc223981054"/>
            <w:r w:rsidRPr="00975A9E">
              <w:rPr>
                <w:noProof/>
                <w:sz w:val="20"/>
                <w:szCs w:val="20"/>
              </w:rPr>
              <w:t>352.8</w:t>
            </w:r>
            <w:bookmarkEnd w:id="1455"/>
          </w:p>
        </w:tc>
        <w:tc>
          <w:tcPr>
            <w:tcW w:w="794" w:type="pct"/>
            <w:tcBorders>
              <w:top w:val="nil"/>
              <w:left w:val="nil"/>
              <w:bottom w:val="single" w:sz="4" w:space="0" w:color="auto"/>
              <w:right w:val="single" w:sz="4" w:space="0" w:color="auto"/>
            </w:tcBorders>
            <w:shd w:val="clear" w:color="000000" w:fill="FFFFFF"/>
            <w:noWrap/>
            <w:hideMark/>
          </w:tcPr>
          <w:p w14:paraId="2C1477B0" w14:textId="3A7EC565" w:rsidR="00975A9E" w:rsidRPr="00975A9E" w:rsidRDefault="00975A9E" w:rsidP="00975A9E">
            <w:pPr>
              <w:jc w:val="right"/>
              <w:outlineLvl w:val="0"/>
              <w:rPr>
                <w:noProof/>
                <w:sz w:val="20"/>
                <w:szCs w:val="20"/>
              </w:rPr>
            </w:pPr>
            <w:bookmarkStart w:id="1456" w:name="_Toc223981055"/>
            <w:r w:rsidRPr="00975A9E">
              <w:rPr>
                <w:noProof/>
                <w:sz w:val="20"/>
                <w:szCs w:val="20"/>
              </w:rPr>
              <w:t>54.4</w:t>
            </w:r>
            <w:bookmarkEnd w:id="1456"/>
          </w:p>
        </w:tc>
        <w:tc>
          <w:tcPr>
            <w:tcW w:w="794" w:type="pct"/>
            <w:tcBorders>
              <w:top w:val="nil"/>
              <w:left w:val="nil"/>
              <w:bottom w:val="single" w:sz="4" w:space="0" w:color="auto"/>
              <w:right w:val="single" w:sz="4" w:space="0" w:color="auto"/>
            </w:tcBorders>
            <w:shd w:val="clear" w:color="000000" w:fill="FFFFFF"/>
            <w:noWrap/>
            <w:hideMark/>
          </w:tcPr>
          <w:p w14:paraId="28406E8F" w14:textId="2C678404" w:rsidR="00975A9E" w:rsidRPr="00975A9E" w:rsidRDefault="00975A9E" w:rsidP="00975A9E">
            <w:pPr>
              <w:jc w:val="right"/>
              <w:outlineLvl w:val="0"/>
              <w:rPr>
                <w:noProof/>
                <w:sz w:val="20"/>
                <w:szCs w:val="20"/>
              </w:rPr>
            </w:pPr>
            <w:bookmarkStart w:id="1457" w:name="_Toc223981056"/>
            <w:r w:rsidRPr="00975A9E">
              <w:rPr>
                <w:noProof/>
                <w:sz w:val="20"/>
                <w:szCs w:val="20"/>
              </w:rPr>
              <w:t>81.5</w:t>
            </w:r>
            <w:bookmarkEnd w:id="1457"/>
          </w:p>
        </w:tc>
        <w:tc>
          <w:tcPr>
            <w:tcW w:w="794" w:type="pct"/>
            <w:tcBorders>
              <w:top w:val="nil"/>
              <w:left w:val="nil"/>
              <w:bottom w:val="single" w:sz="4" w:space="0" w:color="auto"/>
              <w:right w:val="single" w:sz="4" w:space="0" w:color="auto"/>
            </w:tcBorders>
            <w:shd w:val="clear" w:color="000000" w:fill="FFFFFF"/>
            <w:noWrap/>
            <w:hideMark/>
          </w:tcPr>
          <w:p w14:paraId="4ADE32B3" w14:textId="1A405C81" w:rsidR="00975A9E" w:rsidRPr="00975A9E" w:rsidRDefault="00975A9E" w:rsidP="00975A9E">
            <w:pPr>
              <w:jc w:val="right"/>
              <w:outlineLvl w:val="0"/>
              <w:rPr>
                <w:noProof/>
                <w:sz w:val="20"/>
                <w:szCs w:val="20"/>
              </w:rPr>
            </w:pPr>
            <w:bookmarkStart w:id="1458" w:name="_Toc223981057"/>
            <w:r w:rsidRPr="00975A9E">
              <w:rPr>
                <w:noProof/>
                <w:sz w:val="20"/>
                <w:szCs w:val="20"/>
              </w:rPr>
              <w:t>61.1</w:t>
            </w:r>
            <w:bookmarkEnd w:id="1458"/>
          </w:p>
        </w:tc>
      </w:tr>
      <w:tr w:rsidR="00975A9E" w:rsidRPr="00C14AF8" w14:paraId="6D2C9C5B"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7CF1FAA7" w14:textId="77777777" w:rsidR="00975A9E" w:rsidRPr="00C14AF8" w:rsidRDefault="00975A9E" w:rsidP="00975A9E">
            <w:pPr>
              <w:outlineLvl w:val="0"/>
              <w:rPr>
                <w:noProof/>
                <w:sz w:val="20"/>
                <w:szCs w:val="20"/>
              </w:rPr>
            </w:pPr>
            <w:r w:rsidRPr="00C14AF8">
              <w:rPr>
                <w:noProof/>
                <w:sz w:val="20"/>
                <w:szCs w:val="20"/>
              </w:rPr>
              <w:t xml:space="preserve"> </w:t>
            </w:r>
            <w:bookmarkStart w:id="1459" w:name="_Toc223981058"/>
            <w:r w:rsidRPr="00C14AF8">
              <w:rPr>
                <w:noProof/>
                <w:sz w:val="20"/>
                <w:szCs w:val="20"/>
              </w:rPr>
              <w:t>Malta</w:t>
            </w:r>
            <w:bookmarkEnd w:id="145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6A29E289" w14:textId="32298C8B" w:rsidR="00975A9E" w:rsidRPr="00975A9E" w:rsidRDefault="00975A9E" w:rsidP="00975A9E">
            <w:pPr>
              <w:jc w:val="right"/>
              <w:outlineLvl w:val="0"/>
              <w:rPr>
                <w:noProof/>
                <w:sz w:val="20"/>
                <w:szCs w:val="20"/>
              </w:rPr>
            </w:pPr>
            <w:bookmarkStart w:id="1460" w:name="_Toc223981059"/>
            <w:r w:rsidRPr="00975A9E">
              <w:rPr>
                <w:noProof/>
                <w:sz w:val="20"/>
                <w:szCs w:val="20"/>
              </w:rPr>
              <w:t>176.4</w:t>
            </w:r>
            <w:bookmarkEnd w:id="1460"/>
          </w:p>
        </w:tc>
        <w:tc>
          <w:tcPr>
            <w:tcW w:w="794" w:type="pct"/>
            <w:tcBorders>
              <w:top w:val="nil"/>
              <w:left w:val="nil"/>
              <w:bottom w:val="single" w:sz="4" w:space="0" w:color="auto"/>
              <w:right w:val="single" w:sz="4" w:space="0" w:color="auto"/>
            </w:tcBorders>
            <w:shd w:val="clear" w:color="000000" w:fill="FFFFFF"/>
            <w:noWrap/>
            <w:hideMark/>
          </w:tcPr>
          <w:p w14:paraId="63E48400" w14:textId="7F017580" w:rsidR="00975A9E" w:rsidRPr="00975A9E" w:rsidRDefault="00975A9E" w:rsidP="00975A9E">
            <w:pPr>
              <w:jc w:val="right"/>
              <w:outlineLvl w:val="0"/>
              <w:rPr>
                <w:noProof/>
                <w:sz w:val="20"/>
                <w:szCs w:val="20"/>
              </w:rPr>
            </w:pPr>
            <w:bookmarkStart w:id="1461" w:name="_Toc223981060"/>
            <w:r w:rsidRPr="00975A9E">
              <w:rPr>
                <w:noProof/>
                <w:sz w:val="20"/>
                <w:szCs w:val="20"/>
              </w:rPr>
              <w:t>27.2</w:t>
            </w:r>
            <w:bookmarkEnd w:id="1461"/>
          </w:p>
        </w:tc>
        <w:tc>
          <w:tcPr>
            <w:tcW w:w="794" w:type="pct"/>
            <w:tcBorders>
              <w:top w:val="nil"/>
              <w:left w:val="nil"/>
              <w:bottom w:val="single" w:sz="4" w:space="0" w:color="auto"/>
              <w:right w:val="single" w:sz="4" w:space="0" w:color="auto"/>
            </w:tcBorders>
            <w:shd w:val="clear" w:color="000000" w:fill="FFFFFF"/>
            <w:noWrap/>
            <w:hideMark/>
          </w:tcPr>
          <w:p w14:paraId="50A8D2DC" w14:textId="7605BADD" w:rsidR="00975A9E" w:rsidRPr="00975A9E" w:rsidRDefault="00975A9E" w:rsidP="00975A9E">
            <w:pPr>
              <w:jc w:val="right"/>
              <w:outlineLvl w:val="0"/>
              <w:rPr>
                <w:noProof/>
                <w:sz w:val="20"/>
                <w:szCs w:val="20"/>
              </w:rPr>
            </w:pPr>
            <w:bookmarkStart w:id="1462" w:name="_Toc223981061"/>
            <w:r w:rsidRPr="00975A9E">
              <w:rPr>
                <w:noProof/>
                <w:sz w:val="20"/>
                <w:szCs w:val="20"/>
              </w:rPr>
              <w:t>40.7</w:t>
            </w:r>
            <w:bookmarkEnd w:id="1462"/>
          </w:p>
        </w:tc>
        <w:tc>
          <w:tcPr>
            <w:tcW w:w="794" w:type="pct"/>
            <w:tcBorders>
              <w:top w:val="nil"/>
              <w:left w:val="nil"/>
              <w:bottom w:val="single" w:sz="4" w:space="0" w:color="auto"/>
              <w:right w:val="single" w:sz="4" w:space="0" w:color="auto"/>
            </w:tcBorders>
            <w:shd w:val="clear" w:color="000000" w:fill="FFFFFF"/>
            <w:noWrap/>
            <w:hideMark/>
          </w:tcPr>
          <w:p w14:paraId="77AE1A1C" w14:textId="54DEAACB" w:rsidR="00975A9E" w:rsidRPr="00975A9E" w:rsidRDefault="00975A9E" w:rsidP="00975A9E">
            <w:pPr>
              <w:jc w:val="right"/>
              <w:outlineLvl w:val="0"/>
              <w:rPr>
                <w:noProof/>
                <w:sz w:val="20"/>
                <w:szCs w:val="20"/>
              </w:rPr>
            </w:pPr>
            <w:bookmarkStart w:id="1463" w:name="_Toc223981062"/>
            <w:r w:rsidRPr="00975A9E">
              <w:rPr>
                <w:noProof/>
                <w:sz w:val="20"/>
                <w:szCs w:val="20"/>
              </w:rPr>
              <w:t>30.6</w:t>
            </w:r>
            <w:bookmarkEnd w:id="1463"/>
          </w:p>
        </w:tc>
      </w:tr>
      <w:tr w:rsidR="00975A9E" w:rsidRPr="00C14AF8" w14:paraId="7221501D"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3773662" w14:textId="77777777" w:rsidR="00975A9E" w:rsidRPr="00C14AF8" w:rsidRDefault="00975A9E" w:rsidP="00975A9E">
            <w:pPr>
              <w:outlineLvl w:val="0"/>
              <w:rPr>
                <w:noProof/>
                <w:sz w:val="20"/>
                <w:szCs w:val="20"/>
              </w:rPr>
            </w:pPr>
            <w:r w:rsidRPr="00C14AF8">
              <w:rPr>
                <w:noProof/>
                <w:sz w:val="20"/>
                <w:szCs w:val="20"/>
              </w:rPr>
              <w:t xml:space="preserve"> </w:t>
            </w:r>
            <w:bookmarkStart w:id="1464" w:name="_Toc223981063"/>
            <w:r w:rsidRPr="00C14AF8">
              <w:rPr>
                <w:noProof/>
                <w:sz w:val="20"/>
                <w:szCs w:val="20"/>
              </w:rPr>
              <w:t>Cyprus</w:t>
            </w:r>
            <w:bookmarkEnd w:id="146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6F6E3A05" w14:textId="7D4B06FB" w:rsidR="00975A9E" w:rsidRPr="00975A9E" w:rsidRDefault="00975A9E" w:rsidP="00975A9E">
            <w:pPr>
              <w:jc w:val="right"/>
              <w:outlineLvl w:val="0"/>
              <w:rPr>
                <w:noProof/>
                <w:sz w:val="20"/>
                <w:szCs w:val="20"/>
              </w:rPr>
            </w:pPr>
            <w:bookmarkStart w:id="1465" w:name="_Toc223981064"/>
            <w:r w:rsidRPr="00975A9E">
              <w:rPr>
                <w:noProof/>
                <w:sz w:val="20"/>
                <w:szCs w:val="20"/>
              </w:rPr>
              <w:t>176.4</w:t>
            </w:r>
            <w:bookmarkEnd w:id="1465"/>
          </w:p>
        </w:tc>
        <w:tc>
          <w:tcPr>
            <w:tcW w:w="794" w:type="pct"/>
            <w:tcBorders>
              <w:top w:val="nil"/>
              <w:left w:val="nil"/>
              <w:bottom w:val="single" w:sz="4" w:space="0" w:color="auto"/>
              <w:right w:val="single" w:sz="4" w:space="0" w:color="auto"/>
            </w:tcBorders>
            <w:shd w:val="clear" w:color="000000" w:fill="FFFFFF"/>
            <w:noWrap/>
            <w:hideMark/>
          </w:tcPr>
          <w:p w14:paraId="72B4CBA6" w14:textId="4257D833" w:rsidR="00975A9E" w:rsidRPr="00975A9E" w:rsidRDefault="00975A9E" w:rsidP="00975A9E">
            <w:pPr>
              <w:jc w:val="right"/>
              <w:outlineLvl w:val="0"/>
              <w:rPr>
                <w:noProof/>
                <w:sz w:val="20"/>
                <w:szCs w:val="20"/>
              </w:rPr>
            </w:pPr>
            <w:bookmarkStart w:id="1466" w:name="_Toc223981065"/>
            <w:r w:rsidRPr="00975A9E">
              <w:rPr>
                <w:noProof/>
                <w:sz w:val="20"/>
                <w:szCs w:val="20"/>
              </w:rPr>
              <w:t>27.2</w:t>
            </w:r>
            <w:bookmarkEnd w:id="1466"/>
          </w:p>
        </w:tc>
        <w:tc>
          <w:tcPr>
            <w:tcW w:w="794" w:type="pct"/>
            <w:tcBorders>
              <w:top w:val="nil"/>
              <w:left w:val="nil"/>
              <w:bottom w:val="single" w:sz="4" w:space="0" w:color="auto"/>
              <w:right w:val="single" w:sz="4" w:space="0" w:color="auto"/>
            </w:tcBorders>
            <w:shd w:val="clear" w:color="000000" w:fill="FFFFFF"/>
            <w:noWrap/>
            <w:hideMark/>
          </w:tcPr>
          <w:p w14:paraId="1CF586A2" w14:textId="3F0DF0AC" w:rsidR="00975A9E" w:rsidRPr="00975A9E" w:rsidRDefault="00975A9E" w:rsidP="00975A9E">
            <w:pPr>
              <w:jc w:val="right"/>
              <w:outlineLvl w:val="0"/>
              <w:rPr>
                <w:noProof/>
                <w:sz w:val="20"/>
                <w:szCs w:val="20"/>
              </w:rPr>
            </w:pPr>
            <w:bookmarkStart w:id="1467" w:name="_Toc223981066"/>
            <w:r w:rsidRPr="00975A9E">
              <w:rPr>
                <w:noProof/>
                <w:sz w:val="20"/>
                <w:szCs w:val="20"/>
              </w:rPr>
              <w:t>40.7</w:t>
            </w:r>
            <w:bookmarkEnd w:id="1467"/>
          </w:p>
        </w:tc>
        <w:tc>
          <w:tcPr>
            <w:tcW w:w="794" w:type="pct"/>
            <w:tcBorders>
              <w:top w:val="nil"/>
              <w:left w:val="nil"/>
              <w:bottom w:val="single" w:sz="4" w:space="0" w:color="auto"/>
              <w:right w:val="single" w:sz="4" w:space="0" w:color="auto"/>
            </w:tcBorders>
            <w:shd w:val="clear" w:color="000000" w:fill="FFFFFF"/>
            <w:noWrap/>
            <w:hideMark/>
          </w:tcPr>
          <w:p w14:paraId="123ABAEA" w14:textId="14D6CFA7" w:rsidR="00975A9E" w:rsidRPr="00975A9E" w:rsidRDefault="00975A9E" w:rsidP="00975A9E">
            <w:pPr>
              <w:jc w:val="right"/>
              <w:outlineLvl w:val="0"/>
              <w:rPr>
                <w:noProof/>
                <w:sz w:val="20"/>
                <w:szCs w:val="20"/>
              </w:rPr>
            </w:pPr>
            <w:bookmarkStart w:id="1468" w:name="_Toc223981067"/>
            <w:r w:rsidRPr="00975A9E">
              <w:rPr>
                <w:noProof/>
                <w:sz w:val="20"/>
                <w:szCs w:val="20"/>
              </w:rPr>
              <w:t>30.6</w:t>
            </w:r>
            <w:bookmarkEnd w:id="1468"/>
          </w:p>
        </w:tc>
      </w:tr>
      <w:tr w:rsidR="00975A9E" w:rsidRPr="00C14AF8" w14:paraId="0CF34108"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030B4FB7" w14:textId="77777777" w:rsidR="00975A9E" w:rsidRPr="00C14AF8" w:rsidRDefault="00975A9E" w:rsidP="00975A9E">
            <w:pPr>
              <w:outlineLvl w:val="0"/>
              <w:rPr>
                <w:noProof/>
                <w:sz w:val="20"/>
                <w:szCs w:val="20"/>
              </w:rPr>
            </w:pPr>
            <w:r w:rsidRPr="00C14AF8">
              <w:rPr>
                <w:noProof/>
                <w:sz w:val="20"/>
                <w:szCs w:val="20"/>
              </w:rPr>
              <w:t xml:space="preserve"> </w:t>
            </w:r>
            <w:bookmarkStart w:id="1469" w:name="_Toc223981068"/>
            <w:r w:rsidRPr="00C14AF8">
              <w:rPr>
                <w:noProof/>
                <w:sz w:val="20"/>
                <w:szCs w:val="20"/>
              </w:rPr>
              <w:t>Greece</w:t>
            </w:r>
            <w:bookmarkEnd w:id="146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63FDD79A" w14:textId="0FE8F2FE" w:rsidR="00975A9E" w:rsidRPr="00975A9E" w:rsidRDefault="00975A9E" w:rsidP="00975A9E">
            <w:pPr>
              <w:jc w:val="right"/>
              <w:outlineLvl w:val="0"/>
              <w:rPr>
                <w:noProof/>
                <w:sz w:val="20"/>
                <w:szCs w:val="20"/>
              </w:rPr>
            </w:pPr>
            <w:bookmarkStart w:id="1470" w:name="_Toc223981069"/>
            <w:r w:rsidRPr="00975A9E">
              <w:rPr>
                <w:noProof/>
                <w:sz w:val="20"/>
                <w:szCs w:val="20"/>
              </w:rPr>
              <w:t>352.8</w:t>
            </w:r>
            <w:bookmarkEnd w:id="1470"/>
          </w:p>
        </w:tc>
        <w:tc>
          <w:tcPr>
            <w:tcW w:w="794" w:type="pct"/>
            <w:tcBorders>
              <w:top w:val="nil"/>
              <w:left w:val="nil"/>
              <w:bottom w:val="single" w:sz="4" w:space="0" w:color="auto"/>
              <w:right w:val="single" w:sz="4" w:space="0" w:color="auto"/>
            </w:tcBorders>
            <w:shd w:val="clear" w:color="000000" w:fill="FFFFFF"/>
            <w:noWrap/>
            <w:hideMark/>
          </w:tcPr>
          <w:p w14:paraId="1C450AAA" w14:textId="76BEAC06" w:rsidR="00975A9E" w:rsidRPr="00975A9E" w:rsidRDefault="00975A9E" w:rsidP="00975A9E">
            <w:pPr>
              <w:jc w:val="right"/>
              <w:outlineLvl w:val="0"/>
              <w:rPr>
                <w:noProof/>
                <w:sz w:val="20"/>
                <w:szCs w:val="20"/>
              </w:rPr>
            </w:pPr>
            <w:bookmarkStart w:id="1471" w:name="_Toc223981070"/>
            <w:r w:rsidRPr="00975A9E">
              <w:rPr>
                <w:noProof/>
                <w:sz w:val="20"/>
                <w:szCs w:val="20"/>
              </w:rPr>
              <w:t>54.4</w:t>
            </w:r>
            <w:bookmarkEnd w:id="1471"/>
          </w:p>
        </w:tc>
        <w:tc>
          <w:tcPr>
            <w:tcW w:w="794" w:type="pct"/>
            <w:tcBorders>
              <w:top w:val="nil"/>
              <w:left w:val="nil"/>
              <w:bottom w:val="single" w:sz="4" w:space="0" w:color="auto"/>
              <w:right w:val="single" w:sz="4" w:space="0" w:color="auto"/>
            </w:tcBorders>
            <w:shd w:val="clear" w:color="000000" w:fill="FFFFFF"/>
            <w:noWrap/>
            <w:hideMark/>
          </w:tcPr>
          <w:p w14:paraId="1FB6CC77" w14:textId="0BDA5366" w:rsidR="00975A9E" w:rsidRPr="00975A9E" w:rsidRDefault="00975A9E" w:rsidP="00975A9E">
            <w:pPr>
              <w:jc w:val="right"/>
              <w:outlineLvl w:val="0"/>
              <w:rPr>
                <w:noProof/>
                <w:sz w:val="20"/>
                <w:szCs w:val="20"/>
              </w:rPr>
            </w:pPr>
            <w:bookmarkStart w:id="1472" w:name="_Toc223981071"/>
            <w:r w:rsidRPr="00975A9E">
              <w:rPr>
                <w:noProof/>
                <w:sz w:val="20"/>
                <w:szCs w:val="20"/>
              </w:rPr>
              <w:t>81.5</w:t>
            </w:r>
            <w:bookmarkEnd w:id="1472"/>
          </w:p>
        </w:tc>
        <w:tc>
          <w:tcPr>
            <w:tcW w:w="794" w:type="pct"/>
            <w:tcBorders>
              <w:top w:val="nil"/>
              <w:left w:val="nil"/>
              <w:bottom w:val="single" w:sz="4" w:space="0" w:color="auto"/>
              <w:right w:val="single" w:sz="4" w:space="0" w:color="auto"/>
            </w:tcBorders>
            <w:shd w:val="clear" w:color="000000" w:fill="FFFFFF"/>
            <w:noWrap/>
            <w:hideMark/>
          </w:tcPr>
          <w:p w14:paraId="42CEA741" w14:textId="51BE3536" w:rsidR="00975A9E" w:rsidRPr="00975A9E" w:rsidRDefault="00975A9E" w:rsidP="00975A9E">
            <w:pPr>
              <w:jc w:val="right"/>
              <w:outlineLvl w:val="0"/>
              <w:rPr>
                <w:noProof/>
                <w:sz w:val="20"/>
                <w:szCs w:val="20"/>
              </w:rPr>
            </w:pPr>
            <w:bookmarkStart w:id="1473" w:name="_Toc223981072"/>
            <w:r w:rsidRPr="00975A9E">
              <w:rPr>
                <w:noProof/>
                <w:sz w:val="20"/>
                <w:szCs w:val="20"/>
              </w:rPr>
              <w:t>61.1</w:t>
            </w:r>
            <w:bookmarkEnd w:id="1473"/>
          </w:p>
        </w:tc>
      </w:tr>
      <w:tr w:rsidR="00975A9E" w:rsidRPr="00C14AF8" w14:paraId="6FE5231E"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B129044" w14:textId="77777777" w:rsidR="00975A9E" w:rsidRPr="00C14AF8" w:rsidRDefault="00975A9E" w:rsidP="00975A9E">
            <w:pPr>
              <w:outlineLvl w:val="0"/>
              <w:rPr>
                <w:noProof/>
                <w:sz w:val="20"/>
                <w:szCs w:val="20"/>
              </w:rPr>
            </w:pPr>
            <w:r w:rsidRPr="00C14AF8">
              <w:rPr>
                <w:noProof/>
                <w:sz w:val="20"/>
                <w:szCs w:val="20"/>
              </w:rPr>
              <w:t xml:space="preserve"> </w:t>
            </w:r>
            <w:bookmarkStart w:id="1474" w:name="_Toc223981073"/>
            <w:r w:rsidRPr="00C14AF8">
              <w:rPr>
                <w:noProof/>
                <w:sz w:val="20"/>
                <w:szCs w:val="20"/>
              </w:rPr>
              <w:t>Bulgaria</w:t>
            </w:r>
            <w:bookmarkEnd w:id="147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42358208" w14:textId="77777777" w:rsidR="00975A9E" w:rsidRPr="00975A9E" w:rsidRDefault="00975A9E" w:rsidP="00975A9E">
            <w:pPr>
              <w:jc w:val="right"/>
              <w:outlineLvl w:val="0"/>
              <w:rPr>
                <w:noProof/>
                <w:sz w:val="20"/>
                <w:szCs w:val="20"/>
              </w:rPr>
            </w:pPr>
            <w:bookmarkStart w:id="1475" w:name="_Toc223981074"/>
            <w:r w:rsidRPr="00975A9E">
              <w:rPr>
                <w:noProof/>
                <w:sz w:val="20"/>
                <w:szCs w:val="20"/>
              </w:rPr>
              <w:t>0.0</w:t>
            </w:r>
            <w:bookmarkEnd w:id="1475"/>
          </w:p>
        </w:tc>
        <w:tc>
          <w:tcPr>
            <w:tcW w:w="794" w:type="pct"/>
            <w:tcBorders>
              <w:top w:val="nil"/>
              <w:left w:val="nil"/>
              <w:bottom w:val="single" w:sz="4" w:space="0" w:color="auto"/>
              <w:right w:val="single" w:sz="4" w:space="0" w:color="auto"/>
            </w:tcBorders>
            <w:shd w:val="clear" w:color="000000" w:fill="FFFFFF"/>
            <w:noWrap/>
            <w:hideMark/>
          </w:tcPr>
          <w:p w14:paraId="19CA342A" w14:textId="77777777" w:rsidR="00975A9E" w:rsidRPr="00975A9E" w:rsidRDefault="00975A9E" w:rsidP="00975A9E">
            <w:pPr>
              <w:jc w:val="right"/>
              <w:outlineLvl w:val="0"/>
              <w:rPr>
                <w:noProof/>
                <w:sz w:val="20"/>
                <w:szCs w:val="20"/>
              </w:rPr>
            </w:pPr>
            <w:bookmarkStart w:id="1476" w:name="_Toc223981075"/>
            <w:r w:rsidRPr="00975A9E">
              <w:rPr>
                <w:noProof/>
                <w:sz w:val="20"/>
                <w:szCs w:val="20"/>
              </w:rPr>
              <w:t>0.0</w:t>
            </w:r>
            <w:bookmarkEnd w:id="1476"/>
          </w:p>
        </w:tc>
        <w:tc>
          <w:tcPr>
            <w:tcW w:w="794" w:type="pct"/>
            <w:tcBorders>
              <w:top w:val="nil"/>
              <w:left w:val="nil"/>
              <w:bottom w:val="single" w:sz="4" w:space="0" w:color="auto"/>
              <w:right w:val="single" w:sz="4" w:space="0" w:color="auto"/>
            </w:tcBorders>
            <w:shd w:val="clear" w:color="000000" w:fill="FFFFFF"/>
            <w:noWrap/>
            <w:hideMark/>
          </w:tcPr>
          <w:p w14:paraId="7D3FFF21" w14:textId="77777777" w:rsidR="00975A9E" w:rsidRPr="00975A9E" w:rsidRDefault="00975A9E" w:rsidP="00975A9E">
            <w:pPr>
              <w:jc w:val="right"/>
              <w:outlineLvl w:val="0"/>
              <w:rPr>
                <w:noProof/>
                <w:sz w:val="20"/>
                <w:szCs w:val="20"/>
              </w:rPr>
            </w:pPr>
            <w:bookmarkStart w:id="1477" w:name="_Toc223981076"/>
            <w:r w:rsidRPr="00975A9E">
              <w:rPr>
                <w:noProof/>
                <w:sz w:val="20"/>
                <w:szCs w:val="20"/>
              </w:rPr>
              <w:t>0.0</w:t>
            </w:r>
            <w:bookmarkEnd w:id="1477"/>
          </w:p>
        </w:tc>
        <w:tc>
          <w:tcPr>
            <w:tcW w:w="794" w:type="pct"/>
            <w:tcBorders>
              <w:top w:val="nil"/>
              <w:left w:val="nil"/>
              <w:bottom w:val="single" w:sz="4" w:space="0" w:color="auto"/>
              <w:right w:val="single" w:sz="4" w:space="0" w:color="auto"/>
            </w:tcBorders>
            <w:shd w:val="clear" w:color="000000" w:fill="FFFFFF"/>
            <w:noWrap/>
            <w:hideMark/>
          </w:tcPr>
          <w:p w14:paraId="1B2B86F5" w14:textId="77777777" w:rsidR="00975A9E" w:rsidRPr="00975A9E" w:rsidRDefault="00975A9E" w:rsidP="00975A9E">
            <w:pPr>
              <w:jc w:val="right"/>
              <w:outlineLvl w:val="0"/>
              <w:rPr>
                <w:noProof/>
                <w:sz w:val="20"/>
                <w:szCs w:val="20"/>
              </w:rPr>
            </w:pPr>
            <w:bookmarkStart w:id="1478" w:name="_Toc223981077"/>
            <w:r w:rsidRPr="00975A9E">
              <w:rPr>
                <w:noProof/>
                <w:sz w:val="20"/>
                <w:szCs w:val="20"/>
              </w:rPr>
              <w:t>0.0</w:t>
            </w:r>
            <w:bookmarkEnd w:id="1478"/>
          </w:p>
        </w:tc>
      </w:tr>
      <w:tr w:rsidR="00975A9E" w:rsidRPr="00C14AF8" w14:paraId="3E7FF231"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448125FE" w14:textId="77777777" w:rsidR="00975A9E" w:rsidRPr="00C14AF8" w:rsidRDefault="00975A9E" w:rsidP="00975A9E">
            <w:pPr>
              <w:outlineLvl w:val="0"/>
              <w:rPr>
                <w:noProof/>
                <w:sz w:val="20"/>
                <w:szCs w:val="20"/>
              </w:rPr>
            </w:pPr>
            <w:r w:rsidRPr="00C14AF8">
              <w:rPr>
                <w:noProof/>
                <w:sz w:val="20"/>
                <w:szCs w:val="20"/>
              </w:rPr>
              <w:t xml:space="preserve"> </w:t>
            </w:r>
            <w:bookmarkStart w:id="1479" w:name="_Toc223981078"/>
            <w:r w:rsidRPr="00C14AF8">
              <w:rPr>
                <w:noProof/>
                <w:sz w:val="20"/>
                <w:szCs w:val="20"/>
              </w:rPr>
              <w:t>Estonia</w:t>
            </w:r>
            <w:bookmarkEnd w:id="147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299B50ED" w14:textId="77777777" w:rsidR="00975A9E" w:rsidRPr="00975A9E" w:rsidRDefault="00975A9E" w:rsidP="00975A9E">
            <w:pPr>
              <w:jc w:val="right"/>
              <w:outlineLvl w:val="0"/>
              <w:rPr>
                <w:noProof/>
                <w:sz w:val="20"/>
                <w:szCs w:val="20"/>
              </w:rPr>
            </w:pPr>
            <w:bookmarkStart w:id="1480" w:name="_Toc223981079"/>
            <w:r w:rsidRPr="00975A9E">
              <w:rPr>
                <w:noProof/>
                <w:sz w:val="20"/>
                <w:szCs w:val="20"/>
              </w:rPr>
              <w:t>0.0</w:t>
            </w:r>
            <w:bookmarkEnd w:id="1480"/>
          </w:p>
        </w:tc>
        <w:tc>
          <w:tcPr>
            <w:tcW w:w="794" w:type="pct"/>
            <w:tcBorders>
              <w:top w:val="nil"/>
              <w:left w:val="nil"/>
              <w:bottom w:val="single" w:sz="4" w:space="0" w:color="auto"/>
              <w:right w:val="single" w:sz="4" w:space="0" w:color="auto"/>
            </w:tcBorders>
            <w:shd w:val="clear" w:color="000000" w:fill="FFFFFF"/>
            <w:noWrap/>
            <w:hideMark/>
          </w:tcPr>
          <w:p w14:paraId="467C4ACC" w14:textId="77777777" w:rsidR="00975A9E" w:rsidRPr="00975A9E" w:rsidRDefault="00975A9E" w:rsidP="00975A9E">
            <w:pPr>
              <w:jc w:val="right"/>
              <w:outlineLvl w:val="0"/>
              <w:rPr>
                <w:noProof/>
                <w:sz w:val="20"/>
                <w:szCs w:val="20"/>
              </w:rPr>
            </w:pPr>
            <w:bookmarkStart w:id="1481" w:name="_Toc223981080"/>
            <w:r w:rsidRPr="00975A9E">
              <w:rPr>
                <w:noProof/>
                <w:sz w:val="20"/>
                <w:szCs w:val="20"/>
              </w:rPr>
              <w:t>0.0</w:t>
            </w:r>
            <w:bookmarkEnd w:id="1481"/>
          </w:p>
        </w:tc>
        <w:tc>
          <w:tcPr>
            <w:tcW w:w="794" w:type="pct"/>
            <w:tcBorders>
              <w:top w:val="nil"/>
              <w:left w:val="nil"/>
              <w:bottom w:val="single" w:sz="4" w:space="0" w:color="auto"/>
              <w:right w:val="single" w:sz="4" w:space="0" w:color="auto"/>
            </w:tcBorders>
            <w:shd w:val="clear" w:color="000000" w:fill="FFFFFF"/>
            <w:noWrap/>
            <w:hideMark/>
          </w:tcPr>
          <w:p w14:paraId="294E3E84" w14:textId="77777777" w:rsidR="00975A9E" w:rsidRPr="00975A9E" w:rsidRDefault="00975A9E" w:rsidP="00975A9E">
            <w:pPr>
              <w:jc w:val="right"/>
              <w:outlineLvl w:val="0"/>
              <w:rPr>
                <w:noProof/>
                <w:sz w:val="20"/>
                <w:szCs w:val="20"/>
              </w:rPr>
            </w:pPr>
            <w:bookmarkStart w:id="1482" w:name="_Toc223981081"/>
            <w:r w:rsidRPr="00975A9E">
              <w:rPr>
                <w:noProof/>
                <w:sz w:val="20"/>
                <w:szCs w:val="20"/>
              </w:rPr>
              <w:t>0.0</w:t>
            </w:r>
            <w:bookmarkEnd w:id="1482"/>
          </w:p>
        </w:tc>
        <w:tc>
          <w:tcPr>
            <w:tcW w:w="794" w:type="pct"/>
            <w:tcBorders>
              <w:top w:val="nil"/>
              <w:left w:val="nil"/>
              <w:bottom w:val="single" w:sz="4" w:space="0" w:color="auto"/>
              <w:right w:val="single" w:sz="4" w:space="0" w:color="auto"/>
            </w:tcBorders>
            <w:shd w:val="clear" w:color="000000" w:fill="FFFFFF"/>
            <w:noWrap/>
            <w:hideMark/>
          </w:tcPr>
          <w:p w14:paraId="39C10F97" w14:textId="77777777" w:rsidR="00975A9E" w:rsidRPr="00975A9E" w:rsidRDefault="00975A9E" w:rsidP="00975A9E">
            <w:pPr>
              <w:jc w:val="right"/>
              <w:outlineLvl w:val="0"/>
              <w:rPr>
                <w:noProof/>
                <w:sz w:val="20"/>
                <w:szCs w:val="20"/>
              </w:rPr>
            </w:pPr>
            <w:bookmarkStart w:id="1483" w:name="_Toc223981082"/>
            <w:r w:rsidRPr="00975A9E">
              <w:rPr>
                <w:noProof/>
                <w:sz w:val="20"/>
                <w:szCs w:val="20"/>
              </w:rPr>
              <w:t>0.0</w:t>
            </w:r>
            <w:bookmarkEnd w:id="1483"/>
          </w:p>
        </w:tc>
      </w:tr>
      <w:tr w:rsidR="00975A9E" w:rsidRPr="00C14AF8" w14:paraId="65C8E80B"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4D7B0F93" w14:textId="77777777" w:rsidR="00975A9E" w:rsidRPr="00C14AF8" w:rsidRDefault="00975A9E" w:rsidP="00975A9E">
            <w:pPr>
              <w:outlineLvl w:val="0"/>
              <w:rPr>
                <w:noProof/>
                <w:sz w:val="20"/>
                <w:szCs w:val="20"/>
              </w:rPr>
            </w:pPr>
            <w:r w:rsidRPr="00C14AF8">
              <w:rPr>
                <w:noProof/>
                <w:sz w:val="20"/>
                <w:szCs w:val="20"/>
              </w:rPr>
              <w:t xml:space="preserve"> </w:t>
            </w:r>
            <w:bookmarkStart w:id="1484" w:name="_Toc223981083"/>
            <w:r w:rsidRPr="00C14AF8">
              <w:rPr>
                <w:noProof/>
                <w:sz w:val="20"/>
                <w:szCs w:val="20"/>
              </w:rPr>
              <w:t>Croatia</w:t>
            </w:r>
            <w:bookmarkEnd w:id="148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05116913" w14:textId="07254E81" w:rsidR="00975A9E" w:rsidRPr="00975A9E" w:rsidRDefault="00975A9E" w:rsidP="00975A9E">
            <w:pPr>
              <w:jc w:val="right"/>
              <w:outlineLvl w:val="0"/>
              <w:rPr>
                <w:noProof/>
                <w:sz w:val="20"/>
                <w:szCs w:val="20"/>
              </w:rPr>
            </w:pPr>
            <w:bookmarkStart w:id="1485" w:name="_Toc223981084"/>
            <w:r w:rsidRPr="00975A9E">
              <w:rPr>
                <w:noProof/>
                <w:sz w:val="20"/>
                <w:szCs w:val="20"/>
              </w:rPr>
              <w:t>176.4</w:t>
            </w:r>
            <w:bookmarkEnd w:id="1485"/>
          </w:p>
        </w:tc>
        <w:tc>
          <w:tcPr>
            <w:tcW w:w="794" w:type="pct"/>
            <w:tcBorders>
              <w:top w:val="nil"/>
              <w:left w:val="nil"/>
              <w:bottom w:val="single" w:sz="4" w:space="0" w:color="auto"/>
              <w:right w:val="single" w:sz="4" w:space="0" w:color="auto"/>
            </w:tcBorders>
            <w:shd w:val="clear" w:color="000000" w:fill="FFFFFF"/>
            <w:noWrap/>
            <w:hideMark/>
          </w:tcPr>
          <w:p w14:paraId="07F8BC3F" w14:textId="3D416575" w:rsidR="00975A9E" w:rsidRPr="00975A9E" w:rsidRDefault="00975A9E" w:rsidP="00975A9E">
            <w:pPr>
              <w:jc w:val="right"/>
              <w:outlineLvl w:val="0"/>
              <w:rPr>
                <w:noProof/>
                <w:sz w:val="20"/>
                <w:szCs w:val="20"/>
              </w:rPr>
            </w:pPr>
            <w:bookmarkStart w:id="1486" w:name="_Toc223981085"/>
            <w:r w:rsidRPr="00975A9E">
              <w:rPr>
                <w:noProof/>
                <w:sz w:val="20"/>
                <w:szCs w:val="20"/>
              </w:rPr>
              <w:t>27.2</w:t>
            </w:r>
            <w:bookmarkEnd w:id="1486"/>
          </w:p>
        </w:tc>
        <w:tc>
          <w:tcPr>
            <w:tcW w:w="794" w:type="pct"/>
            <w:tcBorders>
              <w:top w:val="nil"/>
              <w:left w:val="nil"/>
              <w:bottom w:val="single" w:sz="4" w:space="0" w:color="auto"/>
              <w:right w:val="single" w:sz="4" w:space="0" w:color="auto"/>
            </w:tcBorders>
            <w:shd w:val="clear" w:color="000000" w:fill="FFFFFF"/>
            <w:noWrap/>
            <w:hideMark/>
          </w:tcPr>
          <w:p w14:paraId="6C5A7528" w14:textId="10DE14FF" w:rsidR="00975A9E" w:rsidRPr="00975A9E" w:rsidRDefault="00975A9E" w:rsidP="00975A9E">
            <w:pPr>
              <w:jc w:val="right"/>
              <w:outlineLvl w:val="0"/>
              <w:rPr>
                <w:noProof/>
                <w:sz w:val="20"/>
                <w:szCs w:val="20"/>
              </w:rPr>
            </w:pPr>
            <w:bookmarkStart w:id="1487" w:name="_Toc223981086"/>
            <w:r w:rsidRPr="00975A9E">
              <w:rPr>
                <w:noProof/>
                <w:sz w:val="20"/>
                <w:szCs w:val="20"/>
              </w:rPr>
              <w:t>40.7</w:t>
            </w:r>
            <w:bookmarkEnd w:id="1487"/>
          </w:p>
        </w:tc>
        <w:tc>
          <w:tcPr>
            <w:tcW w:w="794" w:type="pct"/>
            <w:tcBorders>
              <w:top w:val="nil"/>
              <w:left w:val="nil"/>
              <w:bottom w:val="single" w:sz="4" w:space="0" w:color="auto"/>
              <w:right w:val="single" w:sz="4" w:space="0" w:color="auto"/>
            </w:tcBorders>
            <w:shd w:val="clear" w:color="000000" w:fill="FFFFFF"/>
            <w:noWrap/>
            <w:hideMark/>
          </w:tcPr>
          <w:p w14:paraId="654D692E" w14:textId="32D825CC" w:rsidR="00975A9E" w:rsidRPr="00975A9E" w:rsidRDefault="00975A9E" w:rsidP="00975A9E">
            <w:pPr>
              <w:jc w:val="right"/>
              <w:outlineLvl w:val="0"/>
              <w:rPr>
                <w:noProof/>
                <w:sz w:val="20"/>
                <w:szCs w:val="20"/>
              </w:rPr>
            </w:pPr>
            <w:bookmarkStart w:id="1488" w:name="_Toc223981087"/>
            <w:r w:rsidRPr="00975A9E">
              <w:rPr>
                <w:noProof/>
                <w:sz w:val="20"/>
                <w:szCs w:val="20"/>
              </w:rPr>
              <w:t>30.6</w:t>
            </w:r>
            <w:bookmarkEnd w:id="1488"/>
          </w:p>
        </w:tc>
      </w:tr>
      <w:tr w:rsidR="00975A9E" w:rsidRPr="00C14AF8" w14:paraId="4271DA48"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77AE222" w14:textId="77777777" w:rsidR="00975A9E" w:rsidRPr="00C14AF8" w:rsidRDefault="00975A9E" w:rsidP="00975A9E">
            <w:pPr>
              <w:outlineLvl w:val="0"/>
              <w:rPr>
                <w:noProof/>
                <w:sz w:val="20"/>
                <w:szCs w:val="20"/>
              </w:rPr>
            </w:pPr>
            <w:r w:rsidRPr="00C14AF8">
              <w:rPr>
                <w:noProof/>
                <w:sz w:val="20"/>
                <w:szCs w:val="20"/>
              </w:rPr>
              <w:t xml:space="preserve"> </w:t>
            </w:r>
            <w:bookmarkStart w:id="1489" w:name="_Toc223981088"/>
            <w:r w:rsidRPr="00C14AF8">
              <w:rPr>
                <w:noProof/>
                <w:sz w:val="20"/>
                <w:szCs w:val="20"/>
              </w:rPr>
              <w:t>Lithuania</w:t>
            </w:r>
            <w:bookmarkEnd w:id="148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70422105" w14:textId="77777777" w:rsidR="00975A9E" w:rsidRPr="00975A9E" w:rsidRDefault="00975A9E" w:rsidP="00975A9E">
            <w:pPr>
              <w:jc w:val="right"/>
              <w:outlineLvl w:val="0"/>
              <w:rPr>
                <w:noProof/>
                <w:sz w:val="20"/>
                <w:szCs w:val="20"/>
              </w:rPr>
            </w:pPr>
            <w:bookmarkStart w:id="1490" w:name="_Toc223981089"/>
            <w:r w:rsidRPr="00975A9E">
              <w:rPr>
                <w:noProof/>
                <w:sz w:val="20"/>
                <w:szCs w:val="20"/>
              </w:rPr>
              <w:t>0.0</w:t>
            </w:r>
            <w:bookmarkEnd w:id="1490"/>
          </w:p>
        </w:tc>
        <w:tc>
          <w:tcPr>
            <w:tcW w:w="794" w:type="pct"/>
            <w:tcBorders>
              <w:top w:val="nil"/>
              <w:left w:val="nil"/>
              <w:bottom w:val="single" w:sz="4" w:space="0" w:color="auto"/>
              <w:right w:val="single" w:sz="4" w:space="0" w:color="auto"/>
            </w:tcBorders>
            <w:shd w:val="clear" w:color="000000" w:fill="FFFFFF"/>
            <w:noWrap/>
            <w:hideMark/>
          </w:tcPr>
          <w:p w14:paraId="33F9A185" w14:textId="77777777" w:rsidR="00975A9E" w:rsidRPr="00975A9E" w:rsidRDefault="00975A9E" w:rsidP="00975A9E">
            <w:pPr>
              <w:jc w:val="right"/>
              <w:outlineLvl w:val="0"/>
              <w:rPr>
                <w:noProof/>
                <w:sz w:val="20"/>
                <w:szCs w:val="20"/>
              </w:rPr>
            </w:pPr>
            <w:bookmarkStart w:id="1491" w:name="_Toc223981090"/>
            <w:r w:rsidRPr="00975A9E">
              <w:rPr>
                <w:noProof/>
                <w:sz w:val="20"/>
                <w:szCs w:val="20"/>
              </w:rPr>
              <w:t>0.0</w:t>
            </w:r>
            <w:bookmarkEnd w:id="1491"/>
          </w:p>
        </w:tc>
        <w:tc>
          <w:tcPr>
            <w:tcW w:w="794" w:type="pct"/>
            <w:tcBorders>
              <w:top w:val="nil"/>
              <w:left w:val="nil"/>
              <w:bottom w:val="single" w:sz="4" w:space="0" w:color="auto"/>
              <w:right w:val="single" w:sz="4" w:space="0" w:color="auto"/>
            </w:tcBorders>
            <w:shd w:val="clear" w:color="000000" w:fill="FFFFFF"/>
            <w:noWrap/>
            <w:hideMark/>
          </w:tcPr>
          <w:p w14:paraId="0AB649F4" w14:textId="77777777" w:rsidR="00975A9E" w:rsidRPr="00975A9E" w:rsidRDefault="00975A9E" w:rsidP="00975A9E">
            <w:pPr>
              <w:jc w:val="right"/>
              <w:outlineLvl w:val="0"/>
              <w:rPr>
                <w:noProof/>
                <w:sz w:val="20"/>
                <w:szCs w:val="20"/>
              </w:rPr>
            </w:pPr>
            <w:bookmarkStart w:id="1492" w:name="_Toc223981091"/>
            <w:r w:rsidRPr="00975A9E">
              <w:rPr>
                <w:noProof/>
                <w:sz w:val="20"/>
                <w:szCs w:val="20"/>
              </w:rPr>
              <w:t>0.0</w:t>
            </w:r>
            <w:bookmarkEnd w:id="1492"/>
          </w:p>
        </w:tc>
        <w:tc>
          <w:tcPr>
            <w:tcW w:w="794" w:type="pct"/>
            <w:tcBorders>
              <w:top w:val="nil"/>
              <w:left w:val="nil"/>
              <w:bottom w:val="single" w:sz="4" w:space="0" w:color="auto"/>
              <w:right w:val="single" w:sz="4" w:space="0" w:color="auto"/>
            </w:tcBorders>
            <w:shd w:val="clear" w:color="000000" w:fill="FFFFFF"/>
            <w:noWrap/>
            <w:hideMark/>
          </w:tcPr>
          <w:p w14:paraId="0E3FD8EE" w14:textId="77777777" w:rsidR="00975A9E" w:rsidRPr="00975A9E" w:rsidRDefault="00975A9E" w:rsidP="00975A9E">
            <w:pPr>
              <w:jc w:val="right"/>
              <w:outlineLvl w:val="0"/>
              <w:rPr>
                <w:noProof/>
                <w:sz w:val="20"/>
                <w:szCs w:val="20"/>
              </w:rPr>
            </w:pPr>
            <w:bookmarkStart w:id="1493" w:name="_Toc223981092"/>
            <w:r w:rsidRPr="00975A9E">
              <w:rPr>
                <w:noProof/>
                <w:sz w:val="20"/>
                <w:szCs w:val="20"/>
              </w:rPr>
              <w:t>0.0</w:t>
            </w:r>
            <w:bookmarkEnd w:id="1493"/>
          </w:p>
        </w:tc>
      </w:tr>
      <w:tr w:rsidR="00975A9E" w:rsidRPr="00C14AF8" w14:paraId="6F2775A4"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24CFE25C" w14:textId="77777777" w:rsidR="00975A9E" w:rsidRPr="00C14AF8" w:rsidRDefault="00975A9E" w:rsidP="00975A9E">
            <w:pPr>
              <w:outlineLvl w:val="0"/>
              <w:rPr>
                <w:noProof/>
                <w:sz w:val="20"/>
                <w:szCs w:val="20"/>
              </w:rPr>
            </w:pPr>
            <w:r w:rsidRPr="00C14AF8">
              <w:rPr>
                <w:noProof/>
                <w:sz w:val="20"/>
                <w:szCs w:val="20"/>
              </w:rPr>
              <w:t xml:space="preserve"> </w:t>
            </w:r>
            <w:bookmarkStart w:id="1494" w:name="_Toc223981093"/>
            <w:r w:rsidRPr="00C14AF8">
              <w:rPr>
                <w:noProof/>
                <w:sz w:val="20"/>
                <w:szCs w:val="20"/>
              </w:rPr>
              <w:t>Hungary</w:t>
            </w:r>
            <w:bookmarkEnd w:id="149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562BB3F8" w14:textId="01BAEF3E" w:rsidR="00975A9E" w:rsidRPr="00975A9E" w:rsidRDefault="00975A9E" w:rsidP="00975A9E">
            <w:pPr>
              <w:jc w:val="right"/>
              <w:outlineLvl w:val="0"/>
              <w:rPr>
                <w:noProof/>
                <w:sz w:val="20"/>
                <w:szCs w:val="20"/>
              </w:rPr>
            </w:pPr>
            <w:bookmarkStart w:id="1495" w:name="_Toc223981094"/>
            <w:r w:rsidRPr="00975A9E">
              <w:rPr>
                <w:noProof/>
                <w:sz w:val="20"/>
                <w:szCs w:val="20"/>
              </w:rPr>
              <w:t>529.1</w:t>
            </w:r>
            <w:bookmarkEnd w:id="1495"/>
          </w:p>
        </w:tc>
        <w:tc>
          <w:tcPr>
            <w:tcW w:w="794" w:type="pct"/>
            <w:tcBorders>
              <w:top w:val="nil"/>
              <w:left w:val="nil"/>
              <w:bottom w:val="single" w:sz="4" w:space="0" w:color="auto"/>
              <w:right w:val="single" w:sz="4" w:space="0" w:color="auto"/>
            </w:tcBorders>
            <w:shd w:val="clear" w:color="000000" w:fill="FFFFFF"/>
            <w:noWrap/>
            <w:hideMark/>
          </w:tcPr>
          <w:p w14:paraId="65A4150C" w14:textId="7B78C7EE" w:rsidR="00975A9E" w:rsidRPr="00975A9E" w:rsidRDefault="00975A9E" w:rsidP="00975A9E">
            <w:pPr>
              <w:jc w:val="right"/>
              <w:outlineLvl w:val="0"/>
              <w:rPr>
                <w:noProof/>
                <w:sz w:val="20"/>
                <w:szCs w:val="20"/>
              </w:rPr>
            </w:pPr>
            <w:bookmarkStart w:id="1496" w:name="_Toc223981095"/>
            <w:r w:rsidRPr="00975A9E">
              <w:rPr>
                <w:noProof/>
                <w:sz w:val="20"/>
                <w:szCs w:val="20"/>
              </w:rPr>
              <w:t>81.6</w:t>
            </w:r>
            <w:bookmarkEnd w:id="1496"/>
          </w:p>
        </w:tc>
        <w:tc>
          <w:tcPr>
            <w:tcW w:w="794" w:type="pct"/>
            <w:tcBorders>
              <w:top w:val="nil"/>
              <w:left w:val="nil"/>
              <w:bottom w:val="single" w:sz="4" w:space="0" w:color="auto"/>
              <w:right w:val="single" w:sz="4" w:space="0" w:color="auto"/>
            </w:tcBorders>
            <w:shd w:val="clear" w:color="000000" w:fill="FFFFFF"/>
            <w:noWrap/>
            <w:hideMark/>
          </w:tcPr>
          <w:p w14:paraId="62C85309" w14:textId="639AEE52" w:rsidR="00975A9E" w:rsidRPr="00975A9E" w:rsidRDefault="00975A9E" w:rsidP="00975A9E">
            <w:pPr>
              <w:jc w:val="right"/>
              <w:outlineLvl w:val="0"/>
              <w:rPr>
                <w:noProof/>
                <w:sz w:val="20"/>
                <w:szCs w:val="20"/>
              </w:rPr>
            </w:pPr>
            <w:bookmarkStart w:id="1497" w:name="_Toc223981096"/>
            <w:r w:rsidRPr="00975A9E">
              <w:rPr>
                <w:noProof/>
                <w:sz w:val="20"/>
                <w:szCs w:val="20"/>
              </w:rPr>
              <w:t>122.2</w:t>
            </w:r>
            <w:bookmarkEnd w:id="1497"/>
          </w:p>
        </w:tc>
        <w:tc>
          <w:tcPr>
            <w:tcW w:w="794" w:type="pct"/>
            <w:tcBorders>
              <w:top w:val="nil"/>
              <w:left w:val="nil"/>
              <w:bottom w:val="single" w:sz="4" w:space="0" w:color="auto"/>
              <w:right w:val="single" w:sz="4" w:space="0" w:color="auto"/>
            </w:tcBorders>
            <w:shd w:val="clear" w:color="000000" w:fill="FFFFFF"/>
            <w:noWrap/>
            <w:hideMark/>
          </w:tcPr>
          <w:p w14:paraId="3A266CC4" w14:textId="49B5B01B" w:rsidR="00975A9E" w:rsidRPr="00975A9E" w:rsidRDefault="00975A9E" w:rsidP="00975A9E">
            <w:pPr>
              <w:jc w:val="right"/>
              <w:outlineLvl w:val="0"/>
              <w:rPr>
                <w:noProof/>
                <w:sz w:val="20"/>
                <w:szCs w:val="20"/>
              </w:rPr>
            </w:pPr>
            <w:bookmarkStart w:id="1498" w:name="_Toc223981097"/>
            <w:r w:rsidRPr="00975A9E">
              <w:rPr>
                <w:noProof/>
                <w:sz w:val="20"/>
                <w:szCs w:val="20"/>
              </w:rPr>
              <w:t>91.7</w:t>
            </w:r>
            <w:bookmarkEnd w:id="1498"/>
          </w:p>
        </w:tc>
      </w:tr>
      <w:tr w:rsidR="00975A9E" w:rsidRPr="00C14AF8" w14:paraId="0E67F62B"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57D8F7A2" w14:textId="77777777" w:rsidR="00975A9E" w:rsidRPr="00C14AF8" w:rsidRDefault="00975A9E" w:rsidP="00975A9E">
            <w:pPr>
              <w:outlineLvl w:val="0"/>
              <w:rPr>
                <w:noProof/>
                <w:sz w:val="20"/>
                <w:szCs w:val="20"/>
              </w:rPr>
            </w:pPr>
            <w:r w:rsidRPr="00C14AF8">
              <w:rPr>
                <w:noProof/>
                <w:sz w:val="20"/>
                <w:szCs w:val="20"/>
              </w:rPr>
              <w:t xml:space="preserve"> </w:t>
            </w:r>
            <w:bookmarkStart w:id="1499" w:name="_Toc223981098"/>
            <w:r w:rsidRPr="00C14AF8">
              <w:rPr>
                <w:noProof/>
                <w:sz w:val="20"/>
                <w:szCs w:val="20"/>
              </w:rPr>
              <w:t>Sweden</w:t>
            </w:r>
            <w:bookmarkEnd w:id="149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39A0E0C9" w14:textId="5A31E05C" w:rsidR="00975A9E" w:rsidRPr="00975A9E" w:rsidRDefault="00975A9E" w:rsidP="00975A9E">
            <w:pPr>
              <w:jc w:val="right"/>
              <w:outlineLvl w:val="0"/>
              <w:rPr>
                <w:noProof/>
                <w:sz w:val="20"/>
                <w:szCs w:val="20"/>
              </w:rPr>
            </w:pPr>
            <w:bookmarkStart w:id="1500" w:name="_Toc223981099"/>
            <w:r w:rsidRPr="00975A9E">
              <w:rPr>
                <w:noProof/>
                <w:sz w:val="20"/>
                <w:szCs w:val="20"/>
              </w:rPr>
              <w:t>352.8</w:t>
            </w:r>
            <w:bookmarkEnd w:id="1500"/>
          </w:p>
        </w:tc>
        <w:tc>
          <w:tcPr>
            <w:tcW w:w="794" w:type="pct"/>
            <w:tcBorders>
              <w:top w:val="nil"/>
              <w:left w:val="nil"/>
              <w:bottom w:val="single" w:sz="4" w:space="0" w:color="auto"/>
              <w:right w:val="single" w:sz="4" w:space="0" w:color="auto"/>
            </w:tcBorders>
            <w:shd w:val="clear" w:color="000000" w:fill="FFFFFF"/>
            <w:noWrap/>
            <w:hideMark/>
          </w:tcPr>
          <w:p w14:paraId="6BDC5E2D" w14:textId="4679207C" w:rsidR="00975A9E" w:rsidRPr="00975A9E" w:rsidRDefault="00975A9E" w:rsidP="00975A9E">
            <w:pPr>
              <w:jc w:val="right"/>
              <w:outlineLvl w:val="0"/>
              <w:rPr>
                <w:noProof/>
                <w:sz w:val="20"/>
                <w:szCs w:val="20"/>
              </w:rPr>
            </w:pPr>
            <w:bookmarkStart w:id="1501" w:name="_Toc223981100"/>
            <w:r w:rsidRPr="00975A9E">
              <w:rPr>
                <w:noProof/>
                <w:sz w:val="20"/>
                <w:szCs w:val="20"/>
              </w:rPr>
              <w:t>54.4</w:t>
            </w:r>
            <w:bookmarkEnd w:id="1501"/>
          </w:p>
        </w:tc>
        <w:tc>
          <w:tcPr>
            <w:tcW w:w="794" w:type="pct"/>
            <w:tcBorders>
              <w:top w:val="nil"/>
              <w:left w:val="nil"/>
              <w:bottom w:val="single" w:sz="4" w:space="0" w:color="auto"/>
              <w:right w:val="single" w:sz="4" w:space="0" w:color="auto"/>
            </w:tcBorders>
            <w:shd w:val="clear" w:color="000000" w:fill="FFFFFF"/>
            <w:noWrap/>
            <w:hideMark/>
          </w:tcPr>
          <w:p w14:paraId="0015D86A" w14:textId="2FE00093" w:rsidR="00975A9E" w:rsidRPr="00975A9E" w:rsidRDefault="00975A9E" w:rsidP="00975A9E">
            <w:pPr>
              <w:jc w:val="right"/>
              <w:outlineLvl w:val="0"/>
              <w:rPr>
                <w:noProof/>
                <w:sz w:val="20"/>
                <w:szCs w:val="20"/>
              </w:rPr>
            </w:pPr>
            <w:bookmarkStart w:id="1502" w:name="_Toc223981101"/>
            <w:r w:rsidRPr="00975A9E">
              <w:rPr>
                <w:noProof/>
                <w:sz w:val="20"/>
                <w:szCs w:val="20"/>
              </w:rPr>
              <w:t>81.5</w:t>
            </w:r>
            <w:bookmarkEnd w:id="1502"/>
          </w:p>
        </w:tc>
        <w:tc>
          <w:tcPr>
            <w:tcW w:w="794" w:type="pct"/>
            <w:tcBorders>
              <w:top w:val="nil"/>
              <w:left w:val="nil"/>
              <w:bottom w:val="single" w:sz="4" w:space="0" w:color="auto"/>
              <w:right w:val="single" w:sz="4" w:space="0" w:color="auto"/>
            </w:tcBorders>
            <w:shd w:val="clear" w:color="000000" w:fill="FFFFFF"/>
            <w:noWrap/>
            <w:hideMark/>
          </w:tcPr>
          <w:p w14:paraId="611C1BEB" w14:textId="3F82E4D7" w:rsidR="00975A9E" w:rsidRPr="00975A9E" w:rsidRDefault="00975A9E" w:rsidP="00975A9E">
            <w:pPr>
              <w:jc w:val="right"/>
              <w:outlineLvl w:val="0"/>
              <w:rPr>
                <w:noProof/>
                <w:sz w:val="20"/>
                <w:szCs w:val="20"/>
              </w:rPr>
            </w:pPr>
            <w:bookmarkStart w:id="1503" w:name="_Toc223981102"/>
            <w:r w:rsidRPr="00975A9E">
              <w:rPr>
                <w:noProof/>
                <w:sz w:val="20"/>
                <w:szCs w:val="20"/>
              </w:rPr>
              <w:t>61.1</w:t>
            </w:r>
            <w:bookmarkEnd w:id="1503"/>
          </w:p>
        </w:tc>
      </w:tr>
      <w:tr w:rsidR="00975A9E" w:rsidRPr="00C14AF8" w14:paraId="55A54BBF"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455B9109" w14:textId="79DAB845" w:rsidR="00975A9E" w:rsidRPr="00C14AF8" w:rsidRDefault="00975A9E" w:rsidP="00975A9E">
            <w:pPr>
              <w:outlineLvl w:val="0"/>
              <w:rPr>
                <w:noProof/>
                <w:sz w:val="20"/>
                <w:szCs w:val="20"/>
              </w:rPr>
            </w:pPr>
            <w:r w:rsidRPr="00C14AF8">
              <w:rPr>
                <w:noProof/>
                <w:sz w:val="20"/>
                <w:szCs w:val="20"/>
              </w:rPr>
              <w:t xml:space="preserve"> </w:t>
            </w:r>
            <w:bookmarkStart w:id="1504" w:name="_Toc223981103"/>
            <w:r w:rsidRPr="00C14AF8">
              <w:rPr>
                <w:noProof/>
                <w:sz w:val="20"/>
                <w:szCs w:val="20"/>
              </w:rPr>
              <w:t>Czechia</w:t>
            </w:r>
            <w:bookmarkEnd w:id="1504"/>
          </w:p>
        </w:tc>
        <w:tc>
          <w:tcPr>
            <w:tcW w:w="794" w:type="pct"/>
            <w:tcBorders>
              <w:top w:val="nil"/>
              <w:left w:val="nil"/>
              <w:bottom w:val="single" w:sz="4" w:space="0" w:color="auto"/>
              <w:right w:val="single" w:sz="4" w:space="0" w:color="auto"/>
            </w:tcBorders>
            <w:shd w:val="clear" w:color="000000" w:fill="FFFFFF"/>
            <w:noWrap/>
            <w:hideMark/>
          </w:tcPr>
          <w:p w14:paraId="64D7CFB3" w14:textId="1B91D2FD" w:rsidR="00975A9E" w:rsidRPr="00975A9E" w:rsidRDefault="00975A9E" w:rsidP="00975A9E">
            <w:pPr>
              <w:jc w:val="right"/>
              <w:outlineLvl w:val="0"/>
              <w:rPr>
                <w:noProof/>
                <w:sz w:val="20"/>
                <w:szCs w:val="20"/>
              </w:rPr>
            </w:pPr>
            <w:bookmarkStart w:id="1505" w:name="_Toc223981104"/>
            <w:r w:rsidRPr="00975A9E">
              <w:rPr>
                <w:noProof/>
                <w:sz w:val="20"/>
                <w:szCs w:val="20"/>
              </w:rPr>
              <w:t>529.1</w:t>
            </w:r>
            <w:bookmarkEnd w:id="1505"/>
          </w:p>
        </w:tc>
        <w:tc>
          <w:tcPr>
            <w:tcW w:w="794" w:type="pct"/>
            <w:tcBorders>
              <w:top w:val="nil"/>
              <w:left w:val="nil"/>
              <w:bottom w:val="single" w:sz="4" w:space="0" w:color="auto"/>
              <w:right w:val="single" w:sz="4" w:space="0" w:color="auto"/>
            </w:tcBorders>
            <w:shd w:val="clear" w:color="000000" w:fill="FFFFFF"/>
            <w:noWrap/>
            <w:hideMark/>
          </w:tcPr>
          <w:p w14:paraId="4647E02B" w14:textId="4458074E" w:rsidR="00975A9E" w:rsidRPr="00975A9E" w:rsidRDefault="00975A9E" w:rsidP="00975A9E">
            <w:pPr>
              <w:jc w:val="right"/>
              <w:outlineLvl w:val="0"/>
              <w:rPr>
                <w:noProof/>
                <w:sz w:val="20"/>
                <w:szCs w:val="20"/>
              </w:rPr>
            </w:pPr>
            <w:bookmarkStart w:id="1506" w:name="_Toc223981105"/>
            <w:r w:rsidRPr="00975A9E">
              <w:rPr>
                <w:noProof/>
                <w:sz w:val="20"/>
                <w:szCs w:val="20"/>
              </w:rPr>
              <w:t>81.6</w:t>
            </w:r>
            <w:bookmarkEnd w:id="1506"/>
          </w:p>
        </w:tc>
        <w:tc>
          <w:tcPr>
            <w:tcW w:w="794" w:type="pct"/>
            <w:tcBorders>
              <w:top w:val="nil"/>
              <w:left w:val="nil"/>
              <w:bottom w:val="single" w:sz="4" w:space="0" w:color="auto"/>
              <w:right w:val="single" w:sz="4" w:space="0" w:color="auto"/>
            </w:tcBorders>
            <w:shd w:val="clear" w:color="000000" w:fill="FFFFFF"/>
            <w:noWrap/>
            <w:hideMark/>
          </w:tcPr>
          <w:p w14:paraId="4E6F98CD" w14:textId="001D1B8C" w:rsidR="00975A9E" w:rsidRPr="00975A9E" w:rsidRDefault="00975A9E" w:rsidP="00975A9E">
            <w:pPr>
              <w:jc w:val="right"/>
              <w:outlineLvl w:val="0"/>
              <w:rPr>
                <w:noProof/>
                <w:sz w:val="20"/>
                <w:szCs w:val="20"/>
              </w:rPr>
            </w:pPr>
            <w:bookmarkStart w:id="1507" w:name="_Toc223981106"/>
            <w:r w:rsidRPr="00975A9E">
              <w:rPr>
                <w:noProof/>
                <w:sz w:val="20"/>
                <w:szCs w:val="20"/>
              </w:rPr>
              <w:t>122.2</w:t>
            </w:r>
            <w:bookmarkEnd w:id="1507"/>
          </w:p>
        </w:tc>
        <w:tc>
          <w:tcPr>
            <w:tcW w:w="794" w:type="pct"/>
            <w:tcBorders>
              <w:top w:val="nil"/>
              <w:left w:val="nil"/>
              <w:bottom w:val="single" w:sz="4" w:space="0" w:color="auto"/>
              <w:right w:val="single" w:sz="4" w:space="0" w:color="auto"/>
            </w:tcBorders>
            <w:shd w:val="clear" w:color="000000" w:fill="FFFFFF"/>
            <w:noWrap/>
            <w:hideMark/>
          </w:tcPr>
          <w:p w14:paraId="2A45DFBE" w14:textId="77B68606" w:rsidR="00975A9E" w:rsidRPr="00975A9E" w:rsidRDefault="00975A9E" w:rsidP="00975A9E">
            <w:pPr>
              <w:jc w:val="right"/>
              <w:outlineLvl w:val="0"/>
              <w:rPr>
                <w:noProof/>
                <w:sz w:val="20"/>
                <w:szCs w:val="20"/>
              </w:rPr>
            </w:pPr>
            <w:bookmarkStart w:id="1508" w:name="_Toc223981107"/>
            <w:r w:rsidRPr="00975A9E">
              <w:rPr>
                <w:noProof/>
                <w:sz w:val="20"/>
                <w:szCs w:val="20"/>
              </w:rPr>
              <w:t>91.7</w:t>
            </w:r>
            <w:bookmarkEnd w:id="1508"/>
          </w:p>
        </w:tc>
      </w:tr>
      <w:tr w:rsidR="00975A9E" w:rsidRPr="00C14AF8" w14:paraId="2E9BA60D"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4157C26B" w14:textId="77777777" w:rsidR="00975A9E" w:rsidRPr="00C14AF8" w:rsidRDefault="00975A9E" w:rsidP="00975A9E">
            <w:pPr>
              <w:outlineLvl w:val="0"/>
              <w:rPr>
                <w:noProof/>
                <w:sz w:val="20"/>
                <w:szCs w:val="20"/>
              </w:rPr>
            </w:pPr>
            <w:r w:rsidRPr="00C14AF8">
              <w:rPr>
                <w:noProof/>
                <w:sz w:val="20"/>
                <w:szCs w:val="20"/>
              </w:rPr>
              <w:t xml:space="preserve"> </w:t>
            </w:r>
            <w:bookmarkStart w:id="1509" w:name="_Toc223981108"/>
            <w:r w:rsidRPr="00C14AF8">
              <w:rPr>
                <w:noProof/>
                <w:sz w:val="20"/>
                <w:szCs w:val="20"/>
              </w:rPr>
              <w:t>Ireland</w:t>
            </w:r>
            <w:bookmarkEnd w:id="150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5ECA4927" w14:textId="30408EEA" w:rsidR="00975A9E" w:rsidRPr="00975A9E" w:rsidRDefault="00975A9E" w:rsidP="00975A9E">
            <w:pPr>
              <w:jc w:val="right"/>
              <w:outlineLvl w:val="0"/>
              <w:rPr>
                <w:noProof/>
                <w:sz w:val="20"/>
                <w:szCs w:val="20"/>
              </w:rPr>
            </w:pPr>
            <w:bookmarkStart w:id="1510" w:name="_Toc223981109"/>
            <w:r w:rsidRPr="00975A9E">
              <w:rPr>
                <w:noProof/>
                <w:sz w:val="20"/>
                <w:szCs w:val="20"/>
              </w:rPr>
              <w:t>352.8</w:t>
            </w:r>
            <w:bookmarkEnd w:id="1510"/>
          </w:p>
        </w:tc>
        <w:tc>
          <w:tcPr>
            <w:tcW w:w="794" w:type="pct"/>
            <w:tcBorders>
              <w:top w:val="nil"/>
              <w:left w:val="nil"/>
              <w:bottom w:val="single" w:sz="4" w:space="0" w:color="auto"/>
              <w:right w:val="single" w:sz="4" w:space="0" w:color="auto"/>
            </w:tcBorders>
            <w:shd w:val="clear" w:color="000000" w:fill="FFFFFF"/>
            <w:noWrap/>
            <w:hideMark/>
          </w:tcPr>
          <w:p w14:paraId="1165458C" w14:textId="37B77D1A" w:rsidR="00975A9E" w:rsidRPr="00975A9E" w:rsidRDefault="00975A9E" w:rsidP="00975A9E">
            <w:pPr>
              <w:jc w:val="right"/>
              <w:outlineLvl w:val="0"/>
              <w:rPr>
                <w:noProof/>
                <w:sz w:val="20"/>
                <w:szCs w:val="20"/>
              </w:rPr>
            </w:pPr>
            <w:bookmarkStart w:id="1511" w:name="_Toc223981110"/>
            <w:r w:rsidRPr="00975A9E">
              <w:rPr>
                <w:noProof/>
                <w:sz w:val="20"/>
                <w:szCs w:val="20"/>
              </w:rPr>
              <w:t>54.4</w:t>
            </w:r>
            <w:bookmarkEnd w:id="1511"/>
          </w:p>
        </w:tc>
        <w:tc>
          <w:tcPr>
            <w:tcW w:w="794" w:type="pct"/>
            <w:tcBorders>
              <w:top w:val="nil"/>
              <w:left w:val="nil"/>
              <w:bottom w:val="single" w:sz="4" w:space="0" w:color="auto"/>
              <w:right w:val="single" w:sz="4" w:space="0" w:color="auto"/>
            </w:tcBorders>
            <w:shd w:val="clear" w:color="000000" w:fill="FFFFFF"/>
            <w:noWrap/>
            <w:hideMark/>
          </w:tcPr>
          <w:p w14:paraId="7529C04E" w14:textId="15471CF9" w:rsidR="00975A9E" w:rsidRPr="00975A9E" w:rsidRDefault="00975A9E" w:rsidP="00975A9E">
            <w:pPr>
              <w:jc w:val="right"/>
              <w:outlineLvl w:val="0"/>
              <w:rPr>
                <w:noProof/>
                <w:sz w:val="20"/>
                <w:szCs w:val="20"/>
              </w:rPr>
            </w:pPr>
            <w:bookmarkStart w:id="1512" w:name="_Toc223981111"/>
            <w:r w:rsidRPr="00975A9E">
              <w:rPr>
                <w:noProof/>
                <w:sz w:val="20"/>
                <w:szCs w:val="20"/>
              </w:rPr>
              <w:t>81.5</w:t>
            </w:r>
            <w:bookmarkEnd w:id="1512"/>
          </w:p>
        </w:tc>
        <w:tc>
          <w:tcPr>
            <w:tcW w:w="794" w:type="pct"/>
            <w:tcBorders>
              <w:top w:val="nil"/>
              <w:left w:val="nil"/>
              <w:bottom w:val="single" w:sz="4" w:space="0" w:color="auto"/>
              <w:right w:val="single" w:sz="4" w:space="0" w:color="auto"/>
            </w:tcBorders>
            <w:shd w:val="clear" w:color="000000" w:fill="FFFFFF"/>
            <w:noWrap/>
            <w:hideMark/>
          </w:tcPr>
          <w:p w14:paraId="5DC3763B" w14:textId="642F3DB8" w:rsidR="00975A9E" w:rsidRPr="00975A9E" w:rsidRDefault="00975A9E" w:rsidP="00975A9E">
            <w:pPr>
              <w:jc w:val="right"/>
              <w:outlineLvl w:val="0"/>
              <w:rPr>
                <w:noProof/>
                <w:sz w:val="20"/>
                <w:szCs w:val="20"/>
              </w:rPr>
            </w:pPr>
            <w:bookmarkStart w:id="1513" w:name="_Toc223981112"/>
            <w:r w:rsidRPr="00975A9E">
              <w:rPr>
                <w:noProof/>
                <w:sz w:val="20"/>
                <w:szCs w:val="20"/>
              </w:rPr>
              <w:t>61.1</w:t>
            </w:r>
            <w:bookmarkEnd w:id="1513"/>
          </w:p>
        </w:tc>
      </w:tr>
      <w:tr w:rsidR="00975A9E" w:rsidRPr="00C14AF8" w14:paraId="7D6F1508"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243E1ACA" w14:textId="77777777" w:rsidR="00975A9E" w:rsidRPr="00C14AF8" w:rsidRDefault="00975A9E" w:rsidP="00975A9E">
            <w:pPr>
              <w:outlineLvl w:val="0"/>
              <w:rPr>
                <w:noProof/>
                <w:sz w:val="20"/>
                <w:szCs w:val="20"/>
              </w:rPr>
            </w:pPr>
            <w:r w:rsidRPr="00C14AF8">
              <w:rPr>
                <w:noProof/>
                <w:sz w:val="20"/>
                <w:szCs w:val="20"/>
              </w:rPr>
              <w:t xml:space="preserve"> </w:t>
            </w:r>
            <w:bookmarkStart w:id="1514" w:name="_Toc223981113"/>
            <w:r w:rsidRPr="00C14AF8">
              <w:rPr>
                <w:noProof/>
                <w:sz w:val="20"/>
                <w:szCs w:val="20"/>
              </w:rPr>
              <w:t>Slovenia</w:t>
            </w:r>
            <w:bookmarkEnd w:id="151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7D967798" w14:textId="77777777" w:rsidR="00975A9E" w:rsidRPr="00975A9E" w:rsidRDefault="00975A9E" w:rsidP="00975A9E">
            <w:pPr>
              <w:jc w:val="right"/>
              <w:outlineLvl w:val="0"/>
              <w:rPr>
                <w:noProof/>
                <w:sz w:val="20"/>
                <w:szCs w:val="20"/>
              </w:rPr>
            </w:pPr>
            <w:bookmarkStart w:id="1515" w:name="_Toc223981114"/>
            <w:r w:rsidRPr="00975A9E">
              <w:rPr>
                <w:noProof/>
                <w:sz w:val="20"/>
                <w:szCs w:val="20"/>
              </w:rPr>
              <w:t>0.0</w:t>
            </w:r>
            <w:bookmarkEnd w:id="1515"/>
          </w:p>
        </w:tc>
        <w:tc>
          <w:tcPr>
            <w:tcW w:w="794" w:type="pct"/>
            <w:tcBorders>
              <w:top w:val="nil"/>
              <w:left w:val="nil"/>
              <w:bottom w:val="single" w:sz="4" w:space="0" w:color="auto"/>
              <w:right w:val="single" w:sz="4" w:space="0" w:color="auto"/>
            </w:tcBorders>
            <w:shd w:val="clear" w:color="000000" w:fill="FFFFFF"/>
            <w:noWrap/>
            <w:hideMark/>
          </w:tcPr>
          <w:p w14:paraId="1076F59D" w14:textId="77777777" w:rsidR="00975A9E" w:rsidRPr="00975A9E" w:rsidRDefault="00975A9E" w:rsidP="00975A9E">
            <w:pPr>
              <w:jc w:val="right"/>
              <w:outlineLvl w:val="0"/>
              <w:rPr>
                <w:noProof/>
                <w:sz w:val="20"/>
                <w:szCs w:val="20"/>
              </w:rPr>
            </w:pPr>
            <w:bookmarkStart w:id="1516" w:name="_Toc223981115"/>
            <w:r w:rsidRPr="00975A9E">
              <w:rPr>
                <w:noProof/>
                <w:sz w:val="20"/>
                <w:szCs w:val="20"/>
              </w:rPr>
              <w:t>0.0</w:t>
            </w:r>
            <w:bookmarkEnd w:id="1516"/>
          </w:p>
        </w:tc>
        <w:tc>
          <w:tcPr>
            <w:tcW w:w="794" w:type="pct"/>
            <w:tcBorders>
              <w:top w:val="nil"/>
              <w:left w:val="nil"/>
              <w:bottom w:val="single" w:sz="4" w:space="0" w:color="auto"/>
              <w:right w:val="single" w:sz="4" w:space="0" w:color="auto"/>
            </w:tcBorders>
            <w:shd w:val="clear" w:color="000000" w:fill="FFFFFF"/>
            <w:noWrap/>
            <w:hideMark/>
          </w:tcPr>
          <w:p w14:paraId="3EB93105" w14:textId="77777777" w:rsidR="00975A9E" w:rsidRPr="00975A9E" w:rsidRDefault="00975A9E" w:rsidP="00975A9E">
            <w:pPr>
              <w:jc w:val="right"/>
              <w:outlineLvl w:val="0"/>
              <w:rPr>
                <w:noProof/>
                <w:sz w:val="20"/>
                <w:szCs w:val="20"/>
              </w:rPr>
            </w:pPr>
            <w:bookmarkStart w:id="1517" w:name="_Toc223981116"/>
            <w:r w:rsidRPr="00975A9E">
              <w:rPr>
                <w:noProof/>
                <w:sz w:val="20"/>
                <w:szCs w:val="20"/>
              </w:rPr>
              <w:t>0.0</w:t>
            </w:r>
            <w:bookmarkEnd w:id="1517"/>
          </w:p>
        </w:tc>
        <w:tc>
          <w:tcPr>
            <w:tcW w:w="794" w:type="pct"/>
            <w:tcBorders>
              <w:top w:val="nil"/>
              <w:left w:val="nil"/>
              <w:bottom w:val="single" w:sz="4" w:space="0" w:color="auto"/>
              <w:right w:val="single" w:sz="4" w:space="0" w:color="auto"/>
            </w:tcBorders>
            <w:shd w:val="clear" w:color="000000" w:fill="FFFFFF"/>
            <w:noWrap/>
            <w:hideMark/>
          </w:tcPr>
          <w:p w14:paraId="619A745E" w14:textId="77777777" w:rsidR="00975A9E" w:rsidRPr="00975A9E" w:rsidRDefault="00975A9E" w:rsidP="00975A9E">
            <w:pPr>
              <w:jc w:val="right"/>
              <w:outlineLvl w:val="0"/>
              <w:rPr>
                <w:noProof/>
                <w:sz w:val="20"/>
                <w:szCs w:val="20"/>
              </w:rPr>
            </w:pPr>
            <w:bookmarkStart w:id="1518" w:name="_Toc223981117"/>
            <w:r w:rsidRPr="00975A9E">
              <w:rPr>
                <w:noProof/>
                <w:sz w:val="20"/>
                <w:szCs w:val="20"/>
              </w:rPr>
              <w:t>0.0</w:t>
            </w:r>
            <w:bookmarkEnd w:id="1518"/>
          </w:p>
        </w:tc>
      </w:tr>
      <w:tr w:rsidR="00975A9E" w:rsidRPr="00C14AF8" w14:paraId="657D0E1D"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2986E0C6" w14:textId="77777777" w:rsidR="00975A9E" w:rsidRPr="00C14AF8" w:rsidRDefault="00975A9E" w:rsidP="00975A9E">
            <w:pPr>
              <w:outlineLvl w:val="0"/>
              <w:rPr>
                <w:noProof/>
                <w:sz w:val="20"/>
                <w:szCs w:val="20"/>
              </w:rPr>
            </w:pPr>
            <w:r w:rsidRPr="00C14AF8">
              <w:rPr>
                <w:noProof/>
                <w:sz w:val="20"/>
                <w:szCs w:val="20"/>
              </w:rPr>
              <w:t xml:space="preserve"> </w:t>
            </w:r>
            <w:bookmarkStart w:id="1519" w:name="_Toc223981118"/>
            <w:r w:rsidRPr="00C14AF8">
              <w:rPr>
                <w:noProof/>
                <w:sz w:val="20"/>
                <w:szCs w:val="20"/>
              </w:rPr>
              <w:t>Latvia</w:t>
            </w:r>
            <w:bookmarkEnd w:id="151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3669D1FD" w14:textId="77777777" w:rsidR="00975A9E" w:rsidRPr="00975A9E" w:rsidRDefault="00975A9E" w:rsidP="00975A9E">
            <w:pPr>
              <w:jc w:val="right"/>
              <w:outlineLvl w:val="0"/>
              <w:rPr>
                <w:noProof/>
                <w:sz w:val="20"/>
                <w:szCs w:val="20"/>
              </w:rPr>
            </w:pPr>
            <w:bookmarkStart w:id="1520" w:name="_Toc223981119"/>
            <w:r w:rsidRPr="00975A9E">
              <w:rPr>
                <w:noProof/>
                <w:sz w:val="20"/>
                <w:szCs w:val="20"/>
              </w:rPr>
              <w:t>0.0</w:t>
            </w:r>
            <w:bookmarkEnd w:id="1520"/>
          </w:p>
        </w:tc>
        <w:tc>
          <w:tcPr>
            <w:tcW w:w="794" w:type="pct"/>
            <w:tcBorders>
              <w:top w:val="nil"/>
              <w:left w:val="nil"/>
              <w:bottom w:val="single" w:sz="4" w:space="0" w:color="auto"/>
              <w:right w:val="single" w:sz="4" w:space="0" w:color="auto"/>
            </w:tcBorders>
            <w:shd w:val="clear" w:color="000000" w:fill="FFFFFF"/>
            <w:noWrap/>
            <w:hideMark/>
          </w:tcPr>
          <w:p w14:paraId="14A9AA62" w14:textId="77777777" w:rsidR="00975A9E" w:rsidRPr="00975A9E" w:rsidRDefault="00975A9E" w:rsidP="00975A9E">
            <w:pPr>
              <w:jc w:val="right"/>
              <w:outlineLvl w:val="0"/>
              <w:rPr>
                <w:noProof/>
                <w:sz w:val="20"/>
                <w:szCs w:val="20"/>
              </w:rPr>
            </w:pPr>
            <w:bookmarkStart w:id="1521" w:name="_Toc223981120"/>
            <w:r w:rsidRPr="00975A9E">
              <w:rPr>
                <w:noProof/>
                <w:sz w:val="20"/>
                <w:szCs w:val="20"/>
              </w:rPr>
              <w:t>0.0</w:t>
            </w:r>
            <w:bookmarkEnd w:id="1521"/>
          </w:p>
        </w:tc>
        <w:tc>
          <w:tcPr>
            <w:tcW w:w="794" w:type="pct"/>
            <w:tcBorders>
              <w:top w:val="nil"/>
              <w:left w:val="nil"/>
              <w:bottom w:val="single" w:sz="4" w:space="0" w:color="auto"/>
              <w:right w:val="single" w:sz="4" w:space="0" w:color="auto"/>
            </w:tcBorders>
            <w:shd w:val="clear" w:color="000000" w:fill="FFFFFF"/>
            <w:noWrap/>
            <w:hideMark/>
          </w:tcPr>
          <w:p w14:paraId="4BFA326A" w14:textId="77777777" w:rsidR="00975A9E" w:rsidRPr="00975A9E" w:rsidRDefault="00975A9E" w:rsidP="00975A9E">
            <w:pPr>
              <w:jc w:val="right"/>
              <w:outlineLvl w:val="0"/>
              <w:rPr>
                <w:noProof/>
                <w:sz w:val="20"/>
                <w:szCs w:val="20"/>
              </w:rPr>
            </w:pPr>
            <w:bookmarkStart w:id="1522" w:name="_Toc223981121"/>
            <w:r w:rsidRPr="00975A9E">
              <w:rPr>
                <w:noProof/>
                <w:sz w:val="20"/>
                <w:szCs w:val="20"/>
              </w:rPr>
              <w:t>0.0</w:t>
            </w:r>
            <w:bookmarkEnd w:id="1522"/>
          </w:p>
        </w:tc>
        <w:tc>
          <w:tcPr>
            <w:tcW w:w="794" w:type="pct"/>
            <w:tcBorders>
              <w:top w:val="nil"/>
              <w:left w:val="nil"/>
              <w:bottom w:val="single" w:sz="4" w:space="0" w:color="auto"/>
              <w:right w:val="single" w:sz="4" w:space="0" w:color="auto"/>
            </w:tcBorders>
            <w:shd w:val="clear" w:color="000000" w:fill="FFFFFF"/>
            <w:noWrap/>
            <w:hideMark/>
          </w:tcPr>
          <w:p w14:paraId="586CEAEB" w14:textId="77777777" w:rsidR="00975A9E" w:rsidRPr="00975A9E" w:rsidRDefault="00975A9E" w:rsidP="00975A9E">
            <w:pPr>
              <w:jc w:val="right"/>
              <w:outlineLvl w:val="0"/>
              <w:rPr>
                <w:noProof/>
                <w:sz w:val="20"/>
                <w:szCs w:val="20"/>
              </w:rPr>
            </w:pPr>
            <w:bookmarkStart w:id="1523" w:name="_Toc223981122"/>
            <w:r w:rsidRPr="00975A9E">
              <w:rPr>
                <w:noProof/>
                <w:sz w:val="20"/>
                <w:szCs w:val="20"/>
              </w:rPr>
              <w:t>0.0</w:t>
            </w:r>
            <w:bookmarkEnd w:id="1523"/>
          </w:p>
        </w:tc>
      </w:tr>
      <w:tr w:rsidR="00975A9E" w:rsidRPr="00C14AF8" w14:paraId="0630BE05"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09935916" w14:textId="77777777" w:rsidR="00975A9E" w:rsidRPr="00C14AF8" w:rsidRDefault="00975A9E" w:rsidP="00975A9E">
            <w:pPr>
              <w:outlineLvl w:val="0"/>
              <w:rPr>
                <w:noProof/>
                <w:sz w:val="20"/>
                <w:szCs w:val="20"/>
              </w:rPr>
            </w:pPr>
            <w:r w:rsidRPr="00C14AF8">
              <w:rPr>
                <w:noProof/>
                <w:sz w:val="20"/>
                <w:szCs w:val="20"/>
              </w:rPr>
              <w:t xml:space="preserve"> </w:t>
            </w:r>
            <w:bookmarkStart w:id="1524" w:name="_Toc223981123"/>
            <w:r w:rsidRPr="00C14AF8">
              <w:rPr>
                <w:noProof/>
                <w:sz w:val="20"/>
                <w:szCs w:val="20"/>
              </w:rPr>
              <w:t>Romania</w:t>
            </w:r>
            <w:bookmarkEnd w:id="1524"/>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74CD5FB4" w14:textId="77777777" w:rsidR="00975A9E" w:rsidRPr="00975A9E" w:rsidRDefault="00975A9E" w:rsidP="00975A9E">
            <w:pPr>
              <w:jc w:val="right"/>
              <w:outlineLvl w:val="0"/>
              <w:rPr>
                <w:noProof/>
                <w:sz w:val="20"/>
                <w:szCs w:val="20"/>
              </w:rPr>
            </w:pPr>
            <w:bookmarkStart w:id="1525" w:name="_Toc223981124"/>
            <w:r w:rsidRPr="00975A9E">
              <w:rPr>
                <w:noProof/>
                <w:sz w:val="20"/>
                <w:szCs w:val="20"/>
              </w:rPr>
              <w:t>0.0</w:t>
            </w:r>
            <w:bookmarkEnd w:id="1525"/>
          </w:p>
        </w:tc>
        <w:tc>
          <w:tcPr>
            <w:tcW w:w="794" w:type="pct"/>
            <w:tcBorders>
              <w:top w:val="nil"/>
              <w:left w:val="nil"/>
              <w:bottom w:val="single" w:sz="4" w:space="0" w:color="auto"/>
              <w:right w:val="single" w:sz="4" w:space="0" w:color="auto"/>
            </w:tcBorders>
            <w:shd w:val="clear" w:color="000000" w:fill="FFFFFF"/>
            <w:noWrap/>
            <w:hideMark/>
          </w:tcPr>
          <w:p w14:paraId="05DD7DDF" w14:textId="77777777" w:rsidR="00975A9E" w:rsidRPr="00975A9E" w:rsidRDefault="00975A9E" w:rsidP="00975A9E">
            <w:pPr>
              <w:jc w:val="right"/>
              <w:outlineLvl w:val="0"/>
              <w:rPr>
                <w:noProof/>
                <w:sz w:val="20"/>
                <w:szCs w:val="20"/>
              </w:rPr>
            </w:pPr>
            <w:bookmarkStart w:id="1526" w:name="_Toc223981125"/>
            <w:r w:rsidRPr="00975A9E">
              <w:rPr>
                <w:noProof/>
                <w:sz w:val="20"/>
                <w:szCs w:val="20"/>
              </w:rPr>
              <w:t>0.0</w:t>
            </w:r>
            <w:bookmarkEnd w:id="1526"/>
          </w:p>
        </w:tc>
        <w:tc>
          <w:tcPr>
            <w:tcW w:w="794" w:type="pct"/>
            <w:tcBorders>
              <w:top w:val="nil"/>
              <w:left w:val="nil"/>
              <w:bottom w:val="single" w:sz="4" w:space="0" w:color="auto"/>
              <w:right w:val="single" w:sz="4" w:space="0" w:color="auto"/>
            </w:tcBorders>
            <w:shd w:val="clear" w:color="000000" w:fill="FFFFFF"/>
            <w:noWrap/>
            <w:hideMark/>
          </w:tcPr>
          <w:p w14:paraId="1D3282B2" w14:textId="77777777" w:rsidR="00975A9E" w:rsidRPr="00975A9E" w:rsidRDefault="00975A9E" w:rsidP="00975A9E">
            <w:pPr>
              <w:jc w:val="right"/>
              <w:outlineLvl w:val="0"/>
              <w:rPr>
                <w:noProof/>
                <w:sz w:val="20"/>
                <w:szCs w:val="20"/>
              </w:rPr>
            </w:pPr>
            <w:bookmarkStart w:id="1527" w:name="_Toc223981126"/>
            <w:r w:rsidRPr="00975A9E">
              <w:rPr>
                <w:noProof/>
                <w:sz w:val="20"/>
                <w:szCs w:val="20"/>
              </w:rPr>
              <w:t>0.0</w:t>
            </w:r>
            <w:bookmarkEnd w:id="1527"/>
          </w:p>
        </w:tc>
        <w:tc>
          <w:tcPr>
            <w:tcW w:w="794" w:type="pct"/>
            <w:tcBorders>
              <w:top w:val="nil"/>
              <w:left w:val="nil"/>
              <w:bottom w:val="single" w:sz="4" w:space="0" w:color="auto"/>
              <w:right w:val="single" w:sz="4" w:space="0" w:color="auto"/>
            </w:tcBorders>
            <w:shd w:val="clear" w:color="000000" w:fill="FFFFFF"/>
            <w:noWrap/>
            <w:hideMark/>
          </w:tcPr>
          <w:p w14:paraId="35CCA05C" w14:textId="77777777" w:rsidR="00975A9E" w:rsidRPr="00975A9E" w:rsidRDefault="00975A9E" w:rsidP="00975A9E">
            <w:pPr>
              <w:jc w:val="right"/>
              <w:outlineLvl w:val="0"/>
              <w:rPr>
                <w:noProof/>
                <w:sz w:val="20"/>
                <w:szCs w:val="20"/>
              </w:rPr>
            </w:pPr>
            <w:bookmarkStart w:id="1528" w:name="_Toc223981127"/>
            <w:r w:rsidRPr="00975A9E">
              <w:rPr>
                <w:noProof/>
                <w:sz w:val="20"/>
                <w:szCs w:val="20"/>
              </w:rPr>
              <w:t>0.0</w:t>
            </w:r>
            <w:bookmarkEnd w:id="1528"/>
          </w:p>
        </w:tc>
      </w:tr>
      <w:tr w:rsidR="00975A9E" w:rsidRPr="00C14AF8" w14:paraId="135EFEFB"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16F67C11" w14:textId="77777777" w:rsidR="00975A9E" w:rsidRPr="00C14AF8" w:rsidRDefault="00975A9E" w:rsidP="00975A9E">
            <w:pPr>
              <w:outlineLvl w:val="0"/>
              <w:rPr>
                <w:noProof/>
                <w:sz w:val="20"/>
                <w:szCs w:val="20"/>
              </w:rPr>
            </w:pPr>
            <w:r w:rsidRPr="00C14AF8">
              <w:rPr>
                <w:noProof/>
                <w:sz w:val="20"/>
                <w:szCs w:val="20"/>
              </w:rPr>
              <w:t xml:space="preserve"> </w:t>
            </w:r>
            <w:bookmarkStart w:id="1529" w:name="_Toc223981128"/>
            <w:r w:rsidRPr="00C14AF8">
              <w:rPr>
                <w:noProof/>
                <w:sz w:val="20"/>
                <w:szCs w:val="20"/>
              </w:rPr>
              <w:t>Slovakia</w:t>
            </w:r>
            <w:bookmarkEnd w:id="1529"/>
            <w:r w:rsidRPr="00C14AF8">
              <w:rPr>
                <w:noProof/>
                <w:sz w:val="20"/>
                <w:szCs w:val="20"/>
              </w:rPr>
              <w:t xml:space="preserve"> </w:t>
            </w:r>
          </w:p>
        </w:tc>
        <w:tc>
          <w:tcPr>
            <w:tcW w:w="794" w:type="pct"/>
            <w:tcBorders>
              <w:top w:val="nil"/>
              <w:left w:val="nil"/>
              <w:bottom w:val="single" w:sz="4" w:space="0" w:color="auto"/>
              <w:right w:val="single" w:sz="4" w:space="0" w:color="auto"/>
            </w:tcBorders>
            <w:shd w:val="clear" w:color="000000" w:fill="FFFFFF"/>
            <w:noWrap/>
            <w:hideMark/>
          </w:tcPr>
          <w:p w14:paraId="09025F23" w14:textId="3CD26C9B" w:rsidR="00975A9E" w:rsidRPr="00975A9E" w:rsidRDefault="00975A9E" w:rsidP="00975A9E">
            <w:pPr>
              <w:jc w:val="right"/>
              <w:outlineLvl w:val="0"/>
              <w:rPr>
                <w:noProof/>
                <w:sz w:val="20"/>
                <w:szCs w:val="20"/>
              </w:rPr>
            </w:pPr>
            <w:bookmarkStart w:id="1530" w:name="_Toc223981129"/>
            <w:r w:rsidRPr="00975A9E">
              <w:rPr>
                <w:noProof/>
                <w:sz w:val="20"/>
                <w:szCs w:val="20"/>
              </w:rPr>
              <w:t>176.4</w:t>
            </w:r>
            <w:bookmarkEnd w:id="1530"/>
          </w:p>
        </w:tc>
        <w:tc>
          <w:tcPr>
            <w:tcW w:w="794" w:type="pct"/>
            <w:tcBorders>
              <w:top w:val="nil"/>
              <w:left w:val="nil"/>
              <w:bottom w:val="single" w:sz="4" w:space="0" w:color="auto"/>
              <w:right w:val="single" w:sz="4" w:space="0" w:color="auto"/>
            </w:tcBorders>
            <w:shd w:val="clear" w:color="000000" w:fill="FFFFFF"/>
            <w:noWrap/>
            <w:hideMark/>
          </w:tcPr>
          <w:p w14:paraId="3B0875B7" w14:textId="6F9D4D99" w:rsidR="00975A9E" w:rsidRPr="00975A9E" w:rsidRDefault="00975A9E" w:rsidP="00975A9E">
            <w:pPr>
              <w:jc w:val="right"/>
              <w:outlineLvl w:val="0"/>
              <w:rPr>
                <w:noProof/>
                <w:sz w:val="20"/>
                <w:szCs w:val="20"/>
              </w:rPr>
            </w:pPr>
            <w:bookmarkStart w:id="1531" w:name="_Toc223981130"/>
            <w:r w:rsidRPr="00975A9E">
              <w:rPr>
                <w:noProof/>
                <w:sz w:val="20"/>
                <w:szCs w:val="20"/>
              </w:rPr>
              <w:t>27.2</w:t>
            </w:r>
            <w:bookmarkEnd w:id="1531"/>
          </w:p>
        </w:tc>
        <w:tc>
          <w:tcPr>
            <w:tcW w:w="794" w:type="pct"/>
            <w:tcBorders>
              <w:top w:val="nil"/>
              <w:left w:val="nil"/>
              <w:bottom w:val="single" w:sz="4" w:space="0" w:color="auto"/>
              <w:right w:val="single" w:sz="4" w:space="0" w:color="auto"/>
            </w:tcBorders>
            <w:shd w:val="clear" w:color="000000" w:fill="FFFFFF"/>
            <w:noWrap/>
            <w:hideMark/>
          </w:tcPr>
          <w:p w14:paraId="4E98C991" w14:textId="00B6D7E1" w:rsidR="00975A9E" w:rsidRPr="00975A9E" w:rsidRDefault="00975A9E" w:rsidP="00975A9E">
            <w:pPr>
              <w:jc w:val="right"/>
              <w:outlineLvl w:val="0"/>
              <w:rPr>
                <w:noProof/>
                <w:sz w:val="20"/>
                <w:szCs w:val="20"/>
              </w:rPr>
            </w:pPr>
            <w:bookmarkStart w:id="1532" w:name="_Toc223981131"/>
            <w:r w:rsidRPr="00975A9E">
              <w:rPr>
                <w:noProof/>
                <w:sz w:val="20"/>
                <w:szCs w:val="20"/>
              </w:rPr>
              <w:t>40.7</w:t>
            </w:r>
            <w:bookmarkEnd w:id="1532"/>
          </w:p>
        </w:tc>
        <w:tc>
          <w:tcPr>
            <w:tcW w:w="794" w:type="pct"/>
            <w:tcBorders>
              <w:top w:val="nil"/>
              <w:left w:val="nil"/>
              <w:bottom w:val="single" w:sz="4" w:space="0" w:color="auto"/>
              <w:right w:val="single" w:sz="4" w:space="0" w:color="auto"/>
            </w:tcBorders>
            <w:shd w:val="clear" w:color="000000" w:fill="FFFFFF"/>
            <w:noWrap/>
            <w:hideMark/>
          </w:tcPr>
          <w:p w14:paraId="5679A295" w14:textId="0184786E" w:rsidR="00975A9E" w:rsidRPr="00975A9E" w:rsidRDefault="00975A9E" w:rsidP="00975A9E">
            <w:pPr>
              <w:jc w:val="right"/>
              <w:outlineLvl w:val="0"/>
              <w:rPr>
                <w:noProof/>
                <w:sz w:val="20"/>
                <w:szCs w:val="20"/>
              </w:rPr>
            </w:pPr>
            <w:bookmarkStart w:id="1533" w:name="_Toc223981132"/>
            <w:r w:rsidRPr="00975A9E">
              <w:rPr>
                <w:noProof/>
                <w:sz w:val="20"/>
                <w:szCs w:val="20"/>
              </w:rPr>
              <w:t>30.6</w:t>
            </w:r>
            <w:bookmarkEnd w:id="1533"/>
          </w:p>
        </w:tc>
      </w:tr>
      <w:tr w:rsidR="00975A9E" w:rsidRPr="00C14AF8" w14:paraId="58B23CEE" w14:textId="77777777" w:rsidTr="00C14AF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E689649" w14:textId="633A4E85" w:rsidR="00975A9E" w:rsidRPr="00C14AF8" w:rsidRDefault="00975A9E" w:rsidP="00975A9E">
            <w:pPr>
              <w:rPr>
                <w:b/>
                <w:bCs/>
                <w:noProof/>
                <w:sz w:val="20"/>
                <w:szCs w:val="20"/>
              </w:rPr>
            </w:pPr>
            <w:r w:rsidRPr="00C14AF8">
              <w:rPr>
                <w:b/>
                <w:bCs/>
                <w:noProof/>
                <w:sz w:val="20"/>
                <w:szCs w:val="20"/>
              </w:rPr>
              <w:t xml:space="preserve"> Total </w:t>
            </w:r>
          </w:p>
        </w:tc>
        <w:tc>
          <w:tcPr>
            <w:tcW w:w="794" w:type="pct"/>
            <w:tcBorders>
              <w:top w:val="nil"/>
              <w:left w:val="nil"/>
              <w:bottom w:val="single" w:sz="4" w:space="0" w:color="auto"/>
              <w:right w:val="single" w:sz="4" w:space="0" w:color="auto"/>
            </w:tcBorders>
            <w:shd w:val="clear" w:color="000000" w:fill="FFFFFF"/>
            <w:noWrap/>
            <w:hideMark/>
          </w:tcPr>
          <w:p w14:paraId="4D5A43B6" w14:textId="520CD573" w:rsidR="00975A9E" w:rsidRPr="00975A9E" w:rsidRDefault="00975A9E" w:rsidP="00975A9E">
            <w:pPr>
              <w:jc w:val="right"/>
              <w:rPr>
                <w:b/>
                <w:bCs/>
                <w:noProof/>
                <w:sz w:val="20"/>
                <w:szCs w:val="20"/>
              </w:rPr>
            </w:pPr>
            <w:r w:rsidRPr="00975A9E">
              <w:rPr>
                <w:b/>
                <w:bCs/>
                <w:noProof/>
                <w:sz w:val="20"/>
                <w:szCs w:val="20"/>
              </w:rPr>
              <w:t>17,637.9</w:t>
            </w:r>
          </w:p>
        </w:tc>
        <w:tc>
          <w:tcPr>
            <w:tcW w:w="794" w:type="pct"/>
            <w:tcBorders>
              <w:top w:val="nil"/>
              <w:left w:val="nil"/>
              <w:bottom w:val="single" w:sz="4" w:space="0" w:color="auto"/>
              <w:right w:val="single" w:sz="4" w:space="0" w:color="auto"/>
            </w:tcBorders>
            <w:shd w:val="clear" w:color="000000" w:fill="FFFFFF"/>
            <w:noWrap/>
            <w:hideMark/>
          </w:tcPr>
          <w:p w14:paraId="1AE48B1D" w14:textId="516578AC" w:rsidR="00975A9E" w:rsidRPr="00975A9E" w:rsidRDefault="00975A9E" w:rsidP="00975A9E">
            <w:pPr>
              <w:jc w:val="right"/>
              <w:rPr>
                <w:b/>
                <w:bCs/>
                <w:noProof/>
                <w:sz w:val="20"/>
                <w:szCs w:val="20"/>
              </w:rPr>
            </w:pPr>
            <w:r w:rsidRPr="00975A9E">
              <w:rPr>
                <w:b/>
                <w:bCs/>
                <w:noProof/>
                <w:sz w:val="20"/>
                <w:szCs w:val="20"/>
              </w:rPr>
              <w:t>2,719.3</w:t>
            </w:r>
          </w:p>
        </w:tc>
        <w:tc>
          <w:tcPr>
            <w:tcW w:w="794" w:type="pct"/>
            <w:tcBorders>
              <w:top w:val="nil"/>
              <w:left w:val="nil"/>
              <w:bottom w:val="single" w:sz="4" w:space="0" w:color="auto"/>
              <w:right w:val="single" w:sz="4" w:space="0" w:color="auto"/>
            </w:tcBorders>
            <w:shd w:val="clear" w:color="000000" w:fill="FFFFFF"/>
            <w:noWrap/>
            <w:hideMark/>
          </w:tcPr>
          <w:p w14:paraId="4CB9A3E3" w14:textId="3CD3528C" w:rsidR="00975A9E" w:rsidRPr="00975A9E" w:rsidRDefault="00975A9E" w:rsidP="00975A9E">
            <w:pPr>
              <w:jc w:val="right"/>
              <w:rPr>
                <w:b/>
                <w:bCs/>
                <w:noProof/>
                <w:sz w:val="20"/>
                <w:szCs w:val="20"/>
              </w:rPr>
            </w:pPr>
            <w:r w:rsidRPr="00975A9E">
              <w:rPr>
                <w:b/>
                <w:bCs/>
                <w:noProof/>
                <w:sz w:val="20"/>
                <w:szCs w:val="20"/>
              </w:rPr>
              <w:t>4,074.5</w:t>
            </w:r>
          </w:p>
        </w:tc>
        <w:tc>
          <w:tcPr>
            <w:tcW w:w="794" w:type="pct"/>
            <w:tcBorders>
              <w:top w:val="nil"/>
              <w:left w:val="nil"/>
              <w:bottom w:val="single" w:sz="4" w:space="0" w:color="auto"/>
              <w:right w:val="single" w:sz="4" w:space="0" w:color="auto"/>
            </w:tcBorders>
            <w:shd w:val="clear" w:color="000000" w:fill="FFFFFF"/>
            <w:noWrap/>
            <w:hideMark/>
          </w:tcPr>
          <w:p w14:paraId="08D118D4" w14:textId="1212AC90" w:rsidR="00975A9E" w:rsidRPr="00975A9E" w:rsidRDefault="00975A9E" w:rsidP="00975A9E">
            <w:pPr>
              <w:jc w:val="right"/>
              <w:rPr>
                <w:b/>
                <w:bCs/>
                <w:noProof/>
                <w:sz w:val="20"/>
                <w:szCs w:val="20"/>
              </w:rPr>
            </w:pPr>
            <w:r w:rsidRPr="00975A9E">
              <w:rPr>
                <w:b/>
                <w:bCs/>
                <w:noProof/>
                <w:sz w:val="20"/>
                <w:szCs w:val="20"/>
              </w:rPr>
              <w:t>3,056.3</w:t>
            </w:r>
          </w:p>
        </w:tc>
      </w:tr>
    </w:tbl>
    <w:p w14:paraId="01FE2B52" w14:textId="77777777" w:rsidR="009467A1" w:rsidRPr="00C14AF8" w:rsidRDefault="009467A1" w:rsidP="009467A1">
      <w:pPr>
        <w:tabs>
          <w:tab w:val="left" w:pos="2302"/>
        </w:tabs>
        <w:spacing w:after="240"/>
        <w:jc w:val="both"/>
        <w:rPr>
          <w:i/>
          <w:noProof/>
          <w:sz w:val="20"/>
          <w:szCs w:val="20"/>
        </w:rPr>
      </w:pPr>
      <w:r w:rsidRPr="00C14AF8">
        <w:rPr>
          <w:i/>
          <w:noProof/>
          <w:spacing w:val="-8"/>
          <w:sz w:val="20"/>
          <w:szCs w:val="20"/>
        </w:rPr>
        <w:t xml:space="preserve">Source: </w:t>
      </w:r>
      <w:r w:rsidRPr="00C14AF8">
        <w:rPr>
          <w:i/>
          <w:noProof/>
          <w:sz w:val="20"/>
          <w:szCs w:val="20"/>
        </w:rPr>
        <w:t>Ricardo et al. (2026), Impact assessment support study</w:t>
      </w:r>
    </w:p>
    <w:p w14:paraId="0ED088DD" w14:textId="10EDF2EE" w:rsidR="009467A1" w:rsidRPr="00DB078C" w:rsidRDefault="009467A1" w:rsidP="00DB078C">
      <w:pPr>
        <w:keepNext/>
        <w:tabs>
          <w:tab w:val="left" w:pos="1134"/>
        </w:tabs>
        <w:jc w:val="both"/>
        <w:rPr>
          <w:i/>
          <w:noProof/>
          <w:sz w:val="22"/>
          <w:szCs w:val="22"/>
        </w:rPr>
      </w:pPr>
      <w:r w:rsidRPr="00DB078C">
        <w:rPr>
          <w:i/>
          <w:noProof/>
          <w:sz w:val="22"/>
          <w:szCs w:val="22"/>
        </w:rPr>
        <w:t xml:space="preserve">Table </w:t>
      </w:r>
      <w:r w:rsidRPr="00DB078C">
        <w:rPr>
          <w:i/>
          <w:noProof/>
          <w:sz w:val="22"/>
          <w:szCs w:val="22"/>
        </w:rPr>
        <w:fldChar w:fldCharType="begin"/>
      </w:r>
      <w:r w:rsidRPr="00DB078C">
        <w:rPr>
          <w:i/>
          <w:noProof/>
          <w:sz w:val="22"/>
          <w:szCs w:val="22"/>
        </w:rPr>
        <w:instrText xml:space="preserve"> SEQ Table \* ARABIC </w:instrText>
      </w:r>
      <w:r w:rsidRPr="00DB078C">
        <w:rPr>
          <w:i/>
          <w:noProof/>
          <w:sz w:val="22"/>
          <w:szCs w:val="22"/>
        </w:rPr>
        <w:fldChar w:fldCharType="separate"/>
      </w:r>
      <w:r w:rsidR="0055391F">
        <w:rPr>
          <w:i/>
          <w:noProof/>
          <w:sz w:val="22"/>
          <w:szCs w:val="22"/>
        </w:rPr>
        <w:t>93</w:t>
      </w:r>
      <w:r w:rsidRPr="00DB078C">
        <w:rPr>
          <w:i/>
          <w:noProof/>
          <w:sz w:val="22"/>
          <w:szCs w:val="22"/>
        </w:rPr>
        <w:fldChar w:fldCharType="end"/>
      </w:r>
      <w:r w:rsidRPr="00DB078C">
        <w:rPr>
          <w:i/>
          <w:noProof/>
          <w:sz w:val="22"/>
          <w:szCs w:val="22"/>
        </w:rPr>
        <w:t xml:space="preserve">: Total one-off and recurrent adjustment costs for </w:t>
      </w:r>
      <w:r w:rsidR="00CE1027">
        <w:rPr>
          <w:i/>
          <w:noProof/>
          <w:sz w:val="22"/>
          <w:szCs w:val="22"/>
        </w:rPr>
        <w:t>non-SME</w:t>
      </w:r>
      <w:r w:rsidRPr="00DB078C">
        <w:rPr>
          <w:i/>
          <w:noProof/>
          <w:sz w:val="22"/>
          <w:szCs w:val="22"/>
        </w:rPr>
        <w:t xml:space="preserve"> B2C MDMS platforms due to PM</w:t>
      </w:r>
      <w:r w:rsidR="00790239" w:rsidRPr="00DB078C">
        <w:rPr>
          <w:i/>
          <w:noProof/>
          <w:sz w:val="22"/>
          <w:szCs w:val="22"/>
        </w:rPr>
        <w:t>7</w:t>
      </w:r>
      <w:r w:rsidRPr="00DB078C">
        <w:rPr>
          <w:i/>
          <w:noProof/>
          <w:sz w:val="22"/>
          <w:szCs w:val="22"/>
        </w:rPr>
        <w:t xml:space="preserve"> in PO4 in 2028, 2030, 2040 and 2050 relative to the baseline (thousand EUR, in 2024 prices)</w:t>
      </w:r>
    </w:p>
    <w:tbl>
      <w:tblPr>
        <w:tblW w:w="5000" w:type="pct"/>
        <w:tblLook w:val="04A0" w:firstRow="1" w:lastRow="0" w:firstColumn="1" w:lastColumn="0" w:noHBand="0" w:noVBand="1"/>
      </w:tblPr>
      <w:tblGrid>
        <w:gridCol w:w="3503"/>
        <w:gridCol w:w="1525"/>
        <w:gridCol w:w="1525"/>
        <w:gridCol w:w="1525"/>
        <w:gridCol w:w="1525"/>
      </w:tblGrid>
      <w:tr w:rsidR="00C137A9" w:rsidRPr="001E7138" w14:paraId="54658DFF" w14:textId="77777777" w:rsidTr="001E7138">
        <w:trPr>
          <w:trHeight w:val="255"/>
          <w:tblHeader/>
        </w:trPr>
        <w:tc>
          <w:tcPr>
            <w:tcW w:w="1824" w:type="pct"/>
            <w:tcBorders>
              <w:top w:val="single" w:sz="4" w:space="0" w:color="auto"/>
              <w:left w:val="single" w:sz="4" w:space="0" w:color="auto"/>
              <w:bottom w:val="single" w:sz="4" w:space="0" w:color="auto"/>
              <w:right w:val="single" w:sz="4" w:space="0" w:color="auto"/>
            </w:tcBorders>
            <w:shd w:val="clear" w:color="000000" w:fill="0070C0"/>
            <w:noWrap/>
            <w:hideMark/>
          </w:tcPr>
          <w:p w14:paraId="796DB286" w14:textId="6B3B7667" w:rsidR="00C137A9" w:rsidRPr="001E7138" w:rsidRDefault="00C137A9">
            <w:pPr>
              <w:jc w:val="center"/>
              <w:rPr>
                <w:b/>
                <w:bCs/>
                <w:noProof/>
                <w:color w:val="FFFFFF"/>
                <w:sz w:val="20"/>
                <w:szCs w:val="20"/>
              </w:rPr>
            </w:pPr>
          </w:p>
        </w:tc>
        <w:tc>
          <w:tcPr>
            <w:tcW w:w="794" w:type="pct"/>
            <w:tcBorders>
              <w:top w:val="single" w:sz="4" w:space="0" w:color="auto"/>
              <w:left w:val="nil"/>
              <w:bottom w:val="single" w:sz="4" w:space="0" w:color="auto"/>
              <w:right w:val="single" w:sz="4" w:space="0" w:color="auto"/>
            </w:tcBorders>
            <w:shd w:val="clear" w:color="000000" w:fill="0070C0"/>
            <w:noWrap/>
            <w:hideMark/>
          </w:tcPr>
          <w:p w14:paraId="0066CA80" w14:textId="77777777" w:rsidR="00C137A9" w:rsidRPr="001E7138" w:rsidRDefault="00C137A9">
            <w:pPr>
              <w:jc w:val="center"/>
              <w:rPr>
                <w:b/>
                <w:bCs/>
                <w:noProof/>
                <w:color w:val="FFFFFF"/>
                <w:sz w:val="20"/>
                <w:szCs w:val="20"/>
              </w:rPr>
            </w:pPr>
            <w:r w:rsidRPr="001E7138">
              <w:rPr>
                <w:b/>
                <w:bCs/>
                <w:noProof/>
                <w:color w:val="FFFFFF"/>
                <w:sz w:val="20"/>
                <w:szCs w:val="20"/>
              </w:rPr>
              <w:t>2028</w:t>
            </w:r>
          </w:p>
        </w:tc>
        <w:tc>
          <w:tcPr>
            <w:tcW w:w="794" w:type="pct"/>
            <w:tcBorders>
              <w:top w:val="single" w:sz="4" w:space="0" w:color="auto"/>
              <w:left w:val="nil"/>
              <w:bottom w:val="single" w:sz="4" w:space="0" w:color="auto"/>
              <w:right w:val="single" w:sz="4" w:space="0" w:color="auto"/>
            </w:tcBorders>
            <w:shd w:val="clear" w:color="000000" w:fill="0070C0"/>
            <w:noWrap/>
            <w:hideMark/>
          </w:tcPr>
          <w:p w14:paraId="027341E2" w14:textId="77777777" w:rsidR="00C137A9" w:rsidRPr="001E7138" w:rsidRDefault="00C137A9">
            <w:pPr>
              <w:jc w:val="center"/>
              <w:rPr>
                <w:b/>
                <w:bCs/>
                <w:noProof/>
                <w:color w:val="FFFFFF"/>
                <w:sz w:val="20"/>
                <w:szCs w:val="20"/>
              </w:rPr>
            </w:pPr>
            <w:r w:rsidRPr="001E7138">
              <w:rPr>
                <w:b/>
                <w:bCs/>
                <w:noProof/>
                <w:color w:val="FFFFFF"/>
                <w:sz w:val="20"/>
                <w:szCs w:val="20"/>
              </w:rPr>
              <w:t>2030</w:t>
            </w:r>
          </w:p>
        </w:tc>
        <w:tc>
          <w:tcPr>
            <w:tcW w:w="794" w:type="pct"/>
            <w:tcBorders>
              <w:top w:val="single" w:sz="4" w:space="0" w:color="auto"/>
              <w:left w:val="nil"/>
              <w:bottom w:val="single" w:sz="4" w:space="0" w:color="auto"/>
              <w:right w:val="single" w:sz="4" w:space="0" w:color="auto"/>
            </w:tcBorders>
            <w:shd w:val="clear" w:color="000000" w:fill="0070C0"/>
            <w:noWrap/>
            <w:hideMark/>
          </w:tcPr>
          <w:p w14:paraId="1AB3231E" w14:textId="77777777" w:rsidR="00C137A9" w:rsidRPr="001E7138" w:rsidRDefault="00C137A9">
            <w:pPr>
              <w:jc w:val="center"/>
              <w:rPr>
                <w:b/>
                <w:bCs/>
                <w:noProof/>
                <w:color w:val="FFFFFF"/>
                <w:sz w:val="20"/>
                <w:szCs w:val="20"/>
              </w:rPr>
            </w:pPr>
            <w:r w:rsidRPr="001E7138">
              <w:rPr>
                <w:b/>
                <w:bCs/>
                <w:noProof/>
                <w:color w:val="FFFFFF"/>
                <w:sz w:val="20"/>
                <w:szCs w:val="20"/>
              </w:rPr>
              <w:t>2040</w:t>
            </w:r>
          </w:p>
        </w:tc>
        <w:tc>
          <w:tcPr>
            <w:tcW w:w="794" w:type="pct"/>
            <w:tcBorders>
              <w:top w:val="single" w:sz="4" w:space="0" w:color="auto"/>
              <w:left w:val="nil"/>
              <w:bottom w:val="single" w:sz="4" w:space="0" w:color="auto"/>
              <w:right w:val="single" w:sz="4" w:space="0" w:color="auto"/>
            </w:tcBorders>
            <w:shd w:val="clear" w:color="000000" w:fill="0070C0"/>
            <w:noWrap/>
            <w:hideMark/>
          </w:tcPr>
          <w:p w14:paraId="6556F799" w14:textId="77777777" w:rsidR="00C137A9" w:rsidRPr="001E7138" w:rsidRDefault="00C137A9">
            <w:pPr>
              <w:jc w:val="center"/>
              <w:rPr>
                <w:b/>
                <w:bCs/>
                <w:noProof/>
                <w:color w:val="FFFFFF"/>
                <w:sz w:val="20"/>
                <w:szCs w:val="20"/>
              </w:rPr>
            </w:pPr>
            <w:r w:rsidRPr="001E7138">
              <w:rPr>
                <w:b/>
                <w:bCs/>
                <w:noProof/>
                <w:color w:val="FFFFFF"/>
                <w:sz w:val="20"/>
                <w:szCs w:val="20"/>
              </w:rPr>
              <w:t>2050</w:t>
            </w:r>
          </w:p>
        </w:tc>
      </w:tr>
      <w:tr w:rsidR="00975A9E" w:rsidRPr="001E7138" w14:paraId="5D15D380"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570556E3" w14:textId="77777777" w:rsidR="00975A9E" w:rsidRPr="001E7138" w:rsidRDefault="00975A9E" w:rsidP="00975A9E">
            <w:pPr>
              <w:rPr>
                <w:noProof/>
                <w:sz w:val="20"/>
                <w:szCs w:val="20"/>
              </w:rPr>
            </w:pPr>
            <w:r w:rsidRPr="001E7138">
              <w:rPr>
                <w:noProof/>
                <w:sz w:val="20"/>
                <w:szCs w:val="20"/>
              </w:rPr>
              <w:t xml:space="preserve"> Germany </w:t>
            </w:r>
          </w:p>
        </w:tc>
        <w:tc>
          <w:tcPr>
            <w:tcW w:w="794" w:type="pct"/>
            <w:tcBorders>
              <w:top w:val="nil"/>
              <w:left w:val="nil"/>
              <w:bottom w:val="single" w:sz="4" w:space="0" w:color="auto"/>
              <w:right w:val="single" w:sz="4" w:space="0" w:color="auto"/>
            </w:tcBorders>
            <w:shd w:val="clear" w:color="000000" w:fill="FFFFFF"/>
            <w:noWrap/>
            <w:hideMark/>
          </w:tcPr>
          <w:p w14:paraId="02E327D9" w14:textId="203B318D" w:rsidR="00975A9E" w:rsidRPr="00975A9E" w:rsidRDefault="00975A9E" w:rsidP="00975A9E">
            <w:pPr>
              <w:jc w:val="right"/>
              <w:rPr>
                <w:noProof/>
                <w:sz w:val="20"/>
                <w:szCs w:val="20"/>
              </w:rPr>
            </w:pPr>
            <w:r w:rsidRPr="00975A9E">
              <w:rPr>
                <w:noProof/>
                <w:sz w:val="20"/>
                <w:szCs w:val="20"/>
              </w:rPr>
              <w:t>2,116.5</w:t>
            </w:r>
          </w:p>
        </w:tc>
        <w:tc>
          <w:tcPr>
            <w:tcW w:w="794" w:type="pct"/>
            <w:tcBorders>
              <w:top w:val="nil"/>
              <w:left w:val="nil"/>
              <w:bottom w:val="single" w:sz="4" w:space="0" w:color="auto"/>
              <w:right w:val="single" w:sz="4" w:space="0" w:color="auto"/>
            </w:tcBorders>
            <w:shd w:val="clear" w:color="000000" w:fill="FFFFFF"/>
            <w:noWrap/>
            <w:hideMark/>
          </w:tcPr>
          <w:p w14:paraId="5F7C5A17" w14:textId="19E8A765" w:rsidR="00975A9E" w:rsidRPr="00975A9E" w:rsidRDefault="00975A9E" w:rsidP="00975A9E">
            <w:pPr>
              <w:jc w:val="right"/>
              <w:rPr>
                <w:noProof/>
                <w:sz w:val="20"/>
                <w:szCs w:val="20"/>
              </w:rPr>
            </w:pPr>
            <w:r w:rsidRPr="00975A9E">
              <w:rPr>
                <w:noProof/>
                <w:sz w:val="20"/>
                <w:szCs w:val="20"/>
              </w:rPr>
              <w:t>320.1</w:t>
            </w:r>
          </w:p>
        </w:tc>
        <w:tc>
          <w:tcPr>
            <w:tcW w:w="794" w:type="pct"/>
            <w:tcBorders>
              <w:top w:val="nil"/>
              <w:left w:val="nil"/>
              <w:bottom w:val="single" w:sz="4" w:space="0" w:color="auto"/>
              <w:right w:val="single" w:sz="4" w:space="0" w:color="auto"/>
            </w:tcBorders>
            <w:shd w:val="clear" w:color="000000" w:fill="FFFFFF"/>
            <w:noWrap/>
            <w:hideMark/>
          </w:tcPr>
          <w:p w14:paraId="40990F48" w14:textId="0D6A97E0" w:rsidR="00975A9E" w:rsidRPr="00975A9E" w:rsidRDefault="00975A9E" w:rsidP="00975A9E">
            <w:pPr>
              <w:jc w:val="right"/>
              <w:rPr>
                <w:noProof/>
                <w:sz w:val="20"/>
                <w:szCs w:val="20"/>
              </w:rPr>
            </w:pPr>
            <w:r w:rsidRPr="00975A9E">
              <w:rPr>
                <w:noProof/>
                <w:sz w:val="20"/>
                <w:szCs w:val="20"/>
              </w:rPr>
              <w:t>512.4</w:t>
            </w:r>
          </w:p>
        </w:tc>
        <w:tc>
          <w:tcPr>
            <w:tcW w:w="794" w:type="pct"/>
            <w:tcBorders>
              <w:top w:val="nil"/>
              <w:left w:val="nil"/>
              <w:bottom w:val="single" w:sz="4" w:space="0" w:color="auto"/>
              <w:right w:val="single" w:sz="4" w:space="0" w:color="auto"/>
            </w:tcBorders>
            <w:shd w:val="clear" w:color="000000" w:fill="FFFFFF"/>
            <w:noWrap/>
            <w:hideMark/>
          </w:tcPr>
          <w:p w14:paraId="4AEC0F5A" w14:textId="4D51191B" w:rsidR="00975A9E" w:rsidRPr="00975A9E" w:rsidRDefault="00975A9E" w:rsidP="00975A9E">
            <w:pPr>
              <w:jc w:val="right"/>
              <w:rPr>
                <w:noProof/>
                <w:sz w:val="20"/>
                <w:szCs w:val="20"/>
              </w:rPr>
            </w:pPr>
            <w:r w:rsidRPr="00975A9E">
              <w:rPr>
                <w:noProof/>
                <w:sz w:val="20"/>
                <w:szCs w:val="20"/>
              </w:rPr>
              <w:t>368.0</w:t>
            </w:r>
          </w:p>
        </w:tc>
      </w:tr>
      <w:tr w:rsidR="00975A9E" w:rsidRPr="001E7138" w14:paraId="48A7DB2B"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295FAD3E" w14:textId="77777777" w:rsidR="00975A9E" w:rsidRPr="001E7138" w:rsidRDefault="00975A9E" w:rsidP="00975A9E">
            <w:pPr>
              <w:rPr>
                <w:noProof/>
                <w:sz w:val="20"/>
                <w:szCs w:val="20"/>
              </w:rPr>
            </w:pPr>
            <w:r w:rsidRPr="001E7138">
              <w:rPr>
                <w:noProof/>
                <w:sz w:val="20"/>
                <w:szCs w:val="20"/>
              </w:rPr>
              <w:t xml:space="preserve"> Austria </w:t>
            </w:r>
          </w:p>
        </w:tc>
        <w:tc>
          <w:tcPr>
            <w:tcW w:w="794" w:type="pct"/>
            <w:tcBorders>
              <w:top w:val="nil"/>
              <w:left w:val="nil"/>
              <w:bottom w:val="single" w:sz="4" w:space="0" w:color="auto"/>
              <w:right w:val="single" w:sz="4" w:space="0" w:color="auto"/>
            </w:tcBorders>
            <w:shd w:val="clear" w:color="000000" w:fill="FFFFFF"/>
            <w:noWrap/>
            <w:hideMark/>
          </w:tcPr>
          <w:p w14:paraId="5685F1E6" w14:textId="3B3D0B82" w:rsidR="00975A9E" w:rsidRPr="00975A9E" w:rsidRDefault="00975A9E" w:rsidP="00975A9E">
            <w:pPr>
              <w:jc w:val="right"/>
              <w:rPr>
                <w:noProof/>
                <w:sz w:val="20"/>
                <w:szCs w:val="20"/>
              </w:rPr>
            </w:pPr>
            <w:r w:rsidRPr="00975A9E">
              <w:rPr>
                <w:noProof/>
                <w:sz w:val="20"/>
                <w:szCs w:val="20"/>
              </w:rPr>
              <w:t>1,587.4</w:t>
            </w:r>
          </w:p>
        </w:tc>
        <w:tc>
          <w:tcPr>
            <w:tcW w:w="794" w:type="pct"/>
            <w:tcBorders>
              <w:top w:val="nil"/>
              <w:left w:val="nil"/>
              <w:bottom w:val="single" w:sz="4" w:space="0" w:color="auto"/>
              <w:right w:val="single" w:sz="4" w:space="0" w:color="auto"/>
            </w:tcBorders>
            <w:shd w:val="clear" w:color="000000" w:fill="FFFFFF"/>
            <w:noWrap/>
            <w:hideMark/>
          </w:tcPr>
          <w:p w14:paraId="6B9DDE3E" w14:textId="2FEF46E1" w:rsidR="00975A9E" w:rsidRPr="00975A9E" w:rsidRDefault="00975A9E" w:rsidP="00975A9E">
            <w:pPr>
              <w:jc w:val="right"/>
              <w:rPr>
                <w:noProof/>
                <w:sz w:val="20"/>
                <w:szCs w:val="20"/>
              </w:rPr>
            </w:pPr>
            <w:r w:rsidRPr="00975A9E">
              <w:rPr>
                <w:noProof/>
                <w:sz w:val="20"/>
                <w:szCs w:val="20"/>
              </w:rPr>
              <w:t>240.1</w:t>
            </w:r>
          </w:p>
        </w:tc>
        <w:tc>
          <w:tcPr>
            <w:tcW w:w="794" w:type="pct"/>
            <w:tcBorders>
              <w:top w:val="nil"/>
              <w:left w:val="nil"/>
              <w:bottom w:val="single" w:sz="4" w:space="0" w:color="auto"/>
              <w:right w:val="single" w:sz="4" w:space="0" w:color="auto"/>
            </w:tcBorders>
            <w:shd w:val="clear" w:color="000000" w:fill="FFFFFF"/>
            <w:noWrap/>
            <w:hideMark/>
          </w:tcPr>
          <w:p w14:paraId="2263DAA0" w14:textId="097EF89D" w:rsidR="00975A9E" w:rsidRPr="00975A9E" w:rsidRDefault="00975A9E" w:rsidP="00975A9E">
            <w:pPr>
              <w:jc w:val="right"/>
              <w:rPr>
                <w:noProof/>
                <w:sz w:val="20"/>
                <w:szCs w:val="20"/>
              </w:rPr>
            </w:pPr>
            <w:r w:rsidRPr="00975A9E">
              <w:rPr>
                <w:noProof/>
                <w:sz w:val="20"/>
                <w:szCs w:val="20"/>
              </w:rPr>
              <w:t>384.3</w:t>
            </w:r>
          </w:p>
        </w:tc>
        <w:tc>
          <w:tcPr>
            <w:tcW w:w="794" w:type="pct"/>
            <w:tcBorders>
              <w:top w:val="nil"/>
              <w:left w:val="nil"/>
              <w:bottom w:val="single" w:sz="4" w:space="0" w:color="auto"/>
              <w:right w:val="single" w:sz="4" w:space="0" w:color="auto"/>
            </w:tcBorders>
            <w:shd w:val="clear" w:color="000000" w:fill="FFFFFF"/>
            <w:noWrap/>
            <w:hideMark/>
          </w:tcPr>
          <w:p w14:paraId="6BC6E764" w14:textId="67144E76" w:rsidR="00975A9E" w:rsidRPr="00975A9E" w:rsidRDefault="00975A9E" w:rsidP="00975A9E">
            <w:pPr>
              <w:jc w:val="right"/>
              <w:rPr>
                <w:noProof/>
                <w:sz w:val="20"/>
                <w:szCs w:val="20"/>
              </w:rPr>
            </w:pPr>
            <w:r w:rsidRPr="00975A9E">
              <w:rPr>
                <w:noProof/>
                <w:sz w:val="20"/>
                <w:szCs w:val="20"/>
              </w:rPr>
              <w:t>276.0</w:t>
            </w:r>
          </w:p>
        </w:tc>
      </w:tr>
      <w:tr w:rsidR="00975A9E" w:rsidRPr="001E7138" w14:paraId="166BD0DB"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A8FD390" w14:textId="77777777" w:rsidR="00975A9E" w:rsidRPr="001E7138" w:rsidRDefault="00975A9E" w:rsidP="00975A9E">
            <w:pPr>
              <w:rPr>
                <w:noProof/>
                <w:sz w:val="20"/>
                <w:szCs w:val="20"/>
              </w:rPr>
            </w:pPr>
            <w:r w:rsidRPr="001E7138">
              <w:rPr>
                <w:noProof/>
                <w:sz w:val="20"/>
                <w:szCs w:val="20"/>
              </w:rPr>
              <w:t xml:space="preserve"> Denmark </w:t>
            </w:r>
          </w:p>
        </w:tc>
        <w:tc>
          <w:tcPr>
            <w:tcW w:w="794" w:type="pct"/>
            <w:tcBorders>
              <w:top w:val="nil"/>
              <w:left w:val="nil"/>
              <w:bottom w:val="single" w:sz="4" w:space="0" w:color="auto"/>
              <w:right w:val="single" w:sz="4" w:space="0" w:color="auto"/>
            </w:tcBorders>
            <w:shd w:val="clear" w:color="000000" w:fill="FFFFFF"/>
            <w:noWrap/>
            <w:hideMark/>
          </w:tcPr>
          <w:p w14:paraId="2AB43E70" w14:textId="11130440" w:rsidR="00975A9E" w:rsidRPr="00975A9E" w:rsidRDefault="00975A9E" w:rsidP="00975A9E">
            <w:pPr>
              <w:jc w:val="right"/>
              <w:rPr>
                <w:noProof/>
                <w:sz w:val="20"/>
                <w:szCs w:val="20"/>
              </w:rPr>
            </w:pPr>
            <w:r w:rsidRPr="00975A9E">
              <w:rPr>
                <w:noProof/>
                <w:sz w:val="20"/>
                <w:szCs w:val="20"/>
              </w:rPr>
              <w:t>1,058.3</w:t>
            </w:r>
          </w:p>
        </w:tc>
        <w:tc>
          <w:tcPr>
            <w:tcW w:w="794" w:type="pct"/>
            <w:tcBorders>
              <w:top w:val="nil"/>
              <w:left w:val="nil"/>
              <w:bottom w:val="single" w:sz="4" w:space="0" w:color="auto"/>
              <w:right w:val="single" w:sz="4" w:space="0" w:color="auto"/>
            </w:tcBorders>
            <w:shd w:val="clear" w:color="000000" w:fill="FFFFFF"/>
            <w:noWrap/>
            <w:hideMark/>
          </w:tcPr>
          <w:p w14:paraId="5FCC2394" w14:textId="2196B6A3" w:rsidR="00975A9E" w:rsidRPr="00975A9E" w:rsidRDefault="00975A9E" w:rsidP="00975A9E">
            <w:pPr>
              <w:jc w:val="right"/>
              <w:rPr>
                <w:noProof/>
                <w:sz w:val="20"/>
                <w:szCs w:val="20"/>
              </w:rPr>
            </w:pPr>
            <w:r w:rsidRPr="00975A9E">
              <w:rPr>
                <w:noProof/>
                <w:sz w:val="20"/>
                <w:szCs w:val="20"/>
              </w:rPr>
              <w:t>160.0</w:t>
            </w:r>
          </w:p>
        </w:tc>
        <w:tc>
          <w:tcPr>
            <w:tcW w:w="794" w:type="pct"/>
            <w:tcBorders>
              <w:top w:val="nil"/>
              <w:left w:val="nil"/>
              <w:bottom w:val="single" w:sz="4" w:space="0" w:color="auto"/>
              <w:right w:val="single" w:sz="4" w:space="0" w:color="auto"/>
            </w:tcBorders>
            <w:shd w:val="clear" w:color="000000" w:fill="FFFFFF"/>
            <w:noWrap/>
            <w:hideMark/>
          </w:tcPr>
          <w:p w14:paraId="357DDD40" w14:textId="2DE94536" w:rsidR="00975A9E" w:rsidRPr="00975A9E" w:rsidRDefault="00975A9E" w:rsidP="00975A9E">
            <w:pPr>
              <w:jc w:val="right"/>
              <w:rPr>
                <w:noProof/>
                <w:sz w:val="20"/>
                <w:szCs w:val="20"/>
              </w:rPr>
            </w:pPr>
            <w:r w:rsidRPr="00975A9E">
              <w:rPr>
                <w:noProof/>
                <w:sz w:val="20"/>
                <w:szCs w:val="20"/>
              </w:rPr>
              <w:t>256.2</w:t>
            </w:r>
          </w:p>
        </w:tc>
        <w:tc>
          <w:tcPr>
            <w:tcW w:w="794" w:type="pct"/>
            <w:tcBorders>
              <w:top w:val="nil"/>
              <w:left w:val="nil"/>
              <w:bottom w:val="single" w:sz="4" w:space="0" w:color="auto"/>
              <w:right w:val="single" w:sz="4" w:space="0" w:color="auto"/>
            </w:tcBorders>
            <w:shd w:val="clear" w:color="000000" w:fill="FFFFFF"/>
            <w:noWrap/>
            <w:hideMark/>
          </w:tcPr>
          <w:p w14:paraId="389DBD16" w14:textId="6910F2B8" w:rsidR="00975A9E" w:rsidRPr="00975A9E" w:rsidRDefault="00975A9E" w:rsidP="00975A9E">
            <w:pPr>
              <w:jc w:val="right"/>
              <w:rPr>
                <w:noProof/>
                <w:sz w:val="20"/>
                <w:szCs w:val="20"/>
              </w:rPr>
            </w:pPr>
            <w:r w:rsidRPr="00975A9E">
              <w:rPr>
                <w:noProof/>
                <w:sz w:val="20"/>
                <w:szCs w:val="20"/>
              </w:rPr>
              <w:t>184.0</w:t>
            </w:r>
          </w:p>
        </w:tc>
      </w:tr>
      <w:tr w:rsidR="00975A9E" w:rsidRPr="001E7138" w14:paraId="20408F38"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41382F8F" w14:textId="77777777" w:rsidR="00975A9E" w:rsidRPr="001E7138" w:rsidRDefault="00975A9E" w:rsidP="00975A9E">
            <w:pPr>
              <w:rPr>
                <w:noProof/>
                <w:sz w:val="20"/>
                <w:szCs w:val="20"/>
              </w:rPr>
            </w:pPr>
            <w:r w:rsidRPr="001E7138">
              <w:rPr>
                <w:noProof/>
                <w:sz w:val="20"/>
                <w:szCs w:val="20"/>
              </w:rPr>
              <w:t xml:space="preserve"> Luxembourg </w:t>
            </w:r>
          </w:p>
        </w:tc>
        <w:tc>
          <w:tcPr>
            <w:tcW w:w="794" w:type="pct"/>
            <w:tcBorders>
              <w:top w:val="nil"/>
              <w:left w:val="nil"/>
              <w:bottom w:val="single" w:sz="4" w:space="0" w:color="auto"/>
              <w:right w:val="single" w:sz="4" w:space="0" w:color="auto"/>
            </w:tcBorders>
            <w:shd w:val="clear" w:color="000000" w:fill="FFFFFF"/>
            <w:noWrap/>
            <w:hideMark/>
          </w:tcPr>
          <w:p w14:paraId="23855E29" w14:textId="4A3C6F55" w:rsidR="00975A9E" w:rsidRPr="00975A9E" w:rsidRDefault="00975A9E" w:rsidP="00975A9E">
            <w:pPr>
              <w:jc w:val="right"/>
              <w:rPr>
                <w:noProof/>
                <w:sz w:val="20"/>
                <w:szCs w:val="20"/>
              </w:rPr>
            </w:pPr>
            <w:r w:rsidRPr="00975A9E">
              <w:rPr>
                <w:noProof/>
                <w:sz w:val="20"/>
                <w:szCs w:val="20"/>
              </w:rPr>
              <w:t>705.5</w:t>
            </w:r>
          </w:p>
        </w:tc>
        <w:tc>
          <w:tcPr>
            <w:tcW w:w="794" w:type="pct"/>
            <w:tcBorders>
              <w:top w:val="nil"/>
              <w:left w:val="nil"/>
              <w:bottom w:val="single" w:sz="4" w:space="0" w:color="auto"/>
              <w:right w:val="single" w:sz="4" w:space="0" w:color="auto"/>
            </w:tcBorders>
            <w:shd w:val="clear" w:color="000000" w:fill="FFFFFF"/>
            <w:noWrap/>
            <w:hideMark/>
          </w:tcPr>
          <w:p w14:paraId="4E7A233C" w14:textId="0B87FEB4" w:rsidR="00975A9E" w:rsidRPr="00975A9E" w:rsidRDefault="00975A9E" w:rsidP="00975A9E">
            <w:pPr>
              <w:jc w:val="right"/>
              <w:rPr>
                <w:noProof/>
                <w:sz w:val="20"/>
                <w:szCs w:val="20"/>
              </w:rPr>
            </w:pPr>
            <w:r w:rsidRPr="00975A9E">
              <w:rPr>
                <w:noProof/>
                <w:sz w:val="20"/>
                <w:szCs w:val="20"/>
              </w:rPr>
              <w:t>106.7</w:t>
            </w:r>
          </w:p>
        </w:tc>
        <w:tc>
          <w:tcPr>
            <w:tcW w:w="794" w:type="pct"/>
            <w:tcBorders>
              <w:top w:val="nil"/>
              <w:left w:val="nil"/>
              <w:bottom w:val="single" w:sz="4" w:space="0" w:color="auto"/>
              <w:right w:val="single" w:sz="4" w:space="0" w:color="auto"/>
            </w:tcBorders>
            <w:shd w:val="clear" w:color="000000" w:fill="FFFFFF"/>
            <w:noWrap/>
            <w:hideMark/>
          </w:tcPr>
          <w:p w14:paraId="3EA6948E" w14:textId="7B42E54D" w:rsidR="00975A9E" w:rsidRPr="00975A9E" w:rsidRDefault="00975A9E" w:rsidP="00975A9E">
            <w:pPr>
              <w:jc w:val="right"/>
              <w:rPr>
                <w:noProof/>
                <w:sz w:val="20"/>
                <w:szCs w:val="20"/>
              </w:rPr>
            </w:pPr>
            <w:r w:rsidRPr="00975A9E">
              <w:rPr>
                <w:noProof/>
                <w:sz w:val="20"/>
                <w:szCs w:val="20"/>
              </w:rPr>
              <w:t>170.8</w:t>
            </w:r>
          </w:p>
        </w:tc>
        <w:tc>
          <w:tcPr>
            <w:tcW w:w="794" w:type="pct"/>
            <w:tcBorders>
              <w:top w:val="nil"/>
              <w:left w:val="nil"/>
              <w:bottom w:val="single" w:sz="4" w:space="0" w:color="auto"/>
              <w:right w:val="single" w:sz="4" w:space="0" w:color="auto"/>
            </w:tcBorders>
            <w:shd w:val="clear" w:color="000000" w:fill="FFFFFF"/>
            <w:noWrap/>
            <w:hideMark/>
          </w:tcPr>
          <w:p w14:paraId="179DEAAC" w14:textId="5063B7BA" w:rsidR="00975A9E" w:rsidRPr="00975A9E" w:rsidRDefault="00975A9E" w:rsidP="00975A9E">
            <w:pPr>
              <w:jc w:val="right"/>
              <w:rPr>
                <w:noProof/>
                <w:sz w:val="20"/>
                <w:szCs w:val="20"/>
              </w:rPr>
            </w:pPr>
            <w:r w:rsidRPr="00975A9E">
              <w:rPr>
                <w:noProof/>
                <w:sz w:val="20"/>
                <w:szCs w:val="20"/>
              </w:rPr>
              <w:t>122.7</w:t>
            </w:r>
          </w:p>
        </w:tc>
      </w:tr>
      <w:tr w:rsidR="00975A9E" w:rsidRPr="001E7138" w14:paraId="3579EAF7"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7C31CCD" w14:textId="77777777" w:rsidR="00975A9E" w:rsidRPr="001E7138" w:rsidRDefault="00975A9E" w:rsidP="00975A9E">
            <w:pPr>
              <w:rPr>
                <w:noProof/>
                <w:sz w:val="20"/>
                <w:szCs w:val="20"/>
              </w:rPr>
            </w:pPr>
            <w:r w:rsidRPr="001E7138">
              <w:rPr>
                <w:noProof/>
                <w:sz w:val="20"/>
                <w:szCs w:val="20"/>
              </w:rPr>
              <w:t xml:space="preserve"> Finland </w:t>
            </w:r>
          </w:p>
        </w:tc>
        <w:tc>
          <w:tcPr>
            <w:tcW w:w="794" w:type="pct"/>
            <w:tcBorders>
              <w:top w:val="nil"/>
              <w:left w:val="nil"/>
              <w:bottom w:val="single" w:sz="4" w:space="0" w:color="auto"/>
              <w:right w:val="single" w:sz="4" w:space="0" w:color="auto"/>
            </w:tcBorders>
            <w:shd w:val="clear" w:color="000000" w:fill="FFFFFF"/>
            <w:noWrap/>
            <w:hideMark/>
          </w:tcPr>
          <w:p w14:paraId="4334CCEC" w14:textId="1C8C450C" w:rsidR="00975A9E" w:rsidRPr="00975A9E" w:rsidRDefault="00975A9E" w:rsidP="00975A9E">
            <w:pPr>
              <w:jc w:val="right"/>
              <w:rPr>
                <w:noProof/>
                <w:sz w:val="20"/>
                <w:szCs w:val="20"/>
              </w:rPr>
            </w:pPr>
            <w:r w:rsidRPr="00975A9E">
              <w:rPr>
                <w:noProof/>
                <w:sz w:val="20"/>
                <w:szCs w:val="20"/>
              </w:rPr>
              <w:t>881.9</w:t>
            </w:r>
          </w:p>
        </w:tc>
        <w:tc>
          <w:tcPr>
            <w:tcW w:w="794" w:type="pct"/>
            <w:tcBorders>
              <w:top w:val="nil"/>
              <w:left w:val="nil"/>
              <w:bottom w:val="single" w:sz="4" w:space="0" w:color="auto"/>
              <w:right w:val="single" w:sz="4" w:space="0" w:color="auto"/>
            </w:tcBorders>
            <w:shd w:val="clear" w:color="000000" w:fill="FFFFFF"/>
            <w:noWrap/>
            <w:hideMark/>
          </w:tcPr>
          <w:p w14:paraId="5BA65B84" w14:textId="4C41951B" w:rsidR="00975A9E" w:rsidRPr="00975A9E" w:rsidRDefault="00975A9E" w:rsidP="00975A9E">
            <w:pPr>
              <w:jc w:val="right"/>
              <w:rPr>
                <w:noProof/>
                <w:sz w:val="20"/>
                <w:szCs w:val="20"/>
              </w:rPr>
            </w:pPr>
            <w:r w:rsidRPr="00975A9E">
              <w:rPr>
                <w:noProof/>
                <w:sz w:val="20"/>
                <w:szCs w:val="20"/>
              </w:rPr>
              <w:t>133.4</w:t>
            </w:r>
          </w:p>
        </w:tc>
        <w:tc>
          <w:tcPr>
            <w:tcW w:w="794" w:type="pct"/>
            <w:tcBorders>
              <w:top w:val="nil"/>
              <w:left w:val="nil"/>
              <w:bottom w:val="single" w:sz="4" w:space="0" w:color="auto"/>
              <w:right w:val="single" w:sz="4" w:space="0" w:color="auto"/>
            </w:tcBorders>
            <w:shd w:val="clear" w:color="000000" w:fill="FFFFFF"/>
            <w:noWrap/>
            <w:hideMark/>
          </w:tcPr>
          <w:p w14:paraId="1811B25E" w14:textId="0B020C0C" w:rsidR="00975A9E" w:rsidRPr="00975A9E" w:rsidRDefault="00975A9E" w:rsidP="00975A9E">
            <w:pPr>
              <w:jc w:val="right"/>
              <w:rPr>
                <w:noProof/>
                <w:sz w:val="20"/>
                <w:szCs w:val="20"/>
              </w:rPr>
            </w:pPr>
            <w:r w:rsidRPr="00975A9E">
              <w:rPr>
                <w:noProof/>
                <w:sz w:val="20"/>
                <w:szCs w:val="20"/>
              </w:rPr>
              <w:t>213.5</w:t>
            </w:r>
          </w:p>
        </w:tc>
        <w:tc>
          <w:tcPr>
            <w:tcW w:w="794" w:type="pct"/>
            <w:tcBorders>
              <w:top w:val="nil"/>
              <w:left w:val="nil"/>
              <w:bottom w:val="single" w:sz="4" w:space="0" w:color="auto"/>
              <w:right w:val="single" w:sz="4" w:space="0" w:color="auto"/>
            </w:tcBorders>
            <w:shd w:val="clear" w:color="000000" w:fill="FFFFFF"/>
            <w:noWrap/>
            <w:hideMark/>
          </w:tcPr>
          <w:p w14:paraId="79F48AB3" w14:textId="6894D6AA" w:rsidR="00975A9E" w:rsidRPr="00975A9E" w:rsidRDefault="00975A9E" w:rsidP="00975A9E">
            <w:pPr>
              <w:jc w:val="right"/>
              <w:rPr>
                <w:noProof/>
                <w:sz w:val="20"/>
                <w:szCs w:val="20"/>
              </w:rPr>
            </w:pPr>
            <w:r w:rsidRPr="00975A9E">
              <w:rPr>
                <w:noProof/>
                <w:sz w:val="20"/>
                <w:szCs w:val="20"/>
              </w:rPr>
              <w:t>153.3</w:t>
            </w:r>
          </w:p>
        </w:tc>
      </w:tr>
      <w:tr w:rsidR="00975A9E" w:rsidRPr="001E7138" w14:paraId="089B058E"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2137DBFA" w14:textId="77777777" w:rsidR="00975A9E" w:rsidRPr="001E7138" w:rsidRDefault="00975A9E" w:rsidP="00975A9E">
            <w:pPr>
              <w:rPr>
                <w:noProof/>
                <w:sz w:val="20"/>
                <w:szCs w:val="20"/>
              </w:rPr>
            </w:pPr>
            <w:r w:rsidRPr="001E7138">
              <w:rPr>
                <w:noProof/>
                <w:sz w:val="20"/>
                <w:szCs w:val="20"/>
              </w:rPr>
              <w:t xml:space="preserve"> Spain </w:t>
            </w:r>
          </w:p>
        </w:tc>
        <w:tc>
          <w:tcPr>
            <w:tcW w:w="794" w:type="pct"/>
            <w:tcBorders>
              <w:top w:val="nil"/>
              <w:left w:val="nil"/>
              <w:bottom w:val="single" w:sz="4" w:space="0" w:color="auto"/>
              <w:right w:val="single" w:sz="4" w:space="0" w:color="auto"/>
            </w:tcBorders>
            <w:shd w:val="clear" w:color="000000" w:fill="FFFFFF"/>
            <w:noWrap/>
            <w:hideMark/>
          </w:tcPr>
          <w:p w14:paraId="76FEBBEA" w14:textId="30FC1B57" w:rsidR="00975A9E" w:rsidRPr="00975A9E" w:rsidRDefault="00975A9E" w:rsidP="00975A9E">
            <w:pPr>
              <w:jc w:val="right"/>
              <w:rPr>
                <w:noProof/>
                <w:sz w:val="20"/>
                <w:szCs w:val="20"/>
              </w:rPr>
            </w:pPr>
            <w:r w:rsidRPr="00975A9E">
              <w:rPr>
                <w:noProof/>
                <w:sz w:val="20"/>
                <w:szCs w:val="20"/>
              </w:rPr>
              <w:t>705.5</w:t>
            </w:r>
          </w:p>
        </w:tc>
        <w:tc>
          <w:tcPr>
            <w:tcW w:w="794" w:type="pct"/>
            <w:tcBorders>
              <w:top w:val="nil"/>
              <w:left w:val="nil"/>
              <w:bottom w:val="single" w:sz="4" w:space="0" w:color="auto"/>
              <w:right w:val="single" w:sz="4" w:space="0" w:color="auto"/>
            </w:tcBorders>
            <w:shd w:val="clear" w:color="000000" w:fill="FFFFFF"/>
            <w:noWrap/>
            <w:hideMark/>
          </w:tcPr>
          <w:p w14:paraId="257C05C2" w14:textId="52B19B71" w:rsidR="00975A9E" w:rsidRPr="00975A9E" w:rsidRDefault="00975A9E" w:rsidP="00975A9E">
            <w:pPr>
              <w:jc w:val="right"/>
              <w:rPr>
                <w:noProof/>
                <w:sz w:val="20"/>
                <w:szCs w:val="20"/>
              </w:rPr>
            </w:pPr>
            <w:r w:rsidRPr="00975A9E">
              <w:rPr>
                <w:noProof/>
                <w:sz w:val="20"/>
                <w:szCs w:val="20"/>
              </w:rPr>
              <w:t>106.7</w:t>
            </w:r>
          </w:p>
        </w:tc>
        <w:tc>
          <w:tcPr>
            <w:tcW w:w="794" w:type="pct"/>
            <w:tcBorders>
              <w:top w:val="nil"/>
              <w:left w:val="nil"/>
              <w:bottom w:val="single" w:sz="4" w:space="0" w:color="auto"/>
              <w:right w:val="single" w:sz="4" w:space="0" w:color="auto"/>
            </w:tcBorders>
            <w:shd w:val="clear" w:color="000000" w:fill="FFFFFF"/>
            <w:noWrap/>
            <w:hideMark/>
          </w:tcPr>
          <w:p w14:paraId="21F59FCC" w14:textId="02A518CB" w:rsidR="00975A9E" w:rsidRPr="00975A9E" w:rsidRDefault="00975A9E" w:rsidP="00975A9E">
            <w:pPr>
              <w:jc w:val="right"/>
              <w:rPr>
                <w:noProof/>
                <w:sz w:val="20"/>
                <w:szCs w:val="20"/>
              </w:rPr>
            </w:pPr>
            <w:r w:rsidRPr="00975A9E">
              <w:rPr>
                <w:noProof/>
                <w:sz w:val="20"/>
                <w:szCs w:val="20"/>
              </w:rPr>
              <w:t>170.8</w:t>
            </w:r>
          </w:p>
        </w:tc>
        <w:tc>
          <w:tcPr>
            <w:tcW w:w="794" w:type="pct"/>
            <w:tcBorders>
              <w:top w:val="nil"/>
              <w:left w:val="nil"/>
              <w:bottom w:val="single" w:sz="4" w:space="0" w:color="auto"/>
              <w:right w:val="single" w:sz="4" w:space="0" w:color="auto"/>
            </w:tcBorders>
            <w:shd w:val="clear" w:color="000000" w:fill="FFFFFF"/>
            <w:noWrap/>
            <w:hideMark/>
          </w:tcPr>
          <w:p w14:paraId="6700110D" w14:textId="12B4D5F3" w:rsidR="00975A9E" w:rsidRPr="00975A9E" w:rsidRDefault="00975A9E" w:rsidP="00975A9E">
            <w:pPr>
              <w:jc w:val="right"/>
              <w:rPr>
                <w:noProof/>
                <w:sz w:val="20"/>
                <w:szCs w:val="20"/>
              </w:rPr>
            </w:pPr>
            <w:r w:rsidRPr="00975A9E">
              <w:rPr>
                <w:noProof/>
                <w:sz w:val="20"/>
                <w:szCs w:val="20"/>
              </w:rPr>
              <w:t>122.7</w:t>
            </w:r>
          </w:p>
        </w:tc>
      </w:tr>
      <w:tr w:rsidR="00975A9E" w:rsidRPr="001E7138" w14:paraId="42828005"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E30C64B" w14:textId="77777777" w:rsidR="00975A9E" w:rsidRPr="001E7138" w:rsidRDefault="00975A9E" w:rsidP="00975A9E">
            <w:pPr>
              <w:rPr>
                <w:noProof/>
                <w:sz w:val="20"/>
                <w:szCs w:val="20"/>
              </w:rPr>
            </w:pPr>
            <w:r w:rsidRPr="001E7138">
              <w:rPr>
                <w:noProof/>
                <w:sz w:val="20"/>
                <w:szCs w:val="20"/>
              </w:rPr>
              <w:t xml:space="preserve"> Netherlands </w:t>
            </w:r>
          </w:p>
        </w:tc>
        <w:tc>
          <w:tcPr>
            <w:tcW w:w="794" w:type="pct"/>
            <w:tcBorders>
              <w:top w:val="nil"/>
              <w:left w:val="nil"/>
              <w:bottom w:val="single" w:sz="4" w:space="0" w:color="auto"/>
              <w:right w:val="single" w:sz="4" w:space="0" w:color="auto"/>
            </w:tcBorders>
            <w:shd w:val="clear" w:color="000000" w:fill="FFFFFF"/>
            <w:noWrap/>
            <w:hideMark/>
          </w:tcPr>
          <w:p w14:paraId="7033FD71" w14:textId="3E809995" w:rsidR="00975A9E" w:rsidRPr="00975A9E" w:rsidRDefault="00975A9E" w:rsidP="00975A9E">
            <w:pPr>
              <w:jc w:val="right"/>
              <w:rPr>
                <w:noProof/>
                <w:sz w:val="20"/>
                <w:szCs w:val="20"/>
              </w:rPr>
            </w:pPr>
            <w:r w:rsidRPr="00975A9E">
              <w:rPr>
                <w:noProof/>
                <w:sz w:val="20"/>
                <w:szCs w:val="20"/>
              </w:rPr>
              <w:t>1,763.8</w:t>
            </w:r>
          </w:p>
        </w:tc>
        <w:tc>
          <w:tcPr>
            <w:tcW w:w="794" w:type="pct"/>
            <w:tcBorders>
              <w:top w:val="nil"/>
              <w:left w:val="nil"/>
              <w:bottom w:val="single" w:sz="4" w:space="0" w:color="auto"/>
              <w:right w:val="single" w:sz="4" w:space="0" w:color="auto"/>
            </w:tcBorders>
            <w:shd w:val="clear" w:color="000000" w:fill="FFFFFF"/>
            <w:noWrap/>
            <w:hideMark/>
          </w:tcPr>
          <w:p w14:paraId="158EBBDC" w14:textId="6690AC7D" w:rsidR="00975A9E" w:rsidRPr="00975A9E" w:rsidRDefault="00975A9E" w:rsidP="00975A9E">
            <w:pPr>
              <w:jc w:val="right"/>
              <w:rPr>
                <w:noProof/>
                <w:sz w:val="20"/>
                <w:szCs w:val="20"/>
              </w:rPr>
            </w:pPr>
            <w:r w:rsidRPr="00975A9E">
              <w:rPr>
                <w:noProof/>
                <w:sz w:val="20"/>
                <w:szCs w:val="20"/>
              </w:rPr>
              <w:t>266.7</w:t>
            </w:r>
          </w:p>
        </w:tc>
        <w:tc>
          <w:tcPr>
            <w:tcW w:w="794" w:type="pct"/>
            <w:tcBorders>
              <w:top w:val="nil"/>
              <w:left w:val="nil"/>
              <w:bottom w:val="single" w:sz="4" w:space="0" w:color="auto"/>
              <w:right w:val="single" w:sz="4" w:space="0" w:color="auto"/>
            </w:tcBorders>
            <w:shd w:val="clear" w:color="000000" w:fill="FFFFFF"/>
            <w:noWrap/>
            <w:hideMark/>
          </w:tcPr>
          <w:p w14:paraId="1FC9984D" w14:textId="57361C90" w:rsidR="00975A9E" w:rsidRPr="00975A9E" w:rsidRDefault="00975A9E" w:rsidP="00975A9E">
            <w:pPr>
              <w:jc w:val="right"/>
              <w:rPr>
                <w:noProof/>
                <w:sz w:val="20"/>
                <w:szCs w:val="20"/>
              </w:rPr>
            </w:pPr>
            <w:r w:rsidRPr="00975A9E">
              <w:rPr>
                <w:noProof/>
                <w:sz w:val="20"/>
                <w:szCs w:val="20"/>
              </w:rPr>
              <w:t>427.0</w:t>
            </w:r>
          </w:p>
        </w:tc>
        <w:tc>
          <w:tcPr>
            <w:tcW w:w="794" w:type="pct"/>
            <w:tcBorders>
              <w:top w:val="nil"/>
              <w:left w:val="nil"/>
              <w:bottom w:val="single" w:sz="4" w:space="0" w:color="auto"/>
              <w:right w:val="single" w:sz="4" w:space="0" w:color="auto"/>
            </w:tcBorders>
            <w:shd w:val="clear" w:color="000000" w:fill="FFFFFF"/>
            <w:noWrap/>
            <w:hideMark/>
          </w:tcPr>
          <w:p w14:paraId="13E4905A" w14:textId="51F2A265" w:rsidR="00975A9E" w:rsidRPr="00975A9E" w:rsidRDefault="00975A9E" w:rsidP="00975A9E">
            <w:pPr>
              <w:jc w:val="right"/>
              <w:rPr>
                <w:noProof/>
                <w:sz w:val="20"/>
                <w:szCs w:val="20"/>
              </w:rPr>
            </w:pPr>
            <w:r w:rsidRPr="00975A9E">
              <w:rPr>
                <w:noProof/>
                <w:sz w:val="20"/>
                <w:szCs w:val="20"/>
              </w:rPr>
              <w:t>306.6</w:t>
            </w:r>
          </w:p>
        </w:tc>
      </w:tr>
      <w:tr w:rsidR="00975A9E" w:rsidRPr="001E7138" w14:paraId="6367CC3B"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237629EB" w14:textId="77777777" w:rsidR="00975A9E" w:rsidRPr="001E7138" w:rsidRDefault="00975A9E" w:rsidP="00975A9E">
            <w:pPr>
              <w:rPr>
                <w:noProof/>
                <w:sz w:val="20"/>
                <w:szCs w:val="20"/>
              </w:rPr>
            </w:pPr>
            <w:r w:rsidRPr="001E7138">
              <w:rPr>
                <w:noProof/>
                <w:sz w:val="20"/>
                <w:szCs w:val="20"/>
              </w:rPr>
              <w:t xml:space="preserve"> France </w:t>
            </w:r>
          </w:p>
        </w:tc>
        <w:tc>
          <w:tcPr>
            <w:tcW w:w="794" w:type="pct"/>
            <w:tcBorders>
              <w:top w:val="nil"/>
              <w:left w:val="nil"/>
              <w:bottom w:val="single" w:sz="4" w:space="0" w:color="auto"/>
              <w:right w:val="single" w:sz="4" w:space="0" w:color="auto"/>
            </w:tcBorders>
            <w:shd w:val="clear" w:color="000000" w:fill="FFFFFF"/>
            <w:noWrap/>
            <w:hideMark/>
          </w:tcPr>
          <w:p w14:paraId="0732D7A5" w14:textId="644CCD9D" w:rsidR="00975A9E" w:rsidRPr="00975A9E" w:rsidRDefault="00975A9E" w:rsidP="00975A9E">
            <w:pPr>
              <w:jc w:val="right"/>
              <w:rPr>
                <w:noProof/>
                <w:sz w:val="20"/>
                <w:szCs w:val="20"/>
              </w:rPr>
            </w:pPr>
            <w:r w:rsidRPr="00975A9E">
              <w:rPr>
                <w:noProof/>
                <w:sz w:val="20"/>
                <w:szCs w:val="20"/>
              </w:rPr>
              <w:t>2,292.9</w:t>
            </w:r>
          </w:p>
        </w:tc>
        <w:tc>
          <w:tcPr>
            <w:tcW w:w="794" w:type="pct"/>
            <w:tcBorders>
              <w:top w:val="nil"/>
              <w:left w:val="nil"/>
              <w:bottom w:val="single" w:sz="4" w:space="0" w:color="auto"/>
              <w:right w:val="single" w:sz="4" w:space="0" w:color="auto"/>
            </w:tcBorders>
            <w:shd w:val="clear" w:color="000000" w:fill="FFFFFF"/>
            <w:noWrap/>
            <w:hideMark/>
          </w:tcPr>
          <w:p w14:paraId="44877C0E" w14:textId="7178E077" w:rsidR="00975A9E" w:rsidRPr="00975A9E" w:rsidRDefault="00975A9E" w:rsidP="00975A9E">
            <w:pPr>
              <w:jc w:val="right"/>
              <w:rPr>
                <w:noProof/>
                <w:sz w:val="20"/>
                <w:szCs w:val="20"/>
              </w:rPr>
            </w:pPr>
            <w:r w:rsidRPr="00975A9E">
              <w:rPr>
                <w:noProof/>
                <w:sz w:val="20"/>
                <w:szCs w:val="20"/>
              </w:rPr>
              <w:t>346.8</w:t>
            </w:r>
          </w:p>
        </w:tc>
        <w:tc>
          <w:tcPr>
            <w:tcW w:w="794" w:type="pct"/>
            <w:tcBorders>
              <w:top w:val="nil"/>
              <w:left w:val="nil"/>
              <w:bottom w:val="single" w:sz="4" w:space="0" w:color="auto"/>
              <w:right w:val="single" w:sz="4" w:space="0" w:color="auto"/>
            </w:tcBorders>
            <w:shd w:val="clear" w:color="000000" w:fill="FFFFFF"/>
            <w:noWrap/>
            <w:hideMark/>
          </w:tcPr>
          <w:p w14:paraId="1CAEF7E2" w14:textId="45482CAB" w:rsidR="00975A9E" w:rsidRPr="00975A9E" w:rsidRDefault="00975A9E" w:rsidP="00975A9E">
            <w:pPr>
              <w:jc w:val="right"/>
              <w:rPr>
                <w:noProof/>
                <w:sz w:val="20"/>
                <w:szCs w:val="20"/>
              </w:rPr>
            </w:pPr>
            <w:r w:rsidRPr="00975A9E">
              <w:rPr>
                <w:noProof/>
                <w:sz w:val="20"/>
                <w:szCs w:val="20"/>
              </w:rPr>
              <w:t>555.1</w:t>
            </w:r>
          </w:p>
        </w:tc>
        <w:tc>
          <w:tcPr>
            <w:tcW w:w="794" w:type="pct"/>
            <w:tcBorders>
              <w:top w:val="nil"/>
              <w:left w:val="nil"/>
              <w:bottom w:val="single" w:sz="4" w:space="0" w:color="auto"/>
              <w:right w:val="single" w:sz="4" w:space="0" w:color="auto"/>
            </w:tcBorders>
            <w:shd w:val="clear" w:color="000000" w:fill="FFFFFF"/>
            <w:noWrap/>
            <w:hideMark/>
          </w:tcPr>
          <w:p w14:paraId="7F6867EC" w14:textId="7CE66446" w:rsidR="00975A9E" w:rsidRPr="00975A9E" w:rsidRDefault="00975A9E" w:rsidP="00975A9E">
            <w:pPr>
              <w:jc w:val="right"/>
              <w:rPr>
                <w:noProof/>
                <w:sz w:val="20"/>
                <w:szCs w:val="20"/>
              </w:rPr>
            </w:pPr>
            <w:r w:rsidRPr="00975A9E">
              <w:rPr>
                <w:noProof/>
                <w:sz w:val="20"/>
                <w:szCs w:val="20"/>
              </w:rPr>
              <w:t>398.6</w:t>
            </w:r>
          </w:p>
        </w:tc>
      </w:tr>
      <w:tr w:rsidR="00975A9E" w:rsidRPr="001E7138" w14:paraId="48DFF163"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2012EB3F" w14:textId="77777777" w:rsidR="00975A9E" w:rsidRPr="001E7138" w:rsidRDefault="00975A9E" w:rsidP="00975A9E">
            <w:pPr>
              <w:rPr>
                <w:noProof/>
                <w:sz w:val="20"/>
                <w:szCs w:val="20"/>
              </w:rPr>
            </w:pPr>
            <w:r w:rsidRPr="001E7138">
              <w:rPr>
                <w:noProof/>
                <w:sz w:val="20"/>
                <w:szCs w:val="20"/>
              </w:rPr>
              <w:t xml:space="preserve"> Poland </w:t>
            </w:r>
          </w:p>
        </w:tc>
        <w:tc>
          <w:tcPr>
            <w:tcW w:w="794" w:type="pct"/>
            <w:tcBorders>
              <w:top w:val="nil"/>
              <w:left w:val="nil"/>
              <w:bottom w:val="single" w:sz="4" w:space="0" w:color="auto"/>
              <w:right w:val="single" w:sz="4" w:space="0" w:color="auto"/>
            </w:tcBorders>
            <w:shd w:val="clear" w:color="000000" w:fill="FFFFFF"/>
            <w:noWrap/>
            <w:hideMark/>
          </w:tcPr>
          <w:p w14:paraId="10D79460" w14:textId="2DA1CE90" w:rsidR="00975A9E" w:rsidRPr="00975A9E" w:rsidRDefault="00975A9E" w:rsidP="00975A9E">
            <w:pPr>
              <w:jc w:val="right"/>
              <w:rPr>
                <w:noProof/>
                <w:sz w:val="20"/>
                <w:szCs w:val="20"/>
              </w:rPr>
            </w:pPr>
            <w:r w:rsidRPr="00975A9E">
              <w:rPr>
                <w:noProof/>
                <w:sz w:val="20"/>
                <w:szCs w:val="20"/>
              </w:rPr>
              <w:t>1,234.7</w:t>
            </w:r>
          </w:p>
        </w:tc>
        <w:tc>
          <w:tcPr>
            <w:tcW w:w="794" w:type="pct"/>
            <w:tcBorders>
              <w:top w:val="nil"/>
              <w:left w:val="nil"/>
              <w:bottom w:val="single" w:sz="4" w:space="0" w:color="auto"/>
              <w:right w:val="single" w:sz="4" w:space="0" w:color="auto"/>
            </w:tcBorders>
            <w:shd w:val="clear" w:color="000000" w:fill="FFFFFF"/>
            <w:noWrap/>
            <w:hideMark/>
          </w:tcPr>
          <w:p w14:paraId="3963DB1A" w14:textId="337E2AFA" w:rsidR="00975A9E" w:rsidRPr="00975A9E" w:rsidRDefault="00975A9E" w:rsidP="00975A9E">
            <w:pPr>
              <w:jc w:val="right"/>
              <w:rPr>
                <w:noProof/>
                <w:sz w:val="20"/>
                <w:szCs w:val="20"/>
              </w:rPr>
            </w:pPr>
            <w:r w:rsidRPr="00975A9E">
              <w:rPr>
                <w:noProof/>
                <w:sz w:val="20"/>
                <w:szCs w:val="20"/>
              </w:rPr>
              <w:t>186.7</w:t>
            </w:r>
          </w:p>
        </w:tc>
        <w:tc>
          <w:tcPr>
            <w:tcW w:w="794" w:type="pct"/>
            <w:tcBorders>
              <w:top w:val="nil"/>
              <w:left w:val="nil"/>
              <w:bottom w:val="single" w:sz="4" w:space="0" w:color="auto"/>
              <w:right w:val="single" w:sz="4" w:space="0" w:color="auto"/>
            </w:tcBorders>
            <w:shd w:val="clear" w:color="000000" w:fill="FFFFFF"/>
            <w:noWrap/>
            <w:hideMark/>
          </w:tcPr>
          <w:p w14:paraId="46D93F13" w14:textId="0A43894C" w:rsidR="00975A9E" w:rsidRPr="00975A9E" w:rsidRDefault="00975A9E" w:rsidP="00975A9E">
            <w:pPr>
              <w:jc w:val="right"/>
              <w:rPr>
                <w:noProof/>
                <w:sz w:val="20"/>
                <w:szCs w:val="20"/>
              </w:rPr>
            </w:pPr>
            <w:r w:rsidRPr="00975A9E">
              <w:rPr>
                <w:noProof/>
                <w:sz w:val="20"/>
                <w:szCs w:val="20"/>
              </w:rPr>
              <w:t>298.9</w:t>
            </w:r>
          </w:p>
        </w:tc>
        <w:tc>
          <w:tcPr>
            <w:tcW w:w="794" w:type="pct"/>
            <w:tcBorders>
              <w:top w:val="nil"/>
              <w:left w:val="nil"/>
              <w:bottom w:val="single" w:sz="4" w:space="0" w:color="auto"/>
              <w:right w:val="single" w:sz="4" w:space="0" w:color="auto"/>
            </w:tcBorders>
            <w:shd w:val="clear" w:color="000000" w:fill="FFFFFF"/>
            <w:noWrap/>
            <w:hideMark/>
          </w:tcPr>
          <w:p w14:paraId="17559273" w14:textId="5BF6DF3B" w:rsidR="00975A9E" w:rsidRPr="00975A9E" w:rsidRDefault="00975A9E" w:rsidP="00975A9E">
            <w:pPr>
              <w:jc w:val="right"/>
              <w:rPr>
                <w:noProof/>
                <w:sz w:val="20"/>
                <w:szCs w:val="20"/>
              </w:rPr>
            </w:pPr>
            <w:r w:rsidRPr="00975A9E">
              <w:rPr>
                <w:noProof/>
                <w:sz w:val="20"/>
                <w:szCs w:val="20"/>
              </w:rPr>
              <w:t>214.6</w:t>
            </w:r>
          </w:p>
        </w:tc>
      </w:tr>
      <w:tr w:rsidR="00975A9E" w:rsidRPr="001E7138" w14:paraId="13795F61"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523C31DD" w14:textId="77777777" w:rsidR="00975A9E" w:rsidRPr="001E7138" w:rsidRDefault="00975A9E" w:rsidP="00975A9E">
            <w:pPr>
              <w:rPr>
                <w:noProof/>
                <w:sz w:val="20"/>
                <w:szCs w:val="20"/>
              </w:rPr>
            </w:pPr>
            <w:r w:rsidRPr="001E7138">
              <w:rPr>
                <w:noProof/>
                <w:sz w:val="20"/>
                <w:szCs w:val="20"/>
              </w:rPr>
              <w:t xml:space="preserve"> Italy </w:t>
            </w:r>
          </w:p>
        </w:tc>
        <w:tc>
          <w:tcPr>
            <w:tcW w:w="794" w:type="pct"/>
            <w:tcBorders>
              <w:top w:val="nil"/>
              <w:left w:val="nil"/>
              <w:bottom w:val="single" w:sz="4" w:space="0" w:color="auto"/>
              <w:right w:val="single" w:sz="4" w:space="0" w:color="auto"/>
            </w:tcBorders>
            <w:shd w:val="clear" w:color="000000" w:fill="FFFFFF"/>
            <w:noWrap/>
            <w:hideMark/>
          </w:tcPr>
          <w:p w14:paraId="6A51CF63" w14:textId="28DEC43C" w:rsidR="00975A9E" w:rsidRPr="00975A9E" w:rsidRDefault="00975A9E" w:rsidP="00975A9E">
            <w:pPr>
              <w:jc w:val="right"/>
              <w:rPr>
                <w:noProof/>
                <w:sz w:val="20"/>
                <w:szCs w:val="20"/>
              </w:rPr>
            </w:pPr>
            <w:r w:rsidRPr="00975A9E">
              <w:rPr>
                <w:noProof/>
                <w:sz w:val="20"/>
                <w:szCs w:val="20"/>
              </w:rPr>
              <w:t>1,058.3</w:t>
            </w:r>
          </w:p>
        </w:tc>
        <w:tc>
          <w:tcPr>
            <w:tcW w:w="794" w:type="pct"/>
            <w:tcBorders>
              <w:top w:val="nil"/>
              <w:left w:val="nil"/>
              <w:bottom w:val="single" w:sz="4" w:space="0" w:color="auto"/>
              <w:right w:val="single" w:sz="4" w:space="0" w:color="auto"/>
            </w:tcBorders>
            <w:shd w:val="clear" w:color="000000" w:fill="FFFFFF"/>
            <w:noWrap/>
            <w:hideMark/>
          </w:tcPr>
          <w:p w14:paraId="5F8DFC94" w14:textId="051AF78F" w:rsidR="00975A9E" w:rsidRPr="00975A9E" w:rsidRDefault="00975A9E" w:rsidP="00975A9E">
            <w:pPr>
              <w:jc w:val="right"/>
              <w:rPr>
                <w:noProof/>
                <w:sz w:val="20"/>
                <w:szCs w:val="20"/>
              </w:rPr>
            </w:pPr>
            <w:r w:rsidRPr="00975A9E">
              <w:rPr>
                <w:noProof/>
                <w:sz w:val="20"/>
                <w:szCs w:val="20"/>
              </w:rPr>
              <w:t>160.0</w:t>
            </w:r>
          </w:p>
        </w:tc>
        <w:tc>
          <w:tcPr>
            <w:tcW w:w="794" w:type="pct"/>
            <w:tcBorders>
              <w:top w:val="nil"/>
              <w:left w:val="nil"/>
              <w:bottom w:val="single" w:sz="4" w:space="0" w:color="auto"/>
              <w:right w:val="single" w:sz="4" w:space="0" w:color="auto"/>
            </w:tcBorders>
            <w:shd w:val="clear" w:color="000000" w:fill="FFFFFF"/>
            <w:noWrap/>
            <w:hideMark/>
          </w:tcPr>
          <w:p w14:paraId="651F9E05" w14:textId="7697E08B" w:rsidR="00975A9E" w:rsidRPr="00975A9E" w:rsidRDefault="00975A9E" w:rsidP="00975A9E">
            <w:pPr>
              <w:jc w:val="right"/>
              <w:rPr>
                <w:noProof/>
                <w:sz w:val="20"/>
                <w:szCs w:val="20"/>
              </w:rPr>
            </w:pPr>
            <w:r w:rsidRPr="00975A9E">
              <w:rPr>
                <w:noProof/>
                <w:sz w:val="20"/>
                <w:szCs w:val="20"/>
              </w:rPr>
              <w:t>256.2</w:t>
            </w:r>
          </w:p>
        </w:tc>
        <w:tc>
          <w:tcPr>
            <w:tcW w:w="794" w:type="pct"/>
            <w:tcBorders>
              <w:top w:val="nil"/>
              <w:left w:val="nil"/>
              <w:bottom w:val="single" w:sz="4" w:space="0" w:color="auto"/>
              <w:right w:val="single" w:sz="4" w:space="0" w:color="auto"/>
            </w:tcBorders>
            <w:shd w:val="clear" w:color="000000" w:fill="FFFFFF"/>
            <w:noWrap/>
            <w:hideMark/>
          </w:tcPr>
          <w:p w14:paraId="08FE0102" w14:textId="3B8E2C28" w:rsidR="00975A9E" w:rsidRPr="00975A9E" w:rsidRDefault="00975A9E" w:rsidP="00975A9E">
            <w:pPr>
              <w:jc w:val="right"/>
              <w:rPr>
                <w:noProof/>
                <w:sz w:val="20"/>
                <w:szCs w:val="20"/>
              </w:rPr>
            </w:pPr>
            <w:r w:rsidRPr="00975A9E">
              <w:rPr>
                <w:noProof/>
                <w:sz w:val="20"/>
                <w:szCs w:val="20"/>
              </w:rPr>
              <w:t>184.0</w:t>
            </w:r>
          </w:p>
        </w:tc>
      </w:tr>
      <w:tr w:rsidR="00975A9E" w:rsidRPr="001E7138" w14:paraId="7BC526CD"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24CC1D0" w14:textId="77777777" w:rsidR="00975A9E" w:rsidRPr="001E7138" w:rsidRDefault="00975A9E" w:rsidP="00975A9E">
            <w:pPr>
              <w:rPr>
                <w:noProof/>
                <w:sz w:val="20"/>
                <w:szCs w:val="20"/>
              </w:rPr>
            </w:pPr>
            <w:r w:rsidRPr="001E7138">
              <w:rPr>
                <w:noProof/>
                <w:sz w:val="20"/>
                <w:szCs w:val="20"/>
              </w:rPr>
              <w:t xml:space="preserve"> Belgium </w:t>
            </w:r>
          </w:p>
        </w:tc>
        <w:tc>
          <w:tcPr>
            <w:tcW w:w="794" w:type="pct"/>
            <w:tcBorders>
              <w:top w:val="nil"/>
              <w:left w:val="nil"/>
              <w:bottom w:val="single" w:sz="4" w:space="0" w:color="auto"/>
              <w:right w:val="single" w:sz="4" w:space="0" w:color="auto"/>
            </w:tcBorders>
            <w:shd w:val="clear" w:color="000000" w:fill="FFFFFF"/>
            <w:noWrap/>
            <w:hideMark/>
          </w:tcPr>
          <w:p w14:paraId="45B41D88" w14:textId="5840D784" w:rsidR="00975A9E" w:rsidRPr="00975A9E" w:rsidRDefault="00975A9E" w:rsidP="00975A9E">
            <w:pPr>
              <w:jc w:val="right"/>
              <w:rPr>
                <w:noProof/>
                <w:sz w:val="20"/>
                <w:szCs w:val="20"/>
              </w:rPr>
            </w:pPr>
            <w:r w:rsidRPr="00975A9E">
              <w:rPr>
                <w:noProof/>
                <w:sz w:val="20"/>
                <w:szCs w:val="20"/>
              </w:rPr>
              <w:t>1,058.3</w:t>
            </w:r>
          </w:p>
        </w:tc>
        <w:tc>
          <w:tcPr>
            <w:tcW w:w="794" w:type="pct"/>
            <w:tcBorders>
              <w:top w:val="nil"/>
              <w:left w:val="nil"/>
              <w:bottom w:val="single" w:sz="4" w:space="0" w:color="auto"/>
              <w:right w:val="single" w:sz="4" w:space="0" w:color="auto"/>
            </w:tcBorders>
            <w:shd w:val="clear" w:color="000000" w:fill="FFFFFF"/>
            <w:noWrap/>
            <w:hideMark/>
          </w:tcPr>
          <w:p w14:paraId="29DDC37F" w14:textId="4A98CCC0" w:rsidR="00975A9E" w:rsidRPr="00975A9E" w:rsidRDefault="00975A9E" w:rsidP="00975A9E">
            <w:pPr>
              <w:jc w:val="right"/>
              <w:rPr>
                <w:noProof/>
                <w:sz w:val="20"/>
                <w:szCs w:val="20"/>
              </w:rPr>
            </w:pPr>
            <w:r w:rsidRPr="00975A9E">
              <w:rPr>
                <w:noProof/>
                <w:sz w:val="20"/>
                <w:szCs w:val="20"/>
              </w:rPr>
              <w:t>160.0</w:t>
            </w:r>
          </w:p>
        </w:tc>
        <w:tc>
          <w:tcPr>
            <w:tcW w:w="794" w:type="pct"/>
            <w:tcBorders>
              <w:top w:val="nil"/>
              <w:left w:val="nil"/>
              <w:bottom w:val="single" w:sz="4" w:space="0" w:color="auto"/>
              <w:right w:val="single" w:sz="4" w:space="0" w:color="auto"/>
            </w:tcBorders>
            <w:shd w:val="clear" w:color="000000" w:fill="FFFFFF"/>
            <w:noWrap/>
            <w:hideMark/>
          </w:tcPr>
          <w:p w14:paraId="3BA1B7DA" w14:textId="62F3CDDF" w:rsidR="00975A9E" w:rsidRPr="00975A9E" w:rsidRDefault="00975A9E" w:rsidP="00975A9E">
            <w:pPr>
              <w:jc w:val="right"/>
              <w:rPr>
                <w:noProof/>
                <w:sz w:val="20"/>
                <w:szCs w:val="20"/>
              </w:rPr>
            </w:pPr>
            <w:r w:rsidRPr="00975A9E">
              <w:rPr>
                <w:noProof/>
                <w:sz w:val="20"/>
                <w:szCs w:val="20"/>
              </w:rPr>
              <w:t>256.2</w:t>
            </w:r>
          </w:p>
        </w:tc>
        <w:tc>
          <w:tcPr>
            <w:tcW w:w="794" w:type="pct"/>
            <w:tcBorders>
              <w:top w:val="nil"/>
              <w:left w:val="nil"/>
              <w:bottom w:val="single" w:sz="4" w:space="0" w:color="auto"/>
              <w:right w:val="single" w:sz="4" w:space="0" w:color="auto"/>
            </w:tcBorders>
            <w:shd w:val="clear" w:color="000000" w:fill="FFFFFF"/>
            <w:noWrap/>
            <w:hideMark/>
          </w:tcPr>
          <w:p w14:paraId="4617026F" w14:textId="3E2DC1F9" w:rsidR="00975A9E" w:rsidRPr="00975A9E" w:rsidRDefault="00975A9E" w:rsidP="00975A9E">
            <w:pPr>
              <w:jc w:val="right"/>
              <w:rPr>
                <w:noProof/>
                <w:sz w:val="20"/>
                <w:szCs w:val="20"/>
              </w:rPr>
            </w:pPr>
            <w:r w:rsidRPr="00975A9E">
              <w:rPr>
                <w:noProof/>
                <w:sz w:val="20"/>
                <w:szCs w:val="20"/>
              </w:rPr>
              <w:t>184.0</w:t>
            </w:r>
          </w:p>
        </w:tc>
      </w:tr>
      <w:tr w:rsidR="00975A9E" w:rsidRPr="001E7138" w14:paraId="10EC6A35"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556E7571" w14:textId="77777777" w:rsidR="00975A9E" w:rsidRPr="001E7138" w:rsidRDefault="00975A9E" w:rsidP="00975A9E">
            <w:pPr>
              <w:rPr>
                <w:noProof/>
                <w:sz w:val="20"/>
                <w:szCs w:val="20"/>
              </w:rPr>
            </w:pPr>
            <w:r w:rsidRPr="001E7138">
              <w:rPr>
                <w:noProof/>
                <w:sz w:val="20"/>
                <w:szCs w:val="20"/>
              </w:rPr>
              <w:t xml:space="preserve"> Portugal </w:t>
            </w:r>
          </w:p>
        </w:tc>
        <w:tc>
          <w:tcPr>
            <w:tcW w:w="794" w:type="pct"/>
            <w:tcBorders>
              <w:top w:val="nil"/>
              <w:left w:val="nil"/>
              <w:bottom w:val="single" w:sz="4" w:space="0" w:color="auto"/>
              <w:right w:val="single" w:sz="4" w:space="0" w:color="auto"/>
            </w:tcBorders>
            <w:shd w:val="clear" w:color="000000" w:fill="FFFFFF"/>
            <w:noWrap/>
            <w:hideMark/>
          </w:tcPr>
          <w:p w14:paraId="099C4A58" w14:textId="7C773EC0" w:rsidR="00975A9E" w:rsidRPr="00975A9E" w:rsidRDefault="00975A9E" w:rsidP="00975A9E">
            <w:pPr>
              <w:jc w:val="right"/>
              <w:rPr>
                <w:noProof/>
                <w:sz w:val="20"/>
                <w:szCs w:val="20"/>
              </w:rPr>
            </w:pPr>
            <w:r w:rsidRPr="00975A9E">
              <w:rPr>
                <w:noProof/>
                <w:sz w:val="20"/>
                <w:szCs w:val="20"/>
              </w:rPr>
              <w:t>352.8</w:t>
            </w:r>
          </w:p>
        </w:tc>
        <w:tc>
          <w:tcPr>
            <w:tcW w:w="794" w:type="pct"/>
            <w:tcBorders>
              <w:top w:val="nil"/>
              <w:left w:val="nil"/>
              <w:bottom w:val="single" w:sz="4" w:space="0" w:color="auto"/>
              <w:right w:val="single" w:sz="4" w:space="0" w:color="auto"/>
            </w:tcBorders>
            <w:shd w:val="clear" w:color="000000" w:fill="FFFFFF"/>
            <w:noWrap/>
            <w:hideMark/>
          </w:tcPr>
          <w:p w14:paraId="4BDCC0B9" w14:textId="05AF4F07" w:rsidR="00975A9E" w:rsidRPr="00975A9E" w:rsidRDefault="00975A9E" w:rsidP="00975A9E">
            <w:pPr>
              <w:jc w:val="right"/>
              <w:rPr>
                <w:noProof/>
                <w:sz w:val="20"/>
                <w:szCs w:val="20"/>
              </w:rPr>
            </w:pPr>
            <w:r w:rsidRPr="00975A9E">
              <w:rPr>
                <w:noProof/>
                <w:sz w:val="20"/>
                <w:szCs w:val="20"/>
              </w:rPr>
              <w:t>53.3</w:t>
            </w:r>
          </w:p>
        </w:tc>
        <w:tc>
          <w:tcPr>
            <w:tcW w:w="794" w:type="pct"/>
            <w:tcBorders>
              <w:top w:val="nil"/>
              <w:left w:val="nil"/>
              <w:bottom w:val="single" w:sz="4" w:space="0" w:color="auto"/>
              <w:right w:val="single" w:sz="4" w:space="0" w:color="auto"/>
            </w:tcBorders>
            <w:shd w:val="clear" w:color="000000" w:fill="FFFFFF"/>
            <w:noWrap/>
            <w:hideMark/>
          </w:tcPr>
          <w:p w14:paraId="6EDA603B" w14:textId="31777C03" w:rsidR="00975A9E" w:rsidRPr="00975A9E" w:rsidRDefault="00975A9E" w:rsidP="00975A9E">
            <w:pPr>
              <w:jc w:val="right"/>
              <w:rPr>
                <w:noProof/>
                <w:sz w:val="20"/>
                <w:szCs w:val="20"/>
              </w:rPr>
            </w:pPr>
            <w:r w:rsidRPr="00975A9E">
              <w:rPr>
                <w:noProof/>
                <w:sz w:val="20"/>
                <w:szCs w:val="20"/>
              </w:rPr>
              <w:t>85.4</w:t>
            </w:r>
          </w:p>
        </w:tc>
        <w:tc>
          <w:tcPr>
            <w:tcW w:w="794" w:type="pct"/>
            <w:tcBorders>
              <w:top w:val="nil"/>
              <w:left w:val="nil"/>
              <w:bottom w:val="single" w:sz="4" w:space="0" w:color="auto"/>
              <w:right w:val="single" w:sz="4" w:space="0" w:color="auto"/>
            </w:tcBorders>
            <w:shd w:val="clear" w:color="000000" w:fill="FFFFFF"/>
            <w:noWrap/>
            <w:hideMark/>
          </w:tcPr>
          <w:p w14:paraId="4AAAAE45" w14:textId="4FDD48F8" w:rsidR="00975A9E" w:rsidRPr="00975A9E" w:rsidRDefault="00975A9E" w:rsidP="00975A9E">
            <w:pPr>
              <w:jc w:val="right"/>
              <w:rPr>
                <w:noProof/>
                <w:sz w:val="20"/>
                <w:szCs w:val="20"/>
              </w:rPr>
            </w:pPr>
            <w:r w:rsidRPr="00975A9E">
              <w:rPr>
                <w:noProof/>
                <w:sz w:val="20"/>
                <w:szCs w:val="20"/>
              </w:rPr>
              <w:t>61.3</w:t>
            </w:r>
          </w:p>
        </w:tc>
      </w:tr>
      <w:tr w:rsidR="00975A9E" w:rsidRPr="001E7138" w14:paraId="649E9BB2"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58B31E43" w14:textId="77777777" w:rsidR="00975A9E" w:rsidRPr="001E7138" w:rsidRDefault="00975A9E" w:rsidP="00975A9E">
            <w:pPr>
              <w:rPr>
                <w:noProof/>
                <w:sz w:val="20"/>
                <w:szCs w:val="20"/>
              </w:rPr>
            </w:pPr>
            <w:r w:rsidRPr="001E7138">
              <w:rPr>
                <w:noProof/>
                <w:sz w:val="20"/>
                <w:szCs w:val="20"/>
              </w:rPr>
              <w:t xml:space="preserve"> Malta </w:t>
            </w:r>
          </w:p>
        </w:tc>
        <w:tc>
          <w:tcPr>
            <w:tcW w:w="794" w:type="pct"/>
            <w:tcBorders>
              <w:top w:val="nil"/>
              <w:left w:val="nil"/>
              <w:bottom w:val="single" w:sz="4" w:space="0" w:color="auto"/>
              <w:right w:val="single" w:sz="4" w:space="0" w:color="auto"/>
            </w:tcBorders>
            <w:shd w:val="clear" w:color="000000" w:fill="FFFFFF"/>
            <w:noWrap/>
            <w:hideMark/>
          </w:tcPr>
          <w:p w14:paraId="6A9CD438" w14:textId="77452FAD" w:rsidR="00975A9E" w:rsidRPr="00975A9E" w:rsidRDefault="00975A9E" w:rsidP="00975A9E">
            <w:pPr>
              <w:jc w:val="right"/>
              <w:rPr>
                <w:noProof/>
                <w:sz w:val="20"/>
                <w:szCs w:val="20"/>
              </w:rPr>
            </w:pPr>
            <w:r w:rsidRPr="00975A9E">
              <w:rPr>
                <w:noProof/>
                <w:sz w:val="20"/>
                <w:szCs w:val="20"/>
              </w:rPr>
              <w:t>176.4</w:t>
            </w:r>
          </w:p>
        </w:tc>
        <w:tc>
          <w:tcPr>
            <w:tcW w:w="794" w:type="pct"/>
            <w:tcBorders>
              <w:top w:val="nil"/>
              <w:left w:val="nil"/>
              <w:bottom w:val="single" w:sz="4" w:space="0" w:color="auto"/>
              <w:right w:val="single" w:sz="4" w:space="0" w:color="auto"/>
            </w:tcBorders>
            <w:shd w:val="clear" w:color="000000" w:fill="FFFFFF"/>
            <w:noWrap/>
            <w:hideMark/>
          </w:tcPr>
          <w:p w14:paraId="1D86470E" w14:textId="3442FB08" w:rsidR="00975A9E" w:rsidRPr="00975A9E" w:rsidRDefault="00975A9E" w:rsidP="00975A9E">
            <w:pPr>
              <w:jc w:val="right"/>
              <w:rPr>
                <w:noProof/>
                <w:sz w:val="20"/>
                <w:szCs w:val="20"/>
              </w:rPr>
            </w:pPr>
            <w:r w:rsidRPr="00975A9E">
              <w:rPr>
                <w:noProof/>
                <w:sz w:val="20"/>
                <w:szCs w:val="20"/>
              </w:rPr>
              <w:t>26.7</w:t>
            </w:r>
          </w:p>
        </w:tc>
        <w:tc>
          <w:tcPr>
            <w:tcW w:w="794" w:type="pct"/>
            <w:tcBorders>
              <w:top w:val="nil"/>
              <w:left w:val="nil"/>
              <w:bottom w:val="single" w:sz="4" w:space="0" w:color="auto"/>
              <w:right w:val="single" w:sz="4" w:space="0" w:color="auto"/>
            </w:tcBorders>
            <w:shd w:val="clear" w:color="000000" w:fill="FFFFFF"/>
            <w:noWrap/>
            <w:hideMark/>
          </w:tcPr>
          <w:p w14:paraId="4360AE57" w14:textId="08A52D10" w:rsidR="00975A9E" w:rsidRPr="00975A9E" w:rsidRDefault="00975A9E" w:rsidP="00975A9E">
            <w:pPr>
              <w:jc w:val="right"/>
              <w:rPr>
                <w:noProof/>
                <w:sz w:val="20"/>
                <w:szCs w:val="20"/>
              </w:rPr>
            </w:pPr>
            <w:r w:rsidRPr="00975A9E">
              <w:rPr>
                <w:noProof/>
                <w:sz w:val="20"/>
                <w:szCs w:val="20"/>
              </w:rPr>
              <w:t>42.7</w:t>
            </w:r>
          </w:p>
        </w:tc>
        <w:tc>
          <w:tcPr>
            <w:tcW w:w="794" w:type="pct"/>
            <w:tcBorders>
              <w:top w:val="nil"/>
              <w:left w:val="nil"/>
              <w:bottom w:val="single" w:sz="4" w:space="0" w:color="auto"/>
              <w:right w:val="single" w:sz="4" w:space="0" w:color="auto"/>
            </w:tcBorders>
            <w:shd w:val="clear" w:color="000000" w:fill="FFFFFF"/>
            <w:noWrap/>
            <w:hideMark/>
          </w:tcPr>
          <w:p w14:paraId="6F0D19AB" w14:textId="43BE7968" w:rsidR="00975A9E" w:rsidRPr="00975A9E" w:rsidRDefault="00975A9E" w:rsidP="00975A9E">
            <w:pPr>
              <w:jc w:val="right"/>
              <w:rPr>
                <w:noProof/>
                <w:sz w:val="20"/>
                <w:szCs w:val="20"/>
              </w:rPr>
            </w:pPr>
            <w:r w:rsidRPr="00975A9E">
              <w:rPr>
                <w:noProof/>
                <w:sz w:val="20"/>
                <w:szCs w:val="20"/>
              </w:rPr>
              <w:t>30.7</w:t>
            </w:r>
          </w:p>
        </w:tc>
      </w:tr>
      <w:tr w:rsidR="00975A9E" w:rsidRPr="001E7138" w14:paraId="2572BB6F"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3C7EF21" w14:textId="77777777" w:rsidR="00975A9E" w:rsidRPr="001E7138" w:rsidRDefault="00975A9E" w:rsidP="00975A9E">
            <w:pPr>
              <w:rPr>
                <w:noProof/>
                <w:sz w:val="20"/>
                <w:szCs w:val="20"/>
              </w:rPr>
            </w:pPr>
            <w:r w:rsidRPr="001E7138">
              <w:rPr>
                <w:noProof/>
                <w:sz w:val="20"/>
                <w:szCs w:val="20"/>
              </w:rPr>
              <w:t xml:space="preserve"> Cyprus </w:t>
            </w:r>
          </w:p>
        </w:tc>
        <w:tc>
          <w:tcPr>
            <w:tcW w:w="794" w:type="pct"/>
            <w:tcBorders>
              <w:top w:val="nil"/>
              <w:left w:val="nil"/>
              <w:bottom w:val="single" w:sz="4" w:space="0" w:color="auto"/>
              <w:right w:val="single" w:sz="4" w:space="0" w:color="auto"/>
            </w:tcBorders>
            <w:shd w:val="clear" w:color="000000" w:fill="FFFFFF"/>
            <w:noWrap/>
            <w:hideMark/>
          </w:tcPr>
          <w:p w14:paraId="182D9B4F" w14:textId="7D446644" w:rsidR="00975A9E" w:rsidRPr="00975A9E" w:rsidRDefault="00975A9E" w:rsidP="00975A9E">
            <w:pPr>
              <w:jc w:val="right"/>
              <w:rPr>
                <w:noProof/>
                <w:sz w:val="20"/>
                <w:szCs w:val="20"/>
              </w:rPr>
            </w:pPr>
            <w:r w:rsidRPr="00975A9E">
              <w:rPr>
                <w:noProof/>
                <w:sz w:val="20"/>
                <w:szCs w:val="20"/>
              </w:rPr>
              <w:t>176.4</w:t>
            </w:r>
          </w:p>
        </w:tc>
        <w:tc>
          <w:tcPr>
            <w:tcW w:w="794" w:type="pct"/>
            <w:tcBorders>
              <w:top w:val="nil"/>
              <w:left w:val="nil"/>
              <w:bottom w:val="single" w:sz="4" w:space="0" w:color="auto"/>
              <w:right w:val="single" w:sz="4" w:space="0" w:color="auto"/>
            </w:tcBorders>
            <w:shd w:val="clear" w:color="000000" w:fill="FFFFFF"/>
            <w:noWrap/>
            <w:hideMark/>
          </w:tcPr>
          <w:p w14:paraId="28ABE2C4" w14:textId="44143697" w:rsidR="00975A9E" w:rsidRPr="00975A9E" w:rsidRDefault="00975A9E" w:rsidP="00975A9E">
            <w:pPr>
              <w:jc w:val="right"/>
              <w:rPr>
                <w:noProof/>
                <w:sz w:val="20"/>
                <w:szCs w:val="20"/>
              </w:rPr>
            </w:pPr>
            <w:r w:rsidRPr="00975A9E">
              <w:rPr>
                <w:noProof/>
                <w:sz w:val="20"/>
                <w:szCs w:val="20"/>
              </w:rPr>
              <w:t>26.7</w:t>
            </w:r>
          </w:p>
        </w:tc>
        <w:tc>
          <w:tcPr>
            <w:tcW w:w="794" w:type="pct"/>
            <w:tcBorders>
              <w:top w:val="nil"/>
              <w:left w:val="nil"/>
              <w:bottom w:val="single" w:sz="4" w:space="0" w:color="auto"/>
              <w:right w:val="single" w:sz="4" w:space="0" w:color="auto"/>
            </w:tcBorders>
            <w:shd w:val="clear" w:color="000000" w:fill="FFFFFF"/>
            <w:noWrap/>
            <w:hideMark/>
          </w:tcPr>
          <w:p w14:paraId="65275477" w14:textId="567F0A4F" w:rsidR="00975A9E" w:rsidRPr="00975A9E" w:rsidRDefault="00975A9E" w:rsidP="00975A9E">
            <w:pPr>
              <w:jc w:val="right"/>
              <w:rPr>
                <w:noProof/>
                <w:sz w:val="20"/>
                <w:szCs w:val="20"/>
              </w:rPr>
            </w:pPr>
            <w:r w:rsidRPr="00975A9E">
              <w:rPr>
                <w:noProof/>
                <w:sz w:val="20"/>
                <w:szCs w:val="20"/>
              </w:rPr>
              <w:t>42.7</w:t>
            </w:r>
          </w:p>
        </w:tc>
        <w:tc>
          <w:tcPr>
            <w:tcW w:w="794" w:type="pct"/>
            <w:tcBorders>
              <w:top w:val="nil"/>
              <w:left w:val="nil"/>
              <w:bottom w:val="single" w:sz="4" w:space="0" w:color="auto"/>
              <w:right w:val="single" w:sz="4" w:space="0" w:color="auto"/>
            </w:tcBorders>
            <w:shd w:val="clear" w:color="000000" w:fill="FFFFFF"/>
            <w:noWrap/>
            <w:hideMark/>
          </w:tcPr>
          <w:p w14:paraId="30E03C36" w14:textId="62BB4F2A" w:rsidR="00975A9E" w:rsidRPr="00975A9E" w:rsidRDefault="00975A9E" w:rsidP="00975A9E">
            <w:pPr>
              <w:jc w:val="right"/>
              <w:rPr>
                <w:noProof/>
                <w:sz w:val="20"/>
                <w:szCs w:val="20"/>
              </w:rPr>
            </w:pPr>
            <w:r w:rsidRPr="00975A9E">
              <w:rPr>
                <w:noProof/>
                <w:sz w:val="20"/>
                <w:szCs w:val="20"/>
              </w:rPr>
              <w:t>30.7</w:t>
            </w:r>
          </w:p>
        </w:tc>
      </w:tr>
      <w:tr w:rsidR="00975A9E" w:rsidRPr="001E7138" w14:paraId="2AD89E44"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D8D66AB" w14:textId="77777777" w:rsidR="00975A9E" w:rsidRPr="001E7138" w:rsidRDefault="00975A9E" w:rsidP="00975A9E">
            <w:pPr>
              <w:rPr>
                <w:noProof/>
                <w:sz w:val="20"/>
                <w:szCs w:val="20"/>
              </w:rPr>
            </w:pPr>
            <w:r w:rsidRPr="001E7138">
              <w:rPr>
                <w:noProof/>
                <w:sz w:val="20"/>
                <w:szCs w:val="20"/>
              </w:rPr>
              <w:t xml:space="preserve"> Greece </w:t>
            </w:r>
          </w:p>
        </w:tc>
        <w:tc>
          <w:tcPr>
            <w:tcW w:w="794" w:type="pct"/>
            <w:tcBorders>
              <w:top w:val="nil"/>
              <w:left w:val="nil"/>
              <w:bottom w:val="single" w:sz="4" w:space="0" w:color="auto"/>
              <w:right w:val="single" w:sz="4" w:space="0" w:color="auto"/>
            </w:tcBorders>
            <w:shd w:val="clear" w:color="000000" w:fill="FFFFFF"/>
            <w:noWrap/>
            <w:hideMark/>
          </w:tcPr>
          <w:p w14:paraId="74A883B0" w14:textId="46D8EFA0" w:rsidR="00975A9E" w:rsidRPr="00975A9E" w:rsidRDefault="00975A9E" w:rsidP="00975A9E">
            <w:pPr>
              <w:jc w:val="right"/>
              <w:rPr>
                <w:noProof/>
                <w:sz w:val="20"/>
                <w:szCs w:val="20"/>
              </w:rPr>
            </w:pPr>
            <w:r w:rsidRPr="00975A9E">
              <w:rPr>
                <w:noProof/>
                <w:sz w:val="20"/>
                <w:szCs w:val="20"/>
              </w:rPr>
              <w:t>352.8</w:t>
            </w:r>
          </w:p>
        </w:tc>
        <w:tc>
          <w:tcPr>
            <w:tcW w:w="794" w:type="pct"/>
            <w:tcBorders>
              <w:top w:val="nil"/>
              <w:left w:val="nil"/>
              <w:bottom w:val="single" w:sz="4" w:space="0" w:color="auto"/>
              <w:right w:val="single" w:sz="4" w:space="0" w:color="auto"/>
            </w:tcBorders>
            <w:shd w:val="clear" w:color="000000" w:fill="FFFFFF"/>
            <w:noWrap/>
            <w:hideMark/>
          </w:tcPr>
          <w:p w14:paraId="7FD0E168" w14:textId="0B6DA026" w:rsidR="00975A9E" w:rsidRPr="00975A9E" w:rsidRDefault="00975A9E" w:rsidP="00975A9E">
            <w:pPr>
              <w:jc w:val="right"/>
              <w:rPr>
                <w:noProof/>
                <w:sz w:val="20"/>
                <w:szCs w:val="20"/>
              </w:rPr>
            </w:pPr>
            <w:r w:rsidRPr="00975A9E">
              <w:rPr>
                <w:noProof/>
                <w:sz w:val="20"/>
                <w:szCs w:val="20"/>
              </w:rPr>
              <w:t>53.3</w:t>
            </w:r>
          </w:p>
        </w:tc>
        <w:tc>
          <w:tcPr>
            <w:tcW w:w="794" w:type="pct"/>
            <w:tcBorders>
              <w:top w:val="nil"/>
              <w:left w:val="nil"/>
              <w:bottom w:val="single" w:sz="4" w:space="0" w:color="auto"/>
              <w:right w:val="single" w:sz="4" w:space="0" w:color="auto"/>
            </w:tcBorders>
            <w:shd w:val="clear" w:color="000000" w:fill="FFFFFF"/>
            <w:noWrap/>
            <w:hideMark/>
          </w:tcPr>
          <w:p w14:paraId="0B645755" w14:textId="07A58F2D" w:rsidR="00975A9E" w:rsidRPr="00975A9E" w:rsidRDefault="00975A9E" w:rsidP="00975A9E">
            <w:pPr>
              <w:jc w:val="right"/>
              <w:rPr>
                <w:noProof/>
                <w:sz w:val="20"/>
                <w:szCs w:val="20"/>
              </w:rPr>
            </w:pPr>
            <w:r w:rsidRPr="00975A9E">
              <w:rPr>
                <w:noProof/>
                <w:sz w:val="20"/>
                <w:szCs w:val="20"/>
              </w:rPr>
              <w:t>85.4</w:t>
            </w:r>
          </w:p>
        </w:tc>
        <w:tc>
          <w:tcPr>
            <w:tcW w:w="794" w:type="pct"/>
            <w:tcBorders>
              <w:top w:val="nil"/>
              <w:left w:val="nil"/>
              <w:bottom w:val="single" w:sz="4" w:space="0" w:color="auto"/>
              <w:right w:val="single" w:sz="4" w:space="0" w:color="auto"/>
            </w:tcBorders>
            <w:shd w:val="clear" w:color="000000" w:fill="FFFFFF"/>
            <w:noWrap/>
            <w:hideMark/>
          </w:tcPr>
          <w:p w14:paraId="237717CB" w14:textId="75725BC1" w:rsidR="00975A9E" w:rsidRPr="00975A9E" w:rsidRDefault="00975A9E" w:rsidP="00975A9E">
            <w:pPr>
              <w:jc w:val="right"/>
              <w:rPr>
                <w:noProof/>
                <w:sz w:val="20"/>
                <w:szCs w:val="20"/>
              </w:rPr>
            </w:pPr>
            <w:r w:rsidRPr="00975A9E">
              <w:rPr>
                <w:noProof/>
                <w:sz w:val="20"/>
                <w:szCs w:val="20"/>
              </w:rPr>
              <w:t>61.3</w:t>
            </w:r>
          </w:p>
        </w:tc>
      </w:tr>
      <w:tr w:rsidR="00975A9E" w:rsidRPr="001E7138" w14:paraId="6BDF521A"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533C502C" w14:textId="77777777" w:rsidR="00975A9E" w:rsidRPr="001E7138" w:rsidRDefault="00975A9E" w:rsidP="00975A9E">
            <w:pPr>
              <w:rPr>
                <w:noProof/>
                <w:sz w:val="20"/>
                <w:szCs w:val="20"/>
              </w:rPr>
            </w:pPr>
            <w:r w:rsidRPr="001E7138">
              <w:rPr>
                <w:noProof/>
                <w:sz w:val="20"/>
                <w:szCs w:val="20"/>
              </w:rPr>
              <w:t xml:space="preserve"> Bulgaria </w:t>
            </w:r>
          </w:p>
        </w:tc>
        <w:tc>
          <w:tcPr>
            <w:tcW w:w="794" w:type="pct"/>
            <w:tcBorders>
              <w:top w:val="nil"/>
              <w:left w:val="nil"/>
              <w:bottom w:val="single" w:sz="4" w:space="0" w:color="auto"/>
              <w:right w:val="single" w:sz="4" w:space="0" w:color="auto"/>
            </w:tcBorders>
            <w:shd w:val="clear" w:color="000000" w:fill="FFFFFF"/>
            <w:noWrap/>
            <w:hideMark/>
          </w:tcPr>
          <w:p w14:paraId="4BDC8E09"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6741D83E"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6411AEB8"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1568ADC6" w14:textId="77777777" w:rsidR="00975A9E" w:rsidRPr="00975A9E" w:rsidRDefault="00975A9E" w:rsidP="00975A9E">
            <w:pPr>
              <w:jc w:val="right"/>
              <w:rPr>
                <w:noProof/>
                <w:sz w:val="20"/>
                <w:szCs w:val="20"/>
              </w:rPr>
            </w:pPr>
            <w:r w:rsidRPr="00975A9E">
              <w:rPr>
                <w:noProof/>
                <w:sz w:val="20"/>
                <w:szCs w:val="20"/>
              </w:rPr>
              <w:t>0.0</w:t>
            </w:r>
          </w:p>
        </w:tc>
      </w:tr>
      <w:tr w:rsidR="00975A9E" w:rsidRPr="001E7138" w14:paraId="3336A6F4"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715DB317" w14:textId="77777777" w:rsidR="00975A9E" w:rsidRPr="001E7138" w:rsidRDefault="00975A9E" w:rsidP="00975A9E">
            <w:pPr>
              <w:rPr>
                <w:noProof/>
                <w:sz w:val="20"/>
                <w:szCs w:val="20"/>
              </w:rPr>
            </w:pPr>
            <w:r w:rsidRPr="001E7138">
              <w:rPr>
                <w:noProof/>
                <w:sz w:val="20"/>
                <w:szCs w:val="20"/>
              </w:rPr>
              <w:t xml:space="preserve"> Estonia </w:t>
            </w:r>
          </w:p>
        </w:tc>
        <w:tc>
          <w:tcPr>
            <w:tcW w:w="794" w:type="pct"/>
            <w:tcBorders>
              <w:top w:val="nil"/>
              <w:left w:val="nil"/>
              <w:bottom w:val="single" w:sz="4" w:space="0" w:color="auto"/>
              <w:right w:val="single" w:sz="4" w:space="0" w:color="auto"/>
            </w:tcBorders>
            <w:shd w:val="clear" w:color="000000" w:fill="FFFFFF"/>
            <w:noWrap/>
            <w:hideMark/>
          </w:tcPr>
          <w:p w14:paraId="32AC7F1B"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1E94EB21"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520D0CEE"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59B5EC4A" w14:textId="77777777" w:rsidR="00975A9E" w:rsidRPr="00975A9E" w:rsidRDefault="00975A9E" w:rsidP="00975A9E">
            <w:pPr>
              <w:jc w:val="right"/>
              <w:rPr>
                <w:noProof/>
                <w:sz w:val="20"/>
                <w:szCs w:val="20"/>
              </w:rPr>
            </w:pPr>
            <w:r w:rsidRPr="00975A9E">
              <w:rPr>
                <w:noProof/>
                <w:sz w:val="20"/>
                <w:szCs w:val="20"/>
              </w:rPr>
              <w:t>0.0</w:t>
            </w:r>
          </w:p>
        </w:tc>
      </w:tr>
      <w:tr w:rsidR="00975A9E" w:rsidRPr="001E7138" w14:paraId="3B5F6A6B"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52AFB0D6" w14:textId="77777777" w:rsidR="00975A9E" w:rsidRPr="001E7138" w:rsidRDefault="00975A9E" w:rsidP="00975A9E">
            <w:pPr>
              <w:rPr>
                <w:noProof/>
                <w:sz w:val="20"/>
                <w:szCs w:val="20"/>
              </w:rPr>
            </w:pPr>
            <w:r w:rsidRPr="001E7138">
              <w:rPr>
                <w:noProof/>
                <w:sz w:val="20"/>
                <w:szCs w:val="20"/>
              </w:rPr>
              <w:t xml:space="preserve"> Croatia </w:t>
            </w:r>
          </w:p>
        </w:tc>
        <w:tc>
          <w:tcPr>
            <w:tcW w:w="794" w:type="pct"/>
            <w:tcBorders>
              <w:top w:val="nil"/>
              <w:left w:val="nil"/>
              <w:bottom w:val="single" w:sz="4" w:space="0" w:color="auto"/>
              <w:right w:val="single" w:sz="4" w:space="0" w:color="auto"/>
            </w:tcBorders>
            <w:shd w:val="clear" w:color="000000" w:fill="FFFFFF"/>
            <w:noWrap/>
            <w:hideMark/>
          </w:tcPr>
          <w:p w14:paraId="391FE58C" w14:textId="1C846A20" w:rsidR="00975A9E" w:rsidRPr="00975A9E" w:rsidRDefault="00975A9E" w:rsidP="00975A9E">
            <w:pPr>
              <w:jc w:val="right"/>
              <w:rPr>
                <w:noProof/>
                <w:sz w:val="20"/>
                <w:szCs w:val="20"/>
              </w:rPr>
            </w:pPr>
            <w:r w:rsidRPr="00975A9E">
              <w:rPr>
                <w:noProof/>
                <w:sz w:val="20"/>
                <w:szCs w:val="20"/>
              </w:rPr>
              <w:t>176.4</w:t>
            </w:r>
          </w:p>
        </w:tc>
        <w:tc>
          <w:tcPr>
            <w:tcW w:w="794" w:type="pct"/>
            <w:tcBorders>
              <w:top w:val="nil"/>
              <w:left w:val="nil"/>
              <w:bottom w:val="single" w:sz="4" w:space="0" w:color="auto"/>
              <w:right w:val="single" w:sz="4" w:space="0" w:color="auto"/>
            </w:tcBorders>
            <w:shd w:val="clear" w:color="000000" w:fill="FFFFFF"/>
            <w:noWrap/>
            <w:hideMark/>
          </w:tcPr>
          <w:p w14:paraId="17B6039A" w14:textId="1EE80FA4" w:rsidR="00975A9E" w:rsidRPr="00975A9E" w:rsidRDefault="00975A9E" w:rsidP="00975A9E">
            <w:pPr>
              <w:jc w:val="right"/>
              <w:rPr>
                <w:noProof/>
                <w:sz w:val="20"/>
                <w:szCs w:val="20"/>
              </w:rPr>
            </w:pPr>
            <w:r w:rsidRPr="00975A9E">
              <w:rPr>
                <w:noProof/>
                <w:sz w:val="20"/>
                <w:szCs w:val="20"/>
              </w:rPr>
              <w:t>26.7</w:t>
            </w:r>
          </w:p>
        </w:tc>
        <w:tc>
          <w:tcPr>
            <w:tcW w:w="794" w:type="pct"/>
            <w:tcBorders>
              <w:top w:val="nil"/>
              <w:left w:val="nil"/>
              <w:bottom w:val="single" w:sz="4" w:space="0" w:color="auto"/>
              <w:right w:val="single" w:sz="4" w:space="0" w:color="auto"/>
            </w:tcBorders>
            <w:shd w:val="clear" w:color="000000" w:fill="FFFFFF"/>
            <w:noWrap/>
            <w:hideMark/>
          </w:tcPr>
          <w:p w14:paraId="3CB4F952" w14:textId="47ACBB07" w:rsidR="00975A9E" w:rsidRPr="00975A9E" w:rsidRDefault="00975A9E" w:rsidP="00975A9E">
            <w:pPr>
              <w:jc w:val="right"/>
              <w:rPr>
                <w:noProof/>
                <w:sz w:val="20"/>
                <w:szCs w:val="20"/>
              </w:rPr>
            </w:pPr>
            <w:r w:rsidRPr="00975A9E">
              <w:rPr>
                <w:noProof/>
                <w:sz w:val="20"/>
                <w:szCs w:val="20"/>
              </w:rPr>
              <w:t>42.7</w:t>
            </w:r>
          </w:p>
        </w:tc>
        <w:tc>
          <w:tcPr>
            <w:tcW w:w="794" w:type="pct"/>
            <w:tcBorders>
              <w:top w:val="nil"/>
              <w:left w:val="nil"/>
              <w:bottom w:val="single" w:sz="4" w:space="0" w:color="auto"/>
              <w:right w:val="single" w:sz="4" w:space="0" w:color="auto"/>
            </w:tcBorders>
            <w:shd w:val="clear" w:color="000000" w:fill="FFFFFF"/>
            <w:noWrap/>
            <w:hideMark/>
          </w:tcPr>
          <w:p w14:paraId="05CD987B" w14:textId="488FDB14" w:rsidR="00975A9E" w:rsidRPr="00975A9E" w:rsidRDefault="00975A9E" w:rsidP="00975A9E">
            <w:pPr>
              <w:jc w:val="right"/>
              <w:rPr>
                <w:noProof/>
                <w:sz w:val="20"/>
                <w:szCs w:val="20"/>
              </w:rPr>
            </w:pPr>
            <w:r w:rsidRPr="00975A9E">
              <w:rPr>
                <w:noProof/>
                <w:sz w:val="20"/>
                <w:szCs w:val="20"/>
              </w:rPr>
              <w:t>30.7</w:t>
            </w:r>
          </w:p>
        </w:tc>
      </w:tr>
      <w:tr w:rsidR="00975A9E" w:rsidRPr="001E7138" w14:paraId="494807C4"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56826C80" w14:textId="77777777" w:rsidR="00975A9E" w:rsidRPr="001E7138" w:rsidRDefault="00975A9E" w:rsidP="00975A9E">
            <w:pPr>
              <w:rPr>
                <w:noProof/>
                <w:sz w:val="20"/>
                <w:szCs w:val="20"/>
              </w:rPr>
            </w:pPr>
            <w:r w:rsidRPr="001E7138">
              <w:rPr>
                <w:noProof/>
                <w:sz w:val="20"/>
                <w:szCs w:val="20"/>
              </w:rPr>
              <w:t xml:space="preserve"> Lithuania </w:t>
            </w:r>
          </w:p>
        </w:tc>
        <w:tc>
          <w:tcPr>
            <w:tcW w:w="794" w:type="pct"/>
            <w:tcBorders>
              <w:top w:val="nil"/>
              <w:left w:val="nil"/>
              <w:bottom w:val="single" w:sz="4" w:space="0" w:color="auto"/>
              <w:right w:val="single" w:sz="4" w:space="0" w:color="auto"/>
            </w:tcBorders>
            <w:shd w:val="clear" w:color="000000" w:fill="FFFFFF"/>
            <w:noWrap/>
            <w:hideMark/>
          </w:tcPr>
          <w:p w14:paraId="64895E56"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04F50268"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4669F83E"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6A653FA8" w14:textId="77777777" w:rsidR="00975A9E" w:rsidRPr="00975A9E" w:rsidRDefault="00975A9E" w:rsidP="00975A9E">
            <w:pPr>
              <w:jc w:val="right"/>
              <w:rPr>
                <w:noProof/>
                <w:sz w:val="20"/>
                <w:szCs w:val="20"/>
              </w:rPr>
            </w:pPr>
            <w:r w:rsidRPr="00975A9E">
              <w:rPr>
                <w:noProof/>
                <w:sz w:val="20"/>
                <w:szCs w:val="20"/>
              </w:rPr>
              <w:t>0.0</w:t>
            </w:r>
          </w:p>
        </w:tc>
      </w:tr>
      <w:tr w:rsidR="00975A9E" w:rsidRPr="001E7138" w14:paraId="4C108CA7"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B5ECE15" w14:textId="77777777" w:rsidR="00975A9E" w:rsidRPr="001E7138" w:rsidRDefault="00975A9E" w:rsidP="00975A9E">
            <w:pPr>
              <w:rPr>
                <w:noProof/>
                <w:sz w:val="20"/>
                <w:szCs w:val="20"/>
              </w:rPr>
            </w:pPr>
            <w:r w:rsidRPr="001E7138">
              <w:rPr>
                <w:noProof/>
                <w:sz w:val="20"/>
                <w:szCs w:val="20"/>
              </w:rPr>
              <w:t xml:space="preserve"> Hungary </w:t>
            </w:r>
          </w:p>
        </w:tc>
        <w:tc>
          <w:tcPr>
            <w:tcW w:w="794" w:type="pct"/>
            <w:tcBorders>
              <w:top w:val="nil"/>
              <w:left w:val="nil"/>
              <w:bottom w:val="single" w:sz="4" w:space="0" w:color="auto"/>
              <w:right w:val="single" w:sz="4" w:space="0" w:color="auto"/>
            </w:tcBorders>
            <w:shd w:val="clear" w:color="000000" w:fill="FFFFFF"/>
            <w:noWrap/>
            <w:hideMark/>
          </w:tcPr>
          <w:p w14:paraId="2F14DA57" w14:textId="143055A0" w:rsidR="00975A9E" w:rsidRPr="00975A9E" w:rsidRDefault="00975A9E" w:rsidP="00975A9E">
            <w:pPr>
              <w:jc w:val="right"/>
              <w:rPr>
                <w:noProof/>
                <w:sz w:val="20"/>
                <w:szCs w:val="20"/>
              </w:rPr>
            </w:pPr>
            <w:r w:rsidRPr="00975A9E">
              <w:rPr>
                <w:noProof/>
                <w:sz w:val="20"/>
                <w:szCs w:val="20"/>
              </w:rPr>
              <w:t>529.1</w:t>
            </w:r>
          </w:p>
        </w:tc>
        <w:tc>
          <w:tcPr>
            <w:tcW w:w="794" w:type="pct"/>
            <w:tcBorders>
              <w:top w:val="nil"/>
              <w:left w:val="nil"/>
              <w:bottom w:val="single" w:sz="4" w:space="0" w:color="auto"/>
              <w:right w:val="single" w:sz="4" w:space="0" w:color="auto"/>
            </w:tcBorders>
            <w:shd w:val="clear" w:color="000000" w:fill="FFFFFF"/>
            <w:noWrap/>
            <w:hideMark/>
          </w:tcPr>
          <w:p w14:paraId="4E0905DC" w14:textId="1D518A8F" w:rsidR="00975A9E" w:rsidRPr="00975A9E" w:rsidRDefault="00975A9E" w:rsidP="00975A9E">
            <w:pPr>
              <w:jc w:val="right"/>
              <w:rPr>
                <w:noProof/>
                <w:sz w:val="20"/>
                <w:szCs w:val="20"/>
              </w:rPr>
            </w:pPr>
            <w:r w:rsidRPr="00975A9E">
              <w:rPr>
                <w:noProof/>
                <w:sz w:val="20"/>
                <w:szCs w:val="20"/>
              </w:rPr>
              <w:t>80.0</w:t>
            </w:r>
          </w:p>
        </w:tc>
        <w:tc>
          <w:tcPr>
            <w:tcW w:w="794" w:type="pct"/>
            <w:tcBorders>
              <w:top w:val="nil"/>
              <w:left w:val="nil"/>
              <w:bottom w:val="single" w:sz="4" w:space="0" w:color="auto"/>
              <w:right w:val="single" w:sz="4" w:space="0" w:color="auto"/>
            </w:tcBorders>
            <w:shd w:val="clear" w:color="000000" w:fill="FFFFFF"/>
            <w:noWrap/>
            <w:hideMark/>
          </w:tcPr>
          <w:p w14:paraId="4B32A2FC" w14:textId="5C3D4299" w:rsidR="00975A9E" w:rsidRPr="00975A9E" w:rsidRDefault="00975A9E" w:rsidP="00975A9E">
            <w:pPr>
              <w:jc w:val="right"/>
              <w:rPr>
                <w:noProof/>
                <w:sz w:val="20"/>
                <w:szCs w:val="20"/>
              </w:rPr>
            </w:pPr>
            <w:r w:rsidRPr="00975A9E">
              <w:rPr>
                <w:noProof/>
                <w:sz w:val="20"/>
                <w:szCs w:val="20"/>
              </w:rPr>
              <w:t>128.1</w:t>
            </w:r>
          </w:p>
        </w:tc>
        <w:tc>
          <w:tcPr>
            <w:tcW w:w="794" w:type="pct"/>
            <w:tcBorders>
              <w:top w:val="nil"/>
              <w:left w:val="nil"/>
              <w:bottom w:val="single" w:sz="4" w:space="0" w:color="auto"/>
              <w:right w:val="single" w:sz="4" w:space="0" w:color="auto"/>
            </w:tcBorders>
            <w:shd w:val="clear" w:color="000000" w:fill="FFFFFF"/>
            <w:noWrap/>
            <w:hideMark/>
          </w:tcPr>
          <w:p w14:paraId="70A3841F" w14:textId="3530DFB1" w:rsidR="00975A9E" w:rsidRPr="00975A9E" w:rsidRDefault="00975A9E" w:rsidP="00975A9E">
            <w:pPr>
              <w:jc w:val="right"/>
              <w:rPr>
                <w:noProof/>
                <w:sz w:val="20"/>
                <w:szCs w:val="20"/>
              </w:rPr>
            </w:pPr>
            <w:r w:rsidRPr="00975A9E">
              <w:rPr>
                <w:noProof/>
                <w:sz w:val="20"/>
                <w:szCs w:val="20"/>
              </w:rPr>
              <w:t>92.0</w:t>
            </w:r>
          </w:p>
        </w:tc>
      </w:tr>
      <w:tr w:rsidR="00975A9E" w:rsidRPr="001E7138" w14:paraId="5C5FC458"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31F0B205" w14:textId="77777777" w:rsidR="00975A9E" w:rsidRPr="001E7138" w:rsidRDefault="00975A9E" w:rsidP="00975A9E">
            <w:pPr>
              <w:rPr>
                <w:noProof/>
                <w:sz w:val="20"/>
                <w:szCs w:val="20"/>
              </w:rPr>
            </w:pPr>
            <w:r w:rsidRPr="001E7138">
              <w:rPr>
                <w:noProof/>
                <w:sz w:val="20"/>
                <w:szCs w:val="20"/>
              </w:rPr>
              <w:t xml:space="preserve"> Sweden </w:t>
            </w:r>
          </w:p>
        </w:tc>
        <w:tc>
          <w:tcPr>
            <w:tcW w:w="794" w:type="pct"/>
            <w:tcBorders>
              <w:top w:val="nil"/>
              <w:left w:val="nil"/>
              <w:bottom w:val="single" w:sz="4" w:space="0" w:color="auto"/>
              <w:right w:val="single" w:sz="4" w:space="0" w:color="auto"/>
            </w:tcBorders>
            <w:shd w:val="clear" w:color="000000" w:fill="FFFFFF"/>
            <w:noWrap/>
            <w:hideMark/>
          </w:tcPr>
          <w:p w14:paraId="79EA2B00" w14:textId="2F0269A9" w:rsidR="00975A9E" w:rsidRPr="00975A9E" w:rsidRDefault="00975A9E" w:rsidP="00975A9E">
            <w:pPr>
              <w:jc w:val="right"/>
              <w:rPr>
                <w:noProof/>
                <w:sz w:val="20"/>
                <w:szCs w:val="20"/>
              </w:rPr>
            </w:pPr>
            <w:r w:rsidRPr="00975A9E">
              <w:rPr>
                <w:noProof/>
                <w:sz w:val="20"/>
                <w:szCs w:val="20"/>
              </w:rPr>
              <w:t>352.8</w:t>
            </w:r>
          </w:p>
        </w:tc>
        <w:tc>
          <w:tcPr>
            <w:tcW w:w="794" w:type="pct"/>
            <w:tcBorders>
              <w:top w:val="nil"/>
              <w:left w:val="nil"/>
              <w:bottom w:val="single" w:sz="4" w:space="0" w:color="auto"/>
              <w:right w:val="single" w:sz="4" w:space="0" w:color="auto"/>
            </w:tcBorders>
            <w:shd w:val="clear" w:color="000000" w:fill="FFFFFF"/>
            <w:noWrap/>
            <w:hideMark/>
          </w:tcPr>
          <w:p w14:paraId="2780A041" w14:textId="0A9C4281" w:rsidR="00975A9E" w:rsidRPr="00975A9E" w:rsidRDefault="00975A9E" w:rsidP="00975A9E">
            <w:pPr>
              <w:jc w:val="right"/>
              <w:rPr>
                <w:noProof/>
                <w:sz w:val="20"/>
                <w:szCs w:val="20"/>
              </w:rPr>
            </w:pPr>
            <w:r w:rsidRPr="00975A9E">
              <w:rPr>
                <w:noProof/>
                <w:sz w:val="20"/>
                <w:szCs w:val="20"/>
              </w:rPr>
              <w:t>53.3</w:t>
            </w:r>
          </w:p>
        </w:tc>
        <w:tc>
          <w:tcPr>
            <w:tcW w:w="794" w:type="pct"/>
            <w:tcBorders>
              <w:top w:val="nil"/>
              <w:left w:val="nil"/>
              <w:bottom w:val="single" w:sz="4" w:space="0" w:color="auto"/>
              <w:right w:val="single" w:sz="4" w:space="0" w:color="auto"/>
            </w:tcBorders>
            <w:shd w:val="clear" w:color="000000" w:fill="FFFFFF"/>
            <w:noWrap/>
            <w:hideMark/>
          </w:tcPr>
          <w:p w14:paraId="0C909DD5" w14:textId="27AFF4A1" w:rsidR="00975A9E" w:rsidRPr="00975A9E" w:rsidRDefault="00975A9E" w:rsidP="00975A9E">
            <w:pPr>
              <w:jc w:val="right"/>
              <w:rPr>
                <w:noProof/>
                <w:sz w:val="20"/>
                <w:szCs w:val="20"/>
              </w:rPr>
            </w:pPr>
            <w:r w:rsidRPr="00975A9E">
              <w:rPr>
                <w:noProof/>
                <w:sz w:val="20"/>
                <w:szCs w:val="20"/>
              </w:rPr>
              <w:t>85.4</w:t>
            </w:r>
          </w:p>
        </w:tc>
        <w:tc>
          <w:tcPr>
            <w:tcW w:w="794" w:type="pct"/>
            <w:tcBorders>
              <w:top w:val="nil"/>
              <w:left w:val="nil"/>
              <w:bottom w:val="single" w:sz="4" w:space="0" w:color="auto"/>
              <w:right w:val="single" w:sz="4" w:space="0" w:color="auto"/>
            </w:tcBorders>
            <w:shd w:val="clear" w:color="000000" w:fill="FFFFFF"/>
            <w:noWrap/>
            <w:hideMark/>
          </w:tcPr>
          <w:p w14:paraId="23039B0B" w14:textId="24488CF2" w:rsidR="00975A9E" w:rsidRPr="00975A9E" w:rsidRDefault="00975A9E" w:rsidP="00975A9E">
            <w:pPr>
              <w:jc w:val="right"/>
              <w:rPr>
                <w:noProof/>
                <w:sz w:val="20"/>
                <w:szCs w:val="20"/>
              </w:rPr>
            </w:pPr>
            <w:r w:rsidRPr="00975A9E">
              <w:rPr>
                <w:noProof/>
                <w:sz w:val="20"/>
                <w:szCs w:val="20"/>
              </w:rPr>
              <w:t>61.3</w:t>
            </w:r>
          </w:p>
        </w:tc>
      </w:tr>
      <w:tr w:rsidR="00975A9E" w:rsidRPr="001E7138" w14:paraId="37110585"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0FC4B85" w14:textId="6D1932BC" w:rsidR="00975A9E" w:rsidRPr="001E7138" w:rsidRDefault="00975A9E" w:rsidP="00975A9E">
            <w:pPr>
              <w:rPr>
                <w:noProof/>
                <w:sz w:val="20"/>
                <w:szCs w:val="20"/>
              </w:rPr>
            </w:pPr>
            <w:r w:rsidRPr="001E7138">
              <w:rPr>
                <w:noProof/>
                <w:sz w:val="20"/>
                <w:szCs w:val="20"/>
              </w:rPr>
              <w:t xml:space="preserve"> Czechia</w:t>
            </w:r>
          </w:p>
        </w:tc>
        <w:tc>
          <w:tcPr>
            <w:tcW w:w="794" w:type="pct"/>
            <w:tcBorders>
              <w:top w:val="nil"/>
              <w:left w:val="nil"/>
              <w:bottom w:val="single" w:sz="4" w:space="0" w:color="auto"/>
              <w:right w:val="single" w:sz="4" w:space="0" w:color="auto"/>
            </w:tcBorders>
            <w:shd w:val="clear" w:color="000000" w:fill="FFFFFF"/>
            <w:noWrap/>
            <w:hideMark/>
          </w:tcPr>
          <w:p w14:paraId="49EA0834" w14:textId="0E53EC32" w:rsidR="00975A9E" w:rsidRPr="00975A9E" w:rsidRDefault="00975A9E" w:rsidP="00975A9E">
            <w:pPr>
              <w:jc w:val="right"/>
              <w:rPr>
                <w:noProof/>
                <w:sz w:val="20"/>
                <w:szCs w:val="20"/>
              </w:rPr>
            </w:pPr>
            <w:r w:rsidRPr="00975A9E">
              <w:rPr>
                <w:noProof/>
                <w:sz w:val="20"/>
                <w:szCs w:val="20"/>
              </w:rPr>
              <w:t>529.1</w:t>
            </w:r>
          </w:p>
        </w:tc>
        <w:tc>
          <w:tcPr>
            <w:tcW w:w="794" w:type="pct"/>
            <w:tcBorders>
              <w:top w:val="nil"/>
              <w:left w:val="nil"/>
              <w:bottom w:val="single" w:sz="4" w:space="0" w:color="auto"/>
              <w:right w:val="single" w:sz="4" w:space="0" w:color="auto"/>
            </w:tcBorders>
            <w:shd w:val="clear" w:color="000000" w:fill="FFFFFF"/>
            <w:noWrap/>
            <w:hideMark/>
          </w:tcPr>
          <w:p w14:paraId="32499965" w14:textId="4498EA31" w:rsidR="00975A9E" w:rsidRPr="00975A9E" w:rsidRDefault="00975A9E" w:rsidP="00975A9E">
            <w:pPr>
              <w:jc w:val="right"/>
              <w:rPr>
                <w:noProof/>
                <w:sz w:val="20"/>
                <w:szCs w:val="20"/>
              </w:rPr>
            </w:pPr>
            <w:r w:rsidRPr="00975A9E">
              <w:rPr>
                <w:noProof/>
                <w:sz w:val="20"/>
                <w:szCs w:val="20"/>
              </w:rPr>
              <w:t>80.0</w:t>
            </w:r>
          </w:p>
        </w:tc>
        <w:tc>
          <w:tcPr>
            <w:tcW w:w="794" w:type="pct"/>
            <w:tcBorders>
              <w:top w:val="nil"/>
              <w:left w:val="nil"/>
              <w:bottom w:val="single" w:sz="4" w:space="0" w:color="auto"/>
              <w:right w:val="single" w:sz="4" w:space="0" w:color="auto"/>
            </w:tcBorders>
            <w:shd w:val="clear" w:color="000000" w:fill="FFFFFF"/>
            <w:noWrap/>
            <w:hideMark/>
          </w:tcPr>
          <w:p w14:paraId="4C8E7DC0" w14:textId="395D4433" w:rsidR="00975A9E" w:rsidRPr="00975A9E" w:rsidRDefault="00975A9E" w:rsidP="00975A9E">
            <w:pPr>
              <w:jc w:val="right"/>
              <w:rPr>
                <w:noProof/>
                <w:sz w:val="20"/>
                <w:szCs w:val="20"/>
              </w:rPr>
            </w:pPr>
            <w:r w:rsidRPr="00975A9E">
              <w:rPr>
                <w:noProof/>
                <w:sz w:val="20"/>
                <w:szCs w:val="20"/>
              </w:rPr>
              <w:t>128.1</w:t>
            </w:r>
          </w:p>
        </w:tc>
        <w:tc>
          <w:tcPr>
            <w:tcW w:w="794" w:type="pct"/>
            <w:tcBorders>
              <w:top w:val="nil"/>
              <w:left w:val="nil"/>
              <w:bottom w:val="single" w:sz="4" w:space="0" w:color="auto"/>
              <w:right w:val="single" w:sz="4" w:space="0" w:color="auto"/>
            </w:tcBorders>
            <w:shd w:val="clear" w:color="000000" w:fill="FFFFFF"/>
            <w:noWrap/>
            <w:hideMark/>
          </w:tcPr>
          <w:p w14:paraId="117B0239" w14:textId="4A0E2FAB" w:rsidR="00975A9E" w:rsidRPr="00975A9E" w:rsidRDefault="00975A9E" w:rsidP="00975A9E">
            <w:pPr>
              <w:jc w:val="right"/>
              <w:rPr>
                <w:noProof/>
                <w:sz w:val="20"/>
                <w:szCs w:val="20"/>
              </w:rPr>
            </w:pPr>
            <w:r w:rsidRPr="00975A9E">
              <w:rPr>
                <w:noProof/>
                <w:sz w:val="20"/>
                <w:szCs w:val="20"/>
              </w:rPr>
              <w:t>92.0</w:t>
            </w:r>
          </w:p>
        </w:tc>
      </w:tr>
      <w:tr w:rsidR="00975A9E" w:rsidRPr="001E7138" w14:paraId="4EFA1054"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230D9DBA" w14:textId="77777777" w:rsidR="00975A9E" w:rsidRPr="001E7138" w:rsidRDefault="00975A9E" w:rsidP="00975A9E">
            <w:pPr>
              <w:rPr>
                <w:noProof/>
                <w:sz w:val="20"/>
                <w:szCs w:val="20"/>
              </w:rPr>
            </w:pPr>
            <w:r w:rsidRPr="001E7138">
              <w:rPr>
                <w:noProof/>
                <w:sz w:val="20"/>
                <w:szCs w:val="20"/>
              </w:rPr>
              <w:t xml:space="preserve"> Ireland </w:t>
            </w:r>
          </w:p>
        </w:tc>
        <w:tc>
          <w:tcPr>
            <w:tcW w:w="794" w:type="pct"/>
            <w:tcBorders>
              <w:top w:val="nil"/>
              <w:left w:val="nil"/>
              <w:bottom w:val="single" w:sz="4" w:space="0" w:color="auto"/>
              <w:right w:val="single" w:sz="4" w:space="0" w:color="auto"/>
            </w:tcBorders>
            <w:shd w:val="clear" w:color="000000" w:fill="FFFFFF"/>
            <w:noWrap/>
            <w:hideMark/>
          </w:tcPr>
          <w:p w14:paraId="5C68BD50" w14:textId="1D47967A" w:rsidR="00975A9E" w:rsidRPr="00975A9E" w:rsidRDefault="00975A9E" w:rsidP="00975A9E">
            <w:pPr>
              <w:jc w:val="right"/>
              <w:rPr>
                <w:noProof/>
                <w:sz w:val="20"/>
                <w:szCs w:val="20"/>
              </w:rPr>
            </w:pPr>
            <w:r w:rsidRPr="00975A9E">
              <w:rPr>
                <w:noProof/>
                <w:sz w:val="20"/>
                <w:szCs w:val="20"/>
              </w:rPr>
              <w:t>352.8</w:t>
            </w:r>
          </w:p>
        </w:tc>
        <w:tc>
          <w:tcPr>
            <w:tcW w:w="794" w:type="pct"/>
            <w:tcBorders>
              <w:top w:val="nil"/>
              <w:left w:val="nil"/>
              <w:bottom w:val="single" w:sz="4" w:space="0" w:color="auto"/>
              <w:right w:val="single" w:sz="4" w:space="0" w:color="auto"/>
            </w:tcBorders>
            <w:shd w:val="clear" w:color="000000" w:fill="FFFFFF"/>
            <w:noWrap/>
            <w:hideMark/>
          </w:tcPr>
          <w:p w14:paraId="3933909C" w14:textId="5E649A9D" w:rsidR="00975A9E" w:rsidRPr="00975A9E" w:rsidRDefault="00975A9E" w:rsidP="00975A9E">
            <w:pPr>
              <w:jc w:val="right"/>
              <w:rPr>
                <w:noProof/>
                <w:sz w:val="20"/>
                <w:szCs w:val="20"/>
              </w:rPr>
            </w:pPr>
            <w:r w:rsidRPr="00975A9E">
              <w:rPr>
                <w:noProof/>
                <w:sz w:val="20"/>
                <w:szCs w:val="20"/>
              </w:rPr>
              <w:t>53.3</w:t>
            </w:r>
          </w:p>
        </w:tc>
        <w:tc>
          <w:tcPr>
            <w:tcW w:w="794" w:type="pct"/>
            <w:tcBorders>
              <w:top w:val="nil"/>
              <w:left w:val="nil"/>
              <w:bottom w:val="single" w:sz="4" w:space="0" w:color="auto"/>
              <w:right w:val="single" w:sz="4" w:space="0" w:color="auto"/>
            </w:tcBorders>
            <w:shd w:val="clear" w:color="000000" w:fill="FFFFFF"/>
            <w:noWrap/>
            <w:hideMark/>
          </w:tcPr>
          <w:p w14:paraId="0A3F95C1" w14:textId="548C6023" w:rsidR="00975A9E" w:rsidRPr="00975A9E" w:rsidRDefault="00975A9E" w:rsidP="00975A9E">
            <w:pPr>
              <w:jc w:val="right"/>
              <w:rPr>
                <w:noProof/>
                <w:sz w:val="20"/>
                <w:szCs w:val="20"/>
              </w:rPr>
            </w:pPr>
            <w:r w:rsidRPr="00975A9E">
              <w:rPr>
                <w:noProof/>
                <w:sz w:val="20"/>
                <w:szCs w:val="20"/>
              </w:rPr>
              <w:t>85.4</w:t>
            </w:r>
          </w:p>
        </w:tc>
        <w:tc>
          <w:tcPr>
            <w:tcW w:w="794" w:type="pct"/>
            <w:tcBorders>
              <w:top w:val="nil"/>
              <w:left w:val="nil"/>
              <w:bottom w:val="single" w:sz="4" w:space="0" w:color="auto"/>
              <w:right w:val="single" w:sz="4" w:space="0" w:color="auto"/>
            </w:tcBorders>
            <w:shd w:val="clear" w:color="000000" w:fill="FFFFFF"/>
            <w:noWrap/>
            <w:hideMark/>
          </w:tcPr>
          <w:p w14:paraId="4460C1DD" w14:textId="2850F628" w:rsidR="00975A9E" w:rsidRPr="00975A9E" w:rsidRDefault="00975A9E" w:rsidP="00975A9E">
            <w:pPr>
              <w:jc w:val="right"/>
              <w:rPr>
                <w:noProof/>
                <w:sz w:val="20"/>
                <w:szCs w:val="20"/>
              </w:rPr>
            </w:pPr>
            <w:r w:rsidRPr="00975A9E">
              <w:rPr>
                <w:noProof/>
                <w:sz w:val="20"/>
                <w:szCs w:val="20"/>
              </w:rPr>
              <w:t>61.3</w:t>
            </w:r>
          </w:p>
        </w:tc>
      </w:tr>
      <w:tr w:rsidR="00975A9E" w:rsidRPr="001E7138" w14:paraId="47D90E7C"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A514692" w14:textId="77777777" w:rsidR="00975A9E" w:rsidRPr="001E7138" w:rsidRDefault="00975A9E" w:rsidP="00975A9E">
            <w:pPr>
              <w:rPr>
                <w:noProof/>
                <w:sz w:val="20"/>
                <w:szCs w:val="20"/>
              </w:rPr>
            </w:pPr>
            <w:r w:rsidRPr="001E7138">
              <w:rPr>
                <w:noProof/>
                <w:sz w:val="20"/>
                <w:szCs w:val="20"/>
              </w:rPr>
              <w:t xml:space="preserve"> Slovenia </w:t>
            </w:r>
          </w:p>
        </w:tc>
        <w:tc>
          <w:tcPr>
            <w:tcW w:w="794" w:type="pct"/>
            <w:tcBorders>
              <w:top w:val="nil"/>
              <w:left w:val="nil"/>
              <w:bottom w:val="single" w:sz="4" w:space="0" w:color="auto"/>
              <w:right w:val="single" w:sz="4" w:space="0" w:color="auto"/>
            </w:tcBorders>
            <w:shd w:val="clear" w:color="000000" w:fill="FFFFFF"/>
            <w:noWrap/>
            <w:hideMark/>
          </w:tcPr>
          <w:p w14:paraId="4B0D49FF"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57DC983F"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44C99635"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0494499F" w14:textId="77777777" w:rsidR="00975A9E" w:rsidRPr="00975A9E" w:rsidRDefault="00975A9E" w:rsidP="00975A9E">
            <w:pPr>
              <w:jc w:val="right"/>
              <w:rPr>
                <w:noProof/>
                <w:sz w:val="20"/>
                <w:szCs w:val="20"/>
              </w:rPr>
            </w:pPr>
            <w:r w:rsidRPr="00975A9E">
              <w:rPr>
                <w:noProof/>
                <w:sz w:val="20"/>
                <w:szCs w:val="20"/>
              </w:rPr>
              <w:t>0.0</w:t>
            </w:r>
          </w:p>
        </w:tc>
      </w:tr>
      <w:tr w:rsidR="00975A9E" w:rsidRPr="001E7138" w14:paraId="71629F09"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D0D8DF3" w14:textId="77777777" w:rsidR="00975A9E" w:rsidRPr="001E7138" w:rsidRDefault="00975A9E" w:rsidP="00975A9E">
            <w:pPr>
              <w:rPr>
                <w:noProof/>
                <w:sz w:val="20"/>
                <w:szCs w:val="20"/>
              </w:rPr>
            </w:pPr>
            <w:r w:rsidRPr="001E7138">
              <w:rPr>
                <w:noProof/>
                <w:sz w:val="20"/>
                <w:szCs w:val="20"/>
              </w:rPr>
              <w:t xml:space="preserve"> Latvia </w:t>
            </w:r>
          </w:p>
        </w:tc>
        <w:tc>
          <w:tcPr>
            <w:tcW w:w="794" w:type="pct"/>
            <w:tcBorders>
              <w:top w:val="nil"/>
              <w:left w:val="nil"/>
              <w:bottom w:val="single" w:sz="4" w:space="0" w:color="auto"/>
              <w:right w:val="single" w:sz="4" w:space="0" w:color="auto"/>
            </w:tcBorders>
            <w:shd w:val="clear" w:color="000000" w:fill="FFFFFF"/>
            <w:noWrap/>
            <w:hideMark/>
          </w:tcPr>
          <w:p w14:paraId="3C0B9A7D"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243286F4"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416FF470"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7F01568F" w14:textId="77777777" w:rsidR="00975A9E" w:rsidRPr="00975A9E" w:rsidRDefault="00975A9E" w:rsidP="00975A9E">
            <w:pPr>
              <w:jc w:val="right"/>
              <w:rPr>
                <w:noProof/>
                <w:sz w:val="20"/>
                <w:szCs w:val="20"/>
              </w:rPr>
            </w:pPr>
            <w:r w:rsidRPr="00975A9E">
              <w:rPr>
                <w:noProof/>
                <w:sz w:val="20"/>
                <w:szCs w:val="20"/>
              </w:rPr>
              <w:t>0.0</w:t>
            </w:r>
          </w:p>
        </w:tc>
      </w:tr>
      <w:tr w:rsidR="00975A9E" w:rsidRPr="001E7138" w14:paraId="55565498"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F7C1C78" w14:textId="77777777" w:rsidR="00975A9E" w:rsidRPr="001E7138" w:rsidRDefault="00975A9E" w:rsidP="00975A9E">
            <w:pPr>
              <w:rPr>
                <w:noProof/>
                <w:sz w:val="20"/>
                <w:szCs w:val="20"/>
              </w:rPr>
            </w:pPr>
            <w:r w:rsidRPr="001E7138">
              <w:rPr>
                <w:noProof/>
                <w:sz w:val="20"/>
                <w:szCs w:val="20"/>
              </w:rPr>
              <w:t xml:space="preserve"> Romania </w:t>
            </w:r>
          </w:p>
        </w:tc>
        <w:tc>
          <w:tcPr>
            <w:tcW w:w="794" w:type="pct"/>
            <w:tcBorders>
              <w:top w:val="nil"/>
              <w:left w:val="nil"/>
              <w:bottom w:val="single" w:sz="4" w:space="0" w:color="auto"/>
              <w:right w:val="single" w:sz="4" w:space="0" w:color="auto"/>
            </w:tcBorders>
            <w:shd w:val="clear" w:color="000000" w:fill="FFFFFF"/>
            <w:noWrap/>
            <w:hideMark/>
          </w:tcPr>
          <w:p w14:paraId="075D1FB5"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1A961CD3"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0BDC9BBA" w14:textId="77777777" w:rsidR="00975A9E" w:rsidRPr="00975A9E" w:rsidRDefault="00975A9E" w:rsidP="00975A9E">
            <w:pPr>
              <w:jc w:val="right"/>
              <w:rPr>
                <w:noProof/>
                <w:sz w:val="20"/>
                <w:szCs w:val="20"/>
              </w:rPr>
            </w:pPr>
            <w:r w:rsidRPr="00975A9E">
              <w:rPr>
                <w:noProof/>
                <w:sz w:val="20"/>
                <w:szCs w:val="20"/>
              </w:rPr>
              <w:t>0.0</w:t>
            </w:r>
          </w:p>
        </w:tc>
        <w:tc>
          <w:tcPr>
            <w:tcW w:w="794" w:type="pct"/>
            <w:tcBorders>
              <w:top w:val="nil"/>
              <w:left w:val="nil"/>
              <w:bottom w:val="single" w:sz="4" w:space="0" w:color="auto"/>
              <w:right w:val="single" w:sz="4" w:space="0" w:color="auto"/>
            </w:tcBorders>
            <w:shd w:val="clear" w:color="000000" w:fill="FFFFFF"/>
            <w:noWrap/>
            <w:hideMark/>
          </w:tcPr>
          <w:p w14:paraId="294EF694" w14:textId="77777777" w:rsidR="00975A9E" w:rsidRPr="00975A9E" w:rsidRDefault="00975A9E" w:rsidP="00975A9E">
            <w:pPr>
              <w:jc w:val="right"/>
              <w:rPr>
                <w:noProof/>
                <w:sz w:val="20"/>
                <w:szCs w:val="20"/>
              </w:rPr>
            </w:pPr>
            <w:r w:rsidRPr="00975A9E">
              <w:rPr>
                <w:noProof/>
                <w:sz w:val="20"/>
                <w:szCs w:val="20"/>
              </w:rPr>
              <w:t>0.0</w:t>
            </w:r>
          </w:p>
        </w:tc>
      </w:tr>
      <w:tr w:rsidR="00975A9E" w:rsidRPr="001E7138" w14:paraId="648A21B9"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6BF83A56" w14:textId="77777777" w:rsidR="00975A9E" w:rsidRPr="001E7138" w:rsidRDefault="00975A9E" w:rsidP="00975A9E">
            <w:pPr>
              <w:rPr>
                <w:noProof/>
                <w:sz w:val="20"/>
                <w:szCs w:val="20"/>
              </w:rPr>
            </w:pPr>
            <w:r w:rsidRPr="001E7138">
              <w:rPr>
                <w:noProof/>
                <w:sz w:val="20"/>
                <w:szCs w:val="20"/>
              </w:rPr>
              <w:t xml:space="preserve"> Slovakia </w:t>
            </w:r>
          </w:p>
        </w:tc>
        <w:tc>
          <w:tcPr>
            <w:tcW w:w="794" w:type="pct"/>
            <w:tcBorders>
              <w:top w:val="nil"/>
              <w:left w:val="nil"/>
              <w:bottom w:val="single" w:sz="4" w:space="0" w:color="auto"/>
              <w:right w:val="single" w:sz="4" w:space="0" w:color="auto"/>
            </w:tcBorders>
            <w:shd w:val="clear" w:color="000000" w:fill="FFFFFF"/>
            <w:noWrap/>
            <w:hideMark/>
          </w:tcPr>
          <w:p w14:paraId="2CE2DD65" w14:textId="1DC7A1E5" w:rsidR="00975A9E" w:rsidRPr="00975A9E" w:rsidRDefault="00975A9E" w:rsidP="00975A9E">
            <w:pPr>
              <w:jc w:val="right"/>
              <w:rPr>
                <w:noProof/>
                <w:sz w:val="20"/>
                <w:szCs w:val="20"/>
              </w:rPr>
            </w:pPr>
            <w:r w:rsidRPr="00975A9E">
              <w:rPr>
                <w:noProof/>
                <w:sz w:val="20"/>
                <w:szCs w:val="20"/>
              </w:rPr>
              <w:t>176.4</w:t>
            </w:r>
          </w:p>
        </w:tc>
        <w:tc>
          <w:tcPr>
            <w:tcW w:w="794" w:type="pct"/>
            <w:tcBorders>
              <w:top w:val="nil"/>
              <w:left w:val="nil"/>
              <w:bottom w:val="single" w:sz="4" w:space="0" w:color="auto"/>
              <w:right w:val="single" w:sz="4" w:space="0" w:color="auto"/>
            </w:tcBorders>
            <w:shd w:val="clear" w:color="000000" w:fill="FFFFFF"/>
            <w:noWrap/>
            <w:hideMark/>
          </w:tcPr>
          <w:p w14:paraId="165431C1" w14:textId="0E9A92C1" w:rsidR="00975A9E" w:rsidRPr="00975A9E" w:rsidRDefault="00975A9E" w:rsidP="00975A9E">
            <w:pPr>
              <w:jc w:val="right"/>
              <w:rPr>
                <w:noProof/>
                <w:sz w:val="20"/>
                <w:szCs w:val="20"/>
              </w:rPr>
            </w:pPr>
            <w:r w:rsidRPr="00975A9E">
              <w:rPr>
                <w:noProof/>
                <w:sz w:val="20"/>
                <w:szCs w:val="20"/>
              </w:rPr>
              <w:t>26.7</w:t>
            </w:r>
          </w:p>
        </w:tc>
        <w:tc>
          <w:tcPr>
            <w:tcW w:w="794" w:type="pct"/>
            <w:tcBorders>
              <w:top w:val="nil"/>
              <w:left w:val="nil"/>
              <w:bottom w:val="single" w:sz="4" w:space="0" w:color="auto"/>
              <w:right w:val="single" w:sz="4" w:space="0" w:color="auto"/>
            </w:tcBorders>
            <w:shd w:val="clear" w:color="000000" w:fill="FFFFFF"/>
            <w:noWrap/>
            <w:hideMark/>
          </w:tcPr>
          <w:p w14:paraId="37056639" w14:textId="5AFCB14E" w:rsidR="00975A9E" w:rsidRPr="00975A9E" w:rsidRDefault="00975A9E" w:rsidP="00975A9E">
            <w:pPr>
              <w:jc w:val="right"/>
              <w:rPr>
                <w:noProof/>
                <w:sz w:val="20"/>
                <w:szCs w:val="20"/>
              </w:rPr>
            </w:pPr>
            <w:r w:rsidRPr="00975A9E">
              <w:rPr>
                <w:noProof/>
                <w:sz w:val="20"/>
                <w:szCs w:val="20"/>
              </w:rPr>
              <w:t>42.7</w:t>
            </w:r>
          </w:p>
        </w:tc>
        <w:tc>
          <w:tcPr>
            <w:tcW w:w="794" w:type="pct"/>
            <w:tcBorders>
              <w:top w:val="nil"/>
              <w:left w:val="nil"/>
              <w:bottom w:val="single" w:sz="4" w:space="0" w:color="auto"/>
              <w:right w:val="single" w:sz="4" w:space="0" w:color="auto"/>
            </w:tcBorders>
            <w:shd w:val="clear" w:color="000000" w:fill="FFFFFF"/>
            <w:noWrap/>
            <w:hideMark/>
          </w:tcPr>
          <w:p w14:paraId="652F5985" w14:textId="2B2AEA35" w:rsidR="00975A9E" w:rsidRPr="00975A9E" w:rsidRDefault="00975A9E" w:rsidP="00975A9E">
            <w:pPr>
              <w:jc w:val="right"/>
              <w:rPr>
                <w:noProof/>
                <w:sz w:val="20"/>
                <w:szCs w:val="20"/>
              </w:rPr>
            </w:pPr>
            <w:r w:rsidRPr="00975A9E">
              <w:rPr>
                <w:noProof/>
                <w:sz w:val="20"/>
                <w:szCs w:val="20"/>
              </w:rPr>
              <w:t>30.7</w:t>
            </w:r>
          </w:p>
        </w:tc>
      </w:tr>
      <w:tr w:rsidR="00975A9E" w:rsidRPr="001E7138" w14:paraId="0EBA2A94" w14:textId="77777777" w:rsidTr="001E7138">
        <w:trPr>
          <w:trHeight w:val="225"/>
        </w:trPr>
        <w:tc>
          <w:tcPr>
            <w:tcW w:w="1824" w:type="pct"/>
            <w:tcBorders>
              <w:top w:val="nil"/>
              <w:left w:val="single" w:sz="4" w:space="0" w:color="auto"/>
              <w:bottom w:val="single" w:sz="4" w:space="0" w:color="auto"/>
              <w:right w:val="single" w:sz="4" w:space="0" w:color="auto"/>
            </w:tcBorders>
            <w:shd w:val="clear" w:color="000000" w:fill="FFFFFF"/>
            <w:noWrap/>
            <w:hideMark/>
          </w:tcPr>
          <w:p w14:paraId="223CB151" w14:textId="7ABC4D21" w:rsidR="00975A9E" w:rsidRPr="001E7138" w:rsidRDefault="00975A9E" w:rsidP="00975A9E">
            <w:pPr>
              <w:rPr>
                <w:b/>
                <w:bCs/>
                <w:noProof/>
                <w:sz w:val="20"/>
                <w:szCs w:val="20"/>
              </w:rPr>
            </w:pPr>
            <w:r w:rsidRPr="001E7138">
              <w:rPr>
                <w:b/>
                <w:bCs/>
                <w:noProof/>
                <w:sz w:val="20"/>
                <w:szCs w:val="20"/>
              </w:rPr>
              <w:t xml:space="preserve"> Total </w:t>
            </w:r>
          </w:p>
        </w:tc>
        <w:tc>
          <w:tcPr>
            <w:tcW w:w="794" w:type="pct"/>
            <w:tcBorders>
              <w:top w:val="nil"/>
              <w:left w:val="nil"/>
              <w:bottom w:val="single" w:sz="4" w:space="0" w:color="auto"/>
              <w:right w:val="single" w:sz="4" w:space="0" w:color="auto"/>
            </w:tcBorders>
            <w:shd w:val="clear" w:color="000000" w:fill="FFFFFF"/>
            <w:noWrap/>
            <w:hideMark/>
          </w:tcPr>
          <w:p w14:paraId="0D6B349D" w14:textId="2867CA2C" w:rsidR="00975A9E" w:rsidRPr="00975A9E" w:rsidRDefault="00975A9E" w:rsidP="00975A9E">
            <w:pPr>
              <w:jc w:val="right"/>
              <w:rPr>
                <w:b/>
                <w:bCs/>
                <w:noProof/>
                <w:sz w:val="20"/>
                <w:szCs w:val="20"/>
              </w:rPr>
            </w:pPr>
            <w:r w:rsidRPr="00975A9E">
              <w:rPr>
                <w:b/>
                <w:bCs/>
                <w:noProof/>
                <w:sz w:val="20"/>
                <w:szCs w:val="20"/>
              </w:rPr>
              <w:t>17,637.9</w:t>
            </w:r>
          </w:p>
        </w:tc>
        <w:tc>
          <w:tcPr>
            <w:tcW w:w="794" w:type="pct"/>
            <w:tcBorders>
              <w:top w:val="nil"/>
              <w:left w:val="nil"/>
              <w:bottom w:val="single" w:sz="4" w:space="0" w:color="auto"/>
              <w:right w:val="single" w:sz="4" w:space="0" w:color="auto"/>
            </w:tcBorders>
            <w:shd w:val="clear" w:color="000000" w:fill="FFFFFF"/>
            <w:noWrap/>
            <w:hideMark/>
          </w:tcPr>
          <w:p w14:paraId="64CE29C0" w14:textId="30C3C870" w:rsidR="00975A9E" w:rsidRPr="00975A9E" w:rsidRDefault="00975A9E" w:rsidP="00975A9E">
            <w:pPr>
              <w:jc w:val="right"/>
              <w:rPr>
                <w:b/>
                <w:bCs/>
                <w:noProof/>
                <w:sz w:val="20"/>
                <w:szCs w:val="20"/>
              </w:rPr>
            </w:pPr>
            <w:r w:rsidRPr="00975A9E">
              <w:rPr>
                <w:b/>
                <w:bCs/>
                <w:noProof/>
                <w:sz w:val="20"/>
                <w:szCs w:val="20"/>
              </w:rPr>
              <w:t>2,667.3</w:t>
            </w:r>
          </w:p>
        </w:tc>
        <w:tc>
          <w:tcPr>
            <w:tcW w:w="794" w:type="pct"/>
            <w:tcBorders>
              <w:top w:val="nil"/>
              <w:left w:val="nil"/>
              <w:bottom w:val="single" w:sz="4" w:space="0" w:color="auto"/>
              <w:right w:val="single" w:sz="4" w:space="0" w:color="auto"/>
            </w:tcBorders>
            <w:shd w:val="clear" w:color="000000" w:fill="FFFFFF"/>
            <w:noWrap/>
            <w:hideMark/>
          </w:tcPr>
          <w:p w14:paraId="542485DD" w14:textId="61ED2AFB" w:rsidR="00975A9E" w:rsidRPr="00975A9E" w:rsidRDefault="00975A9E" w:rsidP="00975A9E">
            <w:pPr>
              <w:jc w:val="right"/>
              <w:rPr>
                <w:b/>
                <w:bCs/>
                <w:noProof/>
                <w:sz w:val="20"/>
                <w:szCs w:val="20"/>
              </w:rPr>
            </w:pPr>
            <w:r w:rsidRPr="00975A9E">
              <w:rPr>
                <w:b/>
                <w:bCs/>
                <w:noProof/>
                <w:sz w:val="20"/>
                <w:szCs w:val="20"/>
              </w:rPr>
              <w:t>4,270.3</w:t>
            </w:r>
          </w:p>
        </w:tc>
        <w:tc>
          <w:tcPr>
            <w:tcW w:w="794" w:type="pct"/>
            <w:tcBorders>
              <w:top w:val="nil"/>
              <w:left w:val="nil"/>
              <w:bottom w:val="single" w:sz="4" w:space="0" w:color="auto"/>
              <w:right w:val="single" w:sz="4" w:space="0" w:color="auto"/>
            </w:tcBorders>
            <w:shd w:val="clear" w:color="000000" w:fill="FFFFFF"/>
            <w:noWrap/>
            <w:hideMark/>
          </w:tcPr>
          <w:p w14:paraId="18304455" w14:textId="6296C529" w:rsidR="00975A9E" w:rsidRPr="00975A9E" w:rsidRDefault="00975A9E" w:rsidP="00975A9E">
            <w:pPr>
              <w:jc w:val="right"/>
              <w:rPr>
                <w:b/>
                <w:bCs/>
                <w:noProof/>
                <w:sz w:val="20"/>
                <w:szCs w:val="20"/>
              </w:rPr>
            </w:pPr>
            <w:r w:rsidRPr="00975A9E">
              <w:rPr>
                <w:b/>
                <w:bCs/>
                <w:noProof/>
                <w:sz w:val="20"/>
                <w:szCs w:val="20"/>
              </w:rPr>
              <w:t>3,066.4</w:t>
            </w:r>
          </w:p>
        </w:tc>
      </w:tr>
    </w:tbl>
    <w:p w14:paraId="547C6796" w14:textId="77777777" w:rsidR="009467A1" w:rsidRPr="00D71008" w:rsidRDefault="009467A1" w:rsidP="009467A1">
      <w:pPr>
        <w:tabs>
          <w:tab w:val="left" w:pos="2302"/>
        </w:tabs>
        <w:spacing w:after="240"/>
        <w:jc w:val="both"/>
        <w:rPr>
          <w:i/>
          <w:iCs/>
          <w:noProof/>
          <w:sz w:val="20"/>
          <w:szCs w:val="20"/>
        </w:rPr>
      </w:pPr>
      <w:r w:rsidRPr="001E7138">
        <w:rPr>
          <w:i/>
          <w:noProof/>
          <w:spacing w:val="-8"/>
          <w:sz w:val="20"/>
          <w:szCs w:val="20"/>
        </w:rPr>
        <w:t xml:space="preserve">Source: </w:t>
      </w:r>
      <w:r w:rsidRPr="001E7138">
        <w:rPr>
          <w:i/>
          <w:noProof/>
          <w:sz w:val="20"/>
          <w:szCs w:val="20"/>
        </w:rPr>
        <w:t>Ricardo et al. (2026), Impact assessment support study</w:t>
      </w:r>
    </w:p>
    <w:p w14:paraId="34DDDFD2" w14:textId="37153922" w:rsidR="00CC0645" w:rsidRDefault="00CC0645" w:rsidP="00CC0645">
      <w:pPr>
        <w:pStyle w:val="Text4"/>
        <w:spacing w:before="0" w:after="240"/>
        <w:ind w:left="0"/>
        <w:rPr>
          <w:rFonts w:ascii="Times New Roman" w:eastAsia="Calibri" w:hAnsi="Times New Roman"/>
          <w:noProof/>
          <w:spacing w:val="-8"/>
          <w:sz w:val="24"/>
          <w:szCs w:val="24"/>
        </w:rPr>
      </w:pPr>
      <w:r w:rsidRPr="007670B7">
        <w:rPr>
          <w:rFonts w:ascii="Times New Roman" w:eastAsia="Calibri" w:hAnsi="Times New Roman"/>
          <w:noProof/>
          <w:spacing w:val="-8"/>
          <w:sz w:val="24"/>
          <w:szCs w:val="24"/>
        </w:rPr>
        <w:t>Expressed as present value over 2028-2050 relative to the baseline, the total one-off and recurrent adjustment costs due to PM</w:t>
      </w:r>
      <w:r w:rsidR="00A750AD">
        <w:rPr>
          <w:rFonts w:ascii="Times New Roman" w:eastAsia="Calibri" w:hAnsi="Times New Roman"/>
          <w:noProof/>
          <w:spacing w:val="-8"/>
          <w:sz w:val="24"/>
          <w:szCs w:val="24"/>
        </w:rPr>
        <w:t>7</w:t>
      </w:r>
      <w:r w:rsidRPr="007670B7">
        <w:rPr>
          <w:rFonts w:ascii="Times New Roman" w:eastAsia="Calibri" w:hAnsi="Times New Roman"/>
          <w:noProof/>
          <w:spacing w:val="-8"/>
          <w:sz w:val="24"/>
          <w:szCs w:val="24"/>
        </w:rPr>
        <w:t xml:space="preserve"> for </w:t>
      </w:r>
      <w:r w:rsidR="00CE1027">
        <w:rPr>
          <w:rFonts w:ascii="Times New Roman" w:eastAsia="Calibri" w:hAnsi="Times New Roman"/>
          <w:noProof/>
          <w:spacing w:val="-8"/>
          <w:sz w:val="24"/>
          <w:szCs w:val="24"/>
        </w:rPr>
        <w:t>non-SME</w:t>
      </w:r>
      <w:r w:rsidRPr="007670B7">
        <w:rPr>
          <w:rFonts w:ascii="Times New Roman" w:eastAsia="Calibri" w:hAnsi="Times New Roman"/>
          <w:noProof/>
          <w:spacing w:val="-8"/>
          <w:sz w:val="24"/>
          <w:szCs w:val="24"/>
        </w:rPr>
        <w:t xml:space="preserve"> B2C MDMS platforms are provided in the table below</w:t>
      </w:r>
      <w:r>
        <w:rPr>
          <w:rFonts w:ascii="Times New Roman" w:eastAsia="Calibri" w:hAnsi="Times New Roman"/>
          <w:noProof/>
          <w:spacing w:val="-8"/>
          <w:sz w:val="24"/>
          <w:szCs w:val="24"/>
        </w:rPr>
        <w:t>,</w:t>
      </w:r>
      <w:r w:rsidRPr="007670B7">
        <w:rPr>
          <w:rFonts w:ascii="Times New Roman" w:eastAsia="Calibri" w:hAnsi="Times New Roman"/>
          <w:noProof/>
          <w:spacing w:val="-8"/>
          <w:sz w:val="24"/>
          <w:szCs w:val="24"/>
        </w:rPr>
        <w:t xml:space="preserve"> by policy option.</w:t>
      </w:r>
    </w:p>
    <w:p w14:paraId="3EE05B1F" w14:textId="792847CD" w:rsidR="00CC0645" w:rsidRPr="00012B32" w:rsidRDefault="00CC0645" w:rsidP="00CC0645">
      <w:pPr>
        <w:keepNext/>
        <w:tabs>
          <w:tab w:val="left" w:pos="1134"/>
        </w:tabs>
        <w:jc w:val="both"/>
        <w:rPr>
          <w:i/>
          <w:noProof/>
          <w:sz w:val="22"/>
          <w:szCs w:val="22"/>
        </w:rPr>
      </w:pPr>
      <w:r w:rsidRPr="00012B32">
        <w:rPr>
          <w:i/>
          <w:noProof/>
          <w:sz w:val="22"/>
          <w:szCs w:val="22"/>
        </w:rPr>
        <w:t xml:space="preserve">Table </w:t>
      </w:r>
      <w:r w:rsidRPr="00012B32">
        <w:rPr>
          <w:i/>
          <w:noProof/>
          <w:sz w:val="22"/>
          <w:szCs w:val="22"/>
        </w:rPr>
        <w:fldChar w:fldCharType="begin"/>
      </w:r>
      <w:r w:rsidRPr="00012B32">
        <w:rPr>
          <w:i/>
          <w:noProof/>
          <w:sz w:val="22"/>
          <w:szCs w:val="22"/>
        </w:rPr>
        <w:instrText xml:space="preserve"> SEQ Table \* ARABIC </w:instrText>
      </w:r>
      <w:r w:rsidRPr="00012B32">
        <w:rPr>
          <w:i/>
          <w:noProof/>
          <w:sz w:val="22"/>
          <w:szCs w:val="22"/>
        </w:rPr>
        <w:fldChar w:fldCharType="separate"/>
      </w:r>
      <w:r w:rsidR="0055391F">
        <w:rPr>
          <w:i/>
          <w:noProof/>
          <w:sz w:val="22"/>
          <w:szCs w:val="22"/>
        </w:rPr>
        <w:t>94</w:t>
      </w:r>
      <w:r w:rsidRPr="00012B32">
        <w:rPr>
          <w:i/>
          <w:noProof/>
          <w:sz w:val="22"/>
          <w:szCs w:val="22"/>
        </w:rPr>
        <w:fldChar w:fldCharType="end"/>
      </w:r>
      <w:r w:rsidRPr="00012B32">
        <w:rPr>
          <w:i/>
          <w:noProof/>
          <w:sz w:val="22"/>
          <w:szCs w:val="22"/>
        </w:rPr>
        <w:t xml:space="preserve">: One-off and recurrent adjustment costs for </w:t>
      </w:r>
      <w:r w:rsidR="00CE1027">
        <w:rPr>
          <w:i/>
          <w:noProof/>
          <w:sz w:val="22"/>
          <w:szCs w:val="22"/>
        </w:rPr>
        <w:t>non-SME</w:t>
      </w:r>
      <w:r w:rsidRPr="00012B32">
        <w:rPr>
          <w:i/>
          <w:noProof/>
          <w:sz w:val="22"/>
          <w:szCs w:val="22"/>
        </w:rPr>
        <w:t xml:space="preserve"> </w:t>
      </w:r>
      <w:r w:rsidR="00A42AA6" w:rsidRPr="00012B32">
        <w:rPr>
          <w:i/>
          <w:noProof/>
          <w:sz w:val="22"/>
          <w:szCs w:val="22"/>
        </w:rPr>
        <w:t>B2C</w:t>
      </w:r>
      <w:r w:rsidRPr="00012B32">
        <w:rPr>
          <w:i/>
          <w:noProof/>
          <w:sz w:val="22"/>
          <w:szCs w:val="22"/>
        </w:rPr>
        <w:t xml:space="preserve"> platforms due to PM</w:t>
      </w:r>
      <w:r w:rsidR="00A42AA6" w:rsidRPr="00012B32">
        <w:rPr>
          <w:i/>
          <w:noProof/>
          <w:sz w:val="22"/>
          <w:szCs w:val="22"/>
        </w:rPr>
        <w:t>7</w:t>
      </w:r>
      <w:r w:rsidRPr="00012B32">
        <w:rPr>
          <w:i/>
          <w:noProof/>
          <w:sz w:val="22"/>
          <w:szCs w:val="22"/>
        </w:rPr>
        <w:t xml:space="preserve"> in the policy options, expressed as present value over 2028-2050 relative to the baseline (in </w:t>
      </w:r>
      <w:r w:rsidR="00F6593A" w:rsidRPr="00012B32">
        <w:rPr>
          <w:i/>
          <w:noProof/>
          <w:sz w:val="22"/>
          <w:szCs w:val="22"/>
        </w:rPr>
        <w:t xml:space="preserve">million EUR, </w:t>
      </w:r>
      <w:r w:rsidRPr="00012B32">
        <w:rPr>
          <w:i/>
          <w:noProof/>
          <w:sz w:val="22"/>
          <w:szCs w:val="22"/>
        </w:rPr>
        <w:t>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658"/>
        <w:gridCol w:w="1657"/>
        <w:gridCol w:w="1657"/>
        <w:gridCol w:w="1659"/>
      </w:tblGrid>
      <w:tr w:rsidR="000C10EC" w:rsidRPr="00D57180" w14:paraId="34185F27" w14:textId="77777777" w:rsidTr="00D220ED">
        <w:trPr>
          <w:trHeight w:val="282"/>
          <w:tblHeader/>
        </w:trPr>
        <w:tc>
          <w:tcPr>
            <w:tcW w:w="1547" w:type="pct"/>
            <w:vMerge w:val="restart"/>
            <w:shd w:val="clear" w:color="000000" w:fill="0070C0"/>
          </w:tcPr>
          <w:p w14:paraId="2CE4BBBD" w14:textId="77777777" w:rsidR="000C10EC" w:rsidRPr="00EA1417" w:rsidRDefault="000C10EC" w:rsidP="004D1AB3">
            <w:pPr>
              <w:pStyle w:val="BodyText"/>
              <w:rPr>
                <w:b/>
                <w:noProof/>
                <w:sz w:val="20"/>
                <w:szCs w:val="20"/>
                <w:lang w:eastAsia="en-IE"/>
              </w:rPr>
            </w:pPr>
          </w:p>
        </w:tc>
        <w:tc>
          <w:tcPr>
            <w:tcW w:w="3453" w:type="pct"/>
            <w:gridSpan w:val="4"/>
            <w:shd w:val="clear" w:color="000000" w:fill="0070C0"/>
            <w:hideMark/>
          </w:tcPr>
          <w:p w14:paraId="5E02FFB3" w14:textId="7DC08E4E" w:rsidR="000C10EC" w:rsidRPr="00EA1417" w:rsidRDefault="000C10EC" w:rsidP="00AF5EF1">
            <w:pPr>
              <w:pStyle w:val="BodyText"/>
              <w:ind w:left="0"/>
              <w:jc w:val="center"/>
              <w:rPr>
                <w:b/>
                <w:noProof/>
                <w:color w:val="FFFFFF" w:themeColor="background1"/>
                <w:sz w:val="20"/>
                <w:szCs w:val="20"/>
                <w:lang w:eastAsia="en-IE"/>
              </w:rPr>
            </w:pPr>
            <w:r w:rsidRPr="00EA1417">
              <w:rPr>
                <w:b/>
                <w:noProof/>
                <w:color w:val="FFFFFF" w:themeColor="background1"/>
                <w:sz w:val="20"/>
                <w:szCs w:val="20"/>
                <w:lang w:eastAsia="en-IE"/>
              </w:rPr>
              <w:t>Difference to baseline</w:t>
            </w:r>
          </w:p>
        </w:tc>
      </w:tr>
      <w:tr w:rsidR="00226436" w:rsidRPr="00D57180" w14:paraId="7DF65495" w14:textId="77777777" w:rsidTr="00D220ED">
        <w:trPr>
          <w:trHeight w:val="282"/>
          <w:tblHeader/>
        </w:trPr>
        <w:tc>
          <w:tcPr>
            <w:tcW w:w="1547" w:type="pct"/>
            <w:vMerge/>
            <w:shd w:val="clear" w:color="000000" w:fill="0070C0"/>
            <w:noWrap/>
            <w:hideMark/>
          </w:tcPr>
          <w:p w14:paraId="26072EF1" w14:textId="77777777" w:rsidR="000C10EC" w:rsidRPr="00EA1417" w:rsidRDefault="000C10EC" w:rsidP="004D1AB3">
            <w:pPr>
              <w:pStyle w:val="BodyText"/>
              <w:rPr>
                <w:b/>
                <w:noProof/>
                <w:sz w:val="20"/>
                <w:szCs w:val="20"/>
                <w:lang w:eastAsia="en-IE"/>
              </w:rPr>
            </w:pPr>
          </w:p>
        </w:tc>
        <w:tc>
          <w:tcPr>
            <w:tcW w:w="863" w:type="pct"/>
            <w:shd w:val="clear" w:color="000000" w:fill="0070C0"/>
            <w:hideMark/>
          </w:tcPr>
          <w:p w14:paraId="7CA089DF" w14:textId="77777777" w:rsidR="000C10EC" w:rsidRPr="00EA1417" w:rsidRDefault="000C10EC" w:rsidP="004D1AB3">
            <w:pPr>
              <w:pStyle w:val="BodyText"/>
              <w:ind w:left="0"/>
              <w:jc w:val="center"/>
              <w:rPr>
                <w:b/>
                <w:noProof/>
                <w:color w:val="FFFFFF" w:themeColor="background1"/>
                <w:sz w:val="20"/>
                <w:szCs w:val="20"/>
                <w:lang w:eastAsia="en-IE"/>
              </w:rPr>
            </w:pPr>
            <w:r w:rsidRPr="00EA1417">
              <w:rPr>
                <w:b/>
                <w:noProof/>
                <w:color w:val="FFFFFF" w:themeColor="background1"/>
                <w:sz w:val="20"/>
                <w:szCs w:val="20"/>
                <w:lang w:eastAsia="en-IE"/>
              </w:rPr>
              <w:t>PO1</w:t>
            </w:r>
          </w:p>
        </w:tc>
        <w:tc>
          <w:tcPr>
            <w:tcW w:w="863" w:type="pct"/>
            <w:shd w:val="clear" w:color="000000" w:fill="0070C0"/>
            <w:hideMark/>
          </w:tcPr>
          <w:p w14:paraId="35D6244D" w14:textId="77777777" w:rsidR="000C10EC" w:rsidRPr="00EA1417" w:rsidRDefault="000C10EC" w:rsidP="004D1AB3">
            <w:pPr>
              <w:pStyle w:val="BodyText"/>
              <w:ind w:left="0"/>
              <w:jc w:val="center"/>
              <w:rPr>
                <w:b/>
                <w:noProof/>
                <w:color w:val="FFFFFF" w:themeColor="background1"/>
                <w:sz w:val="20"/>
                <w:szCs w:val="20"/>
                <w:lang w:eastAsia="en-IE"/>
              </w:rPr>
            </w:pPr>
            <w:r w:rsidRPr="00EA1417">
              <w:rPr>
                <w:b/>
                <w:noProof/>
                <w:color w:val="FFFFFF" w:themeColor="background1"/>
                <w:sz w:val="20"/>
                <w:szCs w:val="20"/>
                <w:lang w:eastAsia="en-IE"/>
              </w:rPr>
              <w:t>PO2</w:t>
            </w:r>
          </w:p>
        </w:tc>
        <w:tc>
          <w:tcPr>
            <w:tcW w:w="863" w:type="pct"/>
            <w:shd w:val="clear" w:color="000000" w:fill="0070C0"/>
            <w:hideMark/>
          </w:tcPr>
          <w:p w14:paraId="733B7436" w14:textId="77777777" w:rsidR="000C10EC" w:rsidRPr="00EA1417" w:rsidRDefault="000C10EC" w:rsidP="004D1AB3">
            <w:pPr>
              <w:pStyle w:val="BodyText"/>
              <w:ind w:left="0"/>
              <w:jc w:val="center"/>
              <w:rPr>
                <w:b/>
                <w:noProof/>
                <w:color w:val="FFFFFF" w:themeColor="background1"/>
                <w:sz w:val="20"/>
                <w:szCs w:val="20"/>
                <w:lang w:eastAsia="en-IE"/>
              </w:rPr>
            </w:pPr>
            <w:r w:rsidRPr="00EA1417">
              <w:rPr>
                <w:b/>
                <w:noProof/>
                <w:color w:val="FFFFFF" w:themeColor="background1"/>
                <w:sz w:val="20"/>
                <w:szCs w:val="20"/>
                <w:lang w:eastAsia="en-IE"/>
              </w:rPr>
              <w:t>PO3</w:t>
            </w:r>
          </w:p>
        </w:tc>
        <w:tc>
          <w:tcPr>
            <w:tcW w:w="864" w:type="pct"/>
            <w:shd w:val="clear" w:color="000000" w:fill="0070C0"/>
            <w:hideMark/>
          </w:tcPr>
          <w:p w14:paraId="4AE63E71" w14:textId="77777777" w:rsidR="000C10EC" w:rsidRPr="00EA1417" w:rsidRDefault="000C10EC" w:rsidP="004D1AB3">
            <w:pPr>
              <w:pStyle w:val="BodyText"/>
              <w:ind w:left="0"/>
              <w:jc w:val="center"/>
              <w:rPr>
                <w:b/>
                <w:noProof/>
                <w:color w:val="FFFFFF" w:themeColor="background1"/>
                <w:sz w:val="20"/>
                <w:szCs w:val="20"/>
                <w:lang w:eastAsia="en-IE"/>
              </w:rPr>
            </w:pPr>
            <w:r w:rsidRPr="00EA1417">
              <w:rPr>
                <w:b/>
                <w:noProof/>
                <w:color w:val="FFFFFF" w:themeColor="background1"/>
                <w:sz w:val="20"/>
                <w:szCs w:val="20"/>
                <w:lang w:eastAsia="en-IE"/>
              </w:rPr>
              <w:t>PO4</w:t>
            </w:r>
          </w:p>
        </w:tc>
      </w:tr>
      <w:tr w:rsidR="008949E0" w:rsidRPr="00D57180" w14:paraId="60250730" w14:textId="77777777" w:rsidTr="00D220ED">
        <w:trPr>
          <w:trHeight w:val="282"/>
        </w:trPr>
        <w:tc>
          <w:tcPr>
            <w:tcW w:w="1547" w:type="pct"/>
            <w:shd w:val="clear" w:color="000000" w:fill="FFFFFF"/>
            <w:hideMark/>
          </w:tcPr>
          <w:p w14:paraId="6E17C8AB" w14:textId="77777777" w:rsidR="008949E0" w:rsidRPr="00EA1417" w:rsidRDefault="008949E0" w:rsidP="008949E0">
            <w:pPr>
              <w:pStyle w:val="BodyText"/>
              <w:ind w:left="0"/>
              <w:rPr>
                <w:noProof/>
                <w:color w:val="000000"/>
                <w:sz w:val="20"/>
                <w:szCs w:val="20"/>
                <w:lang w:eastAsia="en-IE"/>
              </w:rPr>
            </w:pPr>
            <w:r w:rsidRPr="00EA1417">
              <w:rPr>
                <w:noProof/>
                <w:color w:val="000000"/>
                <w:sz w:val="20"/>
                <w:szCs w:val="20"/>
                <w:lang w:eastAsia="en-IE"/>
              </w:rPr>
              <w:t>Total adjustment costs</w:t>
            </w:r>
          </w:p>
        </w:tc>
        <w:tc>
          <w:tcPr>
            <w:tcW w:w="863" w:type="pct"/>
            <w:shd w:val="clear" w:color="000000" w:fill="FFFFFF"/>
            <w:noWrap/>
            <w:hideMark/>
          </w:tcPr>
          <w:p w14:paraId="217A41BB" w14:textId="707CE03E" w:rsidR="008949E0" w:rsidRPr="00EA1417" w:rsidRDefault="008949E0" w:rsidP="008949E0">
            <w:pPr>
              <w:pStyle w:val="BodyText"/>
              <w:ind w:left="0"/>
              <w:jc w:val="right"/>
              <w:rPr>
                <w:noProof/>
                <w:color w:val="000000"/>
                <w:sz w:val="20"/>
                <w:szCs w:val="20"/>
                <w:lang w:eastAsia="en-IE"/>
              </w:rPr>
            </w:pPr>
            <w:r>
              <w:rPr>
                <w:noProof/>
                <w:color w:val="000000"/>
                <w:sz w:val="20"/>
                <w:szCs w:val="20"/>
              </w:rPr>
              <w:t>52.9</w:t>
            </w:r>
          </w:p>
        </w:tc>
        <w:tc>
          <w:tcPr>
            <w:tcW w:w="863" w:type="pct"/>
            <w:shd w:val="clear" w:color="000000" w:fill="FFFFFF"/>
            <w:noWrap/>
            <w:hideMark/>
          </w:tcPr>
          <w:p w14:paraId="6A387547" w14:textId="01B3AFAD" w:rsidR="008949E0" w:rsidRPr="00EA1417" w:rsidRDefault="008949E0" w:rsidP="008949E0">
            <w:pPr>
              <w:pStyle w:val="BodyText"/>
              <w:ind w:left="0"/>
              <w:jc w:val="right"/>
              <w:rPr>
                <w:noProof/>
                <w:color w:val="000000"/>
                <w:sz w:val="20"/>
                <w:szCs w:val="20"/>
                <w:lang w:eastAsia="en-IE"/>
              </w:rPr>
            </w:pPr>
            <w:r>
              <w:rPr>
                <w:noProof/>
                <w:color w:val="000000"/>
                <w:sz w:val="20"/>
                <w:szCs w:val="20"/>
              </w:rPr>
              <w:t>72.6</w:t>
            </w:r>
          </w:p>
        </w:tc>
        <w:tc>
          <w:tcPr>
            <w:tcW w:w="863" w:type="pct"/>
            <w:shd w:val="clear" w:color="000000" w:fill="FFFFFF"/>
            <w:noWrap/>
            <w:hideMark/>
          </w:tcPr>
          <w:p w14:paraId="12F8168A" w14:textId="65672AC8" w:rsidR="008949E0" w:rsidRPr="00EA1417" w:rsidRDefault="008949E0" w:rsidP="008949E0">
            <w:pPr>
              <w:pStyle w:val="BodyText"/>
              <w:ind w:left="0"/>
              <w:jc w:val="right"/>
              <w:rPr>
                <w:noProof/>
                <w:color w:val="000000"/>
                <w:sz w:val="20"/>
                <w:szCs w:val="20"/>
                <w:lang w:eastAsia="en-IE"/>
              </w:rPr>
            </w:pPr>
            <w:r>
              <w:rPr>
                <w:noProof/>
                <w:color w:val="000000"/>
                <w:sz w:val="20"/>
                <w:szCs w:val="20"/>
              </w:rPr>
              <w:t>69.4</w:t>
            </w:r>
          </w:p>
        </w:tc>
        <w:tc>
          <w:tcPr>
            <w:tcW w:w="864" w:type="pct"/>
            <w:shd w:val="clear" w:color="000000" w:fill="FFFFFF"/>
            <w:noWrap/>
            <w:hideMark/>
          </w:tcPr>
          <w:p w14:paraId="52855545" w14:textId="41E11792" w:rsidR="008949E0" w:rsidRPr="00EA1417" w:rsidRDefault="008949E0" w:rsidP="008949E0">
            <w:pPr>
              <w:pStyle w:val="BodyText"/>
              <w:ind w:left="0"/>
              <w:jc w:val="right"/>
              <w:rPr>
                <w:noProof/>
                <w:color w:val="000000"/>
                <w:sz w:val="20"/>
                <w:szCs w:val="20"/>
                <w:lang w:eastAsia="en-IE"/>
              </w:rPr>
            </w:pPr>
            <w:r>
              <w:rPr>
                <w:noProof/>
                <w:color w:val="000000"/>
                <w:sz w:val="20"/>
                <w:szCs w:val="20"/>
              </w:rPr>
              <w:t>70.8</w:t>
            </w:r>
          </w:p>
        </w:tc>
      </w:tr>
      <w:tr w:rsidR="008949E0" w:rsidRPr="00D57180" w14:paraId="09383B94" w14:textId="77777777" w:rsidTr="00D220ED">
        <w:trPr>
          <w:trHeight w:val="282"/>
        </w:trPr>
        <w:tc>
          <w:tcPr>
            <w:tcW w:w="1547" w:type="pct"/>
            <w:shd w:val="clear" w:color="000000" w:fill="FFFFFF"/>
            <w:noWrap/>
            <w:hideMark/>
          </w:tcPr>
          <w:p w14:paraId="0791B573" w14:textId="6D73635B" w:rsidR="008949E0" w:rsidRPr="00EA1417" w:rsidRDefault="008949E0" w:rsidP="008949E0">
            <w:pPr>
              <w:pStyle w:val="BodyText"/>
              <w:ind w:left="0"/>
              <w:rPr>
                <w:noProof/>
                <w:color w:val="000000"/>
                <w:sz w:val="20"/>
                <w:szCs w:val="20"/>
                <w:lang w:eastAsia="en-IE"/>
              </w:rPr>
            </w:pPr>
            <w:r w:rsidRPr="00EA1417">
              <w:rPr>
                <w:noProof/>
                <w:color w:val="000000"/>
                <w:sz w:val="20"/>
                <w:szCs w:val="20"/>
                <w:lang w:eastAsia="en-IE"/>
              </w:rPr>
              <w:t>One-off adjustment costs</w:t>
            </w:r>
          </w:p>
        </w:tc>
        <w:tc>
          <w:tcPr>
            <w:tcW w:w="863" w:type="pct"/>
            <w:shd w:val="clear" w:color="000000" w:fill="FFFFFF"/>
            <w:noWrap/>
            <w:hideMark/>
          </w:tcPr>
          <w:p w14:paraId="7BEABDA9" w14:textId="73520F82" w:rsidR="008949E0" w:rsidRPr="00EA1417" w:rsidRDefault="008949E0" w:rsidP="008949E0">
            <w:pPr>
              <w:pStyle w:val="BodyText"/>
              <w:ind w:left="0"/>
              <w:jc w:val="right"/>
              <w:rPr>
                <w:noProof/>
                <w:color w:val="000000"/>
                <w:sz w:val="20"/>
                <w:szCs w:val="20"/>
                <w:lang w:eastAsia="en-IE"/>
              </w:rPr>
            </w:pPr>
            <w:r>
              <w:rPr>
                <w:noProof/>
                <w:color w:val="000000"/>
                <w:sz w:val="20"/>
                <w:szCs w:val="20"/>
              </w:rPr>
              <w:t>20.8</w:t>
            </w:r>
          </w:p>
        </w:tc>
        <w:tc>
          <w:tcPr>
            <w:tcW w:w="863" w:type="pct"/>
            <w:shd w:val="clear" w:color="000000" w:fill="FFFFFF"/>
            <w:noWrap/>
            <w:hideMark/>
          </w:tcPr>
          <w:p w14:paraId="777B0822" w14:textId="2E29D567" w:rsidR="008949E0" w:rsidRPr="00EA1417" w:rsidRDefault="008949E0" w:rsidP="008949E0">
            <w:pPr>
              <w:pStyle w:val="BodyText"/>
              <w:ind w:left="0"/>
              <w:jc w:val="right"/>
              <w:rPr>
                <w:noProof/>
                <w:color w:val="000000"/>
                <w:sz w:val="20"/>
                <w:szCs w:val="20"/>
                <w:lang w:eastAsia="en-IE"/>
              </w:rPr>
            </w:pPr>
            <w:r>
              <w:rPr>
                <w:noProof/>
                <w:color w:val="000000"/>
                <w:sz w:val="20"/>
                <w:szCs w:val="20"/>
              </w:rPr>
              <w:t>30.0</w:t>
            </w:r>
          </w:p>
        </w:tc>
        <w:tc>
          <w:tcPr>
            <w:tcW w:w="863" w:type="pct"/>
            <w:shd w:val="clear" w:color="000000" w:fill="FFFFFF"/>
            <w:noWrap/>
            <w:hideMark/>
          </w:tcPr>
          <w:p w14:paraId="45F3F76A" w14:textId="15ECAEE8" w:rsidR="008949E0" w:rsidRPr="00EA1417" w:rsidRDefault="008949E0" w:rsidP="008949E0">
            <w:pPr>
              <w:pStyle w:val="BodyText"/>
              <w:ind w:left="0"/>
              <w:jc w:val="right"/>
              <w:rPr>
                <w:noProof/>
                <w:color w:val="000000"/>
                <w:sz w:val="20"/>
                <w:szCs w:val="20"/>
                <w:lang w:eastAsia="en-IE"/>
              </w:rPr>
            </w:pPr>
            <w:r>
              <w:rPr>
                <w:noProof/>
                <w:color w:val="000000"/>
                <w:sz w:val="20"/>
                <w:szCs w:val="20"/>
              </w:rPr>
              <w:t>28.3</w:t>
            </w:r>
          </w:p>
        </w:tc>
        <w:tc>
          <w:tcPr>
            <w:tcW w:w="864" w:type="pct"/>
            <w:shd w:val="clear" w:color="000000" w:fill="FFFFFF"/>
            <w:hideMark/>
          </w:tcPr>
          <w:p w14:paraId="3B67691C" w14:textId="33FEAFA2" w:rsidR="008949E0" w:rsidRPr="00EA1417" w:rsidRDefault="008949E0" w:rsidP="008949E0">
            <w:pPr>
              <w:pStyle w:val="BodyText"/>
              <w:ind w:left="0"/>
              <w:jc w:val="right"/>
              <w:rPr>
                <w:noProof/>
                <w:color w:val="000000"/>
                <w:sz w:val="20"/>
                <w:szCs w:val="20"/>
                <w:lang w:eastAsia="en-IE"/>
              </w:rPr>
            </w:pPr>
            <w:r>
              <w:rPr>
                <w:noProof/>
                <w:color w:val="000000"/>
                <w:sz w:val="20"/>
                <w:szCs w:val="20"/>
              </w:rPr>
              <w:t>29.1</w:t>
            </w:r>
          </w:p>
        </w:tc>
      </w:tr>
      <w:tr w:rsidR="008949E0" w:rsidRPr="00D57180" w14:paraId="4D658135" w14:textId="77777777" w:rsidTr="00D220ED">
        <w:trPr>
          <w:trHeight w:val="282"/>
        </w:trPr>
        <w:tc>
          <w:tcPr>
            <w:tcW w:w="1547" w:type="pct"/>
            <w:shd w:val="clear" w:color="000000" w:fill="FFFFFF"/>
            <w:noWrap/>
            <w:hideMark/>
          </w:tcPr>
          <w:p w14:paraId="4D525F87" w14:textId="5E5FBB56" w:rsidR="008949E0" w:rsidRPr="00EA1417" w:rsidRDefault="008949E0" w:rsidP="008949E0">
            <w:pPr>
              <w:pStyle w:val="BodyText"/>
              <w:ind w:left="0"/>
              <w:rPr>
                <w:noProof/>
                <w:color w:val="000000"/>
                <w:sz w:val="20"/>
                <w:szCs w:val="20"/>
                <w:lang w:eastAsia="en-IE"/>
              </w:rPr>
            </w:pPr>
            <w:r w:rsidRPr="00EA1417">
              <w:rPr>
                <w:noProof/>
                <w:color w:val="000000"/>
                <w:sz w:val="20"/>
                <w:szCs w:val="20"/>
                <w:lang w:eastAsia="en-IE"/>
              </w:rPr>
              <w:t>Recurrent adjustment costs</w:t>
            </w:r>
          </w:p>
        </w:tc>
        <w:tc>
          <w:tcPr>
            <w:tcW w:w="863" w:type="pct"/>
            <w:shd w:val="clear" w:color="000000" w:fill="FFFFFF"/>
            <w:noWrap/>
            <w:hideMark/>
          </w:tcPr>
          <w:p w14:paraId="6C2791CF" w14:textId="4CA499EA" w:rsidR="008949E0" w:rsidRPr="00EA1417" w:rsidRDefault="008949E0" w:rsidP="008949E0">
            <w:pPr>
              <w:pStyle w:val="BodyText"/>
              <w:ind w:left="0"/>
              <w:jc w:val="right"/>
              <w:rPr>
                <w:noProof/>
                <w:color w:val="000000"/>
                <w:sz w:val="20"/>
                <w:szCs w:val="20"/>
                <w:lang w:eastAsia="en-IE"/>
              </w:rPr>
            </w:pPr>
            <w:r>
              <w:rPr>
                <w:noProof/>
                <w:color w:val="000000"/>
                <w:sz w:val="20"/>
                <w:szCs w:val="20"/>
              </w:rPr>
              <w:t>32.1</w:t>
            </w:r>
          </w:p>
        </w:tc>
        <w:tc>
          <w:tcPr>
            <w:tcW w:w="863" w:type="pct"/>
            <w:shd w:val="clear" w:color="000000" w:fill="FFFFFF"/>
            <w:noWrap/>
            <w:hideMark/>
          </w:tcPr>
          <w:p w14:paraId="4511B540" w14:textId="61B18B76" w:rsidR="008949E0" w:rsidRPr="00EA1417" w:rsidRDefault="008949E0" w:rsidP="008949E0">
            <w:pPr>
              <w:pStyle w:val="BodyText"/>
              <w:ind w:left="0"/>
              <w:jc w:val="right"/>
              <w:rPr>
                <w:noProof/>
                <w:color w:val="000000"/>
                <w:sz w:val="20"/>
                <w:szCs w:val="20"/>
                <w:lang w:eastAsia="en-IE"/>
              </w:rPr>
            </w:pPr>
            <w:r>
              <w:rPr>
                <w:noProof/>
                <w:color w:val="000000"/>
                <w:sz w:val="20"/>
                <w:szCs w:val="20"/>
              </w:rPr>
              <w:t>42.6</w:t>
            </w:r>
          </w:p>
        </w:tc>
        <w:tc>
          <w:tcPr>
            <w:tcW w:w="863" w:type="pct"/>
            <w:shd w:val="clear" w:color="000000" w:fill="FFFFFF"/>
            <w:noWrap/>
            <w:hideMark/>
          </w:tcPr>
          <w:p w14:paraId="53632640" w14:textId="73400575" w:rsidR="008949E0" w:rsidRPr="00EA1417" w:rsidRDefault="008949E0" w:rsidP="008949E0">
            <w:pPr>
              <w:pStyle w:val="BodyText"/>
              <w:ind w:left="0"/>
              <w:jc w:val="right"/>
              <w:rPr>
                <w:noProof/>
                <w:color w:val="000000"/>
                <w:sz w:val="20"/>
                <w:szCs w:val="20"/>
                <w:lang w:eastAsia="en-IE"/>
              </w:rPr>
            </w:pPr>
            <w:r>
              <w:rPr>
                <w:noProof/>
                <w:color w:val="000000"/>
                <w:sz w:val="20"/>
                <w:szCs w:val="20"/>
              </w:rPr>
              <w:t>41.1</w:t>
            </w:r>
          </w:p>
        </w:tc>
        <w:tc>
          <w:tcPr>
            <w:tcW w:w="864" w:type="pct"/>
            <w:shd w:val="clear" w:color="000000" w:fill="FFFFFF"/>
            <w:hideMark/>
          </w:tcPr>
          <w:p w14:paraId="1DBF4277" w14:textId="7A1E404D" w:rsidR="008949E0" w:rsidRPr="00EA1417" w:rsidRDefault="008949E0" w:rsidP="008949E0">
            <w:pPr>
              <w:pStyle w:val="BodyText"/>
              <w:ind w:left="0"/>
              <w:jc w:val="right"/>
              <w:rPr>
                <w:noProof/>
                <w:color w:val="000000"/>
                <w:sz w:val="20"/>
                <w:szCs w:val="20"/>
                <w:lang w:eastAsia="en-IE"/>
              </w:rPr>
            </w:pPr>
            <w:r>
              <w:rPr>
                <w:noProof/>
                <w:color w:val="000000"/>
                <w:sz w:val="20"/>
                <w:szCs w:val="20"/>
              </w:rPr>
              <w:t>41.8</w:t>
            </w:r>
          </w:p>
        </w:tc>
      </w:tr>
    </w:tbl>
    <w:p w14:paraId="244510A1" w14:textId="77777777" w:rsidR="00D37AEE" w:rsidRPr="00D71008" w:rsidRDefault="00D37AEE" w:rsidP="00D37AEE">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2B438341" w14:textId="529A3720" w:rsidR="00625422" w:rsidRPr="00EF3907" w:rsidRDefault="00EF3907" w:rsidP="007B2D8E">
      <w:pPr>
        <w:pStyle w:val="ListParagraph"/>
        <w:keepNext/>
        <w:widowControl/>
        <w:numPr>
          <w:ilvl w:val="2"/>
          <w:numId w:val="10"/>
        </w:numPr>
        <w:autoSpaceDE/>
        <w:autoSpaceDN/>
        <w:spacing w:after="240"/>
        <w:jc w:val="both"/>
        <w:outlineLvl w:val="2"/>
        <w:rPr>
          <w:i/>
          <w:iCs/>
          <w:noProof/>
          <w:sz w:val="24"/>
          <w:szCs w:val="24"/>
        </w:rPr>
      </w:pPr>
      <w:bookmarkStart w:id="1534" w:name="_Toc222749069"/>
      <w:bookmarkStart w:id="1535" w:name="_Toc223981133"/>
      <w:r w:rsidRPr="00EF3907">
        <w:rPr>
          <w:i/>
          <w:iCs/>
          <w:noProof/>
          <w:sz w:val="24"/>
          <w:szCs w:val="24"/>
        </w:rPr>
        <w:t>PM8 – Obligation for all B2B and B2C MDMS platforms to display information on GHG or CO</w:t>
      </w:r>
      <w:r w:rsidRPr="00516711">
        <w:rPr>
          <w:i/>
          <w:iCs/>
          <w:noProof/>
          <w:sz w:val="24"/>
          <w:szCs w:val="24"/>
          <w:vertAlign w:val="subscript"/>
        </w:rPr>
        <w:t>2</w:t>
      </w:r>
      <w:r w:rsidRPr="00EF3907">
        <w:rPr>
          <w:i/>
          <w:iCs/>
          <w:noProof/>
          <w:sz w:val="24"/>
          <w:szCs w:val="24"/>
        </w:rPr>
        <w:t xml:space="preserve"> emissions of trips (when these data are provided by the operators in line with and Count Emissions EU and Flight Emission Label)</w:t>
      </w:r>
      <w:bookmarkEnd w:id="1534"/>
      <w:bookmarkEnd w:id="1535"/>
    </w:p>
    <w:p w14:paraId="41249734" w14:textId="3C2BB868" w:rsidR="003A1070" w:rsidRPr="00804654" w:rsidRDefault="00804654" w:rsidP="00804654">
      <w:pPr>
        <w:pStyle w:val="Text4"/>
        <w:spacing w:before="0" w:after="240"/>
        <w:ind w:left="0"/>
        <w:rPr>
          <w:rFonts w:ascii="Times New Roman" w:eastAsia="Calibri" w:hAnsi="Times New Roman"/>
          <w:noProof/>
          <w:spacing w:val="-8"/>
          <w:sz w:val="24"/>
          <w:szCs w:val="24"/>
        </w:rPr>
      </w:pPr>
      <w:r w:rsidRPr="00804654">
        <w:rPr>
          <w:rFonts w:ascii="Times New Roman" w:eastAsia="Calibri" w:hAnsi="Times New Roman"/>
          <w:noProof/>
          <w:spacing w:val="-8"/>
          <w:sz w:val="24"/>
          <w:szCs w:val="24"/>
        </w:rPr>
        <w:t xml:space="preserve">In PM8, </w:t>
      </w:r>
      <w:r w:rsidR="00CA068D">
        <w:rPr>
          <w:rFonts w:ascii="Times New Roman" w:eastAsia="Calibri" w:hAnsi="Times New Roman"/>
          <w:noProof/>
          <w:spacing w:val="-8"/>
          <w:sz w:val="24"/>
          <w:szCs w:val="24"/>
        </w:rPr>
        <w:t xml:space="preserve">non-SME </w:t>
      </w:r>
      <w:r w:rsidRPr="00804654">
        <w:rPr>
          <w:rFonts w:ascii="Times New Roman" w:eastAsia="Calibri" w:hAnsi="Times New Roman"/>
          <w:noProof/>
          <w:spacing w:val="-8"/>
          <w:sz w:val="24"/>
          <w:szCs w:val="24"/>
        </w:rPr>
        <w:t>MDMS platforms</w:t>
      </w:r>
      <w:r w:rsidR="007909D8">
        <w:rPr>
          <w:rFonts w:ascii="Times New Roman" w:eastAsia="Calibri" w:hAnsi="Times New Roman"/>
          <w:noProof/>
          <w:spacing w:val="-8"/>
          <w:sz w:val="24"/>
          <w:szCs w:val="24"/>
        </w:rPr>
        <w:t xml:space="preserve"> (</w:t>
      </w:r>
      <w:r w:rsidR="00CA068D">
        <w:rPr>
          <w:rFonts w:ascii="Times New Roman" w:eastAsia="Calibri" w:hAnsi="Times New Roman"/>
          <w:noProof/>
          <w:spacing w:val="-8"/>
          <w:sz w:val="24"/>
          <w:szCs w:val="24"/>
        </w:rPr>
        <w:t>non-SME</w:t>
      </w:r>
      <w:r w:rsidR="007909D8">
        <w:rPr>
          <w:rFonts w:ascii="Times New Roman" w:eastAsia="Calibri" w:hAnsi="Times New Roman"/>
          <w:noProof/>
          <w:spacing w:val="-8"/>
          <w:sz w:val="24"/>
          <w:szCs w:val="24"/>
        </w:rPr>
        <w:t xml:space="preserve"> </w:t>
      </w:r>
      <w:r w:rsidR="007909D8" w:rsidRPr="007909D8">
        <w:rPr>
          <w:rFonts w:ascii="Times New Roman" w:eastAsia="Calibri" w:hAnsi="Times New Roman"/>
          <w:noProof/>
          <w:spacing w:val="-8"/>
          <w:sz w:val="24"/>
          <w:szCs w:val="24"/>
        </w:rPr>
        <w:t>B2B and B2C MDMS platforms</w:t>
      </w:r>
      <w:r w:rsidR="007909D8">
        <w:rPr>
          <w:rFonts w:ascii="Times New Roman" w:eastAsia="Calibri" w:hAnsi="Times New Roman"/>
          <w:noProof/>
          <w:spacing w:val="-8"/>
          <w:sz w:val="24"/>
          <w:szCs w:val="24"/>
        </w:rPr>
        <w:t>)</w:t>
      </w:r>
      <w:r w:rsidR="00E92EC2">
        <w:rPr>
          <w:rFonts w:ascii="Times New Roman" w:eastAsia="Calibri" w:hAnsi="Times New Roman"/>
          <w:noProof/>
          <w:spacing w:val="-8"/>
          <w:sz w:val="24"/>
          <w:szCs w:val="24"/>
        </w:rPr>
        <w:t xml:space="preserve"> will need to </w:t>
      </w:r>
      <w:r w:rsidRPr="00804654">
        <w:rPr>
          <w:rFonts w:ascii="Times New Roman" w:eastAsia="Calibri" w:hAnsi="Times New Roman"/>
          <w:noProof/>
          <w:spacing w:val="-8"/>
          <w:sz w:val="24"/>
          <w:szCs w:val="24"/>
        </w:rPr>
        <w:t>provide clear, transparent and accessible information on the greenhouse gas emissions of the travel options displayed, whenever such information is shared by transport operators. Based on Count Emissions EU and Flight Emission Label operators are expected to share these data in a specific format.</w:t>
      </w:r>
    </w:p>
    <w:p w14:paraId="13707549" w14:textId="77777777" w:rsidR="00904123" w:rsidRDefault="00904123" w:rsidP="00904123">
      <w:pPr>
        <w:pStyle w:val="Text4"/>
        <w:spacing w:before="0"/>
        <w:ind w:left="0"/>
        <w:rPr>
          <w:rFonts w:ascii="Times New Roman" w:eastAsia="Calibri" w:hAnsi="Times New Roman"/>
          <w:noProof/>
          <w:spacing w:val="-8"/>
          <w:sz w:val="24"/>
          <w:szCs w:val="24"/>
        </w:rPr>
      </w:pPr>
      <w:r w:rsidRPr="0003158F">
        <w:rPr>
          <w:rFonts w:ascii="Times New Roman" w:eastAsia="Calibri" w:hAnsi="Times New Roman"/>
          <w:noProof/>
          <w:spacing w:val="-8"/>
          <w:sz w:val="24"/>
          <w:szCs w:val="24"/>
        </w:rPr>
        <w:t>The measure is expected to result in:</w:t>
      </w:r>
    </w:p>
    <w:p w14:paraId="6B5E9FB0" w14:textId="744E485E" w:rsidR="00255412" w:rsidRPr="00255412" w:rsidRDefault="00255412" w:rsidP="001979E4">
      <w:pPr>
        <w:pStyle w:val="Nornal"/>
        <w:numPr>
          <w:ilvl w:val="0"/>
          <w:numId w:val="20"/>
        </w:numPr>
        <w:spacing w:after="120" w:line="240" w:lineRule="auto"/>
        <w:ind w:left="284" w:hanging="284"/>
        <w:rPr>
          <w:rFonts w:cs="Arial"/>
          <w:noProof/>
          <w:spacing w:val="-8"/>
          <w:sz w:val="24"/>
          <w:szCs w:val="24"/>
        </w:rPr>
      </w:pPr>
      <w:r w:rsidRPr="00255412">
        <w:rPr>
          <w:rFonts w:cs="Arial"/>
          <w:noProof/>
          <w:spacing w:val="-8"/>
          <w:sz w:val="24"/>
          <w:szCs w:val="24"/>
        </w:rPr>
        <w:t xml:space="preserve">Adjustment costs for </w:t>
      </w:r>
      <w:r w:rsidR="00CA068D">
        <w:rPr>
          <w:rFonts w:cs="Arial"/>
          <w:noProof/>
          <w:spacing w:val="-8"/>
          <w:sz w:val="24"/>
          <w:szCs w:val="24"/>
        </w:rPr>
        <w:t>non-SME</w:t>
      </w:r>
      <w:r w:rsidRPr="00255412">
        <w:rPr>
          <w:rFonts w:cs="Arial"/>
          <w:noProof/>
          <w:spacing w:val="-8"/>
          <w:sz w:val="24"/>
          <w:szCs w:val="24"/>
        </w:rPr>
        <w:t xml:space="preserve"> MDMS platforms for presenting GHG and CO2 data when available, of which:</w:t>
      </w:r>
    </w:p>
    <w:p w14:paraId="2821125C" w14:textId="77777777" w:rsidR="00255412" w:rsidRPr="00255412" w:rsidRDefault="00255412" w:rsidP="001979E4">
      <w:pPr>
        <w:pStyle w:val="Nornal"/>
        <w:numPr>
          <w:ilvl w:val="1"/>
          <w:numId w:val="31"/>
        </w:numPr>
        <w:spacing w:after="120" w:line="240" w:lineRule="auto"/>
        <w:ind w:left="567" w:hanging="283"/>
        <w:rPr>
          <w:rFonts w:cs="Arial"/>
          <w:noProof/>
          <w:spacing w:val="-8"/>
          <w:sz w:val="24"/>
          <w:szCs w:val="24"/>
        </w:rPr>
      </w:pPr>
      <w:r w:rsidRPr="00255412">
        <w:rPr>
          <w:rFonts w:cs="Arial"/>
          <w:noProof/>
          <w:spacing w:val="-8"/>
          <w:sz w:val="24"/>
          <w:szCs w:val="24"/>
        </w:rPr>
        <w:t xml:space="preserve">One-off adjustment costs for IT development to adjust their display criteria. </w:t>
      </w:r>
    </w:p>
    <w:p w14:paraId="3D0CF081" w14:textId="5D681D1F" w:rsidR="00255412" w:rsidRPr="00255412" w:rsidRDefault="00255412" w:rsidP="001979E4">
      <w:pPr>
        <w:pStyle w:val="Nornal"/>
        <w:numPr>
          <w:ilvl w:val="1"/>
          <w:numId w:val="31"/>
        </w:numPr>
        <w:spacing w:after="240" w:line="240" w:lineRule="auto"/>
        <w:ind w:left="568" w:hanging="284"/>
        <w:rPr>
          <w:rFonts w:cs="Arial"/>
          <w:noProof/>
          <w:spacing w:val="-8"/>
          <w:sz w:val="24"/>
          <w:szCs w:val="24"/>
        </w:rPr>
      </w:pPr>
      <w:r w:rsidRPr="00255412">
        <w:rPr>
          <w:rFonts w:cs="Arial"/>
          <w:noProof/>
          <w:spacing w:val="-8"/>
          <w:sz w:val="24"/>
          <w:szCs w:val="24"/>
        </w:rPr>
        <w:t>Recurrent adjustment costs for system maintenance</w:t>
      </w:r>
      <w:r w:rsidR="009D4CA7">
        <w:rPr>
          <w:rFonts w:cs="Arial"/>
          <w:noProof/>
          <w:spacing w:val="-8"/>
          <w:sz w:val="24"/>
          <w:szCs w:val="24"/>
        </w:rPr>
        <w:t>.</w:t>
      </w:r>
      <w:r w:rsidRPr="00255412">
        <w:rPr>
          <w:rFonts w:cs="Arial"/>
          <w:noProof/>
          <w:spacing w:val="-8"/>
          <w:sz w:val="24"/>
          <w:szCs w:val="24"/>
        </w:rPr>
        <w:t xml:space="preserve"> </w:t>
      </w:r>
    </w:p>
    <w:p w14:paraId="364FFC7F" w14:textId="4787FB7B" w:rsidR="00255412" w:rsidRPr="006D42D9" w:rsidRDefault="00255412" w:rsidP="00255412">
      <w:pPr>
        <w:pStyle w:val="Text1"/>
        <w:ind w:left="0"/>
        <w:rPr>
          <w:i/>
          <w:noProof/>
          <w:szCs w:val="24"/>
        </w:rPr>
      </w:pPr>
      <w:r>
        <w:rPr>
          <w:i/>
          <w:noProof/>
          <w:szCs w:val="24"/>
        </w:rPr>
        <w:t>One-off and recurrent adjustment</w:t>
      </w:r>
      <w:r w:rsidRPr="006D42D9">
        <w:rPr>
          <w:i/>
          <w:noProof/>
          <w:szCs w:val="24"/>
        </w:rPr>
        <w:t xml:space="preserve"> costs for</w:t>
      </w:r>
      <w:r>
        <w:rPr>
          <w:i/>
          <w:noProof/>
          <w:szCs w:val="24"/>
        </w:rPr>
        <w:t xml:space="preserve"> </w:t>
      </w:r>
      <w:r w:rsidR="00CA068D">
        <w:rPr>
          <w:i/>
          <w:noProof/>
          <w:szCs w:val="24"/>
        </w:rPr>
        <w:t>non-SME</w:t>
      </w:r>
      <w:r>
        <w:rPr>
          <w:i/>
          <w:noProof/>
          <w:szCs w:val="24"/>
        </w:rPr>
        <w:t xml:space="preserve"> MDMS platforms</w:t>
      </w:r>
    </w:p>
    <w:p w14:paraId="0939085C" w14:textId="4F754FEE" w:rsidR="00760553" w:rsidRDefault="00464BFA" w:rsidP="00731283">
      <w:pPr>
        <w:pStyle w:val="Text4"/>
        <w:spacing w:before="0" w:after="240"/>
        <w:ind w:left="0"/>
        <w:rPr>
          <w:rFonts w:ascii="Times New Roman" w:eastAsia="Calibri" w:hAnsi="Times New Roman"/>
          <w:noProof/>
          <w:spacing w:val="-8"/>
          <w:sz w:val="24"/>
          <w:szCs w:val="24"/>
        </w:rPr>
      </w:pPr>
      <w:r w:rsidRPr="003D2AFD">
        <w:rPr>
          <w:rFonts w:ascii="Times New Roman" w:eastAsia="Calibri" w:hAnsi="Times New Roman"/>
          <w:noProof/>
          <w:spacing w:val="-8"/>
          <w:sz w:val="24"/>
          <w:szCs w:val="24"/>
        </w:rPr>
        <w:t>The estimate of the one-off adjustment cost</w:t>
      </w:r>
      <w:r w:rsidRPr="00896106">
        <w:rPr>
          <w:rFonts w:ascii="Times New Roman" w:eastAsia="Calibri" w:hAnsi="Times New Roman"/>
          <w:noProof/>
          <w:spacing w:val="-8"/>
          <w:sz w:val="24"/>
          <w:szCs w:val="24"/>
        </w:rPr>
        <w:t>s</w:t>
      </w:r>
      <w:r w:rsidRPr="003D2AFD">
        <w:rPr>
          <w:rFonts w:ascii="Times New Roman" w:eastAsia="Calibri" w:hAnsi="Times New Roman"/>
          <w:noProof/>
          <w:spacing w:val="-8"/>
          <w:sz w:val="24"/>
          <w:szCs w:val="24"/>
        </w:rPr>
        <w:t xml:space="preserve"> for </w:t>
      </w:r>
      <w:r w:rsidR="00C149B0">
        <w:rPr>
          <w:rFonts w:ascii="Times New Roman" w:eastAsia="Calibri" w:hAnsi="Times New Roman"/>
          <w:noProof/>
          <w:spacing w:val="-8"/>
          <w:sz w:val="24"/>
          <w:szCs w:val="24"/>
        </w:rPr>
        <w:t>non-SME</w:t>
      </w:r>
      <w:r w:rsidRPr="00896106">
        <w:rPr>
          <w:rFonts w:ascii="Times New Roman" w:eastAsia="Calibri" w:hAnsi="Times New Roman"/>
          <w:noProof/>
          <w:spacing w:val="-8"/>
          <w:sz w:val="24"/>
          <w:szCs w:val="24"/>
        </w:rPr>
        <w:t xml:space="preserve"> MDMS </w:t>
      </w:r>
      <w:r w:rsidRPr="003D2AFD">
        <w:rPr>
          <w:rFonts w:ascii="Times New Roman" w:eastAsia="Calibri" w:hAnsi="Times New Roman"/>
          <w:noProof/>
          <w:spacing w:val="-8"/>
          <w:sz w:val="24"/>
          <w:szCs w:val="24"/>
        </w:rPr>
        <w:t xml:space="preserve">platforms to adjust their systems to display the relevant environmental information draws on stakeholder feedback on the software‑engineering effort needed to implement the upgrade. </w:t>
      </w:r>
      <w:r w:rsidR="00896106" w:rsidRPr="00896106">
        <w:rPr>
          <w:rFonts w:ascii="Times New Roman" w:eastAsia="Calibri" w:hAnsi="Times New Roman"/>
          <w:noProof/>
          <w:spacing w:val="-8"/>
          <w:sz w:val="24"/>
          <w:szCs w:val="24"/>
        </w:rPr>
        <w:t xml:space="preserve">Since </w:t>
      </w:r>
      <w:r w:rsidR="00C149B0">
        <w:rPr>
          <w:rFonts w:ascii="Times New Roman" w:eastAsia="Calibri" w:hAnsi="Times New Roman"/>
          <w:noProof/>
          <w:spacing w:val="-8"/>
          <w:sz w:val="24"/>
          <w:szCs w:val="24"/>
        </w:rPr>
        <w:t>non-SME</w:t>
      </w:r>
      <w:r w:rsidR="00896106" w:rsidRPr="00896106">
        <w:rPr>
          <w:rFonts w:ascii="Times New Roman" w:eastAsia="Calibri" w:hAnsi="Times New Roman"/>
          <w:noProof/>
          <w:spacing w:val="-8"/>
          <w:sz w:val="24"/>
          <w:szCs w:val="24"/>
        </w:rPr>
        <w:t xml:space="preserve"> MDMS platforms must also modify how transport offers are displayed to ensure a neutral presentation, including if they choose to do so with the integration of GHG and CO₂ criteria, it is reasonable to assume that they will leverage economies of scale and simultaneously update their interfaces to include information on GHG and CO₂ emissions.</w:t>
      </w:r>
      <w:r w:rsidR="00731283">
        <w:rPr>
          <w:rFonts w:ascii="Times New Roman" w:eastAsia="Calibri" w:hAnsi="Times New Roman"/>
          <w:noProof/>
          <w:spacing w:val="-8"/>
          <w:sz w:val="24"/>
          <w:szCs w:val="24"/>
        </w:rPr>
        <w:t xml:space="preserve"> </w:t>
      </w:r>
      <w:r w:rsidRPr="003D2AFD">
        <w:rPr>
          <w:rFonts w:ascii="Times New Roman" w:eastAsia="Calibri" w:hAnsi="Times New Roman"/>
          <w:noProof/>
          <w:spacing w:val="-8"/>
          <w:sz w:val="24"/>
          <w:szCs w:val="24"/>
        </w:rPr>
        <w:t>Approximately 90</w:t>
      </w:r>
      <w:r w:rsidRPr="003D2AFD">
        <w:rPr>
          <w:rFonts w:ascii="Times New Roman" w:hAnsi="Times New Roman"/>
          <w:noProof/>
          <w:spacing w:val="-8"/>
          <w:sz w:val="24"/>
          <w:szCs w:val="24"/>
        </w:rPr>
        <w:t xml:space="preserve"> working days are estimated to be required for a software technician to carry out the upgrade</w:t>
      </w:r>
      <w:r w:rsidR="00731283">
        <w:rPr>
          <w:rFonts w:ascii="Times New Roman" w:hAnsi="Times New Roman"/>
          <w:noProof/>
          <w:spacing w:val="-8"/>
          <w:sz w:val="24"/>
          <w:szCs w:val="24"/>
        </w:rPr>
        <w:t xml:space="preserve">, </w:t>
      </w:r>
      <w:r w:rsidR="00D56A9A">
        <w:rPr>
          <w:rFonts w:ascii="Times New Roman" w:hAnsi="Times New Roman"/>
          <w:noProof/>
          <w:spacing w:val="-8"/>
          <w:sz w:val="24"/>
          <w:szCs w:val="24"/>
        </w:rPr>
        <w:t>considering</w:t>
      </w:r>
      <w:r w:rsidR="00731283">
        <w:rPr>
          <w:rFonts w:ascii="Times New Roman" w:hAnsi="Times New Roman"/>
          <w:noProof/>
          <w:spacing w:val="-8"/>
          <w:sz w:val="24"/>
          <w:szCs w:val="24"/>
        </w:rPr>
        <w:t xml:space="preserve"> the </w:t>
      </w:r>
      <w:r w:rsidR="00D56A9A">
        <w:rPr>
          <w:rFonts w:ascii="Times New Roman" w:hAnsi="Times New Roman"/>
          <w:noProof/>
          <w:spacing w:val="-8"/>
          <w:sz w:val="24"/>
          <w:szCs w:val="24"/>
        </w:rPr>
        <w:t>synergies</w:t>
      </w:r>
      <w:r w:rsidR="00731283">
        <w:rPr>
          <w:rFonts w:ascii="Times New Roman" w:hAnsi="Times New Roman"/>
          <w:noProof/>
          <w:spacing w:val="-8"/>
          <w:sz w:val="24"/>
          <w:szCs w:val="24"/>
        </w:rPr>
        <w:t xml:space="preserve"> with</w:t>
      </w:r>
      <w:r w:rsidR="00D56A9A">
        <w:rPr>
          <w:rFonts w:ascii="Times New Roman" w:hAnsi="Times New Roman"/>
          <w:noProof/>
          <w:spacing w:val="-8"/>
          <w:sz w:val="24"/>
          <w:szCs w:val="24"/>
        </w:rPr>
        <w:t xml:space="preserve"> </w:t>
      </w:r>
      <w:r w:rsidR="00D56A9A" w:rsidRPr="003D2AFD">
        <w:rPr>
          <w:rFonts w:ascii="Times New Roman" w:eastAsia="Calibri" w:hAnsi="Times New Roman"/>
          <w:noProof/>
          <w:spacing w:val="-8"/>
          <w:sz w:val="24"/>
          <w:szCs w:val="24"/>
        </w:rPr>
        <w:t>PM1</w:t>
      </w:r>
      <w:r w:rsidR="00D56A9A">
        <w:rPr>
          <w:rFonts w:ascii="Times New Roman" w:hAnsi="Times New Roman"/>
          <w:noProof/>
          <w:spacing w:val="-8"/>
          <w:sz w:val="24"/>
          <w:szCs w:val="24"/>
        </w:rPr>
        <w:t xml:space="preserve"> (neutral display),</w:t>
      </w:r>
      <w:r w:rsidR="00D56A9A" w:rsidRPr="003D2AFD">
        <w:rPr>
          <w:rFonts w:ascii="Times New Roman" w:eastAsia="Calibri" w:hAnsi="Times New Roman"/>
          <w:noProof/>
          <w:spacing w:val="-8"/>
          <w:sz w:val="24"/>
          <w:szCs w:val="24"/>
        </w:rPr>
        <w:t xml:space="preserve"> </w:t>
      </w:r>
      <w:r w:rsidR="00D56A9A">
        <w:rPr>
          <w:rFonts w:ascii="Times New Roman" w:eastAsia="Calibri" w:hAnsi="Times New Roman"/>
          <w:noProof/>
          <w:spacing w:val="-8"/>
          <w:sz w:val="24"/>
          <w:szCs w:val="24"/>
        </w:rPr>
        <w:t>PM2 (e</w:t>
      </w:r>
      <w:r w:rsidR="00D56A9A" w:rsidRPr="00132005">
        <w:rPr>
          <w:rFonts w:ascii="Times New Roman" w:eastAsia="Calibri" w:hAnsi="Times New Roman"/>
          <w:noProof/>
          <w:spacing w:val="-8"/>
          <w:sz w:val="24"/>
          <w:szCs w:val="24"/>
        </w:rPr>
        <w:t>qual care for data</w:t>
      </w:r>
      <w:r w:rsidR="00D56A9A">
        <w:rPr>
          <w:rFonts w:ascii="Times New Roman" w:eastAsia="Calibri" w:hAnsi="Times New Roman"/>
          <w:noProof/>
          <w:spacing w:val="-8"/>
          <w:sz w:val="24"/>
          <w:szCs w:val="24"/>
        </w:rPr>
        <w:t>) and PM3 (m</w:t>
      </w:r>
      <w:r w:rsidR="00D56A9A" w:rsidRPr="002149A7">
        <w:rPr>
          <w:rFonts w:ascii="Times New Roman" w:eastAsia="Calibri" w:hAnsi="Times New Roman"/>
          <w:noProof/>
          <w:spacing w:val="-8"/>
          <w:sz w:val="24"/>
          <w:szCs w:val="24"/>
        </w:rPr>
        <w:t>arketing and booking data sharing</w:t>
      </w:r>
      <w:r w:rsidR="00D56A9A">
        <w:rPr>
          <w:rFonts w:ascii="Times New Roman" w:eastAsia="Calibri" w:hAnsi="Times New Roman"/>
          <w:noProof/>
          <w:spacing w:val="-8"/>
          <w:sz w:val="24"/>
          <w:szCs w:val="24"/>
        </w:rPr>
        <w:t>)</w:t>
      </w:r>
      <w:r w:rsidRPr="003D2AFD">
        <w:rPr>
          <w:rFonts w:ascii="Times New Roman" w:eastAsia="Calibri" w:hAnsi="Times New Roman"/>
          <w:noProof/>
          <w:spacing w:val="-8"/>
          <w:sz w:val="24"/>
          <w:szCs w:val="24"/>
        </w:rPr>
        <w:t>. Th</w:t>
      </w:r>
      <w:r w:rsidR="00D56A9A">
        <w:rPr>
          <w:rFonts w:ascii="Times New Roman" w:eastAsia="Calibri" w:hAnsi="Times New Roman"/>
          <w:noProof/>
          <w:spacing w:val="-8"/>
          <w:sz w:val="24"/>
          <w:szCs w:val="24"/>
        </w:rPr>
        <w:t>e</w:t>
      </w:r>
      <w:r w:rsidRPr="003D2AFD">
        <w:rPr>
          <w:rFonts w:ascii="Times New Roman" w:eastAsia="Calibri" w:hAnsi="Times New Roman"/>
          <w:noProof/>
          <w:spacing w:val="-8"/>
          <w:sz w:val="24"/>
          <w:szCs w:val="24"/>
        </w:rPr>
        <w:t xml:space="preserve"> </w:t>
      </w:r>
      <w:r w:rsidR="00760553">
        <w:rPr>
          <w:rFonts w:ascii="Times New Roman" w:eastAsia="Calibri" w:hAnsi="Times New Roman"/>
          <w:noProof/>
          <w:spacing w:val="-8"/>
          <w:sz w:val="24"/>
          <w:szCs w:val="24"/>
        </w:rPr>
        <w:t xml:space="preserve">one-off </w:t>
      </w:r>
      <w:r w:rsidRPr="003D2AFD">
        <w:rPr>
          <w:rFonts w:ascii="Times New Roman" w:eastAsia="Calibri" w:hAnsi="Times New Roman"/>
          <w:noProof/>
          <w:spacing w:val="-8"/>
          <w:sz w:val="24"/>
          <w:szCs w:val="24"/>
        </w:rPr>
        <w:t>cost</w:t>
      </w:r>
      <w:r w:rsidR="00D56A9A">
        <w:rPr>
          <w:rFonts w:ascii="Times New Roman" w:eastAsia="Calibri" w:hAnsi="Times New Roman"/>
          <w:noProof/>
          <w:spacing w:val="-8"/>
          <w:sz w:val="24"/>
          <w:szCs w:val="24"/>
        </w:rPr>
        <w:t xml:space="preserve"> per MDMS platform</w:t>
      </w:r>
      <w:r w:rsidRPr="003D2AFD">
        <w:rPr>
          <w:rFonts w:ascii="Times New Roman" w:eastAsia="Calibri" w:hAnsi="Times New Roman"/>
          <w:noProof/>
          <w:spacing w:val="-8"/>
          <w:sz w:val="24"/>
          <w:szCs w:val="24"/>
        </w:rPr>
        <w:t xml:space="preserve"> is estimated at EUR 23,125. This is multiplied by the number of </w:t>
      </w:r>
      <w:r w:rsidR="00C149B0">
        <w:rPr>
          <w:rFonts w:ascii="Times New Roman" w:eastAsia="Calibri" w:hAnsi="Times New Roman"/>
          <w:noProof/>
          <w:spacing w:val="-8"/>
          <w:sz w:val="24"/>
          <w:szCs w:val="24"/>
        </w:rPr>
        <w:t>non-SME</w:t>
      </w:r>
      <w:r w:rsidRPr="003D2AFD">
        <w:rPr>
          <w:rFonts w:ascii="Times New Roman" w:eastAsia="Calibri" w:hAnsi="Times New Roman"/>
          <w:noProof/>
          <w:spacing w:val="-8"/>
          <w:sz w:val="24"/>
          <w:szCs w:val="24"/>
        </w:rPr>
        <w:t xml:space="preserve"> MDMS platforms </w:t>
      </w:r>
      <w:r w:rsidR="00760553">
        <w:rPr>
          <w:rFonts w:ascii="Times New Roman" w:eastAsia="Calibri" w:hAnsi="Times New Roman"/>
          <w:noProof/>
          <w:spacing w:val="-8"/>
          <w:sz w:val="24"/>
          <w:szCs w:val="24"/>
        </w:rPr>
        <w:t xml:space="preserve">projected to be </w:t>
      </w:r>
      <w:r w:rsidRPr="003D2AFD">
        <w:rPr>
          <w:rFonts w:ascii="Times New Roman" w:eastAsia="Calibri" w:hAnsi="Times New Roman"/>
          <w:noProof/>
          <w:spacing w:val="-8"/>
          <w:sz w:val="24"/>
          <w:szCs w:val="24"/>
        </w:rPr>
        <w:t>operational in 2028</w:t>
      </w:r>
      <w:r w:rsidR="00760553">
        <w:rPr>
          <w:rFonts w:ascii="Times New Roman" w:eastAsia="Calibri" w:hAnsi="Times New Roman"/>
          <w:noProof/>
          <w:spacing w:val="-8"/>
          <w:sz w:val="24"/>
          <w:szCs w:val="24"/>
        </w:rPr>
        <w:t xml:space="preserve"> (i.e. the year of implementation) and the number of </w:t>
      </w:r>
      <w:r w:rsidRPr="003D2AFD">
        <w:rPr>
          <w:rFonts w:ascii="Times New Roman" w:eastAsia="Calibri" w:hAnsi="Times New Roman"/>
          <w:noProof/>
          <w:spacing w:val="-8"/>
          <w:sz w:val="24"/>
          <w:szCs w:val="24"/>
        </w:rPr>
        <w:t xml:space="preserve">new </w:t>
      </w:r>
      <w:r w:rsidR="00F37F70">
        <w:rPr>
          <w:rFonts w:ascii="Times New Roman" w:eastAsia="Calibri" w:hAnsi="Times New Roman"/>
          <w:noProof/>
          <w:spacing w:val="-8"/>
          <w:sz w:val="24"/>
          <w:szCs w:val="24"/>
        </w:rPr>
        <w:t>non-SME</w:t>
      </w:r>
      <w:r w:rsidRPr="003D2AFD">
        <w:rPr>
          <w:rFonts w:ascii="Times New Roman" w:eastAsia="Calibri" w:hAnsi="Times New Roman"/>
          <w:noProof/>
          <w:spacing w:val="-8"/>
          <w:sz w:val="24"/>
          <w:szCs w:val="24"/>
        </w:rPr>
        <w:t xml:space="preserve"> MDMS </w:t>
      </w:r>
      <w:r w:rsidR="00760553">
        <w:rPr>
          <w:rFonts w:ascii="Times New Roman" w:eastAsia="Calibri" w:hAnsi="Times New Roman"/>
          <w:noProof/>
          <w:spacing w:val="-8"/>
          <w:sz w:val="24"/>
          <w:szCs w:val="24"/>
        </w:rPr>
        <w:t xml:space="preserve">platforms </w:t>
      </w:r>
      <w:r w:rsidRPr="003D2AFD">
        <w:rPr>
          <w:rFonts w:ascii="Times New Roman" w:eastAsia="Calibri" w:hAnsi="Times New Roman"/>
          <w:noProof/>
          <w:spacing w:val="-8"/>
          <w:sz w:val="24"/>
          <w:szCs w:val="24"/>
        </w:rPr>
        <w:t xml:space="preserve">entering the market </w:t>
      </w:r>
      <w:r w:rsidR="00760553">
        <w:rPr>
          <w:rFonts w:ascii="Times New Roman" w:eastAsia="Calibri" w:hAnsi="Times New Roman"/>
          <w:noProof/>
          <w:spacing w:val="-8"/>
          <w:sz w:val="24"/>
          <w:szCs w:val="24"/>
        </w:rPr>
        <w:t>from 2029 onwards.</w:t>
      </w:r>
      <w:r w:rsidRPr="003D2AFD">
        <w:rPr>
          <w:rFonts w:ascii="Times New Roman" w:eastAsia="Calibri" w:hAnsi="Times New Roman"/>
          <w:noProof/>
          <w:spacing w:val="-8"/>
          <w:sz w:val="24"/>
          <w:szCs w:val="24"/>
        </w:rPr>
        <w:t xml:space="preserve"> </w:t>
      </w:r>
    </w:p>
    <w:p w14:paraId="0267583B" w14:textId="36CDC184" w:rsidR="00464BFA" w:rsidRPr="003D2AFD" w:rsidRDefault="00464BFA" w:rsidP="00731283">
      <w:pPr>
        <w:pStyle w:val="Text4"/>
        <w:spacing w:before="0" w:after="240"/>
        <w:ind w:left="0"/>
        <w:rPr>
          <w:rFonts w:ascii="Times New Roman" w:eastAsia="Calibri" w:hAnsi="Times New Roman"/>
          <w:noProof/>
          <w:spacing w:val="-8"/>
          <w:sz w:val="24"/>
          <w:szCs w:val="24"/>
        </w:rPr>
      </w:pPr>
      <w:r w:rsidRPr="003D2AFD">
        <w:rPr>
          <w:rFonts w:ascii="Times New Roman" w:eastAsia="Calibri" w:hAnsi="Times New Roman"/>
          <w:noProof/>
          <w:spacing w:val="-8"/>
          <w:sz w:val="24"/>
          <w:szCs w:val="24"/>
        </w:rPr>
        <w:t xml:space="preserve">In addition, </w:t>
      </w:r>
      <w:r w:rsidR="000D2085">
        <w:rPr>
          <w:rFonts w:ascii="Times New Roman" w:eastAsia="Calibri" w:hAnsi="Times New Roman"/>
          <w:noProof/>
          <w:spacing w:val="-8"/>
          <w:sz w:val="24"/>
          <w:szCs w:val="24"/>
        </w:rPr>
        <w:t xml:space="preserve">recurrent adjustment costs of </w:t>
      </w:r>
      <w:r w:rsidRPr="003D2AFD">
        <w:rPr>
          <w:rFonts w:ascii="Times New Roman" w:eastAsia="Calibri" w:hAnsi="Times New Roman"/>
          <w:noProof/>
          <w:spacing w:val="-8"/>
          <w:sz w:val="24"/>
          <w:szCs w:val="24"/>
        </w:rPr>
        <w:t xml:space="preserve">10% </w:t>
      </w:r>
      <w:r w:rsidR="000D2085">
        <w:rPr>
          <w:rFonts w:ascii="Times New Roman" w:eastAsia="Calibri" w:hAnsi="Times New Roman"/>
          <w:noProof/>
          <w:spacing w:val="-8"/>
          <w:sz w:val="24"/>
          <w:szCs w:val="24"/>
        </w:rPr>
        <w:t xml:space="preserve">of the upgrade costs are assumed for the </w:t>
      </w:r>
      <w:r w:rsidRPr="003D2AFD">
        <w:rPr>
          <w:rFonts w:ascii="Times New Roman" w:eastAsia="Calibri" w:hAnsi="Times New Roman"/>
          <w:noProof/>
          <w:spacing w:val="-8"/>
          <w:sz w:val="24"/>
          <w:szCs w:val="24"/>
        </w:rPr>
        <w:t>annual system</w:t>
      </w:r>
      <w:r w:rsidR="000D2085">
        <w:rPr>
          <w:rFonts w:ascii="Times New Roman" w:eastAsia="Calibri" w:hAnsi="Times New Roman"/>
          <w:noProof/>
          <w:spacing w:val="-8"/>
          <w:sz w:val="24"/>
          <w:szCs w:val="24"/>
        </w:rPr>
        <w:t xml:space="preserve"> </w:t>
      </w:r>
      <w:r w:rsidRPr="003D2AFD">
        <w:rPr>
          <w:rFonts w:ascii="Times New Roman" w:eastAsia="Calibri" w:hAnsi="Times New Roman"/>
          <w:noProof/>
          <w:spacing w:val="-8"/>
          <w:sz w:val="24"/>
          <w:szCs w:val="24"/>
        </w:rPr>
        <w:t>maintenance</w:t>
      </w:r>
      <w:r w:rsidR="0006768B">
        <w:rPr>
          <w:rFonts w:ascii="Times New Roman" w:eastAsia="Calibri" w:hAnsi="Times New Roman"/>
          <w:noProof/>
          <w:spacing w:val="-8"/>
          <w:sz w:val="24"/>
          <w:szCs w:val="24"/>
        </w:rPr>
        <w:t xml:space="preserve"> (i.e. </w:t>
      </w:r>
      <w:r w:rsidR="0006768B" w:rsidRPr="00377519">
        <w:rPr>
          <w:rFonts w:ascii="Times New Roman" w:eastAsia="Calibri" w:hAnsi="Times New Roman"/>
          <w:noProof/>
          <w:spacing w:val="-8"/>
          <w:sz w:val="24"/>
          <w:szCs w:val="24"/>
        </w:rPr>
        <w:t xml:space="preserve">EUR </w:t>
      </w:r>
      <w:r w:rsidR="00D83ACD" w:rsidRPr="00D87A1F">
        <w:rPr>
          <w:rFonts w:ascii="Times New Roman" w:eastAsia="Calibri" w:hAnsi="Times New Roman"/>
          <w:noProof/>
          <w:spacing w:val="-8"/>
          <w:sz w:val="24"/>
          <w:szCs w:val="24"/>
        </w:rPr>
        <w:t>2,312</w:t>
      </w:r>
      <w:r w:rsidR="00D83ACD">
        <w:rPr>
          <w:rFonts w:ascii="Times New Roman" w:eastAsia="Calibri" w:hAnsi="Times New Roman"/>
          <w:noProof/>
          <w:spacing w:val="-8"/>
          <w:sz w:val="24"/>
          <w:szCs w:val="24"/>
        </w:rPr>
        <w:t xml:space="preserve"> per</w:t>
      </w:r>
      <w:r w:rsidR="0006768B">
        <w:rPr>
          <w:rFonts w:ascii="Times New Roman" w:eastAsia="Calibri" w:hAnsi="Times New Roman"/>
          <w:noProof/>
          <w:spacing w:val="-8"/>
          <w:sz w:val="24"/>
          <w:szCs w:val="24"/>
        </w:rPr>
        <w:t xml:space="preserve"> MDMS platform per year).</w:t>
      </w:r>
      <w:r w:rsidR="00E76609">
        <w:rPr>
          <w:rFonts w:ascii="Times New Roman" w:eastAsia="Calibri" w:hAnsi="Times New Roman"/>
          <w:noProof/>
          <w:spacing w:val="-8"/>
          <w:sz w:val="24"/>
          <w:szCs w:val="24"/>
        </w:rPr>
        <w:t xml:space="preserve"> Taking into account the number of </w:t>
      </w:r>
      <w:r w:rsidR="00F37F70">
        <w:rPr>
          <w:rFonts w:ascii="Times New Roman" w:eastAsia="Calibri" w:hAnsi="Times New Roman"/>
          <w:noProof/>
          <w:spacing w:val="-8"/>
          <w:sz w:val="24"/>
          <w:szCs w:val="24"/>
        </w:rPr>
        <w:t>non-SME</w:t>
      </w:r>
      <w:r w:rsidR="00E76609">
        <w:rPr>
          <w:rFonts w:ascii="Times New Roman" w:eastAsia="Calibri" w:hAnsi="Times New Roman"/>
          <w:noProof/>
          <w:spacing w:val="-8"/>
          <w:sz w:val="24"/>
          <w:szCs w:val="24"/>
        </w:rPr>
        <w:t xml:space="preserve"> MDMS platform in the scope of PM8 in each policy option, the total recurrent adjustment costs for </w:t>
      </w:r>
      <w:r w:rsidR="00E76609" w:rsidRPr="00377519">
        <w:rPr>
          <w:rFonts w:ascii="Times New Roman" w:eastAsia="Calibri" w:hAnsi="Times New Roman"/>
          <w:noProof/>
          <w:spacing w:val="-8"/>
          <w:sz w:val="24"/>
          <w:szCs w:val="24"/>
        </w:rPr>
        <w:t>2028, 2030, 2040 and 2050</w:t>
      </w:r>
      <w:r w:rsidR="00E76609">
        <w:rPr>
          <w:rFonts w:ascii="Times New Roman" w:eastAsia="Calibri" w:hAnsi="Times New Roman"/>
          <w:noProof/>
          <w:spacing w:val="-8"/>
          <w:sz w:val="24"/>
          <w:szCs w:val="24"/>
        </w:rPr>
        <w:t xml:space="preserve"> due to PM8 are provided in the table below.</w:t>
      </w:r>
    </w:p>
    <w:p w14:paraId="1F348D78" w14:textId="5828D145" w:rsidR="00C14897" w:rsidRPr="00DB078C" w:rsidRDefault="00C14897" w:rsidP="00DB078C">
      <w:pPr>
        <w:keepNext/>
        <w:tabs>
          <w:tab w:val="left" w:pos="1134"/>
        </w:tabs>
        <w:jc w:val="both"/>
        <w:rPr>
          <w:i/>
          <w:noProof/>
          <w:sz w:val="22"/>
          <w:szCs w:val="22"/>
        </w:rPr>
      </w:pPr>
      <w:r w:rsidRPr="00DB078C">
        <w:rPr>
          <w:i/>
          <w:noProof/>
          <w:sz w:val="22"/>
          <w:szCs w:val="22"/>
        </w:rPr>
        <w:t xml:space="preserve">Table </w:t>
      </w:r>
      <w:r w:rsidRPr="00DB078C">
        <w:rPr>
          <w:i/>
          <w:noProof/>
          <w:sz w:val="22"/>
          <w:szCs w:val="22"/>
        </w:rPr>
        <w:fldChar w:fldCharType="begin"/>
      </w:r>
      <w:r w:rsidRPr="00DB078C">
        <w:rPr>
          <w:i/>
          <w:noProof/>
          <w:sz w:val="22"/>
          <w:szCs w:val="22"/>
        </w:rPr>
        <w:instrText xml:space="preserve"> SEQ Table \* ARABIC </w:instrText>
      </w:r>
      <w:r w:rsidRPr="00DB078C">
        <w:rPr>
          <w:i/>
          <w:noProof/>
          <w:sz w:val="22"/>
          <w:szCs w:val="22"/>
        </w:rPr>
        <w:fldChar w:fldCharType="separate"/>
      </w:r>
      <w:r w:rsidR="0055391F">
        <w:rPr>
          <w:i/>
          <w:noProof/>
          <w:sz w:val="22"/>
          <w:szCs w:val="22"/>
        </w:rPr>
        <w:t>95</w:t>
      </w:r>
      <w:r w:rsidRPr="00DB078C">
        <w:rPr>
          <w:i/>
          <w:noProof/>
          <w:sz w:val="22"/>
          <w:szCs w:val="22"/>
        </w:rPr>
        <w:fldChar w:fldCharType="end"/>
      </w:r>
      <w:r w:rsidRPr="00DB078C">
        <w:rPr>
          <w:i/>
          <w:noProof/>
          <w:sz w:val="22"/>
          <w:szCs w:val="22"/>
        </w:rPr>
        <w:t xml:space="preserve">: One-off and recurrent adjustment costs for </w:t>
      </w:r>
      <w:r w:rsidR="00F37F70">
        <w:rPr>
          <w:i/>
          <w:noProof/>
          <w:sz w:val="22"/>
          <w:szCs w:val="22"/>
        </w:rPr>
        <w:t>non-SME</w:t>
      </w:r>
      <w:r w:rsidRPr="00DB078C">
        <w:rPr>
          <w:i/>
          <w:noProof/>
          <w:sz w:val="22"/>
          <w:szCs w:val="22"/>
        </w:rPr>
        <w:t xml:space="preserve"> MDMS platforms (B2B and B2C) due to PM8 in the policy options in 2028, 2030, 2040 and 2050 relative to the baseline (in 2024 prices)</w:t>
      </w:r>
    </w:p>
    <w:tbl>
      <w:tblPr>
        <w:tblW w:w="5000" w:type="pct"/>
        <w:tblLook w:val="04A0" w:firstRow="1" w:lastRow="0" w:firstColumn="1" w:lastColumn="0" w:noHBand="0" w:noVBand="1"/>
      </w:tblPr>
      <w:tblGrid>
        <w:gridCol w:w="5229"/>
        <w:gridCol w:w="1425"/>
        <w:gridCol w:w="942"/>
        <w:gridCol w:w="950"/>
        <w:gridCol w:w="1057"/>
      </w:tblGrid>
      <w:tr w:rsidR="007B0BD0" w:rsidRPr="002361D7" w14:paraId="2329F8BC" w14:textId="77777777" w:rsidTr="007B0BD0">
        <w:trPr>
          <w:trHeight w:val="255"/>
          <w:tblHeader/>
        </w:trPr>
        <w:tc>
          <w:tcPr>
            <w:tcW w:w="5229" w:type="dxa"/>
            <w:tcBorders>
              <w:top w:val="single" w:sz="4" w:space="0" w:color="auto"/>
              <w:left w:val="single" w:sz="4" w:space="0" w:color="auto"/>
              <w:bottom w:val="single" w:sz="4" w:space="0" w:color="auto"/>
              <w:right w:val="single" w:sz="4" w:space="0" w:color="auto"/>
            </w:tcBorders>
            <w:shd w:val="clear" w:color="000000" w:fill="0070C0"/>
            <w:noWrap/>
            <w:hideMark/>
          </w:tcPr>
          <w:p w14:paraId="5BF6D66B" w14:textId="77777777" w:rsidR="00134CD5" w:rsidRPr="004E336D" w:rsidRDefault="00134CD5">
            <w:pPr>
              <w:jc w:val="center"/>
              <w:rPr>
                <w:b/>
                <w:noProof/>
                <w:color w:val="FFFFFF"/>
                <w:sz w:val="20"/>
                <w:szCs w:val="20"/>
              </w:rPr>
            </w:pPr>
            <w:r w:rsidRPr="004E336D">
              <w:rPr>
                <w:b/>
                <w:noProof/>
                <w:color w:val="FFFFFF"/>
                <w:sz w:val="20"/>
                <w:szCs w:val="20"/>
              </w:rPr>
              <w:t> </w:t>
            </w:r>
          </w:p>
        </w:tc>
        <w:tc>
          <w:tcPr>
            <w:tcW w:w="1425" w:type="dxa"/>
            <w:tcBorders>
              <w:top w:val="single" w:sz="4" w:space="0" w:color="auto"/>
              <w:left w:val="nil"/>
              <w:bottom w:val="single" w:sz="4" w:space="0" w:color="auto"/>
              <w:right w:val="single" w:sz="4" w:space="0" w:color="auto"/>
            </w:tcBorders>
            <w:shd w:val="clear" w:color="000000" w:fill="0070C0"/>
            <w:noWrap/>
            <w:hideMark/>
          </w:tcPr>
          <w:p w14:paraId="278CB40C" w14:textId="77777777" w:rsidR="00134CD5" w:rsidRPr="004E336D" w:rsidRDefault="00134CD5">
            <w:pPr>
              <w:jc w:val="center"/>
              <w:rPr>
                <w:b/>
                <w:noProof/>
                <w:color w:val="FFFFFF"/>
                <w:sz w:val="20"/>
                <w:szCs w:val="20"/>
              </w:rPr>
            </w:pPr>
            <w:r w:rsidRPr="004E336D">
              <w:rPr>
                <w:b/>
                <w:noProof/>
                <w:color w:val="FFFFFF"/>
                <w:sz w:val="20"/>
                <w:szCs w:val="20"/>
              </w:rPr>
              <w:t>2028</w:t>
            </w:r>
          </w:p>
        </w:tc>
        <w:tc>
          <w:tcPr>
            <w:tcW w:w="942" w:type="dxa"/>
            <w:tcBorders>
              <w:top w:val="single" w:sz="4" w:space="0" w:color="auto"/>
              <w:left w:val="nil"/>
              <w:bottom w:val="single" w:sz="4" w:space="0" w:color="auto"/>
              <w:right w:val="single" w:sz="4" w:space="0" w:color="auto"/>
            </w:tcBorders>
            <w:shd w:val="clear" w:color="000000" w:fill="0070C0"/>
            <w:noWrap/>
            <w:hideMark/>
          </w:tcPr>
          <w:p w14:paraId="5BE3ED6D" w14:textId="77777777" w:rsidR="00134CD5" w:rsidRPr="004E336D" w:rsidRDefault="00134CD5">
            <w:pPr>
              <w:jc w:val="center"/>
              <w:rPr>
                <w:b/>
                <w:noProof/>
                <w:color w:val="FFFFFF"/>
                <w:sz w:val="20"/>
                <w:szCs w:val="20"/>
              </w:rPr>
            </w:pPr>
            <w:r w:rsidRPr="004E336D">
              <w:rPr>
                <w:b/>
                <w:noProof/>
                <w:color w:val="FFFFFF"/>
                <w:sz w:val="20"/>
                <w:szCs w:val="20"/>
              </w:rPr>
              <w:t>2030</w:t>
            </w:r>
          </w:p>
        </w:tc>
        <w:tc>
          <w:tcPr>
            <w:tcW w:w="950" w:type="dxa"/>
            <w:tcBorders>
              <w:top w:val="single" w:sz="4" w:space="0" w:color="auto"/>
              <w:left w:val="nil"/>
              <w:bottom w:val="single" w:sz="4" w:space="0" w:color="auto"/>
              <w:right w:val="single" w:sz="4" w:space="0" w:color="auto"/>
            </w:tcBorders>
            <w:shd w:val="clear" w:color="000000" w:fill="0070C0"/>
            <w:noWrap/>
            <w:hideMark/>
          </w:tcPr>
          <w:p w14:paraId="521849DC" w14:textId="77777777" w:rsidR="00134CD5" w:rsidRPr="004E336D" w:rsidRDefault="00134CD5">
            <w:pPr>
              <w:jc w:val="center"/>
              <w:rPr>
                <w:b/>
                <w:noProof/>
                <w:color w:val="FFFFFF"/>
                <w:sz w:val="20"/>
                <w:szCs w:val="20"/>
              </w:rPr>
            </w:pPr>
            <w:r w:rsidRPr="004E336D">
              <w:rPr>
                <w:b/>
                <w:noProof/>
                <w:color w:val="FFFFFF"/>
                <w:sz w:val="20"/>
                <w:szCs w:val="20"/>
              </w:rPr>
              <w:t>2040</w:t>
            </w:r>
          </w:p>
        </w:tc>
        <w:tc>
          <w:tcPr>
            <w:tcW w:w="1057" w:type="dxa"/>
            <w:tcBorders>
              <w:top w:val="single" w:sz="4" w:space="0" w:color="auto"/>
              <w:left w:val="nil"/>
              <w:bottom w:val="single" w:sz="4" w:space="0" w:color="auto"/>
              <w:right w:val="single" w:sz="4" w:space="0" w:color="auto"/>
            </w:tcBorders>
            <w:shd w:val="clear" w:color="000000" w:fill="0070C0"/>
            <w:noWrap/>
            <w:hideMark/>
          </w:tcPr>
          <w:p w14:paraId="08D65FE8" w14:textId="77777777" w:rsidR="00134CD5" w:rsidRPr="004E336D" w:rsidRDefault="00134CD5">
            <w:pPr>
              <w:jc w:val="center"/>
              <w:rPr>
                <w:b/>
                <w:noProof/>
                <w:color w:val="FFFFFF"/>
                <w:sz w:val="20"/>
                <w:szCs w:val="20"/>
              </w:rPr>
            </w:pPr>
            <w:r w:rsidRPr="004E336D">
              <w:rPr>
                <w:b/>
                <w:noProof/>
                <w:color w:val="FFFFFF"/>
                <w:sz w:val="20"/>
                <w:szCs w:val="20"/>
              </w:rPr>
              <w:t>2050</w:t>
            </w:r>
          </w:p>
        </w:tc>
      </w:tr>
      <w:tr w:rsidR="00322D6D" w:rsidRPr="002361D7" w14:paraId="1A43E119"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1C3819A5" w14:textId="4E0C72FD" w:rsidR="00322D6D" w:rsidRPr="004E336D" w:rsidRDefault="00322D6D" w:rsidP="00322D6D">
            <w:pPr>
              <w:rPr>
                <w:noProof/>
                <w:sz w:val="20"/>
                <w:szCs w:val="20"/>
              </w:rPr>
            </w:pPr>
            <w:r w:rsidRPr="004E336D">
              <w:rPr>
                <w:noProof/>
                <w:sz w:val="20"/>
                <w:szCs w:val="20"/>
              </w:rPr>
              <w:t>One-off cost per MDMS platform to</w:t>
            </w:r>
            <w:r w:rsidRPr="002361D7">
              <w:rPr>
                <w:rFonts w:eastAsia="Arial Unicode MS"/>
                <w:noProof/>
                <w:spacing w:val="-8"/>
                <w:sz w:val="20"/>
                <w:szCs w:val="20"/>
              </w:rPr>
              <w:t xml:space="preserve"> adjust its display criteria </w:t>
            </w:r>
            <w:r w:rsidRPr="004E336D">
              <w:rPr>
                <w:noProof/>
                <w:sz w:val="20"/>
                <w:szCs w:val="20"/>
              </w:rPr>
              <w:t xml:space="preserve">(EUR) </w:t>
            </w:r>
          </w:p>
        </w:tc>
        <w:tc>
          <w:tcPr>
            <w:tcW w:w="1425" w:type="dxa"/>
            <w:tcBorders>
              <w:top w:val="nil"/>
              <w:left w:val="nil"/>
              <w:bottom w:val="single" w:sz="4" w:space="0" w:color="auto"/>
              <w:right w:val="single" w:sz="4" w:space="0" w:color="auto"/>
            </w:tcBorders>
            <w:shd w:val="clear" w:color="000000" w:fill="FFFFFF"/>
            <w:noWrap/>
            <w:hideMark/>
          </w:tcPr>
          <w:p w14:paraId="2F3C7E26" w14:textId="53E5BBA2" w:rsidR="00322D6D" w:rsidRPr="00322D6D" w:rsidRDefault="00322D6D" w:rsidP="00322D6D">
            <w:pPr>
              <w:jc w:val="right"/>
              <w:rPr>
                <w:noProof/>
                <w:sz w:val="20"/>
                <w:szCs w:val="20"/>
              </w:rPr>
            </w:pPr>
            <w:r w:rsidRPr="004E3436">
              <w:rPr>
                <w:noProof/>
                <w:sz w:val="20"/>
                <w:szCs w:val="20"/>
              </w:rPr>
              <w:t>23,125</w:t>
            </w:r>
          </w:p>
        </w:tc>
        <w:tc>
          <w:tcPr>
            <w:tcW w:w="942" w:type="dxa"/>
            <w:tcBorders>
              <w:top w:val="nil"/>
              <w:left w:val="nil"/>
              <w:bottom w:val="single" w:sz="4" w:space="0" w:color="auto"/>
              <w:right w:val="single" w:sz="4" w:space="0" w:color="auto"/>
            </w:tcBorders>
            <w:shd w:val="clear" w:color="000000" w:fill="FFFFFF"/>
            <w:noWrap/>
            <w:hideMark/>
          </w:tcPr>
          <w:p w14:paraId="3EC03BEA" w14:textId="2F5C2785" w:rsidR="00322D6D" w:rsidRPr="00322D6D" w:rsidRDefault="00322D6D" w:rsidP="00322D6D">
            <w:pPr>
              <w:jc w:val="right"/>
              <w:rPr>
                <w:noProof/>
                <w:sz w:val="20"/>
                <w:szCs w:val="20"/>
              </w:rPr>
            </w:pPr>
            <w:r w:rsidRPr="004E3436">
              <w:rPr>
                <w:noProof/>
                <w:sz w:val="20"/>
                <w:szCs w:val="20"/>
              </w:rPr>
              <w:t>23,125</w:t>
            </w:r>
          </w:p>
        </w:tc>
        <w:tc>
          <w:tcPr>
            <w:tcW w:w="950" w:type="dxa"/>
            <w:tcBorders>
              <w:top w:val="nil"/>
              <w:left w:val="nil"/>
              <w:bottom w:val="single" w:sz="4" w:space="0" w:color="auto"/>
              <w:right w:val="single" w:sz="4" w:space="0" w:color="auto"/>
            </w:tcBorders>
            <w:shd w:val="clear" w:color="000000" w:fill="FFFFFF"/>
            <w:noWrap/>
            <w:hideMark/>
          </w:tcPr>
          <w:p w14:paraId="6FC75E1D" w14:textId="7D64E1D8" w:rsidR="00322D6D" w:rsidRPr="00322D6D" w:rsidRDefault="00322D6D" w:rsidP="00322D6D">
            <w:pPr>
              <w:jc w:val="right"/>
              <w:rPr>
                <w:noProof/>
                <w:sz w:val="20"/>
                <w:szCs w:val="20"/>
              </w:rPr>
            </w:pPr>
            <w:r w:rsidRPr="004E3436">
              <w:rPr>
                <w:noProof/>
                <w:sz w:val="20"/>
                <w:szCs w:val="20"/>
              </w:rPr>
              <w:t>23,125</w:t>
            </w:r>
          </w:p>
        </w:tc>
        <w:tc>
          <w:tcPr>
            <w:tcW w:w="1057" w:type="dxa"/>
            <w:tcBorders>
              <w:top w:val="nil"/>
              <w:left w:val="nil"/>
              <w:bottom w:val="single" w:sz="4" w:space="0" w:color="auto"/>
              <w:right w:val="single" w:sz="4" w:space="0" w:color="auto"/>
            </w:tcBorders>
            <w:shd w:val="clear" w:color="000000" w:fill="FFFFFF"/>
            <w:noWrap/>
            <w:hideMark/>
          </w:tcPr>
          <w:p w14:paraId="4E728422" w14:textId="22391514" w:rsidR="00322D6D" w:rsidRPr="00322D6D" w:rsidRDefault="00322D6D" w:rsidP="00322D6D">
            <w:pPr>
              <w:jc w:val="right"/>
              <w:rPr>
                <w:noProof/>
                <w:sz w:val="20"/>
                <w:szCs w:val="20"/>
              </w:rPr>
            </w:pPr>
            <w:r w:rsidRPr="004E3436">
              <w:rPr>
                <w:noProof/>
                <w:sz w:val="20"/>
                <w:szCs w:val="20"/>
              </w:rPr>
              <w:t>23,125</w:t>
            </w:r>
          </w:p>
        </w:tc>
      </w:tr>
      <w:tr w:rsidR="00322D6D" w:rsidRPr="002361D7" w14:paraId="596E4887"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391F4044" w14:textId="4EA442A7" w:rsidR="00322D6D" w:rsidRPr="004E336D" w:rsidRDefault="00322D6D" w:rsidP="00322D6D">
            <w:pPr>
              <w:rPr>
                <w:noProof/>
                <w:sz w:val="20"/>
                <w:szCs w:val="20"/>
              </w:rPr>
            </w:pPr>
            <w:r w:rsidRPr="004E336D">
              <w:rPr>
                <w:noProof/>
                <w:sz w:val="20"/>
                <w:szCs w:val="20"/>
              </w:rPr>
              <w:t xml:space="preserve"> Recurrent costs per MDMS platform (EUR) </w:t>
            </w:r>
          </w:p>
        </w:tc>
        <w:tc>
          <w:tcPr>
            <w:tcW w:w="1425" w:type="dxa"/>
            <w:tcBorders>
              <w:top w:val="nil"/>
              <w:left w:val="nil"/>
              <w:bottom w:val="single" w:sz="4" w:space="0" w:color="auto"/>
              <w:right w:val="single" w:sz="4" w:space="0" w:color="auto"/>
            </w:tcBorders>
            <w:noWrap/>
            <w:hideMark/>
          </w:tcPr>
          <w:p w14:paraId="7EF155C7" w14:textId="02EA729E" w:rsidR="00322D6D" w:rsidRPr="00322D6D" w:rsidRDefault="00322D6D" w:rsidP="00322D6D">
            <w:pPr>
              <w:jc w:val="right"/>
              <w:rPr>
                <w:noProof/>
                <w:color w:val="000000"/>
                <w:sz w:val="20"/>
                <w:szCs w:val="20"/>
              </w:rPr>
            </w:pPr>
            <w:r w:rsidRPr="004E3436">
              <w:rPr>
                <w:noProof/>
                <w:color w:val="000000"/>
                <w:sz w:val="20"/>
                <w:szCs w:val="20"/>
              </w:rPr>
              <w:t>2,312</w:t>
            </w:r>
          </w:p>
        </w:tc>
        <w:tc>
          <w:tcPr>
            <w:tcW w:w="942" w:type="dxa"/>
            <w:tcBorders>
              <w:top w:val="nil"/>
              <w:left w:val="nil"/>
              <w:bottom w:val="single" w:sz="4" w:space="0" w:color="auto"/>
              <w:right w:val="single" w:sz="4" w:space="0" w:color="auto"/>
            </w:tcBorders>
            <w:noWrap/>
            <w:hideMark/>
          </w:tcPr>
          <w:p w14:paraId="0B74B4C6" w14:textId="773BBC69" w:rsidR="00322D6D" w:rsidRPr="00322D6D" w:rsidRDefault="00322D6D" w:rsidP="00322D6D">
            <w:pPr>
              <w:jc w:val="right"/>
              <w:rPr>
                <w:noProof/>
                <w:color w:val="000000"/>
                <w:sz w:val="20"/>
                <w:szCs w:val="20"/>
              </w:rPr>
            </w:pPr>
            <w:r w:rsidRPr="004E3436">
              <w:rPr>
                <w:noProof/>
                <w:color w:val="000000"/>
                <w:sz w:val="20"/>
                <w:szCs w:val="20"/>
              </w:rPr>
              <w:t>2,312</w:t>
            </w:r>
          </w:p>
        </w:tc>
        <w:tc>
          <w:tcPr>
            <w:tcW w:w="950" w:type="dxa"/>
            <w:tcBorders>
              <w:top w:val="nil"/>
              <w:left w:val="nil"/>
              <w:bottom w:val="single" w:sz="4" w:space="0" w:color="auto"/>
              <w:right w:val="single" w:sz="4" w:space="0" w:color="auto"/>
            </w:tcBorders>
            <w:noWrap/>
            <w:hideMark/>
          </w:tcPr>
          <w:p w14:paraId="1747BE9D" w14:textId="49B7FE02" w:rsidR="00322D6D" w:rsidRPr="00322D6D" w:rsidRDefault="00322D6D" w:rsidP="00322D6D">
            <w:pPr>
              <w:jc w:val="right"/>
              <w:rPr>
                <w:noProof/>
                <w:color w:val="000000"/>
                <w:sz w:val="20"/>
                <w:szCs w:val="20"/>
              </w:rPr>
            </w:pPr>
            <w:r w:rsidRPr="004E3436">
              <w:rPr>
                <w:noProof/>
                <w:color w:val="000000"/>
                <w:sz w:val="20"/>
                <w:szCs w:val="20"/>
              </w:rPr>
              <w:t>2,312</w:t>
            </w:r>
          </w:p>
        </w:tc>
        <w:tc>
          <w:tcPr>
            <w:tcW w:w="1057" w:type="dxa"/>
            <w:tcBorders>
              <w:top w:val="nil"/>
              <w:left w:val="nil"/>
              <w:bottom w:val="single" w:sz="4" w:space="0" w:color="auto"/>
              <w:right w:val="single" w:sz="4" w:space="0" w:color="auto"/>
            </w:tcBorders>
            <w:noWrap/>
            <w:hideMark/>
          </w:tcPr>
          <w:p w14:paraId="366846BB" w14:textId="329878DB" w:rsidR="00322D6D" w:rsidRPr="00322D6D" w:rsidRDefault="00322D6D" w:rsidP="00322D6D">
            <w:pPr>
              <w:jc w:val="right"/>
              <w:rPr>
                <w:noProof/>
                <w:color w:val="000000"/>
                <w:sz w:val="20"/>
                <w:szCs w:val="20"/>
              </w:rPr>
            </w:pPr>
            <w:r w:rsidRPr="004E3436">
              <w:rPr>
                <w:noProof/>
                <w:color w:val="000000"/>
                <w:sz w:val="20"/>
                <w:szCs w:val="20"/>
              </w:rPr>
              <w:t>2,312</w:t>
            </w:r>
          </w:p>
        </w:tc>
      </w:tr>
      <w:tr w:rsidR="00322D6D" w:rsidRPr="002361D7" w14:paraId="124745FA"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76E13FA7" w14:textId="77777777" w:rsidR="00322D6D" w:rsidRPr="004E336D" w:rsidRDefault="00322D6D" w:rsidP="00322D6D">
            <w:pPr>
              <w:rPr>
                <w:b/>
                <w:noProof/>
                <w:sz w:val="20"/>
                <w:szCs w:val="20"/>
              </w:rPr>
            </w:pPr>
            <w:r w:rsidRPr="004E336D">
              <w:rPr>
                <w:b/>
                <w:noProof/>
                <w:sz w:val="20"/>
                <w:szCs w:val="20"/>
              </w:rPr>
              <w:t xml:space="preserve">PO1 </w:t>
            </w:r>
          </w:p>
        </w:tc>
        <w:tc>
          <w:tcPr>
            <w:tcW w:w="1425" w:type="dxa"/>
            <w:tcBorders>
              <w:top w:val="nil"/>
              <w:left w:val="nil"/>
              <w:bottom w:val="single" w:sz="4" w:space="0" w:color="auto"/>
              <w:right w:val="single" w:sz="4" w:space="0" w:color="auto"/>
            </w:tcBorders>
            <w:shd w:val="clear" w:color="000000" w:fill="FFFFFF"/>
            <w:noWrap/>
            <w:hideMark/>
          </w:tcPr>
          <w:p w14:paraId="3A53D6FD" w14:textId="1E613324" w:rsidR="00322D6D" w:rsidRPr="00322D6D" w:rsidRDefault="00322D6D" w:rsidP="00322D6D">
            <w:pPr>
              <w:jc w:val="right"/>
              <w:rPr>
                <w:noProof/>
                <w:sz w:val="20"/>
                <w:szCs w:val="20"/>
              </w:rPr>
            </w:pPr>
            <w:r w:rsidRPr="004E3436">
              <w:rPr>
                <w:noProof/>
                <w:sz w:val="20"/>
                <w:szCs w:val="20"/>
              </w:rPr>
              <w:t> </w:t>
            </w:r>
          </w:p>
        </w:tc>
        <w:tc>
          <w:tcPr>
            <w:tcW w:w="942" w:type="dxa"/>
            <w:tcBorders>
              <w:top w:val="nil"/>
              <w:left w:val="nil"/>
              <w:bottom w:val="single" w:sz="4" w:space="0" w:color="auto"/>
              <w:right w:val="single" w:sz="4" w:space="0" w:color="auto"/>
            </w:tcBorders>
            <w:shd w:val="clear" w:color="000000" w:fill="FFFFFF"/>
            <w:noWrap/>
            <w:hideMark/>
          </w:tcPr>
          <w:p w14:paraId="3D6B8259" w14:textId="11F3ADCB" w:rsidR="00322D6D" w:rsidRPr="00322D6D" w:rsidRDefault="00322D6D" w:rsidP="00322D6D">
            <w:pPr>
              <w:jc w:val="right"/>
              <w:rPr>
                <w:noProof/>
                <w:sz w:val="20"/>
                <w:szCs w:val="20"/>
              </w:rPr>
            </w:pPr>
            <w:r w:rsidRPr="004E3436">
              <w:rPr>
                <w:noProof/>
                <w:sz w:val="20"/>
                <w:szCs w:val="20"/>
              </w:rPr>
              <w:t> </w:t>
            </w:r>
          </w:p>
        </w:tc>
        <w:tc>
          <w:tcPr>
            <w:tcW w:w="950" w:type="dxa"/>
            <w:tcBorders>
              <w:top w:val="nil"/>
              <w:left w:val="nil"/>
              <w:bottom w:val="single" w:sz="4" w:space="0" w:color="auto"/>
              <w:right w:val="single" w:sz="4" w:space="0" w:color="auto"/>
            </w:tcBorders>
            <w:shd w:val="clear" w:color="000000" w:fill="FFFFFF"/>
            <w:noWrap/>
            <w:hideMark/>
          </w:tcPr>
          <w:p w14:paraId="60747363" w14:textId="4C5F03AF" w:rsidR="00322D6D" w:rsidRPr="00322D6D" w:rsidRDefault="00322D6D" w:rsidP="00322D6D">
            <w:pPr>
              <w:jc w:val="right"/>
              <w:rPr>
                <w:noProof/>
                <w:sz w:val="20"/>
                <w:szCs w:val="20"/>
              </w:rPr>
            </w:pPr>
            <w:r w:rsidRPr="004E3436">
              <w:rPr>
                <w:noProof/>
                <w:sz w:val="20"/>
                <w:szCs w:val="20"/>
              </w:rPr>
              <w:t> </w:t>
            </w:r>
          </w:p>
        </w:tc>
        <w:tc>
          <w:tcPr>
            <w:tcW w:w="1057" w:type="dxa"/>
            <w:tcBorders>
              <w:top w:val="nil"/>
              <w:left w:val="nil"/>
              <w:bottom w:val="single" w:sz="4" w:space="0" w:color="auto"/>
              <w:right w:val="single" w:sz="4" w:space="0" w:color="auto"/>
            </w:tcBorders>
            <w:shd w:val="clear" w:color="000000" w:fill="FFFFFF"/>
            <w:noWrap/>
            <w:hideMark/>
          </w:tcPr>
          <w:p w14:paraId="6E7B7BBF" w14:textId="741D4097" w:rsidR="00322D6D" w:rsidRPr="00322D6D" w:rsidRDefault="00322D6D" w:rsidP="00322D6D">
            <w:pPr>
              <w:jc w:val="right"/>
              <w:rPr>
                <w:noProof/>
                <w:sz w:val="20"/>
                <w:szCs w:val="20"/>
              </w:rPr>
            </w:pPr>
            <w:r w:rsidRPr="004E3436">
              <w:rPr>
                <w:noProof/>
                <w:sz w:val="20"/>
                <w:szCs w:val="20"/>
              </w:rPr>
              <w:t> </w:t>
            </w:r>
          </w:p>
        </w:tc>
      </w:tr>
      <w:tr w:rsidR="00322D6D" w:rsidRPr="002361D7" w14:paraId="42C5133B"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53543766" w14:textId="0E9DEC58" w:rsidR="00322D6D" w:rsidRPr="004E336D" w:rsidRDefault="00322D6D" w:rsidP="00322D6D">
            <w:pPr>
              <w:rPr>
                <w:noProof/>
                <w:sz w:val="20"/>
                <w:szCs w:val="20"/>
              </w:rPr>
            </w:pPr>
            <w:r w:rsidRPr="004E336D">
              <w:rPr>
                <w:noProof/>
                <w:sz w:val="20"/>
                <w:szCs w:val="20"/>
              </w:rPr>
              <w:t xml:space="preserve">Number of </w:t>
            </w:r>
            <w:r>
              <w:rPr>
                <w:noProof/>
                <w:sz w:val="20"/>
                <w:szCs w:val="20"/>
              </w:rPr>
              <w:t>non-SME</w:t>
            </w:r>
            <w:r w:rsidRPr="004E336D">
              <w:rPr>
                <w:noProof/>
                <w:sz w:val="20"/>
                <w:szCs w:val="20"/>
              </w:rPr>
              <w:t xml:space="preserve"> MDMS platforms that incur one-off costs due to PM8 </w:t>
            </w:r>
          </w:p>
        </w:tc>
        <w:tc>
          <w:tcPr>
            <w:tcW w:w="1425" w:type="dxa"/>
            <w:tcBorders>
              <w:top w:val="nil"/>
              <w:left w:val="nil"/>
              <w:bottom w:val="single" w:sz="4" w:space="0" w:color="auto"/>
              <w:right w:val="single" w:sz="4" w:space="0" w:color="auto"/>
            </w:tcBorders>
            <w:shd w:val="clear" w:color="000000" w:fill="FFFFFF"/>
            <w:noWrap/>
            <w:hideMark/>
          </w:tcPr>
          <w:p w14:paraId="60DE2B01" w14:textId="2143CFE7" w:rsidR="00322D6D" w:rsidRPr="00322D6D" w:rsidRDefault="00322D6D" w:rsidP="00322D6D">
            <w:pPr>
              <w:jc w:val="right"/>
              <w:rPr>
                <w:noProof/>
                <w:sz w:val="20"/>
                <w:szCs w:val="20"/>
              </w:rPr>
            </w:pPr>
            <w:r w:rsidRPr="004E3436">
              <w:rPr>
                <w:noProof/>
                <w:sz w:val="20"/>
                <w:szCs w:val="20"/>
              </w:rPr>
              <w:t>175</w:t>
            </w:r>
          </w:p>
        </w:tc>
        <w:tc>
          <w:tcPr>
            <w:tcW w:w="942" w:type="dxa"/>
            <w:tcBorders>
              <w:top w:val="nil"/>
              <w:left w:val="nil"/>
              <w:bottom w:val="single" w:sz="4" w:space="0" w:color="auto"/>
              <w:right w:val="single" w:sz="4" w:space="0" w:color="auto"/>
            </w:tcBorders>
            <w:shd w:val="clear" w:color="000000" w:fill="FFFFFF"/>
            <w:noWrap/>
            <w:hideMark/>
          </w:tcPr>
          <w:p w14:paraId="4624B53B" w14:textId="418B8BE3" w:rsidR="00322D6D" w:rsidRPr="00322D6D" w:rsidRDefault="00322D6D" w:rsidP="00322D6D">
            <w:pPr>
              <w:jc w:val="right"/>
              <w:rPr>
                <w:noProof/>
                <w:sz w:val="20"/>
                <w:szCs w:val="20"/>
              </w:rPr>
            </w:pPr>
            <w:r w:rsidRPr="004E3436">
              <w:rPr>
                <w:noProof/>
                <w:sz w:val="20"/>
                <w:szCs w:val="20"/>
              </w:rPr>
              <w:t>4</w:t>
            </w:r>
          </w:p>
        </w:tc>
        <w:tc>
          <w:tcPr>
            <w:tcW w:w="950" w:type="dxa"/>
            <w:tcBorders>
              <w:top w:val="nil"/>
              <w:left w:val="nil"/>
              <w:bottom w:val="single" w:sz="4" w:space="0" w:color="auto"/>
              <w:right w:val="single" w:sz="4" w:space="0" w:color="auto"/>
            </w:tcBorders>
            <w:shd w:val="clear" w:color="000000" w:fill="FFFFFF"/>
            <w:noWrap/>
            <w:hideMark/>
          </w:tcPr>
          <w:p w14:paraId="0949798B" w14:textId="21825B6F" w:rsidR="00322D6D" w:rsidRPr="00322D6D" w:rsidRDefault="00322D6D" w:rsidP="00322D6D">
            <w:pPr>
              <w:jc w:val="right"/>
              <w:rPr>
                <w:noProof/>
                <w:sz w:val="20"/>
                <w:szCs w:val="20"/>
              </w:rPr>
            </w:pPr>
            <w:r w:rsidRPr="004E3436">
              <w:rPr>
                <w:noProof/>
                <w:sz w:val="20"/>
                <w:szCs w:val="20"/>
              </w:rPr>
              <w:t>2</w:t>
            </w:r>
          </w:p>
        </w:tc>
        <w:tc>
          <w:tcPr>
            <w:tcW w:w="1057" w:type="dxa"/>
            <w:tcBorders>
              <w:top w:val="nil"/>
              <w:left w:val="nil"/>
              <w:bottom w:val="single" w:sz="4" w:space="0" w:color="auto"/>
              <w:right w:val="single" w:sz="4" w:space="0" w:color="auto"/>
            </w:tcBorders>
            <w:shd w:val="clear" w:color="000000" w:fill="FFFFFF"/>
            <w:noWrap/>
            <w:hideMark/>
          </w:tcPr>
          <w:p w14:paraId="62C88C8E" w14:textId="20FA6E3E" w:rsidR="00322D6D" w:rsidRPr="00322D6D" w:rsidRDefault="00322D6D" w:rsidP="00322D6D">
            <w:pPr>
              <w:jc w:val="right"/>
              <w:rPr>
                <w:noProof/>
                <w:sz w:val="20"/>
                <w:szCs w:val="20"/>
              </w:rPr>
            </w:pPr>
            <w:r w:rsidRPr="004E3436">
              <w:rPr>
                <w:noProof/>
                <w:sz w:val="20"/>
                <w:szCs w:val="20"/>
              </w:rPr>
              <w:t>0</w:t>
            </w:r>
          </w:p>
        </w:tc>
      </w:tr>
      <w:tr w:rsidR="00322D6D" w:rsidRPr="002361D7" w14:paraId="2D2FC4D7"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1D7F8AA3" w14:textId="5B80A01E" w:rsidR="00322D6D" w:rsidRPr="004E336D" w:rsidRDefault="00322D6D" w:rsidP="00322D6D">
            <w:pPr>
              <w:rPr>
                <w:noProof/>
                <w:sz w:val="20"/>
                <w:szCs w:val="20"/>
              </w:rPr>
            </w:pPr>
            <w:r w:rsidRPr="004E336D">
              <w:rPr>
                <w:noProof/>
                <w:sz w:val="20"/>
                <w:szCs w:val="20"/>
              </w:rPr>
              <w:t xml:space="preserve">Number of </w:t>
            </w:r>
            <w:r>
              <w:rPr>
                <w:noProof/>
                <w:sz w:val="20"/>
                <w:szCs w:val="20"/>
              </w:rPr>
              <w:t>non-SME</w:t>
            </w:r>
            <w:r w:rsidRPr="004E336D">
              <w:rPr>
                <w:noProof/>
                <w:sz w:val="20"/>
                <w:szCs w:val="20"/>
              </w:rPr>
              <w:t xml:space="preserve"> MDMS platforms that incur recurrent costs due to PM8 </w:t>
            </w:r>
          </w:p>
        </w:tc>
        <w:tc>
          <w:tcPr>
            <w:tcW w:w="1425" w:type="dxa"/>
            <w:tcBorders>
              <w:top w:val="nil"/>
              <w:left w:val="nil"/>
              <w:bottom w:val="single" w:sz="4" w:space="0" w:color="auto"/>
              <w:right w:val="single" w:sz="4" w:space="0" w:color="auto"/>
            </w:tcBorders>
            <w:shd w:val="clear" w:color="000000" w:fill="FFFFFF"/>
            <w:noWrap/>
            <w:hideMark/>
          </w:tcPr>
          <w:p w14:paraId="40F65EA4" w14:textId="42640DDA" w:rsidR="00322D6D" w:rsidRPr="00322D6D" w:rsidRDefault="00322D6D" w:rsidP="00322D6D">
            <w:pPr>
              <w:jc w:val="right"/>
              <w:rPr>
                <w:noProof/>
                <w:sz w:val="20"/>
                <w:szCs w:val="20"/>
              </w:rPr>
            </w:pPr>
            <w:r w:rsidRPr="004E3436">
              <w:rPr>
                <w:noProof/>
                <w:sz w:val="20"/>
                <w:szCs w:val="20"/>
              </w:rPr>
              <w:t>0</w:t>
            </w:r>
          </w:p>
        </w:tc>
        <w:tc>
          <w:tcPr>
            <w:tcW w:w="942" w:type="dxa"/>
            <w:tcBorders>
              <w:top w:val="nil"/>
              <w:left w:val="nil"/>
              <w:bottom w:val="single" w:sz="4" w:space="0" w:color="auto"/>
              <w:right w:val="single" w:sz="4" w:space="0" w:color="auto"/>
            </w:tcBorders>
            <w:shd w:val="clear" w:color="000000" w:fill="FFFFFF"/>
            <w:noWrap/>
            <w:hideMark/>
          </w:tcPr>
          <w:p w14:paraId="469981BC" w14:textId="1374290F" w:rsidR="00322D6D" w:rsidRPr="00322D6D" w:rsidRDefault="00322D6D" w:rsidP="00322D6D">
            <w:pPr>
              <w:jc w:val="right"/>
              <w:rPr>
                <w:noProof/>
                <w:sz w:val="20"/>
                <w:szCs w:val="20"/>
              </w:rPr>
            </w:pPr>
            <w:r w:rsidRPr="004E3436">
              <w:rPr>
                <w:noProof/>
                <w:sz w:val="20"/>
                <w:szCs w:val="20"/>
              </w:rPr>
              <w:t>179</w:t>
            </w:r>
          </w:p>
        </w:tc>
        <w:tc>
          <w:tcPr>
            <w:tcW w:w="950" w:type="dxa"/>
            <w:tcBorders>
              <w:top w:val="nil"/>
              <w:left w:val="nil"/>
              <w:bottom w:val="single" w:sz="4" w:space="0" w:color="auto"/>
              <w:right w:val="single" w:sz="4" w:space="0" w:color="auto"/>
            </w:tcBorders>
            <w:shd w:val="clear" w:color="000000" w:fill="FFFFFF"/>
            <w:noWrap/>
            <w:hideMark/>
          </w:tcPr>
          <w:p w14:paraId="0A12E011" w14:textId="6A57D526" w:rsidR="00322D6D" w:rsidRPr="00322D6D" w:rsidRDefault="00322D6D" w:rsidP="00322D6D">
            <w:pPr>
              <w:jc w:val="right"/>
              <w:rPr>
                <w:noProof/>
                <w:sz w:val="20"/>
                <w:szCs w:val="20"/>
              </w:rPr>
            </w:pPr>
            <w:r w:rsidRPr="004E3436">
              <w:rPr>
                <w:noProof/>
                <w:sz w:val="20"/>
                <w:szCs w:val="20"/>
              </w:rPr>
              <w:t>210</w:t>
            </w:r>
          </w:p>
        </w:tc>
        <w:tc>
          <w:tcPr>
            <w:tcW w:w="1057" w:type="dxa"/>
            <w:tcBorders>
              <w:top w:val="nil"/>
              <w:left w:val="nil"/>
              <w:bottom w:val="single" w:sz="4" w:space="0" w:color="auto"/>
              <w:right w:val="single" w:sz="4" w:space="0" w:color="auto"/>
            </w:tcBorders>
            <w:shd w:val="clear" w:color="000000" w:fill="FFFFFF"/>
            <w:noWrap/>
            <w:hideMark/>
          </w:tcPr>
          <w:p w14:paraId="112AACB1" w14:textId="4699158E" w:rsidR="00322D6D" w:rsidRPr="00322D6D" w:rsidRDefault="00322D6D" w:rsidP="00322D6D">
            <w:pPr>
              <w:jc w:val="right"/>
              <w:rPr>
                <w:noProof/>
                <w:sz w:val="20"/>
                <w:szCs w:val="20"/>
              </w:rPr>
            </w:pPr>
            <w:r w:rsidRPr="004E3436">
              <w:rPr>
                <w:noProof/>
                <w:sz w:val="20"/>
                <w:szCs w:val="20"/>
              </w:rPr>
              <w:t>212</w:t>
            </w:r>
          </w:p>
        </w:tc>
      </w:tr>
      <w:tr w:rsidR="00322D6D" w:rsidRPr="002361D7" w14:paraId="00DB57BB"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1C9F2AF9" w14:textId="77777777" w:rsidR="00322D6D" w:rsidRPr="004E336D" w:rsidRDefault="00322D6D" w:rsidP="00322D6D">
            <w:pPr>
              <w:rPr>
                <w:noProof/>
                <w:sz w:val="20"/>
                <w:szCs w:val="20"/>
              </w:rPr>
            </w:pPr>
            <w:r w:rsidRPr="004E336D">
              <w:rPr>
                <w:noProof/>
                <w:sz w:val="20"/>
                <w:szCs w:val="20"/>
              </w:rPr>
              <w:t xml:space="preserve">Total one-off adjustment costs (million EUR) </w:t>
            </w:r>
          </w:p>
        </w:tc>
        <w:tc>
          <w:tcPr>
            <w:tcW w:w="1425" w:type="dxa"/>
            <w:tcBorders>
              <w:top w:val="nil"/>
              <w:left w:val="nil"/>
              <w:bottom w:val="single" w:sz="4" w:space="0" w:color="auto"/>
              <w:right w:val="single" w:sz="4" w:space="0" w:color="auto"/>
            </w:tcBorders>
            <w:shd w:val="clear" w:color="000000" w:fill="FFFFFF"/>
            <w:noWrap/>
            <w:hideMark/>
          </w:tcPr>
          <w:p w14:paraId="21405525" w14:textId="79DCC100" w:rsidR="00322D6D" w:rsidRPr="00322D6D" w:rsidRDefault="00322D6D" w:rsidP="00322D6D">
            <w:pPr>
              <w:jc w:val="right"/>
              <w:rPr>
                <w:noProof/>
                <w:sz w:val="20"/>
                <w:szCs w:val="20"/>
              </w:rPr>
            </w:pPr>
            <w:r w:rsidRPr="004E3436">
              <w:rPr>
                <w:noProof/>
                <w:sz w:val="20"/>
                <w:szCs w:val="20"/>
              </w:rPr>
              <w:t>4.1</w:t>
            </w:r>
          </w:p>
        </w:tc>
        <w:tc>
          <w:tcPr>
            <w:tcW w:w="942" w:type="dxa"/>
            <w:tcBorders>
              <w:top w:val="nil"/>
              <w:left w:val="nil"/>
              <w:bottom w:val="single" w:sz="4" w:space="0" w:color="auto"/>
              <w:right w:val="single" w:sz="4" w:space="0" w:color="auto"/>
            </w:tcBorders>
            <w:shd w:val="clear" w:color="000000" w:fill="FFFFFF"/>
            <w:noWrap/>
            <w:hideMark/>
          </w:tcPr>
          <w:p w14:paraId="3C0F393E" w14:textId="24E503BB" w:rsidR="00322D6D" w:rsidRPr="00322D6D" w:rsidRDefault="00322D6D" w:rsidP="00322D6D">
            <w:pPr>
              <w:jc w:val="right"/>
              <w:rPr>
                <w:noProof/>
                <w:sz w:val="20"/>
                <w:szCs w:val="20"/>
              </w:rPr>
            </w:pPr>
            <w:r w:rsidRPr="004E3436">
              <w:rPr>
                <w:noProof/>
                <w:sz w:val="20"/>
                <w:szCs w:val="20"/>
              </w:rPr>
              <w:t>0.1</w:t>
            </w:r>
          </w:p>
        </w:tc>
        <w:tc>
          <w:tcPr>
            <w:tcW w:w="950" w:type="dxa"/>
            <w:tcBorders>
              <w:top w:val="nil"/>
              <w:left w:val="nil"/>
              <w:bottom w:val="single" w:sz="4" w:space="0" w:color="auto"/>
              <w:right w:val="single" w:sz="4" w:space="0" w:color="auto"/>
            </w:tcBorders>
            <w:shd w:val="clear" w:color="000000" w:fill="FFFFFF"/>
            <w:noWrap/>
            <w:hideMark/>
          </w:tcPr>
          <w:p w14:paraId="2F13E055" w14:textId="00CCD19D" w:rsidR="00322D6D" w:rsidRPr="00322D6D" w:rsidRDefault="00322D6D" w:rsidP="00322D6D">
            <w:pPr>
              <w:jc w:val="right"/>
              <w:rPr>
                <w:noProof/>
                <w:sz w:val="20"/>
                <w:szCs w:val="20"/>
              </w:rPr>
            </w:pPr>
            <w:r w:rsidRPr="004E3436">
              <w:rPr>
                <w:noProof/>
                <w:sz w:val="20"/>
                <w:szCs w:val="20"/>
              </w:rPr>
              <w:t>0.1</w:t>
            </w:r>
          </w:p>
        </w:tc>
        <w:tc>
          <w:tcPr>
            <w:tcW w:w="1057" w:type="dxa"/>
            <w:tcBorders>
              <w:top w:val="nil"/>
              <w:left w:val="nil"/>
              <w:bottom w:val="single" w:sz="4" w:space="0" w:color="auto"/>
              <w:right w:val="single" w:sz="4" w:space="0" w:color="auto"/>
            </w:tcBorders>
            <w:shd w:val="clear" w:color="000000" w:fill="FFFFFF"/>
            <w:noWrap/>
            <w:hideMark/>
          </w:tcPr>
          <w:p w14:paraId="2891EA6E" w14:textId="4C921BBF" w:rsidR="00322D6D" w:rsidRPr="00322D6D" w:rsidRDefault="00322D6D" w:rsidP="00322D6D">
            <w:pPr>
              <w:jc w:val="right"/>
              <w:rPr>
                <w:noProof/>
                <w:sz w:val="20"/>
                <w:szCs w:val="20"/>
              </w:rPr>
            </w:pPr>
            <w:r w:rsidRPr="004E3436">
              <w:rPr>
                <w:noProof/>
                <w:sz w:val="20"/>
                <w:szCs w:val="20"/>
              </w:rPr>
              <w:t>0.0</w:t>
            </w:r>
          </w:p>
        </w:tc>
      </w:tr>
      <w:tr w:rsidR="00322D6D" w:rsidRPr="002361D7" w14:paraId="72E9AA55"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79C14545" w14:textId="77777777" w:rsidR="00322D6D" w:rsidRPr="004E336D" w:rsidRDefault="00322D6D" w:rsidP="00322D6D">
            <w:pPr>
              <w:rPr>
                <w:noProof/>
                <w:sz w:val="20"/>
                <w:szCs w:val="20"/>
              </w:rPr>
            </w:pPr>
            <w:r w:rsidRPr="004E336D">
              <w:rPr>
                <w:noProof/>
                <w:sz w:val="20"/>
                <w:szCs w:val="20"/>
              </w:rPr>
              <w:t xml:space="preserve">Total recurrent adjustment costs (million EUR) </w:t>
            </w:r>
          </w:p>
        </w:tc>
        <w:tc>
          <w:tcPr>
            <w:tcW w:w="1425" w:type="dxa"/>
            <w:tcBorders>
              <w:top w:val="nil"/>
              <w:left w:val="nil"/>
              <w:bottom w:val="single" w:sz="4" w:space="0" w:color="auto"/>
              <w:right w:val="single" w:sz="4" w:space="0" w:color="auto"/>
            </w:tcBorders>
            <w:shd w:val="clear" w:color="000000" w:fill="FFFFFF"/>
            <w:noWrap/>
            <w:hideMark/>
          </w:tcPr>
          <w:p w14:paraId="068B6BF2" w14:textId="1C3F5292" w:rsidR="00322D6D" w:rsidRPr="00322D6D" w:rsidRDefault="00322D6D" w:rsidP="00322D6D">
            <w:pPr>
              <w:jc w:val="right"/>
              <w:rPr>
                <w:noProof/>
                <w:sz w:val="20"/>
                <w:szCs w:val="20"/>
              </w:rPr>
            </w:pPr>
            <w:r w:rsidRPr="004E3436">
              <w:rPr>
                <w:noProof/>
                <w:sz w:val="20"/>
                <w:szCs w:val="20"/>
              </w:rPr>
              <w:t>0.0</w:t>
            </w:r>
          </w:p>
        </w:tc>
        <w:tc>
          <w:tcPr>
            <w:tcW w:w="942" w:type="dxa"/>
            <w:tcBorders>
              <w:top w:val="nil"/>
              <w:left w:val="nil"/>
              <w:bottom w:val="single" w:sz="4" w:space="0" w:color="auto"/>
              <w:right w:val="single" w:sz="4" w:space="0" w:color="auto"/>
            </w:tcBorders>
            <w:shd w:val="clear" w:color="000000" w:fill="FFFFFF"/>
            <w:noWrap/>
            <w:hideMark/>
          </w:tcPr>
          <w:p w14:paraId="2DB8D5F1" w14:textId="444F645C" w:rsidR="00322D6D" w:rsidRPr="00322D6D" w:rsidRDefault="00322D6D" w:rsidP="00322D6D">
            <w:pPr>
              <w:jc w:val="right"/>
              <w:rPr>
                <w:noProof/>
                <w:sz w:val="20"/>
                <w:szCs w:val="20"/>
              </w:rPr>
            </w:pPr>
            <w:r w:rsidRPr="004E3436">
              <w:rPr>
                <w:noProof/>
                <w:sz w:val="20"/>
                <w:szCs w:val="20"/>
              </w:rPr>
              <w:t>0.4</w:t>
            </w:r>
          </w:p>
        </w:tc>
        <w:tc>
          <w:tcPr>
            <w:tcW w:w="950" w:type="dxa"/>
            <w:tcBorders>
              <w:top w:val="nil"/>
              <w:left w:val="nil"/>
              <w:bottom w:val="single" w:sz="4" w:space="0" w:color="auto"/>
              <w:right w:val="single" w:sz="4" w:space="0" w:color="auto"/>
            </w:tcBorders>
            <w:shd w:val="clear" w:color="000000" w:fill="FFFFFF"/>
            <w:noWrap/>
            <w:hideMark/>
          </w:tcPr>
          <w:p w14:paraId="26F44CC7" w14:textId="34C9F58A" w:rsidR="00322D6D" w:rsidRPr="00322D6D" w:rsidRDefault="00322D6D" w:rsidP="00322D6D">
            <w:pPr>
              <w:jc w:val="right"/>
              <w:rPr>
                <w:noProof/>
                <w:sz w:val="20"/>
                <w:szCs w:val="20"/>
              </w:rPr>
            </w:pPr>
            <w:r w:rsidRPr="004E3436">
              <w:rPr>
                <w:noProof/>
                <w:sz w:val="20"/>
                <w:szCs w:val="20"/>
              </w:rPr>
              <w:t>0.5</w:t>
            </w:r>
          </w:p>
        </w:tc>
        <w:tc>
          <w:tcPr>
            <w:tcW w:w="1057" w:type="dxa"/>
            <w:tcBorders>
              <w:top w:val="nil"/>
              <w:left w:val="nil"/>
              <w:bottom w:val="single" w:sz="4" w:space="0" w:color="auto"/>
              <w:right w:val="single" w:sz="4" w:space="0" w:color="auto"/>
            </w:tcBorders>
            <w:shd w:val="clear" w:color="000000" w:fill="FFFFFF"/>
            <w:noWrap/>
            <w:hideMark/>
          </w:tcPr>
          <w:p w14:paraId="05323A0D" w14:textId="42DD79FD" w:rsidR="00322D6D" w:rsidRPr="00322D6D" w:rsidRDefault="00322D6D" w:rsidP="00322D6D">
            <w:pPr>
              <w:jc w:val="right"/>
              <w:rPr>
                <w:noProof/>
                <w:sz w:val="20"/>
                <w:szCs w:val="20"/>
              </w:rPr>
            </w:pPr>
            <w:r w:rsidRPr="004E3436">
              <w:rPr>
                <w:noProof/>
                <w:sz w:val="20"/>
                <w:szCs w:val="20"/>
              </w:rPr>
              <w:t>0.5</w:t>
            </w:r>
          </w:p>
        </w:tc>
      </w:tr>
      <w:tr w:rsidR="00322D6D" w:rsidRPr="00134CD5" w14:paraId="35707B85"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09388621" w14:textId="77777777" w:rsidR="00322D6D" w:rsidRPr="004E336D" w:rsidRDefault="00322D6D" w:rsidP="00322D6D">
            <w:pPr>
              <w:rPr>
                <w:b/>
                <w:noProof/>
                <w:sz w:val="20"/>
                <w:szCs w:val="20"/>
              </w:rPr>
            </w:pPr>
            <w:r w:rsidRPr="004E336D">
              <w:rPr>
                <w:b/>
                <w:noProof/>
                <w:sz w:val="20"/>
                <w:szCs w:val="20"/>
              </w:rPr>
              <w:t xml:space="preserve">PO2 </w:t>
            </w:r>
          </w:p>
        </w:tc>
        <w:tc>
          <w:tcPr>
            <w:tcW w:w="1425" w:type="dxa"/>
            <w:tcBorders>
              <w:top w:val="nil"/>
              <w:left w:val="nil"/>
              <w:bottom w:val="single" w:sz="4" w:space="0" w:color="auto"/>
              <w:right w:val="single" w:sz="4" w:space="0" w:color="auto"/>
            </w:tcBorders>
            <w:shd w:val="clear" w:color="000000" w:fill="FFFFFF"/>
            <w:noWrap/>
            <w:hideMark/>
          </w:tcPr>
          <w:p w14:paraId="587E4E38" w14:textId="459DA3FE" w:rsidR="00322D6D" w:rsidRPr="00322D6D" w:rsidRDefault="00322D6D" w:rsidP="00322D6D">
            <w:pPr>
              <w:jc w:val="right"/>
              <w:rPr>
                <w:noProof/>
                <w:sz w:val="20"/>
                <w:szCs w:val="20"/>
              </w:rPr>
            </w:pPr>
            <w:r w:rsidRPr="004E3436">
              <w:rPr>
                <w:noProof/>
                <w:sz w:val="20"/>
                <w:szCs w:val="20"/>
              </w:rPr>
              <w:t> </w:t>
            </w:r>
          </w:p>
        </w:tc>
        <w:tc>
          <w:tcPr>
            <w:tcW w:w="942" w:type="dxa"/>
            <w:tcBorders>
              <w:top w:val="nil"/>
              <w:left w:val="nil"/>
              <w:bottom w:val="single" w:sz="4" w:space="0" w:color="auto"/>
              <w:right w:val="single" w:sz="4" w:space="0" w:color="auto"/>
            </w:tcBorders>
            <w:shd w:val="clear" w:color="000000" w:fill="FFFFFF"/>
            <w:noWrap/>
            <w:hideMark/>
          </w:tcPr>
          <w:p w14:paraId="008B96F6" w14:textId="4BA9333F" w:rsidR="00322D6D" w:rsidRPr="00322D6D" w:rsidRDefault="00322D6D" w:rsidP="00322D6D">
            <w:pPr>
              <w:jc w:val="right"/>
              <w:rPr>
                <w:noProof/>
                <w:sz w:val="20"/>
                <w:szCs w:val="20"/>
              </w:rPr>
            </w:pPr>
            <w:r w:rsidRPr="004E3436">
              <w:rPr>
                <w:noProof/>
                <w:sz w:val="20"/>
                <w:szCs w:val="20"/>
              </w:rPr>
              <w:t> </w:t>
            </w:r>
          </w:p>
        </w:tc>
        <w:tc>
          <w:tcPr>
            <w:tcW w:w="950" w:type="dxa"/>
            <w:tcBorders>
              <w:top w:val="nil"/>
              <w:left w:val="nil"/>
              <w:bottom w:val="single" w:sz="4" w:space="0" w:color="auto"/>
              <w:right w:val="single" w:sz="4" w:space="0" w:color="auto"/>
            </w:tcBorders>
            <w:shd w:val="clear" w:color="000000" w:fill="FFFFFF"/>
            <w:noWrap/>
            <w:hideMark/>
          </w:tcPr>
          <w:p w14:paraId="062AFBF7" w14:textId="351FC7E9" w:rsidR="00322D6D" w:rsidRPr="00322D6D" w:rsidRDefault="00322D6D" w:rsidP="00322D6D">
            <w:pPr>
              <w:jc w:val="right"/>
              <w:rPr>
                <w:noProof/>
                <w:sz w:val="20"/>
                <w:szCs w:val="20"/>
              </w:rPr>
            </w:pPr>
            <w:r w:rsidRPr="004E3436">
              <w:rPr>
                <w:noProof/>
                <w:sz w:val="20"/>
                <w:szCs w:val="20"/>
              </w:rPr>
              <w:t> </w:t>
            </w:r>
          </w:p>
        </w:tc>
        <w:tc>
          <w:tcPr>
            <w:tcW w:w="1057" w:type="dxa"/>
            <w:tcBorders>
              <w:top w:val="nil"/>
              <w:left w:val="nil"/>
              <w:bottom w:val="single" w:sz="4" w:space="0" w:color="auto"/>
              <w:right w:val="single" w:sz="4" w:space="0" w:color="auto"/>
            </w:tcBorders>
            <w:shd w:val="clear" w:color="000000" w:fill="FFFFFF"/>
            <w:noWrap/>
            <w:hideMark/>
          </w:tcPr>
          <w:p w14:paraId="3A10E6BC" w14:textId="1F450F30" w:rsidR="00322D6D" w:rsidRPr="00322D6D" w:rsidRDefault="00322D6D" w:rsidP="00322D6D">
            <w:pPr>
              <w:jc w:val="right"/>
              <w:rPr>
                <w:noProof/>
                <w:sz w:val="20"/>
                <w:szCs w:val="20"/>
              </w:rPr>
            </w:pPr>
            <w:r w:rsidRPr="004E3436">
              <w:rPr>
                <w:noProof/>
                <w:sz w:val="20"/>
                <w:szCs w:val="20"/>
              </w:rPr>
              <w:t> </w:t>
            </w:r>
          </w:p>
        </w:tc>
      </w:tr>
      <w:tr w:rsidR="00322D6D" w:rsidRPr="00134CD5" w14:paraId="452B05D3"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373F60E7" w14:textId="708B88EB" w:rsidR="00322D6D" w:rsidRPr="004E336D" w:rsidRDefault="00322D6D" w:rsidP="00322D6D">
            <w:pPr>
              <w:rPr>
                <w:noProof/>
                <w:sz w:val="20"/>
                <w:szCs w:val="20"/>
              </w:rPr>
            </w:pPr>
            <w:r w:rsidRPr="004E336D">
              <w:rPr>
                <w:noProof/>
                <w:sz w:val="20"/>
                <w:szCs w:val="20"/>
              </w:rPr>
              <w:t xml:space="preserve">Number of </w:t>
            </w:r>
            <w:r>
              <w:rPr>
                <w:noProof/>
                <w:sz w:val="20"/>
                <w:szCs w:val="20"/>
              </w:rPr>
              <w:t>non-SME</w:t>
            </w:r>
            <w:r w:rsidRPr="004E336D">
              <w:rPr>
                <w:noProof/>
                <w:sz w:val="20"/>
                <w:szCs w:val="20"/>
              </w:rPr>
              <w:t xml:space="preserve"> MDMS platforms that incur one-off costs due to PM8 </w:t>
            </w:r>
          </w:p>
        </w:tc>
        <w:tc>
          <w:tcPr>
            <w:tcW w:w="1425" w:type="dxa"/>
            <w:tcBorders>
              <w:top w:val="nil"/>
              <w:left w:val="nil"/>
              <w:bottom w:val="single" w:sz="4" w:space="0" w:color="auto"/>
              <w:right w:val="single" w:sz="4" w:space="0" w:color="auto"/>
            </w:tcBorders>
            <w:shd w:val="clear" w:color="000000" w:fill="FFFFFF"/>
            <w:noWrap/>
            <w:hideMark/>
          </w:tcPr>
          <w:p w14:paraId="1575519E" w14:textId="37645A3D" w:rsidR="00322D6D" w:rsidRPr="00322D6D" w:rsidRDefault="00322D6D" w:rsidP="00322D6D">
            <w:pPr>
              <w:jc w:val="right"/>
              <w:rPr>
                <w:noProof/>
                <w:sz w:val="20"/>
                <w:szCs w:val="20"/>
              </w:rPr>
            </w:pPr>
            <w:r w:rsidRPr="004E3436">
              <w:rPr>
                <w:noProof/>
                <w:sz w:val="20"/>
                <w:szCs w:val="20"/>
              </w:rPr>
              <w:t>175</w:t>
            </w:r>
          </w:p>
        </w:tc>
        <w:tc>
          <w:tcPr>
            <w:tcW w:w="942" w:type="dxa"/>
            <w:tcBorders>
              <w:top w:val="nil"/>
              <w:left w:val="nil"/>
              <w:bottom w:val="single" w:sz="4" w:space="0" w:color="auto"/>
              <w:right w:val="single" w:sz="4" w:space="0" w:color="auto"/>
            </w:tcBorders>
            <w:shd w:val="clear" w:color="000000" w:fill="FFFFFF"/>
            <w:noWrap/>
            <w:hideMark/>
          </w:tcPr>
          <w:p w14:paraId="50C8C9C1" w14:textId="1FE699AC" w:rsidR="00322D6D" w:rsidRPr="00322D6D" w:rsidRDefault="00322D6D" w:rsidP="00322D6D">
            <w:pPr>
              <w:jc w:val="right"/>
              <w:rPr>
                <w:noProof/>
                <w:sz w:val="20"/>
                <w:szCs w:val="20"/>
              </w:rPr>
            </w:pPr>
            <w:r w:rsidRPr="004E3436">
              <w:rPr>
                <w:noProof/>
                <w:sz w:val="20"/>
                <w:szCs w:val="20"/>
              </w:rPr>
              <w:t>8</w:t>
            </w:r>
          </w:p>
        </w:tc>
        <w:tc>
          <w:tcPr>
            <w:tcW w:w="950" w:type="dxa"/>
            <w:tcBorders>
              <w:top w:val="nil"/>
              <w:left w:val="nil"/>
              <w:bottom w:val="single" w:sz="4" w:space="0" w:color="auto"/>
              <w:right w:val="single" w:sz="4" w:space="0" w:color="auto"/>
            </w:tcBorders>
            <w:shd w:val="clear" w:color="000000" w:fill="FFFFFF"/>
            <w:noWrap/>
            <w:hideMark/>
          </w:tcPr>
          <w:p w14:paraId="41F0C329" w14:textId="6CA22835" w:rsidR="00322D6D" w:rsidRPr="00322D6D" w:rsidRDefault="00322D6D" w:rsidP="00322D6D">
            <w:pPr>
              <w:jc w:val="right"/>
              <w:rPr>
                <w:noProof/>
                <w:sz w:val="20"/>
                <w:szCs w:val="20"/>
              </w:rPr>
            </w:pPr>
            <w:r w:rsidRPr="004E3436">
              <w:rPr>
                <w:noProof/>
                <w:sz w:val="20"/>
                <w:szCs w:val="20"/>
              </w:rPr>
              <w:t>13</w:t>
            </w:r>
          </w:p>
        </w:tc>
        <w:tc>
          <w:tcPr>
            <w:tcW w:w="1057" w:type="dxa"/>
            <w:tcBorders>
              <w:top w:val="nil"/>
              <w:left w:val="nil"/>
              <w:bottom w:val="single" w:sz="4" w:space="0" w:color="auto"/>
              <w:right w:val="single" w:sz="4" w:space="0" w:color="auto"/>
            </w:tcBorders>
            <w:shd w:val="clear" w:color="000000" w:fill="FFFFFF"/>
            <w:noWrap/>
            <w:hideMark/>
          </w:tcPr>
          <w:p w14:paraId="4C7BD1C3" w14:textId="23ED7975" w:rsidR="00322D6D" w:rsidRPr="00322D6D" w:rsidRDefault="00322D6D" w:rsidP="00322D6D">
            <w:pPr>
              <w:jc w:val="right"/>
              <w:rPr>
                <w:noProof/>
                <w:sz w:val="20"/>
                <w:szCs w:val="20"/>
              </w:rPr>
            </w:pPr>
            <w:r w:rsidRPr="004E3436">
              <w:rPr>
                <w:noProof/>
                <w:sz w:val="20"/>
                <w:szCs w:val="20"/>
              </w:rPr>
              <w:t>0</w:t>
            </w:r>
          </w:p>
        </w:tc>
      </w:tr>
      <w:tr w:rsidR="00322D6D" w:rsidRPr="00134CD5" w14:paraId="46CEECE7"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1E8B3D48" w14:textId="3410A066" w:rsidR="00322D6D" w:rsidRPr="004E336D" w:rsidRDefault="00322D6D" w:rsidP="00322D6D">
            <w:pPr>
              <w:rPr>
                <w:noProof/>
                <w:sz w:val="20"/>
                <w:szCs w:val="20"/>
              </w:rPr>
            </w:pPr>
            <w:r w:rsidRPr="004E336D">
              <w:rPr>
                <w:noProof/>
                <w:sz w:val="20"/>
                <w:szCs w:val="20"/>
              </w:rPr>
              <w:t xml:space="preserve">Number of </w:t>
            </w:r>
            <w:r>
              <w:rPr>
                <w:noProof/>
                <w:sz w:val="20"/>
                <w:szCs w:val="20"/>
              </w:rPr>
              <w:t>non-SME</w:t>
            </w:r>
            <w:r w:rsidRPr="004E336D">
              <w:rPr>
                <w:noProof/>
                <w:sz w:val="20"/>
                <w:szCs w:val="20"/>
              </w:rPr>
              <w:t xml:space="preserve"> MDMS platforms that incur recurrent costs due to PM8 </w:t>
            </w:r>
          </w:p>
        </w:tc>
        <w:tc>
          <w:tcPr>
            <w:tcW w:w="1425" w:type="dxa"/>
            <w:tcBorders>
              <w:top w:val="nil"/>
              <w:left w:val="nil"/>
              <w:bottom w:val="single" w:sz="4" w:space="0" w:color="auto"/>
              <w:right w:val="single" w:sz="4" w:space="0" w:color="auto"/>
            </w:tcBorders>
            <w:shd w:val="clear" w:color="000000" w:fill="FFFFFF"/>
            <w:noWrap/>
            <w:hideMark/>
          </w:tcPr>
          <w:p w14:paraId="5EBAAD86" w14:textId="68594F40" w:rsidR="00322D6D" w:rsidRPr="00322D6D" w:rsidRDefault="00322D6D" w:rsidP="00322D6D">
            <w:pPr>
              <w:jc w:val="right"/>
              <w:rPr>
                <w:noProof/>
                <w:sz w:val="20"/>
                <w:szCs w:val="20"/>
              </w:rPr>
            </w:pPr>
            <w:r w:rsidRPr="004E3436">
              <w:rPr>
                <w:noProof/>
                <w:sz w:val="20"/>
                <w:szCs w:val="20"/>
              </w:rPr>
              <w:t>0</w:t>
            </w:r>
          </w:p>
        </w:tc>
        <w:tc>
          <w:tcPr>
            <w:tcW w:w="942" w:type="dxa"/>
            <w:tcBorders>
              <w:top w:val="nil"/>
              <w:left w:val="nil"/>
              <w:bottom w:val="single" w:sz="4" w:space="0" w:color="auto"/>
              <w:right w:val="single" w:sz="4" w:space="0" w:color="auto"/>
            </w:tcBorders>
            <w:shd w:val="clear" w:color="000000" w:fill="FFFFFF"/>
            <w:noWrap/>
            <w:hideMark/>
          </w:tcPr>
          <w:p w14:paraId="3A9FDAA0" w14:textId="45422A9C" w:rsidR="00322D6D" w:rsidRPr="00322D6D" w:rsidRDefault="00322D6D" w:rsidP="00322D6D">
            <w:pPr>
              <w:jc w:val="right"/>
              <w:rPr>
                <w:noProof/>
                <w:sz w:val="20"/>
                <w:szCs w:val="20"/>
              </w:rPr>
            </w:pPr>
            <w:r w:rsidRPr="004E3436">
              <w:rPr>
                <w:noProof/>
                <w:sz w:val="20"/>
                <w:szCs w:val="20"/>
              </w:rPr>
              <w:t>183</w:t>
            </w:r>
          </w:p>
        </w:tc>
        <w:tc>
          <w:tcPr>
            <w:tcW w:w="950" w:type="dxa"/>
            <w:tcBorders>
              <w:top w:val="nil"/>
              <w:left w:val="nil"/>
              <w:bottom w:val="single" w:sz="4" w:space="0" w:color="auto"/>
              <w:right w:val="single" w:sz="4" w:space="0" w:color="auto"/>
            </w:tcBorders>
            <w:shd w:val="clear" w:color="000000" w:fill="FFFFFF"/>
            <w:noWrap/>
            <w:hideMark/>
          </w:tcPr>
          <w:p w14:paraId="21930A03" w14:textId="16696CC7" w:rsidR="00322D6D" w:rsidRPr="00322D6D" w:rsidRDefault="00322D6D" w:rsidP="00322D6D">
            <w:pPr>
              <w:jc w:val="right"/>
              <w:rPr>
                <w:noProof/>
                <w:sz w:val="20"/>
                <w:szCs w:val="20"/>
              </w:rPr>
            </w:pPr>
            <w:r w:rsidRPr="004E3436">
              <w:rPr>
                <w:noProof/>
                <w:sz w:val="20"/>
                <w:szCs w:val="20"/>
              </w:rPr>
              <w:t>312</w:t>
            </w:r>
          </w:p>
        </w:tc>
        <w:tc>
          <w:tcPr>
            <w:tcW w:w="1057" w:type="dxa"/>
            <w:tcBorders>
              <w:top w:val="nil"/>
              <w:left w:val="nil"/>
              <w:bottom w:val="single" w:sz="4" w:space="0" w:color="auto"/>
              <w:right w:val="single" w:sz="4" w:space="0" w:color="auto"/>
            </w:tcBorders>
            <w:shd w:val="clear" w:color="000000" w:fill="FFFFFF"/>
            <w:noWrap/>
            <w:hideMark/>
          </w:tcPr>
          <w:p w14:paraId="20F3DF6C" w14:textId="657EDA6B" w:rsidR="00322D6D" w:rsidRPr="00322D6D" w:rsidRDefault="00322D6D" w:rsidP="00322D6D">
            <w:pPr>
              <w:jc w:val="right"/>
              <w:rPr>
                <w:noProof/>
                <w:sz w:val="20"/>
                <w:szCs w:val="20"/>
              </w:rPr>
            </w:pPr>
            <w:r w:rsidRPr="004E3436">
              <w:rPr>
                <w:noProof/>
                <w:sz w:val="20"/>
                <w:szCs w:val="20"/>
              </w:rPr>
              <w:t>306</w:t>
            </w:r>
          </w:p>
        </w:tc>
      </w:tr>
      <w:tr w:rsidR="00322D6D" w:rsidRPr="00134CD5" w14:paraId="380445B8"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0B633C61" w14:textId="77777777" w:rsidR="00322D6D" w:rsidRPr="004E336D" w:rsidRDefault="00322D6D" w:rsidP="00322D6D">
            <w:pPr>
              <w:rPr>
                <w:noProof/>
                <w:sz w:val="20"/>
                <w:szCs w:val="20"/>
              </w:rPr>
            </w:pPr>
            <w:r w:rsidRPr="004E336D">
              <w:rPr>
                <w:noProof/>
                <w:sz w:val="20"/>
                <w:szCs w:val="20"/>
              </w:rPr>
              <w:t xml:space="preserve">Total one-off adjustment costs (million EUR) </w:t>
            </w:r>
          </w:p>
        </w:tc>
        <w:tc>
          <w:tcPr>
            <w:tcW w:w="1425" w:type="dxa"/>
            <w:tcBorders>
              <w:top w:val="nil"/>
              <w:left w:val="nil"/>
              <w:bottom w:val="single" w:sz="4" w:space="0" w:color="auto"/>
              <w:right w:val="single" w:sz="4" w:space="0" w:color="auto"/>
            </w:tcBorders>
            <w:shd w:val="clear" w:color="000000" w:fill="FFFFFF"/>
            <w:noWrap/>
            <w:hideMark/>
          </w:tcPr>
          <w:p w14:paraId="790FFC46" w14:textId="4E8E29B1" w:rsidR="00322D6D" w:rsidRPr="00322D6D" w:rsidRDefault="00322D6D" w:rsidP="00322D6D">
            <w:pPr>
              <w:jc w:val="right"/>
              <w:rPr>
                <w:noProof/>
                <w:sz w:val="20"/>
                <w:szCs w:val="20"/>
              </w:rPr>
            </w:pPr>
            <w:r w:rsidRPr="004E3436">
              <w:rPr>
                <w:noProof/>
                <w:sz w:val="20"/>
                <w:szCs w:val="20"/>
              </w:rPr>
              <w:t>4.1</w:t>
            </w:r>
          </w:p>
        </w:tc>
        <w:tc>
          <w:tcPr>
            <w:tcW w:w="942" w:type="dxa"/>
            <w:tcBorders>
              <w:top w:val="nil"/>
              <w:left w:val="nil"/>
              <w:bottom w:val="single" w:sz="4" w:space="0" w:color="auto"/>
              <w:right w:val="single" w:sz="4" w:space="0" w:color="auto"/>
            </w:tcBorders>
            <w:shd w:val="clear" w:color="000000" w:fill="FFFFFF"/>
            <w:noWrap/>
            <w:hideMark/>
          </w:tcPr>
          <w:p w14:paraId="754DFB9E" w14:textId="3EE23794" w:rsidR="00322D6D" w:rsidRPr="00322D6D" w:rsidRDefault="00322D6D" w:rsidP="00322D6D">
            <w:pPr>
              <w:jc w:val="right"/>
              <w:rPr>
                <w:noProof/>
                <w:sz w:val="20"/>
                <w:szCs w:val="20"/>
              </w:rPr>
            </w:pPr>
            <w:r w:rsidRPr="004E3436">
              <w:rPr>
                <w:noProof/>
                <w:sz w:val="20"/>
                <w:szCs w:val="20"/>
              </w:rPr>
              <w:t>0.2</w:t>
            </w:r>
          </w:p>
        </w:tc>
        <w:tc>
          <w:tcPr>
            <w:tcW w:w="950" w:type="dxa"/>
            <w:tcBorders>
              <w:top w:val="nil"/>
              <w:left w:val="nil"/>
              <w:bottom w:val="single" w:sz="4" w:space="0" w:color="auto"/>
              <w:right w:val="single" w:sz="4" w:space="0" w:color="auto"/>
            </w:tcBorders>
            <w:shd w:val="clear" w:color="000000" w:fill="FFFFFF"/>
            <w:noWrap/>
            <w:hideMark/>
          </w:tcPr>
          <w:p w14:paraId="4BBAD5B5" w14:textId="077AFF29" w:rsidR="00322D6D" w:rsidRPr="00322D6D" w:rsidRDefault="00322D6D" w:rsidP="00322D6D">
            <w:pPr>
              <w:jc w:val="right"/>
              <w:rPr>
                <w:noProof/>
                <w:sz w:val="20"/>
                <w:szCs w:val="20"/>
              </w:rPr>
            </w:pPr>
            <w:r w:rsidRPr="004E3436">
              <w:rPr>
                <w:noProof/>
                <w:sz w:val="20"/>
                <w:szCs w:val="20"/>
              </w:rPr>
              <w:t>0.3</w:t>
            </w:r>
          </w:p>
        </w:tc>
        <w:tc>
          <w:tcPr>
            <w:tcW w:w="1057" w:type="dxa"/>
            <w:tcBorders>
              <w:top w:val="nil"/>
              <w:left w:val="nil"/>
              <w:bottom w:val="single" w:sz="4" w:space="0" w:color="auto"/>
              <w:right w:val="single" w:sz="4" w:space="0" w:color="auto"/>
            </w:tcBorders>
            <w:shd w:val="clear" w:color="000000" w:fill="FFFFFF"/>
            <w:noWrap/>
            <w:hideMark/>
          </w:tcPr>
          <w:p w14:paraId="59A55D97" w14:textId="149B8BEF" w:rsidR="00322D6D" w:rsidRPr="00322D6D" w:rsidRDefault="00322D6D" w:rsidP="00322D6D">
            <w:pPr>
              <w:jc w:val="right"/>
              <w:rPr>
                <w:noProof/>
                <w:sz w:val="20"/>
                <w:szCs w:val="20"/>
              </w:rPr>
            </w:pPr>
            <w:r w:rsidRPr="004E3436">
              <w:rPr>
                <w:noProof/>
                <w:sz w:val="20"/>
                <w:szCs w:val="20"/>
              </w:rPr>
              <w:t>0.0</w:t>
            </w:r>
          </w:p>
        </w:tc>
      </w:tr>
      <w:tr w:rsidR="00322D6D" w:rsidRPr="00134CD5" w14:paraId="19E888CD"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16F371D9" w14:textId="77777777" w:rsidR="00322D6D" w:rsidRPr="004E336D" w:rsidRDefault="00322D6D" w:rsidP="00322D6D">
            <w:pPr>
              <w:rPr>
                <w:noProof/>
                <w:sz w:val="20"/>
                <w:szCs w:val="20"/>
              </w:rPr>
            </w:pPr>
            <w:r w:rsidRPr="004E336D">
              <w:rPr>
                <w:noProof/>
                <w:sz w:val="20"/>
                <w:szCs w:val="20"/>
              </w:rPr>
              <w:t xml:space="preserve">Total recurrent adjustment costs (million EUR) </w:t>
            </w:r>
          </w:p>
        </w:tc>
        <w:tc>
          <w:tcPr>
            <w:tcW w:w="1425" w:type="dxa"/>
            <w:tcBorders>
              <w:top w:val="nil"/>
              <w:left w:val="nil"/>
              <w:bottom w:val="single" w:sz="4" w:space="0" w:color="auto"/>
              <w:right w:val="single" w:sz="4" w:space="0" w:color="auto"/>
            </w:tcBorders>
            <w:shd w:val="clear" w:color="000000" w:fill="FFFFFF"/>
            <w:noWrap/>
            <w:hideMark/>
          </w:tcPr>
          <w:p w14:paraId="146348AF" w14:textId="2E54009B" w:rsidR="00322D6D" w:rsidRPr="00322D6D" w:rsidRDefault="00322D6D" w:rsidP="00322D6D">
            <w:pPr>
              <w:jc w:val="right"/>
              <w:rPr>
                <w:noProof/>
                <w:sz w:val="20"/>
                <w:szCs w:val="20"/>
              </w:rPr>
            </w:pPr>
            <w:r w:rsidRPr="004E3436">
              <w:rPr>
                <w:noProof/>
                <w:sz w:val="20"/>
                <w:szCs w:val="20"/>
              </w:rPr>
              <w:t>0.0</w:t>
            </w:r>
          </w:p>
        </w:tc>
        <w:tc>
          <w:tcPr>
            <w:tcW w:w="942" w:type="dxa"/>
            <w:tcBorders>
              <w:top w:val="nil"/>
              <w:left w:val="nil"/>
              <w:bottom w:val="single" w:sz="4" w:space="0" w:color="auto"/>
              <w:right w:val="single" w:sz="4" w:space="0" w:color="auto"/>
            </w:tcBorders>
            <w:shd w:val="clear" w:color="000000" w:fill="FFFFFF"/>
            <w:noWrap/>
            <w:hideMark/>
          </w:tcPr>
          <w:p w14:paraId="3FE8138D" w14:textId="67A7F74C" w:rsidR="00322D6D" w:rsidRPr="00322D6D" w:rsidRDefault="00322D6D" w:rsidP="00322D6D">
            <w:pPr>
              <w:jc w:val="right"/>
              <w:rPr>
                <w:noProof/>
                <w:sz w:val="20"/>
                <w:szCs w:val="20"/>
              </w:rPr>
            </w:pPr>
            <w:r w:rsidRPr="004E3436">
              <w:rPr>
                <w:noProof/>
                <w:sz w:val="20"/>
                <w:szCs w:val="20"/>
              </w:rPr>
              <w:t>0.4</w:t>
            </w:r>
          </w:p>
        </w:tc>
        <w:tc>
          <w:tcPr>
            <w:tcW w:w="950" w:type="dxa"/>
            <w:tcBorders>
              <w:top w:val="nil"/>
              <w:left w:val="nil"/>
              <w:bottom w:val="single" w:sz="4" w:space="0" w:color="auto"/>
              <w:right w:val="single" w:sz="4" w:space="0" w:color="auto"/>
            </w:tcBorders>
            <w:shd w:val="clear" w:color="000000" w:fill="FFFFFF"/>
            <w:noWrap/>
            <w:hideMark/>
          </w:tcPr>
          <w:p w14:paraId="4542E7FB" w14:textId="31C71945" w:rsidR="00322D6D" w:rsidRPr="00322D6D" w:rsidRDefault="00322D6D" w:rsidP="00322D6D">
            <w:pPr>
              <w:jc w:val="right"/>
              <w:rPr>
                <w:noProof/>
                <w:sz w:val="20"/>
                <w:szCs w:val="20"/>
              </w:rPr>
            </w:pPr>
            <w:r w:rsidRPr="004E3436">
              <w:rPr>
                <w:noProof/>
                <w:sz w:val="20"/>
                <w:szCs w:val="20"/>
              </w:rPr>
              <w:t>0.7</w:t>
            </w:r>
          </w:p>
        </w:tc>
        <w:tc>
          <w:tcPr>
            <w:tcW w:w="1057" w:type="dxa"/>
            <w:tcBorders>
              <w:top w:val="nil"/>
              <w:left w:val="nil"/>
              <w:bottom w:val="single" w:sz="4" w:space="0" w:color="auto"/>
              <w:right w:val="single" w:sz="4" w:space="0" w:color="auto"/>
            </w:tcBorders>
            <w:shd w:val="clear" w:color="000000" w:fill="FFFFFF"/>
            <w:noWrap/>
            <w:hideMark/>
          </w:tcPr>
          <w:p w14:paraId="32CA6745" w14:textId="3E212CCE" w:rsidR="00322D6D" w:rsidRPr="00322D6D" w:rsidRDefault="00322D6D" w:rsidP="00322D6D">
            <w:pPr>
              <w:jc w:val="right"/>
              <w:rPr>
                <w:noProof/>
                <w:sz w:val="20"/>
                <w:szCs w:val="20"/>
              </w:rPr>
            </w:pPr>
            <w:r w:rsidRPr="004E3436">
              <w:rPr>
                <w:noProof/>
                <w:sz w:val="20"/>
                <w:szCs w:val="20"/>
              </w:rPr>
              <w:t>0.7</w:t>
            </w:r>
          </w:p>
        </w:tc>
      </w:tr>
      <w:tr w:rsidR="00322D6D" w:rsidRPr="00134CD5" w14:paraId="78135A96"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08D4E5EF" w14:textId="77777777" w:rsidR="00322D6D" w:rsidRPr="004E336D" w:rsidRDefault="00322D6D" w:rsidP="00322D6D">
            <w:pPr>
              <w:rPr>
                <w:b/>
                <w:noProof/>
                <w:sz w:val="20"/>
                <w:szCs w:val="20"/>
              </w:rPr>
            </w:pPr>
            <w:r w:rsidRPr="004E336D">
              <w:rPr>
                <w:b/>
                <w:noProof/>
                <w:sz w:val="20"/>
                <w:szCs w:val="20"/>
              </w:rPr>
              <w:t xml:space="preserve">PO3 </w:t>
            </w:r>
          </w:p>
        </w:tc>
        <w:tc>
          <w:tcPr>
            <w:tcW w:w="1425" w:type="dxa"/>
            <w:tcBorders>
              <w:top w:val="nil"/>
              <w:left w:val="nil"/>
              <w:bottom w:val="single" w:sz="4" w:space="0" w:color="auto"/>
              <w:right w:val="single" w:sz="4" w:space="0" w:color="auto"/>
            </w:tcBorders>
            <w:shd w:val="clear" w:color="000000" w:fill="FFFFFF"/>
            <w:noWrap/>
            <w:hideMark/>
          </w:tcPr>
          <w:p w14:paraId="6A85C3E9" w14:textId="19C0B248" w:rsidR="00322D6D" w:rsidRPr="00322D6D" w:rsidRDefault="00322D6D" w:rsidP="00322D6D">
            <w:pPr>
              <w:jc w:val="right"/>
              <w:rPr>
                <w:noProof/>
                <w:sz w:val="20"/>
                <w:szCs w:val="20"/>
              </w:rPr>
            </w:pPr>
            <w:r w:rsidRPr="004E3436">
              <w:rPr>
                <w:noProof/>
                <w:sz w:val="20"/>
                <w:szCs w:val="20"/>
              </w:rPr>
              <w:t> </w:t>
            </w:r>
          </w:p>
        </w:tc>
        <w:tc>
          <w:tcPr>
            <w:tcW w:w="942" w:type="dxa"/>
            <w:tcBorders>
              <w:top w:val="nil"/>
              <w:left w:val="nil"/>
              <w:bottom w:val="single" w:sz="4" w:space="0" w:color="auto"/>
              <w:right w:val="single" w:sz="4" w:space="0" w:color="auto"/>
            </w:tcBorders>
            <w:shd w:val="clear" w:color="000000" w:fill="FFFFFF"/>
            <w:noWrap/>
            <w:hideMark/>
          </w:tcPr>
          <w:p w14:paraId="28B9A36D" w14:textId="108426A9" w:rsidR="00322D6D" w:rsidRPr="00322D6D" w:rsidRDefault="00322D6D" w:rsidP="00322D6D">
            <w:pPr>
              <w:jc w:val="right"/>
              <w:rPr>
                <w:noProof/>
                <w:sz w:val="20"/>
                <w:szCs w:val="20"/>
              </w:rPr>
            </w:pPr>
            <w:r w:rsidRPr="004E3436">
              <w:rPr>
                <w:noProof/>
                <w:sz w:val="20"/>
                <w:szCs w:val="20"/>
              </w:rPr>
              <w:t> </w:t>
            </w:r>
          </w:p>
        </w:tc>
        <w:tc>
          <w:tcPr>
            <w:tcW w:w="950" w:type="dxa"/>
            <w:tcBorders>
              <w:top w:val="nil"/>
              <w:left w:val="nil"/>
              <w:bottom w:val="single" w:sz="4" w:space="0" w:color="auto"/>
              <w:right w:val="single" w:sz="4" w:space="0" w:color="auto"/>
            </w:tcBorders>
            <w:shd w:val="clear" w:color="000000" w:fill="FFFFFF"/>
            <w:noWrap/>
            <w:hideMark/>
          </w:tcPr>
          <w:p w14:paraId="74BF6802" w14:textId="38CBE535" w:rsidR="00322D6D" w:rsidRPr="00322D6D" w:rsidRDefault="00322D6D" w:rsidP="00322D6D">
            <w:pPr>
              <w:jc w:val="right"/>
              <w:rPr>
                <w:noProof/>
                <w:sz w:val="20"/>
                <w:szCs w:val="20"/>
              </w:rPr>
            </w:pPr>
            <w:r w:rsidRPr="004E3436">
              <w:rPr>
                <w:noProof/>
                <w:sz w:val="20"/>
                <w:szCs w:val="20"/>
              </w:rPr>
              <w:t> </w:t>
            </w:r>
          </w:p>
        </w:tc>
        <w:tc>
          <w:tcPr>
            <w:tcW w:w="1057" w:type="dxa"/>
            <w:tcBorders>
              <w:top w:val="nil"/>
              <w:left w:val="nil"/>
              <w:bottom w:val="single" w:sz="4" w:space="0" w:color="auto"/>
              <w:right w:val="single" w:sz="4" w:space="0" w:color="auto"/>
            </w:tcBorders>
            <w:shd w:val="clear" w:color="000000" w:fill="FFFFFF"/>
            <w:noWrap/>
            <w:hideMark/>
          </w:tcPr>
          <w:p w14:paraId="6E0605A4" w14:textId="0124E47F" w:rsidR="00322D6D" w:rsidRPr="00322D6D" w:rsidRDefault="00322D6D" w:rsidP="00322D6D">
            <w:pPr>
              <w:jc w:val="right"/>
              <w:rPr>
                <w:noProof/>
                <w:sz w:val="20"/>
                <w:szCs w:val="20"/>
              </w:rPr>
            </w:pPr>
            <w:r w:rsidRPr="004E3436">
              <w:rPr>
                <w:noProof/>
                <w:sz w:val="20"/>
                <w:szCs w:val="20"/>
              </w:rPr>
              <w:t> </w:t>
            </w:r>
          </w:p>
        </w:tc>
      </w:tr>
      <w:tr w:rsidR="00322D6D" w:rsidRPr="00134CD5" w14:paraId="2C1318B3"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19872FFE" w14:textId="7CE63ACC" w:rsidR="00322D6D" w:rsidRPr="004E336D" w:rsidRDefault="00322D6D" w:rsidP="00322D6D">
            <w:pPr>
              <w:rPr>
                <w:noProof/>
                <w:sz w:val="20"/>
                <w:szCs w:val="20"/>
              </w:rPr>
            </w:pPr>
            <w:r w:rsidRPr="004E336D">
              <w:rPr>
                <w:noProof/>
                <w:sz w:val="20"/>
                <w:szCs w:val="20"/>
              </w:rPr>
              <w:t xml:space="preserve">Number of </w:t>
            </w:r>
            <w:r>
              <w:rPr>
                <w:noProof/>
                <w:sz w:val="20"/>
                <w:szCs w:val="20"/>
              </w:rPr>
              <w:t>non-SME</w:t>
            </w:r>
            <w:r w:rsidRPr="004E336D">
              <w:rPr>
                <w:noProof/>
                <w:sz w:val="20"/>
                <w:szCs w:val="20"/>
              </w:rPr>
              <w:t xml:space="preserve"> MDMS platforms that incur one-off costs due to PM8 </w:t>
            </w:r>
          </w:p>
        </w:tc>
        <w:tc>
          <w:tcPr>
            <w:tcW w:w="1425" w:type="dxa"/>
            <w:tcBorders>
              <w:top w:val="nil"/>
              <w:left w:val="nil"/>
              <w:bottom w:val="single" w:sz="4" w:space="0" w:color="auto"/>
              <w:right w:val="single" w:sz="4" w:space="0" w:color="auto"/>
            </w:tcBorders>
            <w:shd w:val="clear" w:color="000000" w:fill="FFFFFF"/>
            <w:noWrap/>
            <w:hideMark/>
          </w:tcPr>
          <w:p w14:paraId="7248F4B8" w14:textId="7F5E7F20" w:rsidR="00322D6D" w:rsidRPr="00322D6D" w:rsidRDefault="00322D6D" w:rsidP="00322D6D">
            <w:pPr>
              <w:jc w:val="right"/>
              <w:rPr>
                <w:noProof/>
                <w:sz w:val="20"/>
                <w:szCs w:val="20"/>
              </w:rPr>
            </w:pPr>
            <w:r w:rsidRPr="004E3436">
              <w:rPr>
                <w:noProof/>
                <w:sz w:val="20"/>
                <w:szCs w:val="20"/>
              </w:rPr>
              <w:t>175</w:t>
            </w:r>
          </w:p>
        </w:tc>
        <w:tc>
          <w:tcPr>
            <w:tcW w:w="942" w:type="dxa"/>
            <w:tcBorders>
              <w:top w:val="nil"/>
              <w:left w:val="nil"/>
              <w:bottom w:val="single" w:sz="4" w:space="0" w:color="auto"/>
              <w:right w:val="single" w:sz="4" w:space="0" w:color="auto"/>
            </w:tcBorders>
            <w:shd w:val="clear" w:color="000000" w:fill="FFFFFF"/>
            <w:noWrap/>
            <w:hideMark/>
          </w:tcPr>
          <w:p w14:paraId="73E121B0" w14:textId="673FE828" w:rsidR="00322D6D" w:rsidRPr="00322D6D" w:rsidRDefault="00322D6D" w:rsidP="00322D6D">
            <w:pPr>
              <w:jc w:val="right"/>
              <w:rPr>
                <w:noProof/>
                <w:sz w:val="20"/>
                <w:szCs w:val="20"/>
              </w:rPr>
            </w:pPr>
            <w:r w:rsidRPr="004E3436">
              <w:rPr>
                <w:noProof/>
                <w:sz w:val="20"/>
                <w:szCs w:val="20"/>
              </w:rPr>
              <w:t>9</w:t>
            </w:r>
          </w:p>
        </w:tc>
        <w:tc>
          <w:tcPr>
            <w:tcW w:w="950" w:type="dxa"/>
            <w:tcBorders>
              <w:top w:val="nil"/>
              <w:left w:val="nil"/>
              <w:bottom w:val="single" w:sz="4" w:space="0" w:color="auto"/>
              <w:right w:val="single" w:sz="4" w:space="0" w:color="auto"/>
            </w:tcBorders>
            <w:shd w:val="clear" w:color="000000" w:fill="FFFFFF"/>
            <w:noWrap/>
            <w:hideMark/>
          </w:tcPr>
          <w:p w14:paraId="1ED65E0B" w14:textId="19BA43BD" w:rsidR="00322D6D" w:rsidRPr="00322D6D" w:rsidRDefault="00322D6D" w:rsidP="00322D6D">
            <w:pPr>
              <w:jc w:val="right"/>
              <w:rPr>
                <w:noProof/>
                <w:sz w:val="20"/>
                <w:szCs w:val="20"/>
              </w:rPr>
            </w:pPr>
            <w:r w:rsidRPr="004E3436">
              <w:rPr>
                <w:noProof/>
                <w:sz w:val="20"/>
                <w:szCs w:val="20"/>
              </w:rPr>
              <w:t>11</w:t>
            </w:r>
          </w:p>
        </w:tc>
        <w:tc>
          <w:tcPr>
            <w:tcW w:w="1057" w:type="dxa"/>
            <w:tcBorders>
              <w:top w:val="nil"/>
              <w:left w:val="nil"/>
              <w:bottom w:val="single" w:sz="4" w:space="0" w:color="auto"/>
              <w:right w:val="single" w:sz="4" w:space="0" w:color="auto"/>
            </w:tcBorders>
            <w:shd w:val="clear" w:color="000000" w:fill="FFFFFF"/>
            <w:noWrap/>
            <w:hideMark/>
          </w:tcPr>
          <w:p w14:paraId="20E27E46" w14:textId="19C57125" w:rsidR="00322D6D" w:rsidRPr="00322D6D" w:rsidRDefault="00322D6D" w:rsidP="00322D6D">
            <w:pPr>
              <w:jc w:val="right"/>
              <w:rPr>
                <w:noProof/>
                <w:sz w:val="20"/>
                <w:szCs w:val="20"/>
              </w:rPr>
            </w:pPr>
            <w:r w:rsidRPr="004E3436">
              <w:rPr>
                <w:noProof/>
                <w:sz w:val="20"/>
                <w:szCs w:val="20"/>
              </w:rPr>
              <w:t>0</w:t>
            </w:r>
          </w:p>
        </w:tc>
      </w:tr>
      <w:tr w:rsidR="00322D6D" w:rsidRPr="00134CD5" w14:paraId="4CA6949A"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73A759A0" w14:textId="276AAAD5" w:rsidR="00322D6D" w:rsidRPr="004E336D" w:rsidRDefault="00322D6D" w:rsidP="00322D6D">
            <w:pPr>
              <w:rPr>
                <w:noProof/>
                <w:sz w:val="20"/>
                <w:szCs w:val="20"/>
              </w:rPr>
            </w:pPr>
            <w:r w:rsidRPr="004E336D">
              <w:rPr>
                <w:noProof/>
                <w:sz w:val="20"/>
                <w:szCs w:val="20"/>
              </w:rPr>
              <w:t xml:space="preserve">Number of </w:t>
            </w:r>
            <w:r>
              <w:rPr>
                <w:noProof/>
                <w:sz w:val="20"/>
                <w:szCs w:val="20"/>
              </w:rPr>
              <w:t>non-SME</w:t>
            </w:r>
            <w:r w:rsidRPr="004E336D">
              <w:rPr>
                <w:noProof/>
                <w:sz w:val="20"/>
                <w:szCs w:val="20"/>
              </w:rPr>
              <w:t xml:space="preserve"> MDMS platforms that incur recurrent costs due to PM8 </w:t>
            </w:r>
          </w:p>
        </w:tc>
        <w:tc>
          <w:tcPr>
            <w:tcW w:w="1425" w:type="dxa"/>
            <w:tcBorders>
              <w:top w:val="nil"/>
              <w:left w:val="nil"/>
              <w:bottom w:val="single" w:sz="4" w:space="0" w:color="auto"/>
              <w:right w:val="single" w:sz="4" w:space="0" w:color="auto"/>
            </w:tcBorders>
            <w:shd w:val="clear" w:color="000000" w:fill="FFFFFF"/>
            <w:noWrap/>
            <w:hideMark/>
          </w:tcPr>
          <w:p w14:paraId="76263DB7" w14:textId="469256DB" w:rsidR="00322D6D" w:rsidRPr="00322D6D" w:rsidRDefault="00322D6D" w:rsidP="00322D6D">
            <w:pPr>
              <w:jc w:val="right"/>
              <w:rPr>
                <w:noProof/>
                <w:sz w:val="20"/>
                <w:szCs w:val="20"/>
              </w:rPr>
            </w:pPr>
            <w:r w:rsidRPr="004E3436">
              <w:rPr>
                <w:noProof/>
                <w:sz w:val="20"/>
                <w:szCs w:val="20"/>
              </w:rPr>
              <w:t>0</w:t>
            </w:r>
          </w:p>
        </w:tc>
        <w:tc>
          <w:tcPr>
            <w:tcW w:w="942" w:type="dxa"/>
            <w:tcBorders>
              <w:top w:val="nil"/>
              <w:left w:val="nil"/>
              <w:bottom w:val="single" w:sz="4" w:space="0" w:color="auto"/>
              <w:right w:val="single" w:sz="4" w:space="0" w:color="auto"/>
            </w:tcBorders>
            <w:shd w:val="clear" w:color="000000" w:fill="FFFFFF"/>
            <w:noWrap/>
            <w:hideMark/>
          </w:tcPr>
          <w:p w14:paraId="341A9995" w14:textId="771AF529" w:rsidR="00322D6D" w:rsidRPr="00322D6D" w:rsidRDefault="00322D6D" w:rsidP="00322D6D">
            <w:pPr>
              <w:jc w:val="right"/>
              <w:rPr>
                <w:noProof/>
                <w:sz w:val="20"/>
                <w:szCs w:val="20"/>
              </w:rPr>
            </w:pPr>
            <w:r w:rsidRPr="004E3436">
              <w:rPr>
                <w:noProof/>
                <w:sz w:val="20"/>
                <w:szCs w:val="20"/>
              </w:rPr>
              <w:t>182</w:t>
            </w:r>
          </w:p>
        </w:tc>
        <w:tc>
          <w:tcPr>
            <w:tcW w:w="950" w:type="dxa"/>
            <w:tcBorders>
              <w:top w:val="nil"/>
              <w:left w:val="nil"/>
              <w:bottom w:val="single" w:sz="4" w:space="0" w:color="auto"/>
              <w:right w:val="single" w:sz="4" w:space="0" w:color="auto"/>
            </w:tcBorders>
            <w:shd w:val="clear" w:color="000000" w:fill="FFFFFF"/>
            <w:noWrap/>
            <w:hideMark/>
          </w:tcPr>
          <w:p w14:paraId="7B82A598" w14:textId="603C0B6C" w:rsidR="00322D6D" w:rsidRPr="00322D6D" w:rsidRDefault="00322D6D" w:rsidP="00322D6D">
            <w:pPr>
              <w:jc w:val="right"/>
              <w:rPr>
                <w:noProof/>
                <w:sz w:val="20"/>
                <w:szCs w:val="20"/>
              </w:rPr>
            </w:pPr>
            <w:r w:rsidRPr="004E3436">
              <w:rPr>
                <w:noProof/>
                <w:sz w:val="20"/>
                <w:szCs w:val="20"/>
              </w:rPr>
              <w:t>292</w:t>
            </w:r>
          </w:p>
        </w:tc>
        <w:tc>
          <w:tcPr>
            <w:tcW w:w="1057" w:type="dxa"/>
            <w:tcBorders>
              <w:top w:val="nil"/>
              <w:left w:val="nil"/>
              <w:bottom w:val="single" w:sz="4" w:space="0" w:color="auto"/>
              <w:right w:val="single" w:sz="4" w:space="0" w:color="auto"/>
            </w:tcBorders>
            <w:shd w:val="clear" w:color="000000" w:fill="FFFFFF"/>
            <w:noWrap/>
            <w:hideMark/>
          </w:tcPr>
          <w:p w14:paraId="5E17A876" w14:textId="7A8F0CDE" w:rsidR="00322D6D" w:rsidRPr="00322D6D" w:rsidRDefault="00322D6D" w:rsidP="00322D6D">
            <w:pPr>
              <w:jc w:val="right"/>
              <w:rPr>
                <w:noProof/>
                <w:sz w:val="20"/>
                <w:szCs w:val="20"/>
              </w:rPr>
            </w:pPr>
            <w:r w:rsidRPr="004E3436">
              <w:rPr>
                <w:noProof/>
                <w:sz w:val="20"/>
                <w:szCs w:val="20"/>
              </w:rPr>
              <w:t>303</w:t>
            </w:r>
          </w:p>
        </w:tc>
      </w:tr>
      <w:tr w:rsidR="00322D6D" w:rsidRPr="00134CD5" w14:paraId="67EA421A"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2D9FBAB4" w14:textId="77777777" w:rsidR="00322D6D" w:rsidRPr="004E336D" w:rsidRDefault="00322D6D" w:rsidP="00322D6D">
            <w:pPr>
              <w:rPr>
                <w:noProof/>
                <w:sz w:val="20"/>
                <w:szCs w:val="20"/>
              </w:rPr>
            </w:pPr>
            <w:r w:rsidRPr="004E336D">
              <w:rPr>
                <w:noProof/>
                <w:sz w:val="20"/>
                <w:szCs w:val="20"/>
              </w:rPr>
              <w:t xml:space="preserve">Total one-off adjustment costs (million EUR) </w:t>
            </w:r>
          </w:p>
        </w:tc>
        <w:tc>
          <w:tcPr>
            <w:tcW w:w="1425" w:type="dxa"/>
            <w:tcBorders>
              <w:top w:val="nil"/>
              <w:left w:val="nil"/>
              <w:bottom w:val="single" w:sz="4" w:space="0" w:color="auto"/>
              <w:right w:val="single" w:sz="4" w:space="0" w:color="auto"/>
            </w:tcBorders>
            <w:shd w:val="clear" w:color="000000" w:fill="FFFFFF"/>
            <w:noWrap/>
            <w:hideMark/>
          </w:tcPr>
          <w:p w14:paraId="63CA4E4D" w14:textId="5CED8A4C" w:rsidR="00322D6D" w:rsidRPr="00322D6D" w:rsidRDefault="00322D6D" w:rsidP="00322D6D">
            <w:pPr>
              <w:jc w:val="right"/>
              <w:rPr>
                <w:noProof/>
                <w:sz w:val="20"/>
                <w:szCs w:val="20"/>
              </w:rPr>
            </w:pPr>
            <w:r w:rsidRPr="004E3436">
              <w:rPr>
                <w:noProof/>
                <w:sz w:val="20"/>
                <w:szCs w:val="20"/>
              </w:rPr>
              <w:t>4.1</w:t>
            </w:r>
          </w:p>
        </w:tc>
        <w:tc>
          <w:tcPr>
            <w:tcW w:w="942" w:type="dxa"/>
            <w:tcBorders>
              <w:top w:val="nil"/>
              <w:left w:val="nil"/>
              <w:bottom w:val="single" w:sz="4" w:space="0" w:color="auto"/>
              <w:right w:val="single" w:sz="4" w:space="0" w:color="auto"/>
            </w:tcBorders>
            <w:shd w:val="clear" w:color="000000" w:fill="FFFFFF"/>
            <w:noWrap/>
            <w:hideMark/>
          </w:tcPr>
          <w:p w14:paraId="632AC1AD" w14:textId="1FDF63F2" w:rsidR="00322D6D" w:rsidRPr="00322D6D" w:rsidRDefault="00322D6D" w:rsidP="00322D6D">
            <w:pPr>
              <w:jc w:val="right"/>
              <w:rPr>
                <w:noProof/>
                <w:sz w:val="20"/>
                <w:szCs w:val="20"/>
              </w:rPr>
            </w:pPr>
            <w:r w:rsidRPr="004E3436">
              <w:rPr>
                <w:noProof/>
                <w:sz w:val="20"/>
                <w:szCs w:val="20"/>
              </w:rPr>
              <w:t>0.2</w:t>
            </w:r>
          </w:p>
        </w:tc>
        <w:tc>
          <w:tcPr>
            <w:tcW w:w="950" w:type="dxa"/>
            <w:tcBorders>
              <w:top w:val="nil"/>
              <w:left w:val="nil"/>
              <w:bottom w:val="single" w:sz="4" w:space="0" w:color="auto"/>
              <w:right w:val="single" w:sz="4" w:space="0" w:color="auto"/>
            </w:tcBorders>
            <w:shd w:val="clear" w:color="000000" w:fill="FFFFFF"/>
            <w:noWrap/>
            <w:hideMark/>
          </w:tcPr>
          <w:p w14:paraId="7A5504A7" w14:textId="580A08B0" w:rsidR="00322D6D" w:rsidRPr="00322D6D" w:rsidRDefault="00322D6D" w:rsidP="00322D6D">
            <w:pPr>
              <w:jc w:val="right"/>
              <w:rPr>
                <w:noProof/>
                <w:sz w:val="20"/>
                <w:szCs w:val="20"/>
              </w:rPr>
            </w:pPr>
            <w:r w:rsidRPr="004E3436">
              <w:rPr>
                <w:noProof/>
                <w:sz w:val="20"/>
                <w:szCs w:val="20"/>
              </w:rPr>
              <w:t>0.3</w:t>
            </w:r>
          </w:p>
        </w:tc>
        <w:tc>
          <w:tcPr>
            <w:tcW w:w="1057" w:type="dxa"/>
            <w:tcBorders>
              <w:top w:val="nil"/>
              <w:left w:val="nil"/>
              <w:bottom w:val="single" w:sz="4" w:space="0" w:color="auto"/>
              <w:right w:val="single" w:sz="4" w:space="0" w:color="auto"/>
            </w:tcBorders>
            <w:shd w:val="clear" w:color="000000" w:fill="FFFFFF"/>
            <w:noWrap/>
            <w:hideMark/>
          </w:tcPr>
          <w:p w14:paraId="2AA06FB5" w14:textId="13FC369C" w:rsidR="00322D6D" w:rsidRPr="00322D6D" w:rsidRDefault="00322D6D" w:rsidP="00322D6D">
            <w:pPr>
              <w:jc w:val="right"/>
              <w:rPr>
                <w:noProof/>
                <w:sz w:val="20"/>
                <w:szCs w:val="20"/>
              </w:rPr>
            </w:pPr>
            <w:r w:rsidRPr="004E3436">
              <w:rPr>
                <w:noProof/>
                <w:sz w:val="20"/>
                <w:szCs w:val="20"/>
              </w:rPr>
              <w:t>0.0</w:t>
            </w:r>
          </w:p>
        </w:tc>
      </w:tr>
      <w:tr w:rsidR="00322D6D" w:rsidRPr="00134CD5" w14:paraId="4B8EED77"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20F6C700" w14:textId="77777777" w:rsidR="00322D6D" w:rsidRPr="004E336D" w:rsidRDefault="00322D6D" w:rsidP="00322D6D">
            <w:pPr>
              <w:rPr>
                <w:noProof/>
                <w:sz w:val="20"/>
                <w:szCs w:val="20"/>
              </w:rPr>
            </w:pPr>
            <w:r w:rsidRPr="004E336D">
              <w:rPr>
                <w:noProof/>
                <w:sz w:val="20"/>
                <w:szCs w:val="20"/>
              </w:rPr>
              <w:t xml:space="preserve">Total recurrent adjustment costs (million EUR) </w:t>
            </w:r>
          </w:p>
        </w:tc>
        <w:tc>
          <w:tcPr>
            <w:tcW w:w="1425" w:type="dxa"/>
            <w:tcBorders>
              <w:top w:val="nil"/>
              <w:left w:val="nil"/>
              <w:bottom w:val="single" w:sz="4" w:space="0" w:color="auto"/>
              <w:right w:val="single" w:sz="4" w:space="0" w:color="auto"/>
            </w:tcBorders>
            <w:shd w:val="clear" w:color="000000" w:fill="FFFFFF"/>
            <w:noWrap/>
            <w:hideMark/>
          </w:tcPr>
          <w:p w14:paraId="363CFF87" w14:textId="4DC7BD03" w:rsidR="00322D6D" w:rsidRPr="00322D6D" w:rsidRDefault="00322D6D" w:rsidP="00322D6D">
            <w:pPr>
              <w:jc w:val="right"/>
              <w:rPr>
                <w:noProof/>
                <w:sz w:val="20"/>
                <w:szCs w:val="20"/>
              </w:rPr>
            </w:pPr>
            <w:r w:rsidRPr="004E3436">
              <w:rPr>
                <w:noProof/>
                <w:sz w:val="20"/>
                <w:szCs w:val="20"/>
              </w:rPr>
              <w:t>0.0</w:t>
            </w:r>
          </w:p>
        </w:tc>
        <w:tc>
          <w:tcPr>
            <w:tcW w:w="942" w:type="dxa"/>
            <w:tcBorders>
              <w:top w:val="nil"/>
              <w:left w:val="nil"/>
              <w:bottom w:val="single" w:sz="4" w:space="0" w:color="auto"/>
              <w:right w:val="single" w:sz="4" w:space="0" w:color="auto"/>
            </w:tcBorders>
            <w:shd w:val="clear" w:color="000000" w:fill="FFFFFF"/>
            <w:noWrap/>
            <w:hideMark/>
          </w:tcPr>
          <w:p w14:paraId="5D239E2E" w14:textId="02AAFABA" w:rsidR="00322D6D" w:rsidRPr="00322D6D" w:rsidRDefault="00322D6D" w:rsidP="00322D6D">
            <w:pPr>
              <w:jc w:val="right"/>
              <w:rPr>
                <w:noProof/>
                <w:sz w:val="20"/>
                <w:szCs w:val="20"/>
              </w:rPr>
            </w:pPr>
            <w:r w:rsidRPr="004E3436">
              <w:rPr>
                <w:noProof/>
                <w:sz w:val="20"/>
                <w:szCs w:val="20"/>
              </w:rPr>
              <w:t>0.4</w:t>
            </w:r>
          </w:p>
        </w:tc>
        <w:tc>
          <w:tcPr>
            <w:tcW w:w="950" w:type="dxa"/>
            <w:tcBorders>
              <w:top w:val="nil"/>
              <w:left w:val="nil"/>
              <w:bottom w:val="single" w:sz="4" w:space="0" w:color="auto"/>
              <w:right w:val="single" w:sz="4" w:space="0" w:color="auto"/>
            </w:tcBorders>
            <w:shd w:val="clear" w:color="000000" w:fill="FFFFFF"/>
            <w:noWrap/>
            <w:hideMark/>
          </w:tcPr>
          <w:p w14:paraId="3A783722" w14:textId="746174DA" w:rsidR="00322D6D" w:rsidRPr="00322D6D" w:rsidRDefault="00322D6D" w:rsidP="00322D6D">
            <w:pPr>
              <w:jc w:val="right"/>
              <w:rPr>
                <w:noProof/>
                <w:sz w:val="20"/>
                <w:szCs w:val="20"/>
              </w:rPr>
            </w:pPr>
            <w:r w:rsidRPr="004E3436">
              <w:rPr>
                <w:noProof/>
                <w:sz w:val="20"/>
                <w:szCs w:val="20"/>
              </w:rPr>
              <w:t>0.7</w:t>
            </w:r>
          </w:p>
        </w:tc>
        <w:tc>
          <w:tcPr>
            <w:tcW w:w="1057" w:type="dxa"/>
            <w:tcBorders>
              <w:top w:val="nil"/>
              <w:left w:val="nil"/>
              <w:bottom w:val="single" w:sz="4" w:space="0" w:color="auto"/>
              <w:right w:val="single" w:sz="4" w:space="0" w:color="auto"/>
            </w:tcBorders>
            <w:shd w:val="clear" w:color="000000" w:fill="FFFFFF"/>
            <w:noWrap/>
            <w:hideMark/>
          </w:tcPr>
          <w:p w14:paraId="30E7E6D3" w14:textId="59CCD3BF" w:rsidR="00322D6D" w:rsidRPr="00322D6D" w:rsidRDefault="00322D6D" w:rsidP="00322D6D">
            <w:pPr>
              <w:jc w:val="right"/>
              <w:rPr>
                <w:noProof/>
                <w:sz w:val="20"/>
                <w:szCs w:val="20"/>
              </w:rPr>
            </w:pPr>
            <w:r w:rsidRPr="004E3436">
              <w:rPr>
                <w:noProof/>
                <w:sz w:val="20"/>
                <w:szCs w:val="20"/>
              </w:rPr>
              <w:t>0.7</w:t>
            </w:r>
          </w:p>
        </w:tc>
      </w:tr>
      <w:tr w:rsidR="00322D6D" w:rsidRPr="00134CD5" w14:paraId="74746276"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4538CCA4" w14:textId="77777777" w:rsidR="00322D6D" w:rsidRPr="004E336D" w:rsidRDefault="00322D6D" w:rsidP="00322D6D">
            <w:pPr>
              <w:rPr>
                <w:b/>
                <w:noProof/>
                <w:sz w:val="20"/>
                <w:szCs w:val="20"/>
              </w:rPr>
            </w:pPr>
            <w:r w:rsidRPr="004E336D">
              <w:rPr>
                <w:b/>
                <w:noProof/>
                <w:sz w:val="20"/>
                <w:szCs w:val="20"/>
              </w:rPr>
              <w:t xml:space="preserve">PO4 </w:t>
            </w:r>
          </w:p>
        </w:tc>
        <w:tc>
          <w:tcPr>
            <w:tcW w:w="1425" w:type="dxa"/>
            <w:tcBorders>
              <w:top w:val="nil"/>
              <w:left w:val="nil"/>
              <w:bottom w:val="single" w:sz="4" w:space="0" w:color="auto"/>
              <w:right w:val="single" w:sz="4" w:space="0" w:color="auto"/>
            </w:tcBorders>
            <w:shd w:val="clear" w:color="000000" w:fill="FFFFFF"/>
            <w:noWrap/>
            <w:hideMark/>
          </w:tcPr>
          <w:p w14:paraId="2F0F8453" w14:textId="21E41D3B" w:rsidR="00322D6D" w:rsidRPr="00322D6D" w:rsidRDefault="00322D6D" w:rsidP="00322D6D">
            <w:pPr>
              <w:jc w:val="right"/>
              <w:rPr>
                <w:noProof/>
                <w:sz w:val="20"/>
                <w:szCs w:val="20"/>
              </w:rPr>
            </w:pPr>
            <w:r w:rsidRPr="004E3436">
              <w:rPr>
                <w:noProof/>
                <w:sz w:val="20"/>
                <w:szCs w:val="20"/>
              </w:rPr>
              <w:t> </w:t>
            </w:r>
          </w:p>
        </w:tc>
        <w:tc>
          <w:tcPr>
            <w:tcW w:w="942" w:type="dxa"/>
            <w:tcBorders>
              <w:top w:val="nil"/>
              <w:left w:val="nil"/>
              <w:bottom w:val="single" w:sz="4" w:space="0" w:color="auto"/>
              <w:right w:val="single" w:sz="4" w:space="0" w:color="auto"/>
            </w:tcBorders>
            <w:shd w:val="clear" w:color="000000" w:fill="FFFFFF"/>
            <w:noWrap/>
            <w:hideMark/>
          </w:tcPr>
          <w:p w14:paraId="01542857" w14:textId="474227EA" w:rsidR="00322D6D" w:rsidRPr="00322D6D" w:rsidRDefault="00322D6D" w:rsidP="00322D6D">
            <w:pPr>
              <w:jc w:val="right"/>
              <w:rPr>
                <w:noProof/>
                <w:sz w:val="20"/>
                <w:szCs w:val="20"/>
              </w:rPr>
            </w:pPr>
            <w:r w:rsidRPr="004E3436">
              <w:rPr>
                <w:noProof/>
                <w:sz w:val="20"/>
                <w:szCs w:val="20"/>
              </w:rPr>
              <w:t> </w:t>
            </w:r>
          </w:p>
        </w:tc>
        <w:tc>
          <w:tcPr>
            <w:tcW w:w="950" w:type="dxa"/>
            <w:tcBorders>
              <w:top w:val="nil"/>
              <w:left w:val="nil"/>
              <w:bottom w:val="single" w:sz="4" w:space="0" w:color="auto"/>
              <w:right w:val="single" w:sz="4" w:space="0" w:color="auto"/>
            </w:tcBorders>
            <w:shd w:val="clear" w:color="000000" w:fill="FFFFFF"/>
            <w:noWrap/>
            <w:hideMark/>
          </w:tcPr>
          <w:p w14:paraId="149C5053" w14:textId="500220C9" w:rsidR="00322D6D" w:rsidRPr="00322D6D" w:rsidRDefault="00322D6D" w:rsidP="00322D6D">
            <w:pPr>
              <w:jc w:val="right"/>
              <w:rPr>
                <w:noProof/>
                <w:sz w:val="20"/>
                <w:szCs w:val="20"/>
              </w:rPr>
            </w:pPr>
            <w:r w:rsidRPr="004E3436">
              <w:rPr>
                <w:noProof/>
                <w:sz w:val="20"/>
                <w:szCs w:val="20"/>
              </w:rPr>
              <w:t> </w:t>
            </w:r>
          </w:p>
        </w:tc>
        <w:tc>
          <w:tcPr>
            <w:tcW w:w="1057" w:type="dxa"/>
            <w:tcBorders>
              <w:top w:val="nil"/>
              <w:left w:val="nil"/>
              <w:bottom w:val="single" w:sz="4" w:space="0" w:color="auto"/>
              <w:right w:val="single" w:sz="4" w:space="0" w:color="auto"/>
            </w:tcBorders>
            <w:shd w:val="clear" w:color="000000" w:fill="FFFFFF"/>
            <w:noWrap/>
            <w:hideMark/>
          </w:tcPr>
          <w:p w14:paraId="4BC234E7" w14:textId="7CB0A49E" w:rsidR="00322D6D" w:rsidRPr="00322D6D" w:rsidRDefault="00322D6D" w:rsidP="00322D6D">
            <w:pPr>
              <w:jc w:val="right"/>
              <w:rPr>
                <w:noProof/>
                <w:sz w:val="20"/>
                <w:szCs w:val="20"/>
              </w:rPr>
            </w:pPr>
            <w:r w:rsidRPr="004E3436">
              <w:rPr>
                <w:noProof/>
                <w:sz w:val="20"/>
                <w:szCs w:val="20"/>
              </w:rPr>
              <w:t> </w:t>
            </w:r>
          </w:p>
        </w:tc>
      </w:tr>
      <w:tr w:rsidR="00322D6D" w:rsidRPr="00134CD5" w14:paraId="6F4A7022"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2FF2379D" w14:textId="422877A2" w:rsidR="00322D6D" w:rsidRPr="004E336D" w:rsidRDefault="00322D6D" w:rsidP="00322D6D">
            <w:pPr>
              <w:rPr>
                <w:noProof/>
                <w:sz w:val="20"/>
                <w:szCs w:val="20"/>
              </w:rPr>
            </w:pPr>
            <w:r w:rsidRPr="004E336D">
              <w:rPr>
                <w:noProof/>
                <w:sz w:val="20"/>
                <w:szCs w:val="20"/>
              </w:rPr>
              <w:t xml:space="preserve">Number of </w:t>
            </w:r>
            <w:r>
              <w:rPr>
                <w:noProof/>
                <w:sz w:val="20"/>
                <w:szCs w:val="20"/>
              </w:rPr>
              <w:t>non-SME</w:t>
            </w:r>
            <w:r w:rsidRPr="004E336D">
              <w:rPr>
                <w:noProof/>
                <w:sz w:val="20"/>
                <w:szCs w:val="20"/>
              </w:rPr>
              <w:t xml:space="preserve"> MDMS platforms that incur one-off costs due to PM8 </w:t>
            </w:r>
          </w:p>
        </w:tc>
        <w:tc>
          <w:tcPr>
            <w:tcW w:w="1425" w:type="dxa"/>
            <w:tcBorders>
              <w:top w:val="nil"/>
              <w:left w:val="nil"/>
              <w:bottom w:val="single" w:sz="4" w:space="0" w:color="auto"/>
              <w:right w:val="single" w:sz="4" w:space="0" w:color="auto"/>
            </w:tcBorders>
            <w:shd w:val="clear" w:color="000000" w:fill="FFFFFF"/>
            <w:noWrap/>
            <w:hideMark/>
          </w:tcPr>
          <w:p w14:paraId="7A4C477E" w14:textId="1FA84D4B" w:rsidR="00322D6D" w:rsidRPr="00322D6D" w:rsidRDefault="00322D6D" w:rsidP="00322D6D">
            <w:pPr>
              <w:jc w:val="right"/>
              <w:rPr>
                <w:noProof/>
                <w:sz w:val="20"/>
                <w:szCs w:val="20"/>
              </w:rPr>
            </w:pPr>
            <w:r w:rsidRPr="004E3436">
              <w:rPr>
                <w:noProof/>
                <w:sz w:val="20"/>
                <w:szCs w:val="20"/>
              </w:rPr>
              <w:t>175</w:t>
            </w:r>
          </w:p>
        </w:tc>
        <w:tc>
          <w:tcPr>
            <w:tcW w:w="942" w:type="dxa"/>
            <w:tcBorders>
              <w:top w:val="nil"/>
              <w:left w:val="nil"/>
              <w:bottom w:val="single" w:sz="4" w:space="0" w:color="auto"/>
              <w:right w:val="single" w:sz="4" w:space="0" w:color="auto"/>
            </w:tcBorders>
            <w:shd w:val="clear" w:color="000000" w:fill="FFFFFF"/>
            <w:noWrap/>
            <w:hideMark/>
          </w:tcPr>
          <w:p w14:paraId="5B5F9539" w14:textId="16A9EE85" w:rsidR="00322D6D" w:rsidRPr="00322D6D" w:rsidRDefault="00322D6D" w:rsidP="00322D6D">
            <w:pPr>
              <w:jc w:val="right"/>
              <w:rPr>
                <w:noProof/>
                <w:sz w:val="20"/>
                <w:szCs w:val="20"/>
              </w:rPr>
            </w:pPr>
            <w:r w:rsidRPr="004E3436">
              <w:rPr>
                <w:noProof/>
                <w:sz w:val="20"/>
                <w:szCs w:val="20"/>
              </w:rPr>
              <w:t>8</w:t>
            </w:r>
          </w:p>
        </w:tc>
        <w:tc>
          <w:tcPr>
            <w:tcW w:w="950" w:type="dxa"/>
            <w:tcBorders>
              <w:top w:val="nil"/>
              <w:left w:val="nil"/>
              <w:bottom w:val="single" w:sz="4" w:space="0" w:color="auto"/>
              <w:right w:val="single" w:sz="4" w:space="0" w:color="auto"/>
            </w:tcBorders>
            <w:shd w:val="clear" w:color="000000" w:fill="FFFFFF"/>
            <w:noWrap/>
            <w:hideMark/>
          </w:tcPr>
          <w:p w14:paraId="7CEC8DA3" w14:textId="1030279B" w:rsidR="00322D6D" w:rsidRPr="00322D6D" w:rsidRDefault="00322D6D" w:rsidP="00322D6D">
            <w:pPr>
              <w:jc w:val="right"/>
              <w:rPr>
                <w:noProof/>
                <w:sz w:val="20"/>
                <w:szCs w:val="20"/>
              </w:rPr>
            </w:pPr>
            <w:r w:rsidRPr="004E3436">
              <w:rPr>
                <w:noProof/>
                <w:sz w:val="20"/>
                <w:szCs w:val="20"/>
              </w:rPr>
              <w:t>12</w:t>
            </w:r>
          </w:p>
        </w:tc>
        <w:tc>
          <w:tcPr>
            <w:tcW w:w="1057" w:type="dxa"/>
            <w:tcBorders>
              <w:top w:val="nil"/>
              <w:left w:val="nil"/>
              <w:bottom w:val="single" w:sz="4" w:space="0" w:color="auto"/>
              <w:right w:val="single" w:sz="4" w:space="0" w:color="auto"/>
            </w:tcBorders>
            <w:shd w:val="clear" w:color="000000" w:fill="FFFFFF"/>
            <w:noWrap/>
            <w:hideMark/>
          </w:tcPr>
          <w:p w14:paraId="1A028F91" w14:textId="226C1D22" w:rsidR="00322D6D" w:rsidRPr="00322D6D" w:rsidRDefault="00322D6D" w:rsidP="00322D6D">
            <w:pPr>
              <w:jc w:val="right"/>
              <w:rPr>
                <w:noProof/>
                <w:sz w:val="20"/>
                <w:szCs w:val="20"/>
              </w:rPr>
            </w:pPr>
            <w:r w:rsidRPr="004E3436">
              <w:rPr>
                <w:noProof/>
                <w:sz w:val="20"/>
                <w:szCs w:val="20"/>
              </w:rPr>
              <w:t>0</w:t>
            </w:r>
          </w:p>
        </w:tc>
      </w:tr>
      <w:tr w:rsidR="00322D6D" w:rsidRPr="00134CD5" w14:paraId="3BC102AF"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15BCCCFA" w14:textId="25825BEB" w:rsidR="00322D6D" w:rsidRPr="004E336D" w:rsidRDefault="00322D6D" w:rsidP="00322D6D">
            <w:pPr>
              <w:rPr>
                <w:noProof/>
                <w:sz w:val="20"/>
                <w:szCs w:val="20"/>
              </w:rPr>
            </w:pPr>
            <w:r w:rsidRPr="004E336D">
              <w:rPr>
                <w:noProof/>
                <w:sz w:val="20"/>
                <w:szCs w:val="20"/>
              </w:rPr>
              <w:t xml:space="preserve">Number of </w:t>
            </w:r>
            <w:r>
              <w:rPr>
                <w:noProof/>
                <w:sz w:val="20"/>
                <w:szCs w:val="20"/>
              </w:rPr>
              <w:t>non-SME</w:t>
            </w:r>
            <w:r w:rsidRPr="004E336D">
              <w:rPr>
                <w:noProof/>
                <w:sz w:val="20"/>
                <w:szCs w:val="20"/>
              </w:rPr>
              <w:t xml:space="preserve"> MDMS platforms that incur recurrent costs due to PM8 </w:t>
            </w:r>
          </w:p>
        </w:tc>
        <w:tc>
          <w:tcPr>
            <w:tcW w:w="1425" w:type="dxa"/>
            <w:tcBorders>
              <w:top w:val="nil"/>
              <w:left w:val="nil"/>
              <w:bottom w:val="single" w:sz="4" w:space="0" w:color="auto"/>
              <w:right w:val="single" w:sz="4" w:space="0" w:color="auto"/>
            </w:tcBorders>
            <w:shd w:val="clear" w:color="000000" w:fill="FFFFFF"/>
            <w:noWrap/>
            <w:hideMark/>
          </w:tcPr>
          <w:p w14:paraId="071059C8" w14:textId="28A66131" w:rsidR="00322D6D" w:rsidRPr="00322D6D" w:rsidRDefault="00322D6D" w:rsidP="00322D6D">
            <w:pPr>
              <w:jc w:val="right"/>
              <w:rPr>
                <w:noProof/>
                <w:sz w:val="20"/>
                <w:szCs w:val="20"/>
              </w:rPr>
            </w:pPr>
            <w:r w:rsidRPr="004E3436">
              <w:rPr>
                <w:noProof/>
                <w:sz w:val="20"/>
                <w:szCs w:val="20"/>
              </w:rPr>
              <w:t>0</w:t>
            </w:r>
          </w:p>
        </w:tc>
        <w:tc>
          <w:tcPr>
            <w:tcW w:w="942" w:type="dxa"/>
            <w:tcBorders>
              <w:top w:val="nil"/>
              <w:left w:val="nil"/>
              <w:bottom w:val="single" w:sz="4" w:space="0" w:color="auto"/>
              <w:right w:val="single" w:sz="4" w:space="0" w:color="auto"/>
            </w:tcBorders>
            <w:shd w:val="clear" w:color="000000" w:fill="FFFFFF"/>
            <w:noWrap/>
            <w:hideMark/>
          </w:tcPr>
          <w:p w14:paraId="195101A9" w14:textId="11EB655A" w:rsidR="00322D6D" w:rsidRPr="00322D6D" w:rsidRDefault="00322D6D" w:rsidP="00322D6D">
            <w:pPr>
              <w:jc w:val="right"/>
              <w:rPr>
                <w:noProof/>
                <w:sz w:val="20"/>
                <w:szCs w:val="20"/>
              </w:rPr>
            </w:pPr>
            <w:r w:rsidRPr="004E3436">
              <w:rPr>
                <w:noProof/>
                <w:sz w:val="20"/>
                <w:szCs w:val="20"/>
              </w:rPr>
              <w:t>183</w:t>
            </w:r>
          </w:p>
        </w:tc>
        <w:tc>
          <w:tcPr>
            <w:tcW w:w="950" w:type="dxa"/>
            <w:tcBorders>
              <w:top w:val="nil"/>
              <w:left w:val="nil"/>
              <w:bottom w:val="single" w:sz="4" w:space="0" w:color="auto"/>
              <w:right w:val="single" w:sz="4" w:space="0" w:color="auto"/>
            </w:tcBorders>
            <w:shd w:val="clear" w:color="000000" w:fill="FFFFFF"/>
            <w:noWrap/>
            <w:hideMark/>
          </w:tcPr>
          <w:p w14:paraId="53B9661E" w14:textId="0E9BEB4A" w:rsidR="00322D6D" w:rsidRPr="00322D6D" w:rsidRDefault="00322D6D" w:rsidP="00322D6D">
            <w:pPr>
              <w:jc w:val="right"/>
              <w:rPr>
                <w:noProof/>
                <w:sz w:val="20"/>
                <w:szCs w:val="20"/>
              </w:rPr>
            </w:pPr>
            <w:r w:rsidRPr="004E3436">
              <w:rPr>
                <w:noProof/>
                <w:sz w:val="20"/>
                <w:szCs w:val="20"/>
              </w:rPr>
              <w:t>301</w:t>
            </w:r>
          </w:p>
        </w:tc>
        <w:tc>
          <w:tcPr>
            <w:tcW w:w="1057" w:type="dxa"/>
            <w:tcBorders>
              <w:top w:val="nil"/>
              <w:left w:val="nil"/>
              <w:bottom w:val="single" w:sz="4" w:space="0" w:color="auto"/>
              <w:right w:val="single" w:sz="4" w:space="0" w:color="auto"/>
            </w:tcBorders>
            <w:shd w:val="clear" w:color="000000" w:fill="FFFFFF"/>
            <w:noWrap/>
            <w:hideMark/>
          </w:tcPr>
          <w:p w14:paraId="0A8F6FCF" w14:textId="0E9E3533" w:rsidR="00322D6D" w:rsidRPr="00322D6D" w:rsidRDefault="00322D6D" w:rsidP="00322D6D">
            <w:pPr>
              <w:jc w:val="right"/>
              <w:rPr>
                <w:noProof/>
                <w:sz w:val="20"/>
                <w:szCs w:val="20"/>
              </w:rPr>
            </w:pPr>
            <w:r w:rsidRPr="004E3436">
              <w:rPr>
                <w:noProof/>
                <w:sz w:val="20"/>
                <w:szCs w:val="20"/>
              </w:rPr>
              <w:t>305</w:t>
            </w:r>
          </w:p>
        </w:tc>
      </w:tr>
      <w:tr w:rsidR="00322D6D" w:rsidRPr="00134CD5" w14:paraId="199D10D0"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7690CD09" w14:textId="77777777" w:rsidR="00322D6D" w:rsidRPr="004E336D" w:rsidRDefault="00322D6D" w:rsidP="00322D6D">
            <w:pPr>
              <w:rPr>
                <w:noProof/>
                <w:sz w:val="20"/>
                <w:szCs w:val="20"/>
              </w:rPr>
            </w:pPr>
            <w:r w:rsidRPr="004E336D">
              <w:rPr>
                <w:noProof/>
                <w:sz w:val="20"/>
                <w:szCs w:val="20"/>
              </w:rPr>
              <w:t xml:space="preserve">Total one-off adjustment costs (million EUR) </w:t>
            </w:r>
          </w:p>
        </w:tc>
        <w:tc>
          <w:tcPr>
            <w:tcW w:w="1425" w:type="dxa"/>
            <w:tcBorders>
              <w:top w:val="nil"/>
              <w:left w:val="nil"/>
              <w:bottom w:val="single" w:sz="4" w:space="0" w:color="auto"/>
              <w:right w:val="single" w:sz="4" w:space="0" w:color="auto"/>
            </w:tcBorders>
            <w:shd w:val="clear" w:color="000000" w:fill="FFFFFF"/>
            <w:noWrap/>
            <w:hideMark/>
          </w:tcPr>
          <w:p w14:paraId="2C16CDD4" w14:textId="666BABA9" w:rsidR="00322D6D" w:rsidRPr="00322D6D" w:rsidRDefault="00322D6D" w:rsidP="00322D6D">
            <w:pPr>
              <w:jc w:val="right"/>
              <w:rPr>
                <w:noProof/>
                <w:sz w:val="20"/>
                <w:szCs w:val="20"/>
              </w:rPr>
            </w:pPr>
            <w:r w:rsidRPr="004E3436">
              <w:rPr>
                <w:noProof/>
                <w:sz w:val="20"/>
                <w:szCs w:val="20"/>
              </w:rPr>
              <w:t>4.1</w:t>
            </w:r>
          </w:p>
        </w:tc>
        <w:tc>
          <w:tcPr>
            <w:tcW w:w="942" w:type="dxa"/>
            <w:tcBorders>
              <w:top w:val="nil"/>
              <w:left w:val="nil"/>
              <w:bottom w:val="single" w:sz="4" w:space="0" w:color="auto"/>
              <w:right w:val="single" w:sz="4" w:space="0" w:color="auto"/>
            </w:tcBorders>
            <w:shd w:val="clear" w:color="000000" w:fill="FFFFFF"/>
            <w:noWrap/>
            <w:hideMark/>
          </w:tcPr>
          <w:p w14:paraId="01E305BA" w14:textId="4BA54CD5" w:rsidR="00322D6D" w:rsidRPr="00322D6D" w:rsidRDefault="00322D6D" w:rsidP="00322D6D">
            <w:pPr>
              <w:jc w:val="right"/>
              <w:rPr>
                <w:noProof/>
                <w:sz w:val="20"/>
                <w:szCs w:val="20"/>
              </w:rPr>
            </w:pPr>
            <w:r w:rsidRPr="004E3436">
              <w:rPr>
                <w:noProof/>
                <w:sz w:val="20"/>
                <w:szCs w:val="20"/>
              </w:rPr>
              <w:t>0.2</w:t>
            </w:r>
          </w:p>
        </w:tc>
        <w:tc>
          <w:tcPr>
            <w:tcW w:w="950" w:type="dxa"/>
            <w:tcBorders>
              <w:top w:val="nil"/>
              <w:left w:val="nil"/>
              <w:bottom w:val="single" w:sz="4" w:space="0" w:color="auto"/>
              <w:right w:val="single" w:sz="4" w:space="0" w:color="auto"/>
            </w:tcBorders>
            <w:shd w:val="clear" w:color="000000" w:fill="FFFFFF"/>
            <w:noWrap/>
            <w:hideMark/>
          </w:tcPr>
          <w:p w14:paraId="7D5F5D86" w14:textId="1F816A70" w:rsidR="00322D6D" w:rsidRPr="00322D6D" w:rsidRDefault="00322D6D" w:rsidP="00322D6D">
            <w:pPr>
              <w:jc w:val="right"/>
              <w:rPr>
                <w:noProof/>
                <w:sz w:val="20"/>
                <w:szCs w:val="20"/>
              </w:rPr>
            </w:pPr>
            <w:r w:rsidRPr="004E3436">
              <w:rPr>
                <w:noProof/>
                <w:sz w:val="20"/>
                <w:szCs w:val="20"/>
              </w:rPr>
              <w:t>0.3</w:t>
            </w:r>
          </w:p>
        </w:tc>
        <w:tc>
          <w:tcPr>
            <w:tcW w:w="1057" w:type="dxa"/>
            <w:tcBorders>
              <w:top w:val="nil"/>
              <w:left w:val="nil"/>
              <w:bottom w:val="single" w:sz="4" w:space="0" w:color="auto"/>
              <w:right w:val="single" w:sz="4" w:space="0" w:color="auto"/>
            </w:tcBorders>
            <w:shd w:val="clear" w:color="000000" w:fill="FFFFFF"/>
            <w:noWrap/>
            <w:hideMark/>
          </w:tcPr>
          <w:p w14:paraId="4E93DD49" w14:textId="42DD031C" w:rsidR="00322D6D" w:rsidRPr="00322D6D" w:rsidRDefault="00322D6D" w:rsidP="00322D6D">
            <w:pPr>
              <w:jc w:val="right"/>
              <w:rPr>
                <w:noProof/>
                <w:sz w:val="20"/>
                <w:szCs w:val="20"/>
              </w:rPr>
            </w:pPr>
            <w:r w:rsidRPr="004E3436">
              <w:rPr>
                <w:noProof/>
                <w:sz w:val="20"/>
                <w:szCs w:val="20"/>
              </w:rPr>
              <w:t>0.0</w:t>
            </w:r>
          </w:p>
        </w:tc>
      </w:tr>
      <w:tr w:rsidR="00322D6D" w:rsidRPr="00134CD5" w14:paraId="55619F46" w14:textId="77777777" w:rsidTr="007B0BD0">
        <w:trPr>
          <w:trHeight w:val="225"/>
        </w:trPr>
        <w:tc>
          <w:tcPr>
            <w:tcW w:w="5229" w:type="dxa"/>
            <w:tcBorders>
              <w:top w:val="nil"/>
              <w:left w:val="single" w:sz="4" w:space="0" w:color="auto"/>
              <w:bottom w:val="single" w:sz="4" w:space="0" w:color="auto"/>
              <w:right w:val="single" w:sz="4" w:space="0" w:color="auto"/>
            </w:tcBorders>
            <w:shd w:val="clear" w:color="000000" w:fill="FFFFFF"/>
            <w:noWrap/>
            <w:hideMark/>
          </w:tcPr>
          <w:p w14:paraId="399AC67E" w14:textId="77777777" w:rsidR="00322D6D" w:rsidRPr="004E336D" w:rsidRDefault="00322D6D" w:rsidP="00322D6D">
            <w:pPr>
              <w:rPr>
                <w:noProof/>
                <w:sz w:val="20"/>
                <w:szCs w:val="20"/>
              </w:rPr>
            </w:pPr>
            <w:r w:rsidRPr="004E336D">
              <w:rPr>
                <w:noProof/>
                <w:sz w:val="20"/>
                <w:szCs w:val="20"/>
              </w:rPr>
              <w:t xml:space="preserve">Total recurrent adjustment costs (million EUR) </w:t>
            </w:r>
          </w:p>
        </w:tc>
        <w:tc>
          <w:tcPr>
            <w:tcW w:w="1425" w:type="dxa"/>
            <w:tcBorders>
              <w:top w:val="nil"/>
              <w:left w:val="nil"/>
              <w:bottom w:val="single" w:sz="4" w:space="0" w:color="auto"/>
              <w:right w:val="single" w:sz="4" w:space="0" w:color="auto"/>
            </w:tcBorders>
            <w:shd w:val="clear" w:color="000000" w:fill="FFFFFF"/>
            <w:noWrap/>
            <w:hideMark/>
          </w:tcPr>
          <w:p w14:paraId="01BD9BD4" w14:textId="33CD1A65" w:rsidR="00322D6D" w:rsidRPr="00322D6D" w:rsidRDefault="00322D6D" w:rsidP="00322D6D">
            <w:pPr>
              <w:jc w:val="right"/>
              <w:rPr>
                <w:noProof/>
                <w:sz w:val="20"/>
                <w:szCs w:val="20"/>
              </w:rPr>
            </w:pPr>
            <w:r w:rsidRPr="004E3436">
              <w:rPr>
                <w:noProof/>
                <w:sz w:val="20"/>
                <w:szCs w:val="20"/>
              </w:rPr>
              <w:t>0.0</w:t>
            </w:r>
          </w:p>
        </w:tc>
        <w:tc>
          <w:tcPr>
            <w:tcW w:w="942" w:type="dxa"/>
            <w:tcBorders>
              <w:top w:val="nil"/>
              <w:left w:val="nil"/>
              <w:bottom w:val="single" w:sz="4" w:space="0" w:color="auto"/>
              <w:right w:val="single" w:sz="4" w:space="0" w:color="auto"/>
            </w:tcBorders>
            <w:shd w:val="clear" w:color="000000" w:fill="FFFFFF"/>
            <w:noWrap/>
            <w:hideMark/>
          </w:tcPr>
          <w:p w14:paraId="620FD580" w14:textId="5E7A6AA2" w:rsidR="00322D6D" w:rsidRPr="00322D6D" w:rsidRDefault="00322D6D" w:rsidP="00322D6D">
            <w:pPr>
              <w:jc w:val="right"/>
              <w:rPr>
                <w:noProof/>
                <w:sz w:val="20"/>
                <w:szCs w:val="20"/>
              </w:rPr>
            </w:pPr>
            <w:r w:rsidRPr="004E3436">
              <w:rPr>
                <w:noProof/>
                <w:sz w:val="20"/>
                <w:szCs w:val="20"/>
              </w:rPr>
              <w:t>0.4</w:t>
            </w:r>
          </w:p>
        </w:tc>
        <w:tc>
          <w:tcPr>
            <w:tcW w:w="950" w:type="dxa"/>
            <w:tcBorders>
              <w:top w:val="nil"/>
              <w:left w:val="nil"/>
              <w:bottom w:val="single" w:sz="4" w:space="0" w:color="auto"/>
              <w:right w:val="single" w:sz="4" w:space="0" w:color="auto"/>
            </w:tcBorders>
            <w:shd w:val="clear" w:color="000000" w:fill="FFFFFF"/>
            <w:noWrap/>
            <w:hideMark/>
          </w:tcPr>
          <w:p w14:paraId="147E8644" w14:textId="1959AFCE" w:rsidR="00322D6D" w:rsidRPr="00322D6D" w:rsidRDefault="00322D6D" w:rsidP="00322D6D">
            <w:pPr>
              <w:jc w:val="right"/>
              <w:rPr>
                <w:noProof/>
                <w:sz w:val="20"/>
                <w:szCs w:val="20"/>
              </w:rPr>
            </w:pPr>
            <w:r w:rsidRPr="004E3436">
              <w:rPr>
                <w:noProof/>
                <w:sz w:val="20"/>
                <w:szCs w:val="20"/>
              </w:rPr>
              <w:t>0.7</w:t>
            </w:r>
          </w:p>
        </w:tc>
        <w:tc>
          <w:tcPr>
            <w:tcW w:w="1057" w:type="dxa"/>
            <w:tcBorders>
              <w:top w:val="nil"/>
              <w:left w:val="nil"/>
              <w:bottom w:val="single" w:sz="4" w:space="0" w:color="auto"/>
              <w:right w:val="single" w:sz="4" w:space="0" w:color="auto"/>
            </w:tcBorders>
            <w:shd w:val="clear" w:color="000000" w:fill="FFFFFF"/>
            <w:noWrap/>
            <w:hideMark/>
          </w:tcPr>
          <w:p w14:paraId="54F1A55C" w14:textId="20BA3B58" w:rsidR="00322D6D" w:rsidRPr="00322D6D" w:rsidRDefault="00322D6D" w:rsidP="00322D6D">
            <w:pPr>
              <w:jc w:val="right"/>
              <w:rPr>
                <w:noProof/>
                <w:sz w:val="20"/>
                <w:szCs w:val="20"/>
              </w:rPr>
            </w:pPr>
            <w:r w:rsidRPr="004E3436">
              <w:rPr>
                <w:noProof/>
                <w:sz w:val="20"/>
                <w:szCs w:val="20"/>
              </w:rPr>
              <w:t>0.7</w:t>
            </w:r>
          </w:p>
        </w:tc>
      </w:tr>
    </w:tbl>
    <w:p w14:paraId="4A8A73AD" w14:textId="77777777" w:rsidR="00134CD5" w:rsidRPr="00D71008" w:rsidRDefault="00134CD5" w:rsidP="00134CD5">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1300B24B" w14:textId="01FD3D35" w:rsidR="00CD1E68" w:rsidRDefault="00CD1E68" w:rsidP="00CD1E68">
      <w:pPr>
        <w:pStyle w:val="Text4"/>
        <w:spacing w:before="0" w:after="240"/>
        <w:ind w:left="0"/>
        <w:rPr>
          <w:rFonts w:ascii="Times New Roman" w:eastAsia="Calibri" w:hAnsi="Times New Roman"/>
          <w:noProof/>
          <w:spacing w:val="-8"/>
          <w:sz w:val="24"/>
          <w:szCs w:val="24"/>
        </w:rPr>
      </w:pPr>
      <w:r w:rsidRPr="00AB18E0">
        <w:rPr>
          <w:rFonts w:ascii="Times New Roman" w:eastAsia="Calibri" w:hAnsi="Times New Roman"/>
          <w:noProof/>
          <w:spacing w:val="-8"/>
          <w:sz w:val="24"/>
          <w:szCs w:val="24"/>
        </w:rPr>
        <w:t xml:space="preserve">The table above covers total one-off and recurrent adjustment costs for both </w:t>
      </w:r>
      <w:r w:rsidR="0055450C">
        <w:rPr>
          <w:rFonts w:ascii="Times New Roman" w:eastAsia="Calibri" w:hAnsi="Times New Roman"/>
          <w:noProof/>
          <w:spacing w:val="-8"/>
          <w:sz w:val="24"/>
          <w:szCs w:val="24"/>
        </w:rPr>
        <w:t>non-SME</w:t>
      </w:r>
      <w:r w:rsidRPr="00AB18E0">
        <w:rPr>
          <w:rFonts w:ascii="Times New Roman" w:eastAsia="Calibri" w:hAnsi="Times New Roman"/>
          <w:noProof/>
          <w:spacing w:val="-8"/>
          <w:sz w:val="24"/>
          <w:szCs w:val="24"/>
        </w:rPr>
        <w:t xml:space="preserve"> B2B and B2C platforms. As </w:t>
      </w:r>
      <w:r>
        <w:rPr>
          <w:rFonts w:ascii="Times New Roman" w:eastAsia="Calibri" w:hAnsi="Times New Roman"/>
          <w:noProof/>
          <w:spacing w:val="-8"/>
          <w:sz w:val="24"/>
          <w:szCs w:val="24"/>
        </w:rPr>
        <w:t xml:space="preserve">already </w:t>
      </w:r>
      <w:r w:rsidRPr="00AB18E0">
        <w:rPr>
          <w:rFonts w:ascii="Times New Roman" w:eastAsia="Calibri" w:hAnsi="Times New Roman"/>
          <w:noProof/>
          <w:spacing w:val="-8"/>
          <w:sz w:val="24"/>
          <w:szCs w:val="24"/>
        </w:rPr>
        <w:t>explained, m</w:t>
      </w:r>
      <w:r w:rsidRPr="00AB18E0">
        <w:rPr>
          <w:rFonts w:ascii="Times New Roman" w:hAnsi="Times New Roman"/>
          <w:noProof/>
          <w:spacing w:val="-8"/>
          <w:sz w:val="24"/>
          <w:szCs w:val="24"/>
        </w:rPr>
        <w:t>ost B2B MDMS platforms operate EU-wide</w:t>
      </w:r>
      <w:r>
        <w:rPr>
          <w:rFonts w:ascii="Times New Roman" w:hAnsi="Times New Roman"/>
          <w:noProof/>
          <w:spacing w:val="-8"/>
          <w:sz w:val="24"/>
          <w:szCs w:val="24"/>
        </w:rPr>
        <w:t xml:space="preserve"> and</w:t>
      </w:r>
      <w:r w:rsidRPr="00AB18E0">
        <w:rPr>
          <w:rFonts w:ascii="Times New Roman" w:hAnsi="Times New Roman"/>
          <w:noProof/>
          <w:spacing w:val="-8"/>
          <w:sz w:val="24"/>
          <w:szCs w:val="24"/>
        </w:rPr>
        <w:t xml:space="preserve"> it is not possible to provide the costs by Member State.</w:t>
      </w:r>
      <w:r>
        <w:rPr>
          <w:rFonts w:ascii="Times New Roman" w:hAnsi="Times New Roman"/>
          <w:noProof/>
          <w:spacing w:val="-8"/>
          <w:sz w:val="24"/>
          <w:szCs w:val="24"/>
        </w:rPr>
        <w:t xml:space="preserve"> Therefore, only the part of the total </w:t>
      </w:r>
      <w:r w:rsidRPr="00AB18E0">
        <w:rPr>
          <w:rFonts w:ascii="Times New Roman" w:eastAsia="Calibri" w:hAnsi="Times New Roman"/>
          <w:noProof/>
          <w:spacing w:val="-8"/>
          <w:sz w:val="24"/>
          <w:szCs w:val="24"/>
        </w:rPr>
        <w:t>one-off and recurrent adjustment costs</w:t>
      </w:r>
      <w:r>
        <w:rPr>
          <w:rFonts w:ascii="Times New Roman" w:eastAsia="Calibri" w:hAnsi="Times New Roman"/>
          <w:noProof/>
          <w:spacing w:val="-8"/>
          <w:sz w:val="24"/>
          <w:szCs w:val="24"/>
        </w:rPr>
        <w:t xml:space="preserve"> for the</w:t>
      </w:r>
      <w:r w:rsidR="002361D7">
        <w:rPr>
          <w:rFonts w:ascii="Times New Roman" w:eastAsia="Calibri" w:hAnsi="Times New Roman"/>
          <w:noProof/>
          <w:spacing w:val="-8"/>
          <w:sz w:val="24"/>
          <w:szCs w:val="24"/>
        </w:rPr>
        <w:t xml:space="preserve"> </w:t>
      </w:r>
      <w:r w:rsidR="0055450C">
        <w:rPr>
          <w:rFonts w:ascii="Times New Roman" w:eastAsia="Calibri" w:hAnsi="Times New Roman"/>
          <w:noProof/>
          <w:spacing w:val="-8"/>
          <w:sz w:val="24"/>
          <w:szCs w:val="24"/>
        </w:rPr>
        <w:t>non-SME</w:t>
      </w:r>
      <w:r>
        <w:rPr>
          <w:rFonts w:ascii="Times New Roman" w:eastAsia="Calibri" w:hAnsi="Times New Roman"/>
          <w:noProof/>
          <w:spacing w:val="-8"/>
          <w:sz w:val="24"/>
          <w:szCs w:val="24"/>
        </w:rPr>
        <w:t xml:space="preserve"> B2C platforms is provided by Member State in the tables below, by policy option</w:t>
      </w:r>
      <w:r>
        <w:rPr>
          <w:rStyle w:val="FootnoteReference"/>
          <w:rFonts w:ascii="Times New Roman" w:eastAsia="Calibri" w:hAnsi="Times New Roman"/>
          <w:noProof/>
          <w:spacing w:val="-8"/>
          <w:sz w:val="24"/>
          <w:szCs w:val="24"/>
        </w:rPr>
        <w:footnoteReference w:id="352"/>
      </w:r>
      <w:r>
        <w:rPr>
          <w:rFonts w:ascii="Times New Roman" w:eastAsia="Calibri" w:hAnsi="Times New Roman"/>
          <w:noProof/>
          <w:spacing w:val="-8"/>
          <w:sz w:val="24"/>
          <w:szCs w:val="24"/>
        </w:rPr>
        <w:t xml:space="preserve">. </w:t>
      </w:r>
    </w:p>
    <w:p w14:paraId="22D5C80F" w14:textId="5D38CB7D" w:rsidR="002361D7" w:rsidRPr="00325AAE" w:rsidRDefault="002361D7" w:rsidP="00DB078C">
      <w:pPr>
        <w:keepNext/>
        <w:tabs>
          <w:tab w:val="left" w:pos="1134"/>
        </w:tabs>
        <w:jc w:val="both"/>
        <w:rPr>
          <w:i/>
          <w:noProof/>
          <w:sz w:val="22"/>
          <w:szCs w:val="22"/>
        </w:rPr>
      </w:pPr>
      <w:r w:rsidRPr="00325AAE">
        <w:rPr>
          <w:i/>
          <w:noProof/>
          <w:sz w:val="22"/>
          <w:szCs w:val="22"/>
        </w:rPr>
        <w:t xml:space="preserve">Table </w:t>
      </w:r>
      <w:r w:rsidRPr="00325AAE">
        <w:rPr>
          <w:i/>
          <w:noProof/>
          <w:sz w:val="22"/>
          <w:szCs w:val="22"/>
        </w:rPr>
        <w:fldChar w:fldCharType="begin"/>
      </w:r>
      <w:r w:rsidRPr="00325AAE">
        <w:rPr>
          <w:i/>
          <w:noProof/>
          <w:sz w:val="22"/>
          <w:szCs w:val="22"/>
        </w:rPr>
        <w:instrText xml:space="preserve"> SEQ Table \* ARABIC </w:instrText>
      </w:r>
      <w:r w:rsidRPr="00325AAE">
        <w:rPr>
          <w:i/>
          <w:noProof/>
          <w:sz w:val="22"/>
          <w:szCs w:val="22"/>
        </w:rPr>
        <w:fldChar w:fldCharType="separate"/>
      </w:r>
      <w:r w:rsidR="0055391F">
        <w:rPr>
          <w:i/>
          <w:noProof/>
          <w:sz w:val="22"/>
          <w:szCs w:val="22"/>
        </w:rPr>
        <w:t>96</w:t>
      </w:r>
      <w:r w:rsidRPr="00325AAE">
        <w:rPr>
          <w:i/>
          <w:noProof/>
          <w:sz w:val="22"/>
          <w:szCs w:val="22"/>
        </w:rPr>
        <w:fldChar w:fldCharType="end"/>
      </w:r>
      <w:r w:rsidRPr="00325AAE">
        <w:rPr>
          <w:i/>
          <w:noProof/>
          <w:sz w:val="22"/>
          <w:szCs w:val="22"/>
        </w:rPr>
        <w:t xml:space="preserve">: Total one-off and recurrent adjustment costs for </w:t>
      </w:r>
      <w:r w:rsidR="0055450C">
        <w:rPr>
          <w:i/>
          <w:noProof/>
          <w:sz w:val="22"/>
          <w:szCs w:val="22"/>
        </w:rPr>
        <w:t>non-SME</w:t>
      </w:r>
      <w:r w:rsidRPr="00325AAE">
        <w:rPr>
          <w:i/>
          <w:noProof/>
          <w:sz w:val="22"/>
          <w:szCs w:val="22"/>
        </w:rPr>
        <w:t xml:space="preserve"> B2C MDMS platforms due to PM</w:t>
      </w:r>
      <w:r w:rsidR="00E42821" w:rsidRPr="00325AAE">
        <w:rPr>
          <w:i/>
          <w:noProof/>
          <w:sz w:val="22"/>
          <w:szCs w:val="22"/>
        </w:rPr>
        <w:t>8</w:t>
      </w:r>
      <w:r w:rsidRPr="00325AAE">
        <w:rPr>
          <w:i/>
          <w:noProof/>
          <w:sz w:val="22"/>
          <w:szCs w:val="22"/>
        </w:rPr>
        <w:t xml:space="preserve"> in PO1 in 2028, 2030, 2040 and 2050 relative to the baseline (thousand EUR, in 2024 prices)</w:t>
      </w:r>
    </w:p>
    <w:tbl>
      <w:tblPr>
        <w:tblW w:w="5000" w:type="pct"/>
        <w:tblLook w:val="04A0" w:firstRow="1" w:lastRow="0" w:firstColumn="1" w:lastColumn="0" w:noHBand="0" w:noVBand="1"/>
      </w:tblPr>
      <w:tblGrid>
        <w:gridCol w:w="3604"/>
        <w:gridCol w:w="1499"/>
        <w:gridCol w:w="1500"/>
        <w:gridCol w:w="1500"/>
        <w:gridCol w:w="1500"/>
      </w:tblGrid>
      <w:tr w:rsidR="00325AAE" w:rsidRPr="00325AAE" w14:paraId="1BC6E4FF" w14:textId="77777777" w:rsidTr="00325AAE">
        <w:trPr>
          <w:trHeight w:val="255"/>
          <w:tblHeader/>
        </w:trPr>
        <w:tc>
          <w:tcPr>
            <w:tcW w:w="1876" w:type="pct"/>
            <w:tcBorders>
              <w:top w:val="single" w:sz="4" w:space="0" w:color="auto"/>
              <w:left w:val="single" w:sz="4" w:space="0" w:color="auto"/>
              <w:bottom w:val="single" w:sz="4" w:space="0" w:color="auto"/>
              <w:right w:val="single" w:sz="4" w:space="0" w:color="auto"/>
            </w:tcBorders>
            <w:shd w:val="clear" w:color="000000" w:fill="0070C0"/>
            <w:noWrap/>
            <w:hideMark/>
          </w:tcPr>
          <w:p w14:paraId="79E29DB4" w14:textId="3968E3D2" w:rsidR="00C93052" w:rsidRPr="00325AAE" w:rsidRDefault="00C93052">
            <w:pPr>
              <w:jc w:val="center"/>
              <w:rPr>
                <w:b/>
                <w:bCs/>
                <w:noProof/>
                <w:color w:val="FFFFFF"/>
                <w:sz w:val="20"/>
                <w:szCs w:val="20"/>
              </w:rPr>
            </w:pPr>
          </w:p>
        </w:tc>
        <w:tc>
          <w:tcPr>
            <w:tcW w:w="780" w:type="pct"/>
            <w:tcBorders>
              <w:top w:val="single" w:sz="4" w:space="0" w:color="auto"/>
              <w:left w:val="nil"/>
              <w:bottom w:val="single" w:sz="4" w:space="0" w:color="auto"/>
              <w:right w:val="single" w:sz="4" w:space="0" w:color="auto"/>
            </w:tcBorders>
            <w:shd w:val="clear" w:color="000000" w:fill="0070C0"/>
            <w:noWrap/>
            <w:hideMark/>
          </w:tcPr>
          <w:p w14:paraId="05C90299" w14:textId="77777777" w:rsidR="00C93052" w:rsidRPr="00325AAE" w:rsidRDefault="00C93052">
            <w:pPr>
              <w:jc w:val="center"/>
              <w:rPr>
                <w:b/>
                <w:bCs/>
                <w:noProof/>
                <w:color w:val="FFFFFF"/>
                <w:sz w:val="20"/>
                <w:szCs w:val="20"/>
              </w:rPr>
            </w:pPr>
            <w:r w:rsidRPr="00325AAE">
              <w:rPr>
                <w:b/>
                <w:bCs/>
                <w:noProof/>
                <w:color w:val="FFFFFF"/>
                <w:sz w:val="20"/>
                <w:szCs w:val="20"/>
              </w:rPr>
              <w:t>2028</w:t>
            </w:r>
          </w:p>
        </w:tc>
        <w:tc>
          <w:tcPr>
            <w:tcW w:w="781" w:type="pct"/>
            <w:tcBorders>
              <w:top w:val="single" w:sz="4" w:space="0" w:color="auto"/>
              <w:left w:val="nil"/>
              <w:bottom w:val="single" w:sz="4" w:space="0" w:color="auto"/>
              <w:right w:val="single" w:sz="4" w:space="0" w:color="auto"/>
            </w:tcBorders>
            <w:shd w:val="clear" w:color="000000" w:fill="0070C0"/>
            <w:noWrap/>
            <w:hideMark/>
          </w:tcPr>
          <w:p w14:paraId="0B7552F8" w14:textId="77777777" w:rsidR="00C93052" w:rsidRPr="00325AAE" w:rsidRDefault="00C93052">
            <w:pPr>
              <w:jc w:val="center"/>
              <w:rPr>
                <w:b/>
                <w:bCs/>
                <w:noProof/>
                <w:color w:val="FFFFFF"/>
                <w:sz w:val="20"/>
                <w:szCs w:val="20"/>
              </w:rPr>
            </w:pPr>
            <w:r w:rsidRPr="00325AAE">
              <w:rPr>
                <w:b/>
                <w:bCs/>
                <w:noProof/>
                <w:color w:val="FFFFFF"/>
                <w:sz w:val="20"/>
                <w:szCs w:val="20"/>
              </w:rPr>
              <w:t>2030</w:t>
            </w:r>
          </w:p>
        </w:tc>
        <w:tc>
          <w:tcPr>
            <w:tcW w:w="781" w:type="pct"/>
            <w:tcBorders>
              <w:top w:val="single" w:sz="4" w:space="0" w:color="auto"/>
              <w:left w:val="nil"/>
              <w:bottom w:val="single" w:sz="4" w:space="0" w:color="auto"/>
              <w:right w:val="single" w:sz="4" w:space="0" w:color="auto"/>
            </w:tcBorders>
            <w:shd w:val="clear" w:color="000000" w:fill="0070C0"/>
            <w:noWrap/>
            <w:hideMark/>
          </w:tcPr>
          <w:p w14:paraId="2EFCAE17" w14:textId="77777777" w:rsidR="00C93052" w:rsidRPr="00325AAE" w:rsidRDefault="00C93052">
            <w:pPr>
              <w:jc w:val="center"/>
              <w:rPr>
                <w:b/>
                <w:bCs/>
                <w:noProof/>
                <w:color w:val="FFFFFF"/>
                <w:sz w:val="20"/>
                <w:szCs w:val="20"/>
              </w:rPr>
            </w:pPr>
            <w:r w:rsidRPr="00325AAE">
              <w:rPr>
                <w:b/>
                <w:bCs/>
                <w:noProof/>
                <w:color w:val="FFFFFF"/>
                <w:sz w:val="20"/>
                <w:szCs w:val="20"/>
              </w:rPr>
              <w:t>2040</w:t>
            </w:r>
          </w:p>
        </w:tc>
        <w:tc>
          <w:tcPr>
            <w:tcW w:w="781" w:type="pct"/>
            <w:tcBorders>
              <w:top w:val="single" w:sz="4" w:space="0" w:color="auto"/>
              <w:left w:val="nil"/>
              <w:bottom w:val="single" w:sz="4" w:space="0" w:color="auto"/>
              <w:right w:val="single" w:sz="4" w:space="0" w:color="auto"/>
            </w:tcBorders>
            <w:shd w:val="clear" w:color="000000" w:fill="0070C0"/>
            <w:noWrap/>
            <w:hideMark/>
          </w:tcPr>
          <w:p w14:paraId="2EAF7276" w14:textId="77777777" w:rsidR="00C93052" w:rsidRPr="00325AAE" w:rsidRDefault="00C93052">
            <w:pPr>
              <w:jc w:val="center"/>
              <w:rPr>
                <w:b/>
                <w:bCs/>
                <w:noProof/>
                <w:color w:val="FFFFFF"/>
                <w:sz w:val="20"/>
                <w:szCs w:val="20"/>
              </w:rPr>
            </w:pPr>
            <w:r w:rsidRPr="00325AAE">
              <w:rPr>
                <w:b/>
                <w:bCs/>
                <w:noProof/>
                <w:color w:val="FFFFFF"/>
                <w:sz w:val="20"/>
                <w:szCs w:val="20"/>
              </w:rPr>
              <w:t>2050</w:t>
            </w:r>
          </w:p>
        </w:tc>
      </w:tr>
      <w:tr w:rsidR="00F109CA" w:rsidRPr="00325AAE" w14:paraId="5FA76FA7"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384BD318" w14:textId="77777777" w:rsidR="00F109CA" w:rsidRPr="00325AAE" w:rsidRDefault="00F109CA" w:rsidP="00F109CA">
            <w:pPr>
              <w:outlineLvl w:val="0"/>
              <w:rPr>
                <w:noProof/>
                <w:sz w:val="20"/>
                <w:szCs w:val="20"/>
              </w:rPr>
            </w:pPr>
            <w:r w:rsidRPr="00325AAE">
              <w:rPr>
                <w:noProof/>
                <w:sz w:val="20"/>
                <w:szCs w:val="20"/>
              </w:rPr>
              <w:t xml:space="preserve"> </w:t>
            </w:r>
            <w:bookmarkStart w:id="1536" w:name="_Toc223981134"/>
            <w:r w:rsidRPr="00325AAE">
              <w:rPr>
                <w:noProof/>
                <w:sz w:val="20"/>
                <w:szCs w:val="20"/>
              </w:rPr>
              <w:t>Germany</w:t>
            </w:r>
            <w:bookmarkEnd w:id="1536"/>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FEE0BFF" w14:textId="1CD00A93" w:rsidR="00F109CA" w:rsidRPr="00F109CA" w:rsidRDefault="00F109CA" w:rsidP="00F109CA">
            <w:pPr>
              <w:jc w:val="right"/>
              <w:outlineLvl w:val="0"/>
              <w:rPr>
                <w:noProof/>
                <w:sz w:val="20"/>
                <w:szCs w:val="20"/>
              </w:rPr>
            </w:pPr>
            <w:bookmarkStart w:id="1537" w:name="_Toc223981135"/>
            <w:r w:rsidRPr="00F109CA">
              <w:rPr>
                <w:noProof/>
                <w:sz w:val="20"/>
                <w:szCs w:val="20"/>
              </w:rPr>
              <w:t>415.8</w:t>
            </w:r>
            <w:bookmarkEnd w:id="1537"/>
          </w:p>
        </w:tc>
        <w:tc>
          <w:tcPr>
            <w:tcW w:w="781" w:type="pct"/>
            <w:tcBorders>
              <w:top w:val="nil"/>
              <w:left w:val="nil"/>
              <w:bottom w:val="single" w:sz="4" w:space="0" w:color="auto"/>
              <w:right w:val="single" w:sz="4" w:space="0" w:color="auto"/>
            </w:tcBorders>
            <w:shd w:val="clear" w:color="000000" w:fill="FFFFFF"/>
            <w:noWrap/>
            <w:hideMark/>
          </w:tcPr>
          <w:p w14:paraId="7A4F0C07" w14:textId="74326AF6" w:rsidR="00F109CA" w:rsidRPr="00F109CA" w:rsidRDefault="00F109CA" w:rsidP="00F109CA">
            <w:pPr>
              <w:jc w:val="right"/>
              <w:outlineLvl w:val="0"/>
              <w:rPr>
                <w:noProof/>
                <w:sz w:val="20"/>
                <w:szCs w:val="20"/>
              </w:rPr>
            </w:pPr>
            <w:bookmarkStart w:id="1538" w:name="_Toc223981136"/>
            <w:r w:rsidRPr="00F109CA">
              <w:rPr>
                <w:noProof/>
                <w:sz w:val="20"/>
                <w:szCs w:val="20"/>
              </w:rPr>
              <w:t>51.2</w:t>
            </w:r>
            <w:bookmarkEnd w:id="1538"/>
          </w:p>
        </w:tc>
        <w:tc>
          <w:tcPr>
            <w:tcW w:w="781" w:type="pct"/>
            <w:tcBorders>
              <w:top w:val="nil"/>
              <w:left w:val="nil"/>
              <w:bottom w:val="single" w:sz="4" w:space="0" w:color="auto"/>
              <w:right w:val="single" w:sz="4" w:space="0" w:color="auto"/>
            </w:tcBorders>
            <w:shd w:val="clear" w:color="000000" w:fill="FFFFFF"/>
            <w:noWrap/>
            <w:hideMark/>
          </w:tcPr>
          <w:p w14:paraId="458D52F1" w14:textId="4D3E5D19" w:rsidR="00F109CA" w:rsidRPr="00F109CA" w:rsidRDefault="00F109CA" w:rsidP="00F109CA">
            <w:pPr>
              <w:jc w:val="right"/>
              <w:outlineLvl w:val="0"/>
              <w:rPr>
                <w:noProof/>
                <w:sz w:val="20"/>
                <w:szCs w:val="20"/>
              </w:rPr>
            </w:pPr>
            <w:bookmarkStart w:id="1539" w:name="_Toc223981137"/>
            <w:r w:rsidRPr="00F109CA">
              <w:rPr>
                <w:noProof/>
                <w:sz w:val="20"/>
                <w:szCs w:val="20"/>
              </w:rPr>
              <w:t>55.1</w:t>
            </w:r>
            <w:bookmarkEnd w:id="1539"/>
          </w:p>
        </w:tc>
        <w:tc>
          <w:tcPr>
            <w:tcW w:w="781" w:type="pct"/>
            <w:tcBorders>
              <w:top w:val="nil"/>
              <w:left w:val="nil"/>
              <w:bottom w:val="single" w:sz="4" w:space="0" w:color="auto"/>
              <w:right w:val="single" w:sz="4" w:space="0" w:color="auto"/>
            </w:tcBorders>
            <w:shd w:val="clear" w:color="000000" w:fill="FFFFFF"/>
            <w:noWrap/>
            <w:hideMark/>
          </w:tcPr>
          <w:p w14:paraId="59B3BEB1" w14:textId="6C865A20" w:rsidR="00F109CA" w:rsidRPr="00F109CA" w:rsidRDefault="00F109CA" w:rsidP="00F109CA">
            <w:pPr>
              <w:jc w:val="right"/>
              <w:outlineLvl w:val="0"/>
              <w:rPr>
                <w:noProof/>
                <w:sz w:val="20"/>
                <w:szCs w:val="20"/>
              </w:rPr>
            </w:pPr>
            <w:bookmarkStart w:id="1540" w:name="_Toc223981138"/>
            <w:r w:rsidRPr="00F109CA">
              <w:rPr>
                <w:noProof/>
                <w:sz w:val="20"/>
                <w:szCs w:val="20"/>
              </w:rPr>
              <w:t>50.3</w:t>
            </w:r>
            <w:bookmarkEnd w:id="1540"/>
          </w:p>
        </w:tc>
      </w:tr>
      <w:tr w:rsidR="00F109CA" w:rsidRPr="00325AAE" w14:paraId="562E551E"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35735454" w14:textId="77777777" w:rsidR="00F109CA" w:rsidRPr="00325AAE" w:rsidRDefault="00F109CA" w:rsidP="00F109CA">
            <w:pPr>
              <w:outlineLvl w:val="0"/>
              <w:rPr>
                <w:noProof/>
                <w:sz w:val="20"/>
                <w:szCs w:val="20"/>
              </w:rPr>
            </w:pPr>
            <w:r w:rsidRPr="00325AAE">
              <w:rPr>
                <w:noProof/>
                <w:sz w:val="20"/>
                <w:szCs w:val="20"/>
              </w:rPr>
              <w:t xml:space="preserve"> </w:t>
            </w:r>
            <w:bookmarkStart w:id="1541" w:name="_Toc223981139"/>
            <w:r w:rsidRPr="00325AAE">
              <w:rPr>
                <w:noProof/>
                <w:sz w:val="20"/>
                <w:szCs w:val="20"/>
              </w:rPr>
              <w:t>Austria</w:t>
            </w:r>
            <w:bookmarkEnd w:id="1541"/>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2476DB41" w14:textId="793C79DA" w:rsidR="00F109CA" w:rsidRPr="00F109CA" w:rsidRDefault="00F109CA" w:rsidP="00F109CA">
            <w:pPr>
              <w:jc w:val="right"/>
              <w:outlineLvl w:val="0"/>
              <w:rPr>
                <w:noProof/>
                <w:sz w:val="20"/>
                <w:szCs w:val="20"/>
              </w:rPr>
            </w:pPr>
            <w:bookmarkStart w:id="1542" w:name="_Toc223981140"/>
            <w:r w:rsidRPr="00F109CA">
              <w:rPr>
                <w:noProof/>
                <w:sz w:val="20"/>
                <w:szCs w:val="20"/>
              </w:rPr>
              <w:t>311.8</w:t>
            </w:r>
            <w:bookmarkEnd w:id="1542"/>
          </w:p>
        </w:tc>
        <w:tc>
          <w:tcPr>
            <w:tcW w:w="781" w:type="pct"/>
            <w:tcBorders>
              <w:top w:val="nil"/>
              <w:left w:val="nil"/>
              <w:bottom w:val="single" w:sz="4" w:space="0" w:color="auto"/>
              <w:right w:val="single" w:sz="4" w:space="0" w:color="auto"/>
            </w:tcBorders>
            <w:shd w:val="clear" w:color="000000" w:fill="FFFFFF"/>
            <w:noWrap/>
            <w:hideMark/>
          </w:tcPr>
          <w:p w14:paraId="7EC6240D" w14:textId="201BA6B2" w:rsidR="00F109CA" w:rsidRPr="00F109CA" w:rsidRDefault="00F109CA" w:rsidP="00F109CA">
            <w:pPr>
              <w:jc w:val="right"/>
              <w:outlineLvl w:val="0"/>
              <w:rPr>
                <w:noProof/>
                <w:sz w:val="20"/>
                <w:szCs w:val="20"/>
              </w:rPr>
            </w:pPr>
            <w:bookmarkStart w:id="1543" w:name="_Toc223981141"/>
            <w:r w:rsidRPr="00F109CA">
              <w:rPr>
                <w:noProof/>
                <w:sz w:val="20"/>
                <w:szCs w:val="20"/>
              </w:rPr>
              <w:t>38.4</w:t>
            </w:r>
            <w:bookmarkEnd w:id="1543"/>
          </w:p>
        </w:tc>
        <w:tc>
          <w:tcPr>
            <w:tcW w:w="781" w:type="pct"/>
            <w:tcBorders>
              <w:top w:val="nil"/>
              <w:left w:val="nil"/>
              <w:bottom w:val="single" w:sz="4" w:space="0" w:color="auto"/>
              <w:right w:val="single" w:sz="4" w:space="0" w:color="auto"/>
            </w:tcBorders>
            <w:shd w:val="clear" w:color="000000" w:fill="FFFFFF"/>
            <w:noWrap/>
            <w:hideMark/>
          </w:tcPr>
          <w:p w14:paraId="126205F4" w14:textId="5FD6AFF0" w:rsidR="00F109CA" w:rsidRPr="00F109CA" w:rsidRDefault="00F109CA" w:rsidP="00F109CA">
            <w:pPr>
              <w:jc w:val="right"/>
              <w:outlineLvl w:val="0"/>
              <w:rPr>
                <w:noProof/>
                <w:sz w:val="20"/>
                <w:szCs w:val="20"/>
              </w:rPr>
            </w:pPr>
            <w:bookmarkStart w:id="1544" w:name="_Toc223981142"/>
            <w:r w:rsidRPr="00F109CA">
              <w:rPr>
                <w:noProof/>
                <w:sz w:val="20"/>
                <w:szCs w:val="20"/>
              </w:rPr>
              <w:t>41.3</w:t>
            </w:r>
            <w:bookmarkEnd w:id="1544"/>
          </w:p>
        </w:tc>
        <w:tc>
          <w:tcPr>
            <w:tcW w:w="781" w:type="pct"/>
            <w:tcBorders>
              <w:top w:val="nil"/>
              <w:left w:val="nil"/>
              <w:bottom w:val="single" w:sz="4" w:space="0" w:color="auto"/>
              <w:right w:val="single" w:sz="4" w:space="0" w:color="auto"/>
            </w:tcBorders>
            <w:shd w:val="clear" w:color="000000" w:fill="FFFFFF"/>
            <w:noWrap/>
            <w:hideMark/>
          </w:tcPr>
          <w:p w14:paraId="558B2599" w14:textId="4A2869A5" w:rsidR="00F109CA" w:rsidRPr="00F109CA" w:rsidRDefault="00F109CA" w:rsidP="00F109CA">
            <w:pPr>
              <w:jc w:val="right"/>
              <w:outlineLvl w:val="0"/>
              <w:rPr>
                <w:noProof/>
                <w:sz w:val="20"/>
                <w:szCs w:val="20"/>
              </w:rPr>
            </w:pPr>
            <w:bookmarkStart w:id="1545" w:name="_Toc223981143"/>
            <w:r w:rsidRPr="00F109CA">
              <w:rPr>
                <w:noProof/>
                <w:sz w:val="20"/>
                <w:szCs w:val="20"/>
              </w:rPr>
              <w:t>37.7</w:t>
            </w:r>
            <w:bookmarkEnd w:id="1545"/>
          </w:p>
        </w:tc>
      </w:tr>
      <w:tr w:rsidR="00F109CA" w:rsidRPr="00325AAE" w14:paraId="2855C5F4"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A844760" w14:textId="77777777" w:rsidR="00F109CA" w:rsidRPr="00325AAE" w:rsidRDefault="00F109CA" w:rsidP="00F109CA">
            <w:pPr>
              <w:outlineLvl w:val="0"/>
              <w:rPr>
                <w:noProof/>
                <w:sz w:val="20"/>
                <w:szCs w:val="20"/>
              </w:rPr>
            </w:pPr>
            <w:r w:rsidRPr="00325AAE">
              <w:rPr>
                <w:noProof/>
                <w:sz w:val="20"/>
                <w:szCs w:val="20"/>
              </w:rPr>
              <w:t xml:space="preserve"> </w:t>
            </w:r>
            <w:bookmarkStart w:id="1546" w:name="_Toc223981144"/>
            <w:r w:rsidRPr="00325AAE">
              <w:rPr>
                <w:noProof/>
                <w:sz w:val="20"/>
                <w:szCs w:val="20"/>
              </w:rPr>
              <w:t>Denmark</w:t>
            </w:r>
            <w:bookmarkEnd w:id="1546"/>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FB301CB" w14:textId="0B69C885" w:rsidR="00F109CA" w:rsidRPr="00F109CA" w:rsidRDefault="00F109CA" w:rsidP="00F109CA">
            <w:pPr>
              <w:jc w:val="right"/>
              <w:outlineLvl w:val="0"/>
              <w:rPr>
                <w:noProof/>
                <w:sz w:val="20"/>
                <w:szCs w:val="20"/>
              </w:rPr>
            </w:pPr>
            <w:bookmarkStart w:id="1547" w:name="_Toc223981145"/>
            <w:r w:rsidRPr="00F109CA">
              <w:rPr>
                <w:noProof/>
                <w:sz w:val="20"/>
                <w:szCs w:val="20"/>
              </w:rPr>
              <w:t>207.9</w:t>
            </w:r>
            <w:bookmarkEnd w:id="1547"/>
          </w:p>
        </w:tc>
        <w:tc>
          <w:tcPr>
            <w:tcW w:w="781" w:type="pct"/>
            <w:tcBorders>
              <w:top w:val="nil"/>
              <w:left w:val="nil"/>
              <w:bottom w:val="single" w:sz="4" w:space="0" w:color="auto"/>
              <w:right w:val="single" w:sz="4" w:space="0" w:color="auto"/>
            </w:tcBorders>
            <w:shd w:val="clear" w:color="000000" w:fill="FFFFFF"/>
            <w:noWrap/>
            <w:hideMark/>
          </w:tcPr>
          <w:p w14:paraId="2158B35F" w14:textId="743E472B" w:rsidR="00F109CA" w:rsidRPr="00F109CA" w:rsidRDefault="00F109CA" w:rsidP="00F109CA">
            <w:pPr>
              <w:jc w:val="right"/>
              <w:outlineLvl w:val="0"/>
              <w:rPr>
                <w:noProof/>
                <w:sz w:val="20"/>
                <w:szCs w:val="20"/>
              </w:rPr>
            </w:pPr>
            <w:bookmarkStart w:id="1548" w:name="_Toc223981146"/>
            <w:r w:rsidRPr="00F109CA">
              <w:rPr>
                <w:noProof/>
                <w:sz w:val="20"/>
                <w:szCs w:val="20"/>
              </w:rPr>
              <w:t>25.6</w:t>
            </w:r>
            <w:bookmarkEnd w:id="1548"/>
          </w:p>
        </w:tc>
        <w:tc>
          <w:tcPr>
            <w:tcW w:w="781" w:type="pct"/>
            <w:tcBorders>
              <w:top w:val="nil"/>
              <w:left w:val="nil"/>
              <w:bottom w:val="single" w:sz="4" w:space="0" w:color="auto"/>
              <w:right w:val="single" w:sz="4" w:space="0" w:color="auto"/>
            </w:tcBorders>
            <w:shd w:val="clear" w:color="000000" w:fill="FFFFFF"/>
            <w:noWrap/>
            <w:hideMark/>
          </w:tcPr>
          <w:p w14:paraId="62E60931" w14:textId="143D26F3" w:rsidR="00F109CA" w:rsidRPr="00F109CA" w:rsidRDefault="00F109CA" w:rsidP="00F109CA">
            <w:pPr>
              <w:jc w:val="right"/>
              <w:outlineLvl w:val="0"/>
              <w:rPr>
                <w:noProof/>
                <w:sz w:val="20"/>
                <w:szCs w:val="20"/>
              </w:rPr>
            </w:pPr>
            <w:bookmarkStart w:id="1549" w:name="_Toc223981147"/>
            <w:r w:rsidRPr="00F109CA">
              <w:rPr>
                <w:noProof/>
                <w:sz w:val="20"/>
                <w:szCs w:val="20"/>
              </w:rPr>
              <w:t>27.5</w:t>
            </w:r>
            <w:bookmarkEnd w:id="1549"/>
          </w:p>
        </w:tc>
        <w:tc>
          <w:tcPr>
            <w:tcW w:w="781" w:type="pct"/>
            <w:tcBorders>
              <w:top w:val="nil"/>
              <w:left w:val="nil"/>
              <w:bottom w:val="single" w:sz="4" w:space="0" w:color="auto"/>
              <w:right w:val="single" w:sz="4" w:space="0" w:color="auto"/>
            </w:tcBorders>
            <w:shd w:val="clear" w:color="000000" w:fill="FFFFFF"/>
            <w:noWrap/>
            <w:hideMark/>
          </w:tcPr>
          <w:p w14:paraId="2DFB9A28" w14:textId="090BE22A" w:rsidR="00F109CA" w:rsidRPr="00F109CA" w:rsidRDefault="00F109CA" w:rsidP="00F109CA">
            <w:pPr>
              <w:jc w:val="right"/>
              <w:outlineLvl w:val="0"/>
              <w:rPr>
                <w:noProof/>
                <w:sz w:val="20"/>
                <w:szCs w:val="20"/>
              </w:rPr>
            </w:pPr>
            <w:bookmarkStart w:id="1550" w:name="_Toc223981148"/>
            <w:r w:rsidRPr="00F109CA">
              <w:rPr>
                <w:noProof/>
                <w:sz w:val="20"/>
                <w:szCs w:val="20"/>
              </w:rPr>
              <w:t>25.2</w:t>
            </w:r>
            <w:bookmarkEnd w:id="1550"/>
          </w:p>
        </w:tc>
      </w:tr>
      <w:tr w:rsidR="00F109CA" w:rsidRPr="00325AAE" w14:paraId="50CC52E4"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7D97D7CF" w14:textId="77777777" w:rsidR="00F109CA" w:rsidRPr="00325AAE" w:rsidRDefault="00F109CA" w:rsidP="00F109CA">
            <w:pPr>
              <w:outlineLvl w:val="0"/>
              <w:rPr>
                <w:noProof/>
                <w:sz w:val="20"/>
                <w:szCs w:val="20"/>
              </w:rPr>
            </w:pPr>
            <w:r w:rsidRPr="00325AAE">
              <w:rPr>
                <w:noProof/>
                <w:sz w:val="20"/>
                <w:szCs w:val="20"/>
              </w:rPr>
              <w:t xml:space="preserve"> </w:t>
            </w:r>
            <w:bookmarkStart w:id="1551" w:name="_Toc223981149"/>
            <w:r w:rsidRPr="00325AAE">
              <w:rPr>
                <w:noProof/>
                <w:sz w:val="20"/>
                <w:szCs w:val="20"/>
              </w:rPr>
              <w:t>Luxembourg</w:t>
            </w:r>
            <w:bookmarkEnd w:id="1551"/>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53F2CEA" w14:textId="27F02D57" w:rsidR="00F109CA" w:rsidRPr="00F109CA" w:rsidRDefault="00F109CA" w:rsidP="00F109CA">
            <w:pPr>
              <w:jc w:val="right"/>
              <w:outlineLvl w:val="0"/>
              <w:rPr>
                <w:noProof/>
                <w:sz w:val="20"/>
                <w:szCs w:val="20"/>
              </w:rPr>
            </w:pPr>
            <w:bookmarkStart w:id="1552" w:name="_Toc223981150"/>
            <w:r w:rsidRPr="00F109CA">
              <w:rPr>
                <w:noProof/>
                <w:sz w:val="20"/>
                <w:szCs w:val="20"/>
              </w:rPr>
              <w:t>138.6</w:t>
            </w:r>
            <w:bookmarkEnd w:id="1552"/>
          </w:p>
        </w:tc>
        <w:tc>
          <w:tcPr>
            <w:tcW w:w="781" w:type="pct"/>
            <w:tcBorders>
              <w:top w:val="nil"/>
              <w:left w:val="nil"/>
              <w:bottom w:val="single" w:sz="4" w:space="0" w:color="auto"/>
              <w:right w:val="single" w:sz="4" w:space="0" w:color="auto"/>
            </w:tcBorders>
            <w:shd w:val="clear" w:color="000000" w:fill="FFFFFF"/>
            <w:noWrap/>
            <w:hideMark/>
          </w:tcPr>
          <w:p w14:paraId="23AAEBA5" w14:textId="44083267" w:rsidR="00F109CA" w:rsidRPr="00F109CA" w:rsidRDefault="00F109CA" w:rsidP="00F109CA">
            <w:pPr>
              <w:jc w:val="right"/>
              <w:outlineLvl w:val="0"/>
              <w:rPr>
                <w:noProof/>
                <w:sz w:val="20"/>
                <w:szCs w:val="20"/>
              </w:rPr>
            </w:pPr>
            <w:bookmarkStart w:id="1553" w:name="_Toc223981151"/>
            <w:r w:rsidRPr="00F109CA">
              <w:rPr>
                <w:noProof/>
                <w:sz w:val="20"/>
                <w:szCs w:val="20"/>
              </w:rPr>
              <w:t>17.1</w:t>
            </w:r>
            <w:bookmarkEnd w:id="1553"/>
          </w:p>
        </w:tc>
        <w:tc>
          <w:tcPr>
            <w:tcW w:w="781" w:type="pct"/>
            <w:tcBorders>
              <w:top w:val="nil"/>
              <w:left w:val="nil"/>
              <w:bottom w:val="single" w:sz="4" w:space="0" w:color="auto"/>
              <w:right w:val="single" w:sz="4" w:space="0" w:color="auto"/>
            </w:tcBorders>
            <w:shd w:val="clear" w:color="000000" w:fill="FFFFFF"/>
            <w:noWrap/>
            <w:hideMark/>
          </w:tcPr>
          <w:p w14:paraId="6F1EDC39" w14:textId="0982846B" w:rsidR="00F109CA" w:rsidRPr="00F109CA" w:rsidRDefault="00F109CA" w:rsidP="00F109CA">
            <w:pPr>
              <w:jc w:val="right"/>
              <w:outlineLvl w:val="0"/>
              <w:rPr>
                <w:noProof/>
                <w:sz w:val="20"/>
                <w:szCs w:val="20"/>
              </w:rPr>
            </w:pPr>
            <w:bookmarkStart w:id="1554" w:name="_Toc223981152"/>
            <w:r w:rsidRPr="00F109CA">
              <w:rPr>
                <w:noProof/>
                <w:sz w:val="20"/>
                <w:szCs w:val="20"/>
              </w:rPr>
              <w:t>18.4</w:t>
            </w:r>
            <w:bookmarkEnd w:id="1554"/>
          </w:p>
        </w:tc>
        <w:tc>
          <w:tcPr>
            <w:tcW w:w="781" w:type="pct"/>
            <w:tcBorders>
              <w:top w:val="nil"/>
              <w:left w:val="nil"/>
              <w:bottom w:val="single" w:sz="4" w:space="0" w:color="auto"/>
              <w:right w:val="single" w:sz="4" w:space="0" w:color="auto"/>
            </w:tcBorders>
            <w:shd w:val="clear" w:color="000000" w:fill="FFFFFF"/>
            <w:noWrap/>
            <w:hideMark/>
          </w:tcPr>
          <w:p w14:paraId="0DF37B42" w14:textId="6F1EBF08" w:rsidR="00F109CA" w:rsidRPr="00F109CA" w:rsidRDefault="00F109CA" w:rsidP="00F109CA">
            <w:pPr>
              <w:jc w:val="right"/>
              <w:outlineLvl w:val="0"/>
              <w:rPr>
                <w:noProof/>
                <w:sz w:val="20"/>
                <w:szCs w:val="20"/>
              </w:rPr>
            </w:pPr>
            <w:bookmarkStart w:id="1555" w:name="_Toc223981153"/>
            <w:r w:rsidRPr="00F109CA">
              <w:rPr>
                <w:noProof/>
                <w:sz w:val="20"/>
                <w:szCs w:val="20"/>
              </w:rPr>
              <w:t>16.8</w:t>
            </w:r>
            <w:bookmarkEnd w:id="1555"/>
          </w:p>
        </w:tc>
      </w:tr>
      <w:tr w:rsidR="00F109CA" w:rsidRPr="00325AAE" w14:paraId="3F499725"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994CC58" w14:textId="77777777" w:rsidR="00F109CA" w:rsidRPr="00325AAE" w:rsidRDefault="00F109CA" w:rsidP="00F109CA">
            <w:pPr>
              <w:outlineLvl w:val="0"/>
              <w:rPr>
                <w:noProof/>
                <w:sz w:val="20"/>
                <w:szCs w:val="20"/>
              </w:rPr>
            </w:pPr>
            <w:r w:rsidRPr="00325AAE">
              <w:rPr>
                <w:noProof/>
                <w:sz w:val="20"/>
                <w:szCs w:val="20"/>
              </w:rPr>
              <w:t xml:space="preserve"> </w:t>
            </w:r>
            <w:bookmarkStart w:id="1556" w:name="_Toc223981154"/>
            <w:r w:rsidRPr="00325AAE">
              <w:rPr>
                <w:noProof/>
                <w:sz w:val="20"/>
                <w:szCs w:val="20"/>
              </w:rPr>
              <w:t>Finland</w:t>
            </w:r>
            <w:bookmarkEnd w:id="1556"/>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6C702BCD" w14:textId="09937EA9" w:rsidR="00F109CA" w:rsidRPr="00F109CA" w:rsidRDefault="00F109CA" w:rsidP="00F109CA">
            <w:pPr>
              <w:jc w:val="right"/>
              <w:outlineLvl w:val="0"/>
              <w:rPr>
                <w:noProof/>
                <w:sz w:val="20"/>
                <w:szCs w:val="20"/>
              </w:rPr>
            </w:pPr>
            <w:bookmarkStart w:id="1557" w:name="_Toc223981155"/>
            <w:r w:rsidRPr="00F109CA">
              <w:rPr>
                <w:noProof/>
                <w:sz w:val="20"/>
                <w:szCs w:val="20"/>
              </w:rPr>
              <w:t>173.2</w:t>
            </w:r>
            <w:bookmarkEnd w:id="1557"/>
          </w:p>
        </w:tc>
        <w:tc>
          <w:tcPr>
            <w:tcW w:w="781" w:type="pct"/>
            <w:tcBorders>
              <w:top w:val="nil"/>
              <w:left w:val="nil"/>
              <w:bottom w:val="single" w:sz="4" w:space="0" w:color="auto"/>
              <w:right w:val="single" w:sz="4" w:space="0" w:color="auto"/>
            </w:tcBorders>
            <w:shd w:val="clear" w:color="000000" w:fill="FFFFFF"/>
            <w:noWrap/>
            <w:hideMark/>
          </w:tcPr>
          <w:p w14:paraId="264D3D87" w14:textId="7A6ECA78" w:rsidR="00F109CA" w:rsidRPr="00F109CA" w:rsidRDefault="00F109CA" w:rsidP="00F109CA">
            <w:pPr>
              <w:jc w:val="right"/>
              <w:outlineLvl w:val="0"/>
              <w:rPr>
                <w:noProof/>
                <w:sz w:val="20"/>
                <w:szCs w:val="20"/>
              </w:rPr>
            </w:pPr>
            <w:bookmarkStart w:id="1558" w:name="_Toc223981156"/>
            <w:r w:rsidRPr="00F109CA">
              <w:rPr>
                <w:noProof/>
                <w:sz w:val="20"/>
                <w:szCs w:val="20"/>
              </w:rPr>
              <w:t>21.3</w:t>
            </w:r>
            <w:bookmarkEnd w:id="1558"/>
          </w:p>
        </w:tc>
        <w:tc>
          <w:tcPr>
            <w:tcW w:w="781" w:type="pct"/>
            <w:tcBorders>
              <w:top w:val="nil"/>
              <w:left w:val="nil"/>
              <w:bottom w:val="single" w:sz="4" w:space="0" w:color="auto"/>
              <w:right w:val="single" w:sz="4" w:space="0" w:color="auto"/>
            </w:tcBorders>
            <w:shd w:val="clear" w:color="000000" w:fill="FFFFFF"/>
            <w:noWrap/>
            <w:hideMark/>
          </w:tcPr>
          <w:p w14:paraId="7C3E26CD" w14:textId="075A5CD3" w:rsidR="00F109CA" w:rsidRPr="00F109CA" w:rsidRDefault="00F109CA" w:rsidP="00F109CA">
            <w:pPr>
              <w:jc w:val="right"/>
              <w:outlineLvl w:val="0"/>
              <w:rPr>
                <w:noProof/>
                <w:sz w:val="20"/>
                <w:szCs w:val="20"/>
              </w:rPr>
            </w:pPr>
            <w:bookmarkStart w:id="1559" w:name="_Toc223981157"/>
            <w:r w:rsidRPr="00F109CA">
              <w:rPr>
                <w:noProof/>
                <w:sz w:val="20"/>
                <w:szCs w:val="20"/>
              </w:rPr>
              <w:t>22.9</w:t>
            </w:r>
            <w:bookmarkEnd w:id="1559"/>
          </w:p>
        </w:tc>
        <w:tc>
          <w:tcPr>
            <w:tcW w:w="781" w:type="pct"/>
            <w:tcBorders>
              <w:top w:val="nil"/>
              <w:left w:val="nil"/>
              <w:bottom w:val="single" w:sz="4" w:space="0" w:color="auto"/>
              <w:right w:val="single" w:sz="4" w:space="0" w:color="auto"/>
            </w:tcBorders>
            <w:shd w:val="clear" w:color="000000" w:fill="FFFFFF"/>
            <w:noWrap/>
            <w:hideMark/>
          </w:tcPr>
          <w:p w14:paraId="7763809A" w14:textId="30A7CE9D" w:rsidR="00F109CA" w:rsidRPr="00F109CA" w:rsidRDefault="00F109CA" w:rsidP="00F109CA">
            <w:pPr>
              <w:jc w:val="right"/>
              <w:outlineLvl w:val="0"/>
              <w:rPr>
                <w:noProof/>
                <w:sz w:val="20"/>
                <w:szCs w:val="20"/>
              </w:rPr>
            </w:pPr>
            <w:bookmarkStart w:id="1560" w:name="_Toc223981158"/>
            <w:r w:rsidRPr="00F109CA">
              <w:rPr>
                <w:noProof/>
                <w:sz w:val="20"/>
                <w:szCs w:val="20"/>
              </w:rPr>
              <w:t>21.0</w:t>
            </w:r>
            <w:bookmarkEnd w:id="1560"/>
          </w:p>
        </w:tc>
      </w:tr>
      <w:tr w:rsidR="00F109CA" w:rsidRPr="00325AAE" w14:paraId="65C3A90A"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05384262" w14:textId="77777777" w:rsidR="00F109CA" w:rsidRPr="00325AAE" w:rsidRDefault="00F109CA" w:rsidP="00F109CA">
            <w:pPr>
              <w:outlineLvl w:val="0"/>
              <w:rPr>
                <w:noProof/>
                <w:sz w:val="20"/>
                <w:szCs w:val="20"/>
              </w:rPr>
            </w:pPr>
            <w:r w:rsidRPr="00325AAE">
              <w:rPr>
                <w:noProof/>
                <w:sz w:val="20"/>
                <w:szCs w:val="20"/>
              </w:rPr>
              <w:t xml:space="preserve"> </w:t>
            </w:r>
            <w:bookmarkStart w:id="1561" w:name="_Toc223981159"/>
            <w:r w:rsidRPr="00325AAE">
              <w:rPr>
                <w:noProof/>
                <w:sz w:val="20"/>
                <w:szCs w:val="20"/>
              </w:rPr>
              <w:t>Spain</w:t>
            </w:r>
            <w:bookmarkEnd w:id="1561"/>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5A575835" w14:textId="30AE2D36" w:rsidR="00F109CA" w:rsidRPr="00F109CA" w:rsidRDefault="00F109CA" w:rsidP="00F109CA">
            <w:pPr>
              <w:jc w:val="right"/>
              <w:outlineLvl w:val="0"/>
              <w:rPr>
                <w:noProof/>
                <w:sz w:val="20"/>
                <w:szCs w:val="20"/>
              </w:rPr>
            </w:pPr>
            <w:bookmarkStart w:id="1562" w:name="_Toc223981160"/>
            <w:r w:rsidRPr="00F109CA">
              <w:rPr>
                <w:noProof/>
                <w:sz w:val="20"/>
                <w:szCs w:val="20"/>
              </w:rPr>
              <w:t>138.6</w:t>
            </w:r>
            <w:bookmarkEnd w:id="1562"/>
          </w:p>
        </w:tc>
        <w:tc>
          <w:tcPr>
            <w:tcW w:w="781" w:type="pct"/>
            <w:tcBorders>
              <w:top w:val="nil"/>
              <w:left w:val="nil"/>
              <w:bottom w:val="single" w:sz="4" w:space="0" w:color="auto"/>
              <w:right w:val="single" w:sz="4" w:space="0" w:color="auto"/>
            </w:tcBorders>
            <w:shd w:val="clear" w:color="000000" w:fill="FFFFFF"/>
            <w:noWrap/>
            <w:hideMark/>
          </w:tcPr>
          <w:p w14:paraId="63DFC257" w14:textId="250931BB" w:rsidR="00F109CA" w:rsidRPr="00F109CA" w:rsidRDefault="00F109CA" w:rsidP="00F109CA">
            <w:pPr>
              <w:jc w:val="right"/>
              <w:outlineLvl w:val="0"/>
              <w:rPr>
                <w:noProof/>
                <w:sz w:val="20"/>
                <w:szCs w:val="20"/>
              </w:rPr>
            </w:pPr>
            <w:bookmarkStart w:id="1563" w:name="_Toc223981161"/>
            <w:r w:rsidRPr="00F109CA">
              <w:rPr>
                <w:noProof/>
                <w:sz w:val="20"/>
                <w:szCs w:val="20"/>
              </w:rPr>
              <w:t>17.1</w:t>
            </w:r>
            <w:bookmarkEnd w:id="1563"/>
          </w:p>
        </w:tc>
        <w:tc>
          <w:tcPr>
            <w:tcW w:w="781" w:type="pct"/>
            <w:tcBorders>
              <w:top w:val="nil"/>
              <w:left w:val="nil"/>
              <w:bottom w:val="single" w:sz="4" w:space="0" w:color="auto"/>
              <w:right w:val="single" w:sz="4" w:space="0" w:color="auto"/>
            </w:tcBorders>
            <w:shd w:val="clear" w:color="000000" w:fill="FFFFFF"/>
            <w:noWrap/>
            <w:hideMark/>
          </w:tcPr>
          <w:p w14:paraId="1A2F82B0" w14:textId="6CC5A6DA" w:rsidR="00F109CA" w:rsidRPr="00F109CA" w:rsidRDefault="00F109CA" w:rsidP="00F109CA">
            <w:pPr>
              <w:jc w:val="right"/>
              <w:outlineLvl w:val="0"/>
              <w:rPr>
                <w:noProof/>
                <w:sz w:val="20"/>
                <w:szCs w:val="20"/>
              </w:rPr>
            </w:pPr>
            <w:bookmarkStart w:id="1564" w:name="_Toc223981162"/>
            <w:r w:rsidRPr="00F109CA">
              <w:rPr>
                <w:noProof/>
                <w:sz w:val="20"/>
                <w:szCs w:val="20"/>
              </w:rPr>
              <w:t>18.4</w:t>
            </w:r>
            <w:bookmarkEnd w:id="1564"/>
          </w:p>
        </w:tc>
        <w:tc>
          <w:tcPr>
            <w:tcW w:w="781" w:type="pct"/>
            <w:tcBorders>
              <w:top w:val="nil"/>
              <w:left w:val="nil"/>
              <w:bottom w:val="single" w:sz="4" w:space="0" w:color="auto"/>
              <w:right w:val="single" w:sz="4" w:space="0" w:color="auto"/>
            </w:tcBorders>
            <w:shd w:val="clear" w:color="000000" w:fill="FFFFFF"/>
            <w:noWrap/>
            <w:hideMark/>
          </w:tcPr>
          <w:p w14:paraId="2BB54FD0" w14:textId="759EE3D1" w:rsidR="00F109CA" w:rsidRPr="00F109CA" w:rsidRDefault="00F109CA" w:rsidP="00F109CA">
            <w:pPr>
              <w:jc w:val="right"/>
              <w:outlineLvl w:val="0"/>
              <w:rPr>
                <w:noProof/>
                <w:sz w:val="20"/>
                <w:szCs w:val="20"/>
              </w:rPr>
            </w:pPr>
            <w:bookmarkStart w:id="1565" w:name="_Toc223981163"/>
            <w:r w:rsidRPr="00F109CA">
              <w:rPr>
                <w:noProof/>
                <w:sz w:val="20"/>
                <w:szCs w:val="20"/>
              </w:rPr>
              <w:t>16.8</w:t>
            </w:r>
            <w:bookmarkEnd w:id="1565"/>
          </w:p>
        </w:tc>
      </w:tr>
      <w:tr w:rsidR="00F109CA" w:rsidRPr="00325AAE" w14:paraId="73A8DAA3"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1E38D39B" w14:textId="77777777" w:rsidR="00F109CA" w:rsidRPr="00325AAE" w:rsidRDefault="00F109CA" w:rsidP="00F109CA">
            <w:pPr>
              <w:outlineLvl w:val="0"/>
              <w:rPr>
                <w:noProof/>
                <w:sz w:val="20"/>
                <w:szCs w:val="20"/>
              </w:rPr>
            </w:pPr>
            <w:r w:rsidRPr="00325AAE">
              <w:rPr>
                <w:noProof/>
                <w:sz w:val="20"/>
                <w:szCs w:val="20"/>
              </w:rPr>
              <w:t xml:space="preserve"> </w:t>
            </w:r>
            <w:bookmarkStart w:id="1566" w:name="_Toc223981164"/>
            <w:r w:rsidRPr="00325AAE">
              <w:rPr>
                <w:noProof/>
                <w:sz w:val="20"/>
                <w:szCs w:val="20"/>
              </w:rPr>
              <w:t>Netherlands</w:t>
            </w:r>
            <w:bookmarkEnd w:id="1566"/>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051A952A" w14:textId="6B96B50C" w:rsidR="00F109CA" w:rsidRPr="00F109CA" w:rsidRDefault="00F109CA" w:rsidP="00F109CA">
            <w:pPr>
              <w:jc w:val="right"/>
              <w:outlineLvl w:val="0"/>
              <w:rPr>
                <w:noProof/>
                <w:sz w:val="20"/>
                <w:szCs w:val="20"/>
              </w:rPr>
            </w:pPr>
            <w:bookmarkStart w:id="1567" w:name="_Toc223981165"/>
            <w:r w:rsidRPr="00F109CA">
              <w:rPr>
                <w:noProof/>
                <w:sz w:val="20"/>
                <w:szCs w:val="20"/>
              </w:rPr>
              <w:t>346.5</w:t>
            </w:r>
            <w:bookmarkEnd w:id="1567"/>
          </w:p>
        </w:tc>
        <w:tc>
          <w:tcPr>
            <w:tcW w:w="781" w:type="pct"/>
            <w:tcBorders>
              <w:top w:val="nil"/>
              <w:left w:val="nil"/>
              <w:bottom w:val="single" w:sz="4" w:space="0" w:color="auto"/>
              <w:right w:val="single" w:sz="4" w:space="0" w:color="auto"/>
            </w:tcBorders>
            <w:shd w:val="clear" w:color="000000" w:fill="FFFFFF"/>
            <w:noWrap/>
            <w:hideMark/>
          </w:tcPr>
          <w:p w14:paraId="67D9140B" w14:textId="0FAC6B66" w:rsidR="00F109CA" w:rsidRPr="00F109CA" w:rsidRDefault="00F109CA" w:rsidP="00F109CA">
            <w:pPr>
              <w:jc w:val="right"/>
              <w:outlineLvl w:val="0"/>
              <w:rPr>
                <w:noProof/>
                <w:sz w:val="20"/>
                <w:szCs w:val="20"/>
              </w:rPr>
            </w:pPr>
            <w:bookmarkStart w:id="1568" w:name="_Toc223981166"/>
            <w:r w:rsidRPr="00F109CA">
              <w:rPr>
                <w:noProof/>
                <w:sz w:val="20"/>
                <w:szCs w:val="20"/>
              </w:rPr>
              <w:t>42.7</w:t>
            </w:r>
            <w:bookmarkEnd w:id="1568"/>
          </w:p>
        </w:tc>
        <w:tc>
          <w:tcPr>
            <w:tcW w:w="781" w:type="pct"/>
            <w:tcBorders>
              <w:top w:val="nil"/>
              <w:left w:val="nil"/>
              <w:bottom w:val="single" w:sz="4" w:space="0" w:color="auto"/>
              <w:right w:val="single" w:sz="4" w:space="0" w:color="auto"/>
            </w:tcBorders>
            <w:shd w:val="clear" w:color="000000" w:fill="FFFFFF"/>
            <w:noWrap/>
            <w:hideMark/>
          </w:tcPr>
          <w:p w14:paraId="0DE2D526" w14:textId="64A0DA08" w:rsidR="00F109CA" w:rsidRPr="00F109CA" w:rsidRDefault="00F109CA" w:rsidP="00F109CA">
            <w:pPr>
              <w:jc w:val="right"/>
              <w:outlineLvl w:val="0"/>
              <w:rPr>
                <w:noProof/>
                <w:sz w:val="20"/>
                <w:szCs w:val="20"/>
              </w:rPr>
            </w:pPr>
            <w:bookmarkStart w:id="1569" w:name="_Toc223981167"/>
            <w:r w:rsidRPr="00F109CA">
              <w:rPr>
                <w:noProof/>
                <w:sz w:val="20"/>
                <w:szCs w:val="20"/>
              </w:rPr>
              <w:t>45.9</w:t>
            </w:r>
            <w:bookmarkEnd w:id="1569"/>
          </w:p>
        </w:tc>
        <w:tc>
          <w:tcPr>
            <w:tcW w:w="781" w:type="pct"/>
            <w:tcBorders>
              <w:top w:val="nil"/>
              <w:left w:val="nil"/>
              <w:bottom w:val="single" w:sz="4" w:space="0" w:color="auto"/>
              <w:right w:val="single" w:sz="4" w:space="0" w:color="auto"/>
            </w:tcBorders>
            <w:shd w:val="clear" w:color="000000" w:fill="FFFFFF"/>
            <w:noWrap/>
            <w:hideMark/>
          </w:tcPr>
          <w:p w14:paraId="5217BC8A" w14:textId="09D944AB" w:rsidR="00F109CA" w:rsidRPr="00F109CA" w:rsidRDefault="00F109CA" w:rsidP="00F109CA">
            <w:pPr>
              <w:jc w:val="right"/>
              <w:outlineLvl w:val="0"/>
              <w:rPr>
                <w:noProof/>
                <w:sz w:val="20"/>
                <w:szCs w:val="20"/>
              </w:rPr>
            </w:pPr>
            <w:bookmarkStart w:id="1570" w:name="_Toc223981168"/>
            <w:r w:rsidRPr="00F109CA">
              <w:rPr>
                <w:noProof/>
                <w:sz w:val="20"/>
                <w:szCs w:val="20"/>
              </w:rPr>
              <w:t>41.9</w:t>
            </w:r>
            <w:bookmarkEnd w:id="1570"/>
          </w:p>
        </w:tc>
      </w:tr>
      <w:tr w:rsidR="00F109CA" w:rsidRPr="00325AAE" w14:paraId="00BEB0AF"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2FD89D9F" w14:textId="77777777" w:rsidR="00F109CA" w:rsidRPr="00325AAE" w:rsidRDefault="00F109CA" w:rsidP="00F109CA">
            <w:pPr>
              <w:outlineLvl w:val="0"/>
              <w:rPr>
                <w:noProof/>
                <w:sz w:val="20"/>
                <w:szCs w:val="20"/>
              </w:rPr>
            </w:pPr>
            <w:r w:rsidRPr="00325AAE">
              <w:rPr>
                <w:noProof/>
                <w:sz w:val="20"/>
                <w:szCs w:val="20"/>
              </w:rPr>
              <w:t xml:space="preserve"> </w:t>
            </w:r>
            <w:bookmarkStart w:id="1571" w:name="_Toc223981169"/>
            <w:r w:rsidRPr="00325AAE">
              <w:rPr>
                <w:noProof/>
                <w:sz w:val="20"/>
                <w:szCs w:val="20"/>
              </w:rPr>
              <w:t>France</w:t>
            </w:r>
            <w:bookmarkEnd w:id="1571"/>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2423A0B9" w14:textId="6F2C0CD7" w:rsidR="00F109CA" w:rsidRPr="00F109CA" w:rsidRDefault="00F109CA" w:rsidP="00F109CA">
            <w:pPr>
              <w:jc w:val="right"/>
              <w:outlineLvl w:val="0"/>
              <w:rPr>
                <w:noProof/>
                <w:sz w:val="20"/>
                <w:szCs w:val="20"/>
              </w:rPr>
            </w:pPr>
            <w:bookmarkStart w:id="1572" w:name="_Toc223981170"/>
            <w:r w:rsidRPr="00F109CA">
              <w:rPr>
                <w:noProof/>
                <w:sz w:val="20"/>
                <w:szCs w:val="20"/>
              </w:rPr>
              <w:t>450.4</w:t>
            </w:r>
            <w:bookmarkEnd w:id="1572"/>
          </w:p>
        </w:tc>
        <w:tc>
          <w:tcPr>
            <w:tcW w:w="781" w:type="pct"/>
            <w:tcBorders>
              <w:top w:val="nil"/>
              <w:left w:val="nil"/>
              <w:bottom w:val="single" w:sz="4" w:space="0" w:color="auto"/>
              <w:right w:val="single" w:sz="4" w:space="0" w:color="auto"/>
            </w:tcBorders>
            <w:shd w:val="clear" w:color="000000" w:fill="FFFFFF"/>
            <w:noWrap/>
            <w:hideMark/>
          </w:tcPr>
          <w:p w14:paraId="05D9A962" w14:textId="07F58134" w:rsidR="00F109CA" w:rsidRPr="00F109CA" w:rsidRDefault="00F109CA" w:rsidP="00F109CA">
            <w:pPr>
              <w:jc w:val="right"/>
              <w:outlineLvl w:val="0"/>
              <w:rPr>
                <w:noProof/>
                <w:sz w:val="20"/>
                <w:szCs w:val="20"/>
              </w:rPr>
            </w:pPr>
            <w:bookmarkStart w:id="1573" w:name="_Toc223981171"/>
            <w:r w:rsidRPr="00F109CA">
              <w:rPr>
                <w:noProof/>
                <w:sz w:val="20"/>
                <w:szCs w:val="20"/>
              </w:rPr>
              <w:t>55.5</w:t>
            </w:r>
            <w:bookmarkEnd w:id="1573"/>
          </w:p>
        </w:tc>
        <w:tc>
          <w:tcPr>
            <w:tcW w:w="781" w:type="pct"/>
            <w:tcBorders>
              <w:top w:val="nil"/>
              <w:left w:val="nil"/>
              <w:bottom w:val="single" w:sz="4" w:space="0" w:color="auto"/>
              <w:right w:val="single" w:sz="4" w:space="0" w:color="auto"/>
            </w:tcBorders>
            <w:shd w:val="clear" w:color="000000" w:fill="FFFFFF"/>
            <w:noWrap/>
            <w:hideMark/>
          </w:tcPr>
          <w:p w14:paraId="0A43D5B8" w14:textId="706A6D59" w:rsidR="00F109CA" w:rsidRPr="00F109CA" w:rsidRDefault="00F109CA" w:rsidP="00F109CA">
            <w:pPr>
              <w:jc w:val="right"/>
              <w:outlineLvl w:val="0"/>
              <w:rPr>
                <w:noProof/>
                <w:sz w:val="20"/>
                <w:szCs w:val="20"/>
              </w:rPr>
            </w:pPr>
            <w:bookmarkStart w:id="1574" w:name="_Toc223981172"/>
            <w:r w:rsidRPr="00F109CA">
              <w:rPr>
                <w:noProof/>
                <w:sz w:val="20"/>
                <w:szCs w:val="20"/>
              </w:rPr>
              <w:t>59.6</w:t>
            </w:r>
            <w:bookmarkEnd w:id="1574"/>
          </w:p>
        </w:tc>
        <w:tc>
          <w:tcPr>
            <w:tcW w:w="781" w:type="pct"/>
            <w:tcBorders>
              <w:top w:val="nil"/>
              <w:left w:val="nil"/>
              <w:bottom w:val="single" w:sz="4" w:space="0" w:color="auto"/>
              <w:right w:val="single" w:sz="4" w:space="0" w:color="auto"/>
            </w:tcBorders>
            <w:shd w:val="clear" w:color="000000" w:fill="FFFFFF"/>
            <w:noWrap/>
            <w:hideMark/>
          </w:tcPr>
          <w:p w14:paraId="676AA166" w14:textId="3DF1D7C8" w:rsidR="00F109CA" w:rsidRPr="00F109CA" w:rsidRDefault="00F109CA" w:rsidP="00F109CA">
            <w:pPr>
              <w:jc w:val="right"/>
              <w:outlineLvl w:val="0"/>
              <w:rPr>
                <w:noProof/>
                <w:sz w:val="20"/>
                <w:szCs w:val="20"/>
              </w:rPr>
            </w:pPr>
            <w:bookmarkStart w:id="1575" w:name="_Toc223981173"/>
            <w:r w:rsidRPr="00F109CA">
              <w:rPr>
                <w:noProof/>
                <w:sz w:val="20"/>
                <w:szCs w:val="20"/>
              </w:rPr>
              <w:t>54.5</w:t>
            </w:r>
            <w:bookmarkEnd w:id="1575"/>
          </w:p>
        </w:tc>
      </w:tr>
      <w:tr w:rsidR="00F109CA" w:rsidRPr="00325AAE" w14:paraId="639ABA62"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2E8CC8E5" w14:textId="77777777" w:rsidR="00F109CA" w:rsidRPr="00325AAE" w:rsidRDefault="00F109CA" w:rsidP="00F109CA">
            <w:pPr>
              <w:outlineLvl w:val="0"/>
              <w:rPr>
                <w:noProof/>
                <w:sz w:val="20"/>
                <w:szCs w:val="20"/>
              </w:rPr>
            </w:pPr>
            <w:r w:rsidRPr="00325AAE">
              <w:rPr>
                <w:noProof/>
                <w:sz w:val="20"/>
                <w:szCs w:val="20"/>
              </w:rPr>
              <w:t xml:space="preserve"> </w:t>
            </w:r>
            <w:bookmarkStart w:id="1576" w:name="_Toc223981174"/>
            <w:r w:rsidRPr="00325AAE">
              <w:rPr>
                <w:noProof/>
                <w:sz w:val="20"/>
                <w:szCs w:val="20"/>
              </w:rPr>
              <w:t>Poland</w:t>
            </w:r>
            <w:bookmarkEnd w:id="1576"/>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6A03D02F" w14:textId="01EFF597" w:rsidR="00F109CA" w:rsidRPr="00F109CA" w:rsidRDefault="00F109CA" w:rsidP="00F109CA">
            <w:pPr>
              <w:jc w:val="right"/>
              <w:outlineLvl w:val="0"/>
              <w:rPr>
                <w:noProof/>
                <w:sz w:val="20"/>
                <w:szCs w:val="20"/>
              </w:rPr>
            </w:pPr>
            <w:bookmarkStart w:id="1577" w:name="_Toc223981175"/>
            <w:r w:rsidRPr="00F109CA">
              <w:rPr>
                <w:noProof/>
                <w:sz w:val="20"/>
                <w:szCs w:val="20"/>
              </w:rPr>
              <w:t>242.5</w:t>
            </w:r>
            <w:bookmarkEnd w:id="1577"/>
          </w:p>
        </w:tc>
        <w:tc>
          <w:tcPr>
            <w:tcW w:w="781" w:type="pct"/>
            <w:tcBorders>
              <w:top w:val="nil"/>
              <w:left w:val="nil"/>
              <w:bottom w:val="single" w:sz="4" w:space="0" w:color="auto"/>
              <w:right w:val="single" w:sz="4" w:space="0" w:color="auto"/>
            </w:tcBorders>
            <w:shd w:val="clear" w:color="000000" w:fill="FFFFFF"/>
            <w:noWrap/>
            <w:hideMark/>
          </w:tcPr>
          <w:p w14:paraId="2F567BFF" w14:textId="6DAD64D7" w:rsidR="00F109CA" w:rsidRPr="00F109CA" w:rsidRDefault="00F109CA" w:rsidP="00F109CA">
            <w:pPr>
              <w:jc w:val="right"/>
              <w:outlineLvl w:val="0"/>
              <w:rPr>
                <w:noProof/>
                <w:sz w:val="20"/>
                <w:szCs w:val="20"/>
              </w:rPr>
            </w:pPr>
            <w:bookmarkStart w:id="1578" w:name="_Toc223981176"/>
            <w:r w:rsidRPr="00F109CA">
              <w:rPr>
                <w:noProof/>
                <w:sz w:val="20"/>
                <w:szCs w:val="20"/>
              </w:rPr>
              <w:t>29.9</w:t>
            </w:r>
            <w:bookmarkEnd w:id="1578"/>
          </w:p>
        </w:tc>
        <w:tc>
          <w:tcPr>
            <w:tcW w:w="781" w:type="pct"/>
            <w:tcBorders>
              <w:top w:val="nil"/>
              <w:left w:val="nil"/>
              <w:bottom w:val="single" w:sz="4" w:space="0" w:color="auto"/>
              <w:right w:val="single" w:sz="4" w:space="0" w:color="auto"/>
            </w:tcBorders>
            <w:shd w:val="clear" w:color="000000" w:fill="FFFFFF"/>
            <w:noWrap/>
            <w:hideMark/>
          </w:tcPr>
          <w:p w14:paraId="23DFAA6C" w14:textId="300274C9" w:rsidR="00F109CA" w:rsidRPr="00F109CA" w:rsidRDefault="00F109CA" w:rsidP="00F109CA">
            <w:pPr>
              <w:jc w:val="right"/>
              <w:outlineLvl w:val="0"/>
              <w:rPr>
                <w:noProof/>
                <w:sz w:val="20"/>
                <w:szCs w:val="20"/>
              </w:rPr>
            </w:pPr>
            <w:bookmarkStart w:id="1579" w:name="_Toc223981177"/>
            <w:r w:rsidRPr="00F109CA">
              <w:rPr>
                <w:noProof/>
                <w:sz w:val="20"/>
                <w:szCs w:val="20"/>
              </w:rPr>
              <w:t>32.1</w:t>
            </w:r>
            <w:bookmarkEnd w:id="1579"/>
          </w:p>
        </w:tc>
        <w:tc>
          <w:tcPr>
            <w:tcW w:w="781" w:type="pct"/>
            <w:tcBorders>
              <w:top w:val="nil"/>
              <w:left w:val="nil"/>
              <w:bottom w:val="single" w:sz="4" w:space="0" w:color="auto"/>
              <w:right w:val="single" w:sz="4" w:space="0" w:color="auto"/>
            </w:tcBorders>
            <w:shd w:val="clear" w:color="000000" w:fill="FFFFFF"/>
            <w:noWrap/>
            <w:hideMark/>
          </w:tcPr>
          <w:p w14:paraId="5699C155" w14:textId="694703FB" w:rsidR="00F109CA" w:rsidRPr="00F109CA" w:rsidRDefault="00F109CA" w:rsidP="00F109CA">
            <w:pPr>
              <w:jc w:val="right"/>
              <w:outlineLvl w:val="0"/>
              <w:rPr>
                <w:noProof/>
                <w:sz w:val="20"/>
                <w:szCs w:val="20"/>
              </w:rPr>
            </w:pPr>
            <w:bookmarkStart w:id="1580" w:name="_Toc223981178"/>
            <w:r w:rsidRPr="00F109CA">
              <w:rPr>
                <w:noProof/>
                <w:sz w:val="20"/>
                <w:szCs w:val="20"/>
              </w:rPr>
              <w:t>29.4</w:t>
            </w:r>
            <w:bookmarkEnd w:id="1580"/>
          </w:p>
        </w:tc>
      </w:tr>
      <w:tr w:rsidR="00F109CA" w:rsidRPr="00325AAE" w14:paraId="60C2E2F6"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1ED4001" w14:textId="77777777" w:rsidR="00F109CA" w:rsidRPr="00325AAE" w:rsidRDefault="00F109CA" w:rsidP="00F109CA">
            <w:pPr>
              <w:outlineLvl w:val="0"/>
              <w:rPr>
                <w:noProof/>
                <w:sz w:val="20"/>
                <w:szCs w:val="20"/>
              </w:rPr>
            </w:pPr>
            <w:r w:rsidRPr="00325AAE">
              <w:rPr>
                <w:noProof/>
                <w:sz w:val="20"/>
                <w:szCs w:val="20"/>
              </w:rPr>
              <w:t xml:space="preserve"> </w:t>
            </w:r>
            <w:bookmarkStart w:id="1581" w:name="_Toc223981179"/>
            <w:r w:rsidRPr="00325AAE">
              <w:rPr>
                <w:noProof/>
                <w:sz w:val="20"/>
                <w:szCs w:val="20"/>
              </w:rPr>
              <w:t>Italy</w:t>
            </w:r>
            <w:bookmarkEnd w:id="1581"/>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5BD509D" w14:textId="6470A087" w:rsidR="00F109CA" w:rsidRPr="00F109CA" w:rsidRDefault="00F109CA" w:rsidP="00F109CA">
            <w:pPr>
              <w:jc w:val="right"/>
              <w:outlineLvl w:val="0"/>
              <w:rPr>
                <w:noProof/>
                <w:sz w:val="20"/>
                <w:szCs w:val="20"/>
              </w:rPr>
            </w:pPr>
            <w:bookmarkStart w:id="1582" w:name="_Toc223981180"/>
            <w:r w:rsidRPr="00F109CA">
              <w:rPr>
                <w:noProof/>
                <w:sz w:val="20"/>
                <w:szCs w:val="20"/>
              </w:rPr>
              <w:t>207.9</w:t>
            </w:r>
            <w:bookmarkEnd w:id="1582"/>
          </w:p>
        </w:tc>
        <w:tc>
          <w:tcPr>
            <w:tcW w:w="781" w:type="pct"/>
            <w:tcBorders>
              <w:top w:val="nil"/>
              <w:left w:val="nil"/>
              <w:bottom w:val="single" w:sz="4" w:space="0" w:color="auto"/>
              <w:right w:val="single" w:sz="4" w:space="0" w:color="auto"/>
            </w:tcBorders>
            <w:shd w:val="clear" w:color="000000" w:fill="FFFFFF"/>
            <w:noWrap/>
            <w:hideMark/>
          </w:tcPr>
          <w:p w14:paraId="0ACA603E" w14:textId="4FCB4DE8" w:rsidR="00F109CA" w:rsidRPr="00F109CA" w:rsidRDefault="00F109CA" w:rsidP="00F109CA">
            <w:pPr>
              <w:jc w:val="right"/>
              <w:outlineLvl w:val="0"/>
              <w:rPr>
                <w:noProof/>
                <w:sz w:val="20"/>
                <w:szCs w:val="20"/>
              </w:rPr>
            </w:pPr>
            <w:bookmarkStart w:id="1583" w:name="_Toc223981181"/>
            <w:r w:rsidRPr="00F109CA">
              <w:rPr>
                <w:noProof/>
                <w:sz w:val="20"/>
                <w:szCs w:val="20"/>
              </w:rPr>
              <w:t>25.6</w:t>
            </w:r>
            <w:bookmarkEnd w:id="1583"/>
          </w:p>
        </w:tc>
        <w:tc>
          <w:tcPr>
            <w:tcW w:w="781" w:type="pct"/>
            <w:tcBorders>
              <w:top w:val="nil"/>
              <w:left w:val="nil"/>
              <w:bottom w:val="single" w:sz="4" w:space="0" w:color="auto"/>
              <w:right w:val="single" w:sz="4" w:space="0" w:color="auto"/>
            </w:tcBorders>
            <w:shd w:val="clear" w:color="000000" w:fill="FFFFFF"/>
            <w:noWrap/>
            <w:hideMark/>
          </w:tcPr>
          <w:p w14:paraId="10DAEFC3" w14:textId="4578A894" w:rsidR="00F109CA" w:rsidRPr="00F109CA" w:rsidRDefault="00F109CA" w:rsidP="00F109CA">
            <w:pPr>
              <w:jc w:val="right"/>
              <w:outlineLvl w:val="0"/>
              <w:rPr>
                <w:noProof/>
                <w:sz w:val="20"/>
                <w:szCs w:val="20"/>
              </w:rPr>
            </w:pPr>
            <w:bookmarkStart w:id="1584" w:name="_Toc223981182"/>
            <w:r w:rsidRPr="00F109CA">
              <w:rPr>
                <w:noProof/>
                <w:sz w:val="20"/>
                <w:szCs w:val="20"/>
              </w:rPr>
              <w:t>27.5</w:t>
            </w:r>
            <w:bookmarkEnd w:id="1584"/>
          </w:p>
        </w:tc>
        <w:tc>
          <w:tcPr>
            <w:tcW w:w="781" w:type="pct"/>
            <w:tcBorders>
              <w:top w:val="nil"/>
              <w:left w:val="nil"/>
              <w:bottom w:val="single" w:sz="4" w:space="0" w:color="auto"/>
              <w:right w:val="single" w:sz="4" w:space="0" w:color="auto"/>
            </w:tcBorders>
            <w:shd w:val="clear" w:color="000000" w:fill="FFFFFF"/>
            <w:noWrap/>
            <w:hideMark/>
          </w:tcPr>
          <w:p w14:paraId="3A2CB906" w14:textId="40E813CD" w:rsidR="00F109CA" w:rsidRPr="00F109CA" w:rsidRDefault="00F109CA" w:rsidP="00F109CA">
            <w:pPr>
              <w:jc w:val="right"/>
              <w:outlineLvl w:val="0"/>
              <w:rPr>
                <w:noProof/>
                <w:sz w:val="20"/>
                <w:szCs w:val="20"/>
              </w:rPr>
            </w:pPr>
            <w:bookmarkStart w:id="1585" w:name="_Toc223981183"/>
            <w:r w:rsidRPr="00F109CA">
              <w:rPr>
                <w:noProof/>
                <w:sz w:val="20"/>
                <w:szCs w:val="20"/>
              </w:rPr>
              <w:t>25.2</w:t>
            </w:r>
            <w:bookmarkEnd w:id="1585"/>
          </w:p>
        </w:tc>
      </w:tr>
      <w:tr w:rsidR="00F109CA" w:rsidRPr="00325AAE" w14:paraId="6F012095"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2F89D1A8" w14:textId="77777777" w:rsidR="00F109CA" w:rsidRPr="00325AAE" w:rsidRDefault="00F109CA" w:rsidP="00F109CA">
            <w:pPr>
              <w:outlineLvl w:val="0"/>
              <w:rPr>
                <w:noProof/>
                <w:sz w:val="20"/>
                <w:szCs w:val="20"/>
              </w:rPr>
            </w:pPr>
            <w:r w:rsidRPr="00325AAE">
              <w:rPr>
                <w:noProof/>
                <w:sz w:val="20"/>
                <w:szCs w:val="20"/>
              </w:rPr>
              <w:t xml:space="preserve"> </w:t>
            </w:r>
            <w:bookmarkStart w:id="1586" w:name="_Toc223981184"/>
            <w:r w:rsidRPr="00325AAE">
              <w:rPr>
                <w:noProof/>
                <w:sz w:val="20"/>
                <w:szCs w:val="20"/>
              </w:rPr>
              <w:t>Belgium</w:t>
            </w:r>
            <w:bookmarkEnd w:id="1586"/>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553CEF26" w14:textId="224C77BE" w:rsidR="00F109CA" w:rsidRPr="00F109CA" w:rsidRDefault="00F109CA" w:rsidP="00F109CA">
            <w:pPr>
              <w:jc w:val="right"/>
              <w:outlineLvl w:val="0"/>
              <w:rPr>
                <w:noProof/>
                <w:sz w:val="20"/>
                <w:szCs w:val="20"/>
              </w:rPr>
            </w:pPr>
            <w:bookmarkStart w:id="1587" w:name="_Toc223981185"/>
            <w:r w:rsidRPr="00F109CA">
              <w:rPr>
                <w:noProof/>
                <w:sz w:val="20"/>
                <w:szCs w:val="20"/>
              </w:rPr>
              <w:t>207.9</w:t>
            </w:r>
            <w:bookmarkEnd w:id="1587"/>
          </w:p>
        </w:tc>
        <w:tc>
          <w:tcPr>
            <w:tcW w:w="781" w:type="pct"/>
            <w:tcBorders>
              <w:top w:val="nil"/>
              <w:left w:val="nil"/>
              <w:bottom w:val="single" w:sz="4" w:space="0" w:color="auto"/>
              <w:right w:val="single" w:sz="4" w:space="0" w:color="auto"/>
            </w:tcBorders>
            <w:shd w:val="clear" w:color="000000" w:fill="FFFFFF"/>
            <w:noWrap/>
            <w:hideMark/>
          </w:tcPr>
          <w:p w14:paraId="1DAF6BD5" w14:textId="6A9A6673" w:rsidR="00F109CA" w:rsidRPr="00F109CA" w:rsidRDefault="00F109CA" w:rsidP="00F109CA">
            <w:pPr>
              <w:jc w:val="right"/>
              <w:outlineLvl w:val="0"/>
              <w:rPr>
                <w:noProof/>
                <w:sz w:val="20"/>
                <w:szCs w:val="20"/>
              </w:rPr>
            </w:pPr>
            <w:bookmarkStart w:id="1588" w:name="_Toc223981186"/>
            <w:r w:rsidRPr="00F109CA">
              <w:rPr>
                <w:noProof/>
                <w:sz w:val="20"/>
                <w:szCs w:val="20"/>
              </w:rPr>
              <w:t>25.6</w:t>
            </w:r>
            <w:bookmarkEnd w:id="1588"/>
          </w:p>
        </w:tc>
        <w:tc>
          <w:tcPr>
            <w:tcW w:w="781" w:type="pct"/>
            <w:tcBorders>
              <w:top w:val="nil"/>
              <w:left w:val="nil"/>
              <w:bottom w:val="single" w:sz="4" w:space="0" w:color="auto"/>
              <w:right w:val="single" w:sz="4" w:space="0" w:color="auto"/>
            </w:tcBorders>
            <w:shd w:val="clear" w:color="000000" w:fill="FFFFFF"/>
            <w:noWrap/>
            <w:hideMark/>
          </w:tcPr>
          <w:p w14:paraId="6DC89AD9" w14:textId="40592CFC" w:rsidR="00F109CA" w:rsidRPr="00F109CA" w:rsidRDefault="00F109CA" w:rsidP="00F109CA">
            <w:pPr>
              <w:jc w:val="right"/>
              <w:outlineLvl w:val="0"/>
              <w:rPr>
                <w:noProof/>
                <w:sz w:val="20"/>
                <w:szCs w:val="20"/>
              </w:rPr>
            </w:pPr>
            <w:bookmarkStart w:id="1589" w:name="_Toc223981187"/>
            <w:r w:rsidRPr="00F109CA">
              <w:rPr>
                <w:noProof/>
                <w:sz w:val="20"/>
                <w:szCs w:val="20"/>
              </w:rPr>
              <w:t>27.5</w:t>
            </w:r>
            <w:bookmarkEnd w:id="1589"/>
          </w:p>
        </w:tc>
        <w:tc>
          <w:tcPr>
            <w:tcW w:w="781" w:type="pct"/>
            <w:tcBorders>
              <w:top w:val="nil"/>
              <w:left w:val="nil"/>
              <w:bottom w:val="single" w:sz="4" w:space="0" w:color="auto"/>
              <w:right w:val="single" w:sz="4" w:space="0" w:color="auto"/>
            </w:tcBorders>
            <w:shd w:val="clear" w:color="000000" w:fill="FFFFFF"/>
            <w:noWrap/>
            <w:hideMark/>
          </w:tcPr>
          <w:p w14:paraId="43E97A2E" w14:textId="381F85E8" w:rsidR="00F109CA" w:rsidRPr="00F109CA" w:rsidRDefault="00F109CA" w:rsidP="00F109CA">
            <w:pPr>
              <w:jc w:val="right"/>
              <w:outlineLvl w:val="0"/>
              <w:rPr>
                <w:noProof/>
                <w:sz w:val="20"/>
                <w:szCs w:val="20"/>
              </w:rPr>
            </w:pPr>
            <w:bookmarkStart w:id="1590" w:name="_Toc223981188"/>
            <w:r w:rsidRPr="00F109CA">
              <w:rPr>
                <w:noProof/>
                <w:sz w:val="20"/>
                <w:szCs w:val="20"/>
              </w:rPr>
              <w:t>25.2</w:t>
            </w:r>
            <w:bookmarkEnd w:id="1590"/>
          </w:p>
        </w:tc>
      </w:tr>
      <w:tr w:rsidR="00F109CA" w:rsidRPr="00325AAE" w14:paraId="38F9D712"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194BE739" w14:textId="77777777" w:rsidR="00F109CA" w:rsidRPr="00325AAE" w:rsidRDefault="00F109CA" w:rsidP="00F109CA">
            <w:pPr>
              <w:outlineLvl w:val="0"/>
              <w:rPr>
                <w:noProof/>
                <w:sz w:val="20"/>
                <w:szCs w:val="20"/>
              </w:rPr>
            </w:pPr>
            <w:r w:rsidRPr="00325AAE">
              <w:rPr>
                <w:noProof/>
                <w:sz w:val="20"/>
                <w:szCs w:val="20"/>
              </w:rPr>
              <w:t xml:space="preserve"> </w:t>
            </w:r>
            <w:bookmarkStart w:id="1591" w:name="_Toc223981189"/>
            <w:r w:rsidRPr="00325AAE">
              <w:rPr>
                <w:noProof/>
                <w:sz w:val="20"/>
                <w:szCs w:val="20"/>
              </w:rPr>
              <w:t>Portugal</w:t>
            </w:r>
            <w:bookmarkEnd w:id="1591"/>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0FF22930" w14:textId="2C60DE43" w:rsidR="00F109CA" w:rsidRPr="00F109CA" w:rsidRDefault="00F109CA" w:rsidP="00F109CA">
            <w:pPr>
              <w:jc w:val="right"/>
              <w:outlineLvl w:val="0"/>
              <w:rPr>
                <w:noProof/>
                <w:sz w:val="20"/>
                <w:szCs w:val="20"/>
              </w:rPr>
            </w:pPr>
            <w:bookmarkStart w:id="1592" w:name="_Toc223981190"/>
            <w:r w:rsidRPr="00F109CA">
              <w:rPr>
                <w:noProof/>
                <w:sz w:val="20"/>
                <w:szCs w:val="20"/>
              </w:rPr>
              <w:t>69.3</w:t>
            </w:r>
            <w:bookmarkEnd w:id="1592"/>
          </w:p>
        </w:tc>
        <w:tc>
          <w:tcPr>
            <w:tcW w:w="781" w:type="pct"/>
            <w:tcBorders>
              <w:top w:val="nil"/>
              <w:left w:val="nil"/>
              <w:bottom w:val="single" w:sz="4" w:space="0" w:color="auto"/>
              <w:right w:val="single" w:sz="4" w:space="0" w:color="auto"/>
            </w:tcBorders>
            <w:shd w:val="clear" w:color="000000" w:fill="FFFFFF"/>
            <w:noWrap/>
            <w:hideMark/>
          </w:tcPr>
          <w:p w14:paraId="5822C1BF" w14:textId="1B3B8709" w:rsidR="00F109CA" w:rsidRPr="00F109CA" w:rsidRDefault="00F109CA" w:rsidP="00F109CA">
            <w:pPr>
              <w:jc w:val="right"/>
              <w:outlineLvl w:val="0"/>
              <w:rPr>
                <w:noProof/>
                <w:sz w:val="20"/>
                <w:szCs w:val="20"/>
              </w:rPr>
            </w:pPr>
            <w:bookmarkStart w:id="1593" w:name="_Toc223981191"/>
            <w:r w:rsidRPr="00F109CA">
              <w:rPr>
                <w:noProof/>
                <w:sz w:val="20"/>
                <w:szCs w:val="20"/>
              </w:rPr>
              <w:t>8.5</w:t>
            </w:r>
            <w:bookmarkEnd w:id="1593"/>
          </w:p>
        </w:tc>
        <w:tc>
          <w:tcPr>
            <w:tcW w:w="781" w:type="pct"/>
            <w:tcBorders>
              <w:top w:val="nil"/>
              <w:left w:val="nil"/>
              <w:bottom w:val="single" w:sz="4" w:space="0" w:color="auto"/>
              <w:right w:val="single" w:sz="4" w:space="0" w:color="auto"/>
            </w:tcBorders>
            <w:shd w:val="clear" w:color="000000" w:fill="FFFFFF"/>
            <w:noWrap/>
            <w:hideMark/>
          </w:tcPr>
          <w:p w14:paraId="486F95C7" w14:textId="55B81DD0" w:rsidR="00F109CA" w:rsidRPr="00F109CA" w:rsidRDefault="00F109CA" w:rsidP="00F109CA">
            <w:pPr>
              <w:jc w:val="right"/>
              <w:outlineLvl w:val="0"/>
              <w:rPr>
                <w:noProof/>
                <w:sz w:val="20"/>
                <w:szCs w:val="20"/>
              </w:rPr>
            </w:pPr>
            <w:bookmarkStart w:id="1594" w:name="_Toc223981192"/>
            <w:r w:rsidRPr="00F109CA">
              <w:rPr>
                <w:noProof/>
                <w:sz w:val="20"/>
                <w:szCs w:val="20"/>
              </w:rPr>
              <w:t>9.2</w:t>
            </w:r>
            <w:bookmarkEnd w:id="1594"/>
          </w:p>
        </w:tc>
        <w:tc>
          <w:tcPr>
            <w:tcW w:w="781" w:type="pct"/>
            <w:tcBorders>
              <w:top w:val="nil"/>
              <w:left w:val="nil"/>
              <w:bottom w:val="single" w:sz="4" w:space="0" w:color="auto"/>
              <w:right w:val="single" w:sz="4" w:space="0" w:color="auto"/>
            </w:tcBorders>
            <w:shd w:val="clear" w:color="000000" w:fill="FFFFFF"/>
            <w:noWrap/>
            <w:hideMark/>
          </w:tcPr>
          <w:p w14:paraId="7BD1C184" w14:textId="135CA196" w:rsidR="00F109CA" w:rsidRPr="00F109CA" w:rsidRDefault="00F109CA" w:rsidP="00F109CA">
            <w:pPr>
              <w:jc w:val="right"/>
              <w:outlineLvl w:val="0"/>
              <w:rPr>
                <w:noProof/>
                <w:sz w:val="20"/>
                <w:szCs w:val="20"/>
              </w:rPr>
            </w:pPr>
            <w:bookmarkStart w:id="1595" w:name="_Toc223981193"/>
            <w:r w:rsidRPr="00F109CA">
              <w:rPr>
                <w:noProof/>
                <w:sz w:val="20"/>
                <w:szCs w:val="20"/>
              </w:rPr>
              <w:t>8.4</w:t>
            </w:r>
            <w:bookmarkEnd w:id="1595"/>
          </w:p>
        </w:tc>
      </w:tr>
      <w:tr w:rsidR="00F109CA" w:rsidRPr="00325AAE" w14:paraId="195C0F06"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63BC9997" w14:textId="77777777" w:rsidR="00F109CA" w:rsidRPr="00325AAE" w:rsidRDefault="00F109CA" w:rsidP="00F109CA">
            <w:pPr>
              <w:outlineLvl w:val="0"/>
              <w:rPr>
                <w:noProof/>
                <w:sz w:val="20"/>
                <w:szCs w:val="20"/>
              </w:rPr>
            </w:pPr>
            <w:r w:rsidRPr="00325AAE">
              <w:rPr>
                <w:noProof/>
                <w:sz w:val="20"/>
                <w:szCs w:val="20"/>
              </w:rPr>
              <w:t xml:space="preserve"> </w:t>
            </w:r>
            <w:bookmarkStart w:id="1596" w:name="_Toc223981194"/>
            <w:r w:rsidRPr="00325AAE">
              <w:rPr>
                <w:noProof/>
                <w:sz w:val="20"/>
                <w:szCs w:val="20"/>
              </w:rPr>
              <w:t>Malta</w:t>
            </w:r>
            <w:bookmarkEnd w:id="1596"/>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555D1DB5" w14:textId="63AFB5FB" w:rsidR="00F109CA" w:rsidRPr="00F109CA" w:rsidRDefault="00F109CA" w:rsidP="00F109CA">
            <w:pPr>
              <w:jc w:val="right"/>
              <w:outlineLvl w:val="0"/>
              <w:rPr>
                <w:noProof/>
                <w:sz w:val="20"/>
                <w:szCs w:val="20"/>
              </w:rPr>
            </w:pPr>
            <w:bookmarkStart w:id="1597" w:name="_Toc223981195"/>
            <w:r w:rsidRPr="00F109CA">
              <w:rPr>
                <w:noProof/>
                <w:sz w:val="20"/>
                <w:szCs w:val="20"/>
              </w:rPr>
              <w:t>34.6</w:t>
            </w:r>
            <w:bookmarkEnd w:id="1597"/>
          </w:p>
        </w:tc>
        <w:tc>
          <w:tcPr>
            <w:tcW w:w="781" w:type="pct"/>
            <w:tcBorders>
              <w:top w:val="nil"/>
              <w:left w:val="nil"/>
              <w:bottom w:val="single" w:sz="4" w:space="0" w:color="auto"/>
              <w:right w:val="single" w:sz="4" w:space="0" w:color="auto"/>
            </w:tcBorders>
            <w:shd w:val="clear" w:color="000000" w:fill="FFFFFF"/>
            <w:noWrap/>
            <w:hideMark/>
          </w:tcPr>
          <w:p w14:paraId="70497926" w14:textId="66E54AC1" w:rsidR="00F109CA" w:rsidRPr="00F109CA" w:rsidRDefault="00F109CA" w:rsidP="00F109CA">
            <w:pPr>
              <w:jc w:val="right"/>
              <w:outlineLvl w:val="0"/>
              <w:rPr>
                <w:noProof/>
                <w:sz w:val="20"/>
                <w:szCs w:val="20"/>
              </w:rPr>
            </w:pPr>
            <w:bookmarkStart w:id="1598" w:name="_Toc223981196"/>
            <w:r w:rsidRPr="00F109CA">
              <w:rPr>
                <w:noProof/>
                <w:sz w:val="20"/>
                <w:szCs w:val="20"/>
              </w:rPr>
              <w:t>4.3</w:t>
            </w:r>
            <w:bookmarkEnd w:id="1598"/>
          </w:p>
        </w:tc>
        <w:tc>
          <w:tcPr>
            <w:tcW w:w="781" w:type="pct"/>
            <w:tcBorders>
              <w:top w:val="nil"/>
              <w:left w:val="nil"/>
              <w:bottom w:val="single" w:sz="4" w:space="0" w:color="auto"/>
              <w:right w:val="single" w:sz="4" w:space="0" w:color="auto"/>
            </w:tcBorders>
            <w:shd w:val="clear" w:color="000000" w:fill="FFFFFF"/>
            <w:noWrap/>
            <w:hideMark/>
          </w:tcPr>
          <w:p w14:paraId="4DB9A32F" w14:textId="0571AF86" w:rsidR="00F109CA" w:rsidRPr="00F109CA" w:rsidRDefault="00F109CA" w:rsidP="00F109CA">
            <w:pPr>
              <w:jc w:val="right"/>
              <w:outlineLvl w:val="0"/>
              <w:rPr>
                <w:noProof/>
                <w:sz w:val="20"/>
                <w:szCs w:val="20"/>
              </w:rPr>
            </w:pPr>
            <w:bookmarkStart w:id="1599" w:name="_Toc223981197"/>
            <w:r w:rsidRPr="00F109CA">
              <w:rPr>
                <w:noProof/>
                <w:sz w:val="20"/>
                <w:szCs w:val="20"/>
              </w:rPr>
              <w:t>4.6</w:t>
            </w:r>
            <w:bookmarkEnd w:id="1599"/>
          </w:p>
        </w:tc>
        <w:tc>
          <w:tcPr>
            <w:tcW w:w="781" w:type="pct"/>
            <w:tcBorders>
              <w:top w:val="nil"/>
              <w:left w:val="nil"/>
              <w:bottom w:val="single" w:sz="4" w:space="0" w:color="auto"/>
              <w:right w:val="single" w:sz="4" w:space="0" w:color="auto"/>
            </w:tcBorders>
            <w:shd w:val="clear" w:color="000000" w:fill="FFFFFF"/>
            <w:noWrap/>
            <w:hideMark/>
          </w:tcPr>
          <w:p w14:paraId="65B62FFE" w14:textId="7567603F" w:rsidR="00F109CA" w:rsidRPr="00F109CA" w:rsidRDefault="00F109CA" w:rsidP="00F109CA">
            <w:pPr>
              <w:jc w:val="right"/>
              <w:outlineLvl w:val="0"/>
              <w:rPr>
                <w:noProof/>
                <w:sz w:val="20"/>
                <w:szCs w:val="20"/>
              </w:rPr>
            </w:pPr>
            <w:bookmarkStart w:id="1600" w:name="_Toc223981198"/>
            <w:r w:rsidRPr="00F109CA">
              <w:rPr>
                <w:noProof/>
                <w:sz w:val="20"/>
                <w:szCs w:val="20"/>
              </w:rPr>
              <w:t>4.2</w:t>
            </w:r>
            <w:bookmarkEnd w:id="1600"/>
          </w:p>
        </w:tc>
      </w:tr>
      <w:tr w:rsidR="00F109CA" w:rsidRPr="00325AAE" w14:paraId="67E6B511"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7BB9144B" w14:textId="77777777" w:rsidR="00F109CA" w:rsidRPr="00325AAE" w:rsidRDefault="00F109CA" w:rsidP="00F109CA">
            <w:pPr>
              <w:outlineLvl w:val="0"/>
              <w:rPr>
                <w:noProof/>
                <w:sz w:val="20"/>
                <w:szCs w:val="20"/>
              </w:rPr>
            </w:pPr>
            <w:r w:rsidRPr="00325AAE">
              <w:rPr>
                <w:noProof/>
                <w:sz w:val="20"/>
                <w:szCs w:val="20"/>
              </w:rPr>
              <w:t xml:space="preserve"> </w:t>
            </w:r>
            <w:bookmarkStart w:id="1601" w:name="_Toc223981199"/>
            <w:r w:rsidRPr="00325AAE">
              <w:rPr>
                <w:noProof/>
                <w:sz w:val="20"/>
                <w:szCs w:val="20"/>
              </w:rPr>
              <w:t>Cyprus</w:t>
            </w:r>
            <w:bookmarkEnd w:id="1601"/>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064C8D84" w14:textId="19E45669" w:rsidR="00F109CA" w:rsidRPr="00F109CA" w:rsidRDefault="00F109CA" w:rsidP="00F109CA">
            <w:pPr>
              <w:jc w:val="right"/>
              <w:outlineLvl w:val="0"/>
              <w:rPr>
                <w:noProof/>
                <w:sz w:val="20"/>
                <w:szCs w:val="20"/>
              </w:rPr>
            </w:pPr>
            <w:bookmarkStart w:id="1602" w:name="_Toc223981200"/>
            <w:r w:rsidRPr="00F109CA">
              <w:rPr>
                <w:noProof/>
                <w:sz w:val="20"/>
                <w:szCs w:val="20"/>
              </w:rPr>
              <w:t>34.6</w:t>
            </w:r>
            <w:bookmarkEnd w:id="1602"/>
          </w:p>
        </w:tc>
        <w:tc>
          <w:tcPr>
            <w:tcW w:w="781" w:type="pct"/>
            <w:tcBorders>
              <w:top w:val="nil"/>
              <w:left w:val="nil"/>
              <w:bottom w:val="single" w:sz="4" w:space="0" w:color="auto"/>
              <w:right w:val="single" w:sz="4" w:space="0" w:color="auto"/>
            </w:tcBorders>
            <w:shd w:val="clear" w:color="000000" w:fill="FFFFFF"/>
            <w:noWrap/>
            <w:hideMark/>
          </w:tcPr>
          <w:p w14:paraId="41DDB5A1" w14:textId="67D3C7FE" w:rsidR="00F109CA" w:rsidRPr="00F109CA" w:rsidRDefault="00F109CA" w:rsidP="00F109CA">
            <w:pPr>
              <w:jc w:val="right"/>
              <w:outlineLvl w:val="0"/>
              <w:rPr>
                <w:noProof/>
                <w:sz w:val="20"/>
                <w:szCs w:val="20"/>
              </w:rPr>
            </w:pPr>
            <w:bookmarkStart w:id="1603" w:name="_Toc223981201"/>
            <w:r w:rsidRPr="00F109CA">
              <w:rPr>
                <w:noProof/>
                <w:sz w:val="20"/>
                <w:szCs w:val="20"/>
              </w:rPr>
              <w:t>4.3</w:t>
            </w:r>
            <w:bookmarkEnd w:id="1603"/>
          </w:p>
        </w:tc>
        <w:tc>
          <w:tcPr>
            <w:tcW w:w="781" w:type="pct"/>
            <w:tcBorders>
              <w:top w:val="nil"/>
              <w:left w:val="nil"/>
              <w:bottom w:val="single" w:sz="4" w:space="0" w:color="auto"/>
              <w:right w:val="single" w:sz="4" w:space="0" w:color="auto"/>
            </w:tcBorders>
            <w:shd w:val="clear" w:color="000000" w:fill="FFFFFF"/>
            <w:noWrap/>
            <w:hideMark/>
          </w:tcPr>
          <w:p w14:paraId="718DAF90" w14:textId="42AC50E9" w:rsidR="00F109CA" w:rsidRPr="00F109CA" w:rsidRDefault="00F109CA" w:rsidP="00F109CA">
            <w:pPr>
              <w:jc w:val="right"/>
              <w:outlineLvl w:val="0"/>
              <w:rPr>
                <w:noProof/>
                <w:sz w:val="20"/>
                <w:szCs w:val="20"/>
              </w:rPr>
            </w:pPr>
            <w:bookmarkStart w:id="1604" w:name="_Toc223981202"/>
            <w:r w:rsidRPr="00F109CA">
              <w:rPr>
                <w:noProof/>
                <w:sz w:val="20"/>
                <w:szCs w:val="20"/>
              </w:rPr>
              <w:t>4.6</w:t>
            </w:r>
            <w:bookmarkEnd w:id="1604"/>
          </w:p>
        </w:tc>
        <w:tc>
          <w:tcPr>
            <w:tcW w:w="781" w:type="pct"/>
            <w:tcBorders>
              <w:top w:val="nil"/>
              <w:left w:val="nil"/>
              <w:bottom w:val="single" w:sz="4" w:space="0" w:color="auto"/>
              <w:right w:val="single" w:sz="4" w:space="0" w:color="auto"/>
            </w:tcBorders>
            <w:shd w:val="clear" w:color="000000" w:fill="FFFFFF"/>
            <w:noWrap/>
            <w:hideMark/>
          </w:tcPr>
          <w:p w14:paraId="63950B7D" w14:textId="67A8DB3A" w:rsidR="00F109CA" w:rsidRPr="00F109CA" w:rsidRDefault="00F109CA" w:rsidP="00F109CA">
            <w:pPr>
              <w:jc w:val="right"/>
              <w:outlineLvl w:val="0"/>
              <w:rPr>
                <w:noProof/>
                <w:sz w:val="20"/>
                <w:szCs w:val="20"/>
              </w:rPr>
            </w:pPr>
            <w:bookmarkStart w:id="1605" w:name="_Toc223981203"/>
            <w:r w:rsidRPr="00F109CA">
              <w:rPr>
                <w:noProof/>
                <w:sz w:val="20"/>
                <w:szCs w:val="20"/>
              </w:rPr>
              <w:t>4.2</w:t>
            </w:r>
            <w:bookmarkEnd w:id="1605"/>
          </w:p>
        </w:tc>
      </w:tr>
      <w:tr w:rsidR="00F109CA" w:rsidRPr="00325AAE" w14:paraId="448C4626"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18BD3448" w14:textId="77777777" w:rsidR="00F109CA" w:rsidRPr="00325AAE" w:rsidRDefault="00F109CA" w:rsidP="00F109CA">
            <w:pPr>
              <w:outlineLvl w:val="0"/>
              <w:rPr>
                <w:noProof/>
                <w:sz w:val="20"/>
                <w:szCs w:val="20"/>
              </w:rPr>
            </w:pPr>
            <w:r w:rsidRPr="00325AAE">
              <w:rPr>
                <w:noProof/>
                <w:sz w:val="20"/>
                <w:szCs w:val="20"/>
              </w:rPr>
              <w:t xml:space="preserve"> </w:t>
            </w:r>
            <w:bookmarkStart w:id="1606" w:name="_Toc223981204"/>
            <w:r w:rsidRPr="00325AAE">
              <w:rPr>
                <w:noProof/>
                <w:sz w:val="20"/>
                <w:szCs w:val="20"/>
              </w:rPr>
              <w:t>Greece</w:t>
            </w:r>
            <w:bookmarkEnd w:id="1606"/>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2D8B5F3C" w14:textId="53EF1F14" w:rsidR="00F109CA" w:rsidRPr="00F109CA" w:rsidRDefault="00F109CA" w:rsidP="00F109CA">
            <w:pPr>
              <w:jc w:val="right"/>
              <w:outlineLvl w:val="0"/>
              <w:rPr>
                <w:noProof/>
                <w:sz w:val="20"/>
                <w:szCs w:val="20"/>
              </w:rPr>
            </w:pPr>
            <w:bookmarkStart w:id="1607" w:name="_Toc223981205"/>
            <w:r w:rsidRPr="00F109CA">
              <w:rPr>
                <w:noProof/>
                <w:sz w:val="20"/>
                <w:szCs w:val="20"/>
              </w:rPr>
              <w:t>69.3</w:t>
            </w:r>
            <w:bookmarkEnd w:id="1607"/>
          </w:p>
        </w:tc>
        <w:tc>
          <w:tcPr>
            <w:tcW w:w="781" w:type="pct"/>
            <w:tcBorders>
              <w:top w:val="nil"/>
              <w:left w:val="nil"/>
              <w:bottom w:val="single" w:sz="4" w:space="0" w:color="auto"/>
              <w:right w:val="single" w:sz="4" w:space="0" w:color="auto"/>
            </w:tcBorders>
            <w:shd w:val="clear" w:color="000000" w:fill="FFFFFF"/>
            <w:noWrap/>
            <w:hideMark/>
          </w:tcPr>
          <w:p w14:paraId="56D159A9" w14:textId="17882865" w:rsidR="00F109CA" w:rsidRPr="00F109CA" w:rsidRDefault="00F109CA" w:rsidP="00F109CA">
            <w:pPr>
              <w:jc w:val="right"/>
              <w:outlineLvl w:val="0"/>
              <w:rPr>
                <w:noProof/>
                <w:sz w:val="20"/>
                <w:szCs w:val="20"/>
              </w:rPr>
            </w:pPr>
            <w:bookmarkStart w:id="1608" w:name="_Toc223981206"/>
            <w:r w:rsidRPr="00F109CA">
              <w:rPr>
                <w:noProof/>
                <w:sz w:val="20"/>
                <w:szCs w:val="20"/>
              </w:rPr>
              <w:t>8.5</w:t>
            </w:r>
            <w:bookmarkEnd w:id="1608"/>
          </w:p>
        </w:tc>
        <w:tc>
          <w:tcPr>
            <w:tcW w:w="781" w:type="pct"/>
            <w:tcBorders>
              <w:top w:val="nil"/>
              <w:left w:val="nil"/>
              <w:bottom w:val="single" w:sz="4" w:space="0" w:color="auto"/>
              <w:right w:val="single" w:sz="4" w:space="0" w:color="auto"/>
            </w:tcBorders>
            <w:shd w:val="clear" w:color="000000" w:fill="FFFFFF"/>
            <w:noWrap/>
            <w:hideMark/>
          </w:tcPr>
          <w:p w14:paraId="38699292" w14:textId="5D827445" w:rsidR="00F109CA" w:rsidRPr="00F109CA" w:rsidRDefault="00F109CA" w:rsidP="00F109CA">
            <w:pPr>
              <w:jc w:val="right"/>
              <w:outlineLvl w:val="0"/>
              <w:rPr>
                <w:noProof/>
                <w:sz w:val="20"/>
                <w:szCs w:val="20"/>
              </w:rPr>
            </w:pPr>
            <w:bookmarkStart w:id="1609" w:name="_Toc223981207"/>
            <w:r w:rsidRPr="00F109CA">
              <w:rPr>
                <w:noProof/>
                <w:sz w:val="20"/>
                <w:szCs w:val="20"/>
              </w:rPr>
              <w:t>9.2</w:t>
            </w:r>
            <w:bookmarkEnd w:id="1609"/>
          </w:p>
        </w:tc>
        <w:tc>
          <w:tcPr>
            <w:tcW w:w="781" w:type="pct"/>
            <w:tcBorders>
              <w:top w:val="nil"/>
              <w:left w:val="nil"/>
              <w:bottom w:val="single" w:sz="4" w:space="0" w:color="auto"/>
              <w:right w:val="single" w:sz="4" w:space="0" w:color="auto"/>
            </w:tcBorders>
            <w:shd w:val="clear" w:color="000000" w:fill="FFFFFF"/>
            <w:noWrap/>
            <w:hideMark/>
          </w:tcPr>
          <w:p w14:paraId="4528AD47" w14:textId="70B36324" w:rsidR="00F109CA" w:rsidRPr="00F109CA" w:rsidRDefault="00F109CA" w:rsidP="00F109CA">
            <w:pPr>
              <w:jc w:val="right"/>
              <w:outlineLvl w:val="0"/>
              <w:rPr>
                <w:noProof/>
                <w:sz w:val="20"/>
                <w:szCs w:val="20"/>
              </w:rPr>
            </w:pPr>
            <w:bookmarkStart w:id="1610" w:name="_Toc223981208"/>
            <w:r w:rsidRPr="00F109CA">
              <w:rPr>
                <w:noProof/>
                <w:sz w:val="20"/>
                <w:szCs w:val="20"/>
              </w:rPr>
              <w:t>8.4</w:t>
            </w:r>
            <w:bookmarkEnd w:id="1610"/>
          </w:p>
        </w:tc>
      </w:tr>
      <w:tr w:rsidR="00F109CA" w:rsidRPr="00325AAE" w14:paraId="3842DBF5"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46BF2F9" w14:textId="77777777" w:rsidR="00F109CA" w:rsidRPr="00325AAE" w:rsidRDefault="00F109CA" w:rsidP="00F109CA">
            <w:pPr>
              <w:outlineLvl w:val="0"/>
              <w:rPr>
                <w:noProof/>
                <w:sz w:val="20"/>
                <w:szCs w:val="20"/>
              </w:rPr>
            </w:pPr>
            <w:r w:rsidRPr="00325AAE">
              <w:rPr>
                <w:noProof/>
                <w:sz w:val="20"/>
                <w:szCs w:val="20"/>
              </w:rPr>
              <w:t xml:space="preserve"> </w:t>
            </w:r>
            <w:bookmarkStart w:id="1611" w:name="_Toc223981209"/>
            <w:r w:rsidRPr="00325AAE">
              <w:rPr>
                <w:noProof/>
                <w:sz w:val="20"/>
                <w:szCs w:val="20"/>
              </w:rPr>
              <w:t>Bulgaria</w:t>
            </w:r>
            <w:bookmarkEnd w:id="1611"/>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C552C1F" w14:textId="77777777" w:rsidR="00F109CA" w:rsidRPr="00F109CA" w:rsidRDefault="00F109CA" w:rsidP="00F109CA">
            <w:pPr>
              <w:jc w:val="right"/>
              <w:outlineLvl w:val="0"/>
              <w:rPr>
                <w:noProof/>
                <w:sz w:val="20"/>
                <w:szCs w:val="20"/>
              </w:rPr>
            </w:pPr>
            <w:bookmarkStart w:id="1612" w:name="_Toc223981210"/>
            <w:r w:rsidRPr="00F109CA">
              <w:rPr>
                <w:noProof/>
                <w:sz w:val="20"/>
                <w:szCs w:val="20"/>
              </w:rPr>
              <w:t>0.0</w:t>
            </w:r>
            <w:bookmarkEnd w:id="1612"/>
          </w:p>
        </w:tc>
        <w:tc>
          <w:tcPr>
            <w:tcW w:w="781" w:type="pct"/>
            <w:tcBorders>
              <w:top w:val="nil"/>
              <w:left w:val="nil"/>
              <w:bottom w:val="single" w:sz="4" w:space="0" w:color="auto"/>
              <w:right w:val="single" w:sz="4" w:space="0" w:color="auto"/>
            </w:tcBorders>
            <w:shd w:val="clear" w:color="000000" w:fill="FFFFFF"/>
            <w:noWrap/>
            <w:hideMark/>
          </w:tcPr>
          <w:p w14:paraId="7A8A9027" w14:textId="77777777" w:rsidR="00F109CA" w:rsidRPr="00F109CA" w:rsidRDefault="00F109CA" w:rsidP="00F109CA">
            <w:pPr>
              <w:jc w:val="right"/>
              <w:outlineLvl w:val="0"/>
              <w:rPr>
                <w:noProof/>
                <w:sz w:val="20"/>
                <w:szCs w:val="20"/>
              </w:rPr>
            </w:pPr>
            <w:bookmarkStart w:id="1613" w:name="_Toc223981211"/>
            <w:r w:rsidRPr="00F109CA">
              <w:rPr>
                <w:noProof/>
                <w:sz w:val="20"/>
                <w:szCs w:val="20"/>
              </w:rPr>
              <w:t>0.0</w:t>
            </w:r>
            <w:bookmarkEnd w:id="1613"/>
          </w:p>
        </w:tc>
        <w:tc>
          <w:tcPr>
            <w:tcW w:w="781" w:type="pct"/>
            <w:tcBorders>
              <w:top w:val="nil"/>
              <w:left w:val="nil"/>
              <w:bottom w:val="single" w:sz="4" w:space="0" w:color="auto"/>
              <w:right w:val="single" w:sz="4" w:space="0" w:color="auto"/>
            </w:tcBorders>
            <w:shd w:val="clear" w:color="000000" w:fill="FFFFFF"/>
            <w:noWrap/>
            <w:hideMark/>
          </w:tcPr>
          <w:p w14:paraId="30C921C7" w14:textId="77777777" w:rsidR="00F109CA" w:rsidRPr="00F109CA" w:rsidRDefault="00F109CA" w:rsidP="00F109CA">
            <w:pPr>
              <w:jc w:val="right"/>
              <w:outlineLvl w:val="0"/>
              <w:rPr>
                <w:noProof/>
                <w:sz w:val="20"/>
                <w:szCs w:val="20"/>
              </w:rPr>
            </w:pPr>
            <w:bookmarkStart w:id="1614" w:name="_Toc223981212"/>
            <w:r w:rsidRPr="00F109CA">
              <w:rPr>
                <w:noProof/>
                <w:sz w:val="20"/>
                <w:szCs w:val="20"/>
              </w:rPr>
              <w:t>0.0</w:t>
            </w:r>
            <w:bookmarkEnd w:id="1614"/>
          </w:p>
        </w:tc>
        <w:tc>
          <w:tcPr>
            <w:tcW w:w="781" w:type="pct"/>
            <w:tcBorders>
              <w:top w:val="nil"/>
              <w:left w:val="nil"/>
              <w:bottom w:val="single" w:sz="4" w:space="0" w:color="auto"/>
              <w:right w:val="single" w:sz="4" w:space="0" w:color="auto"/>
            </w:tcBorders>
            <w:shd w:val="clear" w:color="000000" w:fill="FFFFFF"/>
            <w:noWrap/>
            <w:hideMark/>
          </w:tcPr>
          <w:p w14:paraId="2F21A1A4" w14:textId="77777777" w:rsidR="00F109CA" w:rsidRPr="00F109CA" w:rsidRDefault="00F109CA" w:rsidP="00F109CA">
            <w:pPr>
              <w:jc w:val="right"/>
              <w:outlineLvl w:val="0"/>
              <w:rPr>
                <w:noProof/>
                <w:sz w:val="20"/>
                <w:szCs w:val="20"/>
              </w:rPr>
            </w:pPr>
            <w:bookmarkStart w:id="1615" w:name="_Toc223981213"/>
            <w:r w:rsidRPr="00F109CA">
              <w:rPr>
                <w:noProof/>
                <w:sz w:val="20"/>
                <w:szCs w:val="20"/>
              </w:rPr>
              <w:t>0.0</w:t>
            </w:r>
            <w:bookmarkEnd w:id="1615"/>
          </w:p>
        </w:tc>
      </w:tr>
      <w:tr w:rsidR="00F109CA" w:rsidRPr="00325AAE" w14:paraId="4BCABEA0"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77FD1580" w14:textId="77777777" w:rsidR="00F109CA" w:rsidRPr="00325AAE" w:rsidRDefault="00F109CA" w:rsidP="00F109CA">
            <w:pPr>
              <w:outlineLvl w:val="0"/>
              <w:rPr>
                <w:noProof/>
                <w:sz w:val="20"/>
                <w:szCs w:val="20"/>
              </w:rPr>
            </w:pPr>
            <w:r w:rsidRPr="00325AAE">
              <w:rPr>
                <w:noProof/>
                <w:sz w:val="20"/>
                <w:szCs w:val="20"/>
              </w:rPr>
              <w:t xml:space="preserve"> </w:t>
            </w:r>
            <w:bookmarkStart w:id="1616" w:name="_Toc223981214"/>
            <w:r w:rsidRPr="00325AAE">
              <w:rPr>
                <w:noProof/>
                <w:sz w:val="20"/>
                <w:szCs w:val="20"/>
              </w:rPr>
              <w:t>Estonia</w:t>
            </w:r>
            <w:bookmarkEnd w:id="1616"/>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32EC4FD" w14:textId="77777777" w:rsidR="00F109CA" w:rsidRPr="00F109CA" w:rsidRDefault="00F109CA" w:rsidP="00F109CA">
            <w:pPr>
              <w:jc w:val="right"/>
              <w:outlineLvl w:val="0"/>
              <w:rPr>
                <w:noProof/>
                <w:sz w:val="20"/>
                <w:szCs w:val="20"/>
              </w:rPr>
            </w:pPr>
            <w:bookmarkStart w:id="1617" w:name="_Toc223981215"/>
            <w:r w:rsidRPr="00F109CA">
              <w:rPr>
                <w:noProof/>
                <w:sz w:val="20"/>
                <w:szCs w:val="20"/>
              </w:rPr>
              <w:t>0.0</w:t>
            </w:r>
            <w:bookmarkEnd w:id="1617"/>
          </w:p>
        </w:tc>
        <w:tc>
          <w:tcPr>
            <w:tcW w:w="781" w:type="pct"/>
            <w:tcBorders>
              <w:top w:val="nil"/>
              <w:left w:val="nil"/>
              <w:bottom w:val="single" w:sz="4" w:space="0" w:color="auto"/>
              <w:right w:val="single" w:sz="4" w:space="0" w:color="auto"/>
            </w:tcBorders>
            <w:shd w:val="clear" w:color="000000" w:fill="FFFFFF"/>
            <w:noWrap/>
            <w:hideMark/>
          </w:tcPr>
          <w:p w14:paraId="7447F08E" w14:textId="77777777" w:rsidR="00F109CA" w:rsidRPr="00F109CA" w:rsidRDefault="00F109CA" w:rsidP="00F109CA">
            <w:pPr>
              <w:jc w:val="right"/>
              <w:outlineLvl w:val="0"/>
              <w:rPr>
                <w:noProof/>
                <w:sz w:val="20"/>
                <w:szCs w:val="20"/>
              </w:rPr>
            </w:pPr>
            <w:bookmarkStart w:id="1618" w:name="_Toc223981216"/>
            <w:r w:rsidRPr="00F109CA">
              <w:rPr>
                <w:noProof/>
                <w:sz w:val="20"/>
                <w:szCs w:val="20"/>
              </w:rPr>
              <w:t>0.0</w:t>
            </w:r>
            <w:bookmarkEnd w:id="1618"/>
          </w:p>
        </w:tc>
        <w:tc>
          <w:tcPr>
            <w:tcW w:w="781" w:type="pct"/>
            <w:tcBorders>
              <w:top w:val="nil"/>
              <w:left w:val="nil"/>
              <w:bottom w:val="single" w:sz="4" w:space="0" w:color="auto"/>
              <w:right w:val="single" w:sz="4" w:space="0" w:color="auto"/>
            </w:tcBorders>
            <w:shd w:val="clear" w:color="000000" w:fill="FFFFFF"/>
            <w:noWrap/>
            <w:hideMark/>
          </w:tcPr>
          <w:p w14:paraId="06E45ED7" w14:textId="77777777" w:rsidR="00F109CA" w:rsidRPr="00F109CA" w:rsidRDefault="00F109CA" w:rsidP="00F109CA">
            <w:pPr>
              <w:jc w:val="right"/>
              <w:outlineLvl w:val="0"/>
              <w:rPr>
                <w:noProof/>
                <w:sz w:val="20"/>
                <w:szCs w:val="20"/>
              </w:rPr>
            </w:pPr>
            <w:bookmarkStart w:id="1619" w:name="_Toc223981217"/>
            <w:r w:rsidRPr="00F109CA">
              <w:rPr>
                <w:noProof/>
                <w:sz w:val="20"/>
                <w:szCs w:val="20"/>
              </w:rPr>
              <w:t>0.0</w:t>
            </w:r>
            <w:bookmarkEnd w:id="1619"/>
          </w:p>
        </w:tc>
        <w:tc>
          <w:tcPr>
            <w:tcW w:w="781" w:type="pct"/>
            <w:tcBorders>
              <w:top w:val="nil"/>
              <w:left w:val="nil"/>
              <w:bottom w:val="single" w:sz="4" w:space="0" w:color="auto"/>
              <w:right w:val="single" w:sz="4" w:space="0" w:color="auto"/>
            </w:tcBorders>
            <w:shd w:val="clear" w:color="000000" w:fill="FFFFFF"/>
            <w:noWrap/>
            <w:hideMark/>
          </w:tcPr>
          <w:p w14:paraId="02171D46" w14:textId="77777777" w:rsidR="00F109CA" w:rsidRPr="00F109CA" w:rsidRDefault="00F109CA" w:rsidP="00F109CA">
            <w:pPr>
              <w:jc w:val="right"/>
              <w:outlineLvl w:val="0"/>
              <w:rPr>
                <w:noProof/>
                <w:sz w:val="20"/>
                <w:szCs w:val="20"/>
              </w:rPr>
            </w:pPr>
            <w:bookmarkStart w:id="1620" w:name="_Toc223981218"/>
            <w:r w:rsidRPr="00F109CA">
              <w:rPr>
                <w:noProof/>
                <w:sz w:val="20"/>
                <w:szCs w:val="20"/>
              </w:rPr>
              <w:t>0.0</w:t>
            </w:r>
            <w:bookmarkEnd w:id="1620"/>
          </w:p>
        </w:tc>
      </w:tr>
      <w:tr w:rsidR="00F109CA" w:rsidRPr="00325AAE" w14:paraId="7C313FE9"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3BFFE2CF" w14:textId="77777777" w:rsidR="00F109CA" w:rsidRPr="00325AAE" w:rsidRDefault="00F109CA" w:rsidP="00F109CA">
            <w:pPr>
              <w:outlineLvl w:val="0"/>
              <w:rPr>
                <w:noProof/>
                <w:sz w:val="20"/>
                <w:szCs w:val="20"/>
              </w:rPr>
            </w:pPr>
            <w:r w:rsidRPr="00325AAE">
              <w:rPr>
                <w:noProof/>
                <w:sz w:val="20"/>
                <w:szCs w:val="20"/>
              </w:rPr>
              <w:t xml:space="preserve"> </w:t>
            </w:r>
            <w:bookmarkStart w:id="1621" w:name="_Toc223981219"/>
            <w:r w:rsidRPr="00325AAE">
              <w:rPr>
                <w:noProof/>
                <w:sz w:val="20"/>
                <w:szCs w:val="20"/>
              </w:rPr>
              <w:t>Croatia</w:t>
            </w:r>
            <w:bookmarkEnd w:id="1621"/>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62ACF225" w14:textId="609FA977" w:rsidR="00F109CA" w:rsidRPr="00F109CA" w:rsidRDefault="00F109CA" w:rsidP="00F109CA">
            <w:pPr>
              <w:jc w:val="right"/>
              <w:outlineLvl w:val="0"/>
              <w:rPr>
                <w:noProof/>
                <w:sz w:val="20"/>
                <w:szCs w:val="20"/>
              </w:rPr>
            </w:pPr>
            <w:bookmarkStart w:id="1622" w:name="_Toc223981220"/>
            <w:r w:rsidRPr="00F109CA">
              <w:rPr>
                <w:noProof/>
                <w:sz w:val="20"/>
                <w:szCs w:val="20"/>
              </w:rPr>
              <w:t>34.6</w:t>
            </w:r>
            <w:bookmarkEnd w:id="1622"/>
          </w:p>
        </w:tc>
        <w:tc>
          <w:tcPr>
            <w:tcW w:w="781" w:type="pct"/>
            <w:tcBorders>
              <w:top w:val="nil"/>
              <w:left w:val="nil"/>
              <w:bottom w:val="single" w:sz="4" w:space="0" w:color="auto"/>
              <w:right w:val="single" w:sz="4" w:space="0" w:color="auto"/>
            </w:tcBorders>
            <w:shd w:val="clear" w:color="000000" w:fill="FFFFFF"/>
            <w:noWrap/>
            <w:hideMark/>
          </w:tcPr>
          <w:p w14:paraId="1FD25234" w14:textId="6835285F" w:rsidR="00F109CA" w:rsidRPr="00F109CA" w:rsidRDefault="00F109CA" w:rsidP="00F109CA">
            <w:pPr>
              <w:jc w:val="right"/>
              <w:outlineLvl w:val="0"/>
              <w:rPr>
                <w:noProof/>
                <w:sz w:val="20"/>
                <w:szCs w:val="20"/>
              </w:rPr>
            </w:pPr>
            <w:bookmarkStart w:id="1623" w:name="_Toc223981221"/>
            <w:r w:rsidRPr="00F109CA">
              <w:rPr>
                <w:noProof/>
                <w:sz w:val="20"/>
                <w:szCs w:val="20"/>
              </w:rPr>
              <w:t>4.3</w:t>
            </w:r>
            <w:bookmarkEnd w:id="1623"/>
          </w:p>
        </w:tc>
        <w:tc>
          <w:tcPr>
            <w:tcW w:w="781" w:type="pct"/>
            <w:tcBorders>
              <w:top w:val="nil"/>
              <w:left w:val="nil"/>
              <w:bottom w:val="single" w:sz="4" w:space="0" w:color="auto"/>
              <w:right w:val="single" w:sz="4" w:space="0" w:color="auto"/>
            </w:tcBorders>
            <w:shd w:val="clear" w:color="000000" w:fill="FFFFFF"/>
            <w:noWrap/>
            <w:hideMark/>
          </w:tcPr>
          <w:p w14:paraId="62A869C8" w14:textId="5A5AC52A" w:rsidR="00F109CA" w:rsidRPr="00F109CA" w:rsidRDefault="00F109CA" w:rsidP="00F109CA">
            <w:pPr>
              <w:jc w:val="right"/>
              <w:outlineLvl w:val="0"/>
              <w:rPr>
                <w:noProof/>
                <w:sz w:val="20"/>
                <w:szCs w:val="20"/>
              </w:rPr>
            </w:pPr>
            <w:bookmarkStart w:id="1624" w:name="_Toc223981222"/>
            <w:r w:rsidRPr="00F109CA">
              <w:rPr>
                <w:noProof/>
                <w:sz w:val="20"/>
                <w:szCs w:val="20"/>
              </w:rPr>
              <w:t>4.6</w:t>
            </w:r>
            <w:bookmarkEnd w:id="1624"/>
          </w:p>
        </w:tc>
        <w:tc>
          <w:tcPr>
            <w:tcW w:w="781" w:type="pct"/>
            <w:tcBorders>
              <w:top w:val="nil"/>
              <w:left w:val="nil"/>
              <w:bottom w:val="single" w:sz="4" w:space="0" w:color="auto"/>
              <w:right w:val="single" w:sz="4" w:space="0" w:color="auto"/>
            </w:tcBorders>
            <w:shd w:val="clear" w:color="000000" w:fill="FFFFFF"/>
            <w:noWrap/>
            <w:hideMark/>
          </w:tcPr>
          <w:p w14:paraId="71EF1623" w14:textId="674AB160" w:rsidR="00F109CA" w:rsidRPr="00F109CA" w:rsidRDefault="00F109CA" w:rsidP="00F109CA">
            <w:pPr>
              <w:jc w:val="right"/>
              <w:outlineLvl w:val="0"/>
              <w:rPr>
                <w:noProof/>
                <w:sz w:val="20"/>
                <w:szCs w:val="20"/>
              </w:rPr>
            </w:pPr>
            <w:bookmarkStart w:id="1625" w:name="_Toc223981223"/>
            <w:r w:rsidRPr="00F109CA">
              <w:rPr>
                <w:noProof/>
                <w:sz w:val="20"/>
                <w:szCs w:val="20"/>
              </w:rPr>
              <w:t>4.2</w:t>
            </w:r>
            <w:bookmarkEnd w:id="1625"/>
          </w:p>
        </w:tc>
      </w:tr>
      <w:tr w:rsidR="00F109CA" w:rsidRPr="00325AAE" w14:paraId="1F09DF6F"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086DCFF3" w14:textId="77777777" w:rsidR="00F109CA" w:rsidRPr="00325AAE" w:rsidRDefault="00F109CA" w:rsidP="00F109CA">
            <w:pPr>
              <w:outlineLvl w:val="0"/>
              <w:rPr>
                <w:noProof/>
                <w:sz w:val="20"/>
                <w:szCs w:val="20"/>
              </w:rPr>
            </w:pPr>
            <w:r w:rsidRPr="00325AAE">
              <w:rPr>
                <w:noProof/>
                <w:sz w:val="20"/>
                <w:szCs w:val="20"/>
              </w:rPr>
              <w:t xml:space="preserve"> </w:t>
            </w:r>
            <w:bookmarkStart w:id="1626" w:name="_Toc223981224"/>
            <w:r w:rsidRPr="00325AAE">
              <w:rPr>
                <w:noProof/>
                <w:sz w:val="20"/>
                <w:szCs w:val="20"/>
              </w:rPr>
              <w:t>Lithuania</w:t>
            </w:r>
            <w:bookmarkEnd w:id="1626"/>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77CF4BF4" w14:textId="77777777" w:rsidR="00F109CA" w:rsidRPr="00F109CA" w:rsidRDefault="00F109CA" w:rsidP="00F109CA">
            <w:pPr>
              <w:jc w:val="right"/>
              <w:outlineLvl w:val="0"/>
              <w:rPr>
                <w:noProof/>
                <w:sz w:val="20"/>
                <w:szCs w:val="20"/>
              </w:rPr>
            </w:pPr>
            <w:bookmarkStart w:id="1627" w:name="_Toc223981225"/>
            <w:r w:rsidRPr="00F109CA">
              <w:rPr>
                <w:noProof/>
                <w:sz w:val="20"/>
                <w:szCs w:val="20"/>
              </w:rPr>
              <w:t>0.0</w:t>
            </w:r>
            <w:bookmarkEnd w:id="1627"/>
          </w:p>
        </w:tc>
        <w:tc>
          <w:tcPr>
            <w:tcW w:w="781" w:type="pct"/>
            <w:tcBorders>
              <w:top w:val="nil"/>
              <w:left w:val="nil"/>
              <w:bottom w:val="single" w:sz="4" w:space="0" w:color="auto"/>
              <w:right w:val="single" w:sz="4" w:space="0" w:color="auto"/>
            </w:tcBorders>
            <w:shd w:val="clear" w:color="000000" w:fill="FFFFFF"/>
            <w:noWrap/>
            <w:hideMark/>
          </w:tcPr>
          <w:p w14:paraId="66A1D60F" w14:textId="77777777" w:rsidR="00F109CA" w:rsidRPr="00F109CA" w:rsidRDefault="00F109CA" w:rsidP="00F109CA">
            <w:pPr>
              <w:jc w:val="right"/>
              <w:outlineLvl w:val="0"/>
              <w:rPr>
                <w:noProof/>
                <w:sz w:val="20"/>
                <w:szCs w:val="20"/>
              </w:rPr>
            </w:pPr>
            <w:bookmarkStart w:id="1628" w:name="_Toc223981226"/>
            <w:r w:rsidRPr="00F109CA">
              <w:rPr>
                <w:noProof/>
                <w:sz w:val="20"/>
                <w:szCs w:val="20"/>
              </w:rPr>
              <w:t>0.0</w:t>
            </w:r>
            <w:bookmarkEnd w:id="1628"/>
          </w:p>
        </w:tc>
        <w:tc>
          <w:tcPr>
            <w:tcW w:w="781" w:type="pct"/>
            <w:tcBorders>
              <w:top w:val="nil"/>
              <w:left w:val="nil"/>
              <w:bottom w:val="single" w:sz="4" w:space="0" w:color="auto"/>
              <w:right w:val="single" w:sz="4" w:space="0" w:color="auto"/>
            </w:tcBorders>
            <w:shd w:val="clear" w:color="000000" w:fill="FFFFFF"/>
            <w:noWrap/>
            <w:hideMark/>
          </w:tcPr>
          <w:p w14:paraId="699DF88E" w14:textId="77777777" w:rsidR="00F109CA" w:rsidRPr="00F109CA" w:rsidRDefault="00F109CA" w:rsidP="00F109CA">
            <w:pPr>
              <w:jc w:val="right"/>
              <w:outlineLvl w:val="0"/>
              <w:rPr>
                <w:noProof/>
                <w:sz w:val="20"/>
                <w:szCs w:val="20"/>
              </w:rPr>
            </w:pPr>
            <w:bookmarkStart w:id="1629" w:name="_Toc223981227"/>
            <w:r w:rsidRPr="00F109CA">
              <w:rPr>
                <w:noProof/>
                <w:sz w:val="20"/>
                <w:szCs w:val="20"/>
              </w:rPr>
              <w:t>0.0</w:t>
            </w:r>
            <w:bookmarkEnd w:id="1629"/>
          </w:p>
        </w:tc>
        <w:tc>
          <w:tcPr>
            <w:tcW w:w="781" w:type="pct"/>
            <w:tcBorders>
              <w:top w:val="nil"/>
              <w:left w:val="nil"/>
              <w:bottom w:val="single" w:sz="4" w:space="0" w:color="auto"/>
              <w:right w:val="single" w:sz="4" w:space="0" w:color="auto"/>
            </w:tcBorders>
            <w:shd w:val="clear" w:color="000000" w:fill="FFFFFF"/>
            <w:noWrap/>
            <w:hideMark/>
          </w:tcPr>
          <w:p w14:paraId="6C554A22" w14:textId="77777777" w:rsidR="00F109CA" w:rsidRPr="00F109CA" w:rsidRDefault="00F109CA" w:rsidP="00F109CA">
            <w:pPr>
              <w:jc w:val="right"/>
              <w:outlineLvl w:val="0"/>
              <w:rPr>
                <w:noProof/>
                <w:sz w:val="20"/>
                <w:szCs w:val="20"/>
              </w:rPr>
            </w:pPr>
            <w:bookmarkStart w:id="1630" w:name="_Toc223981228"/>
            <w:r w:rsidRPr="00F109CA">
              <w:rPr>
                <w:noProof/>
                <w:sz w:val="20"/>
                <w:szCs w:val="20"/>
              </w:rPr>
              <w:t>0.0</w:t>
            </w:r>
            <w:bookmarkEnd w:id="1630"/>
          </w:p>
        </w:tc>
      </w:tr>
      <w:tr w:rsidR="00F109CA" w:rsidRPr="00325AAE" w14:paraId="60346B1B"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8CD5A26" w14:textId="77777777" w:rsidR="00F109CA" w:rsidRPr="00325AAE" w:rsidRDefault="00F109CA" w:rsidP="00F109CA">
            <w:pPr>
              <w:outlineLvl w:val="0"/>
              <w:rPr>
                <w:noProof/>
                <w:sz w:val="20"/>
                <w:szCs w:val="20"/>
              </w:rPr>
            </w:pPr>
            <w:r w:rsidRPr="00325AAE">
              <w:rPr>
                <w:noProof/>
                <w:sz w:val="20"/>
                <w:szCs w:val="20"/>
              </w:rPr>
              <w:t xml:space="preserve"> </w:t>
            </w:r>
            <w:bookmarkStart w:id="1631" w:name="_Toc223981229"/>
            <w:r w:rsidRPr="00325AAE">
              <w:rPr>
                <w:noProof/>
                <w:sz w:val="20"/>
                <w:szCs w:val="20"/>
              </w:rPr>
              <w:t>Hungary</w:t>
            </w:r>
            <w:bookmarkEnd w:id="1631"/>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59083FD1" w14:textId="28146F0C" w:rsidR="00F109CA" w:rsidRPr="00F109CA" w:rsidRDefault="00F109CA" w:rsidP="00F109CA">
            <w:pPr>
              <w:jc w:val="right"/>
              <w:outlineLvl w:val="0"/>
              <w:rPr>
                <w:noProof/>
                <w:sz w:val="20"/>
                <w:szCs w:val="20"/>
              </w:rPr>
            </w:pPr>
            <w:bookmarkStart w:id="1632" w:name="_Toc223981230"/>
            <w:r w:rsidRPr="00F109CA">
              <w:rPr>
                <w:noProof/>
                <w:sz w:val="20"/>
                <w:szCs w:val="20"/>
              </w:rPr>
              <w:t>103.9</w:t>
            </w:r>
            <w:bookmarkEnd w:id="1632"/>
          </w:p>
        </w:tc>
        <w:tc>
          <w:tcPr>
            <w:tcW w:w="781" w:type="pct"/>
            <w:tcBorders>
              <w:top w:val="nil"/>
              <w:left w:val="nil"/>
              <w:bottom w:val="single" w:sz="4" w:space="0" w:color="auto"/>
              <w:right w:val="single" w:sz="4" w:space="0" w:color="auto"/>
            </w:tcBorders>
            <w:shd w:val="clear" w:color="000000" w:fill="FFFFFF"/>
            <w:noWrap/>
            <w:hideMark/>
          </w:tcPr>
          <w:p w14:paraId="2C8510DD" w14:textId="32F4D6F5" w:rsidR="00F109CA" w:rsidRPr="00F109CA" w:rsidRDefault="00F109CA" w:rsidP="00F109CA">
            <w:pPr>
              <w:jc w:val="right"/>
              <w:outlineLvl w:val="0"/>
              <w:rPr>
                <w:noProof/>
                <w:sz w:val="20"/>
                <w:szCs w:val="20"/>
              </w:rPr>
            </w:pPr>
            <w:bookmarkStart w:id="1633" w:name="_Toc223981231"/>
            <w:r w:rsidRPr="00F109CA">
              <w:rPr>
                <w:noProof/>
                <w:sz w:val="20"/>
                <w:szCs w:val="20"/>
              </w:rPr>
              <w:t>12.8</w:t>
            </w:r>
            <w:bookmarkEnd w:id="1633"/>
          </w:p>
        </w:tc>
        <w:tc>
          <w:tcPr>
            <w:tcW w:w="781" w:type="pct"/>
            <w:tcBorders>
              <w:top w:val="nil"/>
              <w:left w:val="nil"/>
              <w:bottom w:val="single" w:sz="4" w:space="0" w:color="auto"/>
              <w:right w:val="single" w:sz="4" w:space="0" w:color="auto"/>
            </w:tcBorders>
            <w:shd w:val="clear" w:color="000000" w:fill="FFFFFF"/>
            <w:noWrap/>
            <w:hideMark/>
          </w:tcPr>
          <w:p w14:paraId="07E4C342" w14:textId="75E7464C" w:rsidR="00F109CA" w:rsidRPr="00F109CA" w:rsidRDefault="00F109CA" w:rsidP="00F109CA">
            <w:pPr>
              <w:jc w:val="right"/>
              <w:outlineLvl w:val="0"/>
              <w:rPr>
                <w:noProof/>
                <w:sz w:val="20"/>
                <w:szCs w:val="20"/>
              </w:rPr>
            </w:pPr>
            <w:bookmarkStart w:id="1634" w:name="_Toc223981232"/>
            <w:r w:rsidRPr="00F109CA">
              <w:rPr>
                <w:noProof/>
                <w:sz w:val="20"/>
                <w:szCs w:val="20"/>
              </w:rPr>
              <w:t>13.8</w:t>
            </w:r>
            <w:bookmarkEnd w:id="1634"/>
          </w:p>
        </w:tc>
        <w:tc>
          <w:tcPr>
            <w:tcW w:w="781" w:type="pct"/>
            <w:tcBorders>
              <w:top w:val="nil"/>
              <w:left w:val="nil"/>
              <w:bottom w:val="single" w:sz="4" w:space="0" w:color="auto"/>
              <w:right w:val="single" w:sz="4" w:space="0" w:color="auto"/>
            </w:tcBorders>
            <w:shd w:val="clear" w:color="000000" w:fill="FFFFFF"/>
            <w:noWrap/>
            <w:hideMark/>
          </w:tcPr>
          <w:p w14:paraId="6E236DB3" w14:textId="4480D4E2" w:rsidR="00F109CA" w:rsidRPr="00F109CA" w:rsidRDefault="00F109CA" w:rsidP="00F109CA">
            <w:pPr>
              <w:jc w:val="right"/>
              <w:outlineLvl w:val="0"/>
              <w:rPr>
                <w:noProof/>
                <w:sz w:val="20"/>
                <w:szCs w:val="20"/>
              </w:rPr>
            </w:pPr>
            <w:bookmarkStart w:id="1635" w:name="_Toc223981233"/>
            <w:r w:rsidRPr="00F109CA">
              <w:rPr>
                <w:noProof/>
                <w:sz w:val="20"/>
                <w:szCs w:val="20"/>
              </w:rPr>
              <w:t>12.6</w:t>
            </w:r>
            <w:bookmarkEnd w:id="1635"/>
          </w:p>
        </w:tc>
      </w:tr>
      <w:tr w:rsidR="00F109CA" w:rsidRPr="00325AAE" w14:paraId="315147B1"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5FDC70B" w14:textId="77777777" w:rsidR="00F109CA" w:rsidRPr="00325AAE" w:rsidRDefault="00F109CA" w:rsidP="00F109CA">
            <w:pPr>
              <w:outlineLvl w:val="0"/>
              <w:rPr>
                <w:noProof/>
                <w:sz w:val="20"/>
                <w:szCs w:val="20"/>
              </w:rPr>
            </w:pPr>
            <w:r w:rsidRPr="00325AAE">
              <w:rPr>
                <w:noProof/>
                <w:sz w:val="20"/>
                <w:szCs w:val="20"/>
              </w:rPr>
              <w:t xml:space="preserve"> </w:t>
            </w:r>
            <w:bookmarkStart w:id="1636" w:name="_Toc223981234"/>
            <w:r w:rsidRPr="00325AAE">
              <w:rPr>
                <w:noProof/>
                <w:sz w:val="20"/>
                <w:szCs w:val="20"/>
              </w:rPr>
              <w:t>Sweden</w:t>
            </w:r>
            <w:bookmarkEnd w:id="1636"/>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03C9E1D8" w14:textId="1D73C4EF" w:rsidR="00F109CA" w:rsidRPr="00F109CA" w:rsidRDefault="00F109CA" w:rsidP="00F109CA">
            <w:pPr>
              <w:jc w:val="right"/>
              <w:outlineLvl w:val="0"/>
              <w:rPr>
                <w:noProof/>
                <w:sz w:val="20"/>
                <w:szCs w:val="20"/>
              </w:rPr>
            </w:pPr>
            <w:bookmarkStart w:id="1637" w:name="_Toc223981235"/>
            <w:r w:rsidRPr="00F109CA">
              <w:rPr>
                <w:noProof/>
                <w:sz w:val="20"/>
                <w:szCs w:val="20"/>
              </w:rPr>
              <w:t>69.3</w:t>
            </w:r>
            <w:bookmarkEnd w:id="1637"/>
          </w:p>
        </w:tc>
        <w:tc>
          <w:tcPr>
            <w:tcW w:w="781" w:type="pct"/>
            <w:tcBorders>
              <w:top w:val="nil"/>
              <w:left w:val="nil"/>
              <w:bottom w:val="single" w:sz="4" w:space="0" w:color="auto"/>
              <w:right w:val="single" w:sz="4" w:space="0" w:color="auto"/>
            </w:tcBorders>
            <w:shd w:val="clear" w:color="000000" w:fill="FFFFFF"/>
            <w:noWrap/>
            <w:hideMark/>
          </w:tcPr>
          <w:p w14:paraId="72E9BDB5" w14:textId="7D56CEB3" w:rsidR="00F109CA" w:rsidRPr="00F109CA" w:rsidRDefault="00F109CA" w:rsidP="00F109CA">
            <w:pPr>
              <w:jc w:val="right"/>
              <w:outlineLvl w:val="0"/>
              <w:rPr>
                <w:noProof/>
                <w:sz w:val="20"/>
                <w:szCs w:val="20"/>
              </w:rPr>
            </w:pPr>
            <w:bookmarkStart w:id="1638" w:name="_Toc223981236"/>
            <w:r w:rsidRPr="00F109CA">
              <w:rPr>
                <w:noProof/>
                <w:sz w:val="20"/>
                <w:szCs w:val="20"/>
              </w:rPr>
              <w:t>8.5</w:t>
            </w:r>
            <w:bookmarkEnd w:id="1638"/>
          </w:p>
        </w:tc>
        <w:tc>
          <w:tcPr>
            <w:tcW w:w="781" w:type="pct"/>
            <w:tcBorders>
              <w:top w:val="nil"/>
              <w:left w:val="nil"/>
              <w:bottom w:val="single" w:sz="4" w:space="0" w:color="auto"/>
              <w:right w:val="single" w:sz="4" w:space="0" w:color="auto"/>
            </w:tcBorders>
            <w:shd w:val="clear" w:color="000000" w:fill="FFFFFF"/>
            <w:noWrap/>
            <w:hideMark/>
          </w:tcPr>
          <w:p w14:paraId="0C1FC956" w14:textId="0644ACFB" w:rsidR="00F109CA" w:rsidRPr="00F109CA" w:rsidRDefault="00F109CA" w:rsidP="00F109CA">
            <w:pPr>
              <w:jc w:val="right"/>
              <w:outlineLvl w:val="0"/>
              <w:rPr>
                <w:noProof/>
                <w:sz w:val="20"/>
                <w:szCs w:val="20"/>
              </w:rPr>
            </w:pPr>
            <w:bookmarkStart w:id="1639" w:name="_Toc223981237"/>
            <w:r w:rsidRPr="00F109CA">
              <w:rPr>
                <w:noProof/>
                <w:sz w:val="20"/>
                <w:szCs w:val="20"/>
              </w:rPr>
              <w:t>9.2</w:t>
            </w:r>
            <w:bookmarkEnd w:id="1639"/>
          </w:p>
        </w:tc>
        <w:tc>
          <w:tcPr>
            <w:tcW w:w="781" w:type="pct"/>
            <w:tcBorders>
              <w:top w:val="nil"/>
              <w:left w:val="nil"/>
              <w:bottom w:val="single" w:sz="4" w:space="0" w:color="auto"/>
              <w:right w:val="single" w:sz="4" w:space="0" w:color="auto"/>
            </w:tcBorders>
            <w:shd w:val="clear" w:color="000000" w:fill="FFFFFF"/>
            <w:noWrap/>
            <w:hideMark/>
          </w:tcPr>
          <w:p w14:paraId="3A7B9008" w14:textId="13ACC7B8" w:rsidR="00F109CA" w:rsidRPr="00F109CA" w:rsidRDefault="00F109CA" w:rsidP="00F109CA">
            <w:pPr>
              <w:jc w:val="right"/>
              <w:outlineLvl w:val="0"/>
              <w:rPr>
                <w:noProof/>
                <w:sz w:val="20"/>
                <w:szCs w:val="20"/>
              </w:rPr>
            </w:pPr>
            <w:bookmarkStart w:id="1640" w:name="_Toc223981238"/>
            <w:r w:rsidRPr="00F109CA">
              <w:rPr>
                <w:noProof/>
                <w:sz w:val="20"/>
                <w:szCs w:val="20"/>
              </w:rPr>
              <w:t>8.4</w:t>
            </w:r>
            <w:bookmarkEnd w:id="1640"/>
          </w:p>
        </w:tc>
      </w:tr>
      <w:tr w:rsidR="00F109CA" w:rsidRPr="00325AAE" w14:paraId="6506D3CA"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16382167" w14:textId="726F7859" w:rsidR="00F109CA" w:rsidRPr="00325AAE" w:rsidRDefault="00F109CA" w:rsidP="00F109CA">
            <w:pPr>
              <w:outlineLvl w:val="0"/>
              <w:rPr>
                <w:noProof/>
                <w:sz w:val="20"/>
                <w:szCs w:val="20"/>
              </w:rPr>
            </w:pPr>
            <w:r w:rsidRPr="00325AAE">
              <w:rPr>
                <w:noProof/>
                <w:sz w:val="20"/>
                <w:szCs w:val="20"/>
              </w:rPr>
              <w:t xml:space="preserve"> </w:t>
            </w:r>
            <w:bookmarkStart w:id="1641" w:name="_Toc223981239"/>
            <w:r w:rsidRPr="00325AAE">
              <w:rPr>
                <w:noProof/>
                <w:sz w:val="20"/>
                <w:szCs w:val="20"/>
              </w:rPr>
              <w:t>Czechia</w:t>
            </w:r>
            <w:bookmarkEnd w:id="1641"/>
          </w:p>
        </w:tc>
        <w:tc>
          <w:tcPr>
            <w:tcW w:w="780" w:type="pct"/>
            <w:tcBorders>
              <w:top w:val="nil"/>
              <w:left w:val="nil"/>
              <w:bottom w:val="single" w:sz="4" w:space="0" w:color="auto"/>
              <w:right w:val="single" w:sz="4" w:space="0" w:color="auto"/>
            </w:tcBorders>
            <w:shd w:val="clear" w:color="000000" w:fill="FFFFFF"/>
            <w:noWrap/>
            <w:hideMark/>
          </w:tcPr>
          <w:p w14:paraId="02662691" w14:textId="6676899A" w:rsidR="00F109CA" w:rsidRPr="00F109CA" w:rsidRDefault="00F109CA" w:rsidP="00F109CA">
            <w:pPr>
              <w:jc w:val="right"/>
              <w:outlineLvl w:val="0"/>
              <w:rPr>
                <w:noProof/>
                <w:sz w:val="20"/>
                <w:szCs w:val="20"/>
              </w:rPr>
            </w:pPr>
            <w:bookmarkStart w:id="1642" w:name="_Toc223981240"/>
            <w:r w:rsidRPr="00F109CA">
              <w:rPr>
                <w:noProof/>
                <w:sz w:val="20"/>
                <w:szCs w:val="20"/>
              </w:rPr>
              <w:t>103.9</w:t>
            </w:r>
            <w:bookmarkEnd w:id="1642"/>
          </w:p>
        </w:tc>
        <w:tc>
          <w:tcPr>
            <w:tcW w:w="781" w:type="pct"/>
            <w:tcBorders>
              <w:top w:val="nil"/>
              <w:left w:val="nil"/>
              <w:bottom w:val="single" w:sz="4" w:space="0" w:color="auto"/>
              <w:right w:val="single" w:sz="4" w:space="0" w:color="auto"/>
            </w:tcBorders>
            <w:shd w:val="clear" w:color="000000" w:fill="FFFFFF"/>
            <w:noWrap/>
            <w:hideMark/>
          </w:tcPr>
          <w:p w14:paraId="23E23A5B" w14:textId="6C89B5C7" w:rsidR="00F109CA" w:rsidRPr="00F109CA" w:rsidRDefault="00F109CA" w:rsidP="00F109CA">
            <w:pPr>
              <w:jc w:val="right"/>
              <w:outlineLvl w:val="0"/>
              <w:rPr>
                <w:noProof/>
                <w:sz w:val="20"/>
                <w:szCs w:val="20"/>
              </w:rPr>
            </w:pPr>
            <w:bookmarkStart w:id="1643" w:name="_Toc223981241"/>
            <w:r w:rsidRPr="00F109CA">
              <w:rPr>
                <w:noProof/>
                <w:sz w:val="20"/>
                <w:szCs w:val="20"/>
              </w:rPr>
              <w:t>12.8</w:t>
            </w:r>
            <w:bookmarkEnd w:id="1643"/>
          </w:p>
        </w:tc>
        <w:tc>
          <w:tcPr>
            <w:tcW w:w="781" w:type="pct"/>
            <w:tcBorders>
              <w:top w:val="nil"/>
              <w:left w:val="nil"/>
              <w:bottom w:val="single" w:sz="4" w:space="0" w:color="auto"/>
              <w:right w:val="single" w:sz="4" w:space="0" w:color="auto"/>
            </w:tcBorders>
            <w:shd w:val="clear" w:color="000000" w:fill="FFFFFF"/>
            <w:noWrap/>
            <w:hideMark/>
          </w:tcPr>
          <w:p w14:paraId="38E578F2" w14:textId="7A0F9584" w:rsidR="00F109CA" w:rsidRPr="00F109CA" w:rsidRDefault="00F109CA" w:rsidP="00F109CA">
            <w:pPr>
              <w:jc w:val="right"/>
              <w:outlineLvl w:val="0"/>
              <w:rPr>
                <w:noProof/>
                <w:sz w:val="20"/>
                <w:szCs w:val="20"/>
              </w:rPr>
            </w:pPr>
            <w:bookmarkStart w:id="1644" w:name="_Toc223981242"/>
            <w:r w:rsidRPr="00F109CA">
              <w:rPr>
                <w:noProof/>
                <w:sz w:val="20"/>
                <w:szCs w:val="20"/>
              </w:rPr>
              <w:t>13.8</w:t>
            </w:r>
            <w:bookmarkEnd w:id="1644"/>
          </w:p>
        </w:tc>
        <w:tc>
          <w:tcPr>
            <w:tcW w:w="781" w:type="pct"/>
            <w:tcBorders>
              <w:top w:val="nil"/>
              <w:left w:val="nil"/>
              <w:bottom w:val="single" w:sz="4" w:space="0" w:color="auto"/>
              <w:right w:val="single" w:sz="4" w:space="0" w:color="auto"/>
            </w:tcBorders>
            <w:shd w:val="clear" w:color="000000" w:fill="FFFFFF"/>
            <w:noWrap/>
            <w:hideMark/>
          </w:tcPr>
          <w:p w14:paraId="565DBC1F" w14:textId="42E7DD77" w:rsidR="00F109CA" w:rsidRPr="00F109CA" w:rsidRDefault="00F109CA" w:rsidP="00F109CA">
            <w:pPr>
              <w:jc w:val="right"/>
              <w:outlineLvl w:val="0"/>
              <w:rPr>
                <w:noProof/>
                <w:sz w:val="20"/>
                <w:szCs w:val="20"/>
              </w:rPr>
            </w:pPr>
            <w:bookmarkStart w:id="1645" w:name="_Toc223981243"/>
            <w:r w:rsidRPr="00F109CA">
              <w:rPr>
                <w:noProof/>
                <w:sz w:val="20"/>
                <w:szCs w:val="20"/>
              </w:rPr>
              <w:t>12.6</w:t>
            </w:r>
            <w:bookmarkEnd w:id="1645"/>
          </w:p>
        </w:tc>
      </w:tr>
      <w:tr w:rsidR="00F109CA" w:rsidRPr="00325AAE" w14:paraId="106B0FB4"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1F7E71D" w14:textId="77777777" w:rsidR="00F109CA" w:rsidRPr="00325AAE" w:rsidRDefault="00F109CA" w:rsidP="00F109CA">
            <w:pPr>
              <w:outlineLvl w:val="0"/>
              <w:rPr>
                <w:noProof/>
                <w:sz w:val="20"/>
                <w:szCs w:val="20"/>
              </w:rPr>
            </w:pPr>
            <w:r w:rsidRPr="00325AAE">
              <w:rPr>
                <w:noProof/>
                <w:sz w:val="20"/>
                <w:szCs w:val="20"/>
              </w:rPr>
              <w:t xml:space="preserve"> </w:t>
            </w:r>
            <w:bookmarkStart w:id="1646" w:name="_Toc223981244"/>
            <w:r w:rsidRPr="00325AAE">
              <w:rPr>
                <w:noProof/>
                <w:sz w:val="20"/>
                <w:szCs w:val="20"/>
              </w:rPr>
              <w:t>Ireland</w:t>
            </w:r>
            <w:bookmarkEnd w:id="1646"/>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2E6A319B" w14:textId="54280974" w:rsidR="00F109CA" w:rsidRPr="00F109CA" w:rsidRDefault="00F109CA" w:rsidP="00F109CA">
            <w:pPr>
              <w:jc w:val="right"/>
              <w:outlineLvl w:val="0"/>
              <w:rPr>
                <w:noProof/>
                <w:sz w:val="20"/>
                <w:szCs w:val="20"/>
              </w:rPr>
            </w:pPr>
            <w:bookmarkStart w:id="1647" w:name="_Toc223981245"/>
            <w:r w:rsidRPr="00F109CA">
              <w:rPr>
                <w:noProof/>
                <w:sz w:val="20"/>
                <w:szCs w:val="20"/>
              </w:rPr>
              <w:t>69.3</w:t>
            </w:r>
            <w:bookmarkEnd w:id="1647"/>
          </w:p>
        </w:tc>
        <w:tc>
          <w:tcPr>
            <w:tcW w:w="781" w:type="pct"/>
            <w:tcBorders>
              <w:top w:val="nil"/>
              <w:left w:val="nil"/>
              <w:bottom w:val="single" w:sz="4" w:space="0" w:color="auto"/>
              <w:right w:val="single" w:sz="4" w:space="0" w:color="auto"/>
            </w:tcBorders>
            <w:shd w:val="clear" w:color="000000" w:fill="FFFFFF"/>
            <w:noWrap/>
            <w:hideMark/>
          </w:tcPr>
          <w:p w14:paraId="3AFDDAA1" w14:textId="1EFF7E36" w:rsidR="00F109CA" w:rsidRPr="00F109CA" w:rsidRDefault="00F109CA" w:rsidP="00F109CA">
            <w:pPr>
              <w:jc w:val="right"/>
              <w:outlineLvl w:val="0"/>
              <w:rPr>
                <w:noProof/>
                <w:sz w:val="20"/>
                <w:szCs w:val="20"/>
              </w:rPr>
            </w:pPr>
            <w:bookmarkStart w:id="1648" w:name="_Toc223981246"/>
            <w:r w:rsidRPr="00F109CA">
              <w:rPr>
                <w:noProof/>
                <w:sz w:val="20"/>
                <w:szCs w:val="20"/>
              </w:rPr>
              <w:t>8.5</w:t>
            </w:r>
            <w:bookmarkEnd w:id="1648"/>
          </w:p>
        </w:tc>
        <w:tc>
          <w:tcPr>
            <w:tcW w:w="781" w:type="pct"/>
            <w:tcBorders>
              <w:top w:val="nil"/>
              <w:left w:val="nil"/>
              <w:bottom w:val="single" w:sz="4" w:space="0" w:color="auto"/>
              <w:right w:val="single" w:sz="4" w:space="0" w:color="auto"/>
            </w:tcBorders>
            <w:shd w:val="clear" w:color="000000" w:fill="FFFFFF"/>
            <w:noWrap/>
            <w:hideMark/>
          </w:tcPr>
          <w:p w14:paraId="37B92BBB" w14:textId="4A9993A4" w:rsidR="00F109CA" w:rsidRPr="00F109CA" w:rsidRDefault="00F109CA" w:rsidP="00F109CA">
            <w:pPr>
              <w:jc w:val="right"/>
              <w:outlineLvl w:val="0"/>
              <w:rPr>
                <w:noProof/>
                <w:sz w:val="20"/>
                <w:szCs w:val="20"/>
              </w:rPr>
            </w:pPr>
            <w:bookmarkStart w:id="1649" w:name="_Toc223981247"/>
            <w:r w:rsidRPr="00F109CA">
              <w:rPr>
                <w:noProof/>
                <w:sz w:val="20"/>
                <w:szCs w:val="20"/>
              </w:rPr>
              <w:t>9.2</w:t>
            </w:r>
            <w:bookmarkEnd w:id="1649"/>
          </w:p>
        </w:tc>
        <w:tc>
          <w:tcPr>
            <w:tcW w:w="781" w:type="pct"/>
            <w:tcBorders>
              <w:top w:val="nil"/>
              <w:left w:val="nil"/>
              <w:bottom w:val="single" w:sz="4" w:space="0" w:color="auto"/>
              <w:right w:val="single" w:sz="4" w:space="0" w:color="auto"/>
            </w:tcBorders>
            <w:shd w:val="clear" w:color="000000" w:fill="FFFFFF"/>
            <w:noWrap/>
            <w:hideMark/>
          </w:tcPr>
          <w:p w14:paraId="55CF6539" w14:textId="00C1D2FF" w:rsidR="00F109CA" w:rsidRPr="00F109CA" w:rsidRDefault="00F109CA" w:rsidP="00F109CA">
            <w:pPr>
              <w:jc w:val="right"/>
              <w:outlineLvl w:val="0"/>
              <w:rPr>
                <w:noProof/>
                <w:sz w:val="20"/>
                <w:szCs w:val="20"/>
              </w:rPr>
            </w:pPr>
            <w:bookmarkStart w:id="1650" w:name="_Toc223981248"/>
            <w:r w:rsidRPr="00F109CA">
              <w:rPr>
                <w:noProof/>
                <w:sz w:val="20"/>
                <w:szCs w:val="20"/>
              </w:rPr>
              <w:t>8.4</w:t>
            </w:r>
            <w:bookmarkEnd w:id="1650"/>
          </w:p>
        </w:tc>
      </w:tr>
      <w:tr w:rsidR="00F109CA" w:rsidRPr="00325AAE" w14:paraId="7AC610F6"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7646379E" w14:textId="77777777" w:rsidR="00F109CA" w:rsidRPr="00325AAE" w:rsidRDefault="00F109CA" w:rsidP="00F109CA">
            <w:pPr>
              <w:outlineLvl w:val="0"/>
              <w:rPr>
                <w:noProof/>
                <w:sz w:val="20"/>
                <w:szCs w:val="20"/>
              </w:rPr>
            </w:pPr>
            <w:r w:rsidRPr="00325AAE">
              <w:rPr>
                <w:noProof/>
                <w:sz w:val="20"/>
                <w:szCs w:val="20"/>
              </w:rPr>
              <w:t xml:space="preserve"> </w:t>
            </w:r>
            <w:bookmarkStart w:id="1651" w:name="_Toc223981249"/>
            <w:r w:rsidRPr="00325AAE">
              <w:rPr>
                <w:noProof/>
                <w:sz w:val="20"/>
                <w:szCs w:val="20"/>
              </w:rPr>
              <w:t>Slovenia</w:t>
            </w:r>
            <w:bookmarkEnd w:id="1651"/>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7ED09052" w14:textId="77777777" w:rsidR="00F109CA" w:rsidRPr="00F109CA" w:rsidRDefault="00F109CA" w:rsidP="00F109CA">
            <w:pPr>
              <w:jc w:val="right"/>
              <w:outlineLvl w:val="0"/>
              <w:rPr>
                <w:noProof/>
                <w:sz w:val="20"/>
                <w:szCs w:val="20"/>
              </w:rPr>
            </w:pPr>
            <w:bookmarkStart w:id="1652" w:name="_Toc223981250"/>
            <w:r w:rsidRPr="00F109CA">
              <w:rPr>
                <w:noProof/>
                <w:sz w:val="20"/>
                <w:szCs w:val="20"/>
              </w:rPr>
              <w:t>0.0</w:t>
            </w:r>
            <w:bookmarkEnd w:id="1652"/>
          </w:p>
        </w:tc>
        <w:tc>
          <w:tcPr>
            <w:tcW w:w="781" w:type="pct"/>
            <w:tcBorders>
              <w:top w:val="nil"/>
              <w:left w:val="nil"/>
              <w:bottom w:val="single" w:sz="4" w:space="0" w:color="auto"/>
              <w:right w:val="single" w:sz="4" w:space="0" w:color="auto"/>
            </w:tcBorders>
            <w:shd w:val="clear" w:color="000000" w:fill="FFFFFF"/>
            <w:noWrap/>
            <w:hideMark/>
          </w:tcPr>
          <w:p w14:paraId="223D9799" w14:textId="77777777" w:rsidR="00F109CA" w:rsidRPr="00F109CA" w:rsidRDefault="00F109CA" w:rsidP="00F109CA">
            <w:pPr>
              <w:jc w:val="right"/>
              <w:outlineLvl w:val="0"/>
              <w:rPr>
                <w:noProof/>
                <w:sz w:val="20"/>
                <w:szCs w:val="20"/>
              </w:rPr>
            </w:pPr>
            <w:bookmarkStart w:id="1653" w:name="_Toc223981251"/>
            <w:r w:rsidRPr="00F109CA">
              <w:rPr>
                <w:noProof/>
                <w:sz w:val="20"/>
                <w:szCs w:val="20"/>
              </w:rPr>
              <w:t>0.0</w:t>
            </w:r>
            <w:bookmarkEnd w:id="1653"/>
          </w:p>
        </w:tc>
        <w:tc>
          <w:tcPr>
            <w:tcW w:w="781" w:type="pct"/>
            <w:tcBorders>
              <w:top w:val="nil"/>
              <w:left w:val="nil"/>
              <w:bottom w:val="single" w:sz="4" w:space="0" w:color="auto"/>
              <w:right w:val="single" w:sz="4" w:space="0" w:color="auto"/>
            </w:tcBorders>
            <w:shd w:val="clear" w:color="000000" w:fill="FFFFFF"/>
            <w:noWrap/>
            <w:hideMark/>
          </w:tcPr>
          <w:p w14:paraId="2FED7B29" w14:textId="77777777" w:rsidR="00F109CA" w:rsidRPr="00F109CA" w:rsidRDefault="00F109CA" w:rsidP="00F109CA">
            <w:pPr>
              <w:jc w:val="right"/>
              <w:outlineLvl w:val="0"/>
              <w:rPr>
                <w:noProof/>
                <w:sz w:val="20"/>
                <w:szCs w:val="20"/>
              </w:rPr>
            </w:pPr>
            <w:bookmarkStart w:id="1654" w:name="_Toc223981252"/>
            <w:r w:rsidRPr="00F109CA">
              <w:rPr>
                <w:noProof/>
                <w:sz w:val="20"/>
                <w:szCs w:val="20"/>
              </w:rPr>
              <w:t>0.0</w:t>
            </w:r>
            <w:bookmarkEnd w:id="1654"/>
          </w:p>
        </w:tc>
        <w:tc>
          <w:tcPr>
            <w:tcW w:w="781" w:type="pct"/>
            <w:tcBorders>
              <w:top w:val="nil"/>
              <w:left w:val="nil"/>
              <w:bottom w:val="single" w:sz="4" w:space="0" w:color="auto"/>
              <w:right w:val="single" w:sz="4" w:space="0" w:color="auto"/>
            </w:tcBorders>
            <w:shd w:val="clear" w:color="000000" w:fill="FFFFFF"/>
            <w:noWrap/>
            <w:hideMark/>
          </w:tcPr>
          <w:p w14:paraId="449A9EAC" w14:textId="77777777" w:rsidR="00F109CA" w:rsidRPr="00F109CA" w:rsidRDefault="00F109CA" w:rsidP="00F109CA">
            <w:pPr>
              <w:jc w:val="right"/>
              <w:outlineLvl w:val="0"/>
              <w:rPr>
                <w:noProof/>
                <w:sz w:val="20"/>
                <w:szCs w:val="20"/>
              </w:rPr>
            </w:pPr>
            <w:bookmarkStart w:id="1655" w:name="_Toc223981253"/>
            <w:r w:rsidRPr="00F109CA">
              <w:rPr>
                <w:noProof/>
                <w:sz w:val="20"/>
                <w:szCs w:val="20"/>
              </w:rPr>
              <w:t>0.0</w:t>
            </w:r>
            <w:bookmarkEnd w:id="1655"/>
          </w:p>
        </w:tc>
      </w:tr>
      <w:tr w:rsidR="00F109CA" w:rsidRPr="00325AAE" w14:paraId="1D7B8038"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1B859D76" w14:textId="77777777" w:rsidR="00F109CA" w:rsidRPr="00325AAE" w:rsidRDefault="00F109CA" w:rsidP="00F109CA">
            <w:pPr>
              <w:outlineLvl w:val="0"/>
              <w:rPr>
                <w:noProof/>
                <w:sz w:val="20"/>
                <w:szCs w:val="20"/>
              </w:rPr>
            </w:pPr>
            <w:r w:rsidRPr="00325AAE">
              <w:rPr>
                <w:noProof/>
                <w:sz w:val="20"/>
                <w:szCs w:val="20"/>
              </w:rPr>
              <w:t xml:space="preserve"> </w:t>
            </w:r>
            <w:bookmarkStart w:id="1656" w:name="_Toc223981254"/>
            <w:r w:rsidRPr="00325AAE">
              <w:rPr>
                <w:noProof/>
                <w:sz w:val="20"/>
                <w:szCs w:val="20"/>
              </w:rPr>
              <w:t>Latvia</w:t>
            </w:r>
            <w:bookmarkEnd w:id="1656"/>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6FF68783" w14:textId="77777777" w:rsidR="00F109CA" w:rsidRPr="00F109CA" w:rsidRDefault="00F109CA" w:rsidP="00F109CA">
            <w:pPr>
              <w:jc w:val="right"/>
              <w:outlineLvl w:val="0"/>
              <w:rPr>
                <w:noProof/>
                <w:sz w:val="20"/>
                <w:szCs w:val="20"/>
              </w:rPr>
            </w:pPr>
            <w:bookmarkStart w:id="1657" w:name="_Toc223981255"/>
            <w:r w:rsidRPr="00F109CA">
              <w:rPr>
                <w:noProof/>
                <w:sz w:val="20"/>
                <w:szCs w:val="20"/>
              </w:rPr>
              <w:t>0.0</w:t>
            </w:r>
            <w:bookmarkEnd w:id="1657"/>
          </w:p>
        </w:tc>
        <w:tc>
          <w:tcPr>
            <w:tcW w:w="781" w:type="pct"/>
            <w:tcBorders>
              <w:top w:val="nil"/>
              <w:left w:val="nil"/>
              <w:bottom w:val="single" w:sz="4" w:space="0" w:color="auto"/>
              <w:right w:val="single" w:sz="4" w:space="0" w:color="auto"/>
            </w:tcBorders>
            <w:shd w:val="clear" w:color="000000" w:fill="FFFFFF"/>
            <w:noWrap/>
            <w:hideMark/>
          </w:tcPr>
          <w:p w14:paraId="5FB9B003" w14:textId="77777777" w:rsidR="00F109CA" w:rsidRPr="00F109CA" w:rsidRDefault="00F109CA" w:rsidP="00F109CA">
            <w:pPr>
              <w:jc w:val="right"/>
              <w:outlineLvl w:val="0"/>
              <w:rPr>
                <w:noProof/>
                <w:sz w:val="20"/>
                <w:szCs w:val="20"/>
              </w:rPr>
            </w:pPr>
            <w:bookmarkStart w:id="1658" w:name="_Toc223981256"/>
            <w:r w:rsidRPr="00F109CA">
              <w:rPr>
                <w:noProof/>
                <w:sz w:val="20"/>
                <w:szCs w:val="20"/>
              </w:rPr>
              <w:t>0.0</w:t>
            </w:r>
            <w:bookmarkEnd w:id="1658"/>
          </w:p>
        </w:tc>
        <w:tc>
          <w:tcPr>
            <w:tcW w:w="781" w:type="pct"/>
            <w:tcBorders>
              <w:top w:val="nil"/>
              <w:left w:val="nil"/>
              <w:bottom w:val="single" w:sz="4" w:space="0" w:color="auto"/>
              <w:right w:val="single" w:sz="4" w:space="0" w:color="auto"/>
            </w:tcBorders>
            <w:shd w:val="clear" w:color="000000" w:fill="FFFFFF"/>
            <w:noWrap/>
            <w:hideMark/>
          </w:tcPr>
          <w:p w14:paraId="71A25401" w14:textId="77777777" w:rsidR="00F109CA" w:rsidRPr="00F109CA" w:rsidRDefault="00F109CA" w:rsidP="00F109CA">
            <w:pPr>
              <w:jc w:val="right"/>
              <w:outlineLvl w:val="0"/>
              <w:rPr>
                <w:noProof/>
                <w:sz w:val="20"/>
                <w:szCs w:val="20"/>
              </w:rPr>
            </w:pPr>
            <w:bookmarkStart w:id="1659" w:name="_Toc223981257"/>
            <w:r w:rsidRPr="00F109CA">
              <w:rPr>
                <w:noProof/>
                <w:sz w:val="20"/>
                <w:szCs w:val="20"/>
              </w:rPr>
              <w:t>0.0</w:t>
            </w:r>
            <w:bookmarkEnd w:id="1659"/>
          </w:p>
        </w:tc>
        <w:tc>
          <w:tcPr>
            <w:tcW w:w="781" w:type="pct"/>
            <w:tcBorders>
              <w:top w:val="nil"/>
              <w:left w:val="nil"/>
              <w:bottom w:val="single" w:sz="4" w:space="0" w:color="auto"/>
              <w:right w:val="single" w:sz="4" w:space="0" w:color="auto"/>
            </w:tcBorders>
            <w:shd w:val="clear" w:color="000000" w:fill="FFFFFF"/>
            <w:noWrap/>
            <w:hideMark/>
          </w:tcPr>
          <w:p w14:paraId="7B7DA04C" w14:textId="77777777" w:rsidR="00F109CA" w:rsidRPr="00F109CA" w:rsidRDefault="00F109CA" w:rsidP="00F109CA">
            <w:pPr>
              <w:jc w:val="right"/>
              <w:outlineLvl w:val="0"/>
              <w:rPr>
                <w:noProof/>
                <w:sz w:val="20"/>
                <w:szCs w:val="20"/>
              </w:rPr>
            </w:pPr>
            <w:bookmarkStart w:id="1660" w:name="_Toc223981258"/>
            <w:r w:rsidRPr="00F109CA">
              <w:rPr>
                <w:noProof/>
                <w:sz w:val="20"/>
                <w:szCs w:val="20"/>
              </w:rPr>
              <w:t>0.0</w:t>
            </w:r>
            <w:bookmarkEnd w:id="1660"/>
          </w:p>
        </w:tc>
      </w:tr>
      <w:tr w:rsidR="00F109CA" w:rsidRPr="00325AAE" w14:paraId="578E230D"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25F29A85" w14:textId="77777777" w:rsidR="00F109CA" w:rsidRPr="00325AAE" w:rsidRDefault="00F109CA" w:rsidP="00F109CA">
            <w:pPr>
              <w:outlineLvl w:val="0"/>
              <w:rPr>
                <w:noProof/>
                <w:sz w:val="20"/>
                <w:szCs w:val="20"/>
              </w:rPr>
            </w:pPr>
            <w:r w:rsidRPr="00325AAE">
              <w:rPr>
                <w:noProof/>
                <w:sz w:val="20"/>
                <w:szCs w:val="20"/>
              </w:rPr>
              <w:t xml:space="preserve"> </w:t>
            </w:r>
            <w:bookmarkStart w:id="1661" w:name="_Toc223981259"/>
            <w:r w:rsidRPr="00325AAE">
              <w:rPr>
                <w:noProof/>
                <w:sz w:val="20"/>
                <w:szCs w:val="20"/>
              </w:rPr>
              <w:t>Romania</w:t>
            </w:r>
            <w:bookmarkEnd w:id="1661"/>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671EA04E" w14:textId="77777777" w:rsidR="00F109CA" w:rsidRPr="00F109CA" w:rsidRDefault="00F109CA" w:rsidP="00F109CA">
            <w:pPr>
              <w:jc w:val="right"/>
              <w:outlineLvl w:val="0"/>
              <w:rPr>
                <w:noProof/>
                <w:sz w:val="20"/>
                <w:szCs w:val="20"/>
              </w:rPr>
            </w:pPr>
            <w:bookmarkStart w:id="1662" w:name="_Toc223981260"/>
            <w:r w:rsidRPr="00F109CA">
              <w:rPr>
                <w:noProof/>
                <w:sz w:val="20"/>
                <w:szCs w:val="20"/>
              </w:rPr>
              <w:t>0.0</w:t>
            </w:r>
            <w:bookmarkEnd w:id="1662"/>
          </w:p>
        </w:tc>
        <w:tc>
          <w:tcPr>
            <w:tcW w:w="781" w:type="pct"/>
            <w:tcBorders>
              <w:top w:val="nil"/>
              <w:left w:val="nil"/>
              <w:bottom w:val="single" w:sz="4" w:space="0" w:color="auto"/>
              <w:right w:val="single" w:sz="4" w:space="0" w:color="auto"/>
            </w:tcBorders>
            <w:shd w:val="clear" w:color="000000" w:fill="FFFFFF"/>
            <w:noWrap/>
            <w:hideMark/>
          </w:tcPr>
          <w:p w14:paraId="1CF8AED3" w14:textId="77777777" w:rsidR="00F109CA" w:rsidRPr="00F109CA" w:rsidRDefault="00F109CA" w:rsidP="00F109CA">
            <w:pPr>
              <w:jc w:val="right"/>
              <w:outlineLvl w:val="0"/>
              <w:rPr>
                <w:noProof/>
                <w:sz w:val="20"/>
                <w:szCs w:val="20"/>
              </w:rPr>
            </w:pPr>
            <w:bookmarkStart w:id="1663" w:name="_Toc223981261"/>
            <w:r w:rsidRPr="00F109CA">
              <w:rPr>
                <w:noProof/>
                <w:sz w:val="20"/>
                <w:szCs w:val="20"/>
              </w:rPr>
              <w:t>0.0</w:t>
            </w:r>
            <w:bookmarkEnd w:id="1663"/>
          </w:p>
        </w:tc>
        <w:tc>
          <w:tcPr>
            <w:tcW w:w="781" w:type="pct"/>
            <w:tcBorders>
              <w:top w:val="nil"/>
              <w:left w:val="nil"/>
              <w:bottom w:val="single" w:sz="4" w:space="0" w:color="auto"/>
              <w:right w:val="single" w:sz="4" w:space="0" w:color="auto"/>
            </w:tcBorders>
            <w:shd w:val="clear" w:color="000000" w:fill="FFFFFF"/>
            <w:noWrap/>
            <w:hideMark/>
          </w:tcPr>
          <w:p w14:paraId="0B578A01" w14:textId="77777777" w:rsidR="00F109CA" w:rsidRPr="00F109CA" w:rsidRDefault="00F109CA" w:rsidP="00F109CA">
            <w:pPr>
              <w:jc w:val="right"/>
              <w:outlineLvl w:val="0"/>
              <w:rPr>
                <w:noProof/>
                <w:sz w:val="20"/>
                <w:szCs w:val="20"/>
              </w:rPr>
            </w:pPr>
            <w:bookmarkStart w:id="1664" w:name="_Toc223981262"/>
            <w:r w:rsidRPr="00F109CA">
              <w:rPr>
                <w:noProof/>
                <w:sz w:val="20"/>
                <w:szCs w:val="20"/>
              </w:rPr>
              <w:t>0.0</w:t>
            </w:r>
            <w:bookmarkEnd w:id="1664"/>
          </w:p>
        </w:tc>
        <w:tc>
          <w:tcPr>
            <w:tcW w:w="781" w:type="pct"/>
            <w:tcBorders>
              <w:top w:val="nil"/>
              <w:left w:val="nil"/>
              <w:bottom w:val="single" w:sz="4" w:space="0" w:color="auto"/>
              <w:right w:val="single" w:sz="4" w:space="0" w:color="auto"/>
            </w:tcBorders>
            <w:shd w:val="clear" w:color="000000" w:fill="FFFFFF"/>
            <w:noWrap/>
            <w:hideMark/>
          </w:tcPr>
          <w:p w14:paraId="3856086E" w14:textId="77777777" w:rsidR="00F109CA" w:rsidRPr="00F109CA" w:rsidRDefault="00F109CA" w:rsidP="00F109CA">
            <w:pPr>
              <w:jc w:val="right"/>
              <w:outlineLvl w:val="0"/>
              <w:rPr>
                <w:noProof/>
                <w:sz w:val="20"/>
                <w:szCs w:val="20"/>
              </w:rPr>
            </w:pPr>
            <w:bookmarkStart w:id="1665" w:name="_Toc223981263"/>
            <w:r w:rsidRPr="00F109CA">
              <w:rPr>
                <w:noProof/>
                <w:sz w:val="20"/>
                <w:szCs w:val="20"/>
              </w:rPr>
              <w:t>0.0</w:t>
            </w:r>
            <w:bookmarkEnd w:id="1665"/>
          </w:p>
        </w:tc>
      </w:tr>
      <w:tr w:rsidR="00F109CA" w:rsidRPr="00325AAE" w14:paraId="5CEFA68E"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02E38151" w14:textId="77777777" w:rsidR="00F109CA" w:rsidRPr="00325AAE" w:rsidRDefault="00F109CA" w:rsidP="00F109CA">
            <w:pPr>
              <w:outlineLvl w:val="0"/>
              <w:rPr>
                <w:noProof/>
                <w:sz w:val="20"/>
                <w:szCs w:val="20"/>
              </w:rPr>
            </w:pPr>
            <w:r w:rsidRPr="00325AAE">
              <w:rPr>
                <w:noProof/>
                <w:sz w:val="20"/>
                <w:szCs w:val="20"/>
              </w:rPr>
              <w:t xml:space="preserve"> </w:t>
            </w:r>
            <w:bookmarkStart w:id="1666" w:name="_Toc223981264"/>
            <w:r w:rsidRPr="00325AAE">
              <w:rPr>
                <w:noProof/>
                <w:sz w:val="20"/>
                <w:szCs w:val="20"/>
              </w:rPr>
              <w:t>Slovakia</w:t>
            </w:r>
            <w:bookmarkEnd w:id="1666"/>
            <w:r w:rsidRPr="00325AA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6CE4C0DD" w14:textId="003E043C" w:rsidR="00F109CA" w:rsidRPr="00F109CA" w:rsidRDefault="00F109CA" w:rsidP="00F109CA">
            <w:pPr>
              <w:jc w:val="right"/>
              <w:outlineLvl w:val="0"/>
              <w:rPr>
                <w:noProof/>
                <w:sz w:val="20"/>
                <w:szCs w:val="20"/>
              </w:rPr>
            </w:pPr>
            <w:bookmarkStart w:id="1667" w:name="_Toc223981265"/>
            <w:r w:rsidRPr="00F109CA">
              <w:rPr>
                <w:noProof/>
                <w:sz w:val="20"/>
                <w:szCs w:val="20"/>
              </w:rPr>
              <w:t>34.6</w:t>
            </w:r>
            <w:bookmarkEnd w:id="1667"/>
          </w:p>
        </w:tc>
        <w:tc>
          <w:tcPr>
            <w:tcW w:w="781" w:type="pct"/>
            <w:tcBorders>
              <w:top w:val="nil"/>
              <w:left w:val="nil"/>
              <w:bottom w:val="single" w:sz="4" w:space="0" w:color="auto"/>
              <w:right w:val="single" w:sz="4" w:space="0" w:color="auto"/>
            </w:tcBorders>
            <w:shd w:val="clear" w:color="000000" w:fill="FFFFFF"/>
            <w:noWrap/>
            <w:hideMark/>
          </w:tcPr>
          <w:p w14:paraId="1EC7C039" w14:textId="6635250C" w:rsidR="00F109CA" w:rsidRPr="00F109CA" w:rsidRDefault="00F109CA" w:rsidP="00F109CA">
            <w:pPr>
              <w:jc w:val="right"/>
              <w:outlineLvl w:val="0"/>
              <w:rPr>
                <w:noProof/>
                <w:sz w:val="20"/>
                <w:szCs w:val="20"/>
              </w:rPr>
            </w:pPr>
            <w:bookmarkStart w:id="1668" w:name="_Toc223981266"/>
            <w:r w:rsidRPr="00F109CA">
              <w:rPr>
                <w:noProof/>
                <w:sz w:val="20"/>
                <w:szCs w:val="20"/>
              </w:rPr>
              <w:t>4.3</w:t>
            </w:r>
            <w:bookmarkEnd w:id="1668"/>
          </w:p>
        </w:tc>
        <w:tc>
          <w:tcPr>
            <w:tcW w:w="781" w:type="pct"/>
            <w:tcBorders>
              <w:top w:val="nil"/>
              <w:left w:val="nil"/>
              <w:bottom w:val="single" w:sz="4" w:space="0" w:color="auto"/>
              <w:right w:val="single" w:sz="4" w:space="0" w:color="auto"/>
            </w:tcBorders>
            <w:shd w:val="clear" w:color="000000" w:fill="FFFFFF"/>
            <w:noWrap/>
            <w:hideMark/>
          </w:tcPr>
          <w:p w14:paraId="7025FE54" w14:textId="1FDB207E" w:rsidR="00F109CA" w:rsidRPr="00F109CA" w:rsidRDefault="00F109CA" w:rsidP="00F109CA">
            <w:pPr>
              <w:jc w:val="right"/>
              <w:outlineLvl w:val="0"/>
              <w:rPr>
                <w:noProof/>
                <w:sz w:val="20"/>
                <w:szCs w:val="20"/>
              </w:rPr>
            </w:pPr>
            <w:bookmarkStart w:id="1669" w:name="_Toc223981267"/>
            <w:r w:rsidRPr="00F109CA">
              <w:rPr>
                <w:noProof/>
                <w:sz w:val="20"/>
                <w:szCs w:val="20"/>
              </w:rPr>
              <w:t>4.6</w:t>
            </w:r>
            <w:bookmarkEnd w:id="1669"/>
          </w:p>
        </w:tc>
        <w:tc>
          <w:tcPr>
            <w:tcW w:w="781" w:type="pct"/>
            <w:tcBorders>
              <w:top w:val="nil"/>
              <w:left w:val="nil"/>
              <w:bottom w:val="single" w:sz="4" w:space="0" w:color="auto"/>
              <w:right w:val="single" w:sz="4" w:space="0" w:color="auto"/>
            </w:tcBorders>
            <w:shd w:val="clear" w:color="000000" w:fill="FFFFFF"/>
            <w:noWrap/>
            <w:hideMark/>
          </w:tcPr>
          <w:p w14:paraId="7C9AE27C" w14:textId="347A4F8D" w:rsidR="00F109CA" w:rsidRPr="00F109CA" w:rsidRDefault="00F109CA" w:rsidP="00F109CA">
            <w:pPr>
              <w:jc w:val="right"/>
              <w:outlineLvl w:val="0"/>
              <w:rPr>
                <w:noProof/>
                <w:sz w:val="20"/>
                <w:szCs w:val="20"/>
              </w:rPr>
            </w:pPr>
            <w:bookmarkStart w:id="1670" w:name="_Toc223981268"/>
            <w:r w:rsidRPr="00F109CA">
              <w:rPr>
                <w:noProof/>
                <w:sz w:val="20"/>
                <w:szCs w:val="20"/>
              </w:rPr>
              <w:t>4.2</w:t>
            </w:r>
            <w:bookmarkEnd w:id="1670"/>
          </w:p>
        </w:tc>
      </w:tr>
      <w:tr w:rsidR="00F109CA" w:rsidRPr="00325AAE" w14:paraId="1376F6F8" w14:textId="77777777" w:rsidTr="00325AA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70D58AFF" w14:textId="3B5C6635" w:rsidR="00F109CA" w:rsidRPr="00325AAE" w:rsidRDefault="00F109CA" w:rsidP="00F109CA">
            <w:pPr>
              <w:rPr>
                <w:b/>
                <w:bCs/>
                <w:noProof/>
                <w:sz w:val="20"/>
                <w:szCs w:val="20"/>
              </w:rPr>
            </w:pPr>
            <w:r w:rsidRPr="00325AAE">
              <w:rPr>
                <w:b/>
                <w:bCs/>
                <w:noProof/>
                <w:sz w:val="20"/>
                <w:szCs w:val="20"/>
              </w:rPr>
              <w:t xml:space="preserve"> Total </w:t>
            </w:r>
          </w:p>
        </w:tc>
        <w:tc>
          <w:tcPr>
            <w:tcW w:w="780" w:type="pct"/>
            <w:tcBorders>
              <w:top w:val="nil"/>
              <w:left w:val="nil"/>
              <w:bottom w:val="single" w:sz="4" w:space="0" w:color="auto"/>
              <w:right w:val="single" w:sz="4" w:space="0" w:color="auto"/>
            </w:tcBorders>
            <w:shd w:val="clear" w:color="000000" w:fill="FFFFFF"/>
            <w:noWrap/>
            <w:hideMark/>
          </w:tcPr>
          <w:p w14:paraId="4B424AAD" w14:textId="534A9C87" w:rsidR="00F109CA" w:rsidRPr="00F109CA" w:rsidRDefault="00F109CA" w:rsidP="00F109CA">
            <w:pPr>
              <w:jc w:val="right"/>
              <w:rPr>
                <w:b/>
                <w:bCs/>
                <w:noProof/>
                <w:sz w:val="20"/>
                <w:szCs w:val="20"/>
              </w:rPr>
            </w:pPr>
            <w:r w:rsidRPr="00F109CA">
              <w:rPr>
                <w:b/>
                <w:bCs/>
                <w:noProof/>
                <w:sz w:val="20"/>
                <w:szCs w:val="20"/>
              </w:rPr>
              <w:t>3,464.8</w:t>
            </w:r>
          </w:p>
        </w:tc>
        <w:tc>
          <w:tcPr>
            <w:tcW w:w="781" w:type="pct"/>
            <w:tcBorders>
              <w:top w:val="nil"/>
              <w:left w:val="nil"/>
              <w:bottom w:val="single" w:sz="4" w:space="0" w:color="auto"/>
              <w:right w:val="single" w:sz="4" w:space="0" w:color="auto"/>
            </w:tcBorders>
            <w:shd w:val="clear" w:color="000000" w:fill="FFFFFF"/>
            <w:noWrap/>
            <w:hideMark/>
          </w:tcPr>
          <w:p w14:paraId="4937BA5F" w14:textId="7063CBBE" w:rsidR="00F109CA" w:rsidRPr="00F109CA" w:rsidRDefault="00F109CA" w:rsidP="00F109CA">
            <w:pPr>
              <w:jc w:val="right"/>
              <w:rPr>
                <w:b/>
                <w:bCs/>
                <w:noProof/>
                <w:sz w:val="20"/>
                <w:szCs w:val="20"/>
              </w:rPr>
            </w:pPr>
            <w:r w:rsidRPr="00F109CA">
              <w:rPr>
                <w:b/>
                <w:bCs/>
                <w:noProof/>
                <w:sz w:val="20"/>
                <w:szCs w:val="20"/>
              </w:rPr>
              <w:t>426.7</w:t>
            </w:r>
          </w:p>
        </w:tc>
        <w:tc>
          <w:tcPr>
            <w:tcW w:w="781" w:type="pct"/>
            <w:tcBorders>
              <w:top w:val="nil"/>
              <w:left w:val="nil"/>
              <w:bottom w:val="single" w:sz="4" w:space="0" w:color="auto"/>
              <w:right w:val="single" w:sz="4" w:space="0" w:color="auto"/>
            </w:tcBorders>
            <w:shd w:val="clear" w:color="000000" w:fill="FFFFFF"/>
            <w:noWrap/>
            <w:hideMark/>
          </w:tcPr>
          <w:p w14:paraId="79F59B16" w14:textId="3F8C3D06" w:rsidR="00F109CA" w:rsidRPr="00F109CA" w:rsidRDefault="00F109CA" w:rsidP="00F109CA">
            <w:pPr>
              <w:jc w:val="right"/>
              <w:rPr>
                <w:b/>
                <w:bCs/>
                <w:noProof/>
                <w:sz w:val="20"/>
                <w:szCs w:val="20"/>
              </w:rPr>
            </w:pPr>
            <w:r w:rsidRPr="00F109CA">
              <w:rPr>
                <w:b/>
                <w:bCs/>
                <w:noProof/>
                <w:sz w:val="20"/>
                <w:szCs w:val="20"/>
              </w:rPr>
              <w:t>458.8</w:t>
            </w:r>
          </w:p>
        </w:tc>
        <w:tc>
          <w:tcPr>
            <w:tcW w:w="781" w:type="pct"/>
            <w:tcBorders>
              <w:top w:val="nil"/>
              <w:left w:val="nil"/>
              <w:bottom w:val="single" w:sz="4" w:space="0" w:color="auto"/>
              <w:right w:val="single" w:sz="4" w:space="0" w:color="auto"/>
            </w:tcBorders>
            <w:shd w:val="clear" w:color="000000" w:fill="FFFFFF"/>
            <w:noWrap/>
            <w:hideMark/>
          </w:tcPr>
          <w:p w14:paraId="5E4B8D42" w14:textId="020DD28B" w:rsidR="00F109CA" w:rsidRPr="00F109CA" w:rsidRDefault="00F109CA" w:rsidP="00F109CA">
            <w:pPr>
              <w:jc w:val="right"/>
              <w:rPr>
                <w:b/>
                <w:bCs/>
                <w:noProof/>
                <w:sz w:val="20"/>
                <w:szCs w:val="20"/>
              </w:rPr>
            </w:pPr>
            <w:r w:rsidRPr="00F109CA">
              <w:rPr>
                <w:b/>
                <w:bCs/>
                <w:noProof/>
                <w:sz w:val="20"/>
                <w:szCs w:val="20"/>
              </w:rPr>
              <w:t>419.4</w:t>
            </w:r>
          </w:p>
        </w:tc>
      </w:tr>
    </w:tbl>
    <w:p w14:paraId="0F42B9CE" w14:textId="77777777" w:rsidR="002361D7" w:rsidRPr="00325AAE" w:rsidRDefault="002361D7" w:rsidP="002361D7">
      <w:pPr>
        <w:tabs>
          <w:tab w:val="left" w:pos="2302"/>
        </w:tabs>
        <w:spacing w:after="240"/>
        <w:jc w:val="both"/>
        <w:rPr>
          <w:i/>
          <w:noProof/>
          <w:sz w:val="20"/>
          <w:szCs w:val="20"/>
        </w:rPr>
      </w:pPr>
      <w:r w:rsidRPr="00325AAE">
        <w:rPr>
          <w:i/>
          <w:noProof/>
          <w:spacing w:val="-8"/>
          <w:sz w:val="20"/>
          <w:szCs w:val="20"/>
        </w:rPr>
        <w:t xml:space="preserve">Source: </w:t>
      </w:r>
      <w:r w:rsidRPr="00325AAE">
        <w:rPr>
          <w:i/>
          <w:noProof/>
          <w:sz w:val="20"/>
          <w:szCs w:val="20"/>
        </w:rPr>
        <w:t>Ricardo et al. (2026), Impact assessment support study</w:t>
      </w:r>
    </w:p>
    <w:p w14:paraId="0DDED64D" w14:textId="7FE80970" w:rsidR="002361D7" w:rsidRPr="00325AAE" w:rsidRDefault="002361D7" w:rsidP="00DB078C">
      <w:pPr>
        <w:keepNext/>
        <w:tabs>
          <w:tab w:val="left" w:pos="1134"/>
        </w:tabs>
        <w:jc w:val="both"/>
        <w:rPr>
          <w:i/>
          <w:noProof/>
          <w:sz w:val="22"/>
          <w:szCs w:val="22"/>
        </w:rPr>
      </w:pPr>
      <w:r w:rsidRPr="00325AAE">
        <w:rPr>
          <w:i/>
          <w:noProof/>
          <w:sz w:val="22"/>
          <w:szCs w:val="22"/>
        </w:rPr>
        <w:t xml:space="preserve">Table </w:t>
      </w:r>
      <w:r w:rsidRPr="00325AAE">
        <w:rPr>
          <w:i/>
          <w:noProof/>
          <w:sz w:val="22"/>
          <w:szCs w:val="22"/>
        </w:rPr>
        <w:fldChar w:fldCharType="begin"/>
      </w:r>
      <w:r w:rsidRPr="00325AAE">
        <w:rPr>
          <w:i/>
          <w:noProof/>
          <w:sz w:val="22"/>
          <w:szCs w:val="22"/>
        </w:rPr>
        <w:instrText xml:space="preserve"> SEQ Table \* ARABIC </w:instrText>
      </w:r>
      <w:r w:rsidRPr="00325AAE">
        <w:rPr>
          <w:i/>
          <w:noProof/>
          <w:sz w:val="22"/>
          <w:szCs w:val="22"/>
        </w:rPr>
        <w:fldChar w:fldCharType="separate"/>
      </w:r>
      <w:r w:rsidR="0055391F">
        <w:rPr>
          <w:i/>
          <w:noProof/>
          <w:sz w:val="22"/>
          <w:szCs w:val="22"/>
        </w:rPr>
        <w:t>97</w:t>
      </w:r>
      <w:r w:rsidRPr="00325AAE">
        <w:rPr>
          <w:i/>
          <w:noProof/>
          <w:sz w:val="22"/>
          <w:szCs w:val="22"/>
        </w:rPr>
        <w:fldChar w:fldCharType="end"/>
      </w:r>
      <w:r w:rsidRPr="00325AAE">
        <w:rPr>
          <w:i/>
          <w:noProof/>
          <w:sz w:val="22"/>
          <w:szCs w:val="22"/>
        </w:rPr>
        <w:t xml:space="preserve">: Total one-off and recurrent adjustment costs for </w:t>
      </w:r>
      <w:r w:rsidR="0055450C">
        <w:rPr>
          <w:i/>
          <w:noProof/>
          <w:sz w:val="22"/>
          <w:szCs w:val="22"/>
        </w:rPr>
        <w:t>non-SME</w:t>
      </w:r>
      <w:r w:rsidRPr="00325AAE">
        <w:rPr>
          <w:i/>
          <w:noProof/>
          <w:sz w:val="22"/>
          <w:szCs w:val="22"/>
        </w:rPr>
        <w:t xml:space="preserve"> B2C MDMS platforms due to PM</w:t>
      </w:r>
      <w:r w:rsidR="00E42821" w:rsidRPr="00325AAE">
        <w:rPr>
          <w:i/>
          <w:noProof/>
          <w:sz w:val="22"/>
          <w:szCs w:val="22"/>
        </w:rPr>
        <w:t>8</w:t>
      </w:r>
      <w:r w:rsidRPr="00325AAE">
        <w:rPr>
          <w:i/>
          <w:noProof/>
          <w:sz w:val="22"/>
          <w:szCs w:val="22"/>
        </w:rPr>
        <w:t xml:space="preserve"> in PO2 in 2028, 2030, 2040 and 2050 relative to the baseline (thousand EUR, in 2024 prices)</w:t>
      </w:r>
    </w:p>
    <w:tbl>
      <w:tblPr>
        <w:tblW w:w="5000" w:type="pct"/>
        <w:tblLook w:val="04A0" w:firstRow="1" w:lastRow="0" w:firstColumn="1" w:lastColumn="0" w:noHBand="0" w:noVBand="1"/>
      </w:tblPr>
      <w:tblGrid>
        <w:gridCol w:w="3604"/>
        <w:gridCol w:w="1499"/>
        <w:gridCol w:w="1500"/>
        <w:gridCol w:w="1500"/>
        <w:gridCol w:w="1500"/>
      </w:tblGrid>
      <w:tr w:rsidR="00491C02" w:rsidRPr="00491C02" w14:paraId="45E3D12E" w14:textId="77777777" w:rsidTr="00491C02">
        <w:trPr>
          <w:trHeight w:val="255"/>
          <w:tblHeader/>
        </w:trPr>
        <w:tc>
          <w:tcPr>
            <w:tcW w:w="1876" w:type="pct"/>
            <w:tcBorders>
              <w:top w:val="single" w:sz="4" w:space="0" w:color="auto"/>
              <w:left w:val="single" w:sz="4" w:space="0" w:color="auto"/>
              <w:bottom w:val="single" w:sz="4" w:space="0" w:color="auto"/>
              <w:right w:val="single" w:sz="4" w:space="0" w:color="auto"/>
            </w:tcBorders>
            <w:shd w:val="clear" w:color="000000" w:fill="0070C0"/>
            <w:noWrap/>
            <w:hideMark/>
          </w:tcPr>
          <w:p w14:paraId="13E6EE52" w14:textId="67296D8B" w:rsidR="00BC418C" w:rsidRPr="00491C02" w:rsidRDefault="00BC418C">
            <w:pPr>
              <w:jc w:val="center"/>
              <w:rPr>
                <w:b/>
                <w:bCs/>
                <w:noProof/>
                <w:color w:val="FFFFFF"/>
                <w:sz w:val="20"/>
                <w:szCs w:val="20"/>
              </w:rPr>
            </w:pPr>
          </w:p>
        </w:tc>
        <w:tc>
          <w:tcPr>
            <w:tcW w:w="780" w:type="pct"/>
            <w:tcBorders>
              <w:top w:val="single" w:sz="4" w:space="0" w:color="auto"/>
              <w:left w:val="nil"/>
              <w:bottom w:val="single" w:sz="4" w:space="0" w:color="auto"/>
              <w:right w:val="single" w:sz="4" w:space="0" w:color="auto"/>
            </w:tcBorders>
            <w:shd w:val="clear" w:color="000000" w:fill="0070C0"/>
            <w:noWrap/>
            <w:hideMark/>
          </w:tcPr>
          <w:p w14:paraId="1D516EFF" w14:textId="77777777" w:rsidR="00BC418C" w:rsidRPr="00491C02" w:rsidRDefault="00BC418C">
            <w:pPr>
              <w:jc w:val="center"/>
              <w:rPr>
                <w:b/>
                <w:bCs/>
                <w:noProof/>
                <w:color w:val="FFFFFF"/>
                <w:sz w:val="20"/>
                <w:szCs w:val="20"/>
              </w:rPr>
            </w:pPr>
            <w:r w:rsidRPr="00491C02">
              <w:rPr>
                <w:b/>
                <w:bCs/>
                <w:noProof/>
                <w:color w:val="FFFFFF"/>
                <w:sz w:val="20"/>
                <w:szCs w:val="20"/>
              </w:rPr>
              <w:t>2028</w:t>
            </w:r>
          </w:p>
        </w:tc>
        <w:tc>
          <w:tcPr>
            <w:tcW w:w="781" w:type="pct"/>
            <w:tcBorders>
              <w:top w:val="single" w:sz="4" w:space="0" w:color="auto"/>
              <w:left w:val="nil"/>
              <w:bottom w:val="single" w:sz="4" w:space="0" w:color="auto"/>
              <w:right w:val="single" w:sz="4" w:space="0" w:color="auto"/>
            </w:tcBorders>
            <w:shd w:val="clear" w:color="000000" w:fill="0070C0"/>
            <w:noWrap/>
            <w:hideMark/>
          </w:tcPr>
          <w:p w14:paraId="581BF0BF" w14:textId="77777777" w:rsidR="00BC418C" w:rsidRPr="00491C02" w:rsidRDefault="00BC418C">
            <w:pPr>
              <w:jc w:val="center"/>
              <w:rPr>
                <w:b/>
                <w:bCs/>
                <w:noProof/>
                <w:color w:val="FFFFFF"/>
                <w:sz w:val="20"/>
                <w:szCs w:val="20"/>
              </w:rPr>
            </w:pPr>
            <w:r w:rsidRPr="00491C02">
              <w:rPr>
                <w:b/>
                <w:bCs/>
                <w:noProof/>
                <w:color w:val="FFFFFF"/>
                <w:sz w:val="20"/>
                <w:szCs w:val="20"/>
              </w:rPr>
              <w:t>2030</w:t>
            </w:r>
          </w:p>
        </w:tc>
        <w:tc>
          <w:tcPr>
            <w:tcW w:w="781" w:type="pct"/>
            <w:tcBorders>
              <w:top w:val="single" w:sz="4" w:space="0" w:color="auto"/>
              <w:left w:val="nil"/>
              <w:bottom w:val="single" w:sz="4" w:space="0" w:color="auto"/>
              <w:right w:val="single" w:sz="4" w:space="0" w:color="auto"/>
            </w:tcBorders>
            <w:shd w:val="clear" w:color="000000" w:fill="0070C0"/>
            <w:noWrap/>
            <w:hideMark/>
          </w:tcPr>
          <w:p w14:paraId="42EFAD7F" w14:textId="77777777" w:rsidR="00BC418C" w:rsidRPr="00491C02" w:rsidRDefault="00BC418C">
            <w:pPr>
              <w:jc w:val="center"/>
              <w:rPr>
                <w:b/>
                <w:bCs/>
                <w:noProof/>
                <w:color w:val="FFFFFF"/>
                <w:sz w:val="20"/>
                <w:szCs w:val="20"/>
              </w:rPr>
            </w:pPr>
            <w:r w:rsidRPr="00491C02">
              <w:rPr>
                <w:b/>
                <w:bCs/>
                <w:noProof/>
                <w:color w:val="FFFFFF"/>
                <w:sz w:val="20"/>
                <w:szCs w:val="20"/>
              </w:rPr>
              <w:t>2040</w:t>
            </w:r>
          </w:p>
        </w:tc>
        <w:tc>
          <w:tcPr>
            <w:tcW w:w="781" w:type="pct"/>
            <w:tcBorders>
              <w:top w:val="single" w:sz="4" w:space="0" w:color="auto"/>
              <w:left w:val="nil"/>
              <w:bottom w:val="single" w:sz="4" w:space="0" w:color="auto"/>
              <w:right w:val="single" w:sz="4" w:space="0" w:color="auto"/>
            </w:tcBorders>
            <w:shd w:val="clear" w:color="000000" w:fill="0070C0"/>
            <w:noWrap/>
            <w:hideMark/>
          </w:tcPr>
          <w:p w14:paraId="7FDFC05E" w14:textId="77777777" w:rsidR="00BC418C" w:rsidRPr="00491C02" w:rsidRDefault="00BC418C">
            <w:pPr>
              <w:jc w:val="center"/>
              <w:rPr>
                <w:b/>
                <w:bCs/>
                <w:noProof/>
                <w:color w:val="FFFFFF"/>
                <w:sz w:val="20"/>
                <w:szCs w:val="20"/>
              </w:rPr>
            </w:pPr>
            <w:r w:rsidRPr="00491C02">
              <w:rPr>
                <w:b/>
                <w:bCs/>
                <w:noProof/>
                <w:color w:val="FFFFFF"/>
                <w:sz w:val="20"/>
                <w:szCs w:val="20"/>
              </w:rPr>
              <w:t>2050</w:t>
            </w:r>
          </w:p>
        </w:tc>
      </w:tr>
      <w:tr w:rsidR="00E16947" w:rsidRPr="00491C02" w14:paraId="1632D232"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FDCB571" w14:textId="77777777" w:rsidR="00E16947" w:rsidRPr="00491C02" w:rsidRDefault="00E16947" w:rsidP="00E16947">
            <w:pPr>
              <w:outlineLvl w:val="0"/>
              <w:rPr>
                <w:noProof/>
                <w:sz w:val="20"/>
                <w:szCs w:val="20"/>
              </w:rPr>
            </w:pPr>
            <w:r w:rsidRPr="00491C02">
              <w:rPr>
                <w:noProof/>
                <w:sz w:val="20"/>
                <w:szCs w:val="20"/>
              </w:rPr>
              <w:t xml:space="preserve"> </w:t>
            </w:r>
            <w:bookmarkStart w:id="1671" w:name="_Toc223981269"/>
            <w:r w:rsidRPr="00491C02">
              <w:rPr>
                <w:noProof/>
                <w:sz w:val="20"/>
                <w:szCs w:val="20"/>
              </w:rPr>
              <w:t>Germany</w:t>
            </w:r>
            <w:bookmarkEnd w:id="167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612980D2" w14:textId="203999C3" w:rsidR="00E16947" w:rsidRPr="00E16947" w:rsidRDefault="00E16947" w:rsidP="00E16947">
            <w:pPr>
              <w:jc w:val="right"/>
              <w:outlineLvl w:val="0"/>
              <w:rPr>
                <w:noProof/>
                <w:sz w:val="20"/>
                <w:szCs w:val="20"/>
              </w:rPr>
            </w:pPr>
            <w:bookmarkStart w:id="1672" w:name="_Toc223981270"/>
            <w:r w:rsidRPr="00E16947">
              <w:rPr>
                <w:noProof/>
                <w:sz w:val="20"/>
                <w:szCs w:val="20"/>
              </w:rPr>
              <w:t>415.8</w:t>
            </w:r>
            <w:bookmarkEnd w:id="1672"/>
          </w:p>
        </w:tc>
        <w:tc>
          <w:tcPr>
            <w:tcW w:w="781" w:type="pct"/>
            <w:tcBorders>
              <w:top w:val="nil"/>
              <w:left w:val="nil"/>
              <w:bottom w:val="single" w:sz="4" w:space="0" w:color="auto"/>
              <w:right w:val="single" w:sz="4" w:space="0" w:color="auto"/>
            </w:tcBorders>
            <w:shd w:val="clear" w:color="000000" w:fill="FFFFFF"/>
            <w:noWrap/>
            <w:hideMark/>
          </w:tcPr>
          <w:p w14:paraId="103FF127" w14:textId="5CCC9219" w:rsidR="00E16947" w:rsidRPr="00E16947" w:rsidRDefault="00E16947" w:rsidP="00E16947">
            <w:pPr>
              <w:jc w:val="right"/>
              <w:outlineLvl w:val="0"/>
              <w:rPr>
                <w:noProof/>
                <w:sz w:val="20"/>
                <w:szCs w:val="20"/>
              </w:rPr>
            </w:pPr>
            <w:bookmarkStart w:id="1673" w:name="_Toc223981271"/>
            <w:r w:rsidRPr="00E16947">
              <w:rPr>
                <w:noProof/>
                <w:sz w:val="20"/>
                <w:szCs w:val="20"/>
              </w:rPr>
              <w:t>62.9</w:t>
            </w:r>
            <w:bookmarkEnd w:id="1673"/>
          </w:p>
        </w:tc>
        <w:tc>
          <w:tcPr>
            <w:tcW w:w="781" w:type="pct"/>
            <w:tcBorders>
              <w:top w:val="nil"/>
              <w:left w:val="nil"/>
              <w:bottom w:val="single" w:sz="4" w:space="0" w:color="auto"/>
              <w:right w:val="single" w:sz="4" w:space="0" w:color="auto"/>
            </w:tcBorders>
            <w:shd w:val="clear" w:color="000000" w:fill="FFFFFF"/>
            <w:noWrap/>
            <w:hideMark/>
          </w:tcPr>
          <w:p w14:paraId="00131820" w14:textId="2F0DB521" w:rsidR="00E16947" w:rsidRPr="00E16947" w:rsidRDefault="00E16947" w:rsidP="00E16947">
            <w:pPr>
              <w:jc w:val="right"/>
              <w:outlineLvl w:val="0"/>
              <w:rPr>
                <w:noProof/>
                <w:sz w:val="20"/>
                <w:szCs w:val="20"/>
              </w:rPr>
            </w:pPr>
            <w:bookmarkStart w:id="1674" w:name="_Toc223981272"/>
            <w:r w:rsidRPr="00E16947">
              <w:rPr>
                <w:noProof/>
                <w:sz w:val="20"/>
                <w:szCs w:val="20"/>
              </w:rPr>
              <w:t>105.8</w:t>
            </w:r>
            <w:bookmarkEnd w:id="1674"/>
          </w:p>
        </w:tc>
        <w:tc>
          <w:tcPr>
            <w:tcW w:w="781" w:type="pct"/>
            <w:tcBorders>
              <w:top w:val="nil"/>
              <w:left w:val="nil"/>
              <w:bottom w:val="single" w:sz="4" w:space="0" w:color="auto"/>
              <w:right w:val="single" w:sz="4" w:space="0" w:color="auto"/>
            </w:tcBorders>
            <w:shd w:val="clear" w:color="000000" w:fill="FFFFFF"/>
            <w:noWrap/>
            <w:hideMark/>
          </w:tcPr>
          <w:p w14:paraId="77912484" w14:textId="3BEA89FB" w:rsidR="00E16947" w:rsidRPr="00E16947" w:rsidRDefault="00E16947" w:rsidP="00E16947">
            <w:pPr>
              <w:jc w:val="right"/>
              <w:outlineLvl w:val="0"/>
              <w:rPr>
                <w:noProof/>
                <w:sz w:val="20"/>
                <w:szCs w:val="20"/>
              </w:rPr>
            </w:pPr>
            <w:bookmarkStart w:id="1675" w:name="_Toc223981273"/>
            <w:r w:rsidRPr="00E16947">
              <w:rPr>
                <w:noProof/>
                <w:sz w:val="20"/>
                <w:szCs w:val="20"/>
              </w:rPr>
              <w:t>72.6</w:t>
            </w:r>
            <w:bookmarkEnd w:id="1675"/>
          </w:p>
        </w:tc>
      </w:tr>
      <w:tr w:rsidR="00E16947" w:rsidRPr="00491C02" w14:paraId="022B4A79"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36B67B31" w14:textId="77777777" w:rsidR="00E16947" w:rsidRPr="00491C02" w:rsidRDefault="00E16947" w:rsidP="00E16947">
            <w:pPr>
              <w:outlineLvl w:val="0"/>
              <w:rPr>
                <w:noProof/>
                <w:sz w:val="20"/>
                <w:szCs w:val="20"/>
              </w:rPr>
            </w:pPr>
            <w:r w:rsidRPr="00491C02">
              <w:rPr>
                <w:noProof/>
                <w:sz w:val="20"/>
                <w:szCs w:val="20"/>
              </w:rPr>
              <w:t xml:space="preserve"> </w:t>
            </w:r>
            <w:bookmarkStart w:id="1676" w:name="_Toc223981274"/>
            <w:r w:rsidRPr="00491C02">
              <w:rPr>
                <w:noProof/>
                <w:sz w:val="20"/>
                <w:szCs w:val="20"/>
              </w:rPr>
              <w:t>Austria</w:t>
            </w:r>
            <w:bookmarkEnd w:id="167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11A0D507" w14:textId="2FBC379A" w:rsidR="00E16947" w:rsidRPr="00E16947" w:rsidRDefault="00E16947" w:rsidP="00E16947">
            <w:pPr>
              <w:jc w:val="right"/>
              <w:outlineLvl w:val="0"/>
              <w:rPr>
                <w:noProof/>
                <w:sz w:val="20"/>
                <w:szCs w:val="20"/>
              </w:rPr>
            </w:pPr>
            <w:bookmarkStart w:id="1677" w:name="_Toc223981275"/>
            <w:r w:rsidRPr="00E16947">
              <w:rPr>
                <w:noProof/>
                <w:sz w:val="20"/>
                <w:szCs w:val="20"/>
              </w:rPr>
              <w:t>311.8</w:t>
            </w:r>
            <w:bookmarkEnd w:id="1677"/>
          </w:p>
        </w:tc>
        <w:tc>
          <w:tcPr>
            <w:tcW w:w="781" w:type="pct"/>
            <w:tcBorders>
              <w:top w:val="nil"/>
              <w:left w:val="nil"/>
              <w:bottom w:val="single" w:sz="4" w:space="0" w:color="auto"/>
              <w:right w:val="single" w:sz="4" w:space="0" w:color="auto"/>
            </w:tcBorders>
            <w:shd w:val="clear" w:color="000000" w:fill="FFFFFF"/>
            <w:noWrap/>
            <w:hideMark/>
          </w:tcPr>
          <w:p w14:paraId="6219394B" w14:textId="62ADEB7B" w:rsidR="00E16947" w:rsidRPr="00E16947" w:rsidRDefault="00E16947" w:rsidP="00E16947">
            <w:pPr>
              <w:jc w:val="right"/>
              <w:outlineLvl w:val="0"/>
              <w:rPr>
                <w:noProof/>
                <w:sz w:val="20"/>
                <w:szCs w:val="20"/>
              </w:rPr>
            </w:pPr>
            <w:bookmarkStart w:id="1678" w:name="_Toc223981276"/>
            <w:r w:rsidRPr="00E16947">
              <w:rPr>
                <w:noProof/>
                <w:sz w:val="20"/>
                <w:szCs w:val="20"/>
              </w:rPr>
              <w:t>47.2</w:t>
            </w:r>
            <w:bookmarkEnd w:id="1678"/>
          </w:p>
        </w:tc>
        <w:tc>
          <w:tcPr>
            <w:tcW w:w="781" w:type="pct"/>
            <w:tcBorders>
              <w:top w:val="nil"/>
              <w:left w:val="nil"/>
              <w:bottom w:val="single" w:sz="4" w:space="0" w:color="auto"/>
              <w:right w:val="single" w:sz="4" w:space="0" w:color="auto"/>
            </w:tcBorders>
            <w:shd w:val="clear" w:color="000000" w:fill="FFFFFF"/>
            <w:noWrap/>
            <w:hideMark/>
          </w:tcPr>
          <w:p w14:paraId="7CB7E495" w14:textId="452FB409" w:rsidR="00E16947" w:rsidRPr="00E16947" w:rsidRDefault="00E16947" w:rsidP="00E16947">
            <w:pPr>
              <w:jc w:val="right"/>
              <w:outlineLvl w:val="0"/>
              <w:rPr>
                <w:noProof/>
                <w:sz w:val="20"/>
                <w:szCs w:val="20"/>
              </w:rPr>
            </w:pPr>
            <w:bookmarkStart w:id="1679" w:name="_Toc223981277"/>
            <w:r w:rsidRPr="00E16947">
              <w:rPr>
                <w:noProof/>
                <w:sz w:val="20"/>
                <w:szCs w:val="20"/>
              </w:rPr>
              <w:t>79.3</w:t>
            </w:r>
            <w:bookmarkEnd w:id="1679"/>
          </w:p>
        </w:tc>
        <w:tc>
          <w:tcPr>
            <w:tcW w:w="781" w:type="pct"/>
            <w:tcBorders>
              <w:top w:val="nil"/>
              <w:left w:val="nil"/>
              <w:bottom w:val="single" w:sz="4" w:space="0" w:color="auto"/>
              <w:right w:val="single" w:sz="4" w:space="0" w:color="auto"/>
            </w:tcBorders>
            <w:shd w:val="clear" w:color="000000" w:fill="FFFFFF"/>
            <w:noWrap/>
            <w:hideMark/>
          </w:tcPr>
          <w:p w14:paraId="35C92F60" w14:textId="521A9BC1" w:rsidR="00E16947" w:rsidRPr="00E16947" w:rsidRDefault="00E16947" w:rsidP="00E16947">
            <w:pPr>
              <w:jc w:val="right"/>
              <w:outlineLvl w:val="0"/>
              <w:rPr>
                <w:noProof/>
                <w:sz w:val="20"/>
                <w:szCs w:val="20"/>
              </w:rPr>
            </w:pPr>
            <w:bookmarkStart w:id="1680" w:name="_Toc223981278"/>
            <w:r w:rsidRPr="00E16947">
              <w:rPr>
                <w:noProof/>
                <w:sz w:val="20"/>
                <w:szCs w:val="20"/>
              </w:rPr>
              <w:t>54.4</w:t>
            </w:r>
            <w:bookmarkEnd w:id="1680"/>
          </w:p>
        </w:tc>
      </w:tr>
      <w:tr w:rsidR="00E16947" w:rsidRPr="00491C02" w14:paraId="1DBD248F"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1D4BA34" w14:textId="77777777" w:rsidR="00E16947" w:rsidRPr="00491C02" w:rsidRDefault="00E16947" w:rsidP="00E16947">
            <w:pPr>
              <w:outlineLvl w:val="0"/>
              <w:rPr>
                <w:noProof/>
                <w:sz w:val="20"/>
                <w:szCs w:val="20"/>
              </w:rPr>
            </w:pPr>
            <w:r w:rsidRPr="00491C02">
              <w:rPr>
                <w:noProof/>
                <w:sz w:val="20"/>
                <w:szCs w:val="20"/>
              </w:rPr>
              <w:t xml:space="preserve"> </w:t>
            </w:r>
            <w:bookmarkStart w:id="1681" w:name="_Toc223981279"/>
            <w:r w:rsidRPr="00491C02">
              <w:rPr>
                <w:noProof/>
                <w:sz w:val="20"/>
                <w:szCs w:val="20"/>
              </w:rPr>
              <w:t>Denmark</w:t>
            </w:r>
            <w:bookmarkEnd w:id="168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68F84A36" w14:textId="61D616D3" w:rsidR="00E16947" w:rsidRPr="00E16947" w:rsidRDefault="00E16947" w:rsidP="00E16947">
            <w:pPr>
              <w:jc w:val="right"/>
              <w:outlineLvl w:val="0"/>
              <w:rPr>
                <w:noProof/>
                <w:sz w:val="20"/>
                <w:szCs w:val="20"/>
              </w:rPr>
            </w:pPr>
            <w:bookmarkStart w:id="1682" w:name="_Toc223981280"/>
            <w:r w:rsidRPr="00E16947">
              <w:rPr>
                <w:noProof/>
                <w:sz w:val="20"/>
                <w:szCs w:val="20"/>
              </w:rPr>
              <w:t>207.9</w:t>
            </w:r>
            <w:bookmarkEnd w:id="1682"/>
          </w:p>
        </w:tc>
        <w:tc>
          <w:tcPr>
            <w:tcW w:w="781" w:type="pct"/>
            <w:tcBorders>
              <w:top w:val="nil"/>
              <w:left w:val="nil"/>
              <w:bottom w:val="single" w:sz="4" w:space="0" w:color="auto"/>
              <w:right w:val="single" w:sz="4" w:space="0" w:color="auto"/>
            </w:tcBorders>
            <w:shd w:val="clear" w:color="000000" w:fill="FFFFFF"/>
            <w:noWrap/>
            <w:hideMark/>
          </w:tcPr>
          <w:p w14:paraId="1843EAFD" w14:textId="6D368314" w:rsidR="00E16947" w:rsidRPr="00E16947" w:rsidRDefault="00E16947" w:rsidP="00E16947">
            <w:pPr>
              <w:jc w:val="right"/>
              <w:outlineLvl w:val="0"/>
              <w:rPr>
                <w:noProof/>
                <w:sz w:val="20"/>
                <w:szCs w:val="20"/>
              </w:rPr>
            </w:pPr>
            <w:bookmarkStart w:id="1683" w:name="_Toc223981281"/>
            <w:r w:rsidRPr="00E16947">
              <w:rPr>
                <w:noProof/>
                <w:sz w:val="20"/>
                <w:szCs w:val="20"/>
              </w:rPr>
              <w:t>31.5</w:t>
            </w:r>
            <w:bookmarkEnd w:id="1683"/>
          </w:p>
        </w:tc>
        <w:tc>
          <w:tcPr>
            <w:tcW w:w="781" w:type="pct"/>
            <w:tcBorders>
              <w:top w:val="nil"/>
              <w:left w:val="nil"/>
              <w:bottom w:val="single" w:sz="4" w:space="0" w:color="auto"/>
              <w:right w:val="single" w:sz="4" w:space="0" w:color="auto"/>
            </w:tcBorders>
            <w:shd w:val="clear" w:color="000000" w:fill="FFFFFF"/>
            <w:noWrap/>
            <w:hideMark/>
          </w:tcPr>
          <w:p w14:paraId="009A9892" w14:textId="5F4F7BB8" w:rsidR="00E16947" w:rsidRPr="00E16947" w:rsidRDefault="00E16947" w:rsidP="00E16947">
            <w:pPr>
              <w:jc w:val="right"/>
              <w:outlineLvl w:val="0"/>
              <w:rPr>
                <w:noProof/>
                <w:sz w:val="20"/>
                <w:szCs w:val="20"/>
              </w:rPr>
            </w:pPr>
            <w:bookmarkStart w:id="1684" w:name="_Toc223981282"/>
            <w:r w:rsidRPr="00E16947">
              <w:rPr>
                <w:noProof/>
                <w:sz w:val="20"/>
                <w:szCs w:val="20"/>
              </w:rPr>
              <w:t>52.9</w:t>
            </w:r>
            <w:bookmarkEnd w:id="1684"/>
          </w:p>
        </w:tc>
        <w:tc>
          <w:tcPr>
            <w:tcW w:w="781" w:type="pct"/>
            <w:tcBorders>
              <w:top w:val="nil"/>
              <w:left w:val="nil"/>
              <w:bottom w:val="single" w:sz="4" w:space="0" w:color="auto"/>
              <w:right w:val="single" w:sz="4" w:space="0" w:color="auto"/>
            </w:tcBorders>
            <w:shd w:val="clear" w:color="000000" w:fill="FFFFFF"/>
            <w:noWrap/>
            <w:hideMark/>
          </w:tcPr>
          <w:p w14:paraId="45DBD668" w14:textId="074A1997" w:rsidR="00E16947" w:rsidRPr="00E16947" w:rsidRDefault="00E16947" w:rsidP="00E16947">
            <w:pPr>
              <w:jc w:val="right"/>
              <w:outlineLvl w:val="0"/>
              <w:rPr>
                <w:noProof/>
                <w:sz w:val="20"/>
                <w:szCs w:val="20"/>
              </w:rPr>
            </w:pPr>
            <w:bookmarkStart w:id="1685" w:name="_Toc223981283"/>
            <w:r w:rsidRPr="00E16947">
              <w:rPr>
                <w:noProof/>
                <w:sz w:val="20"/>
                <w:szCs w:val="20"/>
              </w:rPr>
              <w:t>36.3</w:t>
            </w:r>
            <w:bookmarkEnd w:id="1685"/>
          </w:p>
        </w:tc>
      </w:tr>
      <w:tr w:rsidR="00E16947" w:rsidRPr="00491C02" w14:paraId="4B9426F9"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7C30398B" w14:textId="77777777" w:rsidR="00E16947" w:rsidRPr="00491C02" w:rsidRDefault="00E16947" w:rsidP="00E16947">
            <w:pPr>
              <w:outlineLvl w:val="0"/>
              <w:rPr>
                <w:noProof/>
                <w:sz w:val="20"/>
                <w:szCs w:val="20"/>
              </w:rPr>
            </w:pPr>
            <w:r w:rsidRPr="00491C02">
              <w:rPr>
                <w:noProof/>
                <w:sz w:val="20"/>
                <w:szCs w:val="20"/>
              </w:rPr>
              <w:t xml:space="preserve"> </w:t>
            </w:r>
            <w:bookmarkStart w:id="1686" w:name="_Toc223981284"/>
            <w:r w:rsidRPr="00491C02">
              <w:rPr>
                <w:noProof/>
                <w:sz w:val="20"/>
                <w:szCs w:val="20"/>
              </w:rPr>
              <w:t>Luxembourg</w:t>
            </w:r>
            <w:bookmarkEnd w:id="168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611C8128" w14:textId="40C45DDE" w:rsidR="00E16947" w:rsidRPr="00E16947" w:rsidRDefault="00E16947" w:rsidP="00E16947">
            <w:pPr>
              <w:jc w:val="right"/>
              <w:outlineLvl w:val="0"/>
              <w:rPr>
                <w:noProof/>
                <w:sz w:val="20"/>
                <w:szCs w:val="20"/>
              </w:rPr>
            </w:pPr>
            <w:bookmarkStart w:id="1687" w:name="_Toc223981285"/>
            <w:r w:rsidRPr="00E16947">
              <w:rPr>
                <w:noProof/>
                <w:sz w:val="20"/>
                <w:szCs w:val="20"/>
              </w:rPr>
              <w:t>138.6</w:t>
            </w:r>
            <w:bookmarkEnd w:id="1687"/>
          </w:p>
        </w:tc>
        <w:tc>
          <w:tcPr>
            <w:tcW w:w="781" w:type="pct"/>
            <w:tcBorders>
              <w:top w:val="nil"/>
              <w:left w:val="nil"/>
              <w:bottom w:val="single" w:sz="4" w:space="0" w:color="auto"/>
              <w:right w:val="single" w:sz="4" w:space="0" w:color="auto"/>
            </w:tcBorders>
            <w:shd w:val="clear" w:color="000000" w:fill="FFFFFF"/>
            <w:noWrap/>
            <w:hideMark/>
          </w:tcPr>
          <w:p w14:paraId="1D93B885" w14:textId="4851E756" w:rsidR="00E16947" w:rsidRPr="00E16947" w:rsidRDefault="00E16947" w:rsidP="00E16947">
            <w:pPr>
              <w:jc w:val="right"/>
              <w:outlineLvl w:val="0"/>
              <w:rPr>
                <w:noProof/>
                <w:sz w:val="20"/>
                <w:szCs w:val="20"/>
              </w:rPr>
            </w:pPr>
            <w:bookmarkStart w:id="1688" w:name="_Toc223981286"/>
            <w:r w:rsidRPr="00E16947">
              <w:rPr>
                <w:noProof/>
                <w:sz w:val="20"/>
                <w:szCs w:val="20"/>
              </w:rPr>
              <w:t>21.0</w:t>
            </w:r>
            <w:bookmarkEnd w:id="1688"/>
          </w:p>
        </w:tc>
        <w:tc>
          <w:tcPr>
            <w:tcW w:w="781" w:type="pct"/>
            <w:tcBorders>
              <w:top w:val="nil"/>
              <w:left w:val="nil"/>
              <w:bottom w:val="single" w:sz="4" w:space="0" w:color="auto"/>
              <w:right w:val="single" w:sz="4" w:space="0" w:color="auto"/>
            </w:tcBorders>
            <w:shd w:val="clear" w:color="000000" w:fill="FFFFFF"/>
            <w:noWrap/>
            <w:hideMark/>
          </w:tcPr>
          <w:p w14:paraId="471A89C0" w14:textId="0924B858" w:rsidR="00E16947" w:rsidRPr="00E16947" w:rsidRDefault="00E16947" w:rsidP="00E16947">
            <w:pPr>
              <w:jc w:val="right"/>
              <w:outlineLvl w:val="0"/>
              <w:rPr>
                <w:noProof/>
                <w:sz w:val="20"/>
                <w:szCs w:val="20"/>
              </w:rPr>
            </w:pPr>
            <w:bookmarkStart w:id="1689" w:name="_Toc223981287"/>
            <w:r w:rsidRPr="00E16947">
              <w:rPr>
                <w:noProof/>
                <w:sz w:val="20"/>
                <w:szCs w:val="20"/>
              </w:rPr>
              <w:t>35.3</w:t>
            </w:r>
            <w:bookmarkEnd w:id="1689"/>
          </w:p>
        </w:tc>
        <w:tc>
          <w:tcPr>
            <w:tcW w:w="781" w:type="pct"/>
            <w:tcBorders>
              <w:top w:val="nil"/>
              <w:left w:val="nil"/>
              <w:bottom w:val="single" w:sz="4" w:space="0" w:color="auto"/>
              <w:right w:val="single" w:sz="4" w:space="0" w:color="auto"/>
            </w:tcBorders>
            <w:shd w:val="clear" w:color="000000" w:fill="FFFFFF"/>
            <w:noWrap/>
            <w:hideMark/>
          </w:tcPr>
          <w:p w14:paraId="602376DF" w14:textId="60C0C33C" w:rsidR="00E16947" w:rsidRPr="00E16947" w:rsidRDefault="00E16947" w:rsidP="00E16947">
            <w:pPr>
              <w:jc w:val="right"/>
              <w:outlineLvl w:val="0"/>
              <w:rPr>
                <w:noProof/>
                <w:sz w:val="20"/>
                <w:szCs w:val="20"/>
              </w:rPr>
            </w:pPr>
            <w:bookmarkStart w:id="1690" w:name="_Toc223981288"/>
            <w:r w:rsidRPr="00E16947">
              <w:rPr>
                <w:noProof/>
                <w:sz w:val="20"/>
                <w:szCs w:val="20"/>
              </w:rPr>
              <w:t>24.2</w:t>
            </w:r>
            <w:bookmarkEnd w:id="1690"/>
          </w:p>
        </w:tc>
      </w:tr>
      <w:tr w:rsidR="00E16947" w:rsidRPr="00491C02" w14:paraId="1C9941EC"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0DA7EFC2" w14:textId="77777777" w:rsidR="00E16947" w:rsidRPr="00491C02" w:rsidRDefault="00E16947" w:rsidP="00E16947">
            <w:pPr>
              <w:outlineLvl w:val="0"/>
              <w:rPr>
                <w:noProof/>
                <w:sz w:val="20"/>
                <w:szCs w:val="20"/>
              </w:rPr>
            </w:pPr>
            <w:r w:rsidRPr="00491C02">
              <w:rPr>
                <w:noProof/>
                <w:sz w:val="20"/>
                <w:szCs w:val="20"/>
              </w:rPr>
              <w:t xml:space="preserve"> </w:t>
            </w:r>
            <w:bookmarkStart w:id="1691" w:name="_Toc223981289"/>
            <w:r w:rsidRPr="00491C02">
              <w:rPr>
                <w:noProof/>
                <w:sz w:val="20"/>
                <w:szCs w:val="20"/>
              </w:rPr>
              <w:t>Finland</w:t>
            </w:r>
            <w:bookmarkEnd w:id="169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7EA59C05" w14:textId="5E0EC8A2" w:rsidR="00E16947" w:rsidRPr="00E16947" w:rsidRDefault="00E16947" w:rsidP="00E16947">
            <w:pPr>
              <w:jc w:val="right"/>
              <w:outlineLvl w:val="0"/>
              <w:rPr>
                <w:noProof/>
                <w:sz w:val="20"/>
                <w:szCs w:val="20"/>
              </w:rPr>
            </w:pPr>
            <w:bookmarkStart w:id="1692" w:name="_Toc223981290"/>
            <w:r w:rsidRPr="00E16947">
              <w:rPr>
                <w:noProof/>
                <w:sz w:val="20"/>
                <w:szCs w:val="20"/>
              </w:rPr>
              <w:t>173.2</w:t>
            </w:r>
            <w:bookmarkEnd w:id="1692"/>
          </w:p>
        </w:tc>
        <w:tc>
          <w:tcPr>
            <w:tcW w:w="781" w:type="pct"/>
            <w:tcBorders>
              <w:top w:val="nil"/>
              <w:left w:val="nil"/>
              <w:bottom w:val="single" w:sz="4" w:space="0" w:color="auto"/>
              <w:right w:val="single" w:sz="4" w:space="0" w:color="auto"/>
            </w:tcBorders>
            <w:shd w:val="clear" w:color="000000" w:fill="FFFFFF"/>
            <w:noWrap/>
            <w:hideMark/>
          </w:tcPr>
          <w:p w14:paraId="325F7503" w14:textId="7833E802" w:rsidR="00E16947" w:rsidRPr="00E16947" w:rsidRDefault="00E16947" w:rsidP="00E16947">
            <w:pPr>
              <w:jc w:val="right"/>
              <w:outlineLvl w:val="0"/>
              <w:rPr>
                <w:noProof/>
                <w:sz w:val="20"/>
                <w:szCs w:val="20"/>
              </w:rPr>
            </w:pPr>
            <w:bookmarkStart w:id="1693" w:name="_Toc223981291"/>
            <w:r w:rsidRPr="00E16947">
              <w:rPr>
                <w:noProof/>
                <w:sz w:val="20"/>
                <w:szCs w:val="20"/>
              </w:rPr>
              <w:t>26.2</w:t>
            </w:r>
            <w:bookmarkEnd w:id="1693"/>
          </w:p>
        </w:tc>
        <w:tc>
          <w:tcPr>
            <w:tcW w:w="781" w:type="pct"/>
            <w:tcBorders>
              <w:top w:val="nil"/>
              <w:left w:val="nil"/>
              <w:bottom w:val="single" w:sz="4" w:space="0" w:color="auto"/>
              <w:right w:val="single" w:sz="4" w:space="0" w:color="auto"/>
            </w:tcBorders>
            <w:shd w:val="clear" w:color="000000" w:fill="FFFFFF"/>
            <w:noWrap/>
            <w:hideMark/>
          </w:tcPr>
          <w:p w14:paraId="1318BE0C" w14:textId="7A5889E9" w:rsidR="00E16947" w:rsidRPr="00E16947" w:rsidRDefault="00E16947" w:rsidP="00E16947">
            <w:pPr>
              <w:jc w:val="right"/>
              <w:outlineLvl w:val="0"/>
              <w:rPr>
                <w:noProof/>
                <w:sz w:val="20"/>
                <w:szCs w:val="20"/>
              </w:rPr>
            </w:pPr>
            <w:bookmarkStart w:id="1694" w:name="_Toc223981292"/>
            <w:r w:rsidRPr="00E16947">
              <w:rPr>
                <w:noProof/>
                <w:sz w:val="20"/>
                <w:szCs w:val="20"/>
              </w:rPr>
              <w:t>44.1</w:t>
            </w:r>
            <w:bookmarkEnd w:id="1694"/>
          </w:p>
        </w:tc>
        <w:tc>
          <w:tcPr>
            <w:tcW w:w="781" w:type="pct"/>
            <w:tcBorders>
              <w:top w:val="nil"/>
              <w:left w:val="nil"/>
              <w:bottom w:val="single" w:sz="4" w:space="0" w:color="auto"/>
              <w:right w:val="single" w:sz="4" w:space="0" w:color="auto"/>
            </w:tcBorders>
            <w:shd w:val="clear" w:color="000000" w:fill="FFFFFF"/>
            <w:noWrap/>
            <w:hideMark/>
          </w:tcPr>
          <w:p w14:paraId="373F908D" w14:textId="31AFB325" w:rsidR="00E16947" w:rsidRPr="00E16947" w:rsidRDefault="00E16947" w:rsidP="00E16947">
            <w:pPr>
              <w:jc w:val="right"/>
              <w:outlineLvl w:val="0"/>
              <w:rPr>
                <w:noProof/>
                <w:sz w:val="20"/>
                <w:szCs w:val="20"/>
              </w:rPr>
            </w:pPr>
            <w:bookmarkStart w:id="1695" w:name="_Toc223981293"/>
            <w:r w:rsidRPr="00E16947">
              <w:rPr>
                <w:noProof/>
                <w:sz w:val="20"/>
                <w:szCs w:val="20"/>
              </w:rPr>
              <w:t>30.2</w:t>
            </w:r>
            <w:bookmarkEnd w:id="1695"/>
          </w:p>
        </w:tc>
      </w:tr>
      <w:tr w:rsidR="00E16947" w:rsidRPr="00491C02" w14:paraId="1B34C9F8"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3E82C643" w14:textId="77777777" w:rsidR="00E16947" w:rsidRPr="00491C02" w:rsidRDefault="00E16947" w:rsidP="00E16947">
            <w:pPr>
              <w:outlineLvl w:val="0"/>
              <w:rPr>
                <w:noProof/>
                <w:sz w:val="20"/>
                <w:szCs w:val="20"/>
              </w:rPr>
            </w:pPr>
            <w:r w:rsidRPr="00491C02">
              <w:rPr>
                <w:noProof/>
                <w:sz w:val="20"/>
                <w:szCs w:val="20"/>
              </w:rPr>
              <w:t xml:space="preserve"> </w:t>
            </w:r>
            <w:bookmarkStart w:id="1696" w:name="_Toc223981294"/>
            <w:r w:rsidRPr="00491C02">
              <w:rPr>
                <w:noProof/>
                <w:sz w:val="20"/>
                <w:szCs w:val="20"/>
              </w:rPr>
              <w:t>Spain</w:t>
            </w:r>
            <w:bookmarkEnd w:id="169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39FCD5C7" w14:textId="3C7863E4" w:rsidR="00E16947" w:rsidRPr="00E16947" w:rsidRDefault="00E16947" w:rsidP="00E16947">
            <w:pPr>
              <w:jc w:val="right"/>
              <w:outlineLvl w:val="0"/>
              <w:rPr>
                <w:noProof/>
                <w:sz w:val="20"/>
                <w:szCs w:val="20"/>
              </w:rPr>
            </w:pPr>
            <w:bookmarkStart w:id="1697" w:name="_Toc223981295"/>
            <w:r w:rsidRPr="00E16947">
              <w:rPr>
                <w:noProof/>
                <w:sz w:val="20"/>
                <w:szCs w:val="20"/>
              </w:rPr>
              <w:t>138.6</w:t>
            </w:r>
            <w:bookmarkEnd w:id="1697"/>
          </w:p>
        </w:tc>
        <w:tc>
          <w:tcPr>
            <w:tcW w:w="781" w:type="pct"/>
            <w:tcBorders>
              <w:top w:val="nil"/>
              <w:left w:val="nil"/>
              <w:bottom w:val="single" w:sz="4" w:space="0" w:color="auto"/>
              <w:right w:val="single" w:sz="4" w:space="0" w:color="auto"/>
            </w:tcBorders>
            <w:shd w:val="clear" w:color="000000" w:fill="FFFFFF"/>
            <w:noWrap/>
            <w:hideMark/>
          </w:tcPr>
          <w:p w14:paraId="33A1FA2D" w14:textId="719CE64F" w:rsidR="00E16947" w:rsidRPr="00E16947" w:rsidRDefault="00E16947" w:rsidP="00E16947">
            <w:pPr>
              <w:jc w:val="right"/>
              <w:outlineLvl w:val="0"/>
              <w:rPr>
                <w:noProof/>
                <w:sz w:val="20"/>
                <w:szCs w:val="20"/>
              </w:rPr>
            </w:pPr>
            <w:bookmarkStart w:id="1698" w:name="_Toc223981296"/>
            <w:r w:rsidRPr="00E16947">
              <w:rPr>
                <w:noProof/>
                <w:sz w:val="20"/>
                <w:szCs w:val="20"/>
              </w:rPr>
              <w:t>21.0</w:t>
            </w:r>
            <w:bookmarkEnd w:id="1698"/>
          </w:p>
        </w:tc>
        <w:tc>
          <w:tcPr>
            <w:tcW w:w="781" w:type="pct"/>
            <w:tcBorders>
              <w:top w:val="nil"/>
              <w:left w:val="nil"/>
              <w:bottom w:val="single" w:sz="4" w:space="0" w:color="auto"/>
              <w:right w:val="single" w:sz="4" w:space="0" w:color="auto"/>
            </w:tcBorders>
            <w:shd w:val="clear" w:color="000000" w:fill="FFFFFF"/>
            <w:noWrap/>
            <w:hideMark/>
          </w:tcPr>
          <w:p w14:paraId="680763BE" w14:textId="2B3C65A7" w:rsidR="00E16947" w:rsidRPr="00E16947" w:rsidRDefault="00E16947" w:rsidP="00E16947">
            <w:pPr>
              <w:jc w:val="right"/>
              <w:outlineLvl w:val="0"/>
              <w:rPr>
                <w:noProof/>
                <w:sz w:val="20"/>
                <w:szCs w:val="20"/>
              </w:rPr>
            </w:pPr>
            <w:bookmarkStart w:id="1699" w:name="_Toc223981297"/>
            <w:r w:rsidRPr="00E16947">
              <w:rPr>
                <w:noProof/>
                <w:sz w:val="20"/>
                <w:szCs w:val="20"/>
              </w:rPr>
              <w:t>35.3</w:t>
            </w:r>
            <w:bookmarkEnd w:id="1699"/>
          </w:p>
        </w:tc>
        <w:tc>
          <w:tcPr>
            <w:tcW w:w="781" w:type="pct"/>
            <w:tcBorders>
              <w:top w:val="nil"/>
              <w:left w:val="nil"/>
              <w:bottom w:val="single" w:sz="4" w:space="0" w:color="auto"/>
              <w:right w:val="single" w:sz="4" w:space="0" w:color="auto"/>
            </w:tcBorders>
            <w:shd w:val="clear" w:color="000000" w:fill="FFFFFF"/>
            <w:noWrap/>
            <w:hideMark/>
          </w:tcPr>
          <w:p w14:paraId="7E8A503A" w14:textId="4714825F" w:rsidR="00E16947" w:rsidRPr="00E16947" w:rsidRDefault="00E16947" w:rsidP="00E16947">
            <w:pPr>
              <w:jc w:val="right"/>
              <w:outlineLvl w:val="0"/>
              <w:rPr>
                <w:noProof/>
                <w:sz w:val="20"/>
                <w:szCs w:val="20"/>
              </w:rPr>
            </w:pPr>
            <w:bookmarkStart w:id="1700" w:name="_Toc223981298"/>
            <w:r w:rsidRPr="00E16947">
              <w:rPr>
                <w:noProof/>
                <w:sz w:val="20"/>
                <w:szCs w:val="20"/>
              </w:rPr>
              <w:t>24.2</w:t>
            </w:r>
            <w:bookmarkEnd w:id="1700"/>
          </w:p>
        </w:tc>
      </w:tr>
      <w:tr w:rsidR="00E16947" w:rsidRPr="00491C02" w14:paraId="702E1CFA"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334DD2C" w14:textId="77777777" w:rsidR="00E16947" w:rsidRPr="00491C02" w:rsidRDefault="00E16947" w:rsidP="00E16947">
            <w:pPr>
              <w:outlineLvl w:val="0"/>
              <w:rPr>
                <w:noProof/>
                <w:sz w:val="20"/>
                <w:szCs w:val="20"/>
              </w:rPr>
            </w:pPr>
            <w:r w:rsidRPr="00491C02">
              <w:rPr>
                <w:noProof/>
                <w:sz w:val="20"/>
                <w:szCs w:val="20"/>
              </w:rPr>
              <w:t xml:space="preserve"> </w:t>
            </w:r>
            <w:bookmarkStart w:id="1701" w:name="_Toc223981299"/>
            <w:r w:rsidRPr="00491C02">
              <w:rPr>
                <w:noProof/>
                <w:sz w:val="20"/>
                <w:szCs w:val="20"/>
              </w:rPr>
              <w:t>Netherlands</w:t>
            </w:r>
            <w:bookmarkEnd w:id="170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2E15D606" w14:textId="78DA5405" w:rsidR="00E16947" w:rsidRPr="00E16947" w:rsidRDefault="00E16947" w:rsidP="00E16947">
            <w:pPr>
              <w:jc w:val="right"/>
              <w:outlineLvl w:val="0"/>
              <w:rPr>
                <w:noProof/>
                <w:sz w:val="20"/>
                <w:szCs w:val="20"/>
              </w:rPr>
            </w:pPr>
            <w:bookmarkStart w:id="1702" w:name="_Toc223981300"/>
            <w:r w:rsidRPr="00E16947">
              <w:rPr>
                <w:noProof/>
                <w:sz w:val="20"/>
                <w:szCs w:val="20"/>
              </w:rPr>
              <w:t>346.5</w:t>
            </w:r>
            <w:bookmarkEnd w:id="1702"/>
          </w:p>
        </w:tc>
        <w:tc>
          <w:tcPr>
            <w:tcW w:w="781" w:type="pct"/>
            <w:tcBorders>
              <w:top w:val="nil"/>
              <w:left w:val="nil"/>
              <w:bottom w:val="single" w:sz="4" w:space="0" w:color="auto"/>
              <w:right w:val="single" w:sz="4" w:space="0" w:color="auto"/>
            </w:tcBorders>
            <w:shd w:val="clear" w:color="000000" w:fill="FFFFFF"/>
            <w:noWrap/>
            <w:hideMark/>
          </w:tcPr>
          <w:p w14:paraId="16C07362" w14:textId="6AD63807" w:rsidR="00E16947" w:rsidRPr="00E16947" w:rsidRDefault="00E16947" w:rsidP="00E16947">
            <w:pPr>
              <w:jc w:val="right"/>
              <w:outlineLvl w:val="0"/>
              <w:rPr>
                <w:noProof/>
                <w:sz w:val="20"/>
                <w:szCs w:val="20"/>
              </w:rPr>
            </w:pPr>
            <w:bookmarkStart w:id="1703" w:name="_Toc223981301"/>
            <w:r w:rsidRPr="00E16947">
              <w:rPr>
                <w:noProof/>
                <w:sz w:val="20"/>
                <w:szCs w:val="20"/>
              </w:rPr>
              <w:t>52.4</w:t>
            </w:r>
            <w:bookmarkEnd w:id="1703"/>
          </w:p>
        </w:tc>
        <w:tc>
          <w:tcPr>
            <w:tcW w:w="781" w:type="pct"/>
            <w:tcBorders>
              <w:top w:val="nil"/>
              <w:left w:val="nil"/>
              <w:bottom w:val="single" w:sz="4" w:space="0" w:color="auto"/>
              <w:right w:val="single" w:sz="4" w:space="0" w:color="auto"/>
            </w:tcBorders>
            <w:shd w:val="clear" w:color="000000" w:fill="FFFFFF"/>
            <w:noWrap/>
            <w:hideMark/>
          </w:tcPr>
          <w:p w14:paraId="701729DA" w14:textId="37305A42" w:rsidR="00E16947" w:rsidRPr="00E16947" w:rsidRDefault="00E16947" w:rsidP="00E16947">
            <w:pPr>
              <w:jc w:val="right"/>
              <w:outlineLvl w:val="0"/>
              <w:rPr>
                <w:noProof/>
                <w:sz w:val="20"/>
                <w:szCs w:val="20"/>
              </w:rPr>
            </w:pPr>
            <w:bookmarkStart w:id="1704" w:name="_Toc223981302"/>
            <w:r w:rsidRPr="00E16947">
              <w:rPr>
                <w:noProof/>
                <w:sz w:val="20"/>
                <w:szCs w:val="20"/>
              </w:rPr>
              <w:t>88.1</w:t>
            </w:r>
            <w:bookmarkEnd w:id="1704"/>
          </w:p>
        </w:tc>
        <w:tc>
          <w:tcPr>
            <w:tcW w:w="781" w:type="pct"/>
            <w:tcBorders>
              <w:top w:val="nil"/>
              <w:left w:val="nil"/>
              <w:bottom w:val="single" w:sz="4" w:space="0" w:color="auto"/>
              <w:right w:val="single" w:sz="4" w:space="0" w:color="auto"/>
            </w:tcBorders>
            <w:shd w:val="clear" w:color="000000" w:fill="FFFFFF"/>
            <w:noWrap/>
            <w:hideMark/>
          </w:tcPr>
          <w:p w14:paraId="43AD7353" w14:textId="5503573D" w:rsidR="00E16947" w:rsidRPr="00E16947" w:rsidRDefault="00E16947" w:rsidP="00E16947">
            <w:pPr>
              <w:jc w:val="right"/>
              <w:outlineLvl w:val="0"/>
              <w:rPr>
                <w:noProof/>
                <w:sz w:val="20"/>
                <w:szCs w:val="20"/>
              </w:rPr>
            </w:pPr>
            <w:bookmarkStart w:id="1705" w:name="_Toc223981303"/>
            <w:r w:rsidRPr="00E16947">
              <w:rPr>
                <w:noProof/>
                <w:sz w:val="20"/>
                <w:szCs w:val="20"/>
              </w:rPr>
              <w:t>60.5</w:t>
            </w:r>
            <w:bookmarkEnd w:id="1705"/>
          </w:p>
        </w:tc>
      </w:tr>
      <w:tr w:rsidR="00E16947" w:rsidRPr="00491C02" w14:paraId="20E08C28"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341A9D41" w14:textId="77777777" w:rsidR="00E16947" w:rsidRPr="00491C02" w:rsidRDefault="00E16947" w:rsidP="00E16947">
            <w:pPr>
              <w:outlineLvl w:val="0"/>
              <w:rPr>
                <w:noProof/>
                <w:sz w:val="20"/>
                <w:szCs w:val="20"/>
              </w:rPr>
            </w:pPr>
            <w:r w:rsidRPr="00491C02">
              <w:rPr>
                <w:noProof/>
                <w:sz w:val="20"/>
                <w:szCs w:val="20"/>
              </w:rPr>
              <w:t xml:space="preserve"> </w:t>
            </w:r>
            <w:bookmarkStart w:id="1706" w:name="_Toc223981304"/>
            <w:r w:rsidRPr="00491C02">
              <w:rPr>
                <w:noProof/>
                <w:sz w:val="20"/>
                <w:szCs w:val="20"/>
              </w:rPr>
              <w:t>France</w:t>
            </w:r>
            <w:bookmarkEnd w:id="170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7C0F98F5" w14:textId="7C36A103" w:rsidR="00E16947" w:rsidRPr="00E16947" w:rsidRDefault="00E16947" w:rsidP="00E16947">
            <w:pPr>
              <w:jc w:val="right"/>
              <w:outlineLvl w:val="0"/>
              <w:rPr>
                <w:noProof/>
                <w:sz w:val="20"/>
                <w:szCs w:val="20"/>
              </w:rPr>
            </w:pPr>
            <w:bookmarkStart w:id="1707" w:name="_Toc223981305"/>
            <w:r w:rsidRPr="00E16947">
              <w:rPr>
                <w:noProof/>
                <w:sz w:val="20"/>
                <w:szCs w:val="20"/>
              </w:rPr>
              <w:t>450.4</w:t>
            </w:r>
            <w:bookmarkEnd w:id="1707"/>
          </w:p>
        </w:tc>
        <w:tc>
          <w:tcPr>
            <w:tcW w:w="781" w:type="pct"/>
            <w:tcBorders>
              <w:top w:val="nil"/>
              <w:left w:val="nil"/>
              <w:bottom w:val="single" w:sz="4" w:space="0" w:color="auto"/>
              <w:right w:val="single" w:sz="4" w:space="0" w:color="auto"/>
            </w:tcBorders>
            <w:shd w:val="clear" w:color="000000" w:fill="FFFFFF"/>
            <w:noWrap/>
            <w:hideMark/>
          </w:tcPr>
          <w:p w14:paraId="7D6BE0BE" w14:textId="56CBF8D5" w:rsidR="00E16947" w:rsidRPr="00E16947" w:rsidRDefault="00E16947" w:rsidP="00E16947">
            <w:pPr>
              <w:jc w:val="right"/>
              <w:outlineLvl w:val="0"/>
              <w:rPr>
                <w:noProof/>
                <w:sz w:val="20"/>
                <w:szCs w:val="20"/>
              </w:rPr>
            </w:pPr>
            <w:bookmarkStart w:id="1708" w:name="_Toc223981306"/>
            <w:r w:rsidRPr="00E16947">
              <w:rPr>
                <w:noProof/>
                <w:sz w:val="20"/>
                <w:szCs w:val="20"/>
              </w:rPr>
              <w:t>68.2</w:t>
            </w:r>
            <w:bookmarkEnd w:id="1708"/>
          </w:p>
        </w:tc>
        <w:tc>
          <w:tcPr>
            <w:tcW w:w="781" w:type="pct"/>
            <w:tcBorders>
              <w:top w:val="nil"/>
              <w:left w:val="nil"/>
              <w:bottom w:val="single" w:sz="4" w:space="0" w:color="auto"/>
              <w:right w:val="single" w:sz="4" w:space="0" w:color="auto"/>
            </w:tcBorders>
            <w:shd w:val="clear" w:color="000000" w:fill="FFFFFF"/>
            <w:noWrap/>
            <w:hideMark/>
          </w:tcPr>
          <w:p w14:paraId="2E99CF09" w14:textId="6A15F03F" w:rsidR="00E16947" w:rsidRPr="00E16947" w:rsidRDefault="00E16947" w:rsidP="00E16947">
            <w:pPr>
              <w:jc w:val="right"/>
              <w:outlineLvl w:val="0"/>
              <w:rPr>
                <w:noProof/>
                <w:sz w:val="20"/>
                <w:szCs w:val="20"/>
              </w:rPr>
            </w:pPr>
            <w:bookmarkStart w:id="1709" w:name="_Toc223981307"/>
            <w:r w:rsidRPr="00E16947">
              <w:rPr>
                <w:noProof/>
                <w:sz w:val="20"/>
                <w:szCs w:val="20"/>
              </w:rPr>
              <w:t>114.6</w:t>
            </w:r>
            <w:bookmarkEnd w:id="1709"/>
          </w:p>
        </w:tc>
        <w:tc>
          <w:tcPr>
            <w:tcW w:w="781" w:type="pct"/>
            <w:tcBorders>
              <w:top w:val="nil"/>
              <w:left w:val="nil"/>
              <w:bottom w:val="single" w:sz="4" w:space="0" w:color="auto"/>
              <w:right w:val="single" w:sz="4" w:space="0" w:color="auto"/>
            </w:tcBorders>
            <w:shd w:val="clear" w:color="000000" w:fill="FFFFFF"/>
            <w:noWrap/>
            <w:hideMark/>
          </w:tcPr>
          <w:p w14:paraId="5DA86967" w14:textId="66AE9E2A" w:rsidR="00E16947" w:rsidRPr="00E16947" w:rsidRDefault="00E16947" w:rsidP="00E16947">
            <w:pPr>
              <w:jc w:val="right"/>
              <w:outlineLvl w:val="0"/>
              <w:rPr>
                <w:noProof/>
                <w:sz w:val="20"/>
                <w:szCs w:val="20"/>
              </w:rPr>
            </w:pPr>
            <w:bookmarkStart w:id="1710" w:name="_Toc223981308"/>
            <w:r w:rsidRPr="00E16947">
              <w:rPr>
                <w:noProof/>
                <w:sz w:val="20"/>
                <w:szCs w:val="20"/>
              </w:rPr>
              <w:t>78.6</w:t>
            </w:r>
            <w:bookmarkEnd w:id="1710"/>
          </w:p>
        </w:tc>
      </w:tr>
      <w:tr w:rsidR="00E16947" w:rsidRPr="00491C02" w14:paraId="70FAAA0F"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616D980C" w14:textId="77777777" w:rsidR="00E16947" w:rsidRPr="00491C02" w:rsidRDefault="00E16947" w:rsidP="00E16947">
            <w:pPr>
              <w:outlineLvl w:val="0"/>
              <w:rPr>
                <w:noProof/>
                <w:sz w:val="20"/>
                <w:szCs w:val="20"/>
              </w:rPr>
            </w:pPr>
            <w:r w:rsidRPr="00491C02">
              <w:rPr>
                <w:noProof/>
                <w:sz w:val="20"/>
                <w:szCs w:val="20"/>
              </w:rPr>
              <w:t xml:space="preserve"> </w:t>
            </w:r>
            <w:bookmarkStart w:id="1711" w:name="_Toc223981309"/>
            <w:r w:rsidRPr="00491C02">
              <w:rPr>
                <w:noProof/>
                <w:sz w:val="20"/>
                <w:szCs w:val="20"/>
              </w:rPr>
              <w:t>Poland</w:t>
            </w:r>
            <w:bookmarkEnd w:id="171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46EE312" w14:textId="53F6A612" w:rsidR="00E16947" w:rsidRPr="00E16947" w:rsidRDefault="00E16947" w:rsidP="00E16947">
            <w:pPr>
              <w:jc w:val="right"/>
              <w:outlineLvl w:val="0"/>
              <w:rPr>
                <w:noProof/>
                <w:sz w:val="20"/>
                <w:szCs w:val="20"/>
              </w:rPr>
            </w:pPr>
            <w:bookmarkStart w:id="1712" w:name="_Toc223981310"/>
            <w:r w:rsidRPr="00E16947">
              <w:rPr>
                <w:noProof/>
                <w:sz w:val="20"/>
                <w:szCs w:val="20"/>
              </w:rPr>
              <w:t>242.5</w:t>
            </w:r>
            <w:bookmarkEnd w:id="1712"/>
          </w:p>
        </w:tc>
        <w:tc>
          <w:tcPr>
            <w:tcW w:w="781" w:type="pct"/>
            <w:tcBorders>
              <w:top w:val="nil"/>
              <w:left w:val="nil"/>
              <w:bottom w:val="single" w:sz="4" w:space="0" w:color="auto"/>
              <w:right w:val="single" w:sz="4" w:space="0" w:color="auto"/>
            </w:tcBorders>
            <w:shd w:val="clear" w:color="000000" w:fill="FFFFFF"/>
            <w:noWrap/>
            <w:hideMark/>
          </w:tcPr>
          <w:p w14:paraId="6D09F3CA" w14:textId="384DE133" w:rsidR="00E16947" w:rsidRPr="00E16947" w:rsidRDefault="00E16947" w:rsidP="00E16947">
            <w:pPr>
              <w:jc w:val="right"/>
              <w:outlineLvl w:val="0"/>
              <w:rPr>
                <w:noProof/>
                <w:sz w:val="20"/>
                <w:szCs w:val="20"/>
              </w:rPr>
            </w:pPr>
            <w:bookmarkStart w:id="1713" w:name="_Toc223981311"/>
            <w:r w:rsidRPr="00E16947">
              <w:rPr>
                <w:noProof/>
                <w:sz w:val="20"/>
                <w:szCs w:val="20"/>
              </w:rPr>
              <w:t>36.7</w:t>
            </w:r>
            <w:bookmarkEnd w:id="1713"/>
          </w:p>
        </w:tc>
        <w:tc>
          <w:tcPr>
            <w:tcW w:w="781" w:type="pct"/>
            <w:tcBorders>
              <w:top w:val="nil"/>
              <w:left w:val="nil"/>
              <w:bottom w:val="single" w:sz="4" w:space="0" w:color="auto"/>
              <w:right w:val="single" w:sz="4" w:space="0" w:color="auto"/>
            </w:tcBorders>
            <w:shd w:val="clear" w:color="000000" w:fill="FFFFFF"/>
            <w:noWrap/>
            <w:hideMark/>
          </w:tcPr>
          <w:p w14:paraId="31DA8CD0" w14:textId="1EC52125" w:rsidR="00E16947" w:rsidRPr="00E16947" w:rsidRDefault="00E16947" w:rsidP="00E16947">
            <w:pPr>
              <w:jc w:val="right"/>
              <w:outlineLvl w:val="0"/>
              <w:rPr>
                <w:noProof/>
                <w:sz w:val="20"/>
                <w:szCs w:val="20"/>
              </w:rPr>
            </w:pPr>
            <w:bookmarkStart w:id="1714" w:name="_Toc223981312"/>
            <w:r w:rsidRPr="00E16947">
              <w:rPr>
                <w:noProof/>
                <w:sz w:val="20"/>
                <w:szCs w:val="20"/>
              </w:rPr>
              <w:t>61.7</w:t>
            </w:r>
            <w:bookmarkEnd w:id="1714"/>
          </w:p>
        </w:tc>
        <w:tc>
          <w:tcPr>
            <w:tcW w:w="781" w:type="pct"/>
            <w:tcBorders>
              <w:top w:val="nil"/>
              <w:left w:val="nil"/>
              <w:bottom w:val="single" w:sz="4" w:space="0" w:color="auto"/>
              <w:right w:val="single" w:sz="4" w:space="0" w:color="auto"/>
            </w:tcBorders>
            <w:shd w:val="clear" w:color="000000" w:fill="FFFFFF"/>
            <w:noWrap/>
            <w:hideMark/>
          </w:tcPr>
          <w:p w14:paraId="2858C7ED" w14:textId="0B954416" w:rsidR="00E16947" w:rsidRPr="00E16947" w:rsidRDefault="00E16947" w:rsidP="00E16947">
            <w:pPr>
              <w:jc w:val="right"/>
              <w:outlineLvl w:val="0"/>
              <w:rPr>
                <w:noProof/>
                <w:sz w:val="20"/>
                <w:szCs w:val="20"/>
              </w:rPr>
            </w:pPr>
            <w:bookmarkStart w:id="1715" w:name="_Toc223981313"/>
            <w:r w:rsidRPr="00E16947">
              <w:rPr>
                <w:noProof/>
                <w:sz w:val="20"/>
                <w:szCs w:val="20"/>
              </w:rPr>
              <w:t>42.3</w:t>
            </w:r>
            <w:bookmarkEnd w:id="1715"/>
          </w:p>
        </w:tc>
      </w:tr>
      <w:tr w:rsidR="00E16947" w:rsidRPr="00491C02" w14:paraId="1F18A15F"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B5AEEEB" w14:textId="77777777" w:rsidR="00E16947" w:rsidRPr="00491C02" w:rsidRDefault="00E16947" w:rsidP="00E16947">
            <w:pPr>
              <w:outlineLvl w:val="0"/>
              <w:rPr>
                <w:noProof/>
                <w:sz w:val="20"/>
                <w:szCs w:val="20"/>
              </w:rPr>
            </w:pPr>
            <w:r w:rsidRPr="00491C02">
              <w:rPr>
                <w:noProof/>
                <w:sz w:val="20"/>
                <w:szCs w:val="20"/>
              </w:rPr>
              <w:t xml:space="preserve"> </w:t>
            </w:r>
            <w:bookmarkStart w:id="1716" w:name="_Toc223981314"/>
            <w:r w:rsidRPr="00491C02">
              <w:rPr>
                <w:noProof/>
                <w:sz w:val="20"/>
                <w:szCs w:val="20"/>
              </w:rPr>
              <w:t>Italy</w:t>
            </w:r>
            <w:bookmarkEnd w:id="171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A8C95BF" w14:textId="7861C9F1" w:rsidR="00E16947" w:rsidRPr="00E16947" w:rsidRDefault="00E16947" w:rsidP="00E16947">
            <w:pPr>
              <w:jc w:val="right"/>
              <w:outlineLvl w:val="0"/>
              <w:rPr>
                <w:noProof/>
                <w:sz w:val="20"/>
                <w:szCs w:val="20"/>
              </w:rPr>
            </w:pPr>
            <w:bookmarkStart w:id="1717" w:name="_Toc223981315"/>
            <w:r w:rsidRPr="00E16947">
              <w:rPr>
                <w:noProof/>
                <w:sz w:val="20"/>
                <w:szCs w:val="20"/>
              </w:rPr>
              <w:t>207.9</w:t>
            </w:r>
            <w:bookmarkEnd w:id="1717"/>
          </w:p>
        </w:tc>
        <w:tc>
          <w:tcPr>
            <w:tcW w:w="781" w:type="pct"/>
            <w:tcBorders>
              <w:top w:val="nil"/>
              <w:left w:val="nil"/>
              <w:bottom w:val="single" w:sz="4" w:space="0" w:color="auto"/>
              <w:right w:val="single" w:sz="4" w:space="0" w:color="auto"/>
            </w:tcBorders>
            <w:shd w:val="clear" w:color="000000" w:fill="FFFFFF"/>
            <w:noWrap/>
            <w:hideMark/>
          </w:tcPr>
          <w:p w14:paraId="0E599B34" w14:textId="5A8D2D77" w:rsidR="00E16947" w:rsidRPr="00E16947" w:rsidRDefault="00E16947" w:rsidP="00E16947">
            <w:pPr>
              <w:jc w:val="right"/>
              <w:outlineLvl w:val="0"/>
              <w:rPr>
                <w:noProof/>
                <w:sz w:val="20"/>
                <w:szCs w:val="20"/>
              </w:rPr>
            </w:pPr>
            <w:bookmarkStart w:id="1718" w:name="_Toc223981316"/>
            <w:r w:rsidRPr="00E16947">
              <w:rPr>
                <w:noProof/>
                <w:sz w:val="20"/>
                <w:szCs w:val="20"/>
              </w:rPr>
              <w:t>31.5</w:t>
            </w:r>
            <w:bookmarkEnd w:id="1718"/>
          </w:p>
        </w:tc>
        <w:tc>
          <w:tcPr>
            <w:tcW w:w="781" w:type="pct"/>
            <w:tcBorders>
              <w:top w:val="nil"/>
              <w:left w:val="nil"/>
              <w:bottom w:val="single" w:sz="4" w:space="0" w:color="auto"/>
              <w:right w:val="single" w:sz="4" w:space="0" w:color="auto"/>
            </w:tcBorders>
            <w:shd w:val="clear" w:color="000000" w:fill="FFFFFF"/>
            <w:noWrap/>
            <w:hideMark/>
          </w:tcPr>
          <w:p w14:paraId="1EA3D310" w14:textId="75162570" w:rsidR="00E16947" w:rsidRPr="00E16947" w:rsidRDefault="00E16947" w:rsidP="00E16947">
            <w:pPr>
              <w:jc w:val="right"/>
              <w:outlineLvl w:val="0"/>
              <w:rPr>
                <w:noProof/>
                <w:sz w:val="20"/>
                <w:szCs w:val="20"/>
              </w:rPr>
            </w:pPr>
            <w:bookmarkStart w:id="1719" w:name="_Toc223981317"/>
            <w:r w:rsidRPr="00E16947">
              <w:rPr>
                <w:noProof/>
                <w:sz w:val="20"/>
                <w:szCs w:val="20"/>
              </w:rPr>
              <w:t>52.9</w:t>
            </w:r>
            <w:bookmarkEnd w:id="1719"/>
          </w:p>
        </w:tc>
        <w:tc>
          <w:tcPr>
            <w:tcW w:w="781" w:type="pct"/>
            <w:tcBorders>
              <w:top w:val="nil"/>
              <w:left w:val="nil"/>
              <w:bottom w:val="single" w:sz="4" w:space="0" w:color="auto"/>
              <w:right w:val="single" w:sz="4" w:space="0" w:color="auto"/>
            </w:tcBorders>
            <w:shd w:val="clear" w:color="000000" w:fill="FFFFFF"/>
            <w:noWrap/>
            <w:hideMark/>
          </w:tcPr>
          <w:p w14:paraId="0DE4D6FF" w14:textId="6DA73983" w:rsidR="00E16947" w:rsidRPr="00E16947" w:rsidRDefault="00E16947" w:rsidP="00E16947">
            <w:pPr>
              <w:jc w:val="right"/>
              <w:outlineLvl w:val="0"/>
              <w:rPr>
                <w:noProof/>
                <w:sz w:val="20"/>
                <w:szCs w:val="20"/>
              </w:rPr>
            </w:pPr>
            <w:bookmarkStart w:id="1720" w:name="_Toc223981318"/>
            <w:r w:rsidRPr="00E16947">
              <w:rPr>
                <w:noProof/>
                <w:sz w:val="20"/>
                <w:szCs w:val="20"/>
              </w:rPr>
              <w:t>36.3</w:t>
            </w:r>
            <w:bookmarkEnd w:id="1720"/>
          </w:p>
        </w:tc>
      </w:tr>
      <w:tr w:rsidR="00E16947" w:rsidRPr="00491C02" w14:paraId="6B9B550B"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0EF37DDA" w14:textId="77777777" w:rsidR="00E16947" w:rsidRPr="00491C02" w:rsidRDefault="00E16947" w:rsidP="00E16947">
            <w:pPr>
              <w:outlineLvl w:val="0"/>
              <w:rPr>
                <w:noProof/>
                <w:sz w:val="20"/>
                <w:szCs w:val="20"/>
              </w:rPr>
            </w:pPr>
            <w:r w:rsidRPr="00491C02">
              <w:rPr>
                <w:noProof/>
                <w:sz w:val="20"/>
                <w:szCs w:val="20"/>
              </w:rPr>
              <w:t xml:space="preserve"> </w:t>
            </w:r>
            <w:bookmarkStart w:id="1721" w:name="_Toc223981319"/>
            <w:r w:rsidRPr="00491C02">
              <w:rPr>
                <w:noProof/>
                <w:sz w:val="20"/>
                <w:szCs w:val="20"/>
              </w:rPr>
              <w:t>Belgium</w:t>
            </w:r>
            <w:bookmarkEnd w:id="172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2E2FBA7C" w14:textId="4356524C" w:rsidR="00E16947" w:rsidRPr="00E16947" w:rsidRDefault="00E16947" w:rsidP="00E16947">
            <w:pPr>
              <w:jc w:val="right"/>
              <w:outlineLvl w:val="0"/>
              <w:rPr>
                <w:noProof/>
                <w:sz w:val="20"/>
                <w:szCs w:val="20"/>
              </w:rPr>
            </w:pPr>
            <w:bookmarkStart w:id="1722" w:name="_Toc223981320"/>
            <w:r w:rsidRPr="00E16947">
              <w:rPr>
                <w:noProof/>
                <w:sz w:val="20"/>
                <w:szCs w:val="20"/>
              </w:rPr>
              <w:t>207.9</w:t>
            </w:r>
            <w:bookmarkEnd w:id="1722"/>
          </w:p>
        </w:tc>
        <w:tc>
          <w:tcPr>
            <w:tcW w:w="781" w:type="pct"/>
            <w:tcBorders>
              <w:top w:val="nil"/>
              <w:left w:val="nil"/>
              <w:bottom w:val="single" w:sz="4" w:space="0" w:color="auto"/>
              <w:right w:val="single" w:sz="4" w:space="0" w:color="auto"/>
            </w:tcBorders>
            <w:shd w:val="clear" w:color="000000" w:fill="FFFFFF"/>
            <w:noWrap/>
            <w:hideMark/>
          </w:tcPr>
          <w:p w14:paraId="7811F9EA" w14:textId="61A00340" w:rsidR="00E16947" w:rsidRPr="00E16947" w:rsidRDefault="00E16947" w:rsidP="00E16947">
            <w:pPr>
              <w:jc w:val="right"/>
              <w:outlineLvl w:val="0"/>
              <w:rPr>
                <w:noProof/>
                <w:sz w:val="20"/>
                <w:szCs w:val="20"/>
              </w:rPr>
            </w:pPr>
            <w:bookmarkStart w:id="1723" w:name="_Toc223981321"/>
            <w:r w:rsidRPr="00E16947">
              <w:rPr>
                <w:noProof/>
                <w:sz w:val="20"/>
                <w:szCs w:val="20"/>
              </w:rPr>
              <w:t>31.5</w:t>
            </w:r>
            <w:bookmarkEnd w:id="1723"/>
          </w:p>
        </w:tc>
        <w:tc>
          <w:tcPr>
            <w:tcW w:w="781" w:type="pct"/>
            <w:tcBorders>
              <w:top w:val="nil"/>
              <w:left w:val="nil"/>
              <w:bottom w:val="single" w:sz="4" w:space="0" w:color="auto"/>
              <w:right w:val="single" w:sz="4" w:space="0" w:color="auto"/>
            </w:tcBorders>
            <w:shd w:val="clear" w:color="000000" w:fill="FFFFFF"/>
            <w:noWrap/>
            <w:hideMark/>
          </w:tcPr>
          <w:p w14:paraId="64AD8229" w14:textId="52A99FB1" w:rsidR="00E16947" w:rsidRPr="00E16947" w:rsidRDefault="00E16947" w:rsidP="00E16947">
            <w:pPr>
              <w:jc w:val="right"/>
              <w:outlineLvl w:val="0"/>
              <w:rPr>
                <w:noProof/>
                <w:sz w:val="20"/>
                <w:szCs w:val="20"/>
              </w:rPr>
            </w:pPr>
            <w:bookmarkStart w:id="1724" w:name="_Toc223981322"/>
            <w:r w:rsidRPr="00E16947">
              <w:rPr>
                <w:noProof/>
                <w:sz w:val="20"/>
                <w:szCs w:val="20"/>
              </w:rPr>
              <w:t>52.9</w:t>
            </w:r>
            <w:bookmarkEnd w:id="1724"/>
          </w:p>
        </w:tc>
        <w:tc>
          <w:tcPr>
            <w:tcW w:w="781" w:type="pct"/>
            <w:tcBorders>
              <w:top w:val="nil"/>
              <w:left w:val="nil"/>
              <w:bottom w:val="single" w:sz="4" w:space="0" w:color="auto"/>
              <w:right w:val="single" w:sz="4" w:space="0" w:color="auto"/>
            </w:tcBorders>
            <w:shd w:val="clear" w:color="000000" w:fill="FFFFFF"/>
            <w:noWrap/>
            <w:hideMark/>
          </w:tcPr>
          <w:p w14:paraId="6F675E58" w14:textId="5060234A" w:rsidR="00E16947" w:rsidRPr="00E16947" w:rsidRDefault="00E16947" w:rsidP="00E16947">
            <w:pPr>
              <w:jc w:val="right"/>
              <w:outlineLvl w:val="0"/>
              <w:rPr>
                <w:noProof/>
                <w:sz w:val="20"/>
                <w:szCs w:val="20"/>
              </w:rPr>
            </w:pPr>
            <w:bookmarkStart w:id="1725" w:name="_Toc223981323"/>
            <w:r w:rsidRPr="00E16947">
              <w:rPr>
                <w:noProof/>
                <w:sz w:val="20"/>
                <w:szCs w:val="20"/>
              </w:rPr>
              <w:t>36.3</w:t>
            </w:r>
            <w:bookmarkEnd w:id="1725"/>
          </w:p>
        </w:tc>
      </w:tr>
      <w:tr w:rsidR="00E16947" w:rsidRPr="00491C02" w14:paraId="0947C79A"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11A8999" w14:textId="77777777" w:rsidR="00E16947" w:rsidRPr="00491C02" w:rsidRDefault="00E16947" w:rsidP="00E16947">
            <w:pPr>
              <w:outlineLvl w:val="0"/>
              <w:rPr>
                <w:noProof/>
                <w:sz w:val="20"/>
                <w:szCs w:val="20"/>
              </w:rPr>
            </w:pPr>
            <w:r w:rsidRPr="00491C02">
              <w:rPr>
                <w:noProof/>
                <w:sz w:val="20"/>
                <w:szCs w:val="20"/>
              </w:rPr>
              <w:t xml:space="preserve"> </w:t>
            </w:r>
            <w:bookmarkStart w:id="1726" w:name="_Toc223981324"/>
            <w:r w:rsidRPr="00491C02">
              <w:rPr>
                <w:noProof/>
                <w:sz w:val="20"/>
                <w:szCs w:val="20"/>
              </w:rPr>
              <w:t>Portugal</w:t>
            </w:r>
            <w:bookmarkEnd w:id="172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321D7D23" w14:textId="1336AD7F" w:rsidR="00E16947" w:rsidRPr="00E16947" w:rsidRDefault="00E16947" w:rsidP="00E16947">
            <w:pPr>
              <w:jc w:val="right"/>
              <w:outlineLvl w:val="0"/>
              <w:rPr>
                <w:noProof/>
                <w:sz w:val="20"/>
                <w:szCs w:val="20"/>
              </w:rPr>
            </w:pPr>
            <w:bookmarkStart w:id="1727" w:name="_Toc223981325"/>
            <w:r w:rsidRPr="00E16947">
              <w:rPr>
                <w:noProof/>
                <w:sz w:val="20"/>
                <w:szCs w:val="20"/>
              </w:rPr>
              <w:t>69.3</w:t>
            </w:r>
            <w:bookmarkEnd w:id="1727"/>
          </w:p>
        </w:tc>
        <w:tc>
          <w:tcPr>
            <w:tcW w:w="781" w:type="pct"/>
            <w:tcBorders>
              <w:top w:val="nil"/>
              <w:left w:val="nil"/>
              <w:bottom w:val="single" w:sz="4" w:space="0" w:color="auto"/>
              <w:right w:val="single" w:sz="4" w:space="0" w:color="auto"/>
            </w:tcBorders>
            <w:shd w:val="clear" w:color="000000" w:fill="FFFFFF"/>
            <w:noWrap/>
            <w:hideMark/>
          </w:tcPr>
          <w:p w14:paraId="3056774A" w14:textId="33AA8BEC" w:rsidR="00E16947" w:rsidRPr="00E16947" w:rsidRDefault="00E16947" w:rsidP="00E16947">
            <w:pPr>
              <w:jc w:val="right"/>
              <w:outlineLvl w:val="0"/>
              <w:rPr>
                <w:noProof/>
                <w:sz w:val="20"/>
                <w:szCs w:val="20"/>
              </w:rPr>
            </w:pPr>
            <w:bookmarkStart w:id="1728" w:name="_Toc223981326"/>
            <w:r w:rsidRPr="00E16947">
              <w:rPr>
                <w:noProof/>
                <w:sz w:val="20"/>
                <w:szCs w:val="20"/>
              </w:rPr>
              <w:t>10.5</w:t>
            </w:r>
            <w:bookmarkEnd w:id="1728"/>
          </w:p>
        </w:tc>
        <w:tc>
          <w:tcPr>
            <w:tcW w:w="781" w:type="pct"/>
            <w:tcBorders>
              <w:top w:val="nil"/>
              <w:left w:val="nil"/>
              <w:bottom w:val="single" w:sz="4" w:space="0" w:color="auto"/>
              <w:right w:val="single" w:sz="4" w:space="0" w:color="auto"/>
            </w:tcBorders>
            <w:shd w:val="clear" w:color="000000" w:fill="FFFFFF"/>
            <w:noWrap/>
            <w:hideMark/>
          </w:tcPr>
          <w:p w14:paraId="002B27FB" w14:textId="30C6ABB6" w:rsidR="00E16947" w:rsidRPr="00E16947" w:rsidRDefault="00E16947" w:rsidP="00E16947">
            <w:pPr>
              <w:jc w:val="right"/>
              <w:outlineLvl w:val="0"/>
              <w:rPr>
                <w:noProof/>
                <w:sz w:val="20"/>
                <w:szCs w:val="20"/>
              </w:rPr>
            </w:pPr>
            <w:bookmarkStart w:id="1729" w:name="_Toc223981327"/>
            <w:r w:rsidRPr="00E16947">
              <w:rPr>
                <w:noProof/>
                <w:sz w:val="20"/>
                <w:szCs w:val="20"/>
              </w:rPr>
              <w:t>17.6</w:t>
            </w:r>
            <w:bookmarkEnd w:id="1729"/>
          </w:p>
        </w:tc>
        <w:tc>
          <w:tcPr>
            <w:tcW w:w="781" w:type="pct"/>
            <w:tcBorders>
              <w:top w:val="nil"/>
              <w:left w:val="nil"/>
              <w:bottom w:val="single" w:sz="4" w:space="0" w:color="auto"/>
              <w:right w:val="single" w:sz="4" w:space="0" w:color="auto"/>
            </w:tcBorders>
            <w:shd w:val="clear" w:color="000000" w:fill="FFFFFF"/>
            <w:noWrap/>
            <w:hideMark/>
          </w:tcPr>
          <w:p w14:paraId="12A97059" w14:textId="50B629D3" w:rsidR="00E16947" w:rsidRPr="00E16947" w:rsidRDefault="00E16947" w:rsidP="00E16947">
            <w:pPr>
              <w:jc w:val="right"/>
              <w:outlineLvl w:val="0"/>
              <w:rPr>
                <w:noProof/>
                <w:sz w:val="20"/>
                <w:szCs w:val="20"/>
              </w:rPr>
            </w:pPr>
            <w:bookmarkStart w:id="1730" w:name="_Toc223981328"/>
            <w:r w:rsidRPr="00E16947">
              <w:rPr>
                <w:noProof/>
                <w:sz w:val="20"/>
                <w:szCs w:val="20"/>
              </w:rPr>
              <w:t>12.1</w:t>
            </w:r>
            <w:bookmarkEnd w:id="1730"/>
          </w:p>
        </w:tc>
      </w:tr>
      <w:tr w:rsidR="00E16947" w:rsidRPr="00491C02" w14:paraId="69AD2B3D"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21C10272" w14:textId="77777777" w:rsidR="00E16947" w:rsidRPr="00491C02" w:rsidRDefault="00E16947" w:rsidP="00E16947">
            <w:pPr>
              <w:outlineLvl w:val="0"/>
              <w:rPr>
                <w:noProof/>
                <w:sz w:val="20"/>
                <w:szCs w:val="20"/>
              </w:rPr>
            </w:pPr>
            <w:r w:rsidRPr="00491C02">
              <w:rPr>
                <w:noProof/>
                <w:sz w:val="20"/>
                <w:szCs w:val="20"/>
              </w:rPr>
              <w:t xml:space="preserve"> </w:t>
            </w:r>
            <w:bookmarkStart w:id="1731" w:name="_Toc223981329"/>
            <w:r w:rsidRPr="00491C02">
              <w:rPr>
                <w:noProof/>
                <w:sz w:val="20"/>
                <w:szCs w:val="20"/>
              </w:rPr>
              <w:t>Malta</w:t>
            </w:r>
            <w:bookmarkEnd w:id="173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04878E7D" w14:textId="776F7325" w:rsidR="00E16947" w:rsidRPr="00E16947" w:rsidRDefault="00E16947" w:rsidP="00E16947">
            <w:pPr>
              <w:jc w:val="right"/>
              <w:outlineLvl w:val="0"/>
              <w:rPr>
                <w:noProof/>
                <w:sz w:val="20"/>
                <w:szCs w:val="20"/>
              </w:rPr>
            </w:pPr>
            <w:bookmarkStart w:id="1732" w:name="_Toc223981330"/>
            <w:r w:rsidRPr="00E16947">
              <w:rPr>
                <w:noProof/>
                <w:sz w:val="20"/>
                <w:szCs w:val="20"/>
              </w:rPr>
              <w:t>34.6</w:t>
            </w:r>
            <w:bookmarkEnd w:id="1732"/>
          </w:p>
        </w:tc>
        <w:tc>
          <w:tcPr>
            <w:tcW w:w="781" w:type="pct"/>
            <w:tcBorders>
              <w:top w:val="nil"/>
              <w:left w:val="nil"/>
              <w:bottom w:val="single" w:sz="4" w:space="0" w:color="auto"/>
              <w:right w:val="single" w:sz="4" w:space="0" w:color="auto"/>
            </w:tcBorders>
            <w:shd w:val="clear" w:color="000000" w:fill="FFFFFF"/>
            <w:noWrap/>
            <w:hideMark/>
          </w:tcPr>
          <w:p w14:paraId="5F720A81" w14:textId="09A13713" w:rsidR="00E16947" w:rsidRPr="00E16947" w:rsidRDefault="00E16947" w:rsidP="00E16947">
            <w:pPr>
              <w:jc w:val="right"/>
              <w:outlineLvl w:val="0"/>
              <w:rPr>
                <w:noProof/>
                <w:sz w:val="20"/>
                <w:szCs w:val="20"/>
              </w:rPr>
            </w:pPr>
            <w:bookmarkStart w:id="1733" w:name="_Toc223981331"/>
            <w:r w:rsidRPr="00E16947">
              <w:rPr>
                <w:noProof/>
                <w:sz w:val="20"/>
                <w:szCs w:val="20"/>
              </w:rPr>
              <w:t>5.2</w:t>
            </w:r>
            <w:bookmarkEnd w:id="1733"/>
          </w:p>
        </w:tc>
        <w:tc>
          <w:tcPr>
            <w:tcW w:w="781" w:type="pct"/>
            <w:tcBorders>
              <w:top w:val="nil"/>
              <w:left w:val="nil"/>
              <w:bottom w:val="single" w:sz="4" w:space="0" w:color="auto"/>
              <w:right w:val="single" w:sz="4" w:space="0" w:color="auto"/>
            </w:tcBorders>
            <w:shd w:val="clear" w:color="000000" w:fill="FFFFFF"/>
            <w:noWrap/>
            <w:hideMark/>
          </w:tcPr>
          <w:p w14:paraId="3509E070" w14:textId="08CA8549" w:rsidR="00E16947" w:rsidRPr="00E16947" w:rsidRDefault="00E16947" w:rsidP="00E16947">
            <w:pPr>
              <w:jc w:val="right"/>
              <w:outlineLvl w:val="0"/>
              <w:rPr>
                <w:noProof/>
                <w:sz w:val="20"/>
                <w:szCs w:val="20"/>
              </w:rPr>
            </w:pPr>
            <w:bookmarkStart w:id="1734" w:name="_Toc223981332"/>
            <w:r w:rsidRPr="00E16947">
              <w:rPr>
                <w:noProof/>
                <w:sz w:val="20"/>
                <w:szCs w:val="20"/>
              </w:rPr>
              <w:t>8.8</w:t>
            </w:r>
            <w:bookmarkEnd w:id="1734"/>
          </w:p>
        </w:tc>
        <w:tc>
          <w:tcPr>
            <w:tcW w:w="781" w:type="pct"/>
            <w:tcBorders>
              <w:top w:val="nil"/>
              <w:left w:val="nil"/>
              <w:bottom w:val="single" w:sz="4" w:space="0" w:color="auto"/>
              <w:right w:val="single" w:sz="4" w:space="0" w:color="auto"/>
            </w:tcBorders>
            <w:shd w:val="clear" w:color="000000" w:fill="FFFFFF"/>
            <w:noWrap/>
            <w:hideMark/>
          </w:tcPr>
          <w:p w14:paraId="56F3FFE7" w14:textId="5C67E988" w:rsidR="00E16947" w:rsidRPr="00E16947" w:rsidRDefault="00E16947" w:rsidP="00E16947">
            <w:pPr>
              <w:jc w:val="right"/>
              <w:outlineLvl w:val="0"/>
              <w:rPr>
                <w:noProof/>
                <w:sz w:val="20"/>
                <w:szCs w:val="20"/>
              </w:rPr>
            </w:pPr>
            <w:bookmarkStart w:id="1735" w:name="_Toc223981333"/>
            <w:r w:rsidRPr="00E16947">
              <w:rPr>
                <w:noProof/>
                <w:sz w:val="20"/>
                <w:szCs w:val="20"/>
              </w:rPr>
              <w:t>6.0</w:t>
            </w:r>
            <w:bookmarkEnd w:id="1735"/>
          </w:p>
        </w:tc>
      </w:tr>
      <w:tr w:rsidR="00E16947" w:rsidRPr="00491C02" w14:paraId="6817672B"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3360B9B3" w14:textId="77777777" w:rsidR="00E16947" w:rsidRPr="00491C02" w:rsidRDefault="00E16947" w:rsidP="00E16947">
            <w:pPr>
              <w:outlineLvl w:val="0"/>
              <w:rPr>
                <w:noProof/>
                <w:sz w:val="20"/>
                <w:szCs w:val="20"/>
              </w:rPr>
            </w:pPr>
            <w:r w:rsidRPr="00491C02">
              <w:rPr>
                <w:noProof/>
                <w:sz w:val="20"/>
                <w:szCs w:val="20"/>
              </w:rPr>
              <w:t xml:space="preserve"> </w:t>
            </w:r>
            <w:bookmarkStart w:id="1736" w:name="_Toc223981334"/>
            <w:r w:rsidRPr="00491C02">
              <w:rPr>
                <w:noProof/>
                <w:sz w:val="20"/>
                <w:szCs w:val="20"/>
              </w:rPr>
              <w:t>Cyprus</w:t>
            </w:r>
            <w:bookmarkEnd w:id="173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20C0C924" w14:textId="1976E019" w:rsidR="00E16947" w:rsidRPr="00E16947" w:rsidRDefault="00E16947" w:rsidP="00E16947">
            <w:pPr>
              <w:jc w:val="right"/>
              <w:outlineLvl w:val="0"/>
              <w:rPr>
                <w:noProof/>
                <w:sz w:val="20"/>
                <w:szCs w:val="20"/>
              </w:rPr>
            </w:pPr>
            <w:bookmarkStart w:id="1737" w:name="_Toc223981335"/>
            <w:r w:rsidRPr="00E16947">
              <w:rPr>
                <w:noProof/>
                <w:sz w:val="20"/>
                <w:szCs w:val="20"/>
              </w:rPr>
              <w:t>34.6</w:t>
            </w:r>
            <w:bookmarkEnd w:id="1737"/>
          </w:p>
        </w:tc>
        <w:tc>
          <w:tcPr>
            <w:tcW w:w="781" w:type="pct"/>
            <w:tcBorders>
              <w:top w:val="nil"/>
              <w:left w:val="nil"/>
              <w:bottom w:val="single" w:sz="4" w:space="0" w:color="auto"/>
              <w:right w:val="single" w:sz="4" w:space="0" w:color="auto"/>
            </w:tcBorders>
            <w:shd w:val="clear" w:color="000000" w:fill="FFFFFF"/>
            <w:noWrap/>
            <w:hideMark/>
          </w:tcPr>
          <w:p w14:paraId="1EF13E00" w14:textId="007FE2D2" w:rsidR="00E16947" w:rsidRPr="00E16947" w:rsidRDefault="00E16947" w:rsidP="00E16947">
            <w:pPr>
              <w:jc w:val="right"/>
              <w:outlineLvl w:val="0"/>
              <w:rPr>
                <w:noProof/>
                <w:sz w:val="20"/>
                <w:szCs w:val="20"/>
              </w:rPr>
            </w:pPr>
            <w:bookmarkStart w:id="1738" w:name="_Toc223981336"/>
            <w:r w:rsidRPr="00E16947">
              <w:rPr>
                <w:noProof/>
                <w:sz w:val="20"/>
                <w:szCs w:val="20"/>
              </w:rPr>
              <w:t>5.2</w:t>
            </w:r>
            <w:bookmarkEnd w:id="1738"/>
          </w:p>
        </w:tc>
        <w:tc>
          <w:tcPr>
            <w:tcW w:w="781" w:type="pct"/>
            <w:tcBorders>
              <w:top w:val="nil"/>
              <w:left w:val="nil"/>
              <w:bottom w:val="single" w:sz="4" w:space="0" w:color="auto"/>
              <w:right w:val="single" w:sz="4" w:space="0" w:color="auto"/>
            </w:tcBorders>
            <w:shd w:val="clear" w:color="000000" w:fill="FFFFFF"/>
            <w:noWrap/>
            <w:hideMark/>
          </w:tcPr>
          <w:p w14:paraId="27E44A43" w14:textId="452D4D8F" w:rsidR="00E16947" w:rsidRPr="00E16947" w:rsidRDefault="00E16947" w:rsidP="00E16947">
            <w:pPr>
              <w:jc w:val="right"/>
              <w:outlineLvl w:val="0"/>
              <w:rPr>
                <w:noProof/>
                <w:sz w:val="20"/>
                <w:szCs w:val="20"/>
              </w:rPr>
            </w:pPr>
            <w:bookmarkStart w:id="1739" w:name="_Toc223981337"/>
            <w:r w:rsidRPr="00E16947">
              <w:rPr>
                <w:noProof/>
                <w:sz w:val="20"/>
                <w:szCs w:val="20"/>
              </w:rPr>
              <w:t>8.8</w:t>
            </w:r>
            <w:bookmarkEnd w:id="1739"/>
          </w:p>
        </w:tc>
        <w:tc>
          <w:tcPr>
            <w:tcW w:w="781" w:type="pct"/>
            <w:tcBorders>
              <w:top w:val="nil"/>
              <w:left w:val="nil"/>
              <w:bottom w:val="single" w:sz="4" w:space="0" w:color="auto"/>
              <w:right w:val="single" w:sz="4" w:space="0" w:color="auto"/>
            </w:tcBorders>
            <w:shd w:val="clear" w:color="000000" w:fill="FFFFFF"/>
            <w:noWrap/>
            <w:hideMark/>
          </w:tcPr>
          <w:p w14:paraId="7C01B205" w14:textId="7605346C" w:rsidR="00E16947" w:rsidRPr="00E16947" w:rsidRDefault="00E16947" w:rsidP="00E16947">
            <w:pPr>
              <w:jc w:val="right"/>
              <w:outlineLvl w:val="0"/>
              <w:rPr>
                <w:noProof/>
                <w:sz w:val="20"/>
                <w:szCs w:val="20"/>
              </w:rPr>
            </w:pPr>
            <w:bookmarkStart w:id="1740" w:name="_Toc223981338"/>
            <w:r w:rsidRPr="00E16947">
              <w:rPr>
                <w:noProof/>
                <w:sz w:val="20"/>
                <w:szCs w:val="20"/>
              </w:rPr>
              <w:t>6.0</w:t>
            </w:r>
            <w:bookmarkEnd w:id="1740"/>
          </w:p>
        </w:tc>
      </w:tr>
      <w:tr w:rsidR="00E16947" w:rsidRPr="00491C02" w14:paraId="702B2FC5"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64DDD87A" w14:textId="77777777" w:rsidR="00E16947" w:rsidRPr="00491C02" w:rsidRDefault="00E16947" w:rsidP="00E16947">
            <w:pPr>
              <w:outlineLvl w:val="0"/>
              <w:rPr>
                <w:noProof/>
                <w:sz w:val="20"/>
                <w:szCs w:val="20"/>
              </w:rPr>
            </w:pPr>
            <w:r w:rsidRPr="00491C02">
              <w:rPr>
                <w:noProof/>
                <w:sz w:val="20"/>
                <w:szCs w:val="20"/>
              </w:rPr>
              <w:t xml:space="preserve"> </w:t>
            </w:r>
            <w:bookmarkStart w:id="1741" w:name="_Toc223981339"/>
            <w:r w:rsidRPr="00491C02">
              <w:rPr>
                <w:noProof/>
                <w:sz w:val="20"/>
                <w:szCs w:val="20"/>
              </w:rPr>
              <w:t>Greece</w:t>
            </w:r>
            <w:bookmarkEnd w:id="174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2DC6A3D4" w14:textId="40B917DC" w:rsidR="00E16947" w:rsidRPr="00E16947" w:rsidRDefault="00E16947" w:rsidP="00E16947">
            <w:pPr>
              <w:jc w:val="right"/>
              <w:outlineLvl w:val="0"/>
              <w:rPr>
                <w:noProof/>
                <w:sz w:val="20"/>
                <w:szCs w:val="20"/>
              </w:rPr>
            </w:pPr>
            <w:bookmarkStart w:id="1742" w:name="_Toc223981340"/>
            <w:r w:rsidRPr="00E16947">
              <w:rPr>
                <w:noProof/>
                <w:sz w:val="20"/>
                <w:szCs w:val="20"/>
              </w:rPr>
              <w:t>69.3</w:t>
            </w:r>
            <w:bookmarkEnd w:id="1742"/>
          </w:p>
        </w:tc>
        <w:tc>
          <w:tcPr>
            <w:tcW w:w="781" w:type="pct"/>
            <w:tcBorders>
              <w:top w:val="nil"/>
              <w:left w:val="nil"/>
              <w:bottom w:val="single" w:sz="4" w:space="0" w:color="auto"/>
              <w:right w:val="single" w:sz="4" w:space="0" w:color="auto"/>
            </w:tcBorders>
            <w:shd w:val="clear" w:color="000000" w:fill="FFFFFF"/>
            <w:noWrap/>
            <w:hideMark/>
          </w:tcPr>
          <w:p w14:paraId="3887B7E2" w14:textId="17D519E2" w:rsidR="00E16947" w:rsidRPr="00E16947" w:rsidRDefault="00E16947" w:rsidP="00E16947">
            <w:pPr>
              <w:jc w:val="right"/>
              <w:outlineLvl w:val="0"/>
              <w:rPr>
                <w:noProof/>
                <w:sz w:val="20"/>
                <w:szCs w:val="20"/>
              </w:rPr>
            </w:pPr>
            <w:bookmarkStart w:id="1743" w:name="_Toc223981341"/>
            <w:r w:rsidRPr="00E16947">
              <w:rPr>
                <w:noProof/>
                <w:sz w:val="20"/>
                <w:szCs w:val="20"/>
              </w:rPr>
              <w:t>10.5</w:t>
            </w:r>
            <w:bookmarkEnd w:id="1743"/>
          </w:p>
        </w:tc>
        <w:tc>
          <w:tcPr>
            <w:tcW w:w="781" w:type="pct"/>
            <w:tcBorders>
              <w:top w:val="nil"/>
              <w:left w:val="nil"/>
              <w:bottom w:val="single" w:sz="4" w:space="0" w:color="auto"/>
              <w:right w:val="single" w:sz="4" w:space="0" w:color="auto"/>
            </w:tcBorders>
            <w:shd w:val="clear" w:color="000000" w:fill="FFFFFF"/>
            <w:noWrap/>
            <w:hideMark/>
          </w:tcPr>
          <w:p w14:paraId="49A637F6" w14:textId="654EA71A" w:rsidR="00E16947" w:rsidRPr="00E16947" w:rsidRDefault="00E16947" w:rsidP="00E16947">
            <w:pPr>
              <w:jc w:val="right"/>
              <w:outlineLvl w:val="0"/>
              <w:rPr>
                <w:noProof/>
                <w:sz w:val="20"/>
                <w:szCs w:val="20"/>
              </w:rPr>
            </w:pPr>
            <w:bookmarkStart w:id="1744" w:name="_Toc223981342"/>
            <w:r w:rsidRPr="00E16947">
              <w:rPr>
                <w:noProof/>
                <w:sz w:val="20"/>
                <w:szCs w:val="20"/>
              </w:rPr>
              <w:t>17.6</w:t>
            </w:r>
            <w:bookmarkEnd w:id="1744"/>
          </w:p>
        </w:tc>
        <w:tc>
          <w:tcPr>
            <w:tcW w:w="781" w:type="pct"/>
            <w:tcBorders>
              <w:top w:val="nil"/>
              <w:left w:val="nil"/>
              <w:bottom w:val="single" w:sz="4" w:space="0" w:color="auto"/>
              <w:right w:val="single" w:sz="4" w:space="0" w:color="auto"/>
            </w:tcBorders>
            <w:shd w:val="clear" w:color="000000" w:fill="FFFFFF"/>
            <w:noWrap/>
            <w:hideMark/>
          </w:tcPr>
          <w:p w14:paraId="08BDB090" w14:textId="156D6C89" w:rsidR="00E16947" w:rsidRPr="00E16947" w:rsidRDefault="00E16947" w:rsidP="00E16947">
            <w:pPr>
              <w:jc w:val="right"/>
              <w:outlineLvl w:val="0"/>
              <w:rPr>
                <w:noProof/>
                <w:sz w:val="20"/>
                <w:szCs w:val="20"/>
              </w:rPr>
            </w:pPr>
            <w:bookmarkStart w:id="1745" w:name="_Toc223981343"/>
            <w:r w:rsidRPr="00E16947">
              <w:rPr>
                <w:noProof/>
                <w:sz w:val="20"/>
                <w:szCs w:val="20"/>
              </w:rPr>
              <w:t>12.1</w:t>
            </w:r>
            <w:bookmarkEnd w:id="1745"/>
          </w:p>
        </w:tc>
      </w:tr>
      <w:tr w:rsidR="00E16947" w:rsidRPr="00491C02" w14:paraId="464621D0"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3D47FE5" w14:textId="77777777" w:rsidR="00E16947" w:rsidRPr="00491C02" w:rsidRDefault="00E16947" w:rsidP="00E16947">
            <w:pPr>
              <w:outlineLvl w:val="0"/>
              <w:rPr>
                <w:noProof/>
                <w:sz w:val="20"/>
                <w:szCs w:val="20"/>
              </w:rPr>
            </w:pPr>
            <w:r w:rsidRPr="00491C02">
              <w:rPr>
                <w:noProof/>
                <w:sz w:val="20"/>
                <w:szCs w:val="20"/>
              </w:rPr>
              <w:t xml:space="preserve"> </w:t>
            </w:r>
            <w:bookmarkStart w:id="1746" w:name="_Toc223981344"/>
            <w:r w:rsidRPr="00491C02">
              <w:rPr>
                <w:noProof/>
                <w:sz w:val="20"/>
                <w:szCs w:val="20"/>
              </w:rPr>
              <w:t>Bulgaria</w:t>
            </w:r>
            <w:bookmarkEnd w:id="174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A3B3A40" w14:textId="77777777" w:rsidR="00E16947" w:rsidRPr="00E16947" w:rsidRDefault="00E16947" w:rsidP="00E16947">
            <w:pPr>
              <w:jc w:val="right"/>
              <w:outlineLvl w:val="0"/>
              <w:rPr>
                <w:noProof/>
                <w:sz w:val="20"/>
                <w:szCs w:val="20"/>
              </w:rPr>
            </w:pPr>
            <w:bookmarkStart w:id="1747" w:name="_Toc223981345"/>
            <w:r w:rsidRPr="00E16947">
              <w:rPr>
                <w:noProof/>
                <w:sz w:val="20"/>
                <w:szCs w:val="20"/>
              </w:rPr>
              <w:t>0.0</w:t>
            </w:r>
            <w:bookmarkEnd w:id="1747"/>
          </w:p>
        </w:tc>
        <w:tc>
          <w:tcPr>
            <w:tcW w:w="781" w:type="pct"/>
            <w:tcBorders>
              <w:top w:val="nil"/>
              <w:left w:val="nil"/>
              <w:bottom w:val="single" w:sz="4" w:space="0" w:color="auto"/>
              <w:right w:val="single" w:sz="4" w:space="0" w:color="auto"/>
            </w:tcBorders>
            <w:shd w:val="clear" w:color="000000" w:fill="FFFFFF"/>
            <w:noWrap/>
            <w:hideMark/>
          </w:tcPr>
          <w:p w14:paraId="5D367CB8" w14:textId="77777777" w:rsidR="00E16947" w:rsidRPr="00E16947" w:rsidRDefault="00E16947" w:rsidP="00E16947">
            <w:pPr>
              <w:jc w:val="right"/>
              <w:outlineLvl w:val="0"/>
              <w:rPr>
                <w:noProof/>
                <w:sz w:val="20"/>
                <w:szCs w:val="20"/>
              </w:rPr>
            </w:pPr>
            <w:bookmarkStart w:id="1748" w:name="_Toc223981346"/>
            <w:r w:rsidRPr="00E16947">
              <w:rPr>
                <w:noProof/>
                <w:sz w:val="20"/>
                <w:szCs w:val="20"/>
              </w:rPr>
              <w:t>0.0</w:t>
            </w:r>
            <w:bookmarkEnd w:id="1748"/>
          </w:p>
        </w:tc>
        <w:tc>
          <w:tcPr>
            <w:tcW w:w="781" w:type="pct"/>
            <w:tcBorders>
              <w:top w:val="nil"/>
              <w:left w:val="nil"/>
              <w:bottom w:val="single" w:sz="4" w:space="0" w:color="auto"/>
              <w:right w:val="single" w:sz="4" w:space="0" w:color="auto"/>
            </w:tcBorders>
            <w:shd w:val="clear" w:color="000000" w:fill="FFFFFF"/>
            <w:noWrap/>
            <w:hideMark/>
          </w:tcPr>
          <w:p w14:paraId="0E5B8606" w14:textId="77777777" w:rsidR="00E16947" w:rsidRPr="00E16947" w:rsidRDefault="00E16947" w:rsidP="00E16947">
            <w:pPr>
              <w:jc w:val="right"/>
              <w:outlineLvl w:val="0"/>
              <w:rPr>
                <w:noProof/>
                <w:sz w:val="20"/>
                <w:szCs w:val="20"/>
              </w:rPr>
            </w:pPr>
            <w:bookmarkStart w:id="1749" w:name="_Toc223981347"/>
            <w:r w:rsidRPr="00E16947">
              <w:rPr>
                <w:noProof/>
                <w:sz w:val="20"/>
                <w:szCs w:val="20"/>
              </w:rPr>
              <w:t>0.0</w:t>
            </w:r>
            <w:bookmarkEnd w:id="1749"/>
          </w:p>
        </w:tc>
        <w:tc>
          <w:tcPr>
            <w:tcW w:w="781" w:type="pct"/>
            <w:tcBorders>
              <w:top w:val="nil"/>
              <w:left w:val="nil"/>
              <w:bottom w:val="single" w:sz="4" w:space="0" w:color="auto"/>
              <w:right w:val="single" w:sz="4" w:space="0" w:color="auto"/>
            </w:tcBorders>
            <w:shd w:val="clear" w:color="000000" w:fill="FFFFFF"/>
            <w:noWrap/>
            <w:hideMark/>
          </w:tcPr>
          <w:p w14:paraId="68314C39" w14:textId="77777777" w:rsidR="00E16947" w:rsidRPr="00E16947" w:rsidRDefault="00E16947" w:rsidP="00E16947">
            <w:pPr>
              <w:jc w:val="right"/>
              <w:outlineLvl w:val="0"/>
              <w:rPr>
                <w:noProof/>
                <w:sz w:val="20"/>
                <w:szCs w:val="20"/>
              </w:rPr>
            </w:pPr>
            <w:bookmarkStart w:id="1750" w:name="_Toc223981348"/>
            <w:r w:rsidRPr="00E16947">
              <w:rPr>
                <w:noProof/>
                <w:sz w:val="20"/>
                <w:szCs w:val="20"/>
              </w:rPr>
              <w:t>0.0</w:t>
            </w:r>
            <w:bookmarkEnd w:id="1750"/>
          </w:p>
        </w:tc>
      </w:tr>
      <w:tr w:rsidR="00E16947" w:rsidRPr="00491C02" w14:paraId="39D41A7F"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0B8C131D" w14:textId="77777777" w:rsidR="00E16947" w:rsidRPr="00491C02" w:rsidRDefault="00E16947" w:rsidP="00E16947">
            <w:pPr>
              <w:outlineLvl w:val="0"/>
              <w:rPr>
                <w:noProof/>
                <w:sz w:val="20"/>
                <w:szCs w:val="20"/>
              </w:rPr>
            </w:pPr>
            <w:r w:rsidRPr="00491C02">
              <w:rPr>
                <w:noProof/>
                <w:sz w:val="20"/>
                <w:szCs w:val="20"/>
              </w:rPr>
              <w:t xml:space="preserve"> </w:t>
            </w:r>
            <w:bookmarkStart w:id="1751" w:name="_Toc223981349"/>
            <w:r w:rsidRPr="00491C02">
              <w:rPr>
                <w:noProof/>
                <w:sz w:val="20"/>
                <w:szCs w:val="20"/>
              </w:rPr>
              <w:t>Estonia</w:t>
            </w:r>
            <w:bookmarkEnd w:id="175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17C5FE41" w14:textId="77777777" w:rsidR="00E16947" w:rsidRPr="00E16947" w:rsidRDefault="00E16947" w:rsidP="00E16947">
            <w:pPr>
              <w:jc w:val="right"/>
              <w:outlineLvl w:val="0"/>
              <w:rPr>
                <w:noProof/>
                <w:sz w:val="20"/>
                <w:szCs w:val="20"/>
              </w:rPr>
            </w:pPr>
            <w:bookmarkStart w:id="1752" w:name="_Toc223981350"/>
            <w:r w:rsidRPr="00E16947">
              <w:rPr>
                <w:noProof/>
                <w:sz w:val="20"/>
                <w:szCs w:val="20"/>
              </w:rPr>
              <w:t>0.0</w:t>
            </w:r>
            <w:bookmarkEnd w:id="1752"/>
          </w:p>
        </w:tc>
        <w:tc>
          <w:tcPr>
            <w:tcW w:w="781" w:type="pct"/>
            <w:tcBorders>
              <w:top w:val="nil"/>
              <w:left w:val="nil"/>
              <w:bottom w:val="single" w:sz="4" w:space="0" w:color="auto"/>
              <w:right w:val="single" w:sz="4" w:space="0" w:color="auto"/>
            </w:tcBorders>
            <w:shd w:val="clear" w:color="000000" w:fill="FFFFFF"/>
            <w:noWrap/>
            <w:hideMark/>
          </w:tcPr>
          <w:p w14:paraId="21B7B85D" w14:textId="77777777" w:rsidR="00E16947" w:rsidRPr="00E16947" w:rsidRDefault="00E16947" w:rsidP="00E16947">
            <w:pPr>
              <w:jc w:val="right"/>
              <w:outlineLvl w:val="0"/>
              <w:rPr>
                <w:noProof/>
                <w:sz w:val="20"/>
                <w:szCs w:val="20"/>
              </w:rPr>
            </w:pPr>
            <w:bookmarkStart w:id="1753" w:name="_Toc223981351"/>
            <w:r w:rsidRPr="00E16947">
              <w:rPr>
                <w:noProof/>
                <w:sz w:val="20"/>
                <w:szCs w:val="20"/>
              </w:rPr>
              <w:t>0.0</w:t>
            </w:r>
            <w:bookmarkEnd w:id="1753"/>
          </w:p>
        </w:tc>
        <w:tc>
          <w:tcPr>
            <w:tcW w:w="781" w:type="pct"/>
            <w:tcBorders>
              <w:top w:val="nil"/>
              <w:left w:val="nil"/>
              <w:bottom w:val="single" w:sz="4" w:space="0" w:color="auto"/>
              <w:right w:val="single" w:sz="4" w:space="0" w:color="auto"/>
            </w:tcBorders>
            <w:shd w:val="clear" w:color="000000" w:fill="FFFFFF"/>
            <w:noWrap/>
            <w:hideMark/>
          </w:tcPr>
          <w:p w14:paraId="20289CD5" w14:textId="77777777" w:rsidR="00E16947" w:rsidRPr="00E16947" w:rsidRDefault="00E16947" w:rsidP="00E16947">
            <w:pPr>
              <w:jc w:val="right"/>
              <w:outlineLvl w:val="0"/>
              <w:rPr>
                <w:noProof/>
                <w:sz w:val="20"/>
                <w:szCs w:val="20"/>
              </w:rPr>
            </w:pPr>
            <w:bookmarkStart w:id="1754" w:name="_Toc223981352"/>
            <w:r w:rsidRPr="00E16947">
              <w:rPr>
                <w:noProof/>
                <w:sz w:val="20"/>
                <w:szCs w:val="20"/>
              </w:rPr>
              <w:t>0.0</w:t>
            </w:r>
            <w:bookmarkEnd w:id="1754"/>
          </w:p>
        </w:tc>
        <w:tc>
          <w:tcPr>
            <w:tcW w:w="781" w:type="pct"/>
            <w:tcBorders>
              <w:top w:val="nil"/>
              <w:left w:val="nil"/>
              <w:bottom w:val="single" w:sz="4" w:space="0" w:color="auto"/>
              <w:right w:val="single" w:sz="4" w:space="0" w:color="auto"/>
            </w:tcBorders>
            <w:shd w:val="clear" w:color="000000" w:fill="FFFFFF"/>
            <w:noWrap/>
            <w:hideMark/>
          </w:tcPr>
          <w:p w14:paraId="51155113" w14:textId="77777777" w:rsidR="00E16947" w:rsidRPr="00E16947" w:rsidRDefault="00E16947" w:rsidP="00E16947">
            <w:pPr>
              <w:jc w:val="right"/>
              <w:outlineLvl w:val="0"/>
              <w:rPr>
                <w:noProof/>
                <w:sz w:val="20"/>
                <w:szCs w:val="20"/>
              </w:rPr>
            </w:pPr>
            <w:bookmarkStart w:id="1755" w:name="_Toc223981353"/>
            <w:r w:rsidRPr="00E16947">
              <w:rPr>
                <w:noProof/>
                <w:sz w:val="20"/>
                <w:szCs w:val="20"/>
              </w:rPr>
              <w:t>0.0</w:t>
            </w:r>
            <w:bookmarkEnd w:id="1755"/>
          </w:p>
        </w:tc>
      </w:tr>
      <w:tr w:rsidR="00E16947" w:rsidRPr="00491C02" w14:paraId="695DF6FC"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190956C0" w14:textId="77777777" w:rsidR="00E16947" w:rsidRPr="00491C02" w:rsidRDefault="00E16947" w:rsidP="00E16947">
            <w:pPr>
              <w:outlineLvl w:val="0"/>
              <w:rPr>
                <w:noProof/>
                <w:sz w:val="20"/>
                <w:szCs w:val="20"/>
              </w:rPr>
            </w:pPr>
            <w:r w:rsidRPr="00491C02">
              <w:rPr>
                <w:noProof/>
                <w:sz w:val="20"/>
                <w:szCs w:val="20"/>
              </w:rPr>
              <w:t xml:space="preserve"> </w:t>
            </w:r>
            <w:bookmarkStart w:id="1756" w:name="_Toc223981354"/>
            <w:r w:rsidRPr="00491C02">
              <w:rPr>
                <w:noProof/>
                <w:sz w:val="20"/>
                <w:szCs w:val="20"/>
              </w:rPr>
              <w:t>Croatia</w:t>
            </w:r>
            <w:bookmarkEnd w:id="175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1651CAB6" w14:textId="58514853" w:rsidR="00E16947" w:rsidRPr="00E16947" w:rsidRDefault="00E16947" w:rsidP="00E16947">
            <w:pPr>
              <w:jc w:val="right"/>
              <w:outlineLvl w:val="0"/>
              <w:rPr>
                <w:noProof/>
                <w:sz w:val="20"/>
                <w:szCs w:val="20"/>
              </w:rPr>
            </w:pPr>
            <w:bookmarkStart w:id="1757" w:name="_Toc223981355"/>
            <w:r w:rsidRPr="00E16947">
              <w:rPr>
                <w:noProof/>
                <w:sz w:val="20"/>
                <w:szCs w:val="20"/>
              </w:rPr>
              <w:t>34.6</w:t>
            </w:r>
            <w:bookmarkEnd w:id="1757"/>
          </w:p>
        </w:tc>
        <w:tc>
          <w:tcPr>
            <w:tcW w:w="781" w:type="pct"/>
            <w:tcBorders>
              <w:top w:val="nil"/>
              <w:left w:val="nil"/>
              <w:bottom w:val="single" w:sz="4" w:space="0" w:color="auto"/>
              <w:right w:val="single" w:sz="4" w:space="0" w:color="auto"/>
            </w:tcBorders>
            <w:shd w:val="clear" w:color="000000" w:fill="FFFFFF"/>
            <w:noWrap/>
            <w:hideMark/>
          </w:tcPr>
          <w:p w14:paraId="5ADA5C1E" w14:textId="41507B35" w:rsidR="00E16947" w:rsidRPr="00E16947" w:rsidRDefault="00E16947" w:rsidP="00E16947">
            <w:pPr>
              <w:jc w:val="right"/>
              <w:outlineLvl w:val="0"/>
              <w:rPr>
                <w:noProof/>
                <w:sz w:val="20"/>
                <w:szCs w:val="20"/>
              </w:rPr>
            </w:pPr>
            <w:bookmarkStart w:id="1758" w:name="_Toc223981356"/>
            <w:r w:rsidRPr="00E16947">
              <w:rPr>
                <w:noProof/>
                <w:sz w:val="20"/>
                <w:szCs w:val="20"/>
              </w:rPr>
              <w:t>5.2</w:t>
            </w:r>
            <w:bookmarkEnd w:id="1758"/>
          </w:p>
        </w:tc>
        <w:tc>
          <w:tcPr>
            <w:tcW w:w="781" w:type="pct"/>
            <w:tcBorders>
              <w:top w:val="nil"/>
              <w:left w:val="nil"/>
              <w:bottom w:val="single" w:sz="4" w:space="0" w:color="auto"/>
              <w:right w:val="single" w:sz="4" w:space="0" w:color="auto"/>
            </w:tcBorders>
            <w:shd w:val="clear" w:color="000000" w:fill="FFFFFF"/>
            <w:noWrap/>
            <w:hideMark/>
          </w:tcPr>
          <w:p w14:paraId="060CC6FD" w14:textId="47937F0A" w:rsidR="00E16947" w:rsidRPr="00E16947" w:rsidRDefault="00E16947" w:rsidP="00E16947">
            <w:pPr>
              <w:jc w:val="right"/>
              <w:outlineLvl w:val="0"/>
              <w:rPr>
                <w:noProof/>
                <w:sz w:val="20"/>
                <w:szCs w:val="20"/>
              </w:rPr>
            </w:pPr>
            <w:bookmarkStart w:id="1759" w:name="_Toc223981357"/>
            <w:r w:rsidRPr="00E16947">
              <w:rPr>
                <w:noProof/>
                <w:sz w:val="20"/>
                <w:szCs w:val="20"/>
              </w:rPr>
              <w:t>8.8</w:t>
            </w:r>
            <w:bookmarkEnd w:id="1759"/>
          </w:p>
        </w:tc>
        <w:tc>
          <w:tcPr>
            <w:tcW w:w="781" w:type="pct"/>
            <w:tcBorders>
              <w:top w:val="nil"/>
              <w:left w:val="nil"/>
              <w:bottom w:val="single" w:sz="4" w:space="0" w:color="auto"/>
              <w:right w:val="single" w:sz="4" w:space="0" w:color="auto"/>
            </w:tcBorders>
            <w:shd w:val="clear" w:color="000000" w:fill="FFFFFF"/>
            <w:noWrap/>
            <w:hideMark/>
          </w:tcPr>
          <w:p w14:paraId="333A9474" w14:textId="007D73DC" w:rsidR="00E16947" w:rsidRPr="00E16947" w:rsidRDefault="00E16947" w:rsidP="00E16947">
            <w:pPr>
              <w:jc w:val="right"/>
              <w:outlineLvl w:val="0"/>
              <w:rPr>
                <w:noProof/>
                <w:sz w:val="20"/>
                <w:szCs w:val="20"/>
              </w:rPr>
            </w:pPr>
            <w:bookmarkStart w:id="1760" w:name="_Toc223981358"/>
            <w:r w:rsidRPr="00E16947">
              <w:rPr>
                <w:noProof/>
                <w:sz w:val="20"/>
                <w:szCs w:val="20"/>
              </w:rPr>
              <w:t>6.0</w:t>
            </w:r>
            <w:bookmarkEnd w:id="1760"/>
          </w:p>
        </w:tc>
      </w:tr>
      <w:tr w:rsidR="00E16947" w:rsidRPr="00491C02" w14:paraId="25A9E539"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4D92160" w14:textId="77777777" w:rsidR="00E16947" w:rsidRPr="00491C02" w:rsidRDefault="00E16947" w:rsidP="00E16947">
            <w:pPr>
              <w:outlineLvl w:val="0"/>
              <w:rPr>
                <w:noProof/>
                <w:sz w:val="20"/>
                <w:szCs w:val="20"/>
              </w:rPr>
            </w:pPr>
            <w:r w:rsidRPr="00491C02">
              <w:rPr>
                <w:noProof/>
                <w:sz w:val="20"/>
                <w:szCs w:val="20"/>
              </w:rPr>
              <w:t xml:space="preserve"> </w:t>
            </w:r>
            <w:bookmarkStart w:id="1761" w:name="_Toc223981359"/>
            <w:r w:rsidRPr="00491C02">
              <w:rPr>
                <w:noProof/>
                <w:sz w:val="20"/>
                <w:szCs w:val="20"/>
              </w:rPr>
              <w:t>Lithuania</w:t>
            </w:r>
            <w:bookmarkEnd w:id="176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28E23512" w14:textId="77777777" w:rsidR="00E16947" w:rsidRPr="00E16947" w:rsidRDefault="00E16947" w:rsidP="00E16947">
            <w:pPr>
              <w:jc w:val="right"/>
              <w:outlineLvl w:val="0"/>
              <w:rPr>
                <w:noProof/>
                <w:sz w:val="20"/>
                <w:szCs w:val="20"/>
              </w:rPr>
            </w:pPr>
            <w:bookmarkStart w:id="1762" w:name="_Toc223981360"/>
            <w:r w:rsidRPr="00E16947">
              <w:rPr>
                <w:noProof/>
                <w:sz w:val="20"/>
                <w:szCs w:val="20"/>
              </w:rPr>
              <w:t>0.0</w:t>
            </w:r>
            <w:bookmarkEnd w:id="1762"/>
          </w:p>
        </w:tc>
        <w:tc>
          <w:tcPr>
            <w:tcW w:w="781" w:type="pct"/>
            <w:tcBorders>
              <w:top w:val="nil"/>
              <w:left w:val="nil"/>
              <w:bottom w:val="single" w:sz="4" w:space="0" w:color="auto"/>
              <w:right w:val="single" w:sz="4" w:space="0" w:color="auto"/>
            </w:tcBorders>
            <w:shd w:val="clear" w:color="000000" w:fill="FFFFFF"/>
            <w:noWrap/>
            <w:hideMark/>
          </w:tcPr>
          <w:p w14:paraId="091ABB2D" w14:textId="77777777" w:rsidR="00E16947" w:rsidRPr="00E16947" w:rsidRDefault="00E16947" w:rsidP="00E16947">
            <w:pPr>
              <w:jc w:val="right"/>
              <w:outlineLvl w:val="0"/>
              <w:rPr>
                <w:noProof/>
                <w:sz w:val="20"/>
                <w:szCs w:val="20"/>
              </w:rPr>
            </w:pPr>
            <w:bookmarkStart w:id="1763" w:name="_Toc223981361"/>
            <w:r w:rsidRPr="00E16947">
              <w:rPr>
                <w:noProof/>
                <w:sz w:val="20"/>
                <w:szCs w:val="20"/>
              </w:rPr>
              <w:t>0.0</w:t>
            </w:r>
            <w:bookmarkEnd w:id="1763"/>
          </w:p>
        </w:tc>
        <w:tc>
          <w:tcPr>
            <w:tcW w:w="781" w:type="pct"/>
            <w:tcBorders>
              <w:top w:val="nil"/>
              <w:left w:val="nil"/>
              <w:bottom w:val="single" w:sz="4" w:space="0" w:color="auto"/>
              <w:right w:val="single" w:sz="4" w:space="0" w:color="auto"/>
            </w:tcBorders>
            <w:shd w:val="clear" w:color="000000" w:fill="FFFFFF"/>
            <w:noWrap/>
            <w:hideMark/>
          </w:tcPr>
          <w:p w14:paraId="618B5356" w14:textId="77777777" w:rsidR="00E16947" w:rsidRPr="00E16947" w:rsidRDefault="00E16947" w:rsidP="00E16947">
            <w:pPr>
              <w:jc w:val="right"/>
              <w:outlineLvl w:val="0"/>
              <w:rPr>
                <w:noProof/>
                <w:sz w:val="20"/>
                <w:szCs w:val="20"/>
              </w:rPr>
            </w:pPr>
            <w:bookmarkStart w:id="1764" w:name="_Toc223981362"/>
            <w:r w:rsidRPr="00E16947">
              <w:rPr>
                <w:noProof/>
                <w:sz w:val="20"/>
                <w:szCs w:val="20"/>
              </w:rPr>
              <w:t>0.0</w:t>
            </w:r>
            <w:bookmarkEnd w:id="1764"/>
          </w:p>
        </w:tc>
        <w:tc>
          <w:tcPr>
            <w:tcW w:w="781" w:type="pct"/>
            <w:tcBorders>
              <w:top w:val="nil"/>
              <w:left w:val="nil"/>
              <w:bottom w:val="single" w:sz="4" w:space="0" w:color="auto"/>
              <w:right w:val="single" w:sz="4" w:space="0" w:color="auto"/>
            </w:tcBorders>
            <w:shd w:val="clear" w:color="000000" w:fill="FFFFFF"/>
            <w:noWrap/>
            <w:hideMark/>
          </w:tcPr>
          <w:p w14:paraId="3908E79B" w14:textId="77777777" w:rsidR="00E16947" w:rsidRPr="00E16947" w:rsidRDefault="00E16947" w:rsidP="00E16947">
            <w:pPr>
              <w:jc w:val="right"/>
              <w:outlineLvl w:val="0"/>
              <w:rPr>
                <w:noProof/>
                <w:sz w:val="20"/>
                <w:szCs w:val="20"/>
              </w:rPr>
            </w:pPr>
            <w:bookmarkStart w:id="1765" w:name="_Toc223981363"/>
            <w:r w:rsidRPr="00E16947">
              <w:rPr>
                <w:noProof/>
                <w:sz w:val="20"/>
                <w:szCs w:val="20"/>
              </w:rPr>
              <w:t>0.0</w:t>
            </w:r>
            <w:bookmarkEnd w:id="1765"/>
          </w:p>
        </w:tc>
      </w:tr>
      <w:tr w:rsidR="00E16947" w:rsidRPr="00491C02" w14:paraId="22258F4E"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01CB933A" w14:textId="77777777" w:rsidR="00E16947" w:rsidRPr="00491C02" w:rsidRDefault="00E16947" w:rsidP="00E16947">
            <w:pPr>
              <w:outlineLvl w:val="0"/>
              <w:rPr>
                <w:noProof/>
                <w:sz w:val="20"/>
                <w:szCs w:val="20"/>
              </w:rPr>
            </w:pPr>
            <w:r w:rsidRPr="00491C02">
              <w:rPr>
                <w:noProof/>
                <w:sz w:val="20"/>
                <w:szCs w:val="20"/>
              </w:rPr>
              <w:t xml:space="preserve"> </w:t>
            </w:r>
            <w:bookmarkStart w:id="1766" w:name="_Toc223981364"/>
            <w:r w:rsidRPr="00491C02">
              <w:rPr>
                <w:noProof/>
                <w:sz w:val="20"/>
                <w:szCs w:val="20"/>
              </w:rPr>
              <w:t>Hungary</w:t>
            </w:r>
            <w:bookmarkEnd w:id="176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79DBD18A" w14:textId="2E54480E" w:rsidR="00E16947" w:rsidRPr="00E16947" w:rsidRDefault="00E16947" w:rsidP="00E16947">
            <w:pPr>
              <w:jc w:val="right"/>
              <w:outlineLvl w:val="0"/>
              <w:rPr>
                <w:noProof/>
                <w:sz w:val="20"/>
                <w:szCs w:val="20"/>
              </w:rPr>
            </w:pPr>
            <w:bookmarkStart w:id="1767" w:name="_Toc223981365"/>
            <w:r w:rsidRPr="00E16947">
              <w:rPr>
                <w:noProof/>
                <w:sz w:val="20"/>
                <w:szCs w:val="20"/>
              </w:rPr>
              <w:t>103.9</w:t>
            </w:r>
            <w:bookmarkEnd w:id="1767"/>
          </w:p>
        </w:tc>
        <w:tc>
          <w:tcPr>
            <w:tcW w:w="781" w:type="pct"/>
            <w:tcBorders>
              <w:top w:val="nil"/>
              <w:left w:val="nil"/>
              <w:bottom w:val="single" w:sz="4" w:space="0" w:color="auto"/>
              <w:right w:val="single" w:sz="4" w:space="0" w:color="auto"/>
            </w:tcBorders>
            <w:shd w:val="clear" w:color="000000" w:fill="FFFFFF"/>
            <w:noWrap/>
            <w:hideMark/>
          </w:tcPr>
          <w:p w14:paraId="01028131" w14:textId="725D1D52" w:rsidR="00E16947" w:rsidRPr="00E16947" w:rsidRDefault="00E16947" w:rsidP="00E16947">
            <w:pPr>
              <w:jc w:val="right"/>
              <w:outlineLvl w:val="0"/>
              <w:rPr>
                <w:noProof/>
                <w:sz w:val="20"/>
                <w:szCs w:val="20"/>
              </w:rPr>
            </w:pPr>
            <w:bookmarkStart w:id="1768" w:name="_Toc223981366"/>
            <w:r w:rsidRPr="00E16947">
              <w:rPr>
                <w:noProof/>
                <w:sz w:val="20"/>
                <w:szCs w:val="20"/>
              </w:rPr>
              <w:t>15.7</w:t>
            </w:r>
            <w:bookmarkEnd w:id="1768"/>
          </w:p>
        </w:tc>
        <w:tc>
          <w:tcPr>
            <w:tcW w:w="781" w:type="pct"/>
            <w:tcBorders>
              <w:top w:val="nil"/>
              <w:left w:val="nil"/>
              <w:bottom w:val="single" w:sz="4" w:space="0" w:color="auto"/>
              <w:right w:val="single" w:sz="4" w:space="0" w:color="auto"/>
            </w:tcBorders>
            <w:shd w:val="clear" w:color="000000" w:fill="FFFFFF"/>
            <w:noWrap/>
            <w:hideMark/>
          </w:tcPr>
          <w:p w14:paraId="5822E820" w14:textId="793AC3A1" w:rsidR="00E16947" w:rsidRPr="00E16947" w:rsidRDefault="00E16947" w:rsidP="00E16947">
            <w:pPr>
              <w:jc w:val="right"/>
              <w:outlineLvl w:val="0"/>
              <w:rPr>
                <w:noProof/>
                <w:sz w:val="20"/>
                <w:szCs w:val="20"/>
              </w:rPr>
            </w:pPr>
            <w:bookmarkStart w:id="1769" w:name="_Toc223981367"/>
            <w:r w:rsidRPr="00E16947">
              <w:rPr>
                <w:noProof/>
                <w:sz w:val="20"/>
                <w:szCs w:val="20"/>
              </w:rPr>
              <w:t>26.4</w:t>
            </w:r>
            <w:bookmarkEnd w:id="1769"/>
          </w:p>
        </w:tc>
        <w:tc>
          <w:tcPr>
            <w:tcW w:w="781" w:type="pct"/>
            <w:tcBorders>
              <w:top w:val="nil"/>
              <w:left w:val="nil"/>
              <w:bottom w:val="single" w:sz="4" w:space="0" w:color="auto"/>
              <w:right w:val="single" w:sz="4" w:space="0" w:color="auto"/>
            </w:tcBorders>
            <w:shd w:val="clear" w:color="000000" w:fill="FFFFFF"/>
            <w:noWrap/>
            <w:hideMark/>
          </w:tcPr>
          <w:p w14:paraId="4E2FFDB9" w14:textId="5E6FE69B" w:rsidR="00E16947" w:rsidRPr="00E16947" w:rsidRDefault="00E16947" w:rsidP="00E16947">
            <w:pPr>
              <w:jc w:val="right"/>
              <w:outlineLvl w:val="0"/>
              <w:rPr>
                <w:noProof/>
                <w:sz w:val="20"/>
                <w:szCs w:val="20"/>
              </w:rPr>
            </w:pPr>
            <w:bookmarkStart w:id="1770" w:name="_Toc223981368"/>
            <w:r w:rsidRPr="00E16947">
              <w:rPr>
                <w:noProof/>
                <w:sz w:val="20"/>
                <w:szCs w:val="20"/>
              </w:rPr>
              <w:t>18.1</w:t>
            </w:r>
            <w:bookmarkEnd w:id="1770"/>
          </w:p>
        </w:tc>
      </w:tr>
      <w:tr w:rsidR="00E16947" w:rsidRPr="00491C02" w14:paraId="0856CD1E"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15F768CC" w14:textId="77777777" w:rsidR="00E16947" w:rsidRPr="00491C02" w:rsidRDefault="00E16947" w:rsidP="00E16947">
            <w:pPr>
              <w:outlineLvl w:val="0"/>
              <w:rPr>
                <w:noProof/>
                <w:sz w:val="20"/>
                <w:szCs w:val="20"/>
              </w:rPr>
            </w:pPr>
            <w:r w:rsidRPr="00491C02">
              <w:rPr>
                <w:noProof/>
                <w:sz w:val="20"/>
                <w:szCs w:val="20"/>
              </w:rPr>
              <w:t xml:space="preserve"> </w:t>
            </w:r>
            <w:bookmarkStart w:id="1771" w:name="_Toc223981369"/>
            <w:r w:rsidRPr="00491C02">
              <w:rPr>
                <w:noProof/>
                <w:sz w:val="20"/>
                <w:szCs w:val="20"/>
              </w:rPr>
              <w:t>Sweden</w:t>
            </w:r>
            <w:bookmarkEnd w:id="177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F7C1C32" w14:textId="05EEB08A" w:rsidR="00E16947" w:rsidRPr="00E16947" w:rsidRDefault="00E16947" w:rsidP="00E16947">
            <w:pPr>
              <w:jc w:val="right"/>
              <w:outlineLvl w:val="0"/>
              <w:rPr>
                <w:noProof/>
                <w:sz w:val="20"/>
                <w:szCs w:val="20"/>
              </w:rPr>
            </w:pPr>
            <w:bookmarkStart w:id="1772" w:name="_Toc223981370"/>
            <w:r w:rsidRPr="00E16947">
              <w:rPr>
                <w:noProof/>
                <w:sz w:val="20"/>
                <w:szCs w:val="20"/>
              </w:rPr>
              <w:t>69.3</w:t>
            </w:r>
            <w:bookmarkEnd w:id="1772"/>
          </w:p>
        </w:tc>
        <w:tc>
          <w:tcPr>
            <w:tcW w:w="781" w:type="pct"/>
            <w:tcBorders>
              <w:top w:val="nil"/>
              <w:left w:val="nil"/>
              <w:bottom w:val="single" w:sz="4" w:space="0" w:color="auto"/>
              <w:right w:val="single" w:sz="4" w:space="0" w:color="auto"/>
            </w:tcBorders>
            <w:shd w:val="clear" w:color="000000" w:fill="FFFFFF"/>
            <w:noWrap/>
            <w:hideMark/>
          </w:tcPr>
          <w:p w14:paraId="67528BF2" w14:textId="30F744A6" w:rsidR="00E16947" w:rsidRPr="00E16947" w:rsidRDefault="00E16947" w:rsidP="00E16947">
            <w:pPr>
              <w:jc w:val="right"/>
              <w:outlineLvl w:val="0"/>
              <w:rPr>
                <w:noProof/>
                <w:sz w:val="20"/>
                <w:szCs w:val="20"/>
              </w:rPr>
            </w:pPr>
            <w:bookmarkStart w:id="1773" w:name="_Toc223981371"/>
            <w:r w:rsidRPr="00E16947">
              <w:rPr>
                <w:noProof/>
                <w:sz w:val="20"/>
                <w:szCs w:val="20"/>
              </w:rPr>
              <w:t>10.5</w:t>
            </w:r>
            <w:bookmarkEnd w:id="1773"/>
          </w:p>
        </w:tc>
        <w:tc>
          <w:tcPr>
            <w:tcW w:w="781" w:type="pct"/>
            <w:tcBorders>
              <w:top w:val="nil"/>
              <w:left w:val="nil"/>
              <w:bottom w:val="single" w:sz="4" w:space="0" w:color="auto"/>
              <w:right w:val="single" w:sz="4" w:space="0" w:color="auto"/>
            </w:tcBorders>
            <w:shd w:val="clear" w:color="000000" w:fill="FFFFFF"/>
            <w:noWrap/>
            <w:hideMark/>
          </w:tcPr>
          <w:p w14:paraId="64CF9E53" w14:textId="191155B8" w:rsidR="00E16947" w:rsidRPr="00E16947" w:rsidRDefault="00E16947" w:rsidP="00E16947">
            <w:pPr>
              <w:jc w:val="right"/>
              <w:outlineLvl w:val="0"/>
              <w:rPr>
                <w:noProof/>
                <w:sz w:val="20"/>
                <w:szCs w:val="20"/>
              </w:rPr>
            </w:pPr>
            <w:bookmarkStart w:id="1774" w:name="_Toc223981372"/>
            <w:r w:rsidRPr="00E16947">
              <w:rPr>
                <w:noProof/>
                <w:sz w:val="20"/>
                <w:szCs w:val="20"/>
              </w:rPr>
              <w:t>17.6</w:t>
            </w:r>
            <w:bookmarkEnd w:id="1774"/>
          </w:p>
        </w:tc>
        <w:tc>
          <w:tcPr>
            <w:tcW w:w="781" w:type="pct"/>
            <w:tcBorders>
              <w:top w:val="nil"/>
              <w:left w:val="nil"/>
              <w:bottom w:val="single" w:sz="4" w:space="0" w:color="auto"/>
              <w:right w:val="single" w:sz="4" w:space="0" w:color="auto"/>
            </w:tcBorders>
            <w:shd w:val="clear" w:color="000000" w:fill="FFFFFF"/>
            <w:noWrap/>
            <w:hideMark/>
          </w:tcPr>
          <w:p w14:paraId="0BF9C713" w14:textId="49123D46" w:rsidR="00E16947" w:rsidRPr="00E16947" w:rsidRDefault="00E16947" w:rsidP="00E16947">
            <w:pPr>
              <w:jc w:val="right"/>
              <w:outlineLvl w:val="0"/>
              <w:rPr>
                <w:noProof/>
                <w:sz w:val="20"/>
                <w:szCs w:val="20"/>
              </w:rPr>
            </w:pPr>
            <w:bookmarkStart w:id="1775" w:name="_Toc223981373"/>
            <w:r w:rsidRPr="00E16947">
              <w:rPr>
                <w:noProof/>
                <w:sz w:val="20"/>
                <w:szCs w:val="20"/>
              </w:rPr>
              <w:t>12.1</w:t>
            </w:r>
            <w:bookmarkEnd w:id="1775"/>
          </w:p>
        </w:tc>
      </w:tr>
      <w:tr w:rsidR="00E16947" w:rsidRPr="00491C02" w14:paraId="5E970B8E"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0507A7A2" w14:textId="331825B3" w:rsidR="00E16947" w:rsidRPr="00491C02" w:rsidRDefault="00E16947" w:rsidP="00E16947">
            <w:pPr>
              <w:outlineLvl w:val="0"/>
              <w:rPr>
                <w:noProof/>
                <w:sz w:val="20"/>
                <w:szCs w:val="20"/>
              </w:rPr>
            </w:pPr>
            <w:bookmarkStart w:id="1776" w:name="_Toc223981374"/>
            <w:r w:rsidRPr="00491C02">
              <w:rPr>
                <w:noProof/>
                <w:sz w:val="20"/>
                <w:szCs w:val="20"/>
              </w:rPr>
              <w:t>Czechia</w:t>
            </w:r>
            <w:bookmarkEnd w:id="1776"/>
          </w:p>
        </w:tc>
        <w:tc>
          <w:tcPr>
            <w:tcW w:w="780" w:type="pct"/>
            <w:tcBorders>
              <w:top w:val="nil"/>
              <w:left w:val="nil"/>
              <w:bottom w:val="single" w:sz="4" w:space="0" w:color="auto"/>
              <w:right w:val="single" w:sz="4" w:space="0" w:color="auto"/>
            </w:tcBorders>
            <w:shd w:val="clear" w:color="000000" w:fill="FFFFFF"/>
            <w:noWrap/>
            <w:hideMark/>
          </w:tcPr>
          <w:p w14:paraId="11B69A04" w14:textId="5BC58091" w:rsidR="00E16947" w:rsidRPr="00E16947" w:rsidRDefault="00E16947" w:rsidP="00E16947">
            <w:pPr>
              <w:jc w:val="right"/>
              <w:outlineLvl w:val="0"/>
              <w:rPr>
                <w:noProof/>
                <w:sz w:val="20"/>
                <w:szCs w:val="20"/>
              </w:rPr>
            </w:pPr>
            <w:bookmarkStart w:id="1777" w:name="_Toc223981375"/>
            <w:r w:rsidRPr="00E16947">
              <w:rPr>
                <w:noProof/>
                <w:sz w:val="20"/>
                <w:szCs w:val="20"/>
              </w:rPr>
              <w:t>103.9</w:t>
            </w:r>
            <w:bookmarkEnd w:id="1777"/>
          </w:p>
        </w:tc>
        <w:tc>
          <w:tcPr>
            <w:tcW w:w="781" w:type="pct"/>
            <w:tcBorders>
              <w:top w:val="nil"/>
              <w:left w:val="nil"/>
              <w:bottom w:val="single" w:sz="4" w:space="0" w:color="auto"/>
              <w:right w:val="single" w:sz="4" w:space="0" w:color="auto"/>
            </w:tcBorders>
            <w:shd w:val="clear" w:color="000000" w:fill="FFFFFF"/>
            <w:noWrap/>
            <w:hideMark/>
          </w:tcPr>
          <w:p w14:paraId="253F4CB8" w14:textId="42E22839" w:rsidR="00E16947" w:rsidRPr="00E16947" w:rsidRDefault="00E16947" w:rsidP="00E16947">
            <w:pPr>
              <w:jc w:val="right"/>
              <w:outlineLvl w:val="0"/>
              <w:rPr>
                <w:noProof/>
                <w:sz w:val="20"/>
                <w:szCs w:val="20"/>
              </w:rPr>
            </w:pPr>
            <w:bookmarkStart w:id="1778" w:name="_Toc223981376"/>
            <w:r w:rsidRPr="00E16947">
              <w:rPr>
                <w:noProof/>
                <w:sz w:val="20"/>
                <w:szCs w:val="20"/>
              </w:rPr>
              <w:t>15.7</w:t>
            </w:r>
            <w:bookmarkEnd w:id="1778"/>
          </w:p>
        </w:tc>
        <w:tc>
          <w:tcPr>
            <w:tcW w:w="781" w:type="pct"/>
            <w:tcBorders>
              <w:top w:val="nil"/>
              <w:left w:val="nil"/>
              <w:bottom w:val="single" w:sz="4" w:space="0" w:color="auto"/>
              <w:right w:val="single" w:sz="4" w:space="0" w:color="auto"/>
            </w:tcBorders>
            <w:shd w:val="clear" w:color="000000" w:fill="FFFFFF"/>
            <w:noWrap/>
            <w:hideMark/>
          </w:tcPr>
          <w:p w14:paraId="086EEA57" w14:textId="792DDB9C" w:rsidR="00E16947" w:rsidRPr="00E16947" w:rsidRDefault="00E16947" w:rsidP="00E16947">
            <w:pPr>
              <w:jc w:val="right"/>
              <w:outlineLvl w:val="0"/>
              <w:rPr>
                <w:noProof/>
                <w:sz w:val="20"/>
                <w:szCs w:val="20"/>
              </w:rPr>
            </w:pPr>
            <w:bookmarkStart w:id="1779" w:name="_Toc223981377"/>
            <w:r w:rsidRPr="00E16947">
              <w:rPr>
                <w:noProof/>
                <w:sz w:val="20"/>
                <w:szCs w:val="20"/>
              </w:rPr>
              <w:t>26.4</w:t>
            </w:r>
            <w:bookmarkEnd w:id="1779"/>
          </w:p>
        </w:tc>
        <w:tc>
          <w:tcPr>
            <w:tcW w:w="781" w:type="pct"/>
            <w:tcBorders>
              <w:top w:val="nil"/>
              <w:left w:val="nil"/>
              <w:bottom w:val="single" w:sz="4" w:space="0" w:color="auto"/>
              <w:right w:val="single" w:sz="4" w:space="0" w:color="auto"/>
            </w:tcBorders>
            <w:shd w:val="clear" w:color="000000" w:fill="FFFFFF"/>
            <w:noWrap/>
            <w:hideMark/>
          </w:tcPr>
          <w:p w14:paraId="2220C7A0" w14:textId="6F4EE5C2" w:rsidR="00E16947" w:rsidRPr="00E16947" w:rsidRDefault="00E16947" w:rsidP="00E16947">
            <w:pPr>
              <w:jc w:val="right"/>
              <w:outlineLvl w:val="0"/>
              <w:rPr>
                <w:noProof/>
                <w:sz w:val="20"/>
                <w:szCs w:val="20"/>
              </w:rPr>
            </w:pPr>
            <w:bookmarkStart w:id="1780" w:name="_Toc223981378"/>
            <w:r w:rsidRPr="00E16947">
              <w:rPr>
                <w:noProof/>
                <w:sz w:val="20"/>
                <w:szCs w:val="20"/>
              </w:rPr>
              <w:t>18.1</w:t>
            </w:r>
            <w:bookmarkEnd w:id="1780"/>
          </w:p>
        </w:tc>
      </w:tr>
      <w:tr w:rsidR="00E16947" w:rsidRPr="00491C02" w14:paraId="16126D5E"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63A33CE5" w14:textId="77777777" w:rsidR="00E16947" w:rsidRPr="00491C02" w:rsidRDefault="00E16947" w:rsidP="00E16947">
            <w:pPr>
              <w:outlineLvl w:val="0"/>
              <w:rPr>
                <w:noProof/>
                <w:sz w:val="20"/>
                <w:szCs w:val="20"/>
              </w:rPr>
            </w:pPr>
            <w:r w:rsidRPr="00491C02">
              <w:rPr>
                <w:noProof/>
                <w:sz w:val="20"/>
                <w:szCs w:val="20"/>
              </w:rPr>
              <w:t xml:space="preserve"> </w:t>
            </w:r>
            <w:bookmarkStart w:id="1781" w:name="_Toc223981379"/>
            <w:r w:rsidRPr="00491C02">
              <w:rPr>
                <w:noProof/>
                <w:sz w:val="20"/>
                <w:szCs w:val="20"/>
              </w:rPr>
              <w:t>Ireland</w:t>
            </w:r>
            <w:bookmarkEnd w:id="178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08641621" w14:textId="40D12782" w:rsidR="00E16947" w:rsidRPr="00E16947" w:rsidRDefault="00E16947" w:rsidP="00E16947">
            <w:pPr>
              <w:jc w:val="right"/>
              <w:outlineLvl w:val="0"/>
              <w:rPr>
                <w:noProof/>
                <w:sz w:val="20"/>
                <w:szCs w:val="20"/>
              </w:rPr>
            </w:pPr>
            <w:bookmarkStart w:id="1782" w:name="_Toc223981380"/>
            <w:r w:rsidRPr="00E16947">
              <w:rPr>
                <w:noProof/>
                <w:sz w:val="20"/>
                <w:szCs w:val="20"/>
              </w:rPr>
              <w:t>69.3</w:t>
            </w:r>
            <w:bookmarkEnd w:id="1782"/>
          </w:p>
        </w:tc>
        <w:tc>
          <w:tcPr>
            <w:tcW w:w="781" w:type="pct"/>
            <w:tcBorders>
              <w:top w:val="nil"/>
              <w:left w:val="nil"/>
              <w:bottom w:val="single" w:sz="4" w:space="0" w:color="auto"/>
              <w:right w:val="single" w:sz="4" w:space="0" w:color="auto"/>
            </w:tcBorders>
            <w:shd w:val="clear" w:color="000000" w:fill="FFFFFF"/>
            <w:noWrap/>
            <w:hideMark/>
          </w:tcPr>
          <w:p w14:paraId="02B1A9E9" w14:textId="32E56C96" w:rsidR="00E16947" w:rsidRPr="00E16947" w:rsidRDefault="00E16947" w:rsidP="00E16947">
            <w:pPr>
              <w:jc w:val="right"/>
              <w:outlineLvl w:val="0"/>
              <w:rPr>
                <w:noProof/>
                <w:sz w:val="20"/>
                <w:szCs w:val="20"/>
              </w:rPr>
            </w:pPr>
            <w:bookmarkStart w:id="1783" w:name="_Toc223981381"/>
            <w:r w:rsidRPr="00E16947">
              <w:rPr>
                <w:noProof/>
                <w:sz w:val="20"/>
                <w:szCs w:val="20"/>
              </w:rPr>
              <w:t>10.5</w:t>
            </w:r>
            <w:bookmarkEnd w:id="1783"/>
          </w:p>
        </w:tc>
        <w:tc>
          <w:tcPr>
            <w:tcW w:w="781" w:type="pct"/>
            <w:tcBorders>
              <w:top w:val="nil"/>
              <w:left w:val="nil"/>
              <w:bottom w:val="single" w:sz="4" w:space="0" w:color="auto"/>
              <w:right w:val="single" w:sz="4" w:space="0" w:color="auto"/>
            </w:tcBorders>
            <w:shd w:val="clear" w:color="000000" w:fill="FFFFFF"/>
            <w:noWrap/>
            <w:hideMark/>
          </w:tcPr>
          <w:p w14:paraId="74D012C7" w14:textId="26837F79" w:rsidR="00E16947" w:rsidRPr="00E16947" w:rsidRDefault="00E16947" w:rsidP="00E16947">
            <w:pPr>
              <w:jc w:val="right"/>
              <w:outlineLvl w:val="0"/>
              <w:rPr>
                <w:noProof/>
                <w:sz w:val="20"/>
                <w:szCs w:val="20"/>
              </w:rPr>
            </w:pPr>
            <w:bookmarkStart w:id="1784" w:name="_Toc223981382"/>
            <w:r w:rsidRPr="00E16947">
              <w:rPr>
                <w:noProof/>
                <w:sz w:val="20"/>
                <w:szCs w:val="20"/>
              </w:rPr>
              <w:t>17.6</w:t>
            </w:r>
            <w:bookmarkEnd w:id="1784"/>
          </w:p>
        </w:tc>
        <w:tc>
          <w:tcPr>
            <w:tcW w:w="781" w:type="pct"/>
            <w:tcBorders>
              <w:top w:val="nil"/>
              <w:left w:val="nil"/>
              <w:bottom w:val="single" w:sz="4" w:space="0" w:color="auto"/>
              <w:right w:val="single" w:sz="4" w:space="0" w:color="auto"/>
            </w:tcBorders>
            <w:shd w:val="clear" w:color="000000" w:fill="FFFFFF"/>
            <w:noWrap/>
            <w:hideMark/>
          </w:tcPr>
          <w:p w14:paraId="6D6D52E8" w14:textId="1DBE1BA7" w:rsidR="00E16947" w:rsidRPr="00E16947" w:rsidRDefault="00E16947" w:rsidP="00E16947">
            <w:pPr>
              <w:jc w:val="right"/>
              <w:outlineLvl w:val="0"/>
              <w:rPr>
                <w:noProof/>
                <w:sz w:val="20"/>
                <w:szCs w:val="20"/>
              </w:rPr>
            </w:pPr>
            <w:bookmarkStart w:id="1785" w:name="_Toc223981383"/>
            <w:r w:rsidRPr="00E16947">
              <w:rPr>
                <w:noProof/>
                <w:sz w:val="20"/>
                <w:szCs w:val="20"/>
              </w:rPr>
              <w:t>12.1</w:t>
            </w:r>
            <w:bookmarkEnd w:id="1785"/>
          </w:p>
        </w:tc>
      </w:tr>
      <w:tr w:rsidR="00E16947" w:rsidRPr="00491C02" w14:paraId="046630FF"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BFA75F4" w14:textId="77777777" w:rsidR="00E16947" w:rsidRPr="00491C02" w:rsidRDefault="00E16947" w:rsidP="00E16947">
            <w:pPr>
              <w:outlineLvl w:val="0"/>
              <w:rPr>
                <w:noProof/>
                <w:sz w:val="20"/>
                <w:szCs w:val="20"/>
              </w:rPr>
            </w:pPr>
            <w:r w:rsidRPr="00491C02">
              <w:rPr>
                <w:noProof/>
                <w:sz w:val="20"/>
                <w:szCs w:val="20"/>
              </w:rPr>
              <w:t xml:space="preserve"> </w:t>
            </w:r>
            <w:bookmarkStart w:id="1786" w:name="_Toc223981384"/>
            <w:r w:rsidRPr="00491C02">
              <w:rPr>
                <w:noProof/>
                <w:sz w:val="20"/>
                <w:szCs w:val="20"/>
              </w:rPr>
              <w:t>Slovenia</w:t>
            </w:r>
            <w:bookmarkEnd w:id="178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328C046F" w14:textId="77777777" w:rsidR="00E16947" w:rsidRPr="00E16947" w:rsidRDefault="00E16947" w:rsidP="00E16947">
            <w:pPr>
              <w:jc w:val="right"/>
              <w:outlineLvl w:val="0"/>
              <w:rPr>
                <w:noProof/>
                <w:sz w:val="20"/>
                <w:szCs w:val="20"/>
              </w:rPr>
            </w:pPr>
            <w:bookmarkStart w:id="1787" w:name="_Toc223981385"/>
            <w:r w:rsidRPr="00E16947">
              <w:rPr>
                <w:noProof/>
                <w:sz w:val="20"/>
                <w:szCs w:val="20"/>
              </w:rPr>
              <w:t>0.0</w:t>
            </w:r>
            <w:bookmarkEnd w:id="1787"/>
          </w:p>
        </w:tc>
        <w:tc>
          <w:tcPr>
            <w:tcW w:w="781" w:type="pct"/>
            <w:tcBorders>
              <w:top w:val="nil"/>
              <w:left w:val="nil"/>
              <w:bottom w:val="single" w:sz="4" w:space="0" w:color="auto"/>
              <w:right w:val="single" w:sz="4" w:space="0" w:color="auto"/>
            </w:tcBorders>
            <w:shd w:val="clear" w:color="000000" w:fill="FFFFFF"/>
            <w:noWrap/>
            <w:hideMark/>
          </w:tcPr>
          <w:p w14:paraId="4092D44A" w14:textId="77777777" w:rsidR="00E16947" w:rsidRPr="00E16947" w:rsidRDefault="00E16947" w:rsidP="00E16947">
            <w:pPr>
              <w:jc w:val="right"/>
              <w:outlineLvl w:val="0"/>
              <w:rPr>
                <w:noProof/>
                <w:sz w:val="20"/>
                <w:szCs w:val="20"/>
              </w:rPr>
            </w:pPr>
            <w:bookmarkStart w:id="1788" w:name="_Toc223981386"/>
            <w:r w:rsidRPr="00E16947">
              <w:rPr>
                <w:noProof/>
                <w:sz w:val="20"/>
                <w:szCs w:val="20"/>
              </w:rPr>
              <w:t>0.0</w:t>
            </w:r>
            <w:bookmarkEnd w:id="1788"/>
          </w:p>
        </w:tc>
        <w:tc>
          <w:tcPr>
            <w:tcW w:w="781" w:type="pct"/>
            <w:tcBorders>
              <w:top w:val="nil"/>
              <w:left w:val="nil"/>
              <w:bottom w:val="single" w:sz="4" w:space="0" w:color="auto"/>
              <w:right w:val="single" w:sz="4" w:space="0" w:color="auto"/>
            </w:tcBorders>
            <w:shd w:val="clear" w:color="000000" w:fill="FFFFFF"/>
            <w:noWrap/>
            <w:hideMark/>
          </w:tcPr>
          <w:p w14:paraId="5BE6FD0A" w14:textId="77777777" w:rsidR="00E16947" w:rsidRPr="00E16947" w:rsidRDefault="00E16947" w:rsidP="00E16947">
            <w:pPr>
              <w:jc w:val="right"/>
              <w:outlineLvl w:val="0"/>
              <w:rPr>
                <w:noProof/>
                <w:sz w:val="20"/>
                <w:szCs w:val="20"/>
              </w:rPr>
            </w:pPr>
            <w:bookmarkStart w:id="1789" w:name="_Toc223981387"/>
            <w:r w:rsidRPr="00E16947">
              <w:rPr>
                <w:noProof/>
                <w:sz w:val="20"/>
                <w:szCs w:val="20"/>
              </w:rPr>
              <w:t>0.0</w:t>
            </w:r>
            <w:bookmarkEnd w:id="1789"/>
          </w:p>
        </w:tc>
        <w:tc>
          <w:tcPr>
            <w:tcW w:w="781" w:type="pct"/>
            <w:tcBorders>
              <w:top w:val="nil"/>
              <w:left w:val="nil"/>
              <w:bottom w:val="single" w:sz="4" w:space="0" w:color="auto"/>
              <w:right w:val="single" w:sz="4" w:space="0" w:color="auto"/>
            </w:tcBorders>
            <w:shd w:val="clear" w:color="000000" w:fill="FFFFFF"/>
            <w:noWrap/>
            <w:hideMark/>
          </w:tcPr>
          <w:p w14:paraId="47864086" w14:textId="77777777" w:rsidR="00E16947" w:rsidRPr="00E16947" w:rsidRDefault="00E16947" w:rsidP="00E16947">
            <w:pPr>
              <w:jc w:val="right"/>
              <w:outlineLvl w:val="0"/>
              <w:rPr>
                <w:noProof/>
                <w:sz w:val="20"/>
                <w:szCs w:val="20"/>
              </w:rPr>
            </w:pPr>
            <w:bookmarkStart w:id="1790" w:name="_Toc223981388"/>
            <w:r w:rsidRPr="00E16947">
              <w:rPr>
                <w:noProof/>
                <w:sz w:val="20"/>
                <w:szCs w:val="20"/>
              </w:rPr>
              <w:t>0.0</w:t>
            </w:r>
            <w:bookmarkEnd w:id="1790"/>
          </w:p>
        </w:tc>
      </w:tr>
      <w:tr w:rsidR="00E16947" w:rsidRPr="00491C02" w14:paraId="245F6855"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F7251B8" w14:textId="77777777" w:rsidR="00E16947" w:rsidRPr="00491C02" w:rsidRDefault="00E16947" w:rsidP="00E16947">
            <w:pPr>
              <w:outlineLvl w:val="0"/>
              <w:rPr>
                <w:noProof/>
                <w:sz w:val="20"/>
                <w:szCs w:val="20"/>
              </w:rPr>
            </w:pPr>
            <w:r w:rsidRPr="00491C02">
              <w:rPr>
                <w:noProof/>
                <w:sz w:val="20"/>
                <w:szCs w:val="20"/>
              </w:rPr>
              <w:t xml:space="preserve"> </w:t>
            </w:r>
            <w:bookmarkStart w:id="1791" w:name="_Toc223981389"/>
            <w:r w:rsidRPr="00491C02">
              <w:rPr>
                <w:noProof/>
                <w:sz w:val="20"/>
                <w:szCs w:val="20"/>
              </w:rPr>
              <w:t>Latvia</w:t>
            </w:r>
            <w:bookmarkEnd w:id="179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3FB5EAB1" w14:textId="77777777" w:rsidR="00E16947" w:rsidRPr="00E16947" w:rsidRDefault="00E16947" w:rsidP="00E16947">
            <w:pPr>
              <w:jc w:val="right"/>
              <w:outlineLvl w:val="0"/>
              <w:rPr>
                <w:noProof/>
                <w:sz w:val="20"/>
                <w:szCs w:val="20"/>
              </w:rPr>
            </w:pPr>
            <w:bookmarkStart w:id="1792" w:name="_Toc223981390"/>
            <w:r w:rsidRPr="00E16947">
              <w:rPr>
                <w:noProof/>
                <w:sz w:val="20"/>
                <w:szCs w:val="20"/>
              </w:rPr>
              <w:t>0.0</w:t>
            </w:r>
            <w:bookmarkEnd w:id="1792"/>
          </w:p>
        </w:tc>
        <w:tc>
          <w:tcPr>
            <w:tcW w:w="781" w:type="pct"/>
            <w:tcBorders>
              <w:top w:val="nil"/>
              <w:left w:val="nil"/>
              <w:bottom w:val="single" w:sz="4" w:space="0" w:color="auto"/>
              <w:right w:val="single" w:sz="4" w:space="0" w:color="auto"/>
            </w:tcBorders>
            <w:shd w:val="clear" w:color="000000" w:fill="FFFFFF"/>
            <w:noWrap/>
            <w:hideMark/>
          </w:tcPr>
          <w:p w14:paraId="40F962E4" w14:textId="77777777" w:rsidR="00E16947" w:rsidRPr="00E16947" w:rsidRDefault="00E16947" w:rsidP="00E16947">
            <w:pPr>
              <w:jc w:val="right"/>
              <w:outlineLvl w:val="0"/>
              <w:rPr>
                <w:noProof/>
                <w:sz w:val="20"/>
                <w:szCs w:val="20"/>
              </w:rPr>
            </w:pPr>
            <w:bookmarkStart w:id="1793" w:name="_Toc223981391"/>
            <w:r w:rsidRPr="00E16947">
              <w:rPr>
                <w:noProof/>
                <w:sz w:val="20"/>
                <w:szCs w:val="20"/>
              </w:rPr>
              <w:t>0.0</w:t>
            </w:r>
            <w:bookmarkEnd w:id="1793"/>
          </w:p>
        </w:tc>
        <w:tc>
          <w:tcPr>
            <w:tcW w:w="781" w:type="pct"/>
            <w:tcBorders>
              <w:top w:val="nil"/>
              <w:left w:val="nil"/>
              <w:bottom w:val="single" w:sz="4" w:space="0" w:color="auto"/>
              <w:right w:val="single" w:sz="4" w:space="0" w:color="auto"/>
            </w:tcBorders>
            <w:shd w:val="clear" w:color="000000" w:fill="FFFFFF"/>
            <w:noWrap/>
            <w:hideMark/>
          </w:tcPr>
          <w:p w14:paraId="3A538F75" w14:textId="77777777" w:rsidR="00E16947" w:rsidRPr="00E16947" w:rsidRDefault="00E16947" w:rsidP="00E16947">
            <w:pPr>
              <w:jc w:val="right"/>
              <w:outlineLvl w:val="0"/>
              <w:rPr>
                <w:noProof/>
                <w:sz w:val="20"/>
                <w:szCs w:val="20"/>
              </w:rPr>
            </w:pPr>
            <w:bookmarkStart w:id="1794" w:name="_Toc223981392"/>
            <w:r w:rsidRPr="00E16947">
              <w:rPr>
                <w:noProof/>
                <w:sz w:val="20"/>
                <w:szCs w:val="20"/>
              </w:rPr>
              <w:t>0.0</w:t>
            </w:r>
            <w:bookmarkEnd w:id="1794"/>
          </w:p>
        </w:tc>
        <w:tc>
          <w:tcPr>
            <w:tcW w:w="781" w:type="pct"/>
            <w:tcBorders>
              <w:top w:val="nil"/>
              <w:left w:val="nil"/>
              <w:bottom w:val="single" w:sz="4" w:space="0" w:color="auto"/>
              <w:right w:val="single" w:sz="4" w:space="0" w:color="auto"/>
            </w:tcBorders>
            <w:shd w:val="clear" w:color="000000" w:fill="FFFFFF"/>
            <w:noWrap/>
            <w:hideMark/>
          </w:tcPr>
          <w:p w14:paraId="32B3520C" w14:textId="77777777" w:rsidR="00E16947" w:rsidRPr="00E16947" w:rsidRDefault="00E16947" w:rsidP="00E16947">
            <w:pPr>
              <w:jc w:val="right"/>
              <w:outlineLvl w:val="0"/>
              <w:rPr>
                <w:noProof/>
                <w:sz w:val="20"/>
                <w:szCs w:val="20"/>
              </w:rPr>
            </w:pPr>
            <w:bookmarkStart w:id="1795" w:name="_Toc223981393"/>
            <w:r w:rsidRPr="00E16947">
              <w:rPr>
                <w:noProof/>
                <w:sz w:val="20"/>
                <w:szCs w:val="20"/>
              </w:rPr>
              <w:t>0.0</w:t>
            </w:r>
            <w:bookmarkEnd w:id="1795"/>
          </w:p>
        </w:tc>
      </w:tr>
      <w:tr w:rsidR="00E16947" w:rsidRPr="00491C02" w14:paraId="374A9D02"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7B3253C6" w14:textId="77777777" w:rsidR="00E16947" w:rsidRPr="00491C02" w:rsidRDefault="00E16947" w:rsidP="00E16947">
            <w:pPr>
              <w:outlineLvl w:val="0"/>
              <w:rPr>
                <w:noProof/>
                <w:sz w:val="20"/>
                <w:szCs w:val="20"/>
              </w:rPr>
            </w:pPr>
            <w:r w:rsidRPr="00491C02">
              <w:rPr>
                <w:noProof/>
                <w:sz w:val="20"/>
                <w:szCs w:val="20"/>
              </w:rPr>
              <w:t xml:space="preserve"> </w:t>
            </w:r>
            <w:bookmarkStart w:id="1796" w:name="_Toc223981394"/>
            <w:r w:rsidRPr="00491C02">
              <w:rPr>
                <w:noProof/>
                <w:sz w:val="20"/>
                <w:szCs w:val="20"/>
              </w:rPr>
              <w:t>Romania</w:t>
            </w:r>
            <w:bookmarkEnd w:id="179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54C4DD65" w14:textId="77777777" w:rsidR="00E16947" w:rsidRPr="00E16947" w:rsidRDefault="00E16947" w:rsidP="00E16947">
            <w:pPr>
              <w:jc w:val="right"/>
              <w:outlineLvl w:val="0"/>
              <w:rPr>
                <w:noProof/>
                <w:sz w:val="20"/>
                <w:szCs w:val="20"/>
              </w:rPr>
            </w:pPr>
            <w:bookmarkStart w:id="1797" w:name="_Toc223981395"/>
            <w:r w:rsidRPr="00E16947">
              <w:rPr>
                <w:noProof/>
                <w:sz w:val="20"/>
                <w:szCs w:val="20"/>
              </w:rPr>
              <w:t>0.0</w:t>
            </w:r>
            <w:bookmarkEnd w:id="1797"/>
          </w:p>
        </w:tc>
        <w:tc>
          <w:tcPr>
            <w:tcW w:w="781" w:type="pct"/>
            <w:tcBorders>
              <w:top w:val="nil"/>
              <w:left w:val="nil"/>
              <w:bottom w:val="single" w:sz="4" w:space="0" w:color="auto"/>
              <w:right w:val="single" w:sz="4" w:space="0" w:color="auto"/>
            </w:tcBorders>
            <w:shd w:val="clear" w:color="000000" w:fill="FFFFFF"/>
            <w:noWrap/>
            <w:hideMark/>
          </w:tcPr>
          <w:p w14:paraId="1F6E5F4F" w14:textId="77777777" w:rsidR="00E16947" w:rsidRPr="00E16947" w:rsidRDefault="00E16947" w:rsidP="00E16947">
            <w:pPr>
              <w:jc w:val="right"/>
              <w:outlineLvl w:val="0"/>
              <w:rPr>
                <w:noProof/>
                <w:sz w:val="20"/>
                <w:szCs w:val="20"/>
              </w:rPr>
            </w:pPr>
            <w:bookmarkStart w:id="1798" w:name="_Toc223981396"/>
            <w:r w:rsidRPr="00E16947">
              <w:rPr>
                <w:noProof/>
                <w:sz w:val="20"/>
                <w:szCs w:val="20"/>
              </w:rPr>
              <w:t>0.0</w:t>
            </w:r>
            <w:bookmarkEnd w:id="1798"/>
          </w:p>
        </w:tc>
        <w:tc>
          <w:tcPr>
            <w:tcW w:w="781" w:type="pct"/>
            <w:tcBorders>
              <w:top w:val="nil"/>
              <w:left w:val="nil"/>
              <w:bottom w:val="single" w:sz="4" w:space="0" w:color="auto"/>
              <w:right w:val="single" w:sz="4" w:space="0" w:color="auto"/>
            </w:tcBorders>
            <w:shd w:val="clear" w:color="000000" w:fill="FFFFFF"/>
            <w:noWrap/>
            <w:hideMark/>
          </w:tcPr>
          <w:p w14:paraId="684B1796" w14:textId="77777777" w:rsidR="00E16947" w:rsidRPr="00E16947" w:rsidRDefault="00E16947" w:rsidP="00E16947">
            <w:pPr>
              <w:jc w:val="right"/>
              <w:outlineLvl w:val="0"/>
              <w:rPr>
                <w:noProof/>
                <w:sz w:val="20"/>
                <w:szCs w:val="20"/>
              </w:rPr>
            </w:pPr>
            <w:bookmarkStart w:id="1799" w:name="_Toc223981397"/>
            <w:r w:rsidRPr="00E16947">
              <w:rPr>
                <w:noProof/>
                <w:sz w:val="20"/>
                <w:szCs w:val="20"/>
              </w:rPr>
              <w:t>0.0</w:t>
            </w:r>
            <w:bookmarkEnd w:id="1799"/>
          </w:p>
        </w:tc>
        <w:tc>
          <w:tcPr>
            <w:tcW w:w="781" w:type="pct"/>
            <w:tcBorders>
              <w:top w:val="nil"/>
              <w:left w:val="nil"/>
              <w:bottom w:val="single" w:sz="4" w:space="0" w:color="auto"/>
              <w:right w:val="single" w:sz="4" w:space="0" w:color="auto"/>
            </w:tcBorders>
            <w:shd w:val="clear" w:color="000000" w:fill="FFFFFF"/>
            <w:noWrap/>
            <w:hideMark/>
          </w:tcPr>
          <w:p w14:paraId="23D4D70C" w14:textId="77777777" w:rsidR="00E16947" w:rsidRPr="00E16947" w:rsidRDefault="00E16947" w:rsidP="00E16947">
            <w:pPr>
              <w:jc w:val="right"/>
              <w:outlineLvl w:val="0"/>
              <w:rPr>
                <w:noProof/>
                <w:sz w:val="20"/>
                <w:szCs w:val="20"/>
              </w:rPr>
            </w:pPr>
            <w:bookmarkStart w:id="1800" w:name="_Toc223981398"/>
            <w:r w:rsidRPr="00E16947">
              <w:rPr>
                <w:noProof/>
                <w:sz w:val="20"/>
                <w:szCs w:val="20"/>
              </w:rPr>
              <w:t>0.0</w:t>
            </w:r>
            <w:bookmarkEnd w:id="1800"/>
          </w:p>
        </w:tc>
      </w:tr>
      <w:tr w:rsidR="00E16947" w:rsidRPr="00491C02" w14:paraId="1A71CBA0"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47631AA" w14:textId="77777777" w:rsidR="00E16947" w:rsidRPr="00491C02" w:rsidRDefault="00E16947" w:rsidP="00E16947">
            <w:pPr>
              <w:outlineLvl w:val="0"/>
              <w:rPr>
                <w:noProof/>
                <w:sz w:val="20"/>
                <w:szCs w:val="20"/>
              </w:rPr>
            </w:pPr>
            <w:r w:rsidRPr="00491C02">
              <w:rPr>
                <w:noProof/>
                <w:sz w:val="20"/>
                <w:szCs w:val="20"/>
              </w:rPr>
              <w:t xml:space="preserve"> </w:t>
            </w:r>
            <w:bookmarkStart w:id="1801" w:name="_Toc223981399"/>
            <w:r w:rsidRPr="00491C02">
              <w:rPr>
                <w:noProof/>
                <w:sz w:val="20"/>
                <w:szCs w:val="20"/>
              </w:rPr>
              <w:t>Slovakia</w:t>
            </w:r>
            <w:bookmarkEnd w:id="180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055C1BBB" w14:textId="1EFD216F" w:rsidR="00E16947" w:rsidRPr="00E16947" w:rsidRDefault="00E16947" w:rsidP="00E16947">
            <w:pPr>
              <w:jc w:val="right"/>
              <w:outlineLvl w:val="0"/>
              <w:rPr>
                <w:noProof/>
                <w:sz w:val="20"/>
                <w:szCs w:val="20"/>
              </w:rPr>
            </w:pPr>
            <w:bookmarkStart w:id="1802" w:name="_Toc223981400"/>
            <w:r w:rsidRPr="00E16947">
              <w:rPr>
                <w:noProof/>
                <w:sz w:val="20"/>
                <w:szCs w:val="20"/>
              </w:rPr>
              <w:t>34.6</w:t>
            </w:r>
            <w:bookmarkEnd w:id="1802"/>
          </w:p>
        </w:tc>
        <w:tc>
          <w:tcPr>
            <w:tcW w:w="781" w:type="pct"/>
            <w:tcBorders>
              <w:top w:val="nil"/>
              <w:left w:val="nil"/>
              <w:bottom w:val="single" w:sz="4" w:space="0" w:color="auto"/>
              <w:right w:val="single" w:sz="4" w:space="0" w:color="auto"/>
            </w:tcBorders>
            <w:shd w:val="clear" w:color="000000" w:fill="FFFFFF"/>
            <w:noWrap/>
            <w:hideMark/>
          </w:tcPr>
          <w:p w14:paraId="39A087A9" w14:textId="6FF86D06" w:rsidR="00E16947" w:rsidRPr="00E16947" w:rsidRDefault="00E16947" w:rsidP="00E16947">
            <w:pPr>
              <w:jc w:val="right"/>
              <w:outlineLvl w:val="0"/>
              <w:rPr>
                <w:noProof/>
                <w:sz w:val="20"/>
                <w:szCs w:val="20"/>
              </w:rPr>
            </w:pPr>
            <w:bookmarkStart w:id="1803" w:name="_Toc223981401"/>
            <w:r w:rsidRPr="00E16947">
              <w:rPr>
                <w:noProof/>
                <w:sz w:val="20"/>
                <w:szCs w:val="20"/>
              </w:rPr>
              <w:t>5.2</w:t>
            </w:r>
            <w:bookmarkEnd w:id="1803"/>
          </w:p>
        </w:tc>
        <w:tc>
          <w:tcPr>
            <w:tcW w:w="781" w:type="pct"/>
            <w:tcBorders>
              <w:top w:val="nil"/>
              <w:left w:val="nil"/>
              <w:bottom w:val="single" w:sz="4" w:space="0" w:color="auto"/>
              <w:right w:val="single" w:sz="4" w:space="0" w:color="auto"/>
            </w:tcBorders>
            <w:shd w:val="clear" w:color="000000" w:fill="FFFFFF"/>
            <w:noWrap/>
            <w:hideMark/>
          </w:tcPr>
          <w:p w14:paraId="5E81371C" w14:textId="287B66E2" w:rsidR="00E16947" w:rsidRPr="00E16947" w:rsidRDefault="00E16947" w:rsidP="00E16947">
            <w:pPr>
              <w:jc w:val="right"/>
              <w:outlineLvl w:val="0"/>
              <w:rPr>
                <w:noProof/>
                <w:sz w:val="20"/>
                <w:szCs w:val="20"/>
              </w:rPr>
            </w:pPr>
            <w:bookmarkStart w:id="1804" w:name="_Toc223981402"/>
            <w:r w:rsidRPr="00E16947">
              <w:rPr>
                <w:noProof/>
                <w:sz w:val="20"/>
                <w:szCs w:val="20"/>
              </w:rPr>
              <w:t>8.8</w:t>
            </w:r>
            <w:bookmarkEnd w:id="1804"/>
          </w:p>
        </w:tc>
        <w:tc>
          <w:tcPr>
            <w:tcW w:w="781" w:type="pct"/>
            <w:tcBorders>
              <w:top w:val="nil"/>
              <w:left w:val="nil"/>
              <w:bottom w:val="single" w:sz="4" w:space="0" w:color="auto"/>
              <w:right w:val="single" w:sz="4" w:space="0" w:color="auto"/>
            </w:tcBorders>
            <w:shd w:val="clear" w:color="000000" w:fill="FFFFFF"/>
            <w:noWrap/>
            <w:hideMark/>
          </w:tcPr>
          <w:p w14:paraId="1E2C0969" w14:textId="2126AE91" w:rsidR="00E16947" w:rsidRPr="00E16947" w:rsidRDefault="00E16947" w:rsidP="00E16947">
            <w:pPr>
              <w:jc w:val="right"/>
              <w:outlineLvl w:val="0"/>
              <w:rPr>
                <w:noProof/>
                <w:sz w:val="20"/>
                <w:szCs w:val="20"/>
              </w:rPr>
            </w:pPr>
            <w:bookmarkStart w:id="1805" w:name="_Toc223981403"/>
            <w:r w:rsidRPr="00E16947">
              <w:rPr>
                <w:noProof/>
                <w:sz w:val="20"/>
                <w:szCs w:val="20"/>
              </w:rPr>
              <w:t>6.0</w:t>
            </w:r>
            <w:bookmarkEnd w:id="1805"/>
          </w:p>
        </w:tc>
      </w:tr>
      <w:tr w:rsidR="00E16947" w:rsidRPr="00491C02" w14:paraId="48320AEF"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1A9D81BC" w14:textId="2160100E" w:rsidR="00E16947" w:rsidRPr="00491C02" w:rsidRDefault="00E16947" w:rsidP="00E16947">
            <w:pPr>
              <w:rPr>
                <w:b/>
                <w:bCs/>
                <w:noProof/>
                <w:sz w:val="20"/>
                <w:szCs w:val="20"/>
              </w:rPr>
            </w:pPr>
            <w:r w:rsidRPr="00491C02">
              <w:rPr>
                <w:b/>
                <w:bCs/>
                <w:noProof/>
                <w:sz w:val="20"/>
                <w:szCs w:val="20"/>
              </w:rPr>
              <w:t xml:space="preserve"> Total </w:t>
            </w:r>
          </w:p>
        </w:tc>
        <w:tc>
          <w:tcPr>
            <w:tcW w:w="780" w:type="pct"/>
            <w:tcBorders>
              <w:top w:val="nil"/>
              <w:left w:val="nil"/>
              <w:bottom w:val="single" w:sz="4" w:space="0" w:color="auto"/>
              <w:right w:val="single" w:sz="4" w:space="0" w:color="auto"/>
            </w:tcBorders>
            <w:shd w:val="clear" w:color="000000" w:fill="FFFFFF"/>
            <w:noWrap/>
            <w:hideMark/>
          </w:tcPr>
          <w:p w14:paraId="2786BD26" w14:textId="6403A892" w:rsidR="00E16947" w:rsidRPr="00E16947" w:rsidRDefault="00E16947" w:rsidP="00E16947">
            <w:pPr>
              <w:jc w:val="right"/>
              <w:rPr>
                <w:b/>
                <w:bCs/>
                <w:noProof/>
                <w:sz w:val="20"/>
                <w:szCs w:val="20"/>
              </w:rPr>
            </w:pPr>
            <w:r w:rsidRPr="00E16947">
              <w:rPr>
                <w:b/>
                <w:bCs/>
                <w:noProof/>
                <w:sz w:val="20"/>
                <w:szCs w:val="20"/>
              </w:rPr>
              <w:t>3,464.8</w:t>
            </w:r>
          </w:p>
        </w:tc>
        <w:tc>
          <w:tcPr>
            <w:tcW w:w="781" w:type="pct"/>
            <w:tcBorders>
              <w:top w:val="nil"/>
              <w:left w:val="nil"/>
              <w:bottom w:val="single" w:sz="4" w:space="0" w:color="auto"/>
              <w:right w:val="single" w:sz="4" w:space="0" w:color="auto"/>
            </w:tcBorders>
            <w:shd w:val="clear" w:color="000000" w:fill="FFFFFF"/>
            <w:noWrap/>
            <w:hideMark/>
          </w:tcPr>
          <w:p w14:paraId="771328F4" w14:textId="7B66D635" w:rsidR="00E16947" w:rsidRPr="00E16947" w:rsidRDefault="00E16947" w:rsidP="00E16947">
            <w:pPr>
              <w:jc w:val="right"/>
              <w:rPr>
                <w:b/>
                <w:bCs/>
                <w:noProof/>
                <w:sz w:val="20"/>
                <w:szCs w:val="20"/>
              </w:rPr>
            </w:pPr>
            <w:r w:rsidRPr="00E16947">
              <w:rPr>
                <w:b/>
                <w:bCs/>
                <w:noProof/>
                <w:sz w:val="20"/>
                <w:szCs w:val="20"/>
              </w:rPr>
              <w:t>524.3</w:t>
            </w:r>
          </w:p>
        </w:tc>
        <w:tc>
          <w:tcPr>
            <w:tcW w:w="781" w:type="pct"/>
            <w:tcBorders>
              <w:top w:val="nil"/>
              <w:left w:val="nil"/>
              <w:bottom w:val="single" w:sz="4" w:space="0" w:color="auto"/>
              <w:right w:val="single" w:sz="4" w:space="0" w:color="auto"/>
            </w:tcBorders>
            <w:shd w:val="clear" w:color="000000" w:fill="FFFFFF"/>
            <w:noWrap/>
            <w:hideMark/>
          </w:tcPr>
          <w:p w14:paraId="351703CA" w14:textId="3334A20C" w:rsidR="00E16947" w:rsidRPr="00E16947" w:rsidRDefault="00E16947" w:rsidP="00E16947">
            <w:pPr>
              <w:jc w:val="right"/>
              <w:rPr>
                <w:b/>
                <w:bCs/>
                <w:noProof/>
                <w:sz w:val="20"/>
                <w:szCs w:val="20"/>
              </w:rPr>
            </w:pPr>
            <w:r w:rsidRPr="00E16947">
              <w:rPr>
                <w:b/>
                <w:bCs/>
                <w:noProof/>
                <w:sz w:val="20"/>
                <w:szCs w:val="20"/>
              </w:rPr>
              <w:t>881.3</w:t>
            </w:r>
          </w:p>
        </w:tc>
        <w:tc>
          <w:tcPr>
            <w:tcW w:w="781" w:type="pct"/>
            <w:tcBorders>
              <w:top w:val="nil"/>
              <w:left w:val="nil"/>
              <w:bottom w:val="single" w:sz="4" w:space="0" w:color="auto"/>
              <w:right w:val="single" w:sz="4" w:space="0" w:color="auto"/>
            </w:tcBorders>
            <w:shd w:val="clear" w:color="000000" w:fill="FFFFFF"/>
            <w:noWrap/>
            <w:hideMark/>
          </w:tcPr>
          <w:p w14:paraId="4EF92CA1" w14:textId="05396454" w:rsidR="00E16947" w:rsidRPr="00E16947" w:rsidRDefault="00E16947" w:rsidP="00E16947">
            <w:pPr>
              <w:jc w:val="right"/>
              <w:rPr>
                <w:b/>
                <w:bCs/>
                <w:noProof/>
                <w:sz w:val="20"/>
                <w:szCs w:val="20"/>
              </w:rPr>
            </w:pPr>
            <w:r w:rsidRPr="00E16947">
              <w:rPr>
                <w:b/>
                <w:bCs/>
                <w:noProof/>
                <w:sz w:val="20"/>
                <w:szCs w:val="20"/>
              </w:rPr>
              <w:t>604.7</w:t>
            </w:r>
          </w:p>
        </w:tc>
      </w:tr>
    </w:tbl>
    <w:p w14:paraId="1E97D4D2" w14:textId="77777777" w:rsidR="002361D7" w:rsidRPr="0024720E" w:rsidRDefault="002361D7" w:rsidP="002361D7">
      <w:pPr>
        <w:tabs>
          <w:tab w:val="left" w:pos="2302"/>
        </w:tabs>
        <w:spacing w:after="240"/>
        <w:jc w:val="both"/>
        <w:rPr>
          <w:i/>
          <w:noProof/>
          <w:sz w:val="20"/>
          <w:szCs w:val="20"/>
        </w:rPr>
      </w:pPr>
      <w:r w:rsidRPr="0024720E">
        <w:rPr>
          <w:i/>
          <w:noProof/>
          <w:spacing w:val="-8"/>
          <w:sz w:val="20"/>
          <w:szCs w:val="20"/>
        </w:rPr>
        <w:t xml:space="preserve">Source: </w:t>
      </w:r>
      <w:r w:rsidRPr="0024720E">
        <w:rPr>
          <w:i/>
          <w:noProof/>
          <w:sz w:val="20"/>
          <w:szCs w:val="20"/>
        </w:rPr>
        <w:t>Ricardo et al. (2026), Impact assessment support study</w:t>
      </w:r>
    </w:p>
    <w:p w14:paraId="41CC48B7" w14:textId="37C81305" w:rsidR="002361D7" w:rsidRPr="0024720E" w:rsidRDefault="002361D7" w:rsidP="00DB078C">
      <w:pPr>
        <w:keepNext/>
        <w:tabs>
          <w:tab w:val="left" w:pos="1134"/>
        </w:tabs>
        <w:jc w:val="both"/>
        <w:rPr>
          <w:i/>
          <w:noProof/>
          <w:sz w:val="22"/>
          <w:szCs w:val="22"/>
        </w:rPr>
      </w:pPr>
      <w:r w:rsidRPr="0024720E">
        <w:rPr>
          <w:i/>
          <w:noProof/>
          <w:sz w:val="22"/>
          <w:szCs w:val="22"/>
        </w:rPr>
        <w:t xml:space="preserve">Table </w:t>
      </w:r>
      <w:r w:rsidRPr="0024720E">
        <w:rPr>
          <w:i/>
          <w:noProof/>
          <w:sz w:val="22"/>
          <w:szCs w:val="22"/>
        </w:rPr>
        <w:fldChar w:fldCharType="begin"/>
      </w:r>
      <w:r w:rsidRPr="0024720E">
        <w:rPr>
          <w:i/>
          <w:noProof/>
          <w:sz w:val="22"/>
          <w:szCs w:val="22"/>
        </w:rPr>
        <w:instrText xml:space="preserve"> SEQ Table \* ARABIC </w:instrText>
      </w:r>
      <w:r w:rsidRPr="0024720E">
        <w:rPr>
          <w:i/>
          <w:noProof/>
          <w:sz w:val="22"/>
          <w:szCs w:val="22"/>
        </w:rPr>
        <w:fldChar w:fldCharType="separate"/>
      </w:r>
      <w:r w:rsidR="0055391F">
        <w:rPr>
          <w:i/>
          <w:noProof/>
          <w:sz w:val="22"/>
          <w:szCs w:val="22"/>
        </w:rPr>
        <w:t>98</w:t>
      </w:r>
      <w:r w:rsidRPr="0024720E">
        <w:rPr>
          <w:i/>
          <w:noProof/>
          <w:sz w:val="22"/>
          <w:szCs w:val="22"/>
        </w:rPr>
        <w:fldChar w:fldCharType="end"/>
      </w:r>
      <w:r w:rsidRPr="0024720E">
        <w:rPr>
          <w:i/>
          <w:noProof/>
          <w:sz w:val="22"/>
          <w:szCs w:val="22"/>
        </w:rPr>
        <w:t xml:space="preserve">: Total one-off and recurrent adjustment costs for </w:t>
      </w:r>
      <w:r w:rsidR="0055450C">
        <w:rPr>
          <w:i/>
          <w:noProof/>
          <w:sz w:val="22"/>
          <w:szCs w:val="22"/>
        </w:rPr>
        <w:t>non-SME</w:t>
      </w:r>
      <w:r w:rsidRPr="0024720E">
        <w:rPr>
          <w:i/>
          <w:noProof/>
          <w:sz w:val="22"/>
          <w:szCs w:val="22"/>
        </w:rPr>
        <w:t xml:space="preserve"> B2C MDMS platforms due to PM</w:t>
      </w:r>
      <w:r w:rsidR="00E42821" w:rsidRPr="0024720E">
        <w:rPr>
          <w:i/>
          <w:noProof/>
          <w:sz w:val="22"/>
          <w:szCs w:val="22"/>
        </w:rPr>
        <w:t>8</w:t>
      </w:r>
      <w:r w:rsidRPr="0024720E">
        <w:rPr>
          <w:i/>
          <w:noProof/>
          <w:sz w:val="22"/>
          <w:szCs w:val="22"/>
        </w:rPr>
        <w:t xml:space="preserve"> in PO3 in 2028, 2030, 2040 and 2050 relative to the baseline (thousand EUR, in 2024 prices)</w:t>
      </w:r>
    </w:p>
    <w:tbl>
      <w:tblPr>
        <w:tblW w:w="5000" w:type="pct"/>
        <w:tblLook w:val="04A0" w:firstRow="1" w:lastRow="0" w:firstColumn="1" w:lastColumn="0" w:noHBand="0" w:noVBand="1"/>
      </w:tblPr>
      <w:tblGrid>
        <w:gridCol w:w="3604"/>
        <w:gridCol w:w="1499"/>
        <w:gridCol w:w="1500"/>
        <w:gridCol w:w="1500"/>
        <w:gridCol w:w="1500"/>
      </w:tblGrid>
      <w:tr w:rsidR="00491C02" w:rsidRPr="00491C02" w14:paraId="6FB7E5F9" w14:textId="77777777" w:rsidTr="00491C02">
        <w:trPr>
          <w:trHeight w:val="255"/>
          <w:tblHeader/>
        </w:trPr>
        <w:tc>
          <w:tcPr>
            <w:tcW w:w="1876" w:type="pct"/>
            <w:tcBorders>
              <w:top w:val="single" w:sz="4" w:space="0" w:color="auto"/>
              <w:left w:val="single" w:sz="4" w:space="0" w:color="auto"/>
              <w:bottom w:val="single" w:sz="4" w:space="0" w:color="auto"/>
              <w:right w:val="single" w:sz="4" w:space="0" w:color="auto"/>
            </w:tcBorders>
            <w:shd w:val="clear" w:color="000000" w:fill="0070C0"/>
            <w:noWrap/>
            <w:hideMark/>
          </w:tcPr>
          <w:p w14:paraId="22CF6455" w14:textId="10517E1E" w:rsidR="00BC418C" w:rsidRPr="00491C02" w:rsidRDefault="00BC418C">
            <w:pPr>
              <w:jc w:val="center"/>
              <w:rPr>
                <w:b/>
                <w:bCs/>
                <w:noProof/>
                <w:color w:val="FFFFFF"/>
                <w:sz w:val="20"/>
                <w:szCs w:val="20"/>
              </w:rPr>
            </w:pPr>
          </w:p>
        </w:tc>
        <w:tc>
          <w:tcPr>
            <w:tcW w:w="780" w:type="pct"/>
            <w:tcBorders>
              <w:top w:val="single" w:sz="4" w:space="0" w:color="auto"/>
              <w:left w:val="nil"/>
              <w:bottom w:val="single" w:sz="4" w:space="0" w:color="auto"/>
              <w:right w:val="single" w:sz="4" w:space="0" w:color="auto"/>
            </w:tcBorders>
            <w:shd w:val="clear" w:color="000000" w:fill="0070C0"/>
            <w:noWrap/>
            <w:hideMark/>
          </w:tcPr>
          <w:p w14:paraId="0948DD89" w14:textId="77777777" w:rsidR="00BC418C" w:rsidRPr="00491C02" w:rsidRDefault="00BC418C">
            <w:pPr>
              <w:jc w:val="center"/>
              <w:rPr>
                <w:b/>
                <w:bCs/>
                <w:noProof/>
                <w:color w:val="FFFFFF"/>
                <w:sz w:val="20"/>
                <w:szCs w:val="20"/>
              </w:rPr>
            </w:pPr>
            <w:r w:rsidRPr="00491C02">
              <w:rPr>
                <w:b/>
                <w:bCs/>
                <w:noProof/>
                <w:color w:val="FFFFFF"/>
                <w:sz w:val="20"/>
                <w:szCs w:val="20"/>
              </w:rPr>
              <w:t>2028</w:t>
            </w:r>
          </w:p>
        </w:tc>
        <w:tc>
          <w:tcPr>
            <w:tcW w:w="781" w:type="pct"/>
            <w:tcBorders>
              <w:top w:val="single" w:sz="4" w:space="0" w:color="auto"/>
              <w:left w:val="nil"/>
              <w:bottom w:val="single" w:sz="4" w:space="0" w:color="auto"/>
              <w:right w:val="single" w:sz="4" w:space="0" w:color="auto"/>
            </w:tcBorders>
            <w:shd w:val="clear" w:color="000000" w:fill="0070C0"/>
            <w:noWrap/>
            <w:hideMark/>
          </w:tcPr>
          <w:p w14:paraId="4B677D47" w14:textId="77777777" w:rsidR="00BC418C" w:rsidRPr="00491C02" w:rsidRDefault="00BC418C">
            <w:pPr>
              <w:jc w:val="center"/>
              <w:rPr>
                <w:b/>
                <w:bCs/>
                <w:noProof/>
                <w:color w:val="FFFFFF"/>
                <w:sz w:val="20"/>
                <w:szCs w:val="20"/>
              </w:rPr>
            </w:pPr>
            <w:r w:rsidRPr="00491C02">
              <w:rPr>
                <w:b/>
                <w:bCs/>
                <w:noProof/>
                <w:color w:val="FFFFFF"/>
                <w:sz w:val="20"/>
                <w:szCs w:val="20"/>
              </w:rPr>
              <w:t>2030</w:t>
            </w:r>
          </w:p>
        </w:tc>
        <w:tc>
          <w:tcPr>
            <w:tcW w:w="781" w:type="pct"/>
            <w:tcBorders>
              <w:top w:val="single" w:sz="4" w:space="0" w:color="auto"/>
              <w:left w:val="nil"/>
              <w:bottom w:val="single" w:sz="4" w:space="0" w:color="auto"/>
              <w:right w:val="single" w:sz="4" w:space="0" w:color="auto"/>
            </w:tcBorders>
            <w:shd w:val="clear" w:color="000000" w:fill="0070C0"/>
            <w:noWrap/>
            <w:hideMark/>
          </w:tcPr>
          <w:p w14:paraId="5C3DE296" w14:textId="77777777" w:rsidR="00BC418C" w:rsidRPr="00491C02" w:rsidRDefault="00BC418C">
            <w:pPr>
              <w:jc w:val="center"/>
              <w:rPr>
                <w:b/>
                <w:bCs/>
                <w:noProof/>
                <w:color w:val="FFFFFF"/>
                <w:sz w:val="20"/>
                <w:szCs w:val="20"/>
              </w:rPr>
            </w:pPr>
            <w:r w:rsidRPr="00491C02">
              <w:rPr>
                <w:b/>
                <w:bCs/>
                <w:noProof/>
                <w:color w:val="FFFFFF"/>
                <w:sz w:val="20"/>
                <w:szCs w:val="20"/>
              </w:rPr>
              <w:t>2040</w:t>
            </w:r>
          </w:p>
        </w:tc>
        <w:tc>
          <w:tcPr>
            <w:tcW w:w="781" w:type="pct"/>
            <w:tcBorders>
              <w:top w:val="single" w:sz="4" w:space="0" w:color="auto"/>
              <w:left w:val="nil"/>
              <w:bottom w:val="single" w:sz="4" w:space="0" w:color="auto"/>
              <w:right w:val="single" w:sz="4" w:space="0" w:color="auto"/>
            </w:tcBorders>
            <w:shd w:val="clear" w:color="000000" w:fill="0070C0"/>
            <w:noWrap/>
            <w:hideMark/>
          </w:tcPr>
          <w:p w14:paraId="4D2A6D82" w14:textId="77777777" w:rsidR="00BC418C" w:rsidRPr="00491C02" w:rsidRDefault="00BC418C">
            <w:pPr>
              <w:jc w:val="center"/>
              <w:rPr>
                <w:b/>
                <w:bCs/>
                <w:noProof/>
                <w:color w:val="FFFFFF"/>
                <w:sz w:val="20"/>
                <w:szCs w:val="20"/>
              </w:rPr>
            </w:pPr>
            <w:r w:rsidRPr="00491C02">
              <w:rPr>
                <w:b/>
                <w:bCs/>
                <w:noProof/>
                <w:color w:val="FFFFFF"/>
                <w:sz w:val="20"/>
                <w:szCs w:val="20"/>
              </w:rPr>
              <w:t>2050</w:t>
            </w:r>
          </w:p>
        </w:tc>
      </w:tr>
      <w:tr w:rsidR="00F847AC" w:rsidRPr="00491C02" w14:paraId="64D9062A"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7CFE61D0" w14:textId="77777777" w:rsidR="00F847AC" w:rsidRPr="00491C02" w:rsidRDefault="00F847AC" w:rsidP="00F847AC">
            <w:pPr>
              <w:outlineLvl w:val="0"/>
              <w:rPr>
                <w:noProof/>
                <w:sz w:val="20"/>
                <w:szCs w:val="20"/>
              </w:rPr>
            </w:pPr>
            <w:r w:rsidRPr="00491C02">
              <w:rPr>
                <w:noProof/>
                <w:sz w:val="20"/>
                <w:szCs w:val="20"/>
              </w:rPr>
              <w:t xml:space="preserve"> </w:t>
            </w:r>
            <w:bookmarkStart w:id="1806" w:name="_Toc223981404"/>
            <w:r w:rsidRPr="00491C02">
              <w:rPr>
                <w:noProof/>
                <w:sz w:val="20"/>
                <w:szCs w:val="20"/>
              </w:rPr>
              <w:t>Germany</w:t>
            </w:r>
            <w:bookmarkEnd w:id="180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5FB592E" w14:textId="1C93A91F" w:rsidR="00F847AC" w:rsidRPr="00F847AC" w:rsidRDefault="00F847AC" w:rsidP="00F847AC">
            <w:pPr>
              <w:jc w:val="right"/>
              <w:outlineLvl w:val="0"/>
              <w:rPr>
                <w:noProof/>
                <w:sz w:val="20"/>
                <w:szCs w:val="20"/>
              </w:rPr>
            </w:pPr>
            <w:bookmarkStart w:id="1807" w:name="_Toc223981405"/>
            <w:r w:rsidRPr="00F847AC">
              <w:rPr>
                <w:noProof/>
                <w:sz w:val="20"/>
                <w:szCs w:val="20"/>
              </w:rPr>
              <w:t>415.8</w:t>
            </w:r>
            <w:bookmarkEnd w:id="1807"/>
          </w:p>
        </w:tc>
        <w:tc>
          <w:tcPr>
            <w:tcW w:w="781" w:type="pct"/>
            <w:tcBorders>
              <w:top w:val="nil"/>
              <w:left w:val="nil"/>
              <w:bottom w:val="single" w:sz="4" w:space="0" w:color="auto"/>
              <w:right w:val="single" w:sz="4" w:space="0" w:color="auto"/>
            </w:tcBorders>
            <w:shd w:val="clear" w:color="000000" w:fill="FFFFFF"/>
            <w:noWrap/>
            <w:hideMark/>
          </w:tcPr>
          <w:p w14:paraId="569913D9" w14:textId="67CBD8A2" w:rsidR="00F847AC" w:rsidRPr="00F847AC" w:rsidRDefault="00F847AC" w:rsidP="00F847AC">
            <w:pPr>
              <w:jc w:val="right"/>
              <w:outlineLvl w:val="0"/>
              <w:rPr>
                <w:noProof/>
                <w:sz w:val="20"/>
                <w:szCs w:val="20"/>
              </w:rPr>
            </w:pPr>
            <w:bookmarkStart w:id="1808" w:name="_Toc223981406"/>
            <w:r w:rsidRPr="00F847AC">
              <w:rPr>
                <w:noProof/>
                <w:sz w:val="20"/>
                <w:szCs w:val="20"/>
              </w:rPr>
              <w:t>63.9</w:t>
            </w:r>
            <w:bookmarkEnd w:id="1808"/>
          </w:p>
        </w:tc>
        <w:tc>
          <w:tcPr>
            <w:tcW w:w="781" w:type="pct"/>
            <w:tcBorders>
              <w:top w:val="nil"/>
              <w:left w:val="nil"/>
              <w:bottom w:val="single" w:sz="4" w:space="0" w:color="auto"/>
              <w:right w:val="single" w:sz="4" w:space="0" w:color="auto"/>
            </w:tcBorders>
            <w:shd w:val="clear" w:color="000000" w:fill="FFFFFF"/>
            <w:noWrap/>
            <w:hideMark/>
          </w:tcPr>
          <w:p w14:paraId="499B5960" w14:textId="1242BEE8" w:rsidR="00F847AC" w:rsidRPr="00F847AC" w:rsidRDefault="00F847AC" w:rsidP="00F847AC">
            <w:pPr>
              <w:jc w:val="right"/>
              <w:outlineLvl w:val="0"/>
              <w:rPr>
                <w:noProof/>
                <w:sz w:val="20"/>
                <w:szCs w:val="20"/>
              </w:rPr>
            </w:pPr>
            <w:bookmarkStart w:id="1809" w:name="_Toc223981407"/>
            <w:r w:rsidRPr="00F847AC">
              <w:rPr>
                <w:noProof/>
                <w:sz w:val="20"/>
                <w:szCs w:val="20"/>
              </w:rPr>
              <w:t>96.1</w:t>
            </w:r>
            <w:bookmarkEnd w:id="1809"/>
          </w:p>
        </w:tc>
        <w:tc>
          <w:tcPr>
            <w:tcW w:w="781" w:type="pct"/>
            <w:tcBorders>
              <w:top w:val="nil"/>
              <w:left w:val="nil"/>
              <w:bottom w:val="single" w:sz="4" w:space="0" w:color="auto"/>
              <w:right w:val="single" w:sz="4" w:space="0" w:color="auto"/>
            </w:tcBorders>
            <w:shd w:val="clear" w:color="000000" w:fill="FFFFFF"/>
            <w:noWrap/>
            <w:hideMark/>
          </w:tcPr>
          <w:p w14:paraId="67C0A724" w14:textId="25A28E05" w:rsidR="00F847AC" w:rsidRPr="00F847AC" w:rsidRDefault="00F847AC" w:rsidP="00F847AC">
            <w:pPr>
              <w:jc w:val="right"/>
              <w:outlineLvl w:val="0"/>
              <w:rPr>
                <w:noProof/>
                <w:sz w:val="20"/>
                <w:szCs w:val="20"/>
              </w:rPr>
            </w:pPr>
            <w:bookmarkStart w:id="1810" w:name="_Toc223981408"/>
            <w:r w:rsidRPr="00F847AC">
              <w:rPr>
                <w:noProof/>
                <w:sz w:val="20"/>
                <w:szCs w:val="20"/>
              </w:rPr>
              <w:t>72.0</w:t>
            </w:r>
            <w:bookmarkEnd w:id="1810"/>
          </w:p>
        </w:tc>
      </w:tr>
      <w:tr w:rsidR="00F847AC" w:rsidRPr="00491C02" w14:paraId="56552A92"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74CE5D49" w14:textId="77777777" w:rsidR="00F847AC" w:rsidRPr="00491C02" w:rsidRDefault="00F847AC" w:rsidP="00F847AC">
            <w:pPr>
              <w:outlineLvl w:val="0"/>
              <w:rPr>
                <w:noProof/>
                <w:sz w:val="20"/>
                <w:szCs w:val="20"/>
              </w:rPr>
            </w:pPr>
            <w:r w:rsidRPr="00491C02">
              <w:rPr>
                <w:noProof/>
                <w:sz w:val="20"/>
                <w:szCs w:val="20"/>
              </w:rPr>
              <w:t xml:space="preserve"> </w:t>
            </w:r>
            <w:bookmarkStart w:id="1811" w:name="_Toc223981409"/>
            <w:r w:rsidRPr="00491C02">
              <w:rPr>
                <w:noProof/>
                <w:sz w:val="20"/>
                <w:szCs w:val="20"/>
              </w:rPr>
              <w:t>Austria</w:t>
            </w:r>
            <w:bookmarkEnd w:id="181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2BDDA62B" w14:textId="682F1115" w:rsidR="00F847AC" w:rsidRPr="00F847AC" w:rsidRDefault="00F847AC" w:rsidP="00F847AC">
            <w:pPr>
              <w:jc w:val="right"/>
              <w:outlineLvl w:val="0"/>
              <w:rPr>
                <w:noProof/>
                <w:sz w:val="20"/>
                <w:szCs w:val="20"/>
              </w:rPr>
            </w:pPr>
            <w:bookmarkStart w:id="1812" w:name="_Toc223981410"/>
            <w:r w:rsidRPr="00F847AC">
              <w:rPr>
                <w:noProof/>
                <w:sz w:val="20"/>
                <w:szCs w:val="20"/>
              </w:rPr>
              <w:t>311.8</w:t>
            </w:r>
            <w:bookmarkEnd w:id="1812"/>
          </w:p>
        </w:tc>
        <w:tc>
          <w:tcPr>
            <w:tcW w:w="781" w:type="pct"/>
            <w:tcBorders>
              <w:top w:val="nil"/>
              <w:left w:val="nil"/>
              <w:bottom w:val="single" w:sz="4" w:space="0" w:color="auto"/>
              <w:right w:val="single" w:sz="4" w:space="0" w:color="auto"/>
            </w:tcBorders>
            <w:shd w:val="clear" w:color="000000" w:fill="FFFFFF"/>
            <w:noWrap/>
            <w:hideMark/>
          </w:tcPr>
          <w:p w14:paraId="713C81C8" w14:textId="70AF4677" w:rsidR="00F847AC" w:rsidRPr="00F847AC" w:rsidRDefault="00F847AC" w:rsidP="00F847AC">
            <w:pPr>
              <w:jc w:val="right"/>
              <w:outlineLvl w:val="0"/>
              <w:rPr>
                <w:noProof/>
                <w:sz w:val="20"/>
                <w:szCs w:val="20"/>
              </w:rPr>
            </w:pPr>
            <w:bookmarkStart w:id="1813" w:name="_Toc223981411"/>
            <w:r w:rsidRPr="00F847AC">
              <w:rPr>
                <w:noProof/>
                <w:sz w:val="20"/>
                <w:szCs w:val="20"/>
              </w:rPr>
              <w:t>47.9</w:t>
            </w:r>
            <w:bookmarkEnd w:id="1813"/>
          </w:p>
        </w:tc>
        <w:tc>
          <w:tcPr>
            <w:tcW w:w="781" w:type="pct"/>
            <w:tcBorders>
              <w:top w:val="nil"/>
              <w:left w:val="nil"/>
              <w:bottom w:val="single" w:sz="4" w:space="0" w:color="auto"/>
              <w:right w:val="single" w:sz="4" w:space="0" w:color="auto"/>
            </w:tcBorders>
            <w:shd w:val="clear" w:color="000000" w:fill="FFFFFF"/>
            <w:noWrap/>
            <w:hideMark/>
          </w:tcPr>
          <w:p w14:paraId="394BBE68" w14:textId="0F2F3C65" w:rsidR="00F847AC" w:rsidRPr="00F847AC" w:rsidRDefault="00F847AC" w:rsidP="00F847AC">
            <w:pPr>
              <w:jc w:val="right"/>
              <w:outlineLvl w:val="0"/>
              <w:rPr>
                <w:noProof/>
                <w:sz w:val="20"/>
                <w:szCs w:val="20"/>
              </w:rPr>
            </w:pPr>
            <w:bookmarkStart w:id="1814" w:name="_Toc223981412"/>
            <w:r w:rsidRPr="00F847AC">
              <w:rPr>
                <w:noProof/>
                <w:sz w:val="20"/>
                <w:szCs w:val="20"/>
              </w:rPr>
              <w:t>72.1</w:t>
            </w:r>
            <w:bookmarkEnd w:id="1814"/>
          </w:p>
        </w:tc>
        <w:tc>
          <w:tcPr>
            <w:tcW w:w="781" w:type="pct"/>
            <w:tcBorders>
              <w:top w:val="nil"/>
              <w:left w:val="nil"/>
              <w:bottom w:val="single" w:sz="4" w:space="0" w:color="auto"/>
              <w:right w:val="single" w:sz="4" w:space="0" w:color="auto"/>
            </w:tcBorders>
            <w:shd w:val="clear" w:color="000000" w:fill="FFFFFF"/>
            <w:noWrap/>
            <w:hideMark/>
          </w:tcPr>
          <w:p w14:paraId="29D47339" w14:textId="222C973B" w:rsidR="00F847AC" w:rsidRPr="00F847AC" w:rsidRDefault="00F847AC" w:rsidP="00F847AC">
            <w:pPr>
              <w:jc w:val="right"/>
              <w:outlineLvl w:val="0"/>
              <w:rPr>
                <w:noProof/>
                <w:sz w:val="20"/>
                <w:szCs w:val="20"/>
              </w:rPr>
            </w:pPr>
            <w:bookmarkStart w:id="1815" w:name="_Toc223981413"/>
            <w:r w:rsidRPr="00F847AC">
              <w:rPr>
                <w:noProof/>
                <w:sz w:val="20"/>
                <w:szCs w:val="20"/>
              </w:rPr>
              <w:t>54.0</w:t>
            </w:r>
            <w:bookmarkEnd w:id="1815"/>
          </w:p>
        </w:tc>
      </w:tr>
      <w:tr w:rsidR="00F847AC" w:rsidRPr="00491C02" w14:paraId="3D3446E9"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1C4F0D37" w14:textId="77777777" w:rsidR="00F847AC" w:rsidRPr="00491C02" w:rsidRDefault="00F847AC" w:rsidP="00F847AC">
            <w:pPr>
              <w:outlineLvl w:val="0"/>
              <w:rPr>
                <w:noProof/>
                <w:sz w:val="20"/>
                <w:szCs w:val="20"/>
              </w:rPr>
            </w:pPr>
            <w:r w:rsidRPr="00491C02">
              <w:rPr>
                <w:noProof/>
                <w:sz w:val="20"/>
                <w:szCs w:val="20"/>
              </w:rPr>
              <w:t xml:space="preserve"> </w:t>
            </w:r>
            <w:bookmarkStart w:id="1816" w:name="_Toc223981414"/>
            <w:r w:rsidRPr="00491C02">
              <w:rPr>
                <w:noProof/>
                <w:sz w:val="20"/>
                <w:szCs w:val="20"/>
              </w:rPr>
              <w:t>Denmark</w:t>
            </w:r>
            <w:bookmarkEnd w:id="181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1FBAB938" w14:textId="23B2702D" w:rsidR="00F847AC" w:rsidRPr="00F847AC" w:rsidRDefault="00F847AC" w:rsidP="00F847AC">
            <w:pPr>
              <w:jc w:val="right"/>
              <w:outlineLvl w:val="0"/>
              <w:rPr>
                <w:noProof/>
                <w:sz w:val="20"/>
                <w:szCs w:val="20"/>
              </w:rPr>
            </w:pPr>
            <w:bookmarkStart w:id="1817" w:name="_Toc223981415"/>
            <w:r w:rsidRPr="00F847AC">
              <w:rPr>
                <w:noProof/>
                <w:sz w:val="20"/>
                <w:szCs w:val="20"/>
              </w:rPr>
              <w:t>207.9</w:t>
            </w:r>
            <w:bookmarkEnd w:id="1817"/>
          </w:p>
        </w:tc>
        <w:tc>
          <w:tcPr>
            <w:tcW w:w="781" w:type="pct"/>
            <w:tcBorders>
              <w:top w:val="nil"/>
              <w:left w:val="nil"/>
              <w:bottom w:val="single" w:sz="4" w:space="0" w:color="auto"/>
              <w:right w:val="single" w:sz="4" w:space="0" w:color="auto"/>
            </w:tcBorders>
            <w:shd w:val="clear" w:color="000000" w:fill="FFFFFF"/>
            <w:noWrap/>
            <w:hideMark/>
          </w:tcPr>
          <w:p w14:paraId="596062B3" w14:textId="0F863B9A" w:rsidR="00F847AC" w:rsidRPr="00F847AC" w:rsidRDefault="00F847AC" w:rsidP="00F847AC">
            <w:pPr>
              <w:jc w:val="right"/>
              <w:outlineLvl w:val="0"/>
              <w:rPr>
                <w:noProof/>
                <w:sz w:val="20"/>
                <w:szCs w:val="20"/>
              </w:rPr>
            </w:pPr>
            <w:bookmarkStart w:id="1818" w:name="_Toc223981416"/>
            <w:r w:rsidRPr="00F847AC">
              <w:rPr>
                <w:noProof/>
                <w:sz w:val="20"/>
                <w:szCs w:val="20"/>
              </w:rPr>
              <w:t>31.9</w:t>
            </w:r>
            <w:bookmarkEnd w:id="1818"/>
          </w:p>
        </w:tc>
        <w:tc>
          <w:tcPr>
            <w:tcW w:w="781" w:type="pct"/>
            <w:tcBorders>
              <w:top w:val="nil"/>
              <w:left w:val="nil"/>
              <w:bottom w:val="single" w:sz="4" w:space="0" w:color="auto"/>
              <w:right w:val="single" w:sz="4" w:space="0" w:color="auto"/>
            </w:tcBorders>
            <w:shd w:val="clear" w:color="000000" w:fill="FFFFFF"/>
            <w:noWrap/>
            <w:hideMark/>
          </w:tcPr>
          <w:p w14:paraId="61B74032" w14:textId="2BA940D6" w:rsidR="00F847AC" w:rsidRPr="00F847AC" w:rsidRDefault="00F847AC" w:rsidP="00F847AC">
            <w:pPr>
              <w:jc w:val="right"/>
              <w:outlineLvl w:val="0"/>
              <w:rPr>
                <w:noProof/>
                <w:sz w:val="20"/>
                <w:szCs w:val="20"/>
              </w:rPr>
            </w:pPr>
            <w:bookmarkStart w:id="1819" w:name="_Toc223981417"/>
            <w:r w:rsidRPr="00F847AC">
              <w:rPr>
                <w:noProof/>
                <w:sz w:val="20"/>
                <w:szCs w:val="20"/>
              </w:rPr>
              <w:t>48.0</w:t>
            </w:r>
            <w:bookmarkEnd w:id="1819"/>
          </w:p>
        </w:tc>
        <w:tc>
          <w:tcPr>
            <w:tcW w:w="781" w:type="pct"/>
            <w:tcBorders>
              <w:top w:val="nil"/>
              <w:left w:val="nil"/>
              <w:bottom w:val="single" w:sz="4" w:space="0" w:color="auto"/>
              <w:right w:val="single" w:sz="4" w:space="0" w:color="auto"/>
            </w:tcBorders>
            <w:shd w:val="clear" w:color="000000" w:fill="FFFFFF"/>
            <w:noWrap/>
            <w:hideMark/>
          </w:tcPr>
          <w:p w14:paraId="4E26AFD4" w14:textId="17292CEF" w:rsidR="00F847AC" w:rsidRPr="00F847AC" w:rsidRDefault="00F847AC" w:rsidP="00F847AC">
            <w:pPr>
              <w:jc w:val="right"/>
              <w:outlineLvl w:val="0"/>
              <w:rPr>
                <w:noProof/>
                <w:sz w:val="20"/>
                <w:szCs w:val="20"/>
              </w:rPr>
            </w:pPr>
            <w:bookmarkStart w:id="1820" w:name="_Toc223981418"/>
            <w:r w:rsidRPr="00F847AC">
              <w:rPr>
                <w:noProof/>
                <w:sz w:val="20"/>
                <w:szCs w:val="20"/>
              </w:rPr>
              <w:t>36.0</w:t>
            </w:r>
            <w:bookmarkEnd w:id="1820"/>
          </w:p>
        </w:tc>
      </w:tr>
      <w:tr w:rsidR="00F847AC" w:rsidRPr="00491C02" w14:paraId="01422BEE"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19912BE4" w14:textId="77777777" w:rsidR="00F847AC" w:rsidRPr="00491C02" w:rsidRDefault="00F847AC" w:rsidP="00F847AC">
            <w:pPr>
              <w:outlineLvl w:val="0"/>
              <w:rPr>
                <w:noProof/>
                <w:sz w:val="20"/>
                <w:szCs w:val="20"/>
              </w:rPr>
            </w:pPr>
            <w:r w:rsidRPr="00491C02">
              <w:rPr>
                <w:noProof/>
                <w:sz w:val="20"/>
                <w:szCs w:val="20"/>
              </w:rPr>
              <w:t xml:space="preserve"> </w:t>
            </w:r>
            <w:bookmarkStart w:id="1821" w:name="_Toc223981419"/>
            <w:r w:rsidRPr="00491C02">
              <w:rPr>
                <w:noProof/>
                <w:sz w:val="20"/>
                <w:szCs w:val="20"/>
              </w:rPr>
              <w:t>Luxembourg</w:t>
            </w:r>
            <w:bookmarkEnd w:id="182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714D9C19" w14:textId="21AD827A" w:rsidR="00F847AC" w:rsidRPr="00F847AC" w:rsidRDefault="00F847AC" w:rsidP="00F847AC">
            <w:pPr>
              <w:jc w:val="right"/>
              <w:outlineLvl w:val="0"/>
              <w:rPr>
                <w:noProof/>
                <w:sz w:val="20"/>
                <w:szCs w:val="20"/>
              </w:rPr>
            </w:pPr>
            <w:bookmarkStart w:id="1822" w:name="_Toc223981420"/>
            <w:r w:rsidRPr="00F847AC">
              <w:rPr>
                <w:noProof/>
                <w:sz w:val="20"/>
                <w:szCs w:val="20"/>
              </w:rPr>
              <w:t>138.6</w:t>
            </w:r>
            <w:bookmarkEnd w:id="1822"/>
          </w:p>
        </w:tc>
        <w:tc>
          <w:tcPr>
            <w:tcW w:w="781" w:type="pct"/>
            <w:tcBorders>
              <w:top w:val="nil"/>
              <w:left w:val="nil"/>
              <w:bottom w:val="single" w:sz="4" w:space="0" w:color="auto"/>
              <w:right w:val="single" w:sz="4" w:space="0" w:color="auto"/>
            </w:tcBorders>
            <w:shd w:val="clear" w:color="000000" w:fill="FFFFFF"/>
            <w:noWrap/>
            <w:hideMark/>
          </w:tcPr>
          <w:p w14:paraId="496A55DB" w14:textId="187337E6" w:rsidR="00F847AC" w:rsidRPr="00F847AC" w:rsidRDefault="00F847AC" w:rsidP="00F847AC">
            <w:pPr>
              <w:jc w:val="right"/>
              <w:outlineLvl w:val="0"/>
              <w:rPr>
                <w:noProof/>
                <w:sz w:val="20"/>
                <w:szCs w:val="20"/>
              </w:rPr>
            </w:pPr>
            <w:bookmarkStart w:id="1823" w:name="_Toc223981421"/>
            <w:r w:rsidRPr="00F847AC">
              <w:rPr>
                <w:noProof/>
                <w:sz w:val="20"/>
                <w:szCs w:val="20"/>
              </w:rPr>
              <w:t>21.3</w:t>
            </w:r>
            <w:bookmarkEnd w:id="1823"/>
          </w:p>
        </w:tc>
        <w:tc>
          <w:tcPr>
            <w:tcW w:w="781" w:type="pct"/>
            <w:tcBorders>
              <w:top w:val="nil"/>
              <w:left w:val="nil"/>
              <w:bottom w:val="single" w:sz="4" w:space="0" w:color="auto"/>
              <w:right w:val="single" w:sz="4" w:space="0" w:color="auto"/>
            </w:tcBorders>
            <w:shd w:val="clear" w:color="000000" w:fill="FFFFFF"/>
            <w:noWrap/>
            <w:hideMark/>
          </w:tcPr>
          <w:p w14:paraId="0F6C8642" w14:textId="1734212A" w:rsidR="00F847AC" w:rsidRPr="00F847AC" w:rsidRDefault="00F847AC" w:rsidP="00F847AC">
            <w:pPr>
              <w:jc w:val="right"/>
              <w:outlineLvl w:val="0"/>
              <w:rPr>
                <w:noProof/>
                <w:sz w:val="20"/>
                <w:szCs w:val="20"/>
              </w:rPr>
            </w:pPr>
            <w:bookmarkStart w:id="1824" w:name="_Toc223981422"/>
            <w:r w:rsidRPr="00F847AC">
              <w:rPr>
                <w:noProof/>
                <w:sz w:val="20"/>
                <w:szCs w:val="20"/>
              </w:rPr>
              <w:t>32.0</w:t>
            </w:r>
            <w:bookmarkEnd w:id="1824"/>
          </w:p>
        </w:tc>
        <w:tc>
          <w:tcPr>
            <w:tcW w:w="781" w:type="pct"/>
            <w:tcBorders>
              <w:top w:val="nil"/>
              <w:left w:val="nil"/>
              <w:bottom w:val="single" w:sz="4" w:space="0" w:color="auto"/>
              <w:right w:val="single" w:sz="4" w:space="0" w:color="auto"/>
            </w:tcBorders>
            <w:shd w:val="clear" w:color="000000" w:fill="FFFFFF"/>
            <w:noWrap/>
            <w:hideMark/>
          </w:tcPr>
          <w:p w14:paraId="51674155" w14:textId="45E8FAFC" w:rsidR="00F847AC" w:rsidRPr="00F847AC" w:rsidRDefault="00F847AC" w:rsidP="00F847AC">
            <w:pPr>
              <w:jc w:val="right"/>
              <w:outlineLvl w:val="0"/>
              <w:rPr>
                <w:noProof/>
                <w:sz w:val="20"/>
                <w:szCs w:val="20"/>
              </w:rPr>
            </w:pPr>
            <w:bookmarkStart w:id="1825" w:name="_Toc223981423"/>
            <w:r w:rsidRPr="00F847AC">
              <w:rPr>
                <w:noProof/>
                <w:sz w:val="20"/>
                <w:szCs w:val="20"/>
              </w:rPr>
              <w:t>24.0</w:t>
            </w:r>
            <w:bookmarkEnd w:id="1825"/>
          </w:p>
        </w:tc>
      </w:tr>
      <w:tr w:rsidR="00F847AC" w:rsidRPr="00491C02" w14:paraId="0C15742D"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629BF8F7" w14:textId="77777777" w:rsidR="00F847AC" w:rsidRPr="00491C02" w:rsidRDefault="00F847AC" w:rsidP="00F847AC">
            <w:pPr>
              <w:outlineLvl w:val="0"/>
              <w:rPr>
                <w:noProof/>
                <w:sz w:val="20"/>
                <w:szCs w:val="20"/>
              </w:rPr>
            </w:pPr>
            <w:r w:rsidRPr="00491C02">
              <w:rPr>
                <w:noProof/>
                <w:sz w:val="20"/>
                <w:szCs w:val="20"/>
              </w:rPr>
              <w:t xml:space="preserve"> </w:t>
            </w:r>
            <w:bookmarkStart w:id="1826" w:name="_Toc223981424"/>
            <w:r w:rsidRPr="00491C02">
              <w:rPr>
                <w:noProof/>
                <w:sz w:val="20"/>
                <w:szCs w:val="20"/>
              </w:rPr>
              <w:t>Finland</w:t>
            </w:r>
            <w:bookmarkEnd w:id="182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14AAFBB8" w14:textId="15F16E44" w:rsidR="00F847AC" w:rsidRPr="00F847AC" w:rsidRDefault="00F847AC" w:rsidP="00F847AC">
            <w:pPr>
              <w:jc w:val="right"/>
              <w:outlineLvl w:val="0"/>
              <w:rPr>
                <w:noProof/>
                <w:sz w:val="20"/>
                <w:szCs w:val="20"/>
              </w:rPr>
            </w:pPr>
            <w:bookmarkStart w:id="1827" w:name="_Toc223981425"/>
            <w:r w:rsidRPr="00F847AC">
              <w:rPr>
                <w:noProof/>
                <w:sz w:val="20"/>
                <w:szCs w:val="20"/>
              </w:rPr>
              <w:t>173.2</w:t>
            </w:r>
            <w:bookmarkEnd w:id="1827"/>
          </w:p>
        </w:tc>
        <w:tc>
          <w:tcPr>
            <w:tcW w:w="781" w:type="pct"/>
            <w:tcBorders>
              <w:top w:val="nil"/>
              <w:left w:val="nil"/>
              <w:bottom w:val="single" w:sz="4" w:space="0" w:color="auto"/>
              <w:right w:val="single" w:sz="4" w:space="0" w:color="auto"/>
            </w:tcBorders>
            <w:shd w:val="clear" w:color="000000" w:fill="FFFFFF"/>
            <w:noWrap/>
            <w:hideMark/>
          </w:tcPr>
          <w:p w14:paraId="7E877491" w14:textId="6A1FDC93" w:rsidR="00F847AC" w:rsidRPr="00F847AC" w:rsidRDefault="00F847AC" w:rsidP="00F847AC">
            <w:pPr>
              <w:jc w:val="right"/>
              <w:outlineLvl w:val="0"/>
              <w:rPr>
                <w:noProof/>
                <w:sz w:val="20"/>
                <w:szCs w:val="20"/>
              </w:rPr>
            </w:pPr>
            <w:bookmarkStart w:id="1828" w:name="_Toc223981426"/>
            <w:r w:rsidRPr="00F847AC">
              <w:rPr>
                <w:noProof/>
                <w:sz w:val="20"/>
                <w:szCs w:val="20"/>
              </w:rPr>
              <w:t>26.6</w:t>
            </w:r>
            <w:bookmarkEnd w:id="1828"/>
          </w:p>
        </w:tc>
        <w:tc>
          <w:tcPr>
            <w:tcW w:w="781" w:type="pct"/>
            <w:tcBorders>
              <w:top w:val="nil"/>
              <w:left w:val="nil"/>
              <w:bottom w:val="single" w:sz="4" w:space="0" w:color="auto"/>
              <w:right w:val="single" w:sz="4" w:space="0" w:color="auto"/>
            </w:tcBorders>
            <w:shd w:val="clear" w:color="000000" w:fill="FFFFFF"/>
            <w:noWrap/>
            <w:hideMark/>
          </w:tcPr>
          <w:p w14:paraId="2D8FDDC1" w14:textId="635DE43E" w:rsidR="00F847AC" w:rsidRPr="00F847AC" w:rsidRDefault="00F847AC" w:rsidP="00F847AC">
            <w:pPr>
              <w:jc w:val="right"/>
              <w:outlineLvl w:val="0"/>
              <w:rPr>
                <w:noProof/>
                <w:sz w:val="20"/>
                <w:szCs w:val="20"/>
              </w:rPr>
            </w:pPr>
            <w:bookmarkStart w:id="1829" w:name="_Toc223981427"/>
            <w:r w:rsidRPr="00F847AC">
              <w:rPr>
                <w:noProof/>
                <w:sz w:val="20"/>
                <w:szCs w:val="20"/>
              </w:rPr>
              <w:t>40.0</w:t>
            </w:r>
            <w:bookmarkEnd w:id="1829"/>
          </w:p>
        </w:tc>
        <w:tc>
          <w:tcPr>
            <w:tcW w:w="781" w:type="pct"/>
            <w:tcBorders>
              <w:top w:val="nil"/>
              <w:left w:val="nil"/>
              <w:bottom w:val="single" w:sz="4" w:space="0" w:color="auto"/>
              <w:right w:val="single" w:sz="4" w:space="0" w:color="auto"/>
            </w:tcBorders>
            <w:shd w:val="clear" w:color="000000" w:fill="FFFFFF"/>
            <w:noWrap/>
            <w:hideMark/>
          </w:tcPr>
          <w:p w14:paraId="033B115B" w14:textId="240A0D7F" w:rsidR="00F847AC" w:rsidRPr="00F847AC" w:rsidRDefault="00F847AC" w:rsidP="00F847AC">
            <w:pPr>
              <w:jc w:val="right"/>
              <w:outlineLvl w:val="0"/>
              <w:rPr>
                <w:noProof/>
                <w:sz w:val="20"/>
                <w:szCs w:val="20"/>
              </w:rPr>
            </w:pPr>
            <w:bookmarkStart w:id="1830" w:name="_Toc223981428"/>
            <w:r w:rsidRPr="00F847AC">
              <w:rPr>
                <w:noProof/>
                <w:sz w:val="20"/>
                <w:szCs w:val="20"/>
              </w:rPr>
              <w:t>30.0</w:t>
            </w:r>
            <w:bookmarkEnd w:id="1830"/>
          </w:p>
        </w:tc>
      </w:tr>
      <w:tr w:rsidR="00F847AC" w:rsidRPr="00491C02" w14:paraId="60F63B4A"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2E16AAF5" w14:textId="77777777" w:rsidR="00F847AC" w:rsidRPr="00491C02" w:rsidRDefault="00F847AC" w:rsidP="00F847AC">
            <w:pPr>
              <w:outlineLvl w:val="0"/>
              <w:rPr>
                <w:noProof/>
                <w:sz w:val="20"/>
                <w:szCs w:val="20"/>
              </w:rPr>
            </w:pPr>
            <w:r w:rsidRPr="00491C02">
              <w:rPr>
                <w:noProof/>
                <w:sz w:val="20"/>
                <w:szCs w:val="20"/>
              </w:rPr>
              <w:t xml:space="preserve"> </w:t>
            </w:r>
            <w:bookmarkStart w:id="1831" w:name="_Toc223981429"/>
            <w:r w:rsidRPr="00491C02">
              <w:rPr>
                <w:noProof/>
                <w:sz w:val="20"/>
                <w:szCs w:val="20"/>
              </w:rPr>
              <w:t>Spain</w:t>
            </w:r>
            <w:bookmarkEnd w:id="183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36A943D9" w14:textId="30B474FD" w:rsidR="00F847AC" w:rsidRPr="00F847AC" w:rsidRDefault="00F847AC" w:rsidP="00F847AC">
            <w:pPr>
              <w:jc w:val="right"/>
              <w:outlineLvl w:val="0"/>
              <w:rPr>
                <w:noProof/>
                <w:sz w:val="20"/>
                <w:szCs w:val="20"/>
              </w:rPr>
            </w:pPr>
            <w:bookmarkStart w:id="1832" w:name="_Toc223981430"/>
            <w:r w:rsidRPr="00F847AC">
              <w:rPr>
                <w:noProof/>
                <w:sz w:val="20"/>
                <w:szCs w:val="20"/>
              </w:rPr>
              <w:t>138.6</w:t>
            </w:r>
            <w:bookmarkEnd w:id="1832"/>
          </w:p>
        </w:tc>
        <w:tc>
          <w:tcPr>
            <w:tcW w:w="781" w:type="pct"/>
            <w:tcBorders>
              <w:top w:val="nil"/>
              <w:left w:val="nil"/>
              <w:bottom w:val="single" w:sz="4" w:space="0" w:color="auto"/>
              <w:right w:val="single" w:sz="4" w:space="0" w:color="auto"/>
            </w:tcBorders>
            <w:shd w:val="clear" w:color="000000" w:fill="FFFFFF"/>
            <w:noWrap/>
            <w:hideMark/>
          </w:tcPr>
          <w:p w14:paraId="169CB809" w14:textId="15F8DC10" w:rsidR="00F847AC" w:rsidRPr="00F847AC" w:rsidRDefault="00F847AC" w:rsidP="00F847AC">
            <w:pPr>
              <w:jc w:val="right"/>
              <w:outlineLvl w:val="0"/>
              <w:rPr>
                <w:noProof/>
                <w:sz w:val="20"/>
                <w:szCs w:val="20"/>
              </w:rPr>
            </w:pPr>
            <w:bookmarkStart w:id="1833" w:name="_Toc223981431"/>
            <w:r w:rsidRPr="00F847AC">
              <w:rPr>
                <w:noProof/>
                <w:sz w:val="20"/>
                <w:szCs w:val="20"/>
              </w:rPr>
              <w:t>21.3</w:t>
            </w:r>
            <w:bookmarkEnd w:id="1833"/>
          </w:p>
        </w:tc>
        <w:tc>
          <w:tcPr>
            <w:tcW w:w="781" w:type="pct"/>
            <w:tcBorders>
              <w:top w:val="nil"/>
              <w:left w:val="nil"/>
              <w:bottom w:val="single" w:sz="4" w:space="0" w:color="auto"/>
              <w:right w:val="single" w:sz="4" w:space="0" w:color="auto"/>
            </w:tcBorders>
            <w:shd w:val="clear" w:color="000000" w:fill="FFFFFF"/>
            <w:noWrap/>
            <w:hideMark/>
          </w:tcPr>
          <w:p w14:paraId="154CE51F" w14:textId="071F169A" w:rsidR="00F847AC" w:rsidRPr="00F847AC" w:rsidRDefault="00F847AC" w:rsidP="00F847AC">
            <w:pPr>
              <w:jc w:val="right"/>
              <w:outlineLvl w:val="0"/>
              <w:rPr>
                <w:noProof/>
                <w:sz w:val="20"/>
                <w:szCs w:val="20"/>
              </w:rPr>
            </w:pPr>
            <w:bookmarkStart w:id="1834" w:name="_Toc223981432"/>
            <w:r w:rsidRPr="00F847AC">
              <w:rPr>
                <w:noProof/>
                <w:sz w:val="20"/>
                <w:szCs w:val="20"/>
              </w:rPr>
              <w:t>32.0</w:t>
            </w:r>
            <w:bookmarkEnd w:id="1834"/>
          </w:p>
        </w:tc>
        <w:tc>
          <w:tcPr>
            <w:tcW w:w="781" w:type="pct"/>
            <w:tcBorders>
              <w:top w:val="nil"/>
              <w:left w:val="nil"/>
              <w:bottom w:val="single" w:sz="4" w:space="0" w:color="auto"/>
              <w:right w:val="single" w:sz="4" w:space="0" w:color="auto"/>
            </w:tcBorders>
            <w:shd w:val="clear" w:color="000000" w:fill="FFFFFF"/>
            <w:noWrap/>
            <w:hideMark/>
          </w:tcPr>
          <w:p w14:paraId="41FEA46A" w14:textId="4EB2BBAE" w:rsidR="00F847AC" w:rsidRPr="00F847AC" w:rsidRDefault="00F847AC" w:rsidP="00F847AC">
            <w:pPr>
              <w:jc w:val="right"/>
              <w:outlineLvl w:val="0"/>
              <w:rPr>
                <w:noProof/>
                <w:sz w:val="20"/>
                <w:szCs w:val="20"/>
              </w:rPr>
            </w:pPr>
            <w:bookmarkStart w:id="1835" w:name="_Toc223981433"/>
            <w:r w:rsidRPr="00F847AC">
              <w:rPr>
                <w:noProof/>
                <w:sz w:val="20"/>
                <w:szCs w:val="20"/>
              </w:rPr>
              <w:t>24.0</w:t>
            </w:r>
            <w:bookmarkEnd w:id="1835"/>
          </w:p>
        </w:tc>
      </w:tr>
      <w:tr w:rsidR="00F847AC" w:rsidRPr="00491C02" w14:paraId="43E88F4C"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614D7C58" w14:textId="77777777" w:rsidR="00F847AC" w:rsidRPr="00491C02" w:rsidRDefault="00F847AC" w:rsidP="00F847AC">
            <w:pPr>
              <w:outlineLvl w:val="0"/>
              <w:rPr>
                <w:noProof/>
                <w:sz w:val="20"/>
                <w:szCs w:val="20"/>
              </w:rPr>
            </w:pPr>
            <w:r w:rsidRPr="00491C02">
              <w:rPr>
                <w:noProof/>
                <w:sz w:val="20"/>
                <w:szCs w:val="20"/>
              </w:rPr>
              <w:t xml:space="preserve"> </w:t>
            </w:r>
            <w:bookmarkStart w:id="1836" w:name="_Toc223981434"/>
            <w:r w:rsidRPr="00491C02">
              <w:rPr>
                <w:noProof/>
                <w:sz w:val="20"/>
                <w:szCs w:val="20"/>
              </w:rPr>
              <w:t>Netherlands</w:t>
            </w:r>
            <w:bookmarkEnd w:id="183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74A81C79" w14:textId="39D6E2B8" w:rsidR="00F847AC" w:rsidRPr="00F847AC" w:rsidRDefault="00F847AC" w:rsidP="00F847AC">
            <w:pPr>
              <w:jc w:val="right"/>
              <w:outlineLvl w:val="0"/>
              <w:rPr>
                <w:noProof/>
                <w:sz w:val="20"/>
                <w:szCs w:val="20"/>
              </w:rPr>
            </w:pPr>
            <w:bookmarkStart w:id="1837" w:name="_Toc223981435"/>
            <w:r w:rsidRPr="00F847AC">
              <w:rPr>
                <w:noProof/>
                <w:sz w:val="20"/>
                <w:szCs w:val="20"/>
              </w:rPr>
              <w:t>346.5</w:t>
            </w:r>
            <w:bookmarkEnd w:id="1837"/>
          </w:p>
        </w:tc>
        <w:tc>
          <w:tcPr>
            <w:tcW w:w="781" w:type="pct"/>
            <w:tcBorders>
              <w:top w:val="nil"/>
              <w:left w:val="nil"/>
              <w:bottom w:val="single" w:sz="4" w:space="0" w:color="auto"/>
              <w:right w:val="single" w:sz="4" w:space="0" w:color="auto"/>
            </w:tcBorders>
            <w:shd w:val="clear" w:color="000000" w:fill="FFFFFF"/>
            <w:noWrap/>
            <w:hideMark/>
          </w:tcPr>
          <w:p w14:paraId="70594C5C" w14:textId="03C484E3" w:rsidR="00F847AC" w:rsidRPr="00F847AC" w:rsidRDefault="00F847AC" w:rsidP="00F847AC">
            <w:pPr>
              <w:jc w:val="right"/>
              <w:outlineLvl w:val="0"/>
              <w:rPr>
                <w:noProof/>
                <w:sz w:val="20"/>
                <w:szCs w:val="20"/>
              </w:rPr>
            </w:pPr>
            <w:bookmarkStart w:id="1838" w:name="_Toc223981436"/>
            <w:r w:rsidRPr="00F847AC">
              <w:rPr>
                <w:noProof/>
                <w:sz w:val="20"/>
                <w:szCs w:val="20"/>
              </w:rPr>
              <w:t>53.2</w:t>
            </w:r>
            <w:bookmarkEnd w:id="1838"/>
          </w:p>
        </w:tc>
        <w:tc>
          <w:tcPr>
            <w:tcW w:w="781" w:type="pct"/>
            <w:tcBorders>
              <w:top w:val="nil"/>
              <w:left w:val="nil"/>
              <w:bottom w:val="single" w:sz="4" w:space="0" w:color="auto"/>
              <w:right w:val="single" w:sz="4" w:space="0" w:color="auto"/>
            </w:tcBorders>
            <w:shd w:val="clear" w:color="000000" w:fill="FFFFFF"/>
            <w:noWrap/>
            <w:hideMark/>
          </w:tcPr>
          <w:p w14:paraId="2CD34FBF" w14:textId="252ABC5A" w:rsidR="00F847AC" w:rsidRPr="00F847AC" w:rsidRDefault="00F847AC" w:rsidP="00F847AC">
            <w:pPr>
              <w:jc w:val="right"/>
              <w:outlineLvl w:val="0"/>
              <w:rPr>
                <w:noProof/>
                <w:sz w:val="20"/>
                <w:szCs w:val="20"/>
              </w:rPr>
            </w:pPr>
            <w:bookmarkStart w:id="1839" w:name="_Toc223981437"/>
            <w:r w:rsidRPr="00F847AC">
              <w:rPr>
                <w:noProof/>
                <w:sz w:val="20"/>
                <w:szCs w:val="20"/>
              </w:rPr>
              <w:t>80.1</w:t>
            </w:r>
            <w:bookmarkEnd w:id="1839"/>
          </w:p>
        </w:tc>
        <w:tc>
          <w:tcPr>
            <w:tcW w:w="781" w:type="pct"/>
            <w:tcBorders>
              <w:top w:val="nil"/>
              <w:left w:val="nil"/>
              <w:bottom w:val="single" w:sz="4" w:space="0" w:color="auto"/>
              <w:right w:val="single" w:sz="4" w:space="0" w:color="auto"/>
            </w:tcBorders>
            <w:shd w:val="clear" w:color="000000" w:fill="FFFFFF"/>
            <w:noWrap/>
            <w:hideMark/>
          </w:tcPr>
          <w:p w14:paraId="41A722A3" w14:textId="738891E6" w:rsidR="00F847AC" w:rsidRPr="00F847AC" w:rsidRDefault="00F847AC" w:rsidP="00F847AC">
            <w:pPr>
              <w:jc w:val="right"/>
              <w:outlineLvl w:val="0"/>
              <w:rPr>
                <w:noProof/>
                <w:sz w:val="20"/>
                <w:szCs w:val="20"/>
              </w:rPr>
            </w:pPr>
            <w:bookmarkStart w:id="1840" w:name="_Toc223981438"/>
            <w:r w:rsidRPr="00F847AC">
              <w:rPr>
                <w:noProof/>
                <w:sz w:val="20"/>
                <w:szCs w:val="20"/>
              </w:rPr>
              <w:t>60.0</w:t>
            </w:r>
            <w:bookmarkEnd w:id="1840"/>
          </w:p>
        </w:tc>
      </w:tr>
      <w:tr w:rsidR="00F847AC" w:rsidRPr="00491C02" w14:paraId="32763E15"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BCE2668" w14:textId="77777777" w:rsidR="00F847AC" w:rsidRPr="00491C02" w:rsidRDefault="00F847AC" w:rsidP="00F847AC">
            <w:pPr>
              <w:outlineLvl w:val="0"/>
              <w:rPr>
                <w:noProof/>
                <w:sz w:val="20"/>
                <w:szCs w:val="20"/>
              </w:rPr>
            </w:pPr>
            <w:r w:rsidRPr="00491C02">
              <w:rPr>
                <w:noProof/>
                <w:sz w:val="20"/>
                <w:szCs w:val="20"/>
              </w:rPr>
              <w:t xml:space="preserve"> </w:t>
            </w:r>
            <w:bookmarkStart w:id="1841" w:name="_Toc223981439"/>
            <w:r w:rsidRPr="00491C02">
              <w:rPr>
                <w:noProof/>
                <w:sz w:val="20"/>
                <w:szCs w:val="20"/>
              </w:rPr>
              <w:t>France</w:t>
            </w:r>
            <w:bookmarkEnd w:id="184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3EA44EC7" w14:textId="59521027" w:rsidR="00F847AC" w:rsidRPr="00F847AC" w:rsidRDefault="00F847AC" w:rsidP="00F847AC">
            <w:pPr>
              <w:jc w:val="right"/>
              <w:outlineLvl w:val="0"/>
              <w:rPr>
                <w:noProof/>
                <w:sz w:val="20"/>
                <w:szCs w:val="20"/>
              </w:rPr>
            </w:pPr>
            <w:bookmarkStart w:id="1842" w:name="_Toc223981440"/>
            <w:r w:rsidRPr="00F847AC">
              <w:rPr>
                <w:noProof/>
                <w:sz w:val="20"/>
                <w:szCs w:val="20"/>
              </w:rPr>
              <w:t>450.4</w:t>
            </w:r>
            <w:bookmarkEnd w:id="1842"/>
          </w:p>
        </w:tc>
        <w:tc>
          <w:tcPr>
            <w:tcW w:w="781" w:type="pct"/>
            <w:tcBorders>
              <w:top w:val="nil"/>
              <w:left w:val="nil"/>
              <w:bottom w:val="single" w:sz="4" w:space="0" w:color="auto"/>
              <w:right w:val="single" w:sz="4" w:space="0" w:color="auto"/>
            </w:tcBorders>
            <w:shd w:val="clear" w:color="000000" w:fill="FFFFFF"/>
            <w:noWrap/>
            <w:hideMark/>
          </w:tcPr>
          <w:p w14:paraId="406F10D1" w14:textId="3C427BB7" w:rsidR="00F847AC" w:rsidRPr="00F847AC" w:rsidRDefault="00F847AC" w:rsidP="00F847AC">
            <w:pPr>
              <w:jc w:val="right"/>
              <w:outlineLvl w:val="0"/>
              <w:rPr>
                <w:noProof/>
                <w:sz w:val="20"/>
                <w:szCs w:val="20"/>
              </w:rPr>
            </w:pPr>
            <w:bookmarkStart w:id="1843" w:name="_Toc223981441"/>
            <w:r w:rsidRPr="00F847AC">
              <w:rPr>
                <w:noProof/>
                <w:sz w:val="20"/>
                <w:szCs w:val="20"/>
              </w:rPr>
              <w:t>69.2</w:t>
            </w:r>
            <w:bookmarkEnd w:id="1843"/>
          </w:p>
        </w:tc>
        <w:tc>
          <w:tcPr>
            <w:tcW w:w="781" w:type="pct"/>
            <w:tcBorders>
              <w:top w:val="nil"/>
              <w:left w:val="nil"/>
              <w:bottom w:val="single" w:sz="4" w:space="0" w:color="auto"/>
              <w:right w:val="single" w:sz="4" w:space="0" w:color="auto"/>
            </w:tcBorders>
            <w:shd w:val="clear" w:color="000000" w:fill="FFFFFF"/>
            <w:noWrap/>
            <w:hideMark/>
          </w:tcPr>
          <w:p w14:paraId="7FE50AAC" w14:textId="5D90E343" w:rsidR="00F847AC" w:rsidRPr="00F847AC" w:rsidRDefault="00F847AC" w:rsidP="00F847AC">
            <w:pPr>
              <w:jc w:val="right"/>
              <w:outlineLvl w:val="0"/>
              <w:rPr>
                <w:noProof/>
                <w:sz w:val="20"/>
                <w:szCs w:val="20"/>
              </w:rPr>
            </w:pPr>
            <w:bookmarkStart w:id="1844" w:name="_Toc223981442"/>
            <w:r w:rsidRPr="00F847AC">
              <w:rPr>
                <w:noProof/>
                <w:sz w:val="20"/>
                <w:szCs w:val="20"/>
              </w:rPr>
              <w:t>104.1</w:t>
            </w:r>
            <w:bookmarkEnd w:id="1844"/>
          </w:p>
        </w:tc>
        <w:tc>
          <w:tcPr>
            <w:tcW w:w="781" w:type="pct"/>
            <w:tcBorders>
              <w:top w:val="nil"/>
              <w:left w:val="nil"/>
              <w:bottom w:val="single" w:sz="4" w:space="0" w:color="auto"/>
              <w:right w:val="single" w:sz="4" w:space="0" w:color="auto"/>
            </w:tcBorders>
            <w:shd w:val="clear" w:color="000000" w:fill="FFFFFF"/>
            <w:noWrap/>
            <w:hideMark/>
          </w:tcPr>
          <w:p w14:paraId="10D76624" w14:textId="1A6B5BA2" w:rsidR="00F847AC" w:rsidRPr="00F847AC" w:rsidRDefault="00F847AC" w:rsidP="00F847AC">
            <w:pPr>
              <w:jc w:val="right"/>
              <w:outlineLvl w:val="0"/>
              <w:rPr>
                <w:noProof/>
                <w:sz w:val="20"/>
                <w:szCs w:val="20"/>
              </w:rPr>
            </w:pPr>
            <w:bookmarkStart w:id="1845" w:name="_Toc223981443"/>
            <w:r w:rsidRPr="00F847AC">
              <w:rPr>
                <w:noProof/>
                <w:sz w:val="20"/>
                <w:szCs w:val="20"/>
              </w:rPr>
              <w:t>78.0</w:t>
            </w:r>
            <w:bookmarkEnd w:id="1845"/>
          </w:p>
        </w:tc>
      </w:tr>
      <w:tr w:rsidR="00F847AC" w:rsidRPr="00491C02" w14:paraId="317C96B5"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7D387EA5" w14:textId="77777777" w:rsidR="00F847AC" w:rsidRPr="00491C02" w:rsidRDefault="00F847AC" w:rsidP="00F847AC">
            <w:pPr>
              <w:outlineLvl w:val="0"/>
              <w:rPr>
                <w:noProof/>
                <w:sz w:val="20"/>
                <w:szCs w:val="20"/>
              </w:rPr>
            </w:pPr>
            <w:r w:rsidRPr="00491C02">
              <w:rPr>
                <w:noProof/>
                <w:sz w:val="20"/>
                <w:szCs w:val="20"/>
              </w:rPr>
              <w:t xml:space="preserve"> </w:t>
            </w:r>
            <w:bookmarkStart w:id="1846" w:name="_Toc223981444"/>
            <w:r w:rsidRPr="00491C02">
              <w:rPr>
                <w:noProof/>
                <w:sz w:val="20"/>
                <w:szCs w:val="20"/>
              </w:rPr>
              <w:t>Poland</w:t>
            </w:r>
            <w:bookmarkEnd w:id="184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7B5F8A08" w14:textId="23A7049C" w:rsidR="00F847AC" w:rsidRPr="00F847AC" w:rsidRDefault="00F847AC" w:rsidP="00F847AC">
            <w:pPr>
              <w:jc w:val="right"/>
              <w:outlineLvl w:val="0"/>
              <w:rPr>
                <w:noProof/>
                <w:sz w:val="20"/>
                <w:szCs w:val="20"/>
              </w:rPr>
            </w:pPr>
            <w:bookmarkStart w:id="1847" w:name="_Toc223981445"/>
            <w:r w:rsidRPr="00F847AC">
              <w:rPr>
                <w:noProof/>
                <w:sz w:val="20"/>
                <w:szCs w:val="20"/>
              </w:rPr>
              <w:t>242.5</w:t>
            </w:r>
            <w:bookmarkEnd w:id="1847"/>
          </w:p>
        </w:tc>
        <w:tc>
          <w:tcPr>
            <w:tcW w:w="781" w:type="pct"/>
            <w:tcBorders>
              <w:top w:val="nil"/>
              <w:left w:val="nil"/>
              <w:bottom w:val="single" w:sz="4" w:space="0" w:color="auto"/>
              <w:right w:val="single" w:sz="4" w:space="0" w:color="auto"/>
            </w:tcBorders>
            <w:shd w:val="clear" w:color="000000" w:fill="FFFFFF"/>
            <w:noWrap/>
            <w:hideMark/>
          </w:tcPr>
          <w:p w14:paraId="1B3F4C1F" w14:textId="59689555" w:rsidR="00F847AC" w:rsidRPr="00F847AC" w:rsidRDefault="00F847AC" w:rsidP="00F847AC">
            <w:pPr>
              <w:jc w:val="right"/>
              <w:outlineLvl w:val="0"/>
              <w:rPr>
                <w:noProof/>
                <w:sz w:val="20"/>
                <w:szCs w:val="20"/>
              </w:rPr>
            </w:pPr>
            <w:bookmarkStart w:id="1848" w:name="_Toc223981446"/>
            <w:r w:rsidRPr="00F847AC">
              <w:rPr>
                <w:noProof/>
                <w:sz w:val="20"/>
                <w:szCs w:val="20"/>
              </w:rPr>
              <w:t>37.3</w:t>
            </w:r>
            <w:bookmarkEnd w:id="1848"/>
          </w:p>
        </w:tc>
        <w:tc>
          <w:tcPr>
            <w:tcW w:w="781" w:type="pct"/>
            <w:tcBorders>
              <w:top w:val="nil"/>
              <w:left w:val="nil"/>
              <w:bottom w:val="single" w:sz="4" w:space="0" w:color="auto"/>
              <w:right w:val="single" w:sz="4" w:space="0" w:color="auto"/>
            </w:tcBorders>
            <w:shd w:val="clear" w:color="000000" w:fill="FFFFFF"/>
            <w:noWrap/>
            <w:hideMark/>
          </w:tcPr>
          <w:p w14:paraId="6657F470" w14:textId="1C35D4B8" w:rsidR="00F847AC" w:rsidRPr="00F847AC" w:rsidRDefault="00F847AC" w:rsidP="00F847AC">
            <w:pPr>
              <w:jc w:val="right"/>
              <w:outlineLvl w:val="0"/>
              <w:rPr>
                <w:noProof/>
                <w:sz w:val="20"/>
                <w:szCs w:val="20"/>
              </w:rPr>
            </w:pPr>
            <w:bookmarkStart w:id="1849" w:name="_Toc223981447"/>
            <w:r w:rsidRPr="00F847AC">
              <w:rPr>
                <w:noProof/>
                <w:sz w:val="20"/>
                <w:szCs w:val="20"/>
              </w:rPr>
              <w:t>56.1</w:t>
            </w:r>
            <w:bookmarkEnd w:id="1849"/>
          </w:p>
        </w:tc>
        <w:tc>
          <w:tcPr>
            <w:tcW w:w="781" w:type="pct"/>
            <w:tcBorders>
              <w:top w:val="nil"/>
              <w:left w:val="nil"/>
              <w:bottom w:val="single" w:sz="4" w:space="0" w:color="auto"/>
              <w:right w:val="single" w:sz="4" w:space="0" w:color="auto"/>
            </w:tcBorders>
            <w:shd w:val="clear" w:color="000000" w:fill="FFFFFF"/>
            <w:noWrap/>
            <w:hideMark/>
          </w:tcPr>
          <w:p w14:paraId="574948D9" w14:textId="582E4D77" w:rsidR="00F847AC" w:rsidRPr="00F847AC" w:rsidRDefault="00F847AC" w:rsidP="00F847AC">
            <w:pPr>
              <w:jc w:val="right"/>
              <w:outlineLvl w:val="0"/>
              <w:rPr>
                <w:noProof/>
                <w:sz w:val="20"/>
                <w:szCs w:val="20"/>
              </w:rPr>
            </w:pPr>
            <w:bookmarkStart w:id="1850" w:name="_Toc223981448"/>
            <w:r w:rsidRPr="00F847AC">
              <w:rPr>
                <w:noProof/>
                <w:sz w:val="20"/>
                <w:szCs w:val="20"/>
              </w:rPr>
              <w:t>42.0</w:t>
            </w:r>
            <w:bookmarkEnd w:id="1850"/>
          </w:p>
        </w:tc>
      </w:tr>
      <w:tr w:rsidR="00F847AC" w:rsidRPr="00491C02" w14:paraId="191C9019"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13AE6A7C" w14:textId="77777777" w:rsidR="00F847AC" w:rsidRPr="00491C02" w:rsidRDefault="00F847AC" w:rsidP="00F847AC">
            <w:pPr>
              <w:outlineLvl w:val="0"/>
              <w:rPr>
                <w:noProof/>
                <w:sz w:val="20"/>
                <w:szCs w:val="20"/>
              </w:rPr>
            </w:pPr>
            <w:r w:rsidRPr="00491C02">
              <w:rPr>
                <w:noProof/>
                <w:sz w:val="20"/>
                <w:szCs w:val="20"/>
              </w:rPr>
              <w:t xml:space="preserve"> </w:t>
            </w:r>
            <w:bookmarkStart w:id="1851" w:name="_Toc223981449"/>
            <w:r w:rsidRPr="00491C02">
              <w:rPr>
                <w:noProof/>
                <w:sz w:val="20"/>
                <w:szCs w:val="20"/>
              </w:rPr>
              <w:t>Italy</w:t>
            </w:r>
            <w:bookmarkEnd w:id="185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2537CA86" w14:textId="035EB809" w:rsidR="00F847AC" w:rsidRPr="00F847AC" w:rsidRDefault="00F847AC" w:rsidP="00F847AC">
            <w:pPr>
              <w:jc w:val="right"/>
              <w:outlineLvl w:val="0"/>
              <w:rPr>
                <w:noProof/>
                <w:sz w:val="20"/>
                <w:szCs w:val="20"/>
              </w:rPr>
            </w:pPr>
            <w:bookmarkStart w:id="1852" w:name="_Toc223981450"/>
            <w:r w:rsidRPr="00F847AC">
              <w:rPr>
                <w:noProof/>
                <w:sz w:val="20"/>
                <w:szCs w:val="20"/>
              </w:rPr>
              <w:t>207.9</w:t>
            </w:r>
            <w:bookmarkEnd w:id="1852"/>
          </w:p>
        </w:tc>
        <w:tc>
          <w:tcPr>
            <w:tcW w:w="781" w:type="pct"/>
            <w:tcBorders>
              <w:top w:val="nil"/>
              <w:left w:val="nil"/>
              <w:bottom w:val="single" w:sz="4" w:space="0" w:color="auto"/>
              <w:right w:val="single" w:sz="4" w:space="0" w:color="auto"/>
            </w:tcBorders>
            <w:shd w:val="clear" w:color="000000" w:fill="FFFFFF"/>
            <w:noWrap/>
            <w:hideMark/>
          </w:tcPr>
          <w:p w14:paraId="68614859" w14:textId="63C6D0AA" w:rsidR="00F847AC" w:rsidRPr="00F847AC" w:rsidRDefault="00F847AC" w:rsidP="00F847AC">
            <w:pPr>
              <w:jc w:val="right"/>
              <w:outlineLvl w:val="0"/>
              <w:rPr>
                <w:noProof/>
                <w:sz w:val="20"/>
                <w:szCs w:val="20"/>
              </w:rPr>
            </w:pPr>
            <w:bookmarkStart w:id="1853" w:name="_Toc223981451"/>
            <w:r w:rsidRPr="00F847AC">
              <w:rPr>
                <w:noProof/>
                <w:sz w:val="20"/>
                <w:szCs w:val="20"/>
              </w:rPr>
              <w:t>31.9</w:t>
            </w:r>
            <w:bookmarkEnd w:id="1853"/>
          </w:p>
        </w:tc>
        <w:tc>
          <w:tcPr>
            <w:tcW w:w="781" w:type="pct"/>
            <w:tcBorders>
              <w:top w:val="nil"/>
              <w:left w:val="nil"/>
              <w:bottom w:val="single" w:sz="4" w:space="0" w:color="auto"/>
              <w:right w:val="single" w:sz="4" w:space="0" w:color="auto"/>
            </w:tcBorders>
            <w:shd w:val="clear" w:color="000000" w:fill="FFFFFF"/>
            <w:noWrap/>
            <w:hideMark/>
          </w:tcPr>
          <w:p w14:paraId="77217E15" w14:textId="5D3FE7B7" w:rsidR="00F847AC" w:rsidRPr="00F847AC" w:rsidRDefault="00F847AC" w:rsidP="00F847AC">
            <w:pPr>
              <w:jc w:val="right"/>
              <w:outlineLvl w:val="0"/>
              <w:rPr>
                <w:noProof/>
                <w:sz w:val="20"/>
                <w:szCs w:val="20"/>
              </w:rPr>
            </w:pPr>
            <w:bookmarkStart w:id="1854" w:name="_Toc223981452"/>
            <w:r w:rsidRPr="00F847AC">
              <w:rPr>
                <w:noProof/>
                <w:sz w:val="20"/>
                <w:szCs w:val="20"/>
              </w:rPr>
              <w:t>48.0</w:t>
            </w:r>
            <w:bookmarkEnd w:id="1854"/>
          </w:p>
        </w:tc>
        <w:tc>
          <w:tcPr>
            <w:tcW w:w="781" w:type="pct"/>
            <w:tcBorders>
              <w:top w:val="nil"/>
              <w:left w:val="nil"/>
              <w:bottom w:val="single" w:sz="4" w:space="0" w:color="auto"/>
              <w:right w:val="single" w:sz="4" w:space="0" w:color="auto"/>
            </w:tcBorders>
            <w:shd w:val="clear" w:color="000000" w:fill="FFFFFF"/>
            <w:noWrap/>
            <w:hideMark/>
          </w:tcPr>
          <w:p w14:paraId="5AEEE037" w14:textId="77A94F23" w:rsidR="00F847AC" w:rsidRPr="00F847AC" w:rsidRDefault="00F847AC" w:rsidP="00F847AC">
            <w:pPr>
              <w:jc w:val="right"/>
              <w:outlineLvl w:val="0"/>
              <w:rPr>
                <w:noProof/>
                <w:sz w:val="20"/>
                <w:szCs w:val="20"/>
              </w:rPr>
            </w:pPr>
            <w:bookmarkStart w:id="1855" w:name="_Toc223981453"/>
            <w:r w:rsidRPr="00F847AC">
              <w:rPr>
                <w:noProof/>
                <w:sz w:val="20"/>
                <w:szCs w:val="20"/>
              </w:rPr>
              <w:t>36.0</w:t>
            </w:r>
            <w:bookmarkEnd w:id="1855"/>
          </w:p>
        </w:tc>
      </w:tr>
      <w:tr w:rsidR="00F847AC" w:rsidRPr="00491C02" w14:paraId="229EDE01"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77D0DB0E" w14:textId="77777777" w:rsidR="00F847AC" w:rsidRPr="00491C02" w:rsidRDefault="00F847AC" w:rsidP="00F847AC">
            <w:pPr>
              <w:outlineLvl w:val="0"/>
              <w:rPr>
                <w:noProof/>
                <w:sz w:val="20"/>
                <w:szCs w:val="20"/>
              </w:rPr>
            </w:pPr>
            <w:r w:rsidRPr="00491C02">
              <w:rPr>
                <w:noProof/>
                <w:sz w:val="20"/>
                <w:szCs w:val="20"/>
              </w:rPr>
              <w:t xml:space="preserve"> </w:t>
            </w:r>
            <w:bookmarkStart w:id="1856" w:name="_Toc223981454"/>
            <w:r w:rsidRPr="00491C02">
              <w:rPr>
                <w:noProof/>
                <w:sz w:val="20"/>
                <w:szCs w:val="20"/>
              </w:rPr>
              <w:t>Belgium</w:t>
            </w:r>
            <w:bookmarkEnd w:id="185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2270AF55" w14:textId="354DF4FD" w:rsidR="00F847AC" w:rsidRPr="00F847AC" w:rsidRDefault="00F847AC" w:rsidP="00F847AC">
            <w:pPr>
              <w:jc w:val="right"/>
              <w:outlineLvl w:val="0"/>
              <w:rPr>
                <w:noProof/>
                <w:sz w:val="20"/>
                <w:szCs w:val="20"/>
              </w:rPr>
            </w:pPr>
            <w:bookmarkStart w:id="1857" w:name="_Toc223981455"/>
            <w:r w:rsidRPr="00F847AC">
              <w:rPr>
                <w:noProof/>
                <w:sz w:val="20"/>
                <w:szCs w:val="20"/>
              </w:rPr>
              <w:t>207.9</w:t>
            </w:r>
            <w:bookmarkEnd w:id="1857"/>
          </w:p>
        </w:tc>
        <w:tc>
          <w:tcPr>
            <w:tcW w:w="781" w:type="pct"/>
            <w:tcBorders>
              <w:top w:val="nil"/>
              <w:left w:val="nil"/>
              <w:bottom w:val="single" w:sz="4" w:space="0" w:color="auto"/>
              <w:right w:val="single" w:sz="4" w:space="0" w:color="auto"/>
            </w:tcBorders>
            <w:shd w:val="clear" w:color="000000" w:fill="FFFFFF"/>
            <w:noWrap/>
            <w:hideMark/>
          </w:tcPr>
          <w:p w14:paraId="58032479" w14:textId="0ABC70BF" w:rsidR="00F847AC" w:rsidRPr="00F847AC" w:rsidRDefault="00F847AC" w:rsidP="00F847AC">
            <w:pPr>
              <w:jc w:val="right"/>
              <w:outlineLvl w:val="0"/>
              <w:rPr>
                <w:noProof/>
                <w:sz w:val="20"/>
                <w:szCs w:val="20"/>
              </w:rPr>
            </w:pPr>
            <w:bookmarkStart w:id="1858" w:name="_Toc223981456"/>
            <w:r w:rsidRPr="00F847AC">
              <w:rPr>
                <w:noProof/>
                <w:sz w:val="20"/>
                <w:szCs w:val="20"/>
              </w:rPr>
              <w:t>31.9</w:t>
            </w:r>
            <w:bookmarkEnd w:id="1858"/>
          </w:p>
        </w:tc>
        <w:tc>
          <w:tcPr>
            <w:tcW w:w="781" w:type="pct"/>
            <w:tcBorders>
              <w:top w:val="nil"/>
              <w:left w:val="nil"/>
              <w:bottom w:val="single" w:sz="4" w:space="0" w:color="auto"/>
              <w:right w:val="single" w:sz="4" w:space="0" w:color="auto"/>
            </w:tcBorders>
            <w:shd w:val="clear" w:color="000000" w:fill="FFFFFF"/>
            <w:noWrap/>
            <w:hideMark/>
          </w:tcPr>
          <w:p w14:paraId="0B9B1292" w14:textId="7A3DF2E6" w:rsidR="00F847AC" w:rsidRPr="00F847AC" w:rsidRDefault="00F847AC" w:rsidP="00F847AC">
            <w:pPr>
              <w:jc w:val="right"/>
              <w:outlineLvl w:val="0"/>
              <w:rPr>
                <w:noProof/>
                <w:sz w:val="20"/>
                <w:szCs w:val="20"/>
              </w:rPr>
            </w:pPr>
            <w:bookmarkStart w:id="1859" w:name="_Toc223981457"/>
            <w:r w:rsidRPr="00F847AC">
              <w:rPr>
                <w:noProof/>
                <w:sz w:val="20"/>
                <w:szCs w:val="20"/>
              </w:rPr>
              <w:t>48.0</w:t>
            </w:r>
            <w:bookmarkEnd w:id="1859"/>
          </w:p>
        </w:tc>
        <w:tc>
          <w:tcPr>
            <w:tcW w:w="781" w:type="pct"/>
            <w:tcBorders>
              <w:top w:val="nil"/>
              <w:left w:val="nil"/>
              <w:bottom w:val="single" w:sz="4" w:space="0" w:color="auto"/>
              <w:right w:val="single" w:sz="4" w:space="0" w:color="auto"/>
            </w:tcBorders>
            <w:shd w:val="clear" w:color="000000" w:fill="FFFFFF"/>
            <w:noWrap/>
            <w:hideMark/>
          </w:tcPr>
          <w:p w14:paraId="572431FF" w14:textId="359C6581" w:rsidR="00F847AC" w:rsidRPr="00F847AC" w:rsidRDefault="00F847AC" w:rsidP="00F847AC">
            <w:pPr>
              <w:jc w:val="right"/>
              <w:outlineLvl w:val="0"/>
              <w:rPr>
                <w:noProof/>
                <w:sz w:val="20"/>
                <w:szCs w:val="20"/>
              </w:rPr>
            </w:pPr>
            <w:bookmarkStart w:id="1860" w:name="_Toc223981458"/>
            <w:r w:rsidRPr="00F847AC">
              <w:rPr>
                <w:noProof/>
                <w:sz w:val="20"/>
                <w:szCs w:val="20"/>
              </w:rPr>
              <w:t>36.0</w:t>
            </w:r>
            <w:bookmarkEnd w:id="1860"/>
          </w:p>
        </w:tc>
      </w:tr>
      <w:tr w:rsidR="00F847AC" w:rsidRPr="00491C02" w14:paraId="35865401"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3B78216" w14:textId="77777777" w:rsidR="00F847AC" w:rsidRPr="00491C02" w:rsidRDefault="00F847AC" w:rsidP="00F847AC">
            <w:pPr>
              <w:outlineLvl w:val="0"/>
              <w:rPr>
                <w:noProof/>
                <w:sz w:val="20"/>
                <w:szCs w:val="20"/>
              </w:rPr>
            </w:pPr>
            <w:r w:rsidRPr="00491C02">
              <w:rPr>
                <w:noProof/>
                <w:sz w:val="20"/>
                <w:szCs w:val="20"/>
              </w:rPr>
              <w:t xml:space="preserve"> </w:t>
            </w:r>
            <w:bookmarkStart w:id="1861" w:name="_Toc223981459"/>
            <w:r w:rsidRPr="00491C02">
              <w:rPr>
                <w:noProof/>
                <w:sz w:val="20"/>
                <w:szCs w:val="20"/>
              </w:rPr>
              <w:t>Portugal</w:t>
            </w:r>
            <w:bookmarkEnd w:id="186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720668E5" w14:textId="4BEEDAC2" w:rsidR="00F847AC" w:rsidRPr="00F847AC" w:rsidRDefault="00F847AC" w:rsidP="00F847AC">
            <w:pPr>
              <w:jc w:val="right"/>
              <w:outlineLvl w:val="0"/>
              <w:rPr>
                <w:noProof/>
                <w:sz w:val="20"/>
                <w:szCs w:val="20"/>
              </w:rPr>
            </w:pPr>
            <w:bookmarkStart w:id="1862" w:name="_Toc223981460"/>
            <w:r w:rsidRPr="00F847AC">
              <w:rPr>
                <w:noProof/>
                <w:sz w:val="20"/>
                <w:szCs w:val="20"/>
              </w:rPr>
              <w:t>69.3</w:t>
            </w:r>
            <w:bookmarkEnd w:id="1862"/>
          </w:p>
        </w:tc>
        <w:tc>
          <w:tcPr>
            <w:tcW w:w="781" w:type="pct"/>
            <w:tcBorders>
              <w:top w:val="nil"/>
              <w:left w:val="nil"/>
              <w:bottom w:val="single" w:sz="4" w:space="0" w:color="auto"/>
              <w:right w:val="single" w:sz="4" w:space="0" w:color="auto"/>
            </w:tcBorders>
            <w:shd w:val="clear" w:color="000000" w:fill="FFFFFF"/>
            <w:noWrap/>
            <w:hideMark/>
          </w:tcPr>
          <w:p w14:paraId="7AF31066" w14:textId="254B169A" w:rsidR="00F847AC" w:rsidRPr="00F847AC" w:rsidRDefault="00F847AC" w:rsidP="00F847AC">
            <w:pPr>
              <w:jc w:val="right"/>
              <w:outlineLvl w:val="0"/>
              <w:rPr>
                <w:noProof/>
                <w:sz w:val="20"/>
                <w:szCs w:val="20"/>
              </w:rPr>
            </w:pPr>
            <w:bookmarkStart w:id="1863" w:name="_Toc223981461"/>
            <w:r w:rsidRPr="00F847AC">
              <w:rPr>
                <w:noProof/>
                <w:sz w:val="20"/>
                <w:szCs w:val="20"/>
              </w:rPr>
              <w:t>10.6</w:t>
            </w:r>
            <w:bookmarkEnd w:id="1863"/>
          </w:p>
        </w:tc>
        <w:tc>
          <w:tcPr>
            <w:tcW w:w="781" w:type="pct"/>
            <w:tcBorders>
              <w:top w:val="nil"/>
              <w:left w:val="nil"/>
              <w:bottom w:val="single" w:sz="4" w:space="0" w:color="auto"/>
              <w:right w:val="single" w:sz="4" w:space="0" w:color="auto"/>
            </w:tcBorders>
            <w:shd w:val="clear" w:color="000000" w:fill="FFFFFF"/>
            <w:noWrap/>
            <w:hideMark/>
          </w:tcPr>
          <w:p w14:paraId="59C918F5" w14:textId="4CAEC86B" w:rsidR="00F847AC" w:rsidRPr="00F847AC" w:rsidRDefault="00F847AC" w:rsidP="00F847AC">
            <w:pPr>
              <w:jc w:val="right"/>
              <w:outlineLvl w:val="0"/>
              <w:rPr>
                <w:noProof/>
                <w:sz w:val="20"/>
                <w:szCs w:val="20"/>
              </w:rPr>
            </w:pPr>
            <w:bookmarkStart w:id="1864" w:name="_Toc223981462"/>
            <w:r w:rsidRPr="00F847AC">
              <w:rPr>
                <w:noProof/>
                <w:sz w:val="20"/>
                <w:szCs w:val="20"/>
              </w:rPr>
              <w:t>16.0</w:t>
            </w:r>
            <w:bookmarkEnd w:id="1864"/>
          </w:p>
        </w:tc>
        <w:tc>
          <w:tcPr>
            <w:tcW w:w="781" w:type="pct"/>
            <w:tcBorders>
              <w:top w:val="nil"/>
              <w:left w:val="nil"/>
              <w:bottom w:val="single" w:sz="4" w:space="0" w:color="auto"/>
              <w:right w:val="single" w:sz="4" w:space="0" w:color="auto"/>
            </w:tcBorders>
            <w:shd w:val="clear" w:color="000000" w:fill="FFFFFF"/>
            <w:noWrap/>
            <w:hideMark/>
          </w:tcPr>
          <w:p w14:paraId="12CF4B3E" w14:textId="684B8CBB" w:rsidR="00F847AC" w:rsidRPr="00F847AC" w:rsidRDefault="00F847AC" w:rsidP="00F847AC">
            <w:pPr>
              <w:jc w:val="right"/>
              <w:outlineLvl w:val="0"/>
              <w:rPr>
                <w:noProof/>
                <w:sz w:val="20"/>
                <w:szCs w:val="20"/>
              </w:rPr>
            </w:pPr>
            <w:bookmarkStart w:id="1865" w:name="_Toc223981463"/>
            <w:r w:rsidRPr="00F847AC">
              <w:rPr>
                <w:noProof/>
                <w:sz w:val="20"/>
                <w:szCs w:val="20"/>
              </w:rPr>
              <w:t>12.0</w:t>
            </w:r>
            <w:bookmarkEnd w:id="1865"/>
          </w:p>
        </w:tc>
      </w:tr>
      <w:tr w:rsidR="00F847AC" w:rsidRPr="00491C02" w14:paraId="42672C68"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7D5172F7" w14:textId="77777777" w:rsidR="00F847AC" w:rsidRPr="00491C02" w:rsidRDefault="00F847AC" w:rsidP="00F847AC">
            <w:pPr>
              <w:outlineLvl w:val="0"/>
              <w:rPr>
                <w:noProof/>
                <w:sz w:val="20"/>
                <w:szCs w:val="20"/>
              </w:rPr>
            </w:pPr>
            <w:r w:rsidRPr="00491C02">
              <w:rPr>
                <w:noProof/>
                <w:sz w:val="20"/>
                <w:szCs w:val="20"/>
              </w:rPr>
              <w:t xml:space="preserve"> </w:t>
            </w:r>
            <w:bookmarkStart w:id="1866" w:name="_Toc223981464"/>
            <w:r w:rsidRPr="00491C02">
              <w:rPr>
                <w:noProof/>
                <w:sz w:val="20"/>
                <w:szCs w:val="20"/>
              </w:rPr>
              <w:t>Malta</w:t>
            </w:r>
            <w:bookmarkEnd w:id="186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38B46E4F" w14:textId="3562D64C" w:rsidR="00F847AC" w:rsidRPr="00F847AC" w:rsidRDefault="00F847AC" w:rsidP="00F847AC">
            <w:pPr>
              <w:jc w:val="right"/>
              <w:outlineLvl w:val="0"/>
              <w:rPr>
                <w:noProof/>
                <w:sz w:val="20"/>
                <w:szCs w:val="20"/>
              </w:rPr>
            </w:pPr>
            <w:bookmarkStart w:id="1867" w:name="_Toc223981465"/>
            <w:r w:rsidRPr="00F847AC">
              <w:rPr>
                <w:noProof/>
                <w:sz w:val="20"/>
                <w:szCs w:val="20"/>
              </w:rPr>
              <w:t>34.6</w:t>
            </w:r>
            <w:bookmarkEnd w:id="1867"/>
          </w:p>
        </w:tc>
        <w:tc>
          <w:tcPr>
            <w:tcW w:w="781" w:type="pct"/>
            <w:tcBorders>
              <w:top w:val="nil"/>
              <w:left w:val="nil"/>
              <w:bottom w:val="single" w:sz="4" w:space="0" w:color="auto"/>
              <w:right w:val="single" w:sz="4" w:space="0" w:color="auto"/>
            </w:tcBorders>
            <w:shd w:val="clear" w:color="000000" w:fill="FFFFFF"/>
            <w:noWrap/>
            <w:hideMark/>
          </w:tcPr>
          <w:p w14:paraId="7CF89AD9" w14:textId="2BC3FED2" w:rsidR="00F847AC" w:rsidRPr="00F847AC" w:rsidRDefault="00F847AC" w:rsidP="00F847AC">
            <w:pPr>
              <w:jc w:val="right"/>
              <w:outlineLvl w:val="0"/>
              <w:rPr>
                <w:noProof/>
                <w:sz w:val="20"/>
                <w:szCs w:val="20"/>
              </w:rPr>
            </w:pPr>
            <w:bookmarkStart w:id="1868" w:name="_Toc223981466"/>
            <w:r w:rsidRPr="00F847AC">
              <w:rPr>
                <w:noProof/>
                <w:sz w:val="20"/>
                <w:szCs w:val="20"/>
              </w:rPr>
              <w:t>5.3</w:t>
            </w:r>
            <w:bookmarkEnd w:id="1868"/>
          </w:p>
        </w:tc>
        <w:tc>
          <w:tcPr>
            <w:tcW w:w="781" w:type="pct"/>
            <w:tcBorders>
              <w:top w:val="nil"/>
              <w:left w:val="nil"/>
              <w:bottom w:val="single" w:sz="4" w:space="0" w:color="auto"/>
              <w:right w:val="single" w:sz="4" w:space="0" w:color="auto"/>
            </w:tcBorders>
            <w:shd w:val="clear" w:color="000000" w:fill="FFFFFF"/>
            <w:noWrap/>
            <w:hideMark/>
          </w:tcPr>
          <w:p w14:paraId="685961FA" w14:textId="191396A2" w:rsidR="00F847AC" w:rsidRPr="00F847AC" w:rsidRDefault="00F847AC" w:rsidP="00F847AC">
            <w:pPr>
              <w:jc w:val="right"/>
              <w:outlineLvl w:val="0"/>
              <w:rPr>
                <w:noProof/>
                <w:sz w:val="20"/>
                <w:szCs w:val="20"/>
              </w:rPr>
            </w:pPr>
            <w:bookmarkStart w:id="1869" w:name="_Toc223981467"/>
            <w:r w:rsidRPr="00F847AC">
              <w:rPr>
                <w:noProof/>
                <w:sz w:val="20"/>
                <w:szCs w:val="20"/>
              </w:rPr>
              <w:t>8.0</w:t>
            </w:r>
            <w:bookmarkEnd w:id="1869"/>
          </w:p>
        </w:tc>
        <w:tc>
          <w:tcPr>
            <w:tcW w:w="781" w:type="pct"/>
            <w:tcBorders>
              <w:top w:val="nil"/>
              <w:left w:val="nil"/>
              <w:bottom w:val="single" w:sz="4" w:space="0" w:color="auto"/>
              <w:right w:val="single" w:sz="4" w:space="0" w:color="auto"/>
            </w:tcBorders>
            <w:shd w:val="clear" w:color="000000" w:fill="FFFFFF"/>
            <w:noWrap/>
            <w:hideMark/>
          </w:tcPr>
          <w:p w14:paraId="4810AA6E" w14:textId="1F867E40" w:rsidR="00F847AC" w:rsidRPr="00F847AC" w:rsidRDefault="00F847AC" w:rsidP="00F847AC">
            <w:pPr>
              <w:jc w:val="right"/>
              <w:outlineLvl w:val="0"/>
              <w:rPr>
                <w:noProof/>
                <w:sz w:val="20"/>
                <w:szCs w:val="20"/>
              </w:rPr>
            </w:pPr>
            <w:bookmarkStart w:id="1870" w:name="_Toc223981468"/>
            <w:r w:rsidRPr="00F847AC">
              <w:rPr>
                <w:noProof/>
                <w:sz w:val="20"/>
                <w:szCs w:val="20"/>
              </w:rPr>
              <w:t>6.0</w:t>
            </w:r>
            <w:bookmarkEnd w:id="1870"/>
          </w:p>
        </w:tc>
      </w:tr>
      <w:tr w:rsidR="00F847AC" w:rsidRPr="00491C02" w14:paraId="5C0C157B"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0B1F6195" w14:textId="77777777" w:rsidR="00F847AC" w:rsidRPr="00491C02" w:rsidRDefault="00F847AC" w:rsidP="00F847AC">
            <w:pPr>
              <w:outlineLvl w:val="0"/>
              <w:rPr>
                <w:noProof/>
                <w:sz w:val="20"/>
                <w:szCs w:val="20"/>
              </w:rPr>
            </w:pPr>
            <w:r w:rsidRPr="00491C02">
              <w:rPr>
                <w:noProof/>
                <w:sz w:val="20"/>
                <w:szCs w:val="20"/>
              </w:rPr>
              <w:t xml:space="preserve"> </w:t>
            </w:r>
            <w:bookmarkStart w:id="1871" w:name="_Toc223981469"/>
            <w:r w:rsidRPr="00491C02">
              <w:rPr>
                <w:noProof/>
                <w:sz w:val="20"/>
                <w:szCs w:val="20"/>
              </w:rPr>
              <w:t>Cyprus</w:t>
            </w:r>
            <w:bookmarkEnd w:id="187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DEF55C3" w14:textId="05A615F9" w:rsidR="00F847AC" w:rsidRPr="00F847AC" w:rsidRDefault="00F847AC" w:rsidP="00F847AC">
            <w:pPr>
              <w:jc w:val="right"/>
              <w:outlineLvl w:val="0"/>
              <w:rPr>
                <w:noProof/>
                <w:sz w:val="20"/>
                <w:szCs w:val="20"/>
              </w:rPr>
            </w:pPr>
            <w:bookmarkStart w:id="1872" w:name="_Toc223981470"/>
            <w:r w:rsidRPr="00F847AC">
              <w:rPr>
                <w:noProof/>
                <w:sz w:val="20"/>
                <w:szCs w:val="20"/>
              </w:rPr>
              <w:t>34.6</w:t>
            </w:r>
            <w:bookmarkEnd w:id="1872"/>
          </w:p>
        </w:tc>
        <w:tc>
          <w:tcPr>
            <w:tcW w:w="781" w:type="pct"/>
            <w:tcBorders>
              <w:top w:val="nil"/>
              <w:left w:val="nil"/>
              <w:bottom w:val="single" w:sz="4" w:space="0" w:color="auto"/>
              <w:right w:val="single" w:sz="4" w:space="0" w:color="auto"/>
            </w:tcBorders>
            <w:shd w:val="clear" w:color="000000" w:fill="FFFFFF"/>
            <w:noWrap/>
            <w:hideMark/>
          </w:tcPr>
          <w:p w14:paraId="71BA025D" w14:textId="4FA5B830" w:rsidR="00F847AC" w:rsidRPr="00F847AC" w:rsidRDefault="00F847AC" w:rsidP="00F847AC">
            <w:pPr>
              <w:jc w:val="right"/>
              <w:outlineLvl w:val="0"/>
              <w:rPr>
                <w:noProof/>
                <w:sz w:val="20"/>
                <w:szCs w:val="20"/>
              </w:rPr>
            </w:pPr>
            <w:bookmarkStart w:id="1873" w:name="_Toc223981471"/>
            <w:r w:rsidRPr="00F847AC">
              <w:rPr>
                <w:noProof/>
                <w:sz w:val="20"/>
                <w:szCs w:val="20"/>
              </w:rPr>
              <w:t>5.3</w:t>
            </w:r>
            <w:bookmarkEnd w:id="1873"/>
          </w:p>
        </w:tc>
        <w:tc>
          <w:tcPr>
            <w:tcW w:w="781" w:type="pct"/>
            <w:tcBorders>
              <w:top w:val="nil"/>
              <w:left w:val="nil"/>
              <w:bottom w:val="single" w:sz="4" w:space="0" w:color="auto"/>
              <w:right w:val="single" w:sz="4" w:space="0" w:color="auto"/>
            </w:tcBorders>
            <w:shd w:val="clear" w:color="000000" w:fill="FFFFFF"/>
            <w:noWrap/>
            <w:hideMark/>
          </w:tcPr>
          <w:p w14:paraId="07F9928A" w14:textId="2397F543" w:rsidR="00F847AC" w:rsidRPr="00F847AC" w:rsidRDefault="00F847AC" w:rsidP="00F847AC">
            <w:pPr>
              <w:jc w:val="right"/>
              <w:outlineLvl w:val="0"/>
              <w:rPr>
                <w:noProof/>
                <w:sz w:val="20"/>
                <w:szCs w:val="20"/>
              </w:rPr>
            </w:pPr>
            <w:bookmarkStart w:id="1874" w:name="_Toc223981472"/>
            <w:r w:rsidRPr="00F847AC">
              <w:rPr>
                <w:noProof/>
                <w:sz w:val="20"/>
                <w:szCs w:val="20"/>
              </w:rPr>
              <w:t>8.0</w:t>
            </w:r>
            <w:bookmarkEnd w:id="1874"/>
          </w:p>
        </w:tc>
        <w:tc>
          <w:tcPr>
            <w:tcW w:w="781" w:type="pct"/>
            <w:tcBorders>
              <w:top w:val="nil"/>
              <w:left w:val="nil"/>
              <w:bottom w:val="single" w:sz="4" w:space="0" w:color="auto"/>
              <w:right w:val="single" w:sz="4" w:space="0" w:color="auto"/>
            </w:tcBorders>
            <w:shd w:val="clear" w:color="000000" w:fill="FFFFFF"/>
            <w:noWrap/>
            <w:hideMark/>
          </w:tcPr>
          <w:p w14:paraId="0C776937" w14:textId="17A8CD6E" w:rsidR="00F847AC" w:rsidRPr="00F847AC" w:rsidRDefault="00F847AC" w:rsidP="00F847AC">
            <w:pPr>
              <w:jc w:val="right"/>
              <w:outlineLvl w:val="0"/>
              <w:rPr>
                <w:noProof/>
                <w:sz w:val="20"/>
                <w:szCs w:val="20"/>
              </w:rPr>
            </w:pPr>
            <w:bookmarkStart w:id="1875" w:name="_Toc223981473"/>
            <w:r w:rsidRPr="00F847AC">
              <w:rPr>
                <w:noProof/>
                <w:sz w:val="20"/>
                <w:szCs w:val="20"/>
              </w:rPr>
              <w:t>6.0</w:t>
            </w:r>
            <w:bookmarkEnd w:id="1875"/>
          </w:p>
        </w:tc>
      </w:tr>
      <w:tr w:rsidR="00F847AC" w:rsidRPr="00491C02" w14:paraId="1041F18F"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6A0F9DB" w14:textId="77777777" w:rsidR="00F847AC" w:rsidRPr="00491C02" w:rsidRDefault="00F847AC" w:rsidP="00F847AC">
            <w:pPr>
              <w:outlineLvl w:val="0"/>
              <w:rPr>
                <w:noProof/>
                <w:sz w:val="20"/>
                <w:szCs w:val="20"/>
              </w:rPr>
            </w:pPr>
            <w:r w:rsidRPr="00491C02">
              <w:rPr>
                <w:noProof/>
                <w:sz w:val="20"/>
                <w:szCs w:val="20"/>
              </w:rPr>
              <w:t xml:space="preserve"> </w:t>
            </w:r>
            <w:bookmarkStart w:id="1876" w:name="_Toc223981474"/>
            <w:r w:rsidRPr="00491C02">
              <w:rPr>
                <w:noProof/>
                <w:sz w:val="20"/>
                <w:szCs w:val="20"/>
              </w:rPr>
              <w:t>Greece</w:t>
            </w:r>
            <w:bookmarkEnd w:id="187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789E2F28" w14:textId="41DDB061" w:rsidR="00F847AC" w:rsidRPr="00F847AC" w:rsidRDefault="00F847AC" w:rsidP="00F847AC">
            <w:pPr>
              <w:jc w:val="right"/>
              <w:outlineLvl w:val="0"/>
              <w:rPr>
                <w:noProof/>
                <w:sz w:val="20"/>
                <w:szCs w:val="20"/>
              </w:rPr>
            </w:pPr>
            <w:bookmarkStart w:id="1877" w:name="_Toc223981475"/>
            <w:r w:rsidRPr="00F847AC">
              <w:rPr>
                <w:noProof/>
                <w:sz w:val="20"/>
                <w:szCs w:val="20"/>
              </w:rPr>
              <w:t>69.3</w:t>
            </w:r>
            <w:bookmarkEnd w:id="1877"/>
          </w:p>
        </w:tc>
        <w:tc>
          <w:tcPr>
            <w:tcW w:w="781" w:type="pct"/>
            <w:tcBorders>
              <w:top w:val="nil"/>
              <w:left w:val="nil"/>
              <w:bottom w:val="single" w:sz="4" w:space="0" w:color="auto"/>
              <w:right w:val="single" w:sz="4" w:space="0" w:color="auto"/>
            </w:tcBorders>
            <w:shd w:val="clear" w:color="000000" w:fill="FFFFFF"/>
            <w:noWrap/>
            <w:hideMark/>
          </w:tcPr>
          <w:p w14:paraId="6784013F" w14:textId="70C454A6" w:rsidR="00F847AC" w:rsidRPr="00F847AC" w:rsidRDefault="00F847AC" w:rsidP="00F847AC">
            <w:pPr>
              <w:jc w:val="right"/>
              <w:outlineLvl w:val="0"/>
              <w:rPr>
                <w:noProof/>
                <w:sz w:val="20"/>
                <w:szCs w:val="20"/>
              </w:rPr>
            </w:pPr>
            <w:bookmarkStart w:id="1878" w:name="_Toc223981476"/>
            <w:r w:rsidRPr="00F847AC">
              <w:rPr>
                <w:noProof/>
                <w:sz w:val="20"/>
                <w:szCs w:val="20"/>
              </w:rPr>
              <w:t>10.6</w:t>
            </w:r>
            <w:bookmarkEnd w:id="1878"/>
          </w:p>
        </w:tc>
        <w:tc>
          <w:tcPr>
            <w:tcW w:w="781" w:type="pct"/>
            <w:tcBorders>
              <w:top w:val="nil"/>
              <w:left w:val="nil"/>
              <w:bottom w:val="single" w:sz="4" w:space="0" w:color="auto"/>
              <w:right w:val="single" w:sz="4" w:space="0" w:color="auto"/>
            </w:tcBorders>
            <w:shd w:val="clear" w:color="000000" w:fill="FFFFFF"/>
            <w:noWrap/>
            <w:hideMark/>
          </w:tcPr>
          <w:p w14:paraId="4E30C77F" w14:textId="36F05539" w:rsidR="00F847AC" w:rsidRPr="00F847AC" w:rsidRDefault="00F847AC" w:rsidP="00F847AC">
            <w:pPr>
              <w:jc w:val="right"/>
              <w:outlineLvl w:val="0"/>
              <w:rPr>
                <w:noProof/>
                <w:sz w:val="20"/>
                <w:szCs w:val="20"/>
              </w:rPr>
            </w:pPr>
            <w:bookmarkStart w:id="1879" w:name="_Toc223981477"/>
            <w:r w:rsidRPr="00F847AC">
              <w:rPr>
                <w:noProof/>
                <w:sz w:val="20"/>
                <w:szCs w:val="20"/>
              </w:rPr>
              <w:t>16.0</w:t>
            </w:r>
            <w:bookmarkEnd w:id="1879"/>
          </w:p>
        </w:tc>
        <w:tc>
          <w:tcPr>
            <w:tcW w:w="781" w:type="pct"/>
            <w:tcBorders>
              <w:top w:val="nil"/>
              <w:left w:val="nil"/>
              <w:bottom w:val="single" w:sz="4" w:space="0" w:color="auto"/>
              <w:right w:val="single" w:sz="4" w:space="0" w:color="auto"/>
            </w:tcBorders>
            <w:shd w:val="clear" w:color="000000" w:fill="FFFFFF"/>
            <w:noWrap/>
            <w:hideMark/>
          </w:tcPr>
          <w:p w14:paraId="40622569" w14:textId="3D023B5B" w:rsidR="00F847AC" w:rsidRPr="00F847AC" w:rsidRDefault="00F847AC" w:rsidP="00F847AC">
            <w:pPr>
              <w:jc w:val="right"/>
              <w:outlineLvl w:val="0"/>
              <w:rPr>
                <w:noProof/>
                <w:sz w:val="20"/>
                <w:szCs w:val="20"/>
              </w:rPr>
            </w:pPr>
            <w:bookmarkStart w:id="1880" w:name="_Toc223981478"/>
            <w:r w:rsidRPr="00F847AC">
              <w:rPr>
                <w:noProof/>
                <w:sz w:val="20"/>
                <w:szCs w:val="20"/>
              </w:rPr>
              <w:t>12.0</w:t>
            </w:r>
            <w:bookmarkEnd w:id="1880"/>
          </w:p>
        </w:tc>
      </w:tr>
      <w:tr w:rsidR="00F847AC" w:rsidRPr="00491C02" w14:paraId="57AFCAAE"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CDCA835" w14:textId="77777777" w:rsidR="00F847AC" w:rsidRPr="00491C02" w:rsidRDefault="00F847AC" w:rsidP="00F847AC">
            <w:pPr>
              <w:outlineLvl w:val="0"/>
              <w:rPr>
                <w:noProof/>
                <w:sz w:val="20"/>
                <w:szCs w:val="20"/>
              </w:rPr>
            </w:pPr>
            <w:r w:rsidRPr="00491C02">
              <w:rPr>
                <w:noProof/>
                <w:sz w:val="20"/>
                <w:szCs w:val="20"/>
              </w:rPr>
              <w:t xml:space="preserve"> </w:t>
            </w:r>
            <w:bookmarkStart w:id="1881" w:name="_Toc223981479"/>
            <w:r w:rsidRPr="00491C02">
              <w:rPr>
                <w:noProof/>
                <w:sz w:val="20"/>
                <w:szCs w:val="20"/>
              </w:rPr>
              <w:t>Bulgaria</w:t>
            </w:r>
            <w:bookmarkEnd w:id="188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82DC801" w14:textId="77777777" w:rsidR="00F847AC" w:rsidRPr="00F847AC" w:rsidRDefault="00F847AC" w:rsidP="00F847AC">
            <w:pPr>
              <w:jc w:val="right"/>
              <w:outlineLvl w:val="0"/>
              <w:rPr>
                <w:noProof/>
                <w:sz w:val="20"/>
                <w:szCs w:val="20"/>
              </w:rPr>
            </w:pPr>
            <w:bookmarkStart w:id="1882" w:name="_Toc223981480"/>
            <w:r w:rsidRPr="00F847AC">
              <w:rPr>
                <w:noProof/>
                <w:sz w:val="20"/>
                <w:szCs w:val="20"/>
              </w:rPr>
              <w:t>0.0</w:t>
            </w:r>
            <w:bookmarkEnd w:id="1882"/>
          </w:p>
        </w:tc>
        <w:tc>
          <w:tcPr>
            <w:tcW w:w="781" w:type="pct"/>
            <w:tcBorders>
              <w:top w:val="nil"/>
              <w:left w:val="nil"/>
              <w:bottom w:val="single" w:sz="4" w:space="0" w:color="auto"/>
              <w:right w:val="single" w:sz="4" w:space="0" w:color="auto"/>
            </w:tcBorders>
            <w:shd w:val="clear" w:color="000000" w:fill="FFFFFF"/>
            <w:noWrap/>
            <w:hideMark/>
          </w:tcPr>
          <w:p w14:paraId="1F5EA488" w14:textId="77777777" w:rsidR="00F847AC" w:rsidRPr="00F847AC" w:rsidRDefault="00F847AC" w:rsidP="00F847AC">
            <w:pPr>
              <w:jc w:val="right"/>
              <w:outlineLvl w:val="0"/>
              <w:rPr>
                <w:noProof/>
                <w:sz w:val="20"/>
                <w:szCs w:val="20"/>
              </w:rPr>
            </w:pPr>
            <w:bookmarkStart w:id="1883" w:name="_Toc223981481"/>
            <w:r w:rsidRPr="00F847AC">
              <w:rPr>
                <w:noProof/>
                <w:sz w:val="20"/>
                <w:szCs w:val="20"/>
              </w:rPr>
              <w:t>0.0</w:t>
            </w:r>
            <w:bookmarkEnd w:id="1883"/>
          </w:p>
        </w:tc>
        <w:tc>
          <w:tcPr>
            <w:tcW w:w="781" w:type="pct"/>
            <w:tcBorders>
              <w:top w:val="nil"/>
              <w:left w:val="nil"/>
              <w:bottom w:val="single" w:sz="4" w:space="0" w:color="auto"/>
              <w:right w:val="single" w:sz="4" w:space="0" w:color="auto"/>
            </w:tcBorders>
            <w:shd w:val="clear" w:color="000000" w:fill="FFFFFF"/>
            <w:noWrap/>
            <w:hideMark/>
          </w:tcPr>
          <w:p w14:paraId="0CDACAE7" w14:textId="77777777" w:rsidR="00F847AC" w:rsidRPr="00F847AC" w:rsidRDefault="00F847AC" w:rsidP="00F847AC">
            <w:pPr>
              <w:jc w:val="right"/>
              <w:outlineLvl w:val="0"/>
              <w:rPr>
                <w:noProof/>
                <w:sz w:val="20"/>
                <w:szCs w:val="20"/>
              </w:rPr>
            </w:pPr>
            <w:bookmarkStart w:id="1884" w:name="_Toc223981482"/>
            <w:r w:rsidRPr="00F847AC">
              <w:rPr>
                <w:noProof/>
                <w:sz w:val="20"/>
                <w:szCs w:val="20"/>
              </w:rPr>
              <w:t>0.0</w:t>
            </w:r>
            <w:bookmarkEnd w:id="1884"/>
          </w:p>
        </w:tc>
        <w:tc>
          <w:tcPr>
            <w:tcW w:w="781" w:type="pct"/>
            <w:tcBorders>
              <w:top w:val="nil"/>
              <w:left w:val="nil"/>
              <w:bottom w:val="single" w:sz="4" w:space="0" w:color="auto"/>
              <w:right w:val="single" w:sz="4" w:space="0" w:color="auto"/>
            </w:tcBorders>
            <w:shd w:val="clear" w:color="000000" w:fill="FFFFFF"/>
            <w:noWrap/>
            <w:hideMark/>
          </w:tcPr>
          <w:p w14:paraId="40A6BD0F" w14:textId="77777777" w:rsidR="00F847AC" w:rsidRPr="00F847AC" w:rsidRDefault="00F847AC" w:rsidP="00F847AC">
            <w:pPr>
              <w:jc w:val="right"/>
              <w:outlineLvl w:val="0"/>
              <w:rPr>
                <w:noProof/>
                <w:sz w:val="20"/>
                <w:szCs w:val="20"/>
              </w:rPr>
            </w:pPr>
            <w:bookmarkStart w:id="1885" w:name="_Toc223981483"/>
            <w:r w:rsidRPr="00F847AC">
              <w:rPr>
                <w:noProof/>
                <w:sz w:val="20"/>
                <w:szCs w:val="20"/>
              </w:rPr>
              <w:t>0.0</w:t>
            </w:r>
            <w:bookmarkEnd w:id="1885"/>
          </w:p>
        </w:tc>
      </w:tr>
      <w:tr w:rsidR="00F847AC" w:rsidRPr="00491C02" w14:paraId="4B5F32C5"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0DFF5413" w14:textId="77777777" w:rsidR="00F847AC" w:rsidRPr="00491C02" w:rsidRDefault="00F847AC" w:rsidP="00F847AC">
            <w:pPr>
              <w:outlineLvl w:val="0"/>
              <w:rPr>
                <w:noProof/>
                <w:sz w:val="20"/>
                <w:szCs w:val="20"/>
              </w:rPr>
            </w:pPr>
            <w:r w:rsidRPr="00491C02">
              <w:rPr>
                <w:noProof/>
                <w:sz w:val="20"/>
                <w:szCs w:val="20"/>
              </w:rPr>
              <w:t xml:space="preserve"> </w:t>
            </w:r>
            <w:bookmarkStart w:id="1886" w:name="_Toc223981484"/>
            <w:r w:rsidRPr="00491C02">
              <w:rPr>
                <w:noProof/>
                <w:sz w:val="20"/>
                <w:szCs w:val="20"/>
              </w:rPr>
              <w:t>Estonia</w:t>
            </w:r>
            <w:bookmarkEnd w:id="188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17490EBC" w14:textId="77777777" w:rsidR="00F847AC" w:rsidRPr="00F847AC" w:rsidRDefault="00F847AC" w:rsidP="00F847AC">
            <w:pPr>
              <w:jc w:val="right"/>
              <w:outlineLvl w:val="0"/>
              <w:rPr>
                <w:noProof/>
                <w:sz w:val="20"/>
                <w:szCs w:val="20"/>
              </w:rPr>
            </w:pPr>
            <w:bookmarkStart w:id="1887" w:name="_Toc223981485"/>
            <w:r w:rsidRPr="00F847AC">
              <w:rPr>
                <w:noProof/>
                <w:sz w:val="20"/>
                <w:szCs w:val="20"/>
              </w:rPr>
              <w:t>0.0</w:t>
            </w:r>
            <w:bookmarkEnd w:id="1887"/>
          </w:p>
        </w:tc>
        <w:tc>
          <w:tcPr>
            <w:tcW w:w="781" w:type="pct"/>
            <w:tcBorders>
              <w:top w:val="nil"/>
              <w:left w:val="nil"/>
              <w:bottom w:val="single" w:sz="4" w:space="0" w:color="auto"/>
              <w:right w:val="single" w:sz="4" w:space="0" w:color="auto"/>
            </w:tcBorders>
            <w:shd w:val="clear" w:color="000000" w:fill="FFFFFF"/>
            <w:noWrap/>
            <w:hideMark/>
          </w:tcPr>
          <w:p w14:paraId="68C6EDC1" w14:textId="77777777" w:rsidR="00F847AC" w:rsidRPr="00F847AC" w:rsidRDefault="00F847AC" w:rsidP="00F847AC">
            <w:pPr>
              <w:jc w:val="right"/>
              <w:outlineLvl w:val="0"/>
              <w:rPr>
                <w:noProof/>
                <w:sz w:val="20"/>
                <w:szCs w:val="20"/>
              </w:rPr>
            </w:pPr>
            <w:bookmarkStart w:id="1888" w:name="_Toc223981486"/>
            <w:r w:rsidRPr="00F847AC">
              <w:rPr>
                <w:noProof/>
                <w:sz w:val="20"/>
                <w:szCs w:val="20"/>
              </w:rPr>
              <w:t>0.0</w:t>
            </w:r>
            <w:bookmarkEnd w:id="1888"/>
          </w:p>
        </w:tc>
        <w:tc>
          <w:tcPr>
            <w:tcW w:w="781" w:type="pct"/>
            <w:tcBorders>
              <w:top w:val="nil"/>
              <w:left w:val="nil"/>
              <w:bottom w:val="single" w:sz="4" w:space="0" w:color="auto"/>
              <w:right w:val="single" w:sz="4" w:space="0" w:color="auto"/>
            </w:tcBorders>
            <w:shd w:val="clear" w:color="000000" w:fill="FFFFFF"/>
            <w:noWrap/>
            <w:hideMark/>
          </w:tcPr>
          <w:p w14:paraId="329BEC71" w14:textId="77777777" w:rsidR="00F847AC" w:rsidRPr="00F847AC" w:rsidRDefault="00F847AC" w:rsidP="00F847AC">
            <w:pPr>
              <w:jc w:val="right"/>
              <w:outlineLvl w:val="0"/>
              <w:rPr>
                <w:noProof/>
                <w:sz w:val="20"/>
                <w:szCs w:val="20"/>
              </w:rPr>
            </w:pPr>
            <w:bookmarkStart w:id="1889" w:name="_Toc223981487"/>
            <w:r w:rsidRPr="00F847AC">
              <w:rPr>
                <w:noProof/>
                <w:sz w:val="20"/>
                <w:szCs w:val="20"/>
              </w:rPr>
              <w:t>0.0</w:t>
            </w:r>
            <w:bookmarkEnd w:id="1889"/>
          </w:p>
        </w:tc>
        <w:tc>
          <w:tcPr>
            <w:tcW w:w="781" w:type="pct"/>
            <w:tcBorders>
              <w:top w:val="nil"/>
              <w:left w:val="nil"/>
              <w:bottom w:val="single" w:sz="4" w:space="0" w:color="auto"/>
              <w:right w:val="single" w:sz="4" w:space="0" w:color="auto"/>
            </w:tcBorders>
            <w:shd w:val="clear" w:color="000000" w:fill="FFFFFF"/>
            <w:noWrap/>
            <w:hideMark/>
          </w:tcPr>
          <w:p w14:paraId="22CA7109" w14:textId="77777777" w:rsidR="00F847AC" w:rsidRPr="00F847AC" w:rsidRDefault="00F847AC" w:rsidP="00F847AC">
            <w:pPr>
              <w:jc w:val="right"/>
              <w:outlineLvl w:val="0"/>
              <w:rPr>
                <w:noProof/>
                <w:sz w:val="20"/>
                <w:szCs w:val="20"/>
              </w:rPr>
            </w:pPr>
            <w:bookmarkStart w:id="1890" w:name="_Toc223981488"/>
            <w:r w:rsidRPr="00F847AC">
              <w:rPr>
                <w:noProof/>
                <w:sz w:val="20"/>
                <w:szCs w:val="20"/>
              </w:rPr>
              <w:t>0.0</w:t>
            </w:r>
            <w:bookmarkEnd w:id="1890"/>
          </w:p>
        </w:tc>
      </w:tr>
      <w:tr w:rsidR="00F847AC" w:rsidRPr="00491C02" w14:paraId="76556F7C"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1E2B9ADE" w14:textId="77777777" w:rsidR="00F847AC" w:rsidRPr="00491C02" w:rsidRDefault="00F847AC" w:rsidP="00F847AC">
            <w:pPr>
              <w:outlineLvl w:val="0"/>
              <w:rPr>
                <w:noProof/>
                <w:sz w:val="20"/>
                <w:szCs w:val="20"/>
              </w:rPr>
            </w:pPr>
            <w:r w:rsidRPr="00491C02">
              <w:rPr>
                <w:noProof/>
                <w:sz w:val="20"/>
                <w:szCs w:val="20"/>
              </w:rPr>
              <w:t xml:space="preserve"> </w:t>
            </w:r>
            <w:bookmarkStart w:id="1891" w:name="_Toc223981489"/>
            <w:r w:rsidRPr="00491C02">
              <w:rPr>
                <w:noProof/>
                <w:sz w:val="20"/>
                <w:szCs w:val="20"/>
              </w:rPr>
              <w:t>Croatia</w:t>
            </w:r>
            <w:bookmarkEnd w:id="189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09E0EE53" w14:textId="20B1F0F4" w:rsidR="00F847AC" w:rsidRPr="00F847AC" w:rsidRDefault="00F847AC" w:rsidP="00F847AC">
            <w:pPr>
              <w:jc w:val="right"/>
              <w:outlineLvl w:val="0"/>
              <w:rPr>
                <w:noProof/>
                <w:sz w:val="20"/>
                <w:szCs w:val="20"/>
              </w:rPr>
            </w:pPr>
            <w:bookmarkStart w:id="1892" w:name="_Toc223981490"/>
            <w:r w:rsidRPr="00F847AC">
              <w:rPr>
                <w:noProof/>
                <w:sz w:val="20"/>
                <w:szCs w:val="20"/>
              </w:rPr>
              <w:t>34.6</w:t>
            </w:r>
            <w:bookmarkEnd w:id="1892"/>
          </w:p>
        </w:tc>
        <w:tc>
          <w:tcPr>
            <w:tcW w:w="781" w:type="pct"/>
            <w:tcBorders>
              <w:top w:val="nil"/>
              <w:left w:val="nil"/>
              <w:bottom w:val="single" w:sz="4" w:space="0" w:color="auto"/>
              <w:right w:val="single" w:sz="4" w:space="0" w:color="auto"/>
            </w:tcBorders>
            <w:shd w:val="clear" w:color="000000" w:fill="FFFFFF"/>
            <w:noWrap/>
            <w:hideMark/>
          </w:tcPr>
          <w:p w14:paraId="1523980F" w14:textId="657586B2" w:rsidR="00F847AC" w:rsidRPr="00F847AC" w:rsidRDefault="00F847AC" w:rsidP="00F847AC">
            <w:pPr>
              <w:jc w:val="right"/>
              <w:outlineLvl w:val="0"/>
              <w:rPr>
                <w:noProof/>
                <w:sz w:val="20"/>
                <w:szCs w:val="20"/>
              </w:rPr>
            </w:pPr>
            <w:bookmarkStart w:id="1893" w:name="_Toc223981491"/>
            <w:r w:rsidRPr="00F847AC">
              <w:rPr>
                <w:noProof/>
                <w:sz w:val="20"/>
                <w:szCs w:val="20"/>
              </w:rPr>
              <w:t>5.3</w:t>
            </w:r>
            <w:bookmarkEnd w:id="1893"/>
          </w:p>
        </w:tc>
        <w:tc>
          <w:tcPr>
            <w:tcW w:w="781" w:type="pct"/>
            <w:tcBorders>
              <w:top w:val="nil"/>
              <w:left w:val="nil"/>
              <w:bottom w:val="single" w:sz="4" w:space="0" w:color="auto"/>
              <w:right w:val="single" w:sz="4" w:space="0" w:color="auto"/>
            </w:tcBorders>
            <w:shd w:val="clear" w:color="000000" w:fill="FFFFFF"/>
            <w:noWrap/>
            <w:hideMark/>
          </w:tcPr>
          <w:p w14:paraId="118D29E1" w14:textId="68BD547F" w:rsidR="00F847AC" w:rsidRPr="00F847AC" w:rsidRDefault="00F847AC" w:rsidP="00F847AC">
            <w:pPr>
              <w:jc w:val="right"/>
              <w:outlineLvl w:val="0"/>
              <w:rPr>
                <w:noProof/>
                <w:sz w:val="20"/>
                <w:szCs w:val="20"/>
              </w:rPr>
            </w:pPr>
            <w:bookmarkStart w:id="1894" w:name="_Toc223981492"/>
            <w:r w:rsidRPr="00F847AC">
              <w:rPr>
                <w:noProof/>
                <w:sz w:val="20"/>
                <w:szCs w:val="20"/>
              </w:rPr>
              <w:t>8.0</w:t>
            </w:r>
            <w:bookmarkEnd w:id="1894"/>
          </w:p>
        </w:tc>
        <w:tc>
          <w:tcPr>
            <w:tcW w:w="781" w:type="pct"/>
            <w:tcBorders>
              <w:top w:val="nil"/>
              <w:left w:val="nil"/>
              <w:bottom w:val="single" w:sz="4" w:space="0" w:color="auto"/>
              <w:right w:val="single" w:sz="4" w:space="0" w:color="auto"/>
            </w:tcBorders>
            <w:shd w:val="clear" w:color="000000" w:fill="FFFFFF"/>
            <w:noWrap/>
            <w:hideMark/>
          </w:tcPr>
          <w:p w14:paraId="6F8C5994" w14:textId="425F7350" w:rsidR="00F847AC" w:rsidRPr="00F847AC" w:rsidRDefault="00F847AC" w:rsidP="00F847AC">
            <w:pPr>
              <w:jc w:val="right"/>
              <w:outlineLvl w:val="0"/>
              <w:rPr>
                <w:noProof/>
                <w:sz w:val="20"/>
                <w:szCs w:val="20"/>
              </w:rPr>
            </w:pPr>
            <w:bookmarkStart w:id="1895" w:name="_Toc223981493"/>
            <w:r w:rsidRPr="00F847AC">
              <w:rPr>
                <w:noProof/>
                <w:sz w:val="20"/>
                <w:szCs w:val="20"/>
              </w:rPr>
              <w:t>6.0</w:t>
            </w:r>
            <w:bookmarkEnd w:id="1895"/>
          </w:p>
        </w:tc>
      </w:tr>
      <w:tr w:rsidR="00F847AC" w:rsidRPr="00491C02" w14:paraId="09EF1884"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6A2D777" w14:textId="77777777" w:rsidR="00F847AC" w:rsidRPr="00491C02" w:rsidRDefault="00F847AC" w:rsidP="00F847AC">
            <w:pPr>
              <w:outlineLvl w:val="0"/>
              <w:rPr>
                <w:noProof/>
                <w:sz w:val="20"/>
                <w:szCs w:val="20"/>
              </w:rPr>
            </w:pPr>
            <w:r w:rsidRPr="00491C02">
              <w:rPr>
                <w:noProof/>
                <w:sz w:val="20"/>
                <w:szCs w:val="20"/>
              </w:rPr>
              <w:t xml:space="preserve"> </w:t>
            </w:r>
            <w:bookmarkStart w:id="1896" w:name="_Toc223981494"/>
            <w:r w:rsidRPr="00491C02">
              <w:rPr>
                <w:noProof/>
                <w:sz w:val="20"/>
                <w:szCs w:val="20"/>
              </w:rPr>
              <w:t>Lithuania</w:t>
            </w:r>
            <w:bookmarkEnd w:id="189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7030CDF7" w14:textId="77777777" w:rsidR="00F847AC" w:rsidRPr="00F847AC" w:rsidRDefault="00F847AC" w:rsidP="00F847AC">
            <w:pPr>
              <w:jc w:val="right"/>
              <w:outlineLvl w:val="0"/>
              <w:rPr>
                <w:noProof/>
                <w:sz w:val="20"/>
                <w:szCs w:val="20"/>
              </w:rPr>
            </w:pPr>
            <w:bookmarkStart w:id="1897" w:name="_Toc223981495"/>
            <w:r w:rsidRPr="00F847AC">
              <w:rPr>
                <w:noProof/>
                <w:sz w:val="20"/>
                <w:szCs w:val="20"/>
              </w:rPr>
              <w:t>0.0</w:t>
            </w:r>
            <w:bookmarkEnd w:id="1897"/>
          </w:p>
        </w:tc>
        <w:tc>
          <w:tcPr>
            <w:tcW w:w="781" w:type="pct"/>
            <w:tcBorders>
              <w:top w:val="nil"/>
              <w:left w:val="nil"/>
              <w:bottom w:val="single" w:sz="4" w:space="0" w:color="auto"/>
              <w:right w:val="single" w:sz="4" w:space="0" w:color="auto"/>
            </w:tcBorders>
            <w:shd w:val="clear" w:color="000000" w:fill="FFFFFF"/>
            <w:noWrap/>
            <w:hideMark/>
          </w:tcPr>
          <w:p w14:paraId="1B5A5F7D" w14:textId="77777777" w:rsidR="00F847AC" w:rsidRPr="00F847AC" w:rsidRDefault="00F847AC" w:rsidP="00F847AC">
            <w:pPr>
              <w:jc w:val="right"/>
              <w:outlineLvl w:val="0"/>
              <w:rPr>
                <w:noProof/>
                <w:sz w:val="20"/>
                <w:szCs w:val="20"/>
              </w:rPr>
            </w:pPr>
            <w:bookmarkStart w:id="1898" w:name="_Toc223981496"/>
            <w:r w:rsidRPr="00F847AC">
              <w:rPr>
                <w:noProof/>
                <w:sz w:val="20"/>
                <w:szCs w:val="20"/>
              </w:rPr>
              <w:t>0.0</w:t>
            </w:r>
            <w:bookmarkEnd w:id="1898"/>
          </w:p>
        </w:tc>
        <w:tc>
          <w:tcPr>
            <w:tcW w:w="781" w:type="pct"/>
            <w:tcBorders>
              <w:top w:val="nil"/>
              <w:left w:val="nil"/>
              <w:bottom w:val="single" w:sz="4" w:space="0" w:color="auto"/>
              <w:right w:val="single" w:sz="4" w:space="0" w:color="auto"/>
            </w:tcBorders>
            <w:shd w:val="clear" w:color="000000" w:fill="FFFFFF"/>
            <w:noWrap/>
            <w:hideMark/>
          </w:tcPr>
          <w:p w14:paraId="750E0178" w14:textId="77777777" w:rsidR="00F847AC" w:rsidRPr="00F847AC" w:rsidRDefault="00F847AC" w:rsidP="00F847AC">
            <w:pPr>
              <w:jc w:val="right"/>
              <w:outlineLvl w:val="0"/>
              <w:rPr>
                <w:noProof/>
                <w:sz w:val="20"/>
                <w:szCs w:val="20"/>
              </w:rPr>
            </w:pPr>
            <w:bookmarkStart w:id="1899" w:name="_Toc223981497"/>
            <w:r w:rsidRPr="00F847AC">
              <w:rPr>
                <w:noProof/>
                <w:sz w:val="20"/>
                <w:szCs w:val="20"/>
              </w:rPr>
              <w:t>0.0</w:t>
            </w:r>
            <w:bookmarkEnd w:id="1899"/>
          </w:p>
        </w:tc>
        <w:tc>
          <w:tcPr>
            <w:tcW w:w="781" w:type="pct"/>
            <w:tcBorders>
              <w:top w:val="nil"/>
              <w:left w:val="nil"/>
              <w:bottom w:val="single" w:sz="4" w:space="0" w:color="auto"/>
              <w:right w:val="single" w:sz="4" w:space="0" w:color="auto"/>
            </w:tcBorders>
            <w:shd w:val="clear" w:color="000000" w:fill="FFFFFF"/>
            <w:noWrap/>
            <w:hideMark/>
          </w:tcPr>
          <w:p w14:paraId="355B483D" w14:textId="77777777" w:rsidR="00F847AC" w:rsidRPr="00F847AC" w:rsidRDefault="00F847AC" w:rsidP="00F847AC">
            <w:pPr>
              <w:jc w:val="right"/>
              <w:outlineLvl w:val="0"/>
              <w:rPr>
                <w:noProof/>
                <w:sz w:val="20"/>
                <w:szCs w:val="20"/>
              </w:rPr>
            </w:pPr>
            <w:bookmarkStart w:id="1900" w:name="_Toc223981498"/>
            <w:r w:rsidRPr="00F847AC">
              <w:rPr>
                <w:noProof/>
                <w:sz w:val="20"/>
                <w:szCs w:val="20"/>
              </w:rPr>
              <w:t>0.0</w:t>
            </w:r>
            <w:bookmarkEnd w:id="1900"/>
          </w:p>
        </w:tc>
      </w:tr>
      <w:tr w:rsidR="00F847AC" w:rsidRPr="00491C02" w14:paraId="29E91ABE"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348C36F4" w14:textId="77777777" w:rsidR="00F847AC" w:rsidRPr="00491C02" w:rsidRDefault="00F847AC" w:rsidP="00F847AC">
            <w:pPr>
              <w:outlineLvl w:val="0"/>
              <w:rPr>
                <w:noProof/>
                <w:sz w:val="20"/>
                <w:szCs w:val="20"/>
              </w:rPr>
            </w:pPr>
            <w:r w:rsidRPr="00491C02">
              <w:rPr>
                <w:noProof/>
                <w:sz w:val="20"/>
                <w:szCs w:val="20"/>
              </w:rPr>
              <w:t xml:space="preserve"> </w:t>
            </w:r>
            <w:bookmarkStart w:id="1901" w:name="_Toc223981499"/>
            <w:r w:rsidRPr="00491C02">
              <w:rPr>
                <w:noProof/>
                <w:sz w:val="20"/>
                <w:szCs w:val="20"/>
              </w:rPr>
              <w:t>Hungary</w:t>
            </w:r>
            <w:bookmarkEnd w:id="190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0224EE8F" w14:textId="7F977ACB" w:rsidR="00F847AC" w:rsidRPr="00F847AC" w:rsidRDefault="00F847AC" w:rsidP="00F847AC">
            <w:pPr>
              <w:jc w:val="right"/>
              <w:outlineLvl w:val="0"/>
              <w:rPr>
                <w:noProof/>
                <w:sz w:val="20"/>
                <w:szCs w:val="20"/>
              </w:rPr>
            </w:pPr>
            <w:bookmarkStart w:id="1902" w:name="_Toc223981500"/>
            <w:r w:rsidRPr="00F847AC">
              <w:rPr>
                <w:noProof/>
                <w:sz w:val="20"/>
                <w:szCs w:val="20"/>
              </w:rPr>
              <w:t>103.9</w:t>
            </w:r>
            <w:bookmarkEnd w:id="1902"/>
          </w:p>
        </w:tc>
        <w:tc>
          <w:tcPr>
            <w:tcW w:w="781" w:type="pct"/>
            <w:tcBorders>
              <w:top w:val="nil"/>
              <w:left w:val="nil"/>
              <w:bottom w:val="single" w:sz="4" w:space="0" w:color="auto"/>
              <w:right w:val="single" w:sz="4" w:space="0" w:color="auto"/>
            </w:tcBorders>
            <w:shd w:val="clear" w:color="000000" w:fill="FFFFFF"/>
            <w:noWrap/>
            <w:hideMark/>
          </w:tcPr>
          <w:p w14:paraId="5DE0951A" w14:textId="714EB926" w:rsidR="00F847AC" w:rsidRPr="00F847AC" w:rsidRDefault="00F847AC" w:rsidP="00F847AC">
            <w:pPr>
              <w:jc w:val="right"/>
              <w:outlineLvl w:val="0"/>
              <w:rPr>
                <w:noProof/>
                <w:sz w:val="20"/>
                <w:szCs w:val="20"/>
              </w:rPr>
            </w:pPr>
            <w:bookmarkStart w:id="1903" w:name="_Toc223981501"/>
            <w:r w:rsidRPr="00F847AC">
              <w:rPr>
                <w:noProof/>
                <w:sz w:val="20"/>
                <w:szCs w:val="20"/>
              </w:rPr>
              <w:t>16.0</w:t>
            </w:r>
            <w:bookmarkEnd w:id="1903"/>
          </w:p>
        </w:tc>
        <w:tc>
          <w:tcPr>
            <w:tcW w:w="781" w:type="pct"/>
            <w:tcBorders>
              <w:top w:val="nil"/>
              <w:left w:val="nil"/>
              <w:bottom w:val="single" w:sz="4" w:space="0" w:color="auto"/>
              <w:right w:val="single" w:sz="4" w:space="0" w:color="auto"/>
            </w:tcBorders>
            <w:shd w:val="clear" w:color="000000" w:fill="FFFFFF"/>
            <w:noWrap/>
            <w:hideMark/>
          </w:tcPr>
          <w:p w14:paraId="0BC4E649" w14:textId="7421ED4C" w:rsidR="00F847AC" w:rsidRPr="00F847AC" w:rsidRDefault="00F847AC" w:rsidP="00F847AC">
            <w:pPr>
              <w:jc w:val="right"/>
              <w:outlineLvl w:val="0"/>
              <w:rPr>
                <w:noProof/>
                <w:sz w:val="20"/>
                <w:szCs w:val="20"/>
              </w:rPr>
            </w:pPr>
            <w:bookmarkStart w:id="1904" w:name="_Toc223981502"/>
            <w:r w:rsidRPr="00F847AC">
              <w:rPr>
                <w:noProof/>
                <w:sz w:val="20"/>
                <w:szCs w:val="20"/>
              </w:rPr>
              <w:t>24.0</w:t>
            </w:r>
            <w:bookmarkEnd w:id="1904"/>
          </w:p>
        </w:tc>
        <w:tc>
          <w:tcPr>
            <w:tcW w:w="781" w:type="pct"/>
            <w:tcBorders>
              <w:top w:val="nil"/>
              <w:left w:val="nil"/>
              <w:bottom w:val="single" w:sz="4" w:space="0" w:color="auto"/>
              <w:right w:val="single" w:sz="4" w:space="0" w:color="auto"/>
            </w:tcBorders>
            <w:shd w:val="clear" w:color="000000" w:fill="FFFFFF"/>
            <w:noWrap/>
            <w:hideMark/>
          </w:tcPr>
          <w:p w14:paraId="1BC32EDA" w14:textId="54997E9C" w:rsidR="00F847AC" w:rsidRPr="00F847AC" w:rsidRDefault="00F847AC" w:rsidP="00F847AC">
            <w:pPr>
              <w:jc w:val="right"/>
              <w:outlineLvl w:val="0"/>
              <w:rPr>
                <w:noProof/>
                <w:sz w:val="20"/>
                <w:szCs w:val="20"/>
              </w:rPr>
            </w:pPr>
            <w:bookmarkStart w:id="1905" w:name="_Toc223981503"/>
            <w:r w:rsidRPr="00F847AC">
              <w:rPr>
                <w:noProof/>
                <w:sz w:val="20"/>
                <w:szCs w:val="20"/>
              </w:rPr>
              <w:t>18.0</w:t>
            </w:r>
            <w:bookmarkEnd w:id="1905"/>
          </w:p>
        </w:tc>
      </w:tr>
      <w:tr w:rsidR="00F847AC" w:rsidRPr="00491C02" w14:paraId="582DA3D9"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6EB3B1AE" w14:textId="77777777" w:rsidR="00F847AC" w:rsidRPr="00491C02" w:rsidRDefault="00F847AC" w:rsidP="00F847AC">
            <w:pPr>
              <w:outlineLvl w:val="0"/>
              <w:rPr>
                <w:noProof/>
                <w:sz w:val="20"/>
                <w:szCs w:val="20"/>
              </w:rPr>
            </w:pPr>
            <w:r w:rsidRPr="00491C02">
              <w:rPr>
                <w:noProof/>
                <w:sz w:val="20"/>
                <w:szCs w:val="20"/>
              </w:rPr>
              <w:t xml:space="preserve"> </w:t>
            </w:r>
            <w:bookmarkStart w:id="1906" w:name="_Toc223981504"/>
            <w:r w:rsidRPr="00491C02">
              <w:rPr>
                <w:noProof/>
                <w:sz w:val="20"/>
                <w:szCs w:val="20"/>
              </w:rPr>
              <w:t>Sweden</w:t>
            </w:r>
            <w:bookmarkEnd w:id="190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7EB44510" w14:textId="1F9B0635" w:rsidR="00F847AC" w:rsidRPr="00F847AC" w:rsidRDefault="00F847AC" w:rsidP="00F847AC">
            <w:pPr>
              <w:jc w:val="right"/>
              <w:outlineLvl w:val="0"/>
              <w:rPr>
                <w:noProof/>
                <w:sz w:val="20"/>
                <w:szCs w:val="20"/>
              </w:rPr>
            </w:pPr>
            <w:bookmarkStart w:id="1907" w:name="_Toc223981505"/>
            <w:r w:rsidRPr="00F847AC">
              <w:rPr>
                <w:noProof/>
                <w:sz w:val="20"/>
                <w:szCs w:val="20"/>
              </w:rPr>
              <w:t>69.3</w:t>
            </w:r>
            <w:bookmarkEnd w:id="1907"/>
          </w:p>
        </w:tc>
        <w:tc>
          <w:tcPr>
            <w:tcW w:w="781" w:type="pct"/>
            <w:tcBorders>
              <w:top w:val="nil"/>
              <w:left w:val="nil"/>
              <w:bottom w:val="single" w:sz="4" w:space="0" w:color="auto"/>
              <w:right w:val="single" w:sz="4" w:space="0" w:color="auto"/>
            </w:tcBorders>
            <w:shd w:val="clear" w:color="000000" w:fill="FFFFFF"/>
            <w:noWrap/>
            <w:hideMark/>
          </w:tcPr>
          <w:p w14:paraId="64CA6388" w14:textId="1949E970" w:rsidR="00F847AC" w:rsidRPr="00F847AC" w:rsidRDefault="00F847AC" w:rsidP="00F847AC">
            <w:pPr>
              <w:jc w:val="right"/>
              <w:outlineLvl w:val="0"/>
              <w:rPr>
                <w:noProof/>
                <w:sz w:val="20"/>
                <w:szCs w:val="20"/>
              </w:rPr>
            </w:pPr>
            <w:bookmarkStart w:id="1908" w:name="_Toc223981506"/>
            <w:r w:rsidRPr="00F847AC">
              <w:rPr>
                <w:noProof/>
                <w:sz w:val="20"/>
                <w:szCs w:val="20"/>
              </w:rPr>
              <w:t>10.6</w:t>
            </w:r>
            <w:bookmarkEnd w:id="1908"/>
          </w:p>
        </w:tc>
        <w:tc>
          <w:tcPr>
            <w:tcW w:w="781" w:type="pct"/>
            <w:tcBorders>
              <w:top w:val="nil"/>
              <w:left w:val="nil"/>
              <w:bottom w:val="single" w:sz="4" w:space="0" w:color="auto"/>
              <w:right w:val="single" w:sz="4" w:space="0" w:color="auto"/>
            </w:tcBorders>
            <w:shd w:val="clear" w:color="000000" w:fill="FFFFFF"/>
            <w:noWrap/>
            <w:hideMark/>
          </w:tcPr>
          <w:p w14:paraId="435947D3" w14:textId="438D1A6B" w:rsidR="00F847AC" w:rsidRPr="00F847AC" w:rsidRDefault="00F847AC" w:rsidP="00F847AC">
            <w:pPr>
              <w:jc w:val="right"/>
              <w:outlineLvl w:val="0"/>
              <w:rPr>
                <w:noProof/>
                <w:sz w:val="20"/>
                <w:szCs w:val="20"/>
              </w:rPr>
            </w:pPr>
            <w:bookmarkStart w:id="1909" w:name="_Toc223981507"/>
            <w:r w:rsidRPr="00F847AC">
              <w:rPr>
                <w:noProof/>
                <w:sz w:val="20"/>
                <w:szCs w:val="20"/>
              </w:rPr>
              <w:t>16.0</w:t>
            </w:r>
            <w:bookmarkEnd w:id="1909"/>
          </w:p>
        </w:tc>
        <w:tc>
          <w:tcPr>
            <w:tcW w:w="781" w:type="pct"/>
            <w:tcBorders>
              <w:top w:val="nil"/>
              <w:left w:val="nil"/>
              <w:bottom w:val="single" w:sz="4" w:space="0" w:color="auto"/>
              <w:right w:val="single" w:sz="4" w:space="0" w:color="auto"/>
            </w:tcBorders>
            <w:shd w:val="clear" w:color="000000" w:fill="FFFFFF"/>
            <w:noWrap/>
            <w:hideMark/>
          </w:tcPr>
          <w:p w14:paraId="53254750" w14:textId="173B6592" w:rsidR="00F847AC" w:rsidRPr="00F847AC" w:rsidRDefault="00F847AC" w:rsidP="00F847AC">
            <w:pPr>
              <w:jc w:val="right"/>
              <w:outlineLvl w:val="0"/>
              <w:rPr>
                <w:noProof/>
                <w:sz w:val="20"/>
                <w:szCs w:val="20"/>
              </w:rPr>
            </w:pPr>
            <w:bookmarkStart w:id="1910" w:name="_Toc223981508"/>
            <w:r w:rsidRPr="00F847AC">
              <w:rPr>
                <w:noProof/>
                <w:sz w:val="20"/>
                <w:szCs w:val="20"/>
              </w:rPr>
              <w:t>12.0</w:t>
            </w:r>
            <w:bookmarkEnd w:id="1910"/>
          </w:p>
        </w:tc>
      </w:tr>
      <w:tr w:rsidR="00F847AC" w:rsidRPr="00491C02" w14:paraId="0CF20BD3"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69F3A93A" w14:textId="1DCD865F" w:rsidR="00F847AC" w:rsidRPr="00491C02" w:rsidRDefault="00F847AC" w:rsidP="00F847AC">
            <w:pPr>
              <w:outlineLvl w:val="0"/>
              <w:rPr>
                <w:noProof/>
                <w:sz w:val="20"/>
                <w:szCs w:val="20"/>
              </w:rPr>
            </w:pPr>
            <w:bookmarkStart w:id="1911" w:name="_Toc223981509"/>
            <w:r w:rsidRPr="00491C02">
              <w:rPr>
                <w:noProof/>
                <w:sz w:val="20"/>
                <w:szCs w:val="20"/>
              </w:rPr>
              <w:t>Czechia</w:t>
            </w:r>
            <w:bookmarkEnd w:id="1911"/>
          </w:p>
        </w:tc>
        <w:tc>
          <w:tcPr>
            <w:tcW w:w="780" w:type="pct"/>
            <w:tcBorders>
              <w:top w:val="nil"/>
              <w:left w:val="nil"/>
              <w:bottom w:val="single" w:sz="4" w:space="0" w:color="auto"/>
              <w:right w:val="single" w:sz="4" w:space="0" w:color="auto"/>
            </w:tcBorders>
            <w:shd w:val="clear" w:color="000000" w:fill="FFFFFF"/>
            <w:noWrap/>
            <w:hideMark/>
          </w:tcPr>
          <w:p w14:paraId="43AFF767" w14:textId="5CB45EB0" w:rsidR="00F847AC" w:rsidRPr="00F847AC" w:rsidRDefault="00F847AC" w:rsidP="00F847AC">
            <w:pPr>
              <w:jc w:val="right"/>
              <w:outlineLvl w:val="0"/>
              <w:rPr>
                <w:noProof/>
                <w:sz w:val="20"/>
                <w:szCs w:val="20"/>
              </w:rPr>
            </w:pPr>
            <w:bookmarkStart w:id="1912" w:name="_Toc223981510"/>
            <w:r w:rsidRPr="00F847AC">
              <w:rPr>
                <w:noProof/>
                <w:sz w:val="20"/>
                <w:szCs w:val="20"/>
              </w:rPr>
              <w:t>103.9</w:t>
            </w:r>
            <w:bookmarkEnd w:id="1912"/>
          </w:p>
        </w:tc>
        <w:tc>
          <w:tcPr>
            <w:tcW w:w="781" w:type="pct"/>
            <w:tcBorders>
              <w:top w:val="nil"/>
              <w:left w:val="nil"/>
              <w:bottom w:val="single" w:sz="4" w:space="0" w:color="auto"/>
              <w:right w:val="single" w:sz="4" w:space="0" w:color="auto"/>
            </w:tcBorders>
            <w:shd w:val="clear" w:color="000000" w:fill="FFFFFF"/>
            <w:noWrap/>
            <w:hideMark/>
          </w:tcPr>
          <w:p w14:paraId="50B30262" w14:textId="0EA17F2D" w:rsidR="00F847AC" w:rsidRPr="00F847AC" w:rsidRDefault="00F847AC" w:rsidP="00F847AC">
            <w:pPr>
              <w:jc w:val="right"/>
              <w:outlineLvl w:val="0"/>
              <w:rPr>
                <w:noProof/>
                <w:sz w:val="20"/>
                <w:szCs w:val="20"/>
              </w:rPr>
            </w:pPr>
            <w:bookmarkStart w:id="1913" w:name="_Toc223981511"/>
            <w:r w:rsidRPr="00F847AC">
              <w:rPr>
                <w:noProof/>
                <w:sz w:val="20"/>
                <w:szCs w:val="20"/>
              </w:rPr>
              <w:t>16.0</w:t>
            </w:r>
            <w:bookmarkEnd w:id="1913"/>
          </w:p>
        </w:tc>
        <w:tc>
          <w:tcPr>
            <w:tcW w:w="781" w:type="pct"/>
            <w:tcBorders>
              <w:top w:val="nil"/>
              <w:left w:val="nil"/>
              <w:bottom w:val="single" w:sz="4" w:space="0" w:color="auto"/>
              <w:right w:val="single" w:sz="4" w:space="0" w:color="auto"/>
            </w:tcBorders>
            <w:shd w:val="clear" w:color="000000" w:fill="FFFFFF"/>
            <w:noWrap/>
            <w:hideMark/>
          </w:tcPr>
          <w:p w14:paraId="7E6F4CE1" w14:textId="649890C6" w:rsidR="00F847AC" w:rsidRPr="00F847AC" w:rsidRDefault="00F847AC" w:rsidP="00F847AC">
            <w:pPr>
              <w:jc w:val="right"/>
              <w:outlineLvl w:val="0"/>
              <w:rPr>
                <w:noProof/>
                <w:sz w:val="20"/>
                <w:szCs w:val="20"/>
              </w:rPr>
            </w:pPr>
            <w:bookmarkStart w:id="1914" w:name="_Toc223981512"/>
            <w:r w:rsidRPr="00F847AC">
              <w:rPr>
                <w:noProof/>
                <w:sz w:val="20"/>
                <w:szCs w:val="20"/>
              </w:rPr>
              <w:t>24.0</w:t>
            </w:r>
            <w:bookmarkEnd w:id="1914"/>
          </w:p>
        </w:tc>
        <w:tc>
          <w:tcPr>
            <w:tcW w:w="781" w:type="pct"/>
            <w:tcBorders>
              <w:top w:val="nil"/>
              <w:left w:val="nil"/>
              <w:bottom w:val="single" w:sz="4" w:space="0" w:color="auto"/>
              <w:right w:val="single" w:sz="4" w:space="0" w:color="auto"/>
            </w:tcBorders>
            <w:shd w:val="clear" w:color="000000" w:fill="FFFFFF"/>
            <w:noWrap/>
            <w:hideMark/>
          </w:tcPr>
          <w:p w14:paraId="0EE5476E" w14:textId="4BF6FB4F" w:rsidR="00F847AC" w:rsidRPr="00F847AC" w:rsidRDefault="00F847AC" w:rsidP="00F847AC">
            <w:pPr>
              <w:jc w:val="right"/>
              <w:outlineLvl w:val="0"/>
              <w:rPr>
                <w:noProof/>
                <w:sz w:val="20"/>
                <w:szCs w:val="20"/>
              </w:rPr>
            </w:pPr>
            <w:bookmarkStart w:id="1915" w:name="_Toc223981513"/>
            <w:r w:rsidRPr="00F847AC">
              <w:rPr>
                <w:noProof/>
                <w:sz w:val="20"/>
                <w:szCs w:val="20"/>
              </w:rPr>
              <w:t>18.0</w:t>
            </w:r>
            <w:bookmarkEnd w:id="1915"/>
          </w:p>
        </w:tc>
      </w:tr>
      <w:tr w:rsidR="00F847AC" w:rsidRPr="00491C02" w14:paraId="71EDA104"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3CBC4E5B" w14:textId="77777777" w:rsidR="00F847AC" w:rsidRPr="00491C02" w:rsidRDefault="00F847AC" w:rsidP="00F847AC">
            <w:pPr>
              <w:outlineLvl w:val="0"/>
              <w:rPr>
                <w:noProof/>
                <w:sz w:val="20"/>
                <w:szCs w:val="20"/>
              </w:rPr>
            </w:pPr>
            <w:r w:rsidRPr="00491C02">
              <w:rPr>
                <w:noProof/>
                <w:sz w:val="20"/>
                <w:szCs w:val="20"/>
              </w:rPr>
              <w:t xml:space="preserve"> </w:t>
            </w:r>
            <w:bookmarkStart w:id="1916" w:name="_Toc223981514"/>
            <w:r w:rsidRPr="00491C02">
              <w:rPr>
                <w:noProof/>
                <w:sz w:val="20"/>
                <w:szCs w:val="20"/>
              </w:rPr>
              <w:t>Ireland</w:t>
            </w:r>
            <w:bookmarkEnd w:id="191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1F16D573" w14:textId="5D13D772" w:rsidR="00F847AC" w:rsidRPr="00F847AC" w:rsidRDefault="00F847AC" w:rsidP="00F847AC">
            <w:pPr>
              <w:jc w:val="right"/>
              <w:outlineLvl w:val="0"/>
              <w:rPr>
                <w:noProof/>
                <w:sz w:val="20"/>
                <w:szCs w:val="20"/>
              </w:rPr>
            </w:pPr>
            <w:bookmarkStart w:id="1917" w:name="_Toc223981515"/>
            <w:r w:rsidRPr="00F847AC">
              <w:rPr>
                <w:noProof/>
                <w:sz w:val="20"/>
                <w:szCs w:val="20"/>
              </w:rPr>
              <w:t>69.3</w:t>
            </w:r>
            <w:bookmarkEnd w:id="1917"/>
          </w:p>
        </w:tc>
        <w:tc>
          <w:tcPr>
            <w:tcW w:w="781" w:type="pct"/>
            <w:tcBorders>
              <w:top w:val="nil"/>
              <w:left w:val="nil"/>
              <w:bottom w:val="single" w:sz="4" w:space="0" w:color="auto"/>
              <w:right w:val="single" w:sz="4" w:space="0" w:color="auto"/>
            </w:tcBorders>
            <w:shd w:val="clear" w:color="000000" w:fill="FFFFFF"/>
            <w:noWrap/>
            <w:hideMark/>
          </w:tcPr>
          <w:p w14:paraId="4A074ED4" w14:textId="5D3D10C5" w:rsidR="00F847AC" w:rsidRPr="00F847AC" w:rsidRDefault="00F847AC" w:rsidP="00F847AC">
            <w:pPr>
              <w:jc w:val="right"/>
              <w:outlineLvl w:val="0"/>
              <w:rPr>
                <w:noProof/>
                <w:sz w:val="20"/>
                <w:szCs w:val="20"/>
              </w:rPr>
            </w:pPr>
            <w:bookmarkStart w:id="1918" w:name="_Toc223981516"/>
            <w:r w:rsidRPr="00F847AC">
              <w:rPr>
                <w:noProof/>
                <w:sz w:val="20"/>
                <w:szCs w:val="20"/>
              </w:rPr>
              <w:t>10.6</w:t>
            </w:r>
            <w:bookmarkEnd w:id="1918"/>
          </w:p>
        </w:tc>
        <w:tc>
          <w:tcPr>
            <w:tcW w:w="781" w:type="pct"/>
            <w:tcBorders>
              <w:top w:val="nil"/>
              <w:left w:val="nil"/>
              <w:bottom w:val="single" w:sz="4" w:space="0" w:color="auto"/>
              <w:right w:val="single" w:sz="4" w:space="0" w:color="auto"/>
            </w:tcBorders>
            <w:shd w:val="clear" w:color="000000" w:fill="FFFFFF"/>
            <w:noWrap/>
            <w:hideMark/>
          </w:tcPr>
          <w:p w14:paraId="156801BF" w14:textId="0AB9460A" w:rsidR="00F847AC" w:rsidRPr="00F847AC" w:rsidRDefault="00F847AC" w:rsidP="00F847AC">
            <w:pPr>
              <w:jc w:val="right"/>
              <w:outlineLvl w:val="0"/>
              <w:rPr>
                <w:noProof/>
                <w:sz w:val="20"/>
                <w:szCs w:val="20"/>
              </w:rPr>
            </w:pPr>
            <w:bookmarkStart w:id="1919" w:name="_Toc223981517"/>
            <w:r w:rsidRPr="00F847AC">
              <w:rPr>
                <w:noProof/>
                <w:sz w:val="20"/>
                <w:szCs w:val="20"/>
              </w:rPr>
              <w:t>16.0</w:t>
            </w:r>
            <w:bookmarkEnd w:id="1919"/>
          </w:p>
        </w:tc>
        <w:tc>
          <w:tcPr>
            <w:tcW w:w="781" w:type="pct"/>
            <w:tcBorders>
              <w:top w:val="nil"/>
              <w:left w:val="nil"/>
              <w:bottom w:val="single" w:sz="4" w:space="0" w:color="auto"/>
              <w:right w:val="single" w:sz="4" w:space="0" w:color="auto"/>
            </w:tcBorders>
            <w:shd w:val="clear" w:color="000000" w:fill="FFFFFF"/>
            <w:noWrap/>
            <w:hideMark/>
          </w:tcPr>
          <w:p w14:paraId="5217B0FC" w14:textId="00C09367" w:rsidR="00F847AC" w:rsidRPr="00F847AC" w:rsidRDefault="00F847AC" w:rsidP="00F847AC">
            <w:pPr>
              <w:jc w:val="right"/>
              <w:outlineLvl w:val="0"/>
              <w:rPr>
                <w:noProof/>
                <w:sz w:val="20"/>
                <w:szCs w:val="20"/>
              </w:rPr>
            </w:pPr>
            <w:bookmarkStart w:id="1920" w:name="_Toc223981518"/>
            <w:r w:rsidRPr="00F847AC">
              <w:rPr>
                <w:noProof/>
                <w:sz w:val="20"/>
                <w:szCs w:val="20"/>
              </w:rPr>
              <w:t>12.0</w:t>
            </w:r>
            <w:bookmarkEnd w:id="1920"/>
          </w:p>
        </w:tc>
      </w:tr>
      <w:tr w:rsidR="00F847AC" w:rsidRPr="00491C02" w14:paraId="7B1EC329"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446FEC1" w14:textId="77777777" w:rsidR="00F847AC" w:rsidRPr="00491C02" w:rsidRDefault="00F847AC" w:rsidP="00F847AC">
            <w:pPr>
              <w:outlineLvl w:val="0"/>
              <w:rPr>
                <w:noProof/>
                <w:sz w:val="20"/>
                <w:szCs w:val="20"/>
              </w:rPr>
            </w:pPr>
            <w:r w:rsidRPr="00491C02">
              <w:rPr>
                <w:noProof/>
                <w:sz w:val="20"/>
                <w:szCs w:val="20"/>
              </w:rPr>
              <w:t xml:space="preserve"> </w:t>
            </w:r>
            <w:bookmarkStart w:id="1921" w:name="_Toc223981519"/>
            <w:r w:rsidRPr="00491C02">
              <w:rPr>
                <w:noProof/>
                <w:sz w:val="20"/>
                <w:szCs w:val="20"/>
              </w:rPr>
              <w:t>Slovenia</w:t>
            </w:r>
            <w:bookmarkEnd w:id="192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72A805F5" w14:textId="77777777" w:rsidR="00F847AC" w:rsidRPr="00F847AC" w:rsidRDefault="00F847AC" w:rsidP="00F847AC">
            <w:pPr>
              <w:jc w:val="right"/>
              <w:outlineLvl w:val="0"/>
              <w:rPr>
                <w:noProof/>
                <w:sz w:val="20"/>
                <w:szCs w:val="20"/>
              </w:rPr>
            </w:pPr>
            <w:bookmarkStart w:id="1922" w:name="_Toc223981520"/>
            <w:r w:rsidRPr="00F847AC">
              <w:rPr>
                <w:noProof/>
                <w:sz w:val="20"/>
                <w:szCs w:val="20"/>
              </w:rPr>
              <w:t>0.0</w:t>
            </w:r>
            <w:bookmarkEnd w:id="1922"/>
          </w:p>
        </w:tc>
        <w:tc>
          <w:tcPr>
            <w:tcW w:w="781" w:type="pct"/>
            <w:tcBorders>
              <w:top w:val="nil"/>
              <w:left w:val="nil"/>
              <w:bottom w:val="single" w:sz="4" w:space="0" w:color="auto"/>
              <w:right w:val="single" w:sz="4" w:space="0" w:color="auto"/>
            </w:tcBorders>
            <w:shd w:val="clear" w:color="000000" w:fill="FFFFFF"/>
            <w:noWrap/>
            <w:hideMark/>
          </w:tcPr>
          <w:p w14:paraId="32F96BA9" w14:textId="77777777" w:rsidR="00F847AC" w:rsidRPr="00F847AC" w:rsidRDefault="00F847AC" w:rsidP="00F847AC">
            <w:pPr>
              <w:jc w:val="right"/>
              <w:outlineLvl w:val="0"/>
              <w:rPr>
                <w:noProof/>
                <w:sz w:val="20"/>
                <w:szCs w:val="20"/>
              </w:rPr>
            </w:pPr>
            <w:bookmarkStart w:id="1923" w:name="_Toc223981521"/>
            <w:r w:rsidRPr="00F847AC">
              <w:rPr>
                <w:noProof/>
                <w:sz w:val="20"/>
                <w:szCs w:val="20"/>
              </w:rPr>
              <w:t>0.0</w:t>
            </w:r>
            <w:bookmarkEnd w:id="1923"/>
          </w:p>
        </w:tc>
        <w:tc>
          <w:tcPr>
            <w:tcW w:w="781" w:type="pct"/>
            <w:tcBorders>
              <w:top w:val="nil"/>
              <w:left w:val="nil"/>
              <w:bottom w:val="single" w:sz="4" w:space="0" w:color="auto"/>
              <w:right w:val="single" w:sz="4" w:space="0" w:color="auto"/>
            </w:tcBorders>
            <w:shd w:val="clear" w:color="000000" w:fill="FFFFFF"/>
            <w:noWrap/>
            <w:hideMark/>
          </w:tcPr>
          <w:p w14:paraId="25A3FC5A" w14:textId="77777777" w:rsidR="00F847AC" w:rsidRPr="00F847AC" w:rsidRDefault="00F847AC" w:rsidP="00F847AC">
            <w:pPr>
              <w:jc w:val="right"/>
              <w:outlineLvl w:val="0"/>
              <w:rPr>
                <w:noProof/>
                <w:sz w:val="20"/>
                <w:szCs w:val="20"/>
              </w:rPr>
            </w:pPr>
            <w:bookmarkStart w:id="1924" w:name="_Toc223981522"/>
            <w:r w:rsidRPr="00F847AC">
              <w:rPr>
                <w:noProof/>
                <w:sz w:val="20"/>
                <w:szCs w:val="20"/>
              </w:rPr>
              <w:t>0.0</w:t>
            </w:r>
            <w:bookmarkEnd w:id="1924"/>
          </w:p>
        </w:tc>
        <w:tc>
          <w:tcPr>
            <w:tcW w:w="781" w:type="pct"/>
            <w:tcBorders>
              <w:top w:val="nil"/>
              <w:left w:val="nil"/>
              <w:bottom w:val="single" w:sz="4" w:space="0" w:color="auto"/>
              <w:right w:val="single" w:sz="4" w:space="0" w:color="auto"/>
            </w:tcBorders>
            <w:shd w:val="clear" w:color="000000" w:fill="FFFFFF"/>
            <w:noWrap/>
            <w:hideMark/>
          </w:tcPr>
          <w:p w14:paraId="1F14C6E3" w14:textId="77777777" w:rsidR="00F847AC" w:rsidRPr="00F847AC" w:rsidRDefault="00F847AC" w:rsidP="00F847AC">
            <w:pPr>
              <w:jc w:val="right"/>
              <w:outlineLvl w:val="0"/>
              <w:rPr>
                <w:noProof/>
                <w:sz w:val="20"/>
                <w:szCs w:val="20"/>
              </w:rPr>
            </w:pPr>
            <w:bookmarkStart w:id="1925" w:name="_Toc223981523"/>
            <w:r w:rsidRPr="00F847AC">
              <w:rPr>
                <w:noProof/>
                <w:sz w:val="20"/>
                <w:szCs w:val="20"/>
              </w:rPr>
              <w:t>0.0</w:t>
            </w:r>
            <w:bookmarkEnd w:id="1925"/>
          </w:p>
        </w:tc>
      </w:tr>
      <w:tr w:rsidR="00F847AC" w:rsidRPr="00491C02" w14:paraId="5C76C904"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6631EDC9" w14:textId="77777777" w:rsidR="00F847AC" w:rsidRPr="00491C02" w:rsidRDefault="00F847AC" w:rsidP="00F847AC">
            <w:pPr>
              <w:outlineLvl w:val="0"/>
              <w:rPr>
                <w:noProof/>
                <w:sz w:val="20"/>
                <w:szCs w:val="20"/>
              </w:rPr>
            </w:pPr>
            <w:r w:rsidRPr="00491C02">
              <w:rPr>
                <w:noProof/>
                <w:sz w:val="20"/>
                <w:szCs w:val="20"/>
              </w:rPr>
              <w:t xml:space="preserve"> </w:t>
            </w:r>
            <w:bookmarkStart w:id="1926" w:name="_Toc223981524"/>
            <w:r w:rsidRPr="00491C02">
              <w:rPr>
                <w:noProof/>
                <w:sz w:val="20"/>
                <w:szCs w:val="20"/>
              </w:rPr>
              <w:t>Latvia</w:t>
            </w:r>
            <w:bookmarkEnd w:id="192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247C1575" w14:textId="77777777" w:rsidR="00F847AC" w:rsidRPr="00F847AC" w:rsidRDefault="00F847AC" w:rsidP="00F847AC">
            <w:pPr>
              <w:jc w:val="right"/>
              <w:outlineLvl w:val="0"/>
              <w:rPr>
                <w:noProof/>
                <w:sz w:val="20"/>
                <w:szCs w:val="20"/>
              </w:rPr>
            </w:pPr>
            <w:bookmarkStart w:id="1927" w:name="_Toc223981525"/>
            <w:r w:rsidRPr="00F847AC">
              <w:rPr>
                <w:noProof/>
                <w:sz w:val="20"/>
                <w:szCs w:val="20"/>
              </w:rPr>
              <w:t>0.0</w:t>
            </w:r>
            <w:bookmarkEnd w:id="1927"/>
          </w:p>
        </w:tc>
        <w:tc>
          <w:tcPr>
            <w:tcW w:w="781" w:type="pct"/>
            <w:tcBorders>
              <w:top w:val="nil"/>
              <w:left w:val="nil"/>
              <w:bottom w:val="single" w:sz="4" w:space="0" w:color="auto"/>
              <w:right w:val="single" w:sz="4" w:space="0" w:color="auto"/>
            </w:tcBorders>
            <w:shd w:val="clear" w:color="000000" w:fill="FFFFFF"/>
            <w:noWrap/>
            <w:hideMark/>
          </w:tcPr>
          <w:p w14:paraId="474FF063" w14:textId="77777777" w:rsidR="00F847AC" w:rsidRPr="00F847AC" w:rsidRDefault="00F847AC" w:rsidP="00F847AC">
            <w:pPr>
              <w:jc w:val="right"/>
              <w:outlineLvl w:val="0"/>
              <w:rPr>
                <w:noProof/>
                <w:sz w:val="20"/>
                <w:szCs w:val="20"/>
              </w:rPr>
            </w:pPr>
            <w:bookmarkStart w:id="1928" w:name="_Toc223981526"/>
            <w:r w:rsidRPr="00F847AC">
              <w:rPr>
                <w:noProof/>
                <w:sz w:val="20"/>
                <w:szCs w:val="20"/>
              </w:rPr>
              <w:t>0.0</w:t>
            </w:r>
            <w:bookmarkEnd w:id="1928"/>
          </w:p>
        </w:tc>
        <w:tc>
          <w:tcPr>
            <w:tcW w:w="781" w:type="pct"/>
            <w:tcBorders>
              <w:top w:val="nil"/>
              <w:left w:val="nil"/>
              <w:bottom w:val="single" w:sz="4" w:space="0" w:color="auto"/>
              <w:right w:val="single" w:sz="4" w:space="0" w:color="auto"/>
            </w:tcBorders>
            <w:shd w:val="clear" w:color="000000" w:fill="FFFFFF"/>
            <w:noWrap/>
            <w:hideMark/>
          </w:tcPr>
          <w:p w14:paraId="60C5D95C" w14:textId="77777777" w:rsidR="00F847AC" w:rsidRPr="00F847AC" w:rsidRDefault="00F847AC" w:rsidP="00F847AC">
            <w:pPr>
              <w:jc w:val="right"/>
              <w:outlineLvl w:val="0"/>
              <w:rPr>
                <w:noProof/>
                <w:sz w:val="20"/>
                <w:szCs w:val="20"/>
              </w:rPr>
            </w:pPr>
            <w:bookmarkStart w:id="1929" w:name="_Toc223981527"/>
            <w:r w:rsidRPr="00F847AC">
              <w:rPr>
                <w:noProof/>
                <w:sz w:val="20"/>
                <w:szCs w:val="20"/>
              </w:rPr>
              <w:t>0.0</w:t>
            </w:r>
            <w:bookmarkEnd w:id="1929"/>
          </w:p>
        </w:tc>
        <w:tc>
          <w:tcPr>
            <w:tcW w:w="781" w:type="pct"/>
            <w:tcBorders>
              <w:top w:val="nil"/>
              <w:left w:val="nil"/>
              <w:bottom w:val="single" w:sz="4" w:space="0" w:color="auto"/>
              <w:right w:val="single" w:sz="4" w:space="0" w:color="auto"/>
            </w:tcBorders>
            <w:shd w:val="clear" w:color="000000" w:fill="FFFFFF"/>
            <w:noWrap/>
            <w:hideMark/>
          </w:tcPr>
          <w:p w14:paraId="21307EA2" w14:textId="77777777" w:rsidR="00F847AC" w:rsidRPr="00F847AC" w:rsidRDefault="00F847AC" w:rsidP="00F847AC">
            <w:pPr>
              <w:jc w:val="right"/>
              <w:outlineLvl w:val="0"/>
              <w:rPr>
                <w:noProof/>
                <w:sz w:val="20"/>
                <w:szCs w:val="20"/>
              </w:rPr>
            </w:pPr>
            <w:bookmarkStart w:id="1930" w:name="_Toc223981528"/>
            <w:r w:rsidRPr="00F847AC">
              <w:rPr>
                <w:noProof/>
                <w:sz w:val="20"/>
                <w:szCs w:val="20"/>
              </w:rPr>
              <w:t>0.0</w:t>
            </w:r>
            <w:bookmarkEnd w:id="1930"/>
          </w:p>
        </w:tc>
      </w:tr>
      <w:tr w:rsidR="00F847AC" w:rsidRPr="00491C02" w14:paraId="50BB2284"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40A992F" w14:textId="77777777" w:rsidR="00F847AC" w:rsidRPr="00491C02" w:rsidRDefault="00F847AC" w:rsidP="00F847AC">
            <w:pPr>
              <w:outlineLvl w:val="0"/>
              <w:rPr>
                <w:noProof/>
                <w:sz w:val="20"/>
                <w:szCs w:val="20"/>
              </w:rPr>
            </w:pPr>
            <w:r w:rsidRPr="00491C02">
              <w:rPr>
                <w:noProof/>
                <w:sz w:val="20"/>
                <w:szCs w:val="20"/>
              </w:rPr>
              <w:t xml:space="preserve"> </w:t>
            </w:r>
            <w:bookmarkStart w:id="1931" w:name="_Toc223981529"/>
            <w:r w:rsidRPr="00491C02">
              <w:rPr>
                <w:noProof/>
                <w:sz w:val="20"/>
                <w:szCs w:val="20"/>
              </w:rPr>
              <w:t>Romania</w:t>
            </w:r>
            <w:bookmarkEnd w:id="1931"/>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35A38E25" w14:textId="77777777" w:rsidR="00F847AC" w:rsidRPr="00F847AC" w:rsidRDefault="00F847AC" w:rsidP="00F847AC">
            <w:pPr>
              <w:jc w:val="right"/>
              <w:outlineLvl w:val="0"/>
              <w:rPr>
                <w:noProof/>
                <w:sz w:val="20"/>
                <w:szCs w:val="20"/>
              </w:rPr>
            </w:pPr>
            <w:bookmarkStart w:id="1932" w:name="_Toc223981530"/>
            <w:r w:rsidRPr="00F847AC">
              <w:rPr>
                <w:noProof/>
                <w:sz w:val="20"/>
                <w:szCs w:val="20"/>
              </w:rPr>
              <w:t>0.0</w:t>
            </w:r>
            <w:bookmarkEnd w:id="1932"/>
          </w:p>
        </w:tc>
        <w:tc>
          <w:tcPr>
            <w:tcW w:w="781" w:type="pct"/>
            <w:tcBorders>
              <w:top w:val="nil"/>
              <w:left w:val="nil"/>
              <w:bottom w:val="single" w:sz="4" w:space="0" w:color="auto"/>
              <w:right w:val="single" w:sz="4" w:space="0" w:color="auto"/>
            </w:tcBorders>
            <w:shd w:val="clear" w:color="000000" w:fill="FFFFFF"/>
            <w:noWrap/>
            <w:hideMark/>
          </w:tcPr>
          <w:p w14:paraId="5E90F4C3" w14:textId="77777777" w:rsidR="00F847AC" w:rsidRPr="00F847AC" w:rsidRDefault="00F847AC" w:rsidP="00F847AC">
            <w:pPr>
              <w:jc w:val="right"/>
              <w:outlineLvl w:val="0"/>
              <w:rPr>
                <w:noProof/>
                <w:sz w:val="20"/>
                <w:szCs w:val="20"/>
              </w:rPr>
            </w:pPr>
            <w:bookmarkStart w:id="1933" w:name="_Toc223981531"/>
            <w:r w:rsidRPr="00F847AC">
              <w:rPr>
                <w:noProof/>
                <w:sz w:val="20"/>
                <w:szCs w:val="20"/>
              </w:rPr>
              <w:t>0.0</w:t>
            </w:r>
            <w:bookmarkEnd w:id="1933"/>
          </w:p>
        </w:tc>
        <w:tc>
          <w:tcPr>
            <w:tcW w:w="781" w:type="pct"/>
            <w:tcBorders>
              <w:top w:val="nil"/>
              <w:left w:val="nil"/>
              <w:bottom w:val="single" w:sz="4" w:space="0" w:color="auto"/>
              <w:right w:val="single" w:sz="4" w:space="0" w:color="auto"/>
            </w:tcBorders>
            <w:shd w:val="clear" w:color="000000" w:fill="FFFFFF"/>
            <w:noWrap/>
            <w:hideMark/>
          </w:tcPr>
          <w:p w14:paraId="7A0AB614" w14:textId="77777777" w:rsidR="00F847AC" w:rsidRPr="00F847AC" w:rsidRDefault="00F847AC" w:rsidP="00F847AC">
            <w:pPr>
              <w:jc w:val="right"/>
              <w:outlineLvl w:val="0"/>
              <w:rPr>
                <w:noProof/>
                <w:sz w:val="20"/>
                <w:szCs w:val="20"/>
              </w:rPr>
            </w:pPr>
            <w:bookmarkStart w:id="1934" w:name="_Toc223981532"/>
            <w:r w:rsidRPr="00F847AC">
              <w:rPr>
                <w:noProof/>
                <w:sz w:val="20"/>
                <w:szCs w:val="20"/>
              </w:rPr>
              <w:t>0.0</w:t>
            </w:r>
            <w:bookmarkEnd w:id="1934"/>
          </w:p>
        </w:tc>
        <w:tc>
          <w:tcPr>
            <w:tcW w:w="781" w:type="pct"/>
            <w:tcBorders>
              <w:top w:val="nil"/>
              <w:left w:val="nil"/>
              <w:bottom w:val="single" w:sz="4" w:space="0" w:color="auto"/>
              <w:right w:val="single" w:sz="4" w:space="0" w:color="auto"/>
            </w:tcBorders>
            <w:shd w:val="clear" w:color="000000" w:fill="FFFFFF"/>
            <w:noWrap/>
            <w:hideMark/>
          </w:tcPr>
          <w:p w14:paraId="07F803EC" w14:textId="77777777" w:rsidR="00F847AC" w:rsidRPr="00F847AC" w:rsidRDefault="00F847AC" w:rsidP="00F847AC">
            <w:pPr>
              <w:jc w:val="right"/>
              <w:outlineLvl w:val="0"/>
              <w:rPr>
                <w:noProof/>
                <w:sz w:val="20"/>
                <w:szCs w:val="20"/>
              </w:rPr>
            </w:pPr>
            <w:bookmarkStart w:id="1935" w:name="_Toc223981533"/>
            <w:r w:rsidRPr="00F847AC">
              <w:rPr>
                <w:noProof/>
                <w:sz w:val="20"/>
                <w:szCs w:val="20"/>
              </w:rPr>
              <w:t>0.0</w:t>
            </w:r>
            <w:bookmarkEnd w:id="1935"/>
          </w:p>
        </w:tc>
      </w:tr>
      <w:tr w:rsidR="00F847AC" w:rsidRPr="00491C02" w14:paraId="00AAC9C9"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3627FB1E" w14:textId="77777777" w:rsidR="00F847AC" w:rsidRPr="00491C02" w:rsidRDefault="00F847AC" w:rsidP="00F847AC">
            <w:pPr>
              <w:outlineLvl w:val="0"/>
              <w:rPr>
                <w:noProof/>
                <w:sz w:val="20"/>
                <w:szCs w:val="20"/>
              </w:rPr>
            </w:pPr>
            <w:r w:rsidRPr="00491C02">
              <w:rPr>
                <w:noProof/>
                <w:sz w:val="20"/>
                <w:szCs w:val="20"/>
              </w:rPr>
              <w:t xml:space="preserve"> </w:t>
            </w:r>
            <w:bookmarkStart w:id="1936" w:name="_Toc223981534"/>
            <w:r w:rsidRPr="00491C02">
              <w:rPr>
                <w:noProof/>
                <w:sz w:val="20"/>
                <w:szCs w:val="20"/>
              </w:rPr>
              <w:t>Slovakia</w:t>
            </w:r>
            <w:bookmarkEnd w:id="1936"/>
            <w:r w:rsidRPr="00491C02">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36D98D95" w14:textId="3EFB08F9" w:rsidR="00F847AC" w:rsidRPr="00F847AC" w:rsidRDefault="00F847AC" w:rsidP="00F847AC">
            <w:pPr>
              <w:jc w:val="right"/>
              <w:outlineLvl w:val="0"/>
              <w:rPr>
                <w:noProof/>
                <w:sz w:val="20"/>
                <w:szCs w:val="20"/>
              </w:rPr>
            </w:pPr>
            <w:bookmarkStart w:id="1937" w:name="_Toc223981535"/>
            <w:r w:rsidRPr="00F847AC">
              <w:rPr>
                <w:noProof/>
                <w:sz w:val="20"/>
                <w:szCs w:val="20"/>
              </w:rPr>
              <w:t>34.6</w:t>
            </w:r>
            <w:bookmarkEnd w:id="1937"/>
          </w:p>
        </w:tc>
        <w:tc>
          <w:tcPr>
            <w:tcW w:w="781" w:type="pct"/>
            <w:tcBorders>
              <w:top w:val="nil"/>
              <w:left w:val="nil"/>
              <w:bottom w:val="single" w:sz="4" w:space="0" w:color="auto"/>
              <w:right w:val="single" w:sz="4" w:space="0" w:color="auto"/>
            </w:tcBorders>
            <w:shd w:val="clear" w:color="000000" w:fill="FFFFFF"/>
            <w:noWrap/>
            <w:hideMark/>
          </w:tcPr>
          <w:p w14:paraId="5319653E" w14:textId="3F940D0D" w:rsidR="00F847AC" w:rsidRPr="00F847AC" w:rsidRDefault="00F847AC" w:rsidP="00F847AC">
            <w:pPr>
              <w:jc w:val="right"/>
              <w:outlineLvl w:val="0"/>
              <w:rPr>
                <w:noProof/>
                <w:sz w:val="20"/>
                <w:szCs w:val="20"/>
              </w:rPr>
            </w:pPr>
            <w:bookmarkStart w:id="1938" w:name="_Toc223981536"/>
            <w:r w:rsidRPr="00F847AC">
              <w:rPr>
                <w:noProof/>
                <w:sz w:val="20"/>
                <w:szCs w:val="20"/>
              </w:rPr>
              <w:t>5.3</w:t>
            </w:r>
            <w:bookmarkEnd w:id="1938"/>
          </w:p>
        </w:tc>
        <w:tc>
          <w:tcPr>
            <w:tcW w:w="781" w:type="pct"/>
            <w:tcBorders>
              <w:top w:val="nil"/>
              <w:left w:val="nil"/>
              <w:bottom w:val="single" w:sz="4" w:space="0" w:color="auto"/>
              <w:right w:val="single" w:sz="4" w:space="0" w:color="auto"/>
            </w:tcBorders>
            <w:shd w:val="clear" w:color="000000" w:fill="FFFFFF"/>
            <w:noWrap/>
            <w:hideMark/>
          </w:tcPr>
          <w:p w14:paraId="104DECBE" w14:textId="2DC58856" w:rsidR="00F847AC" w:rsidRPr="00F847AC" w:rsidRDefault="00F847AC" w:rsidP="00F847AC">
            <w:pPr>
              <w:jc w:val="right"/>
              <w:outlineLvl w:val="0"/>
              <w:rPr>
                <w:noProof/>
                <w:sz w:val="20"/>
                <w:szCs w:val="20"/>
              </w:rPr>
            </w:pPr>
            <w:bookmarkStart w:id="1939" w:name="_Toc223981537"/>
            <w:r w:rsidRPr="00F847AC">
              <w:rPr>
                <w:noProof/>
                <w:sz w:val="20"/>
                <w:szCs w:val="20"/>
              </w:rPr>
              <w:t>8.0</w:t>
            </w:r>
            <w:bookmarkEnd w:id="1939"/>
          </w:p>
        </w:tc>
        <w:tc>
          <w:tcPr>
            <w:tcW w:w="781" w:type="pct"/>
            <w:tcBorders>
              <w:top w:val="nil"/>
              <w:left w:val="nil"/>
              <w:bottom w:val="single" w:sz="4" w:space="0" w:color="auto"/>
              <w:right w:val="single" w:sz="4" w:space="0" w:color="auto"/>
            </w:tcBorders>
            <w:shd w:val="clear" w:color="000000" w:fill="FFFFFF"/>
            <w:noWrap/>
            <w:hideMark/>
          </w:tcPr>
          <w:p w14:paraId="187FFA1C" w14:textId="0E0C1234" w:rsidR="00F847AC" w:rsidRPr="00F847AC" w:rsidRDefault="00F847AC" w:rsidP="00F847AC">
            <w:pPr>
              <w:jc w:val="right"/>
              <w:outlineLvl w:val="0"/>
              <w:rPr>
                <w:noProof/>
                <w:sz w:val="20"/>
                <w:szCs w:val="20"/>
              </w:rPr>
            </w:pPr>
            <w:bookmarkStart w:id="1940" w:name="_Toc223981538"/>
            <w:r w:rsidRPr="00F847AC">
              <w:rPr>
                <w:noProof/>
                <w:sz w:val="20"/>
                <w:szCs w:val="20"/>
              </w:rPr>
              <w:t>6.0</w:t>
            </w:r>
            <w:bookmarkEnd w:id="1940"/>
          </w:p>
        </w:tc>
      </w:tr>
      <w:tr w:rsidR="00F847AC" w:rsidRPr="00491C02" w14:paraId="7FB05F16" w14:textId="77777777" w:rsidTr="00491C02">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330BCDAE" w14:textId="5B325C3C" w:rsidR="00F847AC" w:rsidRPr="00491C02" w:rsidRDefault="00F847AC" w:rsidP="00F847AC">
            <w:pPr>
              <w:rPr>
                <w:b/>
                <w:bCs/>
                <w:noProof/>
                <w:sz w:val="20"/>
                <w:szCs w:val="20"/>
              </w:rPr>
            </w:pPr>
            <w:r w:rsidRPr="00491C02">
              <w:rPr>
                <w:b/>
                <w:bCs/>
                <w:noProof/>
                <w:sz w:val="20"/>
                <w:szCs w:val="20"/>
              </w:rPr>
              <w:t xml:space="preserve"> Total </w:t>
            </w:r>
          </w:p>
        </w:tc>
        <w:tc>
          <w:tcPr>
            <w:tcW w:w="780" w:type="pct"/>
            <w:tcBorders>
              <w:top w:val="nil"/>
              <w:left w:val="nil"/>
              <w:bottom w:val="single" w:sz="4" w:space="0" w:color="auto"/>
              <w:right w:val="single" w:sz="4" w:space="0" w:color="auto"/>
            </w:tcBorders>
            <w:shd w:val="clear" w:color="000000" w:fill="FFFFFF"/>
            <w:noWrap/>
            <w:hideMark/>
          </w:tcPr>
          <w:p w14:paraId="66DE65C0" w14:textId="002308E5" w:rsidR="00F847AC" w:rsidRPr="00F847AC" w:rsidRDefault="00F847AC" w:rsidP="00F847AC">
            <w:pPr>
              <w:jc w:val="right"/>
              <w:rPr>
                <w:b/>
                <w:bCs/>
                <w:noProof/>
                <w:sz w:val="20"/>
                <w:szCs w:val="20"/>
              </w:rPr>
            </w:pPr>
            <w:r w:rsidRPr="00F847AC">
              <w:rPr>
                <w:b/>
                <w:bCs/>
                <w:noProof/>
                <w:sz w:val="20"/>
                <w:szCs w:val="20"/>
              </w:rPr>
              <w:t>3,464.8</w:t>
            </w:r>
          </w:p>
        </w:tc>
        <w:tc>
          <w:tcPr>
            <w:tcW w:w="781" w:type="pct"/>
            <w:tcBorders>
              <w:top w:val="nil"/>
              <w:left w:val="nil"/>
              <w:bottom w:val="single" w:sz="4" w:space="0" w:color="auto"/>
              <w:right w:val="single" w:sz="4" w:space="0" w:color="auto"/>
            </w:tcBorders>
            <w:shd w:val="clear" w:color="000000" w:fill="FFFFFF"/>
            <w:noWrap/>
            <w:hideMark/>
          </w:tcPr>
          <w:p w14:paraId="7CF25E69" w14:textId="5B18EEEA" w:rsidR="00F847AC" w:rsidRPr="00F847AC" w:rsidRDefault="00F847AC" w:rsidP="00F847AC">
            <w:pPr>
              <w:jc w:val="right"/>
              <w:rPr>
                <w:b/>
                <w:bCs/>
                <w:noProof/>
                <w:sz w:val="20"/>
                <w:szCs w:val="20"/>
              </w:rPr>
            </w:pPr>
            <w:r w:rsidRPr="00F847AC">
              <w:rPr>
                <w:b/>
                <w:bCs/>
                <w:noProof/>
                <w:sz w:val="20"/>
                <w:szCs w:val="20"/>
              </w:rPr>
              <w:t>532.2</w:t>
            </w:r>
          </w:p>
        </w:tc>
        <w:tc>
          <w:tcPr>
            <w:tcW w:w="781" w:type="pct"/>
            <w:tcBorders>
              <w:top w:val="nil"/>
              <w:left w:val="nil"/>
              <w:bottom w:val="single" w:sz="4" w:space="0" w:color="auto"/>
              <w:right w:val="single" w:sz="4" w:space="0" w:color="auto"/>
            </w:tcBorders>
            <w:shd w:val="clear" w:color="000000" w:fill="FFFFFF"/>
            <w:noWrap/>
            <w:hideMark/>
          </w:tcPr>
          <w:p w14:paraId="791CDAA0" w14:textId="669269EA" w:rsidR="00F847AC" w:rsidRPr="00F847AC" w:rsidRDefault="00F847AC" w:rsidP="00F847AC">
            <w:pPr>
              <w:jc w:val="right"/>
              <w:rPr>
                <w:b/>
                <w:bCs/>
                <w:noProof/>
                <w:sz w:val="20"/>
                <w:szCs w:val="20"/>
              </w:rPr>
            </w:pPr>
            <w:r w:rsidRPr="00F847AC">
              <w:rPr>
                <w:b/>
                <w:bCs/>
                <w:noProof/>
                <w:sz w:val="20"/>
                <w:szCs w:val="20"/>
              </w:rPr>
              <w:t>800.7</w:t>
            </w:r>
          </w:p>
        </w:tc>
        <w:tc>
          <w:tcPr>
            <w:tcW w:w="781" w:type="pct"/>
            <w:tcBorders>
              <w:top w:val="nil"/>
              <w:left w:val="nil"/>
              <w:bottom w:val="single" w:sz="4" w:space="0" w:color="auto"/>
              <w:right w:val="single" w:sz="4" w:space="0" w:color="auto"/>
            </w:tcBorders>
            <w:shd w:val="clear" w:color="000000" w:fill="FFFFFF"/>
            <w:noWrap/>
            <w:hideMark/>
          </w:tcPr>
          <w:p w14:paraId="62FC2F53" w14:textId="19F6153F" w:rsidR="00F847AC" w:rsidRPr="00F847AC" w:rsidRDefault="00F847AC" w:rsidP="00F847AC">
            <w:pPr>
              <w:jc w:val="right"/>
              <w:rPr>
                <w:b/>
                <w:bCs/>
                <w:noProof/>
                <w:sz w:val="20"/>
                <w:szCs w:val="20"/>
              </w:rPr>
            </w:pPr>
            <w:r w:rsidRPr="00F847AC">
              <w:rPr>
                <w:b/>
                <w:bCs/>
                <w:noProof/>
                <w:sz w:val="20"/>
                <w:szCs w:val="20"/>
              </w:rPr>
              <w:t>600.4</w:t>
            </w:r>
          </w:p>
        </w:tc>
      </w:tr>
    </w:tbl>
    <w:p w14:paraId="273D7F5B" w14:textId="77777777" w:rsidR="002361D7" w:rsidRPr="0024720E" w:rsidRDefault="002361D7" w:rsidP="002361D7">
      <w:pPr>
        <w:tabs>
          <w:tab w:val="left" w:pos="2302"/>
        </w:tabs>
        <w:spacing w:after="240"/>
        <w:jc w:val="both"/>
        <w:rPr>
          <w:i/>
          <w:noProof/>
          <w:sz w:val="20"/>
          <w:szCs w:val="20"/>
        </w:rPr>
      </w:pPr>
      <w:r w:rsidRPr="0024720E">
        <w:rPr>
          <w:i/>
          <w:noProof/>
          <w:spacing w:val="-8"/>
          <w:sz w:val="20"/>
          <w:szCs w:val="20"/>
        </w:rPr>
        <w:t xml:space="preserve">Source: </w:t>
      </w:r>
      <w:r w:rsidRPr="0024720E">
        <w:rPr>
          <w:i/>
          <w:noProof/>
          <w:sz w:val="20"/>
          <w:szCs w:val="20"/>
        </w:rPr>
        <w:t>Ricardo et al. (2026), Impact assessment support study</w:t>
      </w:r>
    </w:p>
    <w:p w14:paraId="7D4B9DF2" w14:textId="75C0B856" w:rsidR="002361D7" w:rsidRPr="0024720E" w:rsidRDefault="002361D7" w:rsidP="00DB078C">
      <w:pPr>
        <w:keepNext/>
        <w:tabs>
          <w:tab w:val="left" w:pos="1134"/>
        </w:tabs>
        <w:jc w:val="both"/>
        <w:rPr>
          <w:i/>
          <w:noProof/>
          <w:sz w:val="22"/>
          <w:szCs w:val="22"/>
        </w:rPr>
      </w:pPr>
      <w:r w:rsidRPr="0024720E">
        <w:rPr>
          <w:i/>
          <w:noProof/>
          <w:sz w:val="22"/>
          <w:szCs w:val="22"/>
        </w:rPr>
        <w:t xml:space="preserve">Table </w:t>
      </w:r>
      <w:r w:rsidRPr="0024720E">
        <w:rPr>
          <w:i/>
          <w:noProof/>
          <w:sz w:val="22"/>
          <w:szCs w:val="22"/>
        </w:rPr>
        <w:fldChar w:fldCharType="begin"/>
      </w:r>
      <w:r w:rsidRPr="0024720E">
        <w:rPr>
          <w:i/>
          <w:noProof/>
          <w:sz w:val="22"/>
          <w:szCs w:val="22"/>
        </w:rPr>
        <w:instrText xml:space="preserve"> SEQ Table \* ARABIC </w:instrText>
      </w:r>
      <w:r w:rsidRPr="0024720E">
        <w:rPr>
          <w:i/>
          <w:noProof/>
          <w:sz w:val="22"/>
          <w:szCs w:val="22"/>
        </w:rPr>
        <w:fldChar w:fldCharType="separate"/>
      </w:r>
      <w:r w:rsidR="0055391F">
        <w:rPr>
          <w:i/>
          <w:noProof/>
          <w:sz w:val="22"/>
          <w:szCs w:val="22"/>
        </w:rPr>
        <w:t>99</w:t>
      </w:r>
      <w:r w:rsidRPr="0024720E">
        <w:rPr>
          <w:i/>
          <w:noProof/>
          <w:sz w:val="22"/>
          <w:szCs w:val="22"/>
        </w:rPr>
        <w:fldChar w:fldCharType="end"/>
      </w:r>
      <w:r w:rsidRPr="0024720E">
        <w:rPr>
          <w:i/>
          <w:noProof/>
          <w:sz w:val="22"/>
          <w:szCs w:val="22"/>
        </w:rPr>
        <w:t xml:space="preserve">: Total one-off and recurrent adjustment costs for </w:t>
      </w:r>
      <w:r w:rsidR="0055450C">
        <w:rPr>
          <w:i/>
          <w:noProof/>
          <w:sz w:val="22"/>
          <w:szCs w:val="22"/>
        </w:rPr>
        <w:t>non-SME</w:t>
      </w:r>
      <w:r w:rsidRPr="0024720E">
        <w:rPr>
          <w:i/>
          <w:noProof/>
          <w:sz w:val="22"/>
          <w:szCs w:val="22"/>
        </w:rPr>
        <w:t xml:space="preserve"> B2C MDMS platforms due to PM</w:t>
      </w:r>
      <w:r w:rsidR="00E42821" w:rsidRPr="0024720E">
        <w:rPr>
          <w:i/>
          <w:noProof/>
          <w:sz w:val="22"/>
          <w:szCs w:val="22"/>
        </w:rPr>
        <w:t>8</w:t>
      </w:r>
      <w:r w:rsidRPr="0024720E">
        <w:rPr>
          <w:i/>
          <w:noProof/>
          <w:sz w:val="22"/>
          <w:szCs w:val="22"/>
        </w:rPr>
        <w:t xml:space="preserve"> in PO4 in 2028, 2030, 2040 and 2050 relative to the baseline (thousand EUR, in 2024 prices)</w:t>
      </w:r>
    </w:p>
    <w:tbl>
      <w:tblPr>
        <w:tblW w:w="5000" w:type="pct"/>
        <w:tblLook w:val="04A0" w:firstRow="1" w:lastRow="0" w:firstColumn="1" w:lastColumn="0" w:noHBand="0" w:noVBand="1"/>
      </w:tblPr>
      <w:tblGrid>
        <w:gridCol w:w="3604"/>
        <w:gridCol w:w="1499"/>
        <w:gridCol w:w="1500"/>
        <w:gridCol w:w="1500"/>
        <w:gridCol w:w="1500"/>
      </w:tblGrid>
      <w:tr w:rsidR="0024720E" w:rsidRPr="0024720E" w14:paraId="2D66BC51" w14:textId="77777777" w:rsidTr="0024720E">
        <w:trPr>
          <w:trHeight w:val="255"/>
          <w:tblHeader/>
        </w:trPr>
        <w:tc>
          <w:tcPr>
            <w:tcW w:w="1876" w:type="pct"/>
            <w:tcBorders>
              <w:top w:val="single" w:sz="4" w:space="0" w:color="auto"/>
              <w:left w:val="single" w:sz="4" w:space="0" w:color="auto"/>
              <w:bottom w:val="single" w:sz="4" w:space="0" w:color="auto"/>
              <w:right w:val="single" w:sz="4" w:space="0" w:color="auto"/>
            </w:tcBorders>
            <w:shd w:val="clear" w:color="000000" w:fill="0070C0"/>
            <w:noWrap/>
            <w:hideMark/>
          </w:tcPr>
          <w:p w14:paraId="39427CCC" w14:textId="7096907F" w:rsidR="00BC418C" w:rsidRPr="0024720E" w:rsidRDefault="00BC418C">
            <w:pPr>
              <w:jc w:val="center"/>
              <w:rPr>
                <w:b/>
                <w:bCs/>
                <w:noProof/>
                <w:color w:val="FFFFFF"/>
                <w:sz w:val="20"/>
                <w:szCs w:val="20"/>
              </w:rPr>
            </w:pPr>
          </w:p>
        </w:tc>
        <w:tc>
          <w:tcPr>
            <w:tcW w:w="780" w:type="pct"/>
            <w:tcBorders>
              <w:top w:val="single" w:sz="4" w:space="0" w:color="auto"/>
              <w:left w:val="nil"/>
              <w:bottom w:val="single" w:sz="4" w:space="0" w:color="auto"/>
              <w:right w:val="single" w:sz="4" w:space="0" w:color="auto"/>
            </w:tcBorders>
            <w:shd w:val="clear" w:color="000000" w:fill="0070C0"/>
            <w:noWrap/>
            <w:hideMark/>
          </w:tcPr>
          <w:p w14:paraId="46BA7699" w14:textId="77777777" w:rsidR="00BC418C" w:rsidRPr="0024720E" w:rsidRDefault="00BC418C">
            <w:pPr>
              <w:jc w:val="center"/>
              <w:rPr>
                <w:b/>
                <w:bCs/>
                <w:noProof/>
                <w:color w:val="FFFFFF"/>
                <w:sz w:val="20"/>
                <w:szCs w:val="20"/>
              </w:rPr>
            </w:pPr>
            <w:r w:rsidRPr="0024720E">
              <w:rPr>
                <w:b/>
                <w:bCs/>
                <w:noProof/>
                <w:color w:val="FFFFFF"/>
                <w:sz w:val="20"/>
                <w:szCs w:val="20"/>
              </w:rPr>
              <w:t>2028</w:t>
            </w:r>
          </w:p>
        </w:tc>
        <w:tc>
          <w:tcPr>
            <w:tcW w:w="781" w:type="pct"/>
            <w:tcBorders>
              <w:top w:val="single" w:sz="4" w:space="0" w:color="auto"/>
              <w:left w:val="nil"/>
              <w:bottom w:val="single" w:sz="4" w:space="0" w:color="auto"/>
              <w:right w:val="single" w:sz="4" w:space="0" w:color="auto"/>
            </w:tcBorders>
            <w:shd w:val="clear" w:color="000000" w:fill="0070C0"/>
            <w:noWrap/>
            <w:hideMark/>
          </w:tcPr>
          <w:p w14:paraId="7A64B946" w14:textId="77777777" w:rsidR="00BC418C" w:rsidRPr="0024720E" w:rsidRDefault="00BC418C">
            <w:pPr>
              <w:jc w:val="center"/>
              <w:rPr>
                <w:b/>
                <w:bCs/>
                <w:noProof/>
                <w:color w:val="FFFFFF"/>
                <w:sz w:val="20"/>
                <w:szCs w:val="20"/>
              </w:rPr>
            </w:pPr>
            <w:r w:rsidRPr="0024720E">
              <w:rPr>
                <w:b/>
                <w:bCs/>
                <w:noProof/>
                <w:color w:val="FFFFFF"/>
                <w:sz w:val="20"/>
                <w:szCs w:val="20"/>
              </w:rPr>
              <w:t>2030</w:t>
            </w:r>
          </w:p>
        </w:tc>
        <w:tc>
          <w:tcPr>
            <w:tcW w:w="781" w:type="pct"/>
            <w:tcBorders>
              <w:top w:val="single" w:sz="4" w:space="0" w:color="auto"/>
              <w:left w:val="nil"/>
              <w:bottom w:val="single" w:sz="4" w:space="0" w:color="auto"/>
              <w:right w:val="single" w:sz="4" w:space="0" w:color="auto"/>
            </w:tcBorders>
            <w:shd w:val="clear" w:color="000000" w:fill="0070C0"/>
            <w:noWrap/>
            <w:hideMark/>
          </w:tcPr>
          <w:p w14:paraId="0524AFA4" w14:textId="77777777" w:rsidR="00BC418C" w:rsidRPr="0024720E" w:rsidRDefault="00BC418C">
            <w:pPr>
              <w:jc w:val="center"/>
              <w:rPr>
                <w:b/>
                <w:bCs/>
                <w:noProof/>
                <w:color w:val="FFFFFF"/>
                <w:sz w:val="20"/>
                <w:szCs w:val="20"/>
              </w:rPr>
            </w:pPr>
            <w:r w:rsidRPr="0024720E">
              <w:rPr>
                <w:b/>
                <w:bCs/>
                <w:noProof/>
                <w:color w:val="FFFFFF"/>
                <w:sz w:val="20"/>
                <w:szCs w:val="20"/>
              </w:rPr>
              <w:t>2040</w:t>
            </w:r>
          </w:p>
        </w:tc>
        <w:tc>
          <w:tcPr>
            <w:tcW w:w="781" w:type="pct"/>
            <w:tcBorders>
              <w:top w:val="single" w:sz="4" w:space="0" w:color="auto"/>
              <w:left w:val="nil"/>
              <w:bottom w:val="single" w:sz="4" w:space="0" w:color="auto"/>
              <w:right w:val="single" w:sz="4" w:space="0" w:color="auto"/>
            </w:tcBorders>
            <w:shd w:val="clear" w:color="000000" w:fill="0070C0"/>
            <w:noWrap/>
            <w:hideMark/>
          </w:tcPr>
          <w:p w14:paraId="6B72C7C5" w14:textId="77777777" w:rsidR="00BC418C" w:rsidRPr="0024720E" w:rsidRDefault="00BC418C">
            <w:pPr>
              <w:jc w:val="center"/>
              <w:rPr>
                <w:b/>
                <w:bCs/>
                <w:noProof/>
                <w:color w:val="FFFFFF"/>
                <w:sz w:val="20"/>
                <w:szCs w:val="20"/>
              </w:rPr>
            </w:pPr>
            <w:r w:rsidRPr="0024720E">
              <w:rPr>
                <w:b/>
                <w:bCs/>
                <w:noProof/>
                <w:color w:val="FFFFFF"/>
                <w:sz w:val="20"/>
                <w:szCs w:val="20"/>
              </w:rPr>
              <w:t>2050</w:t>
            </w:r>
          </w:p>
        </w:tc>
      </w:tr>
      <w:tr w:rsidR="008C3FA5" w:rsidRPr="0024720E" w14:paraId="66821734"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9532AB1" w14:textId="77777777" w:rsidR="008C3FA5" w:rsidRPr="0024720E" w:rsidRDefault="008C3FA5" w:rsidP="008C3FA5">
            <w:pPr>
              <w:outlineLvl w:val="0"/>
              <w:rPr>
                <w:noProof/>
                <w:sz w:val="20"/>
                <w:szCs w:val="20"/>
              </w:rPr>
            </w:pPr>
            <w:r w:rsidRPr="0024720E">
              <w:rPr>
                <w:noProof/>
                <w:sz w:val="20"/>
                <w:szCs w:val="20"/>
              </w:rPr>
              <w:t xml:space="preserve"> </w:t>
            </w:r>
            <w:bookmarkStart w:id="1941" w:name="_Toc223981539"/>
            <w:r w:rsidRPr="0024720E">
              <w:rPr>
                <w:noProof/>
                <w:sz w:val="20"/>
                <w:szCs w:val="20"/>
              </w:rPr>
              <w:t>Germany</w:t>
            </w:r>
            <w:bookmarkEnd w:id="1941"/>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6699BC23" w14:textId="6B6ED4B7" w:rsidR="008C3FA5" w:rsidRPr="008C3FA5" w:rsidRDefault="008C3FA5" w:rsidP="008C3FA5">
            <w:pPr>
              <w:jc w:val="right"/>
              <w:outlineLvl w:val="0"/>
              <w:rPr>
                <w:noProof/>
                <w:sz w:val="20"/>
                <w:szCs w:val="20"/>
              </w:rPr>
            </w:pPr>
            <w:bookmarkStart w:id="1942" w:name="_Toc223981540"/>
            <w:r w:rsidRPr="008C3FA5">
              <w:rPr>
                <w:noProof/>
                <w:sz w:val="20"/>
                <w:szCs w:val="20"/>
              </w:rPr>
              <w:t>415.8</w:t>
            </w:r>
            <w:bookmarkEnd w:id="1942"/>
          </w:p>
        </w:tc>
        <w:tc>
          <w:tcPr>
            <w:tcW w:w="781" w:type="pct"/>
            <w:tcBorders>
              <w:top w:val="nil"/>
              <w:left w:val="nil"/>
              <w:bottom w:val="single" w:sz="4" w:space="0" w:color="auto"/>
              <w:right w:val="single" w:sz="4" w:space="0" w:color="auto"/>
            </w:tcBorders>
            <w:shd w:val="clear" w:color="000000" w:fill="FFFFFF"/>
            <w:noWrap/>
            <w:hideMark/>
          </w:tcPr>
          <w:p w14:paraId="32D383E0" w14:textId="15E351AA" w:rsidR="008C3FA5" w:rsidRPr="008C3FA5" w:rsidRDefault="008C3FA5" w:rsidP="008C3FA5">
            <w:pPr>
              <w:jc w:val="right"/>
              <w:outlineLvl w:val="0"/>
              <w:rPr>
                <w:noProof/>
                <w:sz w:val="20"/>
                <w:szCs w:val="20"/>
              </w:rPr>
            </w:pPr>
            <w:bookmarkStart w:id="1943" w:name="_Toc223981541"/>
            <w:r w:rsidRPr="008C3FA5">
              <w:rPr>
                <w:noProof/>
                <w:sz w:val="20"/>
                <w:szCs w:val="20"/>
              </w:rPr>
              <w:t>62.9</w:t>
            </w:r>
            <w:bookmarkEnd w:id="1943"/>
          </w:p>
        </w:tc>
        <w:tc>
          <w:tcPr>
            <w:tcW w:w="781" w:type="pct"/>
            <w:tcBorders>
              <w:top w:val="nil"/>
              <w:left w:val="nil"/>
              <w:bottom w:val="single" w:sz="4" w:space="0" w:color="auto"/>
              <w:right w:val="single" w:sz="4" w:space="0" w:color="auto"/>
            </w:tcBorders>
            <w:shd w:val="clear" w:color="000000" w:fill="FFFFFF"/>
            <w:noWrap/>
            <w:hideMark/>
          </w:tcPr>
          <w:p w14:paraId="7776F732" w14:textId="4CC0B0DD" w:rsidR="008C3FA5" w:rsidRPr="008C3FA5" w:rsidRDefault="008C3FA5" w:rsidP="008C3FA5">
            <w:pPr>
              <w:jc w:val="right"/>
              <w:outlineLvl w:val="0"/>
              <w:rPr>
                <w:noProof/>
                <w:sz w:val="20"/>
                <w:szCs w:val="20"/>
              </w:rPr>
            </w:pPr>
            <w:bookmarkStart w:id="1944" w:name="_Toc223981542"/>
            <w:r w:rsidRPr="008C3FA5">
              <w:rPr>
                <w:noProof/>
                <w:sz w:val="20"/>
                <w:szCs w:val="20"/>
              </w:rPr>
              <w:t>100.8</w:t>
            </w:r>
            <w:bookmarkEnd w:id="1944"/>
          </w:p>
        </w:tc>
        <w:tc>
          <w:tcPr>
            <w:tcW w:w="781" w:type="pct"/>
            <w:tcBorders>
              <w:top w:val="nil"/>
              <w:left w:val="nil"/>
              <w:bottom w:val="single" w:sz="4" w:space="0" w:color="auto"/>
              <w:right w:val="single" w:sz="4" w:space="0" w:color="auto"/>
            </w:tcBorders>
            <w:shd w:val="clear" w:color="000000" w:fill="FFFFFF"/>
            <w:noWrap/>
            <w:hideMark/>
          </w:tcPr>
          <w:p w14:paraId="29F63CAA" w14:textId="174DDA6A" w:rsidR="008C3FA5" w:rsidRPr="008C3FA5" w:rsidRDefault="008C3FA5" w:rsidP="008C3FA5">
            <w:pPr>
              <w:jc w:val="right"/>
              <w:outlineLvl w:val="0"/>
              <w:rPr>
                <w:noProof/>
                <w:sz w:val="20"/>
                <w:szCs w:val="20"/>
              </w:rPr>
            </w:pPr>
            <w:bookmarkStart w:id="1945" w:name="_Toc223981543"/>
            <w:r w:rsidRPr="008C3FA5">
              <w:rPr>
                <w:noProof/>
                <w:sz w:val="20"/>
                <w:szCs w:val="20"/>
              </w:rPr>
              <w:t>72.3</w:t>
            </w:r>
            <w:bookmarkEnd w:id="1945"/>
          </w:p>
        </w:tc>
      </w:tr>
      <w:tr w:rsidR="008C3FA5" w:rsidRPr="0024720E" w14:paraId="659D5CE3"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27C110BD" w14:textId="77777777" w:rsidR="008C3FA5" w:rsidRPr="0024720E" w:rsidRDefault="008C3FA5" w:rsidP="008C3FA5">
            <w:pPr>
              <w:outlineLvl w:val="0"/>
              <w:rPr>
                <w:noProof/>
                <w:sz w:val="20"/>
                <w:szCs w:val="20"/>
              </w:rPr>
            </w:pPr>
            <w:r w:rsidRPr="0024720E">
              <w:rPr>
                <w:noProof/>
                <w:sz w:val="20"/>
                <w:szCs w:val="20"/>
              </w:rPr>
              <w:t xml:space="preserve"> </w:t>
            </w:r>
            <w:bookmarkStart w:id="1946" w:name="_Toc223981544"/>
            <w:r w:rsidRPr="0024720E">
              <w:rPr>
                <w:noProof/>
                <w:sz w:val="20"/>
                <w:szCs w:val="20"/>
              </w:rPr>
              <w:t>Austria</w:t>
            </w:r>
            <w:bookmarkEnd w:id="1946"/>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34ABFD40" w14:textId="20C0DCF7" w:rsidR="008C3FA5" w:rsidRPr="008C3FA5" w:rsidRDefault="008C3FA5" w:rsidP="008C3FA5">
            <w:pPr>
              <w:jc w:val="right"/>
              <w:outlineLvl w:val="0"/>
              <w:rPr>
                <w:noProof/>
                <w:sz w:val="20"/>
                <w:szCs w:val="20"/>
              </w:rPr>
            </w:pPr>
            <w:bookmarkStart w:id="1947" w:name="_Toc223981545"/>
            <w:r w:rsidRPr="008C3FA5">
              <w:rPr>
                <w:noProof/>
                <w:sz w:val="20"/>
                <w:szCs w:val="20"/>
              </w:rPr>
              <w:t>311.8</w:t>
            </w:r>
            <w:bookmarkEnd w:id="1947"/>
          </w:p>
        </w:tc>
        <w:tc>
          <w:tcPr>
            <w:tcW w:w="781" w:type="pct"/>
            <w:tcBorders>
              <w:top w:val="nil"/>
              <w:left w:val="nil"/>
              <w:bottom w:val="single" w:sz="4" w:space="0" w:color="auto"/>
              <w:right w:val="single" w:sz="4" w:space="0" w:color="auto"/>
            </w:tcBorders>
            <w:shd w:val="clear" w:color="000000" w:fill="FFFFFF"/>
            <w:noWrap/>
            <w:hideMark/>
          </w:tcPr>
          <w:p w14:paraId="451F4AE1" w14:textId="21E9BC02" w:rsidR="008C3FA5" w:rsidRPr="008C3FA5" w:rsidRDefault="008C3FA5" w:rsidP="008C3FA5">
            <w:pPr>
              <w:jc w:val="right"/>
              <w:outlineLvl w:val="0"/>
              <w:rPr>
                <w:noProof/>
                <w:sz w:val="20"/>
                <w:szCs w:val="20"/>
              </w:rPr>
            </w:pPr>
            <w:bookmarkStart w:id="1948" w:name="_Toc223981546"/>
            <w:r w:rsidRPr="008C3FA5">
              <w:rPr>
                <w:noProof/>
                <w:sz w:val="20"/>
                <w:szCs w:val="20"/>
              </w:rPr>
              <w:t>47.1</w:t>
            </w:r>
            <w:bookmarkEnd w:id="1948"/>
          </w:p>
        </w:tc>
        <w:tc>
          <w:tcPr>
            <w:tcW w:w="781" w:type="pct"/>
            <w:tcBorders>
              <w:top w:val="nil"/>
              <w:left w:val="nil"/>
              <w:bottom w:val="single" w:sz="4" w:space="0" w:color="auto"/>
              <w:right w:val="single" w:sz="4" w:space="0" w:color="auto"/>
            </w:tcBorders>
            <w:shd w:val="clear" w:color="000000" w:fill="FFFFFF"/>
            <w:noWrap/>
            <w:hideMark/>
          </w:tcPr>
          <w:p w14:paraId="5C887047" w14:textId="1EDE6F1F" w:rsidR="008C3FA5" w:rsidRPr="008C3FA5" w:rsidRDefault="008C3FA5" w:rsidP="008C3FA5">
            <w:pPr>
              <w:jc w:val="right"/>
              <w:outlineLvl w:val="0"/>
              <w:rPr>
                <w:noProof/>
                <w:sz w:val="20"/>
                <w:szCs w:val="20"/>
              </w:rPr>
            </w:pPr>
            <w:bookmarkStart w:id="1949" w:name="_Toc223981547"/>
            <w:r w:rsidRPr="008C3FA5">
              <w:rPr>
                <w:noProof/>
                <w:sz w:val="20"/>
                <w:szCs w:val="20"/>
              </w:rPr>
              <w:t>75.6</w:t>
            </w:r>
            <w:bookmarkEnd w:id="1949"/>
          </w:p>
        </w:tc>
        <w:tc>
          <w:tcPr>
            <w:tcW w:w="781" w:type="pct"/>
            <w:tcBorders>
              <w:top w:val="nil"/>
              <w:left w:val="nil"/>
              <w:bottom w:val="single" w:sz="4" w:space="0" w:color="auto"/>
              <w:right w:val="single" w:sz="4" w:space="0" w:color="auto"/>
            </w:tcBorders>
            <w:shd w:val="clear" w:color="000000" w:fill="FFFFFF"/>
            <w:noWrap/>
            <w:hideMark/>
          </w:tcPr>
          <w:p w14:paraId="79484C20" w14:textId="5659BC4C" w:rsidR="008C3FA5" w:rsidRPr="008C3FA5" w:rsidRDefault="008C3FA5" w:rsidP="008C3FA5">
            <w:pPr>
              <w:jc w:val="right"/>
              <w:outlineLvl w:val="0"/>
              <w:rPr>
                <w:noProof/>
                <w:sz w:val="20"/>
                <w:szCs w:val="20"/>
              </w:rPr>
            </w:pPr>
            <w:bookmarkStart w:id="1950" w:name="_Toc223981548"/>
            <w:r w:rsidRPr="008C3FA5">
              <w:rPr>
                <w:noProof/>
                <w:sz w:val="20"/>
                <w:szCs w:val="20"/>
              </w:rPr>
              <w:t>54.2</w:t>
            </w:r>
            <w:bookmarkEnd w:id="1950"/>
          </w:p>
        </w:tc>
      </w:tr>
      <w:tr w:rsidR="008C3FA5" w:rsidRPr="0024720E" w14:paraId="7443184D"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610154A4" w14:textId="77777777" w:rsidR="008C3FA5" w:rsidRPr="0024720E" w:rsidRDefault="008C3FA5" w:rsidP="008C3FA5">
            <w:pPr>
              <w:outlineLvl w:val="0"/>
              <w:rPr>
                <w:noProof/>
                <w:sz w:val="20"/>
                <w:szCs w:val="20"/>
              </w:rPr>
            </w:pPr>
            <w:r w:rsidRPr="0024720E">
              <w:rPr>
                <w:noProof/>
                <w:sz w:val="20"/>
                <w:szCs w:val="20"/>
              </w:rPr>
              <w:t xml:space="preserve"> </w:t>
            </w:r>
            <w:bookmarkStart w:id="1951" w:name="_Toc223981549"/>
            <w:r w:rsidRPr="0024720E">
              <w:rPr>
                <w:noProof/>
                <w:sz w:val="20"/>
                <w:szCs w:val="20"/>
              </w:rPr>
              <w:t>Denmark</w:t>
            </w:r>
            <w:bookmarkEnd w:id="1951"/>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0B19122A" w14:textId="4B9986C0" w:rsidR="008C3FA5" w:rsidRPr="008C3FA5" w:rsidRDefault="008C3FA5" w:rsidP="008C3FA5">
            <w:pPr>
              <w:jc w:val="right"/>
              <w:outlineLvl w:val="0"/>
              <w:rPr>
                <w:noProof/>
                <w:sz w:val="20"/>
                <w:szCs w:val="20"/>
              </w:rPr>
            </w:pPr>
            <w:bookmarkStart w:id="1952" w:name="_Toc223981550"/>
            <w:r w:rsidRPr="008C3FA5">
              <w:rPr>
                <w:noProof/>
                <w:sz w:val="20"/>
                <w:szCs w:val="20"/>
              </w:rPr>
              <w:t>207.9</w:t>
            </w:r>
            <w:bookmarkEnd w:id="1952"/>
          </w:p>
        </w:tc>
        <w:tc>
          <w:tcPr>
            <w:tcW w:w="781" w:type="pct"/>
            <w:tcBorders>
              <w:top w:val="nil"/>
              <w:left w:val="nil"/>
              <w:bottom w:val="single" w:sz="4" w:space="0" w:color="auto"/>
              <w:right w:val="single" w:sz="4" w:space="0" w:color="auto"/>
            </w:tcBorders>
            <w:shd w:val="clear" w:color="000000" w:fill="FFFFFF"/>
            <w:noWrap/>
            <w:hideMark/>
          </w:tcPr>
          <w:p w14:paraId="5BDA8F07" w14:textId="5BD3571B" w:rsidR="008C3FA5" w:rsidRPr="008C3FA5" w:rsidRDefault="008C3FA5" w:rsidP="008C3FA5">
            <w:pPr>
              <w:jc w:val="right"/>
              <w:outlineLvl w:val="0"/>
              <w:rPr>
                <w:noProof/>
                <w:sz w:val="20"/>
                <w:szCs w:val="20"/>
              </w:rPr>
            </w:pPr>
            <w:bookmarkStart w:id="1953" w:name="_Toc223981551"/>
            <w:r w:rsidRPr="008C3FA5">
              <w:rPr>
                <w:noProof/>
                <w:sz w:val="20"/>
                <w:szCs w:val="20"/>
              </w:rPr>
              <w:t>31.4</w:t>
            </w:r>
            <w:bookmarkEnd w:id="1953"/>
          </w:p>
        </w:tc>
        <w:tc>
          <w:tcPr>
            <w:tcW w:w="781" w:type="pct"/>
            <w:tcBorders>
              <w:top w:val="nil"/>
              <w:left w:val="nil"/>
              <w:bottom w:val="single" w:sz="4" w:space="0" w:color="auto"/>
              <w:right w:val="single" w:sz="4" w:space="0" w:color="auto"/>
            </w:tcBorders>
            <w:shd w:val="clear" w:color="000000" w:fill="FFFFFF"/>
            <w:noWrap/>
            <w:hideMark/>
          </w:tcPr>
          <w:p w14:paraId="6AADDB1A" w14:textId="55C17B1A" w:rsidR="008C3FA5" w:rsidRPr="008C3FA5" w:rsidRDefault="008C3FA5" w:rsidP="008C3FA5">
            <w:pPr>
              <w:jc w:val="right"/>
              <w:outlineLvl w:val="0"/>
              <w:rPr>
                <w:noProof/>
                <w:sz w:val="20"/>
                <w:szCs w:val="20"/>
              </w:rPr>
            </w:pPr>
            <w:bookmarkStart w:id="1954" w:name="_Toc223981552"/>
            <w:r w:rsidRPr="008C3FA5">
              <w:rPr>
                <w:noProof/>
                <w:sz w:val="20"/>
                <w:szCs w:val="20"/>
              </w:rPr>
              <w:t>50.4</w:t>
            </w:r>
            <w:bookmarkEnd w:id="1954"/>
          </w:p>
        </w:tc>
        <w:tc>
          <w:tcPr>
            <w:tcW w:w="781" w:type="pct"/>
            <w:tcBorders>
              <w:top w:val="nil"/>
              <w:left w:val="nil"/>
              <w:bottom w:val="single" w:sz="4" w:space="0" w:color="auto"/>
              <w:right w:val="single" w:sz="4" w:space="0" w:color="auto"/>
            </w:tcBorders>
            <w:shd w:val="clear" w:color="000000" w:fill="FFFFFF"/>
            <w:noWrap/>
            <w:hideMark/>
          </w:tcPr>
          <w:p w14:paraId="2ABB734D" w14:textId="7A9C7B8B" w:rsidR="008C3FA5" w:rsidRPr="008C3FA5" w:rsidRDefault="008C3FA5" w:rsidP="008C3FA5">
            <w:pPr>
              <w:jc w:val="right"/>
              <w:outlineLvl w:val="0"/>
              <w:rPr>
                <w:noProof/>
                <w:sz w:val="20"/>
                <w:szCs w:val="20"/>
              </w:rPr>
            </w:pPr>
            <w:bookmarkStart w:id="1955" w:name="_Toc223981553"/>
            <w:r w:rsidRPr="008C3FA5">
              <w:rPr>
                <w:noProof/>
                <w:sz w:val="20"/>
                <w:szCs w:val="20"/>
              </w:rPr>
              <w:t>36.1</w:t>
            </w:r>
            <w:bookmarkEnd w:id="1955"/>
          </w:p>
        </w:tc>
      </w:tr>
      <w:tr w:rsidR="008C3FA5" w:rsidRPr="0024720E" w14:paraId="5CD987A5"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D083F2D" w14:textId="77777777" w:rsidR="008C3FA5" w:rsidRPr="0024720E" w:rsidRDefault="008C3FA5" w:rsidP="008C3FA5">
            <w:pPr>
              <w:outlineLvl w:val="0"/>
              <w:rPr>
                <w:noProof/>
                <w:sz w:val="20"/>
                <w:szCs w:val="20"/>
              </w:rPr>
            </w:pPr>
            <w:r w:rsidRPr="0024720E">
              <w:rPr>
                <w:noProof/>
                <w:sz w:val="20"/>
                <w:szCs w:val="20"/>
              </w:rPr>
              <w:t xml:space="preserve"> </w:t>
            </w:r>
            <w:bookmarkStart w:id="1956" w:name="_Toc223981554"/>
            <w:r w:rsidRPr="0024720E">
              <w:rPr>
                <w:noProof/>
                <w:sz w:val="20"/>
                <w:szCs w:val="20"/>
              </w:rPr>
              <w:t>Luxembourg</w:t>
            </w:r>
            <w:bookmarkEnd w:id="1956"/>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506C8F44" w14:textId="603C814D" w:rsidR="008C3FA5" w:rsidRPr="008C3FA5" w:rsidRDefault="008C3FA5" w:rsidP="008C3FA5">
            <w:pPr>
              <w:jc w:val="right"/>
              <w:outlineLvl w:val="0"/>
              <w:rPr>
                <w:noProof/>
                <w:sz w:val="20"/>
                <w:szCs w:val="20"/>
              </w:rPr>
            </w:pPr>
            <w:bookmarkStart w:id="1957" w:name="_Toc223981555"/>
            <w:r w:rsidRPr="008C3FA5">
              <w:rPr>
                <w:noProof/>
                <w:sz w:val="20"/>
                <w:szCs w:val="20"/>
              </w:rPr>
              <w:t>138.6</w:t>
            </w:r>
            <w:bookmarkEnd w:id="1957"/>
          </w:p>
        </w:tc>
        <w:tc>
          <w:tcPr>
            <w:tcW w:w="781" w:type="pct"/>
            <w:tcBorders>
              <w:top w:val="nil"/>
              <w:left w:val="nil"/>
              <w:bottom w:val="single" w:sz="4" w:space="0" w:color="auto"/>
              <w:right w:val="single" w:sz="4" w:space="0" w:color="auto"/>
            </w:tcBorders>
            <w:shd w:val="clear" w:color="000000" w:fill="FFFFFF"/>
            <w:noWrap/>
            <w:hideMark/>
          </w:tcPr>
          <w:p w14:paraId="6FC10F73" w14:textId="0C393FEB" w:rsidR="008C3FA5" w:rsidRPr="008C3FA5" w:rsidRDefault="008C3FA5" w:rsidP="008C3FA5">
            <w:pPr>
              <w:jc w:val="right"/>
              <w:outlineLvl w:val="0"/>
              <w:rPr>
                <w:noProof/>
                <w:sz w:val="20"/>
                <w:szCs w:val="20"/>
              </w:rPr>
            </w:pPr>
            <w:bookmarkStart w:id="1958" w:name="_Toc223981556"/>
            <w:r w:rsidRPr="008C3FA5">
              <w:rPr>
                <w:noProof/>
                <w:sz w:val="20"/>
                <w:szCs w:val="20"/>
              </w:rPr>
              <w:t>21.0</w:t>
            </w:r>
            <w:bookmarkEnd w:id="1958"/>
          </w:p>
        </w:tc>
        <w:tc>
          <w:tcPr>
            <w:tcW w:w="781" w:type="pct"/>
            <w:tcBorders>
              <w:top w:val="nil"/>
              <w:left w:val="nil"/>
              <w:bottom w:val="single" w:sz="4" w:space="0" w:color="auto"/>
              <w:right w:val="single" w:sz="4" w:space="0" w:color="auto"/>
            </w:tcBorders>
            <w:shd w:val="clear" w:color="000000" w:fill="FFFFFF"/>
            <w:noWrap/>
            <w:hideMark/>
          </w:tcPr>
          <w:p w14:paraId="5C7A9042" w14:textId="0B55BECA" w:rsidR="008C3FA5" w:rsidRPr="008C3FA5" w:rsidRDefault="008C3FA5" w:rsidP="008C3FA5">
            <w:pPr>
              <w:jc w:val="right"/>
              <w:outlineLvl w:val="0"/>
              <w:rPr>
                <w:noProof/>
                <w:sz w:val="20"/>
                <w:szCs w:val="20"/>
              </w:rPr>
            </w:pPr>
            <w:bookmarkStart w:id="1959" w:name="_Toc223981557"/>
            <w:r w:rsidRPr="008C3FA5">
              <w:rPr>
                <w:noProof/>
                <w:sz w:val="20"/>
                <w:szCs w:val="20"/>
              </w:rPr>
              <w:t>33.6</w:t>
            </w:r>
            <w:bookmarkEnd w:id="1959"/>
          </w:p>
        </w:tc>
        <w:tc>
          <w:tcPr>
            <w:tcW w:w="781" w:type="pct"/>
            <w:tcBorders>
              <w:top w:val="nil"/>
              <w:left w:val="nil"/>
              <w:bottom w:val="single" w:sz="4" w:space="0" w:color="auto"/>
              <w:right w:val="single" w:sz="4" w:space="0" w:color="auto"/>
            </w:tcBorders>
            <w:shd w:val="clear" w:color="000000" w:fill="FFFFFF"/>
            <w:noWrap/>
            <w:hideMark/>
          </w:tcPr>
          <w:p w14:paraId="64FD19F4" w14:textId="7385097F" w:rsidR="008C3FA5" w:rsidRPr="008C3FA5" w:rsidRDefault="008C3FA5" w:rsidP="008C3FA5">
            <w:pPr>
              <w:jc w:val="right"/>
              <w:outlineLvl w:val="0"/>
              <w:rPr>
                <w:noProof/>
                <w:sz w:val="20"/>
                <w:szCs w:val="20"/>
              </w:rPr>
            </w:pPr>
            <w:bookmarkStart w:id="1960" w:name="_Toc223981558"/>
            <w:r w:rsidRPr="008C3FA5">
              <w:rPr>
                <w:noProof/>
                <w:sz w:val="20"/>
                <w:szCs w:val="20"/>
              </w:rPr>
              <w:t>24.1</w:t>
            </w:r>
            <w:bookmarkEnd w:id="1960"/>
          </w:p>
        </w:tc>
      </w:tr>
      <w:tr w:rsidR="008C3FA5" w:rsidRPr="0024720E" w14:paraId="1B613C2C"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2035B543" w14:textId="77777777" w:rsidR="008C3FA5" w:rsidRPr="0024720E" w:rsidRDefault="008C3FA5" w:rsidP="008C3FA5">
            <w:pPr>
              <w:outlineLvl w:val="0"/>
              <w:rPr>
                <w:noProof/>
                <w:sz w:val="20"/>
                <w:szCs w:val="20"/>
              </w:rPr>
            </w:pPr>
            <w:r w:rsidRPr="0024720E">
              <w:rPr>
                <w:noProof/>
                <w:sz w:val="20"/>
                <w:szCs w:val="20"/>
              </w:rPr>
              <w:t xml:space="preserve"> </w:t>
            </w:r>
            <w:bookmarkStart w:id="1961" w:name="_Toc223981559"/>
            <w:r w:rsidRPr="0024720E">
              <w:rPr>
                <w:noProof/>
                <w:sz w:val="20"/>
                <w:szCs w:val="20"/>
              </w:rPr>
              <w:t>Finland</w:t>
            </w:r>
            <w:bookmarkEnd w:id="1961"/>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7778988" w14:textId="51CA3D3B" w:rsidR="008C3FA5" w:rsidRPr="008C3FA5" w:rsidRDefault="008C3FA5" w:rsidP="008C3FA5">
            <w:pPr>
              <w:jc w:val="right"/>
              <w:outlineLvl w:val="0"/>
              <w:rPr>
                <w:noProof/>
                <w:sz w:val="20"/>
                <w:szCs w:val="20"/>
              </w:rPr>
            </w:pPr>
            <w:bookmarkStart w:id="1962" w:name="_Toc223981560"/>
            <w:r w:rsidRPr="008C3FA5">
              <w:rPr>
                <w:noProof/>
                <w:sz w:val="20"/>
                <w:szCs w:val="20"/>
              </w:rPr>
              <w:t>173.2</w:t>
            </w:r>
            <w:bookmarkEnd w:id="1962"/>
          </w:p>
        </w:tc>
        <w:tc>
          <w:tcPr>
            <w:tcW w:w="781" w:type="pct"/>
            <w:tcBorders>
              <w:top w:val="nil"/>
              <w:left w:val="nil"/>
              <w:bottom w:val="single" w:sz="4" w:space="0" w:color="auto"/>
              <w:right w:val="single" w:sz="4" w:space="0" w:color="auto"/>
            </w:tcBorders>
            <w:shd w:val="clear" w:color="000000" w:fill="FFFFFF"/>
            <w:noWrap/>
            <w:hideMark/>
          </w:tcPr>
          <w:p w14:paraId="4FE3F71A" w14:textId="569BD015" w:rsidR="008C3FA5" w:rsidRPr="008C3FA5" w:rsidRDefault="008C3FA5" w:rsidP="008C3FA5">
            <w:pPr>
              <w:jc w:val="right"/>
              <w:outlineLvl w:val="0"/>
              <w:rPr>
                <w:noProof/>
                <w:sz w:val="20"/>
                <w:szCs w:val="20"/>
              </w:rPr>
            </w:pPr>
            <w:bookmarkStart w:id="1963" w:name="_Toc223981561"/>
            <w:r w:rsidRPr="008C3FA5">
              <w:rPr>
                <w:noProof/>
                <w:sz w:val="20"/>
                <w:szCs w:val="20"/>
              </w:rPr>
              <w:t>26.2</w:t>
            </w:r>
            <w:bookmarkEnd w:id="1963"/>
          </w:p>
        </w:tc>
        <w:tc>
          <w:tcPr>
            <w:tcW w:w="781" w:type="pct"/>
            <w:tcBorders>
              <w:top w:val="nil"/>
              <w:left w:val="nil"/>
              <w:bottom w:val="single" w:sz="4" w:space="0" w:color="auto"/>
              <w:right w:val="single" w:sz="4" w:space="0" w:color="auto"/>
            </w:tcBorders>
            <w:shd w:val="clear" w:color="000000" w:fill="FFFFFF"/>
            <w:noWrap/>
            <w:hideMark/>
          </w:tcPr>
          <w:p w14:paraId="778B9255" w14:textId="328A92B1" w:rsidR="008C3FA5" w:rsidRPr="008C3FA5" w:rsidRDefault="008C3FA5" w:rsidP="008C3FA5">
            <w:pPr>
              <w:jc w:val="right"/>
              <w:outlineLvl w:val="0"/>
              <w:rPr>
                <w:noProof/>
                <w:sz w:val="20"/>
                <w:szCs w:val="20"/>
              </w:rPr>
            </w:pPr>
            <w:bookmarkStart w:id="1964" w:name="_Toc223981562"/>
            <w:r w:rsidRPr="008C3FA5">
              <w:rPr>
                <w:noProof/>
                <w:sz w:val="20"/>
                <w:szCs w:val="20"/>
              </w:rPr>
              <w:t>42.0</w:t>
            </w:r>
            <w:bookmarkEnd w:id="1964"/>
          </w:p>
        </w:tc>
        <w:tc>
          <w:tcPr>
            <w:tcW w:w="781" w:type="pct"/>
            <w:tcBorders>
              <w:top w:val="nil"/>
              <w:left w:val="nil"/>
              <w:bottom w:val="single" w:sz="4" w:space="0" w:color="auto"/>
              <w:right w:val="single" w:sz="4" w:space="0" w:color="auto"/>
            </w:tcBorders>
            <w:shd w:val="clear" w:color="000000" w:fill="FFFFFF"/>
            <w:noWrap/>
            <w:hideMark/>
          </w:tcPr>
          <w:p w14:paraId="4079CAAE" w14:textId="092A5AB5" w:rsidR="008C3FA5" w:rsidRPr="008C3FA5" w:rsidRDefault="008C3FA5" w:rsidP="008C3FA5">
            <w:pPr>
              <w:jc w:val="right"/>
              <w:outlineLvl w:val="0"/>
              <w:rPr>
                <w:noProof/>
                <w:sz w:val="20"/>
                <w:szCs w:val="20"/>
              </w:rPr>
            </w:pPr>
            <w:bookmarkStart w:id="1965" w:name="_Toc223981563"/>
            <w:r w:rsidRPr="008C3FA5">
              <w:rPr>
                <w:noProof/>
                <w:sz w:val="20"/>
                <w:szCs w:val="20"/>
              </w:rPr>
              <w:t>30.1</w:t>
            </w:r>
            <w:bookmarkEnd w:id="1965"/>
          </w:p>
        </w:tc>
      </w:tr>
      <w:tr w:rsidR="008C3FA5" w:rsidRPr="0024720E" w14:paraId="312E79CC"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7C4E17FB" w14:textId="77777777" w:rsidR="008C3FA5" w:rsidRPr="0024720E" w:rsidRDefault="008C3FA5" w:rsidP="008C3FA5">
            <w:pPr>
              <w:outlineLvl w:val="0"/>
              <w:rPr>
                <w:noProof/>
                <w:sz w:val="20"/>
                <w:szCs w:val="20"/>
              </w:rPr>
            </w:pPr>
            <w:r w:rsidRPr="0024720E">
              <w:rPr>
                <w:noProof/>
                <w:sz w:val="20"/>
                <w:szCs w:val="20"/>
              </w:rPr>
              <w:t xml:space="preserve"> </w:t>
            </w:r>
            <w:bookmarkStart w:id="1966" w:name="_Toc223981564"/>
            <w:r w:rsidRPr="0024720E">
              <w:rPr>
                <w:noProof/>
                <w:sz w:val="20"/>
                <w:szCs w:val="20"/>
              </w:rPr>
              <w:t>Spain</w:t>
            </w:r>
            <w:bookmarkEnd w:id="1966"/>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5AFAFAA2" w14:textId="38E69364" w:rsidR="008C3FA5" w:rsidRPr="008C3FA5" w:rsidRDefault="008C3FA5" w:rsidP="008C3FA5">
            <w:pPr>
              <w:jc w:val="right"/>
              <w:outlineLvl w:val="0"/>
              <w:rPr>
                <w:noProof/>
                <w:sz w:val="20"/>
                <w:szCs w:val="20"/>
              </w:rPr>
            </w:pPr>
            <w:bookmarkStart w:id="1967" w:name="_Toc223981565"/>
            <w:r w:rsidRPr="008C3FA5">
              <w:rPr>
                <w:noProof/>
                <w:sz w:val="20"/>
                <w:szCs w:val="20"/>
              </w:rPr>
              <w:t>138.6</w:t>
            </w:r>
            <w:bookmarkEnd w:id="1967"/>
          </w:p>
        </w:tc>
        <w:tc>
          <w:tcPr>
            <w:tcW w:w="781" w:type="pct"/>
            <w:tcBorders>
              <w:top w:val="nil"/>
              <w:left w:val="nil"/>
              <w:bottom w:val="single" w:sz="4" w:space="0" w:color="auto"/>
              <w:right w:val="single" w:sz="4" w:space="0" w:color="auto"/>
            </w:tcBorders>
            <w:shd w:val="clear" w:color="000000" w:fill="FFFFFF"/>
            <w:noWrap/>
            <w:hideMark/>
          </w:tcPr>
          <w:p w14:paraId="696DFBD4" w14:textId="00B141AB" w:rsidR="008C3FA5" w:rsidRPr="008C3FA5" w:rsidRDefault="008C3FA5" w:rsidP="008C3FA5">
            <w:pPr>
              <w:jc w:val="right"/>
              <w:outlineLvl w:val="0"/>
              <w:rPr>
                <w:noProof/>
                <w:sz w:val="20"/>
                <w:szCs w:val="20"/>
              </w:rPr>
            </w:pPr>
            <w:bookmarkStart w:id="1968" w:name="_Toc223981566"/>
            <w:r w:rsidRPr="008C3FA5">
              <w:rPr>
                <w:noProof/>
                <w:sz w:val="20"/>
                <w:szCs w:val="20"/>
              </w:rPr>
              <w:t>21.0</w:t>
            </w:r>
            <w:bookmarkEnd w:id="1968"/>
          </w:p>
        </w:tc>
        <w:tc>
          <w:tcPr>
            <w:tcW w:w="781" w:type="pct"/>
            <w:tcBorders>
              <w:top w:val="nil"/>
              <w:left w:val="nil"/>
              <w:bottom w:val="single" w:sz="4" w:space="0" w:color="auto"/>
              <w:right w:val="single" w:sz="4" w:space="0" w:color="auto"/>
            </w:tcBorders>
            <w:shd w:val="clear" w:color="000000" w:fill="FFFFFF"/>
            <w:noWrap/>
            <w:hideMark/>
          </w:tcPr>
          <w:p w14:paraId="3B62F232" w14:textId="2B30E489" w:rsidR="008C3FA5" w:rsidRPr="008C3FA5" w:rsidRDefault="008C3FA5" w:rsidP="008C3FA5">
            <w:pPr>
              <w:jc w:val="right"/>
              <w:outlineLvl w:val="0"/>
              <w:rPr>
                <w:noProof/>
                <w:sz w:val="20"/>
                <w:szCs w:val="20"/>
              </w:rPr>
            </w:pPr>
            <w:bookmarkStart w:id="1969" w:name="_Toc223981567"/>
            <w:r w:rsidRPr="008C3FA5">
              <w:rPr>
                <w:noProof/>
                <w:sz w:val="20"/>
                <w:szCs w:val="20"/>
              </w:rPr>
              <w:t>33.6</w:t>
            </w:r>
            <w:bookmarkEnd w:id="1969"/>
          </w:p>
        </w:tc>
        <w:tc>
          <w:tcPr>
            <w:tcW w:w="781" w:type="pct"/>
            <w:tcBorders>
              <w:top w:val="nil"/>
              <w:left w:val="nil"/>
              <w:bottom w:val="single" w:sz="4" w:space="0" w:color="auto"/>
              <w:right w:val="single" w:sz="4" w:space="0" w:color="auto"/>
            </w:tcBorders>
            <w:shd w:val="clear" w:color="000000" w:fill="FFFFFF"/>
            <w:noWrap/>
            <w:hideMark/>
          </w:tcPr>
          <w:p w14:paraId="5DF23D82" w14:textId="0DBC2414" w:rsidR="008C3FA5" w:rsidRPr="008C3FA5" w:rsidRDefault="008C3FA5" w:rsidP="008C3FA5">
            <w:pPr>
              <w:jc w:val="right"/>
              <w:outlineLvl w:val="0"/>
              <w:rPr>
                <w:noProof/>
                <w:sz w:val="20"/>
                <w:szCs w:val="20"/>
              </w:rPr>
            </w:pPr>
            <w:bookmarkStart w:id="1970" w:name="_Toc223981568"/>
            <w:r w:rsidRPr="008C3FA5">
              <w:rPr>
                <w:noProof/>
                <w:sz w:val="20"/>
                <w:szCs w:val="20"/>
              </w:rPr>
              <w:t>24.1</w:t>
            </w:r>
            <w:bookmarkEnd w:id="1970"/>
          </w:p>
        </w:tc>
      </w:tr>
      <w:tr w:rsidR="008C3FA5" w:rsidRPr="0024720E" w14:paraId="63015F1A"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F034B38" w14:textId="77777777" w:rsidR="008C3FA5" w:rsidRPr="0024720E" w:rsidRDefault="008C3FA5" w:rsidP="008C3FA5">
            <w:pPr>
              <w:outlineLvl w:val="0"/>
              <w:rPr>
                <w:noProof/>
                <w:sz w:val="20"/>
                <w:szCs w:val="20"/>
              </w:rPr>
            </w:pPr>
            <w:r w:rsidRPr="0024720E">
              <w:rPr>
                <w:noProof/>
                <w:sz w:val="20"/>
                <w:szCs w:val="20"/>
              </w:rPr>
              <w:t xml:space="preserve"> </w:t>
            </w:r>
            <w:bookmarkStart w:id="1971" w:name="_Toc223981569"/>
            <w:r w:rsidRPr="0024720E">
              <w:rPr>
                <w:noProof/>
                <w:sz w:val="20"/>
                <w:szCs w:val="20"/>
              </w:rPr>
              <w:t>Netherlands</w:t>
            </w:r>
            <w:bookmarkEnd w:id="1971"/>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1C698175" w14:textId="05C0DD1D" w:rsidR="008C3FA5" w:rsidRPr="008C3FA5" w:rsidRDefault="008C3FA5" w:rsidP="008C3FA5">
            <w:pPr>
              <w:jc w:val="right"/>
              <w:outlineLvl w:val="0"/>
              <w:rPr>
                <w:noProof/>
                <w:sz w:val="20"/>
                <w:szCs w:val="20"/>
              </w:rPr>
            </w:pPr>
            <w:bookmarkStart w:id="1972" w:name="_Toc223981570"/>
            <w:r w:rsidRPr="008C3FA5">
              <w:rPr>
                <w:noProof/>
                <w:sz w:val="20"/>
                <w:szCs w:val="20"/>
              </w:rPr>
              <w:t>346.5</w:t>
            </w:r>
            <w:bookmarkEnd w:id="1972"/>
          </w:p>
        </w:tc>
        <w:tc>
          <w:tcPr>
            <w:tcW w:w="781" w:type="pct"/>
            <w:tcBorders>
              <w:top w:val="nil"/>
              <w:left w:val="nil"/>
              <w:bottom w:val="single" w:sz="4" w:space="0" w:color="auto"/>
              <w:right w:val="single" w:sz="4" w:space="0" w:color="auto"/>
            </w:tcBorders>
            <w:shd w:val="clear" w:color="000000" w:fill="FFFFFF"/>
            <w:noWrap/>
            <w:hideMark/>
          </w:tcPr>
          <w:p w14:paraId="16981E61" w14:textId="52EF4217" w:rsidR="008C3FA5" w:rsidRPr="008C3FA5" w:rsidRDefault="008C3FA5" w:rsidP="008C3FA5">
            <w:pPr>
              <w:jc w:val="right"/>
              <w:outlineLvl w:val="0"/>
              <w:rPr>
                <w:noProof/>
                <w:sz w:val="20"/>
                <w:szCs w:val="20"/>
              </w:rPr>
            </w:pPr>
            <w:bookmarkStart w:id="1973" w:name="_Toc223981571"/>
            <w:r w:rsidRPr="008C3FA5">
              <w:rPr>
                <w:noProof/>
                <w:sz w:val="20"/>
                <w:szCs w:val="20"/>
              </w:rPr>
              <w:t>52.4</w:t>
            </w:r>
            <w:bookmarkEnd w:id="1973"/>
          </w:p>
        </w:tc>
        <w:tc>
          <w:tcPr>
            <w:tcW w:w="781" w:type="pct"/>
            <w:tcBorders>
              <w:top w:val="nil"/>
              <w:left w:val="nil"/>
              <w:bottom w:val="single" w:sz="4" w:space="0" w:color="auto"/>
              <w:right w:val="single" w:sz="4" w:space="0" w:color="auto"/>
            </w:tcBorders>
            <w:shd w:val="clear" w:color="000000" w:fill="FFFFFF"/>
            <w:noWrap/>
            <w:hideMark/>
          </w:tcPr>
          <w:p w14:paraId="64D21D8B" w14:textId="3FC7566B" w:rsidR="008C3FA5" w:rsidRPr="008C3FA5" w:rsidRDefault="008C3FA5" w:rsidP="008C3FA5">
            <w:pPr>
              <w:jc w:val="right"/>
              <w:outlineLvl w:val="0"/>
              <w:rPr>
                <w:noProof/>
                <w:sz w:val="20"/>
                <w:szCs w:val="20"/>
              </w:rPr>
            </w:pPr>
            <w:bookmarkStart w:id="1974" w:name="_Toc223981572"/>
            <w:r w:rsidRPr="008C3FA5">
              <w:rPr>
                <w:noProof/>
                <w:sz w:val="20"/>
                <w:szCs w:val="20"/>
              </w:rPr>
              <w:t>84.0</w:t>
            </w:r>
            <w:bookmarkEnd w:id="1974"/>
          </w:p>
        </w:tc>
        <w:tc>
          <w:tcPr>
            <w:tcW w:w="781" w:type="pct"/>
            <w:tcBorders>
              <w:top w:val="nil"/>
              <w:left w:val="nil"/>
              <w:bottom w:val="single" w:sz="4" w:space="0" w:color="auto"/>
              <w:right w:val="single" w:sz="4" w:space="0" w:color="auto"/>
            </w:tcBorders>
            <w:shd w:val="clear" w:color="000000" w:fill="FFFFFF"/>
            <w:noWrap/>
            <w:hideMark/>
          </w:tcPr>
          <w:p w14:paraId="6BC44113" w14:textId="5D4B11CC" w:rsidR="008C3FA5" w:rsidRPr="008C3FA5" w:rsidRDefault="008C3FA5" w:rsidP="008C3FA5">
            <w:pPr>
              <w:jc w:val="right"/>
              <w:outlineLvl w:val="0"/>
              <w:rPr>
                <w:noProof/>
                <w:sz w:val="20"/>
                <w:szCs w:val="20"/>
              </w:rPr>
            </w:pPr>
            <w:bookmarkStart w:id="1975" w:name="_Toc223981573"/>
            <w:r w:rsidRPr="008C3FA5">
              <w:rPr>
                <w:noProof/>
                <w:sz w:val="20"/>
                <w:szCs w:val="20"/>
              </w:rPr>
              <w:t>60.2</w:t>
            </w:r>
            <w:bookmarkEnd w:id="1975"/>
          </w:p>
        </w:tc>
      </w:tr>
      <w:tr w:rsidR="008C3FA5" w:rsidRPr="0024720E" w14:paraId="4D12118A"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6AA432F" w14:textId="77777777" w:rsidR="008C3FA5" w:rsidRPr="0024720E" w:rsidRDefault="008C3FA5" w:rsidP="008C3FA5">
            <w:pPr>
              <w:outlineLvl w:val="0"/>
              <w:rPr>
                <w:noProof/>
                <w:sz w:val="20"/>
                <w:szCs w:val="20"/>
              </w:rPr>
            </w:pPr>
            <w:r w:rsidRPr="0024720E">
              <w:rPr>
                <w:noProof/>
                <w:sz w:val="20"/>
                <w:szCs w:val="20"/>
              </w:rPr>
              <w:t xml:space="preserve"> </w:t>
            </w:r>
            <w:bookmarkStart w:id="1976" w:name="_Toc223981574"/>
            <w:r w:rsidRPr="0024720E">
              <w:rPr>
                <w:noProof/>
                <w:sz w:val="20"/>
                <w:szCs w:val="20"/>
              </w:rPr>
              <w:t>France</w:t>
            </w:r>
            <w:bookmarkEnd w:id="1976"/>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0CE03AA5" w14:textId="23F6B187" w:rsidR="008C3FA5" w:rsidRPr="008C3FA5" w:rsidRDefault="008C3FA5" w:rsidP="008C3FA5">
            <w:pPr>
              <w:jc w:val="right"/>
              <w:outlineLvl w:val="0"/>
              <w:rPr>
                <w:noProof/>
                <w:sz w:val="20"/>
                <w:szCs w:val="20"/>
              </w:rPr>
            </w:pPr>
            <w:bookmarkStart w:id="1977" w:name="_Toc223981575"/>
            <w:r w:rsidRPr="008C3FA5">
              <w:rPr>
                <w:noProof/>
                <w:sz w:val="20"/>
                <w:szCs w:val="20"/>
              </w:rPr>
              <w:t>450.4</w:t>
            </w:r>
            <w:bookmarkEnd w:id="1977"/>
          </w:p>
        </w:tc>
        <w:tc>
          <w:tcPr>
            <w:tcW w:w="781" w:type="pct"/>
            <w:tcBorders>
              <w:top w:val="nil"/>
              <w:left w:val="nil"/>
              <w:bottom w:val="single" w:sz="4" w:space="0" w:color="auto"/>
              <w:right w:val="single" w:sz="4" w:space="0" w:color="auto"/>
            </w:tcBorders>
            <w:shd w:val="clear" w:color="000000" w:fill="FFFFFF"/>
            <w:noWrap/>
            <w:hideMark/>
          </w:tcPr>
          <w:p w14:paraId="113673E2" w14:textId="4A054988" w:rsidR="008C3FA5" w:rsidRPr="008C3FA5" w:rsidRDefault="008C3FA5" w:rsidP="008C3FA5">
            <w:pPr>
              <w:jc w:val="right"/>
              <w:outlineLvl w:val="0"/>
              <w:rPr>
                <w:noProof/>
                <w:sz w:val="20"/>
                <w:szCs w:val="20"/>
              </w:rPr>
            </w:pPr>
            <w:bookmarkStart w:id="1978" w:name="_Toc223981576"/>
            <w:r w:rsidRPr="008C3FA5">
              <w:rPr>
                <w:noProof/>
                <w:sz w:val="20"/>
                <w:szCs w:val="20"/>
              </w:rPr>
              <w:t>68.1</w:t>
            </w:r>
            <w:bookmarkEnd w:id="1978"/>
          </w:p>
        </w:tc>
        <w:tc>
          <w:tcPr>
            <w:tcW w:w="781" w:type="pct"/>
            <w:tcBorders>
              <w:top w:val="nil"/>
              <w:left w:val="nil"/>
              <w:bottom w:val="single" w:sz="4" w:space="0" w:color="auto"/>
              <w:right w:val="single" w:sz="4" w:space="0" w:color="auto"/>
            </w:tcBorders>
            <w:shd w:val="clear" w:color="000000" w:fill="FFFFFF"/>
            <w:noWrap/>
            <w:hideMark/>
          </w:tcPr>
          <w:p w14:paraId="71085175" w14:textId="47E2B6CE" w:rsidR="008C3FA5" w:rsidRPr="008C3FA5" w:rsidRDefault="008C3FA5" w:rsidP="008C3FA5">
            <w:pPr>
              <w:jc w:val="right"/>
              <w:outlineLvl w:val="0"/>
              <w:rPr>
                <w:noProof/>
                <w:sz w:val="20"/>
                <w:szCs w:val="20"/>
              </w:rPr>
            </w:pPr>
            <w:bookmarkStart w:id="1979" w:name="_Toc223981577"/>
            <w:r w:rsidRPr="008C3FA5">
              <w:rPr>
                <w:noProof/>
                <w:sz w:val="20"/>
                <w:szCs w:val="20"/>
              </w:rPr>
              <w:t>109.2</w:t>
            </w:r>
            <w:bookmarkEnd w:id="1979"/>
          </w:p>
        </w:tc>
        <w:tc>
          <w:tcPr>
            <w:tcW w:w="781" w:type="pct"/>
            <w:tcBorders>
              <w:top w:val="nil"/>
              <w:left w:val="nil"/>
              <w:bottom w:val="single" w:sz="4" w:space="0" w:color="auto"/>
              <w:right w:val="single" w:sz="4" w:space="0" w:color="auto"/>
            </w:tcBorders>
            <w:shd w:val="clear" w:color="000000" w:fill="FFFFFF"/>
            <w:noWrap/>
            <w:hideMark/>
          </w:tcPr>
          <w:p w14:paraId="6729E3B9" w14:textId="5F8BD2DA" w:rsidR="008C3FA5" w:rsidRPr="008C3FA5" w:rsidRDefault="008C3FA5" w:rsidP="008C3FA5">
            <w:pPr>
              <w:jc w:val="right"/>
              <w:outlineLvl w:val="0"/>
              <w:rPr>
                <w:noProof/>
                <w:sz w:val="20"/>
                <w:szCs w:val="20"/>
              </w:rPr>
            </w:pPr>
            <w:bookmarkStart w:id="1980" w:name="_Toc223981578"/>
            <w:r w:rsidRPr="008C3FA5">
              <w:rPr>
                <w:noProof/>
                <w:sz w:val="20"/>
                <w:szCs w:val="20"/>
              </w:rPr>
              <w:t>78.3</w:t>
            </w:r>
            <w:bookmarkEnd w:id="1980"/>
          </w:p>
        </w:tc>
      </w:tr>
      <w:tr w:rsidR="008C3FA5" w:rsidRPr="0024720E" w14:paraId="3716D2DD"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937B319" w14:textId="77777777" w:rsidR="008C3FA5" w:rsidRPr="0024720E" w:rsidRDefault="008C3FA5" w:rsidP="008C3FA5">
            <w:pPr>
              <w:outlineLvl w:val="0"/>
              <w:rPr>
                <w:noProof/>
                <w:sz w:val="20"/>
                <w:szCs w:val="20"/>
              </w:rPr>
            </w:pPr>
            <w:r w:rsidRPr="0024720E">
              <w:rPr>
                <w:noProof/>
                <w:sz w:val="20"/>
                <w:szCs w:val="20"/>
              </w:rPr>
              <w:t xml:space="preserve"> </w:t>
            </w:r>
            <w:bookmarkStart w:id="1981" w:name="_Toc223981579"/>
            <w:r w:rsidRPr="0024720E">
              <w:rPr>
                <w:noProof/>
                <w:sz w:val="20"/>
                <w:szCs w:val="20"/>
              </w:rPr>
              <w:t>Poland</w:t>
            </w:r>
            <w:bookmarkEnd w:id="1981"/>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78DEA95C" w14:textId="1224E31E" w:rsidR="008C3FA5" w:rsidRPr="008C3FA5" w:rsidRDefault="008C3FA5" w:rsidP="008C3FA5">
            <w:pPr>
              <w:jc w:val="right"/>
              <w:outlineLvl w:val="0"/>
              <w:rPr>
                <w:noProof/>
                <w:sz w:val="20"/>
                <w:szCs w:val="20"/>
              </w:rPr>
            </w:pPr>
            <w:bookmarkStart w:id="1982" w:name="_Toc223981580"/>
            <w:r w:rsidRPr="008C3FA5">
              <w:rPr>
                <w:noProof/>
                <w:sz w:val="20"/>
                <w:szCs w:val="20"/>
              </w:rPr>
              <w:t>242.5</w:t>
            </w:r>
            <w:bookmarkEnd w:id="1982"/>
          </w:p>
        </w:tc>
        <w:tc>
          <w:tcPr>
            <w:tcW w:w="781" w:type="pct"/>
            <w:tcBorders>
              <w:top w:val="nil"/>
              <w:left w:val="nil"/>
              <w:bottom w:val="single" w:sz="4" w:space="0" w:color="auto"/>
              <w:right w:val="single" w:sz="4" w:space="0" w:color="auto"/>
            </w:tcBorders>
            <w:shd w:val="clear" w:color="000000" w:fill="FFFFFF"/>
            <w:noWrap/>
            <w:hideMark/>
          </w:tcPr>
          <w:p w14:paraId="1114221D" w14:textId="2C29BB49" w:rsidR="008C3FA5" w:rsidRPr="008C3FA5" w:rsidRDefault="008C3FA5" w:rsidP="008C3FA5">
            <w:pPr>
              <w:jc w:val="right"/>
              <w:outlineLvl w:val="0"/>
              <w:rPr>
                <w:noProof/>
                <w:sz w:val="20"/>
                <w:szCs w:val="20"/>
              </w:rPr>
            </w:pPr>
            <w:bookmarkStart w:id="1983" w:name="_Toc223981581"/>
            <w:r w:rsidRPr="008C3FA5">
              <w:rPr>
                <w:noProof/>
                <w:sz w:val="20"/>
                <w:szCs w:val="20"/>
              </w:rPr>
              <w:t>36.7</w:t>
            </w:r>
            <w:bookmarkEnd w:id="1983"/>
          </w:p>
        </w:tc>
        <w:tc>
          <w:tcPr>
            <w:tcW w:w="781" w:type="pct"/>
            <w:tcBorders>
              <w:top w:val="nil"/>
              <w:left w:val="nil"/>
              <w:bottom w:val="single" w:sz="4" w:space="0" w:color="auto"/>
              <w:right w:val="single" w:sz="4" w:space="0" w:color="auto"/>
            </w:tcBorders>
            <w:shd w:val="clear" w:color="000000" w:fill="FFFFFF"/>
            <w:noWrap/>
            <w:hideMark/>
          </w:tcPr>
          <w:p w14:paraId="4C6D7765" w14:textId="58029AA3" w:rsidR="008C3FA5" w:rsidRPr="008C3FA5" w:rsidRDefault="008C3FA5" w:rsidP="008C3FA5">
            <w:pPr>
              <w:jc w:val="right"/>
              <w:outlineLvl w:val="0"/>
              <w:rPr>
                <w:noProof/>
                <w:sz w:val="20"/>
                <w:szCs w:val="20"/>
              </w:rPr>
            </w:pPr>
            <w:bookmarkStart w:id="1984" w:name="_Toc223981582"/>
            <w:r w:rsidRPr="008C3FA5">
              <w:rPr>
                <w:noProof/>
                <w:sz w:val="20"/>
                <w:szCs w:val="20"/>
              </w:rPr>
              <w:t>58.8</w:t>
            </w:r>
            <w:bookmarkEnd w:id="1984"/>
          </w:p>
        </w:tc>
        <w:tc>
          <w:tcPr>
            <w:tcW w:w="781" w:type="pct"/>
            <w:tcBorders>
              <w:top w:val="nil"/>
              <w:left w:val="nil"/>
              <w:bottom w:val="single" w:sz="4" w:space="0" w:color="auto"/>
              <w:right w:val="single" w:sz="4" w:space="0" w:color="auto"/>
            </w:tcBorders>
            <w:shd w:val="clear" w:color="000000" w:fill="FFFFFF"/>
            <w:noWrap/>
            <w:hideMark/>
          </w:tcPr>
          <w:p w14:paraId="1E8A34C3" w14:textId="76F3451D" w:rsidR="008C3FA5" w:rsidRPr="008C3FA5" w:rsidRDefault="008C3FA5" w:rsidP="008C3FA5">
            <w:pPr>
              <w:jc w:val="right"/>
              <w:outlineLvl w:val="0"/>
              <w:rPr>
                <w:noProof/>
                <w:sz w:val="20"/>
                <w:szCs w:val="20"/>
              </w:rPr>
            </w:pPr>
            <w:bookmarkStart w:id="1985" w:name="_Toc223981583"/>
            <w:r w:rsidRPr="008C3FA5">
              <w:rPr>
                <w:noProof/>
                <w:sz w:val="20"/>
                <w:szCs w:val="20"/>
              </w:rPr>
              <w:t>42.2</w:t>
            </w:r>
            <w:bookmarkEnd w:id="1985"/>
          </w:p>
        </w:tc>
      </w:tr>
      <w:tr w:rsidR="008C3FA5" w:rsidRPr="0024720E" w14:paraId="545E33A9"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01A440B4" w14:textId="77777777" w:rsidR="008C3FA5" w:rsidRPr="0024720E" w:rsidRDefault="008C3FA5" w:rsidP="008C3FA5">
            <w:pPr>
              <w:outlineLvl w:val="0"/>
              <w:rPr>
                <w:noProof/>
                <w:sz w:val="20"/>
                <w:szCs w:val="20"/>
              </w:rPr>
            </w:pPr>
            <w:r w:rsidRPr="0024720E">
              <w:rPr>
                <w:noProof/>
                <w:sz w:val="20"/>
                <w:szCs w:val="20"/>
              </w:rPr>
              <w:t xml:space="preserve"> </w:t>
            </w:r>
            <w:bookmarkStart w:id="1986" w:name="_Toc223981584"/>
            <w:r w:rsidRPr="0024720E">
              <w:rPr>
                <w:noProof/>
                <w:sz w:val="20"/>
                <w:szCs w:val="20"/>
              </w:rPr>
              <w:t>Italy</w:t>
            </w:r>
            <w:bookmarkEnd w:id="1986"/>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1552F9C2" w14:textId="6DAF6AEF" w:rsidR="008C3FA5" w:rsidRPr="008C3FA5" w:rsidRDefault="008C3FA5" w:rsidP="008C3FA5">
            <w:pPr>
              <w:jc w:val="right"/>
              <w:outlineLvl w:val="0"/>
              <w:rPr>
                <w:noProof/>
                <w:sz w:val="20"/>
                <w:szCs w:val="20"/>
              </w:rPr>
            </w:pPr>
            <w:bookmarkStart w:id="1987" w:name="_Toc223981585"/>
            <w:r w:rsidRPr="008C3FA5">
              <w:rPr>
                <w:noProof/>
                <w:sz w:val="20"/>
                <w:szCs w:val="20"/>
              </w:rPr>
              <w:t>207.9</w:t>
            </w:r>
            <w:bookmarkEnd w:id="1987"/>
          </w:p>
        </w:tc>
        <w:tc>
          <w:tcPr>
            <w:tcW w:w="781" w:type="pct"/>
            <w:tcBorders>
              <w:top w:val="nil"/>
              <w:left w:val="nil"/>
              <w:bottom w:val="single" w:sz="4" w:space="0" w:color="auto"/>
              <w:right w:val="single" w:sz="4" w:space="0" w:color="auto"/>
            </w:tcBorders>
            <w:shd w:val="clear" w:color="000000" w:fill="FFFFFF"/>
            <w:noWrap/>
            <w:hideMark/>
          </w:tcPr>
          <w:p w14:paraId="2B443C14" w14:textId="7DA64756" w:rsidR="008C3FA5" w:rsidRPr="008C3FA5" w:rsidRDefault="008C3FA5" w:rsidP="008C3FA5">
            <w:pPr>
              <w:jc w:val="right"/>
              <w:outlineLvl w:val="0"/>
              <w:rPr>
                <w:noProof/>
                <w:sz w:val="20"/>
                <w:szCs w:val="20"/>
              </w:rPr>
            </w:pPr>
            <w:bookmarkStart w:id="1988" w:name="_Toc223981586"/>
            <w:r w:rsidRPr="008C3FA5">
              <w:rPr>
                <w:noProof/>
                <w:sz w:val="20"/>
                <w:szCs w:val="20"/>
              </w:rPr>
              <w:t>31.4</w:t>
            </w:r>
            <w:bookmarkEnd w:id="1988"/>
          </w:p>
        </w:tc>
        <w:tc>
          <w:tcPr>
            <w:tcW w:w="781" w:type="pct"/>
            <w:tcBorders>
              <w:top w:val="nil"/>
              <w:left w:val="nil"/>
              <w:bottom w:val="single" w:sz="4" w:space="0" w:color="auto"/>
              <w:right w:val="single" w:sz="4" w:space="0" w:color="auto"/>
            </w:tcBorders>
            <w:shd w:val="clear" w:color="000000" w:fill="FFFFFF"/>
            <w:noWrap/>
            <w:hideMark/>
          </w:tcPr>
          <w:p w14:paraId="73C19DDF" w14:textId="6F0B9976" w:rsidR="008C3FA5" w:rsidRPr="008C3FA5" w:rsidRDefault="008C3FA5" w:rsidP="008C3FA5">
            <w:pPr>
              <w:jc w:val="right"/>
              <w:outlineLvl w:val="0"/>
              <w:rPr>
                <w:noProof/>
                <w:sz w:val="20"/>
                <w:szCs w:val="20"/>
              </w:rPr>
            </w:pPr>
            <w:bookmarkStart w:id="1989" w:name="_Toc223981587"/>
            <w:r w:rsidRPr="008C3FA5">
              <w:rPr>
                <w:noProof/>
                <w:sz w:val="20"/>
                <w:szCs w:val="20"/>
              </w:rPr>
              <w:t>50.4</w:t>
            </w:r>
            <w:bookmarkEnd w:id="1989"/>
          </w:p>
        </w:tc>
        <w:tc>
          <w:tcPr>
            <w:tcW w:w="781" w:type="pct"/>
            <w:tcBorders>
              <w:top w:val="nil"/>
              <w:left w:val="nil"/>
              <w:bottom w:val="single" w:sz="4" w:space="0" w:color="auto"/>
              <w:right w:val="single" w:sz="4" w:space="0" w:color="auto"/>
            </w:tcBorders>
            <w:shd w:val="clear" w:color="000000" w:fill="FFFFFF"/>
            <w:noWrap/>
            <w:hideMark/>
          </w:tcPr>
          <w:p w14:paraId="65D26AF5" w14:textId="2B0B4160" w:rsidR="008C3FA5" w:rsidRPr="008C3FA5" w:rsidRDefault="008C3FA5" w:rsidP="008C3FA5">
            <w:pPr>
              <w:jc w:val="right"/>
              <w:outlineLvl w:val="0"/>
              <w:rPr>
                <w:noProof/>
                <w:sz w:val="20"/>
                <w:szCs w:val="20"/>
              </w:rPr>
            </w:pPr>
            <w:bookmarkStart w:id="1990" w:name="_Toc223981588"/>
            <w:r w:rsidRPr="008C3FA5">
              <w:rPr>
                <w:noProof/>
                <w:sz w:val="20"/>
                <w:szCs w:val="20"/>
              </w:rPr>
              <w:t>36.1</w:t>
            </w:r>
            <w:bookmarkEnd w:id="1990"/>
          </w:p>
        </w:tc>
      </w:tr>
      <w:tr w:rsidR="008C3FA5" w:rsidRPr="0024720E" w14:paraId="3497F6C6"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3CF0C17F" w14:textId="77777777" w:rsidR="008C3FA5" w:rsidRPr="0024720E" w:rsidRDefault="008C3FA5" w:rsidP="008C3FA5">
            <w:pPr>
              <w:outlineLvl w:val="0"/>
              <w:rPr>
                <w:noProof/>
                <w:sz w:val="20"/>
                <w:szCs w:val="20"/>
              </w:rPr>
            </w:pPr>
            <w:r w:rsidRPr="0024720E">
              <w:rPr>
                <w:noProof/>
                <w:sz w:val="20"/>
                <w:szCs w:val="20"/>
              </w:rPr>
              <w:t xml:space="preserve"> </w:t>
            </w:r>
            <w:bookmarkStart w:id="1991" w:name="_Toc223981589"/>
            <w:r w:rsidRPr="0024720E">
              <w:rPr>
                <w:noProof/>
                <w:sz w:val="20"/>
                <w:szCs w:val="20"/>
              </w:rPr>
              <w:t>Belgium</w:t>
            </w:r>
            <w:bookmarkEnd w:id="1991"/>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7B3BFC93" w14:textId="69D7BCF0" w:rsidR="008C3FA5" w:rsidRPr="008C3FA5" w:rsidRDefault="008C3FA5" w:rsidP="008C3FA5">
            <w:pPr>
              <w:jc w:val="right"/>
              <w:outlineLvl w:val="0"/>
              <w:rPr>
                <w:noProof/>
                <w:sz w:val="20"/>
                <w:szCs w:val="20"/>
              </w:rPr>
            </w:pPr>
            <w:bookmarkStart w:id="1992" w:name="_Toc223981590"/>
            <w:r w:rsidRPr="008C3FA5">
              <w:rPr>
                <w:noProof/>
                <w:sz w:val="20"/>
                <w:szCs w:val="20"/>
              </w:rPr>
              <w:t>207.9</w:t>
            </w:r>
            <w:bookmarkEnd w:id="1992"/>
          </w:p>
        </w:tc>
        <w:tc>
          <w:tcPr>
            <w:tcW w:w="781" w:type="pct"/>
            <w:tcBorders>
              <w:top w:val="nil"/>
              <w:left w:val="nil"/>
              <w:bottom w:val="single" w:sz="4" w:space="0" w:color="auto"/>
              <w:right w:val="single" w:sz="4" w:space="0" w:color="auto"/>
            </w:tcBorders>
            <w:shd w:val="clear" w:color="000000" w:fill="FFFFFF"/>
            <w:noWrap/>
            <w:hideMark/>
          </w:tcPr>
          <w:p w14:paraId="475592A1" w14:textId="147844D1" w:rsidR="008C3FA5" w:rsidRPr="008C3FA5" w:rsidRDefault="008C3FA5" w:rsidP="008C3FA5">
            <w:pPr>
              <w:jc w:val="right"/>
              <w:outlineLvl w:val="0"/>
              <w:rPr>
                <w:noProof/>
                <w:sz w:val="20"/>
                <w:szCs w:val="20"/>
              </w:rPr>
            </w:pPr>
            <w:bookmarkStart w:id="1993" w:name="_Toc223981591"/>
            <w:r w:rsidRPr="008C3FA5">
              <w:rPr>
                <w:noProof/>
                <w:sz w:val="20"/>
                <w:szCs w:val="20"/>
              </w:rPr>
              <w:t>31.4</w:t>
            </w:r>
            <w:bookmarkEnd w:id="1993"/>
          </w:p>
        </w:tc>
        <w:tc>
          <w:tcPr>
            <w:tcW w:w="781" w:type="pct"/>
            <w:tcBorders>
              <w:top w:val="nil"/>
              <w:left w:val="nil"/>
              <w:bottom w:val="single" w:sz="4" w:space="0" w:color="auto"/>
              <w:right w:val="single" w:sz="4" w:space="0" w:color="auto"/>
            </w:tcBorders>
            <w:shd w:val="clear" w:color="000000" w:fill="FFFFFF"/>
            <w:noWrap/>
            <w:hideMark/>
          </w:tcPr>
          <w:p w14:paraId="38E714D0" w14:textId="64F4C28A" w:rsidR="008C3FA5" w:rsidRPr="008C3FA5" w:rsidRDefault="008C3FA5" w:rsidP="008C3FA5">
            <w:pPr>
              <w:jc w:val="right"/>
              <w:outlineLvl w:val="0"/>
              <w:rPr>
                <w:noProof/>
                <w:sz w:val="20"/>
                <w:szCs w:val="20"/>
              </w:rPr>
            </w:pPr>
            <w:bookmarkStart w:id="1994" w:name="_Toc223981592"/>
            <w:r w:rsidRPr="008C3FA5">
              <w:rPr>
                <w:noProof/>
                <w:sz w:val="20"/>
                <w:szCs w:val="20"/>
              </w:rPr>
              <w:t>50.4</w:t>
            </w:r>
            <w:bookmarkEnd w:id="1994"/>
          </w:p>
        </w:tc>
        <w:tc>
          <w:tcPr>
            <w:tcW w:w="781" w:type="pct"/>
            <w:tcBorders>
              <w:top w:val="nil"/>
              <w:left w:val="nil"/>
              <w:bottom w:val="single" w:sz="4" w:space="0" w:color="auto"/>
              <w:right w:val="single" w:sz="4" w:space="0" w:color="auto"/>
            </w:tcBorders>
            <w:shd w:val="clear" w:color="000000" w:fill="FFFFFF"/>
            <w:noWrap/>
            <w:hideMark/>
          </w:tcPr>
          <w:p w14:paraId="14163FBD" w14:textId="1CD82651" w:rsidR="008C3FA5" w:rsidRPr="008C3FA5" w:rsidRDefault="008C3FA5" w:rsidP="008C3FA5">
            <w:pPr>
              <w:jc w:val="right"/>
              <w:outlineLvl w:val="0"/>
              <w:rPr>
                <w:noProof/>
                <w:sz w:val="20"/>
                <w:szCs w:val="20"/>
              </w:rPr>
            </w:pPr>
            <w:bookmarkStart w:id="1995" w:name="_Toc223981593"/>
            <w:r w:rsidRPr="008C3FA5">
              <w:rPr>
                <w:noProof/>
                <w:sz w:val="20"/>
                <w:szCs w:val="20"/>
              </w:rPr>
              <w:t>36.1</w:t>
            </w:r>
            <w:bookmarkEnd w:id="1995"/>
          </w:p>
        </w:tc>
      </w:tr>
      <w:tr w:rsidR="008C3FA5" w:rsidRPr="0024720E" w14:paraId="4004D8C6"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4E2DDD9" w14:textId="77777777" w:rsidR="008C3FA5" w:rsidRPr="0024720E" w:rsidRDefault="008C3FA5" w:rsidP="008C3FA5">
            <w:pPr>
              <w:outlineLvl w:val="0"/>
              <w:rPr>
                <w:noProof/>
                <w:sz w:val="20"/>
                <w:szCs w:val="20"/>
              </w:rPr>
            </w:pPr>
            <w:r w:rsidRPr="0024720E">
              <w:rPr>
                <w:noProof/>
                <w:sz w:val="20"/>
                <w:szCs w:val="20"/>
              </w:rPr>
              <w:t xml:space="preserve"> </w:t>
            </w:r>
            <w:bookmarkStart w:id="1996" w:name="_Toc223981594"/>
            <w:r w:rsidRPr="0024720E">
              <w:rPr>
                <w:noProof/>
                <w:sz w:val="20"/>
                <w:szCs w:val="20"/>
              </w:rPr>
              <w:t>Portugal</w:t>
            </w:r>
            <w:bookmarkEnd w:id="1996"/>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E65B874" w14:textId="2B42A068" w:rsidR="008C3FA5" w:rsidRPr="008C3FA5" w:rsidRDefault="008C3FA5" w:rsidP="008C3FA5">
            <w:pPr>
              <w:jc w:val="right"/>
              <w:outlineLvl w:val="0"/>
              <w:rPr>
                <w:noProof/>
                <w:sz w:val="20"/>
                <w:szCs w:val="20"/>
              </w:rPr>
            </w:pPr>
            <w:bookmarkStart w:id="1997" w:name="_Toc223981595"/>
            <w:r w:rsidRPr="008C3FA5">
              <w:rPr>
                <w:noProof/>
                <w:sz w:val="20"/>
                <w:szCs w:val="20"/>
              </w:rPr>
              <w:t>69.3</w:t>
            </w:r>
            <w:bookmarkEnd w:id="1997"/>
          </w:p>
        </w:tc>
        <w:tc>
          <w:tcPr>
            <w:tcW w:w="781" w:type="pct"/>
            <w:tcBorders>
              <w:top w:val="nil"/>
              <w:left w:val="nil"/>
              <w:bottom w:val="single" w:sz="4" w:space="0" w:color="auto"/>
              <w:right w:val="single" w:sz="4" w:space="0" w:color="auto"/>
            </w:tcBorders>
            <w:shd w:val="clear" w:color="000000" w:fill="FFFFFF"/>
            <w:noWrap/>
            <w:hideMark/>
          </w:tcPr>
          <w:p w14:paraId="2F622630" w14:textId="36108B5A" w:rsidR="008C3FA5" w:rsidRPr="008C3FA5" w:rsidRDefault="008C3FA5" w:rsidP="008C3FA5">
            <w:pPr>
              <w:jc w:val="right"/>
              <w:outlineLvl w:val="0"/>
              <w:rPr>
                <w:noProof/>
                <w:sz w:val="20"/>
                <w:szCs w:val="20"/>
              </w:rPr>
            </w:pPr>
            <w:bookmarkStart w:id="1998" w:name="_Toc223981596"/>
            <w:r w:rsidRPr="008C3FA5">
              <w:rPr>
                <w:noProof/>
                <w:sz w:val="20"/>
                <w:szCs w:val="20"/>
              </w:rPr>
              <w:t>10.5</w:t>
            </w:r>
            <w:bookmarkEnd w:id="1998"/>
          </w:p>
        </w:tc>
        <w:tc>
          <w:tcPr>
            <w:tcW w:w="781" w:type="pct"/>
            <w:tcBorders>
              <w:top w:val="nil"/>
              <w:left w:val="nil"/>
              <w:bottom w:val="single" w:sz="4" w:space="0" w:color="auto"/>
              <w:right w:val="single" w:sz="4" w:space="0" w:color="auto"/>
            </w:tcBorders>
            <w:shd w:val="clear" w:color="000000" w:fill="FFFFFF"/>
            <w:noWrap/>
            <w:hideMark/>
          </w:tcPr>
          <w:p w14:paraId="635FD66D" w14:textId="33BEBFCE" w:rsidR="008C3FA5" w:rsidRPr="008C3FA5" w:rsidRDefault="008C3FA5" w:rsidP="008C3FA5">
            <w:pPr>
              <w:jc w:val="right"/>
              <w:outlineLvl w:val="0"/>
              <w:rPr>
                <w:noProof/>
                <w:sz w:val="20"/>
                <w:szCs w:val="20"/>
              </w:rPr>
            </w:pPr>
            <w:bookmarkStart w:id="1999" w:name="_Toc223981597"/>
            <w:r w:rsidRPr="008C3FA5">
              <w:rPr>
                <w:noProof/>
                <w:sz w:val="20"/>
                <w:szCs w:val="20"/>
              </w:rPr>
              <w:t>16.8</w:t>
            </w:r>
            <w:bookmarkEnd w:id="1999"/>
          </w:p>
        </w:tc>
        <w:tc>
          <w:tcPr>
            <w:tcW w:w="781" w:type="pct"/>
            <w:tcBorders>
              <w:top w:val="nil"/>
              <w:left w:val="nil"/>
              <w:bottom w:val="single" w:sz="4" w:space="0" w:color="auto"/>
              <w:right w:val="single" w:sz="4" w:space="0" w:color="auto"/>
            </w:tcBorders>
            <w:shd w:val="clear" w:color="000000" w:fill="FFFFFF"/>
            <w:noWrap/>
            <w:hideMark/>
          </w:tcPr>
          <w:p w14:paraId="6EB20F60" w14:textId="37D11FF2" w:rsidR="008C3FA5" w:rsidRPr="008C3FA5" w:rsidRDefault="008C3FA5" w:rsidP="008C3FA5">
            <w:pPr>
              <w:jc w:val="right"/>
              <w:outlineLvl w:val="0"/>
              <w:rPr>
                <w:noProof/>
                <w:sz w:val="20"/>
                <w:szCs w:val="20"/>
              </w:rPr>
            </w:pPr>
            <w:bookmarkStart w:id="2000" w:name="_Toc223981598"/>
            <w:r w:rsidRPr="008C3FA5">
              <w:rPr>
                <w:noProof/>
                <w:sz w:val="20"/>
                <w:szCs w:val="20"/>
              </w:rPr>
              <w:t>12.0</w:t>
            </w:r>
            <w:bookmarkEnd w:id="2000"/>
          </w:p>
        </w:tc>
      </w:tr>
      <w:tr w:rsidR="008C3FA5" w:rsidRPr="0024720E" w14:paraId="19F178BE"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14FD0A5C" w14:textId="77777777" w:rsidR="008C3FA5" w:rsidRPr="0024720E" w:rsidRDefault="008C3FA5" w:rsidP="008C3FA5">
            <w:pPr>
              <w:outlineLvl w:val="0"/>
              <w:rPr>
                <w:noProof/>
                <w:sz w:val="20"/>
                <w:szCs w:val="20"/>
              </w:rPr>
            </w:pPr>
            <w:r w:rsidRPr="0024720E">
              <w:rPr>
                <w:noProof/>
                <w:sz w:val="20"/>
                <w:szCs w:val="20"/>
              </w:rPr>
              <w:t xml:space="preserve"> </w:t>
            </w:r>
            <w:bookmarkStart w:id="2001" w:name="_Toc223981599"/>
            <w:r w:rsidRPr="0024720E">
              <w:rPr>
                <w:noProof/>
                <w:sz w:val="20"/>
                <w:szCs w:val="20"/>
              </w:rPr>
              <w:t>Malta</w:t>
            </w:r>
            <w:bookmarkEnd w:id="2001"/>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A832A83" w14:textId="6CC36625" w:rsidR="008C3FA5" w:rsidRPr="008C3FA5" w:rsidRDefault="008C3FA5" w:rsidP="008C3FA5">
            <w:pPr>
              <w:jc w:val="right"/>
              <w:outlineLvl w:val="0"/>
              <w:rPr>
                <w:noProof/>
                <w:sz w:val="20"/>
                <w:szCs w:val="20"/>
              </w:rPr>
            </w:pPr>
            <w:bookmarkStart w:id="2002" w:name="_Toc223981600"/>
            <w:r w:rsidRPr="008C3FA5">
              <w:rPr>
                <w:noProof/>
                <w:sz w:val="20"/>
                <w:szCs w:val="20"/>
              </w:rPr>
              <w:t>34.6</w:t>
            </w:r>
            <w:bookmarkEnd w:id="2002"/>
          </w:p>
        </w:tc>
        <w:tc>
          <w:tcPr>
            <w:tcW w:w="781" w:type="pct"/>
            <w:tcBorders>
              <w:top w:val="nil"/>
              <w:left w:val="nil"/>
              <w:bottom w:val="single" w:sz="4" w:space="0" w:color="auto"/>
              <w:right w:val="single" w:sz="4" w:space="0" w:color="auto"/>
            </w:tcBorders>
            <w:shd w:val="clear" w:color="000000" w:fill="FFFFFF"/>
            <w:noWrap/>
            <w:hideMark/>
          </w:tcPr>
          <w:p w14:paraId="2502BB2F" w14:textId="1F32947A" w:rsidR="008C3FA5" w:rsidRPr="008C3FA5" w:rsidRDefault="008C3FA5" w:rsidP="008C3FA5">
            <w:pPr>
              <w:jc w:val="right"/>
              <w:outlineLvl w:val="0"/>
              <w:rPr>
                <w:noProof/>
                <w:sz w:val="20"/>
                <w:szCs w:val="20"/>
              </w:rPr>
            </w:pPr>
            <w:bookmarkStart w:id="2003" w:name="_Toc223981601"/>
            <w:r w:rsidRPr="008C3FA5">
              <w:rPr>
                <w:noProof/>
                <w:sz w:val="20"/>
                <w:szCs w:val="20"/>
              </w:rPr>
              <w:t>5.2</w:t>
            </w:r>
            <w:bookmarkEnd w:id="2003"/>
          </w:p>
        </w:tc>
        <w:tc>
          <w:tcPr>
            <w:tcW w:w="781" w:type="pct"/>
            <w:tcBorders>
              <w:top w:val="nil"/>
              <w:left w:val="nil"/>
              <w:bottom w:val="single" w:sz="4" w:space="0" w:color="auto"/>
              <w:right w:val="single" w:sz="4" w:space="0" w:color="auto"/>
            </w:tcBorders>
            <w:shd w:val="clear" w:color="000000" w:fill="FFFFFF"/>
            <w:noWrap/>
            <w:hideMark/>
          </w:tcPr>
          <w:p w14:paraId="74D3BA82" w14:textId="7276C9AF" w:rsidR="008C3FA5" w:rsidRPr="008C3FA5" w:rsidRDefault="008C3FA5" w:rsidP="008C3FA5">
            <w:pPr>
              <w:jc w:val="right"/>
              <w:outlineLvl w:val="0"/>
              <w:rPr>
                <w:noProof/>
                <w:sz w:val="20"/>
                <w:szCs w:val="20"/>
              </w:rPr>
            </w:pPr>
            <w:bookmarkStart w:id="2004" w:name="_Toc223981602"/>
            <w:r w:rsidRPr="008C3FA5">
              <w:rPr>
                <w:noProof/>
                <w:sz w:val="20"/>
                <w:szCs w:val="20"/>
              </w:rPr>
              <w:t>8.4</w:t>
            </w:r>
            <w:bookmarkEnd w:id="2004"/>
          </w:p>
        </w:tc>
        <w:tc>
          <w:tcPr>
            <w:tcW w:w="781" w:type="pct"/>
            <w:tcBorders>
              <w:top w:val="nil"/>
              <w:left w:val="nil"/>
              <w:bottom w:val="single" w:sz="4" w:space="0" w:color="auto"/>
              <w:right w:val="single" w:sz="4" w:space="0" w:color="auto"/>
            </w:tcBorders>
            <w:shd w:val="clear" w:color="000000" w:fill="FFFFFF"/>
            <w:noWrap/>
            <w:hideMark/>
          </w:tcPr>
          <w:p w14:paraId="79A71585" w14:textId="522435B6" w:rsidR="008C3FA5" w:rsidRPr="008C3FA5" w:rsidRDefault="008C3FA5" w:rsidP="008C3FA5">
            <w:pPr>
              <w:jc w:val="right"/>
              <w:outlineLvl w:val="0"/>
              <w:rPr>
                <w:noProof/>
                <w:sz w:val="20"/>
                <w:szCs w:val="20"/>
              </w:rPr>
            </w:pPr>
            <w:bookmarkStart w:id="2005" w:name="_Toc223981603"/>
            <w:r w:rsidRPr="008C3FA5">
              <w:rPr>
                <w:noProof/>
                <w:sz w:val="20"/>
                <w:szCs w:val="20"/>
              </w:rPr>
              <w:t>6.0</w:t>
            </w:r>
            <w:bookmarkEnd w:id="2005"/>
          </w:p>
        </w:tc>
      </w:tr>
      <w:tr w:rsidR="008C3FA5" w:rsidRPr="0024720E" w14:paraId="24E13030"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FB1DA60" w14:textId="77777777" w:rsidR="008C3FA5" w:rsidRPr="0024720E" w:rsidRDefault="008C3FA5" w:rsidP="008C3FA5">
            <w:pPr>
              <w:outlineLvl w:val="0"/>
              <w:rPr>
                <w:noProof/>
                <w:sz w:val="20"/>
                <w:szCs w:val="20"/>
              </w:rPr>
            </w:pPr>
            <w:r w:rsidRPr="0024720E">
              <w:rPr>
                <w:noProof/>
                <w:sz w:val="20"/>
                <w:szCs w:val="20"/>
              </w:rPr>
              <w:t xml:space="preserve"> </w:t>
            </w:r>
            <w:bookmarkStart w:id="2006" w:name="_Toc223981604"/>
            <w:r w:rsidRPr="0024720E">
              <w:rPr>
                <w:noProof/>
                <w:sz w:val="20"/>
                <w:szCs w:val="20"/>
              </w:rPr>
              <w:t>Cyprus</w:t>
            </w:r>
            <w:bookmarkEnd w:id="2006"/>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5138E69" w14:textId="522D59C3" w:rsidR="008C3FA5" w:rsidRPr="008C3FA5" w:rsidRDefault="008C3FA5" w:rsidP="008C3FA5">
            <w:pPr>
              <w:jc w:val="right"/>
              <w:outlineLvl w:val="0"/>
              <w:rPr>
                <w:noProof/>
                <w:sz w:val="20"/>
                <w:szCs w:val="20"/>
              </w:rPr>
            </w:pPr>
            <w:bookmarkStart w:id="2007" w:name="_Toc223981605"/>
            <w:r w:rsidRPr="008C3FA5">
              <w:rPr>
                <w:noProof/>
                <w:sz w:val="20"/>
                <w:szCs w:val="20"/>
              </w:rPr>
              <w:t>34.6</w:t>
            </w:r>
            <w:bookmarkEnd w:id="2007"/>
          </w:p>
        </w:tc>
        <w:tc>
          <w:tcPr>
            <w:tcW w:w="781" w:type="pct"/>
            <w:tcBorders>
              <w:top w:val="nil"/>
              <w:left w:val="nil"/>
              <w:bottom w:val="single" w:sz="4" w:space="0" w:color="auto"/>
              <w:right w:val="single" w:sz="4" w:space="0" w:color="auto"/>
            </w:tcBorders>
            <w:shd w:val="clear" w:color="000000" w:fill="FFFFFF"/>
            <w:noWrap/>
            <w:hideMark/>
          </w:tcPr>
          <w:p w14:paraId="1A4B1D73" w14:textId="30D97518" w:rsidR="008C3FA5" w:rsidRPr="008C3FA5" w:rsidRDefault="008C3FA5" w:rsidP="008C3FA5">
            <w:pPr>
              <w:jc w:val="right"/>
              <w:outlineLvl w:val="0"/>
              <w:rPr>
                <w:noProof/>
                <w:sz w:val="20"/>
                <w:szCs w:val="20"/>
              </w:rPr>
            </w:pPr>
            <w:bookmarkStart w:id="2008" w:name="_Toc223981606"/>
            <w:r w:rsidRPr="008C3FA5">
              <w:rPr>
                <w:noProof/>
                <w:sz w:val="20"/>
                <w:szCs w:val="20"/>
              </w:rPr>
              <w:t>5.2</w:t>
            </w:r>
            <w:bookmarkEnd w:id="2008"/>
          </w:p>
        </w:tc>
        <w:tc>
          <w:tcPr>
            <w:tcW w:w="781" w:type="pct"/>
            <w:tcBorders>
              <w:top w:val="nil"/>
              <w:left w:val="nil"/>
              <w:bottom w:val="single" w:sz="4" w:space="0" w:color="auto"/>
              <w:right w:val="single" w:sz="4" w:space="0" w:color="auto"/>
            </w:tcBorders>
            <w:shd w:val="clear" w:color="000000" w:fill="FFFFFF"/>
            <w:noWrap/>
            <w:hideMark/>
          </w:tcPr>
          <w:p w14:paraId="4EB58D4F" w14:textId="216DD8BC" w:rsidR="008C3FA5" w:rsidRPr="008C3FA5" w:rsidRDefault="008C3FA5" w:rsidP="008C3FA5">
            <w:pPr>
              <w:jc w:val="right"/>
              <w:outlineLvl w:val="0"/>
              <w:rPr>
                <w:noProof/>
                <w:sz w:val="20"/>
                <w:szCs w:val="20"/>
              </w:rPr>
            </w:pPr>
            <w:bookmarkStart w:id="2009" w:name="_Toc223981607"/>
            <w:r w:rsidRPr="008C3FA5">
              <w:rPr>
                <w:noProof/>
                <w:sz w:val="20"/>
                <w:szCs w:val="20"/>
              </w:rPr>
              <w:t>8.4</w:t>
            </w:r>
            <w:bookmarkEnd w:id="2009"/>
          </w:p>
        </w:tc>
        <w:tc>
          <w:tcPr>
            <w:tcW w:w="781" w:type="pct"/>
            <w:tcBorders>
              <w:top w:val="nil"/>
              <w:left w:val="nil"/>
              <w:bottom w:val="single" w:sz="4" w:space="0" w:color="auto"/>
              <w:right w:val="single" w:sz="4" w:space="0" w:color="auto"/>
            </w:tcBorders>
            <w:shd w:val="clear" w:color="000000" w:fill="FFFFFF"/>
            <w:noWrap/>
            <w:hideMark/>
          </w:tcPr>
          <w:p w14:paraId="25FAE2F2" w14:textId="0E2074EC" w:rsidR="008C3FA5" w:rsidRPr="008C3FA5" w:rsidRDefault="008C3FA5" w:rsidP="008C3FA5">
            <w:pPr>
              <w:jc w:val="right"/>
              <w:outlineLvl w:val="0"/>
              <w:rPr>
                <w:noProof/>
                <w:sz w:val="20"/>
                <w:szCs w:val="20"/>
              </w:rPr>
            </w:pPr>
            <w:bookmarkStart w:id="2010" w:name="_Toc223981608"/>
            <w:r w:rsidRPr="008C3FA5">
              <w:rPr>
                <w:noProof/>
                <w:sz w:val="20"/>
                <w:szCs w:val="20"/>
              </w:rPr>
              <w:t>6.0</w:t>
            </w:r>
            <w:bookmarkEnd w:id="2010"/>
          </w:p>
        </w:tc>
      </w:tr>
      <w:tr w:rsidR="008C3FA5" w:rsidRPr="0024720E" w14:paraId="6579E462"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6E0265D8" w14:textId="77777777" w:rsidR="008C3FA5" w:rsidRPr="0024720E" w:rsidRDefault="008C3FA5" w:rsidP="008C3FA5">
            <w:pPr>
              <w:outlineLvl w:val="0"/>
              <w:rPr>
                <w:noProof/>
                <w:sz w:val="20"/>
                <w:szCs w:val="20"/>
              </w:rPr>
            </w:pPr>
            <w:r w:rsidRPr="0024720E">
              <w:rPr>
                <w:noProof/>
                <w:sz w:val="20"/>
                <w:szCs w:val="20"/>
              </w:rPr>
              <w:t xml:space="preserve"> </w:t>
            </w:r>
            <w:bookmarkStart w:id="2011" w:name="_Toc223981609"/>
            <w:r w:rsidRPr="0024720E">
              <w:rPr>
                <w:noProof/>
                <w:sz w:val="20"/>
                <w:szCs w:val="20"/>
              </w:rPr>
              <w:t>Greece</w:t>
            </w:r>
            <w:bookmarkEnd w:id="2011"/>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6D0A0973" w14:textId="0E32464C" w:rsidR="008C3FA5" w:rsidRPr="008C3FA5" w:rsidRDefault="008C3FA5" w:rsidP="008C3FA5">
            <w:pPr>
              <w:jc w:val="right"/>
              <w:outlineLvl w:val="0"/>
              <w:rPr>
                <w:noProof/>
                <w:sz w:val="20"/>
                <w:szCs w:val="20"/>
              </w:rPr>
            </w:pPr>
            <w:bookmarkStart w:id="2012" w:name="_Toc223981610"/>
            <w:r w:rsidRPr="008C3FA5">
              <w:rPr>
                <w:noProof/>
                <w:sz w:val="20"/>
                <w:szCs w:val="20"/>
              </w:rPr>
              <w:t>69.3</w:t>
            </w:r>
            <w:bookmarkEnd w:id="2012"/>
          </w:p>
        </w:tc>
        <w:tc>
          <w:tcPr>
            <w:tcW w:w="781" w:type="pct"/>
            <w:tcBorders>
              <w:top w:val="nil"/>
              <w:left w:val="nil"/>
              <w:bottom w:val="single" w:sz="4" w:space="0" w:color="auto"/>
              <w:right w:val="single" w:sz="4" w:space="0" w:color="auto"/>
            </w:tcBorders>
            <w:shd w:val="clear" w:color="000000" w:fill="FFFFFF"/>
            <w:noWrap/>
            <w:hideMark/>
          </w:tcPr>
          <w:p w14:paraId="351975E4" w14:textId="39BF8CCE" w:rsidR="008C3FA5" w:rsidRPr="008C3FA5" w:rsidRDefault="008C3FA5" w:rsidP="008C3FA5">
            <w:pPr>
              <w:jc w:val="right"/>
              <w:outlineLvl w:val="0"/>
              <w:rPr>
                <w:noProof/>
                <w:sz w:val="20"/>
                <w:szCs w:val="20"/>
              </w:rPr>
            </w:pPr>
            <w:bookmarkStart w:id="2013" w:name="_Toc223981611"/>
            <w:r w:rsidRPr="008C3FA5">
              <w:rPr>
                <w:noProof/>
                <w:sz w:val="20"/>
                <w:szCs w:val="20"/>
              </w:rPr>
              <w:t>10.5</w:t>
            </w:r>
            <w:bookmarkEnd w:id="2013"/>
          </w:p>
        </w:tc>
        <w:tc>
          <w:tcPr>
            <w:tcW w:w="781" w:type="pct"/>
            <w:tcBorders>
              <w:top w:val="nil"/>
              <w:left w:val="nil"/>
              <w:bottom w:val="single" w:sz="4" w:space="0" w:color="auto"/>
              <w:right w:val="single" w:sz="4" w:space="0" w:color="auto"/>
            </w:tcBorders>
            <w:shd w:val="clear" w:color="000000" w:fill="FFFFFF"/>
            <w:noWrap/>
            <w:hideMark/>
          </w:tcPr>
          <w:p w14:paraId="2CCC8212" w14:textId="04898159" w:rsidR="008C3FA5" w:rsidRPr="008C3FA5" w:rsidRDefault="008C3FA5" w:rsidP="008C3FA5">
            <w:pPr>
              <w:jc w:val="right"/>
              <w:outlineLvl w:val="0"/>
              <w:rPr>
                <w:noProof/>
                <w:sz w:val="20"/>
                <w:szCs w:val="20"/>
              </w:rPr>
            </w:pPr>
            <w:bookmarkStart w:id="2014" w:name="_Toc223981612"/>
            <w:r w:rsidRPr="008C3FA5">
              <w:rPr>
                <w:noProof/>
                <w:sz w:val="20"/>
                <w:szCs w:val="20"/>
              </w:rPr>
              <w:t>16.8</w:t>
            </w:r>
            <w:bookmarkEnd w:id="2014"/>
          </w:p>
        </w:tc>
        <w:tc>
          <w:tcPr>
            <w:tcW w:w="781" w:type="pct"/>
            <w:tcBorders>
              <w:top w:val="nil"/>
              <w:left w:val="nil"/>
              <w:bottom w:val="single" w:sz="4" w:space="0" w:color="auto"/>
              <w:right w:val="single" w:sz="4" w:space="0" w:color="auto"/>
            </w:tcBorders>
            <w:shd w:val="clear" w:color="000000" w:fill="FFFFFF"/>
            <w:noWrap/>
            <w:hideMark/>
          </w:tcPr>
          <w:p w14:paraId="3CA6C900" w14:textId="2A33E3E3" w:rsidR="008C3FA5" w:rsidRPr="008C3FA5" w:rsidRDefault="008C3FA5" w:rsidP="008C3FA5">
            <w:pPr>
              <w:jc w:val="right"/>
              <w:outlineLvl w:val="0"/>
              <w:rPr>
                <w:noProof/>
                <w:sz w:val="20"/>
                <w:szCs w:val="20"/>
              </w:rPr>
            </w:pPr>
            <w:bookmarkStart w:id="2015" w:name="_Toc223981613"/>
            <w:r w:rsidRPr="008C3FA5">
              <w:rPr>
                <w:noProof/>
                <w:sz w:val="20"/>
                <w:szCs w:val="20"/>
              </w:rPr>
              <w:t>12.0</w:t>
            </w:r>
            <w:bookmarkEnd w:id="2015"/>
          </w:p>
        </w:tc>
      </w:tr>
      <w:tr w:rsidR="008C3FA5" w:rsidRPr="0024720E" w14:paraId="477B06AC"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103B6636" w14:textId="77777777" w:rsidR="008C3FA5" w:rsidRPr="0024720E" w:rsidRDefault="008C3FA5" w:rsidP="008C3FA5">
            <w:pPr>
              <w:outlineLvl w:val="0"/>
              <w:rPr>
                <w:noProof/>
                <w:sz w:val="20"/>
                <w:szCs w:val="20"/>
              </w:rPr>
            </w:pPr>
            <w:r w:rsidRPr="0024720E">
              <w:rPr>
                <w:noProof/>
                <w:sz w:val="20"/>
                <w:szCs w:val="20"/>
              </w:rPr>
              <w:t xml:space="preserve"> </w:t>
            </w:r>
            <w:bookmarkStart w:id="2016" w:name="_Toc223981614"/>
            <w:r w:rsidRPr="0024720E">
              <w:rPr>
                <w:noProof/>
                <w:sz w:val="20"/>
                <w:szCs w:val="20"/>
              </w:rPr>
              <w:t>Bulgaria</w:t>
            </w:r>
            <w:bookmarkEnd w:id="2016"/>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51CCDA97" w14:textId="77777777" w:rsidR="008C3FA5" w:rsidRPr="008C3FA5" w:rsidRDefault="008C3FA5" w:rsidP="008C3FA5">
            <w:pPr>
              <w:jc w:val="right"/>
              <w:outlineLvl w:val="0"/>
              <w:rPr>
                <w:noProof/>
                <w:sz w:val="20"/>
                <w:szCs w:val="20"/>
              </w:rPr>
            </w:pPr>
            <w:bookmarkStart w:id="2017" w:name="_Toc223981615"/>
            <w:r w:rsidRPr="008C3FA5">
              <w:rPr>
                <w:noProof/>
                <w:sz w:val="20"/>
                <w:szCs w:val="20"/>
              </w:rPr>
              <w:t>0.0</w:t>
            </w:r>
            <w:bookmarkEnd w:id="2017"/>
          </w:p>
        </w:tc>
        <w:tc>
          <w:tcPr>
            <w:tcW w:w="781" w:type="pct"/>
            <w:tcBorders>
              <w:top w:val="nil"/>
              <w:left w:val="nil"/>
              <w:bottom w:val="single" w:sz="4" w:space="0" w:color="auto"/>
              <w:right w:val="single" w:sz="4" w:space="0" w:color="auto"/>
            </w:tcBorders>
            <w:shd w:val="clear" w:color="000000" w:fill="FFFFFF"/>
            <w:noWrap/>
            <w:hideMark/>
          </w:tcPr>
          <w:p w14:paraId="3AEABCCE" w14:textId="77777777" w:rsidR="008C3FA5" w:rsidRPr="008C3FA5" w:rsidRDefault="008C3FA5" w:rsidP="008C3FA5">
            <w:pPr>
              <w:jc w:val="right"/>
              <w:outlineLvl w:val="0"/>
              <w:rPr>
                <w:noProof/>
                <w:sz w:val="20"/>
                <w:szCs w:val="20"/>
              </w:rPr>
            </w:pPr>
            <w:bookmarkStart w:id="2018" w:name="_Toc223981616"/>
            <w:r w:rsidRPr="008C3FA5">
              <w:rPr>
                <w:noProof/>
                <w:sz w:val="20"/>
                <w:szCs w:val="20"/>
              </w:rPr>
              <w:t>0.0</w:t>
            </w:r>
            <w:bookmarkEnd w:id="2018"/>
          </w:p>
        </w:tc>
        <w:tc>
          <w:tcPr>
            <w:tcW w:w="781" w:type="pct"/>
            <w:tcBorders>
              <w:top w:val="nil"/>
              <w:left w:val="nil"/>
              <w:bottom w:val="single" w:sz="4" w:space="0" w:color="auto"/>
              <w:right w:val="single" w:sz="4" w:space="0" w:color="auto"/>
            </w:tcBorders>
            <w:shd w:val="clear" w:color="000000" w:fill="FFFFFF"/>
            <w:noWrap/>
            <w:hideMark/>
          </w:tcPr>
          <w:p w14:paraId="5A59FE88" w14:textId="77777777" w:rsidR="008C3FA5" w:rsidRPr="008C3FA5" w:rsidRDefault="008C3FA5" w:rsidP="008C3FA5">
            <w:pPr>
              <w:jc w:val="right"/>
              <w:outlineLvl w:val="0"/>
              <w:rPr>
                <w:noProof/>
                <w:sz w:val="20"/>
                <w:szCs w:val="20"/>
              </w:rPr>
            </w:pPr>
            <w:bookmarkStart w:id="2019" w:name="_Toc223981617"/>
            <w:r w:rsidRPr="008C3FA5">
              <w:rPr>
                <w:noProof/>
                <w:sz w:val="20"/>
                <w:szCs w:val="20"/>
              </w:rPr>
              <w:t>0.0</w:t>
            </w:r>
            <w:bookmarkEnd w:id="2019"/>
          </w:p>
        </w:tc>
        <w:tc>
          <w:tcPr>
            <w:tcW w:w="781" w:type="pct"/>
            <w:tcBorders>
              <w:top w:val="nil"/>
              <w:left w:val="nil"/>
              <w:bottom w:val="single" w:sz="4" w:space="0" w:color="auto"/>
              <w:right w:val="single" w:sz="4" w:space="0" w:color="auto"/>
            </w:tcBorders>
            <w:shd w:val="clear" w:color="000000" w:fill="FFFFFF"/>
            <w:noWrap/>
            <w:hideMark/>
          </w:tcPr>
          <w:p w14:paraId="49867D20" w14:textId="77777777" w:rsidR="008C3FA5" w:rsidRPr="008C3FA5" w:rsidRDefault="008C3FA5" w:rsidP="008C3FA5">
            <w:pPr>
              <w:jc w:val="right"/>
              <w:outlineLvl w:val="0"/>
              <w:rPr>
                <w:noProof/>
                <w:sz w:val="20"/>
                <w:szCs w:val="20"/>
              </w:rPr>
            </w:pPr>
            <w:bookmarkStart w:id="2020" w:name="_Toc223981618"/>
            <w:r w:rsidRPr="008C3FA5">
              <w:rPr>
                <w:noProof/>
                <w:sz w:val="20"/>
                <w:szCs w:val="20"/>
              </w:rPr>
              <w:t>0.0</w:t>
            </w:r>
            <w:bookmarkEnd w:id="2020"/>
          </w:p>
        </w:tc>
      </w:tr>
      <w:tr w:rsidR="008C3FA5" w:rsidRPr="0024720E" w14:paraId="79FD11F3"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5BBCA5A" w14:textId="77777777" w:rsidR="008C3FA5" w:rsidRPr="0024720E" w:rsidRDefault="008C3FA5" w:rsidP="008C3FA5">
            <w:pPr>
              <w:outlineLvl w:val="0"/>
              <w:rPr>
                <w:noProof/>
                <w:sz w:val="20"/>
                <w:szCs w:val="20"/>
              </w:rPr>
            </w:pPr>
            <w:r w:rsidRPr="0024720E">
              <w:rPr>
                <w:noProof/>
                <w:sz w:val="20"/>
                <w:szCs w:val="20"/>
              </w:rPr>
              <w:t xml:space="preserve"> </w:t>
            </w:r>
            <w:bookmarkStart w:id="2021" w:name="_Toc223981619"/>
            <w:r w:rsidRPr="0024720E">
              <w:rPr>
                <w:noProof/>
                <w:sz w:val="20"/>
                <w:szCs w:val="20"/>
              </w:rPr>
              <w:t>Estonia</w:t>
            </w:r>
            <w:bookmarkEnd w:id="2021"/>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204EBEAE" w14:textId="77777777" w:rsidR="008C3FA5" w:rsidRPr="008C3FA5" w:rsidRDefault="008C3FA5" w:rsidP="008C3FA5">
            <w:pPr>
              <w:jc w:val="right"/>
              <w:outlineLvl w:val="0"/>
              <w:rPr>
                <w:noProof/>
                <w:sz w:val="20"/>
                <w:szCs w:val="20"/>
              </w:rPr>
            </w:pPr>
            <w:bookmarkStart w:id="2022" w:name="_Toc223981620"/>
            <w:r w:rsidRPr="008C3FA5">
              <w:rPr>
                <w:noProof/>
                <w:sz w:val="20"/>
                <w:szCs w:val="20"/>
              </w:rPr>
              <w:t>0.0</w:t>
            </w:r>
            <w:bookmarkEnd w:id="2022"/>
          </w:p>
        </w:tc>
        <w:tc>
          <w:tcPr>
            <w:tcW w:w="781" w:type="pct"/>
            <w:tcBorders>
              <w:top w:val="nil"/>
              <w:left w:val="nil"/>
              <w:bottom w:val="single" w:sz="4" w:space="0" w:color="auto"/>
              <w:right w:val="single" w:sz="4" w:space="0" w:color="auto"/>
            </w:tcBorders>
            <w:shd w:val="clear" w:color="000000" w:fill="FFFFFF"/>
            <w:noWrap/>
            <w:hideMark/>
          </w:tcPr>
          <w:p w14:paraId="07F5E6D7" w14:textId="77777777" w:rsidR="008C3FA5" w:rsidRPr="008C3FA5" w:rsidRDefault="008C3FA5" w:rsidP="008C3FA5">
            <w:pPr>
              <w:jc w:val="right"/>
              <w:outlineLvl w:val="0"/>
              <w:rPr>
                <w:noProof/>
                <w:sz w:val="20"/>
                <w:szCs w:val="20"/>
              </w:rPr>
            </w:pPr>
            <w:bookmarkStart w:id="2023" w:name="_Toc223981621"/>
            <w:r w:rsidRPr="008C3FA5">
              <w:rPr>
                <w:noProof/>
                <w:sz w:val="20"/>
                <w:szCs w:val="20"/>
              </w:rPr>
              <w:t>0.0</w:t>
            </w:r>
            <w:bookmarkEnd w:id="2023"/>
          </w:p>
        </w:tc>
        <w:tc>
          <w:tcPr>
            <w:tcW w:w="781" w:type="pct"/>
            <w:tcBorders>
              <w:top w:val="nil"/>
              <w:left w:val="nil"/>
              <w:bottom w:val="single" w:sz="4" w:space="0" w:color="auto"/>
              <w:right w:val="single" w:sz="4" w:space="0" w:color="auto"/>
            </w:tcBorders>
            <w:shd w:val="clear" w:color="000000" w:fill="FFFFFF"/>
            <w:noWrap/>
            <w:hideMark/>
          </w:tcPr>
          <w:p w14:paraId="7FA58079" w14:textId="77777777" w:rsidR="008C3FA5" w:rsidRPr="008C3FA5" w:rsidRDefault="008C3FA5" w:rsidP="008C3FA5">
            <w:pPr>
              <w:jc w:val="right"/>
              <w:outlineLvl w:val="0"/>
              <w:rPr>
                <w:noProof/>
                <w:sz w:val="20"/>
                <w:szCs w:val="20"/>
              </w:rPr>
            </w:pPr>
            <w:bookmarkStart w:id="2024" w:name="_Toc223981622"/>
            <w:r w:rsidRPr="008C3FA5">
              <w:rPr>
                <w:noProof/>
                <w:sz w:val="20"/>
                <w:szCs w:val="20"/>
              </w:rPr>
              <w:t>0.0</w:t>
            </w:r>
            <w:bookmarkEnd w:id="2024"/>
          </w:p>
        </w:tc>
        <w:tc>
          <w:tcPr>
            <w:tcW w:w="781" w:type="pct"/>
            <w:tcBorders>
              <w:top w:val="nil"/>
              <w:left w:val="nil"/>
              <w:bottom w:val="single" w:sz="4" w:space="0" w:color="auto"/>
              <w:right w:val="single" w:sz="4" w:space="0" w:color="auto"/>
            </w:tcBorders>
            <w:shd w:val="clear" w:color="000000" w:fill="FFFFFF"/>
            <w:noWrap/>
            <w:hideMark/>
          </w:tcPr>
          <w:p w14:paraId="0B3E8EE8" w14:textId="77777777" w:rsidR="008C3FA5" w:rsidRPr="008C3FA5" w:rsidRDefault="008C3FA5" w:rsidP="008C3FA5">
            <w:pPr>
              <w:jc w:val="right"/>
              <w:outlineLvl w:val="0"/>
              <w:rPr>
                <w:noProof/>
                <w:sz w:val="20"/>
                <w:szCs w:val="20"/>
              </w:rPr>
            </w:pPr>
            <w:bookmarkStart w:id="2025" w:name="_Toc223981623"/>
            <w:r w:rsidRPr="008C3FA5">
              <w:rPr>
                <w:noProof/>
                <w:sz w:val="20"/>
                <w:szCs w:val="20"/>
              </w:rPr>
              <w:t>0.0</w:t>
            </w:r>
            <w:bookmarkEnd w:id="2025"/>
          </w:p>
        </w:tc>
      </w:tr>
      <w:tr w:rsidR="008C3FA5" w:rsidRPr="0024720E" w14:paraId="6B9907C7"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7CA695E7" w14:textId="77777777" w:rsidR="008C3FA5" w:rsidRPr="0024720E" w:rsidRDefault="008C3FA5" w:rsidP="008C3FA5">
            <w:pPr>
              <w:outlineLvl w:val="0"/>
              <w:rPr>
                <w:noProof/>
                <w:sz w:val="20"/>
                <w:szCs w:val="20"/>
              </w:rPr>
            </w:pPr>
            <w:r w:rsidRPr="0024720E">
              <w:rPr>
                <w:noProof/>
                <w:sz w:val="20"/>
                <w:szCs w:val="20"/>
              </w:rPr>
              <w:t xml:space="preserve"> </w:t>
            </w:r>
            <w:bookmarkStart w:id="2026" w:name="_Toc223981624"/>
            <w:r w:rsidRPr="0024720E">
              <w:rPr>
                <w:noProof/>
                <w:sz w:val="20"/>
                <w:szCs w:val="20"/>
              </w:rPr>
              <w:t>Croatia</w:t>
            </w:r>
            <w:bookmarkEnd w:id="2026"/>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1DD1BE39" w14:textId="1DB69D25" w:rsidR="008C3FA5" w:rsidRPr="008C3FA5" w:rsidRDefault="008C3FA5" w:rsidP="008C3FA5">
            <w:pPr>
              <w:jc w:val="right"/>
              <w:outlineLvl w:val="0"/>
              <w:rPr>
                <w:noProof/>
                <w:sz w:val="20"/>
                <w:szCs w:val="20"/>
              </w:rPr>
            </w:pPr>
            <w:bookmarkStart w:id="2027" w:name="_Toc223981625"/>
            <w:r w:rsidRPr="008C3FA5">
              <w:rPr>
                <w:noProof/>
                <w:sz w:val="20"/>
                <w:szCs w:val="20"/>
              </w:rPr>
              <w:t>34.6</w:t>
            </w:r>
            <w:bookmarkEnd w:id="2027"/>
          </w:p>
        </w:tc>
        <w:tc>
          <w:tcPr>
            <w:tcW w:w="781" w:type="pct"/>
            <w:tcBorders>
              <w:top w:val="nil"/>
              <w:left w:val="nil"/>
              <w:bottom w:val="single" w:sz="4" w:space="0" w:color="auto"/>
              <w:right w:val="single" w:sz="4" w:space="0" w:color="auto"/>
            </w:tcBorders>
            <w:shd w:val="clear" w:color="000000" w:fill="FFFFFF"/>
            <w:noWrap/>
            <w:hideMark/>
          </w:tcPr>
          <w:p w14:paraId="127B5B90" w14:textId="01B743A6" w:rsidR="008C3FA5" w:rsidRPr="008C3FA5" w:rsidRDefault="008C3FA5" w:rsidP="008C3FA5">
            <w:pPr>
              <w:jc w:val="right"/>
              <w:outlineLvl w:val="0"/>
              <w:rPr>
                <w:noProof/>
                <w:sz w:val="20"/>
                <w:szCs w:val="20"/>
              </w:rPr>
            </w:pPr>
            <w:bookmarkStart w:id="2028" w:name="_Toc223981626"/>
            <w:r w:rsidRPr="008C3FA5">
              <w:rPr>
                <w:noProof/>
                <w:sz w:val="20"/>
                <w:szCs w:val="20"/>
              </w:rPr>
              <w:t>5.2</w:t>
            </w:r>
            <w:bookmarkEnd w:id="2028"/>
          </w:p>
        </w:tc>
        <w:tc>
          <w:tcPr>
            <w:tcW w:w="781" w:type="pct"/>
            <w:tcBorders>
              <w:top w:val="nil"/>
              <w:left w:val="nil"/>
              <w:bottom w:val="single" w:sz="4" w:space="0" w:color="auto"/>
              <w:right w:val="single" w:sz="4" w:space="0" w:color="auto"/>
            </w:tcBorders>
            <w:shd w:val="clear" w:color="000000" w:fill="FFFFFF"/>
            <w:noWrap/>
            <w:hideMark/>
          </w:tcPr>
          <w:p w14:paraId="21746866" w14:textId="6EAAFB69" w:rsidR="008C3FA5" w:rsidRPr="008C3FA5" w:rsidRDefault="008C3FA5" w:rsidP="008C3FA5">
            <w:pPr>
              <w:jc w:val="right"/>
              <w:outlineLvl w:val="0"/>
              <w:rPr>
                <w:noProof/>
                <w:sz w:val="20"/>
                <w:szCs w:val="20"/>
              </w:rPr>
            </w:pPr>
            <w:bookmarkStart w:id="2029" w:name="_Toc223981627"/>
            <w:r w:rsidRPr="008C3FA5">
              <w:rPr>
                <w:noProof/>
                <w:sz w:val="20"/>
                <w:szCs w:val="20"/>
              </w:rPr>
              <w:t>8.4</w:t>
            </w:r>
            <w:bookmarkEnd w:id="2029"/>
          </w:p>
        </w:tc>
        <w:tc>
          <w:tcPr>
            <w:tcW w:w="781" w:type="pct"/>
            <w:tcBorders>
              <w:top w:val="nil"/>
              <w:left w:val="nil"/>
              <w:bottom w:val="single" w:sz="4" w:space="0" w:color="auto"/>
              <w:right w:val="single" w:sz="4" w:space="0" w:color="auto"/>
            </w:tcBorders>
            <w:shd w:val="clear" w:color="000000" w:fill="FFFFFF"/>
            <w:noWrap/>
            <w:hideMark/>
          </w:tcPr>
          <w:p w14:paraId="09D5D6AB" w14:textId="307BEF9F" w:rsidR="008C3FA5" w:rsidRPr="008C3FA5" w:rsidRDefault="008C3FA5" w:rsidP="008C3FA5">
            <w:pPr>
              <w:jc w:val="right"/>
              <w:outlineLvl w:val="0"/>
              <w:rPr>
                <w:noProof/>
                <w:sz w:val="20"/>
                <w:szCs w:val="20"/>
              </w:rPr>
            </w:pPr>
            <w:bookmarkStart w:id="2030" w:name="_Toc223981628"/>
            <w:r w:rsidRPr="008C3FA5">
              <w:rPr>
                <w:noProof/>
                <w:sz w:val="20"/>
                <w:szCs w:val="20"/>
              </w:rPr>
              <w:t>6.0</w:t>
            </w:r>
            <w:bookmarkEnd w:id="2030"/>
          </w:p>
        </w:tc>
      </w:tr>
      <w:tr w:rsidR="008C3FA5" w:rsidRPr="0024720E" w14:paraId="2B03DDB1"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68CC5D32" w14:textId="77777777" w:rsidR="008C3FA5" w:rsidRPr="0024720E" w:rsidRDefault="008C3FA5" w:rsidP="008C3FA5">
            <w:pPr>
              <w:outlineLvl w:val="0"/>
              <w:rPr>
                <w:noProof/>
                <w:sz w:val="20"/>
                <w:szCs w:val="20"/>
              </w:rPr>
            </w:pPr>
            <w:r w:rsidRPr="0024720E">
              <w:rPr>
                <w:noProof/>
                <w:sz w:val="20"/>
                <w:szCs w:val="20"/>
              </w:rPr>
              <w:t xml:space="preserve"> </w:t>
            </w:r>
            <w:bookmarkStart w:id="2031" w:name="_Toc223981629"/>
            <w:r w:rsidRPr="0024720E">
              <w:rPr>
                <w:noProof/>
                <w:sz w:val="20"/>
                <w:szCs w:val="20"/>
              </w:rPr>
              <w:t>Lithuania</w:t>
            </w:r>
            <w:bookmarkEnd w:id="2031"/>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03202368" w14:textId="77777777" w:rsidR="008C3FA5" w:rsidRPr="008C3FA5" w:rsidRDefault="008C3FA5" w:rsidP="008C3FA5">
            <w:pPr>
              <w:jc w:val="right"/>
              <w:outlineLvl w:val="0"/>
              <w:rPr>
                <w:noProof/>
                <w:sz w:val="20"/>
                <w:szCs w:val="20"/>
              </w:rPr>
            </w:pPr>
            <w:bookmarkStart w:id="2032" w:name="_Toc223981630"/>
            <w:r w:rsidRPr="008C3FA5">
              <w:rPr>
                <w:noProof/>
                <w:sz w:val="20"/>
                <w:szCs w:val="20"/>
              </w:rPr>
              <w:t>0.0</w:t>
            </w:r>
            <w:bookmarkEnd w:id="2032"/>
          </w:p>
        </w:tc>
        <w:tc>
          <w:tcPr>
            <w:tcW w:w="781" w:type="pct"/>
            <w:tcBorders>
              <w:top w:val="nil"/>
              <w:left w:val="nil"/>
              <w:bottom w:val="single" w:sz="4" w:space="0" w:color="auto"/>
              <w:right w:val="single" w:sz="4" w:space="0" w:color="auto"/>
            </w:tcBorders>
            <w:shd w:val="clear" w:color="000000" w:fill="FFFFFF"/>
            <w:noWrap/>
            <w:hideMark/>
          </w:tcPr>
          <w:p w14:paraId="02FAF0E7" w14:textId="77777777" w:rsidR="008C3FA5" w:rsidRPr="008C3FA5" w:rsidRDefault="008C3FA5" w:rsidP="008C3FA5">
            <w:pPr>
              <w:jc w:val="right"/>
              <w:outlineLvl w:val="0"/>
              <w:rPr>
                <w:noProof/>
                <w:sz w:val="20"/>
                <w:szCs w:val="20"/>
              </w:rPr>
            </w:pPr>
            <w:bookmarkStart w:id="2033" w:name="_Toc223981631"/>
            <w:r w:rsidRPr="008C3FA5">
              <w:rPr>
                <w:noProof/>
                <w:sz w:val="20"/>
                <w:szCs w:val="20"/>
              </w:rPr>
              <w:t>0.0</w:t>
            </w:r>
            <w:bookmarkEnd w:id="2033"/>
          </w:p>
        </w:tc>
        <w:tc>
          <w:tcPr>
            <w:tcW w:w="781" w:type="pct"/>
            <w:tcBorders>
              <w:top w:val="nil"/>
              <w:left w:val="nil"/>
              <w:bottom w:val="single" w:sz="4" w:space="0" w:color="auto"/>
              <w:right w:val="single" w:sz="4" w:space="0" w:color="auto"/>
            </w:tcBorders>
            <w:shd w:val="clear" w:color="000000" w:fill="FFFFFF"/>
            <w:noWrap/>
            <w:hideMark/>
          </w:tcPr>
          <w:p w14:paraId="6FF87029" w14:textId="77777777" w:rsidR="008C3FA5" w:rsidRPr="008C3FA5" w:rsidRDefault="008C3FA5" w:rsidP="008C3FA5">
            <w:pPr>
              <w:jc w:val="right"/>
              <w:outlineLvl w:val="0"/>
              <w:rPr>
                <w:noProof/>
                <w:sz w:val="20"/>
                <w:szCs w:val="20"/>
              </w:rPr>
            </w:pPr>
            <w:bookmarkStart w:id="2034" w:name="_Toc223981632"/>
            <w:r w:rsidRPr="008C3FA5">
              <w:rPr>
                <w:noProof/>
                <w:sz w:val="20"/>
                <w:szCs w:val="20"/>
              </w:rPr>
              <w:t>0.0</w:t>
            </w:r>
            <w:bookmarkEnd w:id="2034"/>
          </w:p>
        </w:tc>
        <w:tc>
          <w:tcPr>
            <w:tcW w:w="781" w:type="pct"/>
            <w:tcBorders>
              <w:top w:val="nil"/>
              <w:left w:val="nil"/>
              <w:bottom w:val="single" w:sz="4" w:space="0" w:color="auto"/>
              <w:right w:val="single" w:sz="4" w:space="0" w:color="auto"/>
            </w:tcBorders>
            <w:shd w:val="clear" w:color="000000" w:fill="FFFFFF"/>
            <w:noWrap/>
            <w:hideMark/>
          </w:tcPr>
          <w:p w14:paraId="28F3C61C" w14:textId="77777777" w:rsidR="008C3FA5" w:rsidRPr="008C3FA5" w:rsidRDefault="008C3FA5" w:rsidP="008C3FA5">
            <w:pPr>
              <w:jc w:val="right"/>
              <w:outlineLvl w:val="0"/>
              <w:rPr>
                <w:noProof/>
                <w:sz w:val="20"/>
                <w:szCs w:val="20"/>
              </w:rPr>
            </w:pPr>
            <w:bookmarkStart w:id="2035" w:name="_Toc223981633"/>
            <w:r w:rsidRPr="008C3FA5">
              <w:rPr>
                <w:noProof/>
                <w:sz w:val="20"/>
                <w:szCs w:val="20"/>
              </w:rPr>
              <w:t>0.0</w:t>
            </w:r>
            <w:bookmarkEnd w:id="2035"/>
          </w:p>
        </w:tc>
      </w:tr>
      <w:tr w:rsidR="008C3FA5" w:rsidRPr="0024720E" w14:paraId="25442828"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E5C87A5" w14:textId="77777777" w:rsidR="008C3FA5" w:rsidRPr="0024720E" w:rsidRDefault="008C3FA5" w:rsidP="008C3FA5">
            <w:pPr>
              <w:outlineLvl w:val="0"/>
              <w:rPr>
                <w:noProof/>
                <w:sz w:val="20"/>
                <w:szCs w:val="20"/>
              </w:rPr>
            </w:pPr>
            <w:r w:rsidRPr="0024720E">
              <w:rPr>
                <w:noProof/>
                <w:sz w:val="20"/>
                <w:szCs w:val="20"/>
              </w:rPr>
              <w:t xml:space="preserve"> </w:t>
            </w:r>
            <w:bookmarkStart w:id="2036" w:name="_Toc223981634"/>
            <w:r w:rsidRPr="0024720E">
              <w:rPr>
                <w:noProof/>
                <w:sz w:val="20"/>
                <w:szCs w:val="20"/>
              </w:rPr>
              <w:t>Hungary</w:t>
            </w:r>
            <w:bookmarkEnd w:id="2036"/>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ECCB58F" w14:textId="68B035B7" w:rsidR="008C3FA5" w:rsidRPr="008C3FA5" w:rsidRDefault="008C3FA5" w:rsidP="008C3FA5">
            <w:pPr>
              <w:jc w:val="right"/>
              <w:outlineLvl w:val="0"/>
              <w:rPr>
                <w:noProof/>
                <w:sz w:val="20"/>
                <w:szCs w:val="20"/>
              </w:rPr>
            </w:pPr>
            <w:bookmarkStart w:id="2037" w:name="_Toc223981635"/>
            <w:r w:rsidRPr="008C3FA5">
              <w:rPr>
                <w:noProof/>
                <w:sz w:val="20"/>
                <w:szCs w:val="20"/>
              </w:rPr>
              <w:t>103.9</w:t>
            </w:r>
            <w:bookmarkEnd w:id="2037"/>
          </w:p>
        </w:tc>
        <w:tc>
          <w:tcPr>
            <w:tcW w:w="781" w:type="pct"/>
            <w:tcBorders>
              <w:top w:val="nil"/>
              <w:left w:val="nil"/>
              <w:bottom w:val="single" w:sz="4" w:space="0" w:color="auto"/>
              <w:right w:val="single" w:sz="4" w:space="0" w:color="auto"/>
            </w:tcBorders>
            <w:shd w:val="clear" w:color="000000" w:fill="FFFFFF"/>
            <w:noWrap/>
            <w:hideMark/>
          </w:tcPr>
          <w:p w14:paraId="1E5E0904" w14:textId="4B099C00" w:rsidR="008C3FA5" w:rsidRPr="008C3FA5" w:rsidRDefault="008C3FA5" w:rsidP="008C3FA5">
            <w:pPr>
              <w:jc w:val="right"/>
              <w:outlineLvl w:val="0"/>
              <w:rPr>
                <w:noProof/>
                <w:sz w:val="20"/>
                <w:szCs w:val="20"/>
              </w:rPr>
            </w:pPr>
            <w:bookmarkStart w:id="2038" w:name="_Toc223981636"/>
            <w:r w:rsidRPr="008C3FA5">
              <w:rPr>
                <w:noProof/>
                <w:sz w:val="20"/>
                <w:szCs w:val="20"/>
              </w:rPr>
              <w:t>15.7</w:t>
            </w:r>
            <w:bookmarkEnd w:id="2038"/>
          </w:p>
        </w:tc>
        <w:tc>
          <w:tcPr>
            <w:tcW w:w="781" w:type="pct"/>
            <w:tcBorders>
              <w:top w:val="nil"/>
              <w:left w:val="nil"/>
              <w:bottom w:val="single" w:sz="4" w:space="0" w:color="auto"/>
              <w:right w:val="single" w:sz="4" w:space="0" w:color="auto"/>
            </w:tcBorders>
            <w:shd w:val="clear" w:color="000000" w:fill="FFFFFF"/>
            <w:noWrap/>
            <w:hideMark/>
          </w:tcPr>
          <w:p w14:paraId="188C9EAB" w14:textId="4AB282C4" w:rsidR="008C3FA5" w:rsidRPr="008C3FA5" w:rsidRDefault="008C3FA5" w:rsidP="008C3FA5">
            <w:pPr>
              <w:jc w:val="right"/>
              <w:outlineLvl w:val="0"/>
              <w:rPr>
                <w:noProof/>
                <w:sz w:val="20"/>
                <w:szCs w:val="20"/>
              </w:rPr>
            </w:pPr>
            <w:bookmarkStart w:id="2039" w:name="_Toc223981637"/>
            <w:r w:rsidRPr="008C3FA5">
              <w:rPr>
                <w:noProof/>
                <w:sz w:val="20"/>
                <w:szCs w:val="20"/>
              </w:rPr>
              <w:t>25.2</w:t>
            </w:r>
            <w:bookmarkEnd w:id="2039"/>
          </w:p>
        </w:tc>
        <w:tc>
          <w:tcPr>
            <w:tcW w:w="781" w:type="pct"/>
            <w:tcBorders>
              <w:top w:val="nil"/>
              <w:left w:val="nil"/>
              <w:bottom w:val="single" w:sz="4" w:space="0" w:color="auto"/>
              <w:right w:val="single" w:sz="4" w:space="0" w:color="auto"/>
            </w:tcBorders>
            <w:shd w:val="clear" w:color="000000" w:fill="FFFFFF"/>
            <w:noWrap/>
            <w:hideMark/>
          </w:tcPr>
          <w:p w14:paraId="65AFD325" w14:textId="3D4F8015" w:rsidR="008C3FA5" w:rsidRPr="008C3FA5" w:rsidRDefault="008C3FA5" w:rsidP="008C3FA5">
            <w:pPr>
              <w:jc w:val="right"/>
              <w:outlineLvl w:val="0"/>
              <w:rPr>
                <w:noProof/>
                <w:sz w:val="20"/>
                <w:szCs w:val="20"/>
              </w:rPr>
            </w:pPr>
            <w:bookmarkStart w:id="2040" w:name="_Toc223981638"/>
            <w:r w:rsidRPr="008C3FA5">
              <w:rPr>
                <w:noProof/>
                <w:sz w:val="20"/>
                <w:szCs w:val="20"/>
              </w:rPr>
              <w:t>18.1</w:t>
            </w:r>
            <w:bookmarkEnd w:id="2040"/>
          </w:p>
        </w:tc>
      </w:tr>
      <w:tr w:rsidR="008C3FA5" w:rsidRPr="0024720E" w14:paraId="3501F4E3"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2C547B8" w14:textId="77777777" w:rsidR="008C3FA5" w:rsidRPr="0024720E" w:rsidRDefault="008C3FA5" w:rsidP="008C3FA5">
            <w:pPr>
              <w:outlineLvl w:val="0"/>
              <w:rPr>
                <w:noProof/>
                <w:sz w:val="20"/>
                <w:szCs w:val="20"/>
              </w:rPr>
            </w:pPr>
            <w:r w:rsidRPr="0024720E">
              <w:rPr>
                <w:noProof/>
                <w:sz w:val="20"/>
                <w:szCs w:val="20"/>
              </w:rPr>
              <w:t xml:space="preserve"> </w:t>
            </w:r>
            <w:bookmarkStart w:id="2041" w:name="_Toc223981639"/>
            <w:r w:rsidRPr="0024720E">
              <w:rPr>
                <w:noProof/>
                <w:sz w:val="20"/>
                <w:szCs w:val="20"/>
              </w:rPr>
              <w:t>Sweden</w:t>
            </w:r>
            <w:bookmarkEnd w:id="2041"/>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255D38BC" w14:textId="2DF1682B" w:rsidR="008C3FA5" w:rsidRPr="008C3FA5" w:rsidRDefault="008C3FA5" w:rsidP="008C3FA5">
            <w:pPr>
              <w:jc w:val="right"/>
              <w:outlineLvl w:val="0"/>
              <w:rPr>
                <w:noProof/>
                <w:sz w:val="20"/>
                <w:szCs w:val="20"/>
              </w:rPr>
            </w:pPr>
            <w:bookmarkStart w:id="2042" w:name="_Toc223981640"/>
            <w:r w:rsidRPr="008C3FA5">
              <w:rPr>
                <w:noProof/>
                <w:sz w:val="20"/>
                <w:szCs w:val="20"/>
              </w:rPr>
              <w:t>69.3</w:t>
            </w:r>
            <w:bookmarkEnd w:id="2042"/>
          </w:p>
        </w:tc>
        <w:tc>
          <w:tcPr>
            <w:tcW w:w="781" w:type="pct"/>
            <w:tcBorders>
              <w:top w:val="nil"/>
              <w:left w:val="nil"/>
              <w:bottom w:val="single" w:sz="4" w:space="0" w:color="auto"/>
              <w:right w:val="single" w:sz="4" w:space="0" w:color="auto"/>
            </w:tcBorders>
            <w:shd w:val="clear" w:color="000000" w:fill="FFFFFF"/>
            <w:noWrap/>
            <w:hideMark/>
          </w:tcPr>
          <w:p w14:paraId="04564471" w14:textId="2135F87D" w:rsidR="008C3FA5" w:rsidRPr="008C3FA5" w:rsidRDefault="008C3FA5" w:rsidP="008C3FA5">
            <w:pPr>
              <w:jc w:val="right"/>
              <w:outlineLvl w:val="0"/>
              <w:rPr>
                <w:noProof/>
                <w:sz w:val="20"/>
                <w:szCs w:val="20"/>
              </w:rPr>
            </w:pPr>
            <w:bookmarkStart w:id="2043" w:name="_Toc223981641"/>
            <w:r w:rsidRPr="008C3FA5">
              <w:rPr>
                <w:noProof/>
                <w:sz w:val="20"/>
                <w:szCs w:val="20"/>
              </w:rPr>
              <w:t>10.5</w:t>
            </w:r>
            <w:bookmarkEnd w:id="2043"/>
          </w:p>
        </w:tc>
        <w:tc>
          <w:tcPr>
            <w:tcW w:w="781" w:type="pct"/>
            <w:tcBorders>
              <w:top w:val="nil"/>
              <w:left w:val="nil"/>
              <w:bottom w:val="single" w:sz="4" w:space="0" w:color="auto"/>
              <w:right w:val="single" w:sz="4" w:space="0" w:color="auto"/>
            </w:tcBorders>
            <w:shd w:val="clear" w:color="000000" w:fill="FFFFFF"/>
            <w:noWrap/>
            <w:hideMark/>
          </w:tcPr>
          <w:p w14:paraId="7C8C42BE" w14:textId="2E8A9619" w:rsidR="008C3FA5" w:rsidRPr="008C3FA5" w:rsidRDefault="008C3FA5" w:rsidP="008C3FA5">
            <w:pPr>
              <w:jc w:val="right"/>
              <w:outlineLvl w:val="0"/>
              <w:rPr>
                <w:noProof/>
                <w:sz w:val="20"/>
                <w:szCs w:val="20"/>
              </w:rPr>
            </w:pPr>
            <w:bookmarkStart w:id="2044" w:name="_Toc223981642"/>
            <w:r w:rsidRPr="008C3FA5">
              <w:rPr>
                <w:noProof/>
                <w:sz w:val="20"/>
                <w:szCs w:val="20"/>
              </w:rPr>
              <w:t>16.8</w:t>
            </w:r>
            <w:bookmarkEnd w:id="2044"/>
          </w:p>
        </w:tc>
        <w:tc>
          <w:tcPr>
            <w:tcW w:w="781" w:type="pct"/>
            <w:tcBorders>
              <w:top w:val="nil"/>
              <w:left w:val="nil"/>
              <w:bottom w:val="single" w:sz="4" w:space="0" w:color="auto"/>
              <w:right w:val="single" w:sz="4" w:space="0" w:color="auto"/>
            </w:tcBorders>
            <w:shd w:val="clear" w:color="000000" w:fill="FFFFFF"/>
            <w:noWrap/>
            <w:hideMark/>
          </w:tcPr>
          <w:p w14:paraId="2BE96CDC" w14:textId="15AD09E3" w:rsidR="008C3FA5" w:rsidRPr="008C3FA5" w:rsidRDefault="008C3FA5" w:rsidP="008C3FA5">
            <w:pPr>
              <w:jc w:val="right"/>
              <w:outlineLvl w:val="0"/>
              <w:rPr>
                <w:noProof/>
                <w:sz w:val="20"/>
                <w:szCs w:val="20"/>
              </w:rPr>
            </w:pPr>
            <w:bookmarkStart w:id="2045" w:name="_Toc223981643"/>
            <w:r w:rsidRPr="008C3FA5">
              <w:rPr>
                <w:noProof/>
                <w:sz w:val="20"/>
                <w:szCs w:val="20"/>
              </w:rPr>
              <w:t>12.0</w:t>
            </w:r>
            <w:bookmarkEnd w:id="2045"/>
          </w:p>
        </w:tc>
      </w:tr>
      <w:tr w:rsidR="008C3FA5" w:rsidRPr="0024720E" w14:paraId="6F9A9D02"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271C6E73" w14:textId="3C8CD3B2" w:rsidR="008C3FA5" w:rsidRPr="0024720E" w:rsidRDefault="008C3FA5" w:rsidP="008C3FA5">
            <w:pPr>
              <w:outlineLvl w:val="0"/>
              <w:rPr>
                <w:noProof/>
                <w:sz w:val="20"/>
                <w:szCs w:val="20"/>
              </w:rPr>
            </w:pPr>
            <w:r w:rsidRPr="0024720E">
              <w:rPr>
                <w:noProof/>
                <w:sz w:val="20"/>
                <w:szCs w:val="20"/>
              </w:rPr>
              <w:t xml:space="preserve"> </w:t>
            </w:r>
            <w:bookmarkStart w:id="2046" w:name="_Toc223981644"/>
            <w:r w:rsidRPr="0024720E">
              <w:rPr>
                <w:noProof/>
                <w:sz w:val="20"/>
                <w:szCs w:val="20"/>
              </w:rPr>
              <w:t>Czechia</w:t>
            </w:r>
            <w:bookmarkEnd w:id="2046"/>
          </w:p>
        </w:tc>
        <w:tc>
          <w:tcPr>
            <w:tcW w:w="780" w:type="pct"/>
            <w:tcBorders>
              <w:top w:val="nil"/>
              <w:left w:val="nil"/>
              <w:bottom w:val="single" w:sz="4" w:space="0" w:color="auto"/>
              <w:right w:val="single" w:sz="4" w:space="0" w:color="auto"/>
            </w:tcBorders>
            <w:shd w:val="clear" w:color="000000" w:fill="FFFFFF"/>
            <w:noWrap/>
            <w:hideMark/>
          </w:tcPr>
          <w:p w14:paraId="08C5FE48" w14:textId="2A6103E9" w:rsidR="008C3FA5" w:rsidRPr="008C3FA5" w:rsidRDefault="008C3FA5" w:rsidP="008C3FA5">
            <w:pPr>
              <w:jc w:val="right"/>
              <w:outlineLvl w:val="0"/>
              <w:rPr>
                <w:noProof/>
                <w:sz w:val="20"/>
                <w:szCs w:val="20"/>
              </w:rPr>
            </w:pPr>
            <w:bookmarkStart w:id="2047" w:name="_Toc223981645"/>
            <w:r w:rsidRPr="008C3FA5">
              <w:rPr>
                <w:noProof/>
                <w:sz w:val="20"/>
                <w:szCs w:val="20"/>
              </w:rPr>
              <w:t>103.9</w:t>
            </w:r>
            <w:bookmarkEnd w:id="2047"/>
          </w:p>
        </w:tc>
        <w:tc>
          <w:tcPr>
            <w:tcW w:w="781" w:type="pct"/>
            <w:tcBorders>
              <w:top w:val="nil"/>
              <w:left w:val="nil"/>
              <w:bottom w:val="single" w:sz="4" w:space="0" w:color="auto"/>
              <w:right w:val="single" w:sz="4" w:space="0" w:color="auto"/>
            </w:tcBorders>
            <w:shd w:val="clear" w:color="000000" w:fill="FFFFFF"/>
            <w:noWrap/>
            <w:hideMark/>
          </w:tcPr>
          <w:p w14:paraId="2EB8D517" w14:textId="66DFCF31" w:rsidR="008C3FA5" w:rsidRPr="008C3FA5" w:rsidRDefault="008C3FA5" w:rsidP="008C3FA5">
            <w:pPr>
              <w:jc w:val="right"/>
              <w:outlineLvl w:val="0"/>
              <w:rPr>
                <w:noProof/>
                <w:sz w:val="20"/>
                <w:szCs w:val="20"/>
              </w:rPr>
            </w:pPr>
            <w:bookmarkStart w:id="2048" w:name="_Toc223981646"/>
            <w:r w:rsidRPr="008C3FA5">
              <w:rPr>
                <w:noProof/>
                <w:sz w:val="20"/>
                <w:szCs w:val="20"/>
              </w:rPr>
              <w:t>15.7</w:t>
            </w:r>
            <w:bookmarkEnd w:id="2048"/>
          </w:p>
        </w:tc>
        <w:tc>
          <w:tcPr>
            <w:tcW w:w="781" w:type="pct"/>
            <w:tcBorders>
              <w:top w:val="nil"/>
              <w:left w:val="nil"/>
              <w:bottom w:val="single" w:sz="4" w:space="0" w:color="auto"/>
              <w:right w:val="single" w:sz="4" w:space="0" w:color="auto"/>
            </w:tcBorders>
            <w:shd w:val="clear" w:color="000000" w:fill="FFFFFF"/>
            <w:noWrap/>
            <w:hideMark/>
          </w:tcPr>
          <w:p w14:paraId="03D3B165" w14:textId="331C8AEE" w:rsidR="008C3FA5" w:rsidRPr="008C3FA5" w:rsidRDefault="008C3FA5" w:rsidP="008C3FA5">
            <w:pPr>
              <w:jc w:val="right"/>
              <w:outlineLvl w:val="0"/>
              <w:rPr>
                <w:noProof/>
                <w:sz w:val="20"/>
                <w:szCs w:val="20"/>
              </w:rPr>
            </w:pPr>
            <w:bookmarkStart w:id="2049" w:name="_Toc223981647"/>
            <w:r w:rsidRPr="008C3FA5">
              <w:rPr>
                <w:noProof/>
                <w:sz w:val="20"/>
                <w:szCs w:val="20"/>
              </w:rPr>
              <w:t>25.2</w:t>
            </w:r>
            <w:bookmarkEnd w:id="2049"/>
          </w:p>
        </w:tc>
        <w:tc>
          <w:tcPr>
            <w:tcW w:w="781" w:type="pct"/>
            <w:tcBorders>
              <w:top w:val="nil"/>
              <w:left w:val="nil"/>
              <w:bottom w:val="single" w:sz="4" w:space="0" w:color="auto"/>
              <w:right w:val="single" w:sz="4" w:space="0" w:color="auto"/>
            </w:tcBorders>
            <w:shd w:val="clear" w:color="000000" w:fill="FFFFFF"/>
            <w:noWrap/>
            <w:hideMark/>
          </w:tcPr>
          <w:p w14:paraId="6B492197" w14:textId="690A972A" w:rsidR="008C3FA5" w:rsidRPr="008C3FA5" w:rsidRDefault="008C3FA5" w:rsidP="008C3FA5">
            <w:pPr>
              <w:jc w:val="right"/>
              <w:outlineLvl w:val="0"/>
              <w:rPr>
                <w:noProof/>
                <w:sz w:val="20"/>
                <w:szCs w:val="20"/>
              </w:rPr>
            </w:pPr>
            <w:bookmarkStart w:id="2050" w:name="_Toc223981648"/>
            <w:r w:rsidRPr="008C3FA5">
              <w:rPr>
                <w:noProof/>
                <w:sz w:val="20"/>
                <w:szCs w:val="20"/>
              </w:rPr>
              <w:t>18.1</w:t>
            </w:r>
            <w:bookmarkEnd w:id="2050"/>
          </w:p>
        </w:tc>
      </w:tr>
      <w:tr w:rsidR="008C3FA5" w:rsidRPr="0024720E" w14:paraId="58083FD3"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19863902" w14:textId="77777777" w:rsidR="008C3FA5" w:rsidRPr="0024720E" w:rsidRDefault="008C3FA5" w:rsidP="008C3FA5">
            <w:pPr>
              <w:outlineLvl w:val="0"/>
              <w:rPr>
                <w:noProof/>
                <w:sz w:val="20"/>
                <w:szCs w:val="20"/>
              </w:rPr>
            </w:pPr>
            <w:r w:rsidRPr="0024720E">
              <w:rPr>
                <w:noProof/>
                <w:sz w:val="20"/>
                <w:szCs w:val="20"/>
              </w:rPr>
              <w:t xml:space="preserve"> </w:t>
            </w:r>
            <w:bookmarkStart w:id="2051" w:name="_Toc223981649"/>
            <w:r w:rsidRPr="0024720E">
              <w:rPr>
                <w:noProof/>
                <w:sz w:val="20"/>
                <w:szCs w:val="20"/>
              </w:rPr>
              <w:t>Ireland</w:t>
            </w:r>
            <w:bookmarkEnd w:id="2051"/>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D45CF21" w14:textId="565603C4" w:rsidR="008C3FA5" w:rsidRPr="008C3FA5" w:rsidRDefault="008C3FA5" w:rsidP="008C3FA5">
            <w:pPr>
              <w:jc w:val="right"/>
              <w:outlineLvl w:val="0"/>
              <w:rPr>
                <w:noProof/>
                <w:sz w:val="20"/>
                <w:szCs w:val="20"/>
              </w:rPr>
            </w:pPr>
            <w:bookmarkStart w:id="2052" w:name="_Toc223981650"/>
            <w:r w:rsidRPr="008C3FA5">
              <w:rPr>
                <w:noProof/>
                <w:sz w:val="20"/>
                <w:szCs w:val="20"/>
              </w:rPr>
              <w:t>69.3</w:t>
            </w:r>
            <w:bookmarkEnd w:id="2052"/>
          </w:p>
        </w:tc>
        <w:tc>
          <w:tcPr>
            <w:tcW w:w="781" w:type="pct"/>
            <w:tcBorders>
              <w:top w:val="nil"/>
              <w:left w:val="nil"/>
              <w:bottom w:val="single" w:sz="4" w:space="0" w:color="auto"/>
              <w:right w:val="single" w:sz="4" w:space="0" w:color="auto"/>
            </w:tcBorders>
            <w:shd w:val="clear" w:color="000000" w:fill="FFFFFF"/>
            <w:noWrap/>
            <w:hideMark/>
          </w:tcPr>
          <w:p w14:paraId="0A27F0D2" w14:textId="3CDB6A6B" w:rsidR="008C3FA5" w:rsidRPr="008C3FA5" w:rsidRDefault="008C3FA5" w:rsidP="008C3FA5">
            <w:pPr>
              <w:jc w:val="right"/>
              <w:outlineLvl w:val="0"/>
              <w:rPr>
                <w:noProof/>
                <w:sz w:val="20"/>
                <w:szCs w:val="20"/>
              </w:rPr>
            </w:pPr>
            <w:bookmarkStart w:id="2053" w:name="_Toc223981651"/>
            <w:r w:rsidRPr="008C3FA5">
              <w:rPr>
                <w:noProof/>
                <w:sz w:val="20"/>
                <w:szCs w:val="20"/>
              </w:rPr>
              <w:t>10.5</w:t>
            </w:r>
            <w:bookmarkEnd w:id="2053"/>
          </w:p>
        </w:tc>
        <w:tc>
          <w:tcPr>
            <w:tcW w:w="781" w:type="pct"/>
            <w:tcBorders>
              <w:top w:val="nil"/>
              <w:left w:val="nil"/>
              <w:bottom w:val="single" w:sz="4" w:space="0" w:color="auto"/>
              <w:right w:val="single" w:sz="4" w:space="0" w:color="auto"/>
            </w:tcBorders>
            <w:shd w:val="clear" w:color="000000" w:fill="FFFFFF"/>
            <w:noWrap/>
            <w:hideMark/>
          </w:tcPr>
          <w:p w14:paraId="394E54DF" w14:textId="488E5A25" w:rsidR="008C3FA5" w:rsidRPr="008C3FA5" w:rsidRDefault="008C3FA5" w:rsidP="008C3FA5">
            <w:pPr>
              <w:jc w:val="right"/>
              <w:outlineLvl w:val="0"/>
              <w:rPr>
                <w:noProof/>
                <w:sz w:val="20"/>
                <w:szCs w:val="20"/>
              </w:rPr>
            </w:pPr>
            <w:bookmarkStart w:id="2054" w:name="_Toc223981652"/>
            <w:r w:rsidRPr="008C3FA5">
              <w:rPr>
                <w:noProof/>
                <w:sz w:val="20"/>
                <w:szCs w:val="20"/>
              </w:rPr>
              <w:t>16.8</w:t>
            </w:r>
            <w:bookmarkEnd w:id="2054"/>
          </w:p>
        </w:tc>
        <w:tc>
          <w:tcPr>
            <w:tcW w:w="781" w:type="pct"/>
            <w:tcBorders>
              <w:top w:val="nil"/>
              <w:left w:val="nil"/>
              <w:bottom w:val="single" w:sz="4" w:space="0" w:color="auto"/>
              <w:right w:val="single" w:sz="4" w:space="0" w:color="auto"/>
            </w:tcBorders>
            <w:shd w:val="clear" w:color="000000" w:fill="FFFFFF"/>
            <w:noWrap/>
            <w:hideMark/>
          </w:tcPr>
          <w:p w14:paraId="0D1ACBC7" w14:textId="18251E07" w:rsidR="008C3FA5" w:rsidRPr="008C3FA5" w:rsidRDefault="008C3FA5" w:rsidP="008C3FA5">
            <w:pPr>
              <w:jc w:val="right"/>
              <w:outlineLvl w:val="0"/>
              <w:rPr>
                <w:noProof/>
                <w:sz w:val="20"/>
                <w:szCs w:val="20"/>
              </w:rPr>
            </w:pPr>
            <w:bookmarkStart w:id="2055" w:name="_Toc223981653"/>
            <w:r w:rsidRPr="008C3FA5">
              <w:rPr>
                <w:noProof/>
                <w:sz w:val="20"/>
                <w:szCs w:val="20"/>
              </w:rPr>
              <w:t>12.0</w:t>
            </w:r>
            <w:bookmarkEnd w:id="2055"/>
          </w:p>
        </w:tc>
      </w:tr>
      <w:tr w:rsidR="008C3FA5" w:rsidRPr="0024720E" w14:paraId="77814549"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F8553C6" w14:textId="77777777" w:rsidR="008C3FA5" w:rsidRPr="0024720E" w:rsidRDefault="008C3FA5" w:rsidP="008C3FA5">
            <w:pPr>
              <w:outlineLvl w:val="0"/>
              <w:rPr>
                <w:noProof/>
                <w:sz w:val="20"/>
                <w:szCs w:val="20"/>
              </w:rPr>
            </w:pPr>
            <w:r w:rsidRPr="0024720E">
              <w:rPr>
                <w:noProof/>
                <w:sz w:val="20"/>
                <w:szCs w:val="20"/>
              </w:rPr>
              <w:t xml:space="preserve"> </w:t>
            </w:r>
            <w:bookmarkStart w:id="2056" w:name="_Toc223981654"/>
            <w:r w:rsidRPr="0024720E">
              <w:rPr>
                <w:noProof/>
                <w:sz w:val="20"/>
                <w:szCs w:val="20"/>
              </w:rPr>
              <w:t>Slovenia</w:t>
            </w:r>
            <w:bookmarkEnd w:id="2056"/>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8EBAFC4" w14:textId="77777777" w:rsidR="008C3FA5" w:rsidRPr="008C3FA5" w:rsidRDefault="008C3FA5" w:rsidP="008C3FA5">
            <w:pPr>
              <w:jc w:val="right"/>
              <w:outlineLvl w:val="0"/>
              <w:rPr>
                <w:noProof/>
                <w:sz w:val="20"/>
                <w:szCs w:val="20"/>
              </w:rPr>
            </w:pPr>
            <w:bookmarkStart w:id="2057" w:name="_Toc223981655"/>
            <w:r w:rsidRPr="008C3FA5">
              <w:rPr>
                <w:noProof/>
                <w:sz w:val="20"/>
                <w:szCs w:val="20"/>
              </w:rPr>
              <w:t>0.0</w:t>
            </w:r>
            <w:bookmarkEnd w:id="2057"/>
          </w:p>
        </w:tc>
        <w:tc>
          <w:tcPr>
            <w:tcW w:w="781" w:type="pct"/>
            <w:tcBorders>
              <w:top w:val="nil"/>
              <w:left w:val="nil"/>
              <w:bottom w:val="single" w:sz="4" w:space="0" w:color="auto"/>
              <w:right w:val="single" w:sz="4" w:space="0" w:color="auto"/>
            </w:tcBorders>
            <w:shd w:val="clear" w:color="000000" w:fill="FFFFFF"/>
            <w:noWrap/>
            <w:hideMark/>
          </w:tcPr>
          <w:p w14:paraId="14C2CE11" w14:textId="77777777" w:rsidR="008C3FA5" w:rsidRPr="008C3FA5" w:rsidRDefault="008C3FA5" w:rsidP="008C3FA5">
            <w:pPr>
              <w:jc w:val="right"/>
              <w:outlineLvl w:val="0"/>
              <w:rPr>
                <w:noProof/>
                <w:sz w:val="20"/>
                <w:szCs w:val="20"/>
              </w:rPr>
            </w:pPr>
            <w:bookmarkStart w:id="2058" w:name="_Toc223981656"/>
            <w:r w:rsidRPr="008C3FA5">
              <w:rPr>
                <w:noProof/>
                <w:sz w:val="20"/>
                <w:szCs w:val="20"/>
              </w:rPr>
              <w:t>0.0</w:t>
            </w:r>
            <w:bookmarkEnd w:id="2058"/>
          </w:p>
        </w:tc>
        <w:tc>
          <w:tcPr>
            <w:tcW w:w="781" w:type="pct"/>
            <w:tcBorders>
              <w:top w:val="nil"/>
              <w:left w:val="nil"/>
              <w:bottom w:val="single" w:sz="4" w:space="0" w:color="auto"/>
              <w:right w:val="single" w:sz="4" w:space="0" w:color="auto"/>
            </w:tcBorders>
            <w:shd w:val="clear" w:color="000000" w:fill="FFFFFF"/>
            <w:noWrap/>
            <w:hideMark/>
          </w:tcPr>
          <w:p w14:paraId="1068302E" w14:textId="77777777" w:rsidR="008C3FA5" w:rsidRPr="008C3FA5" w:rsidRDefault="008C3FA5" w:rsidP="008C3FA5">
            <w:pPr>
              <w:jc w:val="right"/>
              <w:outlineLvl w:val="0"/>
              <w:rPr>
                <w:noProof/>
                <w:sz w:val="20"/>
                <w:szCs w:val="20"/>
              </w:rPr>
            </w:pPr>
            <w:bookmarkStart w:id="2059" w:name="_Toc223981657"/>
            <w:r w:rsidRPr="008C3FA5">
              <w:rPr>
                <w:noProof/>
                <w:sz w:val="20"/>
                <w:szCs w:val="20"/>
              </w:rPr>
              <w:t>0.0</w:t>
            </w:r>
            <w:bookmarkEnd w:id="2059"/>
          </w:p>
        </w:tc>
        <w:tc>
          <w:tcPr>
            <w:tcW w:w="781" w:type="pct"/>
            <w:tcBorders>
              <w:top w:val="nil"/>
              <w:left w:val="nil"/>
              <w:bottom w:val="single" w:sz="4" w:space="0" w:color="auto"/>
              <w:right w:val="single" w:sz="4" w:space="0" w:color="auto"/>
            </w:tcBorders>
            <w:shd w:val="clear" w:color="000000" w:fill="FFFFFF"/>
            <w:noWrap/>
            <w:hideMark/>
          </w:tcPr>
          <w:p w14:paraId="080D0B90" w14:textId="77777777" w:rsidR="008C3FA5" w:rsidRPr="008C3FA5" w:rsidRDefault="008C3FA5" w:rsidP="008C3FA5">
            <w:pPr>
              <w:jc w:val="right"/>
              <w:outlineLvl w:val="0"/>
              <w:rPr>
                <w:noProof/>
                <w:sz w:val="20"/>
                <w:szCs w:val="20"/>
              </w:rPr>
            </w:pPr>
            <w:bookmarkStart w:id="2060" w:name="_Toc223981658"/>
            <w:r w:rsidRPr="008C3FA5">
              <w:rPr>
                <w:noProof/>
                <w:sz w:val="20"/>
                <w:szCs w:val="20"/>
              </w:rPr>
              <w:t>0.0</w:t>
            </w:r>
            <w:bookmarkEnd w:id="2060"/>
          </w:p>
        </w:tc>
      </w:tr>
      <w:tr w:rsidR="008C3FA5" w:rsidRPr="0024720E" w14:paraId="0F8BBDA0"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354C07A4" w14:textId="77777777" w:rsidR="008C3FA5" w:rsidRPr="0024720E" w:rsidRDefault="008C3FA5" w:rsidP="008C3FA5">
            <w:pPr>
              <w:outlineLvl w:val="0"/>
              <w:rPr>
                <w:noProof/>
                <w:sz w:val="20"/>
                <w:szCs w:val="20"/>
              </w:rPr>
            </w:pPr>
            <w:r w:rsidRPr="0024720E">
              <w:rPr>
                <w:noProof/>
                <w:sz w:val="20"/>
                <w:szCs w:val="20"/>
              </w:rPr>
              <w:t xml:space="preserve"> </w:t>
            </w:r>
            <w:bookmarkStart w:id="2061" w:name="_Toc223981659"/>
            <w:r w:rsidRPr="0024720E">
              <w:rPr>
                <w:noProof/>
                <w:sz w:val="20"/>
                <w:szCs w:val="20"/>
              </w:rPr>
              <w:t>Latvia</w:t>
            </w:r>
            <w:bookmarkEnd w:id="2061"/>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0CDFDD0" w14:textId="77777777" w:rsidR="008C3FA5" w:rsidRPr="008C3FA5" w:rsidRDefault="008C3FA5" w:rsidP="008C3FA5">
            <w:pPr>
              <w:jc w:val="right"/>
              <w:outlineLvl w:val="0"/>
              <w:rPr>
                <w:noProof/>
                <w:sz w:val="20"/>
                <w:szCs w:val="20"/>
              </w:rPr>
            </w:pPr>
            <w:bookmarkStart w:id="2062" w:name="_Toc223981660"/>
            <w:r w:rsidRPr="008C3FA5">
              <w:rPr>
                <w:noProof/>
                <w:sz w:val="20"/>
                <w:szCs w:val="20"/>
              </w:rPr>
              <w:t>0.0</w:t>
            </w:r>
            <w:bookmarkEnd w:id="2062"/>
          </w:p>
        </w:tc>
        <w:tc>
          <w:tcPr>
            <w:tcW w:w="781" w:type="pct"/>
            <w:tcBorders>
              <w:top w:val="nil"/>
              <w:left w:val="nil"/>
              <w:bottom w:val="single" w:sz="4" w:space="0" w:color="auto"/>
              <w:right w:val="single" w:sz="4" w:space="0" w:color="auto"/>
            </w:tcBorders>
            <w:shd w:val="clear" w:color="000000" w:fill="FFFFFF"/>
            <w:noWrap/>
            <w:hideMark/>
          </w:tcPr>
          <w:p w14:paraId="398EE93B" w14:textId="77777777" w:rsidR="008C3FA5" w:rsidRPr="008C3FA5" w:rsidRDefault="008C3FA5" w:rsidP="008C3FA5">
            <w:pPr>
              <w:jc w:val="right"/>
              <w:outlineLvl w:val="0"/>
              <w:rPr>
                <w:noProof/>
                <w:sz w:val="20"/>
                <w:szCs w:val="20"/>
              </w:rPr>
            </w:pPr>
            <w:bookmarkStart w:id="2063" w:name="_Toc223981661"/>
            <w:r w:rsidRPr="008C3FA5">
              <w:rPr>
                <w:noProof/>
                <w:sz w:val="20"/>
                <w:szCs w:val="20"/>
              </w:rPr>
              <w:t>0.0</w:t>
            </w:r>
            <w:bookmarkEnd w:id="2063"/>
          </w:p>
        </w:tc>
        <w:tc>
          <w:tcPr>
            <w:tcW w:w="781" w:type="pct"/>
            <w:tcBorders>
              <w:top w:val="nil"/>
              <w:left w:val="nil"/>
              <w:bottom w:val="single" w:sz="4" w:space="0" w:color="auto"/>
              <w:right w:val="single" w:sz="4" w:space="0" w:color="auto"/>
            </w:tcBorders>
            <w:shd w:val="clear" w:color="000000" w:fill="FFFFFF"/>
            <w:noWrap/>
            <w:hideMark/>
          </w:tcPr>
          <w:p w14:paraId="3A966004" w14:textId="77777777" w:rsidR="008C3FA5" w:rsidRPr="008C3FA5" w:rsidRDefault="008C3FA5" w:rsidP="008C3FA5">
            <w:pPr>
              <w:jc w:val="right"/>
              <w:outlineLvl w:val="0"/>
              <w:rPr>
                <w:noProof/>
                <w:sz w:val="20"/>
                <w:szCs w:val="20"/>
              </w:rPr>
            </w:pPr>
            <w:bookmarkStart w:id="2064" w:name="_Toc223981662"/>
            <w:r w:rsidRPr="008C3FA5">
              <w:rPr>
                <w:noProof/>
                <w:sz w:val="20"/>
                <w:szCs w:val="20"/>
              </w:rPr>
              <w:t>0.0</w:t>
            </w:r>
            <w:bookmarkEnd w:id="2064"/>
          </w:p>
        </w:tc>
        <w:tc>
          <w:tcPr>
            <w:tcW w:w="781" w:type="pct"/>
            <w:tcBorders>
              <w:top w:val="nil"/>
              <w:left w:val="nil"/>
              <w:bottom w:val="single" w:sz="4" w:space="0" w:color="auto"/>
              <w:right w:val="single" w:sz="4" w:space="0" w:color="auto"/>
            </w:tcBorders>
            <w:shd w:val="clear" w:color="000000" w:fill="FFFFFF"/>
            <w:noWrap/>
            <w:hideMark/>
          </w:tcPr>
          <w:p w14:paraId="35EE3C4A" w14:textId="77777777" w:rsidR="008C3FA5" w:rsidRPr="008C3FA5" w:rsidRDefault="008C3FA5" w:rsidP="008C3FA5">
            <w:pPr>
              <w:jc w:val="right"/>
              <w:outlineLvl w:val="0"/>
              <w:rPr>
                <w:noProof/>
                <w:sz w:val="20"/>
                <w:szCs w:val="20"/>
              </w:rPr>
            </w:pPr>
            <w:bookmarkStart w:id="2065" w:name="_Toc223981663"/>
            <w:r w:rsidRPr="008C3FA5">
              <w:rPr>
                <w:noProof/>
                <w:sz w:val="20"/>
                <w:szCs w:val="20"/>
              </w:rPr>
              <w:t>0.0</w:t>
            </w:r>
            <w:bookmarkEnd w:id="2065"/>
          </w:p>
        </w:tc>
      </w:tr>
      <w:tr w:rsidR="008C3FA5" w:rsidRPr="0024720E" w14:paraId="7A31185D"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7EF65553" w14:textId="77777777" w:rsidR="008C3FA5" w:rsidRPr="0024720E" w:rsidRDefault="008C3FA5" w:rsidP="008C3FA5">
            <w:pPr>
              <w:outlineLvl w:val="0"/>
              <w:rPr>
                <w:noProof/>
                <w:sz w:val="20"/>
                <w:szCs w:val="20"/>
              </w:rPr>
            </w:pPr>
            <w:r w:rsidRPr="0024720E">
              <w:rPr>
                <w:noProof/>
                <w:sz w:val="20"/>
                <w:szCs w:val="20"/>
              </w:rPr>
              <w:t xml:space="preserve"> </w:t>
            </w:r>
            <w:bookmarkStart w:id="2066" w:name="_Toc223981664"/>
            <w:r w:rsidRPr="0024720E">
              <w:rPr>
                <w:noProof/>
                <w:sz w:val="20"/>
                <w:szCs w:val="20"/>
              </w:rPr>
              <w:t>Romania</w:t>
            </w:r>
            <w:bookmarkEnd w:id="2066"/>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4B3445D1" w14:textId="77777777" w:rsidR="008C3FA5" w:rsidRPr="008C3FA5" w:rsidRDefault="008C3FA5" w:rsidP="008C3FA5">
            <w:pPr>
              <w:jc w:val="right"/>
              <w:outlineLvl w:val="0"/>
              <w:rPr>
                <w:noProof/>
                <w:sz w:val="20"/>
                <w:szCs w:val="20"/>
              </w:rPr>
            </w:pPr>
            <w:bookmarkStart w:id="2067" w:name="_Toc223981665"/>
            <w:r w:rsidRPr="008C3FA5">
              <w:rPr>
                <w:noProof/>
                <w:sz w:val="20"/>
                <w:szCs w:val="20"/>
              </w:rPr>
              <w:t>0.0</w:t>
            </w:r>
            <w:bookmarkEnd w:id="2067"/>
          </w:p>
        </w:tc>
        <w:tc>
          <w:tcPr>
            <w:tcW w:w="781" w:type="pct"/>
            <w:tcBorders>
              <w:top w:val="nil"/>
              <w:left w:val="nil"/>
              <w:bottom w:val="single" w:sz="4" w:space="0" w:color="auto"/>
              <w:right w:val="single" w:sz="4" w:space="0" w:color="auto"/>
            </w:tcBorders>
            <w:shd w:val="clear" w:color="000000" w:fill="FFFFFF"/>
            <w:noWrap/>
            <w:hideMark/>
          </w:tcPr>
          <w:p w14:paraId="2F6735B9" w14:textId="77777777" w:rsidR="008C3FA5" w:rsidRPr="008C3FA5" w:rsidRDefault="008C3FA5" w:rsidP="008C3FA5">
            <w:pPr>
              <w:jc w:val="right"/>
              <w:outlineLvl w:val="0"/>
              <w:rPr>
                <w:noProof/>
                <w:sz w:val="20"/>
                <w:szCs w:val="20"/>
              </w:rPr>
            </w:pPr>
            <w:bookmarkStart w:id="2068" w:name="_Toc223981666"/>
            <w:r w:rsidRPr="008C3FA5">
              <w:rPr>
                <w:noProof/>
                <w:sz w:val="20"/>
                <w:szCs w:val="20"/>
              </w:rPr>
              <w:t>0.0</w:t>
            </w:r>
            <w:bookmarkEnd w:id="2068"/>
          </w:p>
        </w:tc>
        <w:tc>
          <w:tcPr>
            <w:tcW w:w="781" w:type="pct"/>
            <w:tcBorders>
              <w:top w:val="nil"/>
              <w:left w:val="nil"/>
              <w:bottom w:val="single" w:sz="4" w:space="0" w:color="auto"/>
              <w:right w:val="single" w:sz="4" w:space="0" w:color="auto"/>
            </w:tcBorders>
            <w:shd w:val="clear" w:color="000000" w:fill="FFFFFF"/>
            <w:noWrap/>
            <w:hideMark/>
          </w:tcPr>
          <w:p w14:paraId="2584C909" w14:textId="77777777" w:rsidR="008C3FA5" w:rsidRPr="008C3FA5" w:rsidRDefault="008C3FA5" w:rsidP="008C3FA5">
            <w:pPr>
              <w:jc w:val="right"/>
              <w:outlineLvl w:val="0"/>
              <w:rPr>
                <w:noProof/>
                <w:sz w:val="20"/>
                <w:szCs w:val="20"/>
              </w:rPr>
            </w:pPr>
            <w:bookmarkStart w:id="2069" w:name="_Toc223981667"/>
            <w:r w:rsidRPr="008C3FA5">
              <w:rPr>
                <w:noProof/>
                <w:sz w:val="20"/>
                <w:szCs w:val="20"/>
              </w:rPr>
              <w:t>0.0</w:t>
            </w:r>
            <w:bookmarkEnd w:id="2069"/>
          </w:p>
        </w:tc>
        <w:tc>
          <w:tcPr>
            <w:tcW w:w="781" w:type="pct"/>
            <w:tcBorders>
              <w:top w:val="nil"/>
              <w:left w:val="nil"/>
              <w:bottom w:val="single" w:sz="4" w:space="0" w:color="auto"/>
              <w:right w:val="single" w:sz="4" w:space="0" w:color="auto"/>
            </w:tcBorders>
            <w:shd w:val="clear" w:color="000000" w:fill="FFFFFF"/>
            <w:noWrap/>
            <w:hideMark/>
          </w:tcPr>
          <w:p w14:paraId="7221150A" w14:textId="77777777" w:rsidR="008C3FA5" w:rsidRPr="008C3FA5" w:rsidRDefault="008C3FA5" w:rsidP="008C3FA5">
            <w:pPr>
              <w:jc w:val="right"/>
              <w:outlineLvl w:val="0"/>
              <w:rPr>
                <w:noProof/>
                <w:sz w:val="20"/>
                <w:szCs w:val="20"/>
              </w:rPr>
            </w:pPr>
            <w:bookmarkStart w:id="2070" w:name="_Toc223981668"/>
            <w:r w:rsidRPr="008C3FA5">
              <w:rPr>
                <w:noProof/>
                <w:sz w:val="20"/>
                <w:szCs w:val="20"/>
              </w:rPr>
              <w:t>0.0</w:t>
            </w:r>
            <w:bookmarkEnd w:id="2070"/>
          </w:p>
        </w:tc>
      </w:tr>
      <w:tr w:rsidR="008C3FA5" w:rsidRPr="0024720E" w14:paraId="5FBFA8DF"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4880B22D" w14:textId="77777777" w:rsidR="008C3FA5" w:rsidRPr="0024720E" w:rsidRDefault="008C3FA5" w:rsidP="008C3FA5">
            <w:pPr>
              <w:outlineLvl w:val="0"/>
              <w:rPr>
                <w:noProof/>
                <w:sz w:val="20"/>
                <w:szCs w:val="20"/>
              </w:rPr>
            </w:pPr>
            <w:r w:rsidRPr="0024720E">
              <w:rPr>
                <w:noProof/>
                <w:sz w:val="20"/>
                <w:szCs w:val="20"/>
              </w:rPr>
              <w:t xml:space="preserve"> </w:t>
            </w:r>
            <w:bookmarkStart w:id="2071" w:name="_Toc223981669"/>
            <w:r w:rsidRPr="0024720E">
              <w:rPr>
                <w:noProof/>
                <w:sz w:val="20"/>
                <w:szCs w:val="20"/>
              </w:rPr>
              <w:t>Slovakia</w:t>
            </w:r>
            <w:bookmarkEnd w:id="2071"/>
            <w:r w:rsidRPr="0024720E">
              <w:rPr>
                <w:noProof/>
                <w:sz w:val="20"/>
                <w:szCs w:val="20"/>
              </w:rPr>
              <w:t xml:space="preserve"> </w:t>
            </w:r>
          </w:p>
        </w:tc>
        <w:tc>
          <w:tcPr>
            <w:tcW w:w="780" w:type="pct"/>
            <w:tcBorders>
              <w:top w:val="nil"/>
              <w:left w:val="nil"/>
              <w:bottom w:val="single" w:sz="4" w:space="0" w:color="auto"/>
              <w:right w:val="single" w:sz="4" w:space="0" w:color="auto"/>
            </w:tcBorders>
            <w:shd w:val="clear" w:color="000000" w:fill="FFFFFF"/>
            <w:noWrap/>
            <w:hideMark/>
          </w:tcPr>
          <w:p w14:paraId="0C405512" w14:textId="36CF1BE9" w:rsidR="008C3FA5" w:rsidRPr="008C3FA5" w:rsidRDefault="008C3FA5" w:rsidP="008C3FA5">
            <w:pPr>
              <w:jc w:val="right"/>
              <w:outlineLvl w:val="0"/>
              <w:rPr>
                <w:noProof/>
                <w:sz w:val="20"/>
                <w:szCs w:val="20"/>
              </w:rPr>
            </w:pPr>
            <w:bookmarkStart w:id="2072" w:name="_Toc223981670"/>
            <w:r w:rsidRPr="008C3FA5">
              <w:rPr>
                <w:noProof/>
                <w:sz w:val="20"/>
                <w:szCs w:val="20"/>
              </w:rPr>
              <w:t>34.6</w:t>
            </w:r>
            <w:bookmarkEnd w:id="2072"/>
          </w:p>
        </w:tc>
        <w:tc>
          <w:tcPr>
            <w:tcW w:w="781" w:type="pct"/>
            <w:tcBorders>
              <w:top w:val="nil"/>
              <w:left w:val="nil"/>
              <w:bottom w:val="single" w:sz="4" w:space="0" w:color="auto"/>
              <w:right w:val="single" w:sz="4" w:space="0" w:color="auto"/>
            </w:tcBorders>
            <w:shd w:val="clear" w:color="000000" w:fill="FFFFFF"/>
            <w:noWrap/>
            <w:hideMark/>
          </w:tcPr>
          <w:p w14:paraId="1B0C5C86" w14:textId="426E7C68" w:rsidR="008C3FA5" w:rsidRPr="008C3FA5" w:rsidRDefault="008C3FA5" w:rsidP="008C3FA5">
            <w:pPr>
              <w:jc w:val="right"/>
              <w:outlineLvl w:val="0"/>
              <w:rPr>
                <w:noProof/>
                <w:sz w:val="20"/>
                <w:szCs w:val="20"/>
              </w:rPr>
            </w:pPr>
            <w:bookmarkStart w:id="2073" w:name="_Toc223981671"/>
            <w:r w:rsidRPr="008C3FA5">
              <w:rPr>
                <w:noProof/>
                <w:sz w:val="20"/>
                <w:szCs w:val="20"/>
              </w:rPr>
              <w:t>5.2</w:t>
            </w:r>
            <w:bookmarkEnd w:id="2073"/>
          </w:p>
        </w:tc>
        <w:tc>
          <w:tcPr>
            <w:tcW w:w="781" w:type="pct"/>
            <w:tcBorders>
              <w:top w:val="nil"/>
              <w:left w:val="nil"/>
              <w:bottom w:val="single" w:sz="4" w:space="0" w:color="auto"/>
              <w:right w:val="single" w:sz="4" w:space="0" w:color="auto"/>
            </w:tcBorders>
            <w:shd w:val="clear" w:color="000000" w:fill="FFFFFF"/>
            <w:noWrap/>
            <w:hideMark/>
          </w:tcPr>
          <w:p w14:paraId="44463102" w14:textId="23A7758E" w:rsidR="008C3FA5" w:rsidRPr="008C3FA5" w:rsidRDefault="008C3FA5" w:rsidP="008C3FA5">
            <w:pPr>
              <w:jc w:val="right"/>
              <w:outlineLvl w:val="0"/>
              <w:rPr>
                <w:noProof/>
                <w:sz w:val="20"/>
                <w:szCs w:val="20"/>
              </w:rPr>
            </w:pPr>
            <w:bookmarkStart w:id="2074" w:name="_Toc223981672"/>
            <w:r w:rsidRPr="008C3FA5">
              <w:rPr>
                <w:noProof/>
                <w:sz w:val="20"/>
                <w:szCs w:val="20"/>
              </w:rPr>
              <w:t>8.4</w:t>
            </w:r>
            <w:bookmarkEnd w:id="2074"/>
          </w:p>
        </w:tc>
        <w:tc>
          <w:tcPr>
            <w:tcW w:w="781" w:type="pct"/>
            <w:tcBorders>
              <w:top w:val="nil"/>
              <w:left w:val="nil"/>
              <w:bottom w:val="single" w:sz="4" w:space="0" w:color="auto"/>
              <w:right w:val="single" w:sz="4" w:space="0" w:color="auto"/>
            </w:tcBorders>
            <w:shd w:val="clear" w:color="000000" w:fill="FFFFFF"/>
            <w:noWrap/>
            <w:hideMark/>
          </w:tcPr>
          <w:p w14:paraId="53D2F9A2" w14:textId="6A557EE8" w:rsidR="008C3FA5" w:rsidRPr="008C3FA5" w:rsidRDefault="008C3FA5" w:rsidP="008C3FA5">
            <w:pPr>
              <w:jc w:val="right"/>
              <w:outlineLvl w:val="0"/>
              <w:rPr>
                <w:noProof/>
                <w:sz w:val="20"/>
                <w:szCs w:val="20"/>
              </w:rPr>
            </w:pPr>
            <w:bookmarkStart w:id="2075" w:name="_Toc223981673"/>
            <w:r w:rsidRPr="008C3FA5">
              <w:rPr>
                <w:noProof/>
                <w:sz w:val="20"/>
                <w:szCs w:val="20"/>
              </w:rPr>
              <w:t>6.0</w:t>
            </w:r>
            <w:bookmarkEnd w:id="2075"/>
          </w:p>
        </w:tc>
      </w:tr>
      <w:tr w:rsidR="008C3FA5" w:rsidRPr="0024720E" w14:paraId="14DD9E13" w14:textId="77777777" w:rsidTr="0024720E">
        <w:trPr>
          <w:trHeight w:val="225"/>
        </w:trPr>
        <w:tc>
          <w:tcPr>
            <w:tcW w:w="1876" w:type="pct"/>
            <w:tcBorders>
              <w:top w:val="nil"/>
              <w:left w:val="single" w:sz="4" w:space="0" w:color="auto"/>
              <w:bottom w:val="single" w:sz="4" w:space="0" w:color="auto"/>
              <w:right w:val="single" w:sz="4" w:space="0" w:color="auto"/>
            </w:tcBorders>
            <w:shd w:val="clear" w:color="000000" w:fill="FFFFFF"/>
            <w:noWrap/>
            <w:hideMark/>
          </w:tcPr>
          <w:p w14:paraId="56BE57DD" w14:textId="42F27F7B" w:rsidR="008C3FA5" w:rsidRPr="0024720E" w:rsidRDefault="008C3FA5" w:rsidP="008C3FA5">
            <w:pPr>
              <w:rPr>
                <w:b/>
                <w:bCs/>
                <w:noProof/>
                <w:sz w:val="20"/>
                <w:szCs w:val="20"/>
              </w:rPr>
            </w:pPr>
            <w:r w:rsidRPr="0024720E">
              <w:rPr>
                <w:b/>
                <w:bCs/>
                <w:noProof/>
                <w:sz w:val="20"/>
                <w:szCs w:val="20"/>
              </w:rPr>
              <w:t xml:space="preserve"> Total </w:t>
            </w:r>
          </w:p>
        </w:tc>
        <w:tc>
          <w:tcPr>
            <w:tcW w:w="780" w:type="pct"/>
            <w:tcBorders>
              <w:top w:val="nil"/>
              <w:left w:val="nil"/>
              <w:bottom w:val="single" w:sz="4" w:space="0" w:color="auto"/>
              <w:right w:val="single" w:sz="4" w:space="0" w:color="auto"/>
            </w:tcBorders>
            <w:shd w:val="clear" w:color="000000" w:fill="FFFFFF"/>
            <w:noWrap/>
            <w:hideMark/>
          </w:tcPr>
          <w:p w14:paraId="5F3DA5DB" w14:textId="6CF27E91" w:rsidR="008C3FA5" w:rsidRPr="008C3FA5" w:rsidRDefault="008C3FA5" w:rsidP="008C3FA5">
            <w:pPr>
              <w:jc w:val="right"/>
              <w:rPr>
                <w:b/>
                <w:bCs/>
                <w:noProof/>
                <w:sz w:val="20"/>
                <w:szCs w:val="20"/>
              </w:rPr>
            </w:pPr>
            <w:r w:rsidRPr="008C3FA5">
              <w:rPr>
                <w:b/>
                <w:bCs/>
                <w:noProof/>
                <w:sz w:val="20"/>
                <w:szCs w:val="20"/>
              </w:rPr>
              <w:t>3,464.8</w:t>
            </w:r>
          </w:p>
        </w:tc>
        <w:tc>
          <w:tcPr>
            <w:tcW w:w="781" w:type="pct"/>
            <w:tcBorders>
              <w:top w:val="nil"/>
              <w:left w:val="nil"/>
              <w:bottom w:val="single" w:sz="4" w:space="0" w:color="auto"/>
              <w:right w:val="single" w:sz="4" w:space="0" w:color="auto"/>
            </w:tcBorders>
            <w:shd w:val="clear" w:color="000000" w:fill="FFFFFF"/>
            <w:noWrap/>
            <w:hideMark/>
          </w:tcPr>
          <w:p w14:paraId="5B10A3F7" w14:textId="2DEE7D48" w:rsidR="008C3FA5" w:rsidRPr="008C3FA5" w:rsidRDefault="008C3FA5" w:rsidP="008C3FA5">
            <w:pPr>
              <w:jc w:val="right"/>
              <w:rPr>
                <w:b/>
                <w:bCs/>
                <w:noProof/>
                <w:sz w:val="20"/>
                <w:szCs w:val="20"/>
              </w:rPr>
            </w:pPr>
            <w:r w:rsidRPr="008C3FA5">
              <w:rPr>
                <w:b/>
                <w:bCs/>
                <w:noProof/>
                <w:sz w:val="20"/>
                <w:szCs w:val="20"/>
              </w:rPr>
              <w:t>523.8</w:t>
            </w:r>
          </w:p>
        </w:tc>
        <w:tc>
          <w:tcPr>
            <w:tcW w:w="781" w:type="pct"/>
            <w:tcBorders>
              <w:top w:val="nil"/>
              <w:left w:val="nil"/>
              <w:bottom w:val="single" w:sz="4" w:space="0" w:color="auto"/>
              <w:right w:val="single" w:sz="4" w:space="0" w:color="auto"/>
            </w:tcBorders>
            <w:shd w:val="clear" w:color="000000" w:fill="FFFFFF"/>
            <w:noWrap/>
            <w:hideMark/>
          </w:tcPr>
          <w:p w14:paraId="286F19AB" w14:textId="31490FB2" w:rsidR="008C3FA5" w:rsidRPr="008C3FA5" w:rsidRDefault="008C3FA5" w:rsidP="008C3FA5">
            <w:pPr>
              <w:jc w:val="right"/>
              <w:rPr>
                <w:b/>
                <w:bCs/>
                <w:noProof/>
                <w:sz w:val="20"/>
                <w:szCs w:val="20"/>
              </w:rPr>
            </w:pPr>
            <w:r w:rsidRPr="008C3FA5">
              <w:rPr>
                <w:b/>
                <w:bCs/>
                <w:noProof/>
                <w:sz w:val="20"/>
                <w:szCs w:val="20"/>
              </w:rPr>
              <w:t>839.7</w:t>
            </w:r>
          </w:p>
        </w:tc>
        <w:tc>
          <w:tcPr>
            <w:tcW w:w="781" w:type="pct"/>
            <w:tcBorders>
              <w:top w:val="nil"/>
              <w:left w:val="nil"/>
              <w:bottom w:val="single" w:sz="4" w:space="0" w:color="auto"/>
              <w:right w:val="single" w:sz="4" w:space="0" w:color="auto"/>
            </w:tcBorders>
            <w:shd w:val="clear" w:color="000000" w:fill="FFFFFF"/>
            <w:noWrap/>
            <w:hideMark/>
          </w:tcPr>
          <w:p w14:paraId="49386DEB" w14:textId="5AEBDFA7" w:rsidR="008C3FA5" w:rsidRPr="008C3FA5" w:rsidRDefault="008C3FA5" w:rsidP="008C3FA5">
            <w:pPr>
              <w:jc w:val="right"/>
              <w:rPr>
                <w:b/>
                <w:bCs/>
                <w:noProof/>
                <w:sz w:val="20"/>
                <w:szCs w:val="20"/>
              </w:rPr>
            </w:pPr>
            <w:r w:rsidRPr="008C3FA5">
              <w:rPr>
                <w:b/>
                <w:bCs/>
                <w:noProof/>
                <w:sz w:val="20"/>
                <w:szCs w:val="20"/>
              </w:rPr>
              <w:t>602.4</w:t>
            </w:r>
          </w:p>
        </w:tc>
      </w:tr>
    </w:tbl>
    <w:p w14:paraId="22B5254E" w14:textId="77777777" w:rsidR="002361D7" w:rsidRPr="00D71008" w:rsidRDefault="002361D7" w:rsidP="002361D7">
      <w:pPr>
        <w:tabs>
          <w:tab w:val="left" w:pos="2302"/>
        </w:tabs>
        <w:spacing w:after="240"/>
        <w:jc w:val="both"/>
        <w:rPr>
          <w:i/>
          <w:iCs/>
          <w:noProof/>
          <w:sz w:val="20"/>
          <w:szCs w:val="20"/>
        </w:rPr>
      </w:pPr>
      <w:r w:rsidRPr="0024720E">
        <w:rPr>
          <w:i/>
          <w:noProof/>
          <w:spacing w:val="-8"/>
          <w:sz w:val="20"/>
          <w:szCs w:val="20"/>
        </w:rPr>
        <w:t xml:space="preserve">Source: </w:t>
      </w:r>
      <w:r w:rsidRPr="0024720E">
        <w:rPr>
          <w:i/>
          <w:noProof/>
          <w:sz w:val="20"/>
          <w:szCs w:val="20"/>
        </w:rPr>
        <w:t>Ricardo et al. (2026), Impact assessment support study</w:t>
      </w:r>
    </w:p>
    <w:p w14:paraId="0B6BB71E" w14:textId="75E7C217" w:rsidR="00176536" w:rsidRPr="007670B7" w:rsidRDefault="00176536" w:rsidP="00176536">
      <w:pPr>
        <w:pStyle w:val="Text4"/>
        <w:spacing w:before="0" w:after="240"/>
        <w:ind w:left="0"/>
        <w:rPr>
          <w:rFonts w:ascii="Times New Roman" w:eastAsia="Calibri" w:hAnsi="Times New Roman"/>
          <w:noProof/>
          <w:spacing w:val="-8"/>
          <w:sz w:val="24"/>
          <w:szCs w:val="24"/>
        </w:rPr>
      </w:pPr>
      <w:r w:rsidRPr="007670B7">
        <w:rPr>
          <w:rFonts w:ascii="Times New Roman" w:eastAsia="Calibri" w:hAnsi="Times New Roman"/>
          <w:noProof/>
          <w:spacing w:val="-8"/>
          <w:sz w:val="24"/>
          <w:szCs w:val="24"/>
        </w:rPr>
        <w:t>Expressed as present value over 2028-2050 relative to the baseline, the total one-off and recurrent adjustment costs due to PM</w:t>
      </w:r>
      <w:r>
        <w:rPr>
          <w:rFonts w:ascii="Times New Roman" w:eastAsia="Calibri" w:hAnsi="Times New Roman"/>
          <w:noProof/>
          <w:spacing w:val="-8"/>
          <w:sz w:val="24"/>
          <w:szCs w:val="24"/>
        </w:rPr>
        <w:t>8</w:t>
      </w:r>
      <w:r w:rsidRPr="007670B7">
        <w:rPr>
          <w:rFonts w:ascii="Times New Roman" w:eastAsia="Calibri" w:hAnsi="Times New Roman"/>
          <w:noProof/>
          <w:spacing w:val="-8"/>
          <w:sz w:val="24"/>
          <w:szCs w:val="24"/>
        </w:rPr>
        <w:t xml:space="preserve"> for </w:t>
      </w:r>
      <w:r w:rsidR="0055450C">
        <w:rPr>
          <w:rFonts w:ascii="Times New Roman" w:eastAsia="Calibri" w:hAnsi="Times New Roman"/>
          <w:noProof/>
          <w:spacing w:val="-8"/>
          <w:sz w:val="24"/>
          <w:szCs w:val="24"/>
        </w:rPr>
        <w:t>non-SME</w:t>
      </w:r>
      <w:r w:rsidRPr="007670B7">
        <w:rPr>
          <w:rFonts w:ascii="Times New Roman" w:eastAsia="Calibri" w:hAnsi="Times New Roman"/>
          <w:noProof/>
          <w:spacing w:val="-8"/>
          <w:sz w:val="24"/>
          <w:szCs w:val="24"/>
        </w:rPr>
        <w:t xml:space="preserve"> B2B and B2C MDMS platforms are provided in the table below</w:t>
      </w:r>
      <w:r>
        <w:rPr>
          <w:rFonts w:ascii="Times New Roman" w:eastAsia="Calibri" w:hAnsi="Times New Roman"/>
          <w:noProof/>
          <w:spacing w:val="-8"/>
          <w:sz w:val="24"/>
          <w:szCs w:val="24"/>
        </w:rPr>
        <w:t>,</w:t>
      </w:r>
      <w:r w:rsidRPr="007670B7">
        <w:rPr>
          <w:rFonts w:ascii="Times New Roman" w:eastAsia="Calibri" w:hAnsi="Times New Roman"/>
          <w:noProof/>
          <w:spacing w:val="-8"/>
          <w:sz w:val="24"/>
          <w:szCs w:val="24"/>
        </w:rPr>
        <w:t xml:space="preserve"> by policy option.</w:t>
      </w:r>
    </w:p>
    <w:p w14:paraId="3E5CADC0" w14:textId="7D6B9285" w:rsidR="00176536" w:rsidRPr="00592D9E" w:rsidRDefault="00176536" w:rsidP="00DB078C">
      <w:pPr>
        <w:keepNext/>
        <w:tabs>
          <w:tab w:val="left" w:pos="1134"/>
        </w:tabs>
        <w:jc w:val="both"/>
        <w:rPr>
          <w:i/>
          <w:noProof/>
          <w:sz w:val="22"/>
          <w:szCs w:val="22"/>
        </w:rPr>
      </w:pPr>
      <w:r w:rsidRPr="00592D9E">
        <w:rPr>
          <w:i/>
          <w:noProof/>
          <w:sz w:val="22"/>
          <w:szCs w:val="22"/>
        </w:rPr>
        <w:t xml:space="preserve">Table </w:t>
      </w:r>
      <w:r w:rsidRPr="00592D9E">
        <w:rPr>
          <w:i/>
          <w:noProof/>
          <w:sz w:val="22"/>
          <w:szCs w:val="22"/>
        </w:rPr>
        <w:fldChar w:fldCharType="begin"/>
      </w:r>
      <w:r w:rsidRPr="00DB078C">
        <w:rPr>
          <w:i/>
          <w:noProof/>
          <w:sz w:val="22"/>
          <w:szCs w:val="22"/>
        </w:rPr>
        <w:instrText xml:space="preserve"> SEQ Table \* ARABIC </w:instrText>
      </w:r>
      <w:r w:rsidRPr="00592D9E">
        <w:rPr>
          <w:i/>
          <w:noProof/>
          <w:sz w:val="22"/>
          <w:szCs w:val="22"/>
        </w:rPr>
        <w:fldChar w:fldCharType="separate"/>
      </w:r>
      <w:r w:rsidR="0055391F">
        <w:rPr>
          <w:i/>
          <w:noProof/>
          <w:sz w:val="22"/>
          <w:szCs w:val="22"/>
        </w:rPr>
        <w:t>100</w:t>
      </w:r>
      <w:r w:rsidRPr="00592D9E">
        <w:rPr>
          <w:i/>
          <w:noProof/>
          <w:sz w:val="22"/>
          <w:szCs w:val="22"/>
        </w:rPr>
        <w:fldChar w:fldCharType="end"/>
      </w:r>
      <w:r w:rsidRPr="00592D9E">
        <w:rPr>
          <w:i/>
          <w:noProof/>
          <w:sz w:val="22"/>
          <w:szCs w:val="22"/>
        </w:rPr>
        <w:t xml:space="preserve">: One-off and recurrent adjustment costs for </w:t>
      </w:r>
      <w:r w:rsidR="0055450C">
        <w:rPr>
          <w:i/>
          <w:noProof/>
          <w:sz w:val="22"/>
          <w:szCs w:val="22"/>
        </w:rPr>
        <w:t>non-SME</w:t>
      </w:r>
      <w:r w:rsidRPr="00592D9E">
        <w:rPr>
          <w:i/>
          <w:noProof/>
          <w:sz w:val="22"/>
          <w:szCs w:val="22"/>
        </w:rPr>
        <w:t xml:space="preserve"> MDMS platforms (B2B and B2C) due to PM8 in the policy options, expressed as present value over 2028-2050 relative to the baseline (in million EUR,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658"/>
        <w:gridCol w:w="1657"/>
        <w:gridCol w:w="1657"/>
        <w:gridCol w:w="1659"/>
      </w:tblGrid>
      <w:tr w:rsidR="008B08F9" w:rsidRPr="00D57180" w14:paraId="41B10D6E" w14:textId="77777777" w:rsidTr="00C96AE5">
        <w:trPr>
          <w:trHeight w:val="282"/>
          <w:tblHeader/>
        </w:trPr>
        <w:tc>
          <w:tcPr>
            <w:tcW w:w="1547" w:type="pct"/>
            <w:vMerge w:val="restart"/>
            <w:shd w:val="clear" w:color="000000" w:fill="0070C0"/>
          </w:tcPr>
          <w:p w14:paraId="7F521498" w14:textId="77777777" w:rsidR="008B08F9" w:rsidRPr="00592D9E" w:rsidRDefault="008B08F9" w:rsidP="0044460C">
            <w:pPr>
              <w:pStyle w:val="BodyText"/>
              <w:rPr>
                <w:b/>
                <w:noProof/>
                <w:sz w:val="20"/>
                <w:szCs w:val="20"/>
                <w:lang w:eastAsia="en-IE"/>
              </w:rPr>
            </w:pPr>
          </w:p>
        </w:tc>
        <w:tc>
          <w:tcPr>
            <w:tcW w:w="3453" w:type="pct"/>
            <w:gridSpan w:val="4"/>
            <w:shd w:val="clear" w:color="000000" w:fill="0070C0"/>
            <w:hideMark/>
          </w:tcPr>
          <w:p w14:paraId="0AED03A2" w14:textId="77777777" w:rsidR="008B08F9" w:rsidRPr="00592D9E" w:rsidRDefault="008B08F9" w:rsidP="00606CE7">
            <w:pPr>
              <w:pStyle w:val="BodyText"/>
              <w:ind w:left="0"/>
              <w:jc w:val="center"/>
              <w:rPr>
                <w:b/>
                <w:noProof/>
                <w:color w:val="FFFFFF" w:themeColor="background1"/>
                <w:sz w:val="20"/>
                <w:szCs w:val="20"/>
                <w:lang w:eastAsia="en-IE"/>
              </w:rPr>
            </w:pPr>
            <w:r w:rsidRPr="00592D9E">
              <w:rPr>
                <w:b/>
                <w:noProof/>
                <w:color w:val="FFFFFF" w:themeColor="background1"/>
                <w:sz w:val="20"/>
                <w:szCs w:val="20"/>
                <w:lang w:eastAsia="en-IE"/>
              </w:rPr>
              <w:t>Difference to baseline</w:t>
            </w:r>
          </w:p>
        </w:tc>
      </w:tr>
      <w:tr w:rsidR="008B08F9" w:rsidRPr="00D57180" w14:paraId="649EFCE1" w14:textId="77777777" w:rsidTr="00C96AE5">
        <w:trPr>
          <w:trHeight w:val="282"/>
          <w:tblHeader/>
        </w:trPr>
        <w:tc>
          <w:tcPr>
            <w:tcW w:w="1547" w:type="pct"/>
            <w:vMerge/>
            <w:shd w:val="clear" w:color="000000" w:fill="0070C0"/>
            <w:noWrap/>
            <w:hideMark/>
          </w:tcPr>
          <w:p w14:paraId="405D1BEA" w14:textId="77777777" w:rsidR="008B08F9" w:rsidRPr="00592D9E" w:rsidRDefault="008B08F9" w:rsidP="0044460C">
            <w:pPr>
              <w:pStyle w:val="BodyText"/>
              <w:rPr>
                <w:b/>
                <w:noProof/>
                <w:sz w:val="20"/>
                <w:szCs w:val="20"/>
                <w:lang w:eastAsia="en-IE"/>
              </w:rPr>
            </w:pPr>
          </w:p>
        </w:tc>
        <w:tc>
          <w:tcPr>
            <w:tcW w:w="863" w:type="pct"/>
            <w:shd w:val="clear" w:color="000000" w:fill="0070C0"/>
            <w:hideMark/>
          </w:tcPr>
          <w:p w14:paraId="4F04A983" w14:textId="77777777" w:rsidR="008B08F9" w:rsidRPr="00592D9E" w:rsidRDefault="008B08F9" w:rsidP="00606CE7">
            <w:pPr>
              <w:pStyle w:val="BodyText"/>
              <w:ind w:left="0"/>
              <w:jc w:val="center"/>
              <w:rPr>
                <w:b/>
                <w:noProof/>
                <w:color w:val="FFFFFF" w:themeColor="background1"/>
                <w:sz w:val="20"/>
                <w:szCs w:val="20"/>
                <w:lang w:eastAsia="en-IE"/>
              </w:rPr>
            </w:pPr>
            <w:r w:rsidRPr="00592D9E">
              <w:rPr>
                <w:b/>
                <w:noProof/>
                <w:color w:val="FFFFFF" w:themeColor="background1"/>
                <w:sz w:val="20"/>
                <w:szCs w:val="20"/>
                <w:lang w:eastAsia="en-IE"/>
              </w:rPr>
              <w:t>PO1</w:t>
            </w:r>
          </w:p>
        </w:tc>
        <w:tc>
          <w:tcPr>
            <w:tcW w:w="863" w:type="pct"/>
            <w:shd w:val="clear" w:color="000000" w:fill="0070C0"/>
            <w:hideMark/>
          </w:tcPr>
          <w:p w14:paraId="00E7E7B3" w14:textId="77777777" w:rsidR="008B08F9" w:rsidRPr="00592D9E" w:rsidRDefault="008B08F9" w:rsidP="00606CE7">
            <w:pPr>
              <w:pStyle w:val="BodyText"/>
              <w:ind w:left="0"/>
              <w:jc w:val="center"/>
              <w:rPr>
                <w:b/>
                <w:noProof/>
                <w:color w:val="FFFFFF" w:themeColor="background1"/>
                <w:sz w:val="20"/>
                <w:szCs w:val="20"/>
                <w:lang w:eastAsia="en-IE"/>
              </w:rPr>
            </w:pPr>
            <w:r w:rsidRPr="00592D9E">
              <w:rPr>
                <w:b/>
                <w:noProof/>
                <w:color w:val="FFFFFF" w:themeColor="background1"/>
                <w:sz w:val="20"/>
                <w:szCs w:val="20"/>
                <w:lang w:eastAsia="en-IE"/>
              </w:rPr>
              <w:t>PO2</w:t>
            </w:r>
          </w:p>
        </w:tc>
        <w:tc>
          <w:tcPr>
            <w:tcW w:w="863" w:type="pct"/>
            <w:shd w:val="clear" w:color="000000" w:fill="0070C0"/>
            <w:hideMark/>
          </w:tcPr>
          <w:p w14:paraId="5BB08116" w14:textId="77777777" w:rsidR="008B08F9" w:rsidRPr="00592D9E" w:rsidRDefault="008B08F9" w:rsidP="00606CE7">
            <w:pPr>
              <w:pStyle w:val="BodyText"/>
              <w:ind w:left="0"/>
              <w:jc w:val="center"/>
              <w:rPr>
                <w:b/>
                <w:noProof/>
                <w:color w:val="FFFFFF" w:themeColor="background1"/>
                <w:sz w:val="20"/>
                <w:szCs w:val="20"/>
                <w:lang w:eastAsia="en-IE"/>
              </w:rPr>
            </w:pPr>
            <w:r w:rsidRPr="00592D9E">
              <w:rPr>
                <w:b/>
                <w:noProof/>
                <w:color w:val="FFFFFF" w:themeColor="background1"/>
                <w:sz w:val="20"/>
                <w:szCs w:val="20"/>
                <w:lang w:eastAsia="en-IE"/>
              </w:rPr>
              <w:t>PO3</w:t>
            </w:r>
          </w:p>
        </w:tc>
        <w:tc>
          <w:tcPr>
            <w:tcW w:w="864" w:type="pct"/>
            <w:shd w:val="clear" w:color="000000" w:fill="0070C0"/>
            <w:hideMark/>
          </w:tcPr>
          <w:p w14:paraId="1D5518A4" w14:textId="77777777" w:rsidR="008B08F9" w:rsidRPr="00592D9E" w:rsidRDefault="008B08F9" w:rsidP="00606CE7">
            <w:pPr>
              <w:pStyle w:val="BodyText"/>
              <w:ind w:left="0"/>
              <w:jc w:val="center"/>
              <w:rPr>
                <w:b/>
                <w:noProof/>
                <w:color w:val="FFFFFF" w:themeColor="background1"/>
                <w:sz w:val="20"/>
                <w:szCs w:val="20"/>
                <w:lang w:eastAsia="en-IE"/>
              </w:rPr>
            </w:pPr>
            <w:r w:rsidRPr="00592D9E">
              <w:rPr>
                <w:b/>
                <w:noProof/>
                <w:color w:val="FFFFFF" w:themeColor="background1"/>
                <w:sz w:val="20"/>
                <w:szCs w:val="20"/>
                <w:lang w:eastAsia="en-IE"/>
              </w:rPr>
              <w:t>PO4</w:t>
            </w:r>
          </w:p>
        </w:tc>
      </w:tr>
      <w:tr w:rsidR="00CC4D4A" w:rsidRPr="00D57180" w14:paraId="67818C22" w14:textId="77777777" w:rsidTr="00C96AE5">
        <w:trPr>
          <w:trHeight w:val="282"/>
        </w:trPr>
        <w:tc>
          <w:tcPr>
            <w:tcW w:w="1547" w:type="pct"/>
            <w:shd w:val="clear" w:color="000000" w:fill="FFFFFF"/>
            <w:hideMark/>
          </w:tcPr>
          <w:p w14:paraId="42583182" w14:textId="77777777" w:rsidR="00CC4D4A" w:rsidRPr="00592D9E" w:rsidRDefault="00CC4D4A" w:rsidP="00CC4D4A">
            <w:pPr>
              <w:pStyle w:val="BodyText"/>
              <w:ind w:left="0"/>
              <w:rPr>
                <w:noProof/>
                <w:sz w:val="20"/>
                <w:szCs w:val="20"/>
                <w:lang w:eastAsia="en-IE"/>
              </w:rPr>
            </w:pPr>
            <w:r w:rsidRPr="00592D9E">
              <w:rPr>
                <w:noProof/>
                <w:sz w:val="20"/>
                <w:szCs w:val="20"/>
                <w:lang w:eastAsia="en-IE"/>
              </w:rPr>
              <w:t>Total adjustment costs</w:t>
            </w:r>
          </w:p>
        </w:tc>
        <w:tc>
          <w:tcPr>
            <w:tcW w:w="863" w:type="pct"/>
            <w:shd w:val="clear" w:color="000000" w:fill="FFFFFF"/>
            <w:noWrap/>
            <w:hideMark/>
          </w:tcPr>
          <w:p w14:paraId="4C702609" w14:textId="644C3CDF" w:rsidR="00CC4D4A" w:rsidRPr="00592D9E" w:rsidRDefault="00CC4D4A" w:rsidP="00940D39">
            <w:pPr>
              <w:pStyle w:val="BodyText"/>
              <w:ind w:left="0"/>
              <w:jc w:val="right"/>
              <w:rPr>
                <w:noProof/>
                <w:sz w:val="20"/>
                <w:szCs w:val="20"/>
                <w:lang w:eastAsia="en-IE"/>
              </w:rPr>
            </w:pPr>
            <w:r>
              <w:rPr>
                <w:noProof/>
                <w:color w:val="000000"/>
                <w:sz w:val="20"/>
                <w:szCs w:val="20"/>
              </w:rPr>
              <w:t>12.1</w:t>
            </w:r>
          </w:p>
        </w:tc>
        <w:tc>
          <w:tcPr>
            <w:tcW w:w="863" w:type="pct"/>
            <w:shd w:val="clear" w:color="000000" w:fill="FFFFFF"/>
            <w:noWrap/>
            <w:hideMark/>
          </w:tcPr>
          <w:p w14:paraId="057010FF" w14:textId="5BC81DBD" w:rsidR="00CC4D4A" w:rsidRPr="00592D9E" w:rsidRDefault="00CC4D4A" w:rsidP="00940D39">
            <w:pPr>
              <w:pStyle w:val="BodyText"/>
              <w:ind w:left="0"/>
              <w:jc w:val="right"/>
              <w:rPr>
                <w:noProof/>
                <w:sz w:val="20"/>
                <w:szCs w:val="20"/>
                <w:lang w:eastAsia="en-IE"/>
              </w:rPr>
            </w:pPr>
            <w:r>
              <w:rPr>
                <w:noProof/>
                <w:color w:val="000000"/>
                <w:sz w:val="20"/>
                <w:szCs w:val="20"/>
              </w:rPr>
              <w:t>16.7</w:t>
            </w:r>
          </w:p>
        </w:tc>
        <w:tc>
          <w:tcPr>
            <w:tcW w:w="863" w:type="pct"/>
            <w:shd w:val="clear" w:color="000000" w:fill="FFFFFF"/>
            <w:noWrap/>
            <w:hideMark/>
          </w:tcPr>
          <w:p w14:paraId="3748C56D" w14:textId="2729B6A0" w:rsidR="00CC4D4A" w:rsidRPr="00592D9E" w:rsidRDefault="00CC4D4A" w:rsidP="00940D39">
            <w:pPr>
              <w:pStyle w:val="BodyText"/>
              <w:ind w:left="0"/>
              <w:jc w:val="right"/>
              <w:rPr>
                <w:noProof/>
                <w:sz w:val="20"/>
                <w:szCs w:val="20"/>
                <w:lang w:eastAsia="en-IE"/>
              </w:rPr>
            </w:pPr>
            <w:r>
              <w:rPr>
                <w:noProof/>
                <w:color w:val="000000"/>
                <w:sz w:val="20"/>
                <w:szCs w:val="20"/>
              </w:rPr>
              <w:t>15.9</w:t>
            </w:r>
          </w:p>
        </w:tc>
        <w:tc>
          <w:tcPr>
            <w:tcW w:w="864" w:type="pct"/>
            <w:shd w:val="clear" w:color="000000" w:fill="FFFFFF"/>
            <w:noWrap/>
            <w:hideMark/>
          </w:tcPr>
          <w:p w14:paraId="7DCAC8AD" w14:textId="064FDF3C" w:rsidR="00CC4D4A" w:rsidRPr="00592D9E" w:rsidRDefault="00CC4D4A" w:rsidP="00940D39">
            <w:pPr>
              <w:pStyle w:val="BodyText"/>
              <w:ind w:left="0"/>
              <w:jc w:val="right"/>
              <w:rPr>
                <w:noProof/>
                <w:sz w:val="20"/>
                <w:szCs w:val="20"/>
                <w:lang w:eastAsia="en-IE"/>
              </w:rPr>
            </w:pPr>
            <w:r>
              <w:rPr>
                <w:noProof/>
                <w:color w:val="000000"/>
                <w:sz w:val="20"/>
                <w:szCs w:val="20"/>
              </w:rPr>
              <w:t>16.3</w:t>
            </w:r>
          </w:p>
        </w:tc>
      </w:tr>
      <w:tr w:rsidR="00CC4D4A" w:rsidRPr="00D57180" w14:paraId="1A8FDE6F" w14:textId="77777777" w:rsidTr="00C96AE5">
        <w:trPr>
          <w:trHeight w:val="282"/>
        </w:trPr>
        <w:tc>
          <w:tcPr>
            <w:tcW w:w="1547" w:type="pct"/>
            <w:shd w:val="clear" w:color="000000" w:fill="FFFFFF"/>
            <w:noWrap/>
            <w:hideMark/>
          </w:tcPr>
          <w:p w14:paraId="6FE9D4C8" w14:textId="33A666BB" w:rsidR="00CC4D4A" w:rsidRPr="00592D9E" w:rsidRDefault="00CC4D4A" w:rsidP="00CC4D4A">
            <w:pPr>
              <w:pStyle w:val="BodyText"/>
              <w:ind w:left="0"/>
              <w:rPr>
                <w:noProof/>
                <w:sz w:val="20"/>
                <w:szCs w:val="20"/>
                <w:lang w:eastAsia="en-IE"/>
              </w:rPr>
            </w:pPr>
            <w:r w:rsidRPr="00592D9E">
              <w:rPr>
                <w:noProof/>
                <w:sz w:val="20"/>
                <w:szCs w:val="20"/>
                <w:lang w:eastAsia="en-IE"/>
              </w:rPr>
              <w:t>One-off adjustment costs</w:t>
            </w:r>
          </w:p>
        </w:tc>
        <w:tc>
          <w:tcPr>
            <w:tcW w:w="863" w:type="pct"/>
            <w:shd w:val="clear" w:color="000000" w:fill="FFFFFF"/>
            <w:noWrap/>
            <w:hideMark/>
          </w:tcPr>
          <w:p w14:paraId="7894F417" w14:textId="4133C2BC" w:rsidR="00CC4D4A" w:rsidRPr="00592D9E" w:rsidRDefault="00CC4D4A" w:rsidP="00940D39">
            <w:pPr>
              <w:pStyle w:val="BodyText"/>
              <w:ind w:left="0"/>
              <w:jc w:val="right"/>
              <w:rPr>
                <w:noProof/>
                <w:sz w:val="20"/>
                <w:szCs w:val="20"/>
                <w:lang w:eastAsia="en-IE"/>
              </w:rPr>
            </w:pPr>
            <w:r>
              <w:rPr>
                <w:noProof/>
                <w:color w:val="000000"/>
                <w:sz w:val="20"/>
                <w:szCs w:val="20"/>
              </w:rPr>
              <w:t>4.8</w:t>
            </w:r>
          </w:p>
        </w:tc>
        <w:tc>
          <w:tcPr>
            <w:tcW w:w="863" w:type="pct"/>
            <w:shd w:val="clear" w:color="000000" w:fill="FFFFFF"/>
            <w:noWrap/>
            <w:hideMark/>
          </w:tcPr>
          <w:p w14:paraId="056504E1" w14:textId="79C27A23" w:rsidR="00CC4D4A" w:rsidRPr="00592D9E" w:rsidRDefault="00CC4D4A" w:rsidP="00940D39">
            <w:pPr>
              <w:pStyle w:val="BodyText"/>
              <w:ind w:left="0"/>
              <w:jc w:val="right"/>
              <w:rPr>
                <w:noProof/>
                <w:sz w:val="20"/>
                <w:szCs w:val="20"/>
                <w:lang w:eastAsia="en-IE"/>
              </w:rPr>
            </w:pPr>
            <w:r>
              <w:rPr>
                <w:noProof/>
                <w:color w:val="000000"/>
                <w:sz w:val="20"/>
                <w:szCs w:val="20"/>
              </w:rPr>
              <w:t>6.9</w:t>
            </w:r>
          </w:p>
        </w:tc>
        <w:tc>
          <w:tcPr>
            <w:tcW w:w="863" w:type="pct"/>
            <w:shd w:val="clear" w:color="000000" w:fill="FFFFFF"/>
            <w:noWrap/>
            <w:hideMark/>
          </w:tcPr>
          <w:p w14:paraId="0F78DC38" w14:textId="34D49ABC" w:rsidR="00CC4D4A" w:rsidRPr="00592D9E" w:rsidRDefault="00CC4D4A" w:rsidP="00940D39">
            <w:pPr>
              <w:pStyle w:val="BodyText"/>
              <w:ind w:left="0"/>
              <w:jc w:val="right"/>
              <w:rPr>
                <w:noProof/>
                <w:sz w:val="20"/>
                <w:szCs w:val="20"/>
                <w:lang w:eastAsia="en-IE"/>
              </w:rPr>
            </w:pPr>
            <w:r>
              <w:rPr>
                <w:noProof/>
                <w:color w:val="000000"/>
                <w:sz w:val="20"/>
                <w:szCs w:val="20"/>
              </w:rPr>
              <w:t>6.5</w:t>
            </w:r>
          </w:p>
        </w:tc>
        <w:tc>
          <w:tcPr>
            <w:tcW w:w="864" w:type="pct"/>
            <w:shd w:val="clear" w:color="000000" w:fill="FFFFFF"/>
            <w:hideMark/>
          </w:tcPr>
          <w:p w14:paraId="2AA517D4" w14:textId="5B40E840" w:rsidR="00CC4D4A" w:rsidRPr="00592D9E" w:rsidRDefault="00CC4D4A" w:rsidP="00940D39">
            <w:pPr>
              <w:pStyle w:val="BodyText"/>
              <w:ind w:left="0"/>
              <w:jc w:val="right"/>
              <w:rPr>
                <w:noProof/>
                <w:sz w:val="20"/>
                <w:szCs w:val="20"/>
                <w:lang w:eastAsia="en-IE"/>
              </w:rPr>
            </w:pPr>
            <w:r>
              <w:rPr>
                <w:noProof/>
                <w:color w:val="000000"/>
                <w:sz w:val="20"/>
                <w:szCs w:val="20"/>
              </w:rPr>
              <w:t>6.7</w:t>
            </w:r>
          </w:p>
        </w:tc>
      </w:tr>
      <w:tr w:rsidR="00CC4D4A" w:rsidRPr="00D57180" w14:paraId="1A00A61B" w14:textId="77777777" w:rsidTr="00C96AE5">
        <w:trPr>
          <w:trHeight w:val="282"/>
        </w:trPr>
        <w:tc>
          <w:tcPr>
            <w:tcW w:w="1547" w:type="pct"/>
            <w:shd w:val="clear" w:color="000000" w:fill="FFFFFF"/>
            <w:noWrap/>
            <w:hideMark/>
          </w:tcPr>
          <w:p w14:paraId="1C550791" w14:textId="6FE01D75" w:rsidR="00CC4D4A" w:rsidRPr="00592D9E" w:rsidRDefault="00CC4D4A" w:rsidP="00CC4D4A">
            <w:pPr>
              <w:pStyle w:val="BodyText"/>
              <w:ind w:left="0"/>
              <w:rPr>
                <w:noProof/>
                <w:sz w:val="20"/>
                <w:szCs w:val="20"/>
                <w:lang w:eastAsia="en-IE"/>
              </w:rPr>
            </w:pPr>
            <w:r w:rsidRPr="00592D9E">
              <w:rPr>
                <w:noProof/>
                <w:sz w:val="20"/>
                <w:szCs w:val="20"/>
                <w:lang w:eastAsia="en-IE"/>
              </w:rPr>
              <w:t>Recurrent adjustment costs</w:t>
            </w:r>
          </w:p>
        </w:tc>
        <w:tc>
          <w:tcPr>
            <w:tcW w:w="863" w:type="pct"/>
            <w:shd w:val="clear" w:color="000000" w:fill="FFFFFF"/>
            <w:noWrap/>
            <w:hideMark/>
          </w:tcPr>
          <w:p w14:paraId="051004D8" w14:textId="641AC3CD" w:rsidR="00CC4D4A" w:rsidRPr="00592D9E" w:rsidRDefault="00CC4D4A" w:rsidP="00940D39">
            <w:pPr>
              <w:pStyle w:val="BodyText"/>
              <w:ind w:left="0"/>
              <w:jc w:val="right"/>
              <w:rPr>
                <w:noProof/>
                <w:sz w:val="20"/>
                <w:szCs w:val="20"/>
                <w:lang w:eastAsia="en-IE"/>
              </w:rPr>
            </w:pPr>
            <w:r>
              <w:rPr>
                <w:noProof/>
                <w:color w:val="000000"/>
                <w:sz w:val="20"/>
                <w:szCs w:val="20"/>
              </w:rPr>
              <w:t>7.4</w:t>
            </w:r>
          </w:p>
        </w:tc>
        <w:tc>
          <w:tcPr>
            <w:tcW w:w="863" w:type="pct"/>
            <w:shd w:val="clear" w:color="000000" w:fill="FFFFFF"/>
            <w:noWrap/>
            <w:hideMark/>
          </w:tcPr>
          <w:p w14:paraId="52968AAA" w14:textId="71D68688" w:rsidR="00CC4D4A" w:rsidRPr="00592D9E" w:rsidRDefault="00CC4D4A" w:rsidP="00940D39">
            <w:pPr>
              <w:pStyle w:val="BodyText"/>
              <w:ind w:left="0"/>
              <w:jc w:val="right"/>
              <w:rPr>
                <w:noProof/>
                <w:sz w:val="20"/>
                <w:szCs w:val="20"/>
                <w:lang w:eastAsia="en-IE"/>
              </w:rPr>
            </w:pPr>
            <w:r>
              <w:rPr>
                <w:noProof/>
                <w:color w:val="000000"/>
                <w:sz w:val="20"/>
                <w:szCs w:val="20"/>
              </w:rPr>
              <w:t>9.8</w:t>
            </w:r>
          </w:p>
        </w:tc>
        <w:tc>
          <w:tcPr>
            <w:tcW w:w="863" w:type="pct"/>
            <w:shd w:val="clear" w:color="000000" w:fill="FFFFFF"/>
            <w:noWrap/>
            <w:hideMark/>
          </w:tcPr>
          <w:p w14:paraId="74527E6F" w14:textId="4DF4014C" w:rsidR="00CC4D4A" w:rsidRPr="00592D9E" w:rsidRDefault="00CC4D4A" w:rsidP="00940D39">
            <w:pPr>
              <w:pStyle w:val="BodyText"/>
              <w:ind w:left="0"/>
              <w:jc w:val="right"/>
              <w:rPr>
                <w:noProof/>
                <w:sz w:val="20"/>
                <w:szCs w:val="20"/>
                <w:lang w:eastAsia="en-IE"/>
              </w:rPr>
            </w:pPr>
            <w:r>
              <w:rPr>
                <w:noProof/>
                <w:color w:val="000000"/>
                <w:sz w:val="20"/>
                <w:szCs w:val="20"/>
              </w:rPr>
              <w:t>9.4</w:t>
            </w:r>
          </w:p>
        </w:tc>
        <w:tc>
          <w:tcPr>
            <w:tcW w:w="864" w:type="pct"/>
            <w:shd w:val="clear" w:color="000000" w:fill="FFFFFF"/>
            <w:hideMark/>
          </w:tcPr>
          <w:p w14:paraId="1BC970FF" w14:textId="24E29E0C" w:rsidR="00CC4D4A" w:rsidRPr="00592D9E" w:rsidRDefault="00CC4D4A" w:rsidP="00940D39">
            <w:pPr>
              <w:pStyle w:val="BodyText"/>
              <w:ind w:left="0"/>
              <w:jc w:val="right"/>
              <w:rPr>
                <w:noProof/>
                <w:sz w:val="20"/>
                <w:szCs w:val="20"/>
                <w:lang w:eastAsia="en-IE"/>
              </w:rPr>
            </w:pPr>
            <w:r>
              <w:rPr>
                <w:noProof/>
                <w:color w:val="000000"/>
                <w:sz w:val="20"/>
                <w:szCs w:val="20"/>
              </w:rPr>
              <w:t>9.6</w:t>
            </w:r>
          </w:p>
        </w:tc>
      </w:tr>
    </w:tbl>
    <w:p w14:paraId="25F10784" w14:textId="77777777" w:rsidR="008B08F9" w:rsidRPr="00D71008" w:rsidRDefault="008B08F9" w:rsidP="008B08F9">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291B5695" w14:textId="3E7711CA" w:rsidR="00376765" w:rsidRPr="00C8495F" w:rsidRDefault="00C8495F" w:rsidP="007B2D8E">
      <w:pPr>
        <w:pStyle w:val="ListParagraph"/>
        <w:keepNext/>
        <w:widowControl/>
        <w:numPr>
          <w:ilvl w:val="2"/>
          <w:numId w:val="10"/>
        </w:numPr>
        <w:autoSpaceDE/>
        <w:autoSpaceDN/>
        <w:spacing w:after="240"/>
        <w:jc w:val="both"/>
        <w:outlineLvl w:val="2"/>
        <w:rPr>
          <w:i/>
          <w:iCs/>
          <w:noProof/>
          <w:sz w:val="24"/>
          <w:szCs w:val="24"/>
        </w:rPr>
      </w:pPr>
      <w:bookmarkStart w:id="2076" w:name="_Toc222749070"/>
      <w:bookmarkStart w:id="2077" w:name="_Toc223981674"/>
      <w:r w:rsidRPr="00C8495F">
        <w:rPr>
          <w:i/>
          <w:iCs/>
          <w:noProof/>
          <w:sz w:val="24"/>
          <w:szCs w:val="24"/>
        </w:rPr>
        <w:t>PM9 – Thresholds to identify MDMS platforms and RUs with SMP</w:t>
      </w:r>
      <w:bookmarkEnd w:id="2076"/>
      <w:bookmarkEnd w:id="2077"/>
    </w:p>
    <w:p w14:paraId="2AE11615" w14:textId="47513BAF" w:rsidR="00376765" w:rsidRDefault="00DB1A0D" w:rsidP="00A93F0D">
      <w:pPr>
        <w:pStyle w:val="Nornal"/>
        <w:spacing w:after="120" w:line="240" w:lineRule="auto"/>
        <w:rPr>
          <w:rFonts w:cs="Arial"/>
          <w:noProof/>
          <w:spacing w:val="-8"/>
          <w:sz w:val="24"/>
          <w:szCs w:val="24"/>
        </w:rPr>
      </w:pPr>
      <w:r>
        <w:rPr>
          <w:rFonts w:cs="Arial"/>
          <w:noProof/>
          <w:spacing w:val="-8"/>
          <w:sz w:val="24"/>
          <w:szCs w:val="24"/>
        </w:rPr>
        <w:t xml:space="preserve">PM9 </w:t>
      </w:r>
      <w:r w:rsidRPr="00DB1A0D">
        <w:rPr>
          <w:rFonts w:cs="Arial"/>
          <w:noProof/>
          <w:spacing w:val="-8"/>
          <w:sz w:val="24"/>
          <w:szCs w:val="24"/>
        </w:rPr>
        <w:t xml:space="preserve">sets thresholds for the identification of MDMS platforms with SMP </w:t>
      </w:r>
      <w:r w:rsidR="5DA2F64A" w:rsidRPr="00DB1A0D">
        <w:rPr>
          <w:rFonts w:cs="Arial"/>
          <w:noProof/>
          <w:spacing w:val="-8"/>
          <w:sz w:val="24"/>
          <w:szCs w:val="24"/>
        </w:rPr>
        <w:t xml:space="preserve">(in the platform market) </w:t>
      </w:r>
      <w:r w:rsidRPr="00DB1A0D">
        <w:rPr>
          <w:rFonts w:cs="Arial"/>
          <w:noProof/>
          <w:spacing w:val="-8"/>
          <w:sz w:val="24"/>
          <w:szCs w:val="24"/>
        </w:rPr>
        <w:t>and RUs with SMP</w:t>
      </w:r>
      <w:r w:rsidR="3628F40E" w:rsidRPr="00DB1A0D">
        <w:rPr>
          <w:rFonts w:cs="Arial"/>
          <w:noProof/>
          <w:spacing w:val="-8"/>
          <w:sz w:val="24"/>
          <w:szCs w:val="24"/>
        </w:rPr>
        <w:t xml:space="preserve"> (in the passenger railway services market)</w:t>
      </w:r>
      <w:r w:rsidRPr="00DB1A0D">
        <w:rPr>
          <w:rFonts w:cs="Arial"/>
          <w:noProof/>
          <w:spacing w:val="-8"/>
          <w:sz w:val="24"/>
          <w:szCs w:val="24"/>
        </w:rPr>
        <w:t>. As detailed in section 5.1, to operationalise the concept of indispensability in the B2C distribution market, an MDMS platform is considered as having SMP if it controls at least 10% of the EU market or 30% of a national market, based on either the total value or volume of tickets sold in one transport mode. For RUs, SMP is defined as operating 50% or more of total rail services in a Member State, measured in annual passenger-kilometres, including both domestic and cross-border services.</w:t>
      </w:r>
      <w:r>
        <w:rPr>
          <w:rFonts w:cs="Arial"/>
          <w:noProof/>
          <w:spacing w:val="-8"/>
          <w:sz w:val="24"/>
          <w:szCs w:val="24"/>
        </w:rPr>
        <w:t xml:space="preserve"> No direct costs are expected from PM9</w:t>
      </w:r>
      <w:r w:rsidR="00805AEB">
        <w:rPr>
          <w:rFonts w:cs="Arial"/>
          <w:noProof/>
          <w:spacing w:val="-8"/>
          <w:sz w:val="24"/>
          <w:szCs w:val="24"/>
        </w:rPr>
        <w:t xml:space="preserve">. This only leads to costs in combination with other measures such as PM10, PM11, PM12, PM13, PM14 and PM15. The costs are described under the respective measures. </w:t>
      </w:r>
    </w:p>
    <w:p w14:paraId="60A00BE2" w14:textId="0B4EC48C" w:rsidR="00C36326" w:rsidRPr="00C36326" w:rsidRDefault="00C36326" w:rsidP="007B2D8E">
      <w:pPr>
        <w:pStyle w:val="ListParagraph"/>
        <w:keepNext/>
        <w:widowControl/>
        <w:numPr>
          <w:ilvl w:val="2"/>
          <w:numId w:val="10"/>
        </w:numPr>
        <w:autoSpaceDE/>
        <w:autoSpaceDN/>
        <w:spacing w:after="240"/>
        <w:jc w:val="both"/>
        <w:outlineLvl w:val="2"/>
        <w:rPr>
          <w:i/>
          <w:iCs/>
          <w:noProof/>
          <w:sz w:val="24"/>
          <w:szCs w:val="24"/>
        </w:rPr>
      </w:pPr>
      <w:bookmarkStart w:id="2078" w:name="_Toc222749071"/>
      <w:bookmarkStart w:id="2079" w:name="_Toc223981675"/>
      <w:r w:rsidRPr="00C36326">
        <w:rPr>
          <w:i/>
          <w:iCs/>
          <w:noProof/>
          <w:sz w:val="24"/>
          <w:szCs w:val="24"/>
        </w:rPr>
        <w:t>PM10 – B2C MDMS platforms with SMP: must notify national authorities or the EC about their market presence. National authorities designate B2C MDMS platform, RUs with SMP and indispensable RU platforms at national level, while the EC designates B2C MDMS platforms with SMP at EU level. The EC publishes a list of MDMS platforms (including indispensable RU platforms) and RUs with SMP at both national and EU level</w:t>
      </w:r>
      <w:bookmarkEnd w:id="2078"/>
      <w:bookmarkEnd w:id="2079"/>
    </w:p>
    <w:p w14:paraId="4AFAFAA0" w14:textId="463C11D0" w:rsidR="00C36326" w:rsidRDefault="00932C41" w:rsidP="00A93F0D">
      <w:pPr>
        <w:pStyle w:val="Nornal"/>
        <w:spacing w:after="120" w:line="240" w:lineRule="auto"/>
        <w:rPr>
          <w:rFonts w:cs="Arial"/>
          <w:noProof/>
          <w:spacing w:val="-8"/>
          <w:sz w:val="24"/>
          <w:szCs w:val="24"/>
        </w:rPr>
      </w:pPr>
      <w:r>
        <w:rPr>
          <w:rFonts w:cs="Arial"/>
          <w:noProof/>
          <w:spacing w:val="-8"/>
          <w:sz w:val="24"/>
          <w:szCs w:val="24"/>
        </w:rPr>
        <w:t>According to PM10, w</w:t>
      </w:r>
      <w:r w:rsidR="007A5D92" w:rsidRPr="007A5D92">
        <w:rPr>
          <w:rFonts w:cs="Arial"/>
          <w:noProof/>
          <w:spacing w:val="-8"/>
          <w:sz w:val="24"/>
          <w:szCs w:val="24"/>
        </w:rPr>
        <w:t>hen an MDMS platform meets the thresholds at EU level, it shall notify the Commission and the national enforcement body, for the thresholds at national level. The national enforcement body designates B2C MDMS and RUs with SMP at national level</w:t>
      </w:r>
      <w:r w:rsidR="00714D97">
        <w:rPr>
          <w:rFonts w:cs="Arial"/>
          <w:noProof/>
          <w:spacing w:val="-8"/>
          <w:sz w:val="24"/>
          <w:szCs w:val="24"/>
        </w:rPr>
        <w:t>, as well as indispensable RU platforms</w:t>
      </w:r>
      <w:r w:rsidR="007A5D92" w:rsidRPr="007A5D92">
        <w:rPr>
          <w:rFonts w:cs="Arial"/>
          <w:noProof/>
          <w:spacing w:val="-8"/>
          <w:sz w:val="24"/>
          <w:szCs w:val="24"/>
        </w:rPr>
        <w:t xml:space="preserve">. For RU, this is done following the procedure of the Rail Market Monitoring Scheme. National enforcement </w:t>
      </w:r>
      <w:r w:rsidR="009C0978">
        <w:rPr>
          <w:rFonts w:cs="Arial"/>
          <w:noProof/>
          <w:spacing w:val="-8"/>
          <w:sz w:val="24"/>
          <w:szCs w:val="24"/>
        </w:rPr>
        <w:t>B</w:t>
      </w:r>
      <w:r w:rsidR="007A5D92" w:rsidRPr="007A5D92">
        <w:rPr>
          <w:rFonts w:cs="Arial"/>
          <w:noProof/>
          <w:spacing w:val="-8"/>
          <w:sz w:val="24"/>
          <w:szCs w:val="24"/>
        </w:rPr>
        <w:t xml:space="preserve">odies </w:t>
      </w:r>
      <w:r w:rsidR="009C0978">
        <w:rPr>
          <w:rFonts w:cs="Arial"/>
          <w:noProof/>
          <w:spacing w:val="-8"/>
          <w:sz w:val="24"/>
          <w:szCs w:val="24"/>
        </w:rPr>
        <w:t xml:space="preserve">need to </w:t>
      </w:r>
      <w:r w:rsidR="007A5D92" w:rsidRPr="007A5D92">
        <w:rPr>
          <w:rFonts w:cs="Arial"/>
          <w:noProof/>
          <w:spacing w:val="-8"/>
          <w:sz w:val="24"/>
          <w:szCs w:val="24"/>
        </w:rPr>
        <w:t xml:space="preserve">inform the Commission of their respective designation decisions. The Commission </w:t>
      </w:r>
      <w:r w:rsidR="00CC3A17">
        <w:rPr>
          <w:rFonts w:cs="Arial"/>
          <w:noProof/>
          <w:spacing w:val="-8"/>
          <w:sz w:val="24"/>
          <w:szCs w:val="24"/>
        </w:rPr>
        <w:t>will</w:t>
      </w:r>
      <w:r w:rsidR="00CC3A17" w:rsidRPr="007A5D92">
        <w:rPr>
          <w:rFonts w:cs="Arial"/>
          <w:noProof/>
          <w:spacing w:val="-8"/>
          <w:sz w:val="24"/>
          <w:szCs w:val="24"/>
        </w:rPr>
        <w:t xml:space="preserve"> </w:t>
      </w:r>
      <w:r w:rsidR="007A5D92" w:rsidRPr="007A5D92">
        <w:rPr>
          <w:rFonts w:cs="Arial"/>
          <w:noProof/>
          <w:spacing w:val="-8"/>
          <w:sz w:val="24"/>
          <w:szCs w:val="24"/>
        </w:rPr>
        <w:t>publish on its official website, and keep up to date, a list of the designated, at national or Union’s level, MDMS platforms and RUs with SMP. This also lists indispensable RUs platforms which are considered indispensable when it is owned by an indispensable RU.</w:t>
      </w:r>
    </w:p>
    <w:p w14:paraId="061C242B" w14:textId="77777777" w:rsidR="00D95621" w:rsidRPr="00683D70" w:rsidRDefault="00D95621" w:rsidP="00D95621">
      <w:pPr>
        <w:pStyle w:val="Text4"/>
        <w:spacing w:before="0"/>
        <w:ind w:left="0"/>
        <w:rPr>
          <w:rFonts w:ascii="Times New Roman" w:eastAsia="Calibri" w:hAnsi="Times New Roman"/>
          <w:noProof/>
          <w:spacing w:val="-8"/>
          <w:sz w:val="24"/>
          <w:szCs w:val="24"/>
        </w:rPr>
      </w:pPr>
      <w:r w:rsidRPr="00683D70">
        <w:rPr>
          <w:rFonts w:ascii="Times New Roman" w:eastAsia="Calibri" w:hAnsi="Times New Roman"/>
          <w:noProof/>
          <w:spacing w:val="-8"/>
          <w:sz w:val="24"/>
          <w:szCs w:val="24"/>
        </w:rPr>
        <w:t>The measure is expected to result in:</w:t>
      </w:r>
    </w:p>
    <w:p w14:paraId="00A42F83" w14:textId="545C8B5B" w:rsidR="00D95621" w:rsidRPr="00683D70" w:rsidRDefault="003C1F64" w:rsidP="001979E4">
      <w:pPr>
        <w:pStyle w:val="Nornal"/>
        <w:numPr>
          <w:ilvl w:val="0"/>
          <w:numId w:val="20"/>
        </w:numPr>
        <w:spacing w:after="120" w:line="240" w:lineRule="auto"/>
        <w:ind w:left="284" w:hanging="284"/>
        <w:rPr>
          <w:rFonts w:cs="Arial"/>
          <w:noProof/>
          <w:spacing w:val="-8"/>
          <w:sz w:val="24"/>
          <w:szCs w:val="24"/>
        </w:rPr>
      </w:pPr>
      <w:r w:rsidRPr="00683D70">
        <w:rPr>
          <w:rFonts w:cs="Arial"/>
          <w:noProof/>
          <w:spacing w:val="-8"/>
          <w:sz w:val="24"/>
          <w:szCs w:val="24"/>
        </w:rPr>
        <w:t>One-off administrative costs</w:t>
      </w:r>
      <w:r w:rsidR="00D95621" w:rsidRPr="00683D70">
        <w:rPr>
          <w:rFonts w:cs="Arial"/>
          <w:noProof/>
          <w:spacing w:val="-8"/>
          <w:sz w:val="24"/>
          <w:szCs w:val="24"/>
        </w:rPr>
        <w:t>:</w:t>
      </w:r>
    </w:p>
    <w:p w14:paraId="35BF564F" w14:textId="4AFD1E15" w:rsidR="00D95621" w:rsidRPr="00683D70" w:rsidRDefault="003C1F64" w:rsidP="001979E4">
      <w:pPr>
        <w:pStyle w:val="Nornal"/>
        <w:numPr>
          <w:ilvl w:val="1"/>
          <w:numId w:val="31"/>
        </w:numPr>
        <w:spacing w:after="120" w:line="240" w:lineRule="auto"/>
        <w:ind w:left="567" w:hanging="283"/>
        <w:rPr>
          <w:rFonts w:cs="Arial"/>
          <w:noProof/>
          <w:spacing w:val="-8"/>
          <w:sz w:val="24"/>
          <w:szCs w:val="24"/>
        </w:rPr>
      </w:pPr>
      <w:r w:rsidRPr="00683D70">
        <w:rPr>
          <w:rFonts w:cs="Arial"/>
          <w:noProof/>
          <w:spacing w:val="-8"/>
          <w:sz w:val="24"/>
          <w:szCs w:val="24"/>
        </w:rPr>
        <w:t xml:space="preserve">For MDMS platforms to </w:t>
      </w:r>
      <w:r w:rsidR="00C817FA" w:rsidRPr="00683D70">
        <w:rPr>
          <w:rFonts w:cs="Arial"/>
          <w:noProof/>
          <w:spacing w:val="-8"/>
          <w:sz w:val="24"/>
          <w:szCs w:val="24"/>
        </w:rPr>
        <w:t xml:space="preserve">send a notification </w:t>
      </w:r>
      <w:r w:rsidR="008C4484" w:rsidRPr="00683D70">
        <w:rPr>
          <w:rFonts w:cs="Arial"/>
          <w:noProof/>
          <w:spacing w:val="-8"/>
          <w:sz w:val="24"/>
          <w:szCs w:val="24"/>
        </w:rPr>
        <w:t>to authorities in order to determine the Significant Market Presence (SMP);</w:t>
      </w:r>
      <w:r w:rsidR="00D95621" w:rsidRPr="00683D70">
        <w:rPr>
          <w:rFonts w:cs="Arial"/>
          <w:noProof/>
          <w:spacing w:val="-8"/>
          <w:sz w:val="24"/>
          <w:szCs w:val="24"/>
        </w:rPr>
        <w:t xml:space="preserve"> </w:t>
      </w:r>
    </w:p>
    <w:p w14:paraId="085EE481" w14:textId="223A3F01" w:rsidR="00D95621" w:rsidRPr="00683D70" w:rsidRDefault="008C4484" w:rsidP="001979E4">
      <w:pPr>
        <w:pStyle w:val="Nornal"/>
        <w:numPr>
          <w:ilvl w:val="1"/>
          <w:numId w:val="31"/>
        </w:numPr>
        <w:spacing w:after="240" w:line="240" w:lineRule="auto"/>
        <w:ind w:left="568" w:hanging="284"/>
        <w:rPr>
          <w:rFonts w:cs="Arial"/>
          <w:noProof/>
          <w:spacing w:val="-8"/>
          <w:sz w:val="24"/>
          <w:szCs w:val="24"/>
        </w:rPr>
      </w:pPr>
      <w:r w:rsidRPr="00683D70">
        <w:rPr>
          <w:rFonts w:cs="Arial"/>
          <w:noProof/>
          <w:spacing w:val="-8"/>
          <w:sz w:val="24"/>
          <w:szCs w:val="24"/>
        </w:rPr>
        <w:t xml:space="preserve">For </w:t>
      </w:r>
      <w:r w:rsidR="00C133AB" w:rsidRPr="00683D70">
        <w:rPr>
          <w:rFonts w:cs="Arial"/>
          <w:noProof/>
          <w:spacing w:val="-8"/>
          <w:sz w:val="24"/>
          <w:szCs w:val="24"/>
        </w:rPr>
        <w:t>national authorities designated under PM6 to receive no</w:t>
      </w:r>
      <w:r w:rsidR="00615CCD" w:rsidRPr="00683D70">
        <w:rPr>
          <w:rFonts w:cs="Arial"/>
          <w:noProof/>
          <w:spacing w:val="-8"/>
          <w:sz w:val="24"/>
          <w:szCs w:val="24"/>
        </w:rPr>
        <w:t>tifications from B2C MDMS platforms and notify the European Commission about the designated entities with SMP at national level and po</w:t>
      </w:r>
      <w:r w:rsidR="00014ECF" w:rsidRPr="00683D70">
        <w:rPr>
          <w:rFonts w:cs="Arial"/>
          <w:noProof/>
          <w:spacing w:val="-8"/>
          <w:sz w:val="24"/>
          <w:szCs w:val="24"/>
        </w:rPr>
        <w:t>tentially deal with complain</w:t>
      </w:r>
      <w:r w:rsidR="00AE6B06" w:rsidRPr="00683D70">
        <w:rPr>
          <w:rFonts w:cs="Arial"/>
          <w:noProof/>
          <w:spacing w:val="-8"/>
          <w:sz w:val="24"/>
          <w:szCs w:val="24"/>
        </w:rPr>
        <w:t>t</w:t>
      </w:r>
      <w:r w:rsidR="00014ECF" w:rsidRPr="00683D70">
        <w:rPr>
          <w:rFonts w:cs="Arial"/>
          <w:noProof/>
          <w:spacing w:val="-8"/>
          <w:sz w:val="24"/>
          <w:szCs w:val="24"/>
        </w:rPr>
        <w:t xml:space="preserve">s; </w:t>
      </w:r>
    </w:p>
    <w:p w14:paraId="110D45EE" w14:textId="603D8FBC" w:rsidR="00014ECF" w:rsidRPr="00683D70" w:rsidRDefault="00014ECF" w:rsidP="001979E4">
      <w:pPr>
        <w:pStyle w:val="Nornal"/>
        <w:numPr>
          <w:ilvl w:val="1"/>
          <w:numId w:val="31"/>
        </w:numPr>
        <w:spacing w:after="120" w:line="240" w:lineRule="auto"/>
        <w:ind w:left="568" w:hanging="284"/>
        <w:rPr>
          <w:rFonts w:cs="Arial"/>
          <w:noProof/>
          <w:spacing w:val="-8"/>
          <w:sz w:val="24"/>
          <w:szCs w:val="24"/>
        </w:rPr>
      </w:pPr>
      <w:r w:rsidRPr="00683D70">
        <w:rPr>
          <w:rFonts w:cs="Arial"/>
          <w:noProof/>
          <w:spacing w:val="-8"/>
          <w:sz w:val="24"/>
          <w:szCs w:val="24"/>
        </w:rPr>
        <w:t xml:space="preserve">For RUs with SMP to provide a list to authorities of their platforms. </w:t>
      </w:r>
    </w:p>
    <w:p w14:paraId="211401E2" w14:textId="634FBDEE" w:rsidR="0087641F" w:rsidRPr="00683D70" w:rsidRDefault="00014ECF" w:rsidP="001979E4">
      <w:pPr>
        <w:pStyle w:val="ListParagraph"/>
        <w:widowControl/>
        <w:numPr>
          <w:ilvl w:val="0"/>
          <w:numId w:val="35"/>
        </w:numPr>
        <w:autoSpaceDE/>
        <w:autoSpaceDN/>
        <w:spacing w:before="0" w:after="240"/>
        <w:ind w:left="284" w:right="57" w:hanging="284"/>
        <w:jc w:val="both"/>
        <w:rPr>
          <w:rFonts w:eastAsia="Calibri"/>
          <w:noProof/>
          <w:spacing w:val="-8"/>
          <w:sz w:val="24"/>
          <w:szCs w:val="24"/>
        </w:rPr>
      </w:pPr>
      <w:r w:rsidRPr="00683D70">
        <w:rPr>
          <w:noProof/>
          <w:spacing w:val="-8"/>
          <w:sz w:val="24"/>
          <w:szCs w:val="24"/>
        </w:rPr>
        <w:t>Recurrent a</w:t>
      </w:r>
      <w:r w:rsidR="0087641F" w:rsidRPr="00683D70">
        <w:rPr>
          <w:noProof/>
          <w:spacing w:val="-8"/>
          <w:sz w:val="24"/>
          <w:szCs w:val="24"/>
        </w:rPr>
        <w:t xml:space="preserve">djustment costs </w:t>
      </w:r>
      <w:r w:rsidRPr="00683D70">
        <w:rPr>
          <w:noProof/>
          <w:spacing w:val="-8"/>
          <w:sz w:val="24"/>
          <w:szCs w:val="24"/>
        </w:rPr>
        <w:t xml:space="preserve">for the European Commission to </w:t>
      </w:r>
      <w:r w:rsidR="0087641F" w:rsidRPr="00683D70">
        <w:rPr>
          <w:noProof/>
          <w:spacing w:val="-8"/>
          <w:sz w:val="24"/>
          <w:szCs w:val="24"/>
        </w:rPr>
        <w:t>designate B2C MDMS with SMP at EU level and deal with related complaints.</w:t>
      </w:r>
    </w:p>
    <w:p w14:paraId="582D4B42" w14:textId="21AE20D3" w:rsidR="00D95621" w:rsidRPr="00FF2B87" w:rsidRDefault="00FF2B87" w:rsidP="00FF2B87">
      <w:pPr>
        <w:pStyle w:val="Nornal"/>
        <w:spacing w:after="240" w:line="240" w:lineRule="auto"/>
        <w:rPr>
          <w:rFonts w:cs="Arial"/>
          <w:i/>
          <w:iCs/>
          <w:noProof/>
          <w:spacing w:val="-8"/>
          <w:sz w:val="24"/>
          <w:szCs w:val="24"/>
        </w:rPr>
      </w:pPr>
      <w:r w:rsidRPr="00FF2B87">
        <w:rPr>
          <w:rFonts w:cs="Arial"/>
          <w:i/>
          <w:iCs/>
          <w:noProof/>
          <w:spacing w:val="-8"/>
          <w:sz w:val="24"/>
          <w:szCs w:val="24"/>
        </w:rPr>
        <w:t>One-off administrative costs for MDMS platforms</w:t>
      </w:r>
      <w:r w:rsidR="003235DA">
        <w:rPr>
          <w:rFonts w:cs="Arial"/>
          <w:i/>
          <w:iCs/>
          <w:noProof/>
          <w:spacing w:val="-8"/>
          <w:sz w:val="24"/>
          <w:szCs w:val="24"/>
        </w:rPr>
        <w:t xml:space="preserve"> with SMP</w:t>
      </w:r>
    </w:p>
    <w:p w14:paraId="2D304E7C" w14:textId="7A0C0E5E" w:rsidR="00A228B0" w:rsidRPr="00C24D74" w:rsidRDefault="00A228B0" w:rsidP="00A228B0">
      <w:pPr>
        <w:pStyle w:val="Text4"/>
        <w:ind w:left="0"/>
        <w:rPr>
          <w:rFonts w:ascii="Times New Roman" w:eastAsia="Calibri" w:hAnsi="Times New Roman"/>
          <w:noProof/>
          <w:spacing w:val="-8"/>
          <w:sz w:val="24"/>
          <w:szCs w:val="24"/>
        </w:rPr>
      </w:pPr>
      <w:r w:rsidRPr="00C24D74">
        <w:rPr>
          <w:rFonts w:ascii="Times New Roman" w:eastAsia="Calibri" w:hAnsi="Times New Roman"/>
          <w:noProof/>
          <w:spacing w:val="-8"/>
          <w:sz w:val="24"/>
          <w:szCs w:val="24"/>
        </w:rPr>
        <w:t xml:space="preserve">MDMS platforms </w:t>
      </w:r>
      <w:r w:rsidR="00E77A87">
        <w:rPr>
          <w:rFonts w:ascii="Times New Roman" w:eastAsia="Calibri" w:hAnsi="Times New Roman"/>
          <w:noProof/>
          <w:spacing w:val="-8"/>
          <w:sz w:val="24"/>
          <w:szCs w:val="24"/>
        </w:rPr>
        <w:t>with SMP</w:t>
      </w:r>
      <w:r w:rsidRPr="00C24D74">
        <w:rPr>
          <w:rFonts w:ascii="Times New Roman" w:eastAsia="Calibri" w:hAnsi="Times New Roman"/>
          <w:noProof/>
          <w:spacing w:val="-8"/>
          <w:sz w:val="24"/>
          <w:szCs w:val="24"/>
        </w:rPr>
        <w:t xml:space="preserve"> are expected to incur off-costs administrative for notifying national authorities (PM10). In the baseline, RUs already submit the required information through the RMMS scheme</w:t>
      </w:r>
      <w:r w:rsidRPr="00C24D74">
        <w:rPr>
          <w:rStyle w:val="FootnoteReference"/>
          <w:rFonts w:ascii="Times New Roman" w:eastAsia="Calibri" w:hAnsi="Times New Roman"/>
          <w:noProof/>
          <w:spacing w:val="-8"/>
          <w:sz w:val="24"/>
          <w:szCs w:val="24"/>
        </w:rPr>
        <w:footnoteReference w:id="353"/>
      </w:r>
      <w:r w:rsidRPr="00C24D74">
        <w:rPr>
          <w:rFonts w:ascii="Times New Roman" w:eastAsia="Calibri" w:hAnsi="Times New Roman"/>
          <w:noProof/>
          <w:spacing w:val="-8"/>
          <w:sz w:val="24"/>
          <w:szCs w:val="24"/>
        </w:rPr>
        <w:t>. Under PM10 this is thus a new requirement only for MDMS platforms. Evidence for the costs incurred is taken from the impact assessment for the Digital Market Act, which assumed 20 FTEs per ‘Gatekeeper’ for submission of relevant data to authorities</w:t>
      </w:r>
      <w:r w:rsidRPr="00C24D74">
        <w:rPr>
          <w:rStyle w:val="FootnoteReference"/>
          <w:rFonts w:ascii="Times New Roman" w:eastAsia="Calibri" w:hAnsi="Times New Roman"/>
          <w:noProof/>
          <w:spacing w:val="-8"/>
          <w:sz w:val="24"/>
          <w:szCs w:val="24"/>
        </w:rPr>
        <w:footnoteReference w:id="354"/>
      </w:r>
      <w:r w:rsidRPr="00C24D74">
        <w:rPr>
          <w:rFonts w:ascii="Times New Roman" w:eastAsia="Calibri" w:hAnsi="Times New Roman"/>
          <w:noProof/>
          <w:spacing w:val="-8"/>
          <w:sz w:val="24"/>
          <w:szCs w:val="24"/>
        </w:rPr>
        <w:t xml:space="preserve">. In this case, the entities are much smaller than those regulated under the DMA (Apple, Google, etc.) and the process is expected to be much lighter (platforms only need to notify that they have reached a threshold). The one-off effort required in 2028 is therefore assumed at 2 FTE per MDMS platform. Only platforms reaching the threshold set in PM9 (4 MDMS platforms) would be requested to submit this information, and once submitted, those designated would not be obliged to submit any further notification in the consecutive years. The one-off administrative costs for the MDMS platforms in 2028 in all the policy options are provided in the table below. </w:t>
      </w:r>
    </w:p>
    <w:p w14:paraId="52D34436" w14:textId="3169DE65" w:rsidR="00DF6506" w:rsidRPr="00003CEB" w:rsidRDefault="00DF6506" w:rsidP="00DB078C">
      <w:pPr>
        <w:keepNext/>
        <w:tabs>
          <w:tab w:val="left" w:pos="1134"/>
        </w:tabs>
        <w:jc w:val="both"/>
        <w:rPr>
          <w:i/>
          <w:noProof/>
          <w:sz w:val="22"/>
          <w:szCs w:val="22"/>
        </w:rPr>
      </w:pPr>
      <w:r w:rsidRPr="00003CEB">
        <w:rPr>
          <w:i/>
          <w:noProof/>
          <w:sz w:val="22"/>
          <w:szCs w:val="22"/>
        </w:rPr>
        <w:t xml:space="preserve">Table </w:t>
      </w:r>
      <w:r w:rsidRPr="00003CEB">
        <w:rPr>
          <w:i/>
          <w:noProof/>
          <w:sz w:val="22"/>
          <w:szCs w:val="22"/>
        </w:rPr>
        <w:fldChar w:fldCharType="begin"/>
      </w:r>
      <w:r w:rsidRPr="00003CEB">
        <w:rPr>
          <w:i/>
          <w:noProof/>
          <w:sz w:val="22"/>
          <w:szCs w:val="22"/>
        </w:rPr>
        <w:instrText xml:space="preserve"> SEQ Table \* ARABIC </w:instrText>
      </w:r>
      <w:r w:rsidRPr="00003CEB">
        <w:rPr>
          <w:i/>
          <w:noProof/>
          <w:sz w:val="22"/>
          <w:szCs w:val="22"/>
        </w:rPr>
        <w:fldChar w:fldCharType="separate"/>
      </w:r>
      <w:r w:rsidR="0055391F">
        <w:rPr>
          <w:i/>
          <w:noProof/>
          <w:sz w:val="22"/>
          <w:szCs w:val="22"/>
        </w:rPr>
        <w:t>101</w:t>
      </w:r>
      <w:r w:rsidRPr="00003CEB">
        <w:rPr>
          <w:i/>
          <w:noProof/>
          <w:sz w:val="22"/>
          <w:szCs w:val="22"/>
        </w:rPr>
        <w:fldChar w:fldCharType="end"/>
      </w:r>
      <w:r w:rsidRPr="00003CEB">
        <w:rPr>
          <w:i/>
          <w:noProof/>
          <w:sz w:val="22"/>
          <w:szCs w:val="22"/>
        </w:rPr>
        <w:t xml:space="preserve">: One-off </w:t>
      </w:r>
      <w:r w:rsidR="00B667D1" w:rsidRPr="00003CEB">
        <w:rPr>
          <w:i/>
          <w:noProof/>
          <w:sz w:val="22"/>
          <w:szCs w:val="22"/>
        </w:rPr>
        <w:t xml:space="preserve">administrative </w:t>
      </w:r>
      <w:r w:rsidRPr="00003CEB">
        <w:rPr>
          <w:i/>
          <w:noProof/>
          <w:sz w:val="22"/>
          <w:szCs w:val="22"/>
        </w:rPr>
        <w:t>costs for MDMS platforms due to PM</w:t>
      </w:r>
      <w:r w:rsidR="00B667D1" w:rsidRPr="00003CEB">
        <w:rPr>
          <w:i/>
          <w:noProof/>
          <w:sz w:val="22"/>
          <w:szCs w:val="22"/>
        </w:rPr>
        <w:t>10</w:t>
      </w:r>
      <w:r w:rsidRPr="00003CEB">
        <w:rPr>
          <w:i/>
          <w:noProof/>
          <w:sz w:val="22"/>
          <w:szCs w:val="22"/>
        </w:rPr>
        <w:t xml:space="preserve"> in the policy options in 2028, 2030, 2040 and 2050 relative to the baseline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7"/>
        <w:gridCol w:w="866"/>
        <w:gridCol w:w="812"/>
        <w:gridCol w:w="695"/>
        <w:gridCol w:w="853"/>
      </w:tblGrid>
      <w:tr w:rsidR="00880BFF" w:rsidRPr="00E1044A" w14:paraId="382A7152" w14:textId="77777777" w:rsidTr="00ED323F">
        <w:trPr>
          <w:trHeight w:val="20"/>
          <w:tblHeader/>
        </w:trPr>
        <w:tc>
          <w:tcPr>
            <w:tcW w:w="3320" w:type="pct"/>
            <w:shd w:val="clear" w:color="auto" w:fill="0070C0"/>
            <w:noWrap/>
            <w:hideMark/>
          </w:tcPr>
          <w:p w14:paraId="45ABD663" w14:textId="77777777" w:rsidR="00880BFF" w:rsidRPr="00E1044A" w:rsidRDefault="00880BFF">
            <w:pPr>
              <w:jc w:val="center"/>
              <w:rPr>
                <w:b/>
                <w:bCs/>
                <w:noProof/>
                <w:color w:val="FFFFFF"/>
                <w:sz w:val="20"/>
                <w:szCs w:val="20"/>
              </w:rPr>
            </w:pPr>
            <w:r w:rsidRPr="00E1044A">
              <w:rPr>
                <w:b/>
                <w:bCs/>
                <w:noProof/>
                <w:color w:val="FFFFFF"/>
                <w:sz w:val="20"/>
                <w:szCs w:val="20"/>
              </w:rPr>
              <w:t> </w:t>
            </w:r>
          </w:p>
        </w:tc>
        <w:tc>
          <w:tcPr>
            <w:tcW w:w="451" w:type="pct"/>
            <w:shd w:val="clear" w:color="auto" w:fill="0070C0"/>
            <w:noWrap/>
            <w:hideMark/>
          </w:tcPr>
          <w:p w14:paraId="6C4C784B" w14:textId="77777777" w:rsidR="00880BFF" w:rsidRPr="00E1044A" w:rsidRDefault="00880BFF">
            <w:pPr>
              <w:jc w:val="center"/>
              <w:rPr>
                <w:b/>
                <w:bCs/>
                <w:noProof/>
                <w:color w:val="FFFFFF"/>
                <w:sz w:val="20"/>
                <w:szCs w:val="20"/>
              </w:rPr>
            </w:pPr>
            <w:r w:rsidRPr="00E1044A">
              <w:rPr>
                <w:b/>
                <w:bCs/>
                <w:noProof/>
                <w:color w:val="FFFFFF"/>
                <w:sz w:val="20"/>
                <w:szCs w:val="20"/>
              </w:rPr>
              <w:t>2028</w:t>
            </w:r>
          </w:p>
        </w:tc>
        <w:tc>
          <w:tcPr>
            <w:tcW w:w="423" w:type="pct"/>
            <w:shd w:val="clear" w:color="auto" w:fill="0070C0"/>
            <w:noWrap/>
            <w:hideMark/>
          </w:tcPr>
          <w:p w14:paraId="4CAFB767" w14:textId="77777777" w:rsidR="00880BFF" w:rsidRPr="00E1044A" w:rsidRDefault="00880BFF">
            <w:pPr>
              <w:jc w:val="center"/>
              <w:rPr>
                <w:b/>
                <w:bCs/>
                <w:noProof/>
                <w:color w:val="FFFFFF"/>
                <w:sz w:val="20"/>
                <w:szCs w:val="20"/>
              </w:rPr>
            </w:pPr>
            <w:r w:rsidRPr="00E1044A">
              <w:rPr>
                <w:b/>
                <w:bCs/>
                <w:noProof/>
                <w:color w:val="FFFFFF"/>
                <w:sz w:val="20"/>
                <w:szCs w:val="20"/>
              </w:rPr>
              <w:t>2030</w:t>
            </w:r>
          </w:p>
        </w:tc>
        <w:tc>
          <w:tcPr>
            <w:tcW w:w="362" w:type="pct"/>
            <w:shd w:val="clear" w:color="auto" w:fill="0070C0"/>
            <w:noWrap/>
            <w:hideMark/>
          </w:tcPr>
          <w:p w14:paraId="0C1BC276" w14:textId="77777777" w:rsidR="00880BFF" w:rsidRPr="00E1044A" w:rsidRDefault="00880BFF">
            <w:pPr>
              <w:jc w:val="center"/>
              <w:rPr>
                <w:b/>
                <w:bCs/>
                <w:noProof/>
                <w:color w:val="FFFFFF"/>
                <w:sz w:val="20"/>
                <w:szCs w:val="20"/>
              </w:rPr>
            </w:pPr>
            <w:r w:rsidRPr="00E1044A">
              <w:rPr>
                <w:b/>
                <w:bCs/>
                <w:noProof/>
                <w:color w:val="FFFFFF"/>
                <w:sz w:val="20"/>
                <w:szCs w:val="20"/>
              </w:rPr>
              <w:t>2040</w:t>
            </w:r>
          </w:p>
        </w:tc>
        <w:tc>
          <w:tcPr>
            <w:tcW w:w="444" w:type="pct"/>
            <w:shd w:val="clear" w:color="auto" w:fill="0070C0"/>
            <w:noWrap/>
            <w:hideMark/>
          </w:tcPr>
          <w:p w14:paraId="1FFFECC1" w14:textId="77777777" w:rsidR="00880BFF" w:rsidRPr="00E1044A" w:rsidRDefault="00880BFF">
            <w:pPr>
              <w:jc w:val="center"/>
              <w:rPr>
                <w:b/>
                <w:bCs/>
                <w:noProof/>
                <w:color w:val="FFFFFF"/>
                <w:sz w:val="20"/>
                <w:szCs w:val="20"/>
              </w:rPr>
            </w:pPr>
            <w:r w:rsidRPr="00E1044A">
              <w:rPr>
                <w:b/>
                <w:bCs/>
                <w:noProof/>
                <w:color w:val="FFFFFF"/>
                <w:sz w:val="20"/>
                <w:szCs w:val="20"/>
              </w:rPr>
              <w:t>2050</w:t>
            </w:r>
          </w:p>
        </w:tc>
      </w:tr>
      <w:tr w:rsidR="001C193F" w:rsidRPr="00E609F5" w14:paraId="695556C8" w14:textId="77777777" w:rsidTr="00ED323F">
        <w:trPr>
          <w:trHeight w:val="20"/>
        </w:trPr>
        <w:tc>
          <w:tcPr>
            <w:tcW w:w="3320" w:type="pct"/>
            <w:noWrap/>
            <w:hideMark/>
          </w:tcPr>
          <w:p w14:paraId="4F4A1C06" w14:textId="77777777" w:rsidR="00880BFF" w:rsidRPr="00003CEB" w:rsidRDefault="00880BFF">
            <w:pPr>
              <w:rPr>
                <w:noProof/>
                <w:sz w:val="20"/>
                <w:szCs w:val="20"/>
              </w:rPr>
            </w:pPr>
            <w:r w:rsidRPr="00003CEB">
              <w:rPr>
                <w:noProof/>
                <w:sz w:val="20"/>
                <w:szCs w:val="20"/>
              </w:rPr>
              <w:t xml:space="preserve">One-off costs per MDMS platform (EUR) </w:t>
            </w:r>
          </w:p>
        </w:tc>
        <w:tc>
          <w:tcPr>
            <w:tcW w:w="451" w:type="pct"/>
            <w:noWrap/>
            <w:hideMark/>
          </w:tcPr>
          <w:p w14:paraId="6921E5B9" w14:textId="77777777" w:rsidR="00880BFF" w:rsidRPr="00003CEB" w:rsidRDefault="00880BFF">
            <w:pPr>
              <w:jc w:val="right"/>
              <w:rPr>
                <w:noProof/>
                <w:sz w:val="20"/>
                <w:szCs w:val="20"/>
              </w:rPr>
            </w:pPr>
            <w:r w:rsidRPr="00003CEB">
              <w:rPr>
                <w:noProof/>
                <w:sz w:val="20"/>
                <w:szCs w:val="20"/>
              </w:rPr>
              <w:t>113,053</w:t>
            </w:r>
          </w:p>
        </w:tc>
        <w:tc>
          <w:tcPr>
            <w:tcW w:w="423" w:type="pct"/>
            <w:noWrap/>
            <w:hideMark/>
          </w:tcPr>
          <w:p w14:paraId="5476D85A" w14:textId="77777777" w:rsidR="00880BFF" w:rsidRPr="00003CEB" w:rsidRDefault="00880BFF">
            <w:pPr>
              <w:rPr>
                <w:noProof/>
                <w:sz w:val="20"/>
                <w:szCs w:val="20"/>
              </w:rPr>
            </w:pPr>
          </w:p>
        </w:tc>
        <w:tc>
          <w:tcPr>
            <w:tcW w:w="362" w:type="pct"/>
            <w:noWrap/>
            <w:hideMark/>
          </w:tcPr>
          <w:p w14:paraId="6E56CEFB" w14:textId="77777777" w:rsidR="00880BFF" w:rsidRPr="00003CEB" w:rsidRDefault="00880BFF">
            <w:pPr>
              <w:rPr>
                <w:noProof/>
                <w:sz w:val="20"/>
                <w:szCs w:val="20"/>
              </w:rPr>
            </w:pPr>
          </w:p>
        </w:tc>
        <w:tc>
          <w:tcPr>
            <w:tcW w:w="444" w:type="pct"/>
            <w:noWrap/>
            <w:hideMark/>
          </w:tcPr>
          <w:p w14:paraId="134F6EAB" w14:textId="77777777" w:rsidR="00880BFF" w:rsidRPr="00003CEB" w:rsidRDefault="00880BFF">
            <w:pPr>
              <w:rPr>
                <w:noProof/>
                <w:sz w:val="20"/>
                <w:szCs w:val="20"/>
              </w:rPr>
            </w:pPr>
          </w:p>
        </w:tc>
      </w:tr>
      <w:tr w:rsidR="001C193F" w:rsidRPr="00E609F5" w14:paraId="07B4A360" w14:textId="77777777" w:rsidTr="00ED323F">
        <w:trPr>
          <w:trHeight w:val="20"/>
        </w:trPr>
        <w:tc>
          <w:tcPr>
            <w:tcW w:w="3320" w:type="pct"/>
            <w:noWrap/>
            <w:hideMark/>
          </w:tcPr>
          <w:p w14:paraId="09EF2D7F" w14:textId="77777777" w:rsidR="00880BFF" w:rsidRPr="00003CEB" w:rsidRDefault="00880BFF">
            <w:pPr>
              <w:rPr>
                <w:b/>
                <w:noProof/>
                <w:sz w:val="20"/>
                <w:szCs w:val="20"/>
              </w:rPr>
            </w:pPr>
            <w:r w:rsidRPr="00003CEB">
              <w:rPr>
                <w:b/>
                <w:noProof/>
                <w:sz w:val="20"/>
                <w:szCs w:val="20"/>
              </w:rPr>
              <w:t xml:space="preserve">PO1 </w:t>
            </w:r>
          </w:p>
        </w:tc>
        <w:tc>
          <w:tcPr>
            <w:tcW w:w="451" w:type="pct"/>
            <w:noWrap/>
            <w:hideMark/>
          </w:tcPr>
          <w:p w14:paraId="37B117C3" w14:textId="77777777" w:rsidR="00880BFF" w:rsidRPr="00003CEB" w:rsidRDefault="00880BFF">
            <w:pPr>
              <w:rPr>
                <w:noProof/>
                <w:sz w:val="20"/>
                <w:szCs w:val="20"/>
              </w:rPr>
            </w:pPr>
          </w:p>
        </w:tc>
        <w:tc>
          <w:tcPr>
            <w:tcW w:w="423" w:type="pct"/>
            <w:noWrap/>
            <w:hideMark/>
          </w:tcPr>
          <w:p w14:paraId="1FE95747" w14:textId="77777777" w:rsidR="00880BFF" w:rsidRPr="00003CEB" w:rsidRDefault="00880BFF">
            <w:pPr>
              <w:rPr>
                <w:noProof/>
                <w:sz w:val="20"/>
                <w:szCs w:val="20"/>
              </w:rPr>
            </w:pPr>
          </w:p>
        </w:tc>
        <w:tc>
          <w:tcPr>
            <w:tcW w:w="362" w:type="pct"/>
            <w:noWrap/>
            <w:hideMark/>
          </w:tcPr>
          <w:p w14:paraId="55C6048D" w14:textId="77777777" w:rsidR="00880BFF" w:rsidRPr="00003CEB" w:rsidRDefault="00880BFF">
            <w:pPr>
              <w:rPr>
                <w:noProof/>
                <w:sz w:val="20"/>
                <w:szCs w:val="20"/>
              </w:rPr>
            </w:pPr>
            <w:r w:rsidRPr="00003CEB">
              <w:rPr>
                <w:noProof/>
                <w:sz w:val="20"/>
                <w:szCs w:val="20"/>
              </w:rPr>
              <w:t> </w:t>
            </w:r>
          </w:p>
        </w:tc>
        <w:tc>
          <w:tcPr>
            <w:tcW w:w="444" w:type="pct"/>
            <w:noWrap/>
            <w:hideMark/>
          </w:tcPr>
          <w:p w14:paraId="28A9732F" w14:textId="77777777" w:rsidR="00880BFF" w:rsidRPr="00003CEB" w:rsidRDefault="00880BFF">
            <w:pPr>
              <w:rPr>
                <w:noProof/>
                <w:sz w:val="20"/>
                <w:szCs w:val="20"/>
              </w:rPr>
            </w:pPr>
            <w:r w:rsidRPr="00003CEB">
              <w:rPr>
                <w:noProof/>
                <w:sz w:val="20"/>
                <w:szCs w:val="20"/>
              </w:rPr>
              <w:t> </w:t>
            </w:r>
          </w:p>
        </w:tc>
      </w:tr>
      <w:tr w:rsidR="001C193F" w:rsidRPr="00E609F5" w14:paraId="0E073446" w14:textId="77777777" w:rsidTr="00ED323F">
        <w:trPr>
          <w:trHeight w:val="20"/>
        </w:trPr>
        <w:tc>
          <w:tcPr>
            <w:tcW w:w="3320" w:type="pct"/>
            <w:noWrap/>
            <w:hideMark/>
          </w:tcPr>
          <w:p w14:paraId="37EC506C" w14:textId="1F9A7C33" w:rsidR="00880BFF" w:rsidRPr="00003CEB" w:rsidRDefault="00880BFF">
            <w:pPr>
              <w:rPr>
                <w:noProof/>
                <w:sz w:val="20"/>
                <w:szCs w:val="20"/>
              </w:rPr>
            </w:pPr>
            <w:r w:rsidRPr="00003CEB">
              <w:rPr>
                <w:noProof/>
                <w:sz w:val="20"/>
                <w:szCs w:val="20"/>
              </w:rPr>
              <w:t xml:space="preserve">Number of MDMS platforms that incur one-off costs due to PM10 </w:t>
            </w:r>
          </w:p>
        </w:tc>
        <w:tc>
          <w:tcPr>
            <w:tcW w:w="451" w:type="pct"/>
            <w:noWrap/>
            <w:hideMark/>
          </w:tcPr>
          <w:p w14:paraId="7FD62210" w14:textId="77777777" w:rsidR="00880BFF" w:rsidRPr="00003CEB" w:rsidRDefault="00880BFF">
            <w:pPr>
              <w:jc w:val="right"/>
              <w:rPr>
                <w:noProof/>
                <w:sz w:val="20"/>
                <w:szCs w:val="20"/>
              </w:rPr>
            </w:pPr>
            <w:r w:rsidRPr="00003CEB">
              <w:rPr>
                <w:noProof/>
                <w:sz w:val="20"/>
                <w:szCs w:val="20"/>
              </w:rPr>
              <w:t>4</w:t>
            </w:r>
          </w:p>
        </w:tc>
        <w:tc>
          <w:tcPr>
            <w:tcW w:w="423" w:type="pct"/>
            <w:noWrap/>
            <w:hideMark/>
          </w:tcPr>
          <w:p w14:paraId="54E5B00E" w14:textId="77777777" w:rsidR="00880BFF" w:rsidRPr="00003CEB" w:rsidRDefault="00880BFF">
            <w:pPr>
              <w:jc w:val="right"/>
              <w:rPr>
                <w:noProof/>
                <w:sz w:val="20"/>
                <w:szCs w:val="20"/>
              </w:rPr>
            </w:pPr>
            <w:r w:rsidRPr="00003CEB">
              <w:rPr>
                <w:noProof/>
                <w:sz w:val="20"/>
                <w:szCs w:val="20"/>
              </w:rPr>
              <w:t>0</w:t>
            </w:r>
          </w:p>
        </w:tc>
        <w:tc>
          <w:tcPr>
            <w:tcW w:w="362" w:type="pct"/>
            <w:noWrap/>
            <w:hideMark/>
          </w:tcPr>
          <w:p w14:paraId="0A9FE6D3" w14:textId="77777777" w:rsidR="00880BFF" w:rsidRPr="00003CEB" w:rsidRDefault="00880BFF">
            <w:pPr>
              <w:jc w:val="right"/>
              <w:rPr>
                <w:noProof/>
                <w:sz w:val="20"/>
                <w:szCs w:val="20"/>
              </w:rPr>
            </w:pPr>
            <w:r w:rsidRPr="00003CEB">
              <w:rPr>
                <w:noProof/>
                <w:sz w:val="20"/>
                <w:szCs w:val="20"/>
              </w:rPr>
              <w:t>0</w:t>
            </w:r>
          </w:p>
        </w:tc>
        <w:tc>
          <w:tcPr>
            <w:tcW w:w="444" w:type="pct"/>
            <w:noWrap/>
            <w:hideMark/>
          </w:tcPr>
          <w:p w14:paraId="3366E90C" w14:textId="77777777" w:rsidR="00880BFF" w:rsidRPr="00003CEB" w:rsidRDefault="00880BFF">
            <w:pPr>
              <w:jc w:val="right"/>
              <w:rPr>
                <w:noProof/>
                <w:sz w:val="20"/>
                <w:szCs w:val="20"/>
              </w:rPr>
            </w:pPr>
            <w:r w:rsidRPr="00003CEB">
              <w:rPr>
                <w:noProof/>
                <w:sz w:val="20"/>
                <w:szCs w:val="20"/>
              </w:rPr>
              <w:t>0</w:t>
            </w:r>
          </w:p>
        </w:tc>
      </w:tr>
      <w:tr w:rsidR="001C193F" w:rsidRPr="00E609F5" w14:paraId="0E5420F7" w14:textId="77777777" w:rsidTr="00ED323F">
        <w:trPr>
          <w:trHeight w:val="20"/>
        </w:trPr>
        <w:tc>
          <w:tcPr>
            <w:tcW w:w="3320" w:type="pct"/>
            <w:noWrap/>
            <w:hideMark/>
          </w:tcPr>
          <w:p w14:paraId="456D1CC6" w14:textId="77777777" w:rsidR="00880BFF" w:rsidRPr="00003CEB" w:rsidRDefault="00880BFF">
            <w:pPr>
              <w:rPr>
                <w:noProof/>
                <w:sz w:val="20"/>
                <w:szCs w:val="20"/>
              </w:rPr>
            </w:pPr>
            <w:r w:rsidRPr="00003CEB">
              <w:rPr>
                <w:noProof/>
                <w:sz w:val="20"/>
                <w:szCs w:val="20"/>
              </w:rPr>
              <w:t>Total one-off administrative costs (million EUR)</w:t>
            </w:r>
          </w:p>
        </w:tc>
        <w:tc>
          <w:tcPr>
            <w:tcW w:w="451" w:type="pct"/>
            <w:noWrap/>
            <w:hideMark/>
          </w:tcPr>
          <w:p w14:paraId="05F5AC61" w14:textId="77777777" w:rsidR="00880BFF" w:rsidRPr="00003CEB" w:rsidRDefault="00880BFF">
            <w:pPr>
              <w:jc w:val="right"/>
              <w:rPr>
                <w:noProof/>
                <w:sz w:val="20"/>
                <w:szCs w:val="20"/>
              </w:rPr>
            </w:pPr>
            <w:r w:rsidRPr="00003CEB">
              <w:rPr>
                <w:noProof/>
                <w:sz w:val="20"/>
                <w:szCs w:val="20"/>
              </w:rPr>
              <w:t>0.5</w:t>
            </w:r>
          </w:p>
        </w:tc>
        <w:tc>
          <w:tcPr>
            <w:tcW w:w="423" w:type="pct"/>
            <w:noWrap/>
            <w:hideMark/>
          </w:tcPr>
          <w:p w14:paraId="3CE2AD8D" w14:textId="77777777" w:rsidR="00880BFF" w:rsidRPr="00003CEB" w:rsidRDefault="00880BFF">
            <w:pPr>
              <w:jc w:val="right"/>
              <w:rPr>
                <w:noProof/>
                <w:sz w:val="20"/>
                <w:szCs w:val="20"/>
              </w:rPr>
            </w:pPr>
            <w:r w:rsidRPr="00003CEB">
              <w:rPr>
                <w:noProof/>
                <w:sz w:val="20"/>
                <w:szCs w:val="20"/>
              </w:rPr>
              <w:t>0.0</w:t>
            </w:r>
          </w:p>
        </w:tc>
        <w:tc>
          <w:tcPr>
            <w:tcW w:w="362" w:type="pct"/>
            <w:noWrap/>
            <w:hideMark/>
          </w:tcPr>
          <w:p w14:paraId="5F28C96C" w14:textId="77777777" w:rsidR="00880BFF" w:rsidRPr="00003CEB" w:rsidRDefault="00880BFF">
            <w:pPr>
              <w:jc w:val="right"/>
              <w:rPr>
                <w:noProof/>
                <w:sz w:val="20"/>
                <w:szCs w:val="20"/>
              </w:rPr>
            </w:pPr>
            <w:r w:rsidRPr="00003CEB">
              <w:rPr>
                <w:noProof/>
                <w:sz w:val="20"/>
                <w:szCs w:val="20"/>
              </w:rPr>
              <w:t>0.0</w:t>
            </w:r>
          </w:p>
        </w:tc>
        <w:tc>
          <w:tcPr>
            <w:tcW w:w="444" w:type="pct"/>
            <w:noWrap/>
            <w:hideMark/>
          </w:tcPr>
          <w:p w14:paraId="3AC40DD9" w14:textId="77777777" w:rsidR="00880BFF" w:rsidRPr="00003CEB" w:rsidRDefault="00880BFF">
            <w:pPr>
              <w:jc w:val="right"/>
              <w:rPr>
                <w:noProof/>
                <w:sz w:val="20"/>
                <w:szCs w:val="20"/>
              </w:rPr>
            </w:pPr>
            <w:r w:rsidRPr="00003CEB">
              <w:rPr>
                <w:noProof/>
                <w:sz w:val="20"/>
                <w:szCs w:val="20"/>
              </w:rPr>
              <w:t>0.0</w:t>
            </w:r>
          </w:p>
        </w:tc>
      </w:tr>
      <w:tr w:rsidR="001C193F" w:rsidRPr="00E609F5" w14:paraId="5FB10B10" w14:textId="77777777" w:rsidTr="00ED323F">
        <w:trPr>
          <w:trHeight w:val="20"/>
        </w:trPr>
        <w:tc>
          <w:tcPr>
            <w:tcW w:w="3320" w:type="pct"/>
            <w:noWrap/>
            <w:hideMark/>
          </w:tcPr>
          <w:p w14:paraId="4C81631F" w14:textId="77777777" w:rsidR="00880BFF" w:rsidRPr="00003CEB" w:rsidRDefault="00880BFF">
            <w:pPr>
              <w:rPr>
                <w:b/>
                <w:noProof/>
                <w:sz w:val="20"/>
                <w:szCs w:val="20"/>
              </w:rPr>
            </w:pPr>
            <w:r w:rsidRPr="00003CEB">
              <w:rPr>
                <w:b/>
                <w:noProof/>
                <w:sz w:val="20"/>
                <w:szCs w:val="20"/>
              </w:rPr>
              <w:t xml:space="preserve">PO2 </w:t>
            </w:r>
          </w:p>
        </w:tc>
        <w:tc>
          <w:tcPr>
            <w:tcW w:w="451" w:type="pct"/>
            <w:noWrap/>
            <w:hideMark/>
          </w:tcPr>
          <w:p w14:paraId="1AC4695E" w14:textId="77777777" w:rsidR="00880BFF" w:rsidRPr="00003CEB" w:rsidRDefault="00880BFF">
            <w:pPr>
              <w:rPr>
                <w:noProof/>
                <w:sz w:val="20"/>
                <w:szCs w:val="20"/>
              </w:rPr>
            </w:pPr>
          </w:p>
        </w:tc>
        <w:tc>
          <w:tcPr>
            <w:tcW w:w="423" w:type="pct"/>
            <w:noWrap/>
            <w:hideMark/>
          </w:tcPr>
          <w:p w14:paraId="7C0AEB19" w14:textId="77777777" w:rsidR="00880BFF" w:rsidRPr="00003CEB" w:rsidRDefault="00880BFF">
            <w:pPr>
              <w:jc w:val="right"/>
              <w:rPr>
                <w:noProof/>
                <w:sz w:val="20"/>
                <w:szCs w:val="20"/>
              </w:rPr>
            </w:pPr>
          </w:p>
        </w:tc>
        <w:tc>
          <w:tcPr>
            <w:tcW w:w="362" w:type="pct"/>
            <w:noWrap/>
            <w:hideMark/>
          </w:tcPr>
          <w:p w14:paraId="49EA27E0" w14:textId="77777777" w:rsidR="00880BFF" w:rsidRPr="00003CEB" w:rsidRDefault="00880BFF">
            <w:pPr>
              <w:jc w:val="right"/>
              <w:rPr>
                <w:noProof/>
                <w:sz w:val="20"/>
                <w:szCs w:val="20"/>
              </w:rPr>
            </w:pPr>
          </w:p>
        </w:tc>
        <w:tc>
          <w:tcPr>
            <w:tcW w:w="444" w:type="pct"/>
            <w:noWrap/>
            <w:hideMark/>
          </w:tcPr>
          <w:p w14:paraId="370897B7" w14:textId="77777777" w:rsidR="00880BFF" w:rsidRPr="00003CEB" w:rsidRDefault="00880BFF">
            <w:pPr>
              <w:jc w:val="right"/>
              <w:rPr>
                <w:noProof/>
                <w:sz w:val="20"/>
                <w:szCs w:val="20"/>
              </w:rPr>
            </w:pPr>
          </w:p>
        </w:tc>
      </w:tr>
      <w:tr w:rsidR="00ED323F" w:rsidRPr="00E609F5" w14:paraId="4BB8FB61" w14:textId="77777777" w:rsidTr="00ED323F">
        <w:trPr>
          <w:trHeight w:val="20"/>
        </w:trPr>
        <w:tc>
          <w:tcPr>
            <w:tcW w:w="3320" w:type="pct"/>
            <w:noWrap/>
            <w:hideMark/>
          </w:tcPr>
          <w:p w14:paraId="26025EDF" w14:textId="049B85E0" w:rsidR="00ED323F" w:rsidRPr="00003CEB" w:rsidRDefault="00ED323F" w:rsidP="00ED323F">
            <w:pPr>
              <w:rPr>
                <w:noProof/>
                <w:sz w:val="20"/>
                <w:szCs w:val="20"/>
              </w:rPr>
            </w:pPr>
            <w:r w:rsidRPr="00003CEB">
              <w:rPr>
                <w:noProof/>
                <w:sz w:val="20"/>
                <w:szCs w:val="20"/>
              </w:rPr>
              <w:t xml:space="preserve">Number of MDMS platforms that incur one-off costs due to PM10 </w:t>
            </w:r>
          </w:p>
        </w:tc>
        <w:tc>
          <w:tcPr>
            <w:tcW w:w="451" w:type="pct"/>
            <w:noWrap/>
            <w:hideMark/>
          </w:tcPr>
          <w:p w14:paraId="43FE66BB" w14:textId="77777777" w:rsidR="00ED323F" w:rsidRPr="00003CEB" w:rsidRDefault="00ED323F" w:rsidP="00ED323F">
            <w:pPr>
              <w:jc w:val="right"/>
              <w:rPr>
                <w:noProof/>
                <w:sz w:val="20"/>
                <w:szCs w:val="20"/>
              </w:rPr>
            </w:pPr>
            <w:r w:rsidRPr="00003CEB">
              <w:rPr>
                <w:noProof/>
                <w:sz w:val="20"/>
                <w:szCs w:val="20"/>
              </w:rPr>
              <w:t>4</w:t>
            </w:r>
          </w:p>
        </w:tc>
        <w:tc>
          <w:tcPr>
            <w:tcW w:w="423" w:type="pct"/>
            <w:noWrap/>
            <w:hideMark/>
          </w:tcPr>
          <w:p w14:paraId="11B7E5FC" w14:textId="77777777" w:rsidR="00ED323F" w:rsidRPr="00003CEB" w:rsidRDefault="00ED323F" w:rsidP="00ED323F">
            <w:pPr>
              <w:jc w:val="right"/>
              <w:rPr>
                <w:noProof/>
                <w:sz w:val="20"/>
                <w:szCs w:val="20"/>
              </w:rPr>
            </w:pPr>
            <w:r w:rsidRPr="00003CEB">
              <w:rPr>
                <w:noProof/>
                <w:sz w:val="20"/>
                <w:szCs w:val="20"/>
              </w:rPr>
              <w:t>0</w:t>
            </w:r>
          </w:p>
        </w:tc>
        <w:tc>
          <w:tcPr>
            <w:tcW w:w="362" w:type="pct"/>
            <w:noWrap/>
            <w:hideMark/>
          </w:tcPr>
          <w:p w14:paraId="56FEA40D" w14:textId="77777777" w:rsidR="00ED323F" w:rsidRPr="00003CEB" w:rsidRDefault="00ED323F" w:rsidP="00ED323F">
            <w:pPr>
              <w:jc w:val="right"/>
              <w:rPr>
                <w:noProof/>
                <w:sz w:val="20"/>
                <w:szCs w:val="20"/>
              </w:rPr>
            </w:pPr>
            <w:r w:rsidRPr="00003CEB">
              <w:rPr>
                <w:noProof/>
                <w:sz w:val="20"/>
                <w:szCs w:val="20"/>
              </w:rPr>
              <w:t>0</w:t>
            </w:r>
          </w:p>
        </w:tc>
        <w:tc>
          <w:tcPr>
            <w:tcW w:w="444" w:type="pct"/>
            <w:noWrap/>
            <w:hideMark/>
          </w:tcPr>
          <w:p w14:paraId="01E866B6" w14:textId="77777777" w:rsidR="00ED323F" w:rsidRPr="00003CEB" w:rsidRDefault="00ED323F" w:rsidP="00ED323F">
            <w:pPr>
              <w:jc w:val="right"/>
              <w:rPr>
                <w:noProof/>
                <w:sz w:val="20"/>
                <w:szCs w:val="20"/>
              </w:rPr>
            </w:pPr>
            <w:r w:rsidRPr="00003CEB">
              <w:rPr>
                <w:noProof/>
                <w:sz w:val="20"/>
                <w:szCs w:val="20"/>
              </w:rPr>
              <w:t>0</w:t>
            </w:r>
          </w:p>
        </w:tc>
      </w:tr>
      <w:tr w:rsidR="00ED323F" w:rsidRPr="00E609F5" w14:paraId="0DB43333" w14:textId="77777777" w:rsidTr="00ED323F">
        <w:trPr>
          <w:trHeight w:val="20"/>
        </w:trPr>
        <w:tc>
          <w:tcPr>
            <w:tcW w:w="3320" w:type="pct"/>
            <w:noWrap/>
            <w:hideMark/>
          </w:tcPr>
          <w:p w14:paraId="129098FA" w14:textId="77777777" w:rsidR="00ED323F" w:rsidRPr="00003CEB" w:rsidRDefault="00ED323F" w:rsidP="00ED323F">
            <w:pPr>
              <w:rPr>
                <w:noProof/>
                <w:sz w:val="20"/>
                <w:szCs w:val="20"/>
              </w:rPr>
            </w:pPr>
            <w:r w:rsidRPr="00003CEB">
              <w:rPr>
                <w:noProof/>
                <w:sz w:val="20"/>
                <w:szCs w:val="20"/>
              </w:rPr>
              <w:t>Total one-off administrative costs (million EUR)</w:t>
            </w:r>
          </w:p>
        </w:tc>
        <w:tc>
          <w:tcPr>
            <w:tcW w:w="451" w:type="pct"/>
            <w:noWrap/>
            <w:hideMark/>
          </w:tcPr>
          <w:p w14:paraId="5049660B" w14:textId="77777777" w:rsidR="00ED323F" w:rsidRPr="00003CEB" w:rsidRDefault="00ED323F" w:rsidP="00ED323F">
            <w:pPr>
              <w:jc w:val="right"/>
              <w:rPr>
                <w:noProof/>
                <w:sz w:val="20"/>
                <w:szCs w:val="20"/>
              </w:rPr>
            </w:pPr>
            <w:r w:rsidRPr="00003CEB">
              <w:rPr>
                <w:noProof/>
                <w:sz w:val="20"/>
                <w:szCs w:val="20"/>
              </w:rPr>
              <w:t>0.5</w:t>
            </w:r>
          </w:p>
        </w:tc>
        <w:tc>
          <w:tcPr>
            <w:tcW w:w="423" w:type="pct"/>
            <w:noWrap/>
            <w:hideMark/>
          </w:tcPr>
          <w:p w14:paraId="2ADC88D1" w14:textId="77777777" w:rsidR="00ED323F" w:rsidRPr="00003CEB" w:rsidRDefault="00ED323F" w:rsidP="00ED323F">
            <w:pPr>
              <w:jc w:val="right"/>
              <w:rPr>
                <w:noProof/>
                <w:sz w:val="20"/>
                <w:szCs w:val="20"/>
              </w:rPr>
            </w:pPr>
            <w:r w:rsidRPr="00003CEB">
              <w:rPr>
                <w:noProof/>
                <w:sz w:val="20"/>
                <w:szCs w:val="20"/>
              </w:rPr>
              <w:t>0.0</w:t>
            </w:r>
          </w:p>
        </w:tc>
        <w:tc>
          <w:tcPr>
            <w:tcW w:w="362" w:type="pct"/>
            <w:noWrap/>
            <w:hideMark/>
          </w:tcPr>
          <w:p w14:paraId="69798514" w14:textId="77777777" w:rsidR="00ED323F" w:rsidRPr="00003CEB" w:rsidRDefault="00ED323F" w:rsidP="00ED323F">
            <w:pPr>
              <w:jc w:val="right"/>
              <w:rPr>
                <w:noProof/>
                <w:sz w:val="20"/>
                <w:szCs w:val="20"/>
              </w:rPr>
            </w:pPr>
            <w:r w:rsidRPr="00003CEB">
              <w:rPr>
                <w:noProof/>
                <w:sz w:val="20"/>
                <w:szCs w:val="20"/>
              </w:rPr>
              <w:t>0.</w:t>
            </w:r>
            <w:r w:rsidRPr="00003CEB" w:rsidDel="0005660A">
              <w:rPr>
                <w:noProof/>
                <w:sz w:val="20"/>
                <w:szCs w:val="20"/>
              </w:rPr>
              <w:t>0</w:t>
            </w:r>
          </w:p>
        </w:tc>
        <w:tc>
          <w:tcPr>
            <w:tcW w:w="444" w:type="pct"/>
            <w:noWrap/>
            <w:hideMark/>
          </w:tcPr>
          <w:p w14:paraId="75F33138" w14:textId="77777777" w:rsidR="00ED323F" w:rsidRPr="00003CEB" w:rsidRDefault="00ED323F" w:rsidP="00ED323F">
            <w:pPr>
              <w:jc w:val="right"/>
              <w:rPr>
                <w:noProof/>
                <w:sz w:val="20"/>
                <w:szCs w:val="20"/>
              </w:rPr>
            </w:pPr>
            <w:r w:rsidRPr="00003CEB">
              <w:rPr>
                <w:noProof/>
                <w:sz w:val="20"/>
                <w:szCs w:val="20"/>
              </w:rPr>
              <w:t>0.</w:t>
            </w:r>
            <w:r w:rsidRPr="00003CEB" w:rsidDel="0005660A">
              <w:rPr>
                <w:noProof/>
                <w:sz w:val="20"/>
                <w:szCs w:val="20"/>
              </w:rPr>
              <w:t>0</w:t>
            </w:r>
          </w:p>
        </w:tc>
      </w:tr>
      <w:tr w:rsidR="001C193F" w:rsidRPr="00E609F5" w14:paraId="149E250B" w14:textId="77777777" w:rsidTr="00ED323F">
        <w:trPr>
          <w:trHeight w:val="20"/>
        </w:trPr>
        <w:tc>
          <w:tcPr>
            <w:tcW w:w="3320" w:type="pct"/>
            <w:noWrap/>
            <w:hideMark/>
          </w:tcPr>
          <w:p w14:paraId="551CD6C3" w14:textId="77777777" w:rsidR="00880BFF" w:rsidRPr="00003CEB" w:rsidRDefault="00880BFF">
            <w:pPr>
              <w:rPr>
                <w:b/>
                <w:noProof/>
                <w:sz w:val="20"/>
                <w:szCs w:val="20"/>
              </w:rPr>
            </w:pPr>
            <w:r w:rsidRPr="00003CEB">
              <w:rPr>
                <w:b/>
                <w:noProof/>
                <w:sz w:val="20"/>
                <w:szCs w:val="20"/>
              </w:rPr>
              <w:t xml:space="preserve">PO3 </w:t>
            </w:r>
          </w:p>
        </w:tc>
        <w:tc>
          <w:tcPr>
            <w:tcW w:w="451" w:type="pct"/>
            <w:noWrap/>
            <w:hideMark/>
          </w:tcPr>
          <w:p w14:paraId="4E67C943" w14:textId="77777777" w:rsidR="00880BFF" w:rsidRPr="00003CEB" w:rsidRDefault="00880BFF">
            <w:pPr>
              <w:rPr>
                <w:noProof/>
                <w:sz w:val="20"/>
                <w:szCs w:val="20"/>
              </w:rPr>
            </w:pPr>
          </w:p>
        </w:tc>
        <w:tc>
          <w:tcPr>
            <w:tcW w:w="423" w:type="pct"/>
            <w:noWrap/>
            <w:hideMark/>
          </w:tcPr>
          <w:p w14:paraId="7EA0E1AF" w14:textId="77777777" w:rsidR="00880BFF" w:rsidRPr="00003CEB" w:rsidRDefault="00880BFF">
            <w:pPr>
              <w:jc w:val="right"/>
              <w:rPr>
                <w:noProof/>
                <w:sz w:val="20"/>
                <w:szCs w:val="20"/>
              </w:rPr>
            </w:pPr>
          </w:p>
        </w:tc>
        <w:tc>
          <w:tcPr>
            <w:tcW w:w="362" w:type="pct"/>
            <w:noWrap/>
            <w:hideMark/>
          </w:tcPr>
          <w:p w14:paraId="7CFEE850" w14:textId="77777777" w:rsidR="00880BFF" w:rsidRPr="00003CEB" w:rsidRDefault="00880BFF">
            <w:pPr>
              <w:jc w:val="right"/>
              <w:rPr>
                <w:noProof/>
                <w:sz w:val="20"/>
                <w:szCs w:val="20"/>
              </w:rPr>
            </w:pPr>
          </w:p>
        </w:tc>
        <w:tc>
          <w:tcPr>
            <w:tcW w:w="444" w:type="pct"/>
            <w:noWrap/>
            <w:hideMark/>
          </w:tcPr>
          <w:p w14:paraId="5A233B13" w14:textId="77777777" w:rsidR="00880BFF" w:rsidRPr="00003CEB" w:rsidRDefault="00880BFF">
            <w:pPr>
              <w:jc w:val="right"/>
              <w:rPr>
                <w:noProof/>
                <w:sz w:val="20"/>
                <w:szCs w:val="20"/>
              </w:rPr>
            </w:pPr>
          </w:p>
        </w:tc>
      </w:tr>
      <w:tr w:rsidR="00ED323F" w:rsidRPr="00E609F5" w14:paraId="41F5BA99" w14:textId="77777777" w:rsidTr="00ED323F">
        <w:trPr>
          <w:trHeight w:val="20"/>
        </w:trPr>
        <w:tc>
          <w:tcPr>
            <w:tcW w:w="3320" w:type="pct"/>
            <w:noWrap/>
            <w:hideMark/>
          </w:tcPr>
          <w:p w14:paraId="11FFC202" w14:textId="5D6B9194" w:rsidR="00ED323F" w:rsidRPr="00003CEB" w:rsidRDefault="00ED323F" w:rsidP="00ED323F">
            <w:pPr>
              <w:rPr>
                <w:noProof/>
                <w:sz w:val="20"/>
                <w:szCs w:val="20"/>
              </w:rPr>
            </w:pPr>
            <w:r w:rsidRPr="00003CEB">
              <w:rPr>
                <w:noProof/>
                <w:sz w:val="20"/>
                <w:szCs w:val="20"/>
              </w:rPr>
              <w:t xml:space="preserve">Number of MDMS platforms that incur one-off costs due to PM10 </w:t>
            </w:r>
          </w:p>
        </w:tc>
        <w:tc>
          <w:tcPr>
            <w:tcW w:w="451" w:type="pct"/>
            <w:noWrap/>
            <w:hideMark/>
          </w:tcPr>
          <w:p w14:paraId="1BC2843F" w14:textId="77777777" w:rsidR="00ED323F" w:rsidRPr="00003CEB" w:rsidRDefault="00ED323F" w:rsidP="00ED323F">
            <w:pPr>
              <w:jc w:val="right"/>
              <w:rPr>
                <w:noProof/>
                <w:sz w:val="20"/>
                <w:szCs w:val="20"/>
              </w:rPr>
            </w:pPr>
            <w:r w:rsidRPr="00003CEB">
              <w:rPr>
                <w:noProof/>
                <w:sz w:val="20"/>
                <w:szCs w:val="20"/>
              </w:rPr>
              <w:t>4</w:t>
            </w:r>
          </w:p>
        </w:tc>
        <w:tc>
          <w:tcPr>
            <w:tcW w:w="423" w:type="pct"/>
            <w:noWrap/>
            <w:hideMark/>
          </w:tcPr>
          <w:p w14:paraId="10581D3C" w14:textId="77777777" w:rsidR="00ED323F" w:rsidRPr="00003CEB" w:rsidRDefault="00ED323F" w:rsidP="00ED323F">
            <w:pPr>
              <w:jc w:val="right"/>
              <w:rPr>
                <w:noProof/>
                <w:sz w:val="20"/>
                <w:szCs w:val="20"/>
              </w:rPr>
            </w:pPr>
            <w:r w:rsidRPr="00003CEB">
              <w:rPr>
                <w:noProof/>
                <w:sz w:val="20"/>
                <w:szCs w:val="20"/>
              </w:rPr>
              <w:t>0</w:t>
            </w:r>
          </w:p>
        </w:tc>
        <w:tc>
          <w:tcPr>
            <w:tcW w:w="362" w:type="pct"/>
            <w:noWrap/>
            <w:hideMark/>
          </w:tcPr>
          <w:p w14:paraId="1F66510E" w14:textId="77777777" w:rsidR="00ED323F" w:rsidRPr="00003CEB" w:rsidRDefault="00ED323F" w:rsidP="00ED323F">
            <w:pPr>
              <w:jc w:val="right"/>
              <w:rPr>
                <w:noProof/>
                <w:sz w:val="20"/>
                <w:szCs w:val="20"/>
              </w:rPr>
            </w:pPr>
            <w:r w:rsidRPr="00003CEB">
              <w:rPr>
                <w:noProof/>
                <w:sz w:val="20"/>
                <w:szCs w:val="20"/>
              </w:rPr>
              <w:t>0</w:t>
            </w:r>
          </w:p>
        </w:tc>
        <w:tc>
          <w:tcPr>
            <w:tcW w:w="444" w:type="pct"/>
            <w:noWrap/>
            <w:hideMark/>
          </w:tcPr>
          <w:p w14:paraId="334039CA" w14:textId="77777777" w:rsidR="00ED323F" w:rsidRPr="00003CEB" w:rsidRDefault="00ED323F" w:rsidP="00ED323F">
            <w:pPr>
              <w:jc w:val="right"/>
              <w:rPr>
                <w:noProof/>
                <w:sz w:val="20"/>
                <w:szCs w:val="20"/>
              </w:rPr>
            </w:pPr>
            <w:r w:rsidRPr="00003CEB">
              <w:rPr>
                <w:noProof/>
                <w:sz w:val="20"/>
                <w:szCs w:val="20"/>
              </w:rPr>
              <w:t>0</w:t>
            </w:r>
          </w:p>
        </w:tc>
      </w:tr>
      <w:tr w:rsidR="00ED323F" w:rsidRPr="00E609F5" w14:paraId="19275CFE" w14:textId="77777777" w:rsidTr="00ED323F">
        <w:trPr>
          <w:trHeight w:val="20"/>
        </w:trPr>
        <w:tc>
          <w:tcPr>
            <w:tcW w:w="3320" w:type="pct"/>
            <w:noWrap/>
            <w:hideMark/>
          </w:tcPr>
          <w:p w14:paraId="0B044C9D" w14:textId="77777777" w:rsidR="00ED323F" w:rsidRPr="00003CEB" w:rsidRDefault="00ED323F" w:rsidP="00ED323F">
            <w:pPr>
              <w:rPr>
                <w:noProof/>
                <w:sz w:val="20"/>
                <w:szCs w:val="20"/>
              </w:rPr>
            </w:pPr>
            <w:r w:rsidRPr="00003CEB">
              <w:rPr>
                <w:noProof/>
                <w:sz w:val="20"/>
                <w:szCs w:val="20"/>
              </w:rPr>
              <w:t>Total one-off administrative costs (million EUR)</w:t>
            </w:r>
          </w:p>
        </w:tc>
        <w:tc>
          <w:tcPr>
            <w:tcW w:w="451" w:type="pct"/>
            <w:noWrap/>
            <w:hideMark/>
          </w:tcPr>
          <w:p w14:paraId="3EFBCC05" w14:textId="77777777" w:rsidR="00ED323F" w:rsidRPr="00003CEB" w:rsidRDefault="00ED323F" w:rsidP="00ED323F">
            <w:pPr>
              <w:jc w:val="right"/>
              <w:rPr>
                <w:noProof/>
                <w:sz w:val="20"/>
                <w:szCs w:val="20"/>
              </w:rPr>
            </w:pPr>
            <w:r w:rsidRPr="00003CEB">
              <w:rPr>
                <w:noProof/>
                <w:sz w:val="20"/>
                <w:szCs w:val="20"/>
              </w:rPr>
              <w:t>0.5</w:t>
            </w:r>
          </w:p>
        </w:tc>
        <w:tc>
          <w:tcPr>
            <w:tcW w:w="423" w:type="pct"/>
            <w:noWrap/>
            <w:hideMark/>
          </w:tcPr>
          <w:p w14:paraId="5CCEC35E" w14:textId="77777777" w:rsidR="00ED323F" w:rsidRPr="00003CEB" w:rsidRDefault="00ED323F" w:rsidP="00ED323F">
            <w:pPr>
              <w:jc w:val="right"/>
              <w:rPr>
                <w:noProof/>
                <w:sz w:val="20"/>
                <w:szCs w:val="20"/>
              </w:rPr>
            </w:pPr>
            <w:r w:rsidRPr="00003CEB">
              <w:rPr>
                <w:noProof/>
                <w:sz w:val="20"/>
                <w:szCs w:val="20"/>
              </w:rPr>
              <w:t>0.0</w:t>
            </w:r>
          </w:p>
        </w:tc>
        <w:tc>
          <w:tcPr>
            <w:tcW w:w="362" w:type="pct"/>
            <w:noWrap/>
            <w:hideMark/>
          </w:tcPr>
          <w:p w14:paraId="0329C80A" w14:textId="77777777" w:rsidR="00ED323F" w:rsidRPr="00003CEB" w:rsidRDefault="00ED323F" w:rsidP="00ED323F">
            <w:pPr>
              <w:jc w:val="right"/>
              <w:rPr>
                <w:noProof/>
                <w:sz w:val="20"/>
                <w:szCs w:val="20"/>
              </w:rPr>
            </w:pPr>
            <w:r w:rsidRPr="00003CEB">
              <w:rPr>
                <w:noProof/>
                <w:sz w:val="20"/>
                <w:szCs w:val="20"/>
              </w:rPr>
              <w:t>0.0</w:t>
            </w:r>
          </w:p>
        </w:tc>
        <w:tc>
          <w:tcPr>
            <w:tcW w:w="444" w:type="pct"/>
            <w:noWrap/>
            <w:hideMark/>
          </w:tcPr>
          <w:p w14:paraId="74EBE7C5" w14:textId="77777777" w:rsidR="00ED323F" w:rsidRPr="00003CEB" w:rsidRDefault="00ED323F" w:rsidP="00ED323F">
            <w:pPr>
              <w:jc w:val="right"/>
              <w:rPr>
                <w:noProof/>
                <w:sz w:val="20"/>
                <w:szCs w:val="20"/>
              </w:rPr>
            </w:pPr>
            <w:r w:rsidRPr="00003CEB">
              <w:rPr>
                <w:noProof/>
                <w:sz w:val="20"/>
                <w:szCs w:val="20"/>
              </w:rPr>
              <w:t>0.0</w:t>
            </w:r>
          </w:p>
        </w:tc>
      </w:tr>
      <w:tr w:rsidR="001C193F" w:rsidRPr="00E609F5" w14:paraId="122898E1" w14:textId="77777777" w:rsidTr="00ED323F">
        <w:trPr>
          <w:trHeight w:val="20"/>
        </w:trPr>
        <w:tc>
          <w:tcPr>
            <w:tcW w:w="3320" w:type="pct"/>
            <w:noWrap/>
            <w:hideMark/>
          </w:tcPr>
          <w:p w14:paraId="16274063" w14:textId="77777777" w:rsidR="00880BFF" w:rsidRPr="00003CEB" w:rsidRDefault="00880BFF">
            <w:pPr>
              <w:rPr>
                <w:b/>
                <w:noProof/>
                <w:sz w:val="20"/>
                <w:szCs w:val="20"/>
              </w:rPr>
            </w:pPr>
            <w:r w:rsidRPr="00003CEB">
              <w:rPr>
                <w:b/>
                <w:noProof/>
                <w:sz w:val="20"/>
                <w:szCs w:val="20"/>
              </w:rPr>
              <w:t xml:space="preserve">PO4 </w:t>
            </w:r>
          </w:p>
        </w:tc>
        <w:tc>
          <w:tcPr>
            <w:tcW w:w="451" w:type="pct"/>
            <w:noWrap/>
            <w:hideMark/>
          </w:tcPr>
          <w:p w14:paraId="7ADDCDB5" w14:textId="77777777" w:rsidR="00880BFF" w:rsidRPr="00003CEB" w:rsidRDefault="00880BFF">
            <w:pPr>
              <w:rPr>
                <w:noProof/>
                <w:sz w:val="20"/>
                <w:szCs w:val="20"/>
              </w:rPr>
            </w:pPr>
          </w:p>
        </w:tc>
        <w:tc>
          <w:tcPr>
            <w:tcW w:w="423" w:type="pct"/>
            <w:noWrap/>
            <w:hideMark/>
          </w:tcPr>
          <w:p w14:paraId="2A299E5A" w14:textId="77777777" w:rsidR="00880BFF" w:rsidRPr="00003CEB" w:rsidRDefault="00880BFF">
            <w:pPr>
              <w:jc w:val="right"/>
              <w:rPr>
                <w:noProof/>
                <w:sz w:val="20"/>
                <w:szCs w:val="20"/>
              </w:rPr>
            </w:pPr>
          </w:p>
        </w:tc>
        <w:tc>
          <w:tcPr>
            <w:tcW w:w="362" w:type="pct"/>
            <w:noWrap/>
            <w:hideMark/>
          </w:tcPr>
          <w:p w14:paraId="19ACB771" w14:textId="77777777" w:rsidR="00880BFF" w:rsidRPr="00003CEB" w:rsidRDefault="00880BFF">
            <w:pPr>
              <w:jc w:val="right"/>
              <w:rPr>
                <w:noProof/>
                <w:sz w:val="20"/>
                <w:szCs w:val="20"/>
              </w:rPr>
            </w:pPr>
          </w:p>
        </w:tc>
        <w:tc>
          <w:tcPr>
            <w:tcW w:w="444" w:type="pct"/>
            <w:noWrap/>
            <w:hideMark/>
          </w:tcPr>
          <w:p w14:paraId="12062E3D" w14:textId="77777777" w:rsidR="00880BFF" w:rsidRPr="00003CEB" w:rsidRDefault="00880BFF">
            <w:pPr>
              <w:jc w:val="right"/>
              <w:rPr>
                <w:noProof/>
                <w:sz w:val="20"/>
                <w:szCs w:val="20"/>
              </w:rPr>
            </w:pPr>
          </w:p>
        </w:tc>
      </w:tr>
      <w:tr w:rsidR="00ED323F" w:rsidRPr="00E609F5" w14:paraId="7E6E2084" w14:textId="77777777" w:rsidTr="00ED323F">
        <w:trPr>
          <w:trHeight w:val="20"/>
        </w:trPr>
        <w:tc>
          <w:tcPr>
            <w:tcW w:w="3320" w:type="pct"/>
            <w:noWrap/>
            <w:hideMark/>
          </w:tcPr>
          <w:p w14:paraId="3A7DA47D" w14:textId="02BCC53E" w:rsidR="00ED323F" w:rsidRPr="00003CEB" w:rsidRDefault="00ED323F" w:rsidP="00ED323F">
            <w:pPr>
              <w:rPr>
                <w:noProof/>
                <w:sz w:val="20"/>
                <w:szCs w:val="20"/>
              </w:rPr>
            </w:pPr>
            <w:r w:rsidRPr="00003CEB">
              <w:rPr>
                <w:noProof/>
                <w:sz w:val="20"/>
                <w:szCs w:val="20"/>
              </w:rPr>
              <w:t xml:space="preserve">Number of MDMS platforms that incur one-off costs due to PM10 </w:t>
            </w:r>
          </w:p>
        </w:tc>
        <w:tc>
          <w:tcPr>
            <w:tcW w:w="451" w:type="pct"/>
            <w:noWrap/>
            <w:hideMark/>
          </w:tcPr>
          <w:p w14:paraId="011C2475" w14:textId="77777777" w:rsidR="00ED323F" w:rsidRPr="00003CEB" w:rsidRDefault="00ED323F" w:rsidP="00ED323F">
            <w:pPr>
              <w:jc w:val="right"/>
              <w:rPr>
                <w:noProof/>
                <w:sz w:val="20"/>
                <w:szCs w:val="20"/>
              </w:rPr>
            </w:pPr>
            <w:r w:rsidRPr="00003CEB">
              <w:rPr>
                <w:noProof/>
                <w:sz w:val="20"/>
                <w:szCs w:val="20"/>
              </w:rPr>
              <w:t>4</w:t>
            </w:r>
          </w:p>
        </w:tc>
        <w:tc>
          <w:tcPr>
            <w:tcW w:w="423" w:type="pct"/>
            <w:noWrap/>
            <w:hideMark/>
          </w:tcPr>
          <w:p w14:paraId="2FAF5633" w14:textId="77777777" w:rsidR="00ED323F" w:rsidRPr="00003CEB" w:rsidRDefault="00ED323F" w:rsidP="00ED323F">
            <w:pPr>
              <w:jc w:val="right"/>
              <w:rPr>
                <w:noProof/>
                <w:sz w:val="20"/>
                <w:szCs w:val="20"/>
              </w:rPr>
            </w:pPr>
            <w:r w:rsidRPr="00003CEB">
              <w:rPr>
                <w:noProof/>
                <w:sz w:val="20"/>
                <w:szCs w:val="20"/>
              </w:rPr>
              <w:t>0</w:t>
            </w:r>
          </w:p>
        </w:tc>
        <w:tc>
          <w:tcPr>
            <w:tcW w:w="362" w:type="pct"/>
            <w:noWrap/>
            <w:hideMark/>
          </w:tcPr>
          <w:p w14:paraId="748AB71F" w14:textId="77777777" w:rsidR="00ED323F" w:rsidRPr="00003CEB" w:rsidRDefault="00ED323F" w:rsidP="00ED323F">
            <w:pPr>
              <w:jc w:val="right"/>
              <w:rPr>
                <w:noProof/>
                <w:sz w:val="20"/>
                <w:szCs w:val="20"/>
              </w:rPr>
            </w:pPr>
            <w:r w:rsidRPr="00003CEB">
              <w:rPr>
                <w:noProof/>
                <w:sz w:val="20"/>
                <w:szCs w:val="20"/>
              </w:rPr>
              <w:t>0</w:t>
            </w:r>
          </w:p>
        </w:tc>
        <w:tc>
          <w:tcPr>
            <w:tcW w:w="444" w:type="pct"/>
            <w:noWrap/>
            <w:hideMark/>
          </w:tcPr>
          <w:p w14:paraId="08A00861" w14:textId="77777777" w:rsidR="00ED323F" w:rsidRPr="00003CEB" w:rsidRDefault="00ED323F" w:rsidP="00ED323F">
            <w:pPr>
              <w:jc w:val="right"/>
              <w:rPr>
                <w:noProof/>
                <w:sz w:val="20"/>
                <w:szCs w:val="20"/>
              </w:rPr>
            </w:pPr>
            <w:r w:rsidRPr="00003CEB">
              <w:rPr>
                <w:noProof/>
                <w:sz w:val="20"/>
                <w:szCs w:val="20"/>
              </w:rPr>
              <w:t>0</w:t>
            </w:r>
          </w:p>
        </w:tc>
      </w:tr>
      <w:tr w:rsidR="00ED323F" w:rsidRPr="00E609F5" w14:paraId="0A36D414" w14:textId="77777777" w:rsidTr="00ED323F">
        <w:trPr>
          <w:trHeight w:val="20"/>
        </w:trPr>
        <w:tc>
          <w:tcPr>
            <w:tcW w:w="3320" w:type="pct"/>
            <w:noWrap/>
            <w:hideMark/>
          </w:tcPr>
          <w:p w14:paraId="61E25965" w14:textId="77777777" w:rsidR="00ED323F" w:rsidRPr="00003CEB" w:rsidRDefault="00ED323F" w:rsidP="00ED323F">
            <w:pPr>
              <w:rPr>
                <w:noProof/>
                <w:sz w:val="20"/>
                <w:szCs w:val="20"/>
              </w:rPr>
            </w:pPr>
            <w:r w:rsidRPr="00003CEB">
              <w:rPr>
                <w:noProof/>
                <w:sz w:val="20"/>
                <w:szCs w:val="20"/>
              </w:rPr>
              <w:t>Total one-off administrative costs (million EUR)</w:t>
            </w:r>
          </w:p>
        </w:tc>
        <w:tc>
          <w:tcPr>
            <w:tcW w:w="451" w:type="pct"/>
            <w:noWrap/>
            <w:hideMark/>
          </w:tcPr>
          <w:p w14:paraId="438C51D5" w14:textId="77777777" w:rsidR="00ED323F" w:rsidRPr="00003CEB" w:rsidRDefault="00ED323F" w:rsidP="00ED323F">
            <w:pPr>
              <w:jc w:val="right"/>
              <w:rPr>
                <w:noProof/>
                <w:sz w:val="20"/>
                <w:szCs w:val="20"/>
              </w:rPr>
            </w:pPr>
            <w:r w:rsidRPr="00003CEB">
              <w:rPr>
                <w:noProof/>
                <w:sz w:val="20"/>
                <w:szCs w:val="20"/>
              </w:rPr>
              <w:t>0.5</w:t>
            </w:r>
          </w:p>
        </w:tc>
        <w:tc>
          <w:tcPr>
            <w:tcW w:w="423" w:type="pct"/>
            <w:noWrap/>
            <w:hideMark/>
          </w:tcPr>
          <w:p w14:paraId="792C1F8F" w14:textId="77777777" w:rsidR="00ED323F" w:rsidRPr="00003CEB" w:rsidRDefault="00ED323F" w:rsidP="00ED323F">
            <w:pPr>
              <w:jc w:val="right"/>
              <w:rPr>
                <w:noProof/>
                <w:sz w:val="20"/>
                <w:szCs w:val="20"/>
              </w:rPr>
            </w:pPr>
            <w:r w:rsidRPr="00003CEB">
              <w:rPr>
                <w:noProof/>
                <w:sz w:val="20"/>
                <w:szCs w:val="20"/>
              </w:rPr>
              <w:t>0.0</w:t>
            </w:r>
          </w:p>
        </w:tc>
        <w:tc>
          <w:tcPr>
            <w:tcW w:w="362" w:type="pct"/>
            <w:noWrap/>
            <w:hideMark/>
          </w:tcPr>
          <w:p w14:paraId="2CC3A038" w14:textId="77777777" w:rsidR="00ED323F" w:rsidRPr="00003CEB" w:rsidRDefault="00ED323F" w:rsidP="00ED323F">
            <w:pPr>
              <w:jc w:val="right"/>
              <w:rPr>
                <w:noProof/>
                <w:sz w:val="20"/>
                <w:szCs w:val="20"/>
              </w:rPr>
            </w:pPr>
            <w:r w:rsidRPr="00003CEB">
              <w:rPr>
                <w:noProof/>
                <w:sz w:val="20"/>
                <w:szCs w:val="20"/>
              </w:rPr>
              <w:t>0.0</w:t>
            </w:r>
          </w:p>
        </w:tc>
        <w:tc>
          <w:tcPr>
            <w:tcW w:w="444" w:type="pct"/>
            <w:noWrap/>
            <w:hideMark/>
          </w:tcPr>
          <w:p w14:paraId="67E65424" w14:textId="77777777" w:rsidR="00ED323F" w:rsidRPr="00003CEB" w:rsidRDefault="00ED323F" w:rsidP="00ED323F">
            <w:pPr>
              <w:jc w:val="right"/>
              <w:rPr>
                <w:noProof/>
                <w:sz w:val="20"/>
                <w:szCs w:val="20"/>
              </w:rPr>
            </w:pPr>
            <w:r w:rsidRPr="00003CEB">
              <w:rPr>
                <w:noProof/>
                <w:sz w:val="20"/>
                <w:szCs w:val="20"/>
              </w:rPr>
              <w:t>0.0</w:t>
            </w:r>
          </w:p>
        </w:tc>
      </w:tr>
    </w:tbl>
    <w:p w14:paraId="2590891D" w14:textId="77777777" w:rsidR="003E3A21" w:rsidRPr="00D71008" w:rsidRDefault="003E3A21" w:rsidP="003E3A21">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5AF7740C" w14:textId="14914FA5" w:rsidR="003235DA" w:rsidRPr="00FF2B87" w:rsidRDefault="003235DA" w:rsidP="003235DA">
      <w:pPr>
        <w:pStyle w:val="Nornal"/>
        <w:spacing w:after="240" w:line="240" w:lineRule="auto"/>
        <w:rPr>
          <w:rFonts w:cs="Arial"/>
          <w:i/>
          <w:iCs/>
          <w:noProof/>
          <w:spacing w:val="-8"/>
          <w:sz w:val="24"/>
          <w:szCs w:val="24"/>
        </w:rPr>
      </w:pPr>
      <w:r w:rsidRPr="00FF2B87">
        <w:rPr>
          <w:rFonts w:cs="Arial"/>
          <w:i/>
          <w:iCs/>
          <w:noProof/>
          <w:spacing w:val="-8"/>
          <w:sz w:val="24"/>
          <w:szCs w:val="24"/>
        </w:rPr>
        <w:t xml:space="preserve">One-off administrative costs for </w:t>
      </w:r>
      <w:r>
        <w:rPr>
          <w:rFonts w:cs="Arial"/>
          <w:i/>
          <w:iCs/>
          <w:noProof/>
          <w:spacing w:val="-8"/>
          <w:sz w:val="24"/>
          <w:szCs w:val="24"/>
        </w:rPr>
        <w:t>RU with SMP</w:t>
      </w:r>
    </w:p>
    <w:p w14:paraId="74EC371E" w14:textId="0ED62DE9" w:rsidR="001C193F" w:rsidRPr="00A702CE" w:rsidRDefault="00F0080B" w:rsidP="00B56587">
      <w:pPr>
        <w:pStyle w:val="Nornal"/>
        <w:spacing w:after="240" w:line="240" w:lineRule="auto"/>
        <w:rPr>
          <w:rFonts w:cs="Arial"/>
          <w:noProof/>
          <w:spacing w:val="-8"/>
          <w:sz w:val="24"/>
          <w:szCs w:val="24"/>
        </w:rPr>
      </w:pPr>
      <w:r>
        <w:rPr>
          <w:rFonts w:cs="Arial"/>
          <w:noProof/>
          <w:spacing w:val="-8"/>
          <w:sz w:val="24"/>
          <w:szCs w:val="24"/>
        </w:rPr>
        <w:t xml:space="preserve">In PM10, </w:t>
      </w:r>
      <w:r w:rsidR="0024133F" w:rsidRPr="0024133F">
        <w:rPr>
          <w:rFonts w:cs="Arial"/>
          <w:noProof/>
          <w:spacing w:val="-8"/>
          <w:sz w:val="24"/>
          <w:szCs w:val="24"/>
        </w:rPr>
        <w:t xml:space="preserve">RUs with SMP are expected to incur </w:t>
      </w:r>
      <w:r w:rsidR="0088335F">
        <w:rPr>
          <w:rFonts w:cs="Arial"/>
          <w:noProof/>
          <w:spacing w:val="-8"/>
          <w:sz w:val="24"/>
          <w:szCs w:val="24"/>
        </w:rPr>
        <w:t xml:space="preserve">one-off administrative </w:t>
      </w:r>
      <w:r w:rsidR="0024133F" w:rsidRPr="0024133F">
        <w:rPr>
          <w:rFonts w:cs="Arial"/>
          <w:noProof/>
          <w:spacing w:val="-8"/>
          <w:sz w:val="24"/>
          <w:szCs w:val="24"/>
        </w:rPr>
        <w:t xml:space="preserve">costs </w:t>
      </w:r>
      <w:r w:rsidR="0088335F">
        <w:rPr>
          <w:rFonts w:cs="Arial"/>
          <w:noProof/>
          <w:spacing w:val="-8"/>
          <w:sz w:val="24"/>
          <w:szCs w:val="24"/>
        </w:rPr>
        <w:t>for</w:t>
      </w:r>
      <w:r w:rsidR="0024133F" w:rsidRPr="0024133F">
        <w:rPr>
          <w:rFonts w:cs="Arial"/>
          <w:noProof/>
          <w:spacing w:val="-8"/>
          <w:sz w:val="24"/>
          <w:szCs w:val="24"/>
        </w:rPr>
        <w:t xml:space="preserve"> informing national authorities about the list of their platforms </w:t>
      </w:r>
      <w:r w:rsidR="42E96A18" w:rsidRPr="00255F89">
        <w:rPr>
          <w:rFonts w:cs="Arial"/>
          <w:noProof/>
          <w:spacing w:val="-8"/>
          <w:sz w:val="24"/>
          <w:szCs w:val="24"/>
        </w:rPr>
        <w:t>and</w:t>
      </w:r>
      <w:r w:rsidR="42E96A18" w:rsidRPr="0024133F">
        <w:rPr>
          <w:rFonts w:cs="Arial"/>
          <w:noProof/>
          <w:spacing w:val="-8"/>
          <w:sz w:val="24"/>
          <w:szCs w:val="24"/>
        </w:rPr>
        <w:t xml:space="preserve"> whether these</w:t>
      </w:r>
      <w:r w:rsidR="0024133F" w:rsidRPr="0024133F">
        <w:rPr>
          <w:rFonts w:cs="Arial"/>
          <w:noProof/>
          <w:spacing w:val="-8"/>
          <w:sz w:val="24"/>
          <w:szCs w:val="24"/>
        </w:rPr>
        <w:t xml:space="preserve"> are opened to other RUs.</w:t>
      </w:r>
      <w:r w:rsidR="00A44490">
        <w:rPr>
          <w:rFonts w:cs="Arial"/>
          <w:noProof/>
          <w:spacing w:val="-8"/>
          <w:sz w:val="24"/>
          <w:szCs w:val="24"/>
        </w:rPr>
        <w:t xml:space="preserve"> </w:t>
      </w:r>
      <w:r w:rsidR="00673DA8">
        <w:rPr>
          <w:rFonts w:cs="Arial"/>
          <w:noProof/>
          <w:spacing w:val="-8"/>
          <w:sz w:val="24"/>
          <w:szCs w:val="24"/>
        </w:rPr>
        <w:t>This is meant to support the identification and desi</w:t>
      </w:r>
      <w:r w:rsidR="00F22265">
        <w:rPr>
          <w:rFonts w:cs="Arial"/>
          <w:noProof/>
          <w:spacing w:val="-8"/>
          <w:sz w:val="24"/>
          <w:szCs w:val="24"/>
        </w:rPr>
        <w:t xml:space="preserve">gnation of indispensable RU platforms </w:t>
      </w:r>
      <w:r w:rsidR="00F22265" w:rsidRPr="00664D7F">
        <w:rPr>
          <w:rFonts w:cs="Arial"/>
          <w:noProof/>
          <w:spacing w:val="-8"/>
          <w:sz w:val="24"/>
          <w:szCs w:val="24"/>
        </w:rPr>
        <w:t>(</w:t>
      </w:r>
      <w:r w:rsidR="00C077FA" w:rsidRPr="00664D7F">
        <w:rPr>
          <w:rFonts w:cs="Arial"/>
          <w:noProof/>
          <w:spacing w:val="-8"/>
          <w:sz w:val="24"/>
          <w:szCs w:val="24"/>
        </w:rPr>
        <w:t xml:space="preserve">a RU platform is considered indispensable when it is owned by a RU </w:t>
      </w:r>
      <w:r w:rsidR="004A21CD" w:rsidRPr="00664D7F">
        <w:rPr>
          <w:rFonts w:cs="Arial"/>
          <w:noProof/>
          <w:spacing w:val="-8"/>
          <w:sz w:val="24"/>
          <w:szCs w:val="24"/>
        </w:rPr>
        <w:t>with SMP</w:t>
      </w:r>
      <w:r w:rsidR="00C077FA" w:rsidRPr="00664D7F">
        <w:rPr>
          <w:rFonts w:cs="Arial"/>
          <w:noProof/>
          <w:spacing w:val="-8"/>
          <w:sz w:val="24"/>
          <w:szCs w:val="24"/>
        </w:rPr>
        <w:t xml:space="preserve"> and if its IT system is already opened to other RUs)</w:t>
      </w:r>
      <w:r w:rsidR="00CF1F18" w:rsidRPr="00664D7F">
        <w:rPr>
          <w:rFonts w:cs="Arial"/>
          <w:noProof/>
          <w:spacing w:val="-8"/>
          <w:sz w:val="24"/>
          <w:szCs w:val="24"/>
        </w:rPr>
        <w:t>.</w:t>
      </w:r>
      <w:r w:rsidR="00C077FA" w:rsidRPr="00C077FA">
        <w:rPr>
          <w:rFonts w:cs="Arial"/>
          <w:noProof/>
          <w:spacing w:val="-8"/>
          <w:sz w:val="24"/>
          <w:szCs w:val="24"/>
        </w:rPr>
        <w:t xml:space="preserve"> </w:t>
      </w:r>
      <w:r w:rsidR="00A44490">
        <w:rPr>
          <w:rFonts w:cs="Arial"/>
          <w:noProof/>
          <w:spacing w:val="-8"/>
          <w:sz w:val="24"/>
          <w:szCs w:val="24"/>
        </w:rPr>
        <w:t xml:space="preserve"> </w:t>
      </w:r>
      <w:r w:rsidR="0024133F" w:rsidRPr="0024133F">
        <w:rPr>
          <w:rFonts w:cs="Arial"/>
          <w:noProof/>
          <w:spacing w:val="-8"/>
          <w:sz w:val="24"/>
          <w:szCs w:val="24"/>
        </w:rPr>
        <w:t xml:space="preserve">It is assumed that 2 hours are needed per RU with SMP for this task. Only RUs with SMP </w:t>
      </w:r>
      <w:r w:rsidR="00450FDC">
        <w:rPr>
          <w:rFonts w:cs="Arial"/>
          <w:noProof/>
          <w:spacing w:val="-8"/>
          <w:sz w:val="24"/>
          <w:szCs w:val="24"/>
        </w:rPr>
        <w:t>in line with</w:t>
      </w:r>
      <w:r w:rsidR="0024133F" w:rsidRPr="0024133F">
        <w:rPr>
          <w:rFonts w:cs="Arial"/>
          <w:noProof/>
          <w:spacing w:val="-8"/>
          <w:sz w:val="24"/>
          <w:szCs w:val="24"/>
        </w:rPr>
        <w:t xml:space="preserve"> PM9, and whose platforms are already opened to other RUs (19) would be requested to submit this information, and once submitted, they would not be obliged to submit any further information in </w:t>
      </w:r>
      <w:r w:rsidR="00FD52D6">
        <w:rPr>
          <w:rFonts w:cs="Arial"/>
          <w:noProof/>
          <w:spacing w:val="-8"/>
          <w:sz w:val="24"/>
          <w:szCs w:val="24"/>
        </w:rPr>
        <w:t>subsequent</w:t>
      </w:r>
      <w:r w:rsidR="0024133F" w:rsidRPr="0024133F">
        <w:rPr>
          <w:rFonts w:cs="Arial"/>
          <w:noProof/>
          <w:spacing w:val="-8"/>
          <w:sz w:val="24"/>
          <w:szCs w:val="24"/>
        </w:rPr>
        <w:t xml:space="preserve"> years, unless a change occurs. We therefore assume </w:t>
      </w:r>
      <w:r w:rsidR="009B1DC4">
        <w:rPr>
          <w:rFonts w:cs="Arial"/>
          <w:noProof/>
          <w:spacing w:val="-8"/>
          <w:sz w:val="24"/>
          <w:szCs w:val="24"/>
        </w:rPr>
        <w:t>one-off</w:t>
      </w:r>
      <w:r w:rsidR="00450FDC">
        <w:rPr>
          <w:rFonts w:cs="Arial"/>
          <w:noProof/>
          <w:spacing w:val="-8"/>
          <w:sz w:val="24"/>
          <w:szCs w:val="24"/>
        </w:rPr>
        <w:t xml:space="preserve"> administrative costs for RUs </w:t>
      </w:r>
      <w:r w:rsidR="009B1DC4">
        <w:rPr>
          <w:rFonts w:cs="Arial"/>
          <w:noProof/>
          <w:spacing w:val="-8"/>
          <w:sz w:val="24"/>
          <w:szCs w:val="24"/>
        </w:rPr>
        <w:t xml:space="preserve">to be </w:t>
      </w:r>
      <w:r w:rsidR="00DE0C8C">
        <w:rPr>
          <w:rFonts w:cs="Arial"/>
          <w:noProof/>
          <w:spacing w:val="-8"/>
          <w:sz w:val="24"/>
          <w:szCs w:val="24"/>
        </w:rPr>
        <w:t xml:space="preserve">relevant for 2028 (i.e. </w:t>
      </w:r>
      <w:r w:rsidR="0024133F" w:rsidRPr="0024133F">
        <w:rPr>
          <w:rFonts w:cs="Arial"/>
          <w:noProof/>
          <w:spacing w:val="-8"/>
          <w:sz w:val="24"/>
          <w:szCs w:val="24"/>
        </w:rPr>
        <w:t>the year of implementation</w:t>
      </w:r>
      <w:r w:rsidR="00DE0C8C">
        <w:rPr>
          <w:rFonts w:cs="Arial"/>
          <w:noProof/>
          <w:spacing w:val="-8"/>
          <w:sz w:val="24"/>
          <w:szCs w:val="24"/>
        </w:rPr>
        <w:t xml:space="preserve">). </w:t>
      </w:r>
      <w:r w:rsidR="00804C6D">
        <w:rPr>
          <w:rFonts w:eastAsia="Calibri"/>
          <w:noProof/>
          <w:spacing w:val="-8"/>
          <w:sz w:val="24"/>
          <w:szCs w:val="24"/>
        </w:rPr>
        <w:t>C</w:t>
      </w:r>
      <w:r w:rsidR="00DE0C8C">
        <w:rPr>
          <w:rFonts w:eastAsia="Calibri"/>
          <w:noProof/>
          <w:spacing w:val="-8"/>
          <w:sz w:val="24"/>
          <w:szCs w:val="24"/>
        </w:rPr>
        <w:t xml:space="preserve">onsidering the </w:t>
      </w:r>
      <w:r w:rsidR="00DE0C8C" w:rsidRPr="00377519">
        <w:rPr>
          <w:rFonts w:eastAsia="Calibri"/>
          <w:noProof/>
          <w:spacing w:val="-8"/>
          <w:sz w:val="24"/>
          <w:szCs w:val="24"/>
        </w:rPr>
        <w:t xml:space="preserve">hourly rates presented in section </w:t>
      </w:r>
      <w:r w:rsidR="00DE0C8C">
        <w:rPr>
          <w:rFonts w:eastAsia="Calibri"/>
          <w:noProof/>
          <w:spacing w:val="-8"/>
          <w:sz w:val="24"/>
          <w:szCs w:val="24"/>
        </w:rPr>
        <w:t>3</w:t>
      </w:r>
      <w:r w:rsidR="00DE0C8C" w:rsidRPr="00377519">
        <w:rPr>
          <w:rFonts w:eastAsia="Calibri"/>
          <w:noProof/>
          <w:spacing w:val="-8"/>
          <w:sz w:val="24"/>
          <w:szCs w:val="24"/>
        </w:rPr>
        <w:t>.2</w:t>
      </w:r>
      <w:r w:rsidR="00DE0C8C">
        <w:rPr>
          <w:rFonts w:eastAsia="Calibri"/>
          <w:noProof/>
          <w:spacing w:val="-8"/>
          <w:sz w:val="24"/>
          <w:szCs w:val="24"/>
        </w:rPr>
        <w:t xml:space="preserve"> of Annex 4</w:t>
      </w:r>
      <w:r w:rsidR="00804C6D">
        <w:rPr>
          <w:rFonts w:eastAsia="Calibri"/>
          <w:noProof/>
          <w:spacing w:val="-8"/>
          <w:sz w:val="24"/>
          <w:szCs w:val="24"/>
        </w:rPr>
        <w:t xml:space="preserve">, they are estimated at </w:t>
      </w:r>
      <w:r w:rsidR="00985F72">
        <w:rPr>
          <w:rFonts w:eastAsia="Calibri"/>
          <w:noProof/>
          <w:spacing w:val="-8"/>
          <w:sz w:val="24"/>
          <w:szCs w:val="24"/>
        </w:rPr>
        <w:t>EUR 71.4 per RU</w:t>
      </w:r>
      <w:r w:rsidR="009F493C">
        <w:rPr>
          <w:rFonts w:eastAsia="Calibri"/>
          <w:noProof/>
          <w:spacing w:val="-8"/>
          <w:sz w:val="24"/>
          <w:szCs w:val="24"/>
        </w:rPr>
        <w:t xml:space="preserve">. </w:t>
      </w:r>
      <w:r w:rsidR="001C193F">
        <w:rPr>
          <w:rFonts w:eastAsia="Calibri"/>
          <w:noProof/>
          <w:spacing w:val="-8"/>
          <w:sz w:val="24"/>
          <w:szCs w:val="24"/>
        </w:rPr>
        <w:t>Thus, the t</w:t>
      </w:r>
      <w:r w:rsidR="009F493C">
        <w:rPr>
          <w:rFonts w:eastAsia="Calibri"/>
          <w:noProof/>
          <w:spacing w:val="-8"/>
          <w:sz w:val="24"/>
          <w:szCs w:val="24"/>
        </w:rPr>
        <w:t xml:space="preserve">otal one-off administrative costs at EU level for RUs are estimated at </w:t>
      </w:r>
      <w:r w:rsidR="005B02AF">
        <w:rPr>
          <w:rFonts w:eastAsia="Calibri"/>
          <w:noProof/>
          <w:spacing w:val="-8"/>
          <w:sz w:val="24"/>
          <w:szCs w:val="24"/>
        </w:rPr>
        <w:t>EUR</w:t>
      </w:r>
      <w:r w:rsidR="005B02AF" w:rsidRPr="005B02AF">
        <w:rPr>
          <w:rFonts w:eastAsia="Calibri"/>
          <w:noProof/>
          <w:spacing w:val="-8"/>
          <w:sz w:val="24"/>
          <w:szCs w:val="24"/>
        </w:rPr>
        <w:t xml:space="preserve"> 1,356 </w:t>
      </w:r>
      <w:r w:rsidR="005B02AF">
        <w:rPr>
          <w:rFonts w:eastAsia="Calibri"/>
          <w:noProof/>
          <w:spacing w:val="-8"/>
          <w:sz w:val="24"/>
          <w:szCs w:val="24"/>
        </w:rPr>
        <w:t>in 2028.</w:t>
      </w:r>
    </w:p>
    <w:p w14:paraId="56DB3614" w14:textId="6E66A902" w:rsidR="001C193F" w:rsidRPr="005E6684" w:rsidRDefault="001C193F" w:rsidP="00DB078C">
      <w:pPr>
        <w:keepNext/>
        <w:tabs>
          <w:tab w:val="left" w:pos="1134"/>
        </w:tabs>
        <w:jc w:val="both"/>
        <w:rPr>
          <w:i/>
          <w:noProof/>
          <w:sz w:val="22"/>
          <w:szCs w:val="22"/>
        </w:rPr>
      </w:pPr>
      <w:r w:rsidRPr="005E6684">
        <w:rPr>
          <w:i/>
          <w:noProof/>
          <w:sz w:val="22"/>
          <w:szCs w:val="22"/>
        </w:rPr>
        <w:t xml:space="preserve">Table </w:t>
      </w:r>
      <w:r w:rsidRPr="005E6684">
        <w:rPr>
          <w:i/>
          <w:noProof/>
          <w:sz w:val="22"/>
          <w:szCs w:val="22"/>
        </w:rPr>
        <w:fldChar w:fldCharType="begin"/>
      </w:r>
      <w:r w:rsidRPr="005E6684">
        <w:rPr>
          <w:i/>
          <w:noProof/>
          <w:sz w:val="22"/>
          <w:szCs w:val="22"/>
        </w:rPr>
        <w:instrText xml:space="preserve"> SEQ Table \* ARABIC </w:instrText>
      </w:r>
      <w:r w:rsidRPr="005E6684">
        <w:rPr>
          <w:i/>
          <w:noProof/>
          <w:sz w:val="22"/>
          <w:szCs w:val="22"/>
        </w:rPr>
        <w:fldChar w:fldCharType="separate"/>
      </w:r>
      <w:r w:rsidR="0055391F">
        <w:rPr>
          <w:i/>
          <w:noProof/>
          <w:sz w:val="22"/>
          <w:szCs w:val="22"/>
        </w:rPr>
        <w:t>102</w:t>
      </w:r>
      <w:r w:rsidRPr="005E6684">
        <w:rPr>
          <w:i/>
          <w:noProof/>
          <w:sz w:val="22"/>
          <w:szCs w:val="22"/>
        </w:rPr>
        <w:fldChar w:fldCharType="end"/>
      </w:r>
      <w:r w:rsidRPr="005E6684">
        <w:rPr>
          <w:i/>
          <w:noProof/>
          <w:sz w:val="22"/>
          <w:szCs w:val="22"/>
        </w:rPr>
        <w:t>: One-off administrative costs for RUs due to PM10 in the policy options in 2028, 2030, 2040 and 2050 relative to the baseline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2"/>
        <w:gridCol w:w="932"/>
        <w:gridCol w:w="933"/>
        <w:gridCol w:w="789"/>
        <w:gridCol w:w="937"/>
      </w:tblGrid>
      <w:tr w:rsidR="00E533AD" w:rsidRPr="00E609F5" w14:paraId="6D289BF9" w14:textId="77777777" w:rsidTr="005E6684">
        <w:trPr>
          <w:trHeight w:val="20"/>
          <w:tblHeader/>
        </w:trPr>
        <w:tc>
          <w:tcPr>
            <w:tcW w:w="3130" w:type="pct"/>
            <w:shd w:val="clear" w:color="auto" w:fill="0070C0"/>
            <w:noWrap/>
            <w:hideMark/>
          </w:tcPr>
          <w:p w14:paraId="32B66F3D" w14:textId="77777777" w:rsidR="001C193F" w:rsidRPr="00E609F5" w:rsidRDefault="001C193F">
            <w:pPr>
              <w:jc w:val="center"/>
              <w:rPr>
                <w:noProof/>
                <w:color w:val="FFFFFF"/>
                <w:sz w:val="20"/>
                <w:szCs w:val="20"/>
              </w:rPr>
            </w:pPr>
            <w:r w:rsidRPr="00E609F5">
              <w:rPr>
                <w:noProof/>
                <w:color w:val="FFFFFF"/>
                <w:sz w:val="20"/>
                <w:szCs w:val="20"/>
              </w:rPr>
              <w:t> </w:t>
            </w:r>
          </w:p>
        </w:tc>
        <w:tc>
          <w:tcPr>
            <w:tcW w:w="485" w:type="pct"/>
            <w:shd w:val="clear" w:color="auto" w:fill="0070C0"/>
            <w:noWrap/>
            <w:hideMark/>
          </w:tcPr>
          <w:p w14:paraId="1BD64610" w14:textId="77777777" w:rsidR="001C193F" w:rsidRPr="00E609F5" w:rsidRDefault="001C193F">
            <w:pPr>
              <w:jc w:val="center"/>
              <w:rPr>
                <w:noProof/>
                <w:color w:val="FFFFFF"/>
                <w:sz w:val="20"/>
                <w:szCs w:val="20"/>
              </w:rPr>
            </w:pPr>
            <w:r w:rsidRPr="00E609F5">
              <w:rPr>
                <w:noProof/>
                <w:color w:val="FFFFFF"/>
                <w:sz w:val="20"/>
                <w:szCs w:val="20"/>
              </w:rPr>
              <w:t>2028</w:t>
            </w:r>
          </w:p>
        </w:tc>
        <w:tc>
          <w:tcPr>
            <w:tcW w:w="486" w:type="pct"/>
            <w:shd w:val="clear" w:color="auto" w:fill="0070C0"/>
            <w:noWrap/>
            <w:hideMark/>
          </w:tcPr>
          <w:p w14:paraId="064A918F" w14:textId="77777777" w:rsidR="001C193F" w:rsidRPr="00E609F5" w:rsidRDefault="001C193F">
            <w:pPr>
              <w:jc w:val="center"/>
              <w:rPr>
                <w:noProof/>
                <w:color w:val="FFFFFF"/>
                <w:sz w:val="20"/>
                <w:szCs w:val="20"/>
              </w:rPr>
            </w:pPr>
            <w:r w:rsidRPr="00E609F5">
              <w:rPr>
                <w:noProof/>
                <w:color w:val="FFFFFF"/>
                <w:sz w:val="20"/>
                <w:szCs w:val="20"/>
              </w:rPr>
              <w:t>2030</w:t>
            </w:r>
          </w:p>
        </w:tc>
        <w:tc>
          <w:tcPr>
            <w:tcW w:w="411" w:type="pct"/>
            <w:shd w:val="clear" w:color="auto" w:fill="0070C0"/>
            <w:noWrap/>
            <w:hideMark/>
          </w:tcPr>
          <w:p w14:paraId="75BEC1D6" w14:textId="77777777" w:rsidR="001C193F" w:rsidRPr="00E609F5" w:rsidRDefault="001C193F">
            <w:pPr>
              <w:jc w:val="center"/>
              <w:rPr>
                <w:noProof/>
                <w:color w:val="FFFFFF"/>
                <w:sz w:val="20"/>
                <w:szCs w:val="20"/>
              </w:rPr>
            </w:pPr>
            <w:r w:rsidRPr="00E609F5">
              <w:rPr>
                <w:noProof/>
                <w:color w:val="FFFFFF"/>
                <w:sz w:val="20"/>
                <w:szCs w:val="20"/>
              </w:rPr>
              <w:t>2040</w:t>
            </w:r>
          </w:p>
        </w:tc>
        <w:tc>
          <w:tcPr>
            <w:tcW w:w="489" w:type="pct"/>
            <w:shd w:val="clear" w:color="auto" w:fill="0070C0"/>
            <w:noWrap/>
            <w:hideMark/>
          </w:tcPr>
          <w:p w14:paraId="321F12FF" w14:textId="77777777" w:rsidR="001C193F" w:rsidRPr="00E609F5" w:rsidRDefault="001C193F">
            <w:pPr>
              <w:jc w:val="center"/>
              <w:rPr>
                <w:noProof/>
                <w:color w:val="FFFFFF"/>
                <w:sz w:val="20"/>
                <w:szCs w:val="20"/>
              </w:rPr>
            </w:pPr>
            <w:r w:rsidRPr="00E609F5">
              <w:rPr>
                <w:noProof/>
                <w:color w:val="FFFFFF"/>
                <w:sz w:val="20"/>
                <w:szCs w:val="20"/>
              </w:rPr>
              <w:t>2050</w:t>
            </w:r>
          </w:p>
        </w:tc>
      </w:tr>
      <w:tr w:rsidR="00E533AD" w:rsidRPr="00E609F5" w14:paraId="7692CFEE" w14:textId="77777777" w:rsidTr="0015352A">
        <w:trPr>
          <w:trHeight w:val="20"/>
        </w:trPr>
        <w:tc>
          <w:tcPr>
            <w:tcW w:w="3130" w:type="pct"/>
            <w:noWrap/>
            <w:hideMark/>
          </w:tcPr>
          <w:p w14:paraId="49F48968" w14:textId="2E47FEF6" w:rsidR="001C193F" w:rsidRPr="005E6684" w:rsidRDefault="001C193F">
            <w:pPr>
              <w:rPr>
                <w:noProof/>
                <w:sz w:val="20"/>
                <w:szCs w:val="20"/>
              </w:rPr>
            </w:pPr>
            <w:r w:rsidRPr="005E6684">
              <w:rPr>
                <w:noProof/>
                <w:sz w:val="20"/>
                <w:szCs w:val="20"/>
              </w:rPr>
              <w:t xml:space="preserve">One-off costs per </w:t>
            </w:r>
            <w:r w:rsidR="00E533AD" w:rsidRPr="005E6684">
              <w:rPr>
                <w:noProof/>
                <w:sz w:val="20"/>
                <w:szCs w:val="20"/>
              </w:rPr>
              <w:t>RU</w:t>
            </w:r>
            <w:r w:rsidRPr="005E6684">
              <w:rPr>
                <w:noProof/>
                <w:sz w:val="20"/>
                <w:szCs w:val="20"/>
              </w:rPr>
              <w:t xml:space="preserve"> (EUR) </w:t>
            </w:r>
          </w:p>
        </w:tc>
        <w:tc>
          <w:tcPr>
            <w:tcW w:w="485" w:type="pct"/>
            <w:noWrap/>
            <w:hideMark/>
          </w:tcPr>
          <w:p w14:paraId="45482EA0" w14:textId="65427DF3" w:rsidR="001C193F" w:rsidRPr="005E6684" w:rsidRDefault="001C193F">
            <w:pPr>
              <w:jc w:val="right"/>
              <w:rPr>
                <w:noProof/>
                <w:sz w:val="20"/>
                <w:szCs w:val="20"/>
              </w:rPr>
            </w:pPr>
            <w:r w:rsidRPr="005E6684">
              <w:rPr>
                <w:noProof/>
                <w:sz w:val="20"/>
                <w:szCs w:val="20"/>
              </w:rPr>
              <w:t>71.4</w:t>
            </w:r>
          </w:p>
        </w:tc>
        <w:tc>
          <w:tcPr>
            <w:tcW w:w="486" w:type="pct"/>
            <w:noWrap/>
            <w:hideMark/>
          </w:tcPr>
          <w:p w14:paraId="7D3193C7" w14:textId="77777777" w:rsidR="001C193F" w:rsidRPr="005E6684" w:rsidRDefault="001C193F">
            <w:pPr>
              <w:rPr>
                <w:noProof/>
                <w:sz w:val="20"/>
                <w:szCs w:val="20"/>
              </w:rPr>
            </w:pPr>
          </w:p>
        </w:tc>
        <w:tc>
          <w:tcPr>
            <w:tcW w:w="411" w:type="pct"/>
            <w:noWrap/>
            <w:hideMark/>
          </w:tcPr>
          <w:p w14:paraId="71FF2975" w14:textId="77777777" w:rsidR="001C193F" w:rsidRPr="005E6684" w:rsidRDefault="001C193F">
            <w:pPr>
              <w:rPr>
                <w:noProof/>
                <w:sz w:val="20"/>
                <w:szCs w:val="20"/>
              </w:rPr>
            </w:pPr>
          </w:p>
        </w:tc>
        <w:tc>
          <w:tcPr>
            <w:tcW w:w="489" w:type="pct"/>
            <w:noWrap/>
            <w:hideMark/>
          </w:tcPr>
          <w:p w14:paraId="64E66A8F" w14:textId="77777777" w:rsidR="001C193F" w:rsidRPr="005E6684" w:rsidRDefault="001C193F">
            <w:pPr>
              <w:rPr>
                <w:noProof/>
                <w:sz w:val="20"/>
                <w:szCs w:val="20"/>
              </w:rPr>
            </w:pPr>
          </w:p>
        </w:tc>
      </w:tr>
      <w:tr w:rsidR="00E533AD" w:rsidRPr="00E609F5" w14:paraId="4200B9D7" w14:textId="77777777" w:rsidTr="0015352A">
        <w:trPr>
          <w:trHeight w:val="20"/>
        </w:trPr>
        <w:tc>
          <w:tcPr>
            <w:tcW w:w="3130" w:type="pct"/>
            <w:noWrap/>
            <w:hideMark/>
          </w:tcPr>
          <w:p w14:paraId="793FD172" w14:textId="77777777" w:rsidR="001C193F" w:rsidRPr="005E6684" w:rsidRDefault="001C193F">
            <w:pPr>
              <w:rPr>
                <w:b/>
                <w:noProof/>
                <w:sz w:val="20"/>
                <w:szCs w:val="20"/>
              </w:rPr>
            </w:pPr>
            <w:r w:rsidRPr="005E6684">
              <w:rPr>
                <w:b/>
                <w:noProof/>
                <w:sz w:val="20"/>
                <w:szCs w:val="20"/>
              </w:rPr>
              <w:t xml:space="preserve">PO1 </w:t>
            </w:r>
          </w:p>
        </w:tc>
        <w:tc>
          <w:tcPr>
            <w:tcW w:w="485" w:type="pct"/>
            <w:noWrap/>
            <w:hideMark/>
          </w:tcPr>
          <w:p w14:paraId="20530983" w14:textId="77777777" w:rsidR="001C193F" w:rsidRPr="005E6684" w:rsidRDefault="001C193F">
            <w:pPr>
              <w:rPr>
                <w:noProof/>
                <w:sz w:val="20"/>
                <w:szCs w:val="20"/>
              </w:rPr>
            </w:pPr>
          </w:p>
        </w:tc>
        <w:tc>
          <w:tcPr>
            <w:tcW w:w="486" w:type="pct"/>
            <w:noWrap/>
            <w:hideMark/>
          </w:tcPr>
          <w:p w14:paraId="2CA0AD40" w14:textId="77777777" w:rsidR="001C193F" w:rsidRPr="005E6684" w:rsidRDefault="001C193F">
            <w:pPr>
              <w:rPr>
                <w:noProof/>
                <w:sz w:val="20"/>
                <w:szCs w:val="20"/>
              </w:rPr>
            </w:pPr>
          </w:p>
        </w:tc>
        <w:tc>
          <w:tcPr>
            <w:tcW w:w="411" w:type="pct"/>
            <w:noWrap/>
            <w:hideMark/>
          </w:tcPr>
          <w:p w14:paraId="2B232EBE" w14:textId="77777777" w:rsidR="001C193F" w:rsidRPr="005E6684" w:rsidRDefault="001C193F">
            <w:pPr>
              <w:rPr>
                <w:noProof/>
                <w:sz w:val="20"/>
                <w:szCs w:val="20"/>
              </w:rPr>
            </w:pPr>
            <w:r w:rsidRPr="005E6684">
              <w:rPr>
                <w:noProof/>
                <w:sz w:val="20"/>
                <w:szCs w:val="20"/>
              </w:rPr>
              <w:t> </w:t>
            </w:r>
          </w:p>
        </w:tc>
        <w:tc>
          <w:tcPr>
            <w:tcW w:w="489" w:type="pct"/>
            <w:noWrap/>
            <w:hideMark/>
          </w:tcPr>
          <w:p w14:paraId="7FC4F53A" w14:textId="77777777" w:rsidR="001C193F" w:rsidRPr="005E6684" w:rsidRDefault="001C193F">
            <w:pPr>
              <w:rPr>
                <w:noProof/>
                <w:sz w:val="20"/>
                <w:szCs w:val="20"/>
              </w:rPr>
            </w:pPr>
            <w:r w:rsidRPr="005E6684">
              <w:rPr>
                <w:noProof/>
                <w:sz w:val="20"/>
                <w:szCs w:val="20"/>
              </w:rPr>
              <w:t> </w:t>
            </w:r>
          </w:p>
        </w:tc>
      </w:tr>
      <w:tr w:rsidR="00E533AD" w:rsidRPr="00E609F5" w14:paraId="244B20AF" w14:textId="77777777" w:rsidTr="0015352A">
        <w:trPr>
          <w:trHeight w:val="20"/>
        </w:trPr>
        <w:tc>
          <w:tcPr>
            <w:tcW w:w="3130" w:type="pct"/>
            <w:noWrap/>
            <w:hideMark/>
          </w:tcPr>
          <w:p w14:paraId="30E64C0A" w14:textId="337B8913" w:rsidR="001C193F" w:rsidRPr="005E6684" w:rsidRDefault="001C193F">
            <w:pPr>
              <w:rPr>
                <w:noProof/>
                <w:sz w:val="20"/>
                <w:szCs w:val="20"/>
              </w:rPr>
            </w:pPr>
            <w:r w:rsidRPr="005E6684">
              <w:rPr>
                <w:noProof/>
                <w:sz w:val="20"/>
                <w:szCs w:val="20"/>
              </w:rPr>
              <w:t xml:space="preserve">Number of </w:t>
            </w:r>
            <w:r w:rsidR="00E533AD" w:rsidRPr="005E6684">
              <w:rPr>
                <w:noProof/>
                <w:sz w:val="20"/>
                <w:szCs w:val="20"/>
              </w:rPr>
              <w:t>RUs</w:t>
            </w:r>
            <w:r w:rsidRPr="005E6684">
              <w:rPr>
                <w:noProof/>
                <w:sz w:val="20"/>
                <w:szCs w:val="20"/>
              </w:rPr>
              <w:t xml:space="preserve"> that incur one-off costs due to PM10 </w:t>
            </w:r>
          </w:p>
        </w:tc>
        <w:tc>
          <w:tcPr>
            <w:tcW w:w="485" w:type="pct"/>
            <w:noWrap/>
            <w:hideMark/>
          </w:tcPr>
          <w:p w14:paraId="0DFFFACC" w14:textId="0E749572" w:rsidR="001C193F" w:rsidRPr="005E6684" w:rsidRDefault="00E533AD">
            <w:pPr>
              <w:jc w:val="right"/>
              <w:rPr>
                <w:noProof/>
                <w:sz w:val="20"/>
                <w:szCs w:val="20"/>
              </w:rPr>
            </w:pPr>
            <w:r w:rsidRPr="005E6684">
              <w:rPr>
                <w:noProof/>
                <w:sz w:val="20"/>
                <w:szCs w:val="20"/>
              </w:rPr>
              <w:t>19</w:t>
            </w:r>
          </w:p>
        </w:tc>
        <w:tc>
          <w:tcPr>
            <w:tcW w:w="486" w:type="pct"/>
            <w:noWrap/>
            <w:hideMark/>
          </w:tcPr>
          <w:p w14:paraId="30450B73" w14:textId="77777777" w:rsidR="001C193F" w:rsidRPr="005E6684" w:rsidRDefault="001C193F">
            <w:pPr>
              <w:jc w:val="right"/>
              <w:rPr>
                <w:noProof/>
                <w:sz w:val="20"/>
                <w:szCs w:val="20"/>
              </w:rPr>
            </w:pPr>
            <w:r w:rsidRPr="005E6684">
              <w:rPr>
                <w:noProof/>
                <w:sz w:val="20"/>
                <w:szCs w:val="20"/>
              </w:rPr>
              <w:t>0</w:t>
            </w:r>
          </w:p>
        </w:tc>
        <w:tc>
          <w:tcPr>
            <w:tcW w:w="411" w:type="pct"/>
            <w:noWrap/>
            <w:hideMark/>
          </w:tcPr>
          <w:p w14:paraId="63D4FC1D" w14:textId="77777777" w:rsidR="001C193F" w:rsidRPr="005E6684" w:rsidRDefault="001C193F">
            <w:pPr>
              <w:jc w:val="right"/>
              <w:rPr>
                <w:noProof/>
                <w:sz w:val="20"/>
                <w:szCs w:val="20"/>
              </w:rPr>
            </w:pPr>
            <w:r w:rsidRPr="005E6684">
              <w:rPr>
                <w:noProof/>
                <w:sz w:val="20"/>
                <w:szCs w:val="20"/>
              </w:rPr>
              <w:t>0</w:t>
            </w:r>
          </w:p>
        </w:tc>
        <w:tc>
          <w:tcPr>
            <w:tcW w:w="489" w:type="pct"/>
            <w:noWrap/>
            <w:hideMark/>
          </w:tcPr>
          <w:p w14:paraId="7CD8CD5B" w14:textId="77777777" w:rsidR="001C193F" w:rsidRPr="005E6684" w:rsidRDefault="001C193F">
            <w:pPr>
              <w:jc w:val="right"/>
              <w:rPr>
                <w:noProof/>
                <w:sz w:val="20"/>
                <w:szCs w:val="20"/>
              </w:rPr>
            </w:pPr>
            <w:r w:rsidRPr="005E6684">
              <w:rPr>
                <w:noProof/>
                <w:sz w:val="20"/>
                <w:szCs w:val="20"/>
              </w:rPr>
              <w:t>0</w:t>
            </w:r>
          </w:p>
        </w:tc>
      </w:tr>
      <w:tr w:rsidR="00E533AD" w:rsidRPr="00E609F5" w14:paraId="461BAA32" w14:textId="77777777" w:rsidTr="0015352A">
        <w:trPr>
          <w:trHeight w:val="20"/>
        </w:trPr>
        <w:tc>
          <w:tcPr>
            <w:tcW w:w="3130" w:type="pct"/>
            <w:noWrap/>
            <w:hideMark/>
          </w:tcPr>
          <w:p w14:paraId="7131A087" w14:textId="071127A2" w:rsidR="001C193F" w:rsidRPr="005E6684" w:rsidRDefault="001C193F">
            <w:pPr>
              <w:rPr>
                <w:noProof/>
                <w:sz w:val="20"/>
                <w:szCs w:val="20"/>
              </w:rPr>
            </w:pPr>
            <w:r w:rsidRPr="005E6684">
              <w:rPr>
                <w:noProof/>
                <w:sz w:val="20"/>
                <w:szCs w:val="20"/>
              </w:rPr>
              <w:t xml:space="preserve">Total one-off administrative costs </w:t>
            </w:r>
            <w:r w:rsidR="00E533AD" w:rsidRPr="005E6684">
              <w:rPr>
                <w:noProof/>
                <w:sz w:val="20"/>
                <w:szCs w:val="20"/>
              </w:rPr>
              <w:t>(</w:t>
            </w:r>
            <w:r w:rsidR="00641F4F" w:rsidRPr="005E6684">
              <w:rPr>
                <w:noProof/>
                <w:sz w:val="20"/>
                <w:szCs w:val="20"/>
              </w:rPr>
              <w:t xml:space="preserve">million </w:t>
            </w:r>
            <w:r w:rsidRPr="005E6684">
              <w:rPr>
                <w:noProof/>
                <w:sz w:val="20"/>
                <w:szCs w:val="20"/>
              </w:rPr>
              <w:t>EUR)</w:t>
            </w:r>
          </w:p>
        </w:tc>
        <w:tc>
          <w:tcPr>
            <w:tcW w:w="485" w:type="pct"/>
            <w:noWrap/>
            <w:hideMark/>
          </w:tcPr>
          <w:p w14:paraId="17E85BC6" w14:textId="70CF49F3" w:rsidR="001C193F" w:rsidRPr="005E6684" w:rsidRDefault="00641F4F">
            <w:pPr>
              <w:jc w:val="right"/>
              <w:rPr>
                <w:noProof/>
                <w:sz w:val="20"/>
                <w:szCs w:val="20"/>
              </w:rPr>
            </w:pPr>
            <w:r w:rsidRPr="005E6684">
              <w:rPr>
                <w:rFonts w:eastAsia="Calibri"/>
                <w:noProof/>
                <w:spacing w:val="-8"/>
                <w:sz w:val="20"/>
                <w:szCs w:val="20"/>
              </w:rPr>
              <w:t>0.001</w:t>
            </w:r>
          </w:p>
        </w:tc>
        <w:tc>
          <w:tcPr>
            <w:tcW w:w="486" w:type="pct"/>
            <w:noWrap/>
            <w:hideMark/>
          </w:tcPr>
          <w:p w14:paraId="481570CE" w14:textId="77777777" w:rsidR="001C193F" w:rsidRPr="005E6684" w:rsidRDefault="001C193F">
            <w:pPr>
              <w:jc w:val="right"/>
              <w:rPr>
                <w:noProof/>
                <w:sz w:val="20"/>
                <w:szCs w:val="20"/>
              </w:rPr>
            </w:pPr>
            <w:r w:rsidRPr="005E6684">
              <w:rPr>
                <w:noProof/>
                <w:sz w:val="20"/>
                <w:szCs w:val="20"/>
              </w:rPr>
              <w:t>0.0</w:t>
            </w:r>
          </w:p>
        </w:tc>
        <w:tc>
          <w:tcPr>
            <w:tcW w:w="411" w:type="pct"/>
            <w:noWrap/>
            <w:hideMark/>
          </w:tcPr>
          <w:p w14:paraId="79955950" w14:textId="77777777" w:rsidR="001C193F" w:rsidRPr="005E6684" w:rsidRDefault="001C193F">
            <w:pPr>
              <w:jc w:val="right"/>
              <w:rPr>
                <w:noProof/>
                <w:sz w:val="20"/>
                <w:szCs w:val="20"/>
              </w:rPr>
            </w:pPr>
            <w:r w:rsidRPr="005E6684">
              <w:rPr>
                <w:noProof/>
                <w:sz w:val="20"/>
                <w:szCs w:val="20"/>
              </w:rPr>
              <w:t>0.0</w:t>
            </w:r>
          </w:p>
        </w:tc>
        <w:tc>
          <w:tcPr>
            <w:tcW w:w="489" w:type="pct"/>
            <w:noWrap/>
            <w:hideMark/>
          </w:tcPr>
          <w:p w14:paraId="71904107" w14:textId="77777777" w:rsidR="001C193F" w:rsidRPr="005E6684" w:rsidRDefault="001C193F">
            <w:pPr>
              <w:jc w:val="right"/>
              <w:rPr>
                <w:noProof/>
                <w:sz w:val="20"/>
                <w:szCs w:val="20"/>
              </w:rPr>
            </w:pPr>
            <w:r w:rsidRPr="005E6684">
              <w:rPr>
                <w:noProof/>
                <w:sz w:val="20"/>
                <w:szCs w:val="20"/>
              </w:rPr>
              <w:t>0.0</w:t>
            </w:r>
          </w:p>
        </w:tc>
      </w:tr>
      <w:tr w:rsidR="00E533AD" w:rsidRPr="00E609F5" w14:paraId="0D8F8FBC" w14:textId="77777777" w:rsidTr="0015352A">
        <w:trPr>
          <w:trHeight w:val="20"/>
        </w:trPr>
        <w:tc>
          <w:tcPr>
            <w:tcW w:w="3130" w:type="pct"/>
            <w:noWrap/>
            <w:hideMark/>
          </w:tcPr>
          <w:p w14:paraId="2E5D155C" w14:textId="77777777" w:rsidR="001C193F" w:rsidRPr="005E6684" w:rsidRDefault="001C193F">
            <w:pPr>
              <w:rPr>
                <w:b/>
                <w:noProof/>
                <w:sz w:val="20"/>
                <w:szCs w:val="20"/>
              </w:rPr>
            </w:pPr>
            <w:r w:rsidRPr="005E6684">
              <w:rPr>
                <w:b/>
                <w:noProof/>
                <w:sz w:val="20"/>
                <w:szCs w:val="20"/>
              </w:rPr>
              <w:t xml:space="preserve">PO2 </w:t>
            </w:r>
          </w:p>
        </w:tc>
        <w:tc>
          <w:tcPr>
            <w:tcW w:w="485" w:type="pct"/>
            <w:noWrap/>
            <w:hideMark/>
          </w:tcPr>
          <w:p w14:paraId="4409320E" w14:textId="77777777" w:rsidR="001C193F" w:rsidRPr="005E6684" w:rsidRDefault="001C193F">
            <w:pPr>
              <w:rPr>
                <w:noProof/>
                <w:sz w:val="20"/>
                <w:szCs w:val="20"/>
              </w:rPr>
            </w:pPr>
          </w:p>
        </w:tc>
        <w:tc>
          <w:tcPr>
            <w:tcW w:w="486" w:type="pct"/>
            <w:noWrap/>
            <w:hideMark/>
          </w:tcPr>
          <w:p w14:paraId="2FD20F70" w14:textId="77777777" w:rsidR="001C193F" w:rsidRPr="005E6684" w:rsidRDefault="001C193F">
            <w:pPr>
              <w:jc w:val="right"/>
              <w:rPr>
                <w:noProof/>
                <w:sz w:val="20"/>
                <w:szCs w:val="20"/>
              </w:rPr>
            </w:pPr>
          </w:p>
        </w:tc>
        <w:tc>
          <w:tcPr>
            <w:tcW w:w="411" w:type="pct"/>
            <w:noWrap/>
            <w:hideMark/>
          </w:tcPr>
          <w:p w14:paraId="28A7190D" w14:textId="77777777" w:rsidR="001C193F" w:rsidRPr="005E6684" w:rsidRDefault="001C193F">
            <w:pPr>
              <w:jc w:val="right"/>
              <w:rPr>
                <w:noProof/>
                <w:sz w:val="20"/>
                <w:szCs w:val="20"/>
              </w:rPr>
            </w:pPr>
          </w:p>
        </w:tc>
        <w:tc>
          <w:tcPr>
            <w:tcW w:w="489" w:type="pct"/>
            <w:noWrap/>
            <w:hideMark/>
          </w:tcPr>
          <w:p w14:paraId="2D78C7A3" w14:textId="77777777" w:rsidR="001C193F" w:rsidRPr="005E6684" w:rsidRDefault="001C193F">
            <w:pPr>
              <w:jc w:val="right"/>
              <w:rPr>
                <w:noProof/>
                <w:sz w:val="20"/>
                <w:szCs w:val="20"/>
              </w:rPr>
            </w:pPr>
          </w:p>
        </w:tc>
      </w:tr>
      <w:tr w:rsidR="00E533AD" w:rsidRPr="00E609F5" w14:paraId="474666D3" w14:textId="77777777" w:rsidTr="0015352A">
        <w:trPr>
          <w:trHeight w:val="20"/>
        </w:trPr>
        <w:tc>
          <w:tcPr>
            <w:tcW w:w="3130" w:type="pct"/>
            <w:noWrap/>
            <w:hideMark/>
          </w:tcPr>
          <w:p w14:paraId="5789D8C4" w14:textId="58723BDE" w:rsidR="00E533AD" w:rsidRPr="005E6684" w:rsidRDefault="00E533AD" w:rsidP="00E533AD">
            <w:pPr>
              <w:rPr>
                <w:noProof/>
                <w:sz w:val="20"/>
                <w:szCs w:val="20"/>
              </w:rPr>
            </w:pPr>
            <w:r w:rsidRPr="005E6684">
              <w:rPr>
                <w:noProof/>
                <w:sz w:val="20"/>
                <w:szCs w:val="20"/>
              </w:rPr>
              <w:t xml:space="preserve">Number of RUs that incur one-off costs due to PM10 </w:t>
            </w:r>
          </w:p>
        </w:tc>
        <w:tc>
          <w:tcPr>
            <w:tcW w:w="485" w:type="pct"/>
            <w:noWrap/>
            <w:hideMark/>
          </w:tcPr>
          <w:p w14:paraId="5E4DBD41" w14:textId="1EE74DD8" w:rsidR="00E533AD" w:rsidRPr="005E6684" w:rsidRDefault="00E533AD" w:rsidP="00E533AD">
            <w:pPr>
              <w:jc w:val="right"/>
              <w:rPr>
                <w:noProof/>
                <w:sz w:val="20"/>
                <w:szCs w:val="20"/>
              </w:rPr>
            </w:pPr>
            <w:r w:rsidRPr="005E6684">
              <w:rPr>
                <w:noProof/>
                <w:sz w:val="20"/>
                <w:szCs w:val="20"/>
              </w:rPr>
              <w:t>19</w:t>
            </w:r>
          </w:p>
        </w:tc>
        <w:tc>
          <w:tcPr>
            <w:tcW w:w="486" w:type="pct"/>
            <w:noWrap/>
            <w:hideMark/>
          </w:tcPr>
          <w:p w14:paraId="67624F96" w14:textId="77777777" w:rsidR="00E533AD" w:rsidRPr="005E6684" w:rsidRDefault="00E533AD" w:rsidP="00E533AD">
            <w:pPr>
              <w:jc w:val="right"/>
              <w:rPr>
                <w:noProof/>
                <w:sz w:val="20"/>
                <w:szCs w:val="20"/>
              </w:rPr>
            </w:pPr>
            <w:r w:rsidRPr="005E6684">
              <w:rPr>
                <w:noProof/>
                <w:sz w:val="20"/>
                <w:szCs w:val="20"/>
              </w:rPr>
              <w:t>0</w:t>
            </w:r>
          </w:p>
        </w:tc>
        <w:tc>
          <w:tcPr>
            <w:tcW w:w="411" w:type="pct"/>
            <w:noWrap/>
            <w:hideMark/>
          </w:tcPr>
          <w:p w14:paraId="419419B0" w14:textId="77777777" w:rsidR="00E533AD" w:rsidRPr="005E6684" w:rsidRDefault="00E533AD" w:rsidP="00E533AD">
            <w:pPr>
              <w:jc w:val="right"/>
              <w:rPr>
                <w:noProof/>
                <w:sz w:val="20"/>
                <w:szCs w:val="20"/>
              </w:rPr>
            </w:pPr>
            <w:r w:rsidRPr="005E6684">
              <w:rPr>
                <w:noProof/>
                <w:sz w:val="20"/>
                <w:szCs w:val="20"/>
              </w:rPr>
              <w:t>0</w:t>
            </w:r>
          </w:p>
        </w:tc>
        <w:tc>
          <w:tcPr>
            <w:tcW w:w="489" w:type="pct"/>
            <w:noWrap/>
            <w:hideMark/>
          </w:tcPr>
          <w:p w14:paraId="69AA59DD" w14:textId="77777777" w:rsidR="00E533AD" w:rsidRPr="005E6684" w:rsidRDefault="00E533AD" w:rsidP="00E533AD">
            <w:pPr>
              <w:jc w:val="right"/>
              <w:rPr>
                <w:noProof/>
                <w:sz w:val="20"/>
                <w:szCs w:val="20"/>
              </w:rPr>
            </w:pPr>
            <w:r w:rsidRPr="005E6684">
              <w:rPr>
                <w:noProof/>
                <w:sz w:val="20"/>
                <w:szCs w:val="20"/>
              </w:rPr>
              <w:t>0</w:t>
            </w:r>
          </w:p>
        </w:tc>
      </w:tr>
      <w:tr w:rsidR="0015352A" w:rsidRPr="00E609F5" w14:paraId="3AC8055A" w14:textId="77777777" w:rsidTr="0015352A">
        <w:trPr>
          <w:trHeight w:val="20"/>
        </w:trPr>
        <w:tc>
          <w:tcPr>
            <w:tcW w:w="3130" w:type="pct"/>
            <w:noWrap/>
            <w:hideMark/>
          </w:tcPr>
          <w:p w14:paraId="72E389EF" w14:textId="264ABB0B" w:rsidR="0015352A" w:rsidRPr="005E6684" w:rsidRDefault="0015352A" w:rsidP="0015352A">
            <w:pPr>
              <w:rPr>
                <w:noProof/>
                <w:sz w:val="20"/>
                <w:szCs w:val="20"/>
              </w:rPr>
            </w:pPr>
            <w:r w:rsidRPr="005E6684">
              <w:rPr>
                <w:noProof/>
                <w:sz w:val="20"/>
                <w:szCs w:val="20"/>
              </w:rPr>
              <w:t>Total one-off administrative costs (million EUR)</w:t>
            </w:r>
          </w:p>
        </w:tc>
        <w:tc>
          <w:tcPr>
            <w:tcW w:w="485" w:type="pct"/>
            <w:noWrap/>
            <w:hideMark/>
          </w:tcPr>
          <w:p w14:paraId="1E2F9B80" w14:textId="7BD36CFF" w:rsidR="0015352A" w:rsidRPr="005E6684" w:rsidRDefault="0015352A" w:rsidP="0015352A">
            <w:pPr>
              <w:jc w:val="right"/>
              <w:rPr>
                <w:noProof/>
                <w:sz w:val="20"/>
                <w:szCs w:val="20"/>
              </w:rPr>
            </w:pPr>
            <w:r w:rsidRPr="005E6684">
              <w:rPr>
                <w:rFonts w:eastAsia="Calibri"/>
                <w:noProof/>
                <w:spacing w:val="-8"/>
                <w:sz w:val="20"/>
                <w:szCs w:val="20"/>
              </w:rPr>
              <w:t>0.001</w:t>
            </w:r>
          </w:p>
        </w:tc>
        <w:tc>
          <w:tcPr>
            <w:tcW w:w="486" w:type="pct"/>
            <w:noWrap/>
            <w:hideMark/>
          </w:tcPr>
          <w:p w14:paraId="236D32C7" w14:textId="77777777" w:rsidR="0015352A" w:rsidRPr="005E6684" w:rsidRDefault="0015352A" w:rsidP="0015352A">
            <w:pPr>
              <w:jc w:val="right"/>
              <w:rPr>
                <w:noProof/>
                <w:sz w:val="20"/>
                <w:szCs w:val="20"/>
              </w:rPr>
            </w:pPr>
            <w:r w:rsidRPr="005E6684">
              <w:rPr>
                <w:noProof/>
                <w:sz w:val="20"/>
                <w:szCs w:val="20"/>
              </w:rPr>
              <w:t>0.0</w:t>
            </w:r>
          </w:p>
        </w:tc>
        <w:tc>
          <w:tcPr>
            <w:tcW w:w="411" w:type="pct"/>
            <w:noWrap/>
            <w:hideMark/>
          </w:tcPr>
          <w:p w14:paraId="2F41B564" w14:textId="77777777" w:rsidR="0015352A" w:rsidRPr="005E6684" w:rsidRDefault="0015352A" w:rsidP="0015352A">
            <w:pPr>
              <w:jc w:val="right"/>
              <w:rPr>
                <w:noProof/>
                <w:sz w:val="20"/>
                <w:szCs w:val="20"/>
              </w:rPr>
            </w:pPr>
            <w:r w:rsidRPr="005E6684">
              <w:rPr>
                <w:noProof/>
                <w:sz w:val="20"/>
                <w:szCs w:val="20"/>
              </w:rPr>
              <w:t>0.0</w:t>
            </w:r>
          </w:p>
        </w:tc>
        <w:tc>
          <w:tcPr>
            <w:tcW w:w="489" w:type="pct"/>
            <w:noWrap/>
            <w:hideMark/>
          </w:tcPr>
          <w:p w14:paraId="06D8808B" w14:textId="77777777" w:rsidR="0015352A" w:rsidRPr="005E6684" w:rsidRDefault="0015352A" w:rsidP="0015352A">
            <w:pPr>
              <w:jc w:val="right"/>
              <w:rPr>
                <w:noProof/>
                <w:sz w:val="20"/>
                <w:szCs w:val="20"/>
              </w:rPr>
            </w:pPr>
            <w:r w:rsidRPr="005E6684">
              <w:rPr>
                <w:noProof/>
                <w:sz w:val="20"/>
                <w:szCs w:val="20"/>
              </w:rPr>
              <w:t>0.0</w:t>
            </w:r>
          </w:p>
        </w:tc>
      </w:tr>
      <w:tr w:rsidR="00E533AD" w:rsidRPr="00E609F5" w14:paraId="2C5CDA28" w14:textId="77777777" w:rsidTr="0015352A">
        <w:trPr>
          <w:trHeight w:val="20"/>
        </w:trPr>
        <w:tc>
          <w:tcPr>
            <w:tcW w:w="3130" w:type="pct"/>
            <w:noWrap/>
            <w:hideMark/>
          </w:tcPr>
          <w:p w14:paraId="268211A8" w14:textId="77777777" w:rsidR="001C193F" w:rsidRPr="005E6684" w:rsidRDefault="001C193F">
            <w:pPr>
              <w:rPr>
                <w:b/>
                <w:noProof/>
                <w:sz w:val="20"/>
                <w:szCs w:val="20"/>
              </w:rPr>
            </w:pPr>
            <w:r w:rsidRPr="005E6684">
              <w:rPr>
                <w:b/>
                <w:noProof/>
                <w:sz w:val="20"/>
                <w:szCs w:val="20"/>
              </w:rPr>
              <w:t xml:space="preserve">PO3 </w:t>
            </w:r>
          </w:p>
        </w:tc>
        <w:tc>
          <w:tcPr>
            <w:tcW w:w="485" w:type="pct"/>
            <w:noWrap/>
            <w:hideMark/>
          </w:tcPr>
          <w:p w14:paraId="66EC2A34" w14:textId="77777777" w:rsidR="001C193F" w:rsidRPr="005E6684" w:rsidRDefault="001C193F">
            <w:pPr>
              <w:rPr>
                <w:noProof/>
                <w:sz w:val="20"/>
                <w:szCs w:val="20"/>
              </w:rPr>
            </w:pPr>
          </w:p>
        </w:tc>
        <w:tc>
          <w:tcPr>
            <w:tcW w:w="486" w:type="pct"/>
            <w:noWrap/>
            <w:hideMark/>
          </w:tcPr>
          <w:p w14:paraId="0D1BF45F" w14:textId="77777777" w:rsidR="001C193F" w:rsidRPr="005E6684" w:rsidRDefault="001C193F">
            <w:pPr>
              <w:jc w:val="right"/>
              <w:rPr>
                <w:noProof/>
                <w:sz w:val="20"/>
                <w:szCs w:val="20"/>
              </w:rPr>
            </w:pPr>
          </w:p>
        </w:tc>
        <w:tc>
          <w:tcPr>
            <w:tcW w:w="411" w:type="pct"/>
            <w:noWrap/>
            <w:hideMark/>
          </w:tcPr>
          <w:p w14:paraId="047A8E12" w14:textId="77777777" w:rsidR="001C193F" w:rsidRPr="005E6684" w:rsidRDefault="001C193F">
            <w:pPr>
              <w:jc w:val="right"/>
              <w:rPr>
                <w:noProof/>
                <w:sz w:val="20"/>
                <w:szCs w:val="20"/>
              </w:rPr>
            </w:pPr>
          </w:p>
        </w:tc>
        <w:tc>
          <w:tcPr>
            <w:tcW w:w="489" w:type="pct"/>
            <w:noWrap/>
            <w:hideMark/>
          </w:tcPr>
          <w:p w14:paraId="6CA90CCC" w14:textId="77777777" w:rsidR="001C193F" w:rsidRPr="005E6684" w:rsidRDefault="001C193F">
            <w:pPr>
              <w:jc w:val="right"/>
              <w:rPr>
                <w:noProof/>
                <w:sz w:val="20"/>
                <w:szCs w:val="20"/>
              </w:rPr>
            </w:pPr>
          </w:p>
        </w:tc>
      </w:tr>
      <w:tr w:rsidR="00E533AD" w:rsidRPr="00E609F5" w14:paraId="362B3398" w14:textId="77777777" w:rsidTr="0015352A">
        <w:trPr>
          <w:trHeight w:val="20"/>
        </w:trPr>
        <w:tc>
          <w:tcPr>
            <w:tcW w:w="3130" w:type="pct"/>
            <w:noWrap/>
            <w:hideMark/>
          </w:tcPr>
          <w:p w14:paraId="012A07AD" w14:textId="4E031B1C" w:rsidR="00E533AD" w:rsidRPr="005E6684" w:rsidRDefault="00E533AD" w:rsidP="00E533AD">
            <w:pPr>
              <w:rPr>
                <w:noProof/>
                <w:sz w:val="20"/>
                <w:szCs w:val="20"/>
              </w:rPr>
            </w:pPr>
            <w:r w:rsidRPr="005E6684">
              <w:rPr>
                <w:noProof/>
                <w:sz w:val="20"/>
                <w:szCs w:val="20"/>
              </w:rPr>
              <w:t xml:space="preserve">Number of RUs that incur one-off costs due to PM10 </w:t>
            </w:r>
          </w:p>
        </w:tc>
        <w:tc>
          <w:tcPr>
            <w:tcW w:w="485" w:type="pct"/>
            <w:noWrap/>
            <w:hideMark/>
          </w:tcPr>
          <w:p w14:paraId="447534D7" w14:textId="2793FD34" w:rsidR="00E533AD" w:rsidRPr="005E6684" w:rsidRDefault="00E533AD" w:rsidP="00E533AD">
            <w:pPr>
              <w:jc w:val="right"/>
              <w:rPr>
                <w:noProof/>
                <w:sz w:val="20"/>
                <w:szCs w:val="20"/>
              </w:rPr>
            </w:pPr>
            <w:r w:rsidRPr="005E6684">
              <w:rPr>
                <w:noProof/>
                <w:sz w:val="20"/>
                <w:szCs w:val="20"/>
              </w:rPr>
              <w:t>19</w:t>
            </w:r>
          </w:p>
        </w:tc>
        <w:tc>
          <w:tcPr>
            <w:tcW w:w="486" w:type="pct"/>
            <w:noWrap/>
            <w:hideMark/>
          </w:tcPr>
          <w:p w14:paraId="5F78F066" w14:textId="77777777" w:rsidR="00E533AD" w:rsidRPr="005E6684" w:rsidRDefault="00E533AD" w:rsidP="00E533AD">
            <w:pPr>
              <w:jc w:val="right"/>
              <w:rPr>
                <w:noProof/>
                <w:sz w:val="20"/>
                <w:szCs w:val="20"/>
              </w:rPr>
            </w:pPr>
            <w:r w:rsidRPr="005E6684">
              <w:rPr>
                <w:noProof/>
                <w:sz w:val="20"/>
                <w:szCs w:val="20"/>
              </w:rPr>
              <w:t>0</w:t>
            </w:r>
          </w:p>
        </w:tc>
        <w:tc>
          <w:tcPr>
            <w:tcW w:w="411" w:type="pct"/>
            <w:noWrap/>
            <w:hideMark/>
          </w:tcPr>
          <w:p w14:paraId="3DAB6B9F" w14:textId="77777777" w:rsidR="00E533AD" w:rsidRPr="005E6684" w:rsidRDefault="00E533AD" w:rsidP="00E533AD">
            <w:pPr>
              <w:jc w:val="right"/>
              <w:rPr>
                <w:noProof/>
                <w:sz w:val="20"/>
                <w:szCs w:val="20"/>
              </w:rPr>
            </w:pPr>
            <w:r w:rsidRPr="005E6684">
              <w:rPr>
                <w:noProof/>
                <w:sz w:val="20"/>
                <w:szCs w:val="20"/>
              </w:rPr>
              <w:t>0</w:t>
            </w:r>
          </w:p>
        </w:tc>
        <w:tc>
          <w:tcPr>
            <w:tcW w:w="489" w:type="pct"/>
            <w:noWrap/>
            <w:hideMark/>
          </w:tcPr>
          <w:p w14:paraId="744C822F" w14:textId="77777777" w:rsidR="00E533AD" w:rsidRPr="005E6684" w:rsidRDefault="00E533AD" w:rsidP="00E533AD">
            <w:pPr>
              <w:jc w:val="right"/>
              <w:rPr>
                <w:noProof/>
                <w:sz w:val="20"/>
                <w:szCs w:val="20"/>
              </w:rPr>
            </w:pPr>
            <w:r w:rsidRPr="005E6684">
              <w:rPr>
                <w:noProof/>
                <w:sz w:val="20"/>
                <w:szCs w:val="20"/>
              </w:rPr>
              <w:t>0</w:t>
            </w:r>
          </w:p>
        </w:tc>
      </w:tr>
      <w:tr w:rsidR="0015352A" w:rsidRPr="00E609F5" w14:paraId="017E9AA3" w14:textId="77777777" w:rsidTr="0015352A">
        <w:trPr>
          <w:trHeight w:val="20"/>
        </w:trPr>
        <w:tc>
          <w:tcPr>
            <w:tcW w:w="3130" w:type="pct"/>
            <w:noWrap/>
            <w:hideMark/>
          </w:tcPr>
          <w:p w14:paraId="32672510" w14:textId="07602172" w:rsidR="0015352A" w:rsidRPr="005E6684" w:rsidRDefault="0015352A" w:rsidP="0015352A">
            <w:pPr>
              <w:rPr>
                <w:noProof/>
                <w:sz w:val="20"/>
                <w:szCs w:val="20"/>
              </w:rPr>
            </w:pPr>
            <w:r w:rsidRPr="005E6684">
              <w:rPr>
                <w:noProof/>
                <w:sz w:val="20"/>
                <w:szCs w:val="20"/>
              </w:rPr>
              <w:t>Total one-off administrative costs (million EUR)</w:t>
            </w:r>
          </w:p>
        </w:tc>
        <w:tc>
          <w:tcPr>
            <w:tcW w:w="485" w:type="pct"/>
            <w:noWrap/>
            <w:hideMark/>
          </w:tcPr>
          <w:p w14:paraId="3A059E4B" w14:textId="542C14A6" w:rsidR="0015352A" w:rsidRPr="005E6684" w:rsidRDefault="0015352A" w:rsidP="0015352A">
            <w:pPr>
              <w:jc w:val="right"/>
              <w:rPr>
                <w:noProof/>
                <w:sz w:val="20"/>
                <w:szCs w:val="20"/>
              </w:rPr>
            </w:pPr>
            <w:r w:rsidRPr="005E6684">
              <w:rPr>
                <w:rFonts w:eastAsia="Calibri"/>
                <w:noProof/>
                <w:spacing w:val="-8"/>
                <w:sz w:val="20"/>
                <w:szCs w:val="20"/>
              </w:rPr>
              <w:t>0.001</w:t>
            </w:r>
          </w:p>
        </w:tc>
        <w:tc>
          <w:tcPr>
            <w:tcW w:w="486" w:type="pct"/>
            <w:noWrap/>
            <w:hideMark/>
          </w:tcPr>
          <w:p w14:paraId="04968807" w14:textId="77777777" w:rsidR="0015352A" w:rsidRPr="005E6684" w:rsidRDefault="0015352A" w:rsidP="0015352A">
            <w:pPr>
              <w:jc w:val="right"/>
              <w:rPr>
                <w:noProof/>
                <w:sz w:val="20"/>
                <w:szCs w:val="20"/>
              </w:rPr>
            </w:pPr>
            <w:r w:rsidRPr="005E6684">
              <w:rPr>
                <w:noProof/>
                <w:sz w:val="20"/>
                <w:szCs w:val="20"/>
              </w:rPr>
              <w:t>0.0</w:t>
            </w:r>
          </w:p>
        </w:tc>
        <w:tc>
          <w:tcPr>
            <w:tcW w:w="411" w:type="pct"/>
            <w:noWrap/>
            <w:hideMark/>
          </w:tcPr>
          <w:p w14:paraId="1DED33C9" w14:textId="77777777" w:rsidR="0015352A" w:rsidRPr="005E6684" w:rsidRDefault="0015352A" w:rsidP="0015352A">
            <w:pPr>
              <w:jc w:val="right"/>
              <w:rPr>
                <w:noProof/>
                <w:sz w:val="20"/>
                <w:szCs w:val="20"/>
              </w:rPr>
            </w:pPr>
            <w:r w:rsidRPr="005E6684">
              <w:rPr>
                <w:noProof/>
                <w:sz w:val="20"/>
                <w:szCs w:val="20"/>
              </w:rPr>
              <w:t>0.0</w:t>
            </w:r>
          </w:p>
        </w:tc>
        <w:tc>
          <w:tcPr>
            <w:tcW w:w="489" w:type="pct"/>
            <w:noWrap/>
            <w:hideMark/>
          </w:tcPr>
          <w:p w14:paraId="2FE8652F" w14:textId="77777777" w:rsidR="0015352A" w:rsidRPr="005E6684" w:rsidRDefault="0015352A" w:rsidP="0015352A">
            <w:pPr>
              <w:jc w:val="right"/>
              <w:rPr>
                <w:noProof/>
                <w:sz w:val="20"/>
                <w:szCs w:val="20"/>
              </w:rPr>
            </w:pPr>
            <w:r w:rsidRPr="005E6684">
              <w:rPr>
                <w:noProof/>
                <w:sz w:val="20"/>
                <w:szCs w:val="20"/>
              </w:rPr>
              <w:t>0.0</w:t>
            </w:r>
          </w:p>
        </w:tc>
      </w:tr>
      <w:tr w:rsidR="00E533AD" w:rsidRPr="00E609F5" w14:paraId="4B93550E" w14:textId="77777777" w:rsidTr="0015352A">
        <w:trPr>
          <w:trHeight w:val="20"/>
        </w:trPr>
        <w:tc>
          <w:tcPr>
            <w:tcW w:w="3130" w:type="pct"/>
            <w:noWrap/>
            <w:hideMark/>
          </w:tcPr>
          <w:p w14:paraId="70FF1B88" w14:textId="77777777" w:rsidR="001C193F" w:rsidRPr="005E6684" w:rsidRDefault="001C193F">
            <w:pPr>
              <w:rPr>
                <w:b/>
                <w:noProof/>
                <w:sz w:val="20"/>
                <w:szCs w:val="20"/>
              </w:rPr>
            </w:pPr>
            <w:r w:rsidRPr="005E6684">
              <w:rPr>
                <w:b/>
                <w:noProof/>
                <w:sz w:val="20"/>
                <w:szCs w:val="20"/>
              </w:rPr>
              <w:t xml:space="preserve">PO4 </w:t>
            </w:r>
          </w:p>
        </w:tc>
        <w:tc>
          <w:tcPr>
            <w:tcW w:w="485" w:type="pct"/>
            <w:noWrap/>
            <w:hideMark/>
          </w:tcPr>
          <w:p w14:paraId="05D012B8" w14:textId="77777777" w:rsidR="001C193F" w:rsidRPr="005E6684" w:rsidRDefault="001C193F">
            <w:pPr>
              <w:rPr>
                <w:noProof/>
                <w:sz w:val="20"/>
                <w:szCs w:val="20"/>
              </w:rPr>
            </w:pPr>
          </w:p>
        </w:tc>
        <w:tc>
          <w:tcPr>
            <w:tcW w:w="486" w:type="pct"/>
            <w:noWrap/>
            <w:hideMark/>
          </w:tcPr>
          <w:p w14:paraId="1A6AC17C" w14:textId="77777777" w:rsidR="001C193F" w:rsidRPr="005E6684" w:rsidRDefault="001C193F">
            <w:pPr>
              <w:jc w:val="right"/>
              <w:rPr>
                <w:noProof/>
                <w:sz w:val="20"/>
                <w:szCs w:val="20"/>
              </w:rPr>
            </w:pPr>
          </w:p>
        </w:tc>
        <w:tc>
          <w:tcPr>
            <w:tcW w:w="411" w:type="pct"/>
            <w:noWrap/>
            <w:hideMark/>
          </w:tcPr>
          <w:p w14:paraId="0C8D8512" w14:textId="77777777" w:rsidR="001C193F" w:rsidRPr="005E6684" w:rsidRDefault="001C193F">
            <w:pPr>
              <w:jc w:val="right"/>
              <w:rPr>
                <w:noProof/>
                <w:sz w:val="20"/>
                <w:szCs w:val="20"/>
              </w:rPr>
            </w:pPr>
          </w:p>
        </w:tc>
        <w:tc>
          <w:tcPr>
            <w:tcW w:w="489" w:type="pct"/>
            <w:noWrap/>
            <w:hideMark/>
          </w:tcPr>
          <w:p w14:paraId="2C36C0E8" w14:textId="77777777" w:rsidR="001C193F" w:rsidRPr="005E6684" w:rsidRDefault="001C193F">
            <w:pPr>
              <w:jc w:val="right"/>
              <w:rPr>
                <w:noProof/>
                <w:sz w:val="20"/>
                <w:szCs w:val="20"/>
              </w:rPr>
            </w:pPr>
          </w:p>
        </w:tc>
      </w:tr>
      <w:tr w:rsidR="00E533AD" w:rsidRPr="00E609F5" w14:paraId="36FC9696" w14:textId="77777777" w:rsidTr="0015352A">
        <w:trPr>
          <w:trHeight w:val="20"/>
        </w:trPr>
        <w:tc>
          <w:tcPr>
            <w:tcW w:w="3130" w:type="pct"/>
            <w:noWrap/>
            <w:hideMark/>
          </w:tcPr>
          <w:p w14:paraId="6E32CC94" w14:textId="55AB6C55" w:rsidR="00E533AD" w:rsidRPr="005E6684" w:rsidRDefault="00E533AD" w:rsidP="00E533AD">
            <w:pPr>
              <w:rPr>
                <w:noProof/>
                <w:sz w:val="20"/>
                <w:szCs w:val="20"/>
              </w:rPr>
            </w:pPr>
            <w:r w:rsidRPr="005E6684">
              <w:rPr>
                <w:noProof/>
                <w:sz w:val="20"/>
                <w:szCs w:val="20"/>
              </w:rPr>
              <w:t xml:space="preserve">Number of RUs that incur one-off costs due to PM10 </w:t>
            </w:r>
          </w:p>
        </w:tc>
        <w:tc>
          <w:tcPr>
            <w:tcW w:w="485" w:type="pct"/>
            <w:noWrap/>
            <w:hideMark/>
          </w:tcPr>
          <w:p w14:paraId="2DDF4972" w14:textId="2816D6FB" w:rsidR="00E533AD" w:rsidRPr="005E6684" w:rsidRDefault="00E533AD" w:rsidP="00E533AD">
            <w:pPr>
              <w:jc w:val="right"/>
              <w:rPr>
                <w:noProof/>
                <w:sz w:val="20"/>
                <w:szCs w:val="20"/>
              </w:rPr>
            </w:pPr>
            <w:r w:rsidRPr="005E6684">
              <w:rPr>
                <w:noProof/>
                <w:sz w:val="20"/>
                <w:szCs w:val="20"/>
              </w:rPr>
              <w:t>19</w:t>
            </w:r>
          </w:p>
        </w:tc>
        <w:tc>
          <w:tcPr>
            <w:tcW w:w="486" w:type="pct"/>
            <w:noWrap/>
            <w:hideMark/>
          </w:tcPr>
          <w:p w14:paraId="6A1161AB" w14:textId="77777777" w:rsidR="00E533AD" w:rsidRPr="005E6684" w:rsidRDefault="00E533AD" w:rsidP="00E533AD">
            <w:pPr>
              <w:jc w:val="right"/>
              <w:rPr>
                <w:noProof/>
                <w:sz w:val="20"/>
                <w:szCs w:val="20"/>
              </w:rPr>
            </w:pPr>
            <w:r w:rsidRPr="005E6684">
              <w:rPr>
                <w:noProof/>
                <w:sz w:val="20"/>
                <w:szCs w:val="20"/>
              </w:rPr>
              <w:t>0</w:t>
            </w:r>
          </w:p>
        </w:tc>
        <w:tc>
          <w:tcPr>
            <w:tcW w:w="411" w:type="pct"/>
            <w:noWrap/>
            <w:hideMark/>
          </w:tcPr>
          <w:p w14:paraId="37DCD35C" w14:textId="77777777" w:rsidR="00E533AD" w:rsidRPr="005E6684" w:rsidRDefault="00E533AD" w:rsidP="00E533AD">
            <w:pPr>
              <w:jc w:val="right"/>
              <w:rPr>
                <w:noProof/>
                <w:sz w:val="20"/>
                <w:szCs w:val="20"/>
              </w:rPr>
            </w:pPr>
            <w:r w:rsidRPr="005E6684">
              <w:rPr>
                <w:noProof/>
                <w:sz w:val="20"/>
                <w:szCs w:val="20"/>
              </w:rPr>
              <w:t>0</w:t>
            </w:r>
          </w:p>
        </w:tc>
        <w:tc>
          <w:tcPr>
            <w:tcW w:w="489" w:type="pct"/>
            <w:noWrap/>
            <w:hideMark/>
          </w:tcPr>
          <w:p w14:paraId="2DA53C07" w14:textId="77777777" w:rsidR="00E533AD" w:rsidRPr="005E6684" w:rsidRDefault="00E533AD" w:rsidP="00E533AD">
            <w:pPr>
              <w:jc w:val="right"/>
              <w:rPr>
                <w:noProof/>
                <w:sz w:val="20"/>
                <w:szCs w:val="20"/>
              </w:rPr>
            </w:pPr>
            <w:r w:rsidRPr="005E6684">
              <w:rPr>
                <w:noProof/>
                <w:sz w:val="20"/>
                <w:szCs w:val="20"/>
              </w:rPr>
              <w:t>0</w:t>
            </w:r>
          </w:p>
        </w:tc>
      </w:tr>
      <w:tr w:rsidR="0015352A" w:rsidRPr="00E609F5" w14:paraId="41479A83" w14:textId="77777777" w:rsidTr="0015352A">
        <w:trPr>
          <w:trHeight w:val="20"/>
        </w:trPr>
        <w:tc>
          <w:tcPr>
            <w:tcW w:w="3130" w:type="pct"/>
            <w:noWrap/>
            <w:hideMark/>
          </w:tcPr>
          <w:p w14:paraId="1329BB42" w14:textId="4E4A4FC7" w:rsidR="0015352A" w:rsidRPr="005E6684" w:rsidRDefault="0015352A" w:rsidP="0015352A">
            <w:pPr>
              <w:rPr>
                <w:noProof/>
                <w:sz w:val="20"/>
                <w:szCs w:val="20"/>
              </w:rPr>
            </w:pPr>
            <w:r w:rsidRPr="005E6684">
              <w:rPr>
                <w:noProof/>
                <w:sz w:val="20"/>
                <w:szCs w:val="20"/>
              </w:rPr>
              <w:t>Total one-off administrative costs (million EUR)</w:t>
            </w:r>
          </w:p>
        </w:tc>
        <w:tc>
          <w:tcPr>
            <w:tcW w:w="485" w:type="pct"/>
            <w:noWrap/>
            <w:hideMark/>
          </w:tcPr>
          <w:p w14:paraId="43018062" w14:textId="1A25CEAA" w:rsidR="0015352A" w:rsidRPr="005E6684" w:rsidRDefault="0015352A" w:rsidP="0015352A">
            <w:pPr>
              <w:jc w:val="right"/>
              <w:rPr>
                <w:noProof/>
                <w:sz w:val="20"/>
                <w:szCs w:val="20"/>
              </w:rPr>
            </w:pPr>
            <w:r w:rsidRPr="005E6684">
              <w:rPr>
                <w:rFonts w:eastAsia="Calibri"/>
                <w:noProof/>
                <w:spacing w:val="-8"/>
                <w:sz w:val="20"/>
                <w:szCs w:val="20"/>
              </w:rPr>
              <w:t>0.001</w:t>
            </w:r>
          </w:p>
        </w:tc>
        <w:tc>
          <w:tcPr>
            <w:tcW w:w="486" w:type="pct"/>
            <w:noWrap/>
            <w:hideMark/>
          </w:tcPr>
          <w:p w14:paraId="2BA70C4A" w14:textId="77777777" w:rsidR="0015352A" w:rsidRPr="005E6684" w:rsidRDefault="0015352A" w:rsidP="0015352A">
            <w:pPr>
              <w:jc w:val="right"/>
              <w:rPr>
                <w:noProof/>
                <w:sz w:val="20"/>
                <w:szCs w:val="20"/>
              </w:rPr>
            </w:pPr>
            <w:r w:rsidRPr="005E6684">
              <w:rPr>
                <w:noProof/>
                <w:sz w:val="20"/>
                <w:szCs w:val="20"/>
              </w:rPr>
              <w:t>0.0</w:t>
            </w:r>
          </w:p>
        </w:tc>
        <w:tc>
          <w:tcPr>
            <w:tcW w:w="411" w:type="pct"/>
            <w:noWrap/>
            <w:hideMark/>
          </w:tcPr>
          <w:p w14:paraId="428F40CF" w14:textId="77777777" w:rsidR="0015352A" w:rsidRPr="005E6684" w:rsidRDefault="0015352A" w:rsidP="0015352A">
            <w:pPr>
              <w:jc w:val="right"/>
              <w:rPr>
                <w:noProof/>
                <w:sz w:val="20"/>
                <w:szCs w:val="20"/>
              </w:rPr>
            </w:pPr>
            <w:r w:rsidRPr="005E6684">
              <w:rPr>
                <w:noProof/>
                <w:sz w:val="20"/>
                <w:szCs w:val="20"/>
              </w:rPr>
              <w:t>0.0</w:t>
            </w:r>
          </w:p>
        </w:tc>
        <w:tc>
          <w:tcPr>
            <w:tcW w:w="489" w:type="pct"/>
            <w:noWrap/>
            <w:hideMark/>
          </w:tcPr>
          <w:p w14:paraId="0CB61B72" w14:textId="77777777" w:rsidR="0015352A" w:rsidRPr="005E6684" w:rsidRDefault="0015352A" w:rsidP="0015352A">
            <w:pPr>
              <w:jc w:val="right"/>
              <w:rPr>
                <w:noProof/>
                <w:sz w:val="20"/>
                <w:szCs w:val="20"/>
              </w:rPr>
            </w:pPr>
            <w:r w:rsidRPr="005E6684">
              <w:rPr>
                <w:noProof/>
                <w:sz w:val="20"/>
                <w:szCs w:val="20"/>
              </w:rPr>
              <w:t>0.0</w:t>
            </w:r>
          </w:p>
        </w:tc>
      </w:tr>
    </w:tbl>
    <w:p w14:paraId="72FF72F9" w14:textId="77777777" w:rsidR="001C193F" w:rsidRPr="00D71008" w:rsidRDefault="001C193F" w:rsidP="001C193F">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1EF842B2" w14:textId="03376694" w:rsidR="003C41FD" w:rsidRDefault="003C41FD" w:rsidP="003C41FD">
      <w:pPr>
        <w:pStyle w:val="Nornal"/>
        <w:spacing w:after="240" w:line="240" w:lineRule="auto"/>
        <w:rPr>
          <w:rFonts w:cs="Arial"/>
          <w:i/>
          <w:iCs/>
          <w:noProof/>
          <w:spacing w:val="-8"/>
          <w:sz w:val="24"/>
          <w:szCs w:val="24"/>
        </w:rPr>
      </w:pPr>
      <w:r w:rsidRPr="00FF2B87">
        <w:rPr>
          <w:rFonts w:cs="Arial"/>
          <w:i/>
          <w:iCs/>
          <w:noProof/>
          <w:spacing w:val="-8"/>
          <w:sz w:val="24"/>
          <w:szCs w:val="24"/>
        </w:rPr>
        <w:t xml:space="preserve">One-off administrative costs for </w:t>
      </w:r>
      <w:r>
        <w:rPr>
          <w:rFonts w:cs="Arial"/>
          <w:i/>
          <w:iCs/>
          <w:noProof/>
          <w:spacing w:val="-8"/>
          <w:sz w:val="24"/>
          <w:szCs w:val="24"/>
        </w:rPr>
        <w:t>national authorities</w:t>
      </w:r>
    </w:p>
    <w:p w14:paraId="5E5D7D5E" w14:textId="15650CB6" w:rsidR="00265214" w:rsidRDefault="00EB60AD" w:rsidP="00EB60AD">
      <w:pPr>
        <w:pStyle w:val="Text4"/>
        <w:spacing w:before="0" w:after="240"/>
        <w:ind w:left="0"/>
        <w:rPr>
          <w:rFonts w:ascii="Times New Roman" w:eastAsia="Calibri" w:hAnsi="Times New Roman"/>
          <w:noProof/>
          <w:spacing w:val="-8"/>
          <w:sz w:val="24"/>
          <w:szCs w:val="24"/>
        </w:rPr>
      </w:pPr>
      <w:r w:rsidRPr="00EB60AD">
        <w:rPr>
          <w:rFonts w:ascii="Times New Roman" w:eastAsia="Calibri" w:hAnsi="Times New Roman"/>
          <w:noProof/>
          <w:spacing w:val="-8"/>
          <w:sz w:val="24"/>
          <w:szCs w:val="24"/>
        </w:rPr>
        <w:t xml:space="preserve">Member States are expected to incur costs </w:t>
      </w:r>
      <w:r w:rsidR="00C96D50">
        <w:rPr>
          <w:rFonts w:ascii="Times New Roman" w:eastAsia="Calibri" w:hAnsi="Times New Roman"/>
          <w:noProof/>
          <w:spacing w:val="-8"/>
          <w:sz w:val="24"/>
          <w:szCs w:val="24"/>
        </w:rPr>
        <w:t>for</w:t>
      </w:r>
      <w:r w:rsidRPr="00EB60AD">
        <w:rPr>
          <w:rFonts w:ascii="Times New Roman" w:eastAsia="Calibri" w:hAnsi="Times New Roman"/>
          <w:noProof/>
          <w:spacing w:val="-8"/>
          <w:sz w:val="24"/>
          <w:szCs w:val="24"/>
        </w:rPr>
        <w:t xml:space="preserve"> processing </w:t>
      </w:r>
      <w:r w:rsidR="0045244C">
        <w:rPr>
          <w:rFonts w:ascii="Times New Roman" w:eastAsia="Calibri" w:hAnsi="Times New Roman"/>
          <w:noProof/>
          <w:spacing w:val="-8"/>
          <w:sz w:val="24"/>
          <w:szCs w:val="24"/>
        </w:rPr>
        <w:t xml:space="preserve">the </w:t>
      </w:r>
      <w:r w:rsidRPr="00EB60AD">
        <w:rPr>
          <w:rFonts w:ascii="Times New Roman" w:eastAsia="Calibri" w:hAnsi="Times New Roman"/>
          <w:noProof/>
          <w:spacing w:val="-8"/>
          <w:sz w:val="24"/>
          <w:szCs w:val="24"/>
        </w:rPr>
        <w:t>notification</w:t>
      </w:r>
      <w:r w:rsidR="0045244C">
        <w:rPr>
          <w:rFonts w:ascii="Times New Roman" w:eastAsia="Calibri" w:hAnsi="Times New Roman"/>
          <w:noProof/>
          <w:spacing w:val="-8"/>
          <w:sz w:val="24"/>
          <w:szCs w:val="24"/>
        </w:rPr>
        <w:t>s</w:t>
      </w:r>
      <w:r w:rsidRPr="00EB60AD">
        <w:rPr>
          <w:rFonts w:ascii="Times New Roman" w:eastAsia="Calibri" w:hAnsi="Times New Roman"/>
          <w:noProof/>
          <w:spacing w:val="-8"/>
          <w:sz w:val="24"/>
          <w:szCs w:val="24"/>
        </w:rPr>
        <w:t xml:space="preserve"> from </w:t>
      </w:r>
      <w:r w:rsidR="00781DE2">
        <w:rPr>
          <w:rFonts w:ascii="Times New Roman" w:eastAsia="Calibri" w:hAnsi="Times New Roman"/>
          <w:noProof/>
          <w:spacing w:val="-8"/>
          <w:sz w:val="24"/>
          <w:szCs w:val="24"/>
        </w:rPr>
        <w:t>MDMS</w:t>
      </w:r>
      <w:r w:rsidRPr="00EB60AD">
        <w:rPr>
          <w:rFonts w:ascii="Times New Roman" w:eastAsia="Calibri" w:hAnsi="Times New Roman"/>
          <w:noProof/>
          <w:spacing w:val="-8"/>
          <w:sz w:val="24"/>
          <w:szCs w:val="24"/>
        </w:rPr>
        <w:t xml:space="preserve"> platforms with SMP</w:t>
      </w:r>
      <w:r w:rsidR="00781DE2">
        <w:rPr>
          <w:rFonts w:ascii="Times New Roman" w:eastAsia="Calibri" w:hAnsi="Times New Roman"/>
          <w:noProof/>
          <w:spacing w:val="-8"/>
          <w:sz w:val="24"/>
          <w:szCs w:val="24"/>
        </w:rPr>
        <w:t xml:space="preserve">, designating </w:t>
      </w:r>
      <w:r w:rsidR="00C513EB">
        <w:rPr>
          <w:rFonts w:ascii="Times New Roman" w:eastAsia="Calibri" w:hAnsi="Times New Roman"/>
          <w:noProof/>
          <w:spacing w:val="-8"/>
          <w:sz w:val="24"/>
          <w:szCs w:val="24"/>
        </w:rPr>
        <w:t>them</w:t>
      </w:r>
      <w:r w:rsidRPr="00EB60AD">
        <w:rPr>
          <w:rFonts w:ascii="Times New Roman" w:eastAsia="Calibri" w:hAnsi="Times New Roman"/>
          <w:noProof/>
          <w:spacing w:val="-8"/>
          <w:sz w:val="24"/>
          <w:szCs w:val="24"/>
        </w:rPr>
        <w:t xml:space="preserve"> and submitting this</w:t>
      </w:r>
      <w:r w:rsidR="00D94FC6">
        <w:rPr>
          <w:rFonts w:ascii="Times New Roman" w:eastAsia="Calibri" w:hAnsi="Times New Roman"/>
          <w:noProof/>
          <w:spacing w:val="-8"/>
          <w:sz w:val="24"/>
          <w:szCs w:val="24"/>
        </w:rPr>
        <w:t xml:space="preserve"> information</w:t>
      </w:r>
      <w:r w:rsidRPr="00EB60AD">
        <w:rPr>
          <w:rFonts w:ascii="Times New Roman" w:eastAsia="Calibri" w:hAnsi="Times New Roman"/>
          <w:noProof/>
          <w:spacing w:val="-8"/>
          <w:sz w:val="24"/>
          <w:szCs w:val="24"/>
        </w:rPr>
        <w:t xml:space="preserve"> to the EC (PM10) in 2028 (the year of implementation).</w:t>
      </w:r>
      <w:r w:rsidR="0045244C">
        <w:rPr>
          <w:rFonts w:ascii="Times New Roman" w:eastAsia="Calibri" w:hAnsi="Times New Roman"/>
          <w:noProof/>
          <w:spacing w:val="-8"/>
          <w:sz w:val="24"/>
          <w:szCs w:val="24"/>
        </w:rPr>
        <w:t xml:space="preserve"> They are also assumed to </w:t>
      </w:r>
      <w:r w:rsidR="00C17AE4">
        <w:rPr>
          <w:rFonts w:ascii="Times New Roman" w:eastAsia="Calibri" w:hAnsi="Times New Roman"/>
          <w:noProof/>
          <w:spacing w:val="-8"/>
          <w:sz w:val="24"/>
          <w:szCs w:val="24"/>
        </w:rPr>
        <w:t>assess</w:t>
      </w:r>
      <w:r w:rsidR="0045244C">
        <w:rPr>
          <w:rFonts w:ascii="Times New Roman" w:eastAsia="Calibri" w:hAnsi="Times New Roman"/>
          <w:noProof/>
          <w:spacing w:val="-8"/>
          <w:sz w:val="24"/>
          <w:szCs w:val="24"/>
        </w:rPr>
        <w:t xml:space="preserve"> the </w:t>
      </w:r>
      <w:r w:rsidR="00CD3A6C">
        <w:rPr>
          <w:rFonts w:ascii="Times New Roman" w:eastAsia="Calibri" w:hAnsi="Times New Roman"/>
          <w:noProof/>
          <w:spacing w:val="-8"/>
          <w:sz w:val="24"/>
          <w:szCs w:val="24"/>
        </w:rPr>
        <w:t>submissions of the RUs under the RMMS for assessing the SMP</w:t>
      </w:r>
      <w:r w:rsidR="00CF544B">
        <w:rPr>
          <w:rFonts w:ascii="Times New Roman" w:eastAsia="Calibri" w:hAnsi="Times New Roman"/>
          <w:noProof/>
          <w:spacing w:val="-8"/>
          <w:sz w:val="24"/>
          <w:szCs w:val="24"/>
        </w:rPr>
        <w:t xml:space="preserve"> </w:t>
      </w:r>
      <w:r w:rsidR="006C0D24">
        <w:rPr>
          <w:rFonts w:ascii="Times New Roman" w:eastAsia="Calibri" w:hAnsi="Times New Roman"/>
          <w:noProof/>
          <w:spacing w:val="-8"/>
          <w:sz w:val="24"/>
          <w:szCs w:val="24"/>
        </w:rPr>
        <w:t xml:space="preserve">and designating </w:t>
      </w:r>
      <w:r w:rsidR="00781DE2">
        <w:rPr>
          <w:rFonts w:ascii="Times New Roman" w:eastAsia="Calibri" w:hAnsi="Times New Roman"/>
          <w:noProof/>
          <w:spacing w:val="-8"/>
          <w:sz w:val="24"/>
          <w:szCs w:val="24"/>
        </w:rPr>
        <w:t>indispensable RU platforms</w:t>
      </w:r>
      <w:r w:rsidR="00CD3A6C">
        <w:rPr>
          <w:rFonts w:ascii="Times New Roman" w:eastAsia="Calibri" w:hAnsi="Times New Roman"/>
          <w:noProof/>
          <w:spacing w:val="-8"/>
          <w:sz w:val="24"/>
          <w:szCs w:val="24"/>
        </w:rPr>
        <w:t>.</w:t>
      </w:r>
      <w:r w:rsidR="00564622">
        <w:rPr>
          <w:rFonts w:ascii="Times New Roman" w:eastAsia="Calibri" w:hAnsi="Times New Roman"/>
          <w:noProof/>
          <w:spacing w:val="-8"/>
          <w:sz w:val="24"/>
          <w:szCs w:val="24"/>
        </w:rPr>
        <w:t xml:space="preserve"> The one-off effort required is estimated at </w:t>
      </w:r>
      <w:r w:rsidR="00C17AE4">
        <w:rPr>
          <w:rFonts w:ascii="Times New Roman" w:eastAsia="Calibri" w:hAnsi="Times New Roman"/>
          <w:noProof/>
          <w:spacing w:val="-8"/>
          <w:sz w:val="24"/>
          <w:szCs w:val="24"/>
        </w:rPr>
        <w:t>2 FTEs per Member State</w:t>
      </w:r>
      <w:r w:rsidR="00606CBF">
        <w:rPr>
          <w:rFonts w:ascii="Times New Roman" w:eastAsia="Calibri" w:hAnsi="Times New Roman"/>
          <w:noProof/>
          <w:spacing w:val="-8"/>
          <w:sz w:val="24"/>
          <w:szCs w:val="24"/>
        </w:rPr>
        <w:t xml:space="preserve"> in 2028. T</w:t>
      </w:r>
      <w:r w:rsidR="0090093E">
        <w:rPr>
          <w:rFonts w:ascii="Times New Roman" w:eastAsia="Calibri" w:hAnsi="Times New Roman"/>
          <w:noProof/>
          <w:spacing w:val="-8"/>
          <w:sz w:val="24"/>
          <w:szCs w:val="24"/>
        </w:rPr>
        <w:t xml:space="preserve">he one-off administrative costs per Member State are thus estimated at </w:t>
      </w:r>
      <w:r w:rsidR="00A41BB1">
        <w:rPr>
          <w:rFonts w:ascii="Times New Roman" w:eastAsia="Calibri" w:hAnsi="Times New Roman"/>
          <w:noProof/>
          <w:spacing w:val="-8"/>
          <w:sz w:val="24"/>
          <w:szCs w:val="24"/>
        </w:rPr>
        <w:t>EUR</w:t>
      </w:r>
      <w:r w:rsidR="00A41BB1" w:rsidRPr="00A41BB1">
        <w:rPr>
          <w:rFonts w:ascii="Times New Roman" w:eastAsia="Calibri" w:hAnsi="Times New Roman"/>
          <w:noProof/>
          <w:spacing w:val="-8"/>
          <w:sz w:val="24"/>
          <w:szCs w:val="24"/>
        </w:rPr>
        <w:t xml:space="preserve"> 113,053</w:t>
      </w:r>
      <w:r w:rsidR="00A90963">
        <w:rPr>
          <w:rFonts w:ascii="Times New Roman" w:eastAsia="Calibri" w:hAnsi="Times New Roman"/>
          <w:noProof/>
          <w:spacing w:val="-8"/>
          <w:sz w:val="24"/>
          <w:szCs w:val="24"/>
        </w:rPr>
        <w:t xml:space="preserve"> and the total one-off administrative costs at EU level at EUR 3.1 million.</w:t>
      </w:r>
      <w:r w:rsidR="00C17AE4">
        <w:rPr>
          <w:rFonts w:ascii="Times New Roman" w:eastAsia="Calibri" w:hAnsi="Times New Roman"/>
          <w:noProof/>
          <w:spacing w:val="-8"/>
          <w:sz w:val="24"/>
          <w:szCs w:val="24"/>
        </w:rPr>
        <w:t xml:space="preserve"> </w:t>
      </w:r>
      <w:r w:rsidRPr="00EB60AD">
        <w:rPr>
          <w:rFonts w:ascii="Times New Roman" w:eastAsia="Calibri" w:hAnsi="Times New Roman"/>
          <w:noProof/>
          <w:spacing w:val="-8"/>
          <w:sz w:val="24"/>
          <w:szCs w:val="24"/>
        </w:rPr>
        <w:t>National authorities might also need to deal with complaints/further investigation</w:t>
      </w:r>
      <w:r w:rsidR="001C1A40">
        <w:rPr>
          <w:rFonts w:ascii="Times New Roman" w:eastAsia="Calibri" w:hAnsi="Times New Roman"/>
          <w:noProof/>
          <w:spacing w:val="-8"/>
          <w:sz w:val="24"/>
          <w:szCs w:val="24"/>
        </w:rPr>
        <w:t>s</w:t>
      </w:r>
      <w:r w:rsidRPr="00EB60AD">
        <w:rPr>
          <w:rFonts w:ascii="Times New Roman" w:eastAsia="Calibri" w:hAnsi="Times New Roman"/>
          <w:noProof/>
          <w:spacing w:val="-8"/>
          <w:sz w:val="24"/>
          <w:szCs w:val="24"/>
        </w:rPr>
        <w:t xml:space="preserve"> related to the designation process</w:t>
      </w:r>
      <w:r w:rsidR="001C1A40">
        <w:rPr>
          <w:rFonts w:ascii="Times New Roman" w:eastAsia="Calibri" w:hAnsi="Times New Roman"/>
          <w:noProof/>
          <w:spacing w:val="-8"/>
          <w:sz w:val="24"/>
          <w:szCs w:val="24"/>
        </w:rPr>
        <w:t xml:space="preserve">. These </w:t>
      </w:r>
      <w:r w:rsidRPr="00EB60AD">
        <w:rPr>
          <w:rFonts w:ascii="Times New Roman" w:eastAsia="Calibri" w:hAnsi="Times New Roman"/>
          <w:noProof/>
          <w:spacing w:val="-8"/>
          <w:sz w:val="24"/>
          <w:szCs w:val="24"/>
        </w:rPr>
        <w:t>cost</w:t>
      </w:r>
      <w:r w:rsidR="001C1A40">
        <w:rPr>
          <w:rFonts w:ascii="Times New Roman" w:eastAsia="Calibri" w:hAnsi="Times New Roman"/>
          <w:noProof/>
          <w:spacing w:val="-8"/>
          <w:sz w:val="24"/>
          <w:szCs w:val="24"/>
        </w:rPr>
        <w:t>s,</w:t>
      </w:r>
      <w:r w:rsidRPr="00EB60AD">
        <w:rPr>
          <w:rFonts w:ascii="Times New Roman" w:eastAsia="Calibri" w:hAnsi="Times New Roman"/>
          <w:noProof/>
          <w:spacing w:val="-8"/>
          <w:sz w:val="24"/>
          <w:szCs w:val="24"/>
        </w:rPr>
        <w:t xml:space="preserve"> along the one</w:t>
      </w:r>
      <w:r w:rsidR="001C1A40">
        <w:rPr>
          <w:rFonts w:ascii="Times New Roman" w:eastAsia="Calibri" w:hAnsi="Times New Roman"/>
          <w:noProof/>
          <w:spacing w:val="-8"/>
          <w:sz w:val="24"/>
          <w:szCs w:val="24"/>
        </w:rPr>
        <w:t>s</w:t>
      </w:r>
      <w:r w:rsidRPr="00EB60AD">
        <w:rPr>
          <w:rFonts w:ascii="Times New Roman" w:eastAsia="Calibri" w:hAnsi="Times New Roman"/>
          <w:noProof/>
          <w:spacing w:val="-8"/>
          <w:sz w:val="24"/>
          <w:szCs w:val="24"/>
        </w:rPr>
        <w:t xml:space="preserve"> related to </w:t>
      </w:r>
      <w:r w:rsidR="001C1A40">
        <w:rPr>
          <w:rFonts w:ascii="Times New Roman" w:eastAsia="Calibri" w:hAnsi="Times New Roman"/>
          <w:noProof/>
          <w:spacing w:val="-8"/>
          <w:sz w:val="24"/>
          <w:szCs w:val="24"/>
        </w:rPr>
        <w:t xml:space="preserve">the </w:t>
      </w:r>
      <w:r w:rsidRPr="00EB60AD">
        <w:rPr>
          <w:rFonts w:ascii="Times New Roman" w:eastAsia="Calibri" w:hAnsi="Times New Roman"/>
          <w:noProof/>
          <w:spacing w:val="-8"/>
          <w:sz w:val="24"/>
          <w:szCs w:val="24"/>
        </w:rPr>
        <w:t>monitoring market developments</w:t>
      </w:r>
      <w:r w:rsidR="001C1A40">
        <w:rPr>
          <w:rFonts w:ascii="Times New Roman" w:eastAsia="Calibri" w:hAnsi="Times New Roman"/>
          <w:noProof/>
          <w:spacing w:val="-8"/>
          <w:sz w:val="24"/>
          <w:szCs w:val="24"/>
        </w:rPr>
        <w:t>,</w:t>
      </w:r>
      <w:r w:rsidRPr="00EB60AD">
        <w:rPr>
          <w:rFonts w:ascii="Times New Roman" w:eastAsia="Calibri" w:hAnsi="Times New Roman"/>
          <w:noProof/>
          <w:spacing w:val="-8"/>
          <w:sz w:val="24"/>
          <w:szCs w:val="24"/>
        </w:rPr>
        <w:t xml:space="preserve"> </w:t>
      </w:r>
      <w:r w:rsidR="001C1A40">
        <w:rPr>
          <w:rFonts w:ascii="Times New Roman" w:eastAsia="Calibri" w:hAnsi="Times New Roman"/>
          <w:noProof/>
          <w:spacing w:val="-8"/>
          <w:sz w:val="24"/>
          <w:szCs w:val="24"/>
        </w:rPr>
        <w:t>are</w:t>
      </w:r>
      <w:r w:rsidRPr="00EB60AD">
        <w:rPr>
          <w:rFonts w:ascii="Times New Roman" w:eastAsia="Calibri" w:hAnsi="Times New Roman"/>
          <w:noProof/>
          <w:spacing w:val="-8"/>
          <w:sz w:val="24"/>
          <w:szCs w:val="24"/>
        </w:rPr>
        <w:t xml:space="preserve"> already accounted for in PM6.</w:t>
      </w:r>
    </w:p>
    <w:p w14:paraId="3196C74C" w14:textId="6259CB34" w:rsidR="00265214" w:rsidRPr="00121A20" w:rsidRDefault="00265214" w:rsidP="00DB078C">
      <w:pPr>
        <w:keepNext/>
        <w:tabs>
          <w:tab w:val="left" w:pos="1134"/>
        </w:tabs>
        <w:jc w:val="both"/>
        <w:rPr>
          <w:i/>
          <w:noProof/>
          <w:sz w:val="22"/>
          <w:szCs w:val="22"/>
        </w:rPr>
      </w:pPr>
      <w:r w:rsidRPr="00121A20">
        <w:rPr>
          <w:i/>
          <w:noProof/>
          <w:sz w:val="22"/>
          <w:szCs w:val="22"/>
        </w:rPr>
        <w:t xml:space="preserve">Table </w:t>
      </w:r>
      <w:r w:rsidRPr="00121A20">
        <w:rPr>
          <w:i/>
          <w:noProof/>
          <w:sz w:val="22"/>
          <w:szCs w:val="22"/>
        </w:rPr>
        <w:fldChar w:fldCharType="begin"/>
      </w:r>
      <w:r w:rsidRPr="00121A20">
        <w:rPr>
          <w:i/>
          <w:noProof/>
          <w:sz w:val="22"/>
          <w:szCs w:val="22"/>
        </w:rPr>
        <w:instrText xml:space="preserve"> SEQ Table \* ARABIC </w:instrText>
      </w:r>
      <w:r w:rsidRPr="00121A20">
        <w:rPr>
          <w:i/>
          <w:noProof/>
          <w:sz w:val="22"/>
          <w:szCs w:val="22"/>
        </w:rPr>
        <w:fldChar w:fldCharType="separate"/>
      </w:r>
      <w:r w:rsidR="0055391F">
        <w:rPr>
          <w:i/>
          <w:noProof/>
          <w:sz w:val="22"/>
          <w:szCs w:val="22"/>
        </w:rPr>
        <w:t>103</w:t>
      </w:r>
      <w:r w:rsidRPr="00121A20">
        <w:rPr>
          <w:i/>
          <w:noProof/>
          <w:sz w:val="22"/>
          <w:szCs w:val="22"/>
        </w:rPr>
        <w:fldChar w:fldCharType="end"/>
      </w:r>
      <w:r w:rsidRPr="00121A20">
        <w:rPr>
          <w:i/>
          <w:noProof/>
          <w:sz w:val="22"/>
          <w:szCs w:val="22"/>
        </w:rPr>
        <w:t xml:space="preserve">: One-off administrative costs for national authorities due to PM10 </w:t>
      </w:r>
    </w:p>
    <w:tbl>
      <w:tblPr>
        <w:tblStyle w:val="RicardoTable1"/>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1417"/>
        <w:gridCol w:w="1276"/>
        <w:gridCol w:w="1559"/>
        <w:gridCol w:w="1255"/>
      </w:tblGrid>
      <w:tr w:rsidR="00265214" w:rsidRPr="00091310" w14:paraId="072B521C" w14:textId="77777777">
        <w:trPr>
          <w:cnfStyle w:val="100000000000" w:firstRow="1" w:lastRow="0" w:firstColumn="0" w:lastColumn="0" w:oddVBand="0" w:evenVBand="0" w:oddHBand="0" w:evenHBand="0" w:firstRowFirstColumn="0" w:firstRowLastColumn="0" w:lastRowFirstColumn="0" w:lastRowLastColumn="0"/>
          <w:trHeight w:val="305"/>
        </w:trPr>
        <w:tc>
          <w:tcPr>
            <w:tcW w:w="4253" w:type="dxa"/>
            <w:shd w:val="clear" w:color="auto" w:fill="0070C0"/>
            <w:noWrap/>
            <w:vAlign w:val="top"/>
            <w:hideMark/>
          </w:tcPr>
          <w:p w14:paraId="006880BC" w14:textId="77777777" w:rsidR="00265214" w:rsidRPr="00121A20" w:rsidRDefault="00265214" w:rsidP="00DB078C">
            <w:pPr>
              <w:spacing w:before="0" w:after="0" w:line="240" w:lineRule="auto"/>
              <w:jc w:val="center"/>
              <w:rPr>
                <w:noProof/>
                <w:color w:val="FFFFFF" w:themeColor="background1"/>
                <w:sz w:val="20"/>
                <w:szCs w:val="20"/>
              </w:rPr>
            </w:pPr>
            <w:r w:rsidRPr="00121A20">
              <w:rPr>
                <w:noProof/>
                <w:color w:val="FFFFFF" w:themeColor="background1"/>
                <w:sz w:val="20"/>
                <w:szCs w:val="20"/>
              </w:rPr>
              <w:t> </w:t>
            </w:r>
          </w:p>
        </w:tc>
        <w:tc>
          <w:tcPr>
            <w:tcW w:w="1417" w:type="dxa"/>
            <w:shd w:val="clear" w:color="auto" w:fill="0070C0"/>
            <w:noWrap/>
            <w:vAlign w:val="top"/>
            <w:hideMark/>
          </w:tcPr>
          <w:p w14:paraId="441F62C5" w14:textId="77777777" w:rsidR="00265214" w:rsidRPr="00121A20" w:rsidRDefault="00265214" w:rsidP="00DB078C">
            <w:pPr>
              <w:spacing w:before="0" w:after="0" w:line="240" w:lineRule="auto"/>
              <w:jc w:val="center"/>
              <w:rPr>
                <w:noProof/>
                <w:color w:val="FFFFFF" w:themeColor="background1"/>
                <w:sz w:val="20"/>
                <w:szCs w:val="20"/>
              </w:rPr>
            </w:pPr>
            <w:r w:rsidRPr="00121A20">
              <w:rPr>
                <w:noProof/>
                <w:color w:val="FFFFFF" w:themeColor="background1"/>
                <w:sz w:val="20"/>
                <w:szCs w:val="20"/>
              </w:rPr>
              <w:t>2028</w:t>
            </w:r>
          </w:p>
        </w:tc>
        <w:tc>
          <w:tcPr>
            <w:tcW w:w="1276" w:type="dxa"/>
            <w:shd w:val="clear" w:color="auto" w:fill="0070C0"/>
            <w:noWrap/>
            <w:vAlign w:val="top"/>
            <w:hideMark/>
          </w:tcPr>
          <w:p w14:paraId="031CFB6F" w14:textId="77777777" w:rsidR="00265214" w:rsidRPr="00121A20" w:rsidRDefault="00265214" w:rsidP="00DB078C">
            <w:pPr>
              <w:spacing w:before="0" w:after="0" w:line="240" w:lineRule="auto"/>
              <w:jc w:val="center"/>
              <w:rPr>
                <w:noProof/>
                <w:color w:val="FFFFFF" w:themeColor="background1"/>
                <w:sz w:val="20"/>
                <w:szCs w:val="20"/>
              </w:rPr>
            </w:pPr>
            <w:r w:rsidRPr="00121A20" w:rsidDel="006964D7">
              <w:rPr>
                <w:noProof/>
                <w:color w:val="FFFFFF" w:themeColor="background1"/>
                <w:sz w:val="20"/>
                <w:szCs w:val="20"/>
              </w:rPr>
              <w:t>2030</w:t>
            </w:r>
          </w:p>
        </w:tc>
        <w:tc>
          <w:tcPr>
            <w:tcW w:w="1559" w:type="dxa"/>
            <w:shd w:val="clear" w:color="auto" w:fill="0070C0"/>
            <w:noWrap/>
            <w:vAlign w:val="top"/>
            <w:hideMark/>
          </w:tcPr>
          <w:p w14:paraId="09E6875A" w14:textId="77777777" w:rsidR="00265214" w:rsidRPr="00121A20" w:rsidRDefault="00265214" w:rsidP="00DB078C">
            <w:pPr>
              <w:spacing w:before="0" w:after="0" w:line="240" w:lineRule="auto"/>
              <w:jc w:val="center"/>
              <w:rPr>
                <w:noProof/>
                <w:color w:val="FFFFFF" w:themeColor="background1"/>
                <w:sz w:val="20"/>
                <w:szCs w:val="20"/>
              </w:rPr>
            </w:pPr>
            <w:r w:rsidRPr="00121A20" w:rsidDel="006964D7">
              <w:rPr>
                <w:noProof/>
                <w:color w:val="FFFFFF" w:themeColor="background1"/>
                <w:sz w:val="20"/>
                <w:szCs w:val="20"/>
              </w:rPr>
              <w:t>2040</w:t>
            </w:r>
          </w:p>
        </w:tc>
        <w:tc>
          <w:tcPr>
            <w:tcW w:w="1255" w:type="dxa"/>
            <w:shd w:val="clear" w:color="auto" w:fill="0070C0"/>
            <w:noWrap/>
            <w:vAlign w:val="top"/>
            <w:hideMark/>
          </w:tcPr>
          <w:p w14:paraId="6BE339BF" w14:textId="77777777" w:rsidR="00265214" w:rsidRPr="00121A20" w:rsidRDefault="00265214" w:rsidP="00DB078C">
            <w:pPr>
              <w:spacing w:before="0" w:after="0" w:line="240" w:lineRule="auto"/>
              <w:jc w:val="center"/>
              <w:rPr>
                <w:noProof/>
                <w:color w:val="FFFFFF" w:themeColor="background1"/>
                <w:sz w:val="20"/>
                <w:szCs w:val="20"/>
              </w:rPr>
            </w:pPr>
            <w:r w:rsidRPr="00121A20" w:rsidDel="006964D7">
              <w:rPr>
                <w:noProof/>
                <w:color w:val="FFFFFF" w:themeColor="background1"/>
                <w:sz w:val="20"/>
                <w:szCs w:val="20"/>
              </w:rPr>
              <w:t>2050</w:t>
            </w:r>
          </w:p>
        </w:tc>
      </w:tr>
      <w:tr w:rsidR="00265214" w:rsidRPr="00091310" w14:paraId="42D2CA99" w14:textId="77777777">
        <w:trPr>
          <w:trHeight w:val="235"/>
        </w:trPr>
        <w:tc>
          <w:tcPr>
            <w:tcW w:w="0" w:type="dxa"/>
            <w:noWrap/>
            <w:vAlign w:val="top"/>
            <w:hideMark/>
          </w:tcPr>
          <w:p w14:paraId="23F9BEEF" w14:textId="7B79AD08" w:rsidR="00265214" w:rsidRPr="00121A20" w:rsidRDefault="00265214" w:rsidP="00DB078C">
            <w:pPr>
              <w:spacing w:before="0" w:after="0" w:line="240" w:lineRule="auto"/>
              <w:jc w:val="left"/>
              <w:rPr>
                <w:noProof/>
                <w:color w:val="auto"/>
                <w:sz w:val="20"/>
                <w:szCs w:val="20"/>
              </w:rPr>
            </w:pPr>
            <w:r w:rsidRPr="00121A20">
              <w:rPr>
                <w:noProof/>
                <w:color w:val="auto"/>
                <w:sz w:val="20"/>
                <w:szCs w:val="20"/>
              </w:rPr>
              <w:t>Cost of processing market information per Member State due to PM10 in EUR</w:t>
            </w:r>
          </w:p>
        </w:tc>
        <w:tc>
          <w:tcPr>
            <w:tcW w:w="0" w:type="dxa"/>
            <w:noWrap/>
            <w:vAlign w:val="top"/>
            <w:hideMark/>
          </w:tcPr>
          <w:p w14:paraId="3F1EAA98" w14:textId="77777777" w:rsidR="00265214" w:rsidRPr="00121A20" w:rsidRDefault="00265214" w:rsidP="00DB078C">
            <w:pPr>
              <w:spacing w:before="0" w:after="0" w:line="240" w:lineRule="auto"/>
              <w:jc w:val="right"/>
              <w:rPr>
                <w:noProof/>
                <w:color w:val="auto"/>
                <w:sz w:val="20"/>
                <w:szCs w:val="20"/>
              </w:rPr>
            </w:pPr>
            <w:r w:rsidRPr="00121A20">
              <w:rPr>
                <w:noProof/>
                <w:color w:val="auto"/>
                <w:sz w:val="20"/>
                <w:szCs w:val="20"/>
              </w:rPr>
              <w:t>113,053</w:t>
            </w:r>
          </w:p>
        </w:tc>
        <w:tc>
          <w:tcPr>
            <w:tcW w:w="0" w:type="dxa"/>
            <w:noWrap/>
            <w:vAlign w:val="top"/>
            <w:hideMark/>
          </w:tcPr>
          <w:p w14:paraId="168365E8" w14:textId="77777777" w:rsidR="00265214" w:rsidRPr="00121A20" w:rsidRDefault="00265214" w:rsidP="00DB078C">
            <w:pPr>
              <w:spacing w:before="0" w:after="0" w:line="240" w:lineRule="auto"/>
              <w:jc w:val="right"/>
              <w:rPr>
                <w:noProof/>
                <w:color w:val="auto"/>
                <w:sz w:val="20"/>
                <w:szCs w:val="20"/>
              </w:rPr>
            </w:pPr>
            <w:r w:rsidRPr="00121A20">
              <w:rPr>
                <w:noProof/>
                <w:color w:val="auto"/>
                <w:sz w:val="20"/>
                <w:szCs w:val="20"/>
              </w:rPr>
              <w:t>0.0</w:t>
            </w:r>
          </w:p>
        </w:tc>
        <w:tc>
          <w:tcPr>
            <w:tcW w:w="0" w:type="dxa"/>
            <w:noWrap/>
            <w:vAlign w:val="top"/>
            <w:hideMark/>
          </w:tcPr>
          <w:p w14:paraId="49E94335" w14:textId="77777777" w:rsidR="00265214" w:rsidRPr="00121A20" w:rsidRDefault="00265214" w:rsidP="00DB078C">
            <w:pPr>
              <w:spacing w:before="0" w:after="0" w:line="240" w:lineRule="auto"/>
              <w:jc w:val="right"/>
              <w:rPr>
                <w:noProof/>
                <w:color w:val="auto"/>
                <w:sz w:val="20"/>
                <w:szCs w:val="20"/>
              </w:rPr>
            </w:pPr>
            <w:r w:rsidRPr="00121A20">
              <w:rPr>
                <w:noProof/>
                <w:color w:val="auto"/>
                <w:sz w:val="20"/>
                <w:szCs w:val="20"/>
              </w:rPr>
              <w:t>0.0</w:t>
            </w:r>
          </w:p>
        </w:tc>
        <w:tc>
          <w:tcPr>
            <w:tcW w:w="0" w:type="dxa"/>
            <w:noWrap/>
            <w:vAlign w:val="top"/>
            <w:hideMark/>
          </w:tcPr>
          <w:p w14:paraId="14C41E80" w14:textId="77777777" w:rsidR="00265214" w:rsidRPr="00121A20" w:rsidRDefault="00265214" w:rsidP="00DB078C">
            <w:pPr>
              <w:spacing w:before="0" w:after="0" w:line="240" w:lineRule="auto"/>
              <w:jc w:val="right"/>
              <w:rPr>
                <w:noProof/>
                <w:color w:val="auto"/>
                <w:sz w:val="20"/>
                <w:szCs w:val="20"/>
              </w:rPr>
            </w:pPr>
            <w:r w:rsidRPr="00121A20">
              <w:rPr>
                <w:noProof/>
                <w:color w:val="auto"/>
                <w:sz w:val="20"/>
                <w:szCs w:val="20"/>
              </w:rPr>
              <w:t>0.0</w:t>
            </w:r>
          </w:p>
        </w:tc>
      </w:tr>
      <w:tr w:rsidR="00265214" w:rsidRPr="00091310" w14:paraId="659BF510" w14:textId="77777777">
        <w:trPr>
          <w:trHeight w:val="235"/>
        </w:trPr>
        <w:tc>
          <w:tcPr>
            <w:tcW w:w="4253" w:type="dxa"/>
            <w:noWrap/>
            <w:vAlign w:val="top"/>
            <w:hideMark/>
          </w:tcPr>
          <w:p w14:paraId="2BB32EF8" w14:textId="67014C78" w:rsidR="00265214" w:rsidRPr="00121A20" w:rsidRDefault="00265214" w:rsidP="00DB078C">
            <w:pPr>
              <w:spacing w:before="0" w:after="0" w:line="240" w:lineRule="auto"/>
              <w:jc w:val="left"/>
              <w:rPr>
                <w:b/>
                <w:noProof/>
                <w:color w:val="auto"/>
                <w:sz w:val="20"/>
                <w:szCs w:val="20"/>
              </w:rPr>
            </w:pPr>
            <w:r w:rsidRPr="00121A20">
              <w:rPr>
                <w:b/>
                <w:noProof/>
                <w:color w:val="auto"/>
                <w:sz w:val="20"/>
                <w:szCs w:val="20"/>
              </w:rPr>
              <w:t xml:space="preserve">All policy options </w:t>
            </w:r>
          </w:p>
        </w:tc>
        <w:tc>
          <w:tcPr>
            <w:tcW w:w="1417" w:type="dxa"/>
            <w:noWrap/>
            <w:vAlign w:val="top"/>
            <w:hideMark/>
          </w:tcPr>
          <w:p w14:paraId="141D9C57" w14:textId="77777777" w:rsidR="00265214" w:rsidRPr="00121A20" w:rsidRDefault="00265214" w:rsidP="00DB078C">
            <w:pPr>
              <w:spacing w:before="0" w:after="0" w:line="240" w:lineRule="auto"/>
              <w:jc w:val="left"/>
              <w:rPr>
                <w:noProof/>
                <w:color w:val="auto"/>
                <w:sz w:val="20"/>
                <w:szCs w:val="20"/>
              </w:rPr>
            </w:pPr>
            <w:r w:rsidRPr="00121A20">
              <w:rPr>
                <w:noProof/>
                <w:color w:val="auto"/>
                <w:sz w:val="20"/>
                <w:szCs w:val="20"/>
              </w:rPr>
              <w:t> </w:t>
            </w:r>
          </w:p>
        </w:tc>
        <w:tc>
          <w:tcPr>
            <w:tcW w:w="1276" w:type="dxa"/>
            <w:noWrap/>
            <w:vAlign w:val="top"/>
            <w:hideMark/>
          </w:tcPr>
          <w:p w14:paraId="4F036A94" w14:textId="77777777" w:rsidR="00265214" w:rsidRPr="00121A20" w:rsidRDefault="00265214" w:rsidP="00DB078C">
            <w:pPr>
              <w:spacing w:before="0" w:after="0" w:line="240" w:lineRule="auto"/>
              <w:jc w:val="left"/>
              <w:rPr>
                <w:noProof/>
                <w:color w:val="auto"/>
                <w:sz w:val="20"/>
                <w:szCs w:val="20"/>
              </w:rPr>
            </w:pPr>
          </w:p>
        </w:tc>
        <w:tc>
          <w:tcPr>
            <w:tcW w:w="1559" w:type="dxa"/>
            <w:noWrap/>
            <w:vAlign w:val="top"/>
            <w:hideMark/>
          </w:tcPr>
          <w:p w14:paraId="511C99B7" w14:textId="77777777" w:rsidR="00265214" w:rsidRPr="00121A20" w:rsidRDefault="00265214" w:rsidP="00DB078C">
            <w:pPr>
              <w:spacing w:before="0" w:after="0" w:line="240" w:lineRule="auto"/>
              <w:jc w:val="left"/>
              <w:rPr>
                <w:noProof/>
                <w:color w:val="auto"/>
                <w:sz w:val="20"/>
                <w:szCs w:val="20"/>
              </w:rPr>
            </w:pPr>
          </w:p>
        </w:tc>
        <w:tc>
          <w:tcPr>
            <w:tcW w:w="1255" w:type="dxa"/>
            <w:noWrap/>
            <w:vAlign w:val="top"/>
            <w:hideMark/>
          </w:tcPr>
          <w:p w14:paraId="5141D52D" w14:textId="77777777" w:rsidR="00265214" w:rsidRPr="00121A20" w:rsidRDefault="00265214" w:rsidP="00DB078C">
            <w:pPr>
              <w:spacing w:before="0" w:after="0" w:line="240" w:lineRule="auto"/>
              <w:jc w:val="left"/>
              <w:rPr>
                <w:noProof/>
                <w:color w:val="auto"/>
                <w:sz w:val="20"/>
                <w:szCs w:val="20"/>
              </w:rPr>
            </w:pPr>
          </w:p>
        </w:tc>
      </w:tr>
      <w:tr w:rsidR="00265214" w:rsidRPr="00091310" w14:paraId="05467F55" w14:textId="77777777">
        <w:trPr>
          <w:trHeight w:val="235"/>
        </w:trPr>
        <w:tc>
          <w:tcPr>
            <w:tcW w:w="4253" w:type="dxa"/>
            <w:noWrap/>
            <w:vAlign w:val="top"/>
            <w:hideMark/>
          </w:tcPr>
          <w:p w14:paraId="2B155F39" w14:textId="51604200" w:rsidR="00265214" w:rsidRPr="00121A20" w:rsidRDefault="00265214" w:rsidP="00DB078C">
            <w:pPr>
              <w:spacing w:before="0" w:after="0" w:line="240" w:lineRule="auto"/>
              <w:jc w:val="left"/>
              <w:rPr>
                <w:noProof/>
                <w:color w:val="auto"/>
                <w:sz w:val="20"/>
                <w:szCs w:val="20"/>
              </w:rPr>
            </w:pPr>
            <w:r w:rsidRPr="00121A20">
              <w:rPr>
                <w:noProof/>
                <w:color w:val="auto"/>
                <w:sz w:val="20"/>
                <w:szCs w:val="20"/>
              </w:rPr>
              <w:t xml:space="preserve">Total one-off administrative cost (million EUR) </w:t>
            </w:r>
          </w:p>
        </w:tc>
        <w:tc>
          <w:tcPr>
            <w:tcW w:w="1417" w:type="dxa"/>
            <w:noWrap/>
            <w:vAlign w:val="top"/>
            <w:hideMark/>
          </w:tcPr>
          <w:p w14:paraId="6DF2E393" w14:textId="77777777" w:rsidR="00265214" w:rsidRPr="00121A20" w:rsidRDefault="00265214" w:rsidP="00DB078C">
            <w:pPr>
              <w:spacing w:before="0" w:after="0" w:line="240" w:lineRule="auto"/>
              <w:jc w:val="right"/>
              <w:rPr>
                <w:noProof/>
                <w:color w:val="auto"/>
                <w:sz w:val="20"/>
                <w:szCs w:val="20"/>
              </w:rPr>
            </w:pPr>
            <w:r w:rsidRPr="00121A20">
              <w:rPr>
                <w:noProof/>
                <w:color w:val="auto"/>
                <w:sz w:val="20"/>
                <w:szCs w:val="20"/>
              </w:rPr>
              <w:t>3.1</w:t>
            </w:r>
          </w:p>
        </w:tc>
        <w:tc>
          <w:tcPr>
            <w:tcW w:w="1276" w:type="dxa"/>
            <w:noWrap/>
            <w:vAlign w:val="top"/>
            <w:hideMark/>
          </w:tcPr>
          <w:p w14:paraId="1A115E63" w14:textId="77777777" w:rsidR="00265214" w:rsidRPr="00121A20" w:rsidRDefault="00265214" w:rsidP="00DB078C">
            <w:pPr>
              <w:spacing w:before="0" w:after="0" w:line="240" w:lineRule="auto"/>
              <w:jc w:val="right"/>
              <w:rPr>
                <w:noProof/>
                <w:color w:val="auto"/>
                <w:sz w:val="20"/>
                <w:szCs w:val="20"/>
              </w:rPr>
            </w:pPr>
            <w:r w:rsidRPr="00121A20">
              <w:rPr>
                <w:noProof/>
                <w:color w:val="auto"/>
                <w:sz w:val="20"/>
                <w:szCs w:val="20"/>
              </w:rPr>
              <w:t>0.0</w:t>
            </w:r>
          </w:p>
        </w:tc>
        <w:tc>
          <w:tcPr>
            <w:tcW w:w="1559" w:type="dxa"/>
            <w:noWrap/>
            <w:vAlign w:val="top"/>
            <w:hideMark/>
          </w:tcPr>
          <w:p w14:paraId="275EC9AB" w14:textId="77777777" w:rsidR="00265214" w:rsidRPr="00121A20" w:rsidRDefault="00265214" w:rsidP="00DB078C">
            <w:pPr>
              <w:spacing w:before="0" w:after="0" w:line="240" w:lineRule="auto"/>
              <w:jc w:val="right"/>
              <w:rPr>
                <w:noProof/>
                <w:color w:val="auto"/>
                <w:sz w:val="20"/>
                <w:szCs w:val="20"/>
              </w:rPr>
            </w:pPr>
            <w:r w:rsidRPr="00121A20">
              <w:rPr>
                <w:noProof/>
                <w:color w:val="auto"/>
                <w:sz w:val="20"/>
                <w:szCs w:val="20"/>
              </w:rPr>
              <w:t>0.0</w:t>
            </w:r>
          </w:p>
        </w:tc>
        <w:tc>
          <w:tcPr>
            <w:tcW w:w="1255" w:type="dxa"/>
            <w:noWrap/>
            <w:vAlign w:val="top"/>
            <w:hideMark/>
          </w:tcPr>
          <w:p w14:paraId="7A6B6675" w14:textId="77777777" w:rsidR="00265214" w:rsidRPr="00121A20" w:rsidRDefault="00265214" w:rsidP="00DB078C">
            <w:pPr>
              <w:spacing w:before="0" w:after="0" w:line="240" w:lineRule="auto"/>
              <w:jc w:val="right"/>
              <w:rPr>
                <w:noProof/>
                <w:color w:val="auto"/>
                <w:sz w:val="20"/>
                <w:szCs w:val="20"/>
              </w:rPr>
            </w:pPr>
            <w:r w:rsidRPr="00121A20">
              <w:rPr>
                <w:noProof/>
                <w:color w:val="auto"/>
                <w:sz w:val="20"/>
                <w:szCs w:val="20"/>
              </w:rPr>
              <w:t>0.0</w:t>
            </w:r>
          </w:p>
        </w:tc>
      </w:tr>
    </w:tbl>
    <w:p w14:paraId="32A53A28" w14:textId="77777777" w:rsidR="00265214" w:rsidRPr="00D71008" w:rsidRDefault="00EB60AD" w:rsidP="00265214">
      <w:pPr>
        <w:tabs>
          <w:tab w:val="left" w:pos="2302"/>
        </w:tabs>
        <w:spacing w:after="240"/>
        <w:jc w:val="both"/>
        <w:rPr>
          <w:i/>
          <w:iCs/>
          <w:noProof/>
          <w:sz w:val="20"/>
          <w:szCs w:val="20"/>
        </w:rPr>
      </w:pPr>
      <w:r w:rsidRPr="00EB60AD">
        <w:rPr>
          <w:rFonts w:eastAsia="Calibri"/>
          <w:noProof/>
          <w:spacing w:val="-8"/>
        </w:rPr>
        <w:t xml:space="preserve"> </w:t>
      </w:r>
      <w:r w:rsidR="00265214" w:rsidRPr="00151B09">
        <w:rPr>
          <w:i/>
          <w:iCs/>
          <w:noProof/>
          <w:spacing w:val="-8"/>
          <w:sz w:val="20"/>
          <w:szCs w:val="20"/>
        </w:rPr>
        <w:t xml:space="preserve">Source: </w:t>
      </w:r>
      <w:r w:rsidR="00265214" w:rsidRPr="00151B09">
        <w:rPr>
          <w:i/>
          <w:iCs/>
          <w:noProof/>
          <w:sz w:val="20"/>
          <w:szCs w:val="20"/>
        </w:rPr>
        <w:t>Ricardo et al. (2026), Impact assessment support study</w:t>
      </w:r>
    </w:p>
    <w:p w14:paraId="653D1B7B" w14:textId="5C15DEBF" w:rsidR="004353B6" w:rsidRDefault="004353B6" w:rsidP="004353B6">
      <w:pPr>
        <w:pStyle w:val="Nornal"/>
        <w:spacing w:after="240" w:line="240" w:lineRule="auto"/>
        <w:rPr>
          <w:rFonts w:cs="Arial"/>
          <w:i/>
          <w:iCs/>
          <w:noProof/>
          <w:spacing w:val="-8"/>
          <w:sz w:val="24"/>
          <w:szCs w:val="24"/>
        </w:rPr>
      </w:pPr>
      <w:r>
        <w:rPr>
          <w:rFonts w:cs="Arial"/>
          <w:i/>
          <w:iCs/>
          <w:noProof/>
          <w:spacing w:val="-8"/>
          <w:sz w:val="24"/>
          <w:szCs w:val="24"/>
        </w:rPr>
        <w:t>Recurrent adjustment</w:t>
      </w:r>
      <w:r w:rsidRPr="00FF2B87">
        <w:rPr>
          <w:rFonts w:cs="Arial"/>
          <w:i/>
          <w:iCs/>
          <w:noProof/>
          <w:spacing w:val="-8"/>
          <w:sz w:val="24"/>
          <w:szCs w:val="24"/>
        </w:rPr>
        <w:t xml:space="preserve"> costs for </w:t>
      </w:r>
      <w:r>
        <w:rPr>
          <w:rFonts w:cs="Arial"/>
          <w:i/>
          <w:iCs/>
          <w:noProof/>
          <w:spacing w:val="-8"/>
          <w:sz w:val="24"/>
          <w:szCs w:val="24"/>
        </w:rPr>
        <w:t>the European Commission</w:t>
      </w:r>
    </w:p>
    <w:p w14:paraId="0D1C1E1C" w14:textId="366DB961" w:rsidR="00EB60AD" w:rsidRPr="00EB60AD" w:rsidRDefault="009033C9" w:rsidP="00EB60AD">
      <w:pPr>
        <w:pStyle w:val="Text4"/>
        <w:spacing w:before="0" w:after="240"/>
        <w:ind w:left="0"/>
        <w:rPr>
          <w:rFonts w:ascii="Times New Roman" w:eastAsia="Calibri" w:hAnsi="Times New Roman"/>
          <w:noProof/>
          <w:spacing w:val="-8"/>
          <w:sz w:val="24"/>
          <w:szCs w:val="24"/>
        </w:rPr>
      </w:pPr>
      <w:r w:rsidRPr="009033C9">
        <w:rPr>
          <w:rFonts w:ascii="Times New Roman" w:eastAsia="Calibri" w:hAnsi="Times New Roman"/>
          <w:noProof/>
          <w:spacing w:val="-8"/>
          <w:sz w:val="24"/>
          <w:szCs w:val="24"/>
        </w:rPr>
        <w:t>PM10 introduces a requirement for the E</w:t>
      </w:r>
      <w:r>
        <w:rPr>
          <w:rFonts w:ascii="Times New Roman" w:eastAsia="Calibri" w:hAnsi="Times New Roman"/>
          <w:noProof/>
          <w:spacing w:val="-8"/>
          <w:sz w:val="24"/>
          <w:szCs w:val="24"/>
        </w:rPr>
        <w:t>uropean Commission</w:t>
      </w:r>
      <w:r w:rsidRPr="009033C9">
        <w:rPr>
          <w:rFonts w:ascii="Times New Roman" w:eastAsia="Calibri" w:hAnsi="Times New Roman"/>
          <w:noProof/>
          <w:spacing w:val="-8"/>
          <w:sz w:val="24"/>
          <w:szCs w:val="24"/>
        </w:rPr>
        <w:t xml:space="preserve"> to designate B2C MDMS platforms with SMP at EU-level, after receiving notifications from platforms. EC might also need to deal with complaints/further investigation</w:t>
      </w:r>
      <w:r w:rsidR="00894C12">
        <w:rPr>
          <w:rFonts w:ascii="Times New Roman" w:eastAsia="Calibri" w:hAnsi="Times New Roman"/>
          <w:noProof/>
          <w:spacing w:val="-8"/>
          <w:sz w:val="24"/>
          <w:szCs w:val="24"/>
        </w:rPr>
        <w:t>s</w:t>
      </w:r>
      <w:r w:rsidRPr="009033C9">
        <w:rPr>
          <w:rFonts w:ascii="Times New Roman" w:eastAsia="Calibri" w:hAnsi="Times New Roman"/>
          <w:noProof/>
          <w:spacing w:val="-8"/>
          <w:sz w:val="24"/>
          <w:szCs w:val="24"/>
        </w:rPr>
        <w:t xml:space="preserve"> related to the designation process. Over time, EC will need to monitor developments and manage the list of designated entities (with potential additions or removals </w:t>
      </w:r>
      <w:r w:rsidR="00894C12">
        <w:rPr>
          <w:rFonts w:ascii="Times New Roman" w:eastAsia="Calibri" w:hAnsi="Times New Roman"/>
          <w:noProof/>
          <w:spacing w:val="-8"/>
          <w:sz w:val="24"/>
          <w:szCs w:val="24"/>
        </w:rPr>
        <w:t>from</w:t>
      </w:r>
      <w:r w:rsidRPr="009033C9">
        <w:rPr>
          <w:rFonts w:ascii="Times New Roman" w:eastAsia="Calibri" w:hAnsi="Times New Roman"/>
          <w:noProof/>
          <w:spacing w:val="-8"/>
          <w:sz w:val="24"/>
          <w:szCs w:val="24"/>
        </w:rPr>
        <w:t xml:space="preserve"> the list). This is assumed to require 2 FTE per year</w:t>
      </w:r>
      <w:r w:rsidR="00894C12">
        <w:rPr>
          <w:rFonts w:ascii="Times New Roman" w:eastAsia="Calibri" w:hAnsi="Times New Roman"/>
          <w:noProof/>
          <w:spacing w:val="-8"/>
          <w:sz w:val="24"/>
          <w:szCs w:val="24"/>
        </w:rPr>
        <w:t xml:space="preserve"> from 2028 onwards</w:t>
      </w:r>
      <w:r w:rsidRPr="009033C9">
        <w:rPr>
          <w:rFonts w:ascii="Times New Roman" w:eastAsia="Calibri" w:hAnsi="Times New Roman"/>
          <w:noProof/>
          <w:spacing w:val="-8"/>
          <w:sz w:val="24"/>
          <w:szCs w:val="24"/>
        </w:rPr>
        <w:t xml:space="preserve">. The cost per FTE was assumed at EUR 118,326 at AD5 level, including overheads. Thus, the total recurrent adjustment costs for EC </w:t>
      </w:r>
      <w:r w:rsidR="00D73329">
        <w:rPr>
          <w:rFonts w:ascii="Times New Roman" w:eastAsia="Calibri" w:hAnsi="Times New Roman"/>
          <w:noProof/>
          <w:spacing w:val="-8"/>
          <w:sz w:val="24"/>
          <w:szCs w:val="24"/>
        </w:rPr>
        <w:t xml:space="preserve">are estimated at </w:t>
      </w:r>
      <w:r w:rsidRPr="009033C9">
        <w:rPr>
          <w:rFonts w:ascii="Times New Roman" w:eastAsia="Calibri" w:hAnsi="Times New Roman"/>
          <w:noProof/>
          <w:spacing w:val="-8"/>
          <w:sz w:val="24"/>
          <w:szCs w:val="24"/>
        </w:rPr>
        <w:t xml:space="preserve">EUR 236,652 per year in </w:t>
      </w:r>
      <w:r w:rsidR="00CE70F7">
        <w:rPr>
          <w:rFonts w:ascii="Times New Roman" w:eastAsia="Calibri" w:hAnsi="Times New Roman"/>
          <w:noProof/>
          <w:spacing w:val="-8"/>
          <w:sz w:val="24"/>
          <w:szCs w:val="24"/>
        </w:rPr>
        <w:t>all policy options.</w:t>
      </w:r>
      <w:r w:rsidR="00A73DD9">
        <w:rPr>
          <w:rFonts w:ascii="Times New Roman" w:eastAsia="Calibri" w:hAnsi="Times New Roman"/>
          <w:noProof/>
          <w:spacing w:val="-8"/>
          <w:sz w:val="24"/>
          <w:szCs w:val="24"/>
        </w:rPr>
        <w:t xml:space="preserve"> Expressed as present value over 2028-2050, relative to the baseline, they are estimated at EUR 4 million. </w:t>
      </w:r>
    </w:p>
    <w:p w14:paraId="5860C8E3" w14:textId="0ECA40AC" w:rsidR="00D9213C" w:rsidRPr="00033828" w:rsidRDefault="00D9213C" w:rsidP="00087E1F">
      <w:pPr>
        <w:keepNext/>
        <w:tabs>
          <w:tab w:val="left" w:pos="1134"/>
        </w:tabs>
        <w:jc w:val="both"/>
        <w:rPr>
          <w:i/>
          <w:noProof/>
          <w:sz w:val="22"/>
          <w:szCs w:val="22"/>
        </w:rPr>
      </w:pPr>
      <w:r w:rsidRPr="00033828">
        <w:rPr>
          <w:i/>
          <w:noProof/>
          <w:sz w:val="22"/>
          <w:szCs w:val="22"/>
        </w:rPr>
        <w:t xml:space="preserve">Table </w:t>
      </w:r>
      <w:r w:rsidRPr="00033828">
        <w:rPr>
          <w:i/>
          <w:noProof/>
          <w:sz w:val="22"/>
          <w:szCs w:val="22"/>
        </w:rPr>
        <w:fldChar w:fldCharType="begin"/>
      </w:r>
      <w:r w:rsidRPr="00033828">
        <w:rPr>
          <w:i/>
          <w:noProof/>
          <w:sz w:val="22"/>
          <w:szCs w:val="22"/>
        </w:rPr>
        <w:instrText xml:space="preserve"> SEQ Table \* ARABIC </w:instrText>
      </w:r>
      <w:r w:rsidRPr="00033828">
        <w:rPr>
          <w:i/>
          <w:noProof/>
          <w:sz w:val="22"/>
          <w:szCs w:val="22"/>
        </w:rPr>
        <w:fldChar w:fldCharType="separate"/>
      </w:r>
      <w:r w:rsidR="0055391F">
        <w:rPr>
          <w:i/>
          <w:noProof/>
          <w:sz w:val="22"/>
          <w:szCs w:val="22"/>
        </w:rPr>
        <w:t>104</w:t>
      </w:r>
      <w:r w:rsidRPr="00033828">
        <w:rPr>
          <w:i/>
          <w:noProof/>
          <w:sz w:val="22"/>
          <w:szCs w:val="22"/>
        </w:rPr>
        <w:fldChar w:fldCharType="end"/>
      </w:r>
      <w:r w:rsidRPr="00033828">
        <w:rPr>
          <w:i/>
          <w:noProof/>
          <w:sz w:val="22"/>
          <w:szCs w:val="22"/>
        </w:rPr>
        <w:t>: Recurrent adjustment costs for the European Commission due to PM10 (in EUR,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5"/>
        <w:gridCol w:w="992"/>
        <w:gridCol w:w="992"/>
        <w:gridCol w:w="992"/>
        <w:gridCol w:w="992"/>
      </w:tblGrid>
      <w:tr w:rsidR="00D9213C" w:rsidRPr="00091310" w14:paraId="51A4F07B" w14:textId="77777777" w:rsidTr="00033828">
        <w:trPr>
          <w:trHeight w:val="323"/>
          <w:tblHeader/>
        </w:trPr>
        <w:tc>
          <w:tcPr>
            <w:tcW w:w="4922" w:type="dxa"/>
            <w:shd w:val="clear" w:color="auto" w:fill="0070C0"/>
            <w:noWrap/>
            <w:hideMark/>
          </w:tcPr>
          <w:p w14:paraId="14079E5C" w14:textId="77777777" w:rsidR="00D9213C" w:rsidRPr="00033828" w:rsidRDefault="00D9213C" w:rsidP="008D3429">
            <w:pPr>
              <w:rPr>
                <w:b/>
                <w:noProof/>
                <w:color w:val="FFFFFF"/>
                <w:sz w:val="20"/>
                <w:szCs w:val="20"/>
              </w:rPr>
            </w:pPr>
          </w:p>
        </w:tc>
        <w:tc>
          <w:tcPr>
            <w:tcW w:w="743" w:type="dxa"/>
            <w:shd w:val="clear" w:color="auto" w:fill="0070C0"/>
            <w:noWrap/>
            <w:hideMark/>
          </w:tcPr>
          <w:p w14:paraId="0352E680" w14:textId="77777777" w:rsidR="00D9213C" w:rsidRPr="00033828" w:rsidRDefault="00D9213C" w:rsidP="008D3429">
            <w:pPr>
              <w:jc w:val="center"/>
              <w:rPr>
                <w:b/>
                <w:noProof/>
                <w:color w:val="FFFFFF"/>
                <w:sz w:val="20"/>
                <w:szCs w:val="20"/>
              </w:rPr>
            </w:pPr>
            <w:r w:rsidRPr="00033828">
              <w:rPr>
                <w:b/>
                <w:noProof/>
                <w:color w:val="FFFFFF"/>
                <w:sz w:val="20"/>
                <w:szCs w:val="20"/>
              </w:rPr>
              <w:t>2028</w:t>
            </w:r>
          </w:p>
        </w:tc>
        <w:tc>
          <w:tcPr>
            <w:tcW w:w="743" w:type="dxa"/>
            <w:shd w:val="clear" w:color="auto" w:fill="0070C0"/>
            <w:noWrap/>
            <w:hideMark/>
          </w:tcPr>
          <w:p w14:paraId="1E615D05" w14:textId="77777777" w:rsidR="00D9213C" w:rsidRPr="00033828" w:rsidRDefault="00D9213C" w:rsidP="008D3429">
            <w:pPr>
              <w:jc w:val="center"/>
              <w:rPr>
                <w:b/>
                <w:noProof/>
                <w:color w:val="FFFFFF"/>
                <w:sz w:val="20"/>
                <w:szCs w:val="20"/>
              </w:rPr>
            </w:pPr>
            <w:r w:rsidRPr="00033828">
              <w:rPr>
                <w:b/>
                <w:noProof/>
                <w:color w:val="FFFFFF"/>
                <w:sz w:val="20"/>
                <w:szCs w:val="20"/>
              </w:rPr>
              <w:t>2030</w:t>
            </w:r>
          </w:p>
        </w:tc>
        <w:tc>
          <w:tcPr>
            <w:tcW w:w="743" w:type="dxa"/>
            <w:shd w:val="clear" w:color="auto" w:fill="0070C0"/>
            <w:noWrap/>
            <w:hideMark/>
          </w:tcPr>
          <w:p w14:paraId="183A5C37" w14:textId="77777777" w:rsidR="00D9213C" w:rsidRPr="00033828" w:rsidRDefault="00D9213C" w:rsidP="008D3429">
            <w:pPr>
              <w:jc w:val="center"/>
              <w:rPr>
                <w:b/>
                <w:noProof/>
                <w:color w:val="FFFFFF"/>
                <w:sz w:val="20"/>
                <w:szCs w:val="20"/>
              </w:rPr>
            </w:pPr>
            <w:r w:rsidRPr="00033828">
              <w:rPr>
                <w:b/>
                <w:noProof/>
                <w:color w:val="FFFFFF"/>
                <w:sz w:val="20"/>
                <w:szCs w:val="20"/>
              </w:rPr>
              <w:t>2040</w:t>
            </w:r>
          </w:p>
        </w:tc>
        <w:tc>
          <w:tcPr>
            <w:tcW w:w="743" w:type="dxa"/>
            <w:shd w:val="clear" w:color="auto" w:fill="0070C0"/>
            <w:noWrap/>
            <w:hideMark/>
          </w:tcPr>
          <w:p w14:paraId="11F07AD5" w14:textId="77777777" w:rsidR="00D9213C" w:rsidRPr="00033828" w:rsidRDefault="00D9213C" w:rsidP="008D3429">
            <w:pPr>
              <w:jc w:val="center"/>
              <w:rPr>
                <w:b/>
                <w:noProof/>
                <w:color w:val="FFFFFF"/>
                <w:sz w:val="20"/>
                <w:szCs w:val="20"/>
              </w:rPr>
            </w:pPr>
            <w:r w:rsidRPr="00033828">
              <w:rPr>
                <w:b/>
                <w:noProof/>
                <w:color w:val="FFFFFF"/>
                <w:sz w:val="20"/>
                <w:szCs w:val="20"/>
              </w:rPr>
              <w:t>2050</w:t>
            </w:r>
          </w:p>
        </w:tc>
      </w:tr>
      <w:tr w:rsidR="00D9213C" w:rsidRPr="00091310" w14:paraId="66FFD3DC" w14:textId="77777777" w:rsidTr="008D3429">
        <w:trPr>
          <w:trHeight w:val="249"/>
        </w:trPr>
        <w:tc>
          <w:tcPr>
            <w:tcW w:w="4922" w:type="dxa"/>
            <w:noWrap/>
          </w:tcPr>
          <w:p w14:paraId="3FAA73E1" w14:textId="77777777" w:rsidR="00D9213C" w:rsidRPr="00033828" w:rsidRDefault="00D9213C" w:rsidP="008D3429">
            <w:pPr>
              <w:rPr>
                <w:noProof/>
                <w:sz w:val="20"/>
                <w:szCs w:val="20"/>
              </w:rPr>
            </w:pPr>
            <w:r w:rsidRPr="00033828">
              <w:rPr>
                <w:noProof/>
                <w:sz w:val="20"/>
                <w:szCs w:val="20"/>
              </w:rPr>
              <w:t>Recurrent adjustment costs to designate platforms with SMP and deal with complains (PM10)</w:t>
            </w:r>
          </w:p>
        </w:tc>
        <w:tc>
          <w:tcPr>
            <w:tcW w:w="743" w:type="dxa"/>
            <w:noWrap/>
          </w:tcPr>
          <w:p w14:paraId="092C4660" w14:textId="77777777" w:rsidR="00D9213C" w:rsidRPr="00033828" w:rsidRDefault="00D9213C" w:rsidP="008D3429">
            <w:pPr>
              <w:jc w:val="right"/>
              <w:rPr>
                <w:noProof/>
                <w:sz w:val="20"/>
                <w:szCs w:val="20"/>
              </w:rPr>
            </w:pPr>
            <w:r w:rsidRPr="00033828">
              <w:rPr>
                <w:noProof/>
                <w:sz w:val="20"/>
                <w:szCs w:val="20"/>
              </w:rPr>
              <w:t>236,652</w:t>
            </w:r>
          </w:p>
        </w:tc>
        <w:tc>
          <w:tcPr>
            <w:tcW w:w="743" w:type="dxa"/>
            <w:noWrap/>
          </w:tcPr>
          <w:p w14:paraId="029476DE" w14:textId="77777777" w:rsidR="00D9213C" w:rsidRPr="00033828" w:rsidRDefault="00D9213C" w:rsidP="008D3429">
            <w:pPr>
              <w:jc w:val="right"/>
              <w:rPr>
                <w:noProof/>
                <w:sz w:val="20"/>
                <w:szCs w:val="20"/>
              </w:rPr>
            </w:pPr>
            <w:r w:rsidRPr="00033828">
              <w:rPr>
                <w:noProof/>
                <w:sz w:val="20"/>
                <w:szCs w:val="20"/>
              </w:rPr>
              <w:t>236,652</w:t>
            </w:r>
          </w:p>
        </w:tc>
        <w:tc>
          <w:tcPr>
            <w:tcW w:w="743" w:type="dxa"/>
            <w:noWrap/>
          </w:tcPr>
          <w:p w14:paraId="14A0D9A6" w14:textId="77777777" w:rsidR="00D9213C" w:rsidRPr="00033828" w:rsidRDefault="00D9213C" w:rsidP="008D3429">
            <w:pPr>
              <w:jc w:val="right"/>
              <w:rPr>
                <w:noProof/>
                <w:sz w:val="20"/>
                <w:szCs w:val="20"/>
              </w:rPr>
            </w:pPr>
            <w:r w:rsidRPr="00033828">
              <w:rPr>
                <w:noProof/>
                <w:sz w:val="20"/>
                <w:szCs w:val="20"/>
              </w:rPr>
              <w:t>236,652</w:t>
            </w:r>
          </w:p>
        </w:tc>
        <w:tc>
          <w:tcPr>
            <w:tcW w:w="743" w:type="dxa"/>
            <w:noWrap/>
          </w:tcPr>
          <w:p w14:paraId="79CA7538" w14:textId="77777777" w:rsidR="00D9213C" w:rsidRPr="00033828" w:rsidRDefault="00D9213C" w:rsidP="008D3429">
            <w:pPr>
              <w:jc w:val="right"/>
              <w:rPr>
                <w:noProof/>
                <w:sz w:val="20"/>
                <w:szCs w:val="20"/>
              </w:rPr>
            </w:pPr>
            <w:r w:rsidRPr="00033828">
              <w:rPr>
                <w:noProof/>
                <w:sz w:val="20"/>
                <w:szCs w:val="20"/>
              </w:rPr>
              <w:t>236,652</w:t>
            </w:r>
          </w:p>
        </w:tc>
      </w:tr>
    </w:tbl>
    <w:p w14:paraId="0654EDFF" w14:textId="77777777" w:rsidR="008D3429" w:rsidRPr="00D71008" w:rsidRDefault="008D3429" w:rsidP="008D3429">
      <w:pPr>
        <w:tabs>
          <w:tab w:val="left" w:pos="2302"/>
        </w:tabs>
        <w:spacing w:after="240"/>
        <w:jc w:val="both"/>
        <w:rPr>
          <w:i/>
          <w:iCs/>
          <w:noProof/>
          <w:sz w:val="20"/>
          <w:szCs w:val="20"/>
        </w:rPr>
      </w:pPr>
      <w:bookmarkStart w:id="2080" w:name="_Ref222490436"/>
      <w:r w:rsidRPr="00151B09">
        <w:rPr>
          <w:i/>
          <w:iCs/>
          <w:noProof/>
          <w:spacing w:val="-8"/>
          <w:sz w:val="20"/>
          <w:szCs w:val="20"/>
        </w:rPr>
        <w:t xml:space="preserve">Source: </w:t>
      </w:r>
      <w:r w:rsidRPr="00151B09">
        <w:rPr>
          <w:i/>
          <w:iCs/>
          <w:noProof/>
          <w:sz w:val="20"/>
          <w:szCs w:val="20"/>
        </w:rPr>
        <w:t>Ricardo et al. (2026), Impact assessment support study</w:t>
      </w:r>
    </w:p>
    <w:bookmarkEnd w:id="2080"/>
    <w:p w14:paraId="2B258EEF" w14:textId="0E3105EA" w:rsidR="00D9213C" w:rsidRPr="00033828" w:rsidRDefault="00D9213C" w:rsidP="00087E1F">
      <w:pPr>
        <w:keepNext/>
        <w:tabs>
          <w:tab w:val="left" w:pos="1134"/>
        </w:tabs>
        <w:jc w:val="both"/>
        <w:rPr>
          <w:i/>
          <w:noProof/>
          <w:sz w:val="22"/>
          <w:szCs w:val="22"/>
        </w:rPr>
      </w:pPr>
      <w:r w:rsidRPr="00033828">
        <w:rPr>
          <w:i/>
          <w:noProof/>
          <w:sz w:val="22"/>
          <w:szCs w:val="22"/>
        </w:rPr>
        <w:t xml:space="preserve">Table </w:t>
      </w:r>
      <w:r w:rsidRPr="00033828">
        <w:rPr>
          <w:i/>
          <w:noProof/>
          <w:sz w:val="22"/>
          <w:szCs w:val="22"/>
        </w:rPr>
        <w:fldChar w:fldCharType="begin"/>
      </w:r>
      <w:r w:rsidRPr="00033828">
        <w:rPr>
          <w:i/>
          <w:noProof/>
          <w:sz w:val="22"/>
          <w:szCs w:val="22"/>
        </w:rPr>
        <w:instrText xml:space="preserve"> SEQ Table \* ARABIC </w:instrText>
      </w:r>
      <w:r w:rsidRPr="00033828">
        <w:rPr>
          <w:i/>
          <w:noProof/>
          <w:sz w:val="22"/>
          <w:szCs w:val="22"/>
        </w:rPr>
        <w:fldChar w:fldCharType="separate"/>
      </w:r>
      <w:r w:rsidR="0055391F">
        <w:rPr>
          <w:i/>
          <w:noProof/>
          <w:sz w:val="22"/>
          <w:szCs w:val="22"/>
        </w:rPr>
        <w:t>105</w:t>
      </w:r>
      <w:r w:rsidRPr="00033828">
        <w:rPr>
          <w:i/>
          <w:noProof/>
          <w:sz w:val="22"/>
          <w:szCs w:val="22"/>
        </w:rPr>
        <w:fldChar w:fldCharType="end"/>
      </w:r>
      <w:r w:rsidRPr="00033828">
        <w:rPr>
          <w:i/>
          <w:noProof/>
          <w:sz w:val="22"/>
          <w:szCs w:val="22"/>
        </w:rPr>
        <w:t>: Adjustment costs for the European Commission due to PM10 in the policy options, expressed as present value over 2028-2050 relative to the baseline (in million EUR,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2"/>
        <w:gridCol w:w="1582"/>
        <w:gridCol w:w="1583"/>
        <w:gridCol w:w="1583"/>
        <w:gridCol w:w="1583"/>
      </w:tblGrid>
      <w:tr w:rsidR="00D9213C" w:rsidRPr="00446F30" w14:paraId="3E39F506" w14:textId="77777777" w:rsidTr="00033828">
        <w:trPr>
          <w:trHeight w:val="247"/>
          <w:tblHeader/>
        </w:trPr>
        <w:tc>
          <w:tcPr>
            <w:tcW w:w="1704" w:type="pct"/>
            <w:vMerge w:val="restart"/>
            <w:shd w:val="clear" w:color="auto" w:fill="0070C0"/>
            <w:hideMark/>
          </w:tcPr>
          <w:p w14:paraId="5AE924CA" w14:textId="58117C19" w:rsidR="00D9213C" w:rsidRPr="00033828" w:rsidRDefault="00D9213C" w:rsidP="00960F3B">
            <w:pPr>
              <w:pStyle w:val="BodyText"/>
              <w:rPr>
                <w:b/>
                <w:noProof/>
                <w:sz w:val="20"/>
                <w:szCs w:val="20"/>
              </w:rPr>
            </w:pPr>
          </w:p>
        </w:tc>
        <w:tc>
          <w:tcPr>
            <w:tcW w:w="3296" w:type="pct"/>
            <w:gridSpan w:val="4"/>
            <w:shd w:val="clear" w:color="auto" w:fill="0070C0"/>
            <w:hideMark/>
          </w:tcPr>
          <w:p w14:paraId="3D353B8A" w14:textId="77777777" w:rsidR="00D9213C" w:rsidRPr="00033828" w:rsidRDefault="00D9213C" w:rsidP="00960F3B">
            <w:pPr>
              <w:pStyle w:val="BodyText"/>
              <w:ind w:left="0"/>
              <w:jc w:val="center"/>
              <w:rPr>
                <w:b/>
                <w:noProof/>
                <w:color w:val="FFFFFF" w:themeColor="background1"/>
                <w:sz w:val="20"/>
                <w:szCs w:val="20"/>
              </w:rPr>
            </w:pPr>
            <w:r w:rsidRPr="00033828">
              <w:rPr>
                <w:b/>
                <w:noProof/>
                <w:color w:val="FFFFFF" w:themeColor="background1"/>
                <w:sz w:val="20"/>
                <w:szCs w:val="20"/>
              </w:rPr>
              <w:t>Difference to the baseline</w:t>
            </w:r>
          </w:p>
        </w:tc>
      </w:tr>
      <w:tr w:rsidR="00D9213C" w:rsidRPr="00446F30" w14:paraId="1367F28D" w14:textId="77777777" w:rsidTr="00033828">
        <w:trPr>
          <w:trHeight w:val="247"/>
          <w:tblHeader/>
        </w:trPr>
        <w:tc>
          <w:tcPr>
            <w:tcW w:w="1704" w:type="pct"/>
            <w:vMerge/>
            <w:shd w:val="clear" w:color="auto" w:fill="0070C0"/>
            <w:hideMark/>
          </w:tcPr>
          <w:p w14:paraId="5079C37E" w14:textId="77777777" w:rsidR="00D9213C" w:rsidRPr="00033828" w:rsidRDefault="00D9213C" w:rsidP="00960F3B">
            <w:pPr>
              <w:pStyle w:val="BodyText"/>
              <w:rPr>
                <w:b/>
                <w:noProof/>
                <w:sz w:val="20"/>
                <w:szCs w:val="20"/>
              </w:rPr>
            </w:pPr>
          </w:p>
        </w:tc>
        <w:tc>
          <w:tcPr>
            <w:tcW w:w="824" w:type="pct"/>
            <w:shd w:val="clear" w:color="auto" w:fill="0070C0"/>
            <w:hideMark/>
          </w:tcPr>
          <w:p w14:paraId="6A4D8A38" w14:textId="77777777" w:rsidR="00D9213C" w:rsidRPr="00033828" w:rsidRDefault="00D9213C" w:rsidP="00960F3B">
            <w:pPr>
              <w:pStyle w:val="BodyText"/>
              <w:ind w:left="0"/>
              <w:jc w:val="center"/>
              <w:rPr>
                <w:b/>
                <w:noProof/>
                <w:color w:val="FFFFFF" w:themeColor="background1"/>
                <w:sz w:val="20"/>
                <w:szCs w:val="20"/>
              </w:rPr>
            </w:pPr>
            <w:r w:rsidRPr="00033828">
              <w:rPr>
                <w:b/>
                <w:noProof/>
                <w:color w:val="FFFFFF" w:themeColor="background1"/>
                <w:sz w:val="20"/>
                <w:szCs w:val="20"/>
              </w:rPr>
              <w:t>PO1</w:t>
            </w:r>
          </w:p>
        </w:tc>
        <w:tc>
          <w:tcPr>
            <w:tcW w:w="824" w:type="pct"/>
            <w:shd w:val="clear" w:color="auto" w:fill="0070C0"/>
            <w:hideMark/>
          </w:tcPr>
          <w:p w14:paraId="3BBC7131" w14:textId="77777777" w:rsidR="00D9213C" w:rsidRPr="00033828" w:rsidRDefault="00D9213C" w:rsidP="00960F3B">
            <w:pPr>
              <w:pStyle w:val="BodyText"/>
              <w:ind w:left="0"/>
              <w:jc w:val="center"/>
              <w:rPr>
                <w:b/>
                <w:noProof/>
                <w:color w:val="FFFFFF" w:themeColor="background1"/>
                <w:sz w:val="20"/>
                <w:szCs w:val="20"/>
              </w:rPr>
            </w:pPr>
            <w:r w:rsidRPr="00033828">
              <w:rPr>
                <w:b/>
                <w:noProof/>
                <w:color w:val="FFFFFF" w:themeColor="background1"/>
                <w:sz w:val="20"/>
                <w:szCs w:val="20"/>
              </w:rPr>
              <w:t>PO2</w:t>
            </w:r>
          </w:p>
        </w:tc>
        <w:tc>
          <w:tcPr>
            <w:tcW w:w="824" w:type="pct"/>
            <w:shd w:val="clear" w:color="auto" w:fill="0070C0"/>
            <w:hideMark/>
          </w:tcPr>
          <w:p w14:paraId="474F3F64" w14:textId="77777777" w:rsidR="00D9213C" w:rsidRPr="00033828" w:rsidRDefault="00D9213C" w:rsidP="00960F3B">
            <w:pPr>
              <w:pStyle w:val="BodyText"/>
              <w:ind w:left="0"/>
              <w:jc w:val="center"/>
              <w:rPr>
                <w:b/>
                <w:noProof/>
                <w:color w:val="FFFFFF" w:themeColor="background1"/>
                <w:sz w:val="20"/>
                <w:szCs w:val="20"/>
              </w:rPr>
            </w:pPr>
            <w:r w:rsidRPr="00033828">
              <w:rPr>
                <w:b/>
                <w:noProof/>
                <w:color w:val="FFFFFF" w:themeColor="background1"/>
                <w:sz w:val="20"/>
                <w:szCs w:val="20"/>
              </w:rPr>
              <w:t>PO3</w:t>
            </w:r>
          </w:p>
        </w:tc>
        <w:tc>
          <w:tcPr>
            <w:tcW w:w="824" w:type="pct"/>
            <w:shd w:val="clear" w:color="auto" w:fill="0070C0"/>
            <w:hideMark/>
          </w:tcPr>
          <w:p w14:paraId="463FA9F5" w14:textId="77777777" w:rsidR="00D9213C" w:rsidRPr="00033828" w:rsidRDefault="00D9213C" w:rsidP="00960F3B">
            <w:pPr>
              <w:pStyle w:val="BodyText"/>
              <w:ind w:left="0"/>
              <w:jc w:val="center"/>
              <w:rPr>
                <w:b/>
                <w:noProof/>
                <w:color w:val="FFFFFF" w:themeColor="background1"/>
                <w:sz w:val="20"/>
                <w:szCs w:val="20"/>
              </w:rPr>
            </w:pPr>
            <w:r w:rsidRPr="00033828">
              <w:rPr>
                <w:b/>
                <w:noProof/>
                <w:color w:val="FFFFFF" w:themeColor="background1"/>
                <w:sz w:val="20"/>
                <w:szCs w:val="20"/>
              </w:rPr>
              <w:t>PO4</w:t>
            </w:r>
          </w:p>
        </w:tc>
      </w:tr>
      <w:tr w:rsidR="00D9213C" w:rsidRPr="00446F30" w14:paraId="3DD2FBD7" w14:textId="77777777" w:rsidTr="008D3429">
        <w:trPr>
          <w:trHeight w:val="247"/>
        </w:trPr>
        <w:tc>
          <w:tcPr>
            <w:tcW w:w="1704" w:type="pct"/>
            <w:hideMark/>
          </w:tcPr>
          <w:p w14:paraId="15D0B6D5" w14:textId="77777777" w:rsidR="00D9213C" w:rsidRPr="00033828" w:rsidRDefault="00D9213C" w:rsidP="00960F3B">
            <w:pPr>
              <w:pStyle w:val="BodyText"/>
              <w:ind w:left="0"/>
              <w:rPr>
                <w:b/>
                <w:noProof/>
                <w:color w:val="000000"/>
                <w:sz w:val="20"/>
                <w:szCs w:val="20"/>
              </w:rPr>
            </w:pPr>
            <w:r w:rsidRPr="00033828">
              <w:rPr>
                <w:b/>
                <w:noProof/>
                <w:color w:val="000000"/>
                <w:sz w:val="20"/>
                <w:szCs w:val="20"/>
              </w:rPr>
              <w:t>Total adjustment costs</w:t>
            </w:r>
          </w:p>
        </w:tc>
        <w:tc>
          <w:tcPr>
            <w:tcW w:w="824" w:type="pct"/>
            <w:noWrap/>
            <w:hideMark/>
          </w:tcPr>
          <w:p w14:paraId="0302D848" w14:textId="1258D599" w:rsidR="00D9213C" w:rsidRPr="00033828" w:rsidRDefault="00D9213C" w:rsidP="003D55D7">
            <w:pPr>
              <w:pStyle w:val="BodyText"/>
              <w:ind w:left="0"/>
              <w:jc w:val="right"/>
              <w:rPr>
                <w:noProof/>
                <w:color w:val="000000"/>
                <w:sz w:val="20"/>
                <w:szCs w:val="20"/>
              </w:rPr>
            </w:pPr>
            <w:r w:rsidRPr="00033828">
              <w:rPr>
                <w:noProof/>
                <w:color w:val="000000"/>
                <w:sz w:val="20"/>
                <w:szCs w:val="20"/>
              </w:rPr>
              <w:t>4.01</w:t>
            </w:r>
          </w:p>
        </w:tc>
        <w:tc>
          <w:tcPr>
            <w:tcW w:w="824" w:type="pct"/>
            <w:noWrap/>
            <w:hideMark/>
          </w:tcPr>
          <w:p w14:paraId="1F2FFFE6" w14:textId="75071C6E" w:rsidR="00D9213C" w:rsidRPr="00033828" w:rsidRDefault="00D9213C" w:rsidP="003D55D7">
            <w:pPr>
              <w:pStyle w:val="BodyText"/>
              <w:ind w:left="0"/>
              <w:jc w:val="right"/>
              <w:rPr>
                <w:noProof/>
                <w:color w:val="000000"/>
                <w:sz w:val="20"/>
                <w:szCs w:val="20"/>
              </w:rPr>
            </w:pPr>
            <w:r w:rsidRPr="00033828">
              <w:rPr>
                <w:noProof/>
                <w:color w:val="000000"/>
                <w:sz w:val="20"/>
                <w:szCs w:val="20"/>
              </w:rPr>
              <w:t>4.01</w:t>
            </w:r>
          </w:p>
        </w:tc>
        <w:tc>
          <w:tcPr>
            <w:tcW w:w="824" w:type="pct"/>
            <w:noWrap/>
            <w:hideMark/>
          </w:tcPr>
          <w:p w14:paraId="0F78E7D0" w14:textId="2CDA9D9A" w:rsidR="00D9213C" w:rsidRPr="00033828" w:rsidRDefault="00D9213C" w:rsidP="003D55D7">
            <w:pPr>
              <w:pStyle w:val="BodyText"/>
              <w:ind w:left="0"/>
              <w:jc w:val="right"/>
              <w:rPr>
                <w:noProof/>
                <w:color w:val="000000"/>
                <w:sz w:val="20"/>
                <w:szCs w:val="20"/>
              </w:rPr>
            </w:pPr>
            <w:r w:rsidRPr="00033828">
              <w:rPr>
                <w:noProof/>
                <w:color w:val="000000"/>
                <w:sz w:val="20"/>
                <w:szCs w:val="20"/>
              </w:rPr>
              <w:t>4.01</w:t>
            </w:r>
          </w:p>
        </w:tc>
        <w:tc>
          <w:tcPr>
            <w:tcW w:w="824" w:type="pct"/>
            <w:noWrap/>
            <w:hideMark/>
          </w:tcPr>
          <w:p w14:paraId="2C61C518" w14:textId="59DCD750" w:rsidR="00D9213C" w:rsidRPr="00033828" w:rsidRDefault="00D9213C" w:rsidP="003D55D7">
            <w:pPr>
              <w:pStyle w:val="BodyText"/>
              <w:ind w:left="0"/>
              <w:jc w:val="right"/>
              <w:rPr>
                <w:noProof/>
                <w:color w:val="000000"/>
                <w:sz w:val="20"/>
                <w:szCs w:val="20"/>
              </w:rPr>
            </w:pPr>
            <w:r w:rsidRPr="00033828">
              <w:rPr>
                <w:noProof/>
                <w:color w:val="000000"/>
                <w:sz w:val="20"/>
                <w:szCs w:val="20"/>
              </w:rPr>
              <w:t>4.01</w:t>
            </w:r>
          </w:p>
        </w:tc>
      </w:tr>
      <w:tr w:rsidR="00D9213C" w:rsidRPr="00446F30" w14:paraId="70444160" w14:textId="77777777" w:rsidTr="008D3429">
        <w:trPr>
          <w:trHeight w:val="247"/>
        </w:trPr>
        <w:tc>
          <w:tcPr>
            <w:tcW w:w="1704" w:type="pct"/>
            <w:noWrap/>
            <w:hideMark/>
          </w:tcPr>
          <w:p w14:paraId="621443F1" w14:textId="2E2B45BF" w:rsidR="00D9213C" w:rsidRPr="00033828" w:rsidRDefault="00D9213C" w:rsidP="00960F3B">
            <w:pPr>
              <w:pStyle w:val="BodyText"/>
              <w:ind w:left="0"/>
              <w:rPr>
                <w:noProof/>
                <w:color w:val="000000"/>
                <w:sz w:val="20"/>
                <w:szCs w:val="20"/>
              </w:rPr>
            </w:pPr>
            <w:r w:rsidRPr="00033828">
              <w:rPr>
                <w:noProof/>
                <w:color w:val="000000"/>
                <w:sz w:val="20"/>
                <w:szCs w:val="20"/>
              </w:rPr>
              <w:t>One-off adjustment costs</w:t>
            </w:r>
          </w:p>
        </w:tc>
        <w:tc>
          <w:tcPr>
            <w:tcW w:w="824" w:type="pct"/>
            <w:noWrap/>
            <w:hideMark/>
          </w:tcPr>
          <w:p w14:paraId="3E7F506A" w14:textId="083D0503" w:rsidR="00D9213C" w:rsidRPr="00033828" w:rsidRDefault="00D9213C" w:rsidP="003D55D7">
            <w:pPr>
              <w:pStyle w:val="BodyText"/>
              <w:ind w:left="0"/>
              <w:jc w:val="right"/>
              <w:rPr>
                <w:noProof/>
                <w:color w:val="000000"/>
                <w:sz w:val="20"/>
                <w:szCs w:val="20"/>
              </w:rPr>
            </w:pPr>
            <w:r w:rsidRPr="00033828">
              <w:rPr>
                <w:noProof/>
                <w:color w:val="000000"/>
                <w:sz w:val="20"/>
                <w:szCs w:val="20"/>
              </w:rPr>
              <w:t>-</w:t>
            </w:r>
          </w:p>
        </w:tc>
        <w:tc>
          <w:tcPr>
            <w:tcW w:w="824" w:type="pct"/>
            <w:noWrap/>
            <w:hideMark/>
          </w:tcPr>
          <w:p w14:paraId="353CC082" w14:textId="27F5FB9D" w:rsidR="00D9213C" w:rsidRPr="00033828" w:rsidRDefault="00D9213C" w:rsidP="003D55D7">
            <w:pPr>
              <w:pStyle w:val="BodyText"/>
              <w:ind w:left="0"/>
              <w:jc w:val="right"/>
              <w:rPr>
                <w:noProof/>
                <w:color w:val="000000"/>
                <w:sz w:val="20"/>
                <w:szCs w:val="20"/>
              </w:rPr>
            </w:pPr>
            <w:r w:rsidRPr="00033828">
              <w:rPr>
                <w:noProof/>
                <w:color w:val="000000"/>
                <w:sz w:val="20"/>
                <w:szCs w:val="20"/>
              </w:rPr>
              <w:t>-</w:t>
            </w:r>
          </w:p>
        </w:tc>
        <w:tc>
          <w:tcPr>
            <w:tcW w:w="824" w:type="pct"/>
            <w:noWrap/>
            <w:hideMark/>
          </w:tcPr>
          <w:p w14:paraId="76B2186F" w14:textId="22C2805E" w:rsidR="00D9213C" w:rsidRPr="00033828" w:rsidRDefault="00D9213C" w:rsidP="003D55D7">
            <w:pPr>
              <w:pStyle w:val="BodyText"/>
              <w:ind w:left="0"/>
              <w:jc w:val="right"/>
              <w:rPr>
                <w:noProof/>
                <w:color w:val="000000"/>
                <w:sz w:val="20"/>
                <w:szCs w:val="20"/>
              </w:rPr>
            </w:pPr>
            <w:r w:rsidRPr="00033828">
              <w:rPr>
                <w:noProof/>
                <w:color w:val="000000"/>
                <w:sz w:val="20"/>
                <w:szCs w:val="20"/>
              </w:rPr>
              <w:t>-</w:t>
            </w:r>
          </w:p>
        </w:tc>
        <w:tc>
          <w:tcPr>
            <w:tcW w:w="824" w:type="pct"/>
            <w:hideMark/>
          </w:tcPr>
          <w:p w14:paraId="29605908" w14:textId="1AC350D2" w:rsidR="00D9213C" w:rsidRPr="00033828" w:rsidRDefault="00D9213C" w:rsidP="003D55D7">
            <w:pPr>
              <w:pStyle w:val="BodyText"/>
              <w:ind w:left="0"/>
              <w:jc w:val="right"/>
              <w:rPr>
                <w:noProof/>
                <w:color w:val="000000"/>
                <w:sz w:val="20"/>
                <w:szCs w:val="20"/>
              </w:rPr>
            </w:pPr>
            <w:r w:rsidRPr="00033828">
              <w:rPr>
                <w:noProof/>
                <w:color w:val="000000"/>
                <w:sz w:val="20"/>
                <w:szCs w:val="20"/>
              </w:rPr>
              <w:t>-</w:t>
            </w:r>
          </w:p>
        </w:tc>
      </w:tr>
      <w:tr w:rsidR="00D9213C" w:rsidRPr="00446F30" w14:paraId="08642FEA" w14:textId="77777777" w:rsidTr="008D3429">
        <w:trPr>
          <w:trHeight w:val="247"/>
        </w:trPr>
        <w:tc>
          <w:tcPr>
            <w:tcW w:w="1704" w:type="pct"/>
            <w:noWrap/>
            <w:hideMark/>
          </w:tcPr>
          <w:p w14:paraId="058CE5EE" w14:textId="48AB6938" w:rsidR="00D9213C" w:rsidRPr="00033828" w:rsidRDefault="00D9213C" w:rsidP="00960F3B">
            <w:pPr>
              <w:pStyle w:val="BodyText"/>
              <w:ind w:left="0"/>
              <w:rPr>
                <w:noProof/>
                <w:color w:val="000000"/>
                <w:sz w:val="20"/>
                <w:szCs w:val="20"/>
              </w:rPr>
            </w:pPr>
            <w:r w:rsidRPr="00033828">
              <w:rPr>
                <w:noProof/>
                <w:color w:val="000000"/>
                <w:sz w:val="20"/>
                <w:szCs w:val="20"/>
              </w:rPr>
              <w:t>Recurrent adjustment costs</w:t>
            </w:r>
          </w:p>
        </w:tc>
        <w:tc>
          <w:tcPr>
            <w:tcW w:w="824" w:type="pct"/>
            <w:noWrap/>
            <w:hideMark/>
          </w:tcPr>
          <w:p w14:paraId="095D9E3A" w14:textId="52004461" w:rsidR="00D9213C" w:rsidRPr="00033828" w:rsidRDefault="00D9213C" w:rsidP="003D55D7">
            <w:pPr>
              <w:pStyle w:val="BodyText"/>
              <w:ind w:left="0"/>
              <w:jc w:val="right"/>
              <w:rPr>
                <w:noProof/>
                <w:color w:val="000000"/>
                <w:sz w:val="20"/>
                <w:szCs w:val="20"/>
              </w:rPr>
            </w:pPr>
            <w:r w:rsidRPr="00033828">
              <w:rPr>
                <w:noProof/>
                <w:color w:val="000000"/>
                <w:sz w:val="20"/>
                <w:szCs w:val="20"/>
              </w:rPr>
              <w:t>4.01</w:t>
            </w:r>
          </w:p>
        </w:tc>
        <w:tc>
          <w:tcPr>
            <w:tcW w:w="824" w:type="pct"/>
            <w:noWrap/>
            <w:hideMark/>
          </w:tcPr>
          <w:p w14:paraId="678BC47A" w14:textId="6F4C3100" w:rsidR="00D9213C" w:rsidRPr="00033828" w:rsidRDefault="00D9213C" w:rsidP="003D55D7">
            <w:pPr>
              <w:pStyle w:val="BodyText"/>
              <w:ind w:left="0"/>
              <w:jc w:val="right"/>
              <w:rPr>
                <w:noProof/>
                <w:color w:val="000000"/>
                <w:sz w:val="20"/>
                <w:szCs w:val="20"/>
              </w:rPr>
            </w:pPr>
            <w:r w:rsidRPr="00033828">
              <w:rPr>
                <w:noProof/>
                <w:color w:val="000000"/>
                <w:sz w:val="20"/>
                <w:szCs w:val="20"/>
              </w:rPr>
              <w:t>4.01</w:t>
            </w:r>
          </w:p>
        </w:tc>
        <w:tc>
          <w:tcPr>
            <w:tcW w:w="824" w:type="pct"/>
            <w:noWrap/>
            <w:hideMark/>
          </w:tcPr>
          <w:p w14:paraId="77FD5901" w14:textId="5900BF31" w:rsidR="00D9213C" w:rsidRPr="00033828" w:rsidRDefault="00D9213C" w:rsidP="003D55D7">
            <w:pPr>
              <w:pStyle w:val="BodyText"/>
              <w:ind w:left="0"/>
              <w:jc w:val="right"/>
              <w:rPr>
                <w:noProof/>
                <w:color w:val="000000"/>
                <w:sz w:val="20"/>
                <w:szCs w:val="20"/>
              </w:rPr>
            </w:pPr>
            <w:r w:rsidRPr="00033828">
              <w:rPr>
                <w:noProof/>
                <w:color w:val="000000"/>
                <w:sz w:val="20"/>
                <w:szCs w:val="20"/>
              </w:rPr>
              <w:t>4.01</w:t>
            </w:r>
          </w:p>
        </w:tc>
        <w:tc>
          <w:tcPr>
            <w:tcW w:w="824" w:type="pct"/>
            <w:hideMark/>
          </w:tcPr>
          <w:p w14:paraId="4D4C6FA7" w14:textId="0CB38DC0" w:rsidR="00D9213C" w:rsidRPr="00033828" w:rsidRDefault="00D9213C" w:rsidP="003D55D7">
            <w:pPr>
              <w:pStyle w:val="BodyText"/>
              <w:ind w:left="0"/>
              <w:jc w:val="right"/>
              <w:rPr>
                <w:noProof/>
                <w:color w:val="000000"/>
                <w:sz w:val="20"/>
                <w:szCs w:val="20"/>
              </w:rPr>
            </w:pPr>
            <w:r w:rsidRPr="00033828">
              <w:rPr>
                <w:noProof/>
                <w:color w:val="000000"/>
                <w:sz w:val="20"/>
                <w:szCs w:val="20"/>
              </w:rPr>
              <w:t>4.01</w:t>
            </w:r>
          </w:p>
        </w:tc>
      </w:tr>
    </w:tbl>
    <w:p w14:paraId="7351944E" w14:textId="77777777" w:rsidR="008D3429" w:rsidRPr="00D71008" w:rsidRDefault="008D3429" w:rsidP="008D3429">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4EFCE672" w14:textId="214D507E" w:rsidR="00FF0A7D" w:rsidRPr="00BB10EB" w:rsidRDefault="00BB10EB" w:rsidP="007B2D8E">
      <w:pPr>
        <w:pStyle w:val="ListParagraph"/>
        <w:keepNext/>
        <w:widowControl/>
        <w:numPr>
          <w:ilvl w:val="2"/>
          <w:numId w:val="10"/>
        </w:numPr>
        <w:autoSpaceDE/>
        <w:autoSpaceDN/>
        <w:spacing w:after="240"/>
        <w:jc w:val="both"/>
        <w:outlineLvl w:val="2"/>
        <w:rPr>
          <w:i/>
          <w:iCs/>
          <w:noProof/>
          <w:sz w:val="24"/>
          <w:szCs w:val="24"/>
        </w:rPr>
      </w:pPr>
      <w:bookmarkStart w:id="2081" w:name="_Toc222749072"/>
      <w:bookmarkStart w:id="2082" w:name="_Toc223981676"/>
      <w:r w:rsidRPr="00BB10EB">
        <w:rPr>
          <w:i/>
          <w:iCs/>
          <w:noProof/>
          <w:sz w:val="24"/>
          <w:szCs w:val="24"/>
        </w:rPr>
        <w:t>PM11 – B2C MDMS platforms with SMP, indispensable RU platforms and B2B MDMS: must respect principles on distribution fees and cannot impose highly restrictive clauses (exclusivity clauses, unfair and unjustified conditions, marketing clauses and other technical restrictions) when entering into commercial agreements with transport operators</w:t>
      </w:r>
      <w:bookmarkEnd w:id="2081"/>
      <w:bookmarkEnd w:id="2082"/>
    </w:p>
    <w:p w14:paraId="3EF7270D" w14:textId="0086878E" w:rsidR="001A4180" w:rsidRPr="005A4431" w:rsidRDefault="00834212" w:rsidP="001319F1">
      <w:pPr>
        <w:pStyle w:val="TableParagraph"/>
        <w:spacing w:after="240"/>
        <w:ind w:right="71"/>
        <w:jc w:val="both"/>
        <w:rPr>
          <w:noProof/>
          <w:spacing w:val="-8"/>
          <w:sz w:val="24"/>
          <w:szCs w:val="24"/>
        </w:rPr>
      </w:pPr>
      <w:r>
        <w:rPr>
          <w:noProof/>
          <w:sz w:val="24"/>
          <w:szCs w:val="24"/>
        </w:rPr>
        <w:t xml:space="preserve">In PM11, </w:t>
      </w:r>
      <w:r w:rsidR="001A4180" w:rsidRPr="00D71008">
        <w:rPr>
          <w:noProof/>
          <w:sz w:val="24"/>
          <w:szCs w:val="24"/>
        </w:rPr>
        <w:t>MDMS platforms with SMP</w:t>
      </w:r>
      <w:r w:rsidR="001A4180">
        <w:rPr>
          <w:noProof/>
          <w:sz w:val="24"/>
          <w:szCs w:val="24"/>
        </w:rPr>
        <w:t>, indispensable RU platforms</w:t>
      </w:r>
      <w:r w:rsidR="001A4180" w:rsidRPr="00D71008">
        <w:rPr>
          <w:noProof/>
          <w:sz w:val="24"/>
          <w:szCs w:val="24"/>
        </w:rPr>
        <w:t xml:space="preserve"> and B2B MDMS providers must </w:t>
      </w:r>
      <w:r w:rsidR="001A4180" w:rsidRPr="005A4431">
        <w:rPr>
          <w:noProof/>
          <w:spacing w:val="-8"/>
          <w:sz w:val="24"/>
          <w:szCs w:val="24"/>
        </w:rPr>
        <w:t>respect a set of rules when entering into a commercial agreement with an operator, such as (1) the protection of commercially sensitive data, (2) cannot attach unjustified contract conditions or unnecessary to the contract</w:t>
      </w:r>
      <w:r w:rsidR="00696E5D" w:rsidRPr="005A4431">
        <w:rPr>
          <w:noProof/>
          <w:spacing w:val="-8"/>
          <w:sz w:val="24"/>
          <w:szCs w:val="24"/>
        </w:rPr>
        <w:t xml:space="preserve">, </w:t>
      </w:r>
      <w:r w:rsidR="001A4180" w:rsidRPr="005A4431">
        <w:rPr>
          <w:noProof/>
          <w:spacing w:val="-8"/>
          <w:sz w:val="24"/>
          <w:szCs w:val="24"/>
        </w:rPr>
        <w:t>(3) apply remuneration based on objective and transparent criteria (such as quality and level of services, annual volume of transport products distributed, look-to-book ratios, etc).</w:t>
      </w:r>
      <w:r w:rsidR="00666BA2" w:rsidRPr="005A4431">
        <w:rPr>
          <w:noProof/>
          <w:spacing w:val="-8"/>
          <w:sz w:val="24"/>
          <w:szCs w:val="24"/>
        </w:rPr>
        <w:t xml:space="preserve"> </w:t>
      </w:r>
      <w:r w:rsidR="001A4180" w:rsidRPr="005A4431">
        <w:rPr>
          <w:noProof/>
          <w:spacing w:val="-8"/>
          <w:sz w:val="24"/>
          <w:szCs w:val="24"/>
        </w:rPr>
        <w:t>These criteria must be transparently shared with the operator or the NEB if requested. They should not discriminate between transport operators, and B2B MDMS providers must ensure equal access to distribution facilities and maintain a clear software-based separation from transport operators' private systems.</w:t>
      </w:r>
      <w:r w:rsidR="000E1927" w:rsidRPr="005A4431">
        <w:rPr>
          <w:noProof/>
          <w:spacing w:val="-8"/>
          <w:sz w:val="24"/>
          <w:szCs w:val="24"/>
        </w:rPr>
        <w:t xml:space="preserve"> PM11 </w:t>
      </w:r>
      <w:r w:rsidR="001A4180" w:rsidRPr="005A4431">
        <w:rPr>
          <w:noProof/>
          <w:spacing w:val="-8"/>
          <w:sz w:val="24"/>
          <w:szCs w:val="24"/>
        </w:rPr>
        <w:t xml:space="preserve">retains and extends the rules on fair treatment of transport operators of the CRS Code of Conduct to all other B2B MDMS and to B2C MDMS with SMP to prevent abusive behaviours through unfair and unjustified conditions. </w:t>
      </w:r>
    </w:p>
    <w:p w14:paraId="5DF1A92D" w14:textId="77777777" w:rsidR="001319F1" w:rsidRPr="005A4431" w:rsidRDefault="001319F1" w:rsidP="00D36625">
      <w:pPr>
        <w:spacing w:after="120"/>
        <w:rPr>
          <w:rFonts w:eastAsia="Calibri"/>
          <w:noProof/>
          <w:spacing w:val="-8"/>
        </w:rPr>
      </w:pPr>
      <w:r w:rsidRPr="005A4431">
        <w:rPr>
          <w:rFonts w:eastAsia="Calibri"/>
          <w:noProof/>
          <w:spacing w:val="-8"/>
        </w:rPr>
        <w:t>The measure is expected to result in:</w:t>
      </w:r>
    </w:p>
    <w:p w14:paraId="47020DC8" w14:textId="56B825AB" w:rsidR="001A4180" w:rsidRDefault="00A079F7" w:rsidP="001979E4">
      <w:pPr>
        <w:pStyle w:val="ListParagraph"/>
        <w:widowControl/>
        <w:numPr>
          <w:ilvl w:val="0"/>
          <w:numId w:val="35"/>
        </w:numPr>
        <w:autoSpaceDE/>
        <w:autoSpaceDN/>
        <w:spacing w:before="0" w:after="240"/>
        <w:ind w:left="284" w:right="57" w:hanging="284"/>
        <w:jc w:val="both"/>
        <w:rPr>
          <w:noProof/>
          <w:spacing w:val="-8"/>
          <w:sz w:val="24"/>
          <w:szCs w:val="24"/>
        </w:rPr>
      </w:pPr>
      <w:r w:rsidRPr="005A4431">
        <w:rPr>
          <w:noProof/>
          <w:spacing w:val="-8"/>
          <w:sz w:val="24"/>
          <w:szCs w:val="24"/>
        </w:rPr>
        <w:t>Recurrent a</w:t>
      </w:r>
      <w:r w:rsidR="00D36625" w:rsidRPr="005A4431">
        <w:rPr>
          <w:noProof/>
          <w:spacing w:val="-8"/>
          <w:sz w:val="24"/>
          <w:szCs w:val="24"/>
        </w:rPr>
        <w:t xml:space="preserve">djustment cost savings </w:t>
      </w:r>
      <w:r w:rsidR="00BC7413" w:rsidRPr="005A4431">
        <w:rPr>
          <w:noProof/>
          <w:spacing w:val="-8"/>
          <w:sz w:val="24"/>
          <w:szCs w:val="24"/>
        </w:rPr>
        <w:t xml:space="preserve">for transport operators and MDMS platforms </w:t>
      </w:r>
      <w:r w:rsidR="00D36625" w:rsidRPr="005A4431">
        <w:rPr>
          <w:noProof/>
          <w:spacing w:val="-8"/>
          <w:sz w:val="24"/>
          <w:szCs w:val="24"/>
        </w:rPr>
        <w:t>due to simplification in commercial agreements from the use of principles on distribution fees. These apply only to commercial agreements entered by B2C MDMS with SMP, or B2B MDMS.</w:t>
      </w:r>
    </w:p>
    <w:p w14:paraId="5A15824F" w14:textId="77777777" w:rsidR="00281031" w:rsidRPr="00E62730" w:rsidRDefault="00281031" w:rsidP="00281031">
      <w:pPr>
        <w:pStyle w:val="TableParagraph"/>
        <w:spacing w:after="240"/>
        <w:ind w:right="71"/>
        <w:jc w:val="both"/>
        <w:rPr>
          <w:noProof/>
          <w:spacing w:val="-8"/>
          <w:sz w:val="24"/>
          <w:szCs w:val="24"/>
        </w:rPr>
      </w:pPr>
      <w:r w:rsidRPr="00E62730">
        <w:rPr>
          <w:noProof/>
          <w:spacing w:val="-8"/>
          <w:sz w:val="24"/>
          <w:szCs w:val="24"/>
        </w:rPr>
        <w:t xml:space="preserve">PM11 is expected to result in lower costs for negotiating and renegotiating contracts relative to the baseline for both sides of the agreement (i.e. transport operators and MDMS platforms). The stakeholders survey conducted in the context of the impact assessment support study provided a range of costs for negotiating a new service licence agreement between a transport operator and an MDMS platform. A rail operator estimated EUR 20,000 per service licence agreement and a public transport operator suggested 6 months to a year of negotiation time. A cost of EUR 20,000 is assumed, expressed in 2024 prices. Responses to the same consultation suggested contract renegotiation costs of EUR 11,830. Costs savings of 10% are assumed due to PM11, equivalent to costs savings of EUR 2,000 per new agreement and EUR 1,183 per renegotiation. </w:t>
      </w:r>
    </w:p>
    <w:p w14:paraId="371F216B" w14:textId="23262AFF" w:rsidR="00281031" w:rsidRDefault="00281031" w:rsidP="00281031">
      <w:pPr>
        <w:pStyle w:val="TableParagraph"/>
        <w:spacing w:after="240"/>
        <w:ind w:right="71"/>
        <w:jc w:val="both"/>
        <w:rPr>
          <w:noProof/>
          <w:spacing w:val="-8"/>
          <w:sz w:val="24"/>
          <w:szCs w:val="24"/>
        </w:rPr>
      </w:pPr>
      <w:r w:rsidRPr="00E62730">
        <w:rPr>
          <w:noProof/>
          <w:spacing w:val="-8"/>
          <w:sz w:val="24"/>
          <w:szCs w:val="24"/>
        </w:rPr>
        <w:t>First, the changes in the number of new agreements and renegotiated agreements have been calculated for each policy option relative to the baseline, as explained in section 3.1</w:t>
      </w:r>
      <w:r w:rsidR="00067E78">
        <w:rPr>
          <w:noProof/>
          <w:spacing w:val="-8"/>
          <w:sz w:val="24"/>
          <w:szCs w:val="24"/>
        </w:rPr>
        <w:t>.3</w:t>
      </w:r>
      <w:r w:rsidRPr="00E62730">
        <w:rPr>
          <w:noProof/>
          <w:spacing w:val="-8"/>
          <w:sz w:val="24"/>
          <w:szCs w:val="24"/>
        </w:rPr>
        <w:t xml:space="preserve"> of Annex 4. In the second step, the costs savings for MDMS platforms and transport operators have been calculated by applying the costs savings per new agreement or renegotiated agreement to the difference in new agreements and renegotiated agreements relative to the baseline. The distribution of savings between </w:t>
      </w:r>
      <w:r w:rsidR="003F448B">
        <w:rPr>
          <w:noProof/>
          <w:spacing w:val="-8"/>
          <w:sz w:val="24"/>
          <w:szCs w:val="24"/>
        </w:rPr>
        <w:t>non-SMEs</w:t>
      </w:r>
      <w:r w:rsidR="003F448B" w:rsidRPr="00E62730">
        <w:rPr>
          <w:noProof/>
          <w:spacing w:val="-8"/>
          <w:sz w:val="24"/>
          <w:szCs w:val="24"/>
        </w:rPr>
        <w:t xml:space="preserve"> </w:t>
      </w:r>
      <w:r w:rsidRPr="00E62730">
        <w:rPr>
          <w:noProof/>
          <w:spacing w:val="-8"/>
          <w:sz w:val="24"/>
          <w:szCs w:val="24"/>
        </w:rPr>
        <w:t xml:space="preserve">and SMEs is assumed proportional to the share of SMEs in each group (i.e. 74% SMEs for B2B platforms and 78% for transport operators at aggregate level).  </w:t>
      </w:r>
    </w:p>
    <w:p w14:paraId="1662C912" w14:textId="45F86E6D" w:rsidR="00095BE8" w:rsidRDefault="00095BE8" w:rsidP="004C3AC1">
      <w:pPr>
        <w:pStyle w:val="Nornal"/>
        <w:keepNext/>
        <w:spacing w:after="240" w:line="240" w:lineRule="auto"/>
        <w:rPr>
          <w:rFonts w:cs="Arial"/>
          <w:i/>
          <w:iCs/>
          <w:noProof/>
          <w:spacing w:val="-8"/>
          <w:sz w:val="24"/>
          <w:szCs w:val="24"/>
        </w:rPr>
      </w:pPr>
      <w:r>
        <w:rPr>
          <w:rFonts w:cs="Arial"/>
          <w:i/>
          <w:iCs/>
          <w:noProof/>
          <w:spacing w:val="-8"/>
          <w:sz w:val="24"/>
          <w:szCs w:val="24"/>
        </w:rPr>
        <w:t>Recurrent adjustment</w:t>
      </w:r>
      <w:r w:rsidRPr="00FF2B87">
        <w:rPr>
          <w:rFonts w:cs="Arial"/>
          <w:i/>
          <w:iCs/>
          <w:noProof/>
          <w:spacing w:val="-8"/>
          <w:sz w:val="24"/>
          <w:szCs w:val="24"/>
        </w:rPr>
        <w:t xml:space="preserve"> costs </w:t>
      </w:r>
      <w:r>
        <w:rPr>
          <w:rFonts w:cs="Arial"/>
          <w:i/>
          <w:iCs/>
          <w:noProof/>
          <w:spacing w:val="-8"/>
          <w:sz w:val="24"/>
          <w:szCs w:val="24"/>
        </w:rPr>
        <w:t xml:space="preserve">savings </w:t>
      </w:r>
      <w:r w:rsidRPr="00FF2B87">
        <w:rPr>
          <w:rFonts w:cs="Arial"/>
          <w:i/>
          <w:iCs/>
          <w:noProof/>
          <w:spacing w:val="-8"/>
          <w:sz w:val="24"/>
          <w:szCs w:val="24"/>
        </w:rPr>
        <w:t xml:space="preserve">for </w:t>
      </w:r>
      <w:r>
        <w:rPr>
          <w:rFonts w:cs="Arial"/>
          <w:i/>
          <w:iCs/>
          <w:noProof/>
          <w:spacing w:val="-8"/>
          <w:sz w:val="24"/>
          <w:szCs w:val="24"/>
        </w:rPr>
        <w:t>MDMS platforms</w:t>
      </w:r>
    </w:p>
    <w:p w14:paraId="0B7A3911" w14:textId="1BC9EA17" w:rsidR="0080196C" w:rsidRPr="0080196C" w:rsidRDefault="0080196C" w:rsidP="004C3AC1">
      <w:pPr>
        <w:pStyle w:val="TableParagraph"/>
        <w:keepNext/>
        <w:spacing w:after="240"/>
        <w:ind w:right="71"/>
        <w:jc w:val="both"/>
        <w:rPr>
          <w:noProof/>
          <w:spacing w:val="-8"/>
          <w:sz w:val="24"/>
          <w:szCs w:val="24"/>
        </w:rPr>
      </w:pPr>
      <w:r w:rsidRPr="0080196C">
        <w:rPr>
          <w:noProof/>
          <w:spacing w:val="-8"/>
          <w:sz w:val="24"/>
          <w:szCs w:val="24"/>
        </w:rPr>
        <w:t xml:space="preserve">The </w:t>
      </w:r>
      <w:r w:rsidR="00676E46">
        <w:rPr>
          <w:noProof/>
          <w:spacing w:val="-8"/>
          <w:sz w:val="24"/>
          <w:szCs w:val="24"/>
        </w:rPr>
        <w:t xml:space="preserve">adjustment costs savings for MDMS platforms due to PM11 </w:t>
      </w:r>
      <w:r w:rsidR="004C3AC1">
        <w:rPr>
          <w:noProof/>
          <w:spacing w:val="-8"/>
          <w:sz w:val="24"/>
          <w:szCs w:val="24"/>
        </w:rPr>
        <w:t xml:space="preserve">in 2028, 2030, 2040 and 2050 relative to the baseline are provided in the table below. The table also includes a split between the costs savings corresponding to </w:t>
      </w:r>
      <w:r w:rsidR="002A091D">
        <w:rPr>
          <w:noProof/>
          <w:spacing w:val="-8"/>
          <w:sz w:val="24"/>
          <w:szCs w:val="24"/>
        </w:rPr>
        <w:t>non-SME</w:t>
      </w:r>
      <w:r w:rsidR="004C3AC1">
        <w:rPr>
          <w:noProof/>
          <w:spacing w:val="-8"/>
          <w:sz w:val="24"/>
          <w:szCs w:val="24"/>
        </w:rPr>
        <w:t xml:space="preserve"> MDMS platforms and SMEs.  </w:t>
      </w:r>
    </w:p>
    <w:p w14:paraId="5B1EE392" w14:textId="7FC848A9" w:rsidR="0080196C" w:rsidRPr="00087E1F" w:rsidRDefault="0080196C" w:rsidP="00087E1F">
      <w:pPr>
        <w:keepNext/>
        <w:tabs>
          <w:tab w:val="left" w:pos="1134"/>
        </w:tabs>
        <w:jc w:val="both"/>
        <w:rPr>
          <w:i/>
          <w:noProof/>
          <w:sz w:val="22"/>
          <w:szCs w:val="22"/>
        </w:rPr>
      </w:pPr>
      <w:r w:rsidRPr="00087E1F">
        <w:rPr>
          <w:i/>
          <w:noProof/>
          <w:sz w:val="22"/>
          <w:szCs w:val="22"/>
        </w:rPr>
        <w:t xml:space="preserve">Table </w:t>
      </w:r>
      <w:r w:rsidRPr="00087E1F">
        <w:rPr>
          <w:i/>
          <w:noProof/>
          <w:sz w:val="22"/>
          <w:szCs w:val="22"/>
        </w:rPr>
        <w:fldChar w:fldCharType="begin"/>
      </w:r>
      <w:r w:rsidRPr="00087E1F">
        <w:rPr>
          <w:i/>
          <w:noProof/>
          <w:sz w:val="22"/>
          <w:szCs w:val="22"/>
        </w:rPr>
        <w:instrText xml:space="preserve"> SEQ Table \* ARABIC </w:instrText>
      </w:r>
      <w:r w:rsidRPr="00087E1F">
        <w:rPr>
          <w:i/>
          <w:noProof/>
          <w:sz w:val="22"/>
          <w:szCs w:val="22"/>
        </w:rPr>
        <w:fldChar w:fldCharType="separate"/>
      </w:r>
      <w:r w:rsidR="0055391F">
        <w:rPr>
          <w:i/>
          <w:noProof/>
          <w:sz w:val="22"/>
          <w:szCs w:val="22"/>
        </w:rPr>
        <w:t>106</w:t>
      </w:r>
      <w:r w:rsidRPr="00087E1F">
        <w:rPr>
          <w:i/>
          <w:noProof/>
          <w:sz w:val="22"/>
          <w:szCs w:val="22"/>
        </w:rPr>
        <w:fldChar w:fldCharType="end"/>
      </w:r>
      <w:r w:rsidRPr="00087E1F">
        <w:rPr>
          <w:i/>
          <w:noProof/>
          <w:sz w:val="22"/>
          <w:szCs w:val="22"/>
        </w:rPr>
        <w:t xml:space="preserve">: Adjustment costs savings for MDMS platforms due to PM11 in 2028, 2030, 2040 and 2050 relative to the baseline </w:t>
      </w:r>
    </w:p>
    <w:tbl>
      <w:tblPr>
        <w:tblW w:w="5000" w:type="pct"/>
        <w:tblLook w:val="04A0" w:firstRow="1" w:lastRow="0" w:firstColumn="1" w:lastColumn="0" w:noHBand="0" w:noVBand="1"/>
      </w:tblPr>
      <w:tblGrid>
        <w:gridCol w:w="6811"/>
        <w:gridCol w:w="697"/>
        <w:gridCol w:w="699"/>
        <w:gridCol w:w="697"/>
        <w:gridCol w:w="699"/>
      </w:tblGrid>
      <w:tr w:rsidR="00E11073" w:rsidRPr="00EC4361" w14:paraId="19BA3492" w14:textId="77777777" w:rsidTr="00E11073">
        <w:trPr>
          <w:trHeight w:val="255"/>
          <w:tblHeader/>
        </w:trPr>
        <w:tc>
          <w:tcPr>
            <w:tcW w:w="3545" w:type="pct"/>
            <w:tcBorders>
              <w:top w:val="single" w:sz="4" w:space="0" w:color="auto"/>
              <w:left w:val="single" w:sz="4" w:space="0" w:color="auto"/>
              <w:bottom w:val="single" w:sz="4" w:space="0" w:color="auto"/>
              <w:right w:val="single" w:sz="4" w:space="0" w:color="auto"/>
            </w:tcBorders>
            <w:shd w:val="clear" w:color="auto" w:fill="0070C0"/>
            <w:noWrap/>
            <w:hideMark/>
          </w:tcPr>
          <w:p w14:paraId="4B0D4E80" w14:textId="77777777" w:rsidR="0080196C" w:rsidRPr="004E336D" w:rsidRDefault="0080196C">
            <w:pPr>
              <w:jc w:val="center"/>
              <w:rPr>
                <w:b/>
                <w:noProof/>
                <w:color w:val="FFFFFF"/>
                <w:sz w:val="20"/>
                <w:szCs w:val="20"/>
              </w:rPr>
            </w:pPr>
            <w:r w:rsidRPr="004E336D">
              <w:rPr>
                <w:b/>
                <w:noProof/>
                <w:color w:val="FFFFFF"/>
                <w:sz w:val="20"/>
                <w:szCs w:val="20"/>
              </w:rPr>
              <w:t> </w:t>
            </w:r>
          </w:p>
        </w:tc>
        <w:tc>
          <w:tcPr>
            <w:tcW w:w="363" w:type="pct"/>
            <w:tcBorders>
              <w:top w:val="single" w:sz="4" w:space="0" w:color="auto"/>
              <w:left w:val="nil"/>
              <w:bottom w:val="single" w:sz="4" w:space="0" w:color="auto"/>
              <w:right w:val="single" w:sz="4" w:space="0" w:color="auto"/>
            </w:tcBorders>
            <w:shd w:val="clear" w:color="auto" w:fill="0070C0"/>
            <w:noWrap/>
            <w:hideMark/>
          </w:tcPr>
          <w:p w14:paraId="58896502" w14:textId="77777777" w:rsidR="0080196C" w:rsidRPr="004E336D" w:rsidRDefault="0080196C">
            <w:pPr>
              <w:jc w:val="center"/>
              <w:rPr>
                <w:b/>
                <w:noProof/>
                <w:color w:val="FFFFFF"/>
                <w:sz w:val="20"/>
                <w:szCs w:val="20"/>
              </w:rPr>
            </w:pPr>
            <w:r w:rsidRPr="004E336D">
              <w:rPr>
                <w:b/>
                <w:noProof/>
                <w:color w:val="FFFFFF"/>
                <w:sz w:val="20"/>
                <w:szCs w:val="20"/>
              </w:rPr>
              <w:t>2028</w:t>
            </w:r>
          </w:p>
        </w:tc>
        <w:tc>
          <w:tcPr>
            <w:tcW w:w="364" w:type="pct"/>
            <w:tcBorders>
              <w:top w:val="single" w:sz="4" w:space="0" w:color="auto"/>
              <w:left w:val="nil"/>
              <w:bottom w:val="single" w:sz="4" w:space="0" w:color="auto"/>
              <w:right w:val="single" w:sz="4" w:space="0" w:color="auto"/>
            </w:tcBorders>
            <w:shd w:val="clear" w:color="auto" w:fill="0070C0"/>
            <w:noWrap/>
            <w:hideMark/>
          </w:tcPr>
          <w:p w14:paraId="29F4D5C5" w14:textId="77777777" w:rsidR="0080196C" w:rsidRPr="004E336D" w:rsidRDefault="0080196C">
            <w:pPr>
              <w:jc w:val="center"/>
              <w:rPr>
                <w:b/>
                <w:noProof/>
                <w:color w:val="FFFFFF"/>
                <w:sz w:val="20"/>
                <w:szCs w:val="20"/>
              </w:rPr>
            </w:pPr>
            <w:r w:rsidRPr="004E336D">
              <w:rPr>
                <w:b/>
                <w:noProof/>
                <w:color w:val="FFFFFF"/>
                <w:sz w:val="20"/>
                <w:szCs w:val="20"/>
              </w:rPr>
              <w:t>2030</w:t>
            </w:r>
          </w:p>
        </w:tc>
        <w:tc>
          <w:tcPr>
            <w:tcW w:w="363" w:type="pct"/>
            <w:tcBorders>
              <w:top w:val="single" w:sz="4" w:space="0" w:color="auto"/>
              <w:left w:val="nil"/>
              <w:bottom w:val="single" w:sz="4" w:space="0" w:color="auto"/>
              <w:right w:val="single" w:sz="4" w:space="0" w:color="auto"/>
            </w:tcBorders>
            <w:shd w:val="clear" w:color="auto" w:fill="0070C0"/>
            <w:noWrap/>
            <w:hideMark/>
          </w:tcPr>
          <w:p w14:paraId="30B9AA74" w14:textId="77777777" w:rsidR="0080196C" w:rsidRPr="004E336D" w:rsidRDefault="0080196C">
            <w:pPr>
              <w:jc w:val="center"/>
              <w:rPr>
                <w:b/>
                <w:noProof/>
                <w:color w:val="FFFFFF"/>
                <w:sz w:val="20"/>
                <w:szCs w:val="20"/>
              </w:rPr>
            </w:pPr>
            <w:r w:rsidRPr="004E336D">
              <w:rPr>
                <w:b/>
                <w:noProof/>
                <w:color w:val="FFFFFF"/>
                <w:sz w:val="20"/>
                <w:szCs w:val="20"/>
              </w:rPr>
              <w:t>2040</w:t>
            </w:r>
          </w:p>
        </w:tc>
        <w:tc>
          <w:tcPr>
            <w:tcW w:w="364" w:type="pct"/>
            <w:tcBorders>
              <w:top w:val="single" w:sz="4" w:space="0" w:color="auto"/>
              <w:left w:val="nil"/>
              <w:bottom w:val="single" w:sz="4" w:space="0" w:color="auto"/>
              <w:right w:val="single" w:sz="4" w:space="0" w:color="auto"/>
            </w:tcBorders>
            <w:shd w:val="clear" w:color="auto" w:fill="0070C0"/>
            <w:noWrap/>
            <w:hideMark/>
          </w:tcPr>
          <w:p w14:paraId="5DCCED58" w14:textId="77777777" w:rsidR="0080196C" w:rsidRPr="004E336D" w:rsidRDefault="0080196C">
            <w:pPr>
              <w:jc w:val="center"/>
              <w:rPr>
                <w:b/>
                <w:noProof/>
                <w:color w:val="FFFFFF"/>
                <w:sz w:val="20"/>
                <w:szCs w:val="20"/>
              </w:rPr>
            </w:pPr>
            <w:r w:rsidRPr="004E336D">
              <w:rPr>
                <w:b/>
                <w:noProof/>
                <w:color w:val="FFFFFF"/>
                <w:sz w:val="20"/>
                <w:szCs w:val="20"/>
              </w:rPr>
              <w:t>2050</w:t>
            </w:r>
          </w:p>
        </w:tc>
      </w:tr>
      <w:tr w:rsidR="00E11073" w:rsidRPr="00EC4361" w14:paraId="67098311" w14:textId="77777777" w:rsidTr="00E11073">
        <w:trPr>
          <w:trHeight w:val="225"/>
        </w:trPr>
        <w:tc>
          <w:tcPr>
            <w:tcW w:w="3545" w:type="pct"/>
            <w:tcBorders>
              <w:top w:val="nil"/>
              <w:left w:val="single" w:sz="4" w:space="0" w:color="auto"/>
              <w:bottom w:val="single" w:sz="4" w:space="0" w:color="auto"/>
              <w:right w:val="single" w:sz="4" w:space="0" w:color="auto"/>
            </w:tcBorders>
            <w:noWrap/>
            <w:hideMark/>
          </w:tcPr>
          <w:p w14:paraId="177F7239" w14:textId="77777777" w:rsidR="00421A48" w:rsidRPr="004E336D" w:rsidRDefault="00421A48" w:rsidP="00421A48">
            <w:pPr>
              <w:rPr>
                <w:noProof/>
                <w:color w:val="000000"/>
                <w:sz w:val="20"/>
                <w:szCs w:val="20"/>
              </w:rPr>
            </w:pPr>
            <w:r w:rsidRPr="004E336D">
              <w:rPr>
                <w:noProof/>
                <w:color w:val="000000"/>
                <w:sz w:val="20"/>
                <w:szCs w:val="20"/>
              </w:rPr>
              <w:t>Cost savings per new agreement (EUR)</w:t>
            </w:r>
          </w:p>
        </w:tc>
        <w:tc>
          <w:tcPr>
            <w:tcW w:w="363" w:type="pct"/>
            <w:tcBorders>
              <w:top w:val="nil"/>
              <w:left w:val="nil"/>
              <w:bottom w:val="single" w:sz="4" w:space="0" w:color="auto"/>
              <w:right w:val="single" w:sz="4" w:space="0" w:color="auto"/>
            </w:tcBorders>
            <w:shd w:val="clear" w:color="auto" w:fill="FFFFFF" w:themeFill="background1"/>
            <w:noWrap/>
            <w:hideMark/>
          </w:tcPr>
          <w:p w14:paraId="0F4DBC7E" w14:textId="2ED58609" w:rsidR="00421A48" w:rsidRPr="00421A48" w:rsidRDefault="00421A48" w:rsidP="00421A48">
            <w:pPr>
              <w:jc w:val="right"/>
              <w:rPr>
                <w:noProof/>
                <w:sz w:val="20"/>
                <w:szCs w:val="20"/>
              </w:rPr>
            </w:pPr>
            <w:r w:rsidRPr="00421A48">
              <w:rPr>
                <w:noProof/>
                <w:sz w:val="20"/>
                <w:szCs w:val="20"/>
              </w:rPr>
              <w:t>2,000</w:t>
            </w:r>
          </w:p>
        </w:tc>
        <w:tc>
          <w:tcPr>
            <w:tcW w:w="364" w:type="pct"/>
            <w:tcBorders>
              <w:top w:val="nil"/>
              <w:left w:val="nil"/>
              <w:bottom w:val="single" w:sz="4" w:space="0" w:color="auto"/>
              <w:right w:val="single" w:sz="4" w:space="0" w:color="auto"/>
            </w:tcBorders>
            <w:shd w:val="clear" w:color="auto" w:fill="FFFFFF" w:themeFill="background1"/>
            <w:noWrap/>
            <w:hideMark/>
          </w:tcPr>
          <w:p w14:paraId="3444E1B3" w14:textId="6DB3489A" w:rsidR="00421A48" w:rsidRPr="00421A48" w:rsidRDefault="00421A48" w:rsidP="00421A48">
            <w:pPr>
              <w:jc w:val="right"/>
              <w:rPr>
                <w:noProof/>
                <w:sz w:val="20"/>
                <w:szCs w:val="20"/>
              </w:rPr>
            </w:pPr>
            <w:r w:rsidRPr="00421A48">
              <w:rPr>
                <w:noProof/>
                <w:sz w:val="20"/>
                <w:szCs w:val="20"/>
              </w:rPr>
              <w:t>2,000</w:t>
            </w:r>
          </w:p>
        </w:tc>
        <w:tc>
          <w:tcPr>
            <w:tcW w:w="363" w:type="pct"/>
            <w:tcBorders>
              <w:top w:val="nil"/>
              <w:left w:val="nil"/>
              <w:bottom w:val="single" w:sz="4" w:space="0" w:color="auto"/>
              <w:right w:val="single" w:sz="4" w:space="0" w:color="auto"/>
            </w:tcBorders>
            <w:shd w:val="clear" w:color="auto" w:fill="FFFFFF" w:themeFill="background1"/>
            <w:noWrap/>
            <w:hideMark/>
          </w:tcPr>
          <w:p w14:paraId="51936525" w14:textId="04CFB50F" w:rsidR="00421A48" w:rsidRPr="00421A48" w:rsidRDefault="00421A48" w:rsidP="00421A48">
            <w:pPr>
              <w:jc w:val="right"/>
              <w:rPr>
                <w:noProof/>
                <w:sz w:val="20"/>
                <w:szCs w:val="20"/>
              </w:rPr>
            </w:pPr>
            <w:r w:rsidRPr="00421A48">
              <w:rPr>
                <w:noProof/>
                <w:sz w:val="20"/>
                <w:szCs w:val="20"/>
              </w:rPr>
              <w:t>2,000</w:t>
            </w:r>
          </w:p>
        </w:tc>
        <w:tc>
          <w:tcPr>
            <w:tcW w:w="364" w:type="pct"/>
            <w:tcBorders>
              <w:top w:val="nil"/>
              <w:left w:val="nil"/>
              <w:bottom w:val="single" w:sz="4" w:space="0" w:color="auto"/>
              <w:right w:val="single" w:sz="4" w:space="0" w:color="auto"/>
            </w:tcBorders>
            <w:shd w:val="clear" w:color="auto" w:fill="FFFFFF" w:themeFill="background1"/>
            <w:noWrap/>
            <w:hideMark/>
          </w:tcPr>
          <w:p w14:paraId="1E9C2378" w14:textId="541AA76E" w:rsidR="00421A48" w:rsidRPr="00421A48" w:rsidRDefault="00421A48" w:rsidP="00421A48">
            <w:pPr>
              <w:jc w:val="right"/>
              <w:rPr>
                <w:noProof/>
                <w:sz w:val="20"/>
                <w:szCs w:val="20"/>
              </w:rPr>
            </w:pPr>
            <w:r w:rsidRPr="00421A48">
              <w:rPr>
                <w:noProof/>
                <w:sz w:val="20"/>
                <w:szCs w:val="20"/>
              </w:rPr>
              <w:t>2,000</w:t>
            </w:r>
          </w:p>
        </w:tc>
      </w:tr>
      <w:tr w:rsidR="00E11073" w:rsidRPr="00EC4361" w14:paraId="4E651BC7" w14:textId="77777777" w:rsidTr="00E11073">
        <w:trPr>
          <w:trHeight w:val="225"/>
        </w:trPr>
        <w:tc>
          <w:tcPr>
            <w:tcW w:w="3545" w:type="pct"/>
            <w:tcBorders>
              <w:top w:val="nil"/>
              <w:left w:val="single" w:sz="4" w:space="0" w:color="auto"/>
              <w:bottom w:val="single" w:sz="4" w:space="0" w:color="auto"/>
              <w:right w:val="single" w:sz="4" w:space="0" w:color="auto"/>
            </w:tcBorders>
            <w:noWrap/>
            <w:hideMark/>
          </w:tcPr>
          <w:p w14:paraId="72F60029" w14:textId="77777777" w:rsidR="00421A48" w:rsidRPr="004E336D" w:rsidRDefault="00421A48" w:rsidP="00421A48">
            <w:pPr>
              <w:rPr>
                <w:noProof/>
                <w:color w:val="000000"/>
                <w:sz w:val="20"/>
                <w:szCs w:val="20"/>
              </w:rPr>
            </w:pPr>
            <w:r w:rsidRPr="004E336D">
              <w:rPr>
                <w:noProof/>
                <w:color w:val="000000"/>
                <w:sz w:val="20"/>
                <w:szCs w:val="20"/>
              </w:rPr>
              <w:t>Cost savings per renegotiated agreement (EUR)</w:t>
            </w:r>
          </w:p>
        </w:tc>
        <w:tc>
          <w:tcPr>
            <w:tcW w:w="363" w:type="pct"/>
            <w:tcBorders>
              <w:top w:val="nil"/>
              <w:left w:val="nil"/>
              <w:bottom w:val="single" w:sz="4" w:space="0" w:color="auto"/>
              <w:right w:val="single" w:sz="4" w:space="0" w:color="auto"/>
            </w:tcBorders>
            <w:shd w:val="clear" w:color="auto" w:fill="FFFFFF" w:themeFill="background1"/>
            <w:noWrap/>
            <w:hideMark/>
          </w:tcPr>
          <w:p w14:paraId="62710EB1" w14:textId="202D98B0" w:rsidR="00421A48" w:rsidRPr="00421A48" w:rsidRDefault="00421A48" w:rsidP="00421A48">
            <w:pPr>
              <w:jc w:val="right"/>
              <w:rPr>
                <w:noProof/>
                <w:sz w:val="20"/>
                <w:szCs w:val="20"/>
              </w:rPr>
            </w:pPr>
            <w:r w:rsidRPr="00421A48">
              <w:rPr>
                <w:noProof/>
                <w:sz w:val="20"/>
                <w:szCs w:val="20"/>
              </w:rPr>
              <w:t>1,183</w:t>
            </w:r>
          </w:p>
        </w:tc>
        <w:tc>
          <w:tcPr>
            <w:tcW w:w="364" w:type="pct"/>
            <w:tcBorders>
              <w:top w:val="nil"/>
              <w:left w:val="nil"/>
              <w:bottom w:val="single" w:sz="4" w:space="0" w:color="auto"/>
              <w:right w:val="single" w:sz="4" w:space="0" w:color="auto"/>
            </w:tcBorders>
            <w:shd w:val="clear" w:color="auto" w:fill="FFFFFF" w:themeFill="background1"/>
            <w:noWrap/>
            <w:hideMark/>
          </w:tcPr>
          <w:p w14:paraId="264D886D" w14:textId="1CF0B2FB" w:rsidR="00421A48" w:rsidRPr="00421A48" w:rsidRDefault="00421A48" w:rsidP="00421A48">
            <w:pPr>
              <w:jc w:val="right"/>
              <w:rPr>
                <w:noProof/>
                <w:sz w:val="20"/>
                <w:szCs w:val="20"/>
              </w:rPr>
            </w:pPr>
            <w:r w:rsidRPr="00421A48">
              <w:rPr>
                <w:noProof/>
                <w:sz w:val="20"/>
                <w:szCs w:val="20"/>
              </w:rPr>
              <w:t>1,183</w:t>
            </w:r>
          </w:p>
        </w:tc>
        <w:tc>
          <w:tcPr>
            <w:tcW w:w="363" w:type="pct"/>
            <w:tcBorders>
              <w:top w:val="nil"/>
              <w:left w:val="nil"/>
              <w:bottom w:val="single" w:sz="4" w:space="0" w:color="auto"/>
              <w:right w:val="single" w:sz="4" w:space="0" w:color="auto"/>
            </w:tcBorders>
            <w:shd w:val="clear" w:color="auto" w:fill="FFFFFF" w:themeFill="background1"/>
            <w:noWrap/>
            <w:hideMark/>
          </w:tcPr>
          <w:p w14:paraId="07777533" w14:textId="30148729" w:rsidR="00421A48" w:rsidRPr="00421A48" w:rsidRDefault="00421A48" w:rsidP="00421A48">
            <w:pPr>
              <w:jc w:val="right"/>
              <w:rPr>
                <w:noProof/>
                <w:sz w:val="20"/>
                <w:szCs w:val="20"/>
              </w:rPr>
            </w:pPr>
            <w:r w:rsidRPr="00421A48">
              <w:rPr>
                <w:noProof/>
                <w:sz w:val="20"/>
                <w:szCs w:val="20"/>
              </w:rPr>
              <w:t>1,183</w:t>
            </w:r>
          </w:p>
        </w:tc>
        <w:tc>
          <w:tcPr>
            <w:tcW w:w="364" w:type="pct"/>
            <w:tcBorders>
              <w:top w:val="nil"/>
              <w:left w:val="nil"/>
              <w:bottom w:val="single" w:sz="4" w:space="0" w:color="auto"/>
              <w:right w:val="single" w:sz="4" w:space="0" w:color="auto"/>
            </w:tcBorders>
            <w:shd w:val="clear" w:color="auto" w:fill="FFFFFF" w:themeFill="background1"/>
            <w:noWrap/>
            <w:hideMark/>
          </w:tcPr>
          <w:p w14:paraId="0CD7D077" w14:textId="6241B1D7" w:rsidR="00421A48" w:rsidRPr="00421A48" w:rsidRDefault="00421A48" w:rsidP="00421A48">
            <w:pPr>
              <w:jc w:val="right"/>
              <w:rPr>
                <w:noProof/>
                <w:sz w:val="20"/>
                <w:szCs w:val="20"/>
              </w:rPr>
            </w:pPr>
            <w:r w:rsidRPr="00421A48">
              <w:rPr>
                <w:noProof/>
                <w:sz w:val="20"/>
                <w:szCs w:val="20"/>
              </w:rPr>
              <w:t>1,183</w:t>
            </w:r>
          </w:p>
        </w:tc>
      </w:tr>
      <w:tr w:rsidR="00E11073" w:rsidRPr="00EC4361" w14:paraId="40214841" w14:textId="77777777" w:rsidTr="00E11073">
        <w:trPr>
          <w:trHeight w:val="225"/>
        </w:trPr>
        <w:tc>
          <w:tcPr>
            <w:tcW w:w="3545" w:type="pct"/>
            <w:tcBorders>
              <w:top w:val="nil"/>
              <w:left w:val="single" w:sz="4" w:space="0" w:color="auto"/>
              <w:bottom w:val="single" w:sz="4" w:space="0" w:color="auto"/>
              <w:right w:val="single" w:sz="4" w:space="0" w:color="auto"/>
            </w:tcBorders>
            <w:noWrap/>
            <w:hideMark/>
          </w:tcPr>
          <w:p w14:paraId="17E78420" w14:textId="77777777" w:rsidR="00421A48" w:rsidRPr="004E336D" w:rsidRDefault="00421A48" w:rsidP="00421A48">
            <w:pPr>
              <w:rPr>
                <w:b/>
                <w:noProof/>
                <w:color w:val="000000"/>
                <w:sz w:val="20"/>
                <w:szCs w:val="20"/>
              </w:rPr>
            </w:pPr>
            <w:r w:rsidRPr="004E336D">
              <w:rPr>
                <w:b/>
                <w:noProof/>
                <w:color w:val="000000"/>
                <w:sz w:val="20"/>
                <w:szCs w:val="20"/>
              </w:rPr>
              <w:t>PO1</w:t>
            </w:r>
          </w:p>
        </w:tc>
        <w:tc>
          <w:tcPr>
            <w:tcW w:w="363" w:type="pct"/>
            <w:tcBorders>
              <w:top w:val="nil"/>
              <w:left w:val="nil"/>
              <w:bottom w:val="single" w:sz="4" w:space="0" w:color="auto"/>
              <w:right w:val="single" w:sz="4" w:space="0" w:color="auto"/>
            </w:tcBorders>
            <w:shd w:val="clear" w:color="auto" w:fill="FFFFFF" w:themeFill="background1"/>
            <w:noWrap/>
            <w:hideMark/>
          </w:tcPr>
          <w:p w14:paraId="27C48982" w14:textId="614E44F4" w:rsidR="00421A48" w:rsidRPr="00421A48" w:rsidRDefault="00421A48" w:rsidP="00421A48">
            <w:pPr>
              <w:rPr>
                <w:noProof/>
                <w:sz w:val="20"/>
                <w:szCs w:val="20"/>
              </w:rPr>
            </w:pPr>
            <w:r w:rsidRPr="00421A48">
              <w:rPr>
                <w:noProof/>
                <w:sz w:val="20"/>
                <w:szCs w:val="20"/>
              </w:rPr>
              <w:t> </w:t>
            </w:r>
          </w:p>
        </w:tc>
        <w:tc>
          <w:tcPr>
            <w:tcW w:w="364" w:type="pct"/>
            <w:tcBorders>
              <w:top w:val="nil"/>
              <w:left w:val="nil"/>
              <w:bottom w:val="single" w:sz="4" w:space="0" w:color="auto"/>
              <w:right w:val="single" w:sz="4" w:space="0" w:color="auto"/>
            </w:tcBorders>
            <w:shd w:val="clear" w:color="auto" w:fill="FFFFFF" w:themeFill="background1"/>
            <w:noWrap/>
            <w:hideMark/>
          </w:tcPr>
          <w:p w14:paraId="39DBF773" w14:textId="3D8CF9D0" w:rsidR="00421A48" w:rsidRPr="00421A48" w:rsidRDefault="00421A48" w:rsidP="00421A48">
            <w:pPr>
              <w:rPr>
                <w:noProof/>
                <w:sz w:val="20"/>
                <w:szCs w:val="20"/>
              </w:rPr>
            </w:pPr>
            <w:r w:rsidRPr="00421A48">
              <w:rPr>
                <w:noProof/>
                <w:sz w:val="20"/>
                <w:szCs w:val="20"/>
              </w:rPr>
              <w:t> </w:t>
            </w:r>
          </w:p>
        </w:tc>
        <w:tc>
          <w:tcPr>
            <w:tcW w:w="363" w:type="pct"/>
            <w:tcBorders>
              <w:top w:val="nil"/>
              <w:left w:val="nil"/>
              <w:bottom w:val="single" w:sz="4" w:space="0" w:color="auto"/>
              <w:right w:val="single" w:sz="4" w:space="0" w:color="auto"/>
            </w:tcBorders>
            <w:shd w:val="clear" w:color="auto" w:fill="FFFFFF" w:themeFill="background1"/>
            <w:noWrap/>
            <w:hideMark/>
          </w:tcPr>
          <w:p w14:paraId="46B0CB99" w14:textId="2EE14FAC" w:rsidR="00421A48" w:rsidRPr="00421A48" w:rsidRDefault="00421A48" w:rsidP="00421A48">
            <w:pPr>
              <w:rPr>
                <w:noProof/>
                <w:sz w:val="20"/>
                <w:szCs w:val="20"/>
              </w:rPr>
            </w:pPr>
            <w:r w:rsidRPr="00421A48">
              <w:rPr>
                <w:noProof/>
                <w:sz w:val="20"/>
                <w:szCs w:val="20"/>
              </w:rPr>
              <w:t> </w:t>
            </w:r>
          </w:p>
        </w:tc>
        <w:tc>
          <w:tcPr>
            <w:tcW w:w="364" w:type="pct"/>
            <w:tcBorders>
              <w:top w:val="nil"/>
              <w:left w:val="nil"/>
              <w:bottom w:val="single" w:sz="4" w:space="0" w:color="auto"/>
              <w:right w:val="single" w:sz="4" w:space="0" w:color="auto"/>
            </w:tcBorders>
            <w:shd w:val="clear" w:color="auto" w:fill="FFFFFF" w:themeFill="background1"/>
            <w:noWrap/>
            <w:hideMark/>
          </w:tcPr>
          <w:p w14:paraId="077F77BD" w14:textId="498BDACD" w:rsidR="00421A48" w:rsidRPr="00421A48" w:rsidRDefault="00421A48" w:rsidP="00421A48">
            <w:pPr>
              <w:rPr>
                <w:noProof/>
                <w:sz w:val="20"/>
                <w:szCs w:val="20"/>
              </w:rPr>
            </w:pPr>
            <w:r w:rsidRPr="00421A48">
              <w:rPr>
                <w:noProof/>
                <w:sz w:val="20"/>
                <w:szCs w:val="20"/>
              </w:rPr>
              <w:t> </w:t>
            </w:r>
          </w:p>
        </w:tc>
      </w:tr>
      <w:tr w:rsidR="00E11073" w:rsidRPr="00EC4361" w14:paraId="4A278D3A"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57DDC119" w14:textId="7AFD6DC5" w:rsidR="00421A48" w:rsidRPr="004E336D" w:rsidRDefault="00421A48" w:rsidP="00421A48">
            <w:pPr>
              <w:rPr>
                <w:noProof/>
                <w:color w:val="000000"/>
                <w:sz w:val="20"/>
                <w:szCs w:val="20"/>
              </w:rPr>
            </w:pPr>
            <w:r w:rsidRPr="3FCE22BE">
              <w:rPr>
                <w:noProof/>
                <w:color w:val="000000" w:themeColor="text1"/>
                <w:sz w:val="20"/>
                <w:szCs w:val="20"/>
              </w:rPr>
              <w:t xml:space="preserve">New agreements by </w:t>
            </w:r>
            <w:r>
              <w:rPr>
                <w:noProof/>
                <w:color w:val="000000" w:themeColor="text1"/>
                <w:sz w:val="20"/>
                <w:szCs w:val="20"/>
              </w:rPr>
              <w:t>non-SME</w:t>
            </w:r>
            <w:r w:rsidRPr="3FCE22BE">
              <w:rPr>
                <w:noProof/>
                <w:color w:val="000000" w:themeColor="text1"/>
                <w:sz w:val="20"/>
                <w:szCs w:val="20"/>
              </w:rPr>
              <w:t xml:space="preserve"> platforms (changes relative to the baseline)</w:t>
            </w:r>
          </w:p>
        </w:tc>
        <w:tc>
          <w:tcPr>
            <w:tcW w:w="363" w:type="pct"/>
            <w:tcBorders>
              <w:top w:val="nil"/>
              <w:left w:val="nil"/>
              <w:bottom w:val="single" w:sz="4" w:space="0" w:color="auto"/>
              <w:right w:val="single" w:sz="4" w:space="0" w:color="auto"/>
            </w:tcBorders>
            <w:shd w:val="clear" w:color="auto" w:fill="FFFFFF" w:themeFill="background1"/>
            <w:noWrap/>
            <w:hideMark/>
          </w:tcPr>
          <w:p w14:paraId="7145D3F7" w14:textId="15E3280A" w:rsidR="00421A48" w:rsidRPr="00421A48" w:rsidRDefault="00421A48" w:rsidP="00421A48">
            <w:pPr>
              <w:jc w:val="right"/>
              <w:rPr>
                <w:noProof/>
                <w:sz w:val="20"/>
                <w:szCs w:val="20"/>
              </w:rPr>
            </w:pPr>
            <w:r w:rsidRPr="00421A48">
              <w:rPr>
                <w:noProof/>
                <w:sz w:val="20"/>
                <w:szCs w:val="20"/>
              </w:rPr>
              <w:t>0</w:t>
            </w:r>
          </w:p>
        </w:tc>
        <w:tc>
          <w:tcPr>
            <w:tcW w:w="364" w:type="pct"/>
            <w:tcBorders>
              <w:top w:val="nil"/>
              <w:left w:val="nil"/>
              <w:bottom w:val="single" w:sz="4" w:space="0" w:color="auto"/>
              <w:right w:val="single" w:sz="4" w:space="0" w:color="auto"/>
            </w:tcBorders>
            <w:shd w:val="clear" w:color="auto" w:fill="FFFFFF" w:themeFill="background1"/>
            <w:noWrap/>
            <w:hideMark/>
          </w:tcPr>
          <w:p w14:paraId="1EE19C8D" w14:textId="48EFB8D9" w:rsidR="00421A48" w:rsidRPr="00421A48" w:rsidRDefault="00421A48" w:rsidP="00421A48">
            <w:pPr>
              <w:jc w:val="right"/>
              <w:rPr>
                <w:noProof/>
                <w:sz w:val="20"/>
                <w:szCs w:val="20"/>
              </w:rPr>
            </w:pPr>
            <w:r w:rsidRPr="00421A48">
              <w:rPr>
                <w:noProof/>
                <w:sz w:val="20"/>
                <w:szCs w:val="20"/>
              </w:rPr>
              <w:t>75</w:t>
            </w:r>
          </w:p>
        </w:tc>
        <w:tc>
          <w:tcPr>
            <w:tcW w:w="363" w:type="pct"/>
            <w:tcBorders>
              <w:top w:val="nil"/>
              <w:left w:val="nil"/>
              <w:bottom w:val="single" w:sz="4" w:space="0" w:color="auto"/>
              <w:right w:val="single" w:sz="4" w:space="0" w:color="auto"/>
            </w:tcBorders>
            <w:shd w:val="clear" w:color="auto" w:fill="FFFFFF" w:themeFill="background1"/>
            <w:noWrap/>
            <w:hideMark/>
          </w:tcPr>
          <w:p w14:paraId="503F7D67" w14:textId="3FECBBE7" w:rsidR="00421A48" w:rsidRPr="00421A48" w:rsidRDefault="00421A48" w:rsidP="00421A48">
            <w:pPr>
              <w:jc w:val="right"/>
              <w:rPr>
                <w:noProof/>
                <w:sz w:val="20"/>
                <w:szCs w:val="20"/>
              </w:rPr>
            </w:pPr>
            <w:r w:rsidRPr="00421A48">
              <w:rPr>
                <w:noProof/>
                <w:sz w:val="20"/>
                <w:szCs w:val="20"/>
              </w:rPr>
              <w:t>29</w:t>
            </w:r>
          </w:p>
        </w:tc>
        <w:tc>
          <w:tcPr>
            <w:tcW w:w="364" w:type="pct"/>
            <w:tcBorders>
              <w:top w:val="nil"/>
              <w:left w:val="nil"/>
              <w:bottom w:val="single" w:sz="4" w:space="0" w:color="auto"/>
              <w:right w:val="single" w:sz="4" w:space="0" w:color="auto"/>
            </w:tcBorders>
            <w:shd w:val="clear" w:color="auto" w:fill="FFFFFF" w:themeFill="background1"/>
            <w:noWrap/>
            <w:hideMark/>
          </w:tcPr>
          <w:p w14:paraId="2EBAAA64" w14:textId="22AA39C4" w:rsidR="00421A48" w:rsidRPr="00421A48" w:rsidRDefault="00421A48" w:rsidP="00421A48">
            <w:pPr>
              <w:jc w:val="right"/>
              <w:rPr>
                <w:noProof/>
                <w:sz w:val="20"/>
                <w:szCs w:val="20"/>
              </w:rPr>
            </w:pPr>
            <w:r w:rsidRPr="00421A48">
              <w:rPr>
                <w:noProof/>
                <w:sz w:val="20"/>
                <w:szCs w:val="20"/>
              </w:rPr>
              <w:t>0</w:t>
            </w:r>
          </w:p>
        </w:tc>
      </w:tr>
      <w:tr w:rsidR="00E11073" w:rsidRPr="00EC4361" w14:paraId="35D53DE5" w14:textId="77777777" w:rsidTr="00E11073">
        <w:trPr>
          <w:trHeight w:val="225"/>
        </w:trPr>
        <w:tc>
          <w:tcPr>
            <w:tcW w:w="3545" w:type="pct"/>
            <w:tcBorders>
              <w:top w:val="nil"/>
              <w:left w:val="single" w:sz="4" w:space="0" w:color="auto"/>
              <w:bottom w:val="single" w:sz="4" w:space="0" w:color="auto"/>
              <w:right w:val="single" w:sz="4" w:space="0" w:color="auto"/>
            </w:tcBorders>
            <w:noWrap/>
            <w:hideMark/>
          </w:tcPr>
          <w:p w14:paraId="6A61CE2C" w14:textId="77777777" w:rsidR="00421A48" w:rsidRPr="004E336D" w:rsidRDefault="00421A48" w:rsidP="00421A48">
            <w:pPr>
              <w:rPr>
                <w:noProof/>
                <w:color w:val="000000"/>
                <w:sz w:val="20"/>
                <w:szCs w:val="20"/>
              </w:rPr>
            </w:pPr>
            <w:r w:rsidRPr="3FCE22BE">
              <w:rPr>
                <w:noProof/>
                <w:color w:val="000000" w:themeColor="text1"/>
                <w:sz w:val="20"/>
                <w:szCs w:val="20"/>
              </w:rPr>
              <w:t>New agreements by SME platforms (changes relative to the baseline)</w:t>
            </w:r>
          </w:p>
        </w:tc>
        <w:tc>
          <w:tcPr>
            <w:tcW w:w="363" w:type="pct"/>
            <w:tcBorders>
              <w:top w:val="nil"/>
              <w:left w:val="nil"/>
              <w:bottom w:val="single" w:sz="4" w:space="0" w:color="auto"/>
              <w:right w:val="single" w:sz="4" w:space="0" w:color="auto"/>
            </w:tcBorders>
            <w:shd w:val="clear" w:color="auto" w:fill="FFFFFF" w:themeFill="background1"/>
            <w:noWrap/>
            <w:hideMark/>
          </w:tcPr>
          <w:p w14:paraId="452F6199" w14:textId="42CDD01E" w:rsidR="00421A48" w:rsidRPr="00421A48" w:rsidRDefault="00421A48" w:rsidP="00421A48">
            <w:pPr>
              <w:jc w:val="right"/>
              <w:rPr>
                <w:noProof/>
                <w:sz w:val="20"/>
                <w:szCs w:val="20"/>
              </w:rPr>
            </w:pPr>
            <w:r w:rsidRPr="00421A48">
              <w:rPr>
                <w:noProof/>
                <w:sz w:val="20"/>
                <w:szCs w:val="20"/>
              </w:rPr>
              <w:t>0</w:t>
            </w:r>
          </w:p>
        </w:tc>
        <w:tc>
          <w:tcPr>
            <w:tcW w:w="364" w:type="pct"/>
            <w:tcBorders>
              <w:top w:val="nil"/>
              <w:left w:val="nil"/>
              <w:bottom w:val="single" w:sz="4" w:space="0" w:color="auto"/>
              <w:right w:val="single" w:sz="4" w:space="0" w:color="auto"/>
            </w:tcBorders>
            <w:shd w:val="clear" w:color="auto" w:fill="FFFFFF" w:themeFill="background1"/>
            <w:noWrap/>
            <w:hideMark/>
          </w:tcPr>
          <w:p w14:paraId="45C00ED6" w14:textId="199D2D1C" w:rsidR="00421A48" w:rsidRPr="00421A48" w:rsidRDefault="00421A48" w:rsidP="00421A48">
            <w:pPr>
              <w:jc w:val="right"/>
              <w:rPr>
                <w:noProof/>
                <w:sz w:val="20"/>
                <w:szCs w:val="20"/>
              </w:rPr>
            </w:pPr>
            <w:r w:rsidRPr="00421A48">
              <w:rPr>
                <w:noProof/>
                <w:sz w:val="20"/>
                <w:szCs w:val="20"/>
              </w:rPr>
              <w:t>189</w:t>
            </w:r>
          </w:p>
        </w:tc>
        <w:tc>
          <w:tcPr>
            <w:tcW w:w="363" w:type="pct"/>
            <w:tcBorders>
              <w:top w:val="nil"/>
              <w:left w:val="nil"/>
              <w:bottom w:val="single" w:sz="4" w:space="0" w:color="auto"/>
              <w:right w:val="single" w:sz="4" w:space="0" w:color="auto"/>
            </w:tcBorders>
            <w:shd w:val="clear" w:color="auto" w:fill="FFFFFF" w:themeFill="background1"/>
            <w:noWrap/>
            <w:hideMark/>
          </w:tcPr>
          <w:p w14:paraId="740602ED" w14:textId="2F8B8E14" w:rsidR="00421A48" w:rsidRPr="00421A48" w:rsidRDefault="00421A48" w:rsidP="00421A48">
            <w:pPr>
              <w:jc w:val="right"/>
              <w:rPr>
                <w:noProof/>
                <w:sz w:val="20"/>
                <w:szCs w:val="20"/>
              </w:rPr>
            </w:pPr>
            <w:r w:rsidRPr="00421A48">
              <w:rPr>
                <w:noProof/>
                <w:sz w:val="20"/>
                <w:szCs w:val="20"/>
              </w:rPr>
              <w:t>75</w:t>
            </w:r>
          </w:p>
        </w:tc>
        <w:tc>
          <w:tcPr>
            <w:tcW w:w="364" w:type="pct"/>
            <w:tcBorders>
              <w:top w:val="nil"/>
              <w:left w:val="nil"/>
              <w:bottom w:val="single" w:sz="4" w:space="0" w:color="auto"/>
              <w:right w:val="single" w:sz="4" w:space="0" w:color="auto"/>
            </w:tcBorders>
            <w:shd w:val="clear" w:color="auto" w:fill="FFFFFF" w:themeFill="background1"/>
            <w:noWrap/>
            <w:hideMark/>
          </w:tcPr>
          <w:p w14:paraId="25AB407A" w14:textId="4CE5AAE2" w:rsidR="00421A48" w:rsidRPr="00421A48" w:rsidRDefault="00421A48" w:rsidP="00421A48">
            <w:pPr>
              <w:jc w:val="right"/>
              <w:rPr>
                <w:noProof/>
                <w:sz w:val="20"/>
                <w:szCs w:val="20"/>
              </w:rPr>
            </w:pPr>
            <w:r w:rsidRPr="00421A48">
              <w:rPr>
                <w:noProof/>
                <w:sz w:val="20"/>
                <w:szCs w:val="20"/>
              </w:rPr>
              <w:t>0</w:t>
            </w:r>
          </w:p>
        </w:tc>
      </w:tr>
      <w:tr w:rsidR="00E11073" w:rsidRPr="00EC4361" w14:paraId="457CA37E"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50B44F29" w14:textId="67690FEE" w:rsidR="00421A48" w:rsidRPr="004E336D" w:rsidRDefault="00421A48" w:rsidP="00421A48">
            <w:pPr>
              <w:rPr>
                <w:noProof/>
                <w:color w:val="000000"/>
                <w:sz w:val="20"/>
                <w:szCs w:val="20"/>
              </w:rPr>
            </w:pPr>
            <w:r w:rsidRPr="3FCE22BE">
              <w:rPr>
                <w:noProof/>
                <w:color w:val="000000" w:themeColor="text1"/>
                <w:sz w:val="20"/>
                <w:szCs w:val="20"/>
              </w:rPr>
              <w:t xml:space="preserve">Renegotiated agreements by </w:t>
            </w:r>
            <w:r>
              <w:rPr>
                <w:noProof/>
                <w:color w:val="000000" w:themeColor="text1"/>
                <w:sz w:val="20"/>
                <w:szCs w:val="20"/>
              </w:rPr>
              <w:t>non-SME</w:t>
            </w:r>
            <w:r w:rsidRPr="3FCE22BE">
              <w:rPr>
                <w:noProof/>
                <w:color w:val="000000" w:themeColor="text1"/>
                <w:sz w:val="20"/>
                <w:szCs w:val="20"/>
              </w:rPr>
              <w:t xml:space="preserve"> platforms (changes relative to the baseline)</w:t>
            </w:r>
          </w:p>
        </w:tc>
        <w:tc>
          <w:tcPr>
            <w:tcW w:w="363" w:type="pct"/>
            <w:tcBorders>
              <w:top w:val="nil"/>
              <w:left w:val="nil"/>
              <w:bottom w:val="single" w:sz="4" w:space="0" w:color="auto"/>
              <w:right w:val="single" w:sz="4" w:space="0" w:color="auto"/>
            </w:tcBorders>
            <w:shd w:val="clear" w:color="auto" w:fill="FFFFFF" w:themeFill="background1"/>
            <w:noWrap/>
            <w:hideMark/>
          </w:tcPr>
          <w:p w14:paraId="304DB0FC" w14:textId="48D08A5F" w:rsidR="00421A48" w:rsidRPr="00421A48" w:rsidRDefault="00421A48" w:rsidP="00421A48">
            <w:pPr>
              <w:jc w:val="right"/>
              <w:rPr>
                <w:noProof/>
                <w:sz w:val="20"/>
                <w:szCs w:val="20"/>
              </w:rPr>
            </w:pPr>
            <w:r w:rsidRPr="00421A48">
              <w:rPr>
                <w:noProof/>
                <w:sz w:val="20"/>
                <w:szCs w:val="20"/>
              </w:rPr>
              <w:t>0</w:t>
            </w:r>
          </w:p>
        </w:tc>
        <w:tc>
          <w:tcPr>
            <w:tcW w:w="364" w:type="pct"/>
            <w:tcBorders>
              <w:top w:val="nil"/>
              <w:left w:val="nil"/>
              <w:bottom w:val="single" w:sz="4" w:space="0" w:color="auto"/>
              <w:right w:val="single" w:sz="4" w:space="0" w:color="auto"/>
            </w:tcBorders>
            <w:shd w:val="clear" w:color="auto" w:fill="FFFFFF" w:themeFill="background1"/>
            <w:noWrap/>
            <w:hideMark/>
          </w:tcPr>
          <w:p w14:paraId="2F8B8C43" w14:textId="10D9661D" w:rsidR="00421A48" w:rsidRPr="00421A48" w:rsidRDefault="00421A48" w:rsidP="00421A48">
            <w:pPr>
              <w:jc w:val="right"/>
              <w:rPr>
                <w:noProof/>
                <w:sz w:val="20"/>
                <w:szCs w:val="20"/>
              </w:rPr>
            </w:pPr>
            <w:r w:rsidRPr="00421A48">
              <w:rPr>
                <w:noProof/>
                <w:sz w:val="20"/>
                <w:szCs w:val="20"/>
              </w:rPr>
              <w:t>50</w:t>
            </w:r>
          </w:p>
        </w:tc>
        <w:tc>
          <w:tcPr>
            <w:tcW w:w="363" w:type="pct"/>
            <w:tcBorders>
              <w:top w:val="nil"/>
              <w:left w:val="nil"/>
              <w:bottom w:val="single" w:sz="4" w:space="0" w:color="auto"/>
              <w:right w:val="single" w:sz="4" w:space="0" w:color="auto"/>
            </w:tcBorders>
            <w:shd w:val="clear" w:color="auto" w:fill="FFFFFF" w:themeFill="background1"/>
            <w:noWrap/>
            <w:hideMark/>
          </w:tcPr>
          <w:p w14:paraId="1790C294" w14:textId="4BB845C3" w:rsidR="00421A48" w:rsidRPr="00421A48" w:rsidRDefault="00421A48" w:rsidP="00421A48">
            <w:pPr>
              <w:jc w:val="right"/>
              <w:rPr>
                <w:noProof/>
                <w:sz w:val="20"/>
                <w:szCs w:val="20"/>
              </w:rPr>
            </w:pPr>
            <w:r w:rsidRPr="00421A48">
              <w:rPr>
                <w:noProof/>
                <w:sz w:val="20"/>
                <w:szCs w:val="20"/>
              </w:rPr>
              <w:t>223</w:t>
            </w:r>
          </w:p>
        </w:tc>
        <w:tc>
          <w:tcPr>
            <w:tcW w:w="364" w:type="pct"/>
            <w:tcBorders>
              <w:top w:val="nil"/>
              <w:left w:val="nil"/>
              <w:bottom w:val="single" w:sz="4" w:space="0" w:color="auto"/>
              <w:right w:val="single" w:sz="4" w:space="0" w:color="auto"/>
            </w:tcBorders>
            <w:shd w:val="clear" w:color="auto" w:fill="FFFFFF" w:themeFill="background1"/>
            <w:noWrap/>
            <w:hideMark/>
          </w:tcPr>
          <w:p w14:paraId="2785723F" w14:textId="34557DE1" w:rsidR="00421A48" w:rsidRPr="00421A48" w:rsidRDefault="00421A48" w:rsidP="00421A48">
            <w:pPr>
              <w:jc w:val="right"/>
              <w:rPr>
                <w:noProof/>
                <w:sz w:val="20"/>
                <w:szCs w:val="20"/>
              </w:rPr>
            </w:pPr>
            <w:r w:rsidRPr="00421A48">
              <w:rPr>
                <w:noProof/>
                <w:sz w:val="20"/>
                <w:szCs w:val="20"/>
              </w:rPr>
              <w:t>95</w:t>
            </w:r>
          </w:p>
        </w:tc>
      </w:tr>
      <w:tr w:rsidR="00E11073" w:rsidRPr="00EC4361" w14:paraId="4FD52AE2"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5998F2FC" w14:textId="77777777" w:rsidR="00421A48" w:rsidRPr="004E336D" w:rsidRDefault="00421A48" w:rsidP="00421A48">
            <w:pPr>
              <w:rPr>
                <w:noProof/>
                <w:color w:val="000000"/>
                <w:sz w:val="20"/>
                <w:szCs w:val="20"/>
              </w:rPr>
            </w:pPr>
            <w:r w:rsidRPr="3FCE22BE">
              <w:rPr>
                <w:noProof/>
                <w:color w:val="000000" w:themeColor="text1"/>
                <w:sz w:val="20"/>
                <w:szCs w:val="20"/>
              </w:rPr>
              <w:t>Renegotiated agreements by SME platforms (changes relative to the baseline)</w:t>
            </w:r>
          </w:p>
        </w:tc>
        <w:tc>
          <w:tcPr>
            <w:tcW w:w="363" w:type="pct"/>
            <w:tcBorders>
              <w:top w:val="nil"/>
              <w:left w:val="nil"/>
              <w:bottom w:val="single" w:sz="4" w:space="0" w:color="auto"/>
              <w:right w:val="single" w:sz="4" w:space="0" w:color="auto"/>
            </w:tcBorders>
            <w:shd w:val="clear" w:color="auto" w:fill="FFFFFF" w:themeFill="background1"/>
            <w:noWrap/>
            <w:hideMark/>
          </w:tcPr>
          <w:p w14:paraId="5BAEA20F" w14:textId="5C634CC8" w:rsidR="00421A48" w:rsidRPr="00421A48" w:rsidRDefault="00421A48" w:rsidP="00421A48">
            <w:pPr>
              <w:jc w:val="right"/>
              <w:rPr>
                <w:noProof/>
                <w:sz w:val="20"/>
                <w:szCs w:val="20"/>
              </w:rPr>
            </w:pPr>
            <w:r w:rsidRPr="00421A48">
              <w:rPr>
                <w:noProof/>
                <w:sz w:val="20"/>
                <w:szCs w:val="20"/>
              </w:rPr>
              <w:t>0</w:t>
            </w:r>
          </w:p>
        </w:tc>
        <w:tc>
          <w:tcPr>
            <w:tcW w:w="364" w:type="pct"/>
            <w:tcBorders>
              <w:top w:val="nil"/>
              <w:left w:val="nil"/>
              <w:bottom w:val="single" w:sz="4" w:space="0" w:color="auto"/>
              <w:right w:val="single" w:sz="4" w:space="0" w:color="auto"/>
            </w:tcBorders>
            <w:shd w:val="clear" w:color="auto" w:fill="FFFFFF" w:themeFill="background1"/>
            <w:noWrap/>
            <w:hideMark/>
          </w:tcPr>
          <w:p w14:paraId="558C0498" w14:textId="629F07CA" w:rsidR="00421A48" w:rsidRPr="00421A48" w:rsidRDefault="00421A48" w:rsidP="00421A48">
            <w:pPr>
              <w:jc w:val="right"/>
              <w:rPr>
                <w:noProof/>
                <w:sz w:val="20"/>
                <w:szCs w:val="20"/>
              </w:rPr>
            </w:pPr>
            <w:r w:rsidRPr="00421A48">
              <w:rPr>
                <w:noProof/>
                <w:sz w:val="20"/>
                <w:szCs w:val="20"/>
              </w:rPr>
              <w:t>126</w:t>
            </w:r>
          </w:p>
        </w:tc>
        <w:tc>
          <w:tcPr>
            <w:tcW w:w="363" w:type="pct"/>
            <w:tcBorders>
              <w:top w:val="nil"/>
              <w:left w:val="nil"/>
              <w:bottom w:val="single" w:sz="4" w:space="0" w:color="auto"/>
              <w:right w:val="single" w:sz="4" w:space="0" w:color="auto"/>
            </w:tcBorders>
            <w:shd w:val="clear" w:color="auto" w:fill="FFFFFF" w:themeFill="background1"/>
            <w:noWrap/>
            <w:hideMark/>
          </w:tcPr>
          <w:p w14:paraId="779931AD" w14:textId="724408A6" w:rsidR="00421A48" w:rsidRPr="00421A48" w:rsidRDefault="00421A48" w:rsidP="00421A48">
            <w:pPr>
              <w:jc w:val="right"/>
              <w:rPr>
                <w:noProof/>
                <w:sz w:val="20"/>
                <w:szCs w:val="20"/>
              </w:rPr>
            </w:pPr>
            <w:r w:rsidRPr="00421A48">
              <w:rPr>
                <w:noProof/>
                <w:sz w:val="20"/>
                <w:szCs w:val="20"/>
              </w:rPr>
              <w:t>566</w:t>
            </w:r>
          </w:p>
        </w:tc>
        <w:tc>
          <w:tcPr>
            <w:tcW w:w="364" w:type="pct"/>
            <w:tcBorders>
              <w:top w:val="nil"/>
              <w:left w:val="nil"/>
              <w:bottom w:val="single" w:sz="4" w:space="0" w:color="auto"/>
              <w:right w:val="single" w:sz="4" w:space="0" w:color="auto"/>
            </w:tcBorders>
            <w:shd w:val="clear" w:color="auto" w:fill="FFFFFF" w:themeFill="background1"/>
            <w:noWrap/>
            <w:hideMark/>
          </w:tcPr>
          <w:p w14:paraId="4B13C0B8" w14:textId="001EB8DB" w:rsidR="00421A48" w:rsidRPr="00421A48" w:rsidRDefault="00421A48" w:rsidP="00421A48">
            <w:pPr>
              <w:jc w:val="right"/>
              <w:rPr>
                <w:noProof/>
                <w:sz w:val="20"/>
                <w:szCs w:val="20"/>
              </w:rPr>
            </w:pPr>
            <w:r w:rsidRPr="00421A48">
              <w:rPr>
                <w:noProof/>
                <w:sz w:val="20"/>
                <w:szCs w:val="20"/>
              </w:rPr>
              <w:t>240</w:t>
            </w:r>
          </w:p>
        </w:tc>
      </w:tr>
      <w:tr w:rsidR="00E11073" w:rsidRPr="00EC4361" w14:paraId="4CEB91A1"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3FDB0A5A" w14:textId="449516EB" w:rsidR="00421A48" w:rsidRPr="004E336D" w:rsidRDefault="00421A48" w:rsidP="00421A48">
            <w:pPr>
              <w:rPr>
                <w:noProof/>
                <w:color w:val="000000"/>
                <w:sz w:val="20"/>
                <w:szCs w:val="20"/>
              </w:rPr>
            </w:pPr>
            <w:r w:rsidRPr="004E336D">
              <w:rPr>
                <w:noProof/>
                <w:color w:val="000000"/>
                <w:sz w:val="20"/>
                <w:szCs w:val="20"/>
              </w:rPr>
              <w:t xml:space="preserve">Total adjustment cost savings for </w:t>
            </w:r>
            <w:r>
              <w:rPr>
                <w:noProof/>
                <w:color w:val="000000"/>
                <w:sz w:val="20"/>
                <w:szCs w:val="20"/>
              </w:rPr>
              <w:t>non-SME</w:t>
            </w:r>
            <w:r w:rsidRPr="004E336D">
              <w:rPr>
                <w:noProof/>
                <w:color w:val="000000"/>
                <w:sz w:val="20"/>
                <w:szCs w:val="20"/>
              </w:rPr>
              <w:t xml:space="preserve"> platforms (million EUR)</w:t>
            </w:r>
          </w:p>
        </w:tc>
        <w:tc>
          <w:tcPr>
            <w:tcW w:w="363" w:type="pct"/>
            <w:tcBorders>
              <w:top w:val="nil"/>
              <w:left w:val="nil"/>
              <w:bottom w:val="single" w:sz="4" w:space="0" w:color="auto"/>
              <w:right w:val="single" w:sz="4" w:space="0" w:color="auto"/>
            </w:tcBorders>
            <w:shd w:val="clear" w:color="auto" w:fill="FFFFFF" w:themeFill="background1"/>
            <w:noWrap/>
            <w:hideMark/>
          </w:tcPr>
          <w:p w14:paraId="5128E7E6" w14:textId="4C8DB9F3" w:rsidR="00421A48" w:rsidRPr="00421A48" w:rsidRDefault="00421A48" w:rsidP="00421A48">
            <w:pPr>
              <w:jc w:val="right"/>
              <w:rPr>
                <w:noProof/>
                <w:sz w:val="20"/>
                <w:szCs w:val="20"/>
              </w:rPr>
            </w:pPr>
            <w:r w:rsidRPr="00E11073">
              <w:rPr>
                <w:noProof/>
                <w:sz w:val="20"/>
                <w:szCs w:val="20"/>
              </w:rPr>
              <w:t>0.0</w:t>
            </w:r>
          </w:p>
        </w:tc>
        <w:tc>
          <w:tcPr>
            <w:tcW w:w="364" w:type="pct"/>
            <w:tcBorders>
              <w:top w:val="nil"/>
              <w:left w:val="nil"/>
              <w:bottom w:val="single" w:sz="4" w:space="0" w:color="auto"/>
              <w:right w:val="single" w:sz="4" w:space="0" w:color="auto"/>
            </w:tcBorders>
            <w:shd w:val="clear" w:color="auto" w:fill="FFFFFF" w:themeFill="background1"/>
            <w:noWrap/>
            <w:hideMark/>
          </w:tcPr>
          <w:p w14:paraId="29554E27" w14:textId="0E99F4B4" w:rsidR="00421A48" w:rsidRPr="00421A48" w:rsidRDefault="00421A48" w:rsidP="00421A48">
            <w:pPr>
              <w:jc w:val="right"/>
              <w:rPr>
                <w:noProof/>
                <w:sz w:val="20"/>
                <w:szCs w:val="20"/>
              </w:rPr>
            </w:pPr>
            <w:r w:rsidRPr="00E11073">
              <w:rPr>
                <w:noProof/>
                <w:sz w:val="20"/>
                <w:szCs w:val="20"/>
              </w:rPr>
              <w:t>0.2</w:t>
            </w:r>
          </w:p>
        </w:tc>
        <w:tc>
          <w:tcPr>
            <w:tcW w:w="363" w:type="pct"/>
            <w:tcBorders>
              <w:top w:val="nil"/>
              <w:left w:val="nil"/>
              <w:bottom w:val="single" w:sz="4" w:space="0" w:color="auto"/>
              <w:right w:val="single" w:sz="4" w:space="0" w:color="auto"/>
            </w:tcBorders>
            <w:shd w:val="clear" w:color="auto" w:fill="FFFFFF" w:themeFill="background1"/>
            <w:noWrap/>
            <w:hideMark/>
          </w:tcPr>
          <w:p w14:paraId="48A401B6" w14:textId="0B5A4156" w:rsidR="00421A48" w:rsidRPr="00421A48" w:rsidRDefault="00421A48" w:rsidP="00421A48">
            <w:pPr>
              <w:jc w:val="right"/>
              <w:rPr>
                <w:noProof/>
                <w:sz w:val="20"/>
                <w:szCs w:val="20"/>
              </w:rPr>
            </w:pPr>
            <w:r w:rsidRPr="00E11073">
              <w:rPr>
                <w:noProof/>
                <w:sz w:val="20"/>
                <w:szCs w:val="20"/>
              </w:rPr>
              <w:t>0.3</w:t>
            </w:r>
          </w:p>
        </w:tc>
        <w:tc>
          <w:tcPr>
            <w:tcW w:w="364" w:type="pct"/>
            <w:tcBorders>
              <w:top w:val="nil"/>
              <w:left w:val="nil"/>
              <w:bottom w:val="single" w:sz="4" w:space="0" w:color="auto"/>
              <w:right w:val="single" w:sz="4" w:space="0" w:color="auto"/>
            </w:tcBorders>
            <w:shd w:val="clear" w:color="auto" w:fill="FFFFFF" w:themeFill="background1"/>
            <w:noWrap/>
            <w:hideMark/>
          </w:tcPr>
          <w:p w14:paraId="56E29143" w14:textId="42923E0C" w:rsidR="00421A48" w:rsidRPr="00421A48" w:rsidRDefault="00421A48" w:rsidP="00421A48">
            <w:pPr>
              <w:jc w:val="right"/>
              <w:rPr>
                <w:noProof/>
                <w:sz w:val="20"/>
                <w:szCs w:val="20"/>
              </w:rPr>
            </w:pPr>
            <w:r w:rsidRPr="00E11073">
              <w:rPr>
                <w:noProof/>
                <w:sz w:val="20"/>
                <w:szCs w:val="20"/>
              </w:rPr>
              <w:t>0.1</w:t>
            </w:r>
          </w:p>
        </w:tc>
      </w:tr>
      <w:tr w:rsidR="00E11073" w:rsidRPr="00EC4361" w14:paraId="68B8EA72"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043EA29C" w14:textId="77777777" w:rsidR="00421A48" w:rsidRPr="004E336D" w:rsidRDefault="00421A48" w:rsidP="00421A48">
            <w:pPr>
              <w:rPr>
                <w:noProof/>
                <w:color w:val="000000"/>
                <w:sz w:val="20"/>
                <w:szCs w:val="20"/>
              </w:rPr>
            </w:pPr>
            <w:r w:rsidRPr="004E336D">
              <w:rPr>
                <w:noProof/>
                <w:color w:val="000000"/>
                <w:sz w:val="20"/>
                <w:szCs w:val="20"/>
              </w:rPr>
              <w:t>Total adjustment cost savings for SME platforms (million EUR)</w:t>
            </w:r>
          </w:p>
        </w:tc>
        <w:tc>
          <w:tcPr>
            <w:tcW w:w="363" w:type="pct"/>
            <w:tcBorders>
              <w:top w:val="nil"/>
              <w:left w:val="nil"/>
              <w:bottom w:val="single" w:sz="4" w:space="0" w:color="auto"/>
              <w:right w:val="single" w:sz="4" w:space="0" w:color="auto"/>
            </w:tcBorders>
            <w:shd w:val="clear" w:color="auto" w:fill="FFFFFF" w:themeFill="background1"/>
            <w:noWrap/>
            <w:hideMark/>
          </w:tcPr>
          <w:p w14:paraId="71F0FB55" w14:textId="2A7599C6" w:rsidR="00421A48" w:rsidRPr="00421A48" w:rsidRDefault="00421A48" w:rsidP="00421A48">
            <w:pPr>
              <w:jc w:val="right"/>
              <w:rPr>
                <w:noProof/>
                <w:sz w:val="20"/>
                <w:szCs w:val="20"/>
              </w:rPr>
            </w:pPr>
            <w:r w:rsidRPr="00E11073">
              <w:rPr>
                <w:noProof/>
                <w:sz w:val="20"/>
                <w:szCs w:val="20"/>
              </w:rPr>
              <w:t>0.0</w:t>
            </w:r>
          </w:p>
        </w:tc>
        <w:tc>
          <w:tcPr>
            <w:tcW w:w="364" w:type="pct"/>
            <w:tcBorders>
              <w:top w:val="nil"/>
              <w:left w:val="nil"/>
              <w:bottom w:val="single" w:sz="4" w:space="0" w:color="auto"/>
              <w:right w:val="single" w:sz="4" w:space="0" w:color="auto"/>
            </w:tcBorders>
            <w:shd w:val="clear" w:color="auto" w:fill="FFFFFF" w:themeFill="background1"/>
            <w:noWrap/>
            <w:hideMark/>
          </w:tcPr>
          <w:p w14:paraId="44E6E2B7" w14:textId="13BF81A1" w:rsidR="00421A48" w:rsidRPr="00421A48" w:rsidRDefault="00421A48" w:rsidP="00421A48">
            <w:pPr>
              <w:jc w:val="right"/>
              <w:rPr>
                <w:noProof/>
                <w:sz w:val="20"/>
                <w:szCs w:val="20"/>
              </w:rPr>
            </w:pPr>
            <w:r w:rsidRPr="00E11073">
              <w:rPr>
                <w:noProof/>
                <w:sz w:val="20"/>
                <w:szCs w:val="20"/>
              </w:rPr>
              <w:t>0.5</w:t>
            </w:r>
          </w:p>
        </w:tc>
        <w:tc>
          <w:tcPr>
            <w:tcW w:w="363" w:type="pct"/>
            <w:tcBorders>
              <w:top w:val="nil"/>
              <w:left w:val="nil"/>
              <w:bottom w:val="single" w:sz="4" w:space="0" w:color="auto"/>
              <w:right w:val="single" w:sz="4" w:space="0" w:color="auto"/>
            </w:tcBorders>
            <w:shd w:val="clear" w:color="auto" w:fill="FFFFFF" w:themeFill="background1"/>
            <w:noWrap/>
            <w:hideMark/>
          </w:tcPr>
          <w:p w14:paraId="6894639D" w14:textId="1080D0C9" w:rsidR="00421A48" w:rsidRPr="00421A48" w:rsidRDefault="00421A48" w:rsidP="00421A48">
            <w:pPr>
              <w:jc w:val="right"/>
              <w:rPr>
                <w:noProof/>
                <w:sz w:val="20"/>
                <w:szCs w:val="20"/>
              </w:rPr>
            </w:pPr>
            <w:r w:rsidRPr="00E11073">
              <w:rPr>
                <w:noProof/>
                <w:sz w:val="20"/>
                <w:szCs w:val="20"/>
              </w:rPr>
              <w:t>0.8</w:t>
            </w:r>
          </w:p>
        </w:tc>
        <w:tc>
          <w:tcPr>
            <w:tcW w:w="364" w:type="pct"/>
            <w:tcBorders>
              <w:top w:val="nil"/>
              <w:left w:val="nil"/>
              <w:bottom w:val="single" w:sz="4" w:space="0" w:color="auto"/>
              <w:right w:val="single" w:sz="4" w:space="0" w:color="auto"/>
            </w:tcBorders>
            <w:shd w:val="clear" w:color="auto" w:fill="FFFFFF" w:themeFill="background1"/>
            <w:noWrap/>
            <w:hideMark/>
          </w:tcPr>
          <w:p w14:paraId="1FBE75C6" w14:textId="0482DE47" w:rsidR="00421A48" w:rsidRPr="00421A48" w:rsidRDefault="00421A48" w:rsidP="00421A48">
            <w:pPr>
              <w:jc w:val="right"/>
              <w:rPr>
                <w:noProof/>
                <w:sz w:val="20"/>
                <w:szCs w:val="20"/>
              </w:rPr>
            </w:pPr>
            <w:r w:rsidRPr="00E11073">
              <w:rPr>
                <w:noProof/>
                <w:sz w:val="20"/>
                <w:szCs w:val="20"/>
              </w:rPr>
              <w:t>0.3</w:t>
            </w:r>
          </w:p>
        </w:tc>
      </w:tr>
      <w:tr w:rsidR="00E11073" w:rsidRPr="00EC4361" w14:paraId="7F1A0718"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1906F620" w14:textId="77777777" w:rsidR="00421A48" w:rsidRPr="004E336D" w:rsidRDefault="00421A48" w:rsidP="00421A48">
            <w:pPr>
              <w:rPr>
                <w:b/>
                <w:noProof/>
                <w:color w:val="000000"/>
                <w:sz w:val="20"/>
                <w:szCs w:val="20"/>
              </w:rPr>
            </w:pPr>
            <w:r w:rsidRPr="004E336D">
              <w:rPr>
                <w:b/>
                <w:noProof/>
                <w:color w:val="000000"/>
                <w:sz w:val="20"/>
                <w:szCs w:val="20"/>
              </w:rPr>
              <w:t>PO2</w:t>
            </w:r>
          </w:p>
        </w:tc>
        <w:tc>
          <w:tcPr>
            <w:tcW w:w="363" w:type="pct"/>
            <w:tcBorders>
              <w:top w:val="nil"/>
              <w:left w:val="nil"/>
              <w:bottom w:val="single" w:sz="4" w:space="0" w:color="auto"/>
              <w:right w:val="single" w:sz="4" w:space="0" w:color="auto"/>
            </w:tcBorders>
            <w:shd w:val="clear" w:color="auto" w:fill="FFFFFF" w:themeFill="background1"/>
            <w:noWrap/>
            <w:hideMark/>
          </w:tcPr>
          <w:p w14:paraId="3B1CF3E1" w14:textId="7B5C2DE7" w:rsidR="00421A48" w:rsidRPr="00421A48" w:rsidRDefault="00421A48" w:rsidP="00421A48">
            <w:pPr>
              <w:rPr>
                <w:noProof/>
                <w:sz w:val="20"/>
                <w:szCs w:val="20"/>
              </w:rPr>
            </w:pPr>
            <w:r w:rsidRPr="00421A48">
              <w:rPr>
                <w:noProof/>
                <w:sz w:val="20"/>
                <w:szCs w:val="20"/>
              </w:rPr>
              <w:t> </w:t>
            </w:r>
          </w:p>
        </w:tc>
        <w:tc>
          <w:tcPr>
            <w:tcW w:w="364" w:type="pct"/>
            <w:tcBorders>
              <w:top w:val="nil"/>
              <w:left w:val="nil"/>
              <w:bottom w:val="single" w:sz="4" w:space="0" w:color="auto"/>
              <w:right w:val="single" w:sz="4" w:space="0" w:color="auto"/>
            </w:tcBorders>
            <w:shd w:val="clear" w:color="auto" w:fill="FFFFFF" w:themeFill="background1"/>
            <w:noWrap/>
            <w:hideMark/>
          </w:tcPr>
          <w:p w14:paraId="60C4D8CD" w14:textId="07C37983" w:rsidR="00421A48" w:rsidRPr="00421A48" w:rsidRDefault="00421A48" w:rsidP="00421A48">
            <w:pPr>
              <w:rPr>
                <w:noProof/>
                <w:sz w:val="20"/>
                <w:szCs w:val="20"/>
              </w:rPr>
            </w:pPr>
            <w:r w:rsidRPr="00421A48">
              <w:rPr>
                <w:noProof/>
                <w:sz w:val="20"/>
                <w:szCs w:val="20"/>
              </w:rPr>
              <w:t> </w:t>
            </w:r>
          </w:p>
        </w:tc>
        <w:tc>
          <w:tcPr>
            <w:tcW w:w="363" w:type="pct"/>
            <w:tcBorders>
              <w:top w:val="nil"/>
              <w:left w:val="nil"/>
              <w:bottom w:val="single" w:sz="4" w:space="0" w:color="auto"/>
              <w:right w:val="single" w:sz="4" w:space="0" w:color="auto"/>
            </w:tcBorders>
            <w:shd w:val="clear" w:color="auto" w:fill="FFFFFF" w:themeFill="background1"/>
            <w:noWrap/>
            <w:hideMark/>
          </w:tcPr>
          <w:p w14:paraId="7ABE170C" w14:textId="74888555" w:rsidR="00421A48" w:rsidRPr="00421A48" w:rsidRDefault="00421A48" w:rsidP="00421A48">
            <w:pPr>
              <w:rPr>
                <w:noProof/>
                <w:sz w:val="20"/>
                <w:szCs w:val="20"/>
              </w:rPr>
            </w:pPr>
            <w:r w:rsidRPr="00421A48">
              <w:rPr>
                <w:noProof/>
                <w:sz w:val="20"/>
                <w:szCs w:val="20"/>
              </w:rPr>
              <w:t> </w:t>
            </w:r>
          </w:p>
        </w:tc>
        <w:tc>
          <w:tcPr>
            <w:tcW w:w="364" w:type="pct"/>
            <w:tcBorders>
              <w:top w:val="nil"/>
              <w:left w:val="nil"/>
              <w:bottom w:val="single" w:sz="4" w:space="0" w:color="auto"/>
              <w:right w:val="single" w:sz="4" w:space="0" w:color="auto"/>
            </w:tcBorders>
            <w:shd w:val="clear" w:color="auto" w:fill="FFFFFF" w:themeFill="background1"/>
            <w:noWrap/>
            <w:hideMark/>
          </w:tcPr>
          <w:p w14:paraId="69871ABF" w14:textId="49AB0F72" w:rsidR="00421A48" w:rsidRPr="00421A48" w:rsidRDefault="00421A48" w:rsidP="00421A48">
            <w:pPr>
              <w:rPr>
                <w:noProof/>
                <w:sz w:val="20"/>
                <w:szCs w:val="20"/>
              </w:rPr>
            </w:pPr>
            <w:r w:rsidRPr="00421A48">
              <w:rPr>
                <w:noProof/>
                <w:sz w:val="20"/>
                <w:szCs w:val="20"/>
              </w:rPr>
              <w:t> </w:t>
            </w:r>
          </w:p>
        </w:tc>
      </w:tr>
      <w:tr w:rsidR="00E11073" w:rsidRPr="00EC4361" w14:paraId="7907E8F9"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248F31A3" w14:textId="269D2012" w:rsidR="00421A48" w:rsidRPr="004E336D" w:rsidRDefault="00421A48" w:rsidP="00421A48">
            <w:pPr>
              <w:rPr>
                <w:noProof/>
                <w:color w:val="000000"/>
                <w:sz w:val="20"/>
                <w:szCs w:val="20"/>
              </w:rPr>
            </w:pPr>
            <w:r w:rsidRPr="3FCE22BE">
              <w:rPr>
                <w:noProof/>
                <w:color w:val="000000" w:themeColor="text1"/>
                <w:sz w:val="20"/>
                <w:szCs w:val="20"/>
              </w:rPr>
              <w:t xml:space="preserve">New agreements by </w:t>
            </w:r>
            <w:r>
              <w:rPr>
                <w:noProof/>
                <w:color w:val="000000" w:themeColor="text1"/>
                <w:sz w:val="20"/>
                <w:szCs w:val="20"/>
              </w:rPr>
              <w:t>non-SME</w:t>
            </w:r>
            <w:r w:rsidRPr="3FCE22BE">
              <w:rPr>
                <w:noProof/>
                <w:color w:val="000000" w:themeColor="text1"/>
                <w:sz w:val="20"/>
                <w:szCs w:val="20"/>
              </w:rPr>
              <w:t xml:space="preserve"> platforms (changes relative to the baseline)</w:t>
            </w:r>
          </w:p>
        </w:tc>
        <w:tc>
          <w:tcPr>
            <w:tcW w:w="363" w:type="pct"/>
            <w:tcBorders>
              <w:top w:val="nil"/>
              <w:left w:val="nil"/>
              <w:bottom w:val="single" w:sz="4" w:space="0" w:color="auto"/>
              <w:right w:val="single" w:sz="4" w:space="0" w:color="auto"/>
            </w:tcBorders>
            <w:shd w:val="clear" w:color="auto" w:fill="FFFFFF" w:themeFill="background1"/>
            <w:noWrap/>
            <w:hideMark/>
          </w:tcPr>
          <w:p w14:paraId="246FEEE4" w14:textId="382E50A8" w:rsidR="00421A48" w:rsidRPr="00421A48" w:rsidRDefault="00421A48" w:rsidP="00421A48">
            <w:pPr>
              <w:jc w:val="right"/>
              <w:rPr>
                <w:noProof/>
                <w:sz w:val="20"/>
                <w:szCs w:val="20"/>
              </w:rPr>
            </w:pPr>
            <w:r w:rsidRPr="00421A48">
              <w:rPr>
                <w:noProof/>
                <w:sz w:val="20"/>
                <w:szCs w:val="20"/>
              </w:rPr>
              <w:t>1,483</w:t>
            </w:r>
          </w:p>
        </w:tc>
        <w:tc>
          <w:tcPr>
            <w:tcW w:w="364" w:type="pct"/>
            <w:tcBorders>
              <w:top w:val="nil"/>
              <w:left w:val="nil"/>
              <w:bottom w:val="single" w:sz="4" w:space="0" w:color="auto"/>
              <w:right w:val="single" w:sz="4" w:space="0" w:color="auto"/>
            </w:tcBorders>
            <w:shd w:val="clear" w:color="auto" w:fill="FFFFFF" w:themeFill="background1"/>
            <w:noWrap/>
            <w:hideMark/>
          </w:tcPr>
          <w:p w14:paraId="752C6EE7" w14:textId="1AF31351" w:rsidR="00421A48" w:rsidRPr="00421A48" w:rsidRDefault="00421A48" w:rsidP="00421A48">
            <w:pPr>
              <w:jc w:val="right"/>
              <w:rPr>
                <w:noProof/>
                <w:sz w:val="20"/>
                <w:szCs w:val="20"/>
              </w:rPr>
            </w:pPr>
            <w:r w:rsidRPr="00421A48">
              <w:rPr>
                <w:noProof/>
                <w:sz w:val="20"/>
                <w:szCs w:val="20"/>
              </w:rPr>
              <w:t>276</w:t>
            </w:r>
          </w:p>
        </w:tc>
        <w:tc>
          <w:tcPr>
            <w:tcW w:w="363" w:type="pct"/>
            <w:tcBorders>
              <w:top w:val="nil"/>
              <w:left w:val="nil"/>
              <w:bottom w:val="single" w:sz="4" w:space="0" w:color="auto"/>
              <w:right w:val="single" w:sz="4" w:space="0" w:color="auto"/>
            </w:tcBorders>
            <w:shd w:val="clear" w:color="auto" w:fill="FFFFFF" w:themeFill="background1"/>
            <w:noWrap/>
            <w:hideMark/>
          </w:tcPr>
          <w:p w14:paraId="44A77819" w14:textId="16E10DD7" w:rsidR="00421A48" w:rsidRPr="00421A48" w:rsidRDefault="00421A48" w:rsidP="00421A48">
            <w:pPr>
              <w:jc w:val="right"/>
              <w:rPr>
                <w:noProof/>
                <w:sz w:val="20"/>
                <w:szCs w:val="20"/>
              </w:rPr>
            </w:pPr>
            <w:r w:rsidRPr="00421A48">
              <w:rPr>
                <w:noProof/>
                <w:sz w:val="20"/>
                <w:szCs w:val="20"/>
              </w:rPr>
              <w:t>481</w:t>
            </w:r>
          </w:p>
        </w:tc>
        <w:tc>
          <w:tcPr>
            <w:tcW w:w="364" w:type="pct"/>
            <w:tcBorders>
              <w:top w:val="nil"/>
              <w:left w:val="nil"/>
              <w:bottom w:val="single" w:sz="4" w:space="0" w:color="auto"/>
              <w:right w:val="single" w:sz="4" w:space="0" w:color="auto"/>
            </w:tcBorders>
            <w:shd w:val="clear" w:color="auto" w:fill="FFFFFF" w:themeFill="background1"/>
            <w:noWrap/>
            <w:hideMark/>
          </w:tcPr>
          <w:p w14:paraId="67B72B60" w14:textId="52DCA195" w:rsidR="00421A48" w:rsidRPr="00421A48" w:rsidRDefault="00421A48" w:rsidP="00421A48">
            <w:pPr>
              <w:jc w:val="right"/>
              <w:rPr>
                <w:noProof/>
                <w:sz w:val="20"/>
                <w:szCs w:val="20"/>
              </w:rPr>
            </w:pPr>
            <w:r w:rsidRPr="00421A48">
              <w:rPr>
                <w:noProof/>
                <w:sz w:val="20"/>
                <w:szCs w:val="20"/>
              </w:rPr>
              <w:t>0</w:t>
            </w:r>
          </w:p>
        </w:tc>
      </w:tr>
      <w:tr w:rsidR="00E11073" w:rsidRPr="00EC4361" w14:paraId="7A28DFD2"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3F819643" w14:textId="77777777" w:rsidR="00421A48" w:rsidRPr="004E336D" w:rsidRDefault="00421A48" w:rsidP="00421A48">
            <w:pPr>
              <w:rPr>
                <w:noProof/>
                <w:color w:val="000000"/>
                <w:sz w:val="20"/>
                <w:szCs w:val="20"/>
              </w:rPr>
            </w:pPr>
            <w:r w:rsidRPr="3FCE22BE">
              <w:rPr>
                <w:noProof/>
                <w:color w:val="000000" w:themeColor="text1"/>
                <w:sz w:val="20"/>
                <w:szCs w:val="20"/>
              </w:rPr>
              <w:t>New agreements by SME platforms (changes relative to the baseline)</w:t>
            </w:r>
          </w:p>
        </w:tc>
        <w:tc>
          <w:tcPr>
            <w:tcW w:w="363" w:type="pct"/>
            <w:tcBorders>
              <w:top w:val="nil"/>
              <w:left w:val="nil"/>
              <w:bottom w:val="single" w:sz="4" w:space="0" w:color="auto"/>
              <w:right w:val="single" w:sz="4" w:space="0" w:color="auto"/>
            </w:tcBorders>
            <w:shd w:val="clear" w:color="auto" w:fill="FFFFFF" w:themeFill="background1"/>
            <w:noWrap/>
            <w:hideMark/>
          </w:tcPr>
          <w:p w14:paraId="696E6147" w14:textId="575E1968" w:rsidR="00421A48" w:rsidRPr="00421A48" w:rsidRDefault="00421A48" w:rsidP="00421A48">
            <w:pPr>
              <w:jc w:val="right"/>
              <w:rPr>
                <w:noProof/>
                <w:sz w:val="20"/>
                <w:szCs w:val="20"/>
              </w:rPr>
            </w:pPr>
            <w:r w:rsidRPr="00421A48">
              <w:rPr>
                <w:noProof/>
                <w:sz w:val="20"/>
                <w:szCs w:val="20"/>
              </w:rPr>
              <w:t>2,642</w:t>
            </w:r>
          </w:p>
        </w:tc>
        <w:tc>
          <w:tcPr>
            <w:tcW w:w="364" w:type="pct"/>
            <w:tcBorders>
              <w:top w:val="nil"/>
              <w:left w:val="nil"/>
              <w:bottom w:val="single" w:sz="4" w:space="0" w:color="auto"/>
              <w:right w:val="single" w:sz="4" w:space="0" w:color="auto"/>
            </w:tcBorders>
            <w:shd w:val="clear" w:color="auto" w:fill="FFFFFF" w:themeFill="background1"/>
            <w:noWrap/>
            <w:hideMark/>
          </w:tcPr>
          <w:p w14:paraId="4A96D1EF" w14:textId="697F88EF" w:rsidR="00421A48" w:rsidRPr="00421A48" w:rsidRDefault="00421A48" w:rsidP="00421A48">
            <w:pPr>
              <w:jc w:val="right"/>
              <w:rPr>
                <w:noProof/>
                <w:sz w:val="20"/>
                <w:szCs w:val="20"/>
              </w:rPr>
            </w:pPr>
            <w:r w:rsidRPr="00421A48">
              <w:rPr>
                <w:noProof/>
                <w:sz w:val="20"/>
                <w:szCs w:val="20"/>
              </w:rPr>
              <w:t>662</w:t>
            </w:r>
          </w:p>
        </w:tc>
        <w:tc>
          <w:tcPr>
            <w:tcW w:w="363" w:type="pct"/>
            <w:tcBorders>
              <w:top w:val="nil"/>
              <w:left w:val="nil"/>
              <w:bottom w:val="single" w:sz="4" w:space="0" w:color="auto"/>
              <w:right w:val="single" w:sz="4" w:space="0" w:color="auto"/>
            </w:tcBorders>
            <w:shd w:val="clear" w:color="auto" w:fill="FFFFFF" w:themeFill="background1"/>
            <w:noWrap/>
            <w:hideMark/>
          </w:tcPr>
          <w:p w14:paraId="1700A24E" w14:textId="73F35279" w:rsidR="00421A48" w:rsidRPr="00421A48" w:rsidRDefault="00421A48" w:rsidP="00421A48">
            <w:pPr>
              <w:jc w:val="right"/>
              <w:rPr>
                <w:noProof/>
                <w:sz w:val="20"/>
                <w:szCs w:val="20"/>
              </w:rPr>
            </w:pPr>
            <w:r w:rsidRPr="00421A48">
              <w:rPr>
                <w:noProof/>
                <w:sz w:val="20"/>
                <w:szCs w:val="20"/>
              </w:rPr>
              <w:t>1,158</w:t>
            </w:r>
          </w:p>
        </w:tc>
        <w:tc>
          <w:tcPr>
            <w:tcW w:w="364" w:type="pct"/>
            <w:tcBorders>
              <w:top w:val="nil"/>
              <w:left w:val="nil"/>
              <w:bottom w:val="single" w:sz="4" w:space="0" w:color="auto"/>
              <w:right w:val="single" w:sz="4" w:space="0" w:color="auto"/>
            </w:tcBorders>
            <w:shd w:val="clear" w:color="auto" w:fill="FFFFFF" w:themeFill="background1"/>
            <w:noWrap/>
            <w:hideMark/>
          </w:tcPr>
          <w:p w14:paraId="0E5F5412" w14:textId="58AFD874" w:rsidR="00421A48" w:rsidRPr="00421A48" w:rsidRDefault="00421A48" w:rsidP="00421A48">
            <w:pPr>
              <w:jc w:val="right"/>
              <w:rPr>
                <w:noProof/>
                <w:sz w:val="20"/>
                <w:szCs w:val="20"/>
              </w:rPr>
            </w:pPr>
            <w:r w:rsidRPr="00421A48">
              <w:rPr>
                <w:noProof/>
                <w:sz w:val="20"/>
                <w:szCs w:val="20"/>
              </w:rPr>
              <w:t>0</w:t>
            </w:r>
          </w:p>
        </w:tc>
      </w:tr>
      <w:tr w:rsidR="00E11073" w:rsidRPr="00EC4361" w14:paraId="4644C7D5"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0D1F7EB7" w14:textId="6E8D6DAB" w:rsidR="00421A48" w:rsidRPr="004E336D" w:rsidRDefault="00421A48" w:rsidP="00421A48">
            <w:pPr>
              <w:rPr>
                <w:noProof/>
                <w:color w:val="000000"/>
                <w:sz w:val="20"/>
                <w:szCs w:val="20"/>
              </w:rPr>
            </w:pPr>
            <w:r w:rsidRPr="3FCE22BE">
              <w:rPr>
                <w:noProof/>
                <w:color w:val="000000" w:themeColor="text1"/>
                <w:sz w:val="20"/>
                <w:szCs w:val="20"/>
              </w:rPr>
              <w:t xml:space="preserve">Renegotiated agreements by </w:t>
            </w:r>
            <w:r>
              <w:rPr>
                <w:noProof/>
                <w:color w:val="000000" w:themeColor="text1"/>
                <w:sz w:val="20"/>
                <w:szCs w:val="20"/>
              </w:rPr>
              <w:t>non-SME</w:t>
            </w:r>
            <w:r w:rsidRPr="3FCE22BE">
              <w:rPr>
                <w:noProof/>
                <w:color w:val="000000" w:themeColor="text1"/>
                <w:sz w:val="20"/>
                <w:szCs w:val="20"/>
              </w:rPr>
              <w:t xml:space="preserve"> platforms (changes relative to the baseline)</w:t>
            </w:r>
          </w:p>
        </w:tc>
        <w:tc>
          <w:tcPr>
            <w:tcW w:w="363" w:type="pct"/>
            <w:tcBorders>
              <w:top w:val="nil"/>
              <w:left w:val="nil"/>
              <w:bottom w:val="single" w:sz="4" w:space="0" w:color="auto"/>
              <w:right w:val="single" w:sz="4" w:space="0" w:color="auto"/>
            </w:tcBorders>
            <w:shd w:val="clear" w:color="auto" w:fill="FFFFFF" w:themeFill="background1"/>
            <w:noWrap/>
            <w:hideMark/>
          </w:tcPr>
          <w:p w14:paraId="0C4CFD0A" w14:textId="1C736D9D" w:rsidR="00421A48" w:rsidRPr="00421A48" w:rsidRDefault="00421A48" w:rsidP="00421A48">
            <w:pPr>
              <w:jc w:val="right"/>
              <w:rPr>
                <w:noProof/>
                <w:sz w:val="20"/>
                <w:szCs w:val="20"/>
              </w:rPr>
            </w:pPr>
            <w:r w:rsidRPr="00421A48">
              <w:rPr>
                <w:noProof/>
                <w:sz w:val="20"/>
                <w:szCs w:val="20"/>
              </w:rPr>
              <w:t>494</w:t>
            </w:r>
          </w:p>
        </w:tc>
        <w:tc>
          <w:tcPr>
            <w:tcW w:w="364" w:type="pct"/>
            <w:tcBorders>
              <w:top w:val="nil"/>
              <w:left w:val="nil"/>
              <w:bottom w:val="single" w:sz="4" w:space="0" w:color="auto"/>
              <w:right w:val="single" w:sz="4" w:space="0" w:color="auto"/>
            </w:tcBorders>
            <w:shd w:val="clear" w:color="auto" w:fill="FFFFFF" w:themeFill="background1"/>
            <w:noWrap/>
            <w:hideMark/>
          </w:tcPr>
          <w:p w14:paraId="009411D9" w14:textId="3DA80498" w:rsidR="00421A48" w:rsidRPr="00421A48" w:rsidRDefault="00421A48" w:rsidP="00421A48">
            <w:pPr>
              <w:jc w:val="right"/>
              <w:rPr>
                <w:noProof/>
                <w:sz w:val="20"/>
                <w:szCs w:val="20"/>
              </w:rPr>
            </w:pPr>
            <w:r w:rsidRPr="00421A48">
              <w:rPr>
                <w:noProof/>
                <w:sz w:val="20"/>
                <w:szCs w:val="20"/>
              </w:rPr>
              <w:t>678</w:t>
            </w:r>
          </w:p>
        </w:tc>
        <w:tc>
          <w:tcPr>
            <w:tcW w:w="363" w:type="pct"/>
            <w:tcBorders>
              <w:top w:val="nil"/>
              <w:left w:val="nil"/>
              <w:bottom w:val="single" w:sz="4" w:space="0" w:color="auto"/>
              <w:right w:val="single" w:sz="4" w:space="0" w:color="auto"/>
            </w:tcBorders>
            <w:shd w:val="clear" w:color="auto" w:fill="FFFFFF" w:themeFill="background1"/>
            <w:noWrap/>
            <w:hideMark/>
          </w:tcPr>
          <w:p w14:paraId="4B7D6190" w14:textId="726118DD" w:rsidR="00421A48" w:rsidRPr="00421A48" w:rsidRDefault="00421A48" w:rsidP="00421A48">
            <w:pPr>
              <w:jc w:val="right"/>
              <w:rPr>
                <w:noProof/>
                <w:sz w:val="20"/>
                <w:szCs w:val="20"/>
              </w:rPr>
            </w:pPr>
            <w:r w:rsidRPr="00421A48">
              <w:rPr>
                <w:noProof/>
                <w:sz w:val="20"/>
                <w:szCs w:val="20"/>
              </w:rPr>
              <w:t>2,281</w:t>
            </w:r>
          </w:p>
        </w:tc>
        <w:tc>
          <w:tcPr>
            <w:tcW w:w="364" w:type="pct"/>
            <w:tcBorders>
              <w:top w:val="nil"/>
              <w:left w:val="nil"/>
              <w:bottom w:val="single" w:sz="4" w:space="0" w:color="auto"/>
              <w:right w:val="single" w:sz="4" w:space="0" w:color="auto"/>
            </w:tcBorders>
            <w:shd w:val="clear" w:color="auto" w:fill="FFFFFF" w:themeFill="background1"/>
            <w:noWrap/>
            <w:hideMark/>
          </w:tcPr>
          <w:p w14:paraId="24149FD7" w14:textId="3676A01C" w:rsidR="00421A48" w:rsidRPr="00421A48" w:rsidRDefault="00421A48" w:rsidP="00421A48">
            <w:pPr>
              <w:jc w:val="right"/>
              <w:rPr>
                <w:noProof/>
                <w:sz w:val="20"/>
                <w:szCs w:val="20"/>
              </w:rPr>
            </w:pPr>
            <w:r w:rsidRPr="00421A48">
              <w:rPr>
                <w:noProof/>
                <w:sz w:val="20"/>
                <w:szCs w:val="20"/>
              </w:rPr>
              <w:t>1,857</w:t>
            </w:r>
          </w:p>
        </w:tc>
      </w:tr>
      <w:tr w:rsidR="00E11073" w:rsidRPr="00EC4361" w14:paraId="4C1B18EC"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57B31038" w14:textId="77777777" w:rsidR="00421A48" w:rsidRPr="004E336D" w:rsidRDefault="00421A48" w:rsidP="00421A48">
            <w:pPr>
              <w:rPr>
                <w:noProof/>
                <w:color w:val="000000"/>
                <w:sz w:val="20"/>
                <w:szCs w:val="20"/>
              </w:rPr>
            </w:pPr>
            <w:r w:rsidRPr="3FCE22BE">
              <w:rPr>
                <w:noProof/>
                <w:color w:val="000000" w:themeColor="text1"/>
                <w:sz w:val="20"/>
                <w:szCs w:val="20"/>
              </w:rPr>
              <w:t>Renegotiated agreements by SME platforms (changes relative to the baseline)</w:t>
            </w:r>
          </w:p>
        </w:tc>
        <w:tc>
          <w:tcPr>
            <w:tcW w:w="363" w:type="pct"/>
            <w:tcBorders>
              <w:top w:val="nil"/>
              <w:left w:val="nil"/>
              <w:bottom w:val="single" w:sz="4" w:space="0" w:color="auto"/>
              <w:right w:val="single" w:sz="4" w:space="0" w:color="auto"/>
            </w:tcBorders>
            <w:shd w:val="clear" w:color="auto" w:fill="FFFFFF" w:themeFill="background1"/>
            <w:noWrap/>
            <w:hideMark/>
          </w:tcPr>
          <w:p w14:paraId="0B820605" w14:textId="5DBC9771" w:rsidR="00421A48" w:rsidRPr="00421A48" w:rsidRDefault="00421A48" w:rsidP="00421A48">
            <w:pPr>
              <w:jc w:val="right"/>
              <w:rPr>
                <w:noProof/>
                <w:sz w:val="20"/>
                <w:szCs w:val="20"/>
              </w:rPr>
            </w:pPr>
            <w:r w:rsidRPr="00421A48">
              <w:rPr>
                <w:noProof/>
                <w:sz w:val="20"/>
                <w:szCs w:val="20"/>
              </w:rPr>
              <w:t>881</w:t>
            </w:r>
          </w:p>
        </w:tc>
        <w:tc>
          <w:tcPr>
            <w:tcW w:w="364" w:type="pct"/>
            <w:tcBorders>
              <w:top w:val="nil"/>
              <w:left w:val="nil"/>
              <w:bottom w:val="single" w:sz="4" w:space="0" w:color="auto"/>
              <w:right w:val="single" w:sz="4" w:space="0" w:color="auto"/>
            </w:tcBorders>
            <w:shd w:val="clear" w:color="auto" w:fill="FFFFFF" w:themeFill="background1"/>
            <w:noWrap/>
            <w:hideMark/>
          </w:tcPr>
          <w:p w14:paraId="162DA0D8" w14:textId="5FF31FD7" w:rsidR="00421A48" w:rsidRPr="00421A48" w:rsidRDefault="00421A48" w:rsidP="00421A48">
            <w:pPr>
              <w:jc w:val="right"/>
              <w:rPr>
                <w:noProof/>
                <w:sz w:val="20"/>
                <w:szCs w:val="20"/>
              </w:rPr>
            </w:pPr>
            <w:r w:rsidRPr="00421A48">
              <w:rPr>
                <w:noProof/>
                <w:sz w:val="20"/>
                <w:szCs w:val="20"/>
              </w:rPr>
              <w:t>1,322</w:t>
            </w:r>
          </w:p>
        </w:tc>
        <w:tc>
          <w:tcPr>
            <w:tcW w:w="363" w:type="pct"/>
            <w:tcBorders>
              <w:top w:val="nil"/>
              <w:left w:val="nil"/>
              <w:bottom w:val="single" w:sz="4" w:space="0" w:color="auto"/>
              <w:right w:val="single" w:sz="4" w:space="0" w:color="auto"/>
            </w:tcBorders>
            <w:shd w:val="clear" w:color="auto" w:fill="FFFFFF" w:themeFill="background1"/>
            <w:noWrap/>
            <w:hideMark/>
          </w:tcPr>
          <w:p w14:paraId="6F804CB1" w14:textId="7866BC3F" w:rsidR="00421A48" w:rsidRPr="00421A48" w:rsidRDefault="00421A48" w:rsidP="00421A48">
            <w:pPr>
              <w:jc w:val="right"/>
              <w:rPr>
                <w:noProof/>
                <w:sz w:val="20"/>
                <w:szCs w:val="20"/>
              </w:rPr>
            </w:pPr>
            <w:r w:rsidRPr="00421A48">
              <w:rPr>
                <w:noProof/>
                <w:sz w:val="20"/>
                <w:szCs w:val="20"/>
              </w:rPr>
              <w:t>5,183</w:t>
            </w:r>
          </w:p>
        </w:tc>
        <w:tc>
          <w:tcPr>
            <w:tcW w:w="364" w:type="pct"/>
            <w:tcBorders>
              <w:top w:val="nil"/>
              <w:left w:val="nil"/>
              <w:bottom w:val="single" w:sz="4" w:space="0" w:color="auto"/>
              <w:right w:val="single" w:sz="4" w:space="0" w:color="auto"/>
            </w:tcBorders>
            <w:shd w:val="clear" w:color="auto" w:fill="FFFFFF" w:themeFill="background1"/>
            <w:noWrap/>
            <w:hideMark/>
          </w:tcPr>
          <w:p w14:paraId="280B146B" w14:textId="1850B320" w:rsidR="00421A48" w:rsidRPr="00421A48" w:rsidRDefault="00421A48" w:rsidP="00421A48">
            <w:pPr>
              <w:jc w:val="right"/>
              <w:rPr>
                <w:noProof/>
                <w:sz w:val="20"/>
                <w:szCs w:val="20"/>
              </w:rPr>
            </w:pPr>
            <w:r w:rsidRPr="00421A48">
              <w:rPr>
                <w:noProof/>
                <w:sz w:val="20"/>
                <w:szCs w:val="20"/>
              </w:rPr>
              <w:t>4,141</w:t>
            </w:r>
          </w:p>
        </w:tc>
      </w:tr>
      <w:tr w:rsidR="00E11073" w:rsidRPr="00EC4361" w14:paraId="57919399"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4697FD96" w14:textId="7F133398" w:rsidR="00421A48" w:rsidRPr="004E336D" w:rsidRDefault="00421A48" w:rsidP="00421A48">
            <w:pPr>
              <w:rPr>
                <w:noProof/>
                <w:color w:val="000000"/>
                <w:sz w:val="20"/>
                <w:szCs w:val="20"/>
              </w:rPr>
            </w:pPr>
            <w:r w:rsidRPr="004E336D">
              <w:rPr>
                <w:noProof/>
                <w:color w:val="000000"/>
                <w:sz w:val="20"/>
                <w:szCs w:val="20"/>
              </w:rPr>
              <w:t xml:space="preserve">Total adjustment cost savings for </w:t>
            </w:r>
            <w:r>
              <w:rPr>
                <w:noProof/>
                <w:color w:val="000000"/>
                <w:sz w:val="20"/>
                <w:szCs w:val="20"/>
              </w:rPr>
              <w:t>non-SME</w:t>
            </w:r>
            <w:r w:rsidRPr="004E336D">
              <w:rPr>
                <w:noProof/>
                <w:color w:val="000000"/>
                <w:sz w:val="20"/>
                <w:szCs w:val="20"/>
              </w:rPr>
              <w:t xml:space="preserve"> platforms (million EUR)</w:t>
            </w:r>
          </w:p>
        </w:tc>
        <w:tc>
          <w:tcPr>
            <w:tcW w:w="363" w:type="pct"/>
            <w:tcBorders>
              <w:top w:val="nil"/>
              <w:left w:val="nil"/>
              <w:bottom w:val="single" w:sz="4" w:space="0" w:color="auto"/>
              <w:right w:val="single" w:sz="4" w:space="0" w:color="auto"/>
            </w:tcBorders>
            <w:shd w:val="clear" w:color="auto" w:fill="FFFFFF" w:themeFill="background1"/>
            <w:noWrap/>
            <w:hideMark/>
          </w:tcPr>
          <w:p w14:paraId="4FE833E4" w14:textId="5DB1A76B" w:rsidR="00421A48" w:rsidRPr="00421A48" w:rsidRDefault="00421A48" w:rsidP="00421A48">
            <w:pPr>
              <w:jc w:val="right"/>
              <w:rPr>
                <w:noProof/>
                <w:sz w:val="20"/>
                <w:szCs w:val="20"/>
              </w:rPr>
            </w:pPr>
            <w:r w:rsidRPr="00E11073">
              <w:rPr>
                <w:noProof/>
                <w:sz w:val="20"/>
                <w:szCs w:val="20"/>
              </w:rPr>
              <w:t>3.6</w:t>
            </w:r>
          </w:p>
        </w:tc>
        <w:tc>
          <w:tcPr>
            <w:tcW w:w="364" w:type="pct"/>
            <w:tcBorders>
              <w:top w:val="nil"/>
              <w:left w:val="nil"/>
              <w:bottom w:val="single" w:sz="4" w:space="0" w:color="auto"/>
              <w:right w:val="single" w:sz="4" w:space="0" w:color="auto"/>
            </w:tcBorders>
            <w:shd w:val="clear" w:color="auto" w:fill="FFFFFF" w:themeFill="background1"/>
            <w:noWrap/>
            <w:hideMark/>
          </w:tcPr>
          <w:p w14:paraId="1A1B87D9" w14:textId="13ED2345" w:rsidR="00421A48" w:rsidRPr="00421A48" w:rsidRDefault="00421A48" w:rsidP="00421A48">
            <w:pPr>
              <w:jc w:val="right"/>
              <w:rPr>
                <w:noProof/>
                <w:sz w:val="20"/>
                <w:szCs w:val="20"/>
              </w:rPr>
            </w:pPr>
            <w:r w:rsidRPr="00E11073">
              <w:rPr>
                <w:noProof/>
                <w:sz w:val="20"/>
                <w:szCs w:val="20"/>
              </w:rPr>
              <w:t>1.4</w:t>
            </w:r>
          </w:p>
        </w:tc>
        <w:tc>
          <w:tcPr>
            <w:tcW w:w="363" w:type="pct"/>
            <w:tcBorders>
              <w:top w:val="nil"/>
              <w:left w:val="nil"/>
              <w:bottom w:val="single" w:sz="4" w:space="0" w:color="auto"/>
              <w:right w:val="single" w:sz="4" w:space="0" w:color="auto"/>
            </w:tcBorders>
            <w:shd w:val="clear" w:color="auto" w:fill="FFFFFF" w:themeFill="background1"/>
            <w:noWrap/>
            <w:hideMark/>
          </w:tcPr>
          <w:p w14:paraId="2D375764" w14:textId="5BEE40E8" w:rsidR="00421A48" w:rsidRPr="00421A48" w:rsidRDefault="00421A48" w:rsidP="00421A48">
            <w:pPr>
              <w:jc w:val="right"/>
              <w:rPr>
                <w:noProof/>
                <w:sz w:val="20"/>
                <w:szCs w:val="20"/>
              </w:rPr>
            </w:pPr>
            <w:r w:rsidRPr="00E11073">
              <w:rPr>
                <w:noProof/>
                <w:sz w:val="20"/>
                <w:szCs w:val="20"/>
              </w:rPr>
              <w:t>3.7</w:t>
            </w:r>
          </w:p>
        </w:tc>
        <w:tc>
          <w:tcPr>
            <w:tcW w:w="364" w:type="pct"/>
            <w:tcBorders>
              <w:top w:val="nil"/>
              <w:left w:val="nil"/>
              <w:bottom w:val="single" w:sz="4" w:space="0" w:color="auto"/>
              <w:right w:val="single" w:sz="4" w:space="0" w:color="auto"/>
            </w:tcBorders>
            <w:shd w:val="clear" w:color="auto" w:fill="FFFFFF" w:themeFill="background1"/>
            <w:noWrap/>
            <w:hideMark/>
          </w:tcPr>
          <w:p w14:paraId="3F205CB6" w14:textId="639D34D7" w:rsidR="00421A48" w:rsidRPr="00421A48" w:rsidRDefault="00421A48" w:rsidP="00421A48">
            <w:pPr>
              <w:jc w:val="right"/>
              <w:rPr>
                <w:noProof/>
                <w:sz w:val="20"/>
                <w:szCs w:val="20"/>
              </w:rPr>
            </w:pPr>
            <w:r w:rsidRPr="00E11073">
              <w:rPr>
                <w:noProof/>
                <w:sz w:val="20"/>
                <w:szCs w:val="20"/>
              </w:rPr>
              <w:t>2.2</w:t>
            </w:r>
          </w:p>
        </w:tc>
      </w:tr>
      <w:tr w:rsidR="00E11073" w:rsidRPr="00EC4361" w14:paraId="774E52EC"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06D83A7D" w14:textId="77777777" w:rsidR="00421A48" w:rsidRPr="004E336D" w:rsidRDefault="00421A48" w:rsidP="00421A48">
            <w:pPr>
              <w:rPr>
                <w:noProof/>
                <w:color w:val="000000"/>
                <w:sz w:val="20"/>
                <w:szCs w:val="20"/>
              </w:rPr>
            </w:pPr>
            <w:r w:rsidRPr="004E336D">
              <w:rPr>
                <w:noProof/>
                <w:color w:val="000000"/>
                <w:sz w:val="20"/>
                <w:szCs w:val="20"/>
              </w:rPr>
              <w:t>Total adjustment cost savings for SME platforms (million EUR)</w:t>
            </w:r>
          </w:p>
        </w:tc>
        <w:tc>
          <w:tcPr>
            <w:tcW w:w="363" w:type="pct"/>
            <w:tcBorders>
              <w:top w:val="nil"/>
              <w:left w:val="nil"/>
              <w:bottom w:val="single" w:sz="4" w:space="0" w:color="auto"/>
              <w:right w:val="single" w:sz="4" w:space="0" w:color="auto"/>
            </w:tcBorders>
            <w:shd w:val="clear" w:color="auto" w:fill="FFFFFF" w:themeFill="background1"/>
            <w:noWrap/>
            <w:hideMark/>
          </w:tcPr>
          <w:p w14:paraId="30488216" w14:textId="147A7C03" w:rsidR="00421A48" w:rsidRPr="00421A48" w:rsidRDefault="00421A48" w:rsidP="00421A48">
            <w:pPr>
              <w:jc w:val="right"/>
              <w:rPr>
                <w:noProof/>
                <w:sz w:val="20"/>
                <w:szCs w:val="20"/>
              </w:rPr>
            </w:pPr>
            <w:r w:rsidRPr="00E11073">
              <w:rPr>
                <w:noProof/>
                <w:sz w:val="20"/>
                <w:szCs w:val="20"/>
              </w:rPr>
              <w:t>6.3</w:t>
            </w:r>
          </w:p>
        </w:tc>
        <w:tc>
          <w:tcPr>
            <w:tcW w:w="364" w:type="pct"/>
            <w:tcBorders>
              <w:top w:val="nil"/>
              <w:left w:val="nil"/>
              <w:bottom w:val="single" w:sz="4" w:space="0" w:color="auto"/>
              <w:right w:val="single" w:sz="4" w:space="0" w:color="auto"/>
            </w:tcBorders>
            <w:shd w:val="clear" w:color="auto" w:fill="FFFFFF" w:themeFill="background1"/>
            <w:noWrap/>
            <w:hideMark/>
          </w:tcPr>
          <w:p w14:paraId="68B35411" w14:textId="6A5B5E4A" w:rsidR="00421A48" w:rsidRPr="00421A48" w:rsidRDefault="00421A48" w:rsidP="00421A48">
            <w:pPr>
              <w:jc w:val="right"/>
              <w:rPr>
                <w:noProof/>
                <w:sz w:val="20"/>
                <w:szCs w:val="20"/>
              </w:rPr>
            </w:pPr>
            <w:r w:rsidRPr="00E11073">
              <w:rPr>
                <w:noProof/>
                <w:sz w:val="20"/>
                <w:szCs w:val="20"/>
              </w:rPr>
              <w:t>2.9</w:t>
            </w:r>
          </w:p>
        </w:tc>
        <w:tc>
          <w:tcPr>
            <w:tcW w:w="363" w:type="pct"/>
            <w:tcBorders>
              <w:top w:val="nil"/>
              <w:left w:val="nil"/>
              <w:bottom w:val="single" w:sz="4" w:space="0" w:color="auto"/>
              <w:right w:val="single" w:sz="4" w:space="0" w:color="auto"/>
            </w:tcBorders>
            <w:shd w:val="clear" w:color="auto" w:fill="FFFFFF" w:themeFill="background1"/>
            <w:noWrap/>
            <w:hideMark/>
          </w:tcPr>
          <w:p w14:paraId="42ACF45B" w14:textId="4F88EB65" w:rsidR="00421A48" w:rsidRPr="00421A48" w:rsidRDefault="00421A48" w:rsidP="00421A48">
            <w:pPr>
              <w:jc w:val="right"/>
              <w:rPr>
                <w:noProof/>
                <w:sz w:val="20"/>
                <w:szCs w:val="20"/>
              </w:rPr>
            </w:pPr>
            <w:r w:rsidRPr="00E11073">
              <w:rPr>
                <w:noProof/>
                <w:sz w:val="20"/>
                <w:szCs w:val="20"/>
              </w:rPr>
              <w:t>8.4</w:t>
            </w:r>
          </w:p>
        </w:tc>
        <w:tc>
          <w:tcPr>
            <w:tcW w:w="364" w:type="pct"/>
            <w:tcBorders>
              <w:top w:val="nil"/>
              <w:left w:val="nil"/>
              <w:bottom w:val="single" w:sz="4" w:space="0" w:color="auto"/>
              <w:right w:val="single" w:sz="4" w:space="0" w:color="auto"/>
            </w:tcBorders>
            <w:shd w:val="clear" w:color="auto" w:fill="FFFFFF" w:themeFill="background1"/>
            <w:noWrap/>
            <w:hideMark/>
          </w:tcPr>
          <w:p w14:paraId="00271B48" w14:textId="52BB60B3" w:rsidR="00421A48" w:rsidRPr="00421A48" w:rsidRDefault="00421A48" w:rsidP="00421A48">
            <w:pPr>
              <w:jc w:val="right"/>
              <w:rPr>
                <w:noProof/>
                <w:sz w:val="20"/>
                <w:szCs w:val="20"/>
              </w:rPr>
            </w:pPr>
            <w:r w:rsidRPr="00E11073">
              <w:rPr>
                <w:noProof/>
                <w:sz w:val="20"/>
                <w:szCs w:val="20"/>
              </w:rPr>
              <w:t>4.9</w:t>
            </w:r>
          </w:p>
        </w:tc>
      </w:tr>
      <w:tr w:rsidR="00E11073" w:rsidRPr="00EC4361" w14:paraId="3456B80A"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12D029AA" w14:textId="77777777" w:rsidR="00421A48" w:rsidRPr="004E336D" w:rsidRDefault="00421A48" w:rsidP="00421A48">
            <w:pPr>
              <w:rPr>
                <w:b/>
                <w:noProof/>
                <w:color w:val="000000"/>
                <w:sz w:val="20"/>
                <w:szCs w:val="20"/>
              </w:rPr>
            </w:pPr>
            <w:r w:rsidRPr="004E336D">
              <w:rPr>
                <w:b/>
                <w:noProof/>
                <w:color w:val="000000"/>
                <w:sz w:val="20"/>
                <w:szCs w:val="20"/>
              </w:rPr>
              <w:t>PO3</w:t>
            </w:r>
          </w:p>
        </w:tc>
        <w:tc>
          <w:tcPr>
            <w:tcW w:w="363" w:type="pct"/>
            <w:tcBorders>
              <w:top w:val="nil"/>
              <w:left w:val="nil"/>
              <w:bottom w:val="single" w:sz="4" w:space="0" w:color="auto"/>
              <w:right w:val="single" w:sz="4" w:space="0" w:color="auto"/>
            </w:tcBorders>
            <w:shd w:val="clear" w:color="auto" w:fill="FFFFFF" w:themeFill="background1"/>
            <w:noWrap/>
            <w:hideMark/>
          </w:tcPr>
          <w:p w14:paraId="56DB1F45" w14:textId="0176B600" w:rsidR="00421A48" w:rsidRPr="00421A48" w:rsidRDefault="00421A48" w:rsidP="00421A48">
            <w:pPr>
              <w:rPr>
                <w:noProof/>
                <w:sz w:val="20"/>
                <w:szCs w:val="20"/>
              </w:rPr>
            </w:pPr>
            <w:r w:rsidRPr="00421A48">
              <w:rPr>
                <w:noProof/>
                <w:sz w:val="20"/>
                <w:szCs w:val="20"/>
              </w:rPr>
              <w:t> </w:t>
            </w:r>
          </w:p>
        </w:tc>
        <w:tc>
          <w:tcPr>
            <w:tcW w:w="364" w:type="pct"/>
            <w:tcBorders>
              <w:top w:val="nil"/>
              <w:left w:val="nil"/>
              <w:bottom w:val="single" w:sz="4" w:space="0" w:color="auto"/>
              <w:right w:val="single" w:sz="4" w:space="0" w:color="auto"/>
            </w:tcBorders>
            <w:shd w:val="clear" w:color="auto" w:fill="FFFFFF" w:themeFill="background1"/>
            <w:noWrap/>
            <w:hideMark/>
          </w:tcPr>
          <w:p w14:paraId="2F4B82F8" w14:textId="68146DA5" w:rsidR="00421A48" w:rsidRPr="00421A48" w:rsidRDefault="00421A48" w:rsidP="00421A48">
            <w:pPr>
              <w:rPr>
                <w:noProof/>
                <w:sz w:val="20"/>
                <w:szCs w:val="20"/>
              </w:rPr>
            </w:pPr>
            <w:r w:rsidRPr="00421A48">
              <w:rPr>
                <w:noProof/>
                <w:sz w:val="20"/>
                <w:szCs w:val="20"/>
              </w:rPr>
              <w:t> </w:t>
            </w:r>
          </w:p>
        </w:tc>
        <w:tc>
          <w:tcPr>
            <w:tcW w:w="363" w:type="pct"/>
            <w:tcBorders>
              <w:top w:val="nil"/>
              <w:left w:val="nil"/>
              <w:bottom w:val="single" w:sz="4" w:space="0" w:color="auto"/>
              <w:right w:val="single" w:sz="4" w:space="0" w:color="auto"/>
            </w:tcBorders>
            <w:shd w:val="clear" w:color="auto" w:fill="FFFFFF" w:themeFill="background1"/>
            <w:noWrap/>
            <w:hideMark/>
          </w:tcPr>
          <w:p w14:paraId="7EEC22F4" w14:textId="2C7BD6F1" w:rsidR="00421A48" w:rsidRPr="00421A48" w:rsidRDefault="00421A48" w:rsidP="00421A48">
            <w:pPr>
              <w:rPr>
                <w:noProof/>
                <w:sz w:val="20"/>
                <w:szCs w:val="20"/>
              </w:rPr>
            </w:pPr>
            <w:r w:rsidRPr="00421A48">
              <w:rPr>
                <w:noProof/>
                <w:sz w:val="20"/>
                <w:szCs w:val="20"/>
              </w:rPr>
              <w:t> </w:t>
            </w:r>
          </w:p>
        </w:tc>
        <w:tc>
          <w:tcPr>
            <w:tcW w:w="364" w:type="pct"/>
            <w:tcBorders>
              <w:top w:val="nil"/>
              <w:left w:val="nil"/>
              <w:bottom w:val="single" w:sz="4" w:space="0" w:color="auto"/>
              <w:right w:val="single" w:sz="4" w:space="0" w:color="auto"/>
            </w:tcBorders>
            <w:shd w:val="clear" w:color="auto" w:fill="FFFFFF" w:themeFill="background1"/>
            <w:noWrap/>
            <w:hideMark/>
          </w:tcPr>
          <w:p w14:paraId="4405FA0E" w14:textId="40398382" w:rsidR="00421A48" w:rsidRPr="00421A48" w:rsidRDefault="00421A48" w:rsidP="00421A48">
            <w:pPr>
              <w:rPr>
                <w:noProof/>
                <w:sz w:val="20"/>
                <w:szCs w:val="20"/>
              </w:rPr>
            </w:pPr>
            <w:r w:rsidRPr="00421A48">
              <w:rPr>
                <w:noProof/>
                <w:sz w:val="20"/>
                <w:szCs w:val="20"/>
              </w:rPr>
              <w:t> </w:t>
            </w:r>
          </w:p>
        </w:tc>
      </w:tr>
      <w:tr w:rsidR="00E11073" w:rsidRPr="00EC4361" w14:paraId="330F72EB"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7DDF2003" w14:textId="46D9118D" w:rsidR="00421A48" w:rsidRPr="004E336D" w:rsidRDefault="00421A48" w:rsidP="00421A48">
            <w:pPr>
              <w:rPr>
                <w:noProof/>
                <w:color w:val="000000"/>
                <w:sz w:val="20"/>
                <w:szCs w:val="20"/>
              </w:rPr>
            </w:pPr>
            <w:r w:rsidRPr="3FCE22BE">
              <w:rPr>
                <w:noProof/>
                <w:color w:val="000000" w:themeColor="text1"/>
                <w:sz w:val="20"/>
                <w:szCs w:val="20"/>
              </w:rPr>
              <w:t xml:space="preserve">New agreements by </w:t>
            </w:r>
            <w:r>
              <w:rPr>
                <w:noProof/>
                <w:color w:val="000000" w:themeColor="text1"/>
                <w:sz w:val="20"/>
                <w:szCs w:val="20"/>
              </w:rPr>
              <w:t>non-SME</w:t>
            </w:r>
            <w:r w:rsidRPr="3FCE22BE">
              <w:rPr>
                <w:noProof/>
                <w:color w:val="000000" w:themeColor="text1"/>
                <w:sz w:val="20"/>
                <w:szCs w:val="20"/>
              </w:rPr>
              <w:t xml:space="preserve"> platforms (changes relative to the baseline)</w:t>
            </w:r>
          </w:p>
        </w:tc>
        <w:tc>
          <w:tcPr>
            <w:tcW w:w="363" w:type="pct"/>
            <w:tcBorders>
              <w:top w:val="nil"/>
              <w:left w:val="nil"/>
              <w:bottom w:val="single" w:sz="4" w:space="0" w:color="auto"/>
              <w:right w:val="single" w:sz="4" w:space="0" w:color="auto"/>
            </w:tcBorders>
            <w:shd w:val="clear" w:color="auto" w:fill="FFFFFF" w:themeFill="background1"/>
            <w:noWrap/>
            <w:hideMark/>
          </w:tcPr>
          <w:p w14:paraId="73DBFEC2" w14:textId="6000B43A" w:rsidR="00421A48" w:rsidRPr="00421A48" w:rsidRDefault="00421A48" w:rsidP="00421A48">
            <w:pPr>
              <w:jc w:val="right"/>
              <w:rPr>
                <w:noProof/>
                <w:sz w:val="20"/>
                <w:szCs w:val="20"/>
              </w:rPr>
            </w:pPr>
            <w:r w:rsidRPr="00421A48">
              <w:rPr>
                <w:noProof/>
                <w:sz w:val="20"/>
                <w:szCs w:val="20"/>
              </w:rPr>
              <w:t>1,496</w:t>
            </w:r>
          </w:p>
        </w:tc>
        <w:tc>
          <w:tcPr>
            <w:tcW w:w="364" w:type="pct"/>
            <w:tcBorders>
              <w:top w:val="nil"/>
              <w:left w:val="nil"/>
              <w:bottom w:val="single" w:sz="4" w:space="0" w:color="auto"/>
              <w:right w:val="single" w:sz="4" w:space="0" w:color="auto"/>
            </w:tcBorders>
            <w:shd w:val="clear" w:color="auto" w:fill="FFFFFF" w:themeFill="background1"/>
            <w:noWrap/>
            <w:hideMark/>
          </w:tcPr>
          <w:p w14:paraId="59C9596D" w14:textId="4908F1FE" w:rsidR="00421A48" w:rsidRPr="00421A48" w:rsidRDefault="00421A48" w:rsidP="00421A48">
            <w:pPr>
              <w:jc w:val="right"/>
              <w:rPr>
                <w:noProof/>
                <w:sz w:val="20"/>
                <w:szCs w:val="20"/>
              </w:rPr>
            </w:pPr>
            <w:r w:rsidRPr="00421A48">
              <w:rPr>
                <w:noProof/>
                <w:sz w:val="20"/>
                <w:szCs w:val="20"/>
              </w:rPr>
              <w:t>276</w:t>
            </w:r>
          </w:p>
        </w:tc>
        <w:tc>
          <w:tcPr>
            <w:tcW w:w="363" w:type="pct"/>
            <w:tcBorders>
              <w:top w:val="nil"/>
              <w:left w:val="nil"/>
              <w:bottom w:val="single" w:sz="4" w:space="0" w:color="auto"/>
              <w:right w:val="single" w:sz="4" w:space="0" w:color="auto"/>
            </w:tcBorders>
            <w:shd w:val="clear" w:color="auto" w:fill="FFFFFF" w:themeFill="background1"/>
            <w:noWrap/>
            <w:hideMark/>
          </w:tcPr>
          <w:p w14:paraId="1C789BAB" w14:textId="77388AD1" w:rsidR="00421A48" w:rsidRPr="00421A48" w:rsidRDefault="00421A48" w:rsidP="00421A48">
            <w:pPr>
              <w:jc w:val="right"/>
              <w:rPr>
                <w:noProof/>
                <w:sz w:val="20"/>
                <w:szCs w:val="20"/>
              </w:rPr>
            </w:pPr>
            <w:r w:rsidRPr="00421A48">
              <w:rPr>
                <w:noProof/>
                <w:sz w:val="20"/>
                <w:szCs w:val="20"/>
              </w:rPr>
              <w:t>399</w:t>
            </w:r>
          </w:p>
        </w:tc>
        <w:tc>
          <w:tcPr>
            <w:tcW w:w="364" w:type="pct"/>
            <w:tcBorders>
              <w:top w:val="nil"/>
              <w:left w:val="nil"/>
              <w:bottom w:val="single" w:sz="4" w:space="0" w:color="auto"/>
              <w:right w:val="single" w:sz="4" w:space="0" w:color="auto"/>
            </w:tcBorders>
            <w:shd w:val="clear" w:color="auto" w:fill="FFFFFF" w:themeFill="background1"/>
            <w:noWrap/>
            <w:hideMark/>
          </w:tcPr>
          <w:p w14:paraId="59F8A644" w14:textId="4F326332" w:rsidR="00421A48" w:rsidRPr="00421A48" w:rsidRDefault="00421A48" w:rsidP="00421A48">
            <w:pPr>
              <w:jc w:val="right"/>
              <w:rPr>
                <w:noProof/>
                <w:sz w:val="20"/>
                <w:szCs w:val="20"/>
              </w:rPr>
            </w:pPr>
            <w:r w:rsidRPr="00421A48">
              <w:rPr>
                <w:noProof/>
                <w:sz w:val="20"/>
                <w:szCs w:val="20"/>
              </w:rPr>
              <w:t>0</w:t>
            </w:r>
          </w:p>
        </w:tc>
      </w:tr>
      <w:tr w:rsidR="00E11073" w:rsidRPr="00EC4361" w14:paraId="244F2478"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72B870A4" w14:textId="77777777" w:rsidR="00421A48" w:rsidRPr="004E336D" w:rsidRDefault="00421A48" w:rsidP="00421A48">
            <w:pPr>
              <w:rPr>
                <w:noProof/>
                <w:color w:val="000000"/>
                <w:sz w:val="20"/>
                <w:szCs w:val="20"/>
              </w:rPr>
            </w:pPr>
            <w:r w:rsidRPr="3FCE22BE">
              <w:rPr>
                <w:noProof/>
                <w:color w:val="000000" w:themeColor="text1"/>
                <w:sz w:val="20"/>
                <w:szCs w:val="20"/>
              </w:rPr>
              <w:t>New agreements by SME platforms (changes relative to the baseline)</w:t>
            </w:r>
          </w:p>
        </w:tc>
        <w:tc>
          <w:tcPr>
            <w:tcW w:w="363" w:type="pct"/>
            <w:tcBorders>
              <w:top w:val="nil"/>
              <w:left w:val="nil"/>
              <w:bottom w:val="single" w:sz="4" w:space="0" w:color="auto"/>
              <w:right w:val="single" w:sz="4" w:space="0" w:color="auto"/>
            </w:tcBorders>
            <w:shd w:val="clear" w:color="auto" w:fill="FFFFFF" w:themeFill="background1"/>
            <w:noWrap/>
            <w:hideMark/>
          </w:tcPr>
          <w:p w14:paraId="28C64A87" w14:textId="16CD19D8" w:rsidR="00421A48" w:rsidRPr="00421A48" w:rsidRDefault="00421A48" w:rsidP="00421A48">
            <w:pPr>
              <w:jc w:val="right"/>
              <w:rPr>
                <w:noProof/>
                <w:sz w:val="20"/>
                <w:szCs w:val="20"/>
              </w:rPr>
            </w:pPr>
            <w:r w:rsidRPr="00421A48">
              <w:rPr>
                <w:noProof/>
                <w:sz w:val="20"/>
                <w:szCs w:val="20"/>
              </w:rPr>
              <w:t>2,642</w:t>
            </w:r>
          </w:p>
        </w:tc>
        <w:tc>
          <w:tcPr>
            <w:tcW w:w="364" w:type="pct"/>
            <w:tcBorders>
              <w:top w:val="nil"/>
              <w:left w:val="nil"/>
              <w:bottom w:val="single" w:sz="4" w:space="0" w:color="auto"/>
              <w:right w:val="single" w:sz="4" w:space="0" w:color="auto"/>
            </w:tcBorders>
            <w:shd w:val="clear" w:color="auto" w:fill="FFFFFF" w:themeFill="background1"/>
            <w:noWrap/>
            <w:hideMark/>
          </w:tcPr>
          <w:p w14:paraId="5A25D5C3" w14:textId="33A67C5E" w:rsidR="00421A48" w:rsidRPr="00421A48" w:rsidRDefault="00421A48" w:rsidP="00421A48">
            <w:pPr>
              <w:jc w:val="right"/>
              <w:rPr>
                <w:noProof/>
                <w:sz w:val="20"/>
                <w:szCs w:val="20"/>
              </w:rPr>
            </w:pPr>
            <w:r w:rsidRPr="00421A48">
              <w:rPr>
                <w:noProof/>
                <w:sz w:val="20"/>
                <w:szCs w:val="20"/>
              </w:rPr>
              <w:t>662</w:t>
            </w:r>
          </w:p>
        </w:tc>
        <w:tc>
          <w:tcPr>
            <w:tcW w:w="363" w:type="pct"/>
            <w:tcBorders>
              <w:top w:val="nil"/>
              <w:left w:val="nil"/>
              <w:bottom w:val="single" w:sz="4" w:space="0" w:color="auto"/>
              <w:right w:val="single" w:sz="4" w:space="0" w:color="auto"/>
            </w:tcBorders>
            <w:shd w:val="clear" w:color="auto" w:fill="FFFFFF" w:themeFill="background1"/>
            <w:noWrap/>
            <w:hideMark/>
          </w:tcPr>
          <w:p w14:paraId="788686EF" w14:textId="14FDE450" w:rsidR="00421A48" w:rsidRPr="00421A48" w:rsidRDefault="00421A48" w:rsidP="00421A48">
            <w:pPr>
              <w:jc w:val="right"/>
              <w:rPr>
                <w:noProof/>
                <w:sz w:val="20"/>
                <w:szCs w:val="20"/>
              </w:rPr>
            </w:pPr>
            <w:r w:rsidRPr="00421A48">
              <w:rPr>
                <w:noProof/>
                <w:sz w:val="20"/>
                <w:szCs w:val="20"/>
              </w:rPr>
              <w:t>960</w:t>
            </w:r>
          </w:p>
        </w:tc>
        <w:tc>
          <w:tcPr>
            <w:tcW w:w="364" w:type="pct"/>
            <w:tcBorders>
              <w:top w:val="nil"/>
              <w:left w:val="nil"/>
              <w:bottom w:val="single" w:sz="4" w:space="0" w:color="auto"/>
              <w:right w:val="single" w:sz="4" w:space="0" w:color="auto"/>
            </w:tcBorders>
            <w:shd w:val="clear" w:color="auto" w:fill="FFFFFF" w:themeFill="background1"/>
            <w:noWrap/>
            <w:hideMark/>
          </w:tcPr>
          <w:p w14:paraId="5BF36AA5" w14:textId="6B2C9372" w:rsidR="00421A48" w:rsidRPr="00421A48" w:rsidRDefault="00421A48" w:rsidP="00421A48">
            <w:pPr>
              <w:jc w:val="right"/>
              <w:rPr>
                <w:noProof/>
                <w:sz w:val="20"/>
                <w:szCs w:val="20"/>
              </w:rPr>
            </w:pPr>
            <w:r w:rsidRPr="00421A48">
              <w:rPr>
                <w:noProof/>
                <w:sz w:val="20"/>
                <w:szCs w:val="20"/>
              </w:rPr>
              <w:t>0</w:t>
            </w:r>
          </w:p>
        </w:tc>
      </w:tr>
      <w:tr w:rsidR="00E11073" w:rsidRPr="00EC4361" w14:paraId="6609C70C"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0B36D1FC" w14:textId="73306E91" w:rsidR="00421A48" w:rsidRPr="004E336D" w:rsidRDefault="00421A48" w:rsidP="00421A48">
            <w:pPr>
              <w:rPr>
                <w:noProof/>
                <w:color w:val="000000"/>
                <w:sz w:val="20"/>
                <w:szCs w:val="20"/>
              </w:rPr>
            </w:pPr>
            <w:r w:rsidRPr="3FCE22BE">
              <w:rPr>
                <w:noProof/>
                <w:color w:val="000000" w:themeColor="text1"/>
                <w:sz w:val="20"/>
                <w:szCs w:val="20"/>
              </w:rPr>
              <w:t xml:space="preserve">Renegotiated agreements by </w:t>
            </w:r>
            <w:r>
              <w:rPr>
                <w:noProof/>
                <w:color w:val="000000" w:themeColor="text1"/>
                <w:sz w:val="20"/>
                <w:szCs w:val="20"/>
              </w:rPr>
              <w:t>non-SME</w:t>
            </w:r>
            <w:r w:rsidRPr="3FCE22BE">
              <w:rPr>
                <w:noProof/>
                <w:color w:val="000000" w:themeColor="text1"/>
                <w:sz w:val="20"/>
                <w:szCs w:val="20"/>
              </w:rPr>
              <w:t xml:space="preserve"> platforms (changes relative to the baseline)</w:t>
            </w:r>
          </w:p>
        </w:tc>
        <w:tc>
          <w:tcPr>
            <w:tcW w:w="363" w:type="pct"/>
            <w:tcBorders>
              <w:top w:val="nil"/>
              <w:left w:val="nil"/>
              <w:bottom w:val="single" w:sz="4" w:space="0" w:color="auto"/>
              <w:right w:val="single" w:sz="4" w:space="0" w:color="auto"/>
            </w:tcBorders>
            <w:shd w:val="clear" w:color="auto" w:fill="FFFFFF" w:themeFill="background1"/>
            <w:noWrap/>
            <w:hideMark/>
          </w:tcPr>
          <w:p w14:paraId="51226179" w14:textId="4EE2CD41" w:rsidR="00421A48" w:rsidRPr="00421A48" w:rsidRDefault="00421A48" w:rsidP="00421A48">
            <w:pPr>
              <w:jc w:val="right"/>
              <w:rPr>
                <w:noProof/>
                <w:sz w:val="20"/>
                <w:szCs w:val="20"/>
              </w:rPr>
            </w:pPr>
            <w:r w:rsidRPr="00421A48">
              <w:rPr>
                <w:noProof/>
                <w:sz w:val="20"/>
                <w:szCs w:val="20"/>
              </w:rPr>
              <w:t>499</w:t>
            </w:r>
          </w:p>
        </w:tc>
        <w:tc>
          <w:tcPr>
            <w:tcW w:w="364" w:type="pct"/>
            <w:tcBorders>
              <w:top w:val="nil"/>
              <w:left w:val="nil"/>
              <w:bottom w:val="single" w:sz="4" w:space="0" w:color="auto"/>
              <w:right w:val="single" w:sz="4" w:space="0" w:color="auto"/>
            </w:tcBorders>
            <w:shd w:val="clear" w:color="auto" w:fill="FFFFFF" w:themeFill="background1"/>
            <w:noWrap/>
            <w:hideMark/>
          </w:tcPr>
          <w:p w14:paraId="2F025040" w14:textId="2754CF8B" w:rsidR="00421A48" w:rsidRPr="00421A48" w:rsidRDefault="00421A48" w:rsidP="00421A48">
            <w:pPr>
              <w:jc w:val="right"/>
              <w:rPr>
                <w:noProof/>
                <w:sz w:val="20"/>
                <w:szCs w:val="20"/>
              </w:rPr>
            </w:pPr>
            <w:r w:rsidRPr="00421A48">
              <w:rPr>
                <w:noProof/>
                <w:sz w:val="20"/>
                <w:szCs w:val="20"/>
              </w:rPr>
              <w:t>660</w:t>
            </w:r>
          </w:p>
        </w:tc>
        <w:tc>
          <w:tcPr>
            <w:tcW w:w="363" w:type="pct"/>
            <w:tcBorders>
              <w:top w:val="nil"/>
              <w:left w:val="nil"/>
              <w:bottom w:val="single" w:sz="4" w:space="0" w:color="auto"/>
              <w:right w:val="single" w:sz="4" w:space="0" w:color="auto"/>
            </w:tcBorders>
            <w:shd w:val="clear" w:color="auto" w:fill="FFFFFF" w:themeFill="background1"/>
            <w:noWrap/>
            <w:hideMark/>
          </w:tcPr>
          <w:p w14:paraId="06CD734E" w14:textId="4CD50112" w:rsidR="00421A48" w:rsidRPr="00421A48" w:rsidRDefault="00421A48" w:rsidP="00421A48">
            <w:pPr>
              <w:jc w:val="right"/>
              <w:rPr>
                <w:noProof/>
                <w:sz w:val="20"/>
                <w:szCs w:val="20"/>
              </w:rPr>
            </w:pPr>
            <w:r w:rsidRPr="00421A48">
              <w:rPr>
                <w:noProof/>
                <w:sz w:val="20"/>
                <w:szCs w:val="20"/>
              </w:rPr>
              <w:t>1,990</w:t>
            </w:r>
          </w:p>
        </w:tc>
        <w:tc>
          <w:tcPr>
            <w:tcW w:w="364" w:type="pct"/>
            <w:tcBorders>
              <w:top w:val="nil"/>
              <w:left w:val="nil"/>
              <w:bottom w:val="single" w:sz="4" w:space="0" w:color="auto"/>
              <w:right w:val="single" w:sz="4" w:space="0" w:color="auto"/>
            </w:tcBorders>
            <w:shd w:val="clear" w:color="auto" w:fill="FFFFFF" w:themeFill="background1"/>
            <w:noWrap/>
            <w:hideMark/>
          </w:tcPr>
          <w:p w14:paraId="12CD38D4" w14:textId="15FF17D2" w:rsidR="00421A48" w:rsidRPr="00421A48" w:rsidRDefault="00421A48" w:rsidP="00421A48">
            <w:pPr>
              <w:jc w:val="right"/>
              <w:rPr>
                <w:noProof/>
                <w:sz w:val="20"/>
                <w:szCs w:val="20"/>
              </w:rPr>
            </w:pPr>
            <w:r w:rsidRPr="00421A48">
              <w:rPr>
                <w:noProof/>
                <w:sz w:val="20"/>
                <w:szCs w:val="20"/>
              </w:rPr>
              <w:t>1,861</w:t>
            </w:r>
          </w:p>
        </w:tc>
      </w:tr>
      <w:tr w:rsidR="00E11073" w:rsidRPr="00EC4361" w14:paraId="1DFB04DF"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202613BE" w14:textId="77777777" w:rsidR="00421A48" w:rsidRPr="004E336D" w:rsidRDefault="00421A48" w:rsidP="00421A48">
            <w:pPr>
              <w:rPr>
                <w:noProof/>
                <w:color w:val="000000"/>
                <w:sz w:val="20"/>
                <w:szCs w:val="20"/>
              </w:rPr>
            </w:pPr>
            <w:r w:rsidRPr="3FCE22BE">
              <w:rPr>
                <w:noProof/>
                <w:color w:val="000000" w:themeColor="text1"/>
                <w:sz w:val="20"/>
                <w:szCs w:val="20"/>
              </w:rPr>
              <w:t>Renegotiated agreements by SME platforms (changes relative to the baseline)</w:t>
            </w:r>
          </w:p>
        </w:tc>
        <w:tc>
          <w:tcPr>
            <w:tcW w:w="363" w:type="pct"/>
            <w:tcBorders>
              <w:top w:val="nil"/>
              <w:left w:val="nil"/>
              <w:bottom w:val="single" w:sz="4" w:space="0" w:color="auto"/>
              <w:right w:val="single" w:sz="4" w:space="0" w:color="auto"/>
            </w:tcBorders>
            <w:shd w:val="clear" w:color="auto" w:fill="FFFFFF" w:themeFill="background1"/>
            <w:noWrap/>
            <w:hideMark/>
          </w:tcPr>
          <w:p w14:paraId="6FD02794" w14:textId="4ECFB15A" w:rsidR="00421A48" w:rsidRPr="00421A48" w:rsidRDefault="00421A48" w:rsidP="00421A48">
            <w:pPr>
              <w:jc w:val="right"/>
              <w:rPr>
                <w:noProof/>
                <w:sz w:val="20"/>
                <w:szCs w:val="20"/>
              </w:rPr>
            </w:pPr>
            <w:r w:rsidRPr="00421A48">
              <w:rPr>
                <w:noProof/>
                <w:sz w:val="20"/>
                <w:szCs w:val="20"/>
              </w:rPr>
              <w:t>881</w:t>
            </w:r>
          </w:p>
        </w:tc>
        <w:tc>
          <w:tcPr>
            <w:tcW w:w="364" w:type="pct"/>
            <w:tcBorders>
              <w:top w:val="nil"/>
              <w:left w:val="nil"/>
              <w:bottom w:val="single" w:sz="4" w:space="0" w:color="auto"/>
              <w:right w:val="single" w:sz="4" w:space="0" w:color="auto"/>
            </w:tcBorders>
            <w:shd w:val="clear" w:color="auto" w:fill="FFFFFF" w:themeFill="background1"/>
            <w:noWrap/>
            <w:hideMark/>
          </w:tcPr>
          <w:p w14:paraId="1F8B4484" w14:textId="1D704157" w:rsidR="00421A48" w:rsidRPr="00421A48" w:rsidRDefault="00421A48" w:rsidP="00421A48">
            <w:pPr>
              <w:jc w:val="right"/>
              <w:rPr>
                <w:noProof/>
                <w:sz w:val="20"/>
                <w:szCs w:val="20"/>
              </w:rPr>
            </w:pPr>
            <w:r w:rsidRPr="00421A48">
              <w:rPr>
                <w:noProof/>
                <w:sz w:val="20"/>
                <w:szCs w:val="20"/>
              </w:rPr>
              <w:t>1,268</w:t>
            </w:r>
          </w:p>
        </w:tc>
        <w:tc>
          <w:tcPr>
            <w:tcW w:w="363" w:type="pct"/>
            <w:tcBorders>
              <w:top w:val="nil"/>
              <w:left w:val="nil"/>
              <w:bottom w:val="single" w:sz="4" w:space="0" w:color="auto"/>
              <w:right w:val="single" w:sz="4" w:space="0" w:color="auto"/>
            </w:tcBorders>
            <w:shd w:val="clear" w:color="auto" w:fill="FFFFFF" w:themeFill="background1"/>
            <w:noWrap/>
            <w:hideMark/>
          </w:tcPr>
          <w:p w14:paraId="3CD03739" w14:textId="676A47EE" w:rsidR="00421A48" w:rsidRPr="00421A48" w:rsidRDefault="00421A48" w:rsidP="00421A48">
            <w:pPr>
              <w:jc w:val="right"/>
              <w:rPr>
                <w:noProof/>
                <w:sz w:val="20"/>
                <w:szCs w:val="20"/>
              </w:rPr>
            </w:pPr>
            <w:r w:rsidRPr="00421A48">
              <w:rPr>
                <w:noProof/>
                <w:sz w:val="20"/>
                <w:szCs w:val="20"/>
              </w:rPr>
              <w:t>4,467</w:t>
            </w:r>
          </w:p>
        </w:tc>
        <w:tc>
          <w:tcPr>
            <w:tcW w:w="364" w:type="pct"/>
            <w:tcBorders>
              <w:top w:val="nil"/>
              <w:left w:val="nil"/>
              <w:bottom w:val="single" w:sz="4" w:space="0" w:color="auto"/>
              <w:right w:val="single" w:sz="4" w:space="0" w:color="auto"/>
            </w:tcBorders>
            <w:shd w:val="clear" w:color="auto" w:fill="FFFFFF" w:themeFill="background1"/>
            <w:noWrap/>
            <w:hideMark/>
          </w:tcPr>
          <w:p w14:paraId="1AE3532F" w14:textId="5241023A" w:rsidR="00421A48" w:rsidRPr="00421A48" w:rsidRDefault="00421A48" w:rsidP="00421A48">
            <w:pPr>
              <w:jc w:val="right"/>
              <w:rPr>
                <w:noProof/>
                <w:sz w:val="20"/>
                <w:szCs w:val="20"/>
              </w:rPr>
            </w:pPr>
            <w:r w:rsidRPr="00421A48">
              <w:rPr>
                <w:noProof/>
                <w:sz w:val="20"/>
                <w:szCs w:val="20"/>
              </w:rPr>
              <w:t>4,141</w:t>
            </w:r>
          </w:p>
        </w:tc>
      </w:tr>
      <w:tr w:rsidR="00E11073" w:rsidRPr="00EC4361" w14:paraId="09F8C395"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41F6ADD6" w14:textId="62933A42" w:rsidR="00421A48" w:rsidRPr="004E336D" w:rsidRDefault="00421A48" w:rsidP="00421A48">
            <w:pPr>
              <w:rPr>
                <w:noProof/>
                <w:color w:val="000000"/>
                <w:sz w:val="20"/>
                <w:szCs w:val="20"/>
              </w:rPr>
            </w:pPr>
            <w:r w:rsidRPr="004E336D">
              <w:rPr>
                <w:noProof/>
                <w:color w:val="000000"/>
                <w:sz w:val="20"/>
                <w:szCs w:val="20"/>
              </w:rPr>
              <w:t xml:space="preserve">Total adjustment cost savings for </w:t>
            </w:r>
            <w:r>
              <w:rPr>
                <w:noProof/>
                <w:color w:val="000000"/>
                <w:sz w:val="20"/>
                <w:szCs w:val="20"/>
              </w:rPr>
              <w:t>non-SME</w:t>
            </w:r>
            <w:r w:rsidRPr="004E336D">
              <w:rPr>
                <w:noProof/>
                <w:color w:val="000000"/>
                <w:sz w:val="20"/>
                <w:szCs w:val="20"/>
              </w:rPr>
              <w:t xml:space="preserve"> platforms (million EUR)</w:t>
            </w:r>
          </w:p>
        </w:tc>
        <w:tc>
          <w:tcPr>
            <w:tcW w:w="363" w:type="pct"/>
            <w:tcBorders>
              <w:top w:val="nil"/>
              <w:left w:val="nil"/>
              <w:bottom w:val="single" w:sz="4" w:space="0" w:color="auto"/>
              <w:right w:val="single" w:sz="4" w:space="0" w:color="auto"/>
            </w:tcBorders>
            <w:shd w:val="clear" w:color="auto" w:fill="FFFFFF" w:themeFill="background1"/>
            <w:noWrap/>
            <w:hideMark/>
          </w:tcPr>
          <w:p w14:paraId="2F77C7E1" w14:textId="39EBC350" w:rsidR="00421A48" w:rsidRPr="00421A48" w:rsidRDefault="00421A48" w:rsidP="00421A48">
            <w:pPr>
              <w:jc w:val="right"/>
              <w:rPr>
                <w:noProof/>
                <w:sz w:val="20"/>
                <w:szCs w:val="20"/>
              </w:rPr>
            </w:pPr>
            <w:r w:rsidRPr="00E11073">
              <w:rPr>
                <w:noProof/>
                <w:sz w:val="20"/>
                <w:szCs w:val="20"/>
              </w:rPr>
              <w:t>3.6</w:t>
            </w:r>
          </w:p>
        </w:tc>
        <w:tc>
          <w:tcPr>
            <w:tcW w:w="364" w:type="pct"/>
            <w:tcBorders>
              <w:top w:val="nil"/>
              <w:left w:val="nil"/>
              <w:bottom w:val="single" w:sz="4" w:space="0" w:color="auto"/>
              <w:right w:val="single" w:sz="4" w:space="0" w:color="auto"/>
            </w:tcBorders>
            <w:shd w:val="clear" w:color="auto" w:fill="FFFFFF" w:themeFill="background1"/>
            <w:noWrap/>
            <w:hideMark/>
          </w:tcPr>
          <w:p w14:paraId="213BD41D" w14:textId="7954EB87" w:rsidR="00421A48" w:rsidRPr="00421A48" w:rsidRDefault="00421A48" w:rsidP="00421A48">
            <w:pPr>
              <w:jc w:val="right"/>
              <w:rPr>
                <w:noProof/>
                <w:sz w:val="20"/>
                <w:szCs w:val="20"/>
              </w:rPr>
            </w:pPr>
            <w:r w:rsidRPr="00E11073">
              <w:rPr>
                <w:noProof/>
                <w:sz w:val="20"/>
                <w:szCs w:val="20"/>
              </w:rPr>
              <w:t>1.3</w:t>
            </w:r>
          </w:p>
        </w:tc>
        <w:tc>
          <w:tcPr>
            <w:tcW w:w="363" w:type="pct"/>
            <w:tcBorders>
              <w:top w:val="nil"/>
              <w:left w:val="nil"/>
              <w:bottom w:val="single" w:sz="4" w:space="0" w:color="auto"/>
              <w:right w:val="single" w:sz="4" w:space="0" w:color="auto"/>
            </w:tcBorders>
            <w:shd w:val="clear" w:color="auto" w:fill="FFFFFF" w:themeFill="background1"/>
            <w:noWrap/>
            <w:hideMark/>
          </w:tcPr>
          <w:p w14:paraId="0F451A0E" w14:textId="2F1074E5" w:rsidR="00421A48" w:rsidRPr="00421A48" w:rsidRDefault="00421A48" w:rsidP="00421A48">
            <w:pPr>
              <w:jc w:val="right"/>
              <w:rPr>
                <w:noProof/>
                <w:sz w:val="20"/>
                <w:szCs w:val="20"/>
              </w:rPr>
            </w:pPr>
            <w:r w:rsidRPr="00E11073">
              <w:rPr>
                <w:noProof/>
                <w:sz w:val="20"/>
                <w:szCs w:val="20"/>
              </w:rPr>
              <w:t>3.2</w:t>
            </w:r>
          </w:p>
        </w:tc>
        <w:tc>
          <w:tcPr>
            <w:tcW w:w="364" w:type="pct"/>
            <w:tcBorders>
              <w:top w:val="nil"/>
              <w:left w:val="nil"/>
              <w:bottom w:val="single" w:sz="4" w:space="0" w:color="auto"/>
              <w:right w:val="single" w:sz="4" w:space="0" w:color="auto"/>
            </w:tcBorders>
            <w:shd w:val="clear" w:color="auto" w:fill="FFFFFF" w:themeFill="background1"/>
            <w:noWrap/>
            <w:hideMark/>
          </w:tcPr>
          <w:p w14:paraId="6905436E" w14:textId="1D984051" w:rsidR="00421A48" w:rsidRPr="00421A48" w:rsidRDefault="00421A48" w:rsidP="00421A48">
            <w:pPr>
              <w:jc w:val="right"/>
              <w:rPr>
                <w:noProof/>
                <w:sz w:val="20"/>
                <w:szCs w:val="20"/>
              </w:rPr>
            </w:pPr>
            <w:r w:rsidRPr="00E11073">
              <w:rPr>
                <w:noProof/>
                <w:sz w:val="20"/>
                <w:szCs w:val="20"/>
              </w:rPr>
              <w:t>2.2</w:t>
            </w:r>
          </w:p>
        </w:tc>
      </w:tr>
      <w:tr w:rsidR="00E11073" w:rsidRPr="00EC4361" w14:paraId="7CA7A737"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2773DED5" w14:textId="77777777" w:rsidR="00421A48" w:rsidRPr="004E336D" w:rsidRDefault="00421A48" w:rsidP="00421A48">
            <w:pPr>
              <w:rPr>
                <w:noProof/>
                <w:color w:val="000000"/>
                <w:sz w:val="20"/>
                <w:szCs w:val="20"/>
              </w:rPr>
            </w:pPr>
            <w:r w:rsidRPr="004E336D">
              <w:rPr>
                <w:noProof/>
                <w:color w:val="000000"/>
                <w:sz w:val="20"/>
                <w:szCs w:val="20"/>
              </w:rPr>
              <w:t>Total adjustment cost savings for SME platforms (million EUR)</w:t>
            </w:r>
          </w:p>
        </w:tc>
        <w:tc>
          <w:tcPr>
            <w:tcW w:w="363" w:type="pct"/>
            <w:tcBorders>
              <w:top w:val="nil"/>
              <w:left w:val="nil"/>
              <w:bottom w:val="single" w:sz="4" w:space="0" w:color="auto"/>
              <w:right w:val="single" w:sz="4" w:space="0" w:color="auto"/>
            </w:tcBorders>
            <w:shd w:val="clear" w:color="auto" w:fill="FFFFFF" w:themeFill="background1"/>
            <w:noWrap/>
            <w:hideMark/>
          </w:tcPr>
          <w:p w14:paraId="23385198" w14:textId="1A3A47E4" w:rsidR="00421A48" w:rsidRPr="00421A48" w:rsidRDefault="00421A48" w:rsidP="00421A48">
            <w:pPr>
              <w:jc w:val="right"/>
              <w:rPr>
                <w:noProof/>
                <w:sz w:val="20"/>
                <w:szCs w:val="20"/>
              </w:rPr>
            </w:pPr>
            <w:r w:rsidRPr="00E11073">
              <w:rPr>
                <w:noProof/>
                <w:sz w:val="20"/>
                <w:szCs w:val="20"/>
              </w:rPr>
              <w:t>6.3</w:t>
            </w:r>
          </w:p>
        </w:tc>
        <w:tc>
          <w:tcPr>
            <w:tcW w:w="364" w:type="pct"/>
            <w:tcBorders>
              <w:top w:val="nil"/>
              <w:left w:val="nil"/>
              <w:bottom w:val="single" w:sz="4" w:space="0" w:color="auto"/>
              <w:right w:val="single" w:sz="4" w:space="0" w:color="auto"/>
            </w:tcBorders>
            <w:shd w:val="clear" w:color="auto" w:fill="FFFFFF" w:themeFill="background1"/>
            <w:noWrap/>
            <w:hideMark/>
          </w:tcPr>
          <w:p w14:paraId="429F013F" w14:textId="0B8356E3" w:rsidR="00421A48" w:rsidRPr="00421A48" w:rsidRDefault="00421A48" w:rsidP="00421A48">
            <w:pPr>
              <w:jc w:val="right"/>
              <w:rPr>
                <w:noProof/>
                <w:sz w:val="20"/>
                <w:szCs w:val="20"/>
              </w:rPr>
            </w:pPr>
            <w:r w:rsidRPr="00E11073">
              <w:rPr>
                <w:noProof/>
                <w:sz w:val="20"/>
                <w:szCs w:val="20"/>
              </w:rPr>
              <w:t>2.8</w:t>
            </w:r>
          </w:p>
        </w:tc>
        <w:tc>
          <w:tcPr>
            <w:tcW w:w="363" w:type="pct"/>
            <w:tcBorders>
              <w:top w:val="nil"/>
              <w:left w:val="nil"/>
              <w:bottom w:val="single" w:sz="4" w:space="0" w:color="auto"/>
              <w:right w:val="single" w:sz="4" w:space="0" w:color="auto"/>
            </w:tcBorders>
            <w:shd w:val="clear" w:color="auto" w:fill="FFFFFF" w:themeFill="background1"/>
            <w:noWrap/>
            <w:hideMark/>
          </w:tcPr>
          <w:p w14:paraId="68FF9D3C" w14:textId="48A90B12" w:rsidR="00421A48" w:rsidRPr="00421A48" w:rsidRDefault="00421A48" w:rsidP="00421A48">
            <w:pPr>
              <w:jc w:val="right"/>
              <w:rPr>
                <w:noProof/>
                <w:sz w:val="20"/>
                <w:szCs w:val="20"/>
              </w:rPr>
            </w:pPr>
            <w:r w:rsidRPr="00E11073">
              <w:rPr>
                <w:noProof/>
                <w:sz w:val="20"/>
                <w:szCs w:val="20"/>
              </w:rPr>
              <w:t>7.2</w:t>
            </w:r>
          </w:p>
        </w:tc>
        <w:tc>
          <w:tcPr>
            <w:tcW w:w="364" w:type="pct"/>
            <w:tcBorders>
              <w:top w:val="nil"/>
              <w:left w:val="nil"/>
              <w:bottom w:val="single" w:sz="4" w:space="0" w:color="auto"/>
              <w:right w:val="single" w:sz="4" w:space="0" w:color="auto"/>
            </w:tcBorders>
            <w:shd w:val="clear" w:color="auto" w:fill="FFFFFF" w:themeFill="background1"/>
            <w:noWrap/>
            <w:hideMark/>
          </w:tcPr>
          <w:p w14:paraId="313FEE59" w14:textId="181A8BC1" w:rsidR="00421A48" w:rsidRPr="00421A48" w:rsidRDefault="00421A48" w:rsidP="00421A48">
            <w:pPr>
              <w:jc w:val="right"/>
              <w:rPr>
                <w:noProof/>
                <w:sz w:val="20"/>
                <w:szCs w:val="20"/>
              </w:rPr>
            </w:pPr>
            <w:r w:rsidRPr="00E11073">
              <w:rPr>
                <w:noProof/>
                <w:sz w:val="20"/>
                <w:szCs w:val="20"/>
              </w:rPr>
              <w:t>4.9</w:t>
            </w:r>
          </w:p>
        </w:tc>
      </w:tr>
      <w:tr w:rsidR="00E11073" w:rsidRPr="00EC4361" w14:paraId="2F376494"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46C6F5D8" w14:textId="77777777" w:rsidR="00421A48" w:rsidRPr="004E336D" w:rsidRDefault="00421A48" w:rsidP="00421A48">
            <w:pPr>
              <w:rPr>
                <w:b/>
                <w:noProof/>
                <w:color w:val="000000"/>
                <w:sz w:val="20"/>
                <w:szCs w:val="20"/>
              </w:rPr>
            </w:pPr>
            <w:r w:rsidRPr="004E336D">
              <w:rPr>
                <w:b/>
                <w:noProof/>
                <w:color w:val="000000"/>
                <w:sz w:val="20"/>
                <w:szCs w:val="20"/>
              </w:rPr>
              <w:t>PO4</w:t>
            </w:r>
          </w:p>
        </w:tc>
        <w:tc>
          <w:tcPr>
            <w:tcW w:w="363" w:type="pct"/>
            <w:tcBorders>
              <w:top w:val="nil"/>
              <w:left w:val="nil"/>
              <w:bottom w:val="single" w:sz="4" w:space="0" w:color="auto"/>
              <w:right w:val="single" w:sz="4" w:space="0" w:color="auto"/>
            </w:tcBorders>
            <w:shd w:val="clear" w:color="auto" w:fill="FFFFFF" w:themeFill="background1"/>
            <w:noWrap/>
            <w:hideMark/>
          </w:tcPr>
          <w:p w14:paraId="59D24BE4" w14:textId="3F937A32" w:rsidR="00421A48" w:rsidRPr="00421A48" w:rsidRDefault="00421A48" w:rsidP="00421A48">
            <w:pPr>
              <w:rPr>
                <w:noProof/>
                <w:sz w:val="20"/>
                <w:szCs w:val="20"/>
              </w:rPr>
            </w:pPr>
            <w:r w:rsidRPr="00421A48">
              <w:rPr>
                <w:noProof/>
                <w:sz w:val="20"/>
                <w:szCs w:val="20"/>
              </w:rPr>
              <w:t> </w:t>
            </w:r>
          </w:p>
        </w:tc>
        <w:tc>
          <w:tcPr>
            <w:tcW w:w="364" w:type="pct"/>
            <w:tcBorders>
              <w:top w:val="nil"/>
              <w:left w:val="nil"/>
              <w:bottom w:val="single" w:sz="4" w:space="0" w:color="auto"/>
              <w:right w:val="single" w:sz="4" w:space="0" w:color="auto"/>
            </w:tcBorders>
            <w:shd w:val="clear" w:color="auto" w:fill="FFFFFF" w:themeFill="background1"/>
            <w:noWrap/>
            <w:hideMark/>
          </w:tcPr>
          <w:p w14:paraId="73B63D4C" w14:textId="46471217" w:rsidR="00421A48" w:rsidRPr="00421A48" w:rsidRDefault="00421A48" w:rsidP="00421A48">
            <w:pPr>
              <w:rPr>
                <w:noProof/>
                <w:sz w:val="20"/>
                <w:szCs w:val="20"/>
              </w:rPr>
            </w:pPr>
            <w:r w:rsidRPr="00421A48">
              <w:rPr>
                <w:noProof/>
                <w:sz w:val="20"/>
                <w:szCs w:val="20"/>
              </w:rPr>
              <w:t> </w:t>
            </w:r>
          </w:p>
        </w:tc>
        <w:tc>
          <w:tcPr>
            <w:tcW w:w="363" w:type="pct"/>
            <w:tcBorders>
              <w:top w:val="nil"/>
              <w:left w:val="nil"/>
              <w:bottom w:val="single" w:sz="4" w:space="0" w:color="auto"/>
              <w:right w:val="single" w:sz="4" w:space="0" w:color="auto"/>
            </w:tcBorders>
            <w:shd w:val="clear" w:color="auto" w:fill="FFFFFF" w:themeFill="background1"/>
            <w:noWrap/>
            <w:hideMark/>
          </w:tcPr>
          <w:p w14:paraId="315A73C9" w14:textId="6F310FE7" w:rsidR="00421A48" w:rsidRPr="00421A48" w:rsidRDefault="00421A48" w:rsidP="00421A48">
            <w:pPr>
              <w:rPr>
                <w:noProof/>
                <w:sz w:val="20"/>
                <w:szCs w:val="20"/>
              </w:rPr>
            </w:pPr>
            <w:r w:rsidRPr="00421A48">
              <w:rPr>
                <w:noProof/>
                <w:sz w:val="20"/>
                <w:szCs w:val="20"/>
              </w:rPr>
              <w:t> </w:t>
            </w:r>
          </w:p>
        </w:tc>
        <w:tc>
          <w:tcPr>
            <w:tcW w:w="364" w:type="pct"/>
            <w:tcBorders>
              <w:top w:val="nil"/>
              <w:left w:val="nil"/>
              <w:bottom w:val="single" w:sz="4" w:space="0" w:color="auto"/>
              <w:right w:val="single" w:sz="4" w:space="0" w:color="auto"/>
            </w:tcBorders>
            <w:shd w:val="clear" w:color="auto" w:fill="FFFFFF" w:themeFill="background1"/>
            <w:noWrap/>
            <w:hideMark/>
          </w:tcPr>
          <w:p w14:paraId="7618C480" w14:textId="41BA7768" w:rsidR="00421A48" w:rsidRPr="00421A48" w:rsidRDefault="00421A48" w:rsidP="00421A48">
            <w:pPr>
              <w:rPr>
                <w:noProof/>
                <w:sz w:val="20"/>
                <w:szCs w:val="20"/>
              </w:rPr>
            </w:pPr>
            <w:r w:rsidRPr="00421A48">
              <w:rPr>
                <w:noProof/>
                <w:sz w:val="20"/>
                <w:szCs w:val="20"/>
              </w:rPr>
              <w:t> </w:t>
            </w:r>
          </w:p>
        </w:tc>
      </w:tr>
      <w:tr w:rsidR="00E11073" w:rsidRPr="00EC4361" w14:paraId="0B915018"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7B1A41D3" w14:textId="79A48160" w:rsidR="00421A48" w:rsidRPr="004E336D" w:rsidRDefault="00421A48" w:rsidP="00421A48">
            <w:pPr>
              <w:rPr>
                <w:noProof/>
                <w:color w:val="000000"/>
                <w:sz w:val="20"/>
                <w:szCs w:val="20"/>
              </w:rPr>
            </w:pPr>
            <w:r w:rsidRPr="3FCE22BE">
              <w:rPr>
                <w:noProof/>
                <w:color w:val="000000" w:themeColor="text1"/>
                <w:sz w:val="20"/>
                <w:szCs w:val="20"/>
              </w:rPr>
              <w:t xml:space="preserve">New agreements by </w:t>
            </w:r>
            <w:r>
              <w:rPr>
                <w:noProof/>
                <w:color w:val="000000" w:themeColor="text1"/>
                <w:sz w:val="20"/>
                <w:szCs w:val="20"/>
              </w:rPr>
              <w:t>non-SME</w:t>
            </w:r>
            <w:r w:rsidRPr="3FCE22BE">
              <w:rPr>
                <w:noProof/>
                <w:color w:val="000000" w:themeColor="text1"/>
                <w:sz w:val="20"/>
                <w:szCs w:val="20"/>
              </w:rPr>
              <w:t xml:space="preserve"> platforms (changes relative to the baseline)</w:t>
            </w:r>
          </w:p>
        </w:tc>
        <w:tc>
          <w:tcPr>
            <w:tcW w:w="363" w:type="pct"/>
            <w:tcBorders>
              <w:top w:val="nil"/>
              <w:left w:val="nil"/>
              <w:bottom w:val="single" w:sz="4" w:space="0" w:color="auto"/>
              <w:right w:val="single" w:sz="4" w:space="0" w:color="auto"/>
            </w:tcBorders>
            <w:shd w:val="clear" w:color="auto" w:fill="FFFFFF" w:themeFill="background1"/>
            <w:noWrap/>
            <w:hideMark/>
          </w:tcPr>
          <w:p w14:paraId="395C4778" w14:textId="3CD634AF" w:rsidR="00421A48" w:rsidRPr="00421A48" w:rsidRDefault="00421A48" w:rsidP="00421A48">
            <w:pPr>
              <w:jc w:val="right"/>
              <w:rPr>
                <w:noProof/>
                <w:sz w:val="20"/>
                <w:szCs w:val="20"/>
              </w:rPr>
            </w:pPr>
            <w:r w:rsidRPr="00421A48">
              <w:rPr>
                <w:noProof/>
                <w:sz w:val="20"/>
                <w:szCs w:val="20"/>
              </w:rPr>
              <w:t>2,015</w:t>
            </w:r>
          </w:p>
        </w:tc>
        <w:tc>
          <w:tcPr>
            <w:tcW w:w="364" w:type="pct"/>
            <w:tcBorders>
              <w:top w:val="nil"/>
              <w:left w:val="nil"/>
              <w:bottom w:val="single" w:sz="4" w:space="0" w:color="auto"/>
              <w:right w:val="single" w:sz="4" w:space="0" w:color="auto"/>
            </w:tcBorders>
            <w:shd w:val="clear" w:color="auto" w:fill="FFFFFF" w:themeFill="background1"/>
            <w:noWrap/>
            <w:hideMark/>
          </w:tcPr>
          <w:p w14:paraId="242E9E56" w14:textId="3476357E" w:rsidR="00421A48" w:rsidRPr="00421A48" w:rsidRDefault="00421A48" w:rsidP="00421A48">
            <w:pPr>
              <w:jc w:val="right"/>
              <w:rPr>
                <w:noProof/>
                <w:sz w:val="20"/>
                <w:szCs w:val="20"/>
              </w:rPr>
            </w:pPr>
            <w:r w:rsidRPr="00421A48">
              <w:rPr>
                <w:noProof/>
                <w:sz w:val="20"/>
                <w:szCs w:val="20"/>
              </w:rPr>
              <w:t>276</w:t>
            </w:r>
          </w:p>
        </w:tc>
        <w:tc>
          <w:tcPr>
            <w:tcW w:w="363" w:type="pct"/>
            <w:tcBorders>
              <w:top w:val="nil"/>
              <w:left w:val="nil"/>
              <w:bottom w:val="single" w:sz="4" w:space="0" w:color="auto"/>
              <w:right w:val="single" w:sz="4" w:space="0" w:color="auto"/>
            </w:tcBorders>
            <w:shd w:val="clear" w:color="auto" w:fill="FFFFFF" w:themeFill="background1"/>
            <w:noWrap/>
            <w:hideMark/>
          </w:tcPr>
          <w:p w14:paraId="2B7D179E" w14:textId="35EEEC21" w:rsidR="00421A48" w:rsidRPr="00421A48" w:rsidRDefault="00421A48" w:rsidP="00421A48">
            <w:pPr>
              <w:jc w:val="right"/>
              <w:rPr>
                <w:noProof/>
                <w:sz w:val="20"/>
                <w:szCs w:val="20"/>
              </w:rPr>
            </w:pPr>
            <w:r w:rsidRPr="00421A48">
              <w:rPr>
                <w:noProof/>
                <w:sz w:val="20"/>
                <w:szCs w:val="20"/>
              </w:rPr>
              <w:t>440</w:t>
            </w:r>
          </w:p>
        </w:tc>
        <w:tc>
          <w:tcPr>
            <w:tcW w:w="364" w:type="pct"/>
            <w:tcBorders>
              <w:top w:val="nil"/>
              <w:left w:val="nil"/>
              <w:bottom w:val="single" w:sz="4" w:space="0" w:color="auto"/>
              <w:right w:val="single" w:sz="4" w:space="0" w:color="auto"/>
            </w:tcBorders>
            <w:shd w:val="clear" w:color="auto" w:fill="FFFFFF" w:themeFill="background1"/>
            <w:noWrap/>
            <w:hideMark/>
          </w:tcPr>
          <w:p w14:paraId="78FFE216" w14:textId="29E58129" w:rsidR="00421A48" w:rsidRPr="00421A48" w:rsidRDefault="00421A48" w:rsidP="00421A48">
            <w:pPr>
              <w:jc w:val="right"/>
              <w:rPr>
                <w:noProof/>
                <w:sz w:val="20"/>
                <w:szCs w:val="20"/>
              </w:rPr>
            </w:pPr>
            <w:r w:rsidRPr="00421A48">
              <w:rPr>
                <w:noProof/>
                <w:sz w:val="20"/>
                <w:szCs w:val="20"/>
              </w:rPr>
              <w:t>0</w:t>
            </w:r>
          </w:p>
        </w:tc>
      </w:tr>
      <w:tr w:rsidR="00E11073" w:rsidRPr="00EC4361" w14:paraId="0B1F35A4"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60BA63FC" w14:textId="77777777" w:rsidR="00421A48" w:rsidRPr="004E336D" w:rsidRDefault="00421A48" w:rsidP="00421A48">
            <w:pPr>
              <w:rPr>
                <w:noProof/>
                <w:color w:val="000000"/>
                <w:sz w:val="20"/>
                <w:szCs w:val="20"/>
              </w:rPr>
            </w:pPr>
            <w:r w:rsidRPr="3FCE22BE">
              <w:rPr>
                <w:noProof/>
                <w:color w:val="000000" w:themeColor="text1"/>
                <w:sz w:val="20"/>
                <w:szCs w:val="20"/>
              </w:rPr>
              <w:t>New agreements by SME platforms (changes relative to the baseline)</w:t>
            </w:r>
          </w:p>
        </w:tc>
        <w:tc>
          <w:tcPr>
            <w:tcW w:w="363" w:type="pct"/>
            <w:tcBorders>
              <w:top w:val="nil"/>
              <w:left w:val="nil"/>
              <w:bottom w:val="single" w:sz="4" w:space="0" w:color="auto"/>
              <w:right w:val="single" w:sz="4" w:space="0" w:color="auto"/>
            </w:tcBorders>
            <w:shd w:val="clear" w:color="auto" w:fill="FFFFFF" w:themeFill="background1"/>
            <w:noWrap/>
            <w:hideMark/>
          </w:tcPr>
          <w:p w14:paraId="699AAE62" w14:textId="200C6C13" w:rsidR="00421A48" w:rsidRPr="00421A48" w:rsidRDefault="00421A48" w:rsidP="00421A48">
            <w:pPr>
              <w:jc w:val="right"/>
              <w:rPr>
                <w:noProof/>
                <w:sz w:val="20"/>
                <w:szCs w:val="20"/>
              </w:rPr>
            </w:pPr>
            <w:r w:rsidRPr="00421A48">
              <w:rPr>
                <w:noProof/>
                <w:sz w:val="20"/>
                <w:szCs w:val="20"/>
              </w:rPr>
              <w:t>2,642</w:t>
            </w:r>
          </w:p>
        </w:tc>
        <w:tc>
          <w:tcPr>
            <w:tcW w:w="364" w:type="pct"/>
            <w:tcBorders>
              <w:top w:val="nil"/>
              <w:left w:val="nil"/>
              <w:bottom w:val="single" w:sz="4" w:space="0" w:color="auto"/>
              <w:right w:val="single" w:sz="4" w:space="0" w:color="auto"/>
            </w:tcBorders>
            <w:shd w:val="clear" w:color="auto" w:fill="FFFFFF" w:themeFill="background1"/>
            <w:noWrap/>
            <w:hideMark/>
          </w:tcPr>
          <w:p w14:paraId="6E20DEC2" w14:textId="5504E60F" w:rsidR="00421A48" w:rsidRPr="00421A48" w:rsidRDefault="00421A48" w:rsidP="00421A48">
            <w:pPr>
              <w:jc w:val="right"/>
              <w:rPr>
                <w:noProof/>
                <w:sz w:val="20"/>
                <w:szCs w:val="20"/>
              </w:rPr>
            </w:pPr>
            <w:r w:rsidRPr="00421A48">
              <w:rPr>
                <w:noProof/>
                <w:sz w:val="20"/>
                <w:szCs w:val="20"/>
              </w:rPr>
              <w:t>662</w:t>
            </w:r>
          </w:p>
        </w:tc>
        <w:tc>
          <w:tcPr>
            <w:tcW w:w="363" w:type="pct"/>
            <w:tcBorders>
              <w:top w:val="nil"/>
              <w:left w:val="nil"/>
              <w:bottom w:val="single" w:sz="4" w:space="0" w:color="auto"/>
              <w:right w:val="single" w:sz="4" w:space="0" w:color="auto"/>
            </w:tcBorders>
            <w:shd w:val="clear" w:color="auto" w:fill="FFFFFF" w:themeFill="background1"/>
            <w:noWrap/>
            <w:hideMark/>
          </w:tcPr>
          <w:p w14:paraId="7E0EADA9" w14:textId="37FAA0B2" w:rsidR="00421A48" w:rsidRPr="00421A48" w:rsidRDefault="00421A48" w:rsidP="00421A48">
            <w:pPr>
              <w:jc w:val="right"/>
              <w:rPr>
                <w:noProof/>
                <w:sz w:val="20"/>
                <w:szCs w:val="20"/>
              </w:rPr>
            </w:pPr>
            <w:r w:rsidRPr="00421A48">
              <w:rPr>
                <w:noProof/>
                <w:sz w:val="20"/>
                <w:szCs w:val="20"/>
              </w:rPr>
              <w:t>1,059</w:t>
            </w:r>
          </w:p>
        </w:tc>
        <w:tc>
          <w:tcPr>
            <w:tcW w:w="364" w:type="pct"/>
            <w:tcBorders>
              <w:top w:val="nil"/>
              <w:left w:val="nil"/>
              <w:bottom w:val="single" w:sz="4" w:space="0" w:color="auto"/>
              <w:right w:val="single" w:sz="4" w:space="0" w:color="auto"/>
            </w:tcBorders>
            <w:shd w:val="clear" w:color="auto" w:fill="FFFFFF" w:themeFill="background1"/>
            <w:noWrap/>
            <w:hideMark/>
          </w:tcPr>
          <w:p w14:paraId="14292FE6" w14:textId="24F39EF0" w:rsidR="00421A48" w:rsidRPr="00421A48" w:rsidRDefault="00421A48" w:rsidP="00421A48">
            <w:pPr>
              <w:jc w:val="right"/>
              <w:rPr>
                <w:noProof/>
                <w:sz w:val="20"/>
                <w:szCs w:val="20"/>
              </w:rPr>
            </w:pPr>
            <w:r w:rsidRPr="00421A48">
              <w:rPr>
                <w:noProof/>
                <w:sz w:val="20"/>
                <w:szCs w:val="20"/>
              </w:rPr>
              <w:t>0</w:t>
            </w:r>
          </w:p>
        </w:tc>
      </w:tr>
      <w:tr w:rsidR="00E11073" w:rsidRPr="00EC4361" w14:paraId="655A85BA"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47599910" w14:textId="37C7E046" w:rsidR="00421A48" w:rsidRPr="004E336D" w:rsidRDefault="00421A48" w:rsidP="00421A48">
            <w:pPr>
              <w:rPr>
                <w:noProof/>
                <w:color w:val="000000"/>
                <w:sz w:val="20"/>
                <w:szCs w:val="20"/>
              </w:rPr>
            </w:pPr>
            <w:r w:rsidRPr="3FCE22BE">
              <w:rPr>
                <w:noProof/>
                <w:color w:val="000000" w:themeColor="text1"/>
                <w:sz w:val="20"/>
                <w:szCs w:val="20"/>
              </w:rPr>
              <w:t xml:space="preserve">Renegotiated agreements by </w:t>
            </w:r>
            <w:r>
              <w:rPr>
                <w:noProof/>
                <w:color w:val="000000" w:themeColor="text1"/>
                <w:sz w:val="20"/>
                <w:szCs w:val="20"/>
              </w:rPr>
              <w:t>non-SME</w:t>
            </w:r>
            <w:r w:rsidRPr="3FCE22BE">
              <w:rPr>
                <w:noProof/>
                <w:color w:val="000000" w:themeColor="text1"/>
                <w:sz w:val="20"/>
                <w:szCs w:val="20"/>
              </w:rPr>
              <w:t xml:space="preserve"> platforms (changes relative to the baseline)</w:t>
            </w:r>
          </w:p>
        </w:tc>
        <w:tc>
          <w:tcPr>
            <w:tcW w:w="363" w:type="pct"/>
            <w:tcBorders>
              <w:top w:val="nil"/>
              <w:left w:val="nil"/>
              <w:bottom w:val="single" w:sz="4" w:space="0" w:color="auto"/>
              <w:right w:val="single" w:sz="4" w:space="0" w:color="auto"/>
            </w:tcBorders>
            <w:shd w:val="clear" w:color="auto" w:fill="FFFFFF" w:themeFill="background1"/>
            <w:noWrap/>
            <w:hideMark/>
          </w:tcPr>
          <w:p w14:paraId="5351D566" w14:textId="7180ED99" w:rsidR="00421A48" w:rsidRPr="00421A48" w:rsidRDefault="00421A48" w:rsidP="00421A48">
            <w:pPr>
              <w:jc w:val="right"/>
              <w:rPr>
                <w:noProof/>
                <w:sz w:val="20"/>
                <w:szCs w:val="20"/>
              </w:rPr>
            </w:pPr>
            <w:r w:rsidRPr="00421A48">
              <w:rPr>
                <w:noProof/>
                <w:sz w:val="20"/>
                <w:szCs w:val="20"/>
              </w:rPr>
              <w:t>672</w:t>
            </w:r>
          </w:p>
        </w:tc>
        <w:tc>
          <w:tcPr>
            <w:tcW w:w="364" w:type="pct"/>
            <w:tcBorders>
              <w:top w:val="nil"/>
              <w:left w:val="nil"/>
              <w:bottom w:val="single" w:sz="4" w:space="0" w:color="auto"/>
              <w:right w:val="single" w:sz="4" w:space="0" w:color="auto"/>
            </w:tcBorders>
            <w:shd w:val="clear" w:color="auto" w:fill="FFFFFF" w:themeFill="background1"/>
            <w:noWrap/>
            <w:hideMark/>
          </w:tcPr>
          <w:p w14:paraId="05749B0D" w14:textId="7886BE33" w:rsidR="00421A48" w:rsidRPr="00421A48" w:rsidRDefault="00421A48" w:rsidP="00421A48">
            <w:pPr>
              <w:jc w:val="right"/>
              <w:rPr>
                <w:noProof/>
                <w:sz w:val="20"/>
                <w:szCs w:val="20"/>
              </w:rPr>
            </w:pPr>
            <w:r w:rsidRPr="00421A48">
              <w:rPr>
                <w:noProof/>
                <w:sz w:val="20"/>
                <w:szCs w:val="20"/>
              </w:rPr>
              <w:t>667</w:t>
            </w:r>
          </w:p>
        </w:tc>
        <w:tc>
          <w:tcPr>
            <w:tcW w:w="363" w:type="pct"/>
            <w:tcBorders>
              <w:top w:val="nil"/>
              <w:left w:val="nil"/>
              <w:bottom w:val="single" w:sz="4" w:space="0" w:color="auto"/>
              <w:right w:val="single" w:sz="4" w:space="0" w:color="auto"/>
            </w:tcBorders>
            <w:shd w:val="clear" w:color="auto" w:fill="FFFFFF" w:themeFill="background1"/>
            <w:noWrap/>
            <w:hideMark/>
          </w:tcPr>
          <w:p w14:paraId="656CF1E6" w14:textId="5E682CD2" w:rsidR="00421A48" w:rsidRPr="00421A48" w:rsidRDefault="00421A48" w:rsidP="00421A48">
            <w:pPr>
              <w:jc w:val="right"/>
              <w:rPr>
                <w:noProof/>
                <w:sz w:val="20"/>
                <w:szCs w:val="20"/>
              </w:rPr>
            </w:pPr>
            <w:r w:rsidRPr="00421A48">
              <w:rPr>
                <w:noProof/>
                <w:sz w:val="20"/>
                <w:szCs w:val="20"/>
              </w:rPr>
              <w:t>2,133</w:t>
            </w:r>
          </w:p>
        </w:tc>
        <w:tc>
          <w:tcPr>
            <w:tcW w:w="364" w:type="pct"/>
            <w:tcBorders>
              <w:top w:val="nil"/>
              <w:left w:val="nil"/>
              <w:bottom w:val="single" w:sz="4" w:space="0" w:color="auto"/>
              <w:right w:val="single" w:sz="4" w:space="0" w:color="auto"/>
            </w:tcBorders>
            <w:shd w:val="clear" w:color="auto" w:fill="FFFFFF" w:themeFill="background1"/>
            <w:noWrap/>
            <w:hideMark/>
          </w:tcPr>
          <w:p w14:paraId="1F88FCE4" w14:textId="6B02B522" w:rsidR="00421A48" w:rsidRPr="00421A48" w:rsidRDefault="00421A48" w:rsidP="00421A48">
            <w:pPr>
              <w:jc w:val="right"/>
              <w:rPr>
                <w:noProof/>
                <w:sz w:val="20"/>
                <w:szCs w:val="20"/>
              </w:rPr>
            </w:pPr>
            <w:r w:rsidRPr="00421A48">
              <w:rPr>
                <w:noProof/>
                <w:sz w:val="20"/>
                <w:szCs w:val="20"/>
              </w:rPr>
              <w:t>1,857</w:t>
            </w:r>
          </w:p>
        </w:tc>
      </w:tr>
      <w:tr w:rsidR="00E11073" w:rsidRPr="00EC4361" w14:paraId="623A6256"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5CC914AC" w14:textId="77777777" w:rsidR="00421A48" w:rsidRPr="004E336D" w:rsidRDefault="00421A48" w:rsidP="00421A48">
            <w:pPr>
              <w:rPr>
                <w:noProof/>
                <w:color w:val="000000"/>
                <w:sz w:val="20"/>
                <w:szCs w:val="20"/>
              </w:rPr>
            </w:pPr>
            <w:r w:rsidRPr="3FCE22BE">
              <w:rPr>
                <w:noProof/>
                <w:color w:val="000000" w:themeColor="text1"/>
                <w:sz w:val="20"/>
                <w:szCs w:val="20"/>
              </w:rPr>
              <w:t>Renegotiated agreements by SME platforms (changes relative to the baseline)</w:t>
            </w:r>
          </w:p>
        </w:tc>
        <w:tc>
          <w:tcPr>
            <w:tcW w:w="363" w:type="pct"/>
            <w:tcBorders>
              <w:top w:val="nil"/>
              <w:left w:val="nil"/>
              <w:bottom w:val="single" w:sz="4" w:space="0" w:color="auto"/>
              <w:right w:val="single" w:sz="4" w:space="0" w:color="auto"/>
            </w:tcBorders>
            <w:shd w:val="clear" w:color="auto" w:fill="FFFFFF" w:themeFill="background1"/>
            <w:noWrap/>
            <w:hideMark/>
          </w:tcPr>
          <w:p w14:paraId="292AFE1A" w14:textId="1DDAAD87" w:rsidR="00421A48" w:rsidRPr="00421A48" w:rsidRDefault="00421A48" w:rsidP="00421A48">
            <w:pPr>
              <w:jc w:val="right"/>
              <w:rPr>
                <w:noProof/>
                <w:sz w:val="20"/>
                <w:szCs w:val="20"/>
              </w:rPr>
            </w:pPr>
            <w:r w:rsidRPr="00421A48">
              <w:rPr>
                <w:noProof/>
                <w:sz w:val="20"/>
                <w:szCs w:val="20"/>
              </w:rPr>
              <w:t>881</w:t>
            </w:r>
          </w:p>
        </w:tc>
        <w:tc>
          <w:tcPr>
            <w:tcW w:w="364" w:type="pct"/>
            <w:tcBorders>
              <w:top w:val="nil"/>
              <w:left w:val="nil"/>
              <w:bottom w:val="single" w:sz="4" w:space="0" w:color="auto"/>
              <w:right w:val="single" w:sz="4" w:space="0" w:color="auto"/>
            </w:tcBorders>
            <w:shd w:val="clear" w:color="auto" w:fill="FFFFFF" w:themeFill="background1"/>
            <w:noWrap/>
            <w:hideMark/>
          </w:tcPr>
          <w:p w14:paraId="7162E955" w14:textId="2B968158" w:rsidR="00421A48" w:rsidRPr="00421A48" w:rsidRDefault="00421A48" w:rsidP="00421A48">
            <w:pPr>
              <w:jc w:val="right"/>
              <w:rPr>
                <w:noProof/>
                <w:sz w:val="20"/>
                <w:szCs w:val="20"/>
              </w:rPr>
            </w:pPr>
            <w:r w:rsidRPr="00421A48">
              <w:rPr>
                <w:noProof/>
                <w:sz w:val="20"/>
                <w:szCs w:val="20"/>
              </w:rPr>
              <w:t>1,295</w:t>
            </w:r>
          </w:p>
        </w:tc>
        <w:tc>
          <w:tcPr>
            <w:tcW w:w="363" w:type="pct"/>
            <w:tcBorders>
              <w:top w:val="nil"/>
              <w:left w:val="nil"/>
              <w:bottom w:val="single" w:sz="4" w:space="0" w:color="auto"/>
              <w:right w:val="single" w:sz="4" w:space="0" w:color="auto"/>
            </w:tcBorders>
            <w:shd w:val="clear" w:color="auto" w:fill="FFFFFF" w:themeFill="background1"/>
            <w:noWrap/>
            <w:hideMark/>
          </w:tcPr>
          <w:p w14:paraId="7A9E636D" w14:textId="47ECD08E" w:rsidR="00421A48" w:rsidRPr="00421A48" w:rsidRDefault="00421A48" w:rsidP="00421A48">
            <w:pPr>
              <w:jc w:val="right"/>
              <w:rPr>
                <w:noProof/>
                <w:sz w:val="20"/>
                <w:szCs w:val="20"/>
              </w:rPr>
            </w:pPr>
            <w:r w:rsidRPr="00421A48">
              <w:rPr>
                <w:noProof/>
                <w:sz w:val="20"/>
                <w:szCs w:val="20"/>
              </w:rPr>
              <w:t>4,825</w:t>
            </w:r>
          </w:p>
        </w:tc>
        <w:tc>
          <w:tcPr>
            <w:tcW w:w="364" w:type="pct"/>
            <w:tcBorders>
              <w:top w:val="nil"/>
              <w:left w:val="nil"/>
              <w:bottom w:val="single" w:sz="4" w:space="0" w:color="auto"/>
              <w:right w:val="single" w:sz="4" w:space="0" w:color="auto"/>
            </w:tcBorders>
            <w:shd w:val="clear" w:color="auto" w:fill="FFFFFF" w:themeFill="background1"/>
            <w:noWrap/>
            <w:hideMark/>
          </w:tcPr>
          <w:p w14:paraId="29594F0D" w14:textId="6309AB47" w:rsidR="00421A48" w:rsidRPr="00421A48" w:rsidRDefault="00421A48" w:rsidP="00421A48">
            <w:pPr>
              <w:jc w:val="right"/>
              <w:rPr>
                <w:noProof/>
                <w:sz w:val="20"/>
                <w:szCs w:val="20"/>
              </w:rPr>
            </w:pPr>
            <w:r w:rsidRPr="00421A48">
              <w:rPr>
                <w:noProof/>
                <w:sz w:val="20"/>
                <w:szCs w:val="20"/>
              </w:rPr>
              <w:t>4,141</w:t>
            </w:r>
          </w:p>
        </w:tc>
      </w:tr>
      <w:tr w:rsidR="00E11073" w:rsidRPr="00EC4361" w14:paraId="52AE1159"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74DB7B6B" w14:textId="223DB5B0" w:rsidR="00421A48" w:rsidRPr="004E336D" w:rsidRDefault="00421A48" w:rsidP="00421A48">
            <w:pPr>
              <w:rPr>
                <w:noProof/>
                <w:color w:val="000000"/>
                <w:sz w:val="20"/>
                <w:szCs w:val="20"/>
              </w:rPr>
            </w:pPr>
            <w:r w:rsidRPr="004E336D">
              <w:rPr>
                <w:noProof/>
                <w:color w:val="000000"/>
                <w:sz w:val="20"/>
                <w:szCs w:val="20"/>
              </w:rPr>
              <w:t xml:space="preserve">Total adjustment cost savings for </w:t>
            </w:r>
            <w:r>
              <w:rPr>
                <w:noProof/>
                <w:color w:val="000000"/>
                <w:sz w:val="20"/>
                <w:szCs w:val="20"/>
              </w:rPr>
              <w:t>non-SME</w:t>
            </w:r>
            <w:r w:rsidRPr="004E336D">
              <w:rPr>
                <w:noProof/>
                <w:color w:val="000000"/>
                <w:sz w:val="20"/>
                <w:szCs w:val="20"/>
              </w:rPr>
              <w:t xml:space="preserve"> platforms (million EUR)</w:t>
            </w:r>
          </w:p>
        </w:tc>
        <w:tc>
          <w:tcPr>
            <w:tcW w:w="363" w:type="pct"/>
            <w:tcBorders>
              <w:top w:val="nil"/>
              <w:left w:val="nil"/>
              <w:bottom w:val="single" w:sz="4" w:space="0" w:color="auto"/>
              <w:right w:val="single" w:sz="4" w:space="0" w:color="auto"/>
            </w:tcBorders>
            <w:shd w:val="clear" w:color="auto" w:fill="FFFFFF" w:themeFill="background1"/>
            <w:noWrap/>
            <w:hideMark/>
          </w:tcPr>
          <w:p w14:paraId="231AB394" w14:textId="02E4EC7A" w:rsidR="00421A48" w:rsidRPr="00421A48" w:rsidRDefault="00421A48" w:rsidP="00421A48">
            <w:pPr>
              <w:jc w:val="right"/>
              <w:rPr>
                <w:noProof/>
                <w:sz w:val="20"/>
                <w:szCs w:val="20"/>
              </w:rPr>
            </w:pPr>
            <w:r w:rsidRPr="00E11073">
              <w:rPr>
                <w:noProof/>
                <w:sz w:val="20"/>
                <w:szCs w:val="20"/>
              </w:rPr>
              <w:t>4.8</w:t>
            </w:r>
          </w:p>
        </w:tc>
        <w:tc>
          <w:tcPr>
            <w:tcW w:w="364" w:type="pct"/>
            <w:tcBorders>
              <w:top w:val="nil"/>
              <w:left w:val="nil"/>
              <w:bottom w:val="single" w:sz="4" w:space="0" w:color="auto"/>
              <w:right w:val="single" w:sz="4" w:space="0" w:color="auto"/>
            </w:tcBorders>
            <w:shd w:val="clear" w:color="auto" w:fill="FFFFFF" w:themeFill="background1"/>
            <w:noWrap/>
            <w:hideMark/>
          </w:tcPr>
          <w:p w14:paraId="52680A68" w14:textId="22602A1B" w:rsidR="00421A48" w:rsidRPr="00421A48" w:rsidRDefault="00421A48" w:rsidP="00421A48">
            <w:pPr>
              <w:jc w:val="right"/>
              <w:rPr>
                <w:noProof/>
                <w:sz w:val="20"/>
                <w:szCs w:val="20"/>
              </w:rPr>
            </w:pPr>
            <w:r w:rsidRPr="00E11073">
              <w:rPr>
                <w:noProof/>
                <w:sz w:val="20"/>
                <w:szCs w:val="20"/>
              </w:rPr>
              <w:t>1.3</w:t>
            </w:r>
          </w:p>
        </w:tc>
        <w:tc>
          <w:tcPr>
            <w:tcW w:w="363" w:type="pct"/>
            <w:tcBorders>
              <w:top w:val="nil"/>
              <w:left w:val="nil"/>
              <w:bottom w:val="single" w:sz="4" w:space="0" w:color="auto"/>
              <w:right w:val="single" w:sz="4" w:space="0" w:color="auto"/>
            </w:tcBorders>
            <w:shd w:val="clear" w:color="auto" w:fill="FFFFFF" w:themeFill="background1"/>
            <w:noWrap/>
            <w:hideMark/>
          </w:tcPr>
          <w:p w14:paraId="7C642938" w14:textId="3FFB9454" w:rsidR="00421A48" w:rsidRPr="00421A48" w:rsidRDefault="00421A48" w:rsidP="00421A48">
            <w:pPr>
              <w:jc w:val="right"/>
              <w:rPr>
                <w:noProof/>
                <w:sz w:val="20"/>
                <w:szCs w:val="20"/>
              </w:rPr>
            </w:pPr>
            <w:r w:rsidRPr="00E11073">
              <w:rPr>
                <w:noProof/>
                <w:sz w:val="20"/>
                <w:szCs w:val="20"/>
              </w:rPr>
              <w:t>3.4</w:t>
            </w:r>
          </w:p>
        </w:tc>
        <w:tc>
          <w:tcPr>
            <w:tcW w:w="364" w:type="pct"/>
            <w:tcBorders>
              <w:top w:val="nil"/>
              <w:left w:val="nil"/>
              <w:bottom w:val="single" w:sz="4" w:space="0" w:color="auto"/>
              <w:right w:val="single" w:sz="4" w:space="0" w:color="auto"/>
            </w:tcBorders>
            <w:shd w:val="clear" w:color="auto" w:fill="FFFFFF" w:themeFill="background1"/>
            <w:noWrap/>
            <w:hideMark/>
          </w:tcPr>
          <w:p w14:paraId="298E49B3" w14:textId="1E8F9B10" w:rsidR="00421A48" w:rsidRPr="00421A48" w:rsidRDefault="00421A48" w:rsidP="00421A48">
            <w:pPr>
              <w:jc w:val="right"/>
              <w:rPr>
                <w:noProof/>
                <w:sz w:val="20"/>
                <w:szCs w:val="20"/>
              </w:rPr>
            </w:pPr>
            <w:r w:rsidRPr="00E11073">
              <w:rPr>
                <w:noProof/>
                <w:sz w:val="20"/>
                <w:szCs w:val="20"/>
              </w:rPr>
              <w:t>2.2</w:t>
            </w:r>
          </w:p>
        </w:tc>
      </w:tr>
      <w:tr w:rsidR="00E11073" w:rsidRPr="00EC4361" w14:paraId="60181DEE" w14:textId="77777777" w:rsidTr="00E11073">
        <w:trPr>
          <w:trHeight w:val="255"/>
        </w:trPr>
        <w:tc>
          <w:tcPr>
            <w:tcW w:w="3545" w:type="pct"/>
            <w:tcBorders>
              <w:top w:val="nil"/>
              <w:left w:val="single" w:sz="4" w:space="0" w:color="auto"/>
              <w:bottom w:val="single" w:sz="4" w:space="0" w:color="auto"/>
              <w:right w:val="single" w:sz="4" w:space="0" w:color="auto"/>
            </w:tcBorders>
            <w:noWrap/>
            <w:hideMark/>
          </w:tcPr>
          <w:p w14:paraId="7ADC5B72" w14:textId="77777777" w:rsidR="00421A48" w:rsidRPr="004E336D" w:rsidRDefault="00421A48" w:rsidP="00421A48">
            <w:pPr>
              <w:rPr>
                <w:noProof/>
                <w:color w:val="000000"/>
                <w:sz w:val="20"/>
                <w:szCs w:val="20"/>
              </w:rPr>
            </w:pPr>
            <w:r w:rsidRPr="004E336D">
              <w:rPr>
                <w:noProof/>
                <w:color w:val="000000"/>
                <w:sz w:val="20"/>
                <w:szCs w:val="20"/>
              </w:rPr>
              <w:t>Total adjustment cost savings for SME platforms (million EUR)</w:t>
            </w:r>
          </w:p>
        </w:tc>
        <w:tc>
          <w:tcPr>
            <w:tcW w:w="363" w:type="pct"/>
            <w:tcBorders>
              <w:top w:val="nil"/>
              <w:left w:val="nil"/>
              <w:bottom w:val="single" w:sz="4" w:space="0" w:color="auto"/>
              <w:right w:val="single" w:sz="4" w:space="0" w:color="auto"/>
            </w:tcBorders>
            <w:shd w:val="clear" w:color="auto" w:fill="FFFFFF" w:themeFill="background1"/>
            <w:noWrap/>
            <w:hideMark/>
          </w:tcPr>
          <w:p w14:paraId="72AD15A1" w14:textId="624C7DB8" w:rsidR="00421A48" w:rsidRPr="00421A48" w:rsidRDefault="00421A48" w:rsidP="00421A48">
            <w:pPr>
              <w:jc w:val="right"/>
              <w:rPr>
                <w:noProof/>
                <w:sz w:val="20"/>
                <w:szCs w:val="20"/>
              </w:rPr>
            </w:pPr>
            <w:r w:rsidRPr="00E11073">
              <w:rPr>
                <w:noProof/>
                <w:sz w:val="20"/>
                <w:szCs w:val="20"/>
              </w:rPr>
              <w:t>6.3</w:t>
            </w:r>
          </w:p>
        </w:tc>
        <w:tc>
          <w:tcPr>
            <w:tcW w:w="364" w:type="pct"/>
            <w:tcBorders>
              <w:top w:val="nil"/>
              <w:left w:val="nil"/>
              <w:bottom w:val="single" w:sz="4" w:space="0" w:color="auto"/>
              <w:right w:val="single" w:sz="4" w:space="0" w:color="auto"/>
            </w:tcBorders>
            <w:shd w:val="clear" w:color="auto" w:fill="FFFFFF" w:themeFill="background1"/>
            <w:noWrap/>
            <w:hideMark/>
          </w:tcPr>
          <w:p w14:paraId="7523AD02" w14:textId="5606B5BA" w:rsidR="00421A48" w:rsidRPr="00421A48" w:rsidRDefault="00421A48" w:rsidP="00421A48">
            <w:pPr>
              <w:jc w:val="right"/>
              <w:rPr>
                <w:noProof/>
                <w:sz w:val="20"/>
                <w:szCs w:val="20"/>
              </w:rPr>
            </w:pPr>
            <w:r w:rsidRPr="00E11073">
              <w:rPr>
                <w:noProof/>
                <w:sz w:val="20"/>
                <w:szCs w:val="20"/>
              </w:rPr>
              <w:t>2.9</w:t>
            </w:r>
          </w:p>
        </w:tc>
        <w:tc>
          <w:tcPr>
            <w:tcW w:w="363" w:type="pct"/>
            <w:tcBorders>
              <w:top w:val="nil"/>
              <w:left w:val="nil"/>
              <w:bottom w:val="single" w:sz="4" w:space="0" w:color="auto"/>
              <w:right w:val="single" w:sz="4" w:space="0" w:color="auto"/>
            </w:tcBorders>
            <w:shd w:val="clear" w:color="auto" w:fill="FFFFFF" w:themeFill="background1"/>
            <w:noWrap/>
            <w:hideMark/>
          </w:tcPr>
          <w:p w14:paraId="74B118BD" w14:textId="5A768559" w:rsidR="00421A48" w:rsidRPr="00421A48" w:rsidRDefault="00421A48" w:rsidP="00421A48">
            <w:pPr>
              <w:jc w:val="right"/>
              <w:rPr>
                <w:noProof/>
                <w:sz w:val="20"/>
                <w:szCs w:val="20"/>
              </w:rPr>
            </w:pPr>
            <w:r w:rsidRPr="00E11073">
              <w:rPr>
                <w:noProof/>
                <w:sz w:val="20"/>
                <w:szCs w:val="20"/>
              </w:rPr>
              <w:t>7.8</w:t>
            </w:r>
          </w:p>
        </w:tc>
        <w:tc>
          <w:tcPr>
            <w:tcW w:w="364" w:type="pct"/>
            <w:tcBorders>
              <w:top w:val="nil"/>
              <w:left w:val="nil"/>
              <w:bottom w:val="single" w:sz="4" w:space="0" w:color="auto"/>
              <w:right w:val="single" w:sz="4" w:space="0" w:color="auto"/>
            </w:tcBorders>
            <w:shd w:val="clear" w:color="auto" w:fill="FFFFFF" w:themeFill="background1"/>
            <w:noWrap/>
            <w:hideMark/>
          </w:tcPr>
          <w:p w14:paraId="490F03F8" w14:textId="0FE68CF0" w:rsidR="00421A48" w:rsidRPr="00421A48" w:rsidRDefault="00421A48" w:rsidP="00421A48">
            <w:pPr>
              <w:jc w:val="right"/>
              <w:rPr>
                <w:noProof/>
                <w:sz w:val="20"/>
                <w:szCs w:val="20"/>
              </w:rPr>
            </w:pPr>
            <w:r w:rsidRPr="00E11073">
              <w:rPr>
                <w:noProof/>
                <w:sz w:val="20"/>
                <w:szCs w:val="20"/>
              </w:rPr>
              <w:t>4.9</w:t>
            </w:r>
          </w:p>
        </w:tc>
      </w:tr>
    </w:tbl>
    <w:p w14:paraId="404286EE" w14:textId="77777777" w:rsidR="004C3AC1" w:rsidRPr="00D71008" w:rsidRDefault="004C3AC1" w:rsidP="004C3AC1">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6FDF456B" w14:textId="2798D0DF" w:rsidR="0080196C" w:rsidRDefault="00195A2B" w:rsidP="00095BE8">
      <w:pPr>
        <w:pStyle w:val="Nornal"/>
        <w:spacing w:after="240" w:line="240" w:lineRule="auto"/>
        <w:rPr>
          <w:rFonts w:cs="Arial"/>
          <w:noProof/>
          <w:spacing w:val="-8"/>
          <w:sz w:val="24"/>
          <w:szCs w:val="24"/>
        </w:rPr>
      </w:pPr>
      <w:r w:rsidRPr="00822452">
        <w:rPr>
          <w:rFonts w:cs="Arial"/>
          <w:noProof/>
          <w:spacing w:val="-8"/>
          <w:sz w:val="24"/>
          <w:szCs w:val="24"/>
        </w:rPr>
        <w:t xml:space="preserve">Expressed as present value over 2028-2050, relative to the baseline, the </w:t>
      </w:r>
      <w:r w:rsidR="00822452" w:rsidRPr="00822452">
        <w:rPr>
          <w:rFonts w:cs="Arial"/>
          <w:noProof/>
          <w:spacing w:val="-8"/>
          <w:sz w:val="24"/>
          <w:szCs w:val="24"/>
        </w:rPr>
        <w:t xml:space="preserve">adjustment costs savings for </w:t>
      </w:r>
      <w:r w:rsidR="00E11073">
        <w:rPr>
          <w:rFonts w:cs="Arial"/>
          <w:noProof/>
          <w:spacing w:val="-8"/>
          <w:sz w:val="24"/>
          <w:szCs w:val="24"/>
        </w:rPr>
        <w:t>non-SME</w:t>
      </w:r>
      <w:r w:rsidR="00822452" w:rsidRPr="00822452">
        <w:rPr>
          <w:rFonts w:cs="Arial"/>
          <w:noProof/>
          <w:spacing w:val="-8"/>
          <w:sz w:val="24"/>
          <w:szCs w:val="24"/>
        </w:rPr>
        <w:t xml:space="preserve"> and SME MDMS platforms are provided in the table below. </w:t>
      </w:r>
    </w:p>
    <w:p w14:paraId="36E9BDFF" w14:textId="516A4CAB" w:rsidR="00B54403" w:rsidRPr="005A0FC0" w:rsidRDefault="00B54403" w:rsidP="00087E1F">
      <w:pPr>
        <w:keepNext/>
        <w:tabs>
          <w:tab w:val="left" w:pos="1134"/>
        </w:tabs>
        <w:jc w:val="both"/>
        <w:rPr>
          <w:i/>
          <w:noProof/>
          <w:sz w:val="22"/>
          <w:szCs w:val="22"/>
        </w:rPr>
      </w:pPr>
      <w:bookmarkStart w:id="2083" w:name="_Hlk222691933"/>
      <w:r w:rsidRPr="005A0FC0">
        <w:rPr>
          <w:i/>
          <w:noProof/>
          <w:sz w:val="22"/>
          <w:szCs w:val="22"/>
        </w:rPr>
        <w:t xml:space="preserve">Table </w:t>
      </w:r>
      <w:r w:rsidRPr="005A0FC0">
        <w:rPr>
          <w:i/>
          <w:noProof/>
          <w:sz w:val="22"/>
          <w:szCs w:val="22"/>
        </w:rPr>
        <w:fldChar w:fldCharType="begin"/>
      </w:r>
      <w:r w:rsidRPr="005A0FC0">
        <w:rPr>
          <w:i/>
          <w:noProof/>
          <w:sz w:val="22"/>
          <w:szCs w:val="22"/>
        </w:rPr>
        <w:instrText xml:space="preserve"> SEQ Table \* ARABIC </w:instrText>
      </w:r>
      <w:r w:rsidRPr="005A0FC0">
        <w:rPr>
          <w:i/>
          <w:noProof/>
          <w:sz w:val="22"/>
          <w:szCs w:val="22"/>
        </w:rPr>
        <w:fldChar w:fldCharType="separate"/>
      </w:r>
      <w:r w:rsidR="0055391F">
        <w:rPr>
          <w:i/>
          <w:noProof/>
          <w:sz w:val="22"/>
          <w:szCs w:val="22"/>
        </w:rPr>
        <w:t>107</w:t>
      </w:r>
      <w:r w:rsidRPr="005A0FC0">
        <w:rPr>
          <w:i/>
          <w:noProof/>
          <w:sz w:val="22"/>
          <w:szCs w:val="22"/>
        </w:rPr>
        <w:fldChar w:fldCharType="end"/>
      </w:r>
      <w:r w:rsidRPr="005A0FC0">
        <w:rPr>
          <w:i/>
          <w:noProof/>
          <w:sz w:val="22"/>
          <w:szCs w:val="22"/>
        </w:rPr>
        <w:t>: Recurrent adjustment costs savings for MDMS platforms due to PM11, expressed as present value over 2028-2050 relative to the baseline (in million EUR, 2024 prices)</w:t>
      </w:r>
    </w:p>
    <w:bookmarkEnd w:id="208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4"/>
        <w:gridCol w:w="1344"/>
        <w:gridCol w:w="1608"/>
        <w:gridCol w:w="1608"/>
        <w:gridCol w:w="1609"/>
      </w:tblGrid>
      <w:tr w:rsidR="00B54403" w:rsidRPr="00C54A74" w14:paraId="49EA4466" w14:textId="77777777" w:rsidTr="00EC420F">
        <w:trPr>
          <w:trHeight w:val="294"/>
          <w:tblHeader/>
        </w:trPr>
        <w:tc>
          <w:tcPr>
            <w:tcW w:w="1788" w:type="pct"/>
            <w:vMerge w:val="restart"/>
            <w:shd w:val="clear" w:color="auto" w:fill="0070C0"/>
          </w:tcPr>
          <w:p w14:paraId="402AA04D" w14:textId="77777777" w:rsidR="00B54403" w:rsidRPr="00C54A74" w:rsidRDefault="00B54403" w:rsidP="000326CA">
            <w:pPr>
              <w:jc w:val="both"/>
              <w:rPr>
                <w:noProof/>
                <w:color w:val="FFFFFF" w:themeColor="background1"/>
                <w:sz w:val="20"/>
                <w:szCs w:val="20"/>
              </w:rPr>
            </w:pPr>
          </w:p>
        </w:tc>
        <w:tc>
          <w:tcPr>
            <w:tcW w:w="3212" w:type="pct"/>
            <w:gridSpan w:val="4"/>
            <w:shd w:val="clear" w:color="auto" w:fill="0070C0"/>
            <w:hideMark/>
          </w:tcPr>
          <w:p w14:paraId="3E547A72" w14:textId="77777777" w:rsidR="00B54403" w:rsidRPr="00E80223" w:rsidRDefault="00B54403" w:rsidP="000326CA">
            <w:pPr>
              <w:jc w:val="center"/>
              <w:rPr>
                <w:b/>
                <w:noProof/>
                <w:color w:val="FFFFFF" w:themeColor="background1"/>
                <w:sz w:val="20"/>
                <w:szCs w:val="20"/>
              </w:rPr>
            </w:pPr>
            <w:r w:rsidRPr="00E80223">
              <w:rPr>
                <w:b/>
                <w:noProof/>
                <w:color w:val="FFFFFF" w:themeColor="background1"/>
                <w:sz w:val="20"/>
                <w:szCs w:val="20"/>
              </w:rPr>
              <w:t>Difference to baseline</w:t>
            </w:r>
          </w:p>
        </w:tc>
      </w:tr>
      <w:tr w:rsidR="00B54403" w:rsidRPr="00C54A74" w14:paraId="1CE4BE15" w14:textId="77777777" w:rsidTr="00EC420F">
        <w:trPr>
          <w:trHeight w:val="294"/>
          <w:tblHeader/>
        </w:trPr>
        <w:tc>
          <w:tcPr>
            <w:tcW w:w="1788" w:type="pct"/>
            <w:vMerge/>
            <w:shd w:val="clear" w:color="auto" w:fill="0070C0"/>
            <w:hideMark/>
          </w:tcPr>
          <w:p w14:paraId="3B4EE6DB" w14:textId="77777777" w:rsidR="00B54403" w:rsidRPr="00C54A74" w:rsidRDefault="00B54403" w:rsidP="000326CA">
            <w:pPr>
              <w:rPr>
                <w:b/>
                <w:noProof/>
                <w:color w:val="FFFFFF" w:themeColor="background1"/>
                <w:sz w:val="20"/>
                <w:szCs w:val="20"/>
              </w:rPr>
            </w:pPr>
          </w:p>
        </w:tc>
        <w:tc>
          <w:tcPr>
            <w:tcW w:w="700" w:type="pct"/>
            <w:shd w:val="clear" w:color="auto" w:fill="0070C0"/>
            <w:hideMark/>
          </w:tcPr>
          <w:p w14:paraId="5CFB2551" w14:textId="77777777" w:rsidR="00B54403" w:rsidRPr="00C54A74" w:rsidRDefault="00B54403" w:rsidP="000326CA">
            <w:pPr>
              <w:jc w:val="center"/>
              <w:rPr>
                <w:b/>
                <w:noProof/>
                <w:color w:val="FFFFFF" w:themeColor="background1"/>
                <w:sz w:val="20"/>
                <w:szCs w:val="20"/>
              </w:rPr>
            </w:pPr>
            <w:r w:rsidRPr="00C54A74">
              <w:rPr>
                <w:b/>
                <w:noProof/>
                <w:color w:val="FFFFFF" w:themeColor="background1"/>
                <w:sz w:val="20"/>
                <w:szCs w:val="20"/>
              </w:rPr>
              <w:t>PO1</w:t>
            </w:r>
          </w:p>
        </w:tc>
        <w:tc>
          <w:tcPr>
            <w:tcW w:w="837" w:type="pct"/>
            <w:shd w:val="clear" w:color="auto" w:fill="0070C0"/>
            <w:hideMark/>
          </w:tcPr>
          <w:p w14:paraId="29D37263" w14:textId="77777777" w:rsidR="00B54403" w:rsidRPr="00C54A74" w:rsidRDefault="00B54403" w:rsidP="000326CA">
            <w:pPr>
              <w:jc w:val="center"/>
              <w:rPr>
                <w:b/>
                <w:noProof/>
                <w:color w:val="FFFFFF" w:themeColor="background1"/>
                <w:sz w:val="20"/>
                <w:szCs w:val="20"/>
              </w:rPr>
            </w:pPr>
            <w:r w:rsidRPr="00C54A74">
              <w:rPr>
                <w:b/>
                <w:noProof/>
                <w:color w:val="FFFFFF" w:themeColor="background1"/>
                <w:sz w:val="20"/>
                <w:szCs w:val="20"/>
              </w:rPr>
              <w:t>PO2</w:t>
            </w:r>
          </w:p>
        </w:tc>
        <w:tc>
          <w:tcPr>
            <w:tcW w:w="837" w:type="pct"/>
            <w:shd w:val="clear" w:color="auto" w:fill="0070C0"/>
            <w:hideMark/>
          </w:tcPr>
          <w:p w14:paraId="2FD81143" w14:textId="77777777" w:rsidR="00B54403" w:rsidRPr="00C54A74" w:rsidRDefault="00B54403" w:rsidP="000326CA">
            <w:pPr>
              <w:jc w:val="center"/>
              <w:rPr>
                <w:b/>
                <w:noProof/>
                <w:color w:val="FFFFFF" w:themeColor="background1"/>
                <w:sz w:val="20"/>
                <w:szCs w:val="20"/>
              </w:rPr>
            </w:pPr>
            <w:r w:rsidRPr="00C54A74">
              <w:rPr>
                <w:b/>
                <w:noProof/>
                <w:color w:val="FFFFFF" w:themeColor="background1"/>
                <w:sz w:val="20"/>
                <w:szCs w:val="20"/>
              </w:rPr>
              <w:t>PO3</w:t>
            </w:r>
          </w:p>
        </w:tc>
        <w:tc>
          <w:tcPr>
            <w:tcW w:w="838" w:type="pct"/>
            <w:shd w:val="clear" w:color="auto" w:fill="0070C0"/>
            <w:hideMark/>
          </w:tcPr>
          <w:p w14:paraId="0F1B1441" w14:textId="77777777" w:rsidR="00B54403" w:rsidRPr="00C54A74" w:rsidRDefault="00B54403" w:rsidP="000326CA">
            <w:pPr>
              <w:jc w:val="center"/>
              <w:rPr>
                <w:b/>
                <w:noProof/>
                <w:color w:val="FFFFFF" w:themeColor="background1"/>
                <w:sz w:val="20"/>
                <w:szCs w:val="20"/>
              </w:rPr>
            </w:pPr>
            <w:r w:rsidRPr="00C54A74">
              <w:rPr>
                <w:b/>
                <w:noProof/>
                <w:color w:val="FFFFFF" w:themeColor="background1"/>
                <w:sz w:val="20"/>
                <w:szCs w:val="20"/>
              </w:rPr>
              <w:t>PO4</w:t>
            </w:r>
          </w:p>
        </w:tc>
      </w:tr>
      <w:tr w:rsidR="00626A3D" w:rsidRPr="00C54A74" w14:paraId="6BFB59E5" w14:textId="77777777" w:rsidTr="000326CA">
        <w:trPr>
          <w:trHeight w:val="294"/>
        </w:trPr>
        <w:tc>
          <w:tcPr>
            <w:tcW w:w="1788" w:type="pct"/>
            <w:hideMark/>
          </w:tcPr>
          <w:p w14:paraId="0E5CF583" w14:textId="1AD1C041" w:rsidR="00626A3D" w:rsidRPr="00F85244" w:rsidRDefault="00EC420F" w:rsidP="00626A3D">
            <w:pPr>
              <w:rPr>
                <w:noProof/>
                <w:sz w:val="20"/>
                <w:szCs w:val="20"/>
              </w:rPr>
            </w:pPr>
            <w:r>
              <w:rPr>
                <w:noProof/>
                <w:sz w:val="20"/>
                <w:szCs w:val="20"/>
              </w:rPr>
              <w:t>Non-SME</w:t>
            </w:r>
            <w:r w:rsidRPr="001770E2">
              <w:rPr>
                <w:noProof/>
                <w:sz w:val="20"/>
                <w:szCs w:val="20"/>
              </w:rPr>
              <w:t xml:space="preserve"> </w:t>
            </w:r>
            <w:r w:rsidR="00626A3D" w:rsidRPr="001770E2">
              <w:rPr>
                <w:noProof/>
                <w:sz w:val="20"/>
                <w:szCs w:val="20"/>
              </w:rPr>
              <w:t>MDMS platforms</w:t>
            </w:r>
          </w:p>
        </w:tc>
        <w:tc>
          <w:tcPr>
            <w:tcW w:w="700" w:type="pct"/>
            <w:noWrap/>
            <w:hideMark/>
          </w:tcPr>
          <w:p w14:paraId="1F4359D0" w14:textId="0ACFEDEB" w:rsidR="00626A3D" w:rsidRPr="00C54A74" w:rsidRDefault="00626A3D" w:rsidP="00626A3D">
            <w:pPr>
              <w:jc w:val="right"/>
              <w:rPr>
                <w:noProof/>
                <w:sz w:val="20"/>
                <w:szCs w:val="20"/>
              </w:rPr>
            </w:pPr>
            <w:r>
              <w:rPr>
                <w:noProof/>
                <w:color w:val="000000"/>
                <w:sz w:val="20"/>
                <w:szCs w:val="20"/>
              </w:rPr>
              <w:t>3.4</w:t>
            </w:r>
          </w:p>
        </w:tc>
        <w:tc>
          <w:tcPr>
            <w:tcW w:w="837" w:type="pct"/>
            <w:noWrap/>
            <w:hideMark/>
          </w:tcPr>
          <w:p w14:paraId="75D95561" w14:textId="6C7CB721" w:rsidR="00626A3D" w:rsidRPr="00C54A74" w:rsidRDefault="00626A3D" w:rsidP="00626A3D">
            <w:pPr>
              <w:jc w:val="right"/>
              <w:rPr>
                <w:noProof/>
                <w:sz w:val="20"/>
                <w:szCs w:val="20"/>
              </w:rPr>
            </w:pPr>
            <w:r>
              <w:rPr>
                <w:noProof/>
                <w:color w:val="000000"/>
                <w:sz w:val="20"/>
                <w:szCs w:val="20"/>
              </w:rPr>
              <w:t>42.3</w:t>
            </w:r>
          </w:p>
        </w:tc>
        <w:tc>
          <w:tcPr>
            <w:tcW w:w="837" w:type="pct"/>
            <w:noWrap/>
            <w:hideMark/>
          </w:tcPr>
          <w:p w14:paraId="2DAD5BC2" w14:textId="611F0A11" w:rsidR="00626A3D" w:rsidRPr="00C54A74" w:rsidRDefault="00626A3D" w:rsidP="00626A3D">
            <w:pPr>
              <w:jc w:val="right"/>
              <w:rPr>
                <w:noProof/>
                <w:sz w:val="20"/>
                <w:szCs w:val="20"/>
              </w:rPr>
            </w:pPr>
            <w:r>
              <w:rPr>
                <w:noProof/>
                <w:color w:val="000000"/>
                <w:sz w:val="20"/>
                <w:szCs w:val="20"/>
              </w:rPr>
              <w:t>38.4</w:t>
            </w:r>
          </w:p>
        </w:tc>
        <w:tc>
          <w:tcPr>
            <w:tcW w:w="838" w:type="pct"/>
            <w:noWrap/>
            <w:hideMark/>
          </w:tcPr>
          <w:p w14:paraId="6EA5DC25" w14:textId="5B33EB7E" w:rsidR="00626A3D" w:rsidRPr="00C54A74" w:rsidRDefault="00626A3D" w:rsidP="00626A3D">
            <w:pPr>
              <w:jc w:val="right"/>
              <w:rPr>
                <w:noProof/>
                <w:sz w:val="20"/>
                <w:szCs w:val="20"/>
              </w:rPr>
            </w:pPr>
            <w:r>
              <w:rPr>
                <w:noProof/>
                <w:color w:val="000000"/>
                <w:sz w:val="20"/>
                <w:szCs w:val="20"/>
              </w:rPr>
              <w:t>41.6</w:t>
            </w:r>
          </w:p>
        </w:tc>
      </w:tr>
      <w:tr w:rsidR="00EC420F" w:rsidRPr="00C54A74" w14:paraId="65930717" w14:textId="77777777" w:rsidTr="000326CA">
        <w:trPr>
          <w:trHeight w:val="294"/>
        </w:trPr>
        <w:tc>
          <w:tcPr>
            <w:tcW w:w="1788" w:type="pct"/>
          </w:tcPr>
          <w:p w14:paraId="24B49A1C" w14:textId="77777777" w:rsidR="00EC420F" w:rsidRPr="001770E2" w:rsidRDefault="00EC420F" w:rsidP="0009171E">
            <w:pPr>
              <w:keepNext/>
              <w:rPr>
                <w:noProof/>
                <w:sz w:val="20"/>
                <w:szCs w:val="20"/>
              </w:rPr>
            </w:pPr>
            <w:r w:rsidRPr="001770E2">
              <w:rPr>
                <w:noProof/>
                <w:sz w:val="20"/>
                <w:szCs w:val="20"/>
              </w:rPr>
              <w:t>SME MDMS platforms</w:t>
            </w:r>
          </w:p>
        </w:tc>
        <w:tc>
          <w:tcPr>
            <w:tcW w:w="700" w:type="pct"/>
            <w:noWrap/>
          </w:tcPr>
          <w:p w14:paraId="3F88D7A6" w14:textId="71DE33A3" w:rsidR="00EC420F" w:rsidRPr="00C54A74" w:rsidRDefault="00EC420F" w:rsidP="0009171E">
            <w:pPr>
              <w:keepNext/>
              <w:jc w:val="right"/>
              <w:rPr>
                <w:noProof/>
                <w:sz w:val="20"/>
                <w:szCs w:val="20"/>
              </w:rPr>
            </w:pPr>
            <w:r>
              <w:rPr>
                <w:noProof/>
                <w:color w:val="000000"/>
                <w:sz w:val="20"/>
                <w:szCs w:val="20"/>
              </w:rPr>
              <w:t>8.6</w:t>
            </w:r>
          </w:p>
        </w:tc>
        <w:tc>
          <w:tcPr>
            <w:tcW w:w="837" w:type="pct"/>
            <w:noWrap/>
          </w:tcPr>
          <w:p w14:paraId="7FC5CCF9" w14:textId="746FDF82" w:rsidR="00EC420F" w:rsidRPr="00C54A74" w:rsidRDefault="00EC420F" w:rsidP="0009171E">
            <w:pPr>
              <w:keepNext/>
              <w:jc w:val="right"/>
              <w:rPr>
                <w:noProof/>
                <w:sz w:val="20"/>
                <w:szCs w:val="20"/>
              </w:rPr>
            </w:pPr>
            <w:r>
              <w:rPr>
                <w:noProof/>
                <w:color w:val="000000"/>
                <w:sz w:val="20"/>
                <w:szCs w:val="20"/>
              </w:rPr>
              <w:t>93.7</w:t>
            </w:r>
          </w:p>
        </w:tc>
        <w:tc>
          <w:tcPr>
            <w:tcW w:w="837" w:type="pct"/>
            <w:noWrap/>
          </w:tcPr>
          <w:p w14:paraId="62556C35" w14:textId="735910FD" w:rsidR="00EC420F" w:rsidRPr="00C54A74" w:rsidRDefault="00EC420F" w:rsidP="0009171E">
            <w:pPr>
              <w:keepNext/>
              <w:jc w:val="right"/>
              <w:rPr>
                <w:noProof/>
                <w:sz w:val="20"/>
                <w:szCs w:val="20"/>
              </w:rPr>
            </w:pPr>
            <w:r>
              <w:rPr>
                <w:noProof/>
                <w:color w:val="000000"/>
                <w:sz w:val="20"/>
                <w:szCs w:val="20"/>
              </w:rPr>
              <w:t>83.9</w:t>
            </w:r>
          </w:p>
        </w:tc>
        <w:tc>
          <w:tcPr>
            <w:tcW w:w="838" w:type="pct"/>
            <w:noWrap/>
          </w:tcPr>
          <w:p w14:paraId="022521EC" w14:textId="3AEDAFFF" w:rsidR="00EC420F" w:rsidRPr="00C54A74" w:rsidRDefault="00EC420F" w:rsidP="0009171E">
            <w:pPr>
              <w:keepNext/>
              <w:jc w:val="right"/>
              <w:rPr>
                <w:noProof/>
                <w:sz w:val="20"/>
                <w:szCs w:val="20"/>
              </w:rPr>
            </w:pPr>
            <w:r>
              <w:rPr>
                <w:noProof/>
                <w:color w:val="000000"/>
                <w:sz w:val="20"/>
                <w:szCs w:val="20"/>
              </w:rPr>
              <w:t>88.8</w:t>
            </w:r>
          </w:p>
        </w:tc>
      </w:tr>
    </w:tbl>
    <w:p w14:paraId="0364B6FC" w14:textId="77777777" w:rsidR="000326CA" w:rsidRPr="00D71008" w:rsidRDefault="000326CA" w:rsidP="0009171E">
      <w:pPr>
        <w:keepNext/>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0C09CDA4" w14:textId="23AC183A" w:rsidR="00AD780D" w:rsidRDefault="00AD780D" w:rsidP="00AD780D">
      <w:pPr>
        <w:pStyle w:val="Nornal"/>
        <w:keepNext/>
        <w:spacing w:after="240" w:line="240" w:lineRule="auto"/>
        <w:rPr>
          <w:rFonts w:cs="Arial"/>
          <w:i/>
          <w:iCs/>
          <w:noProof/>
          <w:spacing w:val="-8"/>
          <w:sz w:val="24"/>
          <w:szCs w:val="24"/>
        </w:rPr>
      </w:pPr>
      <w:r>
        <w:rPr>
          <w:rFonts w:cs="Arial"/>
          <w:i/>
          <w:iCs/>
          <w:noProof/>
          <w:spacing w:val="-8"/>
          <w:sz w:val="24"/>
          <w:szCs w:val="24"/>
        </w:rPr>
        <w:t>Recurrent adjustment</w:t>
      </w:r>
      <w:r w:rsidRPr="00FF2B87">
        <w:rPr>
          <w:rFonts w:cs="Arial"/>
          <w:i/>
          <w:iCs/>
          <w:noProof/>
          <w:spacing w:val="-8"/>
          <w:sz w:val="24"/>
          <w:szCs w:val="24"/>
        </w:rPr>
        <w:t xml:space="preserve"> costs </w:t>
      </w:r>
      <w:r>
        <w:rPr>
          <w:rFonts w:cs="Arial"/>
          <w:i/>
          <w:iCs/>
          <w:noProof/>
          <w:spacing w:val="-8"/>
          <w:sz w:val="24"/>
          <w:szCs w:val="24"/>
        </w:rPr>
        <w:t xml:space="preserve">savings </w:t>
      </w:r>
      <w:r w:rsidRPr="00FF2B87">
        <w:rPr>
          <w:rFonts w:cs="Arial"/>
          <w:i/>
          <w:iCs/>
          <w:noProof/>
          <w:spacing w:val="-8"/>
          <w:sz w:val="24"/>
          <w:szCs w:val="24"/>
        </w:rPr>
        <w:t xml:space="preserve">for </w:t>
      </w:r>
      <w:r>
        <w:rPr>
          <w:rFonts w:cs="Arial"/>
          <w:i/>
          <w:iCs/>
          <w:noProof/>
          <w:spacing w:val="-8"/>
          <w:sz w:val="24"/>
          <w:szCs w:val="24"/>
        </w:rPr>
        <w:t>transport operators</w:t>
      </w:r>
    </w:p>
    <w:p w14:paraId="37E6093A" w14:textId="4D71879B" w:rsidR="00AD780D" w:rsidRPr="0080196C" w:rsidRDefault="00AD780D" w:rsidP="00AD780D">
      <w:pPr>
        <w:pStyle w:val="TableParagraph"/>
        <w:keepNext/>
        <w:spacing w:after="240"/>
        <w:ind w:right="71"/>
        <w:jc w:val="both"/>
        <w:rPr>
          <w:noProof/>
          <w:spacing w:val="-8"/>
          <w:sz w:val="24"/>
          <w:szCs w:val="24"/>
        </w:rPr>
      </w:pPr>
      <w:r w:rsidRPr="0080196C">
        <w:rPr>
          <w:noProof/>
          <w:spacing w:val="-8"/>
          <w:sz w:val="24"/>
          <w:szCs w:val="24"/>
        </w:rPr>
        <w:t xml:space="preserve">The </w:t>
      </w:r>
      <w:r>
        <w:rPr>
          <w:noProof/>
          <w:spacing w:val="-8"/>
          <w:sz w:val="24"/>
          <w:szCs w:val="24"/>
        </w:rPr>
        <w:t xml:space="preserve">adjustment costs savings for transport operators due to PM11 in 2028, 2030, 2040 and 2050 relative to the baseline are provided in the table below. The table also includes a split between the costs savings corresponding to </w:t>
      </w:r>
      <w:r w:rsidR="00D87355">
        <w:rPr>
          <w:noProof/>
          <w:spacing w:val="-8"/>
          <w:sz w:val="24"/>
          <w:szCs w:val="24"/>
        </w:rPr>
        <w:t>non-SME</w:t>
      </w:r>
      <w:r>
        <w:rPr>
          <w:noProof/>
          <w:spacing w:val="-8"/>
          <w:sz w:val="24"/>
          <w:szCs w:val="24"/>
        </w:rPr>
        <w:t xml:space="preserve"> transport operators and SMEs.  </w:t>
      </w:r>
    </w:p>
    <w:p w14:paraId="73B3CCD1" w14:textId="723DC6CF" w:rsidR="00615FC5" w:rsidRPr="00087E1F" w:rsidRDefault="00615FC5" w:rsidP="00087E1F">
      <w:pPr>
        <w:keepNext/>
        <w:tabs>
          <w:tab w:val="left" w:pos="1134"/>
        </w:tabs>
        <w:jc w:val="both"/>
        <w:rPr>
          <w:i/>
          <w:noProof/>
          <w:sz w:val="22"/>
          <w:szCs w:val="22"/>
        </w:rPr>
      </w:pPr>
      <w:r w:rsidRPr="00087E1F">
        <w:rPr>
          <w:i/>
          <w:noProof/>
          <w:sz w:val="22"/>
          <w:szCs w:val="22"/>
        </w:rPr>
        <w:t xml:space="preserve">Table </w:t>
      </w:r>
      <w:r w:rsidRPr="00087E1F">
        <w:rPr>
          <w:i/>
          <w:noProof/>
          <w:sz w:val="22"/>
          <w:szCs w:val="22"/>
        </w:rPr>
        <w:fldChar w:fldCharType="begin"/>
      </w:r>
      <w:r w:rsidRPr="00087E1F">
        <w:rPr>
          <w:i/>
          <w:noProof/>
          <w:sz w:val="22"/>
          <w:szCs w:val="22"/>
        </w:rPr>
        <w:instrText xml:space="preserve"> SEQ Table \* ARABIC </w:instrText>
      </w:r>
      <w:r w:rsidRPr="00087E1F">
        <w:rPr>
          <w:i/>
          <w:noProof/>
          <w:sz w:val="22"/>
          <w:szCs w:val="22"/>
        </w:rPr>
        <w:fldChar w:fldCharType="separate"/>
      </w:r>
      <w:r w:rsidR="0055391F">
        <w:rPr>
          <w:i/>
          <w:noProof/>
          <w:sz w:val="22"/>
          <w:szCs w:val="22"/>
        </w:rPr>
        <w:t>108</w:t>
      </w:r>
      <w:r w:rsidRPr="00087E1F">
        <w:rPr>
          <w:i/>
          <w:noProof/>
          <w:sz w:val="22"/>
          <w:szCs w:val="22"/>
        </w:rPr>
        <w:fldChar w:fldCharType="end"/>
      </w:r>
      <w:r w:rsidRPr="00087E1F">
        <w:rPr>
          <w:i/>
          <w:noProof/>
          <w:sz w:val="22"/>
          <w:szCs w:val="22"/>
        </w:rPr>
        <w:t xml:space="preserve">: Adjustment costs savings for transport operators due to PM11 in 2028, 2030, 2040 and 2050 relative to the baseline </w:t>
      </w:r>
    </w:p>
    <w:tbl>
      <w:tblPr>
        <w:tblW w:w="5000" w:type="pct"/>
        <w:tblLook w:val="04A0" w:firstRow="1" w:lastRow="0" w:firstColumn="1" w:lastColumn="0" w:noHBand="0" w:noVBand="1"/>
      </w:tblPr>
      <w:tblGrid>
        <w:gridCol w:w="6786"/>
        <w:gridCol w:w="704"/>
        <w:gridCol w:w="705"/>
        <w:gridCol w:w="705"/>
        <w:gridCol w:w="703"/>
      </w:tblGrid>
      <w:tr w:rsidR="002E7E72" w:rsidRPr="008046B3" w14:paraId="52CE2E6E" w14:textId="77777777" w:rsidTr="008046B3">
        <w:trPr>
          <w:trHeight w:val="255"/>
          <w:tblHeader/>
        </w:trPr>
        <w:tc>
          <w:tcPr>
            <w:tcW w:w="3533" w:type="pct"/>
            <w:tcBorders>
              <w:top w:val="single" w:sz="4" w:space="0" w:color="auto"/>
              <w:left w:val="single" w:sz="4" w:space="0" w:color="auto"/>
              <w:bottom w:val="single" w:sz="4" w:space="0" w:color="auto"/>
              <w:right w:val="single" w:sz="4" w:space="0" w:color="auto"/>
            </w:tcBorders>
            <w:shd w:val="clear" w:color="auto" w:fill="0070C0"/>
            <w:noWrap/>
            <w:hideMark/>
          </w:tcPr>
          <w:p w14:paraId="7EE55C92" w14:textId="77777777" w:rsidR="00913DCC" w:rsidRPr="008046B3" w:rsidRDefault="00913DCC" w:rsidP="00E2285B">
            <w:pPr>
              <w:jc w:val="center"/>
              <w:rPr>
                <w:b/>
                <w:noProof/>
                <w:color w:val="FFFFFF"/>
                <w:sz w:val="20"/>
                <w:szCs w:val="20"/>
              </w:rPr>
            </w:pPr>
            <w:r w:rsidRPr="008046B3">
              <w:rPr>
                <w:b/>
                <w:noProof/>
                <w:color w:val="FFFFFF"/>
                <w:sz w:val="20"/>
                <w:szCs w:val="20"/>
              </w:rPr>
              <w:t> </w:t>
            </w:r>
          </w:p>
        </w:tc>
        <w:tc>
          <w:tcPr>
            <w:tcW w:w="367" w:type="pct"/>
            <w:tcBorders>
              <w:top w:val="single" w:sz="4" w:space="0" w:color="auto"/>
              <w:left w:val="nil"/>
              <w:bottom w:val="single" w:sz="4" w:space="0" w:color="auto"/>
              <w:right w:val="single" w:sz="4" w:space="0" w:color="auto"/>
            </w:tcBorders>
            <w:shd w:val="clear" w:color="auto" w:fill="0070C0"/>
            <w:noWrap/>
            <w:hideMark/>
          </w:tcPr>
          <w:p w14:paraId="401D45E6" w14:textId="77777777" w:rsidR="00913DCC" w:rsidRPr="008046B3" w:rsidRDefault="00913DCC" w:rsidP="00E2285B">
            <w:pPr>
              <w:jc w:val="center"/>
              <w:rPr>
                <w:b/>
                <w:noProof/>
                <w:color w:val="FFFFFF"/>
                <w:sz w:val="20"/>
                <w:szCs w:val="20"/>
              </w:rPr>
            </w:pPr>
            <w:r w:rsidRPr="008046B3">
              <w:rPr>
                <w:b/>
                <w:noProof/>
                <w:color w:val="FFFFFF"/>
                <w:sz w:val="20"/>
                <w:szCs w:val="20"/>
              </w:rPr>
              <w:t>2028</w:t>
            </w:r>
          </w:p>
        </w:tc>
        <w:tc>
          <w:tcPr>
            <w:tcW w:w="367" w:type="pct"/>
            <w:tcBorders>
              <w:top w:val="single" w:sz="4" w:space="0" w:color="auto"/>
              <w:left w:val="nil"/>
              <w:bottom w:val="single" w:sz="4" w:space="0" w:color="auto"/>
              <w:right w:val="single" w:sz="4" w:space="0" w:color="auto"/>
            </w:tcBorders>
            <w:shd w:val="clear" w:color="auto" w:fill="0070C0"/>
            <w:noWrap/>
            <w:hideMark/>
          </w:tcPr>
          <w:p w14:paraId="3E0F61F2" w14:textId="77777777" w:rsidR="00913DCC" w:rsidRPr="008046B3" w:rsidRDefault="00913DCC" w:rsidP="00E2285B">
            <w:pPr>
              <w:jc w:val="center"/>
              <w:rPr>
                <w:b/>
                <w:noProof/>
                <w:color w:val="FFFFFF"/>
                <w:sz w:val="20"/>
                <w:szCs w:val="20"/>
              </w:rPr>
            </w:pPr>
            <w:r w:rsidRPr="008046B3">
              <w:rPr>
                <w:b/>
                <w:noProof/>
                <w:color w:val="FFFFFF"/>
                <w:sz w:val="20"/>
                <w:szCs w:val="20"/>
              </w:rPr>
              <w:t>2030</w:t>
            </w:r>
          </w:p>
        </w:tc>
        <w:tc>
          <w:tcPr>
            <w:tcW w:w="367" w:type="pct"/>
            <w:tcBorders>
              <w:top w:val="single" w:sz="4" w:space="0" w:color="auto"/>
              <w:left w:val="nil"/>
              <w:bottom w:val="single" w:sz="4" w:space="0" w:color="auto"/>
              <w:right w:val="single" w:sz="4" w:space="0" w:color="auto"/>
            </w:tcBorders>
            <w:shd w:val="clear" w:color="auto" w:fill="0070C0"/>
            <w:noWrap/>
            <w:hideMark/>
          </w:tcPr>
          <w:p w14:paraId="6F2D4F23" w14:textId="77777777" w:rsidR="00913DCC" w:rsidRPr="008046B3" w:rsidRDefault="00913DCC" w:rsidP="00E2285B">
            <w:pPr>
              <w:jc w:val="center"/>
              <w:rPr>
                <w:b/>
                <w:noProof/>
                <w:color w:val="FFFFFF"/>
                <w:sz w:val="20"/>
                <w:szCs w:val="20"/>
              </w:rPr>
            </w:pPr>
            <w:r w:rsidRPr="008046B3">
              <w:rPr>
                <w:b/>
                <w:noProof/>
                <w:color w:val="FFFFFF"/>
                <w:sz w:val="20"/>
                <w:szCs w:val="20"/>
              </w:rPr>
              <w:t>2040</w:t>
            </w:r>
          </w:p>
        </w:tc>
        <w:tc>
          <w:tcPr>
            <w:tcW w:w="366" w:type="pct"/>
            <w:tcBorders>
              <w:top w:val="single" w:sz="4" w:space="0" w:color="auto"/>
              <w:left w:val="nil"/>
              <w:bottom w:val="single" w:sz="4" w:space="0" w:color="auto"/>
              <w:right w:val="single" w:sz="4" w:space="0" w:color="auto"/>
            </w:tcBorders>
            <w:shd w:val="clear" w:color="auto" w:fill="0070C0"/>
            <w:noWrap/>
            <w:hideMark/>
          </w:tcPr>
          <w:p w14:paraId="3841E3D5" w14:textId="77777777" w:rsidR="00913DCC" w:rsidRPr="008046B3" w:rsidRDefault="00913DCC" w:rsidP="00E2285B">
            <w:pPr>
              <w:jc w:val="center"/>
              <w:rPr>
                <w:b/>
                <w:noProof/>
                <w:color w:val="FFFFFF"/>
                <w:sz w:val="20"/>
                <w:szCs w:val="20"/>
              </w:rPr>
            </w:pPr>
            <w:r w:rsidRPr="008046B3">
              <w:rPr>
                <w:b/>
                <w:noProof/>
                <w:color w:val="FFFFFF"/>
                <w:sz w:val="20"/>
                <w:szCs w:val="20"/>
              </w:rPr>
              <w:t>2050</w:t>
            </w:r>
          </w:p>
        </w:tc>
      </w:tr>
      <w:tr w:rsidR="002E7E72" w:rsidRPr="008046B3" w14:paraId="45152D2A" w14:textId="77777777" w:rsidTr="008046B3">
        <w:trPr>
          <w:trHeight w:val="225"/>
        </w:trPr>
        <w:tc>
          <w:tcPr>
            <w:tcW w:w="3533" w:type="pct"/>
            <w:tcBorders>
              <w:top w:val="nil"/>
              <w:left w:val="single" w:sz="4" w:space="0" w:color="auto"/>
              <w:bottom w:val="single" w:sz="4" w:space="0" w:color="auto"/>
              <w:right w:val="single" w:sz="4" w:space="0" w:color="auto"/>
            </w:tcBorders>
            <w:noWrap/>
            <w:hideMark/>
          </w:tcPr>
          <w:p w14:paraId="4AD819D0" w14:textId="77777777" w:rsidR="002E7E72" w:rsidRPr="008046B3" w:rsidRDefault="002E7E72" w:rsidP="002E7E72">
            <w:pPr>
              <w:rPr>
                <w:noProof/>
                <w:color w:val="000000"/>
                <w:sz w:val="20"/>
                <w:szCs w:val="20"/>
              </w:rPr>
            </w:pPr>
            <w:r w:rsidRPr="008046B3">
              <w:rPr>
                <w:noProof/>
                <w:color w:val="000000"/>
                <w:sz w:val="20"/>
                <w:szCs w:val="20"/>
              </w:rPr>
              <w:t>Cost savings per new agreement (EUR)</w:t>
            </w:r>
          </w:p>
        </w:tc>
        <w:tc>
          <w:tcPr>
            <w:tcW w:w="367" w:type="pct"/>
            <w:tcBorders>
              <w:top w:val="nil"/>
              <w:left w:val="nil"/>
              <w:bottom w:val="single" w:sz="4" w:space="0" w:color="auto"/>
              <w:right w:val="single" w:sz="4" w:space="0" w:color="auto"/>
            </w:tcBorders>
            <w:shd w:val="clear" w:color="auto" w:fill="FFFFFF" w:themeFill="background1"/>
            <w:noWrap/>
            <w:hideMark/>
          </w:tcPr>
          <w:p w14:paraId="5F6310F5" w14:textId="66B4A989" w:rsidR="002E7E72" w:rsidRPr="008046B3" w:rsidRDefault="002E7E72" w:rsidP="002E7E72">
            <w:pPr>
              <w:jc w:val="right"/>
              <w:rPr>
                <w:noProof/>
                <w:sz w:val="20"/>
                <w:szCs w:val="20"/>
              </w:rPr>
            </w:pPr>
            <w:r w:rsidRPr="008046B3">
              <w:rPr>
                <w:noProof/>
                <w:sz w:val="20"/>
                <w:szCs w:val="20"/>
              </w:rPr>
              <w:t>2,000</w:t>
            </w:r>
          </w:p>
        </w:tc>
        <w:tc>
          <w:tcPr>
            <w:tcW w:w="367" w:type="pct"/>
            <w:tcBorders>
              <w:top w:val="nil"/>
              <w:left w:val="nil"/>
              <w:bottom w:val="single" w:sz="4" w:space="0" w:color="auto"/>
              <w:right w:val="single" w:sz="4" w:space="0" w:color="auto"/>
            </w:tcBorders>
            <w:shd w:val="clear" w:color="auto" w:fill="FFFFFF" w:themeFill="background1"/>
            <w:noWrap/>
            <w:hideMark/>
          </w:tcPr>
          <w:p w14:paraId="768E8362" w14:textId="0BFC5EA6" w:rsidR="002E7E72" w:rsidRPr="008046B3" w:rsidRDefault="002E7E72" w:rsidP="002E7E72">
            <w:pPr>
              <w:jc w:val="right"/>
              <w:rPr>
                <w:noProof/>
                <w:sz w:val="20"/>
                <w:szCs w:val="20"/>
              </w:rPr>
            </w:pPr>
            <w:r w:rsidRPr="008046B3">
              <w:rPr>
                <w:noProof/>
                <w:sz w:val="20"/>
                <w:szCs w:val="20"/>
              </w:rPr>
              <w:t>2,000</w:t>
            </w:r>
          </w:p>
        </w:tc>
        <w:tc>
          <w:tcPr>
            <w:tcW w:w="367" w:type="pct"/>
            <w:tcBorders>
              <w:top w:val="nil"/>
              <w:left w:val="nil"/>
              <w:bottom w:val="single" w:sz="4" w:space="0" w:color="auto"/>
              <w:right w:val="single" w:sz="4" w:space="0" w:color="auto"/>
            </w:tcBorders>
            <w:shd w:val="clear" w:color="auto" w:fill="FFFFFF" w:themeFill="background1"/>
            <w:noWrap/>
            <w:hideMark/>
          </w:tcPr>
          <w:p w14:paraId="54533485" w14:textId="6A9623A6" w:rsidR="002E7E72" w:rsidRPr="008046B3" w:rsidRDefault="002E7E72" w:rsidP="002E7E72">
            <w:pPr>
              <w:jc w:val="right"/>
              <w:rPr>
                <w:noProof/>
                <w:sz w:val="20"/>
                <w:szCs w:val="20"/>
              </w:rPr>
            </w:pPr>
            <w:r w:rsidRPr="008046B3">
              <w:rPr>
                <w:noProof/>
                <w:sz w:val="20"/>
                <w:szCs w:val="20"/>
              </w:rPr>
              <w:t>2,000</w:t>
            </w:r>
          </w:p>
        </w:tc>
        <w:tc>
          <w:tcPr>
            <w:tcW w:w="366" w:type="pct"/>
            <w:tcBorders>
              <w:top w:val="nil"/>
              <w:left w:val="nil"/>
              <w:bottom w:val="single" w:sz="4" w:space="0" w:color="auto"/>
              <w:right w:val="single" w:sz="4" w:space="0" w:color="auto"/>
            </w:tcBorders>
            <w:shd w:val="clear" w:color="auto" w:fill="FFFFFF" w:themeFill="background1"/>
            <w:noWrap/>
            <w:hideMark/>
          </w:tcPr>
          <w:p w14:paraId="1712BE24" w14:textId="3BDB27E6" w:rsidR="002E7E72" w:rsidRPr="008046B3" w:rsidRDefault="002E7E72" w:rsidP="002E7E72">
            <w:pPr>
              <w:jc w:val="right"/>
              <w:rPr>
                <w:noProof/>
                <w:sz w:val="20"/>
                <w:szCs w:val="20"/>
              </w:rPr>
            </w:pPr>
            <w:r w:rsidRPr="008046B3">
              <w:rPr>
                <w:noProof/>
                <w:sz w:val="20"/>
                <w:szCs w:val="20"/>
              </w:rPr>
              <w:t>2,000</w:t>
            </w:r>
          </w:p>
        </w:tc>
      </w:tr>
      <w:tr w:rsidR="002E7E72" w:rsidRPr="008046B3" w14:paraId="5C4AC24E" w14:textId="77777777" w:rsidTr="008046B3">
        <w:trPr>
          <w:trHeight w:val="225"/>
        </w:trPr>
        <w:tc>
          <w:tcPr>
            <w:tcW w:w="3533" w:type="pct"/>
            <w:tcBorders>
              <w:top w:val="nil"/>
              <w:left w:val="single" w:sz="4" w:space="0" w:color="auto"/>
              <w:bottom w:val="single" w:sz="4" w:space="0" w:color="auto"/>
              <w:right w:val="single" w:sz="4" w:space="0" w:color="auto"/>
            </w:tcBorders>
            <w:noWrap/>
            <w:hideMark/>
          </w:tcPr>
          <w:p w14:paraId="5872860A" w14:textId="77777777" w:rsidR="002E7E72" w:rsidRPr="008046B3" w:rsidRDefault="002E7E72" w:rsidP="002E7E72">
            <w:pPr>
              <w:rPr>
                <w:noProof/>
                <w:color w:val="000000"/>
                <w:sz w:val="20"/>
                <w:szCs w:val="20"/>
              </w:rPr>
            </w:pPr>
            <w:r w:rsidRPr="008046B3">
              <w:rPr>
                <w:noProof/>
                <w:color w:val="000000"/>
                <w:sz w:val="20"/>
                <w:szCs w:val="20"/>
              </w:rPr>
              <w:t>Cost savings per renegotiated agreement (EUR)</w:t>
            </w:r>
          </w:p>
        </w:tc>
        <w:tc>
          <w:tcPr>
            <w:tcW w:w="367" w:type="pct"/>
            <w:tcBorders>
              <w:top w:val="nil"/>
              <w:left w:val="nil"/>
              <w:bottom w:val="single" w:sz="4" w:space="0" w:color="auto"/>
              <w:right w:val="single" w:sz="4" w:space="0" w:color="auto"/>
            </w:tcBorders>
            <w:shd w:val="clear" w:color="auto" w:fill="FFFFFF" w:themeFill="background1"/>
            <w:noWrap/>
            <w:hideMark/>
          </w:tcPr>
          <w:p w14:paraId="3C8D090C" w14:textId="651DC123" w:rsidR="002E7E72" w:rsidRPr="008046B3" w:rsidRDefault="002E7E72" w:rsidP="002E7E72">
            <w:pPr>
              <w:jc w:val="right"/>
              <w:rPr>
                <w:noProof/>
                <w:sz w:val="20"/>
                <w:szCs w:val="20"/>
              </w:rPr>
            </w:pPr>
            <w:r w:rsidRPr="008046B3">
              <w:rPr>
                <w:noProof/>
                <w:sz w:val="20"/>
                <w:szCs w:val="20"/>
              </w:rPr>
              <w:t>1,183</w:t>
            </w:r>
          </w:p>
        </w:tc>
        <w:tc>
          <w:tcPr>
            <w:tcW w:w="367" w:type="pct"/>
            <w:tcBorders>
              <w:top w:val="nil"/>
              <w:left w:val="nil"/>
              <w:bottom w:val="single" w:sz="4" w:space="0" w:color="auto"/>
              <w:right w:val="single" w:sz="4" w:space="0" w:color="auto"/>
            </w:tcBorders>
            <w:shd w:val="clear" w:color="auto" w:fill="FFFFFF" w:themeFill="background1"/>
            <w:noWrap/>
            <w:hideMark/>
          </w:tcPr>
          <w:p w14:paraId="09A0DBEB" w14:textId="7EC1B05A" w:rsidR="002E7E72" w:rsidRPr="008046B3" w:rsidRDefault="002E7E72" w:rsidP="002E7E72">
            <w:pPr>
              <w:jc w:val="right"/>
              <w:rPr>
                <w:noProof/>
                <w:sz w:val="20"/>
                <w:szCs w:val="20"/>
              </w:rPr>
            </w:pPr>
            <w:r w:rsidRPr="008046B3">
              <w:rPr>
                <w:noProof/>
                <w:sz w:val="20"/>
                <w:szCs w:val="20"/>
              </w:rPr>
              <w:t>1,183</w:t>
            </w:r>
          </w:p>
        </w:tc>
        <w:tc>
          <w:tcPr>
            <w:tcW w:w="367" w:type="pct"/>
            <w:tcBorders>
              <w:top w:val="nil"/>
              <w:left w:val="nil"/>
              <w:bottom w:val="single" w:sz="4" w:space="0" w:color="auto"/>
              <w:right w:val="single" w:sz="4" w:space="0" w:color="auto"/>
            </w:tcBorders>
            <w:shd w:val="clear" w:color="auto" w:fill="FFFFFF" w:themeFill="background1"/>
            <w:noWrap/>
            <w:hideMark/>
          </w:tcPr>
          <w:p w14:paraId="7B216F94" w14:textId="3847B925" w:rsidR="002E7E72" w:rsidRPr="008046B3" w:rsidRDefault="002E7E72" w:rsidP="002E7E72">
            <w:pPr>
              <w:jc w:val="right"/>
              <w:rPr>
                <w:noProof/>
                <w:sz w:val="20"/>
                <w:szCs w:val="20"/>
              </w:rPr>
            </w:pPr>
            <w:r w:rsidRPr="008046B3">
              <w:rPr>
                <w:noProof/>
                <w:sz w:val="20"/>
                <w:szCs w:val="20"/>
              </w:rPr>
              <w:t>1,183</w:t>
            </w:r>
          </w:p>
        </w:tc>
        <w:tc>
          <w:tcPr>
            <w:tcW w:w="366" w:type="pct"/>
            <w:tcBorders>
              <w:top w:val="nil"/>
              <w:left w:val="nil"/>
              <w:bottom w:val="single" w:sz="4" w:space="0" w:color="auto"/>
              <w:right w:val="single" w:sz="4" w:space="0" w:color="auto"/>
            </w:tcBorders>
            <w:shd w:val="clear" w:color="auto" w:fill="FFFFFF" w:themeFill="background1"/>
            <w:noWrap/>
            <w:hideMark/>
          </w:tcPr>
          <w:p w14:paraId="4CC27D39" w14:textId="5713E90B" w:rsidR="002E7E72" w:rsidRPr="008046B3" w:rsidRDefault="002E7E72" w:rsidP="002E7E72">
            <w:pPr>
              <w:jc w:val="right"/>
              <w:rPr>
                <w:noProof/>
                <w:sz w:val="20"/>
                <w:szCs w:val="20"/>
              </w:rPr>
            </w:pPr>
            <w:r w:rsidRPr="008046B3">
              <w:rPr>
                <w:noProof/>
                <w:sz w:val="20"/>
                <w:szCs w:val="20"/>
              </w:rPr>
              <w:t>1,183</w:t>
            </w:r>
          </w:p>
        </w:tc>
      </w:tr>
      <w:tr w:rsidR="002E7E72" w:rsidRPr="008046B3" w14:paraId="336F7FDC" w14:textId="77777777" w:rsidTr="008046B3">
        <w:trPr>
          <w:trHeight w:val="225"/>
        </w:trPr>
        <w:tc>
          <w:tcPr>
            <w:tcW w:w="3533" w:type="pct"/>
            <w:tcBorders>
              <w:top w:val="nil"/>
              <w:left w:val="single" w:sz="4" w:space="0" w:color="auto"/>
              <w:bottom w:val="single" w:sz="4" w:space="0" w:color="auto"/>
              <w:right w:val="single" w:sz="4" w:space="0" w:color="auto"/>
            </w:tcBorders>
            <w:noWrap/>
            <w:hideMark/>
          </w:tcPr>
          <w:p w14:paraId="3B0D18EE" w14:textId="77777777" w:rsidR="002E7E72" w:rsidRPr="008046B3" w:rsidRDefault="002E7E72" w:rsidP="002E7E72">
            <w:pPr>
              <w:rPr>
                <w:b/>
                <w:noProof/>
                <w:color w:val="000000"/>
                <w:sz w:val="20"/>
                <w:szCs w:val="20"/>
              </w:rPr>
            </w:pPr>
            <w:r w:rsidRPr="008046B3">
              <w:rPr>
                <w:b/>
                <w:noProof/>
                <w:color w:val="000000"/>
                <w:sz w:val="20"/>
                <w:szCs w:val="20"/>
              </w:rPr>
              <w:t>PO1</w:t>
            </w:r>
          </w:p>
        </w:tc>
        <w:tc>
          <w:tcPr>
            <w:tcW w:w="367" w:type="pct"/>
            <w:tcBorders>
              <w:top w:val="nil"/>
              <w:left w:val="nil"/>
              <w:bottom w:val="single" w:sz="4" w:space="0" w:color="auto"/>
              <w:right w:val="single" w:sz="4" w:space="0" w:color="auto"/>
            </w:tcBorders>
            <w:shd w:val="clear" w:color="auto" w:fill="FFFFFF" w:themeFill="background1"/>
            <w:noWrap/>
            <w:hideMark/>
          </w:tcPr>
          <w:p w14:paraId="00824033" w14:textId="7F061681" w:rsidR="002E7E72" w:rsidRPr="008046B3" w:rsidRDefault="002E7E72" w:rsidP="002E7E72">
            <w:pPr>
              <w:rPr>
                <w:noProof/>
                <w:sz w:val="20"/>
                <w:szCs w:val="20"/>
              </w:rPr>
            </w:pPr>
            <w:r w:rsidRPr="008046B3">
              <w:rPr>
                <w:noProof/>
                <w:sz w:val="20"/>
                <w:szCs w:val="20"/>
              </w:rPr>
              <w:t> </w:t>
            </w:r>
          </w:p>
        </w:tc>
        <w:tc>
          <w:tcPr>
            <w:tcW w:w="367" w:type="pct"/>
            <w:tcBorders>
              <w:top w:val="nil"/>
              <w:left w:val="nil"/>
              <w:bottom w:val="single" w:sz="4" w:space="0" w:color="auto"/>
              <w:right w:val="single" w:sz="4" w:space="0" w:color="auto"/>
            </w:tcBorders>
            <w:shd w:val="clear" w:color="auto" w:fill="FFFFFF" w:themeFill="background1"/>
            <w:noWrap/>
            <w:hideMark/>
          </w:tcPr>
          <w:p w14:paraId="1FE5A0EC" w14:textId="67CD5532" w:rsidR="002E7E72" w:rsidRPr="008046B3" w:rsidRDefault="002E7E72" w:rsidP="002E7E72">
            <w:pPr>
              <w:rPr>
                <w:noProof/>
                <w:sz w:val="20"/>
                <w:szCs w:val="20"/>
              </w:rPr>
            </w:pPr>
            <w:r w:rsidRPr="008046B3">
              <w:rPr>
                <w:noProof/>
                <w:sz w:val="20"/>
                <w:szCs w:val="20"/>
              </w:rPr>
              <w:t> </w:t>
            </w:r>
          </w:p>
        </w:tc>
        <w:tc>
          <w:tcPr>
            <w:tcW w:w="367" w:type="pct"/>
            <w:tcBorders>
              <w:top w:val="nil"/>
              <w:left w:val="nil"/>
              <w:bottom w:val="single" w:sz="4" w:space="0" w:color="auto"/>
              <w:right w:val="single" w:sz="4" w:space="0" w:color="auto"/>
            </w:tcBorders>
            <w:shd w:val="clear" w:color="auto" w:fill="FFFFFF" w:themeFill="background1"/>
            <w:noWrap/>
            <w:hideMark/>
          </w:tcPr>
          <w:p w14:paraId="475B40A5" w14:textId="7F2B0B77" w:rsidR="002E7E72" w:rsidRPr="008046B3" w:rsidRDefault="002E7E72" w:rsidP="002E7E72">
            <w:pPr>
              <w:rPr>
                <w:noProof/>
                <w:sz w:val="20"/>
                <w:szCs w:val="20"/>
              </w:rPr>
            </w:pPr>
            <w:r w:rsidRPr="008046B3">
              <w:rPr>
                <w:noProof/>
                <w:sz w:val="20"/>
                <w:szCs w:val="20"/>
              </w:rPr>
              <w:t> </w:t>
            </w:r>
          </w:p>
        </w:tc>
        <w:tc>
          <w:tcPr>
            <w:tcW w:w="366" w:type="pct"/>
            <w:tcBorders>
              <w:top w:val="nil"/>
              <w:left w:val="nil"/>
              <w:bottom w:val="single" w:sz="4" w:space="0" w:color="auto"/>
              <w:right w:val="single" w:sz="4" w:space="0" w:color="auto"/>
            </w:tcBorders>
            <w:shd w:val="clear" w:color="auto" w:fill="FFFFFF" w:themeFill="background1"/>
            <w:noWrap/>
            <w:hideMark/>
          </w:tcPr>
          <w:p w14:paraId="12CBE727" w14:textId="5B1EF76C" w:rsidR="002E7E72" w:rsidRPr="008046B3" w:rsidRDefault="002E7E72" w:rsidP="002E7E72">
            <w:pPr>
              <w:rPr>
                <w:noProof/>
                <w:sz w:val="20"/>
                <w:szCs w:val="20"/>
              </w:rPr>
            </w:pPr>
            <w:r w:rsidRPr="008046B3">
              <w:rPr>
                <w:noProof/>
                <w:sz w:val="20"/>
                <w:szCs w:val="20"/>
              </w:rPr>
              <w:t> </w:t>
            </w:r>
          </w:p>
        </w:tc>
      </w:tr>
      <w:tr w:rsidR="002E7E72" w:rsidRPr="008046B3" w14:paraId="04CD015C"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5788F9B4" w14:textId="77148E50" w:rsidR="002E7E72" w:rsidRPr="008046B3" w:rsidRDefault="002E7E72" w:rsidP="002E7E72">
            <w:pPr>
              <w:rPr>
                <w:noProof/>
                <w:color w:val="000000"/>
                <w:sz w:val="20"/>
                <w:szCs w:val="20"/>
              </w:rPr>
            </w:pPr>
            <w:r w:rsidRPr="008046B3">
              <w:rPr>
                <w:noProof/>
                <w:color w:val="000000" w:themeColor="text1"/>
                <w:sz w:val="20"/>
                <w:szCs w:val="20"/>
              </w:rPr>
              <w:t>New agreements by non-SME operators (changes relative to the baseline)</w:t>
            </w:r>
          </w:p>
        </w:tc>
        <w:tc>
          <w:tcPr>
            <w:tcW w:w="367" w:type="pct"/>
            <w:tcBorders>
              <w:top w:val="nil"/>
              <w:left w:val="nil"/>
              <w:bottom w:val="single" w:sz="4" w:space="0" w:color="auto"/>
              <w:right w:val="single" w:sz="4" w:space="0" w:color="auto"/>
            </w:tcBorders>
            <w:shd w:val="clear" w:color="auto" w:fill="FFFFFF" w:themeFill="background1"/>
            <w:noWrap/>
            <w:hideMark/>
          </w:tcPr>
          <w:p w14:paraId="3CE065FA" w14:textId="7523F87E" w:rsidR="002E7E72" w:rsidRPr="008046B3" w:rsidRDefault="002E7E72" w:rsidP="002E7E72">
            <w:pPr>
              <w:jc w:val="right"/>
              <w:rPr>
                <w:noProof/>
                <w:sz w:val="20"/>
                <w:szCs w:val="20"/>
              </w:rPr>
            </w:pPr>
            <w:r w:rsidRPr="008046B3">
              <w:rPr>
                <w:noProof/>
                <w:sz w:val="20"/>
                <w:szCs w:val="20"/>
              </w:rPr>
              <w:t>0</w:t>
            </w:r>
          </w:p>
        </w:tc>
        <w:tc>
          <w:tcPr>
            <w:tcW w:w="367" w:type="pct"/>
            <w:tcBorders>
              <w:top w:val="nil"/>
              <w:left w:val="nil"/>
              <w:bottom w:val="single" w:sz="4" w:space="0" w:color="auto"/>
              <w:right w:val="single" w:sz="4" w:space="0" w:color="auto"/>
            </w:tcBorders>
            <w:shd w:val="clear" w:color="auto" w:fill="FFFFFF" w:themeFill="background1"/>
            <w:noWrap/>
            <w:hideMark/>
          </w:tcPr>
          <w:p w14:paraId="07B4FDC4" w14:textId="4029A180" w:rsidR="002E7E72" w:rsidRPr="008046B3" w:rsidRDefault="002E7E72" w:rsidP="002E7E72">
            <w:pPr>
              <w:jc w:val="right"/>
              <w:rPr>
                <w:noProof/>
                <w:sz w:val="20"/>
                <w:szCs w:val="20"/>
              </w:rPr>
            </w:pPr>
            <w:r w:rsidRPr="008046B3">
              <w:rPr>
                <w:noProof/>
                <w:sz w:val="20"/>
                <w:szCs w:val="20"/>
              </w:rPr>
              <w:t>58</w:t>
            </w:r>
          </w:p>
        </w:tc>
        <w:tc>
          <w:tcPr>
            <w:tcW w:w="367" w:type="pct"/>
            <w:tcBorders>
              <w:top w:val="nil"/>
              <w:left w:val="nil"/>
              <w:bottom w:val="single" w:sz="4" w:space="0" w:color="auto"/>
              <w:right w:val="single" w:sz="4" w:space="0" w:color="auto"/>
            </w:tcBorders>
            <w:shd w:val="clear" w:color="auto" w:fill="FFFFFF" w:themeFill="background1"/>
            <w:noWrap/>
            <w:hideMark/>
          </w:tcPr>
          <w:p w14:paraId="457808CB" w14:textId="744DC50E" w:rsidR="002E7E72" w:rsidRPr="008046B3" w:rsidRDefault="002E7E72" w:rsidP="002E7E72">
            <w:pPr>
              <w:jc w:val="right"/>
              <w:rPr>
                <w:noProof/>
                <w:sz w:val="20"/>
                <w:szCs w:val="20"/>
              </w:rPr>
            </w:pPr>
            <w:r w:rsidRPr="008046B3">
              <w:rPr>
                <w:noProof/>
                <w:sz w:val="20"/>
                <w:szCs w:val="20"/>
              </w:rPr>
              <w:t>23</w:t>
            </w:r>
          </w:p>
        </w:tc>
        <w:tc>
          <w:tcPr>
            <w:tcW w:w="366" w:type="pct"/>
            <w:tcBorders>
              <w:top w:val="nil"/>
              <w:left w:val="nil"/>
              <w:bottom w:val="single" w:sz="4" w:space="0" w:color="auto"/>
              <w:right w:val="single" w:sz="4" w:space="0" w:color="auto"/>
            </w:tcBorders>
            <w:shd w:val="clear" w:color="auto" w:fill="FFFFFF" w:themeFill="background1"/>
            <w:noWrap/>
            <w:hideMark/>
          </w:tcPr>
          <w:p w14:paraId="28F61D41" w14:textId="64436532" w:rsidR="002E7E72" w:rsidRPr="008046B3" w:rsidRDefault="002E7E72" w:rsidP="002E7E72">
            <w:pPr>
              <w:jc w:val="right"/>
              <w:rPr>
                <w:noProof/>
                <w:sz w:val="20"/>
                <w:szCs w:val="20"/>
              </w:rPr>
            </w:pPr>
            <w:r w:rsidRPr="008046B3">
              <w:rPr>
                <w:noProof/>
                <w:sz w:val="20"/>
                <w:szCs w:val="20"/>
              </w:rPr>
              <w:t>0</w:t>
            </w:r>
          </w:p>
        </w:tc>
      </w:tr>
      <w:tr w:rsidR="002E7E72" w:rsidRPr="008046B3" w14:paraId="13D9F38D"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47B9E97C" w14:textId="77777777" w:rsidR="002E7E72" w:rsidRPr="008046B3" w:rsidRDefault="002E7E72" w:rsidP="002E7E72">
            <w:pPr>
              <w:rPr>
                <w:noProof/>
                <w:color w:val="000000"/>
                <w:sz w:val="20"/>
                <w:szCs w:val="20"/>
              </w:rPr>
            </w:pPr>
            <w:r w:rsidRPr="008046B3">
              <w:rPr>
                <w:noProof/>
                <w:color w:val="000000" w:themeColor="text1"/>
                <w:sz w:val="20"/>
                <w:szCs w:val="20"/>
              </w:rPr>
              <w:t>New agreements by SME operators (changes relative to the baseline)</w:t>
            </w:r>
          </w:p>
        </w:tc>
        <w:tc>
          <w:tcPr>
            <w:tcW w:w="367" w:type="pct"/>
            <w:tcBorders>
              <w:top w:val="nil"/>
              <w:left w:val="nil"/>
              <w:bottom w:val="single" w:sz="4" w:space="0" w:color="auto"/>
              <w:right w:val="single" w:sz="4" w:space="0" w:color="auto"/>
            </w:tcBorders>
            <w:shd w:val="clear" w:color="auto" w:fill="FFFFFF" w:themeFill="background1"/>
            <w:noWrap/>
            <w:hideMark/>
          </w:tcPr>
          <w:p w14:paraId="423F0354" w14:textId="4FC4F174" w:rsidR="002E7E72" w:rsidRPr="008046B3" w:rsidRDefault="002E7E72" w:rsidP="002E7E72">
            <w:pPr>
              <w:jc w:val="right"/>
              <w:rPr>
                <w:noProof/>
                <w:sz w:val="20"/>
                <w:szCs w:val="20"/>
              </w:rPr>
            </w:pPr>
            <w:r w:rsidRPr="008046B3">
              <w:rPr>
                <w:noProof/>
                <w:sz w:val="20"/>
                <w:szCs w:val="20"/>
              </w:rPr>
              <w:t>0</w:t>
            </w:r>
          </w:p>
        </w:tc>
        <w:tc>
          <w:tcPr>
            <w:tcW w:w="367" w:type="pct"/>
            <w:tcBorders>
              <w:top w:val="nil"/>
              <w:left w:val="nil"/>
              <w:bottom w:val="single" w:sz="4" w:space="0" w:color="auto"/>
              <w:right w:val="single" w:sz="4" w:space="0" w:color="auto"/>
            </w:tcBorders>
            <w:shd w:val="clear" w:color="auto" w:fill="FFFFFF" w:themeFill="background1"/>
            <w:noWrap/>
            <w:hideMark/>
          </w:tcPr>
          <w:p w14:paraId="066F79B9" w14:textId="4744C4F4" w:rsidR="002E7E72" w:rsidRPr="008046B3" w:rsidRDefault="002E7E72" w:rsidP="002E7E72">
            <w:pPr>
              <w:jc w:val="right"/>
              <w:rPr>
                <w:noProof/>
                <w:sz w:val="20"/>
                <w:szCs w:val="20"/>
              </w:rPr>
            </w:pPr>
            <w:r w:rsidRPr="008046B3">
              <w:rPr>
                <w:noProof/>
                <w:sz w:val="20"/>
                <w:szCs w:val="20"/>
              </w:rPr>
              <w:t>206</w:t>
            </w:r>
          </w:p>
        </w:tc>
        <w:tc>
          <w:tcPr>
            <w:tcW w:w="367" w:type="pct"/>
            <w:tcBorders>
              <w:top w:val="nil"/>
              <w:left w:val="nil"/>
              <w:bottom w:val="single" w:sz="4" w:space="0" w:color="auto"/>
              <w:right w:val="single" w:sz="4" w:space="0" w:color="auto"/>
            </w:tcBorders>
            <w:shd w:val="clear" w:color="auto" w:fill="FFFFFF" w:themeFill="background1"/>
            <w:noWrap/>
            <w:hideMark/>
          </w:tcPr>
          <w:p w14:paraId="7D9D5744" w14:textId="45C31A67" w:rsidR="002E7E72" w:rsidRPr="008046B3" w:rsidRDefault="002E7E72" w:rsidP="002E7E72">
            <w:pPr>
              <w:jc w:val="right"/>
              <w:rPr>
                <w:noProof/>
                <w:sz w:val="20"/>
                <w:szCs w:val="20"/>
              </w:rPr>
            </w:pPr>
            <w:r w:rsidRPr="008046B3">
              <w:rPr>
                <w:noProof/>
                <w:sz w:val="20"/>
                <w:szCs w:val="20"/>
              </w:rPr>
              <w:t>81</w:t>
            </w:r>
          </w:p>
        </w:tc>
        <w:tc>
          <w:tcPr>
            <w:tcW w:w="366" w:type="pct"/>
            <w:tcBorders>
              <w:top w:val="nil"/>
              <w:left w:val="nil"/>
              <w:bottom w:val="single" w:sz="4" w:space="0" w:color="auto"/>
              <w:right w:val="single" w:sz="4" w:space="0" w:color="auto"/>
            </w:tcBorders>
            <w:shd w:val="clear" w:color="auto" w:fill="FFFFFF" w:themeFill="background1"/>
            <w:noWrap/>
            <w:hideMark/>
          </w:tcPr>
          <w:p w14:paraId="1829BA3A" w14:textId="5B80DC93" w:rsidR="002E7E72" w:rsidRPr="008046B3" w:rsidRDefault="002E7E72" w:rsidP="002E7E72">
            <w:pPr>
              <w:jc w:val="right"/>
              <w:rPr>
                <w:noProof/>
                <w:sz w:val="20"/>
                <w:szCs w:val="20"/>
              </w:rPr>
            </w:pPr>
            <w:r w:rsidRPr="008046B3">
              <w:rPr>
                <w:noProof/>
                <w:sz w:val="20"/>
                <w:szCs w:val="20"/>
              </w:rPr>
              <w:t>0</w:t>
            </w:r>
          </w:p>
        </w:tc>
      </w:tr>
      <w:tr w:rsidR="002E7E72" w:rsidRPr="008046B3" w14:paraId="1FEBD5BE"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2B612FB5" w14:textId="6AA480E8" w:rsidR="002E7E72" w:rsidRPr="008046B3" w:rsidRDefault="002E7E72" w:rsidP="002E7E72">
            <w:pPr>
              <w:rPr>
                <w:noProof/>
                <w:color w:val="000000"/>
                <w:sz w:val="20"/>
                <w:szCs w:val="20"/>
              </w:rPr>
            </w:pPr>
            <w:r w:rsidRPr="008046B3">
              <w:rPr>
                <w:noProof/>
                <w:color w:val="000000" w:themeColor="text1"/>
                <w:sz w:val="20"/>
                <w:szCs w:val="20"/>
              </w:rPr>
              <w:t>Renegotiated agreements by non-SME operators (changes relative to the baseline)</w:t>
            </w:r>
          </w:p>
        </w:tc>
        <w:tc>
          <w:tcPr>
            <w:tcW w:w="367" w:type="pct"/>
            <w:tcBorders>
              <w:top w:val="nil"/>
              <w:left w:val="nil"/>
              <w:bottom w:val="single" w:sz="4" w:space="0" w:color="auto"/>
              <w:right w:val="single" w:sz="4" w:space="0" w:color="auto"/>
            </w:tcBorders>
            <w:shd w:val="clear" w:color="auto" w:fill="FFFFFF" w:themeFill="background1"/>
            <w:noWrap/>
            <w:hideMark/>
          </w:tcPr>
          <w:p w14:paraId="4A6FF12B" w14:textId="41F47E61" w:rsidR="002E7E72" w:rsidRPr="008046B3" w:rsidRDefault="002E7E72" w:rsidP="002E7E72">
            <w:pPr>
              <w:jc w:val="right"/>
              <w:rPr>
                <w:noProof/>
                <w:sz w:val="20"/>
                <w:szCs w:val="20"/>
              </w:rPr>
            </w:pPr>
            <w:r w:rsidRPr="008046B3">
              <w:rPr>
                <w:noProof/>
                <w:sz w:val="20"/>
                <w:szCs w:val="20"/>
              </w:rPr>
              <w:t>0</w:t>
            </w:r>
          </w:p>
        </w:tc>
        <w:tc>
          <w:tcPr>
            <w:tcW w:w="367" w:type="pct"/>
            <w:tcBorders>
              <w:top w:val="nil"/>
              <w:left w:val="nil"/>
              <w:bottom w:val="single" w:sz="4" w:space="0" w:color="auto"/>
              <w:right w:val="single" w:sz="4" w:space="0" w:color="auto"/>
            </w:tcBorders>
            <w:shd w:val="clear" w:color="auto" w:fill="FFFFFF" w:themeFill="background1"/>
            <w:noWrap/>
            <w:hideMark/>
          </w:tcPr>
          <w:p w14:paraId="4383E439" w14:textId="4E7E4F49" w:rsidR="002E7E72" w:rsidRPr="008046B3" w:rsidRDefault="002E7E72" w:rsidP="002E7E72">
            <w:pPr>
              <w:jc w:val="right"/>
              <w:rPr>
                <w:noProof/>
                <w:sz w:val="20"/>
                <w:szCs w:val="20"/>
              </w:rPr>
            </w:pPr>
            <w:r w:rsidRPr="008046B3">
              <w:rPr>
                <w:noProof/>
                <w:sz w:val="20"/>
                <w:szCs w:val="20"/>
              </w:rPr>
              <w:t>39</w:t>
            </w:r>
          </w:p>
        </w:tc>
        <w:tc>
          <w:tcPr>
            <w:tcW w:w="367" w:type="pct"/>
            <w:tcBorders>
              <w:top w:val="nil"/>
              <w:left w:val="nil"/>
              <w:bottom w:val="single" w:sz="4" w:space="0" w:color="auto"/>
              <w:right w:val="single" w:sz="4" w:space="0" w:color="auto"/>
            </w:tcBorders>
            <w:shd w:val="clear" w:color="auto" w:fill="FFFFFF" w:themeFill="background1"/>
            <w:noWrap/>
            <w:hideMark/>
          </w:tcPr>
          <w:p w14:paraId="35D7443C" w14:textId="4D794140" w:rsidR="002E7E72" w:rsidRPr="008046B3" w:rsidRDefault="002E7E72" w:rsidP="002E7E72">
            <w:pPr>
              <w:jc w:val="right"/>
              <w:rPr>
                <w:noProof/>
                <w:sz w:val="20"/>
                <w:szCs w:val="20"/>
              </w:rPr>
            </w:pPr>
            <w:r w:rsidRPr="008046B3">
              <w:rPr>
                <w:noProof/>
                <w:sz w:val="20"/>
                <w:szCs w:val="20"/>
              </w:rPr>
              <w:t>173</w:t>
            </w:r>
          </w:p>
        </w:tc>
        <w:tc>
          <w:tcPr>
            <w:tcW w:w="366" w:type="pct"/>
            <w:tcBorders>
              <w:top w:val="nil"/>
              <w:left w:val="nil"/>
              <w:bottom w:val="single" w:sz="4" w:space="0" w:color="auto"/>
              <w:right w:val="single" w:sz="4" w:space="0" w:color="auto"/>
            </w:tcBorders>
            <w:shd w:val="clear" w:color="auto" w:fill="FFFFFF" w:themeFill="background1"/>
            <w:noWrap/>
            <w:hideMark/>
          </w:tcPr>
          <w:p w14:paraId="1E61905C" w14:textId="1D0672DC" w:rsidR="002E7E72" w:rsidRPr="008046B3" w:rsidRDefault="002E7E72" w:rsidP="002E7E72">
            <w:pPr>
              <w:jc w:val="right"/>
              <w:rPr>
                <w:noProof/>
                <w:sz w:val="20"/>
                <w:szCs w:val="20"/>
              </w:rPr>
            </w:pPr>
            <w:r w:rsidRPr="008046B3">
              <w:rPr>
                <w:noProof/>
                <w:sz w:val="20"/>
                <w:szCs w:val="20"/>
              </w:rPr>
              <w:t>73</w:t>
            </w:r>
          </w:p>
        </w:tc>
      </w:tr>
      <w:tr w:rsidR="002E7E72" w:rsidRPr="008046B3" w14:paraId="57637CEE"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357395F8" w14:textId="77777777" w:rsidR="002E7E72" w:rsidRPr="008046B3" w:rsidRDefault="002E7E72" w:rsidP="002E7E72">
            <w:pPr>
              <w:rPr>
                <w:noProof/>
                <w:color w:val="000000"/>
                <w:sz w:val="20"/>
                <w:szCs w:val="20"/>
              </w:rPr>
            </w:pPr>
            <w:r w:rsidRPr="008046B3">
              <w:rPr>
                <w:noProof/>
                <w:color w:val="000000" w:themeColor="text1"/>
                <w:sz w:val="20"/>
                <w:szCs w:val="20"/>
              </w:rPr>
              <w:t>Renegotiated agreements by SME operators (changes relative to the baseline)</w:t>
            </w:r>
          </w:p>
        </w:tc>
        <w:tc>
          <w:tcPr>
            <w:tcW w:w="367" w:type="pct"/>
            <w:tcBorders>
              <w:top w:val="nil"/>
              <w:left w:val="nil"/>
              <w:bottom w:val="single" w:sz="4" w:space="0" w:color="auto"/>
              <w:right w:val="single" w:sz="4" w:space="0" w:color="auto"/>
            </w:tcBorders>
            <w:shd w:val="clear" w:color="auto" w:fill="FFFFFF" w:themeFill="background1"/>
            <w:noWrap/>
            <w:hideMark/>
          </w:tcPr>
          <w:p w14:paraId="2E4D0A8F" w14:textId="5FD5531E" w:rsidR="002E7E72" w:rsidRPr="008046B3" w:rsidRDefault="002E7E72" w:rsidP="002E7E72">
            <w:pPr>
              <w:jc w:val="right"/>
              <w:rPr>
                <w:noProof/>
                <w:sz w:val="20"/>
                <w:szCs w:val="20"/>
              </w:rPr>
            </w:pPr>
            <w:r w:rsidRPr="008046B3">
              <w:rPr>
                <w:noProof/>
                <w:sz w:val="20"/>
                <w:szCs w:val="20"/>
              </w:rPr>
              <w:t>0</w:t>
            </w:r>
          </w:p>
        </w:tc>
        <w:tc>
          <w:tcPr>
            <w:tcW w:w="367" w:type="pct"/>
            <w:tcBorders>
              <w:top w:val="nil"/>
              <w:left w:val="nil"/>
              <w:bottom w:val="single" w:sz="4" w:space="0" w:color="auto"/>
              <w:right w:val="single" w:sz="4" w:space="0" w:color="auto"/>
            </w:tcBorders>
            <w:shd w:val="clear" w:color="auto" w:fill="FFFFFF" w:themeFill="background1"/>
            <w:noWrap/>
            <w:hideMark/>
          </w:tcPr>
          <w:p w14:paraId="5C9AE404" w14:textId="2EC6B643" w:rsidR="002E7E72" w:rsidRPr="008046B3" w:rsidRDefault="002E7E72" w:rsidP="002E7E72">
            <w:pPr>
              <w:jc w:val="right"/>
              <w:rPr>
                <w:noProof/>
                <w:sz w:val="20"/>
                <w:szCs w:val="20"/>
              </w:rPr>
            </w:pPr>
            <w:r w:rsidRPr="008046B3">
              <w:rPr>
                <w:noProof/>
                <w:sz w:val="20"/>
                <w:szCs w:val="20"/>
              </w:rPr>
              <w:t>137</w:t>
            </w:r>
          </w:p>
        </w:tc>
        <w:tc>
          <w:tcPr>
            <w:tcW w:w="367" w:type="pct"/>
            <w:tcBorders>
              <w:top w:val="nil"/>
              <w:left w:val="nil"/>
              <w:bottom w:val="single" w:sz="4" w:space="0" w:color="auto"/>
              <w:right w:val="single" w:sz="4" w:space="0" w:color="auto"/>
            </w:tcBorders>
            <w:shd w:val="clear" w:color="auto" w:fill="FFFFFF" w:themeFill="background1"/>
            <w:noWrap/>
            <w:hideMark/>
          </w:tcPr>
          <w:p w14:paraId="3D2A6603" w14:textId="0F85BD0F" w:rsidR="002E7E72" w:rsidRPr="008046B3" w:rsidRDefault="002E7E72" w:rsidP="002E7E72">
            <w:pPr>
              <w:jc w:val="right"/>
              <w:rPr>
                <w:noProof/>
                <w:sz w:val="20"/>
                <w:szCs w:val="20"/>
              </w:rPr>
            </w:pPr>
            <w:r w:rsidRPr="008046B3">
              <w:rPr>
                <w:noProof/>
                <w:sz w:val="20"/>
                <w:szCs w:val="20"/>
              </w:rPr>
              <w:t>616</w:t>
            </w:r>
          </w:p>
        </w:tc>
        <w:tc>
          <w:tcPr>
            <w:tcW w:w="366" w:type="pct"/>
            <w:tcBorders>
              <w:top w:val="nil"/>
              <w:left w:val="nil"/>
              <w:bottom w:val="single" w:sz="4" w:space="0" w:color="auto"/>
              <w:right w:val="single" w:sz="4" w:space="0" w:color="auto"/>
            </w:tcBorders>
            <w:shd w:val="clear" w:color="auto" w:fill="FFFFFF" w:themeFill="background1"/>
            <w:noWrap/>
            <w:hideMark/>
          </w:tcPr>
          <w:p w14:paraId="1E9864E6" w14:textId="1A0B82A1" w:rsidR="002E7E72" w:rsidRPr="008046B3" w:rsidRDefault="002E7E72" w:rsidP="002E7E72">
            <w:pPr>
              <w:jc w:val="right"/>
              <w:rPr>
                <w:noProof/>
                <w:sz w:val="20"/>
                <w:szCs w:val="20"/>
              </w:rPr>
            </w:pPr>
            <w:r w:rsidRPr="008046B3">
              <w:rPr>
                <w:noProof/>
                <w:sz w:val="20"/>
                <w:szCs w:val="20"/>
              </w:rPr>
              <w:t>261</w:t>
            </w:r>
          </w:p>
        </w:tc>
      </w:tr>
      <w:tr w:rsidR="002E7E72" w:rsidRPr="008046B3" w14:paraId="74A6CBA5"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1EBCAB34" w14:textId="43F22936" w:rsidR="002E7E72" w:rsidRPr="008046B3" w:rsidRDefault="002E7E72" w:rsidP="002E7E72">
            <w:pPr>
              <w:rPr>
                <w:noProof/>
                <w:color w:val="000000"/>
                <w:sz w:val="20"/>
                <w:szCs w:val="20"/>
              </w:rPr>
            </w:pPr>
            <w:r w:rsidRPr="008046B3">
              <w:rPr>
                <w:noProof/>
                <w:color w:val="000000"/>
                <w:sz w:val="20"/>
                <w:szCs w:val="20"/>
              </w:rPr>
              <w:t>Total adjustment cost savings for non-SME operators (million EUR)</w:t>
            </w:r>
          </w:p>
        </w:tc>
        <w:tc>
          <w:tcPr>
            <w:tcW w:w="367" w:type="pct"/>
            <w:tcBorders>
              <w:top w:val="nil"/>
              <w:left w:val="nil"/>
              <w:bottom w:val="single" w:sz="4" w:space="0" w:color="auto"/>
              <w:right w:val="single" w:sz="4" w:space="0" w:color="auto"/>
            </w:tcBorders>
            <w:shd w:val="clear" w:color="auto" w:fill="FFFFFF" w:themeFill="background1"/>
            <w:noWrap/>
            <w:hideMark/>
          </w:tcPr>
          <w:p w14:paraId="47009D37" w14:textId="628524C2" w:rsidR="002E7E72" w:rsidRPr="008046B3" w:rsidRDefault="002E7E72" w:rsidP="002E7E72">
            <w:pPr>
              <w:jc w:val="right"/>
              <w:rPr>
                <w:noProof/>
                <w:sz w:val="20"/>
                <w:szCs w:val="20"/>
              </w:rPr>
            </w:pPr>
            <w:r w:rsidRPr="008046B3">
              <w:rPr>
                <w:noProof/>
                <w:sz w:val="20"/>
                <w:szCs w:val="20"/>
              </w:rPr>
              <w:t>0.0</w:t>
            </w:r>
          </w:p>
        </w:tc>
        <w:tc>
          <w:tcPr>
            <w:tcW w:w="367" w:type="pct"/>
            <w:tcBorders>
              <w:top w:val="nil"/>
              <w:left w:val="nil"/>
              <w:bottom w:val="single" w:sz="4" w:space="0" w:color="auto"/>
              <w:right w:val="single" w:sz="4" w:space="0" w:color="auto"/>
            </w:tcBorders>
            <w:shd w:val="clear" w:color="auto" w:fill="FFFFFF" w:themeFill="background1"/>
            <w:noWrap/>
            <w:hideMark/>
          </w:tcPr>
          <w:p w14:paraId="7D9C3113" w14:textId="36C35AB7" w:rsidR="002E7E72" w:rsidRPr="008046B3" w:rsidRDefault="002E7E72" w:rsidP="002E7E72">
            <w:pPr>
              <w:jc w:val="right"/>
              <w:rPr>
                <w:noProof/>
                <w:sz w:val="20"/>
                <w:szCs w:val="20"/>
              </w:rPr>
            </w:pPr>
            <w:r w:rsidRPr="008046B3">
              <w:rPr>
                <w:noProof/>
                <w:sz w:val="20"/>
                <w:szCs w:val="20"/>
              </w:rPr>
              <w:t>0.2</w:t>
            </w:r>
          </w:p>
        </w:tc>
        <w:tc>
          <w:tcPr>
            <w:tcW w:w="367" w:type="pct"/>
            <w:tcBorders>
              <w:top w:val="nil"/>
              <w:left w:val="nil"/>
              <w:bottom w:val="single" w:sz="4" w:space="0" w:color="auto"/>
              <w:right w:val="single" w:sz="4" w:space="0" w:color="auto"/>
            </w:tcBorders>
            <w:shd w:val="clear" w:color="auto" w:fill="FFFFFF" w:themeFill="background1"/>
            <w:noWrap/>
            <w:hideMark/>
          </w:tcPr>
          <w:p w14:paraId="6C13ADE5" w14:textId="525F6E8C" w:rsidR="002E7E72" w:rsidRPr="008046B3" w:rsidRDefault="002E7E72" w:rsidP="002E7E72">
            <w:pPr>
              <w:jc w:val="right"/>
              <w:rPr>
                <w:noProof/>
                <w:sz w:val="20"/>
                <w:szCs w:val="20"/>
              </w:rPr>
            </w:pPr>
            <w:r w:rsidRPr="008046B3">
              <w:rPr>
                <w:noProof/>
                <w:sz w:val="20"/>
                <w:szCs w:val="20"/>
              </w:rPr>
              <w:t>0.3</w:t>
            </w:r>
          </w:p>
        </w:tc>
        <w:tc>
          <w:tcPr>
            <w:tcW w:w="366" w:type="pct"/>
            <w:tcBorders>
              <w:top w:val="nil"/>
              <w:left w:val="nil"/>
              <w:bottom w:val="single" w:sz="4" w:space="0" w:color="auto"/>
              <w:right w:val="single" w:sz="4" w:space="0" w:color="auto"/>
            </w:tcBorders>
            <w:shd w:val="clear" w:color="auto" w:fill="FFFFFF" w:themeFill="background1"/>
            <w:noWrap/>
            <w:hideMark/>
          </w:tcPr>
          <w:p w14:paraId="4A031E1B" w14:textId="2E830CE9" w:rsidR="002E7E72" w:rsidRPr="008046B3" w:rsidRDefault="002E7E72" w:rsidP="002E7E72">
            <w:pPr>
              <w:jc w:val="right"/>
              <w:rPr>
                <w:noProof/>
                <w:sz w:val="20"/>
                <w:szCs w:val="20"/>
              </w:rPr>
            </w:pPr>
            <w:r w:rsidRPr="008046B3">
              <w:rPr>
                <w:noProof/>
                <w:sz w:val="20"/>
                <w:szCs w:val="20"/>
              </w:rPr>
              <w:t>0.1</w:t>
            </w:r>
          </w:p>
        </w:tc>
      </w:tr>
      <w:tr w:rsidR="002E7E72" w:rsidRPr="008046B3" w14:paraId="38137A32"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3DDF70FA" w14:textId="77777777" w:rsidR="002E7E72" w:rsidRPr="008046B3" w:rsidRDefault="002E7E72" w:rsidP="002E7E72">
            <w:pPr>
              <w:rPr>
                <w:noProof/>
                <w:color w:val="000000"/>
                <w:sz w:val="20"/>
                <w:szCs w:val="20"/>
              </w:rPr>
            </w:pPr>
            <w:r w:rsidRPr="008046B3">
              <w:rPr>
                <w:noProof/>
                <w:color w:val="000000"/>
                <w:sz w:val="20"/>
                <w:szCs w:val="20"/>
              </w:rPr>
              <w:t>Total adjustment cost savings for SME operators (million EUR)</w:t>
            </w:r>
          </w:p>
        </w:tc>
        <w:tc>
          <w:tcPr>
            <w:tcW w:w="367" w:type="pct"/>
            <w:tcBorders>
              <w:top w:val="nil"/>
              <w:left w:val="nil"/>
              <w:bottom w:val="single" w:sz="4" w:space="0" w:color="auto"/>
              <w:right w:val="single" w:sz="4" w:space="0" w:color="auto"/>
            </w:tcBorders>
            <w:shd w:val="clear" w:color="auto" w:fill="FFFFFF" w:themeFill="background1"/>
            <w:noWrap/>
            <w:hideMark/>
          </w:tcPr>
          <w:p w14:paraId="3FFE005C" w14:textId="4666FF5D" w:rsidR="002E7E72" w:rsidRPr="008046B3" w:rsidRDefault="002E7E72" w:rsidP="002E7E72">
            <w:pPr>
              <w:jc w:val="right"/>
              <w:rPr>
                <w:noProof/>
                <w:sz w:val="20"/>
                <w:szCs w:val="20"/>
              </w:rPr>
            </w:pPr>
            <w:r w:rsidRPr="008046B3">
              <w:rPr>
                <w:noProof/>
                <w:sz w:val="20"/>
                <w:szCs w:val="20"/>
              </w:rPr>
              <w:t>0.0</w:t>
            </w:r>
          </w:p>
        </w:tc>
        <w:tc>
          <w:tcPr>
            <w:tcW w:w="367" w:type="pct"/>
            <w:tcBorders>
              <w:top w:val="nil"/>
              <w:left w:val="nil"/>
              <w:bottom w:val="single" w:sz="4" w:space="0" w:color="auto"/>
              <w:right w:val="single" w:sz="4" w:space="0" w:color="auto"/>
            </w:tcBorders>
            <w:shd w:val="clear" w:color="auto" w:fill="FFFFFF" w:themeFill="background1"/>
            <w:noWrap/>
            <w:hideMark/>
          </w:tcPr>
          <w:p w14:paraId="0E60A596" w14:textId="00108537" w:rsidR="002E7E72" w:rsidRPr="008046B3" w:rsidRDefault="002E7E72" w:rsidP="002E7E72">
            <w:pPr>
              <w:jc w:val="right"/>
              <w:rPr>
                <w:noProof/>
                <w:sz w:val="20"/>
                <w:szCs w:val="20"/>
              </w:rPr>
            </w:pPr>
            <w:r w:rsidRPr="008046B3">
              <w:rPr>
                <w:noProof/>
                <w:sz w:val="20"/>
                <w:szCs w:val="20"/>
              </w:rPr>
              <w:t>0.6</w:t>
            </w:r>
          </w:p>
        </w:tc>
        <w:tc>
          <w:tcPr>
            <w:tcW w:w="367" w:type="pct"/>
            <w:tcBorders>
              <w:top w:val="nil"/>
              <w:left w:val="nil"/>
              <w:bottom w:val="single" w:sz="4" w:space="0" w:color="auto"/>
              <w:right w:val="single" w:sz="4" w:space="0" w:color="auto"/>
            </w:tcBorders>
            <w:shd w:val="clear" w:color="auto" w:fill="FFFFFF" w:themeFill="background1"/>
            <w:noWrap/>
            <w:hideMark/>
          </w:tcPr>
          <w:p w14:paraId="2CBD2F01" w14:textId="06C35E87" w:rsidR="002E7E72" w:rsidRPr="008046B3" w:rsidRDefault="002E7E72" w:rsidP="002E7E72">
            <w:pPr>
              <w:jc w:val="right"/>
              <w:rPr>
                <w:noProof/>
                <w:sz w:val="20"/>
                <w:szCs w:val="20"/>
              </w:rPr>
            </w:pPr>
            <w:r w:rsidRPr="008046B3">
              <w:rPr>
                <w:noProof/>
                <w:sz w:val="20"/>
                <w:szCs w:val="20"/>
              </w:rPr>
              <w:t>0.9</w:t>
            </w:r>
          </w:p>
        </w:tc>
        <w:tc>
          <w:tcPr>
            <w:tcW w:w="366" w:type="pct"/>
            <w:tcBorders>
              <w:top w:val="nil"/>
              <w:left w:val="nil"/>
              <w:bottom w:val="single" w:sz="4" w:space="0" w:color="auto"/>
              <w:right w:val="single" w:sz="4" w:space="0" w:color="auto"/>
            </w:tcBorders>
            <w:shd w:val="clear" w:color="auto" w:fill="FFFFFF" w:themeFill="background1"/>
            <w:noWrap/>
            <w:hideMark/>
          </w:tcPr>
          <w:p w14:paraId="70C10616" w14:textId="06DAC019" w:rsidR="002E7E72" w:rsidRPr="008046B3" w:rsidRDefault="002E7E72" w:rsidP="002E7E72">
            <w:pPr>
              <w:jc w:val="right"/>
              <w:rPr>
                <w:noProof/>
                <w:sz w:val="20"/>
                <w:szCs w:val="20"/>
              </w:rPr>
            </w:pPr>
            <w:r w:rsidRPr="008046B3">
              <w:rPr>
                <w:noProof/>
                <w:sz w:val="20"/>
                <w:szCs w:val="20"/>
              </w:rPr>
              <w:t>0.3</w:t>
            </w:r>
          </w:p>
        </w:tc>
      </w:tr>
      <w:tr w:rsidR="002E7E72" w:rsidRPr="008046B3" w14:paraId="1562DA0A"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5E43A1E9" w14:textId="77777777" w:rsidR="002E7E72" w:rsidRPr="008046B3" w:rsidRDefault="002E7E72" w:rsidP="002E7E72">
            <w:pPr>
              <w:rPr>
                <w:b/>
                <w:noProof/>
                <w:color w:val="000000"/>
                <w:sz w:val="20"/>
                <w:szCs w:val="20"/>
              </w:rPr>
            </w:pPr>
            <w:r w:rsidRPr="008046B3">
              <w:rPr>
                <w:b/>
                <w:noProof/>
                <w:color w:val="000000"/>
                <w:sz w:val="20"/>
                <w:szCs w:val="20"/>
              </w:rPr>
              <w:t>PO2</w:t>
            </w:r>
          </w:p>
        </w:tc>
        <w:tc>
          <w:tcPr>
            <w:tcW w:w="367" w:type="pct"/>
            <w:tcBorders>
              <w:top w:val="nil"/>
              <w:left w:val="nil"/>
              <w:bottom w:val="single" w:sz="4" w:space="0" w:color="auto"/>
              <w:right w:val="single" w:sz="4" w:space="0" w:color="auto"/>
            </w:tcBorders>
            <w:shd w:val="clear" w:color="auto" w:fill="FFFFFF" w:themeFill="background1"/>
            <w:noWrap/>
            <w:hideMark/>
          </w:tcPr>
          <w:p w14:paraId="63A74800" w14:textId="036397C4" w:rsidR="002E7E72" w:rsidRPr="008046B3" w:rsidRDefault="002E7E72" w:rsidP="002E7E72">
            <w:pPr>
              <w:rPr>
                <w:noProof/>
                <w:sz w:val="20"/>
                <w:szCs w:val="20"/>
              </w:rPr>
            </w:pPr>
            <w:r w:rsidRPr="008046B3">
              <w:rPr>
                <w:noProof/>
                <w:sz w:val="20"/>
                <w:szCs w:val="20"/>
              </w:rPr>
              <w:t> </w:t>
            </w:r>
          </w:p>
        </w:tc>
        <w:tc>
          <w:tcPr>
            <w:tcW w:w="367" w:type="pct"/>
            <w:tcBorders>
              <w:top w:val="nil"/>
              <w:left w:val="nil"/>
              <w:bottom w:val="single" w:sz="4" w:space="0" w:color="auto"/>
              <w:right w:val="single" w:sz="4" w:space="0" w:color="auto"/>
            </w:tcBorders>
            <w:shd w:val="clear" w:color="auto" w:fill="FFFFFF" w:themeFill="background1"/>
            <w:noWrap/>
            <w:hideMark/>
          </w:tcPr>
          <w:p w14:paraId="23821878" w14:textId="0E2DD3DB" w:rsidR="002E7E72" w:rsidRPr="008046B3" w:rsidRDefault="002E7E72" w:rsidP="002E7E72">
            <w:pPr>
              <w:rPr>
                <w:noProof/>
                <w:sz w:val="20"/>
                <w:szCs w:val="20"/>
              </w:rPr>
            </w:pPr>
            <w:r w:rsidRPr="008046B3">
              <w:rPr>
                <w:noProof/>
                <w:sz w:val="20"/>
                <w:szCs w:val="20"/>
              </w:rPr>
              <w:t> </w:t>
            </w:r>
          </w:p>
        </w:tc>
        <w:tc>
          <w:tcPr>
            <w:tcW w:w="367" w:type="pct"/>
            <w:tcBorders>
              <w:top w:val="nil"/>
              <w:left w:val="nil"/>
              <w:bottom w:val="single" w:sz="4" w:space="0" w:color="auto"/>
              <w:right w:val="single" w:sz="4" w:space="0" w:color="auto"/>
            </w:tcBorders>
            <w:shd w:val="clear" w:color="auto" w:fill="FFFFFF" w:themeFill="background1"/>
            <w:noWrap/>
            <w:hideMark/>
          </w:tcPr>
          <w:p w14:paraId="50F17FB8" w14:textId="23BA7D0B" w:rsidR="002E7E72" w:rsidRPr="008046B3" w:rsidRDefault="002E7E72" w:rsidP="002E7E72">
            <w:pPr>
              <w:rPr>
                <w:noProof/>
                <w:sz w:val="20"/>
                <w:szCs w:val="20"/>
              </w:rPr>
            </w:pPr>
            <w:r w:rsidRPr="008046B3">
              <w:rPr>
                <w:noProof/>
                <w:sz w:val="20"/>
                <w:szCs w:val="20"/>
              </w:rPr>
              <w:t> </w:t>
            </w:r>
          </w:p>
        </w:tc>
        <w:tc>
          <w:tcPr>
            <w:tcW w:w="366" w:type="pct"/>
            <w:tcBorders>
              <w:top w:val="nil"/>
              <w:left w:val="nil"/>
              <w:bottom w:val="single" w:sz="4" w:space="0" w:color="auto"/>
              <w:right w:val="single" w:sz="4" w:space="0" w:color="auto"/>
            </w:tcBorders>
            <w:shd w:val="clear" w:color="auto" w:fill="FFFFFF" w:themeFill="background1"/>
            <w:noWrap/>
            <w:hideMark/>
          </w:tcPr>
          <w:p w14:paraId="5BBDA4A9" w14:textId="104EA17A" w:rsidR="002E7E72" w:rsidRPr="008046B3" w:rsidRDefault="002E7E72" w:rsidP="002E7E72">
            <w:pPr>
              <w:rPr>
                <w:noProof/>
                <w:sz w:val="20"/>
                <w:szCs w:val="20"/>
              </w:rPr>
            </w:pPr>
            <w:r w:rsidRPr="008046B3">
              <w:rPr>
                <w:noProof/>
                <w:sz w:val="20"/>
                <w:szCs w:val="20"/>
              </w:rPr>
              <w:t> </w:t>
            </w:r>
          </w:p>
        </w:tc>
      </w:tr>
      <w:tr w:rsidR="002E7E72" w:rsidRPr="008046B3" w14:paraId="45BF841F"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0C5361AA" w14:textId="3C23C9CB" w:rsidR="002E7E72" w:rsidRPr="008046B3" w:rsidRDefault="002E7E72" w:rsidP="002E7E72">
            <w:pPr>
              <w:rPr>
                <w:noProof/>
                <w:color w:val="000000"/>
                <w:sz w:val="20"/>
                <w:szCs w:val="20"/>
              </w:rPr>
            </w:pPr>
            <w:r w:rsidRPr="008046B3">
              <w:rPr>
                <w:noProof/>
                <w:color w:val="000000" w:themeColor="text1"/>
                <w:sz w:val="20"/>
                <w:szCs w:val="20"/>
              </w:rPr>
              <w:t>New agreements by non-SME operators (changes relative to the baseline)</w:t>
            </w:r>
          </w:p>
        </w:tc>
        <w:tc>
          <w:tcPr>
            <w:tcW w:w="367" w:type="pct"/>
            <w:tcBorders>
              <w:top w:val="nil"/>
              <w:left w:val="nil"/>
              <w:bottom w:val="single" w:sz="4" w:space="0" w:color="auto"/>
              <w:right w:val="single" w:sz="4" w:space="0" w:color="auto"/>
            </w:tcBorders>
            <w:shd w:val="clear" w:color="auto" w:fill="FFFFFF" w:themeFill="background1"/>
            <w:noWrap/>
            <w:hideMark/>
          </w:tcPr>
          <w:p w14:paraId="75D67ACA" w14:textId="07A70307" w:rsidR="002E7E72" w:rsidRPr="008046B3" w:rsidRDefault="002E7E72" w:rsidP="002E7E72">
            <w:pPr>
              <w:jc w:val="right"/>
              <w:rPr>
                <w:noProof/>
                <w:sz w:val="20"/>
                <w:szCs w:val="20"/>
              </w:rPr>
            </w:pPr>
            <w:r w:rsidRPr="008046B3">
              <w:rPr>
                <w:noProof/>
                <w:sz w:val="20"/>
                <w:szCs w:val="20"/>
              </w:rPr>
              <w:t>906</w:t>
            </w:r>
          </w:p>
        </w:tc>
        <w:tc>
          <w:tcPr>
            <w:tcW w:w="367" w:type="pct"/>
            <w:tcBorders>
              <w:top w:val="nil"/>
              <w:left w:val="nil"/>
              <w:bottom w:val="single" w:sz="4" w:space="0" w:color="auto"/>
              <w:right w:val="single" w:sz="4" w:space="0" w:color="auto"/>
            </w:tcBorders>
            <w:shd w:val="clear" w:color="auto" w:fill="FFFFFF" w:themeFill="background1"/>
            <w:noWrap/>
            <w:hideMark/>
          </w:tcPr>
          <w:p w14:paraId="403194E3" w14:textId="05EA6C3C" w:rsidR="002E7E72" w:rsidRPr="008046B3" w:rsidRDefault="002E7E72" w:rsidP="002E7E72">
            <w:pPr>
              <w:jc w:val="right"/>
              <w:rPr>
                <w:noProof/>
                <w:sz w:val="20"/>
                <w:szCs w:val="20"/>
              </w:rPr>
            </w:pPr>
            <w:r w:rsidRPr="008046B3">
              <w:rPr>
                <w:noProof/>
                <w:sz w:val="20"/>
                <w:szCs w:val="20"/>
              </w:rPr>
              <w:t>206</w:t>
            </w:r>
          </w:p>
        </w:tc>
        <w:tc>
          <w:tcPr>
            <w:tcW w:w="367" w:type="pct"/>
            <w:tcBorders>
              <w:top w:val="nil"/>
              <w:left w:val="nil"/>
              <w:bottom w:val="single" w:sz="4" w:space="0" w:color="auto"/>
              <w:right w:val="single" w:sz="4" w:space="0" w:color="auto"/>
            </w:tcBorders>
            <w:shd w:val="clear" w:color="auto" w:fill="FFFFFF" w:themeFill="background1"/>
            <w:noWrap/>
            <w:hideMark/>
          </w:tcPr>
          <w:p w14:paraId="4929ABE5" w14:textId="73BBF71A" w:rsidR="002E7E72" w:rsidRPr="008046B3" w:rsidRDefault="002E7E72" w:rsidP="002E7E72">
            <w:pPr>
              <w:jc w:val="right"/>
              <w:rPr>
                <w:noProof/>
                <w:sz w:val="20"/>
                <w:szCs w:val="20"/>
              </w:rPr>
            </w:pPr>
            <w:r w:rsidRPr="008046B3">
              <w:rPr>
                <w:noProof/>
                <w:sz w:val="20"/>
                <w:szCs w:val="20"/>
              </w:rPr>
              <w:t>360</w:t>
            </w:r>
          </w:p>
        </w:tc>
        <w:tc>
          <w:tcPr>
            <w:tcW w:w="366" w:type="pct"/>
            <w:tcBorders>
              <w:top w:val="nil"/>
              <w:left w:val="nil"/>
              <w:bottom w:val="single" w:sz="4" w:space="0" w:color="auto"/>
              <w:right w:val="single" w:sz="4" w:space="0" w:color="auto"/>
            </w:tcBorders>
            <w:shd w:val="clear" w:color="auto" w:fill="FFFFFF" w:themeFill="background1"/>
            <w:noWrap/>
            <w:hideMark/>
          </w:tcPr>
          <w:p w14:paraId="5EB44B74" w14:textId="5C0C3685" w:rsidR="002E7E72" w:rsidRPr="008046B3" w:rsidRDefault="002E7E72" w:rsidP="002E7E72">
            <w:pPr>
              <w:jc w:val="right"/>
              <w:rPr>
                <w:noProof/>
                <w:sz w:val="20"/>
                <w:szCs w:val="20"/>
              </w:rPr>
            </w:pPr>
            <w:r w:rsidRPr="008046B3">
              <w:rPr>
                <w:noProof/>
                <w:sz w:val="20"/>
                <w:szCs w:val="20"/>
              </w:rPr>
              <w:t>0</w:t>
            </w:r>
          </w:p>
        </w:tc>
      </w:tr>
      <w:tr w:rsidR="002E7E72" w:rsidRPr="008046B3" w14:paraId="1FBF6D79"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5F3C7113" w14:textId="77777777" w:rsidR="002E7E72" w:rsidRPr="008046B3" w:rsidRDefault="002E7E72" w:rsidP="002E7E72">
            <w:pPr>
              <w:rPr>
                <w:noProof/>
                <w:color w:val="000000"/>
                <w:sz w:val="20"/>
                <w:szCs w:val="20"/>
              </w:rPr>
            </w:pPr>
            <w:r w:rsidRPr="008046B3">
              <w:rPr>
                <w:noProof/>
                <w:color w:val="000000" w:themeColor="text1"/>
                <w:sz w:val="20"/>
                <w:szCs w:val="20"/>
              </w:rPr>
              <w:t>New agreements by SME operators (changes relative to the baseline)</w:t>
            </w:r>
          </w:p>
        </w:tc>
        <w:tc>
          <w:tcPr>
            <w:tcW w:w="367" w:type="pct"/>
            <w:tcBorders>
              <w:top w:val="nil"/>
              <w:left w:val="nil"/>
              <w:bottom w:val="single" w:sz="4" w:space="0" w:color="auto"/>
              <w:right w:val="single" w:sz="4" w:space="0" w:color="auto"/>
            </w:tcBorders>
            <w:shd w:val="clear" w:color="auto" w:fill="FFFFFF" w:themeFill="background1"/>
            <w:noWrap/>
            <w:hideMark/>
          </w:tcPr>
          <w:p w14:paraId="2CCAE19C" w14:textId="69C91F8D" w:rsidR="002E7E72" w:rsidRPr="008046B3" w:rsidRDefault="002E7E72" w:rsidP="002E7E72">
            <w:pPr>
              <w:jc w:val="right"/>
              <w:rPr>
                <w:noProof/>
                <w:sz w:val="20"/>
                <w:szCs w:val="20"/>
              </w:rPr>
            </w:pPr>
            <w:r w:rsidRPr="008046B3">
              <w:rPr>
                <w:noProof/>
                <w:sz w:val="20"/>
                <w:szCs w:val="20"/>
              </w:rPr>
              <w:t>3,220</w:t>
            </w:r>
          </w:p>
        </w:tc>
        <w:tc>
          <w:tcPr>
            <w:tcW w:w="367" w:type="pct"/>
            <w:tcBorders>
              <w:top w:val="nil"/>
              <w:left w:val="nil"/>
              <w:bottom w:val="single" w:sz="4" w:space="0" w:color="auto"/>
              <w:right w:val="single" w:sz="4" w:space="0" w:color="auto"/>
            </w:tcBorders>
            <w:shd w:val="clear" w:color="auto" w:fill="FFFFFF" w:themeFill="background1"/>
            <w:noWrap/>
            <w:hideMark/>
          </w:tcPr>
          <w:p w14:paraId="7E3DF33D" w14:textId="3080BA70" w:rsidR="002E7E72" w:rsidRPr="008046B3" w:rsidRDefault="002E7E72" w:rsidP="002E7E72">
            <w:pPr>
              <w:jc w:val="right"/>
              <w:rPr>
                <w:noProof/>
                <w:sz w:val="20"/>
                <w:szCs w:val="20"/>
              </w:rPr>
            </w:pPr>
            <w:r w:rsidRPr="008046B3">
              <w:rPr>
                <w:noProof/>
                <w:sz w:val="20"/>
                <w:szCs w:val="20"/>
              </w:rPr>
              <w:t>732</w:t>
            </w:r>
          </w:p>
        </w:tc>
        <w:tc>
          <w:tcPr>
            <w:tcW w:w="367" w:type="pct"/>
            <w:tcBorders>
              <w:top w:val="nil"/>
              <w:left w:val="nil"/>
              <w:bottom w:val="single" w:sz="4" w:space="0" w:color="auto"/>
              <w:right w:val="single" w:sz="4" w:space="0" w:color="auto"/>
            </w:tcBorders>
            <w:shd w:val="clear" w:color="auto" w:fill="FFFFFF" w:themeFill="background1"/>
            <w:noWrap/>
            <w:hideMark/>
          </w:tcPr>
          <w:p w14:paraId="29A955A3" w14:textId="3E9FD8DD" w:rsidR="002E7E72" w:rsidRPr="008046B3" w:rsidRDefault="002E7E72" w:rsidP="002E7E72">
            <w:pPr>
              <w:jc w:val="right"/>
              <w:rPr>
                <w:noProof/>
                <w:sz w:val="20"/>
                <w:szCs w:val="20"/>
              </w:rPr>
            </w:pPr>
            <w:r w:rsidRPr="008046B3">
              <w:rPr>
                <w:noProof/>
                <w:sz w:val="20"/>
                <w:szCs w:val="20"/>
              </w:rPr>
              <w:t>1,279</w:t>
            </w:r>
          </w:p>
        </w:tc>
        <w:tc>
          <w:tcPr>
            <w:tcW w:w="366" w:type="pct"/>
            <w:tcBorders>
              <w:top w:val="nil"/>
              <w:left w:val="nil"/>
              <w:bottom w:val="single" w:sz="4" w:space="0" w:color="auto"/>
              <w:right w:val="single" w:sz="4" w:space="0" w:color="auto"/>
            </w:tcBorders>
            <w:shd w:val="clear" w:color="auto" w:fill="FFFFFF" w:themeFill="background1"/>
            <w:noWrap/>
            <w:hideMark/>
          </w:tcPr>
          <w:p w14:paraId="60470609" w14:textId="2225FD77" w:rsidR="002E7E72" w:rsidRPr="008046B3" w:rsidRDefault="002E7E72" w:rsidP="002E7E72">
            <w:pPr>
              <w:jc w:val="right"/>
              <w:rPr>
                <w:noProof/>
                <w:sz w:val="20"/>
                <w:szCs w:val="20"/>
              </w:rPr>
            </w:pPr>
            <w:r w:rsidRPr="008046B3">
              <w:rPr>
                <w:noProof/>
                <w:sz w:val="20"/>
                <w:szCs w:val="20"/>
              </w:rPr>
              <w:t>0</w:t>
            </w:r>
          </w:p>
        </w:tc>
      </w:tr>
      <w:tr w:rsidR="002E7E72" w:rsidRPr="008046B3" w14:paraId="5C561D77"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0DD78B82" w14:textId="1379E19F" w:rsidR="002E7E72" w:rsidRPr="008046B3" w:rsidRDefault="002E7E72" w:rsidP="002E7E72">
            <w:pPr>
              <w:rPr>
                <w:noProof/>
                <w:color w:val="000000"/>
                <w:sz w:val="20"/>
                <w:szCs w:val="20"/>
              </w:rPr>
            </w:pPr>
            <w:r w:rsidRPr="008046B3">
              <w:rPr>
                <w:noProof/>
                <w:color w:val="000000" w:themeColor="text1"/>
                <w:sz w:val="20"/>
                <w:szCs w:val="20"/>
              </w:rPr>
              <w:t>Renegotiated agreements by non-SME operators (changes relative to the baseline)</w:t>
            </w:r>
          </w:p>
        </w:tc>
        <w:tc>
          <w:tcPr>
            <w:tcW w:w="367" w:type="pct"/>
            <w:tcBorders>
              <w:top w:val="nil"/>
              <w:left w:val="nil"/>
              <w:bottom w:val="single" w:sz="4" w:space="0" w:color="auto"/>
              <w:right w:val="single" w:sz="4" w:space="0" w:color="auto"/>
            </w:tcBorders>
            <w:shd w:val="clear" w:color="auto" w:fill="FFFFFF" w:themeFill="background1"/>
            <w:noWrap/>
            <w:hideMark/>
          </w:tcPr>
          <w:p w14:paraId="210FB7D2" w14:textId="1E7042E2" w:rsidR="002E7E72" w:rsidRPr="008046B3" w:rsidRDefault="002E7E72" w:rsidP="002E7E72">
            <w:pPr>
              <w:jc w:val="right"/>
              <w:rPr>
                <w:noProof/>
                <w:sz w:val="20"/>
                <w:szCs w:val="20"/>
              </w:rPr>
            </w:pPr>
            <w:r w:rsidRPr="008046B3">
              <w:rPr>
                <w:noProof/>
                <w:sz w:val="20"/>
                <w:szCs w:val="20"/>
              </w:rPr>
              <w:t>302</w:t>
            </w:r>
          </w:p>
        </w:tc>
        <w:tc>
          <w:tcPr>
            <w:tcW w:w="367" w:type="pct"/>
            <w:tcBorders>
              <w:top w:val="nil"/>
              <w:left w:val="nil"/>
              <w:bottom w:val="single" w:sz="4" w:space="0" w:color="auto"/>
              <w:right w:val="single" w:sz="4" w:space="0" w:color="auto"/>
            </w:tcBorders>
            <w:shd w:val="clear" w:color="auto" w:fill="FFFFFF" w:themeFill="background1"/>
            <w:noWrap/>
            <w:hideMark/>
          </w:tcPr>
          <w:p w14:paraId="730BB29A" w14:textId="6A0F9753" w:rsidR="002E7E72" w:rsidRPr="008046B3" w:rsidRDefault="002E7E72" w:rsidP="002E7E72">
            <w:pPr>
              <w:jc w:val="right"/>
              <w:rPr>
                <w:noProof/>
                <w:sz w:val="20"/>
                <w:szCs w:val="20"/>
              </w:rPr>
            </w:pPr>
            <w:r w:rsidRPr="008046B3">
              <w:rPr>
                <w:noProof/>
                <w:sz w:val="20"/>
                <w:szCs w:val="20"/>
              </w:rPr>
              <w:t>439</w:t>
            </w:r>
          </w:p>
        </w:tc>
        <w:tc>
          <w:tcPr>
            <w:tcW w:w="367" w:type="pct"/>
            <w:tcBorders>
              <w:top w:val="nil"/>
              <w:left w:val="nil"/>
              <w:bottom w:val="single" w:sz="4" w:space="0" w:color="auto"/>
              <w:right w:val="single" w:sz="4" w:space="0" w:color="auto"/>
            </w:tcBorders>
            <w:shd w:val="clear" w:color="auto" w:fill="FFFFFF" w:themeFill="background1"/>
            <w:noWrap/>
            <w:hideMark/>
          </w:tcPr>
          <w:p w14:paraId="22CFAA72" w14:textId="2666D0A5" w:rsidR="002E7E72" w:rsidRPr="008046B3" w:rsidRDefault="002E7E72" w:rsidP="002E7E72">
            <w:pPr>
              <w:jc w:val="right"/>
              <w:rPr>
                <w:noProof/>
                <w:sz w:val="20"/>
                <w:szCs w:val="20"/>
              </w:rPr>
            </w:pPr>
            <w:r w:rsidRPr="008046B3">
              <w:rPr>
                <w:noProof/>
                <w:sz w:val="20"/>
                <w:szCs w:val="20"/>
              </w:rPr>
              <w:t>1,639</w:t>
            </w:r>
          </w:p>
        </w:tc>
        <w:tc>
          <w:tcPr>
            <w:tcW w:w="366" w:type="pct"/>
            <w:tcBorders>
              <w:top w:val="nil"/>
              <w:left w:val="nil"/>
              <w:bottom w:val="single" w:sz="4" w:space="0" w:color="auto"/>
              <w:right w:val="single" w:sz="4" w:space="0" w:color="auto"/>
            </w:tcBorders>
            <w:shd w:val="clear" w:color="auto" w:fill="FFFFFF" w:themeFill="background1"/>
            <w:noWrap/>
            <w:hideMark/>
          </w:tcPr>
          <w:p w14:paraId="13CA8B7E" w14:textId="478B1CBF" w:rsidR="002E7E72" w:rsidRPr="008046B3" w:rsidRDefault="002E7E72" w:rsidP="002E7E72">
            <w:pPr>
              <w:jc w:val="right"/>
              <w:rPr>
                <w:noProof/>
                <w:sz w:val="20"/>
                <w:szCs w:val="20"/>
              </w:rPr>
            </w:pPr>
            <w:r w:rsidRPr="008046B3">
              <w:rPr>
                <w:noProof/>
                <w:sz w:val="20"/>
                <w:szCs w:val="20"/>
              </w:rPr>
              <w:t>1,317</w:t>
            </w:r>
          </w:p>
        </w:tc>
      </w:tr>
      <w:tr w:rsidR="002E7E72" w:rsidRPr="008046B3" w14:paraId="48E75592"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6EB53D03" w14:textId="77777777" w:rsidR="002E7E72" w:rsidRPr="008046B3" w:rsidRDefault="002E7E72" w:rsidP="002E7E72">
            <w:pPr>
              <w:rPr>
                <w:noProof/>
                <w:color w:val="000000"/>
                <w:sz w:val="20"/>
                <w:szCs w:val="20"/>
              </w:rPr>
            </w:pPr>
            <w:r w:rsidRPr="008046B3">
              <w:rPr>
                <w:noProof/>
                <w:color w:val="000000" w:themeColor="text1"/>
                <w:sz w:val="20"/>
                <w:szCs w:val="20"/>
              </w:rPr>
              <w:t>Renegotiated agreements by SME operators (changes relative to the baseline)</w:t>
            </w:r>
          </w:p>
        </w:tc>
        <w:tc>
          <w:tcPr>
            <w:tcW w:w="367" w:type="pct"/>
            <w:tcBorders>
              <w:top w:val="nil"/>
              <w:left w:val="nil"/>
              <w:bottom w:val="single" w:sz="4" w:space="0" w:color="auto"/>
              <w:right w:val="single" w:sz="4" w:space="0" w:color="auto"/>
            </w:tcBorders>
            <w:shd w:val="clear" w:color="auto" w:fill="FFFFFF" w:themeFill="background1"/>
            <w:noWrap/>
            <w:hideMark/>
          </w:tcPr>
          <w:p w14:paraId="39F293AD" w14:textId="63A2C385" w:rsidR="002E7E72" w:rsidRPr="008046B3" w:rsidRDefault="002E7E72" w:rsidP="002E7E72">
            <w:pPr>
              <w:jc w:val="right"/>
              <w:rPr>
                <w:noProof/>
                <w:sz w:val="20"/>
                <w:szCs w:val="20"/>
              </w:rPr>
            </w:pPr>
            <w:r w:rsidRPr="008046B3">
              <w:rPr>
                <w:noProof/>
                <w:sz w:val="20"/>
                <w:szCs w:val="20"/>
              </w:rPr>
              <w:t>1,073</w:t>
            </w:r>
          </w:p>
        </w:tc>
        <w:tc>
          <w:tcPr>
            <w:tcW w:w="367" w:type="pct"/>
            <w:tcBorders>
              <w:top w:val="nil"/>
              <w:left w:val="nil"/>
              <w:bottom w:val="single" w:sz="4" w:space="0" w:color="auto"/>
              <w:right w:val="single" w:sz="4" w:space="0" w:color="auto"/>
            </w:tcBorders>
            <w:shd w:val="clear" w:color="auto" w:fill="FFFFFF" w:themeFill="background1"/>
            <w:noWrap/>
            <w:hideMark/>
          </w:tcPr>
          <w:p w14:paraId="2A1829CB" w14:textId="35F78CFF" w:rsidR="002E7E72" w:rsidRPr="008046B3" w:rsidRDefault="002E7E72" w:rsidP="002E7E72">
            <w:pPr>
              <w:jc w:val="right"/>
              <w:rPr>
                <w:noProof/>
                <w:sz w:val="20"/>
                <w:szCs w:val="20"/>
              </w:rPr>
            </w:pPr>
            <w:r w:rsidRPr="008046B3">
              <w:rPr>
                <w:noProof/>
                <w:sz w:val="20"/>
                <w:szCs w:val="20"/>
              </w:rPr>
              <w:t>1,561</w:t>
            </w:r>
          </w:p>
        </w:tc>
        <w:tc>
          <w:tcPr>
            <w:tcW w:w="367" w:type="pct"/>
            <w:tcBorders>
              <w:top w:val="nil"/>
              <w:left w:val="nil"/>
              <w:bottom w:val="single" w:sz="4" w:space="0" w:color="auto"/>
              <w:right w:val="single" w:sz="4" w:space="0" w:color="auto"/>
            </w:tcBorders>
            <w:shd w:val="clear" w:color="auto" w:fill="FFFFFF" w:themeFill="background1"/>
            <w:noWrap/>
            <w:hideMark/>
          </w:tcPr>
          <w:p w14:paraId="7C081155" w14:textId="25D360DC" w:rsidR="002E7E72" w:rsidRPr="008046B3" w:rsidRDefault="002E7E72" w:rsidP="002E7E72">
            <w:pPr>
              <w:jc w:val="right"/>
              <w:rPr>
                <w:noProof/>
                <w:sz w:val="20"/>
                <w:szCs w:val="20"/>
              </w:rPr>
            </w:pPr>
            <w:r w:rsidRPr="008046B3">
              <w:rPr>
                <w:noProof/>
                <w:sz w:val="20"/>
                <w:szCs w:val="20"/>
              </w:rPr>
              <w:t>5,825</w:t>
            </w:r>
          </w:p>
        </w:tc>
        <w:tc>
          <w:tcPr>
            <w:tcW w:w="366" w:type="pct"/>
            <w:tcBorders>
              <w:top w:val="nil"/>
              <w:left w:val="nil"/>
              <w:bottom w:val="single" w:sz="4" w:space="0" w:color="auto"/>
              <w:right w:val="single" w:sz="4" w:space="0" w:color="auto"/>
            </w:tcBorders>
            <w:shd w:val="clear" w:color="auto" w:fill="FFFFFF" w:themeFill="background1"/>
            <w:noWrap/>
            <w:hideMark/>
          </w:tcPr>
          <w:p w14:paraId="5C8DD9BF" w14:textId="230298B2" w:rsidR="002E7E72" w:rsidRPr="008046B3" w:rsidRDefault="002E7E72" w:rsidP="002E7E72">
            <w:pPr>
              <w:jc w:val="right"/>
              <w:rPr>
                <w:noProof/>
                <w:sz w:val="20"/>
                <w:szCs w:val="20"/>
              </w:rPr>
            </w:pPr>
            <w:r w:rsidRPr="008046B3">
              <w:rPr>
                <w:noProof/>
                <w:sz w:val="20"/>
                <w:szCs w:val="20"/>
              </w:rPr>
              <w:t>4,681</w:t>
            </w:r>
          </w:p>
        </w:tc>
      </w:tr>
      <w:tr w:rsidR="002E7E72" w:rsidRPr="008046B3" w14:paraId="375E6AFE"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6DCA8C11" w14:textId="11616BC2" w:rsidR="002E7E72" w:rsidRPr="008046B3" w:rsidRDefault="002E7E72" w:rsidP="002E7E72">
            <w:pPr>
              <w:rPr>
                <w:noProof/>
                <w:color w:val="000000"/>
                <w:sz w:val="20"/>
                <w:szCs w:val="20"/>
              </w:rPr>
            </w:pPr>
            <w:r w:rsidRPr="008046B3">
              <w:rPr>
                <w:noProof/>
                <w:color w:val="000000"/>
                <w:sz w:val="20"/>
                <w:szCs w:val="20"/>
              </w:rPr>
              <w:t>Total adjustment cost savings for non-SME operators (million EUR)</w:t>
            </w:r>
          </w:p>
        </w:tc>
        <w:tc>
          <w:tcPr>
            <w:tcW w:w="367" w:type="pct"/>
            <w:tcBorders>
              <w:top w:val="nil"/>
              <w:left w:val="nil"/>
              <w:bottom w:val="single" w:sz="4" w:space="0" w:color="auto"/>
              <w:right w:val="single" w:sz="4" w:space="0" w:color="auto"/>
            </w:tcBorders>
            <w:shd w:val="clear" w:color="auto" w:fill="FFFFFF" w:themeFill="background1"/>
            <w:noWrap/>
            <w:hideMark/>
          </w:tcPr>
          <w:p w14:paraId="0E6C53B4" w14:textId="209F2637" w:rsidR="002E7E72" w:rsidRPr="008046B3" w:rsidRDefault="002E7E72" w:rsidP="002E7E72">
            <w:pPr>
              <w:jc w:val="right"/>
              <w:rPr>
                <w:noProof/>
                <w:sz w:val="20"/>
                <w:szCs w:val="20"/>
              </w:rPr>
            </w:pPr>
            <w:r w:rsidRPr="008046B3">
              <w:rPr>
                <w:noProof/>
                <w:sz w:val="20"/>
                <w:szCs w:val="20"/>
              </w:rPr>
              <w:t>2.2</w:t>
            </w:r>
          </w:p>
        </w:tc>
        <w:tc>
          <w:tcPr>
            <w:tcW w:w="367" w:type="pct"/>
            <w:tcBorders>
              <w:top w:val="nil"/>
              <w:left w:val="nil"/>
              <w:bottom w:val="single" w:sz="4" w:space="0" w:color="auto"/>
              <w:right w:val="single" w:sz="4" w:space="0" w:color="auto"/>
            </w:tcBorders>
            <w:shd w:val="clear" w:color="auto" w:fill="FFFFFF" w:themeFill="background1"/>
            <w:noWrap/>
            <w:hideMark/>
          </w:tcPr>
          <w:p w14:paraId="6CD3C6AD" w14:textId="08AD01B1" w:rsidR="002E7E72" w:rsidRPr="008046B3" w:rsidRDefault="002E7E72" w:rsidP="002E7E72">
            <w:pPr>
              <w:jc w:val="right"/>
              <w:rPr>
                <w:noProof/>
                <w:sz w:val="20"/>
                <w:szCs w:val="20"/>
              </w:rPr>
            </w:pPr>
            <w:r w:rsidRPr="008046B3">
              <w:rPr>
                <w:noProof/>
                <w:sz w:val="20"/>
                <w:szCs w:val="20"/>
              </w:rPr>
              <w:t>0.9</w:t>
            </w:r>
          </w:p>
        </w:tc>
        <w:tc>
          <w:tcPr>
            <w:tcW w:w="367" w:type="pct"/>
            <w:tcBorders>
              <w:top w:val="nil"/>
              <w:left w:val="nil"/>
              <w:bottom w:val="single" w:sz="4" w:space="0" w:color="auto"/>
              <w:right w:val="single" w:sz="4" w:space="0" w:color="auto"/>
            </w:tcBorders>
            <w:shd w:val="clear" w:color="auto" w:fill="FFFFFF" w:themeFill="background1"/>
            <w:noWrap/>
            <w:hideMark/>
          </w:tcPr>
          <w:p w14:paraId="1379D416" w14:textId="11007E29" w:rsidR="002E7E72" w:rsidRPr="008046B3" w:rsidRDefault="002E7E72" w:rsidP="002E7E72">
            <w:pPr>
              <w:jc w:val="right"/>
              <w:rPr>
                <w:noProof/>
                <w:sz w:val="20"/>
                <w:szCs w:val="20"/>
              </w:rPr>
            </w:pPr>
            <w:r w:rsidRPr="008046B3">
              <w:rPr>
                <w:noProof/>
                <w:sz w:val="20"/>
                <w:szCs w:val="20"/>
              </w:rPr>
              <w:t>2.7</w:t>
            </w:r>
          </w:p>
        </w:tc>
        <w:tc>
          <w:tcPr>
            <w:tcW w:w="366" w:type="pct"/>
            <w:tcBorders>
              <w:top w:val="nil"/>
              <w:left w:val="nil"/>
              <w:bottom w:val="single" w:sz="4" w:space="0" w:color="auto"/>
              <w:right w:val="single" w:sz="4" w:space="0" w:color="auto"/>
            </w:tcBorders>
            <w:shd w:val="clear" w:color="auto" w:fill="FFFFFF" w:themeFill="background1"/>
            <w:noWrap/>
            <w:hideMark/>
          </w:tcPr>
          <w:p w14:paraId="43C9FF92" w14:textId="77C25948" w:rsidR="002E7E72" w:rsidRPr="008046B3" w:rsidRDefault="002E7E72" w:rsidP="002E7E72">
            <w:pPr>
              <w:jc w:val="right"/>
              <w:rPr>
                <w:noProof/>
                <w:sz w:val="20"/>
                <w:szCs w:val="20"/>
              </w:rPr>
            </w:pPr>
            <w:r w:rsidRPr="008046B3">
              <w:rPr>
                <w:noProof/>
                <w:sz w:val="20"/>
                <w:szCs w:val="20"/>
              </w:rPr>
              <w:t>1.6</w:t>
            </w:r>
          </w:p>
        </w:tc>
      </w:tr>
      <w:tr w:rsidR="002E7E72" w:rsidRPr="008046B3" w14:paraId="75655E3F"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3C3B5BC7" w14:textId="77777777" w:rsidR="002E7E72" w:rsidRPr="008046B3" w:rsidRDefault="002E7E72" w:rsidP="002E7E72">
            <w:pPr>
              <w:rPr>
                <w:noProof/>
                <w:color w:val="000000"/>
                <w:sz w:val="20"/>
                <w:szCs w:val="20"/>
              </w:rPr>
            </w:pPr>
            <w:r w:rsidRPr="008046B3">
              <w:rPr>
                <w:noProof/>
                <w:color w:val="000000"/>
                <w:sz w:val="20"/>
                <w:szCs w:val="20"/>
              </w:rPr>
              <w:t>Total adjustment cost savings for SME operators (million EUR)</w:t>
            </w:r>
          </w:p>
        </w:tc>
        <w:tc>
          <w:tcPr>
            <w:tcW w:w="367" w:type="pct"/>
            <w:tcBorders>
              <w:top w:val="nil"/>
              <w:left w:val="nil"/>
              <w:bottom w:val="single" w:sz="4" w:space="0" w:color="auto"/>
              <w:right w:val="single" w:sz="4" w:space="0" w:color="auto"/>
            </w:tcBorders>
            <w:shd w:val="clear" w:color="auto" w:fill="FFFFFF" w:themeFill="background1"/>
            <w:noWrap/>
            <w:hideMark/>
          </w:tcPr>
          <w:p w14:paraId="4C3CC266" w14:textId="62FCB5B4" w:rsidR="002E7E72" w:rsidRPr="008046B3" w:rsidRDefault="002E7E72" w:rsidP="002E7E72">
            <w:pPr>
              <w:jc w:val="right"/>
              <w:rPr>
                <w:noProof/>
                <w:sz w:val="20"/>
                <w:szCs w:val="20"/>
              </w:rPr>
            </w:pPr>
            <w:r w:rsidRPr="008046B3">
              <w:rPr>
                <w:noProof/>
                <w:sz w:val="20"/>
                <w:szCs w:val="20"/>
              </w:rPr>
              <w:t>7.7</w:t>
            </w:r>
          </w:p>
        </w:tc>
        <w:tc>
          <w:tcPr>
            <w:tcW w:w="367" w:type="pct"/>
            <w:tcBorders>
              <w:top w:val="nil"/>
              <w:left w:val="nil"/>
              <w:bottom w:val="single" w:sz="4" w:space="0" w:color="auto"/>
              <w:right w:val="single" w:sz="4" w:space="0" w:color="auto"/>
            </w:tcBorders>
            <w:shd w:val="clear" w:color="auto" w:fill="FFFFFF" w:themeFill="background1"/>
            <w:noWrap/>
            <w:hideMark/>
          </w:tcPr>
          <w:p w14:paraId="51FAAC7A" w14:textId="3B11FD41" w:rsidR="002E7E72" w:rsidRPr="008046B3" w:rsidRDefault="002E7E72" w:rsidP="002E7E72">
            <w:pPr>
              <w:jc w:val="right"/>
              <w:rPr>
                <w:noProof/>
                <w:sz w:val="20"/>
                <w:szCs w:val="20"/>
              </w:rPr>
            </w:pPr>
            <w:r w:rsidRPr="008046B3">
              <w:rPr>
                <w:noProof/>
                <w:sz w:val="20"/>
                <w:szCs w:val="20"/>
              </w:rPr>
              <w:t>3.3</w:t>
            </w:r>
          </w:p>
        </w:tc>
        <w:tc>
          <w:tcPr>
            <w:tcW w:w="367" w:type="pct"/>
            <w:tcBorders>
              <w:top w:val="nil"/>
              <w:left w:val="nil"/>
              <w:bottom w:val="single" w:sz="4" w:space="0" w:color="auto"/>
              <w:right w:val="single" w:sz="4" w:space="0" w:color="auto"/>
            </w:tcBorders>
            <w:shd w:val="clear" w:color="auto" w:fill="FFFFFF" w:themeFill="background1"/>
            <w:noWrap/>
            <w:hideMark/>
          </w:tcPr>
          <w:p w14:paraId="18B7B3F7" w14:textId="3A0A23C7" w:rsidR="002E7E72" w:rsidRPr="008046B3" w:rsidRDefault="002E7E72" w:rsidP="002E7E72">
            <w:pPr>
              <w:jc w:val="right"/>
              <w:rPr>
                <w:noProof/>
                <w:sz w:val="20"/>
                <w:szCs w:val="20"/>
              </w:rPr>
            </w:pPr>
            <w:r w:rsidRPr="008046B3">
              <w:rPr>
                <w:noProof/>
                <w:sz w:val="20"/>
                <w:szCs w:val="20"/>
              </w:rPr>
              <w:t>9.4</w:t>
            </w:r>
          </w:p>
        </w:tc>
        <w:tc>
          <w:tcPr>
            <w:tcW w:w="366" w:type="pct"/>
            <w:tcBorders>
              <w:top w:val="nil"/>
              <w:left w:val="nil"/>
              <w:bottom w:val="single" w:sz="4" w:space="0" w:color="auto"/>
              <w:right w:val="single" w:sz="4" w:space="0" w:color="auto"/>
            </w:tcBorders>
            <w:shd w:val="clear" w:color="auto" w:fill="FFFFFF" w:themeFill="background1"/>
            <w:noWrap/>
            <w:hideMark/>
          </w:tcPr>
          <w:p w14:paraId="5A7FD6EE" w14:textId="77FE3701" w:rsidR="002E7E72" w:rsidRPr="008046B3" w:rsidRDefault="002E7E72" w:rsidP="002E7E72">
            <w:pPr>
              <w:jc w:val="right"/>
              <w:rPr>
                <w:noProof/>
                <w:sz w:val="20"/>
                <w:szCs w:val="20"/>
              </w:rPr>
            </w:pPr>
            <w:r w:rsidRPr="008046B3">
              <w:rPr>
                <w:noProof/>
                <w:sz w:val="20"/>
                <w:szCs w:val="20"/>
              </w:rPr>
              <w:t>5.5</w:t>
            </w:r>
          </w:p>
        </w:tc>
      </w:tr>
      <w:tr w:rsidR="002E7E72" w:rsidRPr="008046B3" w14:paraId="1272E2C0"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4CDD8568" w14:textId="77777777" w:rsidR="002E7E72" w:rsidRPr="008046B3" w:rsidRDefault="002E7E72" w:rsidP="002E7E72">
            <w:pPr>
              <w:rPr>
                <w:b/>
                <w:noProof/>
                <w:color w:val="000000"/>
                <w:sz w:val="20"/>
                <w:szCs w:val="20"/>
              </w:rPr>
            </w:pPr>
            <w:r w:rsidRPr="008046B3">
              <w:rPr>
                <w:b/>
                <w:noProof/>
                <w:color w:val="000000"/>
                <w:sz w:val="20"/>
                <w:szCs w:val="20"/>
              </w:rPr>
              <w:t>PO3</w:t>
            </w:r>
          </w:p>
        </w:tc>
        <w:tc>
          <w:tcPr>
            <w:tcW w:w="367" w:type="pct"/>
            <w:tcBorders>
              <w:top w:val="nil"/>
              <w:left w:val="nil"/>
              <w:bottom w:val="single" w:sz="4" w:space="0" w:color="auto"/>
              <w:right w:val="single" w:sz="4" w:space="0" w:color="auto"/>
            </w:tcBorders>
            <w:shd w:val="clear" w:color="auto" w:fill="FFFFFF" w:themeFill="background1"/>
            <w:noWrap/>
            <w:hideMark/>
          </w:tcPr>
          <w:p w14:paraId="6953BD9F" w14:textId="523178DE" w:rsidR="002E7E72" w:rsidRPr="008046B3" w:rsidRDefault="002E7E72" w:rsidP="002E7E72">
            <w:pPr>
              <w:rPr>
                <w:noProof/>
                <w:sz w:val="20"/>
                <w:szCs w:val="20"/>
              </w:rPr>
            </w:pPr>
            <w:r w:rsidRPr="008046B3">
              <w:rPr>
                <w:noProof/>
                <w:sz w:val="20"/>
                <w:szCs w:val="20"/>
              </w:rPr>
              <w:t> </w:t>
            </w:r>
          </w:p>
        </w:tc>
        <w:tc>
          <w:tcPr>
            <w:tcW w:w="367" w:type="pct"/>
            <w:tcBorders>
              <w:top w:val="nil"/>
              <w:left w:val="nil"/>
              <w:bottom w:val="single" w:sz="4" w:space="0" w:color="auto"/>
              <w:right w:val="single" w:sz="4" w:space="0" w:color="auto"/>
            </w:tcBorders>
            <w:shd w:val="clear" w:color="auto" w:fill="FFFFFF" w:themeFill="background1"/>
            <w:noWrap/>
            <w:hideMark/>
          </w:tcPr>
          <w:p w14:paraId="4C9E6A9B" w14:textId="6C308F25" w:rsidR="002E7E72" w:rsidRPr="008046B3" w:rsidRDefault="002E7E72" w:rsidP="002E7E72">
            <w:pPr>
              <w:rPr>
                <w:noProof/>
                <w:sz w:val="20"/>
                <w:szCs w:val="20"/>
              </w:rPr>
            </w:pPr>
            <w:r w:rsidRPr="008046B3">
              <w:rPr>
                <w:noProof/>
                <w:sz w:val="20"/>
                <w:szCs w:val="20"/>
              </w:rPr>
              <w:t> </w:t>
            </w:r>
          </w:p>
        </w:tc>
        <w:tc>
          <w:tcPr>
            <w:tcW w:w="367" w:type="pct"/>
            <w:tcBorders>
              <w:top w:val="nil"/>
              <w:left w:val="nil"/>
              <w:bottom w:val="single" w:sz="4" w:space="0" w:color="auto"/>
              <w:right w:val="single" w:sz="4" w:space="0" w:color="auto"/>
            </w:tcBorders>
            <w:shd w:val="clear" w:color="auto" w:fill="FFFFFF" w:themeFill="background1"/>
            <w:noWrap/>
            <w:hideMark/>
          </w:tcPr>
          <w:p w14:paraId="746CA116" w14:textId="2CFB1FEA" w:rsidR="002E7E72" w:rsidRPr="008046B3" w:rsidRDefault="002E7E72" w:rsidP="002E7E72">
            <w:pPr>
              <w:rPr>
                <w:noProof/>
                <w:sz w:val="20"/>
                <w:szCs w:val="20"/>
              </w:rPr>
            </w:pPr>
            <w:r w:rsidRPr="008046B3">
              <w:rPr>
                <w:noProof/>
                <w:sz w:val="20"/>
                <w:szCs w:val="20"/>
              </w:rPr>
              <w:t> </w:t>
            </w:r>
          </w:p>
        </w:tc>
        <w:tc>
          <w:tcPr>
            <w:tcW w:w="366" w:type="pct"/>
            <w:tcBorders>
              <w:top w:val="nil"/>
              <w:left w:val="nil"/>
              <w:bottom w:val="single" w:sz="4" w:space="0" w:color="auto"/>
              <w:right w:val="single" w:sz="4" w:space="0" w:color="auto"/>
            </w:tcBorders>
            <w:shd w:val="clear" w:color="auto" w:fill="FFFFFF" w:themeFill="background1"/>
            <w:noWrap/>
            <w:hideMark/>
          </w:tcPr>
          <w:p w14:paraId="066CAE99" w14:textId="704B9068" w:rsidR="002E7E72" w:rsidRPr="008046B3" w:rsidRDefault="002E7E72" w:rsidP="002E7E72">
            <w:pPr>
              <w:rPr>
                <w:noProof/>
                <w:sz w:val="20"/>
                <w:szCs w:val="20"/>
              </w:rPr>
            </w:pPr>
            <w:r w:rsidRPr="008046B3">
              <w:rPr>
                <w:noProof/>
                <w:sz w:val="20"/>
                <w:szCs w:val="20"/>
              </w:rPr>
              <w:t> </w:t>
            </w:r>
          </w:p>
        </w:tc>
      </w:tr>
      <w:tr w:rsidR="002E7E72" w:rsidRPr="008046B3" w14:paraId="773650CD"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5C7197F2" w14:textId="1345F43F" w:rsidR="002E7E72" w:rsidRPr="008046B3" w:rsidRDefault="002E7E72" w:rsidP="002E7E72">
            <w:pPr>
              <w:rPr>
                <w:noProof/>
                <w:color w:val="000000"/>
                <w:sz w:val="20"/>
                <w:szCs w:val="20"/>
              </w:rPr>
            </w:pPr>
            <w:r w:rsidRPr="008046B3">
              <w:rPr>
                <w:noProof/>
                <w:color w:val="000000" w:themeColor="text1"/>
                <w:sz w:val="20"/>
                <w:szCs w:val="20"/>
              </w:rPr>
              <w:t>New agreements by non-SME operators (changes relative to the baseline)</w:t>
            </w:r>
          </w:p>
        </w:tc>
        <w:tc>
          <w:tcPr>
            <w:tcW w:w="367" w:type="pct"/>
            <w:tcBorders>
              <w:top w:val="nil"/>
              <w:left w:val="nil"/>
              <w:bottom w:val="single" w:sz="4" w:space="0" w:color="auto"/>
              <w:right w:val="single" w:sz="4" w:space="0" w:color="auto"/>
            </w:tcBorders>
            <w:shd w:val="clear" w:color="auto" w:fill="FFFFFF" w:themeFill="background1"/>
            <w:noWrap/>
            <w:hideMark/>
          </w:tcPr>
          <w:p w14:paraId="0CDF0199" w14:textId="15D87792" w:rsidR="002E7E72" w:rsidRPr="008046B3" w:rsidRDefault="002E7E72" w:rsidP="002E7E72">
            <w:pPr>
              <w:jc w:val="right"/>
              <w:rPr>
                <w:noProof/>
                <w:sz w:val="20"/>
                <w:szCs w:val="20"/>
              </w:rPr>
            </w:pPr>
            <w:r w:rsidRPr="008046B3">
              <w:rPr>
                <w:noProof/>
                <w:sz w:val="20"/>
                <w:szCs w:val="20"/>
              </w:rPr>
              <w:t>909</w:t>
            </w:r>
          </w:p>
        </w:tc>
        <w:tc>
          <w:tcPr>
            <w:tcW w:w="367" w:type="pct"/>
            <w:tcBorders>
              <w:top w:val="nil"/>
              <w:left w:val="nil"/>
              <w:bottom w:val="single" w:sz="4" w:space="0" w:color="auto"/>
              <w:right w:val="single" w:sz="4" w:space="0" w:color="auto"/>
            </w:tcBorders>
            <w:shd w:val="clear" w:color="auto" w:fill="FFFFFF" w:themeFill="background1"/>
            <w:noWrap/>
            <w:hideMark/>
          </w:tcPr>
          <w:p w14:paraId="624D0686" w14:textId="5C24C256" w:rsidR="002E7E72" w:rsidRPr="008046B3" w:rsidRDefault="002E7E72" w:rsidP="002E7E72">
            <w:pPr>
              <w:jc w:val="right"/>
              <w:rPr>
                <w:noProof/>
                <w:sz w:val="20"/>
                <w:szCs w:val="20"/>
              </w:rPr>
            </w:pPr>
            <w:r w:rsidRPr="008046B3">
              <w:rPr>
                <w:noProof/>
                <w:sz w:val="20"/>
                <w:szCs w:val="20"/>
              </w:rPr>
              <w:t>206</w:t>
            </w:r>
          </w:p>
        </w:tc>
        <w:tc>
          <w:tcPr>
            <w:tcW w:w="367" w:type="pct"/>
            <w:tcBorders>
              <w:top w:val="nil"/>
              <w:left w:val="nil"/>
              <w:bottom w:val="single" w:sz="4" w:space="0" w:color="auto"/>
              <w:right w:val="single" w:sz="4" w:space="0" w:color="auto"/>
            </w:tcBorders>
            <w:shd w:val="clear" w:color="auto" w:fill="FFFFFF" w:themeFill="background1"/>
            <w:noWrap/>
            <w:hideMark/>
          </w:tcPr>
          <w:p w14:paraId="40002882" w14:textId="7EC1DB7B" w:rsidR="002E7E72" w:rsidRPr="008046B3" w:rsidRDefault="002E7E72" w:rsidP="002E7E72">
            <w:pPr>
              <w:jc w:val="right"/>
              <w:rPr>
                <w:noProof/>
                <w:sz w:val="20"/>
                <w:szCs w:val="20"/>
              </w:rPr>
            </w:pPr>
            <w:r w:rsidRPr="008046B3">
              <w:rPr>
                <w:noProof/>
                <w:sz w:val="20"/>
                <w:szCs w:val="20"/>
              </w:rPr>
              <w:t>298</w:t>
            </w:r>
          </w:p>
        </w:tc>
        <w:tc>
          <w:tcPr>
            <w:tcW w:w="366" w:type="pct"/>
            <w:tcBorders>
              <w:top w:val="nil"/>
              <w:left w:val="nil"/>
              <w:bottom w:val="single" w:sz="4" w:space="0" w:color="auto"/>
              <w:right w:val="single" w:sz="4" w:space="0" w:color="auto"/>
            </w:tcBorders>
            <w:shd w:val="clear" w:color="auto" w:fill="FFFFFF" w:themeFill="background1"/>
            <w:noWrap/>
            <w:hideMark/>
          </w:tcPr>
          <w:p w14:paraId="611ED74B" w14:textId="279B78C4" w:rsidR="002E7E72" w:rsidRPr="008046B3" w:rsidRDefault="002E7E72" w:rsidP="002E7E72">
            <w:pPr>
              <w:jc w:val="right"/>
              <w:rPr>
                <w:noProof/>
                <w:sz w:val="20"/>
                <w:szCs w:val="20"/>
              </w:rPr>
            </w:pPr>
            <w:r w:rsidRPr="008046B3">
              <w:rPr>
                <w:noProof/>
                <w:sz w:val="20"/>
                <w:szCs w:val="20"/>
              </w:rPr>
              <w:t>0</w:t>
            </w:r>
          </w:p>
        </w:tc>
      </w:tr>
      <w:tr w:rsidR="002E7E72" w:rsidRPr="008046B3" w14:paraId="08C5DBEE"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79C6D2A3" w14:textId="77777777" w:rsidR="002E7E72" w:rsidRPr="008046B3" w:rsidRDefault="002E7E72" w:rsidP="002E7E72">
            <w:pPr>
              <w:rPr>
                <w:noProof/>
                <w:color w:val="000000"/>
                <w:sz w:val="20"/>
                <w:szCs w:val="20"/>
              </w:rPr>
            </w:pPr>
            <w:r w:rsidRPr="008046B3">
              <w:rPr>
                <w:noProof/>
                <w:color w:val="000000" w:themeColor="text1"/>
                <w:sz w:val="20"/>
                <w:szCs w:val="20"/>
              </w:rPr>
              <w:t>New agreements by SME operators (changes relative to the baseline)</w:t>
            </w:r>
          </w:p>
        </w:tc>
        <w:tc>
          <w:tcPr>
            <w:tcW w:w="367" w:type="pct"/>
            <w:tcBorders>
              <w:top w:val="nil"/>
              <w:left w:val="nil"/>
              <w:bottom w:val="single" w:sz="4" w:space="0" w:color="auto"/>
              <w:right w:val="single" w:sz="4" w:space="0" w:color="auto"/>
            </w:tcBorders>
            <w:shd w:val="clear" w:color="auto" w:fill="FFFFFF" w:themeFill="background1"/>
            <w:noWrap/>
            <w:hideMark/>
          </w:tcPr>
          <w:p w14:paraId="5B8BB551" w14:textId="23BB84BE" w:rsidR="002E7E72" w:rsidRPr="008046B3" w:rsidRDefault="002E7E72" w:rsidP="002E7E72">
            <w:pPr>
              <w:jc w:val="right"/>
              <w:rPr>
                <w:noProof/>
                <w:sz w:val="20"/>
                <w:szCs w:val="20"/>
              </w:rPr>
            </w:pPr>
            <w:r w:rsidRPr="008046B3">
              <w:rPr>
                <w:noProof/>
                <w:sz w:val="20"/>
                <w:szCs w:val="20"/>
              </w:rPr>
              <w:t>3,230</w:t>
            </w:r>
          </w:p>
        </w:tc>
        <w:tc>
          <w:tcPr>
            <w:tcW w:w="367" w:type="pct"/>
            <w:tcBorders>
              <w:top w:val="nil"/>
              <w:left w:val="nil"/>
              <w:bottom w:val="single" w:sz="4" w:space="0" w:color="auto"/>
              <w:right w:val="single" w:sz="4" w:space="0" w:color="auto"/>
            </w:tcBorders>
            <w:shd w:val="clear" w:color="auto" w:fill="FFFFFF" w:themeFill="background1"/>
            <w:noWrap/>
            <w:hideMark/>
          </w:tcPr>
          <w:p w14:paraId="19B7D93E" w14:textId="13E93688" w:rsidR="002E7E72" w:rsidRPr="008046B3" w:rsidRDefault="002E7E72" w:rsidP="002E7E72">
            <w:pPr>
              <w:jc w:val="right"/>
              <w:rPr>
                <w:noProof/>
                <w:sz w:val="20"/>
                <w:szCs w:val="20"/>
              </w:rPr>
            </w:pPr>
            <w:r w:rsidRPr="008046B3">
              <w:rPr>
                <w:noProof/>
                <w:sz w:val="20"/>
                <w:szCs w:val="20"/>
              </w:rPr>
              <w:t>732</w:t>
            </w:r>
          </w:p>
        </w:tc>
        <w:tc>
          <w:tcPr>
            <w:tcW w:w="367" w:type="pct"/>
            <w:tcBorders>
              <w:top w:val="nil"/>
              <w:left w:val="nil"/>
              <w:bottom w:val="single" w:sz="4" w:space="0" w:color="auto"/>
              <w:right w:val="single" w:sz="4" w:space="0" w:color="auto"/>
            </w:tcBorders>
            <w:shd w:val="clear" w:color="auto" w:fill="FFFFFF" w:themeFill="background1"/>
            <w:noWrap/>
            <w:hideMark/>
          </w:tcPr>
          <w:p w14:paraId="3D15D9D1" w14:textId="7A6EBF63" w:rsidR="002E7E72" w:rsidRPr="008046B3" w:rsidRDefault="002E7E72" w:rsidP="002E7E72">
            <w:pPr>
              <w:jc w:val="right"/>
              <w:rPr>
                <w:noProof/>
                <w:sz w:val="20"/>
                <w:szCs w:val="20"/>
              </w:rPr>
            </w:pPr>
            <w:r w:rsidRPr="008046B3">
              <w:rPr>
                <w:noProof/>
                <w:sz w:val="20"/>
                <w:szCs w:val="20"/>
              </w:rPr>
              <w:t>1,060</w:t>
            </w:r>
          </w:p>
        </w:tc>
        <w:tc>
          <w:tcPr>
            <w:tcW w:w="366" w:type="pct"/>
            <w:tcBorders>
              <w:top w:val="nil"/>
              <w:left w:val="nil"/>
              <w:bottom w:val="single" w:sz="4" w:space="0" w:color="auto"/>
              <w:right w:val="single" w:sz="4" w:space="0" w:color="auto"/>
            </w:tcBorders>
            <w:shd w:val="clear" w:color="auto" w:fill="FFFFFF" w:themeFill="background1"/>
            <w:noWrap/>
            <w:hideMark/>
          </w:tcPr>
          <w:p w14:paraId="0A520CE8" w14:textId="7B5DF331" w:rsidR="002E7E72" w:rsidRPr="008046B3" w:rsidRDefault="002E7E72" w:rsidP="002E7E72">
            <w:pPr>
              <w:jc w:val="right"/>
              <w:rPr>
                <w:noProof/>
                <w:sz w:val="20"/>
                <w:szCs w:val="20"/>
              </w:rPr>
            </w:pPr>
            <w:r w:rsidRPr="008046B3">
              <w:rPr>
                <w:noProof/>
                <w:sz w:val="20"/>
                <w:szCs w:val="20"/>
              </w:rPr>
              <w:t>0</w:t>
            </w:r>
          </w:p>
        </w:tc>
      </w:tr>
      <w:tr w:rsidR="002E7E72" w:rsidRPr="008046B3" w14:paraId="4A449F53"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2992DD0E" w14:textId="7A659BCD" w:rsidR="002E7E72" w:rsidRPr="008046B3" w:rsidRDefault="002E7E72" w:rsidP="002E7E72">
            <w:pPr>
              <w:rPr>
                <w:noProof/>
                <w:color w:val="000000"/>
                <w:sz w:val="20"/>
                <w:szCs w:val="20"/>
              </w:rPr>
            </w:pPr>
            <w:r w:rsidRPr="008046B3">
              <w:rPr>
                <w:noProof/>
                <w:color w:val="000000" w:themeColor="text1"/>
                <w:sz w:val="20"/>
                <w:szCs w:val="20"/>
              </w:rPr>
              <w:t>Renegotiated agreements by non-SME operators (changes relative to the baseline)</w:t>
            </w:r>
          </w:p>
        </w:tc>
        <w:tc>
          <w:tcPr>
            <w:tcW w:w="367" w:type="pct"/>
            <w:tcBorders>
              <w:top w:val="nil"/>
              <w:left w:val="nil"/>
              <w:bottom w:val="single" w:sz="4" w:space="0" w:color="auto"/>
              <w:right w:val="single" w:sz="4" w:space="0" w:color="auto"/>
            </w:tcBorders>
            <w:shd w:val="clear" w:color="auto" w:fill="FFFFFF" w:themeFill="background1"/>
            <w:noWrap/>
            <w:hideMark/>
          </w:tcPr>
          <w:p w14:paraId="02372048" w14:textId="7BF0E396" w:rsidR="002E7E72" w:rsidRPr="008046B3" w:rsidRDefault="002E7E72" w:rsidP="002E7E72">
            <w:pPr>
              <w:jc w:val="right"/>
              <w:rPr>
                <w:noProof/>
                <w:sz w:val="20"/>
                <w:szCs w:val="20"/>
              </w:rPr>
            </w:pPr>
            <w:r w:rsidRPr="008046B3">
              <w:rPr>
                <w:noProof/>
                <w:sz w:val="20"/>
                <w:szCs w:val="20"/>
              </w:rPr>
              <w:t>303</w:t>
            </w:r>
          </w:p>
        </w:tc>
        <w:tc>
          <w:tcPr>
            <w:tcW w:w="367" w:type="pct"/>
            <w:tcBorders>
              <w:top w:val="nil"/>
              <w:left w:val="nil"/>
              <w:bottom w:val="single" w:sz="4" w:space="0" w:color="auto"/>
              <w:right w:val="single" w:sz="4" w:space="0" w:color="auto"/>
            </w:tcBorders>
            <w:shd w:val="clear" w:color="auto" w:fill="FFFFFF" w:themeFill="background1"/>
            <w:noWrap/>
            <w:hideMark/>
          </w:tcPr>
          <w:p w14:paraId="17DE147E" w14:textId="41CB955F" w:rsidR="002E7E72" w:rsidRPr="008046B3" w:rsidRDefault="002E7E72" w:rsidP="002E7E72">
            <w:pPr>
              <w:jc w:val="right"/>
              <w:rPr>
                <w:noProof/>
                <w:sz w:val="20"/>
                <w:szCs w:val="20"/>
              </w:rPr>
            </w:pPr>
            <w:r w:rsidRPr="008046B3">
              <w:rPr>
                <w:noProof/>
                <w:sz w:val="20"/>
                <w:szCs w:val="20"/>
              </w:rPr>
              <w:t>423</w:t>
            </w:r>
          </w:p>
        </w:tc>
        <w:tc>
          <w:tcPr>
            <w:tcW w:w="367" w:type="pct"/>
            <w:tcBorders>
              <w:top w:val="nil"/>
              <w:left w:val="nil"/>
              <w:bottom w:val="single" w:sz="4" w:space="0" w:color="auto"/>
              <w:right w:val="single" w:sz="4" w:space="0" w:color="auto"/>
            </w:tcBorders>
            <w:shd w:val="clear" w:color="auto" w:fill="FFFFFF" w:themeFill="background1"/>
            <w:noWrap/>
            <w:hideMark/>
          </w:tcPr>
          <w:p w14:paraId="3DC4F14E" w14:textId="19F46A89" w:rsidR="002E7E72" w:rsidRPr="008046B3" w:rsidRDefault="002E7E72" w:rsidP="002E7E72">
            <w:pPr>
              <w:jc w:val="right"/>
              <w:rPr>
                <w:noProof/>
                <w:sz w:val="20"/>
                <w:szCs w:val="20"/>
              </w:rPr>
            </w:pPr>
            <w:r w:rsidRPr="008046B3">
              <w:rPr>
                <w:noProof/>
                <w:sz w:val="20"/>
                <w:szCs w:val="20"/>
              </w:rPr>
              <w:t>1,418</w:t>
            </w:r>
          </w:p>
        </w:tc>
        <w:tc>
          <w:tcPr>
            <w:tcW w:w="366" w:type="pct"/>
            <w:tcBorders>
              <w:top w:val="nil"/>
              <w:left w:val="nil"/>
              <w:bottom w:val="single" w:sz="4" w:space="0" w:color="auto"/>
              <w:right w:val="single" w:sz="4" w:space="0" w:color="auto"/>
            </w:tcBorders>
            <w:shd w:val="clear" w:color="auto" w:fill="FFFFFF" w:themeFill="background1"/>
            <w:noWrap/>
            <w:hideMark/>
          </w:tcPr>
          <w:p w14:paraId="476A0B69" w14:textId="4DD1CE88" w:rsidR="002E7E72" w:rsidRPr="008046B3" w:rsidRDefault="002E7E72" w:rsidP="002E7E72">
            <w:pPr>
              <w:jc w:val="right"/>
              <w:rPr>
                <w:noProof/>
                <w:sz w:val="20"/>
                <w:szCs w:val="20"/>
              </w:rPr>
            </w:pPr>
            <w:r w:rsidRPr="008046B3">
              <w:rPr>
                <w:noProof/>
                <w:sz w:val="20"/>
                <w:szCs w:val="20"/>
              </w:rPr>
              <w:t>1,318</w:t>
            </w:r>
          </w:p>
        </w:tc>
      </w:tr>
      <w:tr w:rsidR="002E7E72" w:rsidRPr="008046B3" w14:paraId="35ADEA2C"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45A1075F" w14:textId="77777777" w:rsidR="002E7E72" w:rsidRPr="008046B3" w:rsidRDefault="002E7E72" w:rsidP="002E7E72">
            <w:pPr>
              <w:rPr>
                <w:noProof/>
                <w:color w:val="000000"/>
                <w:sz w:val="20"/>
                <w:szCs w:val="20"/>
              </w:rPr>
            </w:pPr>
            <w:r w:rsidRPr="008046B3">
              <w:rPr>
                <w:noProof/>
                <w:color w:val="000000" w:themeColor="text1"/>
                <w:sz w:val="20"/>
                <w:szCs w:val="20"/>
              </w:rPr>
              <w:t>Renegotiated agreements by SME operators (changes relative to the baseline)</w:t>
            </w:r>
          </w:p>
        </w:tc>
        <w:tc>
          <w:tcPr>
            <w:tcW w:w="367" w:type="pct"/>
            <w:tcBorders>
              <w:top w:val="nil"/>
              <w:left w:val="nil"/>
              <w:bottom w:val="single" w:sz="4" w:space="0" w:color="auto"/>
              <w:right w:val="single" w:sz="4" w:space="0" w:color="auto"/>
            </w:tcBorders>
            <w:shd w:val="clear" w:color="auto" w:fill="FFFFFF" w:themeFill="background1"/>
            <w:noWrap/>
            <w:hideMark/>
          </w:tcPr>
          <w:p w14:paraId="4DA4A7A5" w14:textId="185EF12B" w:rsidR="002E7E72" w:rsidRPr="008046B3" w:rsidRDefault="002E7E72" w:rsidP="002E7E72">
            <w:pPr>
              <w:jc w:val="right"/>
              <w:rPr>
                <w:noProof/>
                <w:sz w:val="20"/>
                <w:szCs w:val="20"/>
              </w:rPr>
            </w:pPr>
            <w:r w:rsidRPr="008046B3">
              <w:rPr>
                <w:noProof/>
                <w:sz w:val="20"/>
                <w:szCs w:val="20"/>
              </w:rPr>
              <w:t>1,077</w:t>
            </w:r>
          </w:p>
        </w:tc>
        <w:tc>
          <w:tcPr>
            <w:tcW w:w="367" w:type="pct"/>
            <w:tcBorders>
              <w:top w:val="nil"/>
              <w:left w:val="nil"/>
              <w:bottom w:val="single" w:sz="4" w:space="0" w:color="auto"/>
              <w:right w:val="single" w:sz="4" w:space="0" w:color="auto"/>
            </w:tcBorders>
            <w:shd w:val="clear" w:color="auto" w:fill="FFFFFF" w:themeFill="background1"/>
            <w:noWrap/>
            <w:hideMark/>
          </w:tcPr>
          <w:p w14:paraId="40C04081" w14:textId="5642697B" w:rsidR="002E7E72" w:rsidRPr="008046B3" w:rsidRDefault="002E7E72" w:rsidP="002E7E72">
            <w:pPr>
              <w:jc w:val="right"/>
              <w:rPr>
                <w:noProof/>
                <w:sz w:val="20"/>
                <w:szCs w:val="20"/>
              </w:rPr>
            </w:pPr>
            <w:r w:rsidRPr="008046B3">
              <w:rPr>
                <w:noProof/>
                <w:sz w:val="20"/>
                <w:szCs w:val="20"/>
              </w:rPr>
              <w:t>1,505</w:t>
            </w:r>
          </w:p>
        </w:tc>
        <w:tc>
          <w:tcPr>
            <w:tcW w:w="367" w:type="pct"/>
            <w:tcBorders>
              <w:top w:val="nil"/>
              <w:left w:val="nil"/>
              <w:bottom w:val="single" w:sz="4" w:space="0" w:color="auto"/>
              <w:right w:val="single" w:sz="4" w:space="0" w:color="auto"/>
            </w:tcBorders>
            <w:shd w:val="clear" w:color="auto" w:fill="FFFFFF" w:themeFill="background1"/>
            <w:noWrap/>
            <w:hideMark/>
          </w:tcPr>
          <w:p w14:paraId="2A776D5B" w14:textId="33309B58" w:rsidR="002E7E72" w:rsidRPr="008046B3" w:rsidRDefault="002E7E72" w:rsidP="002E7E72">
            <w:pPr>
              <w:jc w:val="right"/>
              <w:rPr>
                <w:noProof/>
                <w:sz w:val="20"/>
                <w:szCs w:val="20"/>
              </w:rPr>
            </w:pPr>
            <w:r w:rsidRPr="008046B3">
              <w:rPr>
                <w:noProof/>
                <w:sz w:val="20"/>
                <w:szCs w:val="20"/>
              </w:rPr>
              <w:t>5,039</w:t>
            </w:r>
          </w:p>
        </w:tc>
        <w:tc>
          <w:tcPr>
            <w:tcW w:w="366" w:type="pct"/>
            <w:tcBorders>
              <w:top w:val="nil"/>
              <w:left w:val="nil"/>
              <w:bottom w:val="single" w:sz="4" w:space="0" w:color="auto"/>
              <w:right w:val="single" w:sz="4" w:space="0" w:color="auto"/>
            </w:tcBorders>
            <w:shd w:val="clear" w:color="auto" w:fill="FFFFFF" w:themeFill="background1"/>
            <w:noWrap/>
            <w:hideMark/>
          </w:tcPr>
          <w:p w14:paraId="42AB0364" w14:textId="0798C582" w:rsidR="002E7E72" w:rsidRPr="008046B3" w:rsidRDefault="002E7E72" w:rsidP="002E7E72">
            <w:pPr>
              <w:jc w:val="right"/>
              <w:rPr>
                <w:noProof/>
                <w:sz w:val="20"/>
                <w:szCs w:val="20"/>
              </w:rPr>
            </w:pPr>
            <w:r w:rsidRPr="008046B3">
              <w:rPr>
                <w:noProof/>
                <w:sz w:val="20"/>
                <w:szCs w:val="20"/>
              </w:rPr>
              <w:t>4,684</w:t>
            </w:r>
          </w:p>
        </w:tc>
      </w:tr>
      <w:tr w:rsidR="002E7E72" w:rsidRPr="008046B3" w14:paraId="6C2DD55C"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6BFD6177" w14:textId="0B008FF0" w:rsidR="002E7E72" w:rsidRPr="008046B3" w:rsidRDefault="002E7E72" w:rsidP="002E7E72">
            <w:pPr>
              <w:rPr>
                <w:noProof/>
                <w:color w:val="000000"/>
                <w:sz w:val="20"/>
                <w:szCs w:val="20"/>
              </w:rPr>
            </w:pPr>
            <w:r w:rsidRPr="008046B3">
              <w:rPr>
                <w:noProof/>
                <w:color w:val="000000"/>
                <w:sz w:val="20"/>
                <w:szCs w:val="20"/>
              </w:rPr>
              <w:t>Total adjustment cost savings for non-SME operators (million EUR)</w:t>
            </w:r>
          </w:p>
        </w:tc>
        <w:tc>
          <w:tcPr>
            <w:tcW w:w="367" w:type="pct"/>
            <w:tcBorders>
              <w:top w:val="nil"/>
              <w:left w:val="nil"/>
              <w:bottom w:val="single" w:sz="4" w:space="0" w:color="auto"/>
              <w:right w:val="single" w:sz="4" w:space="0" w:color="auto"/>
            </w:tcBorders>
            <w:shd w:val="clear" w:color="auto" w:fill="FFFFFF" w:themeFill="background1"/>
            <w:noWrap/>
            <w:hideMark/>
          </w:tcPr>
          <w:p w14:paraId="7290F702" w14:textId="76D9BC07" w:rsidR="002E7E72" w:rsidRPr="008046B3" w:rsidRDefault="002E7E72" w:rsidP="002E7E72">
            <w:pPr>
              <w:jc w:val="right"/>
              <w:rPr>
                <w:noProof/>
                <w:sz w:val="20"/>
                <w:szCs w:val="20"/>
              </w:rPr>
            </w:pPr>
            <w:r w:rsidRPr="008046B3">
              <w:rPr>
                <w:noProof/>
                <w:sz w:val="20"/>
                <w:szCs w:val="20"/>
              </w:rPr>
              <w:t>2.2</w:t>
            </w:r>
          </w:p>
        </w:tc>
        <w:tc>
          <w:tcPr>
            <w:tcW w:w="367" w:type="pct"/>
            <w:tcBorders>
              <w:top w:val="nil"/>
              <w:left w:val="nil"/>
              <w:bottom w:val="single" w:sz="4" w:space="0" w:color="auto"/>
              <w:right w:val="single" w:sz="4" w:space="0" w:color="auto"/>
            </w:tcBorders>
            <w:shd w:val="clear" w:color="auto" w:fill="FFFFFF" w:themeFill="background1"/>
            <w:noWrap/>
            <w:hideMark/>
          </w:tcPr>
          <w:p w14:paraId="3E60ED68" w14:textId="5770C44A" w:rsidR="002E7E72" w:rsidRPr="008046B3" w:rsidRDefault="002E7E72" w:rsidP="002E7E72">
            <w:pPr>
              <w:jc w:val="right"/>
              <w:rPr>
                <w:noProof/>
                <w:sz w:val="20"/>
                <w:szCs w:val="20"/>
              </w:rPr>
            </w:pPr>
            <w:r w:rsidRPr="008046B3">
              <w:rPr>
                <w:noProof/>
                <w:sz w:val="20"/>
                <w:szCs w:val="20"/>
              </w:rPr>
              <w:t>0.9</w:t>
            </w:r>
          </w:p>
        </w:tc>
        <w:tc>
          <w:tcPr>
            <w:tcW w:w="367" w:type="pct"/>
            <w:tcBorders>
              <w:top w:val="nil"/>
              <w:left w:val="nil"/>
              <w:bottom w:val="single" w:sz="4" w:space="0" w:color="auto"/>
              <w:right w:val="single" w:sz="4" w:space="0" w:color="auto"/>
            </w:tcBorders>
            <w:shd w:val="clear" w:color="auto" w:fill="FFFFFF" w:themeFill="background1"/>
            <w:noWrap/>
            <w:hideMark/>
          </w:tcPr>
          <w:p w14:paraId="278074FE" w14:textId="28E8CEA4" w:rsidR="002E7E72" w:rsidRPr="008046B3" w:rsidRDefault="002E7E72" w:rsidP="002E7E72">
            <w:pPr>
              <w:jc w:val="right"/>
              <w:rPr>
                <w:noProof/>
                <w:sz w:val="20"/>
                <w:szCs w:val="20"/>
              </w:rPr>
            </w:pPr>
            <w:r w:rsidRPr="008046B3">
              <w:rPr>
                <w:noProof/>
                <w:sz w:val="20"/>
                <w:szCs w:val="20"/>
              </w:rPr>
              <w:t>2.3</w:t>
            </w:r>
          </w:p>
        </w:tc>
        <w:tc>
          <w:tcPr>
            <w:tcW w:w="366" w:type="pct"/>
            <w:tcBorders>
              <w:top w:val="nil"/>
              <w:left w:val="nil"/>
              <w:bottom w:val="single" w:sz="4" w:space="0" w:color="auto"/>
              <w:right w:val="single" w:sz="4" w:space="0" w:color="auto"/>
            </w:tcBorders>
            <w:shd w:val="clear" w:color="auto" w:fill="FFFFFF" w:themeFill="background1"/>
            <w:noWrap/>
            <w:hideMark/>
          </w:tcPr>
          <w:p w14:paraId="0614EF52" w14:textId="364D56D9" w:rsidR="002E7E72" w:rsidRPr="008046B3" w:rsidRDefault="002E7E72" w:rsidP="002E7E72">
            <w:pPr>
              <w:jc w:val="right"/>
              <w:rPr>
                <w:noProof/>
                <w:sz w:val="20"/>
                <w:szCs w:val="20"/>
              </w:rPr>
            </w:pPr>
            <w:r w:rsidRPr="008046B3">
              <w:rPr>
                <w:noProof/>
                <w:sz w:val="20"/>
                <w:szCs w:val="20"/>
              </w:rPr>
              <w:t>1.6</w:t>
            </w:r>
          </w:p>
        </w:tc>
      </w:tr>
      <w:tr w:rsidR="002E7E72" w:rsidRPr="008046B3" w14:paraId="179F3800"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355F0995" w14:textId="77777777" w:rsidR="002E7E72" w:rsidRPr="008046B3" w:rsidRDefault="002E7E72" w:rsidP="002E7E72">
            <w:pPr>
              <w:rPr>
                <w:noProof/>
                <w:color w:val="000000"/>
                <w:sz w:val="20"/>
                <w:szCs w:val="20"/>
              </w:rPr>
            </w:pPr>
            <w:r w:rsidRPr="008046B3">
              <w:rPr>
                <w:noProof/>
                <w:color w:val="000000"/>
                <w:sz w:val="20"/>
                <w:szCs w:val="20"/>
              </w:rPr>
              <w:t>Total adjustment cost savings for SME operators (million EUR)</w:t>
            </w:r>
          </w:p>
        </w:tc>
        <w:tc>
          <w:tcPr>
            <w:tcW w:w="367" w:type="pct"/>
            <w:tcBorders>
              <w:top w:val="nil"/>
              <w:left w:val="nil"/>
              <w:bottom w:val="single" w:sz="4" w:space="0" w:color="auto"/>
              <w:right w:val="single" w:sz="4" w:space="0" w:color="auto"/>
            </w:tcBorders>
            <w:shd w:val="clear" w:color="auto" w:fill="FFFFFF" w:themeFill="background1"/>
            <w:noWrap/>
            <w:hideMark/>
          </w:tcPr>
          <w:p w14:paraId="19FF66FB" w14:textId="184E4C61" w:rsidR="002E7E72" w:rsidRPr="008046B3" w:rsidRDefault="002E7E72" w:rsidP="002E7E72">
            <w:pPr>
              <w:jc w:val="right"/>
              <w:rPr>
                <w:noProof/>
                <w:sz w:val="20"/>
                <w:szCs w:val="20"/>
              </w:rPr>
            </w:pPr>
            <w:r w:rsidRPr="008046B3">
              <w:rPr>
                <w:noProof/>
                <w:sz w:val="20"/>
                <w:szCs w:val="20"/>
              </w:rPr>
              <w:t>7.7</w:t>
            </w:r>
          </w:p>
        </w:tc>
        <w:tc>
          <w:tcPr>
            <w:tcW w:w="367" w:type="pct"/>
            <w:tcBorders>
              <w:top w:val="nil"/>
              <w:left w:val="nil"/>
              <w:bottom w:val="single" w:sz="4" w:space="0" w:color="auto"/>
              <w:right w:val="single" w:sz="4" w:space="0" w:color="auto"/>
            </w:tcBorders>
            <w:shd w:val="clear" w:color="auto" w:fill="FFFFFF" w:themeFill="background1"/>
            <w:noWrap/>
            <w:hideMark/>
          </w:tcPr>
          <w:p w14:paraId="761E7A74" w14:textId="18D23BE7" w:rsidR="002E7E72" w:rsidRPr="008046B3" w:rsidRDefault="002E7E72" w:rsidP="002E7E72">
            <w:pPr>
              <w:jc w:val="right"/>
              <w:rPr>
                <w:noProof/>
                <w:sz w:val="20"/>
                <w:szCs w:val="20"/>
              </w:rPr>
            </w:pPr>
            <w:r w:rsidRPr="008046B3">
              <w:rPr>
                <w:noProof/>
                <w:sz w:val="20"/>
                <w:szCs w:val="20"/>
              </w:rPr>
              <w:t>3.2</w:t>
            </w:r>
          </w:p>
        </w:tc>
        <w:tc>
          <w:tcPr>
            <w:tcW w:w="367" w:type="pct"/>
            <w:tcBorders>
              <w:top w:val="nil"/>
              <w:left w:val="nil"/>
              <w:bottom w:val="single" w:sz="4" w:space="0" w:color="auto"/>
              <w:right w:val="single" w:sz="4" w:space="0" w:color="auto"/>
            </w:tcBorders>
            <w:shd w:val="clear" w:color="auto" w:fill="FFFFFF" w:themeFill="background1"/>
            <w:noWrap/>
            <w:hideMark/>
          </w:tcPr>
          <w:p w14:paraId="0A4CBB17" w14:textId="39FD0856" w:rsidR="002E7E72" w:rsidRPr="008046B3" w:rsidRDefault="002E7E72" w:rsidP="002E7E72">
            <w:pPr>
              <w:jc w:val="right"/>
              <w:rPr>
                <w:noProof/>
                <w:sz w:val="20"/>
                <w:szCs w:val="20"/>
              </w:rPr>
            </w:pPr>
            <w:r w:rsidRPr="008046B3">
              <w:rPr>
                <w:noProof/>
                <w:sz w:val="20"/>
                <w:szCs w:val="20"/>
              </w:rPr>
              <w:t>8.1</w:t>
            </w:r>
          </w:p>
        </w:tc>
        <w:tc>
          <w:tcPr>
            <w:tcW w:w="366" w:type="pct"/>
            <w:tcBorders>
              <w:top w:val="nil"/>
              <w:left w:val="nil"/>
              <w:bottom w:val="single" w:sz="4" w:space="0" w:color="auto"/>
              <w:right w:val="single" w:sz="4" w:space="0" w:color="auto"/>
            </w:tcBorders>
            <w:shd w:val="clear" w:color="auto" w:fill="FFFFFF" w:themeFill="background1"/>
            <w:noWrap/>
            <w:hideMark/>
          </w:tcPr>
          <w:p w14:paraId="3CB21A14" w14:textId="1408086F" w:rsidR="002E7E72" w:rsidRPr="008046B3" w:rsidRDefault="002E7E72" w:rsidP="002E7E72">
            <w:pPr>
              <w:jc w:val="right"/>
              <w:rPr>
                <w:noProof/>
                <w:sz w:val="20"/>
                <w:szCs w:val="20"/>
              </w:rPr>
            </w:pPr>
            <w:r w:rsidRPr="008046B3">
              <w:rPr>
                <w:noProof/>
                <w:sz w:val="20"/>
                <w:szCs w:val="20"/>
              </w:rPr>
              <w:t>5.5</w:t>
            </w:r>
          </w:p>
        </w:tc>
      </w:tr>
      <w:tr w:rsidR="002E7E72" w:rsidRPr="008046B3" w14:paraId="56C2E67F"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52341D75" w14:textId="77777777" w:rsidR="002E7E72" w:rsidRPr="008046B3" w:rsidRDefault="002E7E72" w:rsidP="002E7E72">
            <w:pPr>
              <w:rPr>
                <w:b/>
                <w:noProof/>
                <w:color w:val="000000"/>
                <w:sz w:val="20"/>
                <w:szCs w:val="20"/>
              </w:rPr>
            </w:pPr>
            <w:r w:rsidRPr="008046B3">
              <w:rPr>
                <w:b/>
                <w:noProof/>
                <w:color w:val="000000"/>
                <w:sz w:val="20"/>
                <w:szCs w:val="20"/>
              </w:rPr>
              <w:t>PO4</w:t>
            </w:r>
          </w:p>
        </w:tc>
        <w:tc>
          <w:tcPr>
            <w:tcW w:w="367" w:type="pct"/>
            <w:tcBorders>
              <w:top w:val="nil"/>
              <w:left w:val="nil"/>
              <w:bottom w:val="single" w:sz="4" w:space="0" w:color="auto"/>
              <w:right w:val="single" w:sz="4" w:space="0" w:color="auto"/>
            </w:tcBorders>
            <w:shd w:val="clear" w:color="auto" w:fill="FFFFFF" w:themeFill="background1"/>
            <w:noWrap/>
            <w:hideMark/>
          </w:tcPr>
          <w:p w14:paraId="345AF9F4" w14:textId="70348CCE" w:rsidR="002E7E72" w:rsidRPr="008046B3" w:rsidRDefault="002E7E72" w:rsidP="002E7E72">
            <w:pPr>
              <w:rPr>
                <w:noProof/>
                <w:sz w:val="20"/>
                <w:szCs w:val="20"/>
              </w:rPr>
            </w:pPr>
            <w:r w:rsidRPr="008046B3">
              <w:rPr>
                <w:noProof/>
                <w:sz w:val="20"/>
                <w:szCs w:val="20"/>
              </w:rPr>
              <w:t> </w:t>
            </w:r>
          </w:p>
        </w:tc>
        <w:tc>
          <w:tcPr>
            <w:tcW w:w="367" w:type="pct"/>
            <w:tcBorders>
              <w:top w:val="nil"/>
              <w:left w:val="nil"/>
              <w:bottom w:val="single" w:sz="4" w:space="0" w:color="auto"/>
              <w:right w:val="single" w:sz="4" w:space="0" w:color="auto"/>
            </w:tcBorders>
            <w:shd w:val="clear" w:color="auto" w:fill="FFFFFF" w:themeFill="background1"/>
            <w:noWrap/>
            <w:hideMark/>
          </w:tcPr>
          <w:p w14:paraId="2133E76D" w14:textId="5420F2B0" w:rsidR="002E7E72" w:rsidRPr="008046B3" w:rsidRDefault="002E7E72" w:rsidP="002E7E72">
            <w:pPr>
              <w:rPr>
                <w:noProof/>
                <w:sz w:val="20"/>
                <w:szCs w:val="20"/>
              </w:rPr>
            </w:pPr>
            <w:r w:rsidRPr="008046B3">
              <w:rPr>
                <w:noProof/>
                <w:sz w:val="20"/>
                <w:szCs w:val="20"/>
              </w:rPr>
              <w:t> </w:t>
            </w:r>
          </w:p>
        </w:tc>
        <w:tc>
          <w:tcPr>
            <w:tcW w:w="367" w:type="pct"/>
            <w:tcBorders>
              <w:top w:val="nil"/>
              <w:left w:val="nil"/>
              <w:bottom w:val="single" w:sz="4" w:space="0" w:color="auto"/>
              <w:right w:val="single" w:sz="4" w:space="0" w:color="auto"/>
            </w:tcBorders>
            <w:shd w:val="clear" w:color="auto" w:fill="FFFFFF" w:themeFill="background1"/>
            <w:noWrap/>
            <w:hideMark/>
          </w:tcPr>
          <w:p w14:paraId="5F41F5A5" w14:textId="3C4559FD" w:rsidR="002E7E72" w:rsidRPr="008046B3" w:rsidRDefault="002E7E72" w:rsidP="002E7E72">
            <w:pPr>
              <w:rPr>
                <w:noProof/>
                <w:sz w:val="20"/>
                <w:szCs w:val="20"/>
              </w:rPr>
            </w:pPr>
            <w:r w:rsidRPr="008046B3">
              <w:rPr>
                <w:noProof/>
                <w:sz w:val="20"/>
                <w:szCs w:val="20"/>
              </w:rPr>
              <w:t> </w:t>
            </w:r>
          </w:p>
        </w:tc>
        <w:tc>
          <w:tcPr>
            <w:tcW w:w="366" w:type="pct"/>
            <w:tcBorders>
              <w:top w:val="nil"/>
              <w:left w:val="nil"/>
              <w:bottom w:val="single" w:sz="4" w:space="0" w:color="auto"/>
              <w:right w:val="single" w:sz="4" w:space="0" w:color="auto"/>
            </w:tcBorders>
            <w:shd w:val="clear" w:color="auto" w:fill="FFFFFF" w:themeFill="background1"/>
            <w:noWrap/>
            <w:hideMark/>
          </w:tcPr>
          <w:p w14:paraId="0079ABDD" w14:textId="6F614A31" w:rsidR="002E7E72" w:rsidRPr="008046B3" w:rsidRDefault="002E7E72" w:rsidP="002E7E72">
            <w:pPr>
              <w:rPr>
                <w:noProof/>
                <w:sz w:val="20"/>
                <w:szCs w:val="20"/>
              </w:rPr>
            </w:pPr>
            <w:r w:rsidRPr="008046B3">
              <w:rPr>
                <w:noProof/>
                <w:sz w:val="20"/>
                <w:szCs w:val="20"/>
              </w:rPr>
              <w:t> </w:t>
            </w:r>
          </w:p>
        </w:tc>
      </w:tr>
      <w:tr w:rsidR="002E7E72" w:rsidRPr="008046B3" w14:paraId="19CFDD97"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0E116C3C" w14:textId="2A58CDC1" w:rsidR="002E7E72" w:rsidRPr="008046B3" w:rsidRDefault="002E7E72" w:rsidP="002E7E72">
            <w:pPr>
              <w:rPr>
                <w:noProof/>
                <w:color w:val="000000"/>
                <w:sz w:val="20"/>
                <w:szCs w:val="20"/>
              </w:rPr>
            </w:pPr>
            <w:r w:rsidRPr="008046B3">
              <w:rPr>
                <w:noProof/>
                <w:color w:val="000000" w:themeColor="text1"/>
                <w:sz w:val="20"/>
                <w:szCs w:val="20"/>
              </w:rPr>
              <w:t>New agreements by non-SME operators (changes relative to the baseline)</w:t>
            </w:r>
          </w:p>
        </w:tc>
        <w:tc>
          <w:tcPr>
            <w:tcW w:w="367" w:type="pct"/>
            <w:tcBorders>
              <w:top w:val="nil"/>
              <w:left w:val="nil"/>
              <w:bottom w:val="single" w:sz="4" w:space="0" w:color="auto"/>
              <w:right w:val="single" w:sz="4" w:space="0" w:color="auto"/>
            </w:tcBorders>
            <w:shd w:val="clear" w:color="auto" w:fill="FFFFFF" w:themeFill="background1"/>
            <w:noWrap/>
            <w:hideMark/>
          </w:tcPr>
          <w:p w14:paraId="4D71ED6C" w14:textId="6F10DD86" w:rsidR="002E7E72" w:rsidRPr="008046B3" w:rsidRDefault="002E7E72" w:rsidP="002E7E72">
            <w:pPr>
              <w:jc w:val="right"/>
              <w:rPr>
                <w:noProof/>
                <w:sz w:val="20"/>
                <w:szCs w:val="20"/>
              </w:rPr>
            </w:pPr>
            <w:r w:rsidRPr="008046B3">
              <w:rPr>
                <w:noProof/>
                <w:sz w:val="20"/>
                <w:szCs w:val="20"/>
              </w:rPr>
              <w:t>1,023</w:t>
            </w:r>
          </w:p>
        </w:tc>
        <w:tc>
          <w:tcPr>
            <w:tcW w:w="367" w:type="pct"/>
            <w:tcBorders>
              <w:top w:val="nil"/>
              <w:left w:val="nil"/>
              <w:bottom w:val="single" w:sz="4" w:space="0" w:color="auto"/>
              <w:right w:val="single" w:sz="4" w:space="0" w:color="auto"/>
            </w:tcBorders>
            <w:shd w:val="clear" w:color="auto" w:fill="FFFFFF" w:themeFill="background1"/>
            <w:noWrap/>
            <w:hideMark/>
          </w:tcPr>
          <w:p w14:paraId="26AE27D8" w14:textId="698EAFFA" w:rsidR="002E7E72" w:rsidRPr="008046B3" w:rsidRDefault="002E7E72" w:rsidP="002E7E72">
            <w:pPr>
              <w:jc w:val="right"/>
              <w:rPr>
                <w:noProof/>
                <w:sz w:val="20"/>
                <w:szCs w:val="20"/>
              </w:rPr>
            </w:pPr>
            <w:r w:rsidRPr="008046B3">
              <w:rPr>
                <w:noProof/>
                <w:sz w:val="20"/>
                <w:szCs w:val="20"/>
              </w:rPr>
              <w:t>206</w:t>
            </w:r>
          </w:p>
        </w:tc>
        <w:tc>
          <w:tcPr>
            <w:tcW w:w="367" w:type="pct"/>
            <w:tcBorders>
              <w:top w:val="nil"/>
              <w:left w:val="nil"/>
              <w:bottom w:val="single" w:sz="4" w:space="0" w:color="auto"/>
              <w:right w:val="single" w:sz="4" w:space="0" w:color="auto"/>
            </w:tcBorders>
            <w:shd w:val="clear" w:color="auto" w:fill="FFFFFF" w:themeFill="background1"/>
            <w:noWrap/>
            <w:hideMark/>
          </w:tcPr>
          <w:p w14:paraId="023B5A9F" w14:textId="43869702" w:rsidR="002E7E72" w:rsidRPr="008046B3" w:rsidRDefault="002E7E72" w:rsidP="002E7E72">
            <w:pPr>
              <w:jc w:val="right"/>
              <w:rPr>
                <w:noProof/>
                <w:sz w:val="20"/>
                <w:szCs w:val="20"/>
              </w:rPr>
            </w:pPr>
            <w:r w:rsidRPr="008046B3">
              <w:rPr>
                <w:noProof/>
                <w:sz w:val="20"/>
                <w:szCs w:val="20"/>
              </w:rPr>
              <w:t>329</w:t>
            </w:r>
          </w:p>
        </w:tc>
        <w:tc>
          <w:tcPr>
            <w:tcW w:w="366" w:type="pct"/>
            <w:tcBorders>
              <w:top w:val="nil"/>
              <w:left w:val="nil"/>
              <w:bottom w:val="single" w:sz="4" w:space="0" w:color="auto"/>
              <w:right w:val="single" w:sz="4" w:space="0" w:color="auto"/>
            </w:tcBorders>
            <w:shd w:val="clear" w:color="auto" w:fill="FFFFFF" w:themeFill="background1"/>
            <w:noWrap/>
            <w:hideMark/>
          </w:tcPr>
          <w:p w14:paraId="3A102E60" w14:textId="6B8D022D" w:rsidR="002E7E72" w:rsidRPr="008046B3" w:rsidRDefault="002E7E72" w:rsidP="002E7E72">
            <w:pPr>
              <w:jc w:val="right"/>
              <w:rPr>
                <w:noProof/>
                <w:sz w:val="20"/>
                <w:szCs w:val="20"/>
              </w:rPr>
            </w:pPr>
            <w:r w:rsidRPr="008046B3">
              <w:rPr>
                <w:noProof/>
                <w:sz w:val="20"/>
                <w:szCs w:val="20"/>
              </w:rPr>
              <w:t>0</w:t>
            </w:r>
          </w:p>
        </w:tc>
      </w:tr>
      <w:tr w:rsidR="002E7E72" w:rsidRPr="008046B3" w14:paraId="512FFCD6"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5674A3A0" w14:textId="77777777" w:rsidR="002E7E72" w:rsidRPr="008046B3" w:rsidRDefault="002E7E72" w:rsidP="002E7E72">
            <w:pPr>
              <w:rPr>
                <w:noProof/>
                <w:color w:val="000000"/>
                <w:sz w:val="20"/>
                <w:szCs w:val="20"/>
              </w:rPr>
            </w:pPr>
            <w:r w:rsidRPr="008046B3">
              <w:rPr>
                <w:noProof/>
                <w:color w:val="000000" w:themeColor="text1"/>
                <w:sz w:val="20"/>
                <w:szCs w:val="20"/>
              </w:rPr>
              <w:t>New agreements by SME operators (changes relative to the baseline)</w:t>
            </w:r>
          </w:p>
        </w:tc>
        <w:tc>
          <w:tcPr>
            <w:tcW w:w="367" w:type="pct"/>
            <w:tcBorders>
              <w:top w:val="nil"/>
              <w:left w:val="nil"/>
              <w:bottom w:val="single" w:sz="4" w:space="0" w:color="auto"/>
              <w:right w:val="single" w:sz="4" w:space="0" w:color="auto"/>
            </w:tcBorders>
            <w:shd w:val="clear" w:color="auto" w:fill="FFFFFF" w:themeFill="background1"/>
            <w:noWrap/>
            <w:hideMark/>
          </w:tcPr>
          <w:p w14:paraId="53B60CB0" w14:textId="67796493" w:rsidR="002E7E72" w:rsidRPr="008046B3" w:rsidRDefault="002E7E72" w:rsidP="002E7E72">
            <w:pPr>
              <w:jc w:val="right"/>
              <w:rPr>
                <w:noProof/>
                <w:sz w:val="20"/>
                <w:szCs w:val="20"/>
              </w:rPr>
            </w:pPr>
            <w:r w:rsidRPr="008046B3">
              <w:rPr>
                <w:noProof/>
                <w:sz w:val="20"/>
                <w:szCs w:val="20"/>
              </w:rPr>
              <w:t>3,635</w:t>
            </w:r>
          </w:p>
        </w:tc>
        <w:tc>
          <w:tcPr>
            <w:tcW w:w="367" w:type="pct"/>
            <w:tcBorders>
              <w:top w:val="nil"/>
              <w:left w:val="nil"/>
              <w:bottom w:val="single" w:sz="4" w:space="0" w:color="auto"/>
              <w:right w:val="single" w:sz="4" w:space="0" w:color="auto"/>
            </w:tcBorders>
            <w:shd w:val="clear" w:color="auto" w:fill="FFFFFF" w:themeFill="background1"/>
            <w:noWrap/>
            <w:hideMark/>
          </w:tcPr>
          <w:p w14:paraId="0A11946E" w14:textId="1FD22019" w:rsidR="002E7E72" w:rsidRPr="008046B3" w:rsidRDefault="002E7E72" w:rsidP="002E7E72">
            <w:pPr>
              <w:jc w:val="right"/>
              <w:rPr>
                <w:noProof/>
                <w:sz w:val="20"/>
                <w:szCs w:val="20"/>
              </w:rPr>
            </w:pPr>
            <w:r w:rsidRPr="008046B3">
              <w:rPr>
                <w:noProof/>
                <w:sz w:val="20"/>
                <w:szCs w:val="20"/>
              </w:rPr>
              <w:t>732</w:t>
            </w:r>
          </w:p>
        </w:tc>
        <w:tc>
          <w:tcPr>
            <w:tcW w:w="367" w:type="pct"/>
            <w:tcBorders>
              <w:top w:val="nil"/>
              <w:left w:val="nil"/>
              <w:bottom w:val="single" w:sz="4" w:space="0" w:color="auto"/>
              <w:right w:val="single" w:sz="4" w:space="0" w:color="auto"/>
            </w:tcBorders>
            <w:shd w:val="clear" w:color="auto" w:fill="FFFFFF" w:themeFill="background1"/>
            <w:noWrap/>
            <w:hideMark/>
          </w:tcPr>
          <w:p w14:paraId="5F78074B" w14:textId="6357336F" w:rsidR="002E7E72" w:rsidRPr="008046B3" w:rsidRDefault="002E7E72" w:rsidP="002E7E72">
            <w:pPr>
              <w:jc w:val="right"/>
              <w:rPr>
                <w:noProof/>
                <w:sz w:val="20"/>
                <w:szCs w:val="20"/>
              </w:rPr>
            </w:pPr>
            <w:r w:rsidRPr="008046B3">
              <w:rPr>
                <w:noProof/>
                <w:sz w:val="20"/>
                <w:szCs w:val="20"/>
              </w:rPr>
              <w:t>1,170</w:t>
            </w:r>
          </w:p>
        </w:tc>
        <w:tc>
          <w:tcPr>
            <w:tcW w:w="366" w:type="pct"/>
            <w:tcBorders>
              <w:top w:val="nil"/>
              <w:left w:val="nil"/>
              <w:bottom w:val="single" w:sz="4" w:space="0" w:color="auto"/>
              <w:right w:val="single" w:sz="4" w:space="0" w:color="auto"/>
            </w:tcBorders>
            <w:shd w:val="clear" w:color="auto" w:fill="FFFFFF" w:themeFill="background1"/>
            <w:noWrap/>
            <w:hideMark/>
          </w:tcPr>
          <w:p w14:paraId="1ABC9F17" w14:textId="422F955A" w:rsidR="002E7E72" w:rsidRPr="008046B3" w:rsidRDefault="002E7E72" w:rsidP="002E7E72">
            <w:pPr>
              <w:jc w:val="right"/>
              <w:rPr>
                <w:noProof/>
                <w:sz w:val="20"/>
                <w:szCs w:val="20"/>
              </w:rPr>
            </w:pPr>
            <w:r w:rsidRPr="008046B3">
              <w:rPr>
                <w:noProof/>
                <w:sz w:val="20"/>
                <w:szCs w:val="20"/>
              </w:rPr>
              <w:t>0</w:t>
            </w:r>
          </w:p>
        </w:tc>
      </w:tr>
      <w:tr w:rsidR="002E7E72" w:rsidRPr="008046B3" w14:paraId="17FB3E4A"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39038286" w14:textId="6A471B02" w:rsidR="002E7E72" w:rsidRPr="008046B3" w:rsidRDefault="002E7E72" w:rsidP="002E7E72">
            <w:pPr>
              <w:rPr>
                <w:noProof/>
                <w:color w:val="000000"/>
                <w:sz w:val="20"/>
                <w:szCs w:val="20"/>
              </w:rPr>
            </w:pPr>
            <w:r w:rsidRPr="008046B3">
              <w:rPr>
                <w:noProof/>
                <w:color w:val="000000" w:themeColor="text1"/>
                <w:sz w:val="20"/>
                <w:szCs w:val="20"/>
              </w:rPr>
              <w:t>Renegotiated agreements by non-SME operators (changes relative to the baseline)</w:t>
            </w:r>
          </w:p>
        </w:tc>
        <w:tc>
          <w:tcPr>
            <w:tcW w:w="367" w:type="pct"/>
            <w:tcBorders>
              <w:top w:val="nil"/>
              <w:left w:val="nil"/>
              <w:bottom w:val="single" w:sz="4" w:space="0" w:color="auto"/>
              <w:right w:val="single" w:sz="4" w:space="0" w:color="auto"/>
            </w:tcBorders>
            <w:shd w:val="clear" w:color="auto" w:fill="FFFFFF" w:themeFill="background1"/>
            <w:noWrap/>
            <w:hideMark/>
          </w:tcPr>
          <w:p w14:paraId="56B30DEB" w14:textId="20CDA931" w:rsidR="002E7E72" w:rsidRPr="008046B3" w:rsidRDefault="002E7E72" w:rsidP="002E7E72">
            <w:pPr>
              <w:jc w:val="right"/>
              <w:rPr>
                <w:noProof/>
                <w:sz w:val="20"/>
                <w:szCs w:val="20"/>
              </w:rPr>
            </w:pPr>
            <w:r w:rsidRPr="008046B3">
              <w:rPr>
                <w:noProof/>
                <w:sz w:val="20"/>
                <w:szCs w:val="20"/>
              </w:rPr>
              <w:t>341</w:t>
            </w:r>
          </w:p>
        </w:tc>
        <w:tc>
          <w:tcPr>
            <w:tcW w:w="367" w:type="pct"/>
            <w:tcBorders>
              <w:top w:val="nil"/>
              <w:left w:val="nil"/>
              <w:bottom w:val="single" w:sz="4" w:space="0" w:color="auto"/>
              <w:right w:val="single" w:sz="4" w:space="0" w:color="auto"/>
            </w:tcBorders>
            <w:shd w:val="clear" w:color="auto" w:fill="FFFFFF" w:themeFill="background1"/>
            <w:noWrap/>
            <w:hideMark/>
          </w:tcPr>
          <w:p w14:paraId="2E29D5E6" w14:textId="1CF1DAEB" w:rsidR="002E7E72" w:rsidRPr="008046B3" w:rsidRDefault="002E7E72" w:rsidP="002E7E72">
            <w:pPr>
              <w:jc w:val="right"/>
              <w:rPr>
                <w:noProof/>
                <w:sz w:val="20"/>
                <w:szCs w:val="20"/>
              </w:rPr>
            </w:pPr>
            <w:r w:rsidRPr="008046B3">
              <w:rPr>
                <w:noProof/>
                <w:sz w:val="20"/>
                <w:szCs w:val="20"/>
              </w:rPr>
              <w:t>431</w:t>
            </w:r>
          </w:p>
        </w:tc>
        <w:tc>
          <w:tcPr>
            <w:tcW w:w="367" w:type="pct"/>
            <w:tcBorders>
              <w:top w:val="nil"/>
              <w:left w:val="nil"/>
              <w:bottom w:val="single" w:sz="4" w:space="0" w:color="auto"/>
              <w:right w:val="single" w:sz="4" w:space="0" w:color="auto"/>
            </w:tcBorders>
            <w:shd w:val="clear" w:color="auto" w:fill="FFFFFF" w:themeFill="background1"/>
            <w:noWrap/>
            <w:hideMark/>
          </w:tcPr>
          <w:p w14:paraId="15FFB71E" w14:textId="09DEF7B3" w:rsidR="002E7E72" w:rsidRPr="008046B3" w:rsidRDefault="002E7E72" w:rsidP="002E7E72">
            <w:pPr>
              <w:jc w:val="right"/>
              <w:rPr>
                <w:noProof/>
                <w:sz w:val="20"/>
                <w:szCs w:val="20"/>
              </w:rPr>
            </w:pPr>
            <w:r w:rsidRPr="008046B3">
              <w:rPr>
                <w:noProof/>
                <w:sz w:val="20"/>
                <w:szCs w:val="20"/>
              </w:rPr>
              <w:t>1,528</w:t>
            </w:r>
          </w:p>
        </w:tc>
        <w:tc>
          <w:tcPr>
            <w:tcW w:w="366" w:type="pct"/>
            <w:tcBorders>
              <w:top w:val="nil"/>
              <w:left w:val="nil"/>
              <w:bottom w:val="single" w:sz="4" w:space="0" w:color="auto"/>
              <w:right w:val="single" w:sz="4" w:space="0" w:color="auto"/>
            </w:tcBorders>
            <w:shd w:val="clear" w:color="auto" w:fill="FFFFFF" w:themeFill="background1"/>
            <w:noWrap/>
            <w:hideMark/>
          </w:tcPr>
          <w:p w14:paraId="0E20B638" w14:textId="7E4606F3" w:rsidR="002E7E72" w:rsidRPr="008046B3" w:rsidRDefault="002E7E72" w:rsidP="002E7E72">
            <w:pPr>
              <w:jc w:val="right"/>
              <w:rPr>
                <w:noProof/>
                <w:sz w:val="20"/>
                <w:szCs w:val="20"/>
              </w:rPr>
            </w:pPr>
            <w:r w:rsidRPr="008046B3">
              <w:rPr>
                <w:noProof/>
                <w:sz w:val="20"/>
                <w:szCs w:val="20"/>
              </w:rPr>
              <w:t>1,317</w:t>
            </w:r>
          </w:p>
        </w:tc>
      </w:tr>
      <w:tr w:rsidR="002E7E72" w:rsidRPr="008046B3" w14:paraId="4158BB35"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1C915C59" w14:textId="77777777" w:rsidR="002E7E72" w:rsidRPr="008046B3" w:rsidRDefault="002E7E72" w:rsidP="002E7E72">
            <w:pPr>
              <w:rPr>
                <w:noProof/>
                <w:color w:val="000000"/>
                <w:sz w:val="20"/>
                <w:szCs w:val="20"/>
              </w:rPr>
            </w:pPr>
            <w:r w:rsidRPr="008046B3">
              <w:rPr>
                <w:noProof/>
                <w:color w:val="000000" w:themeColor="text1"/>
                <w:sz w:val="20"/>
                <w:szCs w:val="20"/>
              </w:rPr>
              <w:t>Renegotiated agreements by SME operators (changes relative to the baseline)</w:t>
            </w:r>
          </w:p>
        </w:tc>
        <w:tc>
          <w:tcPr>
            <w:tcW w:w="367" w:type="pct"/>
            <w:tcBorders>
              <w:top w:val="nil"/>
              <w:left w:val="nil"/>
              <w:bottom w:val="single" w:sz="4" w:space="0" w:color="auto"/>
              <w:right w:val="single" w:sz="4" w:space="0" w:color="auto"/>
            </w:tcBorders>
            <w:shd w:val="clear" w:color="auto" w:fill="FFFFFF" w:themeFill="background1"/>
            <w:noWrap/>
            <w:hideMark/>
          </w:tcPr>
          <w:p w14:paraId="0F909668" w14:textId="24A48815" w:rsidR="002E7E72" w:rsidRPr="008046B3" w:rsidRDefault="002E7E72" w:rsidP="002E7E72">
            <w:pPr>
              <w:jc w:val="right"/>
              <w:rPr>
                <w:noProof/>
                <w:sz w:val="20"/>
                <w:szCs w:val="20"/>
              </w:rPr>
            </w:pPr>
            <w:r w:rsidRPr="008046B3">
              <w:rPr>
                <w:noProof/>
                <w:sz w:val="20"/>
                <w:szCs w:val="20"/>
              </w:rPr>
              <w:t>1,212</w:t>
            </w:r>
          </w:p>
        </w:tc>
        <w:tc>
          <w:tcPr>
            <w:tcW w:w="367" w:type="pct"/>
            <w:tcBorders>
              <w:top w:val="nil"/>
              <w:left w:val="nil"/>
              <w:bottom w:val="single" w:sz="4" w:space="0" w:color="auto"/>
              <w:right w:val="single" w:sz="4" w:space="0" w:color="auto"/>
            </w:tcBorders>
            <w:shd w:val="clear" w:color="auto" w:fill="FFFFFF" w:themeFill="background1"/>
            <w:noWrap/>
            <w:hideMark/>
          </w:tcPr>
          <w:p w14:paraId="38E6BF9D" w14:textId="03B2EB8A" w:rsidR="002E7E72" w:rsidRPr="008046B3" w:rsidRDefault="002E7E72" w:rsidP="002E7E72">
            <w:pPr>
              <w:jc w:val="right"/>
              <w:rPr>
                <w:noProof/>
                <w:sz w:val="20"/>
                <w:szCs w:val="20"/>
              </w:rPr>
            </w:pPr>
            <w:r w:rsidRPr="008046B3">
              <w:rPr>
                <w:noProof/>
                <w:sz w:val="20"/>
                <w:szCs w:val="20"/>
              </w:rPr>
              <w:t>1,531</w:t>
            </w:r>
          </w:p>
        </w:tc>
        <w:tc>
          <w:tcPr>
            <w:tcW w:w="367" w:type="pct"/>
            <w:tcBorders>
              <w:top w:val="nil"/>
              <w:left w:val="nil"/>
              <w:bottom w:val="single" w:sz="4" w:space="0" w:color="auto"/>
              <w:right w:val="single" w:sz="4" w:space="0" w:color="auto"/>
            </w:tcBorders>
            <w:shd w:val="clear" w:color="auto" w:fill="FFFFFF" w:themeFill="background1"/>
            <w:noWrap/>
            <w:hideMark/>
          </w:tcPr>
          <w:p w14:paraId="0751CDD8" w14:textId="3E9B52BB" w:rsidR="002E7E72" w:rsidRPr="008046B3" w:rsidRDefault="002E7E72" w:rsidP="002E7E72">
            <w:pPr>
              <w:jc w:val="right"/>
              <w:rPr>
                <w:noProof/>
                <w:sz w:val="20"/>
                <w:szCs w:val="20"/>
              </w:rPr>
            </w:pPr>
            <w:r w:rsidRPr="008046B3">
              <w:rPr>
                <w:noProof/>
                <w:sz w:val="20"/>
                <w:szCs w:val="20"/>
              </w:rPr>
              <w:t>5,430</w:t>
            </w:r>
          </w:p>
        </w:tc>
        <w:tc>
          <w:tcPr>
            <w:tcW w:w="366" w:type="pct"/>
            <w:tcBorders>
              <w:top w:val="nil"/>
              <w:left w:val="nil"/>
              <w:bottom w:val="single" w:sz="4" w:space="0" w:color="auto"/>
              <w:right w:val="single" w:sz="4" w:space="0" w:color="auto"/>
            </w:tcBorders>
            <w:shd w:val="clear" w:color="auto" w:fill="FFFFFF" w:themeFill="background1"/>
            <w:noWrap/>
            <w:hideMark/>
          </w:tcPr>
          <w:p w14:paraId="685288D8" w14:textId="0D64050C" w:rsidR="002E7E72" w:rsidRPr="008046B3" w:rsidRDefault="002E7E72" w:rsidP="002E7E72">
            <w:pPr>
              <w:jc w:val="right"/>
              <w:rPr>
                <w:noProof/>
                <w:sz w:val="20"/>
                <w:szCs w:val="20"/>
              </w:rPr>
            </w:pPr>
            <w:r w:rsidRPr="008046B3">
              <w:rPr>
                <w:noProof/>
                <w:sz w:val="20"/>
                <w:szCs w:val="20"/>
              </w:rPr>
              <w:t>4,681</w:t>
            </w:r>
          </w:p>
        </w:tc>
      </w:tr>
      <w:tr w:rsidR="002E7E72" w:rsidRPr="008046B3" w14:paraId="66DF5769"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0412B9F2" w14:textId="78E046E1" w:rsidR="002E7E72" w:rsidRPr="008046B3" w:rsidRDefault="002E7E72" w:rsidP="002E7E72">
            <w:pPr>
              <w:rPr>
                <w:noProof/>
                <w:color w:val="000000"/>
                <w:sz w:val="20"/>
                <w:szCs w:val="20"/>
              </w:rPr>
            </w:pPr>
            <w:r w:rsidRPr="008046B3">
              <w:rPr>
                <w:noProof/>
                <w:color w:val="000000"/>
                <w:sz w:val="20"/>
                <w:szCs w:val="20"/>
              </w:rPr>
              <w:t>Total adjustment cost savings for non-SME operators (million EUR)</w:t>
            </w:r>
          </w:p>
        </w:tc>
        <w:tc>
          <w:tcPr>
            <w:tcW w:w="367" w:type="pct"/>
            <w:tcBorders>
              <w:top w:val="nil"/>
              <w:left w:val="nil"/>
              <w:bottom w:val="single" w:sz="4" w:space="0" w:color="auto"/>
              <w:right w:val="single" w:sz="4" w:space="0" w:color="auto"/>
            </w:tcBorders>
            <w:shd w:val="clear" w:color="auto" w:fill="FFFFFF" w:themeFill="background1"/>
            <w:noWrap/>
            <w:hideMark/>
          </w:tcPr>
          <w:p w14:paraId="5D743CA6" w14:textId="2AA10924" w:rsidR="002E7E72" w:rsidRPr="008046B3" w:rsidRDefault="002E7E72" w:rsidP="002E7E72">
            <w:pPr>
              <w:jc w:val="right"/>
              <w:rPr>
                <w:noProof/>
                <w:sz w:val="20"/>
                <w:szCs w:val="20"/>
              </w:rPr>
            </w:pPr>
            <w:r w:rsidRPr="008046B3">
              <w:rPr>
                <w:noProof/>
                <w:sz w:val="20"/>
                <w:szCs w:val="20"/>
              </w:rPr>
              <w:t>2.4</w:t>
            </w:r>
          </w:p>
        </w:tc>
        <w:tc>
          <w:tcPr>
            <w:tcW w:w="367" w:type="pct"/>
            <w:tcBorders>
              <w:top w:val="nil"/>
              <w:left w:val="nil"/>
              <w:bottom w:val="single" w:sz="4" w:space="0" w:color="auto"/>
              <w:right w:val="single" w:sz="4" w:space="0" w:color="auto"/>
            </w:tcBorders>
            <w:shd w:val="clear" w:color="auto" w:fill="FFFFFF" w:themeFill="background1"/>
            <w:noWrap/>
            <w:hideMark/>
          </w:tcPr>
          <w:p w14:paraId="4F478DF0" w14:textId="394D5DB7" w:rsidR="002E7E72" w:rsidRPr="008046B3" w:rsidRDefault="002E7E72" w:rsidP="002E7E72">
            <w:pPr>
              <w:jc w:val="right"/>
              <w:rPr>
                <w:noProof/>
                <w:sz w:val="20"/>
                <w:szCs w:val="20"/>
              </w:rPr>
            </w:pPr>
            <w:r w:rsidRPr="008046B3">
              <w:rPr>
                <w:noProof/>
                <w:sz w:val="20"/>
                <w:szCs w:val="20"/>
              </w:rPr>
              <w:t>0.9</w:t>
            </w:r>
          </w:p>
        </w:tc>
        <w:tc>
          <w:tcPr>
            <w:tcW w:w="367" w:type="pct"/>
            <w:tcBorders>
              <w:top w:val="nil"/>
              <w:left w:val="nil"/>
              <w:bottom w:val="single" w:sz="4" w:space="0" w:color="auto"/>
              <w:right w:val="single" w:sz="4" w:space="0" w:color="auto"/>
            </w:tcBorders>
            <w:shd w:val="clear" w:color="auto" w:fill="FFFFFF" w:themeFill="background1"/>
            <w:noWrap/>
            <w:hideMark/>
          </w:tcPr>
          <w:p w14:paraId="071CFDAB" w14:textId="71D60AD6" w:rsidR="002E7E72" w:rsidRPr="008046B3" w:rsidRDefault="002E7E72" w:rsidP="002E7E72">
            <w:pPr>
              <w:jc w:val="right"/>
              <w:rPr>
                <w:noProof/>
                <w:sz w:val="20"/>
                <w:szCs w:val="20"/>
              </w:rPr>
            </w:pPr>
            <w:r w:rsidRPr="008046B3">
              <w:rPr>
                <w:noProof/>
                <w:sz w:val="20"/>
                <w:szCs w:val="20"/>
              </w:rPr>
              <w:t>2.5</w:t>
            </w:r>
          </w:p>
        </w:tc>
        <w:tc>
          <w:tcPr>
            <w:tcW w:w="366" w:type="pct"/>
            <w:tcBorders>
              <w:top w:val="nil"/>
              <w:left w:val="nil"/>
              <w:bottom w:val="single" w:sz="4" w:space="0" w:color="auto"/>
              <w:right w:val="single" w:sz="4" w:space="0" w:color="auto"/>
            </w:tcBorders>
            <w:shd w:val="clear" w:color="auto" w:fill="FFFFFF" w:themeFill="background1"/>
            <w:noWrap/>
            <w:hideMark/>
          </w:tcPr>
          <w:p w14:paraId="7E3C358D" w14:textId="07695DF5" w:rsidR="002E7E72" w:rsidRPr="008046B3" w:rsidRDefault="002E7E72" w:rsidP="002E7E72">
            <w:pPr>
              <w:jc w:val="right"/>
              <w:rPr>
                <w:noProof/>
                <w:sz w:val="20"/>
                <w:szCs w:val="20"/>
              </w:rPr>
            </w:pPr>
            <w:r w:rsidRPr="008046B3">
              <w:rPr>
                <w:noProof/>
                <w:sz w:val="20"/>
                <w:szCs w:val="20"/>
              </w:rPr>
              <w:t>1.6</w:t>
            </w:r>
          </w:p>
        </w:tc>
      </w:tr>
      <w:tr w:rsidR="002E7E72" w:rsidRPr="008046B3" w14:paraId="0952DE43" w14:textId="77777777" w:rsidTr="008046B3">
        <w:trPr>
          <w:trHeight w:val="255"/>
        </w:trPr>
        <w:tc>
          <w:tcPr>
            <w:tcW w:w="3533" w:type="pct"/>
            <w:tcBorders>
              <w:top w:val="nil"/>
              <w:left w:val="single" w:sz="4" w:space="0" w:color="auto"/>
              <w:bottom w:val="single" w:sz="4" w:space="0" w:color="auto"/>
              <w:right w:val="single" w:sz="4" w:space="0" w:color="auto"/>
            </w:tcBorders>
            <w:noWrap/>
            <w:hideMark/>
          </w:tcPr>
          <w:p w14:paraId="21293448" w14:textId="77777777" w:rsidR="002E7E72" w:rsidRPr="008046B3" w:rsidRDefault="002E7E72" w:rsidP="002E7E72">
            <w:pPr>
              <w:rPr>
                <w:noProof/>
                <w:color w:val="000000"/>
                <w:sz w:val="20"/>
                <w:szCs w:val="20"/>
              </w:rPr>
            </w:pPr>
            <w:r w:rsidRPr="008046B3">
              <w:rPr>
                <w:noProof/>
                <w:color w:val="000000"/>
                <w:sz w:val="20"/>
                <w:szCs w:val="20"/>
              </w:rPr>
              <w:t>Total adjustment cost savings for SME operators (million EUR)</w:t>
            </w:r>
          </w:p>
        </w:tc>
        <w:tc>
          <w:tcPr>
            <w:tcW w:w="367" w:type="pct"/>
            <w:tcBorders>
              <w:top w:val="nil"/>
              <w:left w:val="nil"/>
              <w:bottom w:val="single" w:sz="4" w:space="0" w:color="auto"/>
              <w:right w:val="single" w:sz="4" w:space="0" w:color="auto"/>
            </w:tcBorders>
            <w:shd w:val="clear" w:color="auto" w:fill="FFFFFF" w:themeFill="background1"/>
            <w:noWrap/>
            <w:hideMark/>
          </w:tcPr>
          <w:p w14:paraId="44C77F87" w14:textId="51991730" w:rsidR="002E7E72" w:rsidRPr="008046B3" w:rsidRDefault="002E7E72" w:rsidP="002E7E72">
            <w:pPr>
              <w:jc w:val="right"/>
              <w:rPr>
                <w:noProof/>
                <w:sz w:val="20"/>
                <w:szCs w:val="20"/>
              </w:rPr>
            </w:pPr>
            <w:r w:rsidRPr="008046B3">
              <w:rPr>
                <w:noProof/>
                <w:sz w:val="20"/>
                <w:szCs w:val="20"/>
              </w:rPr>
              <w:t>8.7</w:t>
            </w:r>
          </w:p>
        </w:tc>
        <w:tc>
          <w:tcPr>
            <w:tcW w:w="367" w:type="pct"/>
            <w:tcBorders>
              <w:top w:val="nil"/>
              <w:left w:val="nil"/>
              <w:bottom w:val="single" w:sz="4" w:space="0" w:color="auto"/>
              <w:right w:val="single" w:sz="4" w:space="0" w:color="auto"/>
            </w:tcBorders>
            <w:shd w:val="clear" w:color="auto" w:fill="FFFFFF" w:themeFill="background1"/>
            <w:noWrap/>
            <w:hideMark/>
          </w:tcPr>
          <w:p w14:paraId="347441EC" w14:textId="2E6B5E38" w:rsidR="002E7E72" w:rsidRPr="008046B3" w:rsidRDefault="002E7E72" w:rsidP="002E7E72">
            <w:pPr>
              <w:jc w:val="right"/>
              <w:rPr>
                <w:noProof/>
                <w:sz w:val="20"/>
                <w:szCs w:val="20"/>
              </w:rPr>
            </w:pPr>
            <w:r w:rsidRPr="008046B3">
              <w:rPr>
                <w:noProof/>
                <w:sz w:val="20"/>
                <w:szCs w:val="20"/>
              </w:rPr>
              <w:t>3.3</w:t>
            </w:r>
          </w:p>
        </w:tc>
        <w:tc>
          <w:tcPr>
            <w:tcW w:w="367" w:type="pct"/>
            <w:tcBorders>
              <w:top w:val="nil"/>
              <w:left w:val="nil"/>
              <w:bottom w:val="single" w:sz="4" w:space="0" w:color="auto"/>
              <w:right w:val="single" w:sz="4" w:space="0" w:color="auto"/>
            </w:tcBorders>
            <w:shd w:val="clear" w:color="auto" w:fill="FFFFFF" w:themeFill="background1"/>
            <w:noWrap/>
            <w:hideMark/>
          </w:tcPr>
          <w:p w14:paraId="6B11D971" w14:textId="7202AD1F" w:rsidR="002E7E72" w:rsidRPr="008046B3" w:rsidRDefault="002E7E72" w:rsidP="002E7E72">
            <w:pPr>
              <w:jc w:val="right"/>
              <w:rPr>
                <w:noProof/>
                <w:sz w:val="20"/>
                <w:szCs w:val="20"/>
              </w:rPr>
            </w:pPr>
            <w:r w:rsidRPr="008046B3">
              <w:rPr>
                <w:noProof/>
                <w:sz w:val="20"/>
                <w:szCs w:val="20"/>
              </w:rPr>
              <w:t>8.8</w:t>
            </w:r>
          </w:p>
        </w:tc>
        <w:tc>
          <w:tcPr>
            <w:tcW w:w="366" w:type="pct"/>
            <w:tcBorders>
              <w:top w:val="nil"/>
              <w:left w:val="nil"/>
              <w:bottom w:val="single" w:sz="4" w:space="0" w:color="auto"/>
              <w:right w:val="single" w:sz="4" w:space="0" w:color="auto"/>
            </w:tcBorders>
            <w:shd w:val="clear" w:color="auto" w:fill="FFFFFF" w:themeFill="background1"/>
            <w:noWrap/>
            <w:hideMark/>
          </w:tcPr>
          <w:p w14:paraId="26CFB4AB" w14:textId="1FBBAE46" w:rsidR="002E7E72" w:rsidRPr="008046B3" w:rsidRDefault="002E7E72" w:rsidP="002E7E72">
            <w:pPr>
              <w:jc w:val="right"/>
              <w:rPr>
                <w:noProof/>
                <w:sz w:val="20"/>
                <w:szCs w:val="20"/>
              </w:rPr>
            </w:pPr>
            <w:r w:rsidRPr="008046B3">
              <w:rPr>
                <w:noProof/>
                <w:sz w:val="20"/>
                <w:szCs w:val="20"/>
              </w:rPr>
              <w:t>5.5</w:t>
            </w:r>
          </w:p>
        </w:tc>
      </w:tr>
    </w:tbl>
    <w:p w14:paraId="6B6AA04E" w14:textId="77777777" w:rsidR="00913DCC" w:rsidRPr="00D71008" w:rsidRDefault="00913DCC" w:rsidP="00913DCC">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446BCB7E" w14:textId="133FDAB3" w:rsidR="005F29EA" w:rsidRDefault="005F29EA" w:rsidP="005F29EA">
      <w:pPr>
        <w:pStyle w:val="Nornal"/>
        <w:spacing w:after="240" w:line="240" w:lineRule="auto"/>
        <w:rPr>
          <w:rFonts w:cs="Arial"/>
          <w:noProof/>
          <w:spacing w:val="-8"/>
          <w:sz w:val="24"/>
          <w:szCs w:val="24"/>
        </w:rPr>
      </w:pPr>
      <w:r w:rsidRPr="00822452">
        <w:rPr>
          <w:rFonts w:cs="Arial"/>
          <w:noProof/>
          <w:spacing w:val="-8"/>
          <w:sz w:val="24"/>
          <w:szCs w:val="24"/>
        </w:rPr>
        <w:t xml:space="preserve">Expressed as present value over 2028-2050, relative to the baseline, the adjustment costs savings for </w:t>
      </w:r>
      <w:r w:rsidR="005A62BB">
        <w:rPr>
          <w:rFonts w:cs="Arial"/>
          <w:noProof/>
          <w:spacing w:val="-8"/>
          <w:sz w:val="24"/>
          <w:szCs w:val="24"/>
        </w:rPr>
        <w:t>non-SME</w:t>
      </w:r>
      <w:r w:rsidRPr="00822452">
        <w:rPr>
          <w:rFonts w:cs="Arial"/>
          <w:noProof/>
          <w:spacing w:val="-8"/>
          <w:sz w:val="24"/>
          <w:szCs w:val="24"/>
        </w:rPr>
        <w:t xml:space="preserve"> and SME </w:t>
      </w:r>
      <w:r>
        <w:rPr>
          <w:rFonts w:cs="Arial"/>
          <w:noProof/>
          <w:spacing w:val="-8"/>
          <w:sz w:val="24"/>
          <w:szCs w:val="24"/>
        </w:rPr>
        <w:t>transport operators</w:t>
      </w:r>
      <w:r w:rsidRPr="00822452">
        <w:rPr>
          <w:rFonts w:cs="Arial"/>
          <w:noProof/>
          <w:spacing w:val="-8"/>
          <w:sz w:val="24"/>
          <w:szCs w:val="24"/>
        </w:rPr>
        <w:t xml:space="preserve"> are provided in the table below. </w:t>
      </w:r>
    </w:p>
    <w:p w14:paraId="0B1BC5D7" w14:textId="4FACCE48" w:rsidR="005F29EA" w:rsidRPr="00F312FF" w:rsidRDefault="005F29EA" w:rsidP="00087E1F">
      <w:pPr>
        <w:keepNext/>
        <w:tabs>
          <w:tab w:val="left" w:pos="1134"/>
        </w:tabs>
        <w:jc w:val="both"/>
        <w:rPr>
          <w:i/>
          <w:noProof/>
          <w:sz w:val="22"/>
          <w:szCs w:val="22"/>
        </w:rPr>
      </w:pPr>
      <w:bookmarkStart w:id="2084" w:name="_Hlk222692708"/>
      <w:r w:rsidRPr="00F312FF">
        <w:rPr>
          <w:i/>
          <w:noProof/>
          <w:sz w:val="22"/>
          <w:szCs w:val="22"/>
        </w:rPr>
        <w:t xml:space="preserve">Table </w:t>
      </w:r>
      <w:r w:rsidRPr="00F312FF">
        <w:rPr>
          <w:i/>
          <w:noProof/>
          <w:sz w:val="22"/>
          <w:szCs w:val="22"/>
        </w:rPr>
        <w:fldChar w:fldCharType="begin"/>
      </w:r>
      <w:r w:rsidRPr="00F312FF">
        <w:rPr>
          <w:i/>
          <w:noProof/>
          <w:sz w:val="22"/>
          <w:szCs w:val="22"/>
        </w:rPr>
        <w:instrText xml:space="preserve"> SEQ Table \* ARABIC </w:instrText>
      </w:r>
      <w:r w:rsidRPr="00F312FF">
        <w:rPr>
          <w:i/>
          <w:noProof/>
          <w:sz w:val="22"/>
          <w:szCs w:val="22"/>
        </w:rPr>
        <w:fldChar w:fldCharType="separate"/>
      </w:r>
      <w:r w:rsidR="0055391F">
        <w:rPr>
          <w:i/>
          <w:noProof/>
          <w:sz w:val="22"/>
          <w:szCs w:val="22"/>
        </w:rPr>
        <w:t>109</w:t>
      </w:r>
      <w:r w:rsidRPr="00F312FF">
        <w:rPr>
          <w:i/>
          <w:noProof/>
          <w:sz w:val="22"/>
          <w:szCs w:val="22"/>
        </w:rPr>
        <w:fldChar w:fldCharType="end"/>
      </w:r>
      <w:r w:rsidRPr="00F312FF">
        <w:rPr>
          <w:i/>
          <w:noProof/>
          <w:sz w:val="22"/>
          <w:szCs w:val="22"/>
        </w:rPr>
        <w:t>: Recurrent adjustment costs savings for transport operators due to PM11, expressed as present value over 2028-2050 relative to the baseline (in million EUR, 2024 prices)</w:t>
      </w: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3"/>
        <w:gridCol w:w="1328"/>
        <w:gridCol w:w="1588"/>
        <w:gridCol w:w="1588"/>
        <w:gridCol w:w="1590"/>
      </w:tblGrid>
      <w:tr w:rsidR="005F29EA" w:rsidRPr="00C54A74" w14:paraId="1E132CCB" w14:textId="77777777" w:rsidTr="00DA5F00">
        <w:trPr>
          <w:trHeight w:val="294"/>
          <w:tblHeader/>
        </w:trPr>
        <w:tc>
          <w:tcPr>
            <w:tcW w:w="3393" w:type="dxa"/>
            <w:vMerge w:val="restart"/>
            <w:shd w:val="clear" w:color="auto" w:fill="0070C0"/>
          </w:tcPr>
          <w:p w14:paraId="43818799" w14:textId="77777777" w:rsidR="005F29EA" w:rsidRPr="00C54A74" w:rsidRDefault="005F29EA">
            <w:pPr>
              <w:jc w:val="both"/>
              <w:rPr>
                <w:noProof/>
                <w:color w:val="FFFFFF" w:themeColor="background1"/>
                <w:sz w:val="20"/>
                <w:szCs w:val="20"/>
              </w:rPr>
            </w:pPr>
          </w:p>
        </w:tc>
        <w:tc>
          <w:tcPr>
            <w:tcW w:w="6094" w:type="dxa"/>
            <w:gridSpan w:val="4"/>
            <w:shd w:val="clear" w:color="auto" w:fill="0070C0"/>
            <w:hideMark/>
          </w:tcPr>
          <w:p w14:paraId="5B3BBECA" w14:textId="77777777" w:rsidR="005F29EA" w:rsidRPr="005A4EAF" w:rsidRDefault="005F29EA">
            <w:pPr>
              <w:jc w:val="center"/>
              <w:rPr>
                <w:b/>
                <w:noProof/>
                <w:color w:val="FFFFFF" w:themeColor="background1"/>
                <w:sz w:val="20"/>
                <w:szCs w:val="20"/>
              </w:rPr>
            </w:pPr>
            <w:r w:rsidRPr="005A4EAF">
              <w:rPr>
                <w:b/>
                <w:noProof/>
                <w:color w:val="FFFFFF" w:themeColor="background1"/>
                <w:sz w:val="20"/>
                <w:szCs w:val="20"/>
              </w:rPr>
              <w:t>Difference to baseline</w:t>
            </w:r>
          </w:p>
        </w:tc>
      </w:tr>
      <w:tr w:rsidR="005F29EA" w:rsidRPr="00C54A74" w14:paraId="6A03344D" w14:textId="77777777" w:rsidTr="00DA5F00">
        <w:trPr>
          <w:trHeight w:val="294"/>
          <w:tblHeader/>
        </w:trPr>
        <w:tc>
          <w:tcPr>
            <w:tcW w:w="3393" w:type="dxa"/>
            <w:vMerge/>
            <w:shd w:val="clear" w:color="auto" w:fill="0070C0"/>
            <w:hideMark/>
          </w:tcPr>
          <w:p w14:paraId="60AA2051" w14:textId="77777777" w:rsidR="005F29EA" w:rsidRPr="00C54A74" w:rsidRDefault="005F29EA">
            <w:pPr>
              <w:rPr>
                <w:b/>
                <w:noProof/>
                <w:color w:val="FFFFFF" w:themeColor="background1"/>
                <w:sz w:val="20"/>
                <w:szCs w:val="20"/>
              </w:rPr>
            </w:pPr>
          </w:p>
        </w:tc>
        <w:tc>
          <w:tcPr>
            <w:tcW w:w="1328" w:type="dxa"/>
            <w:shd w:val="clear" w:color="auto" w:fill="0070C0"/>
            <w:hideMark/>
          </w:tcPr>
          <w:p w14:paraId="79A6A295" w14:textId="77777777" w:rsidR="005F29EA" w:rsidRPr="00C54A74" w:rsidRDefault="005F29EA">
            <w:pPr>
              <w:jc w:val="center"/>
              <w:rPr>
                <w:b/>
                <w:noProof/>
                <w:color w:val="FFFFFF" w:themeColor="background1"/>
                <w:sz w:val="20"/>
                <w:szCs w:val="20"/>
              </w:rPr>
            </w:pPr>
            <w:r w:rsidRPr="00C54A74">
              <w:rPr>
                <w:b/>
                <w:noProof/>
                <w:color w:val="FFFFFF" w:themeColor="background1"/>
                <w:sz w:val="20"/>
                <w:szCs w:val="20"/>
              </w:rPr>
              <w:t>PO1</w:t>
            </w:r>
          </w:p>
        </w:tc>
        <w:tc>
          <w:tcPr>
            <w:tcW w:w="1588" w:type="dxa"/>
            <w:shd w:val="clear" w:color="auto" w:fill="0070C0"/>
            <w:hideMark/>
          </w:tcPr>
          <w:p w14:paraId="08B82232" w14:textId="77777777" w:rsidR="005F29EA" w:rsidRPr="00C54A74" w:rsidRDefault="005F29EA">
            <w:pPr>
              <w:jc w:val="center"/>
              <w:rPr>
                <w:b/>
                <w:noProof/>
                <w:color w:val="FFFFFF" w:themeColor="background1"/>
                <w:sz w:val="20"/>
                <w:szCs w:val="20"/>
              </w:rPr>
            </w:pPr>
            <w:r w:rsidRPr="00C54A74">
              <w:rPr>
                <w:b/>
                <w:noProof/>
                <w:color w:val="FFFFFF" w:themeColor="background1"/>
                <w:sz w:val="20"/>
                <w:szCs w:val="20"/>
              </w:rPr>
              <w:t>PO2</w:t>
            </w:r>
          </w:p>
        </w:tc>
        <w:tc>
          <w:tcPr>
            <w:tcW w:w="1588" w:type="dxa"/>
            <w:shd w:val="clear" w:color="auto" w:fill="0070C0"/>
            <w:hideMark/>
          </w:tcPr>
          <w:p w14:paraId="1B049994" w14:textId="77777777" w:rsidR="005F29EA" w:rsidRPr="00C54A74" w:rsidRDefault="005F29EA">
            <w:pPr>
              <w:jc w:val="center"/>
              <w:rPr>
                <w:b/>
                <w:noProof/>
                <w:color w:val="FFFFFF" w:themeColor="background1"/>
                <w:sz w:val="20"/>
                <w:szCs w:val="20"/>
              </w:rPr>
            </w:pPr>
            <w:r w:rsidRPr="00C54A74">
              <w:rPr>
                <w:b/>
                <w:noProof/>
                <w:color w:val="FFFFFF" w:themeColor="background1"/>
                <w:sz w:val="20"/>
                <w:szCs w:val="20"/>
              </w:rPr>
              <w:t>PO3</w:t>
            </w:r>
          </w:p>
        </w:tc>
        <w:tc>
          <w:tcPr>
            <w:tcW w:w="1590" w:type="dxa"/>
            <w:shd w:val="clear" w:color="auto" w:fill="0070C0"/>
            <w:hideMark/>
          </w:tcPr>
          <w:p w14:paraId="1A848C33" w14:textId="77777777" w:rsidR="005F29EA" w:rsidRPr="00C54A74" w:rsidRDefault="005F29EA">
            <w:pPr>
              <w:jc w:val="center"/>
              <w:rPr>
                <w:b/>
                <w:noProof/>
                <w:color w:val="FFFFFF" w:themeColor="background1"/>
                <w:sz w:val="20"/>
                <w:szCs w:val="20"/>
              </w:rPr>
            </w:pPr>
            <w:r w:rsidRPr="00C54A74">
              <w:rPr>
                <w:b/>
                <w:noProof/>
                <w:color w:val="FFFFFF" w:themeColor="background1"/>
                <w:sz w:val="20"/>
                <w:szCs w:val="20"/>
              </w:rPr>
              <w:t>PO4</w:t>
            </w:r>
          </w:p>
        </w:tc>
      </w:tr>
      <w:bookmarkEnd w:id="2084"/>
      <w:tr w:rsidR="00682DB9" w:rsidRPr="00C54A74" w14:paraId="5D3BECF6" w14:textId="77777777">
        <w:trPr>
          <w:trHeight w:val="294"/>
        </w:trPr>
        <w:tc>
          <w:tcPr>
            <w:tcW w:w="3393" w:type="dxa"/>
          </w:tcPr>
          <w:p w14:paraId="17FA5B85" w14:textId="0D51068A" w:rsidR="00682DB9" w:rsidRPr="001770E2" w:rsidRDefault="00682DB9" w:rsidP="00682DB9">
            <w:pPr>
              <w:rPr>
                <w:noProof/>
                <w:sz w:val="20"/>
                <w:szCs w:val="20"/>
              </w:rPr>
            </w:pPr>
            <w:r>
              <w:rPr>
                <w:noProof/>
                <w:sz w:val="20"/>
                <w:szCs w:val="20"/>
              </w:rPr>
              <w:t>Non-SME</w:t>
            </w:r>
            <w:r w:rsidRPr="001770E2">
              <w:rPr>
                <w:noProof/>
                <w:sz w:val="20"/>
                <w:szCs w:val="20"/>
              </w:rPr>
              <w:t xml:space="preserve"> operators</w:t>
            </w:r>
          </w:p>
        </w:tc>
        <w:tc>
          <w:tcPr>
            <w:tcW w:w="1328" w:type="dxa"/>
            <w:noWrap/>
          </w:tcPr>
          <w:p w14:paraId="7A95C638" w14:textId="5C7916D3" w:rsidR="00682DB9" w:rsidRPr="00C54A74" w:rsidRDefault="00682DB9" w:rsidP="00682DB9">
            <w:pPr>
              <w:jc w:val="right"/>
              <w:rPr>
                <w:noProof/>
                <w:sz w:val="20"/>
                <w:szCs w:val="20"/>
              </w:rPr>
            </w:pPr>
            <w:r>
              <w:rPr>
                <w:noProof/>
                <w:color w:val="000000"/>
                <w:sz w:val="20"/>
                <w:szCs w:val="20"/>
              </w:rPr>
              <w:t>2.6</w:t>
            </w:r>
          </w:p>
        </w:tc>
        <w:tc>
          <w:tcPr>
            <w:tcW w:w="1588" w:type="dxa"/>
            <w:noWrap/>
          </w:tcPr>
          <w:p w14:paraId="5EE2486E" w14:textId="025B63ED" w:rsidR="00682DB9" w:rsidRPr="00C54A74" w:rsidRDefault="00682DB9" w:rsidP="00682DB9">
            <w:pPr>
              <w:jc w:val="right"/>
              <w:rPr>
                <w:noProof/>
                <w:sz w:val="20"/>
                <w:szCs w:val="20"/>
              </w:rPr>
            </w:pPr>
            <w:r>
              <w:rPr>
                <w:noProof/>
                <w:color w:val="000000"/>
                <w:sz w:val="20"/>
                <w:szCs w:val="20"/>
              </w:rPr>
              <w:t>29.9</w:t>
            </w:r>
          </w:p>
        </w:tc>
        <w:tc>
          <w:tcPr>
            <w:tcW w:w="1588" w:type="dxa"/>
            <w:noWrap/>
          </w:tcPr>
          <w:p w14:paraId="2A0187FE" w14:textId="53AB4370" w:rsidR="00682DB9" w:rsidRPr="00C54A74" w:rsidRDefault="00682DB9" w:rsidP="00682DB9">
            <w:pPr>
              <w:jc w:val="right"/>
              <w:rPr>
                <w:noProof/>
                <w:sz w:val="20"/>
                <w:szCs w:val="20"/>
              </w:rPr>
            </w:pPr>
            <w:r>
              <w:rPr>
                <w:noProof/>
                <w:color w:val="000000"/>
                <w:sz w:val="20"/>
                <w:szCs w:val="20"/>
              </w:rPr>
              <w:t>26.9</w:t>
            </w:r>
          </w:p>
        </w:tc>
        <w:tc>
          <w:tcPr>
            <w:tcW w:w="1590" w:type="dxa"/>
            <w:noWrap/>
          </w:tcPr>
          <w:p w14:paraId="17CAE18F" w14:textId="79694B01" w:rsidR="00682DB9" w:rsidRPr="00C54A74" w:rsidRDefault="00682DB9" w:rsidP="00682DB9">
            <w:pPr>
              <w:jc w:val="right"/>
              <w:rPr>
                <w:noProof/>
                <w:sz w:val="20"/>
                <w:szCs w:val="20"/>
              </w:rPr>
            </w:pPr>
            <w:r>
              <w:rPr>
                <w:noProof/>
                <w:color w:val="000000"/>
                <w:sz w:val="20"/>
                <w:szCs w:val="20"/>
              </w:rPr>
              <w:t>28.6</w:t>
            </w:r>
          </w:p>
        </w:tc>
      </w:tr>
      <w:tr w:rsidR="00DA5F00" w:rsidRPr="00C54A74" w14:paraId="1BBEEEDB" w14:textId="77777777">
        <w:trPr>
          <w:trHeight w:val="294"/>
        </w:trPr>
        <w:tc>
          <w:tcPr>
            <w:tcW w:w="3393" w:type="dxa"/>
          </w:tcPr>
          <w:p w14:paraId="5EFE742E" w14:textId="77777777" w:rsidR="00DA5F00" w:rsidRPr="001770E2" w:rsidRDefault="00DA5F00" w:rsidP="00DA5F00">
            <w:pPr>
              <w:rPr>
                <w:noProof/>
                <w:sz w:val="20"/>
                <w:szCs w:val="20"/>
              </w:rPr>
            </w:pPr>
            <w:r w:rsidRPr="001770E2">
              <w:rPr>
                <w:noProof/>
                <w:sz w:val="20"/>
                <w:szCs w:val="20"/>
              </w:rPr>
              <w:t>SME operators</w:t>
            </w:r>
          </w:p>
        </w:tc>
        <w:tc>
          <w:tcPr>
            <w:tcW w:w="1328" w:type="dxa"/>
            <w:noWrap/>
          </w:tcPr>
          <w:p w14:paraId="62BBE83E" w14:textId="56769073" w:rsidR="00DA5F00" w:rsidRPr="00C54A74" w:rsidRDefault="00DA5F00" w:rsidP="00DA5F00">
            <w:pPr>
              <w:jc w:val="right"/>
              <w:rPr>
                <w:noProof/>
                <w:sz w:val="20"/>
                <w:szCs w:val="20"/>
              </w:rPr>
            </w:pPr>
            <w:r>
              <w:rPr>
                <w:noProof/>
                <w:color w:val="000000"/>
                <w:sz w:val="20"/>
                <w:szCs w:val="20"/>
              </w:rPr>
              <w:t>9.4</w:t>
            </w:r>
          </w:p>
        </w:tc>
        <w:tc>
          <w:tcPr>
            <w:tcW w:w="1588" w:type="dxa"/>
            <w:noWrap/>
          </w:tcPr>
          <w:p w14:paraId="5DC98310" w14:textId="4B1247FB" w:rsidR="00DA5F00" w:rsidRPr="00C54A74" w:rsidRDefault="00DA5F00" w:rsidP="00DA5F00">
            <w:pPr>
              <w:jc w:val="right"/>
              <w:rPr>
                <w:noProof/>
                <w:sz w:val="20"/>
                <w:szCs w:val="20"/>
              </w:rPr>
            </w:pPr>
            <w:r>
              <w:rPr>
                <w:noProof/>
                <w:color w:val="000000"/>
                <w:sz w:val="20"/>
                <w:szCs w:val="20"/>
              </w:rPr>
              <w:t>106.2</w:t>
            </w:r>
          </w:p>
        </w:tc>
        <w:tc>
          <w:tcPr>
            <w:tcW w:w="1588" w:type="dxa"/>
            <w:noWrap/>
          </w:tcPr>
          <w:p w14:paraId="16B5F646" w14:textId="6105C68B" w:rsidR="00DA5F00" w:rsidRPr="00C54A74" w:rsidRDefault="00DA5F00" w:rsidP="00DA5F00">
            <w:pPr>
              <w:jc w:val="right"/>
              <w:rPr>
                <w:noProof/>
                <w:sz w:val="20"/>
                <w:szCs w:val="20"/>
              </w:rPr>
            </w:pPr>
            <w:r>
              <w:rPr>
                <w:noProof/>
                <w:color w:val="000000"/>
                <w:sz w:val="20"/>
                <w:szCs w:val="20"/>
              </w:rPr>
              <w:t>95.4</w:t>
            </w:r>
          </w:p>
        </w:tc>
        <w:tc>
          <w:tcPr>
            <w:tcW w:w="1590" w:type="dxa"/>
            <w:noWrap/>
          </w:tcPr>
          <w:p w14:paraId="5DB59FC3" w14:textId="21E31547" w:rsidR="00DA5F00" w:rsidRPr="00C54A74" w:rsidRDefault="00DA5F00" w:rsidP="00DA5F00">
            <w:pPr>
              <w:jc w:val="right"/>
              <w:rPr>
                <w:noProof/>
                <w:sz w:val="20"/>
                <w:szCs w:val="20"/>
              </w:rPr>
            </w:pPr>
            <w:r>
              <w:rPr>
                <w:noProof/>
                <w:color w:val="000000"/>
                <w:sz w:val="20"/>
                <w:szCs w:val="20"/>
              </w:rPr>
              <w:t>101.8</w:t>
            </w:r>
          </w:p>
        </w:tc>
      </w:tr>
    </w:tbl>
    <w:p w14:paraId="612D2E32" w14:textId="77777777" w:rsidR="00417F13" w:rsidRPr="00D71008" w:rsidRDefault="00417F13" w:rsidP="00417F13">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3C940FDA" w14:textId="7C714378" w:rsidR="00BA29CC" w:rsidRDefault="00015882" w:rsidP="00A55D38">
      <w:pPr>
        <w:pStyle w:val="ListParagraph"/>
        <w:keepNext/>
        <w:keepLines/>
        <w:widowControl/>
        <w:numPr>
          <w:ilvl w:val="2"/>
          <w:numId w:val="10"/>
        </w:numPr>
        <w:autoSpaceDE/>
        <w:autoSpaceDN/>
        <w:spacing w:after="240"/>
        <w:jc w:val="both"/>
        <w:outlineLvl w:val="2"/>
        <w:rPr>
          <w:i/>
          <w:iCs/>
          <w:noProof/>
          <w:sz w:val="24"/>
          <w:szCs w:val="24"/>
        </w:rPr>
      </w:pPr>
      <w:bookmarkStart w:id="2085" w:name="_Toc222749073"/>
      <w:bookmarkStart w:id="2086" w:name="_Toc223981677"/>
      <w:r w:rsidRPr="00015882">
        <w:rPr>
          <w:i/>
          <w:iCs/>
          <w:noProof/>
          <w:sz w:val="24"/>
          <w:szCs w:val="24"/>
        </w:rPr>
        <w:t>PM12 – Indispensable RUs (</w:t>
      </w:r>
      <w:r w:rsidR="3CD38F46" w:rsidRPr="2D80CE9C">
        <w:rPr>
          <w:i/>
          <w:iCs/>
          <w:noProof/>
          <w:sz w:val="24"/>
          <w:szCs w:val="24"/>
        </w:rPr>
        <w:t xml:space="preserve">RUs </w:t>
      </w:r>
      <w:r w:rsidRPr="00015882">
        <w:rPr>
          <w:i/>
          <w:iCs/>
          <w:noProof/>
          <w:sz w:val="24"/>
          <w:szCs w:val="24"/>
        </w:rPr>
        <w:t xml:space="preserve">with SMP and </w:t>
      </w:r>
      <w:r w:rsidR="27DDF194" w:rsidRPr="2D80CE9C">
        <w:rPr>
          <w:i/>
          <w:iCs/>
          <w:noProof/>
          <w:sz w:val="24"/>
          <w:szCs w:val="24"/>
        </w:rPr>
        <w:t xml:space="preserve">RUs </w:t>
      </w:r>
      <w:r w:rsidR="00245BC2" w:rsidRPr="00245BC2">
        <w:rPr>
          <w:bCs/>
          <w:i/>
          <w:iCs/>
          <w:noProof/>
          <w:sz w:val="24"/>
          <w:szCs w:val="24"/>
        </w:rPr>
        <w:t>operating</w:t>
      </w:r>
      <w:r w:rsidRPr="00015882">
        <w:rPr>
          <w:i/>
          <w:iCs/>
          <w:noProof/>
          <w:sz w:val="24"/>
          <w:szCs w:val="24"/>
        </w:rPr>
        <w:t xml:space="preserve"> PSO</w:t>
      </w:r>
      <w:r w:rsidR="01F26447" w:rsidRPr="2D80CE9C">
        <w:rPr>
          <w:i/>
          <w:iCs/>
          <w:noProof/>
          <w:sz w:val="24"/>
          <w:szCs w:val="24"/>
        </w:rPr>
        <w:t xml:space="preserve"> </w:t>
      </w:r>
      <w:r w:rsidR="44EBD5FE" w:rsidRPr="2D80CE9C">
        <w:rPr>
          <w:i/>
          <w:iCs/>
          <w:noProof/>
          <w:sz w:val="24"/>
          <w:szCs w:val="24"/>
        </w:rPr>
        <w:t>or</w:t>
      </w:r>
      <w:r w:rsidRPr="00015882">
        <w:rPr>
          <w:i/>
          <w:iCs/>
          <w:noProof/>
          <w:sz w:val="24"/>
          <w:szCs w:val="24"/>
        </w:rPr>
        <w:t xml:space="preserve">  cross- border services): must respect principles on distribution fees without imposing restrictive clauses (exclusivity clauses, marketing clauses and other technical restrictions) when entering into commercial agreements with MDMS platforms</w:t>
      </w:r>
      <w:bookmarkEnd w:id="2085"/>
      <w:bookmarkEnd w:id="2086"/>
    </w:p>
    <w:p w14:paraId="42C87FAA" w14:textId="6B1D0CD0" w:rsidR="00015882" w:rsidRPr="00D07E1C" w:rsidRDefault="00662C44" w:rsidP="00A55D38">
      <w:pPr>
        <w:pStyle w:val="Nornal"/>
        <w:keepNext/>
        <w:keepLines/>
        <w:spacing w:after="240" w:line="240" w:lineRule="auto"/>
        <w:rPr>
          <w:rFonts w:cs="Arial"/>
          <w:noProof/>
          <w:spacing w:val="-8"/>
          <w:sz w:val="24"/>
          <w:szCs w:val="24"/>
        </w:rPr>
      </w:pPr>
      <w:r>
        <w:rPr>
          <w:rFonts w:cs="Arial"/>
          <w:noProof/>
          <w:spacing w:val="-8"/>
          <w:sz w:val="24"/>
          <w:szCs w:val="24"/>
        </w:rPr>
        <w:t>In</w:t>
      </w:r>
      <w:r w:rsidR="00D07E1C" w:rsidRPr="00D07E1C">
        <w:rPr>
          <w:rFonts w:cs="Arial"/>
          <w:noProof/>
          <w:spacing w:val="-8"/>
          <w:sz w:val="24"/>
          <w:szCs w:val="24"/>
        </w:rPr>
        <w:t xml:space="preserve"> PM12, indispensable RUs (with SMP) and all other rail undertakings in relation to PSO and cross- border services, are obliged to enter into a commercial agreement when requested by an online distribution platform. When entering a commercial agreement with an online distribution platform, these entities must apply non-discriminatory and reasonable contract conditions. Beyond, they may not include conditions that would prevent the online distribution platform to combine their tickets and fares with any other ticket of other RUs, and which would potentially prevent the platforms to offer single tickets.</w:t>
      </w:r>
    </w:p>
    <w:p w14:paraId="62E7B15A" w14:textId="2F5238E1" w:rsidR="002D2B79" w:rsidRPr="00A215B0" w:rsidRDefault="002D2B79" w:rsidP="002D2B79">
      <w:pPr>
        <w:pStyle w:val="TableParagraph"/>
        <w:spacing w:after="240"/>
        <w:ind w:right="74"/>
        <w:jc w:val="both"/>
        <w:rPr>
          <w:rFonts w:cs="Arial"/>
          <w:noProof/>
          <w:spacing w:val="-8"/>
          <w:sz w:val="24"/>
          <w:szCs w:val="24"/>
        </w:rPr>
      </w:pPr>
      <w:r w:rsidRPr="00A215B0">
        <w:rPr>
          <w:rFonts w:eastAsia="Calibri" w:cs="Arial"/>
          <w:noProof/>
          <w:spacing w:val="-8"/>
          <w:sz w:val="24"/>
          <w:szCs w:val="24"/>
        </w:rPr>
        <w:t xml:space="preserve">Similarly to PM11, PM12 requires adherence to principles on distribution fees and preventing restrictive practices. In PM12 they apply to agreements entered by RUs with SMP and other large RUs operating PSOs or international rail services, with MDMS platforms. The same costs savings per new agreement and renegotiated agreement are assumed as in PM12 and the approach </w:t>
      </w:r>
      <w:r w:rsidR="00C334E4" w:rsidRPr="00A215B0">
        <w:rPr>
          <w:rFonts w:eastAsia="Calibri" w:cs="Arial"/>
          <w:noProof/>
          <w:spacing w:val="-8"/>
          <w:sz w:val="24"/>
          <w:szCs w:val="24"/>
        </w:rPr>
        <w:t>is similar</w:t>
      </w:r>
      <w:r w:rsidRPr="00A215B0">
        <w:rPr>
          <w:rFonts w:eastAsia="Calibri" w:cs="Arial"/>
          <w:noProof/>
          <w:spacing w:val="-8"/>
          <w:sz w:val="24"/>
          <w:szCs w:val="24"/>
        </w:rPr>
        <w:t xml:space="preserve"> for estimating the recurrent adjustment costs savings. </w:t>
      </w:r>
      <w:r w:rsidRPr="00A215B0">
        <w:rPr>
          <w:rFonts w:cs="Arial"/>
          <w:noProof/>
          <w:spacing w:val="-8"/>
          <w:sz w:val="24"/>
          <w:szCs w:val="24"/>
        </w:rPr>
        <w:t xml:space="preserve">The distribution of costs savings between </w:t>
      </w:r>
      <w:r w:rsidR="001B7FC7">
        <w:rPr>
          <w:rFonts w:cs="Arial"/>
          <w:noProof/>
          <w:spacing w:val="-8"/>
          <w:sz w:val="24"/>
          <w:szCs w:val="24"/>
        </w:rPr>
        <w:t>non-SME</w:t>
      </w:r>
      <w:r w:rsidRPr="00A215B0">
        <w:rPr>
          <w:rFonts w:cs="Arial"/>
          <w:noProof/>
          <w:spacing w:val="-8"/>
          <w:sz w:val="24"/>
          <w:szCs w:val="24"/>
        </w:rPr>
        <w:t xml:space="preserve"> companies and SMEs follows the share of SMEs within each group (i.e.  7% for PSOs and cross-border </w:t>
      </w:r>
      <w:r w:rsidR="00825418">
        <w:rPr>
          <w:rFonts w:cs="Arial"/>
          <w:noProof/>
          <w:spacing w:val="-8"/>
          <w:sz w:val="24"/>
          <w:szCs w:val="24"/>
        </w:rPr>
        <w:t>RUs</w:t>
      </w:r>
      <w:r w:rsidRPr="00A215B0">
        <w:rPr>
          <w:rFonts w:cs="Arial"/>
          <w:noProof/>
          <w:spacing w:val="-8"/>
          <w:sz w:val="24"/>
          <w:szCs w:val="24"/>
        </w:rPr>
        <w:t xml:space="preserve">, and </w:t>
      </w:r>
      <w:r w:rsidR="00F76F50">
        <w:rPr>
          <w:rFonts w:cs="Arial"/>
          <w:noProof/>
          <w:spacing w:val="-8"/>
          <w:sz w:val="24"/>
          <w:szCs w:val="24"/>
        </w:rPr>
        <w:t>56</w:t>
      </w:r>
      <w:r w:rsidRPr="00A215B0">
        <w:rPr>
          <w:rFonts w:cs="Arial"/>
          <w:noProof/>
          <w:spacing w:val="-8"/>
          <w:sz w:val="24"/>
          <w:szCs w:val="24"/>
        </w:rPr>
        <w:t>% for B2B and B2C MDMS platforms).</w:t>
      </w:r>
    </w:p>
    <w:p w14:paraId="08C0E17C" w14:textId="77777777" w:rsidR="004F29D8" w:rsidRDefault="004F29D8" w:rsidP="004F29D8">
      <w:pPr>
        <w:pStyle w:val="Nornal"/>
        <w:keepNext/>
        <w:spacing w:after="240" w:line="240" w:lineRule="auto"/>
        <w:rPr>
          <w:rFonts w:cs="Arial"/>
          <w:i/>
          <w:iCs/>
          <w:noProof/>
          <w:spacing w:val="-8"/>
          <w:sz w:val="24"/>
          <w:szCs w:val="24"/>
        </w:rPr>
      </w:pPr>
      <w:r>
        <w:rPr>
          <w:rFonts w:cs="Arial"/>
          <w:i/>
          <w:iCs/>
          <w:noProof/>
          <w:spacing w:val="-8"/>
          <w:sz w:val="24"/>
          <w:szCs w:val="24"/>
        </w:rPr>
        <w:t>Recurrent adjustment</w:t>
      </w:r>
      <w:r w:rsidRPr="00FF2B87">
        <w:rPr>
          <w:rFonts w:cs="Arial"/>
          <w:i/>
          <w:iCs/>
          <w:noProof/>
          <w:spacing w:val="-8"/>
          <w:sz w:val="24"/>
          <w:szCs w:val="24"/>
        </w:rPr>
        <w:t xml:space="preserve"> costs </w:t>
      </w:r>
      <w:r>
        <w:rPr>
          <w:rFonts w:cs="Arial"/>
          <w:i/>
          <w:iCs/>
          <w:noProof/>
          <w:spacing w:val="-8"/>
          <w:sz w:val="24"/>
          <w:szCs w:val="24"/>
        </w:rPr>
        <w:t xml:space="preserve">savings </w:t>
      </w:r>
      <w:r w:rsidRPr="00FF2B87">
        <w:rPr>
          <w:rFonts w:cs="Arial"/>
          <w:i/>
          <w:iCs/>
          <w:noProof/>
          <w:spacing w:val="-8"/>
          <w:sz w:val="24"/>
          <w:szCs w:val="24"/>
        </w:rPr>
        <w:t xml:space="preserve">for </w:t>
      </w:r>
      <w:r>
        <w:rPr>
          <w:rFonts w:cs="Arial"/>
          <w:i/>
          <w:iCs/>
          <w:noProof/>
          <w:spacing w:val="-8"/>
          <w:sz w:val="24"/>
          <w:szCs w:val="24"/>
        </w:rPr>
        <w:t>MDMS platforms</w:t>
      </w:r>
    </w:p>
    <w:p w14:paraId="6A96F868" w14:textId="34387F8A" w:rsidR="004F29D8" w:rsidRPr="0080196C" w:rsidRDefault="004F29D8" w:rsidP="004F29D8">
      <w:pPr>
        <w:pStyle w:val="TableParagraph"/>
        <w:keepNext/>
        <w:spacing w:after="240"/>
        <w:ind w:right="71"/>
        <w:jc w:val="both"/>
        <w:rPr>
          <w:noProof/>
          <w:spacing w:val="-8"/>
          <w:sz w:val="24"/>
          <w:szCs w:val="24"/>
        </w:rPr>
      </w:pPr>
      <w:r w:rsidRPr="0080196C">
        <w:rPr>
          <w:noProof/>
          <w:spacing w:val="-8"/>
          <w:sz w:val="24"/>
          <w:szCs w:val="24"/>
        </w:rPr>
        <w:t xml:space="preserve">The </w:t>
      </w:r>
      <w:r>
        <w:rPr>
          <w:noProof/>
          <w:spacing w:val="-8"/>
          <w:sz w:val="24"/>
          <w:szCs w:val="24"/>
        </w:rPr>
        <w:t>adjustment costs savings for MDMS platforms due to PM1</w:t>
      </w:r>
      <w:r w:rsidR="001D50B1">
        <w:rPr>
          <w:noProof/>
          <w:spacing w:val="-8"/>
          <w:sz w:val="24"/>
          <w:szCs w:val="24"/>
        </w:rPr>
        <w:t>2</w:t>
      </w:r>
      <w:r>
        <w:rPr>
          <w:noProof/>
          <w:spacing w:val="-8"/>
          <w:sz w:val="24"/>
          <w:szCs w:val="24"/>
        </w:rPr>
        <w:t xml:space="preserve"> in 2028, 2030, 2040 and 2050 relative to the baseline are provided in the table below. The table also includes a split between the costs savings corresponding to </w:t>
      </w:r>
      <w:r w:rsidR="001B7FC7">
        <w:rPr>
          <w:noProof/>
          <w:spacing w:val="-8"/>
          <w:sz w:val="24"/>
          <w:szCs w:val="24"/>
        </w:rPr>
        <w:t>non-SME</w:t>
      </w:r>
      <w:r>
        <w:rPr>
          <w:noProof/>
          <w:spacing w:val="-8"/>
          <w:sz w:val="24"/>
          <w:szCs w:val="24"/>
        </w:rPr>
        <w:t xml:space="preserve"> MDMS platforms and SMEs.  </w:t>
      </w:r>
    </w:p>
    <w:p w14:paraId="3CC4ADFC" w14:textId="07E6A75B" w:rsidR="004F29D8" w:rsidRPr="00AE1438" w:rsidRDefault="004F29D8" w:rsidP="00AE1438">
      <w:pPr>
        <w:keepNext/>
        <w:tabs>
          <w:tab w:val="left" w:pos="1134"/>
        </w:tabs>
        <w:jc w:val="both"/>
        <w:rPr>
          <w:i/>
          <w:noProof/>
          <w:sz w:val="22"/>
          <w:szCs w:val="22"/>
        </w:rPr>
      </w:pPr>
      <w:r w:rsidRPr="00AE1438">
        <w:rPr>
          <w:i/>
          <w:noProof/>
          <w:sz w:val="22"/>
          <w:szCs w:val="22"/>
        </w:rPr>
        <w:t xml:space="preserve">Table </w:t>
      </w:r>
      <w:r w:rsidRPr="00AE1438">
        <w:rPr>
          <w:i/>
          <w:noProof/>
          <w:sz w:val="22"/>
          <w:szCs w:val="22"/>
        </w:rPr>
        <w:fldChar w:fldCharType="begin"/>
      </w:r>
      <w:r w:rsidRPr="00AE1438">
        <w:rPr>
          <w:i/>
          <w:noProof/>
          <w:sz w:val="22"/>
          <w:szCs w:val="22"/>
        </w:rPr>
        <w:instrText xml:space="preserve"> SEQ Table \* ARABIC </w:instrText>
      </w:r>
      <w:r w:rsidRPr="00AE1438">
        <w:rPr>
          <w:i/>
          <w:noProof/>
          <w:sz w:val="22"/>
          <w:szCs w:val="22"/>
        </w:rPr>
        <w:fldChar w:fldCharType="separate"/>
      </w:r>
      <w:r w:rsidR="0055391F">
        <w:rPr>
          <w:i/>
          <w:noProof/>
          <w:sz w:val="22"/>
          <w:szCs w:val="22"/>
        </w:rPr>
        <w:t>110</w:t>
      </w:r>
      <w:r w:rsidRPr="00AE1438">
        <w:rPr>
          <w:i/>
          <w:noProof/>
          <w:sz w:val="22"/>
          <w:szCs w:val="22"/>
        </w:rPr>
        <w:fldChar w:fldCharType="end"/>
      </w:r>
      <w:r w:rsidRPr="00AE1438">
        <w:rPr>
          <w:i/>
          <w:noProof/>
          <w:sz w:val="22"/>
          <w:szCs w:val="22"/>
        </w:rPr>
        <w:t>: Adjustment costs savings for MDMS platforms due to PM1</w:t>
      </w:r>
      <w:r w:rsidR="001D50B1" w:rsidRPr="00AE1438">
        <w:rPr>
          <w:i/>
          <w:noProof/>
          <w:sz w:val="22"/>
          <w:szCs w:val="22"/>
        </w:rPr>
        <w:t>2</w:t>
      </w:r>
      <w:r w:rsidRPr="00AE1438">
        <w:rPr>
          <w:i/>
          <w:noProof/>
          <w:sz w:val="22"/>
          <w:szCs w:val="22"/>
        </w:rPr>
        <w:t xml:space="preserve"> in 2028, 2030, 2040 and 2050 relative to the baseline </w:t>
      </w:r>
    </w:p>
    <w:tbl>
      <w:tblPr>
        <w:tblW w:w="5000" w:type="pct"/>
        <w:tblLayout w:type="fixed"/>
        <w:tblLook w:val="04A0" w:firstRow="1" w:lastRow="0" w:firstColumn="1" w:lastColumn="0" w:noHBand="0" w:noVBand="1"/>
      </w:tblPr>
      <w:tblGrid>
        <w:gridCol w:w="5535"/>
        <w:gridCol w:w="1016"/>
        <w:gridCol w:w="1018"/>
        <w:gridCol w:w="1016"/>
        <w:gridCol w:w="1018"/>
      </w:tblGrid>
      <w:tr w:rsidR="005909C2" w:rsidRPr="007C2348" w14:paraId="5986E375" w14:textId="77777777" w:rsidTr="00F107E8">
        <w:trPr>
          <w:trHeight w:val="255"/>
          <w:tblHeader/>
        </w:trPr>
        <w:tc>
          <w:tcPr>
            <w:tcW w:w="2882" w:type="pct"/>
            <w:tcBorders>
              <w:top w:val="single" w:sz="4" w:space="0" w:color="auto"/>
              <w:left w:val="single" w:sz="4" w:space="0" w:color="auto"/>
              <w:bottom w:val="single" w:sz="4" w:space="0" w:color="auto"/>
              <w:right w:val="single" w:sz="4" w:space="0" w:color="auto"/>
            </w:tcBorders>
            <w:shd w:val="clear" w:color="auto" w:fill="0070C0"/>
            <w:noWrap/>
            <w:hideMark/>
          </w:tcPr>
          <w:p w14:paraId="4B25FAB1" w14:textId="77777777" w:rsidR="005909C2" w:rsidRPr="004E336D" w:rsidRDefault="005909C2" w:rsidP="008A4770">
            <w:pPr>
              <w:keepNext/>
              <w:jc w:val="center"/>
              <w:rPr>
                <w:b/>
                <w:noProof/>
                <w:color w:val="FFFFFF"/>
                <w:sz w:val="20"/>
                <w:szCs w:val="20"/>
              </w:rPr>
            </w:pPr>
            <w:r w:rsidRPr="004E336D">
              <w:rPr>
                <w:b/>
                <w:noProof/>
                <w:color w:val="FFFFFF"/>
                <w:sz w:val="20"/>
                <w:szCs w:val="20"/>
              </w:rPr>
              <w:t> </w:t>
            </w:r>
          </w:p>
        </w:tc>
        <w:tc>
          <w:tcPr>
            <w:tcW w:w="529" w:type="pct"/>
            <w:tcBorders>
              <w:top w:val="single" w:sz="4" w:space="0" w:color="auto"/>
              <w:left w:val="nil"/>
              <w:bottom w:val="single" w:sz="4" w:space="0" w:color="auto"/>
              <w:right w:val="single" w:sz="4" w:space="0" w:color="auto"/>
            </w:tcBorders>
            <w:shd w:val="clear" w:color="auto" w:fill="0070C0"/>
            <w:noWrap/>
            <w:hideMark/>
          </w:tcPr>
          <w:p w14:paraId="0B0F403B" w14:textId="77777777" w:rsidR="005909C2" w:rsidRPr="004E336D" w:rsidRDefault="005909C2" w:rsidP="008A4770">
            <w:pPr>
              <w:keepNext/>
              <w:jc w:val="center"/>
              <w:rPr>
                <w:b/>
                <w:noProof/>
                <w:color w:val="FFFFFF"/>
                <w:sz w:val="20"/>
                <w:szCs w:val="20"/>
              </w:rPr>
            </w:pPr>
            <w:r w:rsidRPr="004E336D">
              <w:rPr>
                <w:b/>
                <w:noProof/>
                <w:color w:val="FFFFFF"/>
                <w:sz w:val="20"/>
                <w:szCs w:val="20"/>
              </w:rPr>
              <w:t>2028</w:t>
            </w:r>
          </w:p>
        </w:tc>
        <w:tc>
          <w:tcPr>
            <w:tcW w:w="530" w:type="pct"/>
            <w:tcBorders>
              <w:top w:val="single" w:sz="4" w:space="0" w:color="auto"/>
              <w:left w:val="nil"/>
              <w:bottom w:val="single" w:sz="4" w:space="0" w:color="auto"/>
              <w:right w:val="single" w:sz="4" w:space="0" w:color="auto"/>
            </w:tcBorders>
            <w:shd w:val="clear" w:color="auto" w:fill="0070C0"/>
            <w:noWrap/>
            <w:hideMark/>
          </w:tcPr>
          <w:p w14:paraId="631FC86F" w14:textId="77777777" w:rsidR="005909C2" w:rsidRPr="004E336D" w:rsidRDefault="005909C2" w:rsidP="008A4770">
            <w:pPr>
              <w:keepNext/>
              <w:jc w:val="center"/>
              <w:rPr>
                <w:b/>
                <w:noProof/>
                <w:color w:val="FFFFFF"/>
                <w:sz w:val="20"/>
                <w:szCs w:val="20"/>
              </w:rPr>
            </w:pPr>
            <w:r w:rsidRPr="004E336D">
              <w:rPr>
                <w:b/>
                <w:noProof/>
                <w:color w:val="FFFFFF"/>
                <w:sz w:val="20"/>
                <w:szCs w:val="20"/>
              </w:rPr>
              <w:t>2030</w:t>
            </w:r>
          </w:p>
        </w:tc>
        <w:tc>
          <w:tcPr>
            <w:tcW w:w="529" w:type="pct"/>
            <w:tcBorders>
              <w:top w:val="single" w:sz="4" w:space="0" w:color="auto"/>
              <w:left w:val="nil"/>
              <w:bottom w:val="single" w:sz="4" w:space="0" w:color="auto"/>
              <w:right w:val="single" w:sz="4" w:space="0" w:color="auto"/>
            </w:tcBorders>
            <w:shd w:val="clear" w:color="auto" w:fill="0070C0"/>
            <w:noWrap/>
            <w:hideMark/>
          </w:tcPr>
          <w:p w14:paraId="55594295" w14:textId="77777777" w:rsidR="005909C2" w:rsidRPr="004E336D" w:rsidRDefault="005909C2" w:rsidP="008A4770">
            <w:pPr>
              <w:keepNext/>
              <w:jc w:val="center"/>
              <w:rPr>
                <w:b/>
                <w:noProof/>
                <w:color w:val="FFFFFF"/>
                <w:sz w:val="20"/>
                <w:szCs w:val="20"/>
              </w:rPr>
            </w:pPr>
            <w:r w:rsidRPr="004E336D">
              <w:rPr>
                <w:b/>
                <w:noProof/>
                <w:color w:val="FFFFFF"/>
                <w:sz w:val="20"/>
                <w:szCs w:val="20"/>
              </w:rPr>
              <w:t>2040</w:t>
            </w:r>
          </w:p>
        </w:tc>
        <w:tc>
          <w:tcPr>
            <w:tcW w:w="530" w:type="pct"/>
            <w:tcBorders>
              <w:top w:val="single" w:sz="4" w:space="0" w:color="auto"/>
              <w:left w:val="nil"/>
              <w:bottom w:val="single" w:sz="4" w:space="0" w:color="auto"/>
              <w:right w:val="single" w:sz="4" w:space="0" w:color="auto"/>
            </w:tcBorders>
            <w:shd w:val="clear" w:color="auto" w:fill="0070C0"/>
            <w:noWrap/>
            <w:hideMark/>
          </w:tcPr>
          <w:p w14:paraId="5C5C3C6C" w14:textId="77777777" w:rsidR="005909C2" w:rsidRPr="004E336D" w:rsidRDefault="005909C2" w:rsidP="008A4770">
            <w:pPr>
              <w:keepNext/>
              <w:jc w:val="center"/>
              <w:rPr>
                <w:b/>
                <w:noProof/>
                <w:color w:val="FFFFFF"/>
                <w:sz w:val="20"/>
                <w:szCs w:val="20"/>
              </w:rPr>
            </w:pPr>
            <w:r w:rsidRPr="004E336D">
              <w:rPr>
                <w:b/>
                <w:noProof/>
                <w:color w:val="FFFFFF"/>
                <w:sz w:val="20"/>
                <w:szCs w:val="20"/>
              </w:rPr>
              <w:t>2050</w:t>
            </w:r>
          </w:p>
        </w:tc>
      </w:tr>
      <w:tr w:rsidR="00F107E8" w:rsidRPr="007C2348" w14:paraId="1D8C64C2" w14:textId="77777777" w:rsidTr="00F107E8">
        <w:trPr>
          <w:trHeight w:val="225"/>
        </w:trPr>
        <w:tc>
          <w:tcPr>
            <w:tcW w:w="2882" w:type="pct"/>
            <w:tcBorders>
              <w:top w:val="nil"/>
              <w:left w:val="single" w:sz="4" w:space="0" w:color="auto"/>
              <w:bottom w:val="single" w:sz="4" w:space="0" w:color="auto"/>
              <w:right w:val="single" w:sz="4" w:space="0" w:color="auto"/>
            </w:tcBorders>
            <w:noWrap/>
            <w:hideMark/>
          </w:tcPr>
          <w:p w14:paraId="26D0F2BF" w14:textId="77777777" w:rsidR="00F107E8" w:rsidRPr="004E336D" w:rsidRDefault="00F107E8" w:rsidP="00F107E8">
            <w:pPr>
              <w:rPr>
                <w:noProof/>
                <w:color w:val="000000"/>
                <w:sz w:val="20"/>
                <w:szCs w:val="20"/>
              </w:rPr>
            </w:pPr>
            <w:r w:rsidRPr="004E336D">
              <w:rPr>
                <w:noProof/>
                <w:color w:val="000000"/>
                <w:sz w:val="20"/>
                <w:szCs w:val="20"/>
              </w:rPr>
              <w:t>Cost savings per new agreement (EUR)</w:t>
            </w:r>
          </w:p>
        </w:tc>
        <w:tc>
          <w:tcPr>
            <w:tcW w:w="529" w:type="pct"/>
            <w:tcBorders>
              <w:top w:val="nil"/>
              <w:left w:val="nil"/>
              <w:bottom w:val="single" w:sz="4" w:space="0" w:color="auto"/>
              <w:right w:val="single" w:sz="4" w:space="0" w:color="auto"/>
            </w:tcBorders>
            <w:shd w:val="clear" w:color="auto" w:fill="FFFFFF" w:themeFill="background1"/>
            <w:noWrap/>
            <w:hideMark/>
          </w:tcPr>
          <w:p w14:paraId="38FD4ACD" w14:textId="1E501CB5" w:rsidR="00F107E8" w:rsidRPr="00F107E8" w:rsidRDefault="00F107E8" w:rsidP="00F107E8">
            <w:pPr>
              <w:jc w:val="right"/>
              <w:rPr>
                <w:noProof/>
                <w:sz w:val="20"/>
                <w:szCs w:val="20"/>
              </w:rPr>
            </w:pPr>
            <w:r w:rsidRPr="00F107E8">
              <w:rPr>
                <w:noProof/>
                <w:sz w:val="20"/>
                <w:szCs w:val="20"/>
              </w:rPr>
              <w:t>2,000</w:t>
            </w:r>
          </w:p>
        </w:tc>
        <w:tc>
          <w:tcPr>
            <w:tcW w:w="530" w:type="pct"/>
            <w:tcBorders>
              <w:top w:val="nil"/>
              <w:left w:val="nil"/>
              <w:bottom w:val="single" w:sz="4" w:space="0" w:color="auto"/>
              <w:right w:val="single" w:sz="4" w:space="0" w:color="auto"/>
            </w:tcBorders>
            <w:shd w:val="clear" w:color="auto" w:fill="FFFFFF" w:themeFill="background1"/>
            <w:noWrap/>
            <w:hideMark/>
          </w:tcPr>
          <w:p w14:paraId="682B63E6" w14:textId="026A1C3B" w:rsidR="00F107E8" w:rsidRPr="00F107E8" w:rsidRDefault="00F107E8" w:rsidP="00F107E8">
            <w:pPr>
              <w:jc w:val="right"/>
              <w:rPr>
                <w:noProof/>
                <w:sz w:val="20"/>
                <w:szCs w:val="20"/>
              </w:rPr>
            </w:pPr>
            <w:r w:rsidRPr="00F107E8">
              <w:rPr>
                <w:noProof/>
                <w:sz w:val="20"/>
                <w:szCs w:val="20"/>
              </w:rPr>
              <w:t>2,000</w:t>
            </w:r>
          </w:p>
        </w:tc>
        <w:tc>
          <w:tcPr>
            <w:tcW w:w="529" w:type="pct"/>
            <w:tcBorders>
              <w:top w:val="nil"/>
              <w:left w:val="nil"/>
              <w:bottom w:val="single" w:sz="4" w:space="0" w:color="auto"/>
              <w:right w:val="single" w:sz="4" w:space="0" w:color="auto"/>
            </w:tcBorders>
            <w:shd w:val="clear" w:color="auto" w:fill="FFFFFF" w:themeFill="background1"/>
            <w:noWrap/>
            <w:hideMark/>
          </w:tcPr>
          <w:p w14:paraId="63A46F0E" w14:textId="3BC9BA0F" w:rsidR="00F107E8" w:rsidRPr="00F107E8" w:rsidRDefault="00F107E8" w:rsidP="00F107E8">
            <w:pPr>
              <w:jc w:val="right"/>
              <w:rPr>
                <w:noProof/>
                <w:sz w:val="20"/>
                <w:szCs w:val="20"/>
              </w:rPr>
            </w:pPr>
            <w:r w:rsidRPr="00F107E8">
              <w:rPr>
                <w:noProof/>
                <w:sz w:val="20"/>
                <w:szCs w:val="20"/>
              </w:rPr>
              <w:t>2,000</w:t>
            </w:r>
          </w:p>
        </w:tc>
        <w:tc>
          <w:tcPr>
            <w:tcW w:w="530" w:type="pct"/>
            <w:tcBorders>
              <w:top w:val="nil"/>
              <w:left w:val="nil"/>
              <w:bottom w:val="single" w:sz="4" w:space="0" w:color="auto"/>
              <w:right w:val="single" w:sz="4" w:space="0" w:color="auto"/>
            </w:tcBorders>
            <w:shd w:val="clear" w:color="auto" w:fill="FFFFFF" w:themeFill="background1"/>
            <w:noWrap/>
            <w:hideMark/>
          </w:tcPr>
          <w:p w14:paraId="364559A2" w14:textId="44F394E3" w:rsidR="00F107E8" w:rsidRPr="00F107E8" w:rsidRDefault="00F107E8" w:rsidP="00F107E8">
            <w:pPr>
              <w:jc w:val="right"/>
              <w:rPr>
                <w:noProof/>
                <w:sz w:val="20"/>
                <w:szCs w:val="20"/>
              </w:rPr>
            </w:pPr>
            <w:r w:rsidRPr="00F107E8">
              <w:rPr>
                <w:noProof/>
                <w:sz w:val="20"/>
                <w:szCs w:val="20"/>
              </w:rPr>
              <w:t>2,000</w:t>
            </w:r>
          </w:p>
        </w:tc>
      </w:tr>
      <w:tr w:rsidR="00F107E8" w:rsidRPr="007C2348" w14:paraId="36CDB3A0" w14:textId="77777777" w:rsidTr="00F107E8">
        <w:trPr>
          <w:trHeight w:val="225"/>
        </w:trPr>
        <w:tc>
          <w:tcPr>
            <w:tcW w:w="2882" w:type="pct"/>
            <w:tcBorders>
              <w:top w:val="nil"/>
              <w:left w:val="single" w:sz="4" w:space="0" w:color="auto"/>
              <w:bottom w:val="single" w:sz="4" w:space="0" w:color="auto"/>
              <w:right w:val="single" w:sz="4" w:space="0" w:color="auto"/>
            </w:tcBorders>
            <w:noWrap/>
            <w:hideMark/>
          </w:tcPr>
          <w:p w14:paraId="2E023634" w14:textId="77777777" w:rsidR="00F107E8" w:rsidRPr="004E336D" w:rsidRDefault="00F107E8" w:rsidP="00F107E8">
            <w:pPr>
              <w:rPr>
                <w:noProof/>
                <w:color w:val="000000"/>
                <w:sz w:val="20"/>
                <w:szCs w:val="20"/>
              </w:rPr>
            </w:pPr>
            <w:r w:rsidRPr="004E336D">
              <w:rPr>
                <w:noProof/>
                <w:color w:val="000000"/>
                <w:sz w:val="20"/>
                <w:szCs w:val="20"/>
              </w:rPr>
              <w:t>Cost savings per renegotiated agreement (EUR)</w:t>
            </w:r>
          </w:p>
        </w:tc>
        <w:tc>
          <w:tcPr>
            <w:tcW w:w="529" w:type="pct"/>
            <w:tcBorders>
              <w:top w:val="nil"/>
              <w:left w:val="nil"/>
              <w:bottom w:val="single" w:sz="4" w:space="0" w:color="auto"/>
              <w:right w:val="single" w:sz="4" w:space="0" w:color="auto"/>
            </w:tcBorders>
            <w:shd w:val="clear" w:color="auto" w:fill="FFFFFF" w:themeFill="background1"/>
            <w:noWrap/>
            <w:hideMark/>
          </w:tcPr>
          <w:p w14:paraId="25E6268F" w14:textId="4FA3A53A" w:rsidR="00F107E8" w:rsidRPr="00F107E8" w:rsidRDefault="00F107E8" w:rsidP="00F107E8">
            <w:pPr>
              <w:jc w:val="right"/>
              <w:rPr>
                <w:noProof/>
                <w:sz w:val="20"/>
                <w:szCs w:val="20"/>
              </w:rPr>
            </w:pPr>
            <w:r w:rsidRPr="00F107E8">
              <w:rPr>
                <w:noProof/>
                <w:sz w:val="20"/>
                <w:szCs w:val="20"/>
              </w:rPr>
              <w:t>1,183</w:t>
            </w:r>
          </w:p>
        </w:tc>
        <w:tc>
          <w:tcPr>
            <w:tcW w:w="530" w:type="pct"/>
            <w:tcBorders>
              <w:top w:val="nil"/>
              <w:left w:val="nil"/>
              <w:bottom w:val="single" w:sz="4" w:space="0" w:color="auto"/>
              <w:right w:val="single" w:sz="4" w:space="0" w:color="auto"/>
            </w:tcBorders>
            <w:shd w:val="clear" w:color="auto" w:fill="FFFFFF" w:themeFill="background1"/>
            <w:noWrap/>
            <w:hideMark/>
          </w:tcPr>
          <w:p w14:paraId="0962023C" w14:textId="540676F7" w:rsidR="00F107E8" w:rsidRPr="00F107E8" w:rsidRDefault="00F107E8" w:rsidP="00F107E8">
            <w:pPr>
              <w:jc w:val="right"/>
              <w:rPr>
                <w:noProof/>
                <w:sz w:val="20"/>
                <w:szCs w:val="20"/>
              </w:rPr>
            </w:pPr>
            <w:r w:rsidRPr="00F107E8">
              <w:rPr>
                <w:noProof/>
                <w:sz w:val="20"/>
                <w:szCs w:val="20"/>
              </w:rPr>
              <w:t>1,183</w:t>
            </w:r>
          </w:p>
        </w:tc>
        <w:tc>
          <w:tcPr>
            <w:tcW w:w="529" w:type="pct"/>
            <w:tcBorders>
              <w:top w:val="nil"/>
              <w:left w:val="nil"/>
              <w:bottom w:val="single" w:sz="4" w:space="0" w:color="auto"/>
              <w:right w:val="single" w:sz="4" w:space="0" w:color="auto"/>
            </w:tcBorders>
            <w:shd w:val="clear" w:color="auto" w:fill="FFFFFF" w:themeFill="background1"/>
            <w:noWrap/>
            <w:hideMark/>
          </w:tcPr>
          <w:p w14:paraId="0FFC79D0" w14:textId="170EB3DB" w:rsidR="00F107E8" w:rsidRPr="00F107E8" w:rsidRDefault="00F107E8" w:rsidP="00F107E8">
            <w:pPr>
              <w:jc w:val="right"/>
              <w:rPr>
                <w:noProof/>
                <w:sz w:val="20"/>
                <w:szCs w:val="20"/>
              </w:rPr>
            </w:pPr>
            <w:r w:rsidRPr="00F107E8">
              <w:rPr>
                <w:noProof/>
                <w:sz w:val="20"/>
                <w:szCs w:val="20"/>
              </w:rPr>
              <w:t>1,183</w:t>
            </w:r>
          </w:p>
        </w:tc>
        <w:tc>
          <w:tcPr>
            <w:tcW w:w="530" w:type="pct"/>
            <w:tcBorders>
              <w:top w:val="nil"/>
              <w:left w:val="nil"/>
              <w:bottom w:val="single" w:sz="4" w:space="0" w:color="auto"/>
              <w:right w:val="single" w:sz="4" w:space="0" w:color="auto"/>
            </w:tcBorders>
            <w:shd w:val="clear" w:color="auto" w:fill="FFFFFF" w:themeFill="background1"/>
            <w:noWrap/>
            <w:hideMark/>
          </w:tcPr>
          <w:p w14:paraId="63D9D503" w14:textId="2A168F08" w:rsidR="00F107E8" w:rsidRPr="00F107E8" w:rsidRDefault="00F107E8" w:rsidP="00F107E8">
            <w:pPr>
              <w:jc w:val="right"/>
              <w:rPr>
                <w:noProof/>
                <w:sz w:val="20"/>
                <w:szCs w:val="20"/>
              </w:rPr>
            </w:pPr>
            <w:r w:rsidRPr="00F107E8">
              <w:rPr>
                <w:noProof/>
                <w:sz w:val="20"/>
                <w:szCs w:val="20"/>
              </w:rPr>
              <w:t>1,183</w:t>
            </w:r>
          </w:p>
        </w:tc>
      </w:tr>
      <w:tr w:rsidR="00F107E8" w:rsidRPr="007C2348" w14:paraId="3209703A" w14:textId="77777777" w:rsidTr="00F107E8">
        <w:trPr>
          <w:trHeight w:val="225"/>
        </w:trPr>
        <w:tc>
          <w:tcPr>
            <w:tcW w:w="2882" w:type="pct"/>
            <w:tcBorders>
              <w:top w:val="nil"/>
              <w:left w:val="single" w:sz="4" w:space="0" w:color="auto"/>
              <w:bottom w:val="single" w:sz="4" w:space="0" w:color="auto"/>
              <w:right w:val="single" w:sz="4" w:space="0" w:color="auto"/>
            </w:tcBorders>
            <w:noWrap/>
            <w:hideMark/>
          </w:tcPr>
          <w:p w14:paraId="0C70CB4F" w14:textId="77777777" w:rsidR="00F107E8" w:rsidRPr="004E336D" w:rsidRDefault="00F107E8" w:rsidP="00F107E8">
            <w:pPr>
              <w:rPr>
                <w:b/>
                <w:noProof/>
                <w:color w:val="000000"/>
                <w:sz w:val="20"/>
                <w:szCs w:val="20"/>
              </w:rPr>
            </w:pPr>
            <w:r w:rsidRPr="004E336D">
              <w:rPr>
                <w:b/>
                <w:noProof/>
                <w:color w:val="000000"/>
                <w:sz w:val="20"/>
                <w:szCs w:val="20"/>
              </w:rPr>
              <w:t>PO1</w:t>
            </w:r>
          </w:p>
        </w:tc>
        <w:tc>
          <w:tcPr>
            <w:tcW w:w="529" w:type="pct"/>
            <w:tcBorders>
              <w:top w:val="nil"/>
              <w:left w:val="nil"/>
              <w:bottom w:val="single" w:sz="4" w:space="0" w:color="auto"/>
              <w:right w:val="single" w:sz="4" w:space="0" w:color="auto"/>
            </w:tcBorders>
            <w:shd w:val="clear" w:color="auto" w:fill="FFFFFF" w:themeFill="background1"/>
            <w:noWrap/>
            <w:hideMark/>
          </w:tcPr>
          <w:p w14:paraId="5E34426E" w14:textId="3E7A01C5" w:rsidR="00F107E8" w:rsidRPr="00F107E8" w:rsidRDefault="00F107E8" w:rsidP="00F107E8">
            <w:pPr>
              <w:rPr>
                <w:noProof/>
                <w:sz w:val="20"/>
                <w:szCs w:val="20"/>
              </w:rPr>
            </w:pPr>
            <w:r w:rsidRPr="00F107E8">
              <w:rPr>
                <w:noProof/>
                <w:sz w:val="20"/>
                <w:szCs w:val="20"/>
              </w:rPr>
              <w:t> </w:t>
            </w:r>
          </w:p>
        </w:tc>
        <w:tc>
          <w:tcPr>
            <w:tcW w:w="530" w:type="pct"/>
            <w:tcBorders>
              <w:top w:val="nil"/>
              <w:left w:val="nil"/>
              <w:bottom w:val="single" w:sz="4" w:space="0" w:color="auto"/>
              <w:right w:val="single" w:sz="4" w:space="0" w:color="auto"/>
            </w:tcBorders>
            <w:shd w:val="clear" w:color="auto" w:fill="FFFFFF" w:themeFill="background1"/>
            <w:noWrap/>
            <w:hideMark/>
          </w:tcPr>
          <w:p w14:paraId="15E560A9" w14:textId="69A2B091" w:rsidR="00F107E8" w:rsidRPr="00F107E8" w:rsidRDefault="00F107E8" w:rsidP="00F107E8">
            <w:pPr>
              <w:rPr>
                <w:noProof/>
                <w:sz w:val="20"/>
                <w:szCs w:val="20"/>
              </w:rPr>
            </w:pPr>
            <w:r w:rsidRPr="00F107E8">
              <w:rPr>
                <w:noProof/>
                <w:sz w:val="20"/>
                <w:szCs w:val="20"/>
              </w:rPr>
              <w:t> </w:t>
            </w:r>
          </w:p>
        </w:tc>
        <w:tc>
          <w:tcPr>
            <w:tcW w:w="529" w:type="pct"/>
            <w:tcBorders>
              <w:top w:val="nil"/>
              <w:left w:val="nil"/>
              <w:bottom w:val="single" w:sz="4" w:space="0" w:color="auto"/>
              <w:right w:val="single" w:sz="4" w:space="0" w:color="auto"/>
            </w:tcBorders>
            <w:shd w:val="clear" w:color="auto" w:fill="FFFFFF" w:themeFill="background1"/>
            <w:noWrap/>
            <w:hideMark/>
          </w:tcPr>
          <w:p w14:paraId="1BBA000C" w14:textId="215C87E4" w:rsidR="00F107E8" w:rsidRPr="00F107E8" w:rsidRDefault="00F107E8" w:rsidP="00F107E8">
            <w:pPr>
              <w:rPr>
                <w:noProof/>
                <w:sz w:val="20"/>
                <w:szCs w:val="20"/>
              </w:rPr>
            </w:pPr>
            <w:r w:rsidRPr="00F107E8">
              <w:rPr>
                <w:noProof/>
                <w:sz w:val="20"/>
                <w:szCs w:val="20"/>
              </w:rPr>
              <w:t> </w:t>
            </w:r>
          </w:p>
        </w:tc>
        <w:tc>
          <w:tcPr>
            <w:tcW w:w="530" w:type="pct"/>
            <w:tcBorders>
              <w:top w:val="nil"/>
              <w:left w:val="nil"/>
              <w:bottom w:val="single" w:sz="4" w:space="0" w:color="auto"/>
              <w:right w:val="single" w:sz="4" w:space="0" w:color="auto"/>
            </w:tcBorders>
            <w:shd w:val="clear" w:color="auto" w:fill="FFFFFF" w:themeFill="background1"/>
            <w:noWrap/>
            <w:hideMark/>
          </w:tcPr>
          <w:p w14:paraId="49A09F3B" w14:textId="75D5E7CD" w:rsidR="00F107E8" w:rsidRPr="00F107E8" w:rsidRDefault="00F107E8" w:rsidP="00F107E8">
            <w:pPr>
              <w:rPr>
                <w:noProof/>
                <w:sz w:val="20"/>
                <w:szCs w:val="20"/>
              </w:rPr>
            </w:pPr>
            <w:r w:rsidRPr="00F107E8">
              <w:rPr>
                <w:noProof/>
                <w:sz w:val="20"/>
                <w:szCs w:val="20"/>
              </w:rPr>
              <w:t> </w:t>
            </w:r>
          </w:p>
        </w:tc>
      </w:tr>
      <w:tr w:rsidR="00F107E8" w:rsidRPr="007C2348" w14:paraId="53C28E85" w14:textId="77777777" w:rsidTr="00F107E8">
        <w:trPr>
          <w:trHeight w:val="255"/>
        </w:trPr>
        <w:tc>
          <w:tcPr>
            <w:tcW w:w="2882" w:type="pct"/>
            <w:tcBorders>
              <w:top w:val="nil"/>
              <w:left w:val="single" w:sz="4" w:space="0" w:color="auto"/>
              <w:bottom w:val="single" w:sz="4" w:space="0" w:color="auto"/>
              <w:right w:val="single" w:sz="4" w:space="0" w:color="auto"/>
            </w:tcBorders>
            <w:noWrap/>
            <w:hideMark/>
          </w:tcPr>
          <w:p w14:paraId="2F233A16" w14:textId="36C72301" w:rsidR="00F107E8" w:rsidRPr="004E336D" w:rsidRDefault="00F107E8" w:rsidP="00F107E8">
            <w:pPr>
              <w:rPr>
                <w:noProof/>
                <w:color w:val="000000"/>
                <w:sz w:val="20"/>
                <w:szCs w:val="20"/>
              </w:rPr>
            </w:pPr>
            <w:r w:rsidRPr="3FCE22BE">
              <w:rPr>
                <w:noProof/>
                <w:color w:val="000000" w:themeColor="text1"/>
                <w:sz w:val="20"/>
                <w:szCs w:val="20"/>
              </w:rPr>
              <w:t xml:space="preserve">New agreements made by </w:t>
            </w:r>
            <w:r>
              <w:rPr>
                <w:noProof/>
                <w:color w:val="000000" w:themeColor="text1"/>
                <w:sz w:val="20"/>
                <w:szCs w:val="20"/>
              </w:rPr>
              <w:t>non-SME</w:t>
            </w:r>
            <w:r w:rsidRPr="3FCE22BE">
              <w:rPr>
                <w:noProof/>
                <w:color w:val="000000" w:themeColor="text1"/>
                <w:sz w:val="20"/>
                <w:szCs w:val="20"/>
              </w:rPr>
              <w:t xml:space="preserve"> platforms (changes relative to the baseline)</w:t>
            </w:r>
          </w:p>
        </w:tc>
        <w:tc>
          <w:tcPr>
            <w:tcW w:w="529" w:type="pct"/>
            <w:tcBorders>
              <w:top w:val="nil"/>
              <w:left w:val="nil"/>
              <w:bottom w:val="single" w:sz="4" w:space="0" w:color="auto"/>
              <w:right w:val="single" w:sz="4" w:space="0" w:color="auto"/>
            </w:tcBorders>
            <w:shd w:val="clear" w:color="auto" w:fill="FFFFFF" w:themeFill="background1"/>
            <w:noWrap/>
            <w:hideMark/>
          </w:tcPr>
          <w:p w14:paraId="75782FBC" w14:textId="2A2AA999" w:rsidR="00F107E8" w:rsidRPr="00F107E8" w:rsidRDefault="00F107E8" w:rsidP="00F107E8">
            <w:pPr>
              <w:jc w:val="right"/>
              <w:rPr>
                <w:noProof/>
                <w:sz w:val="20"/>
                <w:szCs w:val="20"/>
              </w:rPr>
            </w:pPr>
            <w:r w:rsidRPr="00F107E8">
              <w:rPr>
                <w:noProof/>
                <w:sz w:val="20"/>
                <w:szCs w:val="20"/>
              </w:rPr>
              <w:t>0</w:t>
            </w:r>
          </w:p>
        </w:tc>
        <w:tc>
          <w:tcPr>
            <w:tcW w:w="530" w:type="pct"/>
            <w:tcBorders>
              <w:top w:val="nil"/>
              <w:left w:val="nil"/>
              <w:bottom w:val="single" w:sz="4" w:space="0" w:color="auto"/>
              <w:right w:val="single" w:sz="4" w:space="0" w:color="auto"/>
            </w:tcBorders>
            <w:shd w:val="clear" w:color="auto" w:fill="FFFFFF" w:themeFill="background1"/>
            <w:noWrap/>
            <w:hideMark/>
          </w:tcPr>
          <w:p w14:paraId="1ECC4605" w14:textId="41B90B74" w:rsidR="00F107E8" w:rsidRPr="00F107E8" w:rsidRDefault="00F107E8" w:rsidP="00F107E8">
            <w:pPr>
              <w:jc w:val="right"/>
              <w:rPr>
                <w:noProof/>
                <w:sz w:val="20"/>
                <w:szCs w:val="20"/>
              </w:rPr>
            </w:pPr>
            <w:r w:rsidRPr="00F107E8">
              <w:rPr>
                <w:noProof/>
                <w:sz w:val="20"/>
                <w:szCs w:val="20"/>
              </w:rPr>
              <w:t>9</w:t>
            </w:r>
          </w:p>
        </w:tc>
        <w:tc>
          <w:tcPr>
            <w:tcW w:w="529" w:type="pct"/>
            <w:tcBorders>
              <w:top w:val="nil"/>
              <w:left w:val="nil"/>
              <w:bottom w:val="single" w:sz="4" w:space="0" w:color="auto"/>
              <w:right w:val="single" w:sz="4" w:space="0" w:color="auto"/>
            </w:tcBorders>
            <w:shd w:val="clear" w:color="auto" w:fill="FFFFFF" w:themeFill="background1"/>
            <w:noWrap/>
            <w:hideMark/>
          </w:tcPr>
          <w:p w14:paraId="1DA6F813" w14:textId="72F935CF" w:rsidR="00F107E8" w:rsidRPr="00F107E8" w:rsidRDefault="00F107E8" w:rsidP="00F107E8">
            <w:pPr>
              <w:jc w:val="right"/>
              <w:rPr>
                <w:noProof/>
                <w:sz w:val="20"/>
                <w:szCs w:val="20"/>
              </w:rPr>
            </w:pPr>
            <w:r w:rsidRPr="00F107E8">
              <w:rPr>
                <w:noProof/>
                <w:sz w:val="20"/>
                <w:szCs w:val="20"/>
              </w:rPr>
              <w:t>4</w:t>
            </w:r>
          </w:p>
        </w:tc>
        <w:tc>
          <w:tcPr>
            <w:tcW w:w="530" w:type="pct"/>
            <w:tcBorders>
              <w:top w:val="nil"/>
              <w:left w:val="nil"/>
              <w:bottom w:val="single" w:sz="4" w:space="0" w:color="auto"/>
              <w:right w:val="single" w:sz="4" w:space="0" w:color="auto"/>
            </w:tcBorders>
            <w:shd w:val="clear" w:color="auto" w:fill="FFFFFF" w:themeFill="background1"/>
            <w:noWrap/>
            <w:hideMark/>
          </w:tcPr>
          <w:p w14:paraId="2987A49B" w14:textId="5D9229C7" w:rsidR="00F107E8" w:rsidRPr="00F107E8" w:rsidRDefault="00F107E8" w:rsidP="00F107E8">
            <w:pPr>
              <w:jc w:val="right"/>
              <w:rPr>
                <w:noProof/>
                <w:sz w:val="20"/>
                <w:szCs w:val="20"/>
              </w:rPr>
            </w:pPr>
            <w:r w:rsidRPr="00F107E8">
              <w:rPr>
                <w:noProof/>
                <w:sz w:val="20"/>
                <w:szCs w:val="20"/>
              </w:rPr>
              <w:t>0</w:t>
            </w:r>
          </w:p>
        </w:tc>
      </w:tr>
      <w:tr w:rsidR="00F107E8" w:rsidRPr="007C2348" w14:paraId="38799F22" w14:textId="77777777" w:rsidTr="00F107E8">
        <w:trPr>
          <w:trHeight w:val="255"/>
        </w:trPr>
        <w:tc>
          <w:tcPr>
            <w:tcW w:w="2882" w:type="pct"/>
            <w:tcBorders>
              <w:top w:val="nil"/>
              <w:left w:val="single" w:sz="4" w:space="0" w:color="auto"/>
              <w:bottom w:val="single" w:sz="4" w:space="0" w:color="auto"/>
              <w:right w:val="single" w:sz="4" w:space="0" w:color="auto"/>
            </w:tcBorders>
            <w:noWrap/>
            <w:hideMark/>
          </w:tcPr>
          <w:p w14:paraId="69E277B4" w14:textId="77777777" w:rsidR="00F107E8" w:rsidRPr="004E336D" w:rsidRDefault="00F107E8" w:rsidP="00F107E8">
            <w:pPr>
              <w:rPr>
                <w:noProof/>
                <w:color w:val="000000"/>
                <w:sz w:val="20"/>
                <w:szCs w:val="20"/>
              </w:rPr>
            </w:pPr>
            <w:r w:rsidRPr="3FCE22BE">
              <w:rPr>
                <w:noProof/>
                <w:color w:val="000000" w:themeColor="text1"/>
                <w:sz w:val="20"/>
                <w:szCs w:val="20"/>
              </w:rPr>
              <w:t>New agreements made by SME platforms (changes relative to the baseline)</w:t>
            </w:r>
          </w:p>
        </w:tc>
        <w:tc>
          <w:tcPr>
            <w:tcW w:w="529" w:type="pct"/>
            <w:tcBorders>
              <w:top w:val="nil"/>
              <w:left w:val="nil"/>
              <w:bottom w:val="single" w:sz="4" w:space="0" w:color="auto"/>
              <w:right w:val="single" w:sz="4" w:space="0" w:color="auto"/>
            </w:tcBorders>
            <w:shd w:val="clear" w:color="auto" w:fill="FFFFFF" w:themeFill="background1"/>
            <w:noWrap/>
            <w:hideMark/>
          </w:tcPr>
          <w:p w14:paraId="30172A1B" w14:textId="4B59A091" w:rsidR="00F107E8" w:rsidRPr="00F107E8" w:rsidRDefault="00F107E8" w:rsidP="00F107E8">
            <w:pPr>
              <w:jc w:val="right"/>
              <w:rPr>
                <w:noProof/>
                <w:sz w:val="20"/>
                <w:szCs w:val="20"/>
              </w:rPr>
            </w:pPr>
            <w:r w:rsidRPr="00F107E8">
              <w:rPr>
                <w:noProof/>
                <w:sz w:val="20"/>
                <w:szCs w:val="20"/>
              </w:rPr>
              <w:t>0</w:t>
            </w:r>
          </w:p>
        </w:tc>
        <w:tc>
          <w:tcPr>
            <w:tcW w:w="530" w:type="pct"/>
            <w:tcBorders>
              <w:top w:val="nil"/>
              <w:left w:val="nil"/>
              <w:bottom w:val="single" w:sz="4" w:space="0" w:color="auto"/>
              <w:right w:val="single" w:sz="4" w:space="0" w:color="auto"/>
            </w:tcBorders>
            <w:shd w:val="clear" w:color="auto" w:fill="FFFFFF" w:themeFill="background1"/>
            <w:noWrap/>
            <w:hideMark/>
          </w:tcPr>
          <w:p w14:paraId="03B70F00" w14:textId="4871BC62" w:rsidR="00F107E8" w:rsidRPr="00F107E8" w:rsidRDefault="00F107E8" w:rsidP="00F107E8">
            <w:pPr>
              <w:jc w:val="right"/>
              <w:rPr>
                <w:noProof/>
                <w:sz w:val="20"/>
                <w:szCs w:val="20"/>
              </w:rPr>
            </w:pPr>
            <w:r w:rsidRPr="00F107E8">
              <w:rPr>
                <w:noProof/>
                <w:sz w:val="20"/>
                <w:szCs w:val="20"/>
              </w:rPr>
              <w:t>12</w:t>
            </w:r>
          </w:p>
        </w:tc>
        <w:tc>
          <w:tcPr>
            <w:tcW w:w="529" w:type="pct"/>
            <w:tcBorders>
              <w:top w:val="nil"/>
              <w:left w:val="nil"/>
              <w:bottom w:val="single" w:sz="4" w:space="0" w:color="auto"/>
              <w:right w:val="single" w:sz="4" w:space="0" w:color="auto"/>
            </w:tcBorders>
            <w:shd w:val="clear" w:color="auto" w:fill="FFFFFF" w:themeFill="background1"/>
            <w:noWrap/>
            <w:hideMark/>
          </w:tcPr>
          <w:p w14:paraId="20C72787" w14:textId="4E54D00C" w:rsidR="00F107E8" w:rsidRPr="00F107E8" w:rsidRDefault="00F107E8" w:rsidP="00F107E8">
            <w:pPr>
              <w:jc w:val="right"/>
              <w:rPr>
                <w:noProof/>
                <w:sz w:val="20"/>
                <w:szCs w:val="20"/>
              </w:rPr>
            </w:pPr>
            <w:r w:rsidRPr="00F107E8">
              <w:rPr>
                <w:noProof/>
                <w:sz w:val="20"/>
                <w:szCs w:val="20"/>
              </w:rPr>
              <w:t>5</w:t>
            </w:r>
          </w:p>
        </w:tc>
        <w:tc>
          <w:tcPr>
            <w:tcW w:w="530" w:type="pct"/>
            <w:tcBorders>
              <w:top w:val="nil"/>
              <w:left w:val="nil"/>
              <w:bottom w:val="single" w:sz="4" w:space="0" w:color="auto"/>
              <w:right w:val="single" w:sz="4" w:space="0" w:color="auto"/>
            </w:tcBorders>
            <w:shd w:val="clear" w:color="auto" w:fill="FFFFFF" w:themeFill="background1"/>
            <w:noWrap/>
            <w:hideMark/>
          </w:tcPr>
          <w:p w14:paraId="1344262F" w14:textId="26BE2B09" w:rsidR="00F107E8" w:rsidRPr="00F107E8" w:rsidRDefault="00F107E8" w:rsidP="00F107E8">
            <w:pPr>
              <w:jc w:val="right"/>
              <w:rPr>
                <w:noProof/>
                <w:sz w:val="20"/>
                <w:szCs w:val="20"/>
              </w:rPr>
            </w:pPr>
            <w:r w:rsidRPr="00F107E8">
              <w:rPr>
                <w:noProof/>
                <w:sz w:val="20"/>
                <w:szCs w:val="20"/>
              </w:rPr>
              <w:t>0</w:t>
            </w:r>
          </w:p>
        </w:tc>
      </w:tr>
      <w:tr w:rsidR="00F107E8" w:rsidRPr="007C2348" w14:paraId="0F3F7853" w14:textId="77777777" w:rsidTr="00F107E8">
        <w:trPr>
          <w:trHeight w:val="255"/>
        </w:trPr>
        <w:tc>
          <w:tcPr>
            <w:tcW w:w="2882" w:type="pct"/>
            <w:tcBorders>
              <w:top w:val="nil"/>
              <w:left w:val="single" w:sz="4" w:space="0" w:color="auto"/>
              <w:bottom w:val="single" w:sz="4" w:space="0" w:color="auto"/>
              <w:right w:val="single" w:sz="4" w:space="0" w:color="auto"/>
            </w:tcBorders>
            <w:noWrap/>
            <w:hideMark/>
          </w:tcPr>
          <w:p w14:paraId="2CDAAED3" w14:textId="1096BBA0" w:rsidR="00F107E8" w:rsidRPr="004E336D" w:rsidRDefault="00F107E8" w:rsidP="00F107E8">
            <w:pPr>
              <w:rPr>
                <w:noProof/>
                <w:color w:val="000000"/>
                <w:sz w:val="20"/>
                <w:szCs w:val="20"/>
              </w:rPr>
            </w:pPr>
            <w:r w:rsidRPr="3FCE22BE">
              <w:rPr>
                <w:noProof/>
                <w:color w:val="000000" w:themeColor="text1"/>
                <w:sz w:val="20"/>
                <w:szCs w:val="20"/>
              </w:rPr>
              <w:t xml:space="preserve">Renegotiated agreements made by </w:t>
            </w:r>
            <w:r>
              <w:rPr>
                <w:noProof/>
                <w:color w:val="000000" w:themeColor="text1"/>
                <w:sz w:val="20"/>
                <w:szCs w:val="20"/>
              </w:rPr>
              <w:t>non-SME</w:t>
            </w:r>
            <w:r w:rsidRPr="3FCE22BE">
              <w:rPr>
                <w:noProof/>
                <w:color w:val="000000" w:themeColor="text1"/>
                <w:sz w:val="20"/>
                <w:szCs w:val="20"/>
              </w:rPr>
              <w:t xml:space="preserve"> platforms (changes relative to the baseline)</w:t>
            </w:r>
          </w:p>
        </w:tc>
        <w:tc>
          <w:tcPr>
            <w:tcW w:w="529" w:type="pct"/>
            <w:tcBorders>
              <w:top w:val="nil"/>
              <w:left w:val="nil"/>
              <w:bottom w:val="single" w:sz="4" w:space="0" w:color="auto"/>
              <w:right w:val="single" w:sz="4" w:space="0" w:color="auto"/>
            </w:tcBorders>
            <w:shd w:val="clear" w:color="auto" w:fill="FFFFFF" w:themeFill="background1"/>
            <w:noWrap/>
            <w:hideMark/>
          </w:tcPr>
          <w:p w14:paraId="5C719577" w14:textId="6885C777" w:rsidR="00F107E8" w:rsidRPr="00F107E8" w:rsidRDefault="00F107E8" w:rsidP="00F107E8">
            <w:pPr>
              <w:jc w:val="right"/>
              <w:rPr>
                <w:noProof/>
                <w:sz w:val="20"/>
                <w:szCs w:val="20"/>
              </w:rPr>
            </w:pPr>
            <w:r w:rsidRPr="00F107E8">
              <w:rPr>
                <w:noProof/>
                <w:sz w:val="20"/>
                <w:szCs w:val="20"/>
              </w:rPr>
              <w:t>0</w:t>
            </w:r>
          </w:p>
        </w:tc>
        <w:tc>
          <w:tcPr>
            <w:tcW w:w="530" w:type="pct"/>
            <w:tcBorders>
              <w:top w:val="nil"/>
              <w:left w:val="nil"/>
              <w:bottom w:val="single" w:sz="4" w:space="0" w:color="auto"/>
              <w:right w:val="single" w:sz="4" w:space="0" w:color="auto"/>
            </w:tcBorders>
            <w:shd w:val="clear" w:color="auto" w:fill="FFFFFF" w:themeFill="background1"/>
            <w:noWrap/>
            <w:hideMark/>
          </w:tcPr>
          <w:p w14:paraId="0C7FD4A5" w14:textId="6F422035" w:rsidR="00F107E8" w:rsidRPr="00F107E8" w:rsidRDefault="00F107E8" w:rsidP="00F107E8">
            <w:pPr>
              <w:jc w:val="right"/>
              <w:rPr>
                <w:noProof/>
                <w:sz w:val="20"/>
                <w:szCs w:val="20"/>
              </w:rPr>
            </w:pPr>
            <w:r w:rsidRPr="00F107E8">
              <w:rPr>
                <w:noProof/>
                <w:sz w:val="20"/>
                <w:szCs w:val="20"/>
              </w:rPr>
              <w:t>6</w:t>
            </w:r>
          </w:p>
        </w:tc>
        <w:tc>
          <w:tcPr>
            <w:tcW w:w="529" w:type="pct"/>
            <w:tcBorders>
              <w:top w:val="nil"/>
              <w:left w:val="nil"/>
              <w:bottom w:val="single" w:sz="4" w:space="0" w:color="auto"/>
              <w:right w:val="single" w:sz="4" w:space="0" w:color="auto"/>
            </w:tcBorders>
            <w:shd w:val="clear" w:color="auto" w:fill="FFFFFF" w:themeFill="background1"/>
            <w:noWrap/>
            <w:hideMark/>
          </w:tcPr>
          <w:p w14:paraId="1F0D6C53" w14:textId="56DA7462" w:rsidR="00F107E8" w:rsidRPr="00F107E8" w:rsidRDefault="00F107E8" w:rsidP="00F107E8">
            <w:pPr>
              <w:jc w:val="right"/>
              <w:rPr>
                <w:noProof/>
                <w:sz w:val="20"/>
                <w:szCs w:val="20"/>
              </w:rPr>
            </w:pPr>
            <w:r w:rsidRPr="00F107E8">
              <w:rPr>
                <w:noProof/>
                <w:sz w:val="20"/>
                <w:szCs w:val="20"/>
              </w:rPr>
              <w:t>28</w:t>
            </w:r>
          </w:p>
        </w:tc>
        <w:tc>
          <w:tcPr>
            <w:tcW w:w="530" w:type="pct"/>
            <w:tcBorders>
              <w:top w:val="nil"/>
              <w:left w:val="nil"/>
              <w:bottom w:val="single" w:sz="4" w:space="0" w:color="auto"/>
              <w:right w:val="single" w:sz="4" w:space="0" w:color="auto"/>
            </w:tcBorders>
            <w:shd w:val="clear" w:color="auto" w:fill="FFFFFF" w:themeFill="background1"/>
            <w:noWrap/>
            <w:hideMark/>
          </w:tcPr>
          <w:p w14:paraId="61017056" w14:textId="15AFB96F" w:rsidR="00F107E8" w:rsidRPr="00F107E8" w:rsidRDefault="00F107E8" w:rsidP="00F107E8">
            <w:pPr>
              <w:jc w:val="right"/>
              <w:rPr>
                <w:noProof/>
                <w:sz w:val="20"/>
                <w:szCs w:val="20"/>
              </w:rPr>
            </w:pPr>
            <w:r w:rsidRPr="00F107E8">
              <w:rPr>
                <w:noProof/>
                <w:sz w:val="20"/>
                <w:szCs w:val="20"/>
              </w:rPr>
              <w:t>12</w:t>
            </w:r>
          </w:p>
        </w:tc>
      </w:tr>
      <w:tr w:rsidR="00F107E8" w:rsidRPr="007C2348" w14:paraId="37B76D78" w14:textId="77777777" w:rsidTr="00F107E8">
        <w:trPr>
          <w:trHeight w:val="255"/>
        </w:trPr>
        <w:tc>
          <w:tcPr>
            <w:tcW w:w="2882" w:type="pct"/>
            <w:tcBorders>
              <w:top w:val="nil"/>
              <w:left w:val="single" w:sz="4" w:space="0" w:color="auto"/>
              <w:bottom w:val="single" w:sz="4" w:space="0" w:color="auto"/>
              <w:right w:val="single" w:sz="4" w:space="0" w:color="auto"/>
            </w:tcBorders>
            <w:noWrap/>
            <w:hideMark/>
          </w:tcPr>
          <w:p w14:paraId="10F7BCE8" w14:textId="77777777" w:rsidR="00F107E8" w:rsidRPr="004E336D" w:rsidRDefault="00F107E8" w:rsidP="00F107E8">
            <w:pPr>
              <w:rPr>
                <w:noProof/>
                <w:color w:val="000000"/>
                <w:sz w:val="20"/>
                <w:szCs w:val="20"/>
              </w:rPr>
            </w:pPr>
            <w:r w:rsidRPr="3FCE22BE">
              <w:rPr>
                <w:noProof/>
                <w:color w:val="000000" w:themeColor="text1"/>
                <w:sz w:val="20"/>
                <w:szCs w:val="20"/>
              </w:rPr>
              <w:t>Renegotiated agreements made by SME platforms (changes relative to the baseline)</w:t>
            </w:r>
          </w:p>
        </w:tc>
        <w:tc>
          <w:tcPr>
            <w:tcW w:w="529" w:type="pct"/>
            <w:tcBorders>
              <w:top w:val="nil"/>
              <w:left w:val="nil"/>
              <w:bottom w:val="single" w:sz="4" w:space="0" w:color="auto"/>
              <w:right w:val="single" w:sz="4" w:space="0" w:color="auto"/>
            </w:tcBorders>
            <w:shd w:val="clear" w:color="auto" w:fill="FFFFFF" w:themeFill="background1"/>
            <w:noWrap/>
            <w:hideMark/>
          </w:tcPr>
          <w:p w14:paraId="0B16BEF7" w14:textId="11698509" w:rsidR="00F107E8" w:rsidRPr="00F107E8" w:rsidRDefault="00F107E8" w:rsidP="00F107E8">
            <w:pPr>
              <w:jc w:val="right"/>
              <w:rPr>
                <w:noProof/>
                <w:sz w:val="20"/>
                <w:szCs w:val="20"/>
              </w:rPr>
            </w:pPr>
            <w:r w:rsidRPr="00F107E8">
              <w:rPr>
                <w:noProof/>
                <w:sz w:val="20"/>
                <w:szCs w:val="20"/>
              </w:rPr>
              <w:t>0</w:t>
            </w:r>
          </w:p>
        </w:tc>
        <w:tc>
          <w:tcPr>
            <w:tcW w:w="530" w:type="pct"/>
            <w:tcBorders>
              <w:top w:val="nil"/>
              <w:left w:val="nil"/>
              <w:bottom w:val="single" w:sz="4" w:space="0" w:color="auto"/>
              <w:right w:val="single" w:sz="4" w:space="0" w:color="auto"/>
            </w:tcBorders>
            <w:shd w:val="clear" w:color="auto" w:fill="FFFFFF" w:themeFill="background1"/>
            <w:noWrap/>
            <w:hideMark/>
          </w:tcPr>
          <w:p w14:paraId="02A8C36E" w14:textId="1821561B" w:rsidR="00F107E8" w:rsidRPr="00F107E8" w:rsidRDefault="00F107E8" w:rsidP="00F107E8">
            <w:pPr>
              <w:jc w:val="right"/>
              <w:rPr>
                <w:noProof/>
                <w:sz w:val="20"/>
                <w:szCs w:val="20"/>
              </w:rPr>
            </w:pPr>
            <w:r w:rsidRPr="00F107E8">
              <w:rPr>
                <w:noProof/>
                <w:sz w:val="20"/>
                <w:szCs w:val="20"/>
              </w:rPr>
              <w:t>8</w:t>
            </w:r>
          </w:p>
        </w:tc>
        <w:tc>
          <w:tcPr>
            <w:tcW w:w="529" w:type="pct"/>
            <w:tcBorders>
              <w:top w:val="nil"/>
              <w:left w:val="nil"/>
              <w:bottom w:val="single" w:sz="4" w:space="0" w:color="auto"/>
              <w:right w:val="single" w:sz="4" w:space="0" w:color="auto"/>
            </w:tcBorders>
            <w:shd w:val="clear" w:color="auto" w:fill="FFFFFF" w:themeFill="background1"/>
            <w:noWrap/>
            <w:hideMark/>
          </w:tcPr>
          <w:p w14:paraId="1F5E0132" w14:textId="51F10740" w:rsidR="00F107E8" w:rsidRPr="00F107E8" w:rsidRDefault="00F107E8" w:rsidP="00F107E8">
            <w:pPr>
              <w:jc w:val="right"/>
              <w:rPr>
                <w:noProof/>
                <w:sz w:val="20"/>
                <w:szCs w:val="20"/>
              </w:rPr>
            </w:pPr>
            <w:r w:rsidRPr="00F107E8">
              <w:rPr>
                <w:noProof/>
                <w:sz w:val="20"/>
                <w:szCs w:val="20"/>
              </w:rPr>
              <w:t>35</w:t>
            </w:r>
          </w:p>
        </w:tc>
        <w:tc>
          <w:tcPr>
            <w:tcW w:w="530" w:type="pct"/>
            <w:tcBorders>
              <w:top w:val="nil"/>
              <w:left w:val="nil"/>
              <w:bottom w:val="single" w:sz="4" w:space="0" w:color="auto"/>
              <w:right w:val="single" w:sz="4" w:space="0" w:color="auto"/>
            </w:tcBorders>
            <w:shd w:val="clear" w:color="auto" w:fill="FFFFFF" w:themeFill="background1"/>
            <w:noWrap/>
            <w:hideMark/>
          </w:tcPr>
          <w:p w14:paraId="74609169" w14:textId="26AFF9FE" w:rsidR="00F107E8" w:rsidRPr="00F107E8" w:rsidRDefault="00F107E8" w:rsidP="00F107E8">
            <w:pPr>
              <w:jc w:val="right"/>
              <w:rPr>
                <w:noProof/>
                <w:sz w:val="20"/>
                <w:szCs w:val="20"/>
              </w:rPr>
            </w:pPr>
            <w:r w:rsidRPr="00F107E8">
              <w:rPr>
                <w:noProof/>
                <w:sz w:val="20"/>
                <w:szCs w:val="20"/>
              </w:rPr>
              <w:t>15</w:t>
            </w:r>
          </w:p>
        </w:tc>
      </w:tr>
      <w:tr w:rsidR="00F107E8" w:rsidRPr="007C2348" w14:paraId="4BD3703F" w14:textId="77777777" w:rsidTr="00F107E8">
        <w:trPr>
          <w:trHeight w:val="255"/>
        </w:trPr>
        <w:tc>
          <w:tcPr>
            <w:tcW w:w="2882" w:type="pct"/>
            <w:tcBorders>
              <w:top w:val="nil"/>
              <w:left w:val="single" w:sz="4" w:space="0" w:color="auto"/>
              <w:bottom w:val="single" w:sz="4" w:space="0" w:color="auto"/>
              <w:right w:val="single" w:sz="4" w:space="0" w:color="auto"/>
            </w:tcBorders>
            <w:noWrap/>
            <w:hideMark/>
          </w:tcPr>
          <w:p w14:paraId="12EF660B" w14:textId="01A8AFF0" w:rsidR="00F107E8" w:rsidRPr="004E336D" w:rsidRDefault="00F107E8" w:rsidP="00F107E8">
            <w:pPr>
              <w:rPr>
                <w:noProof/>
                <w:color w:val="000000"/>
                <w:sz w:val="20"/>
                <w:szCs w:val="20"/>
              </w:rPr>
            </w:pPr>
            <w:r w:rsidRPr="004E336D">
              <w:rPr>
                <w:noProof/>
                <w:color w:val="000000"/>
                <w:sz w:val="20"/>
                <w:szCs w:val="20"/>
              </w:rPr>
              <w:t xml:space="preserve">Total adjustment cost savings for </w:t>
            </w:r>
            <w:r>
              <w:rPr>
                <w:noProof/>
                <w:color w:val="000000"/>
                <w:sz w:val="20"/>
                <w:szCs w:val="20"/>
              </w:rPr>
              <w:t>non-SME</w:t>
            </w:r>
            <w:r w:rsidRPr="004E336D">
              <w:rPr>
                <w:noProof/>
                <w:color w:val="000000"/>
                <w:sz w:val="20"/>
                <w:szCs w:val="20"/>
              </w:rPr>
              <w:t xml:space="preserve"> platforms (million EUR)</w:t>
            </w:r>
          </w:p>
        </w:tc>
        <w:tc>
          <w:tcPr>
            <w:tcW w:w="529" w:type="pct"/>
            <w:tcBorders>
              <w:top w:val="nil"/>
              <w:left w:val="nil"/>
              <w:bottom w:val="single" w:sz="4" w:space="0" w:color="auto"/>
              <w:right w:val="single" w:sz="4" w:space="0" w:color="auto"/>
            </w:tcBorders>
            <w:shd w:val="clear" w:color="auto" w:fill="FFFFFF" w:themeFill="background1"/>
            <w:noWrap/>
            <w:hideMark/>
          </w:tcPr>
          <w:p w14:paraId="052A787C" w14:textId="481653A6" w:rsidR="00F107E8" w:rsidRPr="00F107E8" w:rsidRDefault="00F107E8" w:rsidP="00F107E8">
            <w:pPr>
              <w:jc w:val="right"/>
              <w:rPr>
                <w:noProof/>
                <w:sz w:val="20"/>
                <w:szCs w:val="20"/>
              </w:rPr>
            </w:pPr>
            <w:r w:rsidRPr="00F107E8">
              <w:rPr>
                <w:noProof/>
                <w:sz w:val="20"/>
                <w:szCs w:val="20"/>
              </w:rPr>
              <w:t>0.0</w:t>
            </w:r>
          </w:p>
        </w:tc>
        <w:tc>
          <w:tcPr>
            <w:tcW w:w="530" w:type="pct"/>
            <w:tcBorders>
              <w:top w:val="nil"/>
              <w:left w:val="nil"/>
              <w:bottom w:val="single" w:sz="4" w:space="0" w:color="auto"/>
              <w:right w:val="single" w:sz="4" w:space="0" w:color="auto"/>
            </w:tcBorders>
            <w:shd w:val="clear" w:color="auto" w:fill="FFFFFF" w:themeFill="background1"/>
            <w:noWrap/>
            <w:hideMark/>
          </w:tcPr>
          <w:p w14:paraId="495CE146" w14:textId="1B93E0FF" w:rsidR="00F107E8" w:rsidRPr="00F107E8" w:rsidRDefault="00F107E8" w:rsidP="00F107E8">
            <w:pPr>
              <w:jc w:val="right"/>
              <w:rPr>
                <w:noProof/>
                <w:sz w:val="20"/>
                <w:szCs w:val="20"/>
              </w:rPr>
            </w:pPr>
            <w:r w:rsidRPr="00F107E8">
              <w:rPr>
                <w:noProof/>
                <w:sz w:val="20"/>
                <w:szCs w:val="20"/>
              </w:rPr>
              <w:t>0.0</w:t>
            </w:r>
          </w:p>
        </w:tc>
        <w:tc>
          <w:tcPr>
            <w:tcW w:w="529" w:type="pct"/>
            <w:tcBorders>
              <w:top w:val="nil"/>
              <w:left w:val="nil"/>
              <w:bottom w:val="single" w:sz="4" w:space="0" w:color="auto"/>
              <w:right w:val="single" w:sz="4" w:space="0" w:color="auto"/>
            </w:tcBorders>
            <w:shd w:val="clear" w:color="auto" w:fill="FFFFFF" w:themeFill="background1"/>
            <w:noWrap/>
            <w:hideMark/>
          </w:tcPr>
          <w:p w14:paraId="0B3B0510" w14:textId="132B5A60" w:rsidR="00F107E8" w:rsidRPr="00F107E8" w:rsidRDefault="00F107E8" w:rsidP="00F107E8">
            <w:pPr>
              <w:jc w:val="right"/>
              <w:rPr>
                <w:noProof/>
                <w:sz w:val="20"/>
                <w:szCs w:val="20"/>
              </w:rPr>
            </w:pPr>
            <w:r w:rsidRPr="00F107E8">
              <w:rPr>
                <w:noProof/>
                <w:sz w:val="20"/>
                <w:szCs w:val="20"/>
              </w:rPr>
              <w:t>0.0</w:t>
            </w:r>
          </w:p>
        </w:tc>
        <w:tc>
          <w:tcPr>
            <w:tcW w:w="530" w:type="pct"/>
            <w:tcBorders>
              <w:top w:val="nil"/>
              <w:left w:val="nil"/>
              <w:bottom w:val="single" w:sz="4" w:space="0" w:color="auto"/>
              <w:right w:val="single" w:sz="4" w:space="0" w:color="auto"/>
            </w:tcBorders>
            <w:shd w:val="clear" w:color="auto" w:fill="FFFFFF" w:themeFill="background1"/>
            <w:noWrap/>
            <w:hideMark/>
          </w:tcPr>
          <w:p w14:paraId="723DE6FD" w14:textId="0136D026" w:rsidR="00F107E8" w:rsidRPr="00F107E8" w:rsidRDefault="00F107E8" w:rsidP="00F107E8">
            <w:pPr>
              <w:jc w:val="right"/>
              <w:rPr>
                <w:noProof/>
                <w:sz w:val="20"/>
                <w:szCs w:val="20"/>
              </w:rPr>
            </w:pPr>
            <w:r w:rsidRPr="00F107E8">
              <w:rPr>
                <w:noProof/>
                <w:sz w:val="20"/>
                <w:szCs w:val="20"/>
              </w:rPr>
              <w:t>0.0</w:t>
            </w:r>
          </w:p>
        </w:tc>
      </w:tr>
      <w:tr w:rsidR="00F107E8" w:rsidRPr="007C2348" w14:paraId="6BB27290" w14:textId="77777777" w:rsidTr="00F107E8">
        <w:trPr>
          <w:trHeight w:val="255"/>
        </w:trPr>
        <w:tc>
          <w:tcPr>
            <w:tcW w:w="2882" w:type="pct"/>
            <w:tcBorders>
              <w:top w:val="nil"/>
              <w:left w:val="single" w:sz="4" w:space="0" w:color="auto"/>
              <w:bottom w:val="single" w:sz="4" w:space="0" w:color="auto"/>
              <w:right w:val="single" w:sz="4" w:space="0" w:color="auto"/>
            </w:tcBorders>
            <w:noWrap/>
            <w:hideMark/>
          </w:tcPr>
          <w:p w14:paraId="0985EFF1" w14:textId="77777777" w:rsidR="00F107E8" w:rsidRPr="004E336D" w:rsidRDefault="00F107E8" w:rsidP="00F107E8">
            <w:pPr>
              <w:rPr>
                <w:noProof/>
                <w:color w:val="000000"/>
                <w:sz w:val="20"/>
                <w:szCs w:val="20"/>
              </w:rPr>
            </w:pPr>
            <w:r w:rsidRPr="004E336D">
              <w:rPr>
                <w:noProof/>
                <w:color w:val="000000"/>
                <w:sz w:val="20"/>
                <w:szCs w:val="20"/>
              </w:rPr>
              <w:t>Total adjustment cost savings for SME platforms (million EUR)</w:t>
            </w:r>
          </w:p>
        </w:tc>
        <w:tc>
          <w:tcPr>
            <w:tcW w:w="529" w:type="pct"/>
            <w:tcBorders>
              <w:top w:val="nil"/>
              <w:left w:val="nil"/>
              <w:bottom w:val="single" w:sz="4" w:space="0" w:color="auto"/>
              <w:right w:val="single" w:sz="4" w:space="0" w:color="auto"/>
            </w:tcBorders>
            <w:shd w:val="clear" w:color="auto" w:fill="FFFFFF" w:themeFill="background1"/>
            <w:noWrap/>
            <w:hideMark/>
          </w:tcPr>
          <w:p w14:paraId="725295DD" w14:textId="2EDBE8EB" w:rsidR="00F107E8" w:rsidRPr="00F107E8" w:rsidRDefault="00F107E8" w:rsidP="00F107E8">
            <w:pPr>
              <w:jc w:val="right"/>
              <w:rPr>
                <w:noProof/>
                <w:sz w:val="20"/>
                <w:szCs w:val="20"/>
              </w:rPr>
            </w:pPr>
            <w:r w:rsidRPr="00F107E8">
              <w:rPr>
                <w:noProof/>
                <w:sz w:val="20"/>
                <w:szCs w:val="20"/>
              </w:rPr>
              <w:t>0.0</w:t>
            </w:r>
          </w:p>
        </w:tc>
        <w:tc>
          <w:tcPr>
            <w:tcW w:w="530" w:type="pct"/>
            <w:tcBorders>
              <w:top w:val="nil"/>
              <w:left w:val="nil"/>
              <w:bottom w:val="single" w:sz="4" w:space="0" w:color="auto"/>
              <w:right w:val="single" w:sz="4" w:space="0" w:color="auto"/>
            </w:tcBorders>
            <w:shd w:val="clear" w:color="auto" w:fill="FFFFFF" w:themeFill="background1"/>
            <w:noWrap/>
            <w:hideMark/>
          </w:tcPr>
          <w:p w14:paraId="654C2AA8" w14:textId="4583522B" w:rsidR="00F107E8" w:rsidRPr="00F107E8" w:rsidRDefault="00F107E8" w:rsidP="00F107E8">
            <w:pPr>
              <w:jc w:val="right"/>
              <w:rPr>
                <w:noProof/>
                <w:sz w:val="20"/>
                <w:szCs w:val="20"/>
              </w:rPr>
            </w:pPr>
            <w:r w:rsidRPr="00F107E8">
              <w:rPr>
                <w:noProof/>
                <w:sz w:val="20"/>
                <w:szCs w:val="20"/>
              </w:rPr>
              <w:t>0.0</w:t>
            </w:r>
          </w:p>
        </w:tc>
        <w:tc>
          <w:tcPr>
            <w:tcW w:w="529" w:type="pct"/>
            <w:tcBorders>
              <w:top w:val="nil"/>
              <w:left w:val="nil"/>
              <w:bottom w:val="single" w:sz="4" w:space="0" w:color="auto"/>
              <w:right w:val="single" w:sz="4" w:space="0" w:color="auto"/>
            </w:tcBorders>
            <w:shd w:val="clear" w:color="auto" w:fill="FFFFFF" w:themeFill="background1"/>
            <w:noWrap/>
            <w:hideMark/>
          </w:tcPr>
          <w:p w14:paraId="360D541C" w14:textId="59F415F2" w:rsidR="00F107E8" w:rsidRPr="00F107E8" w:rsidRDefault="00F107E8" w:rsidP="00F107E8">
            <w:pPr>
              <w:jc w:val="right"/>
              <w:rPr>
                <w:noProof/>
                <w:sz w:val="20"/>
                <w:szCs w:val="20"/>
              </w:rPr>
            </w:pPr>
            <w:r w:rsidRPr="00F107E8">
              <w:rPr>
                <w:noProof/>
                <w:sz w:val="20"/>
                <w:szCs w:val="20"/>
              </w:rPr>
              <w:t>0.1</w:t>
            </w:r>
          </w:p>
        </w:tc>
        <w:tc>
          <w:tcPr>
            <w:tcW w:w="530" w:type="pct"/>
            <w:tcBorders>
              <w:top w:val="nil"/>
              <w:left w:val="nil"/>
              <w:bottom w:val="single" w:sz="4" w:space="0" w:color="auto"/>
              <w:right w:val="single" w:sz="4" w:space="0" w:color="auto"/>
            </w:tcBorders>
            <w:shd w:val="clear" w:color="auto" w:fill="FFFFFF" w:themeFill="background1"/>
            <w:noWrap/>
            <w:hideMark/>
          </w:tcPr>
          <w:p w14:paraId="38609149" w14:textId="03FAD0AA" w:rsidR="00F107E8" w:rsidRPr="00F107E8" w:rsidRDefault="00F107E8" w:rsidP="00F107E8">
            <w:pPr>
              <w:jc w:val="right"/>
              <w:rPr>
                <w:noProof/>
                <w:sz w:val="20"/>
                <w:szCs w:val="20"/>
              </w:rPr>
            </w:pPr>
            <w:r w:rsidRPr="00F107E8">
              <w:rPr>
                <w:noProof/>
                <w:sz w:val="20"/>
                <w:szCs w:val="20"/>
              </w:rPr>
              <w:t>0.0</w:t>
            </w:r>
          </w:p>
        </w:tc>
      </w:tr>
      <w:tr w:rsidR="00F107E8" w:rsidRPr="007C2348" w14:paraId="28A5E8DE" w14:textId="77777777" w:rsidTr="00F107E8">
        <w:trPr>
          <w:trHeight w:val="255"/>
        </w:trPr>
        <w:tc>
          <w:tcPr>
            <w:tcW w:w="2882" w:type="pct"/>
            <w:tcBorders>
              <w:top w:val="nil"/>
              <w:left w:val="single" w:sz="4" w:space="0" w:color="auto"/>
              <w:bottom w:val="single" w:sz="4" w:space="0" w:color="auto"/>
              <w:right w:val="single" w:sz="4" w:space="0" w:color="auto"/>
            </w:tcBorders>
            <w:noWrap/>
            <w:hideMark/>
          </w:tcPr>
          <w:p w14:paraId="37E1DE5F" w14:textId="77777777" w:rsidR="00F107E8" w:rsidRPr="004E336D" w:rsidRDefault="00F107E8" w:rsidP="00F107E8">
            <w:pPr>
              <w:rPr>
                <w:b/>
                <w:noProof/>
                <w:color w:val="000000"/>
                <w:sz w:val="20"/>
                <w:szCs w:val="20"/>
              </w:rPr>
            </w:pPr>
            <w:r w:rsidRPr="004E336D">
              <w:rPr>
                <w:b/>
                <w:noProof/>
                <w:color w:val="000000"/>
                <w:sz w:val="20"/>
                <w:szCs w:val="20"/>
              </w:rPr>
              <w:t>PO2</w:t>
            </w:r>
          </w:p>
        </w:tc>
        <w:tc>
          <w:tcPr>
            <w:tcW w:w="529" w:type="pct"/>
            <w:tcBorders>
              <w:top w:val="nil"/>
              <w:left w:val="nil"/>
              <w:bottom w:val="single" w:sz="4" w:space="0" w:color="auto"/>
              <w:right w:val="single" w:sz="4" w:space="0" w:color="auto"/>
            </w:tcBorders>
            <w:shd w:val="clear" w:color="auto" w:fill="FFFFFF" w:themeFill="background1"/>
            <w:noWrap/>
            <w:hideMark/>
          </w:tcPr>
          <w:p w14:paraId="6F1CB741" w14:textId="4823C4E0" w:rsidR="00F107E8" w:rsidRPr="00F107E8" w:rsidRDefault="00F107E8" w:rsidP="00F107E8">
            <w:pPr>
              <w:rPr>
                <w:noProof/>
                <w:sz w:val="20"/>
                <w:szCs w:val="20"/>
              </w:rPr>
            </w:pPr>
            <w:r w:rsidRPr="00F107E8">
              <w:rPr>
                <w:noProof/>
                <w:sz w:val="20"/>
                <w:szCs w:val="20"/>
              </w:rPr>
              <w:t> </w:t>
            </w:r>
          </w:p>
        </w:tc>
        <w:tc>
          <w:tcPr>
            <w:tcW w:w="530" w:type="pct"/>
            <w:tcBorders>
              <w:top w:val="nil"/>
              <w:left w:val="nil"/>
              <w:bottom w:val="single" w:sz="4" w:space="0" w:color="auto"/>
              <w:right w:val="single" w:sz="4" w:space="0" w:color="auto"/>
            </w:tcBorders>
            <w:shd w:val="clear" w:color="auto" w:fill="FFFFFF" w:themeFill="background1"/>
            <w:noWrap/>
            <w:hideMark/>
          </w:tcPr>
          <w:p w14:paraId="3BAF2329" w14:textId="1F44AB48" w:rsidR="00F107E8" w:rsidRPr="00F107E8" w:rsidRDefault="00F107E8" w:rsidP="00F107E8">
            <w:pPr>
              <w:rPr>
                <w:noProof/>
                <w:sz w:val="20"/>
                <w:szCs w:val="20"/>
              </w:rPr>
            </w:pPr>
            <w:r w:rsidRPr="00F107E8">
              <w:rPr>
                <w:noProof/>
                <w:sz w:val="20"/>
                <w:szCs w:val="20"/>
              </w:rPr>
              <w:t> </w:t>
            </w:r>
          </w:p>
        </w:tc>
        <w:tc>
          <w:tcPr>
            <w:tcW w:w="529" w:type="pct"/>
            <w:tcBorders>
              <w:top w:val="nil"/>
              <w:left w:val="nil"/>
              <w:bottom w:val="single" w:sz="4" w:space="0" w:color="auto"/>
              <w:right w:val="single" w:sz="4" w:space="0" w:color="auto"/>
            </w:tcBorders>
            <w:shd w:val="clear" w:color="auto" w:fill="FFFFFF" w:themeFill="background1"/>
            <w:noWrap/>
            <w:hideMark/>
          </w:tcPr>
          <w:p w14:paraId="48E4C11F" w14:textId="286B9DD5" w:rsidR="00F107E8" w:rsidRPr="00F107E8" w:rsidRDefault="00F107E8" w:rsidP="00F107E8">
            <w:pPr>
              <w:rPr>
                <w:noProof/>
                <w:sz w:val="20"/>
                <w:szCs w:val="20"/>
              </w:rPr>
            </w:pPr>
            <w:r w:rsidRPr="00F107E8">
              <w:rPr>
                <w:noProof/>
                <w:sz w:val="20"/>
                <w:szCs w:val="20"/>
              </w:rPr>
              <w:t> </w:t>
            </w:r>
          </w:p>
        </w:tc>
        <w:tc>
          <w:tcPr>
            <w:tcW w:w="530" w:type="pct"/>
            <w:tcBorders>
              <w:top w:val="nil"/>
              <w:left w:val="nil"/>
              <w:bottom w:val="single" w:sz="4" w:space="0" w:color="auto"/>
              <w:right w:val="single" w:sz="4" w:space="0" w:color="auto"/>
            </w:tcBorders>
            <w:shd w:val="clear" w:color="auto" w:fill="FFFFFF" w:themeFill="background1"/>
            <w:noWrap/>
            <w:hideMark/>
          </w:tcPr>
          <w:p w14:paraId="0AD1AB51" w14:textId="4392C274" w:rsidR="00F107E8" w:rsidRPr="00F107E8" w:rsidRDefault="00F107E8" w:rsidP="00F107E8">
            <w:pPr>
              <w:rPr>
                <w:noProof/>
                <w:sz w:val="20"/>
                <w:szCs w:val="20"/>
              </w:rPr>
            </w:pPr>
            <w:r w:rsidRPr="00F107E8">
              <w:rPr>
                <w:noProof/>
                <w:sz w:val="20"/>
                <w:szCs w:val="20"/>
              </w:rPr>
              <w:t> </w:t>
            </w:r>
          </w:p>
        </w:tc>
      </w:tr>
      <w:tr w:rsidR="00F107E8" w:rsidRPr="007C2348" w14:paraId="2C087135" w14:textId="77777777" w:rsidTr="00F107E8">
        <w:trPr>
          <w:trHeight w:val="255"/>
        </w:trPr>
        <w:tc>
          <w:tcPr>
            <w:tcW w:w="2882" w:type="pct"/>
            <w:tcBorders>
              <w:top w:val="nil"/>
              <w:left w:val="single" w:sz="4" w:space="0" w:color="auto"/>
              <w:bottom w:val="single" w:sz="4" w:space="0" w:color="auto"/>
              <w:right w:val="single" w:sz="4" w:space="0" w:color="auto"/>
            </w:tcBorders>
            <w:noWrap/>
            <w:hideMark/>
          </w:tcPr>
          <w:p w14:paraId="7FE34717" w14:textId="3F723040" w:rsidR="00F107E8" w:rsidRPr="004E336D" w:rsidRDefault="00F107E8" w:rsidP="00F107E8">
            <w:pPr>
              <w:rPr>
                <w:noProof/>
                <w:color w:val="000000"/>
                <w:sz w:val="20"/>
                <w:szCs w:val="20"/>
              </w:rPr>
            </w:pPr>
            <w:r w:rsidRPr="3FCE22BE">
              <w:rPr>
                <w:noProof/>
                <w:color w:val="000000" w:themeColor="text1"/>
                <w:sz w:val="20"/>
                <w:szCs w:val="20"/>
              </w:rPr>
              <w:t xml:space="preserve">New agreements made by </w:t>
            </w:r>
            <w:r>
              <w:rPr>
                <w:noProof/>
                <w:color w:val="000000" w:themeColor="text1"/>
                <w:sz w:val="20"/>
                <w:szCs w:val="20"/>
              </w:rPr>
              <w:t>non-SME</w:t>
            </w:r>
            <w:r w:rsidRPr="3FCE22BE">
              <w:rPr>
                <w:noProof/>
                <w:color w:val="000000" w:themeColor="text1"/>
                <w:sz w:val="20"/>
                <w:szCs w:val="20"/>
              </w:rPr>
              <w:t xml:space="preserve"> platforms (changes relative to the baseline)</w:t>
            </w:r>
          </w:p>
        </w:tc>
        <w:tc>
          <w:tcPr>
            <w:tcW w:w="529" w:type="pct"/>
            <w:tcBorders>
              <w:top w:val="nil"/>
              <w:left w:val="nil"/>
              <w:bottom w:val="single" w:sz="4" w:space="0" w:color="auto"/>
              <w:right w:val="single" w:sz="4" w:space="0" w:color="auto"/>
            </w:tcBorders>
            <w:shd w:val="clear" w:color="auto" w:fill="FFFFFF" w:themeFill="background1"/>
            <w:noWrap/>
            <w:hideMark/>
          </w:tcPr>
          <w:p w14:paraId="4D2B3145" w14:textId="703AC051" w:rsidR="00F107E8" w:rsidRPr="00F107E8" w:rsidRDefault="00F107E8" w:rsidP="00F107E8">
            <w:pPr>
              <w:jc w:val="right"/>
              <w:rPr>
                <w:noProof/>
                <w:sz w:val="20"/>
                <w:szCs w:val="20"/>
              </w:rPr>
            </w:pPr>
            <w:r w:rsidRPr="00F107E8">
              <w:rPr>
                <w:noProof/>
                <w:sz w:val="20"/>
                <w:szCs w:val="20"/>
              </w:rPr>
              <w:t>210</w:t>
            </w:r>
          </w:p>
        </w:tc>
        <w:tc>
          <w:tcPr>
            <w:tcW w:w="530" w:type="pct"/>
            <w:tcBorders>
              <w:top w:val="nil"/>
              <w:left w:val="nil"/>
              <w:bottom w:val="single" w:sz="4" w:space="0" w:color="auto"/>
              <w:right w:val="single" w:sz="4" w:space="0" w:color="auto"/>
            </w:tcBorders>
            <w:shd w:val="clear" w:color="auto" w:fill="FFFFFF" w:themeFill="background1"/>
            <w:noWrap/>
            <w:hideMark/>
          </w:tcPr>
          <w:p w14:paraId="0D0DFDE9" w14:textId="18F0DE03" w:rsidR="00F107E8" w:rsidRPr="00F107E8" w:rsidRDefault="00F107E8" w:rsidP="00F107E8">
            <w:pPr>
              <w:jc w:val="right"/>
              <w:rPr>
                <w:noProof/>
                <w:sz w:val="20"/>
                <w:szCs w:val="20"/>
              </w:rPr>
            </w:pPr>
            <w:r w:rsidRPr="00F107E8">
              <w:rPr>
                <w:noProof/>
                <w:sz w:val="20"/>
                <w:szCs w:val="20"/>
              </w:rPr>
              <w:t>36</w:t>
            </w:r>
          </w:p>
        </w:tc>
        <w:tc>
          <w:tcPr>
            <w:tcW w:w="529" w:type="pct"/>
            <w:tcBorders>
              <w:top w:val="nil"/>
              <w:left w:val="nil"/>
              <w:bottom w:val="single" w:sz="4" w:space="0" w:color="auto"/>
              <w:right w:val="single" w:sz="4" w:space="0" w:color="auto"/>
            </w:tcBorders>
            <w:shd w:val="clear" w:color="auto" w:fill="FFFFFF" w:themeFill="background1"/>
            <w:noWrap/>
            <w:hideMark/>
          </w:tcPr>
          <w:p w14:paraId="6CD27EF3" w14:textId="6B81D2DB" w:rsidR="00F107E8" w:rsidRPr="00F107E8" w:rsidRDefault="00F107E8" w:rsidP="00F107E8">
            <w:pPr>
              <w:jc w:val="right"/>
              <w:rPr>
                <w:noProof/>
                <w:sz w:val="20"/>
                <w:szCs w:val="20"/>
              </w:rPr>
            </w:pPr>
            <w:r w:rsidRPr="00F107E8">
              <w:rPr>
                <w:noProof/>
                <w:sz w:val="20"/>
                <w:szCs w:val="20"/>
              </w:rPr>
              <w:t>63</w:t>
            </w:r>
          </w:p>
        </w:tc>
        <w:tc>
          <w:tcPr>
            <w:tcW w:w="530" w:type="pct"/>
            <w:tcBorders>
              <w:top w:val="nil"/>
              <w:left w:val="nil"/>
              <w:bottom w:val="single" w:sz="4" w:space="0" w:color="auto"/>
              <w:right w:val="single" w:sz="4" w:space="0" w:color="auto"/>
            </w:tcBorders>
            <w:shd w:val="clear" w:color="auto" w:fill="FFFFFF" w:themeFill="background1"/>
            <w:noWrap/>
            <w:hideMark/>
          </w:tcPr>
          <w:p w14:paraId="625D3007" w14:textId="6E831D7B" w:rsidR="00F107E8" w:rsidRPr="00F107E8" w:rsidRDefault="00F107E8" w:rsidP="00F107E8">
            <w:pPr>
              <w:jc w:val="right"/>
              <w:rPr>
                <w:noProof/>
                <w:sz w:val="20"/>
                <w:szCs w:val="20"/>
              </w:rPr>
            </w:pPr>
            <w:r w:rsidRPr="00F107E8">
              <w:rPr>
                <w:noProof/>
                <w:sz w:val="20"/>
                <w:szCs w:val="20"/>
              </w:rPr>
              <w:t>0</w:t>
            </w:r>
          </w:p>
        </w:tc>
      </w:tr>
      <w:tr w:rsidR="00F107E8" w:rsidRPr="007C2348" w14:paraId="56C1CF1C" w14:textId="77777777" w:rsidTr="00F107E8">
        <w:trPr>
          <w:trHeight w:val="255"/>
        </w:trPr>
        <w:tc>
          <w:tcPr>
            <w:tcW w:w="2882" w:type="pct"/>
            <w:tcBorders>
              <w:top w:val="nil"/>
              <w:left w:val="single" w:sz="4" w:space="0" w:color="auto"/>
              <w:bottom w:val="single" w:sz="4" w:space="0" w:color="auto"/>
              <w:right w:val="single" w:sz="4" w:space="0" w:color="auto"/>
            </w:tcBorders>
            <w:noWrap/>
            <w:hideMark/>
          </w:tcPr>
          <w:p w14:paraId="5AEBD0F9" w14:textId="77777777" w:rsidR="00F107E8" w:rsidRPr="004E336D" w:rsidRDefault="00F107E8" w:rsidP="00F107E8">
            <w:pPr>
              <w:rPr>
                <w:noProof/>
                <w:color w:val="000000"/>
                <w:sz w:val="20"/>
                <w:szCs w:val="20"/>
              </w:rPr>
            </w:pPr>
            <w:r w:rsidRPr="3FCE22BE">
              <w:rPr>
                <w:noProof/>
                <w:color w:val="000000" w:themeColor="text1"/>
                <w:sz w:val="20"/>
                <w:szCs w:val="20"/>
              </w:rPr>
              <w:t>New agreements made by SME platforms (changes relative to the baseline)</w:t>
            </w:r>
          </w:p>
        </w:tc>
        <w:tc>
          <w:tcPr>
            <w:tcW w:w="529" w:type="pct"/>
            <w:tcBorders>
              <w:top w:val="nil"/>
              <w:left w:val="nil"/>
              <w:bottom w:val="single" w:sz="4" w:space="0" w:color="auto"/>
              <w:right w:val="single" w:sz="4" w:space="0" w:color="auto"/>
            </w:tcBorders>
            <w:shd w:val="clear" w:color="auto" w:fill="FFFFFF" w:themeFill="background1"/>
            <w:noWrap/>
            <w:hideMark/>
          </w:tcPr>
          <w:p w14:paraId="23BCCEAE" w14:textId="370EF6B0" w:rsidR="00F107E8" w:rsidRPr="00F107E8" w:rsidRDefault="00F107E8" w:rsidP="00F107E8">
            <w:pPr>
              <w:jc w:val="right"/>
              <w:rPr>
                <w:noProof/>
                <w:sz w:val="20"/>
                <w:szCs w:val="20"/>
              </w:rPr>
            </w:pPr>
            <w:r w:rsidRPr="00F107E8">
              <w:rPr>
                <w:noProof/>
                <w:sz w:val="20"/>
                <w:szCs w:val="20"/>
              </w:rPr>
              <w:t>268</w:t>
            </w:r>
          </w:p>
        </w:tc>
        <w:tc>
          <w:tcPr>
            <w:tcW w:w="530" w:type="pct"/>
            <w:tcBorders>
              <w:top w:val="nil"/>
              <w:left w:val="nil"/>
              <w:bottom w:val="single" w:sz="4" w:space="0" w:color="auto"/>
              <w:right w:val="single" w:sz="4" w:space="0" w:color="auto"/>
            </w:tcBorders>
            <w:shd w:val="clear" w:color="auto" w:fill="FFFFFF" w:themeFill="background1"/>
            <w:noWrap/>
            <w:hideMark/>
          </w:tcPr>
          <w:p w14:paraId="1D51A41B" w14:textId="541A9348" w:rsidR="00F107E8" w:rsidRPr="00F107E8" w:rsidRDefault="00F107E8" w:rsidP="00F107E8">
            <w:pPr>
              <w:jc w:val="right"/>
              <w:rPr>
                <w:noProof/>
                <w:sz w:val="20"/>
                <w:szCs w:val="20"/>
              </w:rPr>
            </w:pPr>
            <w:r w:rsidRPr="00F107E8">
              <w:rPr>
                <w:noProof/>
                <w:sz w:val="20"/>
                <w:szCs w:val="20"/>
              </w:rPr>
              <w:t>46</w:t>
            </w:r>
          </w:p>
        </w:tc>
        <w:tc>
          <w:tcPr>
            <w:tcW w:w="529" w:type="pct"/>
            <w:tcBorders>
              <w:top w:val="nil"/>
              <w:left w:val="nil"/>
              <w:bottom w:val="single" w:sz="4" w:space="0" w:color="auto"/>
              <w:right w:val="single" w:sz="4" w:space="0" w:color="auto"/>
            </w:tcBorders>
            <w:shd w:val="clear" w:color="auto" w:fill="FFFFFF" w:themeFill="background1"/>
            <w:noWrap/>
            <w:hideMark/>
          </w:tcPr>
          <w:p w14:paraId="601170CE" w14:textId="1A9106BA" w:rsidR="00F107E8" w:rsidRPr="00F107E8" w:rsidRDefault="00F107E8" w:rsidP="00F107E8">
            <w:pPr>
              <w:jc w:val="right"/>
              <w:rPr>
                <w:noProof/>
                <w:sz w:val="20"/>
                <w:szCs w:val="20"/>
              </w:rPr>
            </w:pPr>
            <w:r w:rsidRPr="00F107E8">
              <w:rPr>
                <w:noProof/>
                <w:sz w:val="20"/>
                <w:szCs w:val="20"/>
              </w:rPr>
              <w:t>80</w:t>
            </w:r>
          </w:p>
        </w:tc>
        <w:tc>
          <w:tcPr>
            <w:tcW w:w="530" w:type="pct"/>
            <w:tcBorders>
              <w:top w:val="nil"/>
              <w:left w:val="nil"/>
              <w:bottom w:val="single" w:sz="4" w:space="0" w:color="auto"/>
              <w:right w:val="single" w:sz="4" w:space="0" w:color="auto"/>
            </w:tcBorders>
            <w:shd w:val="clear" w:color="auto" w:fill="FFFFFF" w:themeFill="background1"/>
            <w:noWrap/>
            <w:hideMark/>
          </w:tcPr>
          <w:p w14:paraId="1821763D" w14:textId="48BBD1AE" w:rsidR="00F107E8" w:rsidRPr="00F107E8" w:rsidRDefault="00F107E8" w:rsidP="00F107E8">
            <w:pPr>
              <w:jc w:val="right"/>
              <w:rPr>
                <w:noProof/>
                <w:sz w:val="20"/>
                <w:szCs w:val="20"/>
              </w:rPr>
            </w:pPr>
            <w:r w:rsidRPr="00F107E8">
              <w:rPr>
                <w:noProof/>
                <w:sz w:val="20"/>
                <w:szCs w:val="20"/>
              </w:rPr>
              <w:t>0</w:t>
            </w:r>
          </w:p>
        </w:tc>
      </w:tr>
      <w:tr w:rsidR="00F107E8" w:rsidRPr="007C2348" w14:paraId="419069AE" w14:textId="77777777" w:rsidTr="00F107E8">
        <w:trPr>
          <w:trHeight w:val="255"/>
        </w:trPr>
        <w:tc>
          <w:tcPr>
            <w:tcW w:w="2882" w:type="pct"/>
            <w:tcBorders>
              <w:top w:val="nil"/>
              <w:left w:val="single" w:sz="4" w:space="0" w:color="auto"/>
              <w:bottom w:val="single" w:sz="4" w:space="0" w:color="auto"/>
              <w:right w:val="single" w:sz="4" w:space="0" w:color="auto"/>
            </w:tcBorders>
            <w:noWrap/>
            <w:hideMark/>
          </w:tcPr>
          <w:p w14:paraId="643353EA" w14:textId="520EF7D6" w:rsidR="00F107E8" w:rsidRPr="004E336D" w:rsidRDefault="00F107E8" w:rsidP="00F107E8">
            <w:pPr>
              <w:rPr>
                <w:noProof/>
                <w:color w:val="000000"/>
                <w:sz w:val="20"/>
                <w:szCs w:val="20"/>
              </w:rPr>
            </w:pPr>
            <w:r w:rsidRPr="3FCE22BE">
              <w:rPr>
                <w:noProof/>
                <w:color w:val="000000" w:themeColor="text1"/>
                <w:sz w:val="20"/>
                <w:szCs w:val="20"/>
              </w:rPr>
              <w:t xml:space="preserve">Renegotiated agreements made by </w:t>
            </w:r>
            <w:r>
              <w:rPr>
                <w:noProof/>
                <w:color w:val="000000" w:themeColor="text1"/>
                <w:sz w:val="20"/>
                <w:szCs w:val="20"/>
              </w:rPr>
              <w:t>non-SME</w:t>
            </w:r>
            <w:r w:rsidRPr="3FCE22BE">
              <w:rPr>
                <w:noProof/>
                <w:color w:val="000000" w:themeColor="text1"/>
                <w:sz w:val="20"/>
                <w:szCs w:val="20"/>
              </w:rPr>
              <w:t xml:space="preserve"> platforms (changes relative to the baseline)</w:t>
            </w:r>
          </w:p>
        </w:tc>
        <w:tc>
          <w:tcPr>
            <w:tcW w:w="529" w:type="pct"/>
            <w:tcBorders>
              <w:top w:val="nil"/>
              <w:left w:val="nil"/>
              <w:bottom w:val="single" w:sz="4" w:space="0" w:color="auto"/>
              <w:right w:val="single" w:sz="4" w:space="0" w:color="auto"/>
            </w:tcBorders>
            <w:shd w:val="clear" w:color="auto" w:fill="FFFFFF" w:themeFill="background1"/>
            <w:noWrap/>
            <w:hideMark/>
          </w:tcPr>
          <w:p w14:paraId="202723AF" w14:textId="6867DE52" w:rsidR="00F107E8" w:rsidRPr="00F107E8" w:rsidRDefault="00F107E8" w:rsidP="00F107E8">
            <w:pPr>
              <w:jc w:val="right"/>
              <w:rPr>
                <w:noProof/>
                <w:sz w:val="20"/>
                <w:szCs w:val="20"/>
              </w:rPr>
            </w:pPr>
            <w:r w:rsidRPr="00F107E8">
              <w:rPr>
                <w:noProof/>
                <w:sz w:val="20"/>
                <w:szCs w:val="20"/>
              </w:rPr>
              <w:t>70</w:t>
            </w:r>
          </w:p>
        </w:tc>
        <w:tc>
          <w:tcPr>
            <w:tcW w:w="530" w:type="pct"/>
            <w:tcBorders>
              <w:top w:val="nil"/>
              <w:left w:val="nil"/>
              <w:bottom w:val="single" w:sz="4" w:space="0" w:color="auto"/>
              <w:right w:val="single" w:sz="4" w:space="0" w:color="auto"/>
            </w:tcBorders>
            <w:shd w:val="clear" w:color="auto" w:fill="FFFFFF" w:themeFill="background1"/>
            <w:noWrap/>
            <w:hideMark/>
          </w:tcPr>
          <w:p w14:paraId="1890A4BA" w14:textId="73C8CF05" w:rsidR="00F107E8" w:rsidRPr="00F107E8" w:rsidRDefault="00F107E8" w:rsidP="00F107E8">
            <w:pPr>
              <w:jc w:val="right"/>
              <w:rPr>
                <w:noProof/>
                <w:sz w:val="20"/>
                <w:szCs w:val="20"/>
              </w:rPr>
            </w:pPr>
            <w:r w:rsidRPr="00F107E8">
              <w:rPr>
                <w:noProof/>
                <w:sz w:val="20"/>
                <w:szCs w:val="20"/>
              </w:rPr>
              <w:t>94</w:t>
            </w:r>
          </w:p>
        </w:tc>
        <w:tc>
          <w:tcPr>
            <w:tcW w:w="529" w:type="pct"/>
            <w:tcBorders>
              <w:top w:val="nil"/>
              <w:left w:val="nil"/>
              <w:bottom w:val="single" w:sz="4" w:space="0" w:color="auto"/>
              <w:right w:val="single" w:sz="4" w:space="0" w:color="auto"/>
            </w:tcBorders>
            <w:shd w:val="clear" w:color="auto" w:fill="FFFFFF" w:themeFill="background1"/>
            <w:noWrap/>
            <w:hideMark/>
          </w:tcPr>
          <w:p w14:paraId="000C373C" w14:textId="79BAEDD8" w:rsidR="00F107E8" w:rsidRPr="00F107E8" w:rsidRDefault="00F107E8" w:rsidP="00F107E8">
            <w:pPr>
              <w:jc w:val="right"/>
              <w:rPr>
                <w:noProof/>
                <w:sz w:val="20"/>
                <w:szCs w:val="20"/>
              </w:rPr>
            </w:pPr>
            <w:r w:rsidRPr="00F107E8">
              <w:rPr>
                <w:noProof/>
                <w:sz w:val="20"/>
                <w:szCs w:val="20"/>
              </w:rPr>
              <w:t>304</w:t>
            </w:r>
          </w:p>
        </w:tc>
        <w:tc>
          <w:tcPr>
            <w:tcW w:w="530" w:type="pct"/>
            <w:tcBorders>
              <w:top w:val="nil"/>
              <w:left w:val="nil"/>
              <w:bottom w:val="single" w:sz="4" w:space="0" w:color="auto"/>
              <w:right w:val="single" w:sz="4" w:space="0" w:color="auto"/>
            </w:tcBorders>
            <w:shd w:val="clear" w:color="auto" w:fill="FFFFFF" w:themeFill="background1"/>
            <w:noWrap/>
            <w:hideMark/>
          </w:tcPr>
          <w:p w14:paraId="6FAFAD18" w14:textId="13438191" w:rsidR="00F107E8" w:rsidRPr="00F107E8" w:rsidRDefault="00F107E8" w:rsidP="00F107E8">
            <w:pPr>
              <w:jc w:val="right"/>
              <w:rPr>
                <w:noProof/>
                <w:sz w:val="20"/>
                <w:szCs w:val="20"/>
              </w:rPr>
            </w:pPr>
            <w:r w:rsidRPr="00F107E8">
              <w:rPr>
                <w:noProof/>
                <w:sz w:val="20"/>
                <w:szCs w:val="20"/>
              </w:rPr>
              <w:t>249</w:t>
            </w:r>
          </w:p>
        </w:tc>
      </w:tr>
      <w:tr w:rsidR="00F107E8" w:rsidRPr="007C2348" w14:paraId="0D492B2F" w14:textId="77777777" w:rsidTr="00F107E8">
        <w:trPr>
          <w:trHeight w:val="255"/>
        </w:trPr>
        <w:tc>
          <w:tcPr>
            <w:tcW w:w="2882" w:type="pct"/>
            <w:tcBorders>
              <w:top w:val="nil"/>
              <w:left w:val="single" w:sz="4" w:space="0" w:color="auto"/>
              <w:bottom w:val="single" w:sz="4" w:space="0" w:color="auto"/>
              <w:right w:val="single" w:sz="4" w:space="0" w:color="auto"/>
            </w:tcBorders>
            <w:noWrap/>
            <w:hideMark/>
          </w:tcPr>
          <w:p w14:paraId="5C331858" w14:textId="77777777" w:rsidR="00F107E8" w:rsidRPr="004E336D" w:rsidRDefault="00F107E8" w:rsidP="00F107E8">
            <w:pPr>
              <w:rPr>
                <w:noProof/>
                <w:color w:val="000000"/>
                <w:sz w:val="20"/>
                <w:szCs w:val="20"/>
              </w:rPr>
            </w:pPr>
            <w:r w:rsidRPr="3FCE22BE">
              <w:rPr>
                <w:noProof/>
                <w:color w:val="000000" w:themeColor="text1"/>
                <w:sz w:val="20"/>
                <w:szCs w:val="20"/>
              </w:rPr>
              <w:t>Renegotiated agreements made by SME platforms (changes relative to the baseline)</w:t>
            </w:r>
          </w:p>
        </w:tc>
        <w:tc>
          <w:tcPr>
            <w:tcW w:w="529" w:type="pct"/>
            <w:tcBorders>
              <w:top w:val="nil"/>
              <w:left w:val="nil"/>
              <w:bottom w:val="single" w:sz="4" w:space="0" w:color="auto"/>
              <w:right w:val="single" w:sz="4" w:space="0" w:color="auto"/>
            </w:tcBorders>
            <w:shd w:val="clear" w:color="auto" w:fill="FFFFFF" w:themeFill="background1"/>
            <w:noWrap/>
            <w:hideMark/>
          </w:tcPr>
          <w:p w14:paraId="2F39C388" w14:textId="1FCE422A" w:rsidR="00F107E8" w:rsidRPr="00F107E8" w:rsidRDefault="00F107E8" w:rsidP="00F107E8">
            <w:pPr>
              <w:jc w:val="right"/>
              <w:rPr>
                <w:noProof/>
                <w:sz w:val="20"/>
                <w:szCs w:val="20"/>
              </w:rPr>
            </w:pPr>
            <w:r w:rsidRPr="00F107E8">
              <w:rPr>
                <w:noProof/>
                <w:sz w:val="20"/>
                <w:szCs w:val="20"/>
              </w:rPr>
              <w:t>89</w:t>
            </w:r>
          </w:p>
        </w:tc>
        <w:tc>
          <w:tcPr>
            <w:tcW w:w="530" w:type="pct"/>
            <w:tcBorders>
              <w:top w:val="nil"/>
              <w:left w:val="nil"/>
              <w:bottom w:val="single" w:sz="4" w:space="0" w:color="auto"/>
              <w:right w:val="single" w:sz="4" w:space="0" w:color="auto"/>
            </w:tcBorders>
            <w:shd w:val="clear" w:color="auto" w:fill="FFFFFF" w:themeFill="background1"/>
            <w:noWrap/>
            <w:hideMark/>
          </w:tcPr>
          <w:p w14:paraId="560F10E5" w14:textId="46CCF85C" w:rsidR="00F107E8" w:rsidRPr="00F107E8" w:rsidRDefault="00F107E8" w:rsidP="00F107E8">
            <w:pPr>
              <w:jc w:val="right"/>
              <w:rPr>
                <w:noProof/>
                <w:sz w:val="20"/>
                <w:szCs w:val="20"/>
              </w:rPr>
            </w:pPr>
            <w:r w:rsidRPr="00F107E8">
              <w:rPr>
                <w:noProof/>
                <w:sz w:val="20"/>
                <w:szCs w:val="20"/>
              </w:rPr>
              <w:t>120</w:t>
            </w:r>
          </w:p>
        </w:tc>
        <w:tc>
          <w:tcPr>
            <w:tcW w:w="529" w:type="pct"/>
            <w:tcBorders>
              <w:top w:val="nil"/>
              <w:left w:val="nil"/>
              <w:bottom w:val="single" w:sz="4" w:space="0" w:color="auto"/>
              <w:right w:val="single" w:sz="4" w:space="0" w:color="auto"/>
            </w:tcBorders>
            <w:shd w:val="clear" w:color="auto" w:fill="FFFFFF" w:themeFill="background1"/>
            <w:noWrap/>
            <w:hideMark/>
          </w:tcPr>
          <w:p w14:paraId="1B080EE4" w14:textId="4060B69E" w:rsidR="00F107E8" w:rsidRPr="00F107E8" w:rsidRDefault="00F107E8" w:rsidP="00F107E8">
            <w:pPr>
              <w:jc w:val="right"/>
              <w:rPr>
                <w:noProof/>
                <w:sz w:val="20"/>
                <w:szCs w:val="20"/>
              </w:rPr>
            </w:pPr>
            <w:r w:rsidRPr="00F107E8">
              <w:rPr>
                <w:noProof/>
                <w:sz w:val="20"/>
                <w:szCs w:val="20"/>
              </w:rPr>
              <w:t>388</w:t>
            </w:r>
          </w:p>
        </w:tc>
        <w:tc>
          <w:tcPr>
            <w:tcW w:w="530" w:type="pct"/>
            <w:tcBorders>
              <w:top w:val="nil"/>
              <w:left w:val="nil"/>
              <w:bottom w:val="single" w:sz="4" w:space="0" w:color="auto"/>
              <w:right w:val="single" w:sz="4" w:space="0" w:color="auto"/>
            </w:tcBorders>
            <w:shd w:val="clear" w:color="auto" w:fill="FFFFFF" w:themeFill="background1"/>
            <w:noWrap/>
            <w:hideMark/>
          </w:tcPr>
          <w:p w14:paraId="1F2FF14F" w14:textId="594A9307" w:rsidR="00F107E8" w:rsidRPr="00F107E8" w:rsidRDefault="00F107E8" w:rsidP="00F107E8">
            <w:pPr>
              <w:jc w:val="right"/>
              <w:rPr>
                <w:noProof/>
                <w:sz w:val="20"/>
                <w:szCs w:val="20"/>
              </w:rPr>
            </w:pPr>
            <w:r w:rsidRPr="00F107E8">
              <w:rPr>
                <w:noProof/>
                <w:sz w:val="20"/>
                <w:szCs w:val="20"/>
              </w:rPr>
              <w:t>318</w:t>
            </w:r>
          </w:p>
        </w:tc>
      </w:tr>
      <w:tr w:rsidR="00F107E8" w:rsidRPr="007C2348" w14:paraId="1FD044F5" w14:textId="77777777" w:rsidTr="00F107E8">
        <w:trPr>
          <w:trHeight w:val="255"/>
        </w:trPr>
        <w:tc>
          <w:tcPr>
            <w:tcW w:w="2882" w:type="pct"/>
            <w:tcBorders>
              <w:top w:val="nil"/>
              <w:left w:val="single" w:sz="4" w:space="0" w:color="auto"/>
              <w:bottom w:val="single" w:sz="4" w:space="0" w:color="auto"/>
              <w:right w:val="single" w:sz="4" w:space="0" w:color="auto"/>
            </w:tcBorders>
            <w:noWrap/>
            <w:hideMark/>
          </w:tcPr>
          <w:p w14:paraId="4B0A687D" w14:textId="180589A9" w:rsidR="00F107E8" w:rsidRPr="004E336D" w:rsidRDefault="00F107E8" w:rsidP="00F107E8">
            <w:pPr>
              <w:rPr>
                <w:noProof/>
                <w:color w:val="000000"/>
                <w:sz w:val="20"/>
                <w:szCs w:val="20"/>
              </w:rPr>
            </w:pPr>
            <w:r w:rsidRPr="004E336D">
              <w:rPr>
                <w:noProof/>
                <w:color w:val="000000"/>
                <w:sz w:val="20"/>
                <w:szCs w:val="20"/>
              </w:rPr>
              <w:t xml:space="preserve">Total adjustment cost savings for </w:t>
            </w:r>
            <w:r>
              <w:rPr>
                <w:noProof/>
                <w:color w:val="000000"/>
                <w:sz w:val="20"/>
                <w:szCs w:val="20"/>
              </w:rPr>
              <w:t>non-SME</w:t>
            </w:r>
            <w:r w:rsidRPr="004E336D">
              <w:rPr>
                <w:noProof/>
                <w:color w:val="000000"/>
                <w:sz w:val="20"/>
                <w:szCs w:val="20"/>
              </w:rPr>
              <w:t xml:space="preserve"> platforms (million EUR)</w:t>
            </w:r>
          </w:p>
        </w:tc>
        <w:tc>
          <w:tcPr>
            <w:tcW w:w="529" w:type="pct"/>
            <w:tcBorders>
              <w:top w:val="nil"/>
              <w:left w:val="nil"/>
              <w:bottom w:val="single" w:sz="4" w:space="0" w:color="auto"/>
              <w:right w:val="single" w:sz="4" w:space="0" w:color="auto"/>
            </w:tcBorders>
            <w:shd w:val="clear" w:color="auto" w:fill="FFFFFF" w:themeFill="background1"/>
            <w:noWrap/>
            <w:hideMark/>
          </w:tcPr>
          <w:p w14:paraId="69576903" w14:textId="1CF76643" w:rsidR="00F107E8" w:rsidRPr="00F107E8" w:rsidRDefault="00F107E8" w:rsidP="00F107E8">
            <w:pPr>
              <w:jc w:val="right"/>
              <w:rPr>
                <w:noProof/>
                <w:sz w:val="20"/>
                <w:szCs w:val="20"/>
              </w:rPr>
            </w:pPr>
            <w:r w:rsidRPr="00F107E8">
              <w:rPr>
                <w:noProof/>
                <w:sz w:val="20"/>
                <w:szCs w:val="20"/>
              </w:rPr>
              <w:t>0.5</w:t>
            </w:r>
          </w:p>
        </w:tc>
        <w:tc>
          <w:tcPr>
            <w:tcW w:w="530" w:type="pct"/>
            <w:tcBorders>
              <w:top w:val="nil"/>
              <w:left w:val="nil"/>
              <w:bottom w:val="single" w:sz="4" w:space="0" w:color="auto"/>
              <w:right w:val="single" w:sz="4" w:space="0" w:color="auto"/>
            </w:tcBorders>
            <w:shd w:val="clear" w:color="auto" w:fill="FFFFFF" w:themeFill="background1"/>
            <w:noWrap/>
            <w:hideMark/>
          </w:tcPr>
          <w:p w14:paraId="59647D9E" w14:textId="5A1ACF56" w:rsidR="00F107E8" w:rsidRPr="00F107E8" w:rsidRDefault="00F107E8" w:rsidP="00F107E8">
            <w:pPr>
              <w:jc w:val="right"/>
              <w:rPr>
                <w:noProof/>
                <w:sz w:val="20"/>
                <w:szCs w:val="20"/>
              </w:rPr>
            </w:pPr>
            <w:r w:rsidRPr="00F107E8">
              <w:rPr>
                <w:noProof/>
                <w:sz w:val="20"/>
                <w:szCs w:val="20"/>
              </w:rPr>
              <w:t>0.2</w:t>
            </w:r>
          </w:p>
        </w:tc>
        <w:tc>
          <w:tcPr>
            <w:tcW w:w="529" w:type="pct"/>
            <w:tcBorders>
              <w:top w:val="nil"/>
              <w:left w:val="nil"/>
              <w:bottom w:val="single" w:sz="4" w:space="0" w:color="auto"/>
              <w:right w:val="single" w:sz="4" w:space="0" w:color="auto"/>
            </w:tcBorders>
            <w:shd w:val="clear" w:color="auto" w:fill="FFFFFF" w:themeFill="background1"/>
            <w:noWrap/>
            <w:hideMark/>
          </w:tcPr>
          <w:p w14:paraId="7F33F4F4" w14:textId="5190FC85" w:rsidR="00F107E8" w:rsidRPr="00F107E8" w:rsidRDefault="00F107E8" w:rsidP="00F107E8">
            <w:pPr>
              <w:jc w:val="right"/>
              <w:rPr>
                <w:noProof/>
                <w:sz w:val="20"/>
                <w:szCs w:val="20"/>
              </w:rPr>
            </w:pPr>
            <w:r w:rsidRPr="00F107E8">
              <w:rPr>
                <w:noProof/>
                <w:sz w:val="20"/>
                <w:szCs w:val="20"/>
              </w:rPr>
              <w:t>0.5</w:t>
            </w:r>
          </w:p>
        </w:tc>
        <w:tc>
          <w:tcPr>
            <w:tcW w:w="530" w:type="pct"/>
            <w:tcBorders>
              <w:top w:val="nil"/>
              <w:left w:val="nil"/>
              <w:bottom w:val="single" w:sz="4" w:space="0" w:color="auto"/>
              <w:right w:val="single" w:sz="4" w:space="0" w:color="auto"/>
            </w:tcBorders>
            <w:shd w:val="clear" w:color="auto" w:fill="FFFFFF" w:themeFill="background1"/>
            <w:noWrap/>
            <w:hideMark/>
          </w:tcPr>
          <w:p w14:paraId="07493DB0" w14:textId="423451D5" w:rsidR="00F107E8" w:rsidRPr="00F107E8" w:rsidRDefault="00F107E8" w:rsidP="00F107E8">
            <w:pPr>
              <w:jc w:val="right"/>
              <w:rPr>
                <w:noProof/>
                <w:sz w:val="20"/>
                <w:szCs w:val="20"/>
              </w:rPr>
            </w:pPr>
            <w:r w:rsidRPr="00F107E8">
              <w:rPr>
                <w:noProof/>
                <w:sz w:val="20"/>
                <w:szCs w:val="20"/>
              </w:rPr>
              <w:t>0.3</w:t>
            </w:r>
          </w:p>
        </w:tc>
      </w:tr>
      <w:tr w:rsidR="00F107E8" w:rsidRPr="007C2348" w14:paraId="228EA035" w14:textId="77777777" w:rsidTr="00F107E8">
        <w:trPr>
          <w:trHeight w:val="255"/>
        </w:trPr>
        <w:tc>
          <w:tcPr>
            <w:tcW w:w="2882" w:type="pct"/>
            <w:tcBorders>
              <w:top w:val="nil"/>
              <w:left w:val="single" w:sz="4" w:space="0" w:color="auto"/>
              <w:bottom w:val="single" w:sz="4" w:space="0" w:color="auto"/>
              <w:right w:val="single" w:sz="4" w:space="0" w:color="auto"/>
            </w:tcBorders>
            <w:noWrap/>
            <w:hideMark/>
          </w:tcPr>
          <w:p w14:paraId="13F23171" w14:textId="77777777" w:rsidR="00F107E8" w:rsidRPr="004E336D" w:rsidRDefault="00F107E8" w:rsidP="00F107E8">
            <w:pPr>
              <w:rPr>
                <w:noProof/>
                <w:color w:val="000000"/>
                <w:sz w:val="20"/>
                <w:szCs w:val="20"/>
              </w:rPr>
            </w:pPr>
            <w:r w:rsidRPr="004E336D">
              <w:rPr>
                <w:noProof/>
                <w:color w:val="000000"/>
                <w:sz w:val="20"/>
                <w:szCs w:val="20"/>
              </w:rPr>
              <w:t>Total adjustment cost savings for SME platforms (million EUR)</w:t>
            </w:r>
          </w:p>
        </w:tc>
        <w:tc>
          <w:tcPr>
            <w:tcW w:w="529" w:type="pct"/>
            <w:tcBorders>
              <w:top w:val="nil"/>
              <w:left w:val="nil"/>
              <w:bottom w:val="single" w:sz="4" w:space="0" w:color="auto"/>
              <w:right w:val="single" w:sz="4" w:space="0" w:color="auto"/>
            </w:tcBorders>
            <w:shd w:val="clear" w:color="auto" w:fill="FFFFFF" w:themeFill="background1"/>
            <w:noWrap/>
            <w:hideMark/>
          </w:tcPr>
          <w:p w14:paraId="4D5F65A3" w14:textId="6C343836" w:rsidR="00F107E8" w:rsidRPr="00F107E8" w:rsidRDefault="00F107E8" w:rsidP="00F107E8">
            <w:pPr>
              <w:jc w:val="right"/>
              <w:rPr>
                <w:noProof/>
                <w:sz w:val="20"/>
                <w:szCs w:val="20"/>
              </w:rPr>
            </w:pPr>
            <w:r w:rsidRPr="00F107E8">
              <w:rPr>
                <w:noProof/>
                <w:sz w:val="20"/>
                <w:szCs w:val="20"/>
              </w:rPr>
              <w:t>0.6</w:t>
            </w:r>
          </w:p>
        </w:tc>
        <w:tc>
          <w:tcPr>
            <w:tcW w:w="530" w:type="pct"/>
            <w:tcBorders>
              <w:top w:val="nil"/>
              <w:left w:val="nil"/>
              <w:bottom w:val="single" w:sz="4" w:space="0" w:color="auto"/>
              <w:right w:val="single" w:sz="4" w:space="0" w:color="auto"/>
            </w:tcBorders>
            <w:shd w:val="clear" w:color="auto" w:fill="FFFFFF" w:themeFill="background1"/>
            <w:noWrap/>
            <w:hideMark/>
          </w:tcPr>
          <w:p w14:paraId="5FCAF0C9" w14:textId="2A5D55AC" w:rsidR="00F107E8" w:rsidRPr="00F107E8" w:rsidRDefault="00F107E8" w:rsidP="00F107E8">
            <w:pPr>
              <w:jc w:val="right"/>
              <w:rPr>
                <w:noProof/>
                <w:sz w:val="20"/>
                <w:szCs w:val="20"/>
              </w:rPr>
            </w:pPr>
            <w:r w:rsidRPr="00F107E8">
              <w:rPr>
                <w:noProof/>
                <w:sz w:val="20"/>
                <w:szCs w:val="20"/>
              </w:rPr>
              <w:t>0.2</w:t>
            </w:r>
          </w:p>
        </w:tc>
        <w:tc>
          <w:tcPr>
            <w:tcW w:w="529" w:type="pct"/>
            <w:tcBorders>
              <w:top w:val="nil"/>
              <w:left w:val="nil"/>
              <w:bottom w:val="single" w:sz="4" w:space="0" w:color="auto"/>
              <w:right w:val="single" w:sz="4" w:space="0" w:color="auto"/>
            </w:tcBorders>
            <w:shd w:val="clear" w:color="auto" w:fill="FFFFFF" w:themeFill="background1"/>
            <w:noWrap/>
            <w:hideMark/>
          </w:tcPr>
          <w:p w14:paraId="07842F4E" w14:textId="59AC6A3F" w:rsidR="00F107E8" w:rsidRPr="00F107E8" w:rsidRDefault="00F107E8" w:rsidP="00F107E8">
            <w:pPr>
              <w:jc w:val="right"/>
              <w:rPr>
                <w:noProof/>
                <w:sz w:val="20"/>
                <w:szCs w:val="20"/>
              </w:rPr>
            </w:pPr>
            <w:r w:rsidRPr="00F107E8">
              <w:rPr>
                <w:noProof/>
                <w:sz w:val="20"/>
                <w:szCs w:val="20"/>
              </w:rPr>
              <w:t>0.6</w:t>
            </w:r>
          </w:p>
        </w:tc>
        <w:tc>
          <w:tcPr>
            <w:tcW w:w="530" w:type="pct"/>
            <w:tcBorders>
              <w:top w:val="nil"/>
              <w:left w:val="nil"/>
              <w:bottom w:val="single" w:sz="4" w:space="0" w:color="auto"/>
              <w:right w:val="single" w:sz="4" w:space="0" w:color="auto"/>
            </w:tcBorders>
            <w:shd w:val="clear" w:color="auto" w:fill="FFFFFF" w:themeFill="background1"/>
            <w:noWrap/>
            <w:hideMark/>
          </w:tcPr>
          <w:p w14:paraId="75178678" w14:textId="4674C6A8" w:rsidR="00F107E8" w:rsidRPr="00F107E8" w:rsidRDefault="00F107E8" w:rsidP="00F107E8">
            <w:pPr>
              <w:jc w:val="right"/>
              <w:rPr>
                <w:noProof/>
                <w:sz w:val="20"/>
                <w:szCs w:val="20"/>
              </w:rPr>
            </w:pPr>
            <w:r w:rsidRPr="00F107E8">
              <w:rPr>
                <w:noProof/>
                <w:sz w:val="20"/>
                <w:szCs w:val="20"/>
              </w:rPr>
              <w:t>0.4</w:t>
            </w:r>
          </w:p>
        </w:tc>
      </w:tr>
      <w:tr w:rsidR="00F107E8" w:rsidRPr="007C2348" w14:paraId="7AB98C4D" w14:textId="77777777" w:rsidTr="00F107E8">
        <w:trPr>
          <w:trHeight w:val="255"/>
        </w:trPr>
        <w:tc>
          <w:tcPr>
            <w:tcW w:w="2882" w:type="pct"/>
            <w:tcBorders>
              <w:top w:val="nil"/>
              <w:left w:val="single" w:sz="4" w:space="0" w:color="auto"/>
              <w:bottom w:val="single" w:sz="4" w:space="0" w:color="auto"/>
              <w:right w:val="single" w:sz="4" w:space="0" w:color="auto"/>
            </w:tcBorders>
            <w:noWrap/>
            <w:hideMark/>
          </w:tcPr>
          <w:p w14:paraId="54A4D969" w14:textId="77777777" w:rsidR="00F107E8" w:rsidRPr="004E336D" w:rsidRDefault="00F107E8" w:rsidP="00F107E8">
            <w:pPr>
              <w:rPr>
                <w:b/>
                <w:noProof/>
                <w:color w:val="000000"/>
                <w:sz w:val="20"/>
                <w:szCs w:val="20"/>
              </w:rPr>
            </w:pPr>
            <w:r w:rsidRPr="004E336D">
              <w:rPr>
                <w:b/>
                <w:noProof/>
                <w:color w:val="000000"/>
                <w:sz w:val="20"/>
                <w:szCs w:val="20"/>
              </w:rPr>
              <w:t>PO3</w:t>
            </w:r>
          </w:p>
        </w:tc>
        <w:tc>
          <w:tcPr>
            <w:tcW w:w="529" w:type="pct"/>
            <w:tcBorders>
              <w:top w:val="nil"/>
              <w:left w:val="nil"/>
              <w:bottom w:val="single" w:sz="4" w:space="0" w:color="auto"/>
              <w:right w:val="single" w:sz="4" w:space="0" w:color="auto"/>
            </w:tcBorders>
            <w:shd w:val="clear" w:color="auto" w:fill="FFFFFF" w:themeFill="background1"/>
            <w:noWrap/>
            <w:hideMark/>
          </w:tcPr>
          <w:p w14:paraId="533567E9" w14:textId="08F5F7B9" w:rsidR="00F107E8" w:rsidRPr="00F107E8" w:rsidRDefault="00F107E8" w:rsidP="00F107E8">
            <w:pPr>
              <w:rPr>
                <w:noProof/>
                <w:sz w:val="20"/>
                <w:szCs w:val="20"/>
              </w:rPr>
            </w:pPr>
            <w:r w:rsidRPr="00F107E8">
              <w:rPr>
                <w:noProof/>
                <w:sz w:val="20"/>
                <w:szCs w:val="20"/>
              </w:rPr>
              <w:t> </w:t>
            </w:r>
          </w:p>
        </w:tc>
        <w:tc>
          <w:tcPr>
            <w:tcW w:w="530" w:type="pct"/>
            <w:tcBorders>
              <w:top w:val="nil"/>
              <w:left w:val="nil"/>
              <w:bottom w:val="single" w:sz="4" w:space="0" w:color="auto"/>
              <w:right w:val="single" w:sz="4" w:space="0" w:color="auto"/>
            </w:tcBorders>
            <w:shd w:val="clear" w:color="auto" w:fill="FFFFFF" w:themeFill="background1"/>
            <w:noWrap/>
            <w:hideMark/>
          </w:tcPr>
          <w:p w14:paraId="42E03C85" w14:textId="5F2D1BC5" w:rsidR="00F107E8" w:rsidRPr="00F107E8" w:rsidRDefault="00F107E8" w:rsidP="00F107E8">
            <w:pPr>
              <w:rPr>
                <w:noProof/>
                <w:sz w:val="20"/>
                <w:szCs w:val="20"/>
              </w:rPr>
            </w:pPr>
            <w:r w:rsidRPr="00F107E8">
              <w:rPr>
                <w:noProof/>
                <w:sz w:val="20"/>
                <w:szCs w:val="20"/>
              </w:rPr>
              <w:t> </w:t>
            </w:r>
          </w:p>
        </w:tc>
        <w:tc>
          <w:tcPr>
            <w:tcW w:w="529" w:type="pct"/>
            <w:tcBorders>
              <w:top w:val="nil"/>
              <w:left w:val="nil"/>
              <w:bottom w:val="single" w:sz="4" w:space="0" w:color="auto"/>
              <w:right w:val="single" w:sz="4" w:space="0" w:color="auto"/>
            </w:tcBorders>
            <w:shd w:val="clear" w:color="auto" w:fill="FFFFFF" w:themeFill="background1"/>
            <w:noWrap/>
            <w:hideMark/>
          </w:tcPr>
          <w:p w14:paraId="2F7EA338" w14:textId="608F2ACF" w:rsidR="00F107E8" w:rsidRPr="00F107E8" w:rsidRDefault="00F107E8" w:rsidP="00F107E8">
            <w:pPr>
              <w:rPr>
                <w:noProof/>
                <w:sz w:val="20"/>
                <w:szCs w:val="20"/>
              </w:rPr>
            </w:pPr>
            <w:r w:rsidRPr="00F107E8">
              <w:rPr>
                <w:noProof/>
                <w:sz w:val="20"/>
                <w:szCs w:val="20"/>
              </w:rPr>
              <w:t> </w:t>
            </w:r>
          </w:p>
        </w:tc>
        <w:tc>
          <w:tcPr>
            <w:tcW w:w="530" w:type="pct"/>
            <w:tcBorders>
              <w:top w:val="nil"/>
              <w:left w:val="nil"/>
              <w:bottom w:val="single" w:sz="4" w:space="0" w:color="auto"/>
              <w:right w:val="single" w:sz="4" w:space="0" w:color="auto"/>
            </w:tcBorders>
            <w:shd w:val="clear" w:color="auto" w:fill="FFFFFF" w:themeFill="background1"/>
            <w:noWrap/>
            <w:hideMark/>
          </w:tcPr>
          <w:p w14:paraId="28485A36" w14:textId="6F6A23A8" w:rsidR="00F107E8" w:rsidRPr="00F107E8" w:rsidRDefault="00F107E8" w:rsidP="00F107E8">
            <w:pPr>
              <w:rPr>
                <w:noProof/>
                <w:sz w:val="20"/>
                <w:szCs w:val="20"/>
              </w:rPr>
            </w:pPr>
            <w:r w:rsidRPr="00F107E8">
              <w:rPr>
                <w:noProof/>
                <w:sz w:val="20"/>
                <w:szCs w:val="20"/>
              </w:rPr>
              <w:t> </w:t>
            </w:r>
          </w:p>
        </w:tc>
      </w:tr>
      <w:tr w:rsidR="00F107E8" w:rsidRPr="007C2348" w14:paraId="1B23D630" w14:textId="77777777" w:rsidTr="00F107E8">
        <w:trPr>
          <w:trHeight w:val="255"/>
        </w:trPr>
        <w:tc>
          <w:tcPr>
            <w:tcW w:w="2882" w:type="pct"/>
            <w:tcBorders>
              <w:top w:val="nil"/>
              <w:left w:val="single" w:sz="4" w:space="0" w:color="auto"/>
              <w:bottom w:val="single" w:sz="4" w:space="0" w:color="auto"/>
              <w:right w:val="single" w:sz="4" w:space="0" w:color="auto"/>
            </w:tcBorders>
            <w:noWrap/>
            <w:hideMark/>
          </w:tcPr>
          <w:p w14:paraId="3B485923" w14:textId="457A0608" w:rsidR="00F107E8" w:rsidRPr="004E336D" w:rsidRDefault="00F107E8" w:rsidP="00F107E8">
            <w:pPr>
              <w:rPr>
                <w:noProof/>
                <w:color w:val="000000"/>
                <w:sz w:val="20"/>
                <w:szCs w:val="20"/>
              </w:rPr>
            </w:pPr>
            <w:r w:rsidRPr="3FCE22BE">
              <w:rPr>
                <w:noProof/>
                <w:color w:val="000000" w:themeColor="text1"/>
                <w:sz w:val="20"/>
                <w:szCs w:val="20"/>
              </w:rPr>
              <w:t xml:space="preserve">New agreements made by </w:t>
            </w:r>
            <w:r>
              <w:rPr>
                <w:noProof/>
                <w:color w:val="000000" w:themeColor="text1"/>
                <w:sz w:val="20"/>
                <w:szCs w:val="20"/>
              </w:rPr>
              <w:t>non-SME</w:t>
            </w:r>
            <w:r w:rsidRPr="3FCE22BE">
              <w:rPr>
                <w:noProof/>
                <w:color w:val="000000" w:themeColor="text1"/>
                <w:sz w:val="20"/>
                <w:szCs w:val="20"/>
              </w:rPr>
              <w:t xml:space="preserve"> platforms (changes relative to the baseline)</w:t>
            </w:r>
          </w:p>
        </w:tc>
        <w:tc>
          <w:tcPr>
            <w:tcW w:w="529" w:type="pct"/>
            <w:tcBorders>
              <w:top w:val="nil"/>
              <w:left w:val="nil"/>
              <w:bottom w:val="single" w:sz="4" w:space="0" w:color="auto"/>
              <w:right w:val="single" w:sz="4" w:space="0" w:color="auto"/>
            </w:tcBorders>
            <w:shd w:val="clear" w:color="auto" w:fill="FFFFFF" w:themeFill="background1"/>
            <w:noWrap/>
            <w:hideMark/>
          </w:tcPr>
          <w:p w14:paraId="61907498" w14:textId="55E6E9C7" w:rsidR="00F107E8" w:rsidRPr="00F107E8" w:rsidRDefault="00F107E8" w:rsidP="00F107E8">
            <w:pPr>
              <w:jc w:val="right"/>
              <w:rPr>
                <w:noProof/>
                <w:sz w:val="20"/>
                <w:szCs w:val="20"/>
              </w:rPr>
            </w:pPr>
            <w:r w:rsidRPr="00F107E8">
              <w:rPr>
                <w:noProof/>
                <w:sz w:val="20"/>
                <w:szCs w:val="20"/>
              </w:rPr>
              <w:t>210</w:t>
            </w:r>
          </w:p>
        </w:tc>
        <w:tc>
          <w:tcPr>
            <w:tcW w:w="530" w:type="pct"/>
            <w:tcBorders>
              <w:top w:val="nil"/>
              <w:left w:val="nil"/>
              <w:bottom w:val="single" w:sz="4" w:space="0" w:color="auto"/>
              <w:right w:val="single" w:sz="4" w:space="0" w:color="auto"/>
            </w:tcBorders>
            <w:shd w:val="clear" w:color="auto" w:fill="FFFFFF" w:themeFill="background1"/>
            <w:noWrap/>
            <w:hideMark/>
          </w:tcPr>
          <w:p w14:paraId="7DD5E619" w14:textId="16A359FA" w:rsidR="00F107E8" w:rsidRPr="00F107E8" w:rsidRDefault="00F107E8" w:rsidP="00F107E8">
            <w:pPr>
              <w:jc w:val="right"/>
              <w:rPr>
                <w:noProof/>
                <w:sz w:val="20"/>
                <w:szCs w:val="20"/>
              </w:rPr>
            </w:pPr>
            <w:r w:rsidRPr="00F107E8">
              <w:rPr>
                <w:noProof/>
                <w:sz w:val="20"/>
                <w:szCs w:val="20"/>
              </w:rPr>
              <w:t>36</w:t>
            </w:r>
          </w:p>
        </w:tc>
        <w:tc>
          <w:tcPr>
            <w:tcW w:w="529" w:type="pct"/>
            <w:tcBorders>
              <w:top w:val="nil"/>
              <w:left w:val="nil"/>
              <w:bottom w:val="single" w:sz="4" w:space="0" w:color="auto"/>
              <w:right w:val="single" w:sz="4" w:space="0" w:color="auto"/>
            </w:tcBorders>
            <w:shd w:val="clear" w:color="auto" w:fill="FFFFFF" w:themeFill="background1"/>
            <w:noWrap/>
            <w:hideMark/>
          </w:tcPr>
          <w:p w14:paraId="11E94917" w14:textId="13BF87C4" w:rsidR="00F107E8" w:rsidRPr="00F107E8" w:rsidRDefault="00F107E8" w:rsidP="00F107E8">
            <w:pPr>
              <w:jc w:val="right"/>
              <w:rPr>
                <w:noProof/>
                <w:sz w:val="20"/>
                <w:szCs w:val="20"/>
              </w:rPr>
            </w:pPr>
            <w:r w:rsidRPr="00F107E8">
              <w:rPr>
                <w:noProof/>
                <w:sz w:val="20"/>
                <w:szCs w:val="20"/>
              </w:rPr>
              <w:t>52</w:t>
            </w:r>
          </w:p>
        </w:tc>
        <w:tc>
          <w:tcPr>
            <w:tcW w:w="530" w:type="pct"/>
            <w:tcBorders>
              <w:top w:val="nil"/>
              <w:left w:val="nil"/>
              <w:bottom w:val="single" w:sz="4" w:space="0" w:color="auto"/>
              <w:right w:val="single" w:sz="4" w:space="0" w:color="auto"/>
            </w:tcBorders>
            <w:shd w:val="clear" w:color="auto" w:fill="FFFFFF" w:themeFill="background1"/>
            <w:noWrap/>
            <w:hideMark/>
          </w:tcPr>
          <w:p w14:paraId="3DA5C282" w14:textId="35C829AB" w:rsidR="00F107E8" w:rsidRPr="00F107E8" w:rsidRDefault="00F107E8" w:rsidP="00F107E8">
            <w:pPr>
              <w:jc w:val="right"/>
              <w:rPr>
                <w:noProof/>
                <w:sz w:val="20"/>
                <w:szCs w:val="20"/>
              </w:rPr>
            </w:pPr>
            <w:r w:rsidRPr="00F107E8">
              <w:rPr>
                <w:noProof/>
                <w:sz w:val="20"/>
                <w:szCs w:val="20"/>
              </w:rPr>
              <w:t>0</w:t>
            </w:r>
          </w:p>
        </w:tc>
      </w:tr>
      <w:tr w:rsidR="00F107E8" w:rsidRPr="007C2348" w14:paraId="37185F94" w14:textId="77777777" w:rsidTr="00F107E8">
        <w:trPr>
          <w:trHeight w:val="255"/>
        </w:trPr>
        <w:tc>
          <w:tcPr>
            <w:tcW w:w="2882" w:type="pct"/>
            <w:tcBorders>
              <w:top w:val="nil"/>
              <w:left w:val="single" w:sz="4" w:space="0" w:color="auto"/>
              <w:bottom w:val="single" w:sz="4" w:space="0" w:color="auto"/>
              <w:right w:val="single" w:sz="4" w:space="0" w:color="auto"/>
            </w:tcBorders>
            <w:noWrap/>
            <w:hideMark/>
          </w:tcPr>
          <w:p w14:paraId="48DCA490" w14:textId="77777777" w:rsidR="00F107E8" w:rsidRPr="004E336D" w:rsidRDefault="00F107E8" w:rsidP="00F107E8">
            <w:pPr>
              <w:rPr>
                <w:noProof/>
                <w:color w:val="000000"/>
                <w:sz w:val="20"/>
                <w:szCs w:val="20"/>
              </w:rPr>
            </w:pPr>
            <w:r w:rsidRPr="3FCE22BE">
              <w:rPr>
                <w:noProof/>
                <w:color w:val="000000" w:themeColor="text1"/>
                <w:sz w:val="20"/>
                <w:szCs w:val="20"/>
              </w:rPr>
              <w:t>New agreements made by SME platforms (changes relative to the baseline)</w:t>
            </w:r>
          </w:p>
        </w:tc>
        <w:tc>
          <w:tcPr>
            <w:tcW w:w="529" w:type="pct"/>
            <w:tcBorders>
              <w:top w:val="nil"/>
              <w:left w:val="nil"/>
              <w:bottom w:val="single" w:sz="4" w:space="0" w:color="auto"/>
              <w:right w:val="single" w:sz="4" w:space="0" w:color="auto"/>
            </w:tcBorders>
            <w:shd w:val="clear" w:color="auto" w:fill="FFFFFF" w:themeFill="background1"/>
            <w:noWrap/>
            <w:hideMark/>
          </w:tcPr>
          <w:p w14:paraId="53A1F9D5" w14:textId="5AF35930" w:rsidR="00F107E8" w:rsidRPr="00F107E8" w:rsidRDefault="00F107E8" w:rsidP="00F107E8">
            <w:pPr>
              <w:jc w:val="right"/>
              <w:rPr>
                <w:noProof/>
                <w:sz w:val="20"/>
                <w:szCs w:val="20"/>
              </w:rPr>
            </w:pPr>
            <w:r w:rsidRPr="00F107E8">
              <w:rPr>
                <w:noProof/>
                <w:sz w:val="20"/>
                <w:szCs w:val="20"/>
              </w:rPr>
              <w:t>268</w:t>
            </w:r>
          </w:p>
        </w:tc>
        <w:tc>
          <w:tcPr>
            <w:tcW w:w="530" w:type="pct"/>
            <w:tcBorders>
              <w:top w:val="nil"/>
              <w:left w:val="nil"/>
              <w:bottom w:val="single" w:sz="4" w:space="0" w:color="auto"/>
              <w:right w:val="single" w:sz="4" w:space="0" w:color="auto"/>
            </w:tcBorders>
            <w:shd w:val="clear" w:color="auto" w:fill="FFFFFF" w:themeFill="background1"/>
            <w:noWrap/>
            <w:hideMark/>
          </w:tcPr>
          <w:p w14:paraId="07FA5233" w14:textId="44B17EFF" w:rsidR="00F107E8" w:rsidRPr="00F107E8" w:rsidRDefault="00F107E8" w:rsidP="00F107E8">
            <w:pPr>
              <w:jc w:val="right"/>
              <w:rPr>
                <w:noProof/>
                <w:sz w:val="20"/>
                <w:szCs w:val="20"/>
              </w:rPr>
            </w:pPr>
            <w:r w:rsidRPr="00F107E8">
              <w:rPr>
                <w:noProof/>
                <w:sz w:val="20"/>
                <w:szCs w:val="20"/>
              </w:rPr>
              <w:t>47</w:t>
            </w:r>
          </w:p>
        </w:tc>
        <w:tc>
          <w:tcPr>
            <w:tcW w:w="529" w:type="pct"/>
            <w:tcBorders>
              <w:top w:val="nil"/>
              <w:left w:val="nil"/>
              <w:bottom w:val="single" w:sz="4" w:space="0" w:color="auto"/>
              <w:right w:val="single" w:sz="4" w:space="0" w:color="auto"/>
            </w:tcBorders>
            <w:shd w:val="clear" w:color="auto" w:fill="FFFFFF" w:themeFill="background1"/>
            <w:noWrap/>
            <w:hideMark/>
          </w:tcPr>
          <w:p w14:paraId="29301EA2" w14:textId="6861E070" w:rsidR="00F107E8" w:rsidRPr="00F107E8" w:rsidRDefault="00F107E8" w:rsidP="00F107E8">
            <w:pPr>
              <w:jc w:val="right"/>
              <w:rPr>
                <w:noProof/>
                <w:sz w:val="20"/>
                <w:szCs w:val="20"/>
              </w:rPr>
            </w:pPr>
            <w:r w:rsidRPr="00F107E8">
              <w:rPr>
                <w:noProof/>
                <w:sz w:val="20"/>
                <w:szCs w:val="20"/>
              </w:rPr>
              <w:t>67</w:t>
            </w:r>
          </w:p>
        </w:tc>
        <w:tc>
          <w:tcPr>
            <w:tcW w:w="530" w:type="pct"/>
            <w:tcBorders>
              <w:top w:val="nil"/>
              <w:left w:val="nil"/>
              <w:bottom w:val="single" w:sz="4" w:space="0" w:color="auto"/>
              <w:right w:val="single" w:sz="4" w:space="0" w:color="auto"/>
            </w:tcBorders>
            <w:shd w:val="clear" w:color="auto" w:fill="FFFFFF" w:themeFill="background1"/>
            <w:noWrap/>
            <w:hideMark/>
          </w:tcPr>
          <w:p w14:paraId="3613F7DB" w14:textId="0DEC26CC" w:rsidR="00F107E8" w:rsidRPr="00F107E8" w:rsidRDefault="00F107E8" w:rsidP="00F107E8">
            <w:pPr>
              <w:jc w:val="right"/>
              <w:rPr>
                <w:noProof/>
                <w:sz w:val="20"/>
                <w:szCs w:val="20"/>
              </w:rPr>
            </w:pPr>
            <w:r w:rsidRPr="00F107E8">
              <w:rPr>
                <w:noProof/>
                <w:sz w:val="20"/>
                <w:szCs w:val="20"/>
              </w:rPr>
              <w:t>0</w:t>
            </w:r>
          </w:p>
        </w:tc>
      </w:tr>
      <w:tr w:rsidR="00F107E8" w:rsidRPr="007C2348" w14:paraId="1B059A27" w14:textId="77777777" w:rsidTr="00F107E8">
        <w:trPr>
          <w:trHeight w:val="225"/>
        </w:trPr>
        <w:tc>
          <w:tcPr>
            <w:tcW w:w="2882" w:type="pct"/>
            <w:tcBorders>
              <w:top w:val="nil"/>
              <w:left w:val="single" w:sz="4" w:space="0" w:color="auto"/>
              <w:bottom w:val="single" w:sz="4" w:space="0" w:color="auto"/>
              <w:right w:val="single" w:sz="4" w:space="0" w:color="auto"/>
            </w:tcBorders>
            <w:noWrap/>
            <w:hideMark/>
          </w:tcPr>
          <w:p w14:paraId="3D17947F" w14:textId="23FC2B3D" w:rsidR="00F107E8" w:rsidRPr="004E336D" w:rsidRDefault="00F107E8" w:rsidP="00F107E8">
            <w:pPr>
              <w:rPr>
                <w:noProof/>
                <w:color w:val="000000"/>
                <w:sz w:val="20"/>
                <w:szCs w:val="20"/>
              </w:rPr>
            </w:pPr>
            <w:r w:rsidRPr="3FCE22BE">
              <w:rPr>
                <w:noProof/>
                <w:color w:val="000000" w:themeColor="text1"/>
                <w:sz w:val="20"/>
                <w:szCs w:val="20"/>
              </w:rPr>
              <w:t xml:space="preserve">Renegotiated agreements made by </w:t>
            </w:r>
            <w:r>
              <w:rPr>
                <w:noProof/>
                <w:color w:val="000000" w:themeColor="text1"/>
                <w:sz w:val="20"/>
                <w:szCs w:val="20"/>
              </w:rPr>
              <w:t>non-SME</w:t>
            </w:r>
            <w:r w:rsidRPr="3FCE22BE">
              <w:rPr>
                <w:noProof/>
                <w:color w:val="000000" w:themeColor="text1"/>
                <w:sz w:val="20"/>
                <w:szCs w:val="20"/>
              </w:rPr>
              <w:t xml:space="preserve"> platforms (changes relative to the baseline)</w:t>
            </w:r>
          </w:p>
        </w:tc>
        <w:tc>
          <w:tcPr>
            <w:tcW w:w="529" w:type="pct"/>
            <w:tcBorders>
              <w:top w:val="nil"/>
              <w:left w:val="nil"/>
              <w:bottom w:val="single" w:sz="4" w:space="0" w:color="auto"/>
              <w:right w:val="single" w:sz="4" w:space="0" w:color="auto"/>
            </w:tcBorders>
            <w:shd w:val="clear" w:color="auto" w:fill="FFFFFF" w:themeFill="background1"/>
            <w:noWrap/>
            <w:hideMark/>
          </w:tcPr>
          <w:p w14:paraId="4CA89CE9" w14:textId="3799081F" w:rsidR="00F107E8" w:rsidRPr="00F107E8" w:rsidRDefault="00F107E8" w:rsidP="00F107E8">
            <w:pPr>
              <w:jc w:val="right"/>
              <w:rPr>
                <w:noProof/>
                <w:sz w:val="20"/>
                <w:szCs w:val="20"/>
              </w:rPr>
            </w:pPr>
            <w:r w:rsidRPr="00F107E8">
              <w:rPr>
                <w:noProof/>
                <w:sz w:val="20"/>
                <w:szCs w:val="20"/>
              </w:rPr>
              <w:t>70</w:t>
            </w:r>
          </w:p>
        </w:tc>
        <w:tc>
          <w:tcPr>
            <w:tcW w:w="530" w:type="pct"/>
            <w:tcBorders>
              <w:top w:val="nil"/>
              <w:left w:val="nil"/>
              <w:bottom w:val="single" w:sz="4" w:space="0" w:color="auto"/>
              <w:right w:val="single" w:sz="4" w:space="0" w:color="auto"/>
            </w:tcBorders>
            <w:shd w:val="clear" w:color="auto" w:fill="FFFFFF" w:themeFill="background1"/>
            <w:noWrap/>
            <w:hideMark/>
          </w:tcPr>
          <w:p w14:paraId="7B986923" w14:textId="04D966F4" w:rsidR="00F107E8" w:rsidRPr="00F107E8" w:rsidRDefault="00F107E8" w:rsidP="00F107E8">
            <w:pPr>
              <w:jc w:val="right"/>
              <w:rPr>
                <w:noProof/>
                <w:sz w:val="20"/>
                <w:szCs w:val="20"/>
              </w:rPr>
            </w:pPr>
            <w:r w:rsidRPr="00F107E8">
              <w:rPr>
                <w:noProof/>
                <w:sz w:val="20"/>
                <w:szCs w:val="20"/>
              </w:rPr>
              <w:t>91</w:t>
            </w:r>
          </w:p>
        </w:tc>
        <w:tc>
          <w:tcPr>
            <w:tcW w:w="529" w:type="pct"/>
            <w:tcBorders>
              <w:top w:val="nil"/>
              <w:left w:val="nil"/>
              <w:bottom w:val="single" w:sz="4" w:space="0" w:color="auto"/>
              <w:right w:val="single" w:sz="4" w:space="0" w:color="auto"/>
            </w:tcBorders>
            <w:shd w:val="clear" w:color="auto" w:fill="FFFFFF" w:themeFill="background1"/>
            <w:noWrap/>
            <w:hideMark/>
          </w:tcPr>
          <w:p w14:paraId="21066365" w14:textId="234F6261" w:rsidR="00F107E8" w:rsidRPr="00F107E8" w:rsidRDefault="00F107E8" w:rsidP="00F107E8">
            <w:pPr>
              <w:jc w:val="right"/>
              <w:rPr>
                <w:noProof/>
                <w:sz w:val="20"/>
                <w:szCs w:val="20"/>
              </w:rPr>
            </w:pPr>
            <w:r w:rsidRPr="00F107E8">
              <w:rPr>
                <w:noProof/>
                <w:sz w:val="20"/>
                <w:szCs w:val="20"/>
              </w:rPr>
              <w:t>265</w:t>
            </w:r>
          </w:p>
        </w:tc>
        <w:tc>
          <w:tcPr>
            <w:tcW w:w="530" w:type="pct"/>
            <w:tcBorders>
              <w:top w:val="nil"/>
              <w:left w:val="nil"/>
              <w:bottom w:val="single" w:sz="4" w:space="0" w:color="auto"/>
              <w:right w:val="single" w:sz="4" w:space="0" w:color="auto"/>
            </w:tcBorders>
            <w:shd w:val="clear" w:color="auto" w:fill="FFFFFF" w:themeFill="background1"/>
            <w:noWrap/>
            <w:hideMark/>
          </w:tcPr>
          <w:p w14:paraId="0D1FE0F4" w14:textId="377DDE82" w:rsidR="00F107E8" w:rsidRPr="00F107E8" w:rsidRDefault="00F107E8" w:rsidP="00F107E8">
            <w:pPr>
              <w:jc w:val="right"/>
              <w:rPr>
                <w:noProof/>
                <w:sz w:val="20"/>
                <w:szCs w:val="20"/>
              </w:rPr>
            </w:pPr>
            <w:r w:rsidRPr="00F107E8">
              <w:rPr>
                <w:noProof/>
                <w:sz w:val="20"/>
                <w:szCs w:val="20"/>
              </w:rPr>
              <w:t>249</w:t>
            </w:r>
          </w:p>
        </w:tc>
      </w:tr>
      <w:tr w:rsidR="00F107E8" w:rsidRPr="007C2348" w14:paraId="0CCD0487" w14:textId="77777777" w:rsidTr="00F107E8">
        <w:trPr>
          <w:trHeight w:val="225"/>
        </w:trPr>
        <w:tc>
          <w:tcPr>
            <w:tcW w:w="2882" w:type="pct"/>
            <w:tcBorders>
              <w:top w:val="nil"/>
              <w:left w:val="single" w:sz="4" w:space="0" w:color="auto"/>
              <w:bottom w:val="single" w:sz="4" w:space="0" w:color="auto"/>
              <w:right w:val="single" w:sz="4" w:space="0" w:color="auto"/>
            </w:tcBorders>
            <w:noWrap/>
            <w:hideMark/>
          </w:tcPr>
          <w:p w14:paraId="40F795C5" w14:textId="77777777" w:rsidR="00F107E8" w:rsidRPr="004E336D" w:rsidRDefault="00F107E8" w:rsidP="00F107E8">
            <w:pPr>
              <w:rPr>
                <w:noProof/>
                <w:color w:val="000000"/>
                <w:sz w:val="20"/>
                <w:szCs w:val="20"/>
              </w:rPr>
            </w:pPr>
            <w:r w:rsidRPr="3FCE22BE">
              <w:rPr>
                <w:noProof/>
                <w:color w:val="000000" w:themeColor="text1"/>
                <w:sz w:val="20"/>
                <w:szCs w:val="20"/>
              </w:rPr>
              <w:t>Renegotiated agreements made by SME platforms (changes relative to the baseline)</w:t>
            </w:r>
          </w:p>
        </w:tc>
        <w:tc>
          <w:tcPr>
            <w:tcW w:w="529" w:type="pct"/>
            <w:tcBorders>
              <w:top w:val="nil"/>
              <w:left w:val="nil"/>
              <w:bottom w:val="single" w:sz="4" w:space="0" w:color="auto"/>
              <w:right w:val="single" w:sz="4" w:space="0" w:color="auto"/>
            </w:tcBorders>
            <w:shd w:val="clear" w:color="auto" w:fill="FFFFFF" w:themeFill="background1"/>
            <w:noWrap/>
            <w:hideMark/>
          </w:tcPr>
          <w:p w14:paraId="75398AF8" w14:textId="72CDEEB3" w:rsidR="00F107E8" w:rsidRPr="00F107E8" w:rsidRDefault="00F107E8" w:rsidP="00F107E8">
            <w:pPr>
              <w:jc w:val="right"/>
              <w:rPr>
                <w:noProof/>
                <w:sz w:val="20"/>
                <w:szCs w:val="20"/>
              </w:rPr>
            </w:pPr>
            <w:r w:rsidRPr="00F107E8">
              <w:rPr>
                <w:noProof/>
                <w:sz w:val="20"/>
                <w:szCs w:val="20"/>
              </w:rPr>
              <w:t>89</w:t>
            </w:r>
          </w:p>
        </w:tc>
        <w:tc>
          <w:tcPr>
            <w:tcW w:w="530" w:type="pct"/>
            <w:tcBorders>
              <w:top w:val="nil"/>
              <w:left w:val="nil"/>
              <w:bottom w:val="single" w:sz="4" w:space="0" w:color="auto"/>
              <w:right w:val="single" w:sz="4" w:space="0" w:color="auto"/>
            </w:tcBorders>
            <w:shd w:val="clear" w:color="auto" w:fill="FFFFFF" w:themeFill="background1"/>
            <w:noWrap/>
            <w:hideMark/>
          </w:tcPr>
          <w:p w14:paraId="3B953538" w14:textId="614B422F" w:rsidR="00F107E8" w:rsidRPr="00F107E8" w:rsidRDefault="00F107E8" w:rsidP="00F107E8">
            <w:pPr>
              <w:jc w:val="right"/>
              <w:rPr>
                <w:noProof/>
                <w:sz w:val="20"/>
                <w:szCs w:val="20"/>
              </w:rPr>
            </w:pPr>
            <w:r w:rsidRPr="00F107E8">
              <w:rPr>
                <w:noProof/>
                <w:sz w:val="20"/>
                <w:szCs w:val="20"/>
              </w:rPr>
              <w:t>117</w:t>
            </w:r>
          </w:p>
        </w:tc>
        <w:tc>
          <w:tcPr>
            <w:tcW w:w="529" w:type="pct"/>
            <w:tcBorders>
              <w:top w:val="nil"/>
              <w:left w:val="nil"/>
              <w:bottom w:val="single" w:sz="4" w:space="0" w:color="auto"/>
              <w:right w:val="single" w:sz="4" w:space="0" w:color="auto"/>
            </w:tcBorders>
            <w:shd w:val="clear" w:color="auto" w:fill="FFFFFF" w:themeFill="background1"/>
            <w:noWrap/>
            <w:hideMark/>
          </w:tcPr>
          <w:p w14:paraId="66277930" w14:textId="1F36FA57" w:rsidR="00F107E8" w:rsidRPr="00F107E8" w:rsidRDefault="00F107E8" w:rsidP="00F107E8">
            <w:pPr>
              <w:jc w:val="right"/>
              <w:rPr>
                <w:noProof/>
                <w:sz w:val="20"/>
                <w:szCs w:val="20"/>
              </w:rPr>
            </w:pPr>
            <w:r w:rsidRPr="00F107E8">
              <w:rPr>
                <w:noProof/>
                <w:sz w:val="20"/>
                <w:szCs w:val="20"/>
              </w:rPr>
              <w:t>339</w:t>
            </w:r>
          </w:p>
        </w:tc>
        <w:tc>
          <w:tcPr>
            <w:tcW w:w="530" w:type="pct"/>
            <w:tcBorders>
              <w:top w:val="nil"/>
              <w:left w:val="nil"/>
              <w:bottom w:val="single" w:sz="4" w:space="0" w:color="auto"/>
              <w:right w:val="single" w:sz="4" w:space="0" w:color="auto"/>
            </w:tcBorders>
            <w:shd w:val="clear" w:color="auto" w:fill="FFFFFF" w:themeFill="background1"/>
            <w:noWrap/>
            <w:hideMark/>
          </w:tcPr>
          <w:p w14:paraId="13610A18" w14:textId="1B2E9959" w:rsidR="00F107E8" w:rsidRPr="00F107E8" w:rsidRDefault="00F107E8" w:rsidP="00F107E8">
            <w:pPr>
              <w:jc w:val="right"/>
              <w:rPr>
                <w:noProof/>
                <w:sz w:val="20"/>
                <w:szCs w:val="20"/>
              </w:rPr>
            </w:pPr>
            <w:r w:rsidRPr="00F107E8">
              <w:rPr>
                <w:noProof/>
                <w:sz w:val="20"/>
                <w:szCs w:val="20"/>
              </w:rPr>
              <w:t>319</w:t>
            </w:r>
          </w:p>
        </w:tc>
      </w:tr>
      <w:tr w:rsidR="00F107E8" w:rsidRPr="007C2348" w14:paraId="4B809928" w14:textId="77777777" w:rsidTr="00F107E8">
        <w:trPr>
          <w:trHeight w:val="225"/>
        </w:trPr>
        <w:tc>
          <w:tcPr>
            <w:tcW w:w="2882" w:type="pct"/>
            <w:tcBorders>
              <w:top w:val="nil"/>
              <w:left w:val="single" w:sz="4" w:space="0" w:color="auto"/>
              <w:bottom w:val="single" w:sz="4" w:space="0" w:color="auto"/>
              <w:right w:val="single" w:sz="4" w:space="0" w:color="auto"/>
            </w:tcBorders>
            <w:noWrap/>
            <w:hideMark/>
          </w:tcPr>
          <w:p w14:paraId="30335F4C" w14:textId="69DAADD9" w:rsidR="00F107E8" w:rsidRPr="004E336D" w:rsidRDefault="00F107E8" w:rsidP="00F107E8">
            <w:pPr>
              <w:rPr>
                <w:noProof/>
                <w:color w:val="000000"/>
                <w:sz w:val="20"/>
                <w:szCs w:val="20"/>
              </w:rPr>
            </w:pPr>
            <w:r w:rsidRPr="004E336D">
              <w:rPr>
                <w:noProof/>
                <w:color w:val="000000"/>
                <w:sz w:val="20"/>
                <w:szCs w:val="20"/>
              </w:rPr>
              <w:t xml:space="preserve">Total adjustment cost savings for </w:t>
            </w:r>
            <w:r>
              <w:rPr>
                <w:noProof/>
                <w:color w:val="000000"/>
                <w:sz w:val="20"/>
                <w:szCs w:val="20"/>
              </w:rPr>
              <w:t>non-SME</w:t>
            </w:r>
            <w:r w:rsidRPr="004E336D">
              <w:rPr>
                <w:noProof/>
                <w:color w:val="000000"/>
                <w:sz w:val="20"/>
                <w:szCs w:val="20"/>
              </w:rPr>
              <w:t xml:space="preserve"> platforms (million EUR)</w:t>
            </w:r>
          </w:p>
        </w:tc>
        <w:tc>
          <w:tcPr>
            <w:tcW w:w="529" w:type="pct"/>
            <w:tcBorders>
              <w:top w:val="nil"/>
              <w:left w:val="nil"/>
              <w:bottom w:val="single" w:sz="4" w:space="0" w:color="auto"/>
              <w:right w:val="single" w:sz="4" w:space="0" w:color="auto"/>
            </w:tcBorders>
            <w:shd w:val="clear" w:color="auto" w:fill="FFFFFF" w:themeFill="background1"/>
            <w:noWrap/>
            <w:hideMark/>
          </w:tcPr>
          <w:p w14:paraId="3DDBBF8D" w14:textId="65BDB895" w:rsidR="00F107E8" w:rsidRPr="00F107E8" w:rsidRDefault="00F107E8" w:rsidP="00F107E8">
            <w:pPr>
              <w:jc w:val="right"/>
              <w:rPr>
                <w:noProof/>
                <w:sz w:val="20"/>
                <w:szCs w:val="20"/>
              </w:rPr>
            </w:pPr>
            <w:r w:rsidRPr="00F107E8">
              <w:rPr>
                <w:noProof/>
                <w:sz w:val="20"/>
                <w:szCs w:val="20"/>
              </w:rPr>
              <w:t>0.5</w:t>
            </w:r>
          </w:p>
        </w:tc>
        <w:tc>
          <w:tcPr>
            <w:tcW w:w="530" w:type="pct"/>
            <w:tcBorders>
              <w:top w:val="nil"/>
              <w:left w:val="nil"/>
              <w:bottom w:val="single" w:sz="4" w:space="0" w:color="auto"/>
              <w:right w:val="single" w:sz="4" w:space="0" w:color="auto"/>
            </w:tcBorders>
            <w:shd w:val="clear" w:color="auto" w:fill="FFFFFF" w:themeFill="background1"/>
            <w:noWrap/>
            <w:hideMark/>
          </w:tcPr>
          <w:p w14:paraId="32504F01" w14:textId="3A5F1062" w:rsidR="00F107E8" w:rsidRPr="00F107E8" w:rsidRDefault="00F107E8" w:rsidP="00F107E8">
            <w:pPr>
              <w:jc w:val="right"/>
              <w:rPr>
                <w:noProof/>
                <w:sz w:val="20"/>
                <w:szCs w:val="20"/>
              </w:rPr>
            </w:pPr>
            <w:r w:rsidRPr="00F107E8">
              <w:rPr>
                <w:noProof/>
                <w:sz w:val="20"/>
                <w:szCs w:val="20"/>
              </w:rPr>
              <w:t>0.2</w:t>
            </w:r>
          </w:p>
        </w:tc>
        <w:tc>
          <w:tcPr>
            <w:tcW w:w="529" w:type="pct"/>
            <w:tcBorders>
              <w:top w:val="nil"/>
              <w:left w:val="nil"/>
              <w:bottom w:val="single" w:sz="4" w:space="0" w:color="auto"/>
              <w:right w:val="single" w:sz="4" w:space="0" w:color="auto"/>
            </w:tcBorders>
            <w:shd w:val="clear" w:color="auto" w:fill="FFFFFF" w:themeFill="background1"/>
            <w:noWrap/>
            <w:hideMark/>
          </w:tcPr>
          <w:p w14:paraId="4DF3977A" w14:textId="6C045AC9" w:rsidR="00F107E8" w:rsidRPr="00F107E8" w:rsidRDefault="00F107E8" w:rsidP="00F107E8">
            <w:pPr>
              <w:jc w:val="right"/>
              <w:rPr>
                <w:noProof/>
                <w:sz w:val="20"/>
                <w:szCs w:val="20"/>
              </w:rPr>
            </w:pPr>
            <w:r w:rsidRPr="00F107E8">
              <w:rPr>
                <w:noProof/>
                <w:sz w:val="20"/>
                <w:szCs w:val="20"/>
              </w:rPr>
              <w:t>0.4</w:t>
            </w:r>
          </w:p>
        </w:tc>
        <w:tc>
          <w:tcPr>
            <w:tcW w:w="530" w:type="pct"/>
            <w:tcBorders>
              <w:top w:val="nil"/>
              <w:left w:val="nil"/>
              <w:bottom w:val="single" w:sz="4" w:space="0" w:color="auto"/>
              <w:right w:val="single" w:sz="4" w:space="0" w:color="auto"/>
            </w:tcBorders>
            <w:shd w:val="clear" w:color="auto" w:fill="FFFFFF" w:themeFill="background1"/>
            <w:noWrap/>
            <w:hideMark/>
          </w:tcPr>
          <w:p w14:paraId="1507136A" w14:textId="7E1BD364" w:rsidR="00F107E8" w:rsidRPr="00F107E8" w:rsidRDefault="00F107E8" w:rsidP="00F107E8">
            <w:pPr>
              <w:jc w:val="right"/>
              <w:rPr>
                <w:noProof/>
                <w:sz w:val="20"/>
                <w:szCs w:val="20"/>
              </w:rPr>
            </w:pPr>
            <w:r w:rsidRPr="00F107E8">
              <w:rPr>
                <w:noProof/>
                <w:sz w:val="20"/>
                <w:szCs w:val="20"/>
              </w:rPr>
              <w:t>0.3</w:t>
            </w:r>
          </w:p>
        </w:tc>
      </w:tr>
      <w:tr w:rsidR="00F107E8" w:rsidRPr="007C2348" w14:paraId="76523714" w14:textId="77777777" w:rsidTr="00F107E8">
        <w:trPr>
          <w:trHeight w:val="225"/>
        </w:trPr>
        <w:tc>
          <w:tcPr>
            <w:tcW w:w="2882" w:type="pct"/>
            <w:tcBorders>
              <w:top w:val="nil"/>
              <w:left w:val="single" w:sz="4" w:space="0" w:color="auto"/>
              <w:bottom w:val="single" w:sz="4" w:space="0" w:color="auto"/>
              <w:right w:val="single" w:sz="4" w:space="0" w:color="auto"/>
            </w:tcBorders>
            <w:noWrap/>
            <w:hideMark/>
          </w:tcPr>
          <w:p w14:paraId="1F807098" w14:textId="77777777" w:rsidR="00F107E8" w:rsidRPr="004E336D" w:rsidRDefault="00F107E8" w:rsidP="00F107E8">
            <w:pPr>
              <w:rPr>
                <w:noProof/>
                <w:color w:val="000000"/>
                <w:sz w:val="20"/>
                <w:szCs w:val="20"/>
              </w:rPr>
            </w:pPr>
            <w:r w:rsidRPr="004E336D">
              <w:rPr>
                <w:noProof/>
                <w:color w:val="000000"/>
                <w:sz w:val="20"/>
                <w:szCs w:val="20"/>
              </w:rPr>
              <w:t>Total adjustment cost savings for SME platforms (million EUR)</w:t>
            </w:r>
          </w:p>
        </w:tc>
        <w:tc>
          <w:tcPr>
            <w:tcW w:w="529" w:type="pct"/>
            <w:tcBorders>
              <w:top w:val="nil"/>
              <w:left w:val="nil"/>
              <w:bottom w:val="single" w:sz="4" w:space="0" w:color="auto"/>
              <w:right w:val="single" w:sz="4" w:space="0" w:color="auto"/>
            </w:tcBorders>
            <w:shd w:val="clear" w:color="auto" w:fill="FFFFFF" w:themeFill="background1"/>
            <w:noWrap/>
            <w:hideMark/>
          </w:tcPr>
          <w:p w14:paraId="1D6C41A0" w14:textId="0C89A5A2" w:rsidR="00F107E8" w:rsidRPr="00F107E8" w:rsidRDefault="00F107E8" w:rsidP="00F107E8">
            <w:pPr>
              <w:jc w:val="right"/>
              <w:rPr>
                <w:noProof/>
                <w:sz w:val="20"/>
                <w:szCs w:val="20"/>
              </w:rPr>
            </w:pPr>
            <w:r w:rsidRPr="00F107E8">
              <w:rPr>
                <w:noProof/>
                <w:sz w:val="20"/>
                <w:szCs w:val="20"/>
              </w:rPr>
              <w:t>0.6</w:t>
            </w:r>
          </w:p>
        </w:tc>
        <w:tc>
          <w:tcPr>
            <w:tcW w:w="530" w:type="pct"/>
            <w:tcBorders>
              <w:top w:val="nil"/>
              <w:left w:val="nil"/>
              <w:bottom w:val="single" w:sz="4" w:space="0" w:color="auto"/>
              <w:right w:val="single" w:sz="4" w:space="0" w:color="auto"/>
            </w:tcBorders>
            <w:shd w:val="clear" w:color="auto" w:fill="FFFFFF" w:themeFill="background1"/>
            <w:noWrap/>
            <w:hideMark/>
          </w:tcPr>
          <w:p w14:paraId="5D1E58C3" w14:textId="17A3E689" w:rsidR="00F107E8" w:rsidRPr="00F107E8" w:rsidRDefault="00F107E8" w:rsidP="00F107E8">
            <w:pPr>
              <w:jc w:val="right"/>
              <w:rPr>
                <w:noProof/>
                <w:sz w:val="20"/>
                <w:szCs w:val="20"/>
              </w:rPr>
            </w:pPr>
            <w:r w:rsidRPr="00F107E8">
              <w:rPr>
                <w:noProof/>
                <w:sz w:val="20"/>
                <w:szCs w:val="20"/>
              </w:rPr>
              <w:t>0.2</w:t>
            </w:r>
          </w:p>
        </w:tc>
        <w:tc>
          <w:tcPr>
            <w:tcW w:w="529" w:type="pct"/>
            <w:tcBorders>
              <w:top w:val="nil"/>
              <w:left w:val="nil"/>
              <w:bottom w:val="single" w:sz="4" w:space="0" w:color="auto"/>
              <w:right w:val="single" w:sz="4" w:space="0" w:color="auto"/>
            </w:tcBorders>
            <w:shd w:val="clear" w:color="auto" w:fill="FFFFFF" w:themeFill="background1"/>
            <w:noWrap/>
            <w:hideMark/>
          </w:tcPr>
          <w:p w14:paraId="70400F2C" w14:textId="05CFCF78" w:rsidR="00F107E8" w:rsidRPr="00F107E8" w:rsidRDefault="00F107E8" w:rsidP="00F107E8">
            <w:pPr>
              <w:jc w:val="right"/>
              <w:rPr>
                <w:noProof/>
                <w:sz w:val="20"/>
                <w:szCs w:val="20"/>
              </w:rPr>
            </w:pPr>
            <w:r w:rsidRPr="00F107E8">
              <w:rPr>
                <w:noProof/>
                <w:sz w:val="20"/>
                <w:szCs w:val="20"/>
              </w:rPr>
              <w:t>0.5</w:t>
            </w:r>
          </w:p>
        </w:tc>
        <w:tc>
          <w:tcPr>
            <w:tcW w:w="530" w:type="pct"/>
            <w:tcBorders>
              <w:top w:val="nil"/>
              <w:left w:val="nil"/>
              <w:bottom w:val="single" w:sz="4" w:space="0" w:color="auto"/>
              <w:right w:val="single" w:sz="4" w:space="0" w:color="auto"/>
            </w:tcBorders>
            <w:shd w:val="clear" w:color="auto" w:fill="FFFFFF" w:themeFill="background1"/>
            <w:noWrap/>
            <w:hideMark/>
          </w:tcPr>
          <w:p w14:paraId="6492FF1F" w14:textId="1056DCD4" w:rsidR="00F107E8" w:rsidRPr="00F107E8" w:rsidRDefault="00F107E8" w:rsidP="00F107E8">
            <w:pPr>
              <w:jc w:val="right"/>
              <w:rPr>
                <w:noProof/>
                <w:sz w:val="20"/>
                <w:szCs w:val="20"/>
              </w:rPr>
            </w:pPr>
            <w:r w:rsidRPr="00F107E8">
              <w:rPr>
                <w:noProof/>
                <w:sz w:val="20"/>
                <w:szCs w:val="20"/>
              </w:rPr>
              <w:t>0.4</w:t>
            </w:r>
          </w:p>
        </w:tc>
      </w:tr>
      <w:tr w:rsidR="00F107E8" w:rsidRPr="007C2348" w14:paraId="6D902A8D" w14:textId="77777777" w:rsidTr="00F107E8">
        <w:trPr>
          <w:trHeight w:val="225"/>
        </w:trPr>
        <w:tc>
          <w:tcPr>
            <w:tcW w:w="2882" w:type="pct"/>
            <w:tcBorders>
              <w:top w:val="nil"/>
              <w:left w:val="single" w:sz="4" w:space="0" w:color="auto"/>
              <w:bottom w:val="single" w:sz="4" w:space="0" w:color="auto"/>
              <w:right w:val="single" w:sz="4" w:space="0" w:color="auto"/>
            </w:tcBorders>
            <w:noWrap/>
            <w:hideMark/>
          </w:tcPr>
          <w:p w14:paraId="4B17ECE8" w14:textId="77777777" w:rsidR="00F107E8" w:rsidRPr="004E336D" w:rsidRDefault="00F107E8" w:rsidP="00F107E8">
            <w:pPr>
              <w:rPr>
                <w:b/>
                <w:noProof/>
                <w:color w:val="000000"/>
                <w:sz w:val="20"/>
                <w:szCs w:val="20"/>
              </w:rPr>
            </w:pPr>
            <w:r w:rsidRPr="004E336D">
              <w:rPr>
                <w:b/>
                <w:noProof/>
                <w:color w:val="000000"/>
                <w:sz w:val="20"/>
                <w:szCs w:val="20"/>
              </w:rPr>
              <w:t>PO4</w:t>
            </w:r>
          </w:p>
        </w:tc>
        <w:tc>
          <w:tcPr>
            <w:tcW w:w="529" w:type="pct"/>
            <w:tcBorders>
              <w:top w:val="nil"/>
              <w:left w:val="nil"/>
              <w:bottom w:val="single" w:sz="4" w:space="0" w:color="auto"/>
              <w:right w:val="single" w:sz="4" w:space="0" w:color="auto"/>
            </w:tcBorders>
            <w:shd w:val="clear" w:color="auto" w:fill="FFFFFF" w:themeFill="background1"/>
            <w:noWrap/>
            <w:hideMark/>
          </w:tcPr>
          <w:p w14:paraId="6FE856D2" w14:textId="6F626743" w:rsidR="00F107E8" w:rsidRPr="00F107E8" w:rsidRDefault="00F107E8" w:rsidP="00F107E8">
            <w:pPr>
              <w:rPr>
                <w:noProof/>
                <w:sz w:val="20"/>
                <w:szCs w:val="20"/>
              </w:rPr>
            </w:pPr>
            <w:r w:rsidRPr="00F107E8">
              <w:rPr>
                <w:noProof/>
                <w:sz w:val="20"/>
                <w:szCs w:val="20"/>
              </w:rPr>
              <w:t> </w:t>
            </w:r>
          </w:p>
        </w:tc>
        <w:tc>
          <w:tcPr>
            <w:tcW w:w="530" w:type="pct"/>
            <w:tcBorders>
              <w:top w:val="nil"/>
              <w:left w:val="nil"/>
              <w:bottom w:val="single" w:sz="4" w:space="0" w:color="auto"/>
              <w:right w:val="single" w:sz="4" w:space="0" w:color="auto"/>
            </w:tcBorders>
            <w:shd w:val="clear" w:color="auto" w:fill="FFFFFF" w:themeFill="background1"/>
            <w:noWrap/>
            <w:hideMark/>
          </w:tcPr>
          <w:p w14:paraId="3F57AEA0" w14:textId="2D2062A9" w:rsidR="00F107E8" w:rsidRPr="00F107E8" w:rsidRDefault="00F107E8" w:rsidP="00F107E8">
            <w:pPr>
              <w:rPr>
                <w:noProof/>
                <w:sz w:val="20"/>
                <w:szCs w:val="20"/>
              </w:rPr>
            </w:pPr>
            <w:r w:rsidRPr="00F107E8">
              <w:rPr>
                <w:noProof/>
                <w:sz w:val="20"/>
                <w:szCs w:val="20"/>
              </w:rPr>
              <w:t> </w:t>
            </w:r>
          </w:p>
        </w:tc>
        <w:tc>
          <w:tcPr>
            <w:tcW w:w="529" w:type="pct"/>
            <w:tcBorders>
              <w:top w:val="nil"/>
              <w:left w:val="nil"/>
              <w:bottom w:val="single" w:sz="4" w:space="0" w:color="auto"/>
              <w:right w:val="single" w:sz="4" w:space="0" w:color="auto"/>
            </w:tcBorders>
            <w:shd w:val="clear" w:color="auto" w:fill="FFFFFF" w:themeFill="background1"/>
            <w:noWrap/>
            <w:hideMark/>
          </w:tcPr>
          <w:p w14:paraId="21D2FF2D" w14:textId="4E75C7D5" w:rsidR="00F107E8" w:rsidRPr="00F107E8" w:rsidRDefault="00F107E8" w:rsidP="00F107E8">
            <w:pPr>
              <w:rPr>
                <w:noProof/>
                <w:sz w:val="20"/>
                <w:szCs w:val="20"/>
              </w:rPr>
            </w:pPr>
            <w:r w:rsidRPr="00F107E8">
              <w:rPr>
                <w:noProof/>
                <w:sz w:val="20"/>
                <w:szCs w:val="20"/>
              </w:rPr>
              <w:t> </w:t>
            </w:r>
          </w:p>
        </w:tc>
        <w:tc>
          <w:tcPr>
            <w:tcW w:w="530" w:type="pct"/>
            <w:tcBorders>
              <w:top w:val="nil"/>
              <w:left w:val="nil"/>
              <w:bottom w:val="single" w:sz="4" w:space="0" w:color="auto"/>
              <w:right w:val="single" w:sz="4" w:space="0" w:color="auto"/>
            </w:tcBorders>
            <w:shd w:val="clear" w:color="auto" w:fill="FFFFFF" w:themeFill="background1"/>
            <w:noWrap/>
            <w:hideMark/>
          </w:tcPr>
          <w:p w14:paraId="36942D07" w14:textId="17801970" w:rsidR="00F107E8" w:rsidRPr="00F107E8" w:rsidRDefault="00F107E8" w:rsidP="00F107E8">
            <w:pPr>
              <w:rPr>
                <w:noProof/>
                <w:sz w:val="20"/>
                <w:szCs w:val="20"/>
              </w:rPr>
            </w:pPr>
            <w:r w:rsidRPr="00F107E8">
              <w:rPr>
                <w:noProof/>
                <w:sz w:val="20"/>
                <w:szCs w:val="20"/>
              </w:rPr>
              <w:t> </w:t>
            </w:r>
          </w:p>
        </w:tc>
      </w:tr>
      <w:tr w:rsidR="00F107E8" w:rsidRPr="007C2348" w14:paraId="6FCD0DBF" w14:textId="77777777" w:rsidTr="00F107E8">
        <w:trPr>
          <w:trHeight w:val="225"/>
        </w:trPr>
        <w:tc>
          <w:tcPr>
            <w:tcW w:w="2882" w:type="pct"/>
            <w:tcBorders>
              <w:top w:val="nil"/>
              <w:left w:val="single" w:sz="4" w:space="0" w:color="auto"/>
              <w:bottom w:val="single" w:sz="4" w:space="0" w:color="auto"/>
              <w:right w:val="single" w:sz="4" w:space="0" w:color="auto"/>
            </w:tcBorders>
            <w:noWrap/>
            <w:hideMark/>
          </w:tcPr>
          <w:p w14:paraId="4EBD483A" w14:textId="2085C5D0" w:rsidR="00F107E8" w:rsidRPr="004E336D" w:rsidRDefault="00F107E8" w:rsidP="00F107E8">
            <w:pPr>
              <w:rPr>
                <w:noProof/>
                <w:color w:val="000000"/>
                <w:sz w:val="20"/>
                <w:szCs w:val="20"/>
              </w:rPr>
            </w:pPr>
            <w:r w:rsidRPr="3FCE22BE">
              <w:rPr>
                <w:noProof/>
                <w:color w:val="000000" w:themeColor="text1"/>
                <w:sz w:val="20"/>
                <w:szCs w:val="20"/>
              </w:rPr>
              <w:t xml:space="preserve">New agreements made by </w:t>
            </w:r>
            <w:r>
              <w:rPr>
                <w:noProof/>
                <w:color w:val="000000" w:themeColor="text1"/>
                <w:sz w:val="20"/>
                <w:szCs w:val="20"/>
              </w:rPr>
              <w:t>non-SME</w:t>
            </w:r>
            <w:r w:rsidRPr="3FCE22BE">
              <w:rPr>
                <w:noProof/>
                <w:color w:val="000000" w:themeColor="text1"/>
                <w:sz w:val="20"/>
                <w:szCs w:val="20"/>
              </w:rPr>
              <w:t xml:space="preserve"> platforms (changes relative to the baseline)</w:t>
            </w:r>
          </w:p>
        </w:tc>
        <w:tc>
          <w:tcPr>
            <w:tcW w:w="529" w:type="pct"/>
            <w:tcBorders>
              <w:top w:val="nil"/>
              <w:left w:val="nil"/>
              <w:bottom w:val="single" w:sz="4" w:space="0" w:color="auto"/>
              <w:right w:val="single" w:sz="4" w:space="0" w:color="auto"/>
            </w:tcBorders>
            <w:shd w:val="clear" w:color="auto" w:fill="FFFFFF" w:themeFill="background1"/>
            <w:noWrap/>
            <w:hideMark/>
          </w:tcPr>
          <w:p w14:paraId="4E88AD37" w14:textId="285C961C" w:rsidR="00F107E8" w:rsidRPr="00F107E8" w:rsidRDefault="00F107E8" w:rsidP="00F107E8">
            <w:pPr>
              <w:jc w:val="right"/>
              <w:rPr>
                <w:noProof/>
                <w:sz w:val="20"/>
                <w:szCs w:val="20"/>
              </w:rPr>
            </w:pPr>
            <w:r w:rsidRPr="00F107E8">
              <w:rPr>
                <w:noProof/>
                <w:sz w:val="20"/>
                <w:szCs w:val="20"/>
              </w:rPr>
              <w:t>217</w:t>
            </w:r>
          </w:p>
        </w:tc>
        <w:tc>
          <w:tcPr>
            <w:tcW w:w="530" w:type="pct"/>
            <w:tcBorders>
              <w:top w:val="nil"/>
              <w:left w:val="nil"/>
              <w:bottom w:val="single" w:sz="4" w:space="0" w:color="auto"/>
              <w:right w:val="single" w:sz="4" w:space="0" w:color="auto"/>
            </w:tcBorders>
            <w:shd w:val="clear" w:color="auto" w:fill="FFFFFF" w:themeFill="background1"/>
            <w:noWrap/>
            <w:hideMark/>
          </w:tcPr>
          <w:p w14:paraId="6C69F025" w14:textId="02F78166" w:rsidR="00F107E8" w:rsidRPr="00F107E8" w:rsidRDefault="00F107E8" w:rsidP="00F107E8">
            <w:pPr>
              <w:jc w:val="right"/>
              <w:rPr>
                <w:noProof/>
                <w:sz w:val="20"/>
                <w:szCs w:val="20"/>
              </w:rPr>
            </w:pPr>
            <w:r w:rsidRPr="00F107E8">
              <w:rPr>
                <w:noProof/>
                <w:sz w:val="20"/>
                <w:szCs w:val="20"/>
              </w:rPr>
              <w:t>36</w:t>
            </w:r>
          </w:p>
        </w:tc>
        <w:tc>
          <w:tcPr>
            <w:tcW w:w="529" w:type="pct"/>
            <w:tcBorders>
              <w:top w:val="nil"/>
              <w:left w:val="nil"/>
              <w:bottom w:val="single" w:sz="4" w:space="0" w:color="auto"/>
              <w:right w:val="single" w:sz="4" w:space="0" w:color="auto"/>
            </w:tcBorders>
            <w:shd w:val="clear" w:color="auto" w:fill="FFFFFF" w:themeFill="background1"/>
            <w:noWrap/>
            <w:hideMark/>
          </w:tcPr>
          <w:p w14:paraId="372E9B20" w14:textId="6C2BD5A2" w:rsidR="00F107E8" w:rsidRPr="00F107E8" w:rsidRDefault="00F107E8" w:rsidP="00F107E8">
            <w:pPr>
              <w:jc w:val="right"/>
              <w:rPr>
                <w:noProof/>
                <w:sz w:val="20"/>
                <w:szCs w:val="20"/>
              </w:rPr>
            </w:pPr>
            <w:r w:rsidRPr="00F107E8">
              <w:rPr>
                <w:noProof/>
                <w:sz w:val="20"/>
                <w:szCs w:val="20"/>
              </w:rPr>
              <w:t>58</w:t>
            </w:r>
          </w:p>
        </w:tc>
        <w:tc>
          <w:tcPr>
            <w:tcW w:w="530" w:type="pct"/>
            <w:tcBorders>
              <w:top w:val="nil"/>
              <w:left w:val="nil"/>
              <w:bottom w:val="single" w:sz="4" w:space="0" w:color="auto"/>
              <w:right w:val="single" w:sz="4" w:space="0" w:color="auto"/>
            </w:tcBorders>
            <w:shd w:val="clear" w:color="auto" w:fill="FFFFFF" w:themeFill="background1"/>
            <w:noWrap/>
            <w:hideMark/>
          </w:tcPr>
          <w:p w14:paraId="1201F2D2" w14:textId="68AF8ECE" w:rsidR="00F107E8" w:rsidRPr="00F107E8" w:rsidRDefault="00F107E8" w:rsidP="00F107E8">
            <w:pPr>
              <w:jc w:val="right"/>
              <w:rPr>
                <w:noProof/>
                <w:sz w:val="20"/>
                <w:szCs w:val="20"/>
              </w:rPr>
            </w:pPr>
            <w:r w:rsidRPr="00F107E8">
              <w:rPr>
                <w:noProof/>
                <w:sz w:val="20"/>
                <w:szCs w:val="20"/>
              </w:rPr>
              <w:t>0</w:t>
            </w:r>
          </w:p>
        </w:tc>
      </w:tr>
      <w:tr w:rsidR="00F107E8" w:rsidRPr="007C2348" w14:paraId="4E0F7B2F" w14:textId="77777777" w:rsidTr="00F107E8">
        <w:trPr>
          <w:trHeight w:val="225"/>
        </w:trPr>
        <w:tc>
          <w:tcPr>
            <w:tcW w:w="2882" w:type="pct"/>
            <w:tcBorders>
              <w:top w:val="nil"/>
              <w:left w:val="single" w:sz="4" w:space="0" w:color="auto"/>
              <w:bottom w:val="single" w:sz="4" w:space="0" w:color="auto"/>
              <w:right w:val="single" w:sz="4" w:space="0" w:color="auto"/>
            </w:tcBorders>
            <w:noWrap/>
            <w:hideMark/>
          </w:tcPr>
          <w:p w14:paraId="28953FB7" w14:textId="77777777" w:rsidR="00F107E8" w:rsidRPr="004E336D" w:rsidRDefault="00F107E8" w:rsidP="00F107E8">
            <w:pPr>
              <w:rPr>
                <w:noProof/>
                <w:color w:val="000000"/>
                <w:sz w:val="20"/>
                <w:szCs w:val="20"/>
              </w:rPr>
            </w:pPr>
            <w:r w:rsidRPr="3FCE22BE">
              <w:rPr>
                <w:noProof/>
                <w:color w:val="000000" w:themeColor="text1"/>
                <w:sz w:val="20"/>
                <w:szCs w:val="20"/>
              </w:rPr>
              <w:t>New agreements made by SME platforms (changes relative to the baseline)</w:t>
            </w:r>
          </w:p>
        </w:tc>
        <w:tc>
          <w:tcPr>
            <w:tcW w:w="529" w:type="pct"/>
            <w:tcBorders>
              <w:top w:val="nil"/>
              <w:left w:val="nil"/>
              <w:bottom w:val="single" w:sz="4" w:space="0" w:color="auto"/>
              <w:right w:val="single" w:sz="4" w:space="0" w:color="auto"/>
            </w:tcBorders>
            <w:shd w:val="clear" w:color="auto" w:fill="FFFFFF" w:themeFill="background1"/>
            <w:noWrap/>
            <w:hideMark/>
          </w:tcPr>
          <w:p w14:paraId="00BA158B" w14:textId="3206556B" w:rsidR="00F107E8" w:rsidRPr="00F107E8" w:rsidRDefault="00F107E8" w:rsidP="00F107E8">
            <w:pPr>
              <w:jc w:val="right"/>
              <w:rPr>
                <w:noProof/>
                <w:sz w:val="20"/>
                <w:szCs w:val="20"/>
              </w:rPr>
            </w:pPr>
            <w:r w:rsidRPr="00F107E8">
              <w:rPr>
                <w:noProof/>
                <w:sz w:val="20"/>
                <w:szCs w:val="20"/>
              </w:rPr>
              <w:t>277</w:t>
            </w:r>
          </w:p>
        </w:tc>
        <w:tc>
          <w:tcPr>
            <w:tcW w:w="530" w:type="pct"/>
            <w:tcBorders>
              <w:top w:val="nil"/>
              <w:left w:val="nil"/>
              <w:bottom w:val="single" w:sz="4" w:space="0" w:color="auto"/>
              <w:right w:val="single" w:sz="4" w:space="0" w:color="auto"/>
            </w:tcBorders>
            <w:shd w:val="clear" w:color="auto" w:fill="FFFFFF" w:themeFill="background1"/>
            <w:noWrap/>
            <w:hideMark/>
          </w:tcPr>
          <w:p w14:paraId="7DD92299" w14:textId="3807C8E2" w:rsidR="00F107E8" w:rsidRPr="00F107E8" w:rsidRDefault="00F107E8" w:rsidP="00F107E8">
            <w:pPr>
              <w:jc w:val="right"/>
              <w:rPr>
                <w:noProof/>
                <w:sz w:val="20"/>
                <w:szCs w:val="20"/>
              </w:rPr>
            </w:pPr>
            <w:r w:rsidRPr="00F107E8">
              <w:rPr>
                <w:noProof/>
                <w:sz w:val="20"/>
                <w:szCs w:val="20"/>
              </w:rPr>
              <w:t>46</w:t>
            </w:r>
          </w:p>
        </w:tc>
        <w:tc>
          <w:tcPr>
            <w:tcW w:w="529" w:type="pct"/>
            <w:tcBorders>
              <w:top w:val="nil"/>
              <w:left w:val="nil"/>
              <w:bottom w:val="single" w:sz="4" w:space="0" w:color="auto"/>
              <w:right w:val="single" w:sz="4" w:space="0" w:color="auto"/>
            </w:tcBorders>
            <w:shd w:val="clear" w:color="auto" w:fill="FFFFFF" w:themeFill="background1"/>
            <w:noWrap/>
            <w:hideMark/>
          </w:tcPr>
          <w:p w14:paraId="0E115520" w14:textId="1DB245DE" w:rsidR="00F107E8" w:rsidRPr="00F107E8" w:rsidRDefault="00F107E8" w:rsidP="00F107E8">
            <w:pPr>
              <w:jc w:val="right"/>
              <w:rPr>
                <w:noProof/>
                <w:sz w:val="20"/>
                <w:szCs w:val="20"/>
              </w:rPr>
            </w:pPr>
            <w:r w:rsidRPr="00F107E8">
              <w:rPr>
                <w:noProof/>
                <w:sz w:val="20"/>
                <w:szCs w:val="20"/>
              </w:rPr>
              <w:t>74</w:t>
            </w:r>
          </w:p>
        </w:tc>
        <w:tc>
          <w:tcPr>
            <w:tcW w:w="530" w:type="pct"/>
            <w:tcBorders>
              <w:top w:val="nil"/>
              <w:left w:val="nil"/>
              <w:bottom w:val="single" w:sz="4" w:space="0" w:color="auto"/>
              <w:right w:val="single" w:sz="4" w:space="0" w:color="auto"/>
            </w:tcBorders>
            <w:shd w:val="clear" w:color="auto" w:fill="FFFFFF" w:themeFill="background1"/>
            <w:noWrap/>
            <w:hideMark/>
          </w:tcPr>
          <w:p w14:paraId="49FB7049" w14:textId="5B2F1F3A" w:rsidR="00F107E8" w:rsidRPr="00F107E8" w:rsidRDefault="00F107E8" w:rsidP="00F107E8">
            <w:pPr>
              <w:jc w:val="right"/>
              <w:rPr>
                <w:noProof/>
                <w:sz w:val="20"/>
                <w:szCs w:val="20"/>
              </w:rPr>
            </w:pPr>
            <w:r w:rsidRPr="00F107E8">
              <w:rPr>
                <w:noProof/>
                <w:sz w:val="20"/>
                <w:szCs w:val="20"/>
              </w:rPr>
              <w:t>0</w:t>
            </w:r>
          </w:p>
        </w:tc>
      </w:tr>
      <w:tr w:rsidR="00F107E8" w:rsidRPr="007C2348" w14:paraId="0A70FD02" w14:textId="77777777" w:rsidTr="00F107E8">
        <w:trPr>
          <w:trHeight w:val="225"/>
        </w:trPr>
        <w:tc>
          <w:tcPr>
            <w:tcW w:w="2882" w:type="pct"/>
            <w:tcBorders>
              <w:top w:val="nil"/>
              <w:left w:val="single" w:sz="4" w:space="0" w:color="auto"/>
              <w:bottom w:val="single" w:sz="4" w:space="0" w:color="auto"/>
              <w:right w:val="single" w:sz="4" w:space="0" w:color="auto"/>
            </w:tcBorders>
            <w:noWrap/>
            <w:hideMark/>
          </w:tcPr>
          <w:p w14:paraId="42F58BAC" w14:textId="45B048DD" w:rsidR="00F107E8" w:rsidRPr="004E336D" w:rsidRDefault="00F107E8" w:rsidP="00F107E8">
            <w:pPr>
              <w:rPr>
                <w:noProof/>
                <w:color w:val="000000"/>
                <w:sz w:val="20"/>
                <w:szCs w:val="20"/>
              </w:rPr>
            </w:pPr>
            <w:r w:rsidRPr="3FCE22BE">
              <w:rPr>
                <w:noProof/>
                <w:color w:val="000000" w:themeColor="text1"/>
                <w:sz w:val="20"/>
                <w:szCs w:val="20"/>
              </w:rPr>
              <w:t xml:space="preserve">Renegotiated agreements made by </w:t>
            </w:r>
            <w:r>
              <w:rPr>
                <w:noProof/>
                <w:color w:val="000000" w:themeColor="text1"/>
                <w:sz w:val="20"/>
                <w:szCs w:val="20"/>
              </w:rPr>
              <w:t>non-SME</w:t>
            </w:r>
            <w:r w:rsidRPr="3FCE22BE">
              <w:rPr>
                <w:noProof/>
                <w:color w:val="000000" w:themeColor="text1"/>
                <w:sz w:val="20"/>
                <w:szCs w:val="20"/>
              </w:rPr>
              <w:t xml:space="preserve"> platforms (changes relative to the baseline)</w:t>
            </w:r>
          </w:p>
        </w:tc>
        <w:tc>
          <w:tcPr>
            <w:tcW w:w="529" w:type="pct"/>
            <w:tcBorders>
              <w:top w:val="nil"/>
              <w:left w:val="nil"/>
              <w:bottom w:val="single" w:sz="4" w:space="0" w:color="auto"/>
              <w:right w:val="single" w:sz="4" w:space="0" w:color="auto"/>
            </w:tcBorders>
            <w:shd w:val="clear" w:color="auto" w:fill="FFFFFF" w:themeFill="background1"/>
            <w:noWrap/>
            <w:hideMark/>
          </w:tcPr>
          <w:p w14:paraId="60FC17E7" w14:textId="39CDDC25" w:rsidR="00F107E8" w:rsidRPr="00F107E8" w:rsidRDefault="00F107E8" w:rsidP="00F107E8">
            <w:pPr>
              <w:jc w:val="right"/>
              <w:rPr>
                <w:noProof/>
                <w:sz w:val="20"/>
                <w:szCs w:val="20"/>
              </w:rPr>
            </w:pPr>
            <w:r w:rsidRPr="00F107E8">
              <w:rPr>
                <w:noProof/>
                <w:sz w:val="20"/>
                <w:szCs w:val="20"/>
              </w:rPr>
              <w:t>72</w:t>
            </w:r>
          </w:p>
        </w:tc>
        <w:tc>
          <w:tcPr>
            <w:tcW w:w="530" w:type="pct"/>
            <w:tcBorders>
              <w:top w:val="nil"/>
              <w:left w:val="nil"/>
              <w:bottom w:val="single" w:sz="4" w:space="0" w:color="auto"/>
              <w:right w:val="single" w:sz="4" w:space="0" w:color="auto"/>
            </w:tcBorders>
            <w:shd w:val="clear" w:color="auto" w:fill="FFFFFF" w:themeFill="background1"/>
            <w:noWrap/>
            <w:hideMark/>
          </w:tcPr>
          <w:p w14:paraId="422DF1A1" w14:textId="29835CBF" w:rsidR="00F107E8" w:rsidRPr="00F107E8" w:rsidRDefault="00F107E8" w:rsidP="00F107E8">
            <w:pPr>
              <w:jc w:val="right"/>
              <w:rPr>
                <w:noProof/>
                <w:sz w:val="20"/>
                <w:szCs w:val="20"/>
              </w:rPr>
            </w:pPr>
            <w:r w:rsidRPr="00F107E8">
              <w:rPr>
                <w:noProof/>
                <w:sz w:val="20"/>
                <w:szCs w:val="20"/>
              </w:rPr>
              <w:t>93</w:t>
            </w:r>
          </w:p>
        </w:tc>
        <w:tc>
          <w:tcPr>
            <w:tcW w:w="529" w:type="pct"/>
            <w:tcBorders>
              <w:top w:val="nil"/>
              <w:left w:val="nil"/>
              <w:bottom w:val="single" w:sz="4" w:space="0" w:color="auto"/>
              <w:right w:val="single" w:sz="4" w:space="0" w:color="auto"/>
            </w:tcBorders>
            <w:shd w:val="clear" w:color="auto" w:fill="FFFFFF" w:themeFill="background1"/>
            <w:noWrap/>
            <w:hideMark/>
          </w:tcPr>
          <w:p w14:paraId="779B78DD" w14:textId="2F89D50B" w:rsidR="00F107E8" w:rsidRPr="00F107E8" w:rsidRDefault="00F107E8" w:rsidP="00F107E8">
            <w:pPr>
              <w:jc w:val="right"/>
              <w:rPr>
                <w:noProof/>
                <w:sz w:val="20"/>
                <w:szCs w:val="20"/>
              </w:rPr>
            </w:pPr>
            <w:r w:rsidRPr="00F107E8">
              <w:rPr>
                <w:noProof/>
                <w:sz w:val="20"/>
                <w:szCs w:val="20"/>
              </w:rPr>
              <w:t>284</w:t>
            </w:r>
          </w:p>
        </w:tc>
        <w:tc>
          <w:tcPr>
            <w:tcW w:w="530" w:type="pct"/>
            <w:tcBorders>
              <w:top w:val="nil"/>
              <w:left w:val="nil"/>
              <w:bottom w:val="single" w:sz="4" w:space="0" w:color="auto"/>
              <w:right w:val="single" w:sz="4" w:space="0" w:color="auto"/>
            </w:tcBorders>
            <w:shd w:val="clear" w:color="auto" w:fill="FFFFFF" w:themeFill="background1"/>
            <w:noWrap/>
            <w:hideMark/>
          </w:tcPr>
          <w:p w14:paraId="2278AC26" w14:textId="55BECFAD" w:rsidR="00F107E8" w:rsidRPr="00F107E8" w:rsidRDefault="00F107E8" w:rsidP="00F107E8">
            <w:pPr>
              <w:jc w:val="right"/>
              <w:rPr>
                <w:noProof/>
                <w:sz w:val="20"/>
                <w:szCs w:val="20"/>
              </w:rPr>
            </w:pPr>
            <w:r w:rsidRPr="00F107E8">
              <w:rPr>
                <w:noProof/>
                <w:sz w:val="20"/>
                <w:szCs w:val="20"/>
              </w:rPr>
              <w:t>249</w:t>
            </w:r>
          </w:p>
        </w:tc>
      </w:tr>
      <w:tr w:rsidR="00F107E8" w:rsidRPr="007C2348" w14:paraId="3649416D" w14:textId="77777777" w:rsidTr="00F107E8">
        <w:trPr>
          <w:trHeight w:val="225"/>
        </w:trPr>
        <w:tc>
          <w:tcPr>
            <w:tcW w:w="2882" w:type="pct"/>
            <w:tcBorders>
              <w:top w:val="nil"/>
              <w:left w:val="single" w:sz="4" w:space="0" w:color="auto"/>
              <w:bottom w:val="single" w:sz="4" w:space="0" w:color="auto"/>
              <w:right w:val="single" w:sz="4" w:space="0" w:color="auto"/>
            </w:tcBorders>
            <w:noWrap/>
            <w:hideMark/>
          </w:tcPr>
          <w:p w14:paraId="2BA6E8FB" w14:textId="77777777" w:rsidR="00F107E8" w:rsidRPr="004E336D" w:rsidRDefault="00F107E8" w:rsidP="00F107E8">
            <w:pPr>
              <w:rPr>
                <w:noProof/>
                <w:color w:val="000000"/>
                <w:sz w:val="20"/>
                <w:szCs w:val="20"/>
              </w:rPr>
            </w:pPr>
            <w:r w:rsidRPr="3FCE22BE">
              <w:rPr>
                <w:noProof/>
                <w:color w:val="000000" w:themeColor="text1"/>
                <w:sz w:val="20"/>
                <w:szCs w:val="20"/>
              </w:rPr>
              <w:t>Renegotiated agreements made by SME platforms (changes relative to the baseline)</w:t>
            </w:r>
          </w:p>
        </w:tc>
        <w:tc>
          <w:tcPr>
            <w:tcW w:w="529" w:type="pct"/>
            <w:tcBorders>
              <w:top w:val="nil"/>
              <w:left w:val="nil"/>
              <w:bottom w:val="single" w:sz="4" w:space="0" w:color="auto"/>
              <w:right w:val="single" w:sz="4" w:space="0" w:color="auto"/>
            </w:tcBorders>
            <w:shd w:val="clear" w:color="auto" w:fill="FFFFFF" w:themeFill="background1"/>
            <w:noWrap/>
            <w:hideMark/>
          </w:tcPr>
          <w:p w14:paraId="3D44A1F3" w14:textId="14320108" w:rsidR="00F107E8" w:rsidRPr="00F107E8" w:rsidRDefault="00F107E8" w:rsidP="00F107E8">
            <w:pPr>
              <w:jc w:val="right"/>
              <w:rPr>
                <w:noProof/>
                <w:sz w:val="20"/>
                <w:szCs w:val="20"/>
              </w:rPr>
            </w:pPr>
            <w:r w:rsidRPr="00F107E8">
              <w:rPr>
                <w:noProof/>
                <w:sz w:val="20"/>
                <w:szCs w:val="20"/>
              </w:rPr>
              <w:t>92</w:t>
            </w:r>
          </w:p>
        </w:tc>
        <w:tc>
          <w:tcPr>
            <w:tcW w:w="530" w:type="pct"/>
            <w:tcBorders>
              <w:top w:val="nil"/>
              <w:left w:val="nil"/>
              <w:bottom w:val="single" w:sz="4" w:space="0" w:color="auto"/>
              <w:right w:val="single" w:sz="4" w:space="0" w:color="auto"/>
            </w:tcBorders>
            <w:shd w:val="clear" w:color="auto" w:fill="FFFFFF" w:themeFill="background1"/>
            <w:noWrap/>
            <w:hideMark/>
          </w:tcPr>
          <w:p w14:paraId="0D05CD09" w14:textId="5D5E59EF" w:rsidR="00F107E8" w:rsidRPr="00F107E8" w:rsidRDefault="00F107E8" w:rsidP="00F107E8">
            <w:pPr>
              <w:jc w:val="right"/>
              <w:rPr>
                <w:noProof/>
                <w:sz w:val="20"/>
                <w:szCs w:val="20"/>
              </w:rPr>
            </w:pPr>
            <w:r w:rsidRPr="00F107E8">
              <w:rPr>
                <w:noProof/>
                <w:sz w:val="20"/>
                <w:szCs w:val="20"/>
              </w:rPr>
              <w:t>118</w:t>
            </w:r>
          </w:p>
        </w:tc>
        <w:tc>
          <w:tcPr>
            <w:tcW w:w="529" w:type="pct"/>
            <w:tcBorders>
              <w:top w:val="nil"/>
              <w:left w:val="nil"/>
              <w:bottom w:val="single" w:sz="4" w:space="0" w:color="auto"/>
              <w:right w:val="single" w:sz="4" w:space="0" w:color="auto"/>
            </w:tcBorders>
            <w:shd w:val="clear" w:color="auto" w:fill="FFFFFF" w:themeFill="background1"/>
            <w:noWrap/>
            <w:hideMark/>
          </w:tcPr>
          <w:p w14:paraId="32977902" w14:textId="07AD115A" w:rsidR="00F107E8" w:rsidRPr="00F107E8" w:rsidRDefault="00F107E8" w:rsidP="00F107E8">
            <w:pPr>
              <w:jc w:val="right"/>
              <w:rPr>
                <w:noProof/>
                <w:sz w:val="20"/>
                <w:szCs w:val="20"/>
              </w:rPr>
            </w:pPr>
            <w:r w:rsidRPr="00F107E8">
              <w:rPr>
                <w:noProof/>
                <w:sz w:val="20"/>
                <w:szCs w:val="20"/>
              </w:rPr>
              <w:t>363</w:t>
            </w:r>
          </w:p>
        </w:tc>
        <w:tc>
          <w:tcPr>
            <w:tcW w:w="530" w:type="pct"/>
            <w:tcBorders>
              <w:top w:val="nil"/>
              <w:left w:val="nil"/>
              <w:bottom w:val="single" w:sz="4" w:space="0" w:color="auto"/>
              <w:right w:val="single" w:sz="4" w:space="0" w:color="auto"/>
            </w:tcBorders>
            <w:shd w:val="clear" w:color="auto" w:fill="FFFFFF" w:themeFill="background1"/>
            <w:noWrap/>
            <w:hideMark/>
          </w:tcPr>
          <w:p w14:paraId="780A180A" w14:textId="157F4FE9" w:rsidR="00F107E8" w:rsidRPr="00F107E8" w:rsidRDefault="00F107E8" w:rsidP="00F107E8">
            <w:pPr>
              <w:jc w:val="right"/>
              <w:rPr>
                <w:noProof/>
                <w:sz w:val="20"/>
                <w:szCs w:val="20"/>
              </w:rPr>
            </w:pPr>
            <w:r w:rsidRPr="00F107E8">
              <w:rPr>
                <w:noProof/>
                <w:sz w:val="20"/>
                <w:szCs w:val="20"/>
              </w:rPr>
              <w:t>318</w:t>
            </w:r>
          </w:p>
        </w:tc>
      </w:tr>
      <w:tr w:rsidR="00F107E8" w:rsidRPr="007C2348" w14:paraId="41921CB6" w14:textId="77777777" w:rsidTr="00F107E8">
        <w:trPr>
          <w:trHeight w:val="225"/>
        </w:trPr>
        <w:tc>
          <w:tcPr>
            <w:tcW w:w="2882" w:type="pct"/>
            <w:tcBorders>
              <w:top w:val="nil"/>
              <w:left w:val="single" w:sz="4" w:space="0" w:color="auto"/>
              <w:bottom w:val="single" w:sz="4" w:space="0" w:color="auto"/>
              <w:right w:val="single" w:sz="4" w:space="0" w:color="auto"/>
            </w:tcBorders>
            <w:noWrap/>
            <w:hideMark/>
          </w:tcPr>
          <w:p w14:paraId="335FCDF0" w14:textId="6F64CD99" w:rsidR="00F107E8" w:rsidRPr="004E336D" w:rsidRDefault="00F107E8" w:rsidP="00F107E8">
            <w:pPr>
              <w:rPr>
                <w:noProof/>
                <w:color w:val="000000"/>
                <w:sz w:val="20"/>
                <w:szCs w:val="20"/>
              </w:rPr>
            </w:pPr>
            <w:r w:rsidRPr="004E336D">
              <w:rPr>
                <w:noProof/>
                <w:color w:val="000000"/>
                <w:sz w:val="20"/>
                <w:szCs w:val="20"/>
              </w:rPr>
              <w:t xml:space="preserve">Total adjustment cost savings for </w:t>
            </w:r>
            <w:r>
              <w:rPr>
                <w:noProof/>
                <w:color w:val="000000"/>
                <w:sz w:val="20"/>
                <w:szCs w:val="20"/>
              </w:rPr>
              <w:t>non-SME</w:t>
            </w:r>
            <w:r w:rsidRPr="004E336D">
              <w:rPr>
                <w:noProof/>
                <w:color w:val="000000"/>
                <w:sz w:val="20"/>
                <w:szCs w:val="20"/>
              </w:rPr>
              <w:t xml:space="preserve"> platforms (million EUR)</w:t>
            </w:r>
          </w:p>
        </w:tc>
        <w:tc>
          <w:tcPr>
            <w:tcW w:w="529" w:type="pct"/>
            <w:tcBorders>
              <w:top w:val="nil"/>
              <w:left w:val="nil"/>
              <w:bottom w:val="single" w:sz="4" w:space="0" w:color="auto"/>
              <w:right w:val="single" w:sz="4" w:space="0" w:color="auto"/>
            </w:tcBorders>
            <w:shd w:val="clear" w:color="auto" w:fill="FFFFFF" w:themeFill="background1"/>
            <w:noWrap/>
            <w:hideMark/>
          </w:tcPr>
          <w:p w14:paraId="7D6C33C5" w14:textId="5029698C" w:rsidR="00F107E8" w:rsidRPr="00F107E8" w:rsidRDefault="00F107E8" w:rsidP="00F107E8">
            <w:pPr>
              <w:jc w:val="right"/>
              <w:rPr>
                <w:noProof/>
                <w:sz w:val="20"/>
                <w:szCs w:val="20"/>
              </w:rPr>
            </w:pPr>
            <w:r w:rsidRPr="00F107E8">
              <w:rPr>
                <w:noProof/>
                <w:sz w:val="20"/>
                <w:szCs w:val="20"/>
              </w:rPr>
              <w:t>0.5</w:t>
            </w:r>
          </w:p>
        </w:tc>
        <w:tc>
          <w:tcPr>
            <w:tcW w:w="530" w:type="pct"/>
            <w:tcBorders>
              <w:top w:val="nil"/>
              <w:left w:val="nil"/>
              <w:bottom w:val="single" w:sz="4" w:space="0" w:color="auto"/>
              <w:right w:val="single" w:sz="4" w:space="0" w:color="auto"/>
            </w:tcBorders>
            <w:shd w:val="clear" w:color="auto" w:fill="FFFFFF" w:themeFill="background1"/>
            <w:noWrap/>
            <w:hideMark/>
          </w:tcPr>
          <w:p w14:paraId="3B0B06A0" w14:textId="5FC2F9C6" w:rsidR="00F107E8" w:rsidRPr="00F107E8" w:rsidRDefault="00F107E8" w:rsidP="00F107E8">
            <w:pPr>
              <w:jc w:val="right"/>
              <w:rPr>
                <w:noProof/>
                <w:sz w:val="20"/>
                <w:szCs w:val="20"/>
              </w:rPr>
            </w:pPr>
            <w:r w:rsidRPr="00F107E8">
              <w:rPr>
                <w:noProof/>
                <w:sz w:val="20"/>
                <w:szCs w:val="20"/>
              </w:rPr>
              <w:t>0.2</w:t>
            </w:r>
          </w:p>
        </w:tc>
        <w:tc>
          <w:tcPr>
            <w:tcW w:w="529" w:type="pct"/>
            <w:tcBorders>
              <w:top w:val="nil"/>
              <w:left w:val="nil"/>
              <w:bottom w:val="single" w:sz="4" w:space="0" w:color="auto"/>
              <w:right w:val="single" w:sz="4" w:space="0" w:color="auto"/>
            </w:tcBorders>
            <w:shd w:val="clear" w:color="auto" w:fill="FFFFFF" w:themeFill="background1"/>
            <w:noWrap/>
            <w:hideMark/>
          </w:tcPr>
          <w:p w14:paraId="3109FDEB" w14:textId="55F4F992" w:rsidR="00F107E8" w:rsidRPr="00F107E8" w:rsidRDefault="00F107E8" w:rsidP="00F107E8">
            <w:pPr>
              <w:jc w:val="right"/>
              <w:rPr>
                <w:noProof/>
                <w:sz w:val="20"/>
                <w:szCs w:val="20"/>
              </w:rPr>
            </w:pPr>
            <w:r w:rsidRPr="00F107E8">
              <w:rPr>
                <w:noProof/>
                <w:sz w:val="20"/>
                <w:szCs w:val="20"/>
              </w:rPr>
              <w:t>0.5</w:t>
            </w:r>
          </w:p>
        </w:tc>
        <w:tc>
          <w:tcPr>
            <w:tcW w:w="530" w:type="pct"/>
            <w:tcBorders>
              <w:top w:val="nil"/>
              <w:left w:val="nil"/>
              <w:bottom w:val="single" w:sz="4" w:space="0" w:color="auto"/>
              <w:right w:val="single" w:sz="4" w:space="0" w:color="auto"/>
            </w:tcBorders>
            <w:shd w:val="clear" w:color="auto" w:fill="FFFFFF" w:themeFill="background1"/>
            <w:noWrap/>
            <w:hideMark/>
          </w:tcPr>
          <w:p w14:paraId="675EF962" w14:textId="32172B4F" w:rsidR="00F107E8" w:rsidRPr="00F107E8" w:rsidRDefault="00F107E8" w:rsidP="00F107E8">
            <w:pPr>
              <w:jc w:val="right"/>
              <w:rPr>
                <w:noProof/>
                <w:sz w:val="20"/>
                <w:szCs w:val="20"/>
              </w:rPr>
            </w:pPr>
            <w:r w:rsidRPr="00F107E8">
              <w:rPr>
                <w:noProof/>
                <w:sz w:val="20"/>
                <w:szCs w:val="20"/>
              </w:rPr>
              <w:t>0.3</w:t>
            </w:r>
          </w:p>
        </w:tc>
      </w:tr>
      <w:tr w:rsidR="00F107E8" w:rsidRPr="007C2348" w14:paraId="2B44EFD5" w14:textId="77777777" w:rsidTr="00F107E8">
        <w:trPr>
          <w:trHeight w:val="225"/>
        </w:trPr>
        <w:tc>
          <w:tcPr>
            <w:tcW w:w="2882" w:type="pct"/>
            <w:tcBorders>
              <w:top w:val="nil"/>
              <w:left w:val="single" w:sz="4" w:space="0" w:color="auto"/>
              <w:bottom w:val="single" w:sz="4" w:space="0" w:color="auto"/>
              <w:right w:val="single" w:sz="4" w:space="0" w:color="auto"/>
            </w:tcBorders>
            <w:noWrap/>
            <w:hideMark/>
          </w:tcPr>
          <w:p w14:paraId="1D64527A" w14:textId="77777777" w:rsidR="00F107E8" w:rsidRPr="004E336D" w:rsidRDefault="00F107E8" w:rsidP="00F107E8">
            <w:pPr>
              <w:rPr>
                <w:noProof/>
                <w:color w:val="000000"/>
                <w:sz w:val="20"/>
                <w:szCs w:val="20"/>
              </w:rPr>
            </w:pPr>
            <w:r w:rsidRPr="004E336D">
              <w:rPr>
                <w:noProof/>
                <w:color w:val="000000"/>
                <w:sz w:val="20"/>
                <w:szCs w:val="20"/>
              </w:rPr>
              <w:t>Total adjustment cost savings for SME platforms (million EUR)</w:t>
            </w:r>
          </w:p>
        </w:tc>
        <w:tc>
          <w:tcPr>
            <w:tcW w:w="529" w:type="pct"/>
            <w:tcBorders>
              <w:top w:val="nil"/>
              <w:left w:val="nil"/>
              <w:bottom w:val="single" w:sz="4" w:space="0" w:color="auto"/>
              <w:right w:val="single" w:sz="4" w:space="0" w:color="auto"/>
            </w:tcBorders>
            <w:shd w:val="clear" w:color="auto" w:fill="FFFFFF" w:themeFill="background1"/>
            <w:noWrap/>
            <w:hideMark/>
          </w:tcPr>
          <w:p w14:paraId="2CBCDC6D" w14:textId="3DE5444D" w:rsidR="00F107E8" w:rsidRPr="00F107E8" w:rsidRDefault="00F107E8" w:rsidP="00F107E8">
            <w:pPr>
              <w:jc w:val="right"/>
              <w:rPr>
                <w:noProof/>
                <w:sz w:val="20"/>
                <w:szCs w:val="20"/>
              </w:rPr>
            </w:pPr>
            <w:r w:rsidRPr="00F107E8">
              <w:rPr>
                <w:noProof/>
                <w:sz w:val="20"/>
                <w:szCs w:val="20"/>
              </w:rPr>
              <w:t>0.7</w:t>
            </w:r>
          </w:p>
        </w:tc>
        <w:tc>
          <w:tcPr>
            <w:tcW w:w="530" w:type="pct"/>
            <w:tcBorders>
              <w:top w:val="nil"/>
              <w:left w:val="nil"/>
              <w:bottom w:val="single" w:sz="4" w:space="0" w:color="auto"/>
              <w:right w:val="single" w:sz="4" w:space="0" w:color="auto"/>
            </w:tcBorders>
            <w:shd w:val="clear" w:color="auto" w:fill="FFFFFF" w:themeFill="background1"/>
            <w:noWrap/>
            <w:hideMark/>
          </w:tcPr>
          <w:p w14:paraId="64610DB9" w14:textId="1F7A0635" w:rsidR="00F107E8" w:rsidRPr="00F107E8" w:rsidRDefault="00F107E8" w:rsidP="00F107E8">
            <w:pPr>
              <w:jc w:val="right"/>
              <w:rPr>
                <w:noProof/>
                <w:sz w:val="20"/>
                <w:szCs w:val="20"/>
              </w:rPr>
            </w:pPr>
            <w:r w:rsidRPr="00F107E8">
              <w:rPr>
                <w:noProof/>
                <w:sz w:val="20"/>
                <w:szCs w:val="20"/>
              </w:rPr>
              <w:t>0.2</w:t>
            </w:r>
          </w:p>
        </w:tc>
        <w:tc>
          <w:tcPr>
            <w:tcW w:w="529" w:type="pct"/>
            <w:tcBorders>
              <w:top w:val="nil"/>
              <w:left w:val="nil"/>
              <w:bottom w:val="single" w:sz="4" w:space="0" w:color="auto"/>
              <w:right w:val="single" w:sz="4" w:space="0" w:color="auto"/>
            </w:tcBorders>
            <w:shd w:val="clear" w:color="auto" w:fill="FFFFFF" w:themeFill="background1"/>
            <w:noWrap/>
            <w:hideMark/>
          </w:tcPr>
          <w:p w14:paraId="7A586106" w14:textId="274CD6A1" w:rsidR="00F107E8" w:rsidRPr="00F107E8" w:rsidRDefault="00F107E8" w:rsidP="00F107E8">
            <w:pPr>
              <w:jc w:val="right"/>
              <w:rPr>
                <w:noProof/>
                <w:sz w:val="20"/>
                <w:szCs w:val="20"/>
              </w:rPr>
            </w:pPr>
            <w:r w:rsidRPr="00F107E8">
              <w:rPr>
                <w:noProof/>
                <w:sz w:val="20"/>
                <w:szCs w:val="20"/>
              </w:rPr>
              <w:t>0.6</w:t>
            </w:r>
          </w:p>
        </w:tc>
        <w:tc>
          <w:tcPr>
            <w:tcW w:w="530" w:type="pct"/>
            <w:tcBorders>
              <w:top w:val="nil"/>
              <w:left w:val="nil"/>
              <w:bottom w:val="single" w:sz="4" w:space="0" w:color="auto"/>
              <w:right w:val="single" w:sz="4" w:space="0" w:color="auto"/>
            </w:tcBorders>
            <w:shd w:val="clear" w:color="auto" w:fill="FFFFFF" w:themeFill="background1"/>
            <w:noWrap/>
            <w:hideMark/>
          </w:tcPr>
          <w:p w14:paraId="2B8F15D2" w14:textId="49D29AE1" w:rsidR="00F107E8" w:rsidRPr="00F107E8" w:rsidRDefault="00F107E8" w:rsidP="00F107E8">
            <w:pPr>
              <w:jc w:val="right"/>
              <w:rPr>
                <w:noProof/>
                <w:sz w:val="20"/>
                <w:szCs w:val="20"/>
              </w:rPr>
            </w:pPr>
            <w:r w:rsidRPr="00F107E8">
              <w:rPr>
                <w:noProof/>
                <w:sz w:val="20"/>
                <w:szCs w:val="20"/>
              </w:rPr>
              <w:t>0.4</w:t>
            </w:r>
          </w:p>
        </w:tc>
      </w:tr>
    </w:tbl>
    <w:p w14:paraId="7EC70EBD" w14:textId="77777777" w:rsidR="008A4770" w:rsidRPr="00D71008" w:rsidRDefault="008A4770" w:rsidP="008A4770">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0D018930" w14:textId="041E4F9C" w:rsidR="008B4465" w:rsidRDefault="008B4465" w:rsidP="008B4465">
      <w:pPr>
        <w:pStyle w:val="Nornal"/>
        <w:spacing w:after="240" w:line="240" w:lineRule="auto"/>
        <w:rPr>
          <w:rFonts w:cs="Arial"/>
          <w:noProof/>
          <w:spacing w:val="-8"/>
          <w:sz w:val="24"/>
          <w:szCs w:val="24"/>
        </w:rPr>
      </w:pPr>
      <w:r w:rsidRPr="00822452">
        <w:rPr>
          <w:rFonts w:cs="Arial"/>
          <w:noProof/>
          <w:spacing w:val="-8"/>
          <w:sz w:val="24"/>
          <w:szCs w:val="24"/>
        </w:rPr>
        <w:t xml:space="preserve">Expressed as present value over 2028-2050, relative to the baseline, the adjustment costs savings for </w:t>
      </w:r>
      <w:r w:rsidR="00EF5686">
        <w:rPr>
          <w:rFonts w:cs="Arial"/>
          <w:noProof/>
          <w:spacing w:val="-8"/>
          <w:sz w:val="24"/>
          <w:szCs w:val="24"/>
        </w:rPr>
        <w:t>non-SME</w:t>
      </w:r>
      <w:r w:rsidRPr="00822452">
        <w:rPr>
          <w:rFonts w:cs="Arial"/>
          <w:noProof/>
          <w:spacing w:val="-8"/>
          <w:sz w:val="24"/>
          <w:szCs w:val="24"/>
        </w:rPr>
        <w:t xml:space="preserve"> and SME MDMS platforms are provided in the table below. </w:t>
      </w:r>
    </w:p>
    <w:p w14:paraId="0EF8B77B" w14:textId="1804C000" w:rsidR="008B4465" w:rsidRPr="005A6C66" w:rsidRDefault="008B4465" w:rsidP="008B4465">
      <w:pPr>
        <w:tabs>
          <w:tab w:val="left" w:pos="1134"/>
        </w:tabs>
        <w:rPr>
          <w:i/>
          <w:noProof/>
          <w:sz w:val="22"/>
          <w:szCs w:val="22"/>
        </w:rPr>
      </w:pPr>
      <w:r w:rsidRPr="005A6C66">
        <w:rPr>
          <w:i/>
          <w:noProof/>
          <w:sz w:val="22"/>
          <w:szCs w:val="22"/>
        </w:rPr>
        <w:t xml:space="preserve">Table </w:t>
      </w:r>
      <w:r w:rsidRPr="005A6C66">
        <w:rPr>
          <w:i/>
          <w:noProof/>
          <w:sz w:val="22"/>
          <w:szCs w:val="22"/>
        </w:rPr>
        <w:fldChar w:fldCharType="begin"/>
      </w:r>
      <w:r w:rsidRPr="005A6C66">
        <w:rPr>
          <w:i/>
          <w:noProof/>
          <w:sz w:val="22"/>
          <w:szCs w:val="22"/>
        </w:rPr>
        <w:instrText xml:space="preserve"> SEQ Table \* ARABIC </w:instrText>
      </w:r>
      <w:r w:rsidRPr="005A6C66">
        <w:rPr>
          <w:i/>
          <w:noProof/>
          <w:sz w:val="22"/>
          <w:szCs w:val="22"/>
        </w:rPr>
        <w:fldChar w:fldCharType="separate"/>
      </w:r>
      <w:r w:rsidR="0055391F">
        <w:rPr>
          <w:i/>
          <w:noProof/>
          <w:sz w:val="22"/>
          <w:szCs w:val="22"/>
        </w:rPr>
        <w:t>111</w:t>
      </w:r>
      <w:r w:rsidRPr="005A6C66">
        <w:rPr>
          <w:i/>
          <w:noProof/>
          <w:sz w:val="22"/>
          <w:szCs w:val="22"/>
        </w:rPr>
        <w:fldChar w:fldCharType="end"/>
      </w:r>
      <w:r w:rsidRPr="005A6C66">
        <w:rPr>
          <w:i/>
          <w:noProof/>
          <w:sz w:val="22"/>
          <w:szCs w:val="22"/>
        </w:rPr>
        <w:t>: Recurrent adjustment costs savings for MDMS platforms due to PM12, expressed as present value over 2028-2050 relative to the baseline (in million EUR, 2024 prices)</w:t>
      </w: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3"/>
        <w:gridCol w:w="1328"/>
        <w:gridCol w:w="1588"/>
        <w:gridCol w:w="1588"/>
        <w:gridCol w:w="1590"/>
      </w:tblGrid>
      <w:tr w:rsidR="00E30CD0" w:rsidRPr="007C2348" w14:paraId="3FC7A016" w14:textId="77777777" w:rsidTr="00084196">
        <w:trPr>
          <w:trHeight w:val="294"/>
          <w:tblHeader/>
        </w:trPr>
        <w:tc>
          <w:tcPr>
            <w:tcW w:w="3393" w:type="dxa"/>
            <w:vMerge w:val="restart"/>
            <w:shd w:val="clear" w:color="auto" w:fill="0070C0"/>
          </w:tcPr>
          <w:p w14:paraId="48322CD8" w14:textId="77777777" w:rsidR="00E30CD0" w:rsidRPr="005A6C66" w:rsidRDefault="00E30CD0" w:rsidP="00877F6F">
            <w:pPr>
              <w:jc w:val="both"/>
              <w:rPr>
                <w:b/>
                <w:noProof/>
                <w:color w:val="FFFFFF" w:themeColor="background1"/>
                <w:sz w:val="20"/>
                <w:szCs w:val="20"/>
              </w:rPr>
            </w:pPr>
          </w:p>
        </w:tc>
        <w:tc>
          <w:tcPr>
            <w:tcW w:w="6094" w:type="dxa"/>
            <w:gridSpan w:val="4"/>
            <w:shd w:val="clear" w:color="auto" w:fill="0070C0"/>
            <w:hideMark/>
          </w:tcPr>
          <w:p w14:paraId="47EF3B6D" w14:textId="77777777" w:rsidR="00E30CD0" w:rsidRPr="005A6C66" w:rsidRDefault="00E30CD0" w:rsidP="00877F6F">
            <w:pPr>
              <w:jc w:val="center"/>
              <w:rPr>
                <w:b/>
                <w:noProof/>
                <w:color w:val="FFFFFF" w:themeColor="background1"/>
                <w:sz w:val="20"/>
                <w:szCs w:val="20"/>
              </w:rPr>
            </w:pPr>
            <w:r w:rsidRPr="005A6C66">
              <w:rPr>
                <w:b/>
                <w:noProof/>
                <w:color w:val="FFFFFF" w:themeColor="background1"/>
                <w:sz w:val="20"/>
                <w:szCs w:val="20"/>
              </w:rPr>
              <w:t>Difference to baseline</w:t>
            </w:r>
          </w:p>
        </w:tc>
      </w:tr>
      <w:tr w:rsidR="00E30CD0" w:rsidRPr="007C2348" w14:paraId="3B050495" w14:textId="77777777" w:rsidTr="00084196">
        <w:trPr>
          <w:trHeight w:val="294"/>
          <w:tblHeader/>
        </w:trPr>
        <w:tc>
          <w:tcPr>
            <w:tcW w:w="3393" w:type="dxa"/>
            <w:vMerge/>
            <w:tcBorders>
              <w:top w:val="single" w:sz="4" w:space="0" w:color="auto"/>
              <w:right w:val="single" w:sz="4" w:space="0" w:color="auto"/>
            </w:tcBorders>
            <w:shd w:val="clear" w:color="auto" w:fill="0070C0"/>
            <w:hideMark/>
          </w:tcPr>
          <w:p w14:paraId="68553D83" w14:textId="77777777" w:rsidR="00E30CD0" w:rsidRPr="005A6C66" w:rsidRDefault="00E30CD0" w:rsidP="00877F6F">
            <w:pPr>
              <w:rPr>
                <w:b/>
                <w:noProof/>
                <w:color w:val="FFFFFF" w:themeColor="background1"/>
                <w:sz w:val="20"/>
                <w:szCs w:val="20"/>
              </w:rPr>
            </w:pPr>
          </w:p>
        </w:tc>
        <w:tc>
          <w:tcPr>
            <w:tcW w:w="1328" w:type="dxa"/>
            <w:tcBorders>
              <w:top w:val="single" w:sz="4" w:space="0" w:color="auto"/>
              <w:left w:val="single" w:sz="4" w:space="0" w:color="auto"/>
              <w:right w:val="single" w:sz="4" w:space="0" w:color="auto"/>
            </w:tcBorders>
            <w:shd w:val="clear" w:color="auto" w:fill="0070C0"/>
            <w:hideMark/>
          </w:tcPr>
          <w:p w14:paraId="2925BC68" w14:textId="77777777" w:rsidR="00E30CD0" w:rsidRPr="005A6C66" w:rsidRDefault="00E30CD0" w:rsidP="00877F6F">
            <w:pPr>
              <w:jc w:val="center"/>
              <w:rPr>
                <w:b/>
                <w:noProof/>
                <w:color w:val="FFFFFF" w:themeColor="background1"/>
                <w:sz w:val="20"/>
                <w:szCs w:val="20"/>
              </w:rPr>
            </w:pPr>
            <w:r w:rsidRPr="005A6C66">
              <w:rPr>
                <w:b/>
                <w:noProof/>
                <w:color w:val="FFFFFF" w:themeColor="background1"/>
                <w:sz w:val="20"/>
                <w:szCs w:val="20"/>
              </w:rPr>
              <w:t>PO1</w:t>
            </w:r>
          </w:p>
        </w:tc>
        <w:tc>
          <w:tcPr>
            <w:tcW w:w="1588" w:type="dxa"/>
            <w:tcBorders>
              <w:top w:val="single" w:sz="4" w:space="0" w:color="auto"/>
              <w:left w:val="single" w:sz="4" w:space="0" w:color="auto"/>
              <w:right w:val="single" w:sz="4" w:space="0" w:color="auto"/>
            </w:tcBorders>
            <w:shd w:val="clear" w:color="auto" w:fill="0070C0"/>
            <w:hideMark/>
          </w:tcPr>
          <w:p w14:paraId="27B9B840" w14:textId="77777777" w:rsidR="00E30CD0" w:rsidRPr="005A6C66" w:rsidRDefault="00E30CD0" w:rsidP="00877F6F">
            <w:pPr>
              <w:jc w:val="center"/>
              <w:rPr>
                <w:b/>
                <w:noProof/>
                <w:color w:val="FFFFFF" w:themeColor="background1"/>
                <w:sz w:val="20"/>
                <w:szCs w:val="20"/>
              </w:rPr>
            </w:pPr>
            <w:r w:rsidRPr="005A6C66">
              <w:rPr>
                <w:b/>
                <w:noProof/>
                <w:color w:val="FFFFFF" w:themeColor="background1"/>
                <w:sz w:val="20"/>
                <w:szCs w:val="20"/>
              </w:rPr>
              <w:t>PO2</w:t>
            </w:r>
          </w:p>
        </w:tc>
        <w:tc>
          <w:tcPr>
            <w:tcW w:w="1588" w:type="dxa"/>
            <w:tcBorders>
              <w:top w:val="single" w:sz="4" w:space="0" w:color="auto"/>
              <w:left w:val="single" w:sz="4" w:space="0" w:color="auto"/>
              <w:right w:val="single" w:sz="4" w:space="0" w:color="auto"/>
            </w:tcBorders>
            <w:shd w:val="clear" w:color="auto" w:fill="0070C0"/>
            <w:hideMark/>
          </w:tcPr>
          <w:p w14:paraId="1ADE3A41" w14:textId="77777777" w:rsidR="00E30CD0" w:rsidRPr="005A6C66" w:rsidRDefault="00E30CD0" w:rsidP="00877F6F">
            <w:pPr>
              <w:jc w:val="center"/>
              <w:rPr>
                <w:b/>
                <w:noProof/>
                <w:color w:val="FFFFFF" w:themeColor="background1"/>
                <w:sz w:val="20"/>
                <w:szCs w:val="20"/>
              </w:rPr>
            </w:pPr>
            <w:r w:rsidRPr="005A6C66">
              <w:rPr>
                <w:b/>
                <w:noProof/>
                <w:color w:val="FFFFFF" w:themeColor="background1"/>
                <w:sz w:val="20"/>
                <w:szCs w:val="20"/>
              </w:rPr>
              <w:t>PO3</w:t>
            </w:r>
          </w:p>
        </w:tc>
        <w:tc>
          <w:tcPr>
            <w:tcW w:w="1590" w:type="dxa"/>
            <w:tcBorders>
              <w:top w:val="single" w:sz="4" w:space="0" w:color="auto"/>
              <w:left w:val="single" w:sz="4" w:space="0" w:color="auto"/>
            </w:tcBorders>
            <w:shd w:val="clear" w:color="auto" w:fill="0070C0"/>
            <w:hideMark/>
          </w:tcPr>
          <w:p w14:paraId="5A6DA2A2" w14:textId="77777777" w:rsidR="00E30CD0" w:rsidRPr="005A6C66" w:rsidRDefault="00E30CD0" w:rsidP="00877F6F">
            <w:pPr>
              <w:jc w:val="center"/>
              <w:rPr>
                <w:b/>
                <w:noProof/>
                <w:color w:val="FFFFFF" w:themeColor="background1"/>
                <w:sz w:val="20"/>
                <w:szCs w:val="20"/>
              </w:rPr>
            </w:pPr>
            <w:r w:rsidRPr="005A6C66">
              <w:rPr>
                <w:b/>
                <w:noProof/>
                <w:color w:val="FFFFFF" w:themeColor="background1"/>
                <w:sz w:val="20"/>
                <w:szCs w:val="20"/>
              </w:rPr>
              <w:t>PO4</w:t>
            </w:r>
          </w:p>
        </w:tc>
      </w:tr>
      <w:tr w:rsidR="00084196" w:rsidRPr="007C2348" w14:paraId="3BA7764B" w14:textId="77777777" w:rsidTr="00877F6F">
        <w:trPr>
          <w:trHeight w:val="294"/>
        </w:trPr>
        <w:tc>
          <w:tcPr>
            <w:tcW w:w="3393" w:type="dxa"/>
            <w:hideMark/>
          </w:tcPr>
          <w:p w14:paraId="4A8D98E7" w14:textId="19E0BCCF" w:rsidR="00084196" w:rsidRPr="005A6C66" w:rsidRDefault="00084196" w:rsidP="00084196">
            <w:pPr>
              <w:rPr>
                <w:noProof/>
                <w:sz w:val="20"/>
                <w:szCs w:val="20"/>
              </w:rPr>
            </w:pPr>
            <w:r>
              <w:rPr>
                <w:noProof/>
                <w:sz w:val="20"/>
                <w:szCs w:val="20"/>
              </w:rPr>
              <w:t>Non-SME</w:t>
            </w:r>
            <w:r w:rsidRPr="005A6C66">
              <w:rPr>
                <w:noProof/>
                <w:sz w:val="20"/>
                <w:szCs w:val="20"/>
              </w:rPr>
              <w:t xml:space="preserve"> MDMS platforms</w:t>
            </w:r>
          </w:p>
        </w:tc>
        <w:tc>
          <w:tcPr>
            <w:tcW w:w="1328" w:type="dxa"/>
            <w:noWrap/>
          </w:tcPr>
          <w:p w14:paraId="352FA86A" w14:textId="46DCCA7F" w:rsidR="00084196" w:rsidRPr="005A6C66" w:rsidRDefault="00084196" w:rsidP="00084196">
            <w:pPr>
              <w:jc w:val="right"/>
              <w:rPr>
                <w:noProof/>
                <w:sz w:val="20"/>
                <w:szCs w:val="20"/>
              </w:rPr>
            </w:pPr>
            <w:r>
              <w:rPr>
                <w:noProof/>
                <w:color w:val="000000"/>
                <w:sz w:val="20"/>
                <w:szCs w:val="20"/>
              </w:rPr>
              <w:t>0.4</w:t>
            </w:r>
          </w:p>
        </w:tc>
        <w:tc>
          <w:tcPr>
            <w:tcW w:w="1588" w:type="dxa"/>
            <w:noWrap/>
          </w:tcPr>
          <w:p w14:paraId="005CC3D4" w14:textId="1F51378A" w:rsidR="00084196" w:rsidRPr="005A6C66" w:rsidRDefault="00084196" w:rsidP="00084196">
            <w:pPr>
              <w:jc w:val="right"/>
              <w:rPr>
                <w:noProof/>
                <w:sz w:val="20"/>
                <w:szCs w:val="20"/>
              </w:rPr>
            </w:pPr>
            <w:r>
              <w:rPr>
                <w:noProof/>
                <w:color w:val="000000"/>
                <w:sz w:val="20"/>
                <w:szCs w:val="20"/>
              </w:rPr>
              <w:t>5.7</w:t>
            </w:r>
          </w:p>
        </w:tc>
        <w:tc>
          <w:tcPr>
            <w:tcW w:w="1588" w:type="dxa"/>
            <w:noWrap/>
          </w:tcPr>
          <w:p w14:paraId="01D13CEA" w14:textId="09CC74F7" w:rsidR="00084196" w:rsidRPr="005A6C66" w:rsidRDefault="00084196" w:rsidP="00084196">
            <w:pPr>
              <w:jc w:val="right"/>
              <w:rPr>
                <w:noProof/>
                <w:sz w:val="20"/>
                <w:szCs w:val="20"/>
              </w:rPr>
            </w:pPr>
            <w:r>
              <w:rPr>
                <w:noProof/>
                <w:color w:val="000000"/>
                <w:sz w:val="20"/>
                <w:szCs w:val="20"/>
              </w:rPr>
              <w:t>5.2</w:t>
            </w:r>
          </w:p>
        </w:tc>
        <w:tc>
          <w:tcPr>
            <w:tcW w:w="1590" w:type="dxa"/>
            <w:noWrap/>
          </w:tcPr>
          <w:p w14:paraId="531A8685" w14:textId="03AFD451" w:rsidR="00084196" w:rsidRPr="005A6C66" w:rsidRDefault="00084196" w:rsidP="00084196">
            <w:pPr>
              <w:jc w:val="right"/>
              <w:rPr>
                <w:noProof/>
                <w:sz w:val="20"/>
                <w:szCs w:val="20"/>
              </w:rPr>
            </w:pPr>
            <w:r>
              <w:rPr>
                <w:noProof/>
                <w:color w:val="000000"/>
                <w:sz w:val="20"/>
                <w:szCs w:val="20"/>
              </w:rPr>
              <w:t>5.4</w:t>
            </w:r>
          </w:p>
        </w:tc>
      </w:tr>
      <w:tr w:rsidR="00084196" w:rsidRPr="007C2348" w14:paraId="2AF46513" w14:textId="77777777" w:rsidTr="00877F6F">
        <w:trPr>
          <w:trHeight w:val="294"/>
        </w:trPr>
        <w:tc>
          <w:tcPr>
            <w:tcW w:w="3393" w:type="dxa"/>
          </w:tcPr>
          <w:p w14:paraId="2271FAEF" w14:textId="77777777" w:rsidR="00084196" w:rsidRPr="005A6C66" w:rsidRDefault="00084196" w:rsidP="00084196">
            <w:pPr>
              <w:rPr>
                <w:noProof/>
                <w:sz w:val="20"/>
                <w:szCs w:val="20"/>
              </w:rPr>
            </w:pPr>
            <w:r w:rsidRPr="005A6C66">
              <w:rPr>
                <w:noProof/>
                <w:sz w:val="20"/>
                <w:szCs w:val="20"/>
              </w:rPr>
              <w:t>SME MDMS platforms</w:t>
            </w:r>
          </w:p>
        </w:tc>
        <w:tc>
          <w:tcPr>
            <w:tcW w:w="1328" w:type="dxa"/>
            <w:noWrap/>
          </w:tcPr>
          <w:p w14:paraId="09B45495" w14:textId="0B70DDD4" w:rsidR="00084196" w:rsidRPr="005A6C66" w:rsidRDefault="00084196" w:rsidP="00084196">
            <w:pPr>
              <w:jc w:val="right"/>
              <w:rPr>
                <w:noProof/>
                <w:sz w:val="20"/>
                <w:szCs w:val="20"/>
              </w:rPr>
            </w:pPr>
            <w:r>
              <w:rPr>
                <w:noProof/>
                <w:color w:val="000000"/>
                <w:sz w:val="20"/>
                <w:szCs w:val="20"/>
              </w:rPr>
              <w:t>0.5</w:t>
            </w:r>
          </w:p>
        </w:tc>
        <w:tc>
          <w:tcPr>
            <w:tcW w:w="1588" w:type="dxa"/>
            <w:noWrap/>
          </w:tcPr>
          <w:p w14:paraId="661D7C9E" w14:textId="03FABC8D" w:rsidR="00084196" w:rsidRPr="005A6C66" w:rsidRDefault="00084196" w:rsidP="00084196">
            <w:pPr>
              <w:jc w:val="right"/>
              <w:rPr>
                <w:noProof/>
                <w:sz w:val="20"/>
                <w:szCs w:val="20"/>
              </w:rPr>
            </w:pPr>
            <w:r>
              <w:rPr>
                <w:noProof/>
                <w:color w:val="000000"/>
                <w:sz w:val="20"/>
                <w:szCs w:val="20"/>
              </w:rPr>
              <w:t>7.3</w:t>
            </w:r>
          </w:p>
        </w:tc>
        <w:tc>
          <w:tcPr>
            <w:tcW w:w="1588" w:type="dxa"/>
            <w:noWrap/>
          </w:tcPr>
          <w:p w14:paraId="1442A4D9" w14:textId="452018FB" w:rsidR="00084196" w:rsidRPr="005A6C66" w:rsidRDefault="00084196" w:rsidP="00084196">
            <w:pPr>
              <w:jc w:val="right"/>
              <w:rPr>
                <w:noProof/>
                <w:sz w:val="20"/>
                <w:szCs w:val="20"/>
              </w:rPr>
            </w:pPr>
            <w:r>
              <w:rPr>
                <w:noProof/>
                <w:color w:val="000000"/>
                <w:sz w:val="20"/>
                <w:szCs w:val="20"/>
              </w:rPr>
              <w:t>6.6</w:t>
            </w:r>
          </w:p>
        </w:tc>
        <w:tc>
          <w:tcPr>
            <w:tcW w:w="1590" w:type="dxa"/>
            <w:noWrap/>
          </w:tcPr>
          <w:p w14:paraId="5BBADE70" w14:textId="7B6B3204" w:rsidR="00084196" w:rsidRPr="005A6C66" w:rsidRDefault="00084196" w:rsidP="00084196">
            <w:pPr>
              <w:jc w:val="right"/>
              <w:rPr>
                <w:noProof/>
                <w:sz w:val="20"/>
                <w:szCs w:val="20"/>
              </w:rPr>
            </w:pPr>
            <w:r>
              <w:rPr>
                <w:noProof/>
                <w:color w:val="000000"/>
                <w:sz w:val="20"/>
                <w:szCs w:val="20"/>
              </w:rPr>
              <w:t>6.9</w:t>
            </w:r>
          </w:p>
        </w:tc>
      </w:tr>
    </w:tbl>
    <w:p w14:paraId="058F8C02" w14:textId="77777777" w:rsidR="00E30CD0" w:rsidRPr="00D71008" w:rsidRDefault="00E30CD0" w:rsidP="00E30CD0">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557748EE" w14:textId="77777777" w:rsidR="0024764E" w:rsidRDefault="0024764E" w:rsidP="0024764E">
      <w:pPr>
        <w:pStyle w:val="Nornal"/>
        <w:keepNext/>
        <w:spacing w:after="240" w:line="240" w:lineRule="auto"/>
        <w:rPr>
          <w:rFonts w:cs="Arial"/>
          <w:i/>
          <w:iCs/>
          <w:noProof/>
          <w:spacing w:val="-8"/>
          <w:sz w:val="24"/>
          <w:szCs w:val="24"/>
        </w:rPr>
      </w:pPr>
      <w:r>
        <w:rPr>
          <w:rFonts w:cs="Arial"/>
          <w:i/>
          <w:iCs/>
          <w:noProof/>
          <w:spacing w:val="-8"/>
          <w:sz w:val="24"/>
          <w:szCs w:val="24"/>
        </w:rPr>
        <w:t>Recurrent adjustment</w:t>
      </w:r>
      <w:r w:rsidRPr="00FF2B87">
        <w:rPr>
          <w:rFonts w:cs="Arial"/>
          <w:i/>
          <w:iCs/>
          <w:noProof/>
          <w:spacing w:val="-8"/>
          <w:sz w:val="24"/>
          <w:szCs w:val="24"/>
        </w:rPr>
        <w:t xml:space="preserve"> costs </w:t>
      </w:r>
      <w:r>
        <w:rPr>
          <w:rFonts w:cs="Arial"/>
          <w:i/>
          <w:iCs/>
          <w:noProof/>
          <w:spacing w:val="-8"/>
          <w:sz w:val="24"/>
          <w:szCs w:val="24"/>
        </w:rPr>
        <w:t xml:space="preserve">savings </w:t>
      </w:r>
      <w:r w:rsidRPr="00FF2B87">
        <w:rPr>
          <w:rFonts w:cs="Arial"/>
          <w:i/>
          <w:iCs/>
          <w:noProof/>
          <w:spacing w:val="-8"/>
          <w:sz w:val="24"/>
          <w:szCs w:val="24"/>
        </w:rPr>
        <w:t xml:space="preserve">for </w:t>
      </w:r>
      <w:r>
        <w:rPr>
          <w:rFonts w:cs="Arial"/>
          <w:i/>
          <w:iCs/>
          <w:noProof/>
          <w:spacing w:val="-8"/>
          <w:sz w:val="24"/>
          <w:szCs w:val="24"/>
        </w:rPr>
        <w:t>transport operators</w:t>
      </w:r>
    </w:p>
    <w:p w14:paraId="5C35BAAF" w14:textId="15572239" w:rsidR="0024764E" w:rsidRPr="0080196C" w:rsidRDefault="0024764E" w:rsidP="0024764E">
      <w:pPr>
        <w:pStyle w:val="TableParagraph"/>
        <w:keepNext/>
        <w:spacing w:after="240"/>
        <w:ind w:right="71"/>
        <w:jc w:val="both"/>
        <w:rPr>
          <w:noProof/>
          <w:spacing w:val="-8"/>
          <w:sz w:val="24"/>
          <w:szCs w:val="24"/>
        </w:rPr>
      </w:pPr>
      <w:r w:rsidRPr="0080196C">
        <w:rPr>
          <w:noProof/>
          <w:spacing w:val="-8"/>
          <w:sz w:val="24"/>
          <w:szCs w:val="24"/>
        </w:rPr>
        <w:t xml:space="preserve">The </w:t>
      </w:r>
      <w:r>
        <w:rPr>
          <w:noProof/>
          <w:spacing w:val="-8"/>
          <w:sz w:val="24"/>
          <w:szCs w:val="24"/>
        </w:rPr>
        <w:t xml:space="preserve">adjustment costs savings for transport operators due to PM12 in 2028, 2030, 2040 and 2050 relative to the baseline are provided in the table below. The table also includes a split between the costs savings corresponding to </w:t>
      </w:r>
      <w:r w:rsidR="004D0D5E">
        <w:rPr>
          <w:noProof/>
          <w:spacing w:val="-8"/>
          <w:sz w:val="24"/>
          <w:szCs w:val="24"/>
        </w:rPr>
        <w:t>non-SME</w:t>
      </w:r>
      <w:r>
        <w:rPr>
          <w:noProof/>
          <w:spacing w:val="-8"/>
          <w:sz w:val="24"/>
          <w:szCs w:val="24"/>
        </w:rPr>
        <w:t xml:space="preserve"> transport operators and SMEs.  </w:t>
      </w:r>
    </w:p>
    <w:p w14:paraId="1447BED1" w14:textId="28779879" w:rsidR="0024764E" w:rsidRDefault="0024764E" w:rsidP="0024764E">
      <w:pPr>
        <w:tabs>
          <w:tab w:val="left" w:pos="1134"/>
        </w:tabs>
        <w:rPr>
          <w:bCs/>
          <w:i/>
          <w:iCs/>
          <w:noProof/>
        </w:rPr>
      </w:pPr>
      <w:r w:rsidRPr="00091310">
        <w:rPr>
          <w:bCs/>
          <w:i/>
          <w:iCs/>
          <w:noProof/>
        </w:rPr>
        <w:t xml:space="preserve">Table </w:t>
      </w:r>
      <w:r w:rsidRPr="00091310">
        <w:rPr>
          <w:bCs/>
          <w:i/>
          <w:iCs/>
          <w:noProof/>
        </w:rPr>
        <w:fldChar w:fldCharType="begin"/>
      </w:r>
      <w:r w:rsidRPr="00091310">
        <w:rPr>
          <w:bCs/>
          <w:i/>
          <w:iCs/>
          <w:noProof/>
        </w:rPr>
        <w:instrText xml:space="preserve"> SEQ Table \* ARABIC </w:instrText>
      </w:r>
      <w:r w:rsidRPr="00091310">
        <w:rPr>
          <w:bCs/>
          <w:i/>
          <w:iCs/>
          <w:noProof/>
        </w:rPr>
        <w:fldChar w:fldCharType="separate"/>
      </w:r>
      <w:r w:rsidR="0055391F">
        <w:rPr>
          <w:bCs/>
          <w:i/>
          <w:iCs/>
          <w:noProof/>
        </w:rPr>
        <w:t>112</w:t>
      </w:r>
      <w:r w:rsidRPr="00091310">
        <w:rPr>
          <w:bCs/>
          <w:i/>
          <w:iCs/>
          <w:noProof/>
        </w:rPr>
        <w:fldChar w:fldCharType="end"/>
      </w:r>
      <w:r w:rsidRPr="00091310">
        <w:rPr>
          <w:bCs/>
          <w:i/>
          <w:iCs/>
          <w:noProof/>
        </w:rPr>
        <w:t xml:space="preserve">: </w:t>
      </w:r>
      <w:r>
        <w:rPr>
          <w:bCs/>
          <w:i/>
          <w:iCs/>
          <w:noProof/>
        </w:rPr>
        <w:t>Adjustment</w:t>
      </w:r>
      <w:r w:rsidRPr="00091310">
        <w:rPr>
          <w:bCs/>
          <w:i/>
          <w:iCs/>
          <w:noProof/>
        </w:rPr>
        <w:t xml:space="preserve"> cost</w:t>
      </w:r>
      <w:r>
        <w:rPr>
          <w:bCs/>
          <w:i/>
          <w:iCs/>
          <w:noProof/>
        </w:rPr>
        <w:t>s</w:t>
      </w:r>
      <w:r w:rsidRPr="00091310">
        <w:rPr>
          <w:bCs/>
          <w:i/>
          <w:iCs/>
          <w:noProof/>
        </w:rPr>
        <w:t xml:space="preserve"> </w:t>
      </w:r>
      <w:r>
        <w:rPr>
          <w:bCs/>
          <w:i/>
          <w:iCs/>
          <w:noProof/>
        </w:rPr>
        <w:t xml:space="preserve">savings for transport operators </w:t>
      </w:r>
      <w:r w:rsidRPr="00091310">
        <w:rPr>
          <w:bCs/>
          <w:i/>
          <w:iCs/>
          <w:noProof/>
        </w:rPr>
        <w:t>due to PM1</w:t>
      </w:r>
      <w:r>
        <w:rPr>
          <w:bCs/>
          <w:i/>
          <w:iCs/>
          <w:noProof/>
        </w:rPr>
        <w:t>2 in 2028, 2030, 2040 and 2050 relative to the baseline</w:t>
      </w:r>
      <w:r w:rsidRPr="00091310">
        <w:rPr>
          <w:bCs/>
          <w:i/>
          <w:iCs/>
          <w:noProof/>
        </w:rPr>
        <w:t xml:space="preserve"> </w:t>
      </w:r>
    </w:p>
    <w:tbl>
      <w:tblPr>
        <w:tblW w:w="5000" w:type="pct"/>
        <w:tblLook w:val="04A0" w:firstRow="1" w:lastRow="0" w:firstColumn="1" w:lastColumn="0" w:noHBand="0" w:noVBand="1"/>
      </w:tblPr>
      <w:tblGrid>
        <w:gridCol w:w="5552"/>
        <w:gridCol w:w="1012"/>
        <w:gridCol w:w="1013"/>
        <w:gridCol w:w="1013"/>
        <w:gridCol w:w="1013"/>
      </w:tblGrid>
      <w:tr w:rsidR="00E95F59" w:rsidRPr="00CA53D5" w14:paraId="39D975DC" w14:textId="77777777" w:rsidTr="00B50775">
        <w:trPr>
          <w:trHeight w:val="255"/>
          <w:tblHeader/>
        </w:trPr>
        <w:tc>
          <w:tcPr>
            <w:tcW w:w="5552" w:type="dxa"/>
            <w:tcBorders>
              <w:top w:val="single" w:sz="4" w:space="0" w:color="auto"/>
              <w:left w:val="single" w:sz="4" w:space="0" w:color="auto"/>
              <w:bottom w:val="single" w:sz="4" w:space="0" w:color="auto"/>
              <w:right w:val="single" w:sz="4" w:space="0" w:color="auto"/>
            </w:tcBorders>
            <w:shd w:val="clear" w:color="auto" w:fill="0070C0"/>
            <w:noWrap/>
            <w:hideMark/>
          </w:tcPr>
          <w:p w14:paraId="49DCC769" w14:textId="77777777" w:rsidR="00E95F59" w:rsidRPr="004E336D" w:rsidRDefault="00E95F59" w:rsidP="002C7682">
            <w:pPr>
              <w:jc w:val="center"/>
              <w:rPr>
                <w:b/>
                <w:noProof/>
                <w:color w:val="FFFFFF"/>
                <w:sz w:val="20"/>
                <w:szCs w:val="20"/>
              </w:rPr>
            </w:pPr>
            <w:r w:rsidRPr="004E336D">
              <w:rPr>
                <w:b/>
                <w:noProof/>
                <w:color w:val="FFFFFF"/>
                <w:sz w:val="20"/>
                <w:szCs w:val="20"/>
              </w:rPr>
              <w:t> </w:t>
            </w:r>
          </w:p>
        </w:tc>
        <w:tc>
          <w:tcPr>
            <w:tcW w:w="1012" w:type="dxa"/>
            <w:tcBorders>
              <w:top w:val="single" w:sz="4" w:space="0" w:color="auto"/>
              <w:left w:val="nil"/>
              <w:bottom w:val="single" w:sz="4" w:space="0" w:color="auto"/>
              <w:right w:val="single" w:sz="4" w:space="0" w:color="auto"/>
            </w:tcBorders>
            <w:shd w:val="clear" w:color="auto" w:fill="0070C0"/>
            <w:noWrap/>
            <w:hideMark/>
          </w:tcPr>
          <w:p w14:paraId="35DAF630" w14:textId="77777777" w:rsidR="00E95F59" w:rsidRPr="004E336D" w:rsidRDefault="00E95F59" w:rsidP="002C7682">
            <w:pPr>
              <w:jc w:val="center"/>
              <w:rPr>
                <w:b/>
                <w:noProof/>
                <w:color w:val="FFFFFF"/>
                <w:sz w:val="20"/>
                <w:szCs w:val="20"/>
              </w:rPr>
            </w:pPr>
            <w:r w:rsidRPr="004E336D">
              <w:rPr>
                <w:b/>
                <w:noProof/>
                <w:color w:val="FFFFFF"/>
                <w:sz w:val="20"/>
                <w:szCs w:val="20"/>
              </w:rPr>
              <w:t>2028</w:t>
            </w:r>
          </w:p>
        </w:tc>
        <w:tc>
          <w:tcPr>
            <w:tcW w:w="1013" w:type="dxa"/>
            <w:tcBorders>
              <w:top w:val="single" w:sz="4" w:space="0" w:color="auto"/>
              <w:left w:val="nil"/>
              <w:bottom w:val="single" w:sz="4" w:space="0" w:color="auto"/>
              <w:right w:val="single" w:sz="4" w:space="0" w:color="auto"/>
            </w:tcBorders>
            <w:shd w:val="clear" w:color="auto" w:fill="0070C0"/>
            <w:noWrap/>
            <w:hideMark/>
          </w:tcPr>
          <w:p w14:paraId="2C23709F" w14:textId="77777777" w:rsidR="00E95F59" w:rsidRPr="004E336D" w:rsidRDefault="00E95F59" w:rsidP="002C7682">
            <w:pPr>
              <w:jc w:val="center"/>
              <w:rPr>
                <w:b/>
                <w:noProof/>
                <w:color w:val="FFFFFF"/>
                <w:sz w:val="20"/>
                <w:szCs w:val="20"/>
              </w:rPr>
            </w:pPr>
            <w:r w:rsidRPr="004E336D">
              <w:rPr>
                <w:b/>
                <w:noProof/>
                <w:color w:val="FFFFFF"/>
                <w:sz w:val="20"/>
                <w:szCs w:val="20"/>
              </w:rPr>
              <w:t>2030</w:t>
            </w:r>
          </w:p>
        </w:tc>
        <w:tc>
          <w:tcPr>
            <w:tcW w:w="1013" w:type="dxa"/>
            <w:tcBorders>
              <w:top w:val="single" w:sz="4" w:space="0" w:color="auto"/>
              <w:left w:val="nil"/>
              <w:bottom w:val="single" w:sz="4" w:space="0" w:color="auto"/>
              <w:right w:val="single" w:sz="4" w:space="0" w:color="auto"/>
            </w:tcBorders>
            <w:shd w:val="clear" w:color="auto" w:fill="0070C0"/>
            <w:noWrap/>
            <w:hideMark/>
          </w:tcPr>
          <w:p w14:paraId="66A44DCA" w14:textId="77777777" w:rsidR="00E95F59" w:rsidRPr="004E336D" w:rsidRDefault="00E95F59" w:rsidP="002C7682">
            <w:pPr>
              <w:jc w:val="center"/>
              <w:rPr>
                <w:b/>
                <w:noProof/>
                <w:color w:val="FFFFFF"/>
                <w:sz w:val="20"/>
                <w:szCs w:val="20"/>
              </w:rPr>
            </w:pPr>
            <w:r w:rsidRPr="004E336D">
              <w:rPr>
                <w:b/>
                <w:noProof/>
                <w:color w:val="FFFFFF"/>
                <w:sz w:val="20"/>
                <w:szCs w:val="20"/>
              </w:rPr>
              <w:t>2040</w:t>
            </w:r>
          </w:p>
        </w:tc>
        <w:tc>
          <w:tcPr>
            <w:tcW w:w="1013" w:type="dxa"/>
            <w:tcBorders>
              <w:top w:val="single" w:sz="4" w:space="0" w:color="auto"/>
              <w:left w:val="nil"/>
              <w:bottom w:val="single" w:sz="4" w:space="0" w:color="auto"/>
              <w:right w:val="single" w:sz="4" w:space="0" w:color="auto"/>
            </w:tcBorders>
            <w:shd w:val="clear" w:color="auto" w:fill="0070C0"/>
            <w:noWrap/>
            <w:hideMark/>
          </w:tcPr>
          <w:p w14:paraId="484929E8" w14:textId="77777777" w:rsidR="00E95F59" w:rsidRPr="004E336D" w:rsidRDefault="00E95F59" w:rsidP="002C7682">
            <w:pPr>
              <w:jc w:val="center"/>
              <w:rPr>
                <w:b/>
                <w:noProof/>
                <w:color w:val="FFFFFF"/>
                <w:sz w:val="20"/>
                <w:szCs w:val="20"/>
              </w:rPr>
            </w:pPr>
            <w:r w:rsidRPr="004E336D">
              <w:rPr>
                <w:b/>
                <w:noProof/>
                <w:color w:val="FFFFFF"/>
                <w:sz w:val="20"/>
                <w:szCs w:val="20"/>
              </w:rPr>
              <w:t>2050</w:t>
            </w:r>
          </w:p>
        </w:tc>
      </w:tr>
      <w:tr w:rsidR="00261FEF" w:rsidRPr="00CA53D5" w14:paraId="465C2AEF" w14:textId="77777777" w:rsidTr="00B50775">
        <w:trPr>
          <w:trHeight w:val="225"/>
        </w:trPr>
        <w:tc>
          <w:tcPr>
            <w:tcW w:w="5552" w:type="dxa"/>
            <w:tcBorders>
              <w:top w:val="nil"/>
              <w:left w:val="single" w:sz="4" w:space="0" w:color="auto"/>
              <w:bottom w:val="single" w:sz="4" w:space="0" w:color="auto"/>
              <w:right w:val="single" w:sz="4" w:space="0" w:color="auto"/>
            </w:tcBorders>
            <w:noWrap/>
            <w:hideMark/>
          </w:tcPr>
          <w:p w14:paraId="668B44D2" w14:textId="77777777" w:rsidR="00261FEF" w:rsidRPr="004E336D" w:rsidRDefault="00261FEF" w:rsidP="00261FEF">
            <w:pPr>
              <w:rPr>
                <w:noProof/>
                <w:color w:val="000000"/>
                <w:sz w:val="20"/>
                <w:szCs w:val="20"/>
              </w:rPr>
            </w:pPr>
            <w:r w:rsidRPr="004E336D">
              <w:rPr>
                <w:noProof/>
                <w:color w:val="000000"/>
                <w:sz w:val="20"/>
                <w:szCs w:val="20"/>
              </w:rPr>
              <w:t>Cost savings per new agreement (EUR)</w:t>
            </w:r>
          </w:p>
        </w:tc>
        <w:tc>
          <w:tcPr>
            <w:tcW w:w="1012" w:type="dxa"/>
            <w:tcBorders>
              <w:top w:val="nil"/>
              <w:left w:val="nil"/>
              <w:bottom w:val="single" w:sz="4" w:space="0" w:color="auto"/>
              <w:right w:val="single" w:sz="4" w:space="0" w:color="auto"/>
            </w:tcBorders>
            <w:shd w:val="clear" w:color="auto" w:fill="FFFFFF" w:themeFill="background1"/>
            <w:noWrap/>
            <w:hideMark/>
          </w:tcPr>
          <w:p w14:paraId="07DC2C92" w14:textId="4EFA7FF0" w:rsidR="00261FEF" w:rsidRPr="00B50775" w:rsidRDefault="00261FEF" w:rsidP="00261FEF">
            <w:pPr>
              <w:jc w:val="right"/>
              <w:rPr>
                <w:noProof/>
                <w:sz w:val="20"/>
                <w:szCs w:val="20"/>
              </w:rPr>
            </w:pPr>
            <w:r w:rsidRPr="00B50775">
              <w:rPr>
                <w:noProof/>
                <w:sz w:val="20"/>
                <w:szCs w:val="20"/>
              </w:rPr>
              <w:t>2,000</w:t>
            </w:r>
          </w:p>
        </w:tc>
        <w:tc>
          <w:tcPr>
            <w:tcW w:w="1013" w:type="dxa"/>
            <w:tcBorders>
              <w:top w:val="nil"/>
              <w:left w:val="nil"/>
              <w:bottom w:val="single" w:sz="4" w:space="0" w:color="auto"/>
              <w:right w:val="single" w:sz="4" w:space="0" w:color="auto"/>
            </w:tcBorders>
            <w:shd w:val="clear" w:color="auto" w:fill="FFFFFF" w:themeFill="background1"/>
            <w:noWrap/>
            <w:hideMark/>
          </w:tcPr>
          <w:p w14:paraId="24A68F51" w14:textId="7B0AEC15" w:rsidR="00261FEF" w:rsidRPr="00B50775" w:rsidRDefault="00261FEF" w:rsidP="00261FEF">
            <w:pPr>
              <w:jc w:val="right"/>
              <w:rPr>
                <w:noProof/>
                <w:sz w:val="20"/>
                <w:szCs w:val="20"/>
              </w:rPr>
            </w:pPr>
            <w:r w:rsidRPr="00B50775">
              <w:rPr>
                <w:noProof/>
                <w:sz w:val="20"/>
                <w:szCs w:val="20"/>
              </w:rPr>
              <w:t>2,000</w:t>
            </w:r>
          </w:p>
        </w:tc>
        <w:tc>
          <w:tcPr>
            <w:tcW w:w="1013" w:type="dxa"/>
            <w:tcBorders>
              <w:top w:val="nil"/>
              <w:left w:val="nil"/>
              <w:bottom w:val="single" w:sz="4" w:space="0" w:color="auto"/>
              <w:right w:val="single" w:sz="4" w:space="0" w:color="auto"/>
            </w:tcBorders>
            <w:shd w:val="clear" w:color="auto" w:fill="FFFFFF" w:themeFill="background1"/>
            <w:noWrap/>
            <w:hideMark/>
          </w:tcPr>
          <w:p w14:paraId="24D4EBB2" w14:textId="6D0FCFEC" w:rsidR="00261FEF" w:rsidRPr="00B50775" w:rsidRDefault="00261FEF" w:rsidP="00261FEF">
            <w:pPr>
              <w:jc w:val="right"/>
              <w:rPr>
                <w:noProof/>
                <w:sz w:val="20"/>
                <w:szCs w:val="20"/>
              </w:rPr>
            </w:pPr>
            <w:r w:rsidRPr="00B50775">
              <w:rPr>
                <w:noProof/>
                <w:sz w:val="20"/>
                <w:szCs w:val="20"/>
              </w:rPr>
              <w:t>2,000</w:t>
            </w:r>
          </w:p>
        </w:tc>
        <w:tc>
          <w:tcPr>
            <w:tcW w:w="1013" w:type="dxa"/>
            <w:tcBorders>
              <w:top w:val="nil"/>
              <w:left w:val="nil"/>
              <w:bottom w:val="single" w:sz="4" w:space="0" w:color="auto"/>
              <w:right w:val="single" w:sz="4" w:space="0" w:color="auto"/>
            </w:tcBorders>
            <w:shd w:val="clear" w:color="auto" w:fill="FFFFFF" w:themeFill="background1"/>
            <w:noWrap/>
            <w:hideMark/>
          </w:tcPr>
          <w:p w14:paraId="1762DA44" w14:textId="12A878F6" w:rsidR="00261FEF" w:rsidRPr="00B50775" w:rsidRDefault="00261FEF" w:rsidP="00261FEF">
            <w:pPr>
              <w:jc w:val="right"/>
              <w:rPr>
                <w:noProof/>
                <w:sz w:val="20"/>
                <w:szCs w:val="20"/>
              </w:rPr>
            </w:pPr>
            <w:r w:rsidRPr="00B50775">
              <w:rPr>
                <w:noProof/>
                <w:sz w:val="20"/>
                <w:szCs w:val="20"/>
              </w:rPr>
              <w:t>2,000</w:t>
            </w:r>
          </w:p>
        </w:tc>
      </w:tr>
      <w:tr w:rsidR="00261FEF" w:rsidRPr="00CA53D5" w14:paraId="38307D99" w14:textId="77777777" w:rsidTr="00B50775">
        <w:trPr>
          <w:trHeight w:val="225"/>
        </w:trPr>
        <w:tc>
          <w:tcPr>
            <w:tcW w:w="5552" w:type="dxa"/>
            <w:tcBorders>
              <w:top w:val="nil"/>
              <w:left w:val="single" w:sz="4" w:space="0" w:color="auto"/>
              <w:bottom w:val="single" w:sz="4" w:space="0" w:color="auto"/>
              <w:right w:val="single" w:sz="4" w:space="0" w:color="auto"/>
            </w:tcBorders>
            <w:noWrap/>
            <w:hideMark/>
          </w:tcPr>
          <w:p w14:paraId="58E7F08F" w14:textId="77777777" w:rsidR="00261FEF" w:rsidRPr="004E336D" w:rsidRDefault="00261FEF" w:rsidP="00261FEF">
            <w:pPr>
              <w:rPr>
                <w:noProof/>
                <w:color w:val="000000"/>
                <w:sz w:val="20"/>
                <w:szCs w:val="20"/>
              </w:rPr>
            </w:pPr>
            <w:r w:rsidRPr="004E336D">
              <w:rPr>
                <w:noProof/>
                <w:color w:val="000000"/>
                <w:sz w:val="20"/>
                <w:szCs w:val="20"/>
              </w:rPr>
              <w:t>Cost savings per renegotiated agreement (EUR)</w:t>
            </w:r>
          </w:p>
        </w:tc>
        <w:tc>
          <w:tcPr>
            <w:tcW w:w="1012" w:type="dxa"/>
            <w:tcBorders>
              <w:top w:val="nil"/>
              <w:left w:val="nil"/>
              <w:bottom w:val="single" w:sz="4" w:space="0" w:color="auto"/>
              <w:right w:val="single" w:sz="4" w:space="0" w:color="auto"/>
            </w:tcBorders>
            <w:shd w:val="clear" w:color="auto" w:fill="FFFFFF" w:themeFill="background1"/>
            <w:noWrap/>
            <w:hideMark/>
          </w:tcPr>
          <w:p w14:paraId="550480B4" w14:textId="64354251" w:rsidR="00261FEF" w:rsidRPr="00B50775" w:rsidRDefault="00261FEF" w:rsidP="00261FEF">
            <w:pPr>
              <w:jc w:val="right"/>
              <w:rPr>
                <w:noProof/>
                <w:sz w:val="20"/>
                <w:szCs w:val="20"/>
              </w:rPr>
            </w:pPr>
            <w:r w:rsidRPr="00B50775">
              <w:rPr>
                <w:noProof/>
                <w:sz w:val="20"/>
                <w:szCs w:val="20"/>
              </w:rPr>
              <w:t>1,183</w:t>
            </w:r>
          </w:p>
        </w:tc>
        <w:tc>
          <w:tcPr>
            <w:tcW w:w="1013" w:type="dxa"/>
            <w:tcBorders>
              <w:top w:val="nil"/>
              <w:left w:val="nil"/>
              <w:bottom w:val="single" w:sz="4" w:space="0" w:color="auto"/>
              <w:right w:val="single" w:sz="4" w:space="0" w:color="auto"/>
            </w:tcBorders>
            <w:shd w:val="clear" w:color="auto" w:fill="FFFFFF" w:themeFill="background1"/>
            <w:noWrap/>
            <w:hideMark/>
          </w:tcPr>
          <w:p w14:paraId="28CA62AB" w14:textId="6A3E0C2B" w:rsidR="00261FEF" w:rsidRPr="00B50775" w:rsidRDefault="00261FEF" w:rsidP="00261FEF">
            <w:pPr>
              <w:jc w:val="right"/>
              <w:rPr>
                <w:noProof/>
                <w:sz w:val="20"/>
                <w:szCs w:val="20"/>
              </w:rPr>
            </w:pPr>
            <w:r w:rsidRPr="00B50775">
              <w:rPr>
                <w:noProof/>
                <w:sz w:val="20"/>
                <w:szCs w:val="20"/>
              </w:rPr>
              <w:t>1,183</w:t>
            </w:r>
          </w:p>
        </w:tc>
        <w:tc>
          <w:tcPr>
            <w:tcW w:w="1013" w:type="dxa"/>
            <w:tcBorders>
              <w:top w:val="nil"/>
              <w:left w:val="nil"/>
              <w:bottom w:val="single" w:sz="4" w:space="0" w:color="auto"/>
              <w:right w:val="single" w:sz="4" w:space="0" w:color="auto"/>
            </w:tcBorders>
            <w:shd w:val="clear" w:color="auto" w:fill="FFFFFF" w:themeFill="background1"/>
            <w:noWrap/>
            <w:hideMark/>
          </w:tcPr>
          <w:p w14:paraId="7737F576" w14:textId="6965B94A" w:rsidR="00261FEF" w:rsidRPr="00B50775" w:rsidRDefault="00261FEF" w:rsidP="00261FEF">
            <w:pPr>
              <w:jc w:val="right"/>
              <w:rPr>
                <w:noProof/>
                <w:sz w:val="20"/>
                <w:szCs w:val="20"/>
              </w:rPr>
            </w:pPr>
            <w:r w:rsidRPr="00B50775">
              <w:rPr>
                <w:noProof/>
                <w:sz w:val="20"/>
                <w:szCs w:val="20"/>
              </w:rPr>
              <w:t>1,183</w:t>
            </w:r>
          </w:p>
        </w:tc>
        <w:tc>
          <w:tcPr>
            <w:tcW w:w="1013" w:type="dxa"/>
            <w:tcBorders>
              <w:top w:val="nil"/>
              <w:left w:val="nil"/>
              <w:bottom w:val="single" w:sz="4" w:space="0" w:color="auto"/>
              <w:right w:val="single" w:sz="4" w:space="0" w:color="auto"/>
            </w:tcBorders>
            <w:shd w:val="clear" w:color="auto" w:fill="FFFFFF" w:themeFill="background1"/>
            <w:noWrap/>
            <w:hideMark/>
          </w:tcPr>
          <w:p w14:paraId="38D0AAAD" w14:textId="7E824CC2" w:rsidR="00261FEF" w:rsidRPr="00B50775" w:rsidRDefault="00261FEF" w:rsidP="00261FEF">
            <w:pPr>
              <w:jc w:val="right"/>
              <w:rPr>
                <w:noProof/>
                <w:sz w:val="20"/>
                <w:szCs w:val="20"/>
              </w:rPr>
            </w:pPr>
            <w:r w:rsidRPr="00B50775">
              <w:rPr>
                <w:noProof/>
                <w:sz w:val="20"/>
                <w:szCs w:val="20"/>
              </w:rPr>
              <w:t>1,183</w:t>
            </w:r>
          </w:p>
        </w:tc>
      </w:tr>
      <w:tr w:rsidR="00261FEF" w:rsidRPr="00CA53D5" w14:paraId="33104A93" w14:textId="77777777" w:rsidTr="00B50775">
        <w:trPr>
          <w:trHeight w:val="225"/>
        </w:trPr>
        <w:tc>
          <w:tcPr>
            <w:tcW w:w="5552" w:type="dxa"/>
            <w:tcBorders>
              <w:top w:val="nil"/>
              <w:left w:val="single" w:sz="4" w:space="0" w:color="auto"/>
              <w:bottom w:val="single" w:sz="4" w:space="0" w:color="auto"/>
              <w:right w:val="single" w:sz="4" w:space="0" w:color="auto"/>
            </w:tcBorders>
            <w:noWrap/>
            <w:hideMark/>
          </w:tcPr>
          <w:p w14:paraId="374F2CC0" w14:textId="77777777" w:rsidR="00261FEF" w:rsidRPr="004E336D" w:rsidRDefault="00261FEF" w:rsidP="00261FEF">
            <w:pPr>
              <w:rPr>
                <w:b/>
                <w:noProof/>
                <w:color w:val="000000"/>
                <w:sz w:val="20"/>
                <w:szCs w:val="20"/>
              </w:rPr>
            </w:pPr>
            <w:r w:rsidRPr="004E336D">
              <w:rPr>
                <w:b/>
                <w:noProof/>
                <w:color w:val="000000"/>
                <w:sz w:val="20"/>
                <w:szCs w:val="20"/>
              </w:rPr>
              <w:t>PO1</w:t>
            </w:r>
          </w:p>
        </w:tc>
        <w:tc>
          <w:tcPr>
            <w:tcW w:w="1012" w:type="dxa"/>
            <w:tcBorders>
              <w:top w:val="nil"/>
              <w:left w:val="nil"/>
              <w:bottom w:val="single" w:sz="4" w:space="0" w:color="auto"/>
              <w:right w:val="single" w:sz="4" w:space="0" w:color="auto"/>
            </w:tcBorders>
            <w:shd w:val="clear" w:color="auto" w:fill="FFFFFF" w:themeFill="background1"/>
            <w:noWrap/>
            <w:hideMark/>
          </w:tcPr>
          <w:p w14:paraId="7374973E" w14:textId="67C7987F" w:rsidR="00261FEF" w:rsidRPr="00B50775" w:rsidRDefault="00261FEF" w:rsidP="00261FEF">
            <w:pPr>
              <w:rPr>
                <w:noProof/>
                <w:sz w:val="20"/>
                <w:szCs w:val="20"/>
              </w:rPr>
            </w:pPr>
            <w:r w:rsidRPr="00B50775">
              <w:rPr>
                <w:noProof/>
                <w:sz w:val="20"/>
                <w:szCs w:val="20"/>
              </w:rPr>
              <w:t> </w:t>
            </w:r>
          </w:p>
        </w:tc>
        <w:tc>
          <w:tcPr>
            <w:tcW w:w="1013" w:type="dxa"/>
            <w:tcBorders>
              <w:top w:val="nil"/>
              <w:left w:val="nil"/>
              <w:bottom w:val="single" w:sz="4" w:space="0" w:color="auto"/>
              <w:right w:val="single" w:sz="4" w:space="0" w:color="auto"/>
            </w:tcBorders>
            <w:shd w:val="clear" w:color="auto" w:fill="FFFFFF" w:themeFill="background1"/>
            <w:noWrap/>
            <w:hideMark/>
          </w:tcPr>
          <w:p w14:paraId="5ADB0907" w14:textId="6F32413C" w:rsidR="00261FEF" w:rsidRPr="00B50775" w:rsidRDefault="00261FEF" w:rsidP="00261FEF">
            <w:pPr>
              <w:rPr>
                <w:noProof/>
                <w:sz w:val="20"/>
                <w:szCs w:val="20"/>
              </w:rPr>
            </w:pPr>
            <w:r w:rsidRPr="00B50775">
              <w:rPr>
                <w:noProof/>
                <w:sz w:val="20"/>
                <w:szCs w:val="20"/>
              </w:rPr>
              <w:t> </w:t>
            </w:r>
          </w:p>
        </w:tc>
        <w:tc>
          <w:tcPr>
            <w:tcW w:w="1013" w:type="dxa"/>
            <w:tcBorders>
              <w:top w:val="nil"/>
              <w:left w:val="nil"/>
              <w:bottom w:val="single" w:sz="4" w:space="0" w:color="auto"/>
              <w:right w:val="single" w:sz="4" w:space="0" w:color="auto"/>
            </w:tcBorders>
            <w:shd w:val="clear" w:color="auto" w:fill="FFFFFF" w:themeFill="background1"/>
            <w:noWrap/>
            <w:hideMark/>
          </w:tcPr>
          <w:p w14:paraId="1FF633C7" w14:textId="75FD99B9" w:rsidR="00261FEF" w:rsidRPr="00B50775" w:rsidRDefault="00261FEF" w:rsidP="00261FEF">
            <w:pPr>
              <w:rPr>
                <w:noProof/>
                <w:sz w:val="20"/>
                <w:szCs w:val="20"/>
              </w:rPr>
            </w:pPr>
            <w:r w:rsidRPr="00B50775">
              <w:rPr>
                <w:noProof/>
                <w:sz w:val="20"/>
                <w:szCs w:val="20"/>
              </w:rPr>
              <w:t> </w:t>
            </w:r>
          </w:p>
        </w:tc>
        <w:tc>
          <w:tcPr>
            <w:tcW w:w="1013" w:type="dxa"/>
            <w:tcBorders>
              <w:top w:val="nil"/>
              <w:left w:val="nil"/>
              <w:bottom w:val="single" w:sz="4" w:space="0" w:color="auto"/>
              <w:right w:val="single" w:sz="4" w:space="0" w:color="auto"/>
            </w:tcBorders>
            <w:shd w:val="clear" w:color="auto" w:fill="FFFFFF" w:themeFill="background1"/>
            <w:noWrap/>
            <w:hideMark/>
          </w:tcPr>
          <w:p w14:paraId="432D11CA" w14:textId="1CFF4306" w:rsidR="00261FEF" w:rsidRPr="00B50775" w:rsidRDefault="00261FEF" w:rsidP="00261FEF">
            <w:pPr>
              <w:rPr>
                <w:noProof/>
                <w:sz w:val="20"/>
                <w:szCs w:val="20"/>
              </w:rPr>
            </w:pPr>
            <w:r w:rsidRPr="00B50775">
              <w:rPr>
                <w:noProof/>
                <w:sz w:val="20"/>
                <w:szCs w:val="20"/>
              </w:rPr>
              <w:t> </w:t>
            </w:r>
          </w:p>
        </w:tc>
      </w:tr>
      <w:tr w:rsidR="00261FEF" w:rsidRPr="00CA53D5" w14:paraId="34BA1A32" w14:textId="77777777" w:rsidTr="00B50775">
        <w:trPr>
          <w:trHeight w:val="255"/>
        </w:trPr>
        <w:tc>
          <w:tcPr>
            <w:tcW w:w="5552" w:type="dxa"/>
            <w:tcBorders>
              <w:top w:val="nil"/>
              <w:left w:val="single" w:sz="4" w:space="0" w:color="auto"/>
              <w:bottom w:val="single" w:sz="4" w:space="0" w:color="auto"/>
              <w:right w:val="single" w:sz="4" w:space="0" w:color="auto"/>
            </w:tcBorders>
            <w:noWrap/>
            <w:hideMark/>
          </w:tcPr>
          <w:p w14:paraId="1309BB3A" w14:textId="33B3526C" w:rsidR="00261FEF" w:rsidRPr="004E336D" w:rsidRDefault="00261FEF" w:rsidP="00261FEF">
            <w:pPr>
              <w:rPr>
                <w:noProof/>
                <w:color w:val="000000"/>
                <w:sz w:val="20"/>
                <w:szCs w:val="20"/>
              </w:rPr>
            </w:pPr>
            <w:r w:rsidRPr="3FCE22BE">
              <w:rPr>
                <w:noProof/>
                <w:color w:val="000000" w:themeColor="text1"/>
                <w:sz w:val="20"/>
                <w:szCs w:val="20"/>
              </w:rPr>
              <w:t xml:space="preserve">New agreements made by </w:t>
            </w:r>
            <w:r>
              <w:rPr>
                <w:noProof/>
                <w:color w:val="000000" w:themeColor="text1"/>
                <w:sz w:val="20"/>
                <w:szCs w:val="20"/>
              </w:rPr>
              <w:t>non-SME</w:t>
            </w:r>
            <w:r w:rsidRPr="3FCE22BE">
              <w:rPr>
                <w:noProof/>
                <w:color w:val="000000" w:themeColor="text1"/>
                <w:sz w:val="20"/>
                <w:szCs w:val="20"/>
              </w:rPr>
              <w:t xml:space="preserve"> operators (changes relative to the baseline)</w:t>
            </w:r>
          </w:p>
        </w:tc>
        <w:tc>
          <w:tcPr>
            <w:tcW w:w="1012" w:type="dxa"/>
            <w:tcBorders>
              <w:top w:val="nil"/>
              <w:left w:val="nil"/>
              <w:bottom w:val="single" w:sz="4" w:space="0" w:color="auto"/>
              <w:right w:val="single" w:sz="4" w:space="0" w:color="auto"/>
            </w:tcBorders>
            <w:shd w:val="clear" w:color="auto" w:fill="FFFFFF" w:themeFill="background1"/>
            <w:noWrap/>
            <w:hideMark/>
          </w:tcPr>
          <w:p w14:paraId="77606108" w14:textId="07BAF78D" w:rsidR="00261FEF" w:rsidRPr="00B50775" w:rsidRDefault="00261FEF" w:rsidP="00261FEF">
            <w:pPr>
              <w:jc w:val="right"/>
              <w:rPr>
                <w:noProof/>
                <w:sz w:val="20"/>
                <w:szCs w:val="20"/>
              </w:rPr>
            </w:pPr>
            <w:r w:rsidRPr="00B50775">
              <w:rPr>
                <w:noProof/>
                <w:sz w:val="20"/>
                <w:szCs w:val="20"/>
              </w:rPr>
              <w:t>0</w:t>
            </w:r>
          </w:p>
        </w:tc>
        <w:tc>
          <w:tcPr>
            <w:tcW w:w="1013" w:type="dxa"/>
            <w:tcBorders>
              <w:top w:val="nil"/>
              <w:left w:val="nil"/>
              <w:bottom w:val="single" w:sz="4" w:space="0" w:color="auto"/>
              <w:right w:val="single" w:sz="4" w:space="0" w:color="auto"/>
            </w:tcBorders>
            <w:shd w:val="clear" w:color="auto" w:fill="FFFFFF" w:themeFill="background1"/>
            <w:noWrap/>
            <w:hideMark/>
          </w:tcPr>
          <w:p w14:paraId="47775C41" w14:textId="2AB7A2CF" w:rsidR="00261FEF" w:rsidRPr="00B50775" w:rsidRDefault="00261FEF" w:rsidP="00261FEF">
            <w:pPr>
              <w:jc w:val="right"/>
              <w:rPr>
                <w:noProof/>
                <w:sz w:val="20"/>
                <w:szCs w:val="20"/>
              </w:rPr>
            </w:pPr>
            <w:r w:rsidRPr="00B50775">
              <w:rPr>
                <w:noProof/>
                <w:sz w:val="20"/>
                <w:szCs w:val="20"/>
              </w:rPr>
              <w:t>20</w:t>
            </w:r>
          </w:p>
        </w:tc>
        <w:tc>
          <w:tcPr>
            <w:tcW w:w="1013" w:type="dxa"/>
            <w:tcBorders>
              <w:top w:val="nil"/>
              <w:left w:val="nil"/>
              <w:bottom w:val="single" w:sz="4" w:space="0" w:color="auto"/>
              <w:right w:val="single" w:sz="4" w:space="0" w:color="auto"/>
            </w:tcBorders>
            <w:shd w:val="clear" w:color="auto" w:fill="FFFFFF" w:themeFill="background1"/>
            <w:noWrap/>
            <w:hideMark/>
          </w:tcPr>
          <w:p w14:paraId="491AF644" w14:textId="61ED96B8" w:rsidR="00261FEF" w:rsidRPr="00B50775" w:rsidRDefault="00261FEF" w:rsidP="00261FEF">
            <w:pPr>
              <w:jc w:val="right"/>
              <w:rPr>
                <w:noProof/>
                <w:sz w:val="20"/>
                <w:szCs w:val="20"/>
              </w:rPr>
            </w:pPr>
            <w:r w:rsidRPr="00B50775">
              <w:rPr>
                <w:noProof/>
                <w:sz w:val="20"/>
                <w:szCs w:val="20"/>
              </w:rPr>
              <w:t>8</w:t>
            </w:r>
          </w:p>
        </w:tc>
        <w:tc>
          <w:tcPr>
            <w:tcW w:w="1013" w:type="dxa"/>
            <w:tcBorders>
              <w:top w:val="nil"/>
              <w:left w:val="nil"/>
              <w:bottom w:val="single" w:sz="4" w:space="0" w:color="auto"/>
              <w:right w:val="single" w:sz="4" w:space="0" w:color="auto"/>
            </w:tcBorders>
            <w:shd w:val="clear" w:color="auto" w:fill="FFFFFF" w:themeFill="background1"/>
            <w:noWrap/>
            <w:hideMark/>
          </w:tcPr>
          <w:p w14:paraId="2A666193" w14:textId="72BC0188" w:rsidR="00261FEF" w:rsidRPr="00B50775" w:rsidRDefault="00261FEF" w:rsidP="00261FEF">
            <w:pPr>
              <w:jc w:val="right"/>
              <w:rPr>
                <w:noProof/>
                <w:sz w:val="20"/>
                <w:szCs w:val="20"/>
              </w:rPr>
            </w:pPr>
            <w:r w:rsidRPr="00B50775">
              <w:rPr>
                <w:noProof/>
                <w:sz w:val="20"/>
                <w:szCs w:val="20"/>
              </w:rPr>
              <w:t>0</w:t>
            </w:r>
          </w:p>
        </w:tc>
      </w:tr>
      <w:tr w:rsidR="00261FEF" w:rsidRPr="00CA53D5" w14:paraId="3267D3F6" w14:textId="77777777" w:rsidTr="00B50775">
        <w:trPr>
          <w:trHeight w:val="255"/>
        </w:trPr>
        <w:tc>
          <w:tcPr>
            <w:tcW w:w="5552" w:type="dxa"/>
            <w:tcBorders>
              <w:top w:val="nil"/>
              <w:left w:val="single" w:sz="4" w:space="0" w:color="auto"/>
              <w:bottom w:val="single" w:sz="4" w:space="0" w:color="auto"/>
              <w:right w:val="single" w:sz="4" w:space="0" w:color="auto"/>
            </w:tcBorders>
            <w:noWrap/>
            <w:hideMark/>
          </w:tcPr>
          <w:p w14:paraId="628BC92D" w14:textId="77777777" w:rsidR="00261FEF" w:rsidRPr="004E336D" w:rsidRDefault="00261FEF" w:rsidP="00261FEF">
            <w:pPr>
              <w:rPr>
                <w:noProof/>
                <w:color w:val="000000"/>
                <w:sz w:val="20"/>
                <w:szCs w:val="20"/>
              </w:rPr>
            </w:pPr>
            <w:r w:rsidRPr="3FCE22BE">
              <w:rPr>
                <w:noProof/>
                <w:color w:val="000000" w:themeColor="text1"/>
                <w:sz w:val="20"/>
                <w:szCs w:val="20"/>
              </w:rPr>
              <w:t>New agreements made by SME operators (changes relative to the baseline)</w:t>
            </w:r>
          </w:p>
        </w:tc>
        <w:tc>
          <w:tcPr>
            <w:tcW w:w="1012" w:type="dxa"/>
            <w:tcBorders>
              <w:top w:val="nil"/>
              <w:left w:val="nil"/>
              <w:bottom w:val="single" w:sz="4" w:space="0" w:color="auto"/>
              <w:right w:val="single" w:sz="4" w:space="0" w:color="auto"/>
            </w:tcBorders>
            <w:shd w:val="clear" w:color="auto" w:fill="FFFFFF" w:themeFill="background1"/>
            <w:noWrap/>
            <w:hideMark/>
          </w:tcPr>
          <w:p w14:paraId="27B1BB76" w14:textId="3193C5CE" w:rsidR="00261FEF" w:rsidRPr="00B50775" w:rsidRDefault="00261FEF" w:rsidP="00261FEF">
            <w:pPr>
              <w:jc w:val="right"/>
              <w:rPr>
                <w:noProof/>
                <w:sz w:val="20"/>
                <w:szCs w:val="20"/>
              </w:rPr>
            </w:pPr>
            <w:r w:rsidRPr="00B50775">
              <w:rPr>
                <w:noProof/>
                <w:sz w:val="20"/>
                <w:szCs w:val="20"/>
              </w:rPr>
              <w:t>0</w:t>
            </w:r>
          </w:p>
        </w:tc>
        <w:tc>
          <w:tcPr>
            <w:tcW w:w="1013" w:type="dxa"/>
            <w:tcBorders>
              <w:top w:val="nil"/>
              <w:left w:val="nil"/>
              <w:bottom w:val="single" w:sz="4" w:space="0" w:color="auto"/>
              <w:right w:val="single" w:sz="4" w:space="0" w:color="auto"/>
            </w:tcBorders>
            <w:shd w:val="clear" w:color="auto" w:fill="FFFFFF" w:themeFill="background1"/>
            <w:noWrap/>
            <w:hideMark/>
          </w:tcPr>
          <w:p w14:paraId="687157DC" w14:textId="0D182C02" w:rsidR="00261FEF" w:rsidRPr="00B50775" w:rsidRDefault="00261FEF" w:rsidP="00261FEF">
            <w:pPr>
              <w:jc w:val="right"/>
              <w:rPr>
                <w:noProof/>
                <w:sz w:val="20"/>
                <w:szCs w:val="20"/>
              </w:rPr>
            </w:pPr>
            <w:r w:rsidRPr="00B50775">
              <w:rPr>
                <w:noProof/>
                <w:sz w:val="20"/>
                <w:szCs w:val="20"/>
              </w:rPr>
              <w:t>1</w:t>
            </w:r>
          </w:p>
        </w:tc>
        <w:tc>
          <w:tcPr>
            <w:tcW w:w="1013" w:type="dxa"/>
            <w:tcBorders>
              <w:top w:val="nil"/>
              <w:left w:val="nil"/>
              <w:bottom w:val="single" w:sz="4" w:space="0" w:color="auto"/>
              <w:right w:val="single" w:sz="4" w:space="0" w:color="auto"/>
            </w:tcBorders>
            <w:shd w:val="clear" w:color="auto" w:fill="FFFFFF" w:themeFill="background1"/>
            <w:noWrap/>
            <w:hideMark/>
          </w:tcPr>
          <w:p w14:paraId="5F448363" w14:textId="735CF6BB" w:rsidR="00261FEF" w:rsidRPr="00B50775" w:rsidRDefault="00261FEF" w:rsidP="00261FEF">
            <w:pPr>
              <w:jc w:val="right"/>
              <w:rPr>
                <w:noProof/>
                <w:sz w:val="20"/>
                <w:szCs w:val="20"/>
              </w:rPr>
            </w:pPr>
            <w:r w:rsidRPr="00B50775">
              <w:rPr>
                <w:noProof/>
                <w:sz w:val="20"/>
                <w:szCs w:val="20"/>
              </w:rPr>
              <w:t>0</w:t>
            </w:r>
          </w:p>
        </w:tc>
        <w:tc>
          <w:tcPr>
            <w:tcW w:w="1013" w:type="dxa"/>
            <w:tcBorders>
              <w:top w:val="nil"/>
              <w:left w:val="nil"/>
              <w:bottom w:val="single" w:sz="4" w:space="0" w:color="auto"/>
              <w:right w:val="single" w:sz="4" w:space="0" w:color="auto"/>
            </w:tcBorders>
            <w:shd w:val="clear" w:color="auto" w:fill="FFFFFF" w:themeFill="background1"/>
            <w:noWrap/>
            <w:hideMark/>
          </w:tcPr>
          <w:p w14:paraId="62715F74" w14:textId="50725201" w:rsidR="00261FEF" w:rsidRPr="00B50775" w:rsidRDefault="00261FEF" w:rsidP="00261FEF">
            <w:pPr>
              <w:jc w:val="right"/>
              <w:rPr>
                <w:noProof/>
                <w:sz w:val="20"/>
                <w:szCs w:val="20"/>
              </w:rPr>
            </w:pPr>
            <w:r w:rsidRPr="00B50775">
              <w:rPr>
                <w:noProof/>
                <w:sz w:val="20"/>
                <w:szCs w:val="20"/>
              </w:rPr>
              <w:t>0</w:t>
            </w:r>
          </w:p>
        </w:tc>
      </w:tr>
      <w:tr w:rsidR="00261FEF" w:rsidRPr="00CA53D5" w14:paraId="41AC424D" w14:textId="77777777" w:rsidTr="00B50775">
        <w:trPr>
          <w:trHeight w:val="255"/>
        </w:trPr>
        <w:tc>
          <w:tcPr>
            <w:tcW w:w="5552" w:type="dxa"/>
            <w:tcBorders>
              <w:top w:val="nil"/>
              <w:left w:val="single" w:sz="4" w:space="0" w:color="auto"/>
              <w:bottom w:val="single" w:sz="4" w:space="0" w:color="auto"/>
              <w:right w:val="single" w:sz="4" w:space="0" w:color="auto"/>
            </w:tcBorders>
            <w:noWrap/>
            <w:hideMark/>
          </w:tcPr>
          <w:p w14:paraId="543B50A5" w14:textId="016DBE79" w:rsidR="00261FEF" w:rsidRPr="004E336D" w:rsidRDefault="00261FEF" w:rsidP="00261FEF">
            <w:pPr>
              <w:rPr>
                <w:noProof/>
                <w:color w:val="000000"/>
                <w:sz w:val="20"/>
                <w:szCs w:val="20"/>
              </w:rPr>
            </w:pPr>
            <w:r w:rsidRPr="3FCE22BE">
              <w:rPr>
                <w:noProof/>
                <w:color w:val="000000" w:themeColor="text1"/>
                <w:sz w:val="20"/>
                <w:szCs w:val="20"/>
              </w:rPr>
              <w:t xml:space="preserve">Renegotiated agreements made by </w:t>
            </w:r>
            <w:r>
              <w:rPr>
                <w:noProof/>
                <w:color w:val="000000" w:themeColor="text1"/>
                <w:sz w:val="20"/>
                <w:szCs w:val="20"/>
              </w:rPr>
              <w:t>non-SME</w:t>
            </w:r>
            <w:r w:rsidRPr="3FCE22BE">
              <w:rPr>
                <w:noProof/>
                <w:color w:val="000000" w:themeColor="text1"/>
                <w:sz w:val="20"/>
                <w:szCs w:val="20"/>
              </w:rPr>
              <w:t xml:space="preserve"> operators (changes relative to the baseline)</w:t>
            </w:r>
          </w:p>
        </w:tc>
        <w:tc>
          <w:tcPr>
            <w:tcW w:w="1012" w:type="dxa"/>
            <w:tcBorders>
              <w:top w:val="nil"/>
              <w:left w:val="nil"/>
              <w:bottom w:val="single" w:sz="4" w:space="0" w:color="auto"/>
              <w:right w:val="single" w:sz="4" w:space="0" w:color="auto"/>
            </w:tcBorders>
            <w:shd w:val="clear" w:color="auto" w:fill="FFFFFF" w:themeFill="background1"/>
            <w:noWrap/>
            <w:hideMark/>
          </w:tcPr>
          <w:p w14:paraId="0291A056" w14:textId="4CC0C3C2" w:rsidR="00261FEF" w:rsidRPr="00B50775" w:rsidRDefault="00261FEF" w:rsidP="00261FEF">
            <w:pPr>
              <w:jc w:val="right"/>
              <w:rPr>
                <w:noProof/>
                <w:sz w:val="20"/>
                <w:szCs w:val="20"/>
              </w:rPr>
            </w:pPr>
            <w:r w:rsidRPr="00B50775">
              <w:rPr>
                <w:noProof/>
                <w:sz w:val="20"/>
                <w:szCs w:val="20"/>
              </w:rPr>
              <w:t>0</w:t>
            </w:r>
          </w:p>
        </w:tc>
        <w:tc>
          <w:tcPr>
            <w:tcW w:w="1013" w:type="dxa"/>
            <w:tcBorders>
              <w:top w:val="nil"/>
              <w:left w:val="nil"/>
              <w:bottom w:val="single" w:sz="4" w:space="0" w:color="auto"/>
              <w:right w:val="single" w:sz="4" w:space="0" w:color="auto"/>
            </w:tcBorders>
            <w:shd w:val="clear" w:color="auto" w:fill="FFFFFF" w:themeFill="background1"/>
            <w:noWrap/>
            <w:hideMark/>
          </w:tcPr>
          <w:p w14:paraId="27C0C747" w14:textId="1A22C9B0" w:rsidR="00261FEF" w:rsidRPr="00B50775" w:rsidRDefault="00261FEF" w:rsidP="00261FEF">
            <w:pPr>
              <w:jc w:val="right"/>
              <w:rPr>
                <w:noProof/>
                <w:sz w:val="20"/>
                <w:szCs w:val="20"/>
              </w:rPr>
            </w:pPr>
            <w:r w:rsidRPr="00B50775">
              <w:rPr>
                <w:noProof/>
                <w:sz w:val="20"/>
                <w:szCs w:val="20"/>
              </w:rPr>
              <w:t>13</w:t>
            </w:r>
          </w:p>
        </w:tc>
        <w:tc>
          <w:tcPr>
            <w:tcW w:w="1013" w:type="dxa"/>
            <w:tcBorders>
              <w:top w:val="nil"/>
              <w:left w:val="nil"/>
              <w:bottom w:val="single" w:sz="4" w:space="0" w:color="auto"/>
              <w:right w:val="single" w:sz="4" w:space="0" w:color="auto"/>
            </w:tcBorders>
            <w:shd w:val="clear" w:color="auto" w:fill="FFFFFF" w:themeFill="background1"/>
            <w:noWrap/>
            <w:hideMark/>
          </w:tcPr>
          <w:p w14:paraId="29A9C5F0" w14:textId="43A0211B" w:rsidR="00261FEF" w:rsidRPr="00B50775" w:rsidRDefault="00261FEF" w:rsidP="00261FEF">
            <w:pPr>
              <w:jc w:val="right"/>
              <w:rPr>
                <w:noProof/>
                <w:sz w:val="20"/>
                <w:szCs w:val="20"/>
              </w:rPr>
            </w:pPr>
            <w:r w:rsidRPr="00B50775">
              <w:rPr>
                <w:noProof/>
                <w:sz w:val="20"/>
                <w:szCs w:val="20"/>
              </w:rPr>
              <w:t>59</w:t>
            </w:r>
          </w:p>
        </w:tc>
        <w:tc>
          <w:tcPr>
            <w:tcW w:w="1013" w:type="dxa"/>
            <w:tcBorders>
              <w:top w:val="nil"/>
              <w:left w:val="nil"/>
              <w:bottom w:val="single" w:sz="4" w:space="0" w:color="auto"/>
              <w:right w:val="single" w:sz="4" w:space="0" w:color="auto"/>
            </w:tcBorders>
            <w:shd w:val="clear" w:color="auto" w:fill="FFFFFF" w:themeFill="background1"/>
            <w:noWrap/>
            <w:hideMark/>
          </w:tcPr>
          <w:p w14:paraId="711B5C2E" w14:textId="7122DD2D" w:rsidR="00261FEF" w:rsidRPr="00B50775" w:rsidRDefault="00261FEF" w:rsidP="00261FEF">
            <w:pPr>
              <w:jc w:val="right"/>
              <w:rPr>
                <w:noProof/>
                <w:sz w:val="20"/>
                <w:szCs w:val="20"/>
              </w:rPr>
            </w:pPr>
            <w:r w:rsidRPr="00B50775">
              <w:rPr>
                <w:noProof/>
                <w:sz w:val="20"/>
                <w:szCs w:val="20"/>
              </w:rPr>
              <w:t>25</w:t>
            </w:r>
          </w:p>
        </w:tc>
      </w:tr>
      <w:tr w:rsidR="00261FEF" w:rsidRPr="00CA53D5" w14:paraId="5828B0FA" w14:textId="77777777" w:rsidTr="00B50775">
        <w:trPr>
          <w:trHeight w:val="255"/>
        </w:trPr>
        <w:tc>
          <w:tcPr>
            <w:tcW w:w="5552" w:type="dxa"/>
            <w:tcBorders>
              <w:top w:val="nil"/>
              <w:left w:val="single" w:sz="4" w:space="0" w:color="auto"/>
              <w:bottom w:val="single" w:sz="4" w:space="0" w:color="auto"/>
              <w:right w:val="single" w:sz="4" w:space="0" w:color="auto"/>
            </w:tcBorders>
            <w:noWrap/>
            <w:hideMark/>
          </w:tcPr>
          <w:p w14:paraId="08786BE7" w14:textId="77777777" w:rsidR="00261FEF" w:rsidRPr="004E336D" w:rsidRDefault="00261FEF" w:rsidP="00261FEF">
            <w:pPr>
              <w:rPr>
                <w:noProof/>
                <w:color w:val="000000"/>
                <w:sz w:val="20"/>
                <w:szCs w:val="20"/>
              </w:rPr>
            </w:pPr>
            <w:r w:rsidRPr="3FCE22BE">
              <w:rPr>
                <w:noProof/>
                <w:color w:val="000000" w:themeColor="text1"/>
                <w:sz w:val="20"/>
                <w:szCs w:val="20"/>
              </w:rPr>
              <w:t>Renegotiated agreements made by SME operators (changes relative to the baseline)</w:t>
            </w:r>
          </w:p>
        </w:tc>
        <w:tc>
          <w:tcPr>
            <w:tcW w:w="1012" w:type="dxa"/>
            <w:tcBorders>
              <w:top w:val="nil"/>
              <w:left w:val="nil"/>
              <w:bottom w:val="single" w:sz="4" w:space="0" w:color="auto"/>
              <w:right w:val="single" w:sz="4" w:space="0" w:color="auto"/>
            </w:tcBorders>
            <w:shd w:val="clear" w:color="auto" w:fill="FFFFFF" w:themeFill="background1"/>
            <w:noWrap/>
            <w:hideMark/>
          </w:tcPr>
          <w:p w14:paraId="0ED02DED" w14:textId="618BF56A" w:rsidR="00261FEF" w:rsidRPr="00B50775" w:rsidRDefault="00261FEF" w:rsidP="00261FEF">
            <w:pPr>
              <w:jc w:val="right"/>
              <w:rPr>
                <w:noProof/>
                <w:sz w:val="20"/>
                <w:szCs w:val="20"/>
              </w:rPr>
            </w:pPr>
            <w:r w:rsidRPr="00B50775">
              <w:rPr>
                <w:noProof/>
                <w:sz w:val="20"/>
                <w:szCs w:val="20"/>
              </w:rPr>
              <w:t>0</w:t>
            </w:r>
          </w:p>
        </w:tc>
        <w:tc>
          <w:tcPr>
            <w:tcW w:w="1013" w:type="dxa"/>
            <w:tcBorders>
              <w:top w:val="nil"/>
              <w:left w:val="nil"/>
              <w:bottom w:val="single" w:sz="4" w:space="0" w:color="auto"/>
              <w:right w:val="single" w:sz="4" w:space="0" w:color="auto"/>
            </w:tcBorders>
            <w:shd w:val="clear" w:color="auto" w:fill="FFFFFF" w:themeFill="background1"/>
            <w:noWrap/>
            <w:hideMark/>
          </w:tcPr>
          <w:p w14:paraId="637E88A1" w14:textId="5152DD44" w:rsidR="00261FEF" w:rsidRPr="00B50775" w:rsidRDefault="00261FEF" w:rsidP="00261FEF">
            <w:pPr>
              <w:jc w:val="right"/>
              <w:rPr>
                <w:noProof/>
                <w:sz w:val="20"/>
                <w:szCs w:val="20"/>
              </w:rPr>
            </w:pPr>
            <w:r w:rsidRPr="00B50775">
              <w:rPr>
                <w:noProof/>
                <w:sz w:val="20"/>
                <w:szCs w:val="20"/>
              </w:rPr>
              <w:t>1</w:t>
            </w:r>
          </w:p>
        </w:tc>
        <w:tc>
          <w:tcPr>
            <w:tcW w:w="1013" w:type="dxa"/>
            <w:tcBorders>
              <w:top w:val="nil"/>
              <w:left w:val="nil"/>
              <w:bottom w:val="single" w:sz="4" w:space="0" w:color="auto"/>
              <w:right w:val="single" w:sz="4" w:space="0" w:color="auto"/>
            </w:tcBorders>
            <w:shd w:val="clear" w:color="auto" w:fill="FFFFFF" w:themeFill="background1"/>
            <w:noWrap/>
            <w:hideMark/>
          </w:tcPr>
          <w:p w14:paraId="084C76C9" w14:textId="72FF59E9" w:rsidR="00261FEF" w:rsidRPr="00B50775" w:rsidRDefault="00261FEF" w:rsidP="00261FEF">
            <w:pPr>
              <w:jc w:val="right"/>
              <w:rPr>
                <w:noProof/>
                <w:sz w:val="20"/>
                <w:szCs w:val="20"/>
              </w:rPr>
            </w:pPr>
            <w:r w:rsidRPr="00B50775">
              <w:rPr>
                <w:noProof/>
                <w:sz w:val="20"/>
                <w:szCs w:val="20"/>
              </w:rPr>
              <w:t>4</w:t>
            </w:r>
          </w:p>
        </w:tc>
        <w:tc>
          <w:tcPr>
            <w:tcW w:w="1013" w:type="dxa"/>
            <w:tcBorders>
              <w:top w:val="nil"/>
              <w:left w:val="nil"/>
              <w:bottom w:val="single" w:sz="4" w:space="0" w:color="auto"/>
              <w:right w:val="single" w:sz="4" w:space="0" w:color="auto"/>
            </w:tcBorders>
            <w:shd w:val="clear" w:color="auto" w:fill="FFFFFF" w:themeFill="background1"/>
            <w:noWrap/>
            <w:hideMark/>
          </w:tcPr>
          <w:p w14:paraId="7875BEE1" w14:textId="4929222D" w:rsidR="00261FEF" w:rsidRPr="00B50775" w:rsidRDefault="00261FEF" w:rsidP="00261FEF">
            <w:pPr>
              <w:jc w:val="right"/>
              <w:rPr>
                <w:noProof/>
                <w:sz w:val="20"/>
                <w:szCs w:val="20"/>
              </w:rPr>
            </w:pPr>
            <w:r w:rsidRPr="00B50775">
              <w:rPr>
                <w:noProof/>
                <w:sz w:val="20"/>
                <w:szCs w:val="20"/>
              </w:rPr>
              <w:t>2</w:t>
            </w:r>
          </w:p>
        </w:tc>
      </w:tr>
      <w:tr w:rsidR="00261FEF" w:rsidRPr="00D55D0E" w14:paraId="001D0FE0" w14:textId="77777777" w:rsidTr="00B50775">
        <w:trPr>
          <w:trHeight w:val="255"/>
        </w:trPr>
        <w:tc>
          <w:tcPr>
            <w:tcW w:w="5552" w:type="dxa"/>
            <w:tcBorders>
              <w:top w:val="nil"/>
              <w:left w:val="single" w:sz="4" w:space="0" w:color="auto"/>
              <w:bottom w:val="single" w:sz="4" w:space="0" w:color="auto"/>
              <w:right w:val="single" w:sz="4" w:space="0" w:color="auto"/>
            </w:tcBorders>
            <w:noWrap/>
            <w:hideMark/>
          </w:tcPr>
          <w:p w14:paraId="2C1A4EBF" w14:textId="6A30D523" w:rsidR="00261FEF" w:rsidRPr="004E336D" w:rsidRDefault="00261FEF" w:rsidP="00261FEF">
            <w:pPr>
              <w:rPr>
                <w:noProof/>
                <w:color w:val="000000"/>
                <w:sz w:val="20"/>
                <w:szCs w:val="20"/>
              </w:rPr>
            </w:pPr>
            <w:r w:rsidRPr="004E336D">
              <w:rPr>
                <w:noProof/>
                <w:color w:val="000000"/>
                <w:sz w:val="20"/>
                <w:szCs w:val="20"/>
              </w:rPr>
              <w:t xml:space="preserve">Total adjustment cost savings for </w:t>
            </w:r>
            <w:r>
              <w:rPr>
                <w:noProof/>
                <w:color w:val="000000"/>
                <w:sz w:val="20"/>
                <w:szCs w:val="20"/>
              </w:rPr>
              <w:t>non-SME</w:t>
            </w:r>
            <w:r w:rsidRPr="004E336D">
              <w:rPr>
                <w:noProof/>
                <w:color w:val="000000"/>
                <w:sz w:val="20"/>
                <w:szCs w:val="20"/>
              </w:rPr>
              <w:t xml:space="preserve"> operators (million EUR)</w:t>
            </w:r>
          </w:p>
        </w:tc>
        <w:tc>
          <w:tcPr>
            <w:tcW w:w="1012" w:type="dxa"/>
            <w:tcBorders>
              <w:top w:val="nil"/>
              <w:left w:val="nil"/>
              <w:bottom w:val="single" w:sz="4" w:space="0" w:color="auto"/>
              <w:right w:val="single" w:sz="4" w:space="0" w:color="auto"/>
            </w:tcBorders>
            <w:shd w:val="clear" w:color="auto" w:fill="FFFFFF" w:themeFill="background1"/>
            <w:noWrap/>
            <w:hideMark/>
          </w:tcPr>
          <w:p w14:paraId="084BCCC2" w14:textId="4A10ECCB" w:rsidR="00261FEF" w:rsidRPr="00B50775" w:rsidRDefault="00261FEF" w:rsidP="00261FEF">
            <w:pPr>
              <w:jc w:val="right"/>
              <w:rPr>
                <w:noProof/>
                <w:sz w:val="20"/>
                <w:szCs w:val="20"/>
              </w:rPr>
            </w:pPr>
            <w:r w:rsidRPr="00B50775">
              <w:rPr>
                <w:noProof/>
                <w:sz w:val="20"/>
                <w:szCs w:val="20"/>
              </w:rPr>
              <w:t>0.0</w:t>
            </w:r>
          </w:p>
        </w:tc>
        <w:tc>
          <w:tcPr>
            <w:tcW w:w="1013" w:type="dxa"/>
            <w:tcBorders>
              <w:top w:val="nil"/>
              <w:left w:val="nil"/>
              <w:bottom w:val="single" w:sz="4" w:space="0" w:color="auto"/>
              <w:right w:val="single" w:sz="4" w:space="0" w:color="auto"/>
            </w:tcBorders>
            <w:shd w:val="clear" w:color="auto" w:fill="FFFFFF" w:themeFill="background1"/>
            <w:noWrap/>
            <w:hideMark/>
          </w:tcPr>
          <w:p w14:paraId="5EFADA02" w14:textId="0658F66D" w:rsidR="00261FEF" w:rsidRPr="00B50775" w:rsidRDefault="00261FEF" w:rsidP="00261FEF">
            <w:pPr>
              <w:jc w:val="right"/>
              <w:rPr>
                <w:noProof/>
                <w:sz w:val="20"/>
                <w:szCs w:val="20"/>
              </w:rPr>
            </w:pPr>
            <w:r w:rsidRPr="00B50775">
              <w:rPr>
                <w:noProof/>
                <w:sz w:val="20"/>
                <w:szCs w:val="20"/>
              </w:rPr>
              <w:t>0.1</w:t>
            </w:r>
          </w:p>
        </w:tc>
        <w:tc>
          <w:tcPr>
            <w:tcW w:w="1013" w:type="dxa"/>
            <w:tcBorders>
              <w:top w:val="nil"/>
              <w:left w:val="nil"/>
              <w:bottom w:val="single" w:sz="4" w:space="0" w:color="auto"/>
              <w:right w:val="single" w:sz="4" w:space="0" w:color="auto"/>
            </w:tcBorders>
            <w:shd w:val="clear" w:color="auto" w:fill="FFFFFF" w:themeFill="background1"/>
            <w:noWrap/>
            <w:hideMark/>
          </w:tcPr>
          <w:p w14:paraId="588A6D05" w14:textId="1DF25C70" w:rsidR="00261FEF" w:rsidRPr="00B50775" w:rsidRDefault="00261FEF" w:rsidP="00261FEF">
            <w:pPr>
              <w:jc w:val="right"/>
              <w:rPr>
                <w:noProof/>
                <w:sz w:val="20"/>
                <w:szCs w:val="20"/>
              </w:rPr>
            </w:pPr>
            <w:r w:rsidRPr="00B50775">
              <w:rPr>
                <w:noProof/>
                <w:sz w:val="20"/>
                <w:szCs w:val="20"/>
              </w:rPr>
              <w:t>0.1</w:t>
            </w:r>
          </w:p>
        </w:tc>
        <w:tc>
          <w:tcPr>
            <w:tcW w:w="1013" w:type="dxa"/>
            <w:tcBorders>
              <w:top w:val="nil"/>
              <w:left w:val="nil"/>
              <w:bottom w:val="single" w:sz="4" w:space="0" w:color="auto"/>
              <w:right w:val="single" w:sz="4" w:space="0" w:color="auto"/>
            </w:tcBorders>
            <w:shd w:val="clear" w:color="auto" w:fill="FFFFFF" w:themeFill="background1"/>
            <w:noWrap/>
            <w:hideMark/>
          </w:tcPr>
          <w:p w14:paraId="5185410A" w14:textId="75D0E7EF" w:rsidR="00261FEF" w:rsidRPr="00B50775" w:rsidRDefault="00261FEF" w:rsidP="00261FEF">
            <w:pPr>
              <w:jc w:val="right"/>
              <w:rPr>
                <w:noProof/>
                <w:sz w:val="20"/>
                <w:szCs w:val="20"/>
              </w:rPr>
            </w:pPr>
            <w:r w:rsidRPr="00B50775">
              <w:rPr>
                <w:noProof/>
                <w:sz w:val="20"/>
                <w:szCs w:val="20"/>
              </w:rPr>
              <w:t>0.0</w:t>
            </w:r>
          </w:p>
        </w:tc>
      </w:tr>
      <w:tr w:rsidR="00261FEF" w:rsidRPr="00D55D0E" w14:paraId="257D055B" w14:textId="77777777" w:rsidTr="00B50775">
        <w:trPr>
          <w:trHeight w:val="255"/>
        </w:trPr>
        <w:tc>
          <w:tcPr>
            <w:tcW w:w="5552" w:type="dxa"/>
            <w:tcBorders>
              <w:top w:val="nil"/>
              <w:left w:val="single" w:sz="4" w:space="0" w:color="auto"/>
              <w:bottom w:val="single" w:sz="4" w:space="0" w:color="auto"/>
              <w:right w:val="single" w:sz="4" w:space="0" w:color="auto"/>
            </w:tcBorders>
            <w:noWrap/>
            <w:hideMark/>
          </w:tcPr>
          <w:p w14:paraId="75F6C5C9" w14:textId="77777777" w:rsidR="00261FEF" w:rsidRPr="004E336D" w:rsidRDefault="00261FEF" w:rsidP="00261FEF">
            <w:pPr>
              <w:rPr>
                <w:noProof/>
                <w:color w:val="000000"/>
                <w:sz w:val="20"/>
                <w:szCs w:val="20"/>
              </w:rPr>
            </w:pPr>
            <w:r w:rsidRPr="004E336D">
              <w:rPr>
                <w:noProof/>
                <w:color w:val="000000"/>
                <w:sz w:val="20"/>
                <w:szCs w:val="20"/>
              </w:rPr>
              <w:t>Total adjustment cost savings for SME operators (million EUR)</w:t>
            </w:r>
          </w:p>
        </w:tc>
        <w:tc>
          <w:tcPr>
            <w:tcW w:w="1012" w:type="dxa"/>
            <w:tcBorders>
              <w:top w:val="nil"/>
              <w:left w:val="nil"/>
              <w:bottom w:val="single" w:sz="4" w:space="0" w:color="auto"/>
              <w:right w:val="single" w:sz="4" w:space="0" w:color="auto"/>
            </w:tcBorders>
            <w:shd w:val="clear" w:color="auto" w:fill="FFFFFF" w:themeFill="background1"/>
            <w:noWrap/>
            <w:hideMark/>
          </w:tcPr>
          <w:p w14:paraId="170E9FD1" w14:textId="6A5EC551" w:rsidR="00261FEF" w:rsidRPr="00B50775" w:rsidRDefault="00261FEF" w:rsidP="00261FEF">
            <w:pPr>
              <w:jc w:val="right"/>
              <w:rPr>
                <w:noProof/>
                <w:sz w:val="20"/>
                <w:szCs w:val="20"/>
              </w:rPr>
            </w:pPr>
            <w:r w:rsidRPr="00B50775">
              <w:rPr>
                <w:noProof/>
                <w:sz w:val="20"/>
                <w:szCs w:val="20"/>
              </w:rPr>
              <w:t>0.0</w:t>
            </w:r>
          </w:p>
        </w:tc>
        <w:tc>
          <w:tcPr>
            <w:tcW w:w="1013" w:type="dxa"/>
            <w:tcBorders>
              <w:top w:val="nil"/>
              <w:left w:val="nil"/>
              <w:bottom w:val="single" w:sz="4" w:space="0" w:color="auto"/>
              <w:right w:val="single" w:sz="4" w:space="0" w:color="auto"/>
            </w:tcBorders>
            <w:shd w:val="clear" w:color="auto" w:fill="FFFFFF" w:themeFill="background1"/>
            <w:noWrap/>
            <w:hideMark/>
          </w:tcPr>
          <w:p w14:paraId="2715D717" w14:textId="50C49A41" w:rsidR="00261FEF" w:rsidRPr="00B50775" w:rsidRDefault="00261FEF" w:rsidP="00261FEF">
            <w:pPr>
              <w:jc w:val="right"/>
              <w:rPr>
                <w:noProof/>
                <w:sz w:val="20"/>
                <w:szCs w:val="20"/>
              </w:rPr>
            </w:pPr>
            <w:r w:rsidRPr="00B50775">
              <w:rPr>
                <w:noProof/>
                <w:sz w:val="20"/>
                <w:szCs w:val="20"/>
              </w:rPr>
              <w:t>0.0</w:t>
            </w:r>
          </w:p>
        </w:tc>
        <w:tc>
          <w:tcPr>
            <w:tcW w:w="1013" w:type="dxa"/>
            <w:tcBorders>
              <w:top w:val="nil"/>
              <w:left w:val="nil"/>
              <w:bottom w:val="single" w:sz="4" w:space="0" w:color="auto"/>
              <w:right w:val="single" w:sz="4" w:space="0" w:color="auto"/>
            </w:tcBorders>
            <w:shd w:val="clear" w:color="auto" w:fill="FFFFFF" w:themeFill="background1"/>
            <w:noWrap/>
            <w:hideMark/>
          </w:tcPr>
          <w:p w14:paraId="0BE94FBF" w14:textId="215E83AF" w:rsidR="00261FEF" w:rsidRPr="00B50775" w:rsidRDefault="00261FEF" w:rsidP="00261FEF">
            <w:pPr>
              <w:jc w:val="right"/>
              <w:rPr>
                <w:noProof/>
                <w:sz w:val="20"/>
                <w:szCs w:val="20"/>
              </w:rPr>
            </w:pPr>
            <w:r w:rsidRPr="00B50775">
              <w:rPr>
                <w:noProof/>
                <w:sz w:val="20"/>
                <w:szCs w:val="20"/>
              </w:rPr>
              <w:t>0.0</w:t>
            </w:r>
          </w:p>
        </w:tc>
        <w:tc>
          <w:tcPr>
            <w:tcW w:w="1013" w:type="dxa"/>
            <w:tcBorders>
              <w:top w:val="nil"/>
              <w:left w:val="nil"/>
              <w:bottom w:val="single" w:sz="4" w:space="0" w:color="auto"/>
              <w:right w:val="single" w:sz="4" w:space="0" w:color="auto"/>
            </w:tcBorders>
            <w:shd w:val="clear" w:color="auto" w:fill="FFFFFF" w:themeFill="background1"/>
            <w:noWrap/>
            <w:hideMark/>
          </w:tcPr>
          <w:p w14:paraId="10A50351" w14:textId="41EEA2C5" w:rsidR="00261FEF" w:rsidRPr="00B50775" w:rsidRDefault="00261FEF" w:rsidP="00261FEF">
            <w:pPr>
              <w:jc w:val="right"/>
              <w:rPr>
                <w:noProof/>
                <w:sz w:val="20"/>
                <w:szCs w:val="20"/>
              </w:rPr>
            </w:pPr>
            <w:r w:rsidRPr="00B50775">
              <w:rPr>
                <w:noProof/>
                <w:sz w:val="20"/>
                <w:szCs w:val="20"/>
              </w:rPr>
              <w:t>0.0</w:t>
            </w:r>
          </w:p>
        </w:tc>
      </w:tr>
      <w:tr w:rsidR="00261FEF" w:rsidRPr="00CA53D5" w14:paraId="7FB3E438" w14:textId="77777777" w:rsidTr="00B50775">
        <w:trPr>
          <w:trHeight w:val="255"/>
        </w:trPr>
        <w:tc>
          <w:tcPr>
            <w:tcW w:w="5552" w:type="dxa"/>
            <w:tcBorders>
              <w:top w:val="nil"/>
              <w:left w:val="single" w:sz="4" w:space="0" w:color="auto"/>
              <w:bottom w:val="single" w:sz="4" w:space="0" w:color="auto"/>
              <w:right w:val="single" w:sz="4" w:space="0" w:color="auto"/>
            </w:tcBorders>
            <w:noWrap/>
            <w:hideMark/>
          </w:tcPr>
          <w:p w14:paraId="4843401C" w14:textId="77777777" w:rsidR="00261FEF" w:rsidRPr="004E336D" w:rsidRDefault="00261FEF" w:rsidP="00261FEF">
            <w:pPr>
              <w:rPr>
                <w:b/>
                <w:noProof/>
                <w:color w:val="000000"/>
                <w:sz w:val="20"/>
                <w:szCs w:val="20"/>
              </w:rPr>
            </w:pPr>
            <w:r w:rsidRPr="004E336D">
              <w:rPr>
                <w:b/>
                <w:noProof/>
                <w:color w:val="000000"/>
                <w:sz w:val="20"/>
                <w:szCs w:val="20"/>
              </w:rPr>
              <w:t>PO2</w:t>
            </w:r>
          </w:p>
        </w:tc>
        <w:tc>
          <w:tcPr>
            <w:tcW w:w="1012" w:type="dxa"/>
            <w:tcBorders>
              <w:top w:val="nil"/>
              <w:left w:val="nil"/>
              <w:bottom w:val="single" w:sz="4" w:space="0" w:color="auto"/>
              <w:right w:val="single" w:sz="4" w:space="0" w:color="auto"/>
            </w:tcBorders>
            <w:shd w:val="clear" w:color="auto" w:fill="FFFFFF" w:themeFill="background1"/>
            <w:noWrap/>
            <w:hideMark/>
          </w:tcPr>
          <w:p w14:paraId="56FF5A05" w14:textId="7AE7435E" w:rsidR="00261FEF" w:rsidRPr="00B50775" w:rsidRDefault="00261FEF" w:rsidP="00261FEF">
            <w:pPr>
              <w:rPr>
                <w:noProof/>
                <w:sz w:val="20"/>
                <w:szCs w:val="20"/>
              </w:rPr>
            </w:pPr>
            <w:r w:rsidRPr="00B50775">
              <w:rPr>
                <w:noProof/>
                <w:sz w:val="20"/>
                <w:szCs w:val="20"/>
              </w:rPr>
              <w:t> </w:t>
            </w:r>
          </w:p>
        </w:tc>
        <w:tc>
          <w:tcPr>
            <w:tcW w:w="1013" w:type="dxa"/>
            <w:tcBorders>
              <w:top w:val="nil"/>
              <w:left w:val="nil"/>
              <w:bottom w:val="single" w:sz="4" w:space="0" w:color="auto"/>
              <w:right w:val="single" w:sz="4" w:space="0" w:color="auto"/>
            </w:tcBorders>
            <w:shd w:val="clear" w:color="auto" w:fill="FFFFFF" w:themeFill="background1"/>
            <w:noWrap/>
            <w:hideMark/>
          </w:tcPr>
          <w:p w14:paraId="1D2D6895" w14:textId="15106B41" w:rsidR="00261FEF" w:rsidRPr="00B50775" w:rsidRDefault="00261FEF" w:rsidP="00261FEF">
            <w:pPr>
              <w:rPr>
                <w:noProof/>
                <w:sz w:val="20"/>
                <w:szCs w:val="20"/>
              </w:rPr>
            </w:pPr>
            <w:r w:rsidRPr="00B50775">
              <w:rPr>
                <w:noProof/>
                <w:sz w:val="20"/>
                <w:szCs w:val="20"/>
              </w:rPr>
              <w:t> </w:t>
            </w:r>
          </w:p>
        </w:tc>
        <w:tc>
          <w:tcPr>
            <w:tcW w:w="1013" w:type="dxa"/>
            <w:tcBorders>
              <w:top w:val="nil"/>
              <w:left w:val="nil"/>
              <w:bottom w:val="single" w:sz="4" w:space="0" w:color="auto"/>
              <w:right w:val="single" w:sz="4" w:space="0" w:color="auto"/>
            </w:tcBorders>
            <w:shd w:val="clear" w:color="auto" w:fill="FFFFFF" w:themeFill="background1"/>
            <w:noWrap/>
            <w:hideMark/>
          </w:tcPr>
          <w:p w14:paraId="7211CBC8" w14:textId="31EF6B10" w:rsidR="00261FEF" w:rsidRPr="00B50775" w:rsidRDefault="00261FEF" w:rsidP="00261FEF">
            <w:pPr>
              <w:rPr>
                <w:noProof/>
                <w:sz w:val="20"/>
                <w:szCs w:val="20"/>
              </w:rPr>
            </w:pPr>
            <w:r w:rsidRPr="00B50775">
              <w:rPr>
                <w:noProof/>
                <w:sz w:val="20"/>
                <w:szCs w:val="20"/>
              </w:rPr>
              <w:t> </w:t>
            </w:r>
          </w:p>
        </w:tc>
        <w:tc>
          <w:tcPr>
            <w:tcW w:w="1013" w:type="dxa"/>
            <w:tcBorders>
              <w:top w:val="nil"/>
              <w:left w:val="nil"/>
              <w:bottom w:val="single" w:sz="4" w:space="0" w:color="auto"/>
              <w:right w:val="single" w:sz="4" w:space="0" w:color="auto"/>
            </w:tcBorders>
            <w:shd w:val="clear" w:color="auto" w:fill="FFFFFF" w:themeFill="background1"/>
            <w:noWrap/>
            <w:hideMark/>
          </w:tcPr>
          <w:p w14:paraId="2FC3A594" w14:textId="48EB2578" w:rsidR="00261FEF" w:rsidRPr="00B50775" w:rsidRDefault="00261FEF" w:rsidP="00261FEF">
            <w:pPr>
              <w:rPr>
                <w:noProof/>
                <w:sz w:val="20"/>
                <w:szCs w:val="20"/>
              </w:rPr>
            </w:pPr>
            <w:r w:rsidRPr="00B50775">
              <w:rPr>
                <w:noProof/>
                <w:sz w:val="20"/>
                <w:szCs w:val="20"/>
              </w:rPr>
              <w:t> </w:t>
            </w:r>
          </w:p>
        </w:tc>
      </w:tr>
      <w:tr w:rsidR="00261FEF" w:rsidRPr="00CA53D5" w14:paraId="5220C41B" w14:textId="77777777" w:rsidTr="00B50775">
        <w:trPr>
          <w:trHeight w:val="255"/>
        </w:trPr>
        <w:tc>
          <w:tcPr>
            <w:tcW w:w="5552" w:type="dxa"/>
            <w:tcBorders>
              <w:top w:val="nil"/>
              <w:left w:val="single" w:sz="4" w:space="0" w:color="auto"/>
              <w:bottom w:val="single" w:sz="4" w:space="0" w:color="auto"/>
              <w:right w:val="single" w:sz="4" w:space="0" w:color="auto"/>
            </w:tcBorders>
            <w:noWrap/>
            <w:hideMark/>
          </w:tcPr>
          <w:p w14:paraId="33474728" w14:textId="6E6D8DDC" w:rsidR="00261FEF" w:rsidRPr="004E336D" w:rsidRDefault="00261FEF" w:rsidP="00261FEF">
            <w:pPr>
              <w:rPr>
                <w:noProof/>
                <w:color w:val="000000"/>
                <w:sz w:val="20"/>
                <w:szCs w:val="20"/>
              </w:rPr>
            </w:pPr>
            <w:r w:rsidRPr="3FCE22BE">
              <w:rPr>
                <w:noProof/>
                <w:color w:val="000000" w:themeColor="text1"/>
                <w:sz w:val="20"/>
                <w:szCs w:val="20"/>
              </w:rPr>
              <w:t xml:space="preserve">New agreements made by </w:t>
            </w:r>
            <w:r>
              <w:rPr>
                <w:noProof/>
                <w:color w:val="000000" w:themeColor="text1"/>
                <w:sz w:val="20"/>
                <w:szCs w:val="20"/>
              </w:rPr>
              <w:t>non-SME</w:t>
            </w:r>
            <w:r w:rsidRPr="3FCE22BE">
              <w:rPr>
                <w:noProof/>
                <w:color w:val="000000" w:themeColor="text1"/>
                <w:sz w:val="20"/>
                <w:szCs w:val="20"/>
              </w:rPr>
              <w:t xml:space="preserve"> operators (changes relative to the baseline)</w:t>
            </w:r>
          </w:p>
        </w:tc>
        <w:tc>
          <w:tcPr>
            <w:tcW w:w="1012" w:type="dxa"/>
            <w:tcBorders>
              <w:top w:val="nil"/>
              <w:left w:val="nil"/>
              <w:bottom w:val="single" w:sz="4" w:space="0" w:color="auto"/>
              <w:right w:val="single" w:sz="4" w:space="0" w:color="auto"/>
            </w:tcBorders>
            <w:shd w:val="clear" w:color="auto" w:fill="FFFFFF" w:themeFill="background1"/>
            <w:noWrap/>
            <w:hideMark/>
          </w:tcPr>
          <w:p w14:paraId="5081AB76" w14:textId="00095293" w:rsidR="00261FEF" w:rsidRPr="00B50775" w:rsidRDefault="00261FEF" w:rsidP="00261FEF">
            <w:pPr>
              <w:jc w:val="right"/>
              <w:rPr>
                <w:noProof/>
                <w:sz w:val="20"/>
                <w:szCs w:val="20"/>
              </w:rPr>
            </w:pPr>
            <w:r w:rsidRPr="00B50775">
              <w:rPr>
                <w:noProof/>
                <w:sz w:val="20"/>
                <w:szCs w:val="20"/>
              </w:rPr>
              <w:t>449</w:t>
            </w:r>
          </w:p>
        </w:tc>
        <w:tc>
          <w:tcPr>
            <w:tcW w:w="1013" w:type="dxa"/>
            <w:tcBorders>
              <w:top w:val="nil"/>
              <w:left w:val="nil"/>
              <w:bottom w:val="single" w:sz="4" w:space="0" w:color="auto"/>
              <w:right w:val="single" w:sz="4" w:space="0" w:color="auto"/>
            </w:tcBorders>
            <w:shd w:val="clear" w:color="auto" w:fill="FFFFFF" w:themeFill="background1"/>
            <w:noWrap/>
            <w:hideMark/>
          </w:tcPr>
          <w:p w14:paraId="199BB738" w14:textId="00B18D0D" w:rsidR="00261FEF" w:rsidRPr="00B50775" w:rsidRDefault="00261FEF" w:rsidP="00261FEF">
            <w:pPr>
              <w:jc w:val="right"/>
              <w:rPr>
                <w:noProof/>
                <w:sz w:val="20"/>
                <w:szCs w:val="20"/>
              </w:rPr>
            </w:pPr>
            <w:r w:rsidRPr="00B50775">
              <w:rPr>
                <w:noProof/>
                <w:sz w:val="20"/>
                <w:szCs w:val="20"/>
              </w:rPr>
              <w:t>77</w:t>
            </w:r>
          </w:p>
        </w:tc>
        <w:tc>
          <w:tcPr>
            <w:tcW w:w="1013" w:type="dxa"/>
            <w:tcBorders>
              <w:top w:val="nil"/>
              <w:left w:val="nil"/>
              <w:bottom w:val="single" w:sz="4" w:space="0" w:color="auto"/>
              <w:right w:val="single" w:sz="4" w:space="0" w:color="auto"/>
            </w:tcBorders>
            <w:shd w:val="clear" w:color="auto" w:fill="FFFFFF" w:themeFill="background1"/>
            <w:noWrap/>
            <w:hideMark/>
          </w:tcPr>
          <w:p w14:paraId="05D0A1A9" w14:textId="367CCF51" w:rsidR="00261FEF" w:rsidRPr="00B50775" w:rsidRDefault="00261FEF" w:rsidP="00261FEF">
            <w:pPr>
              <w:jc w:val="right"/>
              <w:rPr>
                <w:noProof/>
                <w:sz w:val="20"/>
                <w:szCs w:val="20"/>
              </w:rPr>
            </w:pPr>
            <w:r w:rsidRPr="00B50775">
              <w:rPr>
                <w:noProof/>
                <w:sz w:val="20"/>
                <w:szCs w:val="20"/>
              </w:rPr>
              <w:t>135</w:t>
            </w:r>
          </w:p>
        </w:tc>
        <w:tc>
          <w:tcPr>
            <w:tcW w:w="1013" w:type="dxa"/>
            <w:tcBorders>
              <w:top w:val="nil"/>
              <w:left w:val="nil"/>
              <w:bottom w:val="single" w:sz="4" w:space="0" w:color="auto"/>
              <w:right w:val="single" w:sz="4" w:space="0" w:color="auto"/>
            </w:tcBorders>
            <w:shd w:val="clear" w:color="auto" w:fill="FFFFFF" w:themeFill="background1"/>
            <w:noWrap/>
            <w:hideMark/>
          </w:tcPr>
          <w:p w14:paraId="2FD67A5B" w14:textId="6D2A2245" w:rsidR="00261FEF" w:rsidRPr="00B50775" w:rsidRDefault="00261FEF" w:rsidP="00261FEF">
            <w:pPr>
              <w:jc w:val="right"/>
              <w:rPr>
                <w:noProof/>
                <w:sz w:val="20"/>
                <w:szCs w:val="20"/>
              </w:rPr>
            </w:pPr>
            <w:r w:rsidRPr="00B50775">
              <w:rPr>
                <w:noProof/>
                <w:sz w:val="20"/>
                <w:szCs w:val="20"/>
              </w:rPr>
              <w:t>0</w:t>
            </w:r>
          </w:p>
        </w:tc>
      </w:tr>
      <w:tr w:rsidR="00261FEF" w:rsidRPr="00CA53D5" w14:paraId="62F40676" w14:textId="77777777" w:rsidTr="00B50775">
        <w:trPr>
          <w:trHeight w:val="255"/>
        </w:trPr>
        <w:tc>
          <w:tcPr>
            <w:tcW w:w="5552" w:type="dxa"/>
            <w:tcBorders>
              <w:top w:val="nil"/>
              <w:left w:val="single" w:sz="4" w:space="0" w:color="auto"/>
              <w:bottom w:val="single" w:sz="4" w:space="0" w:color="auto"/>
              <w:right w:val="single" w:sz="4" w:space="0" w:color="auto"/>
            </w:tcBorders>
            <w:noWrap/>
            <w:hideMark/>
          </w:tcPr>
          <w:p w14:paraId="4E1031D9" w14:textId="11BAB81A" w:rsidR="00261FEF" w:rsidRPr="004E336D" w:rsidRDefault="00261FEF" w:rsidP="00261FEF">
            <w:pPr>
              <w:rPr>
                <w:noProof/>
                <w:color w:val="000000"/>
                <w:sz w:val="20"/>
                <w:szCs w:val="20"/>
              </w:rPr>
            </w:pPr>
            <w:r w:rsidRPr="3FCE22BE">
              <w:rPr>
                <w:noProof/>
                <w:color w:val="000000" w:themeColor="text1"/>
                <w:sz w:val="20"/>
                <w:szCs w:val="20"/>
              </w:rPr>
              <w:t>New agreements made by SME operators (changes relative to the baseline)</w:t>
            </w:r>
          </w:p>
        </w:tc>
        <w:tc>
          <w:tcPr>
            <w:tcW w:w="1012" w:type="dxa"/>
            <w:tcBorders>
              <w:top w:val="nil"/>
              <w:left w:val="nil"/>
              <w:bottom w:val="single" w:sz="4" w:space="0" w:color="auto"/>
              <w:right w:val="single" w:sz="4" w:space="0" w:color="auto"/>
            </w:tcBorders>
            <w:shd w:val="clear" w:color="auto" w:fill="FFFFFF" w:themeFill="background1"/>
            <w:noWrap/>
            <w:hideMark/>
          </w:tcPr>
          <w:p w14:paraId="5E553D34" w14:textId="04719CD1" w:rsidR="00261FEF" w:rsidRPr="00B50775" w:rsidRDefault="00261FEF" w:rsidP="00261FEF">
            <w:pPr>
              <w:jc w:val="right"/>
              <w:rPr>
                <w:noProof/>
                <w:sz w:val="20"/>
                <w:szCs w:val="20"/>
              </w:rPr>
            </w:pPr>
            <w:r w:rsidRPr="00B50775">
              <w:rPr>
                <w:noProof/>
                <w:sz w:val="20"/>
                <w:szCs w:val="20"/>
              </w:rPr>
              <w:t>29</w:t>
            </w:r>
          </w:p>
        </w:tc>
        <w:tc>
          <w:tcPr>
            <w:tcW w:w="1013" w:type="dxa"/>
            <w:tcBorders>
              <w:top w:val="nil"/>
              <w:left w:val="nil"/>
              <w:bottom w:val="single" w:sz="4" w:space="0" w:color="auto"/>
              <w:right w:val="single" w:sz="4" w:space="0" w:color="auto"/>
            </w:tcBorders>
            <w:shd w:val="clear" w:color="auto" w:fill="FFFFFF" w:themeFill="background1"/>
            <w:noWrap/>
            <w:hideMark/>
          </w:tcPr>
          <w:p w14:paraId="0719D8E6" w14:textId="1599B932" w:rsidR="00261FEF" w:rsidRPr="00B50775" w:rsidRDefault="00261FEF" w:rsidP="00261FEF">
            <w:pPr>
              <w:jc w:val="right"/>
              <w:rPr>
                <w:noProof/>
                <w:sz w:val="20"/>
                <w:szCs w:val="20"/>
              </w:rPr>
            </w:pPr>
            <w:r w:rsidRPr="00B50775">
              <w:rPr>
                <w:noProof/>
                <w:sz w:val="20"/>
                <w:szCs w:val="20"/>
              </w:rPr>
              <w:t>5</w:t>
            </w:r>
          </w:p>
        </w:tc>
        <w:tc>
          <w:tcPr>
            <w:tcW w:w="1013" w:type="dxa"/>
            <w:tcBorders>
              <w:top w:val="nil"/>
              <w:left w:val="nil"/>
              <w:bottom w:val="single" w:sz="4" w:space="0" w:color="auto"/>
              <w:right w:val="single" w:sz="4" w:space="0" w:color="auto"/>
            </w:tcBorders>
            <w:shd w:val="clear" w:color="auto" w:fill="FFFFFF" w:themeFill="background1"/>
            <w:noWrap/>
            <w:hideMark/>
          </w:tcPr>
          <w:p w14:paraId="05A29D57" w14:textId="456280A4" w:rsidR="00261FEF" w:rsidRPr="00B50775" w:rsidRDefault="00261FEF" w:rsidP="00261FEF">
            <w:pPr>
              <w:jc w:val="right"/>
              <w:rPr>
                <w:noProof/>
                <w:sz w:val="20"/>
                <w:szCs w:val="20"/>
              </w:rPr>
            </w:pPr>
            <w:r w:rsidRPr="00B50775">
              <w:rPr>
                <w:noProof/>
                <w:sz w:val="20"/>
                <w:szCs w:val="20"/>
              </w:rPr>
              <w:t>9</w:t>
            </w:r>
          </w:p>
        </w:tc>
        <w:tc>
          <w:tcPr>
            <w:tcW w:w="1013" w:type="dxa"/>
            <w:tcBorders>
              <w:top w:val="nil"/>
              <w:left w:val="nil"/>
              <w:bottom w:val="single" w:sz="4" w:space="0" w:color="auto"/>
              <w:right w:val="single" w:sz="4" w:space="0" w:color="auto"/>
            </w:tcBorders>
            <w:shd w:val="clear" w:color="auto" w:fill="FFFFFF" w:themeFill="background1"/>
            <w:noWrap/>
            <w:hideMark/>
          </w:tcPr>
          <w:p w14:paraId="4A7AC568" w14:textId="6EEDE65F" w:rsidR="00261FEF" w:rsidRPr="00B50775" w:rsidRDefault="00261FEF" w:rsidP="00261FEF">
            <w:pPr>
              <w:jc w:val="right"/>
              <w:rPr>
                <w:noProof/>
                <w:sz w:val="20"/>
                <w:szCs w:val="20"/>
              </w:rPr>
            </w:pPr>
            <w:r w:rsidRPr="00B50775">
              <w:rPr>
                <w:noProof/>
                <w:sz w:val="20"/>
                <w:szCs w:val="20"/>
              </w:rPr>
              <w:t>0</w:t>
            </w:r>
          </w:p>
        </w:tc>
      </w:tr>
      <w:tr w:rsidR="00261FEF" w:rsidRPr="00CA53D5" w14:paraId="1D15D3D3" w14:textId="77777777" w:rsidTr="00B50775">
        <w:trPr>
          <w:trHeight w:val="255"/>
        </w:trPr>
        <w:tc>
          <w:tcPr>
            <w:tcW w:w="5552" w:type="dxa"/>
            <w:tcBorders>
              <w:top w:val="nil"/>
              <w:left w:val="single" w:sz="4" w:space="0" w:color="auto"/>
              <w:bottom w:val="single" w:sz="4" w:space="0" w:color="auto"/>
              <w:right w:val="single" w:sz="4" w:space="0" w:color="auto"/>
            </w:tcBorders>
            <w:noWrap/>
            <w:hideMark/>
          </w:tcPr>
          <w:p w14:paraId="46A8DB59" w14:textId="43357B69" w:rsidR="00261FEF" w:rsidRPr="004E336D" w:rsidRDefault="00261FEF" w:rsidP="00261FEF">
            <w:pPr>
              <w:rPr>
                <w:noProof/>
                <w:color w:val="000000"/>
                <w:sz w:val="20"/>
                <w:szCs w:val="20"/>
              </w:rPr>
            </w:pPr>
            <w:r w:rsidRPr="3FCE22BE">
              <w:rPr>
                <w:noProof/>
                <w:color w:val="000000" w:themeColor="text1"/>
                <w:sz w:val="20"/>
                <w:szCs w:val="20"/>
              </w:rPr>
              <w:t xml:space="preserve">Renegotiated agreements made by </w:t>
            </w:r>
            <w:r>
              <w:rPr>
                <w:noProof/>
                <w:color w:val="000000" w:themeColor="text1"/>
                <w:sz w:val="20"/>
                <w:szCs w:val="20"/>
              </w:rPr>
              <w:t>non-SME</w:t>
            </w:r>
            <w:r w:rsidRPr="3FCE22BE">
              <w:rPr>
                <w:noProof/>
                <w:color w:val="000000" w:themeColor="text1"/>
                <w:sz w:val="20"/>
                <w:szCs w:val="20"/>
              </w:rPr>
              <w:t xml:space="preserve"> operators (changes relative to the baseline)</w:t>
            </w:r>
          </w:p>
        </w:tc>
        <w:tc>
          <w:tcPr>
            <w:tcW w:w="1012" w:type="dxa"/>
            <w:tcBorders>
              <w:top w:val="nil"/>
              <w:left w:val="nil"/>
              <w:bottom w:val="single" w:sz="4" w:space="0" w:color="auto"/>
              <w:right w:val="single" w:sz="4" w:space="0" w:color="auto"/>
            </w:tcBorders>
            <w:shd w:val="clear" w:color="auto" w:fill="FFFFFF" w:themeFill="background1"/>
            <w:noWrap/>
            <w:hideMark/>
          </w:tcPr>
          <w:p w14:paraId="56F3B02F" w14:textId="37ABBFB3" w:rsidR="00261FEF" w:rsidRPr="00B50775" w:rsidRDefault="00261FEF" w:rsidP="00261FEF">
            <w:pPr>
              <w:jc w:val="right"/>
              <w:rPr>
                <w:noProof/>
                <w:sz w:val="20"/>
                <w:szCs w:val="20"/>
              </w:rPr>
            </w:pPr>
            <w:r w:rsidRPr="00B50775">
              <w:rPr>
                <w:noProof/>
                <w:sz w:val="20"/>
                <w:szCs w:val="20"/>
              </w:rPr>
              <w:t>150</w:t>
            </w:r>
          </w:p>
        </w:tc>
        <w:tc>
          <w:tcPr>
            <w:tcW w:w="1013" w:type="dxa"/>
            <w:tcBorders>
              <w:top w:val="nil"/>
              <w:left w:val="nil"/>
              <w:bottom w:val="single" w:sz="4" w:space="0" w:color="auto"/>
              <w:right w:val="single" w:sz="4" w:space="0" w:color="auto"/>
            </w:tcBorders>
            <w:shd w:val="clear" w:color="auto" w:fill="FFFFFF" w:themeFill="background1"/>
            <w:noWrap/>
            <w:hideMark/>
          </w:tcPr>
          <w:p w14:paraId="5DBAE685" w14:textId="52E6132A" w:rsidR="00261FEF" w:rsidRPr="00B50775" w:rsidRDefault="00261FEF" w:rsidP="00261FEF">
            <w:pPr>
              <w:jc w:val="right"/>
              <w:rPr>
                <w:noProof/>
                <w:sz w:val="20"/>
                <w:szCs w:val="20"/>
              </w:rPr>
            </w:pPr>
            <w:r w:rsidRPr="00B50775">
              <w:rPr>
                <w:noProof/>
                <w:sz w:val="20"/>
                <w:szCs w:val="20"/>
              </w:rPr>
              <w:t>201</w:t>
            </w:r>
          </w:p>
        </w:tc>
        <w:tc>
          <w:tcPr>
            <w:tcW w:w="1013" w:type="dxa"/>
            <w:tcBorders>
              <w:top w:val="nil"/>
              <w:left w:val="nil"/>
              <w:bottom w:val="single" w:sz="4" w:space="0" w:color="auto"/>
              <w:right w:val="single" w:sz="4" w:space="0" w:color="auto"/>
            </w:tcBorders>
            <w:shd w:val="clear" w:color="auto" w:fill="FFFFFF" w:themeFill="background1"/>
            <w:noWrap/>
            <w:hideMark/>
          </w:tcPr>
          <w:p w14:paraId="662A6849" w14:textId="5F7A03A1" w:rsidR="00261FEF" w:rsidRPr="00B50775" w:rsidRDefault="00261FEF" w:rsidP="00261FEF">
            <w:pPr>
              <w:jc w:val="right"/>
              <w:rPr>
                <w:noProof/>
                <w:sz w:val="20"/>
                <w:szCs w:val="20"/>
              </w:rPr>
            </w:pPr>
            <w:r w:rsidRPr="00B50775">
              <w:rPr>
                <w:noProof/>
                <w:sz w:val="20"/>
                <w:szCs w:val="20"/>
              </w:rPr>
              <w:t>650</w:t>
            </w:r>
          </w:p>
        </w:tc>
        <w:tc>
          <w:tcPr>
            <w:tcW w:w="1013" w:type="dxa"/>
            <w:tcBorders>
              <w:top w:val="nil"/>
              <w:left w:val="nil"/>
              <w:bottom w:val="single" w:sz="4" w:space="0" w:color="auto"/>
              <w:right w:val="single" w:sz="4" w:space="0" w:color="auto"/>
            </w:tcBorders>
            <w:shd w:val="clear" w:color="auto" w:fill="FFFFFF" w:themeFill="background1"/>
            <w:noWrap/>
            <w:hideMark/>
          </w:tcPr>
          <w:p w14:paraId="03EFAEE9" w14:textId="66EA1B5E" w:rsidR="00261FEF" w:rsidRPr="00B50775" w:rsidRDefault="00261FEF" w:rsidP="00261FEF">
            <w:pPr>
              <w:jc w:val="right"/>
              <w:rPr>
                <w:noProof/>
                <w:sz w:val="20"/>
                <w:szCs w:val="20"/>
              </w:rPr>
            </w:pPr>
            <w:r w:rsidRPr="00B50775">
              <w:rPr>
                <w:noProof/>
                <w:sz w:val="20"/>
                <w:szCs w:val="20"/>
              </w:rPr>
              <w:t>534</w:t>
            </w:r>
          </w:p>
        </w:tc>
      </w:tr>
      <w:tr w:rsidR="00261FEF" w:rsidRPr="00CA53D5" w14:paraId="3B15EEA8" w14:textId="77777777" w:rsidTr="00B50775">
        <w:trPr>
          <w:trHeight w:val="255"/>
        </w:trPr>
        <w:tc>
          <w:tcPr>
            <w:tcW w:w="5552" w:type="dxa"/>
            <w:tcBorders>
              <w:top w:val="nil"/>
              <w:left w:val="single" w:sz="4" w:space="0" w:color="auto"/>
              <w:bottom w:val="single" w:sz="4" w:space="0" w:color="auto"/>
              <w:right w:val="single" w:sz="4" w:space="0" w:color="auto"/>
            </w:tcBorders>
            <w:noWrap/>
            <w:hideMark/>
          </w:tcPr>
          <w:p w14:paraId="696BFB73" w14:textId="75CC4D4C" w:rsidR="00261FEF" w:rsidRPr="004E336D" w:rsidRDefault="00261FEF" w:rsidP="00261FEF">
            <w:pPr>
              <w:rPr>
                <w:noProof/>
                <w:color w:val="000000"/>
                <w:sz w:val="20"/>
                <w:szCs w:val="20"/>
              </w:rPr>
            </w:pPr>
            <w:r w:rsidRPr="3FCE22BE">
              <w:rPr>
                <w:noProof/>
                <w:color w:val="000000" w:themeColor="text1"/>
                <w:sz w:val="20"/>
                <w:szCs w:val="20"/>
              </w:rPr>
              <w:t>Renegotiated agreements made by SME operators (changes relative to the baseline)</w:t>
            </w:r>
          </w:p>
        </w:tc>
        <w:tc>
          <w:tcPr>
            <w:tcW w:w="1012" w:type="dxa"/>
            <w:tcBorders>
              <w:top w:val="nil"/>
              <w:left w:val="nil"/>
              <w:bottom w:val="single" w:sz="4" w:space="0" w:color="auto"/>
              <w:right w:val="single" w:sz="4" w:space="0" w:color="auto"/>
            </w:tcBorders>
            <w:shd w:val="clear" w:color="auto" w:fill="FFFFFF" w:themeFill="background1"/>
            <w:noWrap/>
            <w:hideMark/>
          </w:tcPr>
          <w:p w14:paraId="6E9A54A6" w14:textId="3E28C3DC" w:rsidR="00261FEF" w:rsidRPr="00B50775" w:rsidRDefault="00261FEF" w:rsidP="00261FEF">
            <w:pPr>
              <w:jc w:val="right"/>
              <w:rPr>
                <w:noProof/>
                <w:sz w:val="20"/>
                <w:szCs w:val="20"/>
              </w:rPr>
            </w:pPr>
            <w:r w:rsidRPr="00B50775">
              <w:rPr>
                <w:noProof/>
                <w:sz w:val="20"/>
                <w:szCs w:val="20"/>
              </w:rPr>
              <w:t>10</w:t>
            </w:r>
          </w:p>
        </w:tc>
        <w:tc>
          <w:tcPr>
            <w:tcW w:w="1013" w:type="dxa"/>
            <w:tcBorders>
              <w:top w:val="nil"/>
              <w:left w:val="nil"/>
              <w:bottom w:val="single" w:sz="4" w:space="0" w:color="auto"/>
              <w:right w:val="single" w:sz="4" w:space="0" w:color="auto"/>
            </w:tcBorders>
            <w:shd w:val="clear" w:color="auto" w:fill="FFFFFF" w:themeFill="background1"/>
            <w:noWrap/>
            <w:hideMark/>
          </w:tcPr>
          <w:p w14:paraId="31AE5765" w14:textId="3CEE992D" w:rsidR="00261FEF" w:rsidRPr="00B50775" w:rsidRDefault="00261FEF" w:rsidP="00261FEF">
            <w:pPr>
              <w:jc w:val="right"/>
              <w:rPr>
                <w:noProof/>
                <w:sz w:val="20"/>
                <w:szCs w:val="20"/>
              </w:rPr>
            </w:pPr>
            <w:r w:rsidRPr="00B50775">
              <w:rPr>
                <w:noProof/>
                <w:sz w:val="20"/>
                <w:szCs w:val="20"/>
              </w:rPr>
              <w:t>13</w:t>
            </w:r>
          </w:p>
        </w:tc>
        <w:tc>
          <w:tcPr>
            <w:tcW w:w="1013" w:type="dxa"/>
            <w:tcBorders>
              <w:top w:val="nil"/>
              <w:left w:val="nil"/>
              <w:bottom w:val="single" w:sz="4" w:space="0" w:color="auto"/>
              <w:right w:val="single" w:sz="4" w:space="0" w:color="auto"/>
            </w:tcBorders>
            <w:shd w:val="clear" w:color="auto" w:fill="FFFFFF" w:themeFill="background1"/>
            <w:noWrap/>
            <w:hideMark/>
          </w:tcPr>
          <w:p w14:paraId="085B9789" w14:textId="28772D6A" w:rsidR="00261FEF" w:rsidRPr="00B50775" w:rsidRDefault="00261FEF" w:rsidP="00261FEF">
            <w:pPr>
              <w:jc w:val="right"/>
              <w:rPr>
                <w:noProof/>
                <w:sz w:val="20"/>
                <w:szCs w:val="20"/>
              </w:rPr>
            </w:pPr>
            <w:r w:rsidRPr="00B50775">
              <w:rPr>
                <w:noProof/>
                <w:sz w:val="20"/>
                <w:szCs w:val="20"/>
              </w:rPr>
              <w:t>41</w:t>
            </w:r>
          </w:p>
        </w:tc>
        <w:tc>
          <w:tcPr>
            <w:tcW w:w="1013" w:type="dxa"/>
            <w:tcBorders>
              <w:top w:val="nil"/>
              <w:left w:val="nil"/>
              <w:bottom w:val="single" w:sz="4" w:space="0" w:color="auto"/>
              <w:right w:val="single" w:sz="4" w:space="0" w:color="auto"/>
            </w:tcBorders>
            <w:shd w:val="clear" w:color="auto" w:fill="FFFFFF" w:themeFill="background1"/>
            <w:noWrap/>
            <w:hideMark/>
          </w:tcPr>
          <w:p w14:paraId="3CD10E14" w14:textId="7F15FBB8" w:rsidR="00261FEF" w:rsidRPr="00B50775" w:rsidRDefault="00261FEF" w:rsidP="00261FEF">
            <w:pPr>
              <w:jc w:val="right"/>
              <w:rPr>
                <w:noProof/>
                <w:sz w:val="20"/>
                <w:szCs w:val="20"/>
              </w:rPr>
            </w:pPr>
            <w:r w:rsidRPr="00B50775">
              <w:rPr>
                <w:noProof/>
                <w:sz w:val="20"/>
                <w:szCs w:val="20"/>
              </w:rPr>
              <w:t>34</w:t>
            </w:r>
          </w:p>
        </w:tc>
      </w:tr>
      <w:tr w:rsidR="00261FEF" w:rsidRPr="00D55D0E" w14:paraId="1DC7D0F6" w14:textId="77777777" w:rsidTr="00B50775">
        <w:trPr>
          <w:trHeight w:val="255"/>
        </w:trPr>
        <w:tc>
          <w:tcPr>
            <w:tcW w:w="5552" w:type="dxa"/>
            <w:tcBorders>
              <w:top w:val="nil"/>
              <w:left w:val="single" w:sz="4" w:space="0" w:color="auto"/>
              <w:bottom w:val="single" w:sz="4" w:space="0" w:color="auto"/>
              <w:right w:val="single" w:sz="4" w:space="0" w:color="auto"/>
            </w:tcBorders>
            <w:noWrap/>
            <w:hideMark/>
          </w:tcPr>
          <w:p w14:paraId="53717141" w14:textId="56B0ACAC" w:rsidR="00261FEF" w:rsidRPr="004E336D" w:rsidRDefault="00261FEF" w:rsidP="00261FEF">
            <w:pPr>
              <w:rPr>
                <w:noProof/>
                <w:color w:val="000000"/>
                <w:sz w:val="20"/>
                <w:szCs w:val="20"/>
              </w:rPr>
            </w:pPr>
            <w:r w:rsidRPr="004E336D">
              <w:rPr>
                <w:noProof/>
                <w:color w:val="000000"/>
                <w:sz w:val="20"/>
                <w:szCs w:val="20"/>
              </w:rPr>
              <w:t xml:space="preserve">Total adjustment cost savings for </w:t>
            </w:r>
            <w:r>
              <w:rPr>
                <w:noProof/>
                <w:color w:val="000000"/>
                <w:sz w:val="20"/>
                <w:szCs w:val="20"/>
              </w:rPr>
              <w:t>non-SME</w:t>
            </w:r>
            <w:r w:rsidRPr="004E336D">
              <w:rPr>
                <w:noProof/>
                <w:color w:val="000000"/>
                <w:sz w:val="20"/>
                <w:szCs w:val="20"/>
              </w:rPr>
              <w:t xml:space="preserve"> operators (million EUR)</w:t>
            </w:r>
          </w:p>
        </w:tc>
        <w:tc>
          <w:tcPr>
            <w:tcW w:w="1012" w:type="dxa"/>
            <w:tcBorders>
              <w:top w:val="nil"/>
              <w:left w:val="nil"/>
              <w:bottom w:val="single" w:sz="4" w:space="0" w:color="auto"/>
              <w:right w:val="single" w:sz="4" w:space="0" w:color="auto"/>
            </w:tcBorders>
            <w:shd w:val="clear" w:color="auto" w:fill="FFFFFF" w:themeFill="background1"/>
            <w:noWrap/>
            <w:hideMark/>
          </w:tcPr>
          <w:p w14:paraId="4212BCBB" w14:textId="0966B53D" w:rsidR="00261FEF" w:rsidRPr="00B50775" w:rsidRDefault="00261FEF" w:rsidP="00261FEF">
            <w:pPr>
              <w:jc w:val="right"/>
              <w:rPr>
                <w:noProof/>
                <w:sz w:val="20"/>
                <w:szCs w:val="20"/>
              </w:rPr>
            </w:pPr>
            <w:r w:rsidRPr="00B50775">
              <w:rPr>
                <w:noProof/>
                <w:sz w:val="20"/>
                <w:szCs w:val="20"/>
              </w:rPr>
              <w:t>1.1</w:t>
            </w:r>
          </w:p>
        </w:tc>
        <w:tc>
          <w:tcPr>
            <w:tcW w:w="1013" w:type="dxa"/>
            <w:tcBorders>
              <w:top w:val="nil"/>
              <w:left w:val="nil"/>
              <w:bottom w:val="single" w:sz="4" w:space="0" w:color="auto"/>
              <w:right w:val="single" w:sz="4" w:space="0" w:color="auto"/>
            </w:tcBorders>
            <w:shd w:val="clear" w:color="auto" w:fill="FFFFFF" w:themeFill="background1"/>
            <w:noWrap/>
            <w:hideMark/>
          </w:tcPr>
          <w:p w14:paraId="63DF1DE9" w14:textId="44438E25" w:rsidR="00261FEF" w:rsidRPr="00B50775" w:rsidRDefault="00261FEF" w:rsidP="00261FEF">
            <w:pPr>
              <w:jc w:val="right"/>
              <w:rPr>
                <w:noProof/>
                <w:sz w:val="20"/>
                <w:szCs w:val="20"/>
              </w:rPr>
            </w:pPr>
            <w:r w:rsidRPr="00B50775">
              <w:rPr>
                <w:noProof/>
                <w:sz w:val="20"/>
                <w:szCs w:val="20"/>
              </w:rPr>
              <w:t>0.4</w:t>
            </w:r>
          </w:p>
        </w:tc>
        <w:tc>
          <w:tcPr>
            <w:tcW w:w="1013" w:type="dxa"/>
            <w:tcBorders>
              <w:top w:val="nil"/>
              <w:left w:val="nil"/>
              <w:bottom w:val="single" w:sz="4" w:space="0" w:color="auto"/>
              <w:right w:val="single" w:sz="4" w:space="0" w:color="auto"/>
            </w:tcBorders>
            <w:shd w:val="clear" w:color="auto" w:fill="FFFFFF" w:themeFill="background1"/>
            <w:noWrap/>
            <w:hideMark/>
          </w:tcPr>
          <w:p w14:paraId="018B5488" w14:textId="6EB108FD" w:rsidR="00261FEF" w:rsidRPr="00B50775" w:rsidRDefault="00261FEF" w:rsidP="00261FEF">
            <w:pPr>
              <w:jc w:val="right"/>
              <w:rPr>
                <w:noProof/>
                <w:sz w:val="20"/>
                <w:szCs w:val="20"/>
              </w:rPr>
            </w:pPr>
            <w:r w:rsidRPr="00B50775">
              <w:rPr>
                <w:noProof/>
                <w:sz w:val="20"/>
                <w:szCs w:val="20"/>
              </w:rPr>
              <w:t>1.0</w:t>
            </w:r>
          </w:p>
        </w:tc>
        <w:tc>
          <w:tcPr>
            <w:tcW w:w="1013" w:type="dxa"/>
            <w:tcBorders>
              <w:top w:val="nil"/>
              <w:left w:val="nil"/>
              <w:bottom w:val="single" w:sz="4" w:space="0" w:color="auto"/>
              <w:right w:val="single" w:sz="4" w:space="0" w:color="auto"/>
            </w:tcBorders>
            <w:shd w:val="clear" w:color="auto" w:fill="FFFFFF" w:themeFill="background1"/>
            <w:noWrap/>
            <w:hideMark/>
          </w:tcPr>
          <w:p w14:paraId="59369390" w14:textId="18B2D32A" w:rsidR="00261FEF" w:rsidRPr="00B50775" w:rsidRDefault="00261FEF" w:rsidP="00261FEF">
            <w:pPr>
              <w:jc w:val="right"/>
              <w:rPr>
                <w:noProof/>
                <w:sz w:val="20"/>
                <w:szCs w:val="20"/>
              </w:rPr>
            </w:pPr>
            <w:r w:rsidRPr="00B50775">
              <w:rPr>
                <w:noProof/>
                <w:sz w:val="20"/>
                <w:szCs w:val="20"/>
              </w:rPr>
              <w:t>0.6</w:t>
            </w:r>
          </w:p>
        </w:tc>
      </w:tr>
      <w:tr w:rsidR="00261FEF" w:rsidRPr="00D55D0E" w14:paraId="09A3E6FC" w14:textId="77777777" w:rsidTr="00B50775">
        <w:trPr>
          <w:trHeight w:val="255"/>
        </w:trPr>
        <w:tc>
          <w:tcPr>
            <w:tcW w:w="5552" w:type="dxa"/>
            <w:tcBorders>
              <w:top w:val="nil"/>
              <w:left w:val="single" w:sz="4" w:space="0" w:color="auto"/>
              <w:bottom w:val="single" w:sz="4" w:space="0" w:color="auto"/>
              <w:right w:val="single" w:sz="4" w:space="0" w:color="auto"/>
            </w:tcBorders>
            <w:noWrap/>
            <w:hideMark/>
          </w:tcPr>
          <w:p w14:paraId="15A81D8D" w14:textId="77777777" w:rsidR="00261FEF" w:rsidRPr="004E336D" w:rsidRDefault="00261FEF" w:rsidP="00261FEF">
            <w:pPr>
              <w:rPr>
                <w:noProof/>
                <w:color w:val="000000"/>
                <w:sz w:val="20"/>
                <w:szCs w:val="20"/>
              </w:rPr>
            </w:pPr>
            <w:r w:rsidRPr="004E336D">
              <w:rPr>
                <w:noProof/>
                <w:color w:val="000000"/>
                <w:sz w:val="20"/>
                <w:szCs w:val="20"/>
              </w:rPr>
              <w:t>Total adjustment cost savings for SME operators (million EUR)</w:t>
            </w:r>
          </w:p>
        </w:tc>
        <w:tc>
          <w:tcPr>
            <w:tcW w:w="1012" w:type="dxa"/>
            <w:tcBorders>
              <w:top w:val="nil"/>
              <w:left w:val="nil"/>
              <w:bottom w:val="single" w:sz="4" w:space="0" w:color="auto"/>
              <w:right w:val="single" w:sz="4" w:space="0" w:color="auto"/>
            </w:tcBorders>
            <w:shd w:val="clear" w:color="auto" w:fill="FFFFFF" w:themeFill="background1"/>
            <w:noWrap/>
            <w:hideMark/>
          </w:tcPr>
          <w:p w14:paraId="6D8255D4" w14:textId="1F5BB279" w:rsidR="00261FEF" w:rsidRPr="00B50775" w:rsidRDefault="00261FEF" w:rsidP="00261FEF">
            <w:pPr>
              <w:jc w:val="right"/>
              <w:rPr>
                <w:noProof/>
                <w:sz w:val="20"/>
                <w:szCs w:val="20"/>
              </w:rPr>
            </w:pPr>
            <w:r w:rsidRPr="00B50775">
              <w:rPr>
                <w:noProof/>
                <w:sz w:val="20"/>
                <w:szCs w:val="20"/>
              </w:rPr>
              <w:t>0.1</w:t>
            </w:r>
          </w:p>
        </w:tc>
        <w:tc>
          <w:tcPr>
            <w:tcW w:w="1013" w:type="dxa"/>
            <w:tcBorders>
              <w:top w:val="nil"/>
              <w:left w:val="nil"/>
              <w:bottom w:val="single" w:sz="4" w:space="0" w:color="auto"/>
              <w:right w:val="single" w:sz="4" w:space="0" w:color="auto"/>
            </w:tcBorders>
            <w:shd w:val="clear" w:color="auto" w:fill="FFFFFF" w:themeFill="background1"/>
            <w:noWrap/>
            <w:hideMark/>
          </w:tcPr>
          <w:p w14:paraId="3C239B47" w14:textId="1BDA98FC" w:rsidR="00261FEF" w:rsidRPr="00B50775" w:rsidRDefault="00261FEF" w:rsidP="00261FEF">
            <w:pPr>
              <w:jc w:val="right"/>
              <w:rPr>
                <w:noProof/>
                <w:sz w:val="20"/>
                <w:szCs w:val="20"/>
              </w:rPr>
            </w:pPr>
            <w:r w:rsidRPr="00B50775">
              <w:rPr>
                <w:noProof/>
                <w:sz w:val="20"/>
                <w:szCs w:val="20"/>
              </w:rPr>
              <w:t>0.0</w:t>
            </w:r>
          </w:p>
        </w:tc>
        <w:tc>
          <w:tcPr>
            <w:tcW w:w="1013" w:type="dxa"/>
            <w:tcBorders>
              <w:top w:val="nil"/>
              <w:left w:val="nil"/>
              <w:bottom w:val="single" w:sz="4" w:space="0" w:color="auto"/>
              <w:right w:val="single" w:sz="4" w:space="0" w:color="auto"/>
            </w:tcBorders>
            <w:shd w:val="clear" w:color="auto" w:fill="FFFFFF" w:themeFill="background1"/>
            <w:noWrap/>
            <w:hideMark/>
          </w:tcPr>
          <w:p w14:paraId="3D08D6F9" w14:textId="2C2BCAE6" w:rsidR="00261FEF" w:rsidRPr="00B50775" w:rsidRDefault="00261FEF" w:rsidP="00261FEF">
            <w:pPr>
              <w:jc w:val="right"/>
              <w:rPr>
                <w:noProof/>
                <w:sz w:val="20"/>
                <w:szCs w:val="20"/>
              </w:rPr>
            </w:pPr>
            <w:r w:rsidRPr="00B50775">
              <w:rPr>
                <w:noProof/>
                <w:sz w:val="20"/>
                <w:szCs w:val="20"/>
              </w:rPr>
              <w:t>0.1</w:t>
            </w:r>
          </w:p>
        </w:tc>
        <w:tc>
          <w:tcPr>
            <w:tcW w:w="1013" w:type="dxa"/>
            <w:tcBorders>
              <w:top w:val="nil"/>
              <w:left w:val="nil"/>
              <w:bottom w:val="single" w:sz="4" w:space="0" w:color="auto"/>
              <w:right w:val="single" w:sz="4" w:space="0" w:color="auto"/>
            </w:tcBorders>
            <w:shd w:val="clear" w:color="auto" w:fill="FFFFFF" w:themeFill="background1"/>
            <w:noWrap/>
            <w:hideMark/>
          </w:tcPr>
          <w:p w14:paraId="172BE2AE" w14:textId="27139ABF" w:rsidR="00261FEF" w:rsidRPr="00B50775" w:rsidRDefault="00261FEF" w:rsidP="00261FEF">
            <w:pPr>
              <w:jc w:val="right"/>
              <w:rPr>
                <w:noProof/>
                <w:sz w:val="20"/>
                <w:szCs w:val="20"/>
              </w:rPr>
            </w:pPr>
            <w:r w:rsidRPr="00B50775">
              <w:rPr>
                <w:noProof/>
                <w:sz w:val="20"/>
                <w:szCs w:val="20"/>
              </w:rPr>
              <w:t>0.0</w:t>
            </w:r>
          </w:p>
        </w:tc>
      </w:tr>
      <w:tr w:rsidR="00261FEF" w:rsidRPr="00CA53D5" w14:paraId="24EE569D" w14:textId="77777777" w:rsidTr="00B50775">
        <w:trPr>
          <w:trHeight w:val="255"/>
        </w:trPr>
        <w:tc>
          <w:tcPr>
            <w:tcW w:w="5552" w:type="dxa"/>
            <w:tcBorders>
              <w:top w:val="nil"/>
              <w:left w:val="single" w:sz="4" w:space="0" w:color="auto"/>
              <w:bottom w:val="single" w:sz="4" w:space="0" w:color="auto"/>
              <w:right w:val="single" w:sz="4" w:space="0" w:color="auto"/>
            </w:tcBorders>
            <w:noWrap/>
            <w:hideMark/>
          </w:tcPr>
          <w:p w14:paraId="6FE106BE" w14:textId="77777777" w:rsidR="00261FEF" w:rsidRPr="004E336D" w:rsidRDefault="00261FEF" w:rsidP="00261FEF">
            <w:pPr>
              <w:rPr>
                <w:b/>
                <w:noProof/>
                <w:color w:val="000000"/>
                <w:sz w:val="20"/>
                <w:szCs w:val="20"/>
              </w:rPr>
            </w:pPr>
            <w:r w:rsidRPr="004E336D">
              <w:rPr>
                <w:b/>
                <w:noProof/>
                <w:color w:val="000000"/>
                <w:sz w:val="20"/>
                <w:szCs w:val="20"/>
              </w:rPr>
              <w:t>PO3</w:t>
            </w:r>
          </w:p>
        </w:tc>
        <w:tc>
          <w:tcPr>
            <w:tcW w:w="1012" w:type="dxa"/>
            <w:tcBorders>
              <w:top w:val="nil"/>
              <w:left w:val="nil"/>
              <w:bottom w:val="single" w:sz="4" w:space="0" w:color="auto"/>
              <w:right w:val="single" w:sz="4" w:space="0" w:color="auto"/>
            </w:tcBorders>
            <w:shd w:val="clear" w:color="auto" w:fill="FFFFFF" w:themeFill="background1"/>
            <w:noWrap/>
            <w:hideMark/>
          </w:tcPr>
          <w:p w14:paraId="26CCA5E1" w14:textId="362445EA" w:rsidR="00261FEF" w:rsidRPr="00B50775" w:rsidRDefault="00261FEF" w:rsidP="00261FEF">
            <w:pPr>
              <w:rPr>
                <w:noProof/>
                <w:sz w:val="20"/>
                <w:szCs w:val="20"/>
              </w:rPr>
            </w:pPr>
            <w:r w:rsidRPr="00B50775">
              <w:rPr>
                <w:noProof/>
                <w:sz w:val="20"/>
                <w:szCs w:val="20"/>
              </w:rPr>
              <w:t> </w:t>
            </w:r>
          </w:p>
        </w:tc>
        <w:tc>
          <w:tcPr>
            <w:tcW w:w="1013" w:type="dxa"/>
            <w:tcBorders>
              <w:top w:val="nil"/>
              <w:left w:val="nil"/>
              <w:bottom w:val="single" w:sz="4" w:space="0" w:color="auto"/>
              <w:right w:val="single" w:sz="4" w:space="0" w:color="auto"/>
            </w:tcBorders>
            <w:shd w:val="clear" w:color="auto" w:fill="FFFFFF" w:themeFill="background1"/>
            <w:noWrap/>
            <w:hideMark/>
          </w:tcPr>
          <w:p w14:paraId="14047026" w14:textId="289AE226" w:rsidR="00261FEF" w:rsidRPr="00B50775" w:rsidRDefault="00261FEF" w:rsidP="00261FEF">
            <w:pPr>
              <w:rPr>
                <w:noProof/>
                <w:sz w:val="20"/>
                <w:szCs w:val="20"/>
              </w:rPr>
            </w:pPr>
            <w:r w:rsidRPr="00B50775">
              <w:rPr>
                <w:noProof/>
                <w:sz w:val="20"/>
                <w:szCs w:val="20"/>
              </w:rPr>
              <w:t> </w:t>
            </w:r>
          </w:p>
        </w:tc>
        <w:tc>
          <w:tcPr>
            <w:tcW w:w="1013" w:type="dxa"/>
            <w:tcBorders>
              <w:top w:val="nil"/>
              <w:left w:val="nil"/>
              <w:bottom w:val="single" w:sz="4" w:space="0" w:color="auto"/>
              <w:right w:val="single" w:sz="4" w:space="0" w:color="auto"/>
            </w:tcBorders>
            <w:shd w:val="clear" w:color="auto" w:fill="FFFFFF" w:themeFill="background1"/>
            <w:noWrap/>
            <w:hideMark/>
          </w:tcPr>
          <w:p w14:paraId="094F1941" w14:textId="58E291DD" w:rsidR="00261FEF" w:rsidRPr="00B50775" w:rsidRDefault="00261FEF" w:rsidP="00261FEF">
            <w:pPr>
              <w:rPr>
                <w:noProof/>
                <w:sz w:val="20"/>
                <w:szCs w:val="20"/>
              </w:rPr>
            </w:pPr>
            <w:r w:rsidRPr="00B50775">
              <w:rPr>
                <w:noProof/>
                <w:sz w:val="20"/>
                <w:szCs w:val="20"/>
              </w:rPr>
              <w:t> </w:t>
            </w:r>
          </w:p>
        </w:tc>
        <w:tc>
          <w:tcPr>
            <w:tcW w:w="1013" w:type="dxa"/>
            <w:tcBorders>
              <w:top w:val="nil"/>
              <w:left w:val="nil"/>
              <w:bottom w:val="single" w:sz="4" w:space="0" w:color="auto"/>
              <w:right w:val="single" w:sz="4" w:space="0" w:color="auto"/>
            </w:tcBorders>
            <w:shd w:val="clear" w:color="auto" w:fill="FFFFFF" w:themeFill="background1"/>
            <w:noWrap/>
            <w:hideMark/>
          </w:tcPr>
          <w:p w14:paraId="3A8895F9" w14:textId="07029EC2" w:rsidR="00261FEF" w:rsidRPr="00B50775" w:rsidRDefault="00261FEF" w:rsidP="00261FEF">
            <w:pPr>
              <w:rPr>
                <w:noProof/>
                <w:sz w:val="20"/>
                <w:szCs w:val="20"/>
              </w:rPr>
            </w:pPr>
            <w:r w:rsidRPr="00B50775">
              <w:rPr>
                <w:noProof/>
                <w:sz w:val="20"/>
                <w:szCs w:val="20"/>
              </w:rPr>
              <w:t> </w:t>
            </w:r>
          </w:p>
        </w:tc>
      </w:tr>
      <w:tr w:rsidR="00261FEF" w:rsidRPr="00CA53D5" w14:paraId="1A45E3E2" w14:textId="77777777" w:rsidTr="00B50775">
        <w:trPr>
          <w:trHeight w:val="225"/>
        </w:trPr>
        <w:tc>
          <w:tcPr>
            <w:tcW w:w="5552" w:type="dxa"/>
            <w:tcBorders>
              <w:top w:val="nil"/>
              <w:left w:val="single" w:sz="4" w:space="0" w:color="auto"/>
              <w:bottom w:val="single" w:sz="4" w:space="0" w:color="auto"/>
              <w:right w:val="single" w:sz="4" w:space="0" w:color="auto"/>
            </w:tcBorders>
            <w:noWrap/>
            <w:hideMark/>
          </w:tcPr>
          <w:p w14:paraId="667D80C0" w14:textId="075DD049" w:rsidR="00261FEF" w:rsidRPr="004E336D" w:rsidRDefault="00261FEF" w:rsidP="00261FEF">
            <w:pPr>
              <w:rPr>
                <w:noProof/>
                <w:color w:val="000000"/>
                <w:sz w:val="20"/>
                <w:szCs w:val="20"/>
              </w:rPr>
            </w:pPr>
            <w:r w:rsidRPr="3FCE22BE">
              <w:rPr>
                <w:noProof/>
                <w:color w:val="000000" w:themeColor="text1"/>
                <w:sz w:val="20"/>
                <w:szCs w:val="20"/>
              </w:rPr>
              <w:t xml:space="preserve">New agreements made by </w:t>
            </w:r>
            <w:r>
              <w:rPr>
                <w:noProof/>
                <w:color w:val="000000" w:themeColor="text1"/>
                <w:sz w:val="20"/>
                <w:szCs w:val="20"/>
              </w:rPr>
              <w:t>non-SME</w:t>
            </w:r>
            <w:r w:rsidRPr="3FCE22BE">
              <w:rPr>
                <w:noProof/>
                <w:color w:val="000000" w:themeColor="text1"/>
                <w:sz w:val="20"/>
                <w:szCs w:val="20"/>
              </w:rPr>
              <w:t xml:space="preserve"> operators (changes relative to the baseline)</w:t>
            </w:r>
          </w:p>
        </w:tc>
        <w:tc>
          <w:tcPr>
            <w:tcW w:w="1012" w:type="dxa"/>
            <w:tcBorders>
              <w:top w:val="nil"/>
              <w:left w:val="nil"/>
              <w:bottom w:val="single" w:sz="4" w:space="0" w:color="auto"/>
              <w:right w:val="single" w:sz="4" w:space="0" w:color="auto"/>
            </w:tcBorders>
            <w:shd w:val="clear" w:color="auto" w:fill="FFFFFF" w:themeFill="background1"/>
            <w:noWrap/>
            <w:hideMark/>
          </w:tcPr>
          <w:p w14:paraId="77C13D08" w14:textId="0A91394B" w:rsidR="00261FEF" w:rsidRPr="00B50775" w:rsidRDefault="00261FEF" w:rsidP="00261FEF">
            <w:pPr>
              <w:jc w:val="right"/>
              <w:rPr>
                <w:noProof/>
                <w:sz w:val="20"/>
                <w:szCs w:val="20"/>
              </w:rPr>
            </w:pPr>
            <w:r w:rsidRPr="00B50775">
              <w:rPr>
                <w:noProof/>
                <w:sz w:val="20"/>
                <w:szCs w:val="20"/>
              </w:rPr>
              <w:t>449</w:t>
            </w:r>
          </w:p>
        </w:tc>
        <w:tc>
          <w:tcPr>
            <w:tcW w:w="1013" w:type="dxa"/>
            <w:tcBorders>
              <w:top w:val="nil"/>
              <w:left w:val="nil"/>
              <w:bottom w:val="single" w:sz="4" w:space="0" w:color="auto"/>
              <w:right w:val="single" w:sz="4" w:space="0" w:color="auto"/>
            </w:tcBorders>
            <w:shd w:val="clear" w:color="auto" w:fill="FFFFFF" w:themeFill="background1"/>
            <w:noWrap/>
            <w:hideMark/>
          </w:tcPr>
          <w:p w14:paraId="4B4F62B4" w14:textId="004FAA4C" w:rsidR="00261FEF" w:rsidRPr="00B50775" w:rsidRDefault="00261FEF" w:rsidP="00261FEF">
            <w:pPr>
              <w:jc w:val="right"/>
              <w:rPr>
                <w:noProof/>
                <w:sz w:val="20"/>
                <w:szCs w:val="20"/>
              </w:rPr>
            </w:pPr>
            <w:r w:rsidRPr="00B50775">
              <w:rPr>
                <w:noProof/>
                <w:sz w:val="20"/>
                <w:szCs w:val="20"/>
              </w:rPr>
              <w:t>78</w:t>
            </w:r>
          </w:p>
        </w:tc>
        <w:tc>
          <w:tcPr>
            <w:tcW w:w="1013" w:type="dxa"/>
            <w:tcBorders>
              <w:top w:val="nil"/>
              <w:left w:val="nil"/>
              <w:bottom w:val="single" w:sz="4" w:space="0" w:color="auto"/>
              <w:right w:val="single" w:sz="4" w:space="0" w:color="auto"/>
            </w:tcBorders>
            <w:shd w:val="clear" w:color="auto" w:fill="FFFFFF" w:themeFill="background1"/>
            <w:noWrap/>
            <w:hideMark/>
          </w:tcPr>
          <w:p w14:paraId="3F8A648A" w14:textId="0B44D3FE" w:rsidR="00261FEF" w:rsidRPr="00B50775" w:rsidRDefault="00261FEF" w:rsidP="00261FEF">
            <w:pPr>
              <w:jc w:val="right"/>
              <w:rPr>
                <w:noProof/>
                <w:sz w:val="20"/>
                <w:szCs w:val="20"/>
              </w:rPr>
            </w:pPr>
            <w:r w:rsidRPr="00B50775">
              <w:rPr>
                <w:noProof/>
                <w:sz w:val="20"/>
                <w:szCs w:val="20"/>
              </w:rPr>
              <w:t>112</w:t>
            </w:r>
          </w:p>
        </w:tc>
        <w:tc>
          <w:tcPr>
            <w:tcW w:w="1013" w:type="dxa"/>
            <w:tcBorders>
              <w:top w:val="nil"/>
              <w:left w:val="nil"/>
              <w:bottom w:val="single" w:sz="4" w:space="0" w:color="auto"/>
              <w:right w:val="single" w:sz="4" w:space="0" w:color="auto"/>
            </w:tcBorders>
            <w:shd w:val="clear" w:color="auto" w:fill="FFFFFF" w:themeFill="background1"/>
            <w:noWrap/>
            <w:hideMark/>
          </w:tcPr>
          <w:p w14:paraId="3B3FD11C" w14:textId="6A857B75" w:rsidR="00261FEF" w:rsidRPr="00B50775" w:rsidRDefault="00261FEF" w:rsidP="00261FEF">
            <w:pPr>
              <w:jc w:val="right"/>
              <w:rPr>
                <w:noProof/>
                <w:sz w:val="20"/>
                <w:szCs w:val="20"/>
              </w:rPr>
            </w:pPr>
            <w:r w:rsidRPr="00B50775">
              <w:rPr>
                <w:noProof/>
                <w:sz w:val="20"/>
                <w:szCs w:val="20"/>
              </w:rPr>
              <w:t>0</w:t>
            </w:r>
          </w:p>
        </w:tc>
      </w:tr>
      <w:tr w:rsidR="00261FEF" w:rsidRPr="00CA53D5" w14:paraId="213AF1C4" w14:textId="77777777" w:rsidTr="00B50775">
        <w:trPr>
          <w:trHeight w:val="225"/>
        </w:trPr>
        <w:tc>
          <w:tcPr>
            <w:tcW w:w="5552" w:type="dxa"/>
            <w:tcBorders>
              <w:top w:val="nil"/>
              <w:left w:val="single" w:sz="4" w:space="0" w:color="auto"/>
              <w:bottom w:val="single" w:sz="4" w:space="0" w:color="auto"/>
              <w:right w:val="single" w:sz="4" w:space="0" w:color="auto"/>
            </w:tcBorders>
            <w:noWrap/>
            <w:hideMark/>
          </w:tcPr>
          <w:p w14:paraId="06441E3C" w14:textId="305EAD5F" w:rsidR="00261FEF" w:rsidRPr="004E336D" w:rsidRDefault="00261FEF" w:rsidP="00261FEF">
            <w:pPr>
              <w:rPr>
                <w:noProof/>
                <w:color w:val="000000"/>
                <w:sz w:val="20"/>
                <w:szCs w:val="20"/>
              </w:rPr>
            </w:pPr>
            <w:r w:rsidRPr="3FCE22BE">
              <w:rPr>
                <w:noProof/>
                <w:color w:val="000000" w:themeColor="text1"/>
                <w:sz w:val="20"/>
                <w:szCs w:val="20"/>
              </w:rPr>
              <w:t>New agreements made by SME operators (changes relative to the baseline)</w:t>
            </w:r>
          </w:p>
        </w:tc>
        <w:tc>
          <w:tcPr>
            <w:tcW w:w="1012" w:type="dxa"/>
            <w:tcBorders>
              <w:top w:val="nil"/>
              <w:left w:val="nil"/>
              <w:bottom w:val="single" w:sz="4" w:space="0" w:color="auto"/>
              <w:right w:val="single" w:sz="4" w:space="0" w:color="auto"/>
            </w:tcBorders>
            <w:shd w:val="clear" w:color="auto" w:fill="FFFFFF" w:themeFill="background1"/>
            <w:noWrap/>
            <w:hideMark/>
          </w:tcPr>
          <w:p w14:paraId="7E48A20F" w14:textId="1DDE2AF6" w:rsidR="00261FEF" w:rsidRPr="00B50775" w:rsidRDefault="00261FEF" w:rsidP="00261FEF">
            <w:pPr>
              <w:jc w:val="right"/>
              <w:rPr>
                <w:noProof/>
                <w:sz w:val="20"/>
                <w:szCs w:val="20"/>
              </w:rPr>
            </w:pPr>
            <w:r w:rsidRPr="00B50775">
              <w:rPr>
                <w:noProof/>
                <w:sz w:val="20"/>
                <w:szCs w:val="20"/>
              </w:rPr>
              <w:t>29</w:t>
            </w:r>
          </w:p>
        </w:tc>
        <w:tc>
          <w:tcPr>
            <w:tcW w:w="1013" w:type="dxa"/>
            <w:tcBorders>
              <w:top w:val="nil"/>
              <w:left w:val="nil"/>
              <w:bottom w:val="single" w:sz="4" w:space="0" w:color="auto"/>
              <w:right w:val="single" w:sz="4" w:space="0" w:color="auto"/>
            </w:tcBorders>
            <w:shd w:val="clear" w:color="auto" w:fill="FFFFFF" w:themeFill="background1"/>
            <w:noWrap/>
            <w:hideMark/>
          </w:tcPr>
          <w:p w14:paraId="437E177B" w14:textId="6F22E666" w:rsidR="00261FEF" w:rsidRPr="00B50775" w:rsidRDefault="00261FEF" w:rsidP="00261FEF">
            <w:pPr>
              <w:jc w:val="right"/>
              <w:rPr>
                <w:noProof/>
                <w:sz w:val="20"/>
                <w:szCs w:val="20"/>
              </w:rPr>
            </w:pPr>
            <w:r w:rsidRPr="00B50775">
              <w:rPr>
                <w:noProof/>
                <w:sz w:val="20"/>
                <w:szCs w:val="20"/>
              </w:rPr>
              <w:t>5</w:t>
            </w:r>
          </w:p>
        </w:tc>
        <w:tc>
          <w:tcPr>
            <w:tcW w:w="1013" w:type="dxa"/>
            <w:tcBorders>
              <w:top w:val="nil"/>
              <w:left w:val="nil"/>
              <w:bottom w:val="single" w:sz="4" w:space="0" w:color="auto"/>
              <w:right w:val="single" w:sz="4" w:space="0" w:color="auto"/>
            </w:tcBorders>
            <w:shd w:val="clear" w:color="auto" w:fill="FFFFFF" w:themeFill="background1"/>
            <w:noWrap/>
            <w:hideMark/>
          </w:tcPr>
          <w:p w14:paraId="5757913D" w14:textId="28EDB863" w:rsidR="00261FEF" w:rsidRPr="00B50775" w:rsidRDefault="00261FEF" w:rsidP="00261FEF">
            <w:pPr>
              <w:jc w:val="right"/>
              <w:rPr>
                <w:noProof/>
                <w:sz w:val="20"/>
                <w:szCs w:val="20"/>
              </w:rPr>
            </w:pPr>
            <w:r w:rsidRPr="00B50775">
              <w:rPr>
                <w:noProof/>
                <w:sz w:val="20"/>
                <w:szCs w:val="20"/>
              </w:rPr>
              <w:t>7</w:t>
            </w:r>
          </w:p>
        </w:tc>
        <w:tc>
          <w:tcPr>
            <w:tcW w:w="1013" w:type="dxa"/>
            <w:tcBorders>
              <w:top w:val="nil"/>
              <w:left w:val="nil"/>
              <w:bottom w:val="single" w:sz="4" w:space="0" w:color="auto"/>
              <w:right w:val="single" w:sz="4" w:space="0" w:color="auto"/>
            </w:tcBorders>
            <w:shd w:val="clear" w:color="auto" w:fill="FFFFFF" w:themeFill="background1"/>
            <w:noWrap/>
            <w:hideMark/>
          </w:tcPr>
          <w:p w14:paraId="556BBCE8" w14:textId="42C78601" w:rsidR="00261FEF" w:rsidRPr="00B50775" w:rsidRDefault="00261FEF" w:rsidP="00261FEF">
            <w:pPr>
              <w:jc w:val="right"/>
              <w:rPr>
                <w:noProof/>
                <w:sz w:val="20"/>
                <w:szCs w:val="20"/>
              </w:rPr>
            </w:pPr>
            <w:r w:rsidRPr="00B50775">
              <w:rPr>
                <w:noProof/>
                <w:sz w:val="20"/>
                <w:szCs w:val="20"/>
              </w:rPr>
              <w:t>0</w:t>
            </w:r>
          </w:p>
        </w:tc>
      </w:tr>
      <w:tr w:rsidR="00261FEF" w:rsidRPr="00CA53D5" w14:paraId="2C78F53B" w14:textId="77777777" w:rsidTr="00B50775">
        <w:trPr>
          <w:trHeight w:val="225"/>
        </w:trPr>
        <w:tc>
          <w:tcPr>
            <w:tcW w:w="5552" w:type="dxa"/>
            <w:tcBorders>
              <w:top w:val="nil"/>
              <w:left w:val="single" w:sz="4" w:space="0" w:color="auto"/>
              <w:bottom w:val="single" w:sz="4" w:space="0" w:color="auto"/>
              <w:right w:val="single" w:sz="4" w:space="0" w:color="auto"/>
            </w:tcBorders>
            <w:noWrap/>
            <w:hideMark/>
          </w:tcPr>
          <w:p w14:paraId="6D59ABBD" w14:textId="3B2DD773" w:rsidR="00261FEF" w:rsidRPr="004E336D" w:rsidRDefault="00261FEF" w:rsidP="00261FEF">
            <w:pPr>
              <w:rPr>
                <w:noProof/>
                <w:color w:val="000000"/>
                <w:sz w:val="20"/>
                <w:szCs w:val="20"/>
              </w:rPr>
            </w:pPr>
            <w:r w:rsidRPr="3FCE22BE">
              <w:rPr>
                <w:noProof/>
                <w:color w:val="000000" w:themeColor="text1"/>
                <w:sz w:val="20"/>
                <w:szCs w:val="20"/>
              </w:rPr>
              <w:t xml:space="preserve">Renegotiated agreements made by </w:t>
            </w:r>
            <w:r>
              <w:rPr>
                <w:noProof/>
                <w:color w:val="000000" w:themeColor="text1"/>
                <w:sz w:val="20"/>
                <w:szCs w:val="20"/>
              </w:rPr>
              <w:t>non-SME</w:t>
            </w:r>
            <w:r w:rsidRPr="3FCE22BE">
              <w:rPr>
                <w:noProof/>
                <w:color w:val="000000" w:themeColor="text1"/>
                <w:sz w:val="20"/>
                <w:szCs w:val="20"/>
              </w:rPr>
              <w:t xml:space="preserve"> operators (changes relative to the baseline)</w:t>
            </w:r>
          </w:p>
        </w:tc>
        <w:tc>
          <w:tcPr>
            <w:tcW w:w="1012" w:type="dxa"/>
            <w:tcBorders>
              <w:top w:val="nil"/>
              <w:left w:val="nil"/>
              <w:bottom w:val="single" w:sz="4" w:space="0" w:color="auto"/>
              <w:right w:val="single" w:sz="4" w:space="0" w:color="auto"/>
            </w:tcBorders>
            <w:shd w:val="clear" w:color="auto" w:fill="FFFFFF" w:themeFill="background1"/>
            <w:noWrap/>
            <w:hideMark/>
          </w:tcPr>
          <w:p w14:paraId="241E7310" w14:textId="7B6CBE9C" w:rsidR="00261FEF" w:rsidRPr="00B50775" w:rsidRDefault="00261FEF" w:rsidP="00261FEF">
            <w:pPr>
              <w:jc w:val="right"/>
              <w:rPr>
                <w:noProof/>
                <w:sz w:val="20"/>
                <w:szCs w:val="20"/>
              </w:rPr>
            </w:pPr>
            <w:r w:rsidRPr="00B50775">
              <w:rPr>
                <w:noProof/>
                <w:sz w:val="20"/>
                <w:szCs w:val="20"/>
              </w:rPr>
              <w:t>150</w:t>
            </w:r>
          </w:p>
        </w:tc>
        <w:tc>
          <w:tcPr>
            <w:tcW w:w="1013" w:type="dxa"/>
            <w:tcBorders>
              <w:top w:val="nil"/>
              <w:left w:val="nil"/>
              <w:bottom w:val="single" w:sz="4" w:space="0" w:color="auto"/>
              <w:right w:val="single" w:sz="4" w:space="0" w:color="auto"/>
            </w:tcBorders>
            <w:shd w:val="clear" w:color="auto" w:fill="FFFFFF" w:themeFill="background1"/>
            <w:noWrap/>
            <w:hideMark/>
          </w:tcPr>
          <w:p w14:paraId="3F30FAF7" w14:textId="15D9563E" w:rsidR="00261FEF" w:rsidRPr="00B50775" w:rsidRDefault="00261FEF" w:rsidP="00261FEF">
            <w:pPr>
              <w:jc w:val="right"/>
              <w:rPr>
                <w:noProof/>
                <w:sz w:val="20"/>
                <w:szCs w:val="20"/>
              </w:rPr>
            </w:pPr>
            <w:r w:rsidRPr="00B50775">
              <w:rPr>
                <w:noProof/>
                <w:sz w:val="20"/>
                <w:szCs w:val="20"/>
              </w:rPr>
              <w:t>196</w:t>
            </w:r>
          </w:p>
        </w:tc>
        <w:tc>
          <w:tcPr>
            <w:tcW w:w="1013" w:type="dxa"/>
            <w:tcBorders>
              <w:top w:val="nil"/>
              <w:left w:val="nil"/>
              <w:bottom w:val="single" w:sz="4" w:space="0" w:color="auto"/>
              <w:right w:val="single" w:sz="4" w:space="0" w:color="auto"/>
            </w:tcBorders>
            <w:shd w:val="clear" w:color="auto" w:fill="FFFFFF" w:themeFill="background1"/>
            <w:noWrap/>
            <w:hideMark/>
          </w:tcPr>
          <w:p w14:paraId="55189A84" w14:textId="4DCE4DD5" w:rsidR="00261FEF" w:rsidRPr="00B50775" w:rsidRDefault="00261FEF" w:rsidP="00261FEF">
            <w:pPr>
              <w:jc w:val="right"/>
              <w:rPr>
                <w:noProof/>
                <w:sz w:val="20"/>
                <w:szCs w:val="20"/>
              </w:rPr>
            </w:pPr>
            <w:r w:rsidRPr="00B50775">
              <w:rPr>
                <w:noProof/>
                <w:sz w:val="20"/>
                <w:szCs w:val="20"/>
              </w:rPr>
              <w:t>568</w:t>
            </w:r>
          </w:p>
        </w:tc>
        <w:tc>
          <w:tcPr>
            <w:tcW w:w="1013" w:type="dxa"/>
            <w:tcBorders>
              <w:top w:val="nil"/>
              <w:left w:val="nil"/>
              <w:bottom w:val="single" w:sz="4" w:space="0" w:color="auto"/>
              <w:right w:val="single" w:sz="4" w:space="0" w:color="auto"/>
            </w:tcBorders>
            <w:shd w:val="clear" w:color="auto" w:fill="FFFFFF" w:themeFill="background1"/>
            <w:noWrap/>
            <w:hideMark/>
          </w:tcPr>
          <w:p w14:paraId="2BEC8A0E" w14:textId="7E8CBEE4" w:rsidR="00261FEF" w:rsidRPr="00B50775" w:rsidRDefault="00261FEF" w:rsidP="00261FEF">
            <w:pPr>
              <w:jc w:val="right"/>
              <w:rPr>
                <w:noProof/>
                <w:sz w:val="20"/>
                <w:szCs w:val="20"/>
              </w:rPr>
            </w:pPr>
            <w:r w:rsidRPr="00B50775">
              <w:rPr>
                <w:noProof/>
                <w:sz w:val="20"/>
                <w:szCs w:val="20"/>
              </w:rPr>
              <w:t>534</w:t>
            </w:r>
          </w:p>
        </w:tc>
      </w:tr>
      <w:tr w:rsidR="00261FEF" w:rsidRPr="00CA53D5" w14:paraId="407E2221" w14:textId="77777777" w:rsidTr="00B50775">
        <w:trPr>
          <w:trHeight w:val="225"/>
        </w:trPr>
        <w:tc>
          <w:tcPr>
            <w:tcW w:w="5552" w:type="dxa"/>
            <w:tcBorders>
              <w:top w:val="nil"/>
              <w:left w:val="single" w:sz="4" w:space="0" w:color="auto"/>
              <w:bottom w:val="single" w:sz="4" w:space="0" w:color="auto"/>
              <w:right w:val="single" w:sz="4" w:space="0" w:color="auto"/>
            </w:tcBorders>
            <w:noWrap/>
            <w:hideMark/>
          </w:tcPr>
          <w:p w14:paraId="3764B07A" w14:textId="68AF2A9F" w:rsidR="00261FEF" w:rsidRPr="004E336D" w:rsidRDefault="00261FEF" w:rsidP="00261FEF">
            <w:pPr>
              <w:rPr>
                <w:noProof/>
                <w:color w:val="000000"/>
                <w:sz w:val="20"/>
                <w:szCs w:val="20"/>
              </w:rPr>
            </w:pPr>
            <w:r w:rsidRPr="3FCE22BE">
              <w:rPr>
                <w:noProof/>
                <w:color w:val="000000" w:themeColor="text1"/>
                <w:sz w:val="20"/>
                <w:szCs w:val="20"/>
              </w:rPr>
              <w:t>Renegotiated agreements made by SME operators (changes relative to the baseline)</w:t>
            </w:r>
          </w:p>
        </w:tc>
        <w:tc>
          <w:tcPr>
            <w:tcW w:w="1012" w:type="dxa"/>
            <w:tcBorders>
              <w:top w:val="nil"/>
              <w:left w:val="nil"/>
              <w:bottom w:val="single" w:sz="4" w:space="0" w:color="auto"/>
              <w:right w:val="single" w:sz="4" w:space="0" w:color="auto"/>
            </w:tcBorders>
            <w:shd w:val="clear" w:color="auto" w:fill="FFFFFF" w:themeFill="background1"/>
            <w:noWrap/>
            <w:hideMark/>
          </w:tcPr>
          <w:p w14:paraId="2CD2FC35" w14:textId="78841AD9" w:rsidR="00261FEF" w:rsidRPr="00B50775" w:rsidRDefault="00261FEF" w:rsidP="00261FEF">
            <w:pPr>
              <w:jc w:val="right"/>
              <w:rPr>
                <w:noProof/>
                <w:sz w:val="20"/>
                <w:szCs w:val="20"/>
              </w:rPr>
            </w:pPr>
            <w:r w:rsidRPr="00B50775">
              <w:rPr>
                <w:noProof/>
                <w:sz w:val="20"/>
                <w:szCs w:val="20"/>
              </w:rPr>
              <w:t>10</w:t>
            </w:r>
          </w:p>
        </w:tc>
        <w:tc>
          <w:tcPr>
            <w:tcW w:w="1013" w:type="dxa"/>
            <w:tcBorders>
              <w:top w:val="nil"/>
              <w:left w:val="nil"/>
              <w:bottom w:val="single" w:sz="4" w:space="0" w:color="auto"/>
              <w:right w:val="single" w:sz="4" w:space="0" w:color="auto"/>
            </w:tcBorders>
            <w:shd w:val="clear" w:color="auto" w:fill="FFFFFF" w:themeFill="background1"/>
            <w:noWrap/>
            <w:hideMark/>
          </w:tcPr>
          <w:p w14:paraId="35224676" w14:textId="7F06F7EE" w:rsidR="00261FEF" w:rsidRPr="00B50775" w:rsidRDefault="00261FEF" w:rsidP="00261FEF">
            <w:pPr>
              <w:jc w:val="right"/>
              <w:rPr>
                <w:noProof/>
                <w:sz w:val="20"/>
                <w:szCs w:val="20"/>
              </w:rPr>
            </w:pPr>
            <w:r w:rsidRPr="00B50775">
              <w:rPr>
                <w:noProof/>
                <w:sz w:val="20"/>
                <w:szCs w:val="20"/>
              </w:rPr>
              <w:t>12</w:t>
            </w:r>
          </w:p>
        </w:tc>
        <w:tc>
          <w:tcPr>
            <w:tcW w:w="1013" w:type="dxa"/>
            <w:tcBorders>
              <w:top w:val="nil"/>
              <w:left w:val="nil"/>
              <w:bottom w:val="single" w:sz="4" w:space="0" w:color="auto"/>
              <w:right w:val="single" w:sz="4" w:space="0" w:color="auto"/>
            </w:tcBorders>
            <w:shd w:val="clear" w:color="auto" w:fill="FFFFFF" w:themeFill="background1"/>
            <w:noWrap/>
            <w:hideMark/>
          </w:tcPr>
          <w:p w14:paraId="7EF5E219" w14:textId="49626477" w:rsidR="00261FEF" w:rsidRPr="00B50775" w:rsidRDefault="00261FEF" w:rsidP="00261FEF">
            <w:pPr>
              <w:jc w:val="right"/>
              <w:rPr>
                <w:noProof/>
                <w:sz w:val="20"/>
                <w:szCs w:val="20"/>
              </w:rPr>
            </w:pPr>
            <w:r w:rsidRPr="00B50775">
              <w:rPr>
                <w:noProof/>
                <w:sz w:val="20"/>
                <w:szCs w:val="20"/>
              </w:rPr>
              <w:t>36</w:t>
            </w:r>
          </w:p>
        </w:tc>
        <w:tc>
          <w:tcPr>
            <w:tcW w:w="1013" w:type="dxa"/>
            <w:tcBorders>
              <w:top w:val="nil"/>
              <w:left w:val="nil"/>
              <w:bottom w:val="single" w:sz="4" w:space="0" w:color="auto"/>
              <w:right w:val="single" w:sz="4" w:space="0" w:color="auto"/>
            </w:tcBorders>
            <w:shd w:val="clear" w:color="auto" w:fill="FFFFFF" w:themeFill="background1"/>
            <w:noWrap/>
            <w:hideMark/>
          </w:tcPr>
          <w:p w14:paraId="39EFD2FE" w14:textId="5EB4FE92" w:rsidR="00261FEF" w:rsidRPr="00B50775" w:rsidRDefault="00261FEF" w:rsidP="00261FEF">
            <w:pPr>
              <w:jc w:val="right"/>
              <w:rPr>
                <w:noProof/>
                <w:sz w:val="20"/>
                <w:szCs w:val="20"/>
              </w:rPr>
            </w:pPr>
            <w:r w:rsidRPr="00B50775">
              <w:rPr>
                <w:noProof/>
                <w:sz w:val="20"/>
                <w:szCs w:val="20"/>
              </w:rPr>
              <w:t>34</w:t>
            </w:r>
          </w:p>
        </w:tc>
      </w:tr>
      <w:tr w:rsidR="00261FEF" w:rsidRPr="00D55D0E" w14:paraId="4E1A8A02" w14:textId="77777777" w:rsidTr="00B50775">
        <w:trPr>
          <w:trHeight w:val="225"/>
        </w:trPr>
        <w:tc>
          <w:tcPr>
            <w:tcW w:w="5552" w:type="dxa"/>
            <w:tcBorders>
              <w:top w:val="nil"/>
              <w:left w:val="single" w:sz="4" w:space="0" w:color="auto"/>
              <w:bottom w:val="single" w:sz="4" w:space="0" w:color="auto"/>
              <w:right w:val="single" w:sz="4" w:space="0" w:color="auto"/>
            </w:tcBorders>
            <w:noWrap/>
            <w:hideMark/>
          </w:tcPr>
          <w:p w14:paraId="41F02D3F" w14:textId="442747AD" w:rsidR="00261FEF" w:rsidRPr="004E336D" w:rsidRDefault="00261FEF" w:rsidP="00261FEF">
            <w:pPr>
              <w:rPr>
                <w:noProof/>
                <w:color w:val="000000"/>
                <w:sz w:val="20"/>
                <w:szCs w:val="20"/>
              </w:rPr>
            </w:pPr>
            <w:r w:rsidRPr="004E336D">
              <w:rPr>
                <w:noProof/>
                <w:color w:val="000000"/>
                <w:sz w:val="20"/>
                <w:szCs w:val="20"/>
              </w:rPr>
              <w:t xml:space="preserve">Total adjustment cost savings for </w:t>
            </w:r>
            <w:r>
              <w:rPr>
                <w:noProof/>
                <w:color w:val="000000"/>
                <w:sz w:val="20"/>
                <w:szCs w:val="20"/>
              </w:rPr>
              <w:t>non-SME</w:t>
            </w:r>
            <w:r w:rsidRPr="004E336D">
              <w:rPr>
                <w:noProof/>
                <w:color w:val="000000"/>
                <w:sz w:val="20"/>
                <w:szCs w:val="20"/>
              </w:rPr>
              <w:t xml:space="preserve"> operators (million EUR)</w:t>
            </w:r>
          </w:p>
        </w:tc>
        <w:tc>
          <w:tcPr>
            <w:tcW w:w="1012" w:type="dxa"/>
            <w:tcBorders>
              <w:top w:val="nil"/>
              <w:left w:val="nil"/>
              <w:bottom w:val="single" w:sz="4" w:space="0" w:color="auto"/>
              <w:right w:val="single" w:sz="4" w:space="0" w:color="auto"/>
            </w:tcBorders>
            <w:shd w:val="clear" w:color="auto" w:fill="FFFFFF" w:themeFill="background1"/>
            <w:noWrap/>
            <w:hideMark/>
          </w:tcPr>
          <w:p w14:paraId="36049AE3" w14:textId="609722F8" w:rsidR="00261FEF" w:rsidRPr="00B50775" w:rsidRDefault="00261FEF" w:rsidP="00261FEF">
            <w:pPr>
              <w:jc w:val="right"/>
              <w:rPr>
                <w:noProof/>
                <w:sz w:val="20"/>
                <w:szCs w:val="20"/>
              </w:rPr>
            </w:pPr>
            <w:r w:rsidRPr="00B50775">
              <w:rPr>
                <w:noProof/>
                <w:sz w:val="20"/>
                <w:szCs w:val="20"/>
              </w:rPr>
              <w:t>1.1</w:t>
            </w:r>
          </w:p>
        </w:tc>
        <w:tc>
          <w:tcPr>
            <w:tcW w:w="1013" w:type="dxa"/>
            <w:tcBorders>
              <w:top w:val="nil"/>
              <w:left w:val="nil"/>
              <w:bottom w:val="single" w:sz="4" w:space="0" w:color="auto"/>
              <w:right w:val="single" w:sz="4" w:space="0" w:color="auto"/>
            </w:tcBorders>
            <w:shd w:val="clear" w:color="auto" w:fill="FFFFFF" w:themeFill="background1"/>
            <w:noWrap/>
            <w:hideMark/>
          </w:tcPr>
          <w:p w14:paraId="69B6B780" w14:textId="21256E92" w:rsidR="00261FEF" w:rsidRPr="00B50775" w:rsidRDefault="00261FEF" w:rsidP="00261FEF">
            <w:pPr>
              <w:jc w:val="right"/>
              <w:rPr>
                <w:noProof/>
                <w:sz w:val="20"/>
                <w:szCs w:val="20"/>
              </w:rPr>
            </w:pPr>
            <w:r w:rsidRPr="00B50775">
              <w:rPr>
                <w:noProof/>
                <w:sz w:val="20"/>
                <w:szCs w:val="20"/>
              </w:rPr>
              <w:t>0.4</w:t>
            </w:r>
          </w:p>
        </w:tc>
        <w:tc>
          <w:tcPr>
            <w:tcW w:w="1013" w:type="dxa"/>
            <w:tcBorders>
              <w:top w:val="nil"/>
              <w:left w:val="nil"/>
              <w:bottom w:val="single" w:sz="4" w:space="0" w:color="auto"/>
              <w:right w:val="single" w:sz="4" w:space="0" w:color="auto"/>
            </w:tcBorders>
            <w:shd w:val="clear" w:color="auto" w:fill="FFFFFF" w:themeFill="background1"/>
            <w:noWrap/>
            <w:hideMark/>
          </w:tcPr>
          <w:p w14:paraId="21AA9CD1" w14:textId="340F8EC9" w:rsidR="00261FEF" w:rsidRPr="00B50775" w:rsidRDefault="00261FEF" w:rsidP="00261FEF">
            <w:pPr>
              <w:jc w:val="right"/>
              <w:rPr>
                <w:noProof/>
                <w:sz w:val="20"/>
                <w:szCs w:val="20"/>
              </w:rPr>
            </w:pPr>
            <w:r w:rsidRPr="00B50775">
              <w:rPr>
                <w:noProof/>
                <w:sz w:val="20"/>
                <w:szCs w:val="20"/>
              </w:rPr>
              <w:t>0.9</w:t>
            </w:r>
          </w:p>
        </w:tc>
        <w:tc>
          <w:tcPr>
            <w:tcW w:w="1013" w:type="dxa"/>
            <w:tcBorders>
              <w:top w:val="nil"/>
              <w:left w:val="nil"/>
              <w:bottom w:val="single" w:sz="4" w:space="0" w:color="auto"/>
              <w:right w:val="single" w:sz="4" w:space="0" w:color="auto"/>
            </w:tcBorders>
            <w:shd w:val="clear" w:color="auto" w:fill="FFFFFF" w:themeFill="background1"/>
            <w:noWrap/>
            <w:hideMark/>
          </w:tcPr>
          <w:p w14:paraId="294EC64F" w14:textId="53E59441" w:rsidR="00261FEF" w:rsidRPr="00B50775" w:rsidRDefault="00261FEF" w:rsidP="00261FEF">
            <w:pPr>
              <w:jc w:val="right"/>
              <w:rPr>
                <w:noProof/>
                <w:sz w:val="20"/>
                <w:szCs w:val="20"/>
              </w:rPr>
            </w:pPr>
            <w:r w:rsidRPr="00B50775">
              <w:rPr>
                <w:noProof/>
                <w:sz w:val="20"/>
                <w:szCs w:val="20"/>
              </w:rPr>
              <w:t>0.6</w:t>
            </w:r>
          </w:p>
        </w:tc>
      </w:tr>
      <w:tr w:rsidR="00261FEF" w:rsidRPr="00D55D0E" w14:paraId="0A05499B" w14:textId="77777777" w:rsidTr="00B50775">
        <w:trPr>
          <w:trHeight w:val="225"/>
        </w:trPr>
        <w:tc>
          <w:tcPr>
            <w:tcW w:w="5552" w:type="dxa"/>
            <w:tcBorders>
              <w:top w:val="nil"/>
              <w:left w:val="single" w:sz="4" w:space="0" w:color="auto"/>
              <w:bottom w:val="single" w:sz="4" w:space="0" w:color="auto"/>
              <w:right w:val="single" w:sz="4" w:space="0" w:color="auto"/>
            </w:tcBorders>
            <w:noWrap/>
            <w:hideMark/>
          </w:tcPr>
          <w:p w14:paraId="6B2D493D" w14:textId="77777777" w:rsidR="00261FEF" w:rsidRPr="004E336D" w:rsidRDefault="00261FEF" w:rsidP="00261FEF">
            <w:pPr>
              <w:rPr>
                <w:noProof/>
                <w:color w:val="000000"/>
                <w:sz w:val="20"/>
                <w:szCs w:val="20"/>
              </w:rPr>
            </w:pPr>
            <w:r w:rsidRPr="004E336D">
              <w:rPr>
                <w:noProof/>
                <w:color w:val="000000"/>
                <w:sz w:val="20"/>
                <w:szCs w:val="20"/>
              </w:rPr>
              <w:t>Total adjustment cost savings for SME operators (million EUR)</w:t>
            </w:r>
          </w:p>
        </w:tc>
        <w:tc>
          <w:tcPr>
            <w:tcW w:w="1012" w:type="dxa"/>
            <w:tcBorders>
              <w:top w:val="nil"/>
              <w:left w:val="nil"/>
              <w:bottom w:val="single" w:sz="4" w:space="0" w:color="auto"/>
              <w:right w:val="single" w:sz="4" w:space="0" w:color="auto"/>
            </w:tcBorders>
            <w:shd w:val="clear" w:color="auto" w:fill="FFFFFF" w:themeFill="background1"/>
            <w:noWrap/>
            <w:hideMark/>
          </w:tcPr>
          <w:p w14:paraId="435F932F" w14:textId="29755649" w:rsidR="00261FEF" w:rsidRPr="00B50775" w:rsidRDefault="00261FEF" w:rsidP="00261FEF">
            <w:pPr>
              <w:jc w:val="right"/>
              <w:rPr>
                <w:noProof/>
                <w:sz w:val="20"/>
                <w:szCs w:val="20"/>
              </w:rPr>
            </w:pPr>
            <w:r w:rsidRPr="00B50775">
              <w:rPr>
                <w:noProof/>
                <w:sz w:val="20"/>
                <w:szCs w:val="20"/>
              </w:rPr>
              <w:t>0.1</w:t>
            </w:r>
          </w:p>
        </w:tc>
        <w:tc>
          <w:tcPr>
            <w:tcW w:w="1013" w:type="dxa"/>
            <w:tcBorders>
              <w:top w:val="nil"/>
              <w:left w:val="nil"/>
              <w:bottom w:val="single" w:sz="4" w:space="0" w:color="auto"/>
              <w:right w:val="single" w:sz="4" w:space="0" w:color="auto"/>
            </w:tcBorders>
            <w:shd w:val="clear" w:color="auto" w:fill="FFFFFF" w:themeFill="background1"/>
            <w:noWrap/>
            <w:hideMark/>
          </w:tcPr>
          <w:p w14:paraId="449E4CD0" w14:textId="157BEBBD" w:rsidR="00261FEF" w:rsidRPr="00B50775" w:rsidRDefault="00261FEF" w:rsidP="00261FEF">
            <w:pPr>
              <w:jc w:val="right"/>
              <w:rPr>
                <w:noProof/>
                <w:sz w:val="20"/>
                <w:szCs w:val="20"/>
              </w:rPr>
            </w:pPr>
            <w:r w:rsidRPr="00B50775">
              <w:rPr>
                <w:noProof/>
                <w:sz w:val="20"/>
                <w:szCs w:val="20"/>
              </w:rPr>
              <w:t>0.0</w:t>
            </w:r>
          </w:p>
        </w:tc>
        <w:tc>
          <w:tcPr>
            <w:tcW w:w="1013" w:type="dxa"/>
            <w:tcBorders>
              <w:top w:val="nil"/>
              <w:left w:val="nil"/>
              <w:bottom w:val="single" w:sz="4" w:space="0" w:color="auto"/>
              <w:right w:val="single" w:sz="4" w:space="0" w:color="auto"/>
            </w:tcBorders>
            <w:shd w:val="clear" w:color="auto" w:fill="FFFFFF" w:themeFill="background1"/>
            <w:noWrap/>
            <w:hideMark/>
          </w:tcPr>
          <w:p w14:paraId="07F5A022" w14:textId="4E0F747F" w:rsidR="00261FEF" w:rsidRPr="00B50775" w:rsidRDefault="00261FEF" w:rsidP="00261FEF">
            <w:pPr>
              <w:jc w:val="right"/>
              <w:rPr>
                <w:noProof/>
                <w:sz w:val="20"/>
                <w:szCs w:val="20"/>
              </w:rPr>
            </w:pPr>
            <w:r w:rsidRPr="00B50775">
              <w:rPr>
                <w:noProof/>
                <w:sz w:val="20"/>
                <w:szCs w:val="20"/>
              </w:rPr>
              <w:t>0.1</w:t>
            </w:r>
          </w:p>
        </w:tc>
        <w:tc>
          <w:tcPr>
            <w:tcW w:w="1013" w:type="dxa"/>
            <w:tcBorders>
              <w:top w:val="nil"/>
              <w:left w:val="nil"/>
              <w:bottom w:val="single" w:sz="4" w:space="0" w:color="auto"/>
              <w:right w:val="single" w:sz="4" w:space="0" w:color="auto"/>
            </w:tcBorders>
            <w:shd w:val="clear" w:color="auto" w:fill="FFFFFF" w:themeFill="background1"/>
            <w:noWrap/>
            <w:hideMark/>
          </w:tcPr>
          <w:p w14:paraId="750CE049" w14:textId="41F506E0" w:rsidR="00261FEF" w:rsidRPr="00B50775" w:rsidRDefault="00261FEF" w:rsidP="00261FEF">
            <w:pPr>
              <w:jc w:val="right"/>
              <w:rPr>
                <w:noProof/>
                <w:sz w:val="20"/>
                <w:szCs w:val="20"/>
              </w:rPr>
            </w:pPr>
            <w:r w:rsidRPr="00B50775">
              <w:rPr>
                <w:noProof/>
                <w:sz w:val="20"/>
                <w:szCs w:val="20"/>
              </w:rPr>
              <w:t>0.0</w:t>
            </w:r>
          </w:p>
        </w:tc>
      </w:tr>
      <w:tr w:rsidR="00261FEF" w:rsidRPr="00CA53D5" w14:paraId="2757EBA4" w14:textId="77777777" w:rsidTr="00B50775">
        <w:trPr>
          <w:trHeight w:val="225"/>
        </w:trPr>
        <w:tc>
          <w:tcPr>
            <w:tcW w:w="5552" w:type="dxa"/>
            <w:tcBorders>
              <w:top w:val="nil"/>
              <w:left w:val="single" w:sz="4" w:space="0" w:color="auto"/>
              <w:bottom w:val="single" w:sz="4" w:space="0" w:color="auto"/>
              <w:right w:val="single" w:sz="4" w:space="0" w:color="auto"/>
            </w:tcBorders>
            <w:noWrap/>
            <w:hideMark/>
          </w:tcPr>
          <w:p w14:paraId="07E5872B" w14:textId="77777777" w:rsidR="00261FEF" w:rsidRPr="004E336D" w:rsidRDefault="00261FEF" w:rsidP="00261FEF">
            <w:pPr>
              <w:rPr>
                <w:b/>
                <w:noProof/>
                <w:color w:val="000000"/>
                <w:sz w:val="20"/>
                <w:szCs w:val="20"/>
              </w:rPr>
            </w:pPr>
            <w:r w:rsidRPr="004E336D">
              <w:rPr>
                <w:b/>
                <w:noProof/>
                <w:color w:val="000000"/>
                <w:sz w:val="20"/>
                <w:szCs w:val="20"/>
              </w:rPr>
              <w:t>PO4</w:t>
            </w:r>
          </w:p>
        </w:tc>
        <w:tc>
          <w:tcPr>
            <w:tcW w:w="1012" w:type="dxa"/>
            <w:tcBorders>
              <w:top w:val="nil"/>
              <w:left w:val="nil"/>
              <w:bottom w:val="single" w:sz="4" w:space="0" w:color="auto"/>
              <w:right w:val="single" w:sz="4" w:space="0" w:color="auto"/>
            </w:tcBorders>
            <w:shd w:val="clear" w:color="auto" w:fill="FFFFFF" w:themeFill="background1"/>
            <w:noWrap/>
            <w:hideMark/>
          </w:tcPr>
          <w:p w14:paraId="0B7F3785" w14:textId="701597F0" w:rsidR="00261FEF" w:rsidRPr="00B50775" w:rsidRDefault="00261FEF" w:rsidP="00261FEF">
            <w:pPr>
              <w:rPr>
                <w:noProof/>
                <w:sz w:val="20"/>
                <w:szCs w:val="20"/>
              </w:rPr>
            </w:pPr>
            <w:r w:rsidRPr="00B50775">
              <w:rPr>
                <w:noProof/>
                <w:sz w:val="20"/>
                <w:szCs w:val="20"/>
              </w:rPr>
              <w:t> </w:t>
            </w:r>
          </w:p>
        </w:tc>
        <w:tc>
          <w:tcPr>
            <w:tcW w:w="1013" w:type="dxa"/>
            <w:tcBorders>
              <w:top w:val="nil"/>
              <w:left w:val="nil"/>
              <w:bottom w:val="single" w:sz="4" w:space="0" w:color="auto"/>
              <w:right w:val="single" w:sz="4" w:space="0" w:color="auto"/>
            </w:tcBorders>
            <w:shd w:val="clear" w:color="auto" w:fill="FFFFFF" w:themeFill="background1"/>
            <w:noWrap/>
            <w:hideMark/>
          </w:tcPr>
          <w:p w14:paraId="2A8193F4" w14:textId="0772C6DB" w:rsidR="00261FEF" w:rsidRPr="00B50775" w:rsidRDefault="00261FEF" w:rsidP="00261FEF">
            <w:pPr>
              <w:rPr>
                <w:noProof/>
                <w:sz w:val="20"/>
                <w:szCs w:val="20"/>
              </w:rPr>
            </w:pPr>
            <w:r w:rsidRPr="00B50775">
              <w:rPr>
                <w:noProof/>
                <w:sz w:val="20"/>
                <w:szCs w:val="20"/>
              </w:rPr>
              <w:t> </w:t>
            </w:r>
          </w:p>
        </w:tc>
        <w:tc>
          <w:tcPr>
            <w:tcW w:w="1013" w:type="dxa"/>
            <w:tcBorders>
              <w:top w:val="nil"/>
              <w:left w:val="nil"/>
              <w:bottom w:val="single" w:sz="4" w:space="0" w:color="auto"/>
              <w:right w:val="single" w:sz="4" w:space="0" w:color="auto"/>
            </w:tcBorders>
            <w:shd w:val="clear" w:color="auto" w:fill="FFFFFF" w:themeFill="background1"/>
            <w:noWrap/>
            <w:hideMark/>
          </w:tcPr>
          <w:p w14:paraId="4815B8AE" w14:textId="59436BFD" w:rsidR="00261FEF" w:rsidRPr="00B50775" w:rsidRDefault="00261FEF" w:rsidP="00261FEF">
            <w:pPr>
              <w:rPr>
                <w:noProof/>
                <w:sz w:val="20"/>
                <w:szCs w:val="20"/>
              </w:rPr>
            </w:pPr>
            <w:r w:rsidRPr="00B50775">
              <w:rPr>
                <w:noProof/>
                <w:sz w:val="20"/>
                <w:szCs w:val="20"/>
              </w:rPr>
              <w:t> </w:t>
            </w:r>
          </w:p>
        </w:tc>
        <w:tc>
          <w:tcPr>
            <w:tcW w:w="1013" w:type="dxa"/>
            <w:tcBorders>
              <w:top w:val="nil"/>
              <w:left w:val="nil"/>
              <w:bottom w:val="single" w:sz="4" w:space="0" w:color="auto"/>
              <w:right w:val="single" w:sz="4" w:space="0" w:color="auto"/>
            </w:tcBorders>
            <w:shd w:val="clear" w:color="auto" w:fill="FFFFFF" w:themeFill="background1"/>
            <w:noWrap/>
            <w:hideMark/>
          </w:tcPr>
          <w:p w14:paraId="045AB82B" w14:textId="0A92BE1A" w:rsidR="00261FEF" w:rsidRPr="00B50775" w:rsidRDefault="00261FEF" w:rsidP="00261FEF">
            <w:pPr>
              <w:rPr>
                <w:noProof/>
                <w:sz w:val="20"/>
                <w:szCs w:val="20"/>
              </w:rPr>
            </w:pPr>
            <w:r w:rsidRPr="00B50775">
              <w:rPr>
                <w:noProof/>
                <w:sz w:val="20"/>
                <w:szCs w:val="20"/>
              </w:rPr>
              <w:t> </w:t>
            </w:r>
          </w:p>
        </w:tc>
      </w:tr>
      <w:tr w:rsidR="00261FEF" w:rsidRPr="00CA53D5" w14:paraId="65292BB2" w14:textId="77777777" w:rsidTr="00B50775">
        <w:trPr>
          <w:trHeight w:val="225"/>
        </w:trPr>
        <w:tc>
          <w:tcPr>
            <w:tcW w:w="5552" w:type="dxa"/>
            <w:tcBorders>
              <w:top w:val="nil"/>
              <w:left w:val="single" w:sz="4" w:space="0" w:color="auto"/>
              <w:bottom w:val="single" w:sz="4" w:space="0" w:color="auto"/>
              <w:right w:val="single" w:sz="4" w:space="0" w:color="auto"/>
            </w:tcBorders>
            <w:noWrap/>
            <w:hideMark/>
          </w:tcPr>
          <w:p w14:paraId="72F7B7E2" w14:textId="3467442C" w:rsidR="00261FEF" w:rsidRPr="004E336D" w:rsidRDefault="00261FEF" w:rsidP="00261FEF">
            <w:pPr>
              <w:rPr>
                <w:noProof/>
                <w:color w:val="000000"/>
                <w:sz w:val="20"/>
                <w:szCs w:val="20"/>
              </w:rPr>
            </w:pPr>
            <w:r w:rsidRPr="3FCE22BE">
              <w:rPr>
                <w:noProof/>
                <w:color w:val="000000" w:themeColor="text1"/>
                <w:sz w:val="20"/>
                <w:szCs w:val="20"/>
              </w:rPr>
              <w:t xml:space="preserve">New agreements made by </w:t>
            </w:r>
            <w:r>
              <w:rPr>
                <w:noProof/>
                <w:color w:val="000000" w:themeColor="text1"/>
                <w:sz w:val="20"/>
                <w:szCs w:val="20"/>
              </w:rPr>
              <w:t>non-SME</w:t>
            </w:r>
            <w:r w:rsidRPr="3FCE22BE">
              <w:rPr>
                <w:noProof/>
                <w:color w:val="000000" w:themeColor="text1"/>
                <w:sz w:val="20"/>
                <w:szCs w:val="20"/>
              </w:rPr>
              <w:t xml:space="preserve"> operators (changes relative to the baseline)</w:t>
            </w:r>
          </w:p>
        </w:tc>
        <w:tc>
          <w:tcPr>
            <w:tcW w:w="1012" w:type="dxa"/>
            <w:tcBorders>
              <w:top w:val="nil"/>
              <w:left w:val="nil"/>
              <w:bottom w:val="single" w:sz="4" w:space="0" w:color="auto"/>
              <w:right w:val="single" w:sz="4" w:space="0" w:color="auto"/>
            </w:tcBorders>
            <w:shd w:val="clear" w:color="auto" w:fill="FFFFFF" w:themeFill="background1"/>
            <w:noWrap/>
            <w:hideMark/>
          </w:tcPr>
          <w:p w14:paraId="245659FB" w14:textId="3A93A238" w:rsidR="00261FEF" w:rsidRPr="00B50775" w:rsidRDefault="00261FEF" w:rsidP="00261FEF">
            <w:pPr>
              <w:jc w:val="right"/>
              <w:rPr>
                <w:noProof/>
                <w:sz w:val="20"/>
                <w:szCs w:val="20"/>
              </w:rPr>
            </w:pPr>
            <w:r w:rsidRPr="00B50775">
              <w:rPr>
                <w:noProof/>
                <w:sz w:val="20"/>
                <w:szCs w:val="20"/>
              </w:rPr>
              <w:t>464</w:t>
            </w:r>
          </w:p>
        </w:tc>
        <w:tc>
          <w:tcPr>
            <w:tcW w:w="1013" w:type="dxa"/>
            <w:tcBorders>
              <w:top w:val="nil"/>
              <w:left w:val="nil"/>
              <w:bottom w:val="single" w:sz="4" w:space="0" w:color="auto"/>
              <w:right w:val="single" w:sz="4" w:space="0" w:color="auto"/>
            </w:tcBorders>
            <w:shd w:val="clear" w:color="auto" w:fill="FFFFFF" w:themeFill="background1"/>
            <w:noWrap/>
            <w:hideMark/>
          </w:tcPr>
          <w:p w14:paraId="1FC6B5D9" w14:textId="4CC30FB7" w:rsidR="00261FEF" w:rsidRPr="00B50775" w:rsidRDefault="00261FEF" w:rsidP="00261FEF">
            <w:pPr>
              <w:jc w:val="right"/>
              <w:rPr>
                <w:noProof/>
                <w:sz w:val="20"/>
                <w:szCs w:val="20"/>
              </w:rPr>
            </w:pPr>
            <w:r w:rsidRPr="00B50775">
              <w:rPr>
                <w:noProof/>
                <w:sz w:val="20"/>
                <w:szCs w:val="20"/>
              </w:rPr>
              <w:t>78</w:t>
            </w:r>
          </w:p>
        </w:tc>
        <w:tc>
          <w:tcPr>
            <w:tcW w:w="1013" w:type="dxa"/>
            <w:tcBorders>
              <w:top w:val="nil"/>
              <w:left w:val="nil"/>
              <w:bottom w:val="single" w:sz="4" w:space="0" w:color="auto"/>
              <w:right w:val="single" w:sz="4" w:space="0" w:color="auto"/>
            </w:tcBorders>
            <w:shd w:val="clear" w:color="auto" w:fill="FFFFFF" w:themeFill="background1"/>
            <w:noWrap/>
            <w:hideMark/>
          </w:tcPr>
          <w:p w14:paraId="253AFA22" w14:textId="723EC35B" w:rsidR="00261FEF" w:rsidRPr="00B50775" w:rsidRDefault="00261FEF" w:rsidP="00261FEF">
            <w:pPr>
              <w:jc w:val="right"/>
              <w:rPr>
                <w:noProof/>
                <w:sz w:val="20"/>
                <w:szCs w:val="20"/>
              </w:rPr>
            </w:pPr>
            <w:r w:rsidRPr="00B50775">
              <w:rPr>
                <w:noProof/>
                <w:sz w:val="20"/>
                <w:szCs w:val="20"/>
              </w:rPr>
              <w:t>123</w:t>
            </w:r>
          </w:p>
        </w:tc>
        <w:tc>
          <w:tcPr>
            <w:tcW w:w="1013" w:type="dxa"/>
            <w:tcBorders>
              <w:top w:val="nil"/>
              <w:left w:val="nil"/>
              <w:bottom w:val="single" w:sz="4" w:space="0" w:color="auto"/>
              <w:right w:val="single" w:sz="4" w:space="0" w:color="auto"/>
            </w:tcBorders>
            <w:shd w:val="clear" w:color="auto" w:fill="FFFFFF" w:themeFill="background1"/>
            <w:noWrap/>
            <w:hideMark/>
          </w:tcPr>
          <w:p w14:paraId="629ABBF2" w14:textId="6CD97F21" w:rsidR="00261FEF" w:rsidRPr="00B50775" w:rsidRDefault="00261FEF" w:rsidP="00261FEF">
            <w:pPr>
              <w:jc w:val="right"/>
              <w:rPr>
                <w:noProof/>
                <w:sz w:val="20"/>
                <w:szCs w:val="20"/>
              </w:rPr>
            </w:pPr>
            <w:r w:rsidRPr="00B50775">
              <w:rPr>
                <w:noProof/>
                <w:sz w:val="20"/>
                <w:szCs w:val="20"/>
              </w:rPr>
              <w:t>0</w:t>
            </w:r>
          </w:p>
        </w:tc>
      </w:tr>
      <w:tr w:rsidR="00261FEF" w:rsidRPr="00CA53D5" w14:paraId="6A89B75D" w14:textId="77777777" w:rsidTr="00B50775">
        <w:trPr>
          <w:trHeight w:val="225"/>
        </w:trPr>
        <w:tc>
          <w:tcPr>
            <w:tcW w:w="5552" w:type="dxa"/>
            <w:tcBorders>
              <w:top w:val="nil"/>
              <w:left w:val="single" w:sz="4" w:space="0" w:color="auto"/>
              <w:bottom w:val="single" w:sz="4" w:space="0" w:color="auto"/>
              <w:right w:val="single" w:sz="4" w:space="0" w:color="auto"/>
            </w:tcBorders>
            <w:noWrap/>
            <w:hideMark/>
          </w:tcPr>
          <w:p w14:paraId="777E445F" w14:textId="78AF16C2" w:rsidR="00261FEF" w:rsidRPr="004E336D" w:rsidRDefault="00261FEF" w:rsidP="00261FEF">
            <w:pPr>
              <w:rPr>
                <w:noProof/>
                <w:color w:val="000000"/>
                <w:sz w:val="20"/>
                <w:szCs w:val="20"/>
              </w:rPr>
            </w:pPr>
            <w:r w:rsidRPr="3FCE22BE">
              <w:rPr>
                <w:noProof/>
                <w:color w:val="000000" w:themeColor="text1"/>
                <w:sz w:val="20"/>
                <w:szCs w:val="20"/>
              </w:rPr>
              <w:t>New agreements made by SME operators (changes relative to the baseline)</w:t>
            </w:r>
          </w:p>
        </w:tc>
        <w:tc>
          <w:tcPr>
            <w:tcW w:w="1012" w:type="dxa"/>
            <w:tcBorders>
              <w:top w:val="nil"/>
              <w:left w:val="nil"/>
              <w:bottom w:val="single" w:sz="4" w:space="0" w:color="auto"/>
              <w:right w:val="single" w:sz="4" w:space="0" w:color="auto"/>
            </w:tcBorders>
            <w:shd w:val="clear" w:color="auto" w:fill="FFFFFF" w:themeFill="background1"/>
            <w:noWrap/>
            <w:hideMark/>
          </w:tcPr>
          <w:p w14:paraId="4211E241" w14:textId="6EEF059A" w:rsidR="00261FEF" w:rsidRPr="00B50775" w:rsidRDefault="00261FEF" w:rsidP="00261FEF">
            <w:pPr>
              <w:jc w:val="right"/>
              <w:rPr>
                <w:noProof/>
                <w:sz w:val="20"/>
                <w:szCs w:val="20"/>
              </w:rPr>
            </w:pPr>
            <w:r w:rsidRPr="00B50775">
              <w:rPr>
                <w:noProof/>
                <w:sz w:val="20"/>
                <w:szCs w:val="20"/>
              </w:rPr>
              <w:t>30</w:t>
            </w:r>
          </w:p>
        </w:tc>
        <w:tc>
          <w:tcPr>
            <w:tcW w:w="1013" w:type="dxa"/>
            <w:tcBorders>
              <w:top w:val="nil"/>
              <w:left w:val="nil"/>
              <w:bottom w:val="single" w:sz="4" w:space="0" w:color="auto"/>
              <w:right w:val="single" w:sz="4" w:space="0" w:color="auto"/>
            </w:tcBorders>
            <w:shd w:val="clear" w:color="auto" w:fill="FFFFFF" w:themeFill="background1"/>
            <w:noWrap/>
            <w:hideMark/>
          </w:tcPr>
          <w:p w14:paraId="4321A743" w14:textId="62B6E572" w:rsidR="00261FEF" w:rsidRPr="00B50775" w:rsidRDefault="00261FEF" w:rsidP="00261FEF">
            <w:pPr>
              <w:jc w:val="right"/>
              <w:rPr>
                <w:noProof/>
                <w:sz w:val="20"/>
                <w:szCs w:val="20"/>
              </w:rPr>
            </w:pPr>
            <w:r w:rsidRPr="00B50775">
              <w:rPr>
                <w:noProof/>
                <w:sz w:val="20"/>
                <w:szCs w:val="20"/>
              </w:rPr>
              <w:t>5</w:t>
            </w:r>
          </w:p>
        </w:tc>
        <w:tc>
          <w:tcPr>
            <w:tcW w:w="1013" w:type="dxa"/>
            <w:tcBorders>
              <w:top w:val="nil"/>
              <w:left w:val="nil"/>
              <w:bottom w:val="single" w:sz="4" w:space="0" w:color="auto"/>
              <w:right w:val="single" w:sz="4" w:space="0" w:color="auto"/>
            </w:tcBorders>
            <w:shd w:val="clear" w:color="auto" w:fill="FFFFFF" w:themeFill="background1"/>
            <w:noWrap/>
            <w:hideMark/>
          </w:tcPr>
          <w:p w14:paraId="7D1A9266" w14:textId="1D8D3409" w:rsidR="00261FEF" w:rsidRPr="00B50775" w:rsidRDefault="00261FEF" w:rsidP="00261FEF">
            <w:pPr>
              <w:jc w:val="right"/>
              <w:rPr>
                <w:noProof/>
                <w:sz w:val="20"/>
                <w:szCs w:val="20"/>
              </w:rPr>
            </w:pPr>
            <w:r w:rsidRPr="00B50775">
              <w:rPr>
                <w:noProof/>
                <w:sz w:val="20"/>
                <w:szCs w:val="20"/>
              </w:rPr>
              <w:t>8</w:t>
            </w:r>
          </w:p>
        </w:tc>
        <w:tc>
          <w:tcPr>
            <w:tcW w:w="1013" w:type="dxa"/>
            <w:tcBorders>
              <w:top w:val="nil"/>
              <w:left w:val="nil"/>
              <w:bottom w:val="single" w:sz="4" w:space="0" w:color="auto"/>
              <w:right w:val="single" w:sz="4" w:space="0" w:color="auto"/>
            </w:tcBorders>
            <w:shd w:val="clear" w:color="auto" w:fill="FFFFFF" w:themeFill="background1"/>
            <w:noWrap/>
            <w:hideMark/>
          </w:tcPr>
          <w:p w14:paraId="7F6F43D1" w14:textId="4D120D25" w:rsidR="00261FEF" w:rsidRPr="00B50775" w:rsidRDefault="00261FEF" w:rsidP="00261FEF">
            <w:pPr>
              <w:jc w:val="right"/>
              <w:rPr>
                <w:noProof/>
                <w:sz w:val="20"/>
                <w:szCs w:val="20"/>
              </w:rPr>
            </w:pPr>
            <w:r w:rsidRPr="00B50775">
              <w:rPr>
                <w:noProof/>
                <w:sz w:val="20"/>
                <w:szCs w:val="20"/>
              </w:rPr>
              <w:t>0</w:t>
            </w:r>
          </w:p>
        </w:tc>
      </w:tr>
      <w:tr w:rsidR="00261FEF" w:rsidRPr="00CA53D5" w14:paraId="38A13CB9" w14:textId="77777777" w:rsidTr="00B50775">
        <w:trPr>
          <w:trHeight w:val="225"/>
        </w:trPr>
        <w:tc>
          <w:tcPr>
            <w:tcW w:w="5552" w:type="dxa"/>
            <w:tcBorders>
              <w:top w:val="nil"/>
              <w:left w:val="single" w:sz="4" w:space="0" w:color="auto"/>
              <w:bottom w:val="single" w:sz="4" w:space="0" w:color="auto"/>
              <w:right w:val="single" w:sz="4" w:space="0" w:color="auto"/>
            </w:tcBorders>
            <w:noWrap/>
            <w:hideMark/>
          </w:tcPr>
          <w:p w14:paraId="404C502A" w14:textId="70091B51" w:rsidR="00261FEF" w:rsidRPr="004E336D" w:rsidRDefault="00261FEF" w:rsidP="00261FEF">
            <w:pPr>
              <w:rPr>
                <w:noProof/>
                <w:color w:val="000000"/>
                <w:sz w:val="20"/>
                <w:szCs w:val="20"/>
              </w:rPr>
            </w:pPr>
            <w:r w:rsidRPr="3FCE22BE">
              <w:rPr>
                <w:noProof/>
                <w:color w:val="000000" w:themeColor="text1"/>
                <w:sz w:val="20"/>
                <w:szCs w:val="20"/>
              </w:rPr>
              <w:t xml:space="preserve">Renegotiated agreements made by </w:t>
            </w:r>
            <w:r>
              <w:rPr>
                <w:noProof/>
                <w:color w:val="000000" w:themeColor="text1"/>
                <w:sz w:val="20"/>
                <w:szCs w:val="20"/>
              </w:rPr>
              <w:t>non-SME</w:t>
            </w:r>
            <w:r w:rsidRPr="3FCE22BE">
              <w:rPr>
                <w:noProof/>
                <w:color w:val="000000" w:themeColor="text1"/>
                <w:sz w:val="20"/>
                <w:szCs w:val="20"/>
              </w:rPr>
              <w:t xml:space="preserve"> operators (changes relative to the baseline)</w:t>
            </w:r>
          </w:p>
        </w:tc>
        <w:tc>
          <w:tcPr>
            <w:tcW w:w="1012" w:type="dxa"/>
            <w:tcBorders>
              <w:top w:val="nil"/>
              <w:left w:val="nil"/>
              <w:bottom w:val="single" w:sz="4" w:space="0" w:color="auto"/>
              <w:right w:val="single" w:sz="4" w:space="0" w:color="auto"/>
            </w:tcBorders>
            <w:shd w:val="clear" w:color="auto" w:fill="FFFFFF" w:themeFill="background1"/>
            <w:noWrap/>
            <w:hideMark/>
          </w:tcPr>
          <w:p w14:paraId="4AAC2BE1" w14:textId="488F100B" w:rsidR="00261FEF" w:rsidRPr="00B50775" w:rsidRDefault="00261FEF" w:rsidP="00261FEF">
            <w:pPr>
              <w:jc w:val="right"/>
              <w:rPr>
                <w:noProof/>
                <w:sz w:val="20"/>
                <w:szCs w:val="20"/>
              </w:rPr>
            </w:pPr>
            <w:r w:rsidRPr="00B50775">
              <w:rPr>
                <w:noProof/>
                <w:sz w:val="20"/>
                <w:szCs w:val="20"/>
              </w:rPr>
              <w:t>155</w:t>
            </w:r>
          </w:p>
        </w:tc>
        <w:tc>
          <w:tcPr>
            <w:tcW w:w="1013" w:type="dxa"/>
            <w:tcBorders>
              <w:top w:val="nil"/>
              <w:left w:val="nil"/>
              <w:bottom w:val="single" w:sz="4" w:space="0" w:color="auto"/>
              <w:right w:val="single" w:sz="4" w:space="0" w:color="auto"/>
            </w:tcBorders>
            <w:shd w:val="clear" w:color="auto" w:fill="FFFFFF" w:themeFill="background1"/>
            <w:noWrap/>
            <w:hideMark/>
          </w:tcPr>
          <w:p w14:paraId="4A1C41A9" w14:textId="33675A67" w:rsidR="00261FEF" w:rsidRPr="00B50775" w:rsidRDefault="00261FEF" w:rsidP="00261FEF">
            <w:pPr>
              <w:jc w:val="right"/>
              <w:rPr>
                <w:noProof/>
                <w:sz w:val="20"/>
                <w:szCs w:val="20"/>
              </w:rPr>
            </w:pPr>
            <w:r w:rsidRPr="00B50775">
              <w:rPr>
                <w:noProof/>
                <w:sz w:val="20"/>
                <w:szCs w:val="20"/>
              </w:rPr>
              <w:t>198</w:t>
            </w:r>
          </w:p>
        </w:tc>
        <w:tc>
          <w:tcPr>
            <w:tcW w:w="1013" w:type="dxa"/>
            <w:tcBorders>
              <w:top w:val="nil"/>
              <w:left w:val="nil"/>
              <w:bottom w:val="single" w:sz="4" w:space="0" w:color="auto"/>
              <w:right w:val="single" w:sz="4" w:space="0" w:color="auto"/>
            </w:tcBorders>
            <w:shd w:val="clear" w:color="auto" w:fill="FFFFFF" w:themeFill="background1"/>
            <w:noWrap/>
            <w:hideMark/>
          </w:tcPr>
          <w:p w14:paraId="390FD1F4" w14:textId="1F03E42E" w:rsidR="00261FEF" w:rsidRPr="00B50775" w:rsidRDefault="00261FEF" w:rsidP="00261FEF">
            <w:pPr>
              <w:jc w:val="right"/>
              <w:rPr>
                <w:noProof/>
                <w:sz w:val="20"/>
                <w:szCs w:val="20"/>
              </w:rPr>
            </w:pPr>
            <w:r w:rsidRPr="00B50775">
              <w:rPr>
                <w:noProof/>
                <w:sz w:val="20"/>
                <w:szCs w:val="20"/>
              </w:rPr>
              <w:t>609</w:t>
            </w:r>
          </w:p>
        </w:tc>
        <w:tc>
          <w:tcPr>
            <w:tcW w:w="1013" w:type="dxa"/>
            <w:tcBorders>
              <w:top w:val="nil"/>
              <w:left w:val="nil"/>
              <w:bottom w:val="single" w:sz="4" w:space="0" w:color="auto"/>
              <w:right w:val="single" w:sz="4" w:space="0" w:color="auto"/>
            </w:tcBorders>
            <w:shd w:val="clear" w:color="auto" w:fill="FFFFFF" w:themeFill="background1"/>
            <w:noWrap/>
            <w:hideMark/>
          </w:tcPr>
          <w:p w14:paraId="2EF64426" w14:textId="73558C7A" w:rsidR="00261FEF" w:rsidRPr="00B50775" w:rsidRDefault="00261FEF" w:rsidP="00261FEF">
            <w:pPr>
              <w:jc w:val="right"/>
              <w:rPr>
                <w:noProof/>
                <w:sz w:val="20"/>
                <w:szCs w:val="20"/>
              </w:rPr>
            </w:pPr>
            <w:r w:rsidRPr="00B50775">
              <w:rPr>
                <w:noProof/>
                <w:sz w:val="20"/>
                <w:szCs w:val="20"/>
              </w:rPr>
              <w:t>534</w:t>
            </w:r>
          </w:p>
        </w:tc>
      </w:tr>
      <w:tr w:rsidR="00261FEF" w:rsidRPr="00CA53D5" w14:paraId="03D8096A" w14:textId="77777777" w:rsidTr="00B50775">
        <w:trPr>
          <w:trHeight w:val="225"/>
        </w:trPr>
        <w:tc>
          <w:tcPr>
            <w:tcW w:w="5552" w:type="dxa"/>
            <w:tcBorders>
              <w:top w:val="nil"/>
              <w:left w:val="single" w:sz="4" w:space="0" w:color="auto"/>
              <w:bottom w:val="single" w:sz="4" w:space="0" w:color="auto"/>
              <w:right w:val="single" w:sz="4" w:space="0" w:color="auto"/>
            </w:tcBorders>
            <w:noWrap/>
            <w:hideMark/>
          </w:tcPr>
          <w:p w14:paraId="1CA353A9" w14:textId="0126B7EA" w:rsidR="00261FEF" w:rsidRPr="004E336D" w:rsidRDefault="00261FEF" w:rsidP="00261FEF">
            <w:pPr>
              <w:rPr>
                <w:noProof/>
                <w:color w:val="000000"/>
                <w:sz w:val="20"/>
                <w:szCs w:val="20"/>
              </w:rPr>
            </w:pPr>
            <w:r w:rsidRPr="3FCE22BE">
              <w:rPr>
                <w:noProof/>
                <w:color w:val="000000" w:themeColor="text1"/>
                <w:sz w:val="20"/>
                <w:szCs w:val="20"/>
              </w:rPr>
              <w:t>Renegotiated agreements made by SME operators (changes relative to the baseline)</w:t>
            </w:r>
          </w:p>
        </w:tc>
        <w:tc>
          <w:tcPr>
            <w:tcW w:w="1012" w:type="dxa"/>
            <w:tcBorders>
              <w:top w:val="nil"/>
              <w:left w:val="nil"/>
              <w:bottom w:val="single" w:sz="4" w:space="0" w:color="auto"/>
              <w:right w:val="single" w:sz="4" w:space="0" w:color="auto"/>
            </w:tcBorders>
            <w:shd w:val="clear" w:color="auto" w:fill="FFFFFF" w:themeFill="background1"/>
            <w:noWrap/>
            <w:hideMark/>
          </w:tcPr>
          <w:p w14:paraId="40CD34B0" w14:textId="33FB275F" w:rsidR="00261FEF" w:rsidRPr="00B50775" w:rsidRDefault="00261FEF" w:rsidP="00261FEF">
            <w:pPr>
              <w:jc w:val="right"/>
              <w:rPr>
                <w:noProof/>
                <w:sz w:val="20"/>
                <w:szCs w:val="20"/>
              </w:rPr>
            </w:pPr>
            <w:r w:rsidRPr="00B50775">
              <w:rPr>
                <w:noProof/>
                <w:sz w:val="20"/>
                <w:szCs w:val="20"/>
              </w:rPr>
              <w:t>10</w:t>
            </w:r>
          </w:p>
        </w:tc>
        <w:tc>
          <w:tcPr>
            <w:tcW w:w="1013" w:type="dxa"/>
            <w:tcBorders>
              <w:top w:val="nil"/>
              <w:left w:val="nil"/>
              <w:bottom w:val="single" w:sz="4" w:space="0" w:color="auto"/>
              <w:right w:val="single" w:sz="4" w:space="0" w:color="auto"/>
            </w:tcBorders>
            <w:shd w:val="clear" w:color="auto" w:fill="FFFFFF" w:themeFill="background1"/>
            <w:noWrap/>
            <w:hideMark/>
          </w:tcPr>
          <w:p w14:paraId="1B6B29EB" w14:textId="45223583" w:rsidR="00261FEF" w:rsidRPr="00B50775" w:rsidRDefault="00261FEF" w:rsidP="00261FEF">
            <w:pPr>
              <w:jc w:val="right"/>
              <w:rPr>
                <w:noProof/>
                <w:sz w:val="20"/>
                <w:szCs w:val="20"/>
              </w:rPr>
            </w:pPr>
            <w:r w:rsidRPr="00B50775">
              <w:rPr>
                <w:noProof/>
                <w:sz w:val="20"/>
                <w:szCs w:val="20"/>
              </w:rPr>
              <w:t>13</w:t>
            </w:r>
          </w:p>
        </w:tc>
        <w:tc>
          <w:tcPr>
            <w:tcW w:w="1013" w:type="dxa"/>
            <w:tcBorders>
              <w:top w:val="nil"/>
              <w:left w:val="nil"/>
              <w:bottom w:val="single" w:sz="4" w:space="0" w:color="auto"/>
              <w:right w:val="single" w:sz="4" w:space="0" w:color="auto"/>
            </w:tcBorders>
            <w:shd w:val="clear" w:color="auto" w:fill="FFFFFF" w:themeFill="background1"/>
            <w:noWrap/>
            <w:hideMark/>
          </w:tcPr>
          <w:p w14:paraId="7933D803" w14:textId="4C6BBFCD" w:rsidR="00261FEF" w:rsidRPr="00B50775" w:rsidRDefault="00261FEF" w:rsidP="00261FEF">
            <w:pPr>
              <w:jc w:val="right"/>
              <w:rPr>
                <w:noProof/>
                <w:sz w:val="20"/>
                <w:szCs w:val="20"/>
              </w:rPr>
            </w:pPr>
            <w:r w:rsidRPr="00B50775">
              <w:rPr>
                <w:noProof/>
                <w:sz w:val="20"/>
                <w:szCs w:val="20"/>
              </w:rPr>
              <w:t>39</w:t>
            </w:r>
          </w:p>
        </w:tc>
        <w:tc>
          <w:tcPr>
            <w:tcW w:w="1013" w:type="dxa"/>
            <w:tcBorders>
              <w:top w:val="nil"/>
              <w:left w:val="nil"/>
              <w:bottom w:val="single" w:sz="4" w:space="0" w:color="auto"/>
              <w:right w:val="single" w:sz="4" w:space="0" w:color="auto"/>
            </w:tcBorders>
            <w:shd w:val="clear" w:color="auto" w:fill="FFFFFF" w:themeFill="background1"/>
            <w:noWrap/>
            <w:hideMark/>
          </w:tcPr>
          <w:p w14:paraId="54F2DB68" w14:textId="5CA9F3D0" w:rsidR="00261FEF" w:rsidRPr="00B50775" w:rsidRDefault="00261FEF" w:rsidP="00261FEF">
            <w:pPr>
              <w:jc w:val="right"/>
              <w:rPr>
                <w:noProof/>
                <w:sz w:val="20"/>
                <w:szCs w:val="20"/>
              </w:rPr>
            </w:pPr>
            <w:r w:rsidRPr="00B50775">
              <w:rPr>
                <w:noProof/>
                <w:sz w:val="20"/>
                <w:szCs w:val="20"/>
              </w:rPr>
              <w:t>34</w:t>
            </w:r>
          </w:p>
        </w:tc>
      </w:tr>
      <w:tr w:rsidR="00261FEF" w:rsidRPr="00D55D0E" w14:paraId="43132C2A" w14:textId="77777777" w:rsidTr="00B50775">
        <w:trPr>
          <w:trHeight w:val="225"/>
        </w:trPr>
        <w:tc>
          <w:tcPr>
            <w:tcW w:w="5552" w:type="dxa"/>
            <w:tcBorders>
              <w:top w:val="nil"/>
              <w:left w:val="single" w:sz="4" w:space="0" w:color="auto"/>
              <w:bottom w:val="single" w:sz="4" w:space="0" w:color="auto"/>
              <w:right w:val="single" w:sz="4" w:space="0" w:color="auto"/>
            </w:tcBorders>
            <w:noWrap/>
            <w:hideMark/>
          </w:tcPr>
          <w:p w14:paraId="11EDD8D0" w14:textId="456A458E" w:rsidR="00261FEF" w:rsidRPr="004E336D" w:rsidRDefault="00261FEF" w:rsidP="00261FEF">
            <w:pPr>
              <w:rPr>
                <w:noProof/>
                <w:color w:val="000000"/>
                <w:sz w:val="20"/>
                <w:szCs w:val="20"/>
              </w:rPr>
            </w:pPr>
            <w:r w:rsidRPr="004E336D">
              <w:rPr>
                <w:noProof/>
                <w:color w:val="000000"/>
                <w:sz w:val="20"/>
                <w:szCs w:val="20"/>
              </w:rPr>
              <w:t xml:space="preserve">Total adjustment cost savings for </w:t>
            </w:r>
            <w:r>
              <w:rPr>
                <w:noProof/>
                <w:color w:val="000000"/>
                <w:sz w:val="20"/>
                <w:szCs w:val="20"/>
              </w:rPr>
              <w:t>non-SME</w:t>
            </w:r>
            <w:r w:rsidRPr="004E336D">
              <w:rPr>
                <w:noProof/>
                <w:color w:val="000000"/>
                <w:sz w:val="20"/>
                <w:szCs w:val="20"/>
              </w:rPr>
              <w:t xml:space="preserve"> operators (million EUR)</w:t>
            </w:r>
          </w:p>
        </w:tc>
        <w:tc>
          <w:tcPr>
            <w:tcW w:w="1012" w:type="dxa"/>
            <w:tcBorders>
              <w:top w:val="nil"/>
              <w:left w:val="nil"/>
              <w:bottom w:val="single" w:sz="4" w:space="0" w:color="auto"/>
              <w:right w:val="single" w:sz="4" w:space="0" w:color="auto"/>
            </w:tcBorders>
            <w:shd w:val="clear" w:color="auto" w:fill="FFFFFF" w:themeFill="background1"/>
            <w:noWrap/>
            <w:hideMark/>
          </w:tcPr>
          <w:p w14:paraId="6CA36AF7" w14:textId="7EFB5251" w:rsidR="00261FEF" w:rsidRPr="00B50775" w:rsidRDefault="00261FEF" w:rsidP="00261FEF">
            <w:pPr>
              <w:jc w:val="right"/>
              <w:rPr>
                <w:noProof/>
                <w:sz w:val="20"/>
                <w:szCs w:val="20"/>
              </w:rPr>
            </w:pPr>
            <w:r w:rsidRPr="00B50775">
              <w:rPr>
                <w:noProof/>
                <w:sz w:val="20"/>
                <w:szCs w:val="20"/>
              </w:rPr>
              <w:t>1.1</w:t>
            </w:r>
          </w:p>
        </w:tc>
        <w:tc>
          <w:tcPr>
            <w:tcW w:w="1013" w:type="dxa"/>
            <w:tcBorders>
              <w:top w:val="nil"/>
              <w:left w:val="nil"/>
              <w:bottom w:val="single" w:sz="4" w:space="0" w:color="auto"/>
              <w:right w:val="single" w:sz="4" w:space="0" w:color="auto"/>
            </w:tcBorders>
            <w:shd w:val="clear" w:color="auto" w:fill="FFFFFF" w:themeFill="background1"/>
            <w:noWrap/>
            <w:hideMark/>
          </w:tcPr>
          <w:p w14:paraId="544B89E7" w14:textId="0A91F2E0" w:rsidR="00261FEF" w:rsidRPr="00B50775" w:rsidRDefault="00261FEF" w:rsidP="00261FEF">
            <w:pPr>
              <w:jc w:val="right"/>
              <w:rPr>
                <w:noProof/>
                <w:sz w:val="20"/>
                <w:szCs w:val="20"/>
              </w:rPr>
            </w:pPr>
            <w:r w:rsidRPr="00B50775">
              <w:rPr>
                <w:noProof/>
                <w:sz w:val="20"/>
                <w:szCs w:val="20"/>
              </w:rPr>
              <w:t>0.4</w:t>
            </w:r>
          </w:p>
        </w:tc>
        <w:tc>
          <w:tcPr>
            <w:tcW w:w="1013" w:type="dxa"/>
            <w:tcBorders>
              <w:top w:val="nil"/>
              <w:left w:val="nil"/>
              <w:bottom w:val="single" w:sz="4" w:space="0" w:color="auto"/>
              <w:right w:val="single" w:sz="4" w:space="0" w:color="auto"/>
            </w:tcBorders>
            <w:shd w:val="clear" w:color="auto" w:fill="FFFFFF" w:themeFill="background1"/>
            <w:noWrap/>
            <w:hideMark/>
          </w:tcPr>
          <w:p w14:paraId="70F64CA4" w14:textId="1C1F422F" w:rsidR="00261FEF" w:rsidRPr="00B50775" w:rsidRDefault="00261FEF" w:rsidP="00261FEF">
            <w:pPr>
              <w:jc w:val="right"/>
              <w:rPr>
                <w:noProof/>
                <w:sz w:val="20"/>
                <w:szCs w:val="20"/>
              </w:rPr>
            </w:pPr>
            <w:r w:rsidRPr="00B50775">
              <w:rPr>
                <w:noProof/>
                <w:sz w:val="20"/>
                <w:szCs w:val="20"/>
              </w:rPr>
              <w:t>1.0</w:t>
            </w:r>
          </w:p>
        </w:tc>
        <w:tc>
          <w:tcPr>
            <w:tcW w:w="1013" w:type="dxa"/>
            <w:tcBorders>
              <w:top w:val="nil"/>
              <w:left w:val="nil"/>
              <w:bottom w:val="single" w:sz="4" w:space="0" w:color="auto"/>
              <w:right w:val="single" w:sz="4" w:space="0" w:color="auto"/>
            </w:tcBorders>
            <w:shd w:val="clear" w:color="auto" w:fill="FFFFFF" w:themeFill="background1"/>
            <w:noWrap/>
            <w:hideMark/>
          </w:tcPr>
          <w:p w14:paraId="33E714BB" w14:textId="763AD180" w:rsidR="00261FEF" w:rsidRPr="00B50775" w:rsidRDefault="00261FEF" w:rsidP="00261FEF">
            <w:pPr>
              <w:jc w:val="right"/>
              <w:rPr>
                <w:noProof/>
                <w:sz w:val="20"/>
                <w:szCs w:val="20"/>
              </w:rPr>
            </w:pPr>
            <w:r w:rsidRPr="00B50775">
              <w:rPr>
                <w:noProof/>
                <w:sz w:val="20"/>
                <w:szCs w:val="20"/>
              </w:rPr>
              <w:t>0.6</w:t>
            </w:r>
          </w:p>
        </w:tc>
      </w:tr>
      <w:tr w:rsidR="00261FEF" w:rsidRPr="00D55D0E" w14:paraId="7CB477E1" w14:textId="77777777" w:rsidTr="00B50775">
        <w:trPr>
          <w:trHeight w:val="225"/>
        </w:trPr>
        <w:tc>
          <w:tcPr>
            <w:tcW w:w="5552" w:type="dxa"/>
            <w:tcBorders>
              <w:top w:val="nil"/>
              <w:left w:val="single" w:sz="4" w:space="0" w:color="auto"/>
              <w:bottom w:val="single" w:sz="4" w:space="0" w:color="auto"/>
              <w:right w:val="single" w:sz="4" w:space="0" w:color="auto"/>
            </w:tcBorders>
            <w:noWrap/>
            <w:hideMark/>
          </w:tcPr>
          <w:p w14:paraId="5192261E" w14:textId="77777777" w:rsidR="00261FEF" w:rsidRPr="004E336D" w:rsidRDefault="00261FEF" w:rsidP="00261FEF">
            <w:pPr>
              <w:rPr>
                <w:noProof/>
                <w:color w:val="000000"/>
                <w:sz w:val="20"/>
                <w:szCs w:val="20"/>
              </w:rPr>
            </w:pPr>
            <w:r w:rsidRPr="004E336D">
              <w:rPr>
                <w:noProof/>
                <w:color w:val="000000"/>
                <w:sz w:val="20"/>
                <w:szCs w:val="20"/>
              </w:rPr>
              <w:t>Total adjustment cost savings for SME operators (million EUR)</w:t>
            </w:r>
          </w:p>
        </w:tc>
        <w:tc>
          <w:tcPr>
            <w:tcW w:w="1012" w:type="dxa"/>
            <w:tcBorders>
              <w:top w:val="nil"/>
              <w:left w:val="nil"/>
              <w:bottom w:val="single" w:sz="4" w:space="0" w:color="auto"/>
              <w:right w:val="single" w:sz="4" w:space="0" w:color="auto"/>
            </w:tcBorders>
            <w:shd w:val="clear" w:color="auto" w:fill="FFFFFF" w:themeFill="background1"/>
            <w:noWrap/>
            <w:hideMark/>
          </w:tcPr>
          <w:p w14:paraId="6ECD2516" w14:textId="4983FFD4" w:rsidR="00261FEF" w:rsidRPr="00B50775" w:rsidRDefault="00261FEF" w:rsidP="00261FEF">
            <w:pPr>
              <w:jc w:val="right"/>
              <w:rPr>
                <w:noProof/>
                <w:sz w:val="20"/>
                <w:szCs w:val="20"/>
              </w:rPr>
            </w:pPr>
            <w:r w:rsidRPr="00B50775">
              <w:rPr>
                <w:noProof/>
                <w:sz w:val="20"/>
                <w:szCs w:val="20"/>
              </w:rPr>
              <w:t>0.1</w:t>
            </w:r>
          </w:p>
        </w:tc>
        <w:tc>
          <w:tcPr>
            <w:tcW w:w="1013" w:type="dxa"/>
            <w:tcBorders>
              <w:top w:val="nil"/>
              <w:left w:val="nil"/>
              <w:bottom w:val="single" w:sz="4" w:space="0" w:color="auto"/>
              <w:right w:val="single" w:sz="4" w:space="0" w:color="auto"/>
            </w:tcBorders>
            <w:shd w:val="clear" w:color="auto" w:fill="FFFFFF" w:themeFill="background1"/>
            <w:noWrap/>
            <w:hideMark/>
          </w:tcPr>
          <w:p w14:paraId="4F14B52D" w14:textId="67FA4A3F" w:rsidR="00261FEF" w:rsidRPr="00B50775" w:rsidRDefault="00261FEF" w:rsidP="00261FEF">
            <w:pPr>
              <w:jc w:val="right"/>
              <w:rPr>
                <w:noProof/>
                <w:sz w:val="20"/>
                <w:szCs w:val="20"/>
              </w:rPr>
            </w:pPr>
            <w:r w:rsidRPr="00B50775">
              <w:rPr>
                <w:noProof/>
                <w:sz w:val="20"/>
                <w:szCs w:val="20"/>
              </w:rPr>
              <w:t>0.0</w:t>
            </w:r>
          </w:p>
        </w:tc>
        <w:tc>
          <w:tcPr>
            <w:tcW w:w="1013" w:type="dxa"/>
            <w:tcBorders>
              <w:top w:val="nil"/>
              <w:left w:val="nil"/>
              <w:bottom w:val="single" w:sz="4" w:space="0" w:color="auto"/>
              <w:right w:val="single" w:sz="4" w:space="0" w:color="auto"/>
            </w:tcBorders>
            <w:shd w:val="clear" w:color="auto" w:fill="FFFFFF" w:themeFill="background1"/>
            <w:noWrap/>
            <w:hideMark/>
          </w:tcPr>
          <w:p w14:paraId="687766AC" w14:textId="07FF31C0" w:rsidR="00261FEF" w:rsidRPr="00B50775" w:rsidRDefault="00261FEF" w:rsidP="00261FEF">
            <w:pPr>
              <w:jc w:val="right"/>
              <w:rPr>
                <w:noProof/>
                <w:sz w:val="20"/>
                <w:szCs w:val="20"/>
              </w:rPr>
            </w:pPr>
            <w:r w:rsidRPr="00B50775">
              <w:rPr>
                <w:noProof/>
                <w:sz w:val="20"/>
                <w:szCs w:val="20"/>
              </w:rPr>
              <w:t>0.1</w:t>
            </w:r>
          </w:p>
        </w:tc>
        <w:tc>
          <w:tcPr>
            <w:tcW w:w="1013" w:type="dxa"/>
            <w:tcBorders>
              <w:top w:val="nil"/>
              <w:left w:val="nil"/>
              <w:bottom w:val="single" w:sz="4" w:space="0" w:color="auto"/>
              <w:right w:val="single" w:sz="4" w:space="0" w:color="auto"/>
            </w:tcBorders>
            <w:shd w:val="clear" w:color="auto" w:fill="FFFFFF" w:themeFill="background1"/>
            <w:noWrap/>
            <w:hideMark/>
          </w:tcPr>
          <w:p w14:paraId="47AAC0D5" w14:textId="64244493" w:rsidR="00261FEF" w:rsidRPr="00B50775" w:rsidRDefault="00261FEF" w:rsidP="00261FEF">
            <w:pPr>
              <w:jc w:val="right"/>
              <w:rPr>
                <w:noProof/>
                <w:sz w:val="20"/>
                <w:szCs w:val="20"/>
              </w:rPr>
            </w:pPr>
            <w:r w:rsidRPr="00B50775">
              <w:rPr>
                <w:noProof/>
                <w:sz w:val="20"/>
                <w:szCs w:val="20"/>
              </w:rPr>
              <w:t>0.0</w:t>
            </w:r>
          </w:p>
        </w:tc>
      </w:tr>
    </w:tbl>
    <w:p w14:paraId="0696CF0F" w14:textId="77777777" w:rsidR="00E95F59" w:rsidRPr="00D71008" w:rsidRDefault="00E95F59" w:rsidP="00E95F59">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31644F39" w14:textId="4FDFF104" w:rsidR="001E184D" w:rsidRDefault="001E184D" w:rsidP="001E184D">
      <w:pPr>
        <w:pStyle w:val="Nornal"/>
        <w:spacing w:after="240" w:line="240" w:lineRule="auto"/>
        <w:rPr>
          <w:rFonts w:cs="Arial"/>
          <w:noProof/>
          <w:spacing w:val="-8"/>
          <w:sz w:val="24"/>
          <w:szCs w:val="24"/>
        </w:rPr>
      </w:pPr>
      <w:r w:rsidRPr="00822452">
        <w:rPr>
          <w:rFonts w:cs="Arial"/>
          <w:noProof/>
          <w:spacing w:val="-8"/>
          <w:sz w:val="24"/>
          <w:szCs w:val="24"/>
        </w:rPr>
        <w:t xml:space="preserve">Expressed as present value over 2028-2050, relative to the baseline, the adjustment costs savings for </w:t>
      </w:r>
      <w:r w:rsidR="009818E9">
        <w:rPr>
          <w:rFonts w:cs="Arial"/>
          <w:noProof/>
          <w:spacing w:val="-8"/>
          <w:sz w:val="24"/>
          <w:szCs w:val="24"/>
        </w:rPr>
        <w:t>non-SME</w:t>
      </w:r>
      <w:r w:rsidRPr="00822452">
        <w:rPr>
          <w:rFonts w:cs="Arial"/>
          <w:noProof/>
          <w:spacing w:val="-8"/>
          <w:sz w:val="24"/>
          <w:szCs w:val="24"/>
        </w:rPr>
        <w:t xml:space="preserve"> and SME </w:t>
      </w:r>
      <w:r>
        <w:rPr>
          <w:rFonts w:cs="Arial"/>
          <w:noProof/>
          <w:spacing w:val="-8"/>
          <w:sz w:val="24"/>
          <w:szCs w:val="24"/>
        </w:rPr>
        <w:t>transport operators</w:t>
      </w:r>
      <w:r w:rsidRPr="00822452">
        <w:rPr>
          <w:rFonts w:cs="Arial"/>
          <w:noProof/>
          <w:spacing w:val="-8"/>
          <w:sz w:val="24"/>
          <w:szCs w:val="24"/>
        </w:rPr>
        <w:t xml:space="preserve"> are provided in the table below. </w:t>
      </w:r>
    </w:p>
    <w:p w14:paraId="703FF8AC" w14:textId="703371EC" w:rsidR="001E184D" w:rsidRPr="000D6E6B" w:rsidRDefault="001E184D" w:rsidP="001E184D">
      <w:pPr>
        <w:tabs>
          <w:tab w:val="left" w:pos="1134"/>
        </w:tabs>
        <w:rPr>
          <w:i/>
          <w:noProof/>
          <w:sz w:val="22"/>
          <w:szCs w:val="22"/>
        </w:rPr>
      </w:pPr>
      <w:r w:rsidRPr="000D6E6B">
        <w:rPr>
          <w:i/>
          <w:noProof/>
          <w:sz w:val="22"/>
          <w:szCs w:val="22"/>
        </w:rPr>
        <w:t xml:space="preserve">Table </w:t>
      </w:r>
      <w:r w:rsidRPr="000D6E6B">
        <w:rPr>
          <w:i/>
          <w:noProof/>
          <w:sz w:val="22"/>
          <w:szCs w:val="22"/>
        </w:rPr>
        <w:fldChar w:fldCharType="begin"/>
      </w:r>
      <w:r w:rsidRPr="000D6E6B">
        <w:rPr>
          <w:i/>
          <w:noProof/>
          <w:sz w:val="22"/>
          <w:szCs w:val="22"/>
        </w:rPr>
        <w:instrText xml:space="preserve"> SEQ Table \* ARABIC </w:instrText>
      </w:r>
      <w:r w:rsidRPr="000D6E6B">
        <w:rPr>
          <w:i/>
          <w:noProof/>
          <w:sz w:val="22"/>
          <w:szCs w:val="22"/>
        </w:rPr>
        <w:fldChar w:fldCharType="separate"/>
      </w:r>
      <w:r w:rsidR="0055391F">
        <w:rPr>
          <w:i/>
          <w:noProof/>
          <w:sz w:val="22"/>
          <w:szCs w:val="22"/>
        </w:rPr>
        <w:t>113</w:t>
      </w:r>
      <w:r w:rsidRPr="000D6E6B">
        <w:rPr>
          <w:i/>
          <w:noProof/>
          <w:sz w:val="22"/>
          <w:szCs w:val="22"/>
        </w:rPr>
        <w:fldChar w:fldCharType="end"/>
      </w:r>
      <w:r w:rsidRPr="000D6E6B">
        <w:rPr>
          <w:i/>
          <w:noProof/>
          <w:sz w:val="22"/>
          <w:szCs w:val="22"/>
        </w:rPr>
        <w:t>: Recurrent adjustment costs savings for transport operators due to PM12, expressed as present value over 2028-2050 relative to the baseline (in million EUR, 2024 prices)</w:t>
      </w: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3"/>
        <w:gridCol w:w="1328"/>
        <w:gridCol w:w="1588"/>
        <w:gridCol w:w="1588"/>
        <w:gridCol w:w="1590"/>
      </w:tblGrid>
      <w:tr w:rsidR="00E36B9F" w:rsidRPr="007C2348" w14:paraId="7E0E195B" w14:textId="77777777" w:rsidTr="003F1FA4">
        <w:trPr>
          <w:trHeight w:val="294"/>
          <w:tblHeader/>
        </w:trPr>
        <w:tc>
          <w:tcPr>
            <w:tcW w:w="3393" w:type="dxa"/>
            <w:vMerge w:val="restart"/>
            <w:shd w:val="clear" w:color="auto" w:fill="0070C0"/>
          </w:tcPr>
          <w:p w14:paraId="7FEA134C" w14:textId="77777777" w:rsidR="00E36B9F" w:rsidRPr="000D6E6B" w:rsidRDefault="00E36B9F" w:rsidP="001E184D">
            <w:pPr>
              <w:jc w:val="both"/>
              <w:rPr>
                <w:noProof/>
                <w:sz w:val="20"/>
                <w:szCs w:val="20"/>
              </w:rPr>
            </w:pPr>
            <w:bookmarkStart w:id="2087" w:name="_Hlk222697404"/>
          </w:p>
        </w:tc>
        <w:tc>
          <w:tcPr>
            <w:tcW w:w="6094" w:type="dxa"/>
            <w:gridSpan w:val="4"/>
            <w:shd w:val="clear" w:color="auto" w:fill="0070C0"/>
            <w:hideMark/>
          </w:tcPr>
          <w:p w14:paraId="51F34E42" w14:textId="77777777" w:rsidR="00E36B9F" w:rsidRPr="000D6E6B" w:rsidRDefault="00E36B9F" w:rsidP="001E184D">
            <w:pPr>
              <w:jc w:val="center"/>
              <w:rPr>
                <w:b/>
                <w:noProof/>
                <w:sz w:val="20"/>
                <w:szCs w:val="20"/>
              </w:rPr>
            </w:pPr>
            <w:r w:rsidRPr="000D6E6B">
              <w:rPr>
                <w:b/>
                <w:noProof/>
                <w:color w:val="FFFFFF" w:themeColor="background1"/>
                <w:sz w:val="20"/>
                <w:szCs w:val="20"/>
              </w:rPr>
              <w:t>Difference to baseline</w:t>
            </w:r>
          </w:p>
        </w:tc>
      </w:tr>
      <w:tr w:rsidR="00E36B9F" w:rsidRPr="007C2348" w14:paraId="48740D2E" w14:textId="77777777" w:rsidTr="003F1FA4">
        <w:trPr>
          <w:trHeight w:val="294"/>
          <w:tblHeader/>
        </w:trPr>
        <w:tc>
          <w:tcPr>
            <w:tcW w:w="3393" w:type="dxa"/>
            <w:vMerge/>
            <w:shd w:val="clear" w:color="auto" w:fill="0070C0"/>
            <w:hideMark/>
          </w:tcPr>
          <w:p w14:paraId="7DEFC106" w14:textId="77777777" w:rsidR="00E36B9F" w:rsidRPr="000D6E6B" w:rsidRDefault="00E36B9F" w:rsidP="001E184D">
            <w:pPr>
              <w:rPr>
                <w:b/>
                <w:noProof/>
                <w:color w:val="FFFFFF" w:themeColor="background1"/>
                <w:sz w:val="20"/>
                <w:szCs w:val="20"/>
              </w:rPr>
            </w:pPr>
          </w:p>
        </w:tc>
        <w:tc>
          <w:tcPr>
            <w:tcW w:w="1328" w:type="dxa"/>
            <w:shd w:val="clear" w:color="auto" w:fill="0070C0"/>
            <w:hideMark/>
          </w:tcPr>
          <w:p w14:paraId="71CD04E1" w14:textId="77777777" w:rsidR="00E36B9F" w:rsidRPr="000D6E6B" w:rsidRDefault="00E36B9F" w:rsidP="001E184D">
            <w:pPr>
              <w:jc w:val="center"/>
              <w:rPr>
                <w:b/>
                <w:noProof/>
                <w:color w:val="FFFFFF" w:themeColor="background1"/>
                <w:sz w:val="20"/>
                <w:szCs w:val="20"/>
              </w:rPr>
            </w:pPr>
            <w:r w:rsidRPr="000D6E6B">
              <w:rPr>
                <w:b/>
                <w:noProof/>
                <w:color w:val="FFFFFF" w:themeColor="background1"/>
                <w:sz w:val="20"/>
                <w:szCs w:val="20"/>
              </w:rPr>
              <w:t>PO1</w:t>
            </w:r>
          </w:p>
        </w:tc>
        <w:tc>
          <w:tcPr>
            <w:tcW w:w="1588" w:type="dxa"/>
            <w:shd w:val="clear" w:color="auto" w:fill="0070C0"/>
            <w:hideMark/>
          </w:tcPr>
          <w:p w14:paraId="614115C3" w14:textId="77777777" w:rsidR="00E36B9F" w:rsidRPr="000D6E6B" w:rsidRDefault="00E36B9F" w:rsidP="001E184D">
            <w:pPr>
              <w:jc w:val="center"/>
              <w:rPr>
                <w:b/>
                <w:noProof/>
                <w:color w:val="FFFFFF" w:themeColor="background1"/>
                <w:sz w:val="20"/>
                <w:szCs w:val="20"/>
              </w:rPr>
            </w:pPr>
            <w:r w:rsidRPr="000D6E6B">
              <w:rPr>
                <w:b/>
                <w:noProof/>
                <w:color w:val="FFFFFF" w:themeColor="background1"/>
                <w:sz w:val="20"/>
                <w:szCs w:val="20"/>
              </w:rPr>
              <w:t>PO2</w:t>
            </w:r>
          </w:p>
        </w:tc>
        <w:tc>
          <w:tcPr>
            <w:tcW w:w="1588" w:type="dxa"/>
            <w:shd w:val="clear" w:color="auto" w:fill="0070C0"/>
            <w:hideMark/>
          </w:tcPr>
          <w:p w14:paraId="18ECB495" w14:textId="77777777" w:rsidR="00E36B9F" w:rsidRPr="000D6E6B" w:rsidRDefault="00E36B9F" w:rsidP="001E184D">
            <w:pPr>
              <w:jc w:val="center"/>
              <w:rPr>
                <w:b/>
                <w:noProof/>
                <w:color w:val="FFFFFF" w:themeColor="background1"/>
                <w:sz w:val="20"/>
                <w:szCs w:val="20"/>
              </w:rPr>
            </w:pPr>
            <w:r w:rsidRPr="000D6E6B">
              <w:rPr>
                <w:b/>
                <w:noProof/>
                <w:color w:val="FFFFFF" w:themeColor="background1"/>
                <w:sz w:val="20"/>
                <w:szCs w:val="20"/>
              </w:rPr>
              <w:t>PO3</w:t>
            </w:r>
          </w:p>
        </w:tc>
        <w:tc>
          <w:tcPr>
            <w:tcW w:w="1590" w:type="dxa"/>
            <w:shd w:val="clear" w:color="auto" w:fill="0070C0"/>
            <w:hideMark/>
          </w:tcPr>
          <w:p w14:paraId="4BD86A55" w14:textId="77777777" w:rsidR="00E36B9F" w:rsidRPr="000D6E6B" w:rsidRDefault="00E36B9F" w:rsidP="001E184D">
            <w:pPr>
              <w:jc w:val="center"/>
              <w:rPr>
                <w:b/>
                <w:noProof/>
                <w:color w:val="FFFFFF" w:themeColor="background1"/>
                <w:sz w:val="20"/>
                <w:szCs w:val="20"/>
              </w:rPr>
            </w:pPr>
            <w:r w:rsidRPr="000D6E6B">
              <w:rPr>
                <w:b/>
                <w:noProof/>
                <w:color w:val="FFFFFF" w:themeColor="background1"/>
                <w:sz w:val="20"/>
                <w:szCs w:val="20"/>
              </w:rPr>
              <w:t>PO4</w:t>
            </w:r>
          </w:p>
        </w:tc>
      </w:tr>
      <w:bookmarkEnd w:id="2087"/>
      <w:tr w:rsidR="00BF0AA0" w:rsidRPr="007C2348" w14:paraId="005E3A4E" w14:textId="77777777" w:rsidTr="001E184D">
        <w:trPr>
          <w:trHeight w:val="294"/>
        </w:trPr>
        <w:tc>
          <w:tcPr>
            <w:tcW w:w="3393" w:type="dxa"/>
          </w:tcPr>
          <w:p w14:paraId="272A706F" w14:textId="5D2DF414" w:rsidR="00BF0AA0" w:rsidRPr="000D6E6B" w:rsidRDefault="00BF0AA0" w:rsidP="00BF0AA0">
            <w:pPr>
              <w:rPr>
                <w:noProof/>
                <w:sz w:val="20"/>
                <w:szCs w:val="20"/>
              </w:rPr>
            </w:pPr>
            <w:r>
              <w:rPr>
                <w:noProof/>
                <w:sz w:val="20"/>
                <w:szCs w:val="20"/>
              </w:rPr>
              <w:t>Non-SME</w:t>
            </w:r>
            <w:r w:rsidRPr="000D6E6B">
              <w:rPr>
                <w:noProof/>
                <w:sz w:val="20"/>
                <w:szCs w:val="20"/>
              </w:rPr>
              <w:t xml:space="preserve"> operators</w:t>
            </w:r>
          </w:p>
        </w:tc>
        <w:tc>
          <w:tcPr>
            <w:tcW w:w="1328" w:type="dxa"/>
            <w:noWrap/>
          </w:tcPr>
          <w:p w14:paraId="22281A2F" w14:textId="2DD29C1A" w:rsidR="00BF0AA0" w:rsidRPr="000D6E6B" w:rsidRDefault="00BF0AA0" w:rsidP="00BF0AA0">
            <w:pPr>
              <w:jc w:val="right"/>
              <w:rPr>
                <w:noProof/>
                <w:sz w:val="20"/>
                <w:szCs w:val="20"/>
              </w:rPr>
            </w:pPr>
            <w:r>
              <w:rPr>
                <w:noProof/>
                <w:color w:val="000000"/>
                <w:sz w:val="20"/>
                <w:szCs w:val="20"/>
              </w:rPr>
              <w:t>0.9</w:t>
            </w:r>
          </w:p>
        </w:tc>
        <w:tc>
          <w:tcPr>
            <w:tcW w:w="1588" w:type="dxa"/>
            <w:noWrap/>
          </w:tcPr>
          <w:p w14:paraId="778137F7" w14:textId="03BB53B0" w:rsidR="00BF0AA0" w:rsidRPr="000D6E6B" w:rsidRDefault="00BF0AA0" w:rsidP="00BF0AA0">
            <w:pPr>
              <w:jc w:val="right"/>
              <w:rPr>
                <w:noProof/>
                <w:sz w:val="20"/>
                <w:szCs w:val="20"/>
              </w:rPr>
            </w:pPr>
            <w:r>
              <w:rPr>
                <w:noProof/>
                <w:color w:val="000000"/>
                <w:sz w:val="20"/>
                <w:szCs w:val="20"/>
              </w:rPr>
              <w:t>12.2</w:t>
            </w:r>
          </w:p>
        </w:tc>
        <w:tc>
          <w:tcPr>
            <w:tcW w:w="1588" w:type="dxa"/>
            <w:noWrap/>
          </w:tcPr>
          <w:p w14:paraId="334CF618" w14:textId="448629EE" w:rsidR="00BF0AA0" w:rsidRPr="000D6E6B" w:rsidRDefault="00BF0AA0" w:rsidP="00BF0AA0">
            <w:pPr>
              <w:jc w:val="right"/>
              <w:rPr>
                <w:noProof/>
                <w:sz w:val="20"/>
                <w:szCs w:val="20"/>
              </w:rPr>
            </w:pPr>
            <w:r>
              <w:rPr>
                <w:noProof/>
                <w:color w:val="000000"/>
                <w:sz w:val="20"/>
                <w:szCs w:val="20"/>
              </w:rPr>
              <w:t>11.0</w:t>
            </w:r>
          </w:p>
        </w:tc>
        <w:tc>
          <w:tcPr>
            <w:tcW w:w="1590" w:type="dxa"/>
            <w:noWrap/>
          </w:tcPr>
          <w:p w14:paraId="2A89B7D5" w14:textId="6A0362A1" w:rsidR="00BF0AA0" w:rsidRPr="000D6E6B" w:rsidRDefault="00BF0AA0" w:rsidP="00BF0AA0">
            <w:pPr>
              <w:jc w:val="right"/>
              <w:rPr>
                <w:noProof/>
                <w:sz w:val="20"/>
                <w:szCs w:val="20"/>
              </w:rPr>
            </w:pPr>
            <w:r>
              <w:rPr>
                <w:noProof/>
                <w:color w:val="000000"/>
                <w:sz w:val="20"/>
                <w:szCs w:val="20"/>
              </w:rPr>
              <w:t>11.6</w:t>
            </w:r>
          </w:p>
        </w:tc>
      </w:tr>
      <w:tr w:rsidR="003F1FA4" w:rsidRPr="007C2348" w14:paraId="4421A872" w14:textId="77777777" w:rsidTr="001E184D">
        <w:trPr>
          <w:trHeight w:val="294"/>
        </w:trPr>
        <w:tc>
          <w:tcPr>
            <w:tcW w:w="3393" w:type="dxa"/>
          </w:tcPr>
          <w:p w14:paraId="39EF603C" w14:textId="77777777" w:rsidR="003F1FA4" w:rsidRPr="000D6E6B" w:rsidRDefault="003F1FA4" w:rsidP="003F1FA4">
            <w:pPr>
              <w:rPr>
                <w:noProof/>
                <w:sz w:val="20"/>
                <w:szCs w:val="20"/>
              </w:rPr>
            </w:pPr>
            <w:r w:rsidRPr="000D6E6B">
              <w:rPr>
                <w:noProof/>
                <w:sz w:val="20"/>
                <w:szCs w:val="20"/>
              </w:rPr>
              <w:t>SME operators</w:t>
            </w:r>
          </w:p>
        </w:tc>
        <w:tc>
          <w:tcPr>
            <w:tcW w:w="1328" w:type="dxa"/>
            <w:noWrap/>
          </w:tcPr>
          <w:p w14:paraId="2F4BA37C" w14:textId="1EEBAC28" w:rsidR="003F1FA4" w:rsidRPr="000D6E6B" w:rsidRDefault="003F1FA4" w:rsidP="003F1FA4">
            <w:pPr>
              <w:jc w:val="right"/>
              <w:rPr>
                <w:noProof/>
                <w:sz w:val="20"/>
                <w:szCs w:val="20"/>
              </w:rPr>
            </w:pPr>
            <w:r>
              <w:rPr>
                <w:noProof/>
                <w:color w:val="000000"/>
                <w:sz w:val="20"/>
                <w:szCs w:val="20"/>
              </w:rPr>
              <w:t>0.1</w:t>
            </w:r>
          </w:p>
        </w:tc>
        <w:tc>
          <w:tcPr>
            <w:tcW w:w="1588" w:type="dxa"/>
            <w:noWrap/>
          </w:tcPr>
          <w:p w14:paraId="03CB8B11" w14:textId="52384310" w:rsidR="003F1FA4" w:rsidRPr="000D6E6B" w:rsidRDefault="003F1FA4" w:rsidP="003F1FA4">
            <w:pPr>
              <w:jc w:val="right"/>
              <w:rPr>
                <w:noProof/>
                <w:sz w:val="20"/>
                <w:szCs w:val="20"/>
              </w:rPr>
            </w:pPr>
            <w:r>
              <w:rPr>
                <w:noProof/>
                <w:color w:val="000000"/>
                <w:sz w:val="20"/>
                <w:szCs w:val="20"/>
              </w:rPr>
              <w:t>0.8</w:t>
            </w:r>
          </w:p>
        </w:tc>
        <w:tc>
          <w:tcPr>
            <w:tcW w:w="1588" w:type="dxa"/>
            <w:noWrap/>
          </w:tcPr>
          <w:p w14:paraId="32A2B570" w14:textId="5371900F" w:rsidR="003F1FA4" w:rsidRPr="000D6E6B" w:rsidRDefault="003F1FA4" w:rsidP="003F1FA4">
            <w:pPr>
              <w:jc w:val="right"/>
              <w:rPr>
                <w:noProof/>
                <w:sz w:val="20"/>
                <w:szCs w:val="20"/>
              </w:rPr>
            </w:pPr>
            <w:r>
              <w:rPr>
                <w:noProof/>
                <w:color w:val="000000"/>
                <w:sz w:val="20"/>
                <w:szCs w:val="20"/>
              </w:rPr>
              <w:t>0.7</w:t>
            </w:r>
          </w:p>
        </w:tc>
        <w:tc>
          <w:tcPr>
            <w:tcW w:w="1590" w:type="dxa"/>
            <w:noWrap/>
          </w:tcPr>
          <w:p w14:paraId="27174E40" w14:textId="46B061B8" w:rsidR="003F1FA4" w:rsidRPr="000D6E6B" w:rsidRDefault="003F1FA4" w:rsidP="003F1FA4">
            <w:pPr>
              <w:jc w:val="right"/>
              <w:rPr>
                <w:noProof/>
                <w:sz w:val="20"/>
                <w:szCs w:val="20"/>
              </w:rPr>
            </w:pPr>
            <w:r>
              <w:rPr>
                <w:noProof/>
                <w:color w:val="000000"/>
                <w:sz w:val="20"/>
                <w:szCs w:val="20"/>
              </w:rPr>
              <w:t>0.7</w:t>
            </w:r>
          </w:p>
        </w:tc>
      </w:tr>
    </w:tbl>
    <w:p w14:paraId="034AFC44" w14:textId="77777777" w:rsidR="001E184D" w:rsidRPr="00D71008" w:rsidRDefault="001E184D" w:rsidP="001E184D">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315BFDCC" w14:textId="1C1B111D" w:rsidR="006739FB" w:rsidRPr="006739FB" w:rsidRDefault="006739FB" w:rsidP="007B2D8E">
      <w:pPr>
        <w:pStyle w:val="ListParagraph"/>
        <w:keepNext/>
        <w:widowControl/>
        <w:numPr>
          <w:ilvl w:val="2"/>
          <w:numId w:val="10"/>
        </w:numPr>
        <w:autoSpaceDE/>
        <w:autoSpaceDN/>
        <w:spacing w:after="240"/>
        <w:jc w:val="both"/>
        <w:outlineLvl w:val="2"/>
        <w:rPr>
          <w:i/>
          <w:iCs/>
          <w:noProof/>
          <w:sz w:val="24"/>
          <w:szCs w:val="24"/>
        </w:rPr>
      </w:pPr>
      <w:bookmarkStart w:id="2088" w:name="_Toc222749074"/>
      <w:bookmarkStart w:id="2089" w:name="_Toc223981678"/>
      <w:r w:rsidRPr="003A1070">
        <w:rPr>
          <w:i/>
          <w:iCs/>
          <w:noProof/>
          <w:sz w:val="24"/>
          <w:szCs w:val="24"/>
        </w:rPr>
        <w:t>PM1</w:t>
      </w:r>
      <w:r>
        <w:rPr>
          <w:i/>
          <w:iCs/>
          <w:noProof/>
          <w:sz w:val="24"/>
          <w:szCs w:val="24"/>
        </w:rPr>
        <w:t>3</w:t>
      </w:r>
      <w:r w:rsidRPr="003A1070">
        <w:rPr>
          <w:i/>
          <w:iCs/>
          <w:noProof/>
          <w:sz w:val="24"/>
          <w:szCs w:val="24"/>
        </w:rPr>
        <w:t xml:space="preserve"> – </w:t>
      </w:r>
      <w:r w:rsidRPr="006739FB">
        <w:rPr>
          <w:bCs/>
          <w:i/>
          <w:iCs/>
          <w:noProof/>
          <w:sz w:val="24"/>
          <w:szCs w:val="24"/>
        </w:rPr>
        <w:t>Indispensable RU</w:t>
      </w:r>
      <w:r w:rsidR="00730A4A">
        <w:rPr>
          <w:bCs/>
          <w:i/>
          <w:iCs/>
          <w:noProof/>
          <w:sz w:val="24"/>
          <w:szCs w:val="24"/>
        </w:rPr>
        <w:t>s</w:t>
      </w:r>
      <w:r w:rsidR="007403F6">
        <w:rPr>
          <w:bCs/>
          <w:i/>
          <w:iCs/>
          <w:noProof/>
          <w:sz w:val="24"/>
          <w:szCs w:val="24"/>
        </w:rPr>
        <w:t xml:space="preserve"> (</w:t>
      </w:r>
      <w:r w:rsidR="007403F6" w:rsidRPr="007403F6">
        <w:rPr>
          <w:bCs/>
          <w:i/>
          <w:iCs/>
          <w:noProof/>
          <w:sz w:val="24"/>
          <w:szCs w:val="24"/>
        </w:rPr>
        <w:t>with SMP and operating PSO and cross- border services</w:t>
      </w:r>
      <w:r w:rsidR="007403F6">
        <w:rPr>
          <w:bCs/>
          <w:i/>
          <w:iCs/>
          <w:noProof/>
          <w:sz w:val="24"/>
          <w:szCs w:val="24"/>
        </w:rPr>
        <w:t>)</w:t>
      </w:r>
      <w:r w:rsidR="006706E7">
        <w:rPr>
          <w:bCs/>
          <w:i/>
          <w:iCs/>
          <w:noProof/>
          <w:sz w:val="24"/>
          <w:szCs w:val="24"/>
        </w:rPr>
        <w:t>:</w:t>
      </w:r>
      <w:r w:rsidRPr="006739FB">
        <w:rPr>
          <w:bCs/>
          <w:i/>
          <w:iCs/>
          <w:noProof/>
          <w:sz w:val="24"/>
          <w:szCs w:val="24"/>
        </w:rPr>
        <w:t xml:space="preserve"> must enter into commercial agreements</w:t>
      </w:r>
      <w:r w:rsidRPr="006739FB">
        <w:rPr>
          <w:i/>
          <w:iCs/>
          <w:noProof/>
          <w:sz w:val="24"/>
          <w:szCs w:val="24"/>
        </w:rPr>
        <w:t xml:space="preserve"> with willing MDMS platforms to enable the re-linking, resale and/or distribution of their tickets</w:t>
      </w:r>
      <w:bookmarkEnd w:id="2088"/>
      <w:bookmarkEnd w:id="2089"/>
    </w:p>
    <w:p w14:paraId="4568599B" w14:textId="77777777" w:rsidR="00E700A5" w:rsidRDefault="00C948D4" w:rsidP="00AB788C">
      <w:pPr>
        <w:spacing w:after="240"/>
        <w:jc w:val="both"/>
        <w:rPr>
          <w:noProof/>
          <w:spacing w:val="-8"/>
        </w:rPr>
      </w:pPr>
      <w:r w:rsidRPr="00C948D4">
        <w:rPr>
          <w:noProof/>
          <w:spacing w:val="-8"/>
        </w:rPr>
        <w:t>PM13 introduces</w:t>
      </w:r>
      <w:r w:rsidR="00665550">
        <w:rPr>
          <w:noProof/>
          <w:spacing w:val="-8"/>
        </w:rPr>
        <w:t xml:space="preserve"> an</w:t>
      </w:r>
      <w:r w:rsidRPr="00C948D4">
        <w:rPr>
          <w:noProof/>
          <w:spacing w:val="-8"/>
        </w:rPr>
        <w:t xml:space="preserve"> obligation for </w:t>
      </w:r>
      <w:r w:rsidR="00665550">
        <w:rPr>
          <w:noProof/>
          <w:spacing w:val="-8"/>
        </w:rPr>
        <w:t>indispensable RUs (RUs</w:t>
      </w:r>
      <w:r w:rsidRPr="00C948D4">
        <w:rPr>
          <w:noProof/>
          <w:spacing w:val="-8"/>
        </w:rPr>
        <w:t xml:space="preserve"> with SMP and PSO/cross-border </w:t>
      </w:r>
      <w:r w:rsidR="00665550">
        <w:rPr>
          <w:noProof/>
          <w:spacing w:val="-8"/>
        </w:rPr>
        <w:t>RUs)</w:t>
      </w:r>
      <w:r w:rsidRPr="00C948D4">
        <w:rPr>
          <w:noProof/>
          <w:spacing w:val="-8"/>
        </w:rPr>
        <w:t xml:space="preserve"> to </w:t>
      </w:r>
      <w:r w:rsidR="00665550" w:rsidRPr="00665550">
        <w:rPr>
          <w:noProof/>
          <w:spacing w:val="-8"/>
        </w:rPr>
        <w:t xml:space="preserve">enter into commercial agreements with willing </w:t>
      </w:r>
      <w:r w:rsidR="006260E3">
        <w:rPr>
          <w:noProof/>
          <w:spacing w:val="-8"/>
        </w:rPr>
        <w:t>ticketing</w:t>
      </w:r>
      <w:r w:rsidR="00665550" w:rsidRPr="00665550">
        <w:rPr>
          <w:noProof/>
          <w:spacing w:val="-8"/>
        </w:rPr>
        <w:t xml:space="preserve"> platforms</w:t>
      </w:r>
      <w:r w:rsidR="00665550">
        <w:rPr>
          <w:noProof/>
          <w:spacing w:val="-8"/>
        </w:rPr>
        <w:t xml:space="preserve"> to allow the distribution of </w:t>
      </w:r>
      <w:r w:rsidR="006260E3">
        <w:rPr>
          <w:noProof/>
          <w:spacing w:val="-8"/>
        </w:rPr>
        <w:t>their</w:t>
      </w:r>
      <w:r w:rsidR="00665550">
        <w:rPr>
          <w:noProof/>
          <w:spacing w:val="-8"/>
        </w:rPr>
        <w:t xml:space="preserve"> tickets</w:t>
      </w:r>
      <w:r w:rsidRPr="00665550">
        <w:rPr>
          <w:noProof/>
          <w:spacing w:val="-8"/>
        </w:rPr>
        <w:t>.</w:t>
      </w:r>
      <w:r w:rsidRPr="00C948D4">
        <w:rPr>
          <w:noProof/>
          <w:spacing w:val="-8"/>
        </w:rPr>
        <w:t xml:space="preserve"> </w:t>
      </w:r>
    </w:p>
    <w:p w14:paraId="7C340735" w14:textId="4F427BA7" w:rsidR="00252AF9" w:rsidRPr="00252AF9" w:rsidRDefault="00C948D4" w:rsidP="00AB788C">
      <w:pPr>
        <w:spacing w:after="240"/>
        <w:jc w:val="both"/>
        <w:rPr>
          <w:noProof/>
          <w:spacing w:val="-8"/>
        </w:rPr>
      </w:pPr>
      <w:r w:rsidRPr="00C948D4">
        <w:rPr>
          <w:noProof/>
          <w:spacing w:val="-8"/>
        </w:rPr>
        <w:t xml:space="preserve">Since obligated </w:t>
      </w:r>
      <w:r w:rsidR="00830CC8">
        <w:rPr>
          <w:noProof/>
          <w:spacing w:val="-8"/>
        </w:rPr>
        <w:t xml:space="preserve">RUs </w:t>
      </w:r>
      <w:r w:rsidRPr="00C948D4">
        <w:rPr>
          <w:noProof/>
          <w:spacing w:val="-8"/>
        </w:rPr>
        <w:t xml:space="preserve">would not have entered these </w:t>
      </w:r>
      <w:r w:rsidR="00830CC8">
        <w:rPr>
          <w:noProof/>
          <w:spacing w:val="-8"/>
        </w:rPr>
        <w:t xml:space="preserve">commercial </w:t>
      </w:r>
      <w:r w:rsidRPr="00C948D4">
        <w:rPr>
          <w:noProof/>
          <w:spacing w:val="-8"/>
        </w:rPr>
        <w:t xml:space="preserve">agreements in the absence of policy intervention, obligated entities therefore incur costs to facilitate this. </w:t>
      </w:r>
      <w:r w:rsidR="00252AF9">
        <w:rPr>
          <w:noProof/>
          <w:spacing w:val="-8"/>
        </w:rPr>
        <w:t>Beyond, w</w:t>
      </w:r>
      <w:r w:rsidR="00252AF9" w:rsidRPr="00252AF9">
        <w:rPr>
          <w:noProof/>
          <w:spacing w:val="-8"/>
        </w:rPr>
        <w:t xml:space="preserve">hile costs would also reasonably be expected for the MDMS platform that wants to display the </w:t>
      </w:r>
      <w:r w:rsidR="00C61E12">
        <w:rPr>
          <w:noProof/>
          <w:spacing w:val="-8"/>
        </w:rPr>
        <w:t>RU</w:t>
      </w:r>
      <w:r w:rsidR="00A57F7F">
        <w:rPr>
          <w:noProof/>
          <w:spacing w:val="-8"/>
        </w:rPr>
        <w:t>s</w:t>
      </w:r>
      <w:r w:rsidR="00252AF9" w:rsidRPr="00252AF9">
        <w:rPr>
          <w:noProof/>
          <w:spacing w:val="-8"/>
        </w:rPr>
        <w:t xml:space="preserve">, as profit-making business that benefit from economies of scale from the passengers they serve, they would also be expected to generate revenues that would at least outweigh the costs. If they did not, then the platform would not be ‘willing’ to enter the agreement. </w:t>
      </w:r>
    </w:p>
    <w:p w14:paraId="0BCB5BC1" w14:textId="77777777" w:rsidR="00AB788C" w:rsidRDefault="00AB788C" w:rsidP="00AB788C">
      <w:pPr>
        <w:spacing w:after="240"/>
        <w:rPr>
          <w:rFonts w:eastAsia="Calibri"/>
          <w:noProof/>
          <w:spacing w:val="-8"/>
        </w:rPr>
      </w:pPr>
      <w:r w:rsidRPr="005A4431">
        <w:rPr>
          <w:rFonts w:eastAsia="Calibri"/>
          <w:noProof/>
          <w:spacing w:val="-8"/>
        </w:rPr>
        <w:t>The measure is expected to result in:</w:t>
      </w:r>
    </w:p>
    <w:p w14:paraId="426497C2" w14:textId="77777777" w:rsidR="00AB788C" w:rsidRPr="00D65562" w:rsidRDefault="00AB788C" w:rsidP="001979E4">
      <w:pPr>
        <w:pStyle w:val="ListParagraph"/>
        <w:widowControl/>
        <w:numPr>
          <w:ilvl w:val="0"/>
          <w:numId w:val="35"/>
        </w:numPr>
        <w:autoSpaceDE/>
        <w:autoSpaceDN/>
        <w:spacing w:before="0" w:after="240"/>
        <w:ind w:left="284" w:right="57" w:hanging="284"/>
        <w:jc w:val="both"/>
        <w:rPr>
          <w:noProof/>
          <w:sz w:val="24"/>
          <w:szCs w:val="24"/>
        </w:rPr>
      </w:pPr>
      <w:r w:rsidRPr="00D65562">
        <w:rPr>
          <w:noProof/>
          <w:sz w:val="24"/>
          <w:szCs w:val="24"/>
        </w:rPr>
        <w:t>One-off a</w:t>
      </w:r>
      <w:r w:rsidRPr="00D65562">
        <w:rPr>
          <w:rFonts w:cs="Arial"/>
          <w:noProof/>
          <w:spacing w:val="-8"/>
          <w:sz w:val="24"/>
          <w:szCs w:val="24"/>
        </w:rPr>
        <w:t xml:space="preserve">djustment costs for </w:t>
      </w:r>
      <w:r w:rsidRPr="00B6747F">
        <w:rPr>
          <w:rFonts w:cs="Arial"/>
          <w:noProof/>
          <w:spacing w:val="-8"/>
          <w:sz w:val="24"/>
          <w:szCs w:val="24"/>
        </w:rPr>
        <w:t>indispensable RU</w:t>
      </w:r>
      <w:r>
        <w:rPr>
          <w:rFonts w:cs="Arial"/>
          <w:noProof/>
          <w:spacing w:val="-8"/>
          <w:sz w:val="24"/>
          <w:szCs w:val="24"/>
        </w:rPr>
        <w:t>s</w:t>
      </w:r>
      <w:r w:rsidRPr="00B6747F">
        <w:rPr>
          <w:rFonts w:cs="Arial"/>
          <w:noProof/>
          <w:spacing w:val="-8"/>
          <w:sz w:val="24"/>
          <w:szCs w:val="24"/>
        </w:rPr>
        <w:t xml:space="preserve"> </w:t>
      </w:r>
      <w:r w:rsidRPr="00D65562">
        <w:rPr>
          <w:rFonts w:cs="Arial"/>
          <w:noProof/>
          <w:spacing w:val="-8"/>
          <w:sz w:val="24"/>
          <w:szCs w:val="24"/>
        </w:rPr>
        <w:t xml:space="preserve">to </w:t>
      </w:r>
      <w:r w:rsidRPr="0091026B">
        <w:rPr>
          <w:rFonts w:cs="Arial"/>
          <w:bCs/>
          <w:noProof/>
          <w:spacing w:val="-8"/>
          <w:sz w:val="24"/>
          <w:szCs w:val="24"/>
        </w:rPr>
        <w:t>enter into commercial agreements</w:t>
      </w:r>
      <w:r w:rsidRPr="0091026B">
        <w:rPr>
          <w:rFonts w:cs="Arial"/>
          <w:noProof/>
          <w:spacing w:val="-8"/>
          <w:sz w:val="24"/>
          <w:szCs w:val="24"/>
        </w:rPr>
        <w:t xml:space="preserve"> with willing MDMS platforms to enable the re-linking, resale and/or distribution of their tickets</w:t>
      </w:r>
      <w:r w:rsidRPr="00D65562">
        <w:rPr>
          <w:rFonts w:cs="Arial"/>
          <w:noProof/>
          <w:spacing w:val="-8"/>
          <w:sz w:val="24"/>
          <w:szCs w:val="24"/>
        </w:rPr>
        <w:t>.</w:t>
      </w:r>
    </w:p>
    <w:p w14:paraId="28EFCC18" w14:textId="77777777" w:rsidR="00D75710" w:rsidRPr="00FF2B87" w:rsidRDefault="00D75710" w:rsidP="004F20C3">
      <w:pPr>
        <w:pStyle w:val="Nornal"/>
        <w:spacing w:after="240" w:line="240" w:lineRule="auto"/>
        <w:rPr>
          <w:rFonts w:cs="Arial"/>
          <w:i/>
          <w:iCs/>
          <w:noProof/>
          <w:spacing w:val="-8"/>
          <w:sz w:val="24"/>
          <w:szCs w:val="24"/>
        </w:rPr>
      </w:pPr>
      <w:r w:rsidRPr="00FF2B87">
        <w:rPr>
          <w:rFonts w:cs="Arial"/>
          <w:i/>
          <w:iCs/>
          <w:noProof/>
          <w:spacing w:val="-8"/>
          <w:sz w:val="24"/>
          <w:szCs w:val="24"/>
        </w:rPr>
        <w:t xml:space="preserve">One-off </w:t>
      </w:r>
      <w:r>
        <w:rPr>
          <w:rFonts w:cs="Arial"/>
          <w:i/>
          <w:iCs/>
          <w:noProof/>
          <w:spacing w:val="-8"/>
          <w:sz w:val="24"/>
          <w:szCs w:val="24"/>
        </w:rPr>
        <w:t xml:space="preserve">adjustment costs for </w:t>
      </w:r>
      <w:r w:rsidRPr="006978FC">
        <w:rPr>
          <w:rFonts w:cs="Arial"/>
          <w:i/>
          <w:iCs/>
          <w:noProof/>
          <w:spacing w:val="-8"/>
          <w:sz w:val="24"/>
          <w:szCs w:val="24"/>
        </w:rPr>
        <w:t>indispensable RU</w:t>
      </w:r>
      <w:r>
        <w:rPr>
          <w:rFonts w:cs="Arial"/>
          <w:i/>
          <w:iCs/>
          <w:noProof/>
          <w:spacing w:val="-8"/>
          <w:sz w:val="24"/>
          <w:szCs w:val="24"/>
        </w:rPr>
        <w:t>s</w:t>
      </w:r>
    </w:p>
    <w:p w14:paraId="137A2199" w14:textId="7AF8C333" w:rsidR="00202D31" w:rsidRDefault="00C948D4" w:rsidP="00AB788C">
      <w:pPr>
        <w:spacing w:after="240"/>
        <w:jc w:val="both"/>
        <w:rPr>
          <w:rFonts w:eastAsia="Calibri"/>
          <w:noProof/>
          <w:spacing w:val="-8"/>
        </w:rPr>
      </w:pPr>
      <w:r w:rsidRPr="00C948D4">
        <w:rPr>
          <w:noProof/>
          <w:spacing w:val="-8"/>
        </w:rPr>
        <w:t xml:space="preserve">The </w:t>
      </w:r>
      <w:r w:rsidR="00AB788C">
        <w:rPr>
          <w:noProof/>
          <w:spacing w:val="-8"/>
        </w:rPr>
        <w:t xml:space="preserve">one-off adjustment </w:t>
      </w:r>
      <w:r w:rsidRPr="00C948D4">
        <w:rPr>
          <w:noProof/>
          <w:spacing w:val="-8"/>
        </w:rPr>
        <w:t>cost</w:t>
      </w:r>
      <w:r w:rsidR="00D75710">
        <w:rPr>
          <w:noProof/>
          <w:spacing w:val="-8"/>
        </w:rPr>
        <w:t>s</w:t>
      </w:r>
      <w:r w:rsidR="00483D15">
        <w:rPr>
          <w:noProof/>
          <w:spacing w:val="-8"/>
        </w:rPr>
        <w:t xml:space="preserve"> for indispensable RUs </w:t>
      </w:r>
      <w:r w:rsidR="00D44438">
        <w:rPr>
          <w:noProof/>
          <w:spacing w:val="-8"/>
        </w:rPr>
        <w:t xml:space="preserve">due to PM13 </w:t>
      </w:r>
      <w:r w:rsidR="00483D15">
        <w:rPr>
          <w:noProof/>
          <w:spacing w:val="-8"/>
        </w:rPr>
        <w:t>cover</w:t>
      </w:r>
      <w:r w:rsidRPr="00C948D4">
        <w:rPr>
          <w:noProof/>
          <w:spacing w:val="-8"/>
        </w:rPr>
        <w:t xml:space="preserve"> two </w:t>
      </w:r>
      <w:r w:rsidR="00483D15">
        <w:rPr>
          <w:noProof/>
          <w:spacing w:val="-8"/>
        </w:rPr>
        <w:t>elements</w:t>
      </w:r>
      <w:r w:rsidRPr="00C948D4">
        <w:rPr>
          <w:noProof/>
          <w:spacing w:val="-8"/>
        </w:rPr>
        <w:t>:</w:t>
      </w:r>
      <w:r w:rsidR="001C2444">
        <w:rPr>
          <w:noProof/>
          <w:spacing w:val="-8"/>
        </w:rPr>
        <w:t xml:space="preserve"> (</w:t>
      </w:r>
      <w:r w:rsidR="001C2444" w:rsidRPr="001C2444">
        <w:rPr>
          <w:i/>
          <w:noProof/>
          <w:spacing w:val="-8"/>
        </w:rPr>
        <w:t>i</w:t>
      </w:r>
      <w:r w:rsidR="001C2444">
        <w:rPr>
          <w:noProof/>
          <w:spacing w:val="-8"/>
        </w:rPr>
        <w:t>)</w:t>
      </w:r>
      <w:r w:rsidRPr="00C948D4">
        <w:rPr>
          <w:noProof/>
          <w:spacing w:val="-8"/>
        </w:rPr>
        <w:t xml:space="preserve"> </w:t>
      </w:r>
      <w:r w:rsidR="001C2444">
        <w:rPr>
          <w:noProof/>
          <w:spacing w:val="-8"/>
        </w:rPr>
        <w:t>t</w:t>
      </w:r>
      <w:r w:rsidRPr="00C948D4">
        <w:rPr>
          <w:noProof/>
          <w:spacing w:val="-8"/>
        </w:rPr>
        <w:t>he cost of negotiating the agreement</w:t>
      </w:r>
      <w:r w:rsidR="001C2444">
        <w:rPr>
          <w:noProof/>
          <w:spacing w:val="-8"/>
        </w:rPr>
        <w:t>; and (</w:t>
      </w:r>
      <w:r w:rsidR="001C2444" w:rsidRPr="001C2444">
        <w:rPr>
          <w:i/>
          <w:noProof/>
          <w:spacing w:val="-8"/>
        </w:rPr>
        <w:t>ii</w:t>
      </w:r>
      <w:r w:rsidR="001C2444">
        <w:rPr>
          <w:noProof/>
          <w:spacing w:val="-8"/>
        </w:rPr>
        <w:t>) the cost of facilitating data exchange for distribution.</w:t>
      </w:r>
      <w:r w:rsidR="0091026B">
        <w:rPr>
          <w:noProof/>
          <w:spacing w:val="-8"/>
        </w:rPr>
        <w:t xml:space="preserve"> </w:t>
      </w:r>
    </w:p>
    <w:p w14:paraId="49B5B2E7" w14:textId="620C52D1" w:rsidR="00C948D4" w:rsidRDefault="00AC4048" w:rsidP="00AB788C">
      <w:pPr>
        <w:spacing w:after="240"/>
        <w:jc w:val="both"/>
        <w:rPr>
          <w:noProof/>
          <w:spacing w:val="-8"/>
        </w:rPr>
      </w:pPr>
      <w:r>
        <w:rPr>
          <w:rFonts w:eastAsia="Calibri"/>
          <w:noProof/>
          <w:spacing w:val="-8"/>
        </w:rPr>
        <w:t>I</w:t>
      </w:r>
      <w:r w:rsidRPr="00544ABD">
        <w:rPr>
          <w:rFonts w:eastAsia="Calibri"/>
          <w:noProof/>
          <w:spacing w:val="-8"/>
        </w:rPr>
        <w:t>ndispensable RU</w:t>
      </w:r>
      <w:r>
        <w:rPr>
          <w:rFonts w:eastAsia="Calibri"/>
          <w:noProof/>
          <w:spacing w:val="-8"/>
        </w:rPr>
        <w:t xml:space="preserve">s </w:t>
      </w:r>
      <w:r w:rsidRPr="00C24D74">
        <w:rPr>
          <w:rFonts w:eastAsia="Calibri"/>
          <w:noProof/>
          <w:spacing w:val="-8"/>
        </w:rPr>
        <w:t xml:space="preserve">are expected to incur </w:t>
      </w:r>
      <w:r w:rsidR="00AC67AD">
        <w:rPr>
          <w:rFonts w:eastAsia="Calibri"/>
          <w:noProof/>
          <w:spacing w:val="-8"/>
        </w:rPr>
        <w:t>one-</w:t>
      </w:r>
      <w:r w:rsidRPr="00C24D74">
        <w:rPr>
          <w:rFonts w:eastAsia="Calibri"/>
          <w:noProof/>
          <w:spacing w:val="-8"/>
        </w:rPr>
        <w:t xml:space="preserve">off </w:t>
      </w:r>
      <w:r w:rsidR="00AC67AD">
        <w:rPr>
          <w:rFonts w:eastAsia="Calibri"/>
          <w:noProof/>
          <w:spacing w:val="-8"/>
        </w:rPr>
        <w:t>adjustment</w:t>
      </w:r>
      <w:r>
        <w:rPr>
          <w:rFonts w:eastAsia="Calibri"/>
          <w:noProof/>
          <w:spacing w:val="-8"/>
        </w:rPr>
        <w:t xml:space="preserve"> costs</w:t>
      </w:r>
      <w:r w:rsidRPr="00C24D74">
        <w:rPr>
          <w:rFonts w:eastAsia="Calibri"/>
          <w:noProof/>
          <w:spacing w:val="-8"/>
        </w:rPr>
        <w:t xml:space="preserve"> for </w:t>
      </w:r>
      <w:r>
        <w:rPr>
          <w:rFonts w:eastAsia="Calibri"/>
          <w:noProof/>
          <w:spacing w:val="-8"/>
        </w:rPr>
        <w:t xml:space="preserve">entering into commercial agreements with willing </w:t>
      </w:r>
      <w:r w:rsidR="002D19D4">
        <w:rPr>
          <w:rFonts w:eastAsia="Calibri"/>
          <w:noProof/>
          <w:spacing w:val="-8"/>
        </w:rPr>
        <w:t>MDMS platforms</w:t>
      </w:r>
      <w:r w:rsidRPr="00C24D74">
        <w:rPr>
          <w:rFonts w:eastAsia="Calibri"/>
          <w:noProof/>
          <w:spacing w:val="-8"/>
        </w:rPr>
        <w:t xml:space="preserve">. </w:t>
      </w:r>
      <w:r w:rsidR="008B2CD4">
        <w:rPr>
          <w:rFonts w:eastAsia="Calibri"/>
          <w:noProof/>
          <w:spacing w:val="-8"/>
        </w:rPr>
        <w:t>As regards</w:t>
      </w:r>
      <w:r w:rsidR="00D2657B">
        <w:rPr>
          <w:rFonts w:eastAsia="Calibri"/>
          <w:noProof/>
          <w:spacing w:val="-8"/>
        </w:rPr>
        <w:t xml:space="preserve"> the</w:t>
      </w:r>
      <w:r w:rsidR="008B2CD4">
        <w:rPr>
          <w:rFonts w:eastAsia="Calibri"/>
          <w:noProof/>
          <w:spacing w:val="-8"/>
        </w:rPr>
        <w:t xml:space="preserve"> costs of negotiating agreements, g</w:t>
      </w:r>
      <w:r w:rsidR="00C948D4" w:rsidRPr="00C948D4">
        <w:rPr>
          <w:noProof/>
          <w:spacing w:val="-8"/>
        </w:rPr>
        <w:t>iven that PM11 and PM12 apply in all policy options, principles on distribution fees and terms preventing highly restrictive clauses are assumed to reduce contract negotiation costs by 10%, leading to an assumed total negotiation cost of EUR 18,000 per agreement.</w:t>
      </w:r>
      <w:r w:rsidR="008B2CD4">
        <w:rPr>
          <w:noProof/>
          <w:spacing w:val="-8"/>
        </w:rPr>
        <w:t xml:space="preserve"> </w:t>
      </w:r>
      <w:r w:rsidR="000627EB">
        <w:rPr>
          <w:noProof/>
          <w:spacing w:val="-8"/>
        </w:rPr>
        <w:t>T</w:t>
      </w:r>
      <w:r w:rsidR="008B2CD4">
        <w:rPr>
          <w:noProof/>
          <w:spacing w:val="-8"/>
        </w:rPr>
        <w:t xml:space="preserve">he technical </w:t>
      </w:r>
      <w:r w:rsidR="00C948D4" w:rsidRPr="00C948D4">
        <w:rPr>
          <w:noProof/>
          <w:spacing w:val="-8"/>
        </w:rPr>
        <w:t xml:space="preserve">costs </w:t>
      </w:r>
      <w:r w:rsidR="000627EB">
        <w:rPr>
          <w:noProof/>
          <w:spacing w:val="-8"/>
        </w:rPr>
        <w:t>for</w:t>
      </w:r>
      <w:r w:rsidR="00C948D4" w:rsidRPr="00C948D4">
        <w:rPr>
          <w:noProof/>
          <w:spacing w:val="-8"/>
        </w:rPr>
        <w:t xml:space="preserve"> </w:t>
      </w:r>
      <w:r w:rsidR="008B2CD4" w:rsidRPr="008B2CD4">
        <w:rPr>
          <w:noProof/>
          <w:spacing w:val="-8"/>
        </w:rPr>
        <w:t>facilitating data exchange for distribution</w:t>
      </w:r>
      <w:r w:rsidR="00C948D4" w:rsidRPr="00C948D4">
        <w:rPr>
          <w:noProof/>
          <w:spacing w:val="-8"/>
        </w:rPr>
        <w:t xml:space="preserve"> </w:t>
      </w:r>
      <w:r w:rsidR="000D6BE7">
        <w:rPr>
          <w:noProof/>
          <w:spacing w:val="-8"/>
        </w:rPr>
        <w:t>are</w:t>
      </w:r>
      <w:r w:rsidR="00C948D4" w:rsidRPr="00C948D4">
        <w:rPr>
          <w:noProof/>
          <w:spacing w:val="-8"/>
        </w:rPr>
        <w:t xml:space="preserve"> already accounted for in the baseline since TSI Telematics</w:t>
      </w:r>
      <w:r w:rsidR="0026703D">
        <w:rPr>
          <w:rStyle w:val="FootnoteReference"/>
          <w:noProof/>
          <w:spacing w:val="-8"/>
        </w:rPr>
        <w:footnoteReference w:id="355"/>
      </w:r>
      <w:r w:rsidR="00C948D4" w:rsidRPr="00C948D4">
        <w:rPr>
          <w:noProof/>
          <w:spacing w:val="-8"/>
        </w:rPr>
        <w:t xml:space="preserve"> impose</w:t>
      </w:r>
      <w:r w:rsidR="00341986">
        <w:rPr>
          <w:noProof/>
          <w:spacing w:val="-8"/>
        </w:rPr>
        <w:t>s</w:t>
      </w:r>
      <w:r w:rsidR="00C948D4" w:rsidRPr="00C948D4">
        <w:rPr>
          <w:noProof/>
          <w:spacing w:val="-8"/>
        </w:rPr>
        <w:t xml:space="preserve"> interoperability requirements in rail</w:t>
      </w:r>
      <w:r w:rsidR="00F5560D">
        <w:rPr>
          <w:noProof/>
          <w:spacing w:val="-8"/>
        </w:rPr>
        <w:t>.</w:t>
      </w:r>
      <w:r w:rsidR="00C948D4" w:rsidRPr="00C948D4">
        <w:rPr>
          <w:noProof/>
          <w:spacing w:val="-8"/>
        </w:rPr>
        <w:t xml:space="preserve"> </w:t>
      </w:r>
      <w:r w:rsidR="00F5560D">
        <w:rPr>
          <w:noProof/>
          <w:spacing w:val="-8"/>
        </w:rPr>
        <w:t>T</w:t>
      </w:r>
      <w:r w:rsidR="00C948D4" w:rsidRPr="00C948D4">
        <w:rPr>
          <w:noProof/>
          <w:spacing w:val="-8"/>
        </w:rPr>
        <w:t xml:space="preserve">he only additional cost </w:t>
      </w:r>
      <w:r w:rsidR="0041120F">
        <w:rPr>
          <w:noProof/>
          <w:spacing w:val="-8"/>
        </w:rPr>
        <w:t xml:space="preserve">relevant for PM13 relative to the baseline </w:t>
      </w:r>
      <w:r w:rsidR="00C948D4" w:rsidRPr="00C948D4">
        <w:rPr>
          <w:noProof/>
          <w:spacing w:val="-8"/>
        </w:rPr>
        <w:t>relate</w:t>
      </w:r>
      <w:r w:rsidR="00F5560D">
        <w:rPr>
          <w:noProof/>
          <w:spacing w:val="-8"/>
        </w:rPr>
        <w:t>s</w:t>
      </w:r>
      <w:r w:rsidR="00C948D4" w:rsidRPr="00C948D4">
        <w:rPr>
          <w:noProof/>
          <w:spacing w:val="-8"/>
        </w:rPr>
        <w:t xml:space="preserve"> to ensuring that </w:t>
      </w:r>
      <w:r w:rsidR="00F5560D">
        <w:rPr>
          <w:noProof/>
          <w:spacing w:val="-8"/>
        </w:rPr>
        <w:t>distribution</w:t>
      </w:r>
      <w:r w:rsidR="00C948D4" w:rsidRPr="00C948D4">
        <w:rPr>
          <w:noProof/>
          <w:spacing w:val="-8"/>
        </w:rPr>
        <w:t xml:space="preserve"> API</w:t>
      </w:r>
      <w:r w:rsidR="00F5560D">
        <w:rPr>
          <w:noProof/>
          <w:spacing w:val="-8"/>
        </w:rPr>
        <w:t>s of RUs</w:t>
      </w:r>
      <w:r w:rsidR="00C948D4" w:rsidRPr="00C948D4">
        <w:rPr>
          <w:noProof/>
          <w:spacing w:val="-8"/>
        </w:rPr>
        <w:t xml:space="preserve"> </w:t>
      </w:r>
      <w:r w:rsidR="00F5560D">
        <w:rPr>
          <w:noProof/>
          <w:spacing w:val="-8"/>
        </w:rPr>
        <w:t>are</w:t>
      </w:r>
      <w:r w:rsidR="00C948D4" w:rsidRPr="00C948D4">
        <w:rPr>
          <w:noProof/>
          <w:spacing w:val="-8"/>
        </w:rPr>
        <w:t xml:space="preserve"> ready for the third party to connect</w:t>
      </w:r>
      <w:r w:rsidR="00F5560D">
        <w:rPr>
          <w:noProof/>
          <w:spacing w:val="-8"/>
        </w:rPr>
        <w:t>. T</w:t>
      </w:r>
      <w:r w:rsidR="00C948D4" w:rsidRPr="00C948D4">
        <w:rPr>
          <w:noProof/>
          <w:spacing w:val="-8"/>
        </w:rPr>
        <w:t xml:space="preserve">his is estimated at 10% of setting up </w:t>
      </w:r>
      <w:r w:rsidR="001E1715">
        <w:rPr>
          <w:noProof/>
          <w:spacing w:val="-8"/>
        </w:rPr>
        <w:t>an</w:t>
      </w:r>
      <w:r w:rsidR="00C948D4" w:rsidRPr="00C948D4">
        <w:rPr>
          <w:noProof/>
          <w:spacing w:val="-8"/>
        </w:rPr>
        <w:t xml:space="preserve"> API</w:t>
      </w:r>
      <w:r w:rsidR="00974323">
        <w:rPr>
          <w:noProof/>
          <w:spacing w:val="-8"/>
        </w:rPr>
        <w:t xml:space="preserve"> (as estimated in PM</w:t>
      </w:r>
      <w:r w:rsidR="00EC4FF6">
        <w:rPr>
          <w:noProof/>
          <w:spacing w:val="-8"/>
        </w:rPr>
        <w:t>7)</w:t>
      </w:r>
      <w:r w:rsidR="00C948D4" w:rsidRPr="00C948D4">
        <w:rPr>
          <w:noProof/>
          <w:spacing w:val="-8"/>
        </w:rPr>
        <w:t xml:space="preserve">, or EUR 11,772, including management of any technical request from the </w:t>
      </w:r>
      <w:r w:rsidR="00EC4FF6">
        <w:rPr>
          <w:noProof/>
          <w:spacing w:val="-8"/>
        </w:rPr>
        <w:t>third party connected to the API</w:t>
      </w:r>
      <w:r w:rsidR="00C948D4" w:rsidRPr="00C948D4">
        <w:rPr>
          <w:noProof/>
          <w:spacing w:val="-8"/>
        </w:rPr>
        <w:t>.</w:t>
      </w:r>
      <w:r w:rsidR="00761EB9" w:rsidRPr="00761EB9">
        <w:rPr>
          <w:rFonts w:eastAsia="Calibri"/>
          <w:noProof/>
          <w:spacing w:val="-8"/>
        </w:rPr>
        <w:t xml:space="preserve"> </w:t>
      </w:r>
      <w:r w:rsidR="00761EB9" w:rsidRPr="00F6342F">
        <w:rPr>
          <w:rFonts w:eastAsia="Calibri"/>
          <w:noProof/>
          <w:spacing w:val="-8"/>
        </w:rPr>
        <w:t>T</w:t>
      </w:r>
      <w:r w:rsidR="00761EB9" w:rsidRPr="007B3FE7">
        <w:rPr>
          <w:rFonts w:eastAsia="Calibri"/>
          <w:noProof/>
          <w:spacing w:val="-8"/>
        </w:rPr>
        <w:t>h</w:t>
      </w:r>
      <w:r w:rsidR="00761EB9" w:rsidRPr="00F6342F">
        <w:rPr>
          <w:noProof/>
          <w:spacing w:val="-8"/>
        </w:rPr>
        <w:t>ese two elements</w:t>
      </w:r>
      <w:r w:rsidR="00761EB9" w:rsidRPr="007B3FE7">
        <w:rPr>
          <w:rFonts w:eastAsia="Calibri"/>
          <w:noProof/>
          <w:spacing w:val="-8"/>
        </w:rPr>
        <w:t xml:space="preserve"> translate </w:t>
      </w:r>
      <w:r w:rsidR="00DA4C3F" w:rsidRPr="00F6342F">
        <w:rPr>
          <w:noProof/>
          <w:spacing w:val="-8"/>
        </w:rPr>
        <w:t>in</w:t>
      </w:r>
      <w:r w:rsidR="00761EB9" w:rsidRPr="00F6342F">
        <w:rPr>
          <w:noProof/>
          <w:spacing w:val="-8"/>
        </w:rPr>
        <w:t>to</w:t>
      </w:r>
      <w:r w:rsidR="00761EB9" w:rsidRPr="007B3FE7">
        <w:rPr>
          <w:rFonts w:eastAsia="Calibri"/>
          <w:noProof/>
          <w:spacing w:val="-8"/>
        </w:rPr>
        <w:t xml:space="preserve"> </w:t>
      </w:r>
      <w:r w:rsidR="00761EB9" w:rsidRPr="00F6342F">
        <w:rPr>
          <w:noProof/>
          <w:spacing w:val="-8"/>
        </w:rPr>
        <w:t xml:space="preserve">a total </w:t>
      </w:r>
      <w:r w:rsidR="0025518D" w:rsidRPr="00F6342F">
        <w:rPr>
          <w:noProof/>
          <w:spacing w:val="-8"/>
        </w:rPr>
        <w:t>one-off</w:t>
      </w:r>
      <w:r w:rsidR="00761EB9" w:rsidRPr="00F6342F">
        <w:rPr>
          <w:noProof/>
          <w:spacing w:val="-8"/>
        </w:rPr>
        <w:t xml:space="preserve"> cost of onboarding a new </w:t>
      </w:r>
      <w:r w:rsidR="009D3701" w:rsidRPr="00F6342F">
        <w:rPr>
          <w:noProof/>
          <w:spacing w:val="-8"/>
        </w:rPr>
        <w:t>third</w:t>
      </w:r>
      <w:r w:rsidR="00CA5B23" w:rsidRPr="00F6342F">
        <w:rPr>
          <w:noProof/>
          <w:spacing w:val="-8"/>
        </w:rPr>
        <w:t>-</w:t>
      </w:r>
      <w:r w:rsidR="009D3701" w:rsidRPr="00F6342F">
        <w:rPr>
          <w:noProof/>
          <w:spacing w:val="-8"/>
        </w:rPr>
        <w:t>party platform</w:t>
      </w:r>
      <w:r w:rsidR="00761EB9" w:rsidRPr="00F6342F">
        <w:rPr>
          <w:noProof/>
          <w:spacing w:val="-8"/>
        </w:rPr>
        <w:t xml:space="preserve"> </w:t>
      </w:r>
      <w:r w:rsidR="00DA4C3F" w:rsidRPr="00F6342F">
        <w:rPr>
          <w:noProof/>
          <w:spacing w:val="-8"/>
        </w:rPr>
        <w:t xml:space="preserve">estimated </w:t>
      </w:r>
      <w:r w:rsidR="00761EB9" w:rsidRPr="00F6342F">
        <w:rPr>
          <w:noProof/>
          <w:spacing w:val="-8"/>
        </w:rPr>
        <w:t>at EUR 29,</w:t>
      </w:r>
      <w:r w:rsidR="009D3701" w:rsidRPr="00F6342F">
        <w:rPr>
          <w:noProof/>
          <w:spacing w:val="-8"/>
        </w:rPr>
        <w:t>772</w:t>
      </w:r>
      <w:r w:rsidR="00761EB9" w:rsidRPr="007B3FE7">
        <w:rPr>
          <w:rFonts w:eastAsia="Calibri"/>
          <w:noProof/>
          <w:spacing w:val="-8"/>
        </w:rPr>
        <w:t>.</w:t>
      </w:r>
      <w:r w:rsidR="009A3977" w:rsidRPr="009A3977">
        <w:rPr>
          <w:noProof/>
          <w:spacing w:val="-8"/>
        </w:rPr>
        <w:t xml:space="preserve"> </w:t>
      </w:r>
      <w:r w:rsidR="009A3977" w:rsidRPr="00C948D4">
        <w:rPr>
          <w:noProof/>
          <w:spacing w:val="-8"/>
        </w:rPr>
        <w:t xml:space="preserve">Total </w:t>
      </w:r>
      <w:r w:rsidR="00310216">
        <w:rPr>
          <w:noProof/>
          <w:spacing w:val="-8"/>
        </w:rPr>
        <w:t xml:space="preserve">one-off costs for indispensable RUs </w:t>
      </w:r>
      <w:r w:rsidR="009A3977" w:rsidRPr="00C948D4">
        <w:rPr>
          <w:noProof/>
          <w:spacing w:val="-8"/>
        </w:rPr>
        <w:t>are calculated by multiplying th</w:t>
      </w:r>
      <w:r w:rsidR="000C5DA1">
        <w:rPr>
          <w:noProof/>
          <w:spacing w:val="-8"/>
        </w:rPr>
        <w:t>e</w:t>
      </w:r>
      <w:r w:rsidR="009A3977" w:rsidRPr="00C948D4">
        <w:rPr>
          <w:noProof/>
          <w:spacing w:val="-8"/>
        </w:rPr>
        <w:t xml:space="preserve"> onboarding cost with the </w:t>
      </w:r>
      <w:r w:rsidR="00901276">
        <w:rPr>
          <w:noProof/>
          <w:spacing w:val="-8"/>
        </w:rPr>
        <w:t xml:space="preserve">number of </w:t>
      </w:r>
      <w:r w:rsidR="009A3977" w:rsidRPr="00C948D4">
        <w:rPr>
          <w:noProof/>
          <w:spacing w:val="-8"/>
        </w:rPr>
        <w:t xml:space="preserve">additional agreements negotiated by </w:t>
      </w:r>
      <w:r w:rsidR="00901276">
        <w:rPr>
          <w:noProof/>
          <w:spacing w:val="-8"/>
        </w:rPr>
        <w:t>RUs</w:t>
      </w:r>
      <w:r w:rsidR="009A3977" w:rsidRPr="00C948D4">
        <w:rPr>
          <w:noProof/>
          <w:spacing w:val="-8"/>
        </w:rPr>
        <w:t xml:space="preserve"> in PO</w:t>
      </w:r>
      <w:r w:rsidR="00A40872">
        <w:rPr>
          <w:noProof/>
          <w:spacing w:val="-8"/>
        </w:rPr>
        <w:t>2, PO3 and PO4</w:t>
      </w:r>
      <w:r w:rsidR="00E201A7">
        <w:rPr>
          <w:noProof/>
          <w:spacing w:val="-8"/>
        </w:rPr>
        <w:t xml:space="preserve"> relative to the baseline</w:t>
      </w:r>
      <w:r w:rsidR="009A3977" w:rsidRPr="00C948D4">
        <w:rPr>
          <w:noProof/>
          <w:spacing w:val="-8"/>
        </w:rPr>
        <w:t xml:space="preserve">. The method for estimating the additional new agreements brought about by PM13 in each year is </w:t>
      </w:r>
      <w:r w:rsidR="009D2E2D" w:rsidRPr="00E62730">
        <w:rPr>
          <w:noProof/>
          <w:spacing w:val="-8"/>
        </w:rPr>
        <w:t>explained in section 3.1</w:t>
      </w:r>
      <w:r w:rsidR="00FF1F43">
        <w:rPr>
          <w:noProof/>
          <w:spacing w:val="-8"/>
        </w:rPr>
        <w:t>.3</w:t>
      </w:r>
      <w:r w:rsidR="009D2E2D" w:rsidRPr="00E62730">
        <w:rPr>
          <w:noProof/>
          <w:spacing w:val="-8"/>
        </w:rPr>
        <w:t xml:space="preserve"> of Annex 4</w:t>
      </w:r>
      <w:r w:rsidR="00A26357">
        <w:rPr>
          <w:noProof/>
          <w:spacing w:val="-8"/>
        </w:rPr>
        <w:t>.</w:t>
      </w:r>
    </w:p>
    <w:p w14:paraId="5837AA57" w14:textId="7E15D092" w:rsidR="004B7EEF" w:rsidRPr="00C24D74" w:rsidRDefault="004B7EEF" w:rsidP="00AB788C">
      <w:pPr>
        <w:pStyle w:val="Text4"/>
        <w:spacing w:before="0" w:after="240"/>
        <w:ind w:left="0"/>
        <w:rPr>
          <w:rFonts w:ascii="Times New Roman" w:eastAsia="Calibri" w:hAnsi="Times New Roman"/>
          <w:noProof/>
          <w:spacing w:val="-8"/>
          <w:sz w:val="24"/>
          <w:szCs w:val="24"/>
        </w:rPr>
      </w:pPr>
      <w:r w:rsidRPr="00C24D74">
        <w:rPr>
          <w:rFonts w:ascii="Times New Roman" w:eastAsia="Calibri" w:hAnsi="Times New Roman"/>
          <w:noProof/>
          <w:spacing w:val="-8"/>
          <w:sz w:val="24"/>
          <w:szCs w:val="24"/>
        </w:rPr>
        <w:t>The one-off a</w:t>
      </w:r>
      <w:r>
        <w:rPr>
          <w:rFonts w:ascii="Times New Roman" w:eastAsia="Calibri" w:hAnsi="Times New Roman"/>
          <w:noProof/>
          <w:spacing w:val="-8"/>
          <w:sz w:val="24"/>
          <w:szCs w:val="24"/>
        </w:rPr>
        <w:t>djustment</w:t>
      </w:r>
      <w:r w:rsidRPr="00C24D74">
        <w:rPr>
          <w:rFonts w:ascii="Times New Roman" w:eastAsia="Calibri" w:hAnsi="Times New Roman"/>
          <w:noProof/>
          <w:spacing w:val="-8"/>
          <w:sz w:val="24"/>
          <w:szCs w:val="24"/>
        </w:rPr>
        <w:t xml:space="preserve"> costs for </w:t>
      </w:r>
      <w:r w:rsidRPr="00A113D3">
        <w:rPr>
          <w:rFonts w:ascii="Times New Roman" w:eastAsia="Calibri" w:hAnsi="Times New Roman"/>
          <w:noProof/>
          <w:spacing w:val="-8"/>
          <w:sz w:val="24"/>
          <w:szCs w:val="24"/>
        </w:rPr>
        <w:t xml:space="preserve">indispensable </w:t>
      </w:r>
      <w:r w:rsidRPr="004A37C5">
        <w:rPr>
          <w:rFonts w:ascii="Times New Roman" w:hAnsi="Times New Roman"/>
          <w:noProof/>
          <w:spacing w:val="-8"/>
          <w:sz w:val="24"/>
          <w:szCs w:val="24"/>
        </w:rPr>
        <w:t>RU</w:t>
      </w:r>
      <w:r w:rsidR="004A37C5" w:rsidRPr="004A37C5">
        <w:rPr>
          <w:rFonts w:ascii="Times New Roman" w:hAnsi="Times New Roman"/>
          <w:noProof/>
          <w:spacing w:val="-8"/>
          <w:sz w:val="24"/>
          <w:szCs w:val="24"/>
        </w:rPr>
        <w:t>s</w:t>
      </w:r>
      <w:r w:rsidRPr="00A113D3">
        <w:rPr>
          <w:rFonts w:ascii="Times New Roman" w:eastAsia="Calibri" w:hAnsi="Times New Roman"/>
          <w:noProof/>
          <w:spacing w:val="-8"/>
          <w:sz w:val="24"/>
          <w:szCs w:val="24"/>
        </w:rPr>
        <w:t xml:space="preserve"> </w:t>
      </w:r>
      <w:r w:rsidRPr="004A37C5">
        <w:rPr>
          <w:rFonts w:ascii="Times New Roman" w:eastAsia="Calibri" w:hAnsi="Times New Roman"/>
          <w:noProof/>
          <w:spacing w:val="-8"/>
          <w:sz w:val="24"/>
          <w:szCs w:val="24"/>
        </w:rPr>
        <w:t>in 2028</w:t>
      </w:r>
      <w:r w:rsidR="004A37C5" w:rsidRPr="004A37C5">
        <w:rPr>
          <w:rFonts w:ascii="Times New Roman" w:hAnsi="Times New Roman"/>
          <w:noProof/>
          <w:spacing w:val="-8"/>
          <w:sz w:val="24"/>
          <w:szCs w:val="24"/>
        </w:rPr>
        <w:t>, 2030, 2040, 2050</w:t>
      </w:r>
      <w:r w:rsidRPr="004A37C5">
        <w:rPr>
          <w:rFonts w:ascii="Times New Roman" w:eastAsia="Calibri" w:hAnsi="Times New Roman"/>
          <w:noProof/>
          <w:spacing w:val="-8"/>
          <w:sz w:val="24"/>
          <w:szCs w:val="24"/>
        </w:rPr>
        <w:t xml:space="preserve"> in </w:t>
      </w:r>
      <w:r w:rsidR="004A37C5" w:rsidRPr="004A37C5">
        <w:rPr>
          <w:rFonts w:ascii="Times New Roman" w:hAnsi="Times New Roman"/>
          <w:noProof/>
          <w:spacing w:val="-8"/>
          <w:sz w:val="24"/>
          <w:szCs w:val="24"/>
        </w:rPr>
        <w:t>PO2, PO3 and PO4</w:t>
      </w:r>
      <w:r w:rsidRPr="004A37C5">
        <w:rPr>
          <w:rFonts w:ascii="Times New Roman" w:eastAsia="Calibri" w:hAnsi="Times New Roman"/>
          <w:noProof/>
          <w:spacing w:val="-8"/>
          <w:sz w:val="24"/>
          <w:szCs w:val="24"/>
        </w:rPr>
        <w:t xml:space="preserve"> are provided in the table below.</w:t>
      </w:r>
      <w:r w:rsidRPr="00C24D74">
        <w:rPr>
          <w:rFonts w:ascii="Times New Roman" w:eastAsia="Calibri" w:hAnsi="Times New Roman"/>
          <w:noProof/>
          <w:spacing w:val="-8"/>
          <w:sz w:val="24"/>
          <w:szCs w:val="24"/>
        </w:rPr>
        <w:t xml:space="preserve"> </w:t>
      </w:r>
    </w:p>
    <w:p w14:paraId="6A8EBB3F" w14:textId="4C7452EC" w:rsidR="004B7EEF" w:rsidRPr="00C1196B" w:rsidRDefault="004B7EEF" w:rsidP="004B7EEF">
      <w:pPr>
        <w:tabs>
          <w:tab w:val="left" w:pos="1134"/>
        </w:tabs>
        <w:jc w:val="both"/>
        <w:rPr>
          <w:i/>
          <w:noProof/>
          <w:sz w:val="22"/>
          <w:szCs w:val="22"/>
        </w:rPr>
      </w:pPr>
      <w:r w:rsidRPr="00C1196B">
        <w:rPr>
          <w:i/>
          <w:noProof/>
          <w:sz w:val="22"/>
          <w:szCs w:val="22"/>
        </w:rPr>
        <w:t xml:space="preserve">Table </w:t>
      </w:r>
      <w:r w:rsidR="00F6342F" w:rsidRPr="00C1196B">
        <w:rPr>
          <w:i/>
          <w:noProof/>
          <w:sz w:val="22"/>
          <w:szCs w:val="22"/>
        </w:rPr>
        <w:fldChar w:fldCharType="begin"/>
      </w:r>
      <w:r w:rsidR="00F6342F" w:rsidRPr="00C1196B">
        <w:rPr>
          <w:i/>
          <w:noProof/>
          <w:sz w:val="22"/>
          <w:szCs w:val="22"/>
        </w:rPr>
        <w:instrText xml:space="preserve"> SEQ Table \* ARABIC </w:instrText>
      </w:r>
      <w:r w:rsidR="00F6342F" w:rsidRPr="00C1196B">
        <w:rPr>
          <w:i/>
          <w:noProof/>
          <w:sz w:val="22"/>
          <w:szCs w:val="22"/>
        </w:rPr>
        <w:fldChar w:fldCharType="separate"/>
      </w:r>
      <w:r w:rsidR="0055391F">
        <w:rPr>
          <w:i/>
          <w:noProof/>
          <w:sz w:val="22"/>
          <w:szCs w:val="22"/>
        </w:rPr>
        <w:t>114</w:t>
      </w:r>
      <w:r w:rsidR="00F6342F" w:rsidRPr="00C1196B">
        <w:rPr>
          <w:i/>
          <w:noProof/>
          <w:sz w:val="22"/>
          <w:szCs w:val="22"/>
        </w:rPr>
        <w:fldChar w:fldCharType="end"/>
      </w:r>
      <w:r w:rsidR="00F6342F" w:rsidRPr="00C1196B">
        <w:rPr>
          <w:i/>
          <w:noProof/>
          <w:sz w:val="22"/>
          <w:szCs w:val="22"/>
        </w:rPr>
        <w:t>:</w:t>
      </w:r>
      <w:r w:rsidRPr="00C1196B">
        <w:rPr>
          <w:i/>
          <w:noProof/>
          <w:sz w:val="22"/>
          <w:szCs w:val="22"/>
        </w:rPr>
        <w:t xml:space="preserve"> One-off adjustment costs for indispensable RU</w:t>
      </w:r>
      <w:r w:rsidR="0091565B" w:rsidRPr="00C1196B">
        <w:rPr>
          <w:i/>
          <w:noProof/>
          <w:sz w:val="22"/>
          <w:szCs w:val="22"/>
        </w:rPr>
        <w:t>s</w:t>
      </w:r>
      <w:r w:rsidRPr="00C1196B">
        <w:rPr>
          <w:i/>
          <w:noProof/>
          <w:sz w:val="22"/>
          <w:szCs w:val="22"/>
        </w:rPr>
        <w:t xml:space="preserve"> due to PM1</w:t>
      </w:r>
      <w:r w:rsidR="0091565B" w:rsidRPr="00C1196B">
        <w:rPr>
          <w:i/>
          <w:noProof/>
          <w:sz w:val="22"/>
          <w:szCs w:val="22"/>
        </w:rPr>
        <w:t>3</w:t>
      </w:r>
      <w:r w:rsidRPr="00C1196B">
        <w:rPr>
          <w:i/>
          <w:noProof/>
          <w:sz w:val="22"/>
          <w:szCs w:val="22"/>
        </w:rPr>
        <w:t xml:space="preserve"> in </w:t>
      </w:r>
      <w:r w:rsidR="0091565B" w:rsidRPr="00C1196B">
        <w:rPr>
          <w:i/>
          <w:noProof/>
          <w:sz w:val="22"/>
          <w:szCs w:val="22"/>
        </w:rPr>
        <w:t>PO2, PO3 and PO4</w:t>
      </w:r>
      <w:r w:rsidRPr="00C1196B">
        <w:rPr>
          <w:i/>
          <w:noProof/>
          <w:sz w:val="22"/>
          <w:szCs w:val="22"/>
        </w:rPr>
        <w:t xml:space="preserve"> in 2028, 2030, 2040 and 2050 relative to the baseline (in million EUR,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6"/>
        <w:gridCol w:w="886"/>
        <w:gridCol w:w="887"/>
        <w:gridCol w:w="887"/>
        <w:gridCol w:w="887"/>
      </w:tblGrid>
      <w:tr w:rsidR="00430286" w:rsidRPr="00AC08FB" w14:paraId="76CECA0C" w14:textId="77777777" w:rsidTr="00AC08FB">
        <w:trPr>
          <w:trHeight w:val="20"/>
          <w:tblHeader/>
        </w:trPr>
        <w:tc>
          <w:tcPr>
            <w:tcW w:w="6056" w:type="dxa"/>
            <w:shd w:val="clear" w:color="auto" w:fill="0070C0"/>
            <w:noWrap/>
            <w:hideMark/>
          </w:tcPr>
          <w:p w14:paraId="44C35F62" w14:textId="77777777" w:rsidR="0091565B" w:rsidRPr="00AC08FB" w:rsidRDefault="0091565B">
            <w:pPr>
              <w:jc w:val="center"/>
              <w:rPr>
                <w:b/>
                <w:bCs/>
                <w:noProof/>
                <w:color w:val="FFFFFF"/>
                <w:sz w:val="20"/>
                <w:szCs w:val="20"/>
              </w:rPr>
            </w:pPr>
            <w:r w:rsidRPr="00AC08FB">
              <w:rPr>
                <w:b/>
                <w:bCs/>
                <w:noProof/>
                <w:color w:val="FFFFFF"/>
                <w:sz w:val="20"/>
                <w:szCs w:val="20"/>
              </w:rPr>
              <w:t> </w:t>
            </w:r>
          </w:p>
        </w:tc>
        <w:tc>
          <w:tcPr>
            <w:tcW w:w="886" w:type="dxa"/>
            <w:shd w:val="clear" w:color="auto" w:fill="0070C0"/>
            <w:noWrap/>
            <w:hideMark/>
          </w:tcPr>
          <w:p w14:paraId="162F1942" w14:textId="77777777" w:rsidR="0091565B" w:rsidRPr="00AC08FB" w:rsidRDefault="0091565B">
            <w:pPr>
              <w:jc w:val="center"/>
              <w:rPr>
                <w:b/>
                <w:bCs/>
                <w:noProof/>
                <w:color w:val="FFFFFF"/>
                <w:sz w:val="20"/>
                <w:szCs w:val="20"/>
              </w:rPr>
            </w:pPr>
            <w:r w:rsidRPr="00AC08FB">
              <w:rPr>
                <w:b/>
                <w:bCs/>
                <w:noProof/>
                <w:color w:val="FFFFFF"/>
                <w:sz w:val="20"/>
                <w:szCs w:val="20"/>
              </w:rPr>
              <w:t>2028</w:t>
            </w:r>
          </w:p>
        </w:tc>
        <w:tc>
          <w:tcPr>
            <w:tcW w:w="887" w:type="dxa"/>
            <w:shd w:val="clear" w:color="auto" w:fill="0070C0"/>
            <w:noWrap/>
            <w:hideMark/>
          </w:tcPr>
          <w:p w14:paraId="27E8A69C" w14:textId="77777777" w:rsidR="0091565B" w:rsidRPr="00AC08FB" w:rsidRDefault="0091565B">
            <w:pPr>
              <w:jc w:val="center"/>
              <w:rPr>
                <w:b/>
                <w:bCs/>
                <w:noProof/>
                <w:color w:val="FFFFFF"/>
                <w:sz w:val="20"/>
                <w:szCs w:val="20"/>
              </w:rPr>
            </w:pPr>
            <w:r w:rsidRPr="00AC08FB">
              <w:rPr>
                <w:b/>
                <w:bCs/>
                <w:noProof/>
                <w:color w:val="FFFFFF"/>
                <w:sz w:val="20"/>
                <w:szCs w:val="20"/>
              </w:rPr>
              <w:t>2030</w:t>
            </w:r>
          </w:p>
        </w:tc>
        <w:tc>
          <w:tcPr>
            <w:tcW w:w="887" w:type="dxa"/>
            <w:shd w:val="clear" w:color="auto" w:fill="0070C0"/>
            <w:noWrap/>
            <w:hideMark/>
          </w:tcPr>
          <w:p w14:paraId="234C79E7" w14:textId="77777777" w:rsidR="0091565B" w:rsidRPr="00AC08FB" w:rsidRDefault="0091565B">
            <w:pPr>
              <w:jc w:val="center"/>
              <w:rPr>
                <w:b/>
                <w:bCs/>
                <w:noProof/>
                <w:color w:val="FFFFFF"/>
                <w:sz w:val="20"/>
                <w:szCs w:val="20"/>
              </w:rPr>
            </w:pPr>
            <w:r w:rsidRPr="00AC08FB">
              <w:rPr>
                <w:b/>
                <w:bCs/>
                <w:noProof/>
                <w:color w:val="FFFFFF"/>
                <w:sz w:val="20"/>
                <w:szCs w:val="20"/>
              </w:rPr>
              <w:t>2040</w:t>
            </w:r>
          </w:p>
        </w:tc>
        <w:tc>
          <w:tcPr>
            <w:tcW w:w="887" w:type="dxa"/>
            <w:shd w:val="clear" w:color="auto" w:fill="0070C0"/>
            <w:noWrap/>
            <w:hideMark/>
          </w:tcPr>
          <w:p w14:paraId="47ED547B" w14:textId="77777777" w:rsidR="0091565B" w:rsidRPr="00AC08FB" w:rsidRDefault="0091565B">
            <w:pPr>
              <w:jc w:val="center"/>
              <w:rPr>
                <w:b/>
                <w:bCs/>
                <w:noProof/>
                <w:color w:val="FFFFFF"/>
                <w:sz w:val="20"/>
                <w:szCs w:val="20"/>
              </w:rPr>
            </w:pPr>
            <w:r w:rsidRPr="00AC08FB">
              <w:rPr>
                <w:b/>
                <w:bCs/>
                <w:noProof/>
                <w:color w:val="FFFFFF"/>
                <w:sz w:val="20"/>
                <w:szCs w:val="20"/>
              </w:rPr>
              <w:t>2050</w:t>
            </w:r>
          </w:p>
        </w:tc>
      </w:tr>
      <w:tr w:rsidR="00AB1D70" w:rsidRPr="00AC08FB" w14:paraId="021043CF" w14:textId="77777777" w:rsidTr="00AC08FB">
        <w:trPr>
          <w:trHeight w:val="20"/>
        </w:trPr>
        <w:tc>
          <w:tcPr>
            <w:tcW w:w="6056" w:type="dxa"/>
            <w:noWrap/>
            <w:hideMark/>
          </w:tcPr>
          <w:p w14:paraId="762A269E" w14:textId="003E1215" w:rsidR="00AB1D70" w:rsidRPr="00AC08FB" w:rsidRDefault="00AB1D70" w:rsidP="00AB1D70">
            <w:pPr>
              <w:ind w:right="504"/>
              <w:rPr>
                <w:noProof/>
                <w:sz w:val="20"/>
                <w:szCs w:val="20"/>
              </w:rPr>
            </w:pPr>
            <w:r w:rsidRPr="00AC08FB">
              <w:rPr>
                <w:noProof/>
                <w:sz w:val="20"/>
                <w:szCs w:val="20"/>
              </w:rPr>
              <w:t xml:space="preserve">One-off costs per new agreement negotiated by indispensable RUs (EUR) </w:t>
            </w:r>
          </w:p>
        </w:tc>
        <w:tc>
          <w:tcPr>
            <w:tcW w:w="886" w:type="dxa"/>
            <w:noWrap/>
            <w:hideMark/>
          </w:tcPr>
          <w:p w14:paraId="4A1869C4" w14:textId="26FD8FC0" w:rsidR="00AB1D70" w:rsidRPr="00AC08FB" w:rsidRDefault="00AB1D70" w:rsidP="00AB1D70">
            <w:pPr>
              <w:jc w:val="right"/>
              <w:rPr>
                <w:noProof/>
                <w:sz w:val="20"/>
                <w:szCs w:val="20"/>
              </w:rPr>
            </w:pPr>
            <w:r w:rsidRPr="00AC08FB">
              <w:rPr>
                <w:noProof/>
                <w:sz w:val="20"/>
                <w:szCs w:val="20"/>
              </w:rPr>
              <w:t>29,772</w:t>
            </w:r>
          </w:p>
        </w:tc>
        <w:tc>
          <w:tcPr>
            <w:tcW w:w="887" w:type="dxa"/>
            <w:noWrap/>
            <w:hideMark/>
          </w:tcPr>
          <w:p w14:paraId="259E7379" w14:textId="25DB0FAB" w:rsidR="00AB1D70" w:rsidRPr="00AC08FB" w:rsidRDefault="00AB1D70" w:rsidP="00AB1D70">
            <w:pPr>
              <w:jc w:val="right"/>
              <w:rPr>
                <w:noProof/>
                <w:sz w:val="20"/>
                <w:szCs w:val="20"/>
              </w:rPr>
            </w:pPr>
            <w:r w:rsidRPr="00AC08FB">
              <w:rPr>
                <w:noProof/>
                <w:sz w:val="20"/>
                <w:szCs w:val="20"/>
              </w:rPr>
              <w:t>29,772</w:t>
            </w:r>
          </w:p>
        </w:tc>
        <w:tc>
          <w:tcPr>
            <w:tcW w:w="887" w:type="dxa"/>
            <w:noWrap/>
            <w:hideMark/>
          </w:tcPr>
          <w:p w14:paraId="4AC0B8AE" w14:textId="518CB28A" w:rsidR="00AB1D70" w:rsidRPr="00AC08FB" w:rsidRDefault="00AB1D70" w:rsidP="00AB1D70">
            <w:pPr>
              <w:jc w:val="right"/>
              <w:rPr>
                <w:noProof/>
                <w:sz w:val="20"/>
                <w:szCs w:val="20"/>
              </w:rPr>
            </w:pPr>
            <w:r w:rsidRPr="00AC08FB">
              <w:rPr>
                <w:noProof/>
                <w:sz w:val="20"/>
                <w:szCs w:val="20"/>
              </w:rPr>
              <w:t>29,772</w:t>
            </w:r>
          </w:p>
        </w:tc>
        <w:tc>
          <w:tcPr>
            <w:tcW w:w="887" w:type="dxa"/>
            <w:noWrap/>
            <w:hideMark/>
          </w:tcPr>
          <w:p w14:paraId="5E79CF3D" w14:textId="2BEFF222" w:rsidR="00AB1D70" w:rsidRPr="00AC08FB" w:rsidRDefault="00AB1D70" w:rsidP="00AB1D70">
            <w:pPr>
              <w:jc w:val="right"/>
              <w:rPr>
                <w:noProof/>
                <w:sz w:val="20"/>
                <w:szCs w:val="20"/>
              </w:rPr>
            </w:pPr>
            <w:r w:rsidRPr="00AC08FB">
              <w:rPr>
                <w:noProof/>
                <w:sz w:val="20"/>
                <w:szCs w:val="20"/>
              </w:rPr>
              <w:t>29,772</w:t>
            </w:r>
          </w:p>
        </w:tc>
      </w:tr>
      <w:tr w:rsidR="00AB1D70" w:rsidRPr="00AC08FB" w14:paraId="1E146644" w14:textId="77777777" w:rsidTr="00AC08FB">
        <w:trPr>
          <w:trHeight w:val="20"/>
        </w:trPr>
        <w:tc>
          <w:tcPr>
            <w:tcW w:w="6056" w:type="dxa"/>
            <w:noWrap/>
            <w:hideMark/>
          </w:tcPr>
          <w:p w14:paraId="45061E36" w14:textId="76ED452E" w:rsidR="00AB1D70" w:rsidRPr="00AC08FB" w:rsidRDefault="00AB1D70" w:rsidP="00AB1D70">
            <w:pPr>
              <w:rPr>
                <w:b/>
                <w:noProof/>
                <w:sz w:val="20"/>
                <w:szCs w:val="20"/>
              </w:rPr>
            </w:pPr>
            <w:r w:rsidRPr="00AC08FB">
              <w:rPr>
                <w:b/>
                <w:noProof/>
                <w:sz w:val="20"/>
                <w:szCs w:val="20"/>
              </w:rPr>
              <w:t>PO2</w:t>
            </w:r>
          </w:p>
        </w:tc>
        <w:tc>
          <w:tcPr>
            <w:tcW w:w="886" w:type="dxa"/>
            <w:noWrap/>
            <w:hideMark/>
          </w:tcPr>
          <w:p w14:paraId="16C1D86F" w14:textId="0D4A61EB" w:rsidR="00AB1D70" w:rsidRPr="00AC08FB" w:rsidRDefault="00AB1D70" w:rsidP="00AB1D70">
            <w:pPr>
              <w:rPr>
                <w:noProof/>
                <w:sz w:val="20"/>
                <w:szCs w:val="20"/>
              </w:rPr>
            </w:pPr>
            <w:r w:rsidRPr="00AC08FB">
              <w:rPr>
                <w:noProof/>
                <w:sz w:val="20"/>
                <w:szCs w:val="20"/>
              </w:rPr>
              <w:t> </w:t>
            </w:r>
          </w:p>
        </w:tc>
        <w:tc>
          <w:tcPr>
            <w:tcW w:w="887" w:type="dxa"/>
            <w:noWrap/>
            <w:hideMark/>
          </w:tcPr>
          <w:p w14:paraId="2598EA80" w14:textId="799B2E70" w:rsidR="00AB1D70" w:rsidRPr="00AC08FB" w:rsidRDefault="00AB1D70" w:rsidP="00AB1D70">
            <w:pPr>
              <w:rPr>
                <w:noProof/>
                <w:sz w:val="20"/>
                <w:szCs w:val="20"/>
              </w:rPr>
            </w:pPr>
            <w:r w:rsidRPr="00AC08FB">
              <w:rPr>
                <w:noProof/>
                <w:sz w:val="20"/>
                <w:szCs w:val="20"/>
              </w:rPr>
              <w:t> </w:t>
            </w:r>
          </w:p>
        </w:tc>
        <w:tc>
          <w:tcPr>
            <w:tcW w:w="887" w:type="dxa"/>
            <w:noWrap/>
            <w:hideMark/>
          </w:tcPr>
          <w:p w14:paraId="7668F19C" w14:textId="2F28D42D" w:rsidR="00AB1D70" w:rsidRPr="00AC08FB" w:rsidRDefault="00AB1D70" w:rsidP="00AB1D70">
            <w:pPr>
              <w:rPr>
                <w:noProof/>
                <w:sz w:val="20"/>
                <w:szCs w:val="20"/>
              </w:rPr>
            </w:pPr>
            <w:r w:rsidRPr="00AC08FB">
              <w:rPr>
                <w:noProof/>
                <w:sz w:val="20"/>
                <w:szCs w:val="20"/>
              </w:rPr>
              <w:t> </w:t>
            </w:r>
          </w:p>
        </w:tc>
        <w:tc>
          <w:tcPr>
            <w:tcW w:w="887" w:type="dxa"/>
            <w:noWrap/>
            <w:hideMark/>
          </w:tcPr>
          <w:p w14:paraId="3309E7F5" w14:textId="4C60834F" w:rsidR="00AB1D70" w:rsidRPr="00AC08FB" w:rsidRDefault="00AB1D70" w:rsidP="00AB1D70">
            <w:pPr>
              <w:rPr>
                <w:noProof/>
                <w:sz w:val="20"/>
                <w:szCs w:val="20"/>
              </w:rPr>
            </w:pPr>
            <w:r w:rsidRPr="00AC08FB">
              <w:rPr>
                <w:noProof/>
                <w:sz w:val="20"/>
                <w:szCs w:val="20"/>
              </w:rPr>
              <w:t> </w:t>
            </w:r>
          </w:p>
        </w:tc>
      </w:tr>
      <w:tr w:rsidR="00AB1D70" w:rsidRPr="00AC08FB" w14:paraId="405273DB" w14:textId="77777777" w:rsidTr="00AC08FB">
        <w:trPr>
          <w:trHeight w:val="20"/>
        </w:trPr>
        <w:tc>
          <w:tcPr>
            <w:tcW w:w="6056" w:type="dxa"/>
            <w:noWrap/>
            <w:hideMark/>
          </w:tcPr>
          <w:p w14:paraId="0FA40464" w14:textId="333535F5" w:rsidR="00AB1D70" w:rsidRPr="00AC08FB" w:rsidRDefault="00AB1D70" w:rsidP="00AB1D70">
            <w:pPr>
              <w:rPr>
                <w:noProof/>
                <w:sz w:val="20"/>
                <w:szCs w:val="20"/>
              </w:rPr>
            </w:pPr>
            <w:r w:rsidRPr="00AC08FB">
              <w:rPr>
                <w:noProof/>
                <w:sz w:val="20"/>
                <w:szCs w:val="20"/>
              </w:rPr>
              <w:t>New agreements by indispensable RUs (changes relative to the baseline)</w:t>
            </w:r>
          </w:p>
        </w:tc>
        <w:tc>
          <w:tcPr>
            <w:tcW w:w="886" w:type="dxa"/>
            <w:noWrap/>
            <w:hideMark/>
          </w:tcPr>
          <w:p w14:paraId="224920F5" w14:textId="2D9A5A0C" w:rsidR="00AB1D70" w:rsidRPr="00AC08FB" w:rsidRDefault="00AB1D70" w:rsidP="00AB1D70">
            <w:pPr>
              <w:jc w:val="right"/>
              <w:rPr>
                <w:noProof/>
                <w:sz w:val="20"/>
                <w:szCs w:val="20"/>
              </w:rPr>
            </w:pPr>
            <w:r w:rsidRPr="00AC08FB">
              <w:rPr>
                <w:noProof/>
                <w:sz w:val="20"/>
                <w:szCs w:val="20"/>
              </w:rPr>
              <w:t>449</w:t>
            </w:r>
          </w:p>
        </w:tc>
        <w:tc>
          <w:tcPr>
            <w:tcW w:w="887" w:type="dxa"/>
            <w:noWrap/>
            <w:hideMark/>
          </w:tcPr>
          <w:p w14:paraId="6A822C6B" w14:textId="157D4ADD" w:rsidR="00AB1D70" w:rsidRPr="00AC08FB" w:rsidRDefault="00AB1D70" w:rsidP="00AB1D70">
            <w:pPr>
              <w:jc w:val="right"/>
              <w:rPr>
                <w:noProof/>
                <w:sz w:val="20"/>
                <w:szCs w:val="20"/>
              </w:rPr>
            </w:pPr>
            <w:r w:rsidRPr="00AC08FB">
              <w:rPr>
                <w:noProof/>
                <w:sz w:val="20"/>
                <w:szCs w:val="20"/>
              </w:rPr>
              <w:t>77</w:t>
            </w:r>
          </w:p>
        </w:tc>
        <w:tc>
          <w:tcPr>
            <w:tcW w:w="887" w:type="dxa"/>
            <w:noWrap/>
            <w:hideMark/>
          </w:tcPr>
          <w:p w14:paraId="1EEF07C6" w14:textId="02ADC539" w:rsidR="00AB1D70" w:rsidRPr="00AC08FB" w:rsidRDefault="00AB1D70" w:rsidP="00AB1D70">
            <w:pPr>
              <w:jc w:val="right"/>
              <w:rPr>
                <w:noProof/>
                <w:sz w:val="20"/>
                <w:szCs w:val="20"/>
              </w:rPr>
            </w:pPr>
            <w:r w:rsidRPr="00AC08FB">
              <w:rPr>
                <w:noProof/>
                <w:sz w:val="20"/>
                <w:szCs w:val="20"/>
              </w:rPr>
              <w:t>135</w:t>
            </w:r>
          </w:p>
        </w:tc>
        <w:tc>
          <w:tcPr>
            <w:tcW w:w="887" w:type="dxa"/>
            <w:noWrap/>
            <w:hideMark/>
          </w:tcPr>
          <w:p w14:paraId="5309F6EB" w14:textId="79810881" w:rsidR="00AB1D70" w:rsidRPr="00AC08FB" w:rsidRDefault="00AB1D70" w:rsidP="00AB1D70">
            <w:pPr>
              <w:jc w:val="right"/>
              <w:rPr>
                <w:noProof/>
                <w:sz w:val="20"/>
                <w:szCs w:val="20"/>
              </w:rPr>
            </w:pPr>
            <w:r w:rsidRPr="00AC08FB">
              <w:rPr>
                <w:noProof/>
                <w:sz w:val="20"/>
                <w:szCs w:val="20"/>
              </w:rPr>
              <w:t>0</w:t>
            </w:r>
          </w:p>
        </w:tc>
      </w:tr>
      <w:tr w:rsidR="00AB1D70" w:rsidRPr="00AC08FB" w14:paraId="68E001D2" w14:textId="77777777" w:rsidTr="00AC08FB">
        <w:trPr>
          <w:trHeight w:val="20"/>
        </w:trPr>
        <w:tc>
          <w:tcPr>
            <w:tcW w:w="6056" w:type="dxa"/>
            <w:noWrap/>
            <w:hideMark/>
          </w:tcPr>
          <w:p w14:paraId="36337446" w14:textId="377A808D" w:rsidR="00AB1D70" w:rsidRPr="00AC08FB" w:rsidRDefault="00AB1D70" w:rsidP="00AB1D70">
            <w:pPr>
              <w:rPr>
                <w:noProof/>
                <w:sz w:val="20"/>
                <w:szCs w:val="20"/>
              </w:rPr>
            </w:pPr>
            <w:r w:rsidRPr="00AC08FB">
              <w:rPr>
                <w:noProof/>
                <w:sz w:val="20"/>
                <w:szCs w:val="20"/>
              </w:rPr>
              <w:t>Total one-off adjustment costs for indispensable RUs</w:t>
            </w:r>
            <w:r w:rsidRPr="00AC08FB">
              <w:rPr>
                <w:i/>
                <w:noProof/>
                <w:sz w:val="20"/>
                <w:szCs w:val="20"/>
              </w:rPr>
              <w:t xml:space="preserve"> </w:t>
            </w:r>
            <w:r w:rsidRPr="00AC08FB">
              <w:rPr>
                <w:noProof/>
                <w:sz w:val="20"/>
                <w:szCs w:val="20"/>
              </w:rPr>
              <w:t>(million EUR)</w:t>
            </w:r>
          </w:p>
        </w:tc>
        <w:tc>
          <w:tcPr>
            <w:tcW w:w="886" w:type="dxa"/>
            <w:noWrap/>
            <w:hideMark/>
          </w:tcPr>
          <w:p w14:paraId="6F00617E" w14:textId="612E032B" w:rsidR="00AB1D70" w:rsidRPr="00AC08FB" w:rsidRDefault="00AB1D70" w:rsidP="00AB1D70">
            <w:pPr>
              <w:jc w:val="right"/>
              <w:rPr>
                <w:noProof/>
                <w:sz w:val="20"/>
                <w:szCs w:val="20"/>
              </w:rPr>
            </w:pPr>
            <w:r w:rsidRPr="00AC08FB">
              <w:rPr>
                <w:noProof/>
                <w:sz w:val="20"/>
                <w:szCs w:val="20"/>
              </w:rPr>
              <w:t>13.4</w:t>
            </w:r>
          </w:p>
        </w:tc>
        <w:tc>
          <w:tcPr>
            <w:tcW w:w="887" w:type="dxa"/>
            <w:noWrap/>
            <w:hideMark/>
          </w:tcPr>
          <w:p w14:paraId="7CA90439" w14:textId="3D3C762B" w:rsidR="00AB1D70" w:rsidRPr="00AC08FB" w:rsidRDefault="00AB1D70" w:rsidP="00AB1D70">
            <w:pPr>
              <w:jc w:val="right"/>
              <w:rPr>
                <w:noProof/>
                <w:sz w:val="20"/>
                <w:szCs w:val="20"/>
              </w:rPr>
            </w:pPr>
            <w:r w:rsidRPr="00AC08FB">
              <w:rPr>
                <w:noProof/>
                <w:sz w:val="20"/>
                <w:szCs w:val="20"/>
              </w:rPr>
              <w:t>2.3</w:t>
            </w:r>
          </w:p>
        </w:tc>
        <w:tc>
          <w:tcPr>
            <w:tcW w:w="887" w:type="dxa"/>
            <w:noWrap/>
            <w:hideMark/>
          </w:tcPr>
          <w:p w14:paraId="7B13FCCF" w14:textId="538E1887" w:rsidR="00AB1D70" w:rsidRPr="00AC08FB" w:rsidRDefault="00AB1D70" w:rsidP="00AB1D70">
            <w:pPr>
              <w:jc w:val="right"/>
              <w:rPr>
                <w:noProof/>
                <w:sz w:val="20"/>
                <w:szCs w:val="20"/>
              </w:rPr>
            </w:pPr>
            <w:r w:rsidRPr="00AC08FB">
              <w:rPr>
                <w:noProof/>
                <w:sz w:val="20"/>
                <w:szCs w:val="20"/>
              </w:rPr>
              <w:t>4.0</w:t>
            </w:r>
          </w:p>
        </w:tc>
        <w:tc>
          <w:tcPr>
            <w:tcW w:w="887" w:type="dxa"/>
            <w:noWrap/>
            <w:hideMark/>
          </w:tcPr>
          <w:p w14:paraId="48D68603" w14:textId="533B6D14" w:rsidR="00AB1D70" w:rsidRPr="00AC08FB" w:rsidRDefault="00AB1D70" w:rsidP="00AB1D70">
            <w:pPr>
              <w:jc w:val="right"/>
              <w:rPr>
                <w:noProof/>
                <w:sz w:val="20"/>
                <w:szCs w:val="20"/>
              </w:rPr>
            </w:pPr>
            <w:r w:rsidRPr="00AC08FB">
              <w:rPr>
                <w:noProof/>
                <w:sz w:val="20"/>
                <w:szCs w:val="20"/>
              </w:rPr>
              <w:t>0.0</w:t>
            </w:r>
          </w:p>
        </w:tc>
      </w:tr>
      <w:tr w:rsidR="00AB1D70" w:rsidRPr="00AC08FB" w14:paraId="693D0AEB" w14:textId="77777777" w:rsidTr="00AC08FB">
        <w:trPr>
          <w:trHeight w:val="20"/>
        </w:trPr>
        <w:tc>
          <w:tcPr>
            <w:tcW w:w="6056" w:type="dxa"/>
            <w:noWrap/>
          </w:tcPr>
          <w:p w14:paraId="2B454740" w14:textId="3183B474" w:rsidR="00AB1D70" w:rsidRPr="00AC08FB" w:rsidRDefault="00AB1D70" w:rsidP="00AB1D70">
            <w:pPr>
              <w:rPr>
                <w:noProof/>
                <w:sz w:val="20"/>
                <w:szCs w:val="20"/>
              </w:rPr>
            </w:pPr>
            <w:r w:rsidRPr="00AC08FB">
              <w:rPr>
                <w:b/>
                <w:noProof/>
                <w:sz w:val="20"/>
                <w:szCs w:val="20"/>
              </w:rPr>
              <w:t>PO3</w:t>
            </w:r>
          </w:p>
        </w:tc>
        <w:tc>
          <w:tcPr>
            <w:tcW w:w="886" w:type="dxa"/>
            <w:noWrap/>
          </w:tcPr>
          <w:p w14:paraId="1BCB23D1" w14:textId="29D480A4" w:rsidR="00AB1D70" w:rsidRPr="00AC08FB" w:rsidRDefault="00AB1D70" w:rsidP="00AB1D70">
            <w:pPr>
              <w:jc w:val="right"/>
              <w:rPr>
                <w:noProof/>
                <w:sz w:val="20"/>
                <w:szCs w:val="20"/>
              </w:rPr>
            </w:pPr>
            <w:r w:rsidRPr="00AC08FB">
              <w:rPr>
                <w:noProof/>
                <w:sz w:val="20"/>
                <w:szCs w:val="20"/>
              </w:rPr>
              <w:t> </w:t>
            </w:r>
          </w:p>
        </w:tc>
        <w:tc>
          <w:tcPr>
            <w:tcW w:w="887" w:type="dxa"/>
            <w:noWrap/>
          </w:tcPr>
          <w:p w14:paraId="5B29B9ED" w14:textId="5857EE64" w:rsidR="00AB1D70" w:rsidRPr="00AC08FB" w:rsidRDefault="00AB1D70" w:rsidP="00AB1D70">
            <w:pPr>
              <w:jc w:val="right"/>
              <w:rPr>
                <w:noProof/>
                <w:sz w:val="20"/>
                <w:szCs w:val="20"/>
              </w:rPr>
            </w:pPr>
            <w:r w:rsidRPr="00AC08FB">
              <w:rPr>
                <w:noProof/>
                <w:sz w:val="20"/>
                <w:szCs w:val="20"/>
              </w:rPr>
              <w:t> </w:t>
            </w:r>
          </w:p>
        </w:tc>
        <w:tc>
          <w:tcPr>
            <w:tcW w:w="887" w:type="dxa"/>
            <w:noWrap/>
          </w:tcPr>
          <w:p w14:paraId="6ACEB15B" w14:textId="406151DD" w:rsidR="00AB1D70" w:rsidRPr="00AC08FB" w:rsidRDefault="00AB1D70" w:rsidP="00AB1D70">
            <w:pPr>
              <w:jc w:val="right"/>
              <w:rPr>
                <w:noProof/>
                <w:sz w:val="20"/>
                <w:szCs w:val="20"/>
              </w:rPr>
            </w:pPr>
            <w:r w:rsidRPr="00AC08FB">
              <w:rPr>
                <w:noProof/>
                <w:sz w:val="20"/>
                <w:szCs w:val="20"/>
              </w:rPr>
              <w:t> </w:t>
            </w:r>
          </w:p>
        </w:tc>
        <w:tc>
          <w:tcPr>
            <w:tcW w:w="887" w:type="dxa"/>
            <w:noWrap/>
          </w:tcPr>
          <w:p w14:paraId="1676DE5B" w14:textId="708E5576" w:rsidR="00AB1D70" w:rsidRPr="00AC08FB" w:rsidRDefault="00AB1D70" w:rsidP="00AB1D70">
            <w:pPr>
              <w:jc w:val="right"/>
              <w:rPr>
                <w:noProof/>
                <w:sz w:val="20"/>
                <w:szCs w:val="20"/>
              </w:rPr>
            </w:pPr>
            <w:r w:rsidRPr="00AC08FB">
              <w:rPr>
                <w:noProof/>
                <w:sz w:val="20"/>
                <w:szCs w:val="20"/>
              </w:rPr>
              <w:t> </w:t>
            </w:r>
          </w:p>
        </w:tc>
      </w:tr>
      <w:tr w:rsidR="00AB1D70" w:rsidRPr="00AC08FB" w14:paraId="5B773E4C" w14:textId="77777777" w:rsidTr="00AC08FB">
        <w:trPr>
          <w:trHeight w:val="20"/>
        </w:trPr>
        <w:tc>
          <w:tcPr>
            <w:tcW w:w="6056" w:type="dxa"/>
            <w:noWrap/>
          </w:tcPr>
          <w:p w14:paraId="5E88DC2F" w14:textId="608FD077" w:rsidR="00AB1D70" w:rsidRPr="00AC08FB" w:rsidRDefault="00AB1D70" w:rsidP="00AB1D70">
            <w:pPr>
              <w:rPr>
                <w:noProof/>
                <w:sz w:val="20"/>
                <w:szCs w:val="20"/>
              </w:rPr>
            </w:pPr>
            <w:r w:rsidRPr="00AC08FB">
              <w:rPr>
                <w:noProof/>
                <w:sz w:val="20"/>
                <w:szCs w:val="20"/>
              </w:rPr>
              <w:t>New agreements by indispensable RUs (changes relative to the baseline)</w:t>
            </w:r>
          </w:p>
        </w:tc>
        <w:tc>
          <w:tcPr>
            <w:tcW w:w="886" w:type="dxa"/>
            <w:noWrap/>
          </w:tcPr>
          <w:p w14:paraId="4373F0E8" w14:textId="1F718954" w:rsidR="00AB1D70" w:rsidRPr="00AC08FB" w:rsidRDefault="00AB1D70" w:rsidP="00AB1D70">
            <w:pPr>
              <w:jc w:val="right"/>
              <w:rPr>
                <w:noProof/>
                <w:sz w:val="20"/>
                <w:szCs w:val="20"/>
              </w:rPr>
            </w:pPr>
            <w:r w:rsidRPr="00AC08FB">
              <w:rPr>
                <w:noProof/>
                <w:sz w:val="20"/>
                <w:szCs w:val="20"/>
              </w:rPr>
              <w:t>449</w:t>
            </w:r>
          </w:p>
        </w:tc>
        <w:tc>
          <w:tcPr>
            <w:tcW w:w="887" w:type="dxa"/>
            <w:noWrap/>
          </w:tcPr>
          <w:p w14:paraId="51EDDB75" w14:textId="61AE1FEC" w:rsidR="00AB1D70" w:rsidRPr="00AC08FB" w:rsidRDefault="00AB1D70" w:rsidP="00AB1D70">
            <w:pPr>
              <w:jc w:val="right"/>
              <w:rPr>
                <w:noProof/>
                <w:sz w:val="20"/>
                <w:szCs w:val="20"/>
              </w:rPr>
            </w:pPr>
            <w:r w:rsidRPr="00AC08FB">
              <w:rPr>
                <w:noProof/>
                <w:sz w:val="20"/>
                <w:szCs w:val="20"/>
              </w:rPr>
              <w:t>78</w:t>
            </w:r>
          </w:p>
        </w:tc>
        <w:tc>
          <w:tcPr>
            <w:tcW w:w="887" w:type="dxa"/>
            <w:noWrap/>
          </w:tcPr>
          <w:p w14:paraId="2D08F5EA" w14:textId="700B9AB7" w:rsidR="00AB1D70" w:rsidRPr="00AC08FB" w:rsidRDefault="00AB1D70" w:rsidP="00AB1D70">
            <w:pPr>
              <w:jc w:val="right"/>
              <w:rPr>
                <w:noProof/>
                <w:sz w:val="20"/>
                <w:szCs w:val="20"/>
              </w:rPr>
            </w:pPr>
            <w:r w:rsidRPr="00AC08FB">
              <w:rPr>
                <w:noProof/>
                <w:sz w:val="20"/>
                <w:szCs w:val="20"/>
              </w:rPr>
              <w:t>112</w:t>
            </w:r>
          </w:p>
        </w:tc>
        <w:tc>
          <w:tcPr>
            <w:tcW w:w="887" w:type="dxa"/>
            <w:noWrap/>
          </w:tcPr>
          <w:p w14:paraId="4BCEE6C0" w14:textId="083B5399" w:rsidR="00AB1D70" w:rsidRPr="00AC08FB" w:rsidRDefault="00AB1D70" w:rsidP="00AB1D70">
            <w:pPr>
              <w:jc w:val="right"/>
              <w:rPr>
                <w:noProof/>
                <w:sz w:val="20"/>
                <w:szCs w:val="20"/>
              </w:rPr>
            </w:pPr>
            <w:r w:rsidRPr="00AC08FB">
              <w:rPr>
                <w:noProof/>
                <w:sz w:val="20"/>
                <w:szCs w:val="20"/>
              </w:rPr>
              <w:t>0</w:t>
            </w:r>
          </w:p>
        </w:tc>
      </w:tr>
      <w:tr w:rsidR="00AB1D70" w:rsidRPr="00AC08FB" w14:paraId="11159119" w14:textId="77777777" w:rsidTr="00AC08FB">
        <w:trPr>
          <w:trHeight w:val="20"/>
        </w:trPr>
        <w:tc>
          <w:tcPr>
            <w:tcW w:w="6056" w:type="dxa"/>
            <w:noWrap/>
          </w:tcPr>
          <w:p w14:paraId="6E0755E9" w14:textId="60010E53" w:rsidR="00AB1D70" w:rsidRPr="00AC08FB" w:rsidRDefault="00AB1D70" w:rsidP="00AB1D70">
            <w:pPr>
              <w:rPr>
                <w:noProof/>
                <w:sz w:val="20"/>
                <w:szCs w:val="20"/>
              </w:rPr>
            </w:pPr>
            <w:r w:rsidRPr="00AC08FB">
              <w:rPr>
                <w:noProof/>
                <w:sz w:val="20"/>
                <w:szCs w:val="20"/>
              </w:rPr>
              <w:t>Total one-off adjustment costs for indispensable RUs</w:t>
            </w:r>
            <w:r w:rsidRPr="00AC08FB">
              <w:rPr>
                <w:i/>
                <w:noProof/>
                <w:sz w:val="20"/>
                <w:szCs w:val="20"/>
              </w:rPr>
              <w:t xml:space="preserve"> </w:t>
            </w:r>
            <w:r w:rsidRPr="00AC08FB">
              <w:rPr>
                <w:noProof/>
                <w:sz w:val="20"/>
                <w:szCs w:val="20"/>
              </w:rPr>
              <w:t>(million EUR)</w:t>
            </w:r>
          </w:p>
        </w:tc>
        <w:tc>
          <w:tcPr>
            <w:tcW w:w="886" w:type="dxa"/>
            <w:noWrap/>
          </w:tcPr>
          <w:p w14:paraId="2A77BCCA" w14:textId="6702C476" w:rsidR="00AB1D70" w:rsidRPr="00AC08FB" w:rsidRDefault="00AB1D70" w:rsidP="00AB1D70">
            <w:pPr>
              <w:jc w:val="right"/>
              <w:rPr>
                <w:noProof/>
                <w:sz w:val="20"/>
                <w:szCs w:val="20"/>
              </w:rPr>
            </w:pPr>
            <w:r w:rsidRPr="00AC08FB">
              <w:rPr>
                <w:noProof/>
                <w:sz w:val="20"/>
                <w:szCs w:val="20"/>
              </w:rPr>
              <w:t>13.4</w:t>
            </w:r>
          </w:p>
        </w:tc>
        <w:tc>
          <w:tcPr>
            <w:tcW w:w="887" w:type="dxa"/>
            <w:noWrap/>
          </w:tcPr>
          <w:p w14:paraId="4E924FA6" w14:textId="7037BF53" w:rsidR="00AB1D70" w:rsidRPr="00AC08FB" w:rsidRDefault="00AB1D70" w:rsidP="00AB1D70">
            <w:pPr>
              <w:jc w:val="right"/>
              <w:rPr>
                <w:noProof/>
                <w:sz w:val="20"/>
                <w:szCs w:val="20"/>
              </w:rPr>
            </w:pPr>
            <w:r w:rsidRPr="00AC08FB">
              <w:rPr>
                <w:noProof/>
                <w:sz w:val="20"/>
                <w:szCs w:val="20"/>
              </w:rPr>
              <w:t>2.3</w:t>
            </w:r>
          </w:p>
        </w:tc>
        <w:tc>
          <w:tcPr>
            <w:tcW w:w="887" w:type="dxa"/>
            <w:noWrap/>
          </w:tcPr>
          <w:p w14:paraId="5E066AF8" w14:textId="25B3D8E7" w:rsidR="00AB1D70" w:rsidRPr="00AC08FB" w:rsidRDefault="00AB1D70" w:rsidP="00AB1D70">
            <w:pPr>
              <w:jc w:val="right"/>
              <w:rPr>
                <w:noProof/>
                <w:sz w:val="20"/>
                <w:szCs w:val="20"/>
              </w:rPr>
            </w:pPr>
            <w:r w:rsidRPr="00AC08FB">
              <w:rPr>
                <w:noProof/>
                <w:sz w:val="20"/>
                <w:szCs w:val="20"/>
              </w:rPr>
              <w:t>3.3</w:t>
            </w:r>
          </w:p>
        </w:tc>
        <w:tc>
          <w:tcPr>
            <w:tcW w:w="887" w:type="dxa"/>
            <w:noWrap/>
          </w:tcPr>
          <w:p w14:paraId="374299DD" w14:textId="7F94D23B" w:rsidR="00AB1D70" w:rsidRPr="00AC08FB" w:rsidRDefault="00AB1D70" w:rsidP="00AB1D70">
            <w:pPr>
              <w:jc w:val="right"/>
              <w:rPr>
                <w:noProof/>
                <w:sz w:val="20"/>
                <w:szCs w:val="20"/>
              </w:rPr>
            </w:pPr>
            <w:r w:rsidRPr="00AC08FB">
              <w:rPr>
                <w:noProof/>
                <w:sz w:val="20"/>
                <w:szCs w:val="20"/>
              </w:rPr>
              <w:t>0.0</w:t>
            </w:r>
          </w:p>
        </w:tc>
      </w:tr>
      <w:tr w:rsidR="00AB1D70" w:rsidRPr="00AC08FB" w14:paraId="2500EB12" w14:textId="77777777" w:rsidTr="00AC08FB">
        <w:trPr>
          <w:trHeight w:val="20"/>
        </w:trPr>
        <w:tc>
          <w:tcPr>
            <w:tcW w:w="6056" w:type="dxa"/>
            <w:noWrap/>
          </w:tcPr>
          <w:p w14:paraId="2683AF90" w14:textId="5DCEB4A9" w:rsidR="00AB1D70" w:rsidRPr="00AC08FB" w:rsidRDefault="00AB1D70" w:rsidP="00AB1D70">
            <w:pPr>
              <w:rPr>
                <w:noProof/>
                <w:sz w:val="20"/>
                <w:szCs w:val="20"/>
              </w:rPr>
            </w:pPr>
            <w:r w:rsidRPr="00AC08FB">
              <w:rPr>
                <w:b/>
                <w:noProof/>
                <w:sz w:val="20"/>
                <w:szCs w:val="20"/>
              </w:rPr>
              <w:t>PO4</w:t>
            </w:r>
          </w:p>
        </w:tc>
        <w:tc>
          <w:tcPr>
            <w:tcW w:w="886" w:type="dxa"/>
            <w:noWrap/>
          </w:tcPr>
          <w:p w14:paraId="24F2E641" w14:textId="0B522A1B" w:rsidR="00AB1D70" w:rsidRPr="00AC08FB" w:rsidRDefault="00AB1D70" w:rsidP="00AB1D70">
            <w:pPr>
              <w:jc w:val="right"/>
              <w:rPr>
                <w:noProof/>
                <w:sz w:val="20"/>
                <w:szCs w:val="20"/>
              </w:rPr>
            </w:pPr>
            <w:r w:rsidRPr="00AC08FB">
              <w:rPr>
                <w:noProof/>
                <w:sz w:val="20"/>
                <w:szCs w:val="20"/>
              </w:rPr>
              <w:t> </w:t>
            </w:r>
          </w:p>
        </w:tc>
        <w:tc>
          <w:tcPr>
            <w:tcW w:w="887" w:type="dxa"/>
            <w:noWrap/>
          </w:tcPr>
          <w:p w14:paraId="15781545" w14:textId="6A260D45" w:rsidR="00AB1D70" w:rsidRPr="00AC08FB" w:rsidRDefault="00AB1D70" w:rsidP="00AB1D70">
            <w:pPr>
              <w:jc w:val="right"/>
              <w:rPr>
                <w:noProof/>
                <w:sz w:val="20"/>
                <w:szCs w:val="20"/>
              </w:rPr>
            </w:pPr>
            <w:r w:rsidRPr="00AC08FB">
              <w:rPr>
                <w:noProof/>
                <w:sz w:val="20"/>
                <w:szCs w:val="20"/>
              </w:rPr>
              <w:t> </w:t>
            </w:r>
          </w:p>
        </w:tc>
        <w:tc>
          <w:tcPr>
            <w:tcW w:w="887" w:type="dxa"/>
            <w:noWrap/>
          </w:tcPr>
          <w:p w14:paraId="3AD4C0BF" w14:textId="50D80A80" w:rsidR="00AB1D70" w:rsidRPr="00AC08FB" w:rsidRDefault="00AB1D70" w:rsidP="00AB1D70">
            <w:pPr>
              <w:jc w:val="right"/>
              <w:rPr>
                <w:noProof/>
                <w:sz w:val="20"/>
                <w:szCs w:val="20"/>
              </w:rPr>
            </w:pPr>
            <w:r w:rsidRPr="00AC08FB">
              <w:rPr>
                <w:noProof/>
                <w:sz w:val="20"/>
                <w:szCs w:val="20"/>
              </w:rPr>
              <w:t> </w:t>
            </w:r>
          </w:p>
        </w:tc>
        <w:tc>
          <w:tcPr>
            <w:tcW w:w="887" w:type="dxa"/>
            <w:noWrap/>
          </w:tcPr>
          <w:p w14:paraId="0EF34092" w14:textId="0B17A2B3" w:rsidR="00AB1D70" w:rsidRPr="00AC08FB" w:rsidRDefault="00AB1D70" w:rsidP="00AB1D70">
            <w:pPr>
              <w:jc w:val="right"/>
              <w:rPr>
                <w:noProof/>
                <w:sz w:val="20"/>
                <w:szCs w:val="20"/>
              </w:rPr>
            </w:pPr>
            <w:r w:rsidRPr="00AC08FB">
              <w:rPr>
                <w:noProof/>
                <w:sz w:val="20"/>
                <w:szCs w:val="20"/>
              </w:rPr>
              <w:t> </w:t>
            </w:r>
          </w:p>
        </w:tc>
      </w:tr>
      <w:tr w:rsidR="00AB1D70" w:rsidRPr="00AC08FB" w14:paraId="48524378" w14:textId="77777777" w:rsidTr="00AC08FB">
        <w:trPr>
          <w:trHeight w:val="20"/>
        </w:trPr>
        <w:tc>
          <w:tcPr>
            <w:tcW w:w="6056" w:type="dxa"/>
            <w:noWrap/>
          </w:tcPr>
          <w:p w14:paraId="6D768495" w14:textId="334FC8B1" w:rsidR="00AB1D70" w:rsidRPr="00AC08FB" w:rsidRDefault="00AB1D70" w:rsidP="00AB1D70">
            <w:pPr>
              <w:rPr>
                <w:noProof/>
                <w:sz w:val="20"/>
                <w:szCs w:val="20"/>
              </w:rPr>
            </w:pPr>
            <w:r w:rsidRPr="00AC08FB">
              <w:rPr>
                <w:noProof/>
                <w:sz w:val="20"/>
                <w:szCs w:val="20"/>
              </w:rPr>
              <w:t>New agreements by indispensable RUs (changes relative to the baseline)</w:t>
            </w:r>
          </w:p>
        </w:tc>
        <w:tc>
          <w:tcPr>
            <w:tcW w:w="886" w:type="dxa"/>
            <w:noWrap/>
          </w:tcPr>
          <w:p w14:paraId="76C928B5" w14:textId="24C96A78" w:rsidR="00AB1D70" w:rsidRPr="00AC08FB" w:rsidRDefault="00AB1D70" w:rsidP="00AB1D70">
            <w:pPr>
              <w:jc w:val="right"/>
              <w:rPr>
                <w:noProof/>
                <w:sz w:val="20"/>
                <w:szCs w:val="20"/>
              </w:rPr>
            </w:pPr>
            <w:r w:rsidRPr="00AC08FB">
              <w:rPr>
                <w:noProof/>
                <w:sz w:val="20"/>
                <w:szCs w:val="20"/>
              </w:rPr>
              <w:t>155</w:t>
            </w:r>
          </w:p>
        </w:tc>
        <w:tc>
          <w:tcPr>
            <w:tcW w:w="887" w:type="dxa"/>
            <w:noWrap/>
          </w:tcPr>
          <w:p w14:paraId="1E2BAD34" w14:textId="5E065555" w:rsidR="00AB1D70" w:rsidRPr="00AC08FB" w:rsidRDefault="00AB1D70" w:rsidP="00AB1D70">
            <w:pPr>
              <w:jc w:val="right"/>
              <w:rPr>
                <w:noProof/>
                <w:sz w:val="20"/>
                <w:szCs w:val="20"/>
              </w:rPr>
            </w:pPr>
            <w:r w:rsidRPr="00AC08FB">
              <w:rPr>
                <w:noProof/>
                <w:sz w:val="20"/>
                <w:szCs w:val="20"/>
              </w:rPr>
              <w:t>198</w:t>
            </w:r>
          </w:p>
        </w:tc>
        <w:tc>
          <w:tcPr>
            <w:tcW w:w="887" w:type="dxa"/>
            <w:noWrap/>
          </w:tcPr>
          <w:p w14:paraId="0CA06AB4" w14:textId="3404929E" w:rsidR="00AB1D70" w:rsidRPr="00AC08FB" w:rsidRDefault="00AB1D70" w:rsidP="00AB1D70">
            <w:pPr>
              <w:jc w:val="right"/>
              <w:rPr>
                <w:noProof/>
                <w:sz w:val="20"/>
                <w:szCs w:val="20"/>
              </w:rPr>
            </w:pPr>
            <w:r w:rsidRPr="00AC08FB">
              <w:rPr>
                <w:noProof/>
                <w:sz w:val="20"/>
                <w:szCs w:val="20"/>
              </w:rPr>
              <w:t>609</w:t>
            </w:r>
          </w:p>
        </w:tc>
        <w:tc>
          <w:tcPr>
            <w:tcW w:w="887" w:type="dxa"/>
            <w:noWrap/>
          </w:tcPr>
          <w:p w14:paraId="012A2175" w14:textId="2E799117" w:rsidR="00AB1D70" w:rsidRPr="00AC08FB" w:rsidRDefault="00AB1D70" w:rsidP="00AB1D70">
            <w:pPr>
              <w:jc w:val="right"/>
              <w:rPr>
                <w:noProof/>
                <w:sz w:val="20"/>
                <w:szCs w:val="20"/>
              </w:rPr>
            </w:pPr>
            <w:r w:rsidRPr="00AC08FB">
              <w:rPr>
                <w:noProof/>
                <w:sz w:val="20"/>
                <w:szCs w:val="20"/>
              </w:rPr>
              <w:t>534</w:t>
            </w:r>
          </w:p>
        </w:tc>
      </w:tr>
      <w:tr w:rsidR="00AB1D70" w:rsidRPr="00AC08FB" w14:paraId="32A23C14" w14:textId="77777777" w:rsidTr="00AC08FB">
        <w:trPr>
          <w:trHeight w:val="20"/>
        </w:trPr>
        <w:tc>
          <w:tcPr>
            <w:tcW w:w="6056" w:type="dxa"/>
            <w:noWrap/>
          </w:tcPr>
          <w:p w14:paraId="33F6FAD0" w14:textId="66318425" w:rsidR="00AB1D70" w:rsidRPr="00AC08FB" w:rsidRDefault="00AB1D70" w:rsidP="00AB1D70">
            <w:pPr>
              <w:rPr>
                <w:noProof/>
                <w:sz w:val="20"/>
                <w:szCs w:val="20"/>
              </w:rPr>
            </w:pPr>
            <w:r w:rsidRPr="00AC08FB">
              <w:rPr>
                <w:noProof/>
                <w:sz w:val="20"/>
                <w:szCs w:val="20"/>
              </w:rPr>
              <w:t>Total one-off adjustment costs for indispensable RUs</w:t>
            </w:r>
            <w:r w:rsidRPr="00AC08FB">
              <w:rPr>
                <w:i/>
                <w:noProof/>
                <w:sz w:val="20"/>
                <w:szCs w:val="20"/>
              </w:rPr>
              <w:t xml:space="preserve"> </w:t>
            </w:r>
            <w:r w:rsidRPr="00AC08FB">
              <w:rPr>
                <w:noProof/>
                <w:sz w:val="20"/>
                <w:szCs w:val="20"/>
              </w:rPr>
              <w:t>(million EUR)</w:t>
            </w:r>
          </w:p>
        </w:tc>
        <w:tc>
          <w:tcPr>
            <w:tcW w:w="886" w:type="dxa"/>
            <w:noWrap/>
          </w:tcPr>
          <w:p w14:paraId="2500BF80" w14:textId="08BFE318" w:rsidR="00AB1D70" w:rsidRPr="00AC08FB" w:rsidRDefault="00AB1D70" w:rsidP="00AB1D70">
            <w:pPr>
              <w:jc w:val="right"/>
              <w:rPr>
                <w:noProof/>
                <w:sz w:val="20"/>
                <w:szCs w:val="20"/>
              </w:rPr>
            </w:pPr>
            <w:r w:rsidRPr="00AC08FB">
              <w:rPr>
                <w:noProof/>
                <w:sz w:val="20"/>
                <w:szCs w:val="20"/>
              </w:rPr>
              <w:t>4.6</w:t>
            </w:r>
          </w:p>
        </w:tc>
        <w:tc>
          <w:tcPr>
            <w:tcW w:w="887" w:type="dxa"/>
            <w:noWrap/>
          </w:tcPr>
          <w:p w14:paraId="28BF6559" w14:textId="4477CAFD" w:rsidR="00AB1D70" w:rsidRPr="00AC08FB" w:rsidRDefault="00AB1D70" w:rsidP="00AB1D70">
            <w:pPr>
              <w:jc w:val="right"/>
              <w:rPr>
                <w:noProof/>
                <w:sz w:val="20"/>
                <w:szCs w:val="20"/>
              </w:rPr>
            </w:pPr>
            <w:r w:rsidRPr="00AC08FB">
              <w:rPr>
                <w:noProof/>
                <w:sz w:val="20"/>
                <w:szCs w:val="20"/>
              </w:rPr>
              <w:t>5.9</w:t>
            </w:r>
          </w:p>
        </w:tc>
        <w:tc>
          <w:tcPr>
            <w:tcW w:w="887" w:type="dxa"/>
            <w:noWrap/>
          </w:tcPr>
          <w:p w14:paraId="519FC49F" w14:textId="42B31963" w:rsidR="00AB1D70" w:rsidRPr="00AC08FB" w:rsidRDefault="00AB1D70" w:rsidP="00AB1D70">
            <w:pPr>
              <w:jc w:val="right"/>
              <w:rPr>
                <w:noProof/>
                <w:sz w:val="20"/>
                <w:szCs w:val="20"/>
              </w:rPr>
            </w:pPr>
            <w:r w:rsidRPr="00AC08FB">
              <w:rPr>
                <w:noProof/>
                <w:sz w:val="20"/>
                <w:szCs w:val="20"/>
              </w:rPr>
              <w:t>18.1</w:t>
            </w:r>
          </w:p>
        </w:tc>
        <w:tc>
          <w:tcPr>
            <w:tcW w:w="887" w:type="dxa"/>
            <w:noWrap/>
          </w:tcPr>
          <w:p w14:paraId="7946F7ED" w14:textId="6BE1BDC2" w:rsidR="00AB1D70" w:rsidRPr="00AC08FB" w:rsidRDefault="00AB1D70" w:rsidP="00AB1D70">
            <w:pPr>
              <w:jc w:val="right"/>
              <w:rPr>
                <w:noProof/>
                <w:sz w:val="20"/>
                <w:szCs w:val="20"/>
              </w:rPr>
            </w:pPr>
            <w:r w:rsidRPr="00AC08FB">
              <w:rPr>
                <w:noProof/>
                <w:sz w:val="20"/>
                <w:szCs w:val="20"/>
              </w:rPr>
              <w:t>15.9</w:t>
            </w:r>
          </w:p>
        </w:tc>
      </w:tr>
    </w:tbl>
    <w:p w14:paraId="2008ECAE" w14:textId="27EB9CCF" w:rsidR="00D977A3" w:rsidRDefault="0091565B" w:rsidP="00410669">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5E5FCBB1" w14:textId="16D2FA35" w:rsidR="0069096D" w:rsidRPr="00AB1CAD" w:rsidRDefault="0069096D" w:rsidP="00AB1CAD">
      <w:pPr>
        <w:pStyle w:val="Text4"/>
        <w:spacing w:before="0" w:after="240"/>
        <w:ind w:left="0"/>
        <w:rPr>
          <w:rFonts w:ascii="Times New Roman" w:eastAsia="Calibri" w:hAnsi="Times New Roman"/>
          <w:noProof/>
          <w:spacing w:val="-8"/>
          <w:sz w:val="24"/>
          <w:szCs w:val="24"/>
        </w:rPr>
      </w:pPr>
      <w:r w:rsidRPr="007670B7">
        <w:rPr>
          <w:rFonts w:ascii="Times New Roman" w:eastAsia="Calibri" w:hAnsi="Times New Roman"/>
          <w:noProof/>
          <w:spacing w:val="-8"/>
          <w:sz w:val="24"/>
          <w:szCs w:val="24"/>
        </w:rPr>
        <w:t>Expressed as present value over 2028-2050 relative to the baseline, the total one-off adjustment costs due to PM</w:t>
      </w:r>
      <w:r w:rsidR="00AB1CAD">
        <w:rPr>
          <w:rFonts w:ascii="Times New Roman" w:eastAsia="Calibri" w:hAnsi="Times New Roman"/>
          <w:noProof/>
          <w:spacing w:val="-8"/>
          <w:sz w:val="24"/>
          <w:szCs w:val="24"/>
        </w:rPr>
        <w:t>13</w:t>
      </w:r>
      <w:r w:rsidRPr="007670B7">
        <w:rPr>
          <w:rFonts w:ascii="Times New Roman" w:eastAsia="Calibri" w:hAnsi="Times New Roman"/>
          <w:noProof/>
          <w:spacing w:val="-8"/>
          <w:sz w:val="24"/>
          <w:szCs w:val="24"/>
        </w:rPr>
        <w:t xml:space="preserve"> for </w:t>
      </w:r>
      <w:r w:rsidR="00AB1CAD">
        <w:rPr>
          <w:rFonts w:ascii="Times New Roman" w:eastAsia="Calibri" w:hAnsi="Times New Roman"/>
          <w:noProof/>
          <w:spacing w:val="-8"/>
          <w:sz w:val="24"/>
          <w:szCs w:val="24"/>
        </w:rPr>
        <w:t>indispensable RU</w:t>
      </w:r>
      <w:r w:rsidR="008E0916">
        <w:rPr>
          <w:rFonts w:ascii="Times New Roman" w:eastAsia="Calibri" w:hAnsi="Times New Roman"/>
          <w:noProof/>
          <w:spacing w:val="-8"/>
          <w:sz w:val="24"/>
          <w:szCs w:val="24"/>
        </w:rPr>
        <w:t>s</w:t>
      </w:r>
      <w:r w:rsidRPr="007670B7">
        <w:rPr>
          <w:rFonts w:ascii="Times New Roman" w:eastAsia="Calibri" w:hAnsi="Times New Roman"/>
          <w:noProof/>
          <w:spacing w:val="-8"/>
          <w:sz w:val="24"/>
          <w:szCs w:val="24"/>
        </w:rPr>
        <w:t xml:space="preserve"> are provided in the table below</w:t>
      </w:r>
      <w:r>
        <w:rPr>
          <w:rFonts w:ascii="Times New Roman" w:eastAsia="Calibri" w:hAnsi="Times New Roman"/>
          <w:noProof/>
          <w:spacing w:val="-8"/>
          <w:sz w:val="24"/>
          <w:szCs w:val="24"/>
        </w:rPr>
        <w:t>,</w:t>
      </w:r>
      <w:r w:rsidRPr="007670B7">
        <w:rPr>
          <w:rFonts w:ascii="Times New Roman" w:eastAsia="Calibri" w:hAnsi="Times New Roman"/>
          <w:noProof/>
          <w:spacing w:val="-8"/>
          <w:sz w:val="24"/>
          <w:szCs w:val="24"/>
        </w:rPr>
        <w:t xml:space="preserve"> by policy option</w:t>
      </w:r>
      <w:r w:rsidR="008E0916">
        <w:rPr>
          <w:rFonts w:ascii="Times New Roman" w:eastAsia="Calibri" w:hAnsi="Times New Roman"/>
          <w:noProof/>
          <w:spacing w:val="-8"/>
          <w:sz w:val="24"/>
          <w:szCs w:val="24"/>
        </w:rPr>
        <w:t>.</w:t>
      </w:r>
    </w:p>
    <w:p w14:paraId="370E0C3D" w14:textId="58615796" w:rsidR="00D977A3" w:rsidRPr="005106A2" w:rsidRDefault="00D977A3" w:rsidP="00D977A3">
      <w:pPr>
        <w:tabs>
          <w:tab w:val="left" w:pos="1134"/>
        </w:tabs>
        <w:jc w:val="both"/>
        <w:rPr>
          <w:i/>
          <w:noProof/>
          <w:sz w:val="22"/>
          <w:szCs w:val="22"/>
        </w:rPr>
      </w:pPr>
      <w:r w:rsidRPr="005106A2">
        <w:rPr>
          <w:i/>
          <w:noProof/>
          <w:sz w:val="22"/>
          <w:szCs w:val="22"/>
        </w:rPr>
        <w:t xml:space="preserve">Table </w:t>
      </w:r>
      <w:r w:rsidRPr="005106A2">
        <w:rPr>
          <w:i/>
          <w:noProof/>
          <w:sz w:val="22"/>
          <w:szCs w:val="22"/>
        </w:rPr>
        <w:fldChar w:fldCharType="begin"/>
      </w:r>
      <w:r w:rsidRPr="005106A2">
        <w:rPr>
          <w:i/>
          <w:noProof/>
          <w:sz w:val="22"/>
          <w:szCs w:val="22"/>
        </w:rPr>
        <w:instrText xml:space="preserve"> SEQ Table \* ARABIC </w:instrText>
      </w:r>
      <w:r w:rsidRPr="005106A2">
        <w:rPr>
          <w:i/>
          <w:noProof/>
          <w:sz w:val="22"/>
          <w:szCs w:val="22"/>
        </w:rPr>
        <w:fldChar w:fldCharType="separate"/>
      </w:r>
      <w:r w:rsidR="0055391F">
        <w:rPr>
          <w:i/>
          <w:noProof/>
          <w:sz w:val="22"/>
          <w:szCs w:val="22"/>
        </w:rPr>
        <w:t>115</w:t>
      </w:r>
      <w:r w:rsidRPr="005106A2">
        <w:rPr>
          <w:i/>
          <w:noProof/>
          <w:sz w:val="22"/>
          <w:szCs w:val="22"/>
        </w:rPr>
        <w:fldChar w:fldCharType="end"/>
      </w:r>
      <w:r w:rsidRPr="005106A2">
        <w:rPr>
          <w:i/>
          <w:noProof/>
          <w:sz w:val="22"/>
          <w:szCs w:val="22"/>
        </w:rPr>
        <w:t xml:space="preserve">: One-off adjustment costs for </w:t>
      </w:r>
      <w:r w:rsidR="006D74D2" w:rsidRPr="005106A2">
        <w:rPr>
          <w:i/>
          <w:noProof/>
          <w:sz w:val="22"/>
          <w:szCs w:val="22"/>
        </w:rPr>
        <w:t>indispensable RUs</w:t>
      </w:r>
      <w:r w:rsidRPr="005106A2">
        <w:rPr>
          <w:i/>
          <w:noProof/>
          <w:sz w:val="22"/>
          <w:szCs w:val="22"/>
        </w:rPr>
        <w:t xml:space="preserve"> due to </w:t>
      </w:r>
      <w:r w:rsidR="006D74D2" w:rsidRPr="005106A2">
        <w:rPr>
          <w:i/>
          <w:noProof/>
          <w:sz w:val="22"/>
          <w:szCs w:val="22"/>
        </w:rPr>
        <w:t>PM13</w:t>
      </w:r>
      <w:r w:rsidRPr="005106A2">
        <w:rPr>
          <w:i/>
          <w:noProof/>
          <w:sz w:val="22"/>
          <w:szCs w:val="22"/>
        </w:rPr>
        <w:t xml:space="preserve"> in </w:t>
      </w:r>
      <w:r w:rsidR="006D74D2" w:rsidRPr="005106A2">
        <w:rPr>
          <w:i/>
          <w:noProof/>
          <w:sz w:val="22"/>
          <w:szCs w:val="22"/>
        </w:rPr>
        <w:t>PO2, PO3 and PO4</w:t>
      </w:r>
      <w:r w:rsidRPr="005106A2">
        <w:rPr>
          <w:i/>
          <w:noProof/>
          <w:sz w:val="22"/>
          <w:szCs w:val="22"/>
        </w:rPr>
        <w:t>, expressed as present value over 2028-2050 relative to the baseline (in million EUR,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658"/>
        <w:gridCol w:w="1657"/>
        <w:gridCol w:w="1657"/>
        <w:gridCol w:w="1659"/>
      </w:tblGrid>
      <w:tr w:rsidR="00D977A3" w:rsidRPr="00D57180" w14:paraId="31F611AE" w14:textId="77777777" w:rsidTr="00734808">
        <w:trPr>
          <w:trHeight w:val="282"/>
          <w:tblHeader/>
        </w:trPr>
        <w:tc>
          <w:tcPr>
            <w:tcW w:w="1547" w:type="pct"/>
            <w:vMerge w:val="restart"/>
            <w:shd w:val="clear" w:color="000000" w:fill="0070C0"/>
          </w:tcPr>
          <w:p w14:paraId="30F84D1D" w14:textId="77777777" w:rsidR="00D977A3" w:rsidRPr="005106A2" w:rsidRDefault="00D977A3" w:rsidP="00D71011">
            <w:pPr>
              <w:pStyle w:val="BodyText"/>
              <w:rPr>
                <w:noProof/>
                <w:sz w:val="20"/>
                <w:szCs w:val="20"/>
                <w:lang w:eastAsia="en-IE"/>
              </w:rPr>
            </w:pPr>
          </w:p>
        </w:tc>
        <w:tc>
          <w:tcPr>
            <w:tcW w:w="3453" w:type="pct"/>
            <w:gridSpan w:val="4"/>
            <w:shd w:val="clear" w:color="000000" w:fill="0070C0"/>
            <w:hideMark/>
          </w:tcPr>
          <w:p w14:paraId="40B319EB" w14:textId="77777777" w:rsidR="00D977A3" w:rsidRPr="005106A2" w:rsidRDefault="00D977A3" w:rsidP="00D71011">
            <w:pPr>
              <w:pStyle w:val="BodyText"/>
              <w:ind w:left="0"/>
              <w:jc w:val="center"/>
              <w:rPr>
                <w:b/>
                <w:noProof/>
                <w:color w:val="FFFFFF" w:themeColor="background1"/>
                <w:sz w:val="20"/>
                <w:szCs w:val="20"/>
                <w:lang w:eastAsia="en-IE"/>
              </w:rPr>
            </w:pPr>
            <w:r w:rsidRPr="005106A2">
              <w:rPr>
                <w:b/>
                <w:noProof/>
                <w:color w:val="FFFFFF" w:themeColor="background1"/>
                <w:sz w:val="20"/>
                <w:szCs w:val="20"/>
                <w:lang w:eastAsia="en-IE"/>
              </w:rPr>
              <w:t>Difference to baseline</w:t>
            </w:r>
          </w:p>
        </w:tc>
      </w:tr>
      <w:tr w:rsidR="00D977A3" w:rsidRPr="00D57180" w14:paraId="31C0F933" w14:textId="77777777" w:rsidTr="00734808">
        <w:trPr>
          <w:trHeight w:val="282"/>
          <w:tblHeader/>
        </w:trPr>
        <w:tc>
          <w:tcPr>
            <w:tcW w:w="1547" w:type="pct"/>
            <w:vMerge/>
            <w:shd w:val="clear" w:color="000000" w:fill="0070C0"/>
            <w:noWrap/>
            <w:hideMark/>
          </w:tcPr>
          <w:p w14:paraId="48111AB9" w14:textId="77777777" w:rsidR="00D977A3" w:rsidRPr="005106A2" w:rsidRDefault="00D977A3" w:rsidP="00D71011">
            <w:pPr>
              <w:pStyle w:val="BodyText"/>
              <w:rPr>
                <w:noProof/>
                <w:sz w:val="20"/>
                <w:szCs w:val="20"/>
                <w:lang w:eastAsia="en-IE"/>
              </w:rPr>
            </w:pPr>
          </w:p>
        </w:tc>
        <w:tc>
          <w:tcPr>
            <w:tcW w:w="863" w:type="pct"/>
            <w:shd w:val="clear" w:color="000000" w:fill="0070C0"/>
            <w:hideMark/>
          </w:tcPr>
          <w:p w14:paraId="533B153B" w14:textId="77777777" w:rsidR="00D977A3" w:rsidRPr="005106A2" w:rsidRDefault="00D977A3" w:rsidP="00D71011">
            <w:pPr>
              <w:pStyle w:val="BodyText"/>
              <w:ind w:left="0"/>
              <w:jc w:val="center"/>
              <w:rPr>
                <w:b/>
                <w:noProof/>
                <w:color w:val="FFFFFF" w:themeColor="background1"/>
                <w:sz w:val="20"/>
                <w:szCs w:val="20"/>
                <w:lang w:eastAsia="en-IE"/>
              </w:rPr>
            </w:pPr>
            <w:r w:rsidRPr="005106A2">
              <w:rPr>
                <w:b/>
                <w:noProof/>
                <w:color w:val="FFFFFF" w:themeColor="background1"/>
                <w:sz w:val="20"/>
                <w:szCs w:val="20"/>
                <w:lang w:eastAsia="en-IE"/>
              </w:rPr>
              <w:t>PO1</w:t>
            </w:r>
          </w:p>
        </w:tc>
        <w:tc>
          <w:tcPr>
            <w:tcW w:w="863" w:type="pct"/>
            <w:shd w:val="clear" w:color="000000" w:fill="0070C0"/>
            <w:hideMark/>
          </w:tcPr>
          <w:p w14:paraId="1CAA5319" w14:textId="77777777" w:rsidR="00D977A3" w:rsidRPr="005106A2" w:rsidRDefault="00D977A3" w:rsidP="00D71011">
            <w:pPr>
              <w:pStyle w:val="BodyText"/>
              <w:ind w:left="0"/>
              <w:jc w:val="center"/>
              <w:rPr>
                <w:b/>
                <w:noProof/>
                <w:color w:val="FFFFFF" w:themeColor="background1"/>
                <w:sz w:val="20"/>
                <w:szCs w:val="20"/>
                <w:lang w:eastAsia="en-IE"/>
              </w:rPr>
            </w:pPr>
            <w:r w:rsidRPr="005106A2">
              <w:rPr>
                <w:b/>
                <w:noProof/>
                <w:color w:val="FFFFFF" w:themeColor="background1"/>
                <w:sz w:val="20"/>
                <w:szCs w:val="20"/>
                <w:lang w:eastAsia="en-IE"/>
              </w:rPr>
              <w:t>PO2</w:t>
            </w:r>
          </w:p>
        </w:tc>
        <w:tc>
          <w:tcPr>
            <w:tcW w:w="863" w:type="pct"/>
            <w:shd w:val="clear" w:color="000000" w:fill="0070C0"/>
            <w:hideMark/>
          </w:tcPr>
          <w:p w14:paraId="4D42B7AE" w14:textId="77777777" w:rsidR="00D977A3" w:rsidRPr="005106A2" w:rsidRDefault="00D977A3" w:rsidP="00D71011">
            <w:pPr>
              <w:pStyle w:val="BodyText"/>
              <w:ind w:left="0"/>
              <w:jc w:val="center"/>
              <w:rPr>
                <w:b/>
                <w:noProof/>
                <w:color w:val="FFFFFF" w:themeColor="background1"/>
                <w:sz w:val="20"/>
                <w:szCs w:val="20"/>
                <w:lang w:eastAsia="en-IE"/>
              </w:rPr>
            </w:pPr>
            <w:r w:rsidRPr="005106A2">
              <w:rPr>
                <w:b/>
                <w:noProof/>
                <w:color w:val="FFFFFF" w:themeColor="background1"/>
                <w:sz w:val="20"/>
                <w:szCs w:val="20"/>
                <w:lang w:eastAsia="en-IE"/>
              </w:rPr>
              <w:t>PO3</w:t>
            </w:r>
          </w:p>
        </w:tc>
        <w:tc>
          <w:tcPr>
            <w:tcW w:w="864" w:type="pct"/>
            <w:shd w:val="clear" w:color="000000" w:fill="0070C0"/>
            <w:hideMark/>
          </w:tcPr>
          <w:p w14:paraId="138D60A3" w14:textId="77777777" w:rsidR="00D977A3" w:rsidRPr="005106A2" w:rsidRDefault="00D977A3" w:rsidP="00D71011">
            <w:pPr>
              <w:pStyle w:val="BodyText"/>
              <w:ind w:left="0"/>
              <w:jc w:val="center"/>
              <w:rPr>
                <w:b/>
                <w:noProof/>
                <w:color w:val="FFFFFF" w:themeColor="background1"/>
                <w:sz w:val="20"/>
                <w:szCs w:val="20"/>
                <w:lang w:eastAsia="en-IE"/>
              </w:rPr>
            </w:pPr>
            <w:r w:rsidRPr="005106A2">
              <w:rPr>
                <w:b/>
                <w:noProof/>
                <w:color w:val="FFFFFF" w:themeColor="background1"/>
                <w:sz w:val="20"/>
                <w:szCs w:val="20"/>
                <w:lang w:eastAsia="en-IE"/>
              </w:rPr>
              <w:t>PO4</w:t>
            </w:r>
          </w:p>
        </w:tc>
      </w:tr>
      <w:tr w:rsidR="004B2036" w:rsidRPr="00D57180" w14:paraId="1AFD8BB5" w14:textId="77777777" w:rsidTr="00734808">
        <w:trPr>
          <w:trHeight w:val="282"/>
        </w:trPr>
        <w:tc>
          <w:tcPr>
            <w:tcW w:w="1547" w:type="pct"/>
            <w:shd w:val="clear" w:color="000000" w:fill="FFFFFF"/>
            <w:noWrap/>
            <w:hideMark/>
          </w:tcPr>
          <w:p w14:paraId="5D5C4E9D" w14:textId="4AC0601E" w:rsidR="004B2036" w:rsidRPr="005106A2" w:rsidRDefault="004B2036" w:rsidP="004B2036">
            <w:pPr>
              <w:pStyle w:val="BodyText"/>
              <w:ind w:left="0"/>
              <w:rPr>
                <w:noProof/>
                <w:color w:val="000000"/>
                <w:sz w:val="20"/>
                <w:szCs w:val="20"/>
                <w:lang w:eastAsia="en-IE"/>
              </w:rPr>
            </w:pPr>
            <w:r>
              <w:rPr>
                <w:noProof/>
                <w:color w:val="000000"/>
                <w:sz w:val="20"/>
                <w:szCs w:val="20"/>
                <w:lang w:eastAsia="en-IE"/>
              </w:rPr>
              <w:t>O</w:t>
            </w:r>
            <w:r w:rsidRPr="005106A2">
              <w:rPr>
                <w:noProof/>
                <w:color w:val="000000"/>
                <w:sz w:val="20"/>
                <w:szCs w:val="20"/>
                <w:lang w:eastAsia="en-IE"/>
              </w:rPr>
              <w:t>ne-off adjustment costs</w:t>
            </w:r>
          </w:p>
        </w:tc>
        <w:tc>
          <w:tcPr>
            <w:tcW w:w="863" w:type="pct"/>
            <w:shd w:val="clear" w:color="000000" w:fill="FFFFFF"/>
            <w:noWrap/>
            <w:hideMark/>
          </w:tcPr>
          <w:p w14:paraId="3940C7F5" w14:textId="526B80FD" w:rsidR="004B2036" w:rsidRPr="005106A2" w:rsidRDefault="004B2036" w:rsidP="004B2036">
            <w:pPr>
              <w:pStyle w:val="BodyText"/>
              <w:ind w:left="0"/>
              <w:jc w:val="right"/>
              <w:rPr>
                <w:noProof/>
                <w:color w:val="000000"/>
                <w:sz w:val="20"/>
                <w:szCs w:val="20"/>
                <w:lang w:eastAsia="en-IE"/>
              </w:rPr>
            </w:pPr>
            <w:r>
              <w:rPr>
                <w:noProof/>
                <w:color w:val="000000"/>
                <w:sz w:val="20"/>
                <w:szCs w:val="20"/>
              </w:rPr>
              <w:t>0.0</w:t>
            </w:r>
          </w:p>
        </w:tc>
        <w:tc>
          <w:tcPr>
            <w:tcW w:w="863" w:type="pct"/>
            <w:shd w:val="clear" w:color="000000" w:fill="FFFFFF"/>
            <w:noWrap/>
            <w:hideMark/>
          </w:tcPr>
          <w:p w14:paraId="0543E390" w14:textId="1AAA6075" w:rsidR="004B2036" w:rsidRPr="005106A2" w:rsidRDefault="004B2036" w:rsidP="004B2036">
            <w:pPr>
              <w:pStyle w:val="BodyText"/>
              <w:ind w:left="0"/>
              <w:jc w:val="right"/>
              <w:rPr>
                <w:noProof/>
                <w:color w:val="000000"/>
                <w:sz w:val="20"/>
                <w:szCs w:val="20"/>
                <w:lang w:eastAsia="en-IE"/>
              </w:rPr>
            </w:pPr>
            <w:r>
              <w:rPr>
                <w:noProof/>
                <w:color w:val="000000"/>
                <w:sz w:val="20"/>
                <w:szCs w:val="20"/>
              </w:rPr>
              <w:t>48.2</w:t>
            </w:r>
          </w:p>
        </w:tc>
        <w:tc>
          <w:tcPr>
            <w:tcW w:w="863" w:type="pct"/>
            <w:shd w:val="clear" w:color="000000" w:fill="FFFFFF"/>
            <w:noWrap/>
            <w:hideMark/>
          </w:tcPr>
          <w:p w14:paraId="187DD1D3" w14:textId="4CCE6FC0" w:rsidR="004B2036" w:rsidRPr="005106A2" w:rsidRDefault="004B2036" w:rsidP="004B2036">
            <w:pPr>
              <w:pStyle w:val="BodyText"/>
              <w:ind w:left="0"/>
              <w:jc w:val="right"/>
              <w:rPr>
                <w:noProof/>
                <w:color w:val="000000"/>
                <w:sz w:val="20"/>
                <w:szCs w:val="20"/>
                <w:lang w:eastAsia="en-IE"/>
              </w:rPr>
            </w:pPr>
            <w:r>
              <w:rPr>
                <w:noProof/>
                <w:color w:val="000000"/>
                <w:sz w:val="20"/>
                <w:szCs w:val="20"/>
              </w:rPr>
              <w:t>42.2</w:t>
            </w:r>
          </w:p>
        </w:tc>
        <w:tc>
          <w:tcPr>
            <w:tcW w:w="864" w:type="pct"/>
            <w:shd w:val="clear" w:color="000000" w:fill="FFFFFF"/>
            <w:hideMark/>
          </w:tcPr>
          <w:p w14:paraId="2DE73C35" w14:textId="2E7865E8" w:rsidR="004B2036" w:rsidRPr="005106A2" w:rsidRDefault="004B2036" w:rsidP="004B2036">
            <w:pPr>
              <w:pStyle w:val="BodyText"/>
              <w:ind w:left="0"/>
              <w:jc w:val="right"/>
              <w:rPr>
                <w:noProof/>
                <w:color w:val="000000"/>
                <w:sz w:val="20"/>
                <w:szCs w:val="20"/>
                <w:lang w:eastAsia="en-IE"/>
              </w:rPr>
            </w:pPr>
            <w:r>
              <w:rPr>
                <w:noProof/>
                <w:color w:val="000000"/>
                <w:sz w:val="20"/>
                <w:szCs w:val="20"/>
              </w:rPr>
              <w:t>45.2</w:t>
            </w:r>
          </w:p>
        </w:tc>
      </w:tr>
    </w:tbl>
    <w:p w14:paraId="0BFAFECF" w14:textId="054F2C6E" w:rsidR="00D977A3" w:rsidRPr="00410669" w:rsidRDefault="00D977A3" w:rsidP="00410669">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6917A7D2" w14:textId="66F5551B" w:rsidR="0086682E" w:rsidRPr="006F246E" w:rsidRDefault="0086682E" w:rsidP="007B2D8E">
      <w:pPr>
        <w:pStyle w:val="ListParagraph"/>
        <w:keepNext/>
        <w:widowControl/>
        <w:numPr>
          <w:ilvl w:val="2"/>
          <w:numId w:val="10"/>
        </w:numPr>
        <w:autoSpaceDE/>
        <w:autoSpaceDN/>
        <w:spacing w:after="240"/>
        <w:jc w:val="both"/>
        <w:outlineLvl w:val="2"/>
        <w:rPr>
          <w:i/>
          <w:noProof/>
          <w:sz w:val="24"/>
          <w:szCs w:val="24"/>
        </w:rPr>
      </w:pPr>
      <w:bookmarkStart w:id="2090" w:name="_Toc222749075"/>
      <w:bookmarkStart w:id="2091" w:name="_Toc223981679"/>
      <w:r w:rsidRPr="003A1070">
        <w:rPr>
          <w:i/>
          <w:iCs/>
          <w:noProof/>
          <w:sz w:val="24"/>
          <w:szCs w:val="24"/>
        </w:rPr>
        <w:t>PM1</w:t>
      </w:r>
      <w:r w:rsidR="00E8055A">
        <w:rPr>
          <w:i/>
          <w:iCs/>
          <w:noProof/>
          <w:sz w:val="24"/>
          <w:szCs w:val="24"/>
        </w:rPr>
        <w:t>4</w:t>
      </w:r>
      <w:r w:rsidRPr="003A1070">
        <w:rPr>
          <w:i/>
          <w:iCs/>
          <w:noProof/>
          <w:sz w:val="24"/>
          <w:szCs w:val="24"/>
        </w:rPr>
        <w:t xml:space="preserve"> – </w:t>
      </w:r>
      <w:r w:rsidR="000149C0" w:rsidRPr="000149C0">
        <w:rPr>
          <w:bCs/>
          <w:i/>
          <w:iCs/>
          <w:noProof/>
          <w:sz w:val="24"/>
          <w:szCs w:val="24"/>
        </w:rPr>
        <w:t>Indispensable RU platforms:</w:t>
      </w:r>
      <w:r w:rsidR="000149C0" w:rsidRPr="000149C0">
        <w:rPr>
          <w:i/>
          <w:iCs/>
          <w:noProof/>
          <w:sz w:val="24"/>
          <w:szCs w:val="24"/>
        </w:rPr>
        <w:t xml:space="preserve"> must enter into commercial agreements with willing RUs to enable the distribution of tickets</w:t>
      </w:r>
      <w:bookmarkEnd w:id="2090"/>
      <w:bookmarkEnd w:id="2091"/>
    </w:p>
    <w:p w14:paraId="2AC58AF5" w14:textId="6F6DA4C3" w:rsidR="00410669" w:rsidRDefault="00410669" w:rsidP="00410669">
      <w:pPr>
        <w:jc w:val="both"/>
        <w:rPr>
          <w:noProof/>
          <w:spacing w:val="-8"/>
        </w:rPr>
      </w:pPr>
      <w:r w:rsidRPr="00C948D4">
        <w:rPr>
          <w:noProof/>
          <w:spacing w:val="-8"/>
        </w:rPr>
        <w:t>PM1</w:t>
      </w:r>
      <w:r w:rsidR="00725304">
        <w:rPr>
          <w:noProof/>
          <w:spacing w:val="-8"/>
        </w:rPr>
        <w:t>4</w:t>
      </w:r>
      <w:r w:rsidR="00C813B6">
        <w:rPr>
          <w:noProof/>
          <w:spacing w:val="-8"/>
        </w:rPr>
        <w:t xml:space="preserve"> </w:t>
      </w:r>
      <w:r w:rsidRPr="00C948D4">
        <w:rPr>
          <w:noProof/>
          <w:spacing w:val="-8"/>
        </w:rPr>
        <w:t>introduces</w:t>
      </w:r>
      <w:r>
        <w:rPr>
          <w:noProof/>
          <w:spacing w:val="-8"/>
        </w:rPr>
        <w:t xml:space="preserve"> an</w:t>
      </w:r>
      <w:r w:rsidRPr="00C948D4">
        <w:rPr>
          <w:noProof/>
          <w:spacing w:val="-8"/>
        </w:rPr>
        <w:t xml:space="preserve"> obligation for </w:t>
      </w:r>
      <w:r>
        <w:rPr>
          <w:noProof/>
          <w:spacing w:val="-8"/>
        </w:rPr>
        <w:t xml:space="preserve">indispensable RUs </w:t>
      </w:r>
      <w:r w:rsidR="00C813B6">
        <w:rPr>
          <w:noProof/>
          <w:spacing w:val="-8"/>
        </w:rPr>
        <w:t>platforms (</w:t>
      </w:r>
      <w:r w:rsidR="00C813B6" w:rsidRPr="00682C00">
        <w:rPr>
          <w:noProof/>
          <w:spacing w:val="-8"/>
        </w:rPr>
        <w:t>a RU platform is considered indispensable when it is owned by an indispensable RU and if its IT system is already opened to other RUs</w:t>
      </w:r>
      <w:r w:rsidR="00682C00">
        <w:rPr>
          <w:noProof/>
          <w:spacing w:val="-8"/>
        </w:rPr>
        <w:t>)</w:t>
      </w:r>
      <w:r w:rsidRPr="00C948D4">
        <w:rPr>
          <w:noProof/>
          <w:spacing w:val="-8"/>
        </w:rPr>
        <w:t xml:space="preserve"> to </w:t>
      </w:r>
      <w:r w:rsidRPr="00665550">
        <w:rPr>
          <w:noProof/>
          <w:spacing w:val="-8"/>
        </w:rPr>
        <w:t xml:space="preserve">enter into commercial agreements with </w:t>
      </w:r>
      <w:r w:rsidRPr="0E2EBAFB">
        <w:rPr>
          <w:noProof/>
        </w:rPr>
        <w:t>willing</w:t>
      </w:r>
      <w:r w:rsidRPr="00665550">
        <w:rPr>
          <w:noProof/>
          <w:spacing w:val="-8"/>
        </w:rPr>
        <w:t xml:space="preserve"> </w:t>
      </w:r>
      <w:r w:rsidR="00682C00">
        <w:rPr>
          <w:noProof/>
          <w:spacing w:val="-8"/>
        </w:rPr>
        <w:t>RUs</w:t>
      </w:r>
      <w:r>
        <w:rPr>
          <w:noProof/>
          <w:spacing w:val="-8"/>
        </w:rPr>
        <w:t xml:space="preserve"> to allow the distribution of their tickets</w:t>
      </w:r>
      <w:r w:rsidRPr="00665550">
        <w:rPr>
          <w:noProof/>
          <w:spacing w:val="-8"/>
        </w:rPr>
        <w:t>.</w:t>
      </w:r>
      <w:r w:rsidRPr="00C948D4">
        <w:rPr>
          <w:noProof/>
          <w:spacing w:val="-8"/>
        </w:rPr>
        <w:t xml:space="preserve"> </w:t>
      </w:r>
    </w:p>
    <w:p w14:paraId="77709624" w14:textId="77777777" w:rsidR="00410669" w:rsidRDefault="00410669" w:rsidP="00410669">
      <w:pPr>
        <w:jc w:val="both"/>
        <w:rPr>
          <w:noProof/>
          <w:spacing w:val="-8"/>
        </w:rPr>
      </w:pPr>
    </w:p>
    <w:p w14:paraId="5638CD08" w14:textId="345F883B" w:rsidR="005348C8" w:rsidRPr="005348C8" w:rsidRDefault="00410669" w:rsidP="005348C8">
      <w:pPr>
        <w:jc w:val="both"/>
        <w:rPr>
          <w:noProof/>
          <w:spacing w:val="-8"/>
        </w:rPr>
      </w:pPr>
      <w:r w:rsidRPr="00C948D4">
        <w:rPr>
          <w:noProof/>
          <w:spacing w:val="-8"/>
        </w:rPr>
        <w:t xml:space="preserve">Since obligated </w:t>
      </w:r>
      <w:r>
        <w:rPr>
          <w:noProof/>
          <w:spacing w:val="-8"/>
        </w:rPr>
        <w:t xml:space="preserve">RUs </w:t>
      </w:r>
      <w:r w:rsidR="00F92945">
        <w:rPr>
          <w:noProof/>
          <w:spacing w:val="-8"/>
        </w:rPr>
        <w:t>platforms</w:t>
      </w:r>
      <w:r>
        <w:rPr>
          <w:noProof/>
          <w:spacing w:val="-8"/>
        </w:rPr>
        <w:t xml:space="preserve"> </w:t>
      </w:r>
      <w:r w:rsidRPr="00C948D4">
        <w:rPr>
          <w:noProof/>
          <w:spacing w:val="-8"/>
        </w:rPr>
        <w:t xml:space="preserve">would not have entered these </w:t>
      </w:r>
      <w:r>
        <w:rPr>
          <w:noProof/>
          <w:spacing w:val="-8"/>
        </w:rPr>
        <w:t xml:space="preserve">commercial </w:t>
      </w:r>
      <w:r w:rsidRPr="00C948D4">
        <w:rPr>
          <w:noProof/>
          <w:spacing w:val="-8"/>
        </w:rPr>
        <w:t xml:space="preserve">agreements in the absence of policy intervention, obligated entities therefore incur costs to facilitate this. </w:t>
      </w:r>
      <w:r w:rsidR="00E32EAA">
        <w:rPr>
          <w:noProof/>
          <w:spacing w:val="-8"/>
        </w:rPr>
        <w:t>As in PM13, t</w:t>
      </w:r>
      <w:r w:rsidRPr="00C948D4">
        <w:rPr>
          <w:noProof/>
          <w:spacing w:val="-8"/>
        </w:rPr>
        <w:t xml:space="preserve">he cost is assumed to </w:t>
      </w:r>
      <w:r w:rsidR="00B43709">
        <w:rPr>
          <w:noProof/>
          <w:spacing w:val="-8"/>
        </w:rPr>
        <w:t>cover</w:t>
      </w:r>
      <w:r w:rsidRPr="00C948D4">
        <w:rPr>
          <w:noProof/>
          <w:spacing w:val="-8"/>
        </w:rPr>
        <w:t xml:space="preserve"> two </w:t>
      </w:r>
      <w:r w:rsidR="00B43709">
        <w:rPr>
          <w:noProof/>
          <w:spacing w:val="-8"/>
        </w:rPr>
        <w:t>elements</w:t>
      </w:r>
      <w:r w:rsidRPr="00C948D4">
        <w:rPr>
          <w:noProof/>
          <w:spacing w:val="-8"/>
        </w:rPr>
        <w:t>:</w:t>
      </w:r>
      <w:r>
        <w:rPr>
          <w:noProof/>
          <w:spacing w:val="-8"/>
        </w:rPr>
        <w:t xml:space="preserve"> (</w:t>
      </w:r>
      <w:r w:rsidRPr="001C2444">
        <w:rPr>
          <w:i/>
          <w:noProof/>
          <w:spacing w:val="-8"/>
        </w:rPr>
        <w:t>i</w:t>
      </w:r>
      <w:r>
        <w:rPr>
          <w:noProof/>
          <w:spacing w:val="-8"/>
        </w:rPr>
        <w:t>)</w:t>
      </w:r>
      <w:r w:rsidRPr="00C948D4">
        <w:rPr>
          <w:noProof/>
          <w:spacing w:val="-8"/>
        </w:rPr>
        <w:t xml:space="preserve"> </w:t>
      </w:r>
      <w:r>
        <w:rPr>
          <w:noProof/>
          <w:spacing w:val="-8"/>
        </w:rPr>
        <w:t>t</w:t>
      </w:r>
      <w:r w:rsidRPr="00C948D4">
        <w:rPr>
          <w:noProof/>
          <w:spacing w:val="-8"/>
        </w:rPr>
        <w:t>he cost of negotiating the agreement</w:t>
      </w:r>
      <w:r>
        <w:rPr>
          <w:noProof/>
          <w:spacing w:val="-8"/>
        </w:rPr>
        <w:t>; and (</w:t>
      </w:r>
      <w:r w:rsidRPr="001C2444">
        <w:rPr>
          <w:i/>
          <w:noProof/>
          <w:spacing w:val="-8"/>
        </w:rPr>
        <w:t>ii</w:t>
      </w:r>
      <w:r>
        <w:rPr>
          <w:noProof/>
          <w:spacing w:val="-8"/>
        </w:rPr>
        <w:t xml:space="preserve">) the cost of facilitating data exchange for distribution. </w:t>
      </w:r>
      <w:r w:rsidR="005348C8" w:rsidRPr="0048594C">
        <w:rPr>
          <w:noProof/>
          <w:spacing w:val="-8"/>
        </w:rPr>
        <w:t>Beyond, while costs would also reasonably be expected for the RUs that want to enter into agreement, they would also be expected to generate revenues that would at least outweigh the costs</w:t>
      </w:r>
      <w:r w:rsidR="00741313">
        <w:rPr>
          <w:noProof/>
          <w:spacing w:val="-8"/>
        </w:rPr>
        <w:t xml:space="preserve"> thanks to an increase in ticket sales</w:t>
      </w:r>
      <w:r w:rsidR="005348C8" w:rsidRPr="0048594C">
        <w:rPr>
          <w:noProof/>
          <w:spacing w:val="-8"/>
        </w:rPr>
        <w:t xml:space="preserve">. If they did not, then the </w:t>
      </w:r>
      <w:r w:rsidR="005C0163">
        <w:rPr>
          <w:noProof/>
          <w:spacing w:val="-8"/>
        </w:rPr>
        <w:t>RU</w:t>
      </w:r>
      <w:r w:rsidR="005348C8" w:rsidRPr="0048594C">
        <w:rPr>
          <w:noProof/>
          <w:spacing w:val="-8"/>
        </w:rPr>
        <w:t xml:space="preserve"> would not be ‘willing’ to enter the agreement.</w:t>
      </w:r>
      <w:r w:rsidR="005348C8" w:rsidRPr="005348C8">
        <w:rPr>
          <w:noProof/>
          <w:spacing w:val="-8"/>
        </w:rPr>
        <w:t xml:space="preserve"> </w:t>
      </w:r>
    </w:p>
    <w:p w14:paraId="5E9E84F2" w14:textId="77777777" w:rsidR="0099489F" w:rsidRPr="005348C8" w:rsidRDefault="0099489F" w:rsidP="005348C8">
      <w:pPr>
        <w:jc w:val="both"/>
        <w:rPr>
          <w:noProof/>
          <w:spacing w:val="-8"/>
        </w:rPr>
      </w:pPr>
    </w:p>
    <w:p w14:paraId="4FF85C08" w14:textId="0F83566B" w:rsidR="00410669" w:rsidRDefault="00410669" w:rsidP="00410669">
      <w:pPr>
        <w:jc w:val="both"/>
        <w:rPr>
          <w:rFonts w:eastAsia="Calibri"/>
          <w:noProof/>
          <w:spacing w:val="-8"/>
        </w:rPr>
      </w:pPr>
      <w:r w:rsidRPr="008E662A">
        <w:rPr>
          <w:rFonts w:eastAsia="Calibri"/>
          <w:noProof/>
          <w:spacing w:val="-8"/>
        </w:rPr>
        <w:t>The measure is expected to result in:</w:t>
      </w:r>
    </w:p>
    <w:p w14:paraId="05EF6CC3" w14:textId="77777777" w:rsidR="00410669" w:rsidRPr="008E662A" w:rsidRDefault="00410669" w:rsidP="00410669">
      <w:pPr>
        <w:jc w:val="both"/>
        <w:rPr>
          <w:rFonts w:eastAsia="Calibri"/>
          <w:noProof/>
          <w:spacing w:val="-8"/>
        </w:rPr>
      </w:pPr>
    </w:p>
    <w:p w14:paraId="4D2C1DC0" w14:textId="1D9BC500" w:rsidR="00410669" w:rsidRPr="00D65562" w:rsidRDefault="00410669" w:rsidP="001979E4">
      <w:pPr>
        <w:pStyle w:val="ListParagraph"/>
        <w:widowControl/>
        <w:numPr>
          <w:ilvl w:val="0"/>
          <w:numId w:val="35"/>
        </w:numPr>
        <w:autoSpaceDE/>
        <w:autoSpaceDN/>
        <w:spacing w:before="0" w:after="240"/>
        <w:ind w:left="284" w:right="57" w:hanging="284"/>
        <w:jc w:val="both"/>
        <w:rPr>
          <w:noProof/>
          <w:sz w:val="24"/>
          <w:szCs w:val="24"/>
        </w:rPr>
      </w:pPr>
      <w:r w:rsidRPr="00D65562">
        <w:rPr>
          <w:noProof/>
          <w:sz w:val="24"/>
          <w:szCs w:val="24"/>
        </w:rPr>
        <w:t>One-off a</w:t>
      </w:r>
      <w:r w:rsidRPr="00D65562">
        <w:rPr>
          <w:rFonts w:cs="Arial"/>
          <w:noProof/>
          <w:spacing w:val="-8"/>
          <w:sz w:val="24"/>
          <w:szCs w:val="24"/>
        </w:rPr>
        <w:t xml:space="preserve">djustment costs for </w:t>
      </w:r>
      <w:r w:rsidRPr="00B6747F">
        <w:rPr>
          <w:rFonts w:cs="Arial"/>
          <w:noProof/>
          <w:spacing w:val="-8"/>
          <w:sz w:val="24"/>
          <w:szCs w:val="24"/>
        </w:rPr>
        <w:t>indispensable RU</w:t>
      </w:r>
      <w:r w:rsidR="0099489F">
        <w:rPr>
          <w:rFonts w:cs="Arial"/>
          <w:noProof/>
          <w:spacing w:val="-8"/>
          <w:sz w:val="24"/>
          <w:szCs w:val="24"/>
        </w:rPr>
        <w:t xml:space="preserve"> platforms</w:t>
      </w:r>
      <w:r w:rsidRPr="00B6747F">
        <w:rPr>
          <w:rFonts w:cs="Arial"/>
          <w:noProof/>
          <w:spacing w:val="-8"/>
          <w:sz w:val="24"/>
          <w:szCs w:val="24"/>
        </w:rPr>
        <w:t xml:space="preserve"> </w:t>
      </w:r>
      <w:r w:rsidRPr="00D65562">
        <w:rPr>
          <w:rFonts w:cs="Arial"/>
          <w:noProof/>
          <w:spacing w:val="-8"/>
          <w:sz w:val="24"/>
          <w:szCs w:val="24"/>
        </w:rPr>
        <w:t xml:space="preserve">to </w:t>
      </w:r>
      <w:r w:rsidRPr="0091026B">
        <w:rPr>
          <w:rFonts w:cs="Arial"/>
          <w:bCs/>
          <w:noProof/>
          <w:spacing w:val="-8"/>
          <w:sz w:val="24"/>
          <w:szCs w:val="24"/>
        </w:rPr>
        <w:t>enter into commercial agreements</w:t>
      </w:r>
      <w:r w:rsidRPr="0091026B">
        <w:rPr>
          <w:rFonts w:cs="Arial"/>
          <w:noProof/>
          <w:spacing w:val="-8"/>
          <w:sz w:val="24"/>
          <w:szCs w:val="24"/>
        </w:rPr>
        <w:t xml:space="preserve"> with willing </w:t>
      </w:r>
      <w:r w:rsidR="0099489F">
        <w:rPr>
          <w:rFonts w:cs="Arial"/>
          <w:noProof/>
          <w:spacing w:val="-8"/>
          <w:sz w:val="24"/>
          <w:szCs w:val="24"/>
        </w:rPr>
        <w:t>RUs</w:t>
      </w:r>
      <w:r w:rsidRPr="0091026B">
        <w:rPr>
          <w:rFonts w:cs="Arial"/>
          <w:noProof/>
          <w:spacing w:val="-8"/>
          <w:sz w:val="24"/>
          <w:szCs w:val="24"/>
        </w:rPr>
        <w:t xml:space="preserve"> to enable the distribution of tickets</w:t>
      </w:r>
      <w:r w:rsidRPr="00D65562">
        <w:rPr>
          <w:rFonts w:cs="Arial"/>
          <w:noProof/>
          <w:spacing w:val="-8"/>
          <w:sz w:val="24"/>
          <w:szCs w:val="24"/>
        </w:rPr>
        <w:t>.</w:t>
      </w:r>
    </w:p>
    <w:p w14:paraId="307E2F55" w14:textId="52DC0885" w:rsidR="00410669" w:rsidRPr="00FF2B87" w:rsidRDefault="00410669" w:rsidP="00410669">
      <w:pPr>
        <w:pStyle w:val="Nornal"/>
        <w:spacing w:after="240" w:line="240" w:lineRule="auto"/>
        <w:rPr>
          <w:rFonts w:cs="Arial"/>
          <w:i/>
          <w:iCs/>
          <w:noProof/>
          <w:spacing w:val="-8"/>
          <w:sz w:val="24"/>
          <w:szCs w:val="24"/>
        </w:rPr>
      </w:pPr>
      <w:r w:rsidRPr="00FF2B87">
        <w:rPr>
          <w:rFonts w:cs="Arial"/>
          <w:i/>
          <w:iCs/>
          <w:noProof/>
          <w:spacing w:val="-8"/>
          <w:sz w:val="24"/>
          <w:szCs w:val="24"/>
        </w:rPr>
        <w:t xml:space="preserve">One-off </w:t>
      </w:r>
      <w:r>
        <w:rPr>
          <w:rFonts w:cs="Arial"/>
          <w:i/>
          <w:iCs/>
          <w:noProof/>
          <w:spacing w:val="-8"/>
          <w:sz w:val="24"/>
          <w:szCs w:val="24"/>
        </w:rPr>
        <w:t xml:space="preserve">adjustment costs for </w:t>
      </w:r>
      <w:r w:rsidRPr="006978FC">
        <w:rPr>
          <w:rFonts w:cs="Arial"/>
          <w:i/>
          <w:iCs/>
          <w:noProof/>
          <w:spacing w:val="-8"/>
          <w:sz w:val="24"/>
          <w:szCs w:val="24"/>
        </w:rPr>
        <w:t>indispensable RU</w:t>
      </w:r>
      <w:r>
        <w:rPr>
          <w:rFonts w:cs="Arial"/>
          <w:i/>
          <w:iCs/>
          <w:noProof/>
          <w:spacing w:val="-8"/>
          <w:sz w:val="24"/>
          <w:szCs w:val="24"/>
        </w:rPr>
        <w:t>s</w:t>
      </w:r>
      <w:r w:rsidR="0099489F">
        <w:rPr>
          <w:rFonts w:cs="Arial"/>
          <w:i/>
          <w:iCs/>
          <w:noProof/>
          <w:spacing w:val="-8"/>
          <w:sz w:val="24"/>
          <w:szCs w:val="24"/>
        </w:rPr>
        <w:t xml:space="preserve"> platforms</w:t>
      </w:r>
    </w:p>
    <w:p w14:paraId="73EAAEE3" w14:textId="02D60FB9" w:rsidR="00410669" w:rsidRDefault="00410669" w:rsidP="00410669">
      <w:pPr>
        <w:jc w:val="both"/>
        <w:rPr>
          <w:noProof/>
          <w:spacing w:val="-8"/>
        </w:rPr>
      </w:pPr>
      <w:r>
        <w:rPr>
          <w:rFonts w:eastAsia="Calibri"/>
          <w:noProof/>
          <w:spacing w:val="-8"/>
        </w:rPr>
        <w:t>I</w:t>
      </w:r>
      <w:r w:rsidRPr="00544ABD">
        <w:rPr>
          <w:rFonts w:eastAsia="Calibri"/>
          <w:noProof/>
          <w:spacing w:val="-8"/>
        </w:rPr>
        <w:t>ndispensable RU</w:t>
      </w:r>
      <w:r w:rsidR="003C41CC">
        <w:rPr>
          <w:rFonts w:eastAsia="Calibri"/>
          <w:noProof/>
          <w:spacing w:val="-8"/>
        </w:rPr>
        <w:t xml:space="preserve"> platforms</w:t>
      </w:r>
      <w:r>
        <w:rPr>
          <w:rFonts w:eastAsia="Calibri"/>
          <w:noProof/>
          <w:spacing w:val="-8"/>
        </w:rPr>
        <w:t xml:space="preserve"> </w:t>
      </w:r>
      <w:r w:rsidRPr="00C24D74">
        <w:rPr>
          <w:rFonts w:eastAsia="Calibri"/>
          <w:noProof/>
          <w:spacing w:val="-8"/>
        </w:rPr>
        <w:t xml:space="preserve">are expected to incur off-costs </w:t>
      </w:r>
      <w:r w:rsidR="000269CB" w:rsidRPr="00531F1F">
        <w:rPr>
          <w:rFonts w:eastAsia="Calibri"/>
          <w:noProof/>
          <w:spacing w:val="-8"/>
        </w:rPr>
        <w:t>adjustment</w:t>
      </w:r>
      <w:r>
        <w:rPr>
          <w:rFonts w:eastAsia="Calibri"/>
          <w:noProof/>
          <w:spacing w:val="-8"/>
        </w:rPr>
        <w:t xml:space="preserve"> costs</w:t>
      </w:r>
      <w:r w:rsidRPr="00C24D74">
        <w:rPr>
          <w:rFonts w:eastAsia="Calibri"/>
          <w:noProof/>
          <w:spacing w:val="-8"/>
        </w:rPr>
        <w:t xml:space="preserve"> for </w:t>
      </w:r>
      <w:r>
        <w:rPr>
          <w:rFonts w:eastAsia="Calibri"/>
          <w:noProof/>
          <w:spacing w:val="-8"/>
        </w:rPr>
        <w:t xml:space="preserve">entering into commercial agreements with willing </w:t>
      </w:r>
      <w:r w:rsidR="0087075D">
        <w:rPr>
          <w:rFonts w:eastAsia="Calibri"/>
          <w:noProof/>
          <w:spacing w:val="-8"/>
        </w:rPr>
        <w:t>RUs</w:t>
      </w:r>
      <w:r w:rsidRPr="00C24D74">
        <w:rPr>
          <w:rFonts w:eastAsia="Calibri"/>
          <w:noProof/>
          <w:spacing w:val="-8"/>
        </w:rPr>
        <w:t xml:space="preserve"> (PM1</w:t>
      </w:r>
      <w:r w:rsidR="00D97D30">
        <w:rPr>
          <w:rFonts w:eastAsia="Calibri"/>
          <w:noProof/>
          <w:spacing w:val="-8"/>
        </w:rPr>
        <w:t>4</w:t>
      </w:r>
      <w:r w:rsidRPr="00C24D74">
        <w:rPr>
          <w:rFonts w:eastAsia="Calibri"/>
          <w:noProof/>
          <w:spacing w:val="-8"/>
        </w:rPr>
        <w:t xml:space="preserve">). </w:t>
      </w:r>
      <w:r>
        <w:rPr>
          <w:rFonts w:eastAsia="Calibri"/>
          <w:noProof/>
          <w:spacing w:val="-8"/>
        </w:rPr>
        <w:t>As regards the costs of negotiating agreements</w:t>
      </w:r>
      <w:r w:rsidR="00761C3E">
        <w:rPr>
          <w:rFonts w:eastAsia="Calibri"/>
          <w:noProof/>
          <w:spacing w:val="-8"/>
        </w:rPr>
        <w:t xml:space="preserve"> and</w:t>
      </w:r>
      <w:r>
        <w:rPr>
          <w:rFonts w:eastAsia="Calibri"/>
          <w:noProof/>
          <w:spacing w:val="-8"/>
        </w:rPr>
        <w:t xml:space="preserve"> </w:t>
      </w:r>
      <w:r>
        <w:rPr>
          <w:noProof/>
          <w:spacing w:val="-8"/>
        </w:rPr>
        <w:t xml:space="preserve">the technical </w:t>
      </w:r>
      <w:r w:rsidRPr="00C948D4">
        <w:rPr>
          <w:noProof/>
          <w:spacing w:val="-8"/>
        </w:rPr>
        <w:t xml:space="preserve">costs related to </w:t>
      </w:r>
      <w:r w:rsidRPr="008B2CD4">
        <w:rPr>
          <w:noProof/>
          <w:spacing w:val="-8"/>
        </w:rPr>
        <w:t>facilitating data exchange for distribution</w:t>
      </w:r>
      <w:r>
        <w:rPr>
          <w:noProof/>
          <w:spacing w:val="-8"/>
        </w:rPr>
        <w:t xml:space="preserve">, </w:t>
      </w:r>
      <w:r w:rsidR="00761C3E">
        <w:rPr>
          <w:noProof/>
          <w:spacing w:val="-8"/>
        </w:rPr>
        <w:t xml:space="preserve">the same logic described in PM13 </w:t>
      </w:r>
      <w:r w:rsidRPr="00C948D4">
        <w:rPr>
          <w:noProof/>
          <w:spacing w:val="-8"/>
        </w:rPr>
        <w:t xml:space="preserve">is </w:t>
      </w:r>
      <w:r w:rsidR="00761C3E">
        <w:rPr>
          <w:noProof/>
          <w:spacing w:val="-8"/>
        </w:rPr>
        <w:t>applied</w:t>
      </w:r>
      <w:r w:rsidRPr="00C948D4">
        <w:rPr>
          <w:noProof/>
          <w:spacing w:val="-8"/>
        </w:rPr>
        <w:t>.</w:t>
      </w:r>
      <w:r w:rsidRPr="00761EB9">
        <w:rPr>
          <w:rFonts w:eastAsia="Calibri"/>
          <w:noProof/>
          <w:spacing w:val="-8"/>
        </w:rPr>
        <w:t xml:space="preserve"> </w:t>
      </w:r>
      <w:r w:rsidRPr="0052312C">
        <w:rPr>
          <w:rFonts w:eastAsia="Calibri"/>
          <w:noProof/>
          <w:spacing w:val="-8"/>
        </w:rPr>
        <w:t>T</w:t>
      </w:r>
      <w:r w:rsidRPr="0052312C">
        <w:rPr>
          <w:noProof/>
          <w:spacing w:val="-8"/>
        </w:rPr>
        <w:t xml:space="preserve">hese two elements translate </w:t>
      </w:r>
      <w:r w:rsidR="00DA7B78" w:rsidRPr="0052312C">
        <w:rPr>
          <w:noProof/>
          <w:spacing w:val="-8"/>
        </w:rPr>
        <w:t>in</w:t>
      </w:r>
      <w:r w:rsidRPr="0052312C">
        <w:rPr>
          <w:noProof/>
          <w:spacing w:val="-8"/>
        </w:rPr>
        <w:t xml:space="preserve">to a total one-off cost of onboarding a new third-party platform </w:t>
      </w:r>
      <w:r w:rsidR="00DA7B78" w:rsidRPr="0052312C">
        <w:rPr>
          <w:noProof/>
          <w:spacing w:val="-8"/>
        </w:rPr>
        <w:t xml:space="preserve">estimated </w:t>
      </w:r>
      <w:r w:rsidRPr="0052312C">
        <w:rPr>
          <w:noProof/>
          <w:spacing w:val="-8"/>
        </w:rPr>
        <w:t>at EUR 29,772.</w:t>
      </w:r>
      <w:r w:rsidRPr="009A3977">
        <w:rPr>
          <w:noProof/>
          <w:spacing w:val="-8"/>
        </w:rPr>
        <w:t xml:space="preserve"> </w:t>
      </w:r>
      <w:r w:rsidRPr="00C948D4">
        <w:rPr>
          <w:noProof/>
          <w:spacing w:val="-8"/>
        </w:rPr>
        <w:t xml:space="preserve">Total </w:t>
      </w:r>
      <w:r w:rsidR="003673E0">
        <w:rPr>
          <w:noProof/>
          <w:spacing w:val="-8"/>
        </w:rPr>
        <w:t>one-off</w:t>
      </w:r>
      <w:r w:rsidRPr="00C948D4">
        <w:rPr>
          <w:noProof/>
          <w:spacing w:val="-8"/>
        </w:rPr>
        <w:t xml:space="preserve"> costs are calculated by multiplying th</w:t>
      </w:r>
      <w:r>
        <w:rPr>
          <w:noProof/>
          <w:spacing w:val="-8"/>
        </w:rPr>
        <w:t>e</w:t>
      </w:r>
      <w:r w:rsidRPr="00C948D4">
        <w:rPr>
          <w:noProof/>
          <w:spacing w:val="-8"/>
        </w:rPr>
        <w:t xml:space="preserve"> onboarding cost with the </w:t>
      </w:r>
      <w:r>
        <w:rPr>
          <w:noProof/>
          <w:spacing w:val="-8"/>
        </w:rPr>
        <w:t xml:space="preserve">number of </w:t>
      </w:r>
      <w:r w:rsidRPr="00C948D4">
        <w:rPr>
          <w:noProof/>
          <w:spacing w:val="-8"/>
        </w:rPr>
        <w:t xml:space="preserve">additional agreements negotiated by </w:t>
      </w:r>
      <w:r w:rsidR="008B7FC9">
        <w:rPr>
          <w:noProof/>
          <w:spacing w:val="-8"/>
        </w:rPr>
        <w:t>indispensable RU platforms</w:t>
      </w:r>
      <w:r w:rsidRPr="00C948D4">
        <w:rPr>
          <w:noProof/>
          <w:spacing w:val="-8"/>
        </w:rPr>
        <w:t xml:space="preserve"> relative to the baseline in </w:t>
      </w:r>
      <w:r>
        <w:rPr>
          <w:noProof/>
          <w:spacing w:val="-8"/>
        </w:rPr>
        <w:t>PO3</w:t>
      </w:r>
      <w:r w:rsidRPr="00C948D4">
        <w:rPr>
          <w:noProof/>
          <w:spacing w:val="-8"/>
        </w:rPr>
        <w:t xml:space="preserve">. The method for estimating the additional new agreements brought about by PM13 in each year </w:t>
      </w:r>
      <w:r>
        <w:rPr>
          <w:noProof/>
          <w:spacing w:val="-8"/>
        </w:rPr>
        <w:t>is</w:t>
      </w:r>
      <w:r w:rsidRPr="00E62730">
        <w:rPr>
          <w:noProof/>
          <w:spacing w:val="-8"/>
        </w:rPr>
        <w:t xml:space="preserve"> explained in section 3.1</w:t>
      </w:r>
      <w:r w:rsidR="006E6A60">
        <w:rPr>
          <w:noProof/>
          <w:spacing w:val="-8"/>
        </w:rPr>
        <w:t>.3</w:t>
      </w:r>
      <w:r w:rsidRPr="00E62730">
        <w:rPr>
          <w:noProof/>
          <w:spacing w:val="-8"/>
        </w:rPr>
        <w:t xml:space="preserve"> of Annex 4</w:t>
      </w:r>
      <w:r>
        <w:rPr>
          <w:noProof/>
          <w:spacing w:val="-8"/>
        </w:rPr>
        <w:t>.</w:t>
      </w:r>
    </w:p>
    <w:p w14:paraId="0D442098" w14:textId="6B250F49" w:rsidR="00410669" w:rsidRPr="00C24D74" w:rsidRDefault="00410669" w:rsidP="00410669">
      <w:pPr>
        <w:pStyle w:val="Text4"/>
        <w:ind w:left="0"/>
        <w:rPr>
          <w:rFonts w:ascii="Times New Roman" w:eastAsia="Calibri" w:hAnsi="Times New Roman"/>
          <w:noProof/>
          <w:spacing w:val="-8"/>
          <w:sz w:val="24"/>
          <w:szCs w:val="24"/>
        </w:rPr>
      </w:pPr>
      <w:r w:rsidRPr="00C24D74">
        <w:rPr>
          <w:rFonts w:ascii="Times New Roman" w:eastAsia="Calibri" w:hAnsi="Times New Roman"/>
          <w:noProof/>
          <w:spacing w:val="-8"/>
          <w:sz w:val="24"/>
          <w:szCs w:val="24"/>
        </w:rPr>
        <w:t>The one-off a</w:t>
      </w:r>
      <w:r>
        <w:rPr>
          <w:rFonts w:ascii="Times New Roman" w:eastAsia="Calibri" w:hAnsi="Times New Roman"/>
          <w:noProof/>
          <w:spacing w:val="-8"/>
          <w:sz w:val="24"/>
          <w:szCs w:val="24"/>
        </w:rPr>
        <w:t>djustment</w:t>
      </w:r>
      <w:r w:rsidRPr="00C24D74">
        <w:rPr>
          <w:rFonts w:ascii="Times New Roman" w:eastAsia="Calibri" w:hAnsi="Times New Roman"/>
          <w:noProof/>
          <w:spacing w:val="-8"/>
          <w:sz w:val="24"/>
          <w:szCs w:val="24"/>
        </w:rPr>
        <w:t xml:space="preserve"> costs for </w:t>
      </w:r>
      <w:r w:rsidRPr="00A113D3">
        <w:rPr>
          <w:rFonts w:ascii="Times New Roman" w:eastAsia="Calibri" w:hAnsi="Times New Roman"/>
          <w:noProof/>
          <w:spacing w:val="-8"/>
          <w:sz w:val="24"/>
          <w:szCs w:val="24"/>
        </w:rPr>
        <w:t xml:space="preserve">indispensable </w:t>
      </w:r>
      <w:r w:rsidR="008B7FC9" w:rsidRPr="008B7FC9">
        <w:rPr>
          <w:rFonts w:ascii="Times New Roman" w:eastAsia="Calibri" w:hAnsi="Times New Roman"/>
          <w:noProof/>
          <w:spacing w:val="-8"/>
          <w:sz w:val="24"/>
          <w:szCs w:val="24"/>
        </w:rPr>
        <w:t>RU platforms</w:t>
      </w:r>
      <w:r w:rsidRPr="00A113D3">
        <w:rPr>
          <w:rFonts w:ascii="Times New Roman" w:eastAsia="Calibri" w:hAnsi="Times New Roman"/>
          <w:noProof/>
          <w:spacing w:val="-8"/>
          <w:sz w:val="24"/>
          <w:szCs w:val="24"/>
        </w:rPr>
        <w:t xml:space="preserve"> </w:t>
      </w:r>
      <w:r w:rsidRPr="004A37C5">
        <w:rPr>
          <w:rFonts w:ascii="Times New Roman" w:eastAsia="Calibri" w:hAnsi="Times New Roman"/>
          <w:noProof/>
          <w:spacing w:val="-8"/>
          <w:sz w:val="24"/>
          <w:szCs w:val="24"/>
        </w:rPr>
        <w:t>in 2028</w:t>
      </w:r>
      <w:r w:rsidR="000F5BF4">
        <w:rPr>
          <w:rFonts w:ascii="Times New Roman" w:eastAsia="Calibri" w:hAnsi="Times New Roman"/>
          <w:noProof/>
          <w:spacing w:val="-8"/>
          <w:sz w:val="24"/>
          <w:szCs w:val="24"/>
        </w:rPr>
        <w:t xml:space="preserve"> </w:t>
      </w:r>
      <w:r w:rsidRPr="004A37C5">
        <w:rPr>
          <w:rFonts w:ascii="Times New Roman" w:eastAsia="Calibri" w:hAnsi="Times New Roman"/>
          <w:noProof/>
          <w:spacing w:val="-8"/>
          <w:sz w:val="24"/>
          <w:szCs w:val="24"/>
        </w:rPr>
        <w:t xml:space="preserve">in </w:t>
      </w:r>
      <w:r w:rsidRPr="004A37C5">
        <w:rPr>
          <w:rFonts w:ascii="Times New Roman" w:hAnsi="Times New Roman"/>
          <w:noProof/>
          <w:spacing w:val="-8"/>
          <w:sz w:val="24"/>
          <w:szCs w:val="24"/>
        </w:rPr>
        <w:t>PO</w:t>
      </w:r>
      <w:r w:rsidR="0069096D">
        <w:rPr>
          <w:rFonts w:ascii="Times New Roman" w:hAnsi="Times New Roman"/>
          <w:noProof/>
          <w:spacing w:val="-8"/>
          <w:sz w:val="24"/>
          <w:szCs w:val="24"/>
        </w:rPr>
        <w:t>3</w:t>
      </w:r>
      <w:r w:rsidRPr="004A37C5">
        <w:rPr>
          <w:rFonts w:ascii="Times New Roman" w:eastAsia="Calibri" w:hAnsi="Times New Roman"/>
          <w:noProof/>
          <w:spacing w:val="-8"/>
          <w:sz w:val="24"/>
          <w:szCs w:val="24"/>
        </w:rPr>
        <w:t xml:space="preserve"> are provided in the table below.</w:t>
      </w:r>
      <w:r w:rsidRPr="00C24D74">
        <w:rPr>
          <w:rFonts w:ascii="Times New Roman" w:eastAsia="Calibri" w:hAnsi="Times New Roman"/>
          <w:noProof/>
          <w:spacing w:val="-8"/>
          <w:sz w:val="24"/>
          <w:szCs w:val="24"/>
        </w:rPr>
        <w:t xml:space="preserve"> </w:t>
      </w:r>
    </w:p>
    <w:p w14:paraId="09A330E0" w14:textId="693E9450" w:rsidR="00410669" w:rsidRPr="00777951" w:rsidRDefault="00410669" w:rsidP="00410669">
      <w:pPr>
        <w:tabs>
          <w:tab w:val="left" w:pos="1134"/>
        </w:tabs>
        <w:jc w:val="both"/>
        <w:rPr>
          <w:i/>
          <w:noProof/>
          <w:sz w:val="22"/>
          <w:szCs w:val="22"/>
        </w:rPr>
      </w:pPr>
      <w:r w:rsidRPr="00777951">
        <w:rPr>
          <w:i/>
          <w:noProof/>
          <w:sz w:val="22"/>
          <w:szCs w:val="22"/>
        </w:rPr>
        <w:t xml:space="preserve">Table </w:t>
      </w:r>
      <w:r w:rsidR="00E14978" w:rsidRPr="00777951">
        <w:rPr>
          <w:i/>
          <w:noProof/>
          <w:sz w:val="22"/>
          <w:szCs w:val="22"/>
        </w:rPr>
        <w:fldChar w:fldCharType="begin"/>
      </w:r>
      <w:r w:rsidR="00E14978" w:rsidRPr="00777951">
        <w:rPr>
          <w:i/>
          <w:noProof/>
          <w:sz w:val="22"/>
          <w:szCs w:val="22"/>
        </w:rPr>
        <w:instrText xml:space="preserve"> SEQ Table \* ARABIC </w:instrText>
      </w:r>
      <w:r w:rsidR="00E14978" w:rsidRPr="00777951">
        <w:rPr>
          <w:i/>
          <w:noProof/>
          <w:sz w:val="22"/>
          <w:szCs w:val="22"/>
        </w:rPr>
        <w:fldChar w:fldCharType="separate"/>
      </w:r>
      <w:r w:rsidR="0055391F">
        <w:rPr>
          <w:i/>
          <w:noProof/>
          <w:sz w:val="22"/>
          <w:szCs w:val="22"/>
        </w:rPr>
        <w:t>116</w:t>
      </w:r>
      <w:r w:rsidR="00E14978" w:rsidRPr="00777951">
        <w:rPr>
          <w:i/>
          <w:noProof/>
          <w:sz w:val="22"/>
          <w:szCs w:val="22"/>
        </w:rPr>
        <w:fldChar w:fldCharType="end"/>
      </w:r>
      <w:r w:rsidR="00E14978" w:rsidRPr="00777951">
        <w:rPr>
          <w:i/>
          <w:noProof/>
          <w:sz w:val="22"/>
          <w:szCs w:val="22"/>
        </w:rPr>
        <w:t>:</w:t>
      </w:r>
      <w:r w:rsidRPr="00777951">
        <w:rPr>
          <w:i/>
          <w:noProof/>
          <w:sz w:val="22"/>
          <w:szCs w:val="22"/>
        </w:rPr>
        <w:t xml:space="preserve"> One-off adjustment costs for indispensable RU</w:t>
      </w:r>
      <w:r w:rsidR="008B7FC9" w:rsidRPr="00777951">
        <w:rPr>
          <w:i/>
          <w:noProof/>
          <w:sz w:val="22"/>
          <w:szCs w:val="22"/>
        </w:rPr>
        <w:t xml:space="preserve"> platforms</w:t>
      </w:r>
      <w:r w:rsidRPr="00777951">
        <w:rPr>
          <w:i/>
          <w:noProof/>
          <w:sz w:val="22"/>
          <w:szCs w:val="22"/>
        </w:rPr>
        <w:t xml:space="preserve"> due to PM1</w:t>
      </w:r>
      <w:r w:rsidR="008B7FC9" w:rsidRPr="00777951">
        <w:rPr>
          <w:i/>
          <w:noProof/>
          <w:sz w:val="22"/>
          <w:szCs w:val="22"/>
        </w:rPr>
        <w:t>4</w:t>
      </w:r>
      <w:r w:rsidRPr="00777951">
        <w:rPr>
          <w:i/>
          <w:noProof/>
          <w:sz w:val="22"/>
          <w:szCs w:val="22"/>
        </w:rPr>
        <w:t xml:space="preserve"> in PO3 in 2028, 2030, 2040 and 2050 relative to the baseline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0"/>
        <w:gridCol w:w="884"/>
        <w:gridCol w:w="883"/>
        <w:gridCol w:w="883"/>
        <w:gridCol w:w="883"/>
      </w:tblGrid>
      <w:tr w:rsidR="009D01C2" w:rsidRPr="00E609F5" w14:paraId="28E97159" w14:textId="77777777" w:rsidTr="00786058">
        <w:trPr>
          <w:trHeight w:val="20"/>
          <w:tblHeader/>
        </w:trPr>
        <w:tc>
          <w:tcPr>
            <w:tcW w:w="5262" w:type="dxa"/>
            <w:shd w:val="clear" w:color="auto" w:fill="0070C0"/>
            <w:noWrap/>
            <w:hideMark/>
          </w:tcPr>
          <w:p w14:paraId="5496CA0E" w14:textId="77777777" w:rsidR="00410669" w:rsidRPr="00633F31" w:rsidRDefault="00410669">
            <w:pPr>
              <w:jc w:val="center"/>
              <w:rPr>
                <w:b/>
                <w:noProof/>
                <w:color w:val="FFFFFF"/>
                <w:sz w:val="20"/>
                <w:szCs w:val="20"/>
              </w:rPr>
            </w:pPr>
            <w:r w:rsidRPr="00633F31">
              <w:rPr>
                <w:b/>
                <w:noProof/>
                <w:color w:val="FFFFFF"/>
                <w:sz w:val="20"/>
                <w:szCs w:val="20"/>
              </w:rPr>
              <w:t> </w:t>
            </w:r>
          </w:p>
        </w:tc>
        <w:tc>
          <w:tcPr>
            <w:tcW w:w="718" w:type="dxa"/>
            <w:shd w:val="clear" w:color="auto" w:fill="0070C0"/>
            <w:noWrap/>
            <w:hideMark/>
          </w:tcPr>
          <w:p w14:paraId="37D25C45" w14:textId="77777777" w:rsidR="00410669" w:rsidRPr="00633F31" w:rsidRDefault="00410669">
            <w:pPr>
              <w:jc w:val="center"/>
              <w:rPr>
                <w:b/>
                <w:noProof/>
                <w:color w:val="FFFFFF"/>
                <w:sz w:val="20"/>
                <w:szCs w:val="20"/>
              </w:rPr>
            </w:pPr>
            <w:r w:rsidRPr="00633F31">
              <w:rPr>
                <w:b/>
                <w:noProof/>
                <w:color w:val="FFFFFF"/>
                <w:sz w:val="20"/>
                <w:szCs w:val="20"/>
              </w:rPr>
              <w:t>2028</w:t>
            </w:r>
          </w:p>
        </w:tc>
        <w:tc>
          <w:tcPr>
            <w:tcW w:w="718" w:type="dxa"/>
            <w:shd w:val="clear" w:color="auto" w:fill="0070C0"/>
            <w:noWrap/>
            <w:hideMark/>
          </w:tcPr>
          <w:p w14:paraId="1C2A8D19" w14:textId="77777777" w:rsidR="00410669" w:rsidRPr="00633F31" w:rsidRDefault="00410669">
            <w:pPr>
              <w:jc w:val="center"/>
              <w:rPr>
                <w:b/>
                <w:noProof/>
                <w:color w:val="FFFFFF"/>
                <w:sz w:val="20"/>
                <w:szCs w:val="20"/>
              </w:rPr>
            </w:pPr>
            <w:r w:rsidRPr="00633F31">
              <w:rPr>
                <w:b/>
                <w:noProof/>
                <w:color w:val="FFFFFF"/>
                <w:sz w:val="20"/>
                <w:szCs w:val="20"/>
              </w:rPr>
              <w:t>2030</w:t>
            </w:r>
          </w:p>
        </w:tc>
        <w:tc>
          <w:tcPr>
            <w:tcW w:w="718" w:type="dxa"/>
            <w:shd w:val="clear" w:color="auto" w:fill="0070C0"/>
            <w:noWrap/>
            <w:hideMark/>
          </w:tcPr>
          <w:p w14:paraId="2773BD3E" w14:textId="77777777" w:rsidR="00410669" w:rsidRPr="00633F31" w:rsidRDefault="00410669">
            <w:pPr>
              <w:jc w:val="center"/>
              <w:rPr>
                <w:b/>
                <w:noProof/>
                <w:color w:val="FFFFFF"/>
                <w:sz w:val="20"/>
                <w:szCs w:val="20"/>
              </w:rPr>
            </w:pPr>
            <w:r w:rsidRPr="00633F31">
              <w:rPr>
                <w:b/>
                <w:noProof/>
                <w:color w:val="FFFFFF"/>
                <w:sz w:val="20"/>
                <w:szCs w:val="20"/>
              </w:rPr>
              <w:t>2040</w:t>
            </w:r>
          </w:p>
        </w:tc>
        <w:tc>
          <w:tcPr>
            <w:tcW w:w="718" w:type="dxa"/>
            <w:shd w:val="clear" w:color="auto" w:fill="0070C0"/>
            <w:noWrap/>
            <w:hideMark/>
          </w:tcPr>
          <w:p w14:paraId="1E2FC01A" w14:textId="77777777" w:rsidR="00410669" w:rsidRPr="00633F31" w:rsidRDefault="00410669">
            <w:pPr>
              <w:jc w:val="center"/>
              <w:rPr>
                <w:b/>
                <w:noProof/>
                <w:color w:val="FFFFFF"/>
                <w:sz w:val="20"/>
                <w:szCs w:val="20"/>
              </w:rPr>
            </w:pPr>
            <w:r w:rsidRPr="00633F31">
              <w:rPr>
                <w:b/>
                <w:noProof/>
                <w:color w:val="FFFFFF"/>
                <w:sz w:val="20"/>
                <w:szCs w:val="20"/>
              </w:rPr>
              <w:t>2050</w:t>
            </w:r>
          </w:p>
        </w:tc>
      </w:tr>
      <w:tr w:rsidR="00410669" w:rsidRPr="00E609F5" w14:paraId="41E80984" w14:textId="77777777" w:rsidTr="00FF5008">
        <w:trPr>
          <w:trHeight w:val="20"/>
        </w:trPr>
        <w:tc>
          <w:tcPr>
            <w:tcW w:w="5262" w:type="dxa"/>
            <w:noWrap/>
            <w:hideMark/>
          </w:tcPr>
          <w:p w14:paraId="1EAE3D40" w14:textId="72C34165" w:rsidR="00410669" w:rsidRPr="00777951" w:rsidRDefault="00410669">
            <w:pPr>
              <w:ind w:right="504"/>
              <w:rPr>
                <w:noProof/>
                <w:sz w:val="20"/>
                <w:szCs w:val="20"/>
              </w:rPr>
            </w:pPr>
            <w:r w:rsidRPr="00777951">
              <w:rPr>
                <w:noProof/>
                <w:sz w:val="20"/>
                <w:szCs w:val="20"/>
              </w:rPr>
              <w:t xml:space="preserve">One-off costs per </w:t>
            </w:r>
            <w:r w:rsidR="006A1993" w:rsidRPr="00777951">
              <w:rPr>
                <w:noProof/>
                <w:sz w:val="20"/>
                <w:szCs w:val="20"/>
              </w:rPr>
              <w:t xml:space="preserve">new agreement negotiated by </w:t>
            </w:r>
            <w:r w:rsidRPr="00777951">
              <w:rPr>
                <w:noProof/>
                <w:sz w:val="20"/>
                <w:szCs w:val="20"/>
              </w:rPr>
              <w:t>indispensable RU</w:t>
            </w:r>
            <w:r w:rsidR="007028A7" w:rsidRPr="00777951">
              <w:rPr>
                <w:noProof/>
                <w:sz w:val="20"/>
                <w:szCs w:val="20"/>
              </w:rPr>
              <w:t xml:space="preserve"> </w:t>
            </w:r>
            <w:r w:rsidR="006A1993" w:rsidRPr="00777951">
              <w:rPr>
                <w:noProof/>
                <w:sz w:val="20"/>
                <w:szCs w:val="20"/>
              </w:rPr>
              <w:t>platforms</w:t>
            </w:r>
            <w:r w:rsidRPr="00777951">
              <w:rPr>
                <w:noProof/>
                <w:sz w:val="20"/>
                <w:szCs w:val="20"/>
              </w:rPr>
              <w:t xml:space="preserve"> (EUR) </w:t>
            </w:r>
          </w:p>
        </w:tc>
        <w:tc>
          <w:tcPr>
            <w:tcW w:w="718" w:type="dxa"/>
            <w:noWrap/>
            <w:hideMark/>
          </w:tcPr>
          <w:p w14:paraId="1D707288" w14:textId="77777777" w:rsidR="00410669" w:rsidRPr="00777951" w:rsidRDefault="00410669">
            <w:pPr>
              <w:jc w:val="right"/>
              <w:rPr>
                <w:noProof/>
                <w:sz w:val="20"/>
                <w:szCs w:val="20"/>
              </w:rPr>
            </w:pPr>
            <w:r w:rsidRPr="00777951">
              <w:rPr>
                <w:noProof/>
                <w:sz w:val="20"/>
                <w:szCs w:val="20"/>
              </w:rPr>
              <w:t>29,772</w:t>
            </w:r>
          </w:p>
        </w:tc>
        <w:tc>
          <w:tcPr>
            <w:tcW w:w="718" w:type="dxa"/>
            <w:noWrap/>
            <w:hideMark/>
          </w:tcPr>
          <w:p w14:paraId="7DE67A4F" w14:textId="77777777" w:rsidR="00410669" w:rsidRPr="00777951" w:rsidRDefault="00410669">
            <w:pPr>
              <w:jc w:val="right"/>
              <w:rPr>
                <w:noProof/>
                <w:sz w:val="20"/>
                <w:szCs w:val="20"/>
              </w:rPr>
            </w:pPr>
            <w:r w:rsidRPr="00777951">
              <w:rPr>
                <w:noProof/>
                <w:sz w:val="20"/>
                <w:szCs w:val="20"/>
              </w:rPr>
              <w:t>29,772</w:t>
            </w:r>
          </w:p>
        </w:tc>
        <w:tc>
          <w:tcPr>
            <w:tcW w:w="718" w:type="dxa"/>
            <w:noWrap/>
            <w:hideMark/>
          </w:tcPr>
          <w:p w14:paraId="0DEF1DAA" w14:textId="77777777" w:rsidR="00410669" w:rsidRPr="00777951" w:rsidRDefault="00410669">
            <w:pPr>
              <w:jc w:val="right"/>
              <w:rPr>
                <w:noProof/>
                <w:sz w:val="20"/>
                <w:szCs w:val="20"/>
              </w:rPr>
            </w:pPr>
            <w:r w:rsidRPr="00777951">
              <w:rPr>
                <w:noProof/>
                <w:sz w:val="20"/>
                <w:szCs w:val="20"/>
              </w:rPr>
              <w:t>29,772</w:t>
            </w:r>
          </w:p>
        </w:tc>
        <w:tc>
          <w:tcPr>
            <w:tcW w:w="718" w:type="dxa"/>
            <w:noWrap/>
            <w:hideMark/>
          </w:tcPr>
          <w:p w14:paraId="2951CB11" w14:textId="77777777" w:rsidR="00410669" w:rsidRPr="00777951" w:rsidRDefault="00410669">
            <w:pPr>
              <w:jc w:val="right"/>
              <w:rPr>
                <w:noProof/>
                <w:sz w:val="20"/>
                <w:szCs w:val="20"/>
              </w:rPr>
            </w:pPr>
            <w:r w:rsidRPr="00777951">
              <w:rPr>
                <w:noProof/>
                <w:sz w:val="20"/>
                <w:szCs w:val="20"/>
              </w:rPr>
              <w:t>29,727</w:t>
            </w:r>
          </w:p>
        </w:tc>
      </w:tr>
      <w:tr w:rsidR="00410669" w:rsidRPr="00E609F5" w14:paraId="3884CD19" w14:textId="77777777" w:rsidTr="00FF5008">
        <w:trPr>
          <w:trHeight w:val="20"/>
        </w:trPr>
        <w:tc>
          <w:tcPr>
            <w:tcW w:w="5262" w:type="dxa"/>
            <w:noWrap/>
            <w:hideMark/>
          </w:tcPr>
          <w:p w14:paraId="7DC1EB96" w14:textId="704D0BDC" w:rsidR="00410669" w:rsidRPr="00777951" w:rsidRDefault="006A1993">
            <w:pPr>
              <w:rPr>
                <w:b/>
                <w:noProof/>
                <w:sz w:val="20"/>
                <w:szCs w:val="20"/>
              </w:rPr>
            </w:pPr>
            <w:r w:rsidRPr="00777951">
              <w:rPr>
                <w:b/>
                <w:noProof/>
                <w:sz w:val="20"/>
                <w:szCs w:val="20"/>
              </w:rPr>
              <w:t>PO</w:t>
            </w:r>
            <w:r w:rsidR="001153AC" w:rsidRPr="00777951">
              <w:rPr>
                <w:b/>
                <w:noProof/>
                <w:sz w:val="20"/>
                <w:szCs w:val="20"/>
              </w:rPr>
              <w:t>3</w:t>
            </w:r>
          </w:p>
        </w:tc>
        <w:tc>
          <w:tcPr>
            <w:tcW w:w="718" w:type="dxa"/>
            <w:noWrap/>
            <w:hideMark/>
          </w:tcPr>
          <w:p w14:paraId="1377C325" w14:textId="77777777" w:rsidR="00410669" w:rsidRPr="00777951" w:rsidRDefault="00410669">
            <w:pPr>
              <w:rPr>
                <w:noProof/>
                <w:sz w:val="20"/>
                <w:szCs w:val="20"/>
              </w:rPr>
            </w:pPr>
          </w:p>
        </w:tc>
        <w:tc>
          <w:tcPr>
            <w:tcW w:w="718" w:type="dxa"/>
            <w:noWrap/>
            <w:hideMark/>
          </w:tcPr>
          <w:p w14:paraId="74861A69" w14:textId="77777777" w:rsidR="00410669" w:rsidRPr="00777951" w:rsidRDefault="00410669">
            <w:pPr>
              <w:rPr>
                <w:noProof/>
                <w:sz w:val="20"/>
                <w:szCs w:val="20"/>
              </w:rPr>
            </w:pPr>
          </w:p>
        </w:tc>
        <w:tc>
          <w:tcPr>
            <w:tcW w:w="718" w:type="dxa"/>
            <w:noWrap/>
            <w:hideMark/>
          </w:tcPr>
          <w:p w14:paraId="57B02248" w14:textId="77777777" w:rsidR="00410669" w:rsidRPr="00777951" w:rsidRDefault="00410669">
            <w:pPr>
              <w:rPr>
                <w:noProof/>
                <w:sz w:val="20"/>
                <w:szCs w:val="20"/>
              </w:rPr>
            </w:pPr>
            <w:r w:rsidRPr="00777951">
              <w:rPr>
                <w:noProof/>
                <w:sz w:val="20"/>
                <w:szCs w:val="20"/>
              </w:rPr>
              <w:t> </w:t>
            </w:r>
          </w:p>
        </w:tc>
        <w:tc>
          <w:tcPr>
            <w:tcW w:w="718" w:type="dxa"/>
            <w:noWrap/>
            <w:hideMark/>
          </w:tcPr>
          <w:p w14:paraId="1B2012FA" w14:textId="77777777" w:rsidR="00410669" w:rsidRPr="00777951" w:rsidRDefault="00410669">
            <w:pPr>
              <w:rPr>
                <w:noProof/>
                <w:sz w:val="20"/>
                <w:szCs w:val="20"/>
              </w:rPr>
            </w:pPr>
            <w:r w:rsidRPr="00777951">
              <w:rPr>
                <w:noProof/>
                <w:sz w:val="20"/>
                <w:szCs w:val="20"/>
              </w:rPr>
              <w:t> </w:t>
            </w:r>
          </w:p>
        </w:tc>
      </w:tr>
      <w:tr w:rsidR="00410669" w:rsidRPr="00E609F5" w14:paraId="6296D6CA" w14:textId="77777777" w:rsidTr="00FF5008">
        <w:trPr>
          <w:trHeight w:val="20"/>
        </w:trPr>
        <w:tc>
          <w:tcPr>
            <w:tcW w:w="5262" w:type="dxa"/>
            <w:noWrap/>
            <w:hideMark/>
          </w:tcPr>
          <w:p w14:paraId="59BD0E79" w14:textId="3F92742E" w:rsidR="00410669" w:rsidRPr="00777951" w:rsidRDefault="00410669">
            <w:pPr>
              <w:rPr>
                <w:noProof/>
                <w:sz w:val="20"/>
                <w:szCs w:val="20"/>
              </w:rPr>
            </w:pPr>
            <w:r w:rsidRPr="00777951">
              <w:rPr>
                <w:noProof/>
                <w:sz w:val="20"/>
                <w:szCs w:val="20"/>
              </w:rPr>
              <w:t xml:space="preserve">New agreements by indispensable </w:t>
            </w:r>
            <w:r w:rsidR="006A1993" w:rsidRPr="00777951">
              <w:rPr>
                <w:noProof/>
                <w:sz w:val="20"/>
                <w:szCs w:val="20"/>
              </w:rPr>
              <w:t>RU</w:t>
            </w:r>
            <w:r w:rsidR="000B6A16" w:rsidRPr="00777951">
              <w:rPr>
                <w:noProof/>
                <w:sz w:val="20"/>
                <w:szCs w:val="20"/>
              </w:rPr>
              <w:t xml:space="preserve"> platforms</w:t>
            </w:r>
            <w:r w:rsidRPr="00777951">
              <w:rPr>
                <w:noProof/>
                <w:sz w:val="20"/>
                <w:szCs w:val="20"/>
              </w:rPr>
              <w:t xml:space="preserve"> (changes relative to the baseline)</w:t>
            </w:r>
          </w:p>
        </w:tc>
        <w:tc>
          <w:tcPr>
            <w:tcW w:w="718" w:type="dxa"/>
            <w:noWrap/>
            <w:hideMark/>
          </w:tcPr>
          <w:p w14:paraId="44E1225B" w14:textId="709FC617" w:rsidR="00410669" w:rsidRPr="00777951" w:rsidRDefault="000B6A16">
            <w:pPr>
              <w:jc w:val="right"/>
              <w:rPr>
                <w:noProof/>
                <w:sz w:val="20"/>
                <w:szCs w:val="20"/>
              </w:rPr>
            </w:pPr>
            <w:r w:rsidRPr="00777951">
              <w:rPr>
                <w:noProof/>
                <w:sz w:val="20"/>
                <w:szCs w:val="20"/>
              </w:rPr>
              <w:t>13</w:t>
            </w:r>
          </w:p>
        </w:tc>
        <w:tc>
          <w:tcPr>
            <w:tcW w:w="718" w:type="dxa"/>
            <w:noWrap/>
            <w:hideMark/>
          </w:tcPr>
          <w:p w14:paraId="0BEFD434" w14:textId="07C85531" w:rsidR="00410669" w:rsidRPr="00777951" w:rsidRDefault="000F5BF4">
            <w:pPr>
              <w:jc w:val="right"/>
              <w:rPr>
                <w:noProof/>
                <w:sz w:val="20"/>
                <w:szCs w:val="20"/>
              </w:rPr>
            </w:pPr>
            <w:r>
              <w:rPr>
                <w:noProof/>
                <w:sz w:val="20"/>
                <w:szCs w:val="20"/>
              </w:rPr>
              <w:t>0</w:t>
            </w:r>
          </w:p>
        </w:tc>
        <w:tc>
          <w:tcPr>
            <w:tcW w:w="718" w:type="dxa"/>
            <w:noWrap/>
            <w:hideMark/>
          </w:tcPr>
          <w:p w14:paraId="0AAC8BE3" w14:textId="4CB1CAC9" w:rsidR="00410669" w:rsidRPr="00777951" w:rsidRDefault="000B6A16">
            <w:pPr>
              <w:jc w:val="right"/>
              <w:rPr>
                <w:noProof/>
                <w:sz w:val="20"/>
                <w:szCs w:val="20"/>
              </w:rPr>
            </w:pPr>
            <w:r w:rsidRPr="00777951">
              <w:rPr>
                <w:noProof/>
                <w:sz w:val="20"/>
                <w:szCs w:val="20"/>
              </w:rPr>
              <w:t>0</w:t>
            </w:r>
          </w:p>
        </w:tc>
        <w:tc>
          <w:tcPr>
            <w:tcW w:w="718" w:type="dxa"/>
            <w:noWrap/>
            <w:hideMark/>
          </w:tcPr>
          <w:p w14:paraId="187F3166" w14:textId="630540B8" w:rsidR="00410669" w:rsidRPr="00777951" w:rsidRDefault="000B6A16">
            <w:pPr>
              <w:jc w:val="right"/>
              <w:rPr>
                <w:noProof/>
                <w:sz w:val="20"/>
                <w:szCs w:val="20"/>
              </w:rPr>
            </w:pPr>
            <w:r w:rsidRPr="00777951">
              <w:rPr>
                <w:noProof/>
                <w:sz w:val="20"/>
                <w:szCs w:val="20"/>
              </w:rPr>
              <w:t>0</w:t>
            </w:r>
          </w:p>
        </w:tc>
      </w:tr>
      <w:tr w:rsidR="00410669" w:rsidRPr="00E609F5" w14:paraId="7D4C11DD" w14:textId="77777777" w:rsidTr="00FF5008">
        <w:trPr>
          <w:trHeight w:val="20"/>
        </w:trPr>
        <w:tc>
          <w:tcPr>
            <w:tcW w:w="5262" w:type="dxa"/>
            <w:noWrap/>
            <w:hideMark/>
          </w:tcPr>
          <w:p w14:paraId="4FBB0130" w14:textId="7DC4C0AD" w:rsidR="00410669" w:rsidRPr="00777951" w:rsidRDefault="00410669">
            <w:pPr>
              <w:rPr>
                <w:noProof/>
                <w:sz w:val="20"/>
                <w:szCs w:val="20"/>
              </w:rPr>
            </w:pPr>
            <w:r w:rsidRPr="00777951">
              <w:rPr>
                <w:noProof/>
                <w:sz w:val="20"/>
                <w:szCs w:val="20"/>
              </w:rPr>
              <w:t xml:space="preserve">Total one-off adjustment costs for indispensable </w:t>
            </w:r>
            <w:r w:rsidR="006A1993" w:rsidRPr="00777951">
              <w:rPr>
                <w:noProof/>
                <w:sz w:val="20"/>
                <w:szCs w:val="20"/>
              </w:rPr>
              <w:t>RU</w:t>
            </w:r>
            <w:r w:rsidR="000B6A16" w:rsidRPr="00777951">
              <w:rPr>
                <w:noProof/>
                <w:sz w:val="20"/>
                <w:szCs w:val="20"/>
              </w:rPr>
              <w:t xml:space="preserve"> platforms</w:t>
            </w:r>
            <w:r w:rsidRPr="00777951">
              <w:rPr>
                <w:i/>
                <w:noProof/>
                <w:sz w:val="20"/>
                <w:szCs w:val="20"/>
              </w:rPr>
              <w:t xml:space="preserve"> </w:t>
            </w:r>
            <w:r w:rsidRPr="00777951">
              <w:rPr>
                <w:noProof/>
                <w:sz w:val="20"/>
                <w:szCs w:val="20"/>
              </w:rPr>
              <w:t>(million EUR)</w:t>
            </w:r>
          </w:p>
        </w:tc>
        <w:tc>
          <w:tcPr>
            <w:tcW w:w="718" w:type="dxa"/>
            <w:noWrap/>
            <w:hideMark/>
          </w:tcPr>
          <w:p w14:paraId="5429674D" w14:textId="3AC15770" w:rsidR="00410669" w:rsidRPr="00777951" w:rsidRDefault="000B6A16">
            <w:pPr>
              <w:jc w:val="right"/>
              <w:rPr>
                <w:noProof/>
                <w:sz w:val="20"/>
                <w:szCs w:val="20"/>
              </w:rPr>
            </w:pPr>
            <w:r w:rsidRPr="00777951">
              <w:rPr>
                <w:noProof/>
                <w:sz w:val="20"/>
                <w:szCs w:val="20"/>
              </w:rPr>
              <w:t>0</w:t>
            </w:r>
            <w:r w:rsidR="00410669" w:rsidRPr="00777951">
              <w:rPr>
                <w:noProof/>
                <w:sz w:val="20"/>
                <w:szCs w:val="20"/>
              </w:rPr>
              <w:t>.4</w:t>
            </w:r>
          </w:p>
        </w:tc>
        <w:tc>
          <w:tcPr>
            <w:tcW w:w="718" w:type="dxa"/>
            <w:noWrap/>
            <w:hideMark/>
          </w:tcPr>
          <w:p w14:paraId="536CDF25" w14:textId="2B78DB0B" w:rsidR="00410669" w:rsidRPr="00777951" w:rsidRDefault="000B6A16">
            <w:pPr>
              <w:jc w:val="right"/>
              <w:rPr>
                <w:noProof/>
                <w:sz w:val="20"/>
                <w:szCs w:val="20"/>
              </w:rPr>
            </w:pPr>
            <w:r w:rsidRPr="00777951">
              <w:rPr>
                <w:noProof/>
                <w:sz w:val="20"/>
                <w:szCs w:val="20"/>
              </w:rPr>
              <w:t>0.</w:t>
            </w:r>
            <w:r w:rsidR="000F5BF4">
              <w:rPr>
                <w:noProof/>
                <w:sz w:val="20"/>
                <w:szCs w:val="20"/>
              </w:rPr>
              <w:t>0</w:t>
            </w:r>
          </w:p>
        </w:tc>
        <w:tc>
          <w:tcPr>
            <w:tcW w:w="718" w:type="dxa"/>
            <w:noWrap/>
            <w:hideMark/>
          </w:tcPr>
          <w:p w14:paraId="12B9770B" w14:textId="76F20FF2" w:rsidR="00410669" w:rsidRPr="00777951" w:rsidRDefault="000B6A16">
            <w:pPr>
              <w:jc w:val="right"/>
              <w:rPr>
                <w:noProof/>
                <w:sz w:val="20"/>
                <w:szCs w:val="20"/>
              </w:rPr>
            </w:pPr>
            <w:r w:rsidRPr="00777951">
              <w:rPr>
                <w:noProof/>
                <w:sz w:val="20"/>
                <w:szCs w:val="20"/>
              </w:rPr>
              <w:t>0</w:t>
            </w:r>
          </w:p>
        </w:tc>
        <w:tc>
          <w:tcPr>
            <w:tcW w:w="718" w:type="dxa"/>
            <w:noWrap/>
            <w:hideMark/>
          </w:tcPr>
          <w:p w14:paraId="7018AA59" w14:textId="74E2840B" w:rsidR="00410669" w:rsidRPr="00777951" w:rsidRDefault="00410669">
            <w:pPr>
              <w:jc w:val="right"/>
              <w:rPr>
                <w:noProof/>
                <w:sz w:val="20"/>
                <w:szCs w:val="20"/>
              </w:rPr>
            </w:pPr>
            <w:r w:rsidRPr="00777951">
              <w:rPr>
                <w:noProof/>
                <w:sz w:val="20"/>
                <w:szCs w:val="20"/>
              </w:rPr>
              <w:t>0</w:t>
            </w:r>
          </w:p>
        </w:tc>
      </w:tr>
    </w:tbl>
    <w:p w14:paraId="566F3613" w14:textId="3F0ACA65" w:rsidR="001A4180" w:rsidRPr="00C91DF5" w:rsidRDefault="00410669" w:rsidP="00C91DF5">
      <w:pPr>
        <w:tabs>
          <w:tab w:val="left" w:pos="2302"/>
        </w:tabs>
        <w:spacing w:after="240"/>
        <w:jc w:val="both"/>
        <w:rPr>
          <w:i/>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66D2A989" w14:textId="56EC58C4" w:rsidR="008E0916" w:rsidRPr="008E0916" w:rsidRDefault="009D6A5F" w:rsidP="008E0916">
      <w:pPr>
        <w:pStyle w:val="Text4"/>
        <w:spacing w:before="0" w:after="240"/>
        <w:ind w:left="0"/>
        <w:rPr>
          <w:rFonts w:ascii="Times New Roman" w:eastAsia="Calibri" w:hAnsi="Times New Roman"/>
          <w:noProof/>
          <w:spacing w:val="-8"/>
          <w:sz w:val="24"/>
          <w:szCs w:val="24"/>
        </w:rPr>
      </w:pPr>
      <w:r>
        <w:rPr>
          <w:rFonts w:ascii="Times New Roman" w:eastAsia="Calibri" w:hAnsi="Times New Roman"/>
          <w:noProof/>
          <w:spacing w:val="-8"/>
          <w:sz w:val="24"/>
          <w:szCs w:val="24"/>
        </w:rPr>
        <w:t>T</w:t>
      </w:r>
      <w:r w:rsidR="008E0916" w:rsidRPr="007670B7">
        <w:rPr>
          <w:rFonts w:ascii="Times New Roman" w:eastAsia="Calibri" w:hAnsi="Times New Roman"/>
          <w:noProof/>
          <w:spacing w:val="-8"/>
          <w:sz w:val="24"/>
          <w:szCs w:val="24"/>
        </w:rPr>
        <w:t>he total one-off adjustment costs due to PM</w:t>
      </w:r>
      <w:r w:rsidR="008E0916">
        <w:rPr>
          <w:rFonts w:ascii="Times New Roman" w:eastAsia="Calibri" w:hAnsi="Times New Roman"/>
          <w:noProof/>
          <w:spacing w:val="-8"/>
          <w:sz w:val="24"/>
          <w:szCs w:val="24"/>
        </w:rPr>
        <w:t xml:space="preserve">14 </w:t>
      </w:r>
      <w:r w:rsidR="008E0916" w:rsidRPr="007670B7">
        <w:rPr>
          <w:rFonts w:ascii="Times New Roman" w:eastAsia="Calibri" w:hAnsi="Times New Roman"/>
          <w:noProof/>
          <w:spacing w:val="-8"/>
          <w:sz w:val="24"/>
          <w:szCs w:val="24"/>
        </w:rPr>
        <w:t xml:space="preserve">for </w:t>
      </w:r>
      <w:r w:rsidR="008E0916">
        <w:rPr>
          <w:rFonts w:ascii="Times New Roman" w:eastAsia="Calibri" w:hAnsi="Times New Roman"/>
          <w:noProof/>
          <w:spacing w:val="-8"/>
          <w:sz w:val="24"/>
          <w:szCs w:val="24"/>
        </w:rPr>
        <w:t>indispensable RU</w:t>
      </w:r>
      <w:r w:rsidR="002B49EC">
        <w:rPr>
          <w:rFonts w:ascii="Times New Roman" w:eastAsia="Calibri" w:hAnsi="Times New Roman"/>
          <w:noProof/>
          <w:spacing w:val="-8"/>
          <w:sz w:val="24"/>
          <w:szCs w:val="24"/>
        </w:rPr>
        <w:t xml:space="preserve"> platforms</w:t>
      </w:r>
      <w:r w:rsidR="008E0916" w:rsidRPr="007670B7">
        <w:rPr>
          <w:rFonts w:ascii="Times New Roman" w:eastAsia="Calibri" w:hAnsi="Times New Roman"/>
          <w:noProof/>
          <w:spacing w:val="-8"/>
          <w:sz w:val="24"/>
          <w:szCs w:val="24"/>
        </w:rPr>
        <w:t xml:space="preserve"> are provided in the table below</w:t>
      </w:r>
      <w:r w:rsidR="002B49EC">
        <w:rPr>
          <w:rFonts w:ascii="Times New Roman" w:eastAsia="Calibri" w:hAnsi="Times New Roman"/>
          <w:noProof/>
          <w:spacing w:val="-8"/>
          <w:sz w:val="24"/>
          <w:szCs w:val="24"/>
        </w:rPr>
        <w:t xml:space="preserve"> for PO3</w:t>
      </w:r>
      <w:r w:rsidR="008E0916">
        <w:rPr>
          <w:rFonts w:ascii="Times New Roman" w:eastAsia="Calibri" w:hAnsi="Times New Roman"/>
          <w:noProof/>
          <w:spacing w:val="-8"/>
          <w:sz w:val="24"/>
          <w:szCs w:val="24"/>
        </w:rPr>
        <w:t>.</w:t>
      </w:r>
    </w:p>
    <w:p w14:paraId="70391D18" w14:textId="15358CD8" w:rsidR="008B7FC9" w:rsidRPr="00633F31" w:rsidRDefault="008B7FC9" w:rsidP="008B7FC9">
      <w:pPr>
        <w:tabs>
          <w:tab w:val="left" w:pos="1134"/>
        </w:tabs>
        <w:jc w:val="both"/>
        <w:rPr>
          <w:i/>
          <w:noProof/>
          <w:sz w:val="22"/>
          <w:szCs w:val="22"/>
        </w:rPr>
      </w:pPr>
      <w:r w:rsidRPr="00633F31">
        <w:rPr>
          <w:i/>
          <w:noProof/>
          <w:sz w:val="22"/>
          <w:szCs w:val="22"/>
        </w:rPr>
        <w:t xml:space="preserve">Table </w:t>
      </w:r>
      <w:r w:rsidRPr="00633F31">
        <w:rPr>
          <w:i/>
          <w:noProof/>
          <w:sz w:val="22"/>
          <w:szCs w:val="22"/>
        </w:rPr>
        <w:fldChar w:fldCharType="begin"/>
      </w:r>
      <w:r w:rsidRPr="00633F31">
        <w:rPr>
          <w:i/>
          <w:noProof/>
          <w:sz w:val="22"/>
          <w:szCs w:val="22"/>
        </w:rPr>
        <w:instrText xml:space="preserve"> SEQ Table \* ARABIC </w:instrText>
      </w:r>
      <w:r w:rsidRPr="00633F31">
        <w:rPr>
          <w:i/>
          <w:noProof/>
          <w:sz w:val="22"/>
          <w:szCs w:val="22"/>
        </w:rPr>
        <w:fldChar w:fldCharType="separate"/>
      </w:r>
      <w:r w:rsidR="0055391F">
        <w:rPr>
          <w:i/>
          <w:noProof/>
          <w:sz w:val="22"/>
          <w:szCs w:val="22"/>
        </w:rPr>
        <w:t>117</w:t>
      </w:r>
      <w:r w:rsidRPr="00633F31">
        <w:rPr>
          <w:i/>
          <w:noProof/>
          <w:sz w:val="22"/>
          <w:szCs w:val="22"/>
        </w:rPr>
        <w:fldChar w:fldCharType="end"/>
      </w:r>
      <w:r w:rsidRPr="00633F31">
        <w:rPr>
          <w:i/>
          <w:noProof/>
          <w:sz w:val="22"/>
          <w:szCs w:val="22"/>
        </w:rPr>
        <w:t>: One-off adjustment costs for indispensable RUs due to PM1</w:t>
      </w:r>
      <w:r w:rsidR="009C4E5F" w:rsidRPr="00633F31">
        <w:rPr>
          <w:i/>
          <w:noProof/>
          <w:sz w:val="22"/>
          <w:szCs w:val="22"/>
        </w:rPr>
        <w:t>4</w:t>
      </w:r>
      <w:r w:rsidRPr="00633F31">
        <w:rPr>
          <w:i/>
          <w:noProof/>
          <w:sz w:val="22"/>
          <w:szCs w:val="22"/>
        </w:rPr>
        <w:t xml:space="preserve"> in PO3</w:t>
      </w:r>
      <w:r w:rsidR="00D262BC">
        <w:rPr>
          <w:i/>
          <w:noProof/>
          <w:sz w:val="22"/>
          <w:szCs w:val="22"/>
        </w:rPr>
        <w:t xml:space="preserve"> </w:t>
      </w:r>
      <w:r w:rsidRPr="00633F31">
        <w:rPr>
          <w:i/>
          <w:noProof/>
          <w:sz w:val="22"/>
          <w:szCs w:val="22"/>
        </w:rPr>
        <w:t>relative to the baseline (in million EUR,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658"/>
        <w:gridCol w:w="1657"/>
        <w:gridCol w:w="1657"/>
        <w:gridCol w:w="1659"/>
      </w:tblGrid>
      <w:tr w:rsidR="008B7FC9" w:rsidRPr="00D57180" w14:paraId="069EBF6B" w14:textId="77777777" w:rsidTr="002F3B4F">
        <w:trPr>
          <w:trHeight w:val="282"/>
          <w:tblHeader/>
        </w:trPr>
        <w:tc>
          <w:tcPr>
            <w:tcW w:w="1547" w:type="pct"/>
            <w:vMerge w:val="restart"/>
            <w:shd w:val="clear" w:color="000000" w:fill="0070C0"/>
          </w:tcPr>
          <w:p w14:paraId="5A1E1EEC" w14:textId="77777777" w:rsidR="008B7FC9" w:rsidRPr="009D6A5F" w:rsidRDefault="008B7FC9" w:rsidP="00926429">
            <w:pPr>
              <w:pStyle w:val="BodyText"/>
              <w:rPr>
                <w:noProof/>
                <w:sz w:val="20"/>
                <w:szCs w:val="20"/>
                <w:lang w:eastAsia="en-IE"/>
              </w:rPr>
            </w:pPr>
          </w:p>
        </w:tc>
        <w:tc>
          <w:tcPr>
            <w:tcW w:w="3453" w:type="pct"/>
            <w:gridSpan w:val="4"/>
            <w:shd w:val="clear" w:color="000000" w:fill="0070C0"/>
            <w:hideMark/>
          </w:tcPr>
          <w:p w14:paraId="509531A7" w14:textId="77777777" w:rsidR="008B7FC9" w:rsidRPr="009D6A5F" w:rsidRDefault="008B7FC9" w:rsidP="00926429">
            <w:pPr>
              <w:pStyle w:val="BodyText"/>
              <w:ind w:left="0"/>
              <w:jc w:val="center"/>
              <w:rPr>
                <w:b/>
                <w:noProof/>
                <w:color w:val="FFFFFF" w:themeColor="background1"/>
                <w:sz w:val="20"/>
                <w:szCs w:val="20"/>
                <w:lang w:eastAsia="en-IE"/>
              </w:rPr>
            </w:pPr>
            <w:r w:rsidRPr="009D6A5F">
              <w:rPr>
                <w:b/>
                <w:noProof/>
                <w:color w:val="FFFFFF" w:themeColor="background1"/>
                <w:sz w:val="20"/>
                <w:szCs w:val="20"/>
                <w:lang w:eastAsia="en-IE"/>
              </w:rPr>
              <w:t>Difference to baseline</w:t>
            </w:r>
          </w:p>
        </w:tc>
      </w:tr>
      <w:tr w:rsidR="008B7FC9" w:rsidRPr="00D57180" w14:paraId="6334FEDB" w14:textId="77777777" w:rsidTr="002F3B4F">
        <w:trPr>
          <w:trHeight w:val="282"/>
          <w:tblHeader/>
        </w:trPr>
        <w:tc>
          <w:tcPr>
            <w:tcW w:w="1547" w:type="pct"/>
            <w:vMerge/>
            <w:shd w:val="clear" w:color="000000" w:fill="0070C0"/>
            <w:noWrap/>
            <w:hideMark/>
          </w:tcPr>
          <w:p w14:paraId="132226FE" w14:textId="77777777" w:rsidR="008B7FC9" w:rsidRPr="009D6A5F" w:rsidRDefault="008B7FC9" w:rsidP="00926429">
            <w:pPr>
              <w:pStyle w:val="BodyText"/>
              <w:rPr>
                <w:noProof/>
                <w:sz w:val="20"/>
                <w:szCs w:val="20"/>
                <w:lang w:eastAsia="en-IE"/>
              </w:rPr>
            </w:pPr>
          </w:p>
        </w:tc>
        <w:tc>
          <w:tcPr>
            <w:tcW w:w="863" w:type="pct"/>
            <w:shd w:val="clear" w:color="000000" w:fill="0070C0"/>
            <w:hideMark/>
          </w:tcPr>
          <w:p w14:paraId="203E9DD1" w14:textId="77777777" w:rsidR="008B7FC9" w:rsidRPr="009D6A5F" w:rsidRDefault="008B7FC9" w:rsidP="00926429">
            <w:pPr>
              <w:pStyle w:val="BodyText"/>
              <w:ind w:left="0"/>
              <w:jc w:val="center"/>
              <w:rPr>
                <w:b/>
                <w:noProof/>
                <w:color w:val="FFFFFF" w:themeColor="background1"/>
                <w:sz w:val="20"/>
                <w:szCs w:val="20"/>
                <w:lang w:eastAsia="en-IE"/>
              </w:rPr>
            </w:pPr>
            <w:r w:rsidRPr="009D6A5F">
              <w:rPr>
                <w:b/>
                <w:noProof/>
                <w:color w:val="FFFFFF" w:themeColor="background1"/>
                <w:sz w:val="20"/>
                <w:szCs w:val="20"/>
                <w:lang w:eastAsia="en-IE"/>
              </w:rPr>
              <w:t>PO1</w:t>
            </w:r>
          </w:p>
        </w:tc>
        <w:tc>
          <w:tcPr>
            <w:tcW w:w="863" w:type="pct"/>
            <w:shd w:val="clear" w:color="000000" w:fill="0070C0"/>
            <w:hideMark/>
          </w:tcPr>
          <w:p w14:paraId="1D390F9A" w14:textId="77777777" w:rsidR="008B7FC9" w:rsidRPr="009D6A5F" w:rsidRDefault="008B7FC9" w:rsidP="00926429">
            <w:pPr>
              <w:pStyle w:val="BodyText"/>
              <w:ind w:left="0"/>
              <w:jc w:val="center"/>
              <w:rPr>
                <w:b/>
                <w:noProof/>
                <w:color w:val="FFFFFF" w:themeColor="background1"/>
                <w:sz w:val="20"/>
                <w:szCs w:val="20"/>
                <w:lang w:eastAsia="en-IE"/>
              </w:rPr>
            </w:pPr>
            <w:r w:rsidRPr="009D6A5F">
              <w:rPr>
                <w:b/>
                <w:noProof/>
                <w:color w:val="FFFFFF" w:themeColor="background1"/>
                <w:sz w:val="20"/>
                <w:szCs w:val="20"/>
                <w:lang w:eastAsia="en-IE"/>
              </w:rPr>
              <w:t>PO2</w:t>
            </w:r>
          </w:p>
        </w:tc>
        <w:tc>
          <w:tcPr>
            <w:tcW w:w="863" w:type="pct"/>
            <w:shd w:val="clear" w:color="000000" w:fill="0070C0"/>
            <w:hideMark/>
          </w:tcPr>
          <w:p w14:paraId="31185506" w14:textId="77777777" w:rsidR="008B7FC9" w:rsidRPr="009D6A5F" w:rsidRDefault="008B7FC9" w:rsidP="00926429">
            <w:pPr>
              <w:pStyle w:val="BodyText"/>
              <w:ind w:left="0"/>
              <w:jc w:val="center"/>
              <w:rPr>
                <w:b/>
                <w:noProof/>
                <w:color w:val="FFFFFF" w:themeColor="background1"/>
                <w:sz w:val="20"/>
                <w:szCs w:val="20"/>
                <w:lang w:eastAsia="en-IE"/>
              </w:rPr>
            </w:pPr>
            <w:r w:rsidRPr="009D6A5F">
              <w:rPr>
                <w:b/>
                <w:noProof/>
                <w:color w:val="FFFFFF" w:themeColor="background1"/>
                <w:sz w:val="20"/>
                <w:szCs w:val="20"/>
                <w:lang w:eastAsia="en-IE"/>
              </w:rPr>
              <w:t>PO3</w:t>
            </w:r>
          </w:p>
        </w:tc>
        <w:tc>
          <w:tcPr>
            <w:tcW w:w="864" w:type="pct"/>
            <w:shd w:val="clear" w:color="000000" w:fill="0070C0"/>
            <w:hideMark/>
          </w:tcPr>
          <w:p w14:paraId="0D828500" w14:textId="77777777" w:rsidR="008B7FC9" w:rsidRPr="009D6A5F" w:rsidRDefault="008B7FC9" w:rsidP="00926429">
            <w:pPr>
              <w:pStyle w:val="BodyText"/>
              <w:ind w:left="0"/>
              <w:jc w:val="center"/>
              <w:rPr>
                <w:b/>
                <w:noProof/>
                <w:color w:val="FFFFFF" w:themeColor="background1"/>
                <w:sz w:val="20"/>
                <w:szCs w:val="20"/>
                <w:lang w:eastAsia="en-IE"/>
              </w:rPr>
            </w:pPr>
            <w:r w:rsidRPr="009D6A5F">
              <w:rPr>
                <w:b/>
                <w:noProof/>
                <w:color w:val="FFFFFF" w:themeColor="background1"/>
                <w:sz w:val="20"/>
                <w:szCs w:val="20"/>
                <w:lang w:eastAsia="en-IE"/>
              </w:rPr>
              <w:t>PO4</w:t>
            </w:r>
          </w:p>
        </w:tc>
      </w:tr>
      <w:tr w:rsidR="008B7FC9" w:rsidRPr="00D57180" w14:paraId="2A624903" w14:textId="77777777" w:rsidTr="002F3B4F">
        <w:trPr>
          <w:trHeight w:val="282"/>
        </w:trPr>
        <w:tc>
          <w:tcPr>
            <w:tcW w:w="1547" w:type="pct"/>
            <w:shd w:val="clear" w:color="000000" w:fill="FFFFFF"/>
            <w:noWrap/>
            <w:hideMark/>
          </w:tcPr>
          <w:p w14:paraId="0321F7B2" w14:textId="77777777" w:rsidR="008B7FC9" w:rsidRPr="009D6A5F" w:rsidRDefault="008B7FC9" w:rsidP="00926429">
            <w:pPr>
              <w:pStyle w:val="BodyText"/>
              <w:ind w:left="0"/>
              <w:rPr>
                <w:noProof/>
                <w:color w:val="000000"/>
                <w:sz w:val="20"/>
                <w:szCs w:val="20"/>
                <w:lang w:eastAsia="en-IE"/>
              </w:rPr>
            </w:pPr>
            <w:r w:rsidRPr="009D6A5F">
              <w:rPr>
                <w:noProof/>
                <w:color w:val="000000"/>
                <w:sz w:val="20"/>
                <w:szCs w:val="20"/>
                <w:lang w:eastAsia="en-IE"/>
              </w:rPr>
              <w:t>Total one-off adjustment costs</w:t>
            </w:r>
          </w:p>
        </w:tc>
        <w:tc>
          <w:tcPr>
            <w:tcW w:w="863" w:type="pct"/>
            <w:shd w:val="clear" w:color="000000" w:fill="FFFFFF"/>
            <w:noWrap/>
            <w:hideMark/>
          </w:tcPr>
          <w:p w14:paraId="49281CDD" w14:textId="77777777" w:rsidR="008B7FC9" w:rsidRPr="009D6A5F" w:rsidRDefault="008B7FC9" w:rsidP="00926429">
            <w:pPr>
              <w:pStyle w:val="BodyText"/>
              <w:ind w:left="0"/>
              <w:jc w:val="center"/>
              <w:rPr>
                <w:noProof/>
                <w:color w:val="000000"/>
                <w:sz w:val="20"/>
                <w:szCs w:val="20"/>
                <w:lang w:eastAsia="en-IE"/>
              </w:rPr>
            </w:pPr>
            <w:r>
              <w:rPr>
                <w:noProof/>
                <w:color w:val="000000"/>
                <w:sz w:val="20"/>
                <w:szCs w:val="20"/>
              </w:rPr>
              <w:t>0</w:t>
            </w:r>
          </w:p>
        </w:tc>
        <w:tc>
          <w:tcPr>
            <w:tcW w:w="863" w:type="pct"/>
            <w:shd w:val="clear" w:color="000000" w:fill="FFFFFF"/>
            <w:noWrap/>
            <w:hideMark/>
          </w:tcPr>
          <w:p w14:paraId="22E822C8" w14:textId="20CF2E68" w:rsidR="008B7FC9" w:rsidRPr="009D6A5F" w:rsidRDefault="00F23940" w:rsidP="00926429">
            <w:pPr>
              <w:pStyle w:val="BodyText"/>
              <w:ind w:left="0"/>
              <w:jc w:val="center"/>
              <w:rPr>
                <w:noProof/>
                <w:color w:val="000000"/>
                <w:sz w:val="20"/>
                <w:szCs w:val="20"/>
                <w:lang w:eastAsia="en-IE"/>
              </w:rPr>
            </w:pPr>
            <w:r>
              <w:rPr>
                <w:noProof/>
                <w:color w:val="000000"/>
                <w:sz w:val="20"/>
                <w:szCs w:val="20"/>
              </w:rPr>
              <w:t>0</w:t>
            </w:r>
          </w:p>
        </w:tc>
        <w:tc>
          <w:tcPr>
            <w:tcW w:w="863" w:type="pct"/>
            <w:shd w:val="clear" w:color="000000" w:fill="FFFFFF"/>
            <w:noWrap/>
            <w:hideMark/>
          </w:tcPr>
          <w:p w14:paraId="3E8B0AA1" w14:textId="7D34BA40" w:rsidR="008B7FC9" w:rsidRPr="009D6A5F" w:rsidRDefault="009D6A5F" w:rsidP="00926429">
            <w:pPr>
              <w:pStyle w:val="BodyText"/>
              <w:ind w:left="0"/>
              <w:jc w:val="center"/>
              <w:rPr>
                <w:noProof/>
                <w:color w:val="000000"/>
                <w:sz w:val="20"/>
                <w:szCs w:val="20"/>
                <w:lang w:eastAsia="en-IE"/>
              </w:rPr>
            </w:pPr>
            <w:r w:rsidRPr="009D6A5F">
              <w:rPr>
                <w:noProof/>
                <w:color w:val="000000"/>
                <w:sz w:val="20"/>
                <w:szCs w:val="20"/>
              </w:rPr>
              <w:t>0.4</w:t>
            </w:r>
          </w:p>
        </w:tc>
        <w:tc>
          <w:tcPr>
            <w:tcW w:w="864" w:type="pct"/>
            <w:shd w:val="clear" w:color="000000" w:fill="FFFFFF"/>
            <w:hideMark/>
          </w:tcPr>
          <w:p w14:paraId="77239043" w14:textId="0858E418" w:rsidR="008B7FC9" w:rsidRPr="009D6A5F" w:rsidRDefault="00F23940" w:rsidP="00926429">
            <w:pPr>
              <w:pStyle w:val="BodyText"/>
              <w:ind w:left="0"/>
              <w:jc w:val="center"/>
              <w:rPr>
                <w:noProof/>
                <w:color w:val="000000"/>
                <w:sz w:val="20"/>
                <w:szCs w:val="20"/>
                <w:lang w:eastAsia="en-IE"/>
              </w:rPr>
            </w:pPr>
            <w:r>
              <w:rPr>
                <w:noProof/>
                <w:color w:val="000000"/>
                <w:sz w:val="20"/>
                <w:szCs w:val="20"/>
              </w:rPr>
              <w:t>0</w:t>
            </w:r>
          </w:p>
        </w:tc>
      </w:tr>
    </w:tbl>
    <w:p w14:paraId="706866B5" w14:textId="1DD10DE0" w:rsidR="008B7FC9" w:rsidRPr="00C91DF5" w:rsidRDefault="008B7FC9" w:rsidP="00C91DF5">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31B6161C" w14:textId="77777777" w:rsidR="007A35CC" w:rsidRPr="006F246E" w:rsidRDefault="003A1070" w:rsidP="007B2D8E">
      <w:pPr>
        <w:pStyle w:val="ListParagraph"/>
        <w:keepNext/>
        <w:widowControl/>
        <w:numPr>
          <w:ilvl w:val="2"/>
          <w:numId w:val="10"/>
        </w:numPr>
        <w:autoSpaceDE/>
        <w:autoSpaceDN/>
        <w:spacing w:after="240"/>
        <w:jc w:val="both"/>
        <w:outlineLvl w:val="2"/>
        <w:rPr>
          <w:i/>
          <w:noProof/>
          <w:sz w:val="24"/>
          <w:szCs w:val="24"/>
        </w:rPr>
      </w:pPr>
      <w:bookmarkStart w:id="2092" w:name="_Toc222749076"/>
      <w:bookmarkStart w:id="2093" w:name="_Toc223981680"/>
      <w:r w:rsidRPr="003A1070">
        <w:rPr>
          <w:i/>
          <w:iCs/>
          <w:noProof/>
          <w:sz w:val="24"/>
          <w:szCs w:val="24"/>
        </w:rPr>
        <w:t>PM15 – Indispensable RU platforms: must unbundle its distribution system from the systems of its parent operator</w:t>
      </w:r>
      <w:bookmarkEnd w:id="2092"/>
      <w:bookmarkEnd w:id="2093"/>
    </w:p>
    <w:p w14:paraId="5C334CE7" w14:textId="2586AD06" w:rsidR="003A1070" w:rsidRPr="00865DB9" w:rsidRDefault="00C336A5" w:rsidP="008E662A">
      <w:pPr>
        <w:jc w:val="both"/>
        <w:rPr>
          <w:rFonts w:eastAsia="Calibri"/>
          <w:noProof/>
          <w:spacing w:val="-8"/>
        </w:rPr>
      </w:pPr>
      <w:r w:rsidRPr="00865DB9">
        <w:rPr>
          <w:rFonts w:eastAsia="Calibri"/>
          <w:noProof/>
          <w:spacing w:val="-8"/>
        </w:rPr>
        <w:t>According to PM15</w:t>
      </w:r>
      <w:r w:rsidR="00865DB9" w:rsidRPr="00865DB9">
        <w:rPr>
          <w:rFonts w:eastAsia="Calibri"/>
          <w:noProof/>
          <w:spacing w:val="-8"/>
        </w:rPr>
        <w:t>, indispensable RU platforms shall unbundle their railway ticket distribution systems from their railway operations. The platform shall be in organisational, functional, hierarchical and decision-making terms, legally distinct and independent from any RU.</w:t>
      </w:r>
    </w:p>
    <w:p w14:paraId="4D663E7C" w14:textId="77777777" w:rsidR="00BE4378" w:rsidRDefault="00BE4378" w:rsidP="00BE4378">
      <w:pPr>
        <w:rPr>
          <w:noProof/>
        </w:rPr>
      </w:pPr>
    </w:p>
    <w:p w14:paraId="66780931" w14:textId="77777777" w:rsidR="00BE4378" w:rsidRPr="008E662A" w:rsidRDefault="00BE4378" w:rsidP="00BE4378">
      <w:pPr>
        <w:rPr>
          <w:rFonts w:eastAsia="Calibri"/>
          <w:noProof/>
          <w:spacing w:val="-8"/>
        </w:rPr>
      </w:pPr>
      <w:r w:rsidRPr="008E662A">
        <w:rPr>
          <w:rFonts w:eastAsia="Calibri"/>
          <w:noProof/>
          <w:spacing w:val="-8"/>
        </w:rPr>
        <w:t>The measure is expected to result in:</w:t>
      </w:r>
    </w:p>
    <w:p w14:paraId="7B898F53" w14:textId="77777777" w:rsidR="0006786C" w:rsidRPr="008E662A" w:rsidRDefault="0006786C" w:rsidP="00BE4378">
      <w:pPr>
        <w:rPr>
          <w:rFonts w:eastAsia="Calibri"/>
          <w:noProof/>
          <w:spacing w:val="-8"/>
        </w:rPr>
      </w:pPr>
    </w:p>
    <w:p w14:paraId="749EA827" w14:textId="214A0E13" w:rsidR="0006786C" w:rsidRPr="00D65562" w:rsidRDefault="00BE4378" w:rsidP="001979E4">
      <w:pPr>
        <w:pStyle w:val="ListParagraph"/>
        <w:widowControl/>
        <w:numPr>
          <w:ilvl w:val="0"/>
          <w:numId w:val="35"/>
        </w:numPr>
        <w:autoSpaceDE/>
        <w:autoSpaceDN/>
        <w:spacing w:before="0" w:after="240"/>
        <w:ind w:left="284" w:right="57" w:hanging="284"/>
        <w:rPr>
          <w:noProof/>
          <w:sz w:val="24"/>
          <w:szCs w:val="24"/>
        </w:rPr>
      </w:pPr>
      <w:r w:rsidRPr="00D65562">
        <w:rPr>
          <w:noProof/>
          <w:sz w:val="24"/>
          <w:szCs w:val="24"/>
        </w:rPr>
        <w:t>One-off a</w:t>
      </w:r>
      <w:r w:rsidR="00ED14B2" w:rsidRPr="00C66975">
        <w:rPr>
          <w:rFonts w:cs="Arial"/>
          <w:noProof/>
          <w:spacing w:val="-8"/>
          <w:sz w:val="24"/>
          <w:szCs w:val="24"/>
        </w:rPr>
        <w:t>djustment</w:t>
      </w:r>
      <w:r w:rsidRPr="00C66975">
        <w:rPr>
          <w:rFonts w:cs="Arial"/>
          <w:noProof/>
          <w:spacing w:val="-8"/>
          <w:sz w:val="24"/>
          <w:szCs w:val="24"/>
        </w:rPr>
        <w:t xml:space="preserve"> costs</w:t>
      </w:r>
      <w:r w:rsidR="00696521" w:rsidRPr="00C66975">
        <w:rPr>
          <w:rFonts w:cs="Arial"/>
          <w:noProof/>
          <w:spacing w:val="-8"/>
          <w:sz w:val="24"/>
          <w:szCs w:val="24"/>
        </w:rPr>
        <w:t xml:space="preserve"> f</w:t>
      </w:r>
      <w:r w:rsidR="0006786C" w:rsidRPr="00C66975">
        <w:rPr>
          <w:rFonts w:cs="Arial"/>
          <w:noProof/>
          <w:spacing w:val="-8"/>
          <w:sz w:val="24"/>
          <w:szCs w:val="24"/>
        </w:rPr>
        <w:t xml:space="preserve">or </w:t>
      </w:r>
      <w:r w:rsidR="00B6747F" w:rsidRPr="00B6747F">
        <w:rPr>
          <w:rFonts w:cs="Arial"/>
          <w:noProof/>
          <w:spacing w:val="-8"/>
          <w:sz w:val="24"/>
          <w:szCs w:val="24"/>
        </w:rPr>
        <w:t>indispensable RU platforms</w:t>
      </w:r>
      <w:r w:rsidR="0006786C" w:rsidRPr="00C66975">
        <w:rPr>
          <w:rFonts w:cs="Arial"/>
          <w:noProof/>
          <w:spacing w:val="-8"/>
          <w:sz w:val="24"/>
          <w:szCs w:val="24"/>
        </w:rPr>
        <w:t xml:space="preserve"> to </w:t>
      </w:r>
      <w:r w:rsidR="00C66975" w:rsidRPr="00C66975">
        <w:rPr>
          <w:rFonts w:cs="Arial"/>
          <w:noProof/>
          <w:spacing w:val="-8"/>
          <w:sz w:val="24"/>
          <w:szCs w:val="24"/>
        </w:rPr>
        <w:t xml:space="preserve">unbundle </w:t>
      </w:r>
      <w:r w:rsidR="00C67755">
        <w:rPr>
          <w:rFonts w:cs="Arial"/>
          <w:noProof/>
          <w:spacing w:val="-8"/>
          <w:sz w:val="24"/>
          <w:szCs w:val="24"/>
        </w:rPr>
        <w:t>their</w:t>
      </w:r>
      <w:r w:rsidR="00C66975" w:rsidRPr="00C66975">
        <w:rPr>
          <w:rFonts w:cs="Arial"/>
          <w:noProof/>
          <w:spacing w:val="-8"/>
          <w:sz w:val="24"/>
          <w:szCs w:val="24"/>
        </w:rPr>
        <w:t xml:space="preserve"> distribution system from the systems of </w:t>
      </w:r>
      <w:r w:rsidR="00AE6EA5">
        <w:rPr>
          <w:rFonts w:cs="Arial"/>
          <w:noProof/>
          <w:spacing w:val="-8"/>
          <w:sz w:val="24"/>
          <w:szCs w:val="24"/>
        </w:rPr>
        <w:t>the</w:t>
      </w:r>
      <w:r w:rsidR="00C66975" w:rsidRPr="00C66975">
        <w:rPr>
          <w:rFonts w:cs="Arial"/>
          <w:noProof/>
          <w:spacing w:val="-8"/>
          <w:sz w:val="24"/>
          <w:szCs w:val="24"/>
        </w:rPr>
        <w:t xml:space="preserve"> parent operator.</w:t>
      </w:r>
    </w:p>
    <w:p w14:paraId="75F02F55" w14:textId="670640D3" w:rsidR="00C66975" w:rsidRPr="00FF2B87" w:rsidRDefault="00C66975" w:rsidP="00C24E77">
      <w:pPr>
        <w:pStyle w:val="Nornal"/>
        <w:keepNext/>
        <w:spacing w:after="240" w:line="240" w:lineRule="auto"/>
        <w:rPr>
          <w:rFonts w:cs="Arial"/>
          <w:i/>
          <w:iCs/>
          <w:noProof/>
          <w:spacing w:val="-8"/>
          <w:sz w:val="24"/>
          <w:szCs w:val="24"/>
        </w:rPr>
      </w:pPr>
      <w:r w:rsidRPr="00FF2B87">
        <w:rPr>
          <w:rFonts w:cs="Arial"/>
          <w:i/>
          <w:iCs/>
          <w:noProof/>
          <w:spacing w:val="-8"/>
          <w:sz w:val="24"/>
          <w:szCs w:val="24"/>
        </w:rPr>
        <w:t xml:space="preserve">One-off </w:t>
      </w:r>
      <w:r w:rsidR="00D65562">
        <w:rPr>
          <w:rFonts w:cs="Arial"/>
          <w:i/>
          <w:iCs/>
          <w:noProof/>
          <w:spacing w:val="-8"/>
          <w:sz w:val="24"/>
          <w:szCs w:val="24"/>
        </w:rPr>
        <w:t>adjustment</w:t>
      </w:r>
      <w:r w:rsidRPr="00FF2B87">
        <w:rPr>
          <w:rFonts w:cs="Arial"/>
          <w:i/>
          <w:iCs/>
          <w:noProof/>
          <w:spacing w:val="-8"/>
          <w:sz w:val="24"/>
          <w:szCs w:val="24"/>
        </w:rPr>
        <w:t xml:space="preserve"> costs for </w:t>
      </w:r>
      <w:r w:rsidR="006978FC" w:rsidRPr="006978FC">
        <w:rPr>
          <w:rFonts w:cs="Arial"/>
          <w:i/>
          <w:iCs/>
          <w:noProof/>
          <w:spacing w:val="-8"/>
          <w:sz w:val="24"/>
          <w:szCs w:val="24"/>
        </w:rPr>
        <w:t>indispensable RU platforms</w:t>
      </w:r>
    </w:p>
    <w:p w14:paraId="6C4F8438" w14:textId="2E538D12" w:rsidR="006F63C3" w:rsidRDefault="00544ABD" w:rsidP="00C24E77">
      <w:pPr>
        <w:pStyle w:val="Text4"/>
        <w:keepNext/>
        <w:ind w:left="0"/>
        <w:rPr>
          <w:rFonts w:ascii="Times New Roman" w:eastAsia="Calibri" w:hAnsi="Times New Roman"/>
          <w:noProof/>
          <w:spacing w:val="-8"/>
          <w:sz w:val="24"/>
          <w:szCs w:val="24"/>
        </w:rPr>
      </w:pPr>
      <w:r>
        <w:rPr>
          <w:rFonts w:ascii="Times New Roman" w:eastAsia="Calibri" w:hAnsi="Times New Roman"/>
          <w:noProof/>
          <w:spacing w:val="-8"/>
          <w:sz w:val="24"/>
          <w:szCs w:val="24"/>
        </w:rPr>
        <w:t>I</w:t>
      </w:r>
      <w:r w:rsidRPr="00544ABD">
        <w:rPr>
          <w:rFonts w:ascii="Times New Roman" w:eastAsia="Calibri" w:hAnsi="Times New Roman"/>
          <w:noProof/>
          <w:spacing w:val="-8"/>
          <w:sz w:val="24"/>
          <w:szCs w:val="24"/>
        </w:rPr>
        <w:t>ndispensable RU platforms</w:t>
      </w:r>
      <w:r w:rsidR="00C66975" w:rsidRPr="00C24D74">
        <w:rPr>
          <w:rFonts w:ascii="Times New Roman" w:eastAsia="Calibri" w:hAnsi="Times New Roman"/>
          <w:noProof/>
          <w:spacing w:val="-8"/>
          <w:sz w:val="24"/>
          <w:szCs w:val="24"/>
        </w:rPr>
        <w:t xml:space="preserve"> are expected to incur off-costs </w:t>
      </w:r>
      <w:r w:rsidR="00982E8C" w:rsidRPr="00EC38D3">
        <w:rPr>
          <w:rFonts w:ascii="Times New Roman" w:eastAsia="Calibri" w:hAnsi="Times New Roman"/>
          <w:noProof/>
          <w:spacing w:val="-8"/>
          <w:sz w:val="24"/>
          <w:szCs w:val="24"/>
        </w:rPr>
        <w:t>adjustment</w:t>
      </w:r>
      <w:r w:rsidR="00D3793D">
        <w:rPr>
          <w:rFonts w:ascii="Times New Roman" w:eastAsia="Calibri" w:hAnsi="Times New Roman"/>
          <w:noProof/>
          <w:spacing w:val="-8"/>
          <w:sz w:val="24"/>
          <w:szCs w:val="24"/>
        </w:rPr>
        <w:t xml:space="preserve"> costs</w:t>
      </w:r>
      <w:r w:rsidR="00C66975" w:rsidRPr="00C24D74">
        <w:rPr>
          <w:rFonts w:ascii="Times New Roman" w:eastAsia="Calibri" w:hAnsi="Times New Roman"/>
          <w:noProof/>
          <w:spacing w:val="-8"/>
          <w:sz w:val="24"/>
          <w:szCs w:val="24"/>
        </w:rPr>
        <w:t xml:space="preserve"> for </w:t>
      </w:r>
      <w:r w:rsidR="00D3793D">
        <w:rPr>
          <w:rFonts w:ascii="Times New Roman" w:eastAsia="Calibri" w:hAnsi="Times New Roman"/>
          <w:noProof/>
          <w:spacing w:val="-8"/>
          <w:sz w:val="24"/>
          <w:szCs w:val="24"/>
        </w:rPr>
        <w:t>unbundling their distribution system</w:t>
      </w:r>
      <w:r w:rsidR="00C66975" w:rsidRPr="00C24D74">
        <w:rPr>
          <w:rFonts w:ascii="Times New Roman" w:eastAsia="Calibri" w:hAnsi="Times New Roman"/>
          <w:noProof/>
          <w:spacing w:val="-8"/>
          <w:sz w:val="24"/>
          <w:szCs w:val="24"/>
        </w:rPr>
        <w:t xml:space="preserve"> </w:t>
      </w:r>
      <w:r w:rsidR="00CE471B">
        <w:rPr>
          <w:rFonts w:ascii="Times New Roman" w:eastAsia="Calibri" w:hAnsi="Times New Roman"/>
          <w:noProof/>
          <w:spacing w:val="-8"/>
          <w:sz w:val="24"/>
          <w:szCs w:val="24"/>
        </w:rPr>
        <w:t xml:space="preserve">from the systems of </w:t>
      </w:r>
      <w:r w:rsidR="00C736EC">
        <w:rPr>
          <w:rFonts w:ascii="Times New Roman" w:eastAsia="Calibri" w:hAnsi="Times New Roman"/>
          <w:noProof/>
          <w:spacing w:val="-8"/>
          <w:sz w:val="24"/>
          <w:szCs w:val="24"/>
        </w:rPr>
        <w:t>the</w:t>
      </w:r>
      <w:r w:rsidR="00CE471B">
        <w:rPr>
          <w:rFonts w:ascii="Times New Roman" w:eastAsia="Calibri" w:hAnsi="Times New Roman"/>
          <w:noProof/>
          <w:spacing w:val="-8"/>
          <w:sz w:val="24"/>
          <w:szCs w:val="24"/>
        </w:rPr>
        <w:t xml:space="preserve"> parent operator</w:t>
      </w:r>
      <w:r w:rsidR="00C66975" w:rsidRPr="00C24D74">
        <w:rPr>
          <w:rFonts w:ascii="Times New Roman" w:eastAsia="Calibri" w:hAnsi="Times New Roman"/>
          <w:noProof/>
          <w:spacing w:val="-8"/>
          <w:sz w:val="24"/>
          <w:szCs w:val="24"/>
        </w:rPr>
        <w:t xml:space="preserve"> </w:t>
      </w:r>
      <w:r w:rsidR="00C736EC">
        <w:rPr>
          <w:rFonts w:ascii="Times New Roman" w:eastAsia="Calibri" w:hAnsi="Times New Roman"/>
          <w:noProof/>
          <w:spacing w:val="-8"/>
          <w:sz w:val="24"/>
          <w:szCs w:val="24"/>
        </w:rPr>
        <w:t xml:space="preserve">in </w:t>
      </w:r>
      <w:r w:rsidR="00C66975" w:rsidRPr="00C24D74">
        <w:rPr>
          <w:rFonts w:ascii="Times New Roman" w:eastAsia="Calibri" w:hAnsi="Times New Roman"/>
          <w:noProof/>
          <w:spacing w:val="-8"/>
          <w:sz w:val="24"/>
          <w:szCs w:val="24"/>
        </w:rPr>
        <w:t>PM1</w:t>
      </w:r>
      <w:r w:rsidR="00CE471B">
        <w:rPr>
          <w:rFonts w:ascii="Times New Roman" w:eastAsia="Calibri" w:hAnsi="Times New Roman"/>
          <w:noProof/>
          <w:spacing w:val="-8"/>
          <w:sz w:val="24"/>
          <w:szCs w:val="24"/>
        </w:rPr>
        <w:t>5</w:t>
      </w:r>
      <w:r w:rsidR="00C66975" w:rsidRPr="00EC38D3">
        <w:rPr>
          <w:rFonts w:ascii="Times New Roman" w:eastAsia="Calibri" w:hAnsi="Times New Roman"/>
          <w:noProof/>
          <w:spacing w:val="-8"/>
          <w:sz w:val="24"/>
          <w:szCs w:val="24"/>
        </w:rPr>
        <w:t>.</w:t>
      </w:r>
      <w:r w:rsidR="00C66975" w:rsidRPr="00C24D74">
        <w:rPr>
          <w:rFonts w:ascii="Times New Roman" w:eastAsia="Calibri" w:hAnsi="Times New Roman"/>
          <w:noProof/>
          <w:spacing w:val="-8"/>
          <w:sz w:val="24"/>
          <w:szCs w:val="24"/>
        </w:rPr>
        <w:t xml:space="preserve"> </w:t>
      </w:r>
      <w:r w:rsidR="0047535F">
        <w:rPr>
          <w:rFonts w:ascii="Times New Roman" w:eastAsia="Calibri" w:hAnsi="Times New Roman"/>
          <w:noProof/>
          <w:spacing w:val="-8"/>
          <w:sz w:val="24"/>
          <w:szCs w:val="24"/>
        </w:rPr>
        <w:t xml:space="preserve">Unbundling can occur at various levels of intensity: </w:t>
      </w:r>
      <w:r w:rsidR="00FE4E81">
        <w:rPr>
          <w:rFonts w:ascii="Times New Roman" w:eastAsia="Calibri" w:hAnsi="Times New Roman"/>
          <w:noProof/>
          <w:spacing w:val="-8"/>
          <w:sz w:val="24"/>
          <w:szCs w:val="24"/>
        </w:rPr>
        <w:t>(</w:t>
      </w:r>
      <w:r w:rsidR="00FE4E81" w:rsidRPr="003579D4">
        <w:rPr>
          <w:rFonts w:ascii="Times New Roman" w:eastAsia="Calibri" w:hAnsi="Times New Roman"/>
          <w:i/>
          <w:iCs/>
          <w:noProof/>
          <w:spacing w:val="-8"/>
          <w:sz w:val="24"/>
          <w:szCs w:val="24"/>
        </w:rPr>
        <w:t>i</w:t>
      </w:r>
      <w:r w:rsidR="00FE4E81">
        <w:rPr>
          <w:rFonts w:ascii="Times New Roman" w:eastAsia="Calibri" w:hAnsi="Times New Roman"/>
          <w:noProof/>
          <w:spacing w:val="-8"/>
          <w:sz w:val="24"/>
          <w:szCs w:val="24"/>
        </w:rPr>
        <w:t xml:space="preserve">) accounting separation, whereby operator and </w:t>
      </w:r>
      <w:r w:rsidR="00BD6873" w:rsidRPr="00EC38D3">
        <w:rPr>
          <w:rFonts w:ascii="Times New Roman" w:eastAsia="Calibri" w:hAnsi="Times New Roman"/>
          <w:noProof/>
          <w:spacing w:val="-8"/>
          <w:sz w:val="24"/>
          <w:szCs w:val="24"/>
        </w:rPr>
        <w:t>distribution</w:t>
      </w:r>
      <w:r w:rsidR="00FE4E81">
        <w:rPr>
          <w:rFonts w:ascii="Times New Roman" w:eastAsia="Calibri" w:hAnsi="Times New Roman"/>
          <w:noProof/>
          <w:spacing w:val="-8"/>
          <w:sz w:val="24"/>
          <w:szCs w:val="24"/>
        </w:rPr>
        <w:t xml:space="preserve"> channel</w:t>
      </w:r>
      <w:r w:rsidR="00BD6873">
        <w:rPr>
          <w:rFonts w:ascii="Times New Roman" w:eastAsia="Calibri" w:hAnsi="Times New Roman"/>
          <w:noProof/>
          <w:spacing w:val="-8"/>
          <w:sz w:val="24"/>
          <w:szCs w:val="24"/>
        </w:rPr>
        <w:t>s</w:t>
      </w:r>
      <w:r w:rsidR="00FE4E81">
        <w:rPr>
          <w:rFonts w:ascii="Times New Roman" w:eastAsia="Calibri" w:hAnsi="Times New Roman"/>
          <w:noProof/>
          <w:spacing w:val="-8"/>
          <w:sz w:val="24"/>
          <w:szCs w:val="24"/>
        </w:rPr>
        <w:t xml:space="preserve"> make up one company, but their accounts are distinct; (</w:t>
      </w:r>
      <w:r w:rsidR="00FE4E81" w:rsidRPr="003579D4">
        <w:rPr>
          <w:rFonts w:ascii="Times New Roman" w:eastAsia="Calibri" w:hAnsi="Times New Roman"/>
          <w:i/>
          <w:iCs/>
          <w:noProof/>
          <w:spacing w:val="-8"/>
          <w:sz w:val="24"/>
          <w:szCs w:val="24"/>
        </w:rPr>
        <w:t>ii</w:t>
      </w:r>
      <w:r w:rsidR="00FE4E81">
        <w:rPr>
          <w:rFonts w:ascii="Times New Roman" w:eastAsia="Calibri" w:hAnsi="Times New Roman"/>
          <w:noProof/>
          <w:spacing w:val="-8"/>
          <w:sz w:val="24"/>
          <w:szCs w:val="24"/>
        </w:rPr>
        <w:t>) organisational separation, whereby operator and distribution channel</w:t>
      </w:r>
      <w:r w:rsidR="00BD5691">
        <w:rPr>
          <w:rFonts w:ascii="Times New Roman" w:eastAsia="Calibri" w:hAnsi="Times New Roman"/>
          <w:noProof/>
          <w:spacing w:val="-8"/>
          <w:sz w:val="24"/>
          <w:szCs w:val="24"/>
        </w:rPr>
        <w:t>s</w:t>
      </w:r>
      <w:r w:rsidR="00FE4E81">
        <w:rPr>
          <w:rFonts w:ascii="Times New Roman" w:eastAsia="Calibri" w:hAnsi="Times New Roman"/>
          <w:noProof/>
          <w:spacing w:val="-8"/>
          <w:sz w:val="24"/>
          <w:szCs w:val="24"/>
        </w:rPr>
        <w:t xml:space="preserve"> make up distinct organisations with one holding company and their account </w:t>
      </w:r>
      <w:r w:rsidR="00BD5691">
        <w:rPr>
          <w:rFonts w:ascii="Times New Roman" w:eastAsia="Calibri" w:hAnsi="Times New Roman"/>
          <w:noProof/>
          <w:spacing w:val="-8"/>
          <w:sz w:val="24"/>
          <w:szCs w:val="24"/>
        </w:rPr>
        <w:t xml:space="preserve">is </w:t>
      </w:r>
      <w:r w:rsidR="00B92AA1">
        <w:rPr>
          <w:rFonts w:ascii="Times New Roman" w:eastAsia="Calibri" w:hAnsi="Times New Roman"/>
          <w:noProof/>
          <w:spacing w:val="-8"/>
          <w:sz w:val="24"/>
          <w:szCs w:val="24"/>
        </w:rPr>
        <w:t>thus separated; (</w:t>
      </w:r>
      <w:r w:rsidR="00B92AA1" w:rsidRPr="003579D4">
        <w:rPr>
          <w:rFonts w:ascii="Times New Roman" w:eastAsia="Calibri" w:hAnsi="Times New Roman"/>
          <w:i/>
          <w:iCs/>
          <w:noProof/>
          <w:spacing w:val="-8"/>
          <w:sz w:val="24"/>
          <w:szCs w:val="24"/>
        </w:rPr>
        <w:t>iii</w:t>
      </w:r>
      <w:r w:rsidR="00B92AA1">
        <w:rPr>
          <w:rFonts w:ascii="Times New Roman" w:eastAsia="Calibri" w:hAnsi="Times New Roman"/>
          <w:noProof/>
          <w:spacing w:val="-8"/>
          <w:sz w:val="24"/>
          <w:szCs w:val="24"/>
        </w:rPr>
        <w:t>) legal separation, whereby operator and distribution channel</w:t>
      </w:r>
      <w:r w:rsidR="00895FCB">
        <w:rPr>
          <w:rFonts w:ascii="Times New Roman" w:eastAsia="Calibri" w:hAnsi="Times New Roman"/>
          <w:noProof/>
          <w:spacing w:val="-8"/>
          <w:sz w:val="24"/>
          <w:szCs w:val="24"/>
        </w:rPr>
        <w:t>s</w:t>
      </w:r>
      <w:r w:rsidR="00B92AA1">
        <w:rPr>
          <w:rFonts w:ascii="Times New Roman" w:eastAsia="Calibri" w:hAnsi="Times New Roman"/>
          <w:noProof/>
          <w:spacing w:val="-8"/>
          <w:sz w:val="24"/>
          <w:szCs w:val="24"/>
        </w:rPr>
        <w:t xml:space="preserve"> constitute totally distinct organisations. </w:t>
      </w:r>
      <w:r w:rsidR="003579D4">
        <w:rPr>
          <w:rFonts w:ascii="Times New Roman" w:eastAsia="Calibri" w:hAnsi="Times New Roman"/>
          <w:noProof/>
          <w:spacing w:val="-8"/>
          <w:sz w:val="24"/>
          <w:szCs w:val="24"/>
        </w:rPr>
        <w:t>In PM15, organisation separation (</w:t>
      </w:r>
      <w:r w:rsidR="003579D4" w:rsidRPr="003579D4">
        <w:rPr>
          <w:rFonts w:ascii="Times New Roman" w:eastAsia="Calibri" w:hAnsi="Times New Roman"/>
          <w:i/>
          <w:iCs/>
          <w:noProof/>
          <w:spacing w:val="-8"/>
          <w:sz w:val="24"/>
          <w:szCs w:val="24"/>
        </w:rPr>
        <w:t>ii</w:t>
      </w:r>
      <w:r w:rsidR="003579D4">
        <w:rPr>
          <w:rFonts w:ascii="Times New Roman" w:eastAsia="Calibri" w:hAnsi="Times New Roman"/>
          <w:noProof/>
          <w:spacing w:val="-8"/>
          <w:sz w:val="24"/>
          <w:szCs w:val="24"/>
        </w:rPr>
        <w:t xml:space="preserve">) is assumed. </w:t>
      </w:r>
      <w:r w:rsidR="00E35B29" w:rsidRPr="00E35B29">
        <w:rPr>
          <w:rFonts w:ascii="Times New Roman" w:eastAsia="Calibri" w:hAnsi="Times New Roman"/>
          <w:noProof/>
          <w:spacing w:val="-8"/>
          <w:sz w:val="24"/>
          <w:szCs w:val="24"/>
        </w:rPr>
        <w:t>The main costs from separation of a distribution channel from its related operator are therefore expected to</w:t>
      </w:r>
      <w:r w:rsidR="00DB5947">
        <w:rPr>
          <w:rFonts w:ascii="Times New Roman" w:eastAsia="Calibri" w:hAnsi="Times New Roman"/>
          <w:noProof/>
          <w:spacing w:val="-8"/>
          <w:sz w:val="24"/>
          <w:szCs w:val="24"/>
        </w:rPr>
        <w:t xml:space="preserve"> be</w:t>
      </w:r>
      <w:r w:rsidR="00E35B29" w:rsidRPr="00E35B29">
        <w:rPr>
          <w:rFonts w:ascii="Times New Roman" w:eastAsia="Calibri" w:hAnsi="Times New Roman"/>
          <w:noProof/>
          <w:spacing w:val="-8"/>
          <w:sz w:val="24"/>
          <w:szCs w:val="24"/>
        </w:rPr>
        <w:t>: (</w:t>
      </w:r>
      <w:r w:rsidR="005E4B1E" w:rsidRPr="005E4B1E">
        <w:rPr>
          <w:rFonts w:ascii="Times New Roman" w:eastAsia="Calibri" w:hAnsi="Times New Roman"/>
          <w:i/>
          <w:iCs/>
          <w:noProof/>
          <w:spacing w:val="-8"/>
          <w:sz w:val="24"/>
          <w:szCs w:val="24"/>
        </w:rPr>
        <w:t>i</w:t>
      </w:r>
      <w:r w:rsidR="005E4B1E">
        <w:rPr>
          <w:rFonts w:ascii="Times New Roman" w:eastAsia="Calibri" w:hAnsi="Times New Roman"/>
          <w:noProof/>
          <w:spacing w:val="-8"/>
          <w:sz w:val="24"/>
          <w:szCs w:val="24"/>
        </w:rPr>
        <w:t xml:space="preserve">) </w:t>
      </w:r>
      <w:r w:rsidR="00E35B29" w:rsidRPr="00E35B29">
        <w:rPr>
          <w:rFonts w:ascii="Times New Roman" w:eastAsia="Calibri" w:hAnsi="Times New Roman"/>
          <w:noProof/>
          <w:spacing w:val="-8"/>
          <w:sz w:val="24"/>
          <w:szCs w:val="24"/>
        </w:rPr>
        <w:t xml:space="preserve">one-off costs related to reorganisation (including legal and administrative costs of separation, personnel restructuring, setup costs for new systems and processes for the separated entity, and contract renegotiations), </w:t>
      </w:r>
      <w:r w:rsidR="005E4B1E">
        <w:rPr>
          <w:rFonts w:ascii="Times New Roman" w:eastAsia="Calibri" w:hAnsi="Times New Roman"/>
          <w:noProof/>
          <w:spacing w:val="-8"/>
          <w:sz w:val="24"/>
          <w:szCs w:val="24"/>
        </w:rPr>
        <w:t>(</w:t>
      </w:r>
      <w:r w:rsidR="005E4B1E" w:rsidRPr="005E4B1E">
        <w:rPr>
          <w:rFonts w:ascii="Times New Roman" w:eastAsia="Calibri" w:hAnsi="Times New Roman"/>
          <w:i/>
          <w:iCs/>
          <w:noProof/>
          <w:spacing w:val="-8"/>
          <w:sz w:val="24"/>
          <w:szCs w:val="24"/>
        </w:rPr>
        <w:t>ii</w:t>
      </w:r>
      <w:r w:rsidR="005E4B1E">
        <w:rPr>
          <w:rFonts w:ascii="Times New Roman" w:eastAsia="Calibri" w:hAnsi="Times New Roman"/>
          <w:noProof/>
          <w:spacing w:val="-8"/>
          <w:sz w:val="24"/>
          <w:szCs w:val="24"/>
        </w:rPr>
        <w:t xml:space="preserve">) </w:t>
      </w:r>
      <w:r w:rsidR="00E35B29" w:rsidRPr="00E35B29">
        <w:rPr>
          <w:rFonts w:ascii="Times New Roman" w:eastAsia="Calibri" w:hAnsi="Times New Roman"/>
          <w:noProof/>
          <w:spacing w:val="-8"/>
          <w:sz w:val="24"/>
          <w:szCs w:val="24"/>
        </w:rPr>
        <w:t xml:space="preserve">recurrent costs (including loss of economies of scale and increased transaction costs </w:t>
      </w:r>
      <w:r w:rsidR="009A3D09">
        <w:rPr>
          <w:rFonts w:ascii="Times New Roman" w:eastAsia="Calibri" w:hAnsi="Times New Roman"/>
          <w:noProof/>
          <w:spacing w:val="-8"/>
          <w:sz w:val="24"/>
          <w:szCs w:val="24"/>
        </w:rPr>
        <w:t>due to</w:t>
      </w:r>
      <w:r w:rsidR="00E35B29" w:rsidRPr="00E35B29">
        <w:rPr>
          <w:rFonts w:ascii="Times New Roman" w:eastAsia="Calibri" w:hAnsi="Times New Roman"/>
          <w:noProof/>
          <w:spacing w:val="-8"/>
          <w:sz w:val="24"/>
          <w:szCs w:val="24"/>
        </w:rPr>
        <w:t xml:space="preserve"> co-ordination challenges), and </w:t>
      </w:r>
      <w:r w:rsidR="005E4B1E">
        <w:rPr>
          <w:rFonts w:ascii="Times New Roman" w:eastAsia="Calibri" w:hAnsi="Times New Roman"/>
          <w:noProof/>
          <w:spacing w:val="-8"/>
          <w:sz w:val="24"/>
          <w:szCs w:val="24"/>
        </w:rPr>
        <w:t>(</w:t>
      </w:r>
      <w:r w:rsidR="005E4B1E" w:rsidRPr="005E4B1E">
        <w:rPr>
          <w:rFonts w:ascii="Times New Roman" w:eastAsia="Calibri" w:hAnsi="Times New Roman"/>
          <w:i/>
          <w:iCs/>
          <w:noProof/>
          <w:spacing w:val="-8"/>
          <w:sz w:val="24"/>
          <w:szCs w:val="24"/>
        </w:rPr>
        <w:t>iii</w:t>
      </w:r>
      <w:r w:rsidR="005E4B1E">
        <w:rPr>
          <w:rFonts w:ascii="Times New Roman" w:eastAsia="Calibri" w:hAnsi="Times New Roman"/>
          <w:noProof/>
          <w:spacing w:val="-8"/>
          <w:sz w:val="24"/>
          <w:szCs w:val="24"/>
        </w:rPr>
        <w:t>)</w:t>
      </w:r>
      <w:r w:rsidR="00E35B29" w:rsidRPr="00E35B29">
        <w:rPr>
          <w:rFonts w:ascii="Times New Roman" w:eastAsia="Calibri" w:hAnsi="Times New Roman"/>
          <w:noProof/>
          <w:spacing w:val="-8"/>
          <w:sz w:val="24"/>
          <w:szCs w:val="24"/>
        </w:rPr>
        <w:t xml:space="preserve"> potential loss of revenue (through loss of cross-selling opportunities and reduced capacity to offer a seamless customer service). </w:t>
      </w:r>
    </w:p>
    <w:p w14:paraId="3D936962" w14:textId="30317993" w:rsidR="00850C8A" w:rsidRDefault="00F673B7" w:rsidP="009C316C">
      <w:pPr>
        <w:pStyle w:val="Text4"/>
        <w:ind w:left="0"/>
        <w:rPr>
          <w:rFonts w:ascii="Times New Roman" w:eastAsia="Calibri" w:hAnsi="Times New Roman"/>
          <w:noProof/>
          <w:spacing w:val="-8"/>
          <w:sz w:val="24"/>
          <w:szCs w:val="24"/>
        </w:rPr>
      </w:pPr>
      <w:r w:rsidRPr="00F673B7">
        <w:rPr>
          <w:rFonts w:ascii="Times New Roman" w:eastAsia="Calibri" w:hAnsi="Times New Roman"/>
          <w:noProof/>
          <w:spacing w:val="-8"/>
          <w:sz w:val="24"/>
          <w:szCs w:val="24"/>
        </w:rPr>
        <w:t xml:space="preserve">The estimate of the one-off adjustment costs for </w:t>
      </w:r>
      <w:r w:rsidR="00146A2B" w:rsidRPr="00146A2B">
        <w:rPr>
          <w:rFonts w:ascii="Times New Roman" w:eastAsia="Calibri" w:hAnsi="Times New Roman"/>
          <w:noProof/>
          <w:spacing w:val="-8"/>
          <w:sz w:val="24"/>
          <w:szCs w:val="24"/>
        </w:rPr>
        <w:t>indispensable RU platforms</w:t>
      </w:r>
      <w:r w:rsidRPr="00F673B7">
        <w:rPr>
          <w:rFonts w:ascii="Times New Roman" w:eastAsia="Calibri" w:hAnsi="Times New Roman"/>
          <w:noProof/>
          <w:spacing w:val="-8"/>
          <w:sz w:val="24"/>
          <w:szCs w:val="24"/>
        </w:rPr>
        <w:t xml:space="preserve"> to </w:t>
      </w:r>
      <w:r w:rsidR="0049053C">
        <w:rPr>
          <w:rFonts w:ascii="Times New Roman" w:eastAsia="Calibri" w:hAnsi="Times New Roman"/>
          <w:noProof/>
          <w:spacing w:val="-8"/>
          <w:sz w:val="24"/>
          <w:szCs w:val="24"/>
        </w:rPr>
        <w:t>unbundle</w:t>
      </w:r>
      <w:r w:rsidRPr="00F673B7">
        <w:rPr>
          <w:rFonts w:ascii="Times New Roman" w:eastAsia="Calibri" w:hAnsi="Times New Roman"/>
          <w:noProof/>
          <w:spacing w:val="-8"/>
          <w:sz w:val="24"/>
          <w:szCs w:val="24"/>
        </w:rPr>
        <w:t xml:space="preserve"> their </w:t>
      </w:r>
      <w:r w:rsidR="0049053C">
        <w:rPr>
          <w:rFonts w:ascii="Times New Roman" w:eastAsia="Calibri" w:hAnsi="Times New Roman"/>
          <w:noProof/>
          <w:spacing w:val="-8"/>
          <w:sz w:val="24"/>
          <w:szCs w:val="24"/>
        </w:rPr>
        <w:t xml:space="preserve">distribution </w:t>
      </w:r>
      <w:r w:rsidRPr="00F673B7">
        <w:rPr>
          <w:rFonts w:ascii="Times New Roman" w:eastAsia="Calibri" w:hAnsi="Times New Roman"/>
          <w:noProof/>
          <w:spacing w:val="-8"/>
          <w:sz w:val="24"/>
          <w:szCs w:val="24"/>
        </w:rPr>
        <w:t xml:space="preserve">systems draws on </w:t>
      </w:r>
      <w:r w:rsidR="00906AFD" w:rsidRPr="00AC3D75">
        <w:rPr>
          <w:rFonts w:ascii="Times New Roman" w:eastAsia="Calibri" w:hAnsi="Times New Roman"/>
          <w:noProof/>
          <w:spacing w:val="-8"/>
          <w:sz w:val="24"/>
          <w:szCs w:val="24"/>
        </w:rPr>
        <w:t>a study investigating the costs of vertical separation in the context of owners of rail infrastructure and the operators of rail rolling stock</w:t>
      </w:r>
      <w:r w:rsidR="00906AFD">
        <w:rPr>
          <w:rStyle w:val="FootnoteReference"/>
          <w:rFonts w:ascii="Times New Roman" w:eastAsia="Calibri" w:hAnsi="Times New Roman"/>
          <w:noProof/>
          <w:spacing w:val="-8"/>
          <w:sz w:val="24"/>
          <w:szCs w:val="24"/>
        </w:rPr>
        <w:footnoteReference w:id="356"/>
      </w:r>
      <w:r w:rsidR="008F616A">
        <w:rPr>
          <w:rFonts w:ascii="Times New Roman" w:eastAsia="Calibri" w:hAnsi="Times New Roman"/>
          <w:noProof/>
          <w:spacing w:val="-8"/>
          <w:sz w:val="24"/>
          <w:szCs w:val="24"/>
        </w:rPr>
        <w:t xml:space="preserve">. </w:t>
      </w:r>
      <w:r w:rsidR="008F616A" w:rsidRPr="00AC3D75">
        <w:rPr>
          <w:rFonts w:ascii="Times New Roman" w:eastAsia="Calibri" w:hAnsi="Times New Roman"/>
          <w:noProof/>
          <w:spacing w:val="-8"/>
          <w:sz w:val="24"/>
          <w:szCs w:val="24"/>
        </w:rPr>
        <w:t>The study estimates that the annual cost of imposing full ‘legal’ vertical separation on operators across the EU that were not already separated could exceed EUR 5.8 billion.</w:t>
      </w:r>
      <w:r w:rsidR="000F50E2" w:rsidRPr="000F50E2">
        <w:rPr>
          <w:rFonts w:ascii="Times New Roman" w:eastAsia="Calibri" w:hAnsi="Times New Roman"/>
          <w:noProof/>
          <w:spacing w:val="-8"/>
          <w:sz w:val="24"/>
          <w:szCs w:val="24"/>
        </w:rPr>
        <w:t xml:space="preserve"> </w:t>
      </w:r>
      <w:r w:rsidR="000F50E2" w:rsidRPr="00AC3D75">
        <w:rPr>
          <w:rFonts w:ascii="Times New Roman" w:eastAsia="Calibri" w:hAnsi="Times New Roman"/>
          <w:noProof/>
          <w:spacing w:val="-8"/>
          <w:sz w:val="24"/>
          <w:szCs w:val="24"/>
        </w:rPr>
        <w:t xml:space="preserve">These costs were described as system-level efficiency costs from reduced capacity for co-ordination. </w:t>
      </w:r>
      <w:r w:rsidR="009A1FB2" w:rsidRPr="00EC38D3">
        <w:rPr>
          <w:rFonts w:ascii="Times New Roman" w:eastAsia="Calibri" w:hAnsi="Times New Roman"/>
          <w:noProof/>
          <w:spacing w:val="-8"/>
          <w:sz w:val="24"/>
          <w:szCs w:val="24"/>
        </w:rPr>
        <w:t>This</w:t>
      </w:r>
      <w:r w:rsidR="009A1FB2">
        <w:rPr>
          <w:rFonts w:ascii="Times New Roman" w:eastAsia="Calibri" w:hAnsi="Times New Roman"/>
          <w:noProof/>
          <w:spacing w:val="-8"/>
          <w:sz w:val="24"/>
          <w:szCs w:val="24"/>
        </w:rPr>
        <w:t xml:space="preserve"> is interpreted</w:t>
      </w:r>
      <w:r w:rsidR="000F50E2" w:rsidRPr="00AC3D75">
        <w:rPr>
          <w:rFonts w:ascii="Times New Roman" w:eastAsia="Calibri" w:hAnsi="Times New Roman"/>
          <w:noProof/>
          <w:spacing w:val="-8"/>
          <w:sz w:val="24"/>
          <w:szCs w:val="24"/>
        </w:rPr>
        <w:t xml:space="preserve"> as a combination of the one-off and recurrent costs described above </w:t>
      </w:r>
      <w:r w:rsidR="009A1FB2" w:rsidRPr="00EC38D3">
        <w:rPr>
          <w:rFonts w:ascii="Times New Roman" w:eastAsia="Calibri" w:hAnsi="Times New Roman"/>
          <w:noProof/>
          <w:spacing w:val="-8"/>
          <w:sz w:val="24"/>
          <w:szCs w:val="24"/>
        </w:rPr>
        <w:t>and</w:t>
      </w:r>
      <w:r w:rsidR="000F50E2" w:rsidRPr="00AC3D75">
        <w:rPr>
          <w:rFonts w:ascii="Times New Roman" w:eastAsia="Calibri" w:hAnsi="Times New Roman"/>
          <w:noProof/>
          <w:spacing w:val="-8"/>
          <w:sz w:val="24"/>
          <w:szCs w:val="24"/>
        </w:rPr>
        <w:t xml:space="preserve"> translate</w:t>
      </w:r>
      <w:r w:rsidR="009A1FB2">
        <w:rPr>
          <w:rFonts w:ascii="Times New Roman" w:eastAsia="Calibri" w:hAnsi="Times New Roman"/>
          <w:noProof/>
          <w:spacing w:val="-8"/>
          <w:sz w:val="24"/>
          <w:szCs w:val="24"/>
        </w:rPr>
        <w:t>d</w:t>
      </w:r>
      <w:r w:rsidR="000F50E2" w:rsidRPr="00AC3D75">
        <w:rPr>
          <w:rFonts w:ascii="Times New Roman" w:eastAsia="Calibri" w:hAnsi="Times New Roman"/>
          <w:noProof/>
          <w:spacing w:val="-8"/>
          <w:sz w:val="24"/>
          <w:szCs w:val="24"/>
        </w:rPr>
        <w:t xml:space="preserve"> into a purely one-off cost given </w:t>
      </w:r>
      <w:r w:rsidR="00EF7EA3">
        <w:rPr>
          <w:rFonts w:ascii="Times New Roman" w:eastAsia="Calibri" w:hAnsi="Times New Roman"/>
          <w:noProof/>
          <w:spacing w:val="-8"/>
          <w:sz w:val="24"/>
          <w:szCs w:val="24"/>
        </w:rPr>
        <w:t xml:space="preserve">that </w:t>
      </w:r>
      <w:r w:rsidR="000F50E2" w:rsidRPr="00AC3D75">
        <w:rPr>
          <w:rFonts w:ascii="Times New Roman" w:eastAsia="Calibri" w:hAnsi="Times New Roman"/>
          <w:noProof/>
          <w:spacing w:val="-8"/>
          <w:sz w:val="24"/>
          <w:szCs w:val="24"/>
        </w:rPr>
        <w:t xml:space="preserve">limited operational inefficiencies are expected from legal separation of a distribution channel. </w:t>
      </w:r>
      <w:r w:rsidR="007B3FE7" w:rsidRPr="00861CA0">
        <w:rPr>
          <w:rFonts w:ascii="Times New Roman" w:eastAsia="Calibri" w:hAnsi="Times New Roman"/>
          <w:noProof/>
          <w:spacing w:val="-8"/>
          <w:sz w:val="24"/>
          <w:szCs w:val="24"/>
        </w:rPr>
        <w:t>According to data from the European Union Agency for Railways' ERADIS licensing database, there were 176 licensed passenger railway operators active across Europe at the time of the study</w:t>
      </w:r>
      <w:r w:rsidR="001A5393">
        <w:rPr>
          <w:rFonts w:ascii="Times New Roman" w:eastAsia="Calibri" w:hAnsi="Times New Roman"/>
          <w:noProof/>
          <w:spacing w:val="-8"/>
          <w:sz w:val="24"/>
          <w:szCs w:val="24"/>
        </w:rPr>
        <w:t>.</w:t>
      </w:r>
      <w:r w:rsidR="007B3FE7" w:rsidRPr="00861CA0">
        <w:rPr>
          <w:rFonts w:ascii="Times New Roman" w:eastAsia="Calibri" w:hAnsi="Times New Roman"/>
          <w:noProof/>
          <w:spacing w:val="-8"/>
          <w:sz w:val="24"/>
          <w:szCs w:val="24"/>
        </w:rPr>
        <w:t xml:space="preserve"> Taking the assumption </w:t>
      </w:r>
      <w:r w:rsidR="009C316C">
        <w:rPr>
          <w:rFonts w:ascii="Times New Roman" w:eastAsia="Calibri" w:hAnsi="Times New Roman"/>
          <w:noProof/>
          <w:spacing w:val="-8"/>
          <w:sz w:val="24"/>
          <w:szCs w:val="24"/>
        </w:rPr>
        <w:t>from the study</w:t>
      </w:r>
      <w:r w:rsidR="007B3FE7" w:rsidRPr="00861CA0">
        <w:rPr>
          <w:rFonts w:ascii="Times New Roman" w:eastAsia="Calibri" w:hAnsi="Times New Roman"/>
          <w:noProof/>
          <w:spacing w:val="-8"/>
          <w:sz w:val="24"/>
          <w:szCs w:val="24"/>
        </w:rPr>
        <w:t xml:space="preserve"> that 50% of European railway networks had already imposed vertical separation, this implies that the total costs were spread over approximately 88 passenger rail operators, yielding an average cost per</w:t>
      </w:r>
      <w:r w:rsidR="00CB5EAA">
        <w:rPr>
          <w:rFonts w:ascii="Times New Roman" w:eastAsia="Calibri" w:hAnsi="Times New Roman"/>
          <w:noProof/>
          <w:spacing w:val="-8"/>
          <w:sz w:val="24"/>
          <w:szCs w:val="24"/>
        </w:rPr>
        <w:t xml:space="preserve"> </w:t>
      </w:r>
      <w:r w:rsidR="007B3FE7" w:rsidRPr="00861CA0">
        <w:rPr>
          <w:rFonts w:ascii="Times New Roman" w:eastAsia="Calibri" w:hAnsi="Times New Roman"/>
          <w:noProof/>
          <w:spacing w:val="-8"/>
          <w:sz w:val="24"/>
          <w:szCs w:val="24"/>
        </w:rPr>
        <w:t>operator of approximately EUR 85 million annually.</w:t>
      </w:r>
      <w:r w:rsidR="009C316C">
        <w:rPr>
          <w:rFonts w:ascii="Times New Roman" w:eastAsia="Calibri" w:hAnsi="Times New Roman"/>
          <w:noProof/>
          <w:spacing w:val="-8"/>
          <w:sz w:val="24"/>
          <w:szCs w:val="24"/>
        </w:rPr>
        <w:t xml:space="preserve"> </w:t>
      </w:r>
      <w:r w:rsidR="007B3FE7" w:rsidRPr="007B3FE7">
        <w:rPr>
          <w:rFonts w:ascii="Times New Roman" w:eastAsia="Calibri" w:hAnsi="Times New Roman"/>
          <w:noProof/>
          <w:spacing w:val="-8"/>
          <w:sz w:val="24"/>
          <w:szCs w:val="24"/>
        </w:rPr>
        <w:t xml:space="preserve">A further </w:t>
      </w:r>
      <w:r w:rsidR="009C316C">
        <w:rPr>
          <w:rFonts w:ascii="Times New Roman" w:eastAsia="Calibri" w:hAnsi="Times New Roman"/>
          <w:noProof/>
          <w:spacing w:val="-8"/>
          <w:sz w:val="24"/>
          <w:szCs w:val="24"/>
        </w:rPr>
        <w:t>assumption</w:t>
      </w:r>
      <w:r w:rsidR="007B3FE7" w:rsidRPr="007B3FE7">
        <w:rPr>
          <w:rFonts w:ascii="Times New Roman" w:eastAsia="Calibri" w:hAnsi="Times New Roman"/>
          <w:noProof/>
          <w:spacing w:val="-8"/>
          <w:sz w:val="24"/>
          <w:szCs w:val="24"/>
        </w:rPr>
        <w:t xml:space="preserve"> was made to reflect that unbundling of a distribution channel is likely to be less costly than full legal separation of an operator from an infrastructure entity. </w:t>
      </w:r>
      <w:r w:rsidR="002B49BA">
        <w:rPr>
          <w:rFonts w:ascii="Times New Roman" w:eastAsia="Calibri" w:hAnsi="Times New Roman"/>
          <w:noProof/>
          <w:spacing w:val="-8"/>
          <w:sz w:val="24"/>
          <w:szCs w:val="24"/>
        </w:rPr>
        <w:t>It is</w:t>
      </w:r>
      <w:r w:rsidR="007B3FE7" w:rsidRPr="007B3FE7">
        <w:rPr>
          <w:rFonts w:ascii="Times New Roman" w:eastAsia="Calibri" w:hAnsi="Times New Roman"/>
          <w:noProof/>
          <w:spacing w:val="-8"/>
          <w:sz w:val="24"/>
          <w:szCs w:val="24"/>
        </w:rPr>
        <w:t xml:space="preserve"> therefore assume</w:t>
      </w:r>
      <w:r w:rsidR="002B49BA">
        <w:rPr>
          <w:rFonts w:ascii="Times New Roman" w:eastAsia="Calibri" w:hAnsi="Times New Roman"/>
          <w:noProof/>
          <w:spacing w:val="-8"/>
          <w:sz w:val="24"/>
          <w:szCs w:val="24"/>
        </w:rPr>
        <w:t>d</w:t>
      </w:r>
      <w:r w:rsidR="007B3FE7" w:rsidRPr="007B3FE7">
        <w:rPr>
          <w:rFonts w:ascii="Times New Roman" w:eastAsia="Calibri" w:hAnsi="Times New Roman"/>
          <w:noProof/>
          <w:spacing w:val="-8"/>
          <w:sz w:val="24"/>
          <w:szCs w:val="24"/>
        </w:rPr>
        <w:t xml:space="preserve"> that </w:t>
      </w:r>
      <w:r w:rsidR="000815B0" w:rsidRPr="000815B0">
        <w:rPr>
          <w:rFonts w:ascii="Times New Roman" w:eastAsia="Calibri" w:hAnsi="Times New Roman"/>
          <w:noProof/>
          <w:spacing w:val="-8"/>
          <w:sz w:val="24"/>
          <w:szCs w:val="24"/>
        </w:rPr>
        <w:t>indispensable</w:t>
      </w:r>
      <w:r w:rsidR="007B3FE7" w:rsidRPr="007B3FE7">
        <w:rPr>
          <w:rFonts w:ascii="Times New Roman" w:eastAsia="Calibri" w:hAnsi="Times New Roman"/>
          <w:noProof/>
          <w:spacing w:val="-8"/>
          <w:sz w:val="24"/>
          <w:szCs w:val="24"/>
        </w:rPr>
        <w:t xml:space="preserve"> </w:t>
      </w:r>
      <w:r w:rsidR="002B49BA">
        <w:rPr>
          <w:rFonts w:ascii="Times New Roman" w:eastAsia="Calibri" w:hAnsi="Times New Roman"/>
          <w:noProof/>
          <w:spacing w:val="-8"/>
          <w:sz w:val="24"/>
          <w:szCs w:val="24"/>
        </w:rPr>
        <w:t xml:space="preserve">RU </w:t>
      </w:r>
      <w:r w:rsidR="000815B0" w:rsidRPr="000815B0">
        <w:rPr>
          <w:rFonts w:ascii="Times New Roman" w:eastAsia="Calibri" w:hAnsi="Times New Roman"/>
          <w:noProof/>
          <w:spacing w:val="-8"/>
          <w:sz w:val="24"/>
          <w:szCs w:val="24"/>
        </w:rPr>
        <w:t>platforms</w:t>
      </w:r>
      <w:r w:rsidR="007B3FE7" w:rsidRPr="007B3FE7">
        <w:rPr>
          <w:rFonts w:ascii="Times New Roman" w:eastAsia="Calibri" w:hAnsi="Times New Roman"/>
          <w:noProof/>
          <w:spacing w:val="-8"/>
          <w:sz w:val="24"/>
          <w:szCs w:val="24"/>
        </w:rPr>
        <w:t xml:space="preserve"> would incur only 10% of the assessed cost</w:t>
      </w:r>
      <w:r w:rsidR="00995E30">
        <w:rPr>
          <w:rFonts w:ascii="Times New Roman" w:eastAsia="Calibri" w:hAnsi="Times New Roman"/>
          <w:noProof/>
          <w:spacing w:val="-8"/>
          <w:sz w:val="24"/>
          <w:szCs w:val="24"/>
        </w:rPr>
        <w:t xml:space="preserve"> </w:t>
      </w:r>
      <w:r w:rsidR="007B3FE7" w:rsidRPr="007B3FE7">
        <w:rPr>
          <w:rFonts w:ascii="Times New Roman" w:eastAsia="Calibri" w:hAnsi="Times New Roman"/>
          <w:noProof/>
          <w:spacing w:val="-8"/>
          <w:sz w:val="24"/>
          <w:szCs w:val="24"/>
        </w:rPr>
        <w:t>per</w:t>
      </w:r>
      <w:r w:rsidR="00995E30">
        <w:rPr>
          <w:rFonts w:ascii="Times New Roman" w:eastAsia="Calibri" w:hAnsi="Times New Roman"/>
          <w:noProof/>
          <w:spacing w:val="-8"/>
          <w:sz w:val="24"/>
          <w:szCs w:val="24"/>
        </w:rPr>
        <w:t xml:space="preserve"> </w:t>
      </w:r>
      <w:r w:rsidR="007B3FE7" w:rsidRPr="007B3FE7">
        <w:rPr>
          <w:rFonts w:ascii="Times New Roman" w:eastAsia="Calibri" w:hAnsi="Times New Roman"/>
          <w:noProof/>
          <w:spacing w:val="-8"/>
          <w:sz w:val="24"/>
          <w:szCs w:val="24"/>
        </w:rPr>
        <w:t xml:space="preserve">operator. This translates </w:t>
      </w:r>
      <w:r w:rsidR="006032CA">
        <w:rPr>
          <w:rFonts w:ascii="Times New Roman" w:eastAsia="Calibri" w:hAnsi="Times New Roman"/>
          <w:noProof/>
          <w:spacing w:val="-8"/>
          <w:sz w:val="24"/>
          <w:szCs w:val="24"/>
        </w:rPr>
        <w:t>in</w:t>
      </w:r>
      <w:r w:rsidR="007B3FE7" w:rsidRPr="007B3FE7">
        <w:rPr>
          <w:rFonts w:ascii="Times New Roman" w:eastAsia="Calibri" w:hAnsi="Times New Roman"/>
          <w:noProof/>
          <w:spacing w:val="-8"/>
          <w:sz w:val="24"/>
          <w:szCs w:val="24"/>
        </w:rPr>
        <w:t xml:space="preserve">to an average cost of approximately </w:t>
      </w:r>
      <w:r w:rsidR="007B3FE7" w:rsidRPr="00EC38D3">
        <w:rPr>
          <w:rFonts w:ascii="Times New Roman" w:eastAsia="Calibri" w:hAnsi="Times New Roman"/>
          <w:noProof/>
          <w:spacing w:val="-8"/>
          <w:sz w:val="24"/>
          <w:szCs w:val="24"/>
        </w:rPr>
        <w:t>EUR 8.5 million</w:t>
      </w:r>
      <w:r w:rsidR="00DA0C17" w:rsidRPr="00EC38D3">
        <w:rPr>
          <w:rFonts w:ascii="Times New Roman" w:eastAsia="Calibri" w:hAnsi="Times New Roman"/>
          <w:noProof/>
          <w:spacing w:val="-8"/>
          <w:sz w:val="24"/>
          <w:szCs w:val="24"/>
        </w:rPr>
        <w:t>,</w:t>
      </w:r>
      <w:r w:rsidR="007B3FE7" w:rsidRPr="00EC38D3">
        <w:rPr>
          <w:rFonts w:ascii="Times New Roman" w:eastAsia="Calibri" w:hAnsi="Times New Roman"/>
          <w:noProof/>
          <w:spacing w:val="-8"/>
          <w:sz w:val="24"/>
          <w:szCs w:val="24"/>
        </w:rPr>
        <w:t xml:space="preserve"> expressed in 2024 prices.</w:t>
      </w:r>
      <w:r w:rsidR="00BA5FDE" w:rsidRPr="00BA5FDE">
        <w:rPr>
          <w:rFonts w:ascii="Times New Roman" w:eastAsia="Calibri" w:hAnsi="Times New Roman"/>
          <w:noProof/>
          <w:spacing w:val="-8"/>
          <w:sz w:val="24"/>
          <w:szCs w:val="24"/>
        </w:rPr>
        <w:t xml:space="preserve"> </w:t>
      </w:r>
      <w:r w:rsidR="00BA5FDE" w:rsidRPr="004E6342">
        <w:rPr>
          <w:rFonts w:ascii="Times New Roman" w:eastAsia="Calibri" w:hAnsi="Times New Roman"/>
          <w:noProof/>
          <w:spacing w:val="-8"/>
          <w:sz w:val="24"/>
          <w:szCs w:val="24"/>
        </w:rPr>
        <w:t>This aligns with input from one stakeholder during the consultation for this study who claimed that it cost them ‘tens of millions [of euros]’ to setup their existing distribution channel, so the cost of separation would likely be lower given the distribution channel is already developed.</w:t>
      </w:r>
    </w:p>
    <w:p w14:paraId="1FD0C83D" w14:textId="50E2A788" w:rsidR="00CE471B" w:rsidRDefault="00CC4B72" w:rsidP="00C66975">
      <w:pPr>
        <w:pStyle w:val="Text4"/>
        <w:ind w:left="0"/>
        <w:rPr>
          <w:rFonts w:ascii="Times New Roman" w:eastAsia="Calibri" w:hAnsi="Times New Roman"/>
          <w:noProof/>
          <w:spacing w:val="-8"/>
          <w:sz w:val="24"/>
          <w:szCs w:val="24"/>
        </w:rPr>
      </w:pPr>
      <w:r>
        <w:rPr>
          <w:rFonts w:ascii="Times New Roman" w:eastAsia="Calibri" w:hAnsi="Times New Roman"/>
          <w:noProof/>
          <w:spacing w:val="-8"/>
          <w:sz w:val="24"/>
          <w:szCs w:val="24"/>
        </w:rPr>
        <w:t>The</w:t>
      </w:r>
      <w:r w:rsidR="004E6342" w:rsidRPr="004E6342">
        <w:rPr>
          <w:rFonts w:ascii="Times New Roman" w:eastAsia="Calibri" w:hAnsi="Times New Roman"/>
          <w:noProof/>
          <w:spacing w:val="-8"/>
          <w:sz w:val="24"/>
          <w:szCs w:val="24"/>
        </w:rPr>
        <w:t xml:space="preserve"> EU-level </w:t>
      </w:r>
      <w:r>
        <w:rPr>
          <w:rFonts w:ascii="Times New Roman" w:eastAsia="Calibri" w:hAnsi="Times New Roman"/>
          <w:noProof/>
          <w:spacing w:val="-8"/>
          <w:sz w:val="24"/>
          <w:szCs w:val="24"/>
        </w:rPr>
        <w:t>costs are calculated</w:t>
      </w:r>
      <w:r w:rsidR="004E6342" w:rsidRPr="004E6342">
        <w:rPr>
          <w:rFonts w:ascii="Times New Roman" w:eastAsia="Calibri" w:hAnsi="Times New Roman"/>
          <w:noProof/>
          <w:spacing w:val="-8"/>
          <w:sz w:val="24"/>
          <w:szCs w:val="24"/>
        </w:rPr>
        <w:t xml:space="preserve"> by multiplying the </w:t>
      </w:r>
      <w:r w:rsidR="003753DB">
        <w:rPr>
          <w:rFonts w:ascii="Times New Roman" w:eastAsia="Calibri" w:hAnsi="Times New Roman"/>
          <w:noProof/>
          <w:spacing w:val="-8"/>
          <w:sz w:val="24"/>
          <w:szCs w:val="24"/>
        </w:rPr>
        <w:t>average one-off</w:t>
      </w:r>
      <w:r w:rsidR="004E6342" w:rsidRPr="004E6342">
        <w:rPr>
          <w:rFonts w:ascii="Times New Roman" w:eastAsia="Calibri" w:hAnsi="Times New Roman"/>
          <w:noProof/>
          <w:spacing w:val="-8"/>
          <w:sz w:val="24"/>
          <w:szCs w:val="24"/>
        </w:rPr>
        <w:t xml:space="preserve"> cost by the number of </w:t>
      </w:r>
      <w:r w:rsidR="00A113D3" w:rsidRPr="00A113D3">
        <w:rPr>
          <w:rFonts w:ascii="Times New Roman" w:eastAsia="Calibri" w:hAnsi="Times New Roman"/>
          <w:noProof/>
          <w:spacing w:val="-8"/>
          <w:sz w:val="24"/>
          <w:szCs w:val="24"/>
        </w:rPr>
        <w:t>indispensable RU platforms</w:t>
      </w:r>
      <w:r w:rsidR="004E6342" w:rsidRPr="004E6342">
        <w:rPr>
          <w:rFonts w:ascii="Times New Roman" w:eastAsia="Calibri" w:hAnsi="Times New Roman"/>
          <w:noProof/>
          <w:spacing w:val="-8"/>
          <w:sz w:val="24"/>
          <w:szCs w:val="24"/>
        </w:rPr>
        <w:t xml:space="preserve"> (19 in total). Costs are </w:t>
      </w:r>
      <w:r w:rsidR="00412B7B">
        <w:rPr>
          <w:rFonts w:ascii="Times New Roman" w:eastAsia="Calibri" w:hAnsi="Times New Roman"/>
          <w:noProof/>
          <w:spacing w:val="-8"/>
          <w:sz w:val="24"/>
          <w:szCs w:val="24"/>
        </w:rPr>
        <w:t>accounted</w:t>
      </w:r>
      <w:r w:rsidR="004E6342" w:rsidRPr="004E6342">
        <w:rPr>
          <w:rFonts w:ascii="Times New Roman" w:eastAsia="Calibri" w:hAnsi="Times New Roman"/>
          <w:noProof/>
          <w:spacing w:val="-8"/>
          <w:sz w:val="24"/>
          <w:szCs w:val="24"/>
        </w:rPr>
        <w:t xml:space="preserve"> over the first three years of implementation (2028-2030</w:t>
      </w:r>
      <w:r w:rsidR="004E6342" w:rsidRPr="007E4BCA">
        <w:rPr>
          <w:rFonts w:ascii="Times New Roman" w:eastAsia="Calibri" w:hAnsi="Times New Roman"/>
          <w:noProof/>
          <w:spacing w:val="-8"/>
          <w:sz w:val="24"/>
          <w:szCs w:val="24"/>
        </w:rPr>
        <w:t>).</w:t>
      </w:r>
      <w:r w:rsidR="004E6342" w:rsidRPr="004E6342">
        <w:rPr>
          <w:rFonts w:ascii="Times New Roman" w:eastAsia="Calibri" w:hAnsi="Times New Roman"/>
          <w:noProof/>
          <w:spacing w:val="-8"/>
          <w:sz w:val="24"/>
          <w:szCs w:val="24"/>
        </w:rPr>
        <w:t xml:space="preserve"> </w:t>
      </w:r>
    </w:p>
    <w:p w14:paraId="1A54C6F1" w14:textId="0A895990" w:rsidR="00C66975" w:rsidRPr="00C24D74" w:rsidRDefault="00C66975" w:rsidP="00C66975">
      <w:pPr>
        <w:pStyle w:val="Text4"/>
        <w:ind w:left="0"/>
        <w:rPr>
          <w:rFonts w:ascii="Times New Roman" w:eastAsia="Calibri" w:hAnsi="Times New Roman"/>
          <w:noProof/>
          <w:spacing w:val="-8"/>
          <w:sz w:val="24"/>
          <w:szCs w:val="24"/>
        </w:rPr>
      </w:pPr>
      <w:r w:rsidRPr="00C24D74">
        <w:rPr>
          <w:rFonts w:ascii="Times New Roman" w:eastAsia="Calibri" w:hAnsi="Times New Roman"/>
          <w:noProof/>
          <w:spacing w:val="-8"/>
          <w:sz w:val="24"/>
          <w:szCs w:val="24"/>
        </w:rPr>
        <w:t>The one-off a</w:t>
      </w:r>
      <w:r w:rsidR="00E35B29">
        <w:rPr>
          <w:rFonts w:ascii="Times New Roman" w:eastAsia="Calibri" w:hAnsi="Times New Roman"/>
          <w:noProof/>
          <w:spacing w:val="-8"/>
          <w:sz w:val="24"/>
          <w:szCs w:val="24"/>
        </w:rPr>
        <w:t>djustment</w:t>
      </w:r>
      <w:r w:rsidRPr="00C24D74">
        <w:rPr>
          <w:rFonts w:ascii="Times New Roman" w:eastAsia="Calibri" w:hAnsi="Times New Roman"/>
          <w:noProof/>
          <w:spacing w:val="-8"/>
          <w:sz w:val="24"/>
          <w:szCs w:val="24"/>
        </w:rPr>
        <w:t xml:space="preserve"> costs for </w:t>
      </w:r>
      <w:r w:rsidR="00A113D3" w:rsidRPr="00A113D3">
        <w:rPr>
          <w:rFonts w:ascii="Times New Roman" w:eastAsia="Calibri" w:hAnsi="Times New Roman"/>
          <w:noProof/>
          <w:spacing w:val="-8"/>
          <w:sz w:val="24"/>
          <w:szCs w:val="24"/>
        </w:rPr>
        <w:t>indispensable RU platforms</w:t>
      </w:r>
      <w:r w:rsidRPr="00C24D74">
        <w:rPr>
          <w:rFonts w:ascii="Times New Roman" w:eastAsia="Calibri" w:hAnsi="Times New Roman"/>
          <w:noProof/>
          <w:spacing w:val="-8"/>
          <w:sz w:val="24"/>
          <w:szCs w:val="24"/>
        </w:rPr>
        <w:t xml:space="preserve"> </w:t>
      </w:r>
      <w:r w:rsidRPr="007E4BCA">
        <w:rPr>
          <w:rFonts w:ascii="Times New Roman" w:eastAsia="Calibri" w:hAnsi="Times New Roman"/>
          <w:noProof/>
          <w:spacing w:val="-8"/>
          <w:sz w:val="24"/>
          <w:szCs w:val="24"/>
        </w:rPr>
        <w:t xml:space="preserve">in 2028 </w:t>
      </w:r>
      <w:r w:rsidR="009550D7" w:rsidRPr="007E4BCA">
        <w:rPr>
          <w:rFonts w:ascii="Times New Roman" w:eastAsia="Calibri" w:hAnsi="Times New Roman"/>
          <w:noProof/>
          <w:spacing w:val="-8"/>
          <w:sz w:val="24"/>
          <w:szCs w:val="24"/>
        </w:rPr>
        <w:t>and 2030</w:t>
      </w:r>
      <w:r w:rsidRPr="007E4BCA">
        <w:rPr>
          <w:rFonts w:ascii="Times New Roman" w:eastAsia="Calibri" w:hAnsi="Times New Roman"/>
          <w:noProof/>
          <w:spacing w:val="-8"/>
          <w:sz w:val="24"/>
          <w:szCs w:val="24"/>
        </w:rPr>
        <w:t xml:space="preserve"> in </w:t>
      </w:r>
      <w:r w:rsidR="004A37C5" w:rsidRPr="007E4BCA">
        <w:rPr>
          <w:rFonts w:ascii="Times New Roman" w:eastAsia="Calibri" w:hAnsi="Times New Roman"/>
          <w:noProof/>
          <w:spacing w:val="-8"/>
          <w:sz w:val="24"/>
          <w:szCs w:val="24"/>
        </w:rPr>
        <w:t>PO</w:t>
      </w:r>
      <w:r w:rsidR="00466543" w:rsidRPr="007E4BCA">
        <w:rPr>
          <w:rFonts w:ascii="Times New Roman" w:eastAsia="Calibri" w:hAnsi="Times New Roman"/>
          <w:noProof/>
          <w:spacing w:val="-8"/>
          <w:sz w:val="24"/>
          <w:szCs w:val="24"/>
        </w:rPr>
        <w:t>4</w:t>
      </w:r>
      <w:r w:rsidRPr="007E4BCA">
        <w:rPr>
          <w:rFonts w:ascii="Times New Roman" w:eastAsia="Calibri" w:hAnsi="Times New Roman"/>
          <w:noProof/>
          <w:spacing w:val="-8"/>
          <w:sz w:val="24"/>
          <w:szCs w:val="24"/>
        </w:rPr>
        <w:t xml:space="preserve"> are provided in the table below.</w:t>
      </w:r>
      <w:r w:rsidRPr="00C24D74">
        <w:rPr>
          <w:rFonts w:ascii="Times New Roman" w:eastAsia="Calibri" w:hAnsi="Times New Roman"/>
          <w:noProof/>
          <w:spacing w:val="-8"/>
          <w:sz w:val="24"/>
          <w:szCs w:val="24"/>
        </w:rPr>
        <w:t xml:space="preserve"> </w:t>
      </w:r>
    </w:p>
    <w:p w14:paraId="4160D727" w14:textId="4201C3FB" w:rsidR="00C66975" w:rsidRPr="003540F6" w:rsidRDefault="00C66975" w:rsidP="00C66975">
      <w:pPr>
        <w:tabs>
          <w:tab w:val="left" w:pos="1134"/>
        </w:tabs>
        <w:jc w:val="both"/>
        <w:rPr>
          <w:i/>
          <w:noProof/>
          <w:sz w:val="22"/>
          <w:szCs w:val="22"/>
        </w:rPr>
      </w:pPr>
      <w:r w:rsidRPr="003540F6">
        <w:rPr>
          <w:i/>
          <w:noProof/>
          <w:sz w:val="22"/>
          <w:szCs w:val="22"/>
        </w:rPr>
        <w:t xml:space="preserve">Table </w:t>
      </w:r>
      <w:r w:rsidR="009550D7" w:rsidRPr="003540F6">
        <w:rPr>
          <w:i/>
          <w:noProof/>
          <w:sz w:val="22"/>
          <w:szCs w:val="22"/>
        </w:rPr>
        <w:fldChar w:fldCharType="begin"/>
      </w:r>
      <w:r w:rsidR="009550D7" w:rsidRPr="003540F6">
        <w:rPr>
          <w:i/>
          <w:noProof/>
          <w:sz w:val="22"/>
          <w:szCs w:val="22"/>
        </w:rPr>
        <w:instrText xml:space="preserve"> SEQ Table \* ARABIC </w:instrText>
      </w:r>
      <w:r w:rsidR="009550D7" w:rsidRPr="003540F6">
        <w:rPr>
          <w:i/>
          <w:noProof/>
          <w:sz w:val="22"/>
          <w:szCs w:val="22"/>
        </w:rPr>
        <w:fldChar w:fldCharType="separate"/>
      </w:r>
      <w:r w:rsidR="0055391F">
        <w:rPr>
          <w:i/>
          <w:noProof/>
          <w:sz w:val="22"/>
          <w:szCs w:val="22"/>
        </w:rPr>
        <w:t>118</w:t>
      </w:r>
      <w:r w:rsidR="009550D7" w:rsidRPr="003540F6">
        <w:rPr>
          <w:i/>
          <w:noProof/>
          <w:sz w:val="22"/>
          <w:szCs w:val="22"/>
        </w:rPr>
        <w:fldChar w:fldCharType="end"/>
      </w:r>
      <w:r w:rsidR="009550D7" w:rsidRPr="003540F6">
        <w:rPr>
          <w:i/>
          <w:noProof/>
          <w:sz w:val="22"/>
          <w:szCs w:val="22"/>
        </w:rPr>
        <w:t>:</w:t>
      </w:r>
      <w:r w:rsidRPr="003540F6">
        <w:rPr>
          <w:i/>
          <w:noProof/>
          <w:sz w:val="22"/>
          <w:szCs w:val="22"/>
        </w:rPr>
        <w:t xml:space="preserve"> One-off </w:t>
      </w:r>
      <w:r w:rsidR="00A95E8A" w:rsidRPr="003540F6">
        <w:rPr>
          <w:i/>
          <w:noProof/>
          <w:sz w:val="22"/>
          <w:szCs w:val="22"/>
        </w:rPr>
        <w:t>adjustment</w:t>
      </w:r>
      <w:r w:rsidRPr="003540F6">
        <w:rPr>
          <w:i/>
          <w:noProof/>
          <w:sz w:val="22"/>
          <w:szCs w:val="22"/>
        </w:rPr>
        <w:t xml:space="preserve"> costs for </w:t>
      </w:r>
      <w:r w:rsidR="00E87774" w:rsidRPr="003540F6">
        <w:rPr>
          <w:i/>
          <w:noProof/>
          <w:sz w:val="22"/>
          <w:szCs w:val="22"/>
        </w:rPr>
        <w:t>indispensable RU platforms</w:t>
      </w:r>
      <w:r w:rsidRPr="003540F6">
        <w:rPr>
          <w:i/>
          <w:noProof/>
          <w:sz w:val="22"/>
          <w:szCs w:val="22"/>
        </w:rPr>
        <w:t xml:space="preserve"> due to PM1</w:t>
      </w:r>
      <w:r w:rsidR="00994F6D" w:rsidRPr="003540F6">
        <w:rPr>
          <w:i/>
          <w:noProof/>
          <w:sz w:val="22"/>
          <w:szCs w:val="22"/>
        </w:rPr>
        <w:t>5</w:t>
      </w:r>
      <w:r w:rsidRPr="003540F6">
        <w:rPr>
          <w:i/>
          <w:noProof/>
          <w:sz w:val="22"/>
          <w:szCs w:val="22"/>
        </w:rPr>
        <w:t xml:space="preserve"> in </w:t>
      </w:r>
      <w:r w:rsidR="00146D2A" w:rsidRPr="003540F6">
        <w:rPr>
          <w:i/>
          <w:noProof/>
          <w:sz w:val="22"/>
          <w:szCs w:val="22"/>
        </w:rPr>
        <w:t>PO4</w:t>
      </w:r>
      <w:r w:rsidRPr="003540F6">
        <w:rPr>
          <w:i/>
          <w:noProof/>
          <w:sz w:val="22"/>
          <w:szCs w:val="22"/>
        </w:rPr>
        <w:t xml:space="preserve"> in 2028, 2030, 2040 and 2050 relative to the baseline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7"/>
        <w:gridCol w:w="759"/>
        <w:gridCol w:w="1011"/>
        <w:gridCol w:w="758"/>
        <w:gridCol w:w="758"/>
      </w:tblGrid>
      <w:tr w:rsidR="009E163A" w:rsidRPr="00E609F5" w14:paraId="28C4E573" w14:textId="77777777" w:rsidTr="0096644B">
        <w:trPr>
          <w:trHeight w:val="20"/>
          <w:tblHeader/>
        </w:trPr>
        <w:tc>
          <w:tcPr>
            <w:tcW w:w="5375" w:type="dxa"/>
            <w:shd w:val="clear" w:color="auto" w:fill="0070C0"/>
            <w:noWrap/>
            <w:hideMark/>
          </w:tcPr>
          <w:p w14:paraId="3B2AD793" w14:textId="77777777" w:rsidR="00C66975" w:rsidRPr="003540F6" w:rsidRDefault="00C66975">
            <w:pPr>
              <w:jc w:val="center"/>
              <w:rPr>
                <w:b/>
                <w:noProof/>
                <w:color w:val="FFFFFF"/>
                <w:sz w:val="20"/>
                <w:szCs w:val="20"/>
              </w:rPr>
            </w:pPr>
            <w:r w:rsidRPr="003540F6">
              <w:rPr>
                <w:b/>
                <w:noProof/>
                <w:color w:val="FFFFFF"/>
                <w:sz w:val="20"/>
                <w:szCs w:val="20"/>
              </w:rPr>
              <w:t> </w:t>
            </w:r>
          </w:p>
        </w:tc>
        <w:tc>
          <w:tcPr>
            <w:tcW w:w="646" w:type="dxa"/>
            <w:shd w:val="clear" w:color="auto" w:fill="0070C0"/>
            <w:noWrap/>
            <w:hideMark/>
          </w:tcPr>
          <w:p w14:paraId="759CE529" w14:textId="77777777" w:rsidR="00C66975" w:rsidRPr="003540F6" w:rsidRDefault="00C66975">
            <w:pPr>
              <w:jc w:val="center"/>
              <w:rPr>
                <w:b/>
                <w:noProof/>
                <w:color w:val="FFFFFF"/>
                <w:sz w:val="20"/>
                <w:szCs w:val="20"/>
              </w:rPr>
            </w:pPr>
            <w:r w:rsidRPr="003540F6">
              <w:rPr>
                <w:b/>
                <w:noProof/>
                <w:color w:val="FFFFFF"/>
                <w:sz w:val="20"/>
                <w:szCs w:val="20"/>
              </w:rPr>
              <w:t>2028</w:t>
            </w:r>
          </w:p>
        </w:tc>
        <w:tc>
          <w:tcPr>
            <w:tcW w:w="860" w:type="dxa"/>
            <w:shd w:val="clear" w:color="auto" w:fill="0070C0"/>
            <w:noWrap/>
            <w:hideMark/>
          </w:tcPr>
          <w:p w14:paraId="1F105008" w14:textId="77777777" w:rsidR="00C66975" w:rsidRPr="003540F6" w:rsidRDefault="00C66975">
            <w:pPr>
              <w:jc w:val="center"/>
              <w:rPr>
                <w:b/>
                <w:noProof/>
                <w:color w:val="FFFFFF"/>
                <w:sz w:val="20"/>
                <w:szCs w:val="20"/>
              </w:rPr>
            </w:pPr>
            <w:r w:rsidRPr="003540F6">
              <w:rPr>
                <w:b/>
                <w:noProof/>
                <w:color w:val="FFFFFF"/>
                <w:sz w:val="20"/>
                <w:szCs w:val="20"/>
              </w:rPr>
              <w:t>2030</w:t>
            </w:r>
          </w:p>
        </w:tc>
        <w:tc>
          <w:tcPr>
            <w:tcW w:w="645" w:type="dxa"/>
            <w:shd w:val="clear" w:color="auto" w:fill="0070C0"/>
            <w:noWrap/>
            <w:hideMark/>
          </w:tcPr>
          <w:p w14:paraId="4FDAF961" w14:textId="77777777" w:rsidR="00C66975" w:rsidRPr="003540F6" w:rsidRDefault="00C66975">
            <w:pPr>
              <w:jc w:val="center"/>
              <w:rPr>
                <w:b/>
                <w:noProof/>
                <w:color w:val="FFFFFF"/>
                <w:sz w:val="20"/>
                <w:szCs w:val="20"/>
              </w:rPr>
            </w:pPr>
            <w:r w:rsidRPr="003540F6">
              <w:rPr>
                <w:b/>
                <w:noProof/>
                <w:color w:val="FFFFFF"/>
                <w:sz w:val="20"/>
                <w:szCs w:val="20"/>
              </w:rPr>
              <w:t>2040</w:t>
            </w:r>
          </w:p>
        </w:tc>
        <w:tc>
          <w:tcPr>
            <w:tcW w:w="645" w:type="dxa"/>
            <w:shd w:val="clear" w:color="auto" w:fill="0070C0"/>
            <w:noWrap/>
            <w:hideMark/>
          </w:tcPr>
          <w:p w14:paraId="1E9DDA1A" w14:textId="77777777" w:rsidR="00C66975" w:rsidRPr="003540F6" w:rsidRDefault="00C66975">
            <w:pPr>
              <w:jc w:val="center"/>
              <w:rPr>
                <w:b/>
                <w:noProof/>
                <w:color w:val="FFFFFF"/>
                <w:sz w:val="20"/>
                <w:szCs w:val="20"/>
              </w:rPr>
            </w:pPr>
            <w:r w:rsidRPr="003540F6">
              <w:rPr>
                <w:b/>
                <w:noProof/>
                <w:color w:val="FFFFFF"/>
                <w:sz w:val="20"/>
                <w:szCs w:val="20"/>
              </w:rPr>
              <w:t>2050</w:t>
            </w:r>
          </w:p>
        </w:tc>
      </w:tr>
      <w:tr w:rsidR="00C66975" w:rsidRPr="00E609F5" w14:paraId="3B384FF9" w14:textId="77777777" w:rsidTr="00303050">
        <w:trPr>
          <w:trHeight w:val="20"/>
        </w:trPr>
        <w:tc>
          <w:tcPr>
            <w:tcW w:w="5375" w:type="dxa"/>
            <w:noWrap/>
            <w:hideMark/>
          </w:tcPr>
          <w:p w14:paraId="24A323A0" w14:textId="1C058C09" w:rsidR="00C66975" w:rsidRPr="003540F6" w:rsidRDefault="00C66975">
            <w:pPr>
              <w:rPr>
                <w:noProof/>
                <w:sz w:val="20"/>
                <w:szCs w:val="20"/>
              </w:rPr>
            </w:pPr>
            <w:r w:rsidRPr="003540F6">
              <w:rPr>
                <w:noProof/>
                <w:sz w:val="20"/>
                <w:szCs w:val="20"/>
              </w:rPr>
              <w:t xml:space="preserve">One-off costs per </w:t>
            </w:r>
            <w:r w:rsidR="009B1380" w:rsidRPr="003540F6">
              <w:rPr>
                <w:noProof/>
                <w:sz w:val="20"/>
                <w:szCs w:val="20"/>
              </w:rPr>
              <w:t xml:space="preserve">indispensable </w:t>
            </w:r>
            <w:r w:rsidR="008A1C56" w:rsidRPr="003540F6">
              <w:rPr>
                <w:noProof/>
                <w:sz w:val="20"/>
                <w:szCs w:val="20"/>
              </w:rPr>
              <w:t xml:space="preserve">RU </w:t>
            </w:r>
            <w:r w:rsidR="009B1380" w:rsidRPr="003540F6">
              <w:rPr>
                <w:noProof/>
                <w:sz w:val="20"/>
                <w:szCs w:val="20"/>
              </w:rPr>
              <w:t>platform</w:t>
            </w:r>
            <w:r w:rsidRPr="003540F6">
              <w:rPr>
                <w:noProof/>
                <w:sz w:val="20"/>
                <w:szCs w:val="20"/>
              </w:rPr>
              <w:t xml:space="preserve"> (</w:t>
            </w:r>
            <w:r w:rsidR="00DD6EAD" w:rsidRPr="003540F6">
              <w:rPr>
                <w:noProof/>
                <w:sz w:val="20"/>
                <w:szCs w:val="20"/>
              </w:rPr>
              <w:t xml:space="preserve">million </w:t>
            </w:r>
            <w:r w:rsidRPr="003540F6">
              <w:rPr>
                <w:noProof/>
                <w:sz w:val="20"/>
                <w:szCs w:val="20"/>
              </w:rPr>
              <w:t xml:space="preserve">EUR) </w:t>
            </w:r>
          </w:p>
        </w:tc>
        <w:tc>
          <w:tcPr>
            <w:tcW w:w="646" w:type="dxa"/>
            <w:noWrap/>
            <w:hideMark/>
          </w:tcPr>
          <w:p w14:paraId="219A8978" w14:textId="033B6C51" w:rsidR="00C66975" w:rsidRPr="003540F6" w:rsidRDefault="00C43E64">
            <w:pPr>
              <w:jc w:val="right"/>
              <w:rPr>
                <w:noProof/>
                <w:sz w:val="20"/>
                <w:szCs w:val="20"/>
              </w:rPr>
            </w:pPr>
            <w:r w:rsidRPr="003540F6">
              <w:rPr>
                <w:noProof/>
                <w:sz w:val="20"/>
                <w:szCs w:val="20"/>
              </w:rPr>
              <w:t>8</w:t>
            </w:r>
            <w:r w:rsidR="00CC4B72" w:rsidRPr="003540F6">
              <w:rPr>
                <w:noProof/>
                <w:sz w:val="20"/>
                <w:szCs w:val="20"/>
              </w:rPr>
              <w:t>.</w:t>
            </w:r>
            <w:r w:rsidR="00FD6F1F" w:rsidRPr="003540F6">
              <w:rPr>
                <w:noProof/>
                <w:sz w:val="20"/>
                <w:szCs w:val="20"/>
              </w:rPr>
              <w:t>5</w:t>
            </w:r>
          </w:p>
        </w:tc>
        <w:tc>
          <w:tcPr>
            <w:tcW w:w="860" w:type="dxa"/>
            <w:noWrap/>
            <w:hideMark/>
          </w:tcPr>
          <w:p w14:paraId="409879FD" w14:textId="3782096F" w:rsidR="00C66975" w:rsidRPr="003540F6" w:rsidRDefault="00CC4B72" w:rsidP="00B2040D">
            <w:pPr>
              <w:jc w:val="right"/>
              <w:rPr>
                <w:noProof/>
                <w:sz w:val="20"/>
                <w:szCs w:val="20"/>
              </w:rPr>
            </w:pPr>
            <w:r w:rsidRPr="003540F6">
              <w:rPr>
                <w:noProof/>
                <w:sz w:val="20"/>
                <w:szCs w:val="20"/>
              </w:rPr>
              <w:t>8.5</w:t>
            </w:r>
          </w:p>
        </w:tc>
        <w:tc>
          <w:tcPr>
            <w:tcW w:w="645" w:type="dxa"/>
            <w:noWrap/>
            <w:hideMark/>
          </w:tcPr>
          <w:p w14:paraId="348CBDFF" w14:textId="77777777" w:rsidR="00C66975" w:rsidRPr="003540F6" w:rsidRDefault="00C66975">
            <w:pPr>
              <w:rPr>
                <w:noProof/>
                <w:sz w:val="20"/>
                <w:szCs w:val="20"/>
              </w:rPr>
            </w:pPr>
          </w:p>
        </w:tc>
        <w:tc>
          <w:tcPr>
            <w:tcW w:w="645" w:type="dxa"/>
            <w:noWrap/>
            <w:hideMark/>
          </w:tcPr>
          <w:p w14:paraId="1661A65F" w14:textId="77777777" w:rsidR="00C66975" w:rsidRPr="003540F6" w:rsidRDefault="00C66975">
            <w:pPr>
              <w:rPr>
                <w:noProof/>
                <w:sz w:val="20"/>
                <w:szCs w:val="20"/>
              </w:rPr>
            </w:pPr>
          </w:p>
        </w:tc>
      </w:tr>
      <w:tr w:rsidR="00C66975" w:rsidRPr="00E609F5" w14:paraId="4C2964FC" w14:textId="77777777" w:rsidTr="00303050">
        <w:trPr>
          <w:trHeight w:val="20"/>
        </w:trPr>
        <w:tc>
          <w:tcPr>
            <w:tcW w:w="5375" w:type="dxa"/>
            <w:noWrap/>
            <w:hideMark/>
          </w:tcPr>
          <w:p w14:paraId="7A60C58A" w14:textId="3012B00B" w:rsidR="00C66975" w:rsidRPr="003540F6" w:rsidRDefault="00C66975">
            <w:pPr>
              <w:rPr>
                <w:b/>
                <w:noProof/>
                <w:sz w:val="20"/>
                <w:szCs w:val="20"/>
              </w:rPr>
            </w:pPr>
            <w:r w:rsidRPr="003540F6">
              <w:rPr>
                <w:b/>
                <w:noProof/>
                <w:sz w:val="20"/>
                <w:szCs w:val="20"/>
              </w:rPr>
              <w:t>PO</w:t>
            </w:r>
            <w:r w:rsidR="00C43E64" w:rsidRPr="003540F6">
              <w:rPr>
                <w:b/>
                <w:noProof/>
                <w:sz w:val="20"/>
                <w:szCs w:val="20"/>
              </w:rPr>
              <w:t>4</w:t>
            </w:r>
          </w:p>
        </w:tc>
        <w:tc>
          <w:tcPr>
            <w:tcW w:w="646" w:type="dxa"/>
            <w:noWrap/>
            <w:hideMark/>
          </w:tcPr>
          <w:p w14:paraId="6D874746" w14:textId="77777777" w:rsidR="00C66975" w:rsidRPr="003540F6" w:rsidRDefault="00C66975">
            <w:pPr>
              <w:rPr>
                <w:noProof/>
                <w:sz w:val="20"/>
                <w:szCs w:val="20"/>
              </w:rPr>
            </w:pPr>
          </w:p>
        </w:tc>
        <w:tc>
          <w:tcPr>
            <w:tcW w:w="860" w:type="dxa"/>
            <w:noWrap/>
            <w:hideMark/>
          </w:tcPr>
          <w:p w14:paraId="79C64A47" w14:textId="77777777" w:rsidR="00C66975" w:rsidRPr="003540F6" w:rsidRDefault="00C66975">
            <w:pPr>
              <w:rPr>
                <w:noProof/>
                <w:sz w:val="20"/>
                <w:szCs w:val="20"/>
              </w:rPr>
            </w:pPr>
          </w:p>
        </w:tc>
        <w:tc>
          <w:tcPr>
            <w:tcW w:w="645" w:type="dxa"/>
            <w:noWrap/>
            <w:hideMark/>
          </w:tcPr>
          <w:p w14:paraId="471C7DC1" w14:textId="77777777" w:rsidR="00C66975" w:rsidRPr="003540F6" w:rsidRDefault="00C66975">
            <w:pPr>
              <w:rPr>
                <w:noProof/>
                <w:sz w:val="20"/>
                <w:szCs w:val="20"/>
              </w:rPr>
            </w:pPr>
            <w:r w:rsidRPr="003540F6">
              <w:rPr>
                <w:noProof/>
                <w:sz w:val="20"/>
                <w:szCs w:val="20"/>
              </w:rPr>
              <w:t> </w:t>
            </w:r>
          </w:p>
        </w:tc>
        <w:tc>
          <w:tcPr>
            <w:tcW w:w="645" w:type="dxa"/>
            <w:noWrap/>
            <w:hideMark/>
          </w:tcPr>
          <w:p w14:paraId="2B11279C" w14:textId="77777777" w:rsidR="00C66975" w:rsidRPr="003540F6" w:rsidRDefault="00C66975">
            <w:pPr>
              <w:rPr>
                <w:noProof/>
                <w:sz w:val="20"/>
                <w:szCs w:val="20"/>
              </w:rPr>
            </w:pPr>
            <w:r w:rsidRPr="003540F6">
              <w:rPr>
                <w:noProof/>
                <w:sz w:val="20"/>
                <w:szCs w:val="20"/>
              </w:rPr>
              <w:t> </w:t>
            </w:r>
          </w:p>
        </w:tc>
      </w:tr>
      <w:tr w:rsidR="00C66975" w:rsidRPr="00E609F5" w14:paraId="76B52B40" w14:textId="77777777" w:rsidTr="00303050">
        <w:trPr>
          <w:trHeight w:val="20"/>
        </w:trPr>
        <w:tc>
          <w:tcPr>
            <w:tcW w:w="5375" w:type="dxa"/>
            <w:noWrap/>
            <w:hideMark/>
          </w:tcPr>
          <w:p w14:paraId="6B14052A" w14:textId="7BC76249" w:rsidR="00C66975" w:rsidRPr="003540F6" w:rsidRDefault="00C66975">
            <w:pPr>
              <w:rPr>
                <w:noProof/>
                <w:sz w:val="20"/>
                <w:szCs w:val="20"/>
              </w:rPr>
            </w:pPr>
            <w:r w:rsidRPr="003540F6">
              <w:rPr>
                <w:noProof/>
                <w:sz w:val="20"/>
                <w:szCs w:val="20"/>
              </w:rPr>
              <w:t xml:space="preserve">Number of </w:t>
            </w:r>
            <w:r w:rsidR="00E87774" w:rsidRPr="003540F6">
              <w:rPr>
                <w:noProof/>
                <w:sz w:val="20"/>
                <w:szCs w:val="20"/>
              </w:rPr>
              <w:t xml:space="preserve">indispensable </w:t>
            </w:r>
            <w:r w:rsidR="00C43E64" w:rsidRPr="003540F6">
              <w:rPr>
                <w:noProof/>
                <w:sz w:val="20"/>
                <w:szCs w:val="20"/>
              </w:rPr>
              <w:t xml:space="preserve">RU </w:t>
            </w:r>
            <w:r w:rsidR="00E87774" w:rsidRPr="003540F6">
              <w:rPr>
                <w:noProof/>
                <w:sz w:val="20"/>
                <w:szCs w:val="20"/>
              </w:rPr>
              <w:t>platforms</w:t>
            </w:r>
            <w:r w:rsidRPr="003540F6">
              <w:rPr>
                <w:noProof/>
                <w:sz w:val="20"/>
                <w:szCs w:val="20"/>
              </w:rPr>
              <w:t xml:space="preserve"> that incur one-off costs due to PM1</w:t>
            </w:r>
            <w:r w:rsidR="00E87774" w:rsidRPr="003540F6">
              <w:rPr>
                <w:noProof/>
                <w:sz w:val="20"/>
                <w:szCs w:val="20"/>
              </w:rPr>
              <w:t>5</w:t>
            </w:r>
            <w:r w:rsidRPr="003540F6">
              <w:rPr>
                <w:noProof/>
                <w:sz w:val="20"/>
                <w:szCs w:val="20"/>
              </w:rPr>
              <w:t xml:space="preserve"> </w:t>
            </w:r>
          </w:p>
        </w:tc>
        <w:tc>
          <w:tcPr>
            <w:tcW w:w="646" w:type="dxa"/>
            <w:noWrap/>
            <w:hideMark/>
          </w:tcPr>
          <w:p w14:paraId="7A17127E" w14:textId="19F3C312" w:rsidR="00C66975" w:rsidRPr="003540F6" w:rsidRDefault="00E87774">
            <w:pPr>
              <w:jc w:val="right"/>
              <w:rPr>
                <w:noProof/>
                <w:sz w:val="20"/>
                <w:szCs w:val="20"/>
              </w:rPr>
            </w:pPr>
            <w:r w:rsidRPr="003540F6">
              <w:rPr>
                <w:noProof/>
                <w:sz w:val="20"/>
                <w:szCs w:val="20"/>
              </w:rPr>
              <w:t>19</w:t>
            </w:r>
          </w:p>
        </w:tc>
        <w:tc>
          <w:tcPr>
            <w:tcW w:w="860" w:type="dxa"/>
            <w:noWrap/>
            <w:hideMark/>
          </w:tcPr>
          <w:p w14:paraId="622D5DE3" w14:textId="19B721BD" w:rsidR="00C66975" w:rsidRPr="003540F6" w:rsidRDefault="00CC4B72">
            <w:pPr>
              <w:jc w:val="right"/>
              <w:rPr>
                <w:noProof/>
                <w:sz w:val="20"/>
                <w:szCs w:val="20"/>
              </w:rPr>
            </w:pPr>
            <w:r w:rsidRPr="003540F6">
              <w:rPr>
                <w:noProof/>
                <w:sz w:val="20"/>
                <w:szCs w:val="20"/>
              </w:rPr>
              <w:t>19</w:t>
            </w:r>
          </w:p>
        </w:tc>
        <w:tc>
          <w:tcPr>
            <w:tcW w:w="645" w:type="dxa"/>
            <w:noWrap/>
            <w:hideMark/>
          </w:tcPr>
          <w:p w14:paraId="0177BFE2" w14:textId="77777777" w:rsidR="00C66975" w:rsidRPr="003540F6" w:rsidRDefault="00C66975">
            <w:pPr>
              <w:jc w:val="right"/>
              <w:rPr>
                <w:noProof/>
                <w:sz w:val="20"/>
                <w:szCs w:val="20"/>
              </w:rPr>
            </w:pPr>
            <w:r w:rsidRPr="003540F6">
              <w:rPr>
                <w:noProof/>
                <w:sz w:val="20"/>
                <w:szCs w:val="20"/>
              </w:rPr>
              <w:t>0</w:t>
            </w:r>
          </w:p>
        </w:tc>
        <w:tc>
          <w:tcPr>
            <w:tcW w:w="645" w:type="dxa"/>
            <w:noWrap/>
            <w:hideMark/>
          </w:tcPr>
          <w:p w14:paraId="6A090296" w14:textId="77777777" w:rsidR="00C66975" w:rsidRPr="003540F6" w:rsidRDefault="00C66975">
            <w:pPr>
              <w:jc w:val="right"/>
              <w:rPr>
                <w:noProof/>
                <w:sz w:val="20"/>
                <w:szCs w:val="20"/>
              </w:rPr>
            </w:pPr>
            <w:r w:rsidRPr="003540F6">
              <w:rPr>
                <w:noProof/>
                <w:sz w:val="20"/>
                <w:szCs w:val="20"/>
              </w:rPr>
              <w:t>0</w:t>
            </w:r>
          </w:p>
        </w:tc>
      </w:tr>
      <w:tr w:rsidR="00C66975" w:rsidRPr="00E609F5" w14:paraId="6E580E38" w14:textId="77777777" w:rsidTr="00303050">
        <w:trPr>
          <w:trHeight w:val="20"/>
        </w:trPr>
        <w:tc>
          <w:tcPr>
            <w:tcW w:w="5375" w:type="dxa"/>
            <w:noWrap/>
            <w:hideMark/>
          </w:tcPr>
          <w:p w14:paraId="1F493E19" w14:textId="12492438" w:rsidR="00C66975" w:rsidRPr="003540F6" w:rsidRDefault="00C66975">
            <w:pPr>
              <w:rPr>
                <w:noProof/>
                <w:sz w:val="20"/>
                <w:szCs w:val="20"/>
              </w:rPr>
            </w:pPr>
            <w:r w:rsidRPr="003540F6">
              <w:rPr>
                <w:noProof/>
                <w:sz w:val="20"/>
                <w:szCs w:val="20"/>
              </w:rPr>
              <w:t xml:space="preserve">Total one-off </w:t>
            </w:r>
            <w:r w:rsidR="00370956" w:rsidRPr="003540F6">
              <w:rPr>
                <w:noProof/>
                <w:sz w:val="20"/>
                <w:szCs w:val="20"/>
              </w:rPr>
              <w:t>adjustment</w:t>
            </w:r>
            <w:r w:rsidRPr="003540F6">
              <w:rPr>
                <w:noProof/>
                <w:sz w:val="20"/>
                <w:szCs w:val="20"/>
              </w:rPr>
              <w:t xml:space="preserve"> costs (million EUR)</w:t>
            </w:r>
          </w:p>
        </w:tc>
        <w:tc>
          <w:tcPr>
            <w:tcW w:w="646" w:type="dxa"/>
            <w:noWrap/>
            <w:hideMark/>
          </w:tcPr>
          <w:p w14:paraId="57E004B2" w14:textId="63ED5C3E" w:rsidR="00C66975" w:rsidRPr="003540F6" w:rsidRDefault="00370956">
            <w:pPr>
              <w:jc w:val="right"/>
              <w:rPr>
                <w:noProof/>
                <w:sz w:val="20"/>
                <w:szCs w:val="20"/>
              </w:rPr>
            </w:pPr>
            <w:r w:rsidRPr="003540F6">
              <w:rPr>
                <w:noProof/>
                <w:sz w:val="20"/>
                <w:szCs w:val="20"/>
              </w:rPr>
              <w:t>54.1</w:t>
            </w:r>
          </w:p>
        </w:tc>
        <w:tc>
          <w:tcPr>
            <w:tcW w:w="860" w:type="dxa"/>
            <w:noWrap/>
            <w:hideMark/>
          </w:tcPr>
          <w:p w14:paraId="482102AC" w14:textId="21961FFD" w:rsidR="00C66975" w:rsidRPr="003540F6" w:rsidRDefault="00155F33">
            <w:pPr>
              <w:jc w:val="right"/>
              <w:rPr>
                <w:noProof/>
                <w:sz w:val="20"/>
                <w:szCs w:val="20"/>
              </w:rPr>
            </w:pPr>
            <w:r w:rsidRPr="003540F6">
              <w:rPr>
                <w:noProof/>
                <w:sz w:val="20"/>
                <w:szCs w:val="20"/>
              </w:rPr>
              <w:t>54.1</w:t>
            </w:r>
          </w:p>
        </w:tc>
        <w:tc>
          <w:tcPr>
            <w:tcW w:w="645" w:type="dxa"/>
            <w:noWrap/>
            <w:hideMark/>
          </w:tcPr>
          <w:p w14:paraId="35704A71" w14:textId="77777777" w:rsidR="00C66975" w:rsidRPr="003540F6" w:rsidRDefault="00C66975">
            <w:pPr>
              <w:jc w:val="right"/>
              <w:rPr>
                <w:noProof/>
                <w:sz w:val="20"/>
                <w:szCs w:val="20"/>
              </w:rPr>
            </w:pPr>
            <w:r w:rsidRPr="003540F6">
              <w:rPr>
                <w:noProof/>
                <w:sz w:val="20"/>
                <w:szCs w:val="20"/>
              </w:rPr>
              <w:t>0.0</w:t>
            </w:r>
          </w:p>
        </w:tc>
        <w:tc>
          <w:tcPr>
            <w:tcW w:w="645" w:type="dxa"/>
            <w:noWrap/>
            <w:hideMark/>
          </w:tcPr>
          <w:p w14:paraId="2FE48F3E" w14:textId="77777777" w:rsidR="00C66975" w:rsidRPr="003540F6" w:rsidRDefault="00C66975">
            <w:pPr>
              <w:jc w:val="right"/>
              <w:rPr>
                <w:noProof/>
                <w:sz w:val="20"/>
                <w:szCs w:val="20"/>
              </w:rPr>
            </w:pPr>
            <w:r w:rsidRPr="003540F6">
              <w:rPr>
                <w:noProof/>
                <w:sz w:val="20"/>
                <w:szCs w:val="20"/>
              </w:rPr>
              <w:t>0.0</w:t>
            </w:r>
          </w:p>
        </w:tc>
      </w:tr>
    </w:tbl>
    <w:p w14:paraId="742C5416" w14:textId="3DA6C49C" w:rsidR="00C66975" w:rsidRPr="00D71008" w:rsidRDefault="00C66975" w:rsidP="00C66975">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r w:rsidR="00560712">
        <w:rPr>
          <w:i/>
          <w:iCs/>
          <w:noProof/>
          <w:sz w:val="20"/>
          <w:szCs w:val="20"/>
        </w:rPr>
        <w:t xml:space="preserve">; Note: One-off costs of EUR 54.1 million are </w:t>
      </w:r>
      <w:r w:rsidR="001F33B0">
        <w:rPr>
          <w:i/>
          <w:iCs/>
          <w:noProof/>
          <w:sz w:val="20"/>
          <w:szCs w:val="20"/>
        </w:rPr>
        <w:t xml:space="preserve">also estimated for 2029 although not shown in the table. </w:t>
      </w:r>
    </w:p>
    <w:p w14:paraId="34B36CC0" w14:textId="63A969E2" w:rsidR="00A9380C" w:rsidRPr="008E0916" w:rsidRDefault="00A9380C" w:rsidP="00A9380C">
      <w:pPr>
        <w:pStyle w:val="Text4"/>
        <w:spacing w:before="0" w:after="240"/>
        <w:ind w:left="0"/>
        <w:rPr>
          <w:rFonts w:ascii="Times New Roman" w:eastAsia="Calibri" w:hAnsi="Times New Roman"/>
          <w:noProof/>
          <w:spacing w:val="-8"/>
          <w:sz w:val="24"/>
          <w:szCs w:val="24"/>
        </w:rPr>
      </w:pPr>
      <w:r w:rsidRPr="007670B7">
        <w:rPr>
          <w:rFonts w:ascii="Times New Roman" w:eastAsia="Calibri" w:hAnsi="Times New Roman"/>
          <w:noProof/>
          <w:spacing w:val="-8"/>
          <w:sz w:val="24"/>
          <w:szCs w:val="24"/>
        </w:rPr>
        <w:t>Expressed as present value relative to the baseline, the total one-off adjustment costs due to PM</w:t>
      </w:r>
      <w:r>
        <w:rPr>
          <w:rFonts w:ascii="Times New Roman" w:eastAsia="Calibri" w:hAnsi="Times New Roman"/>
          <w:noProof/>
          <w:spacing w:val="-8"/>
          <w:sz w:val="24"/>
          <w:szCs w:val="24"/>
        </w:rPr>
        <w:t xml:space="preserve">15 </w:t>
      </w:r>
      <w:r w:rsidRPr="007670B7">
        <w:rPr>
          <w:rFonts w:ascii="Times New Roman" w:eastAsia="Calibri" w:hAnsi="Times New Roman"/>
          <w:noProof/>
          <w:spacing w:val="-8"/>
          <w:sz w:val="24"/>
          <w:szCs w:val="24"/>
        </w:rPr>
        <w:t xml:space="preserve">for </w:t>
      </w:r>
      <w:r>
        <w:rPr>
          <w:rFonts w:ascii="Times New Roman" w:eastAsia="Calibri" w:hAnsi="Times New Roman"/>
          <w:noProof/>
          <w:spacing w:val="-8"/>
          <w:sz w:val="24"/>
          <w:szCs w:val="24"/>
        </w:rPr>
        <w:t>indispensable RU platforms</w:t>
      </w:r>
      <w:r w:rsidRPr="007670B7">
        <w:rPr>
          <w:rFonts w:ascii="Times New Roman" w:eastAsia="Calibri" w:hAnsi="Times New Roman"/>
          <w:noProof/>
          <w:spacing w:val="-8"/>
          <w:sz w:val="24"/>
          <w:szCs w:val="24"/>
        </w:rPr>
        <w:t xml:space="preserve"> are provided in the table below</w:t>
      </w:r>
      <w:r>
        <w:rPr>
          <w:rFonts w:ascii="Times New Roman" w:eastAsia="Calibri" w:hAnsi="Times New Roman"/>
          <w:noProof/>
          <w:spacing w:val="-8"/>
          <w:sz w:val="24"/>
          <w:szCs w:val="24"/>
        </w:rPr>
        <w:t xml:space="preserve"> for PO4.</w:t>
      </w:r>
    </w:p>
    <w:p w14:paraId="37E0DAC7" w14:textId="629B852E" w:rsidR="00A9380C" w:rsidRPr="00A03BD0" w:rsidRDefault="00A9380C" w:rsidP="00A9380C">
      <w:pPr>
        <w:tabs>
          <w:tab w:val="left" w:pos="1134"/>
        </w:tabs>
        <w:jc w:val="both"/>
        <w:rPr>
          <w:i/>
          <w:noProof/>
          <w:sz w:val="22"/>
          <w:szCs w:val="22"/>
        </w:rPr>
      </w:pPr>
      <w:r w:rsidRPr="00A03BD0">
        <w:rPr>
          <w:i/>
          <w:noProof/>
          <w:sz w:val="22"/>
          <w:szCs w:val="22"/>
        </w:rPr>
        <w:t xml:space="preserve">Table </w:t>
      </w:r>
      <w:r w:rsidRPr="00A03BD0">
        <w:rPr>
          <w:i/>
          <w:noProof/>
          <w:sz w:val="22"/>
          <w:szCs w:val="22"/>
        </w:rPr>
        <w:fldChar w:fldCharType="begin"/>
      </w:r>
      <w:r w:rsidRPr="00A03BD0">
        <w:rPr>
          <w:i/>
          <w:noProof/>
          <w:sz w:val="22"/>
          <w:szCs w:val="22"/>
        </w:rPr>
        <w:instrText xml:space="preserve"> SEQ Table \* ARABIC </w:instrText>
      </w:r>
      <w:r w:rsidRPr="00A03BD0">
        <w:rPr>
          <w:i/>
          <w:noProof/>
          <w:sz w:val="22"/>
          <w:szCs w:val="22"/>
        </w:rPr>
        <w:fldChar w:fldCharType="separate"/>
      </w:r>
      <w:r w:rsidR="0055391F">
        <w:rPr>
          <w:i/>
          <w:noProof/>
          <w:sz w:val="22"/>
          <w:szCs w:val="22"/>
        </w:rPr>
        <w:t>119</w:t>
      </w:r>
      <w:r w:rsidRPr="00A03BD0">
        <w:rPr>
          <w:i/>
          <w:noProof/>
          <w:sz w:val="22"/>
          <w:szCs w:val="22"/>
        </w:rPr>
        <w:fldChar w:fldCharType="end"/>
      </w:r>
      <w:r w:rsidRPr="00A03BD0">
        <w:rPr>
          <w:i/>
          <w:noProof/>
          <w:sz w:val="22"/>
          <w:szCs w:val="22"/>
        </w:rPr>
        <w:t>: One-off adjustment costs for indispensable RUs due to PM1</w:t>
      </w:r>
      <w:r w:rsidR="009C4E5F" w:rsidRPr="00A03BD0">
        <w:rPr>
          <w:i/>
          <w:noProof/>
          <w:sz w:val="22"/>
          <w:szCs w:val="22"/>
        </w:rPr>
        <w:t>5</w:t>
      </w:r>
      <w:r w:rsidRPr="00A03BD0">
        <w:rPr>
          <w:i/>
          <w:noProof/>
          <w:sz w:val="22"/>
          <w:szCs w:val="22"/>
        </w:rPr>
        <w:t xml:space="preserve"> in PO4, expressed as present value over 2028-2050 relative to the baseline (in million EUR,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658"/>
        <w:gridCol w:w="1657"/>
        <w:gridCol w:w="1657"/>
        <w:gridCol w:w="1659"/>
      </w:tblGrid>
      <w:tr w:rsidR="00A9380C" w:rsidRPr="00D57180" w14:paraId="7B888648" w14:textId="77777777" w:rsidTr="0096644B">
        <w:trPr>
          <w:trHeight w:val="282"/>
          <w:tblHeader/>
        </w:trPr>
        <w:tc>
          <w:tcPr>
            <w:tcW w:w="1547" w:type="pct"/>
            <w:vMerge w:val="restart"/>
            <w:shd w:val="clear" w:color="000000" w:fill="0070C0"/>
          </w:tcPr>
          <w:p w14:paraId="4835D6CA" w14:textId="77777777" w:rsidR="00A9380C" w:rsidRPr="003C29B6" w:rsidRDefault="00A9380C" w:rsidP="0047207C">
            <w:pPr>
              <w:pStyle w:val="BodyText"/>
              <w:rPr>
                <w:noProof/>
                <w:sz w:val="20"/>
                <w:szCs w:val="20"/>
                <w:lang w:eastAsia="en-IE"/>
              </w:rPr>
            </w:pPr>
          </w:p>
        </w:tc>
        <w:tc>
          <w:tcPr>
            <w:tcW w:w="3453" w:type="pct"/>
            <w:gridSpan w:val="4"/>
            <w:shd w:val="clear" w:color="000000" w:fill="0070C0"/>
            <w:hideMark/>
          </w:tcPr>
          <w:p w14:paraId="547DDCB2" w14:textId="77777777" w:rsidR="00A9380C" w:rsidRPr="003C29B6" w:rsidRDefault="00A9380C" w:rsidP="0047207C">
            <w:pPr>
              <w:pStyle w:val="BodyText"/>
              <w:ind w:left="0"/>
              <w:jc w:val="center"/>
              <w:rPr>
                <w:b/>
                <w:noProof/>
                <w:color w:val="FFFFFF" w:themeColor="background1"/>
                <w:sz w:val="20"/>
                <w:szCs w:val="20"/>
                <w:lang w:eastAsia="en-IE"/>
              </w:rPr>
            </w:pPr>
            <w:r w:rsidRPr="003C29B6">
              <w:rPr>
                <w:b/>
                <w:noProof/>
                <w:color w:val="FFFFFF" w:themeColor="background1"/>
                <w:sz w:val="20"/>
                <w:szCs w:val="20"/>
                <w:lang w:eastAsia="en-IE"/>
              </w:rPr>
              <w:t>Difference to baseline</w:t>
            </w:r>
          </w:p>
        </w:tc>
      </w:tr>
      <w:tr w:rsidR="00A9380C" w:rsidRPr="00D57180" w14:paraId="5CDBDE5B" w14:textId="77777777" w:rsidTr="0096644B">
        <w:trPr>
          <w:trHeight w:val="282"/>
          <w:tblHeader/>
        </w:trPr>
        <w:tc>
          <w:tcPr>
            <w:tcW w:w="1547" w:type="pct"/>
            <w:vMerge/>
            <w:shd w:val="clear" w:color="000000" w:fill="0070C0"/>
            <w:noWrap/>
            <w:hideMark/>
          </w:tcPr>
          <w:p w14:paraId="3F946E65" w14:textId="77777777" w:rsidR="00A9380C" w:rsidRPr="003C29B6" w:rsidRDefault="00A9380C" w:rsidP="0047207C">
            <w:pPr>
              <w:pStyle w:val="BodyText"/>
              <w:rPr>
                <w:noProof/>
                <w:sz w:val="20"/>
                <w:szCs w:val="20"/>
                <w:lang w:eastAsia="en-IE"/>
              </w:rPr>
            </w:pPr>
          </w:p>
        </w:tc>
        <w:tc>
          <w:tcPr>
            <w:tcW w:w="863" w:type="pct"/>
            <w:shd w:val="clear" w:color="000000" w:fill="0070C0"/>
            <w:hideMark/>
          </w:tcPr>
          <w:p w14:paraId="3C5BE472" w14:textId="77777777" w:rsidR="00A9380C" w:rsidRPr="003C29B6" w:rsidRDefault="00A9380C" w:rsidP="0047207C">
            <w:pPr>
              <w:pStyle w:val="BodyText"/>
              <w:ind w:left="0"/>
              <w:jc w:val="center"/>
              <w:rPr>
                <w:b/>
                <w:noProof/>
                <w:color w:val="FFFFFF" w:themeColor="background1"/>
                <w:sz w:val="20"/>
                <w:szCs w:val="20"/>
                <w:lang w:eastAsia="en-IE"/>
              </w:rPr>
            </w:pPr>
            <w:r w:rsidRPr="003C29B6">
              <w:rPr>
                <w:b/>
                <w:noProof/>
                <w:color w:val="FFFFFF" w:themeColor="background1"/>
                <w:sz w:val="20"/>
                <w:szCs w:val="20"/>
                <w:lang w:eastAsia="en-IE"/>
              </w:rPr>
              <w:t>PO1</w:t>
            </w:r>
          </w:p>
        </w:tc>
        <w:tc>
          <w:tcPr>
            <w:tcW w:w="863" w:type="pct"/>
            <w:shd w:val="clear" w:color="000000" w:fill="0070C0"/>
            <w:hideMark/>
          </w:tcPr>
          <w:p w14:paraId="2C57B565" w14:textId="77777777" w:rsidR="00A9380C" w:rsidRPr="003C29B6" w:rsidRDefault="00A9380C" w:rsidP="0047207C">
            <w:pPr>
              <w:pStyle w:val="BodyText"/>
              <w:ind w:left="0"/>
              <w:jc w:val="center"/>
              <w:rPr>
                <w:b/>
                <w:noProof/>
                <w:color w:val="FFFFFF" w:themeColor="background1"/>
                <w:sz w:val="20"/>
                <w:szCs w:val="20"/>
                <w:lang w:eastAsia="en-IE"/>
              </w:rPr>
            </w:pPr>
            <w:r w:rsidRPr="003C29B6">
              <w:rPr>
                <w:b/>
                <w:noProof/>
                <w:color w:val="FFFFFF" w:themeColor="background1"/>
                <w:sz w:val="20"/>
                <w:szCs w:val="20"/>
                <w:lang w:eastAsia="en-IE"/>
              </w:rPr>
              <w:t>PO2</w:t>
            </w:r>
          </w:p>
        </w:tc>
        <w:tc>
          <w:tcPr>
            <w:tcW w:w="863" w:type="pct"/>
            <w:shd w:val="clear" w:color="000000" w:fill="0070C0"/>
            <w:hideMark/>
          </w:tcPr>
          <w:p w14:paraId="3BD69E36" w14:textId="77777777" w:rsidR="00A9380C" w:rsidRPr="003C29B6" w:rsidRDefault="00A9380C" w:rsidP="0047207C">
            <w:pPr>
              <w:pStyle w:val="BodyText"/>
              <w:ind w:left="0"/>
              <w:jc w:val="center"/>
              <w:rPr>
                <w:b/>
                <w:noProof/>
                <w:color w:val="FFFFFF" w:themeColor="background1"/>
                <w:sz w:val="20"/>
                <w:szCs w:val="20"/>
                <w:lang w:eastAsia="en-IE"/>
              </w:rPr>
            </w:pPr>
            <w:r w:rsidRPr="003C29B6">
              <w:rPr>
                <w:b/>
                <w:noProof/>
                <w:color w:val="FFFFFF" w:themeColor="background1"/>
                <w:sz w:val="20"/>
                <w:szCs w:val="20"/>
                <w:lang w:eastAsia="en-IE"/>
              </w:rPr>
              <w:t>PO3</w:t>
            </w:r>
          </w:p>
        </w:tc>
        <w:tc>
          <w:tcPr>
            <w:tcW w:w="864" w:type="pct"/>
            <w:shd w:val="clear" w:color="000000" w:fill="0070C0"/>
            <w:hideMark/>
          </w:tcPr>
          <w:p w14:paraId="33805223" w14:textId="77777777" w:rsidR="00A9380C" w:rsidRPr="003C29B6" w:rsidRDefault="00A9380C" w:rsidP="0047207C">
            <w:pPr>
              <w:pStyle w:val="BodyText"/>
              <w:ind w:left="0"/>
              <w:jc w:val="center"/>
              <w:rPr>
                <w:b/>
                <w:noProof/>
                <w:color w:val="FFFFFF" w:themeColor="background1"/>
                <w:sz w:val="20"/>
                <w:szCs w:val="20"/>
                <w:lang w:eastAsia="en-IE"/>
              </w:rPr>
            </w:pPr>
            <w:r w:rsidRPr="003C29B6">
              <w:rPr>
                <w:b/>
                <w:noProof/>
                <w:color w:val="FFFFFF" w:themeColor="background1"/>
                <w:sz w:val="20"/>
                <w:szCs w:val="20"/>
                <w:lang w:eastAsia="en-IE"/>
              </w:rPr>
              <w:t>PO4</w:t>
            </w:r>
          </w:p>
        </w:tc>
      </w:tr>
      <w:tr w:rsidR="00A9380C" w:rsidRPr="00D57180" w14:paraId="57E7CFAA" w14:textId="77777777" w:rsidTr="0096644B">
        <w:trPr>
          <w:trHeight w:val="282"/>
        </w:trPr>
        <w:tc>
          <w:tcPr>
            <w:tcW w:w="1547" w:type="pct"/>
            <w:shd w:val="clear" w:color="000000" w:fill="FFFFFF"/>
            <w:noWrap/>
            <w:hideMark/>
          </w:tcPr>
          <w:p w14:paraId="79EE3A7F" w14:textId="77777777" w:rsidR="00A9380C" w:rsidRPr="003C29B6" w:rsidRDefault="00A9380C" w:rsidP="0047207C">
            <w:pPr>
              <w:pStyle w:val="BodyText"/>
              <w:ind w:left="0"/>
              <w:rPr>
                <w:noProof/>
                <w:color w:val="000000"/>
                <w:sz w:val="20"/>
                <w:szCs w:val="20"/>
                <w:lang w:eastAsia="en-IE"/>
              </w:rPr>
            </w:pPr>
            <w:r w:rsidRPr="003C29B6">
              <w:rPr>
                <w:noProof/>
                <w:color w:val="000000"/>
                <w:sz w:val="20"/>
                <w:szCs w:val="20"/>
                <w:lang w:eastAsia="en-IE"/>
              </w:rPr>
              <w:t>Total one-off adjustment costs</w:t>
            </w:r>
          </w:p>
        </w:tc>
        <w:tc>
          <w:tcPr>
            <w:tcW w:w="863" w:type="pct"/>
            <w:shd w:val="clear" w:color="000000" w:fill="FFFFFF"/>
            <w:noWrap/>
            <w:hideMark/>
          </w:tcPr>
          <w:p w14:paraId="43471A7D" w14:textId="77777777" w:rsidR="00A9380C" w:rsidRPr="003C29B6" w:rsidRDefault="00A9380C" w:rsidP="0047207C">
            <w:pPr>
              <w:pStyle w:val="BodyText"/>
              <w:ind w:left="0"/>
              <w:jc w:val="center"/>
              <w:rPr>
                <w:noProof/>
                <w:color w:val="000000"/>
                <w:sz w:val="20"/>
                <w:szCs w:val="20"/>
                <w:lang w:eastAsia="en-IE"/>
              </w:rPr>
            </w:pPr>
            <w:r>
              <w:rPr>
                <w:noProof/>
                <w:color w:val="000000"/>
                <w:sz w:val="20"/>
                <w:szCs w:val="20"/>
              </w:rPr>
              <w:t>0</w:t>
            </w:r>
          </w:p>
        </w:tc>
        <w:tc>
          <w:tcPr>
            <w:tcW w:w="863" w:type="pct"/>
            <w:shd w:val="clear" w:color="000000" w:fill="FFFFFF"/>
            <w:noWrap/>
            <w:hideMark/>
          </w:tcPr>
          <w:p w14:paraId="19D00D19" w14:textId="77777777" w:rsidR="00A9380C" w:rsidRPr="003C29B6" w:rsidRDefault="00A9380C" w:rsidP="0047207C">
            <w:pPr>
              <w:pStyle w:val="BodyText"/>
              <w:ind w:left="0"/>
              <w:jc w:val="center"/>
              <w:rPr>
                <w:noProof/>
                <w:color w:val="000000"/>
                <w:sz w:val="20"/>
                <w:szCs w:val="20"/>
                <w:lang w:eastAsia="en-IE"/>
              </w:rPr>
            </w:pPr>
            <w:r>
              <w:rPr>
                <w:noProof/>
                <w:color w:val="000000"/>
                <w:sz w:val="20"/>
                <w:szCs w:val="20"/>
              </w:rPr>
              <w:t>0</w:t>
            </w:r>
          </w:p>
        </w:tc>
        <w:tc>
          <w:tcPr>
            <w:tcW w:w="863" w:type="pct"/>
            <w:shd w:val="clear" w:color="000000" w:fill="FFFFFF"/>
            <w:noWrap/>
            <w:hideMark/>
          </w:tcPr>
          <w:p w14:paraId="5D9329D5" w14:textId="2A6B5CE5" w:rsidR="00A9380C" w:rsidRPr="003C29B6" w:rsidRDefault="009C4E5F" w:rsidP="0047207C">
            <w:pPr>
              <w:pStyle w:val="BodyText"/>
              <w:ind w:left="0"/>
              <w:jc w:val="center"/>
              <w:rPr>
                <w:noProof/>
                <w:color w:val="000000"/>
                <w:sz w:val="20"/>
                <w:szCs w:val="20"/>
                <w:lang w:eastAsia="en-IE"/>
              </w:rPr>
            </w:pPr>
            <w:r>
              <w:rPr>
                <w:noProof/>
                <w:color w:val="000000"/>
                <w:sz w:val="20"/>
                <w:szCs w:val="20"/>
              </w:rPr>
              <w:t>0</w:t>
            </w:r>
          </w:p>
        </w:tc>
        <w:tc>
          <w:tcPr>
            <w:tcW w:w="864" w:type="pct"/>
            <w:shd w:val="clear" w:color="000000" w:fill="FFFFFF"/>
            <w:hideMark/>
          </w:tcPr>
          <w:p w14:paraId="71B8C198" w14:textId="2D5F9C3A" w:rsidR="00A9380C" w:rsidRPr="003C29B6" w:rsidRDefault="009C4E5F" w:rsidP="0047207C">
            <w:pPr>
              <w:pStyle w:val="BodyText"/>
              <w:ind w:left="0"/>
              <w:jc w:val="center"/>
              <w:rPr>
                <w:noProof/>
                <w:color w:val="000000"/>
                <w:sz w:val="20"/>
                <w:szCs w:val="20"/>
                <w:lang w:eastAsia="en-IE"/>
              </w:rPr>
            </w:pPr>
            <w:r>
              <w:rPr>
                <w:noProof/>
                <w:color w:val="000000"/>
                <w:sz w:val="20"/>
                <w:szCs w:val="20"/>
              </w:rPr>
              <w:t>157.7</w:t>
            </w:r>
          </w:p>
        </w:tc>
      </w:tr>
    </w:tbl>
    <w:p w14:paraId="731698E0" w14:textId="77777777" w:rsidR="00A9380C" w:rsidRDefault="00A9380C" w:rsidP="00A9380C">
      <w:pPr>
        <w:tabs>
          <w:tab w:val="left" w:pos="2302"/>
        </w:tabs>
        <w:spacing w:after="240"/>
        <w:jc w:val="both"/>
        <w:rPr>
          <w:i/>
          <w:iCs/>
          <w:noProof/>
          <w:sz w:val="20"/>
          <w:szCs w:val="20"/>
        </w:rPr>
      </w:pPr>
      <w:r w:rsidRPr="00151B09">
        <w:rPr>
          <w:i/>
          <w:iCs/>
          <w:noProof/>
          <w:spacing w:val="-8"/>
          <w:sz w:val="20"/>
          <w:szCs w:val="20"/>
        </w:rPr>
        <w:t xml:space="preserve">Source: </w:t>
      </w:r>
      <w:r w:rsidRPr="00151B09">
        <w:rPr>
          <w:i/>
          <w:iCs/>
          <w:noProof/>
          <w:sz w:val="20"/>
          <w:szCs w:val="20"/>
        </w:rPr>
        <w:t>Ricardo et al. (2026), Impact assessment support study</w:t>
      </w:r>
    </w:p>
    <w:p w14:paraId="78824403" w14:textId="77777777" w:rsidR="00686BE7" w:rsidRDefault="00686BE7" w:rsidP="00A9380C">
      <w:pPr>
        <w:tabs>
          <w:tab w:val="left" w:pos="2302"/>
        </w:tabs>
        <w:spacing w:after="240"/>
        <w:jc w:val="both"/>
        <w:rPr>
          <w:i/>
          <w:iCs/>
          <w:noProof/>
          <w:sz w:val="20"/>
          <w:szCs w:val="20"/>
        </w:rPr>
        <w:sectPr w:rsidR="00686BE7" w:rsidSect="007A35CC">
          <w:headerReference w:type="default" r:id="rId55"/>
          <w:footerReference w:type="default" r:id="rId56"/>
          <w:pgSz w:w="11910" w:h="16840"/>
          <w:pgMar w:top="1021" w:right="709" w:bottom="1021" w:left="1588" w:header="0" w:footer="1147" w:gutter="0"/>
          <w:cols w:space="720"/>
        </w:sectPr>
      </w:pPr>
    </w:p>
    <w:p w14:paraId="4E836902" w14:textId="74AEBFE0" w:rsidR="00E14CCC" w:rsidRDefault="005A0015" w:rsidP="00E14CCC">
      <w:pPr>
        <w:pStyle w:val="Heading2"/>
        <w:numPr>
          <w:ilvl w:val="1"/>
          <w:numId w:val="10"/>
        </w:numPr>
        <w:tabs>
          <w:tab w:val="left" w:pos="426"/>
          <w:tab w:val="left" w:pos="1705"/>
        </w:tabs>
        <w:spacing w:before="0" w:after="240"/>
        <w:ind w:left="1134" w:hanging="708"/>
        <w:rPr>
          <w:noProof/>
        </w:rPr>
      </w:pPr>
      <w:bookmarkStart w:id="2094" w:name="_Toc223981681"/>
      <w:r>
        <w:rPr>
          <w:noProof/>
        </w:rPr>
        <w:t>Summary of costs and costs savings by policy option and stakeholder group</w:t>
      </w:r>
      <w:bookmarkEnd w:id="2094"/>
    </w:p>
    <w:p w14:paraId="23E09EC7" w14:textId="1348994F" w:rsidR="005A0015" w:rsidRPr="0043424D" w:rsidRDefault="00011620" w:rsidP="0043424D">
      <w:pPr>
        <w:pStyle w:val="Text4"/>
        <w:spacing w:before="0" w:after="240"/>
        <w:ind w:left="0"/>
        <w:rPr>
          <w:rFonts w:ascii="Times New Roman" w:eastAsia="Calibri" w:hAnsi="Times New Roman"/>
          <w:noProof/>
          <w:spacing w:val="-8"/>
          <w:sz w:val="24"/>
          <w:szCs w:val="24"/>
        </w:rPr>
      </w:pPr>
      <w:r w:rsidRPr="0043424D">
        <w:rPr>
          <w:rFonts w:ascii="Times New Roman" w:eastAsia="Calibri" w:hAnsi="Times New Roman"/>
          <w:noProof/>
          <w:spacing w:val="-8"/>
          <w:sz w:val="24"/>
          <w:szCs w:val="24"/>
        </w:rPr>
        <w:t>This section provides the costs and costs savings by policy option and stakeholder group for 202</w:t>
      </w:r>
      <w:r>
        <w:rPr>
          <w:rFonts w:ascii="Times New Roman" w:eastAsia="Calibri" w:hAnsi="Times New Roman"/>
          <w:noProof/>
          <w:spacing w:val="-8"/>
          <w:sz w:val="24"/>
          <w:szCs w:val="24"/>
        </w:rPr>
        <w:t>8</w:t>
      </w:r>
      <w:r w:rsidRPr="0043424D">
        <w:rPr>
          <w:rFonts w:ascii="Times New Roman" w:eastAsia="Calibri" w:hAnsi="Times New Roman"/>
          <w:noProof/>
          <w:spacing w:val="-8"/>
          <w:sz w:val="24"/>
          <w:szCs w:val="24"/>
        </w:rPr>
        <w:t>, 2030, 2040 and 2050 relative to the baseline. The present value of the costs and costs savings by stakeholder group over 202</w:t>
      </w:r>
      <w:r>
        <w:rPr>
          <w:rFonts w:ascii="Times New Roman" w:eastAsia="Calibri" w:hAnsi="Times New Roman"/>
          <w:noProof/>
          <w:spacing w:val="-8"/>
          <w:sz w:val="24"/>
          <w:szCs w:val="24"/>
        </w:rPr>
        <w:t>8</w:t>
      </w:r>
      <w:r w:rsidRPr="0043424D">
        <w:rPr>
          <w:rFonts w:ascii="Times New Roman" w:eastAsia="Calibri" w:hAnsi="Times New Roman"/>
          <w:noProof/>
          <w:spacing w:val="-8"/>
          <w:sz w:val="24"/>
          <w:szCs w:val="24"/>
        </w:rPr>
        <w:t>-2050, relative to the baseline, are presented in section 6.1 of the impact assessment.</w:t>
      </w:r>
    </w:p>
    <w:p w14:paraId="291B0880" w14:textId="09F1ACB9" w:rsidR="00E14CCC" w:rsidRPr="0043424D" w:rsidRDefault="005A0015" w:rsidP="0043424D">
      <w:pPr>
        <w:pStyle w:val="ListParagraph"/>
        <w:keepNext/>
        <w:widowControl/>
        <w:numPr>
          <w:ilvl w:val="2"/>
          <w:numId w:val="10"/>
        </w:numPr>
        <w:autoSpaceDE/>
        <w:autoSpaceDN/>
        <w:spacing w:after="240"/>
        <w:jc w:val="both"/>
        <w:outlineLvl w:val="2"/>
        <w:rPr>
          <w:i/>
          <w:iCs/>
          <w:noProof/>
          <w:sz w:val="24"/>
          <w:szCs w:val="24"/>
        </w:rPr>
      </w:pPr>
      <w:bookmarkStart w:id="2095" w:name="_Toc223981682"/>
      <w:r w:rsidRPr="0043424D">
        <w:rPr>
          <w:i/>
          <w:iCs/>
          <w:noProof/>
          <w:sz w:val="24"/>
          <w:szCs w:val="24"/>
        </w:rPr>
        <w:t>MDMS platforms</w:t>
      </w:r>
      <w:bookmarkEnd w:id="2095"/>
      <w:r w:rsidRPr="0043424D">
        <w:rPr>
          <w:i/>
          <w:iCs/>
          <w:noProof/>
          <w:sz w:val="24"/>
          <w:szCs w:val="24"/>
        </w:rPr>
        <w:t xml:space="preserve"> </w:t>
      </w:r>
    </w:p>
    <w:p w14:paraId="6EC283E6" w14:textId="11535D86" w:rsidR="00472624" w:rsidRPr="006333F0" w:rsidRDefault="00472624" w:rsidP="0043424D">
      <w:pPr>
        <w:tabs>
          <w:tab w:val="left" w:pos="1134"/>
        </w:tabs>
        <w:jc w:val="both"/>
        <w:rPr>
          <w:i/>
          <w:noProof/>
          <w:sz w:val="22"/>
          <w:szCs w:val="22"/>
        </w:rPr>
      </w:pPr>
      <w:r w:rsidRPr="006333F0">
        <w:rPr>
          <w:i/>
          <w:noProof/>
          <w:sz w:val="22"/>
          <w:szCs w:val="22"/>
        </w:rPr>
        <w:t xml:space="preserve">Table </w:t>
      </w:r>
      <w:r w:rsidRPr="00222181">
        <w:rPr>
          <w:i/>
          <w:noProof/>
          <w:sz w:val="22"/>
          <w:szCs w:val="22"/>
        </w:rPr>
        <w:fldChar w:fldCharType="begin"/>
      </w:r>
      <w:r w:rsidRPr="006333F0">
        <w:rPr>
          <w:i/>
          <w:noProof/>
          <w:sz w:val="22"/>
          <w:szCs w:val="22"/>
        </w:rPr>
        <w:instrText xml:space="preserve"> SEQ Table \* ARABIC </w:instrText>
      </w:r>
      <w:r w:rsidRPr="00222181">
        <w:rPr>
          <w:i/>
          <w:noProof/>
          <w:sz w:val="22"/>
          <w:szCs w:val="22"/>
        </w:rPr>
        <w:fldChar w:fldCharType="separate"/>
      </w:r>
      <w:r w:rsidR="0055391F">
        <w:rPr>
          <w:i/>
          <w:noProof/>
          <w:sz w:val="22"/>
          <w:szCs w:val="22"/>
        </w:rPr>
        <w:t>120</w:t>
      </w:r>
      <w:r w:rsidRPr="00222181">
        <w:rPr>
          <w:i/>
          <w:noProof/>
          <w:sz w:val="22"/>
          <w:szCs w:val="22"/>
        </w:rPr>
        <w:fldChar w:fldCharType="end"/>
      </w:r>
      <w:r w:rsidRPr="006333F0">
        <w:rPr>
          <w:i/>
          <w:noProof/>
          <w:sz w:val="22"/>
          <w:szCs w:val="22"/>
        </w:rPr>
        <w:t>: One-off and recurrent costs</w:t>
      </w:r>
      <w:r>
        <w:rPr>
          <w:i/>
          <w:noProof/>
          <w:sz w:val="22"/>
          <w:szCs w:val="22"/>
        </w:rPr>
        <w:t>, and costs savings</w:t>
      </w:r>
      <w:r w:rsidRPr="006333F0">
        <w:rPr>
          <w:i/>
          <w:noProof/>
          <w:sz w:val="22"/>
          <w:szCs w:val="22"/>
        </w:rPr>
        <w:t xml:space="preserve"> for MDMS </w:t>
      </w:r>
      <w:r>
        <w:rPr>
          <w:i/>
          <w:noProof/>
          <w:sz w:val="22"/>
          <w:szCs w:val="22"/>
        </w:rPr>
        <w:t>platforms</w:t>
      </w:r>
      <w:r w:rsidRPr="006333F0">
        <w:rPr>
          <w:i/>
          <w:noProof/>
          <w:sz w:val="22"/>
          <w:szCs w:val="22"/>
        </w:rPr>
        <w:t xml:space="preserve"> in the POs relative to the baseline (EU27),</w:t>
      </w:r>
      <w:r>
        <w:rPr>
          <w:i/>
          <w:noProof/>
          <w:sz w:val="22"/>
          <w:szCs w:val="22"/>
        </w:rPr>
        <w:t xml:space="preserve"> </w:t>
      </w:r>
      <w:r w:rsidR="00452B1F">
        <w:rPr>
          <w:i/>
          <w:noProof/>
          <w:sz w:val="22"/>
          <w:szCs w:val="22"/>
        </w:rPr>
        <w:t>in 2028, 2030, 2040 and 2050</w:t>
      </w:r>
      <w:r>
        <w:rPr>
          <w:i/>
          <w:noProof/>
          <w:sz w:val="22"/>
          <w:szCs w:val="22"/>
        </w:rPr>
        <w:t>,</w:t>
      </w:r>
      <w:r w:rsidRPr="006333F0">
        <w:rPr>
          <w:i/>
          <w:noProof/>
          <w:sz w:val="22"/>
          <w:szCs w:val="22"/>
        </w:rPr>
        <w:t xml:space="preserve"> in million EUR (202</w:t>
      </w:r>
      <w:r>
        <w:rPr>
          <w:i/>
          <w:noProof/>
          <w:sz w:val="22"/>
          <w:szCs w:val="22"/>
        </w:rPr>
        <w:t>4</w:t>
      </w:r>
      <w:r w:rsidRPr="006333F0">
        <w:rPr>
          <w:i/>
          <w:noProof/>
          <w:sz w:val="22"/>
          <w:szCs w:val="22"/>
        </w:rPr>
        <w:t xml:space="preserve"> prices)</w:t>
      </w:r>
    </w:p>
    <w:tbl>
      <w:tblPr>
        <w:tblW w:w="5000" w:type="pct"/>
        <w:tblLook w:val="04A0" w:firstRow="1" w:lastRow="0" w:firstColumn="1" w:lastColumn="0" w:noHBand="0" w:noVBand="1"/>
      </w:tblPr>
      <w:tblGrid>
        <w:gridCol w:w="3006"/>
        <w:gridCol w:w="737"/>
        <w:gridCol w:w="737"/>
        <w:gridCol w:w="737"/>
        <w:gridCol w:w="737"/>
        <w:gridCol w:w="737"/>
        <w:gridCol w:w="737"/>
        <w:gridCol w:w="736"/>
        <w:gridCol w:w="736"/>
        <w:gridCol w:w="736"/>
        <w:gridCol w:w="736"/>
        <w:gridCol w:w="736"/>
        <w:gridCol w:w="736"/>
        <w:gridCol w:w="736"/>
        <w:gridCol w:w="736"/>
        <w:gridCol w:w="736"/>
        <w:gridCol w:w="736"/>
      </w:tblGrid>
      <w:tr w:rsidR="00686BE7" w14:paraId="65A9FE9A" w14:textId="77777777" w:rsidTr="00593F3D">
        <w:trPr>
          <w:trHeight w:val="282"/>
          <w:tblHeader/>
        </w:trPr>
        <w:tc>
          <w:tcPr>
            <w:tcW w:w="1016"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5DFCB9A6" w14:textId="77777777" w:rsidR="006F3111" w:rsidRDefault="006F3111">
            <w:pPr>
              <w:jc w:val="center"/>
              <w:rPr>
                <w:b/>
                <w:bCs/>
                <w:noProof/>
                <w:color w:val="FFFFFF"/>
                <w:sz w:val="20"/>
                <w:szCs w:val="20"/>
              </w:rPr>
            </w:pPr>
            <w:r>
              <w:rPr>
                <w:b/>
                <w:bCs/>
                <w:noProof/>
                <w:color w:val="FFFFFF"/>
                <w:sz w:val="20"/>
                <w:szCs w:val="20"/>
              </w:rPr>
              <w:t> </w:t>
            </w:r>
          </w:p>
        </w:tc>
        <w:tc>
          <w:tcPr>
            <w:tcW w:w="996" w:type="pct"/>
            <w:gridSpan w:val="4"/>
            <w:tcBorders>
              <w:top w:val="single" w:sz="4" w:space="0" w:color="auto"/>
              <w:left w:val="nil"/>
              <w:bottom w:val="single" w:sz="4" w:space="0" w:color="auto"/>
              <w:right w:val="single" w:sz="4" w:space="0" w:color="auto"/>
            </w:tcBorders>
            <w:shd w:val="clear" w:color="000000" w:fill="0070C0"/>
            <w:hideMark/>
          </w:tcPr>
          <w:p w14:paraId="436AFB82" w14:textId="77777777" w:rsidR="006F3111" w:rsidRDefault="006F3111">
            <w:pPr>
              <w:jc w:val="center"/>
              <w:rPr>
                <w:b/>
                <w:bCs/>
                <w:noProof/>
                <w:color w:val="FFFFFF"/>
                <w:sz w:val="20"/>
                <w:szCs w:val="20"/>
              </w:rPr>
            </w:pPr>
            <w:r>
              <w:rPr>
                <w:b/>
                <w:bCs/>
                <w:noProof/>
                <w:color w:val="FFFFFF"/>
                <w:sz w:val="20"/>
                <w:szCs w:val="20"/>
              </w:rPr>
              <w:t>PO1</w:t>
            </w:r>
          </w:p>
        </w:tc>
        <w:tc>
          <w:tcPr>
            <w:tcW w:w="996" w:type="pct"/>
            <w:gridSpan w:val="4"/>
            <w:tcBorders>
              <w:top w:val="single" w:sz="4" w:space="0" w:color="auto"/>
              <w:left w:val="nil"/>
              <w:bottom w:val="single" w:sz="4" w:space="0" w:color="auto"/>
              <w:right w:val="single" w:sz="4" w:space="0" w:color="auto"/>
            </w:tcBorders>
            <w:shd w:val="clear" w:color="000000" w:fill="0070C0"/>
            <w:hideMark/>
          </w:tcPr>
          <w:p w14:paraId="7A3F7AC5" w14:textId="77777777" w:rsidR="006F3111" w:rsidRDefault="006F3111">
            <w:pPr>
              <w:jc w:val="center"/>
              <w:rPr>
                <w:b/>
                <w:bCs/>
                <w:noProof/>
                <w:color w:val="FFFFFF"/>
                <w:sz w:val="20"/>
                <w:szCs w:val="20"/>
              </w:rPr>
            </w:pPr>
            <w:r>
              <w:rPr>
                <w:b/>
                <w:bCs/>
                <w:noProof/>
                <w:color w:val="FFFFFF"/>
                <w:sz w:val="20"/>
                <w:szCs w:val="20"/>
              </w:rPr>
              <w:t>PO2</w:t>
            </w:r>
          </w:p>
        </w:tc>
        <w:tc>
          <w:tcPr>
            <w:tcW w:w="996" w:type="pct"/>
            <w:gridSpan w:val="4"/>
            <w:tcBorders>
              <w:top w:val="single" w:sz="4" w:space="0" w:color="auto"/>
              <w:left w:val="nil"/>
              <w:bottom w:val="single" w:sz="4" w:space="0" w:color="auto"/>
              <w:right w:val="single" w:sz="4" w:space="0" w:color="auto"/>
            </w:tcBorders>
            <w:shd w:val="clear" w:color="000000" w:fill="0070C0"/>
            <w:hideMark/>
          </w:tcPr>
          <w:p w14:paraId="7055E1E2" w14:textId="77777777" w:rsidR="006F3111" w:rsidRDefault="006F3111">
            <w:pPr>
              <w:jc w:val="center"/>
              <w:rPr>
                <w:b/>
                <w:bCs/>
                <w:noProof/>
                <w:color w:val="FFFFFF"/>
                <w:sz w:val="20"/>
                <w:szCs w:val="20"/>
              </w:rPr>
            </w:pPr>
            <w:r>
              <w:rPr>
                <w:b/>
                <w:bCs/>
                <w:noProof/>
                <w:color w:val="FFFFFF"/>
                <w:sz w:val="20"/>
                <w:szCs w:val="20"/>
              </w:rPr>
              <w:t>PO3</w:t>
            </w:r>
          </w:p>
        </w:tc>
        <w:tc>
          <w:tcPr>
            <w:tcW w:w="996" w:type="pct"/>
            <w:gridSpan w:val="4"/>
            <w:tcBorders>
              <w:top w:val="single" w:sz="4" w:space="0" w:color="auto"/>
              <w:left w:val="nil"/>
              <w:bottom w:val="single" w:sz="4" w:space="0" w:color="auto"/>
              <w:right w:val="single" w:sz="4" w:space="0" w:color="auto"/>
            </w:tcBorders>
            <w:shd w:val="clear" w:color="000000" w:fill="0070C0"/>
            <w:hideMark/>
          </w:tcPr>
          <w:p w14:paraId="29C780EE" w14:textId="77777777" w:rsidR="006F3111" w:rsidRDefault="006F3111">
            <w:pPr>
              <w:jc w:val="center"/>
              <w:rPr>
                <w:b/>
                <w:bCs/>
                <w:noProof/>
                <w:color w:val="FFFFFF"/>
                <w:sz w:val="20"/>
                <w:szCs w:val="20"/>
              </w:rPr>
            </w:pPr>
            <w:r>
              <w:rPr>
                <w:b/>
                <w:bCs/>
                <w:noProof/>
                <w:color w:val="FFFFFF"/>
                <w:sz w:val="20"/>
                <w:szCs w:val="20"/>
              </w:rPr>
              <w:t>PO4</w:t>
            </w:r>
          </w:p>
        </w:tc>
      </w:tr>
      <w:tr w:rsidR="006F3111" w14:paraId="72AF72EA" w14:textId="77777777" w:rsidTr="00593F3D">
        <w:trPr>
          <w:trHeight w:val="282"/>
          <w:tblHeader/>
        </w:trPr>
        <w:tc>
          <w:tcPr>
            <w:tcW w:w="1016" w:type="pct"/>
            <w:vMerge/>
            <w:tcBorders>
              <w:top w:val="single" w:sz="4" w:space="0" w:color="auto"/>
              <w:left w:val="single" w:sz="4" w:space="0" w:color="auto"/>
              <w:bottom w:val="single" w:sz="4" w:space="0" w:color="auto"/>
              <w:right w:val="single" w:sz="4" w:space="0" w:color="auto"/>
            </w:tcBorders>
            <w:hideMark/>
          </w:tcPr>
          <w:p w14:paraId="45995979" w14:textId="77777777" w:rsidR="006F3111" w:rsidRDefault="006F3111">
            <w:pPr>
              <w:rPr>
                <w:b/>
                <w:bCs/>
                <w:noProof/>
                <w:color w:val="FFFFFF"/>
                <w:sz w:val="20"/>
                <w:szCs w:val="20"/>
              </w:rPr>
            </w:pPr>
          </w:p>
        </w:tc>
        <w:tc>
          <w:tcPr>
            <w:tcW w:w="249" w:type="pct"/>
            <w:tcBorders>
              <w:top w:val="nil"/>
              <w:left w:val="nil"/>
              <w:bottom w:val="single" w:sz="4" w:space="0" w:color="auto"/>
              <w:right w:val="single" w:sz="4" w:space="0" w:color="auto"/>
            </w:tcBorders>
            <w:shd w:val="clear" w:color="000000" w:fill="0070C0"/>
            <w:hideMark/>
          </w:tcPr>
          <w:p w14:paraId="270A56A4" w14:textId="77777777" w:rsidR="006F3111" w:rsidRDefault="006F3111">
            <w:pPr>
              <w:jc w:val="center"/>
              <w:rPr>
                <w:b/>
                <w:bCs/>
                <w:noProof/>
                <w:color w:val="FFFFFF"/>
                <w:sz w:val="20"/>
                <w:szCs w:val="20"/>
              </w:rPr>
            </w:pPr>
            <w:r>
              <w:rPr>
                <w:b/>
                <w:bCs/>
                <w:noProof/>
                <w:color w:val="FFFFFF"/>
                <w:sz w:val="20"/>
                <w:szCs w:val="20"/>
              </w:rPr>
              <w:t>2028</w:t>
            </w:r>
          </w:p>
        </w:tc>
        <w:tc>
          <w:tcPr>
            <w:tcW w:w="249" w:type="pct"/>
            <w:tcBorders>
              <w:top w:val="nil"/>
              <w:left w:val="nil"/>
              <w:bottom w:val="single" w:sz="4" w:space="0" w:color="auto"/>
              <w:right w:val="single" w:sz="4" w:space="0" w:color="auto"/>
            </w:tcBorders>
            <w:shd w:val="clear" w:color="000000" w:fill="0070C0"/>
            <w:hideMark/>
          </w:tcPr>
          <w:p w14:paraId="52AAA9B1" w14:textId="77777777" w:rsidR="006F3111" w:rsidRDefault="006F3111">
            <w:pPr>
              <w:jc w:val="center"/>
              <w:rPr>
                <w:b/>
                <w:bCs/>
                <w:noProof/>
                <w:color w:val="FFFFFF"/>
                <w:sz w:val="20"/>
                <w:szCs w:val="20"/>
              </w:rPr>
            </w:pPr>
            <w:r>
              <w:rPr>
                <w:b/>
                <w:bCs/>
                <w:noProof/>
                <w:color w:val="FFFFFF"/>
                <w:sz w:val="20"/>
                <w:szCs w:val="20"/>
              </w:rPr>
              <w:t>2030</w:t>
            </w:r>
          </w:p>
        </w:tc>
        <w:tc>
          <w:tcPr>
            <w:tcW w:w="249" w:type="pct"/>
            <w:tcBorders>
              <w:top w:val="nil"/>
              <w:left w:val="nil"/>
              <w:bottom w:val="single" w:sz="4" w:space="0" w:color="auto"/>
              <w:right w:val="single" w:sz="4" w:space="0" w:color="auto"/>
            </w:tcBorders>
            <w:shd w:val="clear" w:color="000000" w:fill="0070C0"/>
            <w:hideMark/>
          </w:tcPr>
          <w:p w14:paraId="783CDC84" w14:textId="77777777" w:rsidR="006F3111" w:rsidRDefault="006F3111">
            <w:pPr>
              <w:jc w:val="center"/>
              <w:rPr>
                <w:b/>
                <w:bCs/>
                <w:noProof/>
                <w:color w:val="FFFFFF"/>
                <w:sz w:val="20"/>
                <w:szCs w:val="20"/>
              </w:rPr>
            </w:pPr>
            <w:r>
              <w:rPr>
                <w:b/>
                <w:bCs/>
                <w:noProof/>
                <w:color w:val="FFFFFF"/>
                <w:sz w:val="20"/>
                <w:szCs w:val="20"/>
              </w:rPr>
              <w:t>2040</w:t>
            </w:r>
          </w:p>
        </w:tc>
        <w:tc>
          <w:tcPr>
            <w:tcW w:w="249" w:type="pct"/>
            <w:tcBorders>
              <w:top w:val="nil"/>
              <w:left w:val="nil"/>
              <w:bottom w:val="single" w:sz="4" w:space="0" w:color="auto"/>
              <w:right w:val="single" w:sz="4" w:space="0" w:color="auto"/>
            </w:tcBorders>
            <w:shd w:val="clear" w:color="000000" w:fill="0070C0"/>
            <w:hideMark/>
          </w:tcPr>
          <w:p w14:paraId="51E49F66" w14:textId="77777777" w:rsidR="006F3111" w:rsidRDefault="006F3111">
            <w:pPr>
              <w:jc w:val="center"/>
              <w:rPr>
                <w:b/>
                <w:bCs/>
                <w:noProof/>
                <w:color w:val="FFFFFF"/>
                <w:sz w:val="20"/>
                <w:szCs w:val="20"/>
              </w:rPr>
            </w:pPr>
            <w:r>
              <w:rPr>
                <w:b/>
                <w:bCs/>
                <w:noProof/>
                <w:color w:val="FFFFFF"/>
                <w:sz w:val="20"/>
                <w:szCs w:val="20"/>
              </w:rPr>
              <w:t>2050</w:t>
            </w:r>
          </w:p>
        </w:tc>
        <w:tc>
          <w:tcPr>
            <w:tcW w:w="249" w:type="pct"/>
            <w:tcBorders>
              <w:top w:val="nil"/>
              <w:left w:val="nil"/>
              <w:bottom w:val="single" w:sz="4" w:space="0" w:color="auto"/>
              <w:right w:val="single" w:sz="4" w:space="0" w:color="auto"/>
            </w:tcBorders>
            <w:shd w:val="clear" w:color="000000" w:fill="0070C0"/>
            <w:hideMark/>
          </w:tcPr>
          <w:p w14:paraId="4AC3F82D" w14:textId="77777777" w:rsidR="006F3111" w:rsidRDefault="006F3111">
            <w:pPr>
              <w:jc w:val="center"/>
              <w:rPr>
                <w:b/>
                <w:bCs/>
                <w:noProof/>
                <w:color w:val="FFFFFF"/>
                <w:sz w:val="20"/>
                <w:szCs w:val="20"/>
              </w:rPr>
            </w:pPr>
            <w:r>
              <w:rPr>
                <w:b/>
                <w:bCs/>
                <w:noProof/>
                <w:color w:val="FFFFFF"/>
                <w:sz w:val="20"/>
                <w:szCs w:val="20"/>
              </w:rPr>
              <w:t>2028</w:t>
            </w:r>
          </w:p>
        </w:tc>
        <w:tc>
          <w:tcPr>
            <w:tcW w:w="249" w:type="pct"/>
            <w:tcBorders>
              <w:top w:val="nil"/>
              <w:left w:val="nil"/>
              <w:bottom w:val="single" w:sz="4" w:space="0" w:color="auto"/>
              <w:right w:val="single" w:sz="4" w:space="0" w:color="auto"/>
            </w:tcBorders>
            <w:shd w:val="clear" w:color="000000" w:fill="0070C0"/>
            <w:hideMark/>
          </w:tcPr>
          <w:p w14:paraId="5B14B44E" w14:textId="77777777" w:rsidR="006F3111" w:rsidRDefault="006F3111">
            <w:pPr>
              <w:jc w:val="center"/>
              <w:rPr>
                <w:b/>
                <w:bCs/>
                <w:noProof/>
                <w:color w:val="FFFFFF"/>
                <w:sz w:val="20"/>
                <w:szCs w:val="20"/>
              </w:rPr>
            </w:pPr>
            <w:r>
              <w:rPr>
                <w:b/>
                <w:bCs/>
                <w:noProof/>
                <w:color w:val="FFFFFF"/>
                <w:sz w:val="20"/>
                <w:szCs w:val="20"/>
              </w:rPr>
              <w:t>2030</w:t>
            </w:r>
          </w:p>
        </w:tc>
        <w:tc>
          <w:tcPr>
            <w:tcW w:w="249" w:type="pct"/>
            <w:tcBorders>
              <w:top w:val="nil"/>
              <w:left w:val="nil"/>
              <w:bottom w:val="single" w:sz="4" w:space="0" w:color="auto"/>
              <w:right w:val="single" w:sz="4" w:space="0" w:color="auto"/>
            </w:tcBorders>
            <w:shd w:val="clear" w:color="000000" w:fill="0070C0"/>
            <w:hideMark/>
          </w:tcPr>
          <w:p w14:paraId="44560BFF" w14:textId="77777777" w:rsidR="006F3111" w:rsidRDefault="006F3111">
            <w:pPr>
              <w:jc w:val="center"/>
              <w:rPr>
                <w:b/>
                <w:bCs/>
                <w:noProof/>
                <w:color w:val="FFFFFF"/>
                <w:sz w:val="20"/>
                <w:szCs w:val="20"/>
              </w:rPr>
            </w:pPr>
            <w:r>
              <w:rPr>
                <w:b/>
                <w:bCs/>
                <w:noProof/>
                <w:color w:val="FFFFFF"/>
                <w:sz w:val="20"/>
                <w:szCs w:val="20"/>
              </w:rPr>
              <w:t>2040</w:t>
            </w:r>
          </w:p>
        </w:tc>
        <w:tc>
          <w:tcPr>
            <w:tcW w:w="249" w:type="pct"/>
            <w:tcBorders>
              <w:top w:val="nil"/>
              <w:left w:val="nil"/>
              <w:bottom w:val="single" w:sz="4" w:space="0" w:color="auto"/>
              <w:right w:val="single" w:sz="4" w:space="0" w:color="auto"/>
            </w:tcBorders>
            <w:shd w:val="clear" w:color="000000" w:fill="0070C0"/>
            <w:hideMark/>
          </w:tcPr>
          <w:p w14:paraId="3417128D" w14:textId="77777777" w:rsidR="006F3111" w:rsidRDefault="006F3111">
            <w:pPr>
              <w:jc w:val="center"/>
              <w:rPr>
                <w:b/>
                <w:bCs/>
                <w:noProof/>
                <w:color w:val="FFFFFF"/>
                <w:sz w:val="20"/>
                <w:szCs w:val="20"/>
              </w:rPr>
            </w:pPr>
            <w:r>
              <w:rPr>
                <w:b/>
                <w:bCs/>
                <w:noProof/>
                <w:color w:val="FFFFFF"/>
                <w:sz w:val="20"/>
                <w:szCs w:val="20"/>
              </w:rPr>
              <w:t>2050</w:t>
            </w:r>
          </w:p>
        </w:tc>
        <w:tc>
          <w:tcPr>
            <w:tcW w:w="249" w:type="pct"/>
            <w:tcBorders>
              <w:top w:val="nil"/>
              <w:left w:val="nil"/>
              <w:bottom w:val="single" w:sz="4" w:space="0" w:color="auto"/>
              <w:right w:val="single" w:sz="4" w:space="0" w:color="auto"/>
            </w:tcBorders>
            <w:shd w:val="clear" w:color="000000" w:fill="0070C0"/>
            <w:hideMark/>
          </w:tcPr>
          <w:p w14:paraId="742F67B0" w14:textId="77777777" w:rsidR="006F3111" w:rsidRDefault="006F3111">
            <w:pPr>
              <w:jc w:val="center"/>
              <w:rPr>
                <w:b/>
                <w:bCs/>
                <w:noProof/>
                <w:color w:val="FFFFFF"/>
                <w:sz w:val="20"/>
                <w:szCs w:val="20"/>
              </w:rPr>
            </w:pPr>
            <w:r>
              <w:rPr>
                <w:b/>
                <w:bCs/>
                <w:noProof/>
                <w:color w:val="FFFFFF"/>
                <w:sz w:val="20"/>
                <w:szCs w:val="20"/>
              </w:rPr>
              <w:t>2028</w:t>
            </w:r>
          </w:p>
        </w:tc>
        <w:tc>
          <w:tcPr>
            <w:tcW w:w="249" w:type="pct"/>
            <w:tcBorders>
              <w:top w:val="nil"/>
              <w:left w:val="nil"/>
              <w:bottom w:val="single" w:sz="4" w:space="0" w:color="auto"/>
              <w:right w:val="single" w:sz="4" w:space="0" w:color="auto"/>
            </w:tcBorders>
            <w:shd w:val="clear" w:color="000000" w:fill="0070C0"/>
            <w:hideMark/>
          </w:tcPr>
          <w:p w14:paraId="59A9BB2E" w14:textId="77777777" w:rsidR="006F3111" w:rsidRDefault="006F3111">
            <w:pPr>
              <w:jc w:val="center"/>
              <w:rPr>
                <w:b/>
                <w:bCs/>
                <w:noProof/>
                <w:color w:val="FFFFFF"/>
                <w:sz w:val="20"/>
                <w:szCs w:val="20"/>
              </w:rPr>
            </w:pPr>
            <w:r>
              <w:rPr>
                <w:b/>
                <w:bCs/>
                <w:noProof/>
                <w:color w:val="FFFFFF"/>
                <w:sz w:val="20"/>
                <w:szCs w:val="20"/>
              </w:rPr>
              <w:t>2030</w:t>
            </w:r>
          </w:p>
        </w:tc>
        <w:tc>
          <w:tcPr>
            <w:tcW w:w="249" w:type="pct"/>
            <w:tcBorders>
              <w:top w:val="nil"/>
              <w:left w:val="nil"/>
              <w:bottom w:val="single" w:sz="4" w:space="0" w:color="auto"/>
              <w:right w:val="single" w:sz="4" w:space="0" w:color="auto"/>
            </w:tcBorders>
            <w:shd w:val="clear" w:color="000000" w:fill="0070C0"/>
            <w:hideMark/>
          </w:tcPr>
          <w:p w14:paraId="5F7EB172" w14:textId="77777777" w:rsidR="006F3111" w:rsidRDefault="006F3111">
            <w:pPr>
              <w:jc w:val="center"/>
              <w:rPr>
                <w:b/>
                <w:bCs/>
                <w:noProof/>
                <w:color w:val="FFFFFF"/>
                <w:sz w:val="20"/>
                <w:szCs w:val="20"/>
              </w:rPr>
            </w:pPr>
            <w:r>
              <w:rPr>
                <w:b/>
                <w:bCs/>
                <w:noProof/>
                <w:color w:val="FFFFFF"/>
                <w:sz w:val="20"/>
                <w:szCs w:val="20"/>
              </w:rPr>
              <w:t>2040</w:t>
            </w:r>
          </w:p>
        </w:tc>
        <w:tc>
          <w:tcPr>
            <w:tcW w:w="249" w:type="pct"/>
            <w:tcBorders>
              <w:top w:val="nil"/>
              <w:left w:val="nil"/>
              <w:bottom w:val="single" w:sz="4" w:space="0" w:color="auto"/>
              <w:right w:val="single" w:sz="4" w:space="0" w:color="auto"/>
            </w:tcBorders>
            <w:shd w:val="clear" w:color="000000" w:fill="0070C0"/>
            <w:hideMark/>
          </w:tcPr>
          <w:p w14:paraId="1A6A452C" w14:textId="77777777" w:rsidR="006F3111" w:rsidRDefault="006F3111">
            <w:pPr>
              <w:jc w:val="center"/>
              <w:rPr>
                <w:b/>
                <w:bCs/>
                <w:noProof/>
                <w:color w:val="FFFFFF"/>
                <w:sz w:val="20"/>
                <w:szCs w:val="20"/>
              </w:rPr>
            </w:pPr>
            <w:r>
              <w:rPr>
                <w:b/>
                <w:bCs/>
                <w:noProof/>
                <w:color w:val="FFFFFF"/>
                <w:sz w:val="20"/>
                <w:szCs w:val="20"/>
              </w:rPr>
              <w:t>2050</w:t>
            </w:r>
          </w:p>
        </w:tc>
        <w:tc>
          <w:tcPr>
            <w:tcW w:w="249" w:type="pct"/>
            <w:tcBorders>
              <w:top w:val="nil"/>
              <w:left w:val="nil"/>
              <w:bottom w:val="single" w:sz="4" w:space="0" w:color="auto"/>
              <w:right w:val="single" w:sz="4" w:space="0" w:color="auto"/>
            </w:tcBorders>
            <w:shd w:val="clear" w:color="000000" w:fill="0070C0"/>
            <w:hideMark/>
          </w:tcPr>
          <w:p w14:paraId="79EC6BE4" w14:textId="77777777" w:rsidR="006F3111" w:rsidRDefault="006F3111">
            <w:pPr>
              <w:jc w:val="center"/>
              <w:rPr>
                <w:b/>
                <w:bCs/>
                <w:noProof/>
                <w:color w:val="FFFFFF"/>
                <w:sz w:val="20"/>
                <w:szCs w:val="20"/>
              </w:rPr>
            </w:pPr>
            <w:r>
              <w:rPr>
                <w:b/>
                <w:bCs/>
                <w:noProof/>
                <w:color w:val="FFFFFF"/>
                <w:sz w:val="20"/>
                <w:szCs w:val="20"/>
              </w:rPr>
              <w:t>2028</w:t>
            </w:r>
          </w:p>
        </w:tc>
        <w:tc>
          <w:tcPr>
            <w:tcW w:w="249" w:type="pct"/>
            <w:tcBorders>
              <w:top w:val="nil"/>
              <w:left w:val="nil"/>
              <w:bottom w:val="single" w:sz="4" w:space="0" w:color="auto"/>
              <w:right w:val="single" w:sz="4" w:space="0" w:color="auto"/>
            </w:tcBorders>
            <w:shd w:val="clear" w:color="000000" w:fill="0070C0"/>
            <w:hideMark/>
          </w:tcPr>
          <w:p w14:paraId="7DF411E5" w14:textId="77777777" w:rsidR="006F3111" w:rsidRDefault="006F3111">
            <w:pPr>
              <w:jc w:val="center"/>
              <w:rPr>
                <w:b/>
                <w:bCs/>
                <w:noProof/>
                <w:color w:val="FFFFFF"/>
                <w:sz w:val="20"/>
                <w:szCs w:val="20"/>
              </w:rPr>
            </w:pPr>
            <w:r>
              <w:rPr>
                <w:b/>
                <w:bCs/>
                <w:noProof/>
                <w:color w:val="FFFFFF"/>
                <w:sz w:val="20"/>
                <w:szCs w:val="20"/>
              </w:rPr>
              <w:t>2030</w:t>
            </w:r>
          </w:p>
        </w:tc>
        <w:tc>
          <w:tcPr>
            <w:tcW w:w="249" w:type="pct"/>
            <w:tcBorders>
              <w:top w:val="nil"/>
              <w:left w:val="nil"/>
              <w:bottom w:val="single" w:sz="4" w:space="0" w:color="auto"/>
              <w:right w:val="single" w:sz="4" w:space="0" w:color="auto"/>
            </w:tcBorders>
            <w:shd w:val="clear" w:color="000000" w:fill="0070C0"/>
            <w:hideMark/>
          </w:tcPr>
          <w:p w14:paraId="175F7900" w14:textId="77777777" w:rsidR="006F3111" w:rsidRDefault="006F3111">
            <w:pPr>
              <w:jc w:val="center"/>
              <w:rPr>
                <w:b/>
                <w:bCs/>
                <w:noProof/>
                <w:color w:val="FFFFFF"/>
                <w:sz w:val="20"/>
                <w:szCs w:val="20"/>
              </w:rPr>
            </w:pPr>
            <w:r>
              <w:rPr>
                <w:b/>
                <w:bCs/>
                <w:noProof/>
                <w:color w:val="FFFFFF"/>
                <w:sz w:val="20"/>
                <w:szCs w:val="20"/>
              </w:rPr>
              <w:t>2040</w:t>
            </w:r>
          </w:p>
        </w:tc>
        <w:tc>
          <w:tcPr>
            <w:tcW w:w="249" w:type="pct"/>
            <w:tcBorders>
              <w:top w:val="nil"/>
              <w:left w:val="nil"/>
              <w:bottom w:val="single" w:sz="4" w:space="0" w:color="auto"/>
              <w:right w:val="single" w:sz="4" w:space="0" w:color="auto"/>
            </w:tcBorders>
            <w:shd w:val="clear" w:color="000000" w:fill="0070C0"/>
            <w:hideMark/>
          </w:tcPr>
          <w:p w14:paraId="44B1C3C0" w14:textId="77777777" w:rsidR="006F3111" w:rsidRDefault="006F3111">
            <w:pPr>
              <w:jc w:val="center"/>
              <w:rPr>
                <w:b/>
                <w:bCs/>
                <w:noProof/>
                <w:color w:val="FFFFFF"/>
                <w:sz w:val="20"/>
                <w:szCs w:val="20"/>
              </w:rPr>
            </w:pPr>
            <w:r>
              <w:rPr>
                <w:b/>
                <w:bCs/>
                <w:noProof/>
                <w:color w:val="FFFFFF"/>
                <w:sz w:val="20"/>
                <w:szCs w:val="20"/>
              </w:rPr>
              <w:t>2050</w:t>
            </w:r>
          </w:p>
        </w:tc>
      </w:tr>
      <w:tr w:rsidR="006F3111" w14:paraId="5275CA01" w14:textId="77777777" w:rsidTr="00593F3D">
        <w:trPr>
          <w:trHeight w:val="282"/>
        </w:trPr>
        <w:tc>
          <w:tcPr>
            <w:tcW w:w="1016" w:type="pct"/>
            <w:tcBorders>
              <w:top w:val="nil"/>
              <w:left w:val="single" w:sz="4" w:space="0" w:color="auto"/>
              <w:bottom w:val="single" w:sz="4" w:space="0" w:color="auto"/>
              <w:right w:val="single" w:sz="4" w:space="0" w:color="auto"/>
            </w:tcBorders>
            <w:shd w:val="clear" w:color="000000" w:fill="BDE3FF"/>
            <w:hideMark/>
          </w:tcPr>
          <w:p w14:paraId="4FD876DD" w14:textId="77777777" w:rsidR="006F3111" w:rsidRDefault="006F3111">
            <w:pPr>
              <w:rPr>
                <w:b/>
                <w:bCs/>
                <w:noProof/>
                <w:sz w:val="20"/>
                <w:szCs w:val="20"/>
              </w:rPr>
            </w:pPr>
            <w:r>
              <w:rPr>
                <w:b/>
                <w:bCs/>
                <w:noProof/>
                <w:sz w:val="20"/>
                <w:szCs w:val="20"/>
              </w:rPr>
              <w:t>Adjustment costs</w:t>
            </w:r>
          </w:p>
        </w:tc>
        <w:tc>
          <w:tcPr>
            <w:tcW w:w="249" w:type="pct"/>
            <w:tcBorders>
              <w:top w:val="nil"/>
              <w:left w:val="nil"/>
              <w:bottom w:val="single" w:sz="4" w:space="0" w:color="auto"/>
              <w:right w:val="single" w:sz="4" w:space="0" w:color="auto"/>
            </w:tcBorders>
            <w:shd w:val="clear" w:color="000000" w:fill="BDE3FF"/>
            <w:hideMark/>
          </w:tcPr>
          <w:p w14:paraId="3E54DFDE" w14:textId="77777777" w:rsidR="006F3111" w:rsidRDefault="006F3111">
            <w:pPr>
              <w:jc w:val="right"/>
              <w:rPr>
                <w:b/>
                <w:bCs/>
                <w:noProof/>
                <w:sz w:val="20"/>
                <w:szCs w:val="20"/>
              </w:rPr>
            </w:pPr>
            <w:r>
              <w:rPr>
                <w:b/>
                <w:bCs/>
                <w:noProof/>
                <w:sz w:val="20"/>
                <w:szCs w:val="20"/>
              </w:rPr>
              <w:t>31.0</w:t>
            </w:r>
          </w:p>
        </w:tc>
        <w:tc>
          <w:tcPr>
            <w:tcW w:w="249" w:type="pct"/>
            <w:tcBorders>
              <w:top w:val="nil"/>
              <w:left w:val="nil"/>
              <w:bottom w:val="single" w:sz="4" w:space="0" w:color="auto"/>
              <w:right w:val="single" w:sz="4" w:space="0" w:color="auto"/>
            </w:tcBorders>
            <w:shd w:val="clear" w:color="000000" w:fill="BDE3FF"/>
            <w:hideMark/>
          </w:tcPr>
          <w:p w14:paraId="591D0A7C" w14:textId="77777777" w:rsidR="006F3111" w:rsidRDefault="006F3111">
            <w:pPr>
              <w:jc w:val="right"/>
              <w:rPr>
                <w:b/>
                <w:bCs/>
                <w:noProof/>
                <w:sz w:val="20"/>
                <w:szCs w:val="20"/>
              </w:rPr>
            </w:pPr>
            <w:r>
              <w:rPr>
                <w:b/>
                <w:bCs/>
                <w:noProof/>
                <w:sz w:val="20"/>
                <w:szCs w:val="20"/>
              </w:rPr>
              <w:t>3.8</w:t>
            </w:r>
          </w:p>
        </w:tc>
        <w:tc>
          <w:tcPr>
            <w:tcW w:w="249" w:type="pct"/>
            <w:tcBorders>
              <w:top w:val="nil"/>
              <w:left w:val="nil"/>
              <w:bottom w:val="single" w:sz="4" w:space="0" w:color="auto"/>
              <w:right w:val="single" w:sz="4" w:space="0" w:color="auto"/>
            </w:tcBorders>
            <w:shd w:val="clear" w:color="000000" w:fill="BDE3FF"/>
            <w:hideMark/>
          </w:tcPr>
          <w:p w14:paraId="4A2811C9" w14:textId="77777777" w:rsidR="006F3111" w:rsidRDefault="006F3111">
            <w:pPr>
              <w:jc w:val="right"/>
              <w:rPr>
                <w:b/>
                <w:bCs/>
                <w:noProof/>
                <w:sz w:val="20"/>
                <w:szCs w:val="20"/>
              </w:rPr>
            </w:pPr>
            <w:r>
              <w:rPr>
                <w:b/>
                <w:bCs/>
                <w:noProof/>
                <w:sz w:val="20"/>
                <w:szCs w:val="20"/>
              </w:rPr>
              <w:t>4.1</w:t>
            </w:r>
          </w:p>
        </w:tc>
        <w:tc>
          <w:tcPr>
            <w:tcW w:w="249" w:type="pct"/>
            <w:tcBorders>
              <w:top w:val="nil"/>
              <w:left w:val="nil"/>
              <w:bottom w:val="single" w:sz="4" w:space="0" w:color="auto"/>
              <w:right w:val="single" w:sz="4" w:space="0" w:color="auto"/>
            </w:tcBorders>
            <w:shd w:val="clear" w:color="000000" w:fill="BDE3FF"/>
            <w:hideMark/>
          </w:tcPr>
          <w:p w14:paraId="7E3F2495" w14:textId="77777777" w:rsidR="006F3111" w:rsidRDefault="006F3111">
            <w:pPr>
              <w:jc w:val="right"/>
              <w:rPr>
                <w:b/>
                <w:bCs/>
                <w:noProof/>
                <w:sz w:val="20"/>
                <w:szCs w:val="20"/>
              </w:rPr>
            </w:pPr>
            <w:r>
              <w:rPr>
                <w:b/>
                <w:bCs/>
                <w:noProof/>
                <w:sz w:val="20"/>
                <w:szCs w:val="20"/>
              </w:rPr>
              <w:t>3.8</w:t>
            </w:r>
          </w:p>
        </w:tc>
        <w:tc>
          <w:tcPr>
            <w:tcW w:w="249" w:type="pct"/>
            <w:tcBorders>
              <w:top w:val="nil"/>
              <w:left w:val="nil"/>
              <w:bottom w:val="single" w:sz="4" w:space="0" w:color="auto"/>
              <w:right w:val="single" w:sz="4" w:space="0" w:color="auto"/>
            </w:tcBorders>
            <w:shd w:val="clear" w:color="000000" w:fill="BDE3FF"/>
            <w:hideMark/>
          </w:tcPr>
          <w:p w14:paraId="576B5CCB" w14:textId="77777777" w:rsidR="006F3111" w:rsidRDefault="006F3111">
            <w:pPr>
              <w:jc w:val="right"/>
              <w:rPr>
                <w:b/>
                <w:bCs/>
                <w:noProof/>
                <w:sz w:val="20"/>
                <w:szCs w:val="20"/>
              </w:rPr>
            </w:pPr>
            <w:r>
              <w:rPr>
                <w:b/>
                <w:bCs/>
                <w:noProof/>
                <w:sz w:val="20"/>
                <w:szCs w:val="20"/>
              </w:rPr>
              <w:t>31.0</w:t>
            </w:r>
          </w:p>
        </w:tc>
        <w:tc>
          <w:tcPr>
            <w:tcW w:w="249" w:type="pct"/>
            <w:tcBorders>
              <w:top w:val="nil"/>
              <w:left w:val="nil"/>
              <w:bottom w:val="single" w:sz="4" w:space="0" w:color="auto"/>
              <w:right w:val="single" w:sz="4" w:space="0" w:color="auto"/>
            </w:tcBorders>
            <w:shd w:val="clear" w:color="000000" w:fill="BDE3FF"/>
            <w:hideMark/>
          </w:tcPr>
          <w:p w14:paraId="4CD3AA8B" w14:textId="77777777" w:rsidR="006F3111" w:rsidRDefault="006F3111">
            <w:pPr>
              <w:jc w:val="right"/>
              <w:rPr>
                <w:b/>
                <w:bCs/>
                <w:noProof/>
                <w:sz w:val="20"/>
                <w:szCs w:val="20"/>
              </w:rPr>
            </w:pPr>
            <w:r>
              <w:rPr>
                <w:b/>
                <w:bCs/>
                <w:noProof/>
                <w:sz w:val="20"/>
                <w:szCs w:val="20"/>
              </w:rPr>
              <w:t>4.7</w:t>
            </w:r>
          </w:p>
        </w:tc>
        <w:tc>
          <w:tcPr>
            <w:tcW w:w="249" w:type="pct"/>
            <w:tcBorders>
              <w:top w:val="nil"/>
              <w:left w:val="nil"/>
              <w:bottom w:val="single" w:sz="4" w:space="0" w:color="auto"/>
              <w:right w:val="single" w:sz="4" w:space="0" w:color="auto"/>
            </w:tcBorders>
            <w:shd w:val="clear" w:color="000000" w:fill="BDE3FF"/>
            <w:hideMark/>
          </w:tcPr>
          <w:p w14:paraId="6F426551" w14:textId="77777777" w:rsidR="006F3111" w:rsidRDefault="006F3111">
            <w:pPr>
              <w:jc w:val="right"/>
              <w:rPr>
                <w:b/>
                <w:bCs/>
                <w:noProof/>
                <w:sz w:val="20"/>
                <w:szCs w:val="20"/>
              </w:rPr>
            </w:pPr>
            <w:r>
              <w:rPr>
                <w:b/>
                <w:bCs/>
                <w:noProof/>
                <w:sz w:val="20"/>
                <w:szCs w:val="20"/>
              </w:rPr>
              <w:t>7.9</w:t>
            </w:r>
          </w:p>
        </w:tc>
        <w:tc>
          <w:tcPr>
            <w:tcW w:w="249" w:type="pct"/>
            <w:tcBorders>
              <w:top w:val="nil"/>
              <w:left w:val="nil"/>
              <w:bottom w:val="single" w:sz="4" w:space="0" w:color="auto"/>
              <w:right w:val="single" w:sz="4" w:space="0" w:color="auto"/>
            </w:tcBorders>
            <w:shd w:val="clear" w:color="000000" w:fill="BDE3FF"/>
            <w:hideMark/>
          </w:tcPr>
          <w:p w14:paraId="6135D7EC" w14:textId="77777777" w:rsidR="006F3111" w:rsidRDefault="006F3111">
            <w:pPr>
              <w:jc w:val="right"/>
              <w:rPr>
                <w:b/>
                <w:bCs/>
                <w:noProof/>
                <w:sz w:val="20"/>
                <w:szCs w:val="20"/>
              </w:rPr>
            </w:pPr>
            <w:r>
              <w:rPr>
                <w:b/>
                <w:bCs/>
                <w:noProof/>
                <w:sz w:val="20"/>
                <w:szCs w:val="20"/>
              </w:rPr>
              <w:t>5.4</w:t>
            </w:r>
          </w:p>
        </w:tc>
        <w:tc>
          <w:tcPr>
            <w:tcW w:w="249" w:type="pct"/>
            <w:tcBorders>
              <w:top w:val="nil"/>
              <w:left w:val="nil"/>
              <w:bottom w:val="single" w:sz="4" w:space="0" w:color="auto"/>
              <w:right w:val="single" w:sz="4" w:space="0" w:color="auto"/>
            </w:tcBorders>
            <w:shd w:val="clear" w:color="000000" w:fill="BDE3FF"/>
            <w:hideMark/>
          </w:tcPr>
          <w:p w14:paraId="69A9708B" w14:textId="77777777" w:rsidR="006F3111" w:rsidRDefault="006F3111">
            <w:pPr>
              <w:jc w:val="right"/>
              <w:rPr>
                <w:b/>
                <w:bCs/>
                <w:noProof/>
                <w:sz w:val="20"/>
                <w:szCs w:val="20"/>
              </w:rPr>
            </w:pPr>
            <w:r>
              <w:rPr>
                <w:b/>
                <w:bCs/>
                <w:noProof/>
                <w:sz w:val="20"/>
                <w:szCs w:val="20"/>
              </w:rPr>
              <w:t>31.4</w:t>
            </w:r>
          </w:p>
        </w:tc>
        <w:tc>
          <w:tcPr>
            <w:tcW w:w="249" w:type="pct"/>
            <w:tcBorders>
              <w:top w:val="nil"/>
              <w:left w:val="nil"/>
              <w:bottom w:val="single" w:sz="4" w:space="0" w:color="auto"/>
              <w:right w:val="single" w:sz="4" w:space="0" w:color="auto"/>
            </w:tcBorders>
            <w:shd w:val="clear" w:color="000000" w:fill="BDE3FF"/>
            <w:hideMark/>
          </w:tcPr>
          <w:p w14:paraId="244F6F59" w14:textId="77777777" w:rsidR="006F3111" w:rsidRDefault="006F3111">
            <w:pPr>
              <w:jc w:val="right"/>
              <w:rPr>
                <w:b/>
                <w:bCs/>
                <w:noProof/>
                <w:sz w:val="20"/>
                <w:szCs w:val="20"/>
              </w:rPr>
            </w:pPr>
            <w:r>
              <w:rPr>
                <w:b/>
                <w:bCs/>
                <w:noProof/>
                <w:sz w:val="20"/>
                <w:szCs w:val="20"/>
              </w:rPr>
              <w:t>4.8</w:t>
            </w:r>
          </w:p>
        </w:tc>
        <w:tc>
          <w:tcPr>
            <w:tcW w:w="249" w:type="pct"/>
            <w:tcBorders>
              <w:top w:val="nil"/>
              <w:left w:val="nil"/>
              <w:bottom w:val="single" w:sz="4" w:space="0" w:color="auto"/>
              <w:right w:val="single" w:sz="4" w:space="0" w:color="auto"/>
            </w:tcBorders>
            <w:shd w:val="clear" w:color="000000" w:fill="BDE3FF"/>
            <w:hideMark/>
          </w:tcPr>
          <w:p w14:paraId="166F5D8F" w14:textId="77777777" w:rsidR="006F3111" w:rsidRDefault="006F3111">
            <w:pPr>
              <w:jc w:val="right"/>
              <w:rPr>
                <w:b/>
                <w:bCs/>
                <w:noProof/>
                <w:sz w:val="20"/>
                <w:szCs w:val="20"/>
              </w:rPr>
            </w:pPr>
            <w:r>
              <w:rPr>
                <w:b/>
                <w:bCs/>
                <w:noProof/>
                <w:sz w:val="20"/>
                <w:szCs w:val="20"/>
              </w:rPr>
              <w:t>7.2</w:t>
            </w:r>
          </w:p>
        </w:tc>
        <w:tc>
          <w:tcPr>
            <w:tcW w:w="249" w:type="pct"/>
            <w:tcBorders>
              <w:top w:val="nil"/>
              <w:left w:val="nil"/>
              <w:bottom w:val="single" w:sz="4" w:space="0" w:color="auto"/>
              <w:right w:val="single" w:sz="4" w:space="0" w:color="auto"/>
            </w:tcBorders>
            <w:shd w:val="clear" w:color="000000" w:fill="BDE3FF"/>
            <w:hideMark/>
          </w:tcPr>
          <w:p w14:paraId="49650194" w14:textId="77777777" w:rsidR="006F3111" w:rsidRDefault="006F3111">
            <w:pPr>
              <w:jc w:val="right"/>
              <w:rPr>
                <w:b/>
                <w:bCs/>
                <w:noProof/>
                <w:sz w:val="20"/>
                <w:szCs w:val="20"/>
              </w:rPr>
            </w:pPr>
            <w:r>
              <w:rPr>
                <w:b/>
                <w:bCs/>
                <w:noProof/>
                <w:sz w:val="20"/>
                <w:szCs w:val="20"/>
              </w:rPr>
              <w:t>5.4</w:t>
            </w:r>
          </w:p>
        </w:tc>
        <w:tc>
          <w:tcPr>
            <w:tcW w:w="249" w:type="pct"/>
            <w:tcBorders>
              <w:top w:val="nil"/>
              <w:left w:val="nil"/>
              <w:bottom w:val="single" w:sz="4" w:space="0" w:color="auto"/>
              <w:right w:val="single" w:sz="4" w:space="0" w:color="auto"/>
            </w:tcBorders>
            <w:shd w:val="clear" w:color="000000" w:fill="BDE3FF"/>
            <w:hideMark/>
          </w:tcPr>
          <w:p w14:paraId="42FA614F" w14:textId="77777777" w:rsidR="006F3111" w:rsidRDefault="006F3111">
            <w:pPr>
              <w:jc w:val="right"/>
              <w:rPr>
                <w:b/>
                <w:bCs/>
                <w:noProof/>
                <w:sz w:val="20"/>
                <w:szCs w:val="20"/>
              </w:rPr>
            </w:pPr>
            <w:r>
              <w:rPr>
                <w:b/>
                <w:bCs/>
                <w:noProof/>
                <w:sz w:val="20"/>
                <w:szCs w:val="20"/>
              </w:rPr>
              <w:t>85.1</w:t>
            </w:r>
          </w:p>
        </w:tc>
        <w:tc>
          <w:tcPr>
            <w:tcW w:w="249" w:type="pct"/>
            <w:tcBorders>
              <w:top w:val="nil"/>
              <w:left w:val="nil"/>
              <w:bottom w:val="single" w:sz="4" w:space="0" w:color="auto"/>
              <w:right w:val="single" w:sz="4" w:space="0" w:color="auto"/>
            </w:tcBorders>
            <w:shd w:val="clear" w:color="000000" w:fill="BDE3FF"/>
            <w:hideMark/>
          </w:tcPr>
          <w:p w14:paraId="1A73E5AC" w14:textId="77777777" w:rsidR="006F3111" w:rsidRDefault="006F3111">
            <w:pPr>
              <w:jc w:val="right"/>
              <w:rPr>
                <w:b/>
                <w:bCs/>
                <w:noProof/>
                <w:sz w:val="20"/>
                <w:szCs w:val="20"/>
              </w:rPr>
            </w:pPr>
            <w:r>
              <w:rPr>
                <w:b/>
                <w:bCs/>
                <w:noProof/>
                <w:sz w:val="20"/>
                <w:szCs w:val="20"/>
              </w:rPr>
              <w:t>58.8</w:t>
            </w:r>
          </w:p>
        </w:tc>
        <w:tc>
          <w:tcPr>
            <w:tcW w:w="249" w:type="pct"/>
            <w:tcBorders>
              <w:top w:val="nil"/>
              <w:left w:val="nil"/>
              <w:bottom w:val="single" w:sz="4" w:space="0" w:color="auto"/>
              <w:right w:val="single" w:sz="4" w:space="0" w:color="auto"/>
            </w:tcBorders>
            <w:shd w:val="clear" w:color="000000" w:fill="BDE3FF"/>
            <w:hideMark/>
          </w:tcPr>
          <w:p w14:paraId="6B3EC662" w14:textId="77777777" w:rsidR="006F3111" w:rsidRDefault="006F3111">
            <w:pPr>
              <w:jc w:val="right"/>
              <w:rPr>
                <w:b/>
                <w:bCs/>
                <w:noProof/>
                <w:sz w:val="20"/>
                <w:szCs w:val="20"/>
              </w:rPr>
            </w:pPr>
            <w:r>
              <w:rPr>
                <w:b/>
                <w:bCs/>
                <w:noProof/>
                <w:sz w:val="20"/>
                <w:szCs w:val="20"/>
              </w:rPr>
              <w:t>7.5</w:t>
            </w:r>
          </w:p>
        </w:tc>
        <w:tc>
          <w:tcPr>
            <w:tcW w:w="249" w:type="pct"/>
            <w:tcBorders>
              <w:top w:val="nil"/>
              <w:left w:val="nil"/>
              <w:bottom w:val="single" w:sz="4" w:space="0" w:color="auto"/>
              <w:right w:val="single" w:sz="4" w:space="0" w:color="auto"/>
            </w:tcBorders>
            <w:shd w:val="clear" w:color="000000" w:fill="BDE3FF"/>
            <w:hideMark/>
          </w:tcPr>
          <w:p w14:paraId="624D81B4" w14:textId="77777777" w:rsidR="006F3111" w:rsidRDefault="006F3111">
            <w:pPr>
              <w:jc w:val="right"/>
              <w:rPr>
                <w:b/>
                <w:bCs/>
                <w:noProof/>
                <w:sz w:val="20"/>
                <w:szCs w:val="20"/>
              </w:rPr>
            </w:pPr>
            <w:r>
              <w:rPr>
                <w:b/>
                <w:bCs/>
                <w:noProof/>
                <w:sz w:val="20"/>
                <w:szCs w:val="20"/>
              </w:rPr>
              <w:t>5.4</w:t>
            </w:r>
          </w:p>
        </w:tc>
      </w:tr>
      <w:tr w:rsidR="006F3111" w14:paraId="2C80DB8F" w14:textId="77777777" w:rsidTr="00593F3D">
        <w:trPr>
          <w:trHeight w:val="282"/>
        </w:trPr>
        <w:tc>
          <w:tcPr>
            <w:tcW w:w="1016" w:type="pct"/>
            <w:tcBorders>
              <w:top w:val="nil"/>
              <w:left w:val="single" w:sz="4" w:space="0" w:color="auto"/>
              <w:bottom w:val="single" w:sz="4" w:space="0" w:color="auto"/>
              <w:right w:val="single" w:sz="4" w:space="0" w:color="auto"/>
            </w:tcBorders>
            <w:shd w:val="clear" w:color="000000" w:fill="FFFFFF"/>
            <w:hideMark/>
          </w:tcPr>
          <w:p w14:paraId="0BD36C9F" w14:textId="77777777" w:rsidR="006F3111" w:rsidRDefault="006F3111">
            <w:pPr>
              <w:rPr>
                <w:noProof/>
                <w:color w:val="000000"/>
                <w:sz w:val="20"/>
                <w:szCs w:val="20"/>
              </w:rPr>
            </w:pPr>
            <w:r>
              <w:rPr>
                <w:noProof/>
                <w:color w:val="000000"/>
                <w:sz w:val="20"/>
                <w:szCs w:val="20"/>
              </w:rPr>
              <w:t>PM1 (Neutral display)</w:t>
            </w:r>
          </w:p>
        </w:tc>
        <w:tc>
          <w:tcPr>
            <w:tcW w:w="249" w:type="pct"/>
            <w:tcBorders>
              <w:top w:val="nil"/>
              <w:left w:val="nil"/>
              <w:bottom w:val="single" w:sz="4" w:space="0" w:color="auto"/>
              <w:right w:val="single" w:sz="4" w:space="0" w:color="auto"/>
            </w:tcBorders>
            <w:shd w:val="clear" w:color="000000" w:fill="FFFFFF"/>
            <w:noWrap/>
            <w:hideMark/>
          </w:tcPr>
          <w:p w14:paraId="48FAC496" w14:textId="77777777" w:rsidR="006F3111" w:rsidRDefault="006F3111">
            <w:pPr>
              <w:jc w:val="right"/>
              <w:rPr>
                <w:noProof/>
                <w:color w:val="000000"/>
                <w:sz w:val="20"/>
                <w:szCs w:val="20"/>
              </w:rPr>
            </w:pPr>
            <w:r>
              <w:rPr>
                <w:noProof/>
                <w:color w:val="000000"/>
                <w:sz w:val="20"/>
                <w:szCs w:val="20"/>
              </w:rPr>
              <w:t>4.0</w:t>
            </w:r>
          </w:p>
        </w:tc>
        <w:tc>
          <w:tcPr>
            <w:tcW w:w="249" w:type="pct"/>
            <w:tcBorders>
              <w:top w:val="nil"/>
              <w:left w:val="nil"/>
              <w:bottom w:val="single" w:sz="4" w:space="0" w:color="auto"/>
              <w:right w:val="single" w:sz="4" w:space="0" w:color="auto"/>
            </w:tcBorders>
            <w:shd w:val="clear" w:color="000000" w:fill="FFFFFF"/>
            <w:noWrap/>
            <w:hideMark/>
          </w:tcPr>
          <w:p w14:paraId="57548A81" w14:textId="77777777" w:rsidR="006F3111" w:rsidRDefault="006F3111">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615252CC" w14:textId="77777777" w:rsidR="006F3111" w:rsidRDefault="006F3111">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2E3F5771" w14:textId="77777777" w:rsidR="006F3111" w:rsidRDefault="006F3111">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4F0A6324" w14:textId="77777777" w:rsidR="006F3111" w:rsidRDefault="006F3111">
            <w:pPr>
              <w:jc w:val="right"/>
              <w:rPr>
                <w:noProof/>
                <w:color w:val="000000"/>
                <w:sz w:val="20"/>
                <w:szCs w:val="20"/>
              </w:rPr>
            </w:pPr>
            <w:r>
              <w:rPr>
                <w:noProof/>
                <w:color w:val="000000"/>
                <w:sz w:val="20"/>
                <w:szCs w:val="20"/>
              </w:rPr>
              <w:t>4.0</w:t>
            </w:r>
          </w:p>
        </w:tc>
        <w:tc>
          <w:tcPr>
            <w:tcW w:w="249" w:type="pct"/>
            <w:tcBorders>
              <w:top w:val="nil"/>
              <w:left w:val="nil"/>
              <w:bottom w:val="single" w:sz="4" w:space="0" w:color="auto"/>
              <w:right w:val="single" w:sz="4" w:space="0" w:color="auto"/>
            </w:tcBorders>
            <w:shd w:val="clear" w:color="000000" w:fill="FFFFFF"/>
            <w:noWrap/>
            <w:hideMark/>
          </w:tcPr>
          <w:p w14:paraId="5C8A34CB" w14:textId="77777777" w:rsidR="006F3111" w:rsidRDefault="006F3111">
            <w:pPr>
              <w:jc w:val="right"/>
              <w:rPr>
                <w:noProof/>
                <w:color w:val="000000"/>
                <w:sz w:val="20"/>
                <w:szCs w:val="20"/>
              </w:rPr>
            </w:pPr>
            <w:r>
              <w:rPr>
                <w:noProof/>
                <w:color w:val="000000"/>
                <w:sz w:val="20"/>
                <w:szCs w:val="20"/>
              </w:rPr>
              <w:t>0.6</w:t>
            </w:r>
          </w:p>
        </w:tc>
        <w:tc>
          <w:tcPr>
            <w:tcW w:w="249" w:type="pct"/>
            <w:tcBorders>
              <w:top w:val="nil"/>
              <w:left w:val="nil"/>
              <w:bottom w:val="single" w:sz="4" w:space="0" w:color="auto"/>
              <w:right w:val="single" w:sz="4" w:space="0" w:color="auto"/>
            </w:tcBorders>
            <w:shd w:val="clear" w:color="000000" w:fill="FFFFFF"/>
            <w:noWrap/>
            <w:hideMark/>
          </w:tcPr>
          <w:p w14:paraId="3D182BFC" w14:textId="77777777" w:rsidR="006F3111" w:rsidRDefault="006F3111">
            <w:pPr>
              <w:jc w:val="right"/>
              <w:rPr>
                <w:noProof/>
                <w:color w:val="000000"/>
                <w:sz w:val="20"/>
                <w:szCs w:val="20"/>
              </w:rPr>
            </w:pPr>
            <w:r>
              <w:rPr>
                <w:noProof/>
                <w:color w:val="000000"/>
                <w:sz w:val="20"/>
                <w:szCs w:val="20"/>
              </w:rPr>
              <w:t>1.0</w:t>
            </w:r>
          </w:p>
        </w:tc>
        <w:tc>
          <w:tcPr>
            <w:tcW w:w="249" w:type="pct"/>
            <w:tcBorders>
              <w:top w:val="nil"/>
              <w:left w:val="nil"/>
              <w:bottom w:val="single" w:sz="4" w:space="0" w:color="auto"/>
              <w:right w:val="single" w:sz="4" w:space="0" w:color="auto"/>
            </w:tcBorders>
            <w:shd w:val="clear" w:color="000000" w:fill="FFFFFF"/>
            <w:noWrap/>
            <w:hideMark/>
          </w:tcPr>
          <w:p w14:paraId="635C2D06" w14:textId="77777777" w:rsidR="006F3111" w:rsidRDefault="006F3111">
            <w:pPr>
              <w:jc w:val="right"/>
              <w:rPr>
                <w:noProof/>
                <w:color w:val="000000"/>
                <w:sz w:val="20"/>
                <w:szCs w:val="20"/>
              </w:rPr>
            </w:pPr>
            <w:r>
              <w:rPr>
                <w:noProof/>
                <w:color w:val="000000"/>
                <w:sz w:val="20"/>
                <w:szCs w:val="20"/>
              </w:rPr>
              <w:t>0.7</w:t>
            </w:r>
          </w:p>
        </w:tc>
        <w:tc>
          <w:tcPr>
            <w:tcW w:w="249" w:type="pct"/>
            <w:tcBorders>
              <w:top w:val="nil"/>
              <w:left w:val="nil"/>
              <w:bottom w:val="single" w:sz="4" w:space="0" w:color="auto"/>
              <w:right w:val="single" w:sz="4" w:space="0" w:color="auto"/>
            </w:tcBorders>
            <w:shd w:val="clear" w:color="000000" w:fill="FFFFFF"/>
            <w:noWrap/>
            <w:hideMark/>
          </w:tcPr>
          <w:p w14:paraId="62382E26" w14:textId="77777777" w:rsidR="006F3111" w:rsidRDefault="006F3111">
            <w:pPr>
              <w:jc w:val="right"/>
              <w:rPr>
                <w:noProof/>
                <w:color w:val="000000"/>
                <w:sz w:val="20"/>
                <w:szCs w:val="20"/>
              </w:rPr>
            </w:pPr>
            <w:r>
              <w:rPr>
                <w:noProof/>
                <w:color w:val="000000"/>
                <w:sz w:val="20"/>
                <w:szCs w:val="20"/>
              </w:rPr>
              <w:t>4.0</w:t>
            </w:r>
          </w:p>
        </w:tc>
        <w:tc>
          <w:tcPr>
            <w:tcW w:w="249" w:type="pct"/>
            <w:tcBorders>
              <w:top w:val="nil"/>
              <w:left w:val="nil"/>
              <w:bottom w:val="single" w:sz="4" w:space="0" w:color="auto"/>
              <w:right w:val="single" w:sz="4" w:space="0" w:color="auto"/>
            </w:tcBorders>
            <w:shd w:val="clear" w:color="000000" w:fill="FFFFFF"/>
            <w:noWrap/>
            <w:hideMark/>
          </w:tcPr>
          <w:p w14:paraId="204F4205" w14:textId="77777777" w:rsidR="006F3111" w:rsidRDefault="006F3111">
            <w:pPr>
              <w:jc w:val="right"/>
              <w:rPr>
                <w:noProof/>
                <w:color w:val="000000"/>
                <w:sz w:val="20"/>
                <w:szCs w:val="20"/>
              </w:rPr>
            </w:pPr>
            <w:r>
              <w:rPr>
                <w:noProof/>
                <w:color w:val="000000"/>
                <w:sz w:val="20"/>
                <w:szCs w:val="20"/>
              </w:rPr>
              <w:t>0.6</w:t>
            </w:r>
          </w:p>
        </w:tc>
        <w:tc>
          <w:tcPr>
            <w:tcW w:w="249" w:type="pct"/>
            <w:tcBorders>
              <w:top w:val="nil"/>
              <w:left w:val="nil"/>
              <w:bottom w:val="single" w:sz="4" w:space="0" w:color="auto"/>
              <w:right w:val="single" w:sz="4" w:space="0" w:color="auto"/>
            </w:tcBorders>
            <w:shd w:val="clear" w:color="000000" w:fill="FFFFFF"/>
            <w:noWrap/>
            <w:hideMark/>
          </w:tcPr>
          <w:p w14:paraId="1BA487F8" w14:textId="77777777" w:rsidR="006F3111" w:rsidRDefault="006F3111">
            <w:pPr>
              <w:jc w:val="right"/>
              <w:rPr>
                <w:noProof/>
                <w:color w:val="000000"/>
                <w:sz w:val="20"/>
                <w:szCs w:val="20"/>
              </w:rPr>
            </w:pPr>
            <w:r>
              <w:rPr>
                <w:noProof/>
                <w:color w:val="000000"/>
                <w:sz w:val="20"/>
                <w:szCs w:val="20"/>
              </w:rPr>
              <w:t>0.9</w:t>
            </w:r>
          </w:p>
        </w:tc>
        <w:tc>
          <w:tcPr>
            <w:tcW w:w="249" w:type="pct"/>
            <w:tcBorders>
              <w:top w:val="nil"/>
              <w:left w:val="nil"/>
              <w:bottom w:val="single" w:sz="4" w:space="0" w:color="auto"/>
              <w:right w:val="single" w:sz="4" w:space="0" w:color="auto"/>
            </w:tcBorders>
            <w:shd w:val="clear" w:color="000000" w:fill="FFFFFF"/>
            <w:noWrap/>
            <w:hideMark/>
          </w:tcPr>
          <w:p w14:paraId="1200F9E2" w14:textId="77777777" w:rsidR="006F3111" w:rsidRDefault="006F3111">
            <w:pPr>
              <w:jc w:val="right"/>
              <w:rPr>
                <w:noProof/>
                <w:color w:val="000000"/>
                <w:sz w:val="20"/>
                <w:szCs w:val="20"/>
              </w:rPr>
            </w:pPr>
            <w:r>
              <w:rPr>
                <w:noProof/>
                <w:color w:val="000000"/>
                <w:sz w:val="20"/>
                <w:szCs w:val="20"/>
              </w:rPr>
              <w:t>0.7</w:t>
            </w:r>
          </w:p>
        </w:tc>
        <w:tc>
          <w:tcPr>
            <w:tcW w:w="249" w:type="pct"/>
            <w:tcBorders>
              <w:top w:val="nil"/>
              <w:left w:val="nil"/>
              <w:bottom w:val="single" w:sz="4" w:space="0" w:color="auto"/>
              <w:right w:val="single" w:sz="4" w:space="0" w:color="auto"/>
            </w:tcBorders>
            <w:shd w:val="clear" w:color="000000" w:fill="FFFFFF"/>
            <w:noWrap/>
            <w:hideMark/>
          </w:tcPr>
          <w:p w14:paraId="4A7EFCD6" w14:textId="77777777" w:rsidR="006F3111" w:rsidRDefault="006F3111">
            <w:pPr>
              <w:jc w:val="right"/>
              <w:rPr>
                <w:noProof/>
                <w:color w:val="000000"/>
                <w:sz w:val="20"/>
                <w:szCs w:val="20"/>
              </w:rPr>
            </w:pPr>
            <w:r>
              <w:rPr>
                <w:noProof/>
                <w:color w:val="000000"/>
                <w:sz w:val="20"/>
                <w:szCs w:val="20"/>
              </w:rPr>
              <w:t>4.0</w:t>
            </w:r>
          </w:p>
        </w:tc>
        <w:tc>
          <w:tcPr>
            <w:tcW w:w="249" w:type="pct"/>
            <w:tcBorders>
              <w:top w:val="nil"/>
              <w:left w:val="nil"/>
              <w:bottom w:val="single" w:sz="4" w:space="0" w:color="auto"/>
              <w:right w:val="single" w:sz="4" w:space="0" w:color="auto"/>
            </w:tcBorders>
            <w:shd w:val="clear" w:color="000000" w:fill="FFFFFF"/>
            <w:noWrap/>
            <w:hideMark/>
          </w:tcPr>
          <w:p w14:paraId="04B67E41" w14:textId="77777777" w:rsidR="006F3111" w:rsidRDefault="006F3111">
            <w:pPr>
              <w:jc w:val="right"/>
              <w:rPr>
                <w:noProof/>
                <w:color w:val="000000"/>
                <w:sz w:val="20"/>
                <w:szCs w:val="20"/>
              </w:rPr>
            </w:pPr>
            <w:r>
              <w:rPr>
                <w:noProof/>
                <w:color w:val="000000"/>
                <w:sz w:val="20"/>
                <w:szCs w:val="20"/>
              </w:rPr>
              <w:t>0.6</w:t>
            </w:r>
          </w:p>
        </w:tc>
        <w:tc>
          <w:tcPr>
            <w:tcW w:w="249" w:type="pct"/>
            <w:tcBorders>
              <w:top w:val="nil"/>
              <w:left w:val="nil"/>
              <w:bottom w:val="single" w:sz="4" w:space="0" w:color="auto"/>
              <w:right w:val="single" w:sz="4" w:space="0" w:color="auto"/>
            </w:tcBorders>
            <w:shd w:val="clear" w:color="000000" w:fill="FFFFFF"/>
            <w:noWrap/>
            <w:hideMark/>
          </w:tcPr>
          <w:p w14:paraId="6816354A" w14:textId="77777777" w:rsidR="006F3111" w:rsidRDefault="006F3111">
            <w:pPr>
              <w:jc w:val="right"/>
              <w:rPr>
                <w:noProof/>
                <w:color w:val="000000"/>
                <w:sz w:val="20"/>
                <w:szCs w:val="20"/>
              </w:rPr>
            </w:pPr>
            <w:r>
              <w:rPr>
                <w:noProof/>
                <w:color w:val="000000"/>
                <w:sz w:val="20"/>
                <w:szCs w:val="20"/>
              </w:rPr>
              <w:t>1.0</w:t>
            </w:r>
          </w:p>
        </w:tc>
        <w:tc>
          <w:tcPr>
            <w:tcW w:w="249" w:type="pct"/>
            <w:tcBorders>
              <w:top w:val="nil"/>
              <w:left w:val="nil"/>
              <w:bottom w:val="single" w:sz="4" w:space="0" w:color="auto"/>
              <w:right w:val="single" w:sz="4" w:space="0" w:color="auto"/>
            </w:tcBorders>
            <w:shd w:val="clear" w:color="000000" w:fill="FFFFFF"/>
            <w:noWrap/>
            <w:hideMark/>
          </w:tcPr>
          <w:p w14:paraId="37074222" w14:textId="77777777" w:rsidR="006F3111" w:rsidRDefault="006F3111">
            <w:pPr>
              <w:jc w:val="right"/>
              <w:rPr>
                <w:noProof/>
                <w:color w:val="000000"/>
                <w:sz w:val="20"/>
                <w:szCs w:val="20"/>
              </w:rPr>
            </w:pPr>
            <w:r>
              <w:rPr>
                <w:noProof/>
                <w:color w:val="000000"/>
                <w:sz w:val="20"/>
                <w:szCs w:val="20"/>
              </w:rPr>
              <w:t>0.7</w:t>
            </w:r>
          </w:p>
        </w:tc>
      </w:tr>
      <w:tr w:rsidR="006F3111" w14:paraId="22DAEA24" w14:textId="77777777" w:rsidTr="00593F3D">
        <w:trPr>
          <w:trHeight w:val="282"/>
        </w:trPr>
        <w:tc>
          <w:tcPr>
            <w:tcW w:w="1016" w:type="pct"/>
            <w:tcBorders>
              <w:top w:val="nil"/>
              <w:left w:val="single" w:sz="4" w:space="0" w:color="auto"/>
              <w:bottom w:val="single" w:sz="4" w:space="0" w:color="auto"/>
              <w:right w:val="single" w:sz="4" w:space="0" w:color="auto"/>
            </w:tcBorders>
            <w:shd w:val="clear" w:color="000000" w:fill="FFFFFF"/>
            <w:hideMark/>
          </w:tcPr>
          <w:p w14:paraId="6673C22E" w14:textId="77777777" w:rsidR="006F3111" w:rsidRDefault="006F3111">
            <w:pPr>
              <w:rPr>
                <w:noProof/>
                <w:color w:val="000000"/>
                <w:sz w:val="20"/>
                <w:szCs w:val="20"/>
              </w:rPr>
            </w:pPr>
            <w:r>
              <w:rPr>
                <w:noProof/>
                <w:color w:val="000000"/>
                <w:sz w:val="20"/>
                <w:szCs w:val="20"/>
              </w:rPr>
              <w:t>PM2 (Equal care for data)</w:t>
            </w:r>
          </w:p>
        </w:tc>
        <w:tc>
          <w:tcPr>
            <w:tcW w:w="249" w:type="pct"/>
            <w:tcBorders>
              <w:top w:val="nil"/>
              <w:left w:val="nil"/>
              <w:bottom w:val="single" w:sz="4" w:space="0" w:color="auto"/>
              <w:right w:val="single" w:sz="4" w:space="0" w:color="auto"/>
            </w:tcBorders>
            <w:shd w:val="clear" w:color="000000" w:fill="FFFFFF"/>
            <w:noWrap/>
            <w:hideMark/>
          </w:tcPr>
          <w:p w14:paraId="01ED58A0" w14:textId="77777777" w:rsidR="006F3111" w:rsidRDefault="006F3111">
            <w:pPr>
              <w:jc w:val="right"/>
              <w:rPr>
                <w:noProof/>
                <w:color w:val="000000"/>
                <w:sz w:val="20"/>
                <w:szCs w:val="20"/>
              </w:rPr>
            </w:pPr>
            <w:r>
              <w:rPr>
                <w:noProof/>
                <w:color w:val="000000"/>
                <w:sz w:val="20"/>
                <w:szCs w:val="20"/>
              </w:rPr>
              <w:t>3.0</w:t>
            </w:r>
          </w:p>
        </w:tc>
        <w:tc>
          <w:tcPr>
            <w:tcW w:w="249" w:type="pct"/>
            <w:tcBorders>
              <w:top w:val="nil"/>
              <w:left w:val="nil"/>
              <w:bottom w:val="single" w:sz="4" w:space="0" w:color="auto"/>
              <w:right w:val="single" w:sz="4" w:space="0" w:color="auto"/>
            </w:tcBorders>
            <w:shd w:val="clear" w:color="000000" w:fill="FFFFFF"/>
            <w:noWrap/>
            <w:hideMark/>
          </w:tcPr>
          <w:p w14:paraId="096D938C" w14:textId="77777777" w:rsidR="006F3111" w:rsidRDefault="006F3111">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4BC215C9" w14:textId="77777777" w:rsidR="006F3111" w:rsidRDefault="006F3111">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6FCAAC21" w14:textId="77777777" w:rsidR="006F3111" w:rsidRDefault="006F3111">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4D3A6307" w14:textId="77777777" w:rsidR="006F3111" w:rsidRDefault="006F3111">
            <w:pPr>
              <w:jc w:val="right"/>
              <w:rPr>
                <w:noProof/>
                <w:color w:val="000000"/>
                <w:sz w:val="20"/>
                <w:szCs w:val="20"/>
              </w:rPr>
            </w:pPr>
            <w:r>
              <w:rPr>
                <w:noProof/>
                <w:color w:val="000000"/>
                <w:sz w:val="20"/>
                <w:szCs w:val="20"/>
              </w:rPr>
              <w:t>3.0</w:t>
            </w:r>
          </w:p>
        </w:tc>
        <w:tc>
          <w:tcPr>
            <w:tcW w:w="249" w:type="pct"/>
            <w:tcBorders>
              <w:top w:val="nil"/>
              <w:left w:val="nil"/>
              <w:bottom w:val="single" w:sz="4" w:space="0" w:color="auto"/>
              <w:right w:val="single" w:sz="4" w:space="0" w:color="auto"/>
            </w:tcBorders>
            <w:shd w:val="clear" w:color="000000" w:fill="FFFFFF"/>
            <w:noWrap/>
            <w:hideMark/>
          </w:tcPr>
          <w:p w14:paraId="53F5D2E4" w14:textId="77777777" w:rsidR="006F3111" w:rsidRDefault="006F3111">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18A85C62" w14:textId="77777777" w:rsidR="006F3111" w:rsidRDefault="006F3111">
            <w:pPr>
              <w:jc w:val="right"/>
              <w:rPr>
                <w:noProof/>
                <w:color w:val="000000"/>
                <w:sz w:val="20"/>
                <w:szCs w:val="20"/>
              </w:rPr>
            </w:pPr>
            <w:r>
              <w:rPr>
                <w:noProof/>
                <w:color w:val="000000"/>
                <w:sz w:val="20"/>
                <w:szCs w:val="20"/>
              </w:rPr>
              <w:t>0.8</w:t>
            </w:r>
          </w:p>
        </w:tc>
        <w:tc>
          <w:tcPr>
            <w:tcW w:w="249" w:type="pct"/>
            <w:tcBorders>
              <w:top w:val="nil"/>
              <w:left w:val="nil"/>
              <w:bottom w:val="single" w:sz="4" w:space="0" w:color="auto"/>
              <w:right w:val="single" w:sz="4" w:space="0" w:color="auto"/>
            </w:tcBorders>
            <w:shd w:val="clear" w:color="000000" w:fill="FFFFFF"/>
            <w:noWrap/>
            <w:hideMark/>
          </w:tcPr>
          <w:p w14:paraId="0DECD021" w14:textId="77777777" w:rsidR="006F3111" w:rsidRDefault="006F3111">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50F94220" w14:textId="77777777" w:rsidR="006F3111" w:rsidRDefault="006F3111">
            <w:pPr>
              <w:jc w:val="right"/>
              <w:rPr>
                <w:noProof/>
                <w:color w:val="000000"/>
                <w:sz w:val="20"/>
                <w:szCs w:val="20"/>
              </w:rPr>
            </w:pPr>
            <w:r>
              <w:rPr>
                <w:noProof/>
                <w:color w:val="000000"/>
                <w:sz w:val="20"/>
                <w:szCs w:val="20"/>
              </w:rPr>
              <w:t>3.0</w:t>
            </w:r>
          </w:p>
        </w:tc>
        <w:tc>
          <w:tcPr>
            <w:tcW w:w="249" w:type="pct"/>
            <w:tcBorders>
              <w:top w:val="nil"/>
              <w:left w:val="nil"/>
              <w:bottom w:val="single" w:sz="4" w:space="0" w:color="auto"/>
              <w:right w:val="single" w:sz="4" w:space="0" w:color="auto"/>
            </w:tcBorders>
            <w:shd w:val="clear" w:color="000000" w:fill="FFFFFF"/>
            <w:noWrap/>
            <w:hideMark/>
          </w:tcPr>
          <w:p w14:paraId="056AB20D" w14:textId="77777777" w:rsidR="006F3111" w:rsidRDefault="006F3111">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693D49D4" w14:textId="77777777" w:rsidR="006F3111" w:rsidRDefault="006F3111">
            <w:pPr>
              <w:jc w:val="right"/>
              <w:rPr>
                <w:noProof/>
                <w:color w:val="000000"/>
                <w:sz w:val="20"/>
                <w:szCs w:val="20"/>
              </w:rPr>
            </w:pPr>
            <w:r>
              <w:rPr>
                <w:noProof/>
                <w:color w:val="000000"/>
                <w:sz w:val="20"/>
                <w:szCs w:val="20"/>
              </w:rPr>
              <w:t>0.7</w:t>
            </w:r>
          </w:p>
        </w:tc>
        <w:tc>
          <w:tcPr>
            <w:tcW w:w="249" w:type="pct"/>
            <w:tcBorders>
              <w:top w:val="nil"/>
              <w:left w:val="nil"/>
              <w:bottom w:val="single" w:sz="4" w:space="0" w:color="auto"/>
              <w:right w:val="single" w:sz="4" w:space="0" w:color="auto"/>
            </w:tcBorders>
            <w:shd w:val="clear" w:color="000000" w:fill="FFFFFF"/>
            <w:noWrap/>
            <w:hideMark/>
          </w:tcPr>
          <w:p w14:paraId="6F463130" w14:textId="77777777" w:rsidR="006F3111" w:rsidRDefault="006F3111">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72DA0335" w14:textId="77777777" w:rsidR="006F3111" w:rsidRDefault="006F3111">
            <w:pPr>
              <w:jc w:val="right"/>
              <w:rPr>
                <w:noProof/>
                <w:color w:val="000000"/>
                <w:sz w:val="20"/>
                <w:szCs w:val="20"/>
              </w:rPr>
            </w:pPr>
            <w:r>
              <w:rPr>
                <w:noProof/>
                <w:color w:val="000000"/>
                <w:sz w:val="20"/>
                <w:szCs w:val="20"/>
              </w:rPr>
              <w:t>3.0</w:t>
            </w:r>
          </w:p>
        </w:tc>
        <w:tc>
          <w:tcPr>
            <w:tcW w:w="249" w:type="pct"/>
            <w:tcBorders>
              <w:top w:val="nil"/>
              <w:left w:val="nil"/>
              <w:bottom w:val="single" w:sz="4" w:space="0" w:color="auto"/>
              <w:right w:val="single" w:sz="4" w:space="0" w:color="auto"/>
            </w:tcBorders>
            <w:shd w:val="clear" w:color="000000" w:fill="FFFFFF"/>
            <w:noWrap/>
            <w:hideMark/>
          </w:tcPr>
          <w:p w14:paraId="30BA035D" w14:textId="77777777" w:rsidR="006F3111" w:rsidRDefault="006F3111">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6B1FCB0B" w14:textId="77777777" w:rsidR="006F3111" w:rsidRDefault="006F3111">
            <w:pPr>
              <w:jc w:val="right"/>
              <w:rPr>
                <w:noProof/>
                <w:color w:val="000000"/>
                <w:sz w:val="20"/>
                <w:szCs w:val="20"/>
              </w:rPr>
            </w:pPr>
            <w:r>
              <w:rPr>
                <w:noProof/>
                <w:color w:val="000000"/>
                <w:sz w:val="20"/>
                <w:szCs w:val="20"/>
              </w:rPr>
              <w:t>0.7</w:t>
            </w:r>
          </w:p>
        </w:tc>
        <w:tc>
          <w:tcPr>
            <w:tcW w:w="249" w:type="pct"/>
            <w:tcBorders>
              <w:top w:val="nil"/>
              <w:left w:val="nil"/>
              <w:bottom w:val="single" w:sz="4" w:space="0" w:color="auto"/>
              <w:right w:val="single" w:sz="4" w:space="0" w:color="auto"/>
            </w:tcBorders>
            <w:shd w:val="clear" w:color="000000" w:fill="FFFFFF"/>
            <w:noWrap/>
            <w:hideMark/>
          </w:tcPr>
          <w:p w14:paraId="3DBD510B" w14:textId="77777777" w:rsidR="006F3111" w:rsidRDefault="006F3111">
            <w:pPr>
              <w:jc w:val="right"/>
              <w:rPr>
                <w:noProof/>
                <w:color w:val="000000"/>
                <w:sz w:val="20"/>
                <w:szCs w:val="20"/>
              </w:rPr>
            </w:pPr>
            <w:r>
              <w:rPr>
                <w:noProof/>
                <w:color w:val="000000"/>
                <w:sz w:val="20"/>
                <w:szCs w:val="20"/>
              </w:rPr>
              <w:t>0.5</w:t>
            </w:r>
          </w:p>
        </w:tc>
      </w:tr>
      <w:tr w:rsidR="006F3111" w14:paraId="586DC99A" w14:textId="77777777" w:rsidTr="00593F3D">
        <w:trPr>
          <w:trHeight w:val="510"/>
        </w:trPr>
        <w:tc>
          <w:tcPr>
            <w:tcW w:w="1016" w:type="pct"/>
            <w:tcBorders>
              <w:top w:val="nil"/>
              <w:left w:val="single" w:sz="4" w:space="0" w:color="auto"/>
              <w:bottom w:val="single" w:sz="4" w:space="0" w:color="auto"/>
              <w:right w:val="single" w:sz="4" w:space="0" w:color="auto"/>
            </w:tcBorders>
            <w:shd w:val="clear" w:color="000000" w:fill="FFFFFF"/>
            <w:hideMark/>
          </w:tcPr>
          <w:p w14:paraId="43552412" w14:textId="77777777" w:rsidR="006F3111" w:rsidRDefault="006F3111">
            <w:pPr>
              <w:rPr>
                <w:noProof/>
                <w:color w:val="000000"/>
                <w:sz w:val="20"/>
                <w:szCs w:val="20"/>
              </w:rPr>
            </w:pPr>
            <w:r>
              <w:rPr>
                <w:noProof/>
                <w:color w:val="000000"/>
                <w:sz w:val="20"/>
                <w:szCs w:val="20"/>
              </w:rPr>
              <w:t>PM3 (Marketing and booking data sharing)</w:t>
            </w:r>
          </w:p>
        </w:tc>
        <w:tc>
          <w:tcPr>
            <w:tcW w:w="249" w:type="pct"/>
            <w:tcBorders>
              <w:top w:val="nil"/>
              <w:left w:val="nil"/>
              <w:bottom w:val="single" w:sz="4" w:space="0" w:color="auto"/>
              <w:right w:val="single" w:sz="4" w:space="0" w:color="auto"/>
            </w:tcBorders>
            <w:shd w:val="clear" w:color="000000" w:fill="FFFFFF"/>
            <w:noWrap/>
            <w:hideMark/>
          </w:tcPr>
          <w:p w14:paraId="34559AD6" w14:textId="77777777" w:rsidR="006F3111" w:rsidRDefault="006F3111">
            <w:pPr>
              <w:jc w:val="right"/>
              <w:rPr>
                <w:noProof/>
                <w:color w:val="000000"/>
                <w:sz w:val="20"/>
                <w:szCs w:val="20"/>
              </w:rPr>
            </w:pPr>
            <w:r>
              <w:rPr>
                <w:noProof/>
                <w:color w:val="000000"/>
                <w:sz w:val="20"/>
                <w:szCs w:val="20"/>
              </w:rPr>
              <w:t>2.3</w:t>
            </w:r>
          </w:p>
        </w:tc>
        <w:tc>
          <w:tcPr>
            <w:tcW w:w="249" w:type="pct"/>
            <w:tcBorders>
              <w:top w:val="nil"/>
              <w:left w:val="nil"/>
              <w:bottom w:val="single" w:sz="4" w:space="0" w:color="auto"/>
              <w:right w:val="single" w:sz="4" w:space="0" w:color="auto"/>
            </w:tcBorders>
            <w:shd w:val="clear" w:color="000000" w:fill="FFFFFF"/>
            <w:noWrap/>
            <w:hideMark/>
          </w:tcPr>
          <w:p w14:paraId="5321C47B" w14:textId="77777777" w:rsidR="006F3111" w:rsidRDefault="006F3111">
            <w:pPr>
              <w:jc w:val="right"/>
              <w:rPr>
                <w:noProof/>
                <w:color w:val="000000"/>
                <w:sz w:val="20"/>
                <w:szCs w:val="20"/>
              </w:rPr>
            </w:pPr>
            <w:r>
              <w:rPr>
                <w:noProof/>
                <w:color w:val="000000"/>
                <w:sz w:val="20"/>
                <w:szCs w:val="20"/>
              </w:rPr>
              <w:t>0.3</w:t>
            </w:r>
          </w:p>
        </w:tc>
        <w:tc>
          <w:tcPr>
            <w:tcW w:w="249" w:type="pct"/>
            <w:tcBorders>
              <w:top w:val="nil"/>
              <w:left w:val="nil"/>
              <w:bottom w:val="single" w:sz="4" w:space="0" w:color="auto"/>
              <w:right w:val="single" w:sz="4" w:space="0" w:color="auto"/>
            </w:tcBorders>
            <w:shd w:val="clear" w:color="000000" w:fill="FFFFFF"/>
            <w:noWrap/>
            <w:hideMark/>
          </w:tcPr>
          <w:p w14:paraId="517B7A20" w14:textId="77777777" w:rsidR="006F3111" w:rsidRDefault="006F3111">
            <w:pPr>
              <w:jc w:val="right"/>
              <w:rPr>
                <w:noProof/>
                <w:color w:val="000000"/>
                <w:sz w:val="20"/>
                <w:szCs w:val="20"/>
              </w:rPr>
            </w:pPr>
            <w:r>
              <w:rPr>
                <w:noProof/>
                <w:color w:val="000000"/>
                <w:sz w:val="20"/>
                <w:szCs w:val="20"/>
              </w:rPr>
              <w:t>0.3</w:t>
            </w:r>
          </w:p>
        </w:tc>
        <w:tc>
          <w:tcPr>
            <w:tcW w:w="249" w:type="pct"/>
            <w:tcBorders>
              <w:top w:val="nil"/>
              <w:left w:val="nil"/>
              <w:bottom w:val="single" w:sz="4" w:space="0" w:color="auto"/>
              <w:right w:val="single" w:sz="4" w:space="0" w:color="auto"/>
            </w:tcBorders>
            <w:shd w:val="clear" w:color="000000" w:fill="FFFFFF"/>
            <w:noWrap/>
            <w:hideMark/>
          </w:tcPr>
          <w:p w14:paraId="0908F67E" w14:textId="77777777" w:rsidR="006F3111" w:rsidRDefault="006F3111">
            <w:pPr>
              <w:jc w:val="right"/>
              <w:rPr>
                <w:noProof/>
                <w:color w:val="000000"/>
                <w:sz w:val="20"/>
                <w:szCs w:val="20"/>
              </w:rPr>
            </w:pPr>
            <w:r>
              <w:rPr>
                <w:noProof/>
                <w:color w:val="000000"/>
                <w:sz w:val="20"/>
                <w:szCs w:val="20"/>
              </w:rPr>
              <w:t>0.3</w:t>
            </w:r>
          </w:p>
        </w:tc>
        <w:tc>
          <w:tcPr>
            <w:tcW w:w="249" w:type="pct"/>
            <w:tcBorders>
              <w:top w:val="nil"/>
              <w:left w:val="nil"/>
              <w:bottom w:val="single" w:sz="4" w:space="0" w:color="auto"/>
              <w:right w:val="single" w:sz="4" w:space="0" w:color="auto"/>
            </w:tcBorders>
            <w:shd w:val="clear" w:color="000000" w:fill="FFFFFF"/>
            <w:noWrap/>
            <w:hideMark/>
          </w:tcPr>
          <w:p w14:paraId="37E50396" w14:textId="77777777" w:rsidR="006F3111" w:rsidRDefault="006F3111">
            <w:pPr>
              <w:jc w:val="right"/>
              <w:rPr>
                <w:noProof/>
                <w:color w:val="000000"/>
                <w:sz w:val="20"/>
                <w:szCs w:val="20"/>
              </w:rPr>
            </w:pPr>
            <w:r>
              <w:rPr>
                <w:noProof/>
                <w:color w:val="000000"/>
                <w:sz w:val="20"/>
                <w:szCs w:val="20"/>
              </w:rPr>
              <w:t>2.3</w:t>
            </w:r>
          </w:p>
        </w:tc>
        <w:tc>
          <w:tcPr>
            <w:tcW w:w="249" w:type="pct"/>
            <w:tcBorders>
              <w:top w:val="nil"/>
              <w:left w:val="nil"/>
              <w:bottom w:val="single" w:sz="4" w:space="0" w:color="auto"/>
              <w:right w:val="single" w:sz="4" w:space="0" w:color="auto"/>
            </w:tcBorders>
            <w:shd w:val="clear" w:color="000000" w:fill="FFFFFF"/>
            <w:noWrap/>
            <w:hideMark/>
          </w:tcPr>
          <w:p w14:paraId="67C753BA" w14:textId="77777777" w:rsidR="006F3111" w:rsidRDefault="006F3111">
            <w:pPr>
              <w:jc w:val="right"/>
              <w:rPr>
                <w:noProof/>
                <w:color w:val="000000"/>
                <w:sz w:val="20"/>
                <w:szCs w:val="20"/>
              </w:rPr>
            </w:pPr>
            <w:r>
              <w:rPr>
                <w:noProof/>
                <w:color w:val="000000"/>
                <w:sz w:val="20"/>
                <w:szCs w:val="20"/>
              </w:rPr>
              <w:t>0.3</w:t>
            </w:r>
          </w:p>
        </w:tc>
        <w:tc>
          <w:tcPr>
            <w:tcW w:w="249" w:type="pct"/>
            <w:tcBorders>
              <w:top w:val="nil"/>
              <w:left w:val="nil"/>
              <w:bottom w:val="single" w:sz="4" w:space="0" w:color="auto"/>
              <w:right w:val="single" w:sz="4" w:space="0" w:color="auto"/>
            </w:tcBorders>
            <w:shd w:val="clear" w:color="000000" w:fill="FFFFFF"/>
            <w:noWrap/>
            <w:hideMark/>
          </w:tcPr>
          <w:p w14:paraId="64E3F649" w14:textId="77777777" w:rsidR="006F3111" w:rsidRDefault="006F3111">
            <w:pPr>
              <w:jc w:val="right"/>
              <w:rPr>
                <w:noProof/>
                <w:color w:val="000000"/>
                <w:sz w:val="20"/>
                <w:szCs w:val="20"/>
              </w:rPr>
            </w:pPr>
            <w:r>
              <w:rPr>
                <w:noProof/>
                <w:color w:val="000000"/>
                <w:sz w:val="20"/>
                <w:szCs w:val="20"/>
              </w:rPr>
              <w:t>0.6</w:t>
            </w:r>
          </w:p>
        </w:tc>
        <w:tc>
          <w:tcPr>
            <w:tcW w:w="249" w:type="pct"/>
            <w:tcBorders>
              <w:top w:val="nil"/>
              <w:left w:val="nil"/>
              <w:bottom w:val="single" w:sz="4" w:space="0" w:color="auto"/>
              <w:right w:val="single" w:sz="4" w:space="0" w:color="auto"/>
            </w:tcBorders>
            <w:shd w:val="clear" w:color="000000" w:fill="FFFFFF"/>
            <w:noWrap/>
            <w:hideMark/>
          </w:tcPr>
          <w:p w14:paraId="186C480E" w14:textId="77777777" w:rsidR="006F3111" w:rsidRDefault="006F3111">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0D150C64" w14:textId="77777777" w:rsidR="006F3111" w:rsidRDefault="006F3111">
            <w:pPr>
              <w:jc w:val="right"/>
              <w:rPr>
                <w:noProof/>
                <w:color w:val="000000"/>
                <w:sz w:val="20"/>
                <w:szCs w:val="20"/>
              </w:rPr>
            </w:pPr>
            <w:r>
              <w:rPr>
                <w:noProof/>
                <w:color w:val="000000"/>
                <w:sz w:val="20"/>
                <w:szCs w:val="20"/>
              </w:rPr>
              <w:t>2.3</w:t>
            </w:r>
          </w:p>
        </w:tc>
        <w:tc>
          <w:tcPr>
            <w:tcW w:w="249" w:type="pct"/>
            <w:tcBorders>
              <w:top w:val="nil"/>
              <w:left w:val="nil"/>
              <w:bottom w:val="single" w:sz="4" w:space="0" w:color="auto"/>
              <w:right w:val="single" w:sz="4" w:space="0" w:color="auto"/>
            </w:tcBorders>
            <w:shd w:val="clear" w:color="000000" w:fill="FFFFFF"/>
            <w:noWrap/>
            <w:hideMark/>
          </w:tcPr>
          <w:p w14:paraId="7B8920DB" w14:textId="77777777" w:rsidR="006F3111" w:rsidRDefault="006F3111">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56BE6B2B" w14:textId="77777777" w:rsidR="006F3111" w:rsidRDefault="006F3111">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622222F7" w14:textId="77777777" w:rsidR="006F3111" w:rsidRDefault="006F3111">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52A44F79" w14:textId="77777777" w:rsidR="006F3111" w:rsidRDefault="006F3111">
            <w:pPr>
              <w:jc w:val="right"/>
              <w:rPr>
                <w:noProof/>
                <w:color w:val="000000"/>
                <w:sz w:val="20"/>
                <w:szCs w:val="20"/>
              </w:rPr>
            </w:pPr>
            <w:r>
              <w:rPr>
                <w:noProof/>
                <w:color w:val="000000"/>
                <w:sz w:val="20"/>
                <w:szCs w:val="20"/>
              </w:rPr>
              <w:t>2.3</w:t>
            </w:r>
          </w:p>
        </w:tc>
        <w:tc>
          <w:tcPr>
            <w:tcW w:w="249" w:type="pct"/>
            <w:tcBorders>
              <w:top w:val="nil"/>
              <w:left w:val="nil"/>
              <w:bottom w:val="single" w:sz="4" w:space="0" w:color="auto"/>
              <w:right w:val="single" w:sz="4" w:space="0" w:color="auto"/>
            </w:tcBorders>
            <w:shd w:val="clear" w:color="000000" w:fill="FFFFFF"/>
            <w:noWrap/>
            <w:hideMark/>
          </w:tcPr>
          <w:p w14:paraId="0489A476" w14:textId="77777777" w:rsidR="006F3111" w:rsidRDefault="006F3111">
            <w:pPr>
              <w:jc w:val="right"/>
              <w:rPr>
                <w:noProof/>
                <w:color w:val="000000"/>
                <w:sz w:val="20"/>
                <w:szCs w:val="20"/>
              </w:rPr>
            </w:pPr>
            <w:r>
              <w:rPr>
                <w:noProof/>
                <w:color w:val="000000"/>
                <w:sz w:val="20"/>
                <w:szCs w:val="20"/>
              </w:rPr>
              <w:t>0.3</w:t>
            </w:r>
          </w:p>
        </w:tc>
        <w:tc>
          <w:tcPr>
            <w:tcW w:w="249" w:type="pct"/>
            <w:tcBorders>
              <w:top w:val="nil"/>
              <w:left w:val="nil"/>
              <w:bottom w:val="single" w:sz="4" w:space="0" w:color="auto"/>
              <w:right w:val="single" w:sz="4" w:space="0" w:color="auto"/>
            </w:tcBorders>
            <w:shd w:val="clear" w:color="000000" w:fill="FFFFFF"/>
            <w:noWrap/>
            <w:hideMark/>
          </w:tcPr>
          <w:p w14:paraId="2F76EBA1" w14:textId="77777777" w:rsidR="006F3111" w:rsidRDefault="006F3111">
            <w:pPr>
              <w:jc w:val="right"/>
              <w:rPr>
                <w:noProof/>
                <w:color w:val="000000"/>
                <w:sz w:val="20"/>
                <w:szCs w:val="20"/>
              </w:rPr>
            </w:pPr>
            <w:r>
              <w:rPr>
                <w:noProof/>
                <w:color w:val="000000"/>
                <w:sz w:val="20"/>
                <w:szCs w:val="20"/>
              </w:rPr>
              <w:t>0.6</w:t>
            </w:r>
          </w:p>
        </w:tc>
        <w:tc>
          <w:tcPr>
            <w:tcW w:w="249" w:type="pct"/>
            <w:tcBorders>
              <w:top w:val="nil"/>
              <w:left w:val="nil"/>
              <w:bottom w:val="single" w:sz="4" w:space="0" w:color="auto"/>
              <w:right w:val="single" w:sz="4" w:space="0" w:color="auto"/>
            </w:tcBorders>
            <w:shd w:val="clear" w:color="000000" w:fill="FFFFFF"/>
            <w:noWrap/>
            <w:hideMark/>
          </w:tcPr>
          <w:p w14:paraId="003A5223" w14:textId="77777777" w:rsidR="006F3111" w:rsidRDefault="006F3111">
            <w:pPr>
              <w:jc w:val="right"/>
              <w:rPr>
                <w:noProof/>
                <w:color w:val="000000"/>
                <w:sz w:val="20"/>
                <w:szCs w:val="20"/>
              </w:rPr>
            </w:pPr>
            <w:r>
              <w:rPr>
                <w:noProof/>
                <w:color w:val="000000"/>
                <w:sz w:val="20"/>
                <w:szCs w:val="20"/>
              </w:rPr>
              <w:t>0.4</w:t>
            </w:r>
          </w:p>
        </w:tc>
      </w:tr>
      <w:tr w:rsidR="00ED02DA" w14:paraId="67AFCC7C" w14:textId="77777777" w:rsidTr="00593F3D">
        <w:trPr>
          <w:trHeight w:val="510"/>
        </w:trPr>
        <w:tc>
          <w:tcPr>
            <w:tcW w:w="1016" w:type="pct"/>
            <w:tcBorders>
              <w:top w:val="nil"/>
              <w:left w:val="single" w:sz="4" w:space="0" w:color="auto"/>
              <w:bottom w:val="single" w:sz="4" w:space="0" w:color="auto"/>
              <w:right w:val="single" w:sz="4" w:space="0" w:color="auto"/>
            </w:tcBorders>
            <w:hideMark/>
          </w:tcPr>
          <w:p w14:paraId="06DBFE54" w14:textId="77777777" w:rsidR="006F3111" w:rsidRDefault="006F3111">
            <w:pPr>
              <w:rPr>
                <w:noProof/>
                <w:color w:val="000000"/>
                <w:sz w:val="20"/>
                <w:szCs w:val="20"/>
              </w:rPr>
            </w:pPr>
            <w:r>
              <w:rPr>
                <w:noProof/>
                <w:color w:val="000000"/>
                <w:sz w:val="20"/>
                <w:szCs w:val="20"/>
              </w:rPr>
              <w:t>PM7 (Data for mobility management)</w:t>
            </w:r>
          </w:p>
        </w:tc>
        <w:tc>
          <w:tcPr>
            <w:tcW w:w="249" w:type="pct"/>
            <w:tcBorders>
              <w:top w:val="nil"/>
              <w:left w:val="nil"/>
              <w:bottom w:val="single" w:sz="4" w:space="0" w:color="auto"/>
              <w:right w:val="single" w:sz="4" w:space="0" w:color="auto"/>
            </w:tcBorders>
            <w:shd w:val="clear" w:color="000000" w:fill="FFFFFF"/>
            <w:noWrap/>
            <w:hideMark/>
          </w:tcPr>
          <w:p w14:paraId="40B89529" w14:textId="77777777" w:rsidR="006F3111" w:rsidRDefault="006F3111">
            <w:pPr>
              <w:jc w:val="right"/>
              <w:rPr>
                <w:noProof/>
                <w:color w:val="000000"/>
                <w:sz w:val="20"/>
                <w:szCs w:val="20"/>
              </w:rPr>
            </w:pPr>
            <w:r>
              <w:rPr>
                <w:noProof/>
                <w:color w:val="000000"/>
                <w:sz w:val="20"/>
                <w:szCs w:val="20"/>
              </w:rPr>
              <w:t>17.6</w:t>
            </w:r>
          </w:p>
        </w:tc>
        <w:tc>
          <w:tcPr>
            <w:tcW w:w="249" w:type="pct"/>
            <w:tcBorders>
              <w:top w:val="nil"/>
              <w:left w:val="nil"/>
              <w:bottom w:val="single" w:sz="4" w:space="0" w:color="auto"/>
              <w:right w:val="single" w:sz="4" w:space="0" w:color="auto"/>
            </w:tcBorders>
            <w:shd w:val="clear" w:color="000000" w:fill="FFFFFF"/>
            <w:noWrap/>
            <w:hideMark/>
          </w:tcPr>
          <w:p w14:paraId="043F2C07" w14:textId="77777777" w:rsidR="006F3111" w:rsidRDefault="006F3111">
            <w:pPr>
              <w:jc w:val="right"/>
              <w:rPr>
                <w:noProof/>
                <w:color w:val="000000"/>
                <w:sz w:val="20"/>
                <w:szCs w:val="20"/>
              </w:rPr>
            </w:pPr>
            <w:r>
              <w:rPr>
                <w:noProof/>
                <w:color w:val="000000"/>
                <w:sz w:val="20"/>
                <w:szCs w:val="20"/>
              </w:rPr>
              <w:t>2.2</w:t>
            </w:r>
          </w:p>
        </w:tc>
        <w:tc>
          <w:tcPr>
            <w:tcW w:w="249" w:type="pct"/>
            <w:tcBorders>
              <w:top w:val="nil"/>
              <w:left w:val="nil"/>
              <w:bottom w:val="single" w:sz="4" w:space="0" w:color="auto"/>
              <w:right w:val="single" w:sz="4" w:space="0" w:color="auto"/>
            </w:tcBorders>
            <w:shd w:val="clear" w:color="000000" w:fill="FFFFFF"/>
            <w:noWrap/>
            <w:hideMark/>
          </w:tcPr>
          <w:p w14:paraId="0688ABC3" w14:textId="77777777" w:rsidR="006F3111" w:rsidRDefault="006F3111">
            <w:pPr>
              <w:jc w:val="right"/>
              <w:rPr>
                <w:noProof/>
                <w:color w:val="000000"/>
                <w:sz w:val="20"/>
                <w:szCs w:val="20"/>
              </w:rPr>
            </w:pPr>
            <w:r>
              <w:rPr>
                <w:noProof/>
                <w:color w:val="000000"/>
                <w:sz w:val="20"/>
                <w:szCs w:val="20"/>
              </w:rPr>
              <w:t>2.3</w:t>
            </w:r>
          </w:p>
        </w:tc>
        <w:tc>
          <w:tcPr>
            <w:tcW w:w="249" w:type="pct"/>
            <w:tcBorders>
              <w:top w:val="nil"/>
              <w:left w:val="nil"/>
              <w:bottom w:val="single" w:sz="4" w:space="0" w:color="auto"/>
              <w:right w:val="single" w:sz="4" w:space="0" w:color="auto"/>
            </w:tcBorders>
            <w:shd w:val="clear" w:color="000000" w:fill="FFFFFF"/>
            <w:noWrap/>
            <w:hideMark/>
          </w:tcPr>
          <w:p w14:paraId="4432198D" w14:textId="77777777" w:rsidR="006F3111" w:rsidRDefault="006F3111">
            <w:pPr>
              <w:jc w:val="right"/>
              <w:rPr>
                <w:noProof/>
                <w:color w:val="000000"/>
                <w:sz w:val="20"/>
                <w:szCs w:val="20"/>
              </w:rPr>
            </w:pPr>
            <w:r>
              <w:rPr>
                <w:noProof/>
                <w:color w:val="000000"/>
                <w:sz w:val="20"/>
                <w:szCs w:val="20"/>
              </w:rPr>
              <w:t>2.1</w:t>
            </w:r>
          </w:p>
        </w:tc>
        <w:tc>
          <w:tcPr>
            <w:tcW w:w="249" w:type="pct"/>
            <w:tcBorders>
              <w:top w:val="nil"/>
              <w:left w:val="nil"/>
              <w:bottom w:val="single" w:sz="4" w:space="0" w:color="auto"/>
              <w:right w:val="single" w:sz="4" w:space="0" w:color="auto"/>
            </w:tcBorders>
            <w:shd w:val="clear" w:color="000000" w:fill="FFFFFF"/>
            <w:noWrap/>
            <w:hideMark/>
          </w:tcPr>
          <w:p w14:paraId="510B1B86" w14:textId="77777777" w:rsidR="006F3111" w:rsidRDefault="006F3111">
            <w:pPr>
              <w:jc w:val="right"/>
              <w:rPr>
                <w:noProof/>
                <w:color w:val="000000"/>
                <w:sz w:val="20"/>
                <w:szCs w:val="20"/>
              </w:rPr>
            </w:pPr>
            <w:r>
              <w:rPr>
                <w:noProof/>
                <w:color w:val="000000"/>
                <w:sz w:val="20"/>
                <w:szCs w:val="20"/>
              </w:rPr>
              <w:t>17.6</w:t>
            </w:r>
          </w:p>
        </w:tc>
        <w:tc>
          <w:tcPr>
            <w:tcW w:w="249" w:type="pct"/>
            <w:tcBorders>
              <w:top w:val="nil"/>
              <w:left w:val="nil"/>
              <w:bottom w:val="single" w:sz="4" w:space="0" w:color="auto"/>
              <w:right w:val="single" w:sz="4" w:space="0" w:color="auto"/>
            </w:tcBorders>
            <w:shd w:val="clear" w:color="000000" w:fill="FFFFFF"/>
            <w:noWrap/>
            <w:hideMark/>
          </w:tcPr>
          <w:p w14:paraId="322BD3B3" w14:textId="77777777" w:rsidR="006F3111" w:rsidRDefault="006F3111">
            <w:pPr>
              <w:jc w:val="right"/>
              <w:rPr>
                <w:noProof/>
                <w:color w:val="000000"/>
                <w:sz w:val="20"/>
                <w:szCs w:val="20"/>
              </w:rPr>
            </w:pPr>
            <w:r>
              <w:rPr>
                <w:noProof/>
                <w:color w:val="000000"/>
                <w:sz w:val="20"/>
                <w:szCs w:val="20"/>
              </w:rPr>
              <w:t>2.7</w:t>
            </w:r>
          </w:p>
        </w:tc>
        <w:tc>
          <w:tcPr>
            <w:tcW w:w="249" w:type="pct"/>
            <w:tcBorders>
              <w:top w:val="nil"/>
              <w:left w:val="nil"/>
              <w:bottom w:val="single" w:sz="4" w:space="0" w:color="auto"/>
              <w:right w:val="single" w:sz="4" w:space="0" w:color="auto"/>
            </w:tcBorders>
            <w:shd w:val="clear" w:color="000000" w:fill="FFFFFF"/>
            <w:noWrap/>
            <w:hideMark/>
          </w:tcPr>
          <w:p w14:paraId="566542B5" w14:textId="77777777" w:rsidR="006F3111" w:rsidRDefault="006F3111">
            <w:pPr>
              <w:jc w:val="right"/>
              <w:rPr>
                <w:noProof/>
                <w:color w:val="000000"/>
                <w:sz w:val="20"/>
                <w:szCs w:val="20"/>
              </w:rPr>
            </w:pPr>
            <w:r>
              <w:rPr>
                <w:noProof/>
                <w:color w:val="000000"/>
                <w:sz w:val="20"/>
                <w:szCs w:val="20"/>
              </w:rPr>
              <w:t>4.5</w:t>
            </w:r>
          </w:p>
        </w:tc>
        <w:tc>
          <w:tcPr>
            <w:tcW w:w="249" w:type="pct"/>
            <w:tcBorders>
              <w:top w:val="nil"/>
              <w:left w:val="nil"/>
              <w:bottom w:val="single" w:sz="4" w:space="0" w:color="auto"/>
              <w:right w:val="single" w:sz="4" w:space="0" w:color="auto"/>
            </w:tcBorders>
            <w:shd w:val="clear" w:color="000000" w:fill="FFFFFF"/>
            <w:noWrap/>
            <w:hideMark/>
          </w:tcPr>
          <w:p w14:paraId="05BCFAF1" w14:textId="77777777" w:rsidR="006F3111" w:rsidRDefault="006F3111">
            <w:pPr>
              <w:jc w:val="right"/>
              <w:rPr>
                <w:noProof/>
                <w:color w:val="000000"/>
                <w:sz w:val="20"/>
                <w:szCs w:val="20"/>
              </w:rPr>
            </w:pPr>
            <w:r>
              <w:rPr>
                <w:noProof/>
                <w:color w:val="000000"/>
                <w:sz w:val="20"/>
                <w:szCs w:val="20"/>
              </w:rPr>
              <w:t>3.1</w:t>
            </w:r>
          </w:p>
        </w:tc>
        <w:tc>
          <w:tcPr>
            <w:tcW w:w="249" w:type="pct"/>
            <w:tcBorders>
              <w:top w:val="nil"/>
              <w:left w:val="nil"/>
              <w:bottom w:val="single" w:sz="4" w:space="0" w:color="auto"/>
              <w:right w:val="single" w:sz="4" w:space="0" w:color="auto"/>
            </w:tcBorders>
            <w:shd w:val="clear" w:color="000000" w:fill="FFFFFF"/>
            <w:noWrap/>
            <w:hideMark/>
          </w:tcPr>
          <w:p w14:paraId="3DF39338" w14:textId="77777777" w:rsidR="006F3111" w:rsidRDefault="006F3111">
            <w:pPr>
              <w:jc w:val="right"/>
              <w:rPr>
                <w:noProof/>
                <w:color w:val="000000"/>
                <w:sz w:val="20"/>
                <w:szCs w:val="20"/>
              </w:rPr>
            </w:pPr>
            <w:r>
              <w:rPr>
                <w:noProof/>
                <w:color w:val="000000"/>
                <w:sz w:val="20"/>
                <w:szCs w:val="20"/>
              </w:rPr>
              <w:t>17.6</w:t>
            </w:r>
          </w:p>
        </w:tc>
        <w:tc>
          <w:tcPr>
            <w:tcW w:w="249" w:type="pct"/>
            <w:tcBorders>
              <w:top w:val="nil"/>
              <w:left w:val="nil"/>
              <w:bottom w:val="single" w:sz="4" w:space="0" w:color="auto"/>
              <w:right w:val="single" w:sz="4" w:space="0" w:color="auto"/>
            </w:tcBorders>
            <w:shd w:val="clear" w:color="000000" w:fill="FFFFFF"/>
            <w:noWrap/>
            <w:hideMark/>
          </w:tcPr>
          <w:p w14:paraId="44639081" w14:textId="77777777" w:rsidR="006F3111" w:rsidRDefault="006F3111">
            <w:pPr>
              <w:jc w:val="right"/>
              <w:rPr>
                <w:noProof/>
                <w:color w:val="000000"/>
                <w:sz w:val="20"/>
                <w:szCs w:val="20"/>
              </w:rPr>
            </w:pPr>
            <w:r>
              <w:rPr>
                <w:noProof/>
                <w:color w:val="000000"/>
                <w:sz w:val="20"/>
                <w:szCs w:val="20"/>
              </w:rPr>
              <w:t>2.7</w:t>
            </w:r>
          </w:p>
        </w:tc>
        <w:tc>
          <w:tcPr>
            <w:tcW w:w="249" w:type="pct"/>
            <w:tcBorders>
              <w:top w:val="nil"/>
              <w:left w:val="nil"/>
              <w:bottom w:val="single" w:sz="4" w:space="0" w:color="auto"/>
              <w:right w:val="single" w:sz="4" w:space="0" w:color="auto"/>
            </w:tcBorders>
            <w:shd w:val="clear" w:color="000000" w:fill="FFFFFF"/>
            <w:noWrap/>
            <w:hideMark/>
          </w:tcPr>
          <w:p w14:paraId="3AAB7171" w14:textId="77777777" w:rsidR="006F3111" w:rsidRDefault="006F3111">
            <w:pPr>
              <w:jc w:val="right"/>
              <w:rPr>
                <w:noProof/>
                <w:color w:val="000000"/>
                <w:sz w:val="20"/>
                <w:szCs w:val="20"/>
              </w:rPr>
            </w:pPr>
            <w:r>
              <w:rPr>
                <w:noProof/>
                <w:color w:val="000000"/>
                <w:sz w:val="20"/>
                <w:szCs w:val="20"/>
              </w:rPr>
              <w:t>4.1</w:t>
            </w:r>
          </w:p>
        </w:tc>
        <w:tc>
          <w:tcPr>
            <w:tcW w:w="249" w:type="pct"/>
            <w:tcBorders>
              <w:top w:val="nil"/>
              <w:left w:val="nil"/>
              <w:bottom w:val="single" w:sz="4" w:space="0" w:color="auto"/>
              <w:right w:val="single" w:sz="4" w:space="0" w:color="auto"/>
            </w:tcBorders>
            <w:shd w:val="clear" w:color="000000" w:fill="FFFFFF"/>
            <w:noWrap/>
            <w:hideMark/>
          </w:tcPr>
          <w:p w14:paraId="5E2BC7F4" w14:textId="77777777" w:rsidR="006F3111" w:rsidRDefault="006F3111">
            <w:pPr>
              <w:jc w:val="right"/>
              <w:rPr>
                <w:noProof/>
                <w:color w:val="000000"/>
                <w:sz w:val="20"/>
                <w:szCs w:val="20"/>
              </w:rPr>
            </w:pPr>
            <w:r>
              <w:rPr>
                <w:noProof/>
                <w:color w:val="000000"/>
                <w:sz w:val="20"/>
                <w:szCs w:val="20"/>
              </w:rPr>
              <w:t>3.1</w:t>
            </w:r>
          </w:p>
        </w:tc>
        <w:tc>
          <w:tcPr>
            <w:tcW w:w="249" w:type="pct"/>
            <w:tcBorders>
              <w:top w:val="nil"/>
              <w:left w:val="nil"/>
              <w:bottom w:val="single" w:sz="4" w:space="0" w:color="auto"/>
              <w:right w:val="single" w:sz="4" w:space="0" w:color="auto"/>
            </w:tcBorders>
            <w:shd w:val="clear" w:color="000000" w:fill="FFFFFF"/>
            <w:noWrap/>
            <w:hideMark/>
          </w:tcPr>
          <w:p w14:paraId="50A2B58E" w14:textId="77777777" w:rsidR="006F3111" w:rsidRDefault="006F3111">
            <w:pPr>
              <w:jc w:val="right"/>
              <w:rPr>
                <w:noProof/>
                <w:color w:val="000000"/>
                <w:sz w:val="20"/>
                <w:szCs w:val="20"/>
              </w:rPr>
            </w:pPr>
            <w:r>
              <w:rPr>
                <w:noProof/>
                <w:color w:val="000000"/>
                <w:sz w:val="20"/>
                <w:szCs w:val="20"/>
              </w:rPr>
              <w:t>17.6</w:t>
            </w:r>
          </w:p>
        </w:tc>
        <w:tc>
          <w:tcPr>
            <w:tcW w:w="249" w:type="pct"/>
            <w:tcBorders>
              <w:top w:val="nil"/>
              <w:left w:val="nil"/>
              <w:bottom w:val="single" w:sz="4" w:space="0" w:color="auto"/>
              <w:right w:val="single" w:sz="4" w:space="0" w:color="auto"/>
            </w:tcBorders>
            <w:shd w:val="clear" w:color="000000" w:fill="FFFFFF"/>
            <w:noWrap/>
            <w:hideMark/>
          </w:tcPr>
          <w:p w14:paraId="0D1BE13B" w14:textId="77777777" w:rsidR="006F3111" w:rsidRDefault="006F3111">
            <w:pPr>
              <w:jc w:val="right"/>
              <w:rPr>
                <w:noProof/>
                <w:color w:val="000000"/>
                <w:sz w:val="20"/>
                <w:szCs w:val="20"/>
              </w:rPr>
            </w:pPr>
            <w:r>
              <w:rPr>
                <w:noProof/>
                <w:color w:val="000000"/>
                <w:sz w:val="20"/>
                <w:szCs w:val="20"/>
              </w:rPr>
              <w:t>2.7</w:t>
            </w:r>
          </w:p>
        </w:tc>
        <w:tc>
          <w:tcPr>
            <w:tcW w:w="249" w:type="pct"/>
            <w:tcBorders>
              <w:top w:val="nil"/>
              <w:left w:val="nil"/>
              <w:bottom w:val="single" w:sz="4" w:space="0" w:color="auto"/>
              <w:right w:val="single" w:sz="4" w:space="0" w:color="auto"/>
            </w:tcBorders>
            <w:shd w:val="clear" w:color="000000" w:fill="FFFFFF"/>
            <w:noWrap/>
            <w:hideMark/>
          </w:tcPr>
          <w:p w14:paraId="019C4358" w14:textId="77777777" w:rsidR="006F3111" w:rsidRDefault="006F3111">
            <w:pPr>
              <w:jc w:val="right"/>
              <w:rPr>
                <w:noProof/>
                <w:color w:val="000000"/>
                <w:sz w:val="20"/>
                <w:szCs w:val="20"/>
              </w:rPr>
            </w:pPr>
            <w:r>
              <w:rPr>
                <w:noProof/>
                <w:color w:val="000000"/>
                <w:sz w:val="20"/>
                <w:szCs w:val="20"/>
              </w:rPr>
              <w:t>4.3</w:t>
            </w:r>
          </w:p>
        </w:tc>
        <w:tc>
          <w:tcPr>
            <w:tcW w:w="249" w:type="pct"/>
            <w:tcBorders>
              <w:top w:val="nil"/>
              <w:left w:val="nil"/>
              <w:bottom w:val="single" w:sz="4" w:space="0" w:color="auto"/>
              <w:right w:val="single" w:sz="4" w:space="0" w:color="auto"/>
            </w:tcBorders>
            <w:shd w:val="clear" w:color="000000" w:fill="FFFFFF"/>
            <w:noWrap/>
            <w:hideMark/>
          </w:tcPr>
          <w:p w14:paraId="62D02F34" w14:textId="77777777" w:rsidR="006F3111" w:rsidRDefault="006F3111">
            <w:pPr>
              <w:jc w:val="right"/>
              <w:rPr>
                <w:noProof/>
                <w:color w:val="000000"/>
                <w:sz w:val="20"/>
                <w:szCs w:val="20"/>
              </w:rPr>
            </w:pPr>
            <w:r>
              <w:rPr>
                <w:noProof/>
                <w:color w:val="000000"/>
                <w:sz w:val="20"/>
                <w:szCs w:val="20"/>
              </w:rPr>
              <w:t>3.1</w:t>
            </w:r>
          </w:p>
        </w:tc>
      </w:tr>
      <w:tr w:rsidR="00ED02DA" w14:paraId="7E822B32" w14:textId="77777777" w:rsidTr="00593F3D">
        <w:trPr>
          <w:trHeight w:val="282"/>
        </w:trPr>
        <w:tc>
          <w:tcPr>
            <w:tcW w:w="1016" w:type="pct"/>
            <w:tcBorders>
              <w:top w:val="nil"/>
              <w:left w:val="single" w:sz="4" w:space="0" w:color="auto"/>
              <w:bottom w:val="single" w:sz="4" w:space="0" w:color="auto"/>
              <w:right w:val="single" w:sz="4" w:space="0" w:color="auto"/>
            </w:tcBorders>
            <w:hideMark/>
          </w:tcPr>
          <w:p w14:paraId="5E449A3F" w14:textId="77777777" w:rsidR="006F3111" w:rsidRDefault="006F3111">
            <w:pPr>
              <w:rPr>
                <w:noProof/>
                <w:color w:val="000000"/>
                <w:sz w:val="20"/>
                <w:szCs w:val="20"/>
              </w:rPr>
            </w:pPr>
            <w:r>
              <w:rPr>
                <w:noProof/>
                <w:color w:val="000000"/>
                <w:sz w:val="20"/>
                <w:szCs w:val="20"/>
              </w:rPr>
              <w:t>PM8 (GHG emission data)</w:t>
            </w:r>
          </w:p>
        </w:tc>
        <w:tc>
          <w:tcPr>
            <w:tcW w:w="249" w:type="pct"/>
            <w:tcBorders>
              <w:top w:val="nil"/>
              <w:left w:val="nil"/>
              <w:bottom w:val="single" w:sz="4" w:space="0" w:color="auto"/>
              <w:right w:val="single" w:sz="4" w:space="0" w:color="auto"/>
            </w:tcBorders>
            <w:shd w:val="clear" w:color="000000" w:fill="FFFFFF"/>
            <w:noWrap/>
            <w:hideMark/>
          </w:tcPr>
          <w:p w14:paraId="08DE3DA1" w14:textId="77777777" w:rsidR="006F3111" w:rsidRDefault="006F3111">
            <w:pPr>
              <w:jc w:val="right"/>
              <w:rPr>
                <w:noProof/>
                <w:color w:val="000000"/>
                <w:sz w:val="20"/>
                <w:szCs w:val="20"/>
              </w:rPr>
            </w:pPr>
            <w:r>
              <w:rPr>
                <w:noProof/>
                <w:color w:val="000000"/>
                <w:sz w:val="20"/>
                <w:szCs w:val="20"/>
              </w:rPr>
              <w:t>4.1</w:t>
            </w:r>
          </w:p>
        </w:tc>
        <w:tc>
          <w:tcPr>
            <w:tcW w:w="249" w:type="pct"/>
            <w:tcBorders>
              <w:top w:val="nil"/>
              <w:left w:val="nil"/>
              <w:bottom w:val="single" w:sz="4" w:space="0" w:color="auto"/>
              <w:right w:val="single" w:sz="4" w:space="0" w:color="auto"/>
            </w:tcBorders>
            <w:shd w:val="clear" w:color="000000" w:fill="FFFFFF"/>
            <w:noWrap/>
            <w:hideMark/>
          </w:tcPr>
          <w:p w14:paraId="50EEFBB1" w14:textId="77777777" w:rsidR="006F3111" w:rsidRDefault="006F3111">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7B3A8399" w14:textId="77777777" w:rsidR="006F3111" w:rsidRDefault="006F3111">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0ED77DAB" w14:textId="77777777" w:rsidR="006F3111" w:rsidRDefault="006F3111">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7BFCD0F9" w14:textId="77777777" w:rsidR="006F3111" w:rsidRDefault="006F3111">
            <w:pPr>
              <w:jc w:val="right"/>
              <w:rPr>
                <w:noProof/>
                <w:color w:val="000000"/>
                <w:sz w:val="20"/>
                <w:szCs w:val="20"/>
              </w:rPr>
            </w:pPr>
            <w:r>
              <w:rPr>
                <w:noProof/>
                <w:color w:val="000000"/>
                <w:sz w:val="20"/>
                <w:szCs w:val="20"/>
              </w:rPr>
              <w:t>4.1</w:t>
            </w:r>
          </w:p>
        </w:tc>
        <w:tc>
          <w:tcPr>
            <w:tcW w:w="249" w:type="pct"/>
            <w:tcBorders>
              <w:top w:val="nil"/>
              <w:left w:val="nil"/>
              <w:bottom w:val="single" w:sz="4" w:space="0" w:color="auto"/>
              <w:right w:val="single" w:sz="4" w:space="0" w:color="auto"/>
            </w:tcBorders>
            <w:shd w:val="clear" w:color="000000" w:fill="FFFFFF"/>
            <w:noWrap/>
            <w:hideMark/>
          </w:tcPr>
          <w:p w14:paraId="2CE9E814" w14:textId="77777777" w:rsidR="006F3111" w:rsidRDefault="006F3111">
            <w:pPr>
              <w:jc w:val="right"/>
              <w:rPr>
                <w:noProof/>
                <w:color w:val="000000"/>
                <w:sz w:val="20"/>
                <w:szCs w:val="20"/>
              </w:rPr>
            </w:pPr>
            <w:r>
              <w:rPr>
                <w:noProof/>
                <w:color w:val="000000"/>
                <w:sz w:val="20"/>
                <w:szCs w:val="20"/>
              </w:rPr>
              <w:t>0.6</w:t>
            </w:r>
          </w:p>
        </w:tc>
        <w:tc>
          <w:tcPr>
            <w:tcW w:w="249" w:type="pct"/>
            <w:tcBorders>
              <w:top w:val="nil"/>
              <w:left w:val="nil"/>
              <w:bottom w:val="single" w:sz="4" w:space="0" w:color="auto"/>
              <w:right w:val="single" w:sz="4" w:space="0" w:color="auto"/>
            </w:tcBorders>
            <w:shd w:val="clear" w:color="000000" w:fill="FFFFFF"/>
            <w:noWrap/>
            <w:hideMark/>
          </w:tcPr>
          <w:p w14:paraId="2479186A" w14:textId="77777777" w:rsidR="006F3111" w:rsidRDefault="006F3111">
            <w:pPr>
              <w:jc w:val="right"/>
              <w:rPr>
                <w:noProof/>
                <w:color w:val="000000"/>
                <w:sz w:val="20"/>
                <w:szCs w:val="20"/>
              </w:rPr>
            </w:pPr>
            <w:r>
              <w:rPr>
                <w:noProof/>
                <w:color w:val="000000"/>
                <w:sz w:val="20"/>
                <w:szCs w:val="20"/>
              </w:rPr>
              <w:t>1.0</w:t>
            </w:r>
          </w:p>
        </w:tc>
        <w:tc>
          <w:tcPr>
            <w:tcW w:w="249" w:type="pct"/>
            <w:tcBorders>
              <w:top w:val="nil"/>
              <w:left w:val="nil"/>
              <w:bottom w:val="single" w:sz="4" w:space="0" w:color="auto"/>
              <w:right w:val="single" w:sz="4" w:space="0" w:color="auto"/>
            </w:tcBorders>
            <w:shd w:val="clear" w:color="000000" w:fill="FFFFFF"/>
            <w:noWrap/>
            <w:hideMark/>
          </w:tcPr>
          <w:p w14:paraId="54AA697B" w14:textId="77777777" w:rsidR="006F3111" w:rsidRDefault="006F3111">
            <w:pPr>
              <w:jc w:val="right"/>
              <w:rPr>
                <w:noProof/>
                <w:color w:val="000000"/>
                <w:sz w:val="20"/>
                <w:szCs w:val="20"/>
              </w:rPr>
            </w:pPr>
            <w:r>
              <w:rPr>
                <w:noProof/>
                <w:color w:val="000000"/>
                <w:sz w:val="20"/>
                <w:szCs w:val="20"/>
              </w:rPr>
              <w:t>0.7</w:t>
            </w:r>
          </w:p>
        </w:tc>
        <w:tc>
          <w:tcPr>
            <w:tcW w:w="249" w:type="pct"/>
            <w:tcBorders>
              <w:top w:val="nil"/>
              <w:left w:val="nil"/>
              <w:bottom w:val="single" w:sz="4" w:space="0" w:color="auto"/>
              <w:right w:val="single" w:sz="4" w:space="0" w:color="auto"/>
            </w:tcBorders>
            <w:shd w:val="clear" w:color="000000" w:fill="FFFFFF"/>
            <w:noWrap/>
            <w:hideMark/>
          </w:tcPr>
          <w:p w14:paraId="289D7EC2" w14:textId="77777777" w:rsidR="006F3111" w:rsidRDefault="006F3111">
            <w:pPr>
              <w:jc w:val="right"/>
              <w:rPr>
                <w:noProof/>
                <w:color w:val="000000"/>
                <w:sz w:val="20"/>
                <w:szCs w:val="20"/>
              </w:rPr>
            </w:pPr>
            <w:r>
              <w:rPr>
                <w:noProof/>
                <w:color w:val="000000"/>
                <w:sz w:val="20"/>
                <w:szCs w:val="20"/>
              </w:rPr>
              <w:t>4.1</w:t>
            </w:r>
          </w:p>
        </w:tc>
        <w:tc>
          <w:tcPr>
            <w:tcW w:w="249" w:type="pct"/>
            <w:tcBorders>
              <w:top w:val="nil"/>
              <w:left w:val="nil"/>
              <w:bottom w:val="single" w:sz="4" w:space="0" w:color="auto"/>
              <w:right w:val="single" w:sz="4" w:space="0" w:color="auto"/>
            </w:tcBorders>
            <w:shd w:val="clear" w:color="000000" w:fill="FFFFFF"/>
            <w:noWrap/>
            <w:hideMark/>
          </w:tcPr>
          <w:p w14:paraId="3D14A19B" w14:textId="77777777" w:rsidR="006F3111" w:rsidRDefault="006F3111">
            <w:pPr>
              <w:jc w:val="right"/>
              <w:rPr>
                <w:noProof/>
                <w:color w:val="000000"/>
                <w:sz w:val="20"/>
                <w:szCs w:val="20"/>
              </w:rPr>
            </w:pPr>
            <w:r>
              <w:rPr>
                <w:noProof/>
                <w:color w:val="000000"/>
                <w:sz w:val="20"/>
                <w:szCs w:val="20"/>
              </w:rPr>
              <w:t>0.6</w:t>
            </w:r>
          </w:p>
        </w:tc>
        <w:tc>
          <w:tcPr>
            <w:tcW w:w="249" w:type="pct"/>
            <w:tcBorders>
              <w:top w:val="nil"/>
              <w:left w:val="nil"/>
              <w:bottom w:val="single" w:sz="4" w:space="0" w:color="auto"/>
              <w:right w:val="single" w:sz="4" w:space="0" w:color="auto"/>
            </w:tcBorders>
            <w:shd w:val="clear" w:color="000000" w:fill="FFFFFF"/>
            <w:noWrap/>
            <w:hideMark/>
          </w:tcPr>
          <w:p w14:paraId="5B889BF0" w14:textId="77777777" w:rsidR="006F3111" w:rsidRDefault="006F3111">
            <w:pPr>
              <w:jc w:val="right"/>
              <w:rPr>
                <w:noProof/>
                <w:color w:val="000000"/>
                <w:sz w:val="20"/>
                <w:szCs w:val="20"/>
              </w:rPr>
            </w:pPr>
            <w:r>
              <w:rPr>
                <w:noProof/>
                <w:color w:val="000000"/>
                <w:sz w:val="20"/>
                <w:szCs w:val="20"/>
              </w:rPr>
              <w:t>0.9</w:t>
            </w:r>
          </w:p>
        </w:tc>
        <w:tc>
          <w:tcPr>
            <w:tcW w:w="249" w:type="pct"/>
            <w:tcBorders>
              <w:top w:val="nil"/>
              <w:left w:val="nil"/>
              <w:bottom w:val="single" w:sz="4" w:space="0" w:color="auto"/>
              <w:right w:val="single" w:sz="4" w:space="0" w:color="auto"/>
            </w:tcBorders>
            <w:shd w:val="clear" w:color="000000" w:fill="FFFFFF"/>
            <w:noWrap/>
            <w:hideMark/>
          </w:tcPr>
          <w:p w14:paraId="22D31DDB" w14:textId="77777777" w:rsidR="006F3111" w:rsidRDefault="006F3111">
            <w:pPr>
              <w:jc w:val="right"/>
              <w:rPr>
                <w:noProof/>
                <w:color w:val="000000"/>
                <w:sz w:val="20"/>
                <w:szCs w:val="20"/>
              </w:rPr>
            </w:pPr>
            <w:r>
              <w:rPr>
                <w:noProof/>
                <w:color w:val="000000"/>
                <w:sz w:val="20"/>
                <w:szCs w:val="20"/>
              </w:rPr>
              <w:t>0.7</w:t>
            </w:r>
          </w:p>
        </w:tc>
        <w:tc>
          <w:tcPr>
            <w:tcW w:w="249" w:type="pct"/>
            <w:tcBorders>
              <w:top w:val="nil"/>
              <w:left w:val="nil"/>
              <w:bottom w:val="single" w:sz="4" w:space="0" w:color="auto"/>
              <w:right w:val="single" w:sz="4" w:space="0" w:color="auto"/>
            </w:tcBorders>
            <w:shd w:val="clear" w:color="000000" w:fill="FFFFFF"/>
            <w:noWrap/>
            <w:hideMark/>
          </w:tcPr>
          <w:p w14:paraId="182D21F8" w14:textId="77777777" w:rsidR="006F3111" w:rsidRDefault="006F3111">
            <w:pPr>
              <w:jc w:val="right"/>
              <w:rPr>
                <w:noProof/>
                <w:color w:val="000000"/>
                <w:sz w:val="20"/>
                <w:szCs w:val="20"/>
              </w:rPr>
            </w:pPr>
            <w:r>
              <w:rPr>
                <w:noProof/>
                <w:color w:val="000000"/>
                <w:sz w:val="20"/>
                <w:szCs w:val="20"/>
              </w:rPr>
              <w:t>4.1</w:t>
            </w:r>
          </w:p>
        </w:tc>
        <w:tc>
          <w:tcPr>
            <w:tcW w:w="249" w:type="pct"/>
            <w:tcBorders>
              <w:top w:val="nil"/>
              <w:left w:val="nil"/>
              <w:bottom w:val="single" w:sz="4" w:space="0" w:color="auto"/>
              <w:right w:val="single" w:sz="4" w:space="0" w:color="auto"/>
            </w:tcBorders>
            <w:shd w:val="clear" w:color="000000" w:fill="FFFFFF"/>
            <w:noWrap/>
            <w:hideMark/>
          </w:tcPr>
          <w:p w14:paraId="167CDE8B" w14:textId="77777777" w:rsidR="006F3111" w:rsidRDefault="006F3111">
            <w:pPr>
              <w:jc w:val="right"/>
              <w:rPr>
                <w:noProof/>
                <w:color w:val="000000"/>
                <w:sz w:val="20"/>
                <w:szCs w:val="20"/>
              </w:rPr>
            </w:pPr>
            <w:r>
              <w:rPr>
                <w:noProof/>
                <w:color w:val="000000"/>
                <w:sz w:val="20"/>
                <w:szCs w:val="20"/>
              </w:rPr>
              <w:t>0.6</w:t>
            </w:r>
          </w:p>
        </w:tc>
        <w:tc>
          <w:tcPr>
            <w:tcW w:w="249" w:type="pct"/>
            <w:tcBorders>
              <w:top w:val="nil"/>
              <w:left w:val="nil"/>
              <w:bottom w:val="single" w:sz="4" w:space="0" w:color="auto"/>
              <w:right w:val="single" w:sz="4" w:space="0" w:color="auto"/>
            </w:tcBorders>
            <w:shd w:val="clear" w:color="000000" w:fill="FFFFFF"/>
            <w:noWrap/>
            <w:hideMark/>
          </w:tcPr>
          <w:p w14:paraId="4F723DDB" w14:textId="77777777" w:rsidR="006F3111" w:rsidRDefault="006F3111">
            <w:pPr>
              <w:jc w:val="right"/>
              <w:rPr>
                <w:noProof/>
                <w:color w:val="000000"/>
                <w:sz w:val="20"/>
                <w:szCs w:val="20"/>
              </w:rPr>
            </w:pPr>
            <w:r>
              <w:rPr>
                <w:noProof/>
                <w:color w:val="000000"/>
                <w:sz w:val="20"/>
                <w:szCs w:val="20"/>
              </w:rPr>
              <w:t>1.0</w:t>
            </w:r>
          </w:p>
        </w:tc>
        <w:tc>
          <w:tcPr>
            <w:tcW w:w="249" w:type="pct"/>
            <w:tcBorders>
              <w:top w:val="nil"/>
              <w:left w:val="nil"/>
              <w:bottom w:val="single" w:sz="4" w:space="0" w:color="auto"/>
              <w:right w:val="single" w:sz="4" w:space="0" w:color="auto"/>
            </w:tcBorders>
            <w:shd w:val="clear" w:color="000000" w:fill="FFFFFF"/>
            <w:noWrap/>
            <w:hideMark/>
          </w:tcPr>
          <w:p w14:paraId="6CBBDFB6" w14:textId="77777777" w:rsidR="006F3111" w:rsidRDefault="006F3111">
            <w:pPr>
              <w:jc w:val="right"/>
              <w:rPr>
                <w:noProof/>
                <w:color w:val="000000"/>
                <w:sz w:val="20"/>
                <w:szCs w:val="20"/>
              </w:rPr>
            </w:pPr>
            <w:r>
              <w:rPr>
                <w:noProof/>
                <w:color w:val="000000"/>
                <w:sz w:val="20"/>
                <w:szCs w:val="20"/>
              </w:rPr>
              <w:t>0.7</w:t>
            </w:r>
          </w:p>
        </w:tc>
      </w:tr>
      <w:tr w:rsidR="006F3111" w14:paraId="6E8F2887" w14:textId="77777777" w:rsidTr="00593F3D">
        <w:trPr>
          <w:trHeight w:val="282"/>
        </w:trPr>
        <w:tc>
          <w:tcPr>
            <w:tcW w:w="1016" w:type="pct"/>
            <w:tcBorders>
              <w:top w:val="nil"/>
              <w:left w:val="single" w:sz="4" w:space="0" w:color="auto"/>
              <w:bottom w:val="single" w:sz="4" w:space="0" w:color="auto"/>
              <w:right w:val="single" w:sz="4" w:space="0" w:color="auto"/>
            </w:tcBorders>
            <w:shd w:val="clear" w:color="000000" w:fill="FFFFFF"/>
            <w:hideMark/>
          </w:tcPr>
          <w:p w14:paraId="62C01486" w14:textId="77777777" w:rsidR="006F3111" w:rsidRDefault="006F3111">
            <w:pPr>
              <w:rPr>
                <w:noProof/>
                <w:color w:val="000000"/>
                <w:sz w:val="20"/>
                <w:szCs w:val="20"/>
              </w:rPr>
            </w:pPr>
            <w:r>
              <w:rPr>
                <w:noProof/>
                <w:color w:val="000000"/>
                <w:sz w:val="20"/>
                <w:szCs w:val="20"/>
              </w:rPr>
              <w:t>PM14 (Obligation to host)</w:t>
            </w:r>
          </w:p>
        </w:tc>
        <w:tc>
          <w:tcPr>
            <w:tcW w:w="249" w:type="pct"/>
            <w:tcBorders>
              <w:top w:val="nil"/>
              <w:left w:val="nil"/>
              <w:bottom w:val="single" w:sz="4" w:space="0" w:color="auto"/>
              <w:right w:val="single" w:sz="4" w:space="0" w:color="auto"/>
            </w:tcBorders>
            <w:shd w:val="clear" w:color="000000" w:fill="FFFFFF"/>
            <w:noWrap/>
            <w:hideMark/>
          </w:tcPr>
          <w:p w14:paraId="7DE04027"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1F0A1274"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6072B066"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2AE6251A"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5A2A2D70"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1F1DF71C"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5B9DA358"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49904D52"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3FF32146" w14:textId="77777777" w:rsidR="006F3111" w:rsidRDefault="006F3111">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6D505624"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3E058981"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7578FF63"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3DEA7DE3"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67EC504B"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6FD13D7C"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4930C1FF" w14:textId="77777777" w:rsidR="006F3111" w:rsidRDefault="006F3111">
            <w:pPr>
              <w:rPr>
                <w:noProof/>
                <w:color w:val="000000"/>
                <w:sz w:val="20"/>
                <w:szCs w:val="20"/>
              </w:rPr>
            </w:pPr>
            <w:r>
              <w:rPr>
                <w:noProof/>
                <w:color w:val="000000"/>
                <w:sz w:val="20"/>
                <w:szCs w:val="20"/>
              </w:rPr>
              <w:t> </w:t>
            </w:r>
          </w:p>
        </w:tc>
      </w:tr>
      <w:tr w:rsidR="00ED02DA" w14:paraId="21428FAA" w14:textId="77777777" w:rsidTr="00593F3D">
        <w:trPr>
          <w:trHeight w:val="284"/>
        </w:trPr>
        <w:tc>
          <w:tcPr>
            <w:tcW w:w="1016" w:type="pct"/>
            <w:tcBorders>
              <w:top w:val="nil"/>
              <w:left w:val="single" w:sz="4" w:space="0" w:color="auto"/>
              <w:bottom w:val="single" w:sz="4" w:space="0" w:color="auto"/>
              <w:right w:val="single" w:sz="4" w:space="0" w:color="auto"/>
            </w:tcBorders>
            <w:hideMark/>
          </w:tcPr>
          <w:p w14:paraId="0512BB88" w14:textId="77777777" w:rsidR="006F3111" w:rsidRDefault="006F3111">
            <w:pPr>
              <w:rPr>
                <w:noProof/>
                <w:color w:val="000000"/>
                <w:sz w:val="20"/>
                <w:szCs w:val="20"/>
              </w:rPr>
            </w:pPr>
            <w:r>
              <w:rPr>
                <w:noProof/>
                <w:color w:val="000000"/>
                <w:sz w:val="20"/>
                <w:szCs w:val="20"/>
              </w:rPr>
              <w:t>PM15 (Obligation to unbundle)</w:t>
            </w:r>
          </w:p>
        </w:tc>
        <w:tc>
          <w:tcPr>
            <w:tcW w:w="249" w:type="pct"/>
            <w:tcBorders>
              <w:top w:val="nil"/>
              <w:left w:val="nil"/>
              <w:bottom w:val="single" w:sz="4" w:space="0" w:color="auto"/>
              <w:right w:val="single" w:sz="4" w:space="0" w:color="auto"/>
            </w:tcBorders>
            <w:shd w:val="clear" w:color="000000" w:fill="FFFFFF"/>
            <w:noWrap/>
            <w:hideMark/>
          </w:tcPr>
          <w:p w14:paraId="3AB106E1"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3461C19A"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254CFEF3"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15DD6721"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69CA0EF7"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07ACF97E"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11EC0F7F"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281B41DF"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38BACD79"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71695D0B"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722350C6"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4FDEBDC8" w14:textId="77777777" w:rsidR="006F3111" w:rsidRDefault="006F3111">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2F237341" w14:textId="77777777" w:rsidR="006F3111" w:rsidRDefault="006F3111">
            <w:pPr>
              <w:jc w:val="right"/>
              <w:rPr>
                <w:noProof/>
                <w:color w:val="000000"/>
                <w:sz w:val="20"/>
                <w:szCs w:val="20"/>
              </w:rPr>
            </w:pPr>
            <w:r>
              <w:rPr>
                <w:noProof/>
                <w:color w:val="000000"/>
                <w:sz w:val="20"/>
                <w:szCs w:val="20"/>
              </w:rPr>
              <w:t>54.1</w:t>
            </w:r>
          </w:p>
        </w:tc>
        <w:tc>
          <w:tcPr>
            <w:tcW w:w="249" w:type="pct"/>
            <w:tcBorders>
              <w:top w:val="nil"/>
              <w:left w:val="nil"/>
              <w:bottom w:val="single" w:sz="4" w:space="0" w:color="auto"/>
              <w:right w:val="single" w:sz="4" w:space="0" w:color="auto"/>
            </w:tcBorders>
            <w:shd w:val="clear" w:color="000000" w:fill="FFFFFF"/>
            <w:noWrap/>
            <w:hideMark/>
          </w:tcPr>
          <w:p w14:paraId="7E095708" w14:textId="77777777" w:rsidR="006F3111" w:rsidRDefault="006F3111">
            <w:pPr>
              <w:jc w:val="right"/>
              <w:rPr>
                <w:noProof/>
                <w:color w:val="000000"/>
                <w:sz w:val="20"/>
                <w:szCs w:val="20"/>
              </w:rPr>
            </w:pPr>
            <w:r>
              <w:rPr>
                <w:noProof/>
                <w:color w:val="000000"/>
                <w:sz w:val="20"/>
                <w:szCs w:val="20"/>
              </w:rPr>
              <w:t>54.1</w:t>
            </w:r>
          </w:p>
        </w:tc>
        <w:tc>
          <w:tcPr>
            <w:tcW w:w="249" w:type="pct"/>
            <w:tcBorders>
              <w:top w:val="nil"/>
              <w:left w:val="nil"/>
              <w:bottom w:val="single" w:sz="4" w:space="0" w:color="auto"/>
              <w:right w:val="single" w:sz="4" w:space="0" w:color="auto"/>
            </w:tcBorders>
            <w:shd w:val="clear" w:color="000000" w:fill="FFFFFF"/>
            <w:noWrap/>
            <w:hideMark/>
          </w:tcPr>
          <w:p w14:paraId="475CC69E"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4D3C66DA" w14:textId="77777777" w:rsidR="006F3111" w:rsidRDefault="006F3111">
            <w:pPr>
              <w:jc w:val="right"/>
              <w:rPr>
                <w:noProof/>
                <w:color w:val="000000"/>
                <w:sz w:val="20"/>
                <w:szCs w:val="20"/>
              </w:rPr>
            </w:pPr>
            <w:r>
              <w:rPr>
                <w:noProof/>
                <w:color w:val="000000"/>
                <w:sz w:val="20"/>
                <w:szCs w:val="20"/>
              </w:rPr>
              <w:t>0.0</w:t>
            </w:r>
          </w:p>
        </w:tc>
      </w:tr>
      <w:tr w:rsidR="006F3111" w14:paraId="1A8DDD85" w14:textId="77777777" w:rsidTr="00593F3D">
        <w:trPr>
          <w:trHeight w:val="282"/>
        </w:trPr>
        <w:tc>
          <w:tcPr>
            <w:tcW w:w="1016" w:type="pct"/>
            <w:tcBorders>
              <w:top w:val="nil"/>
              <w:left w:val="single" w:sz="4" w:space="0" w:color="auto"/>
              <w:bottom w:val="single" w:sz="4" w:space="0" w:color="auto"/>
              <w:right w:val="single" w:sz="4" w:space="0" w:color="auto"/>
            </w:tcBorders>
            <w:shd w:val="clear" w:color="000000" w:fill="BDE3FF"/>
            <w:hideMark/>
          </w:tcPr>
          <w:p w14:paraId="118E37C4" w14:textId="77777777" w:rsidR="006F3111" w:rsidRDefault="006F3111">
            <w:pPr>
              <w:rPr>
                <w:b/>
                <w:bCs/>
                <w:noProof/>
                <w:sz w:val="20"/>
                <w:szCs w:val="20"/>
              </w:rPr>
            </w:pPr>
            <w:r>
              <w:rPr>
                <w:b/>
                <w:bCs/>
                <w:noProof/>
                <w:sz w:val="20"/>
                <w:szCs w:val="20"/>
              </w:rPr>
              <w:t>Administrative costs</w:t>
            </w:r>
          </w:p>
        </w:tc>
        <w:tc>
          <w:tcPr>
            <w:tcW w:w="249" w:type="pct"/>
            <w:tcBorders>
              <w:top w:val="nil"/>
              <w:left w:val="nil"/>
              <w:bottom w:val="single" w:sz="4" w:space="0" w:color="auto"/>
              <w:right w:val="single" w:sz="4" w:space="0" w:color="auto"/>
            </w:tcBorders>
            <w:shd w:val="clear" w:color="000000" w:fill="BDE3FF"/>
            <w:hideMark/>
          </w:tcPr>
          <w:p w14:paraId="17FE06DD" w14:textId="77777777" w:rsidR="006F3111" w:rsidRDefault="006F3111">
            <w:pPr>
              <w:jc w:val="right"/>
              <w:rPr>
                <w:b/>
                <w:bCs/>
                <w:noProof/>
                <w:sz w:val="20"/>
                <w:szCs w:val="20"/>
              </w:rPr>
            </w:pPr>
            <w:r>
              <w:rPr>
                <w:b/>
                <w:bCs/>
                <w:noProof/>
                <w:sz w:val="20"/>
                <w:szCs w:val="20"/>
              </w:rPr>
              <w:t>0.5</w:t>
            </w:r>
          </w:p>
        </w:tc>
        <w:tc>
          <w:tcPr>
            <w:tcW w:w="249" w:type="pct"/>
            <w:tcBorders>
              <w:top w:val="nil"/>
              <w:left w:val="nil"/>
              <w:bottom w:val="single" w:sz="4" w:space="0" w:color="auto"/>
              <w:right w:val="single" w:sz="4" w:space="0" w:color="auto"/>
            </w:tcBorders>
            <w:shd w:val="clear" w:color="000000" w:fill="BDE3FF"/>
            <w:hideMark/>
          </w:tcPr>
          <w:p w14:paraId="075A09A8" w14:textId="77777777" w:rsidR="006F3111" w:rsidRDefault="006F3111">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24311C71" w14:textId="77777777" w:rsidR="006F3111" w:rsidRDefault="006F3111">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0B1CED8D" w14:textId="77777777" w:rsidR="006F3111" w:rsidRDefault="006F3111">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6FD1ED2C" w14:textId="77777777" w:rsidR="006F3111" w:rsidRDefault="006F3111">
            <w:pPr>
              <w:jc w:val="right"/>
              <w:rPr>
                <w:b/>
                <w:bCs/>
                <w:noProof/>
                <w:sz w:val="20"/>
                <w:szCs w:val="20"/>
              </w:rPr>
            </w:pPr>
            <w:r>
              <w:rPr>
                <w:b/>
                <w:bCs/>
                <w:noProof/>
                <w:sz w:val="20"/>
                <w:szCs w:val="20"/>
              </w:rPr>
              <w:t>0.5</w:t>
            </w:r>
          </w:p>
        </w:tc>
        <w:tc>
          <w:tcPr>
            <w:tcW w:w="249" w:type="pct"/>
            <w:tcBorders>
              <w:top w:val="nil"/>
              <w:left w:val="nil"/>
              <w:bottom w:val="single" w:sz="4" w:space="0" w:color="auto"/>
              <w:right w:val="single" w:sz="4" w:space="0" w:color="auto"/>
            </w:tcBorders>
            <w:shd w:val="clear" w:color="000000" w:fill="BDE3FF"/>
            <w:hideMark/>
          </w:tcPr>
          <w:p w14:paraId="63849E9A" w14:textId="77777777" w:rsidR="006F3111" w:rsidRDefault="006F3111">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71C57041" w14:textId="77777777" w:rsidR="006F3111" w:rsidRDefault="006F3111">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3E70668C" w14:textId="77777777" w:rsidR="006F3111" w:rsidRDefault="006F3111">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791AE94A" w14:textId="77777777" w:rsidR="006F3111" w:rsidRDefault="006F3111">
            <w:pPr>
              <w:jc w:val="right"/>
              <w:rPr>
                <w:b/>
                <w:bCs/>
                <w:noProof/>
                <w:sz w:val="20"/>
                <w:szCs w:val="20"/>
              </w:rPr>
            </w:pPr>
            <w:r>
              <w:rPr>
                <w:b/>
                <w:bCs/>
                <w:noProof/>
                <w:sz w:val="20"/>
                <w:szCs w:val="20"/>
              </w:rPr>
              <w:t>0.5</w:t>
            </w:r>
          </w:p>
        </w:tc>
        <w:tc>
          <w:tcPr>
            <w:tcW w:w="249" w:type="pct"/>
            <w:tcBorders>
              <w:top w:val="nil"/>
              <w:left w:val="nil"/>
              <w:bottom w:val="single" w:sz="4" w:space="0" w:color="auto"/>
              <w:right w:val="single" w:sz="4" w:space="0" w:color="auto"/>
            </w:tcBorders>
            <w:shd w:val="clear" w:color="000000" w:fill="BDE3FF"/>
            <w:hideMark/>
          </w:tcPr>
          <w:p w14:paraId="1874B352" w14:textId="77777777" w:rsidR="006F3111" w:rsidRDefault="006F3111">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501018F2" w14:textId="77777777" w:rsidR="006F3111" w:rsidRDefault="006F3111">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1499D2AF" w14:textId="77777777" w:rsidR="006F3111" w:rsidRDefault="006F3111">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6C344416" w14:textId="77777777" w:rsidR="006F3111" w:rsidRDefault="006F3111">
            <w:pPr>
              <w:jc w:val="right"/>
              <w:rPr>
                <w:b/>
                <w:bCs/>
                <w:noProof/>
                <w:sz w:val="20"/>
                <w:szCs w:val="20"/>
              </w:rPr>
            </w:pPr>
            <w:r>
              <w:rPr>
                <w:b/>
                <w:bCs/>
                <w:noProof/>
                <w:sz w:val="20"/>
                <w:szCs w:val="20"/>
              </w:rPr>
              <w:t>0.5</w:t>
            </w:r>
          </w:p>
        </w:tc>
        <w:tc>
          <w:tcPr>
            <w:tcW w:w="249" w:type="pct"/>
            <w:tcBorders>
              <w:top w:val="nil"/>
              <w:left w:val="nil"/>
              <w:bottom w:val="single" w:sz="4" w:space="0" w:color="auto"/>
              <w:right w:val="single" w:sz="4" w:space="0" w:color="auto"/>
            </w:tcBorders>
            <w:shd w:val="clear" w:color="000000" w:fill="BDE3FF"/>
            <w:hideMark/>
          </w:tcPr>
          <w:p w14:paraId="2C24E8E5" w14:textId="77777777" w:rsidR="006F3111" w:rsidRDefault="006F3111">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1F07580F" w14:textId="77777777" w:rsidR="006F3111" w:rsidRDefault="006F3111">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77C9FA22" w14:textId="77777777" w:rsidR="006F3111" w:rsidRDefault="006F3111">
            <w:pPr>
              <w:jc w:val="right"/>
              <w:rPr>
                <w:b/>
                <w:bCs/>
                <w:noProof/>
                <w:sz w:val="20"/>
                <w:szCs w:val="20"/>
              </w:rPr>
            </w:pPr>
            <w:r>
              <w:rPr>
                <w:b/>
                <w:bCs/>
                <w:noProof/>
                <w:sz w:val="20"/>
                <w:szCs w:val="20"/>
              </w:rPr>
              <w:t>0.0</w:t>
            </w:r>
          </w:p>
        </w:tc>
      </w:tr>
      <w:tr w:rsidR="00ED02DA" w14:paraId="35FDEDF4" w14:textId="77777777" w:rsidTr="00593F3D">
        <w:trPr>
          <w:trHeight w:val="510"/>
        </w:trPr>
        <w:tc>
          <w:tcPr>
            <w:tcW w:w="1016" w:type="pct"/>
            <w:tcBorders>
              <w:top w:val="nil"/>
              <w:left w:val="single" w:sz="4" w:space="0" w:color="auto"/>
              <w:bottom w:val="single" w:sz="4" w:space="0" w:color="auto"/>
              <w:right w:val="single" w:sz="4" w:space="0" w:color="auto"/>
            </w:tcBorders>
            <w:hideMark/>
          </w:tcPr>
          <w:p w14:paraId="4F77F1D6" w14:textId="77777777" w:rsidR="006F3111" w:rsidRDefault="006F3111">
            <w:pPr>
              <w:rPr>
                <w:noProof/>
                <w:color w:val="000000"/>
                <w:sz w:val="20"/>
                <w:szCs w:val="20"/>
              </w:rPr>
            </w:pPr>
            <w:r>
              <w:rPr>
                <w:noProof/>
                <w:color w:val="000000"/>
                <w:sz w:val="20"/>
                <w:szCs w:val="20"/>
              </w:rPr>
              <w:t>PM10 (Designation of indispensable MDMS and RUs)</w:t>
            </w:r>
          </w:p>
        </w:tc>
        <w:tc>
          <w:tcPr>
            <w:tcW w:w="249" w:type="pct"/>
            <w:tcBorders>
              <w:top w:val="nil"/>
              <w:left w:val="nil"/>
              <w:bottom w:val="single" w:sz="4" w:space="0" w:color="auto"/>
              <w:right w:val="single" w:sz="4" w:space="0" w:color="auto"/>
            </w:tcBorders>
            <w:shd w:val="clear" w:color="000000" w:fill="FFFFFF"/>
            <w:noWrap/>
            <w:hideMark/>
          </w:tcPr>
          <w:p w14:paraId="47857343" w14:textId="77777777" w:rsidR="006F3111" w:rsidRDefault="006F3111">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65A3A6FB"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5249DCA0"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76A1C01C"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3653F825" w14:textId="77777777" w:rsidR="006F3111" w:rsidRDefault="006F3111">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4E637497"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587C93D4"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3E401717"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3BC2967C" w14:textId="77777777" w:rsidR="006F3111" w:rsidRDefault="006F3111">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3313F7AD"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20117F84"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5A55B25C"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24A8513C" w14:textId="77777777" w:rsidR="006F3111" w:rsidRDefault="006F3111">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68412E28"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279499B0"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0AD8B0A9" w14:textId="77777777" w:rsidR="006F3111" w:rsidRDefault="006F3111">
            <w:pPr>
              <w:jc w:val="right"/>
              <w:rPr>
                <w:noProof/>
                <w:color w:val="000000"/>
                <w:sz w:val="20"/>
                <w:szCs w:val="20"/>
              </w:rPr>
            </w:pPr>
            <w:r>
              <w:rPr>
                <w:noProof/>
                <w:color w:val="000000"/>
                <w:sz w:val="20"/>
                <w:szCs w:val="20"/>
              </w:rPr>
              <w:t>0.0</w:t>
            </w:r>
          </w:p>
        </w:tc>
      </w:tr>
      <w:tr w:rsidR="006F3111" w14:paraId="72EDAC05" w14:textId="77777777" w:rsidTr="00593F3D">
        <w:trPr>
          <w:trHeight w:val="282"/>
        </w:trPr>
        <w:tc>
          <w:tcPr>
            <w:tcW w:w="1016" w:type="pct"/>
            <w:tcBorders>
              <w:top w:val="nil"/>
              <w:left w:val="single" w:sz="4" w:space="0" w:color="auto"/>
              <w:bottom w:val="single" w:sz="4" w:space="0" w:color="auto"/>
              <w:right w:val="single" w:sz="4" w:space="0" w:color="auto"/>
            </w:tcBorders>
            <w:shd w:val="clear" w:color="000000" w:fill="BDE3FF"/>
            <w:hideMark/>
          </w:tcPr>
          <w:p w14:paraId="699E8A12" w14:textId="77777777" w:rsidR="006F3111" w:rsidRDefault="006F3111">
            <w:pPr>
              <w:rPr>
                <w:b/>
                <w:bCs/>
                <w:noProof/>
                <w:sz w:val="20"/>
                <w:szCs w:val="20"/>
              </w:rPr>
            </w:pPr>
            <w:r>
              <w:rPr>
                <w:b/>
                <w:bCs/>
                <w:noProof/>
                <w:sz w:val="20"/>
                <w:szCs w:val="20"/>
              </w:rPr>
              <w:t>Adjustment cost savings</w:t>
            </w:r>
          </w:p>
        </w:tc>
        <w:tc>
          <w:tcPr>
            <w:tcW w:w="249" w:type="pct"/>
            <w:tcBorders>
              <w:top w:val="nil"/>
              <w:left w:val="nil"/>
              <w:bottom w:val="single" w:sz="4" w:space="0" w:color="auto"/>
              <w:right w:val="single" w:sz="4" w:space="0" w:color="auto"/>
            </w:tcBorders>
            <w:shd w:val="clear" w:color="000000" w:fill="BDE3FF"/>
            <w:hideMark/>
          </w:tcPr>
          <w:p w14:paraId="0223CBFB" w14:textId="77777777" w:rsidR="006F3111" w:rsidRDefault="006F3111">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3254FDD4" w14:textId="77777777" w:rsidR="006F3111" w:rsidRDefault="006F3111">
            <w:pPr>
              <w:jc w:val="right"/>
              <w:rPr>
                <w:b/>
                <w:bCs/>
                <w:noProof/>
                <w:sz w:val="20"/>
                <w:szCs w:val="20"/>
              </w:rPr>
            </w:pPr>
            <w:r>
              <w:rPr>
                <w:b/>
                <w:bCs/>
                <w:noProof/>
                <w:sz w:val="20"/>
                <w:szCs w:val="20"/>
              </w:rPr>
              <w:t>0.8</w:t>
            </w:r>
          </w:p>
        </w:tc>
        <w:tc>
          <w:tcPr>
            <w:tcW w:w="249" w:type="pct"/>
            <w:tcBorders>
              <w:top w:val="nil"/>
              <w:left w:val="nil"/>
              <w:bottom w:val="single" w:sz="4" w:space="0" w:color="auto"/>
              <w:right w:val="single" w:sz="4" w:space="0" w:color="auto"/>
            </w:tcBorders>
            <w:shd w:val="clear" w:color="000000" w:fill="BDE3FF"/>
            <w:hideMark/>
          </w:tcPr>
          <w:p w14:paraId="019A76DA" w14:textId="77777777" w:rsidR="006F3111" w:rsidRDefault="006F3111">
            <w:pPr>
              <w:jc w:val="right"/>
              <w:rPr>
                <w:b/>
                <w:bCs/>
                <w:noProof/>
                <w:sz w:val="20"/>
                <w:szCs w:val="20"/>
              </w:rPr>
            </w:pPr>
            <w:r>
              <w:rPr>
                <w:b/>
                <w:bCs/>
                <w:noProof/>
                <w:sz w:val="20"/>
                <w:szCs w:val="20"/>
              </w:rPr>
              <w:t>1.2</w:t>
            </w:r>
          </w:p>
        </w:tc>
        <w:tc>
          <w:tcPr>
            <w:tcW w:w="249" w:type="pct"/>
            <w:tcBorders>
              <w:top w:val="nil"/>
              <w:left w:val="nil"/>
              <w:bottom w:val="single" w:sz="4" w:space="0" w:color="auto"/>
              <w:right w:val="single" w:sz="4" w:space="0" w:color="auto"/>
            </w:tcBorders>
            <w:shd w:val="clear" w:color="000000" w:fill="BDE3FF"/>
            <w:hideMark/>
          </w:tcPr>
          <w:p w14:paraId="1DCE4298" w14:textId="77777777" w:rsidR="006F3111" w:rsidRDefault="006F3111">
            <w:pPr>
              <w:jc w:val="right"/>
              <w:rPr>
                <w:b/>
                <w:bCs/>
                <w:noProof/>
                <w:sz w:val="20"/>
                <w:szCs w:val="20"/>
              </w:rPr>
            </w:pPr>
            <w:r>
              <w:rPr>
                <w:b/>
                <w:bCs/>
                <w:noProof/>
                <w:sz w:val="20"/>
                <w:szCs w:val="20"/>
              </w:rPr>
              <w:t>0.4</w:t>
            </w:r>
          </w:p>
        </w:tc>
        <w:tc>
          <w:tcPr>
            <w:tcW w:w="249" w:type="pct"/>
            <w:tcBorders>
              <w:top w:val="nil"/>
              <w:left w:val="nil"/>
              <w:bottom w:val="single" w:sz="4" w:space="0" w:color="auto"/>
              <w:right w:val="single" w:sz="4" w:space="0" w:color="auto"/>
            </w:tcBorders>
            <w:shd w:val="clear" w:color="000000" w:fill="BDE3FF"/>
            <w:hideMark/>
          </w:tcPr>
          <w:p w14:paraId="0CDD79F2" w14:textId="77777777" w:rsidR="006F3111" w:rsidRDefault="006F3111">
            <w:pPr>
              <w:jc w:val="right"/>
              <w:rPr>
                <w:b/>
                <w:bCs/>
                <w:noProof/>
                <w:sz w:val="20"/>
                <w:szCs w:val="20"/>
              </w:rPr>
            </w:pPr>
            <w:r>
              <w:rPr>
                <w:b/>
                <w:bCs/>
                <w:noProof/>
                <w:sz w:val="20"/>
                <w:szCs w:val="20"/>
              </w:rPr>
              <w:t>11.0</w:t>
            </w:r>
          </w:p>
        </w:tc>
        <w:tc>
          <w:tcPr>
            <w:tcW w:w="249" w:type="pct"/>
            <w:tcBorders>
              <w:top w:val="nil"/>
              <w:left w:val="nil"/>
              <w:bottom w:val="single" w:sz="4" w:space="0" w:color="auto"/>
              <w:right w:val="single" w:sz="4" w:space="0" w:color="auto"/>
            </w:tcBorders>
            <w:shd w:val="clear" w:color="000000" w:fill="BDE3FF"/>
            <w:hideMark/>
          </w:tcPr>
          <w:p w14:paraId="279BE4C9" w14:textId="77777777" w:rsidR="006F3111" w:rsidRDefault="006F3111">
            <w:pPr>
              <w:jc w:val="right"/>
              <w:rPr>
                <w:b/>
                <w:bCs/>
                <w:noProof/>
                <w:sz w:val="20"/>
                <w:szCs w:val="20"/>
              </w:rPr>
            </w:pPr>
            <w:r>
              <w:rPr>
                <w:b/>
                <w:bCs/>
                <w:noProof/>
                <w:sz w:val="20"/>
                <w:szCs w:val="20"/>
              </w:rPr>
              <w:t>4.7</w:t>
            </w:r>
          </w:p>
        </w:tc>
        <w:tc>
          <w:tcPr>
            <w:tcW w:w="249" w:type="pct"/>
            <w:tcBorders>
              <w:top w:val="nil"/>
              <w:left w:val="nil"/>
              <w:bottom w:val="single" w:sz="4" w:space="0" w:color="auto"/>
              <w:right w:val="single" w:sz="4" w:space="0" w:color="auto"/>
            </w:tcBorders>
            <w:shd w:val="clear" w:color="000000" w:fill="BDE3FF"/>
            <w:hideMark/>
          </w:tcPr>
          <w:p w14:paraId="22A4C721" w14:textId="77777777" w:rsidR="006F3111" w:rsidRDefault="006F3111">
            <w:pPr>
              <w:jc w:val="right"/>
              <w:rPr>
                <w:b/>
                <w:bCs/>
                <w:noProof/>
                <w:sz w:val="20"/>
                <w:szCs w:val="20"/>
              </w:rPr>
            </w:pPr>
            <w:r>
              <w:rPr>
                <w:b/>
                <w:bCs/>
                <w:noProof/>
                <w:sz w:val="20"/>
                <w:szCs w:val="20"/>
              </w:rPr>
              <w:t>13.2</w:t>
            </w:r>
          </w:p>
        </w:tc>
        <w:tc>
          <w:tcPr>
            <w:tcW w:w="249" w:type="pct"/>
            <w:tcBorders>
              <w:top w:val="nil"/>
              <w:left w:val="nil"/>
              <w:bottom w:val="single" w:sz="4" w:space="0" w:color="auto"/>
              <w:right w:val="single" w:sz="4" w:space="0" w:color="auto"/>
            </w:tcBorders>
            <w:shd w:val="clear" w:color="000000" w:fill="BDE3FF"/>
            <w:hideMark/>
          </w:tcPr>
          <w:p w14:paraId="2677FF7D" w14:textId="77777777" w:rsidR="006F3111" w:rsidRDefault="006F3111">
            <w:pPr>
              <w:jc w:val="right"/>
              <w:rPr>
                <w:b/>
                <w:bCs/>
                <w:noProof/>
                <w:sz w:val="20"/>
                <w:szCs w:val="20"/>
              </w:rPr>
            </w:pPr>
            <w:r>
              <w:rPr>
                <w:b/>
                <w:bCs/>
                <w:noProof/>
                <w:sz w:val="20"/>
                <w:szCs w:val="20"/>
              </w:rPr>
              <w:t>7.8</w:t>
            </w:r>
          </w:p>
        </w:tc>
        <w:tc>
          <w:tcPr>
            <w:tcW w:w="249" w:type="pct"/>
            <w:tcBorders>
              <w:top w:val="nil"/>
              <w:left w:val="nil"/>
              <w:bottom w:val="single" w:sz="4" w:space="0" w:color="auto"/>
              <w:right w:val="single" w:sz="4" w:space="0" w:color="auto"/>
            </w:tcBorders>
            <w:shd w:val="clear" w:color="000000" w:fill="BDE3FF"/>
            <w:hideMark/>
          </w:tcPr>
          <w:p w14:paraId="64912CF8" w14:textId="77777777" w:rsidR="006F3111" w:rsidRDefault="006F3111">
            <w:pPr>
              <w:jc w:val="right"/>
              <w:rPr>
                <w:b/>
                <w:bCs/>
                <w:noProof/>
                <w:sz w:val="20"/>
                <w:szCs w:val="20"/>
              </w:rPr>
            </w:pPr>
            <w:r>
              <w:rPr>
                <w:b/>
                <w:bCs/>
                <w:noProof/>
                <w:sz w:val="20"/>
                <w:szCs w:val="20"/>
              </w:rPr>
              <w:t>11.1</w:t>
            </w:r>
          </w:p>
        </w:tc>
        <w:tc>
          <w:tcPr>
            <w:tcW w:w="249" w:type="pct"/>
            <w:tcBorders>
              <w:top w:val="nil"/>
              <w:left w:val="nil"/>
              <w:bottom w:val="single" w:sz="4" w:space="0" w:color="auto"/>
              <w:right w:val="single" w:sz="4" w:space="0" w:color="auto"/>
            </w:tcBorders>
            <w:shd w:val="clear" w:color="000000" w:fill="BDE3FF"/>
            <w:hideMark/>
          </w:tcPr>
          <w:p w14:paraId="30772463" w14:textId="77777777" w:rsidR="006F3111" w:rsidRDefault="006F3111">
            <w:pPr>
              <w:jc w:val="right"/>
              <w:rPr>
                <w:b/>
                <w:bCs/>
                <w:noProof/>
                <w:sz w:val="20"/>
                <w:szCs w:val="20"/>
              </w:rPr>
            </w:pPr>
            <w:r>
              <w:rPr>
                <w:b/>
                <w:bCs/>
                <w:noProof/>
                <w:sz w:val="20"/>
                <w:szCs w:val="20"/>
              </w:rPr>
              <w:t>4.6</w:t>
            </w:r>
          </w:p>
        </w:tc>
        <w:tc>
          <w:tcPr>
            <w:tcW w:w="249" w:type="pct"/>
            <w:tcBorders>
              <w:top w:val="nil"/>
              <w:left w:val="nil"/>
              <w:bottom w:val="single" w:sz="4" w:space="0" w:color="auto"/>
              <w:right w:val="single" w:sz="4" w:space="0" w:color="auto"/>
            </w:tcBorders>
            <w:shd w:val="clear" w:color="000000" w:fill="BDE3FF"/>
            <w:hideMark/>
          </w:tcPr>
          <w:p w14:paraId="65BBB68A" w14:textId="77777777" w:rsidR="006F3111" w:rsidRDefault="006F3111">
            <w:pPr>
              <w:jc w:val="right"/>
              <w:rPr>
                <w:b/>
                <w:bCs/>
                <w:noProof/>
                <w:sz w:val="20"/>
                <w:szCs w:val="20"/>
              </w:rPr>
            </w:pPr>
            <w:r>
              <w:rPr>
                <w:b/>
                <w:bCs/>
                <w:noProof/>
                <w:sz w:val="20"/>
                <w:szCs w:val="20"/>
              </w:rPr>
              <w:t>11.3</w:t>
            </w:r>
          </w:p>
        </w:tc>
        <w:tc>
          <w:tcPr>
            <w:tcW w:w="249" w:type="pct"/>
            <w:tcBorders>
              <w:top w:val="nil"/>
              <w:left w:val="nil"/>
              <w:bottom w:val="single" w:sz="4" w:space="0" w:color="auto"/>
              <w:right w:val="single" w:sz="4" w:space="0" w:color="auto"/>
            </w:tcBorders>
            <w:shd w:val="clear" w:color="000000" w:fill="BDE3FF"/>
            <w:hideMark/>
          </w:tcPr>
          <w:p w14:paraId="6D56BE65" w14:textId="77777777" w:rsidR="006F3111" w:rsidRDefault="006F3111">
            <w:pPr>
              <w:jc w:val="right"/>
              <w:rPr>
                <w:b/>
                <w:bCs/>
                <w:noProof/>
                <w:sz w:val="20"/>
                <w:szCs w:val="20"/>
              </w:rPr>
            </w:pPr>
            <w:r>
              <w:rPr>
                <w:b/>
                <w:bCs/>
                <w:noProof/>
                <w:sz w:val="20"/>
                <w:szCs w:val="20"/>
              </w:rPr>
              <w:t>7.8</w:t>
            </w:r>
          </w:p>
        </w:tc>
        <w:tc>
          <w:tcPr>
            <w:tcW w:w="249" w:type="pct"/>
            <w:tcBorders>
              <w:top w:val="nil"/>
              <w:left w:val="nil"/>
              <w:bottom w:val="single" w:sz="4" w:space="0" w:color="auto"/>
              <w:right w:val="single" w:sz="4" w:space="0" w:color="auto"/>
            </w:tcBorders>
            <w:shd w:val="clear" w:color="000000" w:fill="BDE3FF"/>
            <w:hideMark/>
          </w:tcPr>
          <w:p w14:paraId="33D328F8" w14:textId="77777777" w:rsidR="006F3111" w:rsidRDefault="006F3111">
            <w:pPr>
              <w:jc w:val="right"/>
              <w:rPr>
                <w:b/>
                <w:bCs/>
                <w:noProof/>
                <w:sz w:val="20"/>
                <w:szCs w:val="20"/>
              </w:rPr>
            </w:pPr>
            <w:r>
              <w:rPr>
                <w:b/>
                <w:bCs/>
                <w:noProof/>
                <w:sz w:val="20"/>
                <w:szCs w:val="20"/>
              </w:rPr>
              <w:t>12.3</w:t>
            </w:r>
          </w:p>
        </w:tc>
        <w:tc>
          <w:tcPr>
            <w:tcW w:w="249" w:type="pct"/>
            <w:tcBorders>
              <w:top w:val="nil"/>
              <w:left w:val="nil"/>
              <w:bottom w:val="single" w:sz="4" w:space="0" w:color="auto"/>
              <w:right w:val="single" w:sz="4" w:space="0" w:color="auto"/>
            </w:tcBorders>
            <w:shd w:val="clear" w:color="000000" w:fill="BDE3FF"/>
            <w:hideMark/>
          </w:tcPr>
          <w:p w14:paraId="46D78ABC" w14:textId="77777777" w:rsidR="006F3111" w:rsidRDefault="006F3111">
            <w:pPr>
              <w:jc w:val="right"/>
              <w:rPr>
                <w:b/>
                <w:bCs/>
                <w:noProof/>
                <w:sz w:val="20"/>
                <w:szCs w:val="20"/>
              </w:rPr>
            </w:pPr>
            <w:r>
              <w:rPr>
                <w:b/>
                <w:bCs/>
                <w:noProof/>
                <w:sz w:val="20"/>
                <w:szCs w:val="20"/>
              </w:rPr>
              <w:t>4.6</w:t>
            </w:r>
          </w:p>
        </w:tc>
        <w:tc>
          <w:tcPr>
            <w:tcW w:w="249" w:type="pct"/>
            <w:tcBorders>
              <w:top w:val="nil"/>
              <w:left w:val="nil"/>
              <w:bottom w:val="single" w:sz="4" w:space="0" w:color="auto"/>
              <w:right w:val="single" w:sz="4" w:space="0" w:color="auto"/>
            </w:tcBorders>
            <w:shd w:val="clear" w:color="000000" w:fill="BDE3FF"/>
            <w:hideMark/>
          </w:tcPr>
          <w:p w14:paraId="55F22390" w14:textId="77777777" w:rsidR="006F3111" w:rsidRDefault="006F3111">
            <w:pPr>
              <w:jc w:val="right"/>
              <w:rPr>
                <w:b/>
                <w:bCs/>
                <w:noProof/>
                <w:sz w:val="20"/>
                <w:szCs w:val="20"/>
              </w:rPr>
            </w:pPr>
            <w:r>
              <w:rPr>
                <w:b/>
                <w:bCs/>
                <w:noProof/>
                <w:sz w:val="20"/>
                <w:szCs w:val="20"/>
              </w:rPr>
              <w:t>12.3</w:t>
            </w:r>
          </w:p>
        </w:tc>
        <w:tc>
          <w:tcPr>
            <w:tcW w:w="249" w:type="pct"/>
            <w:tcBorders>
              <w:top w:val="nil"/>
              <w:left w:val="nil"/>
              <w:bottom w:val="single" w:sz="4" w:space="0" w:color="auto"/>
              <w:right w:val="single" w:sz="4" w:space="0" w:color="auto"/>
            </w:tcBorders>
            <w:shd w:val="clear" w:color="000000" w:fill="BDE3FF"/>
            <w:hideMark/>
          </w:tcPr>
          <w:p w14:paraId="454B4047" w14:textId="77777777" w:rsidR="006F3111" w:rsidRDefault="006F3111">
            <w:pPr>
              <w:jc w:val="right"/>
              <w:rPr>
                <w:b/>
                <w:bCs/>
                <w:noProof/>
                <w:sz w:val="20"/>
                <w:szCs w:val="20"/>
              </w:rPr>
            </w:pPr>
            <w:r>
              <w:rPr>
                <w:b/>
                <w:bCs/>
                <w:noProof/>
                <w:sz w:val="20"/>
                <w:szCs w:val="20"/>
              </w:rPr>
              <w:t>7.8</w:t>
            </w:r>
          </w:p>
        </w:tc>
      </w:tr>
      <w:tr w:rsidR="00ED02DA" w14:paraId="14560F7D" w14:textId="77777777" w:rsidTr="00593F3D">
        <w:trPr>
          <w:trHeight w:val="510"/>
        </w:trPr>
        <w:tc>
          <w:tcPr>
            <w:tcW w:w="1016" w:type="pct"/>
            <w:tcBorders>
              <w:top w:val="nil"/>
              <w:left w:val="single" w:sz="4" w:space="0" w:color="auto"/>
              <w:bottom w:val="single" w:sz="4" w:space="0" w:color="auto"/>
              <w:right w:val="single" w:sz="4" w:space="0" w:color="auto"/>
            </w:tcBorders>
            <w:hideMark/>
          </w:tcPr>
          <w:p w14:paraId="22ED3FEB" w14:textId="77777777" w:rsidR="006F3111" w:rsidRDefault="006F3111">
            <w:pPr>
              <w:rPr>
                <w:noProof/>
                <w:color w:val="000000"/>
                <w:sz w:val="20"/>
                <w:szCs w:val="20"/>
              </w:rPr>
            </w:pPr>
            <w:r>
              <w:rPr>
                <w:noProof/>
                <w:color w:val="000000"/>
                <w:sz w:val="20"/>
                <w:szCs w:val="20"/>
              </w:rPr>
              <w:t>PM11 (Commercial agreement rules indispensable MDMS)</w:t>
            </w:r>
          </w:p>
        </w:tc>
        <w:tc>
          <w:tcPr>
            <w:tcW w:w="249" w:type="pct"/>
            <w:tcBorders>
              <w:top w:val="nil"/>
              <w:left w:val="nil"/>
              <w:bottom w:val="single" w:sz="4" w:space="0" w:color="auto"/>
              <w:right w:val="single" w:sz="4" w:space="0" w:color="auto"/>
            </w:tcBorders>
            <w:shd w:val="clear" w:color="000000" w:fill="FFFFFF"/>
            <w:noWrap/>
            <w:hideMark/>
          </w:tcPr>
          <w:p w14:paraId="02B9D6D8"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2E73BFFC" w14:textId="77777777" w:rsidR="006F3111" w:rsidRDefault="006F3111">
            <w:pPr>
              <w:jc w:val="right"/>
              <w:rPr>
                <w:noProof/>
                <w:color w:val="000000"/>
                <w:sz w:val="20"/>
                <w:szCs w:val="20"/>
              </w:rPr>
            </w:pPr>
            <w:r>
              <w:rPr>
                <w:noProof/>
                <w:color w:val="000000"/>
                <w:sz w:val="20"/>
                <w:szCs w:val="20"/>
              </w:rPr>
              <w:t>0.7</w:t>
            </w:r>
          </w:p>
        </w:tc>
        <w:tc>
          <w:tcPr>
            <w:tcW w:w="249" w:type="pct"/>
            <w:tcBorders>
              <w:top w:val="nil"/>
              <w:left w:val="nil"/>
              <w:bottom w:val="single" w:sz="4" w:space="0" w:color="auto"/>
              <w:right w:val="single" w:sz="4" w:space="0" w:color="auto"/>
            </w:tcBorders>
            <w:shd w:val="clear" w:color="000000" w:fill="FFFFFF"/>
            <w:noWrap/>
            <w:hideMark/>
          </w:tcPr>
          <w:p w14:paraId="29990423" w14:textId="77777777" w:rsidR="006F3111" w:rsidRDefault="006F3111">
            <w:pPr>
              <w:jc w:val="right"/>
              <w:rPr>
                <w:noProof/>
                <w:color w:val="000000"/>
                <w:sz w:val="20"/>
                <w:szCs w:val="20"/>
              </w:rPr>
            </w:pPr>
            <w:r>
              <w:rPr>
                <w:noProof/>
                <w:color w:val="000000"/>
                <w:sz w:val="20"/>
                <w:szCs w:val="20"/>
              </w:rPr>
              <w:t>1.1</w:t>
            </w:r>
          </w:p>
        </w:tc>
        <w:tc>
          <w:tcPr>
            <w:tcW w:w="249" w:type="pct"/>
            <w:tcBorders>
              <w:top w:val="nil"/>
              <w:left w:val="nil"/>
              <w:bottom w:val="single" w:sz="4" w:space="0" w:color="auto"/>
              <w:right w:val="single" w:sz="4" w:space="0" w:color="auto"/>
            </w:tcBorders>
            <w:shd w:val="clear" w:color="000000" w:fill="FFFFFF"/>
            <w:noWrap/>
            <w:hideMark/>
          </w:tcPr>
          <w:p w14:paraId="6E40782C" w14:textId="77777777" w:rsidR="006F3111" w:rsidRDefault="006F3111">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3A4F186F" w14:textId="77777777" w:rsidR="006F3111" w:rsidRDefault="006F3111">
            <w:pPr>
              <w:jc w:val="right"/>
              <w:rPr>
                <w:noProof/>
                <w:color w:val="000000"/>
                <w:sz w:val="20"/>
                <w:szCs w:val="20"/>
              </w:rPr>
            </w:pPr>
            <w:r>
              <w:rPr>
                <w:noProof/>
                <w:color w:val="000000"/>
                <w:sz w:val="20"/>
                <w:szCs w:val="20"/>
              </w:rPr>
              <w:t>9.9</w:t>
            </w:r>
          </w:p>
        </w:tc>
        <w:tc>
          <w:tcPr>
            <w:tcW w:w="249" w:type="pct"/>
            <w:tcBorders>
              <w:top w:val="nil"/>
              <w:left w:val="nil"/>
              <w:bottom w:val="single" w:sz="4" w:space="0" w:color="auto"/>
              <w:right w:val="single" w:sz="4" w:space="0" w:color="auto"/>
            </w:tcBorders>
            <w:shd w:val="clear" w:color="000000" w:fill="FFFFFF"/>
            <w:noWrap/>
            <w:hideMark/>
          </w:tcPr>
          <w:p w14:paraId="07693C42" w14:textId="77777777" w:rsidR="006F3111" w:rsidRDefault="006F3111">
            <w:pPr>
              <w:jc w:val="right"/>
              <w:rPr>
                <w:noProof/>
                <w:color w:val="000000"/>
                <w:sz w:val="20"/>
                <w:szCs w:val="20"/>
              </w:rPr>
            </w:pPr>
            <w:r>
              <w:rPr>
                <w:noProof/>
                <w:color w:val="000000"/>
                <w:sz w:val="20"/>
                <w:szCs w:val="20"/>
              </w:rPr>
              <w:t>4.2</w:t>
            </w:r>
          </w:p>
        </w:tc>
        <w:tc>
          <w:tcPr>
            <w:tcW w:w="249" w:type="pct"/>
            <w:tcBorders>
              <w:top w:val="nil"/>
              <w:left w:val="nil"/>
              <w:bottom w:val="single" w:sz="4" w:space="0" w:color="auto"/>
              <w:right w:val="single" w:sz="4" w:space="0" w:color="auto"/>
            </w:tcBorders>
            <w:shd w:val="clear" w:color="000000" w:fill="FFFFFF"/>
            <w:noWrap/>
            <w:hideMark/>
          </w:tcPr>
          <w:p w14:paraId="6B3972F6" w14:textId="77777777" w:rsidR="006F3111" w:rsidRDefault="006F3111">
            <w:pPr>
              <w:jc w:val="right"/>
              <w:rPr>
                <w:noProof/>
                <w:color w:val="000000"/>
                <w:sz w:val="20"/>
                <w:szCs w:val="20"/>
              </w:rPr>
            </w:pPr>
            <w:r>
              <w:rPr>
                <w:noProof/>
                <w:color w:val="000000"/>
                <w:sz w:val="20"/>
                <w:szCs w:val="20"/>
              </w:rPr>
              <w:t>12.1</w:t>
            </w:r>
          </w:p>
        </w:tc>
        <w:tc>
          <w:tcPr>
            <w:tcW w:w="249" w:type="pct"/>
            <w:tcBorders>
              <w:top w:val="nil"/>
              <w:left w:val="nil"/>
              <w:bottom w:val="single" w:sz="4" w:space="0" w:color="auto"/>
              <w:right w:val="single" w:sz="4" w:space="0" w:color="auto"/>
            </w:tcBorders>
            <w:shd w:val="clear" w:color="000000" w:fill="FFFFFF"/>
            <w:noWrap/>
            <w:hideMark/>
          </w:tcPr>
          <w:p w14:paraId="15FC300B" w14:textId="77777777" w:rsidR="006F3111" w:rsidRDefault="006F3111">
            <w:pPr>
              <w:jc w:val="right"/>
              <w:rPr>
                <w:noProof/>
                <w:color w:val="000000"/>
                <w:sz w:val="20"/>
                <w:szCs w:val="20"/>
              </w:rPr>
            </w:pPr>
            <w:r>
              <w:rPr>
                <w:noProof/>
                <w:color w:val="000000"/>
                <w:sz w:val="20"/>
                <w:szCs w:val="20"/>
              </w:rPr>
              <w:t>7.1</w:t>
            </w:r>
          </w:p>
        </w:tc>
        <w:tc>
          <w:tcPr>
            <w:tcW w:w="249" w:type="pct"/>
            <w:tcBorders>
              <w:top w:val="nil"/>
              <w:left w:val="nil"/>
              <w:bottom w:val="single" w:sz="4" w:space="0" w:color="auto"/>
              <w:right w:val="single" w:sz="4" w:space="0" w:color="auto"/>
            </w:tcBorders>
            <w:shd w:val="clear" w:color="000000" w:fill="FFFFFF"/>
            <w:noWrap/>
            <w:hideMark/>
          </w:tcPr>
          <w:p w14:paraId="06CBE666" w14:textId="77777777" w:rsidR="006F3111" w:rsidRDefault="006F3111">
            <w:pPr>
              <w:jc w:val="right"/>
              <w:rPr>
                <w:noProof/>
                <w:color w:val="000000"/>
                <w:sz w:val="20"/>
                <w:szCs w:val="20"/>
              </w:rPr>
            </w:pPr>
            <w:r>
              <w:rPr>
                <w:noProof/>
                <w:color w:val="000000"/>
                <w:sz w:val="20"/>
                <w:szCs w:val="20"/>
              </w:rPr>
              <w:t>9.9</w:t>
            </w:r>
          </w:p>
        </w:tc>
        <w:tc>
          <w:tcPr>
            <w:tcW w:w="249" w:type="pct"/>
            <w:tcBorders>
              <w:top w:val="nil"/>
              <w:left w:val="nil"/>
              <w:bottom w:val="single" w:sz="4" w:space="0" w:color="auto"/>
              <w:right w:val="single" w:sz="4" w:space="0" w:color="auto"/>
            </w:tcBorders>
            <w:shd w:val="clear" w:color="000000" w:fill="FFFFFF"/>
            <w:noWrap/>
            <w:hideMark/>
          </w:tcPr>
          <w:p w14:paraId="575286B5" w14:textId="77777777" w:rsidR="006F3111" w:rsidRDefault="006F3111">
            <w:pPr>
              <w:jc w:val="right"/>
              <w:rPr>
                <w:noProof/>
                <w:color w:val="000000"/>
                <w:sz w:val="20"/>
                <w:szCs w:val="20"/>
              </w:rPr>
            </w:pPr>
            <w:r>
              <w:rPr>
                <w:noProof/>
                <w:color w:val="000000"/>
                <w:sz w:val="20"/>
                <w:szCs w:val="20"/>
              </w:rPr>
              <w:t>4.2</w:t>
            </w:r>
          </w:p>
        </w:tc>
        <w:tc>
          <w:tcPr>
            <w:tcW w:w="249" w:type="pct"/>
            <w:tcBorders>
              <w:top w:val="nil"/>
              <w:left w:val="nil"/>
              <w:bottom w:val="single" w:sz="4" w:space="0" w:color="auto"/>
              <w:right w:val="single" w:sz="4" w:space="0" w:color="auto"/>
            </w:tcBorders>
            <w:shd w:val="clear" w:color="000000" w:fill="FFFFFF"/>
            <w:noWrap/>
            <w:hideMark/>
          </w:tcPr>
          <w:p w14:paraId="1406BBAD" w14:textId="77777777" w:rsidR="006F3111" w:rsidRDefault="006F3111">
            <w:pPr>
              <w:jc w:val="right"/>
              <w:rPr>
                <w:noProof/>
                <w:color w:val="000000"/>
                <w:sz w:val="20"/>
                <w:szCs w:val="20"/>
              </w:rPr>
            </w:pPr>
            <w:r>
              <w:rPr>
                <w:noProof/>
                <w:color w:val="000000"/>
                <w:sz w:val="20"/>
                <w:szCs w:val="20"/>
              </w:rPr>
              <w:t>10.4</w:t>
            </w:r>
          </w:p>
        </w:tc>
        <w:tc>
          <w:tcPr>
            <w:tcW w:w="249" w:type="pct"/>
            <w:tcBorders>
              <w:top w:val="nil"/>
              <w:left w:val="nil"/>
              <w:bottom w:val="single" w:sz="4" w:space="0" w:color="auto"/>
              <w:right w:val="single" w:sz="4" w:space="0" w:color="auto"/>
            </w:tcBorders>
            <w:shd w:val="clear" w:color="000000" w:fill="FFFFFF"/>
            <w:noWrap/>
            <w:hideMark/>
          </w:tcPr>
          <w:p w14:paraId="615AA13B" w14:textId="77777777" w:rsidR="006F3111" w:rsidRDefault="006F3111">
            <w:pPr>
              <w:jc w:val="right"/>
              <w:rPr>
                <w:noProof/>
                <w:color w:val="000000"/>
                <w:sz w:val="20"/>
                <w:szCs w:val="20"/>
              </w:rPr>
            </w:pPr>
            <w:r>
              <w:rPr>
                <w:noProof/>
                <w:color w:val="000000"/>
                <w:sz w:val="20"/>
                <w:szCs w:val="20"/>
              </w:rPr>
              <w:t>7.1</w:t>
            </w:r>
          </w:p>
        </w:tc>
        <w:tc>
          <w:tcPr>
            <w:tcW w:w="249" w:type="pct"/>
            <w:tcBorders>
              <w:top w:val="nil"/>
              <w:left w:val="nil"/>
              <w:bottom w:val="single" w:sz="4" w:space="0" w:color="auto"/>
              <w:right w:val="single" w:sz="4" w:space="0" w:color="auto"/>
            </w:tcBorders>
            <w:shd w:val="clear" w:color="000000" w:fill="FFFFFF"/>
            <w:noWrap/>
            <w:hideMark/>
          </w:tcPr>
          <w:p w14:paraId="6CE835EA" w14:textId="77777777" w:rsidR="006F3111" w:rsidRDefault="006F3111">
            <w:pPr>
              <w:jc w:val="right"/>
              <w:rPr>
                <w:noProof/>
                <w:color w:val="000000"/>
                <w:sz w:val="20"/>
                <w:szCs w:val="20"/>
              </w:rPr>
            </w:pPr>
            <w:r>
              <w:rPr>
                <w:noProof/>
                <w:color w:val="000000"/>
                <w:sz w:val="20"/>
                <w:szCs w:val="20"/>
              </w:rPr>
              <w:t>11.2</w:t>
            </w:r>
          </w:p>
        </w:tc>
        <w:tc>
          <w:tcPr>
            <w:tcW w:w="249" w:type="pct"/>
            <w:tcBorders>
              <w:top w:val="nil"/>
              <w:left w:val="nil"/>
              <w:bottom w:val="single" w:sz="4" w:space="0" w:color="auto"/>
              <w:right w:val="single" w:sz="4" w:space="0" w:color="auto"/>
            </w:tcBorders>
            <w:shd w:val="clear" w:color="000000" w:fill="FFFFFF"/>
            <w:noWrap/>
            <w:hideMark/>
          </w:tcPr>
          <w:p w14:paraId="236937EA" w14:textId="77777777" w:rsidR="006F3111" w:rsidRDefault="006F3111">
            <w:pPr>
              <w:jc w:val="right"/>
              <w:rPr>
                <w:noProof/>
                <w:color w:val="000000"/>
                <w:sz w:val="20"/>
                <w:szCs w:val="20"/>
              </w:rPr>
            </w:pPr>
            <w:r>
              <w:rPr>
                <w:noProof/>
                <w:color w:val="000000"/>
                <w:sz w:val="20"/>
                <w:szCs w:val="20"/>
              </w:rPr>
              <w:t>4.2</w:t>
            </w:r>
          </w:p>
        </w:tc>
        <w:tc>
          <w:tcPr>
            <w:tcW w:w="249" w:type="pct"/>
            <w:tcBorders>
              <w:top w:val="nil"/>
              <w:left w:val="nil"/>
              <w:bottom w:val="single" w:sz="4" w:space="0" w:color="auto"/>
              <w:right w:val="single" w:sz="4" w:space="0" w:color="auto"/>
            </w:tcBorders>
            <w:shd w:val="clear" w:color="000000" w:fill="FFFFFF"/>
            <w:noWrap/>
            <w:hideMark/>
          </w:tcPr>
          <w:p w14:paraId="1692C0AF" w14:textId="77777777" w:rsidR="006F3111" w:rsidRDefault="006F3111">
            <w:pPr>
              <w:jc w:val="right"/>
              <w:rPr>
                <w:noProof/>
                <w:color w:val="000000"/>
                <w:sz w:val="20"/>
                <w:szCs w:val="20"/>
              </w:rPr>
            </w:pPr>
            <w:r>
              <w:rPr>
                <w:noProof/>
                <w:color w:val="000000"/>
                <w:sz w:val="20"/>
                <w:szCs w:val="20"/>
              </w:rPr>
              <w:t>11.2</w:t>
            </w:r>
          </w:p>
        </w:tc>
        <w:tc>
          <w:tcPr>
            <w:tcW w:w="249" w:type="pct"/>
            <w:tcBorders>
              <w:top w:val="nil"/>
              <w:left w:val="nil"/>
              <w:bottom w:val="single" w:sz="4" w:space="0" w:color="auto"/>
              <w:right w:val="single" w:sz="4" w:space="0" w:color="auto"/>
            </w:tcBorders>
            <w:shd w:val="clear" w:color="000000" w:fill="FFFFFF"/>
            <w:noWrap/>
            <w:hideMark/>
          </w:tcPr>
          <w:p w14:paraId="16F6C7A7" w14:textId="77777777" w:rsidR="006F3111" w:rsidRDefault="006F3111">
            <w:pPr>
              <w:jc w:val="right"/>
              <w:rPr>
                <w:noProof/>
                <w:color w:val="000000"/>
                <w:sz w:val="20"/>
                <w:szCs w:val="20"/>
              </w:rPr>
            </w:pPr>
            <w:r>
              <w:rPr>
                <w:noProof/>
                <w:color w:val="000000"/>
                <w:sz w:val="20"/>
                <w:szCs w:val="20"/>
              </w:rPr>
              <w:t>7.1</w:t>
            </w:r>
          </w:p>
        </w:tc>
      </w:tr>
      <w:tr w:rsidR="00ED02DA" w14:paraId="1D961DDE" w14:textId="77777777" w:rsidTr="00593F3D">
        <w:trPr>
          <w:trHeight w:val="510"/>
        </w:trPr>
        <w:tc>
          <w:tcPr>
            <w:tcW w:w="1016" w:type="pct"/>
            <w:tcBorders>
              <w:top w:val="nil"/>
              <w:left w:val="single" w:sz="4" w:space="0" w:color="auto"/>
              <w:bottom w:val="single" w:sz="4" w:space="0" w:color="auto"/>
              <w:right w:val="single" w:sz="4" w:space="0" w:color="auto"/>
            </w:tcBorders>
            <w:hideMark/>
          </w:tcPr>
          <w:p w14:paraId="449CDC44" w14:textId="77777777" w:rsidR="006F3111" w:rsidRDefault="006F3111">
            <w:pPr>
              <w:rPr>
                <w:noProof/>
                <w:color w:val="000000"/>
                <w:sz w:val="20"/>
                <w:szCs w:val="20"/>
              </w:rPr>
            </w:pPr>
            <w:r>
              <w:rPr>
                <w:noProof/>
                <w:color w:val="000000"/>
                <w:sz w:val="20"/>
                <w:szCs w:val="20"/>
              </w:rPr>
              <w:t>PM12 (Commercial agreement rules indispensable RUs)</w:t>
            </w:r>
          </w:p>
        </w:tc>
        <w:tc>
          <w:tcPr>
            <w:tcW w:w="249" w:type="pct"/>
            <w:tcBorders>
              <w:top w:val="nil"/>
              <w:left w:val="nil"/>
              <w:bottom w:val="single" w:sz="4" w:space="0" w:color="auto"/>
              <w:right w:val="single" w:sz="4" w:space="0" w:color="auto"/>
            </w:tcBorders>
            <w:shd w:val="clear" w:color="000000" w:fill="FFFFFF"/>
            <w:noWrap/>
            <w:hideMark/>
          </w:tcPr>
          <w:p w14:paraId="50BAFCD6"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3082794E" w14:textId="77777777" w:rsidR="006F3111" w:rsidRDefault="006F3111">
            <w:pPr>
              <w:jc w:val="right"/>
              <w:rPr>
                <w:noProof/>
                <w:color w:val="000000"/>
                <w:sz w:val="20"/>
                <w:szCs w:val="20"/>
              </w:rPr>
            </w:pPr>
            <w:r>
              <w:rPr>
                <w:noProof/>
                <w:color w:val="000000"/>
                <w:sz w:val="20"/>
                <w:szCs w:val="20"/>
              </w:rPr>
              <w:t>0.1</w:t>
            </w:r>
          </w:p>
        </w:tc>
        <w:tc>
          <w:tcPr>
            <w:tcW w:w="249" w:type="pct"/>
            <w:tcBorders>
              <w:top w:val="nil"/>
              <w:left w:val="nil"/>
              <w:bottom w:val="single" w:sz="4" w:space="0" w:color="auto"/>
              <w:right w:val="single" w:sz="4" w:space="0" w:color="auto"/>
            </w:tcBorders>
            <w:shd w:val="clear" w:color="000000" w:fill="FFFFFF"/>
            <w:noWrap/>
            <w:hideMark/>
          </w:tcPr>
          <w:p w14:paraId="18747DD4" w14:textId="77777777" w:rsidR="006F3111" w:rsidRDefault="006F3111">
            <w:pPr>
              <w:jc w:val="right"/>
              <w:rPr>
                <w:noProof/>
                <w:color w:val="000000"/>
                <w:sz w:val="20"/>
                <w:szCs w:val="20"/>
              </w:rPr>
            </w:pPr>
            <w:r>
              <w:rPr>
                <w:noProof/>
                <w:color w:val="000000"/>
                <w:sz w:val="20"/>
                <w:szCs w:val="20"/>
              </w:rPr>
              <w:t>0.1</w:t>
            </w:r>
          </w:p>
        </w:tc>
        <w:tc>
          <w:tcPr>
            <w:tcW w:w="249" w:type="pct"/>
            <w:tcBorders>
              <w:top w:val="nil"/>
              <w:left w:val="nil"/>
              <w:bottom w:val="single" w:sz="4" w:space="0" w:color="auto"/>
              <w:right w:val="single" w:sz="4" w:space="0" w:color="auto"/>
            </w:tcBorders>
            <w:shd w:val="clear" w:color="000000" w:fill="FFFFFF"/>
            <w:noWrap/>
            <w:hideMark/>
          </w:tcPr>
          <w:p w14:paraId="480BF559" w14:textId="77777777" w:rsidR="006F3111" w:rsidRDefault="006F3111">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0DD02E2D" w14:textId="77777777" w:rsidR="006F3111" w:rsidRDefault="006F3111">
            <w:pPr>
              <w:jc w:val="right"/>
              <w:rPr>
                <w:noProof/>
                <w:color w:val="000000"/>
                <w:sz w:val="20"/>
                <w:szCs w:val="20"/>
              </w:rPr>
            </w:pPr>
            <w:r>
              <w:rPr>
                <w:noProof/>
                <w:color w:val="000000"/>
                <w:sz w:val="20"/>
                <w:szCs w:val="20"/>
              </w:rPr>
              <w:t>1.1</w:t>
            </w:r>
          </w:p>
        </w:tc>
        <w:tc>
          <w:tcPr>
            <w:tcW w:w="249" w:type="pct"/>
            <w:tcBorders>
              <w:top w:val="nil"/>
              <w:left w:val="nil"/>
              <w:bottom w:val="single" w:sz="4" w:space="0" w:color="auto"/>
              <w:right w:val="single" w:sz="4" w:space="0" w:color="auto"/>
            </w:tcBorders>
            <w:shd w:val="clear" w:color="000000" w:fill="FFFFFF"/>
            <w:noWrap/>
            <w:hideMark/>
          </w:tcPr>
          <w:p w14:paraId="06883BD5" w14:textId="77777777" w:rsidR="006F3111" w:rsidRDefault="006F3111">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336C18CC" w14:textId="77777777" w:rsidR="006F3111" w:rsidRDefault="006F3111">
            <w:pPr>
              <w:jc w:val="right"/>
              <w:rPr>
                <w:noProof/>
                <w:color w:val="000000"/>
                <w:sz w:val="20"/>
                <w:szCs w:val="20"/>
              </w:rPr>
            </w:pPr>
            <w:r>
              <w:rPr>
                <w:noProof/>
                <w:color w:val="000000"/>
                <w:sz w:val="20"/>
                <w:szCs w:val="20"/>
              </w:rPr>
              <w:t>1.1</w:t>
            </w:r>
          </w:p>
        </w:tc>
        <w:tc>
          <w:tcPr>
            <w:tcW w:w="249" w:type="pct"/>
            <w:tcBorders>
              <w:top w:val="nil"/>
              <w:left w:val="nil"/>
              <w:bottom w:val="single" w:sz="4" w:space="0" w:color="auto"/>
              <w:right w:val="single" w:sz="4" w:space="0" w:color="auto"/>
            </w:tcBorders>
            <w:shd w:val="clear" w:color="000000" w:fill="FFFFFF"/>
            <w:noWrap/>
            <w:hideMark/>
          </w:tcPr>
          <w:p w14:paraId="55000959" w14:textId="77777777" w:rsidR="006F3111" w:rsidRDefault="006F3111">
            <w:pPr>
              <w:jc w:val="right"/>
              <w:rPr>
                <w:noProof/>
                <w:color w:val="000000"/>
                <w:sz w:val="20"/>
                <w:szCs w:val="20"/>
              </w:rPr>
            </w:pPr>
            <w:r>
              <w:rPr>
                <w:noProof/>
                <w:color w:val="000000"/>
                <w:sz w:val="20"/>
                <w:szCs w:val="20"/>
              </w:rPr>
              <w:t>0.7</w:t>
            </w:r>
          </w:p>
        </w:tc>
        <w:tc>
          <w:tcPr>
            <w:tcW w:w="249" w:type="pct"/>
            <w:tcBorders>
              <w:top w:val="nil"/>
              <w:left w:val="nil"/>
              <w:bottom w:val="single" w:sz="4" w:space="0" w:color="auto"/>
              <w:right w:val="single" w:sz="4" w:space="0" w:color="auto"/>
            </w:tcBorders>
            <w:shd w:val="clear" w:color="000000" w:fill="FFFFFF"/>
            <w:noWrap/>
            <w:hideMark/>
          </w:tcPr>
          <w:p w14:paraId="7D7380DB" w14:textId="77777777" w:rsidR="006F3111" w:rsidRDefault="006F3111">
            <w:pPr>
              <w:jc w:val="right"/>
              <w:rPr>
                <w:noProof/>
                <w:color w:val="000000"/>
                <w:sz w:val="20"/>
                <w:szCs w:val="20"/>
              </w:rPr>
            </w:pPr>
            <w:r>
              <w:rPr>
                <w:noProof/>
                <w:color w:val="000000"/>
                <w:sz w:val="20"/>
                <w:szCs w:val="20"/>
              </w:rPr>
              <w:t>1.1</w:t>
            </w:r>
          </w:p>
        </w:tc>
        <w:tc>
          <w:tcPr>
            <w:tcW w:w="249" w:type="pct"/>
            <w:tcBorders>
              <w:top w:val="nil"/>
              <w:left w:val="nil"/>
              <w:bottom w:val="single" w:sz="4" w:space="0" w:color="auto"/>
              <w:right w:val="single" w:sz="4" w:space="0" w:color="auto"/>
            </w:tcBorders>
            <w:shd w:val="clear" w:color="000000" w:fill="FFFFFF"/>
            <w:noWrap/>
            <w:hideMark/>
          </w:tcPr>
          <w:p w14:paraId="5323567B" w14:textId="77777777" w:rsidR="006F3111" w:rsidRDefault="006F3111">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0DB98F84" w14:textId="77777777" w:rsidR="006F3111" w:rsidRDefault="006F3111">
            <w:pPr>
              <w:jc w:val="right"/>
              <w:rPr>
                <w:noProof/>
                <w:color w:val="000000"/>
                <w:sz w:val="20"/>
                <w:szCs w:val="20"/>
              </w:rPr>
            </w:pPr>
            <w:r>
              <w:rPr>
                <w:noProof/>
                <w:color w:val="000000"/>
                <w:sz w:val="20"/>
                <w:szCs w:val="20"/>
              </w:rPr>
              <w:t>1.0</w:t>
            </w:r>
          </w:p>
        </w:tc>
        <w:tc>
          <w:tcPr>
            <w:tcW w:w="249" w:type="pct"/>
            <w:tcBorders>
              <w:top w:val="nil"/>
              <w:left w:val="nil"/>
              <w:bottom w:val="single" w:sz="4" w:space="0" w:color="auto"/>
              <w:right w:val="single" w:sz="4" w:space="0" w:color="auto"/>
            </w:tcBorders>
            <w:shd w:val="clear" w:color="000000" w:fill="FFFFFF"/>
            <w:noWrap/>
            <w:hideMark/>
          </w:tcPr>
          <w:p w14:paraId="22C384D6" w14:textId="77777777" w:rsidR="006F3111" w:rsidRDefault="006F3111">
            <w:pPr>
              <w:jc w:val="right"/>
              <w:rPr>
                <w:noProof/>
                <w:color w:val="000000"/>
                <w:sz w:val="20"/>
                <w:szCs w:val="20"/>
              </w:rPr>
            </w:pPr>
            <w:r>
              <w:rPr>
                <w:noProof/>
                <w:color w:val="000000"/>
                <w:sz w:val="20"/>
                <w:szCs w:val="20"/>
              </w:rPr>
              <w:t>0.7</w:t>
            </w:r>
          </w:p>
        </w:tc>
        <w:tc>
          <w:tcPr>
            <w:tcW w:w="249" w:type="pct"/>
            <w:tcBorders>
              <w:top w:val="nil"/>
              <w:left w:val="nil"/>
              <w:bottom w:val="single" w:sz="4" w:space="0" w:color="auto"/>
              <w:right w:val="single" w:sz="4" w:space="0" w:color="auto"/>
            </w:tcBorders>
            <w:shd w:val="clear" w:color="000000" w:fill="FFFFFF"/>
            <w:noWrap/>
            <w:hideMark/>
          </w:tcPr>
          <w:p w14:paraId="41CBBCF7" w14:textId="77777777" w:rsidR="006F3111" w:rsidRDefault="006F3111">
            <w:pPr>
              <w:jc w:val="right"/>
              <w:rPr>
                <w:noProof/>
                <w:color w:val="000000"/>
                <w:sz w:val="20"/>
                <w:szCs w:val="20"/>
              </w:rPr>
            </w:pPr>
            <w:r>
              <w:rPr>
                <w:noProof/>
                <w:color w:val="000000"/>
                <w:sz w:val="20"/>
                <w:szCs w:val="20"/>
              </w:rPr>
              <w:t>1.2</w:t>
            </w:r>
          </w:p>
        </w:tc>
        <w:tc>
          <w:tcPr>
            <w:tcW w:w="249" w:type="pct"/>
            <w:tcBorders>
              <w:top w:val="nil"/>
              <w:left w:val="nil"/>
              <w:bottom w:val="single" w:sz="4" w:space="0" w:color="auto"/>
              <w:right w:val="single" w:sz="4" w:space="0" w:color="auto"/>
            </w:tcBorders>
            <w:shd w:val="clear" w:color="000000" w:fill="FFFFFF"/>
            <w:noWrap/>
            <w:hideMark/>
          </w:tcPr>
          <w:p w14:paraId="401D248D" w14:textId="77777777" w:rsidR="006F3111" w:rsidRDefault="006F3111">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39100060" w14:textId="77777777" w:rsidR="006F3111" w:rsidRDefault="006F3111">
            <w:pPr>
              <w:jc w:val="right"/>
              <w:rPr>
                <w:noProof/>
                <w:color w:val="000000"/>
                <w:sz w:val="20"/>
                <w:szCs w:val="20"/>
              </w:rPr>
            </w:pPr>
            <w:r>
              <w:rPr>
                <w:noProof/>
                <w:color w:val="000000"/>
                <w:sz w:val="20"/>
                <w:szCs w:val="20"/>
              </w:rPr>
              <w:t>1.0</w:t>
            </w:r>
          </w:p>
        </w:tc>
        <w:tc>
          <w:tcPr>
            <w:tcW w:w="249" w:type="pct"/>
            <w:tcBorders>
              <w:top w:val="nil"/>
              <w:left w:val="nil"/>
              <w:bottom w:val="single" w:sz="4" w:space="0" w:color="auto"/>
              <w:right w:val="single" w:sz="4" w:space="0" w:color="auto"/>
            </w:tcBorders>
            <w:shd w:val="clear" w:color="000000" w:fill="FFFFFF"/>
            <w:noWrap/>
            <w:hideMark/>
          </w:tcPr>
          <w:p w14:paraId="35EB43D5" w14:textId="77777777" w:rsidR="006F3111" w:rsidRDefault="006F3111">
            <w:pPr>
              <w:jc w:val="right"/>
              <w:rPr>
                <w:noProof/>
                <w:color w:val="000000"/>
                <w:sz w:val="20"/>
                <w:szCs w:val="20"/>
              </w:rPr>
            </w:pPr>
            <w:r>
              <w:rPr>
                <w:noProof/>
                <w:color w:val="000000"/>
                <w:sz w:val="20"/>
                <w:szCs w:val="20"/>
              </w:rPr>
              <w:t>0.7</w:t>
            </w:r>
          </w:p>
        </w:tc>
      </w:tr>
      <w:tr w:rsidR="006F3111" w14:paraId="768EB5C8" w14:textId="77777777" w:rsidTr="00593F3D">
        <w:trPr>
          <w:trHeight w:val="255"/>
        </w:trPr>
        <w:tc>
          <w:tcPr>
            <w:tcW w:w="1016" w:type="pct"/>
            <w:tcBorders>
              <w:top w:val="nil"/>
              <w:left w:val="single" w:sz="4" w:space="0" w:color="auto"/>
              <w:bottom w:val="single" w:sz="4" w:space="0" w:color="auto"/>
              <w:right w:val="single" w:sz="4" w:space="0" w:color="auto"/>
            </w:tcBorders>
            <w:shd w:val="clear" w:color="000000" w:fill="F2F2F2"/>
            <w:noWrap/>
            <w:hideMark/>
          </w:tcPr>
          <w:p w14:paraId="23049F2C" w14:textId="77777777" w:rsidR="006F3111" w:rsidRDefault="006F3111" w:rsidP="00593F3D">
            <w:pPr>
              <w:keepNext/>
              <w:rPr>
                <w:b/>
                <w:bCs/>
                <w:noProof/>
                <w:color w:val="000000"/>
                <w:sz w:val="20"/>
                <w:szCs w:val="20"/>
              </w:rPr>
            </w:pPr>
            <w:r>
              <w:rPr>
                <w:b/>
                <w:bCs/>
                <w:noProof/>
                <w:color w:val="000000"/>
                <w:sz w:val="20"/>
                <w:szCs w:val="20"/>
              </w:rPr>
              <w:t>Net costs (-) or net benefit (+)</w:t>
            </w:r>
          </w:p>
        </w:tc>
        <w:tc>
          <w:tcPr>
            <w:tcW w:w="249" w:type="pct"/>
            <w:tcBorders>
              <w:top w:val="nil"/>
              <w:left w:val="nil"/>
              <w:bottom w:val="single" w:sz="4" w:space="0" w:color="auto"/>
              <w:right w:val="single" w:sz="4" w:space="0" w:color="auto"/>
            </w:tcBorders>
            <w:shd w:val="clear" w:color="000000" w:fill="F2F2F2"/>
            <w:noWrap/>
            <w:hideMark/>
          </w:tcPr>
          <w:p w14:paraId="035B2671" w14:textId="77777777" w:rsidR="006F3111" w:rsidRDefault="006F3111" w:rsidP="00593F3D">
            <w:pPr>
              <w:keepNext/>
              <w:jc w:val="right"/>
              <w:rPr>
                <w:b/>
                <w:bCs/>
                <w:noProof/>
                <w:color w:val="000000"/>
                <w:sz w:val="20"/>
                <w:szCs w:val="20"/>
              </w:rPr>
            </w:pPr>
            <w:r>
              <w:rPr>
                <w:b/>
                <w:bCs/>
                <w:noProof/>
                <w:color w:val="000000"/>
                <w:sz w:val="20"/>
                <w:szCs w:val="20"/>
              </w:rPr>
              <w:t>-31.4</w:t>
            </w:r>
          </w:p>
        </w:tc>
        <w:tc>
          <w:tcPr>
            <w:tcW w:w="249" w:type="pct"/>
            <w:tcBorders>
              <w:top w:val="nil"/>
              <w:left w:val="nil"/>
              <w:bottom w:val="single" w:sz="4" w:space="0" w:color="auto"/>
              <w:right w:val="single" w:sz="4" w:space="0" w:color="auto"/>
            </w:tcBorders>
            <w:shd w:val="clear" w:color="000000" w:fill="F2F2F2"/>
            <w:noWrap/>
            <w:hideMark/>
          </w:tcPr>
          <w:p w14:paraId="5ADE6D27" w14:textId="77777777" w:rsidR="006F3111" w:rsidRDefault="006F3111" w:rsidP="00593F3D">
            <w:pPr>
              <w:keepNext/>
              <w:jc w:val="right"/>
              <w:rPr>
                <w:b/>
                <w:bCs/>
                <w:noProof/>
                <w:color w:val="000000"/>
                <w:sz w:val="20"/>
                <w:szCs w:val="20"/>
              </w:rPr>
            </w:pPr>
            <w:r>
              <w:rPr>
                <w:b/>
                <w:bCs/>
                <w:noProof/>
                <w:color w:val="000000"/>
                <w:sz w:val="20"/>
                <w:szCs w:val="20"/>
              </w:rPr>
              <w:t>-3.0</w:t>
            </w:r>
          </w:p>
        </w:tc>
        <w:tc>
          <w:tcPr>
            <w:tcW w:w="249" w:type="pct"/>
            <w:tcBorders>
              <w:top w:val="nil"/>
              <w:left w:val="nil"/>
              <w:bottom w:val="single" w:sz="4" w:space="0" w:color="auto"/>
              <w:right w:val="single" w:sz="4" w:space="0" w:color="auto"/>
            </w:tcBorders>
            <w:shd w:val="clear" w:color="000000" w:fill="F2F2F2"/>
            <w:noWrap/>
            <w:hideMark/>
          </w:tcPr>
          <w:p w14:paraId="220E6289" w14:textId="77777777" w:rsidR="006F3111" w:rsidRDefault="006F3111" w:rsidP="00593F3D">
            <w:pPr>
              <w:keepNext/>
              <w:jc w:val="right"/>
              <w:rPr>
                <w:b/>
                <w:bCs/>
                <w:noProof/>
                <w:color w:val="000000"/>
                <w:sz w:val="20"/>
                <w:szCs w:val="20"/>
              </w:rPr>
            </w:pPr>
            <w:r>
              <w:rPr>
                <w:b/>
                <w:bCs/>
                <w:noProof/>
                <w:color w:val="000000"/>
                <w:sz w:val="20"/>
                <w:szCs w:val="20"/>
              </w:rPr>
              <w:t>-2.9</w:t>
            </w:r>
          </w:p>
        </w:tc>
        <w:tc>
          <w:tcPr>
            <w:tcW w:w="249" w:type="pct"/>
            <w:tcBorders>
              <w:top w:val="nil"/>
              <w:left w:val="nil"/>
              <w:bottom w:val="single" w:sz="4" w:space="0" w:color="auto"/>
              <w:right w:val="single" w:sz="4" w:space="0" w:color="auto"/>
            </w:tcBorders>
            <w:shd w:val="clear" w:color="000000" w:fill="F2F2F2"/>
            <w:noWrap/>
            <w:hideMark/>
          </w:tcPr>
          <w:p w14:paraId="1CE6F4CB" w14:textId="77777777" w:rsidR="006F3111" w:rsidRDefault="006F3111" w:rsidP="00593F3D">
            <w:pPr>
              <w:keepNext/>
              <w:jc w:val="right"/>
              <w:rPr>
                <w:b/>
                <w:bCs/>
                <w:noProof/>
                <w:color w:val="000000"/>
                <w:sz w:val="20"/>
                <w:szCs w:val="20"/>
              </w:rPr>
            </w:pPr>
            <w:r>
              <w:rPr>
                <w:b/>
                <w:bCs/>
                <w:noProof/>
                <w:color w:val="000000"/>
                <w:sz w:val="20"/>
                <w:szCs w:val="20"/>
              </w:rPr>
              <w:t>-3.3</w:t>
            </w:r>
          </w:p>
        </w:tc>
        <w:tc>
          <w:tcPr>
            <w:tcW w:w="249" w:type="pct"/>
            <w:tcBorders>
              <w:top w:val="nil"/>
              <w:left w:val="nil"/>
              <w:bottom w:val="single" w:sz="4" w:space="0" w:color="auto"/>
              <w:right w:val="single" w:sz="4" w:space="0" w:color="auto"/>
            </w:tcBorders>
            <w:shd w:val="clear" w:color="000000" w:fill="F2F2F2"/>
            <w:noWrap/>
            <w:hideMark/>
          </w:tcPr>
          <w:p w14:paraId="6349CD1C" w14:textId="77777777" w:rsidR="006F3111" w:rsidRDefault="006F3111" w:rsidP="00593F3D">
            <w:pPr>
              <w:keepNext/>
              <w:jc w:val="right"/>
              <w:rPr>
                <w:b/>
                <w:bCs/>
                <w:noProof/>
                <w:color w:val="000000"/>
                <w:sz w:val="20"/>
                <w:szCs w:val="20"/>
              </w:rPr>
            </w:pPr>
            <w:r>
              <w:rPr>
                <w:b/>
                <w:bCs/>
                <w:noProof/>
                <w:color w:val="000000"/>
                <w:sz w:val="20"/>
                <w:szCs w:val="20"/>
              </w:rPr>
              <w:t>-20.4</w:t>
            </w:r>
          </w:p>
        </w:tc>
        <w:tc>
          <w:tcPr>
            <w:tcW w:w="249" w:type="pct"/>
            <w:tcBorders>
              <w:top w:val="nil"/>
              <w:left w:val="nil"/>
              <w:bottom w:val="single" w:sz="4" w:space="0" w:color="auto"/>
              <w:right w:val="single" w:sz="4" w:space="0" w:color="auto"/>
            </w:tcBorders>
            <w:shd w:val="clear" w:color="000000" w:fill="F2F2F2"/>
            <w:noWrap/>
            <w:hideMark/>
          </w:tcPr>
          <w:p w14:paraId="214EA24F" w14:textId="77777777" w:rsidR="006F3111" w:rsidRDefault="006F3111" w:rsidP="00593F3D">
            <w:pPr>
              <w:keepNext/>
              <w:jc w:val="right"/>
              <w:rPr>
                <w:b/>
                <w:bCs/>
                <w:noProof/>
                <w:color w:val="000000"/>
                <w:sz w:val="20"/>
                <w:szCs w:val="20"/>
              </w:rPr>
            </w:pPr>
            <w:r>
              <w:rPr>
                <w:b/>
                <w:bCs/>
                <w:noProof/>
                <w:color w:val="000000"/>
                <w:sz w:val="20"/>
                <w:szCs w:val="20"/>
              </w:rPr>
              <w:t>0.0</w:t>
            </w:r>
          </w:p>
        </w:tc>
        <w:tc>
          <w:tcPr>
            <w:tcW w:w="249" w:type="pct"/>
            <w:tcBorders>
              <w:top w:val="nil"/>
              <w:left w:val="nil"/>
              <w:bottom w:val="single" w:sz="4" w:space="0" w:color="auto"/>
              <w:right w:val="single" w:sz="4" w:space="0" w:color="auto"/>
            </w:tcBorders>
            <w:shd w:val="clear" w:color="000000" w:fill="F2F2F2"/>
            <w:noWrap/>
            <w:hideMark/>
          </w:tcPr>
          <w:p w14:paraId="60B58332" w14:textId="77777777" w:rsidR="006F3111" w:rsidRDefault="006F3111" w:rsidP="00593F3D">
            <w:pPr>
              <w:keepNext/>
              <w:jc w:val="right"/>
              <w:rPr>
                <w:b/>
                <w:bCs/>
                <w:noProof/>
                <w:color w:val="000000"/>
                <w:sz w:val="20"/>
                <w:szCs w:val="20"/>
              </w:rPr>
            </w:pPr>
            <w:r>
              <w:rPr>
                <w:b/>
                <w:bCs/>
                <w:noProof/>
                <w:color w:val="000000"/>
                <w:sz w:val="20"/>
                <w:szCs w:val="20"/>
              </w:rPr>
              <w:t>5.3</w:t>
            </w:r>
          </w:p>
        </w:tc>
        <w:tc>
          <w:tcPr>
            <w:tcW w:w="249" w:type="pct"/>
            <w:tcBorders>
              <w:top w:val="nil"/>
              <w:left w:val="nil"/>
              <w:bottom w:val="single" w:sz="4" w:space="0" w:color="auto"/>
              <w:right w:val="single" w:sz="4" w:space="0" w:color="auto"/>
            </w:tcBorders>
            <w:shd w:val="clear" w:color="000000" w:fill="F2F2F2"/>
            <w:noWrap/>
            <w:hideMark/>
          </w:tcPr>
          <w:p w14:paraId="2E76EE7B" w14:textId="77777777" w:rsidR="006F3111" w:rsidRDefault="006F3111" w:rsidP="00593F3D">
            <w:pPr>
              <w:keepNext/>
              <w:jc w:val="right"/>
              <w:rPr>
                <w:b/>
                <w:bCs/>
                <w:noProof/>
                <w:color w:val="000000"/>
                <w:sz w:val="20"/>
                <w:szCs w:val="20"/>
              </w:rPr>
            </w:pPr>
            <w:r>
              <w:rPr>
                <w:b/>
                <w:bCs/>
                <w:noProof/>
                <w:color w:val="000000"/>
                <w:sz w:val="20"/>
                <w:szCs w:val="20"/>
              </w:rPr>
              <w:t>2.4</w:t>
            </w:r>
          </w:p>
        </w:tc>
        <w:tc>
          <w:tcPr>
            <w:tcW w:w="249" w:type="pct"/>
            <w:tcBorders>
              <w:top w:val="nil"/>
              <w:left w:val="nil"/>
              <w:bottom w:val="single" w:sz="4" w:space="0" w:color="auto"/>
              <w:right w:val="single" w:sz="4" w:space="0" w:color="auto"/>
            </w:tcBorders>
            <w:shd w:val="clear" w:color="000000" w:fill="F2F2F2"/>
            <w:noWrap/>
            <w:hideMark/>
          </w:tcPr>
          <w:p w14:paraId="23A7ABF1" w14:textId="77777777" w:rsidR="006F3111" w:rsidRDefault="006F3111" w:rsidP="00593F3D">
            <w:pPr>
              <w:keepNext/>
              <w:jc w:val="right"/>
              <w:rPr>
                <w:b/>
                <w:bCs/>
                <w:noProof/>
                <w:color w:val="000000"/>
                <w:sz w:val="20"/>
                <w:szCs w:val="20"/>
              </w:rPr>
            </w:pPr>
            <w:r>
              <w:rPr>
                <w:b/>
                <w:bCs/>
                <w:noProof/>
                <w:color w:val="000000"/>
                <w:sz w:val="20"/>
                <w:szCs w:val="20"/>
              </w:rPr>
              <w:t>-20.8</w:t>
            </w:r>
          </w:p>
        </w:tc>
        <w:tc>
          <w:tcPr>
            <w:tcW w:w="249" w:type="pct"/>
            <w:tcBorders>
              <w:top w:val="nil"/>
              <w:left w:val="nil"/>
              <w:bottom w:val="single" w:sz="4" w:space="0" w:color="auto"/>
              <w:right w:val="single" w:sz="4" w:space="0" w:color="auto"/>
            </w:tcBorders>
            <w:shd w:val="clear" w:color="000000" w:fill="F2F2F2"/>
            <w:noWrap/>
            <w:hideMark/>
          </w:tcPr>
          <w:p w14:paraId="727C0C6C" w14:textId="77777777" w:rsidR="006F3111" w:rsidRDefault="006F3111" w:rsidP="00593F3D">
            <w:pPr>
              <w:keepNext/>
              <w:jc w:val="right"/>
              <w:rPr>
                <w:b/>
                <w:bCs/>
                <w:noProof/>
                <w:color w:val="000000"/>
                <w:sz w:val="20"/>
                <w:szCs w:val="20"/>
              </w:rPr>
            </w:pPr>
            <w:r>
              <w:rPr>
                <w:b/>
                <w:bCs/>
                <w:noProof/>
                <w:color w:val="000000"/>
                <w:sz w:val="20"/>
                <w:szCs w:val="20"/>
              </w:rPr>
              <w:t>-0.2</w:t>
            </w:r>
          </w:p>
        </w:tc>
        <w:tc>
          <w:tcPr>
            <w:tcW w:w="249" w:type="pct"/>
            <w:tcBorders>
              <w:top w:val="nil"/>
              <w:left w:val="nil"/>
              <w:bottom w:val="single" w:sz="4" w:space="0" w:color="auto"/>
              <w:right w:val="single" w:sz="4" w:space="0" w:color="auto"/>
            </w:tcBorders>
            <w:shd w:val="clear" w:color="000000" w:fill="F2F2F2"/>
            <w:noWrap/>
            <w:hideMark/>
          </w:tcPr>
          <w:p w14:paraId="1BF57D34" w14:textId="77777777" w:rsidR="006F3111" w:rsidRDefault="006F3111" w:rsidP="00593F3D">
            <w:pPr>
              <w:keepNext/>
              <w:jc w:val="right"/>
              <w:rPr>
                <w:b/>
                <w:bCs/>
                <w:noProof/>
                <w:color w:val="000000"/>
                <w:sz w:val="20"/>
                <w:szCs w:val="20"/>
              </w:rPr>
            </w:pPr>
            <w:r>
              <w:rPr>
                <w:b/>
                <w:bCs/>
                <w:noProof/>
                <w:color w:val="000000"/>
                <w:sz w:val="20"/>
                <w:szCs w:val="20"/>
              </w:rPr>
              <w:t>4.1</w:t>
            </w:r>
          </w:p>
        </w:tc>
        <w:tc>
          <w:tcPr>
            <w:tcW w:w="249" w:type="pct"/>
            <w:tcBorders>
              <w:top w:val="nil"/>
              <w:left w:val="nil"/>
              <w:bottom w:val="single" w:sz="4" w:space="0" w:color="auto"/>
              <w:right w:val="single" w:sz="4" w:space="0" w:color="auto"/>
            </w:tcBorders>
            <w:shd w:val="clear" w:color="000000" w:fill="F2F2F2"/>
            <w:noWrap/>
            <w:hideMark/>
          </w:tcPr>
          <w:p w14:paraId="33D0F202" w14:textId="77777777" w:rsidR="006F3111" w:rsidRDefault="006F3111" w:rsidP="00593F3D">
            <w:pPr>
              <w:keepNext/>
              <w:jc w:val="right"/>
              <w:rPr>
                <w:b/>
                <w:bCs/>
                <w:noProof/>
                <w:color w:val="000000"/>
                <w:sz w:val="20"/>
                <w:szCs w:val="20"/>
              </w:rPr>
            </w:pPr>
            <w:r>
              <w:rPr>
                <w:b/>
                <w:bCs/>
                <w:noProof/>
                <w:color w:val="000000"/>
                <w:sz w:val="20"/>
                <w:szCs w:val="20"/>
              </w:rPr>
              <w:t>2.4</w:t>
            </w:r>
          </w:p>
        </w:tc>
        <w:tc>
          <w:tcPr>
            <w:tcW w:w="249" w:type="pct"/>
            <w:tcBorders>
              <w:top w:val="nil"/>
              <w:left w:val="nil"/>
              <w:bottom w:val="single" w:sz="4" w:space="0" w:color="auto"/>
              <w:right w:val="single" w:sz="4" w:space="0" w:color="auto"/>
            </w:tcBorders>
            <w:shd w:val="clear" w:color="000000" w:fill="F2F2F2"/>
            <w:noWrap/>
            <w:hideMark/>
          </w:tcPr>
          <w:p w14:paraId="71E10074" w14:textId="77777777" w:rsidR="006F3111" w:rsidRDefault="006F3111" w:rsidP="00593F3D">
            <w:pPr>
              <w:keepNext/>
              <w:jc w:val="right"/>
              <w:rPr>
                <w:b/>
                <w:bCs/>
                <w:noProof/>
                <w:color w:val="000000"/>
                <w:sz w:val="20"/>
                <w:szCs w:val="20"/>
              </w:rPr>
            </w:pPr>
            <w:r>
              <w:rPr>
                <w:b/>
                <w:bCs/>
                <w:noProof/>
                <w:color w:val="000000"/>
                <w:sz w:val="20"/>
                <w:szCs w:val="20"/>
              </w:rPr>
              <w:t>-73.2</w:t>
            </w:r>
          </w:p>
        </w:tc>
        <w:tc>
          <w:tcPr>
            <w:tcW w:w="249" w:type="pct"/>
            <w:tcBorders>
              <w:top w:val="nil"/>
              <w:left w:val="nil"/>
              <w:bottom w:val="single" w:sz="4" w:space="0" w:color="auto"/>
              <w:right w:val="single" w:sz="4" w:space="0" w:color="auto"/>
            </w:tcBorders>
            <w:shd w:val="clear" w:color="000000" w:fill="F2F2F2"/>
            <w:noWrap/>
            <w:hideMark/>
          </w:tcPr>
          <w:p w14:paraId="5FDB5827" w14:textId="77777777" w:rsidR="006F3111" w:rsidRDefault="006F3111" w:rsidP="00593F3D">
            <w:pPr>
              <w:keepNext/>
              <w:jc w:val="right"/>
              <w:rPr>
                <w:b/>
                <w:bCs/>
                <w:noProof/>
                <w:color w:val="000000"/>
                <w:sz w:val="20"/>
                <w:szCs w:val="20"/>
              </w:rPr>
            </w:pPr>
            <w:r>
              <w:rPr>
                <w:b/>
                <w:bCs/>
                <w:noProof/>
                <w:color w:val="000000"/>
                <w:sz w:val="20"/>
                <w:szCs w:val="20"/>
              </w:rPr>
              <w:t>-54.2</w:t>
            </w:r>
          </w:p>
        </w:tc>
        <w:tc>
          <w:tcPr>
            <w:tcW w:w="249" w:type="pct"/>
            <w:tcBorders>
              <w:top w:val="nil"/>
              <w:left w:val="nil"/>
              <w:bottom w:val="single" w:sz="4" w:space="0" w:color="auto"/>
              <w:right w:val="single" w:sz="4" w:space="0" w:color="auto"/>
            </w:tcBorders>
            <w:shd w:val="clear" w:color="000000" w:fill="F2F2F2"/>
            <w:noWrap/>
            <w:hideMark/>
          </w:tcPr>
          <w:p w14:paraId="7CD1AD4D" w14:textId="77777777" w:rsidR="006F3111" w:rsidRDefault="006F3111" w:rsidP="00593F3D">
            <w:pPr>
              <w:keepNext/>
              <w:jc w:val="right"/>
              <w:rPr>
                <w:b/>
                <w:bCs/>
                <w:noProof/>
                <w:color w:val="000000"/>
                <w:sz w:val="20"/>
                <w:szCs w:val="20"/>
              </w:rPr>
            </w:pPr>
            <w:r>
              <w:rPr>
                <w:b/>
                <w:bCs/>
                <w:noProof/>
                <w:color w:val="000000"/>
                <w:sz w:val="20"/>
                <w:szCs w:val="20"/>
              </w:rPr>
              <w:t>4.7</w:t>
            </w:r>
          </w:p>
        </w:tc>
        <w:tc>
          <w:tcPr>
            <w:tcW w:w="249" w:type="pct"/>
            <w:tcBorders>
              <w:top w:val="nil"/>
              <w:left w:val="nil"/>
              <w:bottom w:val="single" w:sz="4" w:space="0" w:color="auto"/>
              <w:right w:val="single" w:sz="4" w:space="0" w:color="auto"/>
            </w:tcBorders>
            <w:shd w:val="clear" w:color="000000" w:fill="F2F2F2"/>
            <w:noWrap/>
            <w:hideMark/>
          </w:tcPr>
          <w:p w14:paraId="12F25AB6" w14:textId="77777777" w:rsidR="006F3111" w:rsidRDefault="006F3111" w:rsidP="00593F3D">
            <w:pPr>
              <w:keepNext/>
              <w:jc w:val="right"/>
              <w:rPr>
                <w:b/>
                <w:bCs/>
                <w:noProof/>
                <w:color w:val="000000"/>
                <w:sz w:val="20"/>
                <w:szCs w:val="20"/>
              </w:rPr>
            </w:pPr>
            <w:r>
              <w:rPr>
                <w:b/>
                <w:bCs/>
                <w:noProof/>
                <w:color w:val="000000"/>
                <w:sz w:val="20"/>
                <w:szCs w:val="20"/>
              </w:rPr>
              <w:t>2.4</w:t>
            </w:r>
          </w:p>
        </w:tc>
      </w:tr>
    </w:tbl>
    <w:p w14:paraId="6F3C6711" w14:textId="77777777" w:rsidR="00472624" w:rsidRPr="0043424D" w:rsidRDefault="00472624" w:rsidP="00593F3D">
      <w:pPr>
        <w:tabs>
          <w:tab w:val="left" w:pos="2302"/>
        </w:tabs>
        <w:spacing w:after="240"/>
        <w:jc w:val="both"/>
        <w:rPr>
          <w:i/>
          <w:iCs/>
          <w:noProof/>
          <w:sz w:val="20"/>
          <w:szCs w:val="20"/>
        </w:rPr>
      </w:pPr>
      <w:r w:rsidRPr="02058F38">
        <w:rPr>
          <w:i/>
          <w:noProof/>
          <w:sz w:val="20"/>
          <w:szCs w:val="20"/>
        </w:rPr>
        <w:t xml:space="preserve">Source: </w:t>
      </w:r>
      <w:r w:rsidRPr="0043424D">
        <w:rPr>
          <w:i/>
          <w:iCs/>
          <w:noProof/>
          <w:sz w:val="20"/>
          <w:szCs w:val="20"/>
        </w:rPr>
        <w:t>Ricardo et al. (2026), Impact assessment support study</w:t>
      </w:r>
    </w:p>
    <w:p w14:paraId="7B4AF1E8" w14:textId="177CF0F6" w:rsidR="00472624" w:rsidRDefault="00472624" w:rsidP="00593F3D">
      <w:pPr>
        <w:keepNext/>
        <w:tabs>
          <w:tab w:val="left" w:pos="1134"/>
        </w:tabs>
        <w:jc w:val="both"/>
        <w:rPr>
          <w:i/>
          <w:noProof/>
          <w:sz w:val="22"/>
          <w:szCs w:val="22"/>
        </w:rPr>
      </w:pPr>
      <w:r w:rsidRPr="006333F0">
        <w:rPr>
          <w:i/>
          <w:noProof/>
          <w:sz w:val="22"/>
          <w:szCs w:val="22"/>
        </w:rPr>
        <w:t xml:space="preserve">Table </w:t>
      </w:r>
      <w:r w:rsidRPr="00593F3D">
        <w:rPr>
          <w:i/>
          <w:noProof/>
          <w:sz w:val="22"/>
          <w:szCs w:val="22"/>
        </w:rPr>
        <w:fldChar w:fldCharType="begin"/>
      </w:r>
      <w:r w:rsidRPr="00505E10">
        <w:rPr>
          <w:i/>
          <w:noProof/>
          <w:sz w:val="22"/>
          <w:szCs w:val="22"/>
        </w:rPr>
        <w:instrText xml:space="preserve"> SEQ Table \* ARABIC </w:instrText>
      </w:r>
      <w:r w:rsidRPr="00593F3D">
        <w:rPr>
          <w:i/>
          <w:noProof/>
          <w:sz w:val="22"/>
          <w:szCs w:val="22"/>
        </w:rPr>
        <w:fldChar w:fldCharType="separate"/>
      </w:r>
      <w:r w:rsidR="0055391F">
        <w:rPr>
          <w:i/>
          <w:noProof/>
          <w:sz w:val="22"/>
          <w:szCs w:val="22"/>
        </w:rPr>
        <w:t>121</w:t>
      </w:r>
      <w:r w:rsidRPr="00593F3D">
        <w:rPr>
          <w:i/>
          <w:noProof/>
          <w:sz w:val="22"/>
          <w:szCs w:val="22"/>
        </w:rPr>
        <w:fldChar w:fldCharType="end"/>
      </w:r>
      <w:r w:rsidRPr="006333F0">
        <w:rPr>
          <w:i/>
          <w:noProof/>
          <w:sz w:val="22"/>
          <w:szCs w:val="22"/>
        </w:rPr>
        <w:t xml:space="preserve">: One-off costs for MDMS </w:t>
      </w:r>
      <w:r>
        <w:rPr>
          <w:i/>
          <w:noProof/>
          <w:sz w:val="22"/>
          <w:szCs w:val="22"/>
        </w:rPr>
        <w:t>platforms</w:t>
      </w:r>
      <w:r w:rsidRPr="006333F0">
        <w:rPr>
          <w:i/>
          <w:noProof/>
          <w:sz w:val="22"/>
          <w:szCs w:val="22"/>
        </w:rPr>
        <w:t xml:space="preserve"> in the POs relative to the baseline (EU27),</w:t>
      </w:r>
      <w:r>
        <w:rPr>
          <w:i/>
          <w:noProof/>
          <w:sz w:val="22"/>
          <w:szCs w:val="22"/>
        </w:rPr>
        <w:t xml:space="preserve"> </w:t>
      </w:r>
      <w:r w:rsidR="00B127D8">
        <w:rPr>
          <w:i/>
          <w:noProof/>
          <w:sz w:val="22"/>
          <w:szCs w:val="22"/>
        </w:rPr>
        <w:t>in 2028, 2030, 2040 and 2050</w:t>
      </w:r>
      <w:r>
        <w:rPr>
          <w:i/>
          <w:noProof/>
          <w:sz w:val="22"/>
          <w:szCs w:val="22"/>
        </w:rPr>
        <w:t>,</w:t>
      </w:r>
      <w:r w:rsidRPr="006333F0">
        <w:rPr>
          <w:i/>
          <w:noProof/>
          <w:sz w:val="22"/>
          <w:szCs w:val="22"/>
        </w:rPr>
        <w:t xml:space="preserve"> in million EUR (202</w:t>
      </w:r>
      <w:r>
        <w:rPr>
          <w:i/>
          <w:noProof/>
          <w:sz w:val="22"/>
          <w:szCs w:val="22"/>
        </w:rPr>
        <w:t>4</w:t>
      </w:r>
      <w:r w:rsidRPr="006333F0">
        <w:rPr>
          <w:i/>
          <w:noProof/>
          <w:sz w:val="22"/>
          <w:szCs w:val="22"/>
        </w:rPr>
        <w:t xml:space="preserve"> prices)</w:t>
      </w:r>
    </w:p>
    <w:tbl>
      <w:tblPr>
        <w:tblW w:w="5000" w:type="pct"/>
        <w:tblLook w:val="04A0" w:firstRow="1" w:lastRow="0" w:firstColumn="1" w:lastColumn="0" w:noHBand="0" w:noVBand="1"/>
      </w:tblPr>
      <w:tblGrid>
        <w:gridCol w:w="3006"/>
        <w:gridCol w:w="737"/>
        <w:gridCol w:w="737"/>
        <w:gridCol w:w="737"/>
        <w:gridCol w:w="746"/>
        <w:gridCol w:w="737"/>
        <w:gridCol w:w="736"/>
        <w:gridCol w:w="736"/>
        <w:gridCol w:w="736"/>
        <w:gridCol w:w="736"/>
        <w:gridCol w:w="736"/>
        <w:gridCol w:w="736"/>
        <w:gridCol w:w="736"/>
        <w:gridCol w:w="736"/>
        <w:gridCol w:w="736"/>
        <w:gridCol w:w="736"/>
        <w:gridCol w:w="728"/>
      </w:tblGrid>
      <w:tr w:rsidR="00ED02DA" w14:paraId="107436B4" w14:textId="77777777" w:rsidTr="00505E10">
        <w:trPr>
          <w:trHeight w:val="282"/>
          <w:tblHeader/>
        </w:trPr>
        <w:tc>
          <w:tcPr>
            <w:tcW w:w="1016"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1F6A9629" w14:textId="77777777" w:rsidR="00ED02DA" w:rsidRDefault="00ED02DA" w:rsidP="00593F3D">
            <w:pPr>
              <w:keepNext/>
              <w:jc w:val="center"/>
              <w:rPr>
                <w:b/>
                <w:bCs/>
                <w:noProof/>
                <w:color w:val="FFFFFF"/>
                <w:sz w:val="20"/>
                <w:szCs w:val="20"/>
              </w:rPr>
            </w:pPr>
            <w:r>
              <w:rPr>
                <w:b/>
                <w:bCs/>
                <w:noProof/>
                <w:color w:val="FFFFFF"/>
                <w:sz w:val="20"/>
                <w:szCs w:val="20"/>
              </w:rPr>
              <w:t> </w:t>
            </w:r>
          </w:p>
        </w:tc>
        <w:tc>
          <w:tcPr>
            <w:tcW w:w="999" w:type="pct"/>
            <w:gridSpan w:val="4"/>
            <w:tcBorders>
              <w:top w:val="single" w:sz="4" w:space="0" w:color="auto"/>
              <w:left w:val="nil"/>
              <w:bottom w:val="single" w:sz="4" w:space="0" w:color="auto"/>
              <w:right w:val="single" w:sz="4" w:space="0" w:color="auto"/>
            </w:tcBorders>
            <w:shd w:val="clear" w:color="000000" w:fill="0070C0"/>
            <w:hideMark/>
          </w:tcPr>
          <w:p w14:paraId="570F58B1" w14:textId="77777777" w:rsidR="00ED02DA" w:rsidRDefault="00ED02DA" w:rsidP="00593F3D">
            <w:pPr>
              <w:keepNext/>
              <w:jc w:val="center"/>
              <w:rPr>
                <w:b/>
                <w:bCs/>
                <w:noProof/>
                <w:color w:val="FFFFFF"/>
                <w:sz w:val="20"/>
                <w:szCs w:val="20"/>
              </w:rPr>
            </w:pPr>
            <w:r>
              <w:rPr>
                <w:b/>
                <w:bCs/>
                <w:noProof/>
                <w:color w:val="FFFFFF"/>
                <w:sz w:val="20"/>
                <w:szCs w:val="20"/>
              </w:rPr>
              <w:t>PO1</w:t>
            </w:r>
          </w:p>
        </w:tc>
        <w:tc>
          <w:tcPr>
            <w:tcW w:w="996" w:type="pct"/>
            <w:gridSpan w:val="4"/>
            <w:tcBorders>
              <w:top w:val="single" w:sz="4" w:space="0" w:color="auto"/>
              <w:left w:val="nil"/>
              <w:bottom w:val="single" w:sz="4" w:space="0" w:color="auto"/>
              <w:right w:val="single" w:sz="4" w:space="0" w:color="auto"/>
            </w:tcBorders>
            <w:shd w:val="clear" w:color="000000" w:fill="0070C0"/>
            <w:hideMark/>
          </w:tcPr>
          <w:p w14:paraId="02CA682E" w14:textId="77777777" w:rsidR="00ED02DA" w:rsidRDefault="00ED02DA" w:rsidP="00593F3D">
            <w:pPr>
              <w:keepNext/>
              <w:jc w:val="center"/>
              <w:rPr>
                <w:b/>
                <w:bCs/>
                <w:noProof/>
                <w:color w:val="FFFFFF"/>
                <w:sz w:val="20"/>
                <w:szCs w:val="20"/>
              </w:rPr>
            </w:pPr>
            <w:r>
              <w:rPr>
                <w:b/>
                <w:bCs/>
                <w:noProof/>
                <w:color w:val="FFFFFF"/>
                <w:sz w:val="20"/>
                <w:szCs w:val="20"/>
              </w:rPr>
              <w:t>PO2</w:t>
            </w:r>
          </w:p>
        </w:tc>
        <w:tc>
          <w:tcPr>
            <w:tcW w:w="995" w:type="pct"/>
            <w:gridSpan w:val="4"/>
            <w:tcBorders>
              <w:top w:val="single" w:sz="4" w:space="0" w:color="auto"/>
              <w:left w:val="nil"/>
              <w:bottom w:val="single" w:sz="4" w:space="0" w:color="auto"/>
              <w:right w:val="single" w:sz="4" w:space="0" w:color="auto"/>
            </w:tcBorders>
            <w:shd w:val="clear" w:color="000000" w:fill="0070C0"/>
            <w:hideMark/>
          </w:tcPr>
          <w:p w14:paraId="2A0B5313" w14:textId="77777777" w:rsidR="00ED02DA" w:rsidRDefault="00ED02DA" w:rsidP="00593F3D">
            <w:pPr>
              <w:keepNext/>
              <w:jc w:val="center"/>
              <w:rPr>
                <w:b/>
                <w:bCs/>
                <w:noProof/>
                <w:color w:val="FFFFFF"/>
                <w:sz w:val="20"/>
                <w:szCs w:val="20"/>
              </w:rPr>
            </w:pPr>
            <w:r>
              <w:rPr>
                <w:b/>
                <w:bCs/>
                <w:noProof/>
                <w:color w:val="FFFFFF"/>
                <w:sz w:val="20"/>
                <w:szCs w:val="20"/>
              </w:rPr>
              <w:t>PO3</w:t>
            </w:r>
          </w:p>
        </w:tc>
        <w:tc>
          <w:tcPr>
            <w:tcW w:w="994" w:type="pct"/>
            <w:gridSpan w:val="4"/>
            <w:tcBorders>
              <w:top w:val="single" w:sz="4" w:space="0" w:color="auto"/>
              <w:left w:val="nil"/>
              <w:bottom w:val="single" w:sz="4" w:space="0" w:color="auto"/>
              <w:right w:val="single" w:sz="4" w:space="0" w:color="auto"/>
            </w:tcBorders>
            <w:shd w:val="clear" w:color="000000" w:fill="0070C0"/>
            <w:hideMark/>
          </w:tcPr>
          <w:p w14:paraId="0F7ED9BF" w14:textId="77777777" w:rsidR="00ED02DA" w:rsidRDefault="00ED02DA" w:rsidP="00593F3D">
            <w:pPr>
              <w:keepNext/>
              <w:jc w:val="center"/>
              <w:rPr>
                <w:b/>
                <w:bCs/>
                <w:noProof/>
                <w:color w:val="FFFFFF"/>
                <w:sz w:val="20"/>
                <w:szCs w:val="20"/>
              </w:rPr>
            </w:pPr>
            <w:r>
              <w:rPr>
                <w:b/>
                <w:bCs/>
                <w:noProof/>
                <w:color w:val="FFFFFF"/>
                <w:sz w:val="20"/>
                <w:szCs w:val="20"/>
              </w:rPr>
              <w:t>PO4</w:t>
            </w:r>
          </w:p>
        </w:tc>
      </w:tr>
      <w:tr w:rsidR="00ED02DA" w14:paraId="0216E7C4" w14:textId="77777777" w:rsidTr="00505E10">
        <w:trPr>
          <w:trHeight w:val="282"/>
          <w:tblHeader/>
        </w:trPr>
        <w:tc>
          <w:tcPr>
            <w:tcW w:w="1016" w:type="pct"/>
            <w:vMerge/>
            <w:tcBorders>
              <w:top w:val="single" w:sz="4" w:space="0" w:color="auto"/>
              <w:left w:val="single" w:sz="4" w:space="0" w:color="auto"/>
              <w:bottom w:val="single" w:sz="4" w:space="0" w:color="auto"/>
              <w:right w:val="single" w:sz="4" w:space="0" w:color="auto"/>
            </w:tcBorders>
            <w:hideMark/>
          </w:tcPr>
          <w:p w14:paraId="55634159" w14:textId="77777777" w:rsidR="00ED02DA" w:rsidRDefault="00ED02DA">
            <w:pPr>
              <w:rPr>
                <w:b/>
                <w:bCs/>
                <w:noProof/>
                <w:color w:val="FFFFFF"/>
                <w:sz w:val="20"/>
                <w:szCs w:val="20"/>
              </w:rPr>
            </w:pPr>
          </w:p>
        </w:tc>
        <w:tc>
          <w:tcPr>
            <w:tcW w:w="249" w:type="pct"/>
            <w:tcBorders>
              <w:top w:val="nil"/>
              <w:left w:val="nil"/>
              <w:bottom w:val="single" w:sz="4" w:space="0" w:color="auto"/>
              <w:right w:val="single" w:sz="4" w:space="0" w:color="auto"/>
            </w:tcBorders>
            <w:shd w:val="clear" w:color="000000" w:fill="0070C0"/>
            <w:hideMark/>
          </w:tcPr>
          <w:p w14:paraId="5BCEE8BE" w14:textId="77777777" w:rsidR="00ED02DA" w:rsidRDefault="00ED02DA">
            <w:pPr>
              <w:jc w:val="center"/>
              <w:rPr>
                <w:b/>
                <w:bCs/>
                <w:noProof/>
                <w:color w:val="FFFFFF"/>
                <w:sz w:val="20"/>
                <w:szCs w:val="20"/>
              </w:rPr>
            </w:pPr>
            <w:r>
              <w:rPr>
                <w:b/>
                <w:bCs/>
                <w:noProof/>
                <w:color w:val="FFFFFF"/>
                <w:sz w:val="20"/>
                <w:szCs w:val="20"/>
              </w:rPr>
              <w:t>2028</w:t>
            </w:r>
          </w:p>
        </w:tc>
        <w:tc>
          <w:tcPr>
            <w:tcW w:w="249" w:type="pct"/>
            <w:tcBorders>
              <w:top w:val="nil"/>
              <w:left w:val="nil"/>
              <w:bottom w:val="single" w:sz="4" w:space="0" w:color="auto"/>
              <w:right w:val="single" w:sz="4" w:space="0" w:color="auto"/>
            </w:tcBorders>
            <w:shd w:val="clear" w:color="000000" w:fill="0070C0"/>
            <w:hideMark/>
          </w:tcPr>
          <w:p w14:paraId="2BC3B311" w14:textId="77777777" w:rsidR="00ED02DA" w:rsidRDefault="00ED02DA">
            <w:pPr>
              <w:jc w:val="center"/>
              <w:rPr>
                <w:b/>
                <w:bCs/>
                <w:noProof/>
                <w:color w:val="FFFFFF"/>
                <w:sz w:val="20"/>
                <w:szCs w:val="20"/>
              </w:rPr>
            </w:pPr>
            <w:r>
              <w:rPr>
                <w:b/>
                <w:bCs/>
                <w:noProof/>
                <w:color w:val="FFFFFF"/>
                <w:sz w:val="20"/>
                <w:szCs w:val="20"/>
              </w:rPr>
              <w:t>2030</w:t>
            </w:r>
          </w:p>
        </w:tc>
        <w:tc>
          <w:tcPr>
            <w:tcW w:w="249" w:type="pct"/>
            <w:tcBorders>
              <w:top w:val="nil"/>
              <w:left w:val="nil"/>
              <w:bottom w:val="single" w:sz="4" w:space="0" w:color="auto"/>
              <w:right w:val="single" w:sz="4" w:space="0" w:color="auto"/>
            </w:tcBorders>
            <w:shd w:val="clear" w:color="000000" w:fill="0070C0"/>
            <w:hideMark/>
          </w:tcPr>
          <w:p w14:paraId="0DB95830" w14:textId="77777777" w:rsidR="00ED02DA" w:rsidRDefault="00ED02DA">
            <w:pPr>
              <w:jc w:val="center"/>
              <w:rPr>
                <w:b/>
                <w:bCs/>
                <w:noProof/>
                <w:color w:val="FFFFFF"/>
                <w:sz w:val="20"/>
                <w:szCs w:val="20"/>
              </w:rPr>
            </w:pPr>
            <w:r>
              <w:rPr>
                <w:b/>
                <w:bCs/>
                <w:noProof/>
                <w:color w:val="FFFFFF"/>
                <w:sz w:val="20"/>
                <w:szCs w:val="20"/>
              </w:rPr>
              <w:t>2040</w:t>
            </w:r>
          </w:p>
        </w:tc>
        <w:tc>
          <w:tcPr>
            <w:tcW w:w="251" w:type="pct"/>
            <w:tcBorders>
              <w:top w:val="nil"/>
              <w:left w:val="nil"/>
              <w:bottom w:val="single" w:sz="4" w:space="0" w:color="auto"/>
              <w:right w:val="single" w:sz="4" w:space="0" w:color="auto"/>
            </w:tcBorders>
            <w:shd w:val="clear" w:color="000000" w:fill="0070C0"/>
            <w:hideMark/>
          </w:tcPr>
          <w:p w14:paraId="1A78E815" w14:textId="77777777" w:rsidR="00ED02DA" w:rsidRDefault="00ED02DA">
            <w:pPr>
              <w:jc w:val="center"/>
              <w:rPr>
                <w:b/>
                <w:bCs/>
                <w:noProof/>
                <w:color w:val="FFFFFF"/>
                <w:sz w:val="20"/>
                <w:szCs w:val="20"/>
              </w:rPr>
            </w:pPr>
            <w:r>
              <w:rPr>
                <w:b/>
                <w:bCs/>
                <w:noProof/>
                <w:color w:val="FFFFFF"/>
                <w:sz w:val="20"/>
                <w:szCs w:val="20"/>
              </w:rPr>
              <w:t>2050</w:t>
            </w:r>
          </w:p>
        </w:tc>
        <w:tc>
          <w:tcPr>
            <w:tcW w:w="249" w:type="pct"/>
            <w:tcBorders>
              <w:top w:val="nil"/>
              <w:left w:val="nil"/>
              <w:bottom w:val="single" w:sz="4" w:space="0" w:color="auto"/>
              <w:right w:val="single" w:sz="4" w:space="0" w:color="auto"/>
            </w:tcBorders>
            <w:shd w:val="clear" w:color="000000" w:fill="0070C0"/>
            <w:hideMark/>
          </w:tcPr>
          <w:p w14:paraId="2B6C1B69" w14:textId="77777777" w:rsidR="00ED02DA" w:rsidRDefault="00ED02DA">
            <w:pPr>
              <w:jc w:val="center"/>
              <w:rPr>
                <w:b/>
                <w:bCs/>
                <w:noProof/>
                <w:color w:val="FFFFFF"/>
                <w:sz w:val="20"/>
                <w:szCs w:val="20"/>
              </w:rPr>
            </w:pPr>
            <w:r>
              <w:rPr>
                <w:b/>
                <w:bCs/>
                <w:noProof/>
                <w:color w:val="FFFFFF"/>
                <w:sz w:val="20"/>
                <w:szCs w:val="20"/>
              </w:rPr>
              <w:t>2028</w:t>
            </w:r>
          </w:p>
        </w:tc>
        <w:tc>
          <w:tcPr>
            <w:tcW w:w="249" w:type="pct"/>
            <w:tcBorders>
              <w:top w:val="nil"/>
              <w:left w:val="nil"/>
              <w:bottom w:val="single" w:sz="4" w:space="0" w:color="auto"/>
              <w:right w:val="single" w:sz="4" w:space="0" w:color="auto"/>
            </w:tcBorders>
            <w:shd w:val="clear" w:color="000000" w:fill="0070C0"/>
            <w:hideMark/>
          </w:tcPr>
          <w:p w14:paraId="6D64644F" w14:textId="77777777" w:rsidR="00ED02DA" w:rsidRDefault="00ED02DA">
            <w:pPr>
              <w:jc w:val="center"/>
              <w:rPr>
                <w:b/>
                <w:bCs/>
                <w:noProof/>
                <w:color w:val="FFFFFF"/>
                <w:sz w:val="20"/>
                <w:szCs w:val="20"/>
              </w:rPr>
            </w:pPr>
            <w:r>
              <w:rPr>
                <w:b/>
                <w:bCs/>
                <w:noProof/>
                <w:color w:val="FFFFFF"/>
                <w:sz w:val="20"/>
                <w:szCs w:val="20"/>
              </w:rPr>
              <w:t>2030</w:t>
            </w:r>
          </w:p>
        </w:tc>
        <w:tc>
          <w:tcPr>
            <w:tcW w:w="249" w:type="pct"/>
            <w:tcBorders>
              <w:top w:val="nil"/>
              <w:left w:val="nil"/>
              <w:bottom w:val="single" w:sz="4" w:space="0" w:color="auto"/>
              <w:right w:val="single" w:sz="4" w:space="0" w:color="auto"/>
            </w:tcBorders>
            <w:shd w:val="clear" w:color="000000" w:fill="0070C0"/>
            <w:hideMark/>
          </w:tcPr>
          <w:p w14:paraId="3F690A62" w14:textId="77777777" w:rsidR="00ED02DA" w:rsidRDefault="00ED02DA">
            <w:pPr>
              <w:jc w:val="center"/>
              <w:rPr>
                <w:b/>
                <w:bCs/>
                <w:noProof/>
                <w:color w:val="FFFFFF"/>
                <w:sz w:val="20"/>
                <w:szCs w:val="20"/>
              </w:rPr>
            </w:pPr>
            <w:r>
              <w:rPr>
                <w:b/>
                <w:bCs/>
                <w:noProof/>
                <w:color w:val="FFFFFF"/>
                <w:sz w:val="20"/>
                <w:szCs w:val="20"/>
              </w:rPr>
              <w:t>2040</w:t>
            </w:r>
          </w:p>
        </w:tc>
        <w:tc>
          <w:tcPr>
            <w:tcW w:w="249" w:type="pct"/>
            <w:tcBorders>
              <w:top w:val="nil"/>
              <w:left w:val="nil"/>
              <w:bottom w:val="single" w:sz="4" w:space="0" w:color="auto"/>
              <w:right w:val="single" w:sz="4" w:space="0" w:color="auto"/>
            </w:tcBorders>
            <w:shd w:val="clear" w:color="000000" w:fill="0070C0"/>
            <w:hideMark/>
          </w:tcPr>
          <w:p w14:paraId="3BC029CB" w14:textId="77777777" w:rsidR="00ED02DA" w:rsidRDefault="00ED02DA">
            <w:pPr>
              <w:jc w:val="center"/>
              <w:rPr>
                <w:b/>
                <w:bCs/>
                <w:noProof/>
                <w:color w:val="FFFFFF"/>
                <w:sz w:val="20"/>
                <w:szCs w:val="20"/>
              </w:rPr>
            </w:pPr>
            <w:r>
              <w:rPr>
                <w:b/>
                <w:bCs/>
                <w:noProof/>
                <w:color w:val="FFFFFF"/>
                <w:sz w:val="20"/>
                <w:szCs w:val="20"/>
              </w:rPr>
              <w:t>2050</w:t>
            </w:r>
          </w:p>
        </w:tc>
        <w:tc>
          <w:tcPr>
            <w:tcW w:w="249" w:type="pct"/>
            <w:tcBorders>
              <w:top w:val="nil"/>
              <w:left w:val="nil"/>
              <w:bottom w:val="single" w:sz="4" w:space="0" w:color="auto"/>
              <w:right w:val="single" w:sz="4" w:space="0" w:color="auto"/>
            </w:tcBorders>
            <w:shd w:val="clear" w:color="000000" w:fill="0070C0"/>
            <w:hideMark/>
          </w:tcPr>
          <w:p w14:paraId="56102291" w14:textId="77777777" w:rsidR="00ED02DA" w:rsidRDefault="00ED02DA">
            <w:pPr>
              <w:jc w:val="center"/>
              <w:rPr>
                <w:b/>
                <w:bCs/>
                <w:noProof/>
                <w:color w:val="FFFFFF"/>
                <w:sz w:val="20"/>
                <w:szCs w:val="20"/>
              </w:rPr>
            </w:pPr>
            <w:r>
              <w:rPr>
                <w:b/>
                <w:bCs/>
                <w:noProof/>
                <w:color w:val="FFFFFF"/>
                <w:sz w:val="20"/>
                <w:szCs w:val="20"/>
              </w:rPr>
              <w:t>2028</w:t>
            </w:r>
          </w:p>
        </w:tc>
        <w:tc>
          <w:tcPr>
            <w:tcW w:w="249" w:type="pct"/>
            <w:tcBorders>
              <w:top w:val="nil"/>
              <w:left w:val="nil"/>
              <w:bottom w:val="single" w:sz="4" w:space="0" w:color="auto"/>
              <w:right w:val="single" w:sz="4" w:space="0" w:color="auto"/>
            </w:tcBorders>
            <w:shd w:val="clear" w:color="000000" w:fill="0070C0"/>
            <w:hideMark/>
          </w:tcPr>
          <w:p w14:paraId="440AFC01" w14:textId="77777777" w:rsidR="00ED02DA" w:rsidRDefault="00ED02DA">
            <w:pPr>
              <w:jc w:val="center"/>
              <w:rPr>
                <w:b/>
                <w:bCs/>
                <w:noProof/>
                <w:color w:val="FFFFFF"/>
                <w:sz w:val="20"/>
                <w:szCs w:val="20"/>
              </w:rPr>
            </w:pPr>
            <w:r>
              <w:rPr>
                <w:b/>
                <w:bCs/>
                <w:noProof/>
                <w:color w:val="FFFFFF"/>
                <w:sz w:val="20"/>
                <w:szCs w:val="20"/>
              </w:rPr>
              <w:t>2030</w:t>
            </w:r>
          </w:p>
        </w:tc>
        <w:tc>
          <w:tcPr>
            <w:tcW w:w="249" w:type="pct"/>
            <w:tcBorders>
              <w:top w:val="nil"/>
              <w:left w:val="nil"/>
              <w:bottom w:val="single" w:sz="4" w:space="0" w:color="auto"/>
              <w:right w:val="single" w:sz="4" w:space="0" w:color="auto"/>
            </w:tcBorders>
            <w:shd w:val="clear" w:color="000000" w:fill="0070C0"/>
            <w:hideMark/>
          </w:tcPr>
          <w:p w14:paraId="74727858" w14:textId="77777777" w:rsidR="00ED02DA" w:rsidRDefault="00ED02DA">
            <w:pPr>
              <w:jc w:val="center"/>
              <w:rPr>
                <w:b/>
                <w:bCs/>
                <w:noProof/>
                <w:color w:val="FFFFFF"/>
                <w:sz w:val="20"/>
                <w:szCs w:val="20"/>
              </w:rPr>
            </w:pPr>
            <w:r>
              <w:rPr>
                <w:b/>
                <w:bCs/>
                <w:noProof/>
                <w:color w:val="FFFFFF"/>
                <w:sz w:val="20"/>
                <w:szCs w:val="20"/>
              </w:rPr>
              <w:t>2040</w:t>
            </w:r>
          </w:p>
        </w:tc>
        <w:tc>
          <w:tcPr>
            <w:tcW w:w="249" w:type="pct"/>
            <w:tcBorders>
              <w:top w:val="nil"/>
              <w:left w:val="nil"/>
              <w:bottom w:val="single" w:sz="4" w:space="0" w:color="auto"/>
              <w:right w:val="single" w:sz="4" w:space="0" w:color="auto"/>
            </w:tcBorders>
            <w:shd w:val="clear" w:color="000000" w:fill="0070C0"/>
            <w:hideMark/>
          </w:tcPr>
          <w:p w14:paraId="667FBAD5" w14:textId="77777777" w:rsidR="00ED02DA" w:rsidRDefault="00ED02DA">
            <w:pPr>
              <w:jc w:val="center"/>
              <w:rPr>
                <w:b/>
                <w:bCs/>
                <w:noProof/>
                <w:color w:val="FFFFFF"/>
                <w:sz w:val="20"/>
                <w:szCs w:val="20"/>
              </w:rPr>
            </w:pPr>
            <w:r>
              <w:rPr>
                <w:b/>
                <w:bCs/>
                <w:noProof/>
                <w:color w:val="FFFFFF"/>
                <w:sz w:val="20"/>
                <w:szCs w:val="20"/>
              </w:rPr>
              <w:t>2050</w:t>
            </w:r>
          </w:p>
        </w:tc>
        <w:tc>
          <w:tcPr>
            <w:tcW w:w="249" w:type="pct"/>
            <w:tcBorders>
              <w:top w:val="nil"/>
              <w:left w:val="nil"/>
              <w:bottom w:val="single" w:sz="4" w:space="0" w:color="auto"/>
              <w:right w:val="single" w:sz="4" w:space="0" w:color="auto"/>
            </w:tcBorders>
            <w:shd w:val="clear" w:color="000000" w:fill="0070C0"/>
            <w:hideMark/>
          </w:tcPr>
          <w:p w14:paraId="4D2F68C0" w14:textId="77777777" w:rsidR="00ED02DA" w:rsidRDefault="00ED02DA">
            <w:pPr>
              <w:jc w:val="center"/>
              <w:rPr>
                <w:b/>
                <w:bCs/>
                <w:noProof/>
                <w:color w:val="FFFFFF"/>
                <w:sz w:val="20"/>
                <w:szCs w:val="20"/>
              </w:rPr>
            </w:pPr>
            <w:r>
              <w:rPr>
                <w:b/>
                <w:bCs/>
                <w:noProof/>
                <w:color w:val="FFFFFF"/>
                <w:sz w:val="20"/>
                <w:szCs w:val="20"/>
              </w:rPr>
              <w:t>2028</w:t>
            </w:r>
          </w:p>
        </w:tc>
        <w:tc>
          <w:tcPr>
            <w:tcW w:w="249" w:type="pct"/>
            <w:tcBorders>
              <w:top w:val="nil"/>
              <w:left w:val="nil"/>
              <w:bottom w:val="single" w:sz="4" w:space="0" w:color="auto"/>
              <w:right w:val="single" w:sz="4" w:space="0" w:color="auto"/>
            </w:tcBorders>
            <w:shd w:val="clear" w:color="000000" w:fill="0070C0"/>
            <w:hideMark/>
          </w:tcPr>
          <w:p w14:paraId="2ED272C1" w14:textId="77777777" w:rsidR="00ED02DA" w:rsidRDefault="00ED02DA">
            <w:pPr>
              <w:jc w:val="center"/>
              <w:rPr>
                <w:b/>
                <w:bCs/>
                <w:noProof/>
                <w:color w:val="FFFFFF"/>
                <w:sz w:val="20"/>
                <w:szCs w:val="20"/>
              </w:rPr>
            </w:pPr>
            <w:r>
              <w:rPr>
                <w:b/>
                <w:bCs/>
                <w:noProof/>
                <w:color w:val="FFFFFF"/>
                <w:sz w:val="20"/>
                <w:szCs w:val="20"/>
              </w:rPr>
              <w:t>2030</w:t>
            </w:r>
          </w:p>
        </w:tc>
        <w:tc>
          <w:tcPr>
            <w:tcW w:w="249" w:type="pct"/>
            <w:tcBorders>
              <w:top w:val="nil"/>
              <w:left w:val="nil"/>
              <w:bottom w:val="single" w:sz="4" w:space="0" w:color="auto"/>
              <w:right w:val="single" w:sz="4" w:space="0" w:color="auto"/>
            </w:tcBorders>
            <w:shd w:val="clear" w:color="000000" w:fill="0070C0"/>
            <w:hideMark/>
          </w:tcPr>
          <w:p w14:paraId="5A892A42" w14:textId="77777777" w:rsidR="00ED02DA" w:rsidRDefault="00ED02DA">
            <w:pPr>
              <w:jc w:val="center"/>
              <w:rPr>
                <w:b/>
                <w:bCs/>
                <w:noProof/>
                <w:color w:val="FFFFFF"/>
                <w:sz w:val="20"/>
                <w:szCs w:val="20"/>
              </w:rPr>
            </w:pPr>
            <w:r>
              <w:rPr>
                <w:b/>
                <w:bCs/>
                <w:noProof/>
                <w:color w:val="FFFFFF"/>
                <w:sz w:val="20"/>
                <w:szCs w:val="20"/>
              </w:rPr>
              <w:t>2040</w:t>
            </w:r>
          </w:p>
        </w:tc>
        <w:tc>
          <w:tcPr>
            <w:tcW w:w="247" w:type="pct"/>
            <w:tcBorders>
              <w:top w:val="nil"/>
              <w:left w:val="nil"/>
              <w:bottom w:val="single" w:sz="4" w:space="0" w:color="auto"/>
              <w:right w:val="single" w:sz="4" w:space="0" w:color="auto"/>
            </w:tcBorders>
            <w:shd w:val="clear" w:color="000000" w:fill="0070C0"/>
            <w:hideMark/>
          </w:tcPr>
          <w:p w14:paraId="5B26FF24" w14:textId="77777777" w:rsidR="00ED02DA" w:rsidRDefault="00ED02DA">
            <w:pPr>
              <w:jc w:val="center"/>
              <w:rPr>
                <w:b/>
                <w:bCs/>
                <w:noProof/>
                <w:color w:val="FFFFFF"/>
                <w:sz w:val="20"/>
                <w:szCs w:val="20"/>
              </w:rPr>
            </w:pPr>
            <w:r>
              <w:rPr>
                <w:b/>
                <w:bCs/>
                <w:noProof/>
                <w:color w:val="FFFFFF"/>
                <w:sz w:val="20"/>
                <w:szCs w:val="20"/>
              </w:rPr>
              <w:t>2050</w:t>
            </w:r>
          </w:p>
        </w:tc>
      </w:tr>
      <w:tr w:rsidR="00ED02DA" w14:paraId="65DA26D1" w14:textId="77777777" w:rsidTr="00505E10">
        <w:trPr>
          <w:trHeight w:val="282"/>
        </w:trPr>
        <w:tc>
          <w:tcPr>
            <w:tcW w:w="1016" w:type="pct"/>
            <w:tcBorders>
              <w:top w:val="nil"/>
              <w:left w:val="single" w:sz="4" w:space="0" w:color="auto"/>
              <w:bottom w:val="single" w:sz="4" w:space="0" w:color="auto"/>
              <w:right w:val="single" w:sz="4" w:space="0" w:color="auto"/>
            </w:tcBorders>
            <w:shd w:val="clear" w:color="000000" w:fill="BDE3FF"/>
            <w:hideMark/>
          </w:tcPr>
          <w:p w14:paraId="43C5FBF5" w14:textId="77777777" w:rsidR="00ED02DA" w:rsidRDefault="00ED02DA">
            <w:pPr>
              <w:rPr>
                <w:b/>
                <w:bCs/>
                <w:noProof/>
                <w:sz w:val="20"/>
                <w:szCs w:val="20"/>
              </w:rPr>
            </w:pPr>
            <w:r>
              <w:rPr>
                <w:b/>
                <w:bCs/>
                <w:noProof/>
                <w:sz w:val="20"/>
                <w:szCs w:val="20"/>
              </w:rPr>
              <w:t>Adjustment costs</w:t>
            </w:r>
          </w:p>
        </w:tc>
        <w:tc>
          <w:tcPr>
            <w:tcW w:w="249" w:type="pct"/>
            <w:tcBorders>
              <w:top w:val="nil"/>
              <w:left w:val="nil"/>
              <w:bottom w:val="single" w:sz="4" w:space="0" w:color="auto"/>
              <w:right w:val="single" w:sz="4" w:space="0" w:color="auto"/>
            </w:tcBorders>
            <w:shd w:val="clear" w:color="000000" w:fill="BDE3FF"/>
            <w:hideMark/>
          </w:tcPr>
          <w:p w14:paraId="1D5FB0DD" w14:textId="77777777" w:rsidR="00ED02DA" w:rsidRDefault="00ED02DA">
            <w:pPr>
              <w:jc w:val="right"/>
              <w:rPr>
                <w:b/>
                <w:bCs/>
                <w:noProof/>
                <w:sz w:val="20"/>
                <w:szCs w:val="20"/>
              </w:rPr>
            </w:pPr>
            <w:r>
              <w:rPr>
                <w:b/>
                <w:bCs/>
                <w:noProof/>
                <w:sz w:val="20"/>
                <w:szCs w:val="20"/>
              </w:rPr>
              <w:t>31.0</w:t>
            </w:r>
          </w:p>
        </w:tc>
        <w:tc>
          <w:tcPr>
            <w:tcW w:w="249" w:type="pct"/>
            <w:tcBorders>
              <w:top w:val="nil"/>
              <w:left w:val="nil"/>
              <w:bottom w:val="single" w:sz="4" w:space="0" w:color="auto"/>
              <w:right w:val="single" w:sz="4" w:space="0" w:color="auto"/>
            </w:tcBorders>
            <w:shd w:val="clear" w:color="000000" w:fill="BDE3FF"/>
            <w:hideMark/>
          </w:tcPr>
          <w:p w14:paraId="7B10C401" w14:textId="77777777" w:rsidR="00ED02DA" w:rsidRDefault="00ED02DA">
            <w:pPr>
              <w:jc w:val="right"/>
              <w:rPr>
                <w:b/>
                <w:bCs/>
                <w:noProof/>
                <w:sz w:val="20"/>
                <w:szCs w:val="20"/>
              </w:rPr>
            </w:pPr>
            <w:r>
              <w:rPr>
                <w:b/>
                <w:bCs/>
                <w:noProof/>
                <w:sz w:val="20"/>
                <w:szCs w:val="20"/>
              </w:rPr>
              <w:t>0.7</w:t>
            </w:r>
          </w:p>
        </w:tc>
        <w:tc>
          <w:tcPr>
            <w:tcW w:w="249" w:type="pct"/>
            <w:tcBorders>
              <w:top w:val="nil"/>
              <w:left w:val="nil"/>
              <w:bottom w:val="single" w:sz="4" w:space="0" w:color="auto"/>
              <w:right w:val="single" w:sz="4" w:space="0" w:color="auto"/>
            </w:tcBorders>
            <w:shd w:val="clear" w:color="000000" w:fill="BDE3FF"/>
            <w:hideMark/>
          </w:tcPr>
          <w:p w14:paraId="4D3C63A2" w14:textId="77777777" w:rsidR="00ED02DA" w:rsidRDefault="00ED02DA">
            <w:pPr>
              <w:jc w:val="right"/>
              <w:rPr>
                <w:b/>
                <w:bCs/>
                <w:noProof/>
                <w:sz w:val="20"/>
                <w:szCs w:val="20"/>
              </w:rPr>
            </w:pPr>
            <w:r>
              <w:rPr>
                <w:b/>
                <w:bCs/>
                <w:noProof/>
                <w:sz w:val="20"/>
                <w:szCs w:val="20"/>
              </w:rPr>
              <w:t>0.4</w:t>
            </w:r>
          </w:p>
        </w:tc>
        <w:tc>
          <w:tcPr>
            <w:tcW w:w="251" w:type="pct"/>
            <w:tcBorders>
              <w:top w:val="nil"/>
              <w:left w:val="nil"/>
              <w:bottom w:val="single" w:sz="4" w:space="0" w:color="auto"/>
              <w:right w:val="single" w:sz="4" w:space="0" w:color="auto"/>
            </w:tcBorders>
            <w:shd w:val="clear" w:color="000000" w:fill="BDE3FF"/>
            <w:hideMark/>
          </w:tcPr>
          <w:p w14:paraId="20C70EB4" w14:textId="77777777" w:rsidR="00ED02DA" w:rsidRDefault="00ED02DA">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0F8BC27F" w14:textId="77777777" w:rsidR="00ED02DA" w:rsidRDefault="00ED02DA">
            <w:pPr>
              <w:jc w:val="right"/>
              <w:rPr>
                <w:b/>
                <w:bCs/>
                <w:noProof/>
                <w:sz w:val="20"/>
                <w:szCs w:val="20"/>
              </w:rPr>
            </w:pPr>
            <w:r>
              <w:rPr>
                <w:b/>
                <w:bCs/>
                <w:noProof/>
                <w:sz w:val="20"/>
                <w:szCs w:val="20"/>
              </w:rPr>
              <w:t>31.0</w:t>
            </w:r>
          </w:p>
        </w:tc>
        <w:tc>
          <w:tcPr>
            <w:tcW w:w="249" w:type="pct"/>
            <w:tcBorders>
              <w:top w:val="nil"/>
              <w:left w:val="nil"/>
              <w:bottom w:val="single" w:sz="4" w:space="0" w:color="auto"/>
              <w:right w:val="single" w:sz="4" w:space="0" w:color="auto"/>
            </w:tcBorders>
            <w:shd w:val="clear" w:color="000000" w:fill="BDE3FF"/>
            <w:hideMark/>
          </w:tcPr>
          <w:p w14:paraId="7FB130F7" w14:textId="77777777" w:rsidR="00ED02DA" w:rsidRDefault="00ED02DA">
            <w:pPr>
              <w:jc w:val="right"/>
              <w:rPr>
                <w:b/>
                <w:bCs/>
                <w:noProof/>
                <w:sz w:val="20"/>
                <w:szCs w:val="20"/>
              </w:rPr>
            </w:pPr>
            <w:r>
              <w:rPr>
                <w:b/>
                <w:bCs/>
                <w:noProof/>
                <w:sz w:val="20"/>
                <w:szCs w:val="20"/>
              </w:rPr>
              <w:t>1.5</w:t>
            </w:r>
          </w:p>
        </w:tc>
        <w:tc>
          <w:tcPr>
            <w:tcW w:w="249" w:type="pct"/>
            <w:tcBorders>
              <w:top w:val="nil"/>
              <w:left w:val="nil"/>
              <w:bottom w:val="single" w:sz="4" w:space="0" w:color="auto"/>
              <w:right w:val="single" w:sz="4" w:space="0" w:color="auto"/>
            </w:tcBorders>
            <w:shd w:val="clear" w:color="000000" w:fill="BDE3FF"/>
            <w:hideMark/>
          </w:tcPr>
          <w:p w14:paraId="4BB061BA" w14:textId="77777777" w:rsidR="00ED02DA" w:rsidRDefault="00ED02DA">
            <w:pPr>
              <w:jc w:val="right"/>
              <w:rPr>
                <w:b/>
                <w:bCs/>
                <w:noProof/>
                <w:sz w:val="20"/>
                <w:szCs w:val="20"/>
              </w:rPr>
            </w:pPr>
            <w:r>
              <w:rPr>
                <w:b/>
                <w:bCs/>
                <w:noProof/>
                <w:sz w:val="20"/>
                <w:szCs w:val="20"/>
              </w:rPr>
              <w:t>2.4</w:t>
            </w:r>
          </w:p>
        </w:tc>
        <w:tc>
          <w:tcPr>
            <w:tcW w:w="249" w:type="pct"/>
            <w:tcBorders>
              <w:top w:val="nil"/>
              <w:left w:val="nil"/>
              <w:bottom w:val="single" w:sz="4" w:space="0" w:color="auto"/>
              <w:right w:val="single" w:sz="4" w:space="0" w:color="auto"/>
            </w:tcBorders>
            <w:shd w:val="clear" w:color="000000" w:fill="BDE3FF"/>
            <w:hideMark/>
          </w:tcPr>
          <w:p w14:paraId="48A1E8EC" w14:textId="77777777" w:rsidR="00ED02DA" w:rsidRDefault="00ED02DA">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06718319" w14:textId="77777777" w:rsidR="00ED02DA" w:rsidRDefault="00ED02DA">
            <w:pPr>
              <w:jc w:val="right"/>
              <w:rPr>
                <w:b/>
                <w:bCs/>
                <w:noProof/>
                <w:sz w:val="20"/>
                <w:szCs w:val="20"/>
              </w:rPr>
            </w:pPr>
            <w:r>
              <w:rPr>
                <w:b/>
                <w:bCs/>
                <w:noProof/>
                <w:sz w:val="20"/>
                <w:szCs w:val="20"/>
              </w:rPr>
              <w:t>31.4</w:t>
            </w:r>
          </w:p>
        </w:tc>
        <w:tc>
          <w:tcPr>
            <w:tcW w:w="249" w:type="pct"/>
            <w:tcBorders>
              <w:top w:val="nil"/>
              <w:left w:val="nil"/>
              <w:bottom w:val="single" w:sz="4" w:space="0" w:color="auto"/>
              <w:right w:val="single" w:sz="4" w:space="0" w:color="auto"/>
            </w:tcBorders>
            <w:shd w:val="clear" w:color="000000" w:fill="BDE3FF"/>
            <w:hideMark/>
          </w:tcPr>
          <w:p w14:paraId="4BBF15FF" w14:textId="77777777" w:rsidR="00ED02DA" w:rsidRDefault="00ED02DA">
            <w:pPr>
              <w:jc w:val="right"/>
              <w:rPr>
                <w:b/>
                <w:bCs/>
                <w:noProof/>
                <w:sz w:val="20"/>
                <w:szCs w:val="20"/>
              </w:rPr>
            </w:pPr>
            <w:r>
              <w:rPr>
                <w:b/>
                <w:bCs/>
                <w:noProof/>
                <w:sz w:val="20"/>
                <w:szCs w:val="20"/>
              </w:rPr>
              <w:t>1.5</w:t>
            </w:r>
          </w:p>
        </w:tc>
        <w:tc>
          <w:tcPr>
            <w:tcW w:w="249" w:type="pct"/>
            <w:tcBorders>
              <w:top w:val="nil"/>
              <w:left w:val="nil"/>
              <w:bottom w:val="single" w:sz="4" w:space="0" w:color="auto"/>
              <w:right w:val="single" w:sz="4" w:space="0" w:color="auto"/>
            </w:tcBorders>
            <w:shd w:val="clear" w:color="000000" w:fill="BDE3FF"/>
            <w:hideMark/>
          </w:tcPr>
          <w:p w14:paraId="7CBBAF26" w14:textId="77777777" w:rsidR="00ED02DA" w:rsidRDefault="00ED02DA">
            <w:pPr>
              <w:jc w:val="right"/>
              <w:rPr>
                <w:b/>
                <w:bCs/>
                <w:noProof/>
                <w:sz w:val="20"/>
                <w:szCs w:val="20"/>
              </w:rPr>
            </w:pPr>
            <w:r>
              <w:rPr>
                <w:b/>
                <w:bCs/>
                <w:noProof/>
                <w:sz w:val="20"/>
                <w:szCs w:val="20"/>
              </w:rPr>
              <w:t>2.0</w:t>
            </w:r>
          </w:p>
        </w:tc>
        <w:tc>
          <w:tcPr>
            <w:tcW w:w="249" w:type="pct"/>
            <w:tcBorders>
              <w:top w:val="nil"/>
              <w:left w:val="nil"/>
              <w:bottom w:val="single" w:sz="4" w:space="0" w:color="auto"/>
              <w:right w:val="single" w:sz="4" w:space="0" w:color="auto"/>
            </w:tcBorders>
            <w:shd w:val="clear" w:color="000000" w:fill="BDE3FF"/>
            <w:hideMark/>
          </w:tcPr>
          <w:p w14:paraId="473B4B00" w14:textId="77777777" w:rsidR="00ED02DA" w:rsidRDefault="00ED02DA">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48B92521" w14:textId="77777777" w:rsidR="00ED02DA" w:rsidRDefault="00ED02DA">
            <w:pPr>
              <w:jc w:val="right"/>
              <w:rPr>
                <w:b/>
                <w:bCs/>
                <w:noProof/>
                <w:sz w:val="20"/>
                <w:szCs w:val="20"/>
              </w:rPr>
            </w:pPr>
            <w:r>
              <w:rPr>
                <w:b/>
                <w:bCs/>
                <w:noProof/>
                <w:sz w:val="20"/>
                <w:szCs w:val="20"/>
              </w:rPr>
              <w:t>85.1</w:t>
            </w:r>
          </w:p>
        </w:tc>
        <w:tc>
          <w:tcPr>
            <w:tcW w:w="249" w:type="pct"/>
            <w:tcBorders>
              <w:top w:val="nil"/>
              <w:left w:val="nil"/>
              <w:bottom w:val="single" w:sz="4" w:space="0" w:color="auto"/>
              <w:right w:val="single" w:sz="4" w:space="0" w:color="auto"/>
            </w:tcBorders>
            <w:shd w:val="clear" w:color="000000" w:fill="BDE3FF"/>
            <w:hideMark/>
          </w:tcPr>
          <w:p w14:paraId="01D22C92" w14:textId="77777777" w:rsidR="00ED02DA" w:rsidRDefault="00ED02DA">
            <w:pPr>
              <w:jc w:val="right"/>
              <w:rPr>
                <w:b/>
                <w:bCs/>
                <w:noProof/>
                <w:sz w:val="20"/>
                <w:szCs w:val="20"/>
              </w:rPr>
            </w:pPr>
            <w:r>
              <w:rPr>
                <w:b/>
                <w:bCs/>
                <w:noProof/>
                <w:sz w:val="20"/>
                <w:szCs w:val="20"/>
              </w:rPr>
              <w:t>55.6</w:t>
            </w:r>
          </w:p>
        </w:tc>
        <w:tc>
          <w:tcPr>
            <w:tcW w:w="249" w:type="pct"/>
            <w:tcBorders>
              <w:top w:val="nil"/>
              <w:left w:val="nil"/>
              <w:bottom w:val="single" w:sz="4" w:space="0" w:color="auto"/>
              <w:right w:val="single" w:sz="4" w:space="0" w:color="auto"/>
            </w:tcBorders>
            <w:shd w:val="clear" w:color="000000" w:fill="BDE3FF"/>
            <w:hideMark/>
          </w:tcPr>
          <w:p w14:paraId="77049EC0" w14:textId="77777777" w:rsidR="00ED02DA" w:rsidRDefault="00ED02DA">
            <w:pPr>
              <w:jc w:val="right"/>
              <w:rPr>
                <w:b/>
                <w:bCs/>
                <w:noProof/>
                <w:sz w:val="20"/>
                <w:szCs w:val="20"/>
              </w:rPr>
            </w:pPr>
            <w:r>
              <w:rPr>
                <w:b/>
                <w:bCs/>
                <w:noProof/>
                <w:sz w:val="20"/>
                <w:szCs w:val="20"/>
              </w:rPr>
              <w:t>2.2</w:t>
            </w:r>
          </w:p>
        </w:tc>
        <w:tc>
          <w:tcPr>
            <w:tcW w:w="247" w:type="pct"/>
            <w:tcBorders>
              <w:top w:val="nil"/>
              <w:left w:val="nil"/>
              <w:bottom w:val="single" w:sz="4" w:space="0" w:color="auto"/>
              <w:right w:val="single" w:sz="4" w:space="0" w:color="auto"/>
            </w:tcBorders>
            <w:shd w:val="clear" w:color="000000" w:fill="BDE3FF"/>
            <w:hideMark/>
          </w:tcPr>
          <w:p w14:paraId="074B110F" w14:textId="77777777" w:rsidR="00ED02DA" w:rsidRDefault="00ED02DA">
            <w:pPr>
              <w:jc w:val="right"/>
              <w:rPr>
                <w:b/>
                <w:bCs/>
                <w:noProof/>
                <w:sz w:val="20"/>
                <w:szCs w:val="20"/>
              </w:rPr>
            </w:pPr>
            <w:r>
              <w:rPr>
                <w:b/>
                <w:bCs/>
                <w:noProof/>
                <w:sz w:val="20"/>
                <w:szCs w:val="20"/>
              </w:rPr>
              <w:t>0.0</w:t>
            </w:r>
          </w:p>
        </w:tc>
      </w:tr>
      <w:tr w:rsidR="00ED02DA" w14:paraId="6CA2E5E7" w14:textId="77777777" w:rsidTr="00505E10">
        <w:trPr>
          <w:trHeight w:val="282"/>
        </w:trPr>
        <w:tc>
          <w:tcPr>
            <w:tcW w:w="1016" w:type="pct"/>
            <w:tcBorders>
              <w:top w:val="nil"/>
              <w:left w:val="single" w:sz="4" w:space="0" w:color="auto"/>
              <w:bottom w:val="single" w:sz="4" w:space="0" w:color="auto"/>
              <w:right w:val="single" w:sz="4" w:space="0" w:color="auto"/>
            </w:tcBorders>
            <w:shd w:val="clear" w:color="000000" w:fill="FFFFFF"/>
            <w:noWrap/>
            <w:hideMark/>
          </w:tcPr>
          <w:p w14:paraId="7D100CDE" w14:textId="77777777" w:rsidR="00ED02DA" w:rsidRDefault="00ED02DA">
            <w:pPr>
              <w:rPr>
                <w:noProof/>
                <w:color w:val="000000"/>
                <w:sz w:val="20"/>
                <w:szCs w:val="20"/>
              </w:rPr>
            </w:pPr>
            <w:r>
              <w:rPr>
                <w:noProof/>
                <w:color w:val="000000"/>
                <w:sz w:val="20"/>
                <w:szCs w:val="20"/>
              </w:rPr>
              <w:t>PM1 (Neutral display)</w:t>
            </w:r>
          </w:p>
        </w:tc>
        <w:tc>
          <w:tcPr>
            <w:tcW w:w="249" w:type="pct"/>
            <w:tcBorders>
              <w:top w:val="nil"/>
              <w:left w:val="nil"/>
              <w:bottom w:val="single" w:sz="4" w:space="0" w:color="auto"/>
              <w:right w:val="single" w:sz="4" w:space="0" w:color="auto"/>
            </w:tcBorders>
            <w:shd w:val="clear" w:color="000000" w:fill="FFFFFF"/>
            <w:noWrap/>
            <w:hideMark/>
          </w:tcPr>
          <w:p w14:paraId="6BCAA4E5" w14:textId="77777777" w:rsidR="00ED02DA" w:rsidRDefault="00ED02DA">
            <w:pPr>
              <w:jc w:val="right"/>
              <w:rPr>
                <w:noProof/>
                <w:color w:val="000000"/>
                <w:sz w:val="20"/>
                <w:szCs w:val="20"/>
              </w:rPr>
            </w:pPr>
            <w:r>
              <w:rPr>
                <w:noProof/>
                <w:color w:val="000000"/>
                <w:sz w:val="20"/>
                <w:szCs w:val="20"/>
              </w:rPr>
              <w:t>4.0</w:t>
            </w:r>
          </w:p>
        </w:tc>
        <w:tc>
          <w:tcPr>
            <w:tcW w:w="249" w:type="pct"/>
            <w:tcBorders>
              <w:top w:val="nil"/>
              <w:left w:val="nil"/>
              <w:bottom w:val="single" w:sz="4" w:space="0" w:color="auto"/>
              <w:right w:val="single" w:sz="4" w:space="0" w:color="auto"/>
            </w:tcBorders>
            <w:shd w:val="clear" w:color="000000" w:fill="FFFFFF"/>
            <w:noWrap/>
            <w:hideMark/>
          </w:tcPr>
          <w:p w14:paraId="5824D5F5" w14:textId="77777777" w:rsidR="00ED02DA" w:rsidRDefault="00ED02DA">
            <w:pPr>
              <w:jc w:val="right"/>
              <w:rPr>
                <w:noProof/>
                <w:color w:val="000000"/>
                <w:sz w:val="20"/>
                <w:szCs w:val="20"/>
              </w:rPr>
            </w:pPr>
            <w:r>
              <w:rPr>
                <w:noProof/>
                <w:color w:val="000000"/>
                <w:sz w:val="20"/>
                <w:szCs w:val="20"/>
              </w:rPr>
              <w:t>0.1</w:t>
            </w:r>
          </w:p>
        </w:tc>
        <w:tc>
          <w:tcPr>
            <w:tcW w:w="249" w:type="pct"/>
            <w:tcBorders>
              <w:top w:val="nil"/>
              <w:left w:val="nil"/>
              <w:bottom w:val="single" w:sz="4" w:space="0" w:color="auto"/>
              <w:right w:val="single" w:sz="4" w:space="0" w:color="auto"/>
            </w:tcBorders>
            <w:shd w:val="clear" w:color="000000" w:fill="FFFFFF"/>
            <w:noWrap/>
            <w:hideMark/>
          </w:tcPr>
          <w:p w14:paraId="18310015" w14:textId="77777777" w:rsidR="00ED02DA" w:rsidRDefault="00ED02DA">
            <w:pPr>
              <w:jc w:val="right"/>
              <w:rPr>
                <w:noProof/>
                <w:color w:val="000000"/>
                <w:sz w:val="20"/>
                <w:szCs w:val="20"/>
              </w:rPr>
            </w:pPr>
            <w:r>
              <w:rPr>
                <w:noProof/>
                <w:color w:val="000000"/>
                <w:sz w:val="20"/>
                <w:szCs w:val="20"/>
              </w:rPr>
              <w:t>0.1</w:t>
            </w:r>
          </w:p>
        </w:tc>
        <w:tc>
          <w:tcPr>
            <w:tcW w:w="251" w:type="pct"/>
            <w:tcBorders>
              <w:top w:val="nil"/>
              <w:left w:val="nil"/>
              <w:bottom w:val="single" w:sz="4" w:space="0" w:color="auto"/>
              <w:right w:val="single" w:sz="4" w:space="0" w:color="auto"/>
            </w:tcBorders>
            <w:shd w:val="clear" w:color="000000" w:fill="FFFFFF"/>
            <w:noWrap/>
            <w:hideMark/>
          </w:tcPr>
          <w:p w14:paraId="2ADCE492"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77397EB1" w14:textId="77777777" w:rsidR="00ED02DA" w:rsidRDefault="00ED02DA">
            <w:pPr>
              <w:jc w:val="right"/>
              <w:rPr>
                <w:noProof/>
                <w:color w:val="000000"/>
                <w:sz w:val="20"/>
                <w:szCs w:val="20"/>
              </w:rPr>
            </w:pPr>
            <w:r>
              <w:rPr>
                <w:noProof/>
                <w:color w:val="000000"/>
                <w:sz w:val="20"/>
                <w:szCs w:val="20"/>
              </w:rPr>
              <w:t>4.0</w:t>
            </w:r>
          </w:p>
        </w:tc>
        <w:tc>
          <w:tcPr>
            <w:tcW w:w="249" w:type="pct"/>
            <w:tcBorders>
              <w:top w:val="nil"/>
              <w:left w:val="nil"/>
              <w:bottom w:val="single" w:sz="4" w:space="0" w:color="auto"/>
              <w:right w:val="single" w:sz="4" w:space="0" w:color="auto"/>
            </w:tcBorders>
            <w:shd w:val="clear" w:color="000000" w:fill="FFFFFF"/>
            <w:noWrap/>
            <w:hideMark/>
          </w:tcPr>
          <w:p w14:paraId="73BE3B57" w14:textId="77777777" w:rsidR="00ED02DA" w:rsidRDefault="00ED02DA">
            <w:pPr>
              <w:jc w:val="right"/>
              <w:rPr>
                <w:noProof/>
                <w:color w:val="000000"/>
                <w:sz w:val="20"/>
                <w:szCs w:val="20"/>
              </w:rPr>
            </w:pPr>
            <w:r>
              <w:rPr>
                <w:noProof/>
                <w:color w:val="000000"/>
                <w:sz w:val="20"/>
                <w:szCs w:val="20"/>
              </w:rPr>
              <w:t>0.2</w:t>
            </w:r>
          </w:p>
        </w:tc>
        <w:tc>
          <w:tcPr>
            <w:tcW w:w="249" w:type="pct"/>
            <w:tcBorders>
              <w:top w:val="nil"/>
              <w:left w:val="nil"/>
              <w:bottom w:val="single" w:sz="4" w:space="0" w:color="auto"/>
              <w:right w:val="single" w:sz="4" w:space="0" w:color="auto"/>
            </w:tcBorders>
            <w:shd w:val="clear" w:color="000000" w:fill="FFFFFF"/>
            <w:noWrap/>
            <w:hideMark/>
          </w:tcPr>
          <w:p w14:paraId="63F7804C" w14:textId="77777777" w:rsidR="00ED02DA" w:rsidRDefault="00ED02DA">
            <w:pPr>
              <w:jc w:val="right"/>
              <w:rPr>
                <w:noProof/>
                <w:color w:val="000000"/>
                <w:sz w:val="20"/>
                <w:szCs w:val="20"/>
              </w:rPr>
            </w:pPr>
            <w:r>
              <w:rPr>
                <w:noProof/>
                <w:color w:val="000000"/>
                <w:sz w:val="20"/>
                <w:szCs w:val="20"/>
              </w:rPr>
              <w:t>0.3</w:t>
            </w:r>
          </w:p>
        </w:tc>
        <w:tc>
          <w:tcPr>
            <w:tcW w:w="249" w:type="pct"/>
            <w:tcBorders>
              <w:top w:val="nil"/>
              <w:left w:val="nil"/>
              <w:bottom w:val="single" w:sz="4" w:space="0" w:color="auto"/>
              <w:right w:val="single" w:sz="4" w:space="0" w:color="auto"/>
            </w:tcBorders>
            <w:shd w:val="clear" w:color="000000" w:fill="FFFFFF"/>
            <w:noWrap/>
            <w:hideMark/>
          </w:tcPr>
          <w:p w14:paraId="2901E204"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48487757" w14:textId="77777777" w:rsidR="00ED02DA" w:rsidRDefault="00ED02DA">
            <w:pPr>
              <w:jc w:val="right"/>
              <w:rPr>
                <w:noProof/>
                <w:color w:val="000000"/>
                <w:sz w:val="20"/>
                <w:szCs w:val="20"/>
              </w:rPr>
            </w:pPr>
            <w:r>
              <w:rPr>
                <w:noProof/>
                <w:color w:val="000000"/>
                <w:sz w:val="20"/>
                <w:szCs w:val="20"/>
              </w:rPr>
              <w:t>4.0</w:t>
            </w:r>
          </w:p>
        </w:tc>
        <w:tc>
          <w:tcPr>
            <w:tcW w:w="249" w:type="pct"/>
            <w:tcBorders>
              <w:top w:val="nil"/>
              <w:left w:val="nil"/>
              <w:bottom w:val="single" w:sz="4" w:space="0" w:color="auto"/>
              <w:right w:val="single" w:sz="4" w:space="0" w:color="auto"/>
            </w:tcBorders>
            <w:shd w:val="clear" w:color="000000" w:fill="FFFFFF"/>
            <w:noWrap/>
            <w:hideMark/>
          </w:tcPr>
          <w:p w14:paraId="1F170DD0" w14:textId="77777777" w:rsidR="00ED02DA" w:rsidRDefault="00ED02DA">
            <w:pPr>
              <w:jc w:val="right"/>
              <w:rPr>
                <w:noProof/>
                <w:color w:val="000000"/>
                <w:sz w:val="20"/>
                <w:szCs w:val="20"/>
              </w:rPr>
            </w:pPr>
            <w:r>
              <w:rPr>
                <w:noProof/>
                <w:color w:val="000000"/>
                <w:sz w:val="20"/>
                <w:szCs w:val="20"/>
              </w:rPr>
              <w:t>0.2</w:t>
            </w:r>
          </w:p>
        </w:tc>
        <w:tc>
          <w:tcPr>
            <w:tcW w:w="249" w:type="pct"/>
            <w:tcBorders>
              <w:top w:val="nil"/>
              <w:left w:val="nil"/>
              <w:bottom w:val="single" w:sz="4" w:space="0" w:color="auto"/>
              <w:right w:val="single" w:sz="4" w:space="0" w:color="auto"/>
            </w:tcBorders>
            <w:shd w:val="clear" w:color="000000" w:fill="FFFFFF"/>
            <w:noWrap/>
            <w:hideMark/>
          </w:tcPr>
          <w:p w14:paraId="5279A9CC" w14:textId="77777777" w:rsidR="00ED02DA" w:rsidRDefault="00ED02DA">
            <w:pPr>
              <w:jc w:val="right"/>
              <w:rPr>
                <w:noProof/>
                <w:color w:val="000000"/>
                <w:sz w:val="20"/>
                <w:szCs w:val="20"/>
              </w:rPr>
            </w:pPr>
            <w:r>
              <w:rPr>
                <w:noProof/>
                <w:color w:val="000000"/>
                <w:sz w:val="20"/>
                <w:szCs w:val="20"/>
              </w:rPr>
              <w:t>0.3</w:t>
            </w:r>
          </w:p>
        </w:tc>
        <w:tc>
          <w:tcPr>
            <w:tcW w:w="249" w:type="pct"/>
            <w:tcBorders>
              <w:top w:val="nil"/>
              <w:left w:val="nil"/>
              <w:bottom w:val="single" w:sz="4" w:space="0" w:color="auto"/>
              <w:right w:val="single" w:sz="4" w:space="0" w:color="auto"/>
            </w:tcBorders>
            <w:shd w:val="clear" w:color="000000" w:fill="FFFFFF"/>
            <w:noWrap/>
            <w:hideMark/>
          </w:tcPr>
          <w:p w14:paraId="2073CAA8"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153256D1" w14:textId="77777777" w:rsidR="00ED02DA" w:rsidRDefault="00ED02DA">
            <w:pPr>
              <w:jc w:val="right"/>
              <w:rPr>
                <w:noProof/>
                <w:color w:val="000000"/>
                <w:sz w:val="20"/>
                <w:szCs w:val="20"/>
              </w:rPr>
            </w:pPr>
            <w:r>
              <w:rPr>
                <w:noProof/>
                <w:color w:val="000000"/>
                <w:sz w:val="20"/>
                <w:szCs w:val="20"/>
              </w:rPr>
              <w:t>4.0</w:t>
            </w:r>
          </w:p>
        </w:tc>
        <w:tc>
          <w:tcPr>
            <w:tcW w:w="249" w:type="pct"/>
            <w:tcBorders>
              <w:top w:val="nil"/>
              <w:left w:val="nil"/>
              <w:bottom w:val="single" w:sz="4" w:space="0" w:color="auto"/>
              <w:right w:val="single" w:sz="4" w:space="0" w:color="auto"/>
            </w:tcBorders>
            <w:shd w:val="clear" w:color="000000" w:fill="FFFFFF"/>
            <w:noWrap/>
            <w:hideMark/>
          </w:tcPr>
          <w:p w14:paraId="473943DA" w14:textId="77777777" w:rsidR="00ED02DA" w:rsidRDefault="00ED02DA">
            <w:pPr>
              <w:jc w:val="right"/>
              <w:rPr>
                <w:noProof/>
                <w:color w:val="000000"/>
                <w:sz w:val="20"/>
                <w:szCs w:val="20"/>
              </w:rPr>
            </w:pPr>
            <w:r>
              <w:rPr>
                <w:noProof/>
                <w:color w:val="000000"/>
                <w:sz w:val="20"/>
                <w:szCs w:val="20"/>
              </w:rPr>
              <w:t>0.2</w:t>
            </w:r>
          </w:p>
        </w:tc>
        <w:tc>
          <w:tcPr>
            <w:tcW w:w="249" w:type="pct"/>
            <w:tcBorders>
              <w:top w:val="nil"/>
              <w:left w:val="nil"/>
              <w:bottom w:val="single" w:sz="4" w:space="0" w:color="auto"/>
              <w:right w:val="single" w:sz="4" w:space="0" w:color="auto"/>
            </w:tcBorders>
            <w:shd w:val="clear" w:color="000000" w:fill="FFFFFF"/>
            <w:noWrap/>
            <w:hideMark/>
          </w:tcPr>
          <w:p w14:paraId="7AECD750" w14:textId="77777777" w:rsidR="00ED02DA" w:rsidRDefault="00ED02DA">
            <w:pPr>
              <w:jc w:val="right"/>
              <w:rPr>
                <w:noProof/>
                <w:color w:val="000000"/>
                <w:sz w:val="20"/>
                <w:szCs w:val="20"/>
              </w:rPr>
            </w:pPr>
            <w:r>
              <w:rPr>
                <w:noProof/>
                <w:color w:val="000000"/>
                <w:sz w:val="20"/>
                <w:szCs w:val="20"/>
              </w:rPr>
              <w:t>0.3</w:t>
            </w:r>
          </w:p>
        </w:tc>
        <w:tc>
          <w:tcPr>
            <w:tcW w:w="247" w:type="pct"/>
            <w:tcBorders>
              <w:top w:val="nil"/>
              <w:left w:val="nil"/>
              <w:bottom w:val="single" w:sz="4" w:space="0" w:color="auto"/>
              <w:right w:val="single" w:sz="4" w:space="0" w:color="auto"/>
            </w:tcBorders>
            <w:shd w:val="clear" w:color="000000" w:fill="FFFFFF"/>
            <w:noWrap/>
            <w:hideMark/>
          </w:tcPr>
          <w:p w14:paraId="6B0CFF16" w14:textId="77777777" w:rsidR="00ED02DA" w:rsidRDefault="00ED02DA">
            <w:pPr>
              <w:jc w:val="right"/>
              <w:rPr>
                <w:noProof/>
                <w:color w:val="000000"/>
                <w:sz w:val="20"/>
                <w:szCs w:val="20"/>
              </w:rPr>
            </w:pPr>
            <w:r>
              <w:rPr>
                <w:noProof/>
                <w:color w:val="000000"/>
                <w:sz w:val="20"/>
                <w:szCs w:val="20"/>
              </w:rPr>
              <w:t>0.0</w:t>
            </w:r>
          </w:p>
        </w:tc>
      </w:tr>
      <w:tr w:rsidR="00ED02DA" w14:paraId="795B213B" w14:textId="77777777" w:rsidTr="00505E10">
        <w:trPr>
          <w:trHeight w:val="282"/>
        </w:trPr>
        <w:tc>
          <w:tcPr>
            <w:tcW w:w="1016" w:type="pct"/>
            <w:tcBorders>
              <w:top w:val="nil"/>
              <w:left w:val="single" w:sz="4" w:space="0" w:color="auto"/>
              <w:bottom w:val="single" w:sz="4" w:space="0" w:color="auto"/>
              <w:right w:val="single" w:sz="4" w:space="0" w:color="auto"/>
            </w:tcBorders>
            <w:shd w:val="clear" w:color="000000" w:fill="FFFFFF"/>
            <w:noWrap/>
            <w:hideMark/>
          </w:tcPr>
          <w:p w14:paraId="405AB2F3" w14:textId="77777777" w:rsidR="00ED02DA" w:rsidRDefault="00ED02DA">
            <w:pPr>
              <w:rPr>
                <w:noProof/>
                <w:color w:val="000000"/>
                <w:sz w:val="20"/>
                <w:szCs w:val="20"/>
              </w:rPr>
            </w:pPr>
            <w:r>
              <w:rPr>
                <w:noProof/>
                <w:color w:val="000000"/>
                <w:sz w:val="20"/>
                <w:szCs w:val="20"/>
              </w:rPr>
              <w:t>PM2 (Equal care for data)</w:t>
            </w:r>
          </w:p>
        </w:tc>
        <w:tc>
          <w:tcPr>
            <w:tcW w:w="249" w:type="pct"/>
            <w:tcBorders>
              <w:top w:val="nil"/>
              <w:left w:val="nil"/>
              <w:bottom w:val="single" w:sz="4" w:space="0" w:color="auto"/>
              <w:right w:val="single" w:sz="4" w:space="0" w:color="auto"/>
            </w:tcBorders>
            <w:shd w:val="clear" w:color="000000" w:fill="FFFFFF"/>
            <w:noWrap/>
            <w:hideMark/>
          </w:tcPr>
          <w:p w14:paraId="728FDAA2" w14:textId="77777777" w:rsidR="00ED02DA" w:rsidRDefault="00ED02DA">
            <w:pPr>
              <w:jc w:val="right"/>
              <w:rPr>
                <w:noProof/>
                <w:color w:val="000000"/>
                <w:sz w:val="20"/>
                <w:szCs w:val="20"/>
              </w:rPr>
            </w:pPr>
            <w:r>
              <w:rPr>
                <w:noProof/>
                <w:color w:val="000000"/>
                <w:sz w:val="20"/>
                <w:szCs w:val="20"/>
              </w:rPr>
              <w:t>3.0</w:t>
            </w:r>
          </w:p>
        </w:tc>
        <w:tc>
          <w:tcPr>
            <w:tcW w:w="249" w:type="pct"/>
            <w:tcBorders>
              <w:top w:val="nil"/>
              <w:left w:val="nil"/>
              <w:bottom w:val="single" w:sz="4" w:space="0" w:color="auto"/>
              <w:right w:val="single" w:sz="4" w:space="0" w:color="auto"/>
            </w:tcBorders>
            <w:shd w:val="clear" w:color="000000" w:fill="FFFFFF"/>
            <w:noWrap/>
            <w:hideMark/>
          </w:tcPr>
          <w:p w14:paraId="13C36833" w14:textId="77777777" w:rsidR="00ED02DA" w:rsidRDefault="00ED02DA">
            <w:pPr>
              <w:jc w:val="right"/>
              <w:rPr>
                <w:noProof/>
                <w:color w:val="000000"/>
                <w:sz w:val="20"/>
                <w:szCs w:val="20"/>
              </w:rPr>
            </w:pPr>
            <w:r>
              <w:rPr>
                <w:noProof/>
                <w:color w:val="000000"/>
                <w:sz w:val="20"/>
                <w:szCs w:val="20"/>
              </w:rPr>
              <w:t>0.1</w:t>
            </w:r>
          </w:p>
        </w:tc>
        <w:tc>
          <w:tcPr>
            <w:tcW w:w="249" w:type="pct"/>
            <w:tcBorders>
              <w:top w:val="nil"/>
              <w:left w:val="nil"/>
              <w:bottom w:val="single" w:sz="4" w:space="0" w:color="auto"/>
              <w:right w:val="single" w:sz="4" w:space="0" w:color="auto"/>
            </w:tcBorders>
            <w:shd w:val="clear" w:color="000000" w:fill="FFFFFF"/>
            <w:noWrap/>
            <w:hideMark/>
          </w:tcPr>
          <w:p w14:paraId="4A811D01" w14:textId="77777777" w:rsidR="00ED02DA" w:rsidRDefault="00ED02DA">
            <w:pPr>
              <w:jc w:val="right"/>
              <w:rPr>
                <w:noProof/>
                <w:color w:val="000000"/>
                <w:sz w:val="20"/>
                <w:szCs w:val="20"/>
              </w:rPr>
            </w:pPr>
            <w:r>
              <w:rPr>
                <w:noProof/>
                <w:color w:val="000000"/>
                <w:sz w:val="20"/>
                <w:szCs w:val="20"/>
              </w:rPr>
              <w:t>0.0</w:t>
            </w:r>
          </w:p>
        </w:tc>
        <w:tc>
          <w:tcPr>
            <w:tcW w:w="251" w:type="pct"/>
            <w:tcBorders>
              <w:top w:val="nil"/>
              <w:left w:val="nil"/>
              <w:bottom w:val="single" w:sz="4" w:space="0" w:color="auto"/>
              <w:right w:val="single" w:sz="4" w:space="0" w:color="auto"/>
            </w:tcBorders>
            <w:shd w:val="clear" w:color="000000" w:fill="FFFFFF"/>
            <w:noWrap/>
            <w:hideMark/>
          </w:tcPr>
          <w:p w14:paraId="56429D35"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5495DF08" w14:textId="77777777" w:rsidR="00ED02DA" w:rsidRDefault="00ED02DA">
            <w:pPr>
              <w:jc w:val="right"/>
              <w:rPr>
                <w:noProof/>
                <w:color w:val="000000"/>
                <w:sz w:val="20"/>
                <w:szCs w:val="20"/>
              </w:rPr>
            </w:pPr>
            <w:r>
              <w:rPr>
                <w:noProof/>
                <w:color w:val="000000"/>
                <w:sz w:val="20"/>
                <w:szCs w:val="20"/>
              </w:rPr>
              <w:t>3.0</w:t>
            </w:r>
          </w:p>
        </w:tc>
        <w:tc>
          <w:tcPr>
            <w:tcW w:w="249" w:type="pct"/>
            <w:tcBorders>
              <w:top w:val="nil"/>
              <w:left w:val="nil"/>
              <w:bottom w:val="single" w:sz="4" w:space="0" w:color="auto"/>
              <w:right w:val="single" w:sz="4" w:space="0" w:color="auto"/>
            </w:tcBorders>
            <w:shd w:val="clear" w:color="000000" w:fill="FFFFFF"/>
            <w:noWrap/>
            <w:hideMark/>
          </w:tcPr>
          <w:p w14:paraId="149A1B83" w14:textId="77777777" w:rsidR="00ED02DA" w:rsidRDefault="00ED02DA">
            <w:pPr>
              <w:jc w:val="right"/>
              <w:rPr>
                <w:noProof/>
                <w:color w:val="000000"/>
                <w:sz w:val="20"/>
                <w:szCs w:val="20"/>
              </w:rPr>
            </w:pPr>
            <w:r>
              <w:rPr>
                <w:noProof/>
                <w:color w:val="000000"/>
                <w:sz w:val="20"/>
                <w:szCs w:val="20"/>
              </w:rPr>
              <w:t>0.1</w:t>
            </w:r>
          </w:p>
        </w:tc>
        <w:tc>
          <w:tcPr>
            <w:tcW w:w="249" w:type="pct"/>
            <w:tcBorders>
              <w:top w:val="nil"/>
              <w:left w:val="nil"/>
              <w:bottom w:val="single" w:sz="4" w:space="0" w:color="auto"/>
              <w:right w:val="single" w:sz="4" w:space="0" w:color="auto"/>
            </w:tcBorders>
            <w:shd w:val="clear" w:color="000000" w:fill="FFFFFF"/>
            <w:noWrap/>
            <w:hideMark/>
          </w:tcPr>
          <w:p w14:paraId="771E2FC0" w14:textId="77777777" w:rsidR="00ED02DA" w:rsidRDefault="00ED02DA">
            <w:pPr>
              <w:jc w:val="right"/>
              <w:rPr>
                <w:noProof/>
                <w:color w:val="000000"/>
                <w:sz w:val="20"/>
                <w:szCs w:val="20"/>
              </w:rPr>
            </w:pPr>
            <w:r>
              <w:rPr>
                <w:noProof/>
                <w:color w:val="000000"/>
                <w:sz w:val="20"/>
                <w:szCs w:val="20"/>
              </w:rPr>
              <w:t>0.2</w:t>
            </w:r>
          </w:p>
        </w:tc>
        <w:tc>
          <w:tcPr>
            <w:tcW w:w="249" w:type="pct"/>
            <w:tcBorders>
              <w:top w:val="nil"/>
              <w:left w:val="nil"/>
              <w:bottom w:val="single" w:sz="4" w:space="0" w:color="auto"/>
              <w:right w:val="single" w:sz="4" w:space="0" w:color="auto"/>
            </w:tcBorders>
            <w:shd w:val="clear" w:color="000000" w:fill="FFFFFF"/>
            <w:noWrap/>
            <w:hideMark/>
          </w:tcPr>
          <w:p w14:paraId="5C1ADDAC"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0DB6F251" w14:textId="77777777" w:rsidR="00ED02DA" w:rsidRDefault="00ED02DA">
            <w:pPr>
              <w:jc w:val="right"/>
              <w:rPr>
                <w:noProof/>
                <w:color w:val="000000"/>
                <w:sz w:val="20"/>
                <w:szCs w:val="20"/>
              </w:rPr>
            </w:pPr>
            <w:r>
              <w:rPr>
                <w:noProof/>
                <w:color w:val="000000"/>
                <w:sz w:val="20"/>
                <w:szCs w:val="20"/>
              </w:rPr>
              <w:t>3.0</w:t>
            </w:r>
          </w:p>
        </w:tc>
        <w:tc>
          <w:tcPr>
            <w:tcW w:w="249" w:type="pct"/>
            <w:tcBorders>
              <w:top w:val="nil"/>
              <w:left w:val="nil"/>
              <w:bottom w:val="single" w:sz="4" w:space="0" w:color="auto"/>
              <w:right w:val="single" w:sz="4" w:space="0" w:color="auto"/>
            </w:tcBorders>
            <w:shd w:val="clear" w:color="000000" w:fill="FFFFFF"/>
            <w:noWrap/>
            <w:hideMark/>
          </w:tcPr>
          <w:p w14:paraId="3E7AD74E" w14:textId="77777777" w:rsidR="00ED02DA" w:rsidRDefault="00ED02DA">
            <w:pPr>
              <w:jc w:val="right"/>
              <w:rPr>
                <w:noProof/>
                <w:color w:val="000000"/>
                <w:sz w:val="20"/>
                <w:szCs w:val="20"/>
              </w:rPr>
            </w:pPr>
            <w:r>
              <w:rPr>
                <w:noProof/>
                <w:color w:val="000000"/>
                <w:sz w:val="20"/>
                <w:szCs w:val="20"/>
              </w:rPr>
              <w:t>0.2</w:t>
            </w:r>
          </w:p>
        </w:tc>
        <w:tc>
          <w:tcPr>
            <w:tcW w:w="249" w:type="pct"/>
            <w:tcBorders>
              <w:top w:val="nil"/>
              <w:left w:val="nil"/>
              <w:bottom w:val="single" w:sz="4" w:space="0" w:color="auto"/>
              <w:right w:val="single" w:sz="4" w:space="0" w:color="auto"/>
            </w:tcBorders>
            <w:shd w:val="clear" w:color="000000" w:fill="FFFFFF"/>
            <w:noWrap/>
            <w:hideMark/>
          </w:tcPr>
          <w:p w14:paraId="09A2A8ED" w14:textId="77777777" w:rsidR="00ED02DA" w:rsidRDefault="00ED02DA">
            <w:pPr>
              <w:jc w:val="right"/>
              <w:rPr>
                <w:noProof/>
                <w:color w:val="000000"/>
                <w:sz w:val="20"/>
                <w:szCs w:val="20"/>
              </w:rPr>
            </w:pPr>
            <w:r>
              <w:rPr>
                <w:noProof/>
                <w:color w:val="000000"/>
                <w:sz w:val="20"/>
                <w:szCs w:val="20"/>
              </w:rPr>
              <w:t>0.2</w:t>
            </w:r>
          </w:p>
        </w:tc>
        <w:tc>
          <w:tcPr>
            <w:tcW w:w="249" w:type="pct"/>
            <w:tcBorders>
              <w:top w:val="nil"/>
              <w:left w:val="nil"/>
              <w:bottom w:val="single" w:sz="4" w:space="0" w:color="auto"/>
              <w:right w:val="single" w:sz="4" w:space="0" w:color="auto"/>
            </w:tcBorders>
            <w:shd w:val="clear" w:color="000000" w:fill="FFFFFF"/>
            <w:noWrap/>
            <w:hideMark/>
          </w:tcPr>
          <w:p w14:paraId="40373A8E"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21CE24BE" w14:textId="77777777" w:rsidR="00ED02DA" w:rsidRDefault="00ED02DA">
            <w:pPr>
              <w:jc w:val="right"/>
              <w:rPr>
                <w:noProof/>
                <w:color w:val="000000"/>
                <w:sz w:val="20"/>
                <w:szCs w:val="20"/>
              </w:rPr>
            </w:pPr>
            <w:r>
              <w:rPr>
                <w:noProof/>
                <w:color w:val="000000"/>
                <w:sz w:val="20"/>
                <w:szCs w:val="20"/>
              </w:rPr>
              <w:t>3.0</w:t>
            </w:r>
          </w:p>
        </w:tc>
        <w:tc>
          <w:tcPr>
            <w:tcW w:w="249" w:type="pct"/>
            <w:tcBorders>
              <w:top w:val="nil"/>
              <w:left w:val="nil"/>
              <w:bottom w:val="single" w:sz="4" w:space="0" w:color="auto"/>
              <w:right w:val="single" w:sz="4" w:space="0" w:color="auto"/>
            </w:tcBorders>
            <w:shd w:val="clear" w:color="000000" w:fill="FFFFFF"/>
            <w:noWrap/>
            <w:hideMark/>
          </w:tcPr>
          <w:p w14:paraId="7C64479D" w14:textId="77777777" w:rsidR="00ED02DA" w:rsidRDefault="00ED02DA">
            <w:pPr>
              <w:jc w:val="right"/>
              <w:rPr>
                <w:noProof/>
                <w:color w:val="000000"/>
                <w:sz w:val="20"/>
                <w:szCs w:val="20"/>
              </w:rPr>
            </w:pPr>
            <w:r>
              <w:rPr>
                <w:noProof/>
                <w:color w:val="000000"/>
                <w:sz w:val="20"/>
                <w:szCs w:val="20"/>
              </w:rPr>
              <w:t>0.1</w:t>
            </w:r>
          </w:p>
        </w:tc>
        <w:tc>
          <w:tcPr>
            <w:tcW w:w="249" w:type="pct"/>
            <w:tcBorders>
              <w:top w:val="nil"/>
              <w:left w:val="nil"/>
              <w:bottom w:val="single" w:sz="4" w:space="0" w:color="auto"/>
              <w:right w:val="single" w:sz="4" w:space="0" w:color="auto"/>
            </w:tcBorders>
            <w:shd w:val="clear" w:color="000000" w:fill="FFFFFF"/>
            <w:noWrap/>
            <w:hideMark/>
          </w:tcPr>
          <w:p w14:paraId="2E1C53E3" w14:textId="77777777" w:rsidR="00ED02DA" w:rsidRDefault="00ED02DA">
            <w:pPr>
              <w:jc w:val="right"/>
              <w:rPr>
                <w:noProof/>
                <w:color w:val="000000"/>
                <w:sz w:val="20"/>
                <w:szCs w:val="20"/>
              </w:rPr>
            </w:pPr>
            <w:r>
              <w:rPr>
                <w:noProof/>
                <w:color w:val="000000"/>
                <w:sz w:val="20"/>
                <w:szCs w:val="20"/>
              </w:rPr>
              <w:t>0.2</w:t>
            </w:r>
          </w:p>
        </w:tc>
        <w:tc>
          <w:tcPr>
            <w:tcW w:w="247" w:type="pct"/>
            <w:tcBorders>
              <w:top w:val="nil"/>
              <w:left w:val="nil"/>
              <w:bottom w:val="single" w:sz="4" w:space="0" w:color="auto"/>
              <w:right w:val="single" w:sz="4" w:space="0" w:color="auto"/>
            </w:tcBorders>
            <w:shd w:val="clear" w:color="000000" w:fill="FFFFFF"/>
            <w:noWrap/>
            <w:hideMark/>
          </w:tcPr>
          <w:p w14:paraId="0FCAFD11" w14:textId="77777777" w:rsidR="00ED02DA" w:rsidRDefault="00ED02DA">
            <w:pPr>
              <w:jc w:val="right"/>
              <w:rPr>
                <w:noProof/>
                <w:color w:val="000000"/>
                <w:sz w:val="20"/>
                <w:szCs w:val="20"/>
              </w:rPr>
            </w:pPr>
            <w:r>
              <w:rPr>
                <w:noProof/>
                <w:color w:val="000000"/>
                <w:sz w:val="20"/>
                <w:szCs w:val="20"/>
              </w:rPr>
              <w:t>0.0</w:t>
            </w:r>
          </w:p>
        </w:tc>
      </w:tr>
      <w:tr w:rsidR="00ED02DA" w14:paraId="3DBE5F87" w14:textId="77777777" w:rsidTr="00505E10">
        <w:trPr>
          <w:trHeight w:val="510"/>
        </w:trPr>
        <w:tc>
          <w:tcPr>
            <w:tcW w:w="1016" w:type="pct"/>
            <w:tcBorders>
              <w:top w:val="nil"/>
              <w:left w:val="single" w:sz="4" w:space="0" w:color="auto"/>
              <w:bottom w:val="single" w:sz="4" w:space="0" w:color="auto"/>
              <w:right w:val="single" w:sz="4" w:space="0" w:color="auto"/>
            </w:tcBorders>
            <w:shd w:val="clear" w:color="000000" w:fill="FFFFFF"/>
            <w:hideMark/>
          </w:tcPr>
          <w:p w14:paraId="3816CD25" w14:textId="77777777" w:rsidR="00ED02DA" w:rsidRDefault="00ED02DA">
            <w:pPr>
              <w:rPr>
                <w:noProof/>
                <w:color w:val="000000"/>
                <w:sz w:val="20"/>
                <w:szCs w:val="20"/>
              </w:rPr>
            </w:pPr>
            <w:r>
              <w:rPr>
                <w:noProof/>
                <w:color w:val="000000"/>
                <w:sz w:val="20"/>
                <w:szCs w:val="20"/>
              </w:rPr>
              <w:t>PM3 (Marketing and booking data sharing)</w:t>
            </w:r>
          </w:p>
        </w:tc>
        <w:tc>
          <w:tcPr>
            <w:tcW w:w="249" w:type="pct"/>
            <w:tcBorders>
              <w:top w:val="nil"/>
              <w:left w:val="nil"/>
              <w:bottom w:val="single" w:sz="4" w:space="0" w:color="auto"/>
              <w:right w:val="single" w:sz="4" w:space="0" w:color="auto"/>
            </w:tcBorders>
            <w:shd w:val="clear" w:color="000000" w:fill="FFFFFF"/>
            <w:noWrap/>
            <w:hideMark/>
          </w:tcPr>
          <w:p w14:paraId="5DC8CFE5" w14:textId="77777777" w:rsidR="00ED02DA" w:rsidRDefault="00ED02DA">
            <w:pPr>
              <w:jc w:val="right"/>
              <w:rPr>
                <w:noProof/>
                <w:color w:val="000000"/>
                <w:sz w:val="20"/>
                <w:szCs w:val="20"/>
              </w:rPr>
            </w:pPr>
            <w:r>
              <w:rPr>
                <w:noProof/>
                <w:color w:val="000000"/>
                <w:sz w:val="20"/>
                <w:szCs w:val="20"/>
              </w:rPr>
              <w:t>2.3</w:t>
            </w:r>
          </w:p>
        </w:tc>
        <w:tc>
          <w:tcPr>
            <w:tcW w:w="249" w:type="pct"/>
            <w:tcBorders>
              <w:top w:val="nil"/>
              <w:left w:val="nil"/>
              <w:bottom w:val="single" w:sz="4" w:space="0" w:color="auto"/>
              <w:right w:val="single" w:sz="4" w:space="0" w:color="auto"/>
            </w:tcBorders>
            <w:shd w:val="clear" w:color="000000" w:fill="FFFFFF"/>
            <w:noWrap/>
            <w:hideMark/>
          </w:tcPr>
          <w:p w14:paraId="7BDC5AA8"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4F8ED066" w14:textId="77777777" w:rsidR="00ED02DA" w:rsidRDefault="00ED02DA">
            <w:pPr>
              <w:jc w:val="right"/>
              <w:rPr>
                <w:noProof/>
                <w:color w:val="000000"/>
                <w:sz w:val="20"/>
                <w:szCs w:val="20"/>
              </w:rPr>
            </w:pPr>
            <w:r>
              <w:rPr>
                <w:noProof/>
                <w:color w:val="000000"/>
                <w:sz w:val="20"/>
                <w:szCs w:val="20"/>
              </w:rPr>
              <w:t>0.0</w:t>
            </w:r>
          </w:p>
        </w:tc>
        <w:tc>
          <w:tcPr>
            <w:tcW w:w="251" w:type="pct"/>
            <w:tcBorders>
              <w:top w:val="nil"/>
              <w:left w:val="nil"/>
              <w:bottom w:val="single" w:sz="4" w:space="0" w:color="auto"/>
              <w:right w:val="single" w:sz="4" w:space="0" w:color="auto"/>
            </w:tcBorders>
            <w:shd w:val="clear" w:color="000000" w:fill="FFFFFF"/>
            <w:noWrap/>
            <w:hideMark/>
          </w:tcPr>
          <w:p w14:paraId="34DDAC27"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37221881" w14:textId="77777777" w:rsidR="00ED02DA" w:rsidRDefault="00ED02DA">
            <w:pPr>
              <w:jc w:val="right"/>
              <w:rPr>
                <w:noProof/>
                <w:color w:val="000000"/>
                <w:sz w:val="20"/>
                <w:szCs w:val="20"/>
              </w:rPr>
            </w:pPr>
            <w:r>
              <w:rPr>
                <w:noProof/>
                <w:color w:val="000000"/>
                <w:sz w:val="20"/>
                <w:szCs w:val="20"/>
              </w:rPr>
              <w:t>2.3</w:t>
            </w:r>
          </w:p>
        </w:tc>
        <w:tc>
          <w:tcPr>
            <w:tcW w:w="249" w:type="pct"/>
            <w:tcBorders>
              <w:top w:val="nil"/>
              <w:left w:val="nil"/>
              <w:bottom w:val="single" w:sz="4" w:space="0" w:color="auto"/>
              <w:right w:val="single" w:sz="4" w:space="0" w:color="auto"/>
            </w:tcBorders>
            <w:shd w:val="clear" w:color="000000" w:fill="FFFFFF"/>
            <w:noWrap/>
            <w:hideMark/>
          </w:tcPr>
          <w:p w14:paraId="3212D984" w14:textId="77777777" w:rsidR="00ED02DA" w:rsidRDefault="00ED02DA">
            <w:pPr>
              <w:jc w:val="right"/>
              <w:rPr>
                <w:noProof/>
                <w:color w:val="000000"/>
                <w:sz w:val="20"/>
                <w:szCs w:val="20"/>
              </w:rPr>
            </w:pPr>
            <w:r>
              <w:rPr>
                <w:noProof/>
                <w:color w:val="000000"/>
                <w:sz w:val="20"/>
                <w:szCs w:val="20"/>
              </w:rPr>
              <w:t>0.1</w:t>
            </w:r>
          </w:p>
        </w:tc>
        <w:tc>
          <w:tcPr>
            <w:tcW w:w="249" w:type="pct"/>
            <w:tcBorders>
              <w:top w:val="nil"/>
              <w:left w:val="nil"/>
              <w:bottom w:val="single" w:sz="4" w:space="0" w:color="auto"/>
              <w:right w:val="single" w:sz="4" w:space="0" w:color="auto"/>
            </w:tcBorders>
            <w:shd w:val="clear" w:color="000000" w:fill="FFFFFF"/>
            <w:noWrap/>
            <w:hideMark/>
          </w:tcPr>
          <w:p w14:paraId="182F6FD4" w14:textId="77777777" w:rsidR="00ED02DA" w:rsidRDefault="00ED02DA">
            <w:pPr>
              <w:jc w:val="right"/>
              <w:rPr>
                <w:noProof/>
                <w:color w:val="000000"/>
                <w:sz w:val="20"/>
                <w:szCs w:val="20"/>
              </w:rPr>
            </w:pPr>
            <w:r>
              <w:rPr>
                <w:noProof/>
                <w:color w:val="000000"/>
                <w:sz w:val="20"/>
                <w:szCs w:val="20"/>
              </w:rPr>
              <w:t>0.2</w:t>
            </w:r>
          </w:p>
        </w:tc>
        <w:tc>
          <w:tcPr>
            <w:tcW w:w="249" w:type="pct"/>
            <w:tcBorders>
              <w:top w:val="nil"/>
              <w:left w:val="nil"/>
              <w:bottom w:val="single" w:sz="4" w:space="0" w:color="auto"/>
              <w:right w:val="single" w:sz="4" w:space="0" w:color="auto"/>
            </w:tcBorders>
            <w:shd w:val="clear" w:color="000000" w:fill="FFFFFF"/>
            <w:noWrap/>
            <w:hideMark/>
          </w:tcPr>
          <w:p w14:paraId="6EE1C771"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66AD396D" w14:textId="77777777" w:rsidR="00ED02DA" w:rsidRDefault="00ED02DA">
            <w:pPr>
              <w:jc w:val="right"/>
              <w:rPr>
                <w:noProof/>
                <w:color w:val="000000"/>
                <w:sz w:val="20"/>
                <w:szCs w:val="20"/>
              </w:rPr>
            </w:pPr>
            <w:r>
              <w:rPr>
                <w:noProof/>
                <w:color w:val="000000"/>
                <w:sz w:val="20"/>
                <w:szCs w:val="20"/>
              </w:rPr>
              <w:t>2.3</w:t>
            </w:r>
          </w:p>
        </w:tc>
        <w:tc>
          <w:tcPr>
            <w:tcW w:w="249" w:type="pct"/>
            <w:tcBorders>
              <w:top w:val="nil"/>
              <w:left w:val="nil"/>
              <w:bottom w:val="single" w:sz="4" w:space="0" w:color="auto"/>
              <w:right w:val="single" w:sz="4" w:space="0" w:color="auto"/>
            </w:tcBorders>
            <w:shd w:val="clear" w:color="000000" w:fill="FFFFFF"/>
            <w:noWrap/>
            <w:hideMark/>
          </w:tcPr>
          <w:p w14:paraId="1E8102B6" w14:textId="77777777" w:rsidR="00ED02DA" w:rsidRDefault="00ED02DA">
            <w:pPr>
              <w:jc w:val="right"/>
              <w:rPr>
                <w:noProof/>
                <w:color w:val="000000"/>
                <w:sz w:val="20"/>
                <w:szCs w:val="20"/>
              </w:rPr>
            </w:pPr>
            <w:r>
              <w:rPr>
                <w:noProof/>
                <w:color w:val="000000"/>
                <w:sz w:val="20"/>
                <w:szCs w:val="20"/>
              </w:rPr>
              <w:t>0.1</w:t>
            </w:r>
          </w:p>
        </w:tc>
        <w:tc>
          <w:tcPr>
            <w:tcW w:w="249" w:type="pct"/>
            <w:tcBorders>
              <w:top w:val="nil"/>
              <w:left w:val="nil"/>
              <w:bottom w:val="single" w:sz="4" w:space="0" w:color="auto"/>
              <w:right w:val="single" w:sz="4" w:space="0" w:color="auto"/>
            </w:tcBorders>
            <w:shd w:val="clear" w:color="000000" w:fill="FFFFFF"/>
            <w:noWrap/>
            <w:hideMark/>
          </w:tcPr>
          <w:p w14:paraId="5651BA1C" w14:textId="77777777" w:rsidR="00ED02DA" w:rsidRDefault="00ED02DA">
            <w:pPr>
              <w:jc w:val="right"/>
              <w:rPr>
                <w:noProof/>
                <w:color w:val="000000"/>
                <w:sz w:val="20"/>
                <w:szCs w:val="20"/>
              </w:rPr>
            </w:pPr>
            <w:r>
              <w:rPr>
                <w:noProof/>
                <w:color w:val="000000"/>
                <w:sz w:val="20"/>
                <w:szCs w:val="20"/>
              </w:rPr>
              <w:t>0.1</w:t>
            </w:r>
          </w:p>
        </w:tc>
        <w:tc>
          <w:tcPr>
            <w:tcW w:w="249" w:type="pct"/>
            <w:tcBorders>
              <w:top w:val="nil"/>
              <w:left w:val="nil"/>
              <w:bottom w:val="single" w:sz="4" w:space="0" w:color="auto"/>
              <w:right w:val="single" w:sz="4" w:space="0" w:color="auto"/>
            </w:tcBorders>
            <w:shd w:val="clear" w:color="000000" w:fill="FFFFFF"/>
            <w:noWrap/>
            <w:hideMark/>
          </w:tcPr>
          <w:p w14:paraId="185DB4A4"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5DE7C3B4" w14:textId="77777777" w:rsidR="00ED02DA" w:rsidRDefault="00ED02DA">
            <w:pPr>
              <w:jc w:val="right"/>
              <w:rPr>
                <w:noProof/>
                <w:color w:val="000000"/>
                <w:sz w:val="20"/>
                <w:szCs w:val="20"/>
              </w:rPr>
            </w:pPr>
            <w:r>
              <w:rPr>
                <w:noProof/>
                <w:color w:val="000000"/>
                <w:sz w:val="20"/>
                <w:szCs w:val="20"/>
              </w:rPr>
              <w:t>2.3</w:t>
            </w:r>
          </w:p>
        </w:tc>
        <w:tc>
          <w:tcPr>
            <w:tcW w:w="249" w:type="pct"/>
            <w:tcBorders>
              <w:top w:val="nil"/>
              <w:left w:val="nil"/>
              <w:bottom w:val="single" w:sz="4" w:space="0" w:color="auto"/>
              <w:right w:val="single" w:sz="4" w:space="0" w:color="auto"/>
            </w:tcBorders>
            <w:shd w:val="clear" w:color="000000" w:fill="FFFFFF"/>
            <w:noWrap/>
            <w:hideMark/>
          </w:tcPr>
          <w:p w14:paraId="1F4BBF36" w14:textId="77777777" w:rsidR="00ED02DA" w:rsidRDefault="00ED02DA">
            <w:pPr>
              <w:jc w:val="right"/>
              <w:rPr>
                <w:noProof/>
                <w:color w:val="000000"/>
                <w:sz w:val="20"/>
                <w:szCs w:val="20"/>
              </w:rPr>
            </w:pPr>
            <w:r>
              <w:rPr>
                <w:noProof/>
                <w:color w:val="000000"/>
                <w:sz w:val="20"/>
                <w:szCs w:val="20"/>
              </w:rPr>
              <w:t>0.1</w:t>
            </w:r>
          </w:p>
        </w:tc>
        <w:tc>
          <w:tcPr>
            <w:tcW w:w="249" w:type="pct"/>
            <w:tcBorders>
              <w:top w:val="nil"/>
              <w:left w:val="nil"/>
              <w:bottom w:val="single" w:sz="4" w:space="0" w:color="auto"/>
              <w:right w:val="single" w:sz="4" w:space="0" w:color="auto"/>
            </w:tcBorders>
            <w:shd w:val="clear" w:color="000000" w:fill="FFFFFF"/>
            <w:noWrap/>
            <w:hideMark/>
          </w:tcPr>
          <w:p w14:paraId="37F346E5" w14:textId="77777777" w:rsidR="00ED02DA" w:rsidRDefault="00ED02DA">
            <w:pPr>
              <w:jc w:val="right"/>
              <w:rPr>
                <w:noProof/>
                <w:color w:val="000000"/>
                <w:sz w:val="20"/>
                <w:szCs w:val="20"/>
              </w:rPr>
            </w:pPr>
            <w:r>
              <w:rPr>
                <w:noProof/>
                <w:color w:val="000000"/>
                <w:sz w:val="20"/>
                <w:szCs w:val="20"/>
              </w:rPr>
              <w:t>0.2</w:t>
            </w:r>
          </w:p>
        </w:tc>
        <w:tc>
          <w:tcPr>
            <w:tcW w:w="247" w:type="pct"/>
            <w:tcBorders>
              <w:top w:val="nil"/>
              <w:left w:val="nil"/>
              <w:bottom w:val="single" w:sz="4" w:space="0" w:color="auto"/>
              <w:right w:val="single" w:sz="4" w:space="0" w:color="auto"/>
            </w:tcBorders>
            <w:shd w:val="clear" w:color="000000" w:fill="FFFFFF"/>
            <w:noWrap/>
            <w:hideMark/>
          </w:tcPr>
          <w:p w14:paraId="0AF39596" w14:textId="77777777" w:rsidR="00ED02DA" w:rsidRDefault="00ED02DA">
            <w:pPr>
              <w:jc w:val="right"/>
              <w:rPr>
                <w:noProof/>
                <w:color w:val="000000"/>
                <w:sz w:val="20"/>
                <w:szCs w:val="20"/>
              </w:rPr>
            </w:pPr>
            <w:r>
              <w:rPr>
                <w:noProof/>
                <w:color w:val="000000"/>
                <w:sz w:val="20"/>
                <w:szCs w:val="20"/>
              </w:rPr>
              <w:t>0.0</w:t>
            </w:r>
          </w:p>
        </w:tc>
      </w:tr>
      <w:tr w:rsidR="0045255E" w14:paraId="4FFF5AE8" w14:textId="77777777" w:rsidTr="00505E10">
        <w:trPr>
          <w:trHeight w:val="510"/>
        </w:trPr>
        <w:tc>
          <w:tcPr>
            <w:tcW w:w="1016" w:type="pct"/>
            <w:tcBorders>
              <w:top w:val="nil"/>
              <w:left w:val="single" w:sz="4" w:space="0" w:color="auto"/>
              <w:bottom w:val="single" w:sz="4" w:space="0" w:color="auto"/>
              <w:right w:val="single" w:sz="4" w:space="0" w:color="auto"/>
            </w:tcBorders>
            <w:hideMark/>
          </w:tcPr>
          <w:p w14:paraId="4B63952F" w14:textId="77777777" w:rsidR="00ED02DA" w:rsidRDefault="00ED02DA">
            <w:pPr>
              <w:rPr>
                <w:noProof/>
                <w:color w:val="000000"/>
                <w:sz w:val="20"/>
                <w:szCs w:val="20"/>
              </w:rPr>
            </w:pPr>
            <w:r>
              <w:rPr>
                <w:noProof/>
                <w:color w:val="000000"/>
                <w:sz w:val="20"/>
                <w:szCs w:val="20"/>
              </w:rPr>
              <w:t>PM7 (Data for mobility management)</w:t>
            </w:r>
          </w:p>
        </w:tc>
        <w:tc>
          <w:tcPr>
            <w:tcW w:w="249" w:type="pct"/>
            <w:tcBorders>
              <w:top w:val="nil"/>
              <w:left w:val="nil"/>
              <w:bottom w:val="single" w:sz="4" w:space="0" w:color="auto"/>
              <w:right w:val="single" w:sz="4" w:space="0" w:color="auto"/>
            </w:tcBorders>
            <w:shd w:val="clear" w:color="000000" w:fill="FFFFFF"/>
            <w:noWrap/>
            <w:hideMark/>
          </w:tcPr>
          <w:p w14:paraId="465F0F6E" w14:textId="77777777" w:rsidR="00ED02DA" w:rsidRDefault="00ED02DA">
            <w:pPr>
              <w:jc w:val="right"/>
              <w:rPr>
                <w:noProof/>
                <w:color w:val="000000"/>
                <w:sz w:val="20"/>
                <w:szCs w:val="20"/>
              </w:rPr>
            </w:pPr>
            <w:r>
              <w:rPr>
                <w:noProof/>
                <w:color w:val="000000"/>
                <w:sz w:val="20"/>
                <w:szCs w:val="20"/>
              </w:rPr>
              <w:t>17.6</w:t>
            </w:r>
          </w:p>
        </w:tc>
        <w:tc>
          <w:tcPr>
            <w:tcW w:w="249" w:type="pct"/>
            <w:tcBorders>
              <w:top w:val="nil"/>
              <w:left w:val="nil"/>
              <w:bottom w:val="single" w:sz="4" w:space="0" w:color="auto"/>
              <w:right w:val="single" w:sz="4" w:space="0" w:color="auto"/>
            </w:tcBorders>
            <w:shd w:val="clear" w:color="000000" w:fill="FFFFFF"/>
            <w:noWrap/>
            <w:hideMark/>
          </w:tcPr>
          <w:p w14:paraId="47DFC341" w14:textId="77777777" w:rsidR="00ED02DA" w:rsidRDefault="00ED02DA">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6E527BB6" w14:textId="77777777" w:rsidR="00ED02DA" w:rsidRDefault="00ED02DA">
            <w:pPr>
              <w:jc w:val="right"/>
              <w:rPr>
                <w:noProof/>
                <w:color w:val="000000"/>
                <w:sz w:val="20"/>
                <w:szCs w:val="20"/>
              </w:rPr>
            </w:pPr>
            <w:r>
              <w:rPr>
                <w:noProof/>
                <w:color w:val="000000"/>
                <w:sz w:val="20"/>
                <w:szCs w:val="20"/>
              </w:rPr>
              <w:t>0.2</w:t>
            </w:r>
          </w:p>
        </w:tc>
        <w:tc>
          <w:tcPr>
            <w:tcW w:w="251" w:type="pct"/>
            <w:tcBorders>
              <w:top w:val="nil"/>
              <w:left w:val="nil"/>
              <w:bottom w:val="single" w:sz="4" w:space="0" w:color="auto"/>
              <w:right w:val="single" w:sz="4" w:space="0" w:color="auto"/>
            </w:tcBorders>
            <w:shd w:val="clear" w:color="000000" w:fill="FFFFFF"/>
            <w:noWrap/>
            <w:hideMark/>
          </w:tcPr>
          <w:p w14:paraId="6D60F2EB"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3B5420AD" w14:textId="77777777" w:rsidR="00ED02DA" w:rsidRDefault="00ED02DA">
            <w:pPr>
              <w:jc w:val="right"/>
              <w:rPr>
                <w:noProof/>
                <w:color w:val="000000"/>
                <w:sz w:val="20"/>
                <w:szCs w:val="20"/>
              </w:rPr>
            </w:pPr>
            <w:r>
              <w:rPr>
                <w:noProof/>
                <w:color w:val="000000"/>
                <w:sz w:val="20"/>
                <w:szCs w:val="20"/>
              </w:rPr>
              <w:t>17.6</w:t>
            </w:r>
          </w:p>
        </w:tc>
        <w:tc>
          <w:tcPr>
            <w:tcW w:w="249" w:type="pct"/>
            <w:tcBorders>
              <w:top w:val="nil"/>
              <w:left w:val="nil"/>
              <w:bottom w:val="single" w:sz="4" w:space="0" w:color="auto"/>
              <w:right w:val="single" w:sz="4" w:space="0" w:color="auto"/>
            </w:tcBorders>
            <w:shd w:val="clear" w:color="000000" w:fill="FFFFFF"/>
            <w:noWrap/>
            <w:hideMark/>
          </w:tcPr>
          <w:p w14:paraId="257657B4" w14:textId="77777777" w:rsidR="00ED02DA" w:rsidRDefault="00ED02DA">
            <w:pPr>
              <w:jc w:val="right"/>
              <w:rPr>
                <w:noProof/>
                <w:color w:val="000000"/>
                <w:sz w:val="20"/>
                <w:szCs w:val="20"/>
              </w:rPr>
            </w:pPr>
            <w:r>
              <w:rPr>
                <w:noProof/>
                <w:color w:val="000000"/>
                <w:sz w:val="20"/>
                <w:szCs w:val="20"/>
              </w:rPr>
              <w:t>0.8</w:t>
            </w:r>
          </w:p>
        </w:tc>
        <w:tc>
          <w:tcPr>
            <w:tcW w:w="249" w:type="pct"/>
            <w:tcBorders>
              <w:top w:val="nil"/>
              <w:left w:val="nil"/>
              <w:bottom w:val="single" w:sz="4" w:space="0" w:color="auto"/>
              <w:right w:val="single" w:sz="4" w:space="0" w:color="auto"/>
            </w:tcBorders>
            <w:shd w:val="clear" w:color="000000" w:fill="FFFFFF"/>
            <w:noWrap/>
            <w:hideMark/>
          </w:tcPr>
          <w:p w14:paraId="480F5979" w14:textId="77777777" w:rsidR="00ED02DA" w:rsidRDefault="00ED02DA">
            <w:pPr>
              <w:jc w:val="right"/>
              <w:rPr>
                <w:noProof/>
                <w:color w:val="000000"/>
                <w:sz w:val="20"/>
                <w:szCs w:val="20"/>
              </w:rPr>
            </w:pPr>
            <w:r>
              <w:rPr>
                <w:noProof/>
                <w:color w:val="000000"/>
                <w:sz w:val="20"/>
                <w:szCs w:val="20"/>
              </w:rPr>
              <w:t>1.3</w:t>
            </w:r>
          </w:p>
        </w:tc>
        <w:tc>
          <w:tcPr>
            <w:tcW w:w="249" w:type="pct"/>
            <w:tcBorders>
              <w:top w:val="nil"/>
              <w:left w:val="nil"/>
              <w:bottom w:val="single" w:sz="4" w:space="0" w:color="auto"/>
              <w:right w:val="single" w:sz="4" w:space="0" w:color="auto"/>
            </w:tcBorders>
            <w:shd w:val="clear" w:color="000000" w:fill="FFFFFF"/>
            <w:noWrap/>
            <w:hideMark/>
          </w:tcPr>
          <w:p w14:paraId="0FE862EF"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6128147C" w14:textId="77777777" w:rsidR="00ED02DA" w:rsidRDefault="00ED02DA">
            <w:pPr>
              <w:jc w:val="right"/>
              <w:rPr>
                <w:noProof/>
                <w:color w:val="000000"/>
                <w:sz w:val="20"/>
                <w:szCs w:val="20"/>
              </w:rPr>
            </w:pPr>
            <w:r>
              <w:rPr>
                <w:noProof/>
                <w:color w:val="000000"/>
                <w:sz w:val="20"/>
                <w:szCs w:val="20"/>
              </w:rPr>
              <w:t>17.6</w:t>
            </w:r>
          </w:p>
        </w:tc>
        <w:tc>
          <w:tcPr>
            <w:tcW w:w="249" w:type="pct"/>
            <w:tcBorders>
              <w:top w:val="nil"/>
              <w:left w:val="nil"/>
              <w:bottom w:val="single" w:sz="4" w:space="0" w:color="auto"/>
              <w:right w:val="single" w:sz="4" w:space="0" w:color="auto"/>
            </w:tcBorders>
            <w:shd w:val="clear" w:color="000000" w:fill="FFFFFF"/>
            <w:noWrap/>
            <w:hideMark/>
          </w:tcPr>
          <w:p w14:paraId="59A6B296" w14:textId="77777777" w:rsidR="00ED02DA" w:rsidRDefault="00ED02DA">
            <w:pPr>
              <w:jc w:val="right"/>
              <w:rPr>
                <w:noProof/>
                <w:color w:val="000000"/>
                <w:sz w:val="20"/>
                <w:szCs w:val="20"/>
              </w:rPr>
            </w:pPr>
            <w:r>
              <w:rPr>
                <w:noProof/>
                <w:color w:val="000000"/>
                <w:sz w:val="20"/>
                <w:szCs w:val="20"/>
              </w:rPr>
              <w:t>0.9</w:t>
            </w:r>
          </w:p>
        </w:tc>
        <w:tc>
          <w:tcPr>
            <w:tcW w:w="249" w:type="pct"/>
            <w:tcBorders>
              <w:top w:val="nil"/>
              <w:left w:val="nil"/>
              <w:bottom w:val="single" w:sz="4" w:space="0" w:color="auto"/>
              <w:right w:val="single" w:sz="4" w:space="0" w:color="auto"/>
            </w:tcBorders>
            <w:shd w:val="clear" w:color="000000" w:fill="FFFFFF"/>
            <w:noWrap/>
            <w:hideMark/>
          </w:tcPr>
          <w:p w14:paraId="6B1E00A7" w14:textId="77777777" w:rsidR="00ED02DA" w:rsidRDefault="00ED02DA">
            <w:pPr>
              <w:jc w:val="right"/>
              <w:rPr>
                <w:noProof/>
                <w:color w:val="000000"/>
                <w:sz w:val="20"/>
                <w:szCs w:val="20"/>
              </w:rPr>
            </w:pPr>
            <w:r>
              <w:rPr>
                <w:noProof/>
                <w:color w:val="000000"/>
                <w:sz w:val="20"/>
                <w:szCs w:val="20"/>
              </w:rPr>
              <w:t>1.1</w:t>
            </w:r>
          </w:p>
        </w:tc>
        <w:tc>
          <w:tcPr>
            <w:tcW w:w="249" w:type="pct"/>
            <w:tcBorders>
              <w:top w:val="nil"/>
              <w:left w:val="nil"/>
              <w:bottom w:val="single" w:sz="4" w:space="0" w:color="auto"/>
              <w:right w:val="single" w:sz="4" w:space="0" w:color="auto"/>
            </w:tcBorders>
            <w:shd w:val="clear" w:color="000000" w:fill="FFFFFF"/>
            <w:noWrap/>
            <w:hideMark/>
          </w:tcPr>
          <w:p w14:paraId="790BF08A"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5A17D14C" w14:textId="77777777" w:rsidR="00ED02DA" w:rsidRDefault="00ED02DA">
            <w:pPr>
              <w:jc w:val="right"/>
              <w:rPr>
                <w:noProof/>
                <w:color w:val="000000"/>
                <w:sz w:val="20"/>
                <w:szCs w:val="20"/>
              </w:rPr>
            </w:pPr>
            <w:r>
              <w:rPr>
                <w:noProof/>
                <w:color w:val="000000"/>
                <w:sz w:val="20"/>
                <w:szCs w:val="20"/>
              </w:rPr>
              <w:t>17.6</w:t>
            </w:r>
          </w:p>
        </w:tc>
        <w:tc>
          <w:tcPr>
            <w:tcW w:w="249" w:type="pct"/>
            <w:tcBorders>
              <w:top w:val="nil"/>
              <w:left w:val="nil"/>
              <w:bottom w:val="single" w:sz="4" w:space="0" w:color="auto"/>
              <w:right w:val="single" w:sz="4" w:space="0" w:color="auto"/>
            </w:tcBorders>
            <w:shd w:val="clear" w:color="000000" w:fill="FFFFFF"/>
            <w:noWrap/>
            <w:hideMark/>
          </w:tcPr>
          <w:p w14:paraId="5EC5317D" w14:textId="77777777" w:rsidR="00ED02DA" w:rsidRDefault="00ED02DA">
            <w:pPr>
              <w:jc w:val="right"/>
              <w:rPr>
                <w:noProof/>
                <w:color w:val="000000"/>
                <w:sz w:val="20"/>
                <w:szCs w:val="20"/>
              </w:rPr>
            </w:pPr>
            <w:r>
              <w:rPr>
                <w:noProof/>
                <w:color w:val="000000"/>
                <w:sz w:val="20"/>
                <w:szCs w:val="20"/>
              </w:rPr>
              <w:t>0.8</w:t>
            </w:r>
          </w:p>
        </w:tc>
        <w:tc>
          <w:tcPr>
            <w:tcW w:w="249" w:type="pct"/>
            <w:tcBorders>
              <w:top w:val="nil"/>
              <w:left w:val="nil"/>
              <w:bottom w:val="single" w:sz="4" w:space="0" w:color="auto"/>
              <w:right w:val="single" w:sz="4" w:space="0" w:color="auto"/>
            </w:tcBorders>
            <w:shd w:val="clear" w:color="000000" w:fill="FFFFFF"/>
            <w:noWrap/>
            <w:hideMark/>
          </w:tcPr>
          <w:p w14:paraId="4E08834B" w14:textId="77777777" w:rsidR="00ED02DA" w:rsidRDefault="00ED02DA">
            <w:pPr>
              <w:jc w:val="right"/>
              <w:rPr>
                <w:noProof/>
                <w:color w:val="000000"/>
                <w:sz w:val="20"/>
                <w:szCs w:val="20"/>
              </w:rPr>
            </w:pPr>
            <w:r>
              <w:rPr>
                <w:noProof/>
                <w:color w:val="000000"/>
                <w:sz w:val="20"/>
                <w:szCs w:val="20"/>
              </w:rPr>
              <w:t>1.2</w:t>
            </w:r>
          </w:p>
        </w:tc>
        <w:tc>
          <w:tcPr>
            <w:tcW w:w="247" w:type="pct"/>
            <w:tcBorders>
              <w:top w:val="nil"/>
              <w:left w:val="nil"/>
              <w:bottom w:val="single" w:sz="4" w:space="0" w:color="auto"/>
              <w:right w:val="single" w:sz="4" w:space="0" w:color="auto"/>
            </w:tcBorders>
            <w:shd w:val="clear" w:color="000000" w:fill="FFFFFF"/>
            <w:noWrap/>
            <w:hideMark/>
          </w:tcPr>
          <w:p w14:paraId="37A1A9E4" w14:textId="77777777" w:rsidR="00ED02DA" w:rsidRDefault="00ED02DA">
            <w:pPr>
              <w:jc w:val="right"/>
              <w:rPr>
                <w:noProof/>
                <w:color w:val="000000"/>
                <w:sz w:val="20"/>
                <w:szCs w:val="20"/>
              </w:rPr>
            </w:pPr>
            <w:r>
              <w:rPr>
                <w:noProof/>
                <w:color w:val="000000"/>
                <w:sz w:val="20"/>
                <w:szCs w:val="20"/>
              </w:rPr>
              <w:t>0.0</w:t>
            </w:r>
          </w:p>
        </w:tc>
      </w:tr>
      <w:tr w:rsidR="0045255E" w14:paraId="7FB21CC7" w14:textId="77777777" w:rsidTr="00505E10">
        <w:trPr>
          <w:trHeight w:val="282"/>
        </w:trPr>
        <w:tc>
          <w:tcPr>
            <w:tcW w:w="1016" w:type="pct"/>
            <w:tcBorders>
              <w:top w:val="nil"/>
              <w:left w:val="single" w:sz="4" w:space="0" w:color="auto"/>
              <w:bottom w:val="single" w:sz="4" w:space="0" w:color="auto"/>
              <w:right w:val="single" w:sz="4" w:space="0" w:color="auto"/>
            </w:tcBorders>
            <w:hideMark/>
          </w:tcPr>
          <w:p w14:paraId="124F5046" w14:textId="77777777" w:rsidR="00ED02DA" w:rsidRDefault="00ED02DA">
            <w:pPr>
              <w:rPr>
                <w:noProof/>
                <w:color w:val="000000"/>
                <w:sz w:val="20"/>
                <w:szCs w:val="20"/>
              </w:rPr>
            </w:pPr>
            <w:r>
              <w:rPr>
                <w:noProof/>
                <w:color w:val="000000"/>
                <w:sz w:val="20"/>
                <w:szCs w:val="20"/>
              </w:rPr>
              <w:t>PM8 (GHG emission data)</w:t>
            </w:r>
          </w:p>
        </w:tc>
        <w:tc>
          <w:tcPr>
            <w:tcW w:w="249" w:type="pct"/>
            <w:tcBorders>
              <w:top w:val="nil"/>
              <w:left w:val="nil"/>
              <w:bottom w:val="single" w:sz="4" w:space="0" w:color="auto"/>
              <w:right w:val="single" w:sz="4" w:space="0" w:color="auto"/>
            </w:tcBorders>
            <w:shd w:val="clear" w:color="000000" w:fill="FFFFFF"/>
            <w:noWrap/>
            <w:hideMark/>
          </w:tcPr>
          <w:p w14:paraId="07C746AE" w14:textId="77777777" w:rsidR="00ED02DA" w:rsidRDefault="00ED02DA">
            <w:pPr>
              <w:jc w:val="right"/>
              <w:rPr>
                <w:noProof/>
                <w:color w:val="000000"/>
                <w:sz w:val="20"/>
                <w:szCs w:val="20"/>
              </w:rPr>
            </w:pPr>
            <w:r>
              <w:rPr>
                <w:noProof/>
                <w:color w:val="000000"/>
                <w:sz w:val="20"/>
                <w:szCs w:val="20"/>
              </w:rPr>
              <w:t>4.1</w:t>
            </w:r>
          </w:p>
        </w:tc>
        <w:tc>
          <w:tcPr>
            <w:tcW w:w="249" w:type="pct"/>
            <w:tcBorders>
              <w:top w:val="nil"/>
              <w:left w:val="nil"/>
              <w:bottom w:val="single" w:sz="4" w:space="0" w:color="auto"/>
              <w:right w:val="single" w:sz="4" w:space="0" w:color="auto"/>
            </w:tcBorders>
            <w:shd w:val="clear" w:color="000000" w:fill="FFFFFF"/>
            <w:noWrap/>
            <w:hideMark/>
          </w:tcPr>
          <w:p w14:paraId="02EF2C00" w14:textId="77777777" w:rsidR="00ED02DA" w:rsidRDefault="00ED02DA">
            <w:pPr>
              <w:jc w:val="right"/>
              <w:rPr>
                <w:noProof/>
                <w:color w:val="000000"/>
                <w:sz w:val="20"/>
                <w:szCs w:val="20"/>
              </w:rPr>
            </w:pPr>
            <w:r>
              <w:rPr>
                <w:noProof/>
                <w:color w:val="000000"/>
                <w:sz w:val="20"/>
                <w:szCs w:val="20"/>
              </w:rPr>
              <w:t>0.1</w:t>
            </w:r>
          </w:p>
        </w:tc>
        <w:tc>
          <w:tcPr>
            <w:tcW w:w="249" w:type="pct"/>
            <w:tcBorders>
              <w:top w:val="nil"/>
              <w:left w:val="nil"/>
              <w:bottom w:val="single" w:sz="4" w:space="0" w:color="auto"/>
              <w:right w:val="single" w:sz="4" w:space="0" w:color="auto"/>
            </w:tcBorders>
            <w:shd w:val="clear" w:color="000000" w:fill="FFFFFF"/>
            <w:noWrap/>
            <w:hideMark/>
          </w:tcPr>
          <w:p w14:paraId="2C77A49D" w14:textId="77777777" w:rsidR="00ED02DA" w:rsidRDefault="00ED02DA">
            <w:pPr>
              <w:jc w:val="right"/>
              <w:rPr>
                <w:noProof/>
                <w:color w:val="000000"/>
                <w:sz w:val="20"/>
                <w:szCs w:val="20"/>
              </w:rPr>
            </w:pPr>
            <w:r>
              <w:rPr>
                <w:noProof/>
                <w:color w:val="000000"/>
                <w:sz w:val="20"/>
                <w:szCs w:val="20"/>
              </w:rPr>
              <w:t>0.1</w:t>
            </w:r>
          </w:p>
        </w:tc>
        <w:tc>
          <w:tcPr>
            <w:tcW w:w="251" w:type="pct"/>
            <w:tcBorders>
              <w:top w:val="nil"/>
              <w:left w:val="nil"/>
              <w:bottom w:val="single" w:sz="4" w:space="0" w:color="auto"/>
              <w:right w:val="single" w:sz="4" w:space="0" w:color="auto"/>
            </w:tcBorders>
            <w:shd w:val="clear" w:color="000000" w:fill="FFFFFF"/>
            <w:noWrap/>
            <w:hideMark/>
          </w:tcPr>
          <w:p w14:paraId="04F2DFC0"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747E8284" w14:textId="77777777" w:rsidR="00ED02DA" w:rsidRDefault="00ED02DA">
            <w:pPr>
              <w:jc w:val="right"/>
              <w:rPr>
                <w:noProof/>
                <w:color w:val="000000"/>
                <w:sz w:val="20"/>
                <w:szCs w:val="20"/>
              </w:rPr>
            </w:pPr>
            <w:r>
              <w:rPr>
                <w:noProof/>
                <w:color w:val="000000"/>
                <w:sz w:val="20"/>
                <w:szCs w:val="20"/>
              </w:rPr>
              <w:t>4.1</w:t>
            </w:r>
          </w:p>
        </w:tc>
        <w:tc>
          <w:tcPr>
            <w:tcW w:w="249" w:type="pct"/>
            <w:tcBorders>
              <w:top w:val="nil"/>
              <w:left w:val="nil"/>
              <w:bottom w:val="single" w:sz="4" w:space="0" w:color="auto"/>
              <w:right w:val="single" w:sz="4" w:space="0" w:color="auto"/>
            </w:tcBorders>
            <w:shd w:val="clear" w:color="000000" w:fill="FFFFFF"/>
            <w:noWrap/>
            <w:hideMark/>
          </w:tcPr>
          <w:p w14:paraId="346203E1" w14:textId="77777777" w:rsidR="00ED02DA" w:rsidRDefault="00ED02DA">
            <w:pPr>
              <w:jc w:val="right"/>
              <w:rPr>
                <w:noProof/>
                <w:color w:val="000000"/>
                <w:sz w:val="20"/>
                <w:szCs w:val="20"/>
              </w:rPr>
            </w:pPr>
            <w:r>
              <w:rPr>
                <w:noProof/>
                <w:color w:val="000000"/>
                <w:sz w:val="20"/>
                <w:szCs w:val="20"/>
              </w:rPr>
              <w:t>0.2</w:t>
            </w:r>
          </w:p>
        </w:tc>
        <w:tc>
          <w:tcPr>
            <w:tcW w:w="249" w:type="pct"/>
            <w:tcBorders>
              <w:top w:val="nil"/>
              <w:left w:val="nil"/>
              <w:bottom w:val="single" w:sz="4" w:space="0" w:color="auto"/>
              <w:right w:val="single" w:sz="4" w:space="0" w:color="auto"/>
            </w:tcBorders>
            <w:shd w:val="clear" w:color="000000" w:fill="FFFFFF"/>
            <w:noWrap/>
            <w:hideMark/>
          </w:tcPr>
          <w:p w14:paraId="2F3BA761" w14:textId="77777777" w:rsidR="00ED02DA" w:rsidRDefault="00ED02DA">
            <w:pPr>
              <w:jc w:val="right"/>
              <w:rPr>
                <w:noProof/>
                <w:color w:val="000000"/>
                <w:sz w:val="20"/>
                <w:szCs w:val="20"/>
              </w:rPr>
            </w:pPr>
            <w:r>
              <w:rPr>
                <w:noProof/>
                <w:color w:val="000000"/>
                <w:sz w:val="20"/>
                <w:szCs w:val="20"/>
              </w:rPr>
              <w:t>0.3</w:t>
            </w:r>
          </w:p>
        </w:tc>
        <w:tc>
          <w:tcPr>
            <w:tcW w:w="249" w:type="pct"/>
            <w:tcBorders>
              <w:top w:val="nil"/>
              <w:left w:val="nil"/>
              <w:bottom w:val="single" w:sz="4" w:space="0" w:color="auto"/>
              <w:right w:val="single" w:sz="4" w:space="0" w:color="auto"/>
            </w:tcBorders>
            <w:shd w:val="clear" w:color="000000" w:fill="FFFFFF"/>
            <w:noWrap/>
            <w:hideMark/>
          </w:tcPr>
          <w:p w14:paraId="1E910982"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3D268ED4" w14:textId="77777777" w:rsidR="00ED02DA" w:rsidRDefault="00ED02DA">
            <w:pPr>
              <w:jc w:val="right"/>
              <w:rPr>
                <w:noProof/>
                <w:color w:val="000000"/>
                <w:sz w:val="20"/>
                <w:szCs w:val="20"/>
              </w:rPr>
            </w:pPr>
            <w:r>
              <w:rPr>
                <w:noProof/>
                <w:color w:val="000000"/>
                <w:sz w:val="20"/>
                <w:szCs w:val="20"/>
              </w:rPr>
              <w:t>4.1</w:t>
            </w:r>
          </w:p>
        </w:tc>
        <w:tc>
          <w:tcPr>
            <w:tcW w:w="249" w:type="pct"/>
            <w:tcBorders>
              <w:top w:val="nil"/>
              <w:left w:val="nil"/>
              <w:bottom w:val="single" w:sz="4" w:space="0" w:color="auto"/>
              <w:right w:val="single" w:sz="4" w:space="0" w:color="auto"/>
            </w:tcBorders>
            <w:shd w:val="clear" w:color="000000" w:fill="FFFFFF"/>
            <w:noWrap/>
            <w:hideMark/>
          </w:tcPr>
          <w:p w14:paraId="0B422340" w14:textId="77777777" w:rsidR="00ED02DA" w:rsidRDefault="00ED02DA">
            <w:pPr>
              <w:jc w:val="right"/>
              <w:rPr>
                <w:noProof/>
                <w:color w:val="000000"/>
                <w:sz w:val="20"/>
                <w:szCs w:val="20"/>
              </w:rPr>
            </w:pPr>
            <w:r>
              <w:rPr>
                <w:noProof/>
                <w:color w:val="000000"/>
                <w:sz w:val="20"/>
                <w:szCs w:val="20"/>
              </w:rPr>
              <w:t>0.2</w:t>
            </w:r>
          </w:p>
        </w:tc>
        <w:tc>
          <w:tcPr>
            <w:tcW w:w="249" w:type="pct"/>
            <w:tcBorders>
              <w:top w:val="nil"/>
              <w:left w:val="nil"/>
              <w:bottom w:val="single" w:sz="4" w:space="0" w:color="auto"/>
              <w:right w:val="single" w:sz="4" w:space="0" w:color="auto"/>
            </w:tcBorders>
            <w:shd w:val="clear" w:color="000000" w:fill="FFFFFF"/>
            <w:noWrap/>
            <w:hideMark/>
          </w:tcPr>
          <w:p w14:paraId="034F05A0" w14:textId="77777777" w:rsidR="00ED02DA" w:rsidRDefault="00ED02DA">
            <w:pPr>
              <w:jc w:val="right"/>
              <w:rPr>
                <w:noProof/>
                <w:color w:val="000000"/>
                <w:sz w:val="20"/>
                <w:szCs w:val="20"/>
              </w:rPr>
            </w:pPr>
            <w:r>
              <w:rPr>
                <w:noProof/>
                <w:color w:val="000000"/>
                <w:sz w:val="20"/>
                <w:szCs w:val="20"/>
              </w:rPr>
              <w:t>0.3</w:t>
            </w:r>
          </w:p>
        </w:tc>
        <w:tc>
          <w:tcPr>
            <w:tcW w:w="249" w:type="pct"/>
            <w:tcBorders>
              <w:top w:val="nil"/>
              <w:left w:val="nil"/>
              <w:bottom w:val="single" w:sz="4" w:space="0" w:color="auto"/>
              <w:right w:val="single" w:sz="4" w:space="0" w:color="auto"/>
            </w:tcBorders>
            <w:shd w:val="clear" w:color="000000" w:fill="FFFFFF"/>
            <w:noWrap/>
            <w:hideMark/>
          </w:tcPr>
          <w:p w14:paraId="09978785"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1536BC3C" w14:textId="77777777" w:rsidR="00ED02DA" w:rsidRDefault="00ED02DA">
            <w:pPr>
              <w:jc w:val="right"/>
              <w:rPr>
                <w:noProof/>
                <w:color w:val="000000"/>
                <w:sz w:val="20"/>
                <w:szCs w:val="20"/>
              </w:rPr>
            </w:pPr>
            <w:r>
              <w:rPr>
                <w:noProof/>
                <w:color w:val="000000"/>
                <w:sz w:val="20"/>
                <w:szCs w:val="20"/>
              </w:rPr>
              <w:t>4.1</w:t>
            </w:r>
          </w:p>
        </w:tc>
        <w:tc>
          <w:tcPr>
            <w:tcW w:w="249" w:type="pct"/>
            <w:tcBorders>
              <w:top w:val="nil"/>
              <w:left w:val="nil"/>
              <w:bottom w:val="single" w:sz="4" w:space="0" w:color="auto"/>
              <w:right w:val="single" w:sz="4" w:space="0" w:color="auto"/>
            </w:tcBorders>
            <w:shd w:val="clear" w:color="000000" w:fill="FFFFFF"/>
            <w:noWrap/>
            <w:hideMark/>
          </w:tcPr>
          <w:p w14:paraId="6FDFF5C5" w14:textId="77777777" w:rsidR="00ED02DA" w:rsidRDefault="00ED02DA">
            <w:pPr>
              <w:jc w:val="right"/>
              <w:rPr>
                <w:noProof/>
                <w:color w:val="000000"/>
                <w:sz w:val="20"/>
                <w:szCs w:val="20"/>
              </w:rPr>
            </w:pPr>
            <w:r>
              <w:rPr>
                <w:noProof/>
                <w:color w:val="000000"/>
                <w:sz w:val="20"/>
                <w:szCs w:val="20"/>
              </w:rPr>
              <w:t>0.2</w:t>
            </w:r>
          </w:p>
        </w:tc>
        <w:tc>
          <w:tcPr>
            <w:tcW w:w="249" w:type="pct"/>
            <w:tcBorders>
              <w:top w:val="nil"/>
              <w:left w:val="nil"/>
              <w:bottom w:val="single" w:sz="4" w:space="0" w:color="auto"/>
              <w:right w:val="single" w:sz="4" w:space="0" w:color="auto"/>
            </w:tcBorders>
            <w:shd w:val="clear" w:color="000000" w:fill="FFFFFF"/>
            <w:noWrap/>
            <w:hideMark/>
          </w:tcPr>
          <w:p w14:paraId="7DE4690E" w14:textId="77777777" w:rsidR="00ED02DA" w:rsidRDefault="00ED02DA">
            <w:pPr>
              <w:jc w:val="right"/>
              <w:rPr>
                <w:noProof/>
                <w:color w:val="000000"/>
                <w:sz w:val="20"/>
                <w:szCs w:val="20"/>
              </w:rPr>
            </w:pPr>
            <w:r>
              <w:rPr>
                <w:noProof/>
                <w:color w:val="000000"/>
                <w:sz w:val="20"/>
                <w:szCs w:val="20"/>
              </w:rPr>
              <w:t>0.3</w:t>
            </w:r>
          </w:p>
        </w:tc>
        <w:tc>
          <w:tcPr>
            <w:tcW w:w="247" w:type="pct"/>
            <w:tcBorders>
              <w:top w:val="nil"/>
              <w:left w:val="nil"/>
              <w:bottom w:val="single" w:sz="4" w:space="0" w:color="auto"/>
              <w:right w:val="single" w:sz="4" w:space="0" w:color="auto"/>
            </w:tcBorders>
            <w:shd w:val="clear" w:color="000000" w:fill="FFFFFF"/>
            <w:noWrap/>
            <w:hideMark/>
          </w:tcPr>
          <w:p w14:paraId="3E9F48A1" w14:textId="77777777" w:rsidR="00ED02DA" w:rsidRDefault="00ED02DA">
            <w:pPr>
              <w:jc w:val="right"/>
              <w:rPr>
                <w:noProof/>
                <w:color w:val="000000"/>
                <w:sz w:val="20"/>
                <w:szCs w:val="20"/>
              </w:rPr>
            </w:pPr>
            <w:r>
              <w:rPr>
                <w:noProof/>
                <w:color w:val="000000"/>
                <w:sz w:val="20"/>
                <w:szCs w:val="20"/>
              </w:rPr>
              <w:t>0.0</w:t>
            </w:r>
          </w:p>
        </w:tc>
      </w:tr>
      <w:tr w:rsidR="00ED02DA" w14:paraId="62E40779" w14:textId="77777777" w:rsidTr="00505E10">
        <w:trPr>
          <w:trHeight w:val="282"/>
        </w:trPr>
        <w:tc>
          <w:tcPr>
            <w:tcW w:w="1016" w:type="pct"/>
            <w:tcBorders>
              <w:top w:val="nil"/>
              <w:left w:val="single" w:sz="4" w:space="0" w:color="auto"/>
              <w:bottom w:val="single" w:sz="4" w:space="0" w:color="auto"/>
              <w:right w:val="single" w:sz="4" w:space="0" w:color="auto"/>
            </w:tcBorders>
            <w:shd w:val="clear" w:color="000000" w:fill="FFFFFF"/>
            <w:noWrap/>
            <w:hideMark/>
          </w:tcPr>
          <w:p w14:paraId="6F070BC1" w14:textId="77777777" w:rsidR="00ED02DA" w:rsidRDefault="00ED02DA">
            <w:pPr>
              <w:rPr>
                <w:noProof/>
                <w:color w:val="000000"/>
                <w:sz w:val="20"/>
                <w:szCs w:val="20"/>
              </w:rPr>
            </w:pPr>
            <w:r>
              <w:rPr>
                <w:noProof/>
                <w:color w:val="000000"/>
                <w:sz w:val="20"/>
                <w:szCs w:val="20"/>
              </w:rPr>
              <w:t>PM14 (Obligation to host)</w:t>
            </w:r>
          </w:p>
        </w:tc>
        <w:tc>
          <w:tcPr>
            <w:tcW w:w="249" w:type="pct"/>
            <w:tcBorders>
              <w:top w:val="nil"/>
              <w:left w:val="nil"/>
              <w:bottom w:val="single" w:sz="4" w:space="0" w:color="auto"/>
              <w:right w:val="single" w:sz="4" w:space="0" w:color="auto"/>
            </w:tcBorders>
            <w:shd w:val="clear" w:color="000000" w:fill="FFFFFF"/>
            <w:noWrap/>
            <w:hideMark/>
          </w:tcPr>
          <w:p w14:paraId="7C5AE8EA"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46A65850"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7696BFEA" w14:textId="77777777" w:rsidR="00ED02DA" w:rsidRDefault="00ED02DA">
            <w:pPr>
              <w:rPr>
                <w:noProof/>
                <w:color w:val="000000"/>
                <w:sz w:val="20"/>
                <w:szCs w:val="20"/>
              </w:rPr>
            </w:pPr>
            <w:r>
              <w:rPr>
                <w:noProof/>
                <w:color w:val="000000"/>
                <w:sz w:val="20"/>
                <w:szCs w:val="20"/>
              </w:rPr>
              <w:t> </w:t>
            </w:r>
          </w:p>
        </w:tc>
        <w:tc>
          <w:tcPr>
            <w:tcW w:w="251" w:type="pct"/>
            <w:tcBorders>
              <w:top w:val="nil"/>
              <w:left w:val="nil"/>
              <w:bottom w:val="single" w:sz="4" w:space="0" w:color="auto"/>
              <w:right w:val="single" w:sz="4" w:space="0" w:color="auto"/>
            </w:tcBorders>
            <w:shd w:val="clear" w:color="000000" w:fill="FFFFFF"/>
            <w:noWrap/>
            <w:hideMark/>
          </w:tcPr>
          <w:p w14:paraId="104D5F75"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0353D144"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418FD54D"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45F6BC46"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25A196FB"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4329F4F3" w14:textId="77777777" w:rsidR="00ED02DA" w:rsidRDefault="00ED02DA">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3BA6D8FB"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0ADEF2B3"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26116484"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0449EB3B"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22D1F0A8"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6B0A15AD" w14:textId="77777777" w:rsidR="00ED02DA" w:rsidRDefault="00ED02DA">
            <w:pPr>
              <w:rPr>
                <w:noProof/>
                <w:color w:val="000000"/>
                <w:sz w:val="20"/>
                <w:szCs w:val="20"/>
              </w:rPr>
            </w:pPr>
            <w:r>
              <w:rPr>
                <w:noProof/>
                <w:color w:val="000000"/>
                <w:sz w:val="20"/>
                <w:szCs w:val="20"/>
              </w:rPr>
              <w:t> </w:t>
            </w:r>
          </w:p>
        </w:tc>
        <w:tc>
          <w:tcPr>
            <w:tcW w:w="247" w:type="pct"/>
            <w:tcBorders>
              <w:top w:val="nil"/>
              <w:left w:val="nil"/>
              <w:bottom w:val="single" w:sz="4" w:space="0" w:color="auto"/>
              <w:right w:val="single" w:sz="4" w:space="0" w:color="auto"/>
            </w:tcBorders>
            <w:shd w:val="clear" w:color="000000" w:fill="FFFFFF"/>
            <w:noWrap/>
            <w:hideMark/>
          </w:tcPr>
          <w:p w14:paraId="7CEE73F9" w14:textId="77777777" w:rsidR="00ED02DA" w:rsidRDefault="00ED02DA">
            <w:pPr>
              <w:rPr>
                <w:noProof/>
                <w:color w:val="000000"/>
                <w:sz w:val="20"/>
                <w:szCs w:val="20"/>
              </w:rPr>
            </w:pPr>
            <w:r>
              <w:rPr>
                <w:noProof/>
                <w:color w:val="000000"/>
                <w:sz w:val="20"/>
                <w:szCs w:val="20"/>
              </w:rPr>
              <w:t> </w:t>
            </w:r>
          </w:p>
        </w:tc>
      </w:tr>
      <w:tr w:rsidR="0045255E" w14:paraId="4756768E" w14:textId="77777777" w:rsidTr="00505E10">
        <w:trPr>
          <w:trHeight w:val="284"/>
        </w:trPr>
        <w:tc>
          <w:tcPr>
            <w:tcW w:w="1016" w:type="pct"/>
            <w:tcBorders>
              <w:top w:val="nil"/>
              <w:left w:val="single" w:sz="4" w:space="0" w:color="auto"/>
              <w:bottom w:val="single" w:sz="4" w:space="0" w:color="auto"/>
              <w:right w:val="single" w:sz="4" w:space="0" w:color="auto"/>
            </w:tcBorders>
            <w:hideMark/>
          </w:tcPr>
          <w:p w14:paraId="60FF9C13" w14:textId="77777777" w:rsidR="00ED02DA" w:rsidRDefault="00ED02DA">
            <w:pPr>
              <w:rPr>
                <w:noProof/>
                <w:color w:val="000000"/>
                <w:sz w:val="20"/>
                <w:szCs w:val="20"/>
              </w:rPr>
            </w:pPr>
            <w:r>
              <w:rPr>
                <w:noProof/>
                <w:color w:val="000000"/>
                <w:sz w:val="20"/>
                <w:szCs w:val="20"/>
              </w:rPr>
              <w:t>PM15 (Obligation to unbundle)</w:t>
            </w:r>
          </w:p>
        </w:tc>
        <w:tc>
          <w:tcPr>
            <w:tcW w:w="249" w:type="pct"/>
            <w:tcBorders>
              <w:top w:val="nil"/>
              <w:left w:val="nil"/>
              <w:bottom w:val="single" w:sz="4" w:space="0" w:color="auto"/>
              <w:right w:val="single" w:sz="4" w:space="0" w:color="auto"/>
            </w:tcBorders>
            <w:shd w:val="clear" w:color="000000" w:fill="FFFFFF"/>
            <w:noWrap/>
            <w:hideMark/>
          </w:tcPr>
          <w:p w14:paraId="49136D0D"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094B77FF"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2F47372C" w14:textId="77777777" w:rsidR="00ED02DA" w:rsidRDefault="00ED02DA">
            <w:pPr>
              <w:rPr>
                <w:noProof/>
                <w:color w:val="000000"/>
                <w:sz w:val="20"/>
                <w:szCs w:val="20"/>
              </w:rPr>
            </w:pPr>
            <w:r>
              <w:rPr>
                <w:noProof/>
                <w:color w:val="000000"/>
                <w:sz w:val="20"/>
                <w:szCs w:val="20"/>
              </w:rPr>
              <w:t> </w:t>
            </w:r>
          </w:p>
        </w:tc>
        <w:tc>
          <w:tcPr>
            <w:tcW w:w="251" w:type="pct"/>
            <w:tcBorders>
              <w:top w:val="nil"/>
              <w:left w:val="nil"/>
              <w:bottom w:val="single" w:sz="4" w:space="0" w:color="auto"/>
              <w:right w:val="single" w:sz="4" w:space="0" w:color="auto"/>
            </w:tcBorders>
            <w:shd w:val="clear" w:color="000000" w:fill="FFFFFF"/>
            <w:noWrap/>
            <w:hideMark/>
          </w:tcPr>
          <w:p w14:paraId="5A1C5C0A"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0D03C94C"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654E1E08"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00E3064E"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2075994F"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5A871D4D"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0C7C01C2"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0C5C2521"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46091890" w14:textId="77777777" w:rsidR="00ED02DA" w:rsidRDefault="00ED02DA">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66002147" w14:textId="77777777" w:rsidR="00ED02DA" w:rsidRDefault="00ED02DA">
            <w:pPr>
              <w:jc w:val="right"/>
              <w:rPr>
                <w:noProof/>
                <w:color w:val="000000"/>
                <w:sz w:val="20"/>
                <w:szCs w:val="20"/>
              </w:rPr>
            </w:pPr>
            <w:r>
              <w:rPr>
                <w:noProof/>
                <w:color w:val="000000"/>
                <w:sz w:val="20"/>
                <w:szCs w:val="20"/>
              </w:rPr>
              <w:t>54.1</w:t>
            </w:r>
          </w:p>
        </w:tc>
        <w:tc>
          <w:tcPr>
            <w:tcW w:w="249" w:type="pct"/>
            <w:tcBorders>
              <w:top w:val="nil"/>
              <w:left w:val="nil"/>
              <w:bottom w:val="single" w:sz="4" w:space="0" w:color="auto"/>
              <w:right w:val="single" w:sz="4" w:space="0" w:color="auto"/>
            </w:tcBorders>
            <w:shd w:val="clear" w:color="000000" w:fill="FFFFFF"/>
            <w:noWrap/>
            <w:hideMark/>
          </w:tcPr>
          <w:p w14:paraId="2E09A03F" w14:textId="77777777" w:rsidR="00ED02DA" w:rsidRDefault="00ED02DA">
            <w:pPr>
              <w:jc w:val="right"/>
              <w:rPr>
                <w:noProof/>
                <w:color w:val="000000"/>
                <w:sz w:val="20"/>
                <w:szCs w:val="20"/>
              </w:rPr>
            </w:pPr>
            <w:r>
              <w:rPr>
                <w:noProof/>
                <w:color w:val="000000"/>
                <w:sz w:val="20"/>
                <w:szCs w:val="20"/>
              </w:rPr>
              <w:t>54.1</w:t>
            </w:r>
          </w:p>
        </w:tc>
        <w:tc>
          <w:tcPr>
            <w:tcW w:w="249" w:type="pct"/>
            <w:tcBorders>
              <w:top w:val="nil"/>
              <w:left w:val="nil"/>
              <w:bottom w:val="single" w:sz="4" w:space="0" w:color="auto"/>
              <w:right w:val="single" w:sz="4" w:space="0" w:color="auto"/>
            </w:tcBorders>
            <w:shd w:val="clear" w:color="000000" w:fill="FFFFFF"/>
            <w:noWrap/>
            <w:hideMark/>
          </w:tcPr>
          <w:p w14:paraId="4255699A" w14:textId="77777777" w:rsidR="00ED02DA" w:rsidRDefault="00ED02DA">
            <w:pPr>
              <w:jc w:val="right"/>
              <w:rPr>
                <w:noProof/>
                <w:color w:val="000000"/>
                <w:sz w:val="20"/>
                <w:szCs w:val="20"/>
              </w:rPr>
            </w:pPr>
            <w:r>
              <w:rPr>
                <w:noProof/>
                <w:color w:val="000000"/>
                <w:sz w:val="20"/>
                <w:szCs w:val="20"/>
              </w:rPr>
              <w:t>0.0</w:t>
            </w:r>
          </w:p>
        </w:tc>
        <w:tc>
          <w:tcPr>
            <w:tcW w:w="247" w:type="pct"/>
            <w:tcBorders>
              <w:top w:val="nil"/>
              <w:left w:val="nil"/>
              <w:bottom w:val="single" w:sz="4" w:space="0" w:color="auto"/>
              <w:right w:val="single" w:sz="4" w:space="0" w:color="auto"/>
            </w:tcBorders>
            <w:shd w:val="clear" w:color="000000" w:fill="FFFFFF"/>
            <w:noWrap/>
            <w:hideMark/>
          </w:tcPr>
          <w:p w14:paraId="61C1152E" w14:textId="77777777" w:rsidR="00ED02DA" w:rsidRDefault="00ED02DA">
            <w:pPr>
              <w:jc w:val="right"/>
              <w:rPr>
                <w:noProof/>
                <w:color w:val="000000"/>
                <w:sz w:val="20"/>
                <w:szCs w:val="20"/>
              </w:rPr>
            </w:pPr>
            <w:r>
              <w:rPr>
                <w:noProof/>
                <w:color w:val="000000"/>
                <w:sz w:val="20"/>
                <w:szCs w:val="20"/>
              </w:rPr>
              <w:t>0.0</w:t>
            </w:r>
          </w:p>
        </w:tc>
      </w:tr>
      <w:tr w:rsidR="00ED02DA" w14:paraId="60F51959" w14:textId="77777777" w:rsidTr="00505E10">
        <w:trPr>
          <w:trHeight w:val="282"/>
        </w:trPr>
        <w:tc>
          <w:tcPr>
            <w:tcW w:w="1016" w:type="pct"/>
            <w:tcBorders>
              <w:top w:val="nil"/>
              <w:left w:val="single" w:sz="4" w:space="0" w:color="auto"/>
              <w:bottom w:val="single" w:sz="4" w:space="0" w:color="auto"/>
              <w:right w:val="single" w:sz="4" w:space="0" w:color="auto"/>
            </w:tcBorders>
            <w:shd w:val="clear" w:color="000000" w:fill="BDE3FF"/>
            <w:hideMark/>
          </w:tcPr>
          <w:p w14:paraId="5B0EEE31" w14:textId="77777777" w:rsidR="00ED02DA" w:rsidRDefault="00ED02DA">
            <w:pPr>
              <w:rPr>
                <w:b/>
                <w:bCs/>
                <w:noProof/>
                <w:sz w:val="20"/>
                <w:szCs w:val="20"/>
              </w:rPr>
            </w:pPr>
            <w:r>
              <w:rPr>
                <w:b/>
                <w:bCs/>
                <w:noProof/>
                <w:sz w:val="20"/>
                <w:szCs w:val="20"/>
              </w:rPr>
              <w:t>Administrative costs</w:t>
            </w:r>
          </w:p>
        </w:tc>
        <w:tc>
          <w:tcPr>
            <w:tcW w:w="249" w:type="pct"/>
            <w:tcBorders>
              <w:top w:val="nil"/>
              <w:left w:val="nil"/>
              <w:bottom w:val="single" w:sz="4" w:space="0" w:color="auto"/>
              <w:right w:val="single" w:sz="4" w:space="0" w:color="auto"/>
            </w:tcBorders>
            <w:shd w:val="clear" w:color="000000" w:fill="BDE3FF"/>
            <w:hideMark/>
          </w:tcPr>
          <w:p w14:paraId="66D4A803" w14:textId="77777777" w:rsidR="00ED02DA" w:rsidRDefault="00ED02DA">
            <w:pPr>
              <w:jc w:val="right"/>
              <w:rPr>
                <w:b/>
                <w:bCs/>
                <w:noProof/>
                <w:sz w:val="20"/>
                <w:szCs w:val="20"/>
              </w:rPr>
            </w:pPr>
            <w:r>
              <w:rPr>
                <w:b/>
                <w:bCs/>
                <w:noProof/>
                <w:sz w:val="20"/>
                <w:szCs w:val="20"/>
              </w:rPr>
              <w:t>0.5</w:t>
            </w:r>
          </w:p>
        </w:tc>
        <w:tc>
          <w:tcPr>
            <w:tcW w:w="249" w:type="pct"/>
            <w:tcBorders>
              <w:top w:val="nil"/>
              <w:left w:val="nil"/>
              <w:bottom w:val="single" w:sz="4" w:space="0" w:color="auto"/>
              <w:right w:val="single" w:sz="4" w:space="0" w:color="auto"/>
            </w:tcBorders>
            <w:shd w:val="clear" w:color="000000" w:fill="BDE3FF"/>
            <w:hideMark/>
          </w:tcPr>
          <w:p w14:paraId="073E6F9B" w14:textId="77777777" w:rsidR="00ED02DA" w:rsidRDefault="00ED02DA">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014C5219" w14:textId="77777777" w:rsidR="00ED02DA" w:rsidRDefault="00ED02DA">
            <w:pPr>
              <w:jc w:val="right"/>
              <w:rPr>
                <w:b/>
                <w:bCs/>
                <w:noProof/>
                <w:sz w:val="20"/>
                <w:szCs w:val="20"/>
              </w:rPr>
            </w:pPr>
            <w:r>
              <w:rPr>
                <w:b/>
                <w:bCs/>
                <w:noProof/>
                <w:sz w:val="20"/>
                <w:szCs w:val="20"/>
              </w:rPr>
              <w:t>0.0</w:t>
            </w:r>
          </w:p>
        </w:tc>
        <w:tc>
          <w:tcPr>
            <w:tcW w:w="251" w:type="pct"/>
            <w:tcBorders>
              <w:top w:val="nil"/>
              <w:left w:val="nil"/>
              <w:bottom w:val="single" w:sz="4" w:space="0" w:color="auto"/>
              <w:right w:val="single" w:sz="4" w:space="0" w:color="auto"/>
            </w:tcBorders>
            <w:shd w:val="clear" w:color="000000" w:fill="BDE3FF"/>
            <w:hideMark/>
          </w:tcPr>
          <w:p w14:paraId="67F632D1" w14:textId="77777777" w:rsidR="00ED02DA" w:rsidRDefault="00ED02DA">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6B085C6F" w14:textId="77777777" w:rsidR="00ED02DA" w:rsidRDefault="00ED02DA">
            <w:pPr>
              <w:jc w:val="right"/>
              <w:rPr>
                <w:b/>
                <w:bCs/>
                <w:noProof/>
                <w:sz w:val="20"/>
                <w:szCs w:val="20"/>
              </w:rPr>
            </w:pPr>
            <w:r>
              <w:rPr>
                <w:b/>
                <w:bCs/>
                <w:noProof/>
                <w:sz w:val="20"/>
                <w:szCs w:val="20"/>
              </w:rPr>
              <w:t>0.5</w:t>
            </w:r>
          </w:p>
        </w:tc>
        <w:tc>
          <w:tcPr>
            <w:tcW w:w="249" w:type="pct"/>
            <w:tcBorders>
              <w:top w:val="nil"/>
              <w:left w:val="nil"/>
              <w:bottom w:val="single" w:sz="4" w:space="0" w:color="auto"/>
              <w:right w:val="single" w:sz="4" w:space="0" w:color="auto"/>
            </w:tcBorders>
            <w:shd w:val="clear" w:color="000000" w:fill="BDE3FF"/>
            <w:hideMark/>
          </w:tcPr>
          <w:p w14:paraId="3ACEF1D4" w14:textId="77777777" w:rsidR="00ED02DA" w:rsidRDefault="00ED02DA">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3020343F" w14:textId="77777777" w:rsidR="00ED02DA" w:rsidRDefault="00ED02DA">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5E8133BF" w14:textId="77777777" w:rsidR="00ED02DA" w:rsidRDefault="00ED02DA">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1DAAFE94" w14:textId="77777777" w:rsidR="00ED02DA" w:rsidRDefault="00ED02DA">
            <w:pPr>
              <w:jc w:val="right"/>
              <w:rPr>
                <w:b/>
                <w:bCs/>
                <w:noProof/>
                <w:sz w:val="20"/>
                <w:szCs w:val="20"/>
              </w:rPr>
            </w:pPr>
            <w:r>
              <w:rPr>
                <w:b/>
                <w:bCs/>
                <w:noProof/>
                <w:sz w:val="20"/>
                <w:szCs w:val="20"/>
              </w:rPr>
              <w:t>0.5</w:t>
            </w:r>
          </w:p>
        </w:tc>
        <w:tc>
          <w:tcPr>
            <w:tcW w:w="249" w:type="pct"/>
            <w:tcBorders>
              <w:top w:val="nil"/>
              <w:left w:val="nil"/>
              <w:bottom w:val="single" w:sz="4" w:space="0" w:color="auto"/>
              <w:right w:val="single" w:sz="4" w:space="0" w:color="auto"/>
            </w:tcBorders>
            <w:shd w:val="clear" w:color="000000" w:fill="BDE3FF"/>
            <w:hideMark/>
          </w:tcPr>
          <w:p w14:paraId="43F54596" w14:textId="77777777" w:rsidR="00ED02DA" w:rsidRDefault="00ED02DA">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337B72D2" w14:textId="77777777" w:rsidR="00ED02DA" w:rsidRDefault="00ED02DA">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21F0A846" w14:textId="77777777" w:rsidR="00ED02DA" w:rsidRDefault="00ED02DA">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287451EF" w14:textId="77777777" w:rsidR="00ED02DA" w:rsidRDefault="00ED02DA">
            <w:pPr>
              <w:jc w:val="right"/>
              <w:rPr>
                <w:b/>
                <w:bCs/>
                <w:noProof/>
                <w:sz w:val="20"/>
                <w:szCs w:val="20"/>
              </w:rPr>
            </w:pPr>
            <w:r>
              <w:rPr>
                <w:b/>
                <w:bCs/>
                <w:noProof/>
                <w:sz w:val="20"/>
                <w:szCs w:val="20"/>
              </w:rPr>
              <w:t>0.5</w:t>
            </w:r>
          </w:p>
        </w:tc>
        <w:tc>
          <w:tcPr>
            <w:tcW w:w="249" w:type="pct"/>
            <w:tcBorders>
              <w:top w:val="nil"/>
              <w:left w:val="nil"/>
              <w:bottom w:val="single" w:sz="4" w:space="0" w:color="auto"/>
              <w:right w:val="single" w:sz="4" w:space="0" w:color="auto"/>
            </w:tcBorders>
            <w:shd w:val="clear" w:color="000000" w:fill="BDE3FF"/>
            <w:hideMark/>
          </w:tcPr>
          <w:p w14:paraId="117802C3" w14:textId="77777777" w:rsidR="00ED02DA" w:rsidRDefault="00ED02DA">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440EAA83" w14:textId="77777777" w:rsidR="00ED02DA" w:rsidRDefault="00ED02DA">
            <w:pPr>
              <w:jc w:val="right"/>
              <w:rPr>
                <w:b/>
                <w:bCs/>
                <w:noProof/>
                <w:sz w:val="20"/>
                <w:szCs w:val="20"/>
              </w:rPr>
            </w:pPr>
            <w:r>
              <w:rPr>
                <w:b/>
                <w:bCs/>
                <w:noProof/>
                <w:sz w:val="20"/>
                <w:szCs w:val="20"/>
              </w:rPr>
              <w:t>0.0</w:t>
            </w:r>
          </w:p>
        </w:tc>
        <w:tc>
          <w:tcPr>
            <w:tcW w:w="247" w:type="pct"/>
            <w:tcBorders>
              <w:top w:val="nil"/>
              <w:left w:val="nil"/>
              <w:bottom w:val="single" w:sz="4" w:space="0" w:color="auto"/>
              <w:right w:val="single" w:sz="4" w:space="0" w:color="auto"/>
            </w:tcBorders>
            <w:shd w:val="clear" w:color="000000" w:fill="BDE3FF"/>
            <w:hideMark/>
          </w:tcPr>
          <w:p w14:paraId="01B03BDC" w14:textId="77777777" w:rsidR="00ED02DA" w:rsidRDefault="00ED02DA">
            <w:pPr>
              <w:jc w:val="right"/>
              <w:rPr>
                <w:b/>
                <w:bCs/>
                <w:noProof/>
                <w:sz w:val="20"/>
                <w:szCs w:val="20"/>
              </w:rPr>
            </w:pPr>
            <w:r>
              <w:rPr>
                <w:b/>
                <w:bCs/>
                <w:noProof/>
                <w:sz w:val="20"/>
                <w:szCs w:val="20"/>
              </w:rPr>
              <w:t>0.0</w:t>
            </w:r>
          </w:p>
        </w:tc>
      </w:tr>
      <w:tr w:rsidR="0045255E" w14:paraId="77AC1BB3" w14:textId="77777777" w:rsidTr="00505E10">
        <w:trPr>
          <w:trHeight w:val="510"/>
        </w:trPr>
        <w:tc>
          <w:tcPr>
            <w:tcW w:w="1016" w:type="pct"/>
            <w:tcBorders>
              <w:top w:val="nil"/>
              <w:left w:val="single" w:sz="4" w:space="0" w:color="auto"/>
              <w:bottom w:val="single" w:sz="4" w:space="0" w:color="auto"/>
              <w:right w:val="single" w:sz="4" w:space="0" w:color="auto"/>
            </w:tcBorders>
            <w:hideMark/>
          </w:tcPr>
          <w:p w14:paraId="35DA4E8A" w14:textId="77777777" w:rsidR="00ED02DA" w:rsidRDefault="00ED02DA">
            <w:pPr>
              <w:rPr>
                <w:noProof/>
                <w:color w:val="000000"/>
                <w:sz w:val="20"/>
                <w:szCs w:val="20"/>
              </w:rPr>
            </w:pPr>
            <w:r>
              <w:rPr>
                <w:noProof/>
                <w:color w:val="000000"/>
                <w:sz w:val="20"/>
                <w:szCs w:val="20"/>
              </w:rPr>
              <w:t>PM10 (Designation of indispensable MDMS and RUs)</w:t>
            </w:r>
          </w:p>
        </w:tc>
        <w:tc>
          <w:tcPr>
            <w:tcW w:w="249" w:type="pct"/>
            <w:tcBorders>
              <w:top w:val="nil"/>
              <w:left w:val="nil"/>
              <w:bottom w:val="single" w:sz="4" w:space="0" w:color="auto"/>
              <w:right w:val="single" w:sz="4" w:space="0" w:color="auto"/>
            </w:tcBorders>
            <w:shd w:val="clear" w:color="000000" w:fill="FFFFFF"/>
            <w:noWrap/>
            <w:hideMark/>
          </w:tcPr>
          <w:p w14:paraId="1303E17F" w14:textId="77777777" w:rsidR="00ED02DA" w:rsidRDefault="00ED02DA">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16EE850E"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57731B3D" w14:textId="77777777" w:rsidR="00ED02DA" w:rsidRDefault="00ED02DA">
            <w:pPr>
              <w:jc w:val="right"/>
              <w:rPr>
                <w:noProof/>
                <w:color w:val="000000"/>
                <w:sz w:val="20"/>
                <w:szCs w:val="20"/>
              </w:rPr>
            </w:pPr>
            <w:r>
              <w:rPr>
                <w:noProof/>
                <w:color w:val="000000"/>
                <w:sz w:val="20"/>
                <w:szCs w:val="20"/>
              </w:rPr>
              <w:t>0.0</w:t>
            </w:r>
          </w:p>
        </w:tc>
        <w:tc>
          <w:tcPr>
            <w:tcW w:w="251" w:type="pct"/>
            <w:tcBorders>
              <w:top w:val="nil"/>
              <w:left w:val="nil"/>
              <w:bottom w:val="single" w:sz="4" w:space="0" w:color="auto"/>
              <w:right w:val="single" w:sz="4" w:space="0" w:color="auto"/>
            </w:tcBorders>
            <w:shd w:val="clear" w:color="000000" w:fill="FFFFFF"/>
            <w:noWrap/>
            <w:hideMark/>
          </w:tcPr>
          <w:p w14:paraId="75E8D2FE"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7FF34052" w14:textId="77777777" w:rsidR="00ED02DA" w:rsidRDefault="00ED02DA">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31F79947"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02C00CA4"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1CB1ACDF"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6741B0D1" w14:textId="77777777" w:rsidR="00ED02DA" w:rsidRDefault="00ED02DA">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5E292F8B"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6D11DDBB"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617440E6"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43EA9C09" w14:textId="77777777" w:rsidR="00ED02DA" w:rsidRDefault="00ED02DA">
            <w:pPr>
              <w:jc w:val="right"/>
              <w:rPr>
                <w:noProof/>
                <w:color w:val="000000"/>
                <w:sz w:val="20"/>
                <w:szCs w:val="20"/>
              </w:rPr>
            </w:pPr>
            <w:r>
              <w:rPr>
                <w:noProof/>
                <w:color w:val="000000"/>
                <w:sz w:val="20"/>
                <w:szCs w:val="20"/>
              </w:rPr>
              <w:t>0.5</w:t>
            </w:r>
          </w:p>
        </w:tc>
        <w:tc>
          <w:tcPr>
            <w:tcW w:w="249" w:type="pct"/>
            <w:tcBorders>
              <w:top w:val="nil"/>
              <w:left w:val="nil"/>
              <w:bottom w:val="single" w:sz="4" w:space="0" w:color="auto"/>
              <w:right w:val="single" w:sz="4" w:space="0" w:color="auto"/>
            </w:tcBorders>
            <w:shd w:val="clear" w:color="000000" w:fill="FFFFFF"/>
            <w:noWrap/>
            <w:hideMark/>
          </w:tcPr>
          <w:p w14:paraId="1A70CF00" w14:textId="77777777" w:rsidR="00ED02DA" w:rsidRDefault="00ED02DA">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74C202A5" w14:textId="77777777" w:rsidR="00ED02DA" w:rsidRDefault="00ED02DA">
            <w:pPr>
              <w:jc w:val="right"/>
              <w:rPr>
                <w:noProof/>
                <w:color w:val="000000"/>
                <w:sz w:val="20"/>
                <w:szCs w:val="20"/>
              </w:rPr>
            </w:pPr>
            <w:r>
              <w:rPr>
                <w:noProof/>
                <w:color w:val="000000"/>
                <w:sz w:val="20"/>
                <w:szCs w:val="20"/>
              </w:rPr>
              <w:t>0.0</w:t>
            </w:r>
          </w:p>
        </w:tc>
        <w:tc>
          <w:tcPr>
            <w:tcW w:w="247" w:type="pct"/>
            <w:tcBorders>
              <w:top w:val="nil"/>
              <w:left w:val="nil"/>
              <w:bottom w:val="single" w:sz="4" w:space="0" w:color="auto"/>
              <w:right w:val="single" w:sz="4" w:space="0" w:color="auto"/>
            </w:tcBorders>
            <w:shd w:val="clear" w:color="000000" w:fill="FFFFFF"/>
            <w:noWrap/>
            <w:hideMark/>
          </w:tcPr>
          <w:p w14:paraId="51EC775D" w14:textId="77777777" w:rsidR="00ED02DA" w:rsidRDefault="00ED02DA">
            <w:pPr>
              <w:jc w:val="right"/>
              <w:rPr>
                <w:noProof/>
                <w:color w:val="000000"/>
                <w:sz w:val="20"/>
                <w:szCs w:val="20"/>
              </w:rPr>
            </w:pPr>
            <w:r>
              <w:rPr>
                <w:noProof/>
                <w:color w:val="000000"/>
                <w:sz w:val="20"/>
                <w:szCs w:val="20"/>
              </w:rPr>
              <w:t>0.0</w:t>
            </w:r>
          </w:p>
        </w:tc>
      </w:tr>
      <w:tr w:rsidR="00593F3D" w14:paraId="218747FE" w14:textId="77777777" w:rsidTr="00505E10">
        <w:trPr>
          <w:trHeight w:val="255"/>
        </w:trPr>
        <w:tc>
          <w:tcPr>
            <w:tcW w:w="1016" w:type="pct"/>
            <w:tcBorders>
              <w:top w:val="nil"/>
              <w:left w:val="single" w:sz="4" w:space="0" w:color="auto"/>
              <w:bottom w:val="single" w:sz="4" w:space="0" w:color="auto"/>
              <w:right w:val="single" w:sz="4" w:space="0" w:color="auto"/>
            </w:tcBorders>
            <w:shd w:val="clear" w:color="000000" w:fill="F2F2F2"/>
            <w:noWrap/>
            <w:hideMark/>
          </w:tcPr>
          <w:p w14:paraId="2A7D71EB" w14:textId="54A8EAD5" w:rsidR="00593F3D" w:rsidRDefault="00593F3D" w:rsidP="00593F3D">
            <w:pPr>
              <w:rPr>
                <w:b/>
                <w:bCs/>
                <w:noProof/>
                <w:color w:val="000000"/>
                <w:sz w:val="20"/>
                <w:szCs w:val="20"/>
              </w:rPr>
            </w:pPr>
            <w:r>
              <w:rPr>
                <w:b/>
                <w:bCs/>
                <w:noProof/>
                <w:color w:val="000000"/>
                <w:sz w:val="20"/>
                <w:szCs w:val="20"/>
              </w:rPr>
              <w:t>Total one-off costs</w:t>
            </w:r>
          </w:p>
        </w:tc>
        <w:tc>
          <w:tcPr>
            <w:tcW w:w="249" w:type="pct"/>
            <w:tcBorders>
              <w:top w:val="nil"/>
              <w:left w:val="nil"/>
              <w:bottom w:val="single" w:sz="4" w:space="0" w:color="auto"/>
              <w:right w:val="single" w:sz="4" w:space="0" w:color="auto"/>
            </w:tcBorders>
            <w:shd w:val="clear" w:color="000000" w:fill="F2F2F2"/>
            <w:noWrap/>
            <w:hideMark/>
          </w:tcPr>
          <w:p w14:paraId="298807F5" w14:textId="38A6E012" w:rsidR="00593F3D" w:rsidRDefault="00593F3D" w:rsidP="00593F3D">
            <w:pPr>
              <w:jc w:val="right"/>
              <w:rPr>
                <w:b/>
                <w:bCs/>
                <w:noProof/>
                <w:color w:val="000000"/>
                <w:sz w:val="20"/>
                <w:szCs w:val="20"/>
              </w:rPr>
            </w:pPr>
            <w:r>
              <w:rPr>
                <w:b/>
                <w:bCs/>
                <w:noProof/>
                <w:color w:val="000000"/>
                <w:sz w:val="20"/>
                <w:szCs w:val="20"/>
              </w:rPr>
              <w:t>31.4</w:t>
            </w:r>
          </w:p>
        </w:tc>
        <w:tc>
          <w:tcPr>
            <w:tcW w:w="249" w:type="pct"/>
            <w:tcBorders>
              <w:top w:val="nil"/>
              <w:left w:val="nil"/>
              <w:bottom w:val="single" w:sz="4" w:space="0" w:color="auto"/>
              <w:right w:val="single" w:sz="4" w:space="0" w:color="auto"/>
            </w:tcBorders>
            <w:shd w:val="clear" w:color="000000" w:fill="F2F2F2"/>
            <w:noWrap/>
            <w:hideMark/>
          </w:tcPr>
          <w:p w14:paraId="62A615B2" w14:textId="0A2636FD" w:rsidR="00593F3D" w:rsidRDefault="00593F3D" w:rsidP="00593F3D">
            <w:pPr>
              <w:jc w:val="right"/>
              <w:rPr>
                <w:b/>
                <w:bCs/>
                <w:noProof/>
                <w:color w:val="000000"/>
                <w:sz w:val="20"/>
                <w:szCs w:val="20"/>
              </w:rPr>
            </w:pPr>
            <w:r>
              <w:rPr>
                <w:b/>
                <w:bCs/>
                <w:noProof/>
                <w:color w:val="000000"/>
                <w:sz w:val="20"/>
                <w:szCs w:val="20"/>
              </w:rPr>
              <w:t>0.7</w:t>
            </w:r>
          </w:p>
        </w:tc>
        <w:tc>
          <w:tcPr>
            <w:tcW w:w="249" w:type="pct"/>
            <w:tcBorders>
              <w:top w:val="nil"/>
              <w:left w:val="nil"/>
              <w:bottom w:val="single" w:sz="4" w:space="0" w:color="auto"/>
              <w:right w:val="single" w:sz="4" w:space="0" w:color="auto"/>
            </w:tcBorders>
            <w:shd w:val="clear" w:color="000000" w:fill="F2F2F2"/>
            <w:noWrap/>
            <w:hideMark/>
          </w:tcPr>
          <w:p w14:paraId="189B49BF" w14:textId="758EAEF2" w:rsidR="00593F3D" w:rsidRDefault="00593F3D" w:rsidP="00593F3D">
            <w:pPr>
              <w:jc w:val="right"/>
              <w:rPr>
                <w:b/>
                <w:bCs/>
                <w:noProof/>
                <w:color w:val="000000"/>
                <w:sz w:val="20"/>
                <w:szCs w:val="20"/>
              </w:rPr>
            </w:pPr>
            <w:r>
              <w:rPr>
                <w:b/>
                <w:bCs/>
                <w:noProof/>
                <w:color w:val="000000"/>
                <w:sz w:val="20"/>
                <w:szCs w:val="20"/>
              </w:rPr>
              <w:t>0.4</w:t>
            </w:r>
          </w:p>
        </w:tc>
        <w:tc>
          <w:tcPr>
            <w:tcW w:w="251" w:type="pct"/>
            <w:tcBorders>
              <w:top w:val="nil"/>
              <w:left w:val="nil"/>
              <w:bottom w:val="single" w:sz="4" w:space="0" w:color="auto"/>
              <w:right w:val="single" w:sz="4" w:space="0" w:color="auto"/>
            </w:tcBorders>
            <w:shd w:val="clear" w:color="000000" w:fill="F2F2F2"/>
            <w:noWrap/>
            <w:hideMark/>
          </w:tcPr>
          <w:p w14:paraId="1868F670" w14:textId="77777777" w:rsidR="00593F3D" w:rsidRDefault="00593F3D" w:rsidP="00593F3D">
            <w:pPr>
              <w:jc w:val="right"/>
              <w:rPr>
                <w:b/>
                <w:bCs/>
                <w:noProof/>
                <w:color w:val="000000"/>
                <w:sz w:val="20"/>
                <w:szCs w:val="20"/>
              </w:rPr>
            </w:pPr>
            <w:r>
              <w:rPr>
                <w:b/>
                <w:bCs/>
                <w:noProof/>
                <w:color w:val="000000"/>
                <w:sz w:val="20"/>
                <w:szCs w:val="20"/>
              </w:rPr>
              <w:t>0.0</w:t>
            </w:r>
          </w:p>
        </w:tc>
        <w:tc>
          <w:tcPr>
            <w:tcW w:w="249" w:type="pct"/>
            <w:tcBorders>
              <w:top w:val="nil"/>
              <w:left w:val="nil"/>
              <w:bottom w:val="single" w:sz="4" w:space="0" w:color="auto"/>
              <w:right w:val="single" w:sz="4" w:space="0" w:color="auto"/>
            </w:tcBorders>
            <w:shd w:val="clear" w:color="000000" w:fill="F2F2F2"/>
            <w:noWrap/>
            <w:hideMark/>
          </w:tcPr>
          <w:p w14:paraId="0DC2D632" w14:textId="347A6B6A" w:rsidR="00593F3D" w:rsidRDefault="00593F3D" w:rsidP="00593F3D">
            <w:pPr>
              <w:jc w:val="right"/>
              <w:rPr>
                <w:b/>
                <w:bCs/>
                <w:noProof/>
                <w:color w:val="000000"/>
                <w:sz w:val="20"/>
                <w:szCs w:val="20"/>
              </w:rPr>
            </w:pPr>
            <w:r>
              <w:rPr>
                <w:b/>
                <w:bCs/>
                <w:noProof/>
                <w:color w:val="000000"/>
                <w:sz w:val="20"/>
                <w:szCs w:val="20"/>
              </w:rPr>
              <w:t>31.4</w:t>
            </w:r>
          </w:p>
        </w:tc>
        <w:tc>
          <w:tcPr>
            <w:tcW w:w="249" w:type="pct"/>
            <w:tcBorders>
              <w:top w:val="nil"/>
              <w:left w:val="nil"/>
              <w:bottom w:val="single" w:sz="4" w:space="0" w:color="auto"/>
              <w:right w:val="single" w:sz="4" w:space="0" w:color="auto"/>
            </w:tcBorders>
            <w:shd w:val="clear" w:color="000000" w:fill="F2F2F2"/>
            <w:noWrap/>
            <w:hideMark/>
          </w:tcPr>
          <w:p w14:paraId="069FF5CA" w14:textId="20FD091D" w:rsidR="00593F3D" w:rsidRDefault="00593F3D" w:rsidP="00593F3D">
            <w:pPr>
              <w:jc w:val="right"/>
              <w:rPr>
                <w:b/>
                <w:bCs/>
                <w:noProof/>
                <w:color w:val="000000"/>
                <w:sz w:val="20"/>
                <w:szCs w:val="20"/>
              </w:rPr>
            </w:pPr>
            <w:r>
              <w:rPr>
                <w:b/>
                <w:bCs/>
                <w:noProof/>
                <w:color w:val="000000"/>
                <w:sz w:val="20"/>
                <w:szCs w:val="20"/>
              </w:rPr>
              <w:t>1.5</w:t>
            </w:r>
          </w:p>
        </w:tc>
        <w:tc>
          <w:tcPr>
            <w:tcW w:w="249" w:type="pct"/>
            <w:tcBorders>
              <w:top w:val="nil"/>
              <w:left w:val="nil"/>
              <w:bottom w:val="single" w:sz="4" w:space="0" w:color="auto"/>
              <w:right w:val="single" w:sz="4" w:space="0" w:color="auto"/>
            </w:tcBorders>
            <w:shd w:val="clear" w:color="000000" w:fill="F2F2F2"/>
            <w:noWrap/>
            <w:hideMark/>
          </w:tcPr>
          <w:p w14:paraId="41A4EDA5" w14:textId="657FEFF3" w:rsidR="00593F3D" w:rsidRDefault="00593F3D" w:rsidP="00593F3D">
            <w:pPr>
              <w:jc w:val="right"/>
              <w:rPr>
                <w:b/>
                <w:bCs/>
                <w:noProof/>
                <w:color w:val="000000"/>
                <w:sz w:val="20"/>
                <w:szCs w:val="20"/>
              </w:rPr>
            </w:pPr>
            <w:r>
              <w:rPr>
                <w:b/>
                <w:bCs/>
                <w:noProof/>
                <w:color w:val="000000"/>
                <w:sz w:val="20"/>
                <w:szCs w:val="20"/>
              </w:rPr>
              <w:t>2.4</w:t>
            </w:r>
          </w:p>
        </w:tc>
        <w:tc>
          <w:tcPr>
            <w:tcW w:w="249" w:type="pct"/>
            <w:tcBorders>
              <w:top w:val="nil"/>
              <w:left w:val="nil"/>
              <w:bottom w:val="single" w:sz="4" w:space="0" w:color="auto"/>
              <w:right w:val="single" w:sz="4" w:space="0" w:color="auto"/>
            </w:tcBorders>
            <w:shd w:val="clear" w:color="000000" w:fill="F2F2F2"/>
            <w:noWrap/>
            <w:hideMark/>
          </w:tcPr>
          <w:p w14:paraId="6F3DB3AC" w14:textId="77777777" w:rsidR="00593F3D" w:rsidRDefault="00593F3D" w:rsidP="00593F3D">
            <w:pPr>
              <w:jc w:val="right"/>
              <w:rPr>
                <w:b/>
                <w:bCs/>
                <w:noProof/>
                <w:color w:val="000000"/>
                <w:sz w:val="20"/>
                <w:szCs w:val="20"/>
              </w:rPr>
            </w:pPr>
            <w:r>
              <w:rPr>
                <w:b/>
                <w:bCs/>
                <w:noProof/>
                <w:color w:val="000000"/>
                <w:sz w:val="20"/>
                <w:szCs w:val="20"/>
              </w:rPr>
              <w:t>0.0</w:t>
            </w:r>
          </w:p>
        </w:tc>
        <w:tc>
          <w:tcPr>
            <w:tcW w:w="249" w:type="pct"/>
            <w:tcBorders>
              <w:top w:val="nil"/>
              <w:left w:val="nil"/>
              <w:bottom w:val="single" w:sz="4" w:space="0" w:color="auto"/>
              <w:right w:val="single" w:sz="4" w:space="0" w:color="auto"/>
            </w:tcBorders>
            <w:shd w:val="clear" w:color="000000" w:fill="F2F2F2"/>
            <w:noWrap/>
            <w:hideMark/>
          </w:tcPr>
          <w:p w14:paraId="2D22BA6E" w14:textId="50A39136" w:rsidR="00593F3D" w:rsidRDefault="00593F3D" w:rsidP="00593F3D">
            <w:pPr>
              <w:jc w:val="right"/>
              <w:rPr>
                <w:b/>
                <w:bCs/>
                <w:noProof/>
                <w:color w:val="000000"/>
                <w:sz w:val="20"/>
                <w:szCs w:val="20"/>
              </w:rPr>
            </w:pPr>
            <w:r>
              <w:rPr>
                <w:b/>
                <w:bCs/>
                <w:noProof/>
                <w:color w:val="000000"/>
                <w:sz w:val="20"/>
                <w:szCs w:val="20"/>
              </w:rPr>
              <w:t>31.8</w:t>
            </w:r>
          </w:p>
        </w:tc>
        <w:tc>
          <w:tcPr>
            <w:tcW w:w="249" w:type="pct"/>
            <w:tcBorders>
              <w:top w:val="nil"/>
              <w:left w:val="nil"/>
              <w:bottom w:val="single" w:sz="4" w:space="0" w:color="auto"/>
              <w:right w:val="single" w:sz="4" w:space="0" w:color="auto"/>
            </w:tcBorders>
            <w:shd w:val="clear" w:color="000000" w:fill="F2F2F2"/>
            <w:noWrap/>
            <w:hideMark/>
          </w:tcPr>
          <w:p w14:paraId="2856EBFF" w14:textId="52B9D4FB" w:rsidR="00593F3D" w:rsidRDefault="00593F3D" w:rsidP="00593F3D">
            <w:pPr>
              <w:jc w:val="right"/>
              <w:rPr>
                <w:b/>
                <w:bCs/>
                <w:noProof/>
                <w:color w:val="000000"/>
                <w:sz w:val="20"/>
                <w:szCs w:val="20"/>
              </w:rPr>
            </w:pPr>
            <w:r>
              <w:rPr>
                <w:b/>
                <w:bCs/>
                <w:noProof/>
                <w:color w:val="000000"/>
                <w:sz w:val="20"/>
                <w:szCs w:val="20"/>
              </w:rPr>
              <w:t>1.5</w:t>
            </w:r>
          </w:p>
        </w:tc>
        <w:tc>
          <w:tcPr>
            <w:tcW w:w="249" w:type="pct"/>
            <w:tcBorders>
              <w:top w:val="nil"/>
              <w:left w:val="nil"/>
              <w:bottom w:val="single" w:sz="4" w:space="0" w:color="auto"/>
              <w:right w:val="single" w:sz="4" w:space="0" w:color="auto"/>
            </w:tcBorders>
            <w:shd w:val="clear" w:color="000000" w:fill="F2F2F2"/>
            <w:noWrap/>
            <w:hideMark/>
          </w:tcPr>
          <w:p w14:paraId="29A86DE7" w14:textId="4C195F9C" w:rsidR="00593F3D" w:rsidRDefault="00593F3D" w:rsidP="00593F3D">
            <w:pPr>
              <w:jc w:val="right"/>
              <w:rPr>
                <w:b/>
                <w:bCs/>
                <w:noProof/>
                <w:color w:val="000000"/>
                <w:sz w:val="20"/>
                <w:szCs w:val="20"/>
              </w:rPr>
            </w:pPr>
            <w:r>
              <w:rPr>
                <w:b/>
                <w:bCs/>
                <w:noProof/>
                <w:color w:val="000000"/>
                <w:sz w:val="20"/>
                <w:szCs w:val="20"/>
              </w:rPr>
              <w:t>2.0</w:t>
            </w:r>
          </w:p>
        </w:tc>
        <w:tc>
          <w:tcPr>
            <w:tcW w:w="249" w:type="pct"/>
            <w:tcBorders>
              <w:top w:val="nil"/>
              <w:left w:val="nil"/>
              <w:bottom w:val="single" w:sz="4" w:space="0" w:color="auto"/>
              <w:right w:val="single" w:sz="4" w:space="0" w:color="auto"/>
            </w:tcBorders>
            <w:shd w:val="clear" w:color="000000" w:fill="F2F2F2"/>
            <w:noWrap/>
            <w:hideMark/>
          </w:tcPr>
          <w:p w14:paraId="3D8D0FB5" w14:textId="77777777" w:rsidR="00593F3D" w:rsidRDefault="00593F3D" w:rsidP="00593F3D">
            <w:pPr>
              <w:jc w:val="right"/>
              <w:rPr>
                <w:b/>
                <w:bCs/>
                <w:noProof/>
                <w:color w:val="000000"/>
                <w:sz w:val="20"/>
                <w:szCs w:val="20"/>
              </w:rPr>
            </w:pPr>
            <w:r>
              <w:rPr>
                <w:b/>
                <w:bCs/>
                <w:noProof/>
                <w:color w:val="000000"/>
                <w:sz w:val="20"/>
                <w:szCs w:val="20"/>
              </w:rPr>
              <w:t>0.0</w:t>
            </w:r>
          </w:p>
        </w:tc>
        <w:tc>
          <w:tcPr>
            <w:tcW w:w="249" w:type="pct"/>
            <w:tcBorders>
              <w:top w:val="nil"/>
              <w:left w:val="nil"/>
              <w:bottom w:val="single" w:sz="4" w:space="0" w:color="auto"/>
              <w:right w:val="single" w:sz="4" w:space="0" w:color="auto"/>
            </w:tcBorders>
            <w:shd w:val="clear" w:color="000000" w:fill="F2F2F2"/>
            <w:noWrap/>
            <w:hideMark/>
          </w:tcPr>
          <w:p w14:paraId="67A075F5" w14:textId="1154E453" w:rsidR="00593F3D" w:rsidRDefault="00593F3D" w:rsidP="00593F3D">
            <w:pPr>
              <w:jc w:val="right"/>
              <w:rPr>
                <w:b/>
                <w:bCs/>
                <w:noProof/>
                <w:color w:val="000000"/>
                <w:sz w:val="20"/>
                <w:szCs w:val="20"/>
              </w:rPr>
            </w:pPr>
            <w:r>
              <w:rPr>
                <w:b/>
                <w:bCs/>
                <w:noProof/>
                <w:color w:val="000000"/>
                <w:sz w:val="20"/>
                <w:szCs w:val="20"/>
              </w:rPr>
              <w:t>85.6</w:t>
            </w:r>
          </w:p>
        </w:tc>
        <w:tc>
          <w:tcPr>
            <w:tcW w:w="249" w:type="pct"/>
            <w:tcBorders>
              <w:top w:val="nil"/>
              <w:left w:val="nil"/>
              <w:bottom w:val="single" w:sz="4" w:space="0" w:color="auto"/>
              <w:right w:val="single" w:sz="4" w:space="0" w:color="auto"/>
            </w:tcBorders>
            <w:shd w:val="clear" w:color="000000" w:fill="F2F2F2"/>
            <w:noWrap/>
            <w:hideMark/>
          </w:tcPr>
          <w:p w14:paraId="11DA24BA" w14:textId="11FAF298" w:rsidR="00593F3D" w:rsidRDefault="00593F3D" w:rsidP="00593F3D">
            <w:pPr>
              <w:jc w:val="right"/>
              <w:rPr>
                <w:b/>
                <w:bCs/>
                <w:noProof/>
                <w:color w:val="000000"/>
                <w:sz w:val="20"/>
                <w:szCs w:val="20"/>
              </w:rPr>
            </w:pPr>
            <w:r>
              <w:rPr>
                <w:b/>
                <w:bCs/>
                <w:noProof/>
                <w:color w:val="000000"/>
                <w:sz w:val="20"/>
                <w:szCs w:val="20"/>
              </w:rPr>
              <w:t>55.6</w:t>
            </w:r>
          </w:p>
        </w:tc>
        <w:tc>
          <w:tcPr>
            <w:tcW w:w="249" w:type="pct"/>
            <w:tcBorders>
              <w:top w:val="nil"/>
              <w:left w:val="nil"/>
              <w:bottom w:val="single" w:sz="4" w:space="0" w:color="auto"/>
              <w:right w:val="single" w:sz="4" w:space="0" w:color="auto"/>
            </w:tcBorders>
            <w:shd w:val="clear" w:color="000000" w:fill="F2F2F2"/>
            <w:noWrap/>
            <w:hideMark/>
          </w:tcPr>
          <w:p w14:paraId="78BFBC8C" w14:textId="2EB8BCBB" w:rsidR="00593F3D" w:rsidRDefault="00593F3D" w:rsidP="00593F3D">
            <w:pPr>
              <w:jc w:val="right"/>
              <w:rPr>
                <w:b/>
                <w:bCs/>
                <w:noProof/>
                <w:color w:val="000000"/>
                <w:sz w:val="20"/>
                <w:szCs w:val="20"/>
              </w:rPr>
            </w:pPr>
            <w:r>
              <w:rPr>
                <w:b/>
                <w:bCs/>
                <w:noProof/>
                <w:color w:val="000000"/>
                <w:sz w:val="20"/>
                <w:szCs w:val="20"/>
              </w:rPr>
              <w:t>2.2</w:t>
            </w:r>
          </w:p>
        </w:tc>
        <w:tc>
          <w:tcPr>
            <w:tcW w:w="247" w:type="pct"/>
            <w:tcBorders>
              <w:top w:val="nil"/>
              <w:left w:val="nil"/>
              <w:bottom w:val="single" w:sz="4" w:space="0" w:color="auto"/>
              <w:right w:val="single" w:sz="4" w:space="0" w:color="auto"/>
            </w:tcBorders>
            <w:shd w:val="clear" w:color="000000" w:fill="F2F2F2"/>
            <w:noWrap/>
            <w:hideMark/>
          </w:tcPr>
          <w:p w14:paraId="6EB143EA" w14:textId="77777777" w:rsidR="00593F3D" w:rsidRDefault="00593F3D" w:rsidP="00593F3D">
            <w:pPr>
              <w:jc w:val="right"/>
              <w:rPr>
                <w:b/>
                <w:bCs/>
                <w:noProof/>
                <w:color w:val="000000"/>
                <w:sz w:val="20"/>
                <w:szCs w:val="20"/>
              </w:rPr>
            </w:pPr>
            <w:r>
              <w:rPr>
                <w:b/>
                <w:bCs/>
                <w:noProof/>
                <w:color w:val="000000"/>
                <w:sz w:val="20"/>
                <w:szCs w:val="20"/>
              </w:rPr>
              <w:t>0.0</w:t>
            </w:r>
          </w:p>
        </w:tc>
      </w:tr>
    </w:tbl>
    <w:p w14:paraId="37BB05E4" w14:textId="77777777" w:rsidR="00593F3D" w:rsidRPr="0043424D" w:rsidRDefault="00593F3D" w:rsidP="00593F3D">
      <w:pPr>
        <w:tabs>
          <w:tab w:val="left" w:pos="2302"/>
        </w:tabs>
        <w:spacing w:after="240"/>
        <w:jc w:val="both"/>
        <w:rPr>
          <w:i/>
          <w:iCs/>
          <w:noProof/>
          <w:sz w:val="20"/>
          <w:szCs w:val="20"/>
        </w:rPr>
      </w:pPr>
      <w:r w:rsidRPr="02058F38">
        <w:rPr>
          <w:i/>
          <w:noProof/>
          <w:sz w:val="20"/>
          <w:szCs w:val="20"/>
        </w:rPr>
        <w:t xml:space="preserve">Source: </w:t>
      </w:r>
      <w:r w:rsidRPr="0043424D">
        <w:rPr>
          <w:i/>
          <w:iCs/>
          <w:noProof/>
          <w:sz w:val="20"/>
          <w:szCs w:val="20"/>
        </w:rPr>
        <w:t>Ricardo et al. (2026), Impact assessment support study</w:t>
      </w:r>
    </w:p>
    <w:p w14:paraId="79EC051F" w14:textId="53A59F18" w:rsidR="0052712D" w:rsidRPr="0043424D" w:rsidRDefault="0052712D" w:rsidP="00505E10">
      <w:pPr>
        <w:pStyle w:val="ListParagraph"/>
        <w:keepNext/>
        <w:widowControl/>
        <w:numPr>
          <w:ilvl w:val="2"/>
          <w:numId w:val="10"/>
        </w:numPr>
        <w:autoSpaceDE/>
        <w:autoSpaceDN/>
        <w:spacing w:after="240"/>
        <w:jc w:val="both"/>
        <w:outlineLvl w:val="2"/>
        <w:rPr>
          <w:i/>
          <w:iCs/>
          <w:noProof/>
          <w:sz w:val="24"/>
          <w:szCs w:val="24"/>
        </w:rPr>
      </w:pPr>
      <w:bookmarkStart w:id="2096" w:name="_Toc223981683"/>
      <w:r>
        <w:rPr>
          <w:i/>
          <w:iCs/>
          <w:noProof/>
          <w:sz w:val="24"/>
          <w:szCs w:val="24"/>
        </w:rPr>
        <w:t>Transport operators</w:t>
      </w:r>
      <w:bookmarkEnd w:id="2096"/>
    </w:p>
    <w:p w14:paraId="0519046D" w14:textId="7E54B6EA" w:rsidR="0052712D" w:rsidRDefault="0052712D" w:rsidP="0052712D">
      <w:pPr>
        <w:pStyle w:val="Text2"/>
        <w:spacing w:after="0"/>
        <w:ind w:left="0"/>
        <w:rPr>
          <w:rFonts w:cs="Times New Roman"/>
          <w:i/>
          <w:noProof/>
          <w:sz w:val="22"/>
          <w:szCs w:val="22"/>
        </w:rPr>
      </w:pPr>
      <w:r w:rsidRPr="006333F0">
        <w:rPr>
          <w:rFonts w:cs="Times New Roman"/>
          <w:i/>
          <w:noProof/>
          <w:sz w:val="22"/>
          <w:szCs w:val="22"/>
        </w:rPr>
        <w:t>Table</w:t>
      </w:r>
      <w:r>
        <w:rPr>
          <w:rFonts w:cs="Times New Roman"/>
          <w:i/>
          <w:noProof/>
          <w:sz w:val="22"/>
          <w:szCs w:val="22"/>
        </w:rPr>
        <w:t xml:space="preserve"> </w:t>
      </w:r>
      <w:r w:rsidRPr="00C26A59">
        <w:rPr>
          <w:rFonts w:cs="Times New Roman"/>
          <w:i/>
          <w:iCs/>
          <w:noProof/>
          <w:sz w:val="22"/>
          <w:szCs w:val="22"/>
        </w:rPr>
        <w:fldChar w:fldCharType="begin"/>
      </w:r>
      <w:r w:rsidRPr="00C26A59">
        <w:rPr>
          <w:rFonts w:cs="Times New Roman"/>
          <w:i/>
          <w:iCs/>
          <w:noProof/>
          <w:sz w:val="22"/>
          <w:szCs w:val="22"/>
        </w:rPr>
        <w:instrText xml:space="preserve"> SEQ Table \* ARABIC </w:instrText>
      </w:r>
      <w:r w:rsidRPr="00C26A59">
        <w:rPr>
          <w:rFonts w:cs="Times New Roman"/>
          <w:i/>
          <w:iCs/>
          <w:noProof/>
          <w:sz w:val="22"/>
          <w:szCs w:val="22"/>
        </w:rPr>
        <w:fldChar w:fldCharType="separate"/>
      </w:r>
      <w:r w:rsidR="0055391F">
        <w:rPr>
          <w:rFonts w:cs="Times New Roman"/>
          <w:i/>
          <w:iCs/>
          <w:noProof/>
          <w:sz w:val="22"/>
          <w:szCs w:val="22"/>
        </w:rPr>
        <w:t>122</w:t>
      </w:r>
      <w:r w:rsidRPr="00C26A59">
        <w:rPr>
          <w:rFonts w:cs="Times New Roman"/>
          <w:i/>
          <w:noProof/>
          <w:sz w:val="22"/>
          <w:szCs w:val="22"/>
        </w:rPr>
        <w:fldChar w:fldCharType="end"/>
      </w:r>
      <w:r w:rsidRPr="006333F0">
        <w:rPr>
          <w:rFonts w:cs="Times New Roman"/>
          <w:i/>
          <w:noProof/>
          <w:sz w:val="22"/>
          <w:szCs w:val="22"/>
        </w:rPr>
        <w:t>: One-off costs</w:t>
      </w:r>
      <w:r>
        <w:rPr>
          <w:rFonts w:cs="Times New Roman"/>
          <w:i/>
          <w:noProof/>
          <w:sz w:val="22"/>
          <w:szCs w:val="22"/>
        </w:rPr>
        <w:t xml:space="preserve"> and costs savings</w:t>
      </w:r>
      <w:r w:rsidRPr="006333F0">
        <w:rPr>
          <w:rFonts w:cs="Times New Roman"/>
          <w:i/>
          <w:noProof/>
          <w:sz w:val="22"/>
          <w:szCs w:val="22"/>
        </w:rPr>
        <w:t xml:space="preserve"> for </w:t>
      </w:r>
      <w:r>
        <w:rPr>
          <w:rFonts w:cs="Times New Roman"/>
          <w:i/>
          <w:noProof/>
          <w:sz w:val="22"/>
          <w:szCs w:val="22"/>
        </w:rPr>
        <w:t>transport operators</w:t>
      </w:r>
      <w:r w:rsidRPr="006333F0">
        <w:rPr>
          <w:rFonts w:cs="Times New Roman"/>
          <w:i/>
          <w:noProof/>
          <w:sz w:val="22"/>
          <w:szCs w:val="22"/>
        </w:rPr>
        <w:t xml:space="preserve"> in the POs relative to the baseline (EU27),</w:t>
      </w:r>
      <w:r>
        <w:rPr>
          <w:rFonts w:cs="Times New Roman"/>
          <w:i/>
          <w:noProof/>
          <w:sz w:val="22"/>
          <w:szCs w:val="22"/>
        </w:rPr>
        <w:t xml:space="preserve"> </w:t>
      </w:r>
      <w:r>
        <w:rPr>
          <w:i/>
          <w:noProof/>
          <w:sz w:val="22"/>
          <w:szCs w:val="22"/>
        </w:rPr>
        <w:t>in</w:t>
      </w:r>
      <w:r>
        <w:rPr>
          <w:rFonts w:cs="Times New Roman"/>
          <w:i/>
          <w:noProof/>
          <w:sz w:val="22"/>
          <w:szCs w:val="22"/>
        </w:rPr>
        <w:t xml:space="preserve"> 2028</w:t>
      </w:r>
      <w:r>
        <w:rPr>
          <w:i/>
          <w:noProof/>
          <w:sz w:val="22"/>
          <w:szCs w:val="22"/>
        </w:rPr>
        <w:t xml:space="preserve">, 2030, 2040 and </w:t>
      </w:r>
      <w:r>
        <w:rPr>
          <w:rFonts w:cs="Times New Roman"/>
          <w:i/>
          <w:noProof/>
          <w:sz w:val="22"/>
          <w:szCs w:val="22"/>
        </w:rPr>
        <w:t>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p>
    <w:tbl>
      <w:tblPr>
        <w:tblW w:w="5000" w:type="pct"/>
        <w:tblLook w:val="04A0" w:firstRow="1" w:lastRow="0" w:firstColumn="1" w:lastColumn="0" w:noHBand="0" w:noVBand="1"/>
      </w:tblPr>
      <w:tblGrid>
        <w:gridCol w:w="3006"/>
        <w:gridCol w:w="737"/>
        <w:gridCol w:w="737"/>
        <w:gridCol w:w="737"/>
        <w:gridCol w:w="737"/>
        <w:gridCol w:w="737"/>
        <w:gridCol w:w="737"/>
        <w:gridCol w:w="736"/>
        <w:gridCol w:w="736"/>
        <w:gridCol w:w="736"/>
        <w:gridCol w:w="736"/>
        <w:gridCol w:w="736"/>
        <w:gridCol w:w="736"/>
        <w:gridCol w:w="736"/>
        <w:gridCol w:w="736"/>
        <w:gridCol w:w="736"/>
        <w:gridCol w:w="736"/>
      </w:tblGrid>
      <w:tr w:rsidR="00505E10" w14:paraId="5063BCB4" w14:textId="77777777" w:rsidTr="00505E10">
        <w:trPr>
          <w:trHeight w:val="255"/>
          <w:tblHeader/>
        </w:trPr>
        <w:tc>
          <w:tcPr>
            <w:tcW w:w="1016"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06728C1C" w14:textId="77777777" w:rsidR="00505E10" w:rsidRDefault="00505E10">
            <w:pPr>
              <w:jc w:val="center"/>
              <w:rPr>
                <w:b/>
                <w:bCs/>
                <w:noProof/>
                <w:color w:val="FFFFFF"/>
                <w:sz w:val="20"/>
                <w:szCs w:val="20"/>
              </w:rPr>
            </w:pPr>
            <w:r>
              <w:rPr>
                <w:b/>
                <w:bCs/>
                <w:noProof/>
                <w:color w:val="FFFFFF"/>
                <w:sz w:val="20"/>
                <w:szCs w:val="20"/>
              </w:rPr>
              <w:t> </w:t>
            </w:r>
          </w:p>
        </w:tc>
        <w:tc>
          <w:tcPr>
            <w:tcW w:w="996" w:type="pct"/>
            <w:gridSpan w:val="4"/>
            <w:tcBorders>
              <w:top w:val="single" w:sz="4" w:space="0" w:color="auto"/>
              <w:left w:val="nil"/>
              <w:bottom w:val="single" w:sz="4" w:space="0" w:color="auto"/>
              <w:right w:val="single" w:sz="4" w:space="0" w:color="auto"/>
            </w:tcBorders>
            <w:shd w:val="clear" w:color="000000" w:fill="0070C0"/>
            <w:hideMark/>
          </w:tcPr>
          <w:p w14:paraId="7375D1D4" w14:textId="77777777" w:rsidR="00505E10" w:rsidRDefault="00505E10">
            <w:pPr>
              <w:jc w:val="center"/>
              <w:rPr>
                <w:b/>
                <w:bCs/>
                <w:noProof/>
                <w:color w:val="FFFFFF"/>
                <w:sz w:val="20"/>
                <w:szCs w:val="20"/>
              </w:rPr>
            </w:pPr>
            <w:r>
              <w:rPr>
                <w:b/>
                <w:bCs/>
                <w:noProof/>
                <w:color w:val="FFFFFF"/>
                <w:sz w:val="20"/>
                <w:szCs w:val="20"/>
              </w:rPr>
              <w:t>PO1</w:t>
            </w:r>
          </w:p>
        </w:tc>
        <w:tc>
          <w:tcPr>
            <w:tcW w:w="996" w:type="pct"/>
            <w:gridSpan w:val="4"/>
            <w:tcBorders>
              <w:top w:val="single" w:sz="4" w:space="0" w:color="auto"/>
              <w:left w:val="nil"/>
              <w:bottom w:val="single" w:sz="4" w:space="0" w:color="auto"/>
              <w:right w:val="single" w:sz="4" w:space="0" w:color="auto"/>
            </w:tcBorders>
            <w:shd w:val="clear" w:color="000000" w:fill="0070C0"/>
            <w:hideMark/>
          </w:tcPr>
          <w:p w14:paraId="09FFB30C" w14:textId="77777777" w:rsidR="00505E10" w:rsidRDefault="00505E10">
            <w:pPr>
              <w:jc w:val="center"/>
              <w:rPr>
                <w:b/>
                <w:bCs/>
                <w:noProof/>
                <w:color w:val="FFFFFF"/>
                <w:sz w:val="20"/>
                <w:szCs w:val="20"/>
              </w:rPr>
            </w:pPr>
            <w:r>
              <w:rPr>
                <w:b/>
                <w:bCs/>
                <w:noProof/>
                <w:color w:val="FFFFFF"/>
                <w:sz w:val="20"/>
                <w:szCs w:val="20"/>
              </w:rPr>
              <w:t>PO2</w:t>
            </w:r>
          </w:p>
        </w:tc>
        <w:tc>
          <w:tcPr>
            <w:tcW w:w="996" w:type="pct"/>
            <w:gridSpan w:val="4"/>
            <w:tcBorders>
              <w:top w:val="single" w:sz="4" w:space="0" w:color="auto"/>
              <w:left w:val="nil"/>
              <w:bottom w:val="single" w:sz="4" w:space="0" w:color="auto"/>
              <w:right w:val="single" w:sz="4" w:space="0" w:color="auto"/>
            </w:tcBorders>
            <w:shd w:val="clear" w:color="000000" w:fill="0070C0"/>
            <w:hideMark/>
          </w:tcPr>
          <w:p w14:paraId="31847EBE" w14:textId="77777777" w:rsidR="00505E10" w:rsidRDefault="00505E10">
            <w:pPr>
              <w:jc w:val="center"/>
              <w:rPr>
                <w:b/>
                <w:bCs/>
                <w:noProof/>
                <w:color w:val="FFFFFF"/>
                <w:sz w:val="20"/>
                <w:szCs w:val="20"/>
              </w:rPr>
            </w:pPr>
            <w:r>
              <w:rPr>
                <w:b/>
                <w:bCs/>
                <w:noProof/>
                <w:color w:val="FFFFFF"/>
                <w:sz w:val="20"/>
                <w:szCs w:val="20"/>
              </w:rPr>
              <w:t>PO3</w:t>
            </w:r>
          </w:p>
        </w:tc>
        <w:tc>
          <w:tcPr>
            <w:tcW w:w="996" w:type="pct"/>
            <w:gridSpan w:val="4"/>
            <w:tcBorders>
              <w:top w:val="single" w:sz="4" w:space="0" w:color="auto"/>
              <w:left w:val="nil"/>
              <w:bottom w:val="single" w:sz="4" w:space="0" w:color="auto"/>
              <w:right w:val="single" w:sz="4" w:space="0" w:color="auto"/>
            </w:tcBorders>
            <w:shd w:val="clear" w:color="000000" w:fill="0070C0"/>
            <w:hideMark/>
          </w:tcPr>
          <w:p w14:paraId="42FF1F62" w14:textId="77777777" w:rsidR="00505E10" w:rsidRDefault="00505E10">
            <w:pPr>
              <w:jc w:val="center"/>
              <w:rPr>
                <w:b/>
                <w:bCs/>
                <w:noProof/>
                <w:color w:val="FFFFFF"/>
                <w:sz w:val="20"/>
                <w:szCs w:val="20"/>
              </w:rPr>
            </w:pPr>
            <w:r>
              <w:rPr>
                <w:b/>
                <w:bCs/>
                <w:noProof/>
                <w:color w:val="FFFFFF"/>
                <w:sz w:val="20"/>
                <w:szCs w:val="20"/>
              </w:rPr>
              <w:t>PO4</w:t>
            </w:r>
          </w:p>
        </w:tc>
      </w:tr>
      <w:tr w:rsidR="00505E10" w14:paraId="17585294" w14:textId="77777777" w:rsidTr="00505E10">
        <w:trPr>
          <w:trHeight w:val="255"/>
          <w:tblHeader/>
        </w:trPr>
        <w:tc>
          <w:tcPr>
            <w:tcW w:w="1016" w:type="pct"/>
            <w:vMerge/>
            <w:tcBorders>
              <w:top w:val="single" w:sz="4" w:space="0" w:color="auto"/>
              <w:left w:val="single" w:sz="4" w:space="0" w:color="auto"/>
              <w:bottom w:val="single" w:sz="4" w:space="0" w:color="auto"/>
              <w:right w:val="single" w:sz="4" w:space="0" w:color="auto"/>
            </w:tcBorders>
            <w:hideMark/>
          </w:tcPr>
          <w:p w14:paraId="1D4B37E2" w14:textId="77777777" w:rsidR="00505E10" w:rsidRDefault="00505E10">
            <w:pPr>
              <w:rPr>
                <w:b/>
                <w:bCs/>
                <w:noProof/>
                <w:color w:val="FFFFFF"/>
                <w:sz w:val="20"/>
                <w:szCs w:val="20"/>
              </w:rPr>
            </w:pPr>
          </w:p>
        </w:tc>
        <w:tc>
          <w:tcPr>
            <w:tcW w:w="249" w:type="pct"/>
            <w:tcBorders>
              <w:top w:val="nil"/>
              <w:left w:val="nil"/>
              <w:bottom w:val="single" w:sz="4" w:space="0" w:color="auto"/>
              <w:right w:val="single" w:sz="4" w:space="0" w:color="auto"/>
            </w:tcBorders>
            <w:shd w:val="clear" w:color="000000" w:fill="0070C0"/>
            <w:hideMark/>
          </w:tcPr>
          <w:p w14:paraId="69ABA18E" w14:textId="77777777" w:rsidR="00505E10" w:rsidRDefault="00505E10">
            <w:pPr>
              <w:jc w:val="center"/>
              <w:rPr>
                <w:b/>
                <w:bCs/>
                <w:noProof/>
                <w:color w:val="FFFFFF"/>
                <w:sz w:val="20"/>
                <w:szCs w:val="20"/>
              </w:rPr>
            </w:pPr>
            <w:r>
              <w:rPr>
                <w:b/>
                <w:bCs/>
                <w:noProof/>
                <w:color w:val="FFFFFF"/>
                <w:sz w:val="20"/>
                <w:szCs w:val="20"/>
              </w:rPr>
              <w:t>2028</w:t>
            </w:r>
          </w:p>
        </w:tc>
        <w:tc>
          <w:tcPr>
            <w:tcW w:w="249" w:type="pct"/>
            <w:tcBorders>
              <w:top w:val="nil"/>
              <w:left w:val="nil"/>
              <w:bottom w:val="single" w:sz="4" w:space="0" w:color="auto"/>
              <w:right w:val="single" w:sz="4" w:space="0" w:color="auto"/>
            </w:tcBorders>
            <w:shd w:val="clear" w:color="000000" w:fill="0070C0"/>
            <w:hideMark/>
          </w:tcPr>
          <w:p w14:paraId="7861B739" w14:textId="77777777" w:rsidR="00505E10" w:rsidRDefault="00505E10">
            <w:pPr>
              <w:jc w:val="center"/>
              <w:rPr>
                <w:b/>
                <w:bCs/>
                <w:noProof/>
                <w:color w:val="FFFFFF"/>
                <w:sz w:val="20"/>
                <w:szCs w:val="20"/>
              </w:rPr>
            </w:pPr>
            <w:r>
              <w:rPr>
                <w:b/>
                <w:bCs/>
                <w:noProof/>
                <w:color w:val="FFFFFF"/>
                <w:sz w:val="20"/>
                <w:szCs w:val="20"/>
              </w:rPr>
              <w:t>2030</w:t>
            </w:r>
          </w:p>
        </w:tc>
        <w:tc>
          <w:tcPr>
            <w:tcW w:w="249" w:type="pct"/>
            <w:tcBorders>
              <w:top w:val="nil"/>
              <w:left w:val="nil"/>
              <w:bottom w:val="single" w:sz="4" w:space="0" w:color="auto"/>
              <w:right w:val="single" w:sz="4" w:space="0" w:color="auto"/>
            </w:tcBorders>
            <w:shd w:val="clear" w:color="000000" w:fill="0070C0"/>
            <w:hideMark/>
          </w:tcPr>
          <w:p w14:paraId="57BF0276" w14:textId="77777777" w:rsidR="00505E10" w:rsidRDefault="00505E10">
            <w:pPr>
              <w:jc w:val="center"/>
              <w:rPr>
                <w:b/>
                <w:bCs/>
                <w:noProof/>
                <w:color w:val="FFFFFF"/>
                <w:sz w:val="20"/>
                <w:szCs w:val="20"/>
              </w:rPr>
            </w:pPr>
            <w:r>
              <w:rPr>
                <w:b/>
                <w:bCs/>
                <w:noProof/>
                <w:color w:val="FFFFFF"/>
                <w:sz w:val="20"/>
                <w:szCs w:val="20"/>
              </w:rPr>
              <w:t>2040</w:t>
            </w:r>
          </w:p>
        </w:tc>
        <w:tc>
          <w:tcPr>
            <w:tcW w:w="249" w:type="pct"/>
            <w:tcBorders>
              <w:top w:val="nil"/>
              <w:left w:val="nil"/>
              <w:bottom w:val="single" w:sz="4" w:space="0" w:color="auto"/>
              <w:right w:val="single" w:sz="4" w:space="0" w:color="auto"/>
            </w:tcBorders>
            <w:shd w:val="clear" w:color="000000" w:fill="0070C0"/>
            <w:hideMark/>
          </w:tcPr>
          <w:p w14:paraId="55CE5357" w14:textId="77777777" w:rsidR="00505E10" w:rsidRDefault="00505E10">
            <w:pPr>
              <w:jc w:val="center"/>
              <w:rPr>
                <w:b/>
                <w:bCs/>
                <w:noProof/>
                <w:color w:val="FFFFFF"/>
                <w:sz w:val="20"/>
                <w:szCs w:val="20"/>
              </w:rPr>
            </w:pPr>
            <w:r>
              <w:rPr>
                <w:b/>
                <w:bCs/>
                <w:noProof/>
                <w:color w:val="FFFFFF"/>
                <w:sz w:val="20"/>
                <w:szCs w:val="20"/>
              </w:rPr>
              <w:t>2050</w:t>
            </w:r>
          </w:p>
        </w:tc>
        <w:tc>
          <w:tcPr>
            <w:tcW w:w="249" w:type="pct"/>
            <w:tcBorders>
              <w:top w:val="nil"/>
              <w:left w:val="nil"/>
              <w:bottom w:val="single" w:sz="4" w:space="0" w:color="auto"/>
              <w:right w:val="single" w:sz="4" w:space="0" w:color="auto"/>
            </w:tcBorders>
            <w:shd w:val="clear" w:color="000000" w:fill="0070C0"/>
            <w:hideMark/>
          </w:tcPr>
          <w:p w14:paraId="67600EB7" w14:textId="77777777" w:rsidR="00505E10" w:rsidRDefault="00505E10">
            <w:pPr>
              <w:jc w:val="center"/>
              <w:rPr>
                <w:b/>
                <w:bCs/>
                <w:noProof/>
                <w:color w:val="FFFFFF"/>
                <w:sz w:val="20"/>
                <w:szCs w:val="20"/>
              </w:rPr>
            </w:pPr>
            <w:r>
              <w:rPr>
                <w:b/>
                <w:bCs/>
                <w:noProof/>
                <w:color w:val="FFFFFF"/>
                <w:sz w:val="20"/>
                <w:szCs w:val="20"/>
              </w:rPr>
              <w:t>2028</w:t>
            </w:r>
          </w:p>
        </w:tc>
        <w:tc>
          <w:tcPr>
            <w:tcW w:w="249" w:type="pct"/>
            <w:tcBorders>
              <w:top w:val="nil"/>
              <w:left w:val="nil"/>
              <w:bottom w:val="single" w:sz="4" w:space="0" w:color="auto"/>
              <w:right w:val="single" w:sz="4" w:space="0" w:color="auto"/>
            </w:tcBorders>
            <w:shd w:val="clear" w:color="000000" w:fill="0070C0"/>
            <w:hideMark/>
          </w:tcPr>
          <w:p w14:paraId="6B2161B6" w14:textId="77777777" w:rsidR="00505E10" w:rsidRDefault="00505E10">
            <w:pPr>
              <w:jc w:val="center"/>
              <w:rPr>
                <w:b/>
                <w:bCs/>
                <w:noProof/>
                <w:color w:val="FFFFFF"/>
                <w:sz w:val="20"/>
                <w:szCs w:val="20"/>
              </w:rPr>
            </w:pPr>
            <w:r>
              <w:rPr>
                <w:b/>
                <w:bCs/>
                <w:noProof/>
                <w:color w:val="FFFFFF"/>
                <w:sz w:val="20"/>
                <w:szCs w:val="20"/>
              </w:rPr>
              <w:t>2030</w:t>
            </w:r>
          </w:p>
        </w:tc>
        <w:tc>
          <w:tcPr>
            <w:tcW w:w="249" w:type="pct"/>
            <w:tcBorders>
              <w:top w:val="nil"/>
              <w:left w:val="nil"/>
              <w:bottom w:val="single" w:sz="4" w:space="0" w:color="auto"/>
              <w:right w:val="single" w:sz="4" w:space="0" w:color="auto"/>
            </w:tcBorders>
            <w:shd w:val="clear" w:color="000000" w:fill="0070C0"/>
            <w:hideMark/>
          </w:tcPr>
          <w:p w14:paraId="7AAE7E25" w14:textId="77777777" w:rsidR="00505E10" w:rsidRDefault="00505E10">
            <w:pPr>
              <w:jc w:val="center"/>
              <w:rPr>
                <w:b/>
                <w:bCs/>
                <w:noProof/>
                <w:color w:val="FFFFFF"/>
                <w:sz w:val="20"/>
                <w:szCs w:val="20"/>
              </w:rPr>
            </w:pPr>
            <w:r>
              <w:rPr>
                <w:b/>
                <w:bCs/>
                <w:noProof/>
                <w:color w:val="FFFFFF"/>
                <w:sz w:val="20"/>
                <w:szCs w:val="20"/>
              </w:rPr>
              <w:t>2040</w:t>
            </w:r>
          </w:p>
        </w:tc>
        <w:tc>
          <w:tcPr>
            <w:tcW w:w="249" w:type="pct"/>
            <w:tcBorders>
              <w:top w:val="nil"/>
              <w:left w:val="nil"/>
              <w:bottom w:val="single" w:sz="4" w:space="0" w:color="auto"/>
              <w:right w:val="single" w:sz="4" w:space="0" w:color="auto"/>
            </w:tcBorders>
            <w:shd w:val="clear" w:color="000000" w:fill="0070C0"/>
            <w:hideMark/>
          </w:tcPr>
          <w:p w14:paraId="132A5B8A" w14:textId="77777777" w:rsidR="00505E10" w:rsidRDefault="00505E10">
            <w:pPr>
              <w:jc w:val="center"/>
              <w:rPr>
                <w:b/>
                <w:bCs/>
                <w:noProof/>
                <w:color w:val="FFFFFF"/>
                <w:sz w:val="20"/>
                <w:szCs w:val="20"/>
              </w:rPr>
            </w:pPr>
            <w:r>
              <w:rPr>
                <w:b/>
                <w:bCs/>
                <w:noProof/>
                <w:color w:val="FFFFFF"/>
                <w:sz w:val="20"/>
                <w:szCs w:val="20"/>
              </w:rPr>
              <w:t>2050</w:t>
            </w:r>
          </w:p>
        </w:tc>
        <w:tc>
          <w:tcPr>
            <w:tcW w:w="249" w:type="pct"/>
            <w:tcBorders>
              <w:top w:val="nil"/>
              <w:left w:val="nil"/>
              <w:bottom w:val="single" w:sz="4" w:space="0" w:color="auto"/>
              <w:right w:val="single" w:sz="4" w:space="0" w:color="auto"/>
            </w:tcBorders>
            <w:shd w:val="clear" w:color="000000" w:fill="0070C0"/>
            <w:hideMark/>
          </w:tcPr>
          <w:p w14:paraId="5B06679E" w14:textId="77777777" w:rsidR="00505E10" w:rsidRDefault="00505E10">
            <w:pPr>
              <w:jc w:val="center"/>
              <w:rPr>
                <w:b/>
                <w:bCs/>
                <w:noProof/>
                <w:color w:val="FFFFFF"/>
                <w:sz w:val="20"/>
                <w:szCs w:val="20"/>
              </w:rPr>
            </w:pPr>
            <w:r>
              <w:rPr>
                <w:b/>
                <w:bCs/>
                <w:noProof/>
                <w:color w:val="FFFFFF"/>
                <w:sz w:val="20"/>
                <w:szCs w:val="20"/>
              </w:rPr>
              <w:t>2028</w:t>
            </w:r>
          </w:p>
        </w:tc>
        <w:tc>
          <w:tcPr>
            <w:tcW w:w="249" w:type="pct"/>
            <w:tcBorders>
              <w:top w:val="nil"/>
              <w:left w:val="nil"/>
              <w:bottom w:val="single" w:sz="4" w:space="0" w:color="auto"/>
              <w:right w:val="single" w:sz="4" w:space="0" w:color="auto"/>
            </w:tcBorders>
            <w:shd w:val="clear" w:color="000000" w:fill="0070C0"/>
            <w:hideMark/>
          </w:tcPr>
          <w:p w14:paraId="1FC1F1DD" w14:textId="77777777" w:rsidR="00505E10" w:rsidRDefault="00505E10">
            <w:pPr>
              <w:jc w:val="center"/>
              <w:rPr>
                <w:b/>
                <w:bCs/>
                <w:noProof/>
                <w:color w:val="FFFFFF"/>
                <w:sz w:val="20"/>
                <w:szCs w:val="20"/>
              </w:rPr>
            </w:pPr>
            <w:r>
              <w:rPr>
                <w:b/>
                <w:bCs/>
                <w:noProof/>
                <w:color w:val="FFFFFF"/>
                <w:sz w:val="20"/>
                <w:szCs w:val="20"/>
              </w:rPr>
              <w:t>2030</w:t>
            </w:r>
          </w:p>
        </w:tc>
        <w:tc>
          <w:tcPr>
            <w:tcW w:w="249" w:type="pct"/>
            <w:tcBorders>
              <w:top w:val="nil"/>
              <w:left w:val="nil"/>
              <w:bottom w:val="single" w:sz="4" w:space="0" w:color="auto"/>
              <w:right w:val="single" w:sz="4" w:space="0" w:color="auto"/>
            </w:tcBorders>
            <w:shd w:val="clear" w:color="000000" w:fill="0070C0"/>
            <w:hideMark/>
          </w:tcPr>
          <w:p w14:paraId="6E68807A" w14:textId="77777777" w:rsidR="00505E10" w:rsidRDefault="00505E10">
            <w:pPr>
              <w:jc w:val="center"/>
              <w:rPr>
                <w:b/>
                <w:bCs/>
                <w:noProof/>
                <w:color w:val="FFFFFF"/>
                <w:sz w:val="20"/>
                <w:szCs w:val="20"/>
              </w:rPr>
            </w:pPr>
            <w:r>
              <w:rPr>
                <w:b/>
                <w:bCs/>
                <w:noProof/>
                <w:color w:val="FFFFFF"/>
                <w:sz w:val="20"/>
                <w:szCs w:val="20"/>
              </w:rPr>
              <w:t>2040</w:t>
            </w:r>
          </w:p>
        </w:tc>
        <w:tc>
          <w:tcPr>
            <w:tcW w:w="249" w:type="pct"/>
            <w:tcBorders>
              <w:top w:val="nil"/>
              <w:left w:val="nil"/>
              <w:bottom w:val="single" w:sz="4" w:space="0" w:color="auto"/>
              <w:right w:val="single" w:sz="4" w:space="0" w:color="auto"/>
            </w:tcBorders>
            <w:shd w:val="clear" w:color="000000" w:fill="0070C0"/>
            <w:hideMark/>
          </w:tcPr>
          <w:p w14:paraId="3A15B651" w14:textId="77777777" w:rsidR="00505E10" w:rsidRDefault="00505E10">
            <w:pPr>
              <w:jc w:val="center"/>
              <w:rPr>
                <w:b/>
                <w:bCs/>
                <w:noProof/>
                <w:color w:val="FFFFFF"/>
                <w:sz w:val="20"/>
                <w:szCs w:val="20"/>
              </w:rPr>
            </w:pPr>
            <w:r>
              <w:rPr>
                <w:b/>
                <w:bCs/>
                <w:noProof/>
                <w:color w:val="FFFFFF"/>
                <w:sz w:val="20"/>
                <w:szCs w:val="20"/>
              </w:rPr>
              <w:t>2050</w:t>
            </w:r>
          </w:p>
        </w:tc>
        <w:tc>
          <w:tcPr>
            <w:tcW w:w="249" w:type="pct"/>
            <w:tcBorders>
              <w:top w:val="nil"/>
              <w:left w:val="nil"/>
              <w:bottom w:val="single" w:sz="4" w:space="0" w:color="auto"/>
              <w:right w:val="single" w:sz="4" w:space="0" w:color="auto"/>
            </w:tcBorders>
            <w:shd w:val="clear" w:color="000000" w:fill="0070C0"/>
            <w:hideMark/>
          </w:tcPr>
          <w:p w14:paraId="6E000DC6" w14:textId="77777777" w:rsidR="00505E10" w:rsidRDefault="00505E10">
            <w:pPr>
              <w:jc w:val="center"/>
              <w:rPr>
                <w:b/>
                <w:bCs/>
                <w:noProof/>
                <w:color w:val="FFFFFF"/>
                <w:sz w:val="20"/>
                <w:szCs w:val="20"/>
              </w:rPr>
            </w:pPr>
            <w:r>
              <w:rPr>
                <w:b/>
                <w:bCs/>
                <w:noProof/>
                <w:color w:val="FFFFFF"/>
                <w:sz w:val="20"/>
                <w:szCs w:val="20"/>
              </w:rPr>
              <w:t>2028</w:t>
            </w:r>
          </w:p>
        </w:tc>
        <w:tc>
          <w:tcPr>
            <w:tcW w:w="249" w:type="pct"/>
            <w:tcBorders>
              <w:top w:val="nil"/>
              <w:left w:val="nil"/>
              <w:bottom w:val="single" w:sz="4" w:space="0" w:color="auto"/>
              <w:right w:val="single" w:sz="4" w:space="0" w:color="auto"/>
            </w:tcBorders>
            <w:shd w:val="clear" w:color="000000" w:fill="0070C0"/>
            <w:hideMark/>
          </w:tcPr>
          <w:p w14:paraId="131D68A8" w14:textId="77777777" w:rsidR="00505E10" w:rsidRDefault="00505E10">
            <w:pPr>
              <w:jc w:val="center"/>
              <w:rPr>
                <w:b/>
                <w:bCs/>
                <w:noProof/>
                <w:color w:val="FFFFFF"/>
                <w:sz w:val="20"/>
                <w:szCs w:val="20"/>
              </w:rPr>
            </w:pPr>
            <w:r>
              <w:rPr>
                <w:b/>
                <w:bCs/>
                <w:noProof/>
                <w:color w:val="FFFFFF"/>
                <w:sz w:val="20"/>
                <w:szCs w:val="20"/>
              </w:rPr>
              <w:t>2030</w:t>
            </w:r>
          </w:p>
        </w:tc>
        <w:tc>
          <w:tcPr>
            <w:tcW w:w="249" w:type="pct"/>
            <w:tcBorders>
              <w:top w:val="nil"/>
              <w:left w:val="nil"/>
              <w:bottom w:val="single" w:sz="4" w:space="0" w:color="auto"/>
              <w:right w:val="single" w:sz="4" w:space="0" w:color="auto"/>
            </w:tcBorders>
            <w:shd w:val="clear" w:color="000000" w:fill="0070C0"/>
            <w:hideMark/>
          </w:tcPr>
          <w:p w14:paraId="6A44B518" w14:textId="77777777" w:rsidR="00505E10" w:rsidRDefault="00505E10">
            <w:pPr>
              <w:jc w:val="center"/>
              <w:rPr>
                <w:b/>
                <w:bCs/>
                <w:noProof/>
                <w:color w:val="FFFFFF"/>
                <w:sz w:val="20"/>
                <w:szCs w:val="20"/>
              </w:rPr>
            </w:pPr>
            <w:r>
              <w:rPr>
                <w:b/>
                <w:bCs/>
                <w:noProof/>
                <w:color w:val="FFFFFF"/>
                <w:sz w:val="20"/>
                <w:szCs w:val="20"/>
              </w:rPr>
              <w:t>2040</w:t>
            </w:r>
          </w:p>
        </w:tc>
        <w:tc>
          <w:tcPr>
            <w:tcW w:w="249" w:type="pct"/>
            <w:tcBorders>
              <w:top w:val="nil"/>
              <w:left w:val="nil"/>
              <w:bottom w:val="single" w:sz="4" w:space="0" w:color="auto"/>
              <w:right w:val="single" w:sz="4" w:space="0" w:color="auto"/>
            </w:tcBorders>
            <w:shd w:val="clear" w:color="000000" w:fill="0070C0"/>
            <w:hideMark/>
          </w:tcPr>
          <w:p w14:paraId="68E43F2B" w14:textId="77777777" w:rsidR="00505E10" w:rsidRDefault="00505E10">
            <w:pPr>
              <w:jc w:val="center"/>
              <w:rPr>
                <w:b/>
                <w:bCs/>
                <w:noProof/>
                <w:color w:val="FFFFFF"/>
                <w:sz w:val="20"/>
                <w:szCs w:val="20"/>
              </w:rPr>
            </w:pPr>
            <w:r>
              <w:rPr>
                <w:b/>
                <w:bCs/>
                <w:noProof/>
                <w:color w:val="FFFFFF"/>
                <w:sz w:val="20"/>
                <w:szCs w:val="20"/>
              </w:rPr>
              <w:t>2050</w:t>
            </w:r>
          </w:p>
        </w:tc>
      </w:tr>
      <w:tr w:rsidR="00505E10" w14:paraId="1948353E" w14:textId="77777777" w:rsidTr="00505E10">
        <w:trPr>
          <w:trHeight w:val="255"/>
        </w:trPr>
        <w:tc>
          <w:tcPr>
            <w:tcW w:w="1016" w:type="pct"/>
            <w:tcBorders>
              <w:top w:val="nil"/>
              <w:left w:val="single" w:sz="4" w:space="0" w:color="auto"/>
              <w:bottom w:val="single" w:sz="4" w:space="0" w:color="auto"/>
              <w:right w:val="single" w:sz="4" w:space="0" w:color="auto"/>
            </w:tcBorders>
            <w:shd w:val="clear" w:color="000000" w:fill="BDE3FF"/>
            <w:hideMark/>
          </w:tcPr>
          <w:p w14:paraId="3264B835" w14:textId="77777777" w:rsidR="00505E10" w:rsidRDefault="00505E10">
            <w:pPr>
              <w:rPr>
                <w:b/>
                <w:bCs/>
                <w:noProof/>
                <w:sz w:val="20"/>
                <w:szCs w:val="20"/>
              </w:rPr>
            </w:pPr>
            <w:r>
              <w:rPr>
                <w:b/>
                <w:bCs/>
                <w:noProof/>
                <w:sz w:val="20"/>
                <w:szCs w:val="20"/>
              </w:rPr>
              <w:t>Adjustment costs</w:t>
            </w:r>
          </w:p>
        </w:tc>
        <w:tc>
          <w:tcPr>
            <w:tcW w:w="249" w:type="pct"/>
            <w:tcBorders>
              <w:top w:val="nil"/>
              <w:left w:val="nil"/>
              <w:bottom w:val="single" w:sz="4" w:space="0" w:color="auto"/>
              <w:right w:val="single" w:sz="4" w:space="0" w:color="auto"/>
            </w:tcBorders>
            <w:shd w:val="clear" w:color="000000" w:fill="BDE3FF"/>
            <w:hideMark/>
          </w:tcPr>
          <w:p w14:paraId="5CFB84D2"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382355A4"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3E9936E4"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16DB9927"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018F3C39" w14:textId="77777777" w:rsidR="00505E10" w:rsidRDefault="00505E10">
            <w:pPr>
              <w:jc w:val="right"/>
              <w:rPr>
                <w:b/>
                <w:bCs/>
                <w:noProof/>
                <w:sz w:val="20"/>
                <w:szCs w:val="20"/>
              </w:rPr>
            </w:pPr>
            <w:r>
              <w:rPr>
                <w:b/>
                <w:bCs/>
                <w:noProof/>
                <w:sz w:val="20"/>
                <w:szCs w:val="20"/>
              </w:rPr>
              <w:t>13.4</w:t>
            </w:r>
          </w:p>
        </w:tc>
        <w:tc>
          <w:tcPr>
            <w:tcW w:w="249" w:type="pct"/>
            <w:tcBorders>
              <w:top w:val="nil"/>
              <w:left w:val="nil"/>
              <w:bottom w:val="single" w:sz="4" w:space="0" w:color="auto"/>
              <w:right w:val="single" w:sz="4" w:space="0" w:color="auto"/>
            </w:tcBorders>
            <w:shd w:val="clear" w:color="000000" w:fill="BDE3FF"/>
            <w:hideMark/>
          </w:tcPr>
          <w:p w14:paraId="6F05FC05" w14:textId="77777777" w:rsidR="00505E10" w:rsidRDefault="00505E10">
            <w:pPr>
              <w:jc w:val="right"/>
              <w:rPr>
                <w:b/>
                <w:bCs/>
                <w:noProof/>
                <w:sz w:val="20"/>
                <w:szCs w:val="20"/>
              </w:rPr>
            </w:pPr>
            <w:r>
              <w:rPr>
                <w:b/>
                <w:bCs/>
                <w:noProof/>
                <w:sz w:val="20"/>
                <w:szCs w:val="20"/>
              </w:rPr>
              <w:t>2.3</w:t>
            </w:r>
          </w:p>
        </w:tc>
        <w:tc>
          <w:tcPr>
            <w:tcW w:w="249" w:type="pct"/>
            <w:tcBorders>
              <w:top w:val="nil"/>
              <w:left w:val="nil"/>
              <w:bottom w:val="single" w:sz="4" w:space="0" w:color="auto"/>
              <w:right w:val="single" w:sz="4" w:space="0" w:color="auto"/>
            </w:tcBorders>
            <w:shd w:val="clear" w:color="000000" w:fill="BDE3FF"/>
            <w:hideMark/>
          </w:tcPr>
          <w:p w14:paraId="53A23730" w14:textId="77777777" w:rsidR="00505E10" w:rsidRDefault="00505E10">
            <w:pPr>
              <w:jc w:val="right"/>
              <w:rPr>
                <w:b/>
                <w:bCs/>
                <w:noProof/>
                <w:sz w:val="20"/>
                <w:szCs w:val="20"/>
              </w:rPr>
            </w:pPr>
            <w:r>
              <w:rPr>
                <w:b/>
                <w:bCs/>
                <w:noProof/>
                <w:sz w:val="20"/>
                <w:szCs w:val="20"/>
              </w:rPr>
              <w:t>4.0</w:t>
            </w:r>
          </w:p>
        </w:tc>
        <w:tc>
          <w:tcPr>
            <w:tcW w:w="249" w:type="pct"/>
            <w:tcBorders>
              <w:top w:val="nil"/>
              <w:left w:val="nil"/>
              <w:bottom w:val="single" w:sz="4" w:space="0" w:color="auto"/>
              <w:right w:val="single" w:sz="4" w:space="0" w:color="auto"/>
            </w:tcBorders>
            <w:shd w:val="clear" w:color="000000" w:fill="BDE3FF"/>
            <w:hideMark/>
          </w:tcPr>
          <w:p w14:paraId="112C1D0F"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64637C26" w14:textId="77777777" w:rsidR="00505E10" w:rsidRDefault="00505E10">
            <w:pPr>
              <w:jc w:val="right"/>
              <w:rPr>
                <w:b/>
                <w:bCs/>
                <w:noProof/>
                <w:sz w:val="20"/>
                <w:szCs w:val="20"/>
              </w:rPr>
            </w:pPr>
            <w:r>
              <w:rPr>
                <w:b/>
                <w:bCs/>
                <w:noProof/>
                <w:sz w:val="20"/>
                <w:szCs w:val="20"/>
              </w:rPr>
              <w:t>13.4</w:t>
            </w:r>
          </w:p>
        </w:tc>
        <w:tc>
          <w:tcPr>
            <w:tcW w:w="249" w:type="pct"/>
            <w:tcBorders>
              <w:top w:val="nil"/>
              <w:left w:val="nil"/>
              <w:bottom w:val="single" w:sz="4" w:space="0" w:color="auto"/>
              <w:right w:val="single" w:sz="4" w:space="0" w:color="auto"/>
            </w:tcBorders>
            <w:shd w:val="clear" w:color="000000" w:fill="BDE3FF"/>
            <w:hideMark/>
          </w:tcPr>
          <w:p w14:paraId="579EA461" w14:textId="77777777" w:rsidR="00505E10" w:rsidRDefault="00505E10">
            <w:pPr>
              <w:jc w:val="right"/>
              <w:rPr>
                <w:b/>
                <w:bCs/>
                <w:noProof/>
                <w:sz w:val="20"/>
                <w:szCs w:val="20"/>
              </w:rPr>
            </w:pPr>
            <w:r>
              <w:rPr>
                <w:b/>
                <w:bCs/>
                <w:noProof/>
                <w:sz w:val="20"/>
                <w:szCs w:val="20"/>
              </w:rPr>
              <w:t>2.3</w:t>
            </w:r>
          </w:p>
        </w:tc>
        <w:tc>
          <w:tcPr>
            <w:tcW w:w="249" w:type="pct"/>
            <w:tcBorders>
              <w:top w:val="nil"/>
              <w:left w:val="nil"/>
              <w:bottom w:val="single" w:sz="4" w:space="0" w:color="auto"/>
              <w:right w:val="single" w:sz="4" w:space="0" w:color="auto"/>
            </w:tcBorders>
            <w:shd w:val="clear" w:color="000000" w:fill="BDE3FF"/>
            <w:hideMark/>
          </w:tcPr>
          <w:p w14:paraId="7C1510A0" w14:textId="77777777" w:rsidR="00505E10" w:rsidRDefault="00505E10">
            <w:pPr>
              <w:jc w:val="right"/>
              <w:rPr>
                <w:b/>
                <w:bCs/>
                <w:noProof/>
                <w:sz w:val="20"/>
                <w:szCs w:val="20"/>
              </w:rPr>
            </w:pPr>
            <w:r>
              <w:rPr>
                <w:b/>
                <w:bCs/>
                <w:noProof/>
                <w:sz w:val="20"/>
                <w:szCs w:val="20"/>
              </w:rPr>
              <w:t>3.3</w:t>
            </w:r>
          </w:p>
        </w:tc>
        <w:tc>
          <w:tcPr>
            <w:tcW w:w="249" w:type="pct"/>
            <w:tcBorders>
              <w:top w:val="nil"/>
              <w:left w:val="nil"/>
              <w:bottom w:val="single" w:sz="4" w:space="0" w:color="auto"/>
              <w:right w:val="single" w:sz="4" w:space="0" w:color="auto"/>
            </w:tcBorders>
            <w:shd w:val="clear" w:color="000000" w:fill="BDE3FF"/>
            <w:hideMark/>
          </w:tcPr>
          <w:p w14:paraId="4F2BBFD6"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5C6B5C5E" w14:textId="77777777" w:rsidR="00505E10" w:rsidRDefault="00505E10">
            <w:pPr>
              <w:jc w:val="right"/>
              <w:rPr>
                <w:b/>
                <w:bCs/>
                <w:noProof/>
                <w:sz w:val="20"/>
                <w:szCs w:val="20"/>
              </w:rPr>
            </w:pPr>
            <w:r>
              <w:rPr>
                <w:b/>
                <w:bCs/>
                <w:noProof/>
                <w:sz w:val="20"/>
                <w:szCs w:val="20"/>
              </w:rPr>
              <w:t>4.6</w:t>
            </w:r>
          </w:p>
        </w:tc>
        <w:tc>
          <w:tcPr>
            <w:tcW w:w="249" w:type="pct"/>
            <w:tcBorders>
              <w:top w:val="nil"/>
              <w:left w:val="nil"/>
              <w:bottom w:val="single" w:sz="4" w:space="0" w:color="auto"/>
              <w:right w:val="single" w:sz="4" w:space="0" w:color="auto"/>
            </w:tcBorders>
            <w:shd w:val="clear" w:color="000000" w:fill="BDE3FF"/>
            <w:hideMark/>
          </w:tcPr>
          <w:p w14:paraId="1DC36402" w14:textId="77777777" w:rsidR="00505E10" w:rsidRDefault="00505E10">
            <w:pPr>
              <w:jc w:val="right"/>
              <w:rPr>
                <w:b/>
                <w:bCs/>
                <w:noProof/>
                <w:sz w:val="20"/>
                <w:szCs w:val="20"/>
              </w:rPr>
            </w:pPr>
            <w:r>
              <w:rPr>
                <w:b/>
                <w:bCs/>
                <w:noProof/>
                <w:sz w:val="20"/>
                <w:szCs w:val="20"/>
              </w:rPr>
              <w:t>5.9</w:t>
            </w:r>
          </w:p>
        </w:tc>
        <w:tc>
          <w:tcPr>
            <w:tcW w:w="249" w:type="pct"/>
            <w:tcBorders>
              <w:top w:val="nil"/>
              <w:left w:val="nil"/>
              <w:bottom w:val="single" w:sz="4" w:space="0" w:color="auto"/>
              <w:right w:val="single" w:sz="4" w:space="0" w:color="auto"/>
            </w:tcBorders>
            <w:shd w:val="clear" w:color="000000" w:fill="BDE3FF"/>
            <w:hideMark/>
          </w:tcPr>
          <w:p w14:paraId="6BE05CBE" w14:textId="77777777" w:rsidR="00505E10" w:rsidRDefault="00505E10">
            <w:pPr>
              <w:jc w:val="right"/>
              <w:rPr>
                <w:b/>
                <w:bCs/>
                <w:noProof/>
                <w:sz w:val="20"/>
                <w:szCs w:val="20"/>
              </w:rPr>
            </w:pPr>
            <w:r>
              <w:rPr>
                <w:b/>
                <w:bCs/>
                <w:noProof/>
                <w:sz w:val="20"/>
                <w:szCs w:val="20"/>
              </w:rPr>
              <w:t>18.1</w:t>
            </w:r>
          </w:p>
        </w:tc>
        <w:tc>
          <w:tcPr>
            <w:tcW w:w="249" w:type="pct"/>
            <w:tcBorders>
              <w:top w:val="nil"/>
              <w:left w:val="nil"/>
              <w:bottom w:val="single" w:sz="4" w:space="0" w:color="auto"/>
              <w:right w:val="single" w:sz="4" w:space="0" w:color="auto"/>
            </w:tcBorders>
            <w:shd w:val="clear" w:color="000000" w:fill="BDE3FF"/>
            <w:hideMark/>
          </w:tcPr>
          <w:p w14:paraId="1952D1D2" w14:textId="77777777" w:rsidR="00505E10" w:rsidRDefault="00505E10">
            <w:pPr>
              <w:jc w:val="right"/>
              <w:rPr>
                <w:b/>
                <w:bCs/>
                <w:noProof/>
                <w:sz w:val="20"/>
                <w:szCs w:val="20"/>
              </w:rPr>
            </w:pPr>
            <w:r>
              <w:rPr>
                <w:b/>
                <w:bCs/>
                <w:noProof/>
                <w:sz w:val="20"/>
                <w:szCs w:val="20"/>
              </w:rPr>
              <w:t>15.9</w:t>
            </w:r>
          </w:p>
        </w:tc>
      </w:tr>
      <w:tr w:rsidR="00DC4792" w14:paraId="50D63047" w14:textId="77777777" w:rsidTr="00505E10">
        <w:trPr>
          <w:trHeight w:val="255"/>
        </w:trPr>
        <w:tc>
          <w:tcPr>
            <w:tcW w:w="1016" w:type="pct"/>
            <w:tcBorders>
              <w:top w:val="nil"/>
              <w:left w:val="single" w:sz="4" w:space="0" w:color="auto"/>
              <w:bottom w:val="single" w:sz="4" w:space="0" w:color="auto"/>
              <w:right w:val="single" w:sz="4" w:space="0" w:color="auto"/>
            </w:tcBorders>
            <w:hideMark/>
          </w:tcPr>
          <w:p w14:paraId="022F37BC" w14:textId="77777777" w:rsidR="00505E10" w:rsidRDefault="00505E10">
            <w:pPr>
              <w:rPr>
                <w:noProof/>
                <w:color w:val="000000"/>
                <w:sz w:val="20"/>
                <w:szCs w:val="20"/>
              </w:rPr>
            </w:pPr>
            <w:r>
              <w:rPr>
                <w:noProof/>
                <w:color w:val="000000"/>
                <w:sz w:val="20"/>
                <w:szCs w:val="20"/>
              </w:rPr>
              <w:t>PM13 (Obligation to share)</w:t>
            </w:r>
          </w:p>
        </w:tc>
        <w:tc>
          <w:tcPr>
            <w:tcW w:w="249" w:type="pct"/>
            <w:tcBorders>
              <w:top w:val="nil"/>
              <w:left w:val="nil"/>
              <w:bottom w:val="single" w:sz="4" w:space="0" w:color="auto"/>
              <w:right w:val="single" w:sz="4" w:space="0" w:color="auto"/>
            </w:tcBorders>
            <w:shd w:val="clear" w:color="000000" w:fill="FFFFFF"/>
            <w:noWrap/>
            <w:hideMark/>
          </w:tcPr>
          <w:p w14:paraId="6879E137" w14:textId="77777777" w:rsidR="00505E10" w:rsidRDefault="00505E10">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26C1E47C" w14:textId="77777777" w:rsidR="00505E10" w:rsidRDefault="00505E10">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776729EF" w14:textId="77777777" w:rsidR="00505E10" w:rsidRDefault="00505E10">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4BC09B34" w14:textId="77777777" w:rsidR="00505E10" w:rsidRDefault="00505E10">
            <w:pPr>
              <w:rPr>
                <w:noProof/>
                <w:color w:val="000000"/>
                <w:sz w:val="20"/>
                <w:szCs w:val="20"/>
              </w:rPr>
            </w:pPr>
            <w:r>
              <w:rPr>
                <w:noProof/>
                <w:color w:val="000000"/>
                <w:sz w:val="20"/>
                <w:szCs w:val="20"/>
              </w:rPr>
              <w:t> </w:t>
            </w:r>
          </w:p>
        </w:tc>
        <w:tc>
          <w:tcPr>
            <w:tcW w:w="249" w:type="pct"/>
            <w:tcBorders>
              <w:top w:val="nil"/>
              <w:left w:val="nil"/>
              <w:bottom w:val="single" w:sz="4" w:space="0" w:color="auto"/>
              <w:right w:val="single" w:sz="4" w:space="0" w:color="auto"/>
            </w:tcBorders>
            <w:shd w:val="clear" w:color="000000" w:fill="FFFFFF"/>
            <w:noWrap/>
            <w:hideMark/>
          </w:tcPr>
          <w:p w14:paraId="370EEA97" w14:textId="77777777" w:rsidR="00505E10" w:rsidRDefault="00505E10">
            <w:pPr>
              <w:jc w:val="right"/>
              <w:rPr>
                <w:noProof/>
                <w:color w:val="000000"/>
                <w:sz w:val="20"/>
                <w:szCs w:val="20"/>
              </w:rPr>
            </w:pPr>
            <w:r>
              <w:rPr>
                <w:noProof/>
                <w:color w:val="000000"/>
                <w:sz w:val="20"/>
                <w:szCs w:val="20"/>
              </w:rPr>
              <w:t>13.4</w:t>
            </w:r>
          </w:p>
        </w:tc>
        <w:tc>
          <w:tcPr>
            <w:tcW w:w="249" w:type="pct"/>
            <w:tcBorders>
              <w:top w:val="nil"/>
              <w:left w:val="nil"/>
              <w:bottom w:val="single" w:sz="4" w:space="0" w:color="auto"/>
              <w:right w:val="single" w:sz="4" w:space="0" w:color="auto"/>
            </w:tcBorders>
            <w:shd w:val="clear" w:color="000000" w:fill="FFFFFF"/>
            <w:noWrap/>
            <w:hideMark/>
          </w:tcPr>
          <w:p w14:paraId="524A6E62" w14:textId="77777777" w:rsidR="00505E10" w:rsidRDefault="00505E10">
            <w:pPr>
              <w:jc w:val="right"/>
              <w:rPr>
                <w:noProof/>
                <w:color w:val="000000"/>
                <w:sz w:val="20"/>
                <w:szCs w:val="20"/>
              </w:rPr>
            </w:pPr>
            <w:r>
              <w:rPr>
                <w:noProof/>
                <w:color w:val="000000"/>
                <w:sz w:val="20"/>
                <w:szCs w:val="20"/>
              </w:rPr>
              <w:t>2.3</w:t>
            </w:r>
          </w:p>
        </w:tc>
        <w:tc>
          <w:tcPr>
            <w:tcW w:w="249" w:type="pct"/>
            <w:tcBorders>
              <w:top w:val="nil"/>
              <w:left w:val="nil"/>
              <w:bottom w:val="single" w:sz="4" w:space="0" w:color="auto"/>
              <w:right w:val="single" w:sz="4" w:space="0" w:color="auto"/>
            </w:tcBorders>
            <w:shd w:val="clear" w:color="000000" w:fill="FFFFFF"/>
            <w:noWrap/>
            <w:hideMark/>
          </w:tcPr>
          <w:p w14:paraId="0C79830A" w14:textId="77777777" w:rsidR="00505E10" w:rsidRDefault="00505E10">
            <w:pPr>
              <w:jc w:val="right"/>
              <w:rPr>
                <w:noProof/>
                <w:color w:val="000000"/>
                <w:sz w:val="20"/>
                <w:szCs w:val="20"/>
              </w:rPr>
            </w:pPr>
            <w:r>
              <w:rPr>
                <w:noProof/>
                <w:color w:val="000000"/>
                <w:sz w:val="20"/>
                <w:szCs w:val="20"/>
              </w:rPr>
              <w:t>4.0</w:t>
            </w:r>
          </w:p>
        </w:tc>
        <w:tc>
          <w:tcPr>
            <w:tcW w:w="249" w:type="pct"/>
            <w:tcBorders>
              <w:top w:val="nil"/>
              <w:left w:val="nil"/>
              <w:bottom w:val="single" w:sz="4" w:space="0" w:color="auto"/>
              <w:right w:val="single" w:sz="4" w:space="0" w:color="auto"/>
            </w:tcBorders>
            <w:shd w:val="clear" w:color="000000" w:fill="FFFFFF"/>
            <w:noWrap/>
            <w:hideMark/>
          </w:tcPr>
          <w:p w14:paraId="2CA4DD84"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4BD2E459" w14:textId="77777777" w:rsidR="00505E10" w:rsidRDefault="00505E10">
            <w:pPr>
              <w:jc w:val="right"/>
              <w:rPr>
                <w:noProof/>
                <w:color w:val="000000"/>
                <w:sz w:val="20"/>
                <w:szCs w:val="20"/>
              </w:rPr>
            </w:pPr>
            <w:r>
              <w:rPr>
                <w:noProof/>
                <w:color w:val="000000"/>
                <w:sz w:val="20"/>
                <w:szCs w:val="20"/>
              </w:rPr>
              <w:t>13.4</w:t>
            </w:r>
          </w:p>
        </w:tc>
        <w:tc>
          <w:tcPr>
            <w:tcW w:w="249" w:type="pct"/>
            <w:tcBorders>
              <w:top w:val="nil"/>
              <w:left w:val="nil"/>
              <w:bottom w:val="single" w:sz="4" w:space="0" w:color="auto"/>
              <w:right w:val="single" w:sz="4" w:space="0" w:color="auto"/>
            </w:tcBorders>
            <w:shd w:val="clear" w:color="000000" w:fill="FFFFFF"/>
            <w:noWrap/>
            <w:hideMark/>
          </w:tcPr>
          <w:p w14:paraId="748F0A89" w14:textId="77777777" w:rsidR="00505E10" w:rsidRDefault="00505E10">
            <w:pPr>
              <w:jc w:val="right"/>
              <w:rPr>
                <w:noProof/>
                <w:color w:val="000000"/>
                <w:sz w:val="20"/>
                <w:szCs w:val="20"/>
              </w:rPr>
            </w:pPr>
            <w:r>
              <w:rPr>
                <w:noProof/>
                <w:color w:val="000000"/>
                <w:sz w:val="20"/>
                <w:szCs w:val="20"/>
              </w:rPr>
              <w:t>2.3</w:t>
            </w:r>
          </w:p>
        </w:tc>
        <w:tc>
          <w:tcPr>
            <w:tcW w:w="249" w:type="pct"/>
            <w:tcBorders>
              <w:top w:val="nil"/>
              <w:left w:val="nil"/>
              <w:bottom w:val="single" w:sz="4" w:space="0" w:color="auto"/>
              <w:right w:val="single" w:sz="4" w:space="0" w:color="auto"/>
            </w:tcBorders>
            <w:shd w:val="clear" w:color="000000" w:fill="FFFFFF"/>
            <w:noWrap/>
            <w:hideMark/>
          </w:tcPr>
          <w:p w14:paraId="2E9432AA" w14:textId="77777777" w:rsidR="00505E10" w:rsidRDefault="00505E10">
            <w:pPr>
              <w:jc w:val="right"/>
              <w:rPr>
                <w:noProof/>
                <w:color w:val="000000"/>
                <w:sz w:val="20"/>
                <w:szCs w:val="20"/>
              </w:rPr>
            </w:pPr>
            <w:r>
              <w:rPr>
                <w:noProof/>
                <w:color w:val="000000"/>
                <w:sz w:val="20"/>
                <w:szCs w:val="20"/>
              </w:rPr>
              <w:t>3.3</w:t>
            </w:r>
          </w:p>
        </w:tc>
        <w:tc>
          <w:tcPr>
            <w:tcW w:w="249" w:type="pct"/>
            <w:tcBorders>
              <w:top w:val="nil"/>
              <w:left w:val="nil"/>
              <w:bottom w:val="single" w:sz="4" w:space="0" w:color="auto"/>
              <w:right w:val="single" w:sz="4" w:space="0" w:color="auto"/>
            </w:tcBorders>
            <w:shd w:val="clear" w:color="000000" w:fill="FFFFFF"/>
            <w:noWrap/>
            <w:hideMark/>
          </w:tcPr>
          <w:p w14:paraId="06687835"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70D83190" w14:textId="77777777" w:rsidR="00505E10" w:rsidRDefault="00505E10">
            <w:pPr>
              <w:jc w:val="right"/>
              <w:rPr>
                <w:noProof/>
                <w:color w:val="000000"/>
                <w:sz w:val="20"/>
                <w:szCs w:val="20"/>
              </w:rPr>
            </w:pPr>
            <w:r>
              <w:rPr>
                <w:noProof/>
                <w:color w:val="000000"/>
                <w:sz w:val="20"/>
                <w:szCs w:val="20"/>
              </w:rPr>
              <w:t>4.6</w:t>
            </w:r>
          </w:p>
        </w:tc>
        <w:tc>
          <w:tcPr>
            <w:tcW w:w="249" w:type="pct"/>
            <w:tcBorders>
              <w:top w:val="nil"/>
              <w:left w:val="nil"/>
              <w:bottom w:val="single" w:sz="4" w:space="0" w:color="auto"/>
              <w:right w:val="single" w:sz="4" w:space="0" w:color="auto"/>
            </w:tcBorders>
            <w:shd w:val="clear" w:color="000000" w:fill="FFFFFF"/>
            <w:noWrap/>
            <w:hideMark/>
          </w:tcPr>
          <w:p w14:paraId="30F256E0" w14:textId="77777777" w:rsidR="00505E10" w:rsidRDefault="00505E10">
            <w:pPr>
              <w:jc w:val="right"/>
              <w:rPr>
                <w:noProof/>
                <w:color w:val="000000"/>
                <w:sz w:val="20"/>
                <w:szCs w:val="20"/>
              </w:rPr>
            </w:pPr>
            <w:r>
              <w:rPr>
                <w:noProof/>
                <w:color w:val="000000"/>
                <w:sz w:val="20"/>
                <w:szCs w:val="20"/>
              </w:rPr>
              <w:t>5.9</w:t>
            </w:r>
          </w:p>
        </w:tc>
        <w:tc>
          <w:tcPr>
            <w:tcW w:w="249" w:type="pct"/>
            <w:tcBorders>
              <w:top w:val="nil"/>
              <w:left w:val="nil"/>
              <w:bottom w:val="single" w:sz="4" w:space="0" w:color="auto"/>
              <w:right w:val="single" w:sz="4" w:space="0" w:color="auto"/>
            </w:tcBorders>
            <w:shd w:val="clear" w:color="000000" w:fill="FFFFFF"/>
            <w:noWrap/>
            <w:hideMark/>
          </w:tcPr>
          <w:p w14:paraId="5BFBA910" w14:textId="77777777" w:rsidR="00505E10" w:rsidRDefault="00505E10">
            <w:pPr>
              <w:jc w:val="right"/>
              <w:rPr>
                <w:noProof/>
                <w:color w:val="000000"/>
                <w:sz w:val="20"/>
                <w:szCs w:val="20"/>
              </w:rPr>
            </w:pPr>
            <w:r>
              <w:rPr>
                <w:noProof/>
                <w:color w:val="000000"/>
                <w:sz w:val="20"/>
                <w:szCs w:val="20"/>
              </w:rPr>
              <w:t>18.1</w:t>
            </w:r>
          </w:p>
        </w:tc>
        <w:tc>
          <w:tcPr>
            <w:tcW w:w="249" w:type="pct"/>
            <w:tcBorders>
              <w:top w:val="nil"/>
              <w:left w:val="nil"/>
              <w:bottom w:val="single" w:sz="4" w:space="0" w:color="auto"/>
              <w:right w:val="single" w:sz="4" w:space="0" w:color="auto"/>
            </w:tcBorders>
            <w:shd w:val="clear" w:color="000000" w:fill="FFFFFF"/>
            <w:noWrap/>
            <w:hideMark/>
          </w:tcPr>
          <w:p w14:paraId="6091B4E9" w14:textId="77777777" w:rsidR="00505E10" w:rsidRDefault="00505E10">
            <w:pPr>
              <w:jc w:val="right"/>
              <w:rPr>
                <w:noProof/>
                <w:color w:val="000000"/>
                <w:sz w:val="20"/>
                <w:szCs w:val="20"/>
              </w:rPr>
            </w:pPr>
            <w:r>
              <w:rPr>
                <w:noProof/>
                <w:color w:val="000000"/>
                <w:sz w:val="20"/>
                <w:szCs w:val="20"/>
              </w:rPr>
              <w:t>15.9</w:t>
            </w:r>
          </w:p>
        </w:tc>
      </w:tr>
      <w:tr w:rsidR="00505E10" w14:paraId="534123AB" w14:textId="77777777" w:rsidTr="00505E10">
        <w:trPr>
          <w:trHeight w:val="255"/>
        </w:trPr>
        <w:tc>
          <w:tcPr>
            <w:tcW w:w="1016" w:type="pct"/>
            <w:tcBorders>
              <w:top w:val="nil"/>
              <w:left w:val="single" w:sz="4" w:space="0" w:color="auto"/>
              <w:bottom w:val="single" w:sz="4" w:space="0" w:color="auto"/>
              <w:right w:val="single" w:sz="4" w:space="0" w:color="auto"/>
            </w:tcBorders>
            <w:shd w:val="clear" w:color="000000" w:fill="BDE3FF"/>
            <w:hideMark/>
          </w:tcPr>
          <w:p w14:paraId="4406E145" w14:textId="77777777" w:rsidR="00505E10" w:rsidRDefault="00505E10">
            <w:pPr>
              <w:rPr>
                <w:b/>
                <w:bCs/>
                <w:noProof/>
                <w:sz w:val="20"/>
                <w:szCs w:val="20"/>
              </w:rPr>
            </w:pPr>
            <w:r>
              <w:rPr>
                <w:b/>
                <w:bCs/>
                <w:noProof/>
                <w:sz w:val="20"/>
                <w:szCs w:val="20"/>
              </w:rPr>
              <w:t>Administrative costs</w:t>
            </w:r>
          </w:p>
        </w:tc>
        <w:tc>
          <w:tcPr>
            <w:tcW w:w="249" w:type="pct"/>
            <w:tcBorders>
              <w:top w:val="nil"/>
              <w:left w:val="nil"/>
              <w:bottom w:val="single" w:sz="4" w:space="0" w:color="auto"/>
              <w:right w:val="single" w:sz="4" w:space="0" w:color="auto"/>
            </w:tcBorders>
            <w:shd w:val="clear" w:color="000000" w:fill="BDE3FF"/>
            <w:hideMark/>
          </w:tcPr>
          <w:p w14:paraId="56FCE6DC"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3F317B1C"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684CBE4E"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632DAE12"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6A7BCC6B"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2A5E0395"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73BC3561"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1658CAAB"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6763C27B"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7928EA02"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31A63C33"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5160328A"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727FB2F1"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2800CD73"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41D67F08"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5CD42FF8" w14:textId="77777777" w:rsidR="00505E10" w:rsidRDefault="00505E10">
            <w:pPr>
              <w:jc w:val="right"/>
              <w:rPr>
                <w:b/>
                <w:bCs/>
                <w:noProof/>
                <w:sz w:val="20"/>
                <w:szCs w:val="20"/>
              </w:rPr>
            </w:pPr>
            <w:r>
              <w:rPr>
                <w:b/>
                <w:bCs/>
                <w:noProof/>
                <w:sz w:val="20"/>
                <w:szCs w:val="20"/>
              </w:rPr>
              <w:t>0.0</w:t>
            </w:r>
          </w:p>
        </w:tc>
      </w:tr>
      <w:tr w:rsidR="00DC4792" w14:paraId="76E7A9CE" w14:textId="77777777" w:rsidTr="00EC3CFC">
        <w:trPr>
          <w:trHeight w:val="510"/>
        </w:trPr>
        <w:tc>
          <w:tcPr>
            <w:tcW w:w="1016" w:type="pct"/>
            <w:tcBorders>
              <w:top w:val="nil"/>
              <w:left w:val="single" w:sz="4" w:space="0" w:color="auto"/>
              <w:bottom w:val="single" w:sz="4" w:space="0" w:color="auto"/>
              <w:right w:val="single" w:sz="4" w:space="0" w:color="auto"/>
            </w:tcBorders>
            <w:hideMark/>
          </w:tcPr>
          <w:p w14:paraId="05024A84" w14:textId="77777777" w:rsidR="00505E10" w:rsidRDefault="00505E10">
            <w:pPr>
              <w:rPr>
                <w:noProof/>
                <w:color w:val="000000"/>
                <w:sz w:val="20"/>
                <w:szCs w:val="20"/>
              </w:rPr>
            </w:pPr>
            <w:r>
              <w:rPr>
                <w:noProof/>
                <w:color w:val="000000"/>
                <w:sz w:val="20"/>
                <w:szCs w:val="20"/>
              </w:rPr>
              <w:t>PM10 (Designation of indispensable MDMS and RUs)</w:t>
            </w:r>
          </w:p>
        </w:tc>
        <w:tc>
          <w:tcPr>
            <w:tcW w:w="249" w:type="pct"/>
            <w:tcBorders>
              <w:top w:val="nil"/>
              <w:left w:val="nil"/>
              <w:bottom w:val="single" w:sz="4" w:space="0" w:color="auto"/>
              <w:right w:val="single" w:sz="4" w:space="0" w:color="auto"/>
            </w:tcBorders>
            <w:shd w:val="clear" w:color="000000" w:fill="FFFFFF"/>
            <w:noWrap/>
            <w:hideMark/>
          </w:tcPr>
          <w:p w14:paraId="43F152F0"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1C07A8BE"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6CE1358C"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16D0225D"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49C30FD8"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5B43A4F0"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4D1B725D"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30FF3832"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4A1BAAE8"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227870D5"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018D5A19"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26C625D5"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1AA6316D"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74C2E7CB"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744339FC"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52147C0C" w14:textId="77777777" w:rsidR="00505E10" w:rsidRDefault="00505E10">
            <w:pPr>
              <w:jc w:val="right"/>
              <w:rPr>
                <w:noProof/>
                <w:color w:val="000000"/>
                <w:sz w:val="20"/>
                <w:szCs w:val="20"/>
              </w:rPr>
            </w:pPr>
            <w:r>
              <w:rPr>
                <w:noProof/>
                <w:color w:val="000000"/>
                <w:sz w:val="20"/>
                <w:szCs w:val="20"/>
              </w:rPr>
              <w:t>0.0</w:t>
            </w:r>
          </w:p>
        </w:tc>
      </w:tr>
      <w:tr w:rsidR="00505E10" w14:paraId="11B24288" w14:textId="77777777" w:rsidTr="00505E10">
        <w:trPr>
          <w:trHeight w:val="255"/>
        </w:trPr>
        <w:tc>
          <w:tcPr>
            <w:tcW w:w="1016" w:type="pct"/>
            <w:tcBorders>
              <w:top w:val="nil"/>
              <w:left w:val="single" w:sz="4" w:space="0" w:color="auto"/>
              <w:bottom w:val="single" w:sz="4" w:space="0" w:color="auto"/>
              <w:right w:val="single" w:sz="4" w:space="0" w:color="auto"/>
            </w:tcBorders>
            <w:shd w:val="clear" w:color="000000" w:fill="BDE3FF"/>
            <w:hideMark/>
          </w:tcPr>
          <w:p w14:paraId="306A2EAF" w14:textId="77777777" w:rsidR="00505E10" w:rsidRDefault="00505E10">
            <w:pPr>
              <w:rPr>
                <w:b/>
                <w:bCs/>
                <w:noProof/>
                <w:sz w:val="20"/>
                <w:szCs w:val="20"/>
              </w:rPr>
            </w:pPr>
            <w:r>
              <w:rPr>
                <w:b/>
                <w:bCs/>
                <w:noProof/>
                <w:sz w:val="20"/>
                <w:szCs w:val="20"/>
              </w:rPr>
              <w:t>Adjustment cost savings</w:t>
            </w:r>
          </w:p>
        </w:tc>
        <w:tc>
          <w:tcPr>
            <w:tcW w:w="249" w:type="pct"/>
            <w:tcBorders>
              <w:top w:val="nil"/>
              <w:left w:val="nil"/>
              <w:bottom w:val="single" w:sz="4" w:space="0" w:color="auto"/>
              <w:right w:val="single" w:sz="4" w:space="0" w:color="auto"/>
            </w:tcBorders>
            <w:shd w:val="clear" w:color="000000" w:fill="BDE3FF"/>
            <w:hideMark/>
          </w:tcPr>
          <w:p w14:paraId="748DCA4F" w14:textId="77777777" w:rsidR="00505E10" w:rsidRDefault="00505E10">
            <w:pPr>
              <w:jc w:val="right"/>
              <w:rPr>
                <w:b/>
                <w:bCs/>
                <w:noProof/>
                <w:sz w:val="20"/>
                <w:szCs w:val="20"/>
              </w:rPr>
            </w:pPr>
            <w:r>
              <w:rPr>
                <w:b/>
                <w:bCs/>
                <w:noProof/>
                <w:sz w:val="20"/>
                <w:szCs w:val="20"/>
              </w:rPr>
              <w:t>0.0</w:t>
            </w:r>
          </w:p>
        </w:tc>
        <w:tc>
          <w:tcPr>
            <w:tcW w:w="249" w:type="pct"/>
            <w:tcBorders>
              <w:top w:val="nil"/>
              <w:left w:val="nil"/>
              <w:bottom w:val="single" w:sz="4" w:space="0" w:color="auto"/>
              <w:right w:val="single" w:sz="4" w:space="0" w:color="auto"/>
            </w:tcBorders>
            <w:shd w:val="clear" w:color="000000" w:fill="BDE3FF"/>
            <w:hideMark/>
          </w:tcPr>
          <w:p w14:paraId="7E9737A0" w14:textId="77777777" w:rsidR="00505E10" w:rsidRDefault="00505E10">
            <w:pPr>
              <w:jc w:val="right"/>
              <w:rPr>
                <w:b/>
                <w:bCs/>
                <w:noProof/>
                <w:sz w:val="20"/>
                <w:szCs w:val="20"/>
              </w:rPr>
            </w:pPr>
            <w:r>
              <w:rPr>
                <w:b/>
                <w:bCs/>
                <w:noProof/>
                <w:sz w:val="20"/>
                <w:szCs w:val="20"/>
              </w:rPr>
              <w:t>0.8</w:t>
            </w:r>
          </w:p>
        </w:tc>
        <w:tc>
          <w:tcPr>
            <w:tcW w:w="249" w:type="pct"/>
            <w:tcBorders>
              <w:top w:val="nil"/>
              <w:left w:val="nil"/>
              <w:bottom w:val="single" w:sz="4" w:space="0" w:color="auto"/>
              <w:right w:val="single" w:sz="4" w:space="0" w:color="auto"/>
            </w:tcBorders>
            <w:shd w:val="clear" w:color="000000" w:fill="BDE3FF"/>
            <w:hideMark/>
          </w:tcPr>
          <w:p w14:paraId="0A3DE9F1" w14:textId="77777777" w:rsidR="00505E10" w:rsidRDefault="00505E10">
            <w:pPr>
              <w:jc w:val="right"/>
              <w:rPr>
                <w:b/>
                <w:bCs/>
                <w:noProof/>
                <w:sz w:val="20"/>
                <w:szCs w:val="20"/>
              </w:rPr>
            </w:pPr>
            <w:r>
              <w:rPr>
                <w:b/>
                <w:bCs/>
                <w:noProof/>
                <w:sz w:val="20"/>
                <w:szCs w:val="20"/>
              </w:rPr>
              <w:t>1.2</w:t>
            </w:r>
          </w:p>
        </w:tc>
        <w:tc>
          <w:tcPr>
            <w:tcW w:w="249" w:type="pct"/>
            <w:tcBorders>
              <w:top w:val="nil"/>
              <w:left w:val="nil"/>
              <w:bottom w:val="single" w:sz="4" w:space="0" w:color="auto"/>
              <w:right w:val="single" w:sz="4" w:space="0" w:color="auto"/>
            </w:tcBorders>
            <w:shd w:val="clear" w:color="000000" w:fill="BDE3FF"/>
            <w:hideMark/>
          </w:tcPr>
          <w:p w14:paraId="04447CED" w14:textId="77777777" w:rsidR="00505E10" w:rsidRDefault="00505E10">
            <w:pPr>
              <w:jc w:val="right"/>
              <w:rPr>
                <w:b/>
                <w:bCs/>
                <w:noProof/>
                <w:sz w:val="20"/>
                <w:szCs w:val="20"/>
              </w:rPr>
            </w:pPr>
            <w:r>
              <w:rPr>
                <w:b/>
                <w:bCs/>
                <w:noProof/>
                <w:sz w:val="20"/>
                <w:szCs w:val="20"/>
              </w:rPr>
              <w:t>0.4</w:t>
            </w:r>
          </w:p>
        </w:tc>
        <w:tc>
          <w:tcPr>
            <w:tcW w:w="249" w:type="pct"/>
            <w:tcBorders>
              <w:top w:val="nil"/>
              <w:left w:val="nil"/>
              <w:bottom w:val="single" w:sz="4" w:space="0" w:color="auto"/>
              <w:right w:val="single" w:sz="4" w:space="0" w:color="auto"/>
            </w:tcBorders>
            <w:shd w:val="clear" w:color="000000" w:fill="BDE3FF"/>
            <w:hideMark/>
          </w:tcPr>
          <w:p w14:paraId="52793051" w14:textId="77777777" w:rsidR="00505E10" w:rsidRDefault="00505E10">
            <w:pPr>
              <w:jc w:val="right"/>
              <w:rPr>
                <w:b/>
                <w:bCs/>
                <w:noProof/>
                <w:sz w:val="20"/>
                <w:szCs w:val="20"/>
              </w:rPr>
            </w:pPr>
            <w:r>
              <w:rPr>
                <w:b/>
                <w:bCs/>
                <w:noProof/>
                <w:sz w:val="20"/>
                <w:szCs w:val="20"/>
              </w:rPr>
              <w:t>11.0</w:t>
            </w:r>
          </w:p>
        </w:tc>
        <w:tc>
          <w:tcPr>
            <w:tcW w:w="249" w:type="pct"/>
            <w:tcBorders>
              <w:top w:val="nil"/>
              <w:left w:val="nil"/>
              <w:bottom w:val="single" w:sz="4" w:space="0" w:color="auto"/>
              <w:right w:val="single" w:sz="4" w:space="0" w:color="auto"/>
            </w:tcBorders>
            <w:shd w:val="clear" w:color="000000" w:fill="BDE3FF"/>
            <w:hideMark/>
          </w:tcPr>
          <w:p w14:paraId="0E3F7150" w14:textId="77777777" w:rsidR="00505E10" w:rsidRDefault="00505E10">
            <w:pPr>
              <w:jc w:val="right"/>
              <w:rPr>
                <w:b/>
                <w:bCs/>
                <w:noProof/>
                <w:sz w:val="20"/>
                <w:szCs w:val="20"/>
              </w:rPr>
            </w:pPr>
            <w:r>
              <w:rPr>
                <w:b/>
                <w:bCs/>
                <w:noProof/>
                <w:sz w:val="20"/>
                <w:szCs w:val="20"/>
              </w:rPr>
              <w:t>4.7</w:t>
            </w:r>
          </w:p>
        </w:tc>
        <w:tc>
          <w:tcPr>
            <w:tcW w:w="249" w:type="pct"/>
            <w:tcBorders>
              <w:top w:val="nil"/>
              <w:left w:val="nil"/>
              <w:bottom w:val="single" w:sz="4" w:space="0" w:color="auto"/>
              <w:right w:val="single" w:sz="4" w:space="0" w:color="auto"/>
            </w:tcBorders>
            <w:shd w:val="clear" w:color="000000" w:fill="BDE3FF"/>
            <w:hideMark/>
          </w:tcPr>
          <w:p w14:paraId="32EAD464" w14:textId="77777777" w:rsidR="00505E10" w:rsidRDefault="00505E10">
            <w:pPr>
              <w:jc w:val="right"/>
              <w:rPr>
                <w:b/>
                <w:bCs/>
                <w:noProof/>
                <w:sz w:val="20"/>
                <w:szCs w:val="20"/>
              </w:rPr>
            </w:pPr>
            <w:r>
              <w:rPr>
                <w:b/>
                <w:bCs/>
                <w:noProof/>
                <w:sz w:val="20"/>
                <w:szCs w:val="20"/>
              </w:rPr>
              <w:t>13.2</w:t>
            </w:r>
          </w:p>
        </w:tc>
        <w:tc>
          <w:tcPr>
            <w:tcW w:w="249" w:type="pct"/>
            <w:tcBorders>
              <w:top w:val="nil"/>
              <w:left w:val="nil"/>
              <w:bottom w:val="single" w:sz="4" w:space="0" w:color="auto"/>
              <w:right w:val="single" w:sz="4" w:space="0" w:color="auto"/>
            </w:tcBorders>
            <w:shd w:val="clear" w:color="000000" w:fill="BDE3FF"/>
            <w:hideMark/>
          </w:tcPr>
          <w:p w14:paraId="75E2E15B" w14:textId="77777777" w:rsidR="00505E10" w:rsidRDefault="00505E10">
            <w:pPr>
              <w:jc w:val="right"/>
              <w:rPr>
                <w:b/>
                <w:bCs/>
                <w:noProof/>
                <w:sz w:val="20"/>
                <w:szCs w:val="20"/>
              </w:rPr>
            </w:pPr>
            <w:r>
              <w:rPr>
                <w:b/>
                <w:bCs/>
                <w:noProof/>
                <w:sz w:val="20"/>
                <w:szCs w:val="20"/>
              </w:rPr>
              <w:t>7.8</w:t>
            </w:r>
          </w:p>
        </w:tc>
        <w:tc>
          <w:tcPr>
            <w:tcW w:w="249" w:type="pct"/>
            <w:tcBorders>
              <w:top w:val="nil"/>
              <w:left w:val="nil"/>
              <w:bottom w:val="single" w:sz="4" w:space="0" w:color="auto"/>
              <w:right w:val="single" w:sz="4" w:space="0" w:color="auto"/>
            </w:tcBorders>
            <w:shd w:val="clear" w:color="000000" w:fill="BDE3FF"/>
            <w:hideMark/>
          </w:tcPr>
          <w:p w14:paraId="1BEC68E1" w14:textId="77777777" w:rsidR="00505E10" w:rsidRDefault="00505E10">
            <w:pPr>
              <w:jc w:val="right"/>
              <w:rPr>
                <w:b/>
                <w:bCs/>
                <w:noProof/>
                <w:sz w:val="20"/>
                <w:szCs w:val="20"/>
              </w:rPr>
            </w:pPr>
            <w:r>
              <w:rPr>
                <w:b/>
                <w:bCs/>
                <w:noProof/>
                <w:sz w:val="20"/>
                <w:szCs w:val="20"/>
              </w:rPr>
              <w:t>11.1</w:t>
            </w:r>
          </w:p>
        </w:tc>
        <w:tc>
          <w:tcPr>
            <w:tcW w:w="249" w:type="pct"/>
            <w:tcBorders>
              <w:top w:val="nil"/>
              <w:left w:val="nil"/>
              <w:bottom w:val="single" w:sz="4" w:space="0" w:color="auto"/>
              <w:right w:val="single" w:sz="4" w:space="0" w:color="auto"/>
            </w:tcBorders>
            <w:shd w:val="clear" w:color="000000" w:fill="BDE3FF"/>
            <w:hideMark/>
          </w:tcPr>
          <w:p w14:paraId="57804D4A" w14:textId="77777777" w:rsidR="00505E10" w:rsidRDefault="00505E10">
            <w:pPr>
              <w:jc w:val="right"/>
              <w:rPr>
                <w:b/>
                <w:bCs/>
                <w:noProof/>
                <w:sz w:val="20"/>
                <w:szCs w:val="20"/>
              </w:rPr>
            </w:pPr>
            <w:r>
              <w:rPr>
                <w:b/>
                <w:bCs/>
                <w:noProof/>
                <w:sz w:val="20"/>
                <w:szCs w:val="20"/>
              </w:rPr>
              <w:t>4.6</w:t>
            </w:r>
          </w:p>
        </w:tc>
        <w:tc>
          <w:tcPr>
            <w:tcW w:w="249" w:type="pct"/>
            <w:tcBorders>
              <w:top w:val="nil"/>
              <w:left w:val="nil"/>
              <w:bottom w:val="single" w:sz="4" w:space="0" w:color="auto"/>
              <w:right w:val="single" w:sz="4" w:space="0" w:color="auto"/>
            </w:tcBorders>
            <w:shd w:val="clear" w:color="000000" w:fill="BDE3FF"/>
            <w:hideMark/>
          </w:tcPr>
          <w:p w14:paraId="7021E9A5" w14:textId="77777777" w:rsidR="00505E10" w:rsidRDefault="00505E10">
            <w:pPr>
              <w:jc w:val="right"/>
              <w:rPr>
                <w:b/>
                <w:bCs/>
                <w:noProof/>
                <w:sz w:val="20"/>
                <w:szCs w:val="20"/>
              </w:rPr>
            </w:pPr>
            <w:r>
              <w:rPr>
                <w:b/>
                <w:bCs/>
                <w:noProof/>
                <w:sz w:val="20"/>
                <w:szCs w:val="20"/>
              </w:rPr>
              <w:t>11.3</w:t>
            </w:r>
          </w:p>
        </w:tc>
        <w:tc>
          <w:tcPr>
            <w:tcW w:w="249" w:type="pct"/>
            <w:tcBorders>
              <w:top w:val="nil"/>
              <w:left w:val="nil"/>
              <w:bottom w:val="single" w:sz="4" w:space="0" w:color="auto"/>
              <w:right w:val="single" w:sz="4" w:space="0" w:color="auto"/>
            </w:tcBorders>
            <w:shd w:val="clear" w:color="000000" w:fill="BDE3FF"/>
            <w:hideMark/>
          </w:tcPr>
          <w:p w14:paraId="600D5002" w14:textId="77777777" w:rsidR="00505E10" w:rsidRDefault="00505E10">
            <w:pPr>
              <w:jc w:val="right"/>
              <w:rPr>
                <w:b/>
                <w:bCs/>
                <w:noProof/>
                <w:sz w:val="20"/>
                <w:szCs w:val="20"/>
              </w:rPr>
            </w:pPr>
            <w:r>
              <w:rPr>
                <w:b/>
                <w:bCs/>
                <w:noProof/>
                <w:sz w:val="20"/>
                <w:szCs w:val="20"/>
              </w:rPr>
              <w:t>7.8</w:t>
            </w:r>
          </w:p>
        </w:tc>
        <w:tc>
          <w:tcPr>
            <w:tcW w:w="249" w:type="pct"/>
            <w:tcBorders>
              <w:top w:val="nil"/>
              <w:left w:val="nil"/>
              <w:bottom w:val="single" w:sz="4" w:space="0" w:color="auto"/>
              <w:right w:val="single" w:sz="4" w:space="0" w:color="auto"/>
            </w:tcBorders>
            <w:shd w:val="clear" w:color="000000" w:fill="BDE3FF"/>
            <w:hideMark/>
          </w:tcPr>
          <w:p w14:paraId="79C33A4F" w14:textId="77777777" w:rsidR="00505E10" w:rsidRDefault="00505E10">
            <w:pPr>
              <w:jc w:val="right"/>
              <w:rPr>
                <w:b/>
                <w:bCs/>
                <w:noProof/>
                <w:sz w:val="20"/>
                <w:szCs w:val="20"/>
              </w:rPr>
            </w:pPr>
            <w:r>
              <w:rPr>
                <w:b/>
                <w:bCs/>
                <w:noProof/>
                <w:sz w:val="20"/>
                <w:szCs w:val="20"/>
              </w:rPr>
              <w:t>12.3</w:t>
            </w:r>
          </w:p>
        </w:tc>
        <w:tc>
          <w:tcPr>
            <w:tcW w:w="249" w:type="pct"/>
            <w:tcBorders>
              <w:top w:val="nil"/>
              <w:left w:val="nil"/>
              <w:bottom w:val="single" w:sz="4" w:space="0" w:color="auto"/>
              <w:right w:val="single" w:sz="4" w:space="0" w:color="auto"/>
            </w:tcBorders>
            <w:shd w:val="clear" w:color="000000" w:fill="BDE3FF"/>
            <w:hideMark/>
          </w:tcPr>
          <w:p w14:paraId="51A0E3E1" w14:textId="77777777" w:rsidR="00505E10" w:rsidRDefault="00505E10">
            <w:pPr>
              <w:jc w:val="right"/>
              <w:rPr>
                <w:b/>
                <w:bCs/>
                <w:noProof/>
                <w:sz w:val="20"/>
                <w:szCs w:val="20"/>
              </w:rPr>
            </w:pPr>
            <w:r>
              <w:rPr>
                <w:b/>
                <w:bCs/>
                <w:noProof/>
                <w:sz w:val="20"/>
                <w:szCs w:val="20"/>
              </w:rPr>
              <w:t>4.6</w:t>
            </w:r>
          </w:p>
        </w:tc>
        <w:tc>
          <w:tcPr>
            <w:tcW w:w="249" w:type="pct"/>
            <w:tcBorders>
              <w:top w:val="nil"/>
              <w:left w:val="nil"/>
              <w:bottom w:val="single" w:sz="4" w:space="0" w:color="auto"/>
              <w:right w:val="single" w:sz="4" w:space="0" w:color="auto"/>
            </w:tcBorders>
            <w:shd w:val="clear" w:color="000000" w:fill="BDE3FF"/>
            <w:hideMark/>
          </w:tcPr>
          <w:p w14:paraId="24532042" w14:textId="77777777" w:rsidR="00505E10" w:rsidRDefault="00505E10">
            <w:pPr>
              <w:jc w:val="right"/>
              <w:rPr>
                <w:b/>
                <w:bCs/>
                <w:noProof/>
                <w:sz w:val="20"/>
                <w:szCs w:val="20"/>
              </w:rPr>
            </w:pPr>
            <w:r>
              <w:rPr>
                <w:b/>
                <w:bCs/>
                <w:noProof/>
                <w:sz w:val="20"/>
                <w:szCs w:val="20"/>
              </w:rPr>
              <w:t>12.3</w:t>
            </w:r>
          </w:p>
        </w:tc>
        <w:tc>
          <w:tcPr>
            <w:tcW w:w="249" w:type="pct"/>
            <w:tcBorders>
              <w:top w:val="nil"/>
              <w:left w:val="nil"/>
              <w:bottom w:val="single" w:sz="4" w:space="0" w:color="auto"/>
              <w:right w:val="single" w:sz="4" w:space="0" w:color="auto"/>
            </w:tcBorders>
            <w:shd w:val="clear" w:color="000000" w:fill="BDE3FF"/>
            <w:hideMark/>
          </w:tcPr>
          <w:p w14:paraId="24093E93" w14:textId="77777777" w:rsidR="00505E10" w:rsidRDefault="00505E10">
            <w:pPr>
              <w:jc w:val="right"/>
              <w:rPr>
                <w:b/>
                <w:bCs/>
                <w:noProof/>
                <w:sz w:val="20"/>
                <w:szCs w:val="20"/>
              </w:rPr>
            </w:pPr>
            <w:r>
              <w:rPr>
                <w:b/>
                <w:bCs/>
                <w:noProof/>
                <w:sz w:val="20"/>
                <w:szCs w:val="20"/>
              </w:rPr>
              <w:t>7.8</w:t>
            </w:r>
          </w:p>
        </w:tc>
      </w:tr>
      <w:tr w:rsidR="00DC4792" w14:paraId="46ECE16A" w14:textId="77777777" w:rsidTr="00505E10">
        <w:trPr>
          <w:trHeight w:val="510"/>
        </w:trPr>
        <w:tc>
          <w:tcPr>
            <w:tcW w:w="1016" w:type="pct"/>
            <w:tcBorders>
              <w:top w:val="nil"/>
              <w:left w:val="single" w:sz="4" w:space="0" w:color="auto"/>
              <w:bottom w:val="single" w:sz="4" w:space="0" w:color="auto"/>
              <w:right w:val="single" w:sz="4" w:space="0" w:color="auto"/>
            </w:tcBorders>
            <w:hideMark/>
          </w:tcPr>
          <w:p w14:paraId="7EAF0690" w14:textId="77777777" w:rsidR="00505E10" w:rsidRDefault="00505E10">
            <w:pPr>
              <w:rPr>
                <w:noProof/>
                <w:color w:val="000000"/>
                <w:sz w:val="20"/>
                <w:szCs w:val="20"/>
              </w:rPr>
            </w:pPr>
            <w:r>
              <w:rPr>
                <w:noProof/>
                <w:color w:val="000000"/>
                <w:sz w:val="20"/>
                <w:szCs w:val="20"/>
              </w:rPr>
              <w:t>PM11 (Commercial agreement rules indispensable MDMS)</w:t>
            </w:r>
          </w:p>
        </w:tc>
        <w:tc>
          <w:tcPr>
            <w:tcW w:w="249" w:type="pct"/>
            <w:tcBorders>
              <w:top w:val="nil"/>
              <w:left w:val="nil"/>
              <w:bottom w:val="single" w:sz="4" w:space="0" w:color="auto"/>
              <w:right w:val="single" w:sz="4" w:space="0" w:color="auto"/>
            </w:tcBorders>
            <w:shd w:val="clear" w:color="000000" w:fill="FFFFFF"/>
            <w:noWrap/>
            <w:hideMark/>
          </w:tcPr>
          <w:p w14:paraId="1B9BB422"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3F5A2C88" w14:textId="77777777" w:rsidR="00505E10" w:rsidRDefault="00505E10">
            <w:pPr>
              <w:jc w:val="right"/>
              <w:rPr>
                <w:noProof/>
                <w:color w:val="000000"/>
                <w:sz w:val="20"/>
                <w:szCs w:val="20"/>
              </w:rPr>
            </w:pPr>
            <w:r>
              <w:rPr>
                <w:noProof/>
                <w:color w:val="000000"/>
                <w:sz w:val="20"/>
                <w:szCs w:val="20"/>
              </w:rPr>
              <w:t>0.7</w:t>
            </w:r>
          </w:p>
        </w:tc>
        <w:tc>
          <w:tcPr>
            <w:tcW w:w="249" w:type="pct"/>
            <w:tcBorders>
              <w:top w:val="nil"/>
              <w:left w:val="nil"/>
              <w:bottom w:val="single" w:sz="4" w:space="0" w:color="auto"/>
              <w:right w:val="single" w:sz="4" w:space="0" w:color="auto"/>
            </w:tcBorders>
            <w:shd w:val="clear" w:color="000000" w:fill="FFFFFF"/>
            <w:noWrap/>
            <w:hideMark/>
          </w:tcPr>
          <w:p w14:paraId="016B2F62" w14:textId="77777777" w:rsidR="00505E10" w:rsidRDefault="00505E10">
            <w:pPr>
              <w:jc w:val="right"/>
              <w:rPr>
                <w:noProof/>
                <w:color w:val="000000"/>
                <w:sz w:val="20"/>
                <w:szCs w:val="20"/>
              </w:rPr>
            </w:pPr>
            <w:r>
              <w:rPr>
                <w:noProof/>
                <w:color w:val="000000"/>
                <w:sz w:val="20"/>
                <w:szCs w:val="20"/>
              </w:rPr>
              <w:t>1.1</w:t>
            </w:r>
          </w:p>
        </w:tc>
        <w:tc>
          <w:tcPr>
            <w:tcW w:w="249" w:type="pct"/>
            <w:tcBorders>
              <w:top w:val="nil"/>
              <w:left w:val="nil"/>
              <w:bottom w:val="single" w:sz="4" w:space="0" w:color="auto"/>
              <w:right w:val="single" w:sz="4" w:space="0" w:color="auto"/>
            </w:tcBorders>
            <w:shd w:val="clear" w:color="000000" w:fill="FFFFFF"/>
            <w:noWrap/>
            <w:hideMark/>
          </w:tcPr>
          <w:p w14:paraId="08056B24" w14:textId="77777777" w:rsidR="00505E10" w:rsidRDefault="00505E10">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52EC01D2" w14:textId="77777777" w:rsidR="00505E10" w:rsidRDefault="00505E10">
            <w:pPr>
              <w:jc w:val="right"/>
              <w:rPr>
                <w:noProof/>
                <w:color w:val="000000"/>
                <w:sz w:val="20"/>
                <w:szCs w:val="20"/>
              </w:rPr>
            </w:pPr>
            <w:r>
              <w:rPr>
                <w:noProof/>
                <w:color w:val="000000"/>
                <w:sz w:val="20"/>
                <w:szCs w:val="20"/>
              </w:rPr>
              <w:t>9.9</w:t>
            </w:r>
          </w:p>
        </w:tc>
        <w:tc>
          <w:tcPr>
            <w:tcW w:w="249" w:type="pct"/>
            <w:tcBorders>
              <w:top w:val="nil"/>
              <w:left w:val="nil"/>
              <w:bottom w:val="single" w:sz="4" w:space="0" w:color="auto"/>
              <w:right w:val="single" w:sz="4" w:space="0" w:color="auto"/>
            </w:tcBorders>
            <w:shd w:val="clear" w:color="000000" w:fill="FFFFFF"/>
            <w:noWrap/>
            <w:hideMark/>
          </w:tcPr>
          <w:p w14:paraId="430EAE0B" w14:textId="77777777" w:rsidR="00505E10" w:rsidRDefault="00505E10">
            <w:pPr>
              <w:jc w:val="right"/>
              <w:rPr>
                <w:noProof/>
                <w:color w:val="000000"/>
                <w:sz w:val="20"/>
                <w:szCs w:val="20"/>
              </w:rPr>
            </w:pPr>
            <w:r>
              <w:rPr>
                <w:noProof/>
                <w:color w:val="000000"/>
                <w:sz w:val="20"/>
                <w:szCs w:val="20"/>
              </w:rPr>
              <w:t>4.2</w:t>
            </w:r>
          </w:p>
        </w:tc>
        <w:tc>
          <w:tcPr>
            <w:tcW w:w="249" w:type="pct"/>
            <w:tcBorders>
              <w:top w:val="nil"/>
              <w:left w:val="nil"/>
              <w:bottom w:val="single" w:sz="4" w:space="0" w:color="auto"/>
              <w:right w:val="single" w:sz="4" w:space="0" w:color="auto"/>
            </w:tcBorders>
            <w:shd w:val="clear" w:color="000000" w:fill="FFFFFF"/>
            <w:noWrap/>
            <w:hideMark/>
          </w:tcPr>
          <w:p w14:paraId="2537A893" w14:textId="77777777" w:rsidR="00505E10" w:rsidRDefault="00505E10">
            <w:pPr>
              <w:jc w:val="right"/>
              <w:rPr>
                <w:noProof/>
                <w:color w:val="000000"/>
                <w:sz w:val="20"/>
                <w:szCs w:val="20"/>
              </w:rPr>
            </w:pPr>
            <w:r>
              <w:rPr>
                <w:noProof/>
                <w:color w:val="000000"/>
                <w:sz w:val="20"/>
                <w:szCs w:val="20"/>
              </w:rPr>
              <w:t>12.1</w:t>
            </w:r>
          </w:p>
        </w:tc>
        <w:tc>
          <w:tcPr>
            <w:tcW w:w="249" w:type="pct"/>
            <w:tcBorders>
              <w:top w:val="nil"/>
              <w:left w:val="nil"/>
              <w:bottom w:val="single" w:sz="4" w:space="0" w:color="auto"/>
              <w:right w:val="single" w:sz="4" w:space="0" w:color="auto"/>
            </w:tcBorders>
            <w:shd w:val="clear" w:color="000000" w:fill="FFFFFF"/>
            <w:noWrap/>
            <w:hideMark/>
          </w:tcPr>
          <w:p w14:paraId="634ADB4E" w14:textId="77777777" w:rsidR="00505E10" w:rsidRDefault="00505E10">
            <w:pPr>
              <w:jc w:val="right"/>
              <w:rPr>
                <w:noProof/>
                <w:color w:val="000000"/>
                <w:sz w:val="20"/>
                <w:szCs w:val="20"/>
              </w:rPr>
            </w:pPr>
            <w:r>
              <w:rPr>
                <w:noProof/>
                <w:color w:val="000000"/>
                <w:sz w:val="20"/>
                <w:szCs w:val="20"/>
              </w:rPr>
              <w:t>7.1</w:t>
            </w:r>
          </w:p>
        </w:tc>
        <w:tc>
          <w:tcPr>
            <w:tcW w:w="249" w:type="pct"/>
            <w:tcBorders>
              <w:top w:val="nil"/>
              <w:left w:val="nil"/>
              <w:bottom w:val="single" w:sz="4" w:space="0" w:color="auto"/>
              <w:right w:val="single" w:sz="4" w:space="0" w:color="auto"/>
            </w:tcBorders>
            <w:shd w:val="clear" w:color="000000" w:fill="FFFFFF"/>
            <w:noWrap/>
            <w:hideMark/>
          </w:tcPr>
          <w:p w14:paraId="49CC1940" w14:textId="77777777" w:rsidR="00505E10" w:rsidRDefault="00505E10">
            <w:pPr>
              <w:jc w:val="right"/>
              <w:rPr>
                <w:noProof/>
                <w:color w:val="000000"/>
                <w:sz w:val="20"/>
                <w:szCs w:val="20"/>
              </w:rPr>
            </w:pPr>
            <w:r>
              <w:rPr>
                <w:noProof/>
                <w:color w:val="000000"/>
                <w:sz w:val="20"/>
                <w:szCs w:val="20"/>
              </w:rPr>
              <w:t>9.9</w:t>
            </w:r>
          </w:p>
        </w:tc>
        <w:tc>
          <w:tcPr>
            <w:tcW w:w="249" w:type="pct"/>
            <w:tcBorders>
              <w:top w:val="nil"/>
              <w:left w:val="nil"/>
              <w:bottom w:val="single" w:sz="4" w:space="0" w:color="auto"/>
              <w:right w:val="single" w:sz="4" w:space="0" w:color="auto"/>
            </w:tcBorders>
            <w:shd w:val="clear" w:color="000000" w:fill="FFFFFF"/>
            <w:noWrap/>
            <w:hideMark/>
          </w:tcPr>
          <w:p w14:paraId="35F184E4" w14:textId="77777777" w:rsidR="00505E10" w:rsidRDefault="00505E10">
            <w:pPr>
              <w:jc w:val="right"/>
              <w:rPr>
                <w:noProof/>
                <w:color w:val="000000"/>
                <w:sz w:val="20"/>
                <w:szCs w:val="20"/>
              </w:rPr>
            </w:pPr>
            <w:r>
              <w:rPr>
                <w:noProof/>
                <w:color w:val="000000"/>
                <w:sz w:val="20"/>
                <w:szCs w:val="20"/>
              </w:rPr>
              <w:t>4.2</w:t>
            </w:r>
          </w:p>
        </w:tc>
        <w:tc>
          <w:tcPr>
            <w:tcW w:w="249" w:type="pct"/>
            <w:tcBorders>
              <w:top w:val="nil"/>
              <w:left w:val="nil"/>
              <w:bottom w:val="single" w:sz="4" w:space="0" w:color="auto"/>
              <w:right w:val="single" w:sz="4" w:space="0" w:color="auto"/>
            </w:tcBorders>
            <w:shd w:val="clear" w:color="000000" w:fill="FFFFFF"/>
            <w:noWrap/>
            <w:hideMark/>
          </w:tcPr>
          <w:p w14:paraId="0D83F41A" w14:textId="77777777" w:rsidR="00505E10" w:rsidRDefault="00505E10">
            <w:pPr>
              <w:jc w:val="right"/>
              <w:rPr>
                <w:noProof/>
                <w:color w:val="000000"/>
                <w:sz w:val="20"/>
                <w:szCs w:val="20"/>
              </w:rPr>
            </w:pPr>
            <w:r>
              <w:rPr>
                <w:noProof/>
                <w:color w:val="000000"/>
                <w:sz w:val="20"/>
                <w:szCs w:val="20"/>
              </w:rPr>
              <w:t>10.4</w:t>
            </w:r>
          </w:p>
        </w:tc>
        <w:tc>
          <w:tcPr>
            <w:tcW w:w="249" w:type="pct"/>
            <w:tcBorders>
              <w:top w:val="nil"/>
              <w:left w:val="nil"/>
              <w:bottom w:val="single" w:sz="4" w:space="0" w:color="auto"/>
              <w:right w:val="single" w:sz="4" w:space="0" w:color="auto"/>
            </w:tcBorders>
            <w:shd w:val="clear" w:color="000000" w:fill="FFFFFF"/>
            <w:noWrap/>
            <w:hideMark/>
          </w:tcPr>
          <w:p w14:paraId="1A3831AF" w14:textId="77777777" w:rsidR="00505E10" w:rsidRDefault="00505E10">
            <w:pPr>
              <w:jc w:val="right"/>
              <w:rPr>
                <w:noProof/>
                <w:color w:val="000000"/>
                <w:sz w:val="20"/>
                <w:szCs w:val="20"/>
              </w:rPr>
            </w:pPr>
            <w:r>
              <w:rPr>
                <w:noProof/>
                <w:color w:val="000000"/>
                <w:sz w:val="20"/>
                <w:szCs w:val="20"/>
              </w:rPr>
              <w:t>7.1</w:t>
            </w:r>
          </w:p>
        </w:tc>
        <w:tc>
          <w:tcPr>
            <w:tcW w:w="249" w:type="pct"/>
            <w:tcBorders>
              <w:top w:val="nil"/>
              <w:left w:val="nil"/>
              <w:bottom w:val="single" w:sz="4" w:space="0" w:color="auto"/>
              <w:right w:val="single" w:sz="4" w:space="0" w:color="auto"/>
            </w:tcBorders>
            <w:shd w:val="clear" w:color="000000" w:fill="FFFFFF"/>
            <w:noWrap/>
            <w:hideMark/>
          </w:tcPr>
          <w:p w14:paraId="78D6CECD" w14:textId="77777777" w:rsidR="00505E10" w:rsidRDefault="00505E10">
            <w:pPr>
              <w:jc w:val="right"/>
              <w:rPr>
                <w:noProof/>
                <w:color w:val="000000"/>
                <w:sz w:val="20"/>
                <w:szCs w:val="20"/>
              </w:rPr>
            </w:pPr>
            <w:r>
              <w:rPr>
                <w:noProof/>
                <w:color w:val="000000"/>
                <w:sz w:val="20"/>
                <w:szCs w:val="20"/>
              </w:rPr>
              <w:t>11.2</w:t>
            </w:r>
          </w:p>
        </w:tc>
        <w:tc>
          <w:tcPr>
            <w:tcW w:w="249" w:type="pct"/>
            <w:tcBorders>
              <w:top w:val="nil"/>
              <w:left w:val="nil"/>
              <w:bottom w:val="single" w:sz="4" w:space="0" w:color="auto"/>
              <w:right w:val="single" w:sz="4" w:space="0" w:color="auto"/>
            </w:tcBorders>
            <w:shd w:val="clear" w:color="000000" w:fill="FFFFFF"/>
            <w:noWrap/>
            <w:hideMark/>
          </w:tcPr>
          <w:p w14:paraId="63C89292" w14:textId="77777777" w:rsidR="00505E10" w:rsidRDefault="00505E10">
            <w:pPr>
              <w:jc w:val="right"/>
              <w:rPr>
                <w:noProof/>
                <w:color w:val="000000"/>
                <w:sz w:val="20"/>
                <w:szCs w:val="20"/>
              </w:rPr>
            </w:pPr>
            <w:r>
              <w:rPr>
                <w:noProof/>
                <w:color w:val="000000"/>
                <w:sz w:val="20"/>
                <w:szCs w:val="20"/>
              </w:rPr>
              <w:t>4.2</w:t>
            </w:r>
          </w:p>
        </w:tc>
        <w:tc>
          <w:tcPr>
            <w:tcW w:w="249" w:type="pct"/>
            <w:tcBorders>
              <w:top w:val="nil"/>
              <w:left w:val="nil"/>
              <w:bottom w:val="single" w:sz="4" w:space="0" w:color="auto"/>
              <w:right w:val="single" w:sz="4" w:space="0" w:color="auto"/>
            </w:tcBorders>
            <w:shd w:val="clear" w:color="000000" w:fill="FFFFFF"/>
            <w:noWrap/>
            <w:hideMark/>
          </w:tcPr>
          <w:p w14:paraId="20ABCDDF" w14:textId="77777777" w:rsidR="00505E10" w:rsidRDefault="00505E10">
            <w:pPr>
              <w:jc w:val="right"/>
              <w:rPr>
                <w:noProof/>
                <w:color w:val="000000"/>
                <w:sz w:val="20"/>
                <w:szCs w:val="20"/>
              </w:rPr>
            </w:pPr>
            <w:r>
              <w:rPr>
                <w:noProof/>
                <w:color w:val="000000"/>
                <w:sz w:val="20"/>
                <w:szCs w:val="20"/>
              </w:rPr>
              <w:t>11.2</w:t>
            </w:r>
          </w:p>
        </w:tc>
        <w:tc>
          <w:tcPr>
            <w:tcW w:w="249" w:type="pct"/>
            <w:tcBorders>
              <w:top w:val="nil"/>
              <w:left w:val="nil"/>
              <w:bottom w:val="single" w:sz="4" w:space="0" w:color="auto"/>
              <w:right w:val="single" w:sz="4" w:space="0" w:color="auto"/>
            </w:tcBorders>
            <w:shd w:val="clear" w:color="000000" w:fill="FFFFFF"/>
            <w:noWrap/>
            <w:hideMark/>
          </w:tcPr>
          <w:p w14:paraId="7A05ADE3" w14:textId="77777777" w:rsidR="00505E10" w:rsidRDefault="00505E10">
            <w:pPr>
              <w:jc w:val="right"/>
              <w:rPr>
                <w:noProof/>
                <w:color w:val="000000"/>
                <w:sz w:val="20"/>
                <w:szCs w:val="20"/>
              </w:rPr>
            </w:pPr>
            <w:r>
              <w:rPr>
                <w:noProof/>
                <w:color w:val="000000"/>
                <w:sz w:val="20"/>
                <w:szCs w:val="20"/>
              </w:rPr>
              <w:t>7.1</w:t>
            </w:r>
          </w:p>
        </w:tc>
      </w:tr>
      <w:tr w:rsidR="00DC4792" w14:paraId="09C26920" w14:textId="77777777" w:rsidTr="00505E10">
        <w:trPr>
          <w:trHeight w:val="510"/>
        </w:trPr>
        <w:tc>
          <w:tcPr>
            <w:tcW w:w="1016" w:type="pct"/>
            <w:tcBorders>
              <w:top w:val="nil"/>
              <w:left w:val="single" w:sz="4" w:space="0" w:color="auto"/>
              <w:bottom w:val="single" w:sz="4" w:space="0" w:color="auto"/>
              <w:right w:val="single" w:sz="4" w:space="0" w:color="auto"/>
            </w:tcBorders>
            <w:hideMark/>
          </w:tcPr>
          <w:p w14:paraId="08907468" w14:textId="77777777" w:rsidR="00505E10" w:rsidRDefault="00505E10">
            <w:pPr>
              <w:rPr>
                <w:noProof/>
                <w:color w:val="000000"/>
                <w:sz w:val="20"/>
                <w:szCs w:val="20"/>
              </w:rPr>
            </w:pPr>
            <w:r>
              <w:rPr>
                <w:noProof/>
                <w:color w:val="000000"/>
                <w:sz w:val="20"/>
                <w:szCs w:val="20"/>
              </w:rPr>
              <w:t>PM12 (Commercial agreement rules indispensable RUs)</w:t>
            </w:r>
          </w:p>
        </w:tc>
        <w:tc>
          <w:tcPr>
            <w:tcW w:w="249" w:type="pct"/>
            <w:tcBorders>
              <w:top w:val="nil"/>
              <w:left w:val="nil"/>
              <w:bottom w:val="single" w:sz="4" w:space="0" w:color="auto"/>
              <w:right w:val="single" w:sz="4" w:space="0" w:color="auto"/>
            </w:tcBorders>
            <w:shd w:val="clear" w:color="000000" w:fill="FFFFFF"/>
            <w:noWrap/>
            <w:hideMark/>
          </w:tcPr>
          <w:p w14:paraId="28CE658B"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111A3BF9" w14:textId="77777777" w:rsidR="00505E10" w:rsidRDefault="00505E10">
            <w:pPr>
              <w:jc w:val="right"/>
              <w:rPr>
                <w:noProof/>
                <w:color w:val="000000"/>
                <w:sz w:val="20"/>
                <w:szCs w:val="20"/>
              </w:rPr>
            </w:pPr>
            <w:r>
              <w:rPr>
                <w:noProof/>
                <w:color w:val="000000"/>
                <w:sz w:val="20"/>
                <w:szCs w:val="20"/>
              </w:rPr>
              <w:t>0.1</w:t>
            </w:r>
          </w:p>
        </w:tc>
        <w:tc>
          <w:tcPr>
            <w:tcW w:w="249" w:type="pct"/>
            <w:tcBorders>
              <w:top w:val="nil"/>
              <w:left w:val="nil"/>
              <w:bottom w:val="single" w:sz="4" w:space="0" w:color="auto"/>
              <w:right w:val="single" w:sz="4" w:space="0" w:color="auto"/>
            </w:tcBorders>
            <w:shd w:val="clear" w:color="000000" w:fill="FFFFFF"/>
            <w:noWrap/>
            <w:hideMark/>
          </w:tcPr>
          <w:p w14:paraId="367B74F5" w14:textId="77777777" w:rsidR="00505E10" w:rsidRDefault="00505E10">
            <w:pPr>
              <w:jc w:val="right"/>
              <w:rPr>
                <w:noProof/>
                <w:color w:val="000000"/>
                <w:sz w:val="20"/>
                <w:szCs w:val="20"/>
              </w:rPr>
            </w:pPr>
            <w:r>
              <w:rPr>
                <w:noProof/>
                <w:color w:val="000000"/>
                <w:sz w:val="20"/>
                <w:szCs w:val="20"/>
              </w:rPr>
              <w:t>0.1</w:t>
            </w:r>
          </w:p>
        </w:tc>
        <w:tc>
          <w:tcPr>
            <w:tcW w:w="249" w:type="pct"/>
            <w:tcBorders>
              <w:top w:val="nil"/>
              <w:left w:val="nil"/>
              <w:bottom w:val="single" w:sz="4" w:space="0" w:color="auto"/>
              <w:right w:val="single" w:sz="4" w:space="0" w:color="auto"/>
            </w:tcBorders>
            <w:shd w:val="clear" w:color="000000" w:fill="FFFFFF"/>
            <w:noWrap/>
            <w:hideMark/>
          </w:tcPr>
          <w:p w14:paraId="3942A901" w14:textId="77777777" w:rsidR="00505E10" w:rsidRDefault="00505E10">
            <w:pPr>
              <w:jc w:val="right"/>
              <w:rPr>
                <w:noProof/>
                <w:color w:val="000000"/>
                <w:sz w:val="20"/>
                <w:szCs w:val="20"/>
              </w:rPr>
            </w:pPr>
            <w:r>
              <w:rPr>
                <w:noProof/>
                <w:color w:val="000000"/>
                <w:sz w:val="20"/>
                <w:szCs w:val="20"/>
              </w:rPr>
              <w:t>0.0</w:t>
            </w:r>
          </w:p>
        </w:tc>
        <w:tc>
          <w:tcPr>
            <w:tcW w:w="249" w:type="pct"/>
            <w:tcBorders>
              <w:top w:val="nil"/>
              <w:left w:val="nil"/>
              <w:bottom w:val="single" w:sz="4" w:space="0" w:color="auto"/>
              <w:right w:val="single" w:sz="4" w:space="0" w:color="auto"/>
            </w:tcBorders>
            <w:shd w:val="clear" w:color="000000" w:fill="FFFFFF"/>
            <w:noWrap/>
            <w:hideMark/>
          </w:tcPr>
          <w:p w14:paraId="4D5A6893" w14:textId="77777777" w:rsidR="00505E10" w:rsidRDefault="00505E10">
            <w:pPr>
              <w:jc w:val="right"/>
              <w:rPr>
                <w:noProof/>
                <w:color w:val="000000"/>
                <w:sz w:val="20"/>
                <w:szCs w:val="20"/>
              </w:rPr>
            </w:pPr>
            <w:r>
              <w:rPr>
                <w:noProof/>
                <w:color w:val="000000"/>
                <w:sz w:val="20"/>
                <w:szCs w:val="20"/>
              </w:rPr>
              <w:t>1.1</w:t>
            </w:r>
          </w:p>
        </w:tc>
        <w:tc>
          <w:tcPr>
            <w:tcW w:w="249" w:type="pct"/>
            <w:tcBorders>
              <w:top w:val="nil"/>
              <w:left w:val="nil"/>
              <w:bottom w:val="single" w:sz="4" w:space="0" w:color="auto"/>
              <w:right w:val="single" w:sz="4" w:space="0" w:color="auto"/>
            </w:tcBorders>
            <w:shd w:val="clear" w:color="000000" w:fill="FFFFFF"/>
            <w:noWrap/>
            <w:hideMark/>
          </w:tcPr>
          <w:p w14:paraId="206AA7BF" w14:textId="77777777" w:rsidR="00505E10" w:rsidRDefault="00505E10">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36B203C8" w14:textId="77777777" w:rsidR="00505E10" w:rsidRDefault="00505E10">
            <w:pPr>
              <w:jc w:val="right"/>
              <w:rPr>
                <w:noProof/>
                <w:color w:val="000000"/>
                <w:sz w:val="20"/>
                <w:szCs w:val="20"/>
              </w:rPr>
            </w:pPr>
            <w:r>
              <w:rPr>
                <w:noProof/>
                <w:color w:val="000000"/>
                <w:sz w:val="20"/>
                <w:szCs w:val="20"/>
              </w:rPr>
              <w:t>1.1</w:t>
            </w:r>
          </w:p>
        </w:tc>
        <w:tc>
          <w:tcPr>
            <w:tcW w:w="249" w:type="pct"/>
            <w:tcBorders>
              <w:top w:val="nil"/>
              <w:left w:val="nil"/>
              <w:bottom w:val="single" w:sz="4" w:space="0" w:color="auto"/>
              <w:right w:val="single" w:sz="4" w:space="0" w:color="auto"/>
            </w:tcBorders>
            <w:shd w:val="clear" w:color="000000" w:fill="FFFFFF"/>
            <w:noWrap/>
            <w:hideMark/>
          </w:tcPr>
          <w:p w14:paraId="6647EEBD" w14:textId="77777777" w:rsidR="00505E10" w:rsidRDefault="00505E10">
            <w:pPr>
              <w:jc w:val="right"/>
              <w:rPr>
                <w:noProof/>
                <w:color w:val="000000"/>
                <w:sz w:val="20"/>
                <w:szCs w:val="20"/>
              </w:rPr>
            </w:pPr>
            <w:r>
              <w:rPr>
                <w:noProof/>
                <w:color w:val="000000"/>
                <w:sz w:val="20"/>
                <w:szCs w:val="20"/>
              </w:rPr>
              <w:t>0.7</w:t>
            </w:r>
          </w:p>
        </w:tc>
        <w:tc>
          <w:tcPr>
            <w:tcW w:w="249" w:type="pct"/>
            <w:tcBorders>
              <w:top w:val="nil"/>
              <w:left w:val="nil"/>
              <w:bottom w:val="single" w:sz="4" w:space="0" w:color="auto"/>
              <w:right w:val="single" w:sz="4" w:space="0" w:color="auto"/>
            </w:tcBorders>
            <w:shd w:val="clear" w:color="000000" w:fill="FFFFFF"/>
            <w:noWrap/>
            <w:hideMark/>
          </w:tcPr>
          <w:p w14:paraId="709EB5C1" w14:textId="77777777" w:rsidR="00505E10" w:rsidRDefault="00505E10">
            <w:pPr>
              <w:jc w:val="right"/>
              <w:rPr>
                <w:noProof/>
                <w:color w:val="000000"/>
                <w:sz w:val="20"/>
                <w:szCs w:val="20"/>
              </w:rPr>
            </w:pPr>
            <w:r>
              <w:rPr>
                <w:noProof/>
                <w:color w:val="000000"/>
                <w:sz w:val="20"/>
                <w:szCs w:val="20"/>
              </w:rPr>
              <w:t>1.1</w:t>
            </w:r>
          </w:p>
        </w:tc>
        <w:tc>
          <w:tcPr>
            <w:tcW w:w="249" w:type="pct"/>
            <w:tcBorders>
              <w:top w:val="nil"/>
              <w:left w:val="nil"/>
              <w:bottom w:val="single" w:sz="4" w:space="0" w:color="auto"/>
              <w:right w:val="single" w:sz="4" w:space="0" w:color="auto"/>
            </w:tcBorders>
            <w:shd w:val="clear" w:color="000000" w:fill="FFFFFF"/>
            <w:noWrap/>
            <w:hideMark/>
          </w:tcPr>
          <w:p w14:paraId="13AF98F0" w14:textId="77777777" w:rsidR="00505E10" w:rsidRDefault="00505E10">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528AF159" w14:textId="77777777" w:rsidR="00505E10" w:rsidRDefault="00505E10">
            <w:pPr>
              <w:jc w:val="right"/>
              <w:rPr>
                <w:noProof/>
                <w:color w:val="000000"/>
                <w:sz w:val="20"/>
                <w:szCs w:val="20"/>
              </w:rPr>
            </w:pPr>
            <w:r>
              <w:rPr>
                <w:noProof/>
                <w:color w:val="000000"/>
                <w:sz w:val="20"/>
                <w:szCs w:val="20"/>
              </w:rPr>
              <w:t>1.0</w:t>
            </w:r>
          </w:p>
        </w:tc>
        <w:tc>
          <w:tcPr>
            <w:tcW w:w="249" w:type="pct"/>
            <w:tcBorders>
              <w:top w:val="nil"/>
              <w:left w:val="nil"/>
              <w:bottom w:val="single" w:sz="4" w:space="0" w:color="auto"/>
              <w:right w:val="single" w:sz="4" w:space="0" w:color="auto"/>
            </w:tcBorders>
            <w:shd w:val="clear" w:color="000000" w:fill="FFFFFF"/>
            <w:noWrap/>
            <w:hideMark/>
          </w:tcPr>
          <w:p w14:paraId="3759CC15" w14:textId="77777777" w:rsidR="00505E10" w:rsidRDefault="00505E10">
            <w:pPr>
              <w:jc w:val="right"/>
              <w:rPr>
                <w:noProof/>
                <w:color w:val="000000"/>
                <w:sz w:val="20"/>
                <w:szCs w:val="20"/>
              </w:rPr>
            </w:pPr>
            <w:r>
              <w:rPr>
                <w:noProof/>
                <w:color w:val="000000"/>
                <w:sz w:val="20"/>
                <w:szCs w:val="20"/>
              </w:rPr>
              <w:t>0.7</w:t>
            </w:r>
          </w:p>
        </w:tc>
        <w:tc>
          <w:tcPr>
            <w:tcW w:w="249" w:type="pct"/>
            <w:tcBorders>
              <w:top w:val="nil"/>
              <w:left w:val="nil"/>
              <w:bottom w:val="single" w:sz="4" w:space="0" w:color="auto"/>
              <w:right w:val="single" w:sz="4" w:space="0" w:color="auto"/>
            </w:tcBorders>
            <w:shd w:val="clear" w:color="000000" w:fill="FFFFFF"/>
            <w:noWrap/>
            <w:hideMark/>
          </w:tcPr>
          <w:p w14:paraId="0AF718ED" w14:textId="77777777" w:rsidR="00505E10" w:rsidRDefault="00505E10">
            <w:pPr>
              <w:jc w:val="right"/>
              <w:rPr>
                <w:noProof/>
                <w:color w:val="000000"/>
                <w:sz w:val="20"/>
                <w:szCs w:val="20"/>
              </w:rPr>
            </w:pPr>
            <w:r>
              <w:rPr>
                <w:noProof/>
                <w:color w:val="000000"/>
                <w:sz w:val="20"/>
                <w:szCs w:val="20"/>
              </w:rPr>
              <w:t>1.2</w:t>
            </w:r>
          </w:p>
        </w:tc>
        <w:tc>
          <w:tcPr>
            <w:tcW w:w="249" w:type="pct"/>
            <w:tcBorders>
              <w:top w:val="nil"/>
              <w:left w:val="nil"/>
              <w:bottom w:val="single" w:sz="4" w:space="0" w:color="auto"/>
              <w:right w:val="single" w:sz="4" w:space="0" w:color="auto"/>
            </w:tcBorders>
            <w:shd w:val="clear" w:color="000000" w:fill="FFFFFF"/>
            <w:noWrap/>
            <w:hideMark/>
          </w:tcPr>
          <w:p w14:paraId="4483E0AA" w14:textId="77777777" w:rsidR="00505E10" w:rsidRDefault="00505E10">
            <w:pPr>
              <w:jc w:val="right"/>
              <w:rPr>
                <w:noProof/>
                <w:color w:val="000000"/>
                <w:sz w:val="20"/>
                <w:szCs w:val="20"/>
              </w:rPr>
            </w:pPr>
            <w:r>
              <w:rPr>
                <w:noProof/>
                <w:color w:val="000000"/>
                <w:sz w:val="20"/>
                <w:szCs w:val="20"/>
              </w:rPr>
              <w:t>0.4</w:t>
            </w:r>
          </w:p>
        </w:tc>
        <w:tc>
          <w:tcPr>
            <w:tcW w:w="249" w:type="pct"/>
            <w:tcBorders>
              <w:top w:val="nil"/>
              <w:left w:val="nil"/>
              <w:bottom w:val="single" w:sz="4" w:space="0" w:color="auto"/>
              <w:right w:val="single" w:sz="4" w:space="0" w:color="auto"/>
            </w:tcBorders>
            <w:shd w:val="clear" w:color="000000" w:fill="FFFFFF"/>
            <w:noWrap/>
            <w:hideMark/>
          </w:tcPr>
          <w:p w14:paraId="124EA5D0" w14:textId="77777777" w:rsidR="00505E10" w:rsidRDefault="00505E10">
            <w:pPr>
              <w:jc w:val="right"/>
              <w:rPr>
                <w:noProof/>
                <w:color w:val="000000"/>
                <w:sz w:val="20"/>
                <w:szCs w:val="20"/>
              </w:rPr>
            </w:pPr>
            <w:r>
              <w:rPr>
                <w:noProof/>
                <w:color w:val="000000"/>
                <w:sz w:val="20"/>
                <w:szCs w:val="20"/>
              </w:rPr>
              <w:t>1.0</w:t>
            </w:r>
          </w:p>
        </w:tc>
        <w:tc>
          <w:tcPr>
            <w:tcW w:w="249" w:type="pct"/>
            <w:tcBorders>
              <w:top w:val="nil"/>
              <w:left w:val="nil"/>
              <w:bottom w:val="single" w:sz="4" w:space="0" w:color="auto"/>
              <w:right w:val="single" w:sz="4" w:space="0" w:color="auto"/>
            </w:tcBorders>
            <w:shd w:val="clear" w:color="000000" w:fill="FFFFFF"/>
            <w:noWrap/>
            <w:hideMark/>
          </w:tcPr>
          <w:p w14:paraId="6E3BDE0C" w14:textId="77777777" w:rsidR="00505E10" w:rsidRDefault="00505E10">
            <w:pPr>
              <w:jc w:val="right"/>
              <w:rPr>
                <w:noProof/>
                <w:color w:val="000000"/>
                <w:sz w:val="20"/>
                <w:szCs w:val="20"/>
              </w:rPr>
            </w:pPr>
            <w:r>
              <w:rPr>
                <w:noProof/>
                <w:color w:val="000000"/>
                <w:sz w:val="20"/>
                <w:szCs w:val="20"/>
              </w:rPr>
              <w:t>0.7</w:t>
            </w:r>
          </w:p>
        </w:tc>
      </w:tr>
      <w:tr w:rsidR="00505E10" w14:paraId="2BA0BE5A" w14:textId="77777777" w:rsidTr="00505E10">
        <w:trPr>
          <w:trHeight w:val="255"/>
        </w:trPr>
        <w:tc>
          <w:tcPr>
            <w:tcW w:w="1016" w:type="pct"/>
            <w:tcBorders>
              <w:top w:val="nil"/>
              <w:left w:val="single" w:sz="4" w:space="0" w:color="auto"/>
              <w:bottom w:val="single" w:sz="4" w:space="0" w:color="auto"/>
              <w:right w:val="single" w:sz="4" w:space="0" w:color="auto"/>
            </w:tcBorders>
            <w:shd w:val="clear" w:color="000000" w:fill="F2F2F2"/>
            <w:noWrap/>
            <w:hideMark/>
          </w:tcPr>
          <w:p w14:paraId="0247A05C" w14:textId="77777777" w:rsidR="00505E10" w:rsidRDefault="00505E10">
            <w:pPr>
              <w:rPr>
                <w:b/>
                <w:bCs/>
                <w:noProof/>
                <w:color w:val="000000"/>
                <w:sz w:val="20"/>
                <w:szCs w:val="20"/>
              </w:rPr>
            </w:pPr>
            <w:r>
              <w:rPr>
                <w:b/>
                <w:bCs/>
                <w:noProof/>
                <w:color w:val="000000"/>
                <w:sz w:val="20"/>
                <w:szCs w:val="20"/>
              </w:rPr>
              <w:t>Net costs (-) or net benefit (+)</w:t>
            </w:r>
          </w:p>
        </w:tc>
        <w:tc>
          <w:tcPr>
            <w:tcW w:w="249" w:type="pct"/>
            <w:tcBorders>
              <w:top w:val="nil"/>
              <w:left w:val="nil"/>
              <w:bottom w:val="single" w:sz="4" w:space="0" w:color="auto"/>
              <w:right w:val="single" w:sz="4" w:space="0" w:color="auto"/>
            </w:tcBorders>
            <w:shd w:val="clear" w:color="000000" w:fill="F2F2F2"/>
            <w:noWrap/>
            <w:hideMark/>
          </w:tcPr>
          <w:p w14:paraId="10DF9196" w14:textId="77777777" w:rsidR="00505E10" w:rsidRDefault="00505E10">
            <w:pPr>
              <w:jc w:val="right"/>
              <w:rPr>
                <w:b/>
                <w:bCs/>
                <w:noProof/>
                <w:color w:val="000000"/>
                <w:sz w:val="20"/>
                <w:szCs w:val="20"/>
              </w:rPr>
            </w:pPr>
            <w:r>
              <w:rPr>
                <w:b/>
                <w:bCs/>
                <w:noProof/>
                <w:color w:val="000000"/>
                <w:sz w:val="20"/>
                <w:szCs w:val="20"/>
              </w:rPr>
              <w:t>0.0</w:t>
            </w:r>
          </w:p>
        </w:tc>
        <w:tc>
          <w:tcPr>
            <w:tcW w:w="249" w:type="pct"/>
            <w:tcBorders>
              <w:top w:val="nil"/>
              <w:left w:val="nil"/>
              <w:bottom w:val="single" w:sz="4" w:space="0" w:color="auto"/>
              <w:right w:val="single" w:sz="4" w:space="0" w:color="auto"/>
            </w:tcBorders>
            <w:shd w:val="clear" w:color="000000" w:fill="F2F2F2"/>
            <w:noWrap/>
            <w:hideMark/>
          </w:tcPr>
          <w:p w14:paraId="6BE0E8C1" w14:textId="77777777" w:rsidR="00505E10" w:rsidRDefault="00505E10">
            <w:pPr>
              <w:jc w:val="right"/>
              <w:rPr>
                <w:b/>
                <w:bCs/>
                <w:noProof/>
                <w:color w:val="000000"/>
                <w:sz w:val="20"/>
                <w:szCs w:val="20"/>
              </w:rPr>
            </w:pPr>
            <w:r>
              <w:rPr>
                <w:b/>
                <w:bCs/>
                <w:noProof/>
                <w:color w:val="000000"/>
                <w:sz w:val="20"/>
                <w:szCs w:val="20"/>
              </w:rPr>
              <w:t>0.8</w:t>
            </w:r>
          </w:p>
        </w:tc>
        <w:tc>
          <w:tcPr>
            <w:tcW w:w="249" w:type="pct"/>
            <w:tcBorders>
              <w:top w:val="nil"/>
              <w:left w:val="nil"/>
              <w:bottom w:val="single" w:sz="4" w:space="0" w:color="auto"/>
              <w:right w:val="single" w:sz="4" w:space="0" w:color="auto"/>
            </w:tcBorders>
            <w:shd w:val="clear" w:color="000000" w:fill="F2F2F2"/>
            <w:noWrap/>
            <w:hideMark/>
          </w:tcPr>
          <w:p w14:paraId="2E4E2CF9" w14:textId="77777777" w:rsidR="00505E10" w:rsidRDefault="00505E10">
            <w:pPr>
              <w:jc w:val="right"/>
              <w:rPr>
                <w:b/>
                <w:bCs/>
                <w:noProof/>
                <w:color w:val="000000"/>
                <w:sz w:val="20"/>
                <w:szCs w:val="20"/>
              </w:rPr>
            </w:pPr>
            <w:r>
              <w:rPr>
                <w:b/>
                <w:bCs/>
                <w:noProof/>
                <w:color w:val="000000"/>
                <w:sz w:val="20"/>
                <w:szCs w:val="20"/>
              </w:rPr>
              <w:t>1.2</w:t>
            </w:r>
          </w:p>
        </w:tc>
        <w:tc>
          <w:tcPr>
            <w:tcW w:w="249" w:type="pct"/>
            <w:tcBorders>
              <w:top w:val="nil"/>
              <w:left w:val="nil"/>
              <w:bottom w:val="single" w:sz="4" w:space="0" w:color="auto"/>
              <w:right w:val="single" w:sz="4" w:space="0" w:color="auto"/>
            </w:tcBorders>
            <w:shd w:val="clear" w:color="000000" w:fill="F2F2F2"/>
            <w:noWrap/>
            <w:hideMark/>
          </w:tcPr>
          <w:p w14:paraId="082025DA" w14:textId="77777777" w:rsidR="00505E10" w:rsidRDefault="00505E10">
            <w:pPr>
              <w:jc w:val="right"/>
              <w:rPr>
                <w:b/>
                <w:bCs/>
                <w:noProof/>
                <w:color w:val="000000"/>
                <w:sz w:val="20"/>
                <w:szCs w:val="20"/>
              </w:rPr>
            </w:pPr>
            <w:r>
              <w:rPr>
                <w:b/>
                <w:bCs/>
                <w:noProof/>
                <w:color w:val="000000"/>
                <w:sz w:val="20"/>
                <w:szCs w:val="20"/>
              </w:rPr>
              <w:t>0.4</w:t>
            </w:r>
          </w:p>
        </w:tc>
        <w:tc>
          <w:tcPr>
            <w:tcW w:w="249" w:type="pct"/>
            <w:tcBorders>
              <w:top w:val="nil"/>
              <w:left w:val="nil"/>
              <w:bottom w:val="single" w:sz="4" w:space="0" w:color="auto"/>
              <w:right w:val="single" w:sz="4" w:space="0" w:color="auto"/>
            </w:tcBorders>
            <w:shd w:val="clear" w:color="000000" w:fill="F2F2F2"/>
            <w:noWrap/>
            <w:hideMark/>
          </w:tcPr>
          <w:p w14:paraId="5458C40E" w14:textId="77777777" w:rsidR="00505E10" w:rsidRDefault="00505E10">
            <w:pPr>
              <w:jc w:val="right"/>
              <w:rPr>
                <w:b/>
                <w:bCs/>
                <w:noProof/>
                <w:color w:val="000000"/>
                <w:sz w:val="20"/>
                <w:szCs w:val="20"/>
              </w:rPr>
            </w:pPr>
            <w:r>
              <w:rPr>
                <w:b/>
                <w:bCs/>
                <w:noProof/>
                <w:color w:val="000000"/>
                <w:sz w:val="20"/>
                <w:szCs w:val="20"/>
              </w:rPr>
              <w:t>-2.3</w:t>
            </w:r>
          </w:p>
        </w:tc>
        <w:tc>
          <w:tcPr>
            <w:tcW w:w="249" w:type="pct"/>
            <w:tcBorders>
              <w:top w:val="nil"/>
              <w:left w:val="nil"/>
              <w:bottom w:val="single" w:sz="4" w:space="0" w:color="auto"/>
              <w:right w:val="single" w:sz="4" w:space="0" w:color="auto"/>
            </w:tcBorders>
            <w:shd w:val="clear" w:color="000000" w:fill="F2F2F2"/>
            <w:noWrap/>
            <w:hideMark/>
          </w:tcPr>
          <w:p w14:paraId="6C663F33" w14:textId="77777777" w:rsidR="00505E10" w:rsidRDefault="00505E10">
            <w:pPr>
              <w:jc w:val="right"/>
              <w:rPr>
                <w:b/>
                <w:bCs/>
                <w:noProof/>
                <w:color w:val="000000"/>
                <w:sz w:val="20"/>
                <w:szCs w:val="20"/>
              </w:rPr>
            </w:pPr>
            <w:r>
              <w:rPr>
                <w:b/>
                <w:bCs/>
                <w:noProof/>
                <w:color w:val="000000"/>
                <w:sz w:val="20"/>
                <w:szCs w:val="20"/>
              </w:rPr>
              <w:t>2.4</w:t>
            </w:r>
          </w:p>
        </w:tc>
        <w:tc>
          <w:tcPr>
            <w:tcW w:w="249" w:type="pct"/>
            <w:tcBorders>
              <w:top w:val="nil"/>
              <w:left w:val="nil"/>
              <w:bottom w:val="single" w:sz="4" w:space="0" w:color="auto"/>
              <w:right w:val="single" w:sz="4" w:space="0" w:color="auto"/>
            </w:tcBorders>
            <w:shd w:val="clear" w:color="000000" w:fill="F2F2F2"/>
            <w:noWrap/>
            <w:hideMark/>
          </w:tcPr>
          <w:p w14:paraId="299379DF" w14:textId="77777777" w:rsidR="00505E10" w:rsidRDefault="00505E10">
            <w:pPr>
              <w:jc w:val="right"/>
              <w:rPr>
                <w:b/>
                <w:bCs/>
                <w:noProof/>
                <w:color w:val="000000"/>
                <w:sz w:val="20"/>
                <w:szCs w:val="20"/>
              </w:rPr>
            </w:pPr>
            <w:r>
              <w:rPr>
                <w:b/>
                <w:bCs/>
                <w:noProof/>
                <w:color w:val="000000"/>
                <w:sz w:val="20"/>
                <w:szCs w:val="20"/>
              </w:rPr>
              <w:t>9.2</w:t>
            </w:r>
          </w:p>
        </w:tc>
        <w:tc>
          <w:tcPr>
            <w:tcW w:w="249" w:type="pct"/>
            <w:tcBorders>
              <w:top w:val="nil"/>
              <w:left w:val="nil"/>
              <w:bottom w:val="single" w:sz="4" w:space="0" w:color="auto"/>
              <w:right w:val="single" w:sz="4" w:space="0" w:color="auto"/>
            </w:tcBorders>
            <w:shd w:val="clear" w:color="000000" w:fill="F2F2F2"/>
            <w:noWrap/>
            <w:hideMark/>
          </w:tcPr>
          <w:p w14:paraId="19B71AAF" w14:textId="77777777" w:rsidR="00505E10" w:rsidRDefault="00505E10">
            <w:pPr>
              <w:jc w:val="right"/>
              <w:rPr>
                <w:b/>
                <w:bCs/>
                <w:noProof/>
                <w:color w:val="000000"/>
                <w:sz w:val="20"/>
                <w:szCs w:val="20"/>
              </w:rPr>
            </w:pPr>
            <w:r>
              <w:rPr>
                <w:b/>
                <w:bCs/>
                <w:noProof/>
                <w:color w:val="000000"/>
                <w:sz w:val="20"/>
                <w:szCs w:val="20"/>
              </w:rPr>
              <w:t>7.8</w:t>
            </w:r>
          </w:p>
        </w:tc>
        <w:tc>
          <w:tcPr>
            <w:tcW w:w="249" w:type="pct"/>
            <w:tcBorders>
              <w:top w:val="nil"/>
              <w:left w:val="nil"/>
              <w:bottom w:val="single" w:sz="4" w:space="0" w:color="auto"/>
              <w:right w:val="single" w:sz="4" w:space="0" w:color="auto"/>
            </w:tcBorders>
            <w:shd w:val="clear" w:color="000000" w:fill="F2F2F2"/>
            <w:noWrap/>
            <w:hideMark/>
          </w:tcPr>
          <w:p w14:paraId="208767AB" w14:textId="77777777" w:rsidR="00505E10" w:rsidRDefault="00505E10">
            <w:pPr>
              <w:jc w:val="right"/>
              <w:rPr>
                <w:b/>
                <w:bCs/>
                <w:noProof/>
                <w:color w:val="000000"/>
                <w:sz w:val="20"/>
                <w:szCs w:val="20"/>
              </w:rPr>
            </w:pPr>
            <w:r>
              <w:rPr>
                <w:b/>
                <w:bCs/>
                <w:noProof/>
                <w:color w:val="000000"/>
                <w:sz w:val="20"/>
                <w:szCs w:val="20"/>
              </w:rPr>
              <w:t>-2.3</w:t>
            </w:r>
          </w:p>
        </w:tc>
        <w:tc>
          <w:tcPr>
            <w:tcW w:w="249" w:type="pct"/>
            <w:tcBorders>
              <w:top w:val="nil"/>
              <w:left w:val="nil"/>
              <w:bottom w:val="single" w:sz="4" w:space="0" w:color="auto"/>
              <w:right w:val="single" w:sz="4" w:space="0" w:color="auto"/>
            </w:tcBorders>
            <w:shd w:val="clear" w:color="000000" w:fill="F2F2F2"/>
            <w:noWrap/>
            <w:hideMark/>
          </w:tcPr>
          <w:p w14:paraId="05A0D887" w14:textId="77777777" w:rsidR="00505E10" w:rsidRDefault="00505E10">
            <w:pPr>
              <w:jc w:val="right"/>
              <w:rPr>
                <w:b/>
                <w:bCs/>
                <w:noProof/>
                <w:color w:val="000000"/>
                <w:sz w:val="20"/>
                <w:szCs w:val="20"/>
              </w:rPr>
            </w:pPr>
            <w:r>
              <w:rPr>
                <w:b/>
                <w:bCs/>
                <w:noProof/>
                <w:color w:val="000000"/>
                <w:sz w:val="20"/>
                <w:szCs w:val="20"/>
              </w:rPr>
              <w:t>2.2</w:t>
            </w:r>
          </w:p>
        </w:tc>
        <w:tc>
          <w:tcPr>
            <w:tcW w:w="249" w:type="pct"/>
            <w:tcBorders>
              <w:top w:val="nil"/>
              <w:left w:val="nil"/>
              <w:bottom w:val="single" w:sz="4" w:space="0" w:color="auto"/>
              <w:right w:val="single" w:sz="4" w:space="0" w:color="auto"/>
            </w:tcBorders>
            <w:shd w:val="clear" w:color="000000" w:fill="F2F2F2"/>
            <w:noWrap/>
            <w:hideMark/>
          </w:tcPr>
          <w:p w14:paraId="069F5883" w14:textId="77777777" w:rsidR="00505E10" w:rsidRDefault="00505E10">
            <w:pPr>
              <w:jc w:val="right"/>
              <w:rPr>
                <w:b/>
                <w:bCs/>
                <w:noProof/>
                <w:color w:val="000000"/>
                <w:sz w:val="20"/>
                <w:szCs w:val="20"/>
              </w:rPr>
            </w:pPr>
            <w:r>
              <w:rPr>
                <w:b/>
                <w:bCs/>
                <w:noProof/>
                <w:color w:val="000000"/>
                <w:sz w:val="20"/>
                <w:szCs w:val="20"/>
              </w:rPr>
              <w:t>8.0</w:t>
            </w:r>
          </w:p>
        </w:tc>
        <w:tc>
          <w:tcPr>
            <w:tcW w:w="249" w:type="pct"/>
            <w:tcBorders>
              <w:top w:val="nil"/>
              <w:left w:val="nil"/>
              <w:bottom w:val="single" w:sz="4" w:space="0" w:color="auto"/>
              <w:right w:val="single" w:sz="4" w:space="0" w:color="auto"/>
            </w:tcBorders>
            <w:shd w:val="clear" w:color="000000" w:fill="F2F2F2"/>
            <w:noWrap/>
            <w:hideMark/>
          </w:tcPr>
          <w:p w14:paraId="2A13462D" w14:textId="77777777" w:rsidR="00505E10" w:rsidRDefault="00505E10">
            <w:pPr>
              <w:jc w:val="right"/>
              <w:rPr>
                <w:b/>
                <w:bCs/>
                <w:noProof/>
                <w:color w:val="000000"/>
                <w:sz w:val="20"/>
                <w:szCs w:val="20"/>
              </w:rPr>
            </w:pPr>
            <w:r>
              <w:rPr>
                <w:b/>
                <w:bCs/>
                <w:noProof/>
                <w:color w:val="000000"/>
                <w:sz w:val="20"/>
                <w:szCs w:val="20"/>
              </w:rPr>
              <w:t>7.8</w:t>
            </w:r>
          </w:p>
        </w:tc>
        <w:tc>
          <w:tcPr>
            <w:tcW w:w="249" w:type="pct"/>
            <w:tcBorders>
              <w:top w:val="nil"/>
              <w:left w:val="nil"/>
              <w:bottom w:val="single" w:sz="4" w:space="0" w:color="auto"/>
              <w:right w:val="single" w:sz="4" w:space="0" w:color="auto"/>
            </w:tcBorders>
            <w:shd w:val="clear" w:color="000000" w:fill="F2F2F2"/>
            <w:noWrap/>
            <w:hideMark/>
          </w:tcPr>
          <w:p w14:paraId="4077E2BF" w14:textId="77777777" w:rsidR="00505E10" w:rsidRDefault="00505E10">
            <w:pPr>
              <w:jc w:val="right"/>
              <w:rPr>
                <w:b/>
                <w:bCs/>
                <w:noProof/>
                <w:color w:val="000000"/>
                <w:sz w:val="20"/>
                <w:szCs w:val="20"/>
              </w:rPr>
            </w:pPr>
            <w:r>
              <w:rPr>
                <w:b/>
                <w:bCs/>
                <w:noProof/>
                <w:color w:val="000000"/>
                <w:sz w:val="20"/>
                <w:szCs w:val="20"/>
              </w:rPr>
              <w:t>7.7</w:t>
            </w:r>
          </w:p>
        </w:tc>
        <w:tc>
          <w:tcPr>
            <w:tcW w:w="249" w:type="pct"/>
            <w:tcBorders>
              <w:top w:val="nil"/>
              <w:left w:val="nil"/>
              <w:bottom w:val="single" w:sz="4" w:space="0" w:color="auto"/>
              <w:right w:val="single" w:sz="4" w:space="0" w:color="auto"/>
            </w:tcBorders>
            <w:shd w:val="clear" w:color="000000" w:fill="F2F2F2"/>
            <w:noWrap/>
            <w:hideMark/>
          </w:tcPr>
          <w:p w14:paraId="52428E48" w14:textId="77777777" w:rsidR="00505E10" w:rsidRDefault="00505E10">
            <w:pPr>
              <w:jc w:val="right"/>
              <w:rPr>
                <w:b/>
                <w:bCs/>
                <w:noProof/>
                <w:color w:val="000000"/>
                <w:sz w:val="20"/>
                <w:szCs w:val="20"/>
              </w:rPr>
            </w:pPr>
            <w:r>
              <w:rPr>
                <w:b/>
                <w:bCs/>
                <w:noProof/>
                <w:color w:val="000000"/>
                <w:sz w:val="20"/>
                <w:szCs w:val="20"/>
              </w:rPr>
              <w:t>-1.3</w:t>
            </w:r>
          </w:p>
        </w:tc>
        <w:tc>
          <w:tcPr>
            <w:tcW w:w="249" w:type="pct"/>
            <w:tcBorders>
              <w:top w:val="nil"/>
              <w:left w:val="nil"/>
              <w:bottom w:val="single" w:sz="4" w:space="0" w:color="auto"/>
              <w:right w:val="single" w:sz="4" w:space="0" w:color="auto"/>
            </w:tcBorders>
            <w:shd w:val="clear" w:color="000000" w:fill="F2F2F2"/>
            <w:noWrap/>
            <w:hideMark/>
          </w:tcPr>
          <w:p w14:paraId="5E593247" w14:textId="77777777" w:rsidR="00505E10" w:rsidRDefault="00505E10">
            <w:pPr>
              <w:jc w:val="right"/>
              <w:rPr>
                <w:b/>
                <w:bCs/>
                <w:noProof/>
                <w:color w:val="000000"/>
                <w:sz w:val="20"/>
                <w:szCs w:val="20"/>
              </w:rPr>
            </w:pPr>
            <w:r>
              <w:rPr>
                <w:b/>
                <w:bCs/>
                <w:noProof/>
                <w:color w:val="000000"/>
                <w:sz w:val="20"/>
                <w:szCs w:val="20"/>
              </w:rPr>
              <w:t>-5.9</w:t>
            </w:r>
          </w:p>
        </w:tc>
        <w:tc>
          <w:tcPr>
            <w:tcW w:w="249" w:type="pct"/>
            <w:tcBorders>
              <w:top w:val="nil"/>
              <w:left w:val="nil"/>
              <w:bottom w:val="single" w:sz="4" w:space="0" w:color="auto"/>
              <w:right w:val="single" w:sz="4" w:space="0" w:color="auto"/>
            </w:tcBorders>
            <w:shd w:val="clear" w:color="000000" w:fill="F2F2F2"/>
            <w:noWrap/>
            <w:hideMark/>
          </w:tcPr>
          <w:p w14:paraId="1EEAAAA2" w14:textId="77777777" w:rsidR="00505E10" w:rsidRDefault="00505E10">
            <w:pPr>
              <w:jc w:val="right"/>
              <w:rPr>
                <w:b/>
                <w:bCs/>
                <w:noProof/>
                <w:color w:val="000000"/>
                <w:sz w:val="20"/>
                <w:szCs w:val="20"/>
              </w:rPr>
            </w:pPr>
            <w:r>
              <w:rPr>
                <w:b/>
                <w:bCs/>
                <w:noProof/>
                <w:color w:val="000000"/>
                <w:sz w:val="20"/>
                <w:szCs w:val="20"/>
              </w:rPr>
              <w:t>-8.1</w:t>
            </w:r>
          </w:p>
        </w:tc>
      </w:tr>
    </w:tbl>
    <w:p w14:paraId="1E6FBB2B" w14:textId="77777777" w:rsidR="0052712D" w:rsidRPr="00D71008" w:rsidRDefault="0052712D" w:rsidP="0052712D">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3F6C2495" w14:textId="24781F37" w:rsidR="0052712D" w:rsidRDefault="0052712D" w:rsidP="0052712D">
      <w:pPr>
        <w:pStyle w:val="Text2"/>
        <w:spacing w:after="0"/>
        <w:ind w:left="0"/>
        <w:rPr>
          <w:rFonts w:cs="Times New Roman"/>
          <w:i/>
          <w:noProof/>
          <w:sz w:val="22"/>
          <w:szCs w:val="22"/>
        </w:rPr>
      </w:pPr>
      <w:r w:rsidRPr="006333F0">
        <w:rPr>
          <w:rFonts w:cs="Times New Roman"/>
          <w:i/>
          <w:noProof/>
          <w:sz w:val="22"/>
          <w:szCs w:val="22"/>
        </w:rPr>
        <w:t xml:space="preserve">Table </w:t>
      </w:r>
      <w:r w:rsidRPr="006333F0">
        <w:rPr>
          <w:rFonts w:cs="Times New Roman"/>
          <w:i/>
          <w:iCs/>
          <w:noProof/>
          <w:sz w:val="22"/>
          <w:szCs w:val="22"/>
        </w:rPr>
        <w:fldChar w:fldCharType="begin"/>
      </w:r>
      <w:r w:rsidRPr="006333F0">
        <w:rPr>
          <w:rFonts w:cs="Times New Roman"/>
          <w:i/>
          <w:iCs/>
          <w:noProof/>
          <w:sz w:val="22"/>
          <w:szCs w:val="22"/>
        </w:rPr>
        <w:instrText xml:space="preserve"> SEQ Table \* ARABIC </w:instrText>
      </w:r>
      <w:r w:rsidRPr="006333F0">
        <w:rPr>
          <w:rFonts w:cs="Times New Roman"/>
          <w:i/>
          <w:iCs/>
          <w:noProof/>
          <w:sz w:val="22"/>
          <w:szCs w:val="22"/>
        </w:rPr>
        <w:fldChar w:fldCharType="separate"/>
      </w:r>
      <w:r w:rsidR="0055391F">
        <w:rPr>
          <w:rFonts w:cs="Times New Roman"/>
          <w:i/>
          <w:iCs/>
          <w:noProof/>
          <w:sz w:val="22"/>
          <w:szCs w:val="22"/>
        </w:rPr>
        <w:t>123</w:t>
      </w:r>
      <w:r w:rsidRPr="006333F0">
        <w:rPr>
          <w:rFonts w:cs="Times New Roman"/>
          <w:i/>
          <w:iCs/>
          <w:noProof/>
          <w:sz w:val="22"/>
          <w:szCs w:val="22"/>
        </w:rPr>
        <w:fldChar w:fldCharType="end"/>
      </w:r>
      <w:r w:rsidRPr="004E336D">
        <w:rPr>
          <w:rFonts w:cs="Times New Roman"/>
          <w:i/>
          <w:noProof/>
          <w:sz w:val="22"/>
          <w:szCs w:val="22"/>
        </w:rPr>
        <w:t xml:space="preserve">: One-off </w:t>
      </w:r>
      <w:r w:rsidRPr="006333F0">
        <w:rPr>
          <w:rFonts w:cs="Times New Roman"/>
          <w:i/>
          <w:noProof/>
          <w:sz w:val="22"/>
          <w:szCs w:val="22"/>
        </w:rPr>
        <w:t>cost</w:t>
      </w:r>
      <w:r>
        <w:rPr>
          <w:rFonts w:cs="Times New Roman"/>
          <w:i/>
          <w:noProof/>
          <w:sz w:val="22"/>
          <w:szCs w:val="22"/>
        </w:rPr>
        <w:t xml:space="preserve">s </w:t>
      </w:r>
      <w:r w:rsidRPr="004E336D">
        <w:rPr>
          <w:rFonts w:cs="Times New Roman"/>
          <w:i/>
          <w:noProof/>
          <w:sz w:val="22"/>
          <w:szCs w:val="22"/>
        </w:rPr>
        <w:t xml:space="preserve">for transport operators in the POs relative to the baseline (EU27), </w:t>
      </w:r>
      <w:r w:rsidR="005E71B9">
        <w:rPr>
          <w:i/>
          <w:noProof/>
          <w:sz w:val="22"/>
          <w:szCs w:val="22"/>
        </w:rPr>
        <w:t>in</w:t>
      </w:r>
      <w:r w:rsidR="005E71B9">
        <w:rPr>
          <w:rFonts w:cs="Times New Roman"/>
          <w:i/>
          <w:noProof/>
          <w:sz w:val="22"/>
          <w:szCs w:val="22"/>
        </w:rPr>
        <w:t xml:space="preserve"> 2028</w:t>
      </w:r>
      <w:r w:rsidR="005E71B9">
        <w:rPr>
          <w:i/>
          <w:noProof/>
          <w:sz w:val="22"/>
          <w:szCs w:val="22"/>
        </w:rPr>
        <w:t xml:space="preserve">, 2030, 2040 and </w:t>
      </w:r>
      <w:r w:rsidR="005E71B9">
        <w:rPr>
          <w:rFonts w:cs="Times New Roman"/>
          <w:i/>
          <w:noProof/>
          <w:sz w:val="22"/>
          <w:szCs w:val="22"/>
        </w:rPr>
        <w:t>2050</w:t>
      </w:r>
      <w:r w:rsidRPr="004E336D">
        <w:rPr>
          <w:rFonts w:cs="Times New Roman"/>
          <w:i/>
          <w:noProof/>
          <w:sz w:val="22"/>
          <w:szCs w:val="22"/>
        </w:rPr>
        <w:t>, in million EUR (2024 prices)</w:t>
      </w:r>
    </w:p>
    <w:tbl>
      <w:tblPr>
        <w:tblW w:w="5000" w:type="pct"/>
        <w:tblLook w:val="04A0" w:firstRow="1" w:lastRow="0" w:firstColumn="1" w:lastColumn="0" w:noHBand="0" w:noVBand="1"/>
      </w:tblPr>
      <w:tblGrid>
        <w:gridCol w:w="2681"/>
        <w:gridCol w:w="758"/>
        <w:gridCol w:w="757"/>
        <w:gridCol w:w="757"/>
        <w:gridCol w:w="757"/>
        <w:gridCol w:w="757"/>
        <w:gridCol w:w="757"/>
        <w:gridCol w:w="757"/>
        <w:gridCol w:w="757"/>
        <w:gridCol w:w="757"/>
        <w:gridCol w:w="757"/>
        <w:gridCol w:w="757"/>
        <w:gridCol w:w="757"/>
        <w:gridCol w:w="757"/>
        <w:gridCol w:w="757"/>
        <w:gridCol w:w="757"/>
        <w:gridCol w:w="751"/>
      </w:tblGrid>
      <w:tr w:rsidR="00247393" w14:paraId="04359751" w14:textId="77777777" w:rsidTr="00F34695">
        <w:trPr>
          <w:trHeight w:val="255"/>
        </w:trPr>
        <w:tc>
          <w:tcPr>
            <w:tcW w:w="906"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7CE7FA9C" w14:textId="77777777" w:rsidR="00C90F03" w:rsidRDefault="00C90F03">
            <w:pPr>
              <w:jc w:val="center"/>
              <w:rPr>
                <w:b/>
                <w:bCs/>
                <w:noProof/>
                <w:color w:val="FFFFFF"/>
                <w:sz w:val="20"/>
                <w:szCs w:val="20"/>
              </w:rPr>
            </w:pPr>
            <w:r>
              <w:rPr>
                <w:b/>
                <w:bCs/>
                <w:noProof/>
                <w:color w:val="FFFFFF"/>
                <w:sz w:val="20"/>
                <w:szCs w:val="20"/>
              </w:rPr>
              <w:t> </w:t>
            </w:r>
          </w:p>
        </w:tc>
        <w:tc>
          <w:tcPr>
            <w:tcW w:w="1024" w:type="pct"/>
            <w:gridSpan w:val="4"/>
            <w:tcBorders>
              <w:top w:val="single" w:sz="4" w:space="0" w:color="auto"/>
              <w:left w:val="nil"/>
              <w:bottom w:val="single" w:sz="4" w:space="0" w:color="auto"/>
              <w:right w:val="single" w:sz="4" w:space="0" w:color="auto"/>
            </w:tcBorders>
            <w:shd w:val="clear" w:color="000000" w:fill="0070C0"/>
            <w:hideMark/>
          </w:tcPr>
          <w:p w14:paraId="6A8624B6" w14:textId="77777777" w:rsidR="00C90F03" w:rsidRDefault="00C90F03">
            <w:pPr>
              <w:jc w:val="center"/>
              <w:rPr>
                <w:b/>
                <w:bCs/>
                <w:noProof/>
                <w:color w:val="FFFFFF"/>
                <w:sz w:val="20"/>
                <w:szCs w:val="20"/>
              </w:rPr>
            </w:pPr>
            <w:r>
              <w:rPr>
                <w:b/>
                <w:bCs/>
                <w:noProof/>
                <w:color w:val="FFFFFF"/>
                <w:sz w:val="20"/>
                <w:szCs w:val="20"/>
              </w:rPr>
              <w:t>PO1</w:t>
            </w:r>
          </w:p>
        </w:tc>
        <w:tc>
          <w:tcPr>
            <w:tcW w:w="1024" w:type="pct"/>
            <w:gridSpan w:val="4"/>
            <w:tcBorders>
              <w:top w:val="single" w:sz="4" w:space="0" w:color="auto"/>
              <w:left w:val="nil"/>
              <w:bottom w:val="single" w:sz="4" w:space="0" w:color="auto"/>
              <w:right w:val="single" w:sz="4" w:space="0" w:color="auto"/>
            </w:tcBorders>
            <w:shd w:val="clear" w:color="000000" w:fill="0070C0"/>
            <w:hideMark/>
          </w:tcPr>
          <w:p w14:paraId="373B45A4" w14:textId="77777777" w:rsidR="00C90F03" w:rsidRDefault="00C90F03">
            <w:pPr>
              <w:jc w:val="center"/>
              <w:rPr>
                <w:b/>
                <w:bCs/>
                <w:noProof/>
                <w:color w:val="FFFFFF"/>
                <w:sz w:val="20"/>
                <w:szCs w:val="20"/>
              </w:rPr>
            </w:pPr>
            <w:r>
              <w:rPr>
                <w:b/>
                <w:bCs/>
                <w:noProof/>
                <w:color w:val="FFFFFF"/>
                <w:sz w:val="20"/>
                <w:szCs w:val="20"/>
              </w:rPr>
              <w:t>PO2</w:t>
            </w:r>
          </w:p>
        </w:tc>
        <w:tc>
          <w:tcPr>
            <w:tcW w:w="1024" w:type="pct"/>
            <w:gridSpan w:val="4"/>
            <w:tcBorders>
              <w:top w:val="single" w:sz="4" w:space="0" w:color="auto"/>
              <w:left w:val="nil"/>
              <w:bottom w:val="single" w:sz="4" w:space="0" w:color="auto"/>
              <w:right w:val="single" w:sz="4" w:space="0" w:color="auto"/>
            </w:tcBorders>
            <w:shd w:val="clear" w:color="000000" w:fill="0070C0"/>
            <w:hideMark/>
          </w:tcPr>
          <w:p w14:paraId="77EB7127" w14:textId="77777777" w:rsidR="00C90F03" w:rsidRDefault="00C90F03">
            <w:pPr>
              <w:jc w:val="center"/>
              <w:rPr>
                <w:b/>
                <w:bCs/>
                <w:noProof/>
                <w:color w:val="FFFFFF"/>
                <w:sz w:val="20"/>
                <w:szCs w:val="20"/>
              </w:rPr>
            </w:pPr>
            <w:r>
              <w:rPr>
                <w:b/>
                <w:bCs/>
                <w:noProof/>
                <w:color w:val="FFFFFF"/>
                <w:sz w:val="20"/>
                <w:szCs w:val="20"/>
              </w:rPr>
              <w:t>PO3</w:t>
            </w:r>
          </w:p>
        </w:tc>
        <w:tc>
          <w:tcPr>
            <w:tcW w:w="1022" w:type="pct"/>
            <w:gridSpan w:val="4"/>
            <w:tcBorders>
              <w:top w:val="single" w:sz="4" w:space="0" w:color="auto"/>
              <w:left w:val="nil"/>
              <w:bottom w:val="single" w:sz="4" w:space="0" w:color="auto"/>
              <w:right w:val="single" w:sz="4" w:space="0" w:color="auto"/>
            </w:tcBorders>
            <w:shd w:val="clear" w:color="000000" w:fill="0070C0"/>
            <w:hideMark/>
          </w:tcPr>
          <w:p w14:paraId="1E60D770" w14:textId="77777777" w:rsidR="00C90F03" w:rsidRDefault="00C90F03">
            <w:pPr>
              <w:jc w:val="center"/>
              <w:rPr>
                <w:b/>
                <w:bCs/>
                <w:noProof/>
                <w:color w:val="FFFFFF"/>
                <w:sz w:val="20"/>
                <w:szCs w:val="20"/>
              </w:rPr>
            </w:pPr>
            <w:r>
              <w:rPr>
                <w:b/>
                <w:bCs/>
                <w:noProof/>
                <w:color w:val="FFFFFF"/>
                <w:sz w:val="20"/>
                <w:szCs w:val="20"/>
              </w:rPr>
              <w:t>PO4</w:t>
            </w:r>
          </w:p>
        </w:tc>
      </w:tr>
      <w:tr w:rsidR="00C90F03" w14:paraId="46508395" w14:textId="77777777" w:rsidTr="00F34695">
        <w:trPr>
          <w:trHeight w:val="255"/>
        </w:trPr>
        <w:tc>
          <w:tcPr>
            <w:tcW w:w="906" w:type="pct"/>
            <w:vMerge/>
            <w:tcBorders>
              <w:top w:val="single" w:sz="4" w:space="0" w:color="auto"/>
              <w:left w:val="single" w:sz="4" w:space="0" w:color="auto"/>
              <w:bottom w:val="single" w:sz="4" w:space="0" w:color="auto"/>
              <w:right w:val="single" w:sz="4" w:space="0" w:color="auto"/>
            </w:tcBorders>
            <w:vAlign w:val="center"/>
            <w:hideMark/>
          </w:tcPr>
          <w:p w14:paraId="16FAB7AD" w14:textId="77777777" w:rsidR="00C90F03" w:rsidRDefault="00C90F03">
            <w:pPr>
              <w:rPr>
                <w:b/>
                <w:bCs/>
                <w:noProof/>
                <w:color w:val="FFFFFF"/>
                <w:sz w:val="20"/>
                <w:szCs w:val="20"/>
              </w:rPr>
            </w:pPr>
          </w:p>
        </w:tc>
        <w:tc>
          <w:tcPr>
            <w:tcW w:w="256" w:type="pct"/>
            <w:tcBorders>
              <w:top w:val="nil"/>
              <w:left w:val="nil"/>
              <w:bottom w:val="single" w:sz="4" w:space="0" w:color="auto"/>
              <w:right w:val="single" w:sz="4" w:space="0" w:color="auto"/>
            </w:tcBorders>
            <w:shd w:val="clear" w:color="000000" w:fill="0070C0"/>
            <w:hideMark/>
          </w:tcPr>
          <w:p w14:paraId="2B6512A2" w14:textId="77777777" w:rsidR="00C90F03" w:rsidRDefault="00C90F03">
            <w:pPr>
              <w:jc w:val="center"/>
              <w:rPr>
                <w:b/>
                <w:bCs/>
                <w:noProof/>
                <w:color w:val="FFFFFF"/>
                <w:sz w:val="20"/>
                <w:szCs w:val="20"/>
              </w:rPr>
            </w:pPr>
            <w:r>
              <w:rPr>
                <w:b/>
                <w:bCs/>
                <w:noProof/>
                <w:color w:val="FFFFFF"/>
                <w:sz w:val="20"/>
                <w:szCs w:val="20"/>
              </w:rPr>
              <w:t>2028</w:t>
            </w:r>
          </w:p>
        </w:tc>
        <w:tc>
          <w:tcPr>
            <w:tcW w:w="256" w:type="pct"/>
            <w:tcBorders>
              <w:top w:val="nil"/>
              <w:left w:val="nil"/>
              <w:bottom w:val="single" w:sz="4" w:space="0" w:color="auto"/>
              <w:right w:val="single" w:sz="4" w:space="0" w:color="auto"/>
            </w:tcBorders>
            <w:shd w:val="clear" w:color="000000" w:fill="0070C0"/>
            <w:hideMark/>
          </w:tcPr>
          <w:p w14:paraId="5F889FD3" w14:textId="77777777" w:rsidR="00C90F03" w:rsidRDefault="00C90F03">
            <w:pPr>
              <w:jc w:val="center"/>
              <w:rPr>
                <w:b/>
                <w:bCs/>
                <w:noProof/>
                <w:color w:val="FFFFFF"/>
                <w:sz w:val="20"/>
                <w:szCs w:val="20"/>
              </w:rPr>
            </w:pPr>
            <w:r>
              <w:rPr>
                <w:b/>
                <w:bCs/>
                <w:noProof/>
                <w:color w:val="FFFFFF"/>
                <w:sz w:val="20"/>
                <w:szCs w:val="20"/>
              </w:rPr>
              <w:t>2030</w:t>
            </w:r>
          </w:p>
        </w:tc>
        <w:tc>
          <w:tcPr>
            <w:tcW w:w="256" w:type="pct"/>
            <w:tcBorders>
              <w:top w:val="nil"/>
              <w:left w:val="nil"/>
              <w:bottom w:val="single" w:sz="4" w:space="0" w:color="auto"/>
              <w:right w:val="single" w:sz="4" w:space="0" w:color="auto"/>
            </w:tcBorders>
            <w:shd w:val="clear" w:color="000000" w:fill="0070C0"/>
            <w:hideMark/>
          </w:tcPr>
          <w:p w14:paraId="17684CBA" w14:textId="77777777" w:rsidR="00C90F03" w:rsidRDefault="00C90F03">
            <w:pPr>
              <w:jc w:val="center"/>
              <w:rPr>
                <w:b/>
                <w:bCs/>
                <w:noProof/>
                <w:color w:val="FFFFFF"/>
                <w:sz w:val="20"/>
                <w:szCs w:val="20"/>
              </w:rPr>
            </w:pPr>
            <w:r>
              <w:rPr>
                <w:b/>
                <w:bCs/>
                <w:noProof/>
                <w:color w:val="FFFFFF"/>
                <w:sz w:val="20"/>
                <w:szCs w:val="20"/>
              </w:rPr>
              <w:t>2040</w:t>
            </w:r>
          </w:p>
        </w:tc>
        <w:tc>
          <w:tcPr>
            <w:tcW w:w="256" w:type="pct"/>
            <w:tcBorders>
              <w:top w:val="nil"/>
              <w:left w:val="nil"/>
              <w:bottom w:val="single" w:sz="4" w:space="0" w:color="auto"/>
              <w:right w:val="single" w:sz="4" w:space="0" w:color="auto"/>
            </w:tcBorders>
            <w:shd w:val="clear" w:color="000000" w:fill="0070C0"/>
            <w:hideMark/>
          </w:tcPr>
          <w:p w14:paraId="175444B4" w14:textId="77777777" w:rsidR="00C90F03" w:rsidRDefault="00C90F03">
            <w:pPr>
              <w:jc w:val="center"/>
              <w:rPr>
                <w:b/>
                <w:bCs/>
                <w:noProof/>
                <w:color w:val="FFFFFF"/>
                <w:sz w:val="20"/>
                <w:szCs w:val="20"/>
              </w:rPr>
            </w:pPr>
            <w:r>
              <w:rPr>
                <w:b/>
                <w:bCs/>
                <w:noProof/>
                <w:color w:val="FFFFFF"/>
                <w:sz w:val="20"/>
                <w:szCs w:val="20"/>
              </w:rPr>
              <w:t>2050</w:t>
            </w:r>
          </w:p>
        </w:tc>
        <w:tc>
          <w:tcPr>
            <w:tcW w:w="256" w:type="pct"/>
            <w:tcBorders>
              <w:top w:val="nil"/>
              <w:left w:val="nil"/>
              <w:bottom w:val="single" w:sz="4" w:space="0" w:color="auto"/>
              <w:right w:val="single" w:sz="4" w:space="0" w:color="auto"/>
            </w:tcBorders>
            <w:shd w:val="clear" w:color="000000" w:fill="0070C0"/>
            <w:hideMark/>
          </w:tcPr>
          <w:p w14:paraId="16DC6BA9" w14:textId="77777777" w:rsidR="00C90F03" w:rsidRDefault="00C90F03">
            <w:pPr>
              <w:jc w:val="center"/>
              <w:rPr>
                <w:b/>
                <w:bCs/>
                <w:noProof/>
                <w:color w:val="FFFFFF"/>
                <w:sz w:val="20"/>
                <w:szCs w:val="20"/>
              </w:rPr>
            </w:pPr>
            <w:r>
              <w:rPr>
                <w:b/>
                <w:bCs/>
                <w:noProof/>
                <w:color w:val="FFFFFF"/>
                <w:sz w:val="20"/>
                <w:szCs w:val="20"/>
              </w:rPr>
              <w:t>2028</w:t>
            </w:r>
          </w:p>
        </w:tc>
        <w:tc>
          <w:tcPr>
            <w:tcW w:w="256" w:type="pct"/>
            <w:tcBorders>
              <w:top w:val="nil"/>
              <w:left w:val="nil"/>
              <w:bottom w:val="single" w:sz="4" w:space="0" w:color="auto"/>
              <w:right w:val="single" w:sz="4" w:space="0" w:color="auto"/>
            </w:tcBorders>
            <w:shd w:val="clear" w:color="000000" w:fill="0070C0"/>
            <w:hideMark/>
          </w:tcPr>
          <w:p w14:paraId="211AE3B3" w14:textId="77777777" w:rsidR="00C90F03" w:rsidRDefault="00C90F03">
            <w:pPr>
              <w:jc w:val="center"/>
              <w:rPr>
                <w:b/>
                <w:bCs/>
                <w:noProof/>
                <w:color w:val="FFFFFF"/>
                <w:sz w:val="20"/>
                <w:szCs w:val="20"/>
              </w:rPr>
            </w:pPr>
            <w:r>
              <w:rPr>
                <w:b/>
                <w:bCs/>
                <w:noProof/>
                <w:color w:val="FFFFFF"/>
                <w:sz w:val="20"/>
                <w:szCs w:val="20"/>
              </w:rPr>
              <w:t>2030</w:t>
            </w:r>
          </w:p>
        </w:tc>
        <w:tc>
          <w:tcPr>
            <w:tcW w:w="256" w:type="pct"/>
            <w:tcBorders>
              <w:top w:val="nil"/>
              <w:left w:val="nil"/>
              <w:bottom w:val="single" w:sz="4" w:space="0" w:color="auto"/>
              <w:right w:val="single" w:sz="4" w:space="0" w:color="auto"/>
            </w:tcBorders>
            <w:shd w:val="clear" w:color="000000" w:fill="0070C0"/>
            <w:hideMark/>
          </w:tcPr>
          <w:p w14:paraId="1F9E1170" w14:textId="77777777" w:rsidR="00C90F03" w:rsidRDefault="00C90F03">
            <w:pPr>
              <w:jc w:val="center"/>
              <w:rPr>
                <w:b/>
                <w:bCs/>
                <w:noProof/>
                <w:color w:val="FFFFFF"/>
                <w:sz w:val="20"/>
                <w:szCs w:val="20"/>
              </w:rPr>
            </w:pPr>
            <w:r>
              <w:rPr>
                <w:b/>
                <w:bCs/>
                <w:noProof/>
                <w:color w:val="FFFFFF"/>
                <w:sz w:val="20"/>
                <w:szCs w:val="20"/>
              </w:rPr>
              <w:t>2040</w:t>
            </w:r>
          </w:p>
        </w:tc>
        <w:tc>
          <w:tcPr>
            <w:tcW w:w="256" w:type="pct"/>
            <w:tcBorders>
              <w:top w:val="nil"/>
              <w:left w:val="nil"/>
              <w:bottom w:val="single" w:sz="4" w:space="0" w:color="auto"/>
              <w:right w:val="single" w:sz="4" w:space="0" w:color="auto"/>
            </w:tcBorders>
            <w:shd w:val="clear" w:color="000000" w:fill="0070C0"/>
            <w:hideMark/>
          </w:tcPr>
          <w:p w14:paraId="0E0FAD23" w14:textId="77777777" w:rsidR="00C90F03" w:rsidRDefault="00C90F03">
            <w:pPr>
              <w:jc w:val="center"/>
              <w:rPr>
                <w:b/>
                <w:bCs/>
                <w:noProof/>
                <w:color w:val="FFFFFF"/>
                <w:sz w:val="20"/>
                <w:szCs w:val="20"/>
              </w:rPr>
            </w:pPr>
            <w:r>
              <w:rPr>
                <w:b/>
                <w:bCs/>
                <w:noProof/>
                <w:color w:val="FFFFFF"/>
                <w:sz w:val="20"/>
                <w:szCs w:val="20"/>
              </w:rPr>
              <w:t>2050</w:t>
            </w:r>
          </w:p>
        </w:tc>
        <w:tc>
          <w:tcPr>
            <w:tcW w:w="256" w:type="pct"/>
            <w:tcBorders>
              <w:top w:val="nil"/>
              <w:left w:val="nil"/>
              <w:bottom w:val="single" w:sz="4" w:space="0" w:color="auto"/>
              <w:right w:val="single" w:sz="4" w:space="0" w:color="auto"/>
            </w:tcBorders>
            <w:shd w:val="clear" w:color="000000" w:fill="0070C0"/>
            <w:hideMark/>
          </w:tcPr>
          <w:p w14:paraId="0A71DB14" w14:textId="77777777" w:rsidR="00C90F03" w:rsidRDefault="00C90F03">
            <w:pPr>
              <w:jc w:val="center"/>
              <w:rPr>
                <w:b/>
                <w:bCs/>
                <w:noProof/>
                <w:color w:val="FFFFFF"/>
                <w:sz w:val="20"/>
                <w:szCs w:val="20"/>
              </w:rPr>
            </w:pPr>
            <w:r>
              <w:rPr>
                <w:b/>
                <w:bCs/>
                <w:noProof/>
                <w:color w:val="FFFFFF"/>
                <w:sz w:val="20"/>
                <w:szCs w:val="20"/>
              </w:rPr>
              <w:t>2028</w:t>
            </w:r>
          </w:p>
        </w:tc>
        <w:tc>
          <w:tcPr>
            <w:tcW w:w="256" w:type="pct"/>
            <w:tcBorders>
              <w:top w:val="nil"/>
              <w:left w:val="nil"/>
              <w:bottom w:val="single" w:sz="4" w:space="0" w:color="auto"/>
              <w:right w:val="single" w:sz="4" w:space="0" w:color="auto"/>
            </w:tcBorders>
            <w:shd w:val="clear" w:color="000000" w:fill="0070C0"/>
            <w:hideMark/>
          </w:tcPr>
          <w:p w14:paraId="4CEE4D0E" w14:textId="77777777" w:rsidR="00C90F03" w:rsidRDefault="00C90F03">
            <w:pPr>
              <w:jc w:val="center"/>
              <w:rPr>
                <w:b/>
                <w:bCs/>
                <w:noProof/>
                <w:color w:val="FFFFFF"/>
                <w:sz w:val="20"/>
                <w:szCs w:val="20"/>
              </w:rPr>
            </w:pPr>
            <w:r>
              <w:rPr>
                <w:b/>
                <w:bCs/>
                <w:noProof/>
                <w:color w:val="FFFFFF"/>
                <w:sz w:val="20"/>
                <w:szCs w:val="20"/>
              </w:rPr>
              <w:t>2030</w:t>
            </w:r>
          </w:p>
        </w:tc>
        <w:tc>
          <w:tcPr>
            <w:tcW w:w="256" w:type="pct"/>
            <w:tcBorders>
              <w:top w:val="nil"/>
              <w:left w:val="nil"/>
              <w:bottom w:val="single" w:sz="4" w:space="0" w:color="auto"/>
              <w:right w:val="single" w:sz="4" w:space="0" w:color="auto"/>
            </w:tcBorders>
            <w:shd w:val="clear" w:color="000000" w:fill="0070C0"/>
            <w:hideMark/>
          </w:tcPr>
          <w:p w14:paraId="6D0EF42A" w14:textId="77777777" w:rsidR="00C90F03" w:rsidRDefault="00C90F03">
            <w:pPr>
              <w:jc w:val="center"/>
              <w:rPr>
                <w:b/>
                <w:bCs/>
                <w:noProof/>
                <w:color w:val="FFFFFF"/>
                <w:sz w:val="20"/>
                <w:szCs w:val="20"/>
              </w:rPr>
            </w:pPr>
            <w:r>
              <w:rPr>
                <w:b/>
                <w:bCs/>
                <w:noProof/>
                <w:color w:val="FFFFFF"/>
                <w:sz w:val="20"/>
                <w:szCs w:val="20"/>
              </w:rPr>
              <w:t>2040</w:t>
            </w:r>
          </w:p>
        </w:tc>
        <w:tc>
          <w:tcPr>
            <w:tcW w:w="256" w:type="pct"/>
            <w:tcBorders>
              <w:top w:val="nil"/>
              <w:left w:val="nil"/>
              <w:bottom w:val="single" w:sz="4" w:space="0" w:color="auto"/>
              <w:right w:val="single" w:sz="4" w:space="0" w:color="auto"/>
            </w:tcBorders>
            <w:shd w:val="clear" w:color="000000" w:fill="0070C0"/>
            <w:hideMark/>
          </w:tcPr>
          <w:p w14:paraId="71B9E68A" w14:textId="77777777" w:rsidR="00C90F03" w:rsidRDefault="00C90F03">
            <w:pPr>
              <w:jc w:val="center"/>
              <w:rPr>
                <w:b/>
                <w:bCs/>
                <w:noProof/>
                <w:color w:val="FFFFFF"/>
                <w:sz w:val="20"/>
                <w:szCs w:val="20"/>
              </w:rPr>
            </w:pPr>
            <w:r>
              <w:rPr>
                <w:b/>
                <w:bCs/>
                <w:noProof/>
                <w:color w:val="FFFFFF"/>
                <w:sz w:val="20"/>
                <w:szCs w:val="20"/>
              </w:rPr>
              <w:t>2050</w:t>
            </w:r>
          </w:p>
        </w:tc>
        <w:tc>
          <w:tcPr>
            <w:tcW w:w="256" w:type="pct"/>
            <w:tcBorders>
              <w:top w:val="nil"/>
              <w:left w:val="nil"/>
              <w:bottom w:val="single" w:sz="4" w:space="0" w:color="auto"/>
              <w:right w:val="single" w:sz="4" w:space="0" w:color="auto"/>
            </w:tcBorders>
            <w:shd w:val="clear" w:color="000000" w:fill="0070C0"/>
            <w:hideMark/>
          </w:tcPr>
          <w:p w14:paraId="03CE42EF" w14:textId="77777777" w:rsidR="00C90F03" w:rsidRDefault="00C90F03">
            <w:pPr>
              <w:jc w:val="center"/>
              <w:rPr>
                <w:b/>
                <w:bCs/>
                <w:noProof/>
                <w:color w:val="FFFFFF"/>
                <w:sz w:val="20"/>
                <w:szCs w:val="20"/>
              </w:rPr>
            </w:pPr>
            <w:r>
              <w:rPr>
                <w:b/>
                <w:bCs/>
                <w:noProof/>
                <w:color w:val="FFFFFF"/>
                <w:sz w:val="20"/>
                <w:szCs w:val="20"/>
              </w:rPr>
              <w:t>2028</w:t>
            </w:r>
          </w:p>
        </w:tc>
        <w:tc>
          <w:tcPr>
            <w:tcW w:w="256" w:type="pct"/>
            <w:tcBorders>
              <w:top w:val="nil"/>
              <w:left w:val="nil"/>
              <w:bottom w:val="single" w:sz="4" w:space="0" w:color="auto"/>
              <w:right w:val="single" w:sz="4" w:space="0" w:color="auto"/>
            </w:tcBorders>
            <w:shd w:val="clear" w:color="000000" w:fill="0070C0"/>
            <w:hideMark/>
          </w:tcPr>
          <w:p w14:paraId="1AEA759C" w14:textId="77777777" w:rsidR="00C90F03" w:rsidRDefault="00C90F03">
            <w:pPr>
              <w:jc w:val="center"/>
              <w:rPr>
                <w:b/>
                <w:bCs/>
                <w:noProof/>
                <w:color w:val="FFFFFF"/>
                <w:sz w:val="20"/>
                <w:szCs w:val="20"/>
              </w:rPr>
            </w:pPr>
            <w:r>
              <w:rPr>
                <w:b/>
                <w:bCs/>
                <w:noProof/>
                <w:color w:val="FFFFFF"/>
                <w:sz w:val="20"/>
                <w:szCs w:val="20"/>
              </w:rPr>
              <w:t>2030</w:t>
            </w:r>
          </w:p>
        </w:tc>
        <w:tc>
          <w:tcPr>
            <w:tcW w:w="256" w:type="pct"/>
            <w:tcBorders>
              <w:top w:val="nil"/>
              <w:left w:val="nil"/>
              <w:bottom w:val="single" w:sz="4" w:space="0" w:color="auto"/>
              <w:right w:val="single" w:sz="4" w:space="0" w:color="auto"/>
            </w:tcBorders>
            <w:shd w:val="clear" w:color="000000" w:fill="0070C0"/>
            <w:hideMark/>
          </w:tcPr>
          <w:p w14:paraId="2FAEB0A6" w14:textId="77777777" w:rsidR="00C90F03" w:rsidRDefault="00C90F03">
            <w:pPr>
              <w:jc w:val="center"/>
              <w:rPr>
                <w:b/>
                <w:bCs/>
                <w:noProof/>
                <w:color w:val="FFFFFF"/>
                <w:sz w:val="20"/>
                <w:szCs w:val="20"/>
              </w:rPr>
            </w:pPr>
            <w:r>
              <w:rPr>
                <w:b/>
                <w:bCs/>
                <w:noProof/>
                <w:color w:val="FFFFFF"/>
                <w:sz w:val="20"/>
                <w:szCs w:val="20"/>
              </w:rPr>
              <w:t>2040</w:t>
            </w:r>
          </w:p>
        </w:tc>
        <w:tc>
          <w:tcPr>
            <w:tcW w:w="254" w:type="pct"/>
            <w:tcBorders>
              <w:top w:val="nil"/>
              <w:left w:val="nil"/>
              <w:bottom w:val="single" w:sz="4" w:space="0" w:color="auto"/>
              <w:right w:val="single" w:sz="4" w:space="0" w:color="auto"/>
            </w:tcBorders>
            <w:shd w:val="clear" w:color="000000" w:fill="0070C0"/>
            <w:hideMark/>
          </w:tcPr>
          <w:p w14:paraId="5BBB9503" w14:textId="77777777" w:rsidR="00C90F03" w:rsidRDefault="00C90F03">
            <w:pPr>
              <w:jc w:val="center"/>
              <w:rPr>
                <w:b/>
                <w:bCs/>
                <w:noProof/>
                <w:color w:val="FFFFFF"/>
                <w:sz w:val="20"/>
                <w:szCs w:val="20"/>
              </w:rPr>
            </w:pPr>
            <w:r>
              <w:rPr>
                <w:b/>
                <w:bCs/>
                <w:noProof/>
                <w:color w:val="FFFFFF"/>
                <w:sz w:val="20"/>
                <w:szCs w:val="20"/>
              </w:rPr>
              <w:t>2050</w:t>
            </w:r>
          </w:p>
        </w:tc>
      </w:tr>
      <w:tr w:rsidR="00C90F03" w14:paraId="2EA61487" w14:textId="77777777" w:rsidTr="00F34695">
        <w:trPr>
          <w:trHeight w:val="255"/>
        </w:trPr>
        <w:tc>
          <w:tcPr>
            <w:tcW w:w="906" w:type="pct"/>
            <w:tcBorders>
              <w:top w:val="nil"/>
              <w:left w:val="single" w:sz="4" w:space="0" w:color="auto"/>
              <w:bottom w:val="single" w:sz="4" w:space="0" w:color="auto"/>
              <w:right w:val="single" w:sz="4" w:space="0" w:color="auto"/>
            </w:tcBorders>
            <w:shd w:val="clear" w:color="000000" w:fill="BDE3FF"/>
            <w:hideMark/>
          </w:tcPr>
          <w:p w14:paraId="19D4CFC3" w14:textId="77777777" w:rsidR="00C90F03" w:rsidRDefault="00C90F03">
            <w:pPr>
              <w:rPr>
                <w:b/>
                <w:bCs/>
                <w:noProof/>
                <w:sz w:val="20"/>
                <w:szCs w:val="20"/>
              </w:rPr>
            </w:pPr>
            <w:r>
              <w:rPr>
                <w:b/>
                <w:bCs/>
                <w:noProof/>
                <w:sz w:val="20"/>
                <w:szCs w:val="20"/>
              </w:rPr>
              <w:t>Adjustment costs</w:t>
            </w:r>
          </w:p>
        </w:tc>
        <w:tc>
          <w:tcPr>
            <w:tcW w:w="256" w:type="pct"/>
            <w:tcBorders>
              <w:top w:val="nil"/>
              <w:left w:val="nil"/>
              <w:bottom w:val="single" w:sz="4" w:space="0" w:color="auto"/>
              <w:right w:val="single" w:sz="4" w:space="0" w:color="auto"/>
            </w:tcBorders>
            <w:shd w:val="clear" w:color="000000" w:fill="BDE3FF"/>
            <w:hideMark/>
          </w:tcPr>
          <w:p w14:paraId="14331D25"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07F1DBDA"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648BF1A4"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67C20A4D"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1A121121" w14:textId="77777777" w:rsidR="00C90F03" w:rsidRDefault="00C90F03">
            <w:pPr>
              <w:jc w:val="right"/>
              <w:rPr>
                <w:b/>
                <w:bCs/>
                <w:noProof/>
                <w:sz w:val="20"/>
                <w:szCs w:val="20"/>
              </w:rPr>
            </w:pPr>
            <w:r>
              <w:rPr>
                <w:b/>
                <w:bCs/>
                <w:noProof/>
                <w:sz w:val="20"/>
                <w:szCs w:val="20"/>
              </w:rPr>
              <w:t>13.4</w:t>
            </w:r>
          </w:p>
        </w:tc>
        <w:tc>
          <w:tcPr>
            <w:tcW w:w="256" w:type="pct"/>
            <w:tcBorders>
              <w:top w:val="nil"/>
              <w:left w:val="nil"/>
              <w:bottom w:val="single" w:sz="4" w:space="0" w:color="auto"/>
              <w:right w:val="single" w:sz="4" w:space="0" w:color="auto"/>
            </w:tcBorders>
            <w:shd w:val="clear" w:color="000000" w:fill="BDE3FF"/>
            <w:hideMark/>
          </w:tcPr>
          <w:p w14:paraId="4227DAB5" w14:textId="77777777" w:rsidR="00C90F03" w:rsidRDefault="00C90F03">
            <w:pPr>
              <w:jc w:val="right"/>
              <w:rPr>
                <w:b/>
                <w:bCs/>
                <w:noProof/>
                <w:sz w:val="20"/>
                <w:szCs w:val="20"/>
              </w:rPr>
            </w:pPr>
            <w:r>
              <w:rPr>
                <w:b/>
                <w:bCs/>
                <w:noProof/>
                <w:sz w:val="20"/>
                <w:szCs w:val="20"/>
              </w:rPr>
              <w:t>2.3</w:t>
            </w:r>
          </w:p>
        </w:tc>
        <w:tc>
          <w:tcPr>
            <w:tcW w:w="256" w:type="pct"/>
            <w:tcBorders>
              <w:top w:val="nil"/>
              <w:left w:val="nil"/>
              <w:bottom w:val="single" w:sz="4" w:space="0" w:color="auto"/>
              <w:right w:val="single" w:sz="4" w:space="0" w:color="auto"/>
            </w:tcBorders>
            <w:shd w:val="clear" w:color="000000" w:fill="BDE3FF"/>
            <w:hideMark/>
          </w:tcPr>
          <w:p w14:paraId="0DFE22AE" w14:textId="77777777" w:rsidR="00C90F03" w:rsidRDefault="00C90F03">
            <w:pPr>
              <w:jc w:val="right"/>
              <w:rPr>
                <w:b/>
                <w:bCs/>
                <w:noProof/>
                <w:sz w:val="20"/>
                <w:szCs w:val="20"/>
              </w:rPr>
            </w:pPr>
            <w:r>
              <w:rPr>
                <w:b/>
                <w:bCs/>
                <w:noProof/>
                <w:sz w:val="20"/>
                <w:szCs w:val="20"/>
              </w:rPr>
              <w:t>4.0</w:t>
            </w:r>
          </w:p>
        </w:tc>
        <w:tc>
          <w:tcPr>
            <w:tcW w:w="256" w:type="pct"/>
            <w:tcBorders>
              <w:top w:val="nil"/>
              <w:left w:val="nil"/>
              <w:bottom w:val="single" w:sz="4" w:space="0" w:color="auto"/>
              <w:right w:val="single" w:sz="4" w:space="0" w:color="auto"/>
            </w:tcBorders>
            <w:shd w:val="clear" w:color="000000" w:fill="BDE3FF"/>
            <w:hideMark/>
          </w:tcPr>
          <w:p w14:paraId="69852747"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3440C63B" w14:textId="77777777" w:rsidR="00C90F03" w:rsidRDefault="00C90F03">
            <w:pPr>
              <w:jc w:val="right"/>
              <w:rPr>
                <w:b/>
                <w:bCs/>
                <w:noProof/>
                <w:sz w:val="20"/>
                <w:szCs w:val="20"/>
              </w:rPr>
            </w:pPr>
            <w:r>
              <w:rPr>
                <w:b/>
                <w:bCs/>
                <w:noProof/>
                <w:sz w:val="20"/>
                <w:szCs w:val="20"/>
              </w:rPr>
              <w:t>13.4</w:t>
            </w:r>
          </w:p>
        </w:tc>
        <w:tc>
          <w:tcPr>
            <w:tcW w:w="256" w:type="pct"/>
            <w:tcBorders>
              <w:top w:val="nil"/>
              <w:left w:val="nil"/>
              <w:bottom w:val="single" w:sz="4" w:space="0" w:color="auto"/>
              <w:right w:val="single" w:sz="4" w:space="0" w:color="auto"/>
            </w:tcBorders>
            <w:shd w:val="clear" w:color="000000" w:fill="BDE3FF"/>
            <w:hideMark/>
          </w:tcPr>
          <w:p w14:paraId="34018D71" w14:textId="77777777" w:rsidR="00C90F03" w:rsidRDefault="00C90F03">
            <w:pPr>
              <w:jc w:val="right"/>
              <w:rPr>
                <w:b/>
                <w:bCs/>
                <w:noProof/>
                <w:sz w:val="20"/>
                <w:szCs w:val="20"/>
              </w:rPr>
            </w:pPr>
            <w:r>
              <w:rPr>
                <w:b/>
                <w:bCs/>
                <w:noProof/>
                <w:sz w:val="20"/>
                <w:szCs w:val="20"/>
              </w:rPr>
              <w:t>2.3</w:t>
            </w:r>
          </w:p>
        </w:tc>
        <w:tc>
          <w:tcPr>
            <w:tcW w:w="256" w:type="pct"/>
            <w:tcBorders>
              <w:top w:val="nil"/>
              <w:left w:val="nil"/>
              <w:bottom w:val="single" w:sz="4" w:space="0" w:color="auto"/>
              <w:right w:val="single" w:sz="4" w:space="0" w:color="auto"/>
            </w:tcBorders>
            <w:shd w:val="clear" w:color="000000" w:fill="BDE3FF"/>
            <w:hideMark/>
          </w:tcPr>
          <w:p w14:paraId="3A9BF0E2" w14:textId="77777777" w:rsidR="00C90F03" w:rsidRDefault="00C90F03">
            <w:pPr>
              <w:jc w:val="right"/>
              <w:rPr>
                <w:b/>
                <w:bCs/>
                <w:noProof/>
                <w:sz w:val="20"/>
                <w:szCs w:val="20"/>
              </w:rPr>
            </w:pPr>
            <w:r>
              <w:rPr>
                <w:b/>
                <w:bCs/>
                <w:noProof/>
                <w:sz w:val="20"/>
                <w:szCs w:val="20"/>
              </w:rPr>
              <w:t>3.3</w:t>
            </w:r>
          </w:p>
        </w:tc>
        <w:tc>
          <w:tcPr>
            <w:tcW w:w="256" w:type="pct"/>
            <w:tcBorders>
              <w:top w:val="nil"/>
              <w:left w:val="nil"/>
              <w:bottom w:val="single" w:sz="4" w:space="0" w:color="auto"/>
              <w:right w:val="single" w:sz="4" w:space="0" w:color="auto"/>
            </w:tcBorders>
            <w:shd w:val="clear" w:color="000000" w:fill="BDE3FF"/>
            <w:hideMark/>
          </w:tcPr>
          <w:p w14:paraId="0B74D6DC"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1C6377B6" w14:textId="77777777" w:rsidR="00C90F03" w:rsidRDefault="00C90F03">
            <w:pPr>
              <w:jc w:val="right"/>
              <w:rPr>
                <w:b/>
                <w:bCs/>
                <w:noProof/>
                <w:sz w:val="20"/>
                <w:szCs w:val="20"/>
              </w:rPr>
            </w:pPr>
            <w:r>
              <w:rPr>
                <w:b/>
                <w:bCs/>
                <w:noProof/>
                <w:sz w:val="20"/>
                <w:szCs w:val="20"/>
              </w:rPr>
              <w:t>4.6</w:t>
            </w:r>
          </w:p>
        </w:tc>
        <w:tc>
          <w:tcPr>
            <w:tcW w:w="256" w:type="pct"/>
            <w:tcBorders>
              <w:top w:val="nil"/>
              <w:left w:val="nil"/>
              <w:bottom w:val="single" w:sz="4" w:space="0" w:color="auto"/>
              <w:right w:val="single" w:sz="4" w:space="0" w:color="auto"/>
            </w:tcBorders>
            <w:shd w:val="clear" w:color="000000" w:fill="BDE3FF"/>
            <w:hideMark/>
          </w:tcPr>
          <w:p w14:paraId="2EF44707" w14:textId="77777777" w:rsidR="00C90F03" w:rsidRDefault="00C90F03">
            <w:pPr>
              <w:jc w:val="right"/>
              <w:rPr>
                <w:b/>
                <w:bCs/>
                <w:noProof/>
                <w:sz w:val="20"/>
                <w:szCs w:val="20"/>
              </w:rPr>
            </w:pPr>
            <w:r>
              <w:rPr>
                <w:b/>
                <w:bCs/>
                <w:noProof/>
                <w:sz w:val="20"/>
                <w:szCs w:val="20"/>
              </w:rPr>
              <w:t>5.9</w:t>
            </w:r>
          </w:p>
        </w:tc>
        <w:tc>
          <w:tcPr>
            <w:tcW w:w="256" w:type="pct"/>
            <w:tcBorders>
              <w:top w:val="nil"/>
              <w:left w:val="nil"/>
              <w:bottom w:val="single" w:sz="4" w:space="0" w:color="auto"/>
              <w:right w:val="single" w:sz="4" w:space="0" w:color="auto"/>
            </w:tcBorders>
            <w:shd w:val="clear" w:color="000000" w:fill="BDE3FF"/>
            <w:hideMark/>
          </w:tcPr>
          <w:p w14:paraId="6C559D13" w14:textId="77777777" w:rsidR="00C90F03" w:rsidRDefault="00C90F03">
            <w:pPr>
              <w:jc w:val="right"/>
              <w:rPr>
                <w:b/>
                <w:bCs/>
                <w:noProof/>
                <w:sz w:val="20"/>
                <w:szCs w:val="20"/>
              </w:rPr>
            </w:pPr>
            <w:r>
              <w:rPr>
                <w:b/>
                <w:bCs/>
                <w:noProof/>
                <w:sz w:val="20"/>
                <w:szCs w:val="20"/>
              </w:rPr>
              <w:t>18.1</w:t>
            </w:r>
          </w:p>
        </w:tc>
        <w:tc>
          <w:tcPr>
            <w:tcW w:w="254" w:type="pct"/>
            <w:tcBorders>
              <w:top w:val="nil"/>
              <w:left w:val="nil"/>
              <w:bottom w:val="single" w:sz="4" w:space="0" w:color="auto"/>
              <w:right w:val="single" w:sz="4" w:space="0" w:color="auto"/>
            </w:tcBorders>
            <w:shd w:val="clear" w:color="000000" w:fill="BDE3FF"/>
            <w:hideMark/>
          </w:tcPr>
          <w:p w14:paraId="2B77D153" w14:textId="77777777" w:rsidR="00C90F03" w:rsidRDefault="00C90F03">
            <w:pPr>
              <w:jc w:val="right"/>
              <w:rPr>
                <w:b/>
                <w:bCs/>
                <w:noProof/>
                <w:sz w:val="20"/>
                <w:szCs w:val="20"/>
              </w:rPr>
            </w:pPr>
            <w:r>
              <w:rPr>
                <w:b/>
                <w:bCs/>
                <w:noProof/>
                <w:sz w:val="20"/>
                <w:szCs w:val="20"/>
              </w:rPr>
              <w:t>15.9</w:t>
            </w:r>
          </w:p>
        </w:tc>
      </w:tr>
      <w:tr w:rsidR="00DC4792" w14:paraId="325AA0A0" w14:textId="77777777" w:rsidTr="00F34695">
        <w:trPr>
          <w:trHeight w:val="255"/>
        </w:trPr>
        <w:tc>
          <w:tcPr>
            <w:tcW w:w="906" w:type="pct"/>
            <w:tcBorders>
              <w:top w:val="nil"/>
              <w:left w:val="single" w:sz="4" w:space="0" w:color="auto"/>
              <w:bottom w:val="single" w:sz="4" w:space="0" w:color="auto"/>
              <w:right w:val="single" w:sz="4" w:space="0" w:color="auto"/>
            </w:tcBorders>
            <w:hideMark/>
          </w:tcPr>
          <w:p w14:paraId="346E3B70" w14:textId="77777777" w:rsidR="00C90F03" w:rsidRDefault="00C90F03">
            <w:pPr>
              <w:rPr>
                <w:noProof/>
                <w:color w:val="000000"/>
                <w:sz w:val="20"/>
                <w:szCs w:val="20"/>
              </w:rPr>
            </w:pPr>
            <w:r>
              <w:rPr>
                <w:noProof/>
                <w:color w:val="000000"/>
                <w:sz w:val="20"/>
                <w:szCs w:val="20"/>
              </w:rPr>
              <w:t>PM13 (Obligation to share)</w:t>
            </w:r>
          </w:p>
        </w:tc>
        <w:tc>
          <w:tcPr>
            <w:tcW w:w="256" w:type="pct"/>
            <w:tcBorders>
              <w:top w:val="nil"/>
              <w:left w:val="nil"/>
              <w:bottom w:val="single" w:sz="4" w:space="0" w:color="auto"/>
              <w:right w:val="single" w:sz="4" w:space="0" w:color="auto"/>
            </w:tcBorders>
            <w:shd w:val="clear" w:color="000000" w:fill="FFFFFF"/>
            <w:noWrap/>
            <w:hideMark/>
          </w:tcPr>
          <w:p w14:paraId="03EAFA9A" w14:textId="77777777" w:rsidR="00C90F03" w:rsidRDefault="00C90F03">
            <w:pPr>
              <w:rPr>
                <w:noProof/>
                <w:color w:val="000000"/>
                <w:sz w:val="20"/>
                <w:szCs w:val="20"/>
              </w:rPr>
            </w:pPr>
            <w:r>
              <w:rPr>
                <w:noProof/>
                <w:color w:val="000000"/>
                <w:sz w:val="20"/>
                <w:szCs w:val="20"/>
              </w:rPr>
              <w:t> </w:t>
            </w:r>
          </w:p>
        </w:tc>
        <w:tc>
          <w:tcPr>
            <w:tcW w:w="256" w:type="pct"/>
            <w:tcBorders>
              <w:top w:val="nil"/>
              <w:left w:val="nil"/>
              <w:bottom w:val="single" w:sz="4" w:space="0" w:color="auto"/>
              <w:right w:val="single" w:sz="4" w:space="0" w:color="auto"/>
            </w:tcBorders>
            <w:shd w:val="clear" w:color="000000" w:fill="FFFFFF"/>
            <w:noWrap/>
            <w:hideMark/>
          </w:tcPr>
          <w:p w14:paraId="689CA149" w14:textId="77777777" w:rsidR="00C90F03" w:rsidRDefault="00C90F03">
            <w:pPr>
              <w:rPr>
                <w:noProof/>
                <w:color w:val="000000"/>
                <w:sz w:val="20"/>
                <w:szCs w:val="20"/>
              </w:rPr>
            </w:pPr>
            <w:r>
              <w:rPr>
                <w:noProof/>
                <w:color w:val="000000"/>
                <w:sz w:val="20"/>
                <w:szCs w:val="20"/>
              </w:rPr>
              <w:t> </w:t>
            </w:r>
          </w:p>
        </w:tc>
        <w:tc>
          <w:tcPr>
            <w:tcW w:w="256" w:type="pct"/>
            <w:tcBorders>
              <w:top w:val="nil"/>
              <w:left w:val="nil"/>
              <w:bottom w:val="single" w:sz="4" w:space="0" w:color="auto"/>
              <w:right w:val="single" w:sz="4" w:space="0" w:color="auto"/>
            </w:tcBorders>
            <w:shd w:val="clear" w:color="000000" w:fill="FFFFFF"/>
            <w:noWrap/>
            <w:hideMark/>
          </w:tcPr>
          <w:p w14:paraId="5BE46853" w14:textId="77777777" w:rsidR="00C90F03" w:rsidRDefault="00C90F03">
            <w:pPr>
              <w:rPr>
                <w:noProof/>
                <w:color w:val="000000"/>
                <w:sz w:val="20"/>
                <w:szCs w:val="20"/>
              </w:rPr>
            </w:pPr>
            <w:r>
              <w:rPr>
                <w:noProof/>
                <w:color w:val="000000"/>
                <w:sz w:val="20"/>
                <w:szCs w:val="20"/>
              </w:rPr>
              <w:t> </w:t>
            </w:r>
          </w:p>
        </w:tc>
        <w:tc>
          <w:tcPr>
            <w:tcW w:w="256" w:type="pct"/>
            <w:tcBorders>
              <w:top w:val="nil"/>
              <w:left w:val="nil"/>
              <w:bottom w:val="single" w:sz="4" w:space="0" w:color="auto"/>
              <w:right w:val="single" w:sz="4" w:space="0" w:color="auto"/>
            </w:tcBorders>
            <w:shd w:val="clear" w:color="000000" w:fill="FFFFFF"/>
            <w:noWrap/>
            <w:hideMark/>
          </w:tcPr>
          <w:p w14:paraId="64832D30" w14:textId="77777777" w:rsidR="00C90F03" w:rsidRDefault="00C90F03">
            <w:pPr>
              <w:rPr>
                <w:noProof/>
                <w:color w:val="000000"/>
                <w:sz w:val="20"/>
                <w:szCs w:val="20"/>
              </w:rPr>
            </w:pPr>
            <w:r>
              <w:rPr>
                <w:noProof/>
                <w:color w:val="000000"/>
                <w:sz w:val="20"/>
                <w:szCs w:val="20"/>
              </w:rPr>
              <w:t> </w:t>
            </w:r>
          </w:p>
        </w:tc>
        <w:tc>
          <w:tcPr>
            <w:tcW w:w="256" w:type="pct"/>
            <w:tcBorders>
              <w:top w:val="nil"/>
              <w:left w:val="nil"/>
              <w:bottom w:val="single" w:sz="4" w:space="0" w:color="auto"/>
              <w:right w:val="single" w:sz="4" w:space="0" w:color="auto"/>
            </w:tcBorders>
            <w:shd w:val="clear" w:color="000000" w:fill="FFFFFF"/>
            <w:noWrap/>
            <w:hideMark/>
          </w:tcPr>
          <w:p w14:paraId="17698001" w14:textId="77777777" w:rsidR="00C90F03" w:rsidRDefault="00C90F03">
            <w:pPr>
              <w:jc w:val="right"/>
              <w:rPr>
                <w:noProof/>
                <w:color w:val="000000"/>
                <w:sz w:val="20"/>
                <w:szCs w:val="20"/>
              </w:rPr>
            </w:pPr>
            <w:r>
              <w:rPr>
                <w:noProof/>
                <w:color w:val="000000"/>
                <w:sz w:val="20"/>
                <w:szCs w:val="20"/>
              </w:rPr>
              <w:t>13.4</w:t>
            </w:r>
          </w:p>
        </w:tc>
        <w:tc>
          <w:tcPr>
            <w:tcW w:w="256" w:type="pct"/>
            <w:tcBorders>
              <w:top w:val="nil"/>
              <w:left w:val="nil"/>
              <w:bottom w:val="single" w:sz="4" w:space="0" w:color="auto"/>
              <w:right w:val="single" w:sz="4" w:space="0" w:color="auto"/>
            </w:tcBorders>
            <w:shd w:val="clear" w:color="000000" w:fill="FFFFFF"/>
            <w:noWrap/>
            <w:hideMark/>
          </w:tcPr>
          <w:p w14:paraId="4560599D" w14:textId="77777777" w:rsidR="00C90F03" w:rsidRDefault="00C90F03">
            <w:pPr>
              <w:jc w:val="right"/>
              <w:rPr>
                <w:noProof/>
                <w:color w:val="000000"/>
                <w:sz w:val="20"/>
                <w:szCs w:val="20"/>
              </w:rPr>
            </w:pPr>
            <w:r>
              <w:rPr>
                <w:noProof/>
                <w:color w:val="000000"/>
                <w:sz w:val="20"/>
                <w:szCs w:val="20"/>
              </w:rPr>
              <w:t>2.3</w:t>
            </w:r>
          </w:p>
        </w:tc>
        <w:tc>
          <w:tcPr>
            <w:tcW w:w="256" w:type="pct"/>
            <w:tcBorders>
              <w:top w:val="nil"/>
              <w:left w:val="nil"/>
              <w:bottom w:val="single" w:sz="4" w:space="0" w:color="auto"/>
              <w:right w:val="single" w:sz="4" w:space="0" w:color="auto"/>
            </w:tcBorders>
            <w:shd w:val="clear" w:color="000000" w:fill="FFFFFF"/>
            <w:noWrap/>
            <w:hideMark/>
          </w:tcPr>
          <w:p w14:paraId="1C5ABF2B" w14:textId="77777777" w:rsidR="00C90F03" w:rsidRDefault="00C90F03">
            <w:pPr>
              <w:jc w:val="right"/>
              <w:rPr>
                <w:noProof/>
                <w:color w:val="000000"/>
                <w:sz w:val="20"/>
                <w:szCs w:val="20"/>
              </w:rPr>
            </w:pPr>
            <w:r>
              <w:rPr>
                <w:noProof/>
                <w:color w:val="000000"/>
                <w:sz w:val="20"/>
                <w:szCs w:val="20"/>
              </w:rPr>
              <w:t>4.0</w:t>
            </w:r>
          </w:p>
        </w:tc>
        <w:tc>
          <w:tcPr>
            <w:tcW w:w="256" w:type="pct"/>
            <w:tcBorders>
              <w:top w:val="nil"/>
              <w:left w:val="nil"/>
              <w:bottom w:val="single" w:sz="4" w:space="0" w:color="auto"/>
              <w:right w:val="single" w:sz="4" w:space="0" w:color="auto"/>
            </w:tcBorders>
            <w:shd w:val="clear" w:color="000000" w:fill="FFFFFF"/>
            <w:noWrap/>
            <w:hideMark/>
          </w:tcPr>
          <w:p w14:paraId="60649402" w14:textId="77777777" w:rsidR="00C90F03" w:rsidRDefault="00C90F03">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0D8F0432" w14:textId="77777777" w:rsidR="00C90F03" w:rsidRDefault="00C90F03">
            <w:pPr>
              <w:jc w:val="right"/>
              <w:rPr>
                <w:noProof/>
                <w:color w:val="000000"/>
                <w:sz w:val="20"/>
                <w:szCs w:val="20"/>
              </w:rPr>
            </w:pPr>
            <w:r>
              <w:rPr>
                <w:noProof/>
                <w:color w:val="000000"/>
                <w:sz w:val="20"/>
                <w:szCs w:val="20"/>
              </w:rPr>
              <w:t>13.4</w:t>
            </w:r>
          </w:p>
        </w:tc>
        <w:tc>
          <w:tcPr>
            <w:tcW w:w="256" w:type="pct"/>
            <w:tcBorders>
              <w:top w:val="nil"/>
              <w:left w:val="nil"/>
              <w:bottom w:val="single" w:sz="4" w:space="0" w:color="auto"/>
              <w:right w:val="single" w:sz="4" w:space="0" w:color="auto"/>
            </w:tcBorders>
            <w:shd w:val="clear" w:color="000000" w:fill="FFFFFF"/>
            <w:noWrap/>
            <w:hideMark/>
          </w:tcPr>
          <w:p w14:paraId="42A0A21E" w14:textId="77777777" w:rsidR="00C90F03" w:rsidRDefault="00C90F03">
            <w:pPr>
              <w:jc w:val="right"/>
              <w:rPr>
                <w:noProof/>
                <w:color w:val="000000"/>
                <w:sz w:val="20"/>
                <w:szCs w:val="20"/>
              </w:rPr>
            </w:pPr>
            <w:r>
              <w:rPr>
                <w:noProof/>
                <w:color w:val="000000"/>
                <w:sz w:val="20"/>
                <w:szCs w:val="20"/>
              </w:rPr>
              <w:t>2.3</w:t>
            </w:r>
          </w:p>
        </w:tc>
        <w:tc>
          <w:tcPr>
            <w:tcW w:w="256" w:type="pct"/>
            <w:tcBorders>
              <w:top w:val="nil"/>
              <w:left w:val="nil"/>
              <w:bottom w:val="single" w:sz="4" w:space="0" w:color="auto"/>
              <w:right w:val="single" w:sz="4" w:space="0" w:color="auto"/>
            </w:tcBorders>
            <w:shd w:val="clear" w:color="000000" w:fill="FFFFFF"/>
            <w:noWrap/>
            <w:hideMark/>
          </w:tcPr>
          <w:p w14:paraId="27783C55" w14:textId="77777777" w:rsidR="00C90F03" w:rsidRDefault="00C90F03">
            <w:pPr>
              <w:jc w:val="right"/>
              <w:rPr>
                <w:noProof/>
                <w:color w:val="000000"/>
                <w:sz w:val="20"/>
                <w:szCs w:val="20"/>
              </w:rPr>
            </w:pPr>
            <w:r>
              <w:rPr>
                <w:noProof/>
                <w:color w:val="000000"/>
                <w:sz w:val="20"/>
                <w:szCs w:val="20"/>
              </w:rPr>
              <w:t>3.3</w:t>
            </w:r>
          </w:p>
        </w:tc>
        <w:tc>
          <w:tcPr>
            <w:tcW w:w="256" w:type="pct"/>
            <w:tcBorders>
              <w:top w:val="nil"/>
              <w:left w:val="nil"/>
              <w:bottom w:val="single" w:sz="4" w:space="0" w:color="auto"/>
              <w:right w:val="single" w:sz="4" w:space="0" w:color="auto"/>
            </w:tcBorders>
            <w:shd w:val="clear" w:color="000000" w:fill="FFFFFF"/>
            <w:noWrap/>
            <w:hideMark/>
          </w:tcPr>
          <w:p w14:paraId="4AAF3DC7" w14:textId="77777777" w:rsidR="00C90F03" w:rsidRDefault="00C90F03">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3FE1DE46" w14:textId="77777777" w:rsidR="00C90F03" w:rsidRDefault="00C90F03">
            <w:pPr>
              <w:jc w:val="right"/>
              <w:rPr>
                <w:noProof/>
                <w:color w:val="000000"/>
                <w:sz w:val="20"/>
                <w:szCs w:val="20"/>
              </w:rPr>
            </w:pPr>
            <w:r>
              <w:rPr>
                <w:noProof/>
                <w:color w:val="000000"/>
                <w:sz w:val="20"/>
                <w:szCs w:val="20"/>
              </w:rPr>
              <w:t>4.6</w:t>
            </w:r>
          </w:p>
        </w:tc>
        <w:tc>
          <w:tcPr>
            <w:tcW w:w="256" w:type="pct"/>
            <w:tcBorders>
              <w:top w:val="nil"/>
              <w:left w:val="nil"/>
              <w:bottom w:val="single" w:sz="4" w:space="0" w:color="auto"/>
              <w:right w:val="single" w:sz="4" w:space="0" w:color="auto"/>
            </w:tcBorders>
            <w:shd w:val="clear" w:color="000000" w:fill="FFFFFF"/>
            <w:noWrap/>
            <w:hideMark/>
          </w:tcPr>
          <w:p w14:paraId="5718FB3F" w14:textId="77777777" w:rsidR="00C90F03" w:rsidRDefault="00C90F03">
            <w:pPr>
              <w:jc w:val="right"/>
              <w:rPr>
                <w:noProof/>
                <w:color w:val="000000"/>
                <w:sz w:val="20"/>
                <w:szCs w:val="20"/>
              </w:rPr>
            </w:pPr>
            <w:r>
              <w:rPr>
                <w:noProof/>
                <w:color w:val="000000"/>
                <w:sz w:val="20"/>
                <w:szCs w:val="20"/>
              </w:rPr>
              <w:t>5.9</w:t>
            </w:r>
          </w:p>
        </w:tc>
        <w:tc>
          <w:tcPr>
            <w:tcW w:w="256" w:type="pct"/>
            <w:tcBorders>
              <w:top w:val="nil"/>
              <w:left w:val="nil"/>
              <w:bottom w:val="single" w:sz="4" w:space="0" w:color="auto"/>
              <w:right w:val="single" w:sz="4" w:space="0" w:color="auto"/>
            </w:tcBorders>
            <w:shd w:val="clear" w:color="000000" w:fill="FFFFFF"/>
            <w:noWrap/>
            <w:hideMark/>
          </w:tcPr>
          <w:p w14:paraId="746B753A" w14:textId="77777777" w:rsidR="00C90F03" w:rsidRDefault="00C90F03">
            <w:pPr>
              <w:jc w:val="right"/>
              <w:rPr>
                <w:noProof/>
                <w:color w:val="000000"/>
                <w:sz w:val="20"/>
                <w:szCs w:val="20"/>
              </w:rPr>
            </w:pPr>
            <w:r>
              <w:rPr>
                <w:noProof/>
                <w:color w:val="000000"/>
                <w:sz w:val="20"/>
                <w:szCs w:val="20"/>
              </w:rPr>
              <w:t>18.1</w:t>
            </w:r>
          </w:p>
        </w:tc>
        <w:tc>
          <w:tcPr>
            <w:tcW w:w="254" w:type="pct"/>
            <w:tcBorders>
              <w:top w:val="nil"/>
              <w:left w:val="nil"/>
              <w:bottom w:val="single" w:sz="4" w:space="0" w:color="auto"/>
              <w:right w:val="single" w:sz="4" w:space="0" w:color="auto"/>
            </w:tcBorders>
            <w:shd w:val="clear" w:color="000000" w:fill="FFFFFF"/>
            <w:noWrap/>
            <w:hideMark/>
          </w:tcPr>
          <w:p w14:paraId="597D2E00" w14:textId="77777777" w:rsidR="00C90F03" w:rsidRDefault="00C90F03">
            <w:pPr>
              <w:jc w:val="right"/>
              <w:rPr>
                <w:noProof/>
                <w:color w:val="000000"/>
                <w:sz w:val="20"/>
                <w:szCs w:val="20"/>
              </w:rPr>
            </w:pPr>
            <w:r>
              <w:rPr>
                <w:noProof/>
                <w:color w:val="000000"/>
                <w:sz w:val="20"/>
                <w:szCs w:val="20"/>
              </w:rPr>
              <w:t>15.9</w:t>
            </w:r>
          </w:p>
        </w:tc>
      </w:tr>
      <w:tr w:rsidR="00C90F03" w14:paraId="4E0CC4BC" w14:textId="77777777" w:rsidTr="00F34695">
        <w:trPr>
          <w:trHeight w:val="255"/>
        </w:trPr>
        <w:tc>
          <w:tcPr>
            <w:tcW w:w="906" w:type="pct"/>
            <w:tcBorders>
              <w:top w:val="nil"/>
              <w:left w:val="single" w:sz="4" w:space="0" w:color="auto"/>
              <w:bottom w:val="single" w:sz="4" w:space="0" w:color="auto"/>
              <w:right w:val="single" w:sz="4" w:space="0" w:color="auto"/>
            </w:tcBorders>
            <w:shd w:val="clear" w:color="000000" w:fill="BDE3FF"/>
            <w:hideMark/>
          </w:tcPr>
          <w:p w14:paraId="59D0DFCF" w14:textId="77777777" w:rsidR="00C90F03" w:rsidRDefault="00C90F03">
            <w:pPr>
              <w:rPr>
                <w:b/>
                <w:bCs/>
                <w:noProof/>
                <w:sz w:val="20"/>
                <w:szCs w:val="20"/>
              </w:rPr>
            </w:pPr>
            <w:r>
              <w:rPr>
                <w:b/>
                <w:bCs/>
                <w:noProof/>
                <w:sz w:val="20"/>
                <w:szCs w:val="20"/>
              </w:rPr>
              <w:t>Administrative costs</w:t>
            </w:r>
          </w:p>
        </w:tc>
        <w:tc>
          <w:tcPr>
            <w:tcW w:w="256" w:type="pct"/>
            <w:tcBorders>
              <w:top w:val="nil"/>
              <w:left w:val="nil"/>
              <w:bottom w:val="single" w:sz="4" w:space="0" w:color="auto"/>
              <w:right w:val="single" w:sz="4" w:space="0" w:color="auto"/>
            </w:tcBorders>
            <w:shd w:val="clear" w:color="000000" w:fill="BDE3FF"/>
            <w:hideMark/>
          </w:tcPr>
          <w:p w14:paraId="3D26DF31"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174D3039"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073FB0E2"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31718E17"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6C64E6D6"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75F8A1D1"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5E64B55A"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588E2339"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5FEA2044"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33E4B362"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67C298E8"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2F70E21C"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189F203F"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2BA4BCB9" w14:textId="77777777" w:rsidR="00C90F03" w:rsidRDefault="00C90F03">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69E8C2A5" w14:textId="77777777" w:rsidR="00C90F03" w:rsidRDefault="00C90F03">
            <w:pPr>
              <w:jc w:val="right"/>
              <w:rPr>
                <w:b/>
                <w:bCs/>
                <w:noProof/>
                <w:sz w:val="20"/>
                <w:szCs w:val="20"/>
              </w:rPr>
            </w:pPr>
            <w:r>
              <w:rPr>
                <w:b/>
                <w:bCs/>
                <w:noProof/>
                <w:sz w:val="20"/>
                <w:szCs w:val="20"/>
              </w:rPr>
              <w:t>0.0</w:t>
            </w:r>
          </w:p>
        </w:tc>
        <w:tc>
          <w:tcPr>
            <w:tcW w:w="254" w:type="pct"/>
            <w:tcBorders>
              <w:top w:val="nil"/>
              <w:left w:val="nil"/>
              <w:bottom w:val="single" w:sz="4" w:space="0" w:color="auto"/>
              <w:right w:val="single" w:sz="4" w:space="0" w:color="auto"/>
            </w:tcBorders>
            <w:shd w:val="clear" w:color="000000" w:fill="BDE3FF"/>
            <w:hideMark/>
          </w:tcPr>
          <w:p w14:paraId="2180320C" w14:textId="77777777" w:rsidR="00C90F03" w:rsidRDefault="00C90F03">
            <w:pPr>
              <w:jc w:val="right"/>
              <w:rPr>
                <w:b/>
                <w:bCs/>
                <w:noProof/>
                <w:sz w:val="20"/>
                <w:szCs w:val="20"/>
              </w:rPr>
            </w:pPr>
            <w:r>
              <w:rPr>
                <w:b/>
                <w:bCs/>
                <w:noProof/>
                <w:sz w:val="20"/>
                <w:szCs w:val="20"/>
              </w:rPr>
              <w:t>0.0</w:t>
            </w:r>
          </w:p>
        </w:tc>
      </w:tr>
      <w:tr w:rsidR="00DC4792" w14:paraId="030C7702" w14:textId="77777777" w:rsidTr="00F34695">
        <w:trPr>
          <w:trHeight w:val="510"/>
        </w:trPr>
        <w:tc>
          <w:tcPr>
            <w:tcW w:w="906" w:type="pct"/>
            <w:tcBorders>
              <w:top w:val="nil"/>
              <w:left w:val="single" w:sz="4" w:space="0" w:color="auto"/>
              <w:bottom w:val="single" w:sz="4" w:space="0" w:color="auto"/>
              <w:right w:val="single" w:sz="4" w:space="0" w:color="auto"/>
            </w:tcBorders>
            <w:hideMark/>
          </w:tcPr>
          <w:p w14:paraId="5AE439FC" w14:textId="77777777" w:rsidR="00C90F03" w:rsidRDefault="00C90F03">
            <w:pPr>
              <w:rPr>
                <w:noProof/>
                <w:color w:val="000000"/>
                <w:sz w:val="20"/>
                <w:szCs w:val="20"/>
              </w:rPr>
            </w:pPr>
            <w:r>
              <w:rPr>
                <w:noProof/>
                <w:color w:val="000000"/>
                <w:sz w:val="20"/>
                <w:szCs w:val="20"/>
              </w:rPr>
              <w:t>PM10 (Designation of indispensable MDMS and RUs)</w:t>
            </w:r>
          </w:p>
        </w:tc>
        <w:tc>
          <w:tcPr>
            <w:tcW w:w="256" w:type="pct"/>
            <w:tcBorders>
              <w:top w:val="nil"/>
              <w:left w:val="nil"/>
              <w:bottom w:val="single" w:sz="4" w:space="0" w:color="auto"/>
              <w:right w:val="single" w:sz="4" w:space="0" w:color="auto"/>
            </w:tcBorders>
            <w:shd w:val="clear" w:color="000000" w:fill="FFFFFF"/>
            <w:noWrap/>
            <w:hideMark/>
          </w:tcPr>
          <w:p w14:paraId="009162A6" w14:textId="77777777" w:rsidR="00C90F03" w:rsidRDefault="00C90F03">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64823592" w14:textId="77777777" w:rsidR="00C90F03" w:rsidRDefault="00C90F03">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724E15E0" w14:textId="77777777" w:rsidR="00C90F03" w:rsidRDefault="00C90F03">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38AA3700" w14:textId="77777777" w:rsidR="00C90F03" w:rsidRDefault="00C90F03">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750CC1F4" w14:textId="77777777" w:rsidR="00C90F03" w:rsidRDefault="00C90F03">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0579AE5F" w14:textId="77777777" w:rsidR="00C90F03" w:rsidRDefault="00C90F03">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28232863" w14:textId="77777777" w:rsidR="00C90F03" w:rsidRDefault="00C90F03">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67D12871" w14:textId="77777777" w:rsidR="00C90F03" w:rsidRDefault="00C90F03">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5E096605" w14:textId="77777777" w:rsidR="00C90F03" w:rsidRDefault="00C90F03">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299BA808" w14:textId="77777777" w:rsidR="00C90F03" w:rsidRDefault="00C90F03">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538A090E" w14:textId="77777777" w:rsidR="00C90F03" w:rsidRDefault="00C90F03">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718A493B" w14:textId="77777777" w:rsidR="00C90F03" w:rsidRDefault="00C90F03">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612852E5" w14:textId="77777777" w:rsidR="00C90F03" w:rsidRDefault="00C90F03">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6300FBC6" w14:textId="77777777" w:rsidR="00C90F03" w:rsidRDefault="00C90F03">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37C7B9F1" w14:textId="77777777" w:rsidR="00C90F03" w:rsidRDefault="00C90F03">
            <w:pPr>
              <w:jc w:val="right"/>
              <w:rPr>
                <w:noProof/>
                <w:color w:val="000000"/>
                <w:sz w:val="20"/>
                <w:szCs w:val="20"/>
              </w:rPr>
            </w:pPr>
            <w:r>
              <w:rPr>
                <w:noProof/>
                <w:color w:val="000000"/>
                <w:sz w:val="20"/>
                <w:szCs w:val="20"/>
              </w:rPr>
              <w:t>0.0</w:t>
            </w:r>
          </w:p>
        </w:tc>
        <w:tc>
          <w:tcPr>
            <w:tcW w:w="254" w:type="pct"/>
            <w:tcBorders>
              <w:top w:val="nil"/>
              <w:left w:val="nil"/>
              <w:bottom w:val="single" w:sz="4" w:space="0" w:color="auto"/>
              <w:right w:val="single" w:sz="4" w:space="0" w:color="auto"/>
            </w:tcBorders>
            <w:shd w:val="clear" w:color="000000" w:fill="FFFFFF"/>
            <w:noWrap/>
            <w:hideMark/>
          </w:tcPr>
          <w:p w14:paraId="04351252" w14:textId="77777777" w:rsidR="00C90F03" w:rsidRDefault="00C90F03">
            <w:pPr>
              <w:jc w:val="right"/>
              <w:rPr>
                <w:noProof/>
                <w:color w:val="000000"/>
                <w:sz w:val="20"/>
                <w:szCs w:val="20"/>
              </w:rPr>
            </w:pPr>
            <w:r>
              <w:rPr>
                <w:noProof/>
                <w:color w:val="000000"/>
                <w:sz w:val="20"/>
                <w:szCs w:val="20"/>
              </w:rPr>
              <w:t>0.0</w:t>
            </w:r>
          </w:p>
        </w:tc>
      </w:tr>
      <w:tr w:rsidR="00C90F03" w14:paraId="6D649BB4" w14:textId="77777777" w:rsidTr="00F34695">
        <w:trPr>
          <w:trHeight w:val="255"/>
        </w:trPr>
        <w:tc>
          <w:tcPr>
            <w:tcW w:w="906" w:type="pct"/>
            <w:tcBorders>
              <w:top w:val="nil"/>
              <w:left w:val="single" w:sz="4" w:space="0" w:color="auto"/>
              <w:bottom w:val="single" w:sz="4" w:space="0" w:color="auto"/>
              <w:right w:val="single" w:sz="4" w:space="0" w:color="auto"/>
            </w:tcBorders>
            <w:shd w:val="clear" w:color="000000" w:fill="F2F2F2"/>
            <w:noWrap/>
            <w:hideMark/>
          </w:tcPr>
          <w:p w14:paraId="7E181440" w14:textId="77777777" w:rsidR="00C90F03" w:rsidRDefault="00C90F03">
            <w:pPr>
              <w:rPr>
                <w:b/>
                <w:bCs/>
                <w:noProof/>
                <w:color w:val="000000"/>
                <w:sz w:val="20"/>
                <w:szCs w:val="20"/>
              </w:rPr>
            </w:pPr>
            <w:r>
              <w:rPr>
                <w:b/>
                <w:bCs/>
                <w:noProof/>
                <w:color w:val="000000"/>
                <w:sz w:val="20"/>
                <w:szCs w:val="20"/>
              </w:rPr>
              <w:t>Total one-off costs</w:t>
            </w:r>
          </w:p>
        </w:tc>
        <w:tc>
          <w:tcPr>
            <w:tcW w:w="256" w:type="pct"/>
            <w:tcBorders>
              <w:top w:val="nil"/>
              <w:left w:val="nil"/>
              <w:bottom w:val="single" w:sz="4" w:space="0" w:color="auto"/>
              <w:right w:val="single" w:sz="4" w:space="0" w:color="auto"/>
            </w:tcBorders>
            <w:shd w:val="clear" w:color="000000" w:fill="F2F2F2"/>
            <w:noWrap/>
            <w:vAlign w:val="bottom"/>
            <w:hideMark/>
          </w:tcPr>
          <w:p w14:paraId="7CCDD60E" w14:textId="77777777" w:rsidR="00C90F03" w:rsidRDefault="00C90F03">
            <w:pPr>
              <w:jc w:val="right"/>
              <w:rPr>
                <w:b/>
                <w:bCs/>
                <w:noProof/>
                <w:color w:val="000000"/>
                <w:sz w:val="20"/>
                <w:szCs w:val="20"/>
              </w:rPr>
            </w:pPr>
            <w:r>
              <w:rPr>
                <w:b/>
                <w:bCs/>
                <w:noProof/>
                <w:color w:val="000000"/>
                <w:sz w:val="20"/>
                <w:szCs w:val="20"/>
              </w:rPr>
              <w:t>0.0</w:t>
            </w:r>
          </w:p>
        </w:tc>
        <w:tc>
          <w:tcPr>
            <w:tcW w:w="256" w:type="pct"/>
            <w:tcBorders>
              <w:top w:val="nil"/>
              <w:left w:val="nil"/>
              <w:bottom w:val="single" w:sz="4" w:space="0" w:color="auto"/>
              <w:right w:val="single" w:sz="4" w:space="0" w:color="auto"/>
            </w:tcBorders>
            <w:shd w:val="clear" w:color="000000" w:fill="F2F2F2"/>
            <w:noWrap/>
            <w:vAlign w:val="bottom"/>
            <w:hideMark/>
          </w:tcPr>
          <w:p w14:paraId="7F99CC32" w14:textId="77777777" w:rsidR="00C90F03" w:rsidRDefault="00C90F03">
            <w:pPr>
              <w:jc w:val="right"/>
              <w:rPr>
                <w:b/>
                <w:bCs/>
                <w:noProof/>
                <w:color w:val="000000"/>
                <w:sz w:val="20"/>
                <w:szCs w:val="20"/>
              </w:rPr>
            </w:pPr>
            <w:r>
              <w:rPr>
                <w:b/>
                <w:bCs/>
                <w:noProof/>
                <w:color w:val="000000"/>
                <w:sz w:val="20"/>
                <w:szCs w:val="20"/>
              </w:rPr>
              <w:t>0.0</w:t>
            </w:r>
          </w:p>
        </w:tc>
        <w:tc>
          <w:tcPr>
            <w:tcW w:w="256" w:type="pct"/>
            <w:tcBorders>
              <w:top w:val="nil"/>
              <w:left w:val="nil"/>
              <w:bottom w:val="single" w:sz="4" w:space="0" w:color="auto"/>
              <w:right w:val="single" w:sz="4" w:space="0" w:color="auto"/>
            </w:tcBorders>
            <w:shd w:val="clear" w:color="000000" w:fill="F2F2F2"/>
            <w:noWrap/>
            <w:vAlign w:val="bottom"/>
            <w:hideMark/>
          </w:tcPr>
          <w:p w14:paraId="4A3B96C5" w14:textId="77777777" w:rsidR="00C90F03" w:rsidRDefault="00C90F03">
            <w:pPr>
              <w:jc w:val="right"/>
              <w:rPr>
                <w:b/>
                <w:bCs/>
                <w:noProof/>
                <w:color w:val="000000"/>
                <w:sz w:val="20"/>
                <w:szCs w:val="20"/>
              </w:rPr>
            </w:pPr>
            <w:r>
              <w:rPr>
                <w:b/>
                <w:bCs/>
                <w:noProof/>
                <w:color w:val="000000"/>
                <w:sz w:val="20"/>
                <w:szCs w:val="20"/>
              </w:rPr>
              <w:t>0.0</w:t>
            </w:r>
          </w:p>
        </w:tc>
        <w:tc>
          <w:tcPr>
            <w:tcW w:w="256" w:type="pct"/>
            <w:tcBorders>
              <w:top w:val="nil"/>
              <w:left w:val="nil"/>
              <w:bottom w:val="single" w:sz="4" w:space="0" w:color="auto"/>
              <w:right w:val="single" w:sz="4" w:space="0" w:color="auto"/>
            </w:tcBorders>
            <w:shd w:val="clear" w:color="000000" w:fill="F2F2F2"/>
            <w:noWrap/>
            <w:vAlign w:val="bottom"/>
            <w:hideMark/>
          </w:tcPr>
          <w:p w14:paraId="6B13E01A" w14:textId="77777777" w:rsidR="00C90F03" w:rsidRDefault="00C90F03">
            <w:pPr>
              <w:jc w:val="right"/>
              <w:rPr>
                <w:b/>
                <w:bCs/>
                <w:noProof/>
                <w:color w:val="000000"/>
                <w:sz w:val="20"/>
                <w:szCs w:val="20"/>
              </w:rPr>
            </w:pPr>
            <w:r>
              <w:rPr>
                <w:b/>
                <w:bCs/>
                <w:noProof/>
                <w:color w:val="000000"/>
                <w:sz w:val="20"/>
                <w:szCs w:val="20"/>
              </w:rPr>
              <w:t>0.0</w:t>
            </w:r>
          </w:p>
        </w:tc>
        <w:tc>
          <w:tcPr>
            <w:tcW w:w="256" w:type="pct"/>
            <w:tcBorders>
              <w:top w:val="nil"/>
              <w:left w:val="nil"/>
              <w:bottom w:val="single" w:sz="4" w:space="0" w:color="auto"/>
              <w:right w:val="single" w:sz="4" w:space="0" w:color="auto"/>
            </w:tcBorders>
            <w:shd w:val="clear" w:color="000000" w:fill="F2F2F2"/>
            <w:noWrap/>
            <w:vAlign w:val="bottom"/>
            <w:hideMark/>
          </w:tcPr>
          <w:p w14:paraId="74892BCB" w14:textId="77777777" w:rsidR="00C90F03" w:rsidRDefault="00C90F03">
            <w:pPr>
              <w:jc w:val="right"/>
              <w:rPr>
                <w:b/>
                <w:bCs/>
                <w:noProof/>
                <w:color w:val="000000"/>
                <w:sz w:val="20"/>
                <w:szCs w:val="20"/>
              </w:rPr>
            </w:pPr>
            <w:r>
              <w:rPr>
                <w:b/>
                <w:bCs/>
                <w:noProof/>
                <w:color w:val="000000"/>
                <w:sz w:val="20"/>
                <w:szCs w:val="20"/>
              </w:rPr>
              <w:t>13.4</w:t>
            </w:r>
          </w:p>
        </w:tc>
        <w:tc>
          <w:tcPr>
            <w:tcW w:w="256" w:type="pct"/>
            <w:tcBorders>
              <w:top w:val="nil"/>
              <w:left w:val="nil"/>
              <w:bottom w:val="single" w:sz="4" w:space="0" w:color="auto"/>
              <w:right w:val="single" w:sz="4" w:space="0" w:color="auto"/>
            </w:tcBorders>
            <w:shd w:val="clear" w:color="000000" w:fill="F2F2F2"/>
            <w:noWrap/>
            <w:vAlign w:val="bottom"/>
            <w:hideMark/>
          </w:tcPr>
          <w:p w14:paraId="4D620FBE" w14:textId="77777777" w:rsidR="00C90F03" w:rsidRDefault="00C90F03">
            <w:pPr>
              <w:jc w:val="right"/>
              <w:rPr>
                <w:b/>
                <w:bCs/>
                <w:noProof/>
                <w:color w:val="000000"/>
                <w:sz w:val="20"/>
                <w:szCs w:val="20"/>
              </w:rPr>
            </w:pPr>
            <w:r>
              <w:rPr>
                <w:b/>
                <w:bCs/>
                <w:noProof/>
                <w:color w:val="000000"/>
                <w:sz w:val="20"/>
                <w:szCs w:val="20"/>
              </w:rPr>
              <w:t>2.3</w:t>
            </w:r>
          </w:p>
        </w:tc>
        <w:tc>
          <w:tcPr>
            <w:tcW w:w="256" w:type="pct"/>
            <w:tcBorders>
              <w:top w:val="nil"/>
              <w:left w:val="nil"/>
              <w:bottom w:val="single" w:sz="4" w:space="0" w:color="auto"/>
              <w:right w:val="single" w:sz="4" w:space="0" w:color="auto"/>
            </w:tcBorders>
            <w:shd w:val="clear" w:color="000000" w:fill="F2F2F2"/>
            <w:noWrap/>
            <w:vAlign w:val="bottom"/>
            <w:hideMark/>
          </w:tcPr>
          <w:p w14:paraId="4602D5BF" w14:textId="77777777" w:rsidR="00C90F03" w:rsidRDefault="00C90F03">
            <w:pPr>
              <w:jc w:val="right"/>
              <w:rPr>
                <w:b/>
                <w:bCs/>
                <w:noProof/>
                <w:color w:val="000000"/>
                <w:sz w:val="20"/>
                <w:szCs w:val="20"/>
              </w:rPr>
            </w:pPr>
            <w:r>
              <w:rPr>
                <w:b/>
                <w:bCs/>
                <w:noProof/>
                <w:color w:val="000000"/>
                <w:sz w:val="20"/>
                <w:szCs w:val="20"/>
              </w:rPr>
              <w:t>4.0</w:t>
            </w:r>
          </w:p>
        </w:tc>
        <w:tc>
          <w:tcPr>
            <w:tcW w:w="256" w:type="pct"/>
            <w:tcBorders>
              <w:top w:val="nil"/>
              <w:left w:val="nil"/>
              <w:bottom w:val="single" w:sz="4" w:space="0" w:color="auto"/>
              <w:right w:val="single" w:sz="4" w:space="0" w:color="auto"/>
            </w:tcBorders>
            <w:shd w:val="clear" w:color="000000" w:fill="F2F2F2"/>
            <w:noWrap/>
            <w:vAlign w:val="bottom"/>
            <w:hideMark/>
          </w:tcPr>
          <w:p w14:paraId="75CEE589" w14:textId="77777777" w:rsidR="00C90F03" w:rsidRDefault="00C90F03">
            <w:pPr>
              <w:jc w:val="right"/>
              <w:rPr>
                <w:b/>
                <w:bCs/>
                <w:noProof/>
                <w:color w:val="000000"/>
                <w:sz w:val="20"/>
                <w:szCs w:val="20"/>
              </w:rPr>
            </w:pPr>
            <w:r>
              <w:rPr>
                <w:b/>
                <w:bCs/>
                <w:noProof/>
                <w:color w:val="000000"/>
                <w:sz w:val="20"/>
                <w:szCs w:val="20"/>
              </w:rPr>
              <w:t>0.0</w:t>
            </w:r>
          </w:p>
        </w:tc>
        <w:tc>
          <w:tcPr>
            <w:tcW w:w="256" w:type="pct"/>
            <w:tcBorders>
              <w:top w:val="nil"/>
              <w:left w:val="nil"/>
              <w:bottom w:val="single" w:sz="4" w:space="0" w:color="auto"/>
              <w:right w:val="single" w:sz="4" w:space="0" w:color="auto"/>
            </w:tcBorders>
            <w:shd w:val="clear" w:color="000000" w:fill="F2F2F2"/>
            <w:noWrap/>
            <w:vAlign w:val="bottom"/>
            <w:hideMark/>
          </w:tcPr>
          <w:p w14:paraId="1D48C137" w14:textId="77777777" w:rsidR="00C90F03" w:rsidRDefault="00C90F03">
            <w:pPr>
              <w:jc w:val="right"/>
              <w:rPr>
                <w:b/>
                <w:bCs/>
                <w:noProof/>
                <w:color w:val="000000"/>
                <w:sz w:val="20"/>
                <w:szCs w:val="20"/>
              </w:rPr>
            </w:pPr>
            <w:r>
              <w:rPr>
                <w:b/>
                <w:bCs/>
                <w:noProof/>
                <w:color w:val="000000"/>
                <w:sz w:val="20"/>
                <w:szCs w:val="20"/>
              </w:rPr>
              <w:t>13.4</w:t>
            </w:r>
          </w:p>
        </w:tc>
        <w:tc>
          <w:tcPr>
            <w:tcW w:w="256" w:type="pct"/>
            <w:tcBorders>
              <w:top w:val="nil"/>
              <w:left w:val="nil"/>
              <w:bottom w:val="single" w:sz="4" w:space="0" w:color="auto"/>
              <w:right w:val="single" w:sz="4" w:space="0" w:color="auto"/>
            </w:tcBorders>
            <w:shd w:val="clear" w:color="000000" w:fill="F2F2F2"/>
            <w:noWrap/>
            <w:vAlign w:val="bottom"/>
            <w:hideMark/>
          </w:tcPr>
          <w:p w14:paraId="0B292BFB" w14:textId="77777777" w:rsidR="00C90F03" w:rsidRDefault="00C90F03">
            <w:pPr>
              <w:jc w:val="right"/>
              <w:rPr>
                <w:b/>
                <w:bCs/>
                <w:noProof/>
                <w:color w:val="000000"/>
                <w:sz w:val="20"/>
                <w:szCs w:val="20"/>
              </w:rPr>
            </w:pPr>
            <w:r>
              <w:rPr>
                <w:b/>
                <w:bCs/>
                <w:noProof/>
                <w:color w:val="000000"/>
                <w:sz w:val="20"/>
                <w:szCs w:val="20"/>
              </w:rPr>
              <w:t>2.3</w:t>
            </w:r>
          </w:p>
        </w:tc>
        <w:tc>
          <w:tcPr>
            <w:tcW w:w="256" w:type="pct"/>
            <w:tcBorders>
              <w:top w:val="nil"/>
              <w:left w:val="nil"/>
              <w:bottom w:val="single" w:sz="4" w:space="0" w:color="auto"/>
              <w:right w:val="single" w:sz="4" w:space="0" w:color="auto"/>
            </w:tcBorders>
            <w:shd w:val="clear" w:color="000000" w:fill="F2F2F2"/>
            <w:noWrap/>
            <w:vAlign w:val="bottom"/>
            <w:hideMark/>
          </w:tcPr>
          <w:p w14:paraId="4588FD39" w14:textId="77777777" w:rsidR="00C90F03" w:rsidRDefault="00C90F03">
            <w:pPr>
              <w:jc w:val="right"/>
              <w:rPr>
                <w:b/>
                <w:bCs/>
                <w:noProof/>
                <w:color w:val="000000"/>
                <w:sz w:val="20"/>
                <w:szCs w:val="20"/>
              </w:rPr>
            </w:pPr>
            <w:r>
              <w:rPr>
                <w:b/>
                <w:bCs/>
                <w:noProof/>
                <w:color w:val="000000"/>
                <w:sz w:val="20"/>
                <w:szCs w:val="20"/>
              </w:rPr>
              <w:t>3.3</w:t>
            </w:r>
          </w:p>
        </w:tc>
        <w:tc>
          <w:tcPr>
            <w:tcW w:w="256" w:type="pct"/>
            <w:tcBorders>
              <w:top w:val="nil"/>
              <w:left w:val="nil"/>
              <w:bottom w:val="single" w:sz="4" w:space="0" w:color="auto"/>
              <w:right w:val="single" w:sz="4" w:space="0" w:color="auto"/>
            </w:tcBorders>
            <w:shd w:val="clear" w:color="000000" w:fill="F2F2F2"/>
            <w:noWrap/>
            <w:vAlign w:val="bottom"/>
            <w:hideMark/>
          </w:tcPr>
          <w:p w14:paraId="336740A9" w14:textId="77777777" w:rsidR="00C90F03" w:rsidRDefault="00C90F03">
            <w:pPr>
              <w:jc w:val="right"/>
              <w:rPr>
                <w:b/>
                <w:bCs/>
                <w:noProof/>
                <w:color w:val="000000"/>
                <w:sz w:val="20"/>
                <w:szCs w:val="20"/>
              </w:rPr>
            </w:pPr>
            <w:r>
              <w:rPr>
                <w:b/>
                <w:bCs/>
                <w:noProof/>
                <w:color w:val="000000"/>
                <w:sz w:val="20"/>
                <w:szCs w:val="20"/>
              </w:rPr>
              <w:t>0.0</w:t>
            </w:r>
          </w:p>
        </w:tc>
        <w:tc>
          <w:tcPr>
            <w:tcW w:w="256" w:type="pct"/>
            <w:tcBorders>
              <w:top w:val="nil"/>
              <w:left w:val="nil"/>
              <w:bottom w:val="single" w:sz="4" w:space="0" w:color="auto"/>
              <w:right w:val="single" w:sz="4" w:space="0" w:color="auto"/>
            </w:tcBorders>
            <w:shd w:val="clear" w:color="000000" w:fill="F2F2F2"/>
            <w:noWrap/>
            <w:vAlign w:val="bottom"/>
            <w:hideMark/>
          </w:tcPr>
          <w:p w14:paraId="1B285BC7" w14:textId="77777777" w:rsidR="00C90F03" w:rsidRDefault="00C90F03">
            <w:pPr>
              <w:jc w:val="right"/>
              <w:rPr>
                <w:b/>
                <w:bCs/>
                <w:noProof/>
                <w:color w:val="000000"/>
                <w:sz w:val="20"/>
                <w:szCs w:val="20"/>
              </w:rPr>
            </w:pPr>
            <w:r>
              <w:rPr>
                <w:b/>
                <w:bCs/>
                <w:noProof/>
                <w:color w:val="000000"/>
                <w:sz w:val="20"/>
                <w:szCs w:val="20"/>
              </w:rPr>
              <w:t>4.6</w:t>
            </w:r>
          </w:p>
        </w:tc>
        <w:tc>
          <w:tcPr>
            <w:tcW w:w="256" w:type="pct"/>
            <w:tcBorders>
              <w:top w:val="nil"/>
              <w:left w:val="nil"/>
              <w:bottom w:val="single" w:sz="4" w:space="0" w:color="auto"/>
              <w:right w:val="single" w:sz="4" w:space="0" w:color="auto"/>
            </w:tcBorders>
            <w:shd w:val="clear" w:color="000000" w:fill="F2F2F2"/>
            <w:noWrap/>
            <w:vAlign w:val="bottom"/>
            <w:hideMark/>
          </w:tcPr>
          <w:p w14:paraId="7655A699" w14:textId="77777777" w:rsidR="00C90F03" w:rsidRDefault="00C90F03">
            <w:pPr>
              <w:jc w:val="right"/>
              <w:rPr>
                <w:b/>
                <w:bCs/>
                <w:noProof/>
                <w:color w:val="000000"/>
                <w:sz w:val="20"/>
                <w:szCs w:val="20"/>
              </w:rPr>
            </w:pPr>
            <w:r>
              <w:rPr>
                <w:b/>
                <w:bCs/>
                <w:noProof/>
                <w:color w:val="000000"/>
                <w:sz w:val="20"/>
                <w:szCs w:val="20"/>
              </w:rPr>
              <w:t>5.9</w:t>
            </w:r>
          </w:p>
        </w:tc>
        <w:tc>
          <w:tcPr>
            <w:tcW w:w="256" w:type="pct"/>
            <w:tcBorders>
              <w:top w:val="nil"/>
              <w:left w:val="nil"/>
              <w:bottom w:val="single" w:sz="4" w:space="0" w:color="auto"/>
              <w:right w:val="single" w:sz="4" w:space="0" w:color="auto"/>
            </w:tcBorders>
            <w:shd w:val="clear" w:color="000000" w:fill="F2F2F2"/>
            <w:noWrap/>
            <w:vAlign w:val="bottom"/>
            <w:hideMark/>
          </w:tcPr>
          <w:p w14:paraId="4EE53C75" w14:textId="77777777" w:rsidR="00C90F03" w:rsidRDefault="00C90F03">
            <w:pPr>
              <w:jc w:val="right"/>
              <w:rPr>
                <w:b/>
                <w:bCs/>
                <w:noProof/>
                <w:color w:val="000000"/>
                <w:sz w:val="20"/>
                <w:szCs w:val="20"/>
              </w:rPr>
            </w:pPr>
            <w:r>
              <w:rPr>
                <w:b/>
                <w:bCs/>
                <w:noProof/>
                <w:color w:val="000000"/>
                <w:sz w:val="20"/>
                <w:szCs w:val="20"/>
              </w:rPr>
              <w:t>18.1</w:t>
            </w:r>
          </w:p>
        </w:tc>
        <w:tc>
          <w:tcPr>
            <w:tcW w:w="254" w:type="pct"/>
            <w:tcBorders>
              <w:top w:val="nil"/>
              <w:left w:val="nil"/>
              <w:bottom w:val="single" w:sz="4" w:space="0" w:color="auto"/>
              <w:right w:val="single" w:sz="4" w:space="0" w:color="auto"/>
            </w:tcBorders>
            <w:shd w:val="clear" w:color="000000" w:fill="F2F2F2"/>
            <w:noWrap/>
            <w:vAlign w:val="bottom"/>
            <w:hideMark/>
          </w:tcPr>
          <w:p w14:paraId="4B4D3E87" w14:textId="77777777" w:rsidR="00C90F03" w:rsidRDefault="00C90F03">
            <w:pPr>
              <w:jc w:val="right"/>
              <w:rPr>
                <w:b/>
                <w:bCs/>
                <w:noProof/>
                <w:color w:val="000000"/>
                <w:sz w:val="20"/>
                <w:szCs w:val="20"/>
              </w:rPr>
            </w:pPr>
            <w:r>
              <w:rPr>
                <w:b/>
                <w:bCs/>
                <w:noProof/>
                <w:color w:val="000000"/>
                <w:sz w:val="20"/>
                <w:szCs w:val="20"/>
              </w:rPr>
              <w:t>15.9</w:t>
            </w:r>
          </w:p>
        </w:tc>
      </w:tr>
    </w:tbl>
    <w:p w14:paraId="4E26D106" w14:textId="77777777" w:rsidR="00505E10" w:rsidRPr="00D71008" w:rsidRDefault="00505E10" w:rsidP="00505E10">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62D89D6D" w14:textId="77777777" w:rsidR="00725A34" w:rsidRDefault="00D72B13" w:rsidP="00D72B13">
      <w:pPr>
        <w:pStyle w:val="ListParagraph"/>
        <w:keepNext/>
        <w:widowControl/>
        <w:numPr>
          <w:ilvl w:val="2"/>
          <w:numId w:val="10"/>
        </w:numPr>
        <w:autoSpaceDE/>
        <w:autoSpaceDN/>
        <w:spacing w:after="240"/>
        <w:jc w:val="both"/>
        <w:outlineLvl w:val="2"/>
        <w:rPr>
          <w:i/>
          <w:iCs/>
          <w:noProof/>
          <w:sz w:val="24"/>
          <w:szCs w:val="24"/>
        </w:rPr>
      </w:pPr>
      <w:bookmarkStart w:id="2097" w:name="_Toc223981684"/>
      <w:r w:rsidRPr="00E24FEF">
        <w:rPr>
          <w:i/>
          <w:iCs/>
          <w:noProof/>
          <w:sz w:val="24"/>
          <w:szCs w:val="24"/>
        </w:rPr>
        <w:t>National authorities</w:t>
      </w:r>
      <w:bookmarkEnd w:id="2097"/>
    </w:p>
    <w:p w14:paraId="7C40C0B2" w14:textId="3F0198FC" w:rsidR="00725A34" w:rsidRDefault="00725A34" w:rsidP="00725A34">
      <w:pPr>
        <w:pStyle w:val="Text2"/>
        <w:spacing w:after="0"/>
        <w:ind w:left="0"/>
        <w:rPr>
          <w:rFonts w:cs="Times New Roman"/>
          <w:i/>
          <w:noProof/>
          <w:sz w:val="22"/>
          <w:szCs w:val="22"/>
        </w:rPr>
      </w:pPr>
      <w:r w:rsidRPr="006333F0">
        <w:rPr>
          <w:rFonts w:cs="Times New Roman"/>
          <w:i/>
          <w:noProof/>
          <w:sz w:val="22"/>
          <w:szCs w:val="22"/>
        </w:rPr>
        <w:t>Table</w:t>
      </w:r>
      <w:r>
        <w:rPr>
          <w:rFonts w:cs="Times New Roman"/>
          <w:i/>
          <w:noProof/>
          <w:sz w:val="22"/>
          <w:szCs w:val="22"/>
        </w:rPr>
        <w:t xml:space="preserve"> </w:t>
      </w:r>
      <w:r w:rsidRPr="00E24FEF">
        <w:rPr>
          <w:rFonts w:cs="Times New Roman"/>
          <w:i/>
          <w:noProof/>
          <w:sz w:val="22"/>
          <w:szCs w:val="22"/>
        </w:rPr>
        <w:fldChar w:fldCharType="begin"/>
      </w:r>
      <w:r w:rsidRPr="00E24FEF">
        <w:rPr>
          <w:rFonts w:cs="Times New Roman"/>
          <w:i/>
          <w:noProof/>
          <w:sz w:val="22"/>
          <w:szCs w:val="22"/>
        </w:rPr>
        <w:instrText xml:space="preserve"> SEQ Table \* ARABIC </w:instrText>
      </w:r>
      <w:r w:rsidRPr="00E24FEF">
        <w:rPr>
          <w:rFonts w:cs="Times New Roman"/>
          <w:i/>
          <w:noProof/>
          <w:sz w:val="22"/>
          <w:szCs w:val="22"/>
        </w:rPr>
        <w:fldChar w:fldCharType="separate"/>
      </w:r>
      <w:r w:rsidR="0055391F">
        <w:rPr>
          <w:rFonts w:cs="Times New Roman"/>
          <w:i/>
          <w:noProof/>
          <w:sz w:val="22"/>
          <w:szCs w:val="22"/>
        </w:rPr>
        <w:t>124</w:t>
      </w:r>
      <w:r w:rsidRPr="00E24FEF">
        <w:rPr>
          <w:rFonts w:cs="Times New Roman"/>
          <w:i/>
          <w:noProof/>
          <w:sz w:val="22"/>
          <w:szCs w:val="22"/>
        </w:rPr>
        <w:fldChar w:fldCharType="end"/>
      </w:r>
      <w:r w:rsidRPr="006333F0">
        <w:rPr>
          <w:rFonts w:cs="Times New Roman"/>
          <w:i/>
          <w:noProof/>
          <w:sz w:val="22"/>
          <w:szCs w:val="22"/>
        </w:rPr>
        <w:t xml:space="preserve">: One-off and recurrent costs for </w:t>
      </w:r>
      <w:r>
        <w:rPr>
          <w:rFonts w:cs="Times New Roman"/>
          <w:i/>
          <w:noProof/>
          <w:sz w:val="22"/>
          <w:szCs w:val="22"/>
        </w:rPr>
        <w:t>national authorities</w:t>
      </w:r>
      <w:r w:rsidRPr="006333F0">
        <w:rPr>
          <w:rFonts w:cs="Times New Roman"/>
          <w:i/>
          <w:noProof/>
          <w:sz w:val="22"/>
          <w:szCs w:val="22"/>
        </w:rPr>
        <w:t xml:space="preserve"> in the POs relative to the baseline (EU27),</w:t>
      </w:r>
      <w:r>
        <w:rPr>
          <w:rFonts w:cs="Times New Roman"/>
          <w:i/>
          <w:noProof/>
          <w:sz w:val="22"/>
          <w:szCs w:val="22"/>
        </w:rPr>
        <w:t xml:space="preserve"> </w:t>
      </w:r>
      <w:r>
        <w:rPr>
          <w:i/>
          <w:noProof/>
          <w:sz w:val="22"/>
          <w:szCs w:val="22"/>
        </w:rPr>
        <w:t>in</w:t>
      </w:r>
      <w:r>
        <w:rPr>
          <w:rFonts w:cs="Times New Roman"/>
          <w:i/>
          <w:noProof/>
          <w:sz w:val="22"/>
          <w:szCs w:val="22"/>
        </w:rPr>
        <w:t xml:space="preserve"> 2028</w:t>
      </w:r>
      <w:r>
        <w:rPr>
          <w:i/>
          <w:noProof/>
          <w:sz w:val="22"/>
          <w:szCs w:val="22"/>
        </w:rPr>
        <w:t xml:space="preserve">, 2030, 2040 and </w:t>
      </w:r>
      <w:r>
        <w:rPr>
          <w:rFonts w:cs="Times New Roman"/>
          <w:i/>
          <w:noProof/>
          <w:sz w:val="22"/>
          <w:szCs w:val="22"/>
        </w:rPr>
        <w:t>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p>
    <w:tbl>
      <w:tblPr>
        <w:tblW w:w="5000" w:type="pct"/>
        <w:tblLook w:val="04A0" w:firstRow="1" w:lastRow="0" w:firstColumn="1" w:lastColumn="0" w:noHBand="0" w:noVBand="1"/>
      </w:tblPr>
      <w:tblGrid>
        <w:gridCol w:w="2681"/>
        <w:gridCol w:w="758"/>
        <w:gridCol w:w="757"/>
        <w:gridCol w:w="757"/>
        <w:gridCol w:w="757"/>
        <w:gridCol w:w="757"/>
        <w:gridCol w:w="757"/>
        <w:gridCol w:w="757"/>
        <w:gridCol w:w="757"/>
        <w:gridCol w:w="757"/>
        <w:gridCol w:w="757"/>
        <w:gridCol w:w="757"/>
        <w:gridCol w:w="757"/>
        <w:gridCol w:w="757"/>
        <w:gridCol w:w="757"/>
        <w:gridCol w:w="757"/>
        <w:gridCol w:w="751"/>
      </w:tblGrid>
      <w:tr w:rsidR="00DC4792" w14:paraId="06B663A2" w14:textId="77777777" w:rsidTr="00DC4792">
        <w:trPr>
          <w:trHeight w:val="255"/>
          <w:tblHeader/>
        </w:trPr>
        <w:tc>
          <w:tcPr>
            <w:tcW w:w="906"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05CEE655" w14:textId="77777777" w:rsidR="00DC4792" w:rsidRDefault="00DC4792">
            <w:pPr>
              <w:jc w:val="center"/>
              <w:rPr>
                <w:b/>
                <w:bCs/>
                <w:noProof/>
                <w:color w:val="FFFFFF"/>
                <w:sz w:val="20"/>
                <w:szCs w:val="20"/>
              </w:rPr>
            </w:pPr>
            <w:r>
              <w:rPr>
                <w:b/>
                <w:bCs/>
                <w:noProof/>
                <w:color w:val="FFFFFF"/>
                <w:sz w:val="20"/>
                <w:szCs w:val="20"/>
              </w:rPr>
              <w:t> </w:t>
            </w:r>
          </w:p>
        </w:tc>
        <w:tc>
          <w:tcPr>
            <w:tcW w:w="1024" w:type="pct"/>
            <w:gridSpan w:val="4"/>
            <w:tcBorders>
              <w:top w:val="single" w:sz="4" w:space="0" w:color="auto"/>
              <w:left w:val="nil"/>
              <w:bottom w:val="single" w:sz="4" w:space="0" w:color="auto"/>
              <w:right w:val="single" w:sz="4" w:space="0" w:color="auto"/>
            </w:tcBorders>
            <w:shd w:val="clear" w:color="000000" w:fill="0070C0"/>
            <w:hideMark/>
          </w:tcPr>
          <w:p w14:paraId="6D6705FF" w14:textId="77777777" w:rsidR="00DC4792" w:rsidRDefault="00DC4792">
            <w:pPr>
              <w:jc w:val="center"/>
              <w:rPr>
                <w:b/>
                <w:bCs/>
                <w:noProof/>
                <w:color w:val="FFFFFF"/>
                <w:sz w:val="20"/>
                <w:szCs w:val="20"/>
              </w:rPr>
            </w:pPr>
            <w:r>
              <w:rPr>
                <w:b/>
                <w:bCs/>
                <w:noProof/>
                <w:color w:val="FFFFFF"/>
                <w:sz w:val="20"/>
                <w:szCs w:val="20"/>
              </w:rPr>
              <w:t>PO1</w:t>
            </w:r>
          </w:p>
        </w:tc>
        <w:tc>
          <w:tcPr>
            <w:tcW w:w="1024" w:type="pct"/>
            <w:gridSpan w:val="4"/>
            <w:tcBorders>
              <w:top w:val="single" w:sz="4" w:space="0" w:color="auto"/>
              <w:left w:val="nil"/>
              <w:bottom w:val="single" w:sz="4" w:space="0" w:color="auto"/>
              <w:right w:val="single" w:sz="4" w:space="0" w:color="auto"/>
            </w:tcBorders>
            <w:shd w:val="clear" w:color="000000" w:fill="0070C0"/>
            <w:hideMark/>
          </w:tcPr>
          <w:p w14:paraId="245DED8B" w14:textId="77777777" w:rsidR="00DC4792" w:rsidRDefault="00DC4792">
            <w:pPr>
              <w:jc w:val="center"/>
              <w:rPr>
                <w:b/>
                <w:bCs/>
                <w:noProof/>
                <w:color w:val="FFFFFF"/>
                <w:sz w:val="20"/>
                <w:szCs w:val="20"/>
              </w:rPr>
            </w:pPr>
            <w:r>
              <w:rPr>
                <w:b/>
                <w:bCs/>
                <w:noProof/>
                <w:color w:val="FFFFFF"/>
                <w:sz w:val="20"/>
                <w:szCs w:val="20"/>
              </w:rPr>
              <w:t>PO2</w:t>
            </w:r>
          </w:p>
        </w:tc>
        <w:tc>
          <w:tcPr>
            <w:tcW w:w="1024" w:type="pct"/>
            <w:gridSpan w:val="4"/>
            <w:tcBorders>
              <w:top w:val="single" w:sz="4" w:space="0" w:color="auto"/>
              <w:left w:val="nil"/>
              <w:bottom w:val="single" w:sz="4" w:space="0" w:color="auto"/>
              <w:right w:val="single" w:sz="4" w:space="0" w:color="auto"/>
            </w:tcBorders>
            <w:shd w:val="clear" w:color="000000" w:fill="0070C0"/>
            <w:hideMark/>
          </w:tcPr>
          <w:p w14:paraId="426EA22C" w14:textId="77777777" w:rsidR="00DC4792" w:rsidRDefault="00DC4792">
            <w:pPr>
              <w:jc w:val="center"/>
              <w:rPr>
                <w:b/>
                <w:bCs/>
                <w:noProof/>
                <w:color w:val="FFFFFF"/>
                <w:sz w:val="20"/>
                <w:szCs w:val="20"/>
              </w:rPr>
            </w:pPr>
            <w:r>
              <w:rPr>
                <w:b/>
                <w:bCs/>
                <w:noProof/>
                <w:color w:val="FFFFFF"/>
                <w:sz w:val="20"/>
                <w:szCs w:val="20"/>
              </w:rPr>
              <w:t>PO3</w:t>
            </w:r>
          </w:p>
        </w:tc>
        <w:tc>
          <w:tcPr>
            <w:tcW w:w="1024" w:type="pct"/>
            <w:gridSpan w:val="4"/>
            <w:tcBorders>
              <w:top w:val="single" w:sz="4" w:space="0" w:color="auto"/>
              <w:left w:val="nil"/>
              <w:bottom w:val="single" w:sz="4" w:space="0" w:color="auto"/>
              <w:right w:val="single" w:sz="4" w:space="0" w:color="auto"/>
            </w:tcBorders>
            <w:shd w:val="clear" w:color="000000" w:fill="0070C0"/>
            <w:hideMark/>
          </w:tcPr>
          <w:p w14:paraId="29504010" w14:textId="77777777" w:rsidR="00DC4792" w:rsidRDefault="00DC4792">
            <w:pPr>
              <w:jc w:val="center"/>
              <w:rPr>
                <w:b/>
                <w:bCs/>
                <w:noProof/>
                <w:color w:val="FFFFFF"/>
                <w:sz w:val="20"/>
                <w:szCs w:val="20"/>
              </w:rPr>
            </w:pPr>
            <w:r>
              <w:rPr>
                <w:b/>
                <w:bCs/>
                <w:noProof/>
                <w:color w:val="FFFFFF"/>
                <w:sz w:val="20"/>
                <w:szCs w:val="20"/>
              </w:rPr>
              <w:t>PO4</w:t>
            </w:r>
          </w:p>
        </w:tc>
      </w:tr>
      <w:tr w:rsidR="00DC4792" w14:paraId="3AC4FC8C" w14:textId="77777777" w:rsidTr="00E24FEF">
        <w:trPr>
          <w:trHeight w:val="255"/>
          <w:tblHeader/>
        </w:trPr>
        <w:tc>
          <w:tcPr>
            <w:tcW w:w="906" w:type="pct"/>
            <w:vMerge/>
            <w:tcBorders>
              <w:top w:val="single" w:sz="4" w:space="0" w:color="auto"/>
              <w:left w:val="single" w:sz="4" w:space="0" w:color="auto"/>
              <w:bottom w:val="single" w:sz="4" w:space="0" w:color="auto"/>
              <w:right w:val="single" w:sz="4" w:space="0" w:color="auto"/>
            </w:tcBorders>
            <w:hideMark/>
          </w:tcPr>
          <w:p w14:paraId="1E18EBB6" w14:textId="77777777" w:rsidR="00DC4792" w:rsidRDefault="00DC4792">
            <w:pPr>
              <w:rPr>
                <w:b/>
                <w:bCs/>
                <w:noProof/>
                <w:color w:val="FFFFFF"/>
                <w:sz w:val="20"/>
                <w:szCs w:val="20"/>
              </w:rPr>
            </w:pPr>
          </w:p>
        </w:tc>
        <w:tc>
          <w:tcPr>
            <w:tcW w:w="256" w:type="pct"/>
            <w:tcBorders>
              <w:top w:val="nil"/>
              <w:left w:val="nil"/>
              <w:bottom w:val="single" w:sz="4" w:space="0" w:color="auto"/>
              <w:right w:val="single" w:sz="4" w:space="0" w:color="auto"/>
            </w:tcBorders>
            <w:shd w:val="clear" w:color="000000" w:fill="0070C0"/>
            <w:hideMark/>
          </w:tcPr>
          <w:p w14:paraId="3D175EE3" w14:textId="77777777" w:rsidR="00DC4792" w:rsidRDefault="00DC4792">
            <w:pPr>
              <w:jc w:val="center"/>
              <w:rPr>
                <w:b/>
                <w:bCs/>
                <w:noProof/>
                <w:color w:val="FFFFFF"/>
                <w:sz w:val="20"/>
                <w:szCs w:val="20"/>
              </w:rPr>
            </w:pPr>
            <w:r>
              <w:rPr>
                <w:b/>
                <w:bCs/>
                <w:noProof/>
                <w:color w:val="FFFFFF"/>
                <w:sz w:val="20"/>
                <w:szCs w:val="20"/>
              </w:rPr>
              <w:t>2028</w:t>
            </w:r>
          </w:p>
        </w:tc>
        <w:tc>
          <w:tcPr>
            <w:tcW w:w="256" w:type="pct"/>
            <w:tcBorders>
              <w:top w:val="nil"/>
              <w:left w:val="nil"/>
              <w:bottom w:val="single" w:sz="4" w:space="0" w:color="auto"/>
              <w:right w:val="single" w:sz="4" w:space="0" w:color="auto"/>
            </w:tcBorders>
            <w:shd w:val="clear" w:color="000000" w:fill="0070C0"/>
            <w:hideMark/>
          </w:tcPr>
          <w:p w14:paraId="44A00607" w14:textId="77777777" w:rsidR="00DC4792" w:rsidRDefault="00DC4792">
            <w:pPr>
              <w:jc w:val="center"/>
              <w:rPr>
                <w:b/>
                <w:bCs/>
                <w:noProof/>
                <w:color w:val="FFFFFF"/>
                <w:sz w:val="20"/>
                <w:szCs w:val="20"/>
              </w:rPr>
            </w:pPr>
            <w:r>
              <w:rPr>
                <w:b/>
                <w:bCs/>
                <w:noProof/>
                <w:color w:val="FFFFFF"/>
                <w:sz w:val="20"/>
                <w:szCs w:val="20"/>
              </w:rPr>
              <w:t>2030</w:t>
            </w:r>
          </w:p>
        </w:tc>
        <w:tc>
          <w:tcPr>
            <w:tcW w:w="256" w:type="pct"/>
            <w:tcBorders>
              <w:top w:val="nil"/>
              <w:left w:val="nil"/>
              <w:bottom w:val="single" w:sz="4" w:space="0" w:color="auto"/>
              <w:right w:val="single" w:sz="4" w:space="0" w:color="auto"/>
            </w:tcBorders>
            <w:shd w:val="clear" w:color="000000" w:fill="0070C0"/>
            <w:hideMark/>
          </w:tcPr>
          <w:p w14:paraId="4A141308" w14:textId="77777777" w:rsidR="00DC4792" w:rsidRDefault="00DC4792">
            <w:pPr>
              <w:jc w:val="center"/>
              <w:rPr>
                <w:b/>
                <w:bCs/>
                <w:noProof/>
                <w:color w:val="FFFFFF"/>
                <w:sz w:val="20"/>
                <w:szCs w:val="20"/>
              </w:rPr>
            </w:pPr>
            <w:r>
              <w:rPr>
                <w:b/>
                <w:bCs/>
                <w:noProof/>
                <w:color w:val="FFFFFF"/>
                <w:sz w:val="20"/>
                <w:szCs w:val="20"/>
              </w:rPr>
              <w:t>2040</w:t>
            </w:r>
          </w:p>
        </w:tc>
        <w:tc>
          <w:tcPr>
            <w:tcW w:w="256" w:type="pct"/>
            <w:tcBorders>
              <w:top w:val="nil"/>
              <w:left w:val="nil"/>
              <w:bottom w:val="single" w:sz="4" w:space="0" w:color="auto"/>
              <w:right w:val="single" w:sz="4" w:space="0" w:color="auto"/>
            </w:tcBorders>
            <w:shd w:val="clear" w:color="000000" w:fill="0070C0"/>
            <w:hideMark/>
          </w:tcPr>
          <w:p w14:paraId="7F2B0799" w14:textId="77777777" w:rsidR="00DC4792" w:rsidRDefault="00DC4792">
            <w:pPr>
              <w:jc w:val="center"/>
              <w:rPr>
                <w:b/>
                <w:bCs/>
                <w:noProof/>
                <w:color w:val="FFFFFF"/>
                <w:sz w:val="20"/>
                <w:szCs w:val="20"/>
              </w:rPr>
            </w:pPr>
            <w:r>
              <w:rPr>
                <w:b/>
                <w:bCs/>
                <w:noProof/>
                <w:color w:val="FFFFFF"/>
                <w:sz w:val="20"/>
                <w:szCs w:val="20"/>
              </w:rPr>
              <w:t>2050</w:t>
            </w:r>
          </w:p>
        </w:tc>
        <w:tc>
          <w:tcPr>
            <w:tcW w:w="256" w:type="pct"/>
            <w:tcBorders>
              <w:top w:val="nil"/>
              <w:left w:val="nil"/>
              <w:bottom w:val="single" w:sz="4" w:space="0" w:color="auto"/>
              <w:right w:val="single" w:sz="4" w:space="0" w:color="auto"/>
            </w:tcBorders>
            <w:shd w:val="clear" w:color="000000" w:fill="0070C0"/>
            <w:hideMark/>
          </w:tcPr>
          <w:p w14:paraId="30CF75CA" w14:textId="77777777" w:rsidR="00DC4792" w:rsidRDefault="00DC4792">
            <w:pPr>
              <w:jc w:val="center"/>
              <w:rPr>
                <w:b/>
                <w:bCs/>
                <w:noProof/>
                <w:color w:val="FFFFFF"/>
                <w:sz w:val="20"/>
                <w:szCs w:val="20"/>
              </w:rPr>
            </w:pPr>
            <w:r>
              <w:rPr>
                <w:b/>
                <w:bCs/>
                <w:noProof/>
                <w:color w:val="FFFFFF"/>
                <w:sz w:val="20"/>
                <w:szCs w:val="20"/>
              </w:rPr>
              <w:t>2028</w:t>
            </w:r>
          </w:p>
        </w:tc>
        <w:tc>
          <w:tcPr>
            <w:tcW w:w="256" w:type="pct"/>
            <w:tcBorders>
              <w:top w:val="nil"/>
              <w:left w:val="nil"/>
              <w:bottom w:val="single" w:sz="4" w:space="0" w:color="auto"/>
              <w:right w:val="single" w:sz="4" w:space="0" w:color="auto"/>
            </w:tcBorders>
            <w:shd w:val="clear" w:color="000000" w:fill="0070C0"/>
            <w:hideMark/>
          </w:tcPr>
          <w:p w14:paraId="21E68DF1" w14:textId="77777777" w:rsidR="00DC4792" w:rsidRDefault="00DC4792">
            <w:pPr>
              <w:jc w:val="center"/>
              <w:rPr>
                <w:b/>
                <w:bCs/>
                <w:noProof/>
                <w:color w:val="FFFFFF"/>
                <w:sz w:val="20"/>
                <w:szCs w:val="20"/>
              </w:rPr>
            </w:pPr>
            <w:r>
              <w:rPr>
                <w:b/>
                <w:bCs/>
                <w:noProof/>
                <w:color w:val="FFFFFF"/>
                <w:sz w:val="20"/>
                <w:szCs w:val="20"/>
              </w:rPr>
              <w:t>2030</w:t>
            </w:r>
          </w:p>
        </w:tc>
        <w:tc>
          <w:tcPr>
            <w:tcW w:w="256" w:type="pct"/>
            <w:tcBorders>
              <w:top w:val="nil"/>
              <w:left w:val="nil"/>
              <w:bottom w:val="single" w:sz="4" w:space="0" w:color="auto"/>
              <w:right w:val="single" w:sz="4" w:space="0" w:color="auto"/>
            </w:tcBorders>
            <w:shd w:val="clear" w:color="000000" w:fill="0070C0"/>
            <w:hideMark/>
          </w:tcPr>
          <w:p w14:paraId="24E01BF0" w14:textId="77777777" w:rsidR="00DC4792" w:rsidRDefault="00DC4792">
            <w:pPr>
              <w:jc w:val="center"/>
              <w:rPr>
                <w:b/>
                <w:bCs/>
                <w:noProof/>
                <w:color w:val="FFFFFF"/>
                <w:sz w:val="20"/>
                <w:szCs w:val="20"/>
              </w:rPr>
            </w:pPr>
            <w:r>
              <w:rPr>
                <w:b/>
                <w:bCs/>
                <w:noProof/>
                <w:color w:val="FFFFFF"/>
                <w:sz w:val="20"/>
                <w:szCs w:val="20"/>
              </w:rPr>
              <w:t>2040</w:t>
            </w:r>
          </w:p>
        </w:tc>
        <w:tc>
          <w:tcPr>
            <w:tcW w:w="256" w:type="pct"/>
            <w:tcBorders>
              <w:top w:val="nil"/>
              <w:left w:val="nil"/>
              <w:bottom w:val="single" w:sz="4" w:space="0" w:color="auto"/>
              <w:right w:val="single" w:sz="4" w:space="0" w:color="auto"/>
            </w:tcBorders>
            <w:shd w:val="clear" w:color="000000" w:fill="0070C0"/>
            <w:hideMark/>
          </w:tcPr>
          <w:p w14:paraId="449C814E" w14:textId="77777777" w:rsidR="00DC4792" w:rsidRDefault="00DC4792">
            <w:pPr>
              <w:jc w:val="center"/>
              <w:rPr>
                <w:b/>
                <w:bCs/>
                <w:noProof/>
                <w:color w:val="FFFFFF"/>
                <w:sz w:val="20"/>
                <w:szCs w:val="20"/>
              </w:rPr>
            </w:pPr>
            <w:r>
              <w:rPr>
                <w:b/>
                <w:bCs/>
                <w:noProof/>
                <w:color w:val="FFFFFF"/>
                <w:sz w:val="20"/>
                <w:szCs w:val="20"/>
              </w:rPr>
              <w:t>2050</w:t>
            </w:r>
          </w:p>
        </w:tc>
        <w:tc>
          <w:tcPr>
            <w:tcW w:w="256" w:type="pct"/>
            <w:tcBorders>
              <w:top w:val="nil"/>
              <w:left w:val="nil"/>
              <w:bottom w:val="single" w:sz="4" w:space="0" w:color="auto"/>
              <w:right w:val="single" w:sz="4" w:space="0" w:color="auto"/>
            </w:tcBorders>
            <w:shd w:val="clear" w:color="000000" w:fill="0070C0"/>
            <w:hideMark/>
          </w:tcPr>
          <w:p w14:paraId="4319733D" w14:textId="77777777" w:rsidR="00DC4792" w:rsidRDefault="00DC4792">
            <w:pPr>
              <w:jc w:val="center"/>
              <w:rPr>
                <w:b/>
                <w:bCs/>
                <w:noProof/>
                <w:color w:val="FFFFFF"/>
                <w:sz w:val="20"/>
                <w:szCs w:val="20"/>
              </w:rPr>
            </w:pPr>
            <w:r>
              <w:rPr>
                <w:b/>
                <w:bCs/>
                <w:noProof/>
                <w:color w:val="FFFFFF"/>
                <w:sz w:val="20"/>
                <w:szCs w:val="20"/>
              </w:rPr>
              <w:t>2028</w:t>
            </w:r>
          </w:p>
        </w:tc>
        <w:tc>
          <w:tcPr>
            <w:tcW w:w="256" w:type="pct"/>
            <w:tcBorders>
              <w:top w:val="nil"/>
              <w:left w:val="nil"/>
              <w:bottom w:val="single" w:sz="4" w:space="0" w:color="auto"/>
              <w:right w:val="single" w:sz="4" w:space="0" w:color="auto"/>
            </w:tcBorders>
            <w:shd w:val="clear" w:color="000000" w:fill="0070C0"/>
            <w:hideMark/>
          </w:tcPr>
          <w:p w14:paraId="4266C633" w14:textId="77777777" w:rsidR="00DC4792" w:rsidRDefault="00DC4792">
            <w:pPr>
              <w:jc w:val="center"/>
              <w:rPr>
                <w:b/>
                <w:bCs/>
                <w:noProof/>
                <w:color w:val="FFFFFF"/>
                <w:sz w:val="20"/>
                <w:szCs w:val="20"/>
              </w:rPr>
            </w:pPr>
            <w:r>
              <w:rPr>
                <w:b/>
                <w:bCs/>
                <w:noProof/>
                <w:color w:val="FFFFFF"/>
                <w:sz w:val="20"/>
                <w:szCs w:val="20"/>
              </w:rPr>
              <w:t>2030</w:t>
            </w:r>
          </w:p>
        </w:tc>
        <w:tc>
          <w:tcPr>
            <w:tcW w:w="256" w:type="pct"/>
            <w:tcBorders>
              <w:top w:val="nil"/>
              <w:left w:val="nil"/>
              <w:bottom w:val="single" w:sz="4" w:space="0" w:color="auto"/>
              <w:right w:val="single" w:sz="4" w:space="0" w:color="auto"/>
            </w:tcBorders>
            <w:shd w:val="clear" w:color="000000" w:fill="0070C0"/>
            <w:hideMark/>
          </w:tcPr>
          <w:p w14:paraId="7BCE6099" w14:textId="77777777" w:rsidR="00DC4792" w:rsidRDefault="00DC4792">
            <w:pPr>
              <w:jc w:val="center"/>
              <w:rPr>
                <w:b/>
                <w:bCs/>
                <w:noProof/>
                <w:color w:val="FFFFFF"/>
                <w:sz w:val="20"/>
                <w:szCs w:val="20"/>
              </w:rPr>
            </w:pPr>
            <w:r>
              <w:rPr>
                <w:b/>
                <w:bCs/>
                <w:noProof/>
                <w:color w:val="FFFFFF"/>
                <w:sz w:val="20"/>
                <w:szCs w:val="20"/>
              </w:rPr>
              <w:t>2040</w:t>
            </w:r>
          </w:p>
        </w:tc>
        <w:tc>
          <w:tcPr>
            <w:tcW w:w="256" w:type="pct"/>
            <w:tcBorders>
              <w:top w:val="nil"/>
              <w:left w:val="nil"/>
              <w:bottom w:val="single" w:sz="4" w:space="0" w:color="auto"/>
              <w:right w:val="single" w:sz="4" w:space="0" w:color="auto"/>
            </w:tcBorders>
            <w:shd w:val="clear" w:color="000000" w:fill="0070C0"/>
            <w:hideMark/>
          </w:tcPr>
          <w:p w14:paraId="375CD820" w14:textId="77777777" w:rsidR="00DC4792" w:rsidRDefault="00DC4792">
            <w:pPr>
              <w:jc w:val="center"/>
              <w:rPr>
                <w:b/>
                <w:bCs/>
                <w:noProof/>
                <w:color w:val="FFFFFF"/>
                <w:sz w:val="20"/>
                <w:szCs w:val="20"/>
              </w:rPr>
            </w:pPr>
            <w:r>
              <w:rPr>
                <w:b/>
                <w:bCs/>
                <w:noProof/>
                <w:color w:val="FFFFFF"/>
                <w:sz w:val="20"/>
                <w:szCs w:val="20"/>
              </w:rPr>
              <w:t>2050</w:t>
            </w:r>
          </w:p>
        </w:tc>
        <w:tc>
          <w:tcPr>
            <w:tcW w:w="256" w:type="pct"/>
            <w:tcBorders>
              <w:top w:val="nil"/>
              <w:left w:val="nil"/>
              <w:bottom w:val="single" w:sz="4" w:space="0" w:color="auto"/>
              <w:right w:val="single" w:sz="4" w:space="0" w:color="auto"/>
            </w:tcBorders>
            <w:shd w:val="clear" w:color="000000" w:fill="0070C0"/>
            <w:hideMark/>
          </w:tcPr>
          <w:p w14:paraId="7FDC17EA" w14:textId="77777777" w:rsidR="00DC4792" w:rsidRDefault="00DC4792">
            <w:pPr>
              <w:jc w:val="center"/>
              <w:rPr>
                <w:b/>
                <w:bCs/>
                <w:noProof/>
                <w:color w:val="FFFFFF"/>
                <w:sz w:val="20"/>
                <w:szCs w:val="20"/>
              </w:rPr>
            </w:pPr>
            <w:r>
              <w:rPr>
                <w:b/>
                <w:bCs/>
                <w:noProof/>
                <w:color w:val="FFFFFF"/>
                <w:sz w:val="20"/>
                <w:szCs w:val="20"/>
              </w:rPr>
              <w:t>2028</w:t>
            </w:r>
          </w:p>
        </w:tc>
        <w:tc>
          <w:tcPr>
            <w:tcW w:w="256" w:type="pct"/>
            <w:tcBorders>
              <w:top w:val="nil"/>
              <w:left w:val="nil"/>
              <w:bottom w:val="single" w:sz="4" w:space="0" w:color="auto"/>
              <w:right w:val="single" w:sz="4" w:space="0" w:color="auto"/>
            </w:tcBorders>
            <w:shd w:val="clear" w:color="000000" w:fill="0070C0"/>
            <w:hideMark/>
          </w:tcPr>
          <w:p w14:paraId="398E7979" w14:textId="77777777" w:rsidR="00DC4792" w:rsidRDefault="00DC4792">
            <w:pPr>
              <w:jc w:val="center"/>
              <w:rPr>
                <w:b/>
                <w:bCs/>
                <w:noProof/>
                <w:color w:val="FFFFFF"/>
                <w:sz w:val="20"/>
                <w:szCs w:val="20"/>
              </w:rPr>
            </w:pPr>
            <w:r>
              <w:rPr>
                <w:b/>
                <w:bCs/>
                <w:noProof/>
                <w:color w:val="FFFFFF"/>
                <w:sz w:val="20"/>
                <w:szCs w:val="20"/>
              </w:rPr>
              <w:t>2030</w:t>
            </w:r>
          </w:p>
        </w:tc>
        <w:tc>
          <w:tcPr>
            <w:tcW w:w="256" w:type="pct"/>
            <w:tcBorders>
              <w:top w:val="nil"/>
              <w:left w:val="nil"/>
              <w:bottom w:val="single" w:sz="4" w:space="0" w:color="auto"/>
              <w:right w:val="single" w:sz="4" w:space="0" w:color="auto"/>
            </w:tcBorders>
            <w:shd w:val="clear" w:color="000000" w:fill="0070C0"/>
            <w:hideMark/>
          </w:tcPr>
          <w:p w14:paraId="29D6EE66" w14:textId="77777777" w:rsidR="00DC4792" w:rsidRDefault="00DC4792">
            <w:pPr>
              <w:jc w:val="center"/>
              <w:rPr>
                <w:b/>
                <w:bCs/>
                <w:noProof/>
                <w:color w:val="FFFFFF"/>
                <w:sz w:val="20"/>
                <w:szCs w:val="20"/>
              </w:rPr>
            </w:pPr>
            <w:r>
              <w:rPr>
                <w:b/>
                <w:bCs/>
                <w:noProof/>
                <w:color w:val="FFFFFF"/>
                <w:sz w:val="20"/>
                <w:szCs w:val="20"/>
              </w:rPr>
              <w:t>2040</w:t>
            </w:r>
          </w:p>
        </w:tc>
        <w:tc>
          <w:tcPr>
            <w:tcW w:w="256" w:type="pct"/>
            <w:tcBorders>
              <w:top w:val="nil"/>
              <w:left w:val="nil"/>
              <w:bottom w:val="single" w:sz="4" w:space="0" w:color="auto"/>
              <w:right w:val="single" w:sz="4" w:space="0" w:color="auto"/>
            </w:tcBorders>
            <w:shd w:val="clear" w:color="000000" w:fill="0070C0"/>
            <w:hideMark/>
          </w:tcPr>
          <w:p w14:paraId="358497EC" w14:textId="77777777" w:rsidR="00DC4792" w:rsidRDefault="00DC4792">
            <w:pPr>
              <w:jc w:val="center"/>
              <w:rPr>
                <w:b/>
                <w:bCs/>
                <w:noProof/>
                <w:color w:val="FFFFFF"/>
                <w:sz w:val="20"/>
                <w:szCs w:val="20"/>
              </w:rPr>
            </w:pPr>
            <w:r>
              <w:rPr>
                <w:b/>
                <w:bCs/>
                <w:noProof/>
                <w:color w:val="FFFFFF"/>
                <w:sz w:val="20"/>
                <w:szCs w:val="20"/>
              </w:rPr>
              <w:t>2050</w:t>
            </w:r>
          </w:p>
        </w:tc>
      </w:tr>
      <w:tr w:rsidR="00DC4792" w14:paraId="593FFFED" w14:textId="77777777" w:rsidTr="00E24FEF">
        <w:trPr>
          <w:trHeight w:val="255"/>
        </w:trPr>
        <w:tc>
          <w:tcPr>
            <w:tcW w:w="906" w:type="pct"/>
            <w:tcBorders>
              <w:top w:val="nil"/>
              <w:left w:val="single" w:sz="4" w:space="0" w:color="auto"/>
              <w:bottom w:val="single" w:sz="4" w:space="0" w:color="auto"/>
              <w:right w:val="nil"/>
            </w:tcBorders>
            <w:shd w:val="clear" w:color="000000" w:fill="BDE3FF"/>
            <w:hideMark/>
          </w:tcPr>
          <w:p w14:paraId="32194919" w14:textId="77777777" w:rsidR="00DC4792" w:rsidRDefault="00DC4792">
            <w:pPr>
              <w:rPr>
                <w:b/>
                <w:bCs/>
                <w:noProof/>
                <w:sz w:val="20"/>
                <w:szCs w:val="20"/>
              </w:rPr>
            </w:pPr>
            <w:r>
              <w:rPr>
                <w:b/>
                <w:bCs/>
                <w:noProof/>
                <w:sz w:val="20"/>
                <w:szCs w:val="20"/>
              </w:rPr>
              <w:t>Enforcement cost</w:t>
            </w:r>
          </w:p>
        </w:tc>
        <w:tc>
          <w:tcPr>
            <w:tcW w:w="256" w:type="pct"/>
            <w:tcBorders>
              <w:top w:val="nil"/>
              <w:left w:val="single" w:sz="4" w:space="0" w:color="auto"/>
              <w:bottom w:val="single" w:sz="4" w:space="0" w:color="auto"/>
              <w:right w:val="single" w:sz="4" w:space="0" w:color="auto"/>
            </w:tcBorders>
            <w:shd w:val="clear" w:color="000000" w:fill="BDE3FF"/>
            <w:hideMark/>
          </w:tcPr>
          <w:p w14:paraId="0F160D71" w14:textId="77777777" w:rsidR="00DC4792" w:rsidRDefault="00DC4792">
            <w:pPr>
              <w:jc w:val="right"/>
              <w:rPr>
                <w:b/>
                <w:bCs/>
                <w:noProof/>
                <w:sz w:val="20"/>
                <w:szCs w:val="20"/>
              </w:rPr>
            </w:pPr>
            <w:r>
              <w:rPr>
                <w:b/>
                <w:bCs/>
                <w:noProof/>
                <w:sz w:val="20"/>
                <w:szCs w:val="20"/>
              </w:rPr>
              <w:t>6.1</w:t>
            </w:r>
          </w:p>
        </w:tc>
        <w:tc>
          <w:tcPr>
            <w:tcW w:w="256" w:type="pct"/>
            <w:tcBorders>
              <w:top w:val="nil"/>
              <w:left w:val="nil"/>
              <w:bottom w:val="single" w:sz="4" w:space="0" w:color="auto"/>
              <w:right w:val="single" w:sz="4" w:space="0" w:color="auto"/>
            </w:tcBorders>
            <w:shd w:val="clear" w:color="000000" w:fill="BDE3FF"/>
            <w:hideMark/>
          </w:tcPr>
          <w:p w14:paraId="5C0E54DB" w14:textId="77777777" w:rsidR="00DC4792" w:rsidRDefault="00DC4792">
            <w:pPr>
              <w:jc w:val="right"/>
              <w:rPr>
                <w:b/>
                <w:bCs/>
                <w:noProof/>
                <w:sz w:val="20"/>
                <w:szCs w:val="20"/>
              </w:rPr>
            </w:pPr>
            <w:r>
              <w:rPr>
                <w:b/>
                <w:bCs/>
                <w:noProof/>
                <w:sz w:val="20"/>
                <w:szCs w:val="20"/>
              </w:rPr>
              <w:t>6.1</w:t>
            </w:r>
          </w:p>
        </w:tc>
        <w:tc>
          <w:tcPr>
            <w:tcW w:w="256" w:type="pct"/>
            <w:tcBorders>
              <w:top w:val="nil"/>
              <w:left w:val="nil"/>
              <w:bottom w:val="single" w:sz="4" w:space="0" w:color="auto"/>
              <w:right w:val="single" w:sz="4" w:space="0" w:color="auto"/>
            </w:tcBorders>
            <w:shd w:val="clear" w:color="000000" w:fill="BDE3FF"/>
            <w:hideMark/>
          </w:tcPr>
          <w:p w14:paraId="2CDA473A" w14:textId="77777777" w:rsidR="00DC4792" w:rsidRDefault="00DC4792">
            <w:pPr>
              <w:jc w:val="right"/>
              <w:rPr>
                <w:b/>
                <w:bCs/>
                <w:noProof/>
                <w:sz w:val="20"/>
                <w:szCs w:val="20"/>
              </w:rPr>
            </w:pPr>
            <w:r>
              <w:rPr>
                <w:b/>
                <w:bCs/>
                <w:noProof/>
                <w:sz w:val="20"/>
                <w:szCs w:val="20"/>
              </w:rPr>
              <w:t>6.1</w:t>
            </w:r>
          </w:p>
        </w:tc>
        <w:tc>
          <w:tcPr>
            <w:tcW w:w="256" w:type="pct"/>
            <w:tcBorders>
              <w:top w:val="nil"/>
              <w:left w:val="nil"/>
              <w:bottom w:val="single" w:sz="4" w:space="0" w:color="auto"/>
              <w:right w:val="single" w:sz="4" w:space="0" w:color="auto"/>
            </w:tcBorders>
            <w:shd w:val="clear" w:color="000000" w:fill="BDE3FF"/>
            <w:hideMark/>
          </w:tcPr>
          <w:p w14:paraId="4CEB449A" w14:textId="77777777" w:rsidR="00DC4792" w:rsidRDefault="00DC4792">
            <w:pPr>
              <w:jc w:val="right"/>
              <w:rPr>
                <w:b/>
                <w:bCs/>
                <w:noProof/>
                <w:sz w:val="20"/>
                <w:szCs w:val="20"/>
              </w:rPr>
            </w:pPr>
            <w:r>
              <w:rPr>
                <w:b/>
                <w:bCs/>
                <w:noProof/>
                <w:sz w:val="20"/>
                <w:szCs w:val="20"/>
              </w:rPr>
              <w:t>6.1</w:t>
            </w:r>
          </w:p>
        </w:tc>
        <w:tc>
          <w:tcPr>
            <w:tcW w:w="256" w:type="pct"/>
            <w:tcBorders>
              <w:top w:val="nil"/>
              <w:left w:val="nil"/>
              <w:bottom w:val="single" w:sz="4" w:space="0" w:color="auto"/>
              <w:right w:val="single" w:sz="4" w:space="0" w:color="auto"/>
            </w:tcBorders>
            <w:shd w:val="clear" w:color="000000" w:fill="BDE3FF"/>
            <w:hideMark/>
          </w:tcPr>
          <w:p w14:paraId="78B39B30" w14:textId="77777777" w:rsidR="00DC4792" w:rsidRDefault="00DC4792">
            <w:pPr>
              <w:jc w:val="right"/>
              <w:rPr>
                <w:b/>
                <w:bCs/>
                <w:noProof/>
                <w:sz w:val="20"/>
                <w:szCs w:val="20"/>
              </w:rPr>
            </w:pPr>
            <w:r>
              <w:rPr>
                <w:b/>
                <w:bCs/>
                <w:noProof/>
                <w:sz w:val="20"/>
                <w:szCs w:val="20"/>
              </w:rPr>
              <w:t>6.1</w:t>
            </w:r>
          </w:p>
        </w:tc>
        <w:tc>
          <w:tcPr>
            <w:tcW w:w="256" w:type="pct"/>
            <w:tcBorders>
              <w:top w:val="nil"/>
              <w:left w:val="nil"/>
              <w:bottom w:val="single" w:sz="4" w:space="0" w:color="auto"/>
              <w:right w:val="single" w:sz="4" w:space="0" w:color="auto"/>
            </w:tcBorders>
            <w:shd w:val="clear" w:color="000000" w:fill="BDE3FF"/>
            <w:hideMark/>
          </w:tcPr>
          <w:p w14:paraId="1D557913" w14:textId="77777777" w:rsidR="00DC4792" w:rsidRDefault="00DC4792">
            <w:pPr>
              <w:jc w:val="right"/>
              <w:rPr>
                <w:b/>
                <w:bCs/>
                <w:noProof/>
                <w:sz w:val="20"/>
                <w:szCs w:val="20"/>
              </w:rPr>
            </w:pPr>
            <w:r>
              <w:rPr>
                <w:b/>
                <w:bCs/>
                <w:noProof/>
                <w:sz w:val="20"/>
                <w:szCs w:val="20"/>
              </w:rPr>
              <w:t>6.1</w:t>
            </w:r>
          </w:p>
        </w:tc>
        <w:tc>
          <w:tcPr>
            <w:tcW w:w="256" w:type="pct"/>
            <w:tcBorders>
              <w:top w:val="nil"/>
              <w:left w:val="nil"/>
              <w:bottom w:val="single" w:sz="4" w:space="0" w:color="auto"/>
              <w:right w:val="single" w:sz="4" w:space="0" w:color="auto"/>
            </w:tcBorders>
            <w:shd w:val="clear" w:color="000000" w:fill="BDE3FF"/>
            <w:hideMark/>
          </w:tcPr>
          <w:p w14:paraId="73129275" w14:textId="77777777" w:rsidR="00DC4792" w:rsidRDefault="00DC4792">
            <w:pPr>
              <w:jc w:val="right"/>
              <w:rPr>
                <w:b/>
                <w:bCs/>
                <w:noProof/>
                <w:sz w:val="20"/>
                <w:szCs w:val="20"/>
              </w:rPr>
            </w:pPr>
            <w:r>
              <w:rPr>
                <w:b/>
                <w:bCs/>
                <w:noProof/>
                <w:sz w:val="20"/>
                <w:szCs w:val="20"/>
              </w:rPr>
              <w:t>6.1</w:t>
            </w:r>
          </w:p>
        </w:tc>
        <w:tc>
          <w:tcPr>
            <w:tcW w:w="256" w:type="pct"/>
            <w:tcBorders>
              <w:top w:val="nil"/>
              <w:left w:val="nil"/>
              <w:bottom w:val="single" w:sz="4" w:space="0" w:color="auto"/>
              <w:right w:val="single" w:sz="4" w:space="0" w:color="auto"/>
            </w:tcBorders>
            <w:shd w:val="clear" w:color="000000" w:fill="BDE3FF"/>
            <w:hideMark/>
          </w:tcPr>
          <w:p w14:paraId="2A899A6D" w14:textId="77777777" w:rsidR="00DC4792" w:rsidRDefault="00DC4792">
            <w:pPr>
              <w:jc w:val="right"/>
              <w:rPr>
                <w:b/>
                <w:bCs/>
                <w:noProof/>
                <w:sz w:val="20"/>
                <w:szCs w:val="20"/>
              </w:rPr>
            </w:pPr>
            <w:r>
              <w:rPr>
                <w:b/>
                <w:bCs/>
                <w:noProof/>
                <w:sz w:val="20"/>
                <w:szCs w:val="20"/>
              </w:rPr>
              <w:t>6.1</w:t>
            </w:r>
          </w:p>
        </w:tc>
        <w:tc>
          <w:tcPr>
            <w:tcW w:w="256" w:type="pct"/>
            <w:tcBorders>
              <w:top w:val="nil"/>
              <w:left w:val="nil"/>
              <w:bottom w:val="single" w:sz="4" w:space="0" w:color="auto"/>
              <w:right w:val="single" w:sz="4" w:space="0" w:color="auto"/>
            </w:tcBorders>
            <w:shd w:val="clear" w:color="000000" w:fill="BDE3FF"/>
            <w:hideMark/>
          </w:tcPr>
          <w:p w14:paraId="7BF60E40" w14:textId="77777777" w:rsidR="00DC4792" w:rsidRDefault="00DC4792">
            <w:pPr>
              <w:jc w:val="right"/>
              <w:rPr>
                <w:b/>
                <w:bCs/>
                <w:noProof/>
                <w:sz w:val="20"/>
                <w:szCs w:val="20"/>
              </w:rPr>
            </w:pPr>
            <w:r>
              <w:rPr>
                <w:b/>
                <w:bCs/>
                <w:noProof/>
                <w:sz w:val="20"/>
                <w:szCs w:val="20"/>
              </w:rPr>
              <w:t>6.1</w:t>
            </w:r>
          </w:p>
        </w:tc>
        <w:tc>
          <w:tcPr>
            <w:tcW w:w="256" w:type="pct"/>
            <w:tcBorders>
              <w:top w:val="nil"/>
              <w:left w:val="nil"/>
              <w:bottom w:val="single" w:sz="4" w:space="0" w:color="auto"/>
              <w:right w:val="single" w:sz="4" w:space="0" w:color="auto"/>
            </w:tcBorders>
            <w:shd w:val="clear" w:color="000000" w:fill="BDE3FF"/>
            <w:hideMark/>
          </w:tcPr>
          <w:p w14:paraId="298DB878" w14:textId="77777777" w:rsidR="00DC4792" w:rsidRDefault="00DC4792">
            <w:pPr>
              <w:jc w:val="right"/>
              <w:rPr>
                <w:b/>
                <w:bCs/>
                <w:noProof/>
                <w:sz w:val="20"/>
                <w:szCs w:val="20"/>
              </w:rPr>
            </w:pPr>
            <w:r>
              <w:rPr>
                <w:b/>
                <w:bCs/>
                <w:noProof/>
                <w:sz w:val="20"/>
                <w:szCs w:val="20"/>
              </w:rPr>
              <w:t>6.1</w:t>
            </w:r>
          </w:p>
        </w:tc>
        <w:tc>
          <w:tcPr>
            <w:tcW w:w="256" w:type="pct"/>
            <w:tcBorders>
              <w:top w:val="nil"/>
              <w:left w:val="nil"/>
              <w:bottom w:val="single" w:sz="4" w:space="0" w:color="auto"/>
              <w:right w:val="single" w:sz="4" w:space="0" w:color="auto"/>
            </w:tcBorders>
            <w:shd w:val="clear" w:color="000000" w:fill="BDE3FF"/>
            <w:hideMark/>
          </w:tcPr>
          <w:p w14:paraId="3CEA99F4" w14:textId="77777777" w:rsidR="00DC4792" w:rsidRDefault="00DC4792">
            <w:pPr>
              <w:jc w:val="right"/>
              <w:rPr>
                <w:b/>
                <w:bCs/>
                <w:noProof/>
                <w:sz w:val="20"/>
                <w:szCs w:val="20"/>
              </w:rPr>
            </w:pPr>
            <w:r>
              <w:rPr>
                <w:b/>
                <w:bCs/>
                <w:noProof/>
                <w:sz w:val="20"/>
                <w:szCs w:val="20"/>
              </w:rPr>
              <w:t>6.1</w:t>
            </w:r>
          </w:p>
        </w:tc>
        <w:tc>
          <w:tcPr>
            <w:tcW w:w="256" w:type="pct"/>
            <w:tcBorders>
              <w:top w:val="nil"/>
              <w:left w:val="nil"/>
              <w:bottom w:val="single" w:sz="4" w:space="0" w:color="auto"/>
              <w:right w:val="single" w:sz="4" w:space="0" w:color="auto"/>
            </w:tcBorders>
            <w:shd w:val="clear" w:color="000000" w:fill="BDE3FF"/>
            <w:hideMark/>
          </w:tcPr>
          <w:p w14:paraId="0F20EEA0" w14:textId="77777777" w:rsidR="00DC4792" w:rsidRDefault="00DC4792">
            <w:pPr>
              <w:jc w:val="right"/>
              <w:rPr>
                <w:b/>
                <w:bCs/>
                <w:noProof/>
                <w:sz w:val="20"/>
                <w:szCs w:val="20"/>
              </w:rPr>
            </w:pPr>
            <w:r>
              <w:rPr>
                <w:b/>
                <w:bCs/>
                <w:noProof/>
                <w:sz w:val="20"/>
                <w:szCs w:val="20"/>
              </w:rPr>
              <w:t>6.1</w:t>
            </w:r>
          </w:p>
        </w:tc>
        <w:tc>
          <w:tcPr>
            <w:tcW w:w="256" w:type="pct"/>
            <w:tcBorders>
              <w:top w:val="nil"/>
              <w:left w:val="nil"/>
              <w:bottom w:val="single" w:sz="4" w:space="0" w:color="auto"/>
              <w:right w:val="single" w:sz="4" w:space="0" w:color="auto"/>
            </w:tcBorders>
            <w:shd w:val="clear" w:color="000000" w:fill="BDE3FF"/>
            <w:hideMark/>
          </w:tcPr>
          <w:p w14:paraId="7D6F2073" w14:textId="77777777" w:rsidR="00DC4792" w:rsidRDefault="00DC4792">
            <w:pPr>
              <w:jc w:val="right"/>
              <w:rPr>
                <w:b/>
                <w:bCs/>
                <w:noProof/>
                <w:sz w:val="20"/>
                <w:szCs w:val="20"/>
              </w:rPr>
            </w:pPr>
            <w:r>
              <w:rPr>
                <w:b/>
                <w:bCs/>
                <w:noProof/>
                <w:sz w:val="20"/>
                <w:szCs w:val="20"/>
              </w:rPr>
              <w:t>6.1</w:t>
            </w:r>
          </w:p>
        </w:tc>
        <w:tc>
          <w:tcPr>
            <w:tcW w:w="256" w:type="pct"/>
            <w:tcBorders>
              <w:top w:val="nil"/>
              <w:left w:val="nil"/>
              <w:bottom w:val="single" w:sz="4" w:space="0" w:color="auto"/>
              <w:right w:val="single" w:sz="4" w:space="0" w:color="auto"/>
            </w:tcBorders>
            <w:shd w:val="clear" w:color="000000" w:fill="BDE3FF"/>
            <w:hideMark/>
          </w:tcPr>
          <w:p w14:paraId="2B3CE20D" w14:textId="77777777" w:rsidR="00DC4792" w:rsidRDefault="00DC4792">
            <w:pPr>
              <w:jc w:val="right"/>
              <w:rPr>
                <w:b/>
                <w:bCs/>
                <w:noProof/>
                <w:sz w:val="20"/>
                <w:szCs w:val="20"/>
              </w:rPr>
            </w:pPr>
            <w:r>
              <w:rPr>
                <w:b/>
                <w:bCs/>
                <w:noProof/>
                <w:sz w:val="20"/>
                <w:szCs w:val="20"/>
              </w:rPr>
              <w:t>6.1</w:t>
            </w:r>
          </w:p>
        </w:tc>
        <w:tc>
          <w:tcPr>
            <w:tcW w:w="256" w:type="pct"/>
            <w:tcBorders>
              <w:top w:val="nil"/>
              <w:left w:val="nil"/>
              <w:bottom w:val="single" w:sz="4" w:space="0" w:color="auto"/>
              <w:right w:val="single" w:sz="4" w:space="0" w:color="auto"/>
            </w:tcBorders>
            <w:shd w:val="clear" w:color="000000" w:fill="BDE3FF"/>
            <w:hideMark/>
          </w:tcPr>
          <w:p w14:paraId="59B8D361" w14:textId="77777777" w:rsidR="00DC4792" w:rsidRDefault="00DC4792">
            <w:pPr>
              <w:jc w:val="right"/>
              <w:rPr>
                <w:b/>
                <w:bCs/>
                <w:noProof/>
                <w:sz w:val="20"/>
                <w:szCs w:val="20"/>
              </w:rPr>
            </w:pPr>
            <w:r>
              <w:rPr>
                <w:b/>
                <w:bCs/>
                <w:noProof/>
                <w:sz w:val="20"/>
                <w:szCs w:val="20"/>
              </w:rPr>
              <w:t>6.1</w:t>
            </w:r>
          </w:p>
        </w:tc>
        <w:tc>
          <w:tcPr>
            <w:tcW w:w="256" w:type="pct"/>
            <w:tcBorders>
              <w:top w:val="nil"/>
              <w:left w:val="nil"/>
              <w:bottom w:val="single" w:sz="4" w:space="0" w:color="auto"/>
              <w:right w:val="single" w:sz="4" w:space="0" w:color="auto"/>
            </w:tcBorders>
            <w:shd w:val="clear" w:color="000000" w:fill="BDE3FF"/>
            <w:hideMark/>
          </w:tcPr>
          <w:p w14:paraId="22921518" w14:textId="77777777" w:rsidR="00DC4792" w:rsidRDefault="00DC4792">
            <w:pPr>
              <w:jc w:val="right"/>
              <w:rPr>
                <w:b/>
                <w:bCs/>
                <w:noProof/>
                <w:sz w:val="20"/>
                <w:szCs w:val="20"/>
              </w:rPr>
            </w:pPr>
            <w:r>
              <w:rPr>
                <w:b/>
                <w:bCs/>
                <w:noProof/>
                <w:sz w:val="20"/>
                <w:szCs w:val="20"/>
              </w:rPr>
              <w:t>6.1</w:t>
            </w:r>
          </w:p>
        </w:tc>
      </w:tr>
      <w:tr w:rsidR="0034345E" w14:paraId="4F14C336" w14:textId="77777777" w:rsidTr="00E24FEF">
        <w:trPr>
          <w:trHeight w:val="255"/>
        </w:trPr>
        <w:tc>
          <w:tcPr>
            <w:tcW w:w="906" w:type="pct"/>
            <w:tcBorders>
              <w:top w:val="nil"/>
              <w:left w:val="single" w:sz="4" w:space="0" w:color="auto"/>
              <w:bottom w:val="single" w:sz="4" w:space="0" w:color="auto"/>
              <w:right w:val="single" w:sz="4" w:space="0" w:color="auto"/>
            </w:tcBorders>
            <w:hideMark/>
          </w:tcPr>
          <w:p w14:paraId="074A0882" w14:textId="77777777" w:rsidR="00DC4792" w:rsidRDefault="00DC4792">
            <w:pPr>
              <w:rPr>
                <w:noProof/>
                <w:color w:val="000000"/>
                <w:sz w:val="20"/>
                <w:szCs w:val="20"/>
              </w:rPr>
            </w:pPr>
            <w:r>
              <w:rPr>
                <w:noProof/>
                <w:color w:val="000000"/>
                <w:sz w:val="20"/>
                <w:szCs w:val="20"/>
              </w:rPr>
              <w:t>PM6 (Enforcement authority)</w:t>
            </w:r>
          </w:p>
        </w:tc>
        <w:tc>
          <w:tcPr>
            <w:tcW w:w="256" w:type="pct"/>
            <w:tcBorders>
              <w:top w:val="nil"/>
              <w:left w:val="nil"/>
              <w:bottom w:val="single" w:sz="4" w:space="0" w:color="auto"/>
              <w:right w:val="single" w:sz="4" w:space="0" w:color="auto"/>
            </w:tcBorders>
            <w:shd w:val="clear" w:color="000000" w:fill="FFFFFF"/>
            <w:noWrap/>
            <w:hideMark/>
          </w:tcPr>
          <w:p w14:paraId="3E351BCC" w14:textId="77777777" w:rsidR="00DC4792" w:rsidRDefault="00DC4792">
            <w:pPr>
              <w:jc w:val="right"/>
              <w:rPr>
                <w:noProof/>
                <w:color w:val="000000"/>
                <w:sz w:val="20"/>
                <w:szCs w:val="20"/>
              </w:rPr>
            </w:pPr>
            <w:r>
              <w:rPr>
                <w:noProof/>
                <w:color w:val="000000"/>
                <w:sz w:val="20"/>
                <w:szCs w:val="20"/>
              </w:rPr>
              <w:t>6.1</w:t>
            </w:r>
          </w:p>
        </w:tc>
        <w:tc>
          <w:tcPr>
            <w:tcW w:w="256" w:type="pct"/>
            <w:tcBorders>
              <w:top w:val="nil"/>
              <w:left w:val="nil"/>
              <w:bottom w:val="single" w:sz="4" w:space="0" w:color="auto"/>
              <w:right w:val="single" w:sz="4" w:space="0" w:color="auto"/>
            </w:tcBorders>
            <w:shd w:val="clear" w:color="000000" w:fill="FFFFFF"/>
            <w:noWrap/>
            <w:hideMark/>
          </w:tcPr>
          <w:p w14:paraId="16784045" w14:textId="77777777" w:rsidR="00DC4792" w:rsidRDefault="00DC4792">
            <w:pPr>
              <w:jc w:val="right"/>
              <w:rPr>
                <w:noProof/>
                <w:color w:val="000000"/>
                <w:sz w:val="20"/>
                <w:szCs w:val="20"/>
              </w:rPr>
            </w:pPr>
            <w:r>
              <w:rPr>
                <w:noProof/>
                <w:color w:val="000000"/>
                <w:sz w:val="20"/>
                <w:szCs w:val="20"/>
              </w:rPr>
              <w:t>6.1</w:t>
            </w:r>
          </w:p>
        </w:tc>
        <w:tc>
          <w:tcPr>
            <w:tcW w:w="256" w:type="pct"/>
            <w:tcBorders>
              <w:top w:val="nil"/>
              <w:left w:val="nil"/>
              <w:bottom w:val="single" w:sz="4" w:space="0" w:color="auto"/>
              <w:right w:val="single" w:sz="4" w:space="0" w:color="auto"/>
            </w:tcBorders>
            <w:shd w:val="clear" w:color="000000" w:fill="FFFFFF"/>
            <w:noWrap/>
            <w:hideMark/>
          </w:tcPr>
          <w:p w14:paraId="1E4664C5" w14:textId="77777777" w:rsidR="00DC4792" w:rsidRDefault="00DC4792">
            <w:pPr>
              <w:jc w:val="right"/>
              <w:rPr>
                <w:noProof/>
                <w:color w:val="000000"/>
                <w:sz w:val="20"/>
                <w:szCs w:val="20"/>
              </w:rPr>
            </w:pPr>
            <w:r>
              <w:rPr>
                <w:noProof/>
                <w:color w:val="000000"/>
                <w:sz w:val="20"/>
                <w:szCs w:val="20"/>
              </w:rPr>
              <w:t>6.1</w:t>
            </w:r>
          </w:p>
        </w:tc>
        <w:tc>
          <w:tcPr>
            <w:tcW w:w="256" w:type="pct"/>
            <w:tcBorders>
              <w:top w:val="nil"/>
              <w:left w:val="nil"/>
              <w:bottom w:val="single" w:sz="4" w:space="0" w:color="auto"/>
              <w:right w:val="single" w:sz="4" w:space="0" w:color="auto"/>
            </w:tcBorders>
            <w:shd w:val="clear" w:color="000000" w:fill="FFFFFF"/>
            <w:noWrap/>
            <w:hideMark/>
          </w:tcPr>
          <w:p w14:paraId="0D949AE8" w14:textId="77777777" w:rsidR="00DC4792" w:rsidRDefault="00DC4792">
            <w:pPr>
              <w:jc w:val="right"/>
              <w:rPr>
                <w:noProof/>
                <w:color w:val="000000"/>
                <w:sz w:val="20"/>
                <w:szCs w:val="20"/>
              </w:rPr>
            </w:pPr>
            <w:r>
              <w:rPr>
                <w:noProof/>
                <w:color w:val="000000"/>
                <w:sz w:val="20"/>
                <w:szCs w:val="20"/>
              </w:rPr>
              <w:t>6.1</w:t>
            </w:r>
          </w:p>
        </w:tc>
        <w:tc>
          <w:tcPr>
            <w:tcW w:w="256" w:type="pct"/>
            <w:tcBorders>
              <w:top w:val="nil"/>
              <w:left w:val="nil"/>
              <w:bottom w:val="single" w:sz="4" w:space="0" w:color="auto"/>
              <w:right w:val="single" w:sz="4" w:space="0" w:color="auto"/>
            </w:tcBorders>
            <w:shd w:val="clear" w:color="000000" w:fill="FFFFFF"/>
            <w:noWrap/>
            <w:hideMark/>
          </w:tcPr>
          <w:p w14:paraId="190778BF" w14:textId="77777777" w:rsidR="00DC4792" w:rsidRDefault="00DC4792">
            <w:pPr>
              <w:jc w:val="right"/>
              <w:rPr>
                <w:noProof/>
                <w:color w:val="000000"/>
                <w:sz w:val="20"/>
                <w:szCs w:val="20"/>
              </w:rPr>
            </w:pPr>
            <w:r>
              <w:rPr>
                <w:noProof/>
                <w:color w:val="000000"/>
                <w:sz w:val="20"/>
                <w:szCs w:val="20"/>
              </w:rPr>
              <w:t>6.1</w:t>
            </w:r>
          </w:p>
        </w:tc>
        <w:tc>
          <w:tcPr>
            <w:tcW w:w="256" w:type="pct"/>
            <w:tcBorders>
              <w:top w:val="nil"/>
              <w:left w:val="nil"/>
              <w:bottom w:val="single" w:sz="4" w:space="0" w:color="auto"/>
              <w:right w:val="single" w:sz="4" w:space="0" w:color="auto"/>
            </w:tcBorders>
            <w:shd w:val="clear" w:color="000000" w:fill="FFFFFF"/>
            <w:noWrap/>
            <w:hideMark/>
          </w:tcPr>
          <w:p w14:paraId="4EAFEF48" w14:textId="77777777" w:rsidR="00DC4792" w:rsidRDefault="00DC4792">
            <w:pPr>
              <w:jc w:val="right"/>
              <w:rPr>
                <w:noProof/>
                <w:color w:val="000000"/>
                <w:sz w:val="20"/>
                <w:szCs w:val="20"/>
              </w:rPr>
            </w:pPr>
            <w:r>
              <w:rPr>
                <w:noProof/>
                <w:color w:val="000000"/>
                <w:sz w:val="20"/>
                <w:szCs w:val="20"/>
              </w:rPr>
              <w:t>6.1</w:t>
            </w:r>
          </w:p>
        </w:tc>
        <w:tc>
          <w:tcPr>
            <w:tcW w:w="256" w:type="pct"/>
            <w:tcBorders>
              <w:top w:val="nil"/>
              <w:left w:val="nil"/>
              <w:bottom w:val="single" w:sz="4" w:space="0" w:color="auto"/>
              <w:right w:val="single" w:sz="4" w:space="0" w:color="auto"/>
            </w:tcBorders>
            <w:shd w:val="clear" w:color="000000" w:fill="FFFFFF"/>
            <w:noWrap/>
            <w:hideMark/>
          </w:tcPr>
          <w:p w14:paraId="4E7B8A54" w14:textId="77777777" w:rsidR="00DC4792" w:rsidRDefault="00DC4792">
            <w:pPr>
              <w:jc w:val="right"/>
              <w:rPr>
                <w:noProof/>
                <w:color w:val="000000"/>
                <w:sz w:val="20"/>
                <w:szCs w:val="20"/>
              </w:rPr>
            </w:pPr>
            <w:r>
              <w:rPr>
                <w:noProof/>
                <w:color w:val="000000"/>
                <w:sz w:val="20"/>
                <w:szCs w:val="20"/>
              </w:rPr>
              <w:t>6.1</w:t>
            </w:r>
          </w:p>
        </w:tc>
        <w:tc>
          <w:tcPr>
            <w:tcW w:w="256" w:type="pct"/>
            <w:tcBorders>
              <w:top w:val="nil"/>
              <w:left w:val="nil"/>
              <w:bottom w:val="single" w:sz="4" w:space="0" w:color="auto"/>
              <w:right w:val="single" w:sz="4" w:space="0" w:color="auto"/>
            </w:tcBorders>
            <w:shd w:val="clear" w:color="000000" w:fill="FFFFFF"/>
            <w:noWrap/>
            <w:hideMark/>
          </w:tcPr>
          <w:p w14:paraId="747684F1" w14:textId="77777777" w:rsidR="00DC4792" w:rsidRDefault="00DC4792">
            <w:pPr>
              <w:jc w:val="right"/>
              <w:rPr>
                <w:noProof/>
                <w:color w:val="000000"/>
                <w:sz w:val="20"/>
                <w:szCs w:val="20"/>
              </w:rPr>
            </w:pPr>
            <w:r>
              <w:rPr>
                <w:noProof/>
                <w:color w:val="000000"/>
                <w:sz w:val="20"/>
                <w:szCs w:val="20"/>
              </w:rPr>
              <w:t>6.1</w:t>
            </w:r>
          </w:p>
        </w:tc>
        <w:tc>
          <w:tcPr>
            <w:tcW w:w="256" w:type="pct"/>
            <w:tcBorders>
              <w:top w:val="nil"/>
              <w:left w:val="nil"/>
              <w:bottom w:val="single" w:sz="4" w:space="0" w:color="auto"/>
              <w:right w:val="single" w:sz="4" w:space="0" w:color="auto"/>
            </w:tcBorders>
            <w:shd w:val="clear" w:color="000000" w:fill="FFFFFF"/>
            <w:noWrap/>
            <w:hideMark/>
          </w:tcPr>
          <w:p w14:paraId="01D6F5E2" w14:textId="77777777" w:rsidR="00DC4792" w:rsidRDefault="00DC4792">
            <w:pPr>
              <w:jc w:val="right"/>
              <w:rPr>
                <w:noProof/>
                <w:color w:val="000000"/>
                <w:sz w:val="20"/>
                <w:szCs w:val="20"/>
              </w:rPr>
            </w:pPr>
            <w:r>
              <w:rPr>
                <w:noProof/>
                <w:color w:val="000000"/>
                <w:sz w:val="20"/>
                <w:szCs w:val="20"/>
              </w:rPr>
              <w:t>6.1</w:t>
            </w:r>
          </w:p>
        </w:tc>
        <w:tc>
          <w:tcPr>
            <w:tcW w:w="256" w:type="pct"/>
            <w:tcBorders>
              <w:top w:val="nil"/>
              <w:left w:val="nil"/>
              <w:bottom w:val="single" w:sz="4" w:space="0" w:color="auto"/>
              <w:right w:val="single" w:sz="4" w:space="0" w:color="auto"/>
            </w:tcBorders>
            <w:shd w:val="clear" w:color="000000" w:fill="FFFFFF"/>
            <w:noWrap/>
            <w:hideMark/>
          </w:tcPr>
          <w:p w14:paraId="2EA39AF8" w14:textId="77777777" w:rsidR="00DC4792" w:rsidRDefault="00DC4792">
            <w:pPr>
              <w:jc w:val="right"/>
              <w:rPr>
                <w:noProof/>
                <w:color w:val="000000"/>
                <w:sz w:val="20"/>
                <w:szCs w:val="20"/>
              </w:rPr>
            </w:pPr>
            <w:r>
              <w:rPr>
                <w:noProof/>
                <w:color w:val="000000"/>
                <w:sz w:val="20"/>
                <w:szCs w:val="20"/>
              </w:rPr>
              <w:t>6.1</w:t>
            </w:r>
          </w:p>
        </w:tc>
        <w:tc>
          <w:tcPr>
            <w:tcW w:w="256" w:type="pct"/>
            <w:tcBorders>
              <w:top w:val="nil"/>
              <w:left w:val="nil"/>
              <w:bottom w:val="single" w:sz="4" w:space="0" w:color="auto"/>
              <w:right w:val="single" w:sz="4" w:space="0" w:color="auto"/>
            </w:tcBorders>
            <w:shd w:val="clear" w:color="000000" w:fill="FFFFFF"/>
            <w:noWrap/>
            <w:hideMark/>
          </w:tcPr>
          <w:p w14:paraId="557CFAF4" w14:textId="77777777" w:rsidR="00DC4792" w:rsidRDefault="00DC4792">
            <w:pPr>
              <w:jc w:val="right"/>
              <w:rPr>
                <w:noProof/>
                <w:color w:val="000000"/>
                <w:sz w:val="20"/>
                <w:szCs w:val="20"/>
              </w:rPr>
            </w:pPr>
            <w:r>
              <w:rPr>
                <w:noProof/>
                <w:color w:val="000000"/>
                <w:sz w:val="20"/>
                <w:szCs w:val="20"/>
              </w:rPr>
              <w:t>6.1</w:t>
            </w:r>
          </w:p>
        </w:tc>
        <w:tc>
          <w:tcPr>
            <w:tcW w:w="256" w:type="pct"/>
            <w:tcBorders>
              <w:top w:val="nil"/>
              <w:left w:val="nil"/>
              <w:bottom w:val="single" w:sz="4" w:space="0" w:color="auto"/>
              <w:right w:val="single" w:sz="4" w:space="0" w:color="auto"/>
            </w:tcBorders>
            <w:shd w:val="clear" w:color="000000" w:fill="FFFFFF"/>
            <w:noWrap/>
            <w:hideMark/>
          </w:tcPr>
          <w:p w14:paraId="36B451D6" w14:textId="77777777" w:rsidR="00DC4792" w:rsidRDefault="00DC4792">
            <w:pPr>
              <w:jc w:val="right"/>
              <w:rPr>
                <w:noProof/>
                <w:color w:val="000000"/>
                <w:sz w:val="20"/>
                <w:szCs w:val="20"/>
              </w:rPr>
            </w:pPr>
            <w:r>
              <w:rPr>
                <w:noProof/>
                <w:color w:val="000000"/>
                <w:sz w:val="20"/>
                <w:szCs w:val="20"/>
              </w:rPr>
              <w:t>6.1</w:t>
            </w:r>
          </w:p>
        </w:tc>
        <w:tc>
          <w:tcPr>
            <w:tcW w:w="256" w:type="pct"/>
            <w:tcBorders>
              <w:top w:val="nil"/>
              <w:left w:val="nil"/>
              <w:bottom w:val="single" w:sz="4" w:space="0" w:color="auto"/>
              <w:right w:val="single" w:sz="4" w:space="0" w:color="auto"/>
            </w:tcBorders>
            <w:shd w:val="clear" w:color="000000" w:fill="FFFFFF"/>
            <w:noWrap/>
            <w:hideMark/>
          </w:tcPr>
          <w:p w14:paraId="3EB4477F" w14:textId="77777777" w:rsidR="00DC4792" w:rsidRDefault="00DC4792">
            <w:pPr>
              <w:jc w:val="right"/>
              <w:rPr>
                <w:noProof/>
                <w:color w:val="000000"/>
                <w:sz w:val="20"/>
                <w:szCs w:val="20"/>
              </w:rPr>
            </w:pPr>
            <w:r>
              <w:rPr>
                <w:noProof/>
                <w:color w:val="000000"/>
                <w:sz w:val="20"/>
                <w:szCs w:val="20"/>
              </w:rPr>
              <w:t>6.1</w:t>
            </w:r>
          </w:p>
        </w:tc>
        <w:tc>
          <w:tcPr>
            <w:tcW w:w="256" w:type="pct"/>
            <w:tcBorders>
              <w:top w:val="nil"/>
              <w:left w:val="nil"/>
              <w:bottom w:val="single" w:sz="4" w:space="0" w:color="auto"/>
              <w:right w:val="single" w:sz="4" w:space="0" w:color="auto"/>
            </w:tcBorders>
            <w:shd w:val="clear" w:color="000000" w:fill="FFFFFF"/>
            <w:noWrap/>
            <w:hideMark/>
          </w:tcPr>
          <w:p w14:paraId="2527BB4A" w14:textId="77777777" w:rsidR="00DC4792" w:rsidRDefault="00DC4792">
            <w:pPr>
              <w:jc w:val="right"/>
              <w:rPr>
                <w:noProof/>
                <w:color w:val="000000"/>
                <w:sz w:val="20"/>
                <w:szCs w:val="20"/>
              </w:rPr>
            </w:pPr>
            <w:r>
              <w:rPr>
                <w:noProof/>
                <w:color w:val="000000"/>
                <w:sz w:val="20"/>
                <w:szCs w:val="20"/>
              </w:rPr>
              <w:t>6.1</w:t>
            </w:r>
          </w:p>
        </w:tc>
        <w:tc>
          <w:tcPr>
            <w:tcW w:w="256" w:type="pct"/>
            <w:tcBorders>
              <w:top w:val="nil"/>
              <w:left w:val="nil"/>
              <w:bottom w:val="single" w:sz="4" w:space="0" w:color="auto"/>
              <w:right w:val="single" w:sz="4" w:space="0" w:color="auto"/>
            </w:tcBorders>
            <w:shd w:val="clear" w:color="000000" w:fill="FFFFFF"/>
            <w:noWrap/>
            <w:hideMark/>
          </w:tcPr>
          <w:p w14:paraId="0048CBCC" w14:textId="77777777" w:rsidR="00DC4792" w:rsidRDefault="00DC4792">
            <w:pPr>
              <w:jc w:val="right"/>
              <w:rPr>
                <w:noProof/>
                <w:color w:val="000000"/>
                <w:sz w:val="20"/>
                <w:szCs w:val="20"/>
              </w:rPr>
            </w:pPr>
            <w:r>
              <w:rPr>
                <w:noProof/>
                <w:color w:val="000000"/>
                <w:sz w:val="20"/>
                <w:szCs w:val="20"/>
              </w:rPr>
              <w:t>6.1</w:t>
            </w:r>
          </w:p>
        </w:tc>
        <w:tc>
          <w:tcPr>
            <w:tcW w:w="256" w:type="pct"/>
            <w:tcBorders>
              <w:top w:val="nil"/>
              <w:left w:val="nil"/>
              <w:bottom w:val="single" w:sz="4" w:space="0" w:color="auto"/>
              <w:right w:val="single" w:sz="4" w:space="0" w:color="auto"/>
            </w:tcBorders>
            <w:shd w:val="clear" w:color="000000" w:fill="FFFFFF"/>
            <w:noWrap/>
            <w:hideMark/>
          </w:tcPr>
          <w:p w14:paraId="03BEF049" w14:textId="77777777" w:rsidR="00DC4792" w:rsidRDefault="00DC4792">
            <w:pPr>
              <w:jc w:val="right"/>
              <w:rPr>
                <w:noProof/>
                <w:color w:val="000000"/>
                <w:sz w:val="20"/>
                <w:szCs w:val="20"/>
              </w:rPr>
            </w:pPr>
            <w:r>
              <w:rPr>
                <w:noProof/>
                <w:color w:val="000000"/>
                <w:sz w:val="20"/>
                <w:szCs w:val="20"/>
              </w:rPr>
              <w:t>6.1</w:t>
            </w:r>
          </w:p>
        </w:tc>
      </w:tr>
      <w:tr w:rsidR="00DC4792" w14:paraId="51E4DA62" w14:textId="77777777" w:rsidTr="00E24FEF">
        <w:trPr>
          <w:trHeight w:val="255"/>
        </w:trPr>
        <w:tc>
          <w:tcPr>
            <w:tcW w:w="906" w:type="pct"/>
            <w:tcBorders>
              <w:top w:val="nil"/>
              <w:left w:val="single" w:sz="4" w:space="0" w:color="auto"/>
              <w:bottom w:val="single" w:sz="4" w:space="0" w:color="auto"/>
              <w:right w:val="nil"/>
            </w:tcBorders>
            <w:shd w:val="clear" w:color="000000" w:fill="BDE3FF"/>
            <w:hideMark/>
          </w:tcPr>
          <w:p w14:paraId="6A91DAA6" w14:textId="77777777" w:rsidR="00DC4792" w:rsidRDefault="00DC4792">
            <w:pPr>
              <w:rPr>
                <w:b/>
                <w:bCs/>
                <w:noProof/>
                <w:sz w:val="20"/>
                <w:szCs w:val="20"/>
              </w:rPr>
            </w:pPr>
            <w:r>
              <w:rPr>
                <w:b/>
                <w:bCs/>
                <w:noProof/>
                <w:sz w:val="20"/>
                <w:szCs w:val="20"/>
              </w:rPr>
              <w:t>Administrative costs</w:t>
            </w:r>
          </w:p>
        </w:tc>
        <w:tc>
          <w:tcPr>
            <w:tcW w:w="256" w:type="pct"/>
            <w:tcBorders>
              <w:top w:val="nil"/>
              <w:left w:val="single" w:sz="4" w:space="0" w:color="auto"/>
              <w:bottom w:val="single" w:sz="4" w:space="0" w:color="auto"/>
              <w:right w:val="single" w:sz="4" w:space="0" w:color="auto"/>
            </w:tcBorders>
            <w:shd w:val="clear" w:color="000000" w:fill="BDE3FF"/>
            <w:hideMark/>
          </w:tcPr>
          <w:p w14:paraId="787DF8CE" w14:textId="77777777" w:rsidR="00DC4792" w:rsidRDefault="00DC4792">
            <w:pPr>
              <w:jc w:val="right"/>
              <w:rPr>
                <w:b/>
                <w:bCs/>
                <w:noProof/>
                <w:sz w:val="20"/>
                <w:szCs w:val="20"/>
              </w:rPr>
            </w:pPr>
            <w:r>
              <w:rPr>
                <w:b/>
                <w:bCs/>
                <w:noProof/>
                <w:sz w:val="20"/>
                <w:szCs w:val="20"/>
              </w:rPr>
              <w:t>4.6</w:t>
            </w:r>
          </w:p>
        </w:tc>
        <w:tc>
          <w:tcPr>
            <w:tcW w:w="256" w:type="pct"/>
            <w:tcBorders>
              <w:top w:val="nil"/>
              <w:left w:val="nil"/>
              <w:bottom w:val="single" w:sz="4" w:space="0" w:color="auto"/>
              <w:right w:val="single" w:sz="4" w:space="0" w:color="auto"/>
            </w:tcBorders>
            <w:shd w:val="clear" w:color="000000" w:fill="BDE3FF"/>
            <w:hideMark/>
          </w:tcPr>
          <w:p w14:paraId="13BEE343" w14:textId="77777777" w:rsidR="00DC4792" w:rsidRDefault="00DC4792">
            <w:pPr>
              <w:jc w:val="right"/>
              <w:rPr>
                <w:b/>
                <w:bCs/>
                <w:noProof/>
                <w:sz w:val="20"/>
                <w:szCs w:val="20"/>
              </w:rPr>
            </w:pPr>
            <w:r>
              <w:rPr>
                <w:b/>
                <w:bCs/>
                <w:noProof/>
                <w:sz w:val="20"/>
                <w:szCs w:val="20"/>
              </w:rPr>
              <w:t>1.5</w:t>
            </w:r>
          </w:p>
        </w:tc>
        <w:tc>
          <w:tcPr>
            <w:tcW w:w="256" w:type="pct"/>
            <w:tcBorders>
              <w:top w:val="nil"/>
              <w:left w:val="nil"/>
              <w:bottom w:val="single" w:sz="4" w:space="0" w:color="auto"/>
              <w:right w:val="single" w:sz="4" w:space="0" w:color="auto"/>
            </w:tcBorders>
            <w:shd w:val="clear" w:color="000000" w:fill="BDE3FF"/>
            <w:hideMark/>
          </w:tcPr>
          <w:p w14:paraId="1D212E86" w14:textId="77777777" w:rsidR="00DC4792" w:rsidRDefault="00DC4792">
            <w:pPr>
              <w:jc w:val="right"/>
              <w:rPr>
                <w:b/>
                <w:bCs/>
                <w:noProof/>
                <w:sz w:val="20"/>
                <w:szCs w:val="20"/>
              </w:rPr>
            </w:pPr>
            <w:r>
              <w:rPr>
                <w:b/>
                <w:bCs/>
                <w:noProof/>
                <w:sz w:val="20"/>
                <w:szCs w:val="20"/>
              </w:rPr>
              <w:t>1.5</w:t>
            </w:r>
          </w:p>
        </w:tc>
        <w:tc>
          <w:tcPr>
            <w:tcW w:w="256" w:type="pct"/>
            <w:tcBorders>
              <w:top w:val="nil"/>
              <w:left w:val="nil"/>
              <w:bottom w:val="single" w:sz="4" w:space="0" w:color="auto"/>
              <w:right w:val="single" w:sz="4" w:space="0" w:color="auto"/>
            </w:tcBorders>
            <w:shd w:val="clear" w:color="000000" w:fill="BDE3FF"/>
            <w:hideMark/>
          </w:tcPr>
          <w:p w14:paraId="1D029277" w14:textId="77777777" w:rsidR="00DC4792" w:rsidRDefault="00DC4792">
            <w:pPr>
              <w:jc w:val="right"/>
              <w:rPr>
                <w:b/>
                <w:bCs/>
                <w:noProof/>
                <w:sz w:val="20"/>
                <w:szCs w:val="20"/>
              </w:rPr>
            </w:pPr>
            <w:r>
              <w:rPr>
                <w:b/>
                <w:bCs/>
                <w:noProof/>
                <w:sz w:val="20"/>
                <w:szCs w:val="20"/>
              </w:rPr>
              <w:t>1.5</w:t>
            </w:r>
          </w:p>
        </w:tc>
        <w:tc>
          <w:tcPr>
            <w:tcW w:w="256" w:type="pct"/>
            <w:tcBorders>
              <w:top w:val="nil"/>
              <w:left w:val="nil"/>
              <w:bottom w:val="single" w:sz="4" w:space="0" w:color="auto"/>
              <w:right w:val="single" w:sz="4" w:space="0" w:color="auto"/>
            </w:tcBorders>
            <w:shd w:val="clear" w:color="000000" w:fill="BDE3FF"/>
            <w:hideMark/>
          </w:tcPr>
          <w:p w14:paraId="06B99329" w14:textId="77777777" w:rsidR="00DC4792" w:rsidRDefault="00DC4792">
            <w:pPr>
              <w:jc w:val="right"/>
              <w:rPr>
                <w:b/>
                <w:bCs/>
                <w:noProof/>
                <w:sz w:val="20"/>
                <w:szCs w:val="20"/>
              </w:rPr>
            </w:pPr>
            <w:r>
              <w:rPr>
                <w:b/>
                <w:bCs/>
                <w:noProof/>
                <w:sz w:val="20"/>
                <w:szCs w:val="20"/>
              </w:rPr>
              <w:t>4.6</w:t>
            </w:r>
          </w:p>
        </w:tc>
        <w:tc>
          <w:tcPr>
            <w:tcW w:w="256" w:type="pct"/>
            <w:tcBorders>
              <w:top w:val="nil"/>
              <w:left w:val="nil"/>
              <w:bottom w:val="single" w:sz="4" w:space="0" w:color="auto"/>
              <w:right w:val="single" w:sz="4" w:space="0" w:color="auto"/>
            </w:tcBorders>
            <w:shd w:val="clear" w:color="000000" w:fill="BDE3FF"/>
            <w:hideMark/>
          </w:tcPr>
          <w:p w14:paraId="184F3AA7" w14:textId="77777777" w:rsidR="00DC4792" w:rsidRDefault="00DC4792">
            <w:pPr>
              <w:jc w:val="right"/>
              <w:rPr>
                <w:b/>
                <w:bCs/>
                <w:noProof/>
                <w:sz w:val="20"/>
                <w:szCs w:val="20"/>
              </w:rPr>
            </w:pPr>
            <w:r>
              <w:rPr>
                <w:b/>
                <w:bCs/>
                <w:noProof/>
                <w:sz w:val="20"/>
                <w:szCs w:val="20"/>
              </w:rPr>
              <w:t>1.5</w:t>
            </w:r>
          </w:p>
        </w:tc>
        <w:tc>
          <w:tcPr>
            <w:tcW w:w="256" w:type="pct"/>
            <w:tcBorders>
              <w:top w:val="nil"/>
              <w:left w:val="nil"/>
              <w:bottom w:val="single" w:sz="4" w:space="0" w:color="auto"/>
              <w:right w:val="single" w:sz="4" w:space="0" w:color="auto"/>
            </w:tcBorders>
            <w:shd w:val="clear" w:color="000000" w:fill="BDE3FF"/>
            <w:hideMark/>
          </w:tcPr>
          <w:p w14:paraId="3289D955" w14:textId="77777777" w:rsidR="00DC4792" w:rsidRDefault="00DC4792">
            <w:pPr>
              <w:jc w:val="right"/>
              <w:rPr>
                <w:b/>
                <w:bCs/>
                <w:noProof/>
                <w:sz w:val="20"/>
                <w:szCs w:val="20"/>
              </w:rPr>
            </w:pPr>
            <w:r>
              <w:rPr>
                <w:b/>
                <w:bCs/>
                <w:noProof/>
                <w:sz w:val="20"/>
                <w:szCs w:val="20"/>
              </w:rPr>
              <w:t>1.5</w:t>
            </w:r>
          </w:p>
        </w:tc>
        <w:tc>
          <w:tcPr>
            <w:tcW w:w="256" w:type="pct"/>
            <w:tcBorders>
              <w:top w:val="nil"/>
              <w:left w:val="nil"/>
              <w:bottom w:val="single" w:sz="4" w:space="0" w:color="auto"/>
              <w:right w:val="single" w:sz="4" w:space="0" w:color="auto"/>
            </w:tcBorders>
            <w:shd w:val="clear" w:color="000000" w:fill="BDE3FF"/>
            <w:hideMark/>
          </w:tcPr>
          <w:p w14:paraId="6D636259" w14:textId="77777777" w:rsidR="00DC4792" w:rsidRDefault="00DC4792">
            <w:pPr>
              <w:jc w:val="right"/>
              <w:rPr>
                <w:b/>
                <w:bCs/>
                <w:noProof/>
                <w:sz w:val="20"/>
                <w:szCs w:val="20"/>
              </w:rPr>
            </w:pPr>
            <w:r>
              <w:rPr>
                <w:b/>
                <w:bCs/>
                <w:noProof/>
                <w:sz w:val="20"/>
                <w:szCs w:val="20"/>
              </w:rPr>
              <w:t>1.5</w:t>
            </w:r>
          </w:p>
        </w:tc>
        <w:tc>
          <w:tcPr>
            <w:tcW w:w="256" w:type="pct"/>
            <w:tcBorders>
              <w:top w:val="nil"/>
              <w:left w:val="nil"/>
              <w:bottom w:val="single" w:sz="4" w:space="0" w:color="auto"/>
              <w:right w:val="single" w:sz="4" w:space="0" w:color="auto"/>
            </w:tcBorders>
            <w:shd w:val="clear" w:color="000000" w:fill="BDE3FF"/>
            <w:hideMark/>
          </w:tcPr>
          <w:p w14:paraId="18C0F3AF" w14:textId="77777777" w:rsidR="00DC4792" w:rsidRDefault="00DC4792">
            <w:pPr>
              <w:jc w:val="right"/>
              <w:rPr>
                <w:b/>
                <w:bCs/>
                <w:noProof/>
                <w:sz w:val="20"/>
                <w:szCs w:val="20"/>
              </w:rPr>
            </w:pPr>
            <w:r>
              <w:rPr>
                <w:b/>
                <w:bCs/>
                <w:noProof/>
                <w:sz w:val="20"/>
                <w:szCs w:val="20"/>
              </w:rPr>
              <w:t>4.6</w:t>
            </w:r>
          </w:p>
        </w:tc>
        <w:tc>
          <w:tcPr>
            <w:tcW w:w="256" w:type="pct"/>
            <w:tcBorders>
              <w:top w:val="nil"/>
              <w:left w:val="nil"/>
              <w:bottom w:val="single" w:sz="4" w:space="0" w:color="auto"/>
              <w:right w:val="single" w:sz="4" w:space="0" w:color="auto"/>
            </w:tcBorders>
            <w:shd w:val="clear" w:color="000000" w:fill="BDE3FF"/>
            <w:hideMark/>
          </w:tcPr>
          <w:p w14:paraId="3D514416" w14:textId="77777777" w:rsidR="00DC4792" w:rsidRDefault="00DC4792">
            <w:pPr>
              <w:jc w:val="right"/>
              <w:rPr>
                <w:b/>
                <w:bCs/>
                <w:noProof/>
                <w:sz w:val="20"/>
                <w:szCs w:val="20"/>
              </w:rPr>
            </w:pPr>
            <w:r>
              <w:rPr>
                <w:b/>
                <w:bCs/>
                <w:noProof/>
                <w:sz w:val="20"/>
                <w:szCs w:val="20"/>
              </w:rPr>
              <w:t>1.5</w:t>
            </w:r>
          </w:p>
        </w:tc>
        <w:tc>
          <w:tcPr>
            <w:tcW w:w="256" w:type="pct"/>
            <w:tcBorders>
              <w:top w:val="nil"/>
              <w:left w:val="nil"/>
              <w:bottom w:val="single" w:sz="4" w:space="0" w:color="auto"/>
              <w:right w:val="single" w:sz="4" w:space="0" w:color="auto"/>
            </w:tcBorders>
            <w:shd w:val="clear" w:color="000000" w:fill="BDE3FF"/>
            <w:hideMark/>
          </w:tcPr>
          <w:p w14:paraId="71ADCCB7" w14:textId="77777777" w:rsidR="00DC4792" w:rsidRDefault="00DC4792">
            <w:pPr>
              <w:jc w:val="right"/>
              <w:rPr>
                <w:b/>
                <w:bCs/>
                <w:noProof/>
                <w:sz w:val="20"/>
                <w:szCs w:val="20"/>
              </w:rPr>
            </w:pPr>
            <w:r>
              <w:rPr>
                <w:b/>
                <w:bCs/>
                <w:noProof/>
                <w:sz w:val="20"/>
                <w:szCs w:val="20"/>
              </w:rPr>
              <w:t>1.5</w:t>
            </w:r>
          </w:p>
        </w:tc>
        <w:tc>
          <w:tcPr>
            <w:tcW w:w="256" w:type="pct"/>
            <w:tcBorders>
              <w:top w:val="nil"/>
              <w:left w:val="nil"/>
              <w:bottom w:val="single" w:sz="4" w:space="0" w:color="auto"/>
              <w:right w:val="single" w:sz="4" w:space="0" w:color="auto"/>
            </w:tcBorders>
            <w:shd w:val="clear" w:color="000000" w:fill="BDE3FF"/>
            <w:hideMark/>
          </w:tcPr>
          <w:p w14:paraId="339388AF" w14:textId="77777777" w:rsidR="00DC4792" w:rsidRDefault="00DC4792">
            <w:pPr>
              <w:jc w:val="right"/>
              <w:rPr>
                <w:b/>
                <w:bCs/>
                <w:noProof/>
                <w:sz w:val="20"/>
                <w:szCs w:val="20"/>
              </w:rPr>
            </w:pPr>
            <w:r>
              <w:rPr>
                <w:b/>
                <w:bCs/>
                <w:noProof/>
                <w:sz w:val="20"/>
                <w:szCs w:val="20"/>
              </w:rPr>
              <w:t>1.5</w:t>
            </w:r>
          </w:p>
        </w:tc>
        <w:tc>
          <w:tcPr>
            <w:tcW w:w="256" w:type="pct"/>
            <w:tcBorders>
              <w:top w:val="nil"/>
              <w:left w:val="nil"/>
              <w:bottom w:val="single" w:sz="4" w:space="0" w:color="auto"/>
              <w:right w:val="single" w:sz="4" w:space="0" w:color="auto"/>
            </w:tcBorders>
            <w:shd w:val="clear" w:color="000000" w:fill="BDE3FF"/>
            <w:hideMark/>
          </w:tcPr>
          <w:p w14:paraId="3DEF7352" w14:textId="77777777" w:rsidR="00DC4792" w:rsidRDefault="00DC4792">
            <w:pPr>
              <w:jc w:val="right"/>
              <w:rPr>
                <w:b/>
                <w:bCs/>
                <w:noProof/>
                <w:sz w:val="20"/>
                <w:szCs w:val="20"/>
              </w:rPr>
            </w:pPr>
            <w:r>
              <w:rPr>
                <w:b/>
                <w:bCs/>
                <w:noProof/>
                <w:sz w:val="20"/>
                <w:szCs w:val="20"/>
              </w:rPr>
              <w:t>4.6</w:t>
            </w:r>
          </w:p>
        </w:tc>
        <w:tc>
          <w:tcPr>
            <w:tcW w:w="256" w:type="pct"/>
            <w:tcBorders>
              <w:top w:val="nil"/>
              <w:left w:val="nil"/>
              <w:bottom w:val="single" w:sz="4" w:space="0" w:color="auto"/>
              <w:right w:val="single" w:sz="4" w:space="0" w:color="auto"/>
            </w:tcBorders>
            <w:shd w:val="clear" w:color="000000" w:fill="BDE3FF"/>
            <w:hideMark/>
          </w:tcPr>
          <w:p w14:paraId="2627F126" w14:textId="77777777" w:rsidR="00DC4792" w:rsidRDefault="00DC4792">
            <w:pPr>
              <w:jc w:val="right"/>
              <w:rPr>
                <w:b/>
                <w:bCs/>
                <w:noProof/>
                <w:sz w:val="20"/>
                <w:szCs w:val="20"/>
              </w:rPr>
            </w:pPr>
            <w:r>
              <w:rPr>
                <w:b/>
                <w:bCs/>
                <w:noProof/>
                <w:sz w:val="20"/>
                <w:szCs w:val="20"/>
              </w:rPr>
              <w:t>1.5</w:t>
            </w:r>
          </w:p>
        </w:tc>
        <w:tc>
          <w:tcPr>
            <w:tcW w:w="256" w:type="pct"/>
            <w:tcBorders>
              <w:top w:val="nil"/>
              <w:left w:val="nil"/>
              <w:bottom w:val="single" w:sz="4" w:space="0" w:color="auto"/>
              <w:right w:val="single" w:sz="4" w:space="0" w:color="auto"/>
            </w:tcBorders>
            <w:shd w:val="clear" w:color="000000" w:fill="BDE3FF"/>
            <w:hideMark/>
          </w:tcPr>
          <w:p w14:paraId="655B08E8" w14:textId="77777777" w:rsidR="00DC4792" w:rsidRDefault="00DC4792">
            <w:pPr>
              <w:jc w:val="right"/>
              <w:rPr>
                <w:b/>
                <w:bCs/>
                <w:noProof/>
                <w:sz w:val="20"/>
                <w:szCs w:val="20"/>
              </w:rPr>
            </w:pPr>
            <w:r>
              <w:rPr>
                <w:b/>
                <w:bCs/>
                <w:noProof/>
                <w:sz w:val="20"/>
                <w:szCs w:val="20"/>
              </w:rPr>
              <w:t>1.5</w:t>
            </w:r>
          </w:p>
        </w:tc>
        <w:tc>
          <w:tcPr>
            <w:tcW w:w="256" w:type="pct"/>
            <w:tcBorders>
              <w:top w:val="nil"/>
              <w:left w:val="nil"/>
              <w:bottom w:val="single" w:sz="4" w:space="0" w:color="auto"/>
              <w:right w:val="single" w:sz="4" w:space="0" w:color="auto"/>
            </w:tcBorders>
            <w:shd w:val="clear" w:color="000000" w:fill="BDE3FF"/>
            <w:hideMark/>
          </w:tcPr>
          <w:p w14:paraId="70719EC5" w14:textId="77777777" w:rsidR="00DC4792" w:rsidRDefault="00DC4792">
            <w:pPr>
              <w:jc w:val="right"/>
              <w:rPr>
                <w:b/>
                <w:bCs/>
                <w:noProof/>
                <w:sz w:val="20"/>
                <w:szCs w:val="20"/>
              </w:rPr>
            </w:pPr>
            <w:r>
              <w:rPr>
                <w:b/>
                <w:bCs/>
                <w:noProof/>
                <w:sz w:val="20"/>
                <w:szCs w:val="20"/>
              </w:rPr>
              <w:t>1.5</w:t>
            </w:r>
          </w:p>
        </w:tc>
      </w:tr>
      <w:tr w:rsidR="0034345E" w14:paraId="55375DA0" w14:textId="77777777" w:rsidTr="00E24FEF">
        <w:trPr>
          <w:trHeight w:val="255"/>
        </w:trPr>
        <w:tc>
          <w:tcPr>
            <w:tcW w:w="906" w:type="pct"/>
            <w:tcBorders>
              <w:top w:val="nil"/>
              <w:left w:val="single" w:sz="4" w:space="0" w:color="auto"/>
              <w:bottom w:val="single" w:sz="4" w:space="0" w:color="auto"/>
              <w:right w:val="single" w:sz="4" w:space="0" w:color="auto"/>
            </w:tcBorders>
            <w:hideMark/>
          </w:tcPr>
          <w:p w14:paraId="539AD451" w14:textId="77777777" w:rsidR="00DC4792" w:rsidRDefault="00DC4792">
            <w:pPr>
              <w:rPr>
                <w:noProof/>
                <w:color w:val="000000"/>
                <w:sz w:val="20"/>
                <w:szCs w:val="20"/>
              </w:rPr>
            </w:pPr>
            <w:r>
              <w:rPr>
                <w:noProof/>
                <w:color w:val="000000"/>
                <w:sz w:val="20"/>
                <w:szCs w:val="20"/>
              </w:rPr>
              <w:t>PM6 (Enforcement authority)</w:t>
            </w:r>
          </w:p>
        </w:tc>
        <w:tc>
          <w:tcPr>
            <w:tcW w:w="256" w:type="pct"/>
            <w:tcBorders>
              <w:top w:val="nil"/>
              <w:left w:val="nil"/>
              <w:bottom w:val="single" w:sz="4" w:space="0" w:color="auto"/>
              <w:right w:val="single" w:sz="4" w:space="0" w:color="auto"/>
            </w:tcBorders>
            <w:shd w:val="clear" w:color="000000" w:fill="FFFFFF"/>
            <w:noWrap/>
            <w:hideMark/>
          </w:tcPr>
          <w:p w14:paraId="75D004C9" w14:textId="77777777" w:rsidR="00DC4792" w:rsidRDefault="00DC4792">
            <w:pPr>
              <w:jc w:val="right"/>
              <w:rPr>
                <w:noProof/>
                <w:color w:val="000000"/>
                <w:sz w:val="20"/>
                <w:szCs w:val="20"/>
              </w:rPr>
            </w:pPr>
            <w:r>
              <w:rPr>
                <w:noProof/>
                <w:color w:val="000000"/>
                <w:sz w:val="20"/>
                <w:szCs w:val="20"/>
              </w:rPr>
              <w:t>1.5</w:t>
            </w:r>
          </w:p>
        </w:tc>
        <w:tc>
          <w:tcPr>
            <w:tcW w:w="256" w:type="pct"/>
            <w:tcBorders>
              <w:top w:val="nil"/>
              <w:left w:val="nil"/>
              <w:bottom w:val="single" w:sz="4" w:space="0" w:color="auto"/>
              <w:right w:val="single" w:sz="4" w:space="0" w:color="auto"/>
            </w:tcBorders>
            <w:shd w:val="clear" w:color="000000" w:fill="FFFFFF"/>
            <w:noWrap/>
            <w:hideMark/>
          </w:tcPr>
          <w:p w14:paraId="4854794C" w14:textId="77777777" w:rsidR="00DC4792" w:rsidRDefault="00DC4792">
            <w:pPr>
              <w:jc w:val="right"/>
              <w:rPr>
                <w:noProof/>
                <w:color w:val="000000"/>
                <w:sz w:val="20"/>
                <w:szCs w:val="20"/>
              </w:rPr>
            </w:pPr>
            <w:r>
              <w:rPr>
                <w:noProof/>
                <w:color w:val="000000"/>
                <w:sz w:val="20"/>
                <w:szCs w:val="20"/>
              </w:rPr>
              <w:t>1.5</w:t>
            </w:r>
          </w:p>
        </w:tc>
        <w:tc>
          <w:tcPr>
            <w:tcW w:w="256" w:type="pct"/>
            <w:tcBorders>
              <w:top w:val="nil"/>
              <w:left w:val="nil"/>
              <w:bottom w:val="single" w:sz="4" w:space="0" w:color="auto"/>
              <w:right w:val="single" w:sz="4" w:space="0" w:color="auto"/>
            </w:tcBorders>
            <w:shd w:val="clear" w:color="000000" w:fill="FFFFFF"/>
            <w:noWrap/>
            <w:hideMark/>
          </w:tcPr>
          <w:p w14:paraId="6BBE3033" w14:textId="77777777" w:rsidR="00DC4792" w:rsidRDefault="00DC4792">
            <w:pPr>
              <w:jc w:val="right"/>
              <w:rPr>
                <w:noProof/>
                <w:color w:val="000000"/>
                <w:sz w:val="20"/>
                <w:szCs w:val="20"/>
              </w:rPr>
            </w:pPr>
            <w:r>
              <w:rPr>
                <w:noProof/>
                <w:color w:val="000000"/>
                <w:sz w:val="20"/>
                <w:szCs w:val="20"/>
              </w:rPr>
              <w:t>1.5</w:t>
            </w:r>
          </w:p>
        </w:tc>
        <w:tc>
          <w:tcPr>
            <w:tcW w:w="256" w:type="pct"/>
            <w:tcBorders>
              <w:top w:val="nil"/>
              <w:left w:val="nil"/>
              <w:bottom w:val="single" w:sz="4" w:space="0" w:color="auto"/>
              <w:right w:val="single" w:sz="4" w:space="0" w:color="auto"/>
            </w:tcBorders>
            <w:shd w:val="clear" w:color="000000" w:fill="FFFFFF"/>
            <w:noWrap/>
            <w:hideMark/>
          </w:tcPr>
          <w:p w14:paraId="7A4BFB53" w14:textId="77777777" w:rsidR="00DC4792" w:rsidRDefault="00DC4792">
            <w:pPr>
              <w:jc w:val="right"/>
              <w:rPr>
                <w:noProof/>
                <w:color w:val="000000"/>
                <w:sz w:val="20"/>
                <w:szCs w:val="20"/>
              </w:rPr>
            </w:pPr>
            <w:r>
              <w:rPr>
                <w:noProof/>
                <w:color w:val="000000"/>
                <w:sz w:val="20"/>
                <w:szCs w:val="20"/>
              </w:rPr>
              <w:t>1.5</w:t>
            </w:r>
          </w:p>
        </w:tc>
        <w:tc>
          <w:tcPr>
            <w:tcW w:w="256" w:type="pct"/>
            <w:tcBorders>
              <w:top w:val="nil"/>
              <w:left w:val="nil"/>
              <w:bottom w:val="single" w:sz="4" w:space="0" w:color="auto"/>
              <w:right w:val="single" w:sz="4" w:space="0" w:color="auto"/>
            </w:tcBorders>
            <w:shd w:val="clear" w:color="000000" w:fill="FFFFFF"/>
            <w:noWrap/>
            <w:hideMark/>
          </w:tcPr>
          <w:p w14:paraId="4FF5A772" w14:textId="77777777" w:rsidR="00DC4792" w:rsidRDefault="00DC4792">
            <w:pPr>
              <w:jc w:val="right"/>
              <w:rPr>
                <w:noProof/>
                <w:color w:val="000000"/>
                <w:sz w:val="20"/>
                <w:szCs w:val="20"/>
              </w:rPr>
            </w:pPr>
            <w:r>
              <w:rPr>
                <w:noProof/>
                <w:color w:val="000000"/>
                <w:sz w:val="20"/>
                <w:szCs w:val="20"/>
              </w:rPr>
              <w:t>1.5</w:t>
            </w:r>
          </w:p>
        </w:tc>
        <w:tc>
          <w:tcPr>
            <w:tcW w:w="256" w:type="pct"/>
            <w:tcBorders>
              <w:top w:val="nil"/>
              <w:left w:val="nil"/>
              <w:bottom w:val="single" w:sz="4" w:space="0" w:color="auto"/>
              <w:right w:val="single" w:sz="4" w:space="0" w:color="auto"/>
            </w:tcBorders>
            <w:shd w:val="clear" w:color="000000" w:fill="FFFFFF"/>
            <w:noWrap/>
            <w:hideMark/>
          </w:tcPr>
          <w:p w14:paraId="1E25A9D7" w14:textId="77777777" w:rsidR="00DC4792" w:rsidRDefault="00DC4792">
            <w:pPr>
              <w:jc w:val="right"/>
              <w:rPr>
                <w:noProof/>
                <w:color w:val="000000"/>
                <w:sz w:val="20"/>
                <w:szCs w:val="20"/>
              </w:rPr>
            </w:pPr>
            <w:r>
              <w:rPr>
                <w:noProof/>
                <w:color w:val="000000"/>
                <w:sz w:val="20"/>
                <w:szCs w:val="20"/>
              </w:rPr>
              <w:t>1.5</w:t>
            </w:r>
          </w:p>
        </w:tc>
        <w:tc>
          <w:tcPr>
            <w:tcW w:w="256" w:type="pct"/>
            <w:tcBorders>
              <w:top w:val="nil"/>
              <w:left w:val="nil"/>
              <w:bottom w:val="single" w:sz="4" w:space="0" w:color="auto"/>
              <w:right w:val="single" w:sz="4" w:space="0" w:color="auto"/>
            </w:tcBorders>
            <w:shd w:val="clear" w:color="000000" w:fill="FFFFFF"/>
            <w:noWrap/>
            <w:hideMark/>
          </w:tcPr>
          <w:p w14:paraId="25F16663" w14:textId="77777777" w:rsidR="00DC4792" w:rsidRDefault="00DC4792">
            <w:pPr>
              <w:jc w:val="right"/>
              <w:rPr>
                <w:noProof/>
                <w:color w:val="000000"/>
                <w:sz w:val="20"/>
                <w:szCs w:val="20"/>
              </w:rPr>
            </w:pPr>
            <w:r>
              <w:rPr>
                <w:noProof/>
                <w:color w:val="000000"/>
                <w:sz w:val="20"/>
                <w:szCs w:val="20"/>
              </w:rPr>
              <w:t>1.5</w:t>
            </w:r>
          </w:p>
        </w:tc>
        <w:tc>
          <w:tcPr>
            <w:tcW w:w="256" w:type="pct"/>
            <w:tcBorders>
              <w:top w:val="nil"/>
              <w:left w:val="nil"/>
              <w:bottom w:val="single" w:sz="4" w:space="0" w:color="auto"/>
              <w:right w:val="single" w:sz="4" w:space="0" w:color="auto"/>
            </w:tcBorders>
            <w:shd w:val="clear" w:color="000000" w:fill="FFFFFF"/>
            <w:noWrap/>
            <w:hideMark/>
          </w:tcPr>
          <w:p w14:paraId="38F1B02B" w14:textId="77777777" w:rsidR="00DC4792" w:rsidRDefault="00DC4792">
            <w:pPr>
              <w:jc w:val="right"/>
              <w:rPr>
                <w:noProof/>
                <w:color w:val="000000"/>
                <w:sz w:val="20"/>
                <w:szCs w:val="20"/>
              </w:rPr>
            </w:pPr>
            <w:r>
              <w:rPr>
                <w:noProof/>
                <w:color w:val="000000"/>
                <w:sz w:val="20"/>
                <w:szCs w:val="20"/>
              </w:rPr>
              <w:t>1.5</w:t>
            </w:r>
          </w:p>
        </w:tc>
        <w:tc>
          <w:tcPr>
            <w:tcW w:w="256" w:type="pct"/>
            <w:tcBorders>
              <w:top w:val="nil"/>
              <w:left w:val="nil"/>
              <w:bottom w:val="single" w:sz="4" w:space="0" w:color="auto"/>
              <w:right w:val="single" w:sz="4" w:space="0" w:color="auto"/>
            </w:tcBorders>
            <w:shd w:val="clear" w:color="000000" w:fill="FFFFFF"/>
            <w:noWrap/>
            <w:hideMark/>
          </w:tcPr>
          <w:p w14:paraId="2B00310C" w14:textId="77777777" w:rsidR="00DC4792" w:rsidRDefault="00DC4792">
            <w:pPr>
              <w:jc w:val="right"/>
              <w:rPr>
                <w:noProof/>
                <w:color w:val="000000"/>
                <w:sz w:val="20"/>
                <w:szCs w:val="20"/>
              </w:rPr>
            </w:pPr>
            <w:r>
              <w:rPr>
                <w:noProof/>
                <w:color w:val="000000"/>
                <w:sz w:val="20"/>
                <w:szCs w:val="20"/>
              </w:rPr>
              <w:t>1.5</w:t>
            </w:r>
          </w:p>
        </w:tc>
        <w:tc>
          <w:tcPr>
            <w:tcW w:w="256" w:type="pct"/>
            <w:tcBorders>
              <w:top w:val="nil"/>
              <w:left w:val="nil"/>
              <w:bottom w:val="single" w:sz="4" w:space="0" w:color="auto"/>
              <w:right w:val="single" w:sz="4" w:space="0" w:color="auto"/>
            </w:tcBorders>
            <w:shd w:val="clear" w:color="000000" w:fill="FFFFFF"/>
            <w:noWrap/>
            <w:hideMark/>
          </w:tcPr>
          <w:p w14:paraId="41666184" w14:textId="77777777" w:rsidR="00DC4792" w:rsidRDefault="00DC4792">
            <w:pPr>
              <w:jc w:val="right"/>
              <w:rPr>
                <w:noProof/>
                <w:color w:val="000000"/>
                <w:sz w:val="20"/>
                <w:szCs w:val="20"/>
              </w:rPr>
            </w:pPr>
            <w:r>
              <w:rPr>
                <w:noProof/>
                <w:color w:val="000000"/>
                <w:sz w:val="20"/>
                <w:szCs w:val="20"/>
              </w:rPr>
              <w:t>1.5</w:t>
            </w:r>
          </w:p>
        </w:tc>
        <w:tc>
          <w:tcPr>
            <w:tcW w:w="256" w:type="pct"/>
            <w:tcBorders>
              <w:top w:val="nil"/>
              <w:left w:val="nil"/>
              <w:bottom w:val="single" w:sz="4" w:space="0" w:color="auto"/>
              <w:right w:val="single" w:sz="4" w:space="0" w:color="auto"/>
            </w:tcBorders>
            <w:shd w:val="clear" w:color="000000" w:fill="FFFFFF"/>
            <w:noWrap/>
            <w:hideMark/>
          </w:tcPr>
          <w:p w14:paraId="0FB7DBB9" w14:textId="77777777" w:rsidR="00DC4792" w:rsidRDefault="00DC4792">
            <w:pPr>
              <w:jc w:val="right"/>
              <w:rPr>
                <w:noProof/>
                <w:color w:val="000000"/>
                <w:sz w:val="20"/>
                <w:szCs w:val="20"/>
              </w:rPr>
            </w:pPr>
            <w:r>
              <w:rPr>
                <w:noProof/>
                <w:color w:val="000000"/>
                <w:sz w:val="20"/>
                <w:szCs w:val="20"/>
              </w:rPr>
              <w:t>1.5</w:t>
            </w:r>
          </w:p>
        </w:tc>
        <w:tc>
          <w:tcPr>
            <w:tcW w:w="256" w:type="pct"/>
            <w:tcBorders>
              <w:top w:val="nil"/>
              <w:left w:val="nil"/>
              <w:bottom w:val="single" w:sz="4" w:space="0" w:color="auto"/>
              <w:right w:val="single" w:sz="4" w:space="0" w:color="auto"/>
            </w:tcBorders>
            <w:shd w:val="clear" w:color="000000" w:fill="FFFFFF"/>
            <w:noWrap/>
            <w:hideMark/>
          </w:tcPr>
          <w:p w14:paraId="1B7508B9" w14:textId="77777777" w:rsidR="00DC4792" w:rsidRDefault="00DC4792">
            <w:pPr>
              <w:jc w:val="right"/>
              <w:rPr>
                <w:noProof/>
                <w:color w:val="000000"/>
                <w:sz w:val="20"/>
                <w:szCs w:val="20"/>
              </w:rPr>
            </w:pPr>
            <w:r>
              <w:rPr>
                <w:noProof/>
                <w:color w:val="000000"/>
                <w:sz w:val="20"/>
                <w:szCs w:val="20"/>
              </w:rPr>
              <w:t>1.5</w:t>
            </w:r>
          </w:p>
        </w:tc>
        <w:tc>
          <w:tcPr>
            <w:tcW w:w="256" w:type="pct"/>
            <w:tcBorders>
              <w:top w:val="nil"/>
              <w:left w:val="nil"/>
              <w:bottom w:val="single" w:sz="4" w:space="0" w:color="auto"/>
              <w:right w:val="single" w:sz="4" w:space="0" w:color="auto"/>
            </w:tcBorders>
            <w:shd w:val="clear" w:color="000000" w:fill="FFFFFF"/>
            <w:noWrap/>
            <w:hideMark/>
          </w:tcPr>
          <w:p w14:paraId="73DC63BE" w14:textId="77777777" w:rsidR="00DC4792" w:rsidRDefault="00DC4792">
            <w:pPr>
              <w:jc w:val="right"/>
              <w:rPr>
                <w:noProof/>
                <w:color w:val="000000"/>
                <w:sz w:val="20"/>
                <w:szCs w:val="20"/>
              </w:rPr>
            </w:pPr>
            <w:r>
              <w:rPr>
                <w:noProof/>
                <w:color w:val="000000"/>
                <w:sz w:val="20"/>
                <w:szCs w:val="20"/>
              </w:rPr>
              <w:t>1.5</w:t>
            </w:r>
          </w:p>
        </w:tc>
        <w:tc>
          <w:tcPr>
            <w:tcW w:w="256" w:type="pct"/>
            <w:tcBorders>
              <w:top w:val="nil"/>
              <w:left w:val="nil"/>
              <w:bottom w:val="single" w:sz="4" w:space="0" w:color="auto"/>
              <w:right w:val="single" w:sz="4" w:space="0" w:color="auto"/>
            </w:tcBorders>
            <w:shd w:val="clear" w:color="000000" w:fill="FFFFFF"/>
            <w:noWrap/>
            <w:hideMark/>
          </w:tcPr>
          <w:p w14:paraId="68EB5540" w14:textId="77777777" w:rsidR="00DC4792" w:rsidRDefault="00DC4792">
            <w:pPr>
              <w:jc w:val="right"/>
              <w:rPr>
                <w:noProof/>
                <w:color w:val="000000"/>
                <w:sz w:val="20"/>
                <w:szCs w:val="20"/>
              </w:rPr>
            </w:pPr>
            <w:r>
              <w:rPr>
                <w:noProof/>
                <w:color w:val="000000"/>
                <w:sz w:val="20"/>
                <w:szCs w:val="20"/>
              </w:rPr>
              <w:t>1.5</w:t>
            </w:r>
          </w:p>
        </w:tc>
        <w:tc>
          <w:tcPr>
            <w:tcW w:w="256" w:type="pct"/>
            <w:tcBorders>
              <w:top w:val="nil"/>
              <w:left w:val="nil"/>
              <w:bottom w:val="single" w:sz="4" w:space="0" w:color="auto"/>
              <w:right w:val="single" w:sz="4" w:space="0" w:color="auto"/>
            </w:tcBorders>
            <w:shd w:val="clear" w:color="000000" w:fill="FFFFFF"/>
            <w:noWrap/>
            <w:hideMark/>
          </w:tcPr>
          <w:p w14:paraId="27326160" w14:textId="77777777" w:rsidR="00DC4792" w:rsidRDefault="00DC4792">
            <w:pPr>
              <w:jc w:val="right"/>
              <w:rPr>
                <w:noProof/>
                <w:color w:val="000000"/>
                <w:sz w:val="20"/>
                <w:szCs w:val="20"/>
              </w:rPr>
            </w:pPr>
            <w:r>
              <w:rPr>
                <w:noProof/>
                <w:color w:val="000000"/>
                <w:sz w:val="20"/>
                <w:szCs w:val="20"/>
              </w:rPr>
              <w:t>1.5</w:t>
            </w:r>
          </w:p>
        </w:tc>
        <w:tc>
          <w:tcPr>
            <w:tcW w:w="256" w:type="pct"/>
            <w:tcBorders>
              <w:top w:val="nil"/>
              <w:left w:val="nil"/>
              <w:bottom w:val="single" w:sz="4" w:space="0" w:color="auto"/>
              <w:right w:val="single" w:sz="4" w:space="0" w:color="auto"/>
            </w:tcBorders>
            <w:shd w:val="clear" w:color="000000" w:fill="FFFFFF"/>
            <w:noWrap/>
            <w:hideMark/>
          </w:tcPr>
          <w:p w14:paraId="52CE73A5" w14:textId="77777777" w:rsidR="00DC4792" w:rsidRDefault="00DC4792">
            <w:pPr>
              <w:jc w:val="right"/>
              <w:rPr>
                <w:noProof/>
                <w:color w:val="000000"/>
                <w:sz w:val="20"/>
                <w:szCs w:val="20"/>
              </w:rPr>
            </w:pPr>
            <w:r>
              <w:rPr>
                <w:noProof/>
                <w:color w:val="000000"/>
                <w:sz w:val="20"/>
                <w:szCs w:val="20"/>
              </w:rPr>
              <w:t>1.5</w:t>
            </w:r>
          </w:p>
        </w:tc>
      </w:tr>
      <w:tr w:rsidR="0034345E" w14:paraId="47536110" w14:textId="77777777" w:rsidTr="00E24FEF">
        <w:trPr>
          <w:trHeight w:val="525"/>
        </w:trPr>
        <w:tc>
          <w:tcPr>
            <w:tcW w:w="906" w:type="pct"/>
            <w:tcBorders>
              <w:top w:val="nil"/>
              <w:left w:val="single" w:sz="4" w:space="0" w:color="auto"/>
              <w:bottom w:val="single" w:sz="4" w:space="0" w:color="auto"/>
              <w:right w:val="single" w:sz="4" w:space="0" w:color="auto"/>
            </w:tcBorders>
            <w:hideMark/>
          </w:tcPr>
          <w:p w14:paraId="480FB76A" w14:textId="77777777" w:rsidR="00DC4792" w:rsidRDefault="00DC4792">
            <w:pPr>
              <w:rPr>
                <w:noProof/>
                <w:color w:val="000000"/>
                <w:sz w:val="20"/>
                <w:szCs w:val="20"/>
              </w:rPr>
            </w:pPr>
            <w:r>
              <w:rPr>
                <w:noProof/>
                <w:color w:val="000000"/>
                <w:sz w:val="20"/>
                <w:szCs w:val="20"/>
              </w:rPr>
              <w:t>PM10 (Designation of indispensable MDMS and RUs)</w:t>
            </w:r>
          </w:p>
        </w:tc>
        <w:tc>
          <w:tcPr>
            <w:tcW w:w="256" w:type="pct"/>
            <w:tcBorders>
              <w:top w:val="nil"/>
              <w:left w:val="nil"/>
              <w:bottom w:val="single" w:sz="4" w:space="0" w:color="auto"/>
              <w:right w:val="single" w:sz="4" w:space="0" w:color="auto"/>
            </w:tcBorders>
            <w:shd w:val="clear" w:color="000000" w:fill="FFFFFF"/>
            <w:noWrap/>
            <w:hideMark/>
          </w:tcPr>
          <w:p w14:paraId="1DFC33C1" w14:textId="77777777" w:rsidR="00DC4792" w:rsidRDefault="00DC4792">
            <w:pPr>
              <w:jc w:val="right"/>
              <w:rPr>
                <w:noProof/>
                <w:color w:val="000000"/>
                <w:sz w:val="20"/>
                <w:szCs w:val="20"/>
              </w:rPr>
            </w:pPr>
            <w:r>
              <w:rPr>
                <w:noProof/>
                <w:color w:val="000000"/>
                <w:sz w:val="20"/>
                <w:szCs w:val="20"/>
              </w:rPr>
              <w:t>3.1</w:t>
            </w:r>
          </w:p>
        </w:tc>
        <w:tc>
          <w:tcPr>
            <w:tcW w:w="256" w:type="pct"/>
            <w:tcBorders>
              <w:top w:val="nil"/>
              <w:left w:val="nil"/>
              <w:bottom w:val="single" w:sz="4" w:space="0" w:color="auto"/>
              <w:right w:val="single" w:sz="4" w:space="0" w:color="auto"/>
            </w:tcBorders>
            <w:shd w:val="clear" w:color="000000" w:fill="FFFFFF"/>
            <w:noWrap/>
            <w:hideMark/>
          </w:tcPr>
          <w:p w14:paraId="6F5A2935" w14:textId="77777777" w:rsidR="00DC4792" w:rsidRDefault="00DC4792">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70EBDC00" w14:textId="77777777" w:rsidR="00DC4792" w:rsidRDefault="00DC4792">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2363CEAF" w14:textId="77777777" w:rsidR="00DC4792" w:rsidRDefault="00DC4792">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46FCCB97" w14:textId="77777777" w:rsidR="00DC4792" w:rsidRDefault="00DC4792">
            <w:pPr>
              <w:jc w:val="right"/>
              <w:rPr>
                <w:noProof/>
                <w:color w:val="000000"/>
                <w:sz w:val="20"/>
                <w:szCs w:val="20"/>
              </w:rPr>
            </w:pPr>
            <w:r>
              <w:rPr>
                <w:noProof/>
                <w:color w:val="000000"/>
                <w:sz w:val="20"/>
                <w:szCs w:val="20"/>
              </w:rPr>
              <w:t>3.1</w:t>
            </w:r>
          </w:p>
        </w:tc>
        <w:tc>
          <w:tcPr>
            <w:tcW w:w="256" w:type="pct"/>
            <w:tcBorders>
              <w:top w:val="nil"/>
              <w:left w:val="nil"/>
              <w:bottom w:val="single" w:sz="4" w:space="0" w:color="auto"/>
              <w:right w:val="single" w:sz="4" w:space="0" w:color="auto"/>
            </w:tcBorders>
            <w:shd w:val="clear" w:color="000000" w:fill="FFFFFF"/>
            <w:noWrap/>
            <w:hideMark/>
          </w:tcPr>
          <w:p w14:paraId="6B1B4CA6" w14:textId="77777777" w:rsidR="00DC4792" w:rsidRDefault="00DC4792">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1158729F" w14:textId="77777777" w:rsidR="00DC4792" w:rsidRDefault="00DC4792">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0931EA0C" w14:textId="77777777" w:rsidR="00DC4792" w:rsidRDefault="00DC4792">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5AEC8F3F" w14:textId="77777777" w:rsidR="00DC4792" w:rsidRDefault="00DC4792">
            <w:pPr>
              <w:jc w:val="right"/>
              <w:rPr>
                <w:noProof/>
                <w:color w:val="000000"/>
                <w:sz w:val="20"/>
                <w:szCs w:val="20"/>
              </w:rPr>
            </w:pPr>
            <w:r>
              <w:rPr>
                <w:noProof/>
                <w:color w:val="000000"/>
                <w:sz w:val="20"/>
                <w:szCs w:val="20"/>
              </w:rPr>
              <w:t>3.1</w:t>
            </w:r>
          </w:p>
        </w:tc>
        <w:tc>
          <w:tcPr>
            <w:tcW w:w="256" w:type="pct"/>
            <w:tcBorders>
              <w:top w:val="nil"/>
              <w:left w:val="nil"/>
              <w:bottom w:val="single" w:sz="4" w:space="0" w:color="auto"/>
              <w:right w:val="single" w:sz="4" w:space="0" w:color="auto"/>
            </w:tcBorders>
            <w:shd w:val="clear" w:color="000000" w:fill="FFFFFF"/>
            <w:noWrap/>
            <w:hideMark/>
          </w:tcPr>
          <w:p w14:paraId="40404944" w14:textId="77777777" w:rsidR="00DC4792" w:rsidRDefault="00DC4792">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7D478653" w14:textId="77777777" w:rsidR="00DC4792" w:rsidRDefault="00DC4792">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3BF90913" w14:textId="77777777" w:rsidR="00DC4792" w:rsidRDefault="00DC4792">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5BDDFF88" w14:textId="77777777" w:rsidR="00DC4792" w:rsidRDefault="00DC4792">
            <w:pPr>
              <w:jc w:val="right"/>
              <w:rPr>
                <w:noProof/>
                <w:color w:val="000000"/>
                <w:sz w:val="20"/>
                <w:szCs w:val="20"/>
              </w:rPr>
            </w:pPr>
            <w:r>
              <w:rPr>
                <w:noProof/>
                <w:color w:val="000000"/>
                <w:sz w:val="20"/>
                <w:szCs w:val="20"/>
              </w:rPr>
              <w:t>3.1</w:t>
            </w:r>
          </w:p>
        </w:tc>
        <w:tc>
          <w:tcPr>
            <w:tcW w:w="256" w:type="pct"/>
            <w:tcBorders>
              <w:top w:val="nil"/>
              <w:left w:val="nil"/>
              <w:bottom w:val="single" w:sz="4" w:space="0" w:color="auto"/>
              <w:right w:val="single" w:sz="4" w:space="0" w:color="auto"/>
            </w:tcBorders>
            <w:shd w:val="clear" w:color="000000" w:fill="FFFFFF"/>
            <w:noWrap/>
            <w:hideMark/>
          </w:tcPr>
          <w:p w14:paraId="6EA0F83E" w14:textId="77777777" w:rsidR="00DC4792" w:rsidRDefault="00DC4792">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30605BAF" w14:textId="77777777" w:rsidR="00DC4792" w:rsidRDefault="00DC4792">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7BAA1778" w14:textId="77777777" w:rsidR="00DC4792" w:rsidRDefault="00DC4792">
            <w:pPr>
              <w:jc w:val="right"/>
              <w:rPr>
                <w:noProof/>
                <w:color w:val="000000"/>
                <w:sz w:val="20"/>
                <w:szCs w:val="20"/>
              </w:rPr>
            </w:pPr>
            <w:r>
              <w:rPr>
                <w:noProof/>
                <w:color w:val="000000"/>
                <w:sz w:val="20"/>
                <w:szCs w:val="20"/>
              </w:rPr>
              <w:t>0.0</w:t>
            </w:r>
          </w:p>
        </w:tc>
      </w:tr>
      <w:tr w:rsidR="00DC4792" w14:paraId="4DF85F11" w14:textId="77777777" w:rsidTr="00E24FEF">
        <w:trPr>
          <w:trHeight w:val="255"/>
        </w:trPr>
        <w:tc>
          <w:tcPr>
            <w:tcW w:w="906" w:type="pct"/>
            <w:tcBorders>
              <w:top w:val="nil"/>
              <w:left w:val="single" w:sz="4" w:space="0" w:color="auto"/>
              <w:bottom w:val="single" w:sz="4" w:space="0" w:color="auto"/>
              <w:right w:val="single" w:sz="4" w:space="0" w:color="auto"/>
            </w:tcBorders>
            <w:shd w:val="clear" w:color="000000" w:fill="F2F2F2"/>
            <w:noWrap/>
            <w:hideMark/>
          </w:tcPr>
          <w:p w14:paraId="64BF7010" w14:textId="77777777" w:rsidR="00DC4792" w:rsidRDefault="00DC4792">
            <w:pPr>
              <w:rPr>
                <w:b/>
                <w:bCs/>
                <w:noProof/>
                <w:color w:val="000000"/>
                <w:sz w:val="20"/>
                <w:szCs w:val="20"/>
              </w:rPr>
            </w:pPr>
            <w:r>
              <w:rPr>
                <w:b/>
                <w:bCs/>
                <w:noProof/>
                <w:color w:val="000000"/>
                <w:sz w:val="20"/>
                <w:szCs w:val="20"/>
              </w:rPr>
              <w:t>Net costs</w:t>
            </w:r>
          </w:p>
        </w:tc>
        <w:tc>
          <w:tcPr>
            <w:tcW w:w="256" w:type="pct"/>
            <w:tcBorders>
              <w:top w:val="nil"/>
              <w:left w:val="nil"/>
              <w:bottom w:val="single" w:sz="4" w:space="0" w:color="auto"/>
              <w:right w:val="single" w:sz="4" w:space="0" w:color="auto"/>
            </w:tcBorders>
            <w:shd w:val="clear" w:color="000000" w:fill="F2F2F2"/>
            <w:noWrap/>
            <w:hideMark/>
          </w:tcPr>
          <w:p w14:paraId="1F3AFA12" w14:textId="77777777" w:rsidR="00DC4792" w:rsidRDefault="00DC4792">
            <w:pPr>
              <w:jc w:val="right"/>
              <w:rPr>
                <w:b/>
                <w:bCs/>
                <w:noProof/>
                <w:color w:val="000000"/>
                <w:sz w:val="20"/>
                <w:szCs w:val="20"/>
              </w:rPr>
            </w:pPr>
            <w:r>
              <w:rPr>
                <w:b/>
                <w:bCs/>
                <w:noProof/>
                <w:color w:val="000000"/>
                <w:sz w:val="20"/>
                <w:szCs w:val="20"/>
              </w:rPr>
              <w:t>10.7</w:t>
            </w:r>
          </w:p>
        </w:tc>
        <w:tc>
          <w:tcPr>
            <w:tcW w:w="256" w:type="pct"/>
            <w:tcBorders>
              <w:top w:val="nil"/>
              <w:left w:val="nil"/>
              <w:bottom w:val="single" w:sz="4" w:space="0" w:color="auto"/>
              <w:right w:val="single" w:sz="4" w:space="0" w:color="auto"/>
            </w:tcBorders>
            <w:shd w:val="clear" w:color="000000" w:fill="F2F2F2"/>
            <w:noWrap/>
            <w:hideMark/>
          </w:tcPr>
          <w:p w14:paraId="3498395D" w14:textId="77777777" w:rsidR="00DC4792" w:rsidRDefault="00DC4792">
            <w:pPr>
              <w:jc w:val="right"/>
              <w:rPr>
                <w:b/>
                <w:bCs/>
                <w:noProof/>
                <w:color w:val="000000"/>
                <w:sz w:val="20"/>
                <w:szCs w:val="20"/>
              </w:rPr>
            </w:pPr>
            <w:r>
              <w:rPr>
                <w:b/>
                <w:bCs/>
                <w:noProof/>
                <w:color w:val="000000"/>
                <w:sz w:val="20"/>
                <w:szCs w:val="20"/>
              </w:rPr>
              <w:t>7.6</w:t>
            </w:r>
          </w:p>
        </w:tc>
        <w:tc>
          <w:tcPr>
            <w:tcW w:w="256" w:type="pct"/>
            <w:tcBorders>
              <w:top w:val="nil"/>
              <w:left w:val="nil"/>
              <w:bottom w:val="single" w:sz="4" w:space="0" w:color="auto"/>
              <w:right w:val="single" w:sz="4" w:space="0" w:color="auto"/>
            </w:tcBorders>
            <w:shd w:val="clear" w:color="000000" w:fill="F2F2F2"/>
            <w:noWrap/>
            <w:hideMark/>
          </w:tcPr>
          <w:p w14:paraId="4EDD80CC" w14:textId="77777777" w:rsidR="00DC4792" w:rsidRDefault="00DC4792">
            <w:pPr>
              <w:jc w:val="right"/>
              <w:rPr>
                <w:b/>
                <w:bCs/>
                <w:noProof/>
                <w:color w:val="000000"/>
                <w:sz w:val="20"/>
                <w:szCs w:val="20"/>
              </w:rPr>
            </w:pPr>
            <w:r>
              <w:rPr>
                <w:b/>
                <w:bCs/>
                <w:noProof/>
                <w:color w:val="000000"/>
                <w:sz w:val="20"/>
                <w:szCs w:val="20"/>
              </w:rPr>
              <w:t>7.6</w:t>
            </w:r>
          </w:p>
        </w:tc>
        <w:tc>
          <w:tcPr>
            <w:tcW w:w="256" w:type="pct"/>
            <w:tcBorders>
              <w:top w:val="nil"/>
              <w:left w:val="nil"/>
              <w:bottom w:val="single" w:sz="4" w:space="0" w:color="auto"/>
              <w:right w:val="single" w:sz="4" w:space="0" w:color="auto"/>
            </w:tcBorders>
            <w:shd w:val="clear" w:color="000000" w:fill="F2F2F2"/>
            <w:noWrap/>
            <w:hideMark/>
          </w:tcPr>
          <w:p w14:paraId="22A2EE0C" w14:textId="77777777" w:rsidR="00DC4792" w:rsidRDefault="00DC4792">
            <w:pPr>
              <w:jc w:val="right"/>
              <w:rPr>
                <w:b/>
                <w:bCs/>
                <w:noProof/>
                <w:color w:val="000000"/>
                <w:sz w:val="20"/>
                <w:szCs w:val="20"/>
              </w:rPr>
            </w:pPr>
            <w:r>
              <w:rPr>
                <w:b/>
                <w:bCs/>
                <w:noProof/>
                <w:color w:val="000000"/>
                <w:sz w:val="20"/>
                <w:szCs w:val="20"/>
              </w:rPr>
              <w:t>7.6</w:t>
            </w:r>
          </w:p>
        </w:tc>
        <w:tc>
          <w:tcPr>
            <w:tcW w:w="256" w:type="pct"/>
            <w:tcBorders>
              <w:top w:val="nil"/>
              <w:left w:val="nil"/>
              <w:bottom w:val="single" w:sz="4" w:space="0" w:color="auto"/>
              <w:right w:val="single" w:sz="4" w:space="0" w:color="auto"/>
            </w:tcBorders>
            <w:shd w:val="clear" w:color="000000" w:fill="F2F2F2"/>
            <w:noWrap/>
            <w:hideMark/>
          </w:tcPr>
          <w:p w14:paraId="5F931754" w14:textId="77777777" w:rsidR="00DC4792" w:rsidRDefault="00DC4792">
            <w:pPr>
              <w:jc w:val="right"/>
              <w:rPr>
                <w:b/>
                <w:bCs/>
                <w:noProof/>
                <w:color w:val="000000"/>
                <w:sz w:val="20"/>
                <w:szCs w:val="20"/>
              </w:rPr>
            </w:pPr>
            <w:r>
              <w:rPr>
                <w:b/>
                <w:bCs/>
                <w:noProof/>
                <w:color w:val="000000"/>
                <w:sz w:val="20"/>
                <w:szCs w:val="20"/>
              </w:rPr>
              <w:t>10.7</w:t>
            </w:r>
          </w:p>
        </w:tc>
        <w:tc>
          <w:tcPr>
            <w:tcW w:w="256" w:type="pct"/>
            <w:tcBorders>
              <w:top w:val="nil"/>
              <w:left w:val="nil"/>
              <w:bottom w:val="single" w:sz="4" w:space="0" w:color="auto"/>
              <w:right w:val="single" w:sz="4" w:space="0" w:color="auto"/>
            </w:tcBorders>
            <w:shd w:val="clear" w:color="000000" w:fill="F2F2F2"/>
            <w:noWrap/>
            <w:hideMark/>
          </w:tcPr>
          <w:p w14:paraId="28F2CA9B" w14:textId="77777777" w:rsidR="00DC4792" w:rsidRDefault="00DC4792">
            <w:pPr>
              <w:jc w:val="right"/>
              <w:rPr>
                <w:b/>
                <w:bCs/>
                <w:noProof/>
                <w:color w:val="000000"/>
                <w:sz w:val="20"/>
                <w:szCs w:val="20"/>
              </w:rPr>
            </w:pPr>
            <w:r>
              <w:rPr>
                <w:b/>
                <w:bCs/>
                <w:noProof/>
                <w:color w:val="000000"/>
                <w:sz w:val="20"/>
                <w:szCs w:val="20"/>
              </w:rPr>
              <w:t>7.6</w:t>
            </w:r>
          </w:p>
        </w:tc>
        <w:tc>
          <w:tcPr>
            <w:tcW w:w="256" w:type="pct"/>
            <w:tcBorders>
              <w:top w:val="nil"/>
              <w:left w:val="nil"/>
              <w:bottom w:val="single" w:sz="4" w:space="0" w:color="auto"/>
              <w:right w:val="single" w:sz="4" w:space="0" w:color="auto"/>
            </w:tcBorders>
            <w:shd w:val="clear" w:color="000000" w:fill="F2F2F2"/>
            <w:noWrap/>
            <w:hideMark/>
          </w:tcPr>
          <w:p w14:paraId="05537507" w14:textId="77777777" w:rsidR="00DC4792" w:rsidRDefault="00DC4792">
            <w:pPr>
              <w:jc w:val="right"/>
              <w:rPr>
                <w:b/>
                <w:bCs/>
                <w:noProof/>
                <w:color w:val="000000"/>
                <w:sz w:val="20"/>
                <w:szCs w:val="20"/>
              </w:rPr>
            </w:pPr>
            <w:r>
              <w:rPr>
                <w:b/>
                <w:bCs/>
                <w:noProof/>
                <w:color w:val="000000"/>
                <w:sz w:val="20"/>
                <w:szCs w:val="20"/>
              </w:rPr>
              <w:t>7.6</w:t>
            </w:r>
          </w:p>
        </w:tc>
        <w:tc>
          <w:tcPr>
            <w:tcW w:w="256" w:type="pct"/>
            <w:tcBorders>
              <w:top w:val="nil"/>
              <w:left w:val="nil"/>
              <w:bottom w:val="single" w:sz="4" w:space="0" w:color="auto"/>
              <w:right w:val="single" w:sz="4" w:space="0" w:color="auto"/>
            </w:tcBorders>
            <w:shd w:val="clear" w:color="000000" w:fill="F2F2F2"/>
            <w:noWrap/>
            <w:hideMark/>
          </w:tcPr>
          <w:p w14:paraId="6DBD436A" w14:textId="77777777" w:rsidR="00DC4792" w:rsidRDefault="00DC4792">
            <w:pPr>
              <w:jc w:val="right"/>
              <w:rPr>
                <w:b/>
                <w:bCs/>
                <w:noProof/>
                <w:color w:val="000000"/>
                <w:sz w:val="20"/>
                <w:szCs w:val="20"/>
              </w:rPr>
            </w:pPr>
            <w:r>
              <w:rPr>
                <w:b/>
                <w:bCs/>
                <w:noProof/>
                <w:color w:val="000000"/>
                <w:sz w:val="20"/>
                <w:szCs w:val="20"/>
              </w:rPr>
              <w:t>7.6</w:t>
            </w:r>
          </w:p>
        </w:tc>
        <w:tc>
          <w:tcPr>
            <w:tcW w:w="256" w:type="pct"/>
            <w:tcBorders>
              <w:top w:val="nil"/>
              <w:left w:val="nil"/>
              <w:bottom w:val="single" w:sz="4" w:space="0" w:color="auto"/>
              <w:right w:val="single" w:sz="4" w:space="0" w:color="auto"/>
            </w:tcBorders>
            <w:shd w:val="clear" w:color="000000" w:fill="F2F2F2"/>
            <w:noWrap/>
            <w:hideMark/>
          </w:tcPr>
          <w:p w14:paraId="10D02A5A" w14:textId="77777777" w:rsidR="00DC4792" w:rsidRDefault="00DC4792">
            <w:pPr>
              <w:jc w:val="right"/>
              <w:rPr>
                <w:b/>
                <w:bCs/>
                <w:noProof/>
                <w:color w:val="000000"/>
                <w:sz w:val="20"/>
                <w:szCs w:val="20"/>
              </w:rPr>
            </w:pPr>
            <w:r>
              <w:rPr>
                <w:b/>
                <w:bCs/>
                <w:noProof/>
                <w:color w:val="000000"/>
                <w:sz w:val="20"/>
                <w:szCs w:val="20"/>
              </w:rPr>
              <w:t>10.7</w:t>
            </w:r>
          </w:p>
        </w:tc>
        <w:tc>
          <w:tcPr>
            <w:tcW w:w="256" w:type="pct"/>
            <w:tcBorders>
              <w:top w:val="nil"/>
              <w:left w:val="nil"/>
              <w:bottom w:val="single" w:sz="4" w:space="0" w:color="auto"/>
              <w:right w:val="single" w:sz="4" w:space="0" w:color="auto"/>
            </w:tcBorders>
            <w:shd w:val="clear" w:color="000000" w:fill="F2F2F2"/>
            <w:noWrap/>
            <w:hideMark/>
          </w:tcPr>
          <w:p w14:paraId="1CF58774" w14:textId="77777777" w:rsidR="00DC4792" w:rsidRDefault="00DC4792">
            <w:pPr>
              <w:jc w:val="right"/>
              <w:rPr>
                <w:b/>
                <w:bCs/>
                <w:noProof/>
                <w:color w:val="000000"/>
                <w:sz w:val="20"/>
                <w:szCs w:val="20"/>
              </w:rPr>
            </w:pPr>
            <w:r>
              <w:rPr>
                <w:b/>
                <w:bCs/>
                <w:noProof/>
                <w:color w:val="000000"/>
                <w:sz w:val="20"/>
                <w:szCs w:val="20"/>
              </w:rPr>
              <w:t>7.6</w:t>
            </w:r>
          </w:p>
        </w:tc>
        <w:tc>
          <w:tcPr>
            <w:tcW w:w="256" w:type="pct"/>
            <w:tcBorders>
              <w:top w:val="nil"/>
              <w:left w:val="nil"/>
              <w:bottom w:val="single" w:sz="4" w:space="0" w:color="auto"/>
              <w:right w:val="single" w:sz="4" w:space="0" w:color="auto"/>
            </w:tcBorders>
            <w:shd w:val="clear" w:color="000000" w:fill="F2F2F2"/>
            <w:noWrap/>
            <w:hideMark/>
          </w:tcPr>
          <w:p w14:paraId="125A2EEE" w14:textId="77777777" w:rsidR="00DC4792" w:rsidRDefault="00DC4792">
            <w:pPr>
              <w:jc w:val="right"/>
              <w:rPr>
                <w:b/>
                <w:bCs/>
                <w:noProof/>
                <w:color w:val="000000"/>
                <w:sz w:val="20"/>
                <w:szCs w:val="20"/>
              </w:rPr>
            </w:pPr>
            <w:r>
              <w:rPr>
                <w:b/>
                <w:bCs/>
                <w:noProof/>
                <w:color w:val="000000"/>
                <w:sz w:val="20"/>
                <w:szCs w:val="20"/>
              </w:rPr>
              <w:t>7.6</w:t>
            </w:r>
          </w:p>
        </w:tc>
        <w:tc>
          <w:tcPr>
            <w:tcW w:w="256" w:type="pct"/>
            <w:tcBorders>
              <w:top w:val="nil"/>
              <w:left w:val="nil"/>
              <w:bottom w:val="single" w:sz="4" w:space="0" w:color="auto"/>
              <w:right w:val="single" w:sz="4" w:space="0" w:color="auto"/>
            </w:tcBorders>
            <w:shd w:val="clear" w:color="000000" w:fill="F2F2F2"/>
            <w:noWrap/>
            <w:hideMark/>
          </w:tcPr>
          <w:p w14:paraId="28C7265F" w14:textId="77777777" w:rsidR="00DC4792" w:rsidRDefault="00DC4792">
            <w:pPr>
              <w:jc w:val="right"/>
              <w:rPr>
                <w:b/>
                <w:bCs/>
                <w:noProof/>
                <w:color w:val="000000"/>
                <w:sz w:val="20"/>
                <w:szCs w:val="20"/>
              </w:rPr>
            </w:pPr>
            <w:r>
              <w:rPr>
                <w:b/>
                <w:bCs/>
                <w:noProof/>
                <w:color w:val="000000"/>
                <w:sz w:val="20"/>
                <w:szCs w:val="20"/>
              </w:rPr>
              <w:t>7.6</w:t>
            </w:r>
          </w:p>
        </w:tc>
        <w:tc>
          <w:tcPr>
            <w:tcW w:w="256" w:type="pct"/>
            <w:tcBorders>
              <w:top w:val="nil"/>
              <w:left w:val="nil"/>
              <w:bottom w:val="single" w:sz="4" w:space="0" w:color="auto"/>
              <w:right w:val="single" w:sz="4" w:space="0" w:color="auto"/>
            </w:tcBorders>
            <w:shd w:val="clear" w:color="000000" w:fill="F2F2F2"/>
            <w:noWrap/>
            <w:hideMark/>
          </w:tcPr>
          <w:p w14:paraId="7B17D00B" w14:textId="77777777" w:rsidR="00DC4792" w:rsidRDefault="00DC4792">
            <w:pPr>
              <w:jc w:val="right"/>
              <w:rPr>
                <w:b/>
                <w:bCs/>
                <w:noProof/>
                <w:color w:val="000000"/>
                <w:sz w:val="20"/>
                <w:szCs w:val="20"/>
              </w:rPr>
            </w:pPr>
            <w:r>
              <w:rPr>
                <w:b/>
                <w:bCs/>
                <w:noProof/>
                <w:color w:val="000000"/>
                <w:sz w:val="20"/>
                <w:szCs w:val="20"/>
              </w:rPr>
              <w:t>10.7</w:t>
            </w:r>
          </w:p>
        </w:tc>
        <w:tc>
          <w:tcPr>
            <w:tcW w:w="256" w:type="pct"/>
            <w:tcBorders>
              <w:top w:val="nil"/>
              <w:left w:val="nil"/>
              <w:bottom w:val="single" w:sz="4" w:space="0" w:color="auto"/>
              <w:right w:val="single" w:sz="4" w:space="0" w:color="auto"/>
            </w:tcBorders>
            <w:shd w:val="clear" w:color="000000" w:fill="F2F2F2"/>
            <w:noWrap/>
            <w:hideMark/>
          </w:tcPr>
          <w:p w14:paraId="5B95256A" w14:textId="77777777" w:rsidR="00DC4792" w:rsidRDefault="00DC4792">
            <w:pPr>
              <w:jc w:val="right"/>
              <w:rPr>
                <w:b/>
                <w:bCs/>
                <w:noProof/>
                <w:color w:val="000000"/>
                <w:sz w:val="20"/>
                <w:szCs w:val="20"/>
              </w:rPr>
            </w:pPr>
            <w:r>
              <w:rPr>
                <w:b/>
                <w:bCs/>
                <w:noProof/>
                <w:color w:val="000000"/>
                <w:sz w:val="20"/>
                <w:szCs w:val="20"/>
              </w:rPr>
              <w:t>7.6</w:t>
            </w:r>
          </w:p>
        </w:tc>
        <w:tc>
          <w:tcPr>
            <w:tcW w:w="256" w:type="pct"/>
            <w:tcBorders>
              <w:top w:val="nil"/>
              <w:left w:val="nil"/>
              <w:bottom w:val="single" w:sz="4" w:space="0" w:color="auto"/>
              <w:right w:val="single" w:sz="4" w:space="0" w:color="auto"/>
            </w:tcBorders>
            <w:shd w:val="clear" w:color="000000" w:fill="F2F2F2"/>
            <w:noWrap/>
            <w:hideMark/>
          </w:tcPr>
          <w:p w14:paraId="03C9313F" w14:textId="77777777" w:rsidR="00DC4792" w:rsidRDefault="00DC4792">
            <w:pPr>
              <w:jc w:val="right"/>
              <w:rPr>
                <w:b/>
                <w:bCs/>
                <w:noProof/>
                <w:color w:val="000000"/>
                <w:sz w:val="20"/>
                <w:szCs w:val="20"/>
              </w:rPr>
            </w:pPr>
            <w:r>
              <w:rPr>
                <w:b/>
                <w:bCs/>
                <w:noProof/>
                <w:color w:val="000000"/>
                <w:sz w:val="20"/>
                <w:szCs w:val="20"/>
              </w:rPr>
              <w:t>7.6</w:t>
            </w:r>
          </w:p>
        </w:tc>
        <w:tc>
          <w:tcPr>
            <w:tcW w:w="256" w:type="pct"/>
            <w:tcBorders>
              <w:top w:val="nil"/>
              <w:left w:val="nil"/>
              <w:bottom w:val="single" w:sz="4" w:space="0" w:color="auto"/>
              <w:right w:val="single" w:sz="4" w:space="0" w:color="auto"/>
            </w:tcBorders>
            <w:shd w:val="clear" w:color="000000" w:fill="F2F2F2"/>
            <w:noWrap/>
            <w:hideMark/>
          </w:tcPr>
          <w:p w14:paraId="5872FA47" w14:textId="77777777" w:rsidR="00DC4792" w:rsidRDefault="00DC4792">
            <w:pPr>
              <w:jc w:val="right"/>
              <w:rPr>
                <w:b/>
                <w:bCs/>
                <w:noProof/>
                <w:color w:val="000000"/>
                <w:sz w:val="20"/>
                <w:szCs w:val="20"/>
              </w:rPr>
            </w:pPr>
            <w:r>
              <w:rPr>
                <w:b/>
                <w:bCs/>
                <w:noProof/>
                <w:color w:val="000000"/>
                <w:sz w:val="20"/>
                <w:szCs w:val="20"/>
              </w:rPr>
              <w:t>7.6</w:t>
            </w:r>
          </w:p>
        </w:tc>
      </w:tr>
    </w:tbl>
    <w:p w14:paraId="223F9B34" w14:textId="5CD18DFC" w:rsidR="00725A34" w:rsidRPr="00E24FEF" w:rsidRDefault="00725A34" w:rsidP="00E24FEF">
      <w:pPr>
        <w:tabs>
          <w:tab w:val="left" w:pos="2302"/>
        </w:tabs>
        <w:spacing w:after="240"/>
        <w:jc w:val="both"/>
        <w:rPr>
          <w:i/>
          <w:iCs/>
          <w:noProof/>
          <w:spacing w:val="-8"/>
          <w:sz w:val="20"/>
          <w:szCs w:val="20"/>
        </w:rPr>
      </w:pPr>
      <w:r w:rsidRPr="00E24FEF">
        <w:rPr>
          <w:i/>
          <w:iCs/>
          <w:noProof/>
          <w:spacing w:val="-8"/>
          <w:sz w:val="20"/>
          <w:szCs w:val="20"/>
        </w:rPr>
        <w:t>Source: Ricardo et al. (2026), Impact assessment support study</w:t>
      </w:r>
    </w:p>
    <w:p w14:paraId="7D31CF9C" w14:textId="151662F1" w:rsidR="00725A34" w:rsidRPr="006333F0" w:rsidRDefault="00725A34" w:rsidP="00E24FEF">
      <w:pPr>
        <w:pStyle w:val="Text2"/>
        <w:spacing w:after="0"/>
        <w:ind w:left="0"/>
        <w:rPr>
          <w:rFonts w:cs="Times New Roman"/>
          <w:i/>
          <w:noProof/>
          <w:sz w:val="22"/>
          <w:szCs w:val="22"/>
        </w:rPr>
      </w:pPr>
      <w:r w:rsidRPr="006333F0">
        <w:rPr>
          <w:rFonts w:cs="Times New Roman"/>
          <w:i/>
          <w:noProof/>
          <w:sz w:val="22"/>
          <w:szCs w:val="22"/>
        </w:rPr>
        <w:t xml:space="preserve">Table </w:t>
      </w:r>
      <w:r w:rsidRPr="00E24FEF">
        <w:rPr>
          <w:rFonts w:cs="Times New Roman"/>
          <w:i/>
          <w:noProof/>
          <w:sz w:val="22"/>
          <w:szCs w:val="22"/>
        </w:rPr>
        <w:fldChar w:fldCharType="begin"/>
      </w:r>
      <w:r w:rsidRPr="00E24FEF">
        <w:rPr>
          <w:rFonts w:cs="Times New Roman"/>
          <w:i/>
          <w:noProof/>
          <w:sz w:val="22"/>
          <w:szCs w:val="22"/>
        </w:rPr>
        <w:instrText xml:space="preserve"> SEQ Table \* ARABIC </w:instrText>
      </w:r>
      <w:r w:rsidRPr="00E24FEF">
        <w:rPr>
          <w:rFonts w:cs="Times New Roman"/>
          <w:i/>
          <w:noProof/>
          <w:sz w:val="22"/>
          <w:szCs w:val="22"/>
        </w:rPr>
        <w:fldChar w:fldCharType="separate"/>
      </w:r>
      <w:r w:rsidR="0055391F">
        <w:rPr>
          <w:rFonts w:cs="Times New Roman"/>
          <w:i/>
          <w:noProof/>
          <w:sz w:val="22"/>
          <w:szCs w:val="22"/>
        </w:rPr>
        <w:t>125</w:t>
      </w:r>
      <w:r w:rsidRPr="00E24FEF">
        <w:rPr>
          <w:rFonts w:cs="Times New Roman"/>
          <w:i/>
          <w:noProof/>
          <w:sz w:val="22"/>
          <w:szCs w:val="22"/>
        </w:rPr>
        <w:fldChar w:fldCharType="end"/>
      </w:r>
      <w:r w:rsidRPr="006333F0">
        <w:rPr>
          <w:rFonts w:cs="Times New Roman"/>
          <w:i/>
          <w:noProof/>
          <w:sz w:val="22"/>
          <w:szCs w:val="22"/>
        </w:rPr>
        <w:t xml:space="preserve">: One-off costs for </w:t>
      </w:r>
      <w:r>
        <w:rPr>
          <w:rFonts w:cs="Times New Roman"/>
          <w:i/>
          <w:noProof/>
          <w:sz w:val="22"/>
          <w:szCs w:val="22"/>
        </w:rPr>
        <w:t>national authorities</w:t>
      </w:r>
      <w:r w:rsidRPr="006333F0">
        <w:rPr>
          <w:rFonts w:cs="Times New Roman"/>
          <w:i/>
          <w:noProof/>
          <w:sz w:val="22"/>
          <w:szCs w:val="22"/>
        </w:rPr>
        <w:t xml:space="preserve"> in the POs relative to the baseline (EU27),</w:t>
      </w:r>
      <w:r>
        <w:rPr>
          <w:rFonts w:cs="Times New Roman"/>
          <w:i/>
          <w:noProof/>
          <w:sz w:val="22"/>
          <w:szCs w:val="22"/>
        </w:rPr>
        <w:t xml:space="preserve"> </w:t>
      </w:r>
      <w:r>
        <w:rPr>
          <w:i/>
          <w:noProof/>
          <w:sz w:val="22"/>
          <w:szCs w:val="22"/>
        </w:rPr>
        <w:t>in</w:t>
      </w:r>
      <w:r>
        <w:rPr>
          <w:rFonts w:cs="Times New Roman"/>
          <w:i/>
          <w:noProof/>
          <w:sz w:val="22"/>
          <w:szCs w:val="22"/>
        </w:rPr>
        <w:t xml:space="preserve"> 2028</w:t>
      </w:r>
      <w:r>
        <w:rPr>
          <w:i/>
          <w:noProof/>
          <w:sz w:val="22"/>
          <w:szCs w:val="22"/>
        </w:rPr>
        <w:t xml:space="preserve">, 2030, 2040 and </w:t>
      </w:r>
      <w:r>
        <w:rPr>
          <w:rFonts w:cs="Times New Roman"/>
          <w:i/>
          <w:noProof/>
          <w:sz w:val="22"/>
          <w:szCs w:val="22"/>
        </w:rPr>
        <w:t>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p>
    <w:tbl>
      <w:tblPr>
        <w:tblW w:w="5000" w:type="pct"/>
        <w:tblLook w:val="04A0" w:firstRow="1" w:lastRow="0" w:firstColumn="1" w:lastColumn="0" w:noHBand="0" w:noVBand="1"/>
      </w:tblPr>
      <w:tblGrid>
        <w:gridCol w:w="2681"/>
        <w:gridCol w:w="758"/>
        <w:gridCol w:w="757"/>
        <w:gridCol w:w="757"/>
        <w:gridCol w:w="757"/>
        <w:gridCol w:w="757"/>
        <w:gridCol w:w="757"/>
        <w:gridCol w:w="757"/>
        <w:gridCol w:w="757"/>
        <w:gridCol w:w="757"/>
        <w:gridCol w:w="757"/>
        <w:gridCol w:w="757"/>
        <w:gridCol w:w="757"/>
        <w:gridCol w:w="757"/>
        <w:gridCol w:w="757"/>
        <w:gridCol w:w="757"/>
        <w:gridCol w:w="751"/>
      </w:tblGrid>
      <w:tr w:rsidR="00E24FEF" w14:paraId="65396C59" w14:textId="77777777" w:rsidTr="0075278E">
        <w:trPr>
          <w:trHeight w:val="255"/>
          <w:tblHeader/>
        </w:trPr>
        <w:tc>
          <w:tcPr>
            <w:tcW w:w="906"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2E6FF228" w14:textId="77777777" w:rsidR="00E24FEF" w:rsidRDefault="00E24FEF">
            <w:pPr>
              <w:jc w:val="center"/>
              <w:rPr>
                <w:b/>
                <w:bCs/>
                <w:noProof/>
                <w:color w:val="FFFFFF"/>
                <w:sz w:val="20"/>
                <w:szCs w:val="20"/>
              </w:rPr>
            </w:pPr>
            <w:r>
              <w:rPr>
                <w:b/>
                <w:bCs/>
                <w:noProof/>
                <w:color w:val="FFFFFF"/>
                <w:sz w:val="20"/>
                <w:szCs w:val="20"/>
              </w:rPr>
              <w:t> </w:t>
            </w:r>
          </w:p>
        </w:tc>
        <w:tc>
          <w:tcPr>
            <w:tcW w:w="1024" w:type="pct"/>
            <w:gridSpan w:val="4"/>
            <w:tcBorders>
              <w:top w:val="single" w:sz="4" w:space="0" w:color="auto"/>
              <w:left w:val="nil"/>
              <w:bottom w:val="single" w:sz="4" w:space="0" w:color="auto"/>
              <w:right w:val="single" w:sz="4" w:space="0" w:color="auto"/>
            </w:tcBorders>
            <w:shd w:val="clear" w:color="000000" w:fill="0070C0"/>
            <w:hideMark/>
          </w:tcPr>
          <w:p w14:paraId="17A9C778" w14:textId="77777777" w:rsidR="00E24FEF" w:rsidRDefault="00E24FEF">
            <w:pPr>
              <w:jc w:val="center"/>
              <w:rPr>
                <w:b/>
                <w:bCs/>
                <w:noProof/>
                <w:color w:val="FFFFFF"/>
                <w:sz w:val="20"/>
                <w:szCs w:val="20"/>
              </w:rPr>
            </w:pPr>
            <w:r>
              <w:rPr>
                <w:b/>
                <w:bCs/>
                <w:noProof/>
                <w:color w:val="FFFFFF"/>
                <w:sz w:val="20"/>
                <w:szCs w:val="20"/>
              </w:rPr>
              <w:t>PO1</w:t>
            </w:r>
          </w:p>
        </w:tc>
        <w:tc>
          <w:tcPr>
            <w:tcW w:w="1024" w:type="pct"/>
            <w:gridSpan w:val="4"/>
            <w:tcBorders>
              <w:top w:val="single" w:sz="4" w:space="0" w:color="auto"/>
              <w:left w:val="nil"/>
              <w:bottom w:val="single" w:sz="4" w:space="0" w:color="auto"/>
              <w:right w:val="single" w:sz="4" w:space="0" w:color="auto"/>
            </w:tcBorders>
            <w:shd w:val="clear" w:color="000000" w:fill="0070C0"/>
            <w:hideMark/>
          </w:tcPr>
          <w:p w14:paraId="6755FF63" w14:textId="77777777" w:rsidR="00E24FEF" w:rsidRDefault="00E24FEF">
            <w:pPr>
              <w:jc w:val="center"/>
              <w:rPr>
                <w:b/>
                <w:bCs/>
                <w:noProof/>
                <w:color w:val="FFFFFF"/>
                <w:sz w:val="20"/>
                <w:szCs w:val="20"/>
              </w:rPr>
            </w:pPr>
            <w:r>
              <w:rPr>
                <w:b/>
                <w:bCs/>
                <w:noProof/>
                <w:color w:val="FFFFFF"/>
                <w:sz w:val="20"/>
                <w:szCs w:val="20"/>
              </w:rPr>
              <w:t>PO2</w:t>
            </w:r>
          </w:p>
        </w:tc>
        <w:tc>
          <w:tcPr>
            <w:tcW w:w="1024" w:type="pct"/>
            <w:gridSpan w:val="4"/>
            <w:tcBorders>
              <w:top w:val="single" w:sz="4" w:space="0" w:color="auto"/>
              <w:left w:val="nil"/>
              <w:bottom w:val="single" w:sz="4" w:space="0" w:color="auto"/>
              <w:right w:val="single" w:sz="4" w:space="0" w:color="auto"/>
            </w:tcBorders>
            <w:shd w:val="clear" w:color="000000" w:fill="0070C0"/>
            <w:hideMark/>
          </w:tcPr>
          <w:p w14:paraId="69336D07" w14:textId="77777777" w:rsidR="00E24FEF" w:rsidRDefault="00E24FEF">
            <w:pPr>
              <w:jc w:val="center"/>
              <w:rPr>
                <w:b/>
                <w:bCs/>
                <w:noProof/>
                <w:color w:val="FFFFFF"/>
                <w:sz w:val="20"/>
                <w:szCs w:val="20"/>
              </w:rPr>
            </w:pPr>
            <w:r>
              <w:rPr>
                <w:b/>
                <w:bCs/>
                <w:noProof/>
                <w:color w:val="FFFFFF"/>
                <w:sz w:val="20"/>
                <w:szCs w:val="20"/>
              </w:rPr>
              <w:t>PO3</w:t>
            </w:r>
          </w:p>
        </w:tc>
        <w:tc>
          <w:tcPr>
            <w:tcW w:w="1022" w:type="pct"/>
            <w:gridSpan w:val="4"/>
            <w:tcBorders>
              <w:top w:val="single" w:sz="4" w:space="0" w:color="auto"/>
              <w:left w:val="nil"/>
              <w:bottom w:val="single" w:sz="4" w:space="0" w:color="auto"/>
              <w:right w:val="single" w:sz="4" w:space="0" w:color="auto"/>
            </w:tcBorders>
            <w:shd w:val="clear" w:color="000000" w:fill="0070C0"/>
            <w:hideMark/>
          </w:tcPr>
          <w:p w14:paraId="74EA8D3E" w14:textId="77777777" w:rsidR="00E24FEF" w:rsidRDefault="00E24FEF">
            <w:pPr>
              <w:jc w:val="center"/>
              <w:rPr>
                <w:b/>
                <w:bCs/>
                <w:noProof/>
                <w:color w:val="FFFFFF"/>
                <w:sz w:val="20"/>
                <w:szCs w:val="20"/>
              </w:rPr>
            </w:pPr>
            <w:r>
              <w:rPr>
                <w:b/>
                <w:bCs/>
                <w:noProof/>
                <w:color w:val="FFFFFF"/>
                <w:sz w:val="20"/>
                <w:szCs w:val="20"/>
              </w:rPr>
              <w:t>PO4</w:t>
            </w:r>
          </w:p>
        </w:tc>
      </w:tr>
      <w:tr w:rsidR="00E24FEF" w14:paraId="75022622" w14:textId="77777777" w:rsidTr="0075278E">
        <w:trPr>
          <w:trHeight w:val="255"/>
          <w:tblHeader/>
        </w:trPr>
        <w:tc>
          <w:tcPr>
            <w:tcW w:w="906" w:type="pct"/>
            <w:vMerge/>
            <w:tcBorders>
              <w:top w:val="single" w:sz="4" w:space="0" w:color="auto"/>
              <w:left w:val="single" w:sz="4" w:space="0" w:color="auto"/>
              <w:bottom w:val="single" w:sz="4" w:space="0" w:color="auto"/>
              <w:right w:val="single" w:sz="4" w:space="0" w:color="auto"/>
            </w:tcBorders>
            <w:hideMark/>
          </w:tcPr>
          <w:p w14:paraId="66FE70AA" w14:textId="77777777" w:rsidR="00E24FEF" w:rsidRDefault="00E24FEF">
            <w:pPr>
              <w:rPr>
                <w:b/>
                <w:bCs/>
                <w:noProof/>
                <w:color w:val="FFFFFF"/>
                <w:sz w:val="20"/>
                <w:szCs w:val="20"/>
              </w:rPr>
            </w:pPr>
          </w:p>
        </w:tc>
        <w:tc>
          <w:tcPr>
            <w:tcW w:w="256" w:type="pct"/>
            <w:tcBorders>
              <w:top w:val="nil"/>
              <w:left w:val="nil"/>
              <w:bottom w:val="single" w:sz="4" w:space="0" w:color="auto"/>
              <w:right w:val="single" w:sz="4" w:space="0" w:color="auto"/>
            </w:tcBorders>
            <w:shd w:val="clear" w:color="000000" w:fill="0070C0"/>
            <w:hideMark/>
          </w:tcPr>
          <w:p w14:paraId="4A351DE5" w14:textId="77777777" w:rsidR="00E24FEF" w:rsidRDefault="00E24FEF">
            <w:pPr>
              <w:jc w:val="center"/>
              <w:rPr>
                <w:b/>
                <w:bCs/>
                <w:noProof/>
                <w:color w:val="FFFFFF"/>
                <w:sz w:val="20"/>
                <w:szCs w:val="20"/>
              </w:rPr>
            </w:pPr>
            <w:r>
              <w:rPr>
                <w:b/>
                <w:bCs/>
                <w:noProof/>
                <w:color w:val="FFFFFF"/>
                <w:sz w:val="20"/>
                <w:szCs w:val="20"/>
              </w:rPr>
              <w:t>2028</w:t>
            </w:r>
          </w:p>
        </w:tc>
        <w:tc>
          <w:tcPr>
            <w:tcW w:w="256" w:type="pct"/>
            <w:tcBorders>
              <w:top w:val="nil"/>
              <w:left w:val="nil"/>
              <w:bottom w:val="single" w:sz="4" w:space="0" w:color="auto"/>
              <w:right w:val="single" w:sz="4" w:space="0" w:color="auto"/>
            </w:tcBorders>
            <w:shd w:val="clear" w:color="000000" w:fill="0070C0"/>
            <w:hideMark/>
          </w:tcPr>
          <w:p w14:paraId="72C8C8DC" w14:textId="77777777" w:rsidR="00E24FEF" w:rsidRDefault="00E24FEF">
            <w:pPr>
              <w:jc w:val="center"/>
              <w:rPr>
                <w:b/>
                <w:bCs/>
                <w:noProof/>
                <w:color w:val="FFFFFF"/>
                <w:sz w:val="20"/>
                <w:szCs w:val="20"/>
              </w:rPr>
            </w:pPr>
            <w:r>
              <w:rPr>
                <w:b/>
                <w:bCs/>
                <w:noProof/>
                <w:color w:val="FFFFFF"/>
                <w:sz w:val="20"/>
                <w:szCs w:val="20"/>
              </w:rPr>
              <w:t>2030</w:t>
            </w:r>
          </w:p>
        </w:tc>
        <w:tc>
          <w:tcPr>
            <w:tcW w:w="256" w:type="pct"/>
            <w:tcBorders>
              <w:top w:val="nil"/>
              <w:left w:val="nil"/>
              <w:bottom w:val="single" w:sz="4" w:space="0" w:color="auto"/>
              <w:right w:val="single" w:sz="4" w:space="0" w:color="auto"/>
            </w:tcBorders>
            <w:shd w:val="clear" w:color="000000" w:fill="0070C0"/>
            <w:hideMark/>
          </w:tcPr>
          <w:p w14:paraId="1BCE84A1" w14:textId="77777777" w:rsidR="00E24FEF" w:rsidRDefault="00E24FEF">
            <w:pPr>
              <w:jc w:val="center"/>
              <w:rPr>
                <w:b/>
                <w:bCs/>
                <w:noProof/>
                <w:color w:val="FFFFFF"/>
                <w:sz w:val="20"/>
                <w:szCs w:val="20"/>
              </w:rPr>
            </w:pPr>
            <w:r>
              <w:rPr>
                <w:b/>
                <w:bCs/>
                <w:noProof/>
                <w:color w:val="FFFFFF"/>
                <w:sz w:val="20"/>
                <w:szCs w:val="20"/>
              </w:rPr>
              <w:t>2040</w:t>
            </w:r>
          </w:p>
        </w:tc>
        <w:tc>
          <w:tcPr>
            <w:tcW w:w="256" w:type="pct"/>
            <w:tcBorders>
              <w:top w:val="nil"/>
              <w:left w:val="nil"/>
              <w:bottom w:val="single" w:sz="4" w:space="0" w:color="auto"/>
              <w:right w:val="single" w:sz="4" w:space="0" w:color="auto"/>
            </w:tcBorders>
            <w:shd w:val="clear" w:color="000000" w:fill="0070C0"/>
            <w:hideMark/>
          </w:tcPr>
          <w:p w14:paraId="5CC2CCC2" w14:textId="77777777" w:rsidR="00E24FEF" w:rsidRDefault="00E24FEF">
            <w:pPr>
              <w:jc w:val="center"/>
              <w:rPr>
                <w:b/>
                <w:bCs/>
                <w:noProof/>
                <w:color w:val="FFFFFF"/>
                <w:sz w:val="20"/>
                <w:szCs w:val="20"/>
              </w:rPr>
            </w:pPr>
            <w:r>
              <w:rPr>
                <w:b/>
                <w:bCs/>
                <w:noProof/>
                <w:color w:val="FFFFFF"/>
                <w:sz w:val="20"/>
                <w:szCs w:val="20"/>
              </w:rPr>
              <w:t>2050</w:t>
            </w:r>
          </w:p>
        </w:tc>
        <w:tc>
          <w:tcPr>
            <w:tcW w:w="256" w:type="pct"/>
            <w:tcBorders>
              <w:top w:val="nil"/>
              <w:left w:val="nil"/>
              <w:bottom w:val="single" w:sz="4" w:space="0" w:color="auto"/>
              <w:right w:val="single" w:sz="4" w:space="0" w:color="auto"/>
            </w:tcBorders>
            <w:shd w:val="clear" w:color="000000" w:fill="0070C0"/>
            <w:hideMark/>
          </w:tcPr>
          <w:p w14:paraId="38361820" w14:textId="77777777" w:rsidR="00E24FEF" w:rsidRDefault="00E24FEF">
            <w:pPr>
              <w:jc w:val="center"/>
              <w:rPr>
                <w:b/>
                <w:bCs/>
                <w:noProof/>
                <w:color w:val="FFFFFF"/>
                <w:sz w:val="20"/>
                <w:szCs w:val="20"/>
              </w:rPr>
            </w:pPr>
            <w:r>
              <w:rPr>
                <w:b/>
                <w:bCs/>
                <w:noProof/>
                <w:color w:val="FFFFFF"/>
                <w:sz w:val="20"/>
                <w:szCs w:val="20"/>
              </w:rPr>
              <w:t>2028</w:t>
            </w:r>
          </w:p>
        </w:tc>
        <w:tc>
          <w:tcPr>
            <w:tcW w:w="256" w:type="pct"/>
            <w:tcBorders>
              <w:top w:val="nil"/>
              <w:left w:val="nil"/>
              <w:bottom w:val="single" w:sz="4" w:space="0" w:color="auto"/>
              <w:right w:val="single" w:sz="4" w:space="0" w:color="auto"/>
            </w:tcBorders>
            <w:shd w:val="clear" w:color="000000" w:fill="0070C0"/>
            <w:hideMark/>
          </w:tcPr>
          <w:p w14:paraId="0E4861D0" w14:textId="77777777" w:rsidR="00E24FEF" w:rsidRDefault="00E24FEF">
            <w:pPr>
              <w:jc w:val="center"/>
              <w:rPr>
                <w:b/>
                <w:bCs/>
                <w:noProof/>
                <w:color w:val="FFFFFF"/>
                <w:sz w:val="20"/>
                <w:szCs w:val="20"/>
              </w:rPr>
            </w:pPr>
            <w:r>
              <w:rPr>
                <w:b/>
                <w:bCs/>
                <w:noProof/>
                <w:color w:val="FFFFFF"/>
                <w:sz w:val="20"/>
                <w:szCs w:val="20"/>
              </w:rPr>
              <w:t>2030</w:t>
            </w:r>
          </w:p>
        </w:tc>
        <w:tc>
          <w:tcPr>
            <w:tcW w:w="256" w:type="pct"/>
            <w:tcBorders>
              <w:top w:val="nil"/>
              <w:left w:val="nil"/>
              <w:bottom w:val="single" w:sz="4" w:space="0" w:color="auto"/>
              <w:right w:val="single" w:sz="4" w:space="0" w:color="auto"/>
            </w:tcBorders>
            <w:shd w:val="clear" w:color="000000" w:fill="0070C0"/>
            <w:hideMark/>
          </w:tcPr>
          <w:p w14:paraId="09DD2868" w14:textId="77777777" w:rsidR="00E24FEF" w:rsidRDefault="00E24FEF">
            <w:pPr>
              <w:jc w:val="center"/>
              <w:rPr>
                <w:b/>
                <w:bCs/>
                <w:noProof/>
                <w:color w:val="FFFFFF"/>
                <w:sz w:val="20"/>
                <w:szCs w:val="20"/>
              </w:rPr>
            </w:pPr>
            <w:r>
              <w:rPr>
                <w:b/>
                <w:bCs/>
                <w:noProof/>
                <w:color w:val="FFFFFF"/>
                <w:sz w:val="20"/>
                <w:szCs w:val="20"/>
              </w:rPr>
              <w:t>2040</w:t>
            </w:r>
          </w:p>
        </w:tc>
        <w:tc>
          <w:tcPr>
            <w:tcW w:w="256" w:type="pct"/>
            <w:tcBorders>
              <w:top w:val="nil"/>
              <w:left w:val="nil"/>
              <w:bottom w:val="single" w:sz="4" w:space="0" w:color="auto"/>
              <w:right w:val="single" w:sz="4" w:space="0" w:color="auto"/>
            </w:tcBorders>
            <w:shd w:val="clear" w:color="000000" w:fill="0070C0"/>
            <w:hideMark/>
          </w:tcPr>
          <w:p w14:paraId="0463C7F8" w14:textId="77777777" w:rsidR="00E24FEF" w:rsidRDefault="00E24FEF">
            <w:pPr>
              <w:jc w:val="center"/>
              <w:rPr>
                <w:b/>
                <w:bCs/>
                <w:noProof/>
                <w:color w:val="FFFFFF"/>
                <w:sz w:val="20"/>
                <w:szCs w:val="20"/>
              </w:rPr>
            </w:pPr>
            <w:r>
              <w:rPr>
                <w:b/>
                <w:bCs/>
                <w:noProof/>
                <w:color w:val="FFFFFF"/>
                <w:sz w:val="20"/>
                <w:szCs w:val="20"/>
              </w:rPr>
              <w:t>2050</w:t>
            </w:r>
          </w:p>
        </w:tc>
        <w:tc>
          <w:tcPr>
            <w:tcW w:w="256" w:type="pct"/>
            <w:tcBorders>
              <w:top w:val="nil"/>
              <w:left w:val="nil"/>
              <w:bottom w:val="single" w:sz="4" w:space="0" w:color="auto"/>
              <w:right w:val="single" w:sz="4" w:space="0" w:color="auto"/>
            </w:tcBorders>
            <w:shd w:val="clear" w:color="000000" w:fill="0070C0"/>
            <w:hideMark/>
          </w:tcPr>
          <w:p w14:paraId="02FB32B0" w14:textId="77777777" w:rsidR="00E24FEF" w:rsidRDefault="00E24FEF">
            <w:pPr>
              <w:jc w:val="center"/>
              <w:rPr>
                <w:b/>
                <w:bCs/>
                <w:noProof/>
                <w:color w:val="FFFFFF"/>
                <w:sz w:val="20"/>
                <w:szCs w:val="20"/>
              </w:rPr>
            </w:pPr>
            <w:r>
              <w:rPr>
                <w:b/>
                <w:bCs/>
                <w:noProof/>
                <w:color w:val="FFFFFF"/>
                <w:sz w:val="20"/>
                <w:szCs w:val="20"/>
              </w:rPr>
              <w:t>2028</w:t>
            </w:r>
          </w:p>
        </w:tc>
        <w:tc>
          <w:tcPr>
            <w:tcW w:w="256" w:type="pct"/>
            <w:tcBorders>
              <w:top w:val="nil"/>
              <w:left w:val="nil"/>
              <w:bottom w:val="single" w:sz="4" w:space="0" w:color="auto"/>
              <w:right w:val="single" w:sz="4" w:space="0" w:color="auto"/>
            </w:tcBorders>
            <w:shd w:val="clear" w:color="000000" w:fill="0070C0"/>
            <w:hideMark/>
          </w:tcPr>
          <w:p w14:paraId="79D44940" w14:textId="77777777" w:rsidR="00E24FEF" w:rsidRDefault="00E24FEF">
            <w:pPr>
              <w:jc w:val="center"/>
              <w:rPr>
                <w:b/>
                <w:bCs/>
                <w:noProof/>
                <w:color w:val="FFFFFF"/>
                <w:sz w:val="20"/>
                <w:szCs w:val="20"/>
              </w:rPr>
            </w:pPr>
            <w:r>
              <w:rPr>
                <w:b/>
                <w:bCs/>
                <w:noProof/>
                <w:color w:val="FFFFFF"/>
                <w:sz w:val="20"/>
                <w:szCs w:val="20"/>
              </w:rPr>
              <w:t>2030</w:t>
            </w:r>
          </w:p>
        </w:tc>
        <w:tc>
          <w:tcPr>
            <w:tcW w:w="256" w:type="pct"/>
            <w:tcBorders>
              <w:top w:val="nil"/>
              <w:left w:val="nil"/>
              <w:bottom w:val="single" w:sz="4" w:space="0" w:color="auto"/>
              <w:right w:val="single" w:sz="4" w:space="0" w:color="auto"/>
            </w:tcBorders>
            <w:shd w:val="clear" w:color="000000" w:fill="0070C0"/>
            <w:hideMark/>
          </w:tcPr>
          <w:p w14:paraId="600B08BF" w14:textId="77777777" w:rsidR="00E24FEF" w:rsidRDefault="00E24FEF">
            <w:pPr>
              <w:jc w:val="center"/>
              <w:rPr>
                <w:b/>
                <w:bCs/>
                <w:noProof/>
                <w:color w:val="FFFFFF"/>
                <w:sz w:val="20"/>
                <w:szCs w:val="20"/>
              </w:rPr>
            </w:pPr>
            <w:r>
              <w:rPr>
                <w:b/>
                <w:bCs/>
                <w:noProof/>
                <w:color w:val="FFFFFF"/>
                <w:sz w:val="20"/>
                <w:szCs w:val="20"/>
              </w:rPr>
              <w:t>2040</w:t>
            </w:r>
          </w:p>
        </w:tc>
        <w:tc>
          <w:tcPr>
            <w:tcW w:w="256" w:type="pct"/>
            <w:tcBorders>
              <w:top w:val="nil"/>
              <w:left w:val="nil"/>
              <w:bottom w:val="single" w:sz="4" w:space="0" w:color="auto"/>
              <w:right w:val="single" w:sz="4" w:space="0" w:color="auto"/>
            </w:tcBorders>
            <w:shd w:val="clear" w:color="000000" w:fill="0070C0"/>
            <w:hideMark/>
          </w:tcPr>
          <w:p w14:paraId="225B78E8" w14:textId="77777777" w:rsidR="00E24FEF" w:rsidRDefault="00E24FEF">
            <w:pPr>
              <w:jc w:val="center"/>
              <w:rPr>
                <w:b/>
                <w:bCs/>
                <w:noProof/>
                <w:color w:val="FFFFFF"/>
                <w:sz w:val="20"/>
                <w:szCs w:val="20"/>
              </w:rPr>
            </w:pPr>
            <w:r>
              <w:rPr>
                <w:b/>
                <w:bCs/>
                <w:noProof/>
                <w:color w:val="FFFFFF"/>
                <w:sz w:val="20"/>
                <w:szCs w:val="20"/>
              </w:rPr>
              <w:t>2050</w:t>
            </w:r>
          </w:p>
        </w:tc>
        <w:tc>
          <w:tcPr>
            <w:tcW w:w="256" w:type="pct"/>
            <w:tcBorders>
              <w:top w:val="nil"/>
              <w:left w:val="nil"/>
              <w:bottom w:val="single" w:sz="4" w:space="0" w:color="auto"/>
              <w:right w:val="single" w:sz="4" w:space="0" w:color="auto"/>
            </w:tcBorders>
            <w:shd w:val="clear" w:color="000000" w:fill="0070C0"/>
            <w:hideMark/>
          </w:tcPr>
          <w:p w14:paraId="2A3A16E0" w14:textId="77777777" w:rsidR="00E24FEF" w:rsidRDefault="00E24FEF">
            <w:pPr>
              <w:jc w:val="center"/>
              <w:rPr>
                <w:b/>
                <w:bCs/>
                <w:noProof/>
                <w:color w:val="FFFFFF"/>
                <w:sz w:val="20"/>
                <w:szCs w:val="20"/>
              </w:rPr>
            </w:pPr>
            <w:r>
              <w:rPr>
                <w:b/>
                <w:bCs/>
                <w:noProof/>
                <w:color w:val="FFFFFF"/>
                <w:sz w:val="20"/>
                <w:szCs w:val="20"/>
              </w:rPr>
              <w:t>2028</w:t>
            </w:r>
          </w:p>
        </w:tc>
        <w:tc>
          <w:tcPr>
            <w:tcW w:w="256" w:type="pct"/>
            <w:tcBorders>
              <w:top w:val="nil"/>
              <w:left w:val="nil"/>
              <w:bottom w:val="single" w:sz="4" w:space="0" w:color="auto"/>
              <w:right w:val="single" w:sz="4" w:space="0" w:color="auto"/>
            </w:tcBorders>
            <w:shd w:val="clear" w:color="000000" w:fill="0070C0"/>
            <w:hideMark/>
          </w:tcPr>
          <w:p w14:paraId="118C6ADE" w14:textId="77777777" w:rsidR="00E24FEF" w:rsidRDefault="00E24FEF">
            <w:pPr>
              <w:jc w:val="center"/>
              <w:rPr>
                <w:b/>
                <w:bCs/>
                <w:noProof/>
                <w:color w:val="FFFFFF"/>
                <w:sz w:val="20"/>
                <w:szCs w:val="20"/>
              </w:rPr>
            </w:pPr>
            <w:r>
              <w:rPr>
                <w:b/>
                <w:bCs/>
                <w:noProof/>
                <w:color w:val="FFFFFF"/>
                <w:sz w:val="20"/>
                <w:szCs w:val="20"/>
              </w:rPr>
              <w:t>2030</w:t>
            </w:r>
          </w:p>
        </w:tc>
        <w:tc>
          <w:tcPr>
            <w:tcW w:w="256" w:type="pct"/>
            <w:tcBorders>
              <w:top w:val="nil"/>
              <w:left w:val="nil"/>
              <w:bottom w:val="single" w:sz="4" w:space="0" w:color="auto"/>
              <w:right w:val="single" w:sz="4" w:space="0" w:color="auto"/>
            </w:tcBorders>
            <w:shd w:val="clear" w:color="000000" w:fill="0070C0"/>
            <w:hideMark/>
          </w:tcPr>
          <w:p w14:paraId="52EC71CE" w14:textId="77777777" w:rsidR="00E24FEF" w:rsidRDefault="00E24FEF">
            <w:pPr>
              <w:jc w:val="center"/>
              <w:rPr>
                <w:b/>
                <w:bCs/>
                <w:noProof/>
                <w:color w:val="FFFFFF"/>
                <w:sz w:val="20"/>
                <w:szCs w:val="20"/>
              </w:rPr>
            </w:pPr>
            <w:r>
              <w:rPr>
                <w:b/>
                <w:bCs/>
                <w:noProof/>
                <w:color w:val="FFFFFF"/>
                <w:sz w:val="20"/>
                <w:szCs w:val="20"/>
              </w:rPr>
              <w:t>2040</w:t>
            </w:r>
          </w:p>
        </w:tc>
        <w:tc>
          <w:tcPr>
            <w:tcW w:w="254" w:type="pct"/>
            <w:tcBorders>
              <w:top w:val="nil"/>
              <w:left w:val="nil"/>
              <w:bottom w:val="single" w:sz="4" w:space="0" w:color="auto"/>
              <w:right w:val="single" w:sz="4" w:space="0" w:color="auto"/>
            </w:tcBorders>
            <w:shd w:val="clear" w:color="000000" w:fill="0070C0"/>
            <w:hideMark/>
          </w:tcPr>
          <w:p w14:paraId="53D6DDA7" w14:textId="77777777" w:rsidR="00E24FEF" w:rsidRDefault="00E24FEF">
            <w:pPr>
              <w:jc w:val="center"/>
              <w:rPr>
                <w:b/>
                <w:bCs/>
                <w:noProof/>
                <w:color w:val="FFFFFF"/>
                <w:sz w:val="20"/>
                <w:szCs w:val="20"/>
              </w:rPr>
            </w:pPr>
            <w:r>
              <w:rPr>
                <w:b/>
                <w:bCs/>
                <w:noProof/>
                <w:color w:val="FFFFFF"/>
                <w:sz w:val="20"/>
                <w:szCs w:val="20"/>
              </w:rPr>
              <w:t>2050</w:t>
            </w:r>
          </w:p>
        </w:tc>
      </w:tr>
      <w:tr w:rsidR="00E24FEF" w14:paraId="27A5C360" w14:textId="77777777" w:rsidTr="0075278E">
        <w:trPr>
          <w:trHeight w:val="255"/>
        </w:trPr>
        <w:tc>
          <w:tcPr>
            <w:tcW w:w="906" w:type="pct"/>
            <w:tcBorders>
              <w:top w:val="nil"/>
              <w:left w:val="single" w:sz="4" w:space="0" w:color="auto"/>
              <w:bottom w:val="single" w:sz="4" w:space="0" w:color="auto"/>
              <w:right w:val="nil"/>
            </w:tcBorders>
            <w:shd w:val="clear" w:color="000000" w:fill="BDE3FF"/>
            <w:hideMark/>
          </w:tcPr>
          <w:p w14:paraId="41A45437" w14:textId="77777777" w:rsidR="00E24FEF" w:rsidRDefault="00E24FEF">
            <w:pPr>
              <w:rPr>
                <w:b/>
                <w:bCs/>
                <w:noProof/>
                <w:sz w:val="20"/>
                <w:szCs w:val="20"/>
              </w:rPr>
            </w:pPr>
            <w:r>
              <w:rPr>
                <w:b/>
                <w:bCs/>
                <w:noProof/>
                <w:sz w:val="20"/>
                <w:szCs w:val="20"/>
              </w:rPr>
              <w:t>Administrative costs</w:t>
            </w:r>
          </w:p>
        </w:tc>
        <w:tc>
          <w:tcPr>
            <w:tcW w:w="256" w:type="pct"/>
            <w:tcBorders>
              <w:top w:val="nil"/>
              <w:left w:val="single" w:sz="4" w:space="0" w:color="auto"/>
              <w:bottom w:val="single" w:sz="4" w:space="0" w:color="auto"/>
              <w:right w:val="single" w:sz="4" w:space="0" w:color="auto"/>
            </w:tcBorders>
            <w:shd w:val="clear" w:color="000000" w:fill="BDE3FF"/>
            <w:hideMark/>
          </w:tcPr>
          <w:p w14:paraId="583F9D18" w14:textId="77777777" w:rsidR="00E24FEF" w:rsidRDefault="00E24FEF">
            <w:pPr>
              <w:jc w:val="right"/>
              <w:rPr>
                <w:b/>
                <w:bCs/>
                <w:noProof/>
                <w:sz w:val="20"/>
                <w:szCs w:val="20"/>
              </w:rPr>
            </w:pPr>
            <w:r>
              <w:rPr>
                <w:b/>
                <w:bCs/>
                <w:noProof/>
                <w:sz w:val="20"/>
                <w:szCs w:val="20"/>
              </w:rPr>
              <w:t>3.1</w:t>
            </w:r>
          </w:p>
        </w:tc>
        <w:tc>
          <w:tcPr>
            <w:tcW w:w="256" w:type="pct"/>
            <w:tcBorders>
              <w:top w:val="nil"/>
              <w:left w:val="nil"/>
              <w:bottom w:val="single" w:sz="4" w:space="0" w:color="auto"/>
              <w:right w:val="single" w:sz="4" w:space="0" w:color="auto"/>
            </w:tcBorders>
            <w:shd w:val="clear" w:color="000000" w:fill="BDE3FF"/>
            <w:hideMark/>
          </w:tcPr>
          <w:p w14:paraId="1B7A76C4" w14:textId="77777777" w:rsidR="00E24FEF" w:rsidRDefault="00E24FEF">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442AF6E6" w14:textId="77777777" w:rsidR="00E24FEF" w:rsidRDefault="00E24FEF">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3F4EAA26" w14:textId="77777777" w:rsidR="00E24FEF" w:rsidRDefault="00E24FEF">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47E2506A" w14:textId="77777777" w:rsidR="00E24FEF" w:rsidRDefault="00E24FEF">
            <w:pPr>
              <w:jc w:val="right"/>
              <w:rPr>
                <w:b/>
                <w:bCs/>
                <w:noProof/>
                <w:sz w:val="20"/>
                <w:szCs w:val="20"/>
              </w:rPr>
            </w:pPr>
            <w:r>
              <w:rPr>
                <w:b/>
                <w:bCs/>
                <w:noProof/>
                <w:sz w:val="20"/>
                <w:szCs w:val="20"/>
              </w:rPr>
              <w:t>3.1</w:t>
            </w:r>
          </w:p>
        </w:tc>
        <w:tc>
          <w:tcPr>
            <w:tcW w:w="256" w:type="pct"/>
            <w:tcBorders>
              <w:top w:val="nil"/>
              <w:left w:val="nil"/>
              <w:bottom w:val="single" w:sz="4" w:space="0" w:color="auto"/>
              <w:right w:val="single" w:sz="4" w:space="0" w:color="auto"/>
            </w:tcBorders>
            <w:shd w:val="clear" w:color="000000" w:fill="BDE3FF"/>
            <w:hideMark/>
          </w:tcPr>
          <w:p w14:paraId="5033DFD4" w14:textId="77777777" w:rsidR="00E24FEF" w:rsidRDefault="00E24FEF">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711EA260" w14:textId="77777777" w:rsidR="00E24FEF" w:rsidRDefault="00E24FEF">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3F483F53" w14:textId="77777777" w:rsidR="00E24FEF" w:rsidRDefault="00E24FEF">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51B23622" w14:textId="77777777" w:rsidR="00E24FEF" w:rsidRDefault="00E24FEF">
            <w:pPr>
              <w:jc w:val="right"/>
              <w:rPr>
                <w:b/>
                <w:bCs/>
                <w:noProof/>
                <w:sz w:val="20"/>
                <w:szCs w:val="20"/>
              </w:rPr>
            </w:pPr>
            <w:r>
              <w:rPr>
                <w:b/>
                <w:bCs/>
                <w:noProof/>
                <w:sz w:val="20"/>
                <w:szCs w:val="20"/>
              </w:rPr>
              <w:t>3.1</w:t>
            </w:r>
          </w:p>
        </w:tc>
        <w:tc>
          <w:tcPr>
            <w:tcW w:w="256" w:type="pct"/>
            <w:tcBorders>
              <w:top w:val="nil"/>
              <w:left w:val="nil"/>
              <w:bottom w:val="single" w:sz="4" w:space="0" w:color="auto"/>
              <w:right w:val="single" w:sz="4" w:space="0" w:color="auto"/>
            </w:tcBorders>
            <w:shd w:val="clear" w:color="000000" w:fill="BDE3FF"/>
            <w:hideMark/>
          </w:tcPr>
          <w:p w14:paraId="3CD38E2B" w14:textId="77777777" w:rsidR="00E24FEF" w:rsidRDefault="00E24FEF">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1B01DCF8" w14:textId="77777777" w:rsidR="00E24FEF" w:rsidRDefault="00E24FEF">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3186C54D" w14:textId="77777777" w:rsidR="00E24FEF" w:rsidRDefault="00E24FEF">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1A4BDF16" w14:textId="77777777" w:rsidR="00E24FEF" w:rsidRDefault="00E24FEF">
            <w:pPr>
              <w:jc w:val="right"/>
              <w:rPr>
                <w:b/>
                <w:bCs/>
                <w:noProof/>
                <w:sz w:val="20"/>
                <w:szCs w:val="20"/>
              </w:rPr>
            </w:pPr>
            <w:r>
              <w:rPr>
                <w:b/>
                <w:bCs/>
                <w:noProof/>
                <w:sz w:val="20"/>
                <w:szCs w:val="20"/>
              </w:rPr>
              <w:t>3.1</w:t>
            </w:r>
          </w:p>
        </w:tc>
        <w:tc>
          <w:tcPr>
            <w:tcW w:w="256" w:type="pct"/>
            <w:tcBorders>
              <w:top w:val="nil"/>
              <w:left w:val="nil"/>
              <w:bottom w:val="single" w:sz="4" w:space="0" w:color="auto"/>
              <w:right w:val="single" w:sz="4" w:space="0" w:color="auto"/>
            </w:tcBorders>
            <w:shd w:val="clear" w:color="000000" w:fill="BDE3FF"/>
            <w:hideMark/>
          </w:tcPr>
          <w:p w14:paraId="6BBA06BD" w14:textId="77777777" w:rsidR="00E24FEF" w:rsidRDefault="00E24FEF">
            <w:pPr>
              <w:jc w:val="right"/>
              <w:rPr>
                <w:b/>
                <w:bCs/>
                <w:noProof/>
                <w:sz w:val="20"/>
                <w:szCs w:val="20"/>
              </w:rPr>
            </w:pPr>
            <w:r>
              <w:rPr>
                <w:b/>
                <w:bCs/>
                <w:noProof/>
                <w:sz w:val="20"/>
                <w:szCs w:val="20"/>
              </w:rPr>
              <w:t>0.0</w:t>
            </w:r>
          </w:p>
        </w:tc>
        <w:tc>
          <w:tcPr>
            <w:tcW w:w="256" w:type="pct"/>
            <w:tcBorders>
              <w:top w:val="nil"/>
              <w:left w:val="nil"/>
              <w:bottom w:val="single" w:sz="4" w:space="0" w:color="auto"/>
              <w:right w:val="single" w:sz="4" w:space="0" w:color="auto"/>
            </w:tcBorders>
            <w:shd w:val="clear" w:color="000000" w:fill="BDE3FF"/>
            <w:hideMark/>
          </w:tcPr>
          <w:p w14:paraId="5AA15FE5" w14:textId="77777777" w:rsidR="00E24FEF" w:rsidRDefault="00E24FEF">
            <w:pPr>
              <w:jc w:val="right"/>
              <w:rPr>
                <w:b/>
                <w:bCs/>
                <w:noProof/>
                <w:sz w:val="20"/>
                <w:szCs w:val="20"/>
              </w:rPr>
            </w:pPr>
            <w:r>
              <w:rPr>
                <w:b/>
                <w:bCs/>
                <w:noProof/>
                <w:sz w:val="20"/>
                <w:szCs w:val="20"/>
              </w:rPr>
              <w:t>0.0</w:t>
            </w:r>
          </w:p>
        </w:tc>
        <w:tc>
          <w:tcPr>
            <w:tcW w:w="254" w:type="pct"/>
            <w:tcBorders>
              <w:top w:val="nil"/>
              <w:left w:val="nil"/>
              <w:bottom w:val="single" w:sz="4" w:space="0" w:color="auto"/>
              <w:right w:val="single" w:sz="4" w:space="0" w:color="auto"/>
            </w:tcBorders>
            <w:shd w:val="clear" w:color="000000" w:fill="BDE3FF"/>
            <w:hideMark/>
          </w:tcPr>
          <w:p w14:paraId="7BE8A8EF" w14:textId="77777777" w:rsidR="00E24FEF" w:rsidRDefault="00E24FEF">
            <w:pPr>
              <w:jc w:val="right"/>
              <w:rPr>
                <w:b/>
                <w:bCs/>
                <w:noProof/>
                <w:sz w:val="20"/>
                <w:szCs w:val="20"/>
              </w:rPr>
            </w:pPr>
            <w:r>
              <w:rPr>
                <w:b/>
                <w:bCs/>
                <w:noProof/>
                <w:sz w:val="20"/>
                <w:szCs w:val="20"/>
              </w:rPr>
              <w:t>0.0</w:t>
            </w:r>
          </w:p>
        </w:tc>
      </w:tr>
      <w:tr w:rsidR="0034345E" w14:paraId="19A926D4" w14:textId="77777777" w:rsidTr="00E24FEF">
        <w:trPr>
          <w:trHeight w:val="525"/>
        </w:trPr>
        <w:tc>
          <w:tcPr>
            <w:tcW w:w="906" w:type="pct"/>
            <w:tcBorders>
              <w:top w:val="nil"/>
              <w:left w:val="single" w:sz="4" w:space="0" w:color="auto"/>
              <w:bottom w:val="single" w:sz="4" w:space="0" w:color="auto"/>
              <w:right w:val="single" w:sz="4" w:space="0" w:color="auto"/>
            </w:tcBorders>
            <w:hideMark/>
          </w:tcPr>
          <w:p w14:paraId="79036AC4" w14:textId="77777777" w:rsidR="00E24FEF" w:rsidRDefault="00E24FEF">
            <w:pPr>
              <w:rPr>
                <w:noProof/>
                <w:color w:val="000000"/>
                <w:sz w:val="20"/>
                <w:szCs w:val="20"/>
              </w:rPr>
            </w:pPr>
            <w:r>
              <w:rPr>
                <w:noProof/>
                <w:color w:val="000000"/>
                <w:sz w:val="20"/>
                <w:szCs w:val="20"/>
              </w:rPr>
              <w:t>PM10 (Designation of indispensable MDMS and RUs)</w:t>
            </w:r>
          </w:p>
        </w:tc>
        <w:tc>
          <w:tcPr>
            <w:tcW w:w="256" w:type="pct"/>
            <w:tcBorders>
              <w:top w:val="nil"/>
              <w:left w:val="nil"/>
              <w:bottom w:val="single" w:sz="4" w:space="0" w:color="auto"/>
              <w:right w:val="single" w:sz="4" w:space="0" w:color="auto"/>
            </w:tcBorders>
            <w:shd w:val="clear" w:color="000000" w:fill="FFFFFF"/>
            <w:noWrap/>
            <w:hideMark/>
          </w:tcPr>
          <w:p w14:paraId="1323E30F" w14:textId="77777777" w:rsidR="00E24FEF" w:rsidRDefault="00E24FEF">
            <w:pPr>
              <w:jc w:val="right"/>
              <w:rPr>
                <w:noProof/>
                <w:color w:val="000000"/>
                <w:sz w:val="20"/>
                <w:szCs w:val="20"/>
              </w:rPr>
            </w:pPr>
            <w:r>
              <w:rPr>
                <w:noProof/>
                <w:color w:val="000000"/>
                <w:sz w:val="20"/>
                <w:szCs w:val="20"/>
              </w:rPr>
              <w:t>3.1</w:t>
            </w:r>
          </w:p>
        </w:tc>
        <w:tc>
          <w:tcPr>
            <w:tcW w:w="256" w:type="pct"/>
            <w:tcBorders>
              <w:top w:val="nil"/>
              <w:left w:val="nil"/>
              <w:bottom w:val="single" w:sz="4" w:space="0" w:color="auto"/>
              <w:right w:val="single" w:sz="4" w:space="0" w:color="auto"/>
            </w:tcBorders>
            <w:shd w:val="clear" w:color="000000" w:fill="FFFFFF"/>
            <w:noWrap/>
            <w:hideMark/>
          </w:tcPr>
          <w:p w14:paraId="62CA61AE" w14:textId="77777777" w:rsidR="00E24FEF" w:rsidRDefault="00E24FEF">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09124900" w14:textId="77777777" w:rsidR="00E24FEF" w:rsidRDefault="00E24FEF">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1D8730FC" w14:textId="77777777" w:rsidR="00E24FEF" w:rsidRDefault="00E24FEF">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666EFEEC" w14:textId="77777777" w:rsidR="00E24FEF" w:rsidRDefault="00E24FEF">
            <w:pPr>
              <w:jc w:val="right"/>
              <w:rPr>
                <w:noProof/>
                <w:color w:val="000000"/>
                <w:sz w:val="20"/>
                <w:szCs w:val="20"/>
              </w:rPr>
            </w:pPr>
            <w:r>
              <w:rPr>
                <w:noProof/>
                <w:color w:val="000000"/>
                <w:sz w:val="20"/>
                <w:szCs w:val="20"/>
              </w:rPr>
              <w:t>3.1</w:t>
            </w:r>
          </w:p>
        </w:tc>
        <w:tc>
          <w:tcPr>
            <w:tcW w:w="256" w:type="pct"/>
            <w:tcBorders>
              <w:top w:val="nil"/>
              <w:left w:val="nil"/>
              <w:bottom w:val="single" w:sz="4" w:space="0" w:color="auto"/>
              <w:right w:val="single" w:sz="4" w:space="0" w:color="auto"/>
            </w:tcBorders>
            <w:shd w:val="clear" w:color="000000" w:fill="FFFFFF"/>
            <w:noWrap/>
            <w:hideMark/>
          </w:tcPr>
          <w:p w14:paraId="4B369999" w14:textId="77777777" w:rsidR="00E24FEF" w:rsidRDefault="00E24FEF">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08AF51B6" w14:textId="77777777" w:rsidR="00E24FEF" w:rsidRDefault="00E24FEF">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48DE5F66" w14:textId="77777777" w:rsidR="00E24FEF" w:rsidRDefault="00E24FEF">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15FEB34F" w14:textId="77777777" w:rsidR="00E24FEF" w:rsidRDefault="00E24FEF">
            <w:pPr>
              <w:jc w:val="right"/>
              <w:rPr>
                <w:noProof/>
                <w:color w:val="000000"/>
                <w:sz w:val="20"/>
                <w:szCs w:val="20"/>
              </w:rPr>
            </w:pPr>
            <w:r>
              <w:rPr>
                <w:noProof/>
                <w:color w:val="000000"/>
                <w:sz w:val="20"/>
                <w:szCs w:val="20"/>
              </w:rPr>
              <w:t>3.1</w:t>
            </w:r>
          </w:p>
        </w:tc>
        <w:tc>
          <w:tcPr>
            <w:tcW w:w="256" w:type="pct"/>
            <w:tcBorders>
              <w:top w:val="nil"/>
              <w:left w:val="nil"/>
              <w:bottom w:val="single" w:sz="4" w:space="0" w:color="auto"/>
              <w:right w:val="single" w:sz="4" w:space="0" w:color="auto"/>
            </w:tcBorders>
            <w:shd w:val="clear" w:color="000000" w:fill="FFFFFF"/>
            <w:noWrap/>
            <w:hideMark/>
          </w:tcPr>
          <w:p w14:paraId="67319CB6" w14:textId="77777777" w:rsidR="00E24FEF" w:rsidRDefault="00E24FEF">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7555E91A" w14:textId="77777777" w:rsidR="00E24FEF" w:rsidRDefault="00E24FEF">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7BDC755D" w14:textId="77777777" w:rsidR="00E24FEF" w:rsidRDefault="00E24FEF">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538F78C7" w14:textId="77777777" w:rsidR="00E24FEF" w:rsidRDefault="00E24FEF">
            <w:pPr>
              <w:jc w:val="right"/>
              <w:rPr>
                <w:noProof/>
                <w:color w:val="000000"/>
                <w:sz w:val="20"/>
                <w:szCs w:val="20"/>
              </w:rPr>
            </w:pPr>
            <w:r>
              <w:rPr>
                <w:noProof/>
                <w:color w:val="000000"/>
                <w:sz w:val="20"/>
                <w:szCs w:val="20"/>
              </w:rPr>
              <w:t>3.1</w:t>
            </w:r>
          </w:p>
        </w:tc>
        <w:tc>
          <w:tcPr>
            <w:tcW w:w="256" w:type="pct"/>
            <w:tcBorders>
              <w:top w:val="nil"/>
              <w:left w:val="nil"/>
              <w:bottom w:val="single" w:sz="4" w:space="0" w:color="auto"/>
              <w:right w:val="single" w:sz="4" w:space="0" w:color="auto"/>
            </w:tcBorders>
            <w:shd w:val="clear" w:color="000000" w:fill="FFFFFF"/>
            <w:noWrap/>
            <w:hideMark/>
          </w:tcPr>
          <w:p w14:paraId="42195E35" w14:textId="77777777" w:rsidR="00E24FEF" w:rsidRDefault="00E24FEF">
            <w:pPr>
              <w:jc w:val="right"/>
              <w:rPr>
                <w:noProof/>
                <w:color w:val="000000"/>
                <w:sz w:val="20"/>
                <w:szCs w:val="20"/>
              </w:rPr>
            </w:pPr>
            <w:r>
              <w:rPr>
                <w:noProof/>
                <w:color w:val="000000"/>
                <w:sz w:val="20"/>
                <w:szCs w:val="20"/>
              </w:rPr>
              <w:t>0.0</w:t>
            </w:r>
          </w:p>
        </w:tc>
        <w:tc>
          <w:tcPr>
            <w:tcW w:w="256" w:type="pct"/>
            <w:tcBorders>
              <w:top w:val="nil"/>
              <w:left w:val="nil"/>
              <w:bottom w:val="single" w:sz="4" w:space="0" w:color="auto"/>
              <w:right w:val="single" w:sz="4" w:space="0" w:color="auto"/>
            </w:tcBorders>
            <w:shd w:val="clear" w:color="000000" w:fill="FFFFFF"/>
            <w:noWrap/>
            <w:hideMark/>
          </w:tcPr>
          <w:p w14:paraId="623FF104" w14:textId="77777777" w:rsidR="00E24FEF" w:rsidRDefault="00E24FEF">
            <w:pPr>
              <w:jc w:val="right"/>
              <w:rPr>
                <w:noProof/>
                <w:color w:val="000000"/>
                <w:sz w:val="20"/>
                <w:szCs w:val="20"/>
              </w:rPr>
            </w:pPr>
            <w:r>
              <w:rPr>
                <w:noProof/>
                <w:color w:val="000000"/>
                <w:sz w:val="20"/>
                <w:szCs w:val="20"/>
              </w:rPr>
              <w:t>0.0</w:t>
            </w:r>
          </w:p>
        </w:tc>
        <w:tc>
          <w:tcPr>
            <w:tcW w:w="254" w:type="pct"/>
            <w:tcBorders>
              <w:top w:val="nil"/>
              <w:left w:val="nil"/>
              <w:bottom w:val="single" w:sz="4" w:space="0" w:color="auto"/>
              <w:right w:val="single" w:sz="4" w:space="0" w:color="auto"/>
            </w:tcBorders>
            <w:shd w:val="clear" w:color="000000" w:fill="FFFFFF"/>
            <w:noWrap/>
            <w:hideMark/>
          </w:tcPr>
          <w:p w14:paraId="4A0E1785" w14:textId="77777777" w:rsidR="00E24FEF" w:rsidRDefault="00E24FEF">
            <w:pPr>
              <w:jc w:val="right"/>
              <w:rPr>
                <w:noProof/>
                <w:color w:val="000000"/>
                <w:sz w:val="20"/>
                <w:szCs w:val="20"/>
              </w:rPr>
            </w:pPr>
            <w:r>
              <w:rPr>
                <w:noProof/>
                <w:color w:val="000000"/>
                <w:sz w:val="20"/>
                <w:szCs w:val="20"/>
              </w:rPr>
              <w:t>0.0</w:t>
            </w:r>
          </w:p>
        </w:tc>
      </w:tr>
      <w:tr w:rsidR="00E24FEF" w14:paraId="6F723153" w14:textId="77777777" w:rsidTr="0075278E">
        <w:trPr>
          <w:trHeight w:val="255"/>
        </w:trPr>
        <w:tc>
          <w:tcPr>
            <w:tcW w:w="906" w:type="pct"/>
            <w:tcBorders>
              <w:top w:val="nil"/>
              <w:left w:val="single" w:sz="4" w:space="0" w:color="auto"/>
              <w:bottom w:val="single" w:sz="4" w:space="0" w:color="auto"/>
              <w:right w:val="single" w:sz="4" w:space="0" w:color="auto"/>
            </w:tcBorders>
            <w:shd w:val="clear" w:color="000000" w:fill="F2F2F2"/>
            <w:noWrap/>
            <w:hideMark/>
          </w:tcPr>
          <w:p w14:paraId="094360DF" w14:textId="69321A2C" w:rsidR="00E24FEF" w:rsidRDefault="00C543DB">
            <w:pPr>
              <w:rPr>
                <w:b/>
                <w:bCs/>
                <w:noProof/>
                <w:color w:val="000000"/>
                <w:sz w:val="20"/>
                <w:szCs w:val="20"/>
              </w:rPr>
            </w:pPr>
            <w:r>
              <w:rPr>
                <w:b/>
                <w:bCs/>
                <w:noProof/>
                <w:color w:val="000000"/>
                <w:sz w:val="20"/>
                <w:szCs w:val="20"/>
              </w:rPr>
              <w:t>Total one-off costs</w:t>
            </w:r>
          </w:p>
        </w:tc>
        <w:tc>
          <w:tcPr>
            <w:tcW w:w="256" w:type="pct"/>
            <w:tcBorders>
              <w:top w:val="nil"/>
              <w:left w:val="nil"/>
              <w:bottom w:val="single" w:sz="4" w:space="0" w:color="auto"/>
              <w:right w:val="single" w:sz="4" w:space="0" w:color="auto"/>
            </w:tcBorders>
            <w:shd w:val="clear" w:color="000000" w:fill="F2F2F2"/>
            <w:noWrap/>
            <w:hideMark/>
          </w:tcPr>
          <w:p w14:paraId="78E7F3EB" w14:textId="77777777" w:rsidR="00E24FEF" w:rsidRDefault="00E24FEF">
            <w:pPr>
              <w:jc w:val="right"/>
              <w:rPr>
                <w:b/>
                <w:bCs/>
                <w:noProof/>
                <w:color w:val="000000"/>
                <w:sz w:val="20"/>
                <w:szCs w:val="20"/>
              </w:rPr>
            </w:pPr>
            <w:r>
              <w:rPr>
                <w:b/>
                <w:bCs/>
                <w:noProof/>
                <w:color w:val="000000"/>
                <w:sz w:val="20"/>
                <w:szCs w:val="20"/>
              </w:rPr>
              <w:t>3.1</w:t>
            </w:r>
          </w:p>
        </w:tc>
        <w:tc>
          <w:tcPr>
            <w:tcW w:w="256" w:type="pct"/>
            <w:tcBorders>
              <w:top w:val="nil"/>
              <w:left w:val="nil"/>
              <w:bottom w:val="single" w:sz="4" w:space="0" w:color="auto"/>
              <w:right w:val="single" w:sz="4" w:space="0" w:color="auto"/>
            </w:tcBorders>
            <w:shd w:val="clear" w:color="000000" w:fill="F2F2F2"/>
            <w:noWrap/>
            <w:hideMark/>
          </w:tcPr>
          <w:p w14:paraId="75858550" w14:textId="77777777" w:rsidR="00E24FEF" w:rsidRDefault="00E24FEF">
            <w:pPr>
              <w:jc w:val="right"/>
              <w:rPr>
                <w:b/>
                <w:bCs/>
                <w:noProof/>
                <w:color w:val="000000"/>
                <w:sz w:val="20"/>
                <w:szCs w:val="20"/>
              </w:rPr>
            </w:pPr>
            <w:r>
              <w:rPr>
                <w:b/>
                <w:bCs/>
                <w:noProof/>
                <w:color w:val="000000"/>
                <w:sz w:val="20"/>
                <w:szCs w:val="20"/>
              </w:rPr>
              <w:t>0.0</w:t>
            </w:r>
          </w:p>
        </w:tc>
        <w:tc>
          <w:tcPr>
            <w:tcW w:w="256" w:type="pct"/>
            <w:tcBorders>
              <w:top w:val="nil"/>
              <w:left w:val="nil"/>
              <w:bottom w:val="single" w:sz="4" w:space="0" w:color="auto"/>
              <w:right w:val="single" w:sz="4" w:space="0" w:color="auto"/>
            </w:tcBorders>
            <w:shd w:val="clear" w:color="000000" w:fill="F2F2F2"/>
            <w:noWrap/>
            <w:hideMark/>
          </w:tcPr>
          <w:p w14:paraId="1E585383" w14:textId="77777777" w:rsidR="00E24FEF" w:rsidRDefault="00E24FEF">
            <w:pPr>
              <w:jc w:val="right"/>
              <w:rPr>
                <w:b/>
                <w:bCs/>
                <w:noProof/>
                <w:color w:val="000000"/>
                <w:sz w:val="20"/>
                <w:szCs w:val="20"/>
              </w:rPr>
            </w:pPr>
            <w:r>
              <w:rPr>
                <w:b/>
                <w:bCs/>
                <w:noProof/>
                <w:color w:val="000000"/>
                <w:sz w:val="20"/>
                <w:szCs w:val="20"/>
              </w:rPr>
              <w:t>0.0</w:t>
            </w:r>
          </w:p>
        </w:tc>
        <w:tc>
          <w:tcPr>
            <w:tcW w:w="256" w:type="pct"/>
            <w:tcBorders>
              <w:top w:val="nil"/>
              <w:left w:val="nil"/>
              <w:bottom w:val="single" w:sz="4" w:space="0" w:color="auto"/>
              <w:right w:val="single" w:sz="4" w:space="0" w:color="auto"/>
            </w:tcBorders>
            <w:shd w:val="clear" w:color="000000" w:fill="F2F2F2"/>
            <w:noWrap/>
            <w:hideMark/>
          </w:tcPr>
          <w:p w14:paraId="3D888F66" w14:textId="77777777" w:rsidR="00E24FEF" w:rsidRDefault="00E24FEF">
            <w:pPr>
              <w:jc w:val="right"/>
              <w:rPr>
                <w:b/>
                <w:bCs/>
                <w:noProof/>
                <w:color w:val="000000"/>
                <w:sz w:val="20"/>
                <w:szCs w:val="20"/>
              </w:rPr>
            </w:pPr>
            <w:r>
              <w:rPr>
                <w:b/>
                <w:bCs/>
                <w:noProof/>
                <w:color w:val="000000"/>
                <w:sz w:val="20"/>
                <w:szCs w:val="20"/>
              </w:rPr>
              <w:t>0.0</w:t>
            </w:r>
          </w:p>
        </w:tc>
        <w:tc>
          <w:tcPr>
            <w:tcW w:w="256" w:type="pct"/>
            <w:tcBorders>
              <w:top w:val="nil"/>
              <w:left w:val="nil"/>
              <w:bottom w:val="single" w:sz="4" w:space="0" w:color="auto"/>
              <w:right w:val="single" w:sz="4" w:space="0" w:color="auto"/>
            </w:tcBorders>
            <w:shd w:val="clear" w:color="000000" w:fill="F2F2F2"/>
            <w:noWrap/>
            <w:hideMark/>
          </w:tcPr>
          <w:p w14:paraId="3AF2087B" w14:textId="77777777" w:rsidR="00E24FEF" w:rsidRDefault="00E24FEF">
            <w:pPr>
              <w:jc w:val="right"/>
              <w:rPr>
                <w:b/>
                <w:bCs/>
                <w:noProof/>
                <w:color w:val="000000"/>
                <w:sz w:val="20"/>
                <w:szCs w:val="20"/>
              </w:rPr>
            </w:pPr>
            <w:r>
              <w:rPr>
                <w:b/>
                <w:bCs/>
                <w:noProof/>
                <w:color w:val="000000"/>
                <w:sz w:val="20"/>
                <w:szCs w:val="20"/>
              </w:rPr>
              <w:t>3.1</w:t>
            </w:r>
          </w:p>
        </w:tc>
        <w:tc>
          <w:tcPr>
            <w:tcW w:w="256" w:type="pct"/>
            <w:tcBorders>
              <w:top w:val="nil"/>
              <w:left w:val="nil"/>
              <w:bottom w:val="single" w:sz="4" w:space="0" w:color="auto"/>
              <w:right w:val="single" w:sz="4" w:space="0" w:color="auto"/>
            </w:tcBorders>
            <w:shd w:val="clear" w:color="000000" w:fill="F2F2F2"/>
            <w:noWrap/>
            <w:hideMark/>
          </w:tcPr>
          <w:p w14:paraId="723C3B03" w14:textId="77777777" w:rsidR="00E24FEF" w:rsidRDefault="00E24FEF">
            <w:pPr>
              <w:jc w:val="right"/>
              <w:rPr>
                <w:b/>
                <w:bCs/>
                <w:noProof/>
                <w:color w:val="000000"/>
                <w:sz w:val="20"/>
                <w:szCs w:val="20"/>
              </w:rPr>
            </w:pPr>
            <w:r>
              <w:rPr>
                <w:b/>
                <w:bCs/>
                <w:noProof/>
                <w:color w:val="000000"/>
                <w:sz w:val="20"/>
                <w:szCs w:val="20"/>
              </w:rPr>
              <w:t>0.0</w:t>
            </w:r>
          </w:p>
        </w:tc>
        <w:tc>
          <w:tcPr>
            <w:tcW w:w="256" w:type="pct"/>
            <w:tcBorders>
              <w:top w:val="nil"/>
              <w:left w:val="nil"/>
              <w:bottom w:val="single" w:sz="4" w:space="0" w:color="auto"/>
              <w:right w:val="single" w:sz="4" w:space="0" w:color="auto"/>
            </w:tcBorders>
            <w:shd w:val="clear" w:color="000000" w:fill="F2F2F2"/>
            <w:noWrap/>
            <w:hideMark/>
          </w:tcPr>
          <w:p w14:paraId="0BB0C440" w14:textId="77777777" w:rsidR="00E24FEF" w:rsidRDefault="00E24FEF">
            <w:pPr>
              <w:jc w:val="right"/>
              <w:rPr>
                <w:b/>
                <w:bCs/>
                <w:noProof/>
                <w:color w:val="000000"/>
                <w:sz w:val="20"/>
                <w:szCs w:val="20"/>
              </w:rPr>
            </w:pPr>
            <w:r>
              <w:rPr>
                <w:b/>
                <w:bCs/>
                <w:noProof/>
                <w:color w:val="000000"/>
                <w:sz w:val="20"/>
                <w:szCs w:val="20"/>
              </w:rPr>
              <w:t>0.0</w:t>
            </w:r>
          </w:p>
        </w:tc>
        <w:tc>
          <w:tcPr>
            <w:tcW w:w="256" w:type="pct"/>
            <w:tcBorders>
              <w:top w:val="nil"/>
              <w:left w:val="nil"/>
              <w:bottom w:val="single" w:sz="4" w:space="0" w:color="auto"/>
              <w:right w:val="single" w:sz="4" w:space="0" w:color="auto"/>
            </w:tcBorders>
            <w:shd w:val="clear" w:color="000000" w:fill="F2F2F2"/>
            <w:noWrap/>
            <w:hideMark/>
          </w:tcPr>
          <w:p w14:paraId="17657CEE" w14:textId="77777777" w:rsidR="00E24FEF" w:rsidRDefault="00E24FEF">
            <w:pPr>
              <w:jc w:val="right"/>
              <w:rPr>
                <w:b/>
                <w:bCs/>
                <w:noProof/>
                <w:color w:val="000000"/>
                <w:sz w:val="20"/>
                <w:szCs w:val="20"/>
              </w:rPr>
            </w:pPr>
            <w:r>
              <w:rPr>
                <w:b/>
                <w:bCs/>
                <w:noProof/>
                <w:color w:val="000000"/>
                <w:sz w:val="20"/>
                <w:szCs w:val="20"/>
              </w:rPr>
              <w:t>0.0</w:t>
            </w:r>
          </w:p>
        </w:tc>
        <w:tc>
          <w:tcPr>
            <w:tcW w:w="256" w:type="pct"/>
            <w:tcBorders>
              <w:top w:val="nil"/>
              <w:left w:val="nil"/>
              <w:bottom w:val="single" w:sz="4" w:space="0" w:color="auto"/>
              <w:right w:val="single" w:sz="4" w:space="0" w:color="auto"/>
            </w:tcBorders>
            <w:shd w:val="clear" w:color="000000" w:fill="F2F2F2"/>
            <w:noWrap/>
            <w:hideMark/>
          </w:tcPr>
          <w:p w14:paraId="2B767A59" w14:textId="77777777" w:rsidR="00E24FEF" w:rsidRDefault="00E24FEF">
            <w:pPr>
              <w:jc w:val="right"/>
              <w:rPr>
                <w:b/>
                <w:bCs/>
                <w:noProof/>
                <w:color w:val="000000"/>
                <w:sz w:val="20"/>
                <w:szCs w:val="20"/>
              </w:rPr>
            </w:pPr>
            <w:r>
              <w:rPr>
                <w:b/>
                <w:bCs/>
                <w:noProof/>
                <w:color w:val="000000"/>
                <w:sz w:val="20"/>
                <w:szCs w:val="20"/>
              </w:rPr>
              <w:t>3.1</w:t>
            </w:r>
          </w:p>
        </w:tc>
        <w:tc>
          <w:tcPr>
            <w:tcW w:w="256" w:type="pct"/>
            <w:tcBorders>
              <w:top w:val="nil"/>
              <w:left w:val="nil"/>
              <w:bottom w:val="single" w:sz="4" w:space="0" w:color="auto"/>
              <w:right w:val="single" w:sz="4" w:space="0" w:color="auto"/>
            </w:tcBorders>
            <w:shd w:val="clear" w:color="000000" w:fill="F2F2F2"/>
            <w:noWrap/>
            <w:hideMark/>
          </w:tcPr>
          <w:p w14:paraId="7B407189" w14:textId="77777777" w:rsidR="00E24FEF" w:rsidRDefault="00E24FEF">
            <w:pPr>
              <w:jc w:val="right"/>
              <w:rPr>
                <w:b/>
                <w:bCs/>
                <w:noProof/>
                <w:color w:val="000000"/>
                <w:sz w:val="20"/>
                <w:szCs w:val="20"/>
              </w:rPr>
            </w:pPr>
            <w:r>
              <w:rPr>
                <w:b/>
                <w:bCs/>
                <w:noProof/>
                <w:color w:val="000000"/>
                <w:sz w:val="20"/>
                <w:szCs w:val="20"/>
              </w:rPr>
              <w:t>0.0</w:t>
            </w:r>
          </w:p>
        </w:tc>
        <w:tc>
          <w:tcPr>
            <w:tcW w:w="256" w:type="pct"/>
            <w:tcBorders>
              <w:top w:val="nil"/>
              <w:left w:val="nil"/>
              <w:bottom w:val="single" w:sz="4" w:space="0" w:color="auto"/>
              <w:right w:val="single" w:sz="4" w:space="0" w:color="auto"/>
            </w:tcBorders>
            <w:shd w:val="clear" w:color="000000" w:fill="F2F2F2"/>
            <w:noWrap/>
            <w:hideMark/>
          </w:tcPr>
          <w:p w14:paraId="7250805D" w14:textId="77777777" w:rsidR="00E24FEF" w:rsidRDefault="00E24FEF">
            <w:pPr>
              <w:jc w:val="right"/>
              <w:rPr>
                <w:b/>
                <w:bCs/>
                <w:noProof/>
                <w:color w:val="000000"/>
                <w:sz w:val="20"/>
                <w:szCs w:val="20"/>
              </w:rPr>
            </w:pPr>
            <w:r>
              <w:rPr>
                <w:b/>
                <w:bCs/>
                <w:noProof/>
                <w:color w:val="000000"/>
                <w:sz w:val="20"/>
                <w:szCs w:val="20"/>
              </w:rPr>
              <w:t>0.0</w:t>
            </w:r>
          </w:p>
        </w:tc>
        <w:tc>
          <w:tcPr>
            <w:tcW w:w="256" w:type="pct"/>
            <w:tcBorders>
              <w:top w:val="nil"/>
              <w:left w:val="nil"/>
              <w:bottom w:val="single" w:sz="4" w:space="0" w:color="auto"/>
              <w:right w:val="single" w:sz="4" w:space="0" w:color="auto"/>
            </w:tcBorders>
            <w:shd w:val="clear" w:color="000000" w:fill="F2F2F2"/>
            <w:noWrap/>
            <w:hideMark/>
          </w:tcPr>
          <w:p w14:paraId="155969B2" w14:textId="77777777" w:rsidR="00E24FEF" w:rsidRDefault="00E24FEF">
            <w:pPr>
              <w:jc w:val="right"/>
              <w:rPr>
                <w:b/>
                <w:bCs/>
                <w:noProof/>
                <w:color w:val="000000"/>
                <w:sz w:val="20"/>
                <w:szCs w:val="20"/>
              </w:rPr>
            </w:pPr>
            <w:r>
              <w:rPr>
                <w:b/>
                <w:bCs/>
                <w:noProof/>
                <w:color w:val="000000"/>
                <w:sz w:val="20"/>
                <w:szCs w:val="20"/>
              </w:rPr>
              <w:t>0.0</w:t>
            </w:r>
          </w:p>
        </w:tc>
        <w:tc>
          <w:tcPr>
            <w:tcW w:w="256" w:type="pct"/>
            <w:tcBorders>
              <w:top w:val="nil"/>
              <w:left w:val="nil"/>
              <w:bottom w:val="single" w:sz="4" w:space="0" w:color="auto"/>
              <w:right w:val="single" w:sz="4" w:space="0" w:color="auto"/>
            </w:tcBorders>
            <w:shd w:val="clear" w:color="000000" w:fill="F2F2F2"/>
            <w:noWrap/>
            <w:hideMark/>
          </w:tcPr>
          <w:p w14:paraId="22389986" w14:textId="77777777" w:rsidR="00E24FEF" w:rsidRDefault="00E24FEF">
            <w:pPr>
              <w:jc w:val="right"/>
              <w:rPr>
                <w:b/>
                <w:bCs/>
                <w:noProof/>
                <w:color w:val="000000"/>
                <w:sz w:val="20"/>
                <w:szCs w:val="20"/>
              </w:rPr>
            </w:pPr>
            <w:r>
              <w:rPr>
                <w:b/>
                <w:bCs/>
                <w:noProof/>
                <w:color w:val="000000"/>
                <w:sz w:val="20"/>
                <w:szCs w:val="20"/>
              </w:rPr>
              <w:t>3.1</w:t>
            </w:r>
          </w:p>
        </w:tc>
        <w:tc>
          <w:tcPr>
            <w:tcW w:w="256" w:type="pct"/>
            <w:tcBorders>
              <w:top w:val="nil"/>
              <w:left w:val="nil"/>
              <w:bottom w:val="single" w:sz="4" w:space="0" w:color="auto"/>
              <w:right w:val="single" w:sz="4" w:space="0" w:color="auto"/>
            </w:tcBorders>
            <w:shd w:val="clear" w:color="000000" w:fill="F2F2F2"/>
            <w:noWrap/>
            <w:hideMark/>
          </w:tcPr>
          <w:p w14:paraId="70666492" w14:textId="77777777" w:rsidR="00E24FEF" w:rsidRDefault="00E24FEF">
            <w:pPr>
              <w:jc w:val="right"/>
              <w:rPr>
                <w:b/>
                <w:bCs/>
                <w:noProof/>
                <w:color w:val="000000"/>
                <w:sz w:val="20"/>
                <w:szCs w:val="20"/>
              </w:rPr>
            </w:pPr>
            <w:r>
              <w:rPr>
                <w:b/>
                <w:bCs/>
                <w:noProof/>
                <w:color w:val="000000"/>
                <w:sz w:val="20"/>
                <w:szCs w:val="20"/>
              </w:rPr>
              <w:t>0.0</w:t>
            </w:r>
          </w:p>
        </w:tc>
        <w:tc>
          <w:tcPr>
            <w:tcW w:w="256" w:type="pct"/>
            <w:tcBorders>
              <w:top w:val="nil"/>
              <w:left w:val="nil"/>
              <w:bottom w:val="single" w:sz="4" w:space="0" w:color="auto"/>
              <w:right w:val="single" w:sz="4" w:space="0" w:color="auto"/>
            </w:tcBorders>
            <w:shd w:val="clear" w:color="000000" w:fill="F2F2F2"/>
            <w:noWrap/>
            <w:hideMark/>
          </w:tcPr>
          <w:p w14:paraId="232D2C67" w14:textId="77777777" w:rsidR="00E24FEF" w:rsidRDefault="00E24FEF">
            <w:pPr>
              <w:jc w:val="right"/>
              <w:rPr>
                <w:b/>
                <w:bCs/>
                <w:noProof/>
                <w:color w:val="000000"/>
                <w:sz w:val="20"/>
                <w:szCs w:val="20"/>
              </w:rPr>
            </w:pPr>
            <w:r>
              <w:rPr>
                <w:b/>
                <w:bCs/>
                <w:noProof/>
                <w:color w:val="000000"/>
                <w:sz w:val="20"/>
                <w:szCs w:val="20"/>
              </w:rPr>
              <w:t>0.0</w:t>
            </w:r>
          </w:p>
        </w:tc>
        <w:tc>
          <w:tcPr>
            <w:tcW w:w="254" w:type="pct"/>
            <w:tcBorders>
              <w:top w:val="nil"/>
              <w:left w:val="nil"/>
              <w:bottom w:val="single" w:sz="4" w:space="0" w:color="auto"/>
              <w:right w:val="single" w:sz="4" w:space="0" w:color="auto"/>
            </w:tcBorders>
            <w:shd w:val="clear" w:color="000000" w:fill="F2F2F2"/>
            <w:noWrap/>
            <w:hideMark/>
          </w:tcPr>
          <w:p w14:paraId="170D2C89" w14:textId="77777777" w:rsidR="00E24FEF" w:rsidRDefault="00E24FEF">
            <w:pPr>
              <w:jc w:val="right"/>
              <w:rPr>
                <w:b/>
                <w:bCs/>
                <w:noProof/>
                <w:color w:val="000000"/>
                <w:sz w:val="20"/>
                <w:szCs w:val="20"/>
              </w:rPr>
            </w:pPr>
            <w:r>
              <w:rPr>
                <w:b/>
                <w:bCs/>
                <w:noProof/>
                <w:color w:val="000000"/>
                <w:sz w:val="20"/>
                <w:szCs w:val="20"/>
              </w:rPr>
              <w:t>0.0</w:t>
            </w:r>
          </w:p>
        </w:tc>
      </w:tr>
    </w:tbl>
    <w:p w14:paraId="2AE058E5" w14:textId="77777777" w:rsidR="00725A34" w:rsidRDefault="00725A34" w:rsidP="00725A34">
      <w:pPr>
        <w:tabs>
          <w:tab w:val="left" w:pos="2302"/>
        </w:tabs>
        <w:spacing w:after="240"/>
        <w:jc w:val="both"/>
        <w:rPr>
          <w:i/>
          <w:iCs/>
          <w:noProof/>
          <w:spacing w:val="-8"/>
          <w:sz w:val="20"/>
          <w:szCs w:val="20"/>
        </w:rPr>
      </w:pPr>
      <w:r w:rsidRPr="00097BB6">
        <w:rPr>
          <w:i/>
          <w:iCs/>
          <w:noProof/>
          <w:spacing w:val="-8"/>
          <w:sz w:val="20"/>
          <w:szCs w:val="20"/>
        </w:rPr>
        <w:t>Source: Ricardo et al. (2026), Impact assessment support study</w:t>
      </w:r>
    </w:p>
    <w:p w14:paraId="7D72F490" w14:textId="69117362" w:rsidR="00C543DB" w:rsidRPr="0075278E" w:rsidRDefault="00C543DB" w:rsidP="0075278E">
      <w:pPr>
        <w:pStyle w:val="ListParagraph"/>
        <w:keepNext/>
        <w:widowControl/>
        <w:numPr>
          <w:ilvl w:val="2"/>
          <w:numId w:val="10"/>
        </w:numPr>
        <w:autoSpaceDE/>
        <w:autoSpaceDN/>
        <w:spacing w:after="240"/>
        <w:jc w:val="both"/>
        <w:outlineLvl w:val="2"/>
        <w:rPr>
          <w:i/>
          <w:iCs/>
          <w:noProof/>
          <w:sz w:val="24"/>
          <w:szCs w:val="24"/>
        </w:rPr>
      </w:pPr>
      <w:bookmarkStart w:id="2098" w:name="_Toc223981685"/>
      <w:r w:rsidRPr="0075278E">
        <w:rPr>
          <w:i/>
          <w:iCs/>
          <w:noProof/>
          <w:sz w:val="24"/>
          <w:szCs w:val="24"/>
        </w:rPr>
        <w:t>European Commission</w:t>
      </w:r>
      <w:bookmarkEnd w:id="2098"/>
    </w:p>
    <w:p w14:paraId="1650EFCD" w14:textId="063F0137" w:rsidR="00C543DB" w:rsidRPr="006333F0" w:rsidRDefault="00C543DB" w:rsidP="00C543DB">
      <w:pPr>
        <w:pStyle w:val="Text2"/>
        <w:spacing w:after="0"/>
        <w:ind w:left="0"/>
        <w:rPr>
          <w:rFonts w:cs="Times New Roman"/>
          <w:i/>
          <w:noProof/>
          <w:sz w:val="22"/>
          <w:szCs w:val="22"/>
        </w:rPr>
      </w:pPr>
      <w:r w:rsidRPr="006333F0">
        <w:rPr>
          <w:rFonts w:cs="Times New Roman"/>
          <w:i/>
          <w:noProof/>
          <w:sz w:val="22"/>
          <w:szCs w:val="22"/>
        </w:rPr>
        <w:t xml:space="preserve">Table </w:t>
      </w:r>
      <w:r w:rsidRPr="006333F0">
        <w:rPr>
          <w:rFonts w:cs="Times New Roman"/>
          <w:i/>
          <w:iCs/>
          <w:noProof/>
          <w:sz w:val="22"/>
          <w:szCs w:val="22"/>
        </w:rPr>
        <w:fldChar w:fldCharType="begin"/>
      </w:r>
      <w:r w:rsidRPr="006333F0">
        <w:rPr>
          <w:rFonts w:cs="Times New Roman"/>
          <w:i/>
          <w:iCs/>
          <w:noProof/>
          <w:sz w:val="22"/>
          <w:szCs w:val="22"/>
        </w:rPr>
        <w:instrText xml:space="preserve"> SEQ Table \* ARABIC </w:instrText>
      </w:r>
      <w:r w:rsidRPr="006333F0">
        <w:rPr>
          <w:rFonts w:cs="Times New Roman"/>
          <w:i/>
          <w:iCs/>
          <w:noProof/>
          <w:sz w:val="22"/>
          <w:szCs w:val="22"/>
        </w:rPr>
        <w:fldChar w:fldCharType="separate"/>
      </w:r>
      <w:r w:rsidR="0055391F">
        <w:rPr>
          <w:rFonts w:cs="Times New Roman"/>
          <w:i/>
          <w:iCs/>
          <w:noProof/>
          <w:sz w:val="22"/>
          <w:szCs w:val="22"/>
        </w:rPr>
        <w:t>126</w:t>
      </w:r>
      <w:r w:rsidRPr="006333F0">
        <w:rPr>
          <w:rFonts w:cs="Times New Roman"/>
          <w:i/>
          <w:iCs/>
          <w:noProof/>
          <w:sz w:val="22"/>
          <w:szCs w:val="22"/>
        </w:rPr>
        <w:fldChar w:fldCharType="end"/>
      </w:r>
      <w:r w:rsidRPr="006333F0">
        <w:rPr>
          <w:rFonts w:cs="Times New Roman"/>
          <w:i/>
          <w:noProof/>
          <w:sz w:val="22"/>
          <w:szCs w:val="22"/>
        </w:rPr>
        <w:t xml:space="preserve">: </w:t>
      </w:r>
      <w:r>
        <w:rPr>
          <w:rFonts w:cs="Times New Roman"/>
          <w:i/>
          <w:noProof/>
          <w:sz w:val="22"/>
          <w:szCs w:val="22"/>
        </w:rPr>
        <w:t>R</w:t>
      </w:r>
      <w:r w:rsidRPr="006333F0">
        <w:rPr>
          <w:rFonts w:cs="Times New Roman"/>
          <w:i/>
          <w:noProof/>
          <w:sz w:val="22"/>
          <w:szCs w:val="22"/>
        </w:rPr>
        <w:t xml:space="preserve">ecurrent </w:t>
      </w:r>
      <w:r>
        <w:rPr>
          <w:rFonts w:cs="Times New Roman"/>
          <w:i/>
          <w:noProof/>
          <w:sz w:val="22"/>
          <w:szCs w:val="22"/>
        </w:rPr>
        <w:t xml:space="preserve">adjustment </w:t>
      </w:r>
      <w:r w:rsidRPr="006333F0">
        <w:rPr>
          <w:rFonts w:cs="Times New Roman"/>
          <w:i/>
          <w:noProof/>
          <w:sz w:val="22"/>
          <w:szCs w:val="22"/>
        </w:rPr>
        <w:t xml:space="preserve">costs for </w:t>
      </w:r>
      <w:r>
        <w:rPr>
          <w:rFonts w:cs="Times New Roman"/>
          <w:i/>
          <w:noProof/>
          <w:sz w:val="22"/>
          <w:szCs w:val="22"/>
        </w:rPr>
        <w:t>the European Commission</w:t>
      </w:r>
      <w:r w:rsidRPr="006333F0">
        <w:rPr>
          <w:rFonts w:cs="Times New Roman"/>
          <w:i/>
          <w:noProof/>
          <w:sz w:val="22"/>
          <w:szCs w:val="22"/>
        </w:rPr>
        <w:t xml:space="preserve"> in the POs relative to the baseline (EU27),</w:t>
      </w:r>
      <w:r>
        <w:rPr>
          <w:rFonts w:cs="Times New Roman"/>
          <w:i/>
          <w:noProof/>
          <w:sz w:val="22"/>
          <w:szCs w:val="22"/>
        </w:rPr>
        <w:t xml:space="preserve"> </w:t>
      </w:r>
      <w:r>
        <w:rPr>
          <w:i/>
          <w:noProof/>
          <w:sz w:val="22"/>
          <w:szCs w:val="22"/>
        </w:rPr>
        <w:t>in</w:t>
      </w:r>
      <w:r>
        <w:rPr>
          <w:rFonts w:cs="Times New Roman"/>
          <w:i/>
          <w:noProof/>
          <w:sz w:val="22"/>
          <w:szCs w:val="22"/>
        </w:rPr>
        <w:t xml:space="preserve"> 2028</w:t>
      </w:r>
      <w:r>
        <w:rPr>
          <w:i/>
          <w:noProof/>
          <w:sz w:val="22"/>
          <w:szCs w:val="22"/>
        </w:rPr>
        <w:t xml:space="preserve">, 2030, 2040 and </w:t>
      </w:r>
      <w:r>
        <w:rPr>
          <w:rFonts w:cs="Times New Roman"/>
          <w:i/>
          <w:noProof/>
          <w:sz w:val="22"/>
          <w:szCs w:val="22"/>
        </w:rPr>
        <w:t>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p>
    <w:tbl>
      <w:tblPr>
        <w:tblW w:w="5000" w:type="pct"/>
        <w:tblLook w:val="04A0" w:firstRow="1" w:lastRow="0" w:firstColumn="1" w:lastColumn="0" w:noHBand="0" w:noVBand="1"/>
      </w:tblPr>
      <w:tblGrid>
        <w:gridCol w:w="2681"/>
        <w:gridCol w:w="758"/>
        <w:gridCol w:w="757"/>
        <w:gridCol w:w="757"/>
        <w:gridCol w:w="757"/>
        <w:gridCol w:w="757"/>
        <w:gridCol w:w="757"/>
        <w:gridCol w:w="757"/>
        <w:gridCol w:w="757"/>
        <w:gridCol w:w="757"/>
        <w:gridCol w:w="757"/>
        <w:gridCol w:w="757"/>
        <w:gridCol w:w="757"/>
        <w:gridCol w:w="757"/>
        <w:gridCol w:w="757"/>
        <w:gridCol w:w="757"/>
        <w:gridCol w:w="751"/>
      </w:tblGrid>
      <w:tr w:rsidR="0075278E" w14:paraId="1DC03565" w14:textId="77777777" w:rsidTr="0075278E">
        <w:trPr>
          <w:trHeight w:val="255"/>
          <w:tblHeader/>
        </w:trPr>
        <w:tc>
          <w:tcPr>
            <w:tcW w:w="906" w:type="pct"/>
            <w:vMerge w:val="restart"/>
            <w:tcBorders>
              <w:top w:val="single" w:sz="4" w:space="0" w:color="auto"/>
              <w:left w:val="single" w:sz="4" w:space="0" w:color="auto"/>
              <w:bottom w:val="single" w:sz="4" w:space="0" w:color="auto"/>
              <w:right w:val="single" w:sz="4" w:space="0" w:color="auto"/>
            </w:tcBorders>
            <w:shd w:val="clear" w:color="000000" w:fill="0070C0"/>
            <w:hideMark/>
          </w:tcPr>
          <w:p w14:paraId="47D1E89D" w14:textId="77777777" w:rsidR="0075278E" w:rsidRDefault="0075278E">
            <w:pPr>
              <w:jc w:val="center"/>
              <w:rPr>
                <w:b/>
                <w:bCs/>
                <w:noProof/>
                <w:color w:val="FFFFFF"/>
                <w:sz w:val="20"/>
                <w:szCs w:val="20"/>
              </w:rPr>
            </w:pPr>
            <w:r>
              <w:rPr>
                <w:b/>
                <w:bCs/>
                <w:noProof/>
                <w:color w:val="FFFFFF"/>
                <w:sz w:val="20"/>
                <w:szCs w:val="20"/>
              </w:rPr>
              <w:t> </w:t>
            </w:r>
          </w:p>
        </w:tc>
        <w:tc>
          <w:tcPr>
            <w:tcW w:w="1024" w:type="pct"/>
            <w:gridSpan w:val="4"/>
            <w:tcBorders>
              <w:top w:val="single" w:sz="4" w:space="0" w:color="auto"/>
              <w:left w:val="nil"/>
              <w:bottom w:val="single" w:sz="4" w:space="0" w:color="auto"/>
              <w:right w:val="single" w:sz="4" w:space="0" w:color="auto"/>
            </w:tcBorders>
            <w:shd w:val="clear" w:color="000000" w:fill="0070C0"/>
            <w:hideMark/>
          </w:tcPr>
          <w:p w14:paraId="5AD5ACB2" w14:textId="77777777" w:rsidR="0075278E" w:rsidRDefault="0075278E">
            <w:pPr>
              <w:jc w:val="center"/>
              <w:rPr>
                <w:b/>
                <w:bCs/>
                <w:noProof/>
                <w:color w:val="FFFFFF"/>
                <w:sz w:val="20"/>
                <w:szCs w:val="20"/>
              </w:rPr>
            </w:pPr>
            <w:r>
              <w:rPr>
                <w:b/>
                <w:bCs/>
                <w:noProof/>
                <w:color w:val="FFFFFF"/>
                <w:sz w:val="20"/>
                <w:szCs w:val="20"/>
              </w:rPr>
              <w:t>PO1</w:t>
            </w:r>
          </w:p>
        </w:tc>
        <w:tc>
          <w:tcPr>
            <w:tcW w:w="1024" w:type="pct"/>
            <w:gridSpan w:val="4"/>
            <w:tcBorders>
              <w:top w:val="single" w:sz="4" w:space="0" w:color="auto"/>
              <w:left w:val="nil"/>
              <w:bottom w:val="single" w:sz="4" w:space="0" w:color="auto"/>
              <w:right w:val="single" w:sz="4" w:space="0" w:color="auto"/>
            </w:tcBorders>
            <w:shd w:val="clear" w:color="000000" w:fill="0070C0"/>
            <w:hideMark/>
          </w:tcPr>
          <w:p w14:paraId="524F0473" w14:textId="77777777" w:rsidR="0075278E" w:rsidRDefault="0075278E">
            <w:pPr>
              <w:jc w:val="center"/>
              <w:rPr>
                <w:b/>
                <w:bCs/>
                <w:noProof/>
                <w:color w:val="FFFFFF"/>
                <w:sz w:val="20"/>
                <w:szCs w:val="20"/>
              </w:rPr>
            </w:pPr>
            <w:r>
              <w:rPr>
                <w:b/>
                <w:bCs/>
                <w:noProof/>
                <w:color w:val="FFFFFF"/>
                <w:sz w:val="20"/>
                <w:szCs w:val="20"/>
              </w:rPr>
              <w:t>PO2</w:t>
            </w:r>
          </w:p>
        </w:tc>
        <w:tc>
          <w:tcPr>
            <w:tcW w:w="1024" w:type="pct"/>
            <w:gridSpan w:val="4"/>
            <w:tcBorders>
              <w:top w:val="single" w:sz="4" w:space="0" w:color="auto"/>
              <w:left w:val="nil"/>
              <w:bottom w:val="single" w:sz="4" w:space="0" w:color="auto"/>
              <w:right w:val="single" w:sz="4" w:space="0" w:color="auto"/>
            </w:tcBorders>
            <w:shd w:val="clear" w:color="000000" w:fill="0070C0"/>
            <w:hideMark/>
          </w:tcPr>
          <w:p w14:paraId="3C6A9D2C" w14:textId="77777777" w:rsidR="0075278E" w:rsidRDefault="0075278E">
            <w:pPr>
              <w:jc w:val="center"/>
              <w:rPr>
                <w:b/>
                <w:bCs/>
                <w:noProof/>
                <w:color w:val="FFFFFF"/>
                <w:sz w:val="20"/>
                <w:szCs w:val="20"/>
              </w:rPr>
            </w:pPr>
            <w:r>
              <w:rPr>
                <w:b/>
                <w:bCs/>
                <w:noProof/>
                <w:color w:val="FFFFFF"/>
                <w:sz w:val="20"/>
                <w:szCs w:val="20"/>
              </w:rPr>
              <w:t>PO3</w:t>
            </w:r>
          </w:p>
        </w:tc>
        <w:tc>
          <w:tcPr>
            <w:tcW w:w="1022" w:type="pct"/>
            <w:gridSpan w:val="4"/>
            <w:tcBorders>
              <w:top w:val="single" w:sz="4" w:space="0" w:color="auto"/>
              <w:left w:val="nil"/>
              <w:bottom w:val="single" w:sz="4" w:space="0" w:color="auto"/>
              <w:right w:val="single" w:sz="4" w:space="0" w:color="auto"/>
            </w:tcBorders>
            <w:shd w:val="clear" w:color="000000" w:fill="0070C0"/>
            <w:hideMark/>
          </w:tcPr>
          <w:p w14:paraId="611C8251" w14:textId="77777777" w:rsidR="0075278E" w:rsidRDefault="0075278E">
            <w:pPr>
              <w:jc w:val="center"/>
              <w:rPr>
                <w:b/>
                <w:bCs/>
                <w:noProof/>
                <w:color w:val="FFFFFF"/>
                <w:sz w:val="20"/>
                <w:szCs w:val="20"/>
              </w:rPr>
            </w:pPr>
            <w:r>
              <w:rPr>
                <w:b/>
                <w:bCs/>
                <w:noProof/>
                <w:color w:val="FFFFFF"/>
                <w:sz w:val="20"/>
                <w:szCs w:val="20"/>
              </w:rPr>
              <w:t>PO4</w:t>
            </w:r>
          </w:p>
        </w:tc>
      </w:tr>
      <w:tr w:rsidR="0075278E" w14:paraId="1EA1C2A2" w14:textId="77777777" w:rsidTr="0075278E">
        <w:trPr>
          <w:trHeight w:val="255"/>
          <w:tblHeader/>
        </w:trPr>
        <w:tc>
          <w:tcPr>
            <w:tcW w:w="906" w:type="pct"/>
            <w:vMerge/>
            <w:tcBorders>
              <w:top w:val="single" w:sz="4" w:space="0" w:color="auto"/>
              <w:left w:val="single" w:sz="4" w:space="0" w:color="auto"/>
              <w:bottom w:val="single" w:sz="4" w:space="0" w:color="auto"/>
              <w:right w:val="single" w:sz="4" w:space="0" w:color="auto"/>
            </w:tcBorders>
            <w:hideMark/>
          </w:tcPr>
          <w:p w14:paraId="71CD209B" w14:textId="77777777" w:rsidR="0075278E" w:rsidRDefault="0075278E">
            <w:pPr>
              <w:rPr>
                <w:b/>
                <w:bCs/>
                <w:noProof/>
                <w:color w:val="FFFFFF"/>
                <w:sz w:val="20"/>
                <w:szCs w:val="20"/>
              </w:rPr>
            </w:pPr>
          </w:p>
        </w:tc>
        <w:tc>
          <w:tcPr>
            <w:tcW w:w="256" w:type="pct"/>
            <w:tcBorders>
              <w:top w:val="nil"/>
              <w:left w:val="nil"/>
              <w:bottom w:val="single" w:sz="4" w:space="0" w:color="auto"/>
              <w:right w:val="single" w:sz="4" w:space="0" w:color="auto"/>
            </w:tcBorders>
            <w:shd w:val="clear" w:color="000000" w:fill="0070C0"/>
            <w:hideMark/>
          </w:tcPr>
          <w:p w14:paraId="6568CDFF" w14:textId="77777777" w:rsidR="0075278E" w:rsidRDefault="0075278E">
            <w:pPr>
              <w:jc w:val="center"/>
              <w:rPr>
                <w:b/>
                <w:bCs/>
                <w:noProof/>
                <w:color w:val="FFFFFF"/>
                <w:sz w:val="20"/>
                <w:szCs w:val="20"/>
              </w:rPr>
            </w:pPr>
            <w:r>
              <w:rPr>
                <w:b/>
                <w:bCs/>
                <w:noProof/>
                <w:color w:val="FFFFFF"/>
                <w:sz w:val="20"/>
                <w:szCs w:val="20"/>
              </w:rPr>
              <w:t>2028</w:t>
            </w:r>
          </w:p>
        </w:tc>
        <w:tc>
          <w:tcPr>
            <w:tcW w:w="256" w:type="pct"/>
            <w:tcBorders>
              <w:top w:val="nil"/>
              <w:left w:val="nil"/>
              <w:bottom w:val="single" w:sz="4" w:space="0" w:color="auto"/>
              <w:right w:val="single" w:sz="4" w:space="0" w:color="auto"/>
            </w:tcBorders>
            <w:shd w:val="clear" w:color="000000" w:fill="0070C0"/>
            <w:hideMark/>
          </w:tcPr>
          <w:p w14:paraId="00B39ADD" w14:textId="77777777" w:rsidR="0075278E" w:rsidRDefault="0075278E">
            <w:pPr>
              <w:jc w:val="center"/>
              <w:rPr>
                <w:b/>
                <w:bCs/>
                <w:noProof/>
                <w:color w:val="FFFFFF"/>
                <w:sz w:val="20"/>
                <w:szCs w:val="20"/>
              </w:rPr>
            </w:pPr>
            <w:r>
              <w:rPr>
                <w:b/>
                <w:bCs/>
                <w:noProof/>
                <w:color w:val="FFFFFF"/>
                <w:sz w:val="20"/>
                <w:szCs w:val="20"/>
              </w:rPr>
              <w:t>2030</w:t>
            </w:r>
          </w:p>
        </w:tc>
        <w:tc>
          <w:tcPr>
            <w:tcW w:w="256" w:type="pct"/>
            <w:tcBorders>
              <w:top w:val="nil"/>
              <w:left w:val="nil"/>
              <w:bottom w:val="single" w:sz="4" w:space="0" w:color="auto"/>
              <w:right w:val="single" w:sz="4" w:space="0" w:color="auto"/>
            </w:tcBorders>
            <w:shd w:val="clear" w:color="000000" w:fill="0070C0"/>
            <w:hideMark/>
          </w:tcPr>
          <w:p w14:paraId="0548C0FE" w14:textId="77777777" w:rsidR="0075278E" w:rsidRDefault="0075278E">
            <w:pPr>
              <w:jc w:val="center"/>
              <w:rPr>
                <w:b/>
                <w:bCs/>
                <w:noProof/>
                <w:color w:val="FFFFFF"/>
                <w:sz w:val="20"/>
                <w:szCs w:val="20"/>
              </w:rPr>
            </w:pPr>
            <w:r>
              <w:rPr>
                <w:b/>
                <w:bCs/>
                <w:noProof/>
                <w:color w:val="FFFFFF"/>
                <w:sz w:val="20"/>
                <w:szCs w:val="20"/>
              </w:rPr>
              <w:t>2040</w:t>
            </w:r>
          </w:p>
        </w:tc>
        <w:tc>
          <w:tcPr>
            <w:tcW w:w="256" w:type="pct"/>
            <w:tcBorders>
              <w:top w:val="nil"/>
              <w:left w:val="nil"/>
              <w:bottom w:val="single" w:sz="4" w:space="0" w:color="auto"/>
              <w:right w:val="single" w:sz="4" w:space="0" w:color="auto"/>
            </w:tcBorders>
            <w:shd w:val="clear" w:color="000000" w:fill="0070C0"/>
            <w:hideMark/>
          </w:tcPr>
          <w:p w14:paraId="5320864C" w14:textId="77777777" w:rsidR="0075278E" w:rsidRDefault="0075278E">
            <w:pPr>
              <w:jc w:val="center"/>
              <w:rPr>
                <w:b/>
                <w:bCs/>
                <w:noProof/>
                <w:color w:val="FFFFFF"/>
                <w:sz w:val="20"/>
                <w:szCs w:val="20"/>
              </w:rPr>
            </w:pPr>
            <w:r>
              <w:rPr>
                <w:b/>
                <w:bCs/>
                <w:noProof/>
                <w:color w:val="FFFFFF"/>
                <w:sz w:val="20"/>
                <w:szCs w:val="20"/>
              </w:rPr>
              <w:t>2050</w:t>
            </w:r>
          </w:p>
        </w:tc>
        <w:tc>
          <w:tcPr>
            <w:tcW w:w="256" w:type="pct"/>
            <w:tcBorders>
              <w:top w:val="nil"/>
              <w:left w:val="nil"/>
              <w:bottom w:val="single" w:sz="4" w:space="0" w:color="auto"/>
              <w:right w:val="single" w:sz="4" w:space="0" w:color="auto"/>
            </w:tcBorders>
            <w:shd w:val="clear" w:color="000000" w:fill="0070C0"/>
            <w:hideMark/>
          </w:tcPr>
          <w:p w14:paraId="21CCF586" w14:textId="77777777" w:rsidR="0075278E" w:rsidRDefault="0075278E">
            <w:pPr>
              <w:jc w:val="center"/>
              <w:rPr>
                <w:b/>
                <w:bCs/>
                <w:noProof/>
                <w:color w:val="FFFFFF"/>
                <w:sz w:val="20"/>
                <w:szCs w:val="20"/>
              </w:rPr>
            </w:pPr>
            <w:r>
              <w:rPr>
                <w:b/>
                <w:bCs/>
                <w:noProof/>
                <w:color w:val="FFFFFF"/>
                <w:sz w:val="20"/>
                <w:szCs w:val="20"/>
              </w:rPr>
              <w:t>2028</w:t>
            </w:r>
          </w:p>
        </w:tc>
        <w:tc>
          <w:tcPr>
            <w:tcW w:w="256" w:type="pct"/>
            <w:tcBorders>
              <w:top w:val="nil"/>
              <w:left w:val="nil"/>
              <w:bottom w:val="single" w:sz="4" w:space="0" w:color="auto"/>
              <w:right w:val="single" w:sz="4" w:space="0" w:color="auto"/>
            </w:tcBorders>
            <w:shd w:val="clear" w:color="000000" w:fill="0070C0"/>
            <w:hideMark/>
          </w:tcPr>
          <w:p w14:paraId="4EF3DD16" w14:textId="77777777" w:rsidR="0075278E" w:rsidRDefault="0075278E">
            <w:pPr>
              <w:jc w:val="center"/>
              <w:rPr>
                <w:b/>
                <w:bCs/>
                <w:noProof/>
                <w:color w:val="FFFFFF"/>
                <w:sz w:val="20"/>
                <w:szCs w:val="20"/>
              </w:rPr>
            </w:pPr>
            <w:r>
              <w:rPr>
                <w:b/>
                <w:bCs/>
                <w:noProof/>
                <w:color w:val="FFFFFF"/>
                <w:sz w:val="20"/>
                <w:szCs w:val="20"/>
              </w:rPr>
              <w:t>2030</w:t>
            </w:r>
          </w:p>
        </w:tc>
        <w:tc>
          <w:tcPr>
            <w:tcW w:w="256" w:type="pct"/>
            <w:tcBorders>
              <w:top w:val="nil"/>
              <w:left w:val="nil"/>
              <w:bottom w:val="single" w:sz="4" w:space="0" w:color="auto"/>
              <w:right w:val="single" w:sz="4" w:space="0" w:color="auto"/>
            </w:tcBorders>
            <w:shd w:val="clear" w:color="000000" w:fill="0070C0"/>
            <w:hideMark/>
          </w:tcPr>
          <w:p w14:paraId="7C7572CD" w14:textId="77777777" w:rsidR="0075278E" w:rsidRDefault="0075278E">
            <w:pPr>
              <w:jc w:val="center"/>
              <w:rPr>
                <w:b/>
                <w:bCs/>
                <w:noProof/>
                <w:color w:val="FFFFFF"/>
                <w:sz w:val="20"/>
                <w:szCs w:val="20"/>
              </w:rPr>
            </w:pPr>
            <w:r>
              <w:rPr>
                <w:b/>
                <w:bCs/>
                <w:noProof/>
                <w:color w:val="FFFFFF"/>
                <w:sz w:val="20"/>
                <w:szCs w:val="20"/>
              </w:rPr>
              <w:t>2040</w:t>
            </w:r>
          </w:p>
        </w:tc>
        <w:tc>
          <w:tcPr>
            <w:tcW w:w="256" w:type="pct"/>
            <w:tcBorders>
              <w:top w:val="nil"/>
              <w:left w:val="nil"/>
              <w:bottom w:val="single" w:sz="4" w:space="0" w:color="auto"/>
              <w:right w:val="single" w:sz="4" w:space="0" w:color="auto"/>
            </w:tcBorders>
            <w:shd w:val="clear" w:color="000000" w:fill="0070C0"/>
            <w:hideMark/>
          </w:tcPr>
          <w:p w14:paraId="40C20C32" w14:textId="77777777" w:rsidR="0075278E" w:rsidRDefault="0075278E">
            <w:pPr>
              <w:jc w:val="center"/>
              <w:rPr>
                <w:b/>
                <w:bCs/>
                <w:noProof/>
                <w:color w:val="FFFFFF"/>
                <w:sz w:val="20"/>
                <w:szCs w:val="20"/>
              </w:rPr>
            </w:pPr>
            <w:r>
              <w:rPr>
                <w:b/>
                <w:bCs/>
                <w:noProof/>
                <w:color w:val="FFFFFF"/>
                <w:sz w:val="20"/>
                <w:szCs w:val="20"/>
              </w:rPr>
              <w:t>2050</w:t>
            </w:r>
          </w:p>
        </w:tc>
        <w:tc>
          <w:tcPr>
            <w:tcW w:w="256" w:type="pct"/>
            <w:tcBorders>
              <w:top w:val="nil"/>
              <w:left w:val="nil"/>
              <w:bottom w:val="single" w:sz="4" w:space="0" w:color="auto"/>
              <w:right w:val="single" w:sz="4" w:space="0" w:color="auto"/>
            </w:tcBorders>
            <w:shd w:val="clear" w:color="000000" w:fill="0070C0"/>
            <w:hideMark/>
          </w:tcPr>
          <w:p w14:paraId="6F5ABF64" w14:textId="77777777" w:rsidR="0075278E" w:rsidRDefault="0075278E">
            <w:pPr>
              <w:jc w:val="center"/>
              <w:rPr>
                <w:b/>
                <w:bCs/>
                <w:noProof/>
                <w:color w:val="FFFFFF"/>
                <w:sz w:val="20"/>
                <w:szCs w:val="20"/>
              </w:rPr>
            </w:pPr>
            <w:r>
              <w:rPr>
                <w:b/>
                <w:bCs/>
                <w:noProof/>
                <w:color w:val="FFFFFF"/>
                <w:sz w:val="20"/>
                <w:szCs w:val="20"/>
              </w:rPr>
              <w:t>2028</w:t>
            </w:r>
          </w:p>
        </w:tc>
        <w:tc>
          <w:tcPr>
            <w:tcW w:w="256" w:type="pct"/>
            <w:tcBorders>
              <w:top w:val="nil"/>
              <w:left w:val="nil"/>
              <w:bottom w:val="single" w:sz="4" w:space="0" w:color="auto"/>
              <w:right w:val="single" w:sz="4" w:space="0" w:color="auto"/>
            </w:tcBorders>
            <w:shd w:val="clear" w:color="000000" w:fill="0070C0"/>
            <w:hideMark/>
          </w:tcPr>
          <w:p w14:paraId="076D4862" w14:textId="77777777" w:rsidR="0075278E" w:rsidRDefault="0075278E">
            <w:pPr>
              <w:jc w:val="center"/>
              <w:rPr>
                <w:b/>
                <w:bCs/>
                <w:noProof/>
                <w:color w:val="FFFFFF"/>
                <w:sz w:val="20"/>
                <w:szCs w:val="20"/>
              </w:rPr>
            </w:pPr>
            <w:r>
              <w:rPr>
                <w:b/>
                <w:bCs/>
                <w:noProof/>
                <w:color w:val="FFFFFF"/>
                <w:sz w:val="20"/>
                <w:szCs w:val="20"/>
              </w:rPr>
              <w:t>2030</w:t>
            </w:r>
          </w:p>
        </w:tc>
        <w:tc>
          <w:tcPr>
            <w:tcW w:w="256" w:type="pct"/>
            <w:tcBorders>
              <w:top w:val="nil"/>
              <w:left w:val="nil"/>
              <w:bottom w:val="single" w:sz="4" w:space="0" w:color="auto"/>
              <w:right w:val="single" w:sz="4" w:space="0" w:color="auto"/>
            </w:tcBorders>
            <w:shd w:val="clear" w:color="000000" w:fill="0070C0"/>
            <w:hideMark/>
          </w:tcPr>
          <w:p w14:paraId="067E7E32" w14:textId="77777777" w:rsidR="0075278E" w:rsidRDefault="0075278E">
            <w:pPr>
              <w:jc w:val="center"/>
              <w:rPr>
                <w:b/>
                <w:bCs/>
                <w:noProof/>
                <w:color w:val="FFFFFF"/>
                <w:sz w:val="20"/>
                <w:szCs w:val="20"/>
              </w:rPr>
            </w:pPr>
            <w:r>
              <w:rPr>
                <w:b/>
                <w:bCs/>
                <w:noProof/>
                <w:color w:val="FFFFFF"/>
                <w:sz w:val="20"/>
                <w:szCs w:val="20"/>
              </w:rPr>
              <w:t>2040</w:t>
            </w:r>
          </w:p>
        </w:tc>
        <w:tc>
          <w:tcPr>
            <w:tcW w:w="256" w:type="pct"/>
            <w:tcBorders>
              <w:top w:val="nil"/>
              <w:left w:val="nil"/>
              <w:bottom w:val="single" w:sz="4" w:space="0" w:color="auto"/>
              <w:right w:val="single" w:sz="4" w:space="0" w:color="auto"/>
            </w:tcBorders>
            <w:shd w:val="clear" w:color="000000" w:fill="0070C0"/>
            <w:hideMark/>
          </w:tcPr>
          <w:p w14:paraId="3DBBE62F" w14:textId="77777777" w:rsidR="0075278E" w:rsidRDefault="0075278E">
            <w:pPr>
              <w:jc w:val="center"/>
              <w:rPr>
                <w:b/>
                <w:bCs/>
                <w:noProof/>
                <w:color w:val="FFFFFF"/>
                <w:sz w:val="20"/>
                <w:szCs w:val="20"/>
              </w:rPr>
            </w:pPr>
            <w:r>
              <w:rPr>
                <w:b/>
                <w:bCs/>
                <w:noProof/>
                <w:color w:val="FFFFFF"/>
                <w:sz w:val="20"/>
                <w:szCs w:val="20"/>
              </w:rPr>
              <w:t>2050</w:t>
            </w:r>
          </w:p>
        </w:tc>
        <w:tc>
          <w:tcPr>
            <w:tcW w:w="256" w:type="pct"/>
            <w:tcBorders>
              <w:top w:val="nil"/>
              <w:left w:val="nil"/>
              <w:bottom w:val="single" w:sz="4" w:space="0" w:color="auto"/>
              <w:right w:val="single" w:sz="4" w:space="0" w:color="auto"/>
            </w:tcBorders>
            <w:shd w:val="clear" w:color="000000" w:fill="0070C0"/>
            <w:hideMark/>
          </w:tcPr>
          <w:p w14:paraId="6C7A5E61" w14:textId="77777777" w:rsidR="0075278E" w:rsidRDefault="0075278E">
            <w:pPr>
              <w:jc w:val="center"/>
              <w:rPr>
                <w:b/>
                <w:bCs/>
                <w:noProof/>
                <w:color w:val="FFFFFF"/>
                <w:sz w:val="20"/>
                <w:szCs w:val="20"/>
              </w:rPr>
            </w:pPr>
            <w:r>
              <w:rPr>
                <w:b/>
                <w:bCs/>
                <w:noProof/>
                <w:color w:val="FFFFFF"/>
                <w:sz w:val="20"/>
                <w:szCs w:val="20"/>
              </w:rPr>
              <w:t>2028</w:t>
            </w:r>
          </w:p>
        </w:tc>
        <w:tc>
          <w:tcPr>
            <w:tcW w:w="256" w:type="pct"/>
            <w:tcBorders>
              <w:top w:val="nil"/>
              <w:left w:val="nil"/>
              <w:bottom w:val="single" w:sz="4" w:space="0" w:color="auto"/>
              <w:right w:val="single" w:sz="4" w:space="0" w:color="auto"/>
            </w:tcBorders>
            <w:shd w:val="clear" w:color="000000" w:fill="0070C0"/>
            <w:hideMark/>
          </w:tcPr>
          <w:p w14:paraId="2D83B01E" w14:textId="77777777" w:rsidR="0075278E" w:rsidRDefault="0075278E">
            <w:pPr>
              <w:jc w:val="center"/>
              <w:rPr>
                <w:b/>
                <w:bCs/>
                <w:noProof/>
                <w:color w:val="FFFFFF"/>
                <w:sz w:val="20"/>
                <w:szCs w:val="20"/>
              </w:rPr>
            </w:pPr>
            <w:r>
              <w:rPr>
                <w:b/>
                <w:bCs/>
                <w:noProof/>
                <w:color w:val="FFFFFF"/>
                <w:sz w:val="20"/>
                <w:szCs w:val="20"/>
              </w:rPr>
              <w:t>2030</w:t>
            </w:r>
          </w:p>
        </w:tc>
        <w:tc>
          <w:tcPr>
            <w:tcW w:w="256" w:type="pct"/>
            <w:tcBorders>
              <w:top w:val="nil"/>
              <w:left w:val="nil"/>
              <w:bottom w:val="single" w:sz="4" w:space="0" w:color="auto"/>
              <w:right w:val="single" w:sz="4" w:space="0" w:color="auto"/>
            </w:tcBorders>
            <w:shd w:val="clear" w:color="000000" w:fill="0070C0"/>
            <w:hideMark/>
          </w:tcPr>
          <w:p w14:paraId="3008328F" w14:textId="77777777" w:rsidR="0075278E" w:rsidRDefault="0075278E">
            <w:pPr>
              <w:jc w:val="center"/>
              <w:rPr>
                <w:b/>
                <w:bCs/>
                <w:noProof/>
                <w:color w:val="FFFFFF"/>
                <w:sz w:val="20"/>
                <w:szCs w:val="20"/>
              </w:rPr>
            </w:pPr>
            <w:r>
              <w:rPr>
                <w:b/>
                <w:bCs/>
                <w:noProof/>
                <w:color w:val="FFFFFF"/>
                <w:sz w:val="20"/>
                <w:szCs w:val="20"/>
              </w:rPr>
              <w:t>2040</w:t>
            </w:r>
          </w:p>
        </w:tc>
        <w:tc>
          <w:tcPr>
            <w:tcW w:w="254" w:type="pct"/>
            <w:tcBorders>
              <w:top w:val="nil"/>
              <w:left w:val="nil"/>
              <w:bottom w:val="single" w:sz="4" w:space="0" w:color="auto"/>
              <w:right w:val="single" w:sz="4" w:space="0" w:color="auto"/>
            </w:tcBorders>
            <w:shd w:val="clear" w:color="000000" w:fill="0070C0"/>
            <w:hideMark/>
          </w:tcPr>
          <w:p w14:paraId="4588729D" w14:textId="77777777" w:rsidR="0075278E" w:rsidRDefault="0075278E">
            <w:pPr>
              <w:jc w:val="center"/>
              <w:rPr>
                <w:b/>
                <w:bCs/>
                <w:noProof/>
                <w:color w:val="FFFFFF"/>
                <w:sz w:val="20"/>
                <w:szCs w:val="20"/>
              </w:rPr>
            </w:pPr>
            <w:r>
              <w:rPr>
                <w:b/>
                <w:bCs/>
                <w:noProof/>
                <w:color w:val="FFFFFF"/>
                <w:sz w:val="20"/>
                <w:szCs w:val="20"/>
              </w:rPr>
              <w:t>2050</w:t>
            </w:r>
          </w:p>
        </w:tc>
      </w:tr>
      <w:tr w:rsidR="0075278E" w14:paraId="651A8B90" w14:textId="77777777" w:rsidTr="0075278E">
        <w:trPr>
          <w:trHeight w:val="255"/>
        </w:trPr>
        <w:tc>
          <w:tcPr>
            <w:tcW w:w="906" w:type="pct"/>
            <w:tcBorders>
              <w:top w:val="nil"/>
              <w:left w:val="single" w:sz="4" w:space="0" w:color="auto"/>
              <w:bottom w:val="single" w:sz="4" w:space="0" w:color="auto"/>
              <w:right w:val="single" w:sz="4" w:space="0" w:color="auto"/>
            </w:tcBorders>
            <w:shd w:val="clear" w:color="000000" w:fill="BDE3FF"/>
            <w:hideMark/>
          </w:tcPr>
          <w:p w14:paraId="3EB49346" w14:textId="77777777" w:rsidR="0075278E" w:rsidRDefault="0075278E">
            <w:pPr>
              <w:rPr>
                <w:b/>
                <w:bCs/>
                <w:noProof/>
                <w:sz w:val="20"/>
                <w:szCs w:val="20"/>
              </w:rPr>
            </w:pPr>
            <w:r>
              <w:rPr>
                <w:b/>
                <w:bCs/>
                <w:noProof/>
                <w:sz w:val="20"/>
                <w:szCs w:val="20"/>
              </w:rPr>
              <w:t>Adjustment costs</w:t>
            </w:r>
          </w:p>
        </w:tc>
        <w:tc>
          <w:tcPr>
            <w:tcW w:w="256" w:type="pct"/>
            <w:tcBorders>
              <w:top w:val="nil"/>
              <w:left w:val="nil"/>
              <w:bottom w:val="single" w:sz="4" w:space="0" w:color="auto"/>
              <w:right w:val="single" w:sz="4" w:space="0" w:color="auto"/>
            </w:tcBorders>
            <w:shd w:val="clear" w:color="000000" w:fill="BDE3FF"/>
            <w:hideMark/>
          </w:tcPr>
          <w:p w14:paraId="3082B6C7" w14:textId="77777777" w:rsidR="0075278E" w:rsidRDefault="0075278E">
            <w:pPr>
              <w:jc w:val="right"/>
              <w:rPr>
                <w:b/>
                <w:bCs/>
                <w:noProof/>
                <w:sz w:val="20"/>
                <w:szCs w:val="20"/>
              </w:rPr>
            </w:pPr>
            <w:r>
              <w:rPr>
                <w:b/>
                <w:bCs/>
                <w:noProof/>
                <w:sz w:val="20"/>
                <w:szCs w:val="20"/>
              </w:rPr>
              <w:t>0.27</w:t>
            </w:r>
          </w:p>
        </w:tc>
        <w:tc>
          <w:tcPr>
            <w:tcW w:w="256" w:type="pct"/>
            <w:tcBorders>
              <w:top w:val="nil"/>
              <w:left w:val="nil"/>
              <w:bottom w:val="single" w:sz="4" w:space="0" w:color="auto"/>
              <w:right w:val="single" w:sz="4" w:space="0" w:color="auto"/>
            </w:tcBorders>
            <w:shd w:val="clear" w:color="000000" w:fill="BDE3FF"/>
            <w:hideMark/>
          </w:tcPr>
          <w:p w14:paraId="21AABBAC" w14:textId="77777777" w:rsidR="0075278E" w:rsidRDefault="0075278E">
            <w:pPr>
              <w:jc w:val="right"/>
              <w:rPr>
                <w:b/>
                <w:bCs/>
                <w:noProof/>
                <w:sz w:val="20"/>
                <w:szCs w:val="20"/>
              </w:rPr>
            </w:pPr>
            <w:r>
              <w:rPr>
                <w:b/>
                <w:bCs/>
                <w:noProof/>
                <w:sz w:val="20"/>
                <w:szCs w:val="20"/>
              </w:rPr>
              <w:t>0.37</w:t>
            </w:r>
          </w:p>
        </w:tc>
        <w:tc>
          <w:tcPr>
            <w:tcW w:w="256" w:type="pct"/>
            <w:tcBorders>
              <w:top w:val="nil"/>
              <w:left w:val="nil"/>
              <w:bottom w:val="single" w:sz="4" w:space="0" w:color="auto"/>
              <w:right w:val="single" w:sz="4" w:space="0" w:color="auto"/>
            </w:tcBorders>
            <w:shd w:val="clear" w:color="000000" w:fill="BDE3FF"/>
            <w:hideMark/>
          </w:tcPr>
          <w:p w14:paraId="2DEE84FC" w14:textId="77777777" w:rsidR="0075278E" w:rsidRDefault="0075278E">
            <w:pPr>
              <w:jc w:val="right"/>
              <w:rPr>
                <w:b/>
                <w:bCs/>
                <w:noProof/>
                <w:sz w:val="20"/>
                <w:szCs w:val="20"/>
              </w:rPr>
            </w:pPr>
            <w:r>
              <w:rPr>
                <w:b/>
                <w:bCs/>
                <w:noProof/>
                <w:sz w:val="20"/>
                <w:szCs w:val="20"/>
              </w:rPr>
              <w:t>0.37</w:t>
            </w:r>
          </w:p>
        </w:tc>
        <w:tc>
          <w:tcPr>
            <w:tcW w:w="256" w:type="pct"/>
            <w:tcBorders>
              <w:top w:val="nil"/>
              <w:left w:val="nil"/>
              <w:bottom w:val="single" w:sz="4" w:space="0" w:color="auto"/>
              <w:right w:val="single" w:sz="4" w:space="0" w:color="auto"/>
            </w:tcBorders>
            <w:shd w:val="clear" w:color="000000" w:fill="BDE3FF"/>
            <w:hideMark/>
          </w:tcPr>
          <w:p w14:paraId="327086AC" w14:textId="77777777" w:rsidR="0075278E" w:rsidRDefault="0075278E">
            <w:pPr>
              <w:jc w:val="right"/>
              <w:rPr>
                <w:b/>
                <w:bCs/>
                <w:noProof/>
                <w:sz w:val="20"/>
                <w:szCs w:val="20"/>
              </w:rPr>
            </w:pPr>
            <w:r>
              <w:rPr>
                <w:b/>
                <w:bCs/>
                <w:noProof/>
                <w:sz w:val="20"/>
                <w:szCs w:val="20"/>
              </w:rPr>
              <w:t>0.37</w:t>
            </w:r>
          </w:p>
        </w:tc>
        <w:tc>
          <w:tcPr>
            <w:tcW w:w="256" w:type="pct"/>
            <w:tcBorders>
              <w:top w:val="nil"/>
              <w:left w:val="nil"/>
              <w:bottom w:val="single" w:sz="4" w:space="0" w:color="auto"/>
              <w:right w:val="single" w:sz="4" w:space="0" w:color="auto"/>
            </w:tcBorders>
            <w:shd w:val="clear" w:color="000000" w:fill="BDE3FF"/>
            <w:hideMark/>
          </w:tcPr>
          <w:p w14:paraId="21EB4722" w14:textId="77777777" w:rsidR="0075278E" w:rsidRDefault="0075278E">
            <w:pPr>
              <w:jc w:val="right"/>
              <w:rPr>
                <w:b/>
                <w:bCs/>
                <w:noProof/>
                <w:sz w:val="20"/>
                <w:szCs w:val="20"/>
              </w:rPr>
            </w:pPr>
            <w:r>
              <w:rPr>
                <w:b/>
                <w:bCs/>
                <w:noProof/>
                <w:sz w:val="20"/>
                <w:szCs w:val="20"/>
              </w:rPr>
              <w:t>0.27</w:t>
            </w:r>
          </w:p>
        </w:tc>
        <w:tc>
          <w:tcPr>
            <w:tcW w:w="256" w:type="pct"/>
            <w:tcBorders>
              <w:top w:val="nil"/>
              <w:left w:val="nil"/>
              <w:bottom w:val="single" w:sz="4" w:space="0" w:color="auto"/>
              <w:right w:val="single" w:sz="4" w:space="0" w:color="auto"/>
            </w:tcBorders>
            <w:shd w:val="clear" w:color="000000" w:fill="BDE3FF"/>
            <w:hideMark/>
          </w:tcPr>
          <w:p w14:paraId="5A14A43D" w14:textId="77777777" w:rsidR="0075278E" w:rsidRDefault="0075278E">
            <w:pPr>
              <w:jc w:val="right"/>
              <w:rPr>
                <w:b/>
                <w:bCs/>
                <w:noProof/>
                <w:sz w:val="20"/>
                <w:szCs w:val="20"/>
              </w:rPr>
            </w:pPr>
            <w:r>
              <w:rPr>
                <w:b/>
                <w:bCs/>
                <w:noProof/>
                <w:sz w:val="20"/>
                <w:szCs w:val="20"/>
              </w:rPr>
              <w:t>0.37</w:t>
            </w:r>
          </w:p>
        </w:tc>
        <w:tc>
          <w:tcPr>
            <w:tcW w:w="256" w:type="pct"/>
            <w:tcBorders>
              <w:top w:val="nil"/>
              <w:left w:val="nil"/>
              <w:bottom w:val="single" w:sz="4" w:space="0" w:color="auto"/>
              <w:right w:val="single" w:sz="4" w:space="0" w:color="auto"/>
            </w:tcBorders>
            <w:shd w:val="clear" w:color="000000" w:fill="BDE3FF"/>
            <w:hideMark/>
          </w:tcPr>
          <w:p w14:paraId="64ED9D89" w14:textId="77777777" w:rsidR="0075278E" w:rsidRDefault="0075278E">
            <w:pPr>
              <w:jc w:val="right"/>
              <w:rPr>
                <w:b/>
                <w:bCs/>
                <w:noProof/>
                <w:sz w:val="20"/>
                <w:szCs w:val="20"/>
              </w:rPr>
            </w:pPr>
            <w:r>
              <w:rPr>
                <w:b/>
                <w:bCs/>
                <w:noProof/>
                <w:sz w:val="20"/>
                <w:szCs w:val="20"/>
              </w:rPr>
              <w:t>0.37</w:t>
            </w:r>
          </w:p>
        </w:tc>
        <w:tc>
          <w:tcPr>
            <w:tcW w:w="256" w:type="pct"/>
            <w:tcBorders>
              <w:top w:val="nil"/>
              <w:left w:val="nil"/>
              <w:bottom w:val="single" w:sz="4" w:space="0" w:color="auto"/>
              <w:right w:val="single" w:sz="4" w:space="0" w:color="auto"/>
            </w:tcBorders>
            <w:shd w:val="clear" w:color="000000" w:fill="BDE3FF"/>
            <w:hideMark/>
          </w:tcPr>
          <w:p w14:paraId="0AC187C2" w14:textId="77777777" w:rsidR="0075278E" w:rsidRDefault="0075278E">
            <w:pPr>
              <w:jc w:val="right"/>
              <w:rPr>
                <w:b/>
                <w:bCs/>
                <w:noProof/>
                <w:sz w:val="20"/>
                <w:szCs w:val="20"/>
              </w:rPr>
            </w:pPr>
            <w:r>
              <w:rPr>
                <w:b/>
                <w:bCs/>
                <w:noProof/>
                <w:sz w:val="20"/>
                <w:szCs w:val="20"/>
              </w:rPr>
              <w:t>0.37</w:t>
            </w:r>
          </w:p>
        </w:tc>
        <w:tc>
          <w:tcPr>
            <w:tcW w:w="256" w:type="pct"/>
            <w:tcBorders>
              <w:top w:val="nil"/>
              <w:left w:val="nil"/>
              <w:bottom w:val="single" w:sz="4" w:space="0" w:color="auto"/>
              <w:right w:val="single" w:sz="4" w:space="0" w:color="auto"/>
            </w:tcBorders>
            <w:shd w:val="clear" w:color="000000" w:fill="BDE3FF"/>
            <w:hideMark/>
          </w:tcPr>
          <w:p w14:paraId="3D81E209" w14:textId="77777777" w:rsidR="0075278E" w:rsidRDefault="0075278E">
            <w:pPr>
              <w:jc w:val="right"/>
              <w:rPr>
                <w:b/>
                <w:bCs/>
                <w:noProof/>
                <w:sz w:val="20"/>
                <w:szCs w:val="20"/>
              </w:rPr>
            </w:pPr>
            <w:r>
              <w:rPr>
                <w:b/>
                <w:bCs/>
                <w:noProof/>
                <w:sz w:val="20"/>
                <w:szCs w:val="20"/>
              </w:rPr>
              <w:t>0.27</w:t>
            </w:r>
          </w:p>
        </w:tc>
        <w:tc>
          <w:tcPr>
            <w:tcW w:w="256" w:type="pct"/>
            <w:tcBorders>
              <w:top w:val="nil"/>
              <w:left w:val="nil"/>
              <w:bottom w:val="single" w:sz="4" w:space="0" w:color="auto"/>
              <w:right w:val="single" w:sz="4" w:space="0" w:color="auto"/>
            </w:tcBorders>
            <w:shd w:val="clear" w:color="000000" w:fill="BDE3FF"/>
            <w:hideMark/>
          </w:tcPr>
          <w:p w14:paraId="3AC954D4" w14:textId="77777777" w:rsidR="0075278E" w:rsidRDefault="0075278E">
            <w:pPr>
              <w:jc w:val="right"/>
              <w:rPr>
                <w:b/>
                <w:bCs/>
                <w:noProof/>
                <w:sz w:val="20"/>
                <w:szCs w:val="20"/>
              </w:rPr>
            </w:pPr>
            <w:r>
              <w:rPr>
                <w:b/>
                <w:bCs/>
                <w:noProof/>
                <w:sz w:val="20"/>
                <w:szCs w:val="20"/>
              </w:rPr>
              <w:t>0.37</w:t>
            </w:r>
          </w:p>
        </w:tc>
        <w:tc>
          <w:tcPr>
            <w:tcW w:w="256" w:type="pct"/>
            <w:tcBorders>
              <w:top w:val="nil"/>
              <w:left w:val="nil"/>
              <w:bottom w:val="single" w:sz="4" w:space="0" w:color="auto"/>
              <w:right w:val="single" w:sz="4" w:space="0" w:color="auto"/>
            </w:tcBorders>
            <w:shd w:val="clear" w:color="000000" w:fill="BDE3FF"/>
            <w:hideMark/>
          </w:tcPr>
          <w:p w14:paraId="58C80F86" w14:textId="77777777" w:rsidR="0075278E" w:rsidRDefault="0075278E">
            <w:pPr>
              <w:jc w:val="right"/>
              <w:rPr>
                <w:b/>
                <w:bCs/>
                <w:noProof/>
                <w:sz w:val="20"/>
                <w:szCs w:val="20"/>
              </w:rPr>
            </w:pPr>
            <w:r>
              <w:rPr>
                <w:b/>
                <w:bCs/>
                <w:noProof/>
                <w:sz w:val="20"/>
                <w:szCs w:val="20"/>
              </w:rPr>
              <w:t>0.37</w:t>
            </w:r>
          </w:p>
        </w:tc>
        <w:tc>
          <w:tcPr>
            <w:tcW w:w="256" w:type="pct"/>
            <w:tcBorders>
              <w:top w:val="nil"/>
              <w:left w:val="nil"/>
              <w:bottom w:val="single" w:sz="4" w:space="0" w:color="auto"/>
              <w:right w:val="single" w:sz="4" w:space="0" w:color="auto"/>
            </w:tcBorders>
            <w:shd w:val="clear" w:color="000000" w:fill="BDE3FF"/>
            <w:hideMark/>
          </w:tcPr>
          <w:p w14:paraId="0E085E9A" w14:textId="77777777" w:rsidR="0075278E" w:rsidRDefault="0075278E">
            <w:pPr>
              <w:jc w:val="right"/>
              <w:rPr>
                <w:b/>
                <w:bCs/>
                <w:noProof/>
                <w:sz w:val="20"/>
                <w:szCs w:val="20"/>
              </w:rPr>
            </w:pPr>
            <w:r>
              <w:rPr>
                <w:b/>
                <w:bCs/>
                <w:noProof/>
                <w:sz w:val="20"/>
                <w:szCs w:val="20"/>
              </w:rPr>
              <w:t>0.37</w:t>
            </w:r>
          </w:p>
        </w:tc>
        <w:tc>
          <w:tcPr>
            <w:tcW w:w="256" w:type="pct"/>
            <w:tcBorders>
              <w:top w:val="nil"/>
              <w:left w:val="nil"/>
              <w:bottom w:val="single" w:sz="4" w:space="0" w:color="auto"/>
              <w:right w:val="single" w:sz="4" w:space="0" w:color="auto"/>
            </w:tcBorders>
            <w:shd w:val="clear" w:color="000000" w:fill="BDE3FF"/>
            <w:hideMark/>
          </w:tcPr>
          <w:p w14:paraId="7221E207" w14:textId="77777777" w:rsidR="0075278E" w:rsidRDefault="0075278E">
            <w:pPr>
              <w:jc w:val="right"/>
              <w:rPr>
                <w:b/>
                <w:bCs/>
                <w:noProof/>
                <w:sz w:val="20"/>
                <w:szCs w:val="20"/>
              </w:rPr>
            </w:pPr>
            <w:r>
              <w:rPr>
                <w:b/>
                <w:bCs/>
                <w:noProof/>
                <w:sz w:val="20"/>
                <w:szCs w:val="20"/>
              </w:rPr>
              <w:t>0.27</w:t>
            </w:r>
          </w:p>
        </w:tc>
        <w:tc>
          <w:tcPr>
            <w:tcW w:w="256" w:type="pct"/>
            <w:tcBorders>
              <w:top w:val="nil"/>
              <w:left w:val="nil"/>
              <w:bottom w:val="single" w:sz="4" w:space="0" w:color="auto"/>
              <w:right w:val="single" w:sz="4" w:space="0" w:color="auto"/>
            </w:tcBorders>
            <w:shd w:val="clear" w:color="000000" w:fill="BDE3FF"/>
            <w:hideMark/>
          </w:tcPr>
          <w:p w14:paraId="18E92D91" w14:textId="77777777" w:rsidR="0075278E" w:rsidRDefault="0075278E">
            <w:pPr>
              <w:jc w:val="right"/>
              <w:rPr>
                <w:b/>
                <w:bCs/>
                <w:noProof/>
                <w:sz w:val="20"/>
                <w:szCs w:val="20"/>
              </w:rPr>
            </w:pPr>
            <w:r>
              <w:rPr>
                <w:b/>
                <w:bCs/>
                <w:noProof/>
                <w:sz w:val="20"/>
                <w:szCs w:val="20"/>
              </w:rPr>
              <w:t>0.37</w:t>
            </w:r>
          </w:p>
        </w:tc>
        <w:tc>
          <w:tcPr>
            <w:tcW w:w="256" w:type="pct"/>
            <w:tcBorders>
              <w:top w:val="nil"/>
              <w:left w:val="nil"/>
              <w:bottom w:val="single" w:sz="4" w:space="0" w:color="auto"/>
              <w:right w:val="single" w:sz="4" w:space="0" w:color="auto"/>
            </w:tcBorders>
            <w:shd w:val="clear" w:color="000000" w:fill="BDE3FF"/>
            <w:hideMark/>
          </w:tcPr>
          <w:p w14:paraId="4485D371" w14:textId="77777777" w:rsidR="0075278E" w:rsidRDefault="0075278E">
            <w:pPr>
              <w:jc w:val="right"/>
              <w:rPr>
                <w:b/>
                <w:bCs/>
                <w:noProof/>
                <w:sz w:val="20"/>
                <w:szCs w:val="20"/>
              </w:rPr>
            </w:pPr>
            <w:r>
              <w:rPr>
                <w:b/>
                <w:bCs/>
                <w:noProof/>
                <w:sz w:val="20"/>
                <w:szCs w:val="20"/>
              </w:rPr>
              <w:t>0.37</w:t>
            </w:r>
          </w:p>
        </w:tc>
        <w:tc>
          <w:tcPr>
            <w:tcW w:w="254" w:type="pct"/>
            <w:tcBorders>
              <w:top w:val="nil"/>
              <w:left w:val="nil"/>
              <w:bottom w:val="single" w:sz="4" w:space="0" w:color="auto"/>
              <w:right w:val="single" w:sz="4" w:space="0" w:color="auto"/>
            </w:tcBorders>
            <w:shd w:val="clear" w:color="000000" w:fill="BDE3FF"/>
            <w:hideMark/>
          </w:tcPr>
          <w:p w14:paraId="5D0D5FA1" w14:textId="77777777" w:rsidR="0075278E" w:rsidRDefault="0075278E">
            <w:pPr>
              <w:jc w:val="right"/>
              <w:rPr>
                <w:b/>
                <w:bCs/>
                <w:noProof/>
                <w:sz w:val="20"/>
                <w:szCs w:val="20"/>
              </w:rPr>
            </w:pPr>
            <w:r>
              <w:rPr>
                <w:b/>
                <w:bCs/>
                <w:noProof/>
                <w:sz w:val="20"/>
                <w:szCs w:val="20"/>
              </w:rPr>
              <w:t>0.37</w:t>
            </w:r>
          </w:p>
        </w:tc>
      </w:tr>
      <w:tr w:rsidR="00DB6314" w14:paraId="049B2E41" w14:textId="77777777" w:rsidTr="0075278E">
        <w:trPr>
          <w:trHeight w:val="255"/>
        </w:trPr>
        <w:tc>
          <w:tcPr>
            <w:tcW w:w="906" w:type="pct"/>
            <w:tcBorders>
              <w:top w:val="nil"/>
              <w:left w:val="single" w:sz="4" w:space="0" w:color="auto"/>
              <w:bottom w:val="single" w:sz="4" w:space="0" w:color="auto"/>
              <w:right w:val="single" w:sz="4" w:space="0" w:color="auto"/>
            </w:tcBorders>
            <w:hideMark/>
          </w:tcPr>
          <w:p w14:paraId="4668F89E" w14:textId="77777777" w:rsidR="0075278E" w:rsidRDefault="0075278E">
            <w:pPr>
              <w:rPr>
                <w:noProof/>
                <w:color w:val="000000"/>
                <w:sz w:val="20"/>
                <w:szCs w:val="20"/>
              </w:rPr>
            </w:pPr>
            <w:r>
              <w:rPr>
                <w:noProof/>
                <w:color w:val="000000"/>
                <w:sz w:val="20"/>
                <w:szCs w:val="20"/>
              </w:rPr>
              <w:t>PM6 (Enforcement authority)</w:t>
            </w:r>
          </w:p>
        </w:tc>
        <w:tc>
          <w:tcPr>
            <w:tcW w:w="256" w:type="pct"/>
            <w:tcBorders>
              <w:top w:val="nil"/>
              <w:left w:val="nil"/>
              <w:bottom w:val="single" w:sz="4" w:space="0" w:color="auto"/>
              <w:right w:val="single" w:sz="4" w:space="0" w:color="auto"/>
            </w:tcBorders>
            <w:shd w:val="clear" w:color="000000" w:fill="FFFFFF"/>
            <w:noWrap/>
            <w:hideMark/>
          </w:tcPr>
          <w:p w14:paraId="44168F0E" w14:textId="77777777" w:rsidR="0075278E" w:rsidRDefault="0075278E">
            <w:pPr>
              <w:jc w:val="right"/>
              <w:rPr>
                <w:noProof/>
                <w:color w:val="000000"/>
                <w:sz w:val="20"/>
                <w:szCs w:val="20"/>
              </w:rPr>
            </w:pPr>
            <w:r>
              <w:rPr>
                <w:noProof/>
                <w:color w:val="000000"/>
                <w:sz w:val="20"/>
                <w:szCs w:val="20"/>
              </w:rPr>
              <w:t>0.03</w:t>
            </w:r>
          </w:p>
        </w:tc>
        <w:tc>
          <w:tcPr>
            <w:tcW w:w="256" w:type="pct"/>
            <w:tcBorders>
              <w:top w:val="nil"/>
              <w:left w:val="nil"/>
              <w:bottom w:val="single" w:sz="4" w:space="0" w:color="auto"/>
              <w:right w:val="single" w:sz="4" w:space="0" w:color="auto"/>
            </w:tcBorders>
            <w:shd w:val="clear" w:color="000000" w:fill="FFFFFF"/>
            <w:noWrap/>
            <w:hideMark/>
          </w:tcPr>
          <w:p w14:paraId="307AD4C5" w14:textId="77777777" w:rsidR="0075278E" w:rsidRDefault="0075278E">
            <w:pPr>
              <w:jc w:val="right"/>
              <w:rPr>
                <w:noProof/>
                <w:color w:val="000000"/>
                <w:sz w:val="20"/>
                <w:szCs w:val="20"/>
              </w:rPr>
            </w:pPr>
            <w:r>
              <w:rPr>
                <w:noProof/>
                <w:color w:val="000000"/>
                <w:sz w:val="20"/>
                <w:szCs w:val="20"/>
              </w:rPr>
              <w:t>0.13</w:t>
            </w:r>
          </w:p>
        </w:tc>
        <w:tc>
          <w:tcPr>
            <w:tcW w:w="256" w:type="pct"/>
            <w:tcBorders>
              <w:top w:val="nil"/>
              <w:left w:val="nil"/>
              <w:bottom w:val="single" w:sz="4" w:space="0" w:color="auto"/>
              <w:right w:val="single" w:sz="4" w:space="0" w:color="auto"/>
            </w:tcBorders>
            <w:shd w:val="clear" w:color="000000" w:fill="FFFFFF"/>
            <w:noWrap/>
            <w:hideMark/>
          </w:tcPr>
          <w:p w14:paraId="73414462" w14:textId="77777777" w:rsidR="0075278E" w:rsidRDefault="0075278E">
            <w:pPr>
              <w:jc w:val="right"/>
              <w:rPr>
                <w:noProof/>
                <w:color w:val="000000"/>
                <w:sz w:val="20"/>
                <w:szCs w:val="20"/>
              </w:rPr>
            </w:pPr>
            <w:r>
              <w:rPr>
                <w:noProof/>
                <w:color w:val="000000"/>
                <w:sz w:val="20"/>
                <w:szCs w:val="20"/>
              </w:rPr>
              <w:t>0.13</w:t>
            </w:r>
          </w:p>
        </w:tc>
        <w:tc>
          <w:tcPr>
            <w:tcW w:w="256" w:type="pct"/>
            <w:tcBorders>
              <w:top w:val="nil"/>
              <w:left w:val="nil"/>
              <w:bottom w:val="single" w:sz="4" w:space="0" w:color="auto"/>
              <w:right w:val="single" w:sz="4" w:space="0" w:color="auto"/>
            </w:tcBorders>
            <w:shd w:val="clear" w:color="000000" w:fill="FFFFFF"/>
            <w:noWrap/>
            <w:hideMark/>
          </w:tcPr>
          <w:p w14:paraId="29E953FF" w14:textId="77777777" w:rsidR="0075278E" w:rsidRDefault="0075278E">
            <w:pPr>
              <w:jc w:val="right"/>
              <w:rPr>
                <w:noProof/>
                <w:color w:val="000000"/>
                <w:sz w:val="20"/>
                <w:szCs w:val="20"/>
              </w:rPr>
            </w:pPr>
            <w:r>
              <w:rPr>
                <w:noProof/>
                <w:color w:val="000000"/>
                <w:sz w:val="20"/>
                <w:szCs w:val="20"/>
              </w:rPr>
              <w:t>0.13</w:t>
            </w:r>
          </w:p>
        </w:tc>
        <w:tc>
          <w:tcPr>
            <w:tcW w:w="256" w:type="pct"/>
            <w:tcBorders>
              <w:top w:val="nil"/>
              <w:left w:val="nil"/>
              <w:bottom w:val="single" w:sz="4" w:space="0" w:color="auto"/>
              <w:right w:val="single" w:sz="4" w:space="0" w:color="auto"/>
            </w:tcBorders>
            <w:shd w:val="clear" w:color="000000" w:fill="FFFFFF"/>
            <w:noWrap/>
            <w:hideMark/>
          </w:tcPr>
          <w:p w14:paraId="774822CB" w14:textId="77777777" w:rsidR="0075278E" w:rsidRDefault="0075278E">
            <w:pPr>
              <w:jc w:val="right"/>
              <w:rPr>
                <w:noProof/>
                <w:color w:val="000000"/>
                <w:sz w:val="20"/>
                <w:szCs w:val="20"/>
              </w:rPr>
            </w:pPr>
            <w:r>
              <w:rPr>
                <w:noProof/>
                <w:color w:val="000000"/>
                <w:sz w:val="20"/>
                <w:szCs w:val="20"/>
              </w:rPr>
              <w:t>0.03</w:t>
            </w:r>
          </w:p>
        </w:tc>
        <w:tc>
          <w:tcPr>
            <w:tcW w:w="256" w:type="pct"/>
            <w:tcBorders>
              <w:top w:val="nil"/>
              <w:left w:val="nil"/>
              <w:bottom w:val="single" w:sz="4" w:space="0" w:color="auto"/>
              <w:right w:val="single" w:sz="4" w:space="0" w:color="auto"/>
            </w:tcBorders>
            <w:shd w:val="clear" w:color="000000" w:fill="FFFFFF"/>
            <w:noWrap/>
            <w:hideMark/>
          </w:tcPr>
          <w:p w14:paraId="256BB8B0" w14:textId="77777777" w:rsidR="0075278E" w:rsidRDefault="0075278E">
            <w:pPr>
              <w:jc w:val="right"/>
              <w:rPr>
                <w:noProof/>
                <w:color w:val="000000"/>
                <w:sz w:val="20"/>
                <w:szCs w:val="20"/>
              </w:rPr>
            </w:pPr>
            <w:r>
              <w:rPr>
                <w:noProof/>
                <w:color w:val="000000"/>
                <w:sz w:val="20"/>
                <w:szCs w:val="20"/>
              </w:rPr>
              <w:t>0.13</w:t>
            </w:r>
          </w:p>
        </w:tc>
        <w:tc>
          <w:tcPr>
            <w:tcW w:w="256" w:type="pct"/>
            <w:tcBorders>
              <w:top w:val="nil"/>
              <w:left w:val="nil"/>
              <w:bottom w:val="single" w:sz="4" w:space="0" w:color="auto"/>
              <w:right w:val="single" w:sz="4" w:space="0" w:color="auto"/>
            </w:tcBorders>
            <w:shd w:val="clear" w:color="000000" w:fill="FFFFFF"/>
            <w:noWrap/>
            <w:hideMark/>
          </w:tcPr>
          <w:p w14:paraId="309903FE" w14:textId="77777777" w:rsidR="0075278E" w:rsidRDefault="0075278E">
            <w:pPr>
              <w:jc w:val="right"/>
              <w:rPr>
                <w:noProof/>
                <w:color w:val="000000"/>
                <w:sz w:val="20"/>
                <w:szCs w:val="20"/>
              </w:rPr>
            </w:pPr>
            <w:r>
              <w:rPr>
                <w:noProof/>
                <w:color w:val="000000"/>
                <w:sz w:val="20"/>
                <w:szCs w:val="20"/>
              </w:rPr>
              <w:t>0.13</w:t>
            </w:r>
          </w:p>
        </w:tc>
        <w:tc>
          <w:tcPr>
            <w:tcW w:w="256" w:type="pct"/>
            <w:tcBorders>
              <w:top w:val="nil"/>
              <w:left w:val="nil"/>
              <w:bottom w:val="single" w:sz="4" w:space="0" w:color="auto"/>
              <w:right w:val="single" w:sz="4" w:space="0" w:color="auto"/>
            </w:tcBorders>
            <w:shd w:val="clear" w:color="000000" w:fill="FFFFFF"/>
            <w:noWrap/>
            <w:hideMark/>
          </w:tcPr>
          <w:p w14:paraId="793AE8C2" w14:textId="77777777" w:rsidR="0075278E" w:rsidRDefault="0075278E">
            <w:pPr>
              <w:jc w:val="right"/>
              <w:rPr>
                <w:noProof/>
                <w:color w:val="000000"/>
                <w:sz w:val="20"/>
                <w:szCs w:val="20"/>
              </w:rPr>
            </w:pPr>
            <w:r>
              <w:rPr>
                <w:noProof/>
                <w:color w:val="000000"/>
                <w:sz w:val="20"/>
                <w:szCs w:val="20"/>
              </w:rPr>
              <w:t>0.13</w:t>
            </w:r>
          </w:p>
        </w:tc>
        <w:tc>
          <w:tcPr>
            <w:tcW w:w="256" w:type="pct"/>
            <w:tcBorders>
              <w:top w:val="nil"/>
              <w:left w:val="nil"/>
              <w:bottom w:val="single" w:sz="4" w:space="0" w:color="auto"/>
              <w:right w:val="single" w:sz="4" w:space="0" w:color="auto"/>
            </w:tcBorders>
            <w:shd w:val="clear" w:color="000000" w:fill="FFFFFF"/>
            <w:noWrap/>
            <w:hideMark/>
          </w:tcPr>
          <w:p w14:paraId="6400513C" w14:textId="77777777" w:rsidR="0075278E" w:rsidRDefault="0075278E">
            <w:pPr>
              <w:jc w:val="right"/>
              <w:rPr>
                <w:noProof/>
                <w:color w:val="000000"/>
                <w:sz w:val="20"/>
                <w:szCs w:val="20"/>
              </w:rPr>
            </w:pPr>
            <w:r>
              <w:rPr>
                <w:noProof/>
                <w:color w:val="000000"/>
                <w:sz w:val="20"/>
                <w:szCs w:val="20"/>
              </w:rPr>
              <w:t>0.03</w:t>
            </w:r>
          </w:p>
        </w:tc>
        <w:tc>
          <w:tcPr>
            <w:tcW w:w="256" w:type="pct"/>
            <w:tcBorders>
              <w:top w:val="nil"/>
              <w:left w:val="nil"/>
              <w:bottom w:val="single" w:sz="4" w:space="0" w:color="auto"/>
              <w:right w:val="single" w:sz="4" w:space="0" w:color="auto"/>
            </w:tcBorders>
            <w:shd w:val="clear" w:color="000000" w:fill="FFFFFF"/>
            <w:noWrap/>
            <w:hideMark/>
          </w:tcPr>
          <w:p w14:paraId="7B396740" w14:textId="77777777" w:rsidR="0075278E" w:rsidRDefault="0075278E">
            <w:pPr>
              <w:jc w:val="right"/>
              <w:rPr>
                <w:noProof/>
                <w:color w:val="000000"/>
                <w:sz w:val="20"/>
                <w:szCs w:val="20"/>
              </w:rPr>
            </w:pPr>
            <w:r>
              <w:rPr>
                <w:noProof/>
                <w:color w:val="000000"/>
                <w:sz w:val="20"/>
                <w:szCs w:val="20"/>
              </w:rPr>
              <w:t>0.13</w:t>
            </w:r>
          </w:p>
        </w:tc>
        <w:tc>
          <w:tcPr>
            <w:tcW w:w="256" w:type="pct"/>
            <w:tcBorders>
              <w:top w:val="nil"/>
              <w:left w:val="nil"/>
              <w:bottom w:val="single" w:sz="4" w:space="0" w:color="auto"/>
              <w:right w:val="single" w:sz="4" w:space="0" w:color="auto"/>
            </w:tcBorders>
            <w:shd w:val="clear" w:color="000000" w:fill="FFFFFF"/>
            <w:noWrap/>
            <w:hideMark/>
          </w:tcPr>
          <w:p w14:paraId="643AF723" w14:textId="77777777" w:rsidR="0075278E" w:rsidRDefault="0075278E">
            <w:pPr>
              <w:jc w:val="right"/>
              <w:rPr>
                <w:noProof/>
                <w:color w:val="000000"/>
                <w:sz w:val="20"/>
                <w:szCs w:val="20"/>
              </w:rPr>
            </w:pPr>
            <w:r>
              <w:rPr>
                <w:noProof/>
                <w:color w:val="000000"/>
                <w:sz w:val="20"/>
                <w:szCs w:val="20"/>
              </w:rPr>
              <w:t>0.13</w:t>
            </w:r>
          </w:p>
        </w:tc>
        <w:tc>
          <w:tcPr>
            <w:tcW w:w="256" w:type="pct"/>
            <w:tcBorders>
              <w:top w:val="nil"/>
              <w:left w:val="nil"/>
              <w:bottom w:val="single" w:sz="4" w:space="0" w:color="auto"/>
              <w:right w:val="single" w:sz="4" w:space="0" w:color="auto"/>
            </w:tcBorders>
            <w:shd w:val="clear" w:color="000000" w:fill="FFFFFF"/>
            <w:noWrap/>
            <w:hideMark/>
          </w:tcPr>
          <w:p w14:paraId="4527E157" w14:textId="77777777" w:rsidR="0075278E" w:rsidRDefault="0075278E">
            <w:pPr>
              <w:jc w:val="right"/>
              <w:rPr>
                <w:noProof/>
                <w:color w:val="000000"/>
                <w:sz w:val="20"/>
                <w:szCs w:val="20"/>
              </w:rPr>
            </w:pPr>
            <w:r>
              <w:rPr>
                <w:noProof/>
                <w:color w:val="000000"/>
                <w:sz w:val="20"/>
                <w:szCs w:val="20"/>
              </w:rPr>
              <w:t>0.13</w:t>
            </w:r>
          </w:p>
        </w:tc>
        <w:tc>
          <w:tcPr>
            <w:tcW w:w="256" w:type="pct"/>
            <w:tcBorders>
              <w:top w:val="nil"/>
              <w:left w:val="nil"/>
              <w:bottom w:val="single" w:sz="4" w:space="0" w:color="auto"/>
              <w:right w:val="single" w:sz="4" w:space="0" w:color="auto"/>
            </w:tcBorders>
            <w:shd w:val="clear" w:color="000000" w:fill="FFFFFF"/>
            <w:noWrap/>
            <w:hideMark/>
          </w:tcPr>
          <w:p w14:paraId="25FCA877" w14:textId="77777777" w:rsidR="0075278E" w:rsidRDefault="0075278E">
            <w:pPr>
              <w:jc w:val="right"/>
              <w:rPr>
                <w:noProof/>
                <w:color w:val="000000"/>
                <w:sz w:val="20"/>
                <w:szCs w:val="20"/>
              </w:rPr>
            </w:pPr>
            <w:r>
              <w:rPr>
                <w:noProof/>
                <w:color w:val="000000"/>
                <w:sz w:val="20"/>
                <w:szCs w:val="20"/>
              </w:rPr>
              <w:t>0.03</w:t>
            </w:r>
          </w:p>
        </w:tc>
        <w:tc>
          <w:tcPr>
            <w:tcW w:w="256" w:type="pct"/>
            <w:tcBorders>
              <w:top w:val="nil"/>
              <w:left w:val="nil"/>
              <w:bottom w:val="single" w:sz="4" w:space="0" w:color="auto"/>
              <w:right w:val="single" w:sz="4" w:space="0" w:color="auto"/>
            </w:tcBorders>
            <w:shd w:val="clear" w:color="000000" w:fill="FFFFFF"/>
            <w:noWrap/>
            <w:hideMark/>
          </w:tcPr>
          <w:p w14:paraId="68D7993F" w14:textId="77777777" w:rsidR="0075278E" w:rsidRDefault="0075278E">
            <w:pPr>
              <w:jc w:val="right"/>
              <w:rPr>
                <w:noProof/>
                <w:color w:val="000000"/>
                <w:sz w:val="20"/>
                <w:szCs w:val="20"/>
              </w:rPr>
            </w:pPr>
            <w:r>
              <w:rPr>
                <w:noProof/>
                <w:color w:val="000000"/>
                <w:sz w:val="20"/>
                <w:szCs w:val="20"/>
              </w:rPr>
              <w:t>0.13</w:t>
            </w:r>
          </w:p>
        </w:tc>
        <w:tc>
          <w:tcPr>
            <w:tcW w:w="256" w:type="pct"/>
            <w:tcBorders>
              <w:top w:val="nil"/>
              <w:left w:val="nil"/>
              <w:bottom w:val="single" w:sz="4" w:space="0" w:color="auto"/>
              <w:right w:val="single" w:sz="4" w:space="0" w:color="auto"/>
            </w:tcBorders>
            <w:shd w:val="clear" w:color="000000" w:fill="FFFFFF"/>
            <w:noWrap/>
            <w:hideMark/>
          </w:tcPr>
          <w:p w14:paraId="321EF2AF" w14:textId="77777777" w:rsidR="0075278E" w:rsidRDefault="0075278E">
            <w:pPr>
              <w:jc w:val="right"/>
              <w:rPr>
                <w:noProof/>
                <w:color w:val="000000"/>
                <w:sz w:val="20"/>
                <w:szCs w:val="20"/>
              </w:rPr>
            </w:pPr>
            <w:r>
              <w:rPr>
                <w:noProof/>
                <w:color w:val="000000"/>
                <w:sz w:val="20"/>
                <w:szCs w:val="20"/>
              </w:rPr>
              <w:t>0.13</w:t>
            </w:r>
          </w:p>
        </w:tc>
        <w:tc>
          <w:tcPr>
            <w:tcW w:w="254" w:type="pct"/>
            <w:tcBorders>
              <w:top w:val="nil"/>
              <w:left w:val="nil"/>
              <w:bottom w:val="single" w:sz="4" w:space="0" w:color="auto"/>
              <w:right w:val="single" w:sz="4" w:space="0" w:color="auto"/>
            </w:tcBorders>
            <w:shd w:val="clear" w:color="000000" w:fill="FFFFFF"/>
            <w:noWrap/>
            <w:hideMark/>
          </w:tcPr>
          <w:p w14:paraId="6850F385" w14:textId="77777777" w:rsidR="0075278E" w:rsidRDefault="0075278E">
            <w:pPr>
              <w:jc w:val="right"/>
              <w:rPr>
                <w:noProof/>
                <w:color w:val="000000"/>
                <w:sz w:val="20"/>
                <w:szCs w:val="20"/>
              </w:rPr>
            </w:pPr>
            <w:r>
              <w:rPr>
                <w:noProof/>
                <w:color w:val="000000"/>
                <w:sz w:val="20"/>
                <w:szCs w:val="20"/>
              </w:rPr>
              <w:t>0.13</w:t>
            </w:r>
          </w:p>
        </w:tc>
      </w:tr>
      <w:tr w:rsidR="00DB6314" w14:paraId="08FEC4D0" w14:textId="77777777" w:rsidTr="0075278E">
        <w:trPr>
          <w:trHeight w:val="555"/>
        </w:trPr>
        <w:tc>
          <w:tcPr>
            <w:tcW w:w="906" w:type="pct"/>
            <w:tcBorders>
              <w:top w:val="nil"/>
              <w:left w:val="single" w:sz="4" w:space="0" w:color="auto"/>
              <w:bottom w:val="single" w:sz="4" w:space="0" w:color="auto"/>
              <w:right w:val="single" w:sz="4" w:space="0" w:color="auto"/>
            </w:tcBorders>
            <w:hideMark/>
          </w:tcPr>
          <w:p w14:paraId="504A2D88" w14:textId="77777777" w:rsidR="0075278E" w:rsidRDefault="0075278E">
            <w:pPr>
              <w:rPr>
                <w:noProof/>
                <w:color w:val="000000"/>
                <w:sz w:val="20"/>
                <w:szCs w:val="20"/>
              </w:rPr>
            </w:pPr>
            <w:r>
              <w:rPr>
                <w:noProof/>
                <w:color w:val="000000"/>
                <w:sz w:val="20"/>
                <w:szCs w:val="20"/>
              </w:rPr>
              <w:t>PM10 (Designation of indispensable MDMS and RUs)</w:t>
            </w:r>
          </w:p>
        </w:tc>
        <w:tc>
          <w:tcPr>
            <w:tcW w:w="256" w:type="pct"/>
            <w:tcBorders>
              <w:top w:val="nil"/>
              <w:left w:val="nil"/>
              <w:bottom w:val="single" w:sz="4" w:space="0" w:color="auto"/>
              <w:right w:val="single" w:sz="4" w:space="0" w:color="auto"/>
            </w:tcBorders>
            <w:shd w:val="clear" w:color="000000" w:fill="FFFFFF"/>
            <w:noWrap/>
            <w:hideMark/>
          </w:tcPr>
          <w:p w14:paraId="48C1A3E8" w14:textId="77777777" w:rsidR="0075278E" w:rsidRDefault="0075278E">
            <w:pPr>
              <w:jc w:val="right"/>
              <w:rPr>
                <w:noProof/>
                <w:color w:val="000000"/>
                <w:sz w:val="20"/>
                <w:szCs w:val="20"/>
              </w:rPr>
            </w:pPr>
            <w:r>
              <w:rPr>
                <w:noProof/>
                <w:color w:val="000000"/>
                <w:sz w:val="20"/>
                <w:szCs w:val="20"/>
              </w:rPr>
              <w:t>0.24</w:t>
            </w:r>
          </w:p>
        </w:tc>
        <w:tc>
          <w:tcPr>
            <w:tcW w:w="256" w:type="pct"/>
            <w:tcBorders>
              <w:top w:val="nil"/>
              <w:left w:val="nil"/>
              <w:bottom w:val="single" w:sz="4" w:space="0" w:color="auto"/>
              <w:right w:val="single" w:sz="4" w:space="0" w:color="auto"/>
            </w:tcBorders>
            <w:shd w:val="clear" w:color="000000" w:fill="FFFFFF"/>
            <w:noWrap/>
            <w:hideMark/>
          </w:tcPr>
          <w:p w14:paraId="47B9CB88" w14:textId="77777777" w:rsidR="0075278E" w:rsidRDefault="0075278E">
            <w:pPr>
              <w:jc w:val="right"/>
              <w:rPr>
                <w:noProof/>
                <w:color w:val="000000"/>
                <w:sz w:val="20"/>
                <w:szCs w:val="20"/>
              </w:rPr>
            </w:pPr>
            <w:r>
              <w:rPr>
                <w:noProof/>
                <w:color w:val="000000"/>
                <w:sz w:val="20"/>
                <w:szCs w:val="20"/>
              </w:rPr>
              <w:t>0.24</w:t>
            </w:r>
          </w:p>
        </w:tc>
        <w:tc>
          <w:tcPr>
            <w:tcW w:w="256" w:type="pct"/>
            <w:tcBorders>
              <w:top w:val="nil"/>
              <w:left w:val="nil"/>
              <w:bottom w:val="single" w:sz="4" w:space="0" w:color="auto"/>
              <w:right w:val="single" w:sz="4" w:space="0" w:color="auto"/>
            </w:tcBorders>
            <w:shd w:val="clear" w:color="000000" w:fill="FFFFFF"/>
            <w:noWrap/>
            <w:hideMark/>
          </w:tcPr>
          <w:p w14:paraId="3DC1E87D" w14:textId="77777777" w:rsidR="0075278E" w:rsidRDefault="0075278E">
            <w:pPr>
              <w:jc w:val="right"/>
              <w:rPr>
                <w:noProof/>
                <w:color w:val="000000"/>
                <w:sz w:val="20"/>
                <w:szCs w:val="20"/>
              </w:rPr>
            </w:pPr>
            <w:r>
              <w:rPr>
                <w:noProof/>
                <w:color w:val="000000"/>
                <w:sz w:val="20"/>
                <w:szCs w:val="20"/>
              </w:rPr>
              <w:t>0.24</w:t>
            </w:r>
          </w:p>
        </w:tc>
        <w:tc>
          <w:tcPr>
            <w:tcW w:w="256" w:type="pct"/>
            <w:tcBorders>
              <w:top w:val="nil"/>
              <w:left w:val="nil"/>
              <w:bottom w:val="single" w:sz="4" w:space="0" w:color="auto"/>
              <w:right w:val="single" w:sz="4" w:space="0" w:color="auto"/>
            </w:tcBorders>
            <w:shd w:val="clear" w:color="000000" w:fill="FFFFFF"/>
            <w:noWrap/>
            <w:hideMark/>
          </w:tcPr>
          <w:p w14:paraId="5300D335" w14:textId="77777777" w:rsidR="0075278E" w:rsidRDefault="0075278E">
            <w:pPr>
              <w:jc w:val="right"/>
              <w:rPr>
                <w:noProof/>
                <w:color w:val="000000"/>
                <w:sz w:val="20"/>
                <w:szCs w:val="20"/>
              </w:rPr>
            </w:pPr>
            <w:r>
              <w:rPr>
                <w:noProof/>
                <w:color w:val="000000"/>
                <w:sz w:val="20"/>
                <w:szCs w:val="20"/>
              </w:rPr>
              <w:t>0.24</w:t>
            </w:r>
          </w:p>
        </w:tc>
        <w:tc>
          <w:tcPr>
            <w:tcW w:w="256" w:type="pct"/>
            <w:tcBorders>
              <w:top w:val="nil"/>
              <w:left w:val="nil"/>
              <w:bottom w:val="single" w:sz="4" w:space="0" w:color="auto"/>
              <w:right w:val="single" w:sz="4" w:space="0" w:color="auto"/>
            </w:tcBorders>
            <w:shd w:val="clear" w:color="000000" w:fill="FFFFFF"/>
            <w:noWrap/>
            <w:hideMark/>
          </w:tcPr>
          <w:p w14:paraId="61B38340" w14:textId="77777777" w:rsidR="0075278E" w:rsidRDefault="0075278E">
            <w:pPr>
              <w:jc w:val="right"/>
              <w:rPr>
                <w:noProof/>
                <w:color w:val="000000"/>
                <w:sz w:val="20"/>
                <w:szCs w:val="20"/>
              </w:rPr>
            </w:pPr>
            <w:r>
              <w:rPr>
                <w:noProof/>
                <w:color w:val="000000"/>
                <w:sz w:val="20"/>
                <w:szCs w:val="20"/>
              </w:rPr>
              <w:t>0.24</w:t>
            </w:r>
          </w:p>
        </w:tc>
        <w:tc>
          <w:tcPr>
            <w:tcW w:w="256" w:type="pct"/>
            <w:tcBorders>
              <w:top w:val="nil"/>
              <w:left w:val="nil"/>
              <w:bottom w:val="single" w:sz="4" w:space="0" w:color="auto"/>
              <w:right w:val="single" w:sz="4" w:space="0" w:color="auto"/>
            </w:tcBorders>
            <w:shd w:val="clear" w:color="000000" w:fill="FFFFFF"/>
            <w:noWrap/>
            <w:hideMark/>
          </w:tcPr>
          <w:p w14:paraId="3EBF16C6" w14:textId="77777777" w:rsidR="0075278E" w:rsidRDefault="0075278E">
            <w:pPr>
              <w:jc w:val="right"/>
              <w:rPr>
                <w:noProof/>
                <w:color w:val="000000"/>
                <w:sz w:val="20"/>
                <w:szCs w:val="20"/>
              </w:rPr>
            </w:pPr>
            <w:r>
              <w:rPr>
                <w:noProof/>
                <w:color w:val="000000"/>
                <w:sz w:val="20"/>
                <w:szCs w:val="20"/>
              </w:rPr>
              <w:t>0.24</w:t>
            </w:r>
          </w:p>
        </w:tc>
        <w:tc>
          <w:tcPr>
            <w:tcW w:w="256" w:type="pct"/>
            <w:tcBorders>
              <w:top w:val="nil"/>
              <w:left w:val="nil"/>
              <w:bottom w:val="single" w:sz="4" w:space="0" w:color="auto"/>
              <w:right w:val="single" w:sz="4" w:space="0" w:color="auto"/>
            </w:tcBorders>
            <w:shd w:val="clear" w:color="000000" w:fill="FFFFFF"/>
            <w:noWrap/>
            <w:hideMark/>
          </w:tcPr>
          <w:p w14:paraId="43D992AE" w14:textId="77777777" w:rsidR="0075278E" w:rsidRDefault="0075278E">
            <w:pPr>
              <w:jc w:val="right"/>
              <w:rPr>
                <w:noProof/>
                <w:color w:val="000000"/>
                <w:sz w:val="20"/>
                <w:szCs w:val="20"/>
              </w:rPr>
            </w:pPr>
            <w:r>
              <w:rPr>
                <w:noProof/>
                <w:color w:val="000000"/>
                <w:sz w:val="20"/>
                <w:szCs w:val="20"/>
              </w:rPr>
              <w:t>0.24</w:t>
            </w:r>
          </w:p>
        </w:tc>
        <w:tc>
          <w:tcPr>
            <w:tcW w:w="256" w:type="pct"/>
            <w:tcBorders>
              <w:top w:val="nil"/>
              <w:left w:val="nil"/>
              <w:bottom w:val="single" w:sz="4" w:space="0" w:color="auto"/>
              <w:right w:val="single" w:sz="4" w:space="0" w:color="auto"/>
            </w:tcBorders>
            <w:shd w:val="clear" w:color="000000" w:fill="FFFFFF"/>
            <w:noWrap/>
            <w:hideMark/>
          </w:tcPr>
          <w:p w14:paraId="0CDCF481" w14:textId="77777777" w:rsidR="0075278E" w:rsidRDefault="0075278E">
            <w:pPr>
              <w:jc w:val="right"/>
              <w:rPr>
                <w:noProof/>
                <w:color w:val="000000"/>
                <w:sz w:val="20"/>
                <w:szCs w:val="20"/>
              </w:rPr>
            </w:pPr>
            <w:r>
              <w:rPr>
                <w:noProof/>
                <w:color w:val="000000"/>
                <w:sz w:val="20"/>
                <w:szCs w:val="20"/>
              </w:rPr>
              <w:t>0.24</w:t>
            </w:r>
          </w:p>
        </w:tc>
        <w:tc>
          <w:tcPr>
            <w:tcW w:w="256" w:type="pct"/>
            <w:tcBorders>
              <w:top w:val="nil"/>
              <w:left w:val="nil"/>
              <w:bottom w:val="single" w:sz="4" w:space="0" w:color="auto"/>
              <w:right w:val="single" w:sz="4" w:space="0" w:color="auto"/>
            </w:tcBorders>
            <w:shd w:val="clear" w:color="000000" w:fill="FFFFFF"/>
            <w:noWrap/>
            <w:hideMark/>
          </w:tcPr>
          <w:p w14:paraId="139CC3CB" w14:textId="77777777" w:rsidR="0075278E" w:rsidRDefault="0075278E">
            <w:pPr>
              <w:jc w:val="right"/>
              <w:rPr>
                <w:noProof/>
                <w:color w:val="000000"/>
                <w:sz w:val="20"/>
                <w:szCs w:val="20"/>
              </w:rPr>
            </w:pPr>
            <w:r>
              <w:rPr>
                <w:noProof/>
                <w:color w:val="000000"/>
                <w:sz w:val="20"/>
                <w:szCs w:val="20"/>
              </w:rPr>
              <w:t>0.24</w:t>
            </w:r>
          </w:p>
        </w:tc>
        <w:tc>
          <w:tcPr>
            <w:tcW w:w="256" w:type="pct"/>
            <w:tcBorders>
              <w:top w:val="nil"/>
              <w:left w:val="nil"/>
              <w:bottom w:val="single" w:sz="4" w:space="0" w:color="auto"/>
              <w:right w:val="single" w:sz="4" w:space="0" w:color="auto"/>
            </w:tcBorders>
            <w:shd w:val="clear" w:color="000000" w:fill="FFFFFF"/>
            <w:noWrap/>
            <w:hideMark/>
          </w:tcPr>
          <w:p w14:paraId="00100ECD" w14:textId="77777777" w:rsidR="0075278E" w:rsidRDefault="0075278E">
            <w:pPr>
              <w:jc w:val="right"/>
              <w:rPr>
                <w:noProof/>
                <w:color w:val="000000"/>
                <w:sz w:val="20"/>
                <w:szCs w:val="20"/>
              </w:rPr>
            </w:pPr>
            <w:r>
              <w:rPr>
                <w:noProof/>
                <w:color w:val="000000"/>
                <w:sz w:val="20"/>
                <w:szCs w:val="20"/>
              </w:rPr>
              <w:t>0.24</w:t>
            </w:r>
          </w:p>
        </w:tc>
        <w:tc>
          <w:tcPr>
            <w:tcW w:w="256" w:type="pct"/>
            <w:tcBorders>
              <w:top w:val="nil"/>
              <w:left w:val="nil"/>
              <w:bottom w:val="single" w:sz="4" w:space="0" w:color="auto"/>
              <w:right w:val="single" w:sz="4" w:space="0" w:color="auto"/>
            </w:tcBorders>
            <w:shd w:val="clear" w:color="000000" w:fill="FFFFFF"/>
            <w:noWrap/>
            <w:hideMark/>
          </w:tcPr>
          <w:p w14:paraId="03148FF7" w14:textId="77777777" w:rsidR="0075278E" w:rsidRDefault="0075278E">
            <w:pPr>
              <w:jc w:val="right"/>
              <w:rPr>
                <w:noProof/>
                <w:color w:val="000000"/>
                <w:sz w:val="20"/>
                <w:szCs w:val="20"/>
              </w:rPr>
            </w:pPr>
            <w:r>
              <w:rPr>
                <w:noProof/>
                <w:color w:val="000000"/>
                <w:sz w:val="20"/>
                <w:szCs w:val="20"/>
              </w:rPr>
              <w:t>0.24</w:t>
            </w:r>
          </w:p>
        </w:tc>
        <w:tc>
          <w:tcPr>
            <w:tcW w:w="256" w:type="pct"/>
            <w:tcBorders>
              <w:top w:val="nil"/>
              <w:left w:val="nil"/>
              <w:bottom w:val="single" w:sz="4" w:space="0" w:color="auto"/>
              <w:right w:val="single" w:sz="4" w:space="0" w:color="auto"/>
            </w:tcBorders>
            <w:shd w:val="clear" w:color="000000" w:fill="FFFFFF"/>
            <w:noWrap/>
            <w:hideMark/>
          </w:tcPr>
          <w:p w14:paraId="46E3A0C4" w14:textId="77777777" w:rsidR="0075278E" w:rsidRDefault="0075278E">
            <w:pPr>
              <w:jc w:val="right"/>
              <w:rPr>
                <w:noProof/>
                <w:color w:val="000000"/>
                <w:sz w:val="20"/>
                <w:szCs w:val="20"/>
              </w:rPr>
            </w:pPr>
            <w:r>
              <w:rPr>
                <w:noProof/>
                <w:color w:val="000000"/>
                <w:sz w:val="20"/>
                <w:szCs w:val="20"/>
              </w:rPr>
              <w:t>0.24</w:t>
            </w:r>
          </w:p>
        </w:tc>
        <w:tc>
          <w:tcPr>
            <w:tcW w:w="256" w:type="pct"/>
            <w:tcBorders>
              <w:top w:val="nil"/>
              <w:left w:val="nil"/>
              <w:bottom w:val="single" w:sz="4" w:space="0" w:color="auto"/>
              <w:right w:val="single" w:sz="4" w:space="0" w:color="auto"/>
            </w:tcBorders>
            <w:shd w:val="clear" w:color="000000" w:fill="FFFFFF"/>
            <w:noWrap/>
            <w:hideMark/>
          </w:tcPr>
          <w:p w14:paraId="259B62E1" w14:textId="77777777" w:rsidR="0075278E" w:rsidRDefault="0075278E">
            <w:pPr>
              <w:jc w:val="right"/>
              <w:rPr>
                <w:noProof/>
                <w:color w:val="000000"/>
                <w:sz w:val="20"/>
                <w:szCs w:val="20"/>
              </w:rPr>
            </w:pPr>
            <w:r>
              <w:rPr>
                <w:noProof/>
                <w:color w:val="000000"/>
                <w:sz w:val="20"/>
                <w:szCs w:val="20"/>
              </w:rPr>
              <w:t>0.24</w:t>
            </w:r>
          </w:p>
        </w:tc>
        <w:tc>
          <w:tcPr>
            <w:tcW w:w="256" w:type="pct"/>
            <w:tcBorders>
              <w:top w:val="nil"/>
              <w:left w:val="nil"/>
              <w:bottom w:val="single" w:sz="4" w:space="0" w:color="auto"/>
              <w:right w:val="single" w:sz="4" w:space="0" w:color="auto"/>
            </w:tcBorders>
            <w:shd w:val="clear" w:color="000000" w:fill="FFFFFF"/>
            <w:noWrap/>
            <w:hideMark/>
          </w:tcPr>
          <w:p w14:paraId="552D13AD" w14:textId="77777777" w:rsidR="0075278E" w:rsidRDefault="0075278E">
            <w:pPr>
              <w:jc w:val="right"/>
              <w:rPr>
                <w:noProof/>
                <w:color w:val="000000"/>
                <w:sz w:val="20"/>
                <w:szCs w:val="20"/>
              </w:rPr>
            </w:pPr>
            <w:r>
              <w:rPr>
                <w:noProof/>
                <w:color w:val="000000"/>
                <w:sz w:val="20"/>
                <w:szCs w:val="20"/>
              </w:rPr>
              <w:t>0.24</w:t>
            </w:r>
          </w:p>
        </w:tc>
        <w:tc>
          <w:tcPr>
            <w:tcW w:w="256" w:type="pct"/>
            <w:tcBorders>
              <w:top w:val="nil"/>
              <w:left w:val="nil"/>
              <w:bottom w:val="single" w:sz="4" w:space="0" w:color="auto"/>
              <w:right w:val="single" w:sz="4" w:space="0" w:color="auto"/>
            </w:tcBorders>
            <w:shd w:val="clear" w:color="000000" w:fill="FFFFFF"/>
            <w:noWrap/>
            <w:hideMark/>
          </w:tcPr>
          <w:p w14:paraId="3D58A7B1" w14:textId="77777777" w:rsidR="0075278E" w:rsidRDefault="0075278E">
            <w:pPr>
              <w:jc w:val="right"/>
              <w:rPr>
                <w:noProof/>
                <w:color w:val="000000"/>
                <w:sz w:val="20"/>
                <w:szCs w:val="20"/>
              </w:rPr>
            </w:pPr>
            <w:r>
              <w:rPr>
                <w:noProof/>
                <w:color w:val="000000"/>
                <w:sz w:val="20"/>
                <w:szCs w:val="20"/>
              </w:rPr>
              <w:t>0.24</w:t>
            </w:r>
          </w:p>
        </w:tc>
        <w:tc>
          <w:tcPr>
            <w:tcW w:w="254" w:type="pct"/>
            <w:tcBorders>
              <w:top w:val="nil"/>
              <w:left w:val="nil"/>
              <w:bottom w:val="single" w:sz="4" w:space="0" w:color="auto"/>
              <w:right w:val="single" w:sz="4" w:space="0" w:color="auto"/>
            </w:tcBorders>
            <w:shd w:val="clear" w:color="000000" w:fill="FFFFFF"/>
            <w:noWrap/>
            <w:hideMark/>
          </w:tcPr>
          <w:p w14:paraId="0D2614F5" w14:textId="77777777" w:rsidR="0075278E" w:rsidRDefault="0075278E">
            <w:pPr>
              <w:jc w:val="right"/>
              <w:rPr>
                <w:noProof/>
                <w:color w:val="000000"/>
                <w:sz w:val="20"/>
                <w:szCs w:val="20"/>
              </w:rPr>
            </w:pPr>
            <w:r>
              <w:rPr>
                <w:noProof/>
                <w:color w:val="000000"/>
                <w:sz w:val="20"/>
                <w:szCs w:val="20"/>
              </w:rPr>
              <w:t>0.24</w:t>
            </w:r>
          </w:p>
        </w:tc>
      </w:tr>
      <w:tr w:rsidR="0075278E" w14:paraId="24A81C33" w14:textId="77777777" w:rsidTr="0075278E">
        <w:trPr>
          <w:trHeight w:val="255"/>
        </w:trPr>
        <w:tc>
          <w:tcPr>
            <w:tcW w:w="906" w:type="pct"/>
            <w:tcBorders>
              <w:top w:val="nil"/>
              <w:left w:val="single" w:sz="4" w:space="0" w:color="auto"/>
              <w:bottom w:val="single" w:sz="4" w:space="0" w:color="auto"/>
              <w:right w:val="single" w:sz="4" w:space="0" w:color="auto"/>
            </w:tcBorders>
            <w:shd w:val="clear" w:color="000000" w:fill="F2F2F2"/>
            <w:noWrap/>
            <w:hideMark/>
          </w:tcPr>
          <w:p w14:paraId="30D10FD1" w14:textId="77777777" w:rsidR="0075278E" w:rsidRDefault="0075278E">
            <w:pPr>
              <w:rPr>
                <w:b/>
                <w:bCs/>
                <w:noProof/>
                <w:color w:val="000000"/>
                <w:sz w:val="20"/>
                <w:szCs w:val="20"/>
              </w:rPr>
            </w:pPr>
            <w:r>
              <w:rPr>
                <w:b/>
                <w:bCs/>
                <w:noProof/>
                <w:color w:val="000000"/>
                <w:sz w:val="20"/>
                <w:szCs w:val="20"/>
              </w:rPr>
              <w:t>Net costs</w:t>
            </w:r>
          </w:p>
        </w:tc>
        <w:tc>
          <w:tcPr>
            <w:tcW w:w="256" w:type="pct"/>
            <w:tcBorders>
              <w:top w:val="nil"/>
              <w:left w:val="nil"/>
              <w:bottom w:val="single" w:sz="4" w:space="0" w:color="auto"/>
              <w:right w:val="single" w:sz="4" w:space="0" w:color="auto"/>
            </w:tcBorders>
            <w:shd w:val="clear" w:color="000000" w:fill="F2F2F2"/>
            <w:noWrap/>
            <w:hideMark/>
          </w:tcPr>
          <w:p w14:paraId="5F589DDD" w14:textId="77777777" w:rsidR="0075278E" w:rsidRDefault="0075278E">
            <w:pPr>
              <w:jc w:val="right"/>
              <w:rPr>
                <w:b/>
                <w:bCs/>
                <w:noProof/>
                <w:color w:val="000000"/>
                <w:sz w:val="20"/>
                <w:szCs w:val="20"/>
              </w:rPr>
            </w:pPr>
            <w:r>
              <w:rPr>
                <w:b/>
                <w:bCs/>
                <w:noProof/>
                <w:color w:val="000000"/>
                <w:sz w:val="20"/>
                <w:szCs w:val="20"/>
              </w:rPr>
              <w:t>0.27</w:t>
            </w:r>
          </w:p>
        </w:tc>
        <w:tc>
          <w:tcPr>
            <w:tcW w:w="256" w:type="pct"/>
            <w:tcBorders>
              <w:top w:val="nil"/>
              <w:left w:val="nil"/>
              <w:bottom w:val="single" w:sz="4" w:space="0" w:color="auto"/>
              <w:right w:val="single" w:sz="4" w:space="0" w:color="auto"/>
            </w:tcBorders>
            <w:shd w:val="clear" w:color="000000" w:fill="F2F2F2"/>
            <w:noWrap/>
            <w:hideMark/>
          </w:tcPr>
          <w:p w14:paraId="65AD186D" w14:textId="77777777" w:rsidR="0075278E" w:rsidRDefault="0075278E">
            <w:pPr>
              <w:jc w:val="right"/>
              <w:rPr>
                <w:b/>
                <w:bCs/>
                <w:noProof/>
                <w:color w:val="000000"/>
                <w:sz w:val="20"/>
                <w:szCs w:val="20"/>
              </w:rPr>
            </w:pPr>
            <w:r>
              <w:rPr>
                <w:b/>
                <w:bCs/>
                <w:noProof/>
                <w:color w:val="000000"/>
                <w:sz w:val="20"/>
                <w:szCs w:val="20"/>
              </w:rPr>
              <w:t>0.37</w:t>
            </w:r>
          </w:p>
        </w:tc>
        <w:tc>
          <w:tcPr>
            <w:tcW w:w="256" w:type="pct"/>
            <w:tcBorders>
              <w:top w:val="nil"/>
              <w:left w:val="nil"/>
              <w:bottom w:val="single" w:sz="4" w:space="0" w:color="auto"/>
              <w:right w:val="single" w:sz="4" w:space="0" w:color="auto"/>
            </w:tcBorders>
            <w:shd w:val="clear" w:color="000000" w:fill="F2F2F2"/>
            <w:noWrap/>
            <w:hideMark/>
          </w:tcPr>
          <w:p w14:paraId="3C8EF214" w14:textId="77777777" w:rsidR="0075278E" w:rsidRDefault="0075278E">
            <w:pPr>
              <w:jc w:val="right"/>
              <w:rPr>
                <w:b/>
                <w:bCs/>
                <w:noProof/>
                <w:color w:val="000000"/>
                <w:sz w:val="20"/>
                <w:szCs w:val="20"/>
              </w:rPr>
            </w:pPr>
            <w:r>
              <w:rPr>
                <w:b/>
                <w:bCs/>
                <w:noProof/>
                <w:color w:val="000000"/>
                <w:sz w:val="20"/>
                <w:szCs w:val="20"/>
              </w:rPr>
              <w:t>0.37</w:t>
            </w:r>
          </w:p>
        </w:tc>
        <w:tc>
          <w:tcPr>
            <w:tcW w:w="256" w:type="pct"/>
            <w:tcBorders>
              <w:top w:val="nil"/>
              <w:left w:val="nil"/>
              <w:bottom w:val="single" w:sz="4" w:space="0" w:color="auto"/>
              <w:right w:val="single" w:sz="4" w:space="0" w:color="auto"/>
            </w:tcBorders>
            <w:shd w:val="clear" w:color="000000" w:fill="F2F2F2"/>
            <w:noWrap/>
            <w:hideMark/>
          </w:tcPr>
          <w:p w14:paraId="52E9B2FF" w14:textId="77777777" w:rsidR="0075278E" w:rsidRDefault="0075278E">
            <w:pPr>
              <w:jc w:val="right"/>
              <w:rPr>
                <w:b/>
                <w:bCs/>
                <w:noProof/>
                <w:color w:val="000000"/>
                <w:sz w:val="20"/>
                <w:szCs w:val="20"/>
              </w:rPr>
            </w:pPr>
            <w:r>
              <w:rPr>
                <w:b/>
                <w:bCs/>
                <w:noProof/>
                <w:color w:val="000000"/>
                <w:sz w:val="20"/>
                <w:szCs w:val="20"/>
              </w:rPr>
              <w:t>0.37</w:t>
            </w:r>
          </w:p>
        </w:tc>
        <w:tc>
          <w:tcPr>
            <w:tcW w:w="256" w:type="pct"/>
            <w:tcBorders>
              <w:top w:val="nil"/>
              <w:left w:val="nil"/>
              <w:bottom w:val="single" w:sz="4" w:space="0" w:color="auto"/>
              <w:right w:val="single" w:sz="4" w:space="0" w:color="auto"/>
            </w:tcBorders>
            <w:shd w:val="clear" w:color="000000" w:fill="F2F2F2"/>
            <w:noWrap/>
            <w:hideMark/>
          </w:tcPr>
          <w:p w14:paraId="6A84B049" w14:textId="77777777" w:rsidR="0075278E" w:rsidRDefault="0075278E">
            <w:pPr>
              <w:jc w:val="right"/>
              <w:rPr>
                <w:b/>
                <w:bCs/>
                <w:noProof/>
                <w:color w:val="000000"/>
                <w:sz w:val="20"/>
                <w:szCs w:val="20"/>
              </w:rPr>
            </w:pPr>
            <w:r>
              <w:rPr>
                <w:b/>
                <w:bCs/>
                <w:noProof/>
                <w:color w:val="000000"/>
                <w:sz w:val="20"/>
                <w:szCs w:val="20"/>
              </w:rPr>
              <w:t>0.27</w:t>
            </w:r>
          </w:p>
        </w:tc>
        <w:tc>
          <w:tcPr>
            <w:tcW w:w="256" w:type="pct"/>
            <w:tcBorders>
              <w:top w:val="nil"/>
              <w:left w:val="nil"/>
              <w:bottom w:val="single" w:sz="4" w:space="0" w:color="auto"/>
              <w:right w:val="single" w:sz="4" w:space="0" w:color="auto"/>
            </w:tcBorders>
            <w:shd w:val="clear" w:color="000000" w:fill="F2F2F2"/>
            <w:noWrap/>
            <w:hideMark/>
          </w:tcPr>
          <w:p w14:paraId="7F6BBD94" w14:textId="77777777" w:rsidR="0075278E" w:rsidRDefault="0075278E">
            <w:pPr>
              <w:jc w:val="right"/>
              <w:rPr>
                <w:b/>
                <w:bCs/>
                <w:noProof/>
                <w:color w:val="000000"/>
                <w:sz w:val="20"/>
                <w:szCs w:val="20"/>
              </w:rPr>
            </w:pPr>
            <w:r>
              <w:rPr>
                <w:b/>
                <w:bCs/>
                <w:noProof/>
                <w:color w:val="000000"/>
                <w:sz w:val="20"/>
                <w:szCs w:val="20"/>
              </w:rPr>
              <w:t>0.37</w:t>
            </w:r>
          </w:p>
        </w:tc>
        <w:tc>
          <w:tcPr>
            <w:tcW w:w="256" w:type="pct"/>
            <w:tcBorders>
              <w:top w:val="nil"/>
              <w:left w:val="nil"/>
              <w:bottom w:val="single" w:sz="4" w:space="0" w:color="auto"/>
              <w:right w:val="single" w:sz="4" w:space="0" w:color="auto"/>
            </w:tcBorders>
            <w:shd w:val="clear" w:color="000000" w:fill="F2F2F2"/>
            <w:noWrap/>
            <w:hideMark/>
          </w:tcPr>
          <w:p w14:paraId="6354C788" w14:textId="77777777" w:rsidR="0075278E" w:rsidRDefault="0075278E">
            <w:pPr>
              <w:jc w:val="right"/>
              <w:rPr>
                <w:b/>
                <w:bCs/>
                <w:noProof/>
                <w:color w:val="000000"/>
                <w:sz w:val="20"/>
                <w:szCs w:val="20"/>
              </w:rPr>
            </w:pPr>
            <w:r>
              <w:rPr>
                <w:b/>
                <w:bCs/>
                <w:noProof/>
                <w:color w:val="000000"/>
                <w:sz w:val="20"/>
                <w:szCs w:val="20"/>
              </w:rPr>
              <w:t>0.37</w:t>
            </w:r>
          </w:p>
        </w:tc>
        <w:tc>
          <w:tcPr>
            <w:tcW w:w="256" w:type="pct"/>
            <w:tcBorders>
              <w:top w:val="nil"/>
              <w:left w:val="nil"/>
              <w:bottom w:val="single" w:sz="4" w:space="0" w:color="auto"/>
              <w:right w:val="single" w:sz="4" w:space="0" w:color="auto"/>
            </w:tcBorders>
            <w:shd w:val="clear" w:color="000000" w:fill="F2F2F2"/>
            <w:noWrap/>
            <w:hideMark/>
          </w:tcPr>
          <w:p w14:paraId="4677947B" w14:textId="77777777" w:rsidR="0075278E" w:rsidRDefault="0075278E">
            <w:pPr>
              <w:jc w:val="right"/>
              <w:rPr>
                <w:b/>
                <w:bCs/>
                <w:noProof/>
                <w:color w:val="000000"/>
                <w:sz w:val="20"/>
                <w:szCs w:val="20"/>
              </w:rPr>
            </w:pPr>
            <w:r>
              <w:rPr>
                <w:b/>
                <w:bCs/>
                <w:noProof/>
                <w:color w:val="000000"/>
                <w:sz w:val="20"/>
                <w:szCs w:val="20"/>
              </w:rPr>
              <w:t>0.37</w:t>
            </w:r>
          </w:p>
        </w:tc>
        <w:tc>
          <w:tcPr>
            <w:tcW w:w="256" w:type="pct"/>
            <w:tcBorders>
              <w:top w:val="nil"/>
              <w:left w:val="nil"/>
              <w:bottom w:val="single" w:sz="4" w:space="0" w:color="auto"/>
              <w:right w:val="single" w:sz="4" w:space="0" w:color="auto"/>
            </w:tcBorders>
            <w:shd w:val="clear" w:color="000000" w:fill="F2F2F2"/>
            <w:noWrap/>
            <w:hideMark/>
          </w:tcPr>
          <w:p w14:paraId="748817FC" w14:textId="77777777" w:rsidR="0075278E" w:rsidRDefault="0075278E">
            <w:pPr>
              <w:jc w:val="right"/>
              <w:rPr>
                <w:b/>
                <w:bCs/>
                <w:noProof/>
                <w:color w:val="000000"/>
                <w:sz w:val="20"/>
                <w:szCs w:val="20"/>
              </w:rPr>
            </w:pPr>
            <w:r>
              <w:rPr>
                <w:b/>
                <w:bCs/>
                <w:noProof/>
                <w:color w:val="000000"/>
                <w:sz w:val="20"/>
                <w:szCs w:val="20"/>
              </w:rPr>
              <w:t>0.27</w:t>
            </w:r>
          </w:p>
        </w:tc>
        <w:tc>
          <w:tcPr>
            <w:tcW w:w="256" w:type="pct"/>
            <w:tcBorders>
              <w:top w:val="nil"/>
              <w:left w:val="nil"/>
              <w:bottom w:val="single" w:sz="4" w:space="0" w:color="auto"/>
              <w:right w:val="single" w:sz="4" w:space="0" w:color="auto"/>
            </w:tcBorders>
            <w:shd w:val="clear" w:color="000000" w:fill="F2F2F2"/>
            <w:noWrap/>
            <w:hideMark/>
          </w:tcPr>
          <w:p w14:paraId="240D0E91" w14:textId="77777777" w:rsidR="0075278E" w:rsidRDefault="0075278E">
            <w:pPr>
              <w:jc w:val="right"/>
              <w:rPr>
                <w:b/>
                <w:bCs/>
                <w:noProof/>
                <w:color w:val="000000"/>
                <w:sz w:val="20"/>
                <w:szCs w:val="20"/>
              </w:rPr>
            </w:pPr>
            <w:r>
              <w:rPr>
                <w:b/>
                <w:bCs/>
                <w:noProof/>
                <w:color w:val="000000"/>
                <w:sz w:val="20"/>
                <w:szCs w:val="20"/>
              </w:rPr>
              <w:t>0.37</w:t>
            </w:r>
          </w:p>
        </w:tc>
        <w:tc>
          <w:tcPr>
            <w:tcW w:w="256" w:type="pct"/>
            <w:tcBorders>
              <w:top w:val="nil"/>
              <w:left w:val="nil"/>
              <w:bottom w:val="single" w:sz="4" w:space="0" w:color="auto"/>
              <w:right w:val="single" w:sz="4" w:space="0" w:color="auto"/>
            </w:tcBorders>
            <w:shd w:val="clear" w:color="000000" w:fill="F2F2F2"/>
            <w:noWrap/>
            <w:hideMark/>
          </w:tcPr>
          <w:p w14:paraId="23F4996F" w14:textId="77777777" w:rsidR="0075278E" w:rsidRDefault="0075278E">
            <w:pPr>
              <w:jc w:val="right"/>
              <w:rPr>
                <w:b/>
                <w:bCs/>
                <w:noProof/>
                <w:color w:val="000000"/>
                <w:sz w:val="20"/>
                <w:szCs w:val="20"/>
              </w:rPr>
            </w:pPr>
            <w:r>
              <w:rPr>
                <w:b/>
                <w:bCs/>
                <w:noProof/>
                <w:color w:val="000000"/>
                <w:sz w:val="20"/>
                <w:szCs w:val="20"/>
              </w:rPr>
              <w:t>0.37</w:t>
            </w:r>
          </w:p>
        </w:tc>
        <w:tc>
          <w:tcPr>
            <w:tcW w:w="256" w:type="pct"/>
            <w:tcBorders>
              <w:top w:val="nil"/>
              <w:left w:val="nil"/>
              <w:bottom w:val="single" w:sz="4" w:space="0" w:color="auto"/>
              <w:right w:val="single" w:sz="4" w:space="0" w:color="auto"/>
            </w:tcBorders>
            <w:shd w:val="clear" w:color="000000" w:fill="F2F2F2"/>
            <w:noWrap/>
            <w:hideMark/>
          </w:tcPr>
          <w:p w14:paraId="79AEF91C" w14:textId="77777777" w:rsidR="0075278E" w:rsidRDefault="0075278E">
            <w:pPr>
              <w:jc w:val="right"/>
              <w:rPr>
                <w:b/>
                <w:bCs/>
                <w:noProof/>
                <w:color w:val="000000"/>
                <w:sz w:val="20"/>
                <w:szCs w:val="20"/>
              </w:rPr>
            </w:pPr>
            <w:r>
              <w:rPr>
                <w:b/>
                <w:bCs/>
                <w:noProof/>
                <w:color w:val="000000"/>
                <w:sz w:val="20"/>
                <w:szCs w:val="20"/>
              </w:rPr>
              <w:t>0.37</w:t>
            </w:r>
          </w:p>
        </w:tc>
        <w:tc>
          <w:tcPr>
            <w:tcW w:w="256" w:type="pct"/>
            <w:tcBorders>
              <w:top w:val="nil"/>
              <w:left w:val="nil"/>
              <w:bottom w:val="single" w:sz="4" w:space="0" w:color="auto"/>
              <w:right w:val="single" w:sz="4" w:space="0" w:color="auto"/>
            </w:tcBorders>
            <w:shd w:val="clear" w:color="000000" w:fill="F2F2F2"/>
            <w:noWrap/>
            <w:hideMark/>
          </w:tcPr>
          <w:p w14:paraId="48979371" w14:textId="77777777" w:rsidR="0075278E" w:rsidRDefault="0075278E">
            <w:pPr>
              <w:jc w:val="right"/>
              <w:rPr>
                <w:b/>
                <w:bCs/>
                <w:noProof/>
                <w:color w:val="000000"/>
                <w:sz w:val="20"/>
                <w:szCs w:val="20"/>
              </w:rPr>
            </w:pPr>
            <w:r>
              <w:rPr>
                <w:b/>
                <w:bCs/>
                <w:noProof/>
                <w:color w:val="000000"/>
                <w:sz w:val="20"/>
                <w:szCs w:val="20"/>
              </w:rPr>
              <w:t>0.27</w:t>
            </w:r>
          </w:p>
        </w:tc>
        <w:tc>
          <w:tcPr>
            <w:tcW w:w="256" w:type="pct"/>
            <w:tcBorders>
              <w:top w:val="nil"/>
              <w:left w:val="nil"/>
              <w:bottom w:val="single" w:sz="4" w:space="0" w:color="auto"/>
              <w:right w:val="single" w:sz="4" w:space="0" w:color="auto"/>
            </w:tcBorders>
            <w:shd w:val="clear" w:color="000000" w:fill="F2F2F2"/>
            <w:noWrap/>
            <w:hideMark/>
          </w:tcPr>
          <w:p w14:paraId="7A004205" w14:textId="77777777" w:rsidR="0075278E" w:rsidRDefault="0075278E">
            <w:pPr>
              <w:jc w:val="right"/>
              <w:rPr>
                <w:b/>
                <w:bCs/>
                <w:noProof/>
                <w:color w:val="000000"/>
                <w:sz w:val="20"/>
                <w:szCs w:val="20"/>
              </w:rPr>
            </w:pPr>
            <w:r>
              <w:rPr>
                <w:b/>
                <w:bCs/>
                <w:noProof/>
                <w:color w:val="000000"/>
                <w:sz w:val="20"/>
                <w:szCs w:val="20"/>
              </w:rPr>
              <w:t>0.37</w:t>
            </w:r>
          </w:p>
        </w:tc>
        <w:tc>
          <w:tcPr>
            <w:tcW w:w="256" w:type="pct"/>
            <w:tcBorders>
              <w:top w:val="nil"/>
              <w:left w:val="nil"/>
              <w:bottom w:val="single" w:sz="4" w:space="0" w:color="auto"/>
              <w:right w:val="single" w:sz="4" w:space="0" w:color="auto"/>
            </w:tcBorders>
            <w:shd w:val="clear" w:color="000000" w:fill="F2F2F2"/>
            <w:noWrap/>
            <w:hideMark/>
          </w:tcPr>
          <w:p w14:paraId="76F1B033" w14:textId="77777777" w:rsidR="0075278E" w:rsidRDefault="0075278E">
            <w:pPr>
              <w:jc w:val="right"/>
              <w:rPr>
                <w:b/>
                <w:bCs/>
                <w:noProof/>
                <w:color w:val="000000"/>
                <w:sz w:val="20"/>
                <w:szCs w:val="20"/>
              </w:rPr>
            </w:pPr>
            <w:r>
              <w:rPr>
                <w:b/>
                <w:bCs/>
                <w:noProof/>
                <w:color w:val="000000"/>
                <w:sz w:val="20"/>
                <w:szCs w:val="20"/>
              </w:rPr>
              <w:t>0.37</w:t>
            </w:r>
          </w:p>
        </w:tc>
        <w:tc>
          <w:tcPr>
            <w:tcW w:w="254" w:type="pct"/>
            <w:tcBorders>
              <w:top w:val="nil"/>
              <w:left w:val="nil"/>
              <w:bottom w:val="single" w:sz="4" w:space="0" w:color="auto"/>
              <w:right w:val="single" w:sz="4" w:space="0" w:color="auto"/>
            </w:tcBorders>
            <w:shd w:val="clear" w:color="000000" w:fill="F2F2F2"/>
            <w:noWrap/>
            <w:hideMark/>
          </w:tcPr>
          <w:p w14:paraId="3101946E" w14:textId="77777777" w:rsidR="0075278E" w:rsidRDefault="0075278E">
            <w:pPr>
              <w:jc w:val="right"/>
              <w:rPr>
                <w:b/>
                <w:bCs/>
                <w:noProof/>
                <w:color w:val="000000"/>
                <w:sz w:val="20"/>
                <w:szCs w:val="20"/>
              </w:rPr>
            </w:pPr>
            <w:r>
              <w:rPr>
                <w:b/>
                <w:bCs/>
                <w:noProof/>
                <w:color w:val="000000"/>
                <w:sz w:val="20"/>
                <w:szCs w:val="20"/>
              </w:rPr>
              <w:t>0.37</w:t>
            </w:r>
          </w:p>
        </w:tc>
      </w:tr>
    </w:tbl>
    <w:p w14:paraId="6D33B30D" w14:textId="66A3D0C8" w:rsidR="00725A34" w:rsidRDefault="0075278E" w:rsidP="002F504B">
      <w:pPr>
        <w:tabs>
          <w:tab w:val="left" w:pos="2302"/>
        </w:tabs>
        <w:spacing w:after="240"/>
        <w:jc w:val="both"/>
        <w:rPr>
          <w:i/>
          <w:iCs/>
          <w:noProof/>
          <w:spacing w:val="-8"/>
          <w:sz w:val="20"/>
          <w:szCs w:val="20"/>
        </w:rPr>
      </w:pPr>
      <w:r w:rsidRPr="00097BB6">
        <w:rPr>
          <w:i/>
          <w:iCs/>
          <w:noProof/>
          <w:spacing w:val="-8"/>
          <w:sz w:val="20"/>
          <w:szCs w:val="20"/>
        </w:rPr>
        <w:t>Source: Ricardo et al. (2026), Impact assessment support study</w:t>
      </w:r>
    </w:p>
    <w:p w14:paraId="4B1F254E" w14:textId="77777777" w:rsidR="002F504B" w:rsidRPr="0075278E" w:rsidRDefault="002F504B" w:rsidP="002F504B">
      <w:pPr>
        <w:tabs>
          <w:tab w:val="left" w:pos="2302"/>
        </w:tabs>
        <w:spacing w:after="240"/>
        <w:jc w:val="both"/>
        <w:rPr>
          <w:i/>
          <w:iCs/>
          <w:noProof/>
        </w:rPr>
      </w:pPr>
    </w:p>
    <w:p w14:paraId="7D8F9B4C" w14:textId="3790D377" w:rsidR="00D72B13" w:rsidRPr="0075278E" w:rsidRDefault="00D72B13" w:rsidP="0075278E">
      <w:pPr>
        <w:keepNext/>
        <w:spacing w:after="240"/>
        <w:jc w:val="both"/>
        <w:outlineLvl w:val="2"/>
        <w:rPr>
          <w:i/>
          <w:iCs/>
          <w:noProof/>
        </w:rPr>
        <w:sectPr w:rsidR="00D72B13" w:rsidRPr="0075278E" w:rsidSect="00B127D8">
          <w:headerReference w:type="default" r:id="rId57"/>
          <w:footerReference w:type="default" r:id="rId58"/>
          <w:pgSz w:w="16840" w:h="11910" w:orient="landscape"/>
          <w:pgMar w:top="1588" w:right="1021" w:bottom="709" w:left="1021" w:header="0" w:footer="1147" w:gutter="0"/>
          <w:cols w:space="720"/>
          <w:docGrid w:linePitch="326"/>
        </w:sectPr>
      </w:pPr>
    </w:p>
    <w:p w14:paraId="09393B22" w14:textId="7EBBB495" w:rsidR="002E6031" w:rsidRPr="00080C8F" w:rsidRDefault="002E6031" w:rsidP="00080C8F">
      <w:pPr>
        <w:pStyle w:val="Heading2"/>
        <w:numPr>
          <w:ilvl w:val="0"/>
          <w:numId w:val="10"/>
        </w:numPr>
        <w:tabs>
          <w:tab w:val="left" w:pos="426"/>
        </w:tabs>
        <w:spacing w:before="240" w:after="240"/>
        <w:ind w:left="425" w:hanging="425"/>
        <w:rPr>
          <w:smallCaps/>
          <w:noProof/>
        </w:rPr>
      </w:pPr>
      <w:bookmarkStart w:id="2099" w:name="_Toc223981686"/>
      <w:r w:rsidRPr="00080C8F">
        <w:rPr>
          <w:smallCaps/>
          <w:noProof/>
        </w:rPr>
        <w:t>Sensitivity analysis</w:t>
      </w:r>
      <w:bookmarkEnd w:id="2099"/>
    </w:p>
    <w:p w14:paraId="39A12D60" w14:textId="77777777" w:rsidR="002F504B" w:rsidRPr="00080C8F" w:rsidRDefault="002F504B" w:rsidP="00080C8F">
      <w:pPr>
        <w:spacing w:after="240"/>
        <w:jc w:val="both"/>
        <w:rPr>
          <w:noProof/>
          <w:spacing w:val="-8"/>
        </w:rPr>
      </w:pPr>
      <w:r w:rsidRPr="00080C8F">
        <w:rPr>
          <w:noProof/>
          <w:spacing w:val="-8"/>
        </w:rPr>
        <w:t xml:space="preserve">To acknowledge the uncertainty and test the robustness of the results, sensitivity analysis has been performed: (i) on the potential modal shift due to the ability to see all offerings on MDMS platforms and the ability to book all visible travel options on MDMS platforms, and (ii) on the thresholds to identify B2C MDMS platforms and RUs with SMP. </w:t>
      </w:r>
    </w:p>
    <w:p w14:paraId="424A6806" w14:textId="3EC9E9A7" w:rsidR="00C63C1C" w:rsidRDefault="002F504B" w:rsidP="002F504B">
      <w:pPr>
        <w:spacing w:after="240"/>
        <w:jc w:val="both"/>
        <w:rPr>
          <w:noProof/>
          <w:spacing w:val="-8"/>
        </w:rPr>
      </w:pPr>
      <w:r w:rsidRPr="00080C8F">
        <w:rPr>
          <w:b/>
          <w:noProof/>
          <w:spacing w:val="-8"/>
        </w:rPr>
        <w:t>Sensitivity analysis on the potential modal shift.</w:t>
      </w:r>
      <w:r w:rsidRPr="00080C8F">
        <w:rPr>
          <w:noProof/>
          <w:spacing w:val="-8"/>
        </w:rPr>
        <w:t xml:space="preserve"> A ‘low modal shift case’ has been assessed, assuming half of the potential identified for modal shift due to the ability to see all offerings on MDMS platforms and the ability to book all visible travel options on MDMS platforms. </w:t>
      </w:r>
      <w:r w:rsidR="005F5757">
        <w:rPr>
          <w:noProof/>
          <w:spacing w:val="-8"/>
        </w:rPr>
        <w:t>Therefor</w:t>
      </w:r>
      <w:r w:rsidR="00E01720">
        <w:rPr>
          <w:noProof/>
          <w:spacing w:val="-8"/>
        </w:rPr>
        <w:t>e</w:t>
      </w:r>
      <w:r w:rsidR="005F5757">
        <w:rPr>
          <w:noProof/>
          <w:spacing w:val="-8"/>
        </w:rPr>
        <w:t xml:space="preserve">, the maximum potential modal shift in the MPA module has been assumed at 0.85%. </w:t>
      </w:r>
      <w:r w:rsidR="00E01720">
        <w:rPr>
          <w:noProof/>
          <w:spacing w:val="-8"/>
        </w:rPr>
        <w:t xml:space="preserve">The progress towards the maximum in the policy options is shown in the figure below based on the MPA module results. </w:t>
      </w:r>
    </w:p>
    <w:p w14:paraId="5C680D9A" w14:textId="778A772E" w:rsidR="001E78A0" w:rsidRPr="00187E7D" w:rsidRDefault="001E78A0" w:rsidP="001E78A0">
      <w:pPr>
        <w:keepNext/>
        <w:tabs>
          <w:tab w:val="left" w:pos="1134"/>
        </w:tabs>
        <w:jc w:val="both"/>
        <w:rPr>
          <w:i/>
          <w:noProof/>
          <w:sz w:val="22"/>
          <w:szCs w:val="22"/>
        </w:rPr>
      </w:pPr>
      <w:r w:rsidRPr="00187E7D">
        <w:rPr>
          <w:i/>
          <w:noProof/>
          <w:sz w:val="22"/>
          <w:szCs w:val="22"/>
        </w:rPr>
        <w:t xml:space="preserve">Figure </w:t>
      </w:r>
      <w:r>
        <w:rPr>
          <w:i/>
          <w:noProof/>
          <w:sz w:val="22"/>
          <w:szCs w:val="22"/>
        </w:rPr>
        <w:fldChar w:fldCharType="begin"/>
      </w:r>
      <w:r>
        <w:rPr>
          <w:i/>
          <w:noProof/>
          <w:sz w:val="22"/>
          <w:szCs w:val="22"/>
        </w:rPr>
        <w:instrText xml:space="preserve"> SEQ Figure \* ARABIC </w:instrText>
      </w:r>
      <w:r>
        <w:rPr>
          <w:i/>
          <w:noProof/>
          <w:sz w:val="22"/>
          <w:szCs w:val="22"/>
        </w:rPr>
        <w:fldChar w:fldCharType="separate"/>
      </w:r>
      <w:r w:rsidR="0055391F">
        <w:rPr>
          <w:i/>
          <w:noProof/>
          <w:sz w:val="22"/>
          <w:szCs w:val="22"/>
        </w:rPr>
        <w:t>15</w:t>
      </w:r>
      <w:r>
        <w:rPr>
          <w:i/>
          <w:noProof/>
          <w:sz w:val="22"/>
          <w:szCs w:val="22"/>
        </w:rPr>
        <w:fldChar w:fldCharType="end"/>
      </w:r>
      <w:r w:rsidRPr="00187E7D">
        <w:rPr>
          <w:i/>
          <w:noProof/>
          <w:sz w:val="22"/>
          <w:szCs w:val="22"/>
        </w:rPr>
        <w:t xml:space="preserve">: Average modal shift in each </w:t>
      </w:r>
      <w:r>
        <w:rPr>
          <w:i/>
          <w:noProof/>
          <w:sz w:val="22"/>
          <w:szCs w:val="22"/>
        </w:rPr>
        <w:t>policy option</w:t>
      </w:r>
      <w:r w:rsidRPr="00187E7D">
        <w:rPr>
          <w:i/>
          <w:noProof/>
          <w:sz w:val="22"/>
          <w:szCs w:val="22"/>
        </w:rPr>
        <w:t xml:space="preserve"> </w:t>
      </w:r>
      <w:r>
        <w:rPr>
          <w:i/>
          <w:noProof/>
          <w:sz w:val="22"/>
          <w:szCs w:val="22"/>
        </w:rPr>
        <w:t>relative to the</w:t>
      </w:r>
      <w:r w:rsidRPr="00187E7D">
        <w:rPr>
          <w:i/>
          <w:noProof/>
          <w:sz w:val="22"/>
          <w:szCs w:val="22"/>
        </w:rPr>
        <w:t xml:space="preserve"> maximum</w:t>
      </w:r>
      <w:r>
        <w:rPr>
          <w:i/>
          <w:noProof/>
          <w:sz w:val="22"/>
          <w:szCs w:val="22"/>
        </w:rPr>
        <w:t xml:space="preserve"> potential modal shift</w:t>
      </w:r>
      <w:r w:rsidR="00B201D9">
        <w:rPr>
          <w:i/>
          <w:noProof/>
          <w:sz w:val="22"/>
          <w:szCs w:val="22"/>
        </w:rPr>
        <w:t xml:space="preserve"> in the ‘low modal shift</w:t>
      </w:r>
      <w:r w:rsidR="0040771A">
        <w:rPr>
          <w:i/>
          <w:noProof/>
          <w:sz w:val="22"/>
          <w:szCs w:val="22"/>
        </w:rPr>
        <w:t>’</w:t>
      </w:r>
      <w:r w:rsidR="00B201D9">
        <w:rPr>
          <w:i/>
          <w:noProof/>
          <w:sz w:val="22"/>
          <w:szCs w:val="22"/>
        </w:rPr>
        <w:t xml:space="preserve"> case</w:t>
      </w:r>
    </w:p>
    <w:p w14:paraId="75119C5A" w14:textId="6550A119" w:rsidR="001E78A0" w:rsidRDefault="00B201D9" w:rsidP="00080C8F">
      <w:pPr>
        <w:jc w:val="both"/>
        <w:rPr>
          <w:noProof/>
          <w:spacing w:val="-8"/>
        </w:rPr>
      </w:pPr>
      <w:r w:rsidRPr="00B201D9">
        <w:rPr>
          <w:noProof/>
          <w:lang w:val="en-GB" w:eastAsia="en-GB"/>
        </w:rPr>
        <w:drawing>
          <wp:inline distT="0" distB="0" distL="0" distR="0" wp14:anchorId="16B0FA56" wp14:editId="4D9D6310">
            <wp:extent cx="5429250" cy="2819400"/>
            <wp:effectExtent l="0" t="0" r="0" b="0"/>
            <wp:docPr id="1642428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29250" cy="2819400"/>
                    </a:xfrm>
                    <a:prstGeom prst="rect">
                      <a:avLst/>
                    </a:prstGeom>
                    <a:noFill/>
                    <a:ln>
                      <a:noFill/>
                    </a:ln>
                  </pic:spPr>
                </pic:pic>
              </a:graphicData>
            </a:graphic>
          </wp:inline>
        </w:drawing>
      </w:r>
    </w:p>
    <w:p w14:paraId="24A2202D" w14:textId="77777777" w:rsidR="00B201D9" w:rsidRDefault="00B201D9" w:rsidP="00B201D9">
      <w:pPr>
        <w:tabs>
          <w:tab w:val="left" w:pos="2302"/>
        </w:tabs>
        <w:spacing w:after="240"/>
        <w:jc w:val="both"/>
        <w:rPr>
          <w:i/>
          <w:iCs/>
          <w:noProof/>
          <w:spacing w:val="-8"/>
          <w:sz w:val="20"/>
          <w:szCs w:val="20"/>
        </w:rPr>
      </w:pPr>
      <w:r w:rsidRPr="00097BB6">
        <w:rPr>
          <w:i/>
          <w:iCs/>
          <w:noProof/>
          <w:spacing w:val="-8"/>
          <w:sz w:val="20"/>
          <w:szCs w:val="20"/>
        </w:rPr>
        <w:t>Source: Ricardo et al. (2026), Impact assessment support study</w:t>
      </w:r>
    </w:p>
    <w:p w14:paraId="27FDE8FB" w14:textId="6A711E82" w:rsidR="00B201D9" w:rsidRDefault="006F3013" w:rsidP="002F504B">
      <w:pPr>
        <w:spacing w:after="240"/>
        <w:jc w:val="both"/>
        <w:rPr>
          <w:noProof/>
          <w:spacing w:val="-8"/>
        </w:rPr>
      </w:pPr>
      <w:r>
        <w:rPr>
          <w:noProof/>
          <w:spacing w:val="-8"/>
        </w:rPr>
        <w:t xml:space="preserve">The impacts on transport activity due to the changes in modal shift and </w:t>
      </w:r>
      <w:r w:rsidR="00684601">
        <w:rPr>
          <w:noProof/>
          <w:spacing w:val="-8"/>
        </w:rPr>
        <w:t>travel time in the policy options in the ‘low modal shift’ case</w:t>
      </w:r>
      <w:r w:rsidR="007B412B">
        <w:rPr>
          <w:noProof/>
          <w:spacing w:val="-8"/>
        </w:rPr>
        <w:t>, based on ASTRA model results,</w:t>
      </w:r>
      <w:r w:rsidR="00684601">
        <w:rPr>
          <w:noProof/>
          <w:spacing w:val="-8"/>
        </w:rPr>
        <w:t xml:space="preserve"> are shown in the table below. </w:t>
      </w:r>
      <w:r>
        <w:rPr>
          <w:noProof/>
          <w:spacing w:val="-8"/>
        </w:rPr>
        <w:t xml:space="preserve"> </w:t>
      </w:r>
    </w:p>
    <w:p w14:paraId="6EBDE046" w14:textId="3A9A48B4" w:rsidR="002E6031" w:rsidRPr="0054140E" w:rsidRDefault="002E6031" w:rsidP="002E6031">
      <w:pPr>
        <w:pStyle w:val="Text2"/>
        <w:spacing w:after="0"/>
        <w:ind w:left="0"/>
        <w:rPr>
          <w:rFonts w:cs="Times New Roman"/>
          <w:i/>
          <w:noProof/>
          <w:sz w:val="22"/>
          <w:szCs w:val="22"/>
        </w:rPr>
      </w:pPr>
      <w:r w:rsidRPr="006333F0">
        <w:rPr>
          <w:rFonts w:cs="Times New Roman"/>
          <w:i/>
          <w:noProof/>
          <w:sz w:val="22"/>
          <w:szCs w:val="22"/>
        </w:rPr>
        <w:t xml:space="preserve">Table </w:t>
      </w:r>
      <w:r w:rsidRPr="006333F0">
        <w:rPr>
          <w:rFonts w:cs="Times New Roman"/>
          <w:i/>
          <w:iCs/>
          <w:noProof/>
          <w:sz w:val="22"/>
          <w:szCs w:val="22"/>
        </w:rPr>
        <w:fldChar w:fldCharType="begin"/>
      </w:r>
      <w:r w:rsidRPr="006333F0">
        <w:rPr>
          <w:rFonts w:cs="Times New Roman"/>
          <w:i/>
          <w:iCs/>
          <w:noProof/>
          <w:sz w:val="22"/>
          <w:szCs w:val="22"/>
        </w:rPr>
        <w:instrText xml:space="preserve"> SEQ Table \* ARABIC </w:instrText>
      </w:r>
      <w:r w:rsidRPr="006333F0">
        <w:rPr>
          <w:rFonts w:cs="Times New Roman"/>
          <w:i/>
          <w:iCs/>
          <w:noProof/>
          <w:sz w:val="22"/>
          <w:szCs w:val="22"/>
        </w:rPr>
        <w:fldChar w:fldCharType="separate"/>
      </w:r>
      <w:r w:rsidR="0055391F">
        <w:rPr>
          <w:rFonts w:cs="Times New Roman"/>
          <w:i/>
          <w:iCs/>
          <w:noProof/>
          <w:sz w:val="22"/>
          <w:szCs w:val="22"/>
        </w:rPr>
        <w:t>127</w:t>
      </w:r>
      <w:r w:rsidRPr="006333F0">
        <w:rPr>
          <w:rFonts w:cs="Times New Roman"/>
          <w:i/>
          <w:iCs/>
          <w:noProof/>
          <w:sz w:val="22"/>
          <w:szCs w:val="22"/>
        </w:rPr>
        <w:fldChar w:fldCharType="end"/>
      </w:r>
      <w:r w:rsidRPr="006333F0">
        <w:rPr>
          <w:rFonts w:cs="Times New Roman"/>
          <w:i/>
          <w:noProof/>
          <w:sz w:val="22"/>
          <w:szCs w:val="22"/>
        </w:rPr>
        <w:t xml:space="preserve">: </w:t>
      </w:r>
      <w:r>
        <w:rPr>
          <w:rFonts w:cs="Times New Roman"/>
          <w:i/>
          <w:noProof/>
          <w:sz w:val="22"/>
          <w:szCs w:val="22"/>
        </w:rPr>
        <w:t xml:space="preserve">Impact on transport activity in passenger-kilometres at EU level (percentage change relative to the baseline) in the </w:t>
      </w:r>
      <w:r w:rsidR="009629BB">
        <w:rPr>
          <w:rFonts w:cs="Times New Roman"/>
          <w:i/>
          <w:noProof/>
          <w:sz w:val="22"/>
          <w:szCs w:val="22"/>
        </w:rPr>
        <w:t>‘low modal shift’ case</w:t>
      </w:r>
    </w:p>
    <w:tbl>
      <w:tblPr>
        <w:tblW w:w="9771" w:type="dxa"/>
        <w:tblLayout w:type="fixed"/>
        <w:tblCellMar>
          <w:left w:w="0" w:type="dxa"/>
          <w:right w:w="0" w:type="dxa"/>
        </w:tblCellMar>
        <w:tblLook w:val="04A0" w:firstRow="1" w:lastRow="0" w:firstColumn="1" w:lastColumn="0" w:noHBand="0" w:noVBand="1"/>
      </w:tblPr>
      <w:tblGrid>
        <w:gridCol w:w="1408"/>
        <w:gridCol w:w="1956"/>
        <w:gridCol w:w="1601"/>
        <w:gridCol w:w="1602"/>
        <w:gridCol w:w="1602"/>
        <w:gridCol w:w="1602"/>
      </w:tblGrid>
      <w:tr w:rsidR="002E6031" w:rsidRPr="00213E9D" w14:paraId="0B5980EC" w14:textId="77777777" w:rsidTr="00080C8F">
        <w:trPr>
          <w:trHeight w:val="408"/>
          <w:tblHeader/>
        </w:trPr>
        <w:tc>
          <w:tcPr>
            <w:tcW w:w="3364" w:type="dxa"/>
            <w:gridSpan w:val="2"/>
            <w:vMerge w:val="restart"/>
            <w:tcBorders>
              <w:top w:val="single" w:sz="8" w:space="0" w:color="auto"/>
              <w:left w:val="single" w:sz="8" w:space="0" w:color="auto"/>
              <w:bottom w:val="nil"/>
              <w:right w:val="single" w:sz="8" w:space="0" w:color="000000"/>
            </w:tcBorders>
            <w:shd w:val="clear" w:color="auto" w:fill="0070C0"/>
            <w:tcMar>
              <w:top w:w="0" w:type="dxa"/>
              <w:left w:w="108" w:type="dxa"/>
              <w:bottom w:w="0" w:type="dxa"/>
              <w:right w:w="108" w:type="dxa"/>
            </w:tcMar>
            <w:hideMark/>
          </w:tcPr>
          <w:p w14:paraId="0551DD90" w14:textId="77777777" w:rsidR="002E6031" w:rsidRPr="00080C8F" w:rsidRDefault="002E6031" w:rsidP="003F6FC9">
            <w:pPr>
              <w:spacing w:after="160" w:line="259" w:lineRule="auto"/>
              <w:rPr>
                <w:b/>
                <w:bCs/>
                <w:noProof/>
                <w:color w:val="FFFFFF" w:themeColor="background1"/>
                <w:sz w:val="18"/>
                <w:szCs w:val="18"/>
              </w:rPr>
            </w:pPr>
            <w:r w:rsidRPr="00080C8F">
              <w:rPr>
                <w:b/>
                <w:bCs/>
                <w:noProof/>
                <w:color w:val="FFFFFF" w:themeColor="background1"/>
                <w:sz w:val="18"/>
                <w:szCs w:val="18"/>
              </w:rPr>
              <w:t> </w:t>
            </w:r>
          </w:p>
        </w:tc>
        <w:tc>
          <w:tcPr>
            <w:tcW w:w="6407" w:type="dxa"/>
            <w:gridSpan w:val="4"/>
            <w:tcBorders>
              <w:top w:val="single" w:sz="8" w:space="0" w:color="auto"/>
              <w:left w:val="nil"/>
              <w:bottom w:val="single" w:sz="8" w:space="0" w:color="auto"/>
              <w:right w:val="single" w:sz="8" w:space="0" w:color="000000"/>
            </w:tcBorders>
            <w:shd w:val="clear" w:color="auto" w:fill="0070C0"/>
            <w:tcMar>
              <w:top w:w="0" w:type="dxa"/>
              <w:left w:w="108" w:type="dxa"/>
              <w:bottom w:w="0" w:type="dxa"/>
              <w:right w:w="108" w:type="dxa"/>
            </w:tcMar>
            <w:hideMark/>
          </w:tcPr>
          <w:p w14:paraId="30AD81CE" w14:textId="77777777" w:rsidR="002E6031" w:rsidRPr="00080C8F" w:rsidRDefault="002E6031" w:rsidP="00080C8F">
            <w:pPr>
              <w:spacing w:after="160" w:line="259" w:lineRule="auto"/>
              <w:jc w:val="center"/>
              <w:rPr>
                <w:b/>
                <w:bCs/>
                <w:noProof/>
                <w:color w:val="FFFFFF" w:themeColor="background1"/>
                <w:sz w:val="18"/>
                <w:szCs w:val="18"/>
              </w:rPr>
            </w:pPr>
            <w:r w:rsidRPr="00080C8F">
              <w:rPr>
                <w:b/>
                <w:bCs/>
                <w:noProof/>
                <w:color w:val="FFFFFF" w:themeColor="background1"/>
                <w:sz w:val="18"/>
                <w:szCs w:val="18"/>
              </w:rPr>
              <w:t>% change to baseline</w:t>
            </w:r>
          </w:p>
        </w:tc>
      </w:tr>
      <w:tr w:rsidR="002E6031" w:rsidRPr="00213E9D" w14:paraId="02A20B1A" w14:textId="77777777" w:rsidTr="00080C8F">
        <w:trPr>
          <w:trHeight w:val="264"/>
          <w:tblHeader/>
        </w:trPr>
        <w:tc>
          <w:tcPr>
            <w:tcW w:w="3364" w:type="dxa"/>
            <w:gridSpan w:val="2"/>
            <w:vMerge/>
            <w:tcBorders>
              <w:top w:val="single" w:sz="8" w:space="0" w:color="auto"/>
              <w:left w:val="single" w:sz="8" w:space="0" w:color="auto"/>
              <w:bottom w:val="nil"/>
              <w:right w:val="single" w:sz="8" w:space="0" w:color="000000"/>
            </w:tcBorders>
            <w:hideMark/>
          </w:tcPr>
          <w:p w14:paraId="03B3A359" w14:textId="77777777" w:rsidR="002E6031" w:rsidRPr="00080C8F" w:rsidRDefault="002E6031" w:rsidP="003F6FC9">
            <w:pPr>
              <w:spacing w:after="160" w:line="259" w:lineRule="auto"/>
              <w:rPr>
                <w:b/>
                <w:bCs/>
                <w:noProof/>
                <w:color w:val="FFFFFF" w:themeColor="background1"/>
                <w:sz w:val="18"/>
                <w:szCs w:val="18"/>
              </w:rPr>
            </w:pPr>
          </w:p>
        </w:tc>
        <w:tc>
          <w:tcPr>
            <w:tcW w:w="1601" w:type="dxa"/>
            <w:tcBorders>
              <w:top w:val="nil"/>
              <w:left w:val="nil"/>
              <w:bottom w:val="single" w:sz="8" w:space="0" w:color="auto"/>
              <w:right w:val="single" w:sz="8" w:space="0" w:color="auto"/>
            </w:tcBorders>
            <w:shd w:val="clear" w:color="auto" w:fill="0070C0"/>
            <w:tcMar>
              <w:top w:w="0" w:type="dxa"/>
              <w:left w:w="108" w:type="dxa"/>
              <w:bottom w:w="0" w:type="dxa"/>
              <w:right w:w="108" w:type="dxa"/>
            </w:tcMar>
            <w:hideMark/>
          </w:tcPr>
          <w:p w14:paraId="1D8E36FF" w14:textId="77777777" w:rsidR="002E6031" w:rsidRPr="00080C8F" w:rsidRDefault="002E6031" w:rsidP="00080C8F">
            <w:pPr>
              <w:spacing w:after="160" w:line="259" w:lineRule="auto"/>
              <w:jc w:val="center"/>
              <w:rPr>
                <w:b/>
                <w:bCs/>
                <w:noProof/>
                <w:color w:val="FFFFFF" w:themeColor="background1"/>
                <w:sz w:val="18"/>
                <w:szCs w:val="18"/>
              </w:rPr>
            </w:pPr>
            <w:r w:rsidRPr="00080C8F">
              <w:rPr>
                <w:b/>
                <w:bCs/>
                <w:noProof/>
                <w:color w:val="FFFFFF" w:themeColor="background1"/>
                <w:sz w:val="18"/>
                <w:szCs w:val="18"/>
              </w:rPr>
              <w:t>PO1</w:t>
            </w:r>
          </w:p>
        </w:tc>
        <w:tc>
          <w:tcPr>
            <w:tcW w:w="1602" w:type="dxa"/>
            <w:tcBorders>
              <w:top w:val="nil"/>
              <w:left w:val="nil"/>
              <w:bottom w:val="single" w:sz="8" w:space="0" w:color="auto"/>
              <w:right w:val="single" w:sz="8" w:space="0" w:color="auto"/>
            </w:tcBorders>
            <w:shd w:val="clear" w:color="auto" w:fill="0070C0"/>
            <w:tcMar>
              <w:top w:w="0" w:type="dxa"/>
              <w:left w:w="108" w:type="dxa"/>
              <w:bottom w:w="0" w:type="dxa"/>
              <w:right w:w="108" w:type="dxa"/>
            </w:tcMar>
            <w:hideMark/>
          </w:tcPr>
          <w:p w14:paraId="73E087CF" w14:textId="77777777" w:rsidR="002E6031" w:rsidRPr="00080C8F" w:rsidRDefault="002E6031" w:rsidP="00080C8F">
            <w:pPr>
              <w:spacing w:after="160" w:line="259" w:lineRule="auto"/>
              <w:jc w:val="center"/>
              <w:rPr>
                <w:b/>
                <w:bCs/>
                <w:noProof/>
                <w:color w:val="FFFFFF" w:themeColor="background1"/>
                <w:sz w:val="18"/>
                <w:szCs w:val="18"/>
              </w:rPr>
            </w:pPr>
            <w:r w:rsidRPr="00080C8F">
              <w:rPr>
                <w:b/>
                <w:bCs/>
                <w:noProof/>
                <w:color w:val="FFFFFF" w:themeColor="background1"/>
                <w:sz w:val="18"/>
                <w:szCs w:val="18"/>
              </w:rPr>
              <w:t>PO2</w:t>
            </w:r>
          </w:p>
        </w:tc>
        <w:tc>
          <w:tcPr>
            <w:tcW w:w="1602" w:type="dxa"/>
            <w:tcBorders>
              <w:top w:val="nil"/>
              <w:left w:val="nil"/>
              <w:bottom w:val="single" w:sz="8" w:space="0" w:color="auto"/>
              <w:right w:val="single" w:sz="8" w:space="0" w:color="auto"/>
            </w:tcBorders>
            <w:shd w:val="clear" w:color="auto" w:fill="0070C0"/>
            <w:tcMar>
              <w:top w:w="0" w:type="dxa"/>
              <w:left w:w="108" w:type="dxa"/>
              <w:bottom w:w="0" w:type="dxa"/>
              <w:right w:w="108" w:type="dxa"/>
            </w:tcMar>
            <w:hideMark/>
          </w:tcPr>
          <w:p w14:paraId="07C712BA" w14:textId="77777777" w:rsidR="002E6031" w:rsidRPr="00080C8F" w:rsidRDefault="002E6031" w:rsidP="00080C8F">
            <w:pPr>
              <w:spacing w:after="160" w:line="259" w:lineRule="auto"/>
              <w:jc w:val="center"/>
              <w:rPr>
                <w:b/>
                <w:bCs/>
                <w:noProof/>
                <w:color w:val="FFFFFF" w:themeColor="background1"/>
                <w:sz w:val="18"/>
                <w:szCs w:val="18"/>
              </w:rPr>
            </w:pPr>
            <w:r w:rsidRPr="00080C8F">
              <w:rPr>
                <w:b/>
                <w:bCs/>
                <w:noProof/>
                <w:color w:val="FFFFFF" w:themeColor="background1"/>
                <w:sz w:val="18"/>
                <w:szCs w:val="18"/>
              </w:rPr>
              <w:t>PO3</w:t>
            </w:r>
          </w:p>
        </w:tc>
        <w:tc>
          <w:tcPr>
            <w:tcW w:w="1602" w:type="dxa"/>
            <w:tcBorders>
              <w:top w:val="nil"/>
              <w:left w:val="nil"/>
              <w:bottom w:val="single" w:sz="8" w:space="0" w:color="auto"/>
              <w:right w:val="single" w:sz="8" w:space="0" w:color="auto"/>
            </w:tcBorders>
            <w:shd w:val="clear" w:color="auto" w:fill="0070C0"/>
            <w:tcMar>
              <w:top w:w="0" w:type="dxa"/>
              <w:left w:w="108" w:type="dxa"/>
              <w:bottom w:w="0" w:type="dxa"/>
              <w:right w:w="108" w:type="dxa"/>
            </w:tcMar>
            <w:hideMark/>
          </w:tcPr>
          <w:p w14:paraId="7B262D3A" w14:textId="77777777" w:rsidR="002E6031" w:rsidRPr="00080C8F" w:rsidRDefault="002E6031" w:rsidP="00080C8F">
            <w:pPr>
              <w:spacing w:after="160" w:line="259" w:lineRule="auto"/>
              <w:jc w:val="center"/>
              <w:rPr>
                <w:b/>
                <w:bCs/>
                <w:noProof/>
                <w:color w:val="FFFFFF" w:themeColor="background1"/>
                <w:sz w:val="18"/>
                <w:szCs w:val="18"/>
              </w:rPr>
            </w:pPr>
            <w:r w:rsidRPr="00080C8F">
              <w:rPr>
                <w:b/>
                <w:bCs/>
                <w:noProof/>
                <w:color w:val="FFFFFF" w:themeColor="background1"/>
                <w:sz w:val="18"/>
                <w:szCs w:val="18"/>
              </w:rPr>
              <w:t>PO4</w:t>
            </w:r>
          </w:p>
        </w:tc>
      </w:tr>
      <w:tr w:rsidR="002E6031" w:rsidRPr="00213E9D" w14:paraId="0E1ED3F9" w14:textId="77777777" w:rsidTr="00080C8F">
        <w:trPr>
          <w:trHeight w:val="284"/>
        </w:trPr>
        <w:tc>
          <w:tcPr>
            <w:tcW w:w="1408" w:type="dxa"/>
            <w:vMerge w:val="restart"/>
            <w:tcBorders>
              <w:top w:val="single" w:sz="8" w:space="0" w:color="auto"/>
              <w:left w:val="single" w:sz="8" w:space="0" w:color="auto"/>
              <w:bottom w:val="single" w:sz="8" w:space="0" w:color="000000"/>
              <w:right w:val="single" w:sz="8" w:space="0" w:color="auto"/>
            </w:tcBorders>
            <w:shd w:val="clear" w:color="auto" w:fill="FFFFFF"/>
            <w:tcMar>
              <w:top w:w="0" w:type="dxa"/>
              <w:left w:w="108" w:type="dxa"/>
              <w:bottom w:w="0" w:type="dxa"/>
              <w:right w:w="108" w:type="dxa"/>
            </w:tcMar>
            <w:hideMark/>
          </w:tcPr>
          <w:p w14:paraId="1D908FD5" w14:textId="77777777" w:rsidR="002E6031" w:rsidRPr="00213E9D" w:rsidRDefault="002E6031" w:rsidP="003F6FC9">
            <w:pPr>
              <w:spacing w:after="160" w:line="259" w:lineRule="auto"/>
              <w:rPr>
                <w:noProof/>
                <w:sz w:val="18"/>
                <w:szCs w:val="18"/>
              </w:rPr>
            </w:pPr>
            <w:r w:rsidRPr="00213E9D">
              <w:rPr>
                <w:noProof/>
                <w:sz w:val="18"/>
                <w:szCs w:val="18"/>
              </w:rPr>
              <w:t>Car</w:t>
            </w:r>
          </w:p>
        </w:tc>
        <w:tc>
          <w:tcPr>
            <w:tcW w:w="195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DEA9860" w14:textId="77777777" w:rsidR="002E6031" w:rsidRPr="00213E9D" w:rsidRDefault="002E6031" w:rsidP="003F6FC9">
            <w:pPr>
              <w:spacing w:after="160" w:line="259" w:lineRule="auto"/>
              <w:rPr>
                <w:noProof/>
                <w:sz w:val="18"/>
                <w:szCs w:val="18"/>
              </w:rPr>
            </w:pPr>
            <w:r w:rsidRPr="00213E9D">
              <w:rPr>
                <w:noProof/>
                <w:sz w:val="18"/>
                <w:szCs w:val="18"/>
              </w:rPr>
              <w:t>2030</w:t>
            </w:r>
          </w:p>
        </w:tc>
        <w:tc>
          <w:tcPr>
            <w:tcW w:w="1601" w:type="dxa"/>
            <w:tcBorders>
              <w:top w:val="nil"/>
              <w:left w:val="nil"/>
              <w:bottom w:val="single" w:sz="8" w:space="0" w:color="auto"/>
              <w:right w:val="single" w:sz="8" w:space="0" w:color="auto"/>
            </w:tcBorders>
            <w:shd w:val="clear" w:color="auto" w:fill="FBE5E8"/>
            <w:noWrap/>
            <w:tcMar>
              <w:top w:w="0" w:type="dxa"/>
              <w:left w:w="108" w:type="dxa"/>
              <w:bottom w:w="0" w:type="dxa"/>
              <w:right w:w="108" w:type="dxa"/>
            </w:tcMar>
            <w:hideMark/>
          </w:tcPr>
          <w:p w14:paraId="3BE47BFC" w14:textId="77777777" w:rsidR="002E6031" w:rsidRPr="00213E9D" w:rsidRDefault="002E6031" w:rsidP="00080C8F">
            <w:pPr>
              <w:spacing w:after="160" w:line="259" w:lineRule="auto"/>
              <w:jc w:val="center"/>
              <w:rPr>
                <w:noProof/>
                <w:sz w:val="18"/>
                <w:szCs w:val="18"/>
              </w:rPr>
            </w:pPr>
            <w:r w:rsidRPr="00213E9D">
              <w:rPr>
                <w:noProof/>
                <w:sz w:val="18"/>
                <w:szCs w:val="18"/>
              </w:rPr>
              <w:t>-0.1%</w:t>
            </w:r>
          </w:p>
        </w:tc>
        <w:tc>
          <w:tcPr>
            <w:tcW w:w="1602" w:type="dxa"/>
            <w:tcBorders>
              <w:top w:val="nil"/>
              <w:left w:val="nil"/>
              <w:bottom w:val="single" w:sz="8" w:space="0" w:color="auto"/>
              <w:right w:val="single" w:sz="8" w:space="0" w:color="auto"/>
            </w:tcBorders>
            <w:shd w:val="clear" w:color="auto" w:fill="FAD4D7"/>
            <w:noWrap/>
            <w:tcMar>
              <w:top w:w="0" w:type="dxa"/>
              <w:left w:w="108" w:type="dxa"/>
              <w:bottom w:w="0" w:type="dxa"/>
              <w:right w:w="108" w:type="dxa"/>
            </w:tcMar>
            <w:hideMark/>
          </w:tcPr>
          <w:p w14:paraId="4775359C" w14:textId="77777777" w:rsidR="002E6031" w:rsidRPr="00213E9D" w:rsidRDefault="002E6031" w:rsidP="00080C8F">
            <w:pPr>
              <w:spacing w:after="160" w:line="259" w:lineRule="auto"/>
              <w:jc w:val="center"/>
              <w:rPr>
                <w:noProof/>
                <w:sz w:val="18"/>
                <w:szCs w:val="18"/>
              </w:rPr>
            </w:pPr>
            <w:r w:rsidRPr="00213E9D">
              <w:rPr>
                <w:noProof/>
                <w:sz w:val="18"/>
                <w:szCs w:val="18"/>
              </w:rPr>
              <w:t>-0.2%</w:t>
            </w:r>
          </w:p>
        </w:tc>
        <w:tc>
          <w:tcPr>
            <w:tcW w:w="1602" w:type="dxa"/>
            <w:tcBorders>
              <w:top w:val="nil"/>
              <w:left w:val="nil"/>
              <w:bottom w:val="single" w:sz="8" w:space="0" w:color="auto"/>
              <w:right w:val="single" w:sz="8" w:space="0" w:color="auto"/>
            </w:tcBorders>
            <w:shd w:val="clear" w:color="auto" w:fill="FAC4C7"/>
            <w:noWrap/>
            <w:tcMar>
              <w:top w:w="0" w:type="dxa"/>
              <w:left w:w="108" w:type="dxa"/>
              <w:bottom w:w="0" w:type="dxa"/>
              <w:right w:w="108" w:type="dxa"/>
            </w:tcMar>
            <w:hideMark/>
          </w:tcPr>
          <w:p w14:paraId="76966AF3" w14:textId="77777777" w:rsidR="002E6031" w:rsidRPr="00213E9D" w:rsidRDefault="002E6031" w:rsidP="00080C8F">
            <w:pPr>
              <w:spacing w:after="160" w:line="259" w:lineRule="auto"/>
              <w:jc w:val="center"/>
              <w:rPr>
                <w:noProof/>
                <w:sz w:val="18"/>
                <w:szCs w:val="18"/>
              </w:rPr>
            </w:pPr>
            <w:r w:rsidRPr="00213E9D">
              <w:rPr>
                <w:noProof/>
                <w:sz w:val="18"/>
                <w:szCs w:val="18"/>
              </w:rPr>
              <w:t>-0.2%</w:t>
            </w:r>
          </w:p>
        </w:tc>
        <w:tc>
          <w:tcPr>
            <w:tcW w:w="1602" w:type="dxa"/>
            <w:tcBorders>
              <w:top w:val="nil"/>
              <w:left w:val="nil"/>
              <w:bottom w:val="single" w:sz="8" w:space="0" w:color="auto"/>
              <w:right w:val="single" w:sz="8" w:space="0" w:color="auto"/>
            </w:tcBorders>
            <w:shd w:val="clear" w:color="auto" w:fill="FAD1D3"/>
            <w:noWrap/>
            <w:tcMar>
              <w:top w:w="0" w:type="dxa"/>
              <w:left w:w="108" w:type="dxa"/>
              <w:bottom w:w="0" w:type="dxa"/>
              <w:right w:w="108" w:type="dxa"/>
            </w:tcMar>
            <w:hideMark/>
          </w:tcPr>
          <w:p w14:paraId="0391DED9" w14:textId="77777777" w:rsidR="002E6031" w:rsidRPr="00213E9D" w:rsidRDefault="002E6031" w:rsidP="00080C8F">
            <w:pPr>
              <w:spacing w:after="160" w:line="259" w:lineRule="auto"/>
              <w:jc w:val="center"/>
              <w:rPr>
                <w:noProof/>
                <w:sz w:val="18"/>
                <w:szCs w:val="18"/>
              </w:rPr>
            </w:pPr>
            <w:r w:rsidRPr="00213E9D">
              <w:rPr>
                <w:noProof/>
                <w:sz w:val="18"/>
                <w:szCs w:val="18"/>
              </w:rPr>
              <w:t>-0.2%</w:t>
            </w:r>
          </w:p>
        </w:tc>
      </w:tr>
      <w:tr w:rsidR="002E6031" w:rsidRPr="00213E9D" w14:paraId="611F937F" w14:textId="77777777" w:rsidTr="00080C8F">
        <w:trPr>
          <w:trHeight w:val="284"/>
        </w:trPr>
        <w:tc>
          <w:tcPr>
            <w:tcW w:w="1408" w:type="dxa"/>
            <w:vMerge/>
            <w:tcBorders>
              <w:top w:val="single" w:sz="8" w:space="0" w:color="auto"/>
              <w:left w:val="single" w:sz="8" w:space="0" w:color="auto"/>
              <w:bottom w:val="single" w:sz="8" w:space="0" w:color="000000"/>
              <w:right w:val="single" w:sz="8" w:space="0" w:color="auto"/>
            </w:tcBorders>
            <w:hideMark/>
          </w:tcPr>
          <w:p w14:paraId="4FB6A038" w14:textId="77777777" w:rsidR="002E6031" w:rsidRPr="00213E9D" w:rsidRDefault="002E6031" w:rsidP="003F6FC9">
            <w:pPr>
              <w:spacing w:after="160" w:line="259" w:lineRule="auto"/>
              <w:rPr>
                <w:noProof/>
                <w:sz w:val="18"/>
                <w:szCs w:val="18"/>
              </w:rPr>
            </w:pPr>
          </w:p>
        </w:tc>
        <w:tc>
          <w:tcPr>
            <w:tcW w:w="19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2D56FE" w14:textId="77777777" w:rsidR="002E6031" w:rsidRPr="00213E9D" w:rsidRDefault="002E6031" w:rsidP="003F6FC9">
            <w:pPr>
              <w:spacing w:after="160" w:line="259" w:lineRule="auto"/>
              <w:rPr>
                <w:noProof/>
                <w:sz w:val="18"/>
                <w:szCs w:val="18"/>
              </w:rPr>
            </w:pPr>
            <w:r w:rsidRPr="00213E9D">
              <w:rPr>
                <w:noProof/>
                <w:sz w:val="18"/>
                <w:szCs w:val="18"/>
              </w:rPr>
              <w:t>2040</w:t>
            </w:r>
          </w:p>
        </w:tc>
        <w:tc>
          <w:tcPr>
            <w:tcW w:w="1601" w:type="dxa"/>
            <w:tcBorders>
              <w:top w:val="nil"/>
              <w:left w:val="nil"/>
              <w:bottom w:val="single" w:sz="8" w:space="0" w:color="auto"/>
              <w:right w:val="single" w:sz="8" w:space="0" w:color="auto"/>
            </w:tcBorders>
            <w:shd w:val="clear" w:color="auto" w:fill="FAC9CB"/>
            <w:noWrap/>
            <w:tcMar>
              <w:top w:w="0" w:type="dxa"/>
              <w:left w:w="108" w:type="dxa"/>
              <w:bottom w:w="0" w:type="dxa"/>
              <w:right w:w="108" w:type="dxa"/>
            </w:tcMar>
            <w:hideMark/>
          </w:tcPr>
          <w:p w14:paraId="626F0F29" w14:textId="77777777" w:rsidR="002E6031" w:rsidRPr="00213E9D" w:rsidRDefault="002E6031" w:rsidP="00080C8F">
            <w:pPr>
              <w:spacing w:after="160" w:line="259" w:lineRule="auto"/>
              <w:jc w:val="center"/>
              <w:rPr>
                <w:noProof/>
                <w:sz w:val="18"/>
                <w:szCs w:val="18"/>
              </w:rPr>
            </w:pPr>
            <w:r w:rsidRPr="00213E9D">
              <w:rPr>
                <w:noProof/>
                <w:sz w:val="18"/>
                <w:szCs w:val="18"/>
              </w:rPr>
              <w:t>-0.2%</w:t>
            </w:r>
          </w:p>
        </w:tc>
        <w:tc>
          <w:tcPr>
            <w:tcW w:w="1602" w:type="dxa"/>
            <w:tcBorders>
              <w:top w:val="nil"/>
              <w:left w:val="nil"/>
              <w:bottom w:val="single" w:sz="8" w:space="0" w:color="auto"/>
              <w:right w:val="single" w:sz="8" w:space="0" w:color="auto"/>
            </w:tcBorders>
            <w:shd w:val="clear" w:color="auto" w:fill="F99A9C"/>
            <w:noWrap/>
            <w:tcMar>
              <w:top w:w="0" w:type="dxa"/>
              <w:left w:w="108" w:type="dxa"/>
              <w:bottom w:w="0" w:type="dxa"/>
              <w:right w:w="108" w:type="dxa"/>
            </w:tcMar>
            <w:hideMark/>
          </w:tcPr>
          <w:p w14:paraId="59A57D45" w14:textId="77777777" w:rsidR="002E6031" w:rsidRPr="00213E9D" w:rsidRDefault="002E6031" w:rsidP="00080C8F">
            <w:pPr>
              <w:spacing w:after="160" w:line="259" w:lineRule="auto"/>
              <w:jc w:val="center"/>
              <w:rPr>
                <w:noProof/>
                <w:sz w:val="18"/>
                <w:szCs w:val="18"/>
              </w:rPr>
            </w:pPr>
            <w:r w:rsidRPr="00213E9D">
              <w:rPr>
                <w:noProof/>
                <w:sz w:val="18"/>
                <w:szCs w:val="18"/>
              </w:rPr>
              <w:t>-0.4%</w:t>
            </w:r>
          </w:p>
        </w:tc>
        <w:tc>
          <w:tcPr>
            <w:tcW w:w="1602" w:type="dxa"/>
            <w:tcBorders>
              <w:top w:val="nil"/>
              <w:left w:val="nil"/>
              <w:bottom w:val="single" w:sz="8" w:space="0" w:color="auto"/>
              <w:right w:val="single" w:sz="8" w:space="0" w:color="auto"/>
            </w:tcBorders>
            <w:shd w:val="clear" w:color="auto" w:fill="F87678"/>
            <w:noWrap/>
            <w:tcMar>
              <w:top w:w="0" w:type="dxa"/>
              <w:left w:w="108" w:type="dxa"/>
              <w:bottom w:w="0" w:type="dxa"/>
              <w:right w:w="108" w:type="dxa"/>
            </w:tcMar>
            <w:hideMark/>
          </w:tcPr>
          <w:p w14:paraId="3CC3B70E" w14:textId="77777777" w:rsidR="002E6031" w:rsidRPr="00213E9D" w:rsidRDefault="002E6031" w:rsidP="00080C8F">
            <w:pPr>
              <w:spacing w:after="160" w:line="259" w:lineRule="auto"/>
              <w:jc w:val="center"/>
              <w:rPr>
                <w:noProof/>
                <w:sz w:val="18"/>
                <w:szCs w:val="18"/>
              </w:rPr>
            </w:pPr>
            <w:r w:rsidRPr="00213E9D">
              <w:rPr>
                <w:noProof/>
                <w:sz w:val="18"/>
                <w:szCs w:val="18"/>
              </w:rPr>
              <w:t>-0.6%</w:t>
            </w:r>
          </w:p>
        </w:tc>
        <w:tc>
          <w:tcPr>
            <w:tcW w:w="1602" w:type="dxa"/>
            <w:tcBorders>
              <w:top w:val="nil"/>
              <w:left w:val="nil"/>
              <w:bottom w:val="single" w:sz="8" w:space="0" w:color="auto"/>
              <w:right w:val="single" w:sz="8" w:space="0" w:color="auto"/>
            </w:tcBorders>
            <w:shd w:val="clear" w:color="auto" w:fill="F99193"/>
            <w:noWrap/>
            <w:tcMar>
              <w:top w:w="0" w:type="dxa"/>
              <w:left w:w="108" w:type="dxa"/>
              <w:bottom w:w="0" w:type="dxa"/>
              <w:right w:w="108" w:type="dxa"/>
            </w:tcMar>
            <w:hideMark/>
          </w:tcPr>
          <w:p w14:paraId="3B5258A5" w14:textId="77777777" w:rsidR="002E6031" w:rsidRPr="00213E9D" w:rsidRDefault="002E6031" w:rsidP="00080C8F">
            <w:pPr>
              <w:spacing w:after="160" w:line="259" w:lineRule="auto"/>
              <w:jc w:val="center"/>
              <w:rPr>
                <w:noProof/>
                <w:sz w:val="18"/>
                <w:szCs w:val="18"/>
              </w:rPr>
            </w:pPr>
            <w:r w:rsidRPr="00213E9D">
              <w:rPr>
                <w:noProof/>
                <w:sz w:val="18"/>
                <w:szCs w:val="18"/>
              </w:rPr>
              <w:t>-0.5%</w:t>
            </w:r>
          </w:p>
        </w:tc>
      </w:tr>
      <w:tr w:rsidR="002E6031" w:rsidRPr="00213E9D" w14:paraId="30444019" w14:textId="77777777" w:rsidTr="00080C8F">
        <w:trPr>
          <w:trHeight w:val="284"/>
        </w:trPr>
        <w:tc>
          <w:tcPr>
            <w:tcW w:w="1408" w:type="dxa"/>
            <w:vMerge/>
            <w:tcBorders>
              <w:top w:val="single" w:sz="8" w:space="0" w:color="auto"/>
              <w:left w:val="single" w:sz="8" w:space="0" w:color="auto"/>
              <w:bottom w:val="single" w:sz="8" w:space="0" w:color="000000"/>
              <w:right w:val="single" w:sz="8" w:space="0" w:color="auto"/>
            </w:tcBorders>
            <w:hideMark/>
          </w:tcPr>
          <w:p w14:paraId="136A5C03" w14:textId="77777777" w:rsidR="002E6031" w:rsidRPr="00213E9D" w:rsidRDefault="002E6031" w:rsidP="003F6FC9">
            <w:pPr>
              <w:spacing w:after="160" w:line="259" w:lineRule="auto"/>
              <w:rPr>
                <w:noProof/>
                <w:sz w:val="18"/>
                <w:szCs w:val="18"/>
              </w:rPr>
            </w:pPr>
          </w:p>
        </w:tc>
        <w:tc>
          <w:tcPr>
            <w:tcW w:w="19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588FA4" w14:textId="77777777" w:rsidR="002E6031" w:rsidRPr="00213E9D" w:rsidRDefault="002E6031" w:rsidP="003F6FC9">
            <w:pPr>
              <w:spacing w:after="160" w:line="259" w:lineRule="auto"/>
              <w:rPr>
                <w:noProof/>
                <w:sz w:val="18"/>
                <w:szCs w:val="18"/>
              </w:rPr>
            </w:pPr>
            <w:r w:rsidRPr="00213E9D">
              <w:rPr>
                <w:noProof/>
                <w:sz w:val="18"/>
                <w:szCs w:val="18"/>
              </w:rPr>
              <w:t>2050</w:t>
            </w:r>
          </w:p>
        </w:tc>
        <w:tc>
          <w:tcPr>
            <w:tcW w:w="1601" w:type="dxa"/>
            <w:tcBorders>
              <w:top w:val="nil"/>
              <w:left w:val="nil"/>
              <w:bottom w:val="single" w:sz="8" w:space="0" w:color="auto"/>
              <w:right w:val="single" w:sz="8" w:space="0" w:color="auto"/>
            </w:tcBorders>
            <w:shd w:val="clear" w:color="auto" w:fill="FAC6C9"/>
            <w:noWrap/>
            <w:tcMar>
              <w:top w:w="0" w:type="dxa"/>
              <w:left w:w="108" w:type="dxa"/>
              <w:bottom w:w="0" w:type="dxa"/>
              <w:right w:w="108" w:type="dxa"/>
            </w:tcMar>
            <w:hideMark/>
          </w:tcPr>
          <w:p w14:paraId="4A8B7B64" w14:textId="77777777" w:rsidR="002E6031" w:rsidRPr="00213E9D" w:rsidRDefault="002E6031" w:rsidP="00080C8F">
            <w:pPr>
              <w:spacing w:after="160" w:line="259" w:lineRule="auto"/>
              <w:jc w:val="center"/>
              <w:rPr>
                <w:noProof/>
                <w:sz w:val="18"/>
                <w:szCs w:val="18"/>
              </w:rPr>
            </w:pPr>
            <w:r w:rsidRPr="00213E9D">
              <w:rPr>
                <w:noProof/>
                <w:sz w:val="18"/>
                <w:szCs w:val="18"/>
              </w:rPr>
              <w:t>-0.2%</w:t>
            </w:r>
          </w:p>
        </w:tc>
        <w:tc>
          <w:tcPr>
            <w:tcW w:w="1602" w:type="dxa"/>
            <w:tcBorders>
              <w:top w:val="nil"/>
              <w:left w:val="nil"/>
              <w:bottom w:val="single" w:sz="8" w:space="0" w:color="auto"/>
              <w:right w:val="single" w:sz="8" w:space="0" w:color="auto"/>
            </w:tcBorders>
            <w:shd w:val="clear" w:color="auto" w:fill="F98E90"/>
            <w:noWrap/>
            <w:tcMar>
              <w:top w:w="0" w:type="dxa"/>
              <w:left w:w="108" w:type="dxa"/>
              <w:bottom w:w="0" w:type="dxa"/>
              <w:right w:w="108" w:type="dxa"/>
            </w:tcMar>
            <w:hideMark/>
          </w:tcPr>
          <w:p w14:paraId="64098C0F" w14:textId="77777777" w:rsidR="002E6031" w:rsidRPr="00213E9D" w:rsidRDefault="002E6031" w:rsidP="00080C8F">
            <w:pPr>
              <w:spacing w:after="160" w:line="259" w:lineRule="auto"/>
              <w:jc w:val="center"/>
              <w:rPr>
                <w:noProof/>
                <w:sz w:val="18"/>
                <w:szCs w:val="18"/>
              </w:rPr>
            </w:pPr>
            <w:r w:rsidRPr="00213E9D">
              <w:rPr>
                <w:noProof/>
                <w:sz w:val="18"/>
                <w:szCs w:val="18"/>
              </w:rPr>
              <w:t>-0.5%</w:t>
            </w:r>
          </w:p>
        </w:tc>
        <w:tc>
          <w:tcPr>
            <w:tcW w:w="1602" w:type="dxa"/>
            <w:tcBorders>
              <w:top w:val="nil"/>
              <w:left w:val="nil"/>
              <w:bottom w:val="single" w:sz="8" w:space="0" w:color="auto"/>
              <w:right w:val="single" w:sz="8" w:space="0" w:color="auto"/>
            </w:tcBorders>
            <w:shd w:val="clear" w:color="auto" w:fill="F8696B"/>
            <w:noWrap/>
            <w:tcMar>
              <w:top w:w="0" w:type="dxa"/>
              <w:left w:w="108" w:type="dxa"/>
              <w:bottom w:w="0" w:type="dxa"/>
              <w:right w:w="108" w:type="dxa"/>
            </w:tcMar>
            <w:hideMark/>
          </w:tcPr>
          <w:p w14:paraId="5D4F0865" w14:textId="77777777" w:rsidR="002E6031" w:rsidRPr="00213E9D" w:rsidRDefault="002E6031" w:rsidP="00080C8F">
            <w:pPr>
              <w:spacing w:after="160" w:line="259" w:lineRule="auto"/>
              <w:jc w:val="center"/>
              <w:rPr>
                <w:noProof/>
                <w:sz w:val="18"/>
                <w:szCs w:val="18"/>
              </w:rPr>
            </w:pPr>
            <w:r w:rsidRPr="00213E9D">
              <w:rPr>
                <w:noProof/>
                <w:sz w:val="18"/>
                <w:szCs w:val="18"/>
              </w:rPr>
              <w:t>-0.7%</w:t>
            </w:r>
          </w:p>
        </w:tc>
        <w:tc>
          <w:tcPr>
            <w:tcW w:w="1602" w:type="dxa"/>
            <w:tcBorders>
              <w:top w:val="nil"/>
              <w:left w:val="nil"/>
              <w:bottom w:val="single" w:sz="8" w:space="0" w:color="auto"/>
              <w:right w:val="single" w:sz="8" w:space="0" w:color="auto"/>
            </w:tcBorders>
            <w:shd w:val="clear" w:color="auto" w:fill="F88486"/>
            <w:noWrap/>
            <w:tcMar>
              <w:top w:w="0" w:type="dxa"/>
              <w:left w:w="108" w:type="dxa"/>
              <w:bottom w:w="0" w:type="dxa"/>
              <w:right w:w="108" w:type="dxa"/>
            </w:tcMar>
            <w:hideMark/>
          </w:tcPr>
          <w:p w14:paraId="3C01E894" w14:textId="77777777" w:rsidR="002E6031" w:rsidRPr="00213E9D" w:rsidRDefault="002E6031" w:rsidP="00080C8F">
            <w:pPr>
              <w:spacing w:after="160" w:line="259" w:lineRule="auto"/>
              <w:jc w:val="center"/>
              <w:rPr>
                <w:noProof/>
                <w:sz w:val="18"/>
                <w:szCs w:val="18"/>
              </w:rPr>
            </w:pPr>
            <w:r w:rsidRPr="00213E9D">
              <w:rPr>
                <w:noProof/>
                <w:sz w:val="18"/>
                <w:szCs w:val="18"/>
              </w:rPr>
              <w:t>-0.5%</w:t>
            </w:r>
          </w:p>
        </w:tc>
      </w:tr>
      <w:tr w:rsidR="002E6031" w:rsidRPr="00213E9D" w14:paraId="563B073D" w14:textId="77777777" w:rsidTr="00080C8F">
        <w:trPr>
          <w:trHeight w:val="284"/>
        </w:trPr>
        <w:tc>
          <w:tcPr>
            <w:tcW w:w="1408" w:type="dxa"/>
            <w:vMerge w:val="restart"/>
            <w:tcBorders>
              <w:top w:val="nil"/>
              <w:left w:val="single" w:sz="8" w:space="0" w:color="auto"/>
              <w:bottom w:val="single" w:sz="8" w:space="0" w:color="000000"/>
              <w:right w:val="single" w:sz="8" w:space="0" w:color="auto"/>
            </w:tcBorders>
            <w:shd w:val="clear" w:color="auto" w:fill="FFFFFF"/>
            <w:tcMar>
              <w:top w:w="0" w:type="dxa"/>
              <w:left w:w="108" w:type="dxa"/>
              <w:bottom w:w="0" w:type="dxa"/>
              <w:right w:w="108" w:type="dxa"/>
            </w:tcMar>
            <w:hideMark/>
          </w:tcPr>
          <w:p w14:paraId="455BB9C0" w14:textId="77777777" w:rsidR="002E6031" w:rsidRPr="00213E9D" w:rsidRDefault="002E6031" w:rsidP="003F6FC9">
            <w:pPr>
              <w:spacing w:after="160" w:line="259" w:lineRule="auto"/>
              <w:rPr>
                <w:noProof/>
                <w:sz w:val="18"/>
                <w:szCs w:val="18"/>
              </w:rPr>
            </w:pPr>
            <w:r w:rsidRPr="00213E9D">
              <w:rPr>
                <w:noProof/>
                <w:sz w:val="18"/>
                <w:szCs w:val="18"/>
              </w:rPr>
              <w:t>Coach</w:t>
            </w:r>
          </w:p>
        </w:tc>
        <w:tc>
          <w:tcPr>
            <w:tcW w:w="19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F1DD34" w14:textId="77777777" w:rsidR="002E6031" w:rsidRPr="00213E9D" w:rsidRDefault="002E6031" w:rsidP="003F6FC9">
            <w:pPr>
              <w:spacing w:after="160" w:line="259" w:lineRule="auto"/>
              <w:rPr>
                <w:noProof/>
                <w:sz w:val="18"/>
                <w:szCs w:val="18"/>
              </w:rPr>
            </w:pPr>
            <w:r w:rsidRPr="00213E9D">
              <w:rPr>
                <w:noProof/>
                <w:sz w:val="18"/>
                <w:szCs w:val="18"/>
              </w:rPr>
              <w:t>2030</w:t>
            </w:r>
          </w:p>
        </w:tc>
        <w:tc>
          <w:tcPr>
            <w:tcW w:w="1601" w:type="dxa"/>
            <w:tcBorders>
              <w:top w:val="nil"/>
              <w:left w:val="nil"/>
              <w:bottom w:val="single" w:sz="8" w:space="0" w:color="auto"/>
              <w:right w:val="single" w:sz="8" w:space="0" w:color="auto"/>
            </w:tcBorders>
            <w:shd w:val="clear" w:color="auto" w:fill="E7F4ED"/>
            <w:noWrap/>
            <w:tcMar>
              <w:top w:w="0" w:type="dxa"/>
              <w:left w:w="108" w:type="dxa"/>
              <w:bottom w:w="0" w:type="dxa"/>
              <w:right w:w="108" w:type="dxa"/>
            </w:tcMar>
            <w:hideMark/>
          </w:tcPr>
          <w:p w14:paraId="5BC007A7" w14:textId="77777777" w:rsidR="002E6031" w:rsidRPr="00213E9D" w:rsidRDefault="002E6031" w:rsidP="00080C8F">
            <w:pPr>
              <w:spacing w:after="160" w:line="259" w:lineRule="auto"/>
              <w:jc w:val="center"/>
              <w:rPr>
                <w:noProof/>
                <w:sz w:val="18"/>
                <w:szCs w:val="18"/>
              </w:rPr>
            </w:pPr>
            <w:r w:rsidRPr="00213E9D">
              <w:rPr>
                <w:noProof/>
                <w:sz w:val="18"/>
                <w:szCs w:val="18"/>
              </w:rPr>
              <w:t>0.4%</w:t>
            </w:r>
          </w:p>
        </w:tc>
        <w:tc>
          <w:tcPr>
            <w:tcW w:w="1602" w:type="dxa"/>
            <w:tcBorders>
              <w:top w:val="nil"/>
              <w:left w:val="nil"/>
              <w:bottom w:val="single" w:sz="8" w:space="0" w:color="auto"/>
              <w:right w:val="single" w:sz="8" w:space="0" w:color="auto"/>
            </w:tcBorders>
            <w:shd w:val="clear" w:color="auto" w:fill="D9EEE0"/>
            <w:noWrap/>
            <w:tcMar>
              <w:top w:w="0" w:type="dxa"/>
              <w:left w:w="108" w:type="dxa"/>
              <w:bottom w:w="0" w:type="dxa"/>
              <w:right w:w="108" w:type="dxa"/>
            </w:tcMar>
            <w:hideMark/>
          </w:tcPr>
          <w:p w14:paraId="70F283EE" w14:textId="77777777" w:rsidR="002E6031" w:rsidRPr="00213E9D" w:rsidRDefault="002E6031" w:rsidP="00080C8F">
            <w:pPr>
              <w:spacing w:after="160" w:line="259" w:lineRule="auto"/>
              <w:jc w:val="center"/>
              <w:rPr>
                <w:noProof/>
                <w:sz w:val="18"/>
                <w:szCs w:val="18"/>
              </w:rPr>
            </w:pPr>
            <w:r w:rsidRPr="00213E9D">
              <w:rPr>
                <w:noProof/>
                <w:sz w:val="18"/>
                <w:szCs w:val="18"/>
              </w:rPr>
              <w:t>0.7%</w:t>
            </w:r>
          </w:p>
        </w:tc>
        <w:tc>
          <w:tcPr>
            <w:tcW w:w="1602" w:type="dxa"/>
            <w:tcBorders>
              <w:top w:val="nil"/>
              <w:left w:val="nil"/>
              <w:bottom w:val="single" w:sz="8" w:space="0" w:color="auto"/>
              <w:right w:val="single" w:sz="8" w:space="0" w:color="auto"/>
            </w:tcBorders>
            <w:shd w:val="clear" w:color="auto" w:fill="CEEAD7"/>
            <w:noWrap/>
            <w:tcMar>
              <w:top w:w="0" w:type="dxa"/>
              <w:left w:w="108" w:type="dxa"/>
              <w:bottom w:w="0" w:type="dxa"/>
              <w:right w:w="108" w:type="dxa"/>
            </w:tcMar>
            <w:hideMark/>
          </w:tcPr>
          <w:p w14:paraId="22BC41BE" w14:textId="77777777" w:rsidR="002E6031" w:rsidRPr="00213E9D" w:rsidRDefault="002E6031" w:rsidP="00080C8F">
            <w:pPr>
              <w:spacing w:after="160" w:line="259" w:lineRule="auto"/>
              <w:jc w:val="center"/>
              <w:rPr>
                <w:noProof/>
                <w:sz w:val="18"/>
                <w:szCs w:val="18"/>
              </w:rPr>
            </w:pPr>
            <w:r w:rsidRPr="00213E9D">
              <w:rPr>
                <w:noProof/>
                <w:sz w:val="18"/>
                <w:szCs w:val="18"/>
              </w:rPr>
              <w:t>0.9%</w:t>
            </w:r>
          </w:p>
        </w:tc>
        <w:tc>
          <w:tcPr>
            <w:tcW w:w="1602" w:type="dxa"/>
            <w:tcBorders>
              <w:top w:val="nil"/>
              <w:left w:val="nil"/>
              <w:bottom w:val="single" w:sz="8" w:space="0" w:color="auto"/>
              <w:right w:val="single" w:sz="8" w:space="0" w:color="auto"/>
            </w:tcBorders>
            <w:shd w:val="clear" w:color="auto" w:fill="D6EDDE"/>
            <w:noWrap/>
            <w:tcMar>
              <w:top w:w="0" w:type="dxa"/>
              <w:left w:w="108" w:type="dxa"/>
              <w:bottom w:w="0" w:type="dxa"/>
              <w:right w:w="108" w:type="dxa"/>
            </w:tcMar>
            <w:hideMark/>
          </w:tcPr>
          <w:p w14:paraId="2B32C84D" w14:textId="77777777" w:rsidR="002E6031" w:rsidRPr="00213E9D" w:rsidRDefault="002E6031" w:rsidP="00080C8F">
            <w:pPr>
              <w:spacing w:after="160" w:line="259" w:lineRule="auto"/>
              <w:jc w:val="center"/>
              <w:rPr>
                <w:noProof/>
                <w:sz w:val="18"/>
                <w:szCs w:val="18"/>
              </w:rPr>
            </w:pPr>
            <w:r w:rsidRPr="00213E9D">
              <w:rPr>
                <w:noProof/>
                <w:sz w:val="18"/>
                <w:szCs w:val="18"/>
              </w:rPr>
              <w:t>0.7%</w:t>
            </w:r>
          </w:p>
        </w:tc>
      </w:tr>
      <w:tr w:rsidR="002E6031" w:rsidRPr="00213E9D" w14:paraId="7AB12128" w14:textId="77777777" w:rsidTr="00080C8F">
        <w:trPr>
          <w:trHeight w:val="284"/>
        </w:trPr>
        <w:tc>
          <w:tcPr>
            <w:tcW w:w="1408" w:type="dxa"/>
            <w:vMerge/>
            <w:tcBorders>
              <w:top w:val="nil"/>
              <w:left w:val="single" w:sz="8" w:space="0" w:color="auto"/>
              <w:bottom w:val="single" w:sz="8" w:space="0" w:color="000000"/>
              <w:right w:val="single" w:sz="8" w:space="0" w:color="auto"/>
            </w:tcBorders>
            <w:hideMark/>
          </w:tcPr>
          <w:p w14:paraId="3191A420" w14:textId="77777777" w:rsidR="002E6031" w:rsidRPr="00213E9D" w:rsidRDefault="002E6031" w:rsidP="003F6FC9">
            <w:pPr>
              <w:spacing w:after="160" w:line="259" w:lineRule="auto"/>
              <w:rPr>
                <w:noProof/>
                <w:sz w:val="18"/>
                <w:szCs w:val="18"/>
              </w:rPr>
            </w:pPr>
          </w:p>
        </w:tc>
        <w:tc>
          <w:tcPr>
            <w:tcW w:w="19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5227DB" w14:textId="77777777" w:rsidR="002E6031" w:rsidRPr="00213E9D" w:rsidRDefault="002E6031" w:rsidP="003F6FC9">
            <w:pPr>
              <w:spacing w:after="160" w:line="259" w:lineRule="auto"/>
              <w:rPr>
                <w:noProof/>
                <w:sz w:val="18"/>
                <w:szCs w:val="18"/>
              </w:rPr>
            </w:pPr>
            <w:r w:rsidRPr="00213E9D">
              <w:rPr>
                <w:noProof/>
                <w:sz w:val="18"/>
                <w:szCs w:val="18"/>
              </w:rPr>
              <w:t>2040</w:t>
            </w:r>
          </w:p>
        </w:tc>
        <w:tc>
          <w:tcPr>
            <w:tcW w:w="1601" w:type="dxa"/>
            <w:tcBorders>
              <w:top w:val="nil"/>
              <w:left w:val="nil"/>
              <w:bottom w:val="single" w:sz="8" w:space="0" w:color="auto"/>
              <w:right w:val="single" w:sz="8" w:space="0" w:color="auto"/>
            </w:tcBorders>
            <w:shd w:val="clear" w:color="auto" w:fill="CAE8D4"/>
            <w:noWrap/>
            <w:tcMar>
              <w:top w:w="0" w:type="dxa"/>
              <w:left w:w="108" w:type="dxa"/>
              <w:bottom w:w="0" w:type="dxa"/>
              <w:right w:w="108" w:type="dxa"/>
            </w:tcMar>
            <w:hideMark/>
          </w:tcPr>
          <w:p w14:paraId="59CFDA4B" w14:textId="77777777" w:rsidR="002E6031" w:rsidRPr="00213E9D" w:rsidRDefault="002E6031" w:rsidP="00080C8F">
            <w:pPr>
              <w:spacing w:after="160" w:line="259" w:lineRule="auto"/>
              <w:jc w:val="center"/>
              <w:rPr>
                <w:noProof/>
                <w:sz w:val="18"/>
                <w:szCs w:val="18"/>
              </w:rPr>
            </w:pPr>
            <w:r w:rsidRPr="00213E9D">
              <w:rPr>
                <w:noProof/>
                <w:sz w:val="18"/>
                <w:szCs w:val="18"/>
              </w:rPr>
              <w:t>0.9%</w:t>
            </w:r>
          </w:p>
        </w:tc>
        <w:tc>
          <w:tcPr>
            <w:tcW w:w="1602" w:type="dxa"/>
            <w:tcBorders>
              <w:top w:val="nil"/>
              <w:left w:val="nil"/>
              <w:bottom w:val="single" w:sz="8" w:space="0" w:color="auto"/>
              <w:right w:val="single" w:sz="8" w:space="0" w:color="auto"/>
            </w:tcBorders>
            <w:shd w:val="clear" w:color="auto" w:fill="A9DBB8"/>
            <w:noWrap/>
            <w:tcMar>
              <w:top w:w="0" w:type="dxa"/>
              <w:left w:w="108" w:type="dxa"/>
              <w:bottom w:w="0" w:type="dxa"/>
              <w:right w:w="108" w:type="dxa"/>
            </w:tcMar>
            <w:hideMark/>
          </w:tcPr>
          <w:p w14:paraId="15F65201" w14:textId="77777777" w:rsidR="002E6031" w:rsidRPr="00213E9D" w:rsidRDefault="002E6031" w:rsidP="00080C8F">
            <w:pPr>
              <w:spacing w:after="160" w:line="259" w:lineRule="auto"/>
              <w:jc w:val="center"/>
              <w:rPr>
                <w:noProof/>
                <w:sz w:val="18"/>
                <w:szCs w:val="18"/>
              </w:rPr>
            </w:pPr>
            <w:r w:rsidRPr="00213E9D">
              <w:rPr>
                <w:noProof/>
                <w:sz w:val="18"/>
                <w:szCs w:val="18"/>
              </w:rPr>
              <w:t>1.5%</w:t>
            </w:r>
          </w:p>
        </w:tc>
        <w:tc>
          <w:tcPr>
            <w:tcW w:w="1602" w:type="dxa"/>
            <w:tcBorders>
              <w:top w:val="nil"/>
              <w:left w:val="nil"/>
              <w:bottom w:val="single" w:sz="8" w:space="0" w:color="auto"/>
              <w:right w:val="single" w:sz="8" w:space="0" w:color="auto"/>
            </w:tcBorders>
            <w:shd w:val="clear" w:color="auto" w:fill="96D3A7"/>
            <w:noWrap/>
            <w:tcMar>
              <w:top w:w="0" w:type="dxa"/>
              <w:left w:w="108" w:type="dxa"/>
              <w:bottom w:w="0" w:type="dxa"/>
              <w:right w:w="108" w:type="dxa"/>
            </w:tcMar>
            <w:hideMark/>
          </w:tcPr>
          <w:p w14:paraId="25B4B347" w14:textId="77777777" w:rsidR="002E6031" w:rsidRPr="00213E9D" w:rsidRDefault="002E6031" w:rsidP="00080C8F">
            <w:pPr>
              <w:spacing w:after="160" w:line="259" w:lineRule="auto"/>
              <w:jc w:val="center"/>
              <w:rPr>
                <w:noProof/>
                <w:sz w:val="18"/>
                <w:szCs w:val="18"/>
              </w:rPr>
            </w:pPr>
            <w:r w:rsidRPr="00213E9D">
              <w:rPr>
                <w:noProof/>
                <w:sz w:val="18"/>
                <w:szCs w:val="18"/>
              </w:rPr>
              <w:t>1.9%</w:t>
            </w:r>
          </w:p>
        </w:tc>
        <w:tc>
          <w:tcPr>
            <w:tcW w:w="1602" w:type="dxa"/>
            <w:tcBorders>
              <w:top w:val="nil"/>
              <w:left w:val="nil"/>
              <w:bottom w:val="single" w:sz="8" w:space="0" w:color="auto"/>
              <w:right w:val="single" w:sz="8" w:space="0" w:color="auto"/>
            </w:tcBorders>
            <w:shd w:val="clear" w:color="auto" w:fill="A5D9B4"/>
            <w:noWrap/>
            <w:tcMar>
              <w:top w:w="0" w:type="dxa"/>
              <w:left w:w="108" w:type="dxa"/>
              <w:bottom w:w="0" w:type="dxa"/>
              <w:right w:w="108" w:type="dxa"/>
            </w:tcMar>
            <w:hideMark/>
          </w:tcPr>
          <w:p w14:paraId="204E6623" w14:textId="77777777" w:rsidR="002E6031" w:rsidRPr="00213E9D" w:rsidRDefault="002E6031" w:rsidP="00080C8F">
            <w:pPr>
              <w:spacing w:after="160" w:line="259" w:lineRule="auto"/>
              <w:jc w:val="center"/>
              <w:rPr>
                <w:noProof/>
                <w:sz w:val="18"/>
                <w:szCs w:val="18"/>
              </w:rPr>
            </w:pPr>
            <w:r w:rsidRPr="00213E9D">
              <w:rPr>
                <w:noProof/>
                <w:sz w:val="18"/>
                <w:szCs w:val="18"/>
              </w:rPr>
              <w:t>1.6%</w:t>
            </w:r>
          </w:p>
        </w:tc>
      </w:tr>
      <w:tr w:rsidR="002E6031" w:rsidRPr="00213E9D" w14:paraId="18B4F3B8" w14:textId="77777777" w:rsidTr="00080C8F">
        <w:trPr>
          <w:trHeight w:val="284"/>
        </w:trPr>
        <w:tc>
          <w:tcPr>
            <w:tcW w:w="1408" w:type="dxa"/>
            <w:vMerge/>
            <w:tcBorders>
              <w:top w:val="nil"/>
              <w:left w:val="single" w:sz="8" w:space="0" w:color="auto"/>
              <w:bottom w:val="single" w:sz="8" w:space="0" w:color="000000"/>
              <w:right w:val="single" w:sz="8" w:space="0" w:color="auto"/>
            </w:tcBorders>
            <w:hideMark/>
          </w:tcPr>
          <w:p w14:paraId="7851F091" w14:textId="77777777" w:rsidR="002E6031" w:rsidRPr="00213E9D" w:rsidRDefault="002E6031" w:rsidP="003F6FC9">
            <w:pPr>
              <w:spacing w:after="160" w:line="259" w:lineRule="auto"/>
              <w:rPr>
                <w:noProof/>
                <w:sz w:val="18"/>
                <w:szCs w:val="18"/>
              </w:rPr>
            </w:pPr>
          </w:p>
        </w:tc>
        <w:tc>
          <w:tcPr>
            <w:tcW w:w="19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86E063" w14:textId="77777777" w:rsidR="002E6031" w:rsidRPr="00213E9D" w:rsidRDefault="002E6031" w:rsidP="003F6FC9">
            <w:pPr>
              <w:spacing w:after="160" w:line="259" w:lineRule="auto"/>
              <w:rPr>
                <w:noProof/>
                <w:sz w:val="18"/>
                <w:szCs w:val="18"/>
              </w:rPr>
            </w:pPr>
            <w:r w:rsidRPr="00213E9D">
              <w:rPr>
                <w:noProof/>
                <w:sz w:val="18"/>
                <w:szCs w:val="18"/>
              </w:rPr>
              <w:t>2050</w:t>
            </w:r>
          </w:p>
        </w:tc>
        <w:tc>
          <w:tcPr>
            <w:tcW w:w="1601" w:type="dxa"/>
            <w:tcBorders>
              <w:top w:val="nil"/>
              <w:left w:val="nil"/>
              <w:bottom w:val="single" w:sz="8" w:space="0" w:color="auto"/>
              <w:right w:val="single" w:sz="8" w:space="0" w:color="auto"/>
            </w:tcBorders>
            <w:shd w:val="clear" w:color="auto" w:fill="CDE9D6"/>
            <w:noWrap/>
            <w:tcMar>
              <w:top w:w="0" w:type="dxa"/>
              <w:left w:w="108" w:type="dxa"/>
              <w:bottom w:w="0" w:type="dxa"/>
              <w:right w:w="108" w:type="dxa"/>
            </w:tcMar>
            <w:hideMark/>
          </w:tcPr>
          <w:p w14:paraId="235B1D98" w14:textId="77777777" w:rsidR="002E6031" w:rsidRPr="00213E9D" w:rsidRDefault="002E6031" w:rsidP="00080C8F">
            <w:pPr>
              <w:spacing w:after="160" w:line="259" w:lineRule="auto"/>
              <w:jc w:val="center"/>
              <w:rPr>
                <w:noProof/>
                <w:sz w:val="18"/>
                <w:szCs w:val="18"/>
              </w:rPr>
            </w:pPr>
            <w:r w:rsidRPr="00213E9D">
              <w:rPr>
                <w:noProof/>
                <w:sz w:val="18"/>
                <w:szCs w:val="18"/>
              </w:rPr>
              <w:t>0.9%</w:t>
            </w:r>
          </w:p>
        </w:tc>
        <w:tc>
          <w:tcPr>
            <w:tcW w:w="1602" w:type="dxa"/>
            <w:tcBorders>
              <w:top w:val="nil"/>
              <w:left w:val="nil"/>
              <w:bottom w:val="single" w:sz="8" w:space="0" w:color="auto"/>
              <w:right w:val="single" w:sz="8" w:space="0" w:color="auto"/>
            </w:tcBorders>
            <w:shd w:val="clear" w:color="auto" w:fill="ABDBB9"/>
            <w:noWrap/>
            <w:tcMar>
              <w:top w:w="0" w:type="dxa"/>
              <w:left w:w="108" w:type="dxa"/>
              <w:bottom w:w="0" w:type="dxa"/>
              <w:right w:w="108" w:type="dxa"/>
            </w:tcMar>
            <w:hideMark/>
          </w:tcPr>
          <w:p w14:paraId="798B0BC9" w14:textId="77777777" w:rsidR="002E6031" w:rsidRPr="00213E9D" w:rsidRDefault="002E6031" w:rsidP="00080C8F">
            <w:pPr>
              <w:spacing w:after="160" w:line="259" w:lineRule="auto"/>
              <w:jc w:val="center"/>
              <w:rPr>
                <w:noProof/>
                <w:sz w:val="18"/>
                <w:szCs w:val="18"/>
              </w:rPr>
            </w:pPr>
            <w:r w:rsidRPr="00213E9D">
              <w:rPr>
                <w:noProof/>
                <w:sz w:val="18"/>
                <w:szCs w:val="18"/>
              </w:rPr>
              <w:t>1.5%</w:t>
            </w:r>
          </w:p>
        </w:tc>
        <w:tc>
          <w:tcPr>
            <w:tcW w:w="1602" w:type="dxa"/>
            <w:tcBorders>
              <w:top w:val="nil"/>
              <w:left w:val="nil"/>
              <w:bottom w:val="single" w:sz="8" w:space="0" w:color="auto"/>
              <w:right w:val="single" w:sz="8" w:space="0" w:color="auto"/>
            </w:tcBorders>
            <w:shd w:val="clear" w:color="auto" w:fill="95D3A6"/>
            <w:noWrap/>
            <w:tcMar>
              <w:top w:w="0" w:type="dxa"/>
              <w:left w:w="108" w:type="dxa"/>
              <w:bottom w:w="0" w:type="dxa"/>
              <w:right w:w="108" w:type="dxa"/>
            </w:tcMar>
            <w:hideMark/>
          </w:tcPr>
          <w:p w14:paraId="6650075E" w14:textId="77777777" w:rsidR="002E6031" w:rsidRPr="00213E9D" w:rsidRDefault="002E6031" w:rsidP="00080C8F">
            <w:pPr>
              <w:spacing w:after="160" w:line="259" w:lineRule="auto"/>
              <w:jc w:val="center"/>
              <w:rPr>
                <w:noProof/>
                <w:sz w:val="18"/>
                <w:szCs w:val="18"/>
              </w:rPr>
            </w:pPr>
            <w:r w:rsidRPr="00213E9D">
              <w:rPr>
                <w:noProof/>
                <w:sz w:val="18"/>
                <w:szCs w:val="18"/>
              </w:rPr>
              <w:t>1.9%</w:t>
            </w:r>
          </w:p>
        </w:tc>
        <w:tc>
          <w:tcPr>
            <w:tcW w:w="1602" w:type="dxa"/>
            <w:tcBorders>
              <w:top w:val="nil"/>
              <w:left w:val="nil"/>
              <w:bottom w:val="single" w:sz="8" w:space="0" w:color="auto"/>
              <w:right w:val="single" w:sz="8" w:space="0" w:color="auto"/>
            </w:tcBorders>
            <w:shd w:val="clear" w:color="auto" w:fill="A5D9B4"/>
            <w:noWrap/>
            <w:tcMar>
              <w:top w:w="0" w:type="dxa"/>
              <w:left w:w="108" w:type="dxa"/>
              <w:bottom w:w="0" w:type="dxa"/>
              <w:right w:w="108" w:type="dxa"/>
            </w:tcMar>
            <w:hideMark/>
          </w:tcPr>
          <w:p w14:paraId="273789FA" w14:textId="77777777" w:rsidR="002E6031" w:rsidRPr="00213E9D" w:rsidRDefault="002E6031" w:rsidP="00080C8F">
            <w:pPr>
              <w:spacing w:after="160" w:line="259" w:lineRule="auto"/>
              <w:jc w:val="center"/>
              <w:rPr>
                <w:noProof/>
                <w:sz w:val="18"/>
                <w:szCs w:val="18"/>
              </w:rPr>
            </w:pPr>
            <w:r w:rsidRPr="00213E9D">
              <w:rPr>
                <w:noProof/>
                <w:sz w:val="18"/>
                <w:szCs w:val="18"/>
              </w:rPr>
              <w:t>1.6%</w:t>
            </w:r>
          </w:p>
        </w:tc>
      </w:tr>
      <w:tr w:rsidR="002E6031" w:rsidRPr="00213E9D" w14:paraId="553D1D1A" w14:textId="77777777" w:rsidTr="00080C8F">
        <w:trPr>
          <w:trHeight w:val="284"/>
        </w:trPr>
        <w:tc>
          <w:tcPr>
            <w:tcW w:w="1408" w:type="dxa"/>
            <w:vMerge w:val="restart"/>
            <w:tcBorders>
              <w:top w:val="nil"/>
              <w:left w:val="single" w:sz="8" w:space="0" w:color="auto"/>
              <w:bottom w:val="single" w:sz="8" w:space="0" w:color="000000"/>
              <w:right w:val="single" w:sz="8" w:space="0" w:color="auto"/>
            </w:tcBorders>
            <w:shd w:val="clear" w:color="auto" w:fill="FFFFFF"/>
            <w:tcMar>
              <w:top w:w="0" w:type="dxa"/>
              <w:left w:w="108" w:type="dxa"/>
              <w:bottom w:w="0" w:type="dxa"/>
              <w:right w:w="108" w:type="dxa"/>
            </w:tcMar>
            <w:hideMark/>
          </w:tcPr>
          <w:p w14:paraId="70F6A0A6" w14:textId="77777777" w:rsidR="002E6031" w:rsidRPr="00213E9D" w:rsidRDefault="002E6031" w:rsidP="003F6FC9">
            <w:pPr>
              <w:spacing w:after="160" w:line="259" w:lineRule="auto"/>
              <w:rPr>
                <w:noProof/>
                <w:sz w:val="18"/>
                <w:szCs w:val="18"/>
              </w:rPr>
            </w:pPr>
            <w:r w:rsidRPr="00213E9D">
              <w:rPr>
                <w:noProof/>
                <w:sz w:val="18"/>
                <w:szCs w:val="18"/>
              </w:rPr>
              <w:t>Rail</w:t>
            </w:r>
          </w:p>
        </w:tc>
        <w:tc>
          <w:tcPr>
            <w:tcW w:w="19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7DF318" w14:textId="77777777" w:rsidR="002E6031" w:rsidRPr="00213E9D" w:rsidRDefault="002E6031" w:rsidP="003F6FC9">
            <w:pPr>
              <w:spacing w:after="160" w:line="259" w:lineRule="auto"/>
              <w:rPr>
                <w:noProof/>
                <w:sz w:val="18"/>
                <w:szCs w:val="18"/>
              </w:rPr>
            </w:pPr>
            <w:r w:rsidRPr="00213E9D">
              <w:rPr>
                <w:noProof/>
                <w:sz w:val="18"/>
                <w:szCs w:val="18"/>
              </w:rPr>
              <w:t>2030</w:t>
            </w:r>
          </w:p>
        </w:tc>
        <w:tc>
          <w:tcPr>
            <w:tcW w:w="1601" w:type="dxa"/>
            <w:tcBorders>
              <w:top w:val="nil"/>
              <w:left w:val="nil"/>
              <w:bottom w:val="single" w:sz="8" w:space="0" w:color="auto"/>
              <w:right w:val="single" w:sz="8" w:space="0" w:color="auto"/>
            </w:tcBorders>
            <w:shd w:val="clear" w:color="auto" w:fill="DDF0E4"/>
            <w:noWrap/>
            <w:tcMar>
              <w:top w:w="0" w:type="dxa"/>
              <w:left w:w="108" w:type="dxa"/>
              <w:bottom w:w="0" w:type="dxa"/>
              <w:right w:w="108" w:type="dxa"/>
            </w:tcMar>
            <w:hideMark/>
          </w:tcPr>
          <w:p w14:paraId="3AE3C40C" w14:textId="77777777" w:rsidR="002E6031" w:rsidRPr="00213E9D" w:rsidRDefault="002E6031" w:rsidP="00080C8F">
            <w:pPr>
              <w:spacing w:after="160" w:line="259" w:lineRule="auto"/>
              <w:jc w:val="center"/>
              <w:rPr>
                <w:noProof/>
                <w:sz w:val="18"/>
                <w:szCs w:val="18"/>
              </w:rPr>
            </w:pPr>
            <w:r w:rsidRPr="00213E9D">
              <w:rPr>
                <w:noProof/>
                <w:sz w:val="18"/>
                <w:szCs w:val="18"/>
              </w:rPr>
              <w:t>0.6%</w:t>
            </w:r>
          </w:p>
        </w:tc>
        <w:tc>
          <w:tcPr>
            <w:tcW w:w="1602" w:type="dxa"/>
            <w:tcBorders>
              <w:top w:val="nil"/>
              <w:left w:val="nil"/>
              <w:bottom w:val="single" w:sz="8" w:space="0" w:color="auto"/>
              <w:right w:val="single" w:sz="8" w:space="0" w:color="auto"/>
            </w:tcBorders>
            <w:shd w:val="clear" w:color="auto" w:fill="C2E5CD"/>
            <w:noWrap/>
            <w:tcMar>
              <w:top w:w="0" w:type="dxa"/>
              <w:left w:w="108" w:type="dxa"/>
              <w:bottom w:w="0" w:type="dxa"/>
              <w:right w:w="108" w:type="dxa"/>
            </w:tcMar>
            <w:hideMark/>
          </w:tcPr>
          <w:p w14:paraId="4EE4E284" w14:textId="77777777" w:rsidR="002E6031" w:rsidRPr="00213E9D" w:rsidRDefault="002E6031" w:rsidP="00080C8F">
            <w:pPr>
              <w:spacing w:after="160" w:line="259" w:lineRule="auto"/>
              <w:jc w:val="center"/>
              <w:rPr>
                <w:noProof/>
                <w:sz w:val="18"/>
                <w:szCs w:val="18"/>
              </w:rPr>
            </w:pPr>
            <w:r w:rsidRPr="00213E9D">
              <w:rPr>
                <w:noProof/>
                <w:sz w:val="18"/>
                <w:szCs w:val="18"/>
              </w:rPr>
              <w:t>1.1%</w:t>
            </w:r>
          </w:p>
        </w:tc>
        <w:tc>
          <w:tcPr>
            <w:tcW w:w="1602" w:type="dxa"/>
            <w:tcBorders>
              <w:top w:val="nil"/>
              <w:left w:val="nil"/>
              <w:bottom w:val="single" w:sz="8" w:space="0" w:color="auto"/>
              <w:right w:val="single" w:sz="8" w:space="0" w:color="auto"/>
            </w:tcBorders>
            <w:shd w:val="clear" w:color="auto" w:fill="ABDCB9"/>
            <w:noWrap/>
            <w:tcMar>
              <w:top w:w="0" w:type="dxa"/>
              <w:left w:w="108" w:type="dxa"/>
              <w:bottom w:w="0" w:type="dxa"/>
              <w:right w:w="108" w:type="dxa"/>
            </w:tcMar>
            <w:hideMark/>
          </w:tcPr>
          <w:p w14:paraId="3DD2B9D8" w14:textId="77777777" w:rsidR="002E6031" w:rsidRPr="00213E9D" w:rsidRDefault="002E6031" w:rsidP="00080C8F">
            <w:pPr>
              <w:spacing w:after="160" w:line="259" w:lineRule="auto"/>
              <w:jc w:val="center"/>
              <w:rPr>
                <w:noProof/>
                <w:sz w:val="18"/>
                <w:szCs w:val="18"/>
              </w:rPr>
            </w:pPr>
            <w:r w:rsidRPr="00213E9D">
              <w:rPr>
                <w:noProof/>
                <w:sz w:val="18"/>
                <w:szCs w:val="18"/>
              </w:rPr>
              <w:t>1.5%</w:t>
            </w:r>
          </w:p>
        </w:tc>
        <w:tc>
          <w:tcPr>
            <w:tcW w:w="1602" w:type="dxa"/>
            <w:tcBorders>
              <w:top w:val="nil"/>
              <w:left w:val="nil"/>
              <w:bottom w:val="single" w:sz="8" w:space="0" w:color="auto"/>
              <w:right w:val="single" w:sz="8" w:space="0" w:color="auto"/>
            </w:tcBorders>
            <w:shd w:val="clear" w:color="auto" w:fill="BDE3C9"/>
            <w:noWrap/>
            <w:tcMar>
              <w:top w:w="0" w:type="dxa"/>
              <w:left w:w="108" w:type="dxa"/>
              <w:bottom w:w="0" w:type="dxa"/>
              <w:right w:w="108" w:type="dxa"/>
            </w:tcMar>
            <w:hideMark/>
          </w:tcPr>
          <w:p w14:paraId="58306FC7" w14:textId="77777777" w:rsidR="002E6031" w:rsidRPr="00213E9D" w:rsidRDefault="002E6031" w:rsidP="00080C8F">
            <w:pPr>
              <w:spacing w:after="160" w:line="259" w:lineRule="auto"/>
              <w:jc w:val="center"/>
              <w:rPr>
                <w:noProof/>
                <w:sz w:val="18"/>
                <w:szCs w:val="18"/>
              </w:rPr>
            </w:pPr>
            <w:r w:rsidRPr="00213E9D">
              <w:rPr>
                <w:noProof/>
                <w:sz w:val="18"/>
                <w:szCs w:val="18"/>
              </w:rPr>
              <w:t>1.2%</w:t>
            </w:r>
          </w:p>
        </w:tc>
      </w:tr>
      <w:tr w:rsidR="002E6031" w:rsidRPr="00213E9D" w14:paraId="762ACA6F" w14:textId="77777777" w:rsidTr="00080C8F">
        <w:trPr>
          <w:trHeight w:val="284"/>
        </w:trPr>
        <w:tc>
          <w:tcPr>
            <w:tcW w:w="1408" w:type="dxa"/>
            <w:vMerge/>
            <w:tcBorders>
              <w:top w:val="nil"/>
              <w:left w:val="single" w:sz="8" w:space="0" w:color="auto"/>
              <w:bottom w:val="single" w:sz="8" w:space="0" w:color="000000"/>
              <w:right w:val="single" w:sz="8" w:space="0" w:color="auto"/>
            </w:tcBorders>
            <w:hideMark/>
          </w:tcPr>
          <w:p w14:paraId="2492594C" w14:textId="77777777" w:rsidR="002E6031" w:rsidRPr="00213E9D" w:rsidRDefault="002E6031" w:rsidP="003F6FC9">
            <w:pPr>
              <w:spacing w:after="160" w:line="259" w:lineRule="auto"/>
              <w:rPr>
                <w:noProof/>
                <w:sz w:val="18"/>
                <w:szCs w:val="18"/>
              </w:rPr>
            </w:pPr>
          </w:p>
        </w:tc>
        <w:tc>
          <w:tcPr>
            <w:tcW w:w="19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786CD6" w14:textId="77777777" w:rsidR="002E6031" w:rsidRPr="00213E9D" w:rsidRDefault="002E6031" w:rsidP="003F6FC9">
            <w:pPr>
              <w:spacing w:after="160" w:line="259" w:lineRule="auto"/>
              <w:rPr>
                <w:noProof/>
                <w:sz w:val="18"/>
                <w:szCs w:val="18"/>
              </w:rPr>
            </w:pPr>
            <w:r w:rsidRPr="00213E9D">
              <w:rPr>
                <w:noProof/>
                <w:sz w:val="18"/>
                <w:szCs w:val="18"/>
              </w:rPr>
              <w:t>2040</w:t>
            </w:r>
          </w:p>
        </w:tc>
        <w:tc>
          <w:tcPr>
            <w:tcW w:w="1601" w:type="dxa"/>
            <w:tcBorders>
              <w:top w:val="nil"/>
              <w:left w:val="nil"/>
              <w:bottom w:val="single" w:sz="8" w:space="0" w:color="auto"/>
              <w:right w:val="single" w:sz="8" w:space="0" w:color="auto"/>
            </w:tcBorders>
            <w:shd w:val="clear" w:color="auto" w:fill="C5E6CF"/>
            <w:noWrap/>
            <w:tcMar>
              <w:top w:w="0" w:type="dxa"/>
              <w:left w:w="108" w:type="dxa"/>
              <w:bottom w:w="0" w:type="dxa"/>
              <w:right w:w="108" w:type="dxa"/>
            </w:tcMar>
            <w:hideMark/>
          </w:tcPr>
          <w:p w14:paraId="2FF4185F" w14:textId="77777777" w:rsidR="002E6031" w:rsidRPr="00213E9D" w:rsidRDefault="002E6031" w:rsidP="00080C8F">
            <w:pPr>
              <w:spacing w:after="160" w:line="259" w:lineRule="auto"/>
              <w:jc w:val="center"/>
              <w:rPr>
                <w:noProof/>
                <w:sz w:val="18"/>
                <w:szCs w:val="18"/>
              </w:rPr>
            </w:pPr>
            <w:r w:rsidRPr="00213E9D">
              <w:rPr>
                <w:noProof/>
                <w:sz w:val="18"/>
                <w:szCs w:val="18"/>
              </w:rPr>
              <w:t>1.0%</w:t>
            </w:r>
          </w:p>
        </w:tc>
        <w:tc>
          <w:tcPr>
            <w:tcW w:w="1602" w:type="dxa"/>
            <w:tcBorders>
              <w:top w:val="nil"/>
              <w:left w:val="nil"/>
              <w:bottom w:val="single" w:sz="8" w:space="0" w:color="auto"/>
              <w:right w:val="single" w:sz="8" w:space="0" w:color="auto"/>
            </w:tcBorders>
            <w:shd w:val="clear" w:color="auto" w:fill="8DCFA0"/>
            <w:noWrap/>
            <w:tcMar>
              <w:top w:w="0" w:type="dxa"/>
              <w:left w:w="108" w:type="dxa"/>
              <w:bottom w:w="0" w:type="dxa"/>
              <w:right w:w="108" w:type="dxa"/>
            </w:tcMar>
            <w:hideMark/>
          </w:tcPr>
          <w:p w14:paraId="4257CB0E" w14:textId="77777777" w:rsidR="002E6031" w:rsidRPr="00213E9D" w:rsidRDefault="002E6031" w:rsidP="00080C8F">
            <w:pPr>
              <w:spacing w:after="160" w:line="259" w:lineRule="auto"/>
              <w:jc w:val="center"/>
              <w:rPr>
                <w:noProof/>
                <w:sz w:val="18"/>
                <w:szCs w:val="18"/>
              </w:rPr>
            </w:pPr>
            <w:r w:rsidRPr="00213E9D">
              <w:rPr>
                <w:noProof/>
                <w:sz w:val="18"/>
                <w:szCs w:val="18"/>
              </w:rPr>
              <w:t>2.1%</w:t>
            </w:r>
          </w:p>
        </w:tc>
        <w:tc>
          <w:tcPr>
            <w:tcW w:w="1602" w:type="dxa"/>
            <w:tcBorders>
              <w:top w:val="nil"/>
              <w:left w:val="nil"/>
              <w:bottom w:val="single" w:sz="8" w:space="0" w:color="auto"/>
              <w:right w:val="single" w:sz="8" w:space="0" w:color="auto"/>
            </w:tcBorders>
            <w:shd w:val="clear" w:color="auto" w:fill="64BF7C"/>
            <w:noWrap/>
            <w:tcMar>
              <w:top w:w="0" w:type="dxa"/>
              <w:left w:w="108" w:type="dxa"/>
              <w:bottom w:w="0" w:type="dxa"/>
              <w:right w:w="108" w:type="dxa"/>
            </w:tcMar>
            <w:hideMark/>
          </w:tcPr>
          <w:p w14:paraId="3D15AA0F" w14:textId="77777777" w:rsidR="002E6031" w:rsidRPr="00213E9D" w:rsidRDefault="002E6031" w:rsidP="00080C8F">
            <w:pPr>
              <w:spacing w:after="160" w:line="259" w:lineRule="auto"/>
              <w:jc w:val="center"/>
              <w:rPr>
                <w:noProof/>
                <w:sz w:val="18"/>
                <w:szCs w:val="18"/>
              </w:rPr>
            </w:pPr>
            <w:r w:rsidRPr="00213E9D">
              <w:rPr>
                <w:noProof/>
                <w:sz w:val="18"/>
                <w:szCs w:val="18"/>
              </w:rPr>
              <w:t>2.8%</w:t>
            </w:r>
          </w:p>
        </w:tc>
        <w:tc>
          <w:tcPr>
            <w:tcW w:w="1602" w:type="dxa"/>
            <w:tcBorders>
              <w:top w:val="nil"/>
              <w:left w:val="nil"/>
              <w:bottom w:val="single" w:sz="8" w:space="0" w:color="auto"/>
              <w:right w:val="single" w:sz="8" w:space="0" w:color="auto"/>
            </w:tcBorders>
            <w:shd w:val="clear" w:color="auto" w:fill="83CB97"/>
            <w:noWrap/>
            <w:tcMar>
              <w:top w:w="0" w:type="dxa"/>
              <w:left w:w="108" w:type="dxa"/>
              <w:bottom w:w="0" w:type="dxa"/>
              <w:right w:w="108" w:type="dxa"/>
            </w:tcMar>
            <w:hideMark/>
          </w:tcPr>
          <w:p w14:paraId="0329D05A" w14:textId="77777777" w:rsidR="002E6031" w:rsidRPr="00213E9D" w:rsidRDefault="002E6031" w:rsidP="00080C8F">
            <w:pPr>
              <w:spacing w:after="160" w:line="259" w:lineRule="auto"/>
              <w:jc w:val="center"/>
              <w:rPr>
                <w:noProof/>
                <w:sz w:val="18"/>
                <w:szCs w:val="18"/>
              </w:rPr>
            </w:pPr>
            <w:r w:rsidRPr="00213E9D">
              <w:rPr>
                <w:noProof/>
                <w:sz w:val="18"/>
                <w:szCs w:val="18"/>
              </w:rPr>
              <w:t>2.2%</w:t>
            </w:r>
          </w:p>
        </w:tc>
      </w:tr>
      <w:tr w:rsidR="002E6031" w:rsidRPr="00213E9D" w14:paraId="5CC54BC2" w14:textId="77777777" w:rsidTr="00080C8F">
        <w:trPr>
          <w:trHeight w:val="284"/>
        </w:trPr>
        <w:tc>
          <w:tcPr>
            <w:tcW w:w="1408" w:type="dxa"/>
            <w:vMerge/>
            <w:tcBorders>
              <w:top w:val="nil"/>
              <w:left w:val="single" w:sz="8" w:space="0" w:color="auto"/>
              <w:bottom w:val="single" w:sz="8" w:space="0" w:color="000000"/>
              <w:right w:val="single" w:sz="8" w:space="0" w:color="auto"/>
            </w:tcBorders>
            <w:hideMark/>
          </w:tcPr>
          <w:p w14:paraId="62A4F7F0" w14:textId="77777777" w:rsidR="002E6031" w:rsidRPr="00213E9D" w:rsidRDefault="002E6031" w:rsidP="003F6FC9">
            <w:pPr>
              <w:spacing w:after="160" w:line="259" w:lineRule="auto"/>
              <w:rPr>
                <w:noProof/>
                <w:sz w:val="18"/>
                <w:szCs w:val="18"/>
              </w:rPr>
            </w:pPr>
          </w:p>
        </w:tc>
        <w:tc>
          <w:tcPr>
            <w:tcW w:w="19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C8AD71" w14:textId="77777777" w:rsidR="002E6031" w:rsidRPr="00213E9D" w:rsidRDefault="002E6031" w:rsidP="003F6FC9">
            <w:pPr>
              <w:spacing w:after="160" w:line="259" w:lineRule="auto"/>
              <w:rPr>
                <w:noProof/>
                <w:sz w:val="18"/>
                <w:szCs w:val="18"/>
              </w:rPr>
            </w:pPr>
            <w:r w:rsidRPr="00213E9D">
              <w:rPr>
                <w:noProof/>
                <w:sz w:val="18"/>
                <w:szCs w:val="18"/>
              </w:rPr>
              <w:t>2050</w:t>
            </w:r>
          </w:p>
        </w:tc>
        <w:tc>
          <w:tcPr>
            <w:tcW w:w="1601" w:type="dxa"/>
            <w:tcBorders>
              <w:top w:val="nil"/>
              <w:left w:val="nil"/>
              <w:bottom w:val="single" w:sz="8" w:space="0" w:color="auto"/>
              <w:right w:val="single" w:sz="8" w:space="0" w:color="auto"/>
            </w:tcBorders>
            <w:shd w:val="clear" w:color="auto" w:fill="C5E6CF"/>
            <w:noWrap/>
            <w:tcMar>
              <w:top w:w="0" w:type="dxa"/>
              <w:left w:w="108" w:type="dxa"/>
              <w:bottom w:w="0" w:type="dxa"/>
              <w:right w:w="108" w:type="dxa"/>
            </w:tcMar>
            <w:hideMark/>
          </w:tcPr>
          <w:p w14:paraId="46B2C089" w14:textId="77777777" w:rsidR="002E6031" w:rsidRPr="00213E9D" w:rsidRDefault="002E6031" w:rsidP="00080C8F">
            <w:pPr>
              <w:spacing w:after="160" w:line="259" w:lineRule="auto"/>
              <w:jc w:val="center"/>
              <w:rPr>
                <w:noProof/>
                <w:sz w:val="18"/>
                <w:szCs w:val="18"/>
              </w:rPr>
            </w:pPr>
            <w:r w:rsidRPr="00213E9D">
              <w:rPr>
                <w:noProof/>
                <w:sz w:val="18"/>
                <w:szCs w:val="18"/>
              </w:rPr>
              <w:t>1.0%</w:t>
            </w:r>
          </w:p>
        </w:tc>
        <w:tc>
          <w:tcPr>
            <w:tcW w:w="1602" w:type="dxa"/>
            <w:tcBorders>
              <w:top w:val="nil"/>
              <w:left w:val="nil"/>
              <w:bottom w:val="single" w:sz="8" w:space="0" w:color="auto"/>
              <w:right w:val="single" w:sz="8" w:space="0" w:color="auto"/>
            </w:tcBorders>
            <w:shd w:val="clear" w:color="auto" w:fill="86CC99"/>
            <w:noWrap/>
            <w:tcMar>
              <w:top w:w="0" w:type="dxa"/>
              <w:left w:w="108" w:type="dxa"/>
              <w:bottom w:w="0" w:type="dxa"/>
              <w:right w:w="108" w:type="dxa"/>
            </w:tcMar>
            <w:hideMark/>
          </w:tcPr>
          <w:p w14:paraId="5291249B" w14:textId="77777777" w:rsidR="002E6031" w:rsidRPr="00213E9D" w:rsidRDefault="002E6031" w:rsidP="00080C8F">
            <w:pPr>
              <w:spacing w:after="160" w:line="259" w:lineRule="auto"/>
              <w:jc w:val="center"/>
              <w:rPr>
                <w:noProof/>
                <w:sz w:val="18"/>
                <w:szCs w:val="18"/>
              </w:rPr>
            </w:pPr>
            <w:r w:rsidRPr="00213E9D">
              <w:rPr>
                <w:noProof/>
                <w:sz w:val="18"/>
                <w:szCs w:val="18"/>
              </w:rPr>
              <w:t>2.2%</w:t>
            </w:r>
          </w:p>
        </w:tc>
        <w:tc>
          <w:tcPr>
            <w:tcW w:w="1602" w:type="dxa"/>
            <w:tcBorders>
              <w:top w:val="nil"/>
              <w:left w:val="nil"/>
              <w:bottom w:val="single" w:sz="8" w:space="0" w:color="auto"/>
              <w:right w:val="single" w:sz="8" w:space="0" w:color="auto"/>
            </w:tcBorders>
            <w:shd w:val="clear" w:color="auto" w:fill="63BE7B"/>
            <w:noWrap/>
            <w:tcMar>
              <w:top w:w="0" w:type="dxa"/>
              <w:left w:w="108" w:type="dxa"/>
              <w:bottom w:w="0" w:type="dxa"/>
              <w:right w:w="108" w:type="dxa"/>
            </w:tcMar>
            <w:hideMark/>
          </w:tcPr>
          <w:p w14:paraId="25362A2C" w14:textId="77777777" w:rsidR="002E6031" w:rsidRPr="00213E9D" w:rsidRDefault="002E6031" w:rsidP="00080C8F">
            <w:pPr>
              <w:spacing w:after="160" w:line="259" w:lineRule="auto"/>
              <w:jc w:val="center"/>
              <w:rPr>
                <w:noProof/>
                <w:sz w:val="18"/>
                <w:szCs w:val="18"/>
              </w:rPr>
            </w:pPr>
            <w:r w:rsidRPr="00213E9D">
              <w:rPr>
                <w:noProof/>
                <w:sz w:val="18"/>
                <w:szCs w:val="18"/>
              </w:rPr>
              <w:t>2.8%</w:t>
            </w:r>
          </w:p>
        </w:tc>
        <w:tc>
          <w:tcPr>
            <w:tcW w:w="1602" w:type="dxa"/>
            <w:tcBorders>
              <w:top w:val="nil"/>
              <w:left w:val="nil"/>
              <w:bottom w:val="single" w:sz="8" w:space="0" w:color="auto"/>
              <w:right w:val="single" w:sz="8" w:space="0" w:color="auto"/>
            </w:tcBorders>
            <w:shd w:val="clear" w:color="auto" w:fill="7BC890"/>
            <w:noWrap/>
            <w:tcMar>
              <w:top w:w="0" w:type="dxa"/>
              <w:left w:w="108" w:type="dxa"/>
              <w:bottom w:w="0" w:type="dxa"/>
              <w:right w:w="108" w:type="dxa"/>
            </w:tcMar>
            <w:hideMark/>
          </w:tcPr>
          <w:p w14:paraId="29FCA7FD" w14:textId="77777777" w:rsidR="002E6031" w:rsidRPr="00213E9D" w:rsidRDefault="002E6031" w:rsidP="00080C8F">
            <w:pPr>
              <w:spacing w:after="160" w:line="259" w:lineRule="auto"/>
              <w:jc w:val="center"/>
              <w:rPr>
                <w:noProof/>
                <w:sz w:val="18"/>
                <w:szCs w:val="18"/>
              </w:rPr>
            </w:pPr>
            <w:r w:rsidRPr="00213E9D">
              <w:rPr>
                <w:noProof/>
                <w:sz w:val="18"/>
                <w:szCs w:val="18"/>
              </w:rPr>
              <w:t>2.4%</w:t>
            </w:r>
          </w:p>
        </w:tc>
      </w:tr>
      <w:tr w:rsidR="002E6031" w:rsidRPr="00213E9D" w14:paraId="15B9EFF1" w14:textId="77777777" w:rsidTr="00080C8F">
        <w:trPr>
          <w:trHeight w:val="284"/>
        </w:trPr>
        <w:tc>
          <w:tcPr>
            <w:tcW w:w="1408" w:type="dxa"/>
            <w:vMerge w:val="restart"/>
            <w:tcBorders>
              <w:top w:val="nil"/>
              <w:left w:val="single" w:sz="8" w:space="0" w:color="auto"/>
              <w:bottom w:val="single" w:sz="8" w:space="0" w:color="000000"/>
              <w:right w:val="single" w:sz="8" w:space="0" w:color="auto"/>
            </w:tcBorders>
            <w:shd w:val="clear" w:color="auto" w:fill="FFFFFF"/>
            <w:tcMar>
              <w:top w:w="0" w:type="dxa"/>
              <w:left w:w="108" w:type="dxa"/>
              <w:bottom w:w="0" w:type="dxa"/>
              <w:right w:w="108" w:type="dxa"/>
            </w:tcMar>
            <w:hideMark/>
          </w:tcPr>
          <w:p w14:paraId="17F829D2" w14:textId="77777777" w:rsidR="002E6031" w:rsidRPr="00213E9D" w:rsidRDefault="002E6031" w:rsidP="003F6FC9">
            <w:pPr>
              <w:spacing w:after="160" w:line="259" w:lineRule="auto"/>
              <w:rPr>
                <w:noProof/>
                <w:sz w:val="18"/>
                <w:szCs w:val="18"/>
              </w:rPr>
            </w:pPr>
            <w:r w:rsidRPr="00213E9D">
              <w:rPr>
                <w:noProof/>
                <w:sz w:val="18"/>
                <w:szCs w:val="18"/>
              </w:rPr>
              <w:t>Air</w:t>
            </w:r>
          </w:p>
        </w:tc>
        <w:tc>
          <w:tcPr>
            <w:tcW w:w="19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6916B0" w14:textId="77777777" w:rsidR="002E6031" w:rsidRPr="00213E9D" w:rsidRDefault="002E6031" w:rsidP="003F6FC9">
            <w:pPr>
              <w:spacing w:after="160" w:line="259" w:lineRule="auto"/>
              <w:rPr>
                <w:noProof/>
                <w:sz w:val="18"/>
                <w:szCs w:val="18"/>
              </w:rPr>
            </w:pPr>
            <w:r w:rsidRPr="00213E9D">
              <w:rPr>
                <w:noProof/>
                <w:sz w:val="18"/>
                <w:szCs w:val="18"/>
              </w:rPr>
              <w:t>2030</w:t>
            </w:r>
          </w:p>
        </w:tc>
        <w:tc>
          <w:tcPr>
            <w:tcW w:w="1601" w:type="dxa"/>
            <w:tcBorders>
              <w:top w:val="nil"/>
              <w:left w:val="nil"/>
              <w:bottom w:val="single" w:sz="8" w:space="0" w:color="auto"/>
              <w:right w:val="single" w:sz="8" w:space="0" w:color="auto"/>
            </w:tcBorders>
            <w:shd w:val="clear" w:color="auto" w:fill="FBF0F3"/>
            <w:noWrap/>
            <w:tcMar>
              <w:top w:w="0" w:type="dxa"/>
              <w:left w:w="108" w:type="dxa"/>
              <w:bottom w:w="0" w:type="dxa"/>
              <w:right w:w="108" w:type="dxa"/>
            </w:tcMar>
            <w:hideMark/>
          </w:tcPr>
          <w:p w14:paraId="289816A9" w14:textId="77777777" w:rsidR="002E6031" w:rsidRPr="00213E9D" w:rsidRDefault="002E6031" w:rsidP="00080C8F">
            <w:pPr>
              <w:spacing w:after="160" w:line="259" w:lineRule="auto"/>
              <w:jc w:val="center"/>
              <w:rPr>
                <w:noProof/>
                <w:sz w:val="18"/>
                <w:szCs w:val="18"/>
              </w:rPr>
            </w:pPr>
            <w:r w:rsidRPr="00213E9D">
              <w:rPr>
                <w:noProof/>
                <w:sz w:val="18"/>
                <w:szCs w:val="18"/>
              </w:rPr>
              <w:t>0.0%</w:t>
            </w:r>
          </w:p>
        </w:tc>
        <w:tc>
          <w:tcPr>
            <w:tcW w:w="1602" w:type="dxa"/>
            <w:tcBorders>
              <w:top w:val="nil"/>
              <w:left w:val="nil"/>
              <w:bottom w:val="single" w:sz="8" w:space="0" w:color="auto"/>
              <w:right w:val="single" w:sz="8" w:space="0" w:color="auto"/>
            </w:tcBorders>
            <w:shd w:val="clear" w:color="auto" w:fill="FBE2E5"/>
            <w:noWrap/>
            <w:tcMar>
              <w:top w:w="0" w:type="dxa"/>
              <w:left w:w="108" w:type="dxa"/>
              <w:bottom w:w="0" w:type="dxa"/>
              <w:right w:w="108" w:type="dxa"/>
            </w:tcMar>
            <w:hideMark/>
          </w:tcPr>
          <w:p w14:paraId="6DAA1820" w14:textId="77777777" w:rsidR="002E6031" w:rsidRPr="00213E9D" w:rsidRDefault="002E6031" w:rsidP="00080C8F">
            <w:pPr>
              <w:spacing w:after="160" w:line="259" w:lineRule="auto"/>
              <w:jc w:val="center"/>
              <w:rPr>
                <w:noProof/>
                <w:sz w:val="18"/>
                <w:szCs w:val="18"/>
              </w:rPr>
            </w:pPr>
            <w:r w:rsidRPr="00213E9D">
              <w:rPr>
                <w:noProof/>
                <w:sz w:val="18"/>
                <w:szCs w:val="18"/>
              </w:rPr>
              <w:t>-0.1%</w:t>
            </w:r>
          </w:p>
        </w:tc>
        <w:tc>
          <w:tcPr>
            <w:tcW w:w="1602" w:type="dxa"/>
            <w:tcBorders>
              <w:top w:val="nil"/>
              <w:left w:val="nil"/>
              <w:bottom w:val="single" w:sz="8" w:space="0" w:color="auto"/>
              <w:right w:val="single" w:sz="8" w:space="0" w:color="auto"/>
            </w:tcBorders>
            <w:shd w:val="clear" w:color="auto" w:fill="FBD9DC"/>
            <w:noWrap/>
            <w:tcMar>
              <w:top w:w="0" w:type="dxa"/>
              <w:left w:w="108" w:type="dxa"/>
              <w:bottom w:w="0" w:type="dxa"/>
              <w:right w:w="108" w:type="dxa"/>
            </w:tcMar>
            <w:hideMark/>
          </w:tcPr>
          <w:p w14:paraId="316C6F73" w14:textId="77777777" w:rsidR="002E6031" w:rsidRPr="00213E9D" w:rsidRDefault="002E6031" w:rsidP="00080C8F">
            <w:pPr>
              <w:spacing w:after="160" w:line="259" w:lineRule="auto"/>
              <w:jc w:val="center"/>
              <w:rPr>
                <w:noProof/>
                <w:sz w:val="18"/>
                <w:szCs w:val="18"/>
              </w:rPr>
            </w:pPr>
            <w:r w:rsidRPr="00213E9D">
              <w:rPr>
                <w:noProof/>
                <w:sz w:val="18"/>
                <w:szCs w:val="18"/>
              </w:rPr>
              <w:t>-0.1%</w:t>
            </w:r>
          </w:p>
        </w:tc>
        <w:tc>
          <w:tcPr>
            <w:tcW w:w="1602" w:type="dxa"/>
            <w:tcBorders>
              <w:top w:val="nil"/>
              <w:left w:val="nil"/>
              <w:bottom w:val="single" w:sz="8" w:space="0" w:color="auto"/>
              <w:right w:val="single" w:sz="8" w:space="0" w:color="auto"/>
            </w:tcBorders>
            <w:shd w:val="clear" w:color="auto" w:fill="FBE1E4"/>
            <w:noWrap/>
            <w:tcMar>
              <w:top w:w="0" w:type="dxa"/>
              <w:left w:w="108" w:type="dxa"/>
              <w:bottom w:w="0" w:type="dxa"/>
              <w:right w:w="108" w:type="dxa"/>
            </w:tcMar>
            <w:hideMark/>
          </w:tcPr>
          <w:p w14:paraId="27FC50F1" w14:textId="77777777" w:rsidR="002E6031" w:rsidRPr="00213E9D" w:rsidRDefault="002E6031" w:rsidP="00080C8F">
            <w:pPr>
              <w:spacing w:after="160" w:line="259" w:lineRule="auto"/>
              <w:jc w:val="center"/>
              <w:rPr>
                <w:noProof/>
                <w:sz w:val="18"/>
                <w:szCs w:val="18"/>
              </w:rPr>
            </w:pPr>
            <w:r w:rsidRPr="00213E9D">
              <w:rPr>
                <w:noProof/>
                <w:sz w:val="18"/>
                <w:szCs w:val="18"/>
              </w:rPr>
              <w:t>-0.1%</w:t>
            </w:r>
          </w:p>
        </w:tc>
      </w:tr>
      <w:tr w:rsidR="002E6031" w:rsidRPr="00213E9D" w14:paraId="7A5037AD" w14:textId="77777777" w:rsidTr="00080C8F">
        <w:trPr>
          <w:trHeight w:val="284"/>
        </w:trPr>
        <w:tc>
          <w:tcPr>
            <w:tcW w:w="1408" w:type="dxa"/>
            <w:vMerge/>
            <w:tcBorders>
              <w:top w:val="nil"/>
              <w:left w:val="single" w:sz="8" w:space="0" w:color="auto"/>
              <w:bottom w:val="single" w:sz="8" w:space="0" w:color="000000"/>
              <w:right w:val="single" w:sz="8" w:space="0" w:color="auto"/>
            </w:tcBorders>
            <w:hideMark/>
          </w:tcPr>
          <w:p w14:paraId="1936A17B" w14:textId="77777777" w:rsidR="002E6031" w:rsidRPr="00213E9D" w:rsidRDefault="002E6031" w:rsidP="003F6FC9">
            <w:pPr>
              <w:spacing w:after="160" w:line="259" w:lineRule="auto"/>
              <w:rPr>
                <w:noProof/>
                <w:sz w:val="18"/>
                <w:szCs w:val="18"/>
              </w:rPr>
            </w:pPr>
          </w:p>
        </w:tc>
        <w:tc>
          <w:tcPr>
            <w:tcW w:w="19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DDB69C" w14:textId="77777777" w:rsidR="002E6031" w:rsidRPr="00213E9D" w:rsidRDefault="002E6031" w:rsidP="003F6FC9">
            <w:pPr>
              <w:spacing w:after="160" w:line="259" w:lineRule="auto"/>
              <w:rPr>
                <w:noProof/>
                <w:sz w:val="18"/>
                <w:szCs w:val="18"/>
              </w:rPr>
            </w:pPr>
            <w:r w:rsidRPr="00213E9D">
              <w:rPr>
                <w:noProof/>
                <w:sz w:val="18"/>
                <w:szCs w:val="18"/>
              </w:rPr>
              <w:t>2040</w:t>
            </w:r>
          </w:p>
        </w:tc>
        <w:tc>
          <w:tcPr>
            <w:tcW w:w="1601" w:type="dxa"/>
            <w:tcBorders>
              <w:top w:val="nil"/>
              <w:left w:val="nil"/>
              <w:bottom w:val="single" w:sz="8" w:space="0" w:color="auto"/>
              <w:right w:val="single" w:sz="8" w:space="0" w:color="auto"/>
            </w:tcBorders>
            <w:shd w:val="clear" w:color="auto" w:fill="FBD8DB"/>
            <w:noWrap/>
            <w:tcMar>
              <w:top w:w="0" w:type="dxa"/>
              <w:left w:w="108" w:type="dxa"/>
              <w:bottom w:w="0" w:type="dxa"/>
              <w:right w:w="108" w:type="dxa"/>
            </w:tcMar>
            <w:hideMark/>
          </w:tcPr>
          <w:p w14:paraId="57B37116" w14:textId="77777777" w:rsidR="002E6031" w:rsidRPr="00213E9D" w:rsidRDefault="002E6031" w:rsidP="00080C8F">
            <w:pPr>
              <w:spacing w:after="160" w:line="259" w:lineRule="auto"/>
              <w:jc w:val="center"/>
              <w:rPr>
                <w:noProof/>
                <w:sz w:val="18"/>
                <w:szCs w:val="18"/>
              </w:rPr>
            </w:pPr>
            <w:r w:rsidRPr="00213E9D">
              <w:rPr>
                <w:noProof/>
                <w:sz w:val="18"/>
                <w:szCs w:val="18"/>
              </w:rPr>
              <w:t>-0.2%</w:t>
            </w:r>
          </w:p>
        </w:tc>
        <w:tc>
          <w:tcPr>
            <w:tcW w:w="1602" w:type="dxa"/>
            <w:tcBorders>
              <w:top w:val="nil"/>
              <w:left w:val="nil"/>
              <w:bottom w:val="single" w:sz="8" w:space="0" w:color="auto"/>
              <w:right w:val="single" w:sz="8" w:space="0" w:color="auto"/>
            </w:tcBorders>
            <w:shd w:val="clear" w:color="auto" w:fill="F9A9AB"/>
            <w:noWrap/>
            <w:tcMar>
              <w:top w:w="0" w:type="dxa"/>
              <w:left w:w="108" w:type="dxa"/>
              <w:bottom w:w="0" w:type="dxa"/>
              <w:right w:w="108" w:type="dxa"/>
            </w:tcMar>
            <w:hideMark/>
          </w:tcPr>
          <w:p w14:paraId="1A0640D8" w14:textId="77777777" w:rsidR="002E6031" w:rsidRPr="00213E9D" w:rsidRDefault="002E6031" w:rsidP="00080C8F">
            <w:pPr>
              <w:spacing w:after="160" w:line="259" w:lineRule="auto"/>
              <w:jc w:val="center"/>
              <w:rPr>
                <w:noProof/>
                <w:sz w:val="18"/>
                <w:szCs w:val="18"/>
              </w:rPr>
            </w:pPr>
            <w:r w:rsidRPr="00213E9D">
              <w:rPr>
                <w:noProof/>
                <w:sz w:val="18"/>
                <w:szCs w:val="18"/>
              </w:rPr>
              <w:t>-0.4%</w:t>
            </w:r>
          </w:p>
        </w:tc>
        <w:tc>
          <w:tcPr>
            <w:tcW w:w="1602" w:type="dxa"/>
            <w:tcBorders>
              <w:top w:val="nil"/>
              <w:left w:val="nil"/>
              <w:bottom w:val="single" w:sz="8" w:space="0" w:color="auto"/>
              <w:right w:val="single" w:sz="8" w:space="0" w:color="auto"/>
            </w:tcBorders>
            <w:shd w:val="clear" w:color="auto" w:fill="F99496"/>
            <w:noWrap/>
            <w:tcMar>
              <w:top w:w="0" w:type="dxa"/>
              <w:left w:w="108" w:type="dxa"/>
              <w:bottom w:w="0" w:type="dxa"/>
              <w:right w:w="108" w:type="dxa"/>
            </w:tcMar>
            <w:hideMark/>
          </w:tcPr>
          <w:p w14:paraId="7CF26EDD" w14:textId="77777777" w:rsidR="002E6031" w:rsidRPr="00213E9D" w:rsidRDefault="002E6031" w:rsidP="00080C8F">
            <w:pPr>
              <w:spacing w:after="160" w:line="259" w:lineRule="auto"/>
              <w:jc w:val="center"/>
              <w:rPr>
                <w:noProof/>
                <w:sz w:val="18"/>
                <w:szCs w:val="18"/>
              </w:rPr>
            </w:pPr>
            <w:r w:rsidRPr="00213E9D">
              <w:rPr>
                <w:noProof/>
                <w:sz w:val="18"/>
                <w:szCs w:val="18"/>
              </w:rPr>
              <w:t>-0.5%</w:t>
            </w:r>
          </w:p>
        </w:tc>
        <w:tc>
          <w:tcPr>
            <w:tcW w:w="1602" w:type="dxa"/>
            <w:tcBorders>
              <w:top w:val="nil"/>
              <w:left w:val="nil"/>
              <w:bottom w:val="single" w:sz="8" w:space="0" w:color="auto"/>
              <w:right w:val="single" w:sz="8" w:space="0" w:color="auto"/>
            </w:tcBorders>
            <w:shd w:val="clear" w:color="auto" w:fill="F9A4A7"/>
            <w:noWrap/>
            <w:tcMar>
              <w:top w:w="0" w:type="dxa"/>
              <w:left w:w="108" w:type="dxa"/>
              <w:bottom w:w="0" w:type="dxa"/>
              <w:right w:w="108" w:type="dxa"/>
            </w:tcMar>
            <w:hideMark/>
          </w:tcPr>
          <w:p w14:paraId="7B9410AA" w14:textId="77777777" w:rsidR="002E6031" w:rsidRPr="00213E9D" w:rsidRDefault="002E6031" w:rsidP="00080C8F">
            <w:pPr>
              <w:spacing w:after="160" w:line="259" w:lineRule="auto"/>
              <w:jc w:val="center"/>
              <w:rPr>
                <w:noProof/>
                <w:sz w:val="18"/>
                <w:szCs w:val="18"/>
              </w:rPr>
            </w:pPr>
            <w:r w:rsidRPr="00213E9D">
              <w:rPr>
                <w:noProof/>
                <w:sz w:val="18"/>
                <w:szCs w:val="18"/>
              </w:rPr>
              <w:t>-0.4%</w:t>
            </w:r>
          </w:p>
        </w:tc>
      </w:tr>
      <w:tr w:rsidR="002E6031" w:rsidRPr="00213E9D" w14:paraId="498431C7" w14:textId="77777777" w:rsidTr="00080C8F">
        <w:trPr>
          <w:trHeight w:val="284"/>
        </w:trPr>
        <w:tc>
          <w:tcPr>
            <w:tcW w:w="1408" w:type="dxa"/>
            <w:vMerge/>
            <w:tcBorders>
              <w:top w:val="nil"/>
              <w:left w:val="single" w:sz="8" w:space="0" w:color="auto"/>
              <w:bottom w:val="single" w:sz="8" w:space="0" w:color="000000"/>
              <w:right w:val="single" w:sz="8" w:space="0" w:color="auto"/>
            </w:tcBorders>
            <w:hideMark/>
          </w:tcPr>
          <w:p w14:paraId="7274D3AB" w14:textId="77777777" w:rsidR="002E6031" w:rsidRPr="00213E9D" w:rsidRDefault="002E6031" w:rsidP="003F6FC9">
            <w:pPr>
              <w:spacing w:after="160" w:line="259" w:lineRule="auto"/>
              <w:rPr>
                <w:noProof/>
                <w:sz w:val="18"/>
                <w:szCs w:val="18"/>
              </w:rPr>
            </w:pPr>
          </w:p>
        </w:tc>
        <w:tc>
          <w:tcPr>
            <w:tcW w:w="19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E92FA6" w14:textId="77777777" w:rsidR="002E6031" w:rsidRPr="00213E9D" w:rsidRDefault="002E6031" w:rsidP="003F6FC9">
            <w:pPr>
              <w:spacing w:after="160" w:line="259" w:lineRule="auto"/>
              <w:rPr>
                <w:noProof/>
                <w:sz w:val="18"/>
                <w:szCs w:val="18"/>
              </w:rPr>
            </w:pPr>
            <w:r w:rsidRPr="00213E9D">
              <w:rPr>
                <w:noProof/>
                <w:sz w:val="18"/>
                <w:szCs w:val="18"/>
              </w:rPr>
              <w:t>2050</w:t>
            </w:r>
          </w:p>
        </w:tc>
        <w:tc>
          <w:tcPr>
            <w:tcW w:w="1601" w:type="dxa"/>
            <w:tcBorders>
              <w:top w:val="nil"/>
              <w:left w:val="nil"/>
              <w:bottom w:val="single" w:sz="8" w:space="0" w:color="auto"/>
              <w:right w:val="single" w:sz="8" w:space="0" w:color="auto"/>
            </w:tcBorders>
            <w:shd w:val="clear" w:color="auto" w:fill="FAC8CA"/>
            <w:noWrap/>
            <w:tcMar>
              <w:top w:w="0" w:type="dxa"/>
              <w:left w:w="108" w:type="dxa"/>
              <w:bottom w:w="0" w:type="dxa"/>
              <w:right w:w="108" w:type="dxa"/>
            </w:tcMar>
            <w:hideMark/>
          </w:tcPr>
          <w:p w14:paraId="3AD5B5C4" w14:textId="77777777" w:rsidR="002E6031" w:rsidRPr="00213E9D" w:rsidRDefault="002E6031" w:rsidP="00080C8F">
            <w:pPr>
              <w:spacing w:after="160" w:line="259" w:lineRule="auto"/>
              <w:jc w:val="center"/>
              <w:rPr>
                <w:noProof/>
                <w:sz w:val="18"/>
                <w:szCs w:val="18"/>
              </w:rPr>
            </w:pPr>
            <w:r w:rsidRPr="00213E9D">
              <w:rPr>
                <w:noProof/>
                <w:sz w:val="18"/>
                <w:szCs w:val="18"/>
              </w:rPr>
              <w:t>-0.2%</w:t>
            </w:r>
          </w:p>
        </w:tc>
        <w:tc>
          <w:tcPr>
            <w:tcW w:w="1602" w:type="dxa"/>
            <w:tcBorders>
              <w:top w:val="nil"/>
              <w:left w:val="nil"/>
              <w:bottom w:val="single" w:sz="8" w:space="0" w:color="auto"/>
              <w:right w:val="single" w:sz="8" w:space="0" w:color="auto"/>
            </w:tcBorders>
            <w:shd w:val="clear" w:color="auto" w:fill="F87C7E"/>
            <w:noWrap/>
            <w:tcMar>
              <w:top w:w="0" w:type="dxa"/>
              <w:left w:w="108" w:type="dxa"/>
              <w:bottom w:w="0" w:type="dxa"/>
              <w:right w:w="108" w:type="dxa"/>
            </w:tcMar>
            <w:hideMark/>
          </w:tcPr>
          <w:p w14:paraId="33AAFE77" w14:textId="77777777" w:rsidR="002E6031" w:rsidRPr="00213E9D" w:rsidRDefault="002E6031" w:rsidP="00080C8F">
            <w:pPr>
              <w:spacing w:after="160" w:line="259" w:lineRule="auto"/>
              <w:jc w:val="center"/>
              <w:rPr>
                <w:noProof/>
                <w:sz w:val="18"/>
                <w:szCs w:val="18"/>
              </w:rPr>
            </w:pPr>
            <w:r w:rsidRPr="00213E9D">
              <w:rPr>
                <w:noProof/>
                <w:sz w:val="18"/>
                <w:szCs w:val="18"/>
              </w:rPr>
              <w:t>-0.6%</w:t>
            </w:r>
          </w:p>
        </w:tc>
        <w:tc>
          <w:tcPr>
            <w:tcW w:w="1602" w:type="dxa"/>
            <w:tcBorders>
              <w:top w:val="nil"/>
              <w:left w:val="nil"/>
              <w:bottom w:val="single" w:sz="8" w:space="0" w:color="auto"/>
              <w:right w:val="single" w:sz="8" w:space="0" w:color="auto"/>
            </w:tcBorders>
            <w:shd w:val="clear" w:color="auto" w:fill="F86C6E"/>
            <w:noWrap/>
            <w:tcMar>
              <w:top w:w="0" w:type="dxa"/>
              <w:left w:w="108" w:type="dxa"/>
              <w:bottom w:w="0" w:type="dxa"/>
              <w:right w:w="108" w:type="dxa"/>
            </w:tcMar>
            <w:hideMark/>
          </w:tcPr>
          <w:p w14:paraId="41F0E20A" w14:textId="77777777" w:rsidR="002E6031" w:rsidRPr="00213E9D" w:rsidRDefault="002E6031" w:rsidP="00080C8F">
            <w:pPr>
              <w:spacing w:after="160" w:line="259" w:lineRule="auto"/>
              <w:jc w:val="center"/>
              <w:rPr>
                <w:noProof/>
                <w:sz w:val="18"/>
                <w:szCs w:val="18"/>
              </w:rPr>
            </w:pPr>
            <w:r w:rsidRPr="00213E9D">
              <w:rPr>
                <w:noProof/>
                <w:sz w:val="18"/>
                <w:szCs w:val="18"/>
              </w:rPr>
              <w:t>-0.6%</w:t>
            </w:r>
          </w:p>
        </w:tc>
        <w:tc>
          <w:tcPr>
            <w:tcW w:w="1602" w:type="dxa"/>
            <w:tcBorders>
              <w:top w:val="nil"/>
              <w:left w:val="nil"/>
              <w:bottom w:val="single" w:sz="8" w:space="0" w:color="auto"/>
              <w:right w:val="single" w:sz="8" w:space="0" w:color="auto"/>
            </w:tcBorders>
            <w:shd w:val="clear" w:color="auto" w:fill="F87476"/>
            <w:noWrap/>
            <w:tcMar>
              <w:top w:w="0" w:type="dxa"/>
              <w:left w:w="108" w:type="dxa"/>
              <w:bottom w:w="0" w:type="dxa"/>
              <w:right w:w="108" w:type="dxa"/>
            </w:tcMar>
            <w:hideMark/>
          </w:tcPr>
          <w:p w14:paraId="511C660F" w14:textId="77777777" w:rsidR="002E6031" w:rsidRPr="00213E9D" w:rsidRDefault="002E6031" w:rsidP="00080C8F">
            <w:pPr>
              <w:spacing w:after="160" w:line="259" w:lineRule="auto"/>
              <w:jc w:val="center"/>
              <w:rPr>
                <w:noProof/>
                <w:sz w:val="18"/>
                <w:szCs w:val="18"/>
              </w:rPr>
            </w:pPr>
            <w:r w:rsidRPr="00213E9D">
              <w:rPr>
                <w:noProof/>
                <w:sz w:val="18"/>
                <w:szCs w:val="18"/>
              </w:rPr>
              <w:t>-0.6%</w:t>
            </w:r>
          </w:p>
        </w:tc>
      </w:tr>
      <w:tr w:rsidR="002E6031" w:rsidRPr="00213E9D" w14:paraId="3C1D8507" w14:textId="77777777" w:rsidTr="00080C8F">
        <w:trPr>
          <w:trHeight w:val="284"/>
        </w:trPr>
        <w:tc>
          <w:tcPr>
            <w:tcW w:w="1408" w:type="dxa"/>
            <w:vMerge w:val="restart"/>
            <w:tcBorders>
              <w:top w:val="nil"/>
              <w:left w:val="single" w:sz="8" w:space="0" w:color="auto"/>
              <w:bottom w:val="single" w:sz="8" w:space="0" w:color="000000"/>
              <w:right w:val="single" w:sz="8" w:space="0" w:color="auto"/>
            </w:tcBorders>
            <w:shd w:val="clear" w:color="auto" w:fill="FFFFFF"/>
            <w:tcMar>
              <w:top w:w="0" w:type="dxa"/>
              <w:left w:w="108" w:type="dxa"/>
              <w:bottom w:w="0" w:type="dxa"/>
              <w:right w:w="108" w:type="dxa"/>
            </w:tcMar>
            <w:hideMark/>
          </w:tcPr>
          <w:p w14:paraId="6F768172" w14:textId="77777777" w:rsidR="002E6031" w:rsidRPr="00213E9D" w:rsidRDefault="002E6031" w:rsidP="003F6FC9">
            <w:pPr>
              <w:spacing w:after="160" w:line="259" w:lineRule="auto"/>
              <w:rPr>
                <w:noProof/>
                <w:sz w:val="18"/>
                <w:szCs w:val="18"/>
              </w:rPr>
            </w:pPr>
            <w:r w:rsidRPr="00213E9D">
              <w:rPr>
                <w:noProof/>
                <w:sz w:val="18"/>
                <w:szCs w:val="18"/>
              </w:rPr>
              <w:t>Waterborne</w:t>
            </w:r>
          </w:p>
        </w:tc>
        <w:tc>
          <w:tcPr>
            <w:tcW w:w="19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50F0AB" w14:textId="77777777" w:rsidR="002E6031" w:rsidRPr="00213E9D" w:rsidRDefault="002E6031" w:rsidP="003F6FC9">
            <w:pPr>
              <w:spacing w:after="160" w:line="259" w:lineRule="auto"/>
              <w:rPr>
                <w:noProof/>
                <w:sz w:val="18"/>
                <w:szCs w:val="18"/>
              </w:rPr>
            </w:pPr>
            <w:r w:rsidRPr="00213E9D">
              <w:rPr>
                <w:noProof/>
                <w:sz w:val="18"/>
                <w:szCs w:val="18"/>
              </w:rPr>
              <w:t>2030</w:t>
            </w:r>
          </w:p>
        </w:tc>
        <w:tc>
          <w:tcPr>
            <w:tcW w:w="1601" w:type="dxa"/>
            <w:tcBorders>
              <w:top w:val="nil"/>
              <w:left w:val="nil"/>
              <w:bottom w:val="single" w:sz="8" w:space="0" w:color="auto"/>
              <w:right w:val="single" w:sz="8" w:space="0" w:color="auto"/>
            </w:tcBorders>
            <w:shd w:val="clear" w:color="auto" w:fill="FBFBFE"/>
            <w:noWrap/>
            <w:tcMar>
              <w:top w:w="0" w:type="dxa"/>
              <w:left w:w="108" w:type="dxa"/>
              <w:bottom w:w="0" w:type="dxa"/>
              <w:right w:w="108" w:type="dxa"/>
            </w:tcMar>
            <w:hideMark/>
          </w:tcPr>
          <w:p w14:paraId="2C2DAC82" w14:textId="77777777" w:rsidR="002E6031" w:rsidRPr="00213E9D" w:rsidRDefault="002E6031" w:rsidP="00080C8F">
            <w:pPr>
              <w:spacing w:after="160" w:line="259" w:lineRule="auto"/>
              <w:jc w:val="center"/>
              <w:rPr>
                <w:noProof/>
                <w:sz w:val="18"/>
                <w:szCs w:val="18"/>
              </w:rPr>
            </w:pPr>
            <w:r w:rsidRPr="00213E9D">
              <w:rPr>
                <w:noProof/>
                <w:sz w:val="18"/>
                <w:szCs w:val="18"/>
              </w:rPr>
              <w:t>0.0%</w:t>
            </w:r>
          </w:p>
        </w:tc>
        <w:tc>
          <w:tcPr>
            <w:tcW w:w="1602" w:type="dxa"/>
            <w:tcBorders>
              <w:top w:val="nil"/>
              <w:left w:val="nil"/>
              <w:bottom w:val="single" w:sz="8" w:space="0" w:color="auto"/>
              <w:right w:val="single" w:sz="8" w:space="0" w:color="auto"/>
            </w:tcBorders>
            <w:shd w:val="clear" w:color="auto" w:fill="FBFBFE"/>
            <w:noWrap/>
            <w:tcMar>
              <w:top w:w="0" w:type="dxa"/>
              <w:left w:w="108" w:type="dxa"/>
              <w:bottom w:w="0" w:type="dxa"/>
              <w:right w:w="108" w:type="dxa"/>
            </w:tcMar>
            <w:hideMark/>
          </w:tcPr>
          <w:p w14:paraId="6F3FCFA4" w14:textId="77777777" w:rsidR="002E6031" w:rsidRPr="00213E9D" w:rsidRDefault="002E6031" w:rsidP="00080C8F">
            <w:pPr>
              <w:spacing w:after="160" w:line="259" w:lineRule="auto"/>
              <w:jc w:val="center"/>
              <w:rPr>
                <w:noProof/>
                <w:sz w:val="18"/>
                <w:szCs w:val="18"/>
              </w:rPr>
            </w:pPr>
            <w:r w:rsidRPr="00213E9D">
              <w:rPr>
                <w:noProof/>
                <w:sz w:val="18"/>
                <w:szCs w:val="18"/>
              </w:rPr>
              <w:t>0.0%</w:t>
            </w:r>
          </w:p>
        </w:tc>
        <w:tc>
          <w:tcPr>
            <w:tcW w:w="1602" w:type="dxa"/>
            <w:tcBorders>
              <w:top w:val="nil"/>
              <w:left w:val="nil"/>
              <w:bottom w:val="single" w:sz="8" w:space="0" w:color="auto"/>
              <w:right w:val="single" w:sz="8" w:space="0" w:color="auto"/>
            </w:tcBorders>
            <w:shd w:val="clear" w:color="auto" w:fill="FBFBFE"/>
            <w:noWrap/>
            <w:tcMar>
              <w:top w:w="0" w:type="dxa"/>
              <w:left w:w="108" w:type="dxa"/>
              <w:bottom w:w="0" w:type="dxa"/>
              <w:right w:w="108" w:type="dxa"/>
            </w:tcMar>
            <w:hideMark/>
          </w:tcPr>
          <w:p w14:paraId="7E0DAD4D" w14:textId="77777777" w:rsidR="002E6031" w:rsidRPr="00213E9D" w:rsidRDefault="002E6031" w:rsidP="00080C8F">
            <w:pPr>
              <w:spacing w:after="160" w:line="259" w:lineRule="auto"/>
              <w:jc w:val="center"/>
              <w:rPr>
                <w:noProof/>
                <w:sz w:val="18"/>
                <w:szCs w:val="18"/>
              </w:rPr>
            </w:pPr>
            <w:r w:rsidRPr="00213E9D">
              <w:rPr>
                <w:noProof/>
                <w:sz w:val="18"/>
                <w:szCs w:val="18"/>
              </w:rPr>
              <w:t>0.0%</w:t>
            </w:r>
          </w:p>
        </w:tc>
        <w:tc>
          <w:tcPr>
            <w:tcW w:w="1602" w:type="dxa"/>
            <w:tcBorders>
              <w:top w:val="nil"/>
              <w:left w:val="nil"/>
              <w:bottom w:val="single" w:sz="8" w:space="0" w:color="auto"/>
              <w:right w:val="single" w:sz="8" w:space="0" w:color="auto"/>
            </w:tcBorders>
            <w:shd w:val="clear" w:color="auto" w:fill="FBFBFE"/>
            <w:noWrap/>
            <w:tcMar>
              <w:top w:w="0" w:type="dxa"/>
              <w:left w:w="108" w:type="dxa"/>
              <w:bottom w:w="0" w:type="dxa"/>
              <w:right w:w="108" w:type="dxa"/>
            </w:tcMar>
            <w:hideMark/>
          </w:tcPr>
          <w:p w14:paraId="6DBE645F" w14:textId="77777777" w:rsidR="002E6031" w:rsidRPr="00213E9D" w:rsidRDefault="002E6031" w:rsidP="00080C8F">
            <w:pPr>
              <w:spacing w:after="160" w:line="259" w:lineRule="auto"/>
              <w:jc w:val="center"/>
              <w:rPr>
                <w:noProof/>
                <w:sz w:val="18"/>
                <w:szCs w:val="18"/>
              </w:rPr>
            </w:pPr>
            <w:r w:rsidRPr="00213E9D">
              <w:rPr>
                <w:noProof/>
                <w:sz w:val="18"/>
                <w:szCs w:val="18"/>
              </w:rPr>
              <w:t>0.0%</w:t>
            </w:r>
          </w:p>
        </w:tc>
      </w:tr>
      <w:tr w:rsidR="002E6031" w:rsidRPr="00213E9D" w14:paraId="500CE5B8" w14:textId="77777777" w:rsidTr="00080C8F">
        <w:trPr>
          <w:trHeight w:val="284"/>
        </w:trPr>
        <w:tc>
          <w:tcPr>
            <w:tcW w:w="1408" w:type="dxa"/>
            <w:vMerge/>
            <w:tcBorders>
              <w:top w:val="nil"/>
              <w:left w:val="single" w:sz="8" w:space="0" w:color="auto"/>
              <w:bottom w:val="single" w:sz="8" w:space="0" w:color="000000"/>
              <w:right w:val="single" w:sz="8" w:space="0" w:color="auto"/>
            </w:tcBorders>
            <w:hideMark/>
          </w:tcPr>
          <w:p w14:paraId="53852267" w14:textId="77777777" w:rsidR="002E6031" w:rsidRPr="00213E9D" w:rsidRDefault="002E6031" w:rsidP="003F6FC9">
            <w:pPr>
              <w:spacing w:after="160" w:line="259" w:lineRule="auto"/>
              <w:rPr>
                <w:noProof/>
                <w:sz w:val="18"/>
                <w:szCs w:val="18"/>
              </w:rPr>
            </w:pPr>
          </w:p>
        </w:tc>
        <w:tc>
          <w:tcPr>
            <w:tcW w:w="19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85A07C" w14:textId="77777777" w:rsidR="002E6031" w:rsidRPr="00213E9D" w:rsidRDefault="002E6031" w:rsidP="003F6FC9">
            <w:pPr>
              <w:spacing w:after="160" w:line="259" w:lineRule="auto"/>
              <w:rPr>
                <w:noProof/>
                <w:sz w:val="18"/>
                <w:szCs w:val="18"/>
              </w:rPr>
            </w:pPr>
            <w:r w:rsidRPr="00213E9D">
              <w:rPr>
                <w:noProof/>
                <w:sz w:val="18"/>
                <w:szCs w:val="18"/>
              </w:rPr>
              <w:t>2040</w:t>
            </w:r>
          </w:p>
        </w:tc>
        <w:tc>
          <w:tcPr>
            <w:tcW w:w="1601" w:type="dxa"/>
            <w:tcBorders>
              <w:top w:val="nil"/>
              <w:left w:val="nil"/>
              <w:bottom w:val="single" w:sz="8" w:space="0" w:color="auto"/>
              <w:right w:val="single" w:sz="8" w:space="0" w:color="auto"/>
            </w:tcBorders>
            <w:shd w:val="clear" w:color="auto" w:fill="FBFBFE"/>
            <w:noWrap/>
            <w:tcMar>
              <w:top w:w="0" w:type="dxa"/>
              <w:left w:w="108" w:type="dxa"/>
              <w:bottom w:w="0" w:type="dxa"/>
              <w:right w:w="108" w:type="dxa"/>
            </w:tcMar>
            <w:hideMark/>
          </w:tcPr>
          <w:p w14:paraId="626A916F" w14:textId="77777777" w:rsidR="002E6031" w:rsidRPr="00213E9D" w:rsidRDefault="002E6031" w:rsidP="00080C8F">
            <w:pPr>
              <w:spacing w:after="160" w:line="259" w:lineRule="auto"/>
              <w:jc w:val="center"/>
              <w:rPr>
                <w:noProof/>
                <w:sz w:val="18"/>
                <w:szCs w:val="18"/>
              </w:rPr>
            </w:pPr>
            <w:r w:rsidRPr="00213E9D">
              <w:rPr>
                <w:noProof/>
                <w:sz w:val="18"/>
                <w:szCs w:val="18"/>
              </w:rPr>
              <w:t>0.0%</w:t>
            </w:r>
          </w:p>
        </w:tc>
        <w:tc>
          <w:tcPr>
            <w:tcW w:w="1602" w:type="dxa"/>
            <w:tcBorders>
              <w:top w:val="nil"/>
              <w:left w:val="nil"/>
              <w:bottom w:val="single" w:sz="8" w:space="0" w:color="auto"/>
              <w:right w:val="single" w:sz="8" w:space="0" w:color="auto"/>
            </w:tcBorders>
            <w:shd w:val="clear" w:color="auto" w:fill="FCFCFF"/>
            <w:noWrap/>
            <w:tcMar>
              <w:top w:w="0" w:type="dxa"/>
              <w:left w:w="108" w:type="dxa"/>
              <w:bottom w:w="0" w:type="dxa"/>
              <w:right w:w="108" w:type="dxa"/>
            </w:tcMar>
            <w:hideMark/>
          </w:tcPr>
          <w:p w14:paraId="2D5A27BE" w14:textId="77777777" w:rsidR="002E6031" w:rsidRPr="00213E9D" w:rsidRDefault="002E6031" w:rsidP="00080C8F">
            <w:pPr>
              <w:spacing w:after="160" w:line="259" w:lineRule="auto"/>
              <w:jc w:val="center"/>
              <w:rPr>
                <w:noProof/>
                <w:sz w:val="18"/>
                <w:szCs w:val="18"/>
              </w:rPr>
            </w:pPr>
            <w:r w:rsidRPr="00213E9D">
              <w:rPr>
                <w:noProof/>
                <w:sz w:val="18"/>
                <w:szCs w:val="18"/>
              </w:rPr>
              <w:t>0.0%</w:t>
            </w:r>
          </w:p>
        </w:tc>
        <w:tc>
          <w:tcPr>
            <w:tcW w:w="1602" w:type="dxa"/>
            <w:tcBorders>
              <w:top w:val="nil"/>
              <w:left w:val="nil"/>
              <w:bottom w:val="single" w:sz="8" w:space="0" w:color="auto"/>
              <w:right w:val="single" w:sz="8" w:space="0" w:color="auto"/>
            </w:tcBorders>
            <w:shd w:val="clear" w:color="auto" w:fill="FCFCFF"/>
            <w:noWrap/>
            <w:tcMar>
              <w:top w:w="0" w:type="dxa"/>
              <w:left w:w="108" w:type="dxa"/>
              <w:bottom w:w="0" w:type="dxa"/>
              <w:right w:w="108" w:type="dxa"/>
            </w:tcMar>
            <w:hideMark/>
          </w:tcPr>
          <w:p w14:paraId="76B36462" w14:textId="77777777" w:rsidR="002E6031" w:rsidRPr="00213E9D" w:rsidRDefault="002E6031" w:rsidP="00080C8F">
            <w:pPr>
              <w:spacing w:after="160" w:line="259" w:lineRule="auto"/>
              <w:jc w:val="center"/>
              <w:rPr>
                <w:noProof/>
                <w:sz w:val="18"/>
                <w:szCs w:val="18"/>
              </w:rPr>
            </w:pPr>
            <w:r w:rsidRPr="00213E9D">
              <w:rPr>
                <w:noProof/>
                <w:sz w:val="18"/>
                <w:szCs w:val="18"/>
              </w:rPr>
              <w:t>0.0%</w:t>
            </w:r>
          </w:p>
        </w:tc>
        <w:tc>
          <w:tcPr>
            <w:tcW w:w="1602" w:type="dxa"/>
            <w:tcBorders>
              <w:top w:val="nil"/>
              <w:left w:val="nil"/>
              <w:bottom w:val="single" w:sz="8" w:space="0" w:color="auto"/>
              <w:right w:val="single" w:sz="8" w:space="0" w:color="auto"/>
            </w:tcBorders>
            <w:shd w:val="clear" w:color="auto" w:fill="FCFCFF"/>
            <w:noWrap/>
            <w:tcMar>
              <w:top w:w="0" w:type="dxa"/>
              <w:left w:w="108" w:type="dxa"/>
              <w:bottom w:w="0" w:type="dxa"/>
              <w:right w:w="108" w:type="dxa"/>
            </w:tcMar>
            <w:hideMark/>
          </w:tcPr>
          <w:p w14:paraId="5B1F04ED" w14:textId="77777777" w:rsidR="002E6031" w:rsidRPr="00213E9D" w:rsidRDefault="002E6031" w:rsidP="00080C8F">
            <w:pPr>
              <w:spacing w:after="160" w:line="259" w:lineRule="auto"/>
              <w:jc w:val="center"/>
              <w:rPr>
                <w:noProof/>
                <w:sz w:val="18"/>
                <w:szCs w:val="18"/>
              </w:rPr>
            </w:pPr>
            <w:r w:rsidRPr="00213E9D">
              <w:rPr>
                <w:noProof/>
                <w:sz w:val="18"/>
                <w:szCs w:val="18"/>
              </w:rPr>
              <w:t>0.0%</w:t>
            </w:r>
          </w:p>
        </w:tc>
      </w:tr>
      <w:tr w:rsidR="002E6031" w:rsidRPr="00213E9D" w14:paraId="2FF0C9CB" w14:textId="77777777" w:rsidTr="00080C8F">
        <w:trPr>
          <w:trHeight w:val="284"/>
        </w:trPr>
        <w:tc>
          <w:tcPr>
            <w:tcW w:w="1408" w:type="dxa"/>
            <w:vMerge/>
            <w:tcBorders>
              <w:top w:val="nil"/>
              <w:left w:val="single" w:sz="8" w:space="0" w:color="auto"/>
              <w:bottom w:val="single" w:sz="8" w:space="0" w:color="000000"/>
              <w:right w:val="single" w:sz="8" w:space="0" w:color="auto"/>
            </w:tcBorders>
            <w:hideMark/>
          </w:tcPr>
          <w:p w14:paraId="19D593B8" w14:textId="77777777" w:rsidR="002E6031" w:rsidRPr="00213E9D" w:rsidRDefault="002E6031" w:rsidP="003F6FC9">
            <w:pPr>
              <w:spacing w:after="160" w:line="259" w:lineRule="auto"/>
              <w:rPr>
                <w:noProof/>
                <w:sz w:val="18"/>
                <w:szCs w:val="18"/>
              </w:rPr>
            </w:pPr>
          </w:p>
        </w:tc>
        <w:tc>
          <w:tcPr>
            <w:tcW w:w="19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90C573" w14:textId="77777777" w:rsidR="002E6031" w:rsidRPr="00213E9D" w:rsidRDefault="002E6031" w:rsidP="003F6FC9">
            <w:pPr>
              <w:spacing w:after="160" w:line="259" w:lineRule="auto"/>
              <w:rPr>
                <w:noProof/>
                <w:sz w:val="18"/>
                <w:szCs w:val="18"/>
              </w:rPr>
            </w:pPr>
            <w:r w:rsidRPr="00213E9D">
              <w:rPr>
                <w:noProof/>
                <w:sz w:val="18"/>
                <w:szCs w:val="18"/>
              </w:rPr>
              <w:t>2050</w:t>
            </w:r>
          </w:p>
        </w:tc>
        <w:tc>
          <w:tcPr>
            <w:tcW w:w="1601" w:type="dxa"/>
            <w:tcBorders>
              <w:top w:val="nil"/>
              <w:left w:val="nil"/>
              <w:bottom w:val="single" w:sz="8" w:space="0" w:color="auto"/>
              <w:right w:val="single" w:sz="8" w:space="0" w:color="auto"/>
            </w:tcBorders>
            <w:shd w:val="clear" w:color="auto" w:fill="FBFBFE"/>
            <w:noWrap/>
            <w:tcMar>
              <w:top w:w="0" w:type="dxa"/>
              <w:left w:w="108" w:type="dxa"/>
              <w:bottom w:w="0" w:type="dxa"/>
              <w:right w:w="108" w:type="dxa"/>
            </w:tcMar>
            <w:hideMark/>
          </w:tcPr>
          <w:p w14:paraId="19F38AD2" w14:textId="77777777" w:rsidR="002E6031" w:rsidRPr="00213E9D" w:rsidRDefault="002E6031" w:rsidP="00080C8F">
            <w:pPr>
              <w:spacing w:after="160" w:line="259" w:lineRule="auto"/>
              <w:jc w:val="center"/>
              <w:rPr>
                <w:noProof/>
                <w:sz w:val="18"/>
                <w:szCs w:val="18"/>
              </w:rPr>
            </w:pPr>
            <w:r w:rsidRPr="00213E9D">
              <w:rPr>
                <w:noProof/>
                <w:sz w:val="18"/>
                <w:szCs w:val="18"/>
              </w:rPr>
              <w:t>0.0%</w:t>
            </w:r>
          </w:p>
        </w:tc>
        <w:tc>
          <w:tcPr>
            <w:tcW w:w="1602" w:type="dxa"/>
            <w:tcBorders>
              <w:top w:val="nil"/>
              <w:left w:val="nil"/>
              <w:bottom w:val="single" w:sz="8" w:space="0" w:color="auto"/>
              <w:right w:val="single" w:sz="8" w:space="0" w:color="auto"/>
            </w:tcBorders>
            <w:shd w:val="clear" w:color="auto" w:fill="FCFCFF"/>
            <w:noWrap/>
            <w:tcMar>
              <w:top w:w="0" w:type="dxa"/>
              <w:left w:w="108" w:type="dxa"/>
              <w:bottom w:w="0" w:type="dxa"/>
              <w:right w:w="108" w:type="dxa"/>
            </w:tcMar>
            <w:hideMark/>
          </w:tcPr>
          <w:p w14:paraId="2F215D0D" w14:textId="77777777" w:rsidR="002E6031" w:rsidRPr="00213E9D" w:rsidRDefault="002E6031" w:rsidP="00080C8F">
            <w:pPr>
              <w:spacing w:after="160" w:line="259" w:lineRule="auto"/>
              <w:jc w:val="center"/>
              <w:rPr>
                <w:noProof/>
                <w:sz w:val="18"/>
                <w:szCs w:val="18"/>
              </w:rPr>
            </w:pPr>
            <w:r w:rsidRPr="00213E9D">
              <w:rPr>
                <w:noProof/>
                <w:sz w:val="18"/>
                <w:szCs w:val="18"/>
              </w:rPr>
              <w:t>0.0%</w:t>
            </w:r>
          </w:p>
        </w:tc>
        <w:tc>
          <w:tcPr>
            <w:tcW w:w="1602" w:type="dxa"/>
            <w:tcBorders>
              <w:top w:val="nil"/>
              <w:left w:val="nil"/>
              <w:bottom w:val="single" w:sz="8" w:space="0" w:color="auto"/>
              <w:right w:val="single" w:sz="8" w:space="0" w:color="auto"/>
            </w:tcBorders>
            <w:shd w:val="clear" w:color="auto" w:fill="FCFCFF"/>
            <w:noWrap/>
            <w:tcMar>
              <w:top w:w="0" w:type="dxa"/>
              <w:left w:w="108" w:type="dxa"/>
              <w:bottom w:w="0" w:type="dxa"/>
              <w:right w:w="108" w:type="dxa"/>
            </w:tcMar>
            <w:hideMark/>
          </w:tcPr>
          <w:p w14:paraId="2DFB8F7E" w14:textId="77777777" w:rsidR="002E6031" w:rsidRPr="00213E9D" w:rsidRDefault="002E6031" w:rsidP="00080C8F">
            <w:pPr>
              <w:spacing w:after="160" w:line="259" w:lineRule="auto"/>
              <w:jc w:val="center"/>
              <w:rPr>
                <w:noProof/>
                <w:sz w:val="18"/>
                <w:szCs w:val="18"/>
              </w:rPr>
            </w:pPr>
            <w:r w:rsidRPr="00213E9D">
              <w:rPr>
                <w:noProof/>
                <w:sz w:val="18"/>
                <w:szCs w:val="18"/>
              </w:rPr>
              <w:t>0.0%</w:t>
            </w:r>
          </w:p>
        </w:tc>
        <w:tc>
          <w:tcPr>
            <w:tcW w:w="1602" w:type="dxa"/>
            <w:tcBorders>
              <w:top w:val="nil"/>
              <w:left w:val="nil"/>
              <w:bottom w:val="single" w:sz="8" w:space="0" w:color="auto"/>
              <w:right w:val="single" w:sz="8" w:space="0" w:color="auto"/>
            </w:tcBorders>
            <w:shd w:val="clear" w:color="auto" w:fill="FCFCFF"/>
            <w:noWrap/>
            <w:tcMar>
              <w:top w:w="0" w:type="dxa"/>
              <w:left w:w="108" w:type="dxa"/>
              <w:bottom w:w="0" w:type="dxa"/>
              <w:right w:w="108" w:type="dxa"/>
            </w:tcMar>
            <w:hideMark/>
          </w:tcPr>
          <w:p w14:paraId="26BCB176" w14:textId="77777777" w:rsidR="002E6031" w:rsidRPr="00213E9D" w:rsidRDefault="002E6031" w:rsidP="00080C8F">
            <w:pPr>
              <w:spacing w:after="160" w:line="259" w:lineRule="auto"/>
              <w:jc w:val="center"/>
              <w:rPr>
                <w:noProof/>
                <w:sz w:val="18"/>
                <w:szCs w:val="18"/>
              </w:rPr>
            </w:pPr>
            <w:r w:rsidRPr="00213E9D">
              <w:rPr>
                <w:noProof/>
                <w:sz w:val="18"/>
                <w:szCs w:val="18"/>
              </w:rPr>
              <w:t>0.0%</w:t>
            </w:r>
          </w:p>
        </w:tc>
      </w:tr>
    </w:tbl>
    <w:p w14:paraId="7B80B856" w14:textId="77777777" w:rsidR="00527333" w:rsidRDefault="00527333" w:rsidP="00527333">
      <w:pPr>
        <w:tabs>
          <w:tab w:val="left" w:pos="2302"/>
        </w:tabs>
        <w:spacing w:after="240"/>
        <w:jc w:val="both"/>
        <w:rPr>
          <w:i/>
          <w:iCs/>
          <w:noProof/>
          <w:spacing w:val="-8"/>
          <w:sz w:val="20"/>
          <w:szCs w:val="20"/>
        </w:rPr>
      </w:pPr>
      <w:r w:rsidRPr="00097BB6">
        <w:rPr>
          <w:i/>
          <w:iCs/>
          <w:noProof/>
          <w:spacing w:val="-8"/>
          <w:sz w:val="20"/>
          <w:szCs w:val="20"/>
        </w:rPr>
        <w:t>Source: Ricardo et al. (2026), Impact assessment support study</w:t>
      </w:r>
    </w:p>
    <w:p w14:paraId="0EF26450" w14:textId="42C442C5" w:rsidR="00C61385" w:rsidRPr="00097BB6" w:rsidRDefault="00C61385" w:rsidP="00C61385">
      <w:pPr>
        <w:spacing w:after="240"/>
        <w:jc w:val="both"/>
        <w:rPr>
          <w:noProof/>
          <w:spacing w:val="-8"/>
        </w:rPr>
      </w:pPr>
      <w:r w:rsidRPr="00097BB6">
        <w:rPr>
          <w:noProof/>
          <w:spacing w:val="-8"/>
        </w:rPr>
        <w:t xml:space="preserve">The impacts on external costs savings and efficiency </w:t>
      </w:r>
      <w:r w:rsidR="00FD7B96">
        <w:rPr>
          <w:noProof/>
          <w:spacing w:val="-8"/>
        </w:rPr>
        <w:t>(</w:t>
      </w:r>
      <w:r w:rsidR="008A3E95" w:rsidRPr="00781031">
        <w:rPr>
          <w:noProof/>
        </w:rPr>
        <w:t>including external costs savings</w:t>
      </w:r>
      <w:r w:rsidR="00FD7B96">
        <w:rPr>
          <w:noProof/>
        </w:rPr>
        <w:t>)</w:t>
      </w:r>
      <w:r w:rsidRPr="00FD7B96">
        <w:rPr>
          <w:noProof/>
          <w:spacing w:val="-8"/>
        </w:rPr>
        <w:t xml:space="preserve"> </w:t>
      </w:r>
      <w:r w:rsidRPr="00097BB6">
        <w:rPr>
          <w:noProof/>
          <w:spacing w:val="-8"/>
        </w:rPr>
        <w:t xml:space="preserve">are further compared to the ‘base case’ presented in section 6. </w:t>
      </w:r>
      <w:r w:rsidRPr="00097BB6">
        <w:rPr>
          <w:noProof/>
          <w:spacing w:val="-8"/>
          <w:lang w:eastAsia="nl-NL"/>
        </w:rPr>
        <w:t>The table below shows that this assumption has important impacts on the external costs savings in the ‘low modal shift case’ relative to the base case. Total external costs savings, expressed as present value over 2028-2050 relative to the baseline, are 34% lower in the ‘low modal shift case’ relative to the base case in PO1, 37% lower in PO2, 39% lower in PO3 and 37% lower in PO4.</w:t>
      </w:r>
    </w:p>
    <w:p w14:paraId="787B57DB" w14:textId="3CEF9B59" w:rsidR="001E1853" w:rsidRPr="00BA0980" w:rsidRDefault="001E1853" w:rsidP="001E1853">
      <w:pPr>
        <w:pStyle w:val="Text2"/>
        <w:spacing w:after="0"/>
        <w:ind w:left="0"/>
        <w:rPr>
          <w:rFonts w:cs="Times New Roman"/>
          <w:i/>
          <w:noProof/>
          <w:sz w:val="22"/>
          <w:szCs w:val="22"/>
        </w:rPr>
      </w:pPr>
      <w:r w:rsidRPr="006333F0">
        <w:rPr>
          <w:rFonts w:cs="Times New Roman"/>
          <w:i/>
          <w:noProof/>
          <w:sz w:val="22"/>
          <w:szCs w:val="22"/>
        </w:rPr>
        <w:t xml:space="preserve">Table </w:t>
      </w:r>
      <w:r w:rsidRPr="00BA0980">
        <w:rPr>
          <w:rFonts w:cs="Times New Roman"/>
          <w:i/>
          <w:noProof/>
          <w:sz w:val="22"/>
          <w:szCs w:val="22"/>
        </w:rPr>
        <w:fldChar w:fldCharType="begin"/>
      </w:r>
      <w:r w:rsidRPr="00BA0980">
        <w:rPr>
          <w:rFonts w:cs="Times New Roman"/>
          <w:i/>
          <w:noProof/>
          <w:sz w:val="22"/>
          <w:szCs w:val="22"/>
        </w:rPr>
        <w:instrText xml:space="preserve"> SEQ Table \* ARABIC </w:instrText>
      </w:r>
      <w:r w:rsidRPr="00BA0980">
        <w:rPr>
          <w:rFonts w:cs="Times New Roman"/>
          <w:i/>
          <w:noProof/>
          <w:sz w:val="22"/>
          <w:szCs w:val="22"/>
        </w:rPr>
        <w:fldChar w:fldCharType="separate"/>
      </w:r>
      <w:r w:rsidR="0055391F">
        <w:rPr>
          <w:rFonts w:cs="Times New Roman"/>
          <w:i/>
          <w:noProof/>
          <w:sz w:val="22"/>
          <w:szCs w:val="22"/>
        </w:rPr>
        <w:t>128</w:t>
      </w:r>
      <w:r w:rsidRPr="00BA0980">
        <w:rPr>
          <w:rFonts w:cs="Times New Roman"/>
          <w:i/>
          <w:noProof/>
          <w:sz w:val="22"/>
          <w:szCs w:val="22"/>
        </w:rPr>
        <w:fldChar w:fldCharType="end"/>
      </w:r>
      <w:r w:rsidRPr="006333F0">
        <w:rPr>
          <w:rFonts w:cs="Times New Roman"/>
          <w:i/>
          <w:noProof/>
          <w:sz w:val="22"/>
          <w:szCs w:val="22"/>
        </w:rPr>
        <w:t xml:space="preserve">: </w:t>
      </w:r>
      <w:r>
        <w:rPr>
          <w:rFonts w:cs="Times New Roman"/>
          <w:i/>
          <w:noProof/>
          <w:sz w:val="22"/>
          <w:szCs w:val="22"/>
        </w:rPr>
        <w:t>External costs savings in the ‘low modal shift</w:t>
      </w:r>
      <w:r w:rsidR="00BB6ABF">
        <w:rPr>
          <w:rFonts w:cs="Times New Roman"/>
          <w:i/>
          <w:noProof/>
          <w:sz w:val="22"/>
          <w:szCs w:val="22"/>
        </w:rPr>
        <w:t>’</w:t>
      </w:r>
      <w:r>
        <w:rPr>
          <w:rFonts w:cs="Times New Roman"/>
          <w:i/>
          <w:noProof/>
          <w:sz w:val="22"/>
          <w:szCs w:val="22"/>
        </w:rPr>
        <w:t xml:space="preserve"> case and base case in the POs relative to the baseline (EU27), expressed as present value over 2028-2050,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r>
        <w:rPr>
          <w:rFonts w:cs="Times New Roman"/>
          <w:i/>
          <w:noProof/>
          <w:sz w:val="22"/>
          <w:szCs w:val="22"/>
        </w:rPr>
        <w:t xml:space="preserve"> </w:t>
      </w:r>
    </w:p>
    <w:tbl>
      <w:tblPr>
        <w:tblW w:w="5000" w:type="pct"/>
        <w:tblLook w:val="04A0" w:firstRow="1" w:lastRow="0" w:firstColumn="1" w:lastColumn="0" w:noHBand="0" w:noVBand="1"/>
      </w:tblPr>
      <w:tblGrid>
        <w:gridCol w:w="4539"/>
        <w:gridCol w:w="1266"/>
        <w:gridCol w:w="1266"/>
        <w:gridCol w:w="1266"/>
        <w:gridCol w:w="1266"/>
      </w:tblGrid>
      <w:tr w:rsidR="001E1853" w:rsidRPr="002D10CF" w14:paraId="1391B123" w14:textId="77777777" w:rsidTr="006A7B4C">
        <w:trPr>
          <w:trHeight w:val="255"/>
          <w:tblHeader/>
        </w:trPr>
        <w:tc>
          <w:tcPr>
            <w:tcW w:w="2363" w:type="pct"/>
            <w:tcBorders>
              <w:top w:val="single" w:sz="4" w:space="0" w:color="auto"/>
              <w:left w:val="single" w:sz="4" w:space="0" w:color="auto"/>
              <w:bottom w:val="single" w:sz="4" w:space="0" w:color="auto"/>
              <w:right w:val="single" w:sz="4" w:space="0" w:color="auto"/>
            </w:tcBorders>
            <w:shd w:val="clear" w:color="000000" w:fill="0070C0"/>
            <w:hideMark/>
          </w:tcPr>
          <w:p w14:paraId="2EE6662B" w14:textId="77777777" w:rsidR="001E1853" w:rsidRPr="002D10CF" w:rsidRDefault="001E1853" w:rsidP="006A7B4C">
            <w:pPr>
              <w:rPr>
                <w:b/>
                <w:bCs/>
                <w:noProof/>
                <w:color w:val="FFFFFF"/>
                <w:sz w:val="20"/>
                <w:szCs w:val="20"/>
              </w:rPr>
            </w:pPr>
            <w:r w:rsidRPr="002D10CF">
              <w:rPr>
                <w:b/>
                <w:bCs/>
                <w:noProof/>
                <w:color w:val="FFFFFF"/>
                <w:sz w:val="20"/>
                <w:szCs w:val="20"/>
              </w:rPr>
              <w:t> </w:t>
            </w:r>
          </w:p>
        </w:tc>
        <w:tc>
          <w:tcPr>
            <w:tcW w:w="659" w:type="pct"/>
            <w:tcBorders>
              <w:top w:val="single" w:sz="4" w:space="0" w:color="auto"/>
              <w:left w:val="nil"/>
              <w:bottom w:val="single" w:sz="4" w:space="0" w:color="auto"/>
              <w:right w:val="single" w:sz="4" w:space="0" w:color="auto"/>
            </w:tcBorders>
            <w:shd w:val="clear" w:color="000000" w:fill="0070C0"/>
            <w:hideMark/>
          </w:tcPr>
          <w:p w14:paraId="57EA51F7" w14:textId="77777777" w:rsidR="001E1853" w:rsidRPr="002D10CF" w:rsidRDefault="001E1853" w:rsidP="006A7B4C">
            <w:pPr>
              <w:jc w:val="center"/>
              <w:rPr>
                <w:b/>
                <w:bCs/>
                <w:noProof/>
                <w:color w:val="FFFFFF"/>
                <w:sz w:val="20"/>
                <w:szCs w:val="20"/>
              </w:rPr>
            </w:pPr>
            <w:r w:rsidRPr="002D10CF">
              <w:rPr>
                <w:b/>
                <w:bCs/>
                <w:noProof/>
                <w:color w:val="FFFFFF"/>
                <w:sz w:val="20"/>
                <w:szCs w:val="20"/>
              </w:rPr>
              <w:t>PO1</w:t>
            </w:r>
          </w:p>
        </w:tc>
        <w:tc>
          <w:tcPr>
            <w:tcW w:w="659" w:type="pct"/>
            <w:tcBorders>
              <w:top w:val="single" w:sz="4" w:space="0" w:color="auto"/>
              <w:left w:val="nil"/>
              <w:bottom w:val="single" w:sz="4" w:space="0" w:color="auto"/>
              <w:right w:val="single" w:sz="4" w:space="0" w:color="auto"/>
            </w:tcBorders>
            <w:shd w:val="clear" w:color="000000" w:fill="0070C0"/>
            <w:hideMark/>
          </w:tcPr>
          <w:p w14:paraId="53576279" w14:textId="77777777" w:rsidR="001E1853" w:rsidRPr="002D10CF" w:rsidRDefault="001E1853" w:rsidP="006A7B4C">
            <w:pPr>
              <w:jc w:val="center"/>
              <w:rPr>
                <w:b/>
                <w:bCs/>
                <w:noProof/>
                <w:color w:val="FFFFFF"/>
                <w:sz w:val="20"/>
                <w:szCs w:val="20"/>
              </w:rPr>
            </w:pPr>
            <w:r w:rsidRPr="002D10CF">
              <w:rPr>
                <w:b/>
                <w:bCs/>
                <w:noProof/>
                <w:color w:val="FFFFFF"/>
                <w:sz w:val="20"/>
                <w:szCs w:val="20"/>
              </w:rPr>
              <w:t>PO2</w:t>
            </w:r>
          </w:p>
        </w:tc>
        <w:tc>
          <w:tcPr>
            <w:tcW w:w="659" w:type="pct"/>
            <w:tcBorders>
              <w:top w:val="single" w:sz="4" w:space="0" w:color="auto"/>
              <w:left w:val="nil"/>
              <w:bottom w:val="single" w:sz="4" w:space="0" w:color="auto"/>
              <w:right w:val="single" w:sz="4" w:space="0" w:color="auto"/>
            </w:tcBorders>
            <w:shd w:val="clear" w:color="000000" w:fill="0070C0"/>
            <w:hideMark/>
          </w:tcPr>
          <w:p w14:paraId="5A698B74" w14:textId="77777777" w:rsidR="001E1853" w:rsidRPr="002D10CF" w:rsidRDefault="001E1853" w:rsidP="006A7B4C">
            <w:pPr>
              <w:jc w:val="center"/>
              <w:rPr>
                <w:b/>
                <w:bCs/>
                <w:noProof/>
                <w:color w:val="FFFFFF"/>
                <w:sz w:val="20"/>
                <w:szCs w:val="20"/>
              </w:rPr>
            </w:pPr>
            <w:r w:rsidRPr="002D10CF">
              <w:rPr>
                <w:b/>
                <w:bCs/>
                <w:noProof/>
                <w:color w:val="FFFFFF"/>
                <w:sz w:val="20"/>
                <w:szCs w:val="20"/>
              </w:rPr>
              <w:t>PO3</w:t>
            </w:r>
          </w:p>
        </w:tc>
        <w:tc>
          <w:tcPr>
            <w:tcW w:w="659" w:type="pct"/>
            <w:tcBorders>
              <w:top w:val="single" w:sz="4" w:space="0" w:color="auto"/>
              <w:left w:val="nil"/>
              <w:bottom w:val="single" w:sz="4" w:space="0" w:color="auto"/>
              <w:right w:val="single" w:sz="4" w:space="0" w:color="auto"/>
            </w:tcBorders>
            <w:shd w:val="clear" w:color="000000" w:fill="0070C0"/>
            <w:hideMark/>
          </w:tcPr>
          <w:p w14:paraId="1E17D6A1" w14:textId="77777777" w:rsidR="001E1853" w:rsidRPr="002D10CF" w:rsidRDefault="001E1853" w:rsidP="006A7B4C">
            <w:pPr>
              <w:jc w:val="center"/>
              <w:rPr>
                <w:b/>
                <w:bCs/>
                <w:noProof/>
                <w:color w:val="FFFFFF"/>
                <w:sz w:val="20"/>
                <w:szCs w:val="20"/>
              </w:rPr>
            </w:pPr>
            <w:r w:rsidRPr="002D10CF">
              <w:rPr>
                <w:b/>
                <w:bCs/>
                <w:noProof/>
                <w:color w:val="FFFFFF"/>
                <w:sz w:val="20"/>
                <w:szCs w:val="20"/>
              </w:rPr>
              <w:t>PO4</w:t>
            </w:r>
          </w:p>
        </w:tc>
      </w:tr>
      <w:tr w:rsidR="001E1853" w:rsidRPr="002D10CF" w14:paraId="06AE39A0"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BDE3FF"/>
            <w:noWrap/>
            <w:hideMark/>
          </w:tcPr>
          <w:p w14:paraId="57454C9A" w14:textId="77777777" w:rsidR="001E1853" w:rsidRPr="002D10CF" w:rsidRDefault="001E1853" w:rsidP="006A7B4C">
            <w:pPr>
              <w:rPr>
                <w:b/>
                <w:bCs/>
                <w:noProof/>
                <w:color w:val="000000"/>
                <w:sz w:val="20"/>
                <w:szCs w:val="20"/>
              </w:rPr>
            </w:pPr>
            <w:r w:rsidRPr="002D10CF">
              <w:rPr>
                <w:b/>
                <w:bCs/>
                <w:noProof/>
                <w:color w:val="000000"/>
                <w:sz w:val="20"/>
                <w:szCs w:val="20"/>
              </w:rPr>
              <w:t>Base case</w:t>
            </w:r>
          </w:p>
        </w:tc>
        <w:tc>
          <w:tcPr>
            <w:tcW w:w="659" w:type="pct"/>
            <w:tcBorders>
              <w:top w:val="nil"/>
              <w:left w:val="nil"/>
              <w:bottom w:val="single" w:sz="4" w:space="0" w:color="auto"/>
              <w:right w:val="single" w:sz="4" w:space="0" w:color="auto"/>
            </w:tcBorders>
            <w:shd w:val="clear" w:color="000000" w:fill="BDE3FF"/>
            <w:noWrap/>
            <w:hideMark/>
          </w:tcPr>
          <w:p w14:paraId="18989553" w14:textId="77777777" w:rsidR="001E1853" w:rsidRPr="002D10CF" w:rsidRDefault="001E1853" w:rsidP="006A7B4C">
            <w:pPr>
              <w:rPr>
                <w:noProof/>
                <w:color w:val="000000"/>
                <w:sz w:val="20"/>
                <w:szCs w:val="20"/>
              </w:rPr>
            </w:pPr>
            <w:r w:rsidRPr="002D10CF">
              <w:rPr>
                <w:noProof/>
                <w:color w:val="000000"/>
                <w:sz w:val="20"/>
                <w:szCs w:val="20"/>
              </w:rPr>
              <w:t> </w:t>
            </w:r>
          </w:p>
        </w:tc>
        <w:tc>
          <w:tcPr>
            <w:tcW w:w="659" w:type="pct"/>
            <w:tcBorders>
              <w:top w:val="nil"/>
              <w:left w:val="nil"/>
              <w:bottom w:val="single" w:sz="4" w:space="0" w:color="auto"/>
              <w:right w:val="single" w:sz="4" w:space="0" w:color="auto"/>
            </w:tcBorders>
            <w:shd w:val="clear" w:color="000000" w:fill="BDE3FF"/>
            <w:noWrap/>
            <w:hideMark/>
          </w:tcPr>
          <w:p w14:paraId="30A561C7" w14:textId="77777777" w:rsidR="001E1853" w:rsidRPr="002D10CF" w:rsidRDefault="001E1853" w:rsidP="006A7B4C">
            <w:pPr>
              <w:rPr>
                <w:noProof/>
                <w:color w:val="000000"/>
                <w:sz w:val="20"/>
                <w:szCs w:val="20"/>
              </w:rPr>
            </w:pPr>
            <w:r w:rsidRPr="002D10CF">
              <w:rPr>
                <w:noProof/>
                <w:color w:val="000000"/>
                <w:sz w:val="20"/>
                <w:szCs w:val="20"/>
              </w:rPr>
              <w:t> </w:t>
            </w:r>
          </w:p>
        </w:tc>
        <w:tc>
          <w:tcPr>
            <w:tcW w:w="659" w:type="pct"/>
            <w:tcBorders>
              <w:top w:val="nil"/>
              <w:left w:val="nil"/>
              <w:bottom w:val="single" w:sz="4" w:space="0" w:color="auto"/>
              <w:right w:val="single" w:sz="4" w:space="0" w:color="auto"/>
            </w:tcBorders>
            <w:shd w:val="clear" w:color="000000" w:fill="BDE3FF"/>
            <w:noWrap/>
            <w:hideMark/>
          </w:tcPr>
          <w:p w14:paraId="53A4D3DA" w14:textId="77777777" w:rsidR="001E1853" w:rsidRPr="002D10CF" w:rsidRDefault="001E1853" w:rsidP="006A7B4C">
            <w:pPr>
              <w:rPr>
                <w:noProof/>
                <w:color w:val="000000"/>
                <w:sz w:val="20"/>
                <w:szCs w:val="20"/>
              </w:rPr>
            </w:pPr>
            <w:r w:rsidRPr="002D10CF">
              <w:rPr>
                <w:noProof/>
                <w:color w:val="000000"/>
                <w:sz w:val="20"/>
                <w:szCs w:val="20"/>
              </w:rPr>
              <w:t> </w:t>
            </w:r>
          </w:p>
        </w:tc>
        <w:tc>
          <w:tcPr>
            <w:tcW w:w="659" w:type="pct"/>
            <w:tcBorders>
              <w:top w:val="nil"/>
              <w:left w:val="nil"/>
              <w:bottom w:val="single" w:sz="4" w:space="0" w:color="auto"/>
              <w:right w:val="single" w:sz="4" w:space="0" w:color="auto"/>
            </w:tcBorders>
            <w:shd w:val="clear" w:color="000000" w:fill="BDE3FF"/>
            <w:noWrap/>
            <w:hideMark/>
          </w:tcPr>
          <w:p w14:paraId="756033C0" w14:textId="77777777" w:rsidR="001E1853" w:rsidRPr="002D10CF" w:rsidRDefault="001E1853" w:rsidP="006A7B4C">
            <w:pPr>
              <w:rPr>
                <w:noProof/>
                <w:color w:val="000000"/>
                <w:sz w:val="20"/>
                <w:szCs w:val="20"/>
              </w:rPr>
            </w:pPr>
            <w:r w:rsidRPr="002D10CF">
              <w:rPr>
                <w:noProof/>
                <w:color w:val="000000"/>
                <w:sz w:val="20"/>
                <w:szCs w:val="20"/>
              </w:rPr>
              <w:t> </w:t>
            </w:r>
          </w:p>
        </w:tc>
      </w:tr>
      <w:tr w:rsidR="001E1853" w:rsidRPr="002D10CF" w14:paraId="199F6723" w14:textId="77777777" w:rsidTr="006A7B4C">
        <w:trPr>
          <w:trHeight w:val="510"/>
        </w:trPr>
        <w:tc>
          <w:tcPr>
            <w:tcW w:w="2363" w:type="pct"/>
            <w:tcBorders>
              <w:top w:val="nil"/>
              <w:left w:val="single" w:sz="4" w:space="0" w:color="auto"/>
              <w:bottom w:val="single" w:sz="4" w:space="0" w:color="auto"/>
              <w:right w:val="single" w:sz="4" w:space="0" w:color="auto"/>
            </w:tcBorders>
            <w:shd w:val="clear" w:color="000000" w:fill="FFFFFF"/>
            <w:hideMark/>
          </w:tcPr>
          <w:p w14:paraId="64E55FC0" w14:textId="77777777" w:rsidR="001E1853" w:rsidRPr="002D10CF" w:rsidRDefault="001E1853" w:rsidP="006A7B4C">
            <w:pPr>
              <w:rPr>
                <w:b/>
                <w:bCs/>
                <w:noProof/>
                <w:color w:val="000000"/>
                <w:sz w:val="20"/>
                <w:szCs w:val="20"/>
              </w:rPr>
            </w:pPr>
            <w:r w:rsidRPr="002D10CF">
              <w:rPr>
                <w:b/>
                <w:bCs/>
                <w:noProof/>
                <w:color w:val="000000"/>
                <w:sz w:val="20"/>
                <w:szCs w:val="20"/>
              </w:rPr>
              <w:t>Total external costs savings (in million EUR), of which:</w:t>
            </w:r>
          </w:p>
        </w:tc>
        <w:tc>
          <w:tcPr>
            <w:tcW w:w="659" w:type="pct"/>
            <w:tcBorders>
              <w:top w:val="nil"/>
              <w:left w:val="nil"/>
              <w:bottom w:val="single" w:sz="4" w:space="0" w:color="auto"/>
              <w:right w:val="single" w:sz="4" w:space="0" w:color="auto"/>
            </w:tcBorders>
            <w:shd w:val="clear" w:color="000000" w:fill="FFFFFF"/>
            <w:noWrap/>
            <w:hideMark/>
          </w:tcPr>
          <w:p w14:paraId="4E974488" w14:textId="77777777" w:rsidR="001E1853" w:rsidRPr="002D10CF" w:rsidRDefault="001E1853" w:rsidP="006A7B4C">
            <w:pPr>
              <w:jc w:val="right"/>
              <w:rPr>
                <w:b/>
                <w:bCs/>
                <w:noProof/>
                <w:color w:val="000000"/>
                <w:sz w:val="20"/>
                <w:szCs w:val="20"/>
              </w:rPr>
            </w:pPr>
            <w:r w:rsidRPr="002D10CF">
              <w:rPr>
                <w:b/>
                <w:bCs/>
                <w:noProof/>
                <w:color w:val="000000"/>
                <w:sz w:val="20"/>
                <w:szCs w:val="20"/>
              </w:rPr>
              <w:t>12,685</w:t>
            </w:r>
          </w:p>
        </w:tc>
        <w:tc>
          <w:tcPr>
            <w:tcW w:w="659" w:type="pct"/>
            <w:tcBorders>
              <w:top w:val="nil"/>
              <w:left w:val="nil"/>
              <w:bottom w:val="single" w:sz="4" w:space="0" w:color="auto"/>
              <w:right w:val="single" w:sz="4" w:space="0" w:color="auto"/>
            </w:tcBorders>
            <w:shd w:val="clear" w:color="000000" w:fill="FFFFFF"/>
            <w:noWrap/>
            <w:hideMark/>
          </w:tcPr>
          <w:p w14:paraId="1C2CF1F2" w14:textId="77777777" w:rsidR="001E1853" w:rsidRPr="002D10CF" w:rsidRDefault="001E1853" w:rsidP="006A7B4C">
            <w:pPr>
              <w:jc w:val="right"/>
              <w:rPr>
                <w:b/>
                <w:bCs/>
                <w:noProof/>
                <w:color w:val="000000"/>
                <w:sz w:val="20"/>
                <w:szCs w:val="20"/>
              </w:rPr>
            </w:pPr>
            <w:r w:rsidRPr="002D10CF">
              <w:rPr>
                <w:b/>
                <w:bCs/>
                <w:noProof/>
                <w:color w:val="000000"/>
                <w:sz w:val="20"/>
                <w:szCs w:val="20"/>
              </w:rPr>
              <w:t>25,820</w:t>
            </w:r>
          </w:p>
        </w:tc>
        <w:tc>
          <w:tcPr>
            <w:tcW w:w="659" w:type="pct"/>
            <w:tcBorders>
              <w:top w:val="nil"/>
              <w:left w:val="nil"/>
              <w:bottom w:val="single" w:sz="4" w:space="0" w:color="auto"/>
              <w:right w:val="single" w:sz="4" w:space="0" w:color="auto"/>
            </w:tcBorders>
            <w:shd w:val="clear" w:color="000000" w:fill="FFFFFF"/>
            <w:noWrap/>
            <w:hideMark/>
          </w:tcPr>
          <w:p w14:paraId="034A90E8" w14:textId="77777777" w:rsidR="001E1853" w:rsidRPr="002D10CF" w:rsidRDefault="001E1853" w:rsidP="006A7B4C">
            <w:pPr>
              <w:jc w:val="right"/>
              <w:rPr>
                <w:b/>
                <w:bCs/>
                <w:noProof/>
                <w:color w:val="000000"/>
                <w:sz w:val="20"/>
                <w:szCs w:val="20"/>
              </w:rPr>
            </w:pPr>
            <w:r w:rsidRPr="002D10CF">
              <w:rPr>
                <w:b/>
                <w:bCs/>
                <w:noProof/>
                <w:color w:val="000000"/>
                <w:sz w:val="20"/>
                <w:szCs w:val="20"/>
              </w:rPr>
              <w:t>37,329</w:t>
            </w:r>
          </w:p>
        </w:tc>
        <w:tc>
          <w:tcPr>
            <w:tcW w:w="659" w:type="pct"/>
            <w:tcBorders>
              <w:top w:val="nil"/>
              <w:left w:val="nil"/>
              <w:bottom w:val="single" w:sz="4" w:space="0" w:color="auto"/>
              <w:right w:val="single" w:sz="4" w:space="0" w:color="auto"/>
            </w:tcBorders>
            <w:shd w:val="clear" w:color="000000" w:fill="FFFFFF"/>
            <w:noWrap/>
            <w:hideMark/>
          </w:tcPr>
          <w:p w14:paraId="5EA5CC67" w14:textId="77777777" w:rsidR="001E1853" w:rsidRPr="002D10CF" w:rsidRDefault="001E1853" w:rsidP="006A7B4C">
            <w:pPr>
              <w:jc w:val="right"/>
              <w:rPr>
                <w:b/>
                <w:bCs/>
                <w:noProof/>
                <w:color w:val="000000"/>
                <w:sz w:val="20"/>
                <w:szCs w:val="20"/>
              </w:rPr>
            </w:pPr>
            <w:r w:rsidRPr="002D10CF">
              <w:rPr>
                <w:b/>
                <w:bCs/>
                <w:noProof/>
                <w:color w:val="000000"/>
                <w:sz w:val="20"/>
                <w:szCs w:val="20"/>
              </w:rPr>
              <w:t>28,644</w:t>
            </w:r>
          </w:p>
        </w:tc>
      </w:tr>
      <w:tr w:rsidR="001E1853" w:rsidRPr="002D10CF" w14:paraId="399F6BB3"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13445A6C" w14:textId="77777777" w:rsidR="001E1853" w:rsidRPr="002D10CF" w:rsidRDefault="001E1853" w:rsidP="006A7B4C">
            <w:pPr>
              <w:ind w:firstLineChars="100" w:firstLine="200"/>
              <w:rPr>
                <w:noProof/>
                <w:color w:val="000000"/>
                <w:sz w:val="20"/>
                <w:szCs w:val="20"/>
              </w:rPr>
            </w:pPr>
            <w:r w:rsidRPr="002D10CF">
              <w:rPr>
                <w:noProof/>
                <w:color w:val="000000"/>
                <w:sz w:val="20"/>
                <w:szCs w:val="20"/>
              </w:rPr>
              <w:t xml:space="preserve"> </w:t>
            </w:r>
            <w:r>
              <w:rPr>
                <w:noProof/>
                <w:color w:val="000000"/>
                <w:sz w:val="20"/>
                <w:szCs w:val="20"/>
              </w:rPr>
              <w:t>CO</w:t>
            </w:r>
            <w:r w:rsidRPr="00514383">
              <w:rPr>
                <w:noProof/>
                <w:color w:val="000000"/>
                <w:sz w:val="20"/>
                <w:szCs w:val="20"/>
                <w:vertAlign w:val="subscript"/>
              </w:rPr>
              <w:t>2</w:t>
            </w:r>
            <w:r w:rsidRPr="002D10CF">
              <w:rPr>
                <w:noProof/>
                <w:color w:val="000000"/>
                <w:sz w:val="20"/>
                <w:szCs w:val="20"/>
              </w:rPr>
              <w:t xml:space="preserve"> emissions </w:t>
            </w:r>
          </w:p>
        </w:tc>
        <w:tc>
          <w:tcPr>
            <w:tcW w:w="659" w:type="pct"/>
            <w:tcBorders>
              <w:top w:val="nil"/>
              <w:left w:val="nil"/>
              <w:bottom w:val="single" w:sz="4" w:space="0" w:color="auto"/>
              <w:right w:val="single" w:sz="4" w:space="0" w:color="auto"/>
            </w:tcBorders>
            <w:shd w:val="clear" w:color="000000" w:fill="FFFFFF"/>
            <w:noWrap/>
            <w:hideMark/>
          </w:tcPr>
          <w:p w14:paraId="404D9742" w14:textId="77777777" w:rsidR="001E1853" w:rsidRPr="002D10CF" w:rsidRDefault="001E1853" w:rsidP="006A7B4C">
            <w:pPr>
              <w:jc w:val="right"/>
              <w:rPr>
                <w:noProof/>
                <w:color w:val="000000"/>
                <w:sz w:val="20"/>
                <w:szCs w:val="20"/>
              </w:rPr>
            </w:pPr>
            <w:r w:rsidRPr="002D10CF">
              <w:rPr>
                <w:noProof/>
                <w:color w:val="000000"/>
                <w:sz w:val="20"/>
                <w:szCs w:val="20"/>
              </w:rPr>
              <w:t>2,367</w:t>
            </w:r>
          </w:p>
        </w:tc>
        <w:tc>
          <w:tcPr>
            <w:tcW w:w="659" w:type="pct"/>
            <w:tcBorders>
              <w:top w:val="nil"/>
              <w:left w:val="nil"/>
              <w:bottom w:val="single" w:sz="4" w:space="0" w:color="auto"/>
              <w:right w:val="single" w:sz="4" w:space="0" w:color="auto"/>
            </w:tcBorders>
            <w:shd w:val="clear" w:color="000000" w:fill="FFFFFF"/>
            <w:noWrap/>
            <w:hideMark/>
          </w:tcPr>
          <w:p w14:paraId="7BB09763" w14:textId="77777777" w:rsidR="001E1853" w:rsidRPr="002D10CF" w:rsidRDefault="001E1853" w:rsidP="006A7B4C">
            <w:pPr>
              <w:jc w:val="right"/>
              <w:rPr>
                <w:noProof/>
                <w:color w:val="000000"/>
                <w:sz w:val="20"/>
                <w:szCs w:val="20"/>
              </w:rPr>
            </w:pPr>
            <w:r w:rsidRPr="002D10CF">
              <w:rPr>
                <w:noProof/>
                <w:color w:val="000000"/>
                <w:sz w:val="20"/>
                <w:szCs w:val="20"/>
              </w:rPr>
              <w:t>4,696</w:t>
            </w:r>
          </w:p>
        </w:tc>
        <w:tc>
          <w:tcPr>
            <w:tcW w:w="659" w:type="pct"/>
            <w:tcBorders>
              <w:top w:val="nil"/>
              <w:left w:val="nil"/>
              <w:bottom w:val="single" w:sz="4" w:space="0" w:color="auto"/>
              <w:right w:val="single" w:sz="4" w:space="0" w:color="auto"/>
            </w:tcBorders>
            <w:shd w:val="clear" w:color="000000" w:fill="FFFFFF"/>
            <w:noWrap/>
            <w:hideMark/>
          </w:tcPr>
          <w:p w14:paraId="40ACBE0E" w14:textId="77777777" w:rsidR="001E1853" w:rsidRPr="002D10CF" w:rsidRDefault="001E1853" w:rsidP="006A7B4C">
            <w:pPr>
              <w:jc w:val="right"/>
              <w:rPr>
                <w:noProof/>
                <w:color w:val="000000"/>
                <w:sz w:val="20"/>
                <w:szCs w:val="20"/>
              </w:rPr>
            </w:pPr>
            <w:r w:rsidRPr="002D10CF">
              <w:rPr>
                <w:noProof/>
                <w:color w:val="000000"/>
                <w:sz w:val="20"/>
                <w:szCs w:val="20"/>
              </w:rPr>
              <w:t>6,778</w:t>
            </w:r>
          </w:p>
        </w:tc>
        <w:tc>
          <w:tcPr>
            <w:tcW w:w="659" w:type="pct"/>
            <w:tcBorders>
              <w:top w:val="nil"/>
              <w:left w:val="nil"/>
              <w:bottom w:val="single" w:sz="4" w:space="0" w:color="auto"/>
              <w:right w:val="single" w:sz="4" w:space="0" w:color="auto"/>
            </w:tcBorders>
            <w:shd w:val="clear" w:color="000000" w:fill="FFFFFF"/>
            <w:noWrap/>
            <w:hideMark/>
          </w:tcPr>
          <w:p w14:paraId="3E03FA20" w14:textId="77777777" w:rsidR="001E1853" w:rsidRPr="002D10CF" w:rsidRDefault="001E1853" w:rsidP="006A7B4C">
            <w:pPr>
              <w:jc w:val="right"/>
              <w:rPr>
                <w:noProof/>
                <w:color w:val="000000"/>
                <w:sz w:val="20"/>
                <w:szCs w:val="20"/>
              </w:rPr>
            </w:pPr>
            <w:r w:rsidRPr="002D10CF">
              <w:rPr>
                <w:noProof/>
                <w:color w:val="000000"/>
                <w:sz w:val="20"/>
                <w:szCs w:val="20"/>
              </w:rPr>
              <w:t>5,176</w:t>
            </w:r>
          </w:p>
        </w:tc>
      </w:tr>
      <w:tr w:rsidR="001E1853" w:rsidRPr="002D10CF" w14:paraId="468F8A9E"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33F39635" w14:textId="77777777" w:rsidR="001E1853" w:rsidRPr="002D10CF" w:rsidRDefault="001E1853" w:rsidP="006A7B4C">
            <w:pPr>
              <w:ind w:firstLineChars="100" w:firstLine="200"/>
              <w:rPr>
                <w:noProof/>
                <w:color w:val="000000"/>
                <w:sz w:val="20"/>
                <w:szCs w:val="20"/>
              </w:rPr>
            </w:pPr>
            <w:r w:rsidRPr="002D10CF">
              <w:rPr>
                <w:noProof/>
                <w:color w:val="000000"/>
                <w:sz w:val="20"/>
                <w:szCs w:val="20"/>
              </w:rPr>
              <w:t xml:space="preserve"> Air pollutant emissions </w:t>
            </w:r>
          </w:p>
        </w:tc>
        <w:tc>
          <w:tcPr>
            <w:tcW w:w="659" w:type="pct"/>
            <w:tcBorders>
              <w:top w:val="nil"/>
              <w:left w:val="nil"/>
              <w:bottom w:val="single" w:sz="4" w:space="0" w:color="auto"/>
              <w:right w:val="single" w:sz="4" w:space="0" w:color="auto"/>
            </w:tcBorders>
            <w:shd w:val="clear" w:color="000000" w:fill="FFFFFF"/>
            <w:noWrap/>
            <w:hideMark/>
          </w:tcPr>
          <w:p w14:paraId="22D6437A" w14:textId="77777777" w:rsidR="001E1853" w:rsidRPr="002D10CF" w:rsidRDefault="001E1853" w:rsidP="006A7B4C">
            <w:pPr>
              <w:jc w:val="right"/>
              <w:rPr>
                <w:noProof/>
                <w:color w:val="000000"/>
                <w:sz w:val="20"/>
                <w:szCs w:val="20"/>
              </w:rPr>
            </w:pPr>
            <w:r w:rsidRPr="002D10CF">
              <w:rPr>
                <w:noProof/>
                <w:color w:val="000000"/>
                <w:sz w:val="20"/>
                <w:szCs w:val="20"/>
              </w:rPr>
              <w:t>218</w:t>
            </w:r>
          </w:p>
        </w:tc>
        <w:tc>
          <w:tcPr>
            <w:tcW w:w="659" w:type="pct"/>
            <w:tcBorders>
              <w:top w:val="nil"/>
              <w:left w:val="nil"/>
              <w:bottom w:val="single" w:sz="4" w:space="0" w:color="auto"/>
              <w:right w:val="single" w:sz="4" w:space="0" w:color="auto"/>
            </w:tcBorders>
            <w:shd w:val="clear" w:color="000000" w:fill="FFFFFF"/>
            <w:noWrap/>
            <w:hideMark/>
          </w:tcPr>
          <w:p w14:paraId="10E75918" w14:textId="77777777" w:rsidR="001E1853" w:rsidRPr="002D10CF" w:rsidRDefault="001E1853" w:rsidP="006A7B4C">
            <w:pPr>
              <w:jc w:val="right"/>
              <w:rPr>
                <w:noProof/>
                <w:color w:val="000000"/>
                <w:sz w:val="20"/>
                <w:szCs w:val="20"/>
              </w:rPr>
            </w:pPr>
            <w:r w:rsidRPr="002D10CF">
              <w:rPr>
                <w:noProof/>
                <w:color w:val="000000"/>
                <w:sz w:val="20"/>
                <w:szCs w:val="20"/>
              </w:rPr>
              <w:t>455</w:t>
            </w:r>
          </w:p>
        </w:tc>
        <w:tc>
          <w:tcPr>
            <w:tcW w:w="659" w:type="pct"/>
            <w:tcBorders>
              <w:top w:val="nil"/>
              <w:left w:val="nil"/>
              <w:bottom w:val="single" w:sz="4" w:space="0" w:color="auto"/>
              <w:right w:val="single" w:sz="4" w:space="0" w:color="auto"/>
            </w:tcBorders>
            <w:shd w:val="clear" w:color="000000" w:fill="FFFFFF"/>
            <w:noWrap/>
            <w:hideMark/>
          </w:tcPr>
          <w:p w14:paraId="1651A2EC" w14:textId="77777777" w:rsidR="001E1853" w:rsidRPr="002D10CF" w:rsidRDefault="001E1853" w:rsidP="006A7B4C">
            <w:pPr>
              <w:jc w:val="right"/>
              <w:rPr>
                <w:noProof/>
                <w:color w:val="000000"/>
                <w:sz w:val="20"/>
                <w:szCs w:val="20"/>
              </w:rPr>
            </w:pPr>
            <w:r w:rsidRPr="002D10CF">
              <w:rPr>
                <w:noProof/>
                <w:color w:val="000000"/>
                <w:sz w:val="20"/>
                <w:szCs w:val="20"/>
              </w:rPr>
              <w:t>670</w:t>
            </w:r>
          </w:p>
        </w:tc>
        <w:tc>
          <w:tcPr>
            <w:tcW w:w="659" w:type="pct"/>
            <w:tcBorders>
              <w:top w:val="nil"/>
              <w:left w:val="nil"/>
              <w:bottom w:val="single" w:sz="4" w:space="0" w:color="auto"/>
              <w:right w:val="single" w:sz="4" w:space="0" w:color="auto"/>
            </w:tcBorders>
            <w:shd w:val="clear" w:color="000000" w:fill="FFFFFF"/>
            <w:noWrap/>
            <w:hideMark/>
          </w:tcPr>
          <w:p w14:paraId="54E3E9DC" w14:textId="77777777" w:rsidR="001E1853" w:rsidRPr="002D10CF" w:rsidRDefault="001E1853" w:rsidP="006A7B4C">
            <w:pPr>
              <w:jc w:val="right"/>
              <w:rPr>
                <w:noProof/>
                <w:color w:val="000000"/>
                <w:sz w:val="20"/>
                <w:szCs w:val="20"/>
              </w:rPr>
            </w:pPr>
            <w:r w:rsidRPr="002D10CF">
              <w:rPr>
                <w:noProof/>
                <w:color w:val="000000"/>
                <w:sz w:val="20"/>
                <w:szCs w:val="20"/>
              </w:rPr>
              <w:t>502</w:t>
            </w:r>
          </w:p>
        </w:tc>
      </w:tr>
      <w:tr w:rsidR="001E1853" w:rsidRPr="002D10CF" w14:paraId="201DFA39"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0BC5A63E" w14:textId="77777777" w:rsidR="001E1853" w:rsidRPr="002D10CF" w:rsidRDefault="001E1853" w:rsidP="006A7B4C">
            <w:pPr>
              <w:ind w:firstLineChars="100" w:firstLine="200"/>
              <w:rPr>
                <w:noProof/>
                <w:color w:val="000000"/>
                <w:sz w:val="20"/>
                <w:szCs w:val="20"/>
              </w:rPr>
            </w:pPr>
            <w:r w:rsidRPr="002D10CF">
              <w:rPr>
                <w:noProof/>
                <w:color w:val="000000"/>
                <w:sz w:val="20"/>
                <w:szCs w:val="20"/>
              </w:rPr>
              <w:t xml:space="preserve"> Fatalities and injuries </w:t>
            </w:r>
          </w:p>
        </w:tc>
        <w:tc>
          <w:tcPr>
            <w:tcW w:w="659" w:type="pct"/>
            <w:tcBorders>
              <w:top w:val="nil"/>
              <w:left w:val="nil"/>
              <w:bottom w:val="single" w:sz="4" w:space="0" w:color="auto"/>
              <w:right w:val="single" w:sz="4" w:space="0" w:color="auto"/>
            </w:tcBorders>
            <w:shd w:val="clear" w:color="000000" w:fill="FFFFFF"/>
            <w:noWrap/>
            <w:hideMark/>
          </w:tcPr>
          <w:p w14:paraId="38876001" w14:textId="77777777" w:rsidR="001E1853" w:rsidRPr="002D10CF" w:rsidRDefault="001E1853" w:rsidP="006A7B4C">
            <w:pPr>
              <w:jc w:val="right"/>
              <w:rPr>
                <w:noProof/>
                <w:color w:val="000000"/>
                <w:sz w:val="20"/>
                <w:szCs w:val="20"/>
              </w:rPr>
            </w:pPr>
            <w:r w:rsidRPr="002D10CF">
              <w:rPr>
                <w:noProof/>
                <w:color w:val="000000"/>
                <w:sz w:val="20"/>
                <w:szCs w:val="20"/>
              </w:rPr>
              <w:t>7,606</w:t>
            </w:r>
          </w:p>
        </w:tc>
        <w:tc>
          <w:tcPr>
            <w:tcW w:w="659" w:type="pct"/>
            <w:tcBorders>
              <w:top w:val="nil"/>
              <w:left w:val="nil"/>
              <w:bottom w:val="single" w:sz="4" w:space="0" w:color="auto"/>
              <w:right w:val="single" w:sz="4" w:space="0" w:color="auto"/>
            </w:tcBorders>
            <w:shd w:val="clear" w:color="000000" w:fill="FFFFFF"/>
            <w:noWrap/>
            <w:hideMark/>
          </w:tcPr>
          <w:p w14:paraId="3C7AEB24" w14:textId="77777777" w:rsidR="001E1853" w:rsidRPr="002D10CF" w:rsidRDefault="001E1853" w:rsidP="006A7B4C">
            <w:pPr>
              <w:jc w:val="right"/>
              <w:rPr>
                <w:noProof/>
                <w:color w:val="000000"/>
                <w:sz w:val="20"/>
                <w:szCs w:val="20"/>
              </w:rPr>
            </w:pPr>
            <w:r w:rsidRPr="002D10CF">
              <w:rPr>
                <w:noProof/>
                <w:color w:val="000000"/>
                <w:sz w:val="20"/>
                <w:szCs w:val="20"/>
              </w:rPr>
              <w:t>14,807</w:t>
            </w:r>
          </w:p>
        </w:tc>
        <w:tc>
          <w:tcPr>
            <w:tcW w:w="659" w:type="pct"/>
            <w:tcBorders>
              <w:top w:val="nil"/>
              <w:left w:val="nil"/>
              <w:bottom w:val="single" w:sz="4" w:space="0" w:color="auto"/>
              <w:right w:val="single" w:sz="4" w:space="0" w:color="auto"/>
            </w:tcBorders>
            <w:shd w:val="clear" w:color="000000" w:fill="FFFFFF"/>
            <w:noWrap/>
            <w:hideMark/>
          </w:tcPr>
          <w:p w14:paraId="529BA9AE" w14:textId="77777777" w:rsidR="001E1853" w:rsidRPr="002D10CF" w:rsidRDefault="001E1853" w:rsidP="006A7B4C">
            <w:pPr>
              <w:jc w:val="right"/>
              <w:rPr>
                <w:noProof/>
                <w:color w:val="000000"/>
                <w:sz w:val="20"/>
                <w:szCs w:val="20"/>
              </w:rPr>
            </w:pPr>
            <w:r w:rsidRPr="002D10CF">
              <w:rPr>
                <w:noProof/>
                <w:color w:val="000000"/>
                <w:sz w:val="20"/>
                <w:szCs w:val="20"/>
              </w:rPr>
              <w:t>21,297</w:t>
            </w:r>
          </w:p>
        </w:tc>
        <w:tc>
          <w:tcPr>
            <w:tcW w:w="659" w:type="pct"/>
            <w:tcBorders>
              <w:top w:val="nil"/>
              <w:left w:val="nil"/>
              <w:bottom w:val="single" w:sz="4" w:space="0" w:color="auto"/>
              <w:right w:val="single" w:sz="4" w:space="0" w:color="auto"/>
            </w:tcBorders>
            <w:shd w:val="clear" w:color="000000" w:fill="FFFFFF"/>
            <w:noWrap/>
            <w:hideMark/>
          </w:tcPr>
          <w:p w14:paraId="38C95DBD" w14:textId="77777777" w:rsidR="001E1853" w:rsidRPr="002D10CF" w:rsidRDefault="001E1853" w:rsidP="006A7B4C">
            <w:pPr>
              <w:jc w:val="right"/>
              <w:rPr>
                <w:noProof/>
                <w:color w:val="000000"/>
                <w:sz w:val="20"/>
                <w:szCs w:val="20"/>
              </w:rPr>
            </w:pPr>
            <w:r w:rsidRPr="002D10CF">
              <w:rPr>
                <w:noProof/>
                <w:color w:val="000000"/>
                <w:sz w:val="20"/>
                <w:szCs w:val="20"/>
              </w:rPr>
              <w:t>16,470</w:t>
            </w:r>
          </w:p>
        </w:tc>
      </w:tr>
      <w:tr w:rsidR="001E1853" w:rsidRPr="002D10CF" w14:paraId="6A19B584"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39151906" w14:textId="77777777" w:rsidR="001E1853" w:rsidRPr="002D10CF" w:rsidRDefault="001E1853" w:rsidP="006A7B4C">
            <w:pPr>
              <w:ind w:firstLineChars="100" w:firstLine="200"/>
              <w:rPr>
                <w:noProof/>
                <w:color w:val="000000"/>
                <w:sz w:val="20"/>
                <w:szCs w:val="20"/>
              </w:rPr>
            </w:pPr>
            <w:r w:rsidRPr="002D10CF">
              <w:rPr>
                <w:noProof/>
                <w:color w:val="000000"/>
                <w:sz w:val="20"/>
                <w:szCs w:val="20"/>
              </w:rPr>
              <w:t xml:space="preserve"> Road congestion </w:t>
            </w:r>
          </w:p>
        </w:tc>
        <w:tc>
          <w:tcPr>
            <w:tcW w:w="659" w:type="pct"/>
            <w:tcBorders>
              <w:top w:val="nil"/>
              <w:left w:val="nil"/>
              <w:bottom w:val="single" w:sz="4" w:space="0" w:color="auto"/>
              <w:right w:val="single" w:sz="4" w:space="0" w:color="auto"/>
            </w:tcBorders>
            <w:shd w:val="clear" w:color="000000" w:fill="FFFFFF"/>
            <w:noWrap/>
            <w:hideMark/>
          </w:tcPr>
          <w:p w14:paraId="796DDD7C" w14:textId="77777777" w:rsidR="001E1853" w:rsidRPr="002D10CF" w:rsidRDefault="001E1853" w:rsidP="006A7B4C">
            <w:pPr>
              <w:jc w:val="right"/>
              <w:rPr>
                <w:noProof/>
                <w:color w:val="000000"/>
                <w:sz w:val="20"/>
                <w:szCs w:val="20"/>
              </w:rPr>
            </w:pPr>
            <w:r w:rsidRPr="002D10CF">
              <w:rPr>
                <w:noProof/>
                <w:color w:val="000000"/>
                <w:sz w:val="20"/>
                <w:szCs w:val="20"/>
              </w:rPr>
              <w:t>1,758</w:t>
            </w:r>
          </w:p>
        </w:tc>
        <w:tc>
          <w:tcPr>
            <w:tcW w:w="659" w:type="pct"/>
            <w:tcBorders>
              <w:top w:val="nil"/>
              <w:left w:val="nil"/>
              <w:bottom w:val="single" w:sz="4" w:space="0" w:color="auto"/>
              <w:right w:val="single" w:sz="4" w:space="0" w:color="auto"/>
            </w:tcBorders>
            <w:shd w:val="clear" w:color="000000" w:fill="FFFFFF"/>
            <w:noWrap/>
            <w:hideMark/>
          </w:tcPr>
          <w:p w14:paraId="06D6C3E1" w14:textId="77777777" w:rsidR="001E1853" w:rsidRPr="002D10CF" w:rsidRDefault="001E1853" w:rsidP="006A7B4C">
            <w:pPr>
              <w:jc w:val="right"/>
              <w:rPr>
                <w:noProof/>
                <w:color w:val="000000"/>
                <w:sz w:val="20"/>
                <w:szCs w:val="20"/>
              </w:rPr>
            </w:pPr>
            <w:r w:rsidRPr="002D10CF">
              <w:rPr>
                <w:noProof/>
                <w:color w:val="000000"/>
                <w:sz w:val="20"/>
                <w:szCs w:val="20"/>
              </w:rPr>
              <w:t>4,352</w:t>
            </w:r>
          </w:p>
        </w:tc>
        <w:tc>
          <w:tcPr>
            <w:tcW w:w="659" w:type="pct"/>
            <w:tcBorders>
              <w:top w:val="nil"/>
              <w:left w:val="nil"/>
              <w:bottom w:val="single" w:sz="4" w:space="0" w:color="auto"/>
              <w:right w:val="single" w:sz="4" w:space="0" w:color="auto"/>
            </w:tcBorders>
            <w:shd w:val="clear" w:color="000000" w:fill="FFFFFF"/>
            <w:noWrap/>
            <w:hideMark/>
          </w:tcPr>
          <w:p w14:paraId="78253C84" w14:textId="77777777" w:rsidR="001E1853" w:rsidRPr="002D10CF" w:rsidRDefault="001E1853" w:rsidP="006A7B4C">
            <w:pPr>
              <w:jc w:val="right"/>
              <w:rPr>
                <w:noProof/>
                <w:color w:val="000000"/>
                <w:sz w:val="20"/>
                <w:szCs w:val="20"/>
              </w:rPr>
            </w:pPr>
            <w:r w:rsidRPr="002D10CF">
              <w:rPr>
                <w:noProof/>
                <w:color w:val="000000"/>
                <w:sz w:val="20"/>
                <w:szCs w:val="20"/>
              </w:rPr>
              <w:t>6,438</w:t>
            </w:r>
          </w:p>
        </w:tc>
        <w:tc>
          <w:tcPr>
            <w:tcW w:w="659" w:type="pct"/>
            <w:tcBorders>
              <w:top w:val="nil"/>
              <w:left w:val="nil"/>
              <w:bottom w:val="single" w:sz="4" w:space="0" w:color="auto"/>
              <w:right w:val="single" w:sz="4" w:space="0" w:color="auto"/>
            </w:tcBorders>
            <w:shd w:val="clear" w:color="000000" w:fill="FFFFFF"/>
            <w:noWrap/>
            <w:hideMark/>
          </w:tcPr>
          <w:p w14:paraId="478F937B" w14:textId="77777777" w:rsidR="001E1853" w:rsidRPr="002D10CF" w:rsidRDefault="001E1853" w:rsidP="006A7B4C">
            <w:pPr>
              <w:jc w:val="right"/>
              <w:rPr>
                <w:noProof/>
                <w:color w:val="000000"/>
                <w:sz w:val="20"/>
                <w:szCs w:val="20"/>
              </w:rPr>
            </w:pPr>
            <w:r w:rsidRPr="002D10CF">
              <w:rPr>
                <w:noProof/>
                <w:color w:val="000000"/>
                <w:sz w:val="20"/>
                <w:szCs w:val="20"/>
              </w:rPr>
              <w:t>4,833</w:t>
            </w:r>
          </w:p>
        </w:tc>
      </w:tr>
      <w:tr w:rsidR="001E1853" w:rsidRPr="002D10CF" w14:paraId="595868F7"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77556F01" w14:textId="77777777" w:rsidR="001E1853" w:rsidRPr="002D10CF" w:rsidRDefault="001E1853" w:rsidP="006A7B4C">
            <w:pPr>
              <w:ind w:firstLineChars="100" w:firstLine="200"/>
              <w:rPr>
                <w:noProof/>
                <w:color w:val="000000"/>
                <w:sz w:val="20"/>
                <w:szCs w:val="20"/>
              </w:rPr>
            </w:pPr>
            <w:r w:rsidRPr="002D10CF">
              <w:rPr>
                <w:noProof/>
                <w:color w:val="000000"/>
                <w:sz w:val="20"/>
                <w:szCs w:val="20"/>
              </w:rPr>
              <w:t xml:space="preserve"> Noise emissions </w:t>
            </w:r>
          </w:p>
        </w:tc>
        <w:tc>
          <w:tcPr>
            <w:tcW w:w="659" w:type="pct"/>
            <w:tcBorders>
              <w:top w:val="nil"/>
              <w:left w:val="nil"/>
              <w:bottom w:val="single" w:sz="4" w:space="0" w:color="auto"/>
              <w:right w:val="single" w:sz="4" w:space="0" w:color="auto"/>
            </w:tcBorders>
            <w:shd w:val="clear" w:color="000000" w:fill="FFFFFF"/>
            <w:noWrap/>
            <w:hideMark/>
          </w:tcPr>
          <w:p w14:paraId="23906257" w14:textId="77777777" w:rsidR="001E1853" w:rsidRPr="002D10CF" w:rsidRDefault="001E1853" w:rsidP="006A7B4C">
            <w:pPr>
              <w:jc w:val="right"/>
              <w:rPr>
                <w:noProof/>
                <w:color w:val="000000"/>
                <w:sz w:val="20"/>
                <w:szCs w:val="20"/>
              </w:rPr>
            </w:pPr>
            <w:r w:rsidRPr="002D10CF">
              <w:rPr>
                <w:noProof/>
                <w:color w:val="000000"/>
                <w:sz w:val="20"/>
                <w:szCs w:val="20"/>
              </w:rPr>
              <w:t>735</w:t>
            </w:r>
          </w:p>
        </w:tc>
        <w:tc>
          <w:tcPr>
            <w:tcW w:w="659" w:type="pct"/>
            <w:tcBorders>
              <w:top w:val="nil"/>
              <w:left w:val="nil"/>
              <w:bottom w:val="single" w:sz="4" w:space="0" w:color="auto"/>
              <w:right w:val="single" w:sz="4" w:space="0" w:color="auto"/>
            </w:tcBorders>
            <w:shd w:val="clear" w:color="000000" w:fill="FFFFFF"/>
            <w:noWrap/>
            <w:hideMark/>
          </w:tcPr>
          <w:p w14:paraId="75196983" w14:textId="77777777" w:rsidR="001E1853" w:rsidRPr="002D10CF" w:rsidRDefault="001E1853" w:rsidP="006A7B4C">
            <w:pPr>
              <w:jc w:val="right"/>
              <w:rPr>
                <w:noProof/>
                <w:color w:val="000000"/>
                <w:sz w:val="20"/>
                <w:szCs w:val="20"/>
              </w:rPr>
            </w:pPr>
            <w:r w:rsidRPr="002D10CF">
              <w:rPr>
                <w:noProof/>
                <w:color w:val="000000"/>
                <w:sz w:val="20"/>
                <w:szCs w:val="20"/>
              </w:rPr>
              <w:t>1,509</w:t>
            </w:r>
          </w:p>
        </w:tc>
        <w:tc>
          <w:tcPr>
            <w:tcW w:w="659" w:type="pct"/>
            <w:tcBorders>
              <w:top w:val="nil"/>
              <w:left w:val="nil"/>
              <w:bottom w:val="single" w:sz="4" w:space="0" w:color="auto"/>
              <w:right w:val="single" w:sz="4" w:space="0" w:color="auto"/>
            </w:tcBorders>
            <w:shd w:val="clear" w:color="000000" w:fill="FFFFFF"/>
            <w:noWrap/>
            <w:hideMark/>
          </w:tcPr>
          <w:p w14:paraId="6AF1B27C" w14:textId="77777777" w:rsidR="001E1853" w:rsidRPr="002D10CF" w:rsidRDefault="001E1853" w:rsidP="006A7B4C">
            <w:pPr>
              <w:jc w:val="right"/>
              <w:rPr>
                <w:noProof/>
                <w:color w:val="000000"/>
                <w:sz w:val="20"/>
                <w:szCs w:val="20"/>
              </w:rPr>
            </w:pPr>
            <w:r w:rsidRPr="002D10CF">
              <w:rPr>
                <w:noProof/>
                <w:color w:val="000000"/>
                <w:sz w:val="20"/>
                <w:szCs w:val="20"/>
              </w:rPr>
              <w:t>2,146</w:t>
            </w:r>
          </w:p>
        </w:tc>
        <w:tc>
          <w:tcPr>
            <w:tcW w:w="659" w:type="pct"/>
            <w:tcBorders>
              <w:top w:val="nil"/>
              <w:left w:val="nil"/>
              <w:bottom w:val="single" w:sz="4" w:space="0" w:color="auto"/>
              <w:right w:val="single" w:sz="4" w:space="0" w:color="auto"/>
            </w:tcBorders>
            <w:shd w:val="clear" w:color="000000" w:fill="FFFFFF"/>
            <w:noWrap/>
            <w:hideMark/>
          </w:tcPr>
          <w:p w14:paraId="55592E77" w14:textId="77777777" w:rsidR="001E1853" w:rsidRPr="002D10CF" w:rsidRDefault="001E1853" w:rsidP="006A7B4C">
            <w:pPr>
              <w:jc w:val="right"/>
              <w:rPr>
                <w:noProof/>
                <w:color w:val="000000"/>
                <w:sz w:val="20"/>
                <w:szCs w:val="20"/>
              </w:rPr>
            </w:pPr>
            <w:r w:rsidRPr="002D10CF">
              <w:rPr>
                <w:noProof/>
                <w:color w:val="000000"/>
                <w:sz w:val="20"/>
                <w:szCs w:val="20"/>
              </w:rPr>
              <w:t>1,663</w:t>
            </w:r>
          </w:p>
        </w:tc>
      </w:tr>
      <w:tr w:rsidR="001E1853" w:rsidRPr="002D10CF" w14:paraId="12276EE9"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BDE3FF"/>
            <w:noWrap/>
            <w:hideMark/>
          </w:tcPr>
          <w:p w14:paraId="2FBFAE7D" w14:textId="77777777" w:rsidR="001E1853" w:rsidRPr="002D10CF" w:rsidRDefault="001E1853" w:rsidP="006A7B4C">
            <w:pPr>
              <w:rPr>
                <w:b/>
                <w:bCs/>
                <w:noProof/>
                <w:color w:val="000000"/>
                <w:sz w:val="20"/>
                <w:szCs w:val="20"/>
              </w:rPr>
            </w:pPr>
            <w:r w:rsidRPr="002D10CF">
              <w:rPr>
                <w:b/>
                <w:bCs/>
                <w:noProof/>
                <w:color w:val="000000"/>
                <w:sz w:val="20"/>
                <w:szCs w:val="20"/>
              </w:rPr>
              <w:t xml:space="preserve">Low </w:t>
            </w:r>
            <w:r>
              <w:rPr>
                <w:b/>
                <w:bCs/>
                <w:noProof/>
                <w:color w:val="000000"/>
                <w:sz w:val="20"/>
                <w:szCs w:val="20"/>
              </w:rPr>
              <w:t xml:space="preserve">modal shift </w:t>
            </w:r>
            <w:r w:rsidRPr="002D10CF">
              <w:rPr>
                <w:b/>
                <w:bCs/>
                <w:noProof/>
                <w:color w:val="000000"/>
                <w:sz w:val="20"/>
                <w:szCs w:val="20"/>
              </w:rPr>
              <w:t>case</w:t>
            </w:r>
          </w:p>
        </w:tc>
        <w:tc>
          <w:tcPr>
            <w:tcW w:w="659" w:type="pct"/>
            <w:tcBorders>
              <w:top w:val="nil"/>
              <w:left w:val="nil"/>
              <w:bottom w:val="single" w:sz="4" w:space="0" w:color="auto"/>
              <w:right w:val="single" w:sz="4" w:space="0" w:color="auto"/>
            </w:tcBorders>
            <w:shd w:val="clear" w:color="000000" w:fill="BDE3FF"/>
            <w:noWrap/>
            <w:hideMark/>
          </w:tcPr>
          <w:p w14:paraId="6795B452" w14:textId="77777777" w:rsidR="001E1853" w:rsidRPr="002D10CF" w:rsidRDefault="001E1853" w:rsidP="006A7B4C">
            <w:pPr>
              <w:rPr>
                <w:b/>
                <w:bCs/>
                <w:noProof/>
                <w:color w:val="000000"/>
                <w:sz w:val="20"/>
                <w:szCs w:val="20"/>
              </w:rPr>
            </w:pPr>
            <w:r w:rsidRPr="002D10CF">
              <w:rPr>
                <w:b/>
                <w:bCs/>
                <w:noProof/>
                <w:color w:val="000000"/>
                <w:sz w:val="20"/>
                <w:szCs w:val="20"/>
              </w:rPr>
              <w:t> </w:t>
            </w:r>
          </w:p>
        </w:tc>
        <w:tc>
          <w:tcPr>
            <w:tcW w:w="659" w:type="pct"/>
            <w:tcBorders>
              <w:top w:val="nil"/>
              <w:left w:val="nil"/>
              <w:bottom w:val="single" w:sz="4" w:space="0" w:color="auto"/>
              <w:right w:val="single" w:sz="4" w:space="0" w:color="auto"/>
            </w:tcBorders>
            <w:shd w:val="clear" w:color="000000" w:fill="BDE3FF"/>
            <w:noWrap/>
            <w:hideMark/>
          </w:tcPr>
          <w:p w14:paraId="75338F7E" w14:textId="77777777" w:rsidR="001E1853" w:rsidRPr="002D10CF" w:rsidRDefault="001E1853" w:rsidP="006A7B4C">
            <w:pPr>
              <w:rPr>
                <w:b/>
                <w:bCs/>
                <w:noProof/>
                <w:color w:val="000000"/>
                <w:sz w:val="20"/>
                <w:szCs w:val="20"/>
              </w:rPr>
            </w:pPr>
            <w:r w:rsidRPr="002D10CF">
              <w:rPr>
                <w:b/>
                <w:bCs/>
                <w:noProof/>
                <w:color w:val="000000"/>
                <w:sz w:val="20"/>
                <w:szCs w:val="20"/>
              </w:rPr>
              <w:t> </w:t>
            </w:r>
          </w:p>
        </w:tc>
        <w:tc>
          <w:tcPr>
            <w:tcW w:w="659" w:type="pct"/>
            <w:tcBorders>
              <w:top w:val="nil"/>
              <w:left w:val="nil"/>
              <w:bottom w:val="single" w:sz="4" w:space="0" w:color="auto"/>
              <w:right w:val="single" w:sz="4" w:space="0" w:color="auto"/>
            </w:tcBorders>
            <w:shd w:val="clear" w:color="000000" w:fill="BDE3FF"/>
            <w:noWrap/>
            <w:hideMark/>
          </w:tcPr>
          <w:p w14:paraId="5614CF94" w14:textId="77777777" w:rsidR="001E1853" w:rsidRPr="002D10CF" w:rsidRDefault="001E1853" w:rsidP="006A7B4C">
            <w:pPr>
              <w:rPr>
                <w:b/>
                <w:bCs/>
                <w:noProof/>
                <w:color w:val="000000"/>
                <w:sz w:val="20"/>
                <w:szCs w:val="20"/>
              </w:rPr>
            </w:pPr>
            <w:r w:rsidRPr="002D10CF">
              <w:rPr>
                <w:b/>
                <w:bCs/>
                <w:noProof/>
                <w:color w:val="000000"/>
                <w:sz w:val="20"/>
                <w:szCs w:val="20"/>
              </w:rPr>
              <w:t> </w:t>
            </w:r>
          </w:p>
        </w:tc>
        <w:tc>
          <w:tcPr>
            <w:tcW w:w="659" w:type="pct"/>
            <w:tcBorders>
              <w:top w:val="nil"/>
              <w:left w:val="nil"/>
              <w:bottom w:val="single" w:sz="4" w:space="0" w:color="auto"/>
              <w:right w:val="single" w:sz="4" w:space="0" w:color="auto"/>
            </w:tcBorders>
            <w:shd w:val="clear" w:color="000000" w:fill="BDE3FF"/>
            <w:noWrap/>
            <w:hideMark/>
          </w:tcPr>
          <w:p w14:paraId="776C55E0" w14:textId="77777777" w:rsidR="001E1853" w:rsidRPr="002D10CF" w:rsidRDefault="001E1853" w:rsidP="006A7B4C">
            <w:pPr>
              <w:rPr>
                <w:b/>
                <w:bCs/>
                <w:noProof/>
                <w:color w:val="000000"/>
                <w:sz w:val="20"/>
                <w:szCs w:val="20"/>
              </w:rPr>
            </w:pPr>
            <w:r w:rsidRPr="002D10CF">
              <w:rPr>
                <w:b/>
                <w:bCs/>
                <w:noProof/>
                <w:color w:val="000000"/>
                <w:sz w:val="20"/>
                <w:szCs w:val="20"/>
              </w:rPr>
              <w:t> </w:t>
            </w:r>
          </w:p>
        </w:tc>
      </w:tr>
      <w:tr w:rsidR="001E1853" w:rsidRPr="002D10CF" w14:paraId="65C3A0D5" w14:textId="77777777" w:rsidTr="006A7B4C">
        <w:trPr>
          <w:trHeight w:val="510"/>
        </w:trPr>
        <w:tc>
          <w:tcPr>
            <w:tcW w:w="2363" w:type="pct"/>
            <w:tcBorders>
              <w:top w:val="nil"/>
              <w:left w:val="single" w:sz="4" w:space="0" w:color="auto"/>
              <w:bottom w:val="single" w:sz="4" w:space="0" w:color="auto"/>
              <w:right w:val="single" w:sz="4" w:space="0" w:color="auto"/>
            </w:tcBorders>
            <w:shd w:val="clear" w:color="000000" w:fill="FFFFFF"/>
            <w:hideMark/>
          </w:tcPr>
          <w:p w14:paraId="0DD68FED" w14:textId="77777777" w:rsidR="001E1853" w:rsidRPr="002D10CF" w:rsidRDefault="001E1853" w:rsidP="006A7B4C">
            <w:pPr>
              <w:rPr>
                <w:b/>
                <w:bCs/>
                <w:noProof/>
                <w:color w:val="000000"/>
                <w:sz w:val="20"/>
                <w:szCs w:val="20"/>
              </w:rPr>
            </w:pPr>
            <w:r w:rsidRPr="002D10CF">
              <w:rPr>
                <w:b/>
                <w:bCs/>
                <w:noProof/>
                <w:color w:val="000000"/>
                <w:sz w:val="20"/>
                <w:szCs w:val="20"/>
              </w:rPr>
              <w:t>Total external costs savings (in million EUR), of which:</w:t>
            </w:r>
          </w:p>
        </w:tc>
        <w:tc>
          <w:tcPr>
            <w:tcW w:w="659" w:type="pct"/>
            <w:tcBorders>
              <w:top w:val="nil"/>
              <w:left w:val="nil"/>
              <w:bottom w:val="single" w:sz="4" w:space="0" w:color="auto"/>
              <w:right w:val="single" w:sz="4" w:space="0" w:color="auto"/>
            </w:tcBorders>
            <w:shd w:val="clear" w:color="000000" w:fill="FFFFFF"/>
            <w:noWrap/>
            <w:hideMark/>
          </w:tcPr>
          <w:p w14:paraId="7B5C422C" w14:textId="77777777" w:rsidR="001E1853" w:rsidRPr="002D10CF" w:rsidRDefault="001E1853" w:rsidP="006A7B4C">
            <w:pPr>
              <w:jc w:val="right"/>
              <w:rPr>
                <w:b/>
                <w:bCs/>
                <w:noProof/>
                <w:color w:val="000000"/>
                <w:sz w:val="20"/>
                <w:szCs w:val="20"/>
              </w:rPr>
            </w:pPr>
            <w:r w:rsidRPr="002D10CF">
              <w:rPr>
                <w:b/>
                <w:bCs/>
                <w:noProof/>
                <w:color w:val="000000"/>
                <w:sz w:val="20"/>
                <w:szCs w:val="20"/>
              </w:rPr>
              <w:t>8,379</w:t>
            </w:r>
          </w:p>
        </w:tc>
        <w:tc>
          <w:tcPr>
            <w:tcW w:w="659" w:type="pct"/>
            <w:tcBorders>
              <w:top w:val="nil"/>
              <w:left w:val="nil"/>
              <w:bottom w:val="single" w:sz="4" w:space="0" w:color="auto"/>
              <w:right w:val="single" w:sz="4" w:space="0" w:color="auto"/>
            </w:tcBorders>
            <w:shd w:val="clear" w:color="000000" w:fill="FFFFFF"/>
            <w:noWrap/>
            <w:hideMark/>
          </w:tcPr>
          <w:p w14:paraId="1D639257" w14:textId="77777777" w:rsidR="001E1853" w:rsidRPr="002D10CF" w:rsidRDefault="001E1853" w:rsidP="006A7B4C">
            <w:pPr>
              <w:jc w:val="right"/>
              <w:rPr>
                <w:b/>
                <w:bCs/>
                <w:noProof/>
                <w:color w:val="000000"/>
                <w:sz w:val="20"/>
                <w:szCs w:val="20"/>
              </w:rPr>
            </w:pPr>
            <w:r w:rsidRPr="002D10CF">
              <w:rPr>
                <w:b/>
                <w:bCs/>
                <w:noProof/>
                <w:color w:val="000000"/>
                <w:sz w:val="20"/>
                <w:szCs w:val="20"/>
              </w:rPr>
              <w:t>16,255</w:t>
            </w:r>
          </w:p>
        </w:tc>
        <w:tc>
          <w:tcPr>
            <w:tcW w:w="659" w:type="pct"/>
            <w:tcBorders>
              <w:top w:val="nil"/>
              <w:left w:val="nil"/>
              <w:bottom w:val="single" w:sz="4" w:space="0" w:color="auto"/>
              <w:right w:val="single" w:sz="4" w:space="0" w:color="auto"/>
            </w:tcBorders>
            <w:shd w:val="clear" w:color="000000" w:fill="FFFFFF"/>
            <w:noWrap/>
            <w:hideMark/>
          </w:tcPr>
          <w:p w14:paraId="0FF1CCEE" w14:textId="77777777" w:rsidR="001E1853" w:rsidRPr="002D10CF" w:rsidRDefault="001E1853" w:rsidP="006A7B4C">
            <w:pPr>
              <w:jc w:val="right"/>
              <w:rPr>
                <w:b/>
                <w:bCs/>
                <w:noProof/>
                <w:color w:val="000000"/>
                <w:sz w:val="20"/>
                <w:szCs w:val="20"/>
              </w:rPr>
            </w:pPr>
            <w:r w:rsidRPr="002D10CF">
              <w:rPr>
                <w:b/>
                <w:bCs/>
                <w:noProof/>
                <w:color w:val="000000"/>
                <w:sz w:val="20"/>
                <w:szCs w:val="20"/>
              </w:rPr>
              <w:t>22,698</w:t>
            </w:r>
          </w:p>
        </w:tc>
        <w:tc>
          <w:tcPr>
            <w:tcW w:w="659" w:type="pct"/>
            <w:tcBorders>
              <w:top w:val="nil"/>
              <w:left w:val="nil"/>
              <w:bottom w:val="single" w:sz="4" w:space="0" w:color="auto"/>
              <w:right w:val="single" w:sz="4" w:space="0" w:color="auto"/>
            </w:tcBorders>
            <w:shd w:val="clear" w:color="000000" w:fill="FFFFFF"/>
            <w:noWrap/>
            <w:hideMark/>
          </w:tcPr>
          <w:p w14:paraId="4A4F7837" w14:textId="77777777" w:rsidR="001E1853" w:rsidRPr="002D10CF" w:rsidRDefault="001E1853" w:rsidP="006A7B4C">
            <w:pPr>
              <w:jc w:val="right"/>
              <w:rPr>
                <w:b/>
                <w:bCs/>
                <w:noProof/>
                <w:color w:val="000000"/>
                <w:sz w:val="20"/>
                <w:szCs w:val="20"/>
              </w:rPr>
            </w:pPr>
            <w:r w:rsidRPr="002D10CF">
              <w:rPr>
                <w:b/>
                <w:bCs/>
                <w:noProof/>
                <w:color w:val="000000"/>
                <w:sz w:val="20"/>
                <w:szCs w:val="20"/>
              </w:rPr>
              <w:t>17,949</w:t>
            </w:r>
          </w:p>
        </w:tc>
      </w:tr>
      <w:tr w:rsidR="001E1853" w:rsidRPr="002D10CF" w14:paraId="22ADB4DD"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1CFDF6D4" w14:textId="77777777" w:rsidR="001E1853" w:rsidRPr="002D10CF" w:rsidRDefault="001E1853" w:rsidP="006A7B4C">
            <w:pPr>
              <w:ind w:firstLineChars="100" w:firstLine="200"/>
              <w:rPr>
                <w:noProof/>
                <w:color w:val="000000"/>
                <w:sz w:val="20"/>
                <w:szCs w:val="20"/>
              </w:rPr>
            </w:pPr>
            <w:r>
              <w:rPr>
                <w:noProof/>
                <w:color w:val="000000"/>
                <w:sz w:val="20"/>
                <w:szCs w:val="20"/>
              </w:rPr>
              <w:t>CO</w:t>
            </w:r>
            <w:r w:rsidRPr="00514383">
              <w:rPr>
                <w:noProof/>
                <w:color w:val="000000"/>
                <w:sz w:val="20"/>
                <w:szCs w:val="20"/>
                <w:vertAlign w:val="subscript"/>
              </w:rPr>
              <w:t>2</w:t>
            </w:r>
            <w:r>
              <w:rPr>
                <w:noProof/>
                <w:color w:val="000000"/>
                <w:sz w:val="20"/>
                <w:szCs w:val="20"/>
              </w:rPr>
              <w:t xml:space="preserve"> </w:t>
            </w:r>
            <w:r w:rsidRPr="002D10CF">
              <w:rPr>
                <w:noProof/>
                <w:color w:val="000000"/>
                <w:sz w:val="20"/>
                <w:szCs w:val="20"/>
              </w:rPr>
              <w:t xml:space="preserve">emissions </w:t>
            </w:r>
          </w:p>
        </w:tc>
        <w:tc>
          <w:tcPr>
            <w:tcW w:w="659" w:type="pct"/>
            <w:tcBorders>
              <w:top w:val="nil"/>
              <w:left w:val="nil"/>
              <w:bottom w:val="single" w:sz="4" w:space="0" w:color="auto"/>
              <w:right w:val="single" w:sz="4" w:space="0" w:color="auto"/>
            </w:tcBorders>
            <w:shd w:val="clear" w:color="000000" w:fill="FFFFFF"/>
            <w:noWrap/>
            <w:hideMark/>
          </w:tcPr>
          <w:p w14:paraId="55F2E89F" w14:textId="77777777" w:rsidR="001E1853" w:rsidRPr="002D10CF" w:rsidRDefault="001E1853" w:rsidP="006A7B4C">
            <w:pPr>
              <w:jc w:val="right"/>
              <w:rPr>
                <w:noProof/>
                <w:color w:val="000000"/>
                <w:sz w:val="20"/>
                <w:szCs w:val="20"/>
              </w:rPr>
            </w:pPr>
            <w:r w:rsidRPr="002D10CF">
              <w:rPr>
                <w:noProof/>
                <w:color w:val="000000"/>
                <w:sz w:val="20"/>
                <w:szCs w:val="20"/>
              </w:rPr>
              <w:t>1,566</w:t>
            </w:r>
          </w:p>
        </w:tc>
        <w:tc>
          <w:tcPr>
            <w:tcW w:w="659" w:type="pct"/>
            <w:tcBorders>
              <w:top w:val="nil"/>
              <w:left w:val="nil"/>
              <w:bottom w:val="single" w:sz="4" w:space="0" w:color="auto"/>
              <w:right w:val="single" w:sz="4" w:space="0" w:color="auto"/>
            </w:tcBorders>
            <w:shd w:val="clear" w:color="000000" w:fill="FFFFFF"/>
            <w:noWrap/>
            <w:hideMark/>
          </w:tcPr>
          <w:p w14:paraId="62D31226" w14:textId="77777777" w:rsidR="001E1853" w:rsidRPr="002D10CF" w:rsidRDefault="001E1853" w:rsidP="006A7B4C">
            <w:pPr>
              <w:jc w:val="right"/>
              <w:rPr>
                <w:noProof/>
                <w:color w:val="000000"/>
                <w:sz w:val="20"/>
                <w:szCs w:val="20"/>
              </w:rPr>
            </w:pPr>
            <w:r w:rsidRPr="002D10CF">
              <w:rPr>
                <w:noProof/>
                <w:color w:val="000000"/>
                <w:sz w:val="20"/>
                <w:szCs w:val="20"/>
              </w:rPr>
              <w:t>2,975</w:t>
            </w:r>
          </w:p>
        </w:tc>
        <w:tc>
          <w:tcPr>
            <w:tcW w:w="659" w:type="pct"/>
            <w:tcBorders>
              <w:top w:val="nil"/>
              <w:left w:val="nil"/>
              <w:bottom w:val="single" w:sz="4" w:space="0" w:color="auto"/>
              <w:right w:val="single" w:sz="4" w:space="0" w:color="auto"/>
            </w:tcBorders>
            <w:shd w:val="clear" w:color="000000" w:fill="FFFFFF"/>
            <w:noWrap/>
            <w:hideMark/>
          </w:tcPr>
          <w:p w14:paraId="566C1558" w14:textId="77777777" w:rsidR="001E1853" w:rsidRPr="002D10CF" w:rsidRDefault="001E1853" w:rsidP="006A7B4C">
            <w:pPr>
              <w:jc w:val="right"/>
              <w:rPr>
                <w:noProof/>
                <w:color w:val="000000"/>
                <w:sz w:val="20"/>
                <w:szCs w:val="20"/>
              </w:rPr>
            </w:pPr>
            <w:r w:rsidRPr="002D10CF">
              <w:rPr>
                <w:noProof/>
                <w:color w:val="000000"/>
                <w:sz w:val="20"/>
                <w:szCs w:val="20"/>
              </w:rPr>
              <w:t>4,137</w:t>
            </w:r>
          </w:p>
        </w:tc>
        <w:tc>
          <w:tcPr>
            <w:tcW w:w="659" w:type="pct"/>
            <w:tcBorders>
              <w:top w:val="nil"/>
              <w:left w:val="nil"/>
              <w:bottom w:val="single" w:sz="4" w:space="0" w:color="auto"/>
              <w:right w:val="single" w:sz="4" w:space="0" w:color="auto"/>
            </w:tcBorders>
            <w:shd w:val="clear" w:color="000000" w:fill="FFFFFF"/>
            <w:noWrap/>
            <w:hideMark/>
          </w:tcPr>
          <w:p w14:paraId="0B7BAD22" w14:textId="77777777" w:rsidR="001E1853" w:rsidRPr="002D10CF" w:rsidRDefault="001E1853" w:rsidP="006A7B4C">
            <w:pPr>
              <w:jc w:val="right"/>
              <w:rPr>
                <w:noProof/>
                <w:color w:val="000000"/>
                <w:sz w:val="20"/>
                <w:szCs w:val="20"/>
              </w:rPr>
            </w:pPr>
            <w:r w:rsidRPr="002D10CF">
              <w:rPr>
                <w:noProof/>
                <w:color w:val="000000"/>
                <w:sz w:val="20"/>
                <w:szCs w:val="20"/>
              </w:rPr>
              <w:t>3,264</w:t>
            </w:r>
          </w:p>
        </w:tc>
      </w:tr>
      <w:tr w:rsidR="001E1853" w:rsidRPr="002D10CF" w14:paraId="1D7D5235"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7D004F02" w14:textId="77777777" w:rsidR="001E1853" w:rsidRPr="002D10CF" w:rsidRDefault="001E1853" w:rsidP="006A7B4C">
            <w:pPr>
              <w:ind w:firstLineChars="100" w:firstLine="200"/>
              <w:rPr>
                <w:noProof/>
                <w:color w:val="000000"/>
                <w:sz w:val="20"/>
                <w:szCs w:val="20"/>
              </w:rPr>
            </w:pPr>
            <w:r w:rsidRPr="002D10CF">
              <w:rPr>
                <w:noProof/>
                <w:color w:val="000000"/>
                <w:sz w:val="20"/>
                <w:szCs w:val="20"/>
              </w:rPr>
              <w:t xml:space="preserve"> Air pollutant emissions </w:t>
            </w:r>
          </w:p>
        </w:tc>
        <w:tc>
          <w:tcPr>
            <w:tcW w:w="659" w:type="pct"/>
            <w:tcBorders>
              <w:top w:val="nil"/>
              <w:left w:val="nil"/>
              <w:bottom w:val="single" w:sz="4" w:space="0" w:color="auto"/>
              <w:right w:val="single" w:sz="4" w:space="0" w:color="auto"/>
            </w:tcBorders>
            <w:shd w:val="clear" w:color="000000" w:fill="FFFFFF"/>
            <w:noWrap/>
            <w:hideMark/>
          </w:tcPr>
          <w:p w14:paraId="0FE3FFEF" w14:textId="77777777" w:rsidR="001E1853" w:rsidRPr="002D10CF" w:rsidRDefault="001E1853" w:rsidP="006A7B4C">
            <w:pPr>
              <w:jc w:val="right"/>
              <w:rPr>
                <w:noProof/>
                <w:color w:val="000000"/>
                <w:sz w:val="20"/>
                <w:szCs w:val="20"/>
              </w:rPr>
            </w:pPr>
            <w:r w:rsidRPr="002D10CF">
              <w:rPr>
                <w:noProof/>
                <w:color w:val="000000"/>
                <w:sz w:val="20"/>
                <w:szCs w:val="20"/>
              </w:rPr>
              <w:t>139</w:t>
            </w:r>
          </w:p>
        </w:tc>
        <w:tc>
          <w:tcPr>
            <w:tcW w:w="659" w:type="pct"/>
            <w:tcBorders>
              <w:top w:val="nil"/>
              <w:left w:val="nil"/>
              <w:bottom w:val="single" w:sz="4" w:space="0" w:color="auto"/>
              <w:right w:val="single" w:sz="4" w:space="0" w:color="auto"/>
            </w:tcBorders>
            <w:shd w:val="clear" w:color="000000" w:fill="FFFFFF"/>
            <w:noWrap/>
            <w:hideMark/>
          </w:tcPr>
          <w:p w14:paraId="38DE1F35" w14:textId="77777777" w:rsidR="001E1853" w:rsidRPr="002D10CF" w:rsidRDefault="001E1853" w:rsidP="006A7B4C">
            <w:pPr>
              <w:jc w:val="right"/>
              <w:rPr>
                <w:noProof/>
                <w:color w:val="000000"/>
                <w:sz w:val="20"/>
                <w:szCs w:val="20"/>
              </w:rPr>
            </w:pPr>
            <w:r w:rsidRPr="002D10CF">
              <w:rPr>
                <w:noProof/>
                <w:color w:val="000000"/>
                <w:sz w:val="20"/>
                <w:szCs w:val="20"/>
              </w:rPr>
              <w:t>274</w:t>
            </w:r>
          </w:p>
        </w:tc>
        <w:tc>
          <w:tcPr>
            <w:tcW w:w="659" w:type="pct"/>
            <w:tcBorders>
              <w:top w:val="nil"/>
              <w:left w:val="nil"/>
              <w:bottom w:val="single" w:sz="4" w:space="0" w:color="auto"/>
              <w:right w:val="single" w:sz="4" w:space="0" w:color="auto"/>
            </w:tcBorders>
            <w:shd w:val="clear" w:color="000000" w:fill="FFFFFF"/>
            <w:noWrap/>
            <w:hideMark/>
          </w:tcPr>
          <w:p w14:paraId="3C60149D" w14:textId="77777777" w:rsidR="001E1853" w:rsidRPr="002D10CF" w:rsidRDefault="001E1853" w:rsidP="006A7B4C">
            <w:pPr>
              <w:jc w:val="right"/>
              <w:rPr>
                <w:noProof/>
                <w:color w:val="000000"/>
                <w:sz w:val="20"/>
                <w:szCs w:val="20"/>
              </w:rPr>
            </w:pPr>
            <w:r w:rsidRPr="002D10CF">
              <w:rPr>
                <w:noProof/>
                <w:color w:val="000000"/>
                <w:sz w:val="20"/>
                <w:szCs w:val="20"/>
              </w:rPr>
              <w:t>389</w:t>
            </w:r>
          </w:p>
        </w:tc>
        <w:tc>
          <w:tcPr>
            <w:tcW w:w="659" w:type="pct"/>
            <w:tcBorders>
              <w:top w:val="nil"/>
              <w:left w:val="nil"/>
              <w:bottom w:val="single" w:sz="4" w:space="0" w:color="auto"/>
              <w:right w:val="single" w:sz="4" w:space="0" w:color="auto"/>
            </w:tcBorders>
            <w:shd w:val="clear" w:color="000000" w:fill="FFFFFF"/>
            <w:noWrap/>
            <w:hideMark/>
          </w:tcPr>
          <w:p w14:paraId="4D039524" w14:textId="77777777" w:rsidR="001E1853" w:rsidRPr="002D10CF" w:rsidRDefault="001E1853" w:rsidP="006A7B4C">
            <w:pPr>
              <w:jc w:val="right"/>
              <w:rPr>
                <w:noProof/>
                <w:color w:val="000000"/>
                <w:sz w:val="20"/>
                <w:szCs w:val="20"/>
              </w:rPr>
            </w:pPr>
            <w:r w:rsidRPr="002D10CF">
              <w:rPr>
                <w:noProof/>
                <w:color w:val="000000"/>
                <w:sz w:val="20"/>
                <w:szCs w:val="20"/>
              </w:rPr>
              <w:t>301</w:t>
            </w:r>
          </w:p>
        </w:tc>
      </w:tr>
      <w:tr w:rsidR="001E1853" w:rsidRPr="002D10CF" w14:paraId="0EDA9A57"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6BC783B5" w14:textId="77777777" w:rsidR="001E1853" w:rsidRPr="002D10CF" w:rsidRDefault="001E1853" w:rsidP="006A7B4C">
            <w:pPr>
              <w:ind w:firstLineChars="100" w:firstLine="200"/>
              <w:rPr>
                <w:noProof/>
                <w:color w:val="000000"/>
                <w:sz w:val="20"/>
                <w:szCs w:val="20"/>
              </w:rPr>
            </w:pPr>
            <w:r w:rsidRPr="002D10CF">
              <w:rPr>
                <w:noProof/>
                <w:color w:val="000000"/>
                <w:sz w:val="20"/>
                <w:szCs w:val="20"/>
              </w:rPr>
              <w:t xml:space="preserve"> Fatalities and injuries </w:t>
            </w:r>
          </w:p>
        </w:tc>
        <w:tc>
          <w:tcPr>
            <w:tcW w:w="659" w:type="pct"/>
            <w:tcBorders>
              <w:top w:val="nil"/>
              <w:left w:val="nil"/>
              <w:bottom w:val="single" w:sz="4" w:space="0" w:color="auto"/>
              <w:right w:val="single" w:sz="4" w:space="0" w:color="auto"/>
            </w:tcBorders>
            <w:shd w:val="clear" w:color="000000" w:fill="FFFFFF"/>
            <w:noWrap/>
            <w:hideMark/>
          </w:tcPr>
          <w:p w14:paraId="6014A964" w14:textId="77777777" w:rsidR="001E1853" w:rsidRPr="002D10CF" w:rsidRDefault="001E1853" w:rsidP="006A7B4C">
            <w:pPr>
              <w:jc w:val="right"/>
              <w:rPr>
                <w:noProof/>
                <w:color w:val="000000"/>
                <w:sz w:val="20"/>
                <w:szCs w:val="20"/>
              </w:rPr>
            </w:pPr>
            <w:r w:rsidRPr="002D10CF">
              <w:rPr>
                <w:noProof/>
                <w:color w:val="000000"/>
                <w:sz w:val="20"/>
                <w:szCs w:val="20"/>
              </w:rPr>
              <w:t>4,928</w:t>
            </w:r>
          </w:p>
        </w:tc>
        <w:tc>
          <w:tcPr>
            <w:tcW w:w="659" w:type="pct"/>
            <w:tcBorders>
              <w:top w:val="nil"/>
              <w:left w:val="nil"/>
              <w:bottom w:val="single" w:sz="4" w:space="0" w:color="auto"/>
              <w:right w:val="single" w:sz="4" w:space="0" w:color="auto"/>
            </w:tcBorders>
            <w:shd w:val="clear" w:color="000000" w:fill="FFFFFF"/>
            <w:noWrap/>
            <w:hideMark/>
          </w:tcPr>
          <w:p w14:paraId="13B35E3D" w14:textId="77777777" w:rsidR="001E1853" w:rsidRPr="002D10CF" w:rsidRDefault="001E1853" w:rsidP="006A7B4C">
            <w:pPr>
              <w:jc w:val="right"/>
              <w:rPr>
                <w:noProof/>
                <w:color w:val="000000"/>
                <w:sz w:val="20"/>
                <w:szCs w:val="20"/>
              </w:rPr>
            </w:pPr>
            <w:r w:rsidRPr="002D10CF">
              <w:rPr>
                <w:noProof/>
                <w:color w:val="000000"/>
                <w:sz w:val="20"/>
                <w:szCs w:val="20"/>
              </w:rPr>
              <w:t>9,421</w:t>
            </w:r>
          </w:p>
        </w:tc>
        <w:tc>
          <w:tcPr>
            <w:tcW w:w="659" w:type="pct"/>
            <w:tcBorders>
              <w:top w:val="nil"/>
              <w:left w:val="nil"/>
              <w:bottom w:val="single" w:sz="4" w:space="0" w:color="auto"/>
              <w:right w:val="single" w:sz="4" w:space="0" w:color="auto"/>
            </w:tcBorders>
            <w:shd w:val="clear" w:color="000000" w:fill="FFFFFF"/>
            <w:noWrap/>
            <w:hideMark/>
          </w:tcPr>
          <w:p w14:paraId="6332F5C4" w14:textId="77777777" w:rsidR="001E1853" w:rsidRPr="002D10CF" w:rsidRDefault="001E1853" w:rsidP="006A7B4C">
            <w:pPr>
              <w:jc w:val="right"/>
              <w:rPr>
                <w:noProof/>
                <w:color w:val="000000"/>
                <w:sz w:val="20"/>
                <w:szCs w:val="20"/>
              </w:rPr>
            </w:pPr>
            <w:r w:rsidRPr="002D10CF">
              <w:rPr>
                <w:noProof/>
                <w:color w:val="000000"/>
                <w:sz w:val="20"/>
                <w:szCs w:val="20"/>
              </w:rPr>
              <w:t>13,087</w:t>
            </w:r>
          </w:p>
        </w:tc>
        <w:tc>
          <w:tcPr>
            <w:tcW w:w="659" w:type="pct"/>
            <w:tcBorders>
              <w:top w:val="nil"/>
              <w:left w:val="nil"/>
              <w:bottom w:val="single" w:sz="4" w:space="0" w:color="auto"/>
              <w:right w:val="single" w:sz="4" w:space="0" w:color="auto"/>
            </w:tcBorders>
            <w:shd w:val="clear" w:color="000000" w:fill="FFFFFF"/>
            <w:noWrap/>
            <w:hideMark/>
          </w:tcPr>
          <w:p w14:paraId="350B5578" w14:textId="77777777" w:rsidR="001E1853" w:rsidRPr="002D10CF" w:rsidRDefault="001E1853" w:rsidP="006A7B4C">
            <w:pPr>
              <w:jc w:val="right"/>
              <w:rPr>
                <w:noProof/>
                <w:color w:val="000000"/>
                <w:sz w:val="20"/>
                <w:szCs w:val="20"/>
              </w:rPr>
            </w:pPr>
            <w:r w:rsidRPr="002D10CF">
              <w:rPr>
                <w:noProof/>
                <w:color w:val="000000"/>
                <w:sz w:val="20"/>
                <w:szCs w:val="20"/>
              </w:rPr>
              <w:t>10,421</w:t>
            </w:r>
          </w:p>
        </w:tc>
      </w:tr>
      <w:tr w:rsidR="001E1853" w:rsidRPr="002D10CF" w14:paraId="4A472FA5"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735FA27E" w14:textId="77777777" w:rsidR="001E1853" w:rsidRPr="002D10CF" w:rsidRDefault="001E1853" w:rsidP="006A7B4C">
            <w:pPr>
              <w:ind w:firstLineChars="100" w:firstLine="200"/>
              <w:rPr>
                <w:noProof/>
                <w:color w:val="000000"/>
                <w:sz w:val="20"/>
                <w:szCs w:val="20"/>
              </w:rPr>
            </w:pPr>
            <w:r w:rsidRPr="002D10CF">
              <w:rPr>
                <w:noProof/>
                <w:color w:val="000000"/>
                <w:sz w:val="20"/>
                <w:szCs w:val="20"/>
              </w:rPr>
              <w:t xml:space="preserve"> Road congestion </w:t>
            </w:r>
          </w:p>
        </w:tc>
        <w:tc>
          <w:tcPr>
            <w:tcW w:w="659" w:type="pct"/>
            <w:tcBorders>
              <w:top w:val="nil"/>
              <w:left w:val="nil"/>
              <w:bottom w:val="single" w:sz="4" w:space="0" w:color="auto"/>
              <w:right w:val="single" w:sz="4" w:space="0" w:color="auto"/>
            </w:tcBorders>
            <w:shd w:val="clear" w:color="000000" w:fill="FFFFFF"/>
            <w:noWrap/>
            <w:hideMark/>
          </w:tcPr>
          <w:p w14:paraId="36E9A007" w14:textId="77777777" w:rsidR="001E1853" w:rsidRPr="002D10CF" w:rsidRDefault="001E1853" w:rsidP="006A7B4C">
            <w:pPr>
              <w:jc w:val="right"/>
              <w:rPr>
                <w:noProof/>
                <w:color w:val="000000"/>
                <w:sz w:val="20"/>
                <w:szCs w:val="20"/>
              </w:rPr>
            </w:pPr>
            <w:r w:rsidRPr="002D10CF">
              <w:rPr>
                <w:noProof/>
                <w:color w:val="000000"/>
                <w:sz w:val="20"/>
                <w:szCs w:val="20"/>
              </w:rPr>
              <w:t>1,252</w:t>
            </w:r>
          </w:p>
        </w:tc>
        <w:tc>
          <w:tcPr>
            <w:tcW w:w="659" w:type="pct"/>
            <w:tcBorders>
              <w:top w:val="nil"/>
              <w:left w:val="nil"/>
              <w:bottom w:val="single" w:sz="4" w:space="0" w:color="auto"/>
              <w:right w:val="single" w:sz="4" w:space="0" w:color="auto"/>
            </w:tcBorders>
            <w:shd w:val="clear" w:color="000000" w:fill="FFFFFF"/>
            <w:noWrap/>
            <w:hideMark/>
          </w:tcPr>
          <w:p w14:paraId="3BAD07E2" w14:textId="77777777" w:rsidR="001E1853" w:rsidRPr="002D10CF" w:rsidRDefault="001E1853" w:rsidP="006A7B4C">
            <w:pPr>
              <w:jc w:val="right"/>
              <w:rPr>
                <w:noProof/>
                <w:color w:val="000000"/>
                <w:sz w:val="20"/>
                <w:szCs w:val="20"/>
              </w:rPr>
            </w:pPr>
            <w:r w:rsidRPr="002D10CF">
              <w:rPr>
                <w:noProof/>
                <w:color w:val="000000"/>
                <w:sz w:val="20"/>
                <w:szCs w:val="20"/>
              </w:rPr>
              <w:t>2,616</w:t>
            </w:r>
          </w:p>
        </w:tc>
        <w:tc>
          <w:tcPr>
            <w:tcW w:w="659" w:type="pct"/>
            <w:tcBorders>
              <w:top w:val="nil"/>
              <w:left w:val="nil"/>
              <w:bottom w:val="single" w:sz="4" w:space="0" w:color="auto"/>
              <w:right w:val="single" w:sz="4" w:space="0" w:color="auto"/>
            </w:tcBorders>
            <w:shd w:val="clear" w:color="000000" w:fill="FFFFFF"/>
            <w:noWrap/>
            <w:hideMark/>
          </w:tcPr>
          <w:p w14:paraId="78142CAF" w14:textId="77777777" w:rsidR="001E1853" w:rsidRPr="002D10CF" w:rsidRDefault="001E1853" w:rsidP="006A7B4C">
            <w:pPr>
              <w:jc w:val="right"/>
              <w:rPr>
                <w:noProof/>
                <w:color w:val="000000"/>
                <w:sz w:val="20"/>
                <w:szCs w:val="20"/>
              </w:rPr>
            </w:pPr>
            <w:r w:rsidRPr="002D10CF">
              <w:rPr>
                <w:noProof/>
                <w:color w:val="000000"/>
                <w:sz w:val="20"/>
                <w:szCs w:val="20"/>
              </w:rPr>
              <w:t>3,761</w:t>
            </w:r>
          </w:p>
        </w:tc>
        <w:tc>
          <w:tcPr>
            <w:tcW w:w="659" w:type="pct"/>
            <w:tcBorders>
              <w:top w:val="nil"/>
              <w:left w:val="nil"/>
              <w:bottom w:val="single" w:sz="4" w:space="0" w:color="auto"/>
              <w:right w:val="single" w:sz="4" w:space="0" w:color="auto"/>
            </w:tcBorders>
            <w:shd w:val="clear" w:color="000000" w:fill="FFFFFF"/>
            <w:noWrap/>
            <w:hideMark/>
          </w:tcPr>
          <w:p w14:paraId="39032FA2" w14:textId="77777777" w:rsidR="001E1853" w:rsidRPr="002D10CF" w:rsidRDefault="001E1853" w:rsidP="006A7B4C">
            <w:pPr>
              <w:jc w:val="right"/>
              <w:rPr>
                <w:noProof/>
                <w:color w:val="000000"/>
                <w:sz w:val="20"/>
                <w:szCs w:val="20"/>
              </w:rPr>
            </w:pPr>
            <w:r w:rsidRPr="002D10CF">
              <w:rPr>
                <w:noProof/>
                <w:color w:val="000000"/>
                <w:sz w:val="20"/>
                <w:szCs w:val="20"/>
              </w:rPr>
              <w:t>2,902</w:t>
            </w:r>
          </w:p>
        </w:tc>
      </w:tr>
      <w:tr w:rsidR="001E1853" w:rsidRPr="002D10CF" w14:paraId="13E83020"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27FBA5F5" w14:textId="77777777" w:rsidR="001E1853" w:rsidRPr="002D10CF" w:rsidRDefault="001E1853" w:rsidP="006A7B4C">
            <w:pPr>
              <w:ind w:firstLineChars="100" w:firstLine="200"/>
              <w:rPr>
                <w:noProof/>
                <w:color w:val="000000"/>
                <w:sz w:val="20"/>
                <w:szCs w:val="20"/>
              </w:rPr>
            </w:pPr>
            <w:r w:rsidRPr="002D10CF">
              <w:rPr>
                <w:noProof/>
                <w:color w:val="000000"/>
                <w:sz w:val="20"/>
                <w:szCs w:val="20"/>
              </w:rPr>
              <w:t xml:space="preserve"> Noise emissions </w:t>
            </w:r>
          </w:p>
        </w:tc>
        <w:tc>
          <w:tcPr>
            <w:tcW w:w="659" w:type="pct"/>
            <w:tcBorders>
              <w:top w:val="nil"/>
              <w:left w:val="nil"/>
              <w:bottom w:val="single" w:sz="4" w:space="0" w:color="auto"/>
              <w:right w:val="single" w:sz="4" w:space="0" w:color="auto"/>
            </w:tcBorders>
            <w:shd w:val="clear" w:color="000000" w:fill="FFFFFF"/>
            <w:noWrap/>
            <w:hideMark/>
          </w:tcPr>
          <w:p w14:paraId="7C1A79BF" w14:textId="77777777" w:rsidR="001E1853" w:rsidRPr="002D10CF" w:rsidRDefault="001E1853" w:rsidP="006A7B4C">
            <w:pPr>
              <w:jc w:val="right"/>
              <w:rPr>
                <w:noProof/>
                <w:color w:val="000000"/>
                <w:sz w:val="20"/>
                <w:szCs w:val="20"/>
              </w:rPr>
            </w:pPr>
            <w:r w:rsidRPr="002D10CF">
              <w:rPr>
                <w:noProof/>
                <w:color w:val="000000"/>
                <w:sz w:val="20"/>
                <w:szCs w:val="20"/>
              </w:rPr>
              <w:t>495</w:t>
            </w:r>
          </w:p>
        </w:tc>
        <w:tc>
          <w:tcPr>
            <w:tcW w:w="659" w:type="pct"/>
            <w:tcBorders>
              <w:top w:val="nil"/>
              <w:left w:val="nil"/>
              <w:bottom w:val="single" w:sz="4" w:space="0" w:color="auto"/>
              <w:right w:val="single" w:sz="4" w:space="0" w:color="auto"/>
            </w:tcBorders>
            <w:shd w:val="clear" w:color="000000" w:fill="FFFFFF"/>
            <w:noWrap/>
            <w:hideMark/>
          </w:tcPr>
          <w:p w14:paraId="1EBD9B1C" w14:textId="77777777" w:rsidR="001E1853" w:rsidRPr="002D10CF" w:rsidRDefault="001E1853" w:rsidP="006A7B4C">
            <w:pPr>
              <w:jc w:val="right"/>
              <w:rPr>
                <w:noProof/>
                <w:color w:val="000000"/>
                <w:sz w:val="20"/>
                <w:szCs w:val="20"/>
              </w:rPr>
            </w:pPr>
            <w:r w:rsidRPr="002D10CF">
              <w:rPr>
                <w:noProof/>
                <w:color w:val="000000"/>
                <w:sz w:val="20"/>
                <w:szCs w:val="20"/>
              </w:rPr>
              <w:t>969</w:t>
            </w:r>
          </w:p>
        </w:tc>
        <w:tc>
          <w:tcPr>
            <w:tcW w:w="659" w:type="pct"/>
            <w:tcBorders>
              <w:top w:val="nil"/>
              <w:left w:val="nil"/>
              <w:bottom w:val="single" w:sz="4" w:space="0" w:color="auto"/>
              <w:right w:val="single" w:sz="4" w:space="0" w:color="auto"/>
            </w:tcBorders>
            <w:shd w:val="clear" w:color="000000" w:fill="FFFFFF"/>
            <w:noWrap/>
            <w:hideMark/>
          </w:tcPr>
          <w:p w14:paraId="6AF44B6C" w14:textId="77777777" w:rsidR="001E1853" w:rsidRPr="002D10CF" w:rsidRDefault="001E1853" w:rsidP="006A7B4C">
            <w:pPr>
              <w:jc w:val="right"/>
              <w:rPr>
                <w:noProof/>
                <w:color w:val="000000"/>
                <w:sz w:val="20"/>
                <w:szCs w:val="20"/>
              </w:rPr>
            </w:pPr>
            <w:r w:rsidRPr="002D10CF">
              <w:rPr>
                <w:noProof/>
                <w:color w:val="000000"/>
                <w:sz w:val="20"/>
                <w:szCs w:val="20"/>
              </w:rPr>
              <w:t>1,324</w:t>
            </w:r>
          </w:p>
        </w:tc>
        <w:tc>
          <w:tcPr>
            <w:tcW w:w="659" w:type="pct"/>
            <w:tcBorders>
              <w:top w:val="nil"/>
              <w:left w:val="nil"/>
              <w:bottom w:val="single" w:sz="4" w:space="0" w:color="auto"/>
              <w:right w:val="single" w:sz="4" w:space="0" w:color="auto"/>
            </w:tcBorders>
            <w:shd w:val="clear" w:color="000000" w:fill="FFFFFF"/>
            <w:noWrap/>
            <w:hideMark/>
          </w:tcPr>
          <w:p w14:paraId="38FE6EAA" w14:textId="77777777" w:rsidR="001E1853" w:rsidRPr="002D10CF" w:rsidRDefault="001E1853" w:rsidP="006A7B4C">
            <w:pPr>
              <w:jc w:val="right"/>
              <w:rPr>
                <w:noProof/>
                <w:color w:val="000000"/>
                <w:sz w:val="20"/>
                <w:szCs w:val="20"/>
              </w:rPr>
            </w:pPr>
            <w:r w:rsidRPr="002D10CF">
              <w:rPr>
                <w:noProof/>
                <w:color w:val="000000"/>
                <w:sz w:val="20"/>
                <w:szCs w:val="20"/>
              </w:rPr>
              <w:t>1,061</w:t>
            </w:r>
          </w:p>
        </w:tc>
      </w:tr>
      <w:tr w:rsidR="001E1853" w:rsidRPr="002D10CF" w14:paraId="0A3C53AD" w14:textId="77777777" w:rsidTr="006A7B4C">
        <w:trPr>
          <w:trHeight w:val="246"/>
        </w:trPr>
        <w:tc>
          <w:tcPr>
            <w:tcW w:w="2363" w:type="pct"/>
            <w:tcBorders>
              <w:top w:val="single" w:sz="4" w:space="0" w:color="auto"/>
              <w:left w:val="single" w:sz="4" w:space="0" w:color="auto"/>
              <w:bottom w:val="single" w:sz="4" w:space="0" w:color="auto"/>
              <w:right w:val="single" w:sz="4" w:space="0" w:color="auto"/>
            </w:tcBorders>
            <w:shd w:val="clear" w:color="000000" w:fill="BDE3FF"/>
            <w:hideMark/>
          </w:tcPr>
          <w:p w14:paraId="4D8AF039" w14:textId="37AD8FBE" w:rsidR="001E1853" w:rsidRPr="002D10CF" w:rsidRDefault="001E1853" w:rsidP="006A7B4C">
            <w:pPr>
              <w:rPr>
                <w:b/>
                <w:bCs/>
                <w:i/>
                <w:iCs/>
                <w:noProof/>
                <w:color w:val="000000"/>
                <w:sz w:val="20"/>
                <w:szCs w:val="20"/>
              </w:rPr>
            </w:pPr>
            <w:r w:rsidRPr="002D10CF">
              <w:rPr>
                <w:b/>
                <w:bCs/>
                <w:i/>
                <w:iCs/>
                <w:noProof/>
                <w:color w:val="000000"/>
                <w:sz w:val="20"/>
                <w:szCs w:val="20"/>
              </w:rPr>
              <w:t>% change 'low</w:t>
            </w:r>
            <w:r w:rsidR="00BB6ABF">
              <w:rPr>
                <w:b/>
                <w:bCs/>
                <w:i/>
                <w:iCs/>
                <w:noProof/>
                <w:color w:val="000000"/>
                <w:sz w:val="20"/>
                <w:szCs w:val="20"/>
              </w:rPr>
              <w:t xml:space="preserve"> modal shift’</w:t>
            </w:r>
            <w:r w:rsidRPr="002D10CF">
              <w:rPr>
                <w:b/>
                <w:bCs/>
                <w:i/>
                <w:iCs/>
                <w:noProof/>
                <w:color w:val="000000"/>
                <w:sz w:val="20"/>
                <w:szCs w:val="20"/>
              </w:rPr>
              <w:t xml:space="preserve"> case relative to the base case</w:t>
            </w:r>
          </w:p>
        </w:tc>
        <w:tc>
          <w:tcPr>
            <w:tcW w:w="659" w:type="pct"/>
            <w:tcBorders>
              <w:top w:val="single" w:sz="4" w:space="0" w:color="auto"/>
              <w:left w:val="nil"/>
              <w:bottom w:val="single" w:sz="4" w:space="0" w:color="auto"/>
              <w:right w:val="single" w:sz="4" w:space="0" w:color="auto"/>
            </w:tcBorders>
            <w:shd w:val="clear" w:color="000000" w:fill="BDE3FF"/>
            <w:noWrap/>
            <w:hideMark/>
          </w:tcPr>
          <w:p w14:paraId="662EA82D" w14:textId="77777777" w:rsidR="001E1853" w:rsidRPr="002D10CF" w:rsidRDefault="001E1853" w:rsidP="006A7B4C">
            <w:pPr>
              <w:rPr>
                <w:rFonts w:ascii="Arial" w:hAnsi="Arial" w:cs="Arial"/>
                <w:noProof/>
                <w:color w:val="000000"/>
                <w:sz w:val="20"/>
                <w:szCs w:val="20"/>
              </w:rPr>
            </w:pPr>
            <w:r w:rsidRPr="002D10CF">
              <w:rPr>
                <w:rFonts w:ascii="Arial" w:hAnsi="Arial" w:cs="Arial"/>
                <w:noProof/>
                <w:color w:val="000000"/>
                <w:sz w:val="20"/>
                <w:szCs w:val="20"/>
              </w:rPr>
              <w:t> </w:t>
            </w:r>
          </w:p>
        </w:tc>
        <w:tc>
          <w:tcPr>
            <w:tcW w:w="659" w:type="pct"/>
            <w:tcBorders>
              <w:top w:val="single" w:sz="4" w:space="0" w:color="auto"/>
              <w:left w:val="nil"/>
              <w:bottom w:val="single" w:sz="4" w:space="0" w:color="auto"/>
              <w:right w:val="single" w:sz="4" w:space="0" w:color="auto"/>
            </w:tcBorders>
            <w:shd w:val="clear" w:color="000000" w:fill="BDE3FF"/>
            <w:noWrap/>
            <w:hideMark/>
          </w:tcPr>
          <w:p w14:paraId="26F6AEA6" w14:textId="77777777" w:rsidR="001E1853" w:rsidRPr="002D10CF" w:rsidRDefault="001E1853" w:rsidP="006A7B4C">
            <w:pPr>
              <w:rPr>
                <w:rFonts w:ascii="Arial" w:hAnsi="Arial" w:cs="Arial"/>
                <w:noProof/>
                <w:color w:val="000000"/>
                <w:sz w:val="20"/>
                <w:szCs w:val="20"/>
              </w:rPr>
            </w:pPr>
            <w:r w:rsidRPr="002D10CF">
              <w:rPr>
                <w:rFonts w:ascii="Arial" w:hAnsi="Arial" w:cs="Arial"/>
                <w:noProof/>
                <w:color w:val="000000"/>
                <w:sz w:val="20"/>
                <w:szCs w:val="20"/>
              </w:rPr>
              <w:t> </w:t>
            </w:r>
          </w:p>
        </w:tc>
        <w:tc>
          <w:tcPr>
            <w:tcW w:w="659" w:type="pct"/>
            <w:tcBorders>
              <w:top w:val="single" w:sz="4" w:space="0" w:color="auto"/>
              <w:left w:val="nil"/>
              <w:bottom w:val="single" w:sz="4" w:space="0" w:color="auto"/>
              <w:right w:val="single" w:sz="4" w:space="0" w:color="auto"/>
            </w:tcBorders>
            <w:shd w:val="clear" w:color="000000" w:fill="BDE3FF"/>
            <w:noWrap/>
            <w:hideMark/>
          </w:tcPr>
          <w:p w14:paraId="6096EA26" w14:textId="77777777" w:rsidR="001E1853" w:rsidRPr="002D10CF" w:rsidRDefault="001E1853" w:rsidP="006A7B4C">
            <w:pPr>
              <w:rPr>
                <w:rFonts w:ascii="Arial" w:hAnsi="Arial" w:cs="Arial"/>
                <w:noProof/>
                <w:color w:val="000000"/>
                <w:sz w:val="20"/>
                <w:szCs w:val="20"/>
              </w:rPr>
            </w:pPr>
            <w:r w:rsidRPr="002D10CF">
              <w:rPr>
                <w:rFonts w:ascii="Arial" w:hAnsi="Arial" w:cs="Arial"/>
                <w:noProof/>
                <w:color w:val="000000"/>
                <w:sz w:val="20"/>
                <w:szCs w:val="20"/>
              </w:rPr>
              <w:t> </w:t>
            </w:r>
          </w:p>
        </w:tc>
        <w:tc>
          <w:tcPr>
            <w:tcW w:w="659" w:type="pct"/>
            <w:tcBorders>
              <w:top w:val="single" w:sz="4" w:space="0" w:color="auto"/>
              <w:left w:val="nil"/>
              <w:bottom w:val="single" w:sz="4" w:space="0" w:color="auto"/>
              <w:right w:val="single" w:sz="4" w:space="0" w:color="auto"/>
            </w:tcBorders>
            <w:shd w:val="clear" w:color="000000" w:fill="BDE3FF"/>
            <w:noWrap/>
            <w:hideMark/>
          </w:tcPr>
          <w:p w14:paraId="18A19776" w14:textId="77777777" w:rsidR="001E1853" w:rsidRPr="002D10CF" w:rsidRDefault="001E1853" w:rsidP="006A7B4C">
            <w:pPr>
              <w:rPr>
                <w:rFonts w:ascii="Arial" w:hAnsi="Arial" w:cs="Arial"/>
                <w:noProof/>
                <w:color w:val="000000"/>
                <w:sz w:val="20"/>
                <w:szCs w:val="20"/>
              </w:rPr>
            </w:pPr>
            <w:r w:rsidRPr="002D10CF">
              <w:rPr>
                <w:rFonts w:ascii="Arial" w:hAnsi="Arial" w:cs="Arial"/>
                <w:noProof/>
                <w:color w:val="000000"/>
                <w:sz w:val="20"/>
                <w:szCs w:val="20"/>
              </w:rPr>
              <w:t> </w:t>
            </w:r>
          </w:p>
        </w:tc>
      </w:tr>
      <w:tr w:rsidR="001E1853" w:rsidRPr="002D10CF" w14:paraId="626C33DE"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4762C41A" w14:textId="77777777" w:rsidR="001E1853" w:rsidRPr="002D10CF" w:rsidRDefault="001E1853" w:rsidP="006A7B4C">
            <w:pPr>
              <w:rPr>
                <w:noProof/>
                <w:color w:val="000000"/>
                <w:sz w:val="20"/>
                <w:szCs w:val="20"/>
              </w:rPr>
            </w:pPr>
            <w:r w:rsidRPr="002D10CF">
              <w:rPr>
                <w:noProof/>
                <w:color w:val="000000"/>
                <w:sz w:val="20"/>
                <w:szCs w:val="20"/>
              </w:rPr>
              <w:t>Total external costs savings, of which:</w:t>
            </w:r>
          </w:p>
        </w:tc>
        <w:tc>
          <w:tcPr>
            <w:tcW w:w="659" w:type="pct"/>
            <w:tcBorders>
              <w:top w:val="nil"/>
              <w:left w:val="nil"/>
              <w:bottom w:val="single" w:sz="4" w:space="0" w:color="auto"/>
              <w:right w:val="single" w:sz="4" w:space="0" w:color="auto"/>
            </w:tcBorders>
            <w:shd w:val="clear" w:color="000000" w:fill="FFFFFF"/>
            <w:noWrap/>
            <w:hideMark/>
          </w:tcPr>
          <w:p w14:paraId="3309F263" w14:textId="77777777" w:rsidR="001E1853" w:rsidRPr="002D10CF" w:rsidRDefault="001E1853" w:rsidP="006A7B4C">
            <w:pPr>
              <w:jc w:val="right"/>
              <w:rPr>
                <w:noProof/>
                <w:color w:val="000000"/>
                <w:sz w:val="20"/>
                <w:szCs w:val="20"/>
              </w:rPr>
            </w:pPr>
            <w:r w:rsidRPr="002D10CF">
              <w:rPr>
                <w:noProof/>
                <w:color w:val="000000"/>
                <w:sz w:val="20"/>
                <w:szCs w:val="20"/>
              </w:rPr>
              <w:t>-34%</w:t>
            </w:r>
          </w:p>
        </w:tc>
        <w:tc>
          <w:tcPr>
            <w:tcW w:w="659" w:type="pct"/>
            <w:tcBorders>
              <w:top w:val="nil"/>
              <w:left w:val="nil"/>
              <w:bottom w:val="single" w:sz="4" w:space="0" w:color="auto"/>
              <w:right w:val="single" w:sz="4" w:space="0" w:color="auto"/>
            </w:tcBorders>
            <w:shd w:val="clear" w:color="000000" w:fill="FFFFFF"/>
            <w:noWrap/>
            <w:hideMark/>
          </w:tcPr>
          <w:p w14:paraId="1FA48ABF" w14:textId="77777777" w:rsidR="001E1853" w:rsidRPr="002D10CF" w:rsidRDefault="001E1853" w:rsidP="006A7B4C">
            <w:pPr>
              <w:jc w:val="right"/>
              <w:rPr>
                <w:noProof/>
                <w:color w:val="000000"/>
                <w:sz w:val="20"/>
                <w:szCs w:val="20"/>
              </w:rPr>
            </w:pPr>
            <w:r w:rsidRPr="002D10CF">
              <w:rPr>
                <w:noProof/>
                <w:color w:val="000000"/>
                <w:sz w:val="20"/>
                <w:szCs w:val="20"/>
              </w:rPr>
              <w:t>-37%</w:t>
            </w:r>
          </w:p>
        </w:tc>
        <w:tc>
          <w:tcPr>
            <w:tcW w:w="659" w:type="pct"/>
            <w:tcBorders>
              <w:top w:val="nil"/>
              <w:left w:val="nil"/>
              <w:bottom w:val="single" w:sz="4" w:space="0" w:color="auto"/>
              <w:right w:val="single" w:sz="4" w:space="0" w:color="auto"/>
            </w:tcBorders>
            <w:shd w:val="clear" w:color="000000" w:fill="FFFFFF"/>
            <w:noWrap/>
            <w:hideMark/>
          </w:tcPr>
          <w:p w14:paraId="066B7F82" w14:textId="77777777" w:rsidR="001E1853" w:rsidRPr="002D10CF" w:rsidRDefault="001E1853" w:rsidP="006A7B4C">
            <w:pPr>
              <w:jc w:val="right"/>
              <w:rPr>
                <w:noProof/>
                <w:color w:val="000000"/>
                <w:sz w:val="20"/>
                <w:szCs w:val="20"/>
              </w:rPr>
            </w:pPr>
            <w:r w:rsidRPr="002D10CF">
              <w:rPr>
                <w:noProof/>
                <w:color w:val="000000"/>
                <w:sz w:val="20"/>
                <w:szCs w:val="20"/>
              </w:rPr>
              <w:t>-39%</w:t>
            </w:r>
          </w:p>
        </w:tc>
        <w:tc>
          <w:tcPr>
            <w:tcW w:w="659" w:type="pct"/>
            <w:tcBorders>
              <w:top w:val="nil"/>
              <w:left w:val="nil"/>
              <w:bottom w:val="single" w:sz="4" w:space="0" w:color="auto"/>
              <w:right w:val="single" w:sz="4" w:space="0" w:color="auto"/>
            </w:tcBorders>
            <w:shd w:val="clear" w:color="000000" w:fill="FFFFFF"/>
            <w:noWrap/>
            <w:hideMark/>
          </w:tcPr>
          <w:p w14:paraId="65074197" w14:textId="77777777" w:rsidR="001E1853" w:rsidRPr="002D10CF" w:rsidRDefault="001E1853" w:rsidP="006A7B4C">
            <w:pPr>
              <w:jc w:val="right"/>
              <w:rPr>
                <w:noProof/>
                <w:color w:val="000000"/>
                <w:sz w:val="20"/>
                <w:szCs w:val="20"/>
              </w:rPr>
            </w:pPr>
            <w:r w:rsidRPr="002D10CF">
              <w:rPr>
                <w:noProof/>
                <w:color w:val="000000"/>
                <w:sz w:val="20"/>
                <w:szCs w:val="20"/>
              </w:rPr>
              <w:t>-37%</w:t>
            </w:r>
          </w:p>
        </w:tc>
      </w:tr>
      <w:tr w:rsidR="001E1853" w:rsidRPr="002D10CF" w14:paraId="0CE282E9"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6C0EA8B5" w14:textId="77777777" w:rsidR="001E1853" w:rsidRPr="002D10CF" w:rsidRDefault="001E1853" w:rsidP="006A7B4C">
            <w:pPr>
              <w:ind w:firstLineChars="100" w:firstLine="200"/>
              <w:rPr>
                <w:noProof/>
                <w:color w:val="000000"/>
                <w:sz w:val="20"/>
                <w:szCs w:val="20"/>
              </w:rPr>
            </w:pPr>
            <w:r w:rsidRPr="002D10CF">
              <w:rPr>
                <w:noProof/>
                <w:color w:val="000000"/>
                <w:sz w:val="20"/>
                <w:szCs w:val="20"/>
              </w:rPr>
              <w:t xml:space="preserve"> </w:t>
            </w:r>
            <w:r>
              <w:rPr>
                <w:noProof/>
                <w:color w:val="000000"/>
                <w:sz w:val="20"/>
                <w:szCs w:val="20"/>
              </w:rPr>
              <w:t>CO</w:t>
            </w:r>
            <w:r w:rsidRPr="00514383">
              <w:rPr>
                <w:noProof/>
                <w:color w:val="000000"/>
                <w:sz w:val="20"/>
                <w:szCs w:val="20"/>
                <w:vertAlign w:val="subscript"/>
              </w:rPr>
              <w:t>2</w:t>
            </w:r>
            <w:r w:rsidRPr="002D10CF">
              <w:rPr>
                <w:noProof/>
                <w:color w:val="000000"/>
                <w:sz w:val="20"/>
                <w:szCs w:val="20"/>
              </w:rPr>
              <w:t xml:space="preserve"> emissions </w:t>
            </w:r>
          </w:p>
        </w:tc>
        <w:tc>
          <w:tcPr>
            <w:tcW w:w="659" w:type="pct"/>
            <w:tcBorders>
              <w:top w:val="nil"/>
              <w:left w:val="nil"/>
              <w:bottom w:val="single" w:sz="4" w:space="0" w:color="auto"/>
              <w:right w:val="single" w:sz="4" w:space="0" w:color="auto"/>
            </w:tcBorders>
            <w:shd w:val="clear" w:color="000000" w:fill="FFFFFF"/>
            <w:noWrap/>
            <w:hideMark/>
          </w:tcPr>
          <w:p w14:paraId="096B1886" w14:textId="77777777" w:rsidR="001E1853" w:rsidRPr="002D10CF" w:rsidRDefault="001E1853" w:rsidP="006A7B4C">
            <w:pPr>
              <w:jc w:val="right"/>
              <w:rPr>
                <w:noProof/>
                <w:color w:val="000000"/>
                <w:sz w:val="20"/>
                <w:szCs w:val="20"/>
              </w:rPr>
            </w:pPr>
            <w:r w:rsidRPr="002D10CF">
              <w:rPr>
                <w:noProof/>
                <w:color w:val="000000"/>
                <w:sz w:val="20"/>
                <w:szCs w:val="20"/>
              </w:rPr>
              <w:t>-34%</w:t>
            </w:r>
          </w:p>
        </w:tc>
        <w:tc>
          <w:tcPr>
            <w:tcW w:w="659" w:type="pct"/>
            <w:tcBorders>
              <w:top w:val="nil"/>
              <w:left w:val="nil"/>
              <w:bottom w:val="single" w:sz="4" w:space="0" w:color="auto"/>
              <w:right w:val="single" w:sz="4" w:space="0" w:color="auto"/>
            </w:tcBorders>
            <w:shd w:val="clear" w:color="000000" w:fill="FFFFFF"/>
            <w:noWrap/>
            <w:hideMark/>
          </w:tcPr>
          <w:p w14:paraId="6C988E64" w14:textId="77777777" w:rsidR="001E1853" w:rsidRPr="002D10CF" w:rsidRDefault="001E1853" w:rsidP="006A7B4C">
            <w:pPr>
              <w:jc w:val="right"/>
              <w:rPr>
                <w:noProof/>
                <w:color w:val="000000"/>
                <w:sz w:val="20"/>
                <w:szCs w:val="20"/>
              </w:rPr>
            </w:pPr>
            <w:r w:rsidRPr="002D10CF">
              <w:rPr>
                <w:noProof/>
                <w:color w:val="000000"/>
                <w:sz w:val="20"/>
                <w:szCs w:val="20"/>
              </w:rPr>
              <w:t>-37%</w:t>
            </w:r>
          </w:p>
        </w:tc>
        <w:tc>
          <w:tcPr>
            <w:tcW w:w="659" w:type="pct"/>
            <w:tcBorders>
              <w:top w:val="nil"/>
              <w:left w:val="nil"/>
              <w:bottom w:val="single" w:sz="4" w:space="0" w:color="auto"/>
              <w:right w:val="single" w:sz="4" w:space="0" w:color="auto"/>
            </w:tcBorders>
            <w:shd w:val="clear" w:color="000000" w:fill="FFFFFF"/>
            <w:noWrap/>
            <w:hideMark/>
          </w:tcPr>
          <w:p w14:paraId="339B77A2" w14:textId="77777777" w:rsidR="001E1853" w:rsidRPr="002D10CF" w:rsidRDefault="001E1853" w:rsidP="006A7B4C">
            <w:pPr>
              <w:jc w:val="right"/>
              <w:rPr>
                <w:noProof/>
                <w:color w:val="000000"/>
                <w:sz w:val="20"/>
                <w:szCs w:val="20"/>
              </w:rPr>
            </w:pPr>
            <w:r w:rsidRPr="002D10CF">
              <w:rPr>
                <w:noProof/>
                <w:color w:val="000000"/>
                <w:sz w:val="20"/>
                <w:szCs w:val="20"/>
              </w:rPr>
              <w:t>-39%</w:t>
            </w:r>
          </w:p>
        </w:tc>
        <w:tc>
          <w:tcPr>
            <w:tcW w:w="659" w:type="pct"/>
            <w:tcBorders>
              <w:top w:val="nil"/>
              <w:left w:val="nil"/>
              <w:bottom w:val="single" w:sz="4" w:space="0" w:color="auto"/>
              <w:right w:val="single" w:sz="4" w:space="0" w:color="auto"/>
            </w:tcBorders>
            <w:shd w:val="clear" w:color="000000" w:fill="FFFFFF"/>
            <w:noWrap/>
            <w:hideMark/>
          </w:tcPr>
          <w:p w14:paraId="6E494B81" w14:textId="77777777" w:rsidR="001E1853" w:rsidRPr="002D10CF" w:rsidRDefault="001E1853" w:rsidP="006A7B4C">
            <w:pPr>
              <w:jc w:val="right"/>
              <w:rPr>
                <w:noProof/>
                <w:color w:val="000000"/>
                <w:sz w:val="20"/>
                <w:szCs w:val="20"/>
              </w:rPr>
            </w:pPr>
            <w:r w:rsidRPr="002D10CF">
              <w:rPr>
                <w:noProof/>
                <w:color w:val="000000"/>
                <w:sz w:val="20"/>
                <w:szCs w:val="20"/>
              </w:rPr>
              <w:t>-37%</w:t>
            </w:r>
          </w:p>
        </w:tc>
      </w:tr>
      <w:tr w:rsidR="001E1853" w:rsidRPr="002D10CF" w14:paraId="7652F058"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68C4DF9C" w14:textId="77777777" w:rsidR="001E1853" w:rsidRPr="002D10CF" w:rsidRDefault="001E1853" w:rsidP="006A7B4C">
            <w:pPr>
              <w:ind w:firstLineChars="100" w:firstLine="200"/>
              <w:rPr>
                <w:noProof/>
                <w:color w:val="000000"/>
                <w:sz w:val="20"/>
                <w:szCs w:val="20"/>
              </w:rPr>
            </w:pPr>
            <w:r w:rsidRPr="002D10CF">
              <w:rPr>
                <w:noProof/>
                <w:color w:val="000000"/>
                <w:sz w:val="20"/>
                <w:szCs w:val="20"/>
              </w:rPr>
              <w:t xml:space="preserve"> Air pollutant emissions </w:t>
            </w:r>
          </w:p>
        </w:tc>
        <w:tc>
          <w:tcPr>
            <w:tcW w:w="659" w:type="pct"/>
            <w:tcBorders>
              <w:top w:val="nil"/>
              <w:left w:val="nil"/>
              <w:bottom w:val="single" w:sz="4" w:space="0" w:color="auto"/>
              <w:right w:val="single" w:sz="4" w:space="0" w:color="auto"/>
            </w:tcBorders>
            <w:shd w:val="clear" w:color="000000" w:fill="FFFFFF"/>
            <w:noWrap/>
            <w:hideMark/>
          </w:tcPr>
          <w:p w14:paraId="63C36200" w14:textId="77777777" w:rsidR="001E1853" w:rsidRPr="002D10CF" w:rsidRDefault="001E1853" w:rsidP="006A7B4C">
            <w:pPr>
              <w:jc w:val="right"/>
              <w:rPr>
                <w:noProof/>
                <w:color w:val="000000"/>
                <w:sz w:val="20"/>
                <w:szCs w:val="20"/>
              </w:rPr>
            </w:pPr>
            <w:r w:rsidRPr="002D10CF">
              <w:rPr>
                <w:noProof/>
                <w:color w:val="000000"/>
                <w:sz w:val="20"/>
                <w:szCs w:val="20"/>
              </w:rPr>
              <w:t>-37%</w:t>
            </w:r>
          </w:p>
        </w:tc>
        <w:tc>
          <w:tcPr>
            <w:tcW w:w="659" w:type="pct"/>
            <w:tcBorders>
              <w:top w:val="nil"/>
              <w:left w:val="nil"/>
              <w:bottom w:val="single" w:sz="4" w:space="0" w:color="auto"/>
              <w:right w:val="single" w:sz="4" w:space="0" w:color="auto"/>
            </w:tcBorders>
            <w:shd w:val="clear" w:color="000000" w:fill="FFFFFF"/>
            <w:noWrap/>
            <w:hideMark/>
          </w:tcPr>
          <w:p w14:paraId="59937D47" w14:textId="77777777" w:rsidR="001E1853" w:rsidRPr="002D10CF" w:rsidRDefault="001E1853" w:rsidP="006A7B4C">
            <w:pPr>
              <w:jc w:val="right"/>
              <w:rPr>
                <w:noProof/>
                <w:color w:val="000000"/>
                <w:sz w:val="20"/>
                <w:szCs w:val="20"/>
              </w:rPr>
            </w:pPr>
            <w:r w:rsidRPr="002D10CF">
              <w:rPr>
                <w:noProof/>
                <w:color w:val="000000"/>
                <w:sz w:val="20"/>
                <w:szCs w:val="20"/>
              </w:rPr>
              <w:t>-40%</w:t>
            </w:r>
          </w:p>
        </w:tc>
        <w:tc>
          <w:tcPr>
            <w:tcW w:w="659" w:type="pct"/>
            <w:tcBorders>
              <w:top w:val="nil"/>
              <w:left w:val="nil"/>
              <w:bottom w:val="single" w:sz="4" w:space="0" w:color="auto"/>
              <w:right w:val="single" w:sz="4" w:space="0" w:color="auto"/>
            </w:tcBorders>
            <w:shd w:val="clear" w:color="000000" w:fill="FFFFFF"/>
            <w:noWrap/>
            <w:hideMark/>
          </w:tcPr>
          <w:p w14:paraId="0A3A007C" w14:textId="77777777" w:rsidR="001E1853" w:rsidRPr="002D10CF" w:rsidRDefault="001E1853" w:rsidP="006A7B4C">
            <w:pPr>
              <w:jc w:val="right"/>
              <w:rPr>
                <w:noProof/>
                <w:color w:val="000000"/>
                <w:sz w:val="20"/>
                <w:szCs w:val="20"/>
              </w:rPr>
            </w:pPr>
            <w:r w:rsidRPr="002D10CF">
              <w:rPr>
                <w:noProof/>
                <w:color w:val="000000"/>
                <w:sz w:val="20"/>
                <w:szCs w:val="20"/>
              </w:rPr>
              <w:t>-42%</w:t>
            </w:r>
          </w:p>
        </w:tc>
        <w:tc>
          <w:tcPr>
            <w:tcW w:w="659" w:type="pct"/>
            <w:tcBorders>
              <w:top w:val="nil"/>
              <w:left w:val="nil"/>
              <w:bottom w:val="single" w:sz="4" w:space="0" w:color="auto"/>
              <w:right w:val="single" w:sz="4" w:space="0" w:color="auto"/>
            </w:tcBorders>
            <w:shd w:val="clear" w:color="000000" w:fill="FFFFFF"/>
            <w:noWrap/>
            <w:hideMark/>
          </w:tcPr>
          <w:p w14:paraId="6E3159E7" w14:textId="77777777" w:rsidR="001E1853" w:rsidRPr="002D10CF" w:rsidRDefault="001E1853" w:rsidP="006A7B4C">
            <w:pPr>
              <w:jc w:val="right"/>
              <w:rPr>
                <w:noProof/>
                <w:color w:val="000000"/>
                <w:sz w:val="20"/>
                <w:szCs w:val="20"/>
              </w:rPr>
            </w:pPr>
            <w:r w:rsidRPr="002D10CF">
              <w:rPr>
                <w:noProof/>
                <w:color w:val="000000"/>
                <w:sz w:val="20"/>
                <w:szCs w:val="20"/>
              </w:rPr>
              <w:t>-40%</w:t>
            </w:r>
          </w:p>
        </w:tc>
      </w:tr>
      <w:tr w:rsidR="001E1853" w:rsidRPr="002D10CF" w14:paraId="6FFE8DBD"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66DB62DE" w14:textId="77777777" w:rsidR="001E1853" w:rsidRPr="002D10CF" w:rsidRDefault="001E1853" w:rsidP="006A7B4C">
            <w:pPr>
              <w:ind w:firstLineChars="100" w:firstLine="200"/>
              <w:rPr>
                <w:noProof/>
                <w:color w:val="000000"/>
                <w:sz w:val="20"/>
                <w:szCs w:val="20"/>
              </w:rPr>
            </w:pPr>
            <w:r w:rsidRPr="002D10CF">
              <w:rPr>
                <w:noProof/>
                <w:color w:val="000000"/>
                <w:sz w:val="20"/>
                <w:szCs w:val="20"/>
              </w:rPr>
              <w:t xml:space="preserve"> Fatalities and injuries </w:t>
            </w:r>
          </w:p>
        </w:tc>
        <w:tc>
          <w:tcPr>
            <w:tcW w:w="659" w:type="pct"/>
            <w:tcBorders>
              <w:top w:val="nil"/>
              <w:left w:val="nil"/>
              <w:bottom w:val="single" w:sz="4" w:space="0" w:color="auto"/>
              <w:right w:val="single" w:sz="4" w:space="0" w:color="auto"/>
            </w:tcBorders>
            <w:shd w:val="clear" w:color="000000" w:fill="FFFFFF"/>
            <w:noWrap/>
            <w:hideMark/>
          </w:tcPr>
          <w:p w14:paraId="096CC514" w14:textId="77777777" w:rsidR="001E1853" w:rsidRPr="002D10CF" w:rsidRDefault="001E1853" w:rsidP="006A7B4C">
            <w:pPr>
              <w:jc w:val="right"/>
              <w:rPr>
                <w:noProof/>
                <w:color w:val="000000"/>
                <w:sz w:val="20"/>
                <w:szCs w:val="20"/>
              </w:rPr>
            </w:pPr>
            <w:r w:rsidRPr="002D10CF">
              <w:rPr>
                <w:noProof/>
                <w:color w:val="000000"/>
                <w:sz w:val="20"/>
                <w:szCs w:val="20"/>
              </w:rPr>
              <w:t>-35%</w:t>
            </w:r>
          </w:p>
        </w:tc>
        <w:tc>
          <w:tcPr>
            <w:tcW w:w="659" w:type="pct"/>
            <w:tcBorders>
              <w:top w:val="nil"/>
              <w:left w:val="nil"/>
              <w:bottom w:val="single" w:sz="4" w:space="0" w:color="auto"/>
              <w:right w:val="single" w:sz="4" w:space="0" w:color="auto"/>
            </w:tcBorders>
            <w:shd w:val="clear" w:color="000000" w:fill="FFFFFF"/>
            <w:noWrap/>
            <w:hideMark/>
          </w:tcPr>
          <w:p w14:paraId="2CD14F5B" w14:textId="77777777" w:rsidR="001E1853" w:rsidRPr="002D10CF" w:rsidRDefault="001E1853" w:rsidP="006A7B4C">
            <w:pPr>
              <w:jc w:val="right"/>
              <w:rPr>
                <w:noProof/>
                <w:color w:val="000000"/>
                <w:sz w:val="20"/>
                <w:szCs w:val="20"/>
              </w:rPr>
            </w:pPr>
            <w:r w:rsidRPr="002D10CF">
              <w:rPr>
                <w:noProof/>
                <w:color w:val="000000"/>
                <w:sz w:val="20"/>
                <w:szCs w:val="20"/>
              </w:rPr>
              <w:t>-36%</w:t>
            </w:r>
          </w:p>
        </w:tc>
        <w:tc>
          <w:tcPr>
            <w:tcW w:w="659" w:type="pct"/>
            <w:tcBorders>
              <w:top w:val="nil"/>
              <w:left w:val="nil"/>
              <w:bottom w:val="single" w:sz="4" w:space="0" w:color="auto"/>
              <w:right w:val="single" w:sz="4" w:space="0" w:color="auto"/>
            </w:tcBorders>
            <w:shd w:val="clear" w:color="000000" w:fill="FFFFFF"/>
            <w:noWrap/>
            <w:hideMark/>
          </w:tcPr>
          <w:p w14:paraId="74DE2DA6" w14:textId="77777777" w:rsidR="001E1853" w:rsidRPr="002D10CF" w:rsidRDefault="001E1853" w:rsidP="006A7B4C">
            <w:pPr>
              <w:jc w:val="right"/>
              <w:rPr>
                <w:noProof/>
                <w:color w:val="000000"/>
                <w:sz w:val="20"/>
                <w:szCs w:val="20"/>
              </w:rPr>
            </w:pPr>
            <w:r w:rsidRPr="002D10CF">
              <w:rPr>
                <w:noProof/>
                <w:color w:val="000000"/>
                <w:sz w:val="20"/>
                <w:szCs w:val="20"/>
              </w:rPr>
              <w:t>-39%</w:t>
            </w:r>
          </w:p>
        </w:tc>
        <w:tc>
          <w:tcPr>
            <w:tcW w:w="659" w:type="pct"/>
            <w:tcBorders>
              <w:top w:val="nil"/>
              <w:left w:val="nil"/>
              <w:bottom w:val="single" w:sz="4" w:space="0" w:color="auto"/>
              <w:right w:val="single" w:sz="4" w:space="0" w:color="auto"/>
            </w:tcBorders>
            <w:shd w:val="clear" w:color="000000" w:fill="FFFFFF"/>
            <w:noWrap/>
            <w:hideMark/>
          </w:tcPr>
          <w:p w14:paraId="0A8A201C" w14:textId="77777777" w:rsidR="001E1853" w:rsidRPr="002D10CF" w:rsidRDefault="001E1853" w:rsidP="006A7B4C">
            <w:pPr>
              <w:jc w:val="right"/>
              <w:rPr>
                <w:noProof/>
                <w:color w:val="000000"/>
                <w:sz w:val="20"/>
                <w:szCs w:val="20"/>
              </w:rPr>
            </w:pPr>
            <w:r w:rsidRPr="002D10CF">
              <w:rPr>
                <w:noProof/>
                <w:color w:val="000000"/>
                <w:sz w:val="20"/>
                <w:szCs w:val="20"/>
              </w:rPr>
              <w:t>-37%</w:t>
            </w:r>
          </w:p>
        </w:tc>
      </w:tr>
      <w:tr w:rsidR="001E1853" w:rsidRPr="002D10CF" w14:paraId="1985B4E1"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13907503" w14:textId="77777777" w:rsidR="001E1853" w:rsidRPr="002D10CF" w:rsidRDefault="001E1853" w:rsidP="006A7B4C">
            <w:pPr>
              <w:ind w:firstLineChars="100" w:firstLine="200"/>
              <w:rPr>
                <w:noProof/>
                <w:color w:val="000000"/>
                <w:sz w:val="20"/>
                <w:szCs w:val="20"/>
              </w:rPr>
            </w:pPr>
            <w:r w:rsidRPr="002D10CF">
              <w:rPr>
                <w:noProof/>
                <w:color w:val="000000"/>
                <w:sz w:val="20"/>
                <w:szCs w:val="20"/>
              </w:rPr>
              <w:t xml:space="preserve"> Road congestion </w:t>
            </w:r>
          </w:p>
        </w:tc>
        <w:tc>
          <w:tcPr>
            <w:tcW w:w="659" w:type="pct"/>
            <w:tcBorders>
              <w:top w:val="nil"/>
              <w:left w:val="nil"/>
              <w:bottom w:val="single" w:sz="4" w:space="0" w:color="auto"/>
              <w:right w:val="single" w:sz="4" w:space="0" w:color="auto"/>
            </w:tcBorders>
            <w:shd w:val="clear" w:color="000000" w:fill="FFFFFF"/>
            <w:noWrap/>
            <w:hideMark/>
          </w:tcPr>
          <w:p w14:paraId="27E5B68E" w14:textId="77777777" w:rsidR="001E1853" w:rsidRPr="002D10CF" w:rsidRDefault="001E1853" w:rsidP="006A7B4C">
            <w:pPr>
              <w:jc w:val="right"/>
              <w:rPr>
                <w:noProof/>
                <w:color w:val="000000"/>
                <w:sz w:val="20"/>
                <w:szCs w:val="20"/>
              </w:rPr>
            </w:pPr>
            <w:r w:rsidRPr="002D10CF">
              <w:rPr>
                <w:noProof/>
                <w:color w:val="000000"/>
                <w:sz w:val="20"/>
                <w:szCs w:val="20"/>
              </w:rPr>
              <w:t>-29%</w:t>
            </w:r>
          </w:p>
        </w:tc>
        <w:tc>
          <w:tcPr>
            <w:tcW w:w="659" w:type="pct"/>
            <w:tcBorders>
              <w:top w:val="nil"/>
              <w:left w:val="nil"/>
              <w:bottom w:val="single" w:sz="4" w:space="0" w:color="auto"/>
              <w:right w:val="single" w:sz="4" w:space="0" w:color="auto"/>
            </w:tcBorders>
            <w:shd w:val="clear" w:color="000000" w:fill="FFFFFF"/>
            <w:noWrap/>
            <w:hideMark/>
          </w:tcPr>
          <w:p w14:paraId="32991D7C" w14:textId="77777777" w:rsidR="001E1853" w:rsidRPr="002D10CF" w:rsidRDefault="001E1853" w:rsidP="006A7B4C">
            <w:pPr>
              <w:jc w:val="right"/>
              <w:rPr>
                <w:noProof/>
                <w:color w:val="000000"/>
                <w:sz w:val="20"/>
                <w:szCs w:val="20"/>
              </w:rPr>
            </w:pPr>
            <w:r w:rsidRPr="002D10CF">
              <w:rPr>
                <w:noProof/>
                <w:color w:val="000000"/>
                <w:sz w:val="20"/>
                <w:szCs w:val="20"/>
              </w:rPr>
              <w:t>-40%</w:t>
            </w:r>
          </w:p>
        </w:tc>
        <w:tc>
          <w:tcPr>
            <w:tcW w:w="659" w:type="pct"/>
            <w:tcBorders>
              <w:top w:val="nil"/>
              <w:left w:val="nil"/>
              <w:bottom w:val="single" w:sz="4" w:space="0" w:color="auto"/>
              <w:right w:val="single" w:sz="4" w:space="0" w:color="auto"/>
            </w:tcBorders>
            <w:shd w:val="clear" w:color="000000" w:fill="FFFFFF"/>
            <w:noWrap/>
            <w:hideMark/>
          </w:tcPr>
          <w:p w14:paraId="370CE4DB" w14:textId="77777777" w:rsidR="001E1853" w:rsidRPr="002D10CF" w:rsidRDefault="001E1853" w:rsidP="006A7B4C">
            <w:pPr>
              <w:jc w:val="right"/>
              <w:rPr>
                <w:noProof/>
                <w:color w:val="000000"/>
                <w:sz w:val="20"/>
                <w:szCs w:val="20"/>
              </w:rPr>
            </w:pPr>
            <w:r w:rsidRPr="002D10CF">
              <w:rPr>
                <w:noProof/>
                <w:color w:val="000000"/>
                <w:sz w:val="20"/>
                <w:szCs w:val="20"/>
              </w:rPr>
              <w:t>-42%</w:t>
            </w:r>
          </w:p>
        </w:tc>
        <w:tc>
          <w:tcPr>
            <w:tcW w:w="659" w:type="pct"/>
            <w:tcBorders>
              <w:top w:val="nil"/>
              <w:left w:val="nil"/>
              <w:bottom w:val="single" w:sz="4" w:space="0" w:color="auto"/>
              <w:right w:val="single" w:sz="4" w:space="0" w:color="auto"/>
            </w:tcBorders>
            <w:shd w:val="clear" w:color="000000" w:fill="FFFFFF"/>
            <w:noWrap/>
            <w:hideMark/>
          </w:tcPr>
          <w:p w14:paraId="04B471FD" w14:textId="77777777" w:rsidR="001E1853" w:rsidRPr="002D10CF" w:rsidRDefault="001E1853" w:rsidP="006A7B4C">
            <w:pPr>
              <w:jc w:val="right"/>
              <w:rPr>
                <w:noProof/>
                <w:color w:val="000000"/>
                <w:sz w:val="20"/>
                <w:szCs w:val="20"/>
              </w:rPr>
            </w:pPr>
            <w:r w:rsidRPr="002D10CF">
              <w:rPr>
                <w:noProof/>
                <w:color w:val="000000"/>
                <w:sz w:val="20"/>
                <w:szCs w:val="20"/>
              </w:rPr>
              <w:t>-40%</w:t>
            </w:r>
          </w:p>
        </w:tc>
      </w:tr>
      <w:tr w:rsidR="001E1853" w:rsidRPr="002D10CF" w14:paraId="7D193189" w14:textId="77777777" w:rsidTr="006A7B4C">
        <w:trPr>
          <w:trHeight w:val="255"/>
        </w:trPr>
        <w:tc>
          <w:tcPr>
            <w:tcW w:w="2363" w:type="pct"/>
            <w:tcBorders>
              <w:top w:val="nil"/>
              <w:left w:val="single" w:sz="4" w:space="0" w:color="auto"/>
              <w:bottom w:val="single" w:sz="4" w:space="0" w:color="auto"/>
              <w:right w:val="single" w:sz="4" w:space="0" w:color="auto"/>
            </w:tcBorders>
            <w:shd w:val="clear" w:color="000000" w:fill="FFFFFF"/>
            <w:noWrap/>
            <w:hideMark/>
          </w:tcPr>
          <w:p w14:paraId="3978D788" w14:textId="77777777" w:rsidR="001E1853" w:rsidRPr="002D10CF" w:rsidRDefault="001E1853" w:rsidP="006A7B4C">
            <w:pPr>
              <w:ind w:firstLineChars="100" w:firstLine="200"/>
              <w:rPr>
                <w:noProof/>
                <w:color w:val="000000"/>
                <w:sz w:val="20"/>
                <w:szCs w:val="20"/>
              </w:rPr>
            </w:pPr>
            <w:r w:rsidRPr="002D10CF">
              <w:rPr>
                <w:noProof/>
                <w:color w:val="000000"/>
                <w:sz w:val="20"/>
                <w:szCs w:val="20"/>
              </w:rPr>
              <w:t xml:space="preserve"> Noise emissions </w:t>
            </w:r>
          </w:p>
        </w:tc>
        <w:tc>
          <w:tcPr>
            <w:tcW w:w="659" w:type="pct"/>
            <w:tcBorders>
              <w:top w:val="nil"/>
              <w:left w:val="nil"/>
              <w:bottom w:val="single" w:sz="4" w:space="0" w:color="auto"/>
              <w:right w:val="single" w:sz="4" w:space="0" w:color="auto"/>
            </w:tcBorders>
            <w:shd w:val="clear" w:color="000000" w:fill="FFFFFF"/>
            <w:noWrap/>
            <w:hideMark/>
          </w:tcPr>
          <w:p w14:paraId="6BF1544B" w14:textId="77777777" w:rsidR="001E1853" w:rsidRPr="002D10CF" w:rsidRDefault="001E1853" w:rsidP="006A7B4C">
            <w:pPr>
              <w:jc w:val="right"/>
              <w:rPr>
                <w:noProof/>
                <w:color w:val="000000"/>
                <w:sz w:val="20"/>
                <w:szCs w:val="20"/>
              </w:rPr>
            </w:pPr>
            <w:r w:rsidRPr="002D10CF">
              <w:rPr>
                <w:noProof/>
                <w:color w:val="000000"/>
                <w:sz w:val="20"/>
                <w:szCs w:val="20"/>
              </w:rPr>
              <w:t>-33%</w:t>
            </w:r>
          </w:p>
        </w:tc>
        <w:tc>
          <w:tcPr>
            <w:tcW w:w="659" w:type="pct"/>
            <w:tcBorders>
              <w:top w:val="nil"/>
              <w:left w:val="nil"/>
              <w:bottom w:val="single" w:sz="4" w:space="0" w:color="auto"/>
              <w:right w:val="single" w:sz="4" w:space="0" w:color="auto"/>
            </w:tcBorders>
            <w:shd w:val="clear" w:color="000000" w:fill="FFFFFF"/>
            <w:noWrap/>
            <w:hideMark/>
          </w:tcPr>
          <w:p w14:paraId="243BC3EC" w14:textId="77777777" w:rsidR="001E1853" w:rsidRPr="002D10CF" w:rsidRDefault="001E1853" w:rsidP="006A7B4C">
            <w:pPr>
              <w:jc w:val="right"/>
              <w:rPr>
                <w:noProof/>
                <w:color w:val="000000"/>
                <w:sz w:val="20"/>
                <w:szCs w:val="20"/>
              </w:rPr>
            </w:pPr>
            <w:r w:rsidRPr="002D10CF">
              <w:rPr>
                <w:noProof/>
                <w:color w:val="000000"/>
                <w:sz w:val="20"/>
                <w:szCs w:val="20"/>
              </w:rPr>
              <w:t>-36%</w:t>
            </w:r>
          </w:p>
        </w:tc>
        <w:tc>
          <w:tcPr>
            <w:tcW w:w="659" w:type="pct"/>
            <w:tcBorders>
              <w:top w:val="nil"/>
              <w:left w:val="nil"/>
              <w:bottom w:val="single" w:sz="4" w:space="0" w:color="auto"/>
              <w:right w:val="single" w:sz="4" w:space="0" w:color="auto"/>
            </w:tcBorders>
            <w:shd w:val="clear" w:color="000000" w:fill="FFFFFF"/>
            <w:noWrap/>
            <w:hideMark/>
          </w:tcPr>
          <w:p w14:paraId="23D8062F" w14:textId="77777777" w:rsidR="001E1853" w:rsidRPr="002D10CF" w:rsidRDefault="001E1853" w:rsidP="006A7B4C">
            <w:pPr>
              <w:jc w:val="right"/>
              <w:rPr>
                <w:noProof/>
                <w:color w:val="000000"/>
                <w:sz w:val="20"/>
                <w:szCs w:val="20"/>
              </w:rPr>
            </w:pPr>
            <w:r w:rsidRPr="002D10CF">
              <w:rPr>
                <w:noProof/>
                <w:color w:val="000000"/>
                <w:sz w:val="20"/>
                <w:szCs w:val="20"/>
              </w:rPr>
              <w:t>-38%</w:t>
            </w:r>
          </w:p>
        </w:tc>
        <w:tc>
          <w:tcPr>
            <w:tcW w:w="659" w:type="pct"/>
            <w:tcBorders>
              <w:top w:val="nil"/>
              <w:left w:val="nil"/>
              <w:bottom w:val="single" w:sz="4" w:space="0" w:color="auto"/>
              <w:right w:val="single" w:sz="4" w:space="0" w:color="auto"/>
            </w:tcBorders>
            <w:shd w:val="clear" w:color="000000" w:fill="FFFFFF"/>
            <w:noWrap/>
            <w:hideMark/>
          </w:tcPr>
          <w:p w14:paraId="3171FD8F" w14:textId="77777777" w:rsidR="001E1853" w:rsidRPr="002D10CF" w:rsidRDefault="001E1853" w:rsidP="006A7B4C">
            <w:pPr>
              <w:jc w:val="right"/>
              <w:rPr>
                <w:noProof/>
                <w:color w:val="000000"/>
                <w:sz w:val="20"/>
                <w:szCs w:val="20"/>
              </w:rPr>
            </w:pPr>
            <w:r w:rsidRPr="002D10CF">
              <w:rPr>
                <w:noProof/>
                <w:color w:val="000000"/>
                <w:sz w:val="20"/>
                <w:szCs w:val="20"/>
              </w:rPr>
              <w:t>-36%</w:t>
            </w:r>
          </w:p>
        </w:tc>
      </w:tr>
    </w:tbl>
    <w:p w14:paraId="4A8E45C3" w14:textId="77777777" w:rsidR="001E1853" w:rsidRPr="00D71008" w:rsidRDefault="001E1853" w:rsidP="001E1853">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4F172062" w14:textId="29DFDCFE" w:rsidR="001E1853" w:rsidRPr="004E4D57" w:rsidRDefault="001E1853" w:rsidP="001E1853">
      <w:pPr>
        <w:pStyle w:val="Text2"/>
        <w:spacing w:after="240"/>
        <w:ind w:left="0"/>
        <w:rPr>
          <w:rFonts w:cs="Times New Roman"/>
          <w:i/>
          <w:noProof/>
          <w:spacing w:val="-8"/>
          <w:sz w:val="22"/>
          <w:szCs w:val="22"/>
        </w:rPr>
      </w:pPr>
      <w:r w:rsidRPr="005D2D60">
        <w:rPr>
          <w:noProof/>
          <w:spacing w:val="-8"/>
          <w:lang w:eastAsia="nl-NL"/>
        </w:rPr>
        <w:t xml:space="preserve">Although this assumption has important impacts on the total external costs savings, it is expected to have no impact on other adjustment costs savings for MDMS platforms and transport operators and on the total costs. </w:t>
      </w:r>
      <w:r w:rsidRPr="004E4D57">
        <w:rPr>
          <w:noProof/>
          <w:color w:val="000000" w:themeColor="text1"/>
          <w:spacing w:val="-8"/>
        </w:rPr>
        <w:t>The table below presents the impacts on total benefits</w:t>
      </w:r>
      <w:r w:rsidR="00310B13">
        <w:rPr>
          <w:noProof/>
          <w:color w:val="000000" w:themeColor="text1"/>
          <w:spacing w:val="-8"/>
        </w:rPr>
        <w:t xml:space="preserve"> (</w:t>
      </w:r>
      <w:r w:rsidR="00310B13" w:rsidRPr="00111671">
        <w:rPr>
          <w:rFonts w:cs="Times New Roman"/>
          <w:iCs/>
          <w:noProof/>
          <w:szCs w:val="24"/>
        </w:rPr>
        <w:t>including external costs savings</w:t>
      </w:r>
      <w:r w:rsidR="00310B13">
        <w:rPr>
          <w:rFonts w:cs="Times New Roman"/>
          <w:iCs/>
          <w:noProof/>
          <w:szCs w:val="24"/>
        </w:rPr>
        <w:t>)</w:t>
      </w:r>
      <w:r w:rsidRPr="004E4D57">
        <w:rPr>
          <w:noProof/>
          <w:color w:val="000000" w:themeColor="text1"/>
          <w:spacing w:val="-8"/>
        </w:rPr>
        <w:t xml:space="preserve">, total costs, net benefits and benefits to costs ratio by policy option in the base case and ‘low </w:t>
      </w:r>
      <w:r>
        <w:rPr>
          <w:noProof/>
          <w:color w:val="000000" w:themeColor="text1"/>
          <w:spacing w:val="-8"/>
        </w:rPr>
        <w:t xml:space="preserve">modal shift </w:t>
      </w:r>
      <w:r w:rsidRPr="004E4D57">
        <w:rPr>
          <w:noProof/>
          <w:color w:val="000000" w:themeColor="text1"/>
          <w:spacing w:val="-8"/>
        </w:rPr>
        <w:t>case’. It shows that all policy options are still expected to result in net benefits in the ‘low</w:t>
      </w:r>
      <w:r>
        <w:rPr>
          <w:noProof/>
          <w:color w:val="000000" w:themeColor="text1"/>
          <w:spacing w:val="-8"/>
        </w:rPr>
        <w:t xml:space="preserve"> modal shift</w:t>
      </w:r>
      <w:r w:rsidR="00D8689B">
        <w:rPr>
          <w:noProof/>
          <w:color w:val="000000" w:themeColor="text1"/>
          <w:spacing w:val="-8"/>
        </w:rPr>
        <w:t>’</w:t>
      </w:r>
      <w:r w:rsidRPr="004E4D57">
        <w:rPr>
          <w:noProof/>
          <w:color w:val="000000" w:themeColor="text1"/>
          <w:spacing w:val="-8"/>
        </w:rPr>
        <w:t xml:space="preserve"> case considered. It also shows that the ranking of the policy options is not expected to change in the ‘low </w:t>
      </w:r>
      <w:r>
        <w:rPr>
          <w:noProof/>
          <w:color w:val="000000" w:themeColor="text1"/>
          <w:spacing w:val="-8"/>
        </w:rPr>
        <w:t>modal shift</w:t>
      </w:r>
      <w:r w:rsidR="00866980">
        <w:rPr>
          <w:noProof/>
          <w:color w:val="000000" w:themeColor="text1"/>
          <w:spacing w:val="-8"/>
        </w:rPr>
        <w:t>’</w:t>
      </w:r>
      <w:r>
        <w:rPr>
          <w:noProof/>
          <w:color w:val="000000" w:themeColor="text1"/>
          <w:spacing w:val="-8"/>
        </w:rPr>
        <w:t xml:space="preserve"> </w:t>
      </w:r>
      <w:r w:rsidRPr="004E4D57">
        <w:rPr>
          <w:noProof/>
          <w:color w:val="000000" w:themeColor="text1"/>
          <w:spacing w:val="-8"/>
        </w:rPr>
        <w:t>case relative to the base case estimates.</w:t>
      </w:r>
    </w:p>
    <w:p w14:paraId="45422193" w14:textId="6F2444CD" w:rsidR="001E1853" w:rsidRDefault="001E1853" w:rsidP="001E1853">
      <w:pPr>
        <w:pStyle w:val="Text2"/>
        <w:spacing w:after="0"/>
        <w:ind w:left="0"/>
        <w:rPr>
          <w:rFonts w:cs="Times New Roman"/>
          <w:i/>
          <w:noProof/>
          <w:sz w:val="22"/>
          <w:szCs w:val="22"/>
        </w:rPr>
      </w:pPr>
      <w:r w:rsidRPr="00F046B6">
        <w:rPr>
          <w:rFonts w:cs="Times New Roman"/>
          <w:i/>
          <w:noProof/>
          <w:sz w:val="22"/>
          <w:szCs w:val="22"/>
        </w:rPr>
        <w:t xml:space="preserve">Table </w:t>
      </w:r>
      <w:r w:rsidRPr="00F046B6">
        <w:rPr>
          <w:rFonts w:cs="Times New Roman"/>
          <w:i/>
          <w:noProof/>
          <w:sz w:val="22"/>
          <w:szCs w:val="22"/>
        </w:rPr>
        <w:fldChar w:fldCharType="begin"/>
      </w:r>
      <w:r w:rsidRPr="00F046B6">
        <w:rPr>
          <w:rFonts w:cs="Times New Roman"/>
          <w:i/>
          <w:noProof/>
          <w:sz w:val="22"/>
          <w:szCs w:val="22"/>
        </w:rPr>
        <w:instrText xml:space="preserve"> SEQ Table \* ARABIC </w:instrText>
      </w:r>
      <w:r w:rsidRPr="00F046B6">
        <w:rPr>
          <w:rFonts w:cs="Times New Roman"/>
          <w:i/>
          <w:noProof/>
          <w:sz w:val="22"/>
          <w:szCs w:val="22"/>
        </w:rPr>
        <w:fldChar w:fldCharType="separate"/>
      </w:r>
      <w:r w:rsidR="0055391F">
        <w:rPr>
          <w:rFonts w:cs="Times New Roman"/>
          <w:i/>
          <w:noProof/>
          <w:sz w:val="22"/>
          <w:szCs w:val="22"/>
        </w:rPr>
        <w:t>129</w:t>
      </w:r>
      <w:r w:rsidRPr="00F046B6">
        <w:rPr>
          <w:rFonts w:cs="Times New Roman"/>
          <w:i/>
          <w:noProof/>
          <w:sz w:val="22"/>
          <w:szCs w:val="22"/>
        </w:rPr>
        <w:fldChar w:fldCharType="end"/>
      </w:r>
      <w:r w:rsidRPr="00F046B6">
        <w:rPr>
          <w:rFonts w:cs="Times New Roman"/>
          <w:i/>
          <w:noProof/>
          <w:sz w:val="22"/>
          <w:szCs w:val="22"/>
        </w:rPr>
        <w:t>: Summary of costs and benefits of policy options</w:t>
      </w:r>
      <w:r w:rsidR="00F11472">
        <w:rPr>
          <w:rFonts w:cs="Times New Roman"/>
          <w:i/>
          <w:noProof/>
          <w:sz w:val="22"/>
          <w:szCs w:val="22"/>
        </w:rPr>
        <w:t>, including external costs savings,</w:t>
      </w:r>
      <w:r>
        <w:rPr>
          <w:rFonts w:cs="Times New Roman"/>
          <w:i/>
          <w:noProof/>
          <w:sz w:val="22"/>
          <w:szCs w:val="22"/>
        </w:rPr>
        <w:t xml:space="preserve"> in the ‘low modal shift case’ and base case, expressed as</w:t>
      </w:r>
      <w:r w:rsidRPr="00F046B6">
        <w:rPr>
          <w:rFonts w:cs="Times New Roman"/>
          <w:i/>
          <w:noProof/>
          <w:sz w:val="22"/>
          <w:szCs w:val="22"/>
        </w:rPr>
        <w:t xml:space="preserve"> present value over 2028-2050 compared to the baseline (in million EUR, 202</w:t>
      </w:r>
      <w:r>
        <w:rPr>
          <w:rFonts w:cs="Times New Roman"/>
          <w:i/>
          <w:noProof/>
          <w:sz w:val="22"/>
          <w:szCs w:val="22"/>
        </w:rPr>
        <w:t>4</w:t>
      </w:r>
      <w:r w:rsidRPr="00F046B6">
        <w:rPr>
          <w:rFonts w:cs="Times New Roman"/>
          <w:i/>
          <w:noProof/>
          <w:sz w:val="22"/>
          <w:szCs w:val="22"/>
        </w:rPr>
        <w:t xml:space="preserve"> prices)</w:t>
      </w:r>
    </w:p>
    <w:tbl>
      <w:tblPr>
        <w:tblW w:w="5000" w:type="pct"/>
        <w:tblLook w:val="04A0" w:firstRow="1" w:lastRow="0" w:firstColumn="1" w:lastColumn="0" w:noHBand="0" w:noVBand="1"/>
      </w:tblPr>
      <w:tblGrid>
        <w:gridCol w:w="4551"/>
        <w:gridCol w:w="1264"/>
        <w:gridCol w:w="1264"/>
        <w:gridCol w:w="1264"/>
        <w:gridCol w:w="1260"/>
      </w:tblGrid>
      <w:tr w:rsidR="00080C8F" w14:paraId="480949CC" w14:textId="77777777" w:rsidTr="00080C8F">
        <w:trPr>
          <w:trHeight w:val="255"/>
          <w:tblHeader/>
        </w:trPr>
        <w:tc>
          <w:tcPr>
            <w:tcW w:w="2370" w:type="pct"/>
            <w:tcBorders>
              <w:top w:val="single" w:sz="4" w:space="0" w:color="auto"/>
              <w:left w:val="single" w:sz="4" w:space="0" w:color="auto"/>
              <w:bottom w:val="single" w:sz="4" w:space="0" w:color="auto"/>
              <w:right w:val="single" w:sz="4" w:space="0" w:color="auto"/>
            </w:tcBorders>
            <w:shd w:val="clear" w:color="000000" w:fill="0070C0"/>
            <w:hideMark/>
          </w:tcPr>
          <w:p w14:paraId="20546BDA" w14:textId="77777777" w:rsidR="000E0CAE" w:rsidRDefault="000E0CAE">
            <w:pPr>
              <w:rPr>
                <w:b/>
                <w:bCs/>
                <w:noProof/>
                <w:color w:val="FFFFFF"/>
                <w:sz w:val="20"/>
                <w:szCs w:val="20"/>
              </w:rPr>
            </w:pPr>
            <w:r>
              <w:rPr>
                <w:b/>
                <w:bCs/>
                <w:noProof/>
                <w:color w:val="FFFFFF"/>
                <w:sz w:val="20"/>
                <w:szCs w:val="20"/>
              </w:rPr>
              <w:t> </w:t>
            </w:r>
          </w:p>
        </w:tc>
        <w:tc>
          <w:tcPr>
            <w:tcW w:w="658" w:type="pct"/>
            <w:tcBorders>
              <w:top w:val="single" w:sz="4" w:space="0" w:color="auto"/>
              <w:left w:val="nil"/>
              <w:bottom w:val="single" w:sz="4" w:space="0" w:color="auto"/>
              <w:right w:val="single" w:sz="4" w:space="0" w:color="auto"/>
            </w:tcBorders>
            <w:shd w:val="clear" w:color="000000" w:fill="0070C0"/>
            <w:hideMark/>
          </w:tcPr>
          <w:p w14:paraId="61BA3CFF" w14:textId="77777777" w:rsidR="000E0CAE" w:rsidRDefault="000E0CAE">
            <w:pPr>
              <w:jc w:val="center"/>
              <w:rPr>
                <w:b/>
                <w:bCs/>
                <w:noProof/>
                <w:color w:val="FFFFFF"/>
                <w:sz w:val="20"/>
                <w:szCs w:val="20"/>
              </w:rPr>
            </w:pPr>
            <w:r>
              <w:rPr>
                <w:b/>
                <w:bCs/>
                <w:noProof/>
                <w:color w:val="FFFFFF"/>
                <w:sz w:val="20"/>
                <w:szCs w:val="20"/>
              </w:rPr>
              <w:t>PO1</w:t>
            </w:r>
          </w:p>
        </w:tc>
        <w:tc>
          <w:tcPr>
            <w:tcW w:w="658" w:type="pct"/>
            <w:tcBorders>
              <w:top w:val="single" w:sz="4" w:space="0" w:color="auto"/>
              <w:left w:val="nil"/>
              <w:bottom w:val="single" w:sz="4" w:space="0" w:color="auto"/>
              <w:right w:val="single" w:sz="4" w:space="0" w:color="auto"/>
            </w:tcBorders>
            <w:shd w:val="clear" w:color="000000" w:fill="0070C0"/>
            <w:hideMark/>
          </w:tcPr>
          <w:p w14:paraId="40C2E252" w14:textId="77777777" w:rsidR="000E0CAE" w:rsidRDefault="000E0CAE">
            <w:pPr>
              <w:jc w:val="center"/>
              <w:rPr>
                <w:b/>
                <w:bCs/>
                <w:noProof/>
                <w:color w:val="FFFFFF"/>
                <w:sz w:val="20"/>
                <w:szCs w:val="20"/>
              </w:rPr>
            </w:pPr>
            <w:r>
              <w:rPr>
                <w:b/>
                <w:bCs/>
                <w:noProof/>
                <w:color w:val="FFFFFF"/>
                <w:sz w:val="20"/>
                <w:szCs w:val="20"/>
              </w:rPr>
              <w:t>PO2</w:t>
            </w:r>
          </w:p>
        </w:tc>
        <w:tc>
          <w:tcPr>
            <w:tcW w:w="658" w:type="pct"/>
            <w:tcBorders>
              <w:top w:val="single" w:sz="4" w:space="0" w:color="auto"/>
              <w:left w:val="nil"/>
              <w:bottom w:val="single" w:sz="4" w:space="0" w:color="auto"/>
              <w:right w:val="single" w:sz="4" w:space="0" w:color="auto"/>
            </w:tcBorders>
            <w:shd w:val="clear" w:color="000000" w:fill="0070C0"/>
            <w:hideMark/>
          </w:tcPr>
          <w:p w14:paraId="0F713BE8" w14:textId="77777777" w:rsidR="000E0CAE" w:rsidRDefault="000E0CAE">
            <w:pPr>
              <w:jc w:val="center"/>
              <w:rPr>
                <w:b/>
                <w:bCs/>
                <w:noProof/>
                <w:color w:val="FFFFFF"/>
                <w:sz w:val="20"/>
                <w:szCs w:val="20"/>
              </w:rPr>
            </w:pPr>
            <w:r>
              <w:rPr>
                <w:b/>
                <w:bCs/>
                <w:noProof/>
                <w:color w:val="FFFFFF"/>
                <w:sz w:val="20"/>
                <w:szCs w:val="20"/>
              </w:rPr>
              <w:t>PO3</w:t>
            </w:r>
          </w:p>
        </w:tc>
        <w:tc>
          <w:tcPr>
            <w:tcW w:w="658" w:type="pct"/>
            <w:tcBorders>
              <w:top w:val="single" w:sz="4" w:space="0" w:color="auto"/>
              <w:left w:val="nil"/>
              <w:bottom w:val="single" w:sz="4" w:space="0" w:color="auto"/>
              <w:right w:val="single" w:sz="4" w:space="0" w:color="auto"/>
            </w:tcBorders>
            <w:shd w:val="clear" w:color="000000" w:fill="0070C0"/>
            <w:hideMark/>
          </w:tcPr>
          <w:p w14:paraId="0613FE23" w14:textId="77777777" w:rsidR="000E0CAE" w:rsidRDefault="000E0CAE">
            <w:pPr>
              <w:jc w:val="center"/>
              <w:rPr>
                <w:b/>
                <w:bCs/>
                <w:noProof/>
                <w:color w:val="FFFFFF"/>
                <w:sz w:val="20"/>
                <w:szCs w:val="20"/>
              </w:rPr>
            </w:pPr>
            <w:r>
              <w:rPr>
                <w:b/>
                <w:bCs/>
                <w:noProof/>
                <w:color w:val="FFFFFF"/>
                <w:sz w:val="20"/>
                <w:szCs w:val="20"/>
              </w:rPr>
              <w:t>PO4</w:t>
            </w:r>
          </w:p>
        </w:tc>
      </w:tr>
      <w:tr w:rsidR="00DF7708" w14:paraId="6BE2B967" w14:textId="77777777" w:rsidTr="00080C8F">
        <w:trPr>
          <w:trHeight w:val="255"/>
        </w:trPr>
        <w:tc>
          <w:tcPr>
            <w:tcW w:w="2370" w:type="pct"/>
            <w:tcBorders>
              <w:top w:val="nil"/>
              <w:left w:val="single" w:sz="4" w:space="0" w:color="auto"/>
              <w:bottom w:val="single" w:sz="4" w:space="0" w:color="auto"/>
              <w:right w:val="single" w:sz="4" w:space="0" w:color="auto"/>
            </w:tcBorders>
            <w:shd w:val="clear" w:color="000000" w:fill="BDE3FF"/>
            <w:noWrap/>
            <w:hideMark/>
          </w:tcPr>
          <w:p w14:paraId="27610315" w14:textId="77777777" w:rsidR="000E0CAE" w:rsidRDefault="000E0CAE">
            <w:pPr>
              <w:rPr>
                <w:b/>
                <w:bCs/>
                <w:noProof/>
                <w:color w:val="000000"/>
                <w:sz w:val="20"/>
                <w:szCs w:val="20"/>
              </w:rPr>
            </w:pPr>
            <w:r>
              <w:rPr>
                <w:b/>
                <w:bCs/>
                <w:noProof/>
                <w:color w:val="000000"/>
                <w:sz w:val="20"/>
                <w:szCs w:val="20"/>
              </w:rPr>
              <w:t>Base case</w:t>
            </w:r>
          </w:p>
        </w:tc>
        <w:tc>
          <w:tcPr>
            <w:tcW w:w="658" w:type="pct"/>
            <w:tcBorders>
              <w:top w:val="nil"/>
              <w:left w:val="nil"/>
              <w:bottom w:val="single" w:sz="4" w:space="0" w:color="auto"/>
              <w:right w:val="single" w:sz="4" w:space="0" w:color="auto"/>
            </w:tcBorders>
            <w:shd w:val="clear" w:color="000000" w:fill="BDE3FF"/>
            <w:noWrap/>
            <w:hideMark/>
          </w:tcPr>
          <w:p w14:paraId="4FC00CA7" w14:textId="77777777" w:rsidR="000E0CAE" w:rsidRDefault="000E0CAE">
            <w:pPr>
              <w:rPr>
                <w:noProof/>
                <w:color w:val="000000"/>
                <w:sz w:val="20"/>
                <w:szCs w:val="20"/>
              </w:rPr>
            </w:pPr>
            <w:r>
              <w:rPr>
                <w:noProof/>
                <w:color w:val="000000"/>
                <w:sz w:val="20"/>
                <w:szCs w:val="20"/>
              </w:rPr>
              <w:t> </w:t>
            </w:r>
          </w:p>
        </w:tc>
        <w:tc>
          <w:tcPr>
            <w:tcW w:w="658" w:type="pct"/>
            <w:tcBorders>
              <w:top w:val="nil"/>
              <w:left w:val="nil"/>
              <w:bottom w:val="single" w:sz="4" w:space="0" w:color="auto"/>
              <w:right w:val="single" w:sz="4" w:space="0" w:color="auto"/>
            </w:tcBorders>
            <w:shd w:val="clear" w:color="000000" w:fill="BDE3FF"/>
            <w:noWrap/>
            <w:hideMark/>
          </w:tcPr>
          <w:p w14:paraId="15B23C36" w14:textId="77777777" w:rsidR="000E0CAE" w:rsidRDefault="000E0CAE">
            <w:pPr>
              <w:rPr>
                <w:noProof/>
                <w:color w:val="000000"/>
                <w:sz w:val="20"/>
                <w:szCs w:val="20"/>
              </w:rPr>
            </w:pPr>
            <w:r>
              <w:rPr>
                <w:noProof/>
                <w:color w:val="000000"/>
                <w:sz w:val="20"/>
                <w:szCs w:val="20"/>
              </w:rPr>
              <w:t> </w:t>
            </w:r>
          </w:p>
        </w:tc>
        <w:tc>
          <w:tcPr>
            <w:tcW w:w="658" w:type="pct"/>
            <w:tcBorders>
              <w:top w:val="nil"/>
              <w:left w:val="nil"/>
              <w:bottom w:val="single" w:sz="4" w:space="0" w:color="auto"/>
              <w:right w:val="single" w:sz="4" w:space="0" w:color="auto"/>
            </w:tcBorders>
            <w:shd w:val="clear" w:color="000000" w:fill="BDE3FF"/>
            <w:noWrap/>
            <w:hideMark/>
          </w:tcPr>
          <w:p w14:paraId="71BC996A" w14:textId="77777777" w:rsidR="000E0CAE" w:rsidRDefault="000E0CAE">
            <w:pPr>
              <w:rPr>
                <w:noProof/>
                <w:color w:val="000000"/>
                <w:sz w:val="20"/>
                <w:szCs w:val="20"/>
              </w:rPr>
            </w:pPr>
            <w:r>
              <w:rPr>
                <w:noProof/>
                <w:color w:val="000000"/>
                <w:sz w:val="20"/>
                <w:szCs w:val="20"/>
              </w:rPr>
              <w:t> </w:t>
            </w:r>
          </w:p>
        </w:tc>
        <w:tc>
          <w:tcPr>
            <w:tcW w:w="658" w:type="pct"/>
            <w:tcBorders>
              <w:top w:val="nil"/>
              <w:left w:val="nil"/>
              <w:bottom w:val="single" w:sz="4" w:space="0" w:color="auto"/>
              <w:right w:val="single" w:sz="4" w:space="0" w:color="auto"/>
            </w:tcBorders>
            <w:shd w:val="clear" w:color="000000" w:fill="BDE3FF"/>
            <w:noWrap/>
            <w:hideMark/>
          </w:tcPr>
          <w:p w14:paraId="6B566161" w14:textId="77777777" w:rsidR="000E0CAE" w:rsidRDefault="000E0CAE">
            <w:pPr>
              <w:rPr>
                <w:noProof/>
                <w:color w:val="000000"/>
                <w:sz w:val="20"/>
                <w:szCs w:val="20"/>
              </w:rPr>
            </w:pPr>
            <w:r>
              <w:rPr>
                <w:noProof/>
                <w:color w:val="000000"/>
                <w:sz w:val="20"/>
                <w:szCs w:val="20"/>
              </w:rPr>
              <w:t> </w:t>
            </w:r>
          </w:p>
        </w:tc>
      </w:tr>
      <w:tr w:rsidR="00DF7708" w14:paraId="452208E2" w14:textId="77777777" w:rsidTr="00080C8F">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73EF854C" w14:textId="77777777" w:rsidR="000E0CAE" w:rsidRDefault="000E0CAE">
            <w:pPr>
              <w:rPr>
                <w:noProof/>
                <w:color w:val="000000"/>
                <w:sz w:val="20"/>
                <w:szCs w:val="20"/>
              </w:rPr>
            </w:pPr>
            <w:r>
              <w:rPr>
                <w:noProof/>
                <w:color w:val="000000"/>
                <w:sz w:val="20"/>
                <w:szCs w:val="20"/>
              </w:rPr>
              <w:t>Total costs</w:t>
            </w:r>
          </w:p>
        </w:tc>
        <w:tc>
          <w:tcPr>
            <w:tcW w:w="658" w:type="pct"/>
            <w:tcBorders>
              <w:top w:val="nil"/>
              <w:left w:val="nil"/>
              <w:bottom w:val="single" w:sz="4" w:space="0" w:color="auto"/>
              <w:right w:val="single" w:sz="4" w:space="0" w:color="auto"/>
            </w:tcBorders>
            <w:shd w:val="clear" w:color="000000" w:fill="FFFFFF"/>
            <w:noWrap/>
            <w:hideMark/>
          </w:tcPr>
          <w:p w14:paraId="46D9AF91" w14:textId="77777777" w:rsidR="000E0CAE" w:rsidRDefault="000E0CAE">
            <w:pPr>
              <w:jc w:val="right"/>
              <w:rPr>
                <w:noProof/>
                <w:color w:val="000000"/>
                <w:sz w:val="20"/>
                <w:szCs w:val="20"/>
              </w:rPr>
            </w:pPr>
            <w:r>
              <w:rPr>
                <w:noProof/>
                <w:color w:val="000000"/>
                <w:sz w:val="20"/>
                <w:szCs w:val="20"/>
              </w:rPr>
              <w:t>234</w:t>
            </w:r>
          </w:p>
        </w:tc>
        <w:tc>
          <w:tcPr>
            <w:tcW w:w="658" w:type="pct"/>
            <w:tcBorders>
              <w:top w:val="nil"/>
              <w:left w:val="nil"/>
              <w:bottom w:val="single" w:sz="4" w:space="0" w:color="auto"/>
              <w:right w:val="single" w:sz="4" w:space="0" w:color="auto"/>
            </w:tcBorders>
            <w:shd w:val="clear" w:color="000000" w:fill="FFFFFF"/>
            <w:noWrap/>
            <w:hideMark/>
          </w:tcPr>
          <w:p w14:paraId="28312A5D" w14:textId="77777777" w:rsidR="000E0CAE" w:rsidRDefault="000E0CAE">
            <w:pPr>
              <w:jc w:val="right"/>
              <w:rPr>
                <w:noProof/>
                <w:color w:val="000000"/>
                <w:sz w:val="20"/>
                <w:szCs w:val="20"/>
              </w:rPr>
            </w:pPr>
            <w:r>
              <w:rPr>
                <w:noProof/>
                <w:color w:val="000000"/>
                <w:sz w:val="20"/>
                <w:szCs w:val="20"/>
              </w:rPr>
              <w:t>317</w:t>
            </w:r>
          </w:p>
        </w:tc>
        <w:tc>
          <w:tcPr>
            <w:tcW w:w="658" w:type="pct"/>
            <w:tcBorders>
              <w:top w:val="nil"/>
              <w:left w:val="nil"/>
              <w:bottom w:val="single" w:sz="4" w:space="0" w:color="auto"/>
              <w:right w:val="single" w:sz="4" w:space="0" w:color="auto"/>
            </w:tcBorders>
            <w:shd w:val="clear" w:color="000000" w:fill="FFFFFF"/>
            <w:noWrap/>
            <w:hideMark/>
          </w:tcPr>
          <w:p w14:paraId="0132FFB7" w14:textId="77777777" w:rsidR="000E0CAE" w:rsidRDefault="000E0CAE">
            <w:pPr>
              <w:jc w:val="right"/>
              <w:rPr>
                <w:noProof/>
                <w:color w:val="000000"/>
                <w:sz w:val="20"/>
                <w:szCs w:val="20"/>
              </w:rPr>
            </w:pPr>
            <w:r>
              <w:rPr>
                <w:noProof/>
                <w:color w:val="000000"/>
                <w:sz w:val="20"/>
                <w:szCs w:val="20"/>
              </w:rPr>
              <w:t>306</w:t>
            </w:r>
          </w:p>
        </w:tc>
        <w:tc>
          <w:tcPr>
            <w:tcW w:w="658" w:type="pct"/>
            <w:tcBorders>
              <w:top w:val="nil"/>
              <w:left w:val="nil"/>
              <w:bottom w:val="single" w:sz="4" w:space="0" w:color="auto"/>
              <w:right w:val="single" w:sz="4" w:space="0" w:color="auto"/>
            </w:tcBorders>
            <w:shd w:val="clear" w:color="000000" w:fill="FFFFFF"/>
            <w:noWrap/>
            <w:hideMark/>
          </w:tcPr>
          <w:p w14:paraId="1C88BF5D" w14:textId="77777777" w:rsidR="000E0CAE" w:rsidRDefault="000E0CAE">
            <w:pPr>
              <w:jc w:val="right"/>
              <w:rPr>
                <w:noProof/>
                <w:color w:val="000000"/>
                <w:sz w:val="20"/>
                <w:szCs w:val="20"/>
              </w:rPr>
            </w:pPr>
            <w:r>
              <w:rPr>
                <w:noProof/>
                <w:color w:val="000000"/>
                <w:sz w:val="20"/>
                <w:szCs w:val="20"/>
              </w:rPr>
              <w:t>469</w:t>
            </w:r>
          </w:p>
        </w:tc>
      </w:tr>
      <w:tr w:rsidR="00DF7708" w14:paraId="7682E404" w14:textId="77777777" w:rsidTr="00080C8F">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45BBB0FD" w14:textId="77777777" w:rsidR="000E0CAE" w:rsidRDefault="000E0CAE">
            <w:pPr>
              <w:rPr>
                <w:noProof/>
                <w:color w:val="000000"/>
                <w:sz w:val="20"/>
                <w:szCs w:val="20"/>
              </w:rPr>
            </w:pPr>
            <w:r>
              <w:rPr>
                <w:noProof/>
                <w:color w:val="000000"/>
                <w:sz w:val="20"/>
                <w:szCs w:val="20"/>
              </w:rPr>
              <w:t>Total benefits, of which:</w:t>
            </w:r>
          </w:p>
        </w:tc>
        <w:tc>
          <w:tcPr>
            <w:tcW w:w="658" w:type="pct"/>
            <w:tcBorders>
              <w:top w:val="nil"/>
              <w:left w:val="nil"/>
              <w:bottom w:val="single" w:sz="4" w:space="0" w:color="auto"/>
              <w:right w:val="single" w:sz="4" w:space="0" w:color="auto"/>
            </w:tcBorders>
            <w:shd w:val="clear" w:color="000000" w:fill="FFFFFF"/>
            <w:noWrap/>
            <w:hideMark/>
          </w:tcPr>
          <w:p w14:paraId="4C81A4D7" w14:textId="77777777" w:rsidR="000E0CAE" w:rsidRDefault="000E0CAE">
            <w:pPr>
              <w:jc w:val="right"/>
              <w:rPr>
                <w:noProof/>
                <w:color w:val="000000"/>
                <w:sz w:val="20"/>
                <w:szCs w:val="20"/>
              </w:rPr>
            </w:pPr>
            <w:r>
              <w:rPr>
                <w:noProof/>
                <w:color w:val="000000"/>
                <w:sz w:val="20"/>
                <w:szCs w:val="20"/>
              </w:rPr>
              <w:t>12,711</w:t>
            </w:r>
          </w:p>
        </w:tc>
        <w:tc>
          <w:tcPr>
            <w:tcW w:w="658" w:type="pct"/>
            <w:tcBorders>
              <w:top w:val="nil"/>
              <w:left w:val="nil"/>
              <w:bottom w:val="single" w:sz="4" w:space="0" w:color="auto"/>
              <w:right w:val="single" w:sz="4" w:space="0" w:color="auto"/>
            </w:tcBorders>
            <w:shd w:val="clear" w:color="000000" w:fill="FFFFFF"/>
            <w:noWrap/>
            <w:hideMark/>
          </w:tcPr>
          <w:p w14:paraId="249D9829" w14:textId="77777777" w:rsidR="000E0CAE" w:rsidRDefault="000E0CAE">
            <w:pPr>
              <w:jc w:val="right"/>
              <w:rPr>
                <w:noProof/>
                <w:color w:val="000000"/>
                <w:sz w:val="20"/>
                <w:szCs w:val="20"/>
              </w:rPr>
            </w:pPr>
            <w:r>
              <w:rPr>
                <w:noProof/>
                <w:color w:val="000000"/>
                <w:sz w:val="20"/>
                <w:szCs w:val="20"/>
              </w:rPr>
              <w:t>26,118</w:t>
            </w:r>
          </w:p>
        </w:tc>
        <w:tc>
          <w:tcPr>
            <w:tcW w:w="658" w:type="pct"/>
            <w:tcBorders>
              <w:top w:val="nil"/>
              <w:left w:val="nil"/>
              <w:bottom w:val="single" w:sz="4" w:space="0" w:color="auto"/>
              <w:right w:val="single" w:sz="4" w:space="0" w:color="auto"/>
            </w:tcBorders>
            <w:shd w:val="clear" w:color="000000" w:fill="FFFFFF"/>
            <w:noWrap/>
            <w:hideMark/>
          </w:tcPr>
          <w:p w14:paraId="4CE31E62" w14:textId="77777777" w:rsidR="000E0CAE" w:rsidRDefault="000E0CAE">
            <w:pPr>
              <w:jc w:val="right"/>
              <w:rPr>
                <w:noProof/>
                <w:color w:val="000000"/>
                <w:sz w:val="20"/>
                <w:szCs w:val="20"/>
              </w:rPr>
            </w:pPr>
            <w:r>
              <w:rPr>
                <w:noProof/>
                <w:color w:val="000000"/>
                <w:sz w:val="20"/>
                <w:szCs w:val="20"/>
              </w:rPr>
              <w:t>37,597</w:t>
            </w:r>
          </w:p>
        </w:tc>
        <w:tc>
          <w:tcPr>
            <w:tcW w:w="658" w:type="pct"/>
            <w:tcBorders>
              <w:top w:val="nil"/>
              <w:left w:val="nil"/>
              <w:bottom w:val="single" w:sz="4" w:space="0" w:color="auto"/>
              <w:right w:val="single" w:sz="4" w:space="0" w:color="auto"/>
            </w:tcBorders>
            <w:shd w:val="clear" w:color="000000" w:fill="FFFFFF"/>
            <w:noWrap/>
            <w:hideMark/>
          </w:tcPr>
          <w:p w14:paraId="40116600" w14:textId="77777777" w:rsidR="000E0CAE" w:rsidRDefault="000E0CAE">
            <w:pPr>
              <w:jc w:val="right"/>
              <w:rPr>
                <w:noProof/>
                <w:color w:val="000000"/>
                <w:sz w:val="20"/>
                <w:szCs w:val="20"/>
              </w:rPr>
            </w:pPr>
            <w:r>
              <w:rPr>
                <w:noProof/>
                <w:color w:val="000000"/>
                <w:sz w:val="20"/>
                <w:szCs w:val="20"/>
              </w:rPr>
              <w:t>28,930</w:t>
            </w:r>
          </w:p>
        </w:tc>
      </w:tr>
      <w:tr w:rsidR="00080C8F" w14:paraId="632ECB9A" w14:textId="77777777" w:rsidTr="00080C8F">
        <w:trPr>
          <w:trHeight w:val="510"/>
        </w:trPr>
        <w:tc>
          <w:tcPr>
            <w:tcW w:w="2370" w:type="pct"/>
            <w:tcBorders>
              <w:top w:val="nil"/>
              <w:left w:val="single" w:sz="4" w:space="0" w:color="auto"/>
              <w:bottom w:val="single" w:sz="4" w:space="0" w:color="auto"/>
              <w:right w:val="single" w:sz="4" w:space="0" w:color="auto"/>
            </w:tcBorders>
            <w:shd w:val="clear" w:color="000000" w:fill="FFFFFF"/>
            <w:hideMark/>
          </w:tcPr>
          <w:p w14:paraId="16725B60" w14:textId="77777777" w:rsidR="000E0CAE" w:rsidRDefault="000E0CAE" w:rsidP="009A4F2E">
            <w:pPr>
              <w:ind w:left="164"/>
              <w:rPr>
                <w:noProof/>
                <w:color w:val="000000"/>
                <w:sz w:val="20"/>
                <w:szCs w:val="20"/>
              </w:rPr>
            </w:pPr>
            <w:r>
              <w:rPr>
                <w:noProof/>
                <w:color w:val="000000"/>
                <w:sz w:val="20"/>
                <w:szCs w:val="20"/>
              </w:rPr>
              <w:t>Adjustment costs savings for MDMS platforms and transport operators</w:t>
            </w:r>
          </w:p>
        </w:tc>
        <w:tc>
          <w:tcPr>
            <w:tcW w:w="658" w:type="pct"/>
            <w:tcBorders>
              <w:top w:val="nil"/>
              <w:left w:val="nil"/>
              <w:bottom w:val="single" w:sz="4" w:space="0" w:color="auto"/>
              <w:right w:val="single" w:sz="4" w:space="0" w:color="auto"/>
            </w:tcBorders>
            <w:shd w:val="clear" w:color="000000" w:fill="FFFFFF"/>
            <w:noWrap/>
            <w:hideMark/>
          </w:tcPr>
          <w:p w14:paraId="3C283756" w14:textId="77777777" w:rsidR="000E0CAE" w:rsidRDefault="000E0CAE">
            <w:pPr>
              <w:jc w:val="right"/>
              <w:rPr>
                <w:noProof/>
                <w:color w:val="000000"/>
                <w:sz w:val="20"/>
                <w:szCs w:val="20"/>
              </w:rPr>
            </w:pPr>
            <w:r>
              <w:rPr>
                <w:noProof/>
                <w:color w:val="000000"/>
                <w:sz w:val="20"/>
                <w:szCs w:val="20"/>
              </w:rPr>
              <w:t>26</w:t>
            </w:r>
          </w:p>
        </w:tc>
        <w:tc>
          <w:tcPr>
            <w:tcW w:w="658" w:type="pct"/>
            <w:tcBorders>
              <w:top w:val="nil"/>
              <w:left w:val="nil"/>
              <w:bottom w:val="single" w:sz="4" w:space="0" w:color="auto"/>
              <w:right w:val="single" w:sz="4" w:space="0" w:color="auto"/>
            </w:tcBorders>
            <w:shd w:val="clear" w:color="000000" w:fill="FFFFFF"/>
            <w:noWrap/>
            <w:hideMark/>
          </w:tcPr>
          <w:p w14:paraId="6DDFA054" w14:textId="77777777" w:rsidR="000E0CAE" w:rsidRDefault="000E0CAE">
            <w:pPr>
              <w:jc w:val="right"/>
              <w:rPr>
                <w:noProof/>
                <w:color w:val="000000"/>
                <w:sz w:val="20"/>
                <w:szCs w:val="20"/>
              </w:rPr>
            </w:pPr>
            <w:r>
              <w:rPr>
                <w:noProof/>
                <w:color w:val="000000"/>
                <w:sz w:val="20"/>
                <w:szCs w:val="20"/>
              </w:rPr>
              <w:t>298</w:t>
            </w:r>
          </w:p>
        </w:tc>
        <w:tc>
          <w:tcPr>
            <w:tcW w:w="658" w:type="pct"/>
            <w:tcBorders>
              <w:top w:val="nil"/>
              <w:left w:val="nil"/>
              <w:bottom w:val="single" w:sz="4" w:space="0" w:color="auto"/>
              <w:right w:val="single" w:sz="4" w:space="0" w:color="auto"/>
            </w:tcBorders>
            <w:shd w:val="clear" w:color="000000" w:fill="FFFFFF"/>
            <w:noWrap/>
            <w:hideMark/>
          </w:tcPr>
          <w:p w14:paraId="3716984C" w14:textId="77777777" w:rsidR="000E0CAE" w:rsidRDefault="000E0CAE">
            <w:pPr>
              <w:jc w:val="right"/>
              <w:rPr>
                <w:noProof/>
                <w:color w:val="000000"/>
                <w:sz w:val="20"/>
                <w:szCs w:val="20"/>
              </w:rPr>
            </w:pPr>
            <w:r>
              <w:rPr>
                <w:noProof/>
                <w:color w:val="000000"/>
                <w:sz w:val="20"/>
                <w:szCs w:val="20"/>
              </w:rPr>
              <w:t>268</w:t>
            </w:r>
          </w:p>
        </w:tc>
        <w:tc>
          <w:tcPr>
            <w:tcW w:w="658" w:type="pct"/>
            <w:tcBorders>
              <w:top w:val="nil"/>
              <w:left w:val="nil"/>
              <w:bottom w:val="single" w:sz="4" w:space="0" w:color="auto"/>
              <w:right w:val="single" w:sz="4" w:space="0" w:color="auto"/>
            </w:tcBorders>
            <w:shd w:val="clear" w:color="000000" w:fill="FFFFFF"/>
            <w:noWrap/>
            <w:hideMark/>
          </w:tcPr>
          <w:p w14:paraId="78DD7718" w14:textId="77777777" w:rsidR="000E0CAE" w:rsidRDefault="000E0CAE">
            <w:pPr>
              <w:jc w:val="right"/>
              <w:rPr>
                <w:noProof/>
                <w:color w:val="000000"/>
                <w:sz w:val="20"/>
                <w:szCs w:val="20"/>
              </w:rPr>
            </w:pPr>
            <w:r>
              <w:rPr>
                <w:noProof/>
                <w:color w:val="000000"/>
                <w:sz w:val="20"/>
                <w:szCs w:val="20"/>
              </w:rPr>
              <w:t>285</w:t>
            </w:r>
          </w:p>
        </w:tc>
      </w:tr>
      <w:tr w:rsidR="00DF7708" w14:paraId="33322926" w14:textId="77777777" w:rsidTr="00080C8F">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1545C4C4" w14:textId="77777777" w:rsidR="000E0CAE" w:rsidRDefault="000E0CAE" w:rsidP="009A4F2E">
            <w:pPr>
              <w:ind w:left="164"/>
              <w:rPr>
                <w:noProof/>
                <w:color w:val="000000"/>
                <w:sz w:val="20"/>
                <w:szCs w:val="20"/>
              </w:rPr>
            </w:pPr>
            <w:r>
              <w:rPr>
                <w:noProof/>
                <w:color w:val="000000"/>
                <w:sz w:val="20"/>
                <w:szCs w:val="20"/>
              </w:rPr>
              <w:t>External costs savings</w:t>
            </w:r>
          </w:p>
        </w:tc>
        <w:tc>
          <w:tcPr>
            <w:tcW w:w="658" w:type="pct"/>
            <w:tcBorders>
              <w:top w:val="nil"/>
              <w:left w:val="nil"/>
              <w:bottom w:val="single" w:sz="4" w:space="0" w:color="auto"/>
              <w:right w:val="single" w:sz="4" w:space="0" w:color="auto"/>
            </w:tcBorders>
            <w:shd w:val="clear" w:color="000000" w:fill="FFFFFF"/>
            <w:noWrap/>
            <w:hideMark/>
          </w:tcPr>
          <w:p w14:paraId="309A434F" w14:textId="77777777" w:rsidR="000E0CAE" w:rsidRDefault="000E0CAE">
            <w:pPr>
              <w:jc w:val="right"/>
              <w:rPr>
                <w:noProof/>
                <w:color w:val="000000"/>
                <w:sz w:val="20"/>
                <w:szCs w:val="20"/>
              </w:rPr>
            </w:pPr>
            <w:r>
              <w:rPr>
                <w:noProof/>
                <w:color w:val="000000"/>
                <w:sz w:val="20"/>
                <w:szCs w:val="20"/>
              </w:rPr>
              <w:t>12,685</w:t>
            </w:r>
          </w:p>
        </w:tc>
        <w:tc>
          <w:tcPr>
            <w:tcW w:w="658" w:type="pct"/>
            <w:tcBorders>
              <w:top w:val="nil"/>
              <w:left w:val="nil"/>
              <w:bottom w:val="single" w:sz="4" w:space="0" w:color="auto"/>
              <w:right w:val="single" w:sz="4" w:space="0" w:color="auto"/>
            </w:tcBorders>
            <w:shd w:val="clear" w:color="000000" w:fill="FFFFFF"/>
            <w:noWrap/>
            <w:hideMark/>
          </w:tcPr>
          <w:p w14:paraId="2914F8B4" w14:textId="77777777" w:rsidR="000E0CAE" w:rsidRDefault="000E0CAE">
            <w:pPr>
              <w:jc w:val="right"/>
              <w:rPr>
                <w:noProof/>
                <w:color w:val="000000"/>
                <w:sz w:val="20"/>
                <w:szCs w:val="20"/>
              </w:rPr>
            </w:pPr>
            <w:r>
              <w:rPr>
                <w:noProof/>
                <w:color w:val="000000"/>
                <w:sz w:val="20"/>
                <w:szCs w:val="20"/>
              </w:rPr>
              <w:t>25,820</w:t>
            </w:r>
          </w:p>
        </w:tc>
        <w:tc>
          <w:tcPr>
            <w:tcW w:w="658" w:type="pct"/>
            <w:tcBorders>
              <w:top w:val="nil"/>
              <w:left w:val="nil"/>
              <w:bottom w:val="single" w:sz="4" w:space="0" w:color="auto"/>
              <w:right w:val="single" w:sz="4" w:space="0" w:color="auto"/>
            </w:tcBorders>
            <w:shd w:val="clear" w:color="000000" w:fill="FFFFFF"/>
            <w:noWrap/>
            <w:hideMark/>
          </w:tcPr>
          <w:p w14:paraId="2495E46A" w14:textId="77777777" w:rsidR="000E0CAE" w:rsidRDefault="000E0CAE">
            <w:pPr>
              <w:jc w:val="right"/>
              <w:rPr>
                <w:noProof/>
                <w:color w:val="000000"/>
                <w:sz w:val="20"/>
                <w:szCs w:val="20"/>
              </w:rPr>
            </w:pPr>
            <w:r>
              <w:rPr>
                <w:noProof/>
                <w:color w:val="000000"/>
                <w:sz w:val="20"/>
                <w:szCs w:val="20"/>
              </w:rPr>
              <w:t>37,329</w:t>
            </w:r>
          </w:p>
        </w:tc>
        <w:tc>
          <w:tcPr>
            <w:tcW w:w="658" w:type="pct"/>
            <w:tcBorders>
              <w:top w:val="nil"/>
              <w:left w:val="nil"/>
              <w:bottom w:val="single" w:sz="4" w:space="0" w:color="auto"/>
              <w:right w:val="single" w:sz="4" w:space="0" w:color="auto"/>
            </w:tcBorders>
            <w:shd w:val="clear" w:color="000000" w:fill="FFFFFF"/>
            <w:noWrap/>
            <w:hideMark/>
          </w:tcPr>
          <w:p w14:paraId="256873E0" w14:textId="77777777" w:rsidR="000E0CAE" w:rsidRDefault="000E0CAE">
            <w:pPr>
              <w:jc w:val="right"/>
              <w:rPr>
                <w:noProof/>
                <w:color w:val="000000"/>
                <w:sz w:val="20"/>
                <w:szCs w:val="20"/>
              </w:rPr>
            </w:pPr>
            <w:r>
              <w:rPr>
                <w:noProof/>
                <w:color w:val="000000"/>
                <w:sz w:val="20"/>
                <w:szCs w:val="20"/>
              </w:rPr>
              <w:t>28,644</w:t>
            </w:r>
          </w:p>
        </w:tc>
      </w:tr>
      <w:tr w:rsidR="00DF7708" w14:paraId="35C02519" w14:textId="77777777" w:rsidTr="00080C8F">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2661694D" w14:textId="77777777" w:rsidR="000E0CAE" w:rsidRDefault="000E0CAE">
            <w:pPr>
              <w:rPr>
                <w:noProof/>
                <w:color w:val="000000"/>
                <w:sz w:val="20"/>
                <w:szCs w:val="20"/>
              </w:rPr>
            </w:pPr>
            <w:r>
              <w:rPr>
                <w:noProof/>
                <w:color w:val="000000"/>
                <w:sz w:val="20"/>
                <w:szCs w:val="20"/>
              </w:rPr>
              <w:t>Net benefits</w:t>
            </w:r>
          </w:p>
        </w:tc>
        <w:tc>
          <w:tcPr>
            <w:tcW w:w="658" w:type="pct"/>
            <w:tcBorders>
              <w:top w:val="nil"/>
              <w:left w:val="nil"/>
              <w:bottom w:val="single" w:sz="4" w:space="0" w:color="auto"/>
              <w:right w:val="single" w:sz="4" w:space="0" w:color="auto"/>
            </w:tcBorders>
            <w:shd w:val="clear" w:color="000000" w:fill="FFFFFF"/>
            <w:noWrap/>
            <w:hideMark/>
          </w:tcPr>
          <w:p w14:paraId="0211884B" w14:textId="77777777" w:rsidR="000E0CAE" w:rsidRDefault="000E0CAE">
            <w:pPr>
              <w:jc w:val="right"/>
              <w:rPr>
                <w:noProof/>
                <w:color w:val="000000"/>
                <w:sz w:val="20"/>
                <w:szCs w:val="20"/>
              </w:rPr>
            </w:pPr>
            <w:r>
              <w:rPr>
                <w:noProof/>
                <w:color w:val="000000"/>
                <w:sz w:val="20"/>
                <w:szCs w:val="20"/>
              </w:rPr>
              <w:t>12,477</w:t>
            </w:r>
          </w:p>
        </w:tc>
        <w:tc>
          <w:tcPr>
            <w:tcW w:w="658" w:type="pct"/>
            <w:tcBorders>
              <w:top w:val="nil"/>
              <w:left w:val="nil"/>
              <w:bottom w:val="single" w:sz="4" w:space="0" w:color="auto"/>
              <w:right w:val="single" w:sz="4" w:space="0" w:color="auto"/>
            </w:tcBorders>
            <w:shd w:val="clear" w:color="000000" w:fill="FFFFFF"/>
            <w:noWrap/>
            <w:hideMark/>
          </w:tcPr>
          <w:p w14:paraId="75A64623" w14:textId="77777777" w:rsidR="000E0CAE" w:rsidRDefault="000E0CAE">
            <w:pPr>
              <w:jc w:val="right"/>
              <w:rPr>
                <w:noProof/>
                <w:color w:val="000000"/>
                <w:sz w:val="20"/>
                <w:szCs w:val="20"/>
              </w:rPr>
            </w:pPr>
            <w:r>
              <w:rPr>
                <w:noProof/>
                <w:color w:val="000000"/>
                <w:sz w:val="20"/>
                <w:szCs w:val="20"/>
              </w:rPr>
              <w:t>25,801</w:t>
            </w:r>
          </w:p>
        </w:tc>
        <w:tc>
          <w:tcPr>
            <w:tcW w:w="658" w:type="pct"/>
            <w:tcBorders>
              <w:top w:val="nil"/>
              <w:left w:val="nil"/>
              <w:bottom w:val="single" w:sz="4" w:space="0" w:color="auto"/>
              <w:right w:val="single" w:sz="4" w:space="0" w:color="auto"/>
            </w:tcBorders>
            <w:shd w:val="clear" w:color="000000" w:fill="FFFFFF"/>
            <w:noWrap/>
            <w:hideMark/>
          </w:tcPr>
          <w:p w14:paraId="06DDA2F5" w14:textId="77777777" w:rsidR="000E0CAE" w:rsidRDefault="000E0CAE">
            <w:pPr>
              <w:jc w:val="right"/>
              <w:rPr>
                <w:noProof/>
                <w:color w:val="000000"/>
                <w:sz w:val="20"/>
                <w:szCs w:val="20"/>
              </w:rPr>
            </w:pPr>
            <w:r>
              <w:rPr>
                <w:noProof/>
                <w:color w:val="000000"/>
                <w:sz w:val="20"/>
                <w:szCs w:val="20"/>
              </w:rPr>
              <w:t>37,291</w:t>
            </w:r>
          </w:p>
        </w:tc>
        <w:tc>
          <w:tcPr>
            <w:tcW w:w="658" w:type="pct"/>
            <w:tcBorders>
              <w:top w:val="nil"/>
              <w:left w:val="nil"/>
              <w:bottom w:val="single" w:sz="4" w:space="0" w:color="auto"/>
              <w:right w:val="single" w:sz="4" w:space="0" w:color="auto"/>
            </w:tcBorders>
            <w:shd w:val="clear" w:color="000000" w:fill="FFFFFF"/>
            <w:noWrap/>
            <w:hideMark/>
          </w:tcPr>
          <w:p w14:paraId="7FC14D51" w14:textId="77777777" w:rsidR="000E0CAE" w:rsidRDefault="000E0CAE">
            <w:pPr>
              <w:jc w:val="right"/>
              <w:rPr>
                <w:noProof/>
                <w:color w:val="000000"/>
                <w:sz w:val="20"/>
                <w:szCs w:val="20"/>
              </w:rPr>
            </w:pPr>
            <w:r>
              <w:rPr>
                <w:noProof/>
                <w:color w:val="000000"/>
                <w:sz w:val="20"/>
                <w:szCs w:val="20"/>
              </w:rPr>
              <w:t>28,461</w:t>
            </w:r>
          </w:p>
        </w:tc>
      </w:tr>
      <w:tr w:rsidR="00DF7708" w14:paraId="02A6756D" w14:textId="77777777" w:rsidTr="00080C8F">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275BEF8C" w14:textId="77777777" w:rsidR="000E0CAE" w:rsidRDefault="000E0CAE">
            <w:pPr>
              <w:rPr>
                <w:noProof/>
                <w:color w:val="000000"/>
                <w:sz w:val="20"/>
                <w:szCs w:val="20"/>
              </w:rPr>
            </w:pPr>
            <w:r>
              <w:rPr>
                <w:noProof/>
                <w:color w:val="000000"/>
                <w:sz w:val="20"/>
                <w:szCs w:val="20"/>
              </w:rPr>
              <w:t>Benefits to costs ratio</w:t>
            </w:r>
          </w:p>
        </w:tc>
        <w:tc>
          <w:tcPr>
            <w:tcW w:w="658" w:type="pct"/>
            <w:tcBorders>
              <w:top w:val="nil"/>
              <w:left w:val="nil"/>
              <w:bottom w:val="single" w:sz="4" w:space="0" w:color="auto"/>
              <w:right w:val="single" w:sz="4" w:space="0" w:color="auto"/>
            </w:tcBorders>
            <w:shd w:val="clear" w:color="000000" w:fill="FFFFFF"/>
            <w:noWrap/>
            <w:hideMark/>
          </w:tcPr>
          <w:p w14:paraId="0D01A1EF" w14:textId="77777777" w:rsidR="000E0CAE" w:rsidRDefault="000E0CAE">
            <w:pPr>
              <w:jc w:val="right"/>
              <w:rPr>
                <w:noProof/>
                <w:color w:val="000000"/>
                <w:sz w:val="20"/>
                <w:szCs w:val="20"/>
              </w:rPr>
            </w:pPr>
            <w:r>
              <w:rPr>
                <w:noProof/>
                <w:color w:val="000000"/>
                <w:sz w:val="20"/>
                <w:szCs w:val="20"/>
              </w:rPr>
              <w:t>54</w:t>
            </w:r>
          </w:p>
        </w:tc>
        <w:tc>
          <w:tcPr>
            <w:tcW w:w="658" w:type="pct"/>
            <w:tcBorders>
              <w:top w:val="nil"/>
              <w:left w:val="nil"/>
              <w:bottom w:val="single" w:sz="4" w:space="0" w:color="auto"/>
              <w:right w:val="single" w:sz="4" w:space="0" w:color="auto"/>
            </w:tcBorders>
            <w:shd w:val="clear" w:color="000000" w:fill="FFFFFF"/>
            <w:noWrap/>
            <w:hideMark/>
          </w:tcPr>
          <w:p w14:paraId="12ADF9A9" w14:textId="77777777" w:rsidR="000E0CAE" w:rsidRDefault="000E0CAE">
            <w:pPr>
              <w:jc w:val="right"/>
              <w:rPr>
                <w:noProof/>
                <w:color w:val="000000"/>
                <w:sz w:val="20"/>
                <w:szCs w:val="20"/>
              </w:rPr>
            </w:pPr>
            <w:r>
              <w:rPr>
                <w:noProof/>
                <w:color w:val="000000"/>
                <w:sz w:val="20"/>
                <w:szCs w:val="20"/>
              </w:rPr>
              <w:t>82</w:t>
            </w:r>
          </w:p>
        </w:tc>
        <w:tc>
          <w:tcPr>
            <w:tcW w:w="658" w:type="pct"/>
            <w:tcBorders>
              <w:top w:val="nil"/>
              <w:left w:val="nil"/>
              <w:bottom w:val="single" w:sz="4" w:space="0" w:color="auto"/>
              <w:right w:val="single" w:sz="4" w:space="0" w:color="auto"/>
            </w:tcBorders>
            <w:shd w:val="clear" w:color="000000" w:fill="FFFFFF"/>
            <w:noWrap/>
            <w:hideMark/>
          </w:tcPr>
          <w:p w14:paraId="374F85D6" w14:textId="77777777" w:rsidR="000E0CAE" w:rsidRDefault="000E0CAE">
            <w:pPr>
              <w:jc w:val="right"/>
              <w:rPr>
                <w:noProof/>
                <w:color w:val="000000"/>
                <w:sz w:val="20"/>
                <w:szCs w:val="20"/>
              </w:rPr>
            </w:pPr>
            <w:r>
              <w:rPr>
                <w:noProof/>
                <w:color w:val="000000"/>
                <w:sz w:val="20"/>
                <w:szCs w:val="20"/>
              </w:rPr>
              <w:t>123</w:t>
            </w:r>
          </w:p>
        </w:tc>
        <w:tc>
          <w:tcPr>
            <w:tcW w:w="658" w:type="pct"/>
            <w:tcBorders>
              <w:top w:val="nil"/>
              <w:left w:val="nil"/>
              <w:bottom w:val="single" w:sz="4" w:space="0" w:color="auto"/>
              <w:right w:val="single" w:sz="4" w:space="0" w:color="auto"/>
            </w:tcBorders>
            <w:shd w:val="clear" w:color="000000" w:fill="FFFFFF"/>
            <w:noWrap/>
            <w:hideMark/>
          </w:tcPr>
          <w:p w14:paraId="00CE3A7D" w14:textId="77777777" w:rsidR="000E0CAE" w:rsidRDefault="000E0CAE">
            <w:pPr>
              <w:jc w:val="right"/>
              <w:rPr>
                <w:noProof/>
                <w:color w:val="000000"/>
                <w:sz w:val="20"/>
                <w:szCs w:val="20"/>
              </w:rPr>
            </w:pPr>
            <w:r>
              <w:rPr>
                <w:noProof/>
                <w:color w:val="000000"/>
                <w:sz w:val="20"/>
                <w:szCs w:val="20"/>
              </w:rPr>
              <w:t>62</w:t>
            </w:r>
          </w:p>
        </w:tc>
      </w:tr>
      <w:tr w:rsidR="00DF7708" w14:paraId="47E953C6" w14:textId="77777777" w:rsidTr="00080C8F">
        <w:trPr>
          <w:trHeight w:val="255"/>
        </w:trPr>
        <w:tc>
          <w:tcPr>
            <w:tcW w:w="2370" w:type="pct"/>
            <w:tcBorders>
              <w:top w:val="nil"/>
              <w:left w:val="single" w:sz="4" w:space="0" w:color="auto"/>
              <w:bottom w:val="single" w:sz="4" w:space="0" w:color="auto"/>
              <w:right w:val="single" w:sz="4" w:space="0" w:color="auto"/>
            </w:tcBorders>
            <w:shd w:val="clear" w:color="000000" w:fill="BDE3FF"/>
            <w:noWrap/>
            <w:hideMark/>
          </w:tcPr>
          <w:p w14:paraId="46F389ED" w14:textId="77777777" w:rsidR="000E0CAE" w:rsidRDefault="000E0CAE">
            <w:pPr>
              <w:rPr>
                <w:b/>
                <w:bCs/>
                <w:noProof/>
                <w:color w:val="000000"/>
                <w:sz w:val="20"/>
                <w:szCs w:val="20"/>
              </w:rPr>
            </w:pPr>
            <w:r>
              <w:rPr>
                <w:b/>
                <w:bCs/>
                <w:noProof/>
                <w:color w:val="000000"/>
                <w:sz w:val="20"/>
                <w:szCs w:val="20"/>
              </w:rPr>
              <w:t>Low modal shift case</w:t>
            </w:r>
          </w:p>
        </w:tc>
        <w:tc>
          <w:tcPr>
            <w:tcW w:w="658" w:type="pct"/>
            <w:tcBorders>
              <w:top w:val="nil"/>
              <w:left w:val="nil"/>
              <w:bottom w:val="single" w:sz="4" w:space="0" w:color="auto"/>
              <w:right w:val="single" w:sz="4" w:space="0" w:color="auto"/>
            </w:tcBorders>
            <w:shd w:val="clear" w:color="000000" w:fill="BDE3FF"/>
            <w:noWrap/>
            <w:hideMark/>
          </w:tcPr>
          <w:p w14:paraId="07FF1856" w14:textId="77777777" w:rsidR="000E0CAE" w:rsidRDefault="000E0CAE">
            <w:pPr>
              <w:rPr>
                <w:b/>
                <w:bCs/>
                <w:noProof/>
                <w:color w:val="000000"/>
                <w:sz w:val="20"/>
                <w:szCs w:val="20"/>
              </w:rPr>
            </w:pPr>
            <w:r>
              <w:rPr>
                <w:b/>
                <w:bCs/>
                <w:noProof/>
                <w:color w:val="000000"/>
                <w:sz w:val="20"/>
                <w:szCs w:val="20"/>
              </w:rPr>
              <w:t> </w:t>
            </w:r>
          </w:p>
        </w:tc>
        <w:tc>
          <w:tcPr>
            <w:tcW w:w="658" w:type="pct"/>
            <w:tcBorders>
              <w:top w:val="nil"/>
              <w:left w:val="nil"/>
              <w:bottom w:val="single" w:sz="4" w:space="0" w:color="auto"/>
              <w:right w:val="single" w:sz="4" w:space="0" w:color="auto"/>
            </w:tcBorders>
            <w:shd w:val="clear" w:color="000000" w:fill="BDE3FF"/>
            <w:noWrap/>
            <w:hideMark/>
          </w:tcPr>
          <w:p w14:paraId="60554E31" w14:textId="77777777" w:rsidR="000E0CAE" w:rsidRDefault="000E0CAE">
            <w:pPr>
              <w:rPr>
                <w:b/>
                <w:bCs/>
                <w:noProof/>
                <w:color w:val="000000"/>
                <w:sz w:val="20"/>
                <w:szCs w:val="20"/>
              </w:rPr>
            </w:pPr>
            <w:r>
              <w:rPr>
                <w:b/>
                <w:bCs/>
                <w:noProof/>
                <w:color w:val="000000"/>
                <w:sz w:val="20"/>
                <w:szCs w:val="20"/>
              </w:rPr>
              <w:t> </w:t>
            </w:r>
          </w:p>
        </w:tc>
        <w:tc>
          <w:tcPr>
            <w:tcW w:w="658" w:type="pct"/>
            <w:tcBorders>
              <w:top w:val="nil"/>
              <w:left w:val="nil"/>
              <w:bottom w:val="single" w:sz="4" w:space="0" w:color="auto"/>
              <w:right w:val="single" w:sz="4" w:space="0" w:color="auto"/>
            </w:tcBorders>
            <w:shd w:val="clear" w:color="000000" w:fill="BDE3FF"/>
            <w:noWrap/>
            <w:hideMark/>
          </w:tcPr>
          <w:p w14:paraId="43A59B6C" w14:textId="77777777" w:rsidR="000E0CAE" w:rsidRDefault="000E0CAE">
            <w:pPr>
              <w:rPr>
                <w:b/>
                <w:bCs/>
                <w:noProof/>
                <w:color w:val="000000"/>
                <w:sz w:val="20"/>
                <w:szCs w:val="20"/>
              </w:rPr>
            </w:pPr>
            <w:r>
              <w:rPr>
                <w:b/>
                <w:bCs/>
                <w:noProof/>
                <w:color w:val="000000"/>
                <w:sz w:val="20"/>
                <w:szCs w:val="20"/>
              </w:rPr>
              <w:t> </w:t>
            </w:r>
          </w:p>
        </w:tc>
        <w:tc>
          <w:tcPr>
            <w:tcW w:w="658" w:type="pct"/>
            <w:tcBorders>
              <w:top w:val="nil"/>
              <w:left w:val="nil"/>
              <w:bottom w:val="single" w:sz="4" w:space="0" w:color="auto"/>
              <w:right w:val="single" w:sz="4" w:space="0" w:color="auto"/>
            </w:tcBorders>
            <w:shd w:val="clear" w:color="000000" w:fill="BDE3FF"/>
            <w:noWrap/>
            <w:hideMark/>
          </w:tcPr>
          <w:p w14:paraId="43484E1C" w14:textId="77777777" w:rsidR="000E0CAE" w:rsidRDefault="000E0CAE">
            <w:pPr>
              <w:rPr>
                <w:b/>
                <w:bCs/>
                <w:noProof/>
                <w:color w:val="000000"/>
                <w:sz w:val="20"/>
                <w:szCs w:val="20"/>
              </w:rPr>
            </w:pPr>
            <w:r>
              <w:rPr>
                <w:b/>
                <w:bCs/>
                <w:noProof/>
                <w:color w:val="000000"/>
                <w:sz w:val="20"/>
                <w:szCs w:val="20"/>
              </w:rPr>
              <w:t> </w:t>
            </w:r>
          </w:p>
        </w:tc>
      </w:tr>
      <w:tr w:rsidR="00DF7708" w14:paraId="23F540FA" w14:textId="77777777" w:rsidTr="00080C8F">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5D3FB755" w14:textId="77777777" w:rsidR="000E0CAE" w:rsidRDefault="000E0CAE">
            <w:pPr>
              <w:rPr>
                <w:noProof/>
                <w:color w:val="000000"/>
                <w:sz w:val="20"/>
                <w:szCs w:val="20"/>
              </w:rPr>
            </w:pPr>
            <w:r>
              <w:rPr>
                <w:noProof/>
                <w:color w:val="000000"/>
                <w:sz w:val="20"/>
                <w:szCs w:val="20"/>
              </w:rPr>
              <w:t>Total costs</w:t>
            </w:r>
          </w:p>
        </w:tc>
        <w:tc>
          <w:tcPr>
            <w:tcW w:w="658" w:type="pct"/>
            <w:tcBorders>
              <w:top w:val="nil"/>
              <w:left w:val="nil"/>
              <w:bottom w:val="single" w:sz="4" w:space="0" w:color="auto"/>
              <w:right w:val="single" w:sz="4" w:space="0" w:color="auto"/>
            </w:tcBorders>
            <w:shd w:val="clear" w:color="000000" w:fill="FFFFFF"/>
            <w:noWrap/>
            <w:hideMark/>
          </w:tcPr>
          <w:p w14:paraId="70692100" w14:textId="77777777" w:rsidR="000E0CAE" w:rsidRDefault="000E0CAE">
            <w:pPr>
              <w:jc w:val="right"/>
              <w:rPr>
                <w:noProof/>
                <w:color w:val="000000"/>
                <w:sz w:val="20"/>
                <w:szCs w:val="20"/>
              </w:rPr>
            </w:pPr>
            <w:r>
              <w:rPr>
                <w:noProof/>
                <w:color w:val="000000"/>
                <w:sz w:val="20"/>
                <w:szCs w:val="20"/>
              </w:rPr>
              <w:t>234</w:t>
            </w:r>
          </w:p>
        </w:tc>
        <w:tc>
          <w:tcPr>
            <w:tcW w:w="658" w:type="pct"/>
            <w:tcBorders>
              <w:top w:val="nil"/>
              <w:left w:val="nil"/>
              <w:bottom w:val="single" w:sz="4" w:space="0" w:color="auto"/>
              <w:right w:val="single" w:sz="4" w:space="0" w:color="auto"/>
            </w:tcBorders>
            <w:shd w:val="clear" w:color="000000" w:fill="FFFFFF"/>
            <w:noWrap/>
            <w:hideMark/>
          </w:tcPr>
          <w:p w14:paraId="0C23F723" w14:textId="77777777" w:rsidR="000E0CAE" w:rsidRDefault="000E0CAE">
            <w:pPr>
              <w:jc w:val="right"/>
              <w:rPr>
                <w:noProof/>
                <w:color w:val="000000"/>
                <w:sz w:val="20"/>
                <w:szCs w:val="20"/>
              </w:rPr>
            </w:pPr>
            <w:r>
              <w:rPr>
                <w:noProof/>
                <w:color w:val="000000"/>
                <w:sz w:val="20"/>
                <w:szCs w:val="20"/>
              </w:rPr>
              <w:t>317</w:t>
            </w:r>
          </w:p>
        </w:tc>
        <w:tc>
          <w:tcPr>
            <w:tcW w:w="658" w:type="pct"/>
            <w:tcBorders>
              <w:top w:val="nil"/>
              <w:left w:val="nil"/>
              <w:bottom w:val="single" w:sz="4" w:space="0" w:color="auto"/>
              <w:right w:val="single" w:sz="4" w:space="0" w:color="auto"/>
            </w:tcBorders>
            <w:shd w:val="clear" w:color="000000" w:fill="FFFFFF"/>
            <w:noWrap/>
            <w:hideMark/>
          </w:tcPr>
          <w:p w14:paraId="5ACCB030" w14:textId="77777777" w:rsidR="000E0CAE" w:rsidRDefault="000E0CAE">
            <w:pPr>
              <w:jc w:val="right"/>
              <w:rPr>
                <w:noProof/>
                <w:color w:val="000000"/>
                <w:sz w:val="20"/>
                <w:szCs w:val="20"/>
              </w:rPr>
            </w:pPr>
            <w:r>
              <w:rPr>
                <w:noProof/>
                <w:color w:val="000000"/>
                <w:sz w:val="20"/>
                <w:szCs w:val="20"/>
              </w:rPr>
              <w:t>306</w:t>
            </w:r>
          </w:p>
        </w:tc>
        <w:tc>
          <w:tcPr>
            <w:tcW w:w="658" w:type="pct"/>
            <w:tcBorders>
              <w:top w:val="nil"/>
              <w:left w:val="nil"/>
              <w:bottom w:val="single" w:sz="4" w:space="0" w:color="auto"/>
              <w:right w:val="single" w:sz="4" w:space="0" w:color="auto"/>
            </w:tcBorders>
            <w:shd w:val="clear" w:color="000000" w:fill="FFFFFF"/>
            <w:noWrap/>
            <w:hideMark/>
          </w:tcPr>
          <w:p w14:paraId="798FFD4C" w14:textId="77777777" w:rsidR="000E0CAE" w:rsidRDefault="000E0CAE">
            <w:pPr>
              <w:jc w:val="right"/>
              <w:rPr>
                <w:noProof/>
                <w:color w:val="000000"/>
                <w:sz w:val="20"/>
                <w:szCs w:val="20"/>
              </w:rPr>
            </w:pPr>
            <w:r>
              <w:rPr>
                <w:noProof/>
                <w:color w:val="000000"/>
                <w:sz w:val="20"/>
                <w:szCs w:val="20"/>
              </w:rPr>
              <w:t>469</w:t>
            </w:r>
          </w:p>
        </w:tc>
      </w:tr>
      <w:tr w:rsidR="00DF7708" w14:paraId="651E9CF3" w14:textId="77777777" w:rsidTr="00080C8F">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12CA6DBF" w14:textId="77777777" w:rsidR="000E0CAE" w:rsidRDefault="000E0CAE">
            <w:pPr>
              <w:rPr>
                <w:noProof/>
                <w:color w:val="000000"/>
                <w:sz w:val="20"/>
                <w:szCs w:val="20"/>
              </w:rPr>
            </w:pPr>
            <w:r>
              <w:rPr>
                <w:noProof/>
                <w:color w:val="000000"/>
                <w:sz w:val="20"/>
                <w:szCs w:val="20"/>
              </w:rPr>
              <w:t>Total benefits, of which:</w:t>
            </w:r>
          </w:p>
        </w:tc>
        <w:tc>
          <w:tcPr>
            <w:tcW w:w="658" w:type="pct"/>
            <w:tcBorders>
              <w:top w:val="nil"/>
              <w:left w:val="nil"/>
              <w:bottom w:val="single" w:sz="4" w:space="0" w:color="auto"/>
              <w:right w:val="single" w:sz="4" w:space="0" w:color="auto"/>
            </w:tcBorders>
            <w:shd w:val="clear" w:color="000000" w:fill="FFFFFF"/>
            <w:noWrap/>
            <w:hideMark/>
          </w:tcPr>
          <w:p w14:paraId="7AE0F154" w14:textId="77777777" w:rsidR="000E0CAE" w:rsidRDefault="000E0CAE">
            <w:pPr>
              <w:jc w:val="right"/>
              <w:rPr>
                <w:noProof/>
                <w:color w:val="000000"/>
                <w:sz w:val="20"/>
                <w:szCs w:val="20"/>
              </w:rPr>
            </w:pPr>
            <w:r>
              <w:rPr>
                <w:noProof/>
                <w:color w:val="000000"/>
                <w:sz w:val="20"/>
                <w:szCs w:val="20"/>
              </w:rPr>
              <w:t>8,405</w:t>
            </w:r>
          </w:p>
        </w:tc>
        <w:tc>
          <w:tcPr>
            <w:tcW w:w="658" w:type="pct"/>
            <w:tcBorders>
              <w:top w:val="nil"/>
              <w:left w:val="nil"/>
              <w:bottom w:val="single" w:sz="4" w:space="0" w:color="auto"/>
              <w:right w:val="single" w:sz="4" w:space="0" w:color="auto"/>
            </w:tcBorders>
            <w:shd w:val="clear" w:color="000000" w:fill="FFFFFF"/>
            <w:noWrap/>
            <w:hideMark/>
          </w:tcPr>
          <w:p w14:paraId="22972585" w14:textId="77777777" w:rsidR="000E0CAE" w:rsidRDefault="000E0CAE">
            <w:pPr>
              <w:jc w:val="right"/>
              <w:rPr>
                <w:noProof/>
                <w:color w:val="000000"/>
                <w:sz w:val="20"/>
                <w:szCs w:val="20"/>
              </w:rPr>
            </w:pPr>
            <w:r>
              <w:rPr>
                <w:noProof/>
                <w:color w:val="000000"/>
                <w:sz w:val="20"/>
                <w:szCs w:val="20"/>
              </w:rPr>
              <w:t>16,553</w:t>
            </w:r>
          </w:p>
        </w:tc>
        <w:tc>
          <w:tcPr>
            <w:tcW w:w="658" w:type="pct"/>
            <w:tcBorders>
              <w:top w:val="nil"/>
              <w:left w:val="nil"/>
              <w:bottom w:val="single" w:sz="4" w:space="0" w:color="auto"/>
              <w:right w:val="single" w:sz="4" w:space="0" w:color="auto"/>
            </w:tcBorders>
            <w:shd w:val="clear" w:color="000000" w:fill="FFFFFF"/>
            <w:noWrap/>
            <w:hideMark/>
          </w:tcPr>
          <w:p w14:paraId="1B87187D" w14:textId="77777777" w:rsidR="000E0CAE" w:rsidRDefault="000E0CAE">
            <w:pPr>
              <w:jc w:val="right"/>
              <w:rPr>
                <w:noProof/>
                <w:color w:val="000000"/>
                <w:sz w:val="20"/>
                <w:szCs w:val="20"/>
              </w:rPr>
            </w:pPr>
            <w:r>
              <w:rPr>
                <w:noProof/>
                <w:color w:val="000000"/>
                <w:sz w:val="20"/>
                <w:szCs w:val="20"/>
              </w:rPr>
              <w:t>22,966</w:t>
            </w:r>
          </w:p>
        </w:tc>
        <w:tc>
          <w:tcPr>
            <w:tcW w:w="658" w:type="pct"/>
            <w:tcBorders>
              <w:top w:val="nil"/>
              <w:left w:val="nil"/>
              <w:bottom w:val="single" w:sz="4" w:space="0" w:color="auto"/>
              <w:right w:val="single" w:sz="4" w:space="0" w:color="auto"/>
            </w:tcBorders>
            <w:shd w:val="clear" w:color="000000" w:fill="FFFFFF"/>
            <w:noWrap/>
            <w:hideMark/>
          </w:tcPr>
          <w:p w14:paraId="28C33D97" w14:textId="77777777" w:rsidR="000E0CAE" w:rsidRDefault="000E0CAE">
            <w:pPr>
              <w:jc w:val="right"/>
              <w:rPr>
                <w:noProof/>
                <w:color w:val="000000"/>
                <w:sz w:val="20"/>
                <w:szCs w:val="20"/>
              </w:rPr>
            </w:pPr>
            <w:r>
              <w:rPr>
                <w:noProof/>
                <w:color w:val="000000"/>
                <w:sz w:val="20"/>
                <w:szCs w:val="20"/>
              </w:rPr>
              <w:t>18,234</w:t>
            </w:r>
          </w:p>
        </w:tc>
      </w:tr>
      <w:tr w:rsidR="00080C8F" w14:paraId="0F0016BB" w14:textId="77777777" w:rsidTr="00080C8F">
        <w:trPr>
          <w:trHeight w:val="510"/>
        </w:trPr>
        <w:tc>
          <w:tcPr>
            <w:tcW w:w="2370" w:type="pct"/>
            <w:tcBorders>
              <w:top w:val="nil"/>
              <w:left w:val="single" w:sz="4" w:space="0" w:color="auto"/>
              <w:bottom w:val="single" w:sz="4" w:space="0" w:color="auto"/>
              <w:right w:val="single" w:sz="4" w:space="0" w:color="auto"/>
            </w:tcBorders>
            <w:shd w:val="clear" w:color="000000" w:fill="FFFFFF"/>
            <w:hideMark/>
          </w:tcPr>
          <w:p w14:paraId="627800F9" w14:textId="77777777" w:rsidR="000E0CAE" w:rsidRDefault="000E0CAE" w:rsidP="009A4F2E">
            <w:pPr>
              <w:ind w:left="164"/>
              <w:rPr>
                <w:noProof/>
                <w:color w:val="000000"/>
                <w:sz w:val="20"/>
                <w:szCs w:val="20"/>
              </w:rPr>
            </w:pPr>
            <w:r>
              <w:rPr>
                <w:noProof/>
                <w:color w:val="000000"/>
                <w:sz w:val="20"/>
                <w:szCs w:val="20"/>
              </w:rPr>
              <w:t>Adjustment costs savings for MDMS platforms and transport operators</w:t>
            </w:r>
          </w:p>
        </w:tc>
        <w:tc>
          <w:tcPr>
            <w:tcW w:w="658" w:type="pct"/>
            <w:tcBorders>
              <w:top w:val="nil"/>
              <w:left w:val="nil"/>
              <w:bottom w:val="single" w:sz="4" w:space="0" w:color="auto"/>
              <w:right w:val="single" w:sz="4" w:space="0" w:color="auto"/>
            </w:tcBorders>
            <w:shd w:val="clear" w:color="000000" w:fill="FFFFFF"/>
            <w:noWrap/>
            <w:hideMark/>
          </w:tcPr>
          <w:p w14:paraId="30CA4379" w14:textId="77777777" w:rsidR="000E0CAE" w:rsidRDefault="000E0CAE">
            <w:pPr>
              <w:jc w:val="right"/>
              <w:rPr>
                <w:noProof/>
                <w:color w:val="000000"/>
                <w:sz w:val="20"/>
                <w:szCs w:val="20"/>
              </w:rPr>
            </w:pPr>
            <w:r>
              <w:rPr>
                <w:noProof/>
                <w:color w:val="000000"/>
                <w:sz w:val="20"/>
                <w:szCs w:val="20"/>
              </w:rPr>
              <w:t>26</w:t>
            </w:r>
          </w:p>
        </w:tc>
        <w:tc>
          <w:tcPr>
            <w:tcW w:w="658" w:type="pct"/>
            <w:tcBorders>
              <w:top w:val="nil"/>
              <w:left w:val="nil"/>
              <w:bottom w:val="single" w:sz="4" w:space="0" w:color="auto"/>
              <w:right w:val="single" w:sz="4" w:space="0" w:color="auto"/>
            </w:tcBorders>
            <w:shd w:val="clear" w:color="000000" w:fill="FFFFFF"/>
            <w:noWrap/>
            <w:hideMark/>
          </w:tcPr>
          <w:p w14:paraId="5A8B4BD4" w14:textId="77777777" w:rsidR="000E0CAE" w:rsidRDefault="000E0CAE">
            <w:pPr>
              <w:jc w:val="right"/>
              <w:rPr>
                <w:noProof/>
                <w:color w:val="000000"/>
                <w:sz w:val="20"/>
                <w:szCs w:val="20"/>
              </w:rPr>
            </w:pPr>
            <w:r>
              <w:rPr>
                <w:noProof/>
                <w:color w:val="000000"/>
                <w:sz w:val="20"/>
                <w:szCs w:val="20"/>
              </w:rPr>
              <w:t>298</w:t>
            </w:r>
          </w:p>
        </w:tc>
        <w:tc>
          <w:tcPr>
            <w:tcW w:w="658" w:type="pct"/>
            <w:tcBorders>
              <w:top w:val="nil"/>
              <w:left w:val="nil"/>
              <w:bottom w:val="single" w:sz="4" w:space="0" w:color="auto"/>
              <w:right w:val="single" w:sz="4" w:space="0" w:color="auto"/>
            </w:tcBorders>
            <w:shd w:val="clear" w:color="000000" w:fill="FFFFFF"/>
            <w:noWrap/>
            <w:hideMark/>
          </w:tcPr>
          <w:p w14:paraId="2CE8D9CF" w14:textId="77777777" w:rsidR="000E0CAE" w:rsidRDefault="000E0CAE">
            <w:pPr>
              <w:jc w:val="right"/>
              <w:rPr>
                <w:noProof/>
                <w:color w:val="000000"/>
                <w:sz w:val="20"/>
                <w:szCs w:val="20"/>
              </w:rPr>
            </w:pPr>
            <w:r>
              <w:rPr>
                <w:noProof/>
                <w:color w:val="000000"/>
                <w:sz w:val="20"/>
                <w:szCs w:val="20"/>
              </w:rPr>
              <w:t>268</w:t>
            </w:r>
          </w:p>
        </w:tc>
        <w:tc>
          <w:tcPr>
            <w:tcW w:w="658" w:type="pct"/>
            <w:tcBorders>
              <w:top w:val="nil"/>
              <w:left w:val="nil"/>
              <w:bottom w:val="single" w:sz="4" w:space="0" w:color="auto"/>
              <w:right w:val="single" w:sz="4" w:space="0" w:color="auto"/>
            </w:tcBorders>
            <w:shd w:val="clear" w:color="000000" w:fill="FFFFFF"/>
            <w:noWrap/>
            <w:hideMark/>
          </w:tcPr>
          <w:p w14:paraId="7BF8B336" w14:textId="77777777" w:rsidR="000E0CAE" w:rsidRDefault="000E0CAE">
            <w:pPr>
              <w:jc w:val="right"/>
              <w:rPr>
                <w:noProof/>
                <w:color w:val="000000"/>
                <w:sz w:val="20"/>
                <w:szCs w:val="20"/>
              </w:rPr>
            </w:pPr>
            <w:r>
              <w:rPr>
                <w:noProof/>
                <w:color w:val="000000"/>
                <w:sz w:val="20"/>
                <w:szCs w:val="20"/>
              </w:rPr>
              <w:t>285</w:t>
            </w:r>
          </w:p>
        </w:tc>
      </w:tr>
      <w:tr w:rsidR="00DF7708" w14:paraId="729FF3FB" w14:textId="77777777" w:rsidTr="00080C8F">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1174BE02" w14:textId="77777777" w:rsidR="000E0CAE" w:rsidRDefault="000E0CAE" w:rsidP="009A4F2E">
            <w:pPr>
              <w:ind w:left="164"/>
              <w:rPr>
                <w:noProof/>
                <w:color w:val="000000"/>
                <w:sz w:val="20"/>
                <w:szCs w:val="20"/>
              </w:rPr>
            </w:pPr>
            <w:r>
              <w:rPr>
                <w:noProof/>
                <w:color w:val="000000"/>
                <w:sz w:val="20"/>
                <w:szCs w:val="20"/>
              </w:rPr>
              <w:t>External costs savings</w:t>
            </w:r>
          </w:p>
        </w:tc>
        <w:tc>
          <w:tcPr>
            <w:tcW w:w="658" w:type="pct"/>
            <w:tcBorders>
              <w:top w:val="nil"/>
              <w:left w:val="nil"/>
              <w:bottom w:val="single" w:sz="4" w:space="0" w:color="auto"/>
              <w:right w:val="single" w:sz="4" w:space="0" w:color="auto"/>
            </w:tcBorders>
            <w:shd w:val="clear" w:color="000000" w:fill="FFFFFF"/>
            <w:noWrap/>
            <w:hideMark/>
          </w:tcPr>
          <w:p w14:paraId="46A9FD70" w14:textId="77777777" w:rsidR="000E0CAE" w:rsidRDefault="000E0CAE">
            <w:pPr>
              <w:jc w:val="right"/>
              <w:rPr>
                <w:noProof/>
                <w:color w:val="000000"/>
                <w:sz w:val="20"/>
                <w:szCs w:val="20"/>
              </w:rPr>
            </w:pPr>
            <w:r>
              <w:rPr>
                <w:noProof/>
                <w:color w:val="000000"/>
                <w:sz w:val="20"/>
                <w:szCs w:val="20"/>
              </w:rPr>
              <w:t>8,379</w:t>
            </w:r>
          </w:p>
        </w:tc>
        <w:tc>
          <w:tcPr>
            <w:tcW w:w="658" w:type="pct"/>
            <w:tcBorders>
              <w:top w:val="nil"/>
              <w:left w:val="nil"/>
              <w:bottom w:val="single" w:sz="4" w:space="0" w:color="auto"/>
              <w:right w:val="single" w:sz="4" w:space="0" w:color="auto"/>
            </w:tcBorders>
            <w:shd w:val="clear" w:color="000000" w:fill="FFFFFF"/>
            <w:noWrap/>
            <w:hideMark/>
          </w:tcPr>
          <w:p w14:paraId="026C79B3" w14:textId="77777777" w:rsidR="000E0CAE" w:rsidRDefault="000E0CAE">
            <w:pPr>
              <w:jc w:val="right"/>
              <w:rPr>
                <w:noProof/>
                <w:color w:val="000000"/>
                <w:sz w:val="20"/>
                <w:szCs w:val="20"/>
              </w:rPr>
            </w:pPr>
            <w:r>
              <w:rPr>
                <w:noProof/>
                <w:color w:val="000000"/>
                <w:sz w:val="20"/>
                <w:szCs w:val="20"/>
              </w:rPr>
              <w:t>16,255</w:t>
            </w:r>
          </w:p>
        </w:tc>
        <w:tc>
          <w:tcPr>
            <w:tcW w:w="658" w:type="pct"/>
            <w:tcBorders>
              <w:top w:val="nil"/>
              <w:left w:val="nil"/>
              <w:bottom w:val="single" w:sz="4" w:space="0" w:color="auto"/>
              <w:right w:val="single" w:sz="4" w:space="0" w:color="auto"/>
            </w:tcBorders>
            <w:shd w:val="clear" w:color="000000" w:fill="FFFFFF"/>
            <w:noWrap/>
            <w:hideMark/>
          </w:tcPr>
          <w:p w14:paraId="16856A7F" w14:textId="77777777" w:rsidR="000E0CAE" w:rsidRDefault="000E0CAE">
            <w:pPr>
              <w:jc w:val="right"/>
              <w:rPr>
                <w:noProof/>
                <w:color w:val="000000"/>
                <w:sz w:val="20"/>
                <w:szCs w:val="20"/>
              </w:rPr>
            </w:pPr>
            <w:r>
              <w:rPr>
                <w:noProof/>
                <w:color w:val="000000"/>
                <w:sz w:val="20"/>
                <w:szCs w:val="20"/>
              </w:rPr>
              <w:t>22,698</w:t>
            </w:r>
          </w:p>
        </w:tc>
        <w:tc>
          <w:tcPr>
            <w:tcW w:w="658" w:type="pct"/>
            <w:tcBorders>
              <w:top w:val="nil"/>
              <w:left w:val="nil"/>
              <w:bottom w:val="single" w:sz="4" w:space="0" w:color="auto"/>
              <w:right w:val="single" w:sz="4" w:space="0" w:color="auto"/>
            </w:tcBorders>
            <w:shd w:val="clear" w:color="000000" w:fill="FFFFFF"/>
            <w:noWrap/>
            <w:hideMark/>
          </w:tcPr>
          <w:p w14:paraId="175352E6" w14:textId="77777777" w:rsidR="000E0CAE" w:rsidRDefault="000E0CAE">
            <w:pPr>
              <w:jc w:val="right"/>
              <w:rPr>
                <w:noProof/>
                <w:color w:val="000000"/>
                <w:sz w:val="20"/>
                <w:szCs w:val="20"/>
              </w:rPr>
            </w:pPr>
            <w:r>
              <w:rPr>
                <w:noProof/>
                <w:color w:val="000000"/>
                <w:sz w:val="20"/>
                <w:szCs w:val="20"/>
              </w:rPr>
              <w:t>17,949</w:t>
            </w:r>
          </w:p>
        </w:tc>
      </w:tr>
      <w:tr w:rsidR="00DF7708" w14:paraId="49DA4411" w14:textId="77777777" w:rsidTr="00080C8F">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7D5FC763" w14:textId="77777777" w:rsidR="000E0CAE" w:rsidRDefault="000E0CAE">
            <w:pPr>
              <w:rPr>
                <w:noProof/>
                <w:color w:val="000000"/>
                <w:sz w:val="20"/>
                <w:szCs w:val="20"/>
              </w:rPr>
            </w:pPr>
            <w:r>
              <w:rPr>
                <w:noProof/>
                <w:color w:val="000000"/>
                <w:sz w:val="20"/>
                <w:szCs w:val="20"/>
              </w:rPr>
              <w:t>Net benefits</w:t>
            </w:r>
          </w:p>
        </w:tc>
        <w:tc>
          <w:tcPr>
            <w:tcW w:w="658" w:type="pct"/>
            <w:tcBorders>
              <w:top w:val="nil"/>
              <w:left w:val="nil"/>
              <w:bottom w:val="single" w:sz="4" w:space="0" w:color="auto"/>
              <w:right w:val="single" w:sz="4" w:space="0" w:color="auto"/>
            </w:tcBorders>
            <w:shd w:val="clear" w:color="000000" w:fill="FFFFFF"/>
            <w:noWrap/>
            <w:hideMark/>
          </w:tcPr>
          <w:p w14:paraId="5E710DAF" w14:textId="77777777" w:rsidR="000E0CAE" w:rsidRDefault="000E0CAE">
            <w:pPr>
              <w:jc w:val="right"/>
              <w:rPr>
                <w:noProof/>
                <w:color w:val="000000"/>
                <w:sz w:val="20"/>
                <w:szCs w:val="20"/>
              </w:rPr>
            </w:pPr>
            <w:r>
              <w:rPr>
                <w:noProof/>
                <w:color w:val="000000"/>
                <w:sz w:val="20"/>
                <w:szCs w:val="20"/>
              </w:rPr>
              <w:t>8,171</w:t>
            </w:r>
          </w:p>
        </w:tc>
        <w:tc>
          <w:tcPr>
            <w:tcW w:w="658" w:type="pct"/>
            <w:tcBorders>
              <w:top w:val="nil"/>
              <w:left w:val="nil"/>
              <w:bottom w:val="single" w:sz="4" w:space="0" w:color="auto"/>
              <w:right w:val="single" w:sz="4" w:space="0" w:color="auto"/>
            </w:tcBorders>
            <w:shd w:val="clear" w:color="000000" w:fill="FFFFFF"/>
            <w:noWrap/>
            <w:hideMark/>
          </w:tcPr>
          <w:p w14:paraId="3226E1FE" w14:textId="77777777" w:rsidR="000E0CAE" w:rsidRDefault="000E0CAE">
            <w:pPr>
              <w:jc w:val="right"/>
              <w:rPr>
                <w:noProof/>
                <w:color w:val="000000"/>
                <w:sz w:val="20"/>
                <w:szCs w:val="20"/>
              </w:rPr>
            </w:pPr>
            <w:r>
              <w:rPr>
                <w:noProof/>
                <w:color w:val="000000"/>
                <w:sz w:val="20"/>
                <w:szCs w:val="20"/>
              </w:rPr>
              <w:t>16,236</w:t>
            </w:r>
          </w:p>
        </w:tc>
        <w:tc>
          <w:tcPr>
            <w:tcW w:w="658" w:type="pct"/>
            <w:tcBorders>
              <w:top w:val="nil"/>
              <w:left w:val="nil"/>
              <w:bottom w:val="single" w:sz="4" w:space="0" w:color="auto"/>
              <w:right w:val="single" w:sz="4" w:space="0" w:color="auto"/>
            </w:tcBorders>
            <w:shd w:val="clear" w:color="000000" w:fill="FFFFFF"/>
            <w:noWrap/>
            <w:hideMark/>
          </w:tcPr>
          <w:p w14:paraId="18B8AAF0" w14:textId="77777777" w:rsidR="000E0CAE" w:rsidRDefault="000E0CAE">
            <w:pPr>
              <w:jc w:val="right"/>
              <w:rPr>
                <w:noProof/>
                <w:color w:val="000000"/>
                <w:sz w:val="20"/>
                <w:szCs w:val="20"/>
              </w:rPr>
            </w:pPr>
            <w:r>
              <w:rPr>
                <w:noProof/>
                <w:color w:val="000000"/>
                <w:sz w:val="20"/>
                <w:szCs w:val="20"/>
              </w:rPr>
              <w:t>22,660</w:t>
            </w:r>
          </w:p>
        </w:tc>
        <w:tc>
          <w:tcPr>
            <w:tcW w:w="658" w:type="pct"/>
            <w:tcBorders>
              <w:top w:val="nil"/>
              <w:left w:val="nil"/>
              <w:bottom w:val="single" w:sz="4" w:space="0" w:color="auto"/>
              <w:right w:val="single" w:sz="4" w:space="0" w:color="auto"/>
            </w:tcBorders>
            <w:shd w:val="clear" w:color="000000" w:fill="FFFFFF"/>
            <w:noWrap/>
            <w:hideMark/>
          </w:tcPr>
          <w:p w14:paraId="7F826E9C" w14:textId="77777777" w:rsidR="000E0CAE" w:rsidRDefault="000E0CAE">
            <w:pPr>
              <w:jc w:val="right"/>
              <w:rPr>
                <w:noProof/>
                <w:color w:val="000000"/>
                <w:sz w:val="20"/>
                <w:szCs w:val="20"/>
              </w:rPr>
            </w:pPr>
            <w:r>
              <w:rPr>
                <w:noProof/>
                <w:color w:val="000000"/>
                <w:sz w:val="20"/>
                <w:szCs w:val="20"/>
              </w:rPr>
              <w:t>17,766</w:t>
            </w:r>
          </w:p>
        </w:tc>
      </w:tr>
      <w:tr w:rsidR="00DF7708" w14:paraId="3DC31D5A" w14:textId="77777777" w:rsidTr="00080C8F">
        <w:trPr>
          <w:trHeight w:val="255"/>
        </w:trPr>
        <w:tc>
          <w:tcPr>
            <w:tcW w:w="2370" w:type="pct"/>
            <w:tcBorders>
              <w:top w:val="nil"/>
              <w:left w:val="single" w:sz="4" w:space="0" w:color="auto"/>
              <w:bottom w:val="single" w:sz="4" w:space="0" w:color="auto"/>
              <w:right w:val="single" w:sz="4" w:space="0" w:color="auto"/>
            </w:tcBorders>
            <w:shd w:val="clear" w:color="000000" w:fill="FFFFFF"/>
            <w:noWrap/>
            <w:hideMark/>
          </w:tcPr>
          <w:p w14:paraId="55722182" w14:textId="77777777" w:rsidR="000E0CAE" w:rsidRDefault="000E0CAE">
            <w:pPr>
              <w:rPr>
                <w:noProof/>
                <w:color w:val="000000"/>
                <w:sz w:val="20"/>
                <w:szCs w:val="20"/>
              </w:rPr>
            </w:pPr>
            <w:r>
              <w:rPr>
                <w:noProof/>
                <w:color w:val="000000"/>
                <w:sz w:val="20"/>
                <w:szCs w:val="20"/>
              </w:rPr>
              <w:t>Benefits to costs ratio</w:t>
            </w:r>
          </w:p>
        </w:tc>
        <w:tc>
          <w:tcPr>
            <w:tcW w:w="658" w:type="pct"/>
            <w:tcBorders>
              <w:top w:val="nil"/>
              <w:left w:val="nil"/>
              <w:bottom w:val="single" w:sz="4" w:space="0" w:color="auto"/>
              <w:right w:val="single" w:sz="4" w:space="0" w:color="auto"/>
            </w:tcBorders>
            <w:shd w:val="clear" w:color="000000" w:fill="FFFFFF"/>
            <w:noWrap/>
            <w:hideMark/>
          </w:tcPr>
          <w:p w14:paraId="167C5032" w14:textId="77777777" w:rsidR="000E0CAE" w:rsidRDefault="000E0CAE">
            <w:pPr>
              <w:jc w:val="right"/>
              <w:rPr>
                <w:noProof/>
                <w:color w:val="000000"/>
                <w:sz w:val="20"/>
                <w:szCs w:val="20"/>
              </w:rPr>
            </w:pPr>
            <w:r>
              <w:rPr>
                <w:noProof/>
                <w:color w:val="000000"/>
                <w:sz w:val="20"/>
                <w:szCs w:val="20"/>
              </w:rPr>
              <w:t>36</w:t>
            </w:r>
          </w:p>
        </w:tc>
        <w:tc>
          <w:tcPr>
            <w:tcW w:w="658" w:type="pct"/>
            <w:tcBorders>
              <w:top w:val="nil"/>
              <w:left w:val="nil"/>
              <w:bottom w:val="single" w:sz="4" w:space="0" w:color="auto"/>
              <w:right w:val="single" w:sz="4" w:space="0" w:color="auto"/>
            </w:tcBorders>
            <w:shd w:val="clear" w:color="000000" w:fill="FFFFFF"/>
            <w:noWrap/>
            <w:hideMark/>
          </w:tcPr>
          <w:p w14:paraId="3A1D4B15" w14:textId="77777777" w:rsidR="000E0CAE" w:rsidRDefault="000E0CAE">
            <w:pPr>
              <w:jc w:val="right"/>
              <w:rPr>
                <w:noProof/>
                <w:color w:val="000000"/>
                <w:sz w:val="20"/>
                <w:szCs w:val="20"/>
              </w:rPr>
            </w:pPr>
            <w:r>
              <w:rPr>
                <w:noProof/>
                <w:color w:val="000000"/>
                <w:sz w:val="20"/>
                <w:szCs w:val="20"/>
              </w:rPr>
              <w:t>52</w:t>
            </w:r>
          </w:p>
        </w:tc>
        <w:tc>
          <w:tcPr>
            <w:tcW w:w="658" w:type="pct"/>
            <w:tcBorders>
              <w:top w:val="nil"/>
              <w:left w:val="nil"/>
              <w:bottom w:val="single" w:sz="4" w:space="0" w:color="auto"/>
              <w:right w:val="single" w:sz="4" w:space="0" w:color="auto"/>
            </w:tcBorders>
            <w:shd w:val="clear" w:color="000000" w:fill="FFFFFF"/>
            <w:noWrap/>
            <w:hideMark/>
          </w:tcPr>
          <w:p w14:paraId="10D631F5" w14:textId="77777777" w:rsidR="000E0CAE" w:rsidRDefault="000E0CAE">
            <w:pPr>
              <w:jc w:val="right"/>
              <w:rPr>
                <w:noProof/>
                <w:color w:val="000000"/>
                <w:sz w:val="20"/>
                <w:szCs w:val="20"/>
              </w:rPr>
            </w:pPr>
            <w:r>
              <w:rPr>
                <w:noProof/>
                <w:color w:val="000000"/>
                <w:sz w:val="20"/>
                <w:szCs w:val="20"/>
              </w:rPr>
              <w:t>75</w:t>
            </w:r>
          </w:p>
        </w:tc>
        <w:tc>
          <w:tcPr>
            <w:tcW w:w="658" w:type="pct"/>
            <w:tcBorders>
              <w:top w:val="nil"/>
              <w:left w:val="nil"/>
              <w:bottom w:val="single" w:sz="4" w:space="0" w:color="auto"/>
              <w:right w:val="single" w:sz="4" w:space="0" w:color="auto"/>
            </w:tcBorders>
            <w:shd w:val="clear" w:color="000000" w:fill="FFFFFF"/>
            <w:noWrap/>
            <w:hideMark/>
          </w:tcPr>
          <w:p w14:paraId="044748DE" w14:textId="77777777" w:rsidR="000E0CAE" w:rsidRDefault="000E0CAE">
            <w:pPr>
              <w:jc w:val="right"/>
              <w:rPr>
                <w:noProof/>
                <w:color w:val="000000"/>
                <w:sz w:val="20"/>
                <w:szCs w:val="20"/>
              </w:rPr>
            </w:pPr>
            <w:r>
              <w:rPr>
                <w:noProof/>
                <w:color w:val="000000"/>
                <w:sz w:val="20"/>
                <w:szCs w:val="20"/>
              </w:rPr>
              <w:t>39</w:t>
            </w:r>
          </w:p>
        </w:tc>
      </w:tr>
    </w:tbl>
    <w:p w14:paraId="72BBA748" w14:textId="77777777" w:rsidR="001E1853" w:rsidRDefault="001E1853" w:rsidP="001E1853">
      <w:pPr>
        <w:tabs>
          <w:tab w:val="left" w:pos="2302"/>
        </w:tabs>
        <w:spacing w:after="240"/>
        <w:jc w:val="both"/>
        <w:rPr>
          <w:i/>
          <w:iCs/>
          <w:noProof/>
          <w:sz w:val="20"/>
          <w:szCs w:val="20"/>
        </w:rPr>
      </w:pPr>
      <w:r w:rsidRPr="00FB0A72">
        <w:rPr>
          <w:i/>
          <w:iCs/>
          <w:noProof/>
          <w:spacing w:val="-8"/>
          <w:sz w:val="20"/>
          <w:szCs w:val="20"/>
        </w:rPr>
        <w:t xml:space="preserve">Source: </w:t>
      </w:r>
      <w:r w:rsidRPr="00FB0A72">
        <w:rPr>
          <w:i/>
          <w:iCs/>
          <w:noProof/>
          <w:sz w:val="20"/>
          <w:szCs w:val="20"/>
        </w:rPr>
        <w:t>Ricardo et al. (2026), Impact assessment support study</w:t>
      </w:r>
    </w:p>
    <w:p w14:paraId="240D6A7F" w14:textId="49D92674" w:rsidR="001E1853" w:rsidRDefault="001E1853" w:rsidP="001E1853">
      <w:pPr>
        <w:tabs>
          <w:tab w:val="left" w:pos="2302"/>
        </w:tabs>
        <w:spacing w:after="240"/>
        <w:jc w:val="both"/>
        <w:rPr>
          <w:noProof/>
          <w:spacing w:val="-8"/>
        </w:rPr>
      </w:pPr>
      <w:r w:rsidRPr="003A2F40">
        <w:rPr>
          <w:b/>
          <w:noProof/>
          <w:spacing w:val="-8"/>
        </w:rPr>
        <w:t>Sensitivity analysis on the thresholds to identify B2C MDMS platforms and RUs with SMP.</w:t>
      </w:r>
      <w:r>
        <w:rPr>
          <w:noProof/>
          <w:spacing w:val="-8"/>
        </w:rPr>
        <w:t xml:space="preserve"> A ‘low </w:t>
      </w:r>
      <w:r w:rsidRPr="005B1954">
        <w:rPr>
          <w:noProof/>
          <w:spacing w:val="-8"/>
        </w:rPr>
        <w:t>SMP threshold</w:t>
      </w:r>
      <w:r w:rsidR="0037132F">
        <w:rPr>
          <w:noProof/>
          <w:spacing w:val="-8"/>
        </w:rPr>
        <w:t>’</w:t>
      </w:r>
      <w:r w:rsidRPr="005B1954">
        <w:rPr>
          <w:noProof/>
          <w:spacing w:val="-8"/>
        </w:rPr>
        <w:t xml:space="preserve"> case</w:t>
      </w:r>
      <w:r>
        <w:rPr>
          <w:noProof/>
          <w:spacing w:val="-8"/>
        </w:rPr>
        <w:t xml:space="preserve"> has been assessed, assuming that the EU level </w:t>
      </w:r>
      <w:r w:rsidRPr="005B1954">
        <w:rPr>
          <w:noProof/>
          <w:spacing w:val="-8"/>
        </w:rPr>
        <w:t>SMP threshold</w:t>
      </w:r>
      <w:r>
        <w:rPr>
          <w:noProof/>
          <w:spacing w:val="-8"/>
        </w:rPr>
        <w:t xml:space="preserve"> is lowered from 10% to 5%. </w:t>
      </w:r>
      <w:r w:rsidRPr="00C83CEC">
        <w:rPr>
          <w:noProof/>
          <w:spacing w:val="-8"/>
        </w:rPr>
        <w:t>This would bring three additional OTAs into scope as indispensable MDMS (Etraveli group, Booking.com, Trip.com Group)</w:t>
      </w:r>
      <w:r>
        <w:rPr>
          <w:noProof/>
          <w:spacing w:val="-8"/>
        </w:rPr>
        <w:t xml:space="preserve">. </w:t>
      </w:r>
      <w:r w:rsidRPr="00301B44">
        <w:rPr>
          <w:noProof/>
          <w:spacing w:val="-8"/>
        </w:rPr>
        <w:t xml:space="preserve">The impacts on </w:t>
      </w:r>
      <w:r>
        <w:rPr>
          <w:noProof/>
          <w:spacing w:val="-8"/>
        </w:rPr>
        <w:t xml:space="preserve">costs and </w:t>
      </w:r>
      <w:r w:rsidRPr="00301B44">
        <w:rPr>
          <w:noProof/>
          <w:spacing w:val="-8"/>
        </w:rPr>
        <w:t>costs savings are further compared to the base case presented in section 6.</w:t>
      </w:r>
      <w:r>
        <w:rPr>
          <w:noProof/>
          <w:spacing w:val="-8"/>
        </w:rPr>
        <w:t xml:space="preserve"> </w:t>
      </w:r>
    </w:p>
    <w:p w14:paraId="31BB4EFF" w14:textId="0B1372C4" w:rsidR="001E1853" w:rsidRPr="005D2D60" w:rsidRDefault="001E1853" w:rsidP="001E1853">
      <w:pPr>
        <w:tabs>
          <w:tab w:val="left" w:pos="2302"/>
        </w:tabs>
        <w:spacing w:after="240"/>
        <w:jc w:val="both"/>
        <w:rPr>
          <w:rFonts w:cstheme="minorBidi"/>
          <w:i/>
          <w:noProof/>
          <w:sz w:val="22"/>
          <w:szCs w:val="22"/>
          <w:lang w:eastAsia="en-US"/>
        </w:rPr>
      </w:pPr>
      <w:r>
        <w:rPr>
          <w:noProof/>
          <w:spacing w:val="-8"/>
        </w:rPr>
        <w:t xml:space="preserve">The ‘low </w:t>
      </w:r>
      <w:r w:rsidRPr="005B1954">
        <w:rPr>
          <w:noProof/>
          <w:spacing w:val="-8"/>
        </w:rPr>
        <w:t>SMP threshold</w:t>
      </w:r>
      <w:r w:rsidR="0037132F">
        <w:rPr>
          <w:noProof/>
          <w:spacing w:val="-8"/>
        </w:rPr>
        <w:t>’</w:t>
      </w:r>
      <w:r w:rsidRPr="005B1954">
        <w:rPr>
          <w:noProof/>
          <w:spacing w:val="-8"/>
        </w:rPr>
        <w:t xml:space="preserve"> case</w:t>
      </w:r>
      <w:r>
        <w:rPr>
          <w:noProof/>
          <w:spacing w:val="-8"/>
        </w:rPr>
        <w:t xml:space="preserve"> </w:t>
      </w:r>
      <w:r w:rsidRPr="00525EFF">
        <w:rPr>
          <w:noProof/>
          <w:spacing w:val="-8"/>
        </w:rPr>
        <w:t>results in</w:t>
      </w:r>
      <w:r>
        <w:rPr>
          <w:noProof/>
          <w:spacing w:val="-8"/>
        </w:rPr>
        <w:t xml:space="preserve"> three</w:t>
      </w:r>
      <w:r w:rsidRPr="00525EFF">
        <w:rPr>
          <w:noProof/>
          <w:spacing w:val="-8"/>
        </w:rPr>
        <w:t xml:space="preserve"> more platforms needing to submit information to national authorities (PM10), leading to some additional administrative costs</w:t>
      </w:r>
      <w:r>
        <w:rPr>
          <w:noProof/>
          <w:spacing w:val="-8"/>
        </w:rPr>
        <w:t xml:space="preserve"> (EUR 0.8 million one-off administrative costs in the ‘low </w:t>
      </w:r>
      <w:r w:rsidRPr="005B1954">
        <w:rPr>
          <w:noProof/>
          <w:spacing w:val="-8"/>
        </w:rPr>
        <w:t>SMP threshold</w:t>
      </w:r>
      <w:r w:rsidR="0037132F">
        <w:rPr>
          <w:noProof/>
          <w:spacing w:val="-8"/>
        </w:rPr>
        <w:t>’</w:t>
      </w:r>
      <w:r w:rsidRPr="005B1954">
        <w:rPr>
          <w:noProof/>
          <w:spacing w:val="-8"/>
        </w:rPr>
        <w:t xml:space="preserve"> case</w:t>
      </w:r>
      <w:r>
        <w:rPr>
          <w:noProof/>
          <w:spacing w:val="-8"/>
        </w:rPr>
        <w:t xml:space="preserve"> in all POs relative to EUR 0.5 million in the base case). It</w:t>
      </w:r>
      <w:r w:rsidRPr="00525EFF">
        <w:rPr>
          <w:noProof/>
          <w:spacing w:val="-8"/>
        </w:rPr>
        <w:t xml:space="preserve"> also </w:t>
      </w:r>
      <w:r>
        <w:rPr>
          <w:noProof/>
          <w:spacing w:val="-8"/>
        </w:rPr>
        <w:t xml:space="preserve">requires </w:t>
      </w:r>
      <w:r w:rsidRPr="00525EFF">
        <w:rPr>
          <w:noProof/>
          <w:spacing w:val="-8"/>
        </w:rPr>
        <w:t xml:space="preserve">more platforms to comply with </w:t>
      </w:r>
      <w:r w:rsidRPr="0066142F">
        <w:rPr>
          <w:noProof/>
          <w:spacing w:val="-8"/>
        </w:rPr>
        <w:t>commercial agreement rules for indispensable MDMS</w:t>
      </w:r>
      <w:r>
        <w:rPr>
          <w:noProof/>
          <w:spacing w:val="-8"/>
        </w:rPr>
        <w:t xml:space="preserve"> (PM11)</w:t>
      </w:r>
      <w:r w:rsidRPr="00525EFF">
        <w:rPr>
          <w:noProof/>
          <w:spacing w:val="-8"/>
        </w:rPr>
        <w:t xml:space="preserve">, leading to additional cost savings </w:t>
      </w:r>
      <w:r>
        <w:rPr>
          <w:noProof/>
          <w:spacing w:val="-8"/>
        </w:rPr>
        <w:t xml:space="preserve">for MDMS platforms and transport operators </w:t>
      </w:r>
      <w:r w:rsidRPr="00525EFF">
        <w:rPr>
          <w:noProof/>
          <w:spacing w:val="-8"/>
        </w:rPr>
        <w:t>relative to the base case</w:t>
      </w:r>
      <w:r>
        <w:rPr>
          <w:noProof/>
          <w:spacing w:val="-8"/>
        </w:rPr>
        <w:t xml:space="preserve"> (3% higher adjustment costs savings in PO1 and 6% higher adjustment costs savings in PO2, PO3 and PO4 relative to the base case, expressed as present value over 2028-2050) as shown in the table below</w:t>
      </w:r>
      <w:r w:rsidRPr="00525EFF">
        <w:rPr>
          <w:noProof/>
          <w:spacing w:val="-8"/>
        </w:rPr>
        <w:t>.</w:t>
      </w:r>
      <w:r>
        <w:rPr>
          <w:noProof/>
          <w:spacing w:val="-8"/>
        </w:rPr>
        <w:t xml:space="preserve"> </w:t>
      </w:r>
      <w:r w:rsidRPr="005D2D60" w:rsidDel="002E6031">
        <w:rPr>
          <w:rFonts w:cstheme="minorBidi"/>
          <w:i/>
          <w:noProof/>
          <w:sz w:val="22"/>
          <w:szCs w:val="22"/>
          <w:lang w:eastAsia="en-US"/>
        </w:rPr>
        <w:t xml:space="preserve"> </w:t>
      </w:r>
    </w:p>
    <w:p w14:paraId="79D263B3" w14:textId="1F1074FC" w:rsidR="001E1853" w:rsidRDefault="001E1853" w:rsidP="001E1853">
      <w:pPr>
        <w:pStyle w:val="Text2"/>
        <w:spacing w:after="0"/>
        <w:ind w:left="0"/>
        <w:rPr>
          <w:rFonts w:cs="Times New Roman"/>
          <w:i/>
          <w:noProof/>
          <w:sz w:val="22"/>
          <w:szCs w:val="22"/>
        </w:rPr>
      </w:pPr>
      <w:r w:rsidRPr="006333F0">
        <w:rPr>
          <w:rFonts w:cs="Times New Roman"/>
          <w:i/>
          <w:noProof/>
          <w:sz w:val="22"/>
          <w:szCs w:val="22"/>
        </w:rPr>
        <w:t xml:space="preserve">Table </w:t>
      </w:r>
      <w:r w:rsidRPr="00BA0980">
        <w:rPr>
          <w:rFonts w:cs="Times New Roman"/>
          <w:i/>
          <w:noProof/>
          <w:sz w:val="22"/>
          <w:szCs w:val="22"/>
        </w:rPr>
        <w:fldChar w:fldCharType="begin"/>
      </w:r>
      <w:r w:rsidRPr="00BA0980">
        <w:rPr>
          <w:rFonts w:cs="Times New Roman"/>
          <w:i/>
          <w:noProof/>
          <w:sz w:val="22"/>
          <w:szCs w:val="22"/>
        </w:rPr>
        <w:instrText xml:space="preserve"> SEQ Table \* ARABIC </w:instrText>
      </w:r>
      <w:r w:rsidRPr="00BA0980">
        <w:rPr>
          <w:rFonts w:cs="Times New Roman"/>
          <w:i/>
          <w:noProof/>
          <w:sz w:val="22"/>
          <w:szCs w:val="22"/>
        </w:rPr>
        <w:fldChar w:fldCharType="separate"/>
      </w:r>
      <w:r w:rsidR="0055391F">
        <w:rPr>
          <w:rFonts w:cs="Times New Roman"/>
          <w:i/>
          <w:noProof/>
          <w:sz w:val="22"/>
          <w:szCs w:val="22"/>
        </w:rPr>
        <w:t>130</w:t>
      </w:r>
      <w:r w:rsidRPr="00BA0980">
        <w:rPr>
          <w:rFonts w:cs="Times New Roman"/>
          <w:i/>
          <w:noProof/>
          <w:sz w:val="22"/>
          <w:szCs w:val="22"/>
        </w:rPr>
        <w:fldChar w:fldCharType="end"/>
      </w:r>
      <w:r w:rsidRPr="006333F0">
        <w:rPr>
          <w:rFonts w:cs="Times New Roman"/>
          <w:i/>
          <w:noProof/>
          <w:sz w:val="22"/>
          <w:szCs w:val="22"/>
        </w:rPr>
        <w:t xml:space="preserve">: </w:t>
      </w:r>
      <w:r>
        <w:rPr>
          <w:rFonts w:cs="Times New Roman"/>
          <w:i/>
          <w:noProof/>
          <w:sz w:val="22"/>
          <w:szCs w:val="22"/>
        </w:rPr>
        <w:t>Administrative costs and adjustment costs savings for MDMS platforms and transport operators due to PM10 and PM11 in the ‘low SMP threshold</w:t>
      </w:r>
      <w:r w:rsidR="00D7201D">
        <w:rPr>
          <w:rFonts w:cs="Times New Roman"/>
          <w:i/>
          <w:noProof/>
          <w:sz w:val="22"/>
          <w:szCs w:val="22"/>
        </w:rPr>
        <w:t>’</w:t>
      </w:r>
      <w:r>
        <w:rPr>
          <w:rFonts w:cs="Times New Roman"/>
          <w:i/>
          <w:noProof/>
          <w:sz w:val="22"/>
          <w:szCs w:val="22"/>
        </w:rPr>
        <w:t xml:space="preserve"> case and base case in the POs relative to the baseline (EU27), expressed as present value over 2028-2050,</w:t>
      </w:r>
      <w:r w:rsidRPr="006333F0">
        <w:rPr>
          <w:rFonts w:cs="Times New Roman"/>
          <w:i/>
          <w:noProof/>
          <w:sz w:val="22"/>
          <w:szCs w:val="22"/>
        </w:rPr>
        <w:t xml:space="preserve"> in million EUR (202</w:t>
      </w:r>
      <w:r>
        <w:rPr>
          <w:rFonts w:cs="Times New Roman"/>
          <w:i/>
          <w:noProof/>
          <w:sz w:val="22"/>
          <w:szCs w:val="22"/>
        </w:rPr>
        <w:t>4</w:t>
      </w:r>
      <w:r w:rsidRPr="006333F0">
        <w:rPr>
          <w:rFonts w:cs="Times New Roman"/>
          <w:i/>
          <w:noProof/>
          <w:sz w:val="22"/>
          <w:szCs w:val="22"/>
        </w:rPr>
        <w:t xml:space="preserve"> prices)</w:t>
      </w:r>
      <w:r>
        <w:rPr>
          <w:rFonts w:cs="Times New Roman"/>
          <w:i/>
          <w:noProof/>
          <w:sz w:val="22"/>
          <w:szCs w:val="22"/>
        </w:rPr>
        <w:t xml:space="preserve"> </w:t>
      </w:r>
    </w:p>
    <w:tbl>
      <w:tblPr>
        <w:tblW w:w="5000" w:type="pct"/>
        <w:tblLook w:val="04A0" w:firstRow="1" w:lastRow="0" w:firstColumn="1" w:lastColumn="0" w:noHBand="0" w:noVBand="1"/>
      </w:tblPr>
      <w:tblGrid>
        <w:gridCol w:w="5365"/>
        <w:gridCol w:w="1060"/>
        <w:gridCol w:w="1060"/>
        <w:gridCol w:w="1060"/>
        <w:gridCol w:w="1058"/>
      </w:tblGrid>
      <w:tr w:rsidR="00080C8F" w14:paraId="15E0A2E6" w14:textId="77777777" w:rsidTr="00080C8F">
        <w:trPr>
          <w:trHeight w:val="255"/>
          <w:tblHeader/>
        </w:trPr>
        <w:tc>
          <w:tcPr>
            <w:tcW w:w="2793" w:type="pct"/>
            <w:tcBorders>
              <w:top w:val="single" w:sz="4" w:space="0" w:color="auto"/>
              <w:left w:val="single" w:sz="4" w:space="0" w:color="auto"/>
              <w:bottom w:val="single" w:sz="4" w:space="0" w:color="auto"/>
              <w:right w:val="single" w:sz="4" w:space="0" w:color="auto"/>
            </w:tcBorders>
            <w:shd w:val="clear" w:color="000000" w:fill="0070C0"/>
            <w:hideMark/>
          </w:tcPr>
          <w:p w14:paraId="2D42BE62" w14:textId="77777777" w:rsidR="00706910" w:rsidRDefault="00706910">
            <w:pPr>
              <w:rPr>
                <w:b/>
                <w:bCs/>
                <w:noProof/>
                <w:color w:val="FFFFFF"/>
                <w:sz w:val="20"/>
                <w:szCs w:val="20"/>
              </w:rPr>
            </w:pPr>
            <w:r>
              <w:rPr>
                <w:b/>
                <w:bCs/>
                <w:noProof/>
                <w:color w:val="FFFFFF"/>
                <w:sz w:val="20"/>
                <w:szCs w:val="20"/>
              </w:rPr>
              <w:t> </w:t>
            </w:r>
          </w:p>
        </w:tc>
        <w:tc>
          <w:tcPr>
            <w:tcW w:w="552" w:type="pct"/>
            <w:tcBorders>
              <w:top w:val="single" w:sz="4" w:space="0" w:color="auto"/>
              <w:left w:val="nil"/>
              <w:bottom w:val="single" w:sz="4" w:space="0" w:color="auto"/>
              <w:right w:val="single" w:sz="4" w:space="0" w:color="auto"/>
            </w:tcBorders>
            <w:shd w:val="clear" w:color="000000" w:fill="0070C0"/>
            <w:hideMark/>
          </w:tcPr>
          <w:p w14:paraId="748E7A4F" w14:textId="77777777" w:rsidR="00706910" w:rsidRDefault="00706910">
            <w:pPr>
              <w:jc w:val="center"/>
              <w:rPr>
                <w:b/>
                <w:bCs/>
                <w:noProof/>
                <w:color w:val="FFFFFF"/>
                <w:sz w:val="20"/>
                <w:szCs w:val="20"/>
              </w:rPr>
            </w:pPr>
            <w:r>
              <w:rPr>
                <w:b/>
                <w:bCs/>
                <w:noProof/>
                <w:color w:val="FFFFFF"/>
                <w:sz w:val="20"/>
                <w:szCs w:val="20"/>
              </w:rPr>
              <w:t>PO1</w:t>
            </w:r>
          </w:p>
        </w:tc>
        <w:tc>
          <w:tcPr>
            <w:tcW w:w="552" w:type="pct"/>
            <w:tcBorders>
              <w:top w:val="single" w:sz="4" w:space="0" w:color="auto"/>
              <w:left w:val="nil"/>
              <w:bottom w:val="single" w:sz="4" w:space="0" w:color="auto"/>
              <w:right w:val="single" w:sz="4" w:space="0" w:color="auto"/>
            </w:tcBorders>
            <w:shd w:val="clear" w:color="000000" w:fill="0070C0"/>
            <w:hideMark/>
          </w:tcPr>
          <w:p w14:paraId="18F71832" w14:textId="77777777" w:rsidR="00706910" w:rsidRDefault="00706910">
            <w:pPr>
              <w:jc w:val="center"/>
              <w:rPr>
                <w:b/>
                <w:bCs/>
                <w:noProof/>
                <w:color w:val="FFFFFF"/>
                <w:sz w:val="20"/>
                <w:szCs w:val="20"/>
              </w:rPr>
            </w:pPr>
            <w:r>
              <w:rPr>
                <w:b/>
                <w:bCs/>
                <w:noProof/>
                <w:color w:val="FFFFFF"/>
                <w:sz w:val="20"/>
                <w:szCs w:val="20"/>
              </w:rPr>
              <w:t>PO2</w:t>
            </w:r>
          </w:p>
        </w:tc>
        <w:tc>
          <w:tcPr>
            <w:tcW w:w="552" w:type="pct"/>
            <w:tcBorders>
              <w:top w:val="single" w:sz="4" w:space="0" w:color="auto"/>
              <w:left w:val="nil"/>
              <w:bottom w:val="single" w:sz="4" w:space="0" w:color="auto"/>
              <w:right w:val="single" w:sz="4" w:space="0" w:color="auto"/>
            </w:tcBorders>
            <w:shd w:val="clear" w:color="000000" w:fill="0070C0"/>
            <w:hideMark/>
          </w:tcPr>
          <w:p w14:paraId="5A67F46E" w14:textId="77777777" w:rsidR="00706910" w:rsidRDefault="00706910">
            <w:pPr>
              <w:jc w:val="center"/>
              <w:rPr>
                <w:b/>
                <w:bCs/>
                <w:noProof/>
                <w:color w:val="FFFFFF"/>
                <w:sz w:val="20"/>
                <w:szCs w:val="20"/>
              </w:rPr>
            </w:pPr>
            <w:r>
              <w:rPr>
                <w:b/>
                <w:bCs/>
                <w:noProof/>
                <w:color w:val="FFFFFF"/>
                <w:sz w:val="20"/>
                <w:szCs w:val="20"/>
              </w:rPr>
              <w:t>PO3</w:t>
            </w:r>
          </w:p>
        </w:tc>
        <w:tc>
          <w:tcPr>
            <w:tcW w:w="552" w:type="pct"/>
            <w:tcBorders>
              <w:top w:val="single" w:sz="4" w:space="0" w:color="auto"/>
              <w:left w:val="nil"/>
              <w:bottom w:val="single" w:sz="4" w:space="0" w:color="auto"/>
              <w:right w:val="single" w:sz="4" w:space="0" w:color="auto"/>
            </w:tcBorders>
            <w:shd w:val="clear" w:color="000000" w:fill="0070C0"/>
            <w:hideMark/>
          </w:tcPr>
          <w:p w14:paraId="6118F7A0" w14:textId="77777777" w:rsidR="00706910" w:rsidRDefault="00706910">
            <w:pPr>
              <w:jc w:val="center"/>
              <w:rPr>
                <w:b/>
                <w:bCs/>
                <w:noProof/>
                <w:color w:val="FFFFFF"/>
                <w:sz w:val="20"/>
                <w:szCs w:val="20"/>
              </w:rPr>
            </w:pPr>
            <w:r>
              <w:rPr>
                <w:b/>
                <w:bCs/>
                <w:noProof/>
                <w:color w:val="FFFFFF"/>
                <w:sz w:val="20"/>
                <w:szCs w:val="20"/>
              </w:rPr>
              <w:t>PO4</w:t>
            </w:r>
          </w:p>
        </w:tc>
      </w:tr>
      <w:tr w:rsidR="00DF7708" w14:paraId="40CC5774"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BDE3FF"/>
            <w:noWrap/>
            <w:hideMark/>
          </w:tcPr>
          <w:p w14:paraId="65D60900" w14:textId="77777777" w:rsidR="00706910" w:rsidRDefault="00706910">
            <w:pPr>
              <w:rPr>
                <w:b/>
                <w:bCs/>
                <w:noProof/>
                <w:color w:val="000000"/>
                <w:sz w:val="20"/>
                <w:szCs w:val="20"/>
              </w:rPr>
            </w:pPr>
            <w:r>
              <w:rPr>
                <w:b/>
                <w:bCs/>
                <w:noProof/>
                <w:color w:val="000000"/>
                <w:sz w:val="20"/>
                <w:szCs w:val="20"/>
              </w:rPr>
              <w:t>Base case</w:t>
            </w:r>
          </w:p>
        </w:tc>
        <w:tc>
          <w:tcPr>
            <w:tcW w:w="552" w:type="pct"/>
            <w:tcBorders>
              <w:top w:val="nil"/>
              <w:left w:val="nil"/>
              <w:bottom w:val="single" w:sz="4" w:space="0" w:color="auto"/>
              <w:right w:val="single" w:sz="4" w:space="0" w:color="auto"/>
            </w:tcBorders>
            <w:shd w:val="clear" w:color="000000" w:fill="BDE3FF"/>
            <w:noWrap/>
            <w:hideMark/>
          </w:tcPr>
          <w:p w14:paraId="5F242EB9"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0A21545D"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3BAE2F81"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246138CA" w14:textId="77777777" w:rsidR="00706910" w:rsidRDefault="00706910">
            <w:pPr>
              <w:rPr>
                <w:noProof/>
                <w:color w:val="000000"/>
                <w:sz w:val="20"/>
                <w:szCs w:val="20"/>
              </w:rPr>
            </w:pPr>
            <w:r>
              <w:rPr>
                <w:noProof/>
                <w:color w:val="000000"/>
                <w:sz w:val="20"/>
                <w:szCs w:val="20"/>
              </w:rPr>
              <w:t> </w:t>
            </w:r>
          </w:p>
        </w:tc>
      </w:tr>
      <w:tr w:rsidR="00DF7708" w14:paraId="26340B87"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E7F5FF"/>
            <w:noWrap/>
            <w:hideMark/>
          </w:tcPr>
          <w:p w14:paraId="7A43CE36" w14:textId="77777777" w:rsidR="00706910" w:rsidRDefault="00706910">
            <w:pPr>
              <w:rPr>
                <w:noProof/>
                <w:color w:val="000000"/>
                <w:sz w:val="20"/>
                <w:szCs w:val="20"/>
              </w:rPr>
            </w:pPr>
            <w:r>
              <w:rPr>
                <w:noProof/>
                <w:color w:val="000000"/>
                <w:sz w:val="20"/>
                <w:szCs w:val="20"/>
              </w:rPr>
              <w:t xml:space="preserve"> MDMS platforms </w:t>
            </w:r>
          </w:p>
        </w:tc>
        <w:tc>
          <w:tcPr>
            <w:tcW w:w="552" w:type="pct"/>
            <w:tcBorders>
              <w:top w:val="nil"/>
              <w:left w:val="nil"/>
              <w:bottom w:val="single" w:sz="4" w:space="0" w:color="auto"/>
              <w:right w:val="single" w:sz="4" w:space="0" w:color="auto"/>
            </w:tcBorders>
            <w:shd w:val="clear" w:color="000000" w:fill="E7F5FF"/>
            <w:noWrap/>
            <w:hideMark/>
          </w:tcPr>
          <w:p w14:paraId="164ADBFD"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50E641D1"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2C77BEA7"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08D9CA56" w14:textId="77777777" w:rsidR="00706910" w:rsidRDefault="00706910">
            <w:pPr>
              <w:rPr>
                <w:noProof/>
                <w:color w:val="000000"/>
                <w:sz w:val="20"/>
                <w:szCs w:val="20"/>
              </w:rPr>
            </w:pPr>
            <w:r>
              <w:rPr>
                <w:noProof/>
                <w:color w:val="000000"/>
                <w:sz w:val="20"/>
                <w:szCs w:val="20"/>
              </w:rPr>
              <w:t> </w:t>
            </w:r>
          </w:p>
        </w:tc>
      </w:tr>
      <w:tr w:rsidR="00080C8F" w14:paraId="1432A307" w14:textId="77777777" w:rsidTr="00080C8F">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35AAFC0E" w14:textId="77777777" w:rsidR="00706910" w:rsidRDefault="00706910" w:rsidP="00D7201D">
            <w:pPr>
              <w:ind w:left="164"/>
              <w:rPr>
                <w:noProof/>
                <w:color w:val="000000"/>
                <w:sz w:val="20"/>
                <w:szCs w:val="20"/>
              </w:rPr>
            </w:pPr>
            <w:r>
              <w:rPr>
                <w:noProof/>
                <w:color w:val="000000"/>
                <w:sz w:val="20"/>
                <w:szCs w:val="20"/>
              </w:rPr>
              <w:t>Administrative costs for the designation of indispensable MDMS and Rus (PM10)</w:t>
            </w:r>
          </w:p>
        </w:tc>
        <w:tc>
          <w:tcPr>
            <w:tcW w:w="552" w:type="pct"/>
            <w:tcBorders>
              <w:top w:val="nil"/>
              <w:left w:val="nil"/>
              <w:bottom w:val="single" w:sz="4" w:space="0" w:color="auto"/>
              <w:right w:val="single" w:sz="4" w:space="0" w:color="auto"/>
            </w:tcBorders>
            <w:shd w:val="clear" w:color="000000" w:fill="FFFFFF"/>
            <w:noWrap/>
            <w:hideMark/>
          </w:tcPr>
          <w:p w14:paraId="7B947FE5" w14:textId="77777777" w:rsidR="00706910" w:rsidRDefault="00706910">
            <w:pPr>
              <w:jc w:val="right"/>
              <w:rPr>
                <w:noProof/>
                <w:color w:val="000000"/>
                <w:sz w:val="20"/>
                <w:szCs w:val="20"/>
              </w:rPr>
            </w:pPr>
            <w:r>
              <w:rPr>
                <w:noProof/>
                <w:color w:val="000000"/>
                <w:sz w:val="20"/>
                <w:szCs w:val="20"/>
              </w:rPr>
              <w:t>0.5</w:t>
            </w:r>
          </w:p>
        </w:tc>
        <w:tc>
          <w:tcPr>
            <w:tcW w:w="552" w:type="pct"/>
            <w:tcBorders>
              <w:top w:val="nil"/>
              <w:left w:val="nil"/>
              <w:bottom w:val="single" w:sz="4" w:space="0" w:color="auto"/>
              <w:right w:val="single" w:sz="4" w:space="0" w:color="auto"/>
            </w:tcBorders>
            <w:shd w:val="clear" w:color="000000" w:fill="FFFFFF"/>
            <w:noWrap/>
            <w:hideMark/>
          </w:tcPr>
          <w:p w14:paraId="0AFB7A18" w14:textId="77777777" w:rsidR="00706910" w:rsidRDefault="00706910">
            <w:pPr>
              <w:jc w:val="right"/>
              <w:rPr>
                <w:noProof/>
                <w:color w:val="000000"/>
                <w:sz w:val="20"/>
                <w:szCs w:val="20"/>
              </w:rPr>
            </w:pPr>
            <w:r>
              <w:rPr>
                <w:noProof/>
                <w:color w:val="000000"/>
                <w:sz w:val="20"/>
                <w:szCs w:val="20"/>
              </w:rPr>
              <w:t>0.5</w:t>
            </w:r>
          </w:p>
        </w:tc>
        <w:tc>
          <w:tcPr>
            <w:tcW w:w="552" w:type="pct"/>
            <w:tcBorders>
              <w:top w:val="nil"/>
              <w:left w:val="nil"/>
              <w:bottom w:val="single" w:sz="4" w:space="0" w:color="auto"/>
              <w:right w:val="single" w:sz="4" w:space="0" w:color="auto"/>
            </w:tcBorders>
            <w:shd w:val="clear" w:color="000000" w:fill="FFFFFF"/>
            <w:noWrap/>
            <w:hideMark/>
          </w:tcPr>
          <w:p w14:paraId="6C878E9B" w14:textId="77777777" w:rsidR="00706910" w:rsidRDefault="00706910">
            <w:pPr>
              <w:jc w:val="right"/>
              <w:rPr>
                <w:noProof/>
                <w:color w:val="000000"/>
                <w:sz w:val="20"/>
                <w:szCs w:val="20"/>
              </w:rPr>
            </w:pPr>
            <w:r>
              <w:rPr>
                <w:noProof/>
                <w:color w:val="000000"/>
                <w:sz w:val="20"/>
                <w:szCs w:val="20"/>
              </w:rPr>
              <w:t>0.5</w:t>
            </w:r>
          </w:p>
        </w:tc>
        <w:tc>
          <w:tcPr>
            <w:tcW w:w="552" w:type="pct"/>
            <w:tcBorders>
              <w:top w:val="nil"/>
              <w:left w:val="nil"/>
              <w:bottom w:val="single" w:sz="4" w:space="0" w:color="auto"/>
              <w:right w:val="single" w:sz="4" w:space="0" w:color="auto"/>
            </w:tcBorders>
            <w:shd w:val="clear" w:color="000000" w:fill="FFFFFF"/>
            <w:noWrap/>
            <w:hideMark/>
          </w:tcPr>
          <w:p w14:paraId="2776D0BD" w14:textId="77777777" w:rsidR="00706910" w:rsidRDefault="00706910">
            <w:pPr>
              <w:jc w:val="right"/>
              <w:rPr>
                <w:noProof/>
                <w:color w:val="000000"/>
                <w:sz w:val="20"/>
                <w:szCs w:val="20"/>
              </w:rPr>
            </w:pPr>
            <w:r>
              <w:rPr>
                <w:noProof/>
                <w:color w:val="000000"/>
                <w:sz w:val="20"/>
                <w:szCs w:val="20"/>
              </w:rPr>
              <w:t>0.5</w:t>
            </w:r>
          </w:p>
        </w:tc>
      </w:tr>
      <w:tr w:rsidR="00080C8F" w14:paraId="582C8C6F" w14:textId="77777777" w:rsidTr="00080C8F">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75A4F824" w14:textId="77777777" w:rsidR="00706910" w:rsidRDefault="00706910" w:rsidP="00D7201D">
            <w:pPr>
              <w:ind w:left="164"/>
              <w:rPr>
                <w:noProof/>
                <w:color w:val="000000"/>
                <w:sz w:val="20"/>
                <w:szCs w:val="20"/>
              </w:rPr>
            </w:pPr>
            <w:r>
              <w:rPr>
                <w:noProof/>
                <w:color w:val="000000"/>
                <w:sz w:val="20"/>
                <w:szCs w:val="20"/>
              </w:rPr>
              <w:t>Adjustment cost savings for commercial agreement rules for indispensable MDMS (PM11)</w:t>
            </w:r>
          </w:p>
        </w:tc>
        <w:tc>
          <w:tcPr>
            <w:tcW w:w="552" w:type="pct"/>
            <w:tcBorders>
              <w:top w:val="nil"/>
              <w:left w:val="nil"/>
              <w:bottom w:val="single" w:sz="4" w:space="0" w:color="auto"/>
              <w:right w:val="single" w:sz="4" w:space="0" w:color="auto"/>
            </w:tcBorders>
            <w:shd w:val="clear" w:color="000000" w:fill="FFFFFF"/>
            <w:noWrap/>
            <w:hideMark/>
          </w:tcPr>
          <w:p w14:paraId="54D06A8C" w14:textId="77777777" w:rsidR="00706910" w:rsidRDefault="00706910">
            <w:pPr>
              <w:jc w:val="right"/>
              <w:rPr>
                <w:noProof/>
                <w:color w:val="000000"/>
                <w:sz w:val="20"/>
                <w:szCs w:val="20"/>
              </w:rPr>
            </w:pPr>
            <w:r>
              <w:rPr>
                <w:noProof/>
                <w:color w:val="000000"/>
                <w:sz w:val="20"/>
                <w:szCs w:val="20"/>
              </w:rPr>
              <w:t>12.0</w:t>
            </w:r>
          </w:p>
        </w:tc>
        <w:tc>
          <w:tcPr>
            <w:tcW w:w="552" w:type="pct"/>
            <w:tcBorders>
              <w:top w:val="nil"/>
              <w:left w:val="nil"/>
              <w:bottom w:val="single" w:sz="4" w:space="0" w:color="auto"/>
              <w:right w:val="single" w:sz="4" w:space="0" w:color="auto"/>
            </w:tcBorders>
            <w:shd w:val="clear" w:color="000000" w:fill="FFFFFF"/>
            <w:noWrap/>
            <w:hideMark/>
          </w:tcPr>
          <w:p w14:paraId="5A94653C" w14:textId="77777777" w:rsidR="00706910" w:rsidRDefault="00706910">
            <w:pPr>
              <w:jc w:val="right"/>
              <w:rPr>
                <w:noProof/>
                <w:color w:val="000000"/>
                <w:sz w:val="20"/>
                <w:szCs w:val="20"/>
              </w:rPr>
            </w:pPr>
            <w:r>
              <w:rPr>
                <w:noProof/>
                <w:color w:val="000000"/>
                <w:sz w:val="20"/>
                <w:szCs w:val="20"/>
              </w:rPr>
              <w:t>136.1</w:t>
            </w:r>
          </w:p>
        </w:tc>
        <w:tc>
          <w:tcPr>
            <w:tcW w:w="552" w:type="pct"/>
            <w:tcBorders>
              <w:top w:val="nil"/>
              <w:left w:val="nil"/>
              <w:bottom w:val="single" w:sz="4" w:space="0" w:color="auto"/>
              <w:right w:val="single" w:sz="4" w:space="0" w:color="auto"/>
            </w:tcBorders>
            <w:shd w:val="clear" w:color="000000" w:fill="FFFFFF"/>
            <w:noWrap/>
            <w:hideMark/>
          </w:tcPr>
          <w:p w14:paraId="09FC899D" w14:textId="77777777" w:rsidR="00706910" w:rsidRDefault="00706910">
            <w:pPr>
              <w:jc w:val="right"/>
              <w:rPr>
                <w:noProof/>
                <w:color w:val="000000"/>
                <w:sz w:val="20"/>
                <w:szCs w:val="20"/>
              </w:rPr>
            </w:pPr>
            <w:r>
              <w:rPr>
                <w:noProof/>
                <w:color w:val="000000"/>
                <w:sz w:val="20"/>
                <w:szCs w:val="20"/>
              </w:rPr>
              <w:t>122.3</w:t>
            </w:r>
          </w:p>
        </w:tc>
        <w:tc>
          <w:tcPr>
            <w:tcW w:w="552" w:type="pct"/>
            <w:tcBorders>
              <w:top w:val="nil"/>
              <w:left w:val="nil"/>
              <w:bottom w:val="single" w:sz="4" w:space="0" w:color="auto"/>
              <w:right w:val="single" w:sz="4" w:space="0" w:color="auto"/>
            </w:tcBorders>
            <w:shd w:val="clear" w:color="000000" w:fill="FFFFFF"/>
            <w:noWrap/>
            <w:hideMark/>
          </w:tcPr>
          <w:p w14:paraId="38380535" w14:textId="77777777" w:rsidR="00706910" w:rsidRDefault="00706910">
            <w:pPr>
              <w:jc w:val="right"/>
              <w:rPr>
                <w:noProof/>
                <w:color w:val="000000"/>
                <w:sz w:val="20"/>
                <w:szCs w:val="20"/>
              </w:rPr>
            </w:pPr>
            <w:r>
              <w:rPr>
                <w:noProof/>
                <w:color w:val="000000"/>
                <w:sz w:val="20"/>
                <w:szCs w:val="20"/>
              </w:rPr>
              <w:t>130.4</w:t>
            </w:r>
          </w:p>
        </w:tc>
      </w:tr>
      <w:tr w:rsidR="00DF7708" w14:paraId="438EA620"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E7F5FF"/>
            <w:noWrap/>
            <w:hideMark/>
          </w:tcPr>
          <w:p w14:paraId="4014516C" w14:textId="77777777" w:rsidR="00706910" w:rsidRDefault="00706910">
            <w:pPr>
              <w:rPr>
                <w:noProof/>
                <w:color w:val="000000"/>
                <w:sz w:val="20"/>
                <w:szCs w:val="20"/>
              </w:rPr>
            </w:pPr>
            <w:r>
              <w:rPr>
                <w:noProof/>
                <w:color w:val="000000"/>
                <w:sz w:val="20"/>
                <w:szCs w:val="20"/>
              </w:rPr>
              <w:t xml:space="preserve"> Transport operators </w:t>
            </w:r>
          </w:p>
        </w:tc>
        <w:tc>
          <w:tcPr>
            <w:tcW w:w="552" w:type="pct"/>
            <w:tcBorders>
              <w:top w:val="nil"/>
              <w:left w:val="nil"/>
              <w:bottom w:val="single" w:sz="4" w:space="0" w:color="auto"/>
              <w:right w:val="single" w:sz="4" w:space="0" w:color="auto"/>
            </w:tcBorders>
            <w:shd w:val="clear" w:color="000000" w:fill="E7F5FF"/>
            <w:noWrap/>
            <w:hideMark/>
          </w:tcPr>
          <w:p w14:paraId="66846091"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7F798DB0"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753D922B"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561D77ED" w14:textId="77777777" w:rsidR="00706910" w:rsidRDefault="00706910">
            <w:pPr>
              <w:rPr>
                <w:noProof/>
                <w:color w:val="000000"/>
                <w:sz w:val="20"/>
                <w:szCs w:val="20"/>
              </w:rPr>
            </w:pPr>
            <w:r>
              <w:rPr>
                <w:noProof/>
                <w:color w:val="000000"/>
                <w:sz w:val="20"/>
                <w:szCs w:val="20"/>
              </w:rPr>
              <w:t> </w:t>
            </w:r>
          </w:p>
        </w:tc>
      </w:tr>
      <w:tr w:rsidR="00080C8F" w14:paraId="73F712DD" w14:textId="77777777" w:rsidTr="00080C8F">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5287EA19" w14:textId="77777777" w:rsidR="00706910" w:rsidRDefault="00706910" w:rsidP="00D7201D">
            <w:pPr>
              <w:ind w:left="164"/>
              <w:rPr>
                <w:noProof/>
                <w:color w:val="000000"/>
                <w:sz w:val="20"/>
                <w:szCs w:val="20"/>
              </w:rPr>
            </w:pPr>
            <w:r>
              <w:rPr>
                <w:noProof/>
                <w:color w:val="000000"/>
                <w:sz w:val="20"/>
                <w:szCs w:val="20"/>
              </w:rPr>
              <w:t>Adjustment cost savings for commercial agreement rules for indispensable MDMS (PM11)</w:t>
            </w:r>
          </w:p>
        </w:tc>
        <w:tc>
          <w:tcPr>
            <w:tcW w:w="552" w:type="pct"/>
            <w:tcBorders>
              <w:top w:val="nil"/>
              <w:left w:val="nil"/>
              <w:bottom w:val="single" w:sz="4" w:space="0" w:color="auto"/>
              <w:right w:val="single" w:sz="4" w:space="0" w:color="auto"/>
            </w:tcBorders>
            <w:shd w:val="clear" w:color="000000" w:fill="FFFFFF"/>
            <w:noWrap/>
            <w:hideMark/>
          </w:tcPr>
          <w:p w14:paraId="432C9E11" w14:textId="77777777" w:rsidR="00706910" w:rsidRDefault="00706910">
            <w:pPr>
              <w:jc w:val="right"/>
              <w:rPr>
                <w:noProof/>
                <w:color w:val="000000"/>
                <w:sz w:val="20"/>
                <w:szCs w:val="20"/>
              </w:rPr>
            </w:pPr>
            <w:r>
              <w:rPr>
                <w:noProof/>
                <w:color w:val="000000"/>
                <w:sz w:val="20"/>
                <w:szCs w:val="20"/>
              </w:rPr>
              <w:t>12.0</w:t>
            </w:r>
          </w:p>
        </w:tc>
        <w:tc>
          <w:tcPr>
            <w:tcW w:w="552" w:type="pct"/>
            <w:tcBorders>
              <w:top w:val="nil"/>
              <w:left w:val="nil"/>
              <w:bottom w:val="single" w:sz="4" w:space="0" w:color="auto"/>
              <w:right w:val="single" w:sz="4" w:space="0" w:color="auto"/>
            </w:tcBorders>
            <w:shd w:val="clear" w:color="000000" w:fill="FFFFFF"/>
            <w:noWrap/>
            <w:hideMark/>
          </w:tcPr>
          <w:p w14:paraId="21B8DBFA" w14:textId="77777777" w:rsidR="00706910" w:rsidRDefault="00706910">
            <w:pPr>
              <w:jc w:val="right"/>
              <w:rPr>
                <w:noProof/>
                <w:color w:val="000000"/>
                <w:sz w:val="20"/>
                <w:szCs w:val="20"/>
              </w:rPr>
            </w:pPr>
            <w:r>
              <w:rPr>
                <w:noProof/>
                <w:color w:val="000000"/>
                <w:sz w:val="20"/>
                <w:szCs w:val="20"/>
              </w:rPr>
              <w:t>136.1</w:t>
            </w:r>
          </w:p>
        </w:tc>
        <w:tc>
          <w:tcPr>
            <w:tcW w:w="552" w:type="pct"/>
            <w:tcBorders>
              <w:top w:val="nil"/>
              <w:left w:val="nil"/>
              <w:bottom w:val="single" w:sz="4" w:space="0" w:color="auto"/>
              <w:right w:val="single" w:sz="4" w:space="0" w:color="auto"/>
            </w:tcBorders>
            <w:shd w:val="clear" w:color="000000" w:fill="FFFFFF"/>
            <w:noWrap/>
            <w:hideMark/>
          </w:tcPr>
          <w:p w14:paraId="4BDBCB94" w14:textId="77777777" w:rsidR="00706910" w:rsidRDefault="00706910">
            <w:pPr>
              <w:jc w:val="right"/>
              <w:rPr>
                <w:noProof/>
                <w:color w:val="000000"/>
                <w:sz w:val="20"/>
                <w:szCs w:val="20"/>
              </w:rPr>
            </w:pPr>
            <w:r>
              <w:rPr>
                <w:noProof/>
                <w:color w:val="000000"/>
                <w:sz w:val="20"/>
                <w:szCs w:val="20"/>
              </w:rPr>
              <w:t>122.3</w:t>
            </w:r>
          </w:p>
        </w:tc>
        <w:tc>
          <w:tcPr>
            <w:tcW w:w="552" w:type="pct"/>
            <w:tcBorders>
              <w:top w:val="nil"/>
              <w:left w:val="nil"/>
              <w:bottom w:val="single" w:sz="4" w:space="0" w:color="auto"/>
              <w:right w:val="single" w:sz="4" w:space="0" w:color="auto"/>
            </w:tcBorders>
            <w:shd w:val="clear" w:color="000000" w:fill="FFFFFF"/>
            <w:noWrap/>
            <w:hideMark/>
          </w:tcPr>
          <w:p w14:paraId="4A1DCABA" w14:textId="77777777" w:rsidR="00706910" w:rsidRDefault="00706910">
            <w:pPr>
              <w:jc w:val="right"/>
              <w:rPr>
                <w:noProof/>
                <w:color w:val="000000"/>
                <w:sz w:val="20"/>
                <w:szCs w:val="20"/>
              </w:rPr>
            </w:pPr>
            <w:r>
              <w:rPr>
                <w:noProof/>
                <w:color w:val="000000"/>
                <w:sz w:val="20"/>
                <w:szCs w:val="20"/>
              </w:rPr>
              <w:t>130.4</w:t>
            </w:r>
          </w:p>
        </w:tc>
      </w:tr>
      <w:tr w:rsidR="00DF7708" w14:paraId="5F8973E4"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BDE3FF"/>
            <w:noWrap/>
            <w:hideMark/>
          </w:tcPr>
          <w:p w14:paraId="689BAB8F" w14:textId="77777777" w:rsidR="00706910" w:rsidRDefault="00706910">
            <w:pPr>
              <w:rPr>
                <w:b/>
                <w:bCs/>
                <w:noProof/>
                <w:color w:val="000000"/>
                <w:sz w:val="20"/>
                <w:szCs w:val="20"/>
              </w:rPr>
            </w:pPr>
            <w:r>
              <w:rPr>
                <w:b/>
                <w:bCs/>
                <w:noProof/>
                <w:color w:val="000000"/>
                <w:sz w:val="20"/>
                <w:szCs w:val="20"/>
              </w:rPr>
              <w:t>Low SMP threshold case</w:t>
            </w:r>
          </w:p>
        </w:tc>
        <w:tc>
          <w:tcPr>
            <w:tcW w:w="552" w:type="pct"/>
            <w:tcBorders>
              <w:top w:val="nil"/>
              <w:left w:val="nil"/>
              <w:bottom w:val="single" w:sz="4" w:space="0" w:color="auto"/>
              <w:right w:val="single" w:sz="4" w:space="0" w:color="auto"/>
            </w:tcBorders>
            <w:shd w:val="clear" w:color="000000" w:fill="BDE3FF"/>
            <w:noWrap/>
            <w:hideMark/>
          </w:tcPr>
          <w:p w14:paraId="37116FC8" w14:textId="77777777" w:rsidR="00706910" w:rsidRDefault="00706910">
            <w:pPr>
              <w:rPr>
                <w:b/>
                <w:bCs/>
                <w:noProof/>
                <w:color w:val="000000"/>
                <w:sz w:val="20"/>
                <w:szCs w:val="20"/>
              </w:rPr>
            </w:pPr>
            <w:r>
              <w:rPr>
                <w:b/>
                <w:bCs/>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32FA1589" w14:textId="77777777" w:rsidR="00706910" w:rsidRDefault="00706910">
            <w:pPr>
              <w:rPr>
                <w:b/>
                <w:bCs/>
                <w:noProof/>
                <w:color w:val="000000"/>
                <w:sz w:val="20"/>
                <w:szCs w:val="20"/>
              </w:rPr>
            </w:pPr>
            <w:r>
              <w:rPr>
                <w:b/>
                <w:bCs/>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3F19065B" w14:textId="77777777" w:rsidR="00706910" w:rsidRDefault="00706910">
            <w:pPr>
              <w:rPr>
                <w:b/>
                <w:bCs/>
                <w:noProof/>
                <w:color w:val="000000"/>
                <w:sz w:val="20"/>
                <w:szCs w:val="20"/>
              </w:rPr>
            </w:pPr>
            <w:r>
              <w:rPr>
                <w:b/>
                <w:bCs/>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3E15A5E1" w14:textId="77777777" w:rsidR="00706910" w:rsidRDefault="00706910">
            <w:pPr>
              <w:rPr>
                <w:b/>
                <w:bCs/>
                <w:noProof/>
                <w:color w:val="000000"/>
                <w:sz w:val="20"/>
                <w:szCs w:val="20"/>
              </w:rPr>
            </w:pPr>
            <w:r>
              <w:rPr>
                <w:b/>
                <w:bCs/>
                <w:noProof/>
                <w:color w:val="000000"/>
                <w:sz w:val="20"/>
                <w:szCs w:val="20"/>
              </w:rPr>
              <w:t> </w:t>
            </w:r>
          </w:p>
        </w:tc>
      </w:tr>
      <w:tr w:rsidR="00DF7708" w14:paraId="4559EA6D"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E7F5FF"/>
            <w:noWrap/>
            <w:hideMark/>
          </w:tcPr>
          <w:p w14:paraId="372FD2C9" w14:textId="77777777" w:rsidR="00706910" w:rsidRDefault="00706910">
            <w:pPr>
              <w:rPr>
                <w:noProof/>
                <w:color w:val="000000"/>
                <w:sz w:val="20"/>
                <w:szCs w:val="20"/>
              </w:rPr>
            </w:pPr>
            <w:r>
              <w:rPr>
                <w:noProof/>
                <w:color w:val="000000"/>
                <w:sz w:val="20"/>
                <w:szCs w:val="20"/>
              </w:rPr>
              <w:t xml:space="preserve"> MDMS platforms </w:t>
            </w:r>
          </w:p>
        </w:tc>
        <w:tc>
          <w:tcPr>
            <w:tcW w:w="552" w:type="pct"/>
            <w:tcBorders>
              <w:top w:val="nil"/>
              <w:left w:val="nil"/>
              <w:bottom w:val="single" w:sz="4" w:space="0" w:color="auto"/>
              <w:right w:val="single" w:sz="4" w:space="0" w:color="auto"/>
            </w:tcBorders>
            <w:shd w:val="clear" w:color="000000" w:fill="E7F5FF"/>
            <w:noWrap/>
            <w:hideMark/>
          </w:tcPr>
          <w:p w14:paraId="40B64482"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2B6F00C0"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5C7C9134"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31DB4E5C" w14:textId="77777777" w:rsidR="00706910" w:rsidRDefault="00706910">
            <w:pPr>
              <w:rPr>
                <w:noProof/>
                <w:color w:val="000000"/>
                <w:sz w:val="20"/>
                <w:szCs w:val="20"/>
              </w:rPr>
            </w:pPr>
            <w:r>
              <w:rPr>
                <w:noProof/>
                <w:color w:val="000000"/>
                <w:sz w:val="20"/>
                <w:szCs w:val="20"/>
              </w:rPr>
              <w:t> </w:t>
            </w:r>
          </w:p>
        </w:tc>
      </w:tr>
      <w:tr w:rsidR="00080C8F" w14:paraId="3DE53135" w14:textId="77777777" w:rsidTr="00080C8F">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25832A9F" w14:textId="77777777" w:rsidR="00706910" w:rsidRDefault="00706910" w:rsidP="00D7201D">
            <w:pPr>
              <w:ind w:left="164"/>
              <w:rPr>
                <w:noProof/>
                <w:color w:val="000000"/>
                <w:sz w:val="20"/>
                <w:szCs w:val="20"/>
              </w:rPr>
            </w:pPr>
            <w:r>
              <w:rPr>
                <w:noProof/>
                <w:color w:val="000000"/>
                <w:sz w:val="20"/>
                <w:szCs w:val="20"/>
              </w:rPr>
              <w:t>Administrative costs for the designation of indispensable MDMS and Rus (PM10)</w:t>
            </w:r>
          </w:p>
        </w:tc>
        <w:tc>
          <w:tcPr>
            <w:tcW w:w="552" w:type="pct"/>
            <w:tcBorders>
              <w:top w:val="nil"/>
              <w:left w:val="nil"/>
              <w:bottom w:val="single" w:sz="4" w:space="0" w:color="auto"/>
              <w:right w:val="single" w:sz="4" w:space="0" w:color="auto"/>
            </w:tcBorders>
            <w:shd w:val="clear" w:color="000000" w:fill="FFFFFF"/>
            <w:noWrap/>
            <w:hideMark/>
          </w:tcPr>
          <w:p w14:paraId="3406D321" w14:textId="77777777" w:rsidR="00706910" w:rsidRDefault="00706910">
            <w:pPr>
              <w:jc w:val="right"/>
              <w:rPr>
                <w:noProof/>
                <w:color w:val="000000"/>
                <w:sz w:val="20"/>
                <w:szCs w:val="20"/>
              </w:rPr>
            </w:pPr>
            <w:r>
              <w:rPr>
                <w:noProof/>
                <w:color w:val="000000"/>
                <w:sz w:val="20"/>
                <w:szCs w:val="20"/>
              </w:rPr>
              <w:t>0.8</w:t>
            </w:r>
          </w:p>
        </w:tc>
        <w:tc>
          <w:tcPr>
            <w:tcW w:w="552" w:type="pct"/>
            <w:tcBorders>
              <w:top w:val="nil"/>
              <w:left w:val="nil"/>
              <w:bottom w:val="single" w:sz="4" w:space="0" w:color="auto"/>
              <w:right w:val="single" w:sz="4" w:space="0" w:color="auto"/>
            </w:tcBorders>
            <w:shd w:val="clear" w:color="000000" w:fill="FFFFFF"/>
            <w:noWrap/>
            <w:hideMark/>
          </w:tcPr>
          <w:p w14:paraId="04DE69C4" w14:textId="77777777" w:rsidR="00706910" w:rsidRDefault="00706910">
            <w:pPr>
              <w:jc w:val="right"/>
              <w:rPr>
                <w:noProof/>
                <w:color w:val="000000"/>
                <w:sz w:val="20"/>
                <w:szCs w:val="20"/>
              </w:rPr>
            </w:pPr>
            <w:r>
              <w:rPr>
                <w:noProof/>
                <w:color w:val="000000"/>
                <w:sz w:val="20"/>
                <w:szCs w:val="20"/>
              </w:rPr>
              <w:t>0.8</w:t>
            </w:r>
          </w:p>
        </w:tc>
        <w:tc>
          <w:tcPr>
            <w:tcW w:w="552" w:type="pct"/>
            <w:tcBorders>
              <w:top w:val="nil"/>
              <w:left w:val="nil"/>
              <w:bottom w:val="single" w:sz="4" w:space="0" w:color="auto"/>
              <w:right w:val="single" w:sz="4" w:space="0" w:color="auto"/>
            </w:tcBorders>
            <w:shd w:val="clear" w:color="000000" w:fill="FFFFFF"/>
            <w:noWrap/>
            <w:hideMark/>
          </w:tcPr>
          <w:p w14:paraId="638C3056" w14:textId="77777777" w:rsidR="00706910" w:rsidRDefault="00706910">
            <w:pPr>
              <w:jc w:val="right"/>
              <w:rPr>
                <w:noProof/>
                <w:color w:val="000000"/>
                <w:sz w:val="20"/>
                <w:szCs w:val="20"/>
              </w:rPr>
            </w:pPr>
            <w:r>
              <w:rPr>
                <w:noProof/>
                <w:color w:val="000000"/>
                <w:sz w:val="20"/>
                <w:szCs w:val="20"/>
              </w:rPr>
              <w:t>0.8</w:t>
            </w:r>
          </w:p>
        </w:tc>
        <w:tc>
          <w:tcPr>
            <w:tcW w:w="552" w:type="pct"/>
            <w:tcBorders>
              <w:top w:val="nil"/>
              <w:left w:val="nil"/>
              <w:bottom w:val="single" w:sz="4" w:space="0" w:color="auto"/>
              <w:right w:val="single" w:sz="4" w:space="0" w:color="auto"/>
            </w:tcBorders>
            <w:shd w:val="clear" w:color="000000" w:fill="FFFFFF"/>
            <w:noWrap/>
            <w:hideMark/>
          </w:tcPr>
          <w:p w14:paraId="14272C8F" w14:textId="77777777" w:rsidR="00706910" w:rsidRDefault="00706910">
            <w:pPr>
              <w:jc w:val="right"/>
              <w:rPr>
                <w:noProof/>
                <w:color w:val="000000"/>
                <w:sz w:val="20"/>
                <w:szCs w:val="20"/>
              </w:rPr>
            </w:pPr>
            <w:r>
              <w:rPr>
                <w:noProof/>
                <w:color w:val="000000"/>
                <w:sz w:val="20"/>
                <w:szCs w:val="20"/>
              </w:rPr>
              <w:t>0.8</w:t>
            </w:r>
          </w:p>
        </w:tc>
      </w:tr>
      <w:tr w:rsidR="00080C8F" w14:paraId="7222A0AA" w14:textId="77777777" w:rsidTr="00080C8F">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1C9D8E21" w14:textId="77777777" w:rsidR="00706910" w:rsidRDefault="00706910" w:rsidP="00D7201D">
            <w:pPr>
              <w:ind w:left="164"/>
              <w:rPr>
                <w:noProof/>
                <w:color w:val="000000"/>
                <w:sz w:val="20"/>
                <w:szCs w:val="20"/>
              </w:rPr>
            </w:pPr>
            <w:r>
              <w:rPr>
                <w:noProof/>
                <w:color w:val="000000"/>
                <w:sz w:val="20"/>
                <w:szCs w:val="20"/>
              </w:rPr>
              <w:t>Adjustment cost savings for commercial agreement rules for indispensable MDMS (PM11)</w:t>
            </w:r>
          </w:p>
        </w:tc>
        <w:tc>
          <w:tcPr>
            <w:tcW w:w="552" w:type="pct"/>
            <w:tcBorders>
              <w:top w:val="nil"/>
              <w:left w:val="nil"/>
              <w:bottom w:val="single" w:sz="4" w:space="0" w:color="auto"/>
              <w:right w:val="single" w:sz="4" w:space="0" w:color="auto"/>
            </w:tcBorders>
            <w:shd w:val="clear" w:color="000000" w:fill="FFFFFF"/>
            <w:noWrap/>
            <w:hideMark/>
          </w:tcPr>
          <w:p w14:paraId="63625397" w14:textId="77777777" w:rsidR="00706910" w:rsidRDefault="00706910">
            <w:pPr>
              <w:jc w:val="right"/>
              <w:rPr>
                <w:noProof/>
                <w:color w:val="000000"/>
                <w:sz w:val="20"/>
                <w:szCs w:val="20"/>
              </w:rPr>
            </w:pPr>
            <w:r>
              <w:rPr>
                <w:noProof/>
                <w:color w:val="000000"/>
                <w:sz w:val="20"/>
                <w:szCs w:val="20"/>
              </w:rPr>
              <w:t>12.4</w:t>
            </w:r>
          </w:p>
        </w:tc>
        <w:tc>
          <w:tcPr>
            <w:tcW w:w="552" w:type="pct"/>
            <w:tcBorders>
              <w:top w:val="nil"/>
              <w:left w:val="nil"/>
              <w:bottom w:val="single" w:sz="4" w:space="0" w:color="auto"/>
              <w:right w:val="single" w:sz="4" w:space="0" w:color="auto"/>
            </w:tcBorders>
            <w:shd w:val="clear" w:color="000000" w:fill="FFFFFF"/>
            <w:noWrap/>
            <w:hideMark/>
          </w:tcPr>
          <w:p w14:paraId="4E2DAC42" w14:textId="77777777" w:rsidR="00706910" w:rsidRDefault="00706910">
            <w:pPr>
              <w:jc w:val="right"/>
              <w:rPr>
                <w:noProof/>
                <w:color w:val="000000"/>
                <w:sz w:val="20"/>
                <w:szCs w:val="20"/>
              </w:rPr>
            </w:pPr>
            <w:r>
              <w:rPr>
                <w:noProof/>
                <w:color w:val="000000"/>
                <w:sz w:val="20"/>
                <w:szCs w:val="20"/>
              </w:rPr>
              <w:t>144.2</w:t>
            </w:r>
          </w:p>
        </w:tc>
        <w:tc>
          <w:tcPr>
            <w:tcW w:w="552" w:type="pct"/>
            <w:tcBorders>
              <w:top w:val="nil"/>
              <w:left w:val="nil"/>
              <w:bottom w:val="single" w:sz="4" w:space="0" w:color="auto"/>
              <w:right w:val="single" w:sz="4" w:space="0" w:color="auto"/>
            </w:tcBorders>
            <w:shd w:val="clear" w:color="000000" w:fill="FFFFFF"/>
            <w:noWrap/>
            <w:hideMark/>
          </w:tcPr>
          <w:p w14:paraId="4936491A" w14:textId="77777777" w:rsidR="00706910" w:rsidRDefault="00706910">
            <w:pPr>
              <w:jc w:val="right"/>
              <w:rPr>
                <w:noProof/>
                <w:color w:val="000000"/>
                <w:sz w:val="20"/>
                <w:szCs w:val="20"/>
              </w:rPr>
            </w:pPr>
            <w:r>
              <w:rPr>
                <w:noProof/>
                <w:color w:val="000000"/>
                <w:sz w:val="20"/>
                <w:szCs w:val="20"/>
              </w:rPr>
              <w:t>129.8</w:t>
            </w:r>
          </w:p>
        </w:tc>
        <w:tc>
          <w:tcPr>
            <w:tcW w:w="552" w:type="pct"/>
            <w:tcBorders>
              <w:top w:val="nil"/>
              <w:left w:val="nil"/>
              <w:bottom w:val="single" w:sz="4" w:space="0" w:color="auto"/>
              <w:right w:val="single" w:sz="4" w:space="0" w:color="auto"/>
            </w:tcBorders>
            <w:shd w:val="clear" w:color="000000" w:fill="FFFFFF"/>
            <w:noWrap/>
            <w:hideMark/>
          </w:tcPr>
          <w:p w14:paraId="429F3E37" w14:textId="77777777" w:rsidR="00706910" w:rsidRDefault="00706910">
            <w:pPr>
              <w:jc w:val="right"/>
              <w:rPr>
                <w:noProof/>
                <w:color w:val="000000"/>
                <w:sz w:val="20"/>
                <w:szCs w:val="20"/>
              </w:rPr>
            </w:pPr>
            <w:r>
              <w:rPr>
                <w:noProof/>
                <w:color w:val="000000"/>
                <w:sz w:val="20"/>
                <w:szCs w:val="20"/>
              </w:rPr>
              <w:t>138.3</w:t>
            </w:r>
          </w:p>
        </w:tc>
      </w:tr>
      <w:tr w:rsidR="00DF7708" w14:paraId="0C9D97A0"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E7F5FF"/>
            <w:noWrap/>
            <w:hideMark/>
          </w:tcPr>
          <w:p w14:paraId="357A8E0C" w14:textId="77777777" w:rsidR="00706910" w:rsidRDefault="00706910">
            <w:pPr>
              <w:rPr>
                <w:noProof/>
                <w:color w:val="000000"/>
                <w:sz w:val="20"/>
                <w:szCs w:val="20"/>
              </w:rPr>
            </w:pPr>
            <w:r>
              <w:rPr>
                <w:noProof/>
                <w:color w:val="000000"/>
                <w:sz w:val="20"/>
                <w:szCs w:val="20"/>
              </w:rPr>
              <w:t xml:space="preserve"> Transport operators </w:t>
            </w:r>
          </w:p>
        </w:tc>
        <w:tc>
          <w:tcPr>
            <w:tcW w:w="552" w:type="pct"/>
            <w:tcBorders>
              <w:top w:val="nil"/>
              <w:left w:val="nil"/>
              <w:bottom w:val="single" w:sz="4" w:space="0" w:color="auto"/>
              <w:right w:val="single" w:sz="4" w:space="0" w:color="auto"/>
            </w:tcBorders>
            <w:shd w:val="clear" w:color="000000" w:fill="E7F5FF"/>
            <w:noWrap/>
            <w:hideMark/>
          </w:tcPr>
          <w:p w14:paraId="39A8389A"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05904869"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0B369D2B"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493836DD" w14:textId="77777777" w:rsidR="00706910" w:rsidRDefault="00706910">
            <w:pPr>
              <w:rPr>
                <w:noProof/>
                <w:color w:val="000000"/>
                <w:sz w:val="20"/>
                <w:szCs w:val="20"/>
              </w:rPr>
            </w:pPr>
            <w:r>
              <w:rPr>
                <w:noProof/>
                <w:color w:val="000000"/>
                <w:sz w:val="20"/>
                <w:szCs w:val="20"/>
              </w:rPr>
              <w:t> </w:t>
            </w:r>
          </w:p>
        </w:tc>
      </w:tr>
      <w:tr w:rsidR="00080C8F" w14:paraId="0D6FB477" w14:textId="77777777" w:rsidTr="00080C8F">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14CE98B7" w14:textId="77777777" w:rsidR="00706910" w:rsidRDefault="00706910" w:rsidP="00D7201D">
            <w:pPr>
              <w:ind w:left="164"/>
              <w:rPr>
                <w:noProof/>
                <w:color w:val="000000"/>
                <w:sz w:val="20"/>
                <w:szCs w:val="20"/>
              </w:rPr>
            </w:pPr>
            <w:r>
              <w:rPr>
                <w:noProof/>
                <w:color w:val="000000"/>
                <w:sz w:val="20"/>
                <w:szCs w:val="20"/>
              </w:rPr>
              <w:t>Adjustment cost savings for commercial agreement rules for indispensable MDMS (PM11)</w:t>
            </w:r>
          </w:p>
        </w:tc>
        <w:tc>
          <w:tcPr>
            <w:tcW w:w="552" w:type="pct"/>
            <w:tcBorders>
              <w:top w:val="nil"/>
              <w:left w:val="nil"/>
              <w:bottom w:val="single" w:sz="4" w:space="0" w:color="auto"/>
              <w:right w:val="single" w:sz="4" w:space="0" w:color="auto"/>
            </w:tcBorders>
            <w:shd w:val="clear" w:color="000000" w:fill="FFFFFF"/>
            <w:noWrap/>
            <w:hideMark/>
          </w:tcPr>
          <w:p w14:paraId="54C551D0" w14:textId="77777777" w:rsidR="00706910" w:rsidRDefault="00706910">
            <w:pPr>
              <w:jc w:val="right"/>
              <w:rPr>
                <w:noProof/>
                <w:color w:val="000000"/>
                <w:sz w:val="20"/>
                <w:szCs w:val="20"/>
              </w:rPr>
            </w:pPr>
            <w:r>
              <w:rPr>
                <w:noProof/>
                <w:color w:val="000000"/>
                <w:sz w:val="20"/>
                <w:szCs w:val="20"/>
              </w:rPr>
              <w:t>12.4</w:t>
            </w:r>
          </w:p>
        </w:tc>
        <w:tc>
          <w:tcPr>
            <w:tcW w:w="552" w:type="pct"/>
            <w:tcBorders>
              <w:top w:val="nil"/>
              <w:left w:val="nil"/>
              <w:bottom w:val="single" w:sz="4" w:space="0" w:color="auto"/>
              <w:right w:val="single" w:sz="4" w:space="0" w:color="auto"/>
            </w:tcBorders>
            <w:shd w:val="clear" w:color="000000" w:fill="FFFFFF"/>
            <w:noWrap/>
            <w:hideMark/>
          </w:tcPr>
          <w:p w14:paraId="30E06E48" w14:textId="77777777" w:rsidR="00706910" w:rsidRDefault="00706910">
            <w:pPr>
              <w:jc w:val="right"/>
              <w:rPr>
                <w:noProof/>
                <w:color w:val="000000"/>
                <w:sz w:val="20"/>
                <w:szCs w:val="20"/>
              </w:rPr>
            </w:pPr>
            <w:r>
              <w:rPr>
                <w:noProof/>
                <w:color w:val="000000"/>
                <w:sz w:val="20"/>
                <w:szCs w:val="20"/>
              </w:rPr>
              <w:t>144.2</w:t>
            </w:r>
          </w:p>
        </w:tc>
        <w:tc>
          <w:tcPr>
            <w:tcW w:w="552" w:type="pct"/>
            <w:tcBorders>
              <w:top w:val="nil"/>
              <w:left w:val="nil"/>
              <w:bottom w:val="single" w:sz="4" w:space="0" w:color="auto"/>
              <w:right w:val="single" w:sz="4" w:space="0" w:color="auto"/>
            </w:tcBorders>
            <w:shd w:val="clear" w:color="000000" w:fill="FFFFFF"/>
            <w:noWrap/>
            <w:hideMark/>
          </w:tcPr>
          <w:p w14:paraId="2CF39234" w14:textId="77777777" w:rsidR="00706910" w:rsidRDefault="00706910">
            <w:pPr>
              <w:jc w:val="right"/>
              <w:rPr>
                <w:noProof/>
                <w:color w:val="000000"/>
                <w:sz w:val="20"/>
                <w:szCs w:val="20"/>
              </w:rPr>
            </w:pPr>
            <w:r>
              <w:rPr>
                <w:noProof/>
                <w:color w:val="000000"/>
                <w:sz w:val="20"/>
                <w:szCs w:val="20"/>
              </w:rPr>
              <w:t>129.8</w:t>
            </w:r>
          </w:p>
        </w:tc>
        <w:tc>
          <w:tcPr>
            <w:tcW w:w="552" w:type="pct"/>
            <w:tcBorders>
              <w:top w:val="nil"/>
              <w:left w:val="nil"/>
              <w:bottom w:val="single" w:sz="4" w:space="0" w:color="auto"/>
              <w:right w:val="single" w:sz="4" w:space="0" w:color="auto"/>
            </w:tcBorders>
            <w:shd w:val="clear" w:color="000000" w:fill="FFFFFF"/>
            <w:noWrap/>
            <w:hideMark/>
          </w:tcPr>
          <w:p w14:paraId="173CAAC3" w14:textId="77777777" w:rsidR="00706910" w:rsidRDefault="00706910">
            <w:pPr>
              <w:jc w:val="right"/>
              <w:rPr>
                <w:noProof/>
                <w:color w:val="000000"/>
                <w:sz w:val="20"/>
                <w:szCs w:val="20"/>
              </w:rPr>
            </w:pPr>
            <w:r>
              <w:rPr>
                <w:noProof/>
                <w:color w:val="000000"/>
                <w:sz w:val="20"/>
                <w:szCs w:val="20"/>
              </w:rPr>
              <w:t>138.3</w:t>
            </w:r>
          </w:p>
        </w:tc>
      </w:tr>
      <w:tr w:rsidR="00080C8F" w14:paraId="42176AD2" w14:textId="77777777" w:rsidTr="00080C8F">
        <w:trPr>
          <w:trHeight w:val="284"/>
        </w:trPr>
        <w:tc>
          <w:tcPr>
            <w:tcW w:w="2793" w:type="pct"/>
            <w:tcBorders>
              <w:top w:val="nil"/>
              <w:left w:val="single" w:sz="4" w:space="0" w:color="auto"/>
              <w:bottom w:val="single" w:sz="4" w:space="0" w:color="auto"/>
              <w:right w:val="single" w:sz="4" w:space="0" w:color="auto"/>
            </w:tcBorders>
            <w:shd w:val="clear" w:color="000000" w:fill="BDE3FF"/>
            <w:hideMark/>
          </w:tcPr>
          <w:p w14:paraId="116AE07F" w14:textId="77777777" w:rsidR="00706910" w:rsidRDefault="00706910">
            <w:pPr>
              <w:rPr>
                <w:b/>
                <w:bCs/>
                <w:i/>
                <w:iCs/>
                <w:noProof/>
                <w:color w:val="000000"/>
                <w:sz w:val="20"/>
                <w:szCs w:val="20"/>
              </w:rPr>
            </w:pPr>
            <w:r>
              <w:rPr>
                <w:b/>
                <w:bCs/>
                <w:i/>
                <w:iCs/>
                <w:noProof/>
                <w:color w:val="000000"/>
                <w:sz w:val="20"/>
                <w:szCs w:val="20"/>
              </w:rPr>
              <w:t>% change 'low SMP threshold case' relative to the base case</w:t>
            </w:r>
          </w:p>
        </w:tc>
        <w:tc>
          <w:tcPr>
            <w:tcW w:w="552" w:type="pct"/>
            <w:tcBorders>
              <w:top w:val="nil"/>
              <w:left w:val="nil"/>
              <w:bottom w:val="single" w:sz="4" w:space="0" w:color="auto"/>
              <w:right w:val="single" w:sz="4" w:space="0" w:color="auto"/>
            </w:tcBorders>
            <w:shd w:val="clear" w:color="000000" w:fill="BDE3FF"/>
            <w:noWrap/>
            <w:hideMark/>
          </w:tcPr>
          <w:p w14:paraId="4C332281" w14:textId="77777777" w:rsidR="00706910" w:rsidRDefault="00706910">
            <w:pPr>
              <w:rPr>
                <w:rFonts w:ascii="Arial" w:hAnsi="Arial" w:cs="Arial"/>
                <w:noProof/>
                <w:color w:val="000000"/>
                <w:sz w:val="20"/>
                <w:szCs w:val="20"/>
              </w:rPr>
            </w:pPr>
            <w:r>
              <w:rPr>
                <w:rFonts w:ascii="Arial" w:hAnsi="Arial" w:cs="Arial"/>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60BF9BCF" w14:textId="77777777" w:rsidR="00706910" w:rsidRDefault="00706910">
            <w:pPr>
              <w:rPr>
                <w:rFonts w:ascii="Arial" w:hAnsi="Arial" w:cs="Arial"/>
                <w:noProof/>
                <w:color w:val="000000"/>
                <w:sz w:val="20"/>
                <w:szCs w:val="20"/>
              </w:rPr>
            </w:pPr>
            <w:r>
              <w:rPr>
                <w:rFonts w:ascii="Arial" w:hAnsi="Arial" w:cs="Arial"/>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31C93216" w14:textId="77777777" w:rsidR="00706910" w:rsidRDefault="00706910">
            <w:pPr>
              <w:rPr>
                <w:rFonts w:ascii="Arial" w:hAnsi="Arial" w:cs="Arial"/>
                <w:noProof/>
                <w:color w:val="000000"/>
                <w:sz w:val="20"/>
                <w:szCs w:val="20"/>
              </w:rPr>
            </w:pPr>
            <w:r>
              <w:rPr>
                <w:rFonts w:ascii="Arial" w:hAnsi="Arial" w:cs="Arial"/>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0E934053" w14:textId="77777777" w:rsidR="00706910" w:rsidRDefault="00706910">
            <w:pPr>
              <w:rPr>
                <w:rFonts w:ascii="Arial" w:hAnsi="Arial" w:cs="Arial"/>
                <w:noProof/>
                <w:color w:val="000000"/>
                <w:sz w:val="20"/>
                <w:szCs w:val="20"/>
              </w:rPr>
            </w:pPr>
            <w:r>
              <w:rPr>
                <w:rFonts w:ascii="Arial" w:hAnsi="Arial" w:cs="Arial"/>
                <w:noProof/>
                <w:color w:val="000000"/>
                <w:sz w:val="20"/>
                <w:szCs w:val="20"/>
              </w:rPr>
              <w:t> </w:t>
            </w:r>
          </w:p>
        </w:tc>
      </w:tr>
      <w:tr w:rsidR="00DF7708" w14:paraId="577BA1CC"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E7F5FF"/>
            <w:noWrap/>
            <w:hideMark/>
          </w:tcPr>
          <w:p w14:paraId="1769DCBF" w14:textId="77777777" w:rsidR="00706910" w:rsidRDefault="00706910">
            <w:pPr>
              <w:rPr>
                <w:noProof/>
                <w:color w:val="000000"/>
                <w:sz w:val="20"/>
                <w:szCs w:val="20"/>
              </w:rPr>
            </w:pPr>
            <w:r>
              <w:rPr>
                <w:noProof/>
                <w:color w:val="000000"/>
                <w:sz w:val="20"/>
                <w:szCs w:val="20"/>
              </w:rPr>
              <w:t xml:space="preserve"> MDMS platforms </w:t>
            </w:r>
          </w:p>
        </w:tc>
        <w:tc>
          <w:tcPr>
            <w:tcW w:w="552" w:type="pct"/>
            <w:tcBorders>
              <w:top w:val="nil"/>
              <w:left w:val="nil"/>
              <w:bottom w:val="single" w:sz="4" w:space="0" w:color="auto"/>
              <w:right w:val="single" w:sz="4" w:space="0" w:color="auto"/>
            </w:tcBorders>
            <w:shd w:val="clear" w:color="000000" w:fill="E7F5FF"/>
            <w:noWrap/>
            <w:hideMark/>
          </w:tcPr>
          <w:p w14:paraId="534658C9"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4CC90936"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57732F90"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78F48412" w14:textId="77777777" w:rsidR="00706910" w:rsidRDefault="00706910">
            <w:pPr>
              <w:rPr>
                <w:noProof/>
                <w:color w:val="000000"/>
                <w:sz w:val="20"/>
                <w:szCs w:val="20"/>
              </w:rPr>
            </w:pPr>
            <w:r>
              <w:rPr>
                <w:noProof/>
                <w:color w:val="000000"/>
                <w:sz w:val="20"/>
                <w:szCs w:val="20"/>
              </w:rPr>
              <w:t> </w:t>
            </w:r>
          </w:p>
        </w:tc>
      </w:tr>
      <w:tr w:rsidR="00080C8F" w14:paraId="3269D368" w14:textId="77777777" w:rsidTr="00080C8F">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3CFAE14E" w14:textId="77777777" w:rsidR="00706910" w:rsidRDefault="00706910" w:rsidP="00D7201D">
            <w:pPr>
              <w:ind w:left="164"/>
              <w:rPr>
                <w:noProof/>
                <w:color w:val="000000"/>
                <w:sz w:val="20"/>
                <w:szCs w:val="20"/>
              </w:rPr>
            </w:pPr>
            <w:r>
              <w:rPr>
                <w:noProof/>
                <w:color w:val="000000"/>
                <w:sz w:val="20"/>
                <w:szCs w:val="20"/>
              </w:rPr>
              <w:t>Administrative costs for the designation of indispensable MDMS and Rus (PM10)</w:t>
            </w:r>
          </w:p>
        </w:tc>
        <w:tc>
          <w:tcPr>
            <w:tcW w:w="552" w:type="pct"/>
            <w:tcBorders>
              <w:top w:val="nil"/>
              <w:left w:val="nil"/>
              <w:bottom w:val="single" w:sz="4" w:space="0" w:color="auto"/>
              <w:right w:val="single" w:sz="4" w:space="0" w:color="auto"/>
            </w:tcBorders>
            <w:shd w:val="clear" w:color="000000" w:fill="FFFFFF"/>
            <w:noWrap/>
            <w:hideMark/>
          </w:tcPr>
          <w:p w14:paraId="7FA25123" w14:textId="77777777" w:rsidR="00706910" w:rsidRDefault="00706910">
            <w:pPr>
              <w:jc w:val="right"/>
              <w:rPr>
                <w:noProof/>
                <w:color w:val="000000"/>
                <w:sz w:val="20"/>
                <w:szCs w:val="20"/>
              </w:rPr>
            </w:pPr>
            <w:r>
              <w:rPr>
                <w:noProof/>
                <w:color w:val="000000"/>
                <w:sz w:val="20"/>
                <w:szCs w:val="20"/>
              </w:rPr>
              <w:t>75%</w:t>
            </w:r>
          </w:p>
        </w:tc>
        <w:tc>
          <w:tcPr>
            <w:tcW w:w="552" w:type="pct"/>
            <w:tcBorders>
              <w:top w:val="nil"/>
              <w:left w:val="nil"/>
              <w:bottom w:val="single" w:sz="4" w:space="0" w:color="auto"/>
              <w:right w:val="single" w:sz="4" w:space="0" w:color="auto"/>
            </w:tcBorders>
            <w:shd w:val="clear" w:color="000000" w:fill="FFFFFF"/>
            <w:noWrap/>
            <w:hideMark/>
          </w:tcPr>
          <w:p w14:paraId="110FA9D3" w14:textId="77777777" w:rsidR="00706910" w:rsidRDefault="00706910">
            <w:pPr>
              <w:jc w:val="right"/>
              <w:rPr>
                <w:noProof/>
                <w:color w:val="000000"/>
                <w:sz w:val="20"/>
                <w:szCs w:val="20"/>
              </w:rPr>
            </w:pPr>
            <w:r>
              <w:rPr>
                <w:noProof/>
                <w:color w:val="000000"/>
                <w:sz w:val="20"/>
                <w:szCs w:val="20"/>
              </w:rPr>
              <w:t>75%</w:t>
            </w:r>
          </w:p>
        </w:tc>
        <w:tc>
          <w:tcPr>
            <w:tcW w:w="552" w:type="pct"/>
            <w:tcBorders>
              <w:top w:val="nil"/>
              <w:left w:val="nil"/>
              <w:bottom w:val="single" w:sz="4" w:space="0" w:color="auto"/>
              <w:right w:val="single" w:sz="4" w:space="0" w:color="auto"/>
            </w:tcBorders>
            <w:shd w:val="clear" w:color="000000" w:fill="FFFFFF"/>
            <w:noWrap/>
            <w:hideMark/>
          </w:tcPr>
          <w:p w14:paraId="20F2ABBE" w14:textId="77777777" w:rsidR="00706910" w:rsidRDefault="00706910">
            <w:pPr>
              <w:jc w:val="right"/>
              <w:rPr>
                <w:noProof/>
                <w:color w:val="000000"/>
                <w:sz w:val="20"/>
                <w:szCs w:val="20"/>
              </w:rPr>
            </w:pPr>
            <w:r>
              <w:rPr>
                <w:noProof/>
                <w:color w:val="000000"/>
                <w:sz w:val="20"/>
                <w:szCs w:val="20"/>
              </w:rPr>
              <w:t>75%</w:t>
            </w:r>
          </w:p>
        </w:tc>
        <w:tc>
          <w:tcPr>
            <w:tcW w:w="552" w:type="pct"/>
            <w:tcBorders>
              <w:top w:val="nil"/>
              <w:left w:val="nil"/>
              <w:bottom w:val="single" w:sz="4" w:space="0" w:color="auto"/>
              <w:right w:val="single" w:sz="4" w:space="0" w:color="auto"/>
            </w:tcBorders>
            <w:shd w:val="clear" w:color="000000" w:fill="FFFFFF"/>
            <w:noWrap/>
            <w:hideMark/>
          </w:tcPr>
          <w:p w14:paraId="18B35252" w14:textId="77777777" w:rsidR="00706910" w:rsidRDefault="00706910">
            <w:pPr>
              <w:jc w:val="right"/>
              <w:rPr>
                <w:noProof/>
                <w:color w:val="000000"/>
                <w:sz w:val="20"/>
                <w:szCs w:val="20"/>
              </w:rPr>
            </w:pPr>
            <w:r>
              <w:rPr>
                <w:noProof/>
                <w:color w:val="000000"/>
                <w:sz w:val="20"/>
                <w:szCs w:val="20"/>
              </w:rPr>
              <w:t>75%</w:t>
            </w:r>
          </w:p>
        </w:tc>
      </w:tr>
      <w:tr w:rsidR="00080C8F" w14:paraId="238736DB" w14:textId="77777777" w:rsidTr="00080C8F">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20DFF86D" w14:textId="77777777" w:rsidR="00706910" w:rsidRDefault="00706910" w:rsidP="00D7201D">
            <w:pPr>
              <w:ind w:left="164"/>
              <w:rPr>
                <w:noProof/>
                <w:color w:val="000000"/>
                <w:sz w:val="20"/>
                <w:szCs w:val="20"/>
              </w:rPr>
            </w:pPr>
            <w:r>
              <w:rPr>
                <w:noProof/>
                <w:color w:val="000000"/>
                <w:sz w:val="20"/>
                <w:szCs w:val="20"/>
              </w:rPr>
              <w:t>Adjustment cost savings for commercial agreement rules for indispensable MDMS (PM11)</w:t>
            </w:r>
          </w:p>
        </w:tc>
        <w:tc>
          <w:tcPr>
            <w:tcW w:w="552" w:type="pct"/>
            <w:tcBorders>
              <w:top w:val="nil"/>
              <w:left w:val="nil"/>
              <w:bottom w:val="single" w:sz="4" w:space="0" w:color="auto"/>
              <w:right w:val="single" w:sz="4" w:space="0" w:color="auto"/>
            </w:tcBorders>
            <w:shd w:val="clear" w:color="000000" w:fill="FFFFFF"/>
            <w:noWrap/>
            <w:hideMark/>
          </w:tcPr>
          <w:p w14:paraId="4B4A378D" w14:textId="77777777" w:rsidR="00706910" w:rsidRDefault="00706910">
            <w:pPr>
              <w:jc w:val="right"/>
              <w:rPr>
                <w:noProof/>
                <w:color w:val="000000"/>
                <w:sz w:val="20"/>
                <w:szCs w:val="20"/>
              </w:rPr>
            </w:pPr>
            <w:r>
              <w:rPr>
                <w:noProof/>
                <w:color w:val="000000"/>
                <w:sz w:val="20"/>
                <w:szCs w:val="20"/>
              </w:rPr>
              <w:t>3%</w:t>
            </w:r>
          </w:p>
        </w:tc>
        <w:tc>
          <w:tcPr>
            <w:tcW w:w="552" w:type="pct"/>
            <w:tcBorders>
              <w:top w:val="nil"/>
              <w:left w:val="nil"/>
              <w:bottom w:val="single" w:sz="4" w:space="0" w:color="auto"/>
              <w:right w:val="single" w:sz="4" w:space="0" w:color="auto"/>
            </w:tcBorders>
            <w:shd w:val="clear" w:color="000000" w:fill="FFFFFF"/>
            <w:noWrap/>
            <w:hideMark/>
          </w:tcPr>
          <w:p w14:paraId="794200C6" w14:textId="77777777" w:rsidR="00706910" w:rsidRDefault="00706910">
            <w:pPr>
              <w:jc w:val="right"/>
              <w:rPr>
                <w:noProof/>
                <w:color w:val="000000"/>
                <w:sz w:val="20"/>
                <w:szCs w:val="20"/>
              </w:rPr>
            </w:pPr>
            <w:r>
              <w:rPr>
                <w:noProof/>
                <w:color w:val="000000"/>
                <w:sz w:val="20"/>
                <w:szCs w:val="20"/>
              </w:rPr>
              <w:t>6%</w:t>
            </w:r>
          </w:p>
        </w:tc>
        <w:tc>
          <w:tcPr>
            <w:tcW w:w="552" w:type="pct"/>
            <w:tcBorders>
              <w:top w:val="nil"/>
              <w:left w:val="nil"/>
              <w:bottom w:val="single" w:sz="4" w:space="0" w:color="auto"/>
              <w:right w:val="single" w:sz="4" w:space="0" w:color="auto"/>
            </w:tcBorders>
            <w:shd w:val="clear" w:color="000000" w:fill="FFFFFF"/>
            <w:noWrap/>
            <w:hideMark/>
          </w:tcPr>
          <w:p w14:paraId="7424A2FD" w14:textId="77777777" w:rsidR="00706910" w:rsidRDefault="00706910">
            <w:pPr>
              <w:jc w:val="right"/>
              <w:rPr>
                <w:noProof/>
                <w:color w:val="000000"/>
                <w:sz w:val="20"/>
                <w:szCs w:val="20"/>
              </w:rPr>
            </w:pPr>
            <w:r>
              <w:rPr>
                <w:noProof/>
                <w:color w:val="000000"/>
                <w:sz w:val="20"/>
                <w:szCs w:val="20"/>
              </w:rPr>
              <w:t>6%</w:t>
            </w:r>
          </w:p>
        </w:tc>
        <w:tc>
          <w:tcPr>
            <w:tcW w:w="552" w:type="pct"/>
            <w:tcBorders>
              <w:top w:val="nil"/>
              <w:left w:val="nil"/>
              <w:bottom w:val="single" w:sz="4" w:space="0" w:color="auto"/>
              <w:right w:val="single" w:sz="4" w:space="0" w:color="auto"/>
            </w:tcBorders>
            <w:shd w:val="clear" w:color="000000" w:fill="FFFFFF"/>
            <w:noWrap/>
            <w:hideMark/>
          </w:tcPr>
          <w:p w14:paraId="3C8DB5E0" w14:textId="77777777" w:rsidR="00706910" w:rsidRDefault="00706910">
            <w:pPr>
              <w:jc w:val="right"/>
              <w:rPr>
                <w:noProof/>
                <w:color w:val="000000"/>
                <w:sz w:val="20"/>
                <w:szCs w:val="20"/>
              </w:rPr>
            </w:pPr>
            <w:r>
              <w:rPr>
                <w:noProof/>
                <w:color w:val="000000"/>
                <w:sz w:val="20"/>
                <w:szCs w:val="20"/>
              </w:rPr>
              <w:t>6%</w:t>
            </w:r>
          </w:p>
        </w:tc>
      </w:tr>
      <w:tr w:rsidR="00DF7708" w14:paraId="0A0B7F80"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E7F5FF"/>
            <w:noWrap/>
            <w:hideMark/>
          </w:tcPr>
          <w:p w14:paraId="1550394A" w14:textId="77777777" w:rsidR="00706910" w:rsidRDefault="00706910">
            <w:pPr>
              <w:rPr>
                <w:noProof/>
                <w:color w:val="000000"/>
                <w:sz w:val="20"/>
                <w:szCs w:val="20"/>
              </w:rPr>
            </w:pPr>
            <w:r>
              <w:rPr>
                <w:noProof/>
                <w:color w:val="000000"/>
                <w:sz w:val="20"/>
                <w:szCs w:val="20"/>
              </w:rPr>
              <w:t xml:space="preserve"> Transport operators </w:t>
            </w:r>
          </w:p>
        </w:tc>
        <w:tc>
          <w:tcPr>
            <w:tcW w:w="552" w:type="pct"/>
            <w:tcBorders>
              <w:top w:val="nil"/>
              <w:left w:val="nil"/>
              <w:bottom w:val="single" w:sz="4" w:space="0" w:color="auto"/>
              <w:right w:val="single" w:sz="4" w:space="0" w:color="auto"/>
            </w:tcBorders>
            <w:shd w:val="clear" w:color="000000" w:fill="E7F5FF"/>
            <w:noWrap/>
            <w:hideMark/>
          </w:tcPr>
          <w:p w14:paraId="41B29B88"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7C058D77"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7C10FEFF" w14:textId="77777777" w:rsidR="00706910" w:rsidRDefault="00706910">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E7F5FF"/>
            <w:noWrap/>
            <w:hideMark/>
          </w:tcPr>
          <w:p w14:paraId="331364B7" w14:textId="77777777" w:rsidR="00706910" w:rsidRDefault="00706910">
            <w:pPr>
              <w:rPr>
                <w:noProof/>
                <w:color w:val="000000"/>
                <w:sz w:val="20"/>
                <w:szCs w:val="20"/>
              </w:rPr>
            </w:pPr>
            <w:r>
              <w:rPr>
                <w:noProof/>
                <w:color w:val="000000"/>
                <w:sz w:val="20"/>
                <w:szCs w:val="20"/>
              </w:rPr>
              <w:t> </w:t>
            </w:r>
          </w:p>
        </w:tc>
      </w:tr>
      <w:tr w:rsidR="00080C8F" w14:paraId="7D395328" w14:textId="77777777" w:rsidTr="00080C8F">
        <w:trPr>
          <w:trHeight w:val="510"/>
        </w:trPr>
        <w:tc>
          <w:tcPr>
            <w:tcW w:w="2793" w:type="pct"/>
            <w:tcBorders>
              <w:top w:val="nil"/>
              <w:left w:val="single" w:sz="4" w:space="0" w:color="auto"/>
              <w:bottom w:val="single" w:sz="4" w:space="0" w:color="auto"/>
              <w:right w:val="single" w:sz="4" w:space="0" w:color="auto"/>
            </w:tcBorders>
            <w:shd w:val="clear" w:color="000000" w:fill="FFFFFF"/>
            <w:hideMark/>
          </w:tcPr>
          <w:p w14:paraId="7626FBC2" w14:textId="77777777" w:rsidR="00706910" w:rsidRDefault="00706910" w:rsidP="00D7201D">
            <w:pPr>
              <w:ind w:left="164"/>
              <w:rPr>
                <w:noProof/>
                <w:color w:val="000000"/>
                <w:sz w:val="20"/>
                <w:szCs w:val="20"/>
              </w:rPr>
            </w:pPr>
            <w:r>
              <w:rPr>
                <w:noProof/>
                <w:color w:val="000000"/>
                <w:sz w:val="20"/>
                <w:szCs w:val="20"/>
              </w:rPr>
              <w:t>Adjustment cost savings for commercial agreement rules for indispensable MDMS (PM11)</w:t>
            </w:r>
          </w:p>
        </w:tc>
        <w:tc>
          <w:tcPr>
            <w:tcW w:w="552" w:type="pct"/>
            <w:tcBorders>
              <w:top w:val="nil"/>
              <w:left w:val="nil"/>
              <w:bottom w:val="single" w:sz="4" w:space="0" w:color="auto"/>
              <w:right w:val="single" w:sz="4" w:space="0" w:color="auto"/>
            </w:tcBorders>
            <w:shd w:val="clear" w:color="000000" w:fill="FFFFFF"/>
            <w:noWrap/>
            <w:hideMark/>
          </w:tcPr>
          <w:p w14:paraId="50952C66" w14:textId="77777777" w:rsidR="00706910" w:rsidRDefault="00706910">
            <w:pPr>
              <w:jc w:val="right"/>
              <w:rPr>
                <w:noProof/>
                <w:color w:val="000000"/>
                <w:sz w:val="20"/>
                <w:szCs w:val="20"/>
              </w:rPr>
            </w:pPr>
            <w:r>
              <w:rPr>
                <w:noProof/>
                <w:color w:val="000000"/>
                <w:sz w:val="20"/>
                <w:szCs w:val="20"/>
              </w:rPr>
              <w:t>3%</w:t>
            </w:r>
          </w:p>
        </w:tc>
        <w:tc>
          <w:tcPr>
            <w:tcW w:w="552" w:type="pct"/>
            <w:tcBorders>
              <w:top w:val="nil"/>
              <w:left w:val="nil"/>
              <w:bottom w:val="single" w:sz="4" w:space="0" w:color="auto"/>
              <w:right w:val="single" w:sz="4" w:space="0" w:color="auto"/>
            </w:tcBorders>
            <w:shd w:val="clear" w:color="000000" w:fill="FFFFFF"/>
            <w:noWrap/>
            <w:hideMark/>
          </w:tcPr>
          <w:p w14:paraId="05D526B1" w14:textId="77777777" w:rsidR="00706910" w:rsidRDefault="00706910">
            <w:pPr>
              <w:jc w:val="right"/>
              <w:rPr>
                <w:noProof/>
                <w:color w:val="000000"/>
                <w:sz w:val="20"/>
                <w:szCs w:val="20"/>
              </w:rPr>
            </w:pPr>
            <w:r>
              <w:rPr>
                <w:noProof/>
                <w:color w:val="000000"/>
                <w:sz w:val="20"/>
                <w:szCs w:val="20"/>
              </w:rPr>
              <w:t>6%</w:t>
            </w:r>
          </w:p>
        </w:tc>
        <w:tc>
          <w:tcPr>
            <w:tcW w:w="552" w:type="pct"/>
            <w:tcBorders>
              <w:top w:val="nil"/>
              <w:left w:val="nil"/>
              <w:bottom w:val="single" w:sz="4" w:space="0" w:color="auto"/>
              <w:right w:val="single" w:sz="4" w:space="0" w:color="auto"/>
            </w:tcBorders>
            <w:shd w:val="clear" w:color="000000" w:fill="FFFFFF"/>
            <w:noWrap/>
            <w:hideMark/>
          </w:tcPr>
          <w:p w14:paraId="5D39FB69" w14:textId="77777777" w:rsidR="00706910" w:rsidRDefault="00706910">
            <w:pPr>
              <w:jc w:val="right"/>
              <w:rPr>
                <w:noProof/>
                <w:color w:val="000000"/>
                <w:sz w:val="20"/>
                <w:szCs w:val="20"/>
              </w:rPr>
            </w:pPr>
            <w:r>
              <w:rPr>
                <w:noProof/>
                <w:color w:val="000000"/>
                <w:sz w:val="20"/>
                <w:szCs w:val="20"/>
              </w:rPr>
              <w:t>6%</w:t>
            </w:r>
          </w:p>
        </w:tc>
        <w:tc>
          <w:tcPr>
            <w:tcW w:w="552" w:type="pct"/>
            <w:tcBorders>
              <w:top w:val="nil"/>
              <w:left w:val="nil"/>
              <w:bottom w:val="single" w:sz="4" w:space="0" w:color="auto"/>
              <w:right w:val="single" w:sz="4" w:space="0" w:color="auto"/>
            </w:tcBorders>
            <w:shd w:val="clear" w:color="000000" w:fill="FFFFFF"/>
            <w:noWrap/>
            <w:hideMark/>
          </w:tcPr>
          <w:p w14:paraId="146EE44E" w14:textId="77777777" w:rsidR="00706910" w:rsidRDefault="00706910">
            <w:pPr>
              <w:jc w:val="right"/>
              <w:rPr>
                <w:noProof/>
                <w:color w:val="000000"/>
                <w:sz w:val="20"/>
                <w:szCs w:val="20"/>
              </w:rPr>
            </w:pPr>
            <w:r>
              <w:rPr>
                <w:noProof/>
                <w:color w:val="000000"/>
                <w:sz w:val="20"/>
                <w:szCs w:val="20"/>
              </w:rPr>
              <w:t>6%</w:t>
            </w:r>
          </w:p>
        </w:tc>
      </w:tr>
    </w:tbl>
    <w:p w14:paraId="606A0638" w14:textId="77777777" w:rsidR="001E1853" w:rsidRDefault="001E1853" w:rsidP="001E1853">
      <w:pPr>
        <w:tabs>
          <w:tab w:val="left" w:pos="2302"/>
        </w:tabs>
        <w:spacing w:after="240"/>
        <w:jc w:val="both"/>
        <w:rPr>
          <w:i/>
          <w:iCs/>
          <w:noProof/>
          <w:sz w:val="20"/>
          <w:szCs w:val="20"/>
        </w:rPr>
      </w:pPr>
      <w:r w:rsidRPr="005D2D60" w:rsidDel="002E6031">
        <w:rPr>
          <w:rFonts w:cstheme="minorBidi"/>
          <w:i/>
          <w:noProof/>
          <w:sz w:val="22"/>
          <w:szCs w:val="22"/>
          <w:lang w:eastAsia="en-US"/>
        </w:rPr>
        <w:t xml:space="preserve"> </w:t>
      </w:r>
      <w:r w:rsidRPr="00FB0A72">
        <w:rPr>
          <w:i/>
          <w:iCs/>
          <w:noProof/>
          <w:spacing w:val="-8"/>
          <w:sz w:val="20"/>
          <w:szCs w:val="20"/>
        </w:rPr>
        <w:t xml:space="preserve">Source: </w:t>
      </w:r>
      <w:r w:rsidRPr="00FB0A72">
        <w:rPr>
          <w:i/>
          <w:iCs/>
          <w:noProof/>
          <w:sz w:val="20"/>
          <w:szCs w:val="20"/>
        </w:rPr>
        <w:t>Ricardo et al. (2026), Impact assessment support study</w:t>
      </w:r>
    </w:p>
    <w:p w14:paraId="5E7D78FE" w14:textId="135B2E19" w:rsidR="001E1853" w:rsidRDefault="001E1853" w:rsidP="001E1853">
      <w:pPr>
        <w:tabs>
          <w:tab w:val="left" w:pos="2302"/>
        </w:tabs>
        <w:spacing w:after="240"/>
        <w:jc w:val="both"/>
        <w:rPr>
          <w:noProof/>
          <w:color w:val="000000" w:themeColor="text1"/>
          <w:spacing w:val="-8"/>
        </w:rPr>
      </w:pPr>
      <w:r w:rsidRPr="004E4D57">
        <w:rPr>
          <w:noProof/>
          <w:color w:val="000000" w:themeColor="text1"/>
          <w:spacing w:val="-8"/>
        </w:rPr>
        <w:t xml:space="preserve">The table below </w:t>
      </w:r>
      <w:r>
        <w:rPr>
          <w:noProof/>
          <w:color w:val="000000" w:themeColor="text1"/>
          <w:spacing w:val="-8"/>
        </w:rPr>
        <w:t>shows</w:t>
      </w:r>
      <w:r w:rsidRPr="004E4D57">
        <w:rPr>
          <w:noProof/>
          <w:color w:val="000000" w:themeColor="text1"/>
          <w:spacing w:val="-8"/>
        </w:rPr>
        <w:t xml:space="preserve"> the impacts on total benefits</w:t>
      </w:r>
      <w:r w:rsidR="0015400D">
        <w:rPr>
          <w:noProof/>
          <w:color w:val="000000" w:themeColor="text1"/>
          <w:spacing w:val="-8"/>
        </w:rPr>
        <w:t xml:space="preserve"> (</w:t>
      </w:r>
      <w:r w:rsidR="0015400D" w:rsidRPr="00111671">
        <w:rPr>
          <w:noProof/>
        </w:rPr>
        <w:t>including external costs savings</w:t>
      </w:r>
      <w:r w:rsidR="0015400D">
        <w:rPr>
          <w:noProof/>
        </w:rPr>
        <w:t>)</w:t>
      </w:r>
      <w:r w:rsidRPr="004E4D57">
        <w:rPr>
          <w:noProof/>
          <w:color w:val="000000" w:themeColor="text1"/>
          <w:spacing w:val="-8"/>
        </w:rPr>
        <w:t xml:space="preserve">, total costs, net benefits and benefits to costs ratio by policy option in the base case and ‘low </w:t>
      </w:r>
      <w:r>
        <w:rPr>
          <w:noProof/>
          <w:color w:val="000000" w:themeColor="text1"/>
          <w:spacing w:val="-8"/>
        </w:rPr>
        <w:t>SMP threshold</w:t>
      </w:r>
      <w:r w:rsidR="004602FA">
        <w:rPr>
          <w:noProof/>
          <w:color w:val="000000" w:themeColor="text1"/>
          <w:spacing w:val="-8"/>
        </w:rPr>
        <w:t>’</w:t>
      </w:r>
      <w:r>
        <w:rPr>
          <w:noProof/>
          <w:color w:val="000000" w:themeColor="text1"/>
          <w:spacing w:val="-8"/>
        </w:rPr>
        <w:t xml:space="preserve"> </w:t>
      </w:r>
      <w:r w:rsidRPr="004E4D57">
        <w:rPr>
          <w:noProof/>
          <w:color w:val="000000" w:themeColor="text1"/>
          <w:spacing w:val="-8"/>
        </w:rPr>
        <w:t>case. It shows that all policy options are still expected to result in net benefits in the ‘low</w:t>
      </w:r>
      <w:r>
        <w:rPr>
          <w:noProof/>
          <w:color w:val="000000" w:themeColor="text1"/>
          <w:spacing w:val="-8"/>
        </w:rPr>
        <w:t xml:space="preserve"> SMP threshold</w:t>
      </w:r>
      <w:r w:rsidR="004602FA">
        <w:rPr>
          <w:noProof/>
          <w:color w:val="000000" w:themeColor="text1"/>
          <w:spacing w:val="-8"/>
        </w:rPr>
        <w:t>’</w:t>
      </w:r>
      <w:r>
        <w:rPr>
          <w:noProof/>
          <w:color w:val="000000" w:themeColor="text1"/>
          <w:spacing w:val="-8"/>
        </w:rPr>
        <w:t xml:space="preserve"> </w:t>
      </w:r>
      <w:r w:rsidRPr="004E4D57">
        <w:rPr>
          <w:noProof/>
          <w:color w:val="000000" w:themeColor="text1"/>
          <w:spacing w:val="-8"/>
        </w:rPr>
        <w:t xml:space="preserve">case considered. It also shows that the ranking of the policy options is not expected to change in the ‘low </w:t>
      </w:r>
      <w:r>
        <w:rPr>
          <w:noProof/>
          <w:color w:val="000000" w:themeColor="text1"/>
          <w:spacing w:val="-8"/>
        </w:rPr>
        <w:t>SMP threshold</w:t>
      </w:r>
      <w:r w:rsidR="00824489">
        <w:rPr>
          <w:noProof/>
          <w:color w:val="000000" w:themeColor="text1"/>
          <w:spacing w:val="-8"/>
        </w:rPr>
        <w:t>’</w:t>
      </w:r>
      <w:r>
        <w:rPr>
          <w:noProof/>
          <w:color w:val="000000" w:themeColor="text1"/>
          <w:spacing w:val="-8"/>
        </w:rPr>
        <w:t xml:space="preserve"> </w:t>
      </w:r>
      <w:r w:rsidRPr="004E4D57">
        <w:rPr>
          <w:noProof/>
          <w:color w:val="000000" w:themeColor="text1"/>
          <w:spacing w:val="-8"/>
        </w:rPr>
        <w:t>case relative to the base case estimates.</w:t>
      </w:r>
    </w:p>
    <w:p w14:paraId="0E97A2A2" w14:textId="76BA3FAC" w:rsidR="001E1853" w:rsidRDefault="001E1853" w:rsidP="001E1853">
      <w:pPr>
        <w:pStyle w:val="Text2"/>
        <w:spacing w:after="0"/>
        <w:ind w:left="0"/>
        <w:rPr>
          <w:rFonts w:cs="Times New Roman"/>
          <w:i/>
          <w:noProof/>
          <w:sz w:val="22"/>
          <w:szCs w:val="22"/>
        </w:rPr>
      </w:pPr>
      <w:r w:rsidRPr="00F046B6">
        <w:rPr>
          <w:rFonts w:cs="Times New Roman"/>
          <w:i/>
          <w:noProof/>
          <w:sz w:val="22"/>
          <w:szCs w:val="22"/>
        </w:rPr>
        <w:t xml:space="preserve">Table </w:t>
      </w:r>
      <w:r w:rsidRPr="00F046B6">
        <w:rPr>
          <w:rFonts w:cs="Times New Roman"/>
          <w:i/>
          <w:noProof/>
          <w:sz w:val="22"/>
          <w:szCs w:val="22"/>
        </w:rPr>
        <w:fldChar w:fldCharType="begin"/>
      </w:r>
      <w:r w:rsidRPr="00F046B6">
        <w:rPr>
          <w:rFonts w:cs="Times New Roman"/>
          <w:i/>
          <w:noProof/>
          <w:sz w:val="22"/>
          <w:szCs w:val="22"/>
        </w:rPr>
        <w:instrText xml:space="preserve"> SEQ Table \* ARABIC </w:instrText>
      </w:r>
      <w:r w:rsidRPr="00F046B6">
        <w:rPr>
          <w:rFonts w:cs="Times New Roman"/>
          <w:i/>
          <w:noProof/>
          <w:sz w:val="22"/>
          <w:szCs w:val="22"/>
        </w:rPr>
        <w:fldChar w:fldCharType="separate"/>
      </w:r>
      <w:r w:rsidR="0055391F">
        <w:rPr>
          <w:rFonts w:cs="Times New Roman"/>
          <w:i/>
          <w:noProof/>
          <w:sz w:val="22"/>
          <w:szCs w:val="22"/>
        </w:rPr>
        <w:t>131</w:t>
      </w:r>
      <w:r w:rsidRPr="00F046B6">
        <w:rPr>
          <w:rFonts w:cs="Times New Roman"/>
          <w:i/>
          <w:noProof/>
          <w:sz w:val="22"/>
          <w:szCs w:val="22"/>
        </w:rPr>
        <w:fldChar w:fldCharType="end"/>
      </w:r>
      <w:r w:rsidRPr="00F046B6">
        <w:rPr>
          <w:rFonts w:cs="Times New Roman"/>
          <w:i/>
          <w:noProof/>
          <w:sz w:val="22"/>
          <w:szCs w:val="22"/>
        </w:rPr>
        <w:t>: Summary of costs and benefits of policy options</w:t>
      </w:r>
      <w:r w:rsidR="00F11472">
        <w:rPr>
          <w:rFonts w:cs="Times New Roman"/>
          <w:i/>
          <w:noProof/>
          <w:sz w:val="22"/>
          <w:szCs w:val="22"/>
        </w:rPr>
        <w:t>, including external costs savings,</w:t>
      </w:r>
      <w:r>
        <w:rPr>
          <w:rFonts w:cs="Times New Roman"/>
          <w:i/>
          <w:noProof/>
          <w:sz w:val="22"/>
          <w:szCs w:val="22"/>
        </w:rPr>
        <w:t xml:space="preserve"> in the ‘low SMP threshold</w:t>
      </w:r>
      <w:r w:rsidR="00C76C72">
        <w:rPr>
          <w:rFonts w:cs="Times New Roman"/>
          <w:i/>
          <w:noProof/>
          <w:sz w:val="22"/>
          <w:szCs w:val="22"/>
        </w:rPr>
        <w:t>’</w:t>
      </w:r>
      <w:r>
        <w:rPr>
          <w:rFonts w:cs="Times New Roman"/>
          <w:i/>
          <w:noProof/>
          <w:sz w:val="22"/>
          <w:szCs w:val="22"/>
        </w:rPr>
        <w:t xml:space="preserve"> case and base case, expressed as</w:t>
      </w:r>
      <w:r w:rsidRPr="00F046B6">
        <w:rPr>
          <w:rFonts w:cs="Times New Roman"/>
          <w:i/>
          <w:noProof/>
          <w:sz w:val="22"/>
          <w:szCs w:val="22"/>
        </w:rPr>
        <w:t xml:space="preserve"> present value over 2028-2050 compared to the baseline (in million EUR, 202</w:t>
      </w:r>
      <w:r>
        <w:rPr>
          <w:rFonts w:cs="Times New Roman"/>
          <w:i/>
          <w:noProof/>
          <w:sz w:val="22"/>
          <w:szCs w:val="22"/>
        </w:rPr>
        <w:t>4</w:t>
      </w:r>
      <w:r w:rsidRPr="00F046B6">
        <w:rPr>
          <w:rFonts w:cs="Times New Roman"/>
          <w:i/>
          <w:noProof/>
          <w:sz w:val="22"/>
          <w:szCs w:val="22"/>
        </w:rPr>
        <w:t xml:space="preserve"> prices)</w:t>
      </w:r>
    </w:p>
    <w:tbl>
      <w:tblPr>
        <w:tblW w:w="5000" w:type="pct"/>
        <w:tblLook w:val="04A0" w:firstRow="1" w:lastRow="0" w:firstColumn="1" w:lastColumn="0" w:noHBand="0" w:noVBand="1"/>
      </w:tblPr>
      <w:tblGrid>
        <w:gridCol w:w="5365"/>
        <w:gridCol w:w="1060"/>
        <w:gridCol w:w="1060"/>
        <w:gridCol w:w="1060"/>
        <w:gridCol w:w="1058"/>
      </w:tblGrid>
      <w:tr w:rsidR="00080C8F" w14:paraId="067014FC" w14:textId="77777777" w:rsidTr="00080C8F">
        <w:trPr>
          <w:trHeight w:val="255"/>
        </w:trPr>
        <w:tc>
          <w:tcPr>
            <w:tcW w:w="2793" w:type="pct"/>
            <w:tcBorders>
              <w:top w:val="single" w:sz="4" w:space="0" w:color="auto"/>
              <w:left w:val="single" w:sz="4" w:space="0" w:color="auto"/>
              <w:bottom w:val="single" w:sz="4" w:space="0" w:color="auto"/>
              <w:right w:val="single" w:sz="4" w:space="0" w:color="auto"/>
            </w:tcBorders>
            <w:shd w:val="clear" w:color="000000" w:fill="0070C0"/>
            <w:hideMark/>
          </w:tcPr>
          <w:p w14:paraId="790385D9" w14:textId="77777777" w:rsidR="00907A1C" w:rsidRDefault="00907A1C">
            <w:pPr>
              <w:rPr>
                <w:b/>
                <w:bCs/>
                <w:noProof/>
                <w:color w:val="FFFFFF"/>
                <w:sz w:val="20"/>
                <w:szCs w:val="20"/>
              </w:rPr>
            </w:pPr>
            <w:r>
              <w:rPr>
                <w:b/>
                <w:bCs/>
                <w:noProof/>
                <w:color w:val="FFFFFF"/>
                <w:sz w:val="20"/>
                <w:szCs w:val="20"/>
              </w:rPr>
              <w:t> </w:t>
            </w:r>
          </w:p>
        </w:tc>
        <w:tc>
          <w:tcPr>
            <w:tcW w:w="552" w:type="pct"/>
            <w:tcBorders>
              <w:top w:val="single" w:sz="4" w:space="0" w:color="auto"/>
              <w:left w:val="nil"/>
              <w:bottom w:val="single" w:sz="4" w:space="0" w:color="auto"/>
              <w:right w:val="single" w:sz="4" w:space="0" w:color="auto"/>
            </w:tcBorders>
            <w:shd w:val="clear" w:color="000000" w:fill="0070C0"/>
            <w:hideMark/>
          </w:tcPr>
          <w:p w14:paraId="1732DB82" w14:textId="77777777" w:rsidR="00907A1C" w:rsidRDefault="00907A1C">
            <w:pPr>
              <w:jc w:val="center"/>
              <w:rPr>
                <w:b/>
                <w:bCs/>
                <w:noProof/>
                <w:color w:val="FFFFFF"/>
                <w:sz w:val="20"/>
                <w:szCs w:val="20"/>
              </w:rPr>
            </w:pPr>
            <w:r>
              <w:rPr>
                <w:b/>
                <w:bCs/>
                <w:noProof/>
                <w:color w:val="FFFFFF"/>
                <w:sz w:val="20"/>
                <w:szCs w:val="20"/>
              </w:rPr>
              <w:t>PO1</w:t>
            </w:r>
          </w:p>
        </w:tc>
        <w:tc>
          <w:tcPr>
            <w:tcW w:w="552" w:type="pct"/>
            <w:tcBorders>
              <w:top w:val="single" w:sz="4" w:space="0" w:color="auto"/>
              <w:left w:val="nil"/>
              <w:bottom w:val="single" w:sz="4" w:space="0" w:color="auto"/>
              <w:right w:val="single" w:sz="4" w:space="0" w:color="auto"/>
            </w:tcBorders>
            <w:shd w:val="clear" w:color="000000" w:fill="0070C0"/>
            <w:hideMark/>
          </w:tcPr>
          <w:p w14:paraId="151BBF81" w14:textId="77777777" w:rsidR="00907A1C" w:rsidRDefault="00907A1C">
            <w:pPr>
              <w:jc w:val="center"/>
              <w:rPr>
                <w:b/>
                <w:bCs/>
                <w:noProof/>
                <w:color w:val="FFFFFF"/>
                <w:sz w:val="20"/>
                <w:szCs w:val="20"/>
              </w:rPr>
            </w:pPr>
            <w:r>
              <w:rPr>
                <w:b/>
                <w:bCs/>
                <w:noProof/>
                <w:color w:val="FFFFFF"/>
                <w:sz w:val="20"/>
                <w:szCs w:val="20"/>
              </w:rPr>
              <w:t>PO2</w:t>
            </w:r>
          </w:p>
        </w:tc>
        <w:tc>
          <w:tcPr>
            <w:tcW w:w="552" w:type="pct"/>
            <w:tcBorders>
              <w:top w:val="single" w:sz="4" w:space="0" w:color="auto"/>
              <w:left w:val="nil"/>
              <w:bottom w:val="single" w:sz="4" w:space="0" w:color="auto"/>
              <w:right w:val="single" w:sz="4" w:space="0" w:color="auto"/>
            </w:tcBorders>
            <w:shd w:val="clear" w:color="000000" w:fill="0070C0"/>
            <w:hideMark/>
          </w:tcPr>
          <w:p w14:paraId="648E70F5" w14:textId="77777777" w:rsidR="00907A1C" w:rsidRDefault="00907A1C">
            <w:pPr>
              <w:jc w:val="center"/>
              <w:rPr>
                <w:b/>
                <w:bCs/>
                <w:noProof/>
                <w:color w:val="FFFFFF"/>
                <w:sz w:val="20"/>
                <w:szCs w:val="20"/>
              </w:rPr>
            </w:pPr>
            <w:r>
              <w:rPr>
                <w:b/>
                <w:bCs/>
                <w:noProof/>
                <w:color w:val="FFFFFF"/>
                <w:sz w:val="20"/>
                <w:szCs w:val="20"/>
              </w:rPr>
              <w:t>PO3</w:t>
            </w:r>
          </w:p>
        </w:tc>
        <w:tc>
          <w:tcPr>
            <w:tcW w:w="552" w:type="pct"/>
            <w:tcBorders>
              <w:top w:val="single" w:sz="4" w:space="0" w:color="auto"/>
              <w:left w:val="nil"/>
              <w:bottom w:val="single" w:sz="4" w:space="0" w:color="auto"/>
              <w:right w:val="single" w:sz="4" w:space="0" w:color="auto"/>
            </w:tcBorders>
            <w:shd w:val="clear" w:color="000000" w:fill="0070C0"/>
            <w:hideMark/>
          </w:tcPr>
          <w:p w14:paraId="47905094" w14:textId="77777777" w:rsidR="00907A1C" w:rsidRDefault="00907A1C">
            <w:pPr>
              <w:jc w:val="center"/>
              <w:rPr>
                <w:b/>
                <w:bCs/>
                <w:noProof/>
                <w:color w:val="FFFFFF"/>
                <w:sz w:val="20"/>
                <w:szCs w:val="20"/>
              </w:rPr>
            </w:pPr>
            <w:r>
              <w:rPr>
                <w:b/>
                <w:bCs/>
                <w:noProof/>
                <w:color w:val="FFFFFF"/>
                <w:sz w:val="20"/>
                <w:szCs w:val="20"/>
              </w:rPr>
              <w:t>PO4</w:t>
            </w:r>
          </w:p>
        </w:tc>
      </w:tr>
      <w:tr w:rsidR="00DF7708" w14:paraId="53A400FA"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BDE3FF"/>
            <w:noWrap/>
            <w:hideMark/>
          </w:tcPr>
          <w:p w14:paraId="14E1CB83" w14:textId="77777777" w:rsidR="00907A1C" w:rsidRDefault="00907A1C">
            <w:pPr>
              <w:rPr>
                <w:b/>
                <w:bCs/>
                <w:noProof/>
                <w:color w:val="000000"/>
                <w:sz w:val="20"/>
                <w:szCs w:val="20"/>
              </w:rPr>
            </w:pPr>
            <w:r>
              <w:rPr>
                <w:b/>
                <w:bCs/>
                <w:noProof/>
                <w:color w:val="000000"/>
                <w:sz w:val="20"/>
                <w:szCs w:val="20"/>
              </w:rPr>
              <w:t>Base case</w:t>
            </w:r>
          </w:p>
        </w:tc>
        <w:tc>
          <w:tcPr>
            <w:tcW w:w="552" w:type="pct"/>
            <w:tcBorders>
              <w:top w:val="nil"/>
              <w:left w:val="nil"/>
              <w:bottom w:val="single" w:sz="4" w:space="0" w:color="auto"/>
              <w:right w:val="single" w:sz="4" w:space="0" w:color="auto"/>
            </w:tcBorders>
            <w:shd w:val="clear" w:color="000000" w:fill="BDE3FF"/>
            <w:noWrap/>
            <w:hideMark/>
          </w:tcPr>
          <w:p w14:paraId="35490A67" w14:textId="77777777" w:rsidR="00907A1C" w:rsidRDefault="00907A1C">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4E20D288" w14:textId="77777777" w:rsidR="00907A1C" w:rsidRDefault="00907A1C">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5C397F53" w14:textId="77777777" w:rsidR="00907A1C" w:rsidRDefault="00907A1C">
            <w:pPr>
              <w:rPr>
                <w:noProof/>
                <w:color w:val="000000"/>
                <w:sz w:val="20"/>
                <w:szCs w:val="20"/>
              </w:rPr>
            </w:pPr>
            <w:r>
              <w:rPr>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24D67DC7" w14:textId="77777777" w:rsidR="00907A1C" w:rsidRDefault="00907A1C">
            <w:pPr>
              <w:rPr>
                <w:noProof/>
                <w:color w:val="000000"/>
                <w:sz w:val="20"/>
                <w:szCs w:val="20"/>
              </w:rPr>
            </w:pPr>
            <w:r>
              <w:rPr>
                <w:noProof/>
                <w:color w:val="000000"/>
                <w:sz w:val="20"/>
                <w:szCs w:val="20"/>
              </w:rPr>
              <w:t> </w:t>
            </w:r>
          </w:p>
        </w:tc>
      </w:tr>
      <w:tr w:rsidR="00DF7708" w14:paraId="65E0CF04"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FFFFFF"/>
            <w:noWrap/>
            <w:hideMark/>
          </w:tcPr>
          <w:p w14:paraId="55C64DD0" w14:textId="77777777" w:rsidR="00907A1C" w:rsidRDefault="00907A1C">
            <w:pPr>
              <w:rPr>
                <w:noProof/>
                <w:color w:val="000000"/>
                <w:sz w:val="20"/>
                <w:szCs w:val="20"/>
              </w:rPr>
            </w:pPr>
            <w:r>
              <w:rPr>
                <w:noProof/>
                <w:color w:val="000000"/>
                <w:sz w:val="20"/>
                <w:szCs w:val="20"/>
              </w:rPr>
              <w:t>Total costs</w:t>
            </w:r>
          </w:p>
        </w:tc>
        <w:tc>
          <w:tcPr>
            <w:tcW w:w="552" w:type="pct"/>
            <w:tcBorders>
              <w:top w:val="nil"/>
              <w:left w:val="nil"/>
              <w:bottom w:val="single" w:sz="4" w:space="0" w:color="auto"/>
              <w:right w:val="single" w:sz="4" w:space="0" w:color="auto"/>
            </w:tcBorders>
            <w:shd w:val="clear" w:color="000000" w:fill="FFFFFF"/>
            <w:noWrap/>
            <w:hideMark/>
          </w:tcPr>
          <w:p w14:paraId="33A3F9FB" w14:textId="77777777" w:rsidR="00907A1C" w:rsidRDefault="00907A1C">
            <w:pPr>
              <w:jc w:val="right"/>
              <w:rPr>
                <w:noProof/>
                <w:color w:val="000000"/>
                <w:sz w:val="20"/>
                <w:szCs w:val="20"/>
              </w:rPr>
            </w:pPr>
            <w:r>
              <w:rPr>
                <w:noProof/>
                <w:color w:val="000000"/>
                <w:sz w:val="20"/>
                <w:szCs w:val="20"/>
              </w:rPr>
              <w:t>234.1</w:t>
            </w:r>
          </w:p>
        </w:tc>
        <w:tc>
          <w:tcPr>
            <w:tcW w:w="552" w:type="pct"/>
            <w:tcBorders>
              <w:top w:val="nil"/>
              <w:left w:val="nil"/>
              <w:bottom w:val="single" w:sz="4" w:space="0" w:color="auto"/>
              <w:right w:val="single" w:sz="4" w:space="0" w:color="auto"/>
            </w:tcBorders>
            <w:shd w:val="clear" w:color="000000" w:fill="FFFFFF"/>
            <w:noWrap/>
            <w:hideMark/>
          </w:tcPr>
          <w:p w14:paraId="34B9EEB9" w14:textId="77777777" w:rsidR="00907A1C" w:rsidRDefault="00907A1C">
            <w:pPr>
              <w:jc w:val="right"/>
              <w:rPr>
                <w:noProof/>
                <w:color w:val="000000"/>
                <w:sz w:val="20"/>
                <w:szCs w:val="20"/>
              </w:rPr>
            </w:pPr>
            <w:r>
              <w:rPr>
                <w:noProof/>
                <w:color w:val="000000"/>
                <w:sz w:val="20"/>
                <w:szCs w:val="20"/>
              </w:rPr>
              <w:t>317.0</w:t>
            </w:r>
          </w:p>
        </w:tc>
        <w:tc>
          <w:tcPr>
            <w:tcW w:w="552" w:type="pct"/>
            <w:tcBorders>
              <w:top w:val="nil"/>
              <w:left w:val="nil"/>
              <w:bottom w:val="single" w:sz="4" w:space="0" w:color="auto"/>
              <w:right w:val="single" w:sz="4" w:space="0" w:color="auto"/>
            </w:tcBorders>
            <w:shd w:val="clear" w:color="000000" w:fill="FFFFFF"/>
            <w:noWrap/>
            <w:hideMark/>
          </w:tcPr>
          <w:p w14:paraId="5C07EF32" w14:textId="77777777" w:rsidR="00907A1C" w:rsidRDefault="00907A1C">
            <w:pPr>
              <w:jc w:val="right"/>
              <w:rPr>
                <w:noProof/>
                <w:color w:val="000000"/>
                <w:sz w:val="20"/>
                <w:szCs w:val="20"/>
              </w:rPr>
            </w:pPr>
            <w:r>
              <w:rPr>
                <w:noProof/>
                <w:color w:val="000000"/>
                <w:sz w:val="20"/>
                <w:szCs w:val="20"/>
              </w:rPr>
              <w:t>305.6</w:t>
            </w:r>
          </w:p>
        </w:tc>
        <w:tc>
          <w:tcPr>
            <w:tcW w:w="552" w:type="pct"/>
            <w:tcBorders>
              <w:top w:val="nil"/>
              <w:left w:val="nil"/>
              <w:bottom w:val="single" w:sz="4" w:space="0" w:color="auto"/>
              <w:right w:val="single" w:sz="4" w:space="0" w:color="auto"/>
            </w:tcBorders>
            <w:shd w:val="clear" w:color="000000" w:fill="FFFFFF"/>
            <w:noWrap/>
            <w:hideMark/>
          </w:tcPr>
          <w:p w14:paraId="37702FA6" w14:textId="77777777" w:rsidR="00907A1C" w:rsidRDefault="00907A1C">
            <w:pPr>
              <w:jc w:val="right"/>
              <w:rPr>
                <w:noProof/>
                <w:color w:val="000000"/>
                <w:sz w:val="20"/>
                <w:szCs w:val="20"/>
              </w:rPr>
            </w:pPr>
            <w:r>
              <w:rPr>
                <w:noProof/>
                <w:color w:val="000000"/>
                <w:sz w:val="20"/>
                <w:szCs w:val="20"/>
              </w:rPr>
              <w:t>468.6</w:t>
            </w:r>
          </w:p>
        </w:tc>
      </w:tr>
      <w:tr w:rsidR="00DF7708" w14:paraId="614D8520"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FFFFFF"/>
            <w:noWrap/>
            <w:hideMark/>
          </w:tcPr>
          <w:p w14:paraId="7C72B2E0" w14:textId="77777777" w:rsidR="00907A1C" w:rsidRDefault="00907A1C">
            <w:pPr>
              <w:rPr>
                <w:noProof/>
                <w:color w:val="000000"/>
                <w:sz w:val="20"/>
                <w:szCs w:val="20"/>
              </w:rPr>
            </w:pPr>
            <w:r>
              <w:rPr>
                <w:noProof/>
                <w:color w:val="000000"/>
                <w:sz w:val="20"/>
                <w:szCs w:val="20"/>
              </w:rPr>
              <w:t>Total benefits</w:t>
            </w:r>
          </w:p>
        </w:tc>
        <w:tc>
          <w:tcPr>
            <w:tcW w:w="552" w:type="pct"/>
            <w:tcBorders>
              <w:top w:val="nil"/>
              <w:left w:val="nil"/>
              <w:bottom w:val="single" w:sz="4" w:space="0" w:color="auto"/>
              <w:right w:val="single" w:sz="4" w:space="0" w:color="auto"/>
            </w:tcBorders>
            <w:shd w:val="clear" w:color="000000" w:fill="FFFFFF"/>
            <w:noWrap/>
            <w:hideMark/>
          </w:tcPr>
          <w:p w14:paraId="57454731" w14:textId="77777777" w:rsidR="00907A1C" w:rsidRDefault="00907A1C">
            <w:pPr>
              <w:jc w:val="right"/>
              <w:rPr>
                <w:noProof/>
                <w:color w:val="000000"/>
                <w:sz w:val="20"/>
                <w:szCs w:val="20"/>
              </w:rPr>
            </w:pPr>
            <w:r>
              <w:rPr>
                <w:noProof/>
                <w:color w:val="000000"/>
                <w:sz w:val="20"/>
                <w:szCs w:val="20"/>
              </w:rPr>
              <w:t>12,710.7</w:t>
            </w:r>
          </w:p>
        </w:tc>
        <w:tc>
          <w:tcPr>
            <w:tcW w:w="552" w:type="pct"/>
            <w:tcBorders>
              <w:top w:val="nil"/>
              <w:left w:val="nil"/>
              <w:bottom w:val="single" w:sz="4" w:space="0" w:color="auto"/>
              <w:right w:val="single" w:sz="4" w:space="0" w:color="auto"/>
            </w:tcBorders>
            <w:shd w:val="clear" w:color="000000" w:fill="FFFFFF"/>
            <w:noWrap/>
            <w:hideMark/>
          </w:tcPr>
          <w:p w14:paraId="17C8FA8B" w14:textId="77777777" w:rsidR="00907A1C" w:rsidRDefault="00907A1C">
            <w:pPr>
              <w:jc w:val="right"/>
              <w:rPr>
                <w:noProof/>
                <w:color w:val="000000"/>
                <w:sz w:val="20"/>
                <w:szCs w:val="20"/>
              </w:rPr>
            </w:pPr>
            <w:r>
              <w:rPr>
                <w:noProof/>
                <w:color w:val="000000"/>
                <w:sz w:val="20"/>
                <w:szCs w:val="20"/>
              </w:rPr>
              <w:t>26,117.9</w:t>
            </w:r>
          </w:p>
        </w:tc>
        <w:tc>
          <w:tcPr>
            <w:tcW w:w="552" w:type="pct"/>
            <w:tcBorders>
              <w:top w:val="nil"/>
              <w:left w:val="nil"/>
              <w:bottom w:val="single" w:sz="4" w:space="0" w:color="auto"/>
              <w:right w:val="single" w:sz="4" w:space="0" w:color="auto"/>
            </w:tcBorders>
            <w:shd w:val="clear" w:color="000000" w:fill="FFFFFF"/>
            <w:noWrap/>
            <w:hideMark/>
          </w:tcPr>
          <w:p w14:paraId="144074E0" w14:textId="77777777" w:rsidR="00907A1C" w:rsidRDefault="00907A1C">
            <w:pPr>
              <w:jc w:val="right"/>
              <w:rPr>
                <w:noProof/>
                <w:color w:val="000000"/>
                <w:sz w:val="20"/>
                <w:szCs w:val="20"/>
              </w:rPr>
            </w:pPr>
            <w:r>
              <w:rPr>
                <w:noProof/>
                <w:color w:val="000000"/>
                <w:sz w:val="20"/>
                <w:szCs w:val="20"/>
              </w:rPr>
              <w:t>37,596.7</w:t>
            </w:r>
          </w:p>
        </w:tc>
        <w:tc>
          <w:tcPr>
            <w:tcW w:w="552" w:type="pct"/>
            <w:tcBorders>
              <w:top w:val="nil"/>
              <w:left w:val="nil"/>
              <w:bottom w:val="single" w:sz="4" w:space="0" w:color="auto"/>
              <w:right w:val="single" w:sz="4" w:space="0" w:color="auto"/>
            </w:tcBorders>
            <w:shd w:val="clear" w:color="000000" w:fill="FFFFFF"/>
            <w:noWrap/>
            <w:hideMark/>
          </w:tcPr>
          <w:p w14:paraId="07D068B4" w14:textId="77777777" w:rsidR="00907A1C" w:rsidRDefault="00907A1C">
            <w:pPr>
              <w:jc w:val="right"/>
              <w:rPr>
                <w:noProof/>
                <w:color w:val="000000"/>
                <w:sz w:val="20"/>
                <w:szCs w:val="20"/>
              </w:rPr>
            </w:pPr>
            <w:r>
              <w:rPr>
                <w:noProof/>
                <w:color w:val="000000"/>
                <w:sz w:val="20"/>
                <w:szCs w:val="20"/>
              </w:rPr>
              <w:t>28,929.8</w:t>
            </w:r>
          </w:p>
        </w:tc>
      </w:tr>
      <w:tr w:rsidR="00DF7708" w14:paraId="0423BDBE"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FFFFFF"/>
            <w:noWrap/>
            <w:hideMark/>
          </w:tcPr>
          <w:p w14:paraId="75F8FE41" w14:textId="77777777" w:rsidR="00907A1C" w:rsidRDefault="00907A1C">
            <w:pPr>
              <w:rPr>
                <w:noProof/>
                <w:color w:val="000000"/>
                <w:sz w:val="20"/>
                <w:szCs w:val="20"/>
              </w:rPr>
            </w:pPr>
            <w:r>
              <w:rPr>
                <w:noProof/>
                <w:color w:val="000000"/>
                <w:sz w:val="20"/>
                <w:szCs w:val="20"/>
              </w:rPr>
              <w:t>Net benefits</w:t>
            </w:r>
          </w:p>
        </w:tc>
        <w:tc>
          <w:tcPr>
            <w:tcW w:w="552" w:type="pct"/>
            <w:tcBorders>
              <w:top w:val="nil"/>
              <w:left w:val="nil"/>
              <w:bottom w:val="single" w:sz="4" w:space="0" w:color="auto"/>
              <w:right w:val="single" w:sz="4" w:space="0" w:color="auto"/>
            </w:tcBorders>
            <w:shd w:val="clear" w:color="000000" w:fill="FFFFFF"/>
            <w:noWrap/>
            <w:hideMark/>
          </w:tcPr>
          <w:p w14:paraId="6C3EF773" w14:textId="77777777" w:rsidR="00907A1C" w:rsidRDefault="00907A1C">
            <w:pPr>
              <w:jc w:val="right"/>
              <w:rPr>
                <w:noProof/>
                <w:color w:val="000000"/>
                <w:sz w:val="20"/>
                <w:szCs w:val="20"/>
              </w:rPr>
            </w:pPr>
            <w:r>
              <w:rPr>
                <w:noProof/>
                <w:color w:val="000000"/>
                <w:sz w:val="20"/>
                <w:szCs w:val="20"/>
              </w:rPr>
              <w:t>12,476.7</w:t>
            </w:r>
          </w:p>
        </w:tc>
        <w:tc>
          <w:tcPr>
            <w:tcW w:w="552" w:type="pct"/>
            <w:tcBorders>
              <w:top w:val="nil"/>
              <w:left w:val="nil"/>
              <w:bottom w:val="single" w:sz="4" w:space="0" w:color="auto"/>
              <w:right w:val="single" w:sz="4" w:space="0" w:color="auto"/>
            </w:tcBorders>
            <w:shd w:val="clear" w:color="000000" w:fill="FFFFFF"/>
            <w:noWrap/>
            <w:hideMark/>
          </w:tcPr>
          <w:p w14:paraId="46A7F016" w14:textId="77777777" w:rsidR="00907A1C" w:rsidRDefault="00907A1C">
            <w:pPr>
              <w:jc w:val="right"/>
              <w:rPr>
                <w:noProof/>
                <w:color w:val="000000"/>
                <w:sz w:val="20"/>
                <w:szCs w:val="20"/>
              </w:rPr>
            </w:pPr>
            <w:r>
              <w:rPr>
                <w:noProof/>
                <w:color w:val="000000"/>
                <w:sz w:val="20"/>
                <w:szCs w:val="20"/>
              </w:rPr>
              <w:t>25,800.9</w:t>
            </w:r>
          </w:p>
        </w:tc>
        <w:tc>
          <w:tcPr>
            <w:tcW w:w="552" w:type="pct"/>
            <w:tcBorders>
              <w:top w:val="nil"/>
              <w:left w:val="nil"/>
              <w:bottom w:val="single" w:sz="4" w:space="0" w:color="auto"/>
              <w:right w:val="single" w:sz="4" w:space="0" w:color="auto"/>
            </w:tcBorders>
            <w:shd w:val="clear" w:color="000000" w:fill="FFFFFF"/>
            <w:noWrap/>
            <w:hideMark/>
          </w:tcPr>
          <w:p w14:paraId="33B258D4" w14:textId="77777777" w:rsidR="00907A1C" w:rsidRDefault="00907A1C">
            <w:pPr>
              <w:jc w:val="right"/>
              <w:rPr>
                <w:noProof/>
                <w:color w:val="000000"/>
                <w:sz w:val="20"/>
                <w:szCs w:val="20"/>
              </w:rPr>
            </w:pPr>
            <w:r>
              <w:rPr>
                <w:noProof/>
                <w:color w:val="000000"/>
                <w:sz w:val="20"/>
                <w:szCs w:val="20"/>
              </w:rPr>
              <w:t>37,291.1</w:t>
            </w:r>
          </w:p>
        </w:tc>
        <w:tc>
          <w:tcPr>
            <w:tcW w:w="552" w:type="pct"/>
            <w:tcBorders>
              <w:top w:val="nil"/>
              <w:left w:val="nil"/>
              <w:bottom w:val="single" w:sz="4" w:space="0" w:color="auto"/>
              <w:right w:val="single" w:sz="4" w:space="0" w:color="auto"/>
            </w:tcBorders>
            <w:shd w:val="clear" w:color="000000" w:fill="FFFFFF"/>
            <w:noWrap/>
            <w:hideMark/>
          </w:tcPr>
          <w:p w14:paraId="5C0698E0" w14:textId="77777777" w:rsidR="00907A1C" w:rsidRDefault="00907A1C">
            <w:pPr>
              <w:jc w:val="right"/>
              <w:rPr>
                <w:noProof/>
                <w:color w:val="000000"/>
                <w:sz w:val="20"/>
                <w:szCs w:val="20"/>
              </w:rPr>
            </w:pPr>
            <w:r>
              <w:rPr>
                <w:noProof/>
                <w:color w:val="000000"/>
                <w:sz w:val="20"/>
                <w:szCs w:val="20"/>
              </w:rPr>
              <w:t>28,461.3</w:t>
            </w:r>
          </w:p>
        </w:tc>
      </w:tr>
      <w:tr w:rsidR="00DF7708" w14:paraId="5A323F2A"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FFFFFF"/>
            <w:noWrap/>
            <w:hideMark/>
          </w:tcPr>
          <w:p w14:paraId="6A32D8DE" w14:textId="77777777" w:rsidR="00907A1C" w:rsidRDefault="00907A1C">
            <w:pPr>
              <w:rPr>
                <w:noProof/>
                <w:color w:val="000000"/>
                <w:sz w:val="20"/>
                <w:szCs w:val="20"/>
              </w:rPr>
            </w:pPr>
            <w:r>
              <w:rPr>
                <w:noProof/>
                <w:color w:val="000000"/>
                <w:sz w:val="20"/>
                <w:szCs w:val="20"/>
              </w:rPr>
              <w:t>Benefits to costs ratio</w:t>
            </w:r>
          </w:p>
        </w:tc>
        <w:tc>
          <w:tcPr>
            <w:tcW w:w="552" w:type="pct"/>
            <w:tcBorders>
              <w:top w:val="nil"/>
              <w:left w:val="nil"/>
              <w:bottom w:val="single" w:sz="4" w:space="0" w:color="auto"/>
              <w:right w:val="single" w:sz="4" w:space="0" w:color="auto"/>
            </w:tcBorders>
            <w:shd w:val="clear" w:color="000000" w:fill="FFFFFF"/>
            <w:noWrap/>
            <w:hideMark/>
          </w:tcPr>
          <w:p w14:paraId="3BB6BB5A" w14:textId="77777777" w:rsidR="00907A1C" w:rsidRDefault="00907A1C">
            <w:pPr>
              <w:jc w:val="right"/>
              <w:rPr>
                <w:noProof/>
                <w:color w:val="000000"/>
                <w:sz w:val="20"/>
                <w:szCs w:val="20"/>
              </w:rPr>
            </w:pPr>
            <w:r>
              <w:rPr>
                <w:noProof/>
                <w:color w:val="000000"/>
                <w:sz w:val="20"/>
                <w:szCs w:val="20"/>
              </w:rPr>
              <w:t>54.3</w:t>
            </w:r>
          </w:p>
        </w:tc>
        <w:tc>
          <w:tcPr>
            <w:tcW w:w="552" w:type="pct"/>
            <w:tcBorders>
              <w:top w:val="nil"/>
              <w:left w:val="nil"/>
              <w:bottom w:val="single" w:sz="4" w:space="0" w:color="auto"/>
              <w:right w:val="single" w:sz="4" w:space="0" w:color="auto"/>
            </w:tcBorders>
            <w:shd w:val="clear" w:color="000000" w:fill="FFFFFF"/>
            <w:noWrap/>
            <w:hideMark/>
          </w:tcPr>
          <w:p w14:paraId="6C3E4B74" w14:textId="77777777" w:rsidR="00907A1C" w:rsidRDefault="00907A1C">
            <w:pPr>
              <w:jc w:val="right"/>
              <w:rPr>
                <w:noProof/>
                <w:color w:val="000000"/>
                <w:sz w:val="20"/>
                <w:szCs w:val="20"/>
              </w:rPr>
            </w:pPr>
            <w:r>
              <w:rPr>
                <w:noProof/>
                <w:color w:val="000000"/>
                <w:sz w:val="20"/>
                <w:szCs w:val="20"/>
              </w:rPr>
              <w:t>82.4</w:t>
            </w:r>
          </w:p>
        </w:tc>
        <w:tc>
          <w:tcPr>
            <w:tcW w:w="552" w:type="pct"/>
            <w:tcBorders>
              <w:top w:val="nil"/>
              <w:left w:val="nil"/>
              <w:bottom w:val="single" w:sz="4" w:space="0" w:color="auto"/>
              <w:right w:val="single" w:sz="4" w:space="0" w:color="auto"/>
            </w:tcBorders>
            <w:shd w:val="clear" w:color="000000" w:fill="FFFFFF"/>
            <w:noWrap/>
            <w:hideMark/>
          </w:tcPr>
          <w:p w14:paraId="2CE1803A" w14:textId="77777777" w:rsidR="00907A1C" w:rsidRDefault="00907A1C">
            <w:pPr>
              <w:jc w:val="right"/>
              <w:rPr>
                <w:noProof/>
                <w:color w:val="000000"/>
                <w:sz w:val="20"/>
                <w:szCs w:val="20"/>
              </w:rPr>
            </w:pPr>
            <w:r>
              <w:rPr>
                <w:noProof/>
                <w:color w:val="000000"/>
                <w:sz w:val="20"/>
                <w:szCs w:val="20"/>
              </w:rPr>
              <w:t>123.0</w:t>
            </w:r>
          </w:p>
        </w:tc>
        <w:tc>
          <w:tcPr>
            <w:tcW w:w="552" w:type="pct"/>
            <w:tcBorders>
              <w:top w:val="nil"/>
              <w:left w:val="nil"/>
              <w:bottom w:val="single" w:sz="4" w:space="0" w:color="auto"/>
              <w:right w:val="single" w:sz="4" w:space="0" w:color="auto"/>
            </w:tcBorders>
            <w:shd w:val="clear" w:color="000000" w:fill="FFFFFF"/>
            <w:noWrap/>
            <w:hideMark/>
          </w:tcPr>
          <w:p w14:paraId="6200F7E0" w14:textId="77777777" w:rsidR="00907A1C" w:rsidRDefault="00907A1C">
            <w:pPr>
              <w:jc w:val="right"/>
              <w:rPr>
                <w:noProof/>
                <w:color w:val="000000"/>
                <w:sz w:val="20"/>
                <w:szCs w:val="20"/>
              </w:rPr>
            </w:pPr>
            <w:r>
              <w:rPr>
                <w:noProof/>
                <w:color w:val="000000"/>
                <w:sz w:val="20"/>
                <w:szCs w:val="20"/>
              </w:rPr>
              <w:t>61.7</w:t>
            </w:r>
          </w:p>
        </w:tc>
      </w:tr>
      <w:tr w:rsidR="00DF7708" w14:paraId="0256670E"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BDE3FF"/>
            <w:noWrap/>
            <w:hideMark/>
          </w:tcPr>
          <w:p w14:paraId="54AE1296" w14:textId="77777777" w:rsidR="00907A1C" w:rsidRDefault="00907A1C">
            <w:pPr>
              <w:rPr>
                <w:b/>
                <w:bCs/>
                <w:noProof/>
                <w:color w:val="000000"/>
                <w:sz w:val="20"/>
                <w:szCs w:val="20"/>
              </w:rPr>
            </w:pPr>
            <w:r>
              <w:rPr>
                <w:b/>
                <w:bCs/>
                <w:noProof/>
                <w:color w:val="000000"/>
                <w:sz w:val="20"/>
                <w:szCs w:val="20"/>
              </w:rPr>
              <w:t>Low SMP threshold case</w:t>
            </w:r>
          </w:p>
        </w:tc>
        <w:tc>
          <w:tcPr>
            <w:tcW w:w="552" w:type="pct"/>
            <w:tcBorders>
              <w:top w:val="nil"/>
              <w:left w:val="nil"/>
              <w:bottom w:val="single" w:sz="4" w:space="0" w:color="auto"/>
              <w:right w:val="single" w:sz="4" w:space="0" w:color="auto"/>
            </w:tcBorders>
            <w:shd w:val="clear" w:color="000000" w:fill="BDE3FF"/>
            <w:noWrap/>
            <w:hideMark/>
          </w:tcPr>
          <w:p w14:paraId="350BE6A6" w14:textId="77777777" w:rsidR="00907A1C" w:rsidRDefault="00907A1C">
            <w:pPr>
              <w:rPr>
                <w:b/>
                <w:bCs/>
                <w:noProof/>
                <w:color w:val="000000"/>
                <w:sz w:val="20"/>
                <w:szCs w:val="20"/>
              </w:rPr>
            </w:pPr>
            <w:r>
              <w:rPr>
                <w:b/>
                <w:bCs/>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249C4633" w14:textId="77777777" w:rsidR="00907A1C" w:rsidRDefault="00907A1C">
            <w:pPr>
              <w:rPr>
                <w:b/>
                <w:bCs/>
                <w:noProof/>
                <w:color w:val="000000"/>
                <w:sz w:val="20"/>
                <w:szCs w:val="20"/>
              </w:rPr>
            </w:pPr>
            <w:r>
              <w:rPr>
                <w:b/>
                <w:bCs/>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1A3DC87A" w14:textId="77777777" w:rsidR="00907A1C" w:rsidRDefault="00907A1C">
            <w:pPr>
              <w:rPr>
                <w:b/>
                <w:bCs/>
                <w:noProof/>
                <w:color w:val="000000"/>
                <w:sz w:val="20"/>
                <w:szCs w:val="20"/>
              </w:rPr>
            </w:pPr>
            <w:r>
              <w:rPr>
                <w:b/>
                <w:bCs/>
                <w:noProof/>
                <w:color w:val="000000"/>
                <w:sz w:val="20"/>
                <w:szCs w:val="20"/>
              </w:rPr>
              <w:t> </w:t>
            </w:r>
          </w:p>
        </w:tc>
        <w:tc>
          <w:tcPr>
            <w:tcW w:w="552" w:type="pct"/>
            <w:tcBorders>
              <w:top w:val="nil"/>
              <w:left w:val="nil"/>
              <w:bottom w:val="single" w:sz="4" w:space="0" w:color="auto"/>
              <w:right w:val="single" w:sz="4" w:space="0" w:color="auto"/>
            </w:tcBorders>
            <w:shd w:val="clear" w:color="000000" w:fill="BDE3FF"/>
            <w:noWrap/>
            <w:hideMark/>
          </w:tcPr>
          <w:p w14:paraId="4F40C1C4" w14:textId="77777777" w:rsidR="00907A1C" w:rsidRDefault="00907A1C">
            <w:pPr>
              <w:rPr>
                <w:b/>
                <w:bCs/>
                <w:noProof/>
                <w:color w:val="000000"/>
                <w:sz w:val="20"/>
                <w:szCs w:val="20"/>
              </w:rPr>
            </w:pPr>
            <w:r>
              <w:rPr>
                <w:b/>
                <w:bCs/>
                <w:noProof/>
                <w:color w:val="000000"/>
                <w:sz w:val="20"/>
                <w:szCs w:val="20"/>
              </w:rPr>
              <w:t> </w:t>
            </w:r>
          </w:p>
        </w:tc>
      </w:tr>
      <w:tr w:rsidR="00DF7708" w14:paraId="1BCBF0A2"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FFFFFF"/>
            <w:noWrap/>
            <w:hideMark/>
          </w:tcPr>
          <w:p w14:paraId="47BC3850" w14:textId="77777777" w:rsidR="00907A1C" w:rsidRDefault="00907A1C">
            <w:pPr>
              <w:rPr>
                <w:noProof/>
                <w:color w:val="000000"/>
                <w:sz w:val="20"/>
                <w:szCs w:val="20"/>
              </w:rPr>
            </w:pPr>
            <w:r>
              <w:rPr>
                <w:noProof/>
                <w:color w:val="000000"/>
                <w:sz w:val="20"/>
                <w:szCs w:val="20"/>
              </w:rPr>
              <w:t>Total costs</w:t>
            </w:r>
          </w:p>
        </w:tc>
        <w:tc>
          <w:tcPr>
            <w:tcW w:w="552" w:type="pct"/>
            <w:tcBorders>
              <w:top w:val="nil"/>
              <w:left w:val="nil"/>
              <w:bottom w:val="single" w:sz="4" w:space="0" w:color="auto"/>
              <w:right w:val="single" w:sz="4" w:space="0" w:color="auto"/>
            </w:tcBorders>
            <w:shd w:val="clear" w:color="000000" w:fill="FFFFFF"/>
            <w:noWrap/>
            <w:hideMark/>
          </w:tcPr>
          <w:p w14:paraId="1AC91FB2" w14:textId="77777777" w:rsidR="00907A1C" w:rsidRDefault="00907A1C">
            <w:pPr>
              <w:jc w:val="right"/>
              <w:rPr>
                <w:noProof/>
                <w:color w:val="000000"/>
                <w:sz w:val="20"/>
                <w:szCs w:val="20"/>
              </w:rPr>
            </w:pPr>
            <w:r>
              <w:rPr>
                <w:noProof/>
                <w:color w:val="000000"/>
                <w:sz w:val="20"/>
                <w:szCs w:val="20"/>
              </w:rPr>
              <w:t>234.4</w:t>
            </w:r>
          </w:p>
        </w:tc>
        <w:tc>
          <w:tcPr>
            <w:tcW w:w="552" w:type="pct"/>
            <w:tcBorders>
              <w:top w:val="nil"/>
              <w:left w:val="nil"/>
              <w:bottom w:val="single" w:sz="4" w:space="0" w:color="auto"/>
              <w:right w:val="single" w:sz="4" w:space="0" w:color="auto"/>
            </w:tcBorders>
            <w:shd w:val="clear" w:color="000000" w:fill="FFFFFF"/>
            <w:noWrap/>
            <w:hideMark/>
          </w:tcPr>
          <w:p w14:paraId="30D1B6D9" w14:textId="77777777" w:rsidR="00907A1C" w:rsidRDefault="00907A1C">
            <w:pPr>
              <w:jc w:val="right"/>
              <w:rPr>
                <w:noProof/>
                <w:color w:val="000000"/>
                <w:sz w:val="20"/>
                <w:szCs w:val="20"/>
              </w:rPr>
            </w:pPr>
            <w:r>
              <w:rPr>
                <w:noProof/>
                <w:color w:val="000000"/>
                <w:sz w:val="20"/>
                <w:szCs w:val="20"/>
              </w:rPr>
              <w:t>317.3</w:t>
            </w:r>
          </w:p>
        </w:tc>
        <w:tc>
          <w:tcPr>
            <w:tcW w:w="552" w:type="pct"/>
            <w:tcBorders>
              <w:top w:val="nil"/>
              <w:left w:val="nil"/>
              <w:bottom w:val="single" w:sz="4" w:space="0" w:color="auto"/>
              <w:right w:val="single" w:sz="4" w:space="0" w:color="auto"/>
            </w:tcBorders>
            <w:shd w:val="clear" w:color="000000" w:fill="FFFFFF"/>
            <w:noWrap/>
            <w:hideMark/>
          </w:tcPr>
          <w:p w14:paraId="78606BBC" w14:textId="77777777" w:rsidR="00907A1C" w:rsidRDefault="00907A1C">
            <w:pPr>
              <w:jc w:val="right"/>
              <w:rPr>
                <w:noProof/>
                <w:color w:val="000000"/>
                <w:sz w:val="20"/>
                <w:szCs w:val="20"/>
              </w:rPr>
            </w:pPr>
            <w:r>
              <w:rPr>
                <w:noProof/>
                <w:color w:val="000000"/>
                <w:sz w:val="20"/>
                <w:szCs w:val="20"/>
              </w:rPr>
              <w:t>306.0</w:t>
            </w:r>
          </w:p>
        </w:tc>
        <w:tc>
          <w:tcPr>
            <w:tcW w:w="552" w:type="pct"/>
            <w:tcBorders>
              <w:top w:val="nil"/>
              <w:left w:val="nil"/>
              <w:bottom w:val="single" w:sz="4" w:space="0" w:color="auto"/>
              <w:right w:val="single" w:sz="4" w:space="0" w:color="auto"/>
            </w:tcBorders>
            <w:shd w:val="clear" w:color="000000" w:fill="FFFFFF"/>
            <w:noWrap/>
            <w:hideMark/>
          </w:tcPr>
          <w:p w14:paraId="26120163" w14:textId="77777777" w:rsidR="00907A1C" w:rsidRDefault="00907A1C">
            <w:pPr>
              <w:jc w:val="right"/>
              <w:rPr>
                <w:noProof/>
                <w:color w:val="000000"/>
                <w:sz w:val="20"/>
                <w:szCs w:val="20"/>
              </w:rPr>
            </w:pPr>
            <w:r>
              <w:rPr>
                <w:noProof/>
                <w:color w:val="000000"/>
                <w:sz w:val="20"/>
                <w:szCs w:val="20"/>
              </w:rPr>
              <w:t>468.9</w:t>
            </w:r>
          </w:p>
        </w:tc>
      </w:tr>
      <w:tr w:rsidR="00DF7708" w14:paraId="27462862"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FFFFFF"/>
            <w:noWrap/>
            <w:hideMark/>
          </w:tcPr>
          <w:p w14:paraId="79DB3D22" w14:textId="77777777" w:rsidR="00907A1C" w:rsidRDefault="00907A1C">
            <w:pPr>
              <w:rPr>
                <w:noProof/>
                <w:color w:val="000000"/>
                <w:sz w:val="20"/>
                <w:szCs w:val="20"/>
              </w:rPr>
            </w:pPr>
            <w:r>
              <w:rPr>
                <w:noProof/>
                <w:color w:val="000000"/>
                <w:sz w:val="20"/>
                <w:szCs w:val="20"/>
              </w:rPr>
              <w:t>Total benefits</w:t>
            </w:r>
          </w:p>
        </w:tc>
        <w:tc>
          <w:tcPr>
            <w:tcW w:w="552" w:type="pct"/>
            <w:tcBorders>
              <w:top w:val="nil"/>
              <w:left w:val="nil"/>
              <w:bottom w:val="single" w:sz="4" w:space="0" w:color="auto"/>
              <w:right w:val="single" w:sz="4" w:space="0" w:color="auto"/>
            </w:tcBorders>
            <w:shd w:val="clear" w:color="000000" w:fill="FFFFFF"/>
            <w:noWrap/>
            <w:hideMark/>
          </w:tcPr>
          <w:p w14:paraId="6AC529B9" w14:textId="77777777" w:rsidR="00907A1C" w:rsidRDefault="00907A1C">
            <w:pPr>
              <w:jc w:val="right"/>
              <w:rPr>
                <w:noProof/>
                <w:color w:val="000000"/>
                <w:sz w:val="20"/>
                <w:szCs w:val="20"/>
              </w:rPr>
            </w:pPr>
            <w:r>
              <w:rPr>
                <w:noProof/>
                <w:color w:val="000000"/>
                <w:sz w:val="20"/>
                <w:szCs w:val="20"/>
              </w:rPr>
              <w:t>12,711.5</w:t>
            </w:r>
          </w:p>
        </w:tc>
        <w:tc>
          <w:tcPr>
            <w:tcW w:w="552" w:type="pct"/>
            <w:tcBorders>
              <w:top w:val="nil"/>
              <w:left w:val="nil"/>
              <w:bottom w:val="single" w:sz="4" w:space="0" w:color="auto"/>
              <w:right w:val="single" w:sz="4" w:space="0" w:color="auto"/>
            </w:tcBorders>
            <w:shd w:val="clear" w:color="000000" w:fill="FFFFFF"/>
            <w:noWrap/>
            <w:hideMark/>
          </w:tcPr>
          <w:p w14:paraId="28DE9F76" w14:textId="77777777" w:rsidR="00907A1C" w:rsidRDefault="00907A1C">
            <w:pPr>
              <w:jc w:val="right"/>
              <w:rPr>
                <w:noProof/>
                <w:color w:val="000000"/>
                <w:sz w:val="20"/>
                <w:szCs w:val="20"/>
              </w:rPr>
            </w:pPr>
            <w:r>
              <w:rPr>
                <w:noProof/>
                <w:color w:val="000000"/>
                <w:sz w:val="20"/>
                <w:szCs w:val="20"/>
              </w:rPr>
              <w:t>26,134.2</w:t>
            </w:r>
          </w:p>
        </w:tc>
        <w:tc>
          <w:tcPr>
            <w:tcW w:w="552" w:type="pct"/>
            <w:tcBorders>
              <w:top w:val="nil"/>
              <w:left w:val="nil"/>
              <w:bottom w:val="single" w:sz="4" w:space="0" w:color="auto"/>
              <w:right w:val="single" w:sz="4" w:space="0" w:color="auto"/>
            </w:tcBorders>
            <w:shd w:val="clear" w:color="000000" w:fill="FFFFFF"/>
            <w:noWrap/>
            <w:hideMark/>
          </w:tcPr>
          <w:p w14:paraId="7F983214" w14:textId="77777777" w:rsidR="00907A1C" w:rsidRDefault="00907A1C">
            <w:pPr>
              <w:jc w:val="right"/>
              <w:rPr>
                <w:noProof/>
                <w:color w:val="000000"/>
                <w:sz w:val="20"/>
                <w:szCs w:val="20"/>
              </w:rPr>
            </w:pPr>
            <w:r>
              <w:rPr>
                <w:noProof/>
                <w:color w:val="000000"/>
                <w:sz w:val="20"/>
                <w:szCs w:val="20"/>
              </w:rPr>
              <w:t>37,611.9</w:t>
            </w:r>
          </w:p>
        </w:tc>
        <w:tc>
          <w:tcPr>
            <w:tcW w:w="552" w:type="pct"/>
            <w:tcBorders>
              <w:top w:val="nil"/>
              <w:left w:val="nil"/>
              <w:bottom w:val="single" w:sz="4" w:space="0" w:color="auto"/>
              <w:right w:val="single" w:sz="4" w:space="0" w:color="auto"/>
            </w:tcBorders>
            <w:shd w:val="clear" w:color="000000" w:fill="FFFFFF"/>
            <w:noWrap/>
            <w:hideMark/>
          </w:tcPr>
          <w:p w14:paraId="0CC61CA9" w14:textId="77777777" w:rsidR="00907A1C" w:rsidRDefault="00907A1C">
            <w:pPr>
              <w:jc w:val="right"/>
              <w:rPr>
                <w:noProof/>
                <w:color w:val="000000"/>
                <w:sz w:val="20"/>
                <w:szCs w:val="20"/>
              </w:rPr>
            </w:pPr>
            <w:r>
              <w:rPr>
                <w:noProof/>
                <w:color w:val="000000"/>
                <w:sz w:val="20"/>
                <w:szCs w:val="20"/>
              </w:rPr>
              <w:t>28,945.6</w:t>
            </w:r>
          </w:p>
        </w:tc>
      </w:tr>
      <w:tr w:rsidR="00DF7708" w14:paraId="5FAC7798"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FFFFFF"/>
            <w:noWrap/>
            <w:hideMark/>
          </w:tcPr>
          <w:p w14:paraId="4987F8CA" w14:textId="77777777" w:rsidR="00907A1C" w:rsidRDefault="00907A1C">
            <w:pPr>
              <w:rPr>
                <w:noProof/>
                <w:color w:val="000000"/>
                <w:sz w:val="20"/>
                <w:szCs w:val="20"/>
              </w:rPr>
            </w:pPr>
            <w:r>
              <w:rPr>
                <w:noProof/>
                <w:color w:val="000000"/>
                <w:sz w:val="20"/>
                <w:szCs w:val="20"/>
              </w:rPr>
              <w:t>Net benefits</w:t>
            </w:r>
          </w:p>
        </w:tc>
        <w:tc>
          <w:tcPr>
            <w:tcW w:w="552" w:type="pct"/>
            <w:tcBorders>
              <w:top w:val="nil"/>
              <w:left w:val="nil"/>
              <w:bottom w:val="single" w:sz="4" w:space="0" w:color="auto"/>
              <w:right w:val="single" w:sz="4" w:space="0" w:color="auto"/>
            </w:tcBorders>
            <w:shd w:val="clear" w:color="000000" w:fill="FFFFFF"/>
            <w:noWrap/>
            <w:hideMark/>
          </w:tcPr>
          <w:p w14:paraId="00603846" w14:textId="77777777" w:rsidR="00907A1C" w:rsidRDefault="00907A1C">
            <w:pPr>
              <w:jc w:val="right"/>
              <w:rPr>
                <w:noProof/>
                <w:color w:val="000000"/>
                <w:sz w:val="20"/>
                <w:szCs w:val="20"/>
              </w:rPr>
            </w:pPr>
            <w:r>
              <w:rPr>
                <w:noProof/>
                <w:color w:val="000000"/>
                <w:sz w:val="20"/>
                <w:szCs w:val="20"/>
              </w:rPr>
              <w:t>12,477.0</w:t>
            </w:r>
          </w:p>
        </w:tc>
        <w:tc>
          <w:tcPr>
            <w:tcW w:w="552" w:type="pct"/>
            <w:tcBorders>
              <w:top w:val="nil"/>
              <w:left w:val="nil"/>
              <w:bottom w:val="single" w:sz="4" w:space="0" w:color="auto"/>
              <w:right w:val="single" w:sz="4" w:space="0" w:color="auto"/>
            </w:tcBorders>
            <w:shd w:val="clear" w:color="000000" w:fill="FFFFFF"/>
            <w:noWrap/>
            <w:hideMark/>
          </w:tcPr>
          <w:p w14:paraId="065B9592" w14:textId="77777777" w:rsidR="00907A1C" w:rsidRDefault="00907A1C">
            <w:pPr>
              <w:jc w:val="right"/>
              <w:rPr>
                <w:noProof/>
                <w:color w:val="000000"/>
                <w:sz w:val="20"/>
                <w:szCs w:val="20"/>
              </w:rPr>
            </w:pPr>
            <w:r>
              <w:rPr>
                <w:noProof/>
                <w:color w:val="000000"/>
                <w:sz w:val="20"/>
                <w:szCs w:val="20"/>
              </w:rPr>
              <w:t>25,816.9</w:t>
            </w:r>
          </w:p>
        </w:tc>
        <w:tc>
          <w:tcPr>
            <w:tcW w:w="552" w:type="pct"/>
            <w:tcBorders>
              <w:top w:val="nil"/>
              <w:left w:val="nil"/>
              <w:bottom w:val="single" w:sz="4" w:space="0" w:color="auto"/>
              <w:right w:val="single" w:sz="4" w:space="0" w:color="auto"/>
            </w:tcBorders>
            <w:shd w:val="clear" w:color="000000" w:fill="FFFFFF"/>
            <w:noWrap/>
            <w:hideMark/>
          </w:tcPr>
          <w:p w14:paraId="0285C81A" w14:textId="77777777" w:rsidR="00907A1C" w:rsidRDefault="00907A1C">
            <w:pPr>
              <w:jc w:val="right"/>
              <w:rPr>
                <w:noProof/>
                <w:color w:val="000000"/>
                <w:sz w:val="20"/>
                <w:szCs w:val="20"/>
              </w:rPr>
            </w:pPr>
            <w:r>
              <w:rPr>
                <w:noProof/>
                <w:color w:val="000000"/>
                <w:sz w:val="20"/>
                <w:szCs w:val="20"/>
              </w:rPr>
              <w:t>37,305.9</w:t>
            </w:r>
          </w:p>
        </w:tc>
        <w:tc>
          <w:tcPr>
            <w:tcW w:w="552" w:type="pct"/>
            <w:tcBorders>
              <w:top w:val="nil"/>
              <w:left w:val="nil"/>
              <w:bottom w:val="single" w:sz="4" w:space="0" w:color="auto"/>
              <w:right w:val="single" w:sz="4" w:space="0" w:color="auto"/>
            </w:tcBorders>
            <w:shd w:val="clear" w:color="000000" w:fill="FFFFFF"/>
            <w:noWrap/>
            <w:hideMark/>
          </w:tcPr>
          <w:p w14:paraId="615A48EC" w14:textId="77777777" w:rsidR="00907A1C" w:rsidRDefault="00907A1C">
            <w:pPr>
              <w:jc w:val="right"/>
              <w:rPr>
                <w:noProof/>
                <w:color w:val="000000"/>
                <w:sz w:val="20"/>
                <w:szCs w:val="20"/>
              </w:rPr>
            </w:pPr>
            <w:r>
              <w:rPr>
                <w:noProof/>
                <w:color w:val="000000"/>
                <w:sz w:val="20"/>
                <w:szCs w:val="20"/>
              </w:rPr>
              <w:t>28,476.6</w:t>
            </w:r>
          </w:p>
        </w:tc>
      </w:tr>
      <w:tr w:rsidR="00DF7708" w14:paraId="36263C3F" w14:textId="77777777" w:rsidTr="00080C8F">
        <w:trPr>
          <w:trHeight w:val="255"/>
        </w:trPr>
        <w:tc>
          <w:tcPr>
            <w:tcW w:w="2793" w:type="pct"/>
            <w:tcBorders>
              <w:top w:val="nil"/>
              <w:left w:val="single" w:sz="4" w:space="0" w:color="auto"/>
              <w:bottom w:val="single" w:sz="4" w:space="0" w:color="auto"/>
              <w:right w:val="single" w:sz="4" w:space="0" w:color="auto"/>
            </w:tcBorders>
            <w:shd w:val="clear" w:color="000000" w:fill="FFFFFF"/>
            <w:noWrap/>
            <w:hideMark/>
          </w:tcPr>
          <w:p w14:paraId="7674E798" w14:textId="77777777" w:rsidR="00907A1C" w:rsidRDefault="00907A1C">
            <w:pPr>
              <w:rPr>
                <w:noProof/>
                <w:color w:val="000000"/>
                <w:sz w:val="20"/>
                <w:szCs w:val="20"/>
              </w:rPr>
            </w:pPr>
            <w:r>
              <w:rPr>
                <w:noProof/>
                <w:color w:val="000000"/>
                <w:sz w:val="20"/>
                <w:szCs w:val="20"/>
              </w:rPr>
              <w:t>Benefits to costs ratio</w:t>
            </w:r>
          </w:p>
        </w:tc>
        <w:tc>
          <w:tcPr>
            <w:tcW w:w="552" w:type="pct"/>
            <w:tcBorders>
              <w:top w:val="nil"/>
              <w:left w:val="nil"/>
              <w:bottom w:val="single" w:sz="4" w:space="0" w:color="auto"/>
              <w:right w:val="single" w:sz="4" w:space="0" w:color="auto"/>
            </w:tcBorders>
            <w:shd w:val="clear" w:color="000000" w:fill="FFFFFF"/>
            <w:noWrap/>
            <w:hideMark/>
          </w:tcPr>
          <w:p w14:paraId="7DE5A934" w14:textId="77777777" w:rsidR="00907A1C" w:rsidRDefault="00907A1C">
            <w:pPr>
              <w:jc w:val="right"/>
              <w:rPr>
                <w:noProof/>
                <w:color w:val="000000"/>
                <w:sz w:val="20"/>
                <w:szCs w:val="20"/>
              </w:rPr>
            </w:pPr>
            <w:r>
              <w:rPr>
                <w:noProof/>
                <w:color w:val="000000"/>
                <w:sz w:val="20"/>
                <w:szCs w:val="20"/>
              </w:rPr>
              <w:t>54.2</w:t>
            </w:r>
          </w:p>
        </w:tc>
        <w:tc>
          <w:tcPr>
            <w:tcW w:w="552" w:type="pct"/>
            <w:tcBorders>
              <w:top w:val="nil"/>
              <w:left w:val="nil"/>
              <w:bottom w:val="single" w:sz="4" w:space="0" w:color="auto"/>
              <w:right w:val="single" w:sz="4" w:space="0" w:color="auto"/>
            </w:tcBorders>
            <w:shd w:val="clear" w:color="000000" w:fill="FFFFFF"/>
            <w:noWrap/>
            <w:hideMark/>
          </w:tcPr>
          <w:p w14:paraId="6E991AD0" w14:textId="77777777" w:rsidR="00907A1C" w:rsidRDefault="00907A1C">
            <w:pPr>
              <w:jc w:val="right"/>
              <w:rPr>
                <w:noProof/>
                <w:color w:val="000000"/>
                <w:sz w:val="20"/>
                <w:szCs w:val="20"/>
              </w:rPr>
            </w:pPr>
            <w:r>
              <w:rPr>
                <w:noProof/>
                <w:color w:val="000000"/>
                <w:sz w:val="20"/>
                <w:szCs w:val="20"/>
              </w:rPr>
              <w:t>82.4</w:t>
            </w:r>
          </w:p>
        </w:tc>
        <w:tc>
          <w:tcPr>
            <w:tcW w:w="552" w:type="pct"/>
            <w:tcBorders>
              <w:top w:val="nil"/>
              <w:left w:val="nil"/>
              <w:bottom w:val="single" w:sz="4" w:space="0" w:color="auto"/>
              <w:right w:val="single" w:sz="4" w:space="0" w:color="auto"/>
            </w:tcBorders>
            <w:shd w:val="clear" w:color="000000" w:fill="FFFFFF"/>
            <w:noWrap/>
            <w:hideMark/>
          </w:tcPr>
          <w:p w14:paraId="02A67F33" w14:textId="77777777" w:rsidR="00907A1C" w:rsidRDefault="00907A1C">
            <w:pPr>
              <w:jc w:val="right"/>
              <w:rPr>
                <w:noProof/>
                <w:color w:val="000000"/>
                <w:sz w:val="20"/>
                <w:szCs w:val="20"/>
              </w:rPr>
            </w:pPr>
            <w:r>
              <w:rPr>
                <w:noProof/>
                <w:color w:val="000000"/>
                <w:sz w:val="20"/>
                <w:szCs w:val="20"/>
              </w:rPr>
              <w:t>122.9</w:t>
            </w:r>
          </w:p>
        </w:tc>
        <w:tc>
          <w:tcPr>
            <w:tcW w:w="552" w:type="pct"/>
            <w:tcBorders>
              <w:top w:val="nil"/>
              <w:left w:val="nil"/>
              <w:bottom w:val="single" w:sz="4" w:space="0" w:color="auto"/>
              <w:right w:val="single" w:sz="4" w:space="0" w:color="auto"/>
            </w:tcBorders>
            <w:shd w:val="clear" w:color="000000" w:fill="FFFFFF"/>
            <w:noWrap/>
            <w:hideMark/>
          </w:tcPr>
          <w:p w14:paraId="486A6EB7" w14:textId="77777777" w:rsidR="00907A1C" w:rsidRDefault="00907A1C">
            <w:pPr>
              <w:jc w:val="right"/>
              <w:rPr>
                <w:noProof/>
                <w:color w:val="000000"/>
                <w:sz w:val="20"/>
                <w:szCs w:val="20"/>
              </w:rPr>
            </w:pPr>
            <w:r>
              <w:rPr>
                <w:noProof/>
                <w:color w:val="000000"/>
                <w:sz w:val="20"/>
                <w:szCs w:val="20"/>
              </w:rPr>
              <w:t>61.7</w:t>
            </w:r>
          </w:p>
        </w:tc>
      </w:tr>
    </w:tbl>
    <w:p w14:paraId="22AF9E82" w14:textId="6CF737BC" w:rsidR="001E1853" w:rsidRPr="006A345B" w:rsidRDefault="001E1853" w:rsidP="00B954A8">
      <w:pPr>
        <w:tabs>
          <w:tab w:val="left" w:pos="2302"/>
        </w:tabs>
        <w:spacing w:after="240"/>
        <w:jc w:val="both"/>
        <w:rPr>
          <w:i/>
          <w:noProof/>
        </w:rPr>
        <w:sectPr w:rsidR="001E1853" w:rsidRPr="006A345B" w:rsidSect="007A35CC">
          <w:headerReference w:type="default" r:id="rId60"/>
          <w:footerReference w:type="default" r:id="rId61"/>
          <w:pgSz w:w="11910" w:h="16840"/>
          <w:pgMar w:top="1021" w:right="709" w:bottom="1021" w:left="1588" w:header="0" w:footer="1147" w:gutter="0"/>
          <w:cols w:space="720"/>
        </w:sectPr>
      </w:pPr>
      <w:r w:rsidRPr="005D2D60">
        <w:rPr>
          <w:rFonts w:cstheme="minorBidi"/>
          <w:i/>
          <w:noProof/>
          <w:sz w:val="22"/>
          <w:szCs w:val="22"/>
          <w:lang w:eastAsia="en-US"/>
        </w:rPr>
        <w:t>Source: Ricardo et al. (2026), Impact assessment support study</w:t>
      </w:r>
    </w:p>
    <w:p w14:paraId="7194D29B" w14:textId="62BC6100" w:rsidR="009D5916" w:rsidRPr="00D71008" w:rsidRDefault="009D5916" w:rsidP="00625422">
      <w:pPr>
        <w:pStyle w:val="Heading1"/>
        <w:jc w:val="center"/>
        <w:rPr>
          <w:smallCaps/>
          <w:noProof/>
        </w:rPr>
      </w:pPr>
      <w:bookmarkStart w:id="2100" w:name="_Toc223981687"/>
      <w:r w:rsidRPr="00D71008">
        <w:rPr>
          <w:smallCaps/>
          <w:noProof/>
        </w:rPr>
        <w:t>Annex</w:t>
      </w:r>
      <w:r w:rsidRPr="00D71008">
        <w:rPr>
          <w:smallCaps/>
          <w:noProof/>
          <w:spacing w:val="-8"/>
        </w:rPr>
        <w:t xml:space="preserve"> </w:t>
      </w:r>
      <w:r w:rsidRPr="00D71008">
        <w:rPr>
          <w:smallCaps/>
          <w:noProof/>
        </w:rPr>
        <w:t>5:</w:t>
      </w:r>
      <w:r w:rsidRPr="00D71008">
        <w:rPr>
          <w:smallCaps/>
          <w:noProof/>
          <w:spacing w:val="-15"/>
        </w:rPr>
        <w:t xml:space="preserve"> </w:t>
      </w:r>
      <w:r w:rsidR="00EC4037" w:rsidRPr="00D71008">
        <w:rPr>
          <w:smallCaps/>
          <w:noProof/>
        </w:rPr>
        <w:t>Competitiveness check</w:t>
      </w:r>
      <w:bookmarkEnd w:id="2100"/>
    </w:p>
    <w:p w14:paraId="2929BF58" w14:textId="77777777" w:rsidR="001F5BF2" w:rsidRPr="00662923" w:rsidRDefault="001F5BF2" w:rsidP="00662923">
      <w:pPr>
        <w:pStyle w:val="Text4"/>
        <w:spacing w:before="0" w:after="240"/>
        <w:ind w:left="0"/>
        <w:rPr>
          <w:rFonts w:ascii="Times New Roman" w:eastAsia="Calibri" w:hAnsi="Times New Roman"/>
          <w:noProof/>
          <w:spacing w:val="-8"/>
          <w:sz w:val="24"/>
          <w:szCs w:val="24"/>
        </w:rPr>
      </w:pPr>
    </w:p>
    <w:p w14:paraId="639C50BC" w14:textId="77777777" w:rsidR="00F466F8" w:rsidRPr="00F466F8" w:rsidRDefault="00F466F8" w:rsidP="007B2D8E">
      <w:pPr>
        <w:pStyle w:val="Text4"/>
        <w:numPr>
          <w:ilvl w:val="1"/>
          <w:numId w:val="8"/>
        </w:numPr>
        <w:tabs>
          <w:tab w:val="clear" w:pos="1440"/>
          <w:tab w:val="num" w:pos="426"/>
        </w:tabs>
        <w:spacing w:before="0"/>
        <w:ind w:left="426" w:hanging="426"/>
        <w:rPr>
          <w:rFonts w:ascii="Times New Roman" w:eastAsia="Calibri" w:hAnsi="Times New Roman"/>
          <w:b/>
          <w:noProof/>
          <w:spacing w:val="-8"/>
          <w:sz w:val="24"/>
          <w:szCs w:val="24"/>
        </w:rPr>
      </w:pPr>
      <w:bookmarkStart w:id="2101" w:name="_Toc195101112"/>
      <w:r w:rsidRPr="00F466F8">
        <w:rPr>
          <w:rFonts w:ascii="Times New Roman" w:eastAsia="Calibri" w:hAnsi="Times New Roman"/>
          <w:b/>
          <w:noProof/>
          <w:spacing w:val="-8"/>
          <w:sz w:val="24"/>
          <w:szCs w:val="24"/>
        </w:rPr>
        <w:t>Overview of impacts on competitiveness</w:t>
      </w:r>
      <w:bookmarkEnd w:id="2101"/>
      <w:r w:rsidRPr="00F466F8">
        <w:rPr>
          <w:rFonts w:ascii="Times New Roman" w:eastAsia="Calibri" w:hAnsi="Times New Roman"/>
          <w:b/>
          <w:noProof/>
          <w:spacing w:val="-8"/>
          <w:sz w:val="24"/>
          <w:szCs w:val="24"/>
        </w:rPr>
        <w:t xml:space="preserve"> </w:t>
      </w:r>
    </w:p>
    <w:tbl>
      <w:tblPr>
        <w:tblW w:w="9889" w:type="dxa"/>
        <w:tblLook w:val="04A0" w:firstRow="1" w:lastRow="0" w:firstColumn="1" w:lastColumn="0" w:noHBand="0" w:noVBand="1"/>
      </w:tblPr>
      <w:tblGrid>
        <w:gridCol w:w="3281"/>
        <w:gridCol w:w="2639"/>
        <w:gridCol w:w="3969"/>
      </w:tblGrid>
      <w:tr w:rsidR="00F466F8" w:rsidRPr="00F466F8" w14:paraId="6E62538E" w14:textId="77777777" w:rsidTr="00F466F8">
        <w:tc>
          <w:tcPr>
            <w:tcW w:w="3281" w:type="dxa"/>
            <w:tcBorders>
              <w:top w:val="single" w:sz="4" w:space="0" w:color="auto"/>
              <w:left w:val="single" w:sz="4" w:space="0" w:color="auto"/>
              <w:bottom w:val="single" w:sz="4" w:space="0" w:color="auto"/>
              <w:right w:val="single" w:sz="4" w:space="0" w:color="auto"/>
            </w:tcBorders>
            <w:vAlign w:val="center"/>
            <w:hideMark/>
          </w:tcPr>
          <w:p w14:paraId="7ED23514" w14:textId="77777777" w:rsidR="00F466F8" w:rsidRPr="004E336D" w:rsidRDefault="00F466F8" w:rsidP="00B4243E">
            <w:pPr>
              <w:pStyle w:val="Text4"/>
              <w:spacing w:before="0" w:after="0"/>
              <w:ind w:left="22" w:hanging="22"/>
              <w:rPr>
                <w:rFonts w:ascii="Times New Roman" w:eastAsia="Calibri" w:hAnsi="Times New Roman"/>
                <w:b/>
                <w:noProof/>
                <w:spacing w:val="-8"/>
                <w:sz w:val="24"/>
                <w:szCs w:val="24"/>
              </w:rPr>
            </w:pPr>
            <w:r w:rsidRPr="004E336D">
              <w:rPr>
                <w:rFonts w:ascii="Times New Roman" w:eastAsia="Calibri" w:hAnsi="Times New Roman"/>
                <w:b/>
                <w:noProof/>
                <w:spacing w:val="-8"/>
                <w:sz w:val="24"/>
                <w:szCs w:val="24"/>
              </w:rPr>
              <w:t>Dimensions of Competitiveness</w:t>
            </w:r>
          </w:p>
        </w:tc>
        <w:tc>
          <w:tcPr>
            <w:tcW w:w="2639" w:type="dxa"/>
            <w:tcBorders>
              <w:top w:val="single" w:sz="4" w:space="0" w:color="auto"/>
              <w:left w:val="single" w:sz="4" w:space="0" w:color="auto"/>
              <w:bottom w:val="single" w:sz="4" w:space="0" w:color="auto"/>
              <w:right w:val="single" w:sz="4" w:space="0" w:color="auto"/>
            </w:tcBorders>
            <w:vAlign w:val="center"/>
            <w:hideMark/>
          </w:tcPr>
          <w:p w14:paraId="614B38F9" w14:textId="77777777" w:rsidR="00F466F8" w:rsidRPr="004E336D" w:rsidRDefault="00F466F8" w:rsidP="00B4243E">
            <w:pPr>
              <w:pStyle w:val="Text4"/>
              <w:spacing w:before="0" w:after="0"/>
              <w:ind w:left="13"/>
              <w:rPr>
                <w:rFonts w:ascii="Times New Roman" w:eastAsia="Calibri" w:hAnsi="Times New Roman"/>
                <w:b/>
                <w:noProof/>
                <w:spacing w:val="-8"/>
                <w:sz w:val="24"/>
                <w:szCs w:val="24"/>
              </w:rPr>
            </w:pPr>
            <w:r w:rsidRPr="004E336D">
              <w:rPr>
                <w:rFonts w:ascii="Times New Roman" w:eastAsia="Calibri" w:hAnsi="Times New Roman"/>
                <w:b/>
                <w:noProof/>
                <w:spacing w:val="-8"/>
                <w:sz w:val="24"/>
                <w:szCs w:val="24"/>
              </w:rPr>
              <w:t>Impact of the initiative</w:t>
            </w:r>
          </w:p>
          <w:p w14:paraId="1DD59A47" w14:textId="77777777" w:rsidR="00F466F8" w:rsidRPr="004E336D" w:rsidRDefault="00F466F8" w:rsidP="00B4243E">
            <w:pPr>
              <w:pStyle w:val="Text4"/>
              <w:spacing w:before="0" w:after="0"/>
              <w:ind w:left="13"/>
              <w:rPr>
                <w:rFonts w:ascii="Times New Roman" w:eastAsia="Calibri" w:hAnsi="Times New Roman"/>
                <w:b/>
                <w:noProof/>
                <w:spacing w:val="-8"/>
                <w:sz w:val="24"/>
                <w:szCs w:val="24"/>
              </w:rPr>
            </w:pPr>
            <w:r w:rsidRPr="004E336D">
              <w:rPr>
                <w:rFonts w:ascii="Times New Roman" w:eastAsia="Calibri" w:hAnsi="Times New Roman"/>
                <w:b/>
                <w:noProof/>
                <w:spacing w:val="-8"/>
                <w:sz w:val="24"/>
                <w:szCs w:val="24"/>
              </w:rPr>
              <w:t>(++ / + / 0 / - / -- / n.a.)</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68C45E6" w14:textId="77777777" w:rsidR="00F466F8" w:rsidRPr="004E336D" w:rsidRDefault="00F466F8" w:rsidP="00B4243E">
            <w:pPr>
              <w:pStyle w:val="Text4"/>
              <w:spacing w:before="0" w:after="0"/>
              <w:ind w:left="0"/>
              <w:rPr>
                <w:rFonts w:ascii="Times New Roman" w:eastAsia="Calibri" w:hAnsi="Times New Roman"/>
                <w:b/>
                <w:noProof/>
                <w:spacing w:val="-8"/>
                <w:sz w:val="24"/>
                <w:szCs w:val="24"/>
              </w:rPr>
            </w:pPr>
            <w:r w:rsidRPr="004E336D">
              <w:rPr>
                <w:rFonts w:ascii="Times New Roman" w:eastAsia="Calibri" w:hAnsi="Times New Roman"/>
                <w:b/>
                <w:noProof/>
                <w:spacing w:val="-8"/>
                <w:sz w:val="24"/>
                <w:szCs w:val="24"/>
              </w:rPr>
              <w:t>References to sub-sections of the main report or annexes</w:t>
            </w:r>
          </w:p>
        </w:tc>
      </w:tr>
      <w:tr w:rsidR="00F466F8" w:rsidRPr="00F466F8" w14:paraId="2AF6B318" w14:textId="77777777" w:rsidTr="00F466F8">
        <w:tc>
          <w:tcPr>
            <w:tcW w:w="3281" w:type="dxa"/>
            <w:tcBorders>
              <w:top w:val="single" w:sz="4" w:space="0" w:color="auto"/>
              <w:left w:val="single" w:sz="4" w:space="0" w:color="auto"/>
              <w:bottom w:val="single" w:sz="4" w:space="0" w:color="auto"/>
              <w:right w:val="single" w:sz="4" w:space="0" w:color="auto"/>
            </w:tcBorders>
            <w:vAlign w:val="center"/>
            <w:hideMark/>
          </w:tcPr>
          <w:p w14:paraId="4D2C67F8" w14:textId="77777777" w:rsidR="00F466F8" w:rsidRPr="004E336D" w:rsidRDefault="00F466F8" w:rsidP="00B4243E">
            <w:pPr>
              <w:pStyle w:val="Text4"/>
              <w:spacing w:before="0" w:after="0"/>
              <w:ind w:left="22" w:hanging="22"/>
              <w:rPr>
                <w:rFonts w:ascii="Times New Roman" w:eastAsia="Calibri" w:hAnsi="Times New Roman"/>
                <w:noProof/>
                <w:spacing w:val="-8"/>
                <w:sz w:val="24"/>
                <w:szCs w:val="24"/>
              </w:rPr>
            </w:pPr>
            <w:r w:rsidRPr="004E336D">
              <w:rPr>
                <w:rFonts w:ascii="Times New Roman" w:eastAsia="Calibri" w:hAnsi="Times New Roman"/>
                <w:noProof/>
                <w:spacing w:val="-8"/>
                <w:sz w:val="24"/>
                <w:szCs w:val="24"/>
              </w:rPr>
              <w:t>Cost and price competitiveness</w:t>
            </w:r>
          </w:p>
        </w:tc>
        <w:tc>
          <w:tcPr>
            <w:tcW w:w="2639" w:type="dxa"/>
            <w:tcBorders>
              <w:top w:val="single" w:sz="4" w:space="0" w:color="auto"/>
              <w:left w:val="single" w:sz="4" w:space="0" w:color="auto"/>
              <w:bottom w:val="single" w:sz="4" w:space="0" w:color="auto"/>
              <w:right w:val="single" w:sz="4" w:space="0" w:color="auto"/>
            </w:tcBorders>
            <w:vAlign w:val="center"/>
          </w:tcPr>
          <w:p w14:paraId="3B9D78D3" w14:textId="57FE01B6" w:rsidR="00F466F8" w:rsidRPr="004E336D" w:rsidRDefault="00AF0166" w:rsidP="00AF0166">
            <w:pPr>
              <w:pStyle w:val="Text4"/>
              <w:spacing w:before="0" w:after="0"/>
              <w:ind w:left="13"/>
              <w:jc w:val="center"/>
              <w:rPr>
                <w:rFonts w:ascii="Times New Roman" w:eastAsia="Calibri" w:hAnsi="Times New Roman"/>
                <w:noProof/>
                <w:spacing w:val="-8"/>
                <w:sz w:val="24"/>
                <w:szCs w:val="24"/>
              </w:rPr>
            </w:pPr>
            <w:r>
              <w:rPr>
                <w:rFonts w:ascii="Times New Roman" w:eastAsia="Calibri" w:hAnsi="Times New Roman"/>
                <w:noProof/>
                <w:spacing w:val="-8"/>
                <w:sz w:val="24"/>
                <w:szCs w:val="24"/>
              </w:rPr>
              <w:t>+</w:t>
            </w:r>
          </w:p>
        </w:tc>
        <w:tc>
          <w:tcPr>
            <w:tcW w:w="3969" w:type="dxa"/>
            <w:tcBorders>
              <w:top w:val="single" w:sz="4" w:space="0" w:color="auto"/>
              <w:left w:val="single" w:sz="4" w:space="0" w:color="auto"/>
              <w:bottom w:val="single" w:sz="4" w:space="0" w:color="auto"/>
              <w:right w:val="single" w:sz="4" w:space="0" w:color="auto"/>
            </w:tcBorders>
            <w:vAlign w:val="center"/>
          </w:tcPr>
          <w:p w14:paraId="2331076D" w14:textId="65CFABA1" w:rsidR="00F466F8" w:rsidRPr="004E336D" w:rsidRDefault="00E72CEE" w:rsidP="00B4243E">
            <w:pPr>
              <w:pStyle w:val="Text4"/>
              <w:spacing w:before="0" w:after="0"/>
              <w:ind w:left="0"/>
              <w:rPr>
                <w:rFonts w:ascii="Times New Roman" w:eastAsia="Calibri" w:hAnsi="Times New Roman"/>
                <w:noProof/>
                <w:spacing w:val="-8"/>
                <w:sz w:val="24"/>
                <w:szCs w:val="24"/>
              </w:rPr>
            </w:pPr>
            <w:r>
              <w:rPr>
                <w:rFonts w:ascii="Times New Roman" w:eastAsia="Calibri" w:hAnsi="Times New Roman"/>
                <w:noProof/>
                <w:spacing w:val="-8"/>
                <w:sz w:val="24"/>
                <w:szCs w:val="24"/>
              </w:rPr>
              <w:t>Section</w:t>
            </w:r>
            <w:r w:rsidR="00BD7948">
              <w:rPr>
                <w:rFonts w:ascii="Times New Roman" w:eastAsia="Calibri" w:hAnsi="Times New Roman"/>
                <w:noProof/>
                <w:spacing w:val="-8"/>
                <w:sz w:val="24"/>
                <w:szCs w:val="24"/>
              </w:rPr>
              <w:t>s 6.1.1,</w:t>
            </w:r>
            <w:r w:rsidR="00534ABD">
              <w:rPr>
                <w:rFonts w:ascii="Times New Roman" w:eastAsia="Calibri" w:hAnsi="Times New Roman"/>
                <w:noProof/>
                <w:spacing w:val="-8"/>
                <w:sz w:val="24"/>
                <w:szCs w:val="24"/>
              </w:rPr>
              <w:t xml:space="preserve"> 6.1.2 and</w:t>
            </w:r>
            <w:r>
              <w:rPr>
                <w:rFonts w:ascii="Times New Roman" w:eastAsia="Calibri" w:hAnsi="Times New Roman"/>
                <w:noProof/>
                <w:spacing w:val="-8"/>
                <w:sz w:val="24"/>
                <w:szCs w:val="24"/>
              </w:rPr>
              <w:t xml:space="preserve"> 6.1.7</w:t>
            </w:r>
          </w:p>
        </w:tc>
      </w:tr>
      <w:tr w:rsidR="00F466F8" w:rsidRPr="00F466F8" w14:paraId="753321F9" w14:textId="77777777" w:rsidTr="00F466F8">
        <w:tc>
          <w:tcPr>
            <w:tcW w:w="3281" w:type="dxa"/>
            <w:tcBorders>
              <w:top w:val="single" w:sz="4" w:space="0" w:color="auto"/>
              <w:left w:val="single" w:sz="4" w:space="0" w:color="auto"/>
              <w:bottom w:val="single" w:sz="4" w:space="0" w:color="auto"/>
              <w:right w:val="single" w:sz="4" w:space="0" w:color="auto"/>
            </w:tcBorders>
            <w:vAlign w:val="center"/>
            <w:hideMark/>
          </w:tcPr>
          <w:p w14:paraId="55417908" w14:textId="77777777" w:rsidR="00F466F8" w:rsidRPr="004E336D" w:rsidRDefault="00F466F8" w:rsidP="00B4243E">
            <w:pPr>
              <w:pStyle w:val="Text4"/>
              <w:spacing w:before="0" w:after="0"/>
              <w:ind w:left="22" w:hanging="22"/>
              <w:rPr>
                <w:rFonts w:ascii="Times New Roman" w:eastAsia="Calibri" w:hAnsi="Times New Roman"/>
                <w:noProof/>
                <w:spacing w:val="-8"/>
                <w:sz w:val="24"/>
                <w:szCs w:val="24"/>
              </w:rPr>
            </w:pPr>
            <w:r w:rsidRPr="004E336D">
              <w:rPr>
                <w:rFonts w:ascii="Times New Roman" w:eastAsia="Calibri" w:hAnsi="Times New Roman"/>
                <w:noProof/>
                <w:spacing w:val="-8"/>
                <w:sz w:val="24"/>
                <w:szCs w:val="24"/>
              </w:rPr>
              <w:t xml:space="preserve">International competitiveness </w:t>
            </w:r>
          </w:p>
        </w:tc>
        <w:tc>
          <w:tcPr>
            <w:tcW w:w="2639" w:type="dxa"/>
            <w:tcBorders>
              <w:top w:val="single" w:sz="4" w:space="0" w:color="auto"/>
              <w:left w:val="single" w:sz="4" w:space="0" w:color="auto"/>
              <w:bottom w:val="single" w:sz="4" w:space="0" w:color="auto"/>
              <w:right w:val="single" w:sz="4" w:space="0" w:color="auto"/>
            </w:tcBorders>
            <w:vAlign w:val="center"/>
          </w:tcPr>
          <w:p w14:paraId="4BCD1587" w14:textId="4509DC54" w:rsidR="00F466F8" w:rsidRPr="004E336D" w:rsidRDefault="00E72CEE" w:rsidP="00E72CEE">
            <w:pPr>
              <w:pStyle w:val="Text4"/>
              <w:spacing w:before="0" w:after="0"/>
              <w:ind w:left="13"/>
              <w:jc w:val="center"/>
              <w:rPr>
                <w:rFonts w:ascii="Times New Roman" w:eastAsia="Calibri" w:hAnsi="Times New Roman"/>
                <w:noProof/>
                <w:spacing w:val="-8"/>
                <w:sz w:val="24"/>
                <w:szCs w:val="24"/>
              </w:rPr>
            </w:pPr>
            <w:r>
              <w:rPr>
                <w:rFonts w:ascii="Times New Roman" w:eastAsia="Calibri" w:hAnsi="Times New Roman"/>
                <w:noProof/>
                <w:spacing w:val="-8"/>
                <w:sz w:val="24"/>
                <w:szCs w:val="24"/>
              </w:rPr>
              <w:t>0</w:t>
            </w:r>
          </w:p>
        </w:tc>
        <w:tc>
          <w:tcPr>
            <w:tcW w:w="3969" w:type="dxa"/>
            <w:tcBorders>
              <w:top w:val="single" w:sz="4" w:space="0" w:color="auto"/>
              <w:left w:val="single" w:sz="4" w:space="0" w:color="auto"/>
              <w:bottom w:val="single" w:sz="4" w:space="0" w:color="auto"/>
              <w:right w:val="single" w:sz="4" w:space="0" w:color="auto"/>
            </w:tcBorders>
            <w:vAlign w:val="center"/>
          </w:tcPr>
          <w:p w14:paraId="15BFABEB" w14:textId="03D91566" w:rsidR="00F466F8" w:rsidRPr="004E336D" w:rsidRDefault="00E72CEE" w:rsidP="00B4243E">
            <w:pPr>
              <w:pStyle w:val="Text4"/>
              <w:spacing w:before="0" w:after="0"/>
              <w:ind w:left="0"/>
              <w:rPr>
                <w:rFonts w:ascii="Times New Roman" w:eastAsia="Calibri" w:hAnsi="Times New Roman"/>
                <w:noProof/>
                <w:spacing w:val="-8"/>
                <w:sz w:val="24"/>
                <w:szCs w:val="24"/>
              </w:rPr>
            </w:pPr>
            <w:r>
              <w:rPr>
                <w:rFonts w:ascii="Times New Roman" w:eastAsia="Calibri" w:hAnsi="Times New Roman"/>
                <w:noProof/>
                <w:spacing w:val="-8"/>
                <w:sz w:val="24"/>
                <w:szCs w:val="24"/>
              </w:rPr>
              <w:t>Section 6.1.7</w:t>
            </w:r>
          </w:p>
        </w:tc>
      </w:tr>
      <w:tr w:rsidR="00F466F8" w:rsidRPr="00F466F8" w14:paraId="2DE48CAD" w14:textId="77777777" w:rsidTr="00F466F8">
        <w:tc>
          <w:tcPr>
            <w:tcW w:w="3281" w:type="dxa"/>
            <w:tcBorders>
              <w:top w:val="single" w:sz="4" w:space="0" w:color="auto"/>
              <w:left w:val="single" w:sz="4" w:space="0" w:color="auto"/>
              <w:bottom w:val="single" w:sz="4" w:space="0" w:color="auto"/>
              <w:right w:val="single" w:sz="4" w:space="0" w:color="auto"/>
            </w:tcBorders>
            <w:vAlign w:val="center"/>
            <w:hideMark/>
          </w:tcPr>
          <w:p w14:paraId="45AB31DC" w14:textId="77777777" w:rsidR="00F466F8" w:rsidRPr="004E336D" w:rsidRDefault="00F466F8" w:rsidP="00B4243E">
            <w:pPr>
              <w:pStyle w:val="Text4"/>
              <w:spacing w:before="0" w:after="0"/>
              <w:ind w:left="22" w:hanging="22"/>
              <w:rPr>
                <w:rFonts w:ascii="Times New Roman" w:eastAsia="Calibri" w:hAnsi="Times New Roman"/>
                <w:noProof/>
                <w:spacing w:val="-8"/>
                <w:sz w:val="24"/>
                <w:szCs w:val="24"/>
              </w:rPr>
            </w:pPr>
            <w:r w:rsidRPr="004E336D">
              <w:rPr>
                <w:rFonts w:ascii="Times New Roman" w:eastAsia="Calibri" w:hAnsi="Times New Roman"/>
                <w:noProof/>
                <w:spacing w:val="-8"/>
                <w:sz w:val="24"/>
                <w:szCs w:val="24"/>
              </w:rPr>
              <w:t>Capacity to innovate</w:t>
            </w:r>
          </w:p>
        </w:tc>
        <w:tc>
          <w:tcPr>
            <w:tcW w:w="2639" w:type="dxa"/>
            <w:tcBorders>
              <w:top w:val="single" w:sz="4" w:space="0" w:color="auto"/>
              <w:left w:val="single" w:sz="4" w:space="0" w:color="auto"/>
              <w:bottom w:val="single" w:sz="4" w:space="0" w:color="auto"/>
              <w:right w:val="single" w:sz="4" w:space="0" w:color="auto"/>
            </w:tcBorders>
            <w:vAlign w:val="center"/>
          </w:tcPr>
          <w:p w14:paraId="53A4AE0C" w14:textId="3523962E" w:rsidR="00F466F8" w:rsidRPr="004E336D" w:rsidRDefault="00824C96" w:rsidP="00824C96">
            <w:pPr>
              <w:pStyle w:val="Text4"/>
              <w:spacing w:before="0" w:after="0"/>
              <w:ind w:left="13"/>
              <w:jc w:val="center"/>
              <w:rPr>
                <w:rFonts w:ascii="Times New Roman" w:eastAsia="Calibri" w:hAnsi="Times New Roman"/>
                <w:noProof/>
                <w:spacing w:val="-8"/>
                <w:sz w:val="24"/>
                <w:szCs w:val="24"/>
              </w:rPr>
            </w:pPr>
            <w:r>
              <w:rPr>
                <w:rFonts w:ascii="Times New Roman" w:eastAsia="Calibri" w:hAnsi="Times New Roman"/>
                <w:noProof/>
                <w:spacing w:val="-8"/>
                <w:sz w:val="24"/>
                <w:szCs w:val="24"/>
              </w:rPr>
              <w:t>+</w:t>
            </w:r>
          </w:p>
        </w:tc>
        <w:tc>
          <w:tcPr>
            <w:tcW w:w="3969" w:type="dxa"/>
            <w:tcBorders>
              <w:top w:val="single" w:sz="4" w:space="0" w:color="auto"/>
              <w:left w:val="single" w:sz="4" w:space="0" w:color="auto"/>
              <w:bottom w:val="single" w:sz="4" w:space="0" w:color="auto"/>
              <w:right w:val="single" w:sz="4" w:space="0" w:color="auto"/>
            </w:tcBorders>
            <w:vAlign w:val="center"/>
          </w:tcPr>
          <w:p w14:paraId="6FB5D620" w14:textId="08AFA808" w:rsidR="00F466F8" w:rsidRPr="004E336D" w:rsidRDefault="00AF0166" w:rsidP="00B4243E">
            <w:pPr>
              <w:pStyle w:val="Text4"/>
              <w:spacing w:before="0" w:after="0"/>
              <w:ind w:left="0"/>
              <w:rPr>
                <w:rFonts w:ascii="Times New Roman" w:eastAsia="Calibri" w:hAnsi="Times New Roman"/>
                <w:noProof/>
                <w:spacing w:val="-8"/>
                <w:sz w:val="24"/>
                <w:szCs w:val="24"/>
              </w:rPr>
            </w:pPr>
            <w:r>
              <w:rPr>
                <w:rFonts w:ascii="Times New Roman" w:eastAsia="Calibri" w:hAnsi="Times New Roman"/>
                <w:noProof/>
                <w:spacing w:val="-8"/>
                <w:sz w:val="24"/>
                <w:szCs w:val="24"/>
              </w:rPr>
              <w:t>Section 6.1.9</w:t>
            </w:r>
          </w:p>
        </w:tc>
      </w:tr>
      <w:tr w:rsidR="00F466F8" w:rsidRPr="00F466F8" w14:paraId="0F096914" w14:textId="77777777" w:rsidTr="00F466F8">
        <w:tc>
          <w:tcPr>
            <w:tcW w:w="3281" w:type="dxa"/>
            <w:tcBorders>
              <w:top w:val="single" w:sz="4" w:space="0" w:color="auto"/>
              <w:left w:val="single" w:sz="4" w:space="0" w:color="auto"/>
              <w:bottom w:val="single" w:sz="4" w:space="0" w:color="auto"/>
              <w:right w:val="single" w:sz="4" w:space="0" w:color="auto"/>
            </w:tcBorders>
            <w:vAlign w:val="center"/>
            <w:hideMark/>
          </w:tcPr>
          <w:p w14:paraId="33F596D9" w14:textId="77777777" w:rsidR="00F466F8" w:rsidRPr="004E336D" w:rsidRDefault="00F466F8" w:rsidP="00B4243E">
            <w:pPr>
              <w:pStyle w:val="Text4"/>
              <w:spacing w:before="0" w:after="0"/>
              <w:ind w:left="22" w:hanging="22"/>
              <w:rPr>
                <w:rFonts w:ascii="Times New Roman" w:eastAsia="Calibri" w:hAnsi="Times New Roman"/>
                <w:noProof/>
                <w:spacing w:val="-8"/>
                <w:sz w:val="24"/>
                <w:szCs w:val="24"/>
              </w:rPr>
            </w:pPr>
            <w:r w:rsidRPr="004E336D">
              <w:rPr>
                <w:rFonts w:ascii="Times New Roman" w:eastAsia="Calibri" w:hAnsi="Times New Roman"/>
                <w:noProof/>
                <w:spacing w:val="-8"/>
                <w:sz w:val="24"/>
                <w:szCs w:val="24"/>
              </w:rPr>
              <w:t>SME competitiveness</w:t>
            </w:r>
          </w:p>
        </w:tc>
        <w:tc>
          <w:tcPr>
            <w:tcW w:w="2639" w:type="dxa"/>
            <w:tcBorders>
              <w:top w:val="single" w:sz="4" w:space="0" w:color="auto"/>
              <w:left w:val="single" w:sz="4" w:space="0" w:color="auto"/>
              <w:bottom w:val="single" w:sz="4" w:space="0" w:color="auto"/>
              <w:right w:val="single" w:sz="4" w:space="0" w:color="auto"/>
            </w:tcBorders>
            <w:vAlign w:val="center"/>
          </w:tcPr>
          <w:p w14:paraId="6FA8E00A" w14:textId="6FDCE0FC" w:rsidR="00F466F8" w:rsidRPr="004E336D" w:rsidRDefault="00824C96" w:rsidP="00824C96">
            <w:pPr>
              <w:pStyle w:val="Text4"/>
              <w:spacing w:before="0" w:after="0"/>
              <w:ind w:left="13"/>
              <w:jc w:val="center"/>
              <w:rPr>
                <w:rFonts w:ascii="Times New Roman" w:eastAsia="Calibri" w:hAnsi="Times New Roman"/>
                <w:noProof/>
                <w:spacing w:val="-8"/>
                <w:sz w:val="24"/>
                <w:szCs w:val="24"/>
              </w:rPr>
            </w:pPr>
            <w:r>
              <w:rPr>
                <w:rFonts w:ascii="Times New Roman" w:eastAsia="Calibri" w:hAnsi="Times New Roman"/>
                <w:noProof/>
                <w:spacing w:val="-8"/>
                <w:sz w:val="24"/>
                <w:szCs w:val="24"/>
              </w:rPr>
              <w:t>+</w:t>
            </w:r>
          </w:p>
        </w:tc>
        <w:tc>
          <w:tcPr>
            <w:tcW w:w="3969" w:type="dxa"/>
            <w:tcBorders>
              <w:top w:val="single" w:sz="4" w:space="0" w:color="auto"/>
              <w:left w:val="single" w:sz="4" w:space="0" w:color="auto"/>
              <w:bottom w:val="single" w:sz="4" w:space="0" w:color="auto"/>
              <w:right w:val="single" w:sz="4" w:space="0" w:color="auto"/>
            </w:tcBorders>
            <w:vAlign w:val="center"/>
          </w:tcPr>
          <w:p w14:paraId="3CA7DE56" w14:textId="28133EC1" w:rsidR="00F466F8" w:rsidRPr="004E336D" w:rsidRDefault="00AF0166" w:rsidP="00B4243E">
            <w:pPr>
              <w:pStyle w:val="Text4"/>
              <w:spacing w:before="0" w:after="0"/>
              <w:ind w:left="0"/>
              <w:rPr>
                <w:rFonts w:ascii="Times New Roman" w:eastAsia="Calibri" w:hAnsi="Times New Roman"/>
                <w:noProof/>
                <w:spacing w:val="-8"/>
                <w:sz w:val="24"/>
                <w:szCs w:val="24"/>
              </w:rPr>
            </w:pPr>
            <w:r>
              <w:rPr>
                <w:rFonts w:ascii="Times New Roman" w:eastAsia="Calibri" w:hAnsi="Times New Roman"/>
                <w:noProof/>
                <w:spacing w:val="-8"/>
                <w:sz w:val="24"/>
                <w:szCs w:val="24"/>
              </w:rPr>
              <w:t>Section 6.1.</w:t>
            </w:r>
            <w:r w:rsidR="00A339BF">
              <w:rPr>
                <w:rFonts w:ascii="Times New Roman" w:eastAsia="Calibri" w:hAnsi="Times New Roman"/>
                <w:noProof/>
                <w:spacing w:val="-8"/>
                <w:sz w:val="24"/>
                <w:szCs w:val="24"/>
              </w:rPr>
              <w:t>5</w:t>
            </w:r>
            <w:r w:rsidR="001136CC">
              <w:rPr>
                <w:rFonts w:ascii="Times New Roman" w:eastAsia="Calibri" w:hAnsi="Times New Roman"/>
                <w:noProof/>
                <w:spacing w:val="-8"/>
                <w:sz w:val="24"/>
                <w:szCs w:val="24"/>
              </w:rPr>
              <w:t>, 6.1.7 and Annex 6</w:t>
            </w:r>
          </w:p>
        </w:tc>
      </w:tr>
    </w:tbl>
    <w:p w14:paraId="7710E3F4" w14:textId="77777777" w:rsidR="00B4243E" w:rsidRPr="004E336D" w:rsidRDefault="00B4243E" w:rsidP="00B4243E">
      <w:pPr>
        <w:pStyle w:val="Text4"/>
        <w:ind w:left="0"/>
        <w:rPr>
          <w:rFonts w:ascii="Times New Roman" w:eastAsia="Calibri" w:hAnsi="Times New Roman"/>
          <w:b/>
          <w:noProof/>
          <w:spacing w:val="-8"/>
          <w:sz w:val="24"/>
          <w:szCs w:val="24"/>
          <w:u w:val="single"/>
        </w:rPr>
      </w:pPr>
    </w:p>
    <w:p w14:paraId="5E05F09D" w14:textId="77777777" w:rsidR="00F466F8" w:rsidRDefault="00F466F8" w:rsidP="007B2D8E">
      <w:pPr>
        <w:pStyle w:val="Text4"/>
        <w:numPr>
          <w:ilvl w:val="1"/>
          <w:numId w:val="8"/>
        </w:numPr>
        <w:tabs>
          <w:tab w:val="clear" w:pos="1440"/>
          <w:tab w:val="num" w:pos="426"/>
        </w:tabs>
        <w:spacing w:before="0"/>
        <w:ind w:left="426" w:hanging="426"/>
        <w:rPr>
          <w:rFonts w:ascii="Times New Roman" w:eastAsia="Calibri" w:hAnsi="Times New Roman"/>
          <w:b/>
          <w:noProof/>
          <w:spacing w:val="-8"/>
          <w:sz w:val="24"/>
          <w:szCs w:val="24"/>
        </w:rPr>
      </w:pPr>
      <w:bookmarkStart w:id="2102" w:name="_Toc195101113"/>
      <w:r w:rsidRPr="00F466F8">
        <w:rPr>
          <w:rFonts w:ascii="Times New Roman" w:eastAsia="Calibri" w:hAnsi="Times New Roman"/>
          <w:b/>
          <w:noProof/>
          <w:spacing w:val="-8"/>
          <w:sz w:val="24"/>
          <w:szCs w:val="24"/>
        </w:rPr>
        <w:t>Synthetic assessment</w:t>
      </w:r>
      <w:bookmarkEnd w:id="2102"/>
      <w:r w:rsidRPr="00F466F8">
        <w:rPr>
          <w:rFonts w:ascii="Times New Roman" w:eastAsia="Calibri" w:hAnsi="Times New Roman"/>
          <w:b/>
          <w:noProof/>
          <w:spacing w:val="-8"/>
          <w:sz w:val="24"/>
          <w:szCs w:val="24"/>
        </w:rPr>
        <w:t xml:space="preserve"> </w:t>
      </w:r>
    </w:p>
    <w:p w14:paraId="4223632C" w14:textId="4F89F4C3" w:rsidR="00131FC8" w:rsidRDefault="00FD2DA7" w:rsidP="00131FC8">
      <w:pPr>
        <w:pStyle w:val="Text4"/>
        <w:spacing w:before="0"/>
        <w:ind w:left="0"/>
        <w:rPr>
          <w:rFonts w:ascii="Times New Roman" w:eastAsia="Calibri" w:hAnsi="Times New Roman"/>
          <w:b/>
          <w:i/>
          <w:iCs/>
          <w:noProof/>
          <w:spacing w:val="-8"/>
          <w:sz w:val="24"/>
          <w:szCs w:val="24"/>
        </w:rPr>
      </w:pPr>
      <w:r w:rsidRPr="00FD2DA7">
        <w:rPr>
          <w:rFonts w:ascii="Times New Roman" w:eastAsia="Calibri" w:hAnsi="Times New Roman"/>
          <w:b/>
          <w:i/>
          <w:iCs/>
          <w:noProof/>
          <w:spacing w:val="-8"/>
          <w:sz w:val="24"/>
          <w:szCs w:val="24"/>
        </w:rPr>
        <w:t>Cost and price competitiveness</w:t>
      </w:r>
    </w:p>
    <w:p w14:paraId="41B94705" w14:textId="19CFBB9F" w:rsidR="00444B9A" w:rsidRPr="00444B9A" w:rsidRDefault="00444B9A" w:rsidP="00444B9A">
      <w:pPr>
        <w:pStyle w:val="Text4"/>
        <w:spacing w:before="0" w:after="240"/>
        <w:ind w:left="0"/>
        <w:rPr>
          <w:rFonts w:ascii="Times New Roman" w:eastAsia="Calibri" w:hAnsi="Times New Roman"/>
          <w:bCs/>
          <w:noProof/>
          <w:spacing w:val="-8"/>
          <w:sz w:val="24"/>
          <w:szCs w:val="24"/>
        </w:rPr>
      </w:pPr>
      <w:r w:rsidRPr="00FC111D">
        <w:rPr>
          <w:rFonts w:ascii="Times New Roman" w:eastAsia="Calibri" w:hAnsi="Times New Roman"/>
          <w:bCs/>
          <w:i/>
          <w:iCs/>
          <w:noProof/>
          <w:spacing w:val="-8"/>
          <w:sz w:val="24"/>
          <w:szCs w:val="24"/>
        </w:rPr>
        <w:t>For MDMS platforms</w:t>
      </w:r>
      <w:r w:rsidRPr="00444B9A">
        <w:rPr>
          <w:rFonts w:ascii="Times New Roman" w:eastAsia="Calibri" w:hAnsi="Times New Roman"/>
          <w:bCs/>
          <w:noProof/>
          <w:spacing w:val="-8"/>
          <w:sz w:val="24"/>
          <w:szCs w:val="24"/>
        </w:rPr>
        <w:t xml:space="preserve">, as explained in section 6.1.1, the preferred policy option (PO3) is expected to lead to adjustment costs and some limited administrative costs. Total costs, expressed as present value over 2028-2050 relative to the baseline, are estimated at EUR </w:t>
      </w:r>
      <w:r w:rsidR="001E79A9">
        <w:rPr>
          <w:rFonts w:ascii="Times New Roman" w:eastAsia="Calibri" w:hAnsi="Times New Roman"/>
          <w:bCs/>
          <w:noProof/>
          <w:spacing w:val="-8"/>
          <w:sz w:val="24"/>
          <w:szCs w:val="24"/>
        </w:rPr>
        <w:t>122.7</w:t>
      </w:r>
      <w:r w:rsidRPr="00444B9A">
        <w:rPr>
          <w:rFonts w:ascii="Times New Roman" w:eastAsia="Calibri" w:hAnsi="Times New Roman"/>
          <w:bCs/>
          <w:noProof/>
          <w:spacing w:val="-8"/>
          <w:sz w:val="24"/>
          <w:szCs w:val="24"/>
        </w:rPr>
        <w:t xml:space="preserve"> million. At the same time, the streamlined negotiation processes (PM11 and PM12) deliver significant adjustment costs savings (EUR </w:t>
      </w:r>
      <w:r w:rsidR="0046314C">
        <w:rPr>
          <w:rFonts w:ascii="Times New Roman" w:eastAsia="Calibri" w:hAnsi="Times New Roman"/>
          <w:bCs/>
          <w:noProof/>
          <w:spacing w:val="-8"/>
          <w:sz w:val="24"/>
          <w:szCs w:val="24"/>
        </w:rPr>
        <w:t>134</w:t>
      </w:r>
      <w:r w:rsidRPr="00444B9A">
        <w:rPr>
          <w:rFonts w:ascii="Times New Roman" w:eastAsia="Calibri" w:hAnsi="Times New Roman"/>
          <w:bCs/>
          <w:noProof/>
          <w:spacing w:val="-8"/>
          <w:sz w:val="24"/>
          <w:szCs w:val="24"/>
        </w:rPr>
        <w:t xml:space="preserve"> million) in synergy with other measures that increase the number of new and renegotiated commercial agreements that benefit of the streamlined processes. Overall, PO3 leads to net benefits of EUR </w:t>
      </w:r>
      <w:r w:rsidR="00832945">
        <w:rPr>
          <w:rFonts w:ascii="Times New Roman" w:eastAsia="Calibri" w:hAnsi="Times New Roman"/>
          <w:bCs/>
          <w:noProof/>
          <w:spacing w:val="-8"/>
          <w:sz w:val="24"/>
          <w:szCs w:val="24"/>
        </w:rPr>
        <w:t>11.3</w:t>
      </w:r>
      <w:r w:rsidRPr="00444B9A">
        <w:rPr>
          <w:rFonts w:ascii="Times New Roman" w:eastAsia="Calibri" w:hAnsi="Times New Roman"/>
          <w:bCs/>
          <w:noProof/>
          <w:spacing w:val="-8"/>
          <w:sz w:val="24"/>
          <w:szCs w:val="24"/>
        </w:rPr>
        <w:t xml:space="preserve"> million, expressed as present value over 2028-2050 relative to the baseline.  </w:t>
      </w:r>
    </w:p>
    <w:p w14:paraId="7BE654C4" w14:textId="3872AE12" w:rsidR="00444B9A" w:rsidRPr="00444B9A" w:rsidRDefault="00444B9A" w:rsidP="00444B9A">
      <w:pPr>
        <w:pStyle w:val="Text4"/>
        <w:spacing w:before="0" w:after="240"/>
        <w:ind w:left="0"/>
        <w:rPr>
          <w:rFonts w:ascii="Times New Roman" w:eastAsia="Calibri" w:hAnsi="Times New Roman"/>
          <w:bCs/>
          <w:noProof/>
          <w:spacing w:val="-8"/>
          <w:sz w:val="24"/>
          <w:szCs w:val="24"/>
        </w:rPr>
      </w:pPr>
      <w:r w:rsidRPr="006157E7">
        <w:rPr>
          <w:rFonts w:ascii="Times New Roman" w:eastAsia="Calibri" w:hAnsi="Times New Roman"/>
          <w:bCs/>
          <w:i/>
          <w:iCs/>
          <w:noProof/>
          <w:spacing w:val="-8"/>
          <w:sz w:val="24"/>
          <w:szCs w:val="24"/>
        </w:rPr>
        <w:t>For transport operators</w:t>
      </w:r>
      <w:r w:rsidRPr="00444B9A">
        <w:rPr>
          <w:rFonts w:ascii="Times New Roman" w:eastAsia="Calibri" w:hAnsi="Times New Roman"/>
          <w:bCs/>
          <w:noProof/>
          <w:spacing w:val="-8"/>
          <w:sz w:val="24"/>
          <w:szCs w:val="24"/>
        </w:rPr>
        <w:t xml:space="preserve">, as explained in section 6.1.2, PO3 is expected to lead to adjustment costs related to the obligation to share and to very limited administrative costs for the designation of indispensable RUs. Total costs, expressed as present value over 2028-2050 relative to the baseline, are estimated at EUR </w:t>
      </w:r>
      <w:r w:rsidR="0046175A">
        <w:rPr>
          <w:rFonts w:ascii="Times New Roman" w:eastAsia="Calibri" w:hAnsi="Times New Roman"/>
          <w:bCs/>
          <w:noProof/>
          <w:spacing w:val="-8"/>
          <w:sz w:val="24"/>
          <w:szCs w:val="24"/>
        </w:rPr>
        <w:t>42.2</w:t>
      </w:r>
      <w:r w:rsidRPr="00444B9A">
        <w:rPr>
          <w:rFonts w:ascii="Times New Roman" w:eastAsia="Calibri" w:hAnsi="Times New Roman"/>
          <w:bCs/>
          <w:noProof/>
          <w:spacing w:val="-8"/>
          <w:sz w:val="24"/>
          <w:szCs w:val="24"/>
        </w:rPr>
        <w:t xml:space="preserve"> million. The streamlined negotiation processes (PM11 and PM12) deliver adjustment costs savings that outweigh the costs (EUR </w:t>
      </w:r>
      <w:r w:rsidR="00F80C10">
        <w:rPr>
          <w:rFonts w:ascii="Times New Roman" w:eastAsia="Calibri" w:hAnsi="Times New Roman"/>
          <w:bCs/>
          <w:noProof/>
          <w:spacing w:val="-8"/>
          <w:sz w:val="24"/>
          <w:szCs w:val="24"/>
        </w:rPr>
        <w:t>134</w:t>
      </w:r>
      <w:r w:rsidRPr="00444B9A">
        <w:rPr>
          <w:rFonts w:ascii="Times New Roman" w:eastAsia="Calibri" w:hAnsi="Times New Roman"/>
          <w:bCs/>
          <w:noProof/>
          <w:spacing w:val="-8"/>
          <w:sz w:val="24"/>
          <w:szCs w:val="24"/>
        </w:rPr>
        <w:t xml:space="preserve"> million). Net benefits for transport operators, expressed as present value over 2028-2050 relative to the baseline, are estimated at EUR </w:t>
      </w:r>
      <w:r w:rsidR="00AE6443">
        <w:rPr>
          <w:rFonts w:ascii="Times New Roman" w:eastAsia="Calibri" w:hAnsi="Times New Roman"/>
          <w:bCs/>
          <w:noProof/>
          <w:spacing w:val="-8"/>
          <w:sz w:val="24"/>
          <w:szCs w:val="24"/>
        </w:rPr>
        <w:t>91.8</w:t>
      </w:r>
      <w:r w:rsidR="00AE6443" w:rsidRPr="00444B9A">
        <w:rPr>
          <w:rFonts w:ascii="Times New Roman" w:eastAsia="Calibri" w:hAnsi="Times New Roman"/>
          <w:bCs/>
          <w:noProof/>
          <w:spacing w:val="-8"/>
          <w:sz w:val="24"/>
          <w:szCs w:val="24"/>
        </w:rPr>
        <w:t xml:space="preserve"> </w:t>
      </w:r>
      <w:r w:rsidRPr="00444B9A">
        <w:rPr>
          <w:rFonts w:ascii="Times New Roman" w:eastAsia="Calibri" w:hAnsi="Times New Roman"/>
          <w:bCs/>
          <w:noProof/>
          <w:spacing w:val="-8"/>
          <w:sz w:val="24"/>
          <w:szCs w:val="24"/>
        </w:rPr>
        <w:t>million in PO3.</w:t>
      </w:r>
    </w:p>
    <w:p w14:paraId="260805B8" w14:textId="01B3C617" w:rsidR="0062291B" w:rsidRDefault="00444B9A" w:rsidP="0062291B">
      <w:pPr>
        <w:pStyle w:val="Text4"/>
        <w:spacing w:before="0" w:after="240"/>
        <w:ind w:left="0"/>
        <w:rPr>
          <w:rFonts w:ascii="Times New Roman" w:eastAsia="Calibri" w:hAnsi="Times New Roman"/>
          <w:bCs/>
          <w:noProof/>
          <w:spacing w:val="-8"/>
          <w:sz w:val="24"/>
          <w:szCs w:val="24"/>
        </w:rPr>
      </w:pPr>
      <w:r w:rsidRPr="00444B9A">
        <w:rPr>
          <w:rFonts w:ascii="Times New Roman" w:eastAsia="Calibri" w:hAnsi="Times New Roman"/>
          <w:bCs/>
          <w:noProof/>
          <w:spacing w:val="-8"/>
          <w:sz w:val="24"/>
          <w:szCs w:val="24"/>
        </w:rPr>
        <w:t>By reducing search and booking frictions and improving the visibility of transport offers, the preferred policy option enhances the efficiency of the rail and multimodal transport sectors, strengthening the competitive position of rail and coach services within the multimodal passenger transport market. Improved integration of rail services in MDMS platforms increase</w:t>
      </w:r>
      <w:r w:rsidR="0062291B">
        <w:rPr>
          <w:rFonts w:ascii="Times New Roman" w:eastAsia="Calibri" w:hAnsi="Times New Roman"/>
          <w:bCs/>
          <w:noProof/>
          <w:spacing w:val="-8"/>
          <w:sz w:val="24"/>
          <w:szCs w:val="24"/>
        </w:rPr>
        <w:t>s</w:t>
      </w:r>
      <w:r w:rsidRPr="00444B9A">
        <w:rPr>
          <w:rFonts w:ascii="Times New Roman" w:eastAsia="Calibri" w:hAnsi="Times New Roman"/>
          <w:bCs/>
          <w:noProof/>
          <w:spacing w:val="-8"/>
          <w:sz w:val="24"/>
          <w:szCs w:val="24"/>
        </w:rPr>
        <w:t xml:space="preserve"> the attractiveness of rail-based itineraries relative to car-only or aviation trips.</w:t>
      </w:r>
      <w:r w:rsidR="0062291B">
        <w:rPr>
          <w:rFonts w:ascii="Times New Roman" w:eastAsia="Calibri" w:hAnsi="Times New Roman"/>
          <w:bCs/>
          <w:noProof/>
          <w:spacing w:val="-8"/>
          <w:sz w:val="24"/>
          <w:szCs w:val="24"/>
        </w:rPr>
        <w:t xml:space="preserve"> </w:t>
      </w:r>
    </w:p>
    <w:p w14:paraId="4AFD00F6" w14:textId="5DE0B770" w:rsidR="0062291B" w:rsidRPr="00FC111D" w:rsidRDefault="0062291B" w:rsidP="00FC111D">
      <w:pPr>
        <w:pStyle w:val="Text4"/>
        <w:spacing w:before="0" w:after="240"/>
        <w:ind w:left="0"/>
        <w:rPr>
          <w:rFonts w:ascii="Times New Roman" w:eastAsia="Calibri" w:hAnsi="Times New Roman"/>
          <w:bCs/>
          <w:noProof/>
          <w:spacing w:val="-8"/>
          <w:sz w:val="24"/>
          <w:szCs w:val="24"/>
        </w:rPr>
      </w:pPr>
      <w:r w:rsidRPr="00FC111D">
        <w:rPr>
          <w:rFonts w:ascii="Times New Roman" w:eastAsia="Calibri" w:hAnsi="Times New Roman"/>
          <w:bCs/>
          <w:noProof/>
          <w:spacing w:val="-8"/>
          <w:sz w:val="24"/>
          <w:szCs w:val="24"/>
        </w:rPr>
        <w:t xml:space="preserve">PO3 results in an increase in rail and coach activity relative to the baseline, reflecting improved supply-demand matching and reduced transaction costs. The entire economy is likely to benefit from these developments since transport represents a significant share of household expenditure and is a critical input for many economic sectors, notably tourism. A better functioning of the transport sector would free resources for additional consumption and investment. This might result in knock-on effects throughout the entire economy in the long </w:t>
      </w:r>
      <w:r w:rsidR="003A3544">
        <w:rPr>
          <w:rFonts w:ascii="Times New Roman" w:eastAsia="Calibri" w:hAnsi="Times New Roman"/>
          <w:bCs/>
          <w:noProof/>
          <w:spacing w:val="-8"/>
          <w:sz w:val="24"/>
          <w:szCs w:val="24"/>
        </w:rPr>
        <w:t xml:space="preserve"> </w:t>
      </w:r>
      <w:r w:rsidRPr="00FC111D">
        <w:rPr>
          <w:rFonts w:ascii="Times New Roman" w:eastAsia="Calibri" w:hAnsi="Times New Roman"/>
          <w:bCs/>
          <w:noProof/>
          <w:spacing w:val="-8"/>
          <w:sz w:val="24"/>
          <w:szCs w:val="24"/>
        </w:rPr>
        <w:t>term, leveraging the initial impact on the transport sector.</w:t>
      </w:r>
    </w:p>
    <w:p w14:paraId="7C73596A" w14:textId="5CAE1CB7" w:rsidR="00FD2DA7" w:rsidRDefault="00FD2DA7" w:rsidP="00131FC8">
      <w:pPr>
        <w:pStyle w:val="Text4"/>
        <w:spacing w:before="0"/>
        <w:ind w:left="0"/>
        <w:rPr>
          <w:rFonts w:ascii="Times New Roman" w:eastAsia="Calibri" w:hAnsi="Times New Roman"/>
          <w:b/>
          <w:i/>
          <w:iCs/>
          <w:noProof/>
          <w:spacing w:val="-8"/>
          <w:sz w:val="24"/>
          <w:szCs w:val="24"/>
        </w:rPr>
      </w:pPr>
      <w:r w:rsidRPr="00FD2DA7">
        <w:rPr>
          <w:rFonts w:ascii="Times New Roman" w:eastAsia="Calibri" w:hAnsi="Times New Roman"/>
          <w:b/>
          <w:i/>
          <w:iCs/>
          <w:noProof/>
          <w:spacing w:val="-8"/>
          <w:sz w:val="24"/>
          <w:szCs w:val="24"/>
        </w:rPr>
        <w:t>International competitiveness</w:t>
      </w:r>
    </w:p>
    <w:p w14:paraId="6A6BC2E1" w14:textId="2C51815C" w:rsidR="007403D9" w:rsidRPr="00D320FA" w:rsidRDefault="007403D9" w:rsidP="00703975">
      <w:pPr>
        <w:pStyle w:val="Text4"/>
        <w:spacing w:before="0" w:after="240"/>
        <w:ind w:left="0"/>
        <w:rPr>
          <w:rFonts w:ascii="Times New Roman" w:eastAsia="Calibri" w:hAnsi="Times New Roman"/>
          <w:noProof/>
          <w:spacing w:val="-8"/>
          <w:sz w:val="24"/>
          <w:szCs w:val="24"/>
        </w:rPr>
      </w:pPr>
      <w:r w:rsidRPr="00C45DFB">
        <w:rPr>
          <w:rFonts w:ascii="Times New Roman" w:eastAsia="Calibri" w:hAnsi="Times New Roman"/>
          <w:noProof/>
          <w:spacing w:val="-8"/>
          <w:sz w:val="24"/>
          <w:szCs w:val="24"/>
        </w:rPr>
        <w:t xml:space="preserve">The </w:t>
      </w:r>
      <w:r>
        <w:rPr>
          <w:rFonts w:ascii="Times New Roman" w:eastAsia="Calibri" w:hAnsi="Times New Roman"/>
          <w:noProof/>
          <w:spacing w:val="-8"/>
          <w:sz w:val="24"/>
          <w:szCs w:val="24"/>
        </w:rPr>
        <w:t>preferred policy option</w:t>
      </w:r>
      <w:r w:rsidRPr="00C45DFB">
        <w:rPr>
          <w:rFonts w:ascii="Times New Roman" w:eastAsia="Calibri" w:hAnsi="Times New Roman"/>
          <w:noProof/>
          <w:spacing w:val="-8"/>
          <w:sz w:val="24"/>
          <w:szCs w:val="24"/>
        </w:rPr>
        <w:t xml:space="preserve"> equally</w:t>
      </w:r>
      <w:r w:rsidR="00703975">
        <w:rPr>
          <w:rFonts w:ascii="Times New Roman" w:eastAsia="Calibri" w:hAnsi="Times New Roman"/>
          <w:noProof/>
          <w:spacing w:val="-8"/>
          <w:sz w:val="24"/>
          <w:szCs w:val="24"/>
        </w:rPr>
        <w:t xml:space="preserve"> applies</w:t>
      </w:r>
      <w:r w:rsidRPr="00C45DFB">
        <w:rPr>
          <w:rFonts w:ascii="Times New Roman" w:eastAsia="Calibri" w:hAnsi="Times New Roman"/>
          <w:noProof/>
          <w:spacing w:val="-8"/>
          <w:sz w:val="24"/>
          <w:szCs w:val="24"/>
        </w:rPr>
        <w:t xml:space="preserve"> to EU and non-EU platforms when operating within the EU market and does not differentiate by nationality. It therefore does not introduce trade distortions.</w:t>
      </w:r>
      <w:r>
        <w:rPr>
          <w:rFonts w:ascii="Times New Roman" w:eastAsia="Calibri" w:hAnsi="Times New Roman"/>
          <w:noProof/>
          <w:spacing w:val="-8"/>
          <w:sz w:val="24"/>
          <w:szCs w:val="24"/>
        </w:rPr>
        <w:t xml:space="preserve"> </w:t>
      </w:r>
      <w:r w:rsidRPr="00C45DFB">
        <w:rPr>
          <w:rFonts w:ascii="Times New Roman" w:eastAsia="Calibri" w:hAnsi="Times New Roman"/>
          <w:noProof/>
          <w:spacing w:val="-8"/>
          <w:sz w:val="24"/>
          <w:szCs w:val="24"/>
        </w:rPr>
        <w:t>The impact on international competitiveness is expected to be neutral. The economic effects are confined to improving efficiency and performance within the EU passenger transport market.</w:t>
      </w:r>
    </w:p>
    <w:p w14:paraId="2B805E63" w14:textId="1415C272" w:rsidR="00FD2DA7" w:rsidRDefault="00952EA8" w:rsidP="00C623E0">
      <w:pPr>
        <w:pStyle w:val="Text4"/>
        <w:keepNext/>
        <w:spacing w:before="0"/>
        <w:ind w:left="0"/>
        <w:rPr>
          <w:rFonts w:ascii="Times New Roman" w:eastAsia="Calibri" w:hAnsi="Times New Roman"/>
          <w:b/>
          <w:i/>
          <w:iCs/>
          <w:noProof/>
          <w:spacing w:val="-8"/>
          <w:sz w:val="24"/>
          <w:szCs w:val="24"/>
        </w:rPr>
      </w:pPr>
      <w:r w:rsidRPr="00952EA8">
        <w:rPr>
          <w:rFonts w:ascii="Times New Roman" w:eastAsia="Calibri" w:hAnsi="Times New Roman"/>
          <w:b/>
          <w:i/>
          <w:iCs/>
          <w:noProof/>
          <w:spacing w:val="-8"/>
          <w:sz w:val="24"/>
          <w:szCs w:val="24"/>
        </w:rPr>
        <w:t>Capacity to innovate</w:t>
      </w:r>
    </w:p>
    <w:p w14:paraId="12F57084" w14:textId="00763FFE" w:rsidR="00952EA8" w:rsidRPr="00FE09A9" w:rsidRDefault="00FE09A9" w:rsidP="00C623E0">
      <w:pPr>
        <w:pStyle w:val="Text4"/>
        <w:keepNext/>
        <w:spacing w:before="0" w:after="240"/>
        <w:ind w:left="0"/>
        <w:rPr>
          <w:rFonts w:ascii="Times New Roman" w:eastAsia="Calibri" w:hAnsi="Times New Roman"/>
          <w:noProof/>
          <w:spacing w:val="-8"/>
          <w:sz w:val="24"/>
          <w:szCs w:val="24"/>
        </w:rPr>
      </w:pPr>
      <w:r w:rsidRPr="00FE09A9">
        <w:rPr>
          <w:rFonts w:ascii="Times New Roman" w:eastAsia="Calibri" w:hAnsi="Times New Roman"/>
          <w:noProof/>
          <w:spacing w:val="-8"/>
          <w:sz w:val="24"/>
          <w:szCs w:val="24"/>
        </w:rPr>
        <w:t>The capa</w:t>
      </w:r>
      <w:r>
        <w:rPr>
          <w:rFonts w:ascii="Times New Roman" w:eastAsia="Calibri" w:hAnsi="Times New Roman"/>
          <w:noProof/>
          <w:spacing w:val="-8"/>
          <w:sz w:val="24"/>
          <w:szCs w:val="24"/>
        </w:rPr>
        <w:t xml:space="preserve">city of MDMS platforms to innovate </w:t>
      </w:r>
      <w:r w:rsidR="00E808BA">
        <w:rPr>
          <w:rFonts w:ascii="Times New Roman" w:eastAsia="Calibri" w:hAnsi="Times New Roman"/>
          <w:noProof/>
          <w:spacing w:val="-8"/>
          <w:sz w:val="24"/>
          <w:szCs w:val="24"/>
        </w:rPr>
        <w:t xml:space="preserve">and </w:t>
      </w:r>
      <w:r w:rsidR="00E808BA" w:rsidRPr="005D2D60">
        <w:rPr>
          <w:rFonts w:ascii="Times New Roman" w:eastAsia="Calibri" w:hAnsi="Times New Roman"/>
          <w:noProof/>
          <w:spacing w:val="-8"/>
          <w:sz w:val="24"/>
          <w:szCs w:val="24"/>
        </w:rPr>
        <w:t xml:space="preserve">develop more integrated, user-friendly, and competitive solutions </w:t>
      </w:r>
      <w:r w:rsidR="003907F6" w:rsidRPr="005D2D60">
        <w:rPr>
          <w:rFonts w:ascii="Times New Roman" w:eastAsia="Calibri" w:hAnsi="Times New Roman"/>
          <w:noProof/>
          <w:spacing w:val="-8"/>
          <w:sz w:val="24"/>
          <w:szCs w:val="24"/>
        </w:rPr>
        <w:t>depends</w:t>
      </w:r>
      <w:r w:rsidR="003907F6">
        <w:rPr>
          <w:rFonts w:ascii="Times New Roman" w:eastAsia="Calibri" w:hAnsi="Times New Roman"/>
          <w:noProof/>
          <w:spacing w:val="-8"/>
          <w:sz w:val="24"/>
          <w:szCs w:val="24"/>
        </w:rPr>
        <w:t xml:space="preserve"> </w:t>
      </w:r>
      <w:r>
        <w:rPr>
          <w:rFonts w:ascii="Times New Roman" w:eastAsia="Calibri" w:hAnsi="Times New Roman"/>
          <w:noProof/>
          <w:spacing w:val="-8"/>
          <w:sz w:val="24"/>
          <w:szCs w:val="24"/>
        </w:rPr>
        <w:t xml:space="preserve">on their </w:t>
      </w:r>
      <w:r w:rsidR="00BD73D8">
        <w:rPr>
          <w:rFonts w:ascii="Times New Roman" w:eastAsia="Calibri" w:hAnsi="Times New Roman"/>
          <w:noProof/>
          <w:spacing w:val="-8"/>
          <w:sz w:val="24"/>
          <w:szCs w:val="24"/>
        </w:rPr>
        <w:t xml:space="preserve">ability to </w:t>
      </w:r>
      <w:r w:rsidR="00E273EE">
        <w:rPr>
          <w:rFonts w:ascii="Times New Roman" w:eastAsia="Calibri" w:hAnsi="Times New Roman"/>
          <w:noProof/>
          <w:spacing w:val="-8"/>
          <w:sz w:val="24"/>
          <w:szCs w:val="24"/>
        </w:rPr>
        <w:t xml:space="preserve">distribute a wide offer of services for a sufficiently large number of transport operators. The preferred option </w:t>
      </w:r>
      <w:r w:rsidR="00E35C9A" w:rsidRPr="00E35C9A">
        <w:rPr>
          <w:rFonts w:ascii="Times New Roman" w:eastAsia="Calibri" w:hAnsi="Times New Roman"/>
          <w:noProof/>
          <w:spacing w:val="-8"/>
          <w:sz w:val="24"/>
          <w:szCs w:val="24"/>
        </w:rPr>
        <w:t>is expected to have the biggest impact</w:t>
      </w:r>
      <w:r w:rsidR="00E506D9">
        <w:rPr>
          <w:rFonts w:ascii="Times New Roman" w:eastAsia="Calibri" w:hAnsi="Times New Roman"/>
          <w:noProof/>
          <w:spacing w:val="-8"/>
          <w:sz w:val="24"/>
          <w:szCs w:val="24"/>
        </w:rPr>
        <w:t xml:space="preserve"> on innovation</w:t>
      </w:r>
      <w:r w:rsidR="00E35C9A" w:rsidRPr="00E35C9A">
        <w:rPr>
          <w:rFonts w:ascii="Times New Roman" w:eastAsia="Calibri" w:hAnsi="Times New Roman"/>
          <w:noProof/>
          <w:spacing w:val="-8"/>
          <w:sz w:val="24"/>
          <w:szCs w:val="24"/>
        </w:rPr>
        <w:t xml:space="preserve"> as it best addresses the key barriers of access to tickets</w:t>
      </w:r>
      <w:r w:rsidR="0091237A">
        <w:rPr>
          <w:rFonts w:ascii="Times New Roman" w:eastAsia="Calibri" w:hAnsi="Times New Roman"/>
          <w:noProof/>
          <w:spacing w:val="-8"/>
          <w:sz w:val="24"/>
          <w:szCs w:val="24"/>
        </w:rPr>
        <w:t xml:space="preserve"> and creates </w:t>
      </w:r>
      <w:r w:rsidR="00E35C9A" w:rsidRPr="00E35C9A">
        <w:rPr>
          <w:rFonts w:ascii="Times New Roman" w:eastAsia="Calibri" w:hAnsi="Times New Roman"/>
          <w:noProof/>
          <w:spacing w:val="-8"/>
          <w:sz w:val="24"/>
          <w:szCs w:val="24"/>
        </w:rPr>
        <w:t xml:space="preserve">greater transparency and equitable conditions on </w:t>
      </w:r>
      <w:r w:rsidR="007D0175">
        <w:rPr>
          <w:rFonts w:ascii="Times New Roman" w:eastAsia="Calibri" w:hAnsi="Times New Roman"/>
          <w:noProof/>
          <w:spacing w:val="-8"/>
          <w:sz w:val="24"/>
          <w:szCs w:val="24"/>
        </w:rPr>
        <w:t xml:space="preserve">all </w:t>
      </w:r>
      <w:r w:rsidR="00E35C9A" w:rsidRPr="00E35C9A">
        <w:rPr>
          <w:rFonts w:ascii="Times New Roman" w:eastAsia="Calibri" w:hAnsi="Times New Roman"/>
          <w:noProof/>
          <w:spacing w:val="-8"/>
          <w:sz w:val="24"/>
          <w:szCs w:val="24"/>
        </w:rPr>
        <w:t>MDMS platforms</w:t>
      </w:r>
      <w:r w:rsidR="007D0175">
        <w:rPr>
          <w:rFonts w:ascii="Times New Roman" w:eastAsia="Calibri" w:hAnsi="Times New Roman"/>
          <w:noProof/>
          <w:spacing w:val="-8"/>
          <w:sz w:val="24"/>
          <w:szCs w:val="24"/>
        </w:rPr>
        <w:t>.</w:t>
      </w:r>
      <w:r w:rsidR="00CB2092">
        <w:rPr>
          <w:rFonts w:ascii="Times New Roman" w:eastAsia="Calibri" w:hAnsi="Times New Roman"/>
          <w:noProof/>
          <w:spacing w:val="-8"/>
          <w:sz w:val="24"/>
          <w:szCs w:val="24"/>
        </w:rPr>
        <w:t xml:space="preserve"> </w:t>
      </w:r>
      <w:r w:rsidR="001A128A">
        <w:rPr>
          <w:rFonts w:ascii="Times New Roman" w:eastAsia="Calibri" w:hAnsi="Times New Roman"/>
          <w:noProof/>
          <w:spacing w:val="-8"/>
          <w:sz w:val="24"/>
          <w:szCs w:val="24"/>
        </w:rPr>
        <w:t>As p</w:t>
      </w:r>
      <w:r w:rsidR="00F775F4">
        <w:rPr>
          <w:rFonts w:ascii="Times New Roman" w:eastAsia="Calibri" w:hAnsi="Times New Roman"/>
          <w:noProof/>
          <w:spacing w:val="-8"/>
          <w:sz w:val="24"/>
          <w:szCs w:val="24"/>
        </w:rPr>
        <w:t xml:space="preserve">latforms </w:t>
      </w:r>
      <w:r w:rsidR="00D77FB6">
        <w:rPr>
          <w:rFonts w:ascii="Times New Roman" w:eastAsia="Calibri" w:hAnsi="Times New Roman"/>
          <w:noProof/>
          <w:spacing w:val="-8"/>
          <w:sz w:val="24"/>
          <w:szCs w:val="24"/>
        </w:rPr>
        <w:t>can no longer rely on preferential access to ticket offers</w:t>
      </w:r>
      <w:r w:rsidR="001A128A">
        <w:rPr>
          <w:rFonts w:ascii="Times New Roman" w:eastAsia="Calibri" w:hAnsi="Times New Roman"/>
          <w:noProof/>
          <w:spacing w:val="-8"/>
          <w:sz w:val="24"/>
          <w:szCs w:val="24"/>
        </w:rPr>
        <w:t>, they</w:t>
      </w:r>
      <w:r w:rsidR="009B0E29">
        <w:rPr>
          <w:rFonts w:ascii="Times New Roman" w:eastAsia="Calibri" w:hAnsi="Times New Roman"/>
          <w:noProof/>
          <w:spacing w:val="-8"/>
          <w:sz w:val="24"/>
          <w:szCs w:val="24"/>
        </w:rPr>
        <w:t xml:space="preserve"> are expected to </w:t>
      </w:r>
      <w:r w:rsidR="00214CF0">
        <w:rPr>
          <w:rFonts w:ascii="Times New Roman" w:eastAsia="Calibri" w:hAnsi="Times New Roman"/>
          <w:noProof/>
          <w:spacing w:val="-8"/>
          <w:sz w:val="24"/>
          <w:szCs w:val="24"/>
        </w:rPr>
        <w:t xml:space="preserve">compete more </w:t>
      </w:r>
      <w:r w:rsidR="000E47B6">
        <w:rPr>
          <w:rFonts w:ascii="Times New Roman" w:eastAsia="Calibri" w:hAnsi="Times New Roman"/>
          <w:noProof/>
          <w:spacing w:val="-8"/>
          <w:sz w:val="24"/>
          <w:szCs w:val="24"/>
        </w:rPr>
        <w:t>vigorously</w:t>
      </w:r>
      <w:r w:rsidR="006D1305">
        <w:rPr>
          <w:rFonts w:ascii="Times New Roman" w:eastAsia="Calibri" w:hAnsi="Times New Roman"/>
          <w:noProof/>
          <w:spacing w:val="-8"/>
          <w:sz w:val="24"/>
          <w:szCs w:val="24"/>
        </w:rPr>
        <w:t xml:space="preserve"> </w:t>
      </w:r>
      <w:r w:rsidR="00214CF0">
        <w:rPr>
          <w:rFonts w:ascii="Times New Roman" w:eastAsia="Calibri" w:hAnsi="Times New Roman"/>
          <w:noProof/>
          <w:spacing w:val="-8"/>
          <w:sz w:val="24"/>
          <w:szCs w:val="24"/>
        </w:rPr>
        <w:t xml:space="preserve">on </w:t>
      </w:r>
      <w:r w:rsidR="003E42E7">
        <w:rPr>
          <w:rFonts w:ascii="Times New Roman" w:eastAsia="Calibri" w:hAnsi="Times New Roman"/>
          <w:noProof/>
          <w:spacing w:val="-8"/>
          <w:sz w:val="24"/>
          <w:szCs w:val="24"/>
        </w:rPr>
        <w:t>aspects like</w:t>
      </w:r>
      <w:r w:rsidR="00214CF0">
        <w:rPr>
          <w:rFonts w:ascii="Times New Roman" w:eastAsia="Calibri" w:hAnsi="Times New Roman"/>
          <w:noProof/>
          <w:spacing w:val="-8"/>
          <w:sz w:val="24"/>
          <w:szCs w:val="24"/>
        </w:rPr>
        <w:t xml:space="preserve"> </w:t>
      </w:r>
      <w:r w:rsidR="00DB0EBC">
        <w:rPr>
          <w:rFonts w:ascii="Times New Roman" w:eastAsia="Calibri" w:hAnsi="Times New Roman"/>
          <w:noProof/>
          <w:spacing w:val="-8"/>
          <w:sz w:val="24"/>
          <w:szCs w:val="24"/>
        </w:rPr>
        <w:t>completeness of ticketing offer, ease of search</w:t>
      </w:r>
      <w:r w:rsidR="009534AA">
        <w:rPr>
          <w:rFonts w:ascii="Times New Roman" w:eastAsia="Calibri" w:hAnsi="Times New Roman"/>
          <w:noProof/>
          <w:spacing w:val="-8"/>
          <w:sz w:val="24"/>
          <w:szCs w:val="24"/>
        </w:rPr>
        <w:t xml:space="preserve"> and </w:t>
      </w:r>
      <w:r w:rsidR="00DB0EBC">
        <w:rPr>
          <w:rFonts w:ascii="Times New Roman" w:eastAsia="Calibri" w:hAnsi="Times New Roman"/>
          <w:noProof/>
          <w:spacing w:val="-8"/>
          <w:sz w:val="24"/>
          <w:szCs w:val="24"/>
        </w:rPr>
        <w:t xml:space="preserve">user experience, customer care, </w:t>
      </w:r>
      <w:r w:rsidR="00427232">
        <w:rPr>
          <w:rFonts w:ascii="Times New Roman" w:eastAsia="Calibri" w:hAnsi="Times New Roman"/>
          <w:noProof/>
          <w:spacing w:val="-8"/>
          <w:sz w:val="24"/>
          <w:szCs w:val="24"/>
        </w:rPr>
        <w:t>and additional services.</w:t>
      </w:r>
      <w:r w:rsidR="0033037A">
        <w:rPr>
          <w:rFonts w:ascii="Times New Roman" w:eastAsia="Calibri" w:hAnsi="Times New Roman"/>
          <w:noProof/>
          <w:spacing w:val="-8"/>
          <w:sz w:val="24"/>
          <w:szCs w:val="24"/>
        </w:rPr>
        <w:t xml:space="preserve"> </w:t>
      </w:r>
      <w:r w:rsidR="00CB2092">
        <w:rPr>
          <w:rFonts w:ascii="Times New Roman" w:eastAsia="Calibri" w:hAnsi="Times New Roman"/>
          <w:noProof/>
          <w:spacing w:val="-8"/>
          <w:sz w:val="24"/>
          <w:szCs w:val="24"/>
        </w:rPr>
        <w:t xml:space="preserve">This also </w:t>
      </w:r>
      <w:r w:rsidR="00C005FC">
        <w:rPr>
          <w:rFonts w:ascii="Times New Roman" w:eastAsia="Calibri" w:hAnsi="Times New Roman"/>
          <w:noProof/>
          <w:spacing w:val="-8"/>
          <w:sz w:val="24"/>
          <w:szCs w:val="24"/>
        </w:rPr>
        <w:t xml:space="preserve">creates visibility for </w:t>
      </w:r>
      <w:r w:rsidR="000F1A07">
        <w:rPr>
          <w:rFonts w:ascii="Times New Roman" w:eastAsia="Calibri" w:hAnsi="Times New Roman"/>
          <w:noProof/>
          <w:spacing w:val="-8"/>
          <w:sz w:val="24"/>
          <w:szCs w:val="24"/>
        </w:rPr>
        <w:t xml:space="preserve">and </w:t>
      </w:r>
      <w:r w:rsidR="000F1A07" w:rsidRPr="005D2D60">
        <w:rPr>
          <w:rFonts w:ascii="Times New Roman" w:eastAsia="Calibri" w:hAnsi="Times New Roman"/>
          <w:noProof/>
          <w:spacing w:val="-8"/>
          <w:sz w:val="24"/>
          <w:szCs w:val="24"/>
        </w:rPr>
        <w:t xml:space="preserve">incentivises </w:t>
      </w:r>
      <w:r w:rsidR="00C005FC">
        <w:rPr>
          <w:rFonts w:ascii="Times New Roman" w:eastAsia="Calibri" w:hAnsi="Times New Roman"/>
          <w:noProof/>
          <w:spacing w:val="-8"/>
          <w:sz w:val="24"/>
          <w:szCs w:val="24"/>
        </w:rPr>
        <w:t xml:space="preserve">new entrants in the rail services market, enabling them to innovate </w:t>
      </w:r>
      <w:r w:rsidR="000F1A07">
        <w:rPr>
          <w:rFonts w:ascii="Times New Roman" w:eastAsia="Calibri" w:hAnsi="Times New Roman"/>
          <w:noProof/>
          <w:spacing w:val="-8"/>
          <w:sz w:val="24"/>
          <w:szCs w:val="24"/>
        </w:rPr>
        <w:t>and compete with establish railway undertakings.</w:t>
      </w:r>
    </w:p>
    <w:p w14:paraId="13D3D115" w14:textId="4C765D11" w:rsidR="00952EA8" w:rsidRPr="00FD2DA7" w:rsidRDefault="00952EA8" w:rsidP="00131FC8">
      <w:pPr>
        <w:pStyle w:val="Text4"/>
        <w:spacing w:before="0"/>
        <w:ind w:left="0"/>
        <w:rPr>
          <w:rFonts w:ascii="Times New Roman" w:eastAsia="Calibri" w:hAnsi="Times New Roman"/>
          <w:b/>
          <w:i/>
          <w:iCs/>
          <w:noProof/>
          <w:spacing w:val="-8"/>
          <w:sz w:val="24"/>
          <w:szCs w:val="24"/>
        </w:rPr>
      </w:pPr>
      <w:r w:rsidRPr="00952EA8">
        <w:rPr>
          <w:rFonts w:ascii="Times New Roman" w:eastAsia="Calibri" w:hAnsi="Times New Roman"/>
          <w:b/>
          <w:i/>
          <w:iCs/>
          <w:noProof/>
          <w:spacing w:val="-8"/>
          <w:sz w:val="24"/>
          <w:szCs w:val="24"/>
        </w:rPr>
        <w:t>SME competitiveness</w:t>
      </w:r>
    </w:p>
    <w:p w14:paraId="081D1823" w14:textId="70EB2E77" w:rsidR="00C91A1C" w:rsidRPr="00C673A4" w:rsidRDefault="00C91A1C" w:rsidP="00C91A1C">
      <w:pPr>
        <w:pStyle w:val="BodyText"/>
        <w:spacing w:after="240"/>
        <w:ind w:left="0"/>
        <w:rPr>
          <w:i/>
          <w:noProof/>
          <w:sz w:val="20"/>
          <w:szCs w:val="20"/>
        </w:rPr>
      </w:pPr>
      <w:r w:rsidRPr="00800910">
        <w:rPr>
          <w:i/>
          <w:iCs/>
          <w:noProof/>
          <w:spacing w:val="-8"/>
        </w:rPr>
        <w:t>Adjustment costs savings for SME MDMS platforms.</w:t>
      </w:r>
      <w:r>
        <w:rPr>
          <w:noProof/>
          <w:spacing w:val="-8"/>
        </w:rPr>
        <w:t xml:space="preserve"> SME MDMS platforms will benefit from adjustment cost savings linked to the introduction of commercial agreement rules (PM11 and PM12). The costs savings are estimated at EUR </w:t>
      </w:r>
      <w:r w:rsidR="00554C88">
        <w:rPr>
          <w:noProof/>
          <w:spacing w:val="-8"/>
        </w:rPr>
        <w:t>90.5</w:t>
      </w:r>
      <w:r>
        <w:rPr>
          <w:noProof/>
          <w:spacing w:val="-8"/>
        </w:rPr>
        <w:t xml:space="preserve"> million</w:t>
      </w:r>
      <w:r w:rsidR="007B6C42">
        <w:rPr>
          <w:noProof/>
          <w:spacing w:val="-8"/>
        </w:rPr>
        <w:t>, expressed as present value over 2028-2050,</w:t>
      </w:r>
      <w:r>
        <w:rPr>
          <w:noProof/>
          <w:spacing w:val="-8"/>
        </w:rPr>
        <w:t xml:space="preserve"> due to the synergies with PM13 (obligation to share) and PM14 (obligation to host) that lead to higher number of new and renegotiated commercial agreements relative to the baseline. </w:t>
      </w:r>
    </w:p>
    <w:p w14:paraId="5F33A6D1" w14:textId="096274BC" w:rsidR="00C91A1C" w:rsidRPr="00C673A4" w:rsidRDefault="00C91A1C" w:rsidP="00C91A1C">
      <w:pPr>
        <w:pStyle w:val="BodyText"/>
        <w:spacing w:after="240"/>
        <w:ind w:left="0"/>
        <w:rPr>
          <w:noProof/>
          <w:spacing w:val="-8"/>
        </w:rPr>
      </w:pPr>
      <w:r w:rsidRPr="00800910">
        <w:rPr>
          <w:i/>
          <w:iCs/>
          <w:noProof/>
          <w:spacing w:val="-8"/>
        </w:rPr>
        <w:t>Adjustment costs savings for SME transport operators.</w:t>
      </w:r>
      <w:r>
        <w:rPr>
          <w:b/>
          <w:bCs/>
          <w:i/>
          <w:iCs/>
          <w:noProof/>
          <w:spacing w:val="-8"/>
        </w:rPr>
        <w:t xml:space="preserve"> </w:t>
      </w:r>
      <w:r>
        <w:rPr>
          <w:noProof/>
          <w:spacing w:val="-8"/>
        </w:rPr>
        <w:t xml:space="preserve">As for SME MDMS platforms, SME transport operators will also benefit from the introduction of commercial agreement rules for indispensable MDMS platforms (PM11) and indispensable RUs (PM12). The adjustment costs savings for SME transport operators, expressed as present value over 2028-2050 relative to the baseline, are estimates at EUR </w:t>
      </w:r>
      <w:r w:rsidR="00340829">
        <w:rPr>
          <w:noProof/>
          <w:spacing w:val="-8"/>
        </w:rPr>
        <w:t>96.1</w:t>
      </w:r>
      <w:r>
        <w:rPr>
          <w:noProof/>
          <w:spacing w:val="-8"/>
        </w:rPr>
        <w:t xml:space="preserve"> million.  </w:t>
      </w:r>
    </w:p>
    <w:p w14:paraId="3A3CE227" w14:textId="6B22D605" w:rsidR="00654448" w:rsidRPr="00F466F8" w:rsidRDefault="00C91A1C" w:rsidP="00FC111D">
      <w:pPr>
        <w:pStyle w:val="BodyText"/>
        <w:spacing w:after="240"/>
        <w:ind w:left="0"/>
        <w:rPr>
          <w:rFonts w:eastAsia="Calibri"/>
          <w:b/>
          <w:noProof/>
          <w:spacing w:val="-8"/>
        </w:rPr>
      </w:pPr>
      <w:r w:rsidRPr="00B13812">
        <w:rPr>
          <w:noProof/>
          <w:spacing w:val="-8"/>
        </w:rPr>
        <w:t>SMEs would also benefit from better market conditions: creating a level playing field for all stakeholders could be particularly beneficial for small businesses or start-ups. New entrant SMEs in the rail transport market would particularly</w:t>
      </w:r>
      <w:r w:rsidRPr="00B13812" w:rsidDel="009E3822">
        <w:rPr>
          <w:noProof/>
          <w:spacing w:val="-8"/>
        </w:rPr>
        <w:t xml:space="preserve"> </w:t>
      </w:r>
      <w:r w:rsidRPr="00B13812">
        <w:rPr>
          <w:noProof/>
          <w:spacing w:val="-8"/>
        </w:rPr>
        <w:t xml:space="preserve">benefit from the obligation for indispensable RU platforms to enter into commercial agreement with willing RUs (PM14). New entrant RUs face the problem of how to establish their brand and typically must resort to costly advertising campaigns, which can be prohibitive for SMEs. PM14 would allow them to benefit from indispensable RU platforms’ brand visibility and reach immediately the very high share of customers that use those platforms. In addition, the prohibition of restrictive contractual clauses by indispensable RUs and indispensable MDMS platforms and the introduction of fairer distribution fee principles (PM11 and PM12) would facilitate agreements between platforms and operators, directly targeting gatekeeping behaviour, curbing anti-competitive practices, and enhancing transparency and fairness. This would therefore greatly support smaller MDMSs and operators in concluding contractual agreements with players benefiting from a strategic position in the market. </w:t>
      </w:r>
    </w:p>
    <w:p w14:paraId="209BAF2A" w14:textId="77777777" w:rsidR="00654448" w:rsidRPr="00654448" w:rsidRDefault="00654448" w:rsidP="007B2D8E">
      <w:pPr>
        <w:pStyle w:val="Text4"/>
        <w:numPr>
          <w:ilvl w:val="1"/>
          <w:numId w:val="8"/>
        </w:numPr>
        <w:tabs>
          <w:tab w:val="clear" w:pos="1440"/>
          <w:tab w:val="num" w:pos="426"/>
        </w:tabs>
        <w:spacing w:before="0"/>
        <w:ind w:left="426" w:hanging="426"/>
        <w:rPr>
          <w:rFonts w:ascii="Times New Roman" w:eastAsia="Calibri" w:hAnsi="Times New Roman"/>
          <w:b/>
          <w:noProof/>
          <w:spacing w:val="-8"/>
          <w:sz w:val="24"/>
          <w:szCs w:val="24"/>
        </w:rPr>
      </w:pPr>
      <w:bookmarkStart w:id="2103" w:name="_Toc195101114"/>
      <w:r w:rsidRPr="00654448">
        <w:rPr>
          <w:rFonts w:ascii="Times New Roman" w:eastAsia="Calibri" w:hAnsi="Times New Roman"/>
          <w:b/>
          <w:noProof/>
          <w:spacing w:val="-8"/>
          <w:sz w:val="24"/>
          <w:szCs w:val="24"/>
        </w:rPr>
        <w:t>Competitive position of the most affected sectors</w:t>
      </w:r>
      <w:bookmarkEnd w:id="2103"/>
    </w:p>
    <w:p w14:paraId="549C2E70" w14:textId="1CE44DD4" w:rsidR="00AC6196" w:rsidRPr="00366AF2" w:rsidRDefault="00AC6196" w:rsidP="00366AF2">
      <w:pPr>
        <w:spacing w:after="240"/>
        <w:jc w:val="both"/>
        <w:rPr>
          <w:noProof/>
          <w:spacing w:val="-8"/>
          <w:szCs w:val="20"/>
        </w:rPr>
      </w:pPr>
      <w:r w:rsidRPr="00366AF2">
        <w:rPr>
          <w:noProof/>
          <w:spacing w:val="-8"/>
        </w:rPr>
        <w:t xml:space="preserve">The </w:t>
      </w:r>
      <w:r w:rsidR="00EF395B">
        <w:rPr>
          <w:noProof/>
          <w:spacing w:val="-8"/>
        </w:rPr>
        <w:t xml:space="preserve">passenger </w:t>
      </w:r>
      <w:r w:rsidRPr="00366AF2">
        <w:rPr>
          <w:noProof/>
          <w:spacing w:val="-8"/>
        </w:rPr>
        <w:t>rail sector will be most affected by the present initiative. The table below presents the value added</w:t>
      </w:r>
      <w:r w:rsidRPr="00366AF2" w:rsidDel="001620F4">
        <w:rPr>
          <w:noProof/>
          <w:spacing w:val="-8"/>
        </w:rPr>
        <w:t xml:space="preserve"> </w:t>
      </w:r>
      <w:r w:rsidRPr="00366AF2">
        <w:rPr>
          <w:noProof/>
          <w:spacing w:val="-8"/>
        </w:rPr>
        <w:t>for the EU economy</w:t>
      </w:r>
      <w:r w:rsidR="001620F4">
        <w:rPr>
          <w:rStyle w:val="FootnoteReference"/>
          <w:noProof/>
          <w:spacing w:val="-8"/>
        </w:rPr>
        <w:footnoteReference w:id="357"/>
      </w:r>
      <w:r w:rsidRPr="00366AF2">
        <w:rPr>
          <w:noProof/>
          <w:spacing w:val="-8"/>
        </w:rPr>
        <w:t xml:space="preserve">, including for the EU transport and storage sector between </w:t>
      </w:r>
      <w:r w:rsidR="00E40832">
        <w:rPr>
          <w:noProof/>
          <w:spacing w:val="-8"/>
        </w:rPr>
        <w:t>2021</w:t>
      </w:r>
      <w:r w:rsidR="00E40832" w:rsidRPr="00366AF2">
        <w:rPr>
          <w:noProof/>
          <w:spacing w:val="-8"/>
        </w:rPr>
        <w:t xml:space="preserve"> </w:t>
      </w:r>
      <w:r w:rsidRPr="00366AF2">
        <w:rPr>
          <w:noProof/>
          <w:spacing w:val="-8"/>
        </w:rPr>
        <w:t xml:space="preserve">and </w:t>
      </w:r>
      <w:r w:rsidR="00E40832">
        <w:rPr>
          <w:noProof/>
          <w:spacing w:val="-8"/>
        </w:rPr>
        <w:t>2023</w:t>
      </w:r>
      <w:r w:rsidRPr="00366AF2">
        <w:rPr>
          <w:noProof/>
          <w:spacing w:val="-8"/>
        </w:rPr>
        <w:t xml:space="preserve">. The </w:t>
      </w:r>
      <w:r w:rsidR="007B6F81">
        <w:rPr>
          <w:noProof/>
          <w:spacing w:val="-8"/>
        </w:rPr>
        <w:t xml:space="preserve">passenger </w:t>
      </w:r>
      <w:r w:rsidRPr="00366AF2">
        <w:rPr>
          <w:noProof/>
          <w:spacing w:val="-8"/>
        </w:rPr>
        <w:t>rail transport sector</w:t>
      </w:r>
      <w:r w:rsidRPr="7C415DE3">
        <w:rPr>
          <w:rStyle w:val="FootnoteReference"/>
          <w:noProof/>
          <w:spacing w:val="-8"/>
        </w:rPr>
        <w:footnoteReference w:id="358"/>
      </w:r>
      <w:r w:rsidRPr="00366AF2">
        <w:rPr>
          <w:noProof/>
          <w:spacing w:val="-8"/>
        </w:rPr>
        <w:t xml:space="preserve"> </w:t>
      </w:r>
      <w:r w:rsidR="00231896" w:rsidRPr="00366AF2">
        <w:rPr>
          <w:noProof/>
          <w:spacing w:val="-8"/>
        </w:rPr>
        <w:t xml:space="preserve">provides around 0.3% of the total </w:t>
      </w:r>
      <w:r w:rsidR="00231896">
        <w:rPr>
          <w:noProof/>
          <w:spacing w:val="-8"/>
        </w:rPr>
        <w:t>value added of all industry, construction and market services</w:t>
      </w:r>
      <w:r w:rsidR="00231896" w:rsidRPr="00366AF2">
        <w:rPr>
          <w:noProof/>
          <w:spacing w:val="-8"/>
        </w:rPr>
        <w:t xml:space="preserve"> and </w:t>
      </w:r>
      <w:r w:rsidR="006740C3">
        <w:rPr>
          <w:noProof/>
          <w:spacing w:val="-8"/>
        </w:rPr>
        <w:t>around 5</w:t>
      </w:r>
      <w:r w:rsidR="00231896" w:rsidRPr="00366AF2">
        <w:rPr>
          <w:noProof/>
          <w:spacing w:val="-8"/>
        </w:rPr>
        <w:t xml:space="preserve">% of the EU </w:t>
      </w:r>
      <w:r w:rsidR="00231896">
        <w:rPr>
          <w:noProof/>
          <w:spacing w:val="-8"/>
        </w:rPr>
        <w:t>value added</w:t>
      </w:r>
      <w:r w:rsidR="00231896" w:rsidRPr="00366AF2">
        <w:rPr>
          <w:noProof/>
          <w:spacing w:val="-8"/>
        </w:rPr>
        <w:t xml:space="preserve"> of the transport and storage sector (</w:t>
      </w:r>
      <w:r w:rsidR="006740C3">
        <w:rPr>
          <w:noProof/>
          <w:spacing w:val="-8"/>
        </w:rPr>
        <w:t>5.5</w:t>
      </w:r>
      <w:r w:rsidR="00231896" w:rsidRPr="00366AF2">
        <w:rPr>
          <w:noProof/>
          <w:spacing w:val="-8"/>
        </w:rPr>
        <w:t>% in 202</w:t>
      </w:r>
      <w:r w:rsidR="00231896">
        <w:rPr>
          <w:noProof/>
          <w:spacing w:val="-8"/>
        </w:rPr>
        <w:t>3</w:t>
      </w:r>
      <w:r w:rsidR="00231896" w:rsidRPr="00366AF2">
        <w:rPr>
          <w:noProof/>
          <w:spacing w:val="-8"/>
        </w:rPr>
        <w:t>).</w:t>
      </w:r>
      <w:r w:rsidRPr="00366AF2">
        <w:rPr>
          <w:noProof/>
          <w:spacing w:val="-8"/>
        </w:rPr>
        <w:t xml:space="preserve"> </w:t>
      </w:r>
    </w:p>
    <w:p w14:paraId="6073BD99" w14:textId="6BAF5724" w:rsidR="001620F4" w:rsidRPr="00202FA5" w:rsidRDefault="001620F4" w:rsidP="001620F4">
      <w:pPr>
        <w:keepNext/>
        <w:jc w:val="both"/>
        <w:rPr>
          <w:i/>
          <w:iCs/>
          <w:noProof/>
          <w:sz w:val="22"/>
          <w:szCs w:val="22"/>
        </w:rPr>
      </w:pPr>
      <w:r w:rsidRPr="00202FA5">
        <w:rPr>
          <w:i/>
          <w:noProof/>
          <w:sz w:val="22"/>
          <w:szCs w:val="22"/>
        </w:rPr>
        <w:t xml:space="preserve">Table </w:t>
      </w:r>
      <w:r w:rsidRPr="00202FA5">
        <w:rPr>
          <w:i/>
          <w:noProof/>
          <w:sz w:val="22"/>
          <w:szCs w:val="22"/>
        </w:rPr>
        <w:fldChar w:fldCharType="begin"/>
      </w:r>
      <w:r w:rsidRPr="00202FA5">
        <w:rPr>
          <w:i/>
          <w:noProof/>
          <w:sz w:val="22"/>
          <w:szCs w:val="22"/>
        </w:rPr>
        <w:instrText xml:space="preserve"> SEQ Table \* ARABIC </w:instrText>
      </w:r>
      <w:r w:rsidRPr="00202FA5">
        <w:rPr>
          <w:i/>
          <w:noProof/>
          <w:sz w:val="22"/>
          <w:szCs w:val="22"/>
        </w:rPr>
        <w:fldChar w:fldCharType="separate"/>
      </w:r>
      <w:r w:rsidR="0055391F">
        <w:rPr>
          <w:i/>
          <w:noProof/>
          <w:sz w:val="22"/>
          <w:szCs w:val="22"/>
        </w:rPr>
        <w:t>132</w:t>
      </w:r>
      <w:r w:rsidRPr="00202FA5">
        <w:rPr>
          <w:i/>
          <w:noProof/>
          <w:sz w:val="22"/>
          <w:szCs w:val="22"/>
        </w:rPr>
        <w:fldChar w:fldCharType="end"/>
      </w:r>
      <w:r w:rsidRPr="00202FA5">
        <w:rPr>
          <w:i/>
          <w:noProof/>
          <w:sz w:val="22"/>
          <w:szCs w:val="22"/>
        </w:rPr>
        <w:t>:</w:t>
      </w:r>
      <w:r w:rsidRPr="00202FA5">
        <w:rPr>
          <w:bCs/>
          <w:i/>
          <w:iCs/>
          <w:noProof/>
          <w:sz w:val="22"/>
          <w:szCs w:val="22"/>
        </w:rPr>
        <w:t xml:space="preserve">Value added for the EU economy, </w:t>
      </w:r>
      <w:r w:rsidR="000715CC" w:rsidRPr="000715CC">
        <w:rPr>
          <w:bCs/>
          <w:i/>
          <w:iCs/>
          <w:noProof/>
          <w:sz w:val="22"/>
          <w:szCs w:val="22"/>
        </w:rPr>
        <w:t>including for the EU transport and storage sector</w:t>
      </w:r>
      <w:r w:rsidR="000715CC">
        <w:rPr>
          <w:bCs/>
          <w:i/>
          <w:iCs/>
          <w:noProof/>
          <w:sz w:val="22"/>
          <w:szCs w:val="22"/>
        </w:rPr>
        <w:t>,</w:t>
      </w:r>
      <w:r w:rsidR="000715CC" w:rsidRPr="000715CC">
        <w:rPr>
          <w:bCs/>
          <w:i/>
          <w:iCs/>
          <w:noProof/>
          <w:sz w:val="22"/>
          <w:szCs w:val="22"/>
        </w:rPr>
        <w:t xml:space="preserve"> </w:t>
      </w:r>
      <w:r w:rsidRPr="00202FA5">
        <w:rPr>
          <w:bCs/>
          <w:i/>
          <w:iCs/>
          <w:noProof/>
          <w:sz w:val="22"/>
          <w:szCs w:val="22"/>
        </w:rPr>
        <w:t>between 2021 and 2023 (EUR million, in current prices)</w:t>
      </w:r>
    </w:p>
    <w:tbl>
      <w:tblPr>
        <w:tblW w:w="5000" w:type="pct"/>
        <w:tblLook w:val="04A0" w:firstRow="1" w:lastRow="0" w:firstColumn="1" w:lastColumn="0" w:noHBand="0" w:noVBand="1"/>
      </w:tblPr>
      <w:tblGrid>
        <w:gridCol w:w="304"/>
        <w:gridCol w:w="294"/>
        <w:gridCol w:w="248"/>
        <w:gridCol w:w="4819"/>
        <w:gridCol w:w="1276"/>
        <w:gridCol w:w="1276"/>
        <w:gridCol w:w="1386"/>
      </w:tblGrid>
      <w:tr w:rsidR="00631F56" w:rsidRPr="00C3115F" w14:paraId="66B2F12B" w14:textId="77777777" w:rsidTr="002B18A6">
        <w:trPr>
          <w:trHeight w:val="290"/>
          <w:tblHeader/>
        </w:trPr>
        <w:tc>
          <w:tcPr>
            <w:tcW w:w="5665" w:type="dxa"/>
            <w:gridSpan w:val="4"/>
            <w:tcBorders>
              <w:top w:val="single" w:sz="4" w:space="0" w:color="auto"/>
              <w:left w:val="single" w:sz="4" w:space="0" w:color="auto"/>
              <w:bottom w:val="single" w:sz="4" w:space="0" w:color="auto"/>
              <w:right w:val="single" w:sz="4" w:space="0" w:color="auto"/>
            </w:tcBorders>
            <w:shd w:val="clear" w:color="auto" w:fill="0070C0"/>
          </w:tcPr>
          <w:p w14:paraId="533D755E" w14:textId="77777777" w:rsidR="001620F4" w:rsidRPr="00C3115F" w:rsidRDefault="001620F4" w:rsidP="008B3A3A">
            <w:pPr>
              <w:jc w:val="center"/>
              <w:rPr>
                <w:b/>
                <w:bCs/>
                <w:noProof/>
                <w:color w:val="FFFFFF"/>
                <w:sz w:val="18"/>
                <w:szCs w:val="18"/>
              </w:rPr>
            </w:pPr>
          </w:p>
        </w:tc>
        <w:tc>
          <w:tcPr>
            <w:tcW w:w="1276" w:type="dxa"/>
            <w:tcBorders>
              <w:top w:val="single" w:sz="4" w:space="0" w:color="auto"/>
              <w:left w:val="nil"/>
              <w:bottom w:val="single" w:sz="4" w:space="0" w:color="auto"/>
              <w:right w:val="single" w:sz="4" w:space="0" w:color="auto"/>
            </w:tcBorders>
            <w:shd w:val="clear" w:color="auto" w:fill="0070C0"/>
            <w:noWrap/>
            <w:vAlign w:val="center"/>
            <w:hideMark/>
          </w:tcPr>
          <w:p w14:paraId="77CC685E" w14:textId="77777777" w:rsidR="001620F4" w:rsidRPr="00C3115F" w:rsidRDefault="001620F4" w:rsidP="008B3A3A">
            <w:pPr>
              <w:jc w:val="center"/>
              <w:rPr>
                <w:b/>
                <w:bCs/>
                <w:noProof/>
                <w:color w:val="FFFFFF"/>
                <w:sz w:val="18"/>
                <w:szCs w:val="18"/>
              </w:rPr>
            </w:pPr>
            <w:r>
              <w:rPr>
                <w:b/>
                <w:bCs/>
                <w:noProof/>
                <w:color w:val="FFFFFF"/>
                <w:sz w:val="18"/>
                <w:szCs w:val="18"/>
              </w:rPr>
              <w:t>2021</w:t>
            </w:r>
          </w:p>
        </w:tc>
        <w:tc>
          <w:tcPr>
            <w:tcW w:w="1276" w:type="dxa"/>
            <w:tcBorders>
              <w:top w:val="single" w:sz="4" w:space="0" w:color="auto"/>
              <w:left w:val="nil"/>
              <w:bottom w:val="single" w:sz="4" w:space="0" w:color="auto"/>
              <w:right w:val="single" w:sz="4" w:space="0" w:color="auto"/>
            </w:tcBorders>
            <w:shd w:val="clear" w:color="auto" w:fill="0070C0"/>
            <w:noWrap/>
            <w:vAlign w:val="center"/>
            <w:hideMark/>
          </w:tcPr>
          <w:p w14:paraId="77CCDA74" w14:textId="77777777" w:rsidR="001620F4" w:rsidRPr="00C3115F" w:rsidRDefault="001620F4" w:rsidP="008B3A3A">
            <w:pPr>
              <w:jc w:val="center"/>
              <w:rPr>
                <w:b/>
                <w:bCs/>
                <w:noProof/>
                <w:color w:val="FFFFFF"/>
                <w:sz w:val="18"/>
                <w:szCs w:val="18"/>
              </w:rPr>
            </w:pPr>
            <w:r>
              <w:rPr>
                <w:b/>
                <w:bCs/>
                <w:noProof/>
                <w:color w:val="FFFFFF"/>
                <w:sz w:val="18"/>
                <w:szCs w:val="18"/>
              </w:rPr>
              <w:t>2022</w:t>
            </w:r>
          </w:p>
        </w:tc>
        <w:tc>
          <w:tcPr>
            <w:tcW w:w="1386" w:type="dxa"/>
            <w:tcBorders>
              <w:top w:val="single" w:sz="4" w:space="0" w:color="auto"/>
              <w:left w:val="nil"/>
              <w:bottom w:val="single" w:sz="4" w:space="0" w:color="auto"/>
              <w:right w:val="single" w:sz="4" w:space="0" w:color="auto"/>
            </w:tcBorders>
            <w:shd w:val="clear" w:color="auto" w:fill="0070C0"/>
            <w:noWrap/>
            <w:vAlign w:val="center"/>
            <w:hideMark/>
          </w:tcPr>
          <w:p w14:paraId="08E57B2C" w14:textId="77777777" w:rsidR="001620F4" w:rsidRPr="00C3115F" w:rsidRDefault="001620F4" w:rsidP="008B3A3A">
            <w:pPr>
              <w:jc w:val="center"/>
              <w:rPr>
                <w:b/>
                <w:bCs/>
                <w:noProof/>
                <w:color w:val="FFFFFF"/>
                <w:sz w:val="18"/>
                <w:szCs w:val="18"/>
              </w:rPr>
            </w:pPr>
            <w:r w:rsidRPr="00C3115F">
              <w:rPr>
                <w:b/>
                <w:bCs/>
                <w:noProof/>
                <w:color w:val="FFFFFF"/>
                <w:sz w:val="18"/>
                <w:szCs w:val="18"/>
              </w:rPr>
              <w:t>202</w:t>
            </w:r>
            <w:r>
              <w:rPr>
                <w:b/>
                <w:bCs/>
                <w:noProof/>
                <w:color w:val="FFFFFF"/>
                <w:sz w:val="18"/>
                <w:szCs w:val="18"/>
              </w:rPr>
              <w:t>3</w:t>
            </w:r>
          </w:p>
        </w:tc>
      </w:tr>
      <w:tr w:rsidR="001620F4" w:rsidRPr="00C3115F" w14:paraId="6FEE7DBC" w14:textId="77777777" w:rsidTr="008B3A3A">
        <w:trPr>
          <w:trHeight w:val="360"/>
        </w:trPr>
        <w:tc>
          <w:tcPr>
            <w:tcW w:w="5665" w:type="dxa"/>
            <w:gridSpan w:val="4"/>
            <w:tcBorders>
              <w:top w:val="single" w:sz="4" w:space="0" w:color="auto"/>
              <w:left w:val="single" w:sz="4" w:space="0" w:color="auto"/>
              <w:bottom w:val="single" w:sz="4" w:space="0" w:color="auto"/>
              <w:right w:val="single" w:sz="4" w:space="0" w:color="auto"/>
            </w:tcBorders>
            <w:shd w:val="clear" w:color="000000" w:fill="DCE6F1"/>
            <w:vAlign w:val="center"/>
          </w:tcPr>
          <w:p w14:paraId="79DAE292" w14:textId="77777777" w:rsidR="001620F4" w:rsidRPr="00C3115F" w:rsidRDefault="001620F4" w:rsidP="008B3A3A">
            <w:pPr>
              <w:rPr>
                <w:b/>
                <w:bCs/>
                <w:noProof/>
                <w:sz w:val="18"/>
                <w:szCs w:val="18"/>
              </w:rPr>
            </w:pPr>
            <w:r>
              <w:rPr>
                <w:b/>
                <w:bCs/>
                <w:noProof/>
                <w:sz w:val="18"/>
                <w:szCs w:val="18"/>
              </w:rPr>
              <w:t>Industry, construction and market services [B</w:t>
            </w:r>
            <w:r w:rsidRPr="00782900">
              <w:rPr>
                <w:b/>
                <w:bCs/>
                <w:noProof/>
                <w:sz w:val="18"/>
                <w:szCs w:val="18"/>
              </w:rPr>
              <w:t>-S_X_O_S94</w:t>
            </w:r>
            <w:r>
              <w:rPr>
                <w:b/>
                <w:bCs/>
                <w:noProof/>
                <w:sz w:val="18"/>
                <w:szCs w:val="18"/>
              </w:rPr>
              <w:t>]*</w:t>
            </w:r>
          </w:p>
        </w:tc>
        <w:tc>
          <w:tcPr>
            <w:tcW w:w="1276" w:type="dxa"/>
            <w:tcBorders>
              <w:top w:val="nil"/>
              <w:left w:val="nil"/>
              <w:bottom w:val="single" w:sz="4" w:space="0" w:color="auto"/>
              <w:right w:val="single" w:sz="4" w:space="0" w:color="auto"/>
            </w:tcBorders>
            <w:shd w:val="clear" w:color="000000" w:fill="F6F6F6"/>
            <w:noWrap/>
            <w:vAlign w:val="center"/>
          </w:tcPr>
          <w:p w14:paraId="5D330714" w14:textId="25C8E032" w:rsidR="001620F4" w:rsidRPr="00B81B87" w:rsidRDefault="001620F4" w:rsidP="008B3A3A">
            <w:pPr>
              <w:jc w:val="center"/>
              <w:rPr>
                <w:noProof/>
                <w:sz w:val="18"/>
                <w:szCs w:val="18"/>
              </w:rPr>
            </w:pPr>
            <w:r w:rsidRPr="00B81B87">
              <w:rPr>
                <w:noProof/>
                <w:sz w:val="18"/>
                <w:szCs w:val="18"/>
              </w:rPr>
              <w:t>9</w:t>
            </w:r>
            <w:r w:rsidR="00E076D1">
              <w:rPr>
                <w:noProof/>
                <w:sz w:val="18"/>
                <w:szCs w:val="18"/>
              </w:rPr>
              <w:t>,</w:t>
            </w:r>
            <w:r w:rsidRPr="00B81B87">
              <w:rPr>
                <w:noProof/>
                <w:sz w:val="18"/>
                <w:szCs w:val="18"/>
              </w:rPr>
              <w:t>342</w:t>
            </w:r>
            <w:r w:rsidR="00E076D1">
              <w:rPr>
                <w:noProof/>
                <w:sz w:val="18"/>
                <w:szCs w:val="18"/>
              </w:rPr>
              <w:t>,</w:t>
            </w:r>
            <w:r w:rsidRPr="00B81B87">
              <w:rPr>
                <w:noProof/>
                <w:sz w:val="18"/>
                <w:szCs w:val="18"/>
              </w:rPr>
              <w:t>087</w:t>
            </w:r>
          </w:p>
        </w:tc>
        <w:tc>
          <w:tcPr>
            <w:tcW w:w="1276" w:type="dxa"/>
            <w:tcBorders>
              <w:top w:val="nil"/>
              <w:left w:val="nil"/>
              <w:bottom w:val="single" w:sz="4" w:space="0" w:color="auto"/>
              <w:right w:val="single" w:sz="4" w:space="0" w:color="auto"/>
            </w:tcBorders>
            <w:shd w:val="clear" w:color="000000" w:fill="F6F6F6"/>
            <w:noWrap/>
            <w:vAlign w:val="center"/>
          </w:tcPr>
          <w:p w14:paraId="09A376D7" w14:textId="7DA77445" w:rsidR="001620F4" w:rsidRPr="00B81B87" w:rsidRDefault="001620F4" w:rsidP="008B3A3A">
            <w:pPr>
              <w:jc w:val="center"/>
              <w:rPr>
                <w:noProof/>
                <w:sz w:val="18"/>
                <w:szCs w:val="18"/>
              </w:rPr>
            </w:pPr>
            <w:r w:rsidRPr="00B81B87">
              <w:rPr>
                <w:noProof/>
                <w:sz w:val="18"/>
                <w:szCs w:val="18"/>
              </w:rPr>
              <w:t>10</w:t>
            </w:r>
            <w:r w:rsidR="00E076D1">
              <w:rPr>
                <w:noProof/>
                <w:sz w:val="18"/>
                <w:szCs w:val="18"/>
              </w:rPr>
              <w:t>,</w:t>
            </w:r>
            <w:r w:rsidRPr="00B81B87">
              <w:rPr>
                <w:noProof/>
                <w:sz w:val="18"/>
                <w:szCs w:val="18"/>
              </w:rPr>
              <w:t>061</w:t>
            </w:r>
            <w:r w:rsidR="00E076D1">
              <w:rPr>
                <w:noProof/>
                <w:sz w:val="18"/>
                <w:szCs w:val="18"/>
              </w:rPr>
              <w:t>,</w:t>
            </w:r>
            <w:r w:rsidRPr="00B81B87">
              <w:rPr>
                <w:noProof/>
                <w:sz w:val="18"/>
                <w:szCs w:val="18"/>
              </w:rPr>
              <w:t>373</w:t>
            </w:r>
          </w:p>
        </w:tc>
        <w:tc>
          <w:tcPr>
            <w:tcW w:w="1386" w:type="dxa"/>
            <w:tcBorders>
              <w:top w:val="nil"/>
              <w:left w:val="nil"/>
              <w:bottom w:val="single" w:sz="4" w:space="0" w:color="auto"/>
              <w:right w:val="single" w:sz="4" w:space="0" w:color="auto"/>
            </w:tcBorders>
            <w:shd w:val="clear" w:color="000000" w:fill="F6F6F6"/>
            <w:noWrap/>
            <w:vAlign w:val="center"/>
          </w:tcPr>
          <w:p w14:paraId="5F12D126" w14:textId="40815A03" w:rsidR="001620F4" w:rsidRPr="00B81B87" w:rsidRDefault="001620F4" w:rsidP="008B3A3A">
            <w:pPr>
              <w:jc w:val="center"/>
              <w:rPr>
                <w:noProof/>
                <w:sz w:val="18"/>
                <w:szCs w:val="18"/>
              </w:rPr>
            </w:pPr>
            <w:r w:rsidRPr="00B81B87">
              <w:rPr>
                <w:noProof/>
                <w:sz w:val="18"/>
                <w:szCs w:val="18"/>
              </w:rPr>
              <w:t>10</w:t>
            </w:r>
            <w:r w:rsidR="00E076D1">
              <w:rPr>
                <w:noProof/>
                <w:sz w:val="18"/>
                <w:szCs w:val="18"/>
              </w:rPr>
              <w:t>,</w:t>
            </w:r>
            <w:r w:rsidRPr="00B81B87">
              <w:rPr>
                <w:noProof/>
                <w:sz w:val="18"/>
                <w:szCs w:val="18"/>
              </w:rPr>
              <w:t>459</w:t>
            </w:r>
            <w:r w:rsidR="00E076D1">
              <w:rPr>
                <w:noProof/>
                <w:sz w:val="18"/>
                <w:szCs w:val="18"/>
              </w:rPr>
              <w:t>,</w:t>
            </w:r>
            <w:r w:rsidRPr="00B81B87">
              <w:rPr>
                <w:noProof/>
                <w:sz w:val="18"/>
                <w:szCs w:val="18"/>
              </w:rPr>
              <w:t>844</w:t>
            </w:r>
          </w:p>
        </w:tc>
      </w:tr>
      <w:tr w:rsidR="00AA1EFD" w:rsidRPr="00C3115F" w14:paraId="44A0999A" w14:textId="77777777" w:rsidTr="00774A3B">
        <w:trPr>
          <w:trHeight w:val="290"/>
        </w:trPr>
        <w:tc>
          <w:tcPr>
            <w:tcW w:w="304" w:type="dxa"/>
            <w:vMerge w:val="restart"/>
            <w:tcBorders>
              <w:top w:val="nil"/>
              <w:left w:val="single" w:sz="4" w:space="0" w:color="auto"/>
              <w:right w:val="single" w:sz="4" w:space="0" w:color="auto"/>
            </w:tcBorders>
            <w:shd w:val="clear" w:color="000000" w:fill="D9D9D9"/>
            <w:noWrap/>
            <w:vAlign w:val="center"/>
            <w:hideMark/>
          </w:tcPr>
          <w:p w14:paraId="2B5A9AD2" w14:textId="77777777" w:rsidR="001620F4" w:rsidRPr="00C3115F" w:rsidRDefault="001620F4" w:rsidP="003B20B3">
            <w:pPr>
              <w:jc w:val="center"/>
              <w:rPr>
                <w:b/>
                <w:bCs/>
                <w:noProof/>
                <w:sz w:val="18"/>
                <w:szCs w:val="18"/>
              </w:rPr>
            </w:pPr>
            <w:r w:rsidRPr="00C3115F">
              <w:rPr>
                <w:b/>
                <w:bCs/>
                <w:noProof/>
                <w:sz w:val="18"/>
                <w:szCs w:val="18"/>
              </w:rPr>
              <w:t> </w:t>
            </w:r>
          </w:p>
        </w:tc>
        <w:tc>
          <w:tcPr>
            <w:tcW w:w="5361" w:type="dxa"/>
            <w:gridSpan w:val="3"/>
            <w:tcBorders>
              <w:top w:val="single" w:sz="4" w:space="0" w:color="auto"/>
              <w:left w:val="nil"/>
              <w:right w:val="single" w:sz="4" w:space="0" w:color="auto"/>
            </w:tcBorders>
            <w:shd w:val="clear" w:color="auto" w:fill="FFFFFF" w:themeFill="background1"/>
            <w:vAlign w:val="center"/>
          </w:tcPr>
          <w:p w14:paraId="4DF23824" w14:textId="77777777" w:rsidR="001620F4" w:rsidRPr="006C325D" w:rsidRDefault="001620F4" w:rsidP="003B20B3">
            <w:pPr>
              <w:rPr>
                <w:noProof/>
                <w:sz w:val="18"/>
                <w:szCs w:val="18"/>
              </w:rPr>
            </w:pPr>
            <w:r>
              <w:rPr>
                <w:b/>
                <w:noProof/>
                <w:sz w:val="18"/>
                <w:szCs w:val="18"/>
              </w:rPr>
              <w:t>Transportation and storage [H]</w:t>
            </w:r>
          </w:p>
        </w:tc>
        <w:tc>
          <w:tcPr>
            <w:tcW w:w="1276" w:type="dxa"/>
            <w:tcBorders>
              <w:top w:val="nil"/>
              <w:left w:val="nil"/>
              <w:bottom w:val="single" w:sz="4" w:space="0" w:color="auto"/>
              <w:right w:val="single" w:sz="4" w:space="0" w:color="auto"/>
            </w:tcBorders>
            <w:noWrap/>
            <w:vAlign w:val="center"/>
          </w:tcPr>
          <w:p w14:paraId="60608C5A" w14:textId="4FF57D98" w:rsidR="001620F4" w:rsidRPr="00B81B87" w:rsidRDefault="001620F4" w:rsidP="003B20B3">
            <w:pPr>
              <w:jc w:val="center"/>
              <w:rPr>
                <w:noProof/>
                <w:sz w:val="18"/>
                <w:szCs w:val="18"/>
              </w:rPr>
            </w:pPr>
            <w:r w:rsidRPr="00B81B87">
              <w:rPr>
                <w:noProof/>
                <w:sz w:val="18"/>
                <w:szCs w:val="18"/>
              </w:rPr>
              <w:t>527</w:t>
            </w:r>
            <w:r w:rsidR="00E076D1">
              <w:rPr>
                <w:noProof/>
                <w:sz w:val="18"/>
                <w:szCs w:val="18"/>
              </w:rPr>
              <w:t>,</w:t>
            </w:r>
            <w:r w:rsidRPr="00B81B87">
              <w:rPr>
                <w:noProof/>
                <w:sz w:val="18"/>
                <w:szCs w:val="18"/>
              </w:rPr>
              <w:t>710</w:t>
            </w:r>
          </w:p>
        </w:tc>
        <w:tc>
          <w:tcPr>
            <w:tcW w:w="1276" w:type="dxa"/>
            <w:tcBorders>
              <w:top w:val="nil"/>
              <w:left w:val="nil"/>
              <w:bottom w:val="single" w:sz="4" w:space="0" w:color="auto"/>
              <w:right w:val="single" w:sz="4" w:space="0" w:color="auto"/>
            </w:tcBorders>
            <w:noWrap/>
            <w:vAlign w:val="center"/>
          </w:tcPr>
          <w:p w14:paraId="72F53946" w14:textId="217BFBED" w:rsidR="001620F4" w:rsidRPr="00B81B87" w:rsidRDefault="001620F4" w:rsidP="003B20B3">
            <w:pPr>
              <w:jc w:val="center"/>
              <w:rPr>
                <w:noProof/>
                <w:sz w:val="18"/>
                <w:szCs w:val="18"/>
              </w:rPr>
            </w:pPr>
            <w:r w:rsidRPr="00B81B87">
              <w:rPr>
                <w:noProof/>
                <w:sz w:val="18"/>
                <w:szCs w:val="18"/>
              </w:rPr>
              <w:t>642</w:t>
            </w:r>
            <w:r w:rsidR="00E076D1">
              <w:rPr>
                <w:noProof/>
                <w:sz w:val="18"/>
                <w:szCs w:val="18"/>
              </w:rPr>
              <w:t>,</w:t>
            </w:r>
            <w:r w:rsidRPr="00B81B87">
              <w:rPr>
                <w:noProof/>
                <w:sz w:val="18"/>
                <w:szCs w:val="18"/>
              </w:rPr>
              <w:t>710</w:t>
            </w:r>
          </w:p>
        </w:tc>
        <w:tc>
          <w:tcPr>
            <w:tcW w:w="1386" w:type="dxa"/>
            <w:tcBorders>
              <w:top w:val="nil"/>
              <w:left w:val="nil"/>
              <w:bottom w:val="single" w:sz="4" w:space="0" w:color="auto"/>
              <w:right w:val="single" w:sz="4" w:space="0" w:color="auto"/>
            </w:tcBorders>
            <w:noWrap/>
            <w:vAlign w:val="center"/>
          </w:tcPr>
          <w:p w14:paraId="44A337CD" w14:textId="0921118F" w:rsidR="001620F4" w:rsidRPr="00B81B87" w:rsidRDefault="001620F4" w:rsidP="003B20B3">
            <w:pPr>
              <w:jc w:val="center"/>
              <w:rPr>
                <w:noProof/>
                <w:sz w:val="18"/>
                <w:szCs w:val="18"/>
              </w:rPr>
            </w:pPr>
            <w:r w:rsidRPr="00B81B87">
              <w:rPr>
                <w:noProof/>
                <w:sz w:val="18"/>
                <w:szCs w:val="18"/>
              </w:rPr>
              <w:t>597</w:t>
            </w:r>
            <w:r w:rsidR="00E076D1">
              <w:rPr>
                <w:noProof/>
                <w:sz w:val="18"/>
                <w:szCs w:val="18"/>
              </w:rPr>
              <w:t>,</w:t>
            </w:r>
            <w:r w:rsidRPr="00B81B87">
              <w:rPr>
                <w:noProof/>
                <w:sz w:val="18"/>
                <w:szCs w:val="18"/>
              </w:rPr>
              <w:t>797</w:t>
            </w:r>
          </w:p>
        </w:tc>
      </w:tr>
      <w:tr w:rsidR="001620F4" w:rsidRPr="00C3115F" w14:paraId="0308A641" w14:textId="77777777" w:rsidTr="008B3A3A">
        <w:trPr>
          <w:trHeight w:val="290"/>
        </w:trPr>
        <w:tc>
          <w:tcPr>
            <w:tcW w:w="304" w:type="dxa"/>
            <w:vMerge/>
            <w:tcBorders>
              <w:left w:val="single" w:sz="4" w:space="0" w:color="auto"/>
              <w:right w:val="single" w:sz="4" w:space="0" w:color="auto"/>
            </w:tcBorders>
            <w:vAlign w:val="center"/>
            <w:hideMark/>
          </w:tcPr>
          <w:p w14:paraId="60317286" w14:textId="77777777" w:rsidR="001620F4" w:rsidRPr="00C3115F" w:rsidRDefault="001620F4" w:rsidP="003B20B3">
            <w:pPr>
              <w:rPr>
                <w:b/>
                <w:bCs/>
                <w:noProof/>
                <w:sz w:val="18"/>
                <w:szCs w:val="18"/>
              </w:rPr>
            </w:pPr>
          </w:p>
        </w:tc>
        <w:tc>
          <w:tcPr>
            <w:tcW w:w="294" w:type="dxa"/>
            <w:vMerge w:val="restart"/>
            <w:tcBorders>
              <w:top w:val="single" w:sz="4" w:space="0" w:color="auto"/>
              <w:left w:val="nil"/>
              <w:bottom w:val="single" w:sz="4" w:space="0" w:color="auto"/>
              <w:right w:val="single" w:sz="4" w:space="0" w:color="auto"/>
            </w:tcBorders>
            <w:shd w:val="clear" w:color="auto" w:fill="D9D9D9"/>
            <w:noWrap/>
            <w:vAlign w:val="bottom"/>
            <w:hideMark/>
          </w:tcPr>
          <w:p w14:paraId="640366C1" w14:textId="77777777" w:rsidR="001620F4" w:rsidRPr="00C3115F" w:rsidRDefault="001620F4" w:rsidP="003B20B3">
            <w:pPr>
              <w:jc w:val="center"/>
              <w:rPr>
                <w:noProof/>
                <w:color w:val="000000"/>
              </w:rPr>
            </w:pPr>
            <w:r w:rsidRPr="00C3115F">
              <w:rPr>
                <w:noProof/>
                <w:color w:val="000000"/>
              </w:rPr>
              <w:t> </w:t>
            </w:r>
          </w:p>
        </w:tc>
        <w:tc>
          <w:tcPr>
            <w:tcW w:w="5067" w:type="dxa"/>
            <w:gridSpan w:val="2"/>
            <w:tcBorders>
              <w:top w:val="single" w:sz="4" w:space="0" w:color="auto"/>
              <w:left w:val="nil"/>
              <w:bottom w:val="single" w:sz="4" w:space="0" w:color="auto"/>
              <w:right w:val="single" w:sz="4" w:space="0" w:color="auto"/>
            </w:tcBorders>
            <w:shd w:val="clear" w:color="000000" w:fill="DCE6F1"/>
            <w:vAlign w:val="center"/>
          </w:tcPr>
          <w:p w14:paraId="7189DF6A" w14:textId="77777777" w:rsidR="001620F4" w:rsidRPr="006C325D" w:rsidRDefault="001620F4" w:rsidP="003B20B3">
            <w:pPr>
              <w:rPr>
                <w:noProof/>
                <w:sz w:val="18"/>
                <w:szCs w:val="18"/>
              </w:rPr>
            </w:pPr>
            <w:r>
              <w:rPr>
                <w:b/>
                <w:bCs/>
                <w:noProof/>
                <w:sz w:val="18"/>
                <w:szCs w:val="18"/>
              </w:rPr>
              <w:t xml:space="preserve">Land transport and transport via pipelines </w:t>
            </w:r>
            <w:r w:rsidRPr="00214E6E">
              <w:rPr>
                <w:noProof/>
                <w:sz w:val="18"/>
                <w:szCs w:val="18"/>
              </w:rPr>
              <w:t>[</w:t>
            </w:r>
            <w:r>
              <w:rPr>
                <w:noProof/>
                <w:sz w:val="18"/>
                <w:szCs w:val="18"/>
              </w:rPr>
              <w:t>H49</w:t>
            </w:r>
            <w:r w:rsidRPr="00214E6E">
              <w:rPr>
                <w:noProof/>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000000" w:fill="F6F6F6"/>
            <w:noWrap/>
            <w:vAlign w:val="center"/>
          </w:tcPr>
          <w:p w14:paraId="514CD586" w14:textId="4443BA92" w:rsidR="001620F4" w:rsidRPr="00B81B87" w:rsidRDefault="001620F4" w:rsidP="003B20B3">
            <w:pPr>
              <w:jc w:val="center"/>
              <w:rPr>
                <w:noProof/>
                <w:sz w:val="18"/>
                <w:szCs w:val="18"/>
              </w:rPr>
            </w:pPr>
            <w:r w:rsidRPr="00B81B87">
              <w:rPr>
                <w:noProof/>
                <w:sz w:val="18"/>
                <w:szCs w:val="18"/>
              </w:rPr>
              <w:t>226</w:t>
            </w:r>
            <w:r w:rsidR="00E076D1">
              <w:rPr>
                <w:noProof/>
                <w:sz w:val="18"/>
                <w:szCs w:val="18"/>
              </w:rPr>
              <w:t>,</w:t>
            </w:r>
            <w:r w:rsidRPr="00B81B87">
              <w:rPr>
                <w:noProof/>
                <w:sz w:val="18"/>
                <w:szCs w:val="18"/>
              </w:rPr>
              <w:t>316</w:t>
            </w:r>
          </w:p>
        </w:tc>
        <w:tc>
          <w:tcPr>
            <w:tcW w:w="1276" w:type="dxa"/>
            <w:tcBorders>
              <w:top w:val="single" w:sz="4" w:space="0" w:color="auto"/>
              <w:left w:val="nil"/>
              <w:bottom w:val="single" w:sz="4" w:space="0" w:color="auto"/>
              <w:right w:val="single" w:sz="4" w:space="0" w:color="auto"/>
            </w:tcBorders>
            <w:shd w:val="clear" w:color="000000" w:fill="F6F6F6"/>
            <w:noWrap/>
            <w:vAlign w:val="center"/>
          </w:tcPr>
          <w:p w14:paraId="0BA864CD" w14:textId="39308753" w:rsidR="001620F4" w:rsidRPr="00B81B87" w:rsidRDefault="001620F4" w:rsidP="003B20B3">
            <w:pPr>
              <w:jc w:val="center"/>
              <w:rPr>
                <w:noProof/>
                <w:sz w:val="18"/>
                <w:szCs w:val="18"/>
              </w:rPr>
            </w:pPr>
            <w:r w:rsidRPr="00B81B87">
              <w:rPr>
                <w:noProof/>
                <w:sz w:val="18"/>
                <w:szCs w:val="18"/>
              </w:rPr>
              <w:t>257</w:t>
            </w:r>
            <w:r w:rsidR="00E076D1">
              <w:rPr>
                <w:noProof/>
                <w:sz w:val="18"/>
                <w:szCs w:val="18"/>
              </w:rPr>
              <w:t>,</w:t>
            </w:r>
            <w:r w:rsidRPr="00B81B87">
              <w:rPr>
                <w:noProof/>
                <w:sz w:val="18"/>
                <w:szCs w:val="18"/>
              </w:rPr>
              <w:t>300</w:t>
            </w:r>
          </w:p>
        </w:tc>
        <w:tc>
          <w:tcPr>
            <w:tcW w:w="1386" w:type="dxa"/>
            <w:tcBorders>
              <w:top w:val="single" w:sz="4" w:space="0" w:color="auto"/>
              <w:left w:val="nil"/>
              <w:bottom w:val="single" w:sz="4" w:space="0" w:color="auto"/>
              <w:right w:val="single" w:sz="4" w:space="0" w:color="auto"/>
            </w:tcBorders>
            <w:shd w:val="clear" w:color="000000" w:fill="F6F6F6"/>
            <w:noWrap/>
            <w:vAlign w:val="center"/>
          </w:tcPr>
          <w:p w14:paraId="562FCE42" w14:textId="43A357B2" w:rsidR="001620F4" w:rsidRPr="00B81B87" w:rsidRDefault="001620F4" w:rsidP="003B20B3">
            <w:pPr>
              <w:jc w:val="center"/>
              <w:rPr>
                <w:noProof/>
                <w:sz w:val="18"/>
                <w:szCs w:val="18"/>
              </w:rPr>
            </w:pPr>
            <w:r w:rsidRPr="00B81B87">
              <w:rPr>
                <w:noProof/>
                <w:sz w:val="18"/>
                <w:szCs w:val="18"/>
              </w:rPr>
              <w:t>264</w:t>
            </w:r>
            <w:r w:rsidR="00E076D1">
              <w:rPr>
                <w:noProof/>
                <w:sz w:val="18"/>
                <w:szCs w:val="18"/>
              </w:rPr>
              <w:t>,</w:t>
            </w:r>
            <w:r w:rsidRPr="00B81B87">
              <w:rPr>
                <w:noProof/>
                <w:sz w:val="18"/>
                <w:szCs w:val="18"/>
              </w:rPr>
              <w:t>687</w:t>
            </w:r>
          </w:p>
        </w:tc>
      </w:tr>
      <w:tr w:rsidR="001620F4" w:rsidRPr="00C3115F" w14:paraId="01B8216A" w14:textId="77777777" w:rsidTr="008B3A3A">
        <w:trPr>
          <w:trHeight w:val="290"/>
        </w:trPr>
        <w:tc>
          <w:tcPr>
            <w:tcW w:w="304" w:type="dxa"/>
            <w:vMerge/>
            <w:tcBorders>
              <w:left w:val="single" w:sz="4" w:space="0" w:color="auto"/>
              <w:right w:val="single" w:sz="4" w:space="0" w:color="auto"/>
            </w:tcBorders>
            <w:vAlign w:val="center"/>
          </w:tcPr>
          <w:p w14:paraId="7DDEAAC8" w14:textId="77777777" w:rsidR="001620F4" w:rsidRPr="00C3115F" w:rsidRDefault="001620F4" w:rsidP="003B20B3">
            <w:pPr>
              <w:rPr>
                <w:b/>
                <w:bCs/>
                <w:noProof/>
                <w:sz w:val="18"/>
                <w:szCs w:val="18"/>
              </w:rPr>
            </w:pPr>
          </w:p>
        </w:tc>
        <w:tc>
          <w:tcPr>
            <w:tcW w:w="294" w:type="dxa"/>
            <w:vMerge/>
            <w:tcBorders>
              <w:top w:val="single" w:sz="4" w:space="0" w:color="auto"/>
              <w:left w:val="nil"/>
              <w:bottom w:val="single" w:sz="4" w:space="0" w:color="auto"/>
              <w:right w:val="single" w:sz="4" w:space="0" w:color="auto"/>
            </w:tcBorders>
            <w:shd w:val="clear" w:color="auto" w:fill="D9D9D9"/>
            <w:noWrap/>
            <w:vAlign w:val="bottom"/>
          </w:tcPr>
          <w:p w14:paraId="624AAA13" w14:textId="77777777" w:rsidR="001620F4" w:rsidRPr="00C3115F" w:rsidRDefault="001620F4" w:rsidP="003B20B3">
            <w:pPr>
              <w:jc w:val="center"/>
              <w:rPr>
                <w:noProof/>
                <w:color w:val="000000"/>
              </w:rPr>
            </w:pPr>
          </w:p>
        </w:tc>
        <w:tc>
          <w:tcPr>
            <w:tcW w:w="248" w:type="dxa"/>
            <w:vMerge w:val="restart"/>
            <w:tcBorders>
              <w:top w:val="single" w:sz="4" w:space="0" w:color="auto"/>
              <w:left w:val="nil"/>
              <w:bottom w:val="single" w:sz="4" w:space="0" w:color="auto"/>
              <w:right w:val="single" w:sz="4" w:space="0" w:color="auto"/>
            </w:tcBorders>
            <w:shd w:val="clear" w:color="auto" w:fill="D9D9D9"/>
            <w:vAlign w:val="center"/>
          </w:tcPr>
          <w:p w14:paraId="656B8F90" w14:textId="77777777" w:rsidR="001620F4" w:rsidRDefault="001620F4" w:rsidP="003B20B3">
            <w:pPr>
              <w:rPr>
                <w:b/>
                <w:noProof/>
                <w:sz w:val="18"/>
                <w:szCs w:val="18"/>
              </w:rPr>
            </w:pPr>
          </w:p>
        </w:tc>
        <w:tc>
          <w:tcPr>
            <w:tcW w:w="4819" w:type="dxa"/>
            <w:tcBorders>
              <w:top w:val="single" w:sz="4" w:space="0" w:color="auto"/>
              <w:left w:val="single" w:sz="4" w:space="0" w:color="auto"/>
              <w:bottom w:val="single" w:sz="4" w:space="0" w:color="auto"/>
              <w:right w:val="single" w:sz="4" w:space="0" w:color="auto"/>
            </w:tcBorders>
            <w:shd w:val="clear" w:color="000000" w:fill="DCE6F1"/>
            <w:vAlign w:val="center"/>
          </w:tcPr>
          <w:p w14:paraId="6A6F8065" w14:textId="77777777" w:rsidR="001620F4" w:rsidRDefault="001620F4" w:rsidP="003B20B3">
            <w:pPr>
              <w:rPr>
                <w:b/>
                <w:bCs/>
                <w:noProof/>
                <w:sz w:val="18"/>
                <w:szCs w:val="18"/>
              </w:rPr>
            </w:pPr>
            <w:r>
              <w:rPr>
                <w:b/>
                <w:noProof/>
                <w:sz w:val="18"/>
                <w:szCs w:val="18"/>
              </w:rPr>
              <w:t xml:space="preserve">Passenger rail transport, interurban </w:t>
            </w:r>
            <w:r w:rsidRPr="00B81B87">
              <w:rPr>
                <w:bCs/>
                <w:noProof/>
                <w:sz w:val="18"/>
                <w:szCs w:val="18"/>
              </w:rPr>
              <w:t>[H491]</w:t>
            </w:r>
          </w:p>
        </w:tc>
        <w:tc>
          <w:tcPr>
            <w:tcW w:w="1276" w:type="dxa"/>
            <w:tcBorders>
              <w:top w:val="single" w:sz="4" w:space="0" w:color="auto"/>
              <w:left w:val="single" w:sz="4" w:space="0" w:color="auto"/>
              <w:bottom w:val="single" w:sz="4" w:space="0" w:color="auto"/>
              <w:right w:val="single" w:sz="4" w:space="0" w:color="auto"/>
            </w:tcBorders>
            <w:shd w:val="clear" w:color="000000" w:fill="F6F6F6"/>
            <w:noWrap/>
            <w:vAlign w:val="center"/>
          </w:tcPr>
          <w:p w14:paraId="529D90E9" w14:textId="2A263DF0" w:rsidR="001620F4" w:rsidRPr="00B81B87" w:rsidRDefault="001620F4" w:rsidP="003B20B3">
            <w:pPr>
              <w:jc w:val="center"/>
              <w:rPr>
                <w:noProof/>
                <w:sz w:val="18"/>
                <w:szCs w:val="18"/>
              </w:rPr>
            </w:pPr>
            <w:r w:rsidRPr="00B81B87">
              <w:rPr>
                <w:noProof/>
                <w:sz w:val="18"/>
                <w:szCs w:val="18"/>
              </w:rPr>
              <w:t>26</w:t>
            </w:r>
            <w:r w:rsidR="00E076D1">
              <w:rPr>
                <w:noProof/>
                <w:sz w:val="18"/>
                <w:szCs w:val="18"/>
              </w:rPr>
              <w:t>,</w:t>
            </w:r>
            <w:r w:rsidRPr="00B81B87">
              <w:rPr>
                <w:noProof/>
                <w:sz w:val="18"/>
                <w:szCs w:val="18"/>
              </w:rPr>
              <w:t>500</w:t>
            </w:r>
            <w:r>
              <w:rPr>
                <w:noProof/>
                <w:sz w:val="18"/>
                <w:szCs w:val="18"/>
              </w:rPr>
              <w:t>**</w:t>
            </w:r>
          </w:p>
        </w:tc>
        <w:tc>
          <w:tcPr>
            <w:tcW w:w="1276" w:type="dxa"/>
            <w:tcBorders>
              <w:top w:val="single" w:sz="4" w:space="0" w:color="auto"/>
              <w:left w:val="nil"/>
              <w:bottom w:val="single" w:sz="4" w:space="0" w:color="auto"/>
              <w:right w:val="single" w:sz="4" w:space="0" w:color="auto"/>
            </w:tcBorders>
            <w:shd w:val="clear" w:color="000000" w:fill="F6F6F6"/>
            <w:noWrap/>
            <w:vAlign w:val="center"/>
          </w:tcPr>
          <w:p w14:paraId="01CD1BE8" w14:textId="529F417C" w:rsidR="001620F4" w:rsidRPr="00B81B87" w:rsidRDefault="001620F4" w:rsidP="003B20B3">
            <w:pPr>
              <w:jc w:val="center"/>
              <w:rPr>
                <w:noProof/>
                <w:sz w:val="18"/>
                <w:szCs w:val="18"/>
              </w:rPr>
            </w:pPr>
            <w:r w:rsidRPr="00B81B87">
              <w:rPr>
                <w:noProof/>
                <w:sz w:val="18"/>
                <w:szCs w:val="18"/>
              </w:rPr>
              <w:t>30</w:t>
            </w:r>
            <w:r w:rsidR="00E076D1">
              <w:rPr>
                <w:noProof/>
                <w:sz w:val="18"/>
                <w:szCs w:val="18"/>
              </w:rPr>
              <w:t>,</w:t>
            </w:r>
            <w:r w:rsidRPr="00B81B87">
              <w:rPr>
                <w:noProof/>
                <w:sz w:val="18"/>
                <w:szCs w:val="18"/>
              </w:rPr>
              <w:t>793</w:t>
            </w:r>
          </w:p>
        </w:tc>
        <w:tc>
          <w:tcPr>
            <w:tcW w:w="1386" w:type="dxa"/>
            <w:tcBorders>
              <w:top w:val="single" w:sz="4" w:space="0" w:color="auto"/>
              <w:left w:val="nil"/>
              <w:bottom w:val="single" w:sz="4" w:space="0" w:color="auto"/>
              <w:right w:val="single" w:sz="4" w:space="0" w:color="auto"/>
            </w:tcBorders>
            <w:shd w:val="clear" w:color="000000" w:fill="F6F6F6"/>
            <w:noWrap/>
            <w:vAlign w:val="center"/>
          </w:tcPr>
          <w:p w14:paraId="34B43DEB" w14:textId="2E25DA4A" w:rsidR="001620F4" w:rsidRPr="00B81B87" w:rsidRDefault="001620F4" w:rsidP="003B20B3">
            <w:pPr>
              <w:jc w:val="center"/>
              <w:rPr>
                <w:noProof/>
                <w:sz w:val="18"/>
                <w:szCs w:val="18"/>
              </w:rPr>
            </w:pPr>
            <w:r w:rsidRPr="00B81B87">
              <w:rPr>
                <w:noProof/>
                <w:sz w:val="18"/>
                <w:szCs w:val="18"/>
              </w:rPr>
              <w:t>32</w:t>
            </w:r>
            <w:r w:rsidR="00E076D1">
              <w:rPr>
                <w:noProof/>
                <w:sz w:val="18"/>
                <w:szCs w:val="18"/>
              </w:rPr>
              <w:t>,</w:t>
            </w:r>
            <w:r w:rsidRPr="00B81B87">
              <w:rPr>
                <w:noProof/>
                <w:sz w:val="18"/>
                <w:szCs w:val="18"/>
              </w:rPr>
              <w:t>961</w:t>
            </w:r>
          </w:p>
        </w:tc>
      </w:tr>
      <w:tr w:rsidR="001620F4" w:rsidRPr="00C3115F" w14:paraId="7F62D6DC" w14:textId="77777777" w:rsidTr="008B3A3A">
        <w:trPr>
          <w:trHeight w:val="290"/>
        </w:trPr>
        <w:tc>
          <w:tcPr>
            <w:tcW w:w="304" w:type="dxa"/>
            <w:vMerge/>
            <w:tcBorders>
              <w:left w:val="single" w:sz="4" w:space="0" w:color="auto"/>
              <w:right w:val="single" w:sz="4" w:space="0" w:color="auto"/>
            </w:tcBorders>
            <w:vAlign w:val="center"/>
          </w:tcPr>
          <w:p w14:paraId="0FE69D1A" w14:textId="77777777" w:rsidR="001620F4" w:rsidRPr="00C3115F" w:rsidRDefault="001620F4" w:rsidP="003B20B3">
            <w:pPr>
              <w:rPr>
                <w:b/>
                <w:bCs/>
                <w:noProof/>
                <w:sz w:val="18"/>
                <w:szCs w:val="18"/>
              </w:rPr>
            </w:pPr>
          </w:p>
        </w:tc>
        <w:tc>
          <w:tcPr>
            <w:tcW w:w="294" w:type="dxa"/>
            <w:vMerge/>
            <w:tcBorders>
              <w:top w:val="single" w:sz="4" w:space="0" w:color="auto"/>
              <w:left w:val="nil"/>
              <w:bottom w:val="single" w:sz="4" w:space="0" w:color="auto"/>
              <w:right w:val="single" w:sz="4" w:space="0" w:color="auto"/>
            </w:tcBorders>
            <w:shd w:val="clear" w:color="auto" w:fill="D9D9D9"/>
            <w:noWrap/>
            <w:vAlign w:val="bottom"/>
          </w:tcPr>
          <w:p w14:paraId="1D25ADC4" w14:textId="77777777" w:rsidR="001620F4" w:rsidRPr="00C3115F" w:rsidRDefault="001620F4" w:rsidP="003B20B3">
            <w:pPr>
              <w:jc w:val="center"/>
              <w:rPr>
                <w:noProof/>
                <w:color w:val="000000"/>
              </w:rPr>
            </w:pPr>
          </w:p>
        </w:tc>
        <w:tc>
          <w:tcPr>
            <w:tcW w:w="248" w:type="dxa"/>
            <w:vMerge/>
            <w:tcBorders>
              <w:top w:val="single" w:sz="4" w:space="0" w:color="auto"/>
              <w:left w:val="nil"/>
              <w:bottom w:val="single" w:sz="4" w:space="0" w:color="auto"/>
              <w:right w:val="single" w:sz="4" w:space="0" w:color="auto"/>
            </w:tcBorders>
            <w:shd w:val="clear" w:color="auto" w:fill="D9D9D9"/>
            <w:vAlign w:val="center"/>
          </w:tcPr>
          <w:p w14:paraId="4987EEFA" w14:textId="77777777" w:rsidR="001620F4" w:rsidRDefault="001620F4" w:rsidP="003B20B3">
            <w:pPr>
              <w:rPr>
                <w:b/>
                <w:bCs/>
                <w:noProof/>
                <w:sz w:val="18"/>
                <w:szCs w:val="18"/>
              </w:rPr>
            </w:pPr>
          </w:p>
        </w:tc>
        <w:tc>
          <w:tcPr>
            <w:tcW w:w="4819" w:type="dxa"/>
            <w:tcBorders>
              <w:top w:val="single" w:sz="4" w:space="0" w:color="auto"/>
              <w:left w:val="single" w:sz="4" w:space="0" w:color="auto"/>
              <w:bottom w:val="single" w:sz="4" w:space="0" w:color="auto"/>
              <w:right w:val="single" w:sz="4" w:space="0" w:color="auto"/>
            </w:tcBorders>
            <w:shd w:val="clear" w:color="000000" w:fill="DCE6F1"/>
            <w:vAlign w:val="center"/>
          </w:tcPr>
          <w:p w14:paraId="7EE7BE30" w14:textId="77777777" w:rsidR="001620F4" w:rsidRPr="00781031" w:rsidRDefault="001620F4" w:rsidP="003B20B3">
            <w:pPr>
              <w:rPr>
                <w:b/>
                <w:noProof/>
                <w:sz w:val="18"/>
                <w:szCs w:val="18"/>
                <w:lang w:val="de-DE"/>
              </w:rPr>
            </w:pPr>
            <w:r w:rsidRPr="00781031">
              <w:rPr>
                <w:b/>
                <w:noProof/>
                <w:sz w:val="18"/>
                <w:szCs w:val="18"/>
                <w:lang w:val="de-DE"/>
              </w:rPr>
              <w:t xml:space="preserve">Other passenger land transport </w:t>
            </w:r>
            <w:r w:rsidRPr="00781031">
              <w:rPr>
                <w:noProof/>
                <w:sz w:val="18"/>
                <w:szCs w:val="18"/>
                <w:lang w:val="de-DE"/>
              </w:rPr>
              <w:t>[H493]</w:t>
            </w:r>
          </w:p>
        </w:tc>
        <w:tc>
          <w:tcPr>
            <w:tcW w:w="1276" w:type="dxa"/>
            <w:tcBorders>
              <w:top w:val="single" w:sz="4" w:space="0" w:color="auto"/>
              <w:left w:val="single" w:sz="4" w:space="0" w:color="auto"/>
              <w:bottom w:val="single" w:sz="4" w:space="0" w:color="auto"/>
              <w:right w:val="single" w:sz="4" w:space="0" w:color="auto"/>
            </w:tcBorders>
            <w:shd w:val="clear" w:color="000000" w:fill="F6F6F6"/>
            <w:noWrap/>
            <w:vAlign w:val="center"/>
          </w:tcPr>
          <w:p w14:paraId="1B7841AF" w14:textId="769839ED" w:rsidR="001620F4" w:rsidRPr="00B81B87" w:rsidRDefault="001620F4" w:rsidP="003B20B3">
            <w:pPr>
              <w:jc w:val="center"/>
              <w:rPr>
                <w:noProof/>
                <w:sz w:val="18"/>
                <w:szCs w:val="18"/>
              </w:rPr>
            </w:pPr>
            <w:r w:rsidRPr="00B81B87">
              <w:rPr>
                <w:noProof/>
                <w:sz w:val="18"/>
                <w:szCs w:val="18"/>
              </w:rPr>
              <w:t>53</w:t>
            </w:r>
            <w:r w:rsidR="00E076D1">
              <w:rPr>
                <w:noProof/>
                <w:sz w:val="18"/>
                <w:szCs w:val="18"/>
              </w:rPr>
              <w:t>,</w:t>
            </w:r>
            <w:r w:rsidRPr="00B81B87">
              <w:rPr>
                <w:noProof/>
                <w:sz w:val="18"/>
                <w:szCs w:val="18"/>
              </w:rPr>
              <w:t>619</w:t>
            </w:r>
          </w:p>
        </w:tc>
        <w:tc>
          <w:tcPr>
            <w:tcW w:w="1276" w:type="dxa"/>
            <w:tcBorders>
              <w:top w:val="single" w:sz="4" w:space="0" w:color="auto"/>
              <w:left w:val="nil"/>
              <w:bottom w:val="single" w:sz="4" w:space="0" w:color="auto"/>
              <w:right w:val="single" w:sz="4" w:space="0" w:color="auto"/>
            </w:tcBorders>
            <w:shd w:val="clear" w:color="000000" w:fill="F6F6F6"/>
            <w:noWrap/>
            <w:vAlign w:val="center"/>
          </w:tcPr>
          <w:p w14:paraId="6F7C8EFE" w14:textId="1B45D8C1" w:rsidR="001620F4" w:rsidRPr="00B81B87" w:rsidRDefault="001620F4" w:rsidP="003B20B3">
            <w:pPr>
              <w:jc w:val="center"/>
              <w:rPr>
                <w:noProof/>
                <w:sz w:val="18"/>
                <w:szCs w:val="18"/>
              </w:rPr>
            </w:pPr>
            <w:r w:rsidRPr="00B81B87">
              <w:rPr>
                <w:noProof/>
                <w:sz w:val="18"/>
                <w:szCs w:val="18"/>
              </w:rPr>
              <w:t>63</w:t>
            </w:r>
            <w:r w:rsidR="00E076D1">
              <w:rPr>
                <w:noProof/>
                <w:sz w:val="18"/>
                <w:szCs w:val="18"/>
              </w:rPr>
              <w:t>,</w:t>
            </w:r>
            <w:r w:rsidRPr="00B81B87">
              <w:rPr>
                <w:noProof/>
                <w:sz w:val="18"/>
                <w:szCs w:val="18"/>
              </w:rPr>
              <w:t>548</w:t>
            </w:r>
          </w:p>
        </w:tc>
        <w:tc>
          <w:tcPr>
            <w:tcW w:w="1386" w:type="dxa"/>
            <w:tcBorders>
              <w:top w:val="single" w:sz="4" w:space="0" w:color="auto"/>
              <w:left w:val="nil"/>
              <w:bottom w:val="single" w:sz="4" w:space="0" w:color="auto"/>
              <w:right w:val="single" w:sz="4" w:space="0" w:color="auto"/>
            </w:tcBorders>
            <w:shd w:val="clear" w:color="000000" w:fill="F6F6F6"/>
            <w:noWrap/>
            <w:vAlign w:val="center"/>
          </w:tcPr>
          <w:p w14:paraId="18869DDD" w14:textId="0A1A8956" w:rsidR="001620F4" w:rsidRPr="00B81B87" w:rsidRDefault="001620F4" w:rsidP="003B20B3">
            <w:pPr>
              <w:jc w:val="center"/>
              <w:rPr>
                <w:noProof/>
                <w:sz w:val="18"/>
                <w:szCs w:val="18"/>
              </w:rPr>
            </w:pPr>
            <w:r w:rsidRPr="00B81B87">
              <w:rPr>
                <w:noProof/>
                <w:sz w:val="18"/>
                <w:szCs w:val="18"/>
              </w:rPr>
              <w:t>64</w:t>
            </w:r>
            <w:r w:rsidR="00E076D1">
              <w:rPr>
                <w:noProof/>
                <w:sz w:val="18"/>
                <w:szCs w:val="18"/>
              </w:rPr>
              <w:t>,</w:t>
            </w:r>
            <w:r w:rsidRPr="00B81B87">
              <w:rPr>
                <w:noProof/>
                <w:sz w:val="18"/>
                <w:szCs w:val="18"/>
              </w:rPr>
              <w:t>410</w:t>
            </w:r>
          </w:p>
        </w:tc>
      </w:tr>
      <w:tr w:rsidR="001620F4" w:rsidRPr="00C3115F" w14:paraId="434A125C" w14:textId="77777777" w:rsidTr="008B3A3A">
        <w:trPr>
          <w:trHeight w:val="290"/>
        </w:trPr>
        <w:tc>
          <w:tcPr>
            <w:tcW w:w="304" w:type="dxa"/>
            <w:vMerge/>
            <w:tcBorders>
              <w:left w:val="single" w:sz="4" w:space="0" w:color="auto"/>
              <w:right w:val="single" w:sz="4" w:space="0" w:color="auto"/>
            </w:tcBorders>
            <w:vAlign w:val="center"/>
          </w:tcPr>
          <w:p w14:paraId="0DD9C33D" w14:textId="77777777" w:rsidR="001620F4" w:rsidRPr="00C3115F" w:rsidRDefault="001620F4" w:rsidP="003B20B3">
            <w:pPr>
              <w:rPr>
                <w:b/>
                <w:bCs/>
                <w:noProof/>
                <w:sz w:val="18"/>
                <w:szCs w:val="18"/>
              </w:rPr>
            </w:pPr>
          </w:p>
        </w:tc>
        <w:tc>
          <w:tcPr>
            <w:tcW w:w="294" w:type="dxa"/>
            <w:vMerge/>
            <w:tcBorders>
              <w:top w:val="single" w:sz="4" w:space="0" w:color="auto"/>
              <w:left w:val="nil"/>
              <w:bottom w:val="single" w:sz="4" w:space="0" w:color="auto"/>
              <w:right w:val="single" w:sz="4" w:space="0" w:color="auto"/>
            </w:tcBorders>
            <w:shd w:val="clear" w:color="auto" w:fill="D9D9D9"/>
            <w:noWrap/>
            <w:vAlign w:val="bottom"/>
          </w:tcPr>
          <w:p w14:paraId="7623C4D0" w14:textId="77777777" w:rsidR="001620F4" w:rsidRPr="00C3115F" w:rsidRDefault="001620F4" w:rsidP="003B20B3">
            <w:pPr>
              <w:jc w:val="center"/>
              <w:rPr>
                <w:noProof/>
                <w:color w:val="000000"/>
              </w:rPr>
            </w:pPr>
          </w:p>
        </w:tc>
        <w:tc>
          <w:tcPr>
            <w:tcW w:w="5067" w:type="dxa"/>
            <w:gridSpan w:val="2"/>
            <w:tcBorders>
              <w:top w:val="single" w:sz="4" w:space="0" w:color="auto"/>
              <w:left w:val="nil"/>
              <w:bottom w:val="single" w:sz="4" w:space="0" w:color="auto"/>
              <w:right w:val="single" w:sz="4" w:space="0" w:color="auto"/>
            </w:tcBorders>
            <w:shd w:val="clear" w:color="000000" w:fill="DCE6F1"/>
            <w:vAlign w:val="center"/>
          </w:tcPr>
          <w:p w14:paraId="55424E9B" w14:textId="77777777" w:rsidR="001620F4" w:rsidRDefault="001620F4" w:rsidP="003B20B3">
            <w:pPr>
              <w:rPr>
                <w:b/>
                <w:bCs/>
                <w:noProof/>
                <w:sz w:val="18"/>
                <w:szCs w:val="18"/>
              </w:rPr>
            </w:pPr>
            <w:r w:rsidRPr="004E336D">
              <w:rPr>
                <w:b/>
                <w:noProof/>
                <w:sz w:val="18"/>
                <w:szCs w:val="18"/>
              </w:rPr>
              <w:t>Water transport</w:t>
            </w:r>
            <w:r>
              <w:rPr>
                <w:b/>
                <w:noProof/>
                <w:sz w:val="18"/>
                <w:szCs w:val="18"/>
              </w:rPr>
              <w:t xml:space="preserve"> </w:t>
            </w:r>
            <w:r w:rsidRPr="001D3CA6">
              <w:rPr>
                <w:bCs/>
                <w:noProof/>
                <w:sz w:val="18"/>
                <w:szCs w:val="18"/>
              </w:rPr>
              <w:t>[</w:t>
            </w:r>
            <w:r>
              <w:rPr>
                <w:bCs/>
                <w:noProof/>
                <w:sz w:val="18"/>
                <w:szCs w:val="18"/>
              </w:rPr>
              <w:t>H50</w:t>
            </w:r>
            <w:r w:rsidRPr="001D3CA6">
              <w:rPr>
                <w:bCs/>
                <w:noProof/>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000000" w:fill="F6F6F6"/>
            <w:noWrap/>
            <w:vAlign w:val="center"/>
          </w:tcPr>
          <w:p w14:paraId="6BCE71A3" w14:textId="77777777" w:rsidR="001620F4" w:rsidRPr="00B81B87" w:rsidRDefault="001620F4" w:rsidP="003B20B3">
            <w:pPr>
              <w:jc w:val="center"/>
              <w:rPr>
                <w:noProof/>
                <w:sz w:val="18"/>
                <w:szCs w:val="18"/>
              </w:rPr>
            </w:pPr>
            <w:r w:rsidRPr="00B81B87">
              <w:rPr>
                <w:noProof/>
                <w:sz w:val="18"/>
                <w:szCs w:val="18"/>
              </w:rPr>
              <w:t>NA</w:t>
            </w:r>
          </w:p>
        </w:tc>
        <w:tc>
          <w:tcPr>
            <w:tcW w:w="1276" w:type="dxa"/>
            <w:tcBorders>
              <w:top w:val="single" w:sz="4" w:space="0" w:color="auto"/>
              <w:left w:val="nil"/>
              <w:bottom w:val="single" w:sz="4" w:space="0" w:color="auto"/>
              <w:right w:val="single" w:sz="4" w:space="0" w:color="auto"/>
            </w:tcBorders>
            <w:shd w:val="clear" w:color="000000" w:fill="F6F6F6"/>
            <w:noWrap/>
            <w:vAlign w:val="center"/>
          </w:tcPr>
          <w:p w14:paraId="69EA788B" w14:textId="77777777" w:rsidR="001620F4" w:rsidRPr="00B81B87" w:rsidRDefault="001620F4" w:rsidP="003B20B3">
            <w:pPr>
              <w:jc w:val="center"/>
              <w:rPr>
                <w:noProof/>
                <w:sz w:val="18"/>
                <w:szCs w:val="18"/>
              </w:rPr>
            </w:pPr>
            <w:r w:rsidRPr="00B81B87">
              <w:rPr>
                <w:noProof/>
                <w:sz w:val="18"/>
                <w:szCs w:val="18"/>
              </w:rPr>
              <w:t>NA</w:t>
            </w:r>
          </w:p>
        </w:tc>
        <w:tc>
          <w:tcPr>
            <w:tcW w:w="1386" w:type="dxa"/>
            <w:tcBorders>
              <w:top w:val="single" w:sz="4" w:space="0" w:color="auto"/>
              <w:left w:val="nil"/>
              <w:bottom w:val="single" w:sz="4" w:space="0" w:color="auto"/>
              <w:right w:val="single" w:sz="4" w:space="0" w:color="auto"/>
            </w:tcBorders>
            <w:shd w:val="clear" w:color="000000" w:fill="F6F6F6"/>
            <w:noWrap/>
            <w:vAlign w:val="center"/>
          </w:tcPr>
          <w:p w14:paraId="631F4FED" w14:textId="77777777" w:rsidR="001620F4" w:rsidRPr="00B81B87" w:rsidRDefault="001620F4" w:rsidP="003B20B3">
            <w:pPr>
              <w:jc w:val="center"/>
              <w:rPr>
                <w:noProof/>
                <w:sz w:val="18"/>
                <w:szCs w:val="18"/>
              </w:rPr>
            </w:pPr>
            <w:r w:rsidRPr="00B81B87">
              <w:rPr>
                <w:noProof/>
                <w:sz w:val="18"/>
                <w:szCs w:val="18"/>
              </w:rPr>
              <w:t>NA</w:t>
            </w:r>
          </w:p>
        </w:tc>
      </w:tr>
      <w:tr w:rsidR="001620F4" w:rsidRPr="00C3115F" w14:paraId="751E03D0" w14:textId="77777777" w:rsidTr="008B3A3A">
        <w:trPr>
          <w:trHeight w:val="290"/>
        </w:trPr>
        <w:tc>
          <w:tcPr>
            <w:tcW w:w="304" w:type="dxa"/>
            <w:vMerge/>
            <w:tcBorders>
              <w:left w:val="single" w:sz="4" w:space="0" w:color="auto"/>
              <w:right w:val="single" w:sz="4" w:space="0" w:color="auto"/>
            </w:tcBorders>
            <w:vAlign w:val="center"/>
          </w:tcPr>
          <w:p w14:paraId="0BAF3668" w14:textId="77777777" w:rsidR="001620F4" w:rsidRPr="00C3115F" w:rsidRDefault="001620F4" w:rsidP="003B20B3">
            <w:pPr>
              <w:rPr>
                <w:b/>
                <w:bCs/>
                <w:noProof/>
                <w:sz w:val="18"/>
                <w:szCs w:val="18"/>
              </w:rPr>
            </w:pPr>
          </w:p>
        </w:tc>
        <w:tc>
          <w:tcPr>
            <w:tcW w:w="294" w:type="dxa"/>
            <w:vMerge/>
            <w:tcBorders>
              <w:top w:val="single" w:sz="4" w:space="0" w:color="auto"/>
              <w:left w:val="nil"/>
              <w:bottom w:val="single" w:sz="4" w:space="0" w:color="auto"/>
              <w:right w:val="single" w:sz="4" w:space="0" w:color="auto"/>
            </w:tcBorders>
            <w:shd w:val="clear" w:color="auto" w:fill="D9D9D9"/>
            <w:noWrap/>
            <w:vAlign w:val="bottom"/>
          </w:tcPr>
          <w:p w14:paraId="5BC6E53C" w14:textId="77777777" w:rsidR="001620F4" w:rsidRPr="00C3115F" w:rsidRDefault="001620F4" w:rsidP="003B20B3">
            <w:pPr>
              <w:jc w:val="center"/>
              <w:rPr>
                <w:noProof/>
                <w:color w:val="000000"/>
              </w:rPr>
            </w:pPr>
          </w:p>
        </w:tc>
        <w:tc>
          <w:tcPr>
            <w:tcW w:w="248" w:type="dxa"/>
            <w:vMerge w:val="restart"/>
            <w:tcBorders>
              <w:top w:val="single" w:sz="4" w:space="0" w:color="auto"/>
              <w:left w:val="nil"/>
              <w:bottom w:val="single" w:sz="4" w:space="0" w:color="auto"/>
              <w:right w:val="single" w:sz="4" w:space="0" w:color="auto"/>
            </w:tcBorders>
            <w:shd w:val="clear" w:color="auto" w:fill="D9D9D9"/>
            <w:vAlign w:val="center"/>
          </w:tcPr>
          <w:p w14:paraId="78550423" w14:textId="77777777" w:rsidR="001620F4" w:rsidRDefault="001620F4" w:rsidP="003B20B3">
            <w:pPr>
              <w:rPr>
                <w:b/>
                <w:bCs/>
                <w:noProof/>
                <w:sz w:val="18"/>
                <w:szCs w:val="18"/>
              </w:rPr>
            </w:pPr>
          </w:p>
        </w:tc>
        <w:tc>
          <w:tcPr>
            <w:tcW w:w="4819" w:type="dxa"/>
            <w:tcBorders>
              <w:top w:val="single" w:sz="4" w:space="0" w:color="auto"/>
              <w:left w:val="single" w:sz="4" w:space="0" w:color="auto"/>
              <w:bottom w:val="single" w:sz="4" w:space="0" w:color="auto"/>
              <w:right w:val="single" w:sz="4" w:space="0" w:color="auto"/>
            </w:tcBorders>
            <w:shd w:val="clear" w:color="000000" w:fill="DCE6F1"/>
            <w:vAlign w:val="center"/>
          </w:tcPr>
          <w:p w14:paraId="708CAEA5" w14:textId="77777777" w:rsidR="001620F4" w:rsidRDefault="001620F4" w:rsidP="003B20B3">
            <w:pPr>
              <w:rPr>
                <w:b/>
                <w:bCs/>
                <w:noProof/>
                <w:sz w:val="18"/>
                <w:szCs w:val="18"/>
              </w:rPr>
            </w:pPr>
            <w:r>
              <w:rPr>
                <w:b/>
                <w:noProof/>
                <w:sz w:val="18"/>
                <w:szCs w:val="18"/>
              </w:rPr>
              <w:t xml:space="preserve">Sea and coastal passenger water transport </w:t>
            </w:r>
            <w:r w:rsidRPr="00B81B87">
              <w:rPr>
                <w:bCs/>
                <w:noProof/>
                <w:sz w:val="18"/>
                <w:szCs w:val="18"/>
              </w:rPr>
              <w:t>[H</w:t>
            </w:r>
            <w:r>
              <w:rPr>
                <w:bCs/>
                <w:noProof/>
                <w:sz w:val="18"/>
                <w:szCs w:val="18"/>
              </w:rPr>
              <w:t>501</w:t>
            </w:r>
            <w:r w:rsidRPr="00B81B87">
              <w:rPr>
                <w:bCs/>
                <w:noProof/>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000000" w:fill="F6F6F6"/>
            <w:noWrap/>
            <w:vAlign w:val="center"/>
          </w:tcPr>
          <w:p w14:paraId="6014DA90" w14:textId="70C5F950" w:rsidR="001620F4" w:rsidRPr="00B81B87" w:rsidRDefault="001620F4" w:rsidP="003B20B3">
            <w:pPr>
              <w:jc w:val="center"/>
              <w:rPr>
                <w:noProof/>
                <w:sz w:val="18"/>
                <w:szCs w:val="18"/>
              </w:rPr>
            </w:pPr>
            <w:r w:rsidRPr="00B81B87">
              <w:rPr>
                <w:noProof/>
                <w:sz w:val="18"/>
                <w:szCs w:val="18"/>
              </w:rPr>
              <w:t>3</w:t>
            </w:r>
            <w:r w:rsidR="00E076D1">
              <w:rPr>
                <w:noProof/>
                <w:sz w:val="18"/>
                <w:szCs w:val="18"/>
              </w:rPr>
              <w:t>,</w:t>
            </w:r>
            <w:r w:rsidRPr="00B81B87">
              <w:rPr>
                <w:noProof/>
                <w:sz w:val="18"/>
                <w:szCs w:val="18"/>
              </w:rPr>
              <w:t>555</w:t>
            </w:r>
          </w:p>
        </w:tc>
        <w:tc>
          <w:tcPr>
            <w:tcW w:w="1276" w:type="dxa"/>
            <w:tcBorders>
              <w:top w:val="single" w:sz="4" w:space="0" w:color="auto"/>
              <w:left w:val="nil"/>
              <w:bottom w:val="single" w:sz="4" w:space="0" w:color="auto"/>
              <w:right w:val="single" w:sz="4" w:space="0" w:color="auto"/>
            </w:tcBorders>
            <w:shd w:val="clear" w:color="000000" w:fill="F6F6F6"/>
            <w:noWrap/>
            <w:vAlign w:val="center"/>
          </w:tcPr>
          <w:p w14:paraId="1B11B270" w14:textId="2B347501" w:rsidR="001620F4" w:rsidRPr="00B81B87" w:rsidRDefault="001620F4" w:rsidP="003B20B3">
            <w:pPr>
              <w:jc w:val="center"/>
              <w:rPr>
                <w:noProof/>
                <w:sz w:val="18"/>
                <w:szCs w:val="18"/>
              </w:rPr>
            </w:pPr>
            <w:r w:rsidRPr="00B81B87">
              <w:rPr>
                <w:noProof/>
                <w:sz w:val="18"/>
                <w:szCs w:val="18"/>
              </w:rPr>
              <w:t>5</w:t>
            </w:r>
            <w:r w:rsidR="00E076D1">
              <w:rPr>
                <w:noProof/>
                <w:sz w:val="18"/>
                <w:szCs w:val="18"/>
              </w:rPr>
              <w:t>,</w:t>
            </w:r>
            <w:r w:rsidRPr="00B81B87">
              <w:rPr>
                <w:noProof/>
                <w:sz w:val="18"/>
                <w:szCs w:val="18"/>
              </w:rPr>
              <w:t>811</w:t>
            </w:r>
          </w:p>
        </w:tc>
        <w:tc>
          <w:tcPr>
            <w:tcW w:w="1386" w:type="dxa"/>
            <w:tcBorders>
              <w:top w:val="single" w:sz="4" w:space="0" w:color="auto"/>
              <w:left w:val="nil"/>
              <w:bottom w:val="single" w:sz="4" w:space="0" w:color="auto"/>
              <w:right w:val="single" w:sz="4" w:space="0" w:color="auto"/>
            </w:tcBorders>
            <w:shd w:val="clear" w:color="000000" w:fill="F6F6F6"/>
            <w:noWrap/>
            <w:vAlign w:val="center"/>
          </w:tcPr>
          <w:p w14:paraId="10F72A4A" w14:textId="59E57EE6" w:rsidR="001620F4" w:rsidRPr="00B81B87" w:rsidRDefault="001620F4" w:rsidP="003B20B3">
            <w:pPr>
              <w:jc w:val="center"/>
              <w:rPr>
                <w:noProof/>
                <w:sz w:val="18"/>
                <w:szCs w:val="18"/>
              </w:rPr>
            </w:pPr>
            <w:r w:rsidRPr="00B81B87">
              <w:rPr>
                <w:noProof/>
                <w:sz w:val="18"/>
                <w:szCs w:val="18"/>
              </w:rPr>
              <w:t>8</w:t>
            </w:r>
            <w:r w:rsidR="00E076D1">
              <w:rPr>
                <w:noProof/>
                <w:sz w:val="18"/>
                <w:szCs w:val="18"/>
              </w:rPr>
              <w:t>,</w:t>
            </w:r>
            <w:r w:rsidRPr="00B81B87">
              <w:rPr>
                <w:noProof/>
                <w:sz w:val="18"/>
                <w:szCs w:val="18"/>
              </w:rPr>
              <w:t>379</w:t>
            </w:r>
          </w:p>
        </w:tc>
      </w:tr>
      <w:tr w:rsidR="001620F4" w:rsidRPr="00C3115F" w14:paraId="06FBD57C" w14:textId="77777777" w:rsidTr="008B3A3A">
        <w:trPr>
          <w:trHeight w:val="290"/>
        </w:trPr>
        <w:tc>
          <w:tcPr>
            <w:tcW w:w="304" w:type="dxa"/>
            <w:vMerge/>
            <w:tcBorders>
              <w:left w:val="single" w:sz="4" w:space="0" w:color="auto"/>
              <w:right w:val="single" w:sz="4" w:space="0" w:color="auto"/>
            </w:tcBorders>
            <w:vAlign w:val="center"/>
          </w:tcPr>
          <w:p w14:paraId="1B8545D7" w14:textId="77777777" w:rsidR="001620F4" w:rsidRPr="00C3115F" w:rsidRDefault="001620F4" w:rsidP="003B20B3">
            <w:pPr>
              <w:rPr>
                <w:b/>
                <w:bCs/>
                <w:noProof/>
                <w:sz w:val="18"/>
                <w:szCs w:val="18"/>
              </w:rPr>
            </w:pPr>
          </w:p>
        </w:tc>
        <w:tc>
          <w:tcPr>
            <w:tcW w:w="294" w:type="dxa"/>
            <w:vMerge/>
            <w:tcBorders>
              <w:top w:val="single" w:sz="4" w:space="0" w:color="auto"/>
              <w:left w:val="nil"/>
              <w:bottom w:val="single" w:sz="4" w:space="0" w:color="auto"/>
              <w:right w:val="single" w:sz="4" w:space="0" w:color="auto"/>
            </w:tcBorders>
            <w:shd w:val="clear" w:color="auto" w:fill="D9D9D9"/>
            <w:noWrap/>
            <w:vAlign w:val="bottom"/>
          </w:tcPr>
          <w:p w14:paraId="62D50592" w14:textId="77777777" w:rsidR="001620F4" w:rsidRPr="00C3115F" w:rsidRDefault="001620F4" w:rsidP="003B20B3">
            <w:pPr>
              <w:jc w:val="center"/>
              <w:rPr>
                <w:noProof/>
                <w:color w:val="000000"/>
              </w:rPr>
            </w:pPr>
          </w:p>
        </w:tc>
        <w:tc>
          <w:tcPr>
            <w:tcW w:w="248" w:type="dxa"/>
            <w:vMerge/>
            <w:tcBorders>
              <w:top w:val="single" w:sz="4" w:space="0" w:color="auto"/>
              <w:left w:val="nil"/>
              <w:bottom w:val="single" w:sz="4" w:space="0" w:color="auto"/>
              <w:right w:val="single" w:sz="4" w:space="0" w:color="auto"/>
            </w:tcBorders>
            <w:shd w:val="clear" w:color="auto" w:fill="D9D9D9"/>
            <w:vAlign w:val="center"/>
          </w:tcPr>
          <w:p w14:paraId="2143A249" w14:textId="77777777" w:rsidR="001620F4" w:rsidRDefault="001620F4" w:rsidP="003B20B3">
            <w:pPr>
              <w:rPr>
                <w:b/>
                <w:bCs/>
                <w:noProof/>
                <w:sz w:val="18"/>
                <w:szCs w:val="18"/>
              </w:rPr>
            </w:pPr>
          </w:p>
        </w:tc>
        <w:tc>
          <w:tcPr>
            <w:tcW w:w="4819" w:type="dxa"/>
            <w:tcBorders>
              <w:top w:val="single" w:sz="4" w:space="0" w:color="auto"/>
              <w:left w:val="single" w:sz="4" w:space="0" w:color="auto"/>
              <w:bottom w:val="single" w:sz="4" w:space="0" w:color="auto"/>
              <w:right w:val="single" w:sz="4" w:space="0" w:color="auto"/>
            </w:tcBorders>
            <w:shd w:val="clear" w:color="000000" w:fill="DCE6F1"/>
            <w:vAlign w:val="center"/>
          </w:tcPr>
          <w:p w14:paraId="3AB581BE" w14:textId="77777777" w:rsidR="001620F4" w:rsidRDefault="001620F4" w:rsidP="003B20B3">
            <w:pPr>
              <w:rPr>
                <w:b/>
                <w:bCs/>
                <w:noProof/>
                <w:sz w:val="18"/>
                <w:szCs w:val="18"/>
              </w:rPr>
            </w:pPr>
            <w:r>
              <w:rPr>
                <w:b/>
                <w:noProof/>
                <w:sz w:val="18"/>
                <w:szCs w:val="18"/>
              </w:rPr>
              <w:t xml:space="preserve">Inland waterway water transport </w:t>
            </w:r>
            <w:r w:rsidRPr="00B81B87">
              <w:rPr>
                <w:bCs/>
                <w:noProof/>
                <w:sz w:val="18"/>
                <w:szCs w:val="18"/>
              </w:rPr>
              <w:t>[H</w:t>
            </w:r>
            <w:r>
              <w:rPr>
                <w:bCs/>
                <w:noProof/>
                <w:sz w:val="18"/>
                <w:szCs w:val="18"/>
              </w:rPr>
              <w:t>503</w:t>
            </w:r>
            <w:r w:rsidRPr="00B81B87">
              <w:rPr>
                <w:bCs/>
                <w:noProof/>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000000" w:fill="F6F6F6"/>
            <w:noWrap/>
            <w:vAlign w:val="center"/>
          </w:tcPr>
          <w:p w14:paraId="603F2AD7" w14:textId="77777777" w:rsidR="001620F4" w:rsidRPr="00B81B87" w:rsidRDefault="001620F4" w:rsidP="003B20B3">
            <w:pPr>
              <w:jc w:val="center"/>
              <w:rPr>
                <w:noProof/>
                <w:sz w:val="18"/>
                <w:szCs w:val="18"/>
              </w:rPr>
            </w:pPr>
            <w:r w:rsidRPr="00B81B87">
              <w:rPr>
                <w:noProof/>
                <w:sz w:val="18"/>
                <w:szCs w:val="18"/>
              </w:rPr>
              <w:t>776</w:t>
            </w:r>
          </w:p>
        </w:tc>
        <w:tc>
          <w:tcPr>
            <w:tcW w:w="1276" w:type="dxa"/>
            <w:tcBorders>
              <w:top w:val="single" w:sz="4" w:space="0" w:color="auto"/>
              <w:left w:val="nil"/>
              <w:bottom w:val="single" w:sz="4" w:space="0" w:color="auto"/>
              <w:right w:val="single" w:sz="4" w:space="0" w:color="auto"/>
            </w:tcBorders>
            <w:shd w:val="clear" w:color="000000" w:fill="F6F6F6"/>
            <w:noWrap/>
            <w:vAlign w:val="center"/>
          </w:tcPr>
          <w:p w14:paraId="725B6B9E" w14:textId="0056630D" w:rsidR="001620F4" w:rsidRPr="00B81B87" w:rsidRDefault="001620F4" w:rsidP="003B20B3">
            <w:pPr>
              <w:jc w:val="center"/>
              <w:rPr>
                <w:noProof/>
                <w:sz w:val="18"/>
                <w:szCs w:val="18"/>
              </w:rPr>
            </w:pPr>
            <w:r w:rsidRPr="00B81B87">
              <w:rPr>
                <w:noProof/>
                <w:sz w:val="18"/>
                <w:szCs w:val="18"/>
              </w:rPr>
              <w:t>1</w:t>
            </w:r>
            <w:r w:rsidR="00E076D1">
              <w:rPr>
                <w:noProof/>
                <w:sz w:val="18"/>
                <w:szCs w:val="18"/>
              </w:rPr>
              <w:t>,</w:t>
            </w:r>
            <w:r w:rsidRPr="00B81B87">
              <w:rPr>
                <w:noProof/>
                <w:sz w:val="18"/>
                <w:szCs w:val="18"/>
              </w:rPr>
              <w:t>200</w:t>
            </w:r>
            <w:r>
              <w:rPr>
                <w:noProof/>
                <w:sz w:val="18"/>
                <w:szCs w:val="18"/>
              </w:rPr>
              <w:t>**</w:t>
            </w:r>
          </w:p>
        </w:tc>
        <w:tc>
          <w:tcPr>
            <w:tcW w:w="1386" w:type="dxa"/>
            <w:tcBorders>
              <w:top w:val="single" w:sz="4" w:space="0" w:color="auto"/>
              <w:left w:val="nil"/>
              <w:bottom w:val="single" w:sz="4" w:space="0" w:color="auto"/>
              <w:right w:val="single" w:sz="4" w:space="0" w:color="auto"/>
            </w:tcBorders>
            <w:shd w:val="clear" w:color="000000" w:fill="F6F6F6"/>
            <w:noWrap/>
            <w:vAlign w:val="center"/>
          </w:tcPr>
          <w:p w14:paraId="383C93B8" w14:textId="786B33AC" w:rsidR="001620F4" w:rsidRPr="00B81B87" w:rsidRDefault="001620F4" w:rsidP="003B20B3">
            <w:pPr>
              <w:jc w:val="center"/>
              <w:rPr>
                <w:noProof/>
                <w:sz w:val="18"/>
                <w:szCs w:val="18"/>
              </w:rPr>
            </w:pPr>
            <w:r w:rsidRPr="00B81B87">
              <w:rPr>
                <w:noProof/>
                <w:sz w:val="18"/>
                <w:szCs w:val="18"/>
              </w:rPr>
              <w:t>1</w:t>
            </w:r>
            <w:r w:rsidR="00E076D1">
              <w:rPr>
                <w:noProof/>
                <w:sz w:val="18"/>
                <w:szCs w:val="18"/>
              </w:rPr>
              <w:t>,</w:t>
            </w:r>
            <w:r w:rsidRPr="00B81B87">
              <w:rPr>
                <w:noProof/>
                <w:sz w:val="18"/>
                <w:szCs w:val="18"/>
              </w:rPr>
              <w:t>485</w:t>
            </w:r>
          </w:p>
        </w:tc>
      </w:tr>
      <w:tr w:rsidR="001620F4" w:rsidRPr="00C3115F" w14:paraId="0AE981A9" w14:textId="77777777" w:rsidTr="008B3A3A">
        <w:trPr>
          <w:trHeight w:val="290"/>
        </w:trPr>
        <w:tc>
          <w:tcPr>
            <w:tcW w:w="304" w:type="dxa"/>
            <w:vMerge/>
            <w:tcBorders>
              <w:left w:val="single" w:sz="4" w:space="0" w:color="auto"/>
              <w:right w:val="single" w:sz="4" w:space="0" w:color="auto"/>
            </w:tcBorders>
            <w:vAlign w:val="center"/>
          </w:tcPr>
          <w:p w14:paraId="0639AF25" w14:textId="77777777" w:rsidR="001620F4" w:rsidRPr="00C3115F" w:rsidRDefault="001620F4" w:rsidP="003B20B3">
            <w:pPr>
              <w:rPr>
                <w:b/>
                <w:bCs/>
                <w:noProof/>
                <w:sz w:val="18"/>
                <w:szCs w:val="18"/>
              </w:rPr>
            </w:pPr>
          </w:p>
        </w:tc>
        <w:tc>
          <w:tcPr>
            <w:tcW w:w="294" w:type="dxa"/>
            <w:vMerge/>
            <w:tcBorders>
              <w:top w:val="single" w:sz="4" w:space="0" w:color="auto"/>
              <w:left w:val="nil"/>
              <w:bottom w:val="single" w:sz="4" w:space="0" w:color="auto"/>
              <w:right w:val="single" w:sz="4" w:space="0" w:color="auto"/>
            </w:tcBorders>
            <w:shd w:val="clear" w:color="auto" w:fill="D9D9D9"/>
            <w:noWrap/>
            <w:vAlign w:val="bottom"/>
          </w:tcPr>
          <w:p w14:paraId="6E00E1A6" w14:textId="77777777" w:rsidR="001620F4" w:rsidRPr="00C3115F" w:rsidRDefault="001620F4" w:rsidP="003B20B3">
            <w:pPr>
              <w:jc w:val="center"/>
              <w:rPr>
                <w:noProof/>
                <w:color w:val="000000"/>
              </w:rPr>
            </w:pPr>
          </w:p>
        </w:tc>
        <w:tc>
          <w:tcPr>
            <w:tcW w:w="5067" w:type="dxa"/>
            <w:gridSpan w:val="2"/>
            <w:tcBorders>
              <w:top w:val="single" w:sz="4" w:space="0" w:color="auto"/>
              <w:left w:val="nil"/>
              <w:bottom w:val="single" w:sz="4" w:space="0" w:color="auto"/>
              <w:right w:val="single" w:sz="4" w:space="0" w:color="auto"/>
            </w:tcBorders>
            <w:shd w:val="clear" w:color="000000" w:fill="DCE6F1"/>
            <w:vAlign w:val="center"/>
          </w:tcPr>
          <w:p w14:paraId="32DD9AE3" w14:textId="77777777" w:rsidR="001620F4" w:rsidRDefault="001620F4" w:rsidP="003B20B3">
            <w:pPr>
              <w:rPr>
                <w:b/>
                <w:bCs/>
                <w:noProof/>
                <w:sz w:val="18"/>
                <w:szCs w:val="18"/>
              </w:rPr>
            </w:pPr>
            <w:r>
              <w:rPr>
                <w:b/>
                <w:bCs/>
                <w:noProof/>
                <w:sz w:val="18"/>
                <w:szCs w:val="18"/>
              </w:rPr>
              <w:t xml:space="preserve">Air transport </w:t>
            </w:r>
            <w:r w:rsidRPr="001D3CA6">
              <w:rPr>
                <w:noProof/>
                <w:sz w:val="18"/>
                <w:szCs w:val="18"/>
              </w:rPr>
              <w:t>[</w:t>
            </w:r>
            <w:r>
              <w:rPr>
                <w:noProof/>
                <w:sz w:val="18"/>
                <w:szCs w:val="18"/>
              </w:rPr>
              <w:t>H51</w:t>
            </w:r>
            <w:r w:rsidRPr="001D3CA6">
              <w:rPr>
                <w:noProof/>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000000" w:fill="F6F6F6"/>
            <w:noWrap/>
            <w:vAlign w:val="center"/>
          </w:tcPr>
          <w:p w14:paraId="7A8BBA6C" w14:textId="395A902A" w:rsidR="001620F4" w:rsidRPr="00B81B87" w:rsidRDefault="001620F4" w:rsidP="003B20B3">
            <w:pPr>
              <w:jc w:val="center"/>
              <w:rPr>
                <w:noProof/>
                <w:sz w:val="18"/>
                <w:szCs w:val="18"/>
              </w:rPr>
            </w:pPr>
            <w:r w:rsidRPr="00B81B87">
              <w:rPr>
                <w:noProof/>
                <w:sz w:val="18"/>
                <w:szCs w:val="18"/>
              </w:rPr>
              <w:t>18</w:t>
            </w:r>
            <w:r w:rsidR="00E076D1">
              <w:rPr>
                <w:noProof/>
                <w:sz w:val="18"/>
                <w:szCs w:val="18"/>
              </w:rPr>
              <w:t>,</w:t>
            </w:r>
            <w:r w:rsidRPr="00B81B87">
              <w:rPr>
                <w:noProof/>
                <w:sz w:val="18"/>
                <w:szCs w:val="18"/>
              </w:rPr>
              <w:t>040</w:t>
            </w:r>
          </w:p>
        </w:tc>
        <w:tc>
          <w:tcPr>
            <w:tcW w:w="1276" w:type="dxa"/>
            <w:tcBorders>
              <w:top w:val="single" w:sz="4" w:space="0" w:color="auto"/>
              <w:left w:val="nil"/>
              <w:bottom w:val="single" w:sz="4" w:space="0" w:color="auto"/>
              <w:right w:val="single" w:sz="4" w:space="0" w:color="auto"/>
            </w:tcBorders>
            <w:shd w:val="clear" w:color="000000" w:fill="F6F6F6"/>
            <w:noWrap/>
            <w:vAlign w:val="center"/>
          </w:tcPr>
          <w:p w14:paraId="5D7BB7C5" w14:textId="07589011" w:rsidR="001620F4" w:rsidRPr="00B81B87" w:rsidRDefault="001620F4" w:rsidP="003B20B3">
            <w:pPr>
              <w:jc w:val="center"/>
              <w:rPr>
                <w:noProof/>
                <w:sz w:val="18"/>
                <w:szCs w:val="18"/>
              </w:rPr>
            </w:pPr>
            <w:r w:rsidRPr="00B81B87">
              <w:rPr>
                <w:noProof/>
                <w:sz w:val="18"/>
                <w:szCs w:val="18"/>
              </w:rPr>
              <w:t>34</w:t>
            </w:r>
            <w:r w:rsidR="00E076D1">
              <w:rPr>
                <w:noProof/>
                <w:sz w:val="18"/>
                <w:szCs w:val="18"/>
              </w:rPr>
              <w:t>,</w:t>
            </w:r>
            <w:r w:rsidRPr="00B81B87">
              <w:rPr>
                <w:noProof/>
                <w:sz w:val="18"/>
                <w:szCs w:val="18"/>
              </w:rPr>
              <w:t>591</w:t>
            </w:r>
          </w:p>
        </w:tc>
        <w:tc>
          <w:tcPr>
            <w:tcW w:w="1386" w:type="dxa"/>
            <w:tcBorders>
              <w:top w:val="single" w:sz="4" w:space="0" w:color="auto"/>
              <w:left w:val="nil"/>
              <w:bottom w:val="single" w:sz="4" w:space="0" w:color="auto"/>
              <w:right w:val="single" w:sz="4" w:space="0" w:color="auto"/>
            </w:tcBorders>
            <w:shd w:val="clear" w:color="000000" w:fill="F6F6F6"/>
            <w:noWrap/>
            <w:vAlign w:val="center"/>
          </w:tcPr>
          <w:p w14:paraId="6E45E831" w14:textId="74C16B22" w:rsidR="001620F4" w:rsidRPr="00B81B87" w:rsidRDefault="001620F4" w:rsidP="003B20B3">
            <w:pPr>
              <w:jc w:val="center"/>
              <w:rPr>
                <w:noProof/>
                <w:sz w:val="18"/>
                <w:szCs w:val="18"/>
              </w:rPr>
            </w:pPr>
            <w:r w:rsidRPr="00B81B87">
              <w:rPr>
                <w:noProof/>
                <w:sz w:val="18"/>
                <w:szCs w:val="18"/>
              </w:rPr>
              <w:t>38</w:t>
            </w:r>
            <w:r w:rsidR="00E076D1">
              <w:rPr>
                <w:noProof/>
                <w:sz w:val="18"/>
                <w:szCs w:val="18"/>
              </w:rPr>
              <w:t>,</w:t>
            </w:r>
            <w:r w:rsidRPr="00B81B87">
              <w:rPr>
                <w:noProof/>
                <w:sz w:val="18"/>
                <w:szCs w:val="18"/>
              </w:rPr>
              <w:t>782</w:t>
            </w:r>
          </w:p>
        </w:tc>
      </w:tr>
      <w:tr w:rsidR="001620F4" w:rsidRPr="00C3115F" w14:paraId="347A0AC8" w14:textId="77777777" w:rsidTr="008B3A3A">
        <w:trPr>
          <w:trHeight w:val="290"/>
        </w:trPr>
        <w:tc>
          <w:tcPr>
            <w:tcW w:w="304" w:type="dxa"/>
            <w:vMerge/>
            <w:tcBorders>
              <w:left w:val="single" w:sz="4" w:space="0" w:color="auto"/>
              <w:bottom w:val="single" w:sz="4" w:space="0" w:color="auto"/>
              <w:right w:val="single" w:sz="4" w:space="0" w:color="auto"/>
            </w:tcBorders>
            <w:vAlign w:val="center"/>
          </w:tcPr>
          <w:p w14:paraId="3B1FEC90" w14:textId="77777777" w:rsidR="001620F4" w:rsidRPr="00C3115F" w:rsidRDefault="001620F4" w:rsidP="00774A3B">
            <w:pPr>
              <w:keepNext/>
              <w:rPr>
                <w:b/>
                <w:bCs/>
                <w:noProof/>
                <w:sz w:val="18"/>
                <w:szCs w:val="18"/>
              </w:rPr>
            </w:pPr>
          </w:p>
        </w:tc>
        <w:tc>
          <w:tcPr>
            <w:tcW w:w="294" w:type="dxa"/>
            <w:vMerge/>
            <w:tcBorders>
              <w:top w:val="single" w:sz="4" w:space="0" w:color="auto"/>
              <w:left w:val="nil"/>
              <w:bottom w:val="single" w:sz="4" w:space="0" w:color="auto"/>
              <w:right w:val="single" w:sz="4" w:space="0" w:color="auto"/>
            </w:tcBorders>
            <w:shd w:val="clear" w:color="auto" w:fill="D9D9D9"/>
            <w:noWrap/>
            <w:vAlign w:val="bottom"/>
          </w:tcPr>
          <w:p w14:paraId="52C324AE" w14:textId="77777777" w:rsidR="001620F4" w:rsidRPr="00C3115F" w:rsidRDefault="001620F4" w:rsidP="00774A3B">
            <w:pPr>
              <w:keepNext/>
              <w:jc w:val="center"/>
              <w:rPr>
                <w:noProof/>
                <w:color w:val="000000"/>
              </w:rPr>
            </w:pPr>
          </w:p>
        </w:tc>
        <w:tc>
          <w:tcPr>
            <w:tcW w:w="248" w:type="dxa"/>
            <w:tcBorders>
              <w:top w:val="single" w:sz="4" w:space="0" w:color="auto"/>
              <w:left w:val="nil"/>
              <w:bottom w:val="single" w:sz="4" w:space="0" w:color="auto"/>
              <w:right w:val="single" w:sz="4" w:space="0" w:color="auto"/>
            </w:tcBorders>
            <w:shd w:val="clear" w:color="auto" w:fill="D9D9D9"/>
            <w:vAlign w:val="center"/>
          </w:tcPr>
          <w:p w14:paraId="23631548" w14:textId="77777777" w:rsidR="001620F4" w:rsidRDefault="001620F4" w:rsidP="00774A3B">
            <w:pPr>
              <w:keepNext/>
              <w:rPr>
                <w:b/>
                <w:bCs/>
                <w:noProof/>
                <w:sz w:val="18"/>
                <w:szCs w:val="18"/>
              </w:rPr>
            </w:pPr>
          </w:p>
        </w:tc>
        <w:tc>
          <w:tcPr>
            <w:tcW w:w="4819" w:type="dxa"/>
            <w:tcBorders>
              <w:top w:val="single" w:sz="4" w:space="0" w:color="auto"/>
              <w:left w:val="single" w:sz="4" w:space="0" w:color="auto"/>
              <w:bottom w:val="single" w:sz="4" w:space="0" w:color="auto"/>
              <w:right w:val="single" w:sz="4" w:space="0" w:color="auto"/>
            </w:tcBorders>
            <w:shd w:val="clear" w:color="000000" w:fill="DCE6F1"/>
            <w:vAlign w:val="center"/>
          </w:tcPr>
          <w:p w14:paraId="2B343E7A" w14:textId="77777777" w:rsidR="001620F4" w:rsidRDefault="001620F4" w:rsidP="00774A3B">
            <w:pPr>
              <w:keepNext/>
              <w:rPr>
                <w:b/>
                <w:bCs/>
                <w:noProof/>
                <w:sz w:val="18"/>
                <w:szCs w:val="18"/>
              </w:rPr>
            </w:pPr>
            <w:r>
              <w:rPr>
                <w:b/>
                <w:noProof/>
                <w:sz w:val="18"/>
                <w:szCs w:val="18"/>
              </w:rPr>
              <w:t xml:space="preserve">Passenger air transport </w:t>
            </w:r>
            <w:r w:rsidRPr="00B81B87">
              <w:rPr>
                <w:bCs/>
                <w:noProof/>
                <w:sz w:val="18"/>
                <w:szCs w:val="18"/>
              </w:rPr>
              <w:t>[H</w:t>
            </w:r>
            <w:r>
              <w:rPr>
                <w:bCs/>
                <w:noProof/>
                <w:sz w:val="18"/>
                <w:szCs w:val="18"/>
              </w:rPr>
              <w:t>511</w:t>
            </w:r>
            <w:r w:rsidRPr="00B81B87">
              <w:rPr>
                <w:bCs/>
                <w:noProof/>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000000" w:fill="F6F6F6"/>
            <w:noWrap/>
            <w:vAlign w:val="center"/>
          </w:tcPr>
          <w:p w14:paraId="0E4DA790" w14:textId="630D5E5B" w:rsidR="001620F4" w:rsidRPr="00B81B87" w:rsidRDefault="001620F4" w:rsidP="00774A3B">
            <w:pPr>
              <w:keepNext/>
              <w:jc w:val="center"/>
              <w:rPr>
                <w:noProof/>
                <w:sz w:val="18"/>
                <w:szCs w:val="18"/>
              </w:rPr>
            </w:pPr>
            <w:r w:rsidRPr="00B81B87">
              <w:rPr>
                <w:noProof/>
                <w:sz w:val="18"/>
                <w:szCs w:val="18"/>
              </w:rPr>
              <w:t>9</w:t>
            </w:r>
            <w:r w:rsidR="00E076D1">
              <w:rPr>
                <w:noProof/>
                <w:sz w:val="18"/>
                <w:szCs w:val="18"/>
              </w:rPr>
              <w:t>,</w:t>
            </w:r>
            <w:r w:rsidRPr="00B81B87">
              <w:rPr>
                <w:noProof/>
                <w:sz w:val="18"/>
                <w:szCs w:val="18"/>
              </w:rPr>
              <w:t>713</w:t>
            </w:r>
          </w:p>
        </w:tc>
        <w:tc>
          <w:tcPr>
            <w:tcW w:w="1276" w:type="dxa"/>
            <w:tcBorders>
              <w:top w:val="single" w:sz="4" w:space="0" w:color="auto"/>
              <w:left w:val="nil"/>
              <w:bottom w:val="single" w:sz="4" w:space="0" w:color="auto"/>
              <w:right w:val="single" w:sz="4" w:space="0" w:color="auto"/>
            </w:tcBorders>
            <w:shd w:val="clear" w:color="000000" w:fill="F6F6F6"/>
            <w:noWrap/>
            <w:vAlign w:val="center"/>
          </w:tcPr>
          <w:p w14:paraId="5421FF9A" w14:textId="4CC28473" w:rsidR="001620F4" w:rsidRPr="00B81B87" w:rsidRDefault="001620F4" w:rsidP="00774A3B">
            <w:pPr>
              <w:keepNext/>
              <w:jc w:val="center"/>
              <w:rPr>
                <w:noProof/>
                <w:sz w:val="18"/>
                <w:szCs w:val="18"/>
              </w:rPr>
            </w:pPr>
            <w:r w:rsidRPr="00B81B87">
              <w:rPr>
                <w:noProof/>
                <w:sz w:val="18"/>
                <w:szCs w:val="18"/>
              </w:rPr>
              <w:t>27</w:t>
            </w:r>
            <w:r w:rsidR="00E076D1">
              <w:rPr>
                <w:noProof/>
                <w:sz w:val="18"/>
                <w:szCs w:val="18"/>
              </w:rPr>
              <w:t>,</w:t>
            </w:r>
            <w:r w:rsidRPr="00B81B87">
              <w:rPr>
                <w:noProof/>
                <w:sz w:val="18"/>
                <w:szCs w:val="18"/>
              </w:rPr>
              <w:t>360</w:t>
            </w:r>
          </w:p>
        </w:tc>
        <w:tc>
          <w:tcPr>
            <w:tcW w:w="1386" w:type="dxa"/>
            <w:tcBorders>
              <w:top w:val="single" w:sz="4" w:space="0" w:color="auto"/>
              <w:left w:val="nil"/>
              <w:bottom w:val="single" w:sz="4" w:space="0" w:color="auto"/>
              <w:right w:val="single" w:sz="4" w:space="0" w:color="auto"/>
            </w:tcBorders>
            <w:shd w:val="clear" w:color="000000" w:fill="F6F6F6"/>
            <w:noWrap/>
            <w:vAlign w:val="center"/>
          </w:tcPr>
          <w:p w14:paraId="37578AF1" w14:textId="28E8367F" w:rsidR="001620F4" w:rsidRPr="00B81B87" w:rsidRDefault="001620F4" w:rsidP="00774A3B">
            <w:pPr>
              <w:keepNext/>
              <w:jc w:val="center"/>
              <w:rPr>
                <w:noProof/>
                <w:sz w:val="18"/>
                <w:szCs w:val="18"/>
              </w:rPr>
            </w:pPr>
            <w:r w:rsidRPr="00B81B87">
              <w:rPr>
                <w:noProof/>
                <w:sz w:val="18"/>
                <w:szCs w:val="18"/>
              </w:rPr>
              <w:t>35</w:t>
            </w:r>
            <w:r w:rsidR="00E076D1">
              <w:rPr>
                <w:noProof/>
                <w:sz w:val="18"/>
                <w:szCs w:val="18"/>
              </w:rPr>
              <w:t>,</w:t>
            </w:r>
            <w:r w:rsidRPr="00B81B87">
              <w:rPr>
                <w:noProof/>
                <w:sz w:val="18"/>
                <w:szCs w:val="18"/>
              </w:rPr>
              <w:t>500</w:t>
            </w:r>
            <w:r>
              <w:rPr>
                <w:noProof/>
                <w:sz w:val="18"/>
                <w:szCs w:val="18"/>
              </w:rPr>
              <w:t>**</w:t>
            </w:r>
          </w:p>
        </w:tc>
      </w:tr>
    </w:tbl>
    <w:p w14:paraId="4A363862" w14:textId="29A0B2A0" w:rsidR="001620F4" w:rsidRPr="00202FA5" w:rsidRDefault="001620F4" w:rsidP="00774A3B">
      <w:pPr>
        <w:keepNext/>
        <w:spacing w:after="240"/>
        <w:jc w:val="both"/>
        <w:rPr>
          <w:i/>
          <w:iCs/>
          <w:noProof/>
          <w:sz w:val="20"/>
          <w:szCs w:val="20"/>
        </w:rPr>
      </w:pPr>
      <w:r w:rsidRPr="00753AFE">
        <w:rPr>
          <w:i/>
          <w:iCs/>
          <w:noProof/>
          <w:sz w:val="20"/>
          <w:szCs w:val="20"/>
        </w:rPr>
        <w:t xml:space="preserve">Source: Eurostat. </w:t>
      </w:r>
      <w:r w:rsidRPr="005D2D60">
        <w:rPr>
          <w:i/>
          <w:noProof/>
          <w:sz w:val="20"/>
          <w:szCs w:val="20"/>
        </w:rPr>
        <w:t>Enterprises by detailed NACE Rev. 2 activity and special aggregates) [sbs_sc_ovw]</w:t>
      </w:r>
      <w:r w:rsidR="00B42320" w:rsidRPr="005D2D60">
        <w:rPr>
          <w:i/>
          <w:noProof/>
          <w:sz w:val="20"/>
          <w:szCs w:val="20"/>
        </w:rPr>
        <w:t xml:space="preserve">; </w:t>
      </w:r>
      <w:r w:rsidRPr="00753AFE">
        <w:rPr>
          <w:i/>
          <w:iCs/>
          <w:noProof/>
          <w:sz w:val="20"/>
          <w:szCs w:val="20"/>
        </w:rPr>
        <w:t>*Except public administration and defence, compulsory social security, activities of membership organisations</w:t>
      </w:r>
      <w:r w:rsidR="00C05032">
        <w:rPr>
          <w:i/>
          <w:iCs/>
          <w:noProof/>
          <w:sz w:val="20"/>
          <w:szCs w:val="20"/>
        </w:rPr>
        <w:t xml:space="preserve">; </w:t>
      </w:r>
      <w:r>
        <w:rPr>
          <w:i/>
          <w:iCs/>
          <w:noProof/>
          <w:sz w:val="20"/>
          <w:szCs w:val="20"/>
        </w:rPr>
        <w:t>**Data is estimated.</w:t>
      </w:r>
      <w:r w:rsidR="008C17EE">
        <w:rPr>
          <w:i/>
          <w:iCs/>
          <w:noProof/>
          <w:sz w:val="20"/>
          <w:szCs w:val="20"/>
        </w:rPr>
        <w:t xml:space="preserve"> </w:t>
      </w:r>
      <w:r>
        <w:rPr>
          <w:i/>
          <w:iCs/>
          <w:noProof/>
          <w:sz w:val="20"/>
          <w:szCs w:val="20"/>
        </w:rPr>
        <w:t>Notes: Data for NACE activity H50 is confidential. Data for NACE activity 493 includes both urban and interurban.</w:t>
      </w:r>
    </w:p>
    <w:p w14:paraId="3F61C645" w14:textId="511C5EA5" w:rsidR="00AC6196" w:rsidRPr="00F840AD" w:rsidRDefault="00AC6196" w:rsidP="00F840AD">
      <w:pPr>
        <w:spacing w:after="240"/>
        <w:jc w:val="both"/>
        <w:rPr>
          <w:noProof/>
          <w:spacing w:val="-8"/>
          <w:szCs w:val="20"/>
        </w:rPr>
      </w:pPr>
      <w:r w:rsidRPr="00F840AD">
        <w:rPr>
          <w:noProof/>
          <w:spacing w:val="-8"/>
        </w:rPr>
        <w:t xml:space="preserve">The number of persons employed in the EU, including in the EU transport and storage sector, between </w:t>
      </w:r>
      <w:r w:rsidR="00BD76E5">
        <w:rPr>
          <w:noProof/>
          <w:spacing w:val="-8"/>
        </w:rPr>
        <w:t xml:space="preserve">2021 </w:t>
      </w:r>
      <w:r w:rsidRPr="00F840AD">
        <w:rPr>
          <w:noProof/>
          <w:spacing w:val="-8"/>
        </w:rPr>
        <w:t xml:space="preserve">and </w:t>
      </w:r>
      <w:r w:rsidR="00BD76E5">
        <w:rPr>
          <w:noProof/>
          <w:spacing w:val="-8"/>
        </w:rPr>
        <w:t>2024</w:t>
      </w:r>
      <w:r w:rsidR="00BD76E5" w:rsidRPr="00F840AD">
        <w:rPr>
          <w:noProof/>
          <w:spacing w:val="-8"/>
        </w:rPr>
        <w:t xml:space="preserve"> </w:t>
      </w:r>
      <w:r w:rsidRPr="00F840AD">
        <w:rPr>
          <w:noProof/>
          <w:spacing w:val="-8"/>
        </w:rPr>
        <w:t xml:space="preserve">is presented in the table below. </w:t>
      </w:r>
      <w:r w:rsidR="00E56318">
        <w:rPr>
          <w:noProof/>
          <w:spacing w:val="-8"/>
        </w:rPr>
        <w:t xml:space="preserve">Passenger rail </w:t>
      </w:r>
      <w:r w:rsidRPr="00F840AD">
        <w:rPr>
          <w:noProof/>
          <w:spacing w:val="-8"/>
        </w:rPr>
        <w:t xml:space="preserve">transport sector represents </w:t>
      </w:r>
      <w:r w:rsidR="00E85F8D">
        <w:rPr>
          <w:noProof/>
          <w:spacing w:val="-8"/>
        </w:rPr>
        <w:t xml:space="preserve">around 4% of the </w:t>
      </w:r>
      <w:r w:rsidRPr="00F840AD">
        <w:rPr>
          <w:noProof/>
          <w:spacing w:val="-8"/>
        </w:rPr>
        <w:t>total persons employed in the transport and storage sector (</w:t>
      </w:r>
      <w:r w:rsidR="00E914B0">
        <w:rPr>
          <w:noProof/>
          <w:spacing w:val="-8"/>
        </w:rPr>
        <w:t>4.1</w:t>
      </w:r>
      <w:r w:rsidRPr="00F840AD">
        <w:rPr>
          <w:noProof/>
          <w:spacing w:val="-8"/>
        </w:rPr>
        <w:t xml:space="preserve">% in </w:t>
      </w:r>
      <w:r w:rsidR="00E914B0" w:rsidRPr="00F840AD">
        <w:rPr>
          <w:noProof/>
          <w:spacing w:val="-8"/>
        </w:rPr>
        <w:t>202</w:t>
      </w:r>
      <w:r w:rsidR="00E914B0">
        <w:rPr>
          <w:noProof/>
          <w:spacing w:val="-8"/>
        </w:rPr>
        <w:t>4</w:t>
      </w:r>
      <w:r w:rsidRPr="00F840AD">
        <w:rPr>
          <w:noProof/>
          <w:spacing w:val="-8"/>
        </w:rPr>
        <w:t>) and around 0.3% of the total persons employed in the EU economy.</w:t>
      </w:r>
    </w:p>
    <w:p w14:paraId="717181AE" w14:textId="64B80A51" w:rsidR="000715CC" w:rsidRPr="00202FA5" w:rsidRDefault="000715CC" w:rsidP="000715CC">
      <w:pPr>
        <w:keepNext/>
        <w:jc w:val="both"/>
        <w:rPr>
          <w:bCs/>
          <w:i/>
          <w:iCs/>
          <w:noProof/>
          <w:sz w:val="22"/>
          <w:szCs w:val="22"/>
        </w:rPr>
      </w:pPr>
      <w:r w:rsidRPr="00FB1FE9">
        <w:rPr>
          <w:i/>
          <w:noProof/>
          <w:sz w:val="22"/>
          <w:szCs w:val="22"/>
        </w:rPr>
        <w:t xml:space="preserve">Table </w:t>
      </w:r>
      <w:r w:rsidRPr="00FB1FE9">
        <w:rPr>
          <w:i/>
          <w:noProof/>
          <w:sz w:val="22"/>
          <w:szCs w:val="22"/>
        </w:rPr>
        <w:fldChar w:fldCharType="begin"/>
      </w:r>
      <w:r w:rsidRPr="00FB1FE9">
        <w:rPr>
          <w:i/>
          <w:noProof/>
          <w:sz w:val="22"/>
          <w:szCs w:val="22"/>
        </w:rPr>
        <w:instrText xml:space="preserve"> SEQ Table \* ARABIC </w:instrText>
      </w:r>
      <w:r w:rsidRPr="00FB1FE9">
        <w:rPr>
          <w:i/>
          <w:noProof/>
          <w:sz w:val="22"/>
          <w:szCs w:val="22"/>
        </w:rPr>
        <w:fldChar w:fldCharType="separate"/>
      </w:r>
      <w:r w:rsidR="0055391F">
        <w:rPr>
          <w:i/>
          <w:noProof/>
          <w:sz w:val="22"/>
          <w:szCs w:val="22"/>
        </w:rPr>
        <w:t>133</w:t>
      </w:r>
      <w:r w:rsidRPr="00FB1FE9">
        <w:rPr>
          <w:i/>
          <w:noProof/>
          <w:sz w:val="22"/>
          <w:szCs w:val="22"/>
        </w:rPr>
        <w:fldChar w:fldCharType="end"/>
      </w:r>
      <w:r w:rsidRPr="00FB1FE9">
        <w:rPr>
          <w:i/>
          <w:noProof/>
          <w:sz w:val="22"/>
          <w:szCs w:val="22"/>
        </w:rPr>
        <w:t xml:space="preserve">: </w:t>
      </w:r>
      <w:r w:rsidRPr="00202FA5">
        <w:rPr>
          <w:bCs/>
          <w:i/>
          <w:iCs/>
          <w:noProof/>
          <w:sz w:val="22"/>
          <w:szCs w:val="22"/>
        </w:rPr>
        <w:t xml:space="preserve">Persons employed </w:t>
      </w:r>
      <w:r>
        <w:rPr>
          <w:bCs/>
          <w:i/>
          <w:iCs/>
          <w:noProof/>
          <w:sz w:val="22"/>
          <w:szCs w:val="22"/>
        </w:rPr>
        <w:t>in</w:t>
      </w:r>
      <w:r w:rsidRPr="00202FA5">
        <w:rPr>
          <w:bCs/>
          <w:i/>
          <w:iCs/>
          <w:noProof/>
          <w:sz w:val="22"/>
          <w:szCs w:val="22"/>
        </w:rPr>
        <w:t xml:space="preserve"> the EU economy, </w:t>
      </w:r>
      <w:r w:rsidRPr="000715CC">
        <w:rPr>
          <w:bCs/>
          <w:i/>
          <w:iCs/>
          <w:noProof/>
          <w:sz w:val="22"/>
          <w:szCs w:val="22"/>
        </w:rPr>
        <w:t>including for the EU transport and storage sector</w:t>
      </w:r>
      <w:r>
        <w:rPr>
          <w:bCs/>
          <w:i/>
          <w:iCs/>
          <w:noProof/>
          <w:sz w:val="22"/>
          <w:szCs w:val="22"/>
        </w:rPr>
        <w:t xml:space="preserve">, </w:t>
      </w:r>
      <w:r w:rsidRPr="00202FA5">
        <w:rPr>
          <w:bCs/>
          <w:i/>
          <w:iCs/>
          <w:noProof/>
          <w:sz w:val="22"/>
          <w:szCs w:val="22"/>
        </w:rPr>
        <w:t>between 2021 and 2024</w:t>
      </w:r>
    </w:p>
    <w:tbl>
      <w:tblPr>
        <w:tblW w:w="5000" w:type="pct"/>
        <w:tblLook w:val="04A0" w:firstRow="1" w:lastRow="0" w:firstColumn="1" w:lastColumn="0" w:noHBand="0" w:noVBand="1"/>
      </w:tblPr>
      <w:tblGrid>
        <w:gridCol w:w="304"/>
        <w:gridCol w:w="294"/>
        <w:gridCol w:w="454"/>
        <w:gridCol w:w="3623"/>
        <w:gridCol w:w="1208"/>
        <w:gridCol w:w="1208"/>
        <w:gridCol w:w="1208"/>
        <w:gridCol w:w="1304"/>
      </w:tblGrid>
      <w:tr w:rsidR="00090452" w:rsidRPr="00C3115F" w14:paraId="192B0DA9" w14:textId="77777777" w:rsidTr="00774A3B">
        <w:trPr>
          <w:trHeight w:val="290"/>
          <w:tblHeader/>
        </w:trPr>
        <w:tc>
          <w:tcPr>
            <w:tcW w:w="4675" w:type="dxa"/>
            <w:gridSpan w:val="4"/>
            <w:tcBorders>
              <w:top w:val="single" w:sz="4" w:space="0" w:color="auto"/>
              <w:left w:val="single" w:sz="4" w:space="0" w:color="auto"/>
              <w:bottom w:val="single" w:sz="4" w:space="0" w:color="auto"/>
              <w:right w:val="single" w:sz="4" w:space="0" w:color="auto"/>
            </w:tcBorders>
            <w:shd w:val="clear" w:color="auto" w:fill="0070C0"/>
          </w:tcPr>
          <w:p w14:paraId="2A88ED7E" w14:textId="77777777" w:rsidR="000715CC" w:rsidRPr="00C3115F" w:rsidRDefault="000715CC" w:rsidP="008B3A3A">
            <w:pPr>
              <w:jc w:val="center"/>
              <w:rPr>
                <w:b/>
                <w:bCs/>
                <w:noProof/>
                <w:color w:val="FFFFFF"/>
                <w:sz w:val="18"/>
                <w:szCs w:val="18"/>
              </w:rPr>
            </w:pPr>
          </w:p>
        </w:tc>
        <w:tc>
          <w:tcPr>
            <w:tcW w:w="1208" w:type="dxa"/>
            <w:tcBorders>
              <w:top w:val="single" w:sz="4" w:space="0" w:color="auto"/>
              <w:left w:val="nil"/>
              <w:bottom w:val="single" w:sz="4" w:space="0" w:color="auto"/>
              <w:right w:val="single" w:sz="4" w:space="0" w:color="auto"/>
            </w:tcBorders>
            <w:shd w:val="clear" w:color="auto" w:fill="0070C0"/>
            <w:noWrap/>
            <w:vAlign w:val="center"/>
            <w:hideMark/>
          </w:tcPr>
          <w:p w14:paraId="620BC939" w14:textId="77777777" w:rsidR="000715CC" w:rsidRPr="00C3115F" w:rsidRDefault="000715CC" w:rsidP="008B3A3A">
            <w:pPr>
              <w:jc w:val="center"/>
              <w:rPr>
                <w:b/>
                <w:bCs/>
                <w:noProof/>
                <w:color w:val="FFFFFF"/>
                <w:sz w:val="18"/>
                <w:szCs w:val="18"/>
              </w:rPr>
            </w:pPr>
            <w:r>
              <w:rPr>
                <w:b/>
                <w:bCs/>
                <w:noProof/>
                <w:color w:val="FFFFFF"/>
                <w:sz w:val="18"/>
                <w:szCs w:val="18"/>
              </w:rPr>
              <w:t>2021</w:t>
            </w:r>
          </w:p>
        </w:tc>
        <w:tc>
          <w:tcPr>
            <w:tcW w:w="1208" w:type="dxa"/>
            <w:tcBorders>
              <w:top w:val="single" w:sz="4" w:space="0" w:color="auto"/>
              <w:left w:val="nil"/>
              <w:bottom w:val="single" w:sz="4" w:space="0" w:color="auto"/>
              <w:right w:val="single" w:sz="4" w:space="0" w:color="auto"/>
            </w:tcBorders>
            <w:shd w:val="clear" w:color="auto" w:fill="0070C0"/>
            <w:noWrap/>
            <w:vAlign w:val="center"/>
            <w:hideMark/>
          </w:tcPr>
          <w:p w14:paraId="7933705D" w14:textId="77777777" w:rsidR="000715CC" w:rsidRPr="00C3115F" w:rsidRDefault="000715CC" w:rsidP="008B3A3A">
            <w:pPr>
              <w:jc w:val="center"/>
              <w:rPr>
                <w:b/>
                <w:bCs/>
                <w:noProof/>
                <w:color w:val="FFFFFF"/>
                <w:sz w:val="18"/>
                <w:szCs w:val="18"/>
              </w:rPr>
            </w:pPr>
            <w:r>
              <w:rPr>
                <w:b/>
                <w:bCs/>
                <w:noProof/>
                <w:color w:val="FFFFFF"/>
                <w:sz w:val="18"/>
                <w:szCs w:val="18"/>
              </w:rPr>
              <w:t>2022</w:t>
            </w:r>
          </w:p>
        </w:tc>
        <w:tc>
          <w:tcPr>
            <w:tcW w:w="1208" w:type="dxa"/>
            <w:tcBorders>
              <w:top w:val="single" w:sz="4" w:space="0" w:color="auto"/>
              <w:left w:val="nil"/>
              <w:bottom w:val="single" w:sz="4" w:space="0" w:color="auto"/>
              <w:right w:val="single" w:sz="4" w:space="0" w:color="auto"/>
            </w:tcBorders>
            <w:shd w:val="clear" w:color="auto" w:fill="0070C0"/>
            <w:noWrap/>
            <w:vAlign w:val="center"/>
            <w:hideMark/>
          </w:tcPr>
          <w:p w14:paraId="456A85C3" w14:textId="77777777" w:rsidR="000715CC" w:rsidRPr="00C3115F" w:rsidRDefault="000715CC" w:rsidP="008B3A3A">
            <w:pPr>
              <w:jc w:val="center"/>
              <w:rPr>
                <w:b/>
                <w:bCs/>
                <w:noProof/>
                <w:color w:val="FFFFFF"/>
                <w:sz w:val="18"/>
                <w:szCs w:val="18"/>
              </w:rPr>
            </w:pPr>
            <w:r w:rsidRPr="00C3115F">
              <w:rPr>
                <w:b/>
                <w:bCs/>
                <w:noProof/>
                <w:color w:val="FFFFFF"/>
                <w:sz w:val="18"/>
                <w:szCs w:val="18"/>
              </w:rPr>
              <w:t>202</w:t>
            </w:r>
            <w:r>
              <w:rPr>
                <w:b/>
                <w:bCs/>
                <w:noProof/>
                <w:color w:val="FFFFFF"/>
                <w:sz w:val="18"/>
                <w:szCs w:val="18"/>
              </w:rPr>
              <w:t>3</w:t>
            </w:r>
          </w:p>
        </w:tc>
        <w:tc>
          <w:tcPr>
            <w:tcW w:w="1304" w:type="dxa"/>
            <w:tcBorders>
              <w:top w:val="single" w:sz="4" w:space="0" w:color="auto"/>
              <w:left w:val="nil"/>
              <w:bottom w:val="single" w:sz="4" w:space="0" w:color="auto"/>
              <w:right w:val="single" w:sz="4" w:space="0" w:color="auto"/>
            </w:tcBorders>
            <w:shd w:val="clear" w:color="auto" w:fill="0070C0"/>
            <w:vAlign w:val="center"/>
          </w:tcPr>
          <w:p w14:paraId="229A6BEC" w14:textId="77777777" w:rsidR="000715CC" w:rsidRPr="00C3115F" w:rsidRDefault="000715CC" w:rsidP="008B3A3A">
            <w:pPr>
              <w:jc w:val="center"/>
              <w:rPr>
                <w:b/>
                <w:bCs/>
                <w:noProof/>
                <w:color w:val="FFFFFF"/>
                <w:sz w:val="18"/>
                <w:szCs w:val="18"/>
              </w:rPr>
            </w:pPr>
            <w:r>
              <w:rPr>
                <w:b/>
                <w:bCs/>
                <w:noProof/>
                <w:color w:val="FFFFFF"/>
                <w:sz w:val="18"/>
                <w:szCs w:val="18"/>
              </w:rPr>
              <w:t>2024</w:t>
            </w:r>
            <w:r w:rsidRPr="00B81B87">
              <w:rPr>
                <w:b/>
                <w:bCs/>
                <w:noProof/>
                <w:color w:val="FFFFFF"/>
                <w:sz w:val="18"/>
                <w:szCs w:val="18"/>
                <w:vertAlign w:val="superscript"/>
              </w:rPr>
              <w:t>p</w:t>
            </w:r>
          </w:p>
        </w:tc>
      </w:tr>
      <w:tr w:rsidR="000715CC" w:rsidRPr="00C3115F" w14:paraId="4B195A38" w14:textId="77777777" w:rsidTr="008B3A3A">
        <w:trPr>
          <w:trHeight w:val="360"/>
        </w:trPr>
        <w:tc>
          <w:tcPr>
            <w:tcW w:w="4675" w:type="dxa"/>
            <w:gridSpan w:val="4"/>
            <w:tcBorders>
              <w:top w:val="single" w:sz="4" w:space="0" w:color="auto"/>
              <w:left w:val="single" w:sz="4" w:space="0" w:color="auto"/>
              <w:bottom w:val="single" w:sz="4" w:space="0" w:color="auto"/>
              <w:right w:val="single" w:sz="4" w:space="0" w:color="auto"/>
            </w:tcBorders>
            <w:shd w:val="clear" w:color="000000" w:fill="DCE6F1"/>
            <w:vAlign w:val="center"/>
          </w:tcPr>
          <w:p w14:paraId="23B7C677" w14:textId="77777777" w:rsidR="000715CC" w:rsidRPr="00B81B87" w:rsidRDefault="000715CC" w:rsidP="008B3A3A">
            <w:pPr>
              <w:rPr>
                <w:b/>
                <w:bCs/>
                <w:noProof/>
                <w:sz w:val="18"/>
                <w:szCs w:val="18"/>
              </w:rPr>
            </w:pPr>
            <w:r w:rsidRPr="00B81B87">
              <w:rPr>
                <w:b/>
                <w:bCs/>
                <w:noProof/>
                <w:sz w:val="18"/>
                <w:szCs w:val="18"/>
              </w:rPr>
              <w:t>Industry, construction and market services [B-S_X_O_S94]*</w:t>
            </w:r>
          </w:p>
        </w:tc>
        <w:tc>
          <w:tcPr>
            <w:tcW w:w="1208" w:type="dxa"/>
            <w:tcBorders>
              <w:top w:val="nil"/>
              <w:left w:val="nil"/>
              <w:bottom w:val="single" w:sz="4" w:space="0" w:color="auto"/>
              <w:right w:val="single" w:sz="4" w:space="0" w:color="auto"/>
            </w:tcBorders>
            <w:shd w:val="clear" w:color="000000" w:fill="F6F6F6"/>
            <w:noWrap/>
            <w:vAlign w:val="center"/>
          </w:tcPr>
          <w:p w14:paraId="5C45944D" w14:textId="4BE0728B" w:rsidR="000715CC" w:rsidRPr="00B81B87" w:rsidRDefault="000715CC" w:rsidP="008B3A3A">
            <w:pPr>
              <w:jc w:val="center"/>
              <w:rPr>
                <w:noProof/>
                <w:sz w:val="18"/>
                <w:szCs w:val="18"/>
              </w:rPr>
            </w:pPr>
            <w:r w:rsidRPr="00B81B87">
              <w:rPr>
                <w:noProof/>
                <w:sz w:val="18"/>
                <w:szCs w:val="18"/>
              </w:rPr>
              <w:t>156</w:t>
            </w:r>
            <w:r w:rsidR="00C1642F">
              <w:rPr>
                <w:noProof/>
                <w:sz w:val="18"/>
                <w:szCs w:val="18"/>
              </w:rPr>
              <w:t>,</w:t>
            </w:r>
            <w:r w:rsidRPr="00B81B87">
              <w:rPr>
                <w:noProof/>
                <w:sz w:val="18"/>
                <w:szCs w:val="18"/>
              </w:rPr>
              <w:t>098</w:t>
            </w:r>
            <w:r w:rsidR="00C1642F">
              <w:rPr>
                <w:noProof/>
                <w:sz w:val="18"/>
                <w:szCs w:val="18"/>
              </w:rPr>
              <w:t>,</w:t>
            </w:r>
            <w:r w:rsidRPr="00B81B87">
              <w:rPr>
                <w:noProof/>
                <w:sz w:val="18"/>
                <w:szCs w:val="18"/>
              </w:rPr>
              <w:t>847</w:t>
            </w:r>
          </w:p>
        </w:tc>
        <w:tc>
          <w:tcPr>
            <w:tcW w:w="1208" w:type="dxa"/>
            <w:tcBorders>
              <w:top w:val="nil"/>
              <w:left w:val="nil"/>
              <w:bottom w:val="single" w:sz="4" w:space="0" w:color="auto"/>
              <w:right w:val="single" w:sz="4" w:space="0" w:color="auto"/>
            </w:tcBorders>
            <w:shd w:val="clear" w:color="000000" w:fill="F6F6F6"/>
            <w:noWrap/>
            <w:vAlign w:val="center"/>
          </w:tcPr>
          <w:p w14:paraId="74573C57" w14:textId="7FBFECE0" w:rsidR="000715CC" w:rsidRPr="00B81B87" w:rsidRDefault="000715CC" w:rsidP="008B3A3A">
            <w:pPr>
              <w:jc w:val="center"/>
              <w:rPr>
                <w:noProof/>
                <w:sz w:val="18"/>
                <w:szCs w:val="18"/>
              </w:rPr>
            </w:pPr>
            <w:r w:rsidRPr="00B81B87">
              <w:rPr>
                <w:noProof/>
                <w:sz w:val="18"/>
                <w:szCs w:val="18"/>
              </w:rPr>
              <w:t>160</w:t>
            </w:r>
            <w:r w:rsidR="00C1642F">
              <w:rPr>
                <w:noProof/>
                <w:sz w:val="18"/>
                <w:szCs w:val="18"/>
              </w:rPr>
              <w:t>,</w:t>
            </w:r>
            <w:r w:rsidRPr="00B81B87">
              <w:rPr>
                <w:noProof/>
                <w:sz w:val="18"/>
                <w:szCs w:val="18"/>
              </w:rPr>
              <w:t>424</w:t>
            </w:r>
            <w:r w:rsidR="00C1642F">
              <w:rPr>
                <w:noProof/>
                <w:sz w:val="18"/>
                <w:szCs w:val="18"/>
              </w:rPr>
              <w:t>,</w:t>
            </w:r>
            <w:r w:rsidRPr="00B81B87">
              <w:rPr>
                <w:noProof/>
                <w:sz w:val="18"/>
                <w:szCs w:val="18"/>
              </w:rPr>
              <w:t>218</w:t>
            </w:r>
          </w:p>
        </w:tc>
        <w:tc>
          <w:tcPr>
            <w:tcW w:w="1208" w:type="dxa"/>
            <w:tcBorders>
              <w:top w:val="nil"/>
              <w:left w:val="nil"/>
              <w:bottom w:val="single" w:sz="4" w:space="0" w:color="auto"/>
              <w:right w:val="single" w:sz="4" w:space="0" w:color="auto"/>
            </w:tcBorders>
            <w:shd w:val="clear" w:color="000000" w:fill="F6F6F6"/>
            <w:noWrap/>
            <w:vAlign w:val="center"/>
          </w:tcPr>
          <w:p w14:paraId="51B2C4CC" w14:textId="4F6C65B6" w:rsidR="000715CC" w:rsidRPr="00B81B87" w:rsidRDefault="000715CC" w:rsidP="008B3A3A">
            <w:pPr>
              <w:jc w:val="center"/>
              <w:rPr>
                <w:noProof/>
                <w:sz w:val="18"/>
                <w:szCs w:val="18"/>
              </w:rPr>
            </w:pPr>
            <w:r w:rsidRPr="00B81B87">
              <w:rPr>
                <w:noProof/>
                <w:sz w:val="18"/>
                <w:szCs w:val="18"/>
              </w:rPr>
              <w:t>162</w:t>
            </w:r>
            <w:r w:rsidR="00C1642F">
              <w:rPr>
                <w:noProof/>
                <w:sz w:val="18"/>
                <w:szCs w:val="18"/>
              </w:rPr>
              <w:t>,</w:t>
            </w:r>
            <w:r w:rsidRPr="00B81B87">
              <w:rPr>
                <w:noProof/>
                <w:sz w:val="18"/>
                <w:szCs w:val="18"/>
              </w:rPr>
              <w:t>151</w:t>
            </w:r>
            <w:r w:rsidR="00C1642F">
              <w:rPr>
                <w:noProof/>
                <w:sz w:val="18"/>
                <w:szCs w:val="18"/>
              </w:rPr>
              <w:t>,</w:t>
            </w:r>
            <w:r w:rsidRPr="00B81B87">
              <w:rPr>
                <w:noProof/>
                <w:sz w:val="18"/>
                <w:szCs w:val="18"/>
              </w:rPr>
              <w:t>763</w:t>
            </w:r>
          </w:p>
        </w:tc>
        <w:tc>
          <w:tcPr>
            <w:tcW w:w="1304" w:type="dxa"/>
            <w:tcBorders>
              <w:top w:val="nil"/>
              <w:left w:val="nil"/>
              <w:bottom w:val="single" w:sz="4" w:space="0" w:color="auto"/>
              <w:right w:val="single" w:sz="4" w:space="0" w:color="auto"/>
            </w:tcBorders>
            <w:shd w:val="clear" w:color="000000" w:fill="F6F6F6"/>
            <w:vAlign w:val="center"/>
          </w:tcPr>
          <w:p w14:paraId="5234B53A" w14:textId="39E096D4" w:rsidR="000715CC" w:rsidRPr="00B81B87" w:rsidRDefault="000715CC" w:rsidP="008B3A3A">
            <w:pPr>
              <w:jc w:val="center"/>
              <w:rPr>
                <w:noProof/>
                <w:sz w:val="18"/>
                <w:szCs w:val="18"/>
              </w:rPr>
            </w:pPr>
            <w:r w:rsidRPr="00B81B87">
              <w:rPr>
                <w:noProof/>
                <w:sz w:val="18"/>
                <w:szCs w:val="18"/>
              </w:rPr>
              <w:t>164</w:t>
            </w:r>
            <w:r w:rsidR="00C1642F">
              <w:rPr>
                <w:noProof/>
                <w:sz w:val="18"/>
                <w:szCs w:val="18"/>
              </w:rPr>
              <w:t>,</w:t>
            </w:r>
            <w:r w:rsidRPr="00B81B87">
              <w:rPr>
                <w:noProof/>
                <w:sz w:val="18"/>
                <w:szCs w:val="18"/>
              </w:rPr>
              <w:t>201</w:t>
            </w:r>
            <w:r w:rsidR="00C1642F">
              <w:rPr>
                <w:noProof/>
                <w:sz w:val="18"/>
                <w:szCs w:val="18"/>
              </w:rPr>
              <w:t>,</w:t>
            </w:r>
            <w:r w:rsidRPr="00B81B87">
              <w:rPr>
                <w:noProof/>
                <w:sz w:val="18"/>
                <w:szCs w:val="18"/>
              </w:rPr>
              <w:t>284</w:t>
            </w:r>
          </w:p>
        </w:tc>
      </w:tr>
      <w:tr w:rsidR="00090452" w:rsidRPr="00C3115F" w14:paraId="1AEEA30A" w14:textId="77777777" w:rsidTr="00774A3B">
        <w:trPr>
          <w:trHeight w:val="290"/>
        </w:trPr>
        <w:tc>
          <w:tcPr>
            <w:tcW w:w="304" w:type="dxa"/>
            <w:vMerge w:val="restart"/>
            <w:tcBorders>
              <w:top w:val="nil"/>
              <w:left w:val="single" w:sz="4" w:space="0" w:color="auto"/>
              <w:right w:val="single" w:sz="4" w:space="0" w:color="auto"/>
            </w:tcBorders>
            <w:shd w:val="clear" w:color="000000" w:fill="D9D9D9"/>
            <w:noWrap/>
            <w:vAlign w:val="center"/>
            <w:hideMark/>
          </w:tcPr>
          <w:p w14:paraId="26A7029E" w14:textId="77777777" w:rsidR="000715CC" w:rsidRPr="00B81B87" w:rsidRDefault="000715CC" w:rsidP="008B3A3A">
            <w:pPr>
              <w:jc w:val="center"/>
              <w:rPr>
                <w:b/>
                <w:bCs/>
                <w:noProof/>
                <w:sz w:val="18"/>
                <w:szCs w:val="18"/>
              </w:rPr>
            </w:pPr>
            <w:r w:rsidRPr="00B81B87">
              <w:rPr>
                <w:b/>
                <w:bCs/>
                <w:noProof/>
                <w:sz w:val="18"/>
                <w:szCs w:val="18"/>
              </w:rPr>
              <w:t> </w:t>
            </w:r>
          </w:p>
        </w:tc>
        <w:tc>
          <w:tcPr>
            <w:tcW w:w="4371" w:type="dxa"/>
            <w:gridSpan w:val="3"/>
            <w:tcBorders>
              <w:top w:val="single" w:sz="4" w:space="0" w:color="auto"/>
              <w:left w:val="nil"/>
              <w:right w:val="single" w:sz="4" w:space="0" w:color="auto"/>
            </w:tcBorders>
            <w:shd w:val="clear" w:color="auto" w:fill="FFFFFF" w:themeFill="background1"/>
            <w:vAlign w:val="center"/>
          </w:tcPr>
          <w:p w14:paraId="701C2CEE" w14:textId="77777777" w:rsidR="000715CC" w:rsidRPr="00B81B87" w:rsidRDefault="000715CC" w:rsidP="008B3A3A">
            <w:pPr>
              <w:rPr>
                <w:noProof/>
                <w:sz w:val="18"/>
                <w:szCs w:val="18"/>
              </w:rPr>
            </w:pPr>
            <w:r w:rsidRPr="00B81B87">
              <w:rPr>
                <w:b/>
                <w:noProof/>
                <w:sz w:val="18"/>
                <w:szCs w:val="18"/>
              </w:rPr>
              <w:t>Transportation and storage [H]</w:t>
            </w:r>
          </w:p>
        </w:tc>
        <w:tc>
          <w:tcPr>
            <w:tcW w:w="1208" w:type="dxa"/>
            <w:tcBorders>
              <w:top w:val="nil"/>
              <w:left w:val="nil"/>
              <w:bottom w:val="single" w:sz="4" w:space="0" w:color="auto"/>
              <w:right w:val="single" w:sz="4" w:space="0" w:color="auto"/>
            </w:tcBorders>
            <w:noWrap/>
            <w:vAlign w:val="center"/>
          </w:tcPr>
          <w:p w14:paraId="03F495E2" w14:textId="52009FD3" w:rsidR="000715CC" w:rsidRPr="00B81B87" w:rsidRDefault="000715CC" w:rsidP="008B3A3A">
            <w:pPr>
              <w:jc w:val="center"/>
              <w:rPr>
                <w:noProof/>
                <w:sz w:val="18"/>
                <w:szCs w:val="18"/>
              </w:rPr>
            </w:pPr>
            <w:r w:rsidRPr="00B81B87">
              <w:rPr>
                <w:noProof/>
                <w:sz w:val="18"/>
                <w:szCs w:val="18"/>
              </w:rPr>
              <w:t>10</w:t>
            </w:r>
            <w:r w:rsidR="00C1642F">
              <w:rPr>
                <w:noProof/>
                <w:sz w:val="18"/>
                <w:szCs w:val="18"/>
              </w:rPr>
              <w:t>,</w:t>
            </w:r>
            <w:r w:rsidRPr="00B81B87">
              <w:rPr>
                <w:noProof/>
                <w:sz w:val="18"/>
                <w:szCs w:val="18"/>
              </w:rPr>
              <w:t>182</w:t>
            </w:r>
            <w:r w:rsidR="00C1642F">
              <w:rPr>
                <w:noProof/>
                <w:sz w:val="18"/>
                <w:szCs w:val="18"/>
              </w:rPr>
              <w:t>,</w:t>
            </w:r>
            <w:r w:rsidRPr="00B81B87">
              <w:rPr>
                <w:noProof/>
                <w:sz w:val="18"/>
                <w:szCs w:val="18"/>
              </w:rPr>
              <w:t>182</w:t>
            </w:r>
          </w:p>
        </w:tc>
        <w:tc>
          <w:tcPr>
            <w:tcW w:w="1208" w:type="dxa"/>
            <w:tcBorders>
              <w:top w:val="nil"/>
              <w:left w:val="nil"/>
              <w:bottom w:val="single" w:sz="4" w:space="0" w:color="auto"/>
              <w:right w:val="single" w:sz="4" w:space="0" w:color="auto"/>
            </w:tcBorders>
            <w:noWrap/>
            <w:vAlign w:val="center"/>
          </w:tcPr>
          <w:p w14:paraId="5926B679" w14:textId="1BBA2D5B" w:rsidR="000715CC" w:rsidRPr="00B81B87" w:rsidRDefault="000715CC" w:rsidP="008B3A3A">
            <w:pPr>
              <w:jc w:val="center"/>
              <w:rPr>
                <w:noProof/>
                <w:sz w:val="18"/>
                <w:szCs w:val="18"/>
              </w:rPr>
            </w:pPr>
            <w:r w:rsidRPr="00B81B87">
              <w:rPr>
                <w:noProof/>
                <w:sz w:val="18"/>
                <w:szCs w:val="18"/>
              </w:rPr>
              <w:t>10</w:t>
            </w:r>
            <w:r w:rsidR="00C1642F">
              <w:rPr>
                <w:noProof/>
                <w:sz w:val="18"/>
                <w:szCs w:val="18"/>
              </w:rPr>
              <w:t>,</w:t>
            </w:r>
            <w:r w:rsidRPr="00B81B87">
              <w:rPr>
                <w:noProof/>
                <w:sz w:val="18"/>
                <w:szCs w:val="18"/>
              </w:rPr>
              <w:t>378</w:t>
            </w:r>
            <w:r w:rsidR="00C1642F">
              <w:rPr>
                <w:noProof/>
                <w:sz w:val="18"/>
                <w:szCs w:val="18"/>
              </w:rPr>
              <w:t>,</w:t>
            </w:r>
            <w:r w:rsidRPr="00B81B87">
              <w:rPr>
                <w:noProof/>
                <w:sz w:val="18"/>
                <w:szCs w:val="18"/>
              </w:rPr>
              <w:t>086</w:t>
            </w:r>
          </w:p>
        </w:tc>
        <w:tc>
          <w:tcPr>
            <w:tcW w:w="1208" w:type="dxa"/>
            <w:tcBorders>
              <w:top w:val="nil"/>
              <w:left w:val="nil"/>
              <w:bottom w:val="single" w:sz="4" w:space="0" w:color="auto"/>
              <w:right w:val="single" w:sz="4" w:space="0" w:color="auto"/>
            </w:tcBorders>
            <w:noWrap/>
            <w:vAlign w:val="center"/>
          </w:tcPr>
          <w:p w14:paraId="3D3322B7" w14:textId="745A5A35" w:rsidR="000715CC" w:rsidRPr="00B81B87" w:rsidRDefault="000715CC" w:rsidP="008B3A3A">
            <w:pPr>
              <w:jc w:val="center"/>
              <w:rPr>
                <w:noProof/>
                <w:sz w:val="18"/>
                <w:szCs w:val="18"/>
              </w:rPr>
            </w:pPr>
            <w:r w:rsidRPr="00B81B87">
              <w:rPr>
                <w:noProof/>
                <w:sz w:val="18"/>
                <w:szCs w:val="18"/>
              </w:rPr>
              <w:t>10</w:t>
            </w:r>
            <w:r w:rsidR="00C1642F">
              <w:rPr>
                <w:noProof/>
                <w:sz w:val="18"/>
                <w:szCs w:val="18"/>
              </w:rPr>
              <w:t>,</w:t>
            </w:r>
            <w:r w:rsidRPr="00B81B87">
              <w:rPr>
                <w:noProof/>
                <w:sz w:val="18"/>
                <w:szCs w:val="18"/>
              </w:rPr>
              <w:t>312</w:t>
            </w:r>
            <w:r w:rsidR="00C1642F">
              <w:rPr>
                <w:noProof/>
                <w:sz w:val="18"/>
                <w:szCs w:val="18"/>
              </w:rPr>
              <w:t>,</w:t>
            </w:r>
            <w:r w:rsidRPr="00B81B87">
              <w:rPr>
                <w:noProof/>
                <w:sz w:val="18"/>
                <w:szCs w:val="18"/>
              </w:rPr>
              <w:t>819</w:t>
            </w:r>
          </w:p>
        </w:tc>
        <w:tc>
          <w:tcPr>
            <w:tcW w:w="1304" w:type="dxa"/>
            <w:tcBorders>
              <w:top w:val="nil"/>
              <w:left w:val="nil"/>
              <w:bottom w:val="single" w:sz="4" w:space="0" w:color="auto"/>
              <w:right w:val="single" w:sz="4" w:space="0" w:color="auto"/>
            </w:tcBorders>
            <w:vAlign w:val="center"/>
          </w:tcPr>
          <w:p w14:paraId="6DC78964" w14:textId="4C9A96B2" w:rsidR="000715CC" w:rsidRPr="00B81B87" w:rsidRDefault="000715CC" w:rsidP="008B3A3A">
            <w:pPr>
              <w:jc w:val="center"/>
              <w:rPr>
                <w:noProof/>
                <w:sz w:val="18"/>
                <w:szCs w:val="18"/>
              </w:rPr>
            </w:pPr>
            <w:r w:rsidRPr="00B81B87">
              <w:rPr>
                <w:noProof/>
                <w:sz w:val="18"/>
                <w:szCs w:val="18"/>
              </w:rPr>
              <w:t>10</w:t>
            </w:r>
            <w:r w:rsidR="00C1642F">
              <w:rPr>
                <w:noProof/>
                <w:sz w:val="18"/>
                <w:szCs w:val="18"/>
              </w:rPr>
              <w:t>,</w:t>
            </w:r>
            <w:r w:rsidRPr="00B81B87">
              <w:rPr>
                <w:noProof/>
                <w:sz w:val="18"/>
                <w:szCs w:val="18"/>
              </w:rPr>
              <w:t>428</w:t>
            </w:r>
            <w:r w:rsidR="00C1642F">
              <w:rPr>
                <w:noProof/>
                <w:sz w:val="18"/>
                <w:szCs w:val="18"/>
              </w:rPr>
              <w:t>,</w:t>
            </w:r>
            <w:r w:rsidRPr="00B81B87">
              <w:rPr>
                <w:noProof/>
                <w:sz w:val="18"/>
                <w:szCs w:val="18"/>
              </w:rPr>
              <w:t>331</w:t>
            </w:r>
          </w:p>
        </w:tc>
      </w:tr>
      <w:tr w:rsidR="000715CC" w:rsidRPr="00C3115F" w14:paraId="5CB4BAC2" w14:textId="77777777" w:rsidTr="008B3A3A">
        <w:trPr>
          <w:trHeight w:val="290"/>
        </w:trPr>
        <w:tc>
          <w:tcPr>
            <w:tcW w:w="304" w:type="dxa"/>
            <w:vMerge/>
            <w:tcBorders>
              <w:left w:val="single" w:sz="4" w:space="0" w:color="auto"/>
              <w:right w:val="single" w:sz="4" w:space="0" w:color="auto"/>
            </w:tcBorders>
            <w:vAlign w:val="center"/>
            <w:hideMark/>
          </w:tcPr>
          <w:p w14:paraId="4FF164B7" w14:textId="77777777" w:rsidR="000715CC" w:rsidRPr="00B81B87" w:rsidRDefault="000715CC" w:rsidP="008B3A3A">
            <w:pPr>
              <w:rPr>
                <w:b/>
                <w:bCs/>
                <w:noProof/>
                <w:sz w:val="18"/>
                <w:szCs w:val="18"/>
              </w:rPr>
            </w:pPr>
          </w:p>
        </w:tc>
        <w:tc>
          <w:tcPr>
            <w:tcW w:w="294" w:type="dxa"/>
            <w:vMerge w:val="restart"/>
            <w:tcBorders>
              <w:top w:val="single" w:sz="4" w:space="0" w:color="auto"/>
              <w:left w:val="nil"/>
              <w:bottom w:val="single" w:sz="4" w:space="0" w:color="auto"/>
              <w:right w:val="single" w:sz="4" w:space="0" w:color="auto"/>
            </w:tcBorders>
            <w:shd w:val="clear" w:color="auto" w:fill="D9D9D9"/>
            <w:noWrap/>
            <w:vAlign w:val="bottom"/>
            <w:hideMark/>
          </w:tcPr>
          <w:p w14:paraId="7AB18F27" w14:textId="77777777" w:rsidR="000715CC" w:rsidRPr="00B81B87" w:rsidRDefault="000715CC" w:rsidP="008B3A3A">
            <w:pPr>
              <w:jc w:val="center"/>
              <w:rPr>
                <w:noProof/>
                <w:color w:val="000000"/>
                <w:sz w:val="18"/>
                <w:szCs w:val="18"/>
              </w:rPr>
            </w:pPr>
            <w:r w:rsidRPr="00B81B87">
              <w:rPr>
                <w:noProof/>
                <w:color w:val="000000"/>
                <w:sz w:val="18"/>
                <w:szCs w:val="18"/>
              </w:rPr>
              <w:t> </w:t>
            </w:r>
          </w:p>
        </w:tc>
        <w:tc>
          <w:tcPr>
            <w:tcW w:w="4077" w:type="dxa"/>
            <w:gridSpan w:val="2"/>
            <w:tcBorders>
              <w:top w:val="single" w:sz="4" w:space="0" w:color="auto"/>
              <w:left w:val="nil"/>
              <w:bottom w:val="single" w:sz="4" w:space="0" w:color="auto"/>
              <w:right w:val="single" w:sz="4" w:space="0" w:color="auto"/>
            </w:tcBorders>
            <w:shd w:val="clear" w:color="000000" w:fill="DCE6F1"/>
            <w:vAlign w:val="center"/>
          </w:tcPr>
          <w:p w14:paraId="08CDC0BC" w14:textId="77777777" w:rsidR="000715CC" w:rsidRPr="00B81B87" w:rsidRDefault="000715CC" w:rsidP="008B3A3A">
            <w:pPr>
              <w:rPr>
                <w:noProof/>
                <w:sz w:val="18"/>
                <w:szCs w:val="18"/>
              </w:rPr>
            </w:pPr>
            <w:r w:rsidRPr="00B81B87">
              <w:rPr>
                <w:b/>
                <w:bCs/>
                <w:noProof/>
                <w:sz w:val="18"/>
                <w:szCs w:val="18"/>
              </w:rPr>
              <w:t xml:space="preserve">Land transport and transport via pipelines </w:t>
            </w:r>
            <w:r w:rsidRPr="00B81B87">
              <w:rPr>
                <w:noProof/>
                <w:sz w:val="18"/>
                <w:szCs w:val="18"/>
              </w:rPr>
              <w:t>[H49]</w:t>
            </w:r>
          </w:p>
        </w:tc>
        <w:tc>
          <w:tcPr>
            <w:tcW w:w="1208" w:type="dxa"/>
            <w:tcBorders>
              <w:top w:val="single" w:sz="4" w:space="0" w:color="auto"/>
              <w:left w:val="single" w:sz="4" w:space="0" w:color="auto"/>
              <w:bottom w:val="single" w:sz="4" w:space="0" w:color="auto"/>
              <w:right w:val="single" w:sz="4" w:space="0" w:color="auto"/>
            </w:tcBorders>
            <w:shd w:val="clear" w:color="000000" w:fill="F6F6F6"/>
            <w:noWrap/>
            <w:vAlign w:val="center"/>
          </w:tcPr>
          <w:p w14:paraId="58679F9F" w14:textId="169C75CD" w:rsidR="000715CC" w:rsidRPr="00B81B87" w:rsidRDefault="000715CC" w:rsidP="008B3A3A">
            <w:pPr>
              <w:jc w:val="center"/>
              <w:rPr>
                <w:noProof/>
                <w:sz w:val="18"/>
                <w:szCs w:val="18"/>
              </w:rPr>
            </w:pPr>
            <w:r w:rsidRPr="00B81B87">
              <w:rPr>
                <w:noProof/>
                <w:sz w:val="18"/>
                <w:szCs w:val="18"/>
              </w:rPr>
              <w:t>5</w:t>
            </w:r>
            <w:r w:rsidR="00C1642F">
              <w:rPr>
                <w:noProof/>
                <w:sz w:val="18"/>
                <w:szCs w:val="18"/>
              </w:rPr>
              <w:t>,</w:t>
            </w:r>
            <w:r w:rsidRPr="00B81B87">
              <w:rPr>
                <w:noProof/>
                <w:sz w:val="18"/>
                <w:szCs w:val="18"/>
              </w:rPr>
              <w:t>665</w:t>
            </w:r>
            <w:r w:rsidR="00C1642F">
              <w:rPr>
                <w:noProof/>
                <w:sz w:val="18"/>
                <w:szCs w:val="18"/>
              </w:rPr>
              <w:t>,</w:t>
            </w:r>
            <w:r w:rsidRPr="00B81B87">
              <w:rPr>
                <w:noProof/>
                <w:sz w:val="18"/>
                <w:szCs w:val="18"/>
              </w:rPr>
              <w:t>572</w:t>
            </w:r>
          </w:p>
        </w:tc>
        <w:tc>
          <w:tcPr>
            <w:tcW w:w="1208" w:type="dxa"/>
            <w:tcBorders>
              <w:top w:val="single" w:sz="4" w:space="0" w:color="auto"/>
              <w:left w:val="nil"/>
              <w:bottom w:val="single" w:sz="4" w:space="0" w:color="auto"/>
              <w:right w:val="single" w:sz="4" w:space="0" w:color="auto"/>
            </w:tcBorders>
            <w:shd w:val="clear" w:color="000000" w:fill="F6F6F6"/>
            <w:noWrap/>
            <w:vAlign w:val="center"/>
          </w:tcPr>
          <w:p w14:paraId="1A6380DD" w14:textId="3981F483" w:rsidR="000715CC" w:rsidRPr="00B81B87" w:rsidRDefault="000715CC" w:rsidP="008B3A3A">
            <w:pPr>
              <w:jc w:val="center"/>
              <w:rPr>
                <w:noProof/>
                <w:sz w:val="18"/>
                <w:szCs w:val="18"/>
              </w:rPr>
            </w:pPr>
            <w:r w:rsidRPr="00B81B87">
              <w:rPr>
                <w:noProof/>
                <w:sz w:val="18"/>
                <w:szCs w:val="18"/>
              </w:rPr>
              <w:t>5</w:t>
            </w:r>
            <w:r w:rsidR="00C1642F">
              <w:rPr>
                <w:noProof/>
                <w:sz w:val="18"/>
                <w:szCs w:val="18"/>
              </w:rPr>
              <w:t>,</w:t>
            </w:r>
            <w:r w:rsidRPr="00B81B87">
              <w:rPr>
                <w:noProof/>
                <w:sz w:val="18"/>
                <w:szCs w:val="18"/>
              </w:rPr>
              <w:t>786</w:t>
            </w:r>
            <w:r w:rsidR="00C1642F">
              <w:rPr>
                <w:noProof/>
                <w:sz w:val="18"/>
                <w:szCs w:val="18"/>
              </w:rPr>
              <w:t>,</w:t>
            </w:r>
            <w:r w:rsidRPr="00B81B87">
              <w:rPr>
                <w:noProof/>
                <w:sz w:val="18"/>
                <w:szCs w:val="18"/>
              </w:rPr>
              <w:t>379</w:t>
            </w:r>
          </w:p>
        </w:tc>
        <w:tc>
          <w:tcPr>
            <w:tcW w:w="1208" w:type="dxa"/>
            <w:tcBorders>
              <w:top w:val="single" w:sz="4" w:space="0" w:color="auto"/>
              <w:left w:val="nil"/>
              <w:bottom w:val="single" w:sz="4" w:space="0" w:color="auto"/>
              <w:right w:val="single" w:sz="4" w:space="0" w:color="auto"/>
            </w:tcBorders>
            <w:shd w:val="clear" w:color="000000" w:fill="F6F6F6"/>
            <w:noWrap/>
            <w:vAlign w:val="center"/>
          </w:tcPr>
          <w:p w14:paraId="7653598D" w14:textId="71F42B25" w:rsidR="000715CC" w:rsidRPr="00B81B87" w:rsidRDefault="000715CC" w:rsidP="008B3A3A">
            <w:pPr>
              <w:jc w:val="center"/>
              <w:rPr>
                <w:noProof/>
                <w:sz w:val="18"/>
                <w:szCs w:val="18"/>
              </w:rPr>
            </w:pPr>
            <w:r w:rsidRPr="00B81B87">
              <w:rPr>
                <w:noProof/>
                <w:sz w:val="18"/>
                <w:szCs w:val="18"/>
              </w:rPr>
              <w:t>5</w:t>
            </w:r>
            <w:r w:rsidR="00C1642F">
              <w:rPr>
                <w:noProof/>
                <w:sz w:val="18"/>
                <w:szCs w:val="18"/>
              </w:rPr>
              <w:t>,</w:t>
            </w:r>
            <w:r w:rsidRPr="00B81B87">
              <w:rPr>
                <w:noProof/>
                <w:sz w:val="18"/>
                <w:szCs w:val="18"/>
              </w:rPr>
              <w:t>740</w:t>
            </w:r>
            <w:r w:rsidR="00C1642F">
              <w:rPr>
                <w:noProof/>
                <w:sz w:val="18"/>
                <w:szCs w:val="18"/>
              </w:rPr>
              <w:t>,</w:t>
            </w:r>
            <w:r w:rsidRPr="00B81B87">
              <w:rPr>
                <w:noProof/>
                <w:sz w:val="18"/>
                <w:szCs w:val="18"/>
              </w:rPr>
              <w:t>560</w:t>
            </w:r>
          </w:p>
        </w:tc>
        <w:tc>
          <w:tcPr>
            <w:tcW w:w="1304" w:type="dxa"/>
            <w:tcBorders>
              <w:top w:val="single" w:sz="4" w:space="0" w:color="auto"/>
              <w:left w:val="nil"/>
              <w:bottom w:val="single" w:sz="4" w:space="0" w:color="auto"/>
              <w:right w:val="single" w:sz="4" w:space="0" w:color="auto"/>
            </w:tcBorders>
            <w:shd w:val="clear" w:color="000000" w:fill="F6F6F6"/>
            <w:vAlign w:val="center"/>
          </w:tcPr>
          <w:p w14:paraId="769F6A0F" w14:textId="64D6A204" w:rsidR="000715CC" w:rsidRPr="00B81B87" w:rsidRDefault="000715CC" w:rsidP="008B3A3A">
            <w:pPr>
              <w:jc w:val="center"/>
              <w:rPr>
                <w:noProof/>
                <w:sz w:val="18"/>
                <w:szCs w:val="18"/>
              </w:rPr>
            </w:pPr>
            <w:r w:rsidRPr="00B81B87">
              <w:rPr>
                <w:noProof/>
                <w:sz w:val="18"/>
                <w:szCs w:val="18"/>
              </w:rPr>
              <w:t>5</w:t>
            </w:r>
            <w:r w:rsidR="00C1642F">
              <w:rPr>
                <w:noProof/>
                <w:sz w:val="18"/>
                <w:szCs w:val="18"/>
              </w:rPr>
              <w:t>,</w:t>
            </w:r>
            <w:r w:rsidRPr="00B81B87">
              <w:rPr>
                <w:noProof/>
                <w:sz w:val="18"/>
                <w:szCs w:val="18"/>
              </w:rPr>
              <w:t>845</w:t>
            </w:r>
            <w:r w:rsidR="00C1642F">
              <w:rPr>
                <w:noProof/>
                <w:sz w:val="18"/>
                <w:szCs w:val="18"/>
              </w:rPr>
              <w:t>,</w:t>
            </w:r>
            <w:r w:rsidRPr="00B81B87">
              <w:rPr>
                <w:noProof/>
                <w:sz w:val="18"/>
                <w:szCs w:val="18"/>
              </w:rPr>
              <w:t>347</w:t>
            </w:r>
          </w:p>
        </w:tc>
      </w:tr>
      <w:tr w:rsidR="000715CC" w:rsidRPr="00C3115F" w14:paraId="15B54910" w14:textId="77777777" w:rsidTr="008B3A3A">
        <w:trPr>
          <w:trHeight w:val="290"/>
        </w:trPr>
        <w:tc>
          <w:tcPr>
            <w:tcW w:w="304" w:type="dxa"/>
            <w:vMerge/>
            <w:tcBorders>
              <w:left w:val="single" w:sz="4" w:space="0" w:color="auto"/>
              <w:right w:val="single" w:sz="4" w:space="0" w:color="auto"/>
            </w:tcBorders>
            <w:vAlign w:val="center"/>
          </w:tcPr>
          <w:p w14:paraId="1C6D8151" w14:textId="77777777" w:rsidR="000715CC" w:rsidRPr="00B81B87" w:rsidRDefault="000715CC" w:rsidP="008B3A3A">
            <w:pPr>
              <w:rPr>
                <w:b/>
                <w:bCs/>
                <w:noProof/>
                <w:sz w:val="18"/>
                <w:szCs w:val="18"/>
              </w:rPr>
            </w:pPr>
          </w:p>
        </w:tc>
        <w:tc>
          <w:tcPr>
            <w:tcW w:w="294" w:type="dxa"/>
            <w:vMerge/>
            <w:tcBorders>
              <w:top w:val="single" w:sz="4" w:space="0" w:color="auto"/>
              <w:left w:val="nil"/>
              <w:bottom w:val="single" w:sz="4" w:space="0" w:color="auto"/>
              <w:right w:val="single" w:sz="4" w:space="0" w:color="auto"/>
            </w:tcBorders>
            <w:shd w:val="clear" w:color="auto" w:fill="D9D9D9"/>
            <w:noWrap/>
            <w:vAlign w:val="bottom"/>
          </w:tcPr>
          <w:p w14:paraId="3006B5ED" w14:textId="77777777" w:rsidR="000715CC" w:rsidRPr="00B81B87" w:rsidRDefault="000715CC" w:rsidP="008B3A3A">
            <w:pPr>
              <w:jc w:val="center"/>
              <w:rPr>
                <w:noProof/>
                <w:color w:val="000000"/>
                <w:sz w:val="18"/>
                <w:szCs w:val="18"/>
              </w:rPr>
            </w:pPr>
          </w:p>
        </w:tc>
        <w:tc>
          <w:tcPr>
            <w:tcW w:w="454" w:type="dxa"/>
            <w:vMerge w:val="restart"/>
            <w:tcBorders>
              <w:top w:val="single" w:sz="4" w:space="0" w:color="auto"/>
              <w:left w:val="nil"/>
              <w:bottom w:val="single" w:sz="4" w:space="0" w:color="auto"/>
              <w:right w:val="single" w:sz="4" w:space="0" w:color="auto"/>
            </w:tcBorders>
            <w:shd w:val="clear" w:color="auto" w:fill="D9D9D9"/>
            <w:vAlign w:val="center"/>
          </w:tcPr>
          <w:p w14:paraId="0C7E131A" w14:textId="77777777" w:rsidR="000715CC" w:rsidRPr="00B81B87" w:rsidRDefault="000715CC" w:rsidP="008B3A3A">
            <w:pPr>
              <w:rPr>
                <w:b/>
                <w:noProof/>
                <w:sz w:val="18"/>
                <w:szCs w:val="18"/>
              </w:rPr>
            </w:pPr>
          </w:p>
        </w:tc>
        <w:tc>
          <w:tcPr>
            <w:tcW w:w="3623" w:type="dxa"/>
            <w:tcBorders>
              <w:top w:val="single" w:sz="4" w:space="0" w:color="auto"/>
              <w:left w:val="single" w:sz="4" w:space="0" w:color="auto"/>
              <w:bottom w:val="single" w:sz="4" w:space="0" w:color="auto"/>
              <w:right w:val="single" w:sz="4" w:space="0" w:color="auto"/>
            </w:tcBorders>
            <w:shd w:val="clear" w:color="000000" w:fill="DCE6F1"/>
            <w:vAlign w:val="center"/>
          </w:tcPr>
          <w:p w14:paraId="5BAF834B" w14:textId="77777777" w:rsidR="000715CC" w:rsidRPr="00B81B87" w:rsidRDefault="000715CC" w:rsidP="008B3A3A">
            <w:pPr>
              <w:rPr>
                <w:b/>
                <w:bCs/>
                <w:noProof/>
                <w:sz w:val="18"/>
                <w:szCs w:val="18"/>
              </w:rPr>
            </w:pPr>
            <w:r w:rsidRPr="00B81B87">
              <w:rPr>
                <w:b/>
                <w:noProof/>
                <w:sz w:val="18"/>
                <w:szCs w:val="18"/>
              </w:rPr>
              <w:t>Passenger rail transport, interurban</w:t>
            </w:r>
            <w:r>
              <w:rPr>
                <w:b/>
                <w:noProof/>
                <w:sz w:val="18"/>
                <w:szCs w:val="18"/>
              </w:rPr>
              <w:t xml:space="preserve"> </w:t>
            </w:r>
            <w:r w:rsidRPr="00B81B87">
              <w:rPr>
                <w:bCs/>
                <w:noProof/>
                <w:sz w:val="18"/>
                <w:szCs w:val="18"/>
              </w:rPr>
              <w:t>[H491]</w:t>
            </w:r>
          </w:p>
        </w:tc>
        <w:tc>
          <w:tcPr>
            <w:tcW w:w="1208" w:type="dxa"/>
            <w:tcBorders>
              <w:top w:val="single" w:sz="4" w:space="0" w:color="auto"/>
              <w:left w:val="single" w:sz="4" w:space="0" w:color="auto"/>
              <w:bottom w:val="single" w:sz="4" w:space="0" w:color="auto"/>
              <w:right w:val="single" w:sz="4" w:space="0" w:color="auto"/>
            </w:tcBorders>
            <w:shd w:val="clear" w:color="000000" w:fill="F6F6F6"/>
            <w:noWrap/>
            <w:vAlign w:val="center"/>
          </w:tcPr>
          <w:p w14:paraId="774CAC95" w14:textId="385E28E3" w:rsidR="000715CC" w:rsidRPr="00B81B87" w:rsidRDefault="000715CC" w:rsidP="008B3A3A">
            <w:pPr>
              <w:jc w:val="center"/>
              <w:rPr>
                <w:noProof/>
                <w:sz w:val="18"/>
                <w:szCs w:val="18"/>
              </w:rPr>
            </w:pPr>
            <w:r w:rsidRPr="00B81B87">
              <w:rPr>
                <w:noProof/>
                <w:sz w:val="18"/>
                <w:szCs w:val="18"/>
              </w:rPr>
              <w:t>425</w:t>
            </w:r>
            <w:r w:rsidR="00C1642F">
              <w:rPr>
                <w:noProof/>
                <w:sz w:val="18"/>
                <w:szCs w:val="18"/>
              </w:rPr>
              <w:t>,</w:t>
            </w:r>
            <w:r w:rsidRPr="00B81B87">
              <w:rPr>
                <w:noProof/>
                <w:sz w:val="18"/>
                <w:szCs w:val="18"/>
              </w:rPr>
              <w:t>873</w:t>
            </w:r>
          </w:p>
        </w:tc>
        <w:tc>
          <w:tcPr>
            <w:tcW w:w="1208" w:type="dxa"/>
            <w:tcBorders>
              <w:top w:val="single" w:sz="4" w:space="0" w:color="auto"/>
              <w:left w:val="nil"/>
              <w:bottom w:val="single" w:sz="4" w:space="0" w:color="auto"/>
              <w:right w:val="single" w:sz="4" w:space="0" w:color="auto"/>
            </w:tcBorders>
            <w:shd w:val="clear" w:color="000000" w:fill="F6F6F6"/>
            <w:noWrap/>
            <w:vAlign w:val="center"/>
          </w:tcPr>
          <w:p w14:paraId="5385D640" w14:textId="73F07858" w:rsidR="000715CC" w:rsidRPr="00B81B87" w:rsidRDefault="000715CC" w:rsidP="008B3A3A">
            <w:pPr>
              <w:jc w:val="center"/>
              <w:rPr>
                <w:noProof/>
                <w:sz w:val="18"/>
                <w:szCs w:val="18"/>
              </w:rPr>
            </w:pPr>
            <w:r w:rsidRPr="00B81B87">
              <w:rPr>
                <w:noProof/>
                <w:sz w:val="18"/>
                <w:szCs w:val="18"/>
              </w:rPr>
              <w:t>410</w:t>
            </w:r>
            <w:r w:rsidR="00C1642F">
              <w:rPr>
                <w:noProof/>
                <w:sz w:val="18"/>
                <w:szCs w:val="18"/>
              </w:rPr>
              <w:t>,</w:t>
            </w:r>
            <w:r w:rsidRPr="00B81B87">
              <w:rPr>
                <w:noProof/>
                <w:sz w:val="18"/>
                <w:szCs w:val="18"/>
              </w:rPr>
              <w:t>759</w:t>
            </w:r>
          </w:p>
        </w:tc>
        <w:tc>
          <w:tcPr>
            <w:tcW w:w="1208" w:type="dxa"/>
            <w:tcBorders>
              <w:top w:val="single" w:sz="4" w:space="0" w:color="auto"/>
              <w:left w:val="nil"/>
              <w:bottom w:val="single" w:sz="4" w:space="0" w:color="auto"/>
              <w:right w:val="single" w:sz="4" w:space="0" w:color="auto"/>
            </w:tcBorders>
            <w:shd w:val="clear" w:color="000000" w:fill="F6F6F6"/>
            <w:noWrap/>
            <w:vAlign w:val="center"/>
          </w:tcPr>
          <w:p w14:paraId="5079347C" w14:textId="38797CF7" w:rsidR="000715CC" w:rsidRPr="00B81B87" w:rsidRDefault="000715CC" w:rsidP="008B3A3A">
            <w:pPr>
              <w:jc w:val="center"/>
              <w:rPr>
                <w:noProof/>
                <w:sz w:val="18"/>
                <w:szCs w:val="18"/>
              </w:rPr>
            </w:pPr>
            <w:r w:rsidRPr="00B81B87">
              <w:rPr>
                <w:noProof/>
                <w:sz w:val="18"/>
                <w:szCs w:val="18"/>
              </w:rPr>
              <w:t>413</w:t>
            </w:r>
            <w:r w:rsidR="00C1642F">
              <w:rPr>
                <w:noProof/>
                <w:sz w:val="18"/>
                <w:szCs w:val="18"/>
              </w:rPr>
              <w:t>,</w:t>
            </w:r>
            <w:r w:rsidRPr="00B81B87">
              <w:rPr>
                <w:noProof/>
                <w:sz w:val="18"/>
                <w:szCs w:val="18"/>
              </w:rPr>
              <w:t>384</w:t>
            </w:r>
          </w:p>
        </w:tc>
        <w:tc>
          <w:tcPr>
            <w:tcW w:w="1304" w:type="dxa"/>
            <w:tcBorders>
              <w:top w:val="single" w:sz="4" w:space="0" w:color="auto"/>
              <w:left w:val="nil"/>
              <w:bottom w:val="single" w:sz="4" w:space="0" w:color="auto"/>
              <w:right w:val="single" w:sz="4" w:space="0" w:color="auto"/>
            </w:tcBorders>
            <w:shd w:val="clear" w:color="000000" w:fill="F6F6F6"/>
            <w:vAlign w:val="center"/>
          </w:tcPr>
          <w:p w14:paraId="54DF4DB7" w14:textId="6757193D" w:rsidR="000715CC" w:rsidRPr="00B81B87" w:rsidRDefault="000715CC" w:rsidP="008B3A3A">
            <w:pPr>
              <w:jc w:val="center"/>
              <w:rPr>
                <w:noProof/>
                <w:sz w:val="18"/>
                <w:szCs w:val="18"/>
              </w:rPr>
            </w:pPr>
            <w:r w:rsidRPr="00B81B87">
              <w:rPr>
                <w:noProof/>
                <w:sz w:val="18"/>
                <w:szCs w:val="18"/>
              </w:rPr>
              <w:t>429</w:t>
            </w:r>
            <w:r w:rsidR="00C1642F">
              <w:rPr>
                <w:noProof/>
                <w:sz w:val="18"/>
                <w:szCs w:val="18"/>
              </w:rPr>
              <w:t>,</w:t>
            </w:r>
            <w:r w:rsidRPr="00B81B87">
              <w:rPr>
                <w:noProof/>
                <w:sz w:val="18"/>
                <w:szCs w:val="18"/>
              </w:rPr>
              <w:t>157</w:t>
            </w:r>
          </w:p>
        </w:tc>
      </w:tr>
      <w:tr w:rsidR="000715CC" w:rsidRPr="00C3115F" w14:paraId="12DAC599" w14:textId="77777777" w:rsidTr="008B3A3A">
        <w:trPr>
          <w:trHeight w:val="290"/>
        </w:trPr>
        <w:tc>
          <w:tcPr>
            <w:tcW w:w="304" w:type="dxa"/>
            <w:vMerge/>
            <w:tcBorders>
              <w:left w:val="single" w:sz="4" w:space="0" w:color="auto"/>
              <w:right w:val="single" w:sz="4" w:space="0" w:color="auto"/>
            </w:tcBorders>
            <w:vAlign w:val="center"/>
          </w:tcPr>
          <w:p w14:paraId="66C0ADA6" w14:textId="77777777" w:rsidR="000715CC" w:rsidRPr="00B81B87" w:rsidRDefault="000715CC" w:rsidP="008B3A3A">
            <w:pPr>
              <w:rPr>
                <w:b/>
                <w:bCs/>
                <w:noProof/>
                <w:sz w:val="18"/>
                <w:szCs w:val="18"/>
              </w:rPr>
            </w:pPr>
          </w:p>
        </w:tc>
        <w:tc>
          <w:tcPr>
            <w:tcW w:w="294" w:type="dxa"/>
            <w:vMerge/>
            <w:tcBorders>
              <w:top w:val="single" w:sz="4" w:space="0" w:color="auto"/>
              <w:left w:val="nil"/>
              <w:bottom w:val="single" w:sz="4" w:space="0" w:color="auto"/>
              <w:right w:val="single" w:sz="4" w:space="0" w:color="auto"/>
            </w:tcBorders>
            <w:shd w:val="clear" w:color="auto" w:fill="D9D9D9"/>
            <w:noWrap/>
            <w:vAlign w:val="bottom"/>
          </w:tcPr>
          <w:p w14:paraId="08D2940C" w14:textId="77777777" w:rsidR="000715CC" w:rsidRPr="00B81B87" w:rsidRDefault="000715CC" w:rsidP="008B3A3A">
            <w:pPr>
              <w:jc w:val="center"/>
              <w:rPr>
                <w:noProof/>
                <w:color w:val="000000"/>
                <w:sz w:val="18"/>
                <w:szCs w:val="18"/>
              </w:rPr>
            </w:pPr>
          </w:p>
        </w:tc>
        <w:tc>
          <w:tcPr>
            <w:tcW w:w="454" w:type="dxa"/>
            <w:vMerge/>
            <w:tcBorders>
              <w:top w:val="single" w:sz="4" w:space="0" w:color="auto"/>
              <w:left w:val="nil"/>
              <w:bottom w:val="single" w:sz="4" w:space="0" w:color="auto"/>
              <w:right w:val="single" w:sz="4" w:space="0" w:color="auto"/>
            </w:tcBorders>
            <w:shd w:val="clear" w:color="auto" w:fill="D9D9D9"/>
            <w:vAlign w:val="center"/>
          </w:tcPr>
          <w:p w14:paraId="11864291" w14:textId="77777777" w:rsidR="000715CC" w:rsidRPr="00B81B87" w:rsidRDefault="000715CC" w:rsidP="008B3A3A">
            <w:pPr>
              <w:rPr>
                <w:b/>
                <w:bCs/>
                <w:noProof/>
                <w:sz w:val="18"/>
                <w:szCs w:val="18"/>
              </w:rPr>
            </w:pPr>
          </w:p>
        </w:tc>
        <w:tc>
          <w:tcPr>
            <w:tcW w:w="3623" w:type="dxa"/>
            <w:tcBorders>
              <w:top w:val="single" w:sz="4" w:space="0" w:color="auto"/>
              <w:left w:val="single" w:sz="4" w:space="0" w:color="auto"/>
              <w:bottom w:val="single" w:sz="4" w:space="0" w:color="auto"/>
              <w:right w:val="single" w:sz="4" w:space="0" w:color="auto"/>
            </w:tcBorders>
            <w:shd w:val="clear" w:color="000000" w:fill="DCE6F1"/>
            <w:vAlign w:val="center"/>
          </w:tcPr>
          <w:p w14:paraId="66B45C9C" w14:textId="77777777" w:rsidR="000715CC" w:rsidRPr="00781031" w:rsidRDefault="000715CC" w:rsidP="008B3A3A">
            <w:pPr>
              <w:rPr>
                <w:b/>
                <w:noProof/>
                <w:sz w:val="18"/>
                <w:szCs w:val="18"/>
                <w:lang w:val="de-DE"/>
              </w:rPr>
            </w:pPr>
            <w:r w:rsidRPr="00781031">
              <w:rPr>
                <w:b/>
                <w:noProof/>
                <w:sz w:val="18"/>
                <w:szCs w:val="18"/>
                <w:lang w:val="de-DE"/>
              </w:rPr>
              <w:t xml:space="preserve">Other passenger land transport </w:t>
            </w:r>
            <w:r w:rsidRPr="00781031">
              <w:rPr>
                <w:noProof/>
                <w:sz w:val="18"/>
                <w:szCs w:val="18"/>
                <w:lang w:val="de-DE"/>
              </w:rPr>
              <w:t>[H493]</w:t>
            </w:r>
          </w:p>
        </w:tc>
        <w:tc>
          <w:tcPr>
            <w:tcW w:w="1208" w:type="dxa"/>
            <w:tcBorders>
              <w:top w:val="single" w:sz="4" w:space="0" w:color="auto"/>
              <w:left w:val="single" w:sz="4" w:space="0" w:color="auto"/>
              <w:bottom w:val="single" w:sz="4" w:space="0" w:color="auto"/>
              <w:right w:val="single" w:sz="4" w:space="0" w:color="auto"/>
            </w:tcBorders>
            <w:shd w:val="clear" w:color="000000" w:fill="F6F6F6"/>
            <w:noWrap/>
            <w:vAlign w:val="center"/>
          </w:tcPr>
          <w:p w14:paraId="3051C5C2" w14:textId="298B9BF9" w:rsidR="000715CC" w:rsidRPr="00B81B87" w:rsidRDefault="000715CC" w:rsidP="008B3A3A">
            <w:pPr>
              <w:jc w:val="center"/>
              <w:rPr>
                <w:noProof/>
                <w:sz w:val="18"/>
                <w:szCs w:val="18"/>
              </w:rPr>
            </w:pPr>
            <w:r w:rsidRPr="00B81B87">
              <w:rPr>
                <w:noProof/>
                <w:sz w:val="18"/>
                <w:szCs w:val="18"/>
              </w:rPr>
              <w:t>1</w:t>
            </w:r>
            <w:r w:rsidR="00C1642F">
              <w:rPr>
                <w:noProof/>
                <w:sz w:val="18"/>
                <w:szCs w:val="18"/>
              </w:rPr>
              <w:t>,</w:t>
            </w:r>
            <w:r w:rsidRPr="00B81B87">
              <w:rPr>
                <w:noProof/>
                <w:sz w:val="18"/>
                <w:szCs w:val="18"/>
              </w:rPr>
              <w:t>684</w:t>
            </w:r>
            <w:r w:rsidR="00C1642F">
              <w:rPr>
                <w:noProof/>
                <w:sz w:val="18"/>
                <w:szCs w:val="18"/>
              </w:rPr>
              <w:t>,</w:t>
            </w:r>
            <w:r w:rsidRPr="00B81B87">
              <w:rPr>
                <w:noProof/>
                <w:sz w:val="18"/>
                <w:szCs w:val="18"/>
              </w:rPr>
              <w:t>537</w:t>
            </w:r>
          </w:p>
        </w:tc>
        <w:tc>
          <w:tcPr>
            <w:tcW w:w="1208" w:type="dxa"/>
            <w:tcBorders>
              <w:top w:val="single" w:sz="4" w:space="0" w:color="auto"/>
              <w:left w:val="nil"/>
              <w:bottom w:val="single" w:sz="4" w:space="0" w:color="auto"/>
              <w:right w:val="single" w:sz="4" w:space="0" w:color="auto"/>
            </w:tcBorders>
            <w:shd w:val="clear" w:color="000000" w:fill="F6F6F6"/>
            <w:noWrap/>
            <w:vAlign w:val="center"/>
          </w:tcPr>
          <w:p w14:paraId="4C1C6B55" w14:textId="0782DAA3" w:rsidR="000715CC" w:rsidRPr="00B81B87" w:rsidRDefault="000715CC" w:rsidP="008B3A3A">
            <w:pPr>
              <w:jc w:val="center"/>
              <w:rPr>
                <w:noProof/>
                <w:sz w:val="18"/>
                <w:szCs w:val="18"/>
              </w:rPr>
            </w:pPr>
            <w:r w:rsidRPr="00B81B87">
              <w:rPr>
                <w:noProof/>
                <w:sz w:val="18"/>
                <w:szCs w:val="18"/>
              </w:rPr>
              <w:t>1</w:t>
            </w:r>
            <w:r w:rsidR="00C1642F">
              <w:rPr>
                <w:noProof/>
                <w:sz w:val="18"/>
                <w:szCs w:val="18"/>
              </w:rPr>
              <w:t>,</w:t>
            </w:r>
            <w:r w:rsidRPr="00B81B87">
              <w:rPr>
                <w:noProof/>
                <w:sz w:val="18"/>
                <w:szCs w:val="18"/>
              </w:rPr>
              <w:t>780</w:t>
            </w:r>
            <w:r w:rsidR="00C1642F">
              <w:rPr>
                <w:noProof/>
                <w:sz w:val="18"/>
                <w:szCs w:val="18"/>
              </w:rPr>
              <w:t>,</w:t>
            </w:r>
            <w:r w:rsidRPr="00B81B87">
              <w:rPr>
                <w:noProof/>
                <w:sz w:val="18"/>
                <w:szCs w:val="18"/>
              </w:rPr>
              <w:t>962</w:t>
            </w:r>
          </w:p>
        </w:tc>
        <w:tc>
          <w:tcPr>
            <w:tcW w:w="1208" w:type="dxa"/>
            <w:tcBorders>
              <w:top w:val="single" w:sz="4" w:space="0" w:color="auto"/>
              <w:left w:val="nil"/>
              <w:bottom w:val="single" w:sz="4" w:space="0" w:color="auto"/>
              <w:right w:val="single" w:sz="4" w:space="0" w:color="auto"/>
            </w:tcBorders>
            <w:shd w:val="clear" w:color="000000" w:fill="F6F6F6"/>
            <w:noWrap/>
            <w:vAlign w:val="center"/>
          </w:tcPr>
          <w:p w14:paraId="794E7D22" w14:textId="01841A58" w:rsidR="000715CC" w:rsidRPr="00B81B87" w:rsidRDefault="000715CC" w:rsidP="008B3A3A">
            <w:pPr>
              <w:jc w:val="center"/>
              <w:rPr>
                <w:noProof/>
                <w:sz w:val="18"/>
                <w:szCs w:val="18"/>
              </w:rPr>
            </w:pPr>
            <w:r w:rsidRPr="00B81B87">
              <w:rPr>
                <w:noProof/>
                <w:sz w:val="18"/>
                <w:szCs w:val="18"/>
              </w:rPr>
              <w:t>1</w:t>
            </w:r>
            <w:r w:rsidR="00C1642F">
              <w:rPr>
                <w:noProof/>
                <w:sz w:val="18"/>
                <w:szCs w:val="18"/>
              </w:rPr>
              <w:t>,</w:t>
            </w:r>
            <w:r w:rsidRPr="00B81B87">
              <w:rPr>
                <w:noProof/>
                <w:sz w:val="18"/>
                <w:szCs w:val="18"/>
              </w:rPr>
              <w:t>720</w:t>
            </w:r>
            <w:r w:rsidR="00C1642F">
              <w:rPr>
                <w:noProof/>
                <w:sz w:val="18"/>
                <w:szCs w:val="18"/>
              </w:rPr>
              <w:t>,</w:t>
            </w:r>
            <w:r w:rsidRPr="00B81B87">
              <w:rPr>
                <w:noProof/>
                <w:sz w:val="18"/>
                <w:szCs w:val="18"/>
              </w:rPr>
              <w:t>000</w:t>
            </w:r>
            <w:r>
              <w:rPr>
                <w:noProof/>
                <w:sz w:val="18"/>
                <w:szCs w:val="18"/>
              </w:rPr>
              <w:t>**</w:t>
            </w:r>
          </w:p>
        </w:tc>
        <w:tc>
          <w:tcPr>
            <w:tcW w:w="1304" w:type="dxa"/>
            <w:tcBorders>
              <w:top w:val="single" w:sz="4" w:space="0" w:color="auto"/>
              <w:left w:val="nil"/>
              <w:bottom w:val="single" w:sz="4" w:space="0" w:color="auto"/>
              <w:right w:val="single" w:sz="4" w:space="0" w:color="auto"/>
            </w:tcBorders>
            <w:shd w:val="clear" w:color="000000" w:fill="F6F6F6"/>
            <w:vAlign w:val="center"/>
          </w:tcPr>
          <w:p w14:paraId="532378B6" w14:textId="5E7757C7" w:rsidR="000715CC" w:rsidRPr="00B81B87" w:rsidRDefault="000715CC" w:rsidP="008B3A3A">
            <w:pPr>
              <w:jc w:val="center"/>
              <w:rPr>
                <w:noProof/>
                <w:sz w:val="18"/>
                <w:szCs w:val="18"/>
              </w:rPr>
            </w:pPr>
            <w:r w:rsidRPr="00B81B87">
              <w:rPr>
                <w:noProof/>
                <w:sz w:val="18"/>
                <w:szCs w:val="18"/>
              </w:rPr>
              <w:t>1</w:t>
            </w:r>
            <w:r w:rsidR="00C1642F">
              <w:rPr>
                <w:noProof/>
                <w:sz w:val="18"/>
                <w:szCs w:val="18"/>
              </w:rPr>
              <w:t>,</w:t>
            </w:r>
            <w:r w:rsidRPr="00B81B87">
              <w:rPr>
                <w:noProof/>
                <w:sz w:val="18"/>
                <w:szCs w:val="18"/>
              </w:rPr>
              <w:t>804</w:t>
            </w:r>
            <w:r w:rsidR="00C1642F">
              <w:rPr>
                <w:noProof/>
                <w:sz w:val="18"/>
                <w:szCs w:val="18"/>
              </w:rPr>
              <w:t>,</w:t>
            </w:r>
            <w:r w:rsidRPr="00B81B87">
              <w:rPr>
                <w:noProof/>
                <w:sz w:val="18"/>
                <w:szCs w:val="18"/>
              </w:rPr>
              <w:t>786</w:t>
            </w:r>
          </w:p>
        </w:tc>
      </w:tr>
      <w:tr w:rsidR="000715CC" w:rsidRPr="00C3115F" w14:paraId="0E6DCF9F" w14:textId="77777777" w:rsidTr="008B3A3A">
        <w:trPr>
          <w:trHeight w:val="290"/>
        </w:trPr>
        <w:tc>
          <w:tcPr>
            <w:tcW w:w="304" w:type="dxa"/>
            <w:vMerge/>
            <w:tcBorders>
              <w:left w:val="single" w:sz="4" w:space="0" w:color="auto"/>
              <w:right w:val="single" w:sz="4" w:space="0" w:color="auto"/>
            </w:tcBorders>
            <w:vAlign w:val="center"/>
          </w:tcPr>
          <w:p w14:paraId="6DDB2C23" w14:textId="77777777" w:rsidR="000715CC" w:rsidRPr="00B81B87" w:rsidRDefault="000715CC" w:rsidP="008B3A3A">
            <w:pPr>
              <w:rPr>
                <w:b/>
                <w:bCs/>
                <w:noProof/>
                <w:sz w:val="18"/>
                <w:szCs w:val="18"/>
              </w:rPr>
            </w:pPr>
          </w:p>
        </w:tc>
        <w:tc>
          <w:tcPr>
            <w:tcW w:w="294" w:type="dxa"/>
            <w:vMerge/>
            <w:tcBorders>
              <w:top w:val="single" w:sz="4" w:space="0" w:color="auto"/>
              <w:left w:val="nil"/>
              <w:bottom w:val="single" w:sz="4" w:space="0" w:color="auto"/>
              <w:right w:val="single" w:sz="4" w:space="0" w:color="auto"/>
            </w:tcBorders>
            <w:shd w:val="clear" w:color="auto" w:fill="D9D9D9"/>
            <w:noWrap/>
            <w:vAlign w:val="bottom"/>
          </w:tcPr>
          <w:p w14:paraId="0C392557" w14:textId="77777777" w:rsidR="000715CC" w:rsidRPr="00B81B87" w:rsidRDefault="000715CC" w:rsidP="008B3A3A">
            <w:pPr>
              <w:jc w:val="center"/>
              <w:rPr>
                <w:noProof/>
                <w:color w:val="000000"/>
                <w:sz w:val="18"/>
                <w:szCs w:val="18"/>
              </w:rPr>
            </w:pPr>
          </w:p>
        </w:tc>
        <w:tc>
          <w:tcPr>
            <w:tcW w:w="4077" w:type="dxa"/>
            <w:gridSpan w:val="2"/>
            <w:tcBorders>
              <w:top w:val="single" w:sz="4" w:space="0" w:color="auto"/>
              <w:left w:val="nil"/>
              <w:bottom w:val="single" w:sz="4" w:space="0" w:color="auto"/>
              <w:right w:val="single" w:sz="4" w:space="0" w:color="auto"/>
            </w:tcBorders>
            <w:shd w:val="clear" w:color="000000" w:fill="DCE6F1"/>
            <w:vAlign w:val="center"/>
          </w:tcPr>
          <w:p w14:paraId="075A405E" w14:textId="77777777" w:rsidR="000715CC" w:rsidRPr="00B81B87" w:rsidRDefault="000715CC" w:rsidP="008B3A3A">
            <w:pPr>
              <w:rPr>
                <w:b/>
                <w:bCs/>
                <w:noProof/>
                <w:sz w:val="18"/>
                <w:szCs w:val="18"/>
              </w:rPr>
            </w:pPr>
            <w:r w:rsidRPr="00B81B87">
              <w:rPr>
                <w:b/>
                <w:noProof/>
                <w:sz w:val="18"/>
                <w:szCs w:val="18"/>
              </w:rPr>
              <w:t xml:space="preserve">Water transport </w:t>
            </w:r>
            <w:r w:rsidRPr="00B81B87">
              <w:rPr>
                <w:bCs/>
                <w:noProof/>
                <w:sz w:val="18"/>
                <w:szCs w:val="18"/>
              </w:rPr>
              <w:t>[H50]</w:t>
            </w:r>
          </w:p>
        </w:tc>
        <w:tc>
          <w:tcPr>
            <w:tcW w:w="1208" w:type="dxa"/>
            <w:tcBorders>
              <w:top w:val="single" w:sz="4" w:space="0" w:color="auto"/>
              <w:left w:val="single" w:sz="4" w:space="0" w:color="auto"/>
              <w:bottom w:val="single" w:sz="4" w:space="0" w:color="auto"/>
              <w:right w:val="single" w:sz="4" w:space="0" w:color="auto"/>
            </w:tcBorders>
            <w:shd w:val="clear" w:color="000000" w:fill="F6F6F6"/>
            <w:noWrap/>
            <w:vAlign w:val="center"/>
          </w:tcPr>
          <w:p w14:paraId="2C640DBF" w14:textId="705789B1" w:rsidR="000715CC" w:rsidRPr="00B81B87" w:rsidRDefault="000715CC" w:rsidP="008B3A3A">
            <w:pPr>
              <w:jc w:val="center"/>
              <w:rPr>
                <w:noProof/>
                <w:sz w:val="18"/>
                <w:szCs w:val="18"/>
              </w:rPr>
            </w:pPr>
            <w:r w:rsidRPr="00B81B87">
              <w:rPr>
                <w:noProof/>
                <w:sz w:val="18"/>
                <w:szCs w:val="18"/>
              </w:rPr>
              <w:t>182</w:t>
            </w:r>
            <w:r w:rsidR="00C1642F">
              <w:rPr>
                <w:noProof/>
                <w:sz w:val="18"/>
                <w:szCs w:val="18"/>
              </w:rPr>
              <w:t>,</w:t>
            </w:r>
            <w:r w:rsidRPr="00B81B87">
              <w:rPr>
                <w:noProof/>
                <w:sz w:val="18"/>
                <w:szCs w:val="18"/>
              </w:rPr>
              <w:t>034</w:t>
            </w:r>
          </w:p>
        </w:tc>
        <w:tc>
          <w:tcPr>
            <w:tcW w:w="1208" w:type="dxa"/>
            <w:tcBorders>
              <w:top w:val="single" w:sz="4" w:space="0" w:color="auto"/>
              <w:left w:val="nil"/>
              <w:bottom w:val="single" w:sz="4" w:space="0" w:color="auto"/>
              <w:right w:val="single" w:sz="4" w:space="0" w:color="auto"/>
            </w:tcBorders>
            <w:shd w:val="clear" w:color="000000" w:fill="F6F6F6"/>
            <w:noWrap/>
            <w:vAlign w:val="center"/>
          </w:tcPr>
          <w:p w14:paraId="157029B0" w14:textId="01FF6F42" w:rsidR="000715CC" w:rsidRPr="00B81B87" w:rsidRDefault="000715CC" w:rsidP="008B3A3A">
            <w:pPr>
              <w:jc w:val="center"/>
              <w:rPr>
                <w:noProof/>
                <w:sz w:val="18"/>
                <w:szCs w:val="18"/>
              </w:rPr>
            </w:pPr>
            <w:r w:rsidRPr="00B81B87">
              <w:rPr>
                <w:noProof/>
                <w:sz w:val="18"/>
                <w:szCs w:val="18"/>
              </w:rPr>
              <w:t>192</w:t>
            </w:r>
            <w:r w:rsidR="00C1642F">
              <w:rPr>
                <w:noProof/>
                <w:sz w:val="18"/>
                <w:szCs w:val="18"/>
              </w:rPr>
              <w:t>,</w:t>
            </w:r>
            <w:r w:rsidRPr="00B81B87">
              <w:rPr>
                <w:noProof/>
                <w:sz w:val="18"/>
                <w:szCs w:val="18"/>
              </w:rPr>
              <w:t>036</w:t>
            </w:r>
          </w:p>
        </w:tc>
        <w:tc>
          <w:tcPr>
            <w:tcW w:w="1208" w:type="dxa"/>
            <w:tcBorders>
              <w:top w:val="single" w:sz="4" w:space="0" w:color="auto"/>
              <w:left w:val="nil"/>
              <w:bottom w:val="single" w:sz="4" w:space="0" w:color="auto"/>
              <w:right w:val="single" w:sz="4" w:space="0" w:color="auto"/>
            </w:tcBorders>
            <w:shd w:val="clear" w:color="000000" w:fill="F6F6F6"/>
            <w:noWrap/>
            <w:vAlign w:val="center"/>
          </w:tcPr>
          <w:p w14:paraId="0AFBFB7D" w14:textId="3DCD95EC" w:rsidR="000715CC" w:rsidRPr="00B81B87" w:rsidRDefault="000715CC" w:rsidP="008B3A3A">
            <w:pPr>
              <w:jc w:val="center"/>
              <w:rPr>
                <w:noProof/>
                <w:sz w:val="18"/>
                <w:szCs w:val="18"/>
              </w:rPr>
            </w:pPr>
            <w:r w:rsidRPr="00B81B87">
              <w:rPr>
                <w:noProof/>
                <w:sz w:val="18"/>
                <w:szCs w:val="18"/>
              </w:rPr>
              <w:t>209</w:t>
            </w:r>
            <w:r w:rsidR="00C1642F">
              <w:rPr>
                <w:noProof/>
                <w:sz w:val="18"/>
                <w:szCs w:val="18"/>
              </w:rPr>
              <w:t>,</w:t>
            </w:r>
            <w:r w:rsidRPr="00B81B87">
              <w:rPr>
                <w:noProof/>
                <w:sz w:val="18"/>
                <w:szCs w:val="18"/>
              </w:rPr>
              <w:t>102</w:t>
            </w:r>
          </w:p>
        </w:tc>
        <w:tc>
          <w:tcPr>
            <w:tcW w:w="1304" w:type="dxa"/>
            <w:tcBorders>
              <w:top w:val="single" w:sz="4" w:space="0" w:color="auto"/>
              <w:left w:val="nil"/>
              <w:bottom w:val="single" w:sz="4" w:space="0" w:color="auto"/>
              <w:right w:val="single" w:sz="4" w:space="0" w:color="auto"/>
            </w:tcBorders>
            <w:shd w:val="clear" w:color="000000" w:fill="F6F6F6"/>
            <w:vAlign w:val="center"/>
          </w:tcPr>
          <w:p w14:paraId="7FEBA6E0" w14:textId="00258C4C" w:rsidR="000715CC" w:rsidRPr="00B81B87" w:rsidRDefault="000715CC" w:rsidP="008B3A3A">
            <w:pPr>
              <w:jc w:val="center"/>
              <w:rPr>
                <w:noProof/>
                <w:sz w:val="18"/>
                <w:szCs w:val="18"/>
              </w:rPr>
            </w:pPr>
            <w:r w:rsidRPr="00B81B87">
              <w:rPr>
                <w:noProof/>
                <w:sz w:val="18"/>
                <w:szCs w:val="18"/>
              </w:rPr>
              <w:t>208</w:t>
            </w:r>
            <w:r w:rsidR="00C1642F">
              <w:rPr>
                <w:noProof/>
                <w:sz w:val="18"/>
                <w:szCs w:val="18"/>
              </w:rPr>
              <w:t>,</w:t>
            </w:r>
            <w:r w:rsidRPr="00B81B87">
              <w:rPr>
                <w:noProof/>
                <w:sz w:val="18"/>
                <w:szCs w:val="18"/>
              </w:rPr>
              <w:t>821</w:t>
            </w:r>
          </w:p>
        </w:tc>
      </w:tr>
      <w:tr w:rsidR="000715CC" w:rsidRPr="00C3115F" w14:paraId="0FB90A47" w14:textId="77777777" w:rsidTr="008B3A3A">
        <w:trPr>
          <w:trHeight w:val="290"/>
        </w:trPr>
        <w:tc>
          <w:tcPr>
            <w:tcW w:w="304" w:type="dxa"/>
            <w:vMerge/>
            <w:tcBorders>
              <w:left w:val="single" w:sz="4" w:space="0" w:color="auto"/>
              <w:right w:val="single" w:sz="4" w:space="0" w:color="auto"/>
            </w:tcBorders>
            <w:vAlign w:val="center"/>
          </w:tcPr>
          <w:p w14:paraId="25C2BE23" w14:textId="77777777" w:rsidR="000715CC" w:rsidRPr="00B81B87" w:rsidRDefault="000715CC" w:rsidP="008B3A3A">
            <w:pPr>
              <w:rPr>
                <w:b/>
                <w:bCs/>
                <w:noProof/>
                <w:sz w:val="18"/>
                <w:szCs w:val="18"/>
              </w:rPr>
            </w:pPr>
          </w:p>
        </w:tc>
        <w:tc>
          <w:tcPr>
            <w:tcW w:w="294" w:type="dxa"/>
            <w:vMerge/>
            <w:tcBorders>
              <w:top w:val="single" w:sz="4" w:space="0" w:color="auto"/>
              <w:left w:val="nil"/>
              <w:bottom w:val="single" w:sz="4" w:space="0" w:color="auto"/>
              <w:right w:val="single" w:sz="4" w:space="0" w:color="auto"/>
            </w:tcBorders>
            <w:shd w:val="clear" w:color="auto" w:fill="D9D9D9"/>
            <w:noWrap/>
            <w:vAlign w:val="bottom"/>
          </w:tcPr>
          <w:p w14:paraId="3B05011C" w14:textId="77777777" w:rsidR="000715CC" w:rsidRPr="00B81B87" w:rsidRDefault="000715CC" w:rsidP="008B3A3A">
            <w:pPr>
              <w:jc w:val="center"/>
              <w:rPr>
                <w:noProof/>
                <w:color w:val="000000"/>
                <w:sz w:val="18"/>
                <w:szCs w:val="18"/>
              </w:rPr>
            </w:pPr>
          </w:p>
        </w:tc>
        <w:tc>
          <w:tcPr>
            <w:tcW w:w="454" w:type="dxa"/>
            <w:vMerge w:val="restart"/>
            <w:tcBorders>
              <w:top w:val="single" w:sz="4" w:space="0" w:color="auto"/>
              <w:left w:val="nil"/>
              <w:bottom w:val="single" w:sz="4" w:space="0" w:color="auto"/>
              <w:right w:val="single" w:sz="4" w:space="0" w:color="auto"/>
            </w:tcBorders>
            <w:shd w:val="clear" w:color="auto" w:fill="D9D9D9"/>
            <w:vAlign w:val="center"/>
          </w:tcPr>
          <w:p w14:paraId="4A085215" w14:textId="77777777" w:rsidR="000715CC" w:rsidRPr="00B81B87" w:rsidRDefault="000715CC" w:rsidP="008B3A3A">
            <w:pPr>
              <w:rPr>
                <w:b/>
                <w:bCs/>
                <w:noProof/>
                <w:sz w:val="18"/>
                <w:szCs w:val="18"/>
              </w:rPr>
            </w:pPr>
          </w:p>
        </w:tc>
        <w:tc>
          <w:tcPr>
            <w:tcW w:w="3623" w:type="dxa"/>
            <w:tcBorders>
              <w:top w:val="single" w:sz="4" w:space="0" w:color="auto"/>
              <w:left w:val="single" w:sz="4" w:space="0" w:color="auto"/>
              <w:bottom w:val="single" w:sz="4" w:space="0" w:color="auto"/>
              <w:right w:val="single" w:sz="4" w:space="0" w:color="auto"/>
            </w:tcBorders>
            <w:shd w:val="clear" w:color="000000" w:fill="DCE6F1"/>
            <w:vAlign w:val="center"/>
          </w:tcPr>
          <w:p w14:paraId="3C41D156" w14:textId="77777777" w:rsidR="000715CC" w:rsidRPr="00B81B87" w:rsidRDefault="000715CC" w:rsidP="008B3A3A">
            <w:pPr>
              <w:rPr>
                <w:b/>
                <w:bCs/>
                <w:noProof/>
                <w:sz w:val="18"/>
                <w:szCs w:val="18"/>
              </w:rPr>
            </w:pPr>
            <w:r w:rsidRPr="00B81B87">
              <w:rPr>
                <w:b/>
                <w:noProof/>
                <w:sz w:val="18"/>
                <w:szCs w:val="18"/>
              </w:rPr>
              <w:t>Sea and coastal passenger water transport</w:t>
            </w:r>
            <w:r>
              <w:rPr>
                <w:b/>
                <w:noProof/>
                <w:sz w:val="18"/>
                <w:szCs w:val="18"/>
              </w:rPr>
              <w:t xml:space="preserve"> </w:t>
            </w:r>
            <w:r w:rsidRPr="00B81B87">
              <w:rPr>
                <w:bCs/>
                <w:noProof/>
                <w:sz w:val="18"/>
                <w:szCs w:val="18"/>
              </w:rPr>
              <w:t>[H</w:t>
            </w:r>
            <w:r>
              <w:rPr>
                <w:bCs/>
                <w:noProof/>
                <w:sz w:val="18"/>
                <w:szCs w:val="18"/>
              </w:rPr>
              <w:t>501</w:t>
            </w:r>
            <w:r w:rsidRPr="00B81B87">
              <w:rPr>
                <w:bCs/>
                <w:noProof/>
                <w:sz w:val="18"/>
                <w:szCs w:val="18"/>
              </w:rPr>
              <w:t>]</w:t>
            </w:r>
          </w:p>
        </w:tc>
        <w:tc>
          <w:tcPr>
            <w:tcW w:w="1208" w:type="dxa"/>
            <w:tcBorders>
              <w:top w:val="single" w:sz="4" w:space="0" w:color="auto"/>
              <w:left w:val="single" w:sz="4" w:space="0" w:color="auto"/>
              <w:bottom w:val="single" w:sz="4" w:space="0" w:color="auto"/>
              <w:right w:val="single" w:sz="4" w:space="0" w:color="auto"/>
            </w:tcBorders>
            <w:shd w:val="clear" w:color="000000" w:fill="F6F6F6"/>
            <w:noWrap/>
            <w:vAlign w:val="center"/>
          </w:tcPr>
          <w:p w14:paraId="4408A4B0" w14:textId="130A7A08" w:rsidR="000715CC" w:rsidRPr="00B81B87" w:rsidRDefault="000715CC" w:rsidP="008B3A3A">
            <w:pPr>
              <w:jc w:val="center"/>
              <w:rPr>
                <w:noProof/>
                <w:sz w:val="18"/>
                <w:szCs w:val="18"/>
              </w:rPr>
            </w:pPr>
            <w:r w:rsidRPr="00B81B87">
              <w:rPr>
                <w:noProof/>
                <w:sz w:val="18"/>
                <w:szCs w:val="18"/>
              </w:rPr>
              <w:t>73</w:t>
            </w:r>
            <w:r w:rsidR="00C1642F">
              <w:rPr>
                <w:noProof/>
                <w:sz w:val="18"/>
                <w:szCs w:val="18"/>
              </w:rPr>
              <w:t>,</w:t>
            </w:r>
            <w:r w:rsidRPr="00B81B87">
              <w:rPr>
                <w:noProof/>
                <w:sz w:val="18"/>
                <w:szCs w:val="18"/>
              </w:rPr>
              <w:t>292</w:t>
            </w:r>
          </w:p>
        </w:tc>
        <w:tc>
          <w:tcPr>
            <w:tcW w:w="1208" w:type="dxa"/>
            <w:tcBorders>
              <w:top w:val="single" w:sz="4" w:space="0" w:color="auto"/>
              <w:left w:val="nil"/>
              <w:bottom w:val="single" w:sz="4" w:space="0" w:color="auto"/>
              <w:right w:val="single" w:sz="4" w:space="0" w:color="auto"/>
            </w:tcBorders>
            <w:shd w:val="clear" w:color="000000" w:fill="F6F6F6"/>
            <w:noWrap/>
            <w:vAlign w:val="center"/>
          </w:tcPr>
          <w:p w14:paraId="1AA2C29D" w14:textId="2674935E" w:rsidR="000715CC" w:rsidRPr="00B81B87" w:rsidRDefault="000715CC" w:rsidP="008B3A3A">
            <w:pPr>
              <w:jc w:val="center"/>
              <w:rPr>
                <w:noProof/>
                <w:sz w:val="18"/>
                <w:szCs w:val="18"/>
              </w:rPr>
            </w:pPr>
            <w:r w:rsidRPr="00B81B87">
              <w:rPr>
                <w:noProof/>
                <w:sz w:val="18"/>
                <w:szCs w:val="18"/>
              </w:rPr>
              <w:t>79</w:t>
            </w:r>
            <w:r w:rsidR="00C1642F">
              <w:rPr>
                <w:noProof/>
                <w:sz w:val="18"/>
                <w:szCs w:val="18"/>
              </w:rPr>
              <w:t>,</w:t>
            </w:r>
            <w:r w:rsidRPr="00B81B87">
              <w:rPr>
                <w:noProof/>
                <w:sz w:val="18"/>
                <w:szCs w:val="18"/>
              </w:rPr>
              <w:t>447</w:t>
            </w:r>
          </w:p>
        </w:tc>
        <w:tc>
          <w:tcPr>
            <w:tcW w:w="1208" w:type="dxa"/>
            <w:tcBorders>
              <w:top w:val="single" w:sz="4" w:space="0" w:color="auto"/>
              <w:left w:val="nil"/>
              <w:bottom w:val="single" w:sz="4" w:space="0" w:color="auto"/>
              <w:right w:val="single" w:sz="4" w:space="0" w:color="auto"/>
            </w:tcBorders>
            <w:shd w:val="clear" w:color="000000" w:fill="F6F6F6"/>
            <w:noWrap/>
            <w:vAlign w:val="center"/>
          </w:tcPr>
          <w:p w14:paraId="7110D03B" w14:textId="6D2010B4" w:rsidR="000715CC" w:rsidRPr="00B81B87" w:rsidRDefault="000715CC" w:rsidP="008B3A3A">
            <w:pPr>
              <w:jc w:val="center"/>
              <w:rPr>
                <w:noProof/>
                <w:sz w:val="18"/>
                <w:szCs w:val="18"/>
              </w:rPr>
            </w:pPr>
            <w:r w:rsidRPr="00B81B87">
              <w:rPr>
                <w:noProof/>
                <w:sz w:val="18"/>
                <w:szCs w:val="18"/>
              </w:rPr>
              <w:t>84</w:t>
            </w:r>
            <w:r w:rsidR="00C1642F">
              <w:rPr>
                <w:noProof/>
                <w:sz w:val="18"/>
                <w:szCs w:val="18"/>
              </w:rPr>
              <w:t>,</w:t>
            </w:r>
            <w:r w:rsidRPr="00B81B87">
              <w:rPr>
                <w:noProof/>
                <w:sz w:val="18"/>
                <w:szCs w:val="18"/>
              </w:rPr>
              <w:t>616</w:t>
            </w:r>
          </w:p>
        </w:tc>
        <w:tc>
          <w:tcPr>
            <w:tcW w:w="1304" w:type="dxa"/>
            <w:tcBorders>
              <w:top w:val="single" w:sz="4" w:space="0" w:color="auto"/>
              <w:left w:val="nil"/>
              <w:bottom w:val="single" w:sz="4" w:space="0" w:color="auto"/>
              <w:right w:val="single" w:sz="4" w:space="0" w:color="auto"/>
            </w:tcBorders>
            <w:shd w:val="clear" w:color="000000" w:fill="F6F6F6"/>
            <w:vAlign w:val="center"/>
          </w:tcPr>
          <w:p w14:paraId="2D11676A" w14:textId="0B2763C7" w:rsidR="000715CC" w:rsidRPr="00B81B87" w:rsidRDefault="000715CC" w:rsidP="008B3A3A">
            <w:pPr>
              <w:jc w:val="center"/>
              <w:rPr>
                <w:noProof/>
                <w:sz w:val="18"/>
                <w:szCs w:val="18"/>
              </w:rPr>
            </w:pPr>
            <w:r w:rsidRPr="00B81B87">
              <w:rPr>
                <w:noProof/>
                <w:sz w:val="18"/>
                <w:szCs w:val="18"/>
              </w:rPr>
              <w:t>87</w:t>
            </w:r>
            <w:r w:rsidR="00C1642F">
              <w:rPr>
                <w:noProof/>
                <w:sz w:val="18"/>
                <w:szCs w:val="18"/>
              </w:rPr>
              <w:t>,</w:t>
            </w:r>
            <w:r w:rsidRPr="00B81B87">
              <w:rPr>
                <w:noProof/>
                <w:sz w:val="18"/>
                <w:szCs w:val="18"/>
              </w:rPr>
              <w:t>445</w:t>
            </w:r>
          </w:p>
        </w:tc>
      </w:tr>
      <w:tr w:rsidR="000715CC" w:rsidRPr="00C3115F" w14:paraId="780F26D4" w14:textId="77777777" w:rsidTr="008B3A3A">
        <w:trPr>
          <w:trHeight w:val="290"/>
        </w:trPr>
        <w:tc>
          <w:tcPr>
            <w:tcW w:w="304" w:type="dxa"/>
            <w:vMerge/>
            <w:tcBorders>
              <w:left w:val="single" w:sz="4" w:space="0" w:color="auto"/>
              <w:right w:val="single" w:sz="4" w:space="0" w:color="auto"/>
            </w:tcBorders>
            <w:vAlign w:val="center"/>
          </w:tcPr>
          <w:p w14:paraId="48CC052F" w14:textId="77777777" w:rsidR="000715CC" w:rsidRPr="00B81B87" w:rsidRDefault="000715CC" w:rsidP="008B3A3A">
            <w:pPr>
              <w:rPr>
                <w:b/>
                <w:bCs/>
                <w:noProof/>
                <w:sz w:val="18"/>
                <w:szCs w:val="18"/>
              </w:rPr>
            </w:pPr>
          </w:p>
        </w:tc>
        <w:tc>
          <w:tcPr>
            <w:tcW w:w="294" w:type="dxa"/>
            <w:vMerge/>
            <w:tcBorders>
              <w:top w:val="single" w:sz="4" w:space="0" w:color="auto"/>
              <w:left w:val="nil"/>
              <w:bottom w:val="single" w:sz="4" w:space="0" w:color="auto"/>
              <w:right w:val="single" w:sz="4" w:space="0" w:color="auto"/>
            </w:tcBorders>
            <w:shd w:val="clear" w:color="auto" w:fill="D9D9D9"/>
            <w:noWrap/>
            <w:vAlign w:val="bottom"/>
          </w:tcPr>
          <w:p w14:paraId="55EFA92D" w14:textId="77777777" w:rsidR="000715CC" w:rsidRPr="00B81B87" w:rsidRDefault="000715CC" w:rsidP="008B3A3A">
            <w:pPr>
              <w:jc w:val="center"/>
              <w:rPr>
                <w:noProof/>
                <w:color w:val="000000"/>
                <w:sz w:val="18"/>
                <w:szCs w:val="18"/>
              </w:rPr>
            </w:pPr>
          </w:p>
        </w:tc>
        <w:tc>
          <w:tcPr>
            <w:tcW w:w="454" w:type="dxa"/>
            <w:vMerge/>
            <w:tcBorders>
              <w:top w:val="single" w:sz="4" w:space="0" w:color="auto"/>
              <w:left w:val="nil"/>
              <w:bottom w:val="single" w:sz="4" w:space="0" w:color="auto"/>
              <w:right w:val="single" w:sz="4" w:space="0" w:color="auto"/>
            </w:tcBorders>
            <w:shd w:val="clear" w:color="auto" w:fill="D9D9D9"/>
            <w:vAlign w:val="center"/>
          </w:tcPr>
          <w:p w14:paraId="6639F9AA" w14:textId="77777777" w:rsidR="000715CC" w:rsidRPr="00B81B87" w:rsidRDefault="000715CC" w:rsidP="008B3A3A">
            <w:pPr>
              <w:rPr>
                <w:b/>
                <w:bCs/>
                <w:noProof/>
                <w:sz w:val="18"/>
                <w:szCs w:val="18"/>
              </w:rPr>
            </w:pPr>
          </w:p>
        </w:tc>
        <w:tc>
          <w:tcPr>
            <w:tcW w:w="3623" w:type="dxa"/>
            <w:tcBorders>
              <w:top w:val="single" w:sz="4" w:space="0" w:color="auto"/>
              <w:left w:val="single" w:sz="4" w:space="0" w:color="auto"/>
              <w:bottom w:val="single" w:sz="4" w:space="0" w:color="auto"/>
              <w:right w:val="single" w:sz="4" w:space="0" w:color="auto"/>
            </w:tcBorders>
            <w:shd w:val="clear" w:color="000000" w:fill="DCE6F1"/>
            <w:vAlign w:val="center"/>
          </w:tcPr>
          <w:p w14:paraId="592BD230" w14:textId="77777777" w:rsidR="000715CC" w:rsidRPr="00B81B87" w:rsidRDefault="000715CC" w:rsidP="008B3A3A">
            <w:pPr>
              <w:rPr>
                <w:b/>
                <w:bCs/>
                <w:noProof/>
                <w:sz w:val="18"/>
                <w:szCs w:val="18"/>
              </w:rPr>
            </w:pPr>
            <w:r w:rsidRPr="00B81B87">
              <w:rPr>
                <w:b/>
                <w:noProof/>
                <w:sz w:val="18"/>
                <w:szCs w:val="18"/>
              </w:rPr>
              <w:t>Inland waterway water transport</w:t>
            </w:r>
            <w:r>
              <w:rPr>
                <w:b/>
                <w:noProof/>
                <w:sz w:val="18"/>
                <w:szCs w:val="18"/>
              </w:rPr>
              <w:t xml:space="preserve"> </w:t>
            </w:r>
            <w:r w:rsidRPr="00B81B87">
              <w:rPr>
                <w:bCs/>
                <w:noProof/>
                <w:sz w:val="18"/>
                <w:szCs w:val="18"/>
              </w:rPr>
              <w:t>[H</w:t>
            </w:r>
            <w:r>
              <w:rPr>
                <w:bCs/>
                <w:noProof/>
                <w:sz w:val="18"/>
                <w:szCs w:val="18"/>
              </w:rPr>
              <w:t>503</w:t>
            </w:r>
            <w:r w:rsidRPr="00B81B87">
              <w:rPr>
                <w:bCs/>
                <w:noProof/>
                <w:sz w:val="18"/>
                <w:szCs w:val="18"/>
              </w:rPr>
              <w:t>]</w:t>
            </w:r>
          </w:p>
        </w:tc>
        <w:tc>
          <w:tcPr>
            <w:tcW w:w="1208" w:type="dxa"/>
            <w:tcBorders>
              <w:top w:val="single" w:sz="4" w:space="0" w:color="auto"/>
              <w:left w:val="single" w:sz="4" w:space="0" w:color="auto"/>
              <w:bottom w:val="single" w:sz="4" w:space="0" w:color="auto"/>
              <w:right w:val="single" w:sz="4" w:space="0" w:color="auto"/>
            </w:tcBorders>
            <w:shd w:val="clear" w:color="000000" w:fill="F6F6F6"/>
            <w:noWrap/>
            <w:vAlign w:val="center"/>
          </w:tcPr>
          <w:p w14:paraId="012B56B4" w14:textId="500477E2" w:rsidR="000715CC" w:rsidRPr="00B81B87" w:rsidRDefault="000715CC" w:rsidP="008B3A3A">
            <w:pPr>
              <w:jc w:val="center"/>
              <w:rPr>
                <w:noProof/>
                <w:sz w:val="18"/>
                <w:szCs w:val="18"/>
              </w:rPr>
            </w:pPr>
            <w:r w:rsidRPr="00B81B87">
              <w:rPr>
                <w:noProof/>
                <w:sz w:val="18"/>
                <w:szCs w:val="18"/>
              </w:rPr>
              <w:t>18</w:t>
            </w:r>
            <w:r w:rsidR="00C1642F">
              <w:rPr>
                <w:noProof/>
                <w:sz w:val="18"/>
                <w:szCs w:val="18"/>
              </w:rPr>
              <w:t>,</w:t>
            </w:r>
            <w:r w:rsidRPr="00B81B87">
              <w:rPr>
                <w:noProof/>
                <w:sz w:val="18"/>
                <w:szCs w:val="18"/>
              </w:rPr>
              <w:t>436</w:t>
            </w:r>
          </w:p>
        </w:tc>
        <w:tc>
          <w:tcPr>
            <w:tcW w:w="1208" w:type="dxa"/>
            <w:tcBorders>
              <w:top w:val="single" w:sz="4" w:space="0" w:color="auto"/>
              <w:left w:val="nil"/>
              <w:bottom w:val="single" w:sz="4" w:space="0" w:color="auto"/>
              <w:right w:val="single" w:sz="4" w:space="0" w:color="auto"/>
            </w:tcBorders>
            <w:shd w:val="clear" w:color="000000" w:fill="F6F6F6"/>
            <w:noWrap/>
            <w:vAlign w:val="center"/>
          </w:tcPr>
          <w:p w14:paraId="76A9F401" w14:textId="57725F22" w:rsidR="000715CC" w:rsidRPr="00B81B87" w:rsidRDefault="000715CC" w:rsidP="008B3A3A">
            <w:pPr>
              <w:jc w:val="center"/>
              <w:rPr>
                <w:noProof/>
                <w:sz w:val="18"/>
                <w:szCs w:val="18"/>
              </w:rPr>
            </w:pPr>
            <w:r w:rsidRPr="00B81B87">
              <w:rPr>
                <w:noProof/>
                <w:sz w:val="18"/>
                <w:szCs w:val="18"/>
              </w:rPr>
              <w:t>20</w:t>
            </w:r>
            <w:r w:rsidR="00C1642F">
              <w:rPr>
                <w:noProof/>
                <w:sz w:val="18"/>
                <w:szCs w:val="18"/>
              </w:rPr>
              <w:t>,</w:t>
            </w:r>
            <w:r w:rsidRPr="00B81B87">
              <w:rPr>
                <w:noProof/>
                <w:sz w:val="18"/>
                <w:szCs w:val="18"/>
              </w:rPr>
              <w:t>049</w:t>
            </w:r>
          </w:p>
        </w:tc>
        <w:tc>
          <w:tcPr>
            <w:tcW w:w="1208" w:type="dxa"/>
            <w:tcBorders>
              <w:top w:val="single" w:sz="4" w:space="0" w:color="auto"/>
              <w:left w:val="nil"/>
              <w:bottom w:val="single" w:sz="4" w:space="0" w:color="auto"/>
              <w:right w:val="single" w:sz="4" w:space="0" w:color="auto"/>
            </w:tcBorders>
            <w:shd w:val="clear" w:color="000000" w:fill="F6F6F6"/>
            <w:noWrap/>
            <w:vAlign w:val="center"/>
          </w:tcPr>
          <w:p w14:paraId="7102C88B" w14:textId="25A0AD3C" w:rsidR="000715CC" w:rsidRPr="00B81B87" w:rsidRDefault="000715CC" w:rsidP="008B3A3A">
            <w:pPr>
              <w:jc w:val="center"/>
              <w:rPr>
                <w:noProof/>
                <w:sz w:val="18"/>
                <w:szCs w:val="18"/>
              </w:rPr>
            </w:pPr>
            <w:r w:rsidRPr="00B81B87">
              <w:rPr>
                <w:noProof/>
                <w:sz w:val="18"/>
                <w:szCs w:val="18"/>
              </w:rPr>
              <w:t>23</w:t>
            </w:r>
            <w:r w:rsidR="00C1642F">
              <w:rPr>
                <w:noProof/>
                <w:sz w:val="18"/>
                <w:szCs w:val="18"/>
              </w:rPr>
              <w:t>,</w:t>
            </w:r>
            <w:r w:rsidRPr="00B81B87">
              <w:rPr>
                <w:noProof/>
                <w:sz w:val="18"/>
                <w:szCs w:val="18"/>
              </w:rPr>
              <w:t>713</w:t>
            </w:r>
          </w:p>
        </w:tc>
        <w:tc>
          <w:tcPr>
            <w:tcW w:w="1304" w:type="dxa"/>
            <w:tcBorders>
              <w:top w:val="single" w:sz="4" w:space="0" w:color="auto"/>
              <w:left w:val="nil"/>
              <w:bottom w:val="single" w:sz="4" w:space="0" w:color="auto"/>
              <w:right w:val="single" w:sz="4" w:space="0" w:color="auto"/>
            </w:tcBorders>
            <w:shd w:val="clear" w:color="000000" w:fill="F6F6F6"/>
            <w:vAlign w:val="center"/>
          </w:tcPr>
          <w:p w14:paraId="12D45D62" w14:textId="1D8A1A9C" w:rsidR="000715CC" w:rsidRPr="00B81B87" w:rsidRDefault="000715CC" w:rsidP="008B3A3A">
            <w:pPr>
              <w:jc w:val="center"/>
              <w:rPr>
                <w:noProof/>
                <w:sz w:val="18"/>
                <w:szCs w:val="18"/>
              </w:rPr>
            </w:pPr>
            <w:r w:rsidRPr="00B81B87">
              <w:rPr>
                <w:noProof/>
                <w:sz w:val="18"/>
                <w:szCs w:val="18"/>
              </w:rPr>
              <w:t>24</w:t>
            </w:r>
            <w:r w:rsidR="00C1642F">
              <w:rPr>
                <w:noProof/>
                <w:sz w:val="18"/>
                <w:szCs w:val="18"/>
              </w:rPr>
              <w:t>,</w:t>
            </w:r>
            <w:r w:rsidRPr="00B81B87">
              <w:rPr>
                <w:noProof/>
                <w:sz w:val="18"/>
                <w:szCs w:val="18"/>
              </w:rPr>
              <w:t>300</w:t>
            </w:r>
          </w:p>
        </w:tc>
      </w:tr>
      <w:tr w:rsidR="000715CC" w:rsidRPr="00C3115F" w14:paraId="215AA16F" w14:textId="77777777" w:rsidTr="008B3A3A">
        <w:trPr>
          <w:trHeight w:val="290"/>
        </w:trPr>
        <w:tc>
          <w:tcPr>
            <w:tcW w:w="304" w:type="dxa"/>
            <w:vMerge/>
            <w:tcBorders>
              <w:left w:val="single" w:sz="4" w:space="0" w:color="auto"/>
              <w:right w:val="single" w:sz="4" w:space="0" w:color="auto"/>
            </w:tcBorders>
            <w:vAlign w:val="center"/>
          </w:tcPr>
          <w:p w14:paraId="785195FD" w14:textId="77777777" w:rsidR="000715CC" w:rsidRPr="00B81B87" w:rsidRDefault="000715CC" w:rsidP="008B3A3A">
            <w:pPr>
              <w:rPr>
                <w:b/>
                <w:bCs/>
                <w:noProof/>
                <w:sz w:val="18"/>
                <w:szCs w:val="18"/>
              </w:rPr>
            </w:pPr>
          </w:p>
        </w:tc>
        <w:tc>
          <w:tcPr>
            <w:tcW w:w="294" w:type="dxa"/>
            <w:vMerge/>
            <w:tcBorders>
              <w:top w:val="single" w:sz="4" w:space="0" w:color="auto"/>
              <w:left w:val="nil"/>
              <w:bottom w:val="single" w:sz="4" w:space="0" w:color="auto"/>
              <w:right w:val="single" w:sz="4" w:space="0" w:color="auto"/>
            </w:tcBorders>
            <w:shd w:val="clear" w:color="auto" w:fill="D9D9D9"/>
            <w:noWrap/>
            <w:vAlign w:val="bottom"/>
          </w:tcPr>
          <w:p w14:paraId="6CF3F83A" w14:textId="77777777" w:rsidR="000715CC" w:rsidRPr="00B81B87" w:rsidRDefault="000715CC" w:rsidP="008B3A3A">
            <w:pPr>
              <w:jc w:val="center"/>
              <w:rPr>
                <w:noProof/>
                <w:color w:val="000000"/>
                <w:sz w:val="18"/>
                <w:szCs w:val="18"/>
              </w:rPr>
            </w:pPr>
          </w:p>
        </w:tc>
        <w:tc>
          <w:tcPr>
            <w:tcW w:w="4077" w:type="dxa"/>
            <w:gridSpan w:val="2"/>
            <w:tcBorders>
              <w:top w:val="single" w:sz="4" w:space="0" w:color="auto"/>
              <w:left w:val="nil"/>
              <w:bottom w:val="single" w:sz="4" w:space="0" w:color="auto"/>
              <w:right w:val="single" w:sz="4" w:space="0" w:color="auto"/>
            </w:tcBorders>
            <w:shd w:val="clear" w:color="000000" w:fill="DCE6F1"/>
            <w:vAlign w:val="center"/>
          </w:tcPr>
          <w:p w14:paraId="6686C9DF" w14:textId="77777777" w:rsidR="000715CC" w:rsidRPr="00B81B87" w:rsidRDefault="000715CC" w:rsidP="008B3A3A">
            <w:pPr>
              <w:rPr>
                <w:b/>
                <w:bCs/>
                <w:noProof/>
                <w:sz w:val="18"/>
                <w:szCs w:val="18"/>
              </w:rPr>
            </w:pPr>
            <w:r w:rsidRPr="00B81B87">
              <w:rPr>
                <w:b/>
                <w:bCs/>
                <w:noProof/>
                <w:sz w:val="18"/>
                <w:szCs w:val="18"/>
              </w:rPr>
              <w:t xml:space="preserve">Air transport </w:t>
            </w:r>
            <w:r w:rsidRPr="00B81B87">
              <w:rPr>
                <w:noProof/>
                <w:sz w:val="18"/>
                <w:szCs w:val="18"/>
              </w:rPr>
              <w:t>[H51]</w:t>
            </w:r>
          </w:p>
        </w:tc>
        <w:tc>
          <w:tcPr>
            <w:tcW w:w="1208" w:type="dxa"/>
            <w:tcBorders>
              <w:top w:val="single" w:sz="4" w:space="0" w:color="auto"/>
              <w:left w:val="single" w:sz="4" w:space="0" w:color="auto"/>
              <w:bottom w:val="single" w:sz="4" w:space="0" w:color="auto"/>
              <w:right w:val="single" w:sz="4" w:space="0" w:color="auto"/>
            </w:tcBorders>
            <w:shd w:val="clear" w:color="000000" w:fill="F6F6F6"/>
            <w:noWrap/>
            <w:vAlign w:val="center"/>
          </w:tcPr>
          <w:p w14:paraId="5BFB5324" w14:textId="04FD077E" w:rsidR="000715CC" w:rsidRPr="00B81B87" w:rsidRDefault="000715CC" w:rsidP="008B3A3A">
            <w:pPr>
              <w:jc w:val="center"/>
              <w:rPr>
                <w:noProof/>
                <w:sz w:val="18"/>
                <w:szCs w:val="18"/>
              </w:rPr>
            </w:pPr>
            <w:r w:rsidRPr="00B81B87">
              <w:rPr>
                <w:noProof/>
                <w:sz w:val="18"/>
                <w:szCs w:val="18"/>
              </w:rPr>
              <w:t>281</w:t>
            </w:r>
            <w:r w:rsidR="00C1642F">
              <w:rPr>
                <w:noProof/>
                <w:sz w:val="18"/>
                <w:szCs w:val="18"/>
              </w:rPr>
              <w:t>,</w:t>
            </w:r>
            <w:r w:rsidRPr="00B81B87">
              <w:rPr>
                <w:noProof/>
                <w:sz w:val="18"/>
                <w:szCs w:val="18"/>
              </w:rPr>
              <w:t>162</w:t>
            </w:r>
          </w:p>
        </w:tc>
        <w:tc>
          <w:tcPr>
            <w:tcW w:w="1208" w:type="dxa"/>
            <w:tcBorders>
              <w:top w:val="single" w:sz="4" w:space="0" w:color="auto"/>
              <w:left w:val="nil"/>
              <w:bottom w:val="single" w:sz="4" w:space="0" w:color="auto"/>
              <w:right w:val="single" w:sz="4" w:space="0" w:color="auto"/>
            </w:tcBorders>
            <w:shd w:val="clear" w:color="000000" w:fill="F6F6F6"/>
            <w:noWrap/>
            <w:vAlign w:val="center"/>
          </w:tcPr>
          <w:p w14:paraId="53B171D4" w14:textId="163F14C0" w:rsidR="000715CC" w:rsidRPr="00B81B87" w:rsidRDefault="000715CC" w:rsidP="008B3A3A">
            <w:pPr>
              <w:jc w:val="center"/>
              <w:rPr>
                <w:noProof/>
                <w:sz w:val="18"/>
                <w:szCs w:val="18"/>
              </w:rPr>
            </w:pPr>
            <w:r w:rsidRPr="00B81B87">
              <w:rPr>
                <w:noProof/>
                <w:sz w:val="18"/>
                <w:szCs w:val="18"/>
              </w:rPr>
              <w:t>281</w:t>
            </w:r>
            <w:r w:rsidR="00C1642F">
              <w:rPr>
                <w:noProof/>
                <w:sz w:val="18"/>
                <w:szCs w:val="18"/>
              </w:rPr>
              <w:t>,</w:t>
            </w:r>
            <w:r w:rsidRPr="00B81B87">
              <w:rPr>
                <w:noProof/>
                <w:sz w:val="18"/>
                <w:szCs w:val="18"/>
              </w:rPr>
              <w:t>000</w:t>
            </w:r>
            <w:r>
              <w:rPr>
                <w:noProof/>
                <w:sz w:val="18"/>
                <w:szCs w:val="18"/>
              </w:rPr>
              <w:t>**</w:t>
            </w:r>
          </w:p>
        </w:tc>
        <w:tc>
          <w:tcPr>
            <w:tcW w:w="1208" w:type="dxa"/>
            <w:tcBorders>
              <w:top w:val="single" w:sz="4" w:space="0" w:color="auto"/>
              <w:left w:val="nil"/>
              <w:bottom w:val="single" w:sz="4" w:space="0" w:color="auto"/>
              <w:right w:val="single" w:sz="4" w:space="0" w:color="auto"/>
            </w:tcBorders>
            <w:shd w:val="clear" w:color="000000" w:fill="F6F6F6"/>
            <w:noWrap/>
            <w:vAlign w:val="center"/>
          </w:tcPr>
          <w:p w14:paraId="5968C57B" w14:textId="18C260CB" w:rsidR="000715CC" w:rsidRPr="00B81B87" w:rsidRDefault="000715CC" w:rsidP="008B3A3A">
            <w:pPr>
              <w:jc w:val="center"/>
              <w:rPr>
                <w:noProof/>
                <w:sz w:val="18"/>
                <w:szCs w:val="18"/>
              </w:rPr>
            </w:pPr>
            <w:r w:rsidRPr="00B81B87">
              <w:rPr>
                <w:noProof/>
                <w:sz w:val="18"/>
                <w:szCs w:val="18"/>
              </w:rPr>
              <w:t>301</w:t>
            </w:r>
            <w:r w:rsidR="00C1642F">
              <w:rPr>
                <w:noProof/>
                <w:sz w:val="18"/>
                <w:szCs w:val="18"/>
              </w:rPr>
              <w:t>,</w:t>
            </w:r>
            <w:r w:rsidRPr="00B81B87">
              <w:rPr>
                <w:noProof/>
                <w:sz w:val="18"/>
                <w:szCs w:val="18"/>
              </w:rPr>
              <w:t>492</w:t>
            </w:r>
          </w:p>
        </w:tc>
        <w:tc>
          <w:tcPr>
            <w:tcW w:w="1304" w:type="dxa"/>
            <w:tcBorders>
              <w:top w:val="single" w:sz="4" w:space="0" w:color="auto"/>
              <w:left w:val="nil"/>
              <w:bottom w:val="single" w:sz="4" w:space="0" w:color="auto"/>
              <w:right w:val="single" w:sz="4" w:space="0" w:color="auto"/>
            </w:tcBorders>
            <w:shd w:val="clear" w:color="000000" w:fill="F6F6F6"/>
            <w:vAlign w:val="center"/>
          </w:tcPr>
          <w:p w14:paraId="236CD601" w14:textId="61C6ED24" w:rsidR="000715CC" w:rsidRPr="00B81B87" w:rsidRDefault="000715CC" w:rsidP="008B3A3A">
            <w:pPr>
              <w:jc w:val="center"/>
              <w:rPr>
                <w:noProof/>
                <w:sz w:val="18"/>
                <w:szCs w:val="18"/>
              </w:rPr>
            </w:pPr>
            <w:r w:rsidRPr="00B81B87">
              <w:rPr>
                <w:noProof/>
                <w:sz w:val="18"/>
                <w:szCs w:val="18"/>
              </w:rPr>
              <w:t>300</w:t>
            </w:r>
            <w:r w:rsidR="00C1642F">
              <w:rPr>
                <w:noProof/>
                <w:sz w:val="18"/>
                <w:szCs w:val="18"/>
              </w:rPr>
              <w:t>,</w:t>
            </w:r>
            <w:r w:rsidRPr="00B81B87">
              <w:rPr>
                <w:noProof/>
                <w:sz w:val="18"/>
                <w:szCs w:val="18"/>
              </w:rPr>
              <w:t>000</w:t>
            </w:r>
          </w:p>
        </w:tc>
      </w:tr>
      <w:tr w:rsidR="000715CC" w:rsidRPr="00C3115F" w14:paraId="75E55D95" w14:textId="77777777" w:rsidTr="008B3A3A">
        <w:trPr>
          <w:trHeight w:val="290"/>
        </w:trPr>
        <w:tc>
          <w:tcPr>
            <w:tcW w:w="304" w:type="dxa"/>
            <w:vMerge/>
            <w:tcBorders>
              <w:left w:val="single" w:sz="4" w:space="0" w:color="auto"/>
              <w:bottom w:val="single" w:sz="4" w:space="0" w:color="auto"/>
              <w:right w:val="single" w:sz="4" w:space="0" w:color="auto"/>
            </w:tcBorders>
            <w:vAlign w:val="center"/>
          </w:tcPr>
          <w:p w14:paraId="2CEFD43A" w14:textId="77777777" w:rsidR="000715CC" w:rsidRPr="00B81B87" w:rsidRDefault="000715CC" w:rsidP="008B3A3A">
            <w:pPr>
              <w:rPr>
                <w:b/>
                <w:bCs/>
                <w:noProof/>
                <w:sz w:val="18"/>
                <w:szCs w:val="18"/>
              </w:rPr>
            </w:pPr>
          </w:p>
        </w:tc>
        <w:tc>
          <w:tcPr>
            <w:tcW w:w="294" w:type="dxa"/>
            <w:vMerge/>
            <w:tcBorders>
              <w:top w:val="single" w:sz="4" w:space="0" w:color="auto"/>
              <w:left w:val="nil"/>
              <w:bottom w:val="single" w:sz="4" w:space="0" w:color="auto"/>
              <w:right w:val="single" w:sz="4" w:space="0" w:color="auto"/>
            </w:tcBorders>
            <w:shd w:val="clear" w:color="auto" w:fill="D9D9D9"/>
            <w:noWrap/>
            <w:vAlign w:val="bottom"/>
          </w:tcPr>
          <w:p w14:paraId="07AD71B1" w14:textId="77777777" w:rsidR="000715CC" w:rsidRPr="00B81B87" w:rsidRDefault="000715CC" w:rsidP="008B3A3A">
            <w:pPr>
              <w:jc w:val="center"/>
              <w:rPr>
                <w:noProof/>
                <w:color w:val="000000"/>
                <w:sz w:val="18"/>
                <w:szCs w:val="18"/>
              </w:rPr>
            </w:pPr>
          </w:p>
        </w:tc>
        <w:tc>
          <w:tcPr>
            <w:tcW w:w="454" w:type="dxa"/>
            <w:tcBorders>
              <w:top w:val="single" w:sz="4" w:space="0" w:color="auto"/>
              <w:left w:val="nil"/>
              <w:bottom w:val="single" w:sz="4" w:space="0" w:color="auto"/>
              <w:right w:val="single" w:sz="4" w:space="0" w:color="auto"/>
            </w:tcBorders>
            <w:shd w:val="clear" w:color="auto" w:fill="D9D9D9"/>
            <w:vAlign w:val="center"/>
          </w:tcPr>
          <w:p w14:paraId="23EF44C1" w14:textId="77777777" w:rsidR="000715CC" w:rsidRPr="00B81B87" w:rsidRDefault="000715CC" w:rsidP="008B3A3A">
            <w:pPr>
              <w:rPr>
                <w:b/>
                <w:bCs/>
                <w:noProof/>
                <w:sz w:val="18"/>
                <w:szCs w:val="18"/>
              </w:rPr>
            </w:pPr>
          </w:p>
        </w:tc>
        <w:tc>
          <w:tcPr>
            <w:tcW w:w="3623" w:type="dxa"/>
            <w:tcBorders>
              <w:top w:val="single" w:sz="4" w:space="0" w:color="auto"/>
              <w:left w:val="single" w:sz="4" w:space="0" w:color="auto"/>
              <w:bottom w:val="single" w:sz="4" w:space="0" w:color="auto"/>
              <w:right w:val="single" w:sz="4" w:space="0" w:color="auto"/>
            </w:tcBorders>
            <w:shd w:val="clear" w:color="000000" w:fill="DCE6F1"/>
            <w:vAlign w:val="center"/>
          </w:tcPr>
          <w:p w14:paraId="2D2D7575" w14:textId="77777777" w:rsidR="000715CC" w:rsidRPr="00B81B87" w:rsidRDefault="000715CC" w:rsidP="008B3A3A">
            <w:pPr>
              <w:rPr>
                <w:b/>
                <w:bCs/>
                <w:noProof/>
                <w:sz w:val="18"/>
                <w:szCs w:val="18"/>
              </w:rPr>
            </w:pPr>
            <w:r w:rsidRPr="00B81B87">
              <w:rPr>
                <w:b/>
                <w:noProof/>
                <w:sz w:val="18"/>
                <w:szCs w:val="18"/>
              </w:rPr>
              <w:t>Passenger air transport</w:t>
            </w:r>
            <w:r>
              <w:rPr>
                <w:b/>
                <w:noProof/>
                <w:sz w:val="18"/>
                <w:szCs w:val="18"/>
              </w:rPr>
              <w:t xml:space="preserve"> </w:t>
            </w:r>
            <w:r w:rsidRPr="00B81B87">
              <w:rPr>
                <w:bCs/>
                <w:noProof/>
                <w:sz w:val="18"/>
                <w:szCs w:val="18"/>
              </w:rPr>
              <w:t>[H</w:t>
            </w:r>
            <w:r>
              <w:rPr>
                <w:bCs/>
                <w:noProof/>
                <w:sz w:val="18"/>
                <w:szCs w:val="18"/>
              </w:rPr>
              <w:t>511</w:t>
            </w:r>
            <w:r w:rsidRPr="00B81B87">
              <w:rPr>
                <w:bCs/>
                <w:noProof/>
                <w:sz w:val="18"/>
                <w:szCs w:val="18"/>
              </w:rPr>
              <w:t>]</w:t>
            </w:r>
          </w:p>
        </w:tc>
        <w:tc>
          <w:tcPr>
            <w:tcW w:w="1208" w:type="dxa"/>
            <w:tcBorders>
              <w:top w:val="single" w:sz="4" w:space="0" w:color="auto"/>
              <w:left w:val="single" w:sz="4" w:space="0" w:color="auto"/>
              <w:bottom w:val="single" w:sz="4" w:space="0" w:color="auto"/>
              <w:right w:val="single" w:sz="4" w:space="0" w:color="auto"/>
            </w:tcBorders>
            <w:shd w:val="clear" w:color="000000" w:fill="F6F6F6"/>
            <w:noWrap/>
            <w:vAlign w:val="center"/>
          </w:tcPr>
          <w:p w14:paraId="43FFDF12" w14:textId="682616EF" w:rsidR="000715CC" w:rsidRPr="00B81B87" w:rsidRDefault="000715CC" w:rsidP="008B3A3A">
            <w:pPr>
              <w:jc w:val="center"/>
              <w:rPr>
                <w:noProof/>
                <w:sz w:val="18"/>
                <w:szCs w:val="18"/>
              </w:rPr>
            </w:pPr>
            <w:r w:rsidRPr="00B81B87">
              <w:rPr>
                <w:noProof/>
                <w:sz w:val="18"/>
                <w:szCs w:val="18"/>
              </w:rPr>
              <w:t>254</w:t>
            </w:r>
            <w:r w:rsidR="00A81EE6">
              <w:rPr>
                <w:noProof/>
                <w:sz w:val="18"/>
                <w:szCs w:val="18"/>
              </w:rPr>
              <w:t>,</w:t>
            </w:r>
            <w:r w:rsidRPr="00B81B87">
              <w:rPr>
                <w:noProof/>
                <w:sz w:val="18"/>
                <w:szCs w:val="18"/>
              </w:rPr>
              <w:t>865</w:t>
            </w:r>
          </w:p>
        </w:tc>
        <w:tc>
          <w:tcPr>
            <w:tcW w:w="1208" w:type="dxa"/>
            <w:tcBorders>
              <w:top w:val="single" w:sz="4" w:space="0" w:color="auto"/>
              <w:left w:val="nil"/>
              <w:bottom w:val="single" w:sz="4" w:space="0" w:color="auto"/>
              <w:right w:val="single" w:sz="4" w:space="0" w:color="auto"/>
            </w:tcBorders>
            <w:shd w:val="clear" w:color="000000" w:fill="F6F6F6"/>
            <w:noWrap/>
            <w:vAlign w:val="center"/>
          </w:tcPr>
          <w:p w14:paraId="4A1DA003" w14:textId="37943D3D" w:rsidR="000715CC" w:rsidRPr="00B81B87" w:rsidRDefault="000715CC" w:rsidP="008B3A3A">
            <w:pPr>
              <w:jc w:val="center"/>
              <w:rPr>
                <w:noProof/>
                <w:sz w:val="18"/>
                <w:szCs w:val="18"/>
              </w:rPr>
            </w:pPr>
            <w:r w:rsidRPr="00B81B87">
              <w:rPr>
                <w:noProof/>
                <w:sz w:val="18"/>
                <w:szCs w:val="18"/>
              </w:rPr>
              <w:t>256</w:t>
            </w:r>
            <w:r w:rsidR="00A81EE6">
              <w:rPr>
                <w:noProof/>
                <w:sz w:val="18"/>
                <w:szCs w:val="18"/>
              </w:rPr>
              <w:t>,</w:t>
            </w:r>
            <w:r w:rsidRPr="00B81B87">
              <w:rPr>
                <w:noProof/>
                <w:sz w:val="18"/>
                <w:szCs w:val="18"/>
              </w:rPr>
              <w:t>285</w:t>
            </w:r>
          </w:p>
        </w:tc>
        <w:tc>
          <w:tcPr>
            <w:tcW w:w="1208" w:type="dxa"/>
            <w:tcBorders>
              <w:top w:val="single" w:sz="4" w:space="0" w:color="auto"/>
              <w:left w:val="nil"/>
              <w:bottom w:val="single" w:sz="4" w:space="0" w:color="auto"/>
              <w:right w:val="single" w:sz="4" w:space="0" w:color="auto"/>
            </w:tcBorders>
            <w:shd w:val="clear" w:color="000000" w:fill="F6F6F6"/>
            <w:noWrap/>
            <w:vAlign w:val="center"/>
          </w:tcPr>
          <w:p w14:paraId="6D907133" w14:textId="094DD4C9" w:rsidR="000715CC" w:rsidRPr="00B81B87" w:rsidRDefault="000715CC" w:rsidP="008B3A3A">
            <w:pPr>
              <w:jc w:val="center"/>
              <w:rPr>
                <w:noProof/>
                <w:sz w:val="18"/>
                <w:szCs w:val="18"/>
              </w:rPr>
            </w:pPr>
            <w:r w:rsidRPr="00B81B87">
              <w:rPr>
                <w:noProof/>
                <w:sz w:val="18"/>
                <w:szCs w:val="18"/>
              </w:rPr>
              <w:t>276</w:t>
            </w:r>
            <w:r w:rsidR="00A81EE6">
              <w:rPr>
                <w:noProof/>
                <w:sz w:val="18"/>
                <w:szCs w:val="18"/>
              </w:rPr>
              <w:t>,</w:t>
            </w:r>
            <w:r w:rsidRPr="00B81B87">
              <w:rPr>
                <w:noProof/>
                <w:sz w:val="18"/>
                <w:szCs w:val="18"/>
              </w:rPr>
              <w:t>066</w:t>
            </w:r>
          </w:p>
        </w:tc>
        <w:tc>
          <w:tcPr>
            <w:tcW w:w="1304" w:type="dxa"/>
            <w:tcBorders>
              <w:top w:val="single" w:sz="4" w:space="0" w:color="auto"/>
              <w:left w:val="nil"/>
              <w:bottom w:val="single" w:sz="4" w:space="0" w:color="auto"/>
              <w:right w:val="single" w:sz="4" w:space="0" w:color="auto"/>
            </w:tcBorders>
            <w:shd w:val="clear" w:color="000000" w:fill="F6F6F6"/>
            <w:vAlign w:val="center"/>
          </w:tcPr>
          <w:p w14:paraId="595390C3" w14:textId="77777777" w:rsidR="000715CC" w:rsidRPr="00B81B87" w:rsidRDefault="000715CC" w:rsidP="008B3A3A">
            <w:pPr>
              <w:jc w:val="center"/>
              <w:rPr>
                <w:noProof/>
                <w:sz w:val="18"/>
                <w:szCs w:val="18"/>
              </w:rPr>
            </w:pPr>
            <w:r>
              <w:rPr>
                <w:noProof/>
                <w:sz w:val="18"/>
                <w:szCs w:val="18"/>
              </w:rPr>
              <w:t>NA</w:t>
            </w:r>
          </w:p>
        </w:tc>
      </w:tr>
    </w:tbl>
    <w:p w14:paraId="41E45F63" w14:textId="1C5FACED" w:rsidR="000715CC" w:rsidRPr="00202FA5" w:rsidRDefault="000715CC" w:rsidP="00774A3B">
      <w:pPr>
        <w:spacing w:after="240"/>
        <w:jc w:val="both"/>
        <w:rPr>
          <w:noProof/>
        </w:rPr>
      </w:pPr>
      <w:r w:rsidRPr="00753AFE">
        <w:rPr>
          <w:i/>
          <w:iCs/>
          <w:noProof/>
          <w:sz w:val="20"/>
          <w:szCs w:val="20"/>
        </w:rPr>
        <w:t xml:space="preserve">Source: Eurostat. </w:t>
      </w:r>
      <w:r w:rsidRPr="005D2D60">
        <w:rPr>
          <w:i/>
          <w:noProof/>
          <w:sz w:val="20"/>
          <w:szCs w:val="20"/>
        </w:rPr>
        <w:t>Enterprises by detailed NACE Rev. 2 activity and special aggregates) [sbs_sc_ovw]</w:t>
      </w:r>
      <w:r w:rsidR="00E914B0" w:rsidRPr="005D2D60">
        <w:rPr>
          <w:i/>
          <w:noProof/>
          <w:sz w:val="20"/>
          <w:szCs w:val="20"/>
        </w:rPr>
        <w:t xml:space="preserve">; </w:t>
      </w:r>
      <w:r w:rsidRPr="00753AFE">
        <w:rPr>
          <w:i/>
          <w:iCs/>
          <w:noProof/>
          <w:sz w:val="20"/>
          <w:szCs w:val="20"/>
        </w:rPr>
        <w:t>*Except public administration and defence, compulsory social security, activities of membership organisation</w:t>
      </w:r>
      <w:r w:rsidR="00E914B0">
        <w:rPr>
          <w:i/>
          <w:iCs/>
          <w:noProof/>
          <w:sz w:val="20"/>
          <w:szCs w:val="20"/>
        </w:rPr>
        <w:t xml:space="preserve">s; </w:t>
      </w:r>
      <w:r>
        <w:rPr>
          <w:i/>
          <w:iCs/>
          <w:noProof/>
          <w:sz w:val="20"/>
          <w:szCs w:val="20"/>
        </w:rPr>
        <w:t xml:space="preserve">** Data is estimated; </w:t>
      </w:r>
      <w:r w:rsidRPr="00753AFE">
        <w:rPr>
          <w:i/>
          <w:iCs/>
          <w:noProof/>
          <w:sz w:val="20"/>
          <w:szCs w:val="20"/>
          <w:vertAlign w:val="superscript"/>
        </w:rPr>
        <w:t>p</w:t>
      </w:r>
      <w:r>
        <w:rPr>
          <w:i/>
          <w:iCs/>
          <w:noProof/>
          <w:sz w:val="20"/>
          <w:szCs w:val="20"/>
        </w:rPr>
        <w:t>data is provisional.</w:t>
      </w:r>
      <w:r w:rsidR="00516203">
        <w:rPr>
          <w:i/>
          <w:iCs/>
          <w:noProof/>
          <w:sz w:val="20"/>
          <w:szCs w:val="20"/>
        </w:rPr>
        <w:t xml:space="preserve"> </w:t>
      </w:r>
      <w:r>
        <w:rPr>
          <w:i/>
          <w:iCs/>
          <w:noProof/>
          <w:sz w:val="20"/>
          <w:szCs w:val="20"/>
        </w:rPr>
        <w:t>Notes: Data for NACE activity H5111 is confidential. Data for NACE activity H501 includes urban and interurban.</w:t>
      </w:r>
    </w:p>
    <w:p w14:paraId="0B69AC4C" w14:textId="148C0F01" w:rsidR="00107DC9" w:rsidRDefault="006F1690" w:rsidP="00817A21">
      <w:pPr>
        <w:pStyle w:val="Text4"/>
        <w:spacing w:before="0" w:after="240"/>
        <w:ind w:left="0"/>
        <w:rPr>
          <w:rFonts w:ascii="Times New Roman" w:eastAsia="Calibri" w:hAnsi="Times New Roman"/>
          <w:noProof/>
          <w:spacing w:val="-8"/>
          <w:sz w:val="24"/>
          <w:szCs w:val="24"/>
        </w:rPr>
      </w:pPr>
      <w:r w:rsidRPr="000066D4">
        <w:rPr>
          <w:rFonts w:ascii="Times New Roman" w:eastAsia="Calibri" w:hAnsi="Times New Roman"/>
          <w:noProof/>
          <w:spacing w:val="-8"/>
          <w:sz w:val="24"/>
          <w:szCs w:val="24"/>
        </w:rPr>
        <w:t xml:space="preserve">The </w:t>
      </w:r>
      <w:r w:rsidR="000066D4">
        <w:rPr>
          <w:rFonts w:ascii="Times New Roman" w:eastAsia="Calibri" w:hAnsi="Times New Roman"/>
          <w:noProof/>
          <w:spacing w:val="-8"/>
          <w:sz w:val="24"/>
          <w:szCs w:val="24"/>
        </w:rPr>
        <w:t>preferred</w:t>
      </w:r>
      <w:r>
        <w:rPr>
          <w:rFonts w:ascii="Times New Roman" w:eastAsia="Calibri" w:hAnsi="Times New Roman"/>
          <w:noProof/>
          <w:spacing w:val="-8"/>
          <w:sz w:val="24"/>
          <w:szCs w:val="24"/>
        </w:rPr>
        <w:t xml:space="preserve"> policy </w:t>
      </w:r>
      <w:r w:rsidR="000066D4">
        <w:rPr>
          <w:rFonts w:ascii="Times New Roman" w:eastAsia="Calibri" w:hAnsi="Times New Roman"/>
          <w:noProof/>
          <w:spacing w:val="-8"/>
          <w:sz w:val="24"/>
          <w:szCs w:val="24"/>
        </w:rPr>
        <w:t>option</w:t>
      </w:r>
      <w:r w:rsidRPr="000066D4">
        <w:rPr>
          <w:rFonts w:ascii="Times New Roman" w:eastAsia="Calibri" w:hAnsi="Times New Roman"/>
          <w:noProof/>
          <w:spacing w:val="-8"/>
          <w:sz w:val="24"/>
          <w:szCs w:val="24"/>
        </w:rPr>
        <w:t xml:space="preserve"> directly address</w:t>
      </w:r>
      <w:r w:rsidR="000066D4">
        <w:rPr>
          <w:rFonts w:ascii="Times New Roman" w:eastAsia="Calibri" w:hAnsi="Times New Roman"/>
          <w:noProof/>
          <w:spacing w:val="-8"/>
          <w:sz w:val="24"/>
          <w:szCs w:val="24"/>
        </w:rPr>
        <w:t>es</w:t>
      </w:r>
      <w:r w:rsidRPr="000066D4">
        <w:rPr>
          <w:rFonts w:ascii="Times New Roman" w:eastAsia="Calibri" w:hAnsi="Times New Roman"/>
          <w:noProof/>
          <w:spacing w:val="-8"/>
          <w:sz w:val="24"/>
          <w:szCs w:val="24"/>
        </w:rPr>
        <w:t xml:space="preserve"> some of the key issues hampering the rail sector’s competitiveness</w:t>
      </w:r>
      <w:r w:rsidR="00706EC6" w:rsidRPr="000066D4">
        <w:rPr>
          <w:rFonts w:ascii="Times New Roman" w:eastAsia="Calibri" w:hAnsi="Times New Roman"/>
          <w:noProof/>
          <w:spacing w:val="-8"/>
          <w:sz w:val="24"/>
          <w:szCs w:val="24"/>
        </w:rPr>
        <w:t xml:space="preserve">. </w:t>
      </w:r>
      <w:r w:rsidR="0011505E" w:rsidRPr="000066D4">
        <w:rPr>
          <w:rFonts w:ascii="Times New Roman" w:eastAsia="Calibri" w:hAnsi="Times New Roman"/>
          <w:noProof/>
          <w:spacing w:val="-8"/>
          <w:sz w:val="24"/>
          <w:szCs w:val="24"/>
        </w:rPr>
        <w:t xml:space="preserve">As explained in section </w:t>
      </w:r>
      <w:r w:rsidR="00ED4DC3" w:rsidRPr="000066D4">
        <w:rPr>
          <w:rFonts w:ascii="Times New Roman" w:eastAsia="Calibri" w:hAnsi="Times New Roman"/>
          <w:noProof/>
          <w:spacing w:val="-8"/>
          <w:sz w:val="24"/>
          <w:szCs w:val="24"/>
          <w:highlight w:val="yellow"/>
        </w:rPr>
        <w:fldChar w:fldCharType="begin"/>
      </w:r>
      <w:r w:rsidR="00ED4DC3" w:rsidRPr="000066D4">
        <w:rPr>
          <w:rFonts w:ascii="Times New Roman" w:eastAsia="Calibri" w:hAnsi="Times New Roman"/>
          <w:noProof/>
          <w:spacing w:val="-8"/>
          <w:sz w:val="24"/>
          <w:szCs w:val="24"/>
        </w:rPr>
        <w:instrText xml:space="preserve"> REF _Ref223313010 \n \h </w:instrText>
      </w:r>
      <w:r w:rsidR="000066D4">
        <w:rPr>
          <w:rFonts w:ascii="Times New Roman" w:eastAsia="Calibri" w:hAnsi="Times New Roman"/>
          <w:noProof/>
          <w:spacing w:val="-8"/>
          <w:sz w:val="24"/>
          <w:szCs w:val="24"/>
          <w:highlight w:val="yellow"/>
        </w:rPr>
        <w:instrText xml:space="preserve"> \* MERGEFORMAT </w:instrText>
      </w:r>
      <w:r w:rsidR="00ED4DC3" w:rsidRPr="000066D4">
        <w:rPr>
          <w:rFonts w:ascii="Times New Roman" w:eastAsia="Calibri" w:hAnsi="Times New Roman"/>
          <w:noProof/>
          <w:spacing w:val="-8"/>
          <w:sz w:val="24"/>
          <w:szCs w:val="24"/>
          <w:highlight w:val="yellow"/>
        </w:rPr>
      </w:r>
      <w:r w:rsidR="00ED4DC3" w:rsidRPr="000066D4">
        <w:rPr>
          <w:rFonts w:ascii="Times New Roman" w:eastAsia="Calibri" w:hAnsi="Times New Roman"/>
          <w:noProof/>
          <w:spacing w:val="-8"/>
          <w:sz w:val="24"/>
          <w:szCs w:val="24"/>
          <w:highlight w:val="yellow"/>
        </w:rPr>
        <w:fldChar w:fldCharType="separate"/>
      </w:r>
      <w:r w:rsidR="0055391F">
        <w:rPr>
          <w:rFonts w:ascii="Times New Roman" w:eastAsia="Calibri" w:hAnsi="Times New Roman"/>
          <w:noProof/>
          <w:spacing w:val="-8"/>
          <w:sz w:val="24"/>
          <w:szCs w:val="24"/>
        </w:rPr>
        <w:t>2.2.4</w:t>
      </w:r>
      <w:r w:rsidR="00ED4DC3" w:rsidRPr="000066D4">
        <w:rPr>
          <w:rFonts w:ascii="Times New Roman" w:eastAsia="Calibri" w:hAnsi="Times New Roman"/>
          <w:noProof/>
          <w:spacing w:val="-8"/>
          <w:sz w:val="24"/>
          <w:szCs w:val="24"/>
          <w:highlight w:val="yellow"/>
        </w:rPr>
        <w:fldChar w:fldCharType="end"/>
      </w:r>
      <w:r w:rsidR="0011505E" w:rsidRPr="000066D4">
        <w:rPr>
          <w:rFonts w:ascii="Times New Roman" w:eastAsia="Calibri" w:hAnsi="Times New Roman"/>
          <w:noProof/>
          <w:spacing w:val="-8"/>
          <w:sz w:val="24"/>
          <w:szCs w:val="24"/>
        </w:rPr>
        <w:t xml:space="preserve">, </w:t>
      </w:r>
      <w:r w:rsidR="0032029C">
        <w:rPr>
          <w:rFonts w:ascii="Times New Roman" w:eastAsia="Calibri" w:hAnsi="Times New Roman"/>
          <w:noProof/>
          <w:spacing w:val="-8"/>
          <w:sz w:val="24"/>
          <w:szCs w:val="24"/>
        </w:rPr>
        <w:t>t</w:t>
      </w:r>
      <w:r w:rsidR="002D0CBC" w:rsidRPr="000066D4">
        <w:rPr>
          <w:rFonts w:ascii="Times New Roman" w:eastAsia="Calibri" w:hAnsi="Times New Roman"/>
          <w:noProof/>
          <w:spacing w:val="-8"/>
          <w:sz w:val="24"/>
          <w:szCs w:val="24"/>
        </w:rPr>
        <w:t xml:space="preserve">he key position of incumbent railway </w:t>
      </w:r>
      <w:r w:rsidR="00F23FEB" w:rsidRPr="000066D4">
        <w:rPr>
          <w:rFonts w:ascii="Times New Roman" w:eastAsia="Calibri" w:hAnsi="Times New Roman"/>
          <w:noProof/>
          <w:spacing w:val="-8"/>
          <w:sz w:val="24"/>
          <w:szCs w:val="24"/>
        </w:rPr>
        <w:t xml:space="preserve">undertakings on both the transport services market and on the ticket distribution market </w:t>
      </w:r>
      <w:r w:rsidR="00304195" w:rsidRPr="000066D4">
        <w:rPr>
          <w:rFonts w:ascii="Times New Roman" w:eastAsia="Calibri" w:hAnsi="Times New Roman"/>
          <w:noProof/>
          <w:spacing w:val="-8"/>
          <w:sz w:val="24"/>
          <w:szCs w:val="24"/>
        </w:rPr>
        <w:t xml:space="preserve">gives them the opportunity </w:t>
      </w:r>
      <w:r w:rsidR="004F6F3A" w:rsidRPr="000066D4">
        <w:rPr>
          <w:rFonts w:ascii="Times New Roman" w:eastAsia="Calibri" w:hAnsi="Times New Roman"/>
          <w:noProof/>
          <w:spacing w:val="-8"/>
          <w:sz w:val="24"/>
          <w:szCs w:val="24"/>
        </w:rPr>
        <w:t xml:space="preserve">to block </w:t>
      </w:r>
      <w:r w:rsidR="0044576E" w:rsidRPr="000066D4">
        <w:rPr>
          <w:rFonts w:ascii="Times New Roman" w:eastAsia="Calibri" w:hAnsi="Times New Roman"/>
          <w:noProof/>
          <w:spacing w:val="-8"/>
          <w:sz w:val="24"/>
          <w:szCs w:val="24"/>
        </w:rPr>
        <w:t xml:space="preserve">competitors entering </w:t>
      </w:r>
      <w:r w:rsidR="00A41DD2" w:rsidRPr="000066D4">
        <w:rPr>
          <w:rFonts w:ascii="Times New Roman" w:eastAsia="Calibri" w:hAnsi="Times New Roman"/>
          <w:noProof/>
          <w:spacing w:val="-8"/>
          <w:sz w:val="24"/>
          <w:szCs w:val="24"/>
        </w:rPr>
        <w:t>either of these markets</w:t>
      </w:r>
      <w:r w:rsidR="00EE7CE9" w:rsidRPr="000066D4">
        <w:rPr>
          <w:rFonts w:ascii="Times New Roman" w:eastAsia="Calibri" w:hAnsi="Times New Roman"/>
          <w:noProof/>
          <w:spacing w:val="-8"/>
          <w:sz w:val="24"/>
          <w:szCs w:val="24"/>
        </w:rPr>
        <w:t>.</w:t>
      </w:r>
      <w:r w:rsidR="0016076B" w:rsidRPr="000066D4">
        <w:rPr>
          <w:rFonts w:ascii="Times New Roman" w:eastAsia="Calibri" w:hAnsi="Times New Roman"/>
          <w:noProof/>
          <w:spacing w:val="-8"/>
          <w:sz w:val="24"/>
          <w:szCs w:val="24"/>
        </w:rPr>
        <w:t xml:space="preserve"> </w:t>
      </w:r>
      <w:r w:rsidR="00F36467">
        <w:rPr>
          <w:rFonts w:ascii="Times New Roman" w:eastAsia="Calibri" w:hAnsi="Times New Roman"/>
          <w:noProof/>
          <w:spacing w:val="-8"/>
          <w:sz w:val="24"/>
          <w:szCs w:val="24"/>
        </w:rPr>
        <w:t>PO3</w:t>
      </w:r>
      <w:r w:rsidR="008C7AB7" w:rsidRPr="000066D4">
        <w:rPr>
          <w:rFonts w:ascii="Times New Roman" w:eastAsia="Calibri" w:hAnsi="Times New Roman"/>
          <w:noProof/>
          <w:spacing w:val="-8"/>
          <w:sz w:val="24"/>
          <w:szCs w:val="24"/>
        </w:rPr>
        <w:t xml:space="preserve"> </w:t>
      </w:r>
      <w:r w:rsidR="00361584" w:rsidRPr="000066D4">
        <w:rPr>
          <w:rFonts w:ascii="Times New Roman" w:eastAsia="Calibri" w:hAnsi="Times New Roman"/>
          <w:noProof/>
          <w:spacing w:val="-8"/>
          <w:sz w:val="24"/>
          <w:szCs w:val="24"/>
        </w:rPr>
        <w:t>address</w:t>
      </w:r>
      <w:r w:rsidR="00F36467">
        <w:rPr>
          <w:rFonts w:ascii="Times New Roman" w:eastAsia="Calibri" w:hAnsi="Times New Roman"/>
          <w:noProof/>
          <w:spacing w:val="-8"/>
          <w:sz w:val="24"/>
          <w:szCs w:val="24"/>
        </w:rPr>
        <w:t>es</w:t>
      </w:r>
      <w:r w:rsidR="00361584" w:rsidRPr="000066D4">
        <w:rPr>
          <w:rFonts w:ascii="Times New Roman" w:eastAsia="Calibri" w:hAnsi="Times New Roman"/>
          <w:noProof/>
          <w:spacing w:val="-8"/>
          <w:sz w:val="24"/>
          <w:szCs w:val="24"/>
        </w:rPr>
        <w:t xml:space="preserve"> in a targeted way th</w:t>
      </w:r>
      <w:r w:rsidR="00B35CC8" w:rsidRPr="000066D4">
        <w:rPr>
          <w:rFonts w:ascii="Times New Roman" w:eastAsia="Calibri" w:hAnsi="Times New Roman"/>
          <w:noProof/>
          <w:spacing w:val="-8"/>
          <w:sz w:val="24"/>
          <w:szCs w:val="24"/>
        </w:rPr>
        <w:t xml:space="preserve">is </w:t>
      </w:r>
      <w:r w:rsidR="00142CF4" w:rsidRPr="000066D4">
        <w:rPr>
          <w:rFonts w:ascii="Times New Roman" w:eastAsia="Calibri" w:hAnsi="Times New Roman"/>
          <w:noProof/>
          <w:spacing w:val="-8"/>
          <w:sz w:val="24"/>
          <w:szCs w:val="24"/>
        </w:rPr>
        <w:t xml:space="preserve">double </w:t>
      </w:r>
      <w:r w:rsidR="00B35CC8" w:rsidRPr="000066D4">
        <w:rPr>
          <w:rFonts w:ascii="Times New Roman" w:eastAsia="Calibri" w:hAnsi="Times New Roman"/>
          <w:noProof/>
          <w:spacing w:val="-8"/>
          <w:sz w:val="24"/>
          <w:szCs w:val="24"/>
        </w:rPr>
        <w:t>gatekeeper</w:t>
      </w:r>
      <w:r w:rsidRPr="000066D4" w:rsidDel="00B35CC8">
        <w:rPr>
          <w:rFonts w:ascii="Times New Roman" w:eastAsia="Calibri" w:hAnsi="Times New Roman"/>
          <w:noProof/>
          <w:spacing w:val="-8"/>
          <w:sz w:val="24"/>
          <w:szCs w:val="24"/>
        </w:rPr>
        <w:t xml:space="preserve"> </w:t>
      </w:r>
      <w:r w:rsidR="00B35CC8" w:rsidRPr="000066D4">
        <w:rPr>
          <w:rFonts w:ascii="Times New Roman" w:eastAsia="Calibri" w:hAnsi="Times New Roman"/>
          <w:noProof/>
          <w:spacing w:val="-8"/>
          <w:sz w:val="24"/>
          <w:szCs w:val="24"/>
        </w:rPr>
        <w:t>position</w:t>
      </w:r>
      <w:r w:rsidR="004C17C7" w:rsidRPr="000066D4">
        <w:rPr>
          <w:rFonts w:ascii="Times New Roman" w:eastAsia="Calibri" w:hAnsi="Times New Roman"/>
          <w:noProof/>
          <w:spacing w:val="-8"/>
          <w:sz w:val="24"/>
          <w:szCs w:val="24"/>
        </w:rPr>
        <w:t>.</w:t>
      </w:r>
    </w:p>
    <w:p w14:paraId="05D05704" w14:textId="28F77911" w:rsidR="0023511B" w:rsidRPr="00D320FA" w:rsidRDefault="751A0FE1" w:rsidP="00817A21">
      <w:pPr>
        <w:pStyle w:val="Text4"/>
        <w:spacing w:before="0" w:after="240"/>
        <w:ind w:left="0"/>
        <w:rPr>
          <w:rFonts w:ascii="Times New Roman" w:eastAsia="Calibri" w:hAnsi="Times New Roman"/>
          <w:noProof/>
          <w:spacing w:val="-8"/>
          <w:sz w:val="24"/>
          <w:szCs w:val="24"/>
        </w:rPr>
      </w:pPr>
      <w:r w:rsidRPr="000066D4">
        <w:rPr>
          <w:rFonts w:ascii="Times New Roman" w:eastAsia="Calibri" w:hAnsi="Times New Roman"/>
          <w:noProof/>
          <w:spacing w:val="-8"/>
          <w:sz w:val="24"/>
          <w:szCs w:val="24"/>
        </w:rPr>
        <w:t xml:space="preserve">Firstly, </w:t>
      </w:r>
      <w:r w:rsidR="00E01091">
        <w:rPr>
          <w:rFonts w:ascii="Times New Roman" w:eastAsia="Calibri" w:hAnsi="Times New Roman"/>
          <w:noProof/>
          <w:spacing w:val="-8"/>
          <w:sz w:val="24"/>
          <w:szCs w:val="24"/>
        </w:rPr>
        <w:t>PO3</w:t>
      </w:r>
      <w:r w:rsidR="00BD4141" w:rsidRPr="000066D4">
        <w:rPr>
          <w:rFonts w:ascii="Times New Roman" w:eastAsia="Calibri" w:hAnsi="Times New Roman"/>
          <w:noProof/>
          <w:spacing w:val="-8"/>
          <w:sz w:val="24"/>
          <w:szCs w:val="24"/>
        </w:rPr>
        <w:t xml:space="preserve"> provide independent ticket platforms the opportunity to access rail tickets and rail fares that were either inaccessible for them or only against unattractive conditions. </w:t>
      </w:r>
      <w:r w:rsidR="00DE3DC7" w:rsidRPr="000066D4">
        <w:rPr>
          <w:rFonts w:ascii="Times New Roman" w:eastAsia="Calibri" w:hAnsi="Times New Roman"/>
          <w:noProof/>
          <w:spacing w:val="-8"/>
          <w:sz w:val="24"/>
          <w:szCs w:val="24"/>
        </w:rPr>
        <w:t xml:space="preserve">This allows them to </w:t>
      </w:r>
      <w:r w:rsidR="00BD4141" w:rsidRPr="000066D4">
        <w:rPr>
          <w:rFonts w:ascii="Times New Roman" w:eastAsia="Calibri" w:hAnsi="Times New Roman"/>
          <w:noProof/>
          <w:spacing w:val="-8"/>
          <w:sz w:val="24"/>
          <w:szCs w:val="24"/>
        </w:rPr>
        <w:t>compete with the vertically integrated ticket</w:t>
      </w:r>
      <w:r w:rsidR="00665011" w:rsidRPr="000066D4">
        <w:rPr>
          <w:rFonts w:ascii="Times New Roman" w:eastAsia="Calibri" w:hAnsi="Times New Roman"/>
          <w:noProof/>
          <w:spacing w:val="-8"/>
          <w:sz w:val="24"/>
          <w:szCs w:val="24"/>
        </w:rPr>
        <w:t>ing</w:t>
      </w:r>
      <w:r w:rsidR="00BD4141" w:rsidRPr="000066D4">
        <w:rPr>
          <w:rFonts w:ascii="Times New Roman" w:eastAsia="Calibri" w:hAnsi="Times New Roman"/>
          <w:noProof/>
          <w:spacing w:val="-8"/>
          <w:sz w:val="24"/>
          <w:szCs w:val="24"/>
        </w:rPr>
        <w:t xml:space="preserve"> platforms of incumbent railway undertakings, providing consumers a wider choice of online places where they can buy </w:t>
      </w:r>
      <w:r w:rsidR="00665011" w:rsidRPr="005D2D60">
        <w:rPr>
          <w:rFonts w:ascii="Times New Roman" w:eastAsia="Calibri" w:hAnsi="Times New Roman"/>
          <w:noProof/>
          <w:spacing w:val="-8"/>
          <w:sz w:val="24"/>
          <w:szCs w:val="24"/>
        </w:rPr>
        <w:t xml:space="preserve">the most convenient </w:t>
      </w:r>
      <w:r w:rsidR="00BD4141" w:rsidRPr="000066D4">
        <w:rPr>
          <w:rFonts w:ascii="Times New Roman" w:eastAsia="Calibri" w:hAnsi="Times New Roman"/>
          <w:noProof/>
          <w:spacing w:val="-8"/>
          <w:sz w:val="24"/>
          <w:szCs w:val="24"/>
        </w:rPr>
        <w:t>rail tickets</w:t>
      </w:r>
      <w:r w:rsidR="00395BCE" w:rsidRPr="000066D4">
        <w:rPr>
          <w:rFonts w:ascii="Times New Roman" w:eastAsia="Calibri" w:hAnsi="Times New Roman"/>
          <w:noProof/>
          <w:spacing w:val="-8"/>
          <w:sz w:val="24"/>
          <w:szCs w:val="24"/>
        </w:rPr>
        <w:t xml:space="preserve"> a</w:t>
      </w:r>
      <w:r w:rsidR="004660FA" w:rsidRPr="000066D4">
        <w:rPr>
          <w:rFonts w:ascii="Times New Roman" w:eastAsia="Calibri" w:hAnsi="Times New Roman"/>
          <w:noProof/>
          <w:spacing w:val="-8"/>
          <w:sz w:val="24"/>
          <w:szCs w:val="24"/>
        </w:rPr>
        <w:t xml:space="preserve">t the </w:t>
      </w:r>
      <w:r w:rsidR="00B52446" w:rsidRPr="000066D4">
        <w:rPr>
          <w:rFonts w:ascii="Times New Roman" w:eastAsia="Calibri" w:hAnsi="Times New Roman"/>
          <w:noProof/>
          <w:spacing w:val="-8"/>
          <w:sz w:val="24"/>
          <w:szCs w:val="24"/>
        </w:rPr>
        <w:t xml:space="preserve">best </w:t>
      </w:r>
      <w:r w:rsidR="00395BCE" w:rsidRPr="000066D4">
        <w:rPr>
          <w:rFonts w:ascii="Times New Roman" w:eastAsia="Calibri" w:hAnsi="Times New Roman"/>
          <w:noProof/>
          <w:spacing w:val="-8"/>
          <w:sz w:val="24"/>
          <w:szCs w:val="24"/>
        </w:rPr>
        <w:t xml:space="preserve">fares. </w:t>
      </w:r>
      <w:r w:rsidR="00C62ABF" w:rsidRPr="000066D4">
        <w:rPr>
          <w:rFonts w:ascii="Times New Roman" w:eastAsia="Calibri" w:hAnsi="Times New Roman"/>
          <w:noProof/>
          <w:spacing w:val="-8"/>
          <w:sz w:val="24"/>
          <w:szCs w:val="24"/>
        </w:rPr>
        <w:t xml:space="preserve">Greater competition among platforms will also </w:t>
      </w:r>
      <w:r w:rsidR="00754ABE" w:rsidRPr="000066D4">
        <w:rPr>
          <w:rFonts w:ascii="Times New Roman" w:eastAsia="Calibri" w:hAnsi="Times New Roman"/>
          <w:noProof/>
          <w:spacing w:val="-8"/>
          <w:sz w:val="24"/>
          <w:szCs w:val="24"/>
        </w:rPr>
        <w:t xml:space="preserve">apply downward pressure on the </w:t>
      </w:r>
      <w:r w:rsidR="007A681D" w:rsidRPr="000066D4">
        <w:rPr>
          <w:rFonts w:ascii="Times New Roman" w:eastAsia="Calibri" w:hAnsi="Times New Roman"/>
          <w:noProof/>
          <w:spacing w:val="-8"/>
          <w:sz w:val="24"/>
          <w:szCs w:val="24"/>
        </w:rPr>
        <w:t>platf</w:t>
      </w:r>
      <w:r w:rsidR="009E58AC" w:rsidRPr="000066D4">
        <w:rPr>
          <w:rFonts w:ascii="Times New Roman" w:eastAsia="Calibri" w:hAnsi="Times New Roman"/>
          <w:noProof/>
          <w:spacing w:val="-8"/>
          <w:sz w:val="24"/>
          <w:szCs w:val="24"/>
        </w:rPr>
        <w:t xml:space="preserve">orms’ </w:t>
      </w:r>
      <w:r w:rsidR="00B970D7" w:rsidRPr="000066D4">
        <w:rPr>
          <w:rFonts w:ascii="Times New Roman" w:eastAsia="Calibri" w:hAnsi="Times New Roman"/>
          <w:noProof/>
          <w:spacing w:val="-8"/>
          <w:sz w:val="24"/>
          <w:szCs w:val="24"/>
        </w:rPr>
        <w:t>fees</w:t>
      </w:r>
      <w:r w:rsidR="002A7D16" w:rsidRPr="000066D4">
        <w:rPr>
          <w:rFonts w:ascii="Times New Roman" w:eastAsia="Calibri" w:hAnsi="Times New Roman"/>
          <w:noProof/>
          <w:spacing w:val="-8"/>
          <w:sz w:val="24"/>
          <w:szCs w:val="24"/>
        </w:rPr>
        <w:t>.</w:t>
      </w:r>
      <w:r w:rsidR="00B970D7" w:rsidRPr="000066D4">
        <w:rPr>
          <w:rFonts w:ascii="Times New Roman" w:eastAsia="Calibri" w:hAnsi="Times New Roman"/>
          <w:noProof/>
          <w:spacing w:val="-8"/>
          <w:sz w:val="24"/>
          <w:szCs w:val="24"/>
        </w:rPr>
        <w:t xml:space="preserve"> </w:t>
      </w:r>
      <w:r w:rsidR="00FA1ACA" w:rsidRPr="000066D4">
        <w:rPr>
          <w:rFonts w:ascii="Times New Roman" w:eastAsia="Calibri" w:hAnsi="Times New Roman"/>
          <w:noProof/>
          <w:spacing w:val="-8"/>
          <w:sz w:val="24"/>
          <w:szCs w:val="24"/>
        </w:rPr>
        <w:t xml:space="preserve">This will increase </w:t>
      </w:r>
      <w:r w:rsidR="005D70A9" w:rsidRPr="000066D4">
        <w:rPr>
          <w:rFonts w:ascii="Times New Roman" w:eastAsia="Calibri" w:hAnsi="Times New Roman"/>
          <w:noProof/>
          <w:spacing w:val="-8"/>
          <w:sz w:val="24"/>
          <w:szCs w:val="24"/>
        </w:rPr>
        <w:t xml:space="preserve">customers’ </w:t>
      </w:r>
      <w:r w:rsidR="00FA1ACA" w:rsidRPr="000066D4">
        <w:rPr>
          <w:rFonts w:ascii="Times New Roman" w:eastAsia="Calibri" w:hAnsi="Times New Roman"/>
          <w:noProof/>
          <w:spacing w:val="-8"/>
          <w:sz w:val="24"/>
          <w:szCs w:val="24"/>
        </w:rPr>
        <w:t>chances</w:t>
      </w:r>
      <w:r w:rsidR="005D70A9" w:rsidRPr="000066D4">
        <w:rPr>
          <w:rFonts w:ascii="Times New Roman" w:eastAsia="Calibri" w:hAnsi="Times New Roman"/>
          <w:noProof/>
          <w:spacing w:val="-8"/>
          <w:sz w:val="24"/>
          <w:szCs w:val="24"/>
        </w:rPr>
        <w:t xml:space="preserve"> </w:t>
      </w:r>
      <w:r w:rsidR="00660F8D" w:rsidRPr="000066D4">
        <w:rPr>
          <w:rFonts w:ascii="Times New Roman" w:eastAsia="Calibri" w:hAnsi="Times New Roman"/>
          <w:noProof/>
          <w:spacing w:val="-8"/>
          <w:sz w:val="24"/>
          <w:szCs w:val="24"/>
        </w:rPr>
        <w:t xml:space="preserve">of </w:t>
      </w:r>
      <w:r w:rsidR="00BD4141" w:rsidRPr="000066D4">
        <w:rPr>
          <w:rFonts w:ascii="Times New Roman" w:eastAsia="Calibri" w:hAnsi="Times New Roman"/>
          <w:noProof/>
          <w:spacing w:val="-8"/>
          <w:sz w:val="24"/>
          <w:szCs w:val="24"/>
        </w:rPr>
        <w:t>find</w:t>
      </w:r>
      <w:r w:rsidR="00660F8D" w:rsidRPr="000066D4">
        <w:rPr>
          <w:rFonts w:ascii="Times New Roman" w:eastAsia="Calibri" w:hAnsi="Times New Roman"/>
          <w:noProof/>
          <w:spacing w:val="-8"/>
          <w:sz w:val="24"/>
          <w:szCs w:val="24"/>
        </w:rPr>
        <w:t>ing</w:t>
      </w:r>
      <w:r w:rsidR="00DA5F8F" w:rsidRPr="000066D4">
        <w:rPr>
          <w:rFonts w:ascii="Times New Roman" w:eastAsia="Calibri" w:hAnsi="Times New Roman"/>
          <w:noProof/>
          <w:spacing w:val="-8"/>
          <w:sz w:val="24"/>
          <w:szCs w:val="24"/>
        </w:rPr>
        <w:t xml:space="preserve"> </w:t>
      </w:r>
      <w:r w:rsidR="00BD4141" w:rsidRPr="000066D4">
        <w:rPr>
          <w:rFonts w:ascii="Times New Roman" w:eastAsia="Calibri" w:hAnsi="Times New Roman"/>
          <w:noProof/>
          <w:spacing w:val="-8"/>
          <w:sz w:val="24"/>
          <w:szCs w:val="24"/>
        </w:rPr>
        <w:t xml:space="preserve">the product that best matches their needs in terms of </w:t>
      </w:r>
      <w:r w:rsidR="00A74C99" w:rsidRPr="000066D4">
        <w:rPr>
          <w:rFonts w:ascii="Times New Roman" w:eastAsia="Calibri" w:hAnsi="Times New Roman"/>
          <w:noProof/>
          <w:spacing w:val="-8"/>
          <w:sz w:val="24"/>
          <w:szCs w:val="24"/>
        </w:rPr>
        <w:t>connections</w:t>
      </w:r>
      <w:r w:rsidR="00DA5F8F" w:rsidRPr="000066D4">
        <w:rPr>
          <w:rFonts w:ascii="Times New Roman" w:eastAsia="Calibri" w:hAnsi="Times New Roman"/>
          <w:noProof/>
          <w:spacing w:val="-8"/>
          <w:sz w:val="24"/>
          <w:szCs w:val="24"/>
        </w:rPr>
        <w:t xml:space="preserve">, </w:t>
      </w:r>
      <w:r w:rsidR="00CA12ED" w:rsidRPr="000066D4">
        <w:rPr>
          <w:rFonts w:ascii="Times New Roman" w:eastAsia="Calibri" w:hAnsi="Times New Roman"/>
          <w:noProof/>
          <w:spacing w:val="-8"/>
          <w:sz w:val="24"/>
          <w:szCs w:val="24"/>
        </w:rPr>
        <w:t xml:space="preserve">timing and </w:t>
      </w:r>
      <w:r w:rsidR="00BD4141" w:rsidRPr="000066D4">
        <w:rPr>
          <w:rFonts w:ascii="Times New Roman" w:eastAsia="Calibri" w:hAnsi="Times New Roman"/>
          <w:noProof/>
          <w:spacing w:val="-8"/>
          <w:sz w:val="24"/>
          <w:szCs w:val="24"/>
        </w:rPr>
        <w:t xml:space="preserve">price, thereby increasing the attractiveness of rail. For consumers, the increased availability of tickets and tariffs </w:t>
      </w:r>
      <w:r w:rsidR="00B52446" w:rsidRPr="000066D4">
        <w:rPr>
          <w:rFonts w:ascii="Times New Roman" w:eastAsia="Calibri" w:hAnsi="Times New Roman"/>
          <w:noProof/>
          <w:spacing w:val="-8"/>
          <w:sz w:val="24"/>
          <w:szCs w:val="24"/>
        </w:rPr>
        <w:t>in</w:t>
      </w:r>
      <w:r w:rsidR="00BD4141" w:rsidRPr="000066D4">
        <w:rPr>
          <w:rFonts w:ascii="Times New Roman" w:eastAsia="Calibri" w:hAnsi="Times New Roman"/>
          <w:noProof/>
          <w:spacing w:val="-8"/>
          <w:sz w:val="24"/>
          <w:szCs w:val="24"/>
        </w:rPr>
        <w:t xml:space="preserve"> a single place, or rather, several single places, </w:t>
      </w:r>
      <w:r w:rsidR="009D2FAA" w:rsidRPr="000066D4">
        <w:rPr>
          <w:rFonts w:ascii="Times New Roman" w:eastAsia="Calibri" w:hAnsi="Times New Roman"/>
          <w:noProof/>
          <w:spacing w:val="-8"/>
          <w:sz w:val="24"/>
          <w:szCs w:val="24"/>
        </w:rPr>
        <w:t xml:space="preserve">also </w:t>
      </w:r>
      <w:r w:rsidR="00C82FB2" w:rsidRPr="000066D4">
        <w:rPr>
          <w:rFonts w:ascii="Times New Roman" w:eastAsia="Calibri" w:hAnsi="Times New Roman"/>
          <w:noProof/>
          <w:spacing w:val="-8"/>
          <w:sz w:val="24"/>
          <w:szCs w:val="24"/>
        </w:rPr>
        <w:t xml:space="preserve">implies </w:t>
      </w:r>
      <w:r w:rsidR="00BD4141" w:rsidRPr="000066D4">
        <w:rPr>
          <w:rFonts w:ascii="Times New Roman" w:eastAsia="Calibri" w:hAnsi="Times New Roman"/>
          <w:noProof/>
          <w:spacing w:val="-8"/>
          <w:sz w:val="24"/>
          <w:szCs w:val="24"/>
        </w:rPr>
        <w:t xml:space="preserve">a </w:t>
      </w:r>
      <w:r w:rsidR="009D2FAA" w:rsidRPr="000066D4">
        <w:rPr>
          <w:rFonts w:ascii="Times New Roman" w:eastAsia="Calibri" w:hAnsi="Times New Roman"/>
          <w:noProof/>
          <w:spacing w:val="-8"/>
          <w:sz w:val="24"/>
          <w:szCs w:val="24"/>
        </w:rPr>
        <w:t xml:space="preserve">reduction in transaction costs </w:t>
      </w:r>
      <w:r w:rsidR="00BD4141" w:rsidRPr="000066D4">
        <w:rPr>
          <w:rFonts w:ascii="Times New Roman" w:eastAsia="Calibri" w:hAnsi="Times New Roman"/>
          <w:noProof/>
          <w:spacing w:val="-8"/>
          <w:sz w:val="24"/>
          <w:szCs w:val="24"/>
        </w:rPr>
        <w:t>compared to the current situation, as they will not have to consult multiple websites to find comparable offers or to combine attractive tickets from multiple websites in case of a multi-operator trip.</w:t>
      </w:r>
    </w:p>
    <w:p w14:paraId="783FFCEF" w14:textId="15F82EA9" w:rsidR="008323E0" w:rsidRPr="00D320FA" w:rsidRDefault="751A0FE1" w:rsidP="00817A21">
      <w:pPr>
        <w:pStyle w:val="Text4"/>
        <w:spacing w:before="0" w:after="240"/>
        <w:ind w:left="0"/>
        <w:rPr>
          <w:rFonts w:ascii="Times New Roman" w:eastAsia="Calibri" w:hAnsi="Times New Roman"/>
          <w:noProof/>
          <w:spacing w:val="-8"/>
          <w:sz w:val="24"/>
          <w:szCs w:val="24"/>
        </w:rPr>
      </w:pPr>
      <w:r w:rsidRPr="000066D4">
        <w:rPr>
          <w:rFonts w:ascii="Times New Roman" w:eastAsia="Calibri" w:hAnsi="Times New Roman"/>
          <w:noProof/>
          <w:spacing w:val="-8"/>
          <w:sz w:val="24"/>
          <w:szCs w:val="24"/>
        </w:rPr>
        <w:t xml:space="preserve">Secondly, </w:t>
      </w:r>
      <w:r w:rsidR="00343373">
        <w:rPr>
          <w:rFonts w:ascii="Times New Roman" w:eastAsia="Calibri" w:hAnsi="Times New Roman"/>
          <w:noProof/>
          <w:spacing w:val="-8"/>
          <w:sz w:val="24"/>
          <w:szCs w:val="24"/>
        </w:rPr>
        <w:t>PO</w:t>
      </w:r>
      <w:r w:rsidR="00420C53">
        <w:rPr>
          <w:rFonts w:ascii="Times New Roman" w:eastAsia="Calibri" w:hAnsi="Times New Roman"/>
          <w:noProof/>
          <w:spacing w:val="-8"/>
          <w:sz w:val="24"/>
          <w:szCs w:val="24"/>
        </w:rPr>
        <w:t>3</w:t>
      </w:r>
      <w:r w:rsidR="00BD4141" w:rsidRPr="000066D4">
        <w:rPr>
          <w:rFonts w:ascii="Times New Roman" w:eastAsia="Calibri" w:hAnsi="Times New Roman"/>
          <w:noProof/>
          <w:spacing w:val="-8"/>
          <w:sz w:val="24"/>
          <w:szCs w:val="24"/>
        </w:rPr>
        <w:t xml:space="preserve"> provide competing </w:t>
      </w:r>
      <w:r w:rsidR="000351E6">
        <w:rPr>
          <w:rFonts w:ascii="Times New Roman" w:eastAsia="Calibri" w:hAnsi="Times New Roman"/>
          <w:noProof/>
          <w:spacing w:val="-8"/>
          <w:sz w:val="24"/>
          <w:szCs w:val="24"/>
        </w:rPr>
        <w:t>RU</w:t>
      </w:r>
      <w:r w:rsidR="00BD4141" w:rsidRPr="000066D4">
        <w:rPr>
          <w:rFonts w:ascii="Times New Roman" w:eastAsia="Calibri" w:hAnsi="Times New Roman"/>
          <w:noProof/>
          <w:spacing w:val="-8"/>
          <w:sz w:val="24"/>
          <w:szCs w:val="24"/>
        </w:rPr>
        <w:t xml:space="preserve"> the opportunity to access dominant ticket distribution channels owned by incumbent railway undertakings, increasing their visibility to consumers</w:t>
      </w:r>
      <w:r w:rsidR="00F34066" w:rsidRPr="000066D4">
        <w:rPr>
          <w:rFonts w:ascii="Times New Roman" w:eastAsia="Calibri" w:hAnsi="Times New Roman"/>
          <w:noProof/>
          <w:spacing w:val="-8"/>
          <w:sz w:val="24"/>
          <w:szCs w:val="24"/>
        </w:rPr>
        <w:t>. T</w:t>
      </w:r>
      <w:r w:rsidR="00924FFC" w:rsidRPr="000066D4">
        <w:rPr>
          <w:rFonts w:ascii="Times New Roman" w:eastAsia="Calibri" w:hAnsi="Times New Roman"/>
          <w:noProof/>
          <w:spacing w:val="-8"/>
          <w:sz w:val="24"/>
          <w:szCs w:val="24"/>
        </w:rPr>
        <w:t xml:space="preserve">his will not only have the effect of </w:t>
      </w:r>
      <w:r w:rsidR="00A10D08" w:rsidRPr="000066D4">
        <w:rPr>
          <w:rFonts w:ascii="Times New Roman" w:eastAsia="Calibri" w:hAnsi="Times New Roman"/>
          <w:noProof/>
          <w:spacing w:val="-8"/>
          <w:sz w:val="24"/>
          <w:szCs w:val="24"/>
        </w:rPr>
        <w:t xml:space="preserve">providing </w:t>
      </w:r>
      <w:r w:rsidR="00E3451C" w:rsidRPr="000066D4">
        <w:rPr>
          <w:rFonts w:ascii="Times New Roman" w:eastAsia="Calibri" w:hAnsi="Times New Roman"/>
          <w:noProof/>
          <w:spacing w:val="-8"/>
          <w:sz w:val="24"/>
          <w:szCs w:val="24"/>
        </w:rPr>
        <w:t xml:space="preserve">to </w:t>
      </w:r>
      <w:r w:rsidR="00C11122" w:rsidRPr="000066D4">
        <w:rPr>
          <w:rFonts w:ascii="Times New Roman" w:eastAsia="Calibri" w:hAnsi="Times New Roman"/>
          <w:noProof/>
          <w:spacing w:val="-8"/>
          <w:sz w:val="24"/>
          <w:szCs w:val="24"/>
        </w:rPr>
        <w:t>new</w:t>
      </w:r>
      <w:r w:rsidR="000E495A" w:rsidRPr="000066D4">
        <w:rPr>
          <w:rFonts w:ascii="Times New Roman" w:eastAsia="Calibri" w:hAnsi="Times New Roman"/>
          <w:noProof/>
          <w:spacing w:val="-8"/>
          <w:sz w:val="24"/>
          <w:szCs w:val="24"/>
        </w:rPr>
        <w:t>-entrant</w:t>
      </w:r>
      <w:r w:rsidR="00C11122" w:rsidRPr="000066D4">
        <w:rPr>
          <w:rFonts w:ascii="Times New Roman" w:eastAsia="Calibri" w:hAnsi="Times New Roman"/>
          <w:noProof/>
          <w:spacing w:val="-8"/>
          <w:sz w:val="24"/>
          <w:szCs w:val="24"/>
        </w:rPr>
        <w:t xml:space="preserve"> </w:t>
      </w:r>
      <w:r w:rsidR="000E495A" w:rsidRPr="000066D4">
        <w:rPr>
          <w:rFonts w:ascii="Times New Roman" w:eastAsia="Calibri" w:hAnsi="Times New Roman"/>
          <w:noProof/>
          <w:spacing w:val="-8"/>
          <w:sz w:val="24"/>
          <w:szCs w:val="24"/>
        </w:rPr>
        <w:t xml:space="preserve">railway undertakings </w:t>
      </w:r>
      <w:r w:rsidR="00A10D08" w:rsidRPr="000066D4">
        <w:rPr>
          <w:rFonts w:ascii="Times New Roman" w:eastAsia="Calibri" w:hAnsi="Times New Roman"/>
          <w:noProof/>
          <w:spacing w:val="-8"/>
          <w:sz w:val="24"/>
          <w:szCs w:val="24"/>
        </w:rPr>
        <w:t xml:space="preserve">access to a </w:t>
      </w:r>
      <w:r w:rsidR="00C33292" w:rsidRPr="000066D4">
        <w:rPr>
          <w:rFonts w:ascii="Times New Roman" w:eastAsia="Calibri" w:hAnsi="Times New Roman"/>
          <w:noProof/>
          <w:spacing w:val="-8"/>
          <w:sz w:val="24"/>
          <w:szCs w:val="24"/>
        </w:rPr>
        <w:t xml:space="preserve">much </w:t>
      </w:r>
      <w:r w:rsidR="00A10D08" w:rsidRPr="000066D4">
        <w:rPr>
          <w:rFonts w:ascii="Times New Roman" w:eastAsia="Calibri" w:hAnsi="Times New Roman"/>
          <w:noProof/>
          <w:spacing w:val="-8"/>
          <w:sz w:val="24"/>
          <w:szCs w:val="24"/>
        </w:rPr>
        <w:t>larger customer</w:t>
      </w:r>
      <w:r w:rsidR="00C33292" w:rsidRPr="000066D4">
        <w:rPr>
          <w:rFonts w:ascii="Times New Roman" w:eastAsia="Calibri" w:hAnsi="Times New Roman"/>
          <w:noProof/>
          <w:spacing w:val="-8"/>
          <w:sz w:val="24"/>
          <w:szCs w:val="24"/>
        </w:rPr>
        <w:t xml:space="preserve"> base</w:t>
      </w:r>
      <w:r w:rsidR="00CE6053" w:rsidRPr="000066D4">
        <w:rPr>
          <w:rFonts w:ascii="Times New Roman" w:eastAsia="Calibri" w:hAnsi="Times New Roman"/>
          <w:noProof/>
          <w:spacing w:val="-8"/>
          <w:sz w:val="24"/>
          <w:szCs w:val="24"/>
        </w:rPr>
        <w:t>, potentially reducing the</w:t>
      </w:r>
      <w:r w:rsidR="00F54976" w:rsidRPr="000066D4">
        <w:rPr>
          <w:rFonts w:ascii="Times New Roman" w:eastAsia="Calibri" w:hAnsi="Times New Roman"/>
          <w:noProof/>
          <w:spacing w:val="-8"/>
          <w:sz w:val="24"/>
          <w:szCs w:val="24"/>
        </w:rPr>
        <w:t>ir</w:t>
      </w:r>
      <w:r w:rsidR="00CE6053" w:rsidRPr="000066D4">
        <w:rPr>
          <w:rFonts w:ascii="Times New Roman" w:eastAsia="Calibri" w:hAnsi="Times New Roman"/>
          <w:noProof/>
          <w:spacing w:val="-8"/>
          <w:sz w:val="24"/>
          <w:szCs w:val="24"/>
        </w:rPr>
        <w:t xml:space="preserve"> need for advertising</w:t>
      </w:r>
      <w:r w:rsidR="00E84E82" w:rsidRPr="000066D4">
        <w:rPr>
          <w:rFonts w:ascii="Times New Roman" w:eastAsia="Calibri" w:hAnsi="Times New Roman"/>
          <w:noProof/>
          <w:spacing w:val="-8"/>
          <w:sz w:val="24"/>
          <w:szCs w:val="24"/>
        </w:rPr>
        <w:t xml:space="preserve"> expenditure</w:t>
      </w:r>
      <w:r w:rsidR="00CE6053" w:rsidRPr="000066D4">
        <w:rPr>
          <w:rFonts w:ascii="Times New Roman" w:eastAsia="Calibri" w:hAnsi="Times New Roman"/>
          <w:noProof/>
          <w:spacing w:val="-8"/>
          <w:sz w:val="24"/>
          <w:szCs w:val="24"/>
        </w:rPr>
        <w:t xml:space="preserve">, </w:t>
      </w:r>
      <w:r w:rsidR="00E84E82" w:rsidRPr="000066D4">
        <w:rPr>
          <w:rFonts w:ascii="Times New Roman" w:eastAsia="Calibri" w:hAnsi="Times New Roman"/>
          <w:noProof/>
          <w:spacing w:val="-8"/>
          <w:sz w:val="24"/>
          <w:szCs w:val="24"/>
        </w:rPr>
        <w:t>but wil</w:t>
      </w:r>
      <w:r w:rsidR="00814EBF" w:rsidRPr="000066D4">
        <w:rPr>
          <w:rFonts w:ascii="Times New Roman" w:eastAsia="Calibri" w:hAnsi="Times New Roman"/>
          <w:noProof/>
          <w:spacing w:val="-8"/>
          <w:sz w:val="24"/>
          <w:szCs w:val="24"/>
        </w:rPr>
        <w:t xml:space="preserve">l </w:t>
      </w:r>
      <w:r w:rsidR="00F54976" w:rsidRPr="000066D4">
        <w:rPr>
          <w:rFonts w:ascii="Times New Roman" w:eastAsia="Calibri" w:hAnsi="Times New Roman"/>
          <w:noProof/>
          <w:spacing w:val="-8"/>
          <w:sz w:val="24"/>
          <w:szCs w:val="24"/>
        </w:rPr>
        <w:t>also allow direct comparison of offers and prices</w:t>
      </w:r>
      <w:r w:rsidR="00BD4141" w:rsidRPr="000066D4">
        <w:rPr>
          <w:rFonts w:ascii="Times New Roman" w:eastAsia="Calibri" w:hAnsi="Times New Roman"/>
          <w:noProof/>
          <w:spacing w:val="-8"/>
          <w:sz w:val="24"/>
          <w:szCs w:val="24"/>
        </w:rPr>
        <w:t xml:space="preserve">, thereby increasing </w:t>
      </w:r>
      <w:r w:rsidR="0077043E" w:rsidRPr="000066D4">
        <w:rPr>
          <w:rFonts w:ascii="Times New Roman" w:eastAsia="Calibri" w:hAnsi="Times New Roman"/>
          <w:noProof/>
          <w:spacing w:val="-8"/>
          <w:sz w:val="24"/>
          <w:szCs w:val="24"/>
        </w:rPr>
        <w:t xml:space="preserve">significantly </w:t>
      </w:r>
      <w:r w:rsidR="00BD4141" w:rsidRPr="000066D4">
        <w:rPr>
          <w:rFonts w:ascii="Times New Roman" w:eastAsia="Calibri" w:hAnsi="Times New Roman"/>
          <w:noProof/>
          <w:spacing w:val="-8"/>
          <w:sz w:val="24"/>
          <w:szCs w:val="24"/>
        </w:rPr>
        <w:t xml:space="preserve">competition in the passenger railway services market. In addition, access to investors’ money for new-entrant railway undertakings will improve, as they can now present an increased likelihood of steady revenues, having access to dominant sales channels.  </w:t>
      </w:r>
      <w:r w:rsidR="00E03222" w:rsidRPr="000066D4">
        <w:rPr>
          <w:rFonts w:ascii="Times New Roman" w:eastAsia="Calibri" w:hAnsi="Times New Roman"/>
          <w:noProof/>
          <w:spacing w:val="-8"/>
          <w:sz w:val="24"/>
          <w:szCs w:val="24"/>
        </w:rPr>
        <w:t>I</w:t>
      </w:r>
      <w:r w:rsidR="00BD4141" w:rsidRPr="000066D4">
        <w:rPr>
          <w:rFonts w:ascii="Times New Roman" w:eastAsia="Calibri" w:hAnsi="Times New Roman"/>
          <w:noProof/>
          <w:spacing w:val="-8"/>
          <w:sz w:val="24"/>
          <w:szCs w:val="24"/>
        </w:rPr>
        <w:t xml:space="preserve">ncreased competition (and even anticipated competition) </w:t>
      </w:r>
      <w:r w:rsidR="00E254AA" w:rsidRPr="000066D4">
        <w:rPr>
          <w:rFonts w:ascii="Times New Roman" w:eastAsia="Calibri" w:hAnsi="Times New Roman"/>
          <w:noProof/>
          <w:spacing w:val="-8"/>
          <w:sz w:val="24"/>
          <w:szCs w:val="24"/>
        </w:rPr>
        <w:t xml:space="preserve">is expected to </w:t>
      </w:r>
      <w:r w:rsidR="00BD4141" w:rsidRPr="000066D4">
        <w:rPr>
          <w:rFonts w:ascii="Times New Roman" w:eastAsia="Calibri" w:hAnsi="Times New Roman"/>
          <w:noProof/>
          <w:spacing w:val="-8"/>
          <w:sz w:val="24"/>
          <w:szCs w:val="24"/>
        </w:rPr>
        <w:t xml:space="preserve">lead to lower ticket prices, increased </w:t>
      </w:r>
      <w:r w:rsidR="00E254AA" w:rsidRPr="000066D4">
        <w:rPr>
          <w:rFonts w:ascii="Times New Roman" w:eastAsia="Calibri" w:hAnsi="Times New Roman"/>
          <w:noProof/>
          <w:spacing w:val="-8"/>
          <w:sz w:val="24"/>
          <w:szCs w:val="24"/>
        </w:rPr>
        <w:t xml:space="preserve">service </w:t>
      </w:r>
      <w:r w:rsidR="00BD4141" w:rsidRPr="000066D4">
        <w:rPr>
          <w:rFonts w:ascii="Times New Roman" w:eastAsia="Calibri" w:hAnsi="Times New Roman"/>
          <w:noProof/>
          <w:spacing w:val="-8"/>
          <w:sz w:val="24"/>
          <w:szCs w:val="24"/>
        </w:rPr>
        <w:t>frequencies and increased innovation</w:t>
      </w:r>
      <w:r w:rsidR="00D020FA" w:rsidRPr="000066D4">
        <w:rPr>
          <w:rFonts w:ascii="Times New Roman" w:eastAsia="Calibri" w:hAnsi="Times New Roman"/>
          <w:noProof/>
          <w:spacing w:val="-8"/>
          <w:sz w:val="24"/>
          <w:szCs w:val="24"/>
        </w:rPr>
        <w:t>,</w:t>
      </w:r>
      <w:r w:rsidR="00BD4141" w:rsidRPr="000066D4">
        <w:rPr>
          <w:rFonts w:ascii="Times New Roman" w:eastAsia="Calibri" w:hAnsi="Times New Roman"/>
          <w:noProof/>
          <w:spacing w:val="-8"/>
          <w:sz w:val="24"/>
          <w:szCs w:val="24"/>
        </w:rPr>
        <w:t xml:space="preserve"> all benefit</w:t>
      </w:r>
      <w:r w:rsidR="00D020FA" w:rsidRPr="000066D4">
        <w:rPr>
          <w:rFonts w:ascii="Times New Roman" w:eastAsia="Calibri" w:hAnsi="Times New Roman"/>
          <w:noProof/>
          <w:spacing w:val="-8"/>
          <w:sz w:val="24"/>
          <w:szCs w:val="24"/>
        </w:rPr>
        <w:t>ting</w:t>
      </w:r>
      <w:r w:rsidR="00BD4141" w:rsidRPr="000066D4">
        <w:rPr>
          <w:rFonts w:ascii="Times New Roman" w:eastAsia="Calibri" w:hAnsi="Times New Roman"/>
          <w:noProof/>
          <w:spacing w:val="-8"/>
          <w:sz w:val="24"/>
          <w:szCs w:val="24"/>
        </w:rPr>
        <w:t xml:space="preserve"> </w:t>
      </w:r>
      <w:r w:rsidR="00D020FA" w:rsidRPr="000066D4">
        <w:rPr>
          <w:rFonts w:ascii="Times New Roman" w:eastAsia="Calibri" w:hAnsi="Times New Roman"/>
          <w:noProof/>
          <w:spacing w:val="-8"/>
          <w:sz w:val="24"/>
          <w:szCs w:val="24"/>
        </w:rPr>
        <w:t xml:space="preserve">the </w:t>
      </w:r>
      <w:r w:rsidR="00BD4141" w:rsidRPr="000066D4">
        <w:rPr>
          <w:rFonts w:ascii="Times New Roman" w:eastAsia="Calibri" w:hAnsi="Times New Roman"/>
          <w:noProof/>
          <w:spacing w:val="-8"/>
          <w:sz w:val="24"/>
          <w:szCs w:val="24"/>
        </w:rPr>
        <w:t>consumer. This in turn significantly improves the competitive position of rail travel vis-à-vis other modes of transport, as shown by shifts in modal shares on high-speed connections where competition was introduced</w:t>
      </w:r>
      <w:r w:rsidR="00790F24">
        <w:rPr>
          <w:rFonts w:ascii="Times New Roman" w:eastAsia="Calibri" w:hAnsi="Times New Roman"/>
          <w:noProof/>
          <w:spacing w:val="-8"/>
          <w:sz w:val="24"/>
          <w:szCs w:val="24"/>
        </w:rPr>
        <w:t>.</w:t>
      </w:r>
      <w:r w:rsidR="00BD4141" w:rsidRPr="000066D4" w:rsidDel="004C17C7">
        <w:rPr>
          <w:rFonts w:ascii="Times New Roman" w:eastAsia="Calibri" w:hAnsi="Times New Roman"/>
          <w:noProof/>
          <w:spacing w:val="-8"/>
          <w:sz w:val="24"/>
          <w:szCs w:val="24"/>
        </w:rPr>
        <w:t xml:space="preserve"> </w:t>
      </w:r>
      <w:r w:rsidR="00BD4141" w:rsidRPr="000066D4">
        <w:rPr>
          <w:rFonts w:ascii="Times New Roman" w:eastAsia="Calibri" w:hAnsi="Times New Roman"/>
          <w:noProof/>
          <w:spacing w:val="-8"/>
          <w:sz w:val="24"/>
          <w:szCs w:val="24"/>
        </w:rPr>
        <w:t>Furthermore, increased competitive pressure is expected to lead to efficiency gains in the organisation and activities of incumbent operators that enjoyed decades of monopoly in the rail sector.</w:t>
      </w:r>
    </w:p>
    <w:p w14:paraId="39C013F9" w14:textId="77777777" w:rsidR="00AB45C9" w:rsidRDefault="00AB45C9" w:rsidP="00817A21">
      <w:pPr>
        <w:pStyle w:val="Text4"/>
        <w:spacing w:before="0" w:after="240"/>
        <w:ind w:left="0"/>
        <w:rPr>
          <w:rFonts w:ascii="Times New Roman" w:eastAsia="Calibri" w:hAnsi="Times New Roman"/>
          <w:noProof/>
          <w:spacing w:val="-8"/>
          <w:sz w:val="24"/>
          <w:szCs w:val="24"/>
        </w:rPr>
        <w:sectPr w:rsidR="00AB45C9" w:rsidSect="00B669AA">
          <w:headerReference w:type="default" r:id="rId62"/>
          <w:footerReference w:type="default" r:id="rId63"/>
          <w:pgSz w:w="11910" w:h="16840"/>
          <w:pgMar w:top="1021" w:right="709" w:bottom="1021" w:left="1588" w:header="0" w:footer="1147" w:gutter="0"/>
          <w:cols w:space="720"/>
        </w:sectPr>
      </w:pPr>
    </w:p>
    <w:p w14:paraId="67420954" w14:textId="441D40B3" w:rsidR="00EE7B32" w:rsidRPr="00D71008" w:rsidRDefault="00EE7B32" w:rsidP="00786058">
      <w:pPr>
        <w:pStyle w:val="Heading1"/>
        <w:spacing w:before="0" w:after="240"/>
        <w:ind w:left="3640"/>
        <w:rPr>
          <w:smallCaps/>
          <w:noProof/>
        </w:rPr>
      </w:pPr>
      <w:bookmarkStart w:id="2104" w:name="_Toc223981688"/>
      <w:r w:rsidRPr="00D71008">
        <w:rPr>
          <w:smallCaps/>
          <w:noProof/>
        </w:rPr>
        <w:t>Annex</w:t>
      </w:r>
      <w:r w:rsidRPr="00D71008">
        <w:rPr>
          <w:smallCaps/>
          <w:noProof/>
          <w:spacing w:val="-8"/>
        </w:rPr>
        <w:t xml:space="preserve"> </w:t>
      </w:r>
      <w:r w:rsidRPr="00D71008">
        <w:rPr>
          <w:smallCaps/>
          <w:noProof/>
        </w:rPr>
        <w:t>6:</w:t>
      </w:r>
      <w:r w:rsidRPr="00D71008">
        <w:rPr>
          <w:smallCaps/>
          <w:noProof/>
          <w:spacing w:val="-15"/>
        </w:rPr>
        <w:t xml:space="preserve"> </w:t>
      </w:r>
      <w:r w:rsidRPr="00D71008">
        <w:rPr>
          <w:smallCaps/>
          <w:noProof/>
        </w:rPr>
        <w:t>SME Check</w:t>
      </w:r>
      <w:bookmarkEnd w:id="2104"/>
    </w:p>
    <w:p w14:paraId="01708697" w14:textId="77777777" w:rsidR="005A271C" w:rsidRPr="005A271C" w:rsidRDefault="005A271C" w:rsidP="005A271C">
      <w:pPr>
        <w:rPr>
          <w:b/>
          <w:bCs/>
          <w:noProof/>
        </w:rPr>
      </w:pPr>
      <w:r w:rsidRPr="005A271C">
        <w:rPr>
          <w:b/>
          <w:bCs/>
          <w:noProof/>
        </w:rPr>
        <w:t>Overview of impacts on SMEs</w:t>
      </w:r>
    </w:p>
    <w:tbl>
      <w:tblPr>
        <w:tblW w:w="5000" w:type="pct"/>
        <w:tblLook w:val="04A0" w:firstRow="1" w:lastRow="0" w:firstColumn="1" w:lastColumn="0" w:noHBand="0" w:noVBand="1"/>
      </w:tblPr>
      <w:tblGrid>
        <w:gridCol w:w="9603"/>
      </w:tblGrid>
      <w:tr w:rsidR="005A271C" w:rsidRPr="005A271C" w14:paraId="65D06FFA" w14:textId="77777777" w:rsidTr="00667E6F">
        <w:tc>
          <w:tcPr>
            <w:tcW w:w="5000" w:type="pct"/>
            <w:tcBorders>
              <w:top w:val="single" w:sz="4" w:space="0" w:color="auto"/>
              <w:left w:val="single" w:sz="4" w:space="0" w:color="auto"/>
              <w:bottom w:val="single" w:sz="4" w:space="0" w:color="auto"/>
              <w:right w:val="single" w:sz="4" w:space="0" w:color="auto"/>
            </w:tcBorders>
            <w:hideMark/>
          </w:tcPr>
          <w:p w14:paraId="54E81091" w14:textId="77777777" w:rsidR="005A271C" w:rsidRPr="004E336D" w:rsidRDefault="005A271C" w:rsidP="005A271C">
            <w:pPr>
              <w:rPr>
                <w:b/>
                <w:noProof/>
              </w:rPr>
            </w:pPr>
            <w:r w:rsidRPr="004E336D">
              <w:rPr>
                <w:b/>
                <w:noProof/>
              </w:rPr>
              <w:t xml:space="preserve">Relevance for SMEs </w:t>
            </w:r>
          </w:p>
        </w:tc>
      </w:tr>
      <w:tr w:rsidR="005A271C" w:rsidRPr="005A271C" w14:paraId="1CF20200" w14:textId="77777777" w:rsidTr="00667E6F">
        <w:tc>
          <w:tcPr>
            <w:tcW w:w="5000" w:type="pct"/>
            <w:tcBorders>
              <w:top w:val="single" w:sz="4" w:space="0" w:color="auto"/>
              <w:left w:val="single" w:sz="4" w:space="0" w:color="auto"/>
              <w:bottom w:val="single" w:sz="4" w:space="0" w:color="auto"/>
              <w:right w:val="single" w:sz="4" w:space="0" w:color="auto"/>
            </w:tcBorders>
            <w:hideMark/>
          </w:tcPr>
          <w:p w14:paraId="0864C54E" w14:textId="6F99DCD0" w:rsidR="005A271C" w:rsidRPr="00D21C30" w:rsidRDefault="00F73A8E" w:rsidP="009707D0">
            <w:pPr>
              <w:spacing w:after="240"/>
              <w:rPr>
                <w:i/>
                <w:noProof/>
                <w:spacing w:val="-8"/>
              </w:rPr>
            </w:pPr>
            <w:r w:rsidRPr="00D21C30">
              <w:rPr>
                <w:noProof/>
                <w:spacing w:val="-8"/>
              </w:rPr>
              <w:t>The initiative</w:t>
            </w:r>
            <w:r w:rsidR="00C67D22" w:rsidRPr="00D21C30">
              <w:rPr>
                <w:noProof/>
                <w:spacing w:val="-8"/>
              </w:rPr>
              <w:t>s</w:t>
            </w:r>
            <w:r w:rsidRPr="00D21C30">
              <w:rPr>
                <w:noProof/>
                <w:spacing w:val="-8"/>
              </w:rPr>
              <w:t xml:space="preserve"> </w:t>
            </w:r>
            <w:r w:rsidR="00530E06" w:rsidRPr="00D21C30">
              <w:rPr>
                <w:noProof/>
                <w:spacing w:val="-8"/>
              </w:rPr>
              <w:t xml:space="preserve">subject to this impact assessment </w:t>
            </w:r>
            <w:r w:rsidR="00C67D22" w:rsidRPr="00D21C30">
              <w:rPr>
                <w:noProof/>
                <w:spacing w:val="-8"/>
              </w:rPr>
              <w:t>are</w:t>
            </w:r>
            <w:r w:rsidRPr="00D21C30">
              <w:rPr>
                <w:noProof/>
                <w:spacing w:val="-8"/>
              </w:rPr>
              <w:t xml:space="preserve"> considered relevant for SMEs, although the SMEs are only indirectly affected.</w:t>
            </w:r>
            <w:r w:rsidR="00847F21" w:rsidRPr="00D21C30">
              <w:rPr>
                <w:noProof/>
                <w:spacing w:val="-8"/>
              </w:rPr>
              <w:t xml:space="preserve"> The initiatives have </w:t>
            </w:r>
            <w:r w:rsidR="00847F21" w:rsidRPr="00D21C30">
              <w:rPr>
                <w:noProof/>
                <w:spacing w:val="-8"/>
                <w:u w:val="single"/>
              </w:rPr>
              <w:t>not</w:t>
            </w:r>
            <w:r w:rsidR="00847F21" w:rsidRPr="00D21C30">
              <w:rPr>
                <w:noProof/>
                <w:spacing w:val="-8"/>
              </w:rPr>
              <w:t xml:space="preserve"> been </w:t>
            </w:r>
            <w:r w:rsidR="00C67D22" w:rsidRPr="00D21C30">
              <w:rPr>
                <w:noProof/>
                <w:spacing w:val="-8"/>
              </w:rPr>
              <w:t>selected</w:t>
            </w:r>
            <w:r w:rsidR="00847F21" w:rsidRPr="00D21C30">
              <w:rPr>
                <w:noProof/>
                <w:spacing w:val="-8"/>
              </w:rPr>
              <w:t xml:space="preserve"> in the SME filter</w:t>
            </w:r>
            <w:r w:rsidR="005A271C" w:rsidRPr="00D21C30">
              <w:rPr>
                <w:i/>
                <w:noProof/>
                <w:spacing w:val="-8"/>
                <w:vertAlign w:val="superscript"/>
              </w:rPr>
              <w:footnoteReference w:id="359"/>
            </w:r>
            <w:r w:rsidR="007A218F" w:rsidRPr="00D21C30">
              <w:rPr>
                <w:i/>
                <w:noProof/>
                <w:spacing w:val="-8"/>
              </w:rPr>
              <w:t>.</w:t>
            </w:r>
            <w:r w:rsidR="005A271C" w:rsidRPr="00D21C30">
              <w:rPr>
                <w:i/>
                <w:noProof/>
                <w:spacing w:val="-8"/>
              </w:rPr>
              <w:t xml:space="preserve"> </w:t>
            </w:r>
          </w:p>
        </w:tc>
      </w:tr>
    </w:tbl>
    <w:p w14:paraId="0B438A7A" w14:textId="77777777" w:rsidR="005A271C" w:rsidRPr="005A271C" w:rsidRDefault="005A271C" w:rsidP="005A271C">
      <w:pPr>
        <w:rPr>
          <w:b/>
          <w:bCs/>
          <w:noProof/>
        </w:rPr>
      </w:pPr>
    </w:p>
    <w:tbl>
      <w:tblPr>
        <w:tblW w:w="5000" w:type="pct"/>
        <w:tblLook w:val="04A0" w:firstRow="1" w:lastRow="0" w:firstColumn="1" w:lastColumn="0" w:noHBand="0" w:noVBand="1"/>
      </w:tblPr>
      <w:tblGrid>
        <w:gridCol w:w="9603"/>
      </w:tblGrid>
      <w:tr w:rsidR="005A271C" w:rsidRPr="005A271C" w14:paraId="3A10A75A" w14:textId="77777777" w:rsidTr="71A30B06">
        <w:tc>
          <w:tcPr>
            <w:tcW w:w="5000" w:type="pct"/>
            <w:tcBorders>
              <w:top w:val="single" w:sz="4" w:space="0" w:color="auto"/>
              <w:left w:val="single" w:sz="4" w:space="0" w:color="auto"/>
              <w:bottom w:val="single" w:sz="4" w:space="0" w:color="auto"/>
              <w:right w:val="single" w:sz="4" w:space="0" w:color="auto"/>
            </w:tcBorders>
            <w:hideMark/>
          </w:tcPr>
          <w:p w14:paraId="392420F2" w14:textId="77777777" w:rsidR="005A271C" w:rsidRPr="004E336D" w:rsidRDefault="005A271C" w:rsidP="00D04987">
            <w:pPr>
              <w:tabs>
                <w:tab w:val="left" w:pos="255"/>
                <w:tab w:val="left" w:pos="447"/>
              </w:tabs>
              <w:rPr>
                <w:b/>
                <w:noProof/>
              </w:rPr>
            </w:pPr>
            <w:r w:rsidRPr="004E336D">
              <w:rPr>
                <w:b/>
                <w:noProof/>
              </w:rPr>
              <w:t>(1)</w:t>
            </w:r>
            <w:r w:rsidRPr="004E336D">
              <w:rPr>
                <w:noProof/>
              </w:rPr>
              <w:tab/>
            </w:r>
            <w:r w:rsidRPr="004E336D">
              <w:rPr>
                <w:b/>
                <w:noProof/>
              </w:rPr>
              <w:t>Identification of affected businesses and assessment of relevance</w:t>
            </w:r>
          </w:p>
        </w:tc>
      </w:tr>
      <w:tr w:rsidR="005A271C" w:rsidRPr="005A271C" w14:paraId="54D2591A" w14:textId="77777777" w:rsidTr="71A30B06">
        <w:tc>
          <w:tcPr>
            <w:tcW w:w="5000" w:type="pct"/>
            <w:tcBorders>
              <w:top w:val="single" w:sz="4" w:space="0" w:color="auto"/>
              <w:left w:val="single" w:sz="4" w:space="0" w:color="auto"/>
              <w:bottom w:val="single" w:sz="4" w:space="0" w:color="auto"/>
              <w:right w:val="single" w:sz="4" w:space="0" w:color="auto"/>
            </w:tcBorders>
            <w:hideMark/>
          </w:tcPr>
          <w:p w14:paraId="2BF0ED75" w14:textId="2533A435" w:rsidR="005A271C" w:rsidRPr="004E336D" w:rsidRDefault="005A271C" w:rsidP="005A271C">
            <w:pPr>
              <w:rPr>
                <w:b/>
                <w:noProof/>
              </w:rPr>
            </w:pPr>
            <w:r w:rsidRPr="004E336D">
              <w:rPr>
                <w:b/>
                <w:noProof/>
              </w:rPr>
              <w:t>Are SMEs directly affected?</w:t>
            </w:r>
            <w:r w:rsidRPr="004E336D">
              <w:rPr>
                <w:noProof/>
              </w:rPr>
              <w:t xml:space="preserve"> </w:t>
            </w:r>
            <w:r w:rsidRPr="004E336D">
              <w:rPr>
                <w:b/>
                <w:noProof/>
              </w:rPr>
              <w:t>In which sectors?</w:t>
            </w:r>
            <w:r w:rsidR="00F5436A" w:rsidRPr="004E336D">
              <w:rPr>
                <w:b/>
                <w:noProof/>
              </w:rPr>
              <w:t xml:space="preserve"> </w:t>
            </w:r>
          </w:p>
        </w:tc>
      </w:tr>
      <w:tr w:rsidR="005A271C" w:rsidRPr="005A271C" w14:paraId="371C54EF" w14:textId="77777777" w:rsidTr="71A30B06">
        <w:tc>
          <w:tcPr>
            <w:tcW w:w="5000" w:type="pct"/>
            <w:tcBorders>
              <w:top w:val="single" w:sz="4" w:space="0" w:color="auto"/>
              <w:left w:val="single" w:sz="4" w:space="0" w:color="auto"/>
              <w:bottom w:val="single" w:sz="4" w:space="0" w:color="auto"/>
              <w:right w:val="single" w:sz="4" w:space="0" w:color="auto"/>
            </w:tcBorders>
            <w:hideMark/>
          </w:tcPr>
          <w:p w14:paraId="7BB3E13C" w14:textId="0516F4F1" w:rsidR="005A271C" w:rsidRPr="00D21C30" w:rsidRDefault="0031433E" w:rsidP="009707D0">
            <w:pPr>
              <w:spacing w:after="240"/>
              <w:jc w:val="both"/>
              <w:rPr>
                <w:noProof/>
              </w:rPr>
            </w:pPr>
            <w:r w:rsidRPr="00D21C30">
              <w:rPr>
                <w:noProof/>
                <w:spacing w:val="-8"/>
              </w:rPr>
              <w:t xml:space="preserve">No. </w:t>
            </w:r>
            <w:r w:rsidR="00F5436A" w:rsidRPr="00D21C30">
              <w:rPr>
                <w:noProof/>
                <w:spacing w:val="-8"/>
              </w:rPr>
              <w:t xml:space="preserve">SMEs are out of scope of </w:t>
            </w:r>
            <w:r w:rsidR="00296B4C" w:rsidRPr="00D21C30">
              <w:rPr>
                <w:noProof/>
                <w:spacing w:val="-8"/>
              </w:rPr>
              <w:t xml:space="preserve">the </w:t>
            </w:r>
            <w:r w:rsidR="00F5436A" w:rsidRPr="00D21C30">
              <w:rPr>
                <w:noProof/>
                <w:spacing w:val="-8"/>
              </w:rPr>
              <w:t>initiative</w:t>
            </w:r>
            <w:r w:rsidR="00296B4C" w:rsidRPr="00D21C30">
              <w:rPr>
                <w:noProof/>
                <w:spacing w:val="-8"/>
              </w:rPr>
              <w:t>s</w:t>
            </w:r>
            <w:r w:rsidR="00F5436A" w:rsidRPr="00D21C30">
              <w:rPr>
                <w:noProof/>
                <w:spacing w:val="-8"/>
              </w:rPr>
              <w:t xml:space="preserve">, hence no requirement outlined in </w:t>
            </w:r>
            <w:r w:rsidR="00494DFC" w:rsidRPr="00D21C30">
              <w:rPr>
                <w:noProof/>
                <w:spacing w:val="-8"/>
              </w:rPr>
              <w:t>the preferred policy option</w:t>
            </w:r>
            <w:r w:rsidR="00F5436A" w:rsidRPr="00D21C30">
              <w:rPr>
                <w:noProof/>
                <w:spacing w:val="-8"/>
              </w:rPr>
              <w:t xml:space="preserve"> </w:t>
            </w:r>
            <w:r w:rsidR="001553B2" w:rsidRPr="00D21C30">
              <w:rPr>
                <w:noProof/>
                <w:spacing w:val="-8"/>
              </w:rPr>
              <w:t>affect</w:t>
            </w:r>
            <w:r w:rsidR="00296B4C" w:rsidRPr="00D21C30">
              <w:rPr>
                <w:noProof/>
                <w:spacing w:val="-8"/>
              </w:rPr>
              <w:t>s</w:t>
            </w:r>
            <w:r w:rsidR="00F5436A" w:rsidRPr="00D21C30">
              <w:rPr>
                <w:noProof/>
                <w:spacing w:val="-8"/>
              </w:rPr>
              <w:t xml:space="preserve"> directly</w:t>
            </w:r>
            <w:r w:rsidR="00296B4C" w:rsidRPr="00D21C30">
              <w:rPr>
                <w:noProof/>
                <w:spacing w:val="-8"/>
              </w:rPr>
              <w:t xml:space="preserve"> SMEs</w:t>
            </w:r>
            <w:r w:rsidR="00F5436A" w:rsidRPr="00D21C30">
              <w:rPr>
                <w:noProof/>
                <w:spacing w:val="-8"/>
              </w:rPr>
              <w:t xml:space="preserve">. </w:t>
            </w:r>
          </w:p>
          <w:p w14:paraId="24B10BBF" w14:textId="7BF06950" w:rsidR="005A271C" w:rsidRPr="00D21C30" w:rsidRDefault="469C2D4B" w:rsidP="009707D0">
            <w:pPr>
              <w:spacing w:after="240"/>
              <w:jc w:val="both"/>
              <w:rPr>
                <w:noProof/>
              </w:rPr>
            </w:pPr>
            <w:r>
              <w:rPr>
                <w:noProof/>
              </w:rPr>
              <w:t xml:space="preserve">In rail, for requirements that fall upon railway undertakings with significant market presence and on their ticketing platforms, </w:t>
            </w:r>
            <w:r w:rsidR="527231BA">
              <w:rPr>
                <w:noProof/>
              </w:rPr>
              <w:t>the relevant threshold that is applied (50% of a domestic rail services market to qualify as having significant market prese</w:t>
            </w:r>
            <w:r w:rsidR="5FB3E047">
              <w:rPr>
                <w:noProof/>
              </w:rPr>
              <w:t xml:space="preserve">nce) </w:t>
            </w:r>
            <w:r w:rsidR="721F8E96">
              <w:rPr>
                <w:noProof/>
              </w:rPr>
              <w:t>is</w:t>
            </w:r>
            <w:r w:rsidR="527231BA">
              <w:rPr>
                <w:noProof/>
              </w:rPr>
              <w:t xml:space="preserve"> such</w:t>
            </w:r>
            <w:r w:rsidR="7B5248A7">
              <w:rPr>
                <w:noProof/>
              </w:rPr>
              <w:t>,</w:t>
            </w:r>
            <w:r w:rsidR="527231BA">
              <w:rPr>
                <w:noProof/>
              </w:rPr>
              <w:t xml:space="preserve"> that </w:t>
            </w:r>
            <w:r w:rsidR="47A9A4BC">
              <w:rPr>
                <w:noProof/>
              </w:rPr>
              <w:t xml:space="preserve">any </w:t>
            </w:r>
            <w:r w:rsidR="00490C6F">
              <w:rPr>
                <w:noProof/>
              </w:rPr>
              <w:t xml:space="preserve">currently existing </w:t>
            </w:r>
            <w:r w:rsidR="47A9A4BC">
              <w:rPr>
                <w:noProof/>
              </w:rPr>
              <w:t>company meeting the threshold would be significant bigger than an SME.</w:t>
            </w:r>
            <w:r>
              <w:rPr>
                <w:noProof/>
              </w:rPr>
              <w:t xml:space="preserve"> </w:t>
            </w:r>
            <w:r w:rsidR="00121F10">
              <w:rPr>
                <w:noProof/>
              </w:rPr>
              <w:t xml:space="preserve">That </w:t>
            </w:r>
            <w:r w:rsidR="0095056B">
              <w:rPr>
                <w:noProof/>
              </w:rPr>
              <w:t>a</w:t>
            </w:r>
            <w:r w:rsidR="00121F10">
              <w:rPr>
                <w:noProof/>
              </w:rPr>
              <w:t xml:space="preserve"> railway undertaking SME reaches this threshold in the future is also </w:t>
            </w:r>
            <w:r w:rsidR="0095056B">
              <w:rPr>
                <w:noProof/>
              </w:rPr>
              <w:t xml:space="preserve">very </w:t>
            </w:r>
            <w:r w:rsidR="00121F10">
              <w:rPr>
                <w:noProof/>
              </w:rPr>
              <w:t>unlikely as only a company with a significant turnover could hold at least 50% of the domestic railway market</w:t>
            </w:r>
            <w:r w:rsidR="0095056B">
              <w:rPr>
                <w:noProof/>
              </w:rPr>
              <w:t xml:space="preserve"> even in small EU countries</w:t>
            </w:r>
            <w:r w:rsidR="00121F10">
              <w:rPr>
                <w:noProof/>
              </w:rPr>
              <w:t xml:space="preserve">. </w:t>
            </w:r>
          </w:p>
        </w:tc>
      </w:tr>
      <w:tr w:rsidR="005A271C" w:rsidRPr="005A271C" w14:paraId="11AAF1EA" w14:textId="77777777" w:rsidTr="71A30B06">
        <w:tc>
          <w:tcPr>
            <w:tcW w:w="5000" w:type="pct"/>
            <w:tcBorders>
              <w:top w:val="single" w:sz="4" w:space="0" w:color="auto"/>
              <w:left w:val="single" w:sz="4" w:space="0" w:color="auto"/>
              <w:bottom w:val="single" w:sz="4" w:space="0" w:color="auto"/>
              <w:right w:val="single" w:sz="4" w:space="0" w:color="auto"/>
            </w:tcBorders>
            <w:hideMark/>
          </w:tcPr>
          <w:p w14:paraId="54F337A7" w14:textId="77777777" w:rsidR="005A271C" w:rsidRPr="004E336D" w:rsidRDefault="005A271C" w:rsidP="005A271C">
            <w:pPr>
              <w:rPr>
                <w:b/>
                <w:noProof/>
              </w:rPr>
            </w:pPr>
            <w:r w:rsidRPr="004E336D">
              <w:rPr>
                <w:b/>
                <w:noProof/>
              </w:rPr>
              <w:t>Estimated number of directly affected SMEs</w:t>
            </w:r>
          </w:p>
        </w:tc>
      </w:tr>
      <w:tr w:rsidR="005A271C" w:rsidRPr="005A271C" w14:paraId="75458D40" w14:textId="77777777" w:rsidTr="71A30B06">
        <w:tc>
          <w:tcPr>
            <w:tcW w:w="5000" w:type="pct"/>
            <w:tcBorders>
              <w:top w:val="single" w:sz="4" w:space="0" w:color="auto"/>
              <w:left w:val="single" w:sz="4" w:space="0" w:color="auto"/>
              <w:bottom w:val="single" w:sz="4" w:space="0" w:color="auto"/>
              <w:right w:val="single" w:sz="4" w:space="0" w:color="auto"/>
            </w:tcBorders>
            <w:hideMark/>
          </w:tcPr>
          <w:p w14:paraId="660F553A" w14:textId="1BADC23E" w:rsidR="005A271C" w:rsidRPr="004E336D" w:rsidRDefault="00150500" w:rsidP="005A271C">
            <w:pPr>
              <w:rPr>
                <w:i/>
                <w:noProof/>
              </w:rPr>
            </w:pPr>
            <w:r>
              <w:rPr>
                <w:noProof/>
              </w:rPr>
              <w:t>-</w:t>
            </w:r>
          </w:p>
        </w:tc>
      </w:tr>
      <w:tr w:rsidR="005A271C" w:rsidRPr="005A271C" w14:paraId="6A3E5D3C" w14:textId="77777777" w:rsidTr="71A30B06">
        <w:tc>
          <w:tcPr>
            <w:tcW w:w="5000" w:type="pct"/>
            <w:tcBorders>
              <w:top w:val="single" w:sz="4" w:space="0" w:color="auto"/>
              <w:left w:val="single" w:sz="4" w:space="0" w:color="auto"/>
              <w:bottom w:val="single" w:sz="4" w:space="0" w:color="auto"/>
              <w:right w:val="single" w:sz="4" w:space="0" w:color="auto"/>
            </w:tcBorders>
            <w:hideMark/>
          </w:tcPr>
          <w:p w14:paraId="0848C1C5" w14:textId="77777777" w:rsidR="005A271C" w:rsidRPr="004E336D" w:rsidRDefault="005A271C" w:rsidP="005A271C">
            <w:pPr>
              <w:rPr>
                <w:b/>
                <w:noProof/>
              </w:rPr>
            </w:pPr>
            <w:r w:rsidRPr="004E336D">
              <w:rPr>
                <w:b/>
                <w:noProof/>
              </w:rPr>
              <w:t>Estimated number of employees in directly affected SMEs</w:t>
            </w:r>
          </w:p>
        </w:tc>
      </w:tr>
      <w:tr w:rsidR="005A271C" w:rsidRPr="005A271C" w14:paraId="09E8F005" w14:textId="77777777" w:rsidTr="71A30B06">
        <w:tc>
          <w:tcPr>
            <w:tcW w:w="5000" w:type="pct"/>
            <w:tcBorders>
              <w:top w:val="single" w:sz="4" w:space="0" w:color="auto"/>
              <w:left w:val="single" w:sz="4" w:space="0" w:color="auto"/>
              <w:bottom w:val="single" w:sz="4" w:space="0" w:color="auto"/>
              <w:right w:val="single" w:sz="4" w:space="0" w:color="auto"/>
            </w:tcBorders>
            <w:hideMark/>
          </w:tcPr>
          <w:p w14:paraId="758BA940" w14:textId="719C31CE" w:rsidR="005A271C" w:rsidRPr="004E336D" w:rsidRDefault="00A17F1B" w:rsidP="005A271C">
            <w:pPr>
              <w:rPr>
                <w:i/>
                <w:noProof/>
              </w:rPr>
            </w:pPr>
            <w:r w:rsidRPr="004E336D">
              <w:rPr>
                <w:i/>
                <w:noProof/>
              </w:rPr>
              <w:t xml:space="preserve"> </w:t>
            </w:r>
            <w:r w:rsidR="000D5441">
              <w:rPr>
                <w:noProof/>
              </w:rPr>
              <w:t>-</w:t>
            </w:r>
          </w:p>
        </w:tc>
      </w:tr>
      <w:tr w:rsidR="005A271C" w:rsidRPr="005A271C" w14:paraId="3D0A9DF9" w14:textId="77777777" w:rsidTr="71A30B06">
        <w:tc>
          <w:tcPr>
            <w:tcW w:w="5000" w:type="pct"/>
            <w:tcBorders>
              <w:top w:val="single" w:sz="4" w:space="0" w:color="auto"/>
              <w:left w:val="single" w:sz="4" w:space="0" w:color="auto"/>
              <w:bottom w:val="single" w:sz="4" w:space="0" w:color="auto"/>
              <w:right w:val="single" w:sz="4" w:space="0" w:color="auto"/>
            </w:tcBorders>
            <w:hideMark/>
          </w:tcPr>
          <w:p w14:paraId="32A16319" w14:textId="72D66146" w:rsidR="006D618F" w:rsidRPr="00D21C30" w:rsidRDefault="005A271C" w:rsidP="009707D0">
            <w:pPr>
              <w:spacing w:after="240"/>
              <w:jc w:val="both"/>
              <w:rPr>
                <w:b/>
                <w:noProof/>
                <w:spacing w:val="-8"/>
              </w:rPr>
            </w:pPr>
            <w:r w:rsidRPr="00D21C30">
              <w:rPr>
                <w:b/>
                <w:noProof/>
                <w:spacing w:val="-8"/>
              </w:rPr>
              <w:t>Are SMEs indirectly affected? In which sectors? What is the estimated number of indirectly affected SMEs and employees?</w:t>
            </w:r>
            <w:r w:rsidR="00401862" w:rsidRPr="00D21C30">
              <w:rPr>
                <w:b/>
                <w:noProof/>
                <w:spacing w:val="-8"/>
              </w:rPr>
              <w:t xml:space="preserve"> </w:t>
            </w:r>
          </w:p>
          <w:p w14:paraId="42E6E85E" w14:textId="440BEB6D" w:rsidR="00D63D57" w:rsidRPr="00D21C30" w:rsidRDefault="00D63D57" w:rsidP="009707D0">
            <w:pPr>
              <w:spacing w:after="240"/>
              <w:jc w:val="both"/>
              <w:rPr>
                <w:noProof/>
                <w:spacing w:val="-8"/>
              </w:rPr>
            </w:pPr>
            <w:r w:rsidRPr="00D21C30">
              <w:rPr>
                <w:noProof/>
                <w:spacing w:val="-8"/>
              </w:rPr>
              <w:t>Yes, SMEs are expected to be indirectly affected by the preferred policy option.</w:t>
            </w:r>
          </w:p>
          <w:p w14:paraId="0099150F" w14:textId="79A30EDC" w:rsidR="006D063F" w:rsidRPr="00D21C30" w:rsidRDefault="00A431FE" w:rsidP="009707D0">
            <w:pPr>
              <w:spacing w:after="240"/>
              <w:jc w:val="both"/>
              <w:rPr>
                <w:noProof/>
                <w:spacing w:val="-8"/>
              </w:rPr>
            </w:pPr>
            <w:r w:rsidRPr="00D21C30">
              <w:rPr>
                <w:noProof/>
                <w:spacing w:val="-8"/>
                <w:u w:val="single"/>
              </w:rPr>
              <w:t>Sectors affected</w:t>
            </w:r>
            <w:r w:rsidRPr="00D21C30">
              <w:rPr>
                <w:noProof/>
                <w:spacing w:val="-8"/>
              </w:rPr>
              <w:t xml:space="preserve">: </w:t>
            </w:r>
            <w:r w:rsidR="000D003E" w:rsidRPr="00D21C30">
              <w:rPr>
                <w:noProof/>
                <w:spacing w:val="-8"/>
              </w:rPr>
              <w:t>SME</w:t>
            </w:r>
            <w:r w:rsidR="00110CCD" w:rsidRPr="00D21C30">
              <w:rPr>
                <w:noProof/>
                <w:spacing w:val="-8"/>
              </w:rPr>
              <w:t xml:space="preserve"> MDMS platforms and SME transport operators are expected to be indirectly affected by the preferred policy option. </w:t>
            </w:r>
          </w:p>
          <w:p w14:paraId="45887386" w14:textId="5FE30C70" w:rsidR="000763F2" w:rsidRPr="00D21C30" w:rsidRDefault="003A3A9F" w:rsidP="009707D0">
            <w:pPr>
              <w:spacing w:after="240"/>
              <w:jc w:val="both"/>
              <w:rPr>
                <w:noProof/>
                <w:spacing w:val="-8"/>
              </w:rPr>
            </w:pPr>
            <w:r w:rsidRPr="00D21C30">
              <w:rPr>
                <w:noProof/>
                <w:spacing w:val="-8"/>
                <w:u w:val="single"/>
              </w:rPr>
              <w:t>Estimated number of most affected SMEs</w:t>
            </w:r>
            <w:r w:rsidRPr="00D21C30">
              <w:rPr>
                <w:noProof/>
                <w:spacing w:val="-8"/>
              </w:rPr>
              <w:t>:</w:t>
            </w:r>
          </w:p>
          <w:p w14:paraId="68BD5E4A" w14:textId="5C1907FF" w:rsidR="000763F2" w:rsidRPr="00D21C30" w:rsidRDefault="000763F2" w:rsidP="009707D0">
            <w:pPr>
              <w:spacing w:after="240"/>
              <w:jc w:val="both"/>
              <w:rPr>
                <w:noProof/>
                <w:spacing w:val="-8"/>
              </w:rPr>
            </w:pPr>
            <w:r w:rsidRPr="00D21C30">
              <w:rPr>
                <w:i/>
                <w:iCs/>
                <w:noProof/>
                <w:spacing w:val="-8"/>
              </w:rPr>
              <w:t>For t</w:t>
            </w:r>
            <w:r w:rsidRPr="00B72C5C">
              <w:rPr>
                <w:i/>
                <w:noProof/>
                <w:spacing w:val="-8"/>
              </w:rPr>
              <w:t>ransport operators</w:t>
            </w:r>
            <w:r w:rsidRPr="00D21C30">
              <w:rPr>
                <w:i/>
                <w:iCs/>
                <w:noProof/>
                <w:spacing w:val="-8"/>
              </w:rPr>
              <w:t>,</w:t>
            </w:r>
            <w:r w:rsidRPr="00D21C30">
              <w:rPr>
                <w:noProof/>
                <w:spacing w:val="-8"/>
              </w:rPr>
              <w:t xml:space="preserve"> a</w:t>
            </w:r>
            <w:r w:rsidR="005868EA" w:rsidRPr="00D21C30">
              <w:rPr>
                <w:noProof/>
                <w:spacing w:val="-8"/>
              </w:rPr>
              <w:t>cross</w:t>
            </w:r>
            <w:r w:rsidR="005868EA">
              <w:rPr>
                <w:noProof/>
                <w:spacing w:val="-8"/>
              </w:rPr>
              <w:t xml:space="preserve"> the EU, 3,211 coach operators, 9 RUs and 518 maritime transport operators are SMEs</w:t>
            </w:r>
            <w:r w:rsidR="00E1711E">
              <w:rPr>
                <w:noProof/>
                <w:spacing w:val="-8"/>
              </w:rPr>
              <w:t xml:space="preserve"> (see section </w:t>
            </w:r>
            <w:r w:rsidR="00BE455C">
              <w:rPr>
                <w:noProof/>
                <w:spacing w:val="-8"/>
              </w:rPr>
              <w:t>2.2.3 of Annex 4)</w:t>
            </w:r>
            <w:r w:rsidR="005868EA" w:rsidRPr="00D21C30">
              <w:rPr>
                <w:noProof/>
                <w:spacing w:val="-8"/>
              </w:rPr>
              <w:t>.</w:t>
            </w:r>
            <w:r w:rsidR="005868EA">
              <w:rPr>
                <w:noProof/>
                <w:spacing w:val="-8"/>
              </w:rPr>
              <w:t xml:space="preserve"> </w:t>
            </w:r>
            <w:r w:rsidRPr="00D21C30">
              <w:rPr>
                <w:noProof/>
                <w:spacing w:val="-8"/>
              </w:rPr>
              <w:t>N</w:t>
            </w:r>
            <w:r w:rsidR="005868EA" w:rsidRPr="00D21C30">
              <w:rPr>
                <w:noProof/>
                <w:spacing w:val="-8"/>
              </w:rPr>
              <w:t>o</w:t>
            </w:r>
            <w:r w:rsidR="005868EA">
              <w:rPr>
                <w:noProof/>
                <w:spacing w:val="-8"/>
              </w:rPr>
              <w:t xml:space="preserve"> air carriers qualify as SME. </w:t>
            </w:r>
            <w:r w:rsidR="00995737">
              <w:rPr>
                <w:noProof/>
                <w:spacing w:val="-8"/>
              </w:rPr>
              <w:t>In the preferred policy option, a</w:t>
            </w:r>
            <w:r w:rsidR="00B53029">
              <w:rPr>
                <w:noProof/>
                <w:spacing w:val="-8"/>
              </w:rPr>
              <w:t xml:space="preserve">ll SME transport operators </w:t>
            </w:r>
            <w:r w:rsidR="001F32D3">
              <w:rPr>
                <w:noProof/>
                <w:spacing w:val="-8"/>
              </w:rPr>
              <w:t>(</w:t>
            </w:r>
            <w:r w:rsidR="00B53029" w:rsidRPr="00B53029">
              <w:rPr>
                <w:noProof/>
                <w:spacing w:val="-8"/>
              </w:rPr>
              <w:t>3,738</w:t>
            </w:r>
            <w:r w:rsidR="001F32D3">
              <w:rPr>
                <w:noProof/>
                <w:spacing w:val="-8"/>
              </w:rPr>
              <w:t xml:space="preserve">) are indirectly affected by the </w:t>
            </w:r>
            <w:r w:rsidR="001C0909">
              <w:rPr>
                <w:noProof/>
                <w:spacing w:val="-8"/>
              </w:rPr>
              <w:t>c</w:t>
            </w:r>
            <w:r w:rsidR="001C0909" w:rsidRPr="001C0909">
              <w:rPr>
                <w:noProof/>
                <w:spacing w:val="-8"/>
              </w:rPr>
              <w:t xml:space="preserve">ommercial agreement rules </w:t>
            </w:r>
            <w:r w:rsidR="0031168B">
              <w:rPr>
                <w:noProof/>
                <w:spacing w:val="-8"/>
              </w:rPr>
              <w:t xml:space="preserve">for </w:t>
            </w:r>
            <w:r w:rsidR="001C0909" w:rsidRPr="001C0909">
              <w:rPr>
                <w:noProof/>
                <w:spacing w:val="-8"/>
              </w:rPr>
              <w:t>indispensable MDMS</w:t>
            </w:r>
            <w:r w:rsidR="001C0909">
              <w:rPr>
                <w:noProof/>
                <w:spacing w:val="-8"/>
              </w:rPr>
              <w:t xml:space="preserve"> (PM11) </w:t>
            </w:r>
            <w:r w:rsidR="0031168B">
              <w:rPr>
                <w:noProof/>
                <w:spacing w:val="-8"/>
              </w:rPr>
              <w:t>and 9 SME RUs by the c</w:t>
            </w:r>
            <w:r w:rsidR="0031168B" w:rsidRPr="0031168B">
              <w:rPr>
                <w:noProof/>
                <w:spacing w:val="-8"/>
              </w:rPr>
              <w:t xml:space="preserve">ommercial agreement rules </w:t>
            </w:r>
            <w:r w:rsidR="0031168B">
              <w:rPr>
                <w:noProof/>
                <w:spacing w:val="-8"/>
              </w:rPr>
              <w:t xml:space="preserve">for </w:t>
            </w:r>
            <w:r w:rsidR="0031168B" w:rsidRPr="0031168B">
              <w:rPr>
                <w:noProof/>
                <w:spacing w:val="-8"/>
              </w:rPr>
              <w:t xml:space="preserve">indispensable </w:t>
            </w:r>
            <w:r w:rsidR="0031168B">
              <w:rPr>
                <w:noProof/>
                <w:spacing w:val="-8"/>
              </w:rPr>
              <w:t>RU</w:t>
            </w:r>
            <w:r w:rsidR="009F4ABB">
              <w:rPr>
                <w:noProof/>
                <w:spacing w:val="-8"/>
              </w:rPr>
              <w:t xml:space="preserve"> (PM12)</w:t>
            </w:r>
            <w:r w:rsidR="0031168B">
              <w:rPr>
                <w:noProof/>
                <w:spacing w:val="-8"/>
              </w:rPr>
              <w:t>.</w:t>
            </w:r>
          </w:p>
          <w:p w14:paraId="52B51B4C" w14:textId="4A8BC1D9" w:rsidR="00013802" w:rsidRDefault="00FF2B15" w:rsidP="009707D0">
            <w:pPr>
              <w:spacing w:after="240"/>
              <w:jc w:val="both"/>
              <w:rPr>
                <w:noProof/>
                <w:spacing w:val="-8"/>
              </w:rPr>
            </w:pPr>
            <w:r w:rsidRPr="00B72C5C">
              <w:rPr>
                <w:i/>
                <w:noProof/>
                <w:spacing w:val="-8"/>
              </w:rPr>
              <w:t xml:space="preserve">For </w:t>
            </w:r>
            <w:r w:rsidR="005868EA" w:rsidRPr="00B72C5C">
              <w:rPr>
                <w:i/>
                <w:noProof/>
                <w:spacing w:val="-8"/>
              </w:rPr>
              <w:t>SME MDMS platforms</w:t>
            </w:r>
            <w:r w:rsidR="005868EA">
              <w:rPr>
                <w:noProof/>
                <w:spacing w:val="-8"/>
              </w:rPr>
              <w:t xml:space="preserve">, desk research on both B2C and B2B markets </w:t>
            </w:r>
            <w:r w:rsidR="009605AA">
              <w:rPr>
                <w:noProof/>
                <w:spacing w:val="-8"/>
              </w:rPr>
              <w:t xml:space="preserve">in the context of the impact assessment support study </w:t>
            </w:r>
            <w:r w:rsidR="005868EA">
              <w:rPr>
                <w:noProof/>
                <w:spacing w:val="-8"/>
              </w:rPr>
              <w:t xml:space="preserve">suggests that 189 SME MDMS platforms are active throughout the EU. </w:t>
            </w:r>
            <w:r w:rsidR="00F53C96">
              <w:rPr>
                <w:noProof/>
                <w:spacing w:val="-8"/>
              </w:rPr>
              <w:t>A</w:t>
            </w:r>
            <w:r w:rsidR="00435AEF">
              <w:rPr>
                <w:noProof/>
                <w:spacing w:val="-8"/>
              </w:rPr>
              <w:t>ll of them are expected to be indirectly affected by the c</w:t>
            </w:r>
            <w:r w:rsidR="00435AEF" w:rsidRPr="001C0909">
              <w:rPr>
                <w:noProof/>
                <w:spacing w:val="-8"/>
              </w:rPr>
              <w:t xml:space="preserve">ommercial agreement rules </w:t>
            </w:r>
            <w:r w:rsidR="00435AEF">
              <w:rPr>
                <w:noProof/>
                <w:spacing w:val="-8"/>
              </w:rPr>
              <w:t xml:space="preserve">for </w:t>
            </w:r>
            <w:r w:rsidR="00435AEF" w:rsidRPr="001C0909">
              <w:rPr>
                <w:noProof/>
                <w:spacing w:val="-8"/>
              </w:rPr>
              <w:t xml:space="preserve">indispensable </w:t>
            </w:r>
            <w:r w:rsidR="00923927">
              <w:rPr>
                <w:noProof/>
                <w:spacing w:val="-8"/>
              </w:rPr>
              <w:t>RUs</w:t>
            </w:r>
            <w:r w:rsidR="00435AEF">
              <w:rPr>
                <w:noProof/>
                <w:spacing w:val="-8"/>
              </w:rPr>
              <w:t xml:space="preserve"> (PM1</w:t>
            </w:r>
            <w:r w:rsidR="00923927">
              <w:rPr>
                <w:noProof/>
                <w:spacing w:val="-8"/>
              </w:rPr>
              <w:t>2</w:t>
            </w:r>
            <w:r w:rsidR="00435AEF">
              <w:rPr>
                <w:noProof/>
                <w:spacing w:val="-8"/>
              </w:rPr>
              <w:t>)</w:t>
            </w:r>
            <w:r w:rsidR="00F53C96">
              <w:rPr>
                <w:noProof/>
                <w:spacing w:val="-8"/>
              </w:rPr>
              <w:t xml:space="preserve"> and 72</w:t>
            </w:r>
            <w:r w:rsidR="00923927">
              <w:rPr>
                <w:noProof/>
                <w:spacing w:val="-8"/>
              </w:rPr>
              <w:t xml:space="preserve"> of them </w:t>
            </w:r>
            <w:r w:rsidR="000A0BFC">
              <w:rPr>
                <w:noProof/>
                <w:spacing w:val="-8"/>
              </w:rPr>
              <w:t xml:space="preserve">in 2028 </w:t>
            </w:r>
            <w:r w:rsidR="00923927">
              <w:rPr>
                <w:noProof/>
                <w:spacing w:val="-8"/>
              </w:rPr>
              <w:t>by the c</w:t>
            </w:r>
            <w:r w:rsidR="00923927" w:rsidRPr="001C0909">
              <w:rPr>
                <w:noProof/>
                <w:spacing w:val="-8"/>
              </w:rPr>
              <w:t xml:space="preserve">ommercial agreement rules </w:t>
            </w:r>
            <w:r w:rsidR="00923927">
              <w:rPr>
                <w:noProof/>
                <w:spacing w:val="-8"/>
              </w:rPr>
              <w:t xml:space="preserve">for </w:t>
            </w:r>
            <w:r w:rsidR="00923927" w:rsidRPr="001C0909">
              <w:rPr>
                <w:noProof/>
                <w:spacing w:val="-8"/>
              </w:rPr>
              <w:t>indispensable MDMS</w:t>
            </w:r>
            <w:r w:rsidR="00923927">
              <w:rPr>
                <w:noProof/>
                <w:spacing w:val="-8"/>
              </w:rPr>
              <w:t xml:space="preserve"> (PM11).</w:t>
            </w:r>
          </w:p>
          <w:p w14:paraId="484C955B" w14:textId="23D5163D" w:rsidR="00DC4BB6" w:rsidRPr="004E336D" w:rsidRDefault="00DC4BB6" w:rsidP="00D32F7A">
            <w:pPr>
              <w:jc w:val="both"/>
              <w:rPr>
                <w:noProof/>
              </w:rPr>
            </w:pPr>
          </w:p>
        </w:tc>
      </w:tr>
    </w:tbl>
    <w:p w14:paraId="429C514C" w14:textId="77777777" w:rsidR="005A271C" w:rsidRPr="005A271C" w:rsidRDefault="005A271C" w:rsidP="005A271C">
      <w:pPr>
        <w:rPr>
          <w:b/>
          <w:noProof/>
        </w:rPr>
      </w:pPr>
    </w:p>
    <w:tbl>
      <w:tblPr>
        <w:tblW w:w="5000" w:type="pct"/>
        <w:tblLook w:val="04A0" w:firstRow="1" w:lastRow="0" w:firstColumn="1" w:lastColumn="0" w:noHBand="0" w:noVBand="1"/>
      </w:tblPr>
      <w:tblGrid>
        <w:gridCol w:w="9603"/>
      </w:tblGrid>
      <w:tr w:rsidR="005A271C" w:rsidRPr="005A271C" w14:paraId="0DBA13DE" w14:textId="77777777" w:rsidTr="00667E6F">
        <w:tc>
          <w:tcPr>
            <w:tcW w:w="5000" w:type="pct"/>
            <w:tcBorders>
              <w:top w:val="single" w:sz="4" w:space="0" w:color="auto"/>
              <w:left w:val="single" w:sz="4" w:space="0" w:color="auto"/>
              <w:bottom w:val="single" w:sz="4" w:space="0" w:color="auto"/>
              <w:right w:val="single" w:sz="4" w:space="0" w:color="auto"/>
            </w:tcBorders>
            <w:hideMark/>
          </w:tcPr>
          <w:p w14:paraId="2CDF4DD8" w14:textId="77777777" w:rsidR="005A271C" w:rsidRPr="004E336D" w:rsidRDefault="005A271C" w:rsidP="001979E4">
            <w:pPr>
              <w:numPr>
                <w:ilvl w:val="0"/>
                <w:numId w:val="32"/>
              </w:numPr>
              <w:ind w:left="447" w:hanging="447"/>
              <w:rPr>
                <w:noProof/>
              </w:rPr>
            </w:pPr>
            <w:r w:rsidRPr="004E336D">
              <w:rPr>
                <w:b/>
                <w:noProof/>
              </w:rPr>
              <w:t>Consultation of SME stakeholders</w:t>
            </w:r>
          </w:p>
        </w:tc>
      </w:tr>
      <w:tr w:rsidR="005A271C" w:rsidRPr="005A271C" w14:paraId="21B7802B" w14:textId="77777777" w:rsidTr="00667E6F">
        <w:tc>
          <w:tcPr>
            <w:tcW w:w="5000" w:type="pct"/>
            <w:tcBorders>
              <w:top w:val="single" w:sz="4" w:space="0" w:color="auto"/>
              <w:left w:val="single" w:sz="4" w:space="0" w:color="auto"/>
              <w:bottom w:val="single" w:sz="4" w:space="0" w:color="auto"/>
              <w:right w:val="single" w:sz="4" w:space="0" w:color="auto"/>
            </w:tcBorders>
            <w:hideMark/>
          </w:tcPr>
          <w:p w14:paraId="3698DF33" w14:textId="77777777" w:rsidR="005A271C" w:rsidRPr="004E336D" w:rsidRDefault="005A271C" w:rsidP="005A271C">
            <w:pPr>
              <w:rPr>
                <w:b/>
                <w:noProof/>
              </w:rPr>
            </w:pPr>
            <w:r w:rsidRPr="004E336D">
              <w:rPr>
                <w:b/>
                <w:noProof/>
              </w:rPr>
              <w:t>How has the input from the SME community been taken into consideration?</w:t>
            </w:r>
          </w:p>
        </w:tc>
      </w:tr>
      <w:tr w:rsidR="005A271C" w:rsidRPr="005A271C" w14:paraId="4026E76E" w14:textId="77777777" w:rsidTr="00667E6F">
        <w:tc>
          <w:tcPr>
            <w:tcW w:w="5000" w:type="pct"/>
            <w:tcBorders>
              <w:top w:val="single" w:sz="4" w:space="0" w:color="auto"/>
              <w:left w:val="single" w:sz="4" w:space="0" w:color="auto"/>
              <w:bottom w:val="single" w:sz="4" w:space="0" w:color="auto"/>
              <w:right w:val="single" w:sz="4" w:space="0" w:color="auto"/>
            </w:tcBorders>
            <w:hideMark/>
          </w:tcPr>
          <w:p w14:paraId="17BCC6E4" w14:textId="08B940C8" w:rsidR="005A271C" w:rsidRPr="00D21C30" w:rsidRDefault="007015FB" w:rsidP="009707D0">
            <w:pPr>
              <w:spacing w:after="240"/>
              <w:jc w:val="both"/>
              <w:rPr>
                <w:noProof/>
                <w:spacing w:val="-8"/>
              </w:rPr>
            </w:pPr>
            <w:r w:rsidRPr="00D21C30">
              <w:rPr>
                <w:noProof/>
                <w:spacing w:val="-8"/>
              </w:rPr>
              <w:t>Stakeholder consultations gathered input</w:t>
            </w:r>
            <w:r w:rsidR="00751D7F" w:rsidRPr="00D21C30">
              <w:rPr>
                <w:noProof/>
                <w:spacing w:val="-8"/>
              </w:rPr>
              <w:t>s</w:t>
            </w:r>
            <w:r w:rsidRPr="00D21C30">
              <w:rPr>
                <w:noProof/>
                <w:spacing w:val="-8"/>
              </w:rPr>
              <w:t xml:space="preserve"> of</w:t>
            </w:r>
            <w:r w:rsidR="009603FC" w:rsidRPr="00D21C30">
              <w:rPr>
                <w:noProof/>
                <w:spacing w:val="-8"/>
              </w:rPr>
              <w:t xml:space="preserve"> small businesses</w:t>
            </w:r>
            <w:r w:rsidR="00E55267" w:rsidRPr="00D21C30">
              <w:rPr>
                <w:noProof/>
                <w:spacing w:val="-8"/>
              </w:rPr>
              <w:t xml:space="preserve"> indirectly affected by</w:t>
            </w:r>
            <w:r w:rsidR="00DA5F70" w:rsidRPr="00D21C30">
              <w:rPr>
                <w:noProof/>
                <w:spacing w:val="-8"/>
              </w:rPr>
              <w:t xml:space="preserve"> the </w:t>
            </w:r>
            <w:r w:rsidR="00E55267" w:rsidRPr="00D21C30">
              <w:rPr>
                <w:noProof/>
                <w:spacing w:val="-8"/>
              </w:rPr>
              <w:t>initiatives</w:t>
            </w:r>
            <w:r w:rsidR="00A74D18" w:rsidRPr="00D21C30">
              <w:rPr>
                <w:noProof/>
                <w:spacing w:val="-8"/>
              </w:rPr>
              <w:t xml:space="preserve"> (</w:t>
            </w:r>
            <w:r w:rsidR="00E55267" w:rsidRPr="00D21C30">
              <w:rPr>
                <w:noProof/>
                <w:spacing w:val="-8"/>
              </w:rPr>
              <w:t>SME transport operators</w:t>
            </w:r>
            <w:r w:rsidR="003F739E" w:rsidRPr="00D21C30">
              <w:rPr>
                <w:noProof/>
                <w:spacing w:val="-8"/>
              </w:rPr>
              <w:t>,</w:t>
            </w:r>
            <w:r w:rsidR="003B518A" w:rsidRPr="00D21C30">
              <w:rPr>
                <w:noProof/>
                <w:spacing w:val="-8"/>
              </w:rPr>
              <w:t xml:space="preserve"> but also of SME MDMS platforms (</w:t>
            </w:r>
            <w:r w:rsidR="00A41E5D" w:rsidRPr="00D21C30">
              <w:rPr>
                <w:noProof/>
                <w:spacing w:val="-8"/>
              </w:rPr>
              <w:t>both in the B2C and B2B sector)</w:t>
            </w:r>
            <w:r w:rsidR="00A74D18" w:rsidRPr="00D21C30">
              <w:rPr>
                <w:noProof/>
                <w:spacing w:val="-8"/>
              </w:rPr>
              <w:t>).</w:t>
            </w:r>
            <w:r w:rsidR="00203588" w:rsidRPr="00D21C30">
              <w:rPr>
                <w:noProof/>
                <w:spacing w:val="-8"/>
              </w:rPr>
              <w:t xml:space="preserve"> </w:t>
            </w:r>
            <w:r w:rsidR="006C112E" w:rsidRPr="00D21C30">
              <w:rPr>
                <w:noProof/>
                <w:spacing w:val="-8"/>
              </w:rPr>
              <w:t>Their input has been gathered thro</w:t>
            </w:r>
            <w:r w:rsidR="00A71152" w:rsidRPr="00D21C30">
              <w:rPr>
                <w:noProof/>
                <w:spacing w:val="-8"/>
              </w:rPr>
              <w:t xml:space="preserve">ugh interviews, </w:t>
            </w:r>
            <w:r w:rsidR="00221A14" w:rsidRPr="00D21C30">
              <w:rPr>
                <w:noProof/>
                <w:spacing w:val="-8"/>
              </w:rPr>
              <w:t xml:space="preserve">the targeted </w:t>
            </w:r>
            <w:r w:rsidR="00A71152" w:rsidRPr="00D21C30">
              <w:rPr>
                <w:noProof/>
                <w:spacing w:val="-8"/>
              </w:rPr>
              <w:t>survey</w:t>
            </w:r>
            <w:r w:rsidR="00BB16CF" w:rsidRPr="00D21C30">
              <w:rPr>
                <w:noProof/>
                <w:spacing w:val="-8"/>
              </w:rPr>
              <w:t xml:space="preserve"> and the OPC</w:t>
            </w:r>
            <w:r w:rsidR="00A71152" w:rsidRPr="00D21C30">
              <w:rPr>
                <w:noProof/>
                <w:spacing w:val="-8"/>
              </w:rPr>
              <w:t>.</w:t>
            </w:r>
            <w:r w:rsidR="00011BE0" w:rsidRPr="00D21C30">
              <w:rPr>
                <w:noProof/>
                <w:spacing w:val="-8"/>
              </w:rPr>
              <w:t xml:space="preserve"> </w:t>
            </w:r>
            <w:r w:rsidR="00115D96" w:rsidRPr="00D21C30">
              <w:rPr>
                <w:noProof/>
                <w:spacing w:val="-8"/>
              </w:rPr>
              <w:t xml:space="preserve"> </w:t>
            </w:r>
          </w:p>
        </w:tc>
      </w:tr>
      <w:tr w:rsidR="005A271C" w:rsidRPr="005A271C" w14:paraId="3CE44889" w14:textId="77777777" w:rsidTr="00667E6F">
        <w:tc>
          <w:tcPr>
            <w:tcW w:w="5000" w:type="pct"/>
            <w:tcBorders>
              <w:top w:val="single" w:sz="4" w:space="0" w:color="auto"/>
              <w:left w:val="single" w:sz="4" w:space="0" w:color="auto"/>
              <w:bottom w:val="single" w:sz="4" w:space="0" w:color="auto"/>
              <w:right w:val="single" w:sz="4" w:space="0" w:color="auto"/>
            </w:tcBorders>
            <w:hideMark/>
          </w:tcPr>
          <w:p w14:paraId="2F892F31" w14:textId="1F3890CA" w:rsidR="005A271C" w:rsidRPr="004E336D" w:rsidRDefault="005A271C" w:rsidP="005A271C">
            <w:pPr>
              <w:rPr>
                <w:noProof/>
              </w:rPr>
            </w:pPr>
            <w:r w:rsidRPr="004E336D">
              <w:rPr>
                <w:b/>
                <w:noProof/>
              </w:rPr>
              <w:t xml:space="preserve">Are SMEs’ views different from those of large businesses? </w:t>
            </w:r>
          </w:p>
        </w:tc>
      </w:tr>
      <w:tr w:rsidR="005A271C" w:rsidRPr="005A271C" w14:paraId="7C6507F3" w14:textId="77777777" w:rsidTr="00667E6F">
        <w:tc>
          <w:tcPr>
            <w:tcW w:w="5000" w:type="pct"/>
            <w:tcBorders>
              <w:top w:val="single" w:sz="4" w:space="0" w:color="auto"/>
              <w:left w:val="single" w:sz="4" w:space="0" w:color="auto"/>
              <w:bottom w:val="single" w:sz="4" w:space="0" w:color="auto"/>
              <w:right w:val="single" w:sz="4" w:space="0" w:color="auto"/>
            </w:tcBorders>
            <w:hideMark/>
          </w:tcPr>
          <w:p w14:paraId="4F32B216" w14:textId="13334A95" w:rsidR="003D4548" w:rsidRPr="009F2142" w:rsidRDefault="007E43E2" w:rsidP="009707D0">
            <w:pPr>
              <w:spacing w:after="240"/>
              <w:jc w:val="both"/>
              <w:rPr>
                <w:noProof/>
                <w:spacing w:val="-8"/>
              </w:rPr>
            </w:pPr>
            <w:r>
              <w:rPr>
                <w:noProof/>
                <w:spacing w:val="-8"/>
              </w:rPr>
              <w:t>Yes, t</w:t>
            </w:r>
            <w:r w:rsidR="003D4548" w:rsidRPr="009F2142">
              <w:rPr>
                <w:noProof/>
                <w:spacing w:val="-8"/>
              </w:rPr>
              <w:t xml:space="preserve">he views of SMEs did vary compared to those of large businesses, </w:t>
            </w:r>
            <w:r w:rsidR="00D02979" w:rsidRPr="009F2142">
              <w:rPr>
                <w:noProof/>
                <w:spacing w:val="-8"/>
              </w:rPr>
              <w:t>viewing the identified problems as</w:t>
            </w:r>
            <w:r w:rsidR="003D4548" w:rsidRPr="009F2142">
              <w:rPr>
                <w:noProof/>
                <w:spacing w:val="-8"/>
              </w:rPr>
              <w:t xml:space="preserve"> more </w:t>
            </w:r>
            <w:r w:rsidR="00D02979" w:rsidRPr="009F2142">
              <w:rPr>
                <w:noProof/>
                <w:spacing w:val="-8"/>
              </w:rPr>
              <w:t xml:space="preserve">significant and the policy measures </w:t>
            </w:r>
            <w:r w:rsidR="00083FC4" w:rsidRPr="009F2142">
              <w:rPr>
                <w:noProof/>
                <w:spacing w:val="-8"/>
              </w:rPr>
              <w:t xml:space="preserve">as more </w:t>
            </w:r>
            <w:r w:rsidR="00937F00" w:rsidRPr="009F2142">
              <w:rPr>
                <w:noProof/>
                <w:spacing w:val="-8"/>
              </w:rPr>
              <w:t xml:space="preserve">effective </w:t>
            </w:r>
            <w:r w:rsidR="00083FC4" w:rsidRPr="009F2142">
              <w:rPr>
                <w:noProof/>
                <w:spacing w:val="-8"/>
              </w:rPr>
              <w:t xml:space="preserve">than </w:t>
            </w:r>
            <w:r w:rsidR="00A36BD0" w:rsidRPr="009F2142">
              <w:rPr>
                <w:noProof/>
                <w:spacing w:val="-8"/>
              </w:rPr>
              <w:t xml:space="preserve">when looking at the </w:t>
            </w:r>
            <w:r w:rsidR="00083FC4" w:rsidRPr="009F2142">
              <w:rPr>
                <w:noProof/>
                <w:spacing w:val="-8"/>
              </w:rPr>
              <w:t xml:space="preserve">broader respondent pool in the </w:t>
            </w:r>
            <w:r w:rsidR="006C2BC9">
              <w:rPr>
                <w:noProof/>
                <w:spacing w:val="-8"/>
              </w:rPr>
              <w:t xml:space="preserve">targeted </w:t>
            </w:r>
            <w:r w:rsidR="00083FC4" w:rsidRPr="009F2142">
              <w:rPr>
                <w:noProof/>
                <w:spacing w:val="-8"/>
              </w:rPr>
              <w:t>survey, interview</w:t>
            </w:r>
            <w:r w:rsidR="007A5746">
              <w:rPr>
                <w:noProof/>
                <w:spacing w:val="-8"/>
              </w:rPr>
              <w:t>s</w:t>
            </w:r>
            <w:r w:rsidR="00083FC4" w:rsidRPr="009F2142">
              <w:rPr>
                <w:noProof/>
                <w:spacing w:val="-8"/>
              </w:rPr>
              <w:t>, and OPC.</w:t>
            </w:r>
          </w:p>
          <w:p w14:paraId="4AF09393" w14:textId="7EDBA9F6" w:rsidR="006A516A" w:rsidRPr="009F2142" w:rsidRDefault="00672F2C" w:rsidP="009707D0">
            <w:pPr>
              <w:spacing w:after="240"/>
              <w:jc w:val="both"/>
              <w:rPr>
                <w:i/>
                <w:noProof/>
                <w:spacing w:val="-8"/>
              </w:rPr>
            </w:pPr>
            <w:r w:rsidRPr="009F2142">
              <w:rPr>
                <w:noProof/>
                <w:spacing w:val="-8"/>
              </w:rPr>
              <w:t>I</w:t>
            </w:r>
            <w:r w:rsidR="006A516A" w:rsidRPr="009F2142">
              <w:rPr>
                <w:noProof/>
                <w:spacing w:val="-8"/>
              </w:rPr>
              <w:t xml:space="preserve">n the OPC, SMEs agreed more to the fact that </w:t>
            </w:r>
            <w:r w:rsidR="006A516A" w:rsidRPr="009F2142">
              <w:rPr>
                <w:i/>
                <w:noProof/>
                <w:spacing w:val="-8"/>
              </w:rPr>
              <w:t xml:space="preserve">Fair access for all operators to relevant multimodal digital mobility services is not granted. </w:t>
            </w:r>
            <w:r w:rsidR="006A516A" w:rsidRPr="009F2142">
              <w:rPr>
                <w:noProof/>
                <w:spacing w:val="-8"/>
              </w:rPr>
              <w:t>Across all respondents, the average level of agreement was between somewhat agree and fully agree (4.27)</w:t>
            </w:r>
            <w:r w:rsidR="00890248">
              <w:rPr>
                <w:rStyle w:val="FootnoteReference"/>
                <w:noProof/>
                <w:spacing w:val="-8"/>
              </w:rPr>
              <w:footnoteReference w:id="360"/>
            </w:r>
            <w:r w:rsidR="006A516A" w:rsidRPr="009F2142">
              <w:rPr>
                <w:noProof/>
                <w:spacing w:val="-8"/>
              </w:rPr>
              <w:t xml:space="preserve">, indicating that the majority of respondents perceive that fair access is not fully ensured. SMEs rated this even higher, closer to fully agree (4.68), suggesting that </w:t>
            </w:r>
            <w:r w:rsidR="006A516A" w:rsidRPr="009F2142">
              <w:rPr>
                <w:b/>
                <w:noProof/>
                <w:spacing w:val="-8"/>
              </w:rPr>
              <w:t xml:space="preserve">SME operators perceive this issue as an even more significant limitation compared </w:t>
            </w:r>
            <w:r w:rsidR="000C7ECF">
              <w:rPr>
                <w:b/>
                <w:noProof/>
                <w:spacing w:val="-8"/>
              </w:rPr>
              <w:t>to</w:t>
            </w:r>
            <w:r w:rsidR="000C7ECF" w:rsidRPr="009F2142">
              <w:rPr>
                <w:b/>
                <w:noProof/>
                <w:spacing w:val="-8"/>
              </w:rPr>
              <w:t xml:space="preserve"> </w:t>
            </w:r>
            <w:r w:rsidR="006A516A" w:rsidRPr="009F2142">
              <w:rPr>
                <w:b/>
                <w:noProof/>
                <w:spacing w:val="-8"/>
              </w:rPr>
              <w:t>the broader respondent pool</w:t>
            </w:r>
            <w:r w:rsidR="006A516A" w:rsidRPr="009F2142">
              <w:rPr>
                <w:i/>
                <w:noProof/>
                <w:spacing w:val="-8"/>
              </w:rPr>
              <w:t>.</w:t>
            </w:r>
          </w:p>
          <w:p w14:paraId="7B5737F1" w14:textId="6D98B32B" w:rsidR="00AF79A2" w:rsidRPr="009F2142" w:rsidRDefault="00AF79A2" w:rsidP="009707D0">
            <w:pPr>
              <w:spacing w:after="240"/>
              <w:jc w:val="both"/>
              <w:rPr>
                <w:noProof/>
                <w:spacing w:val="-8"/>
              </w:rPr>
            </w:pPr>
            <w:r w:rsidRPr="009F2142">
              <w:rPr>
                <w:noProof/>
                <w:spacing w:val="-8"/>
              </w:rPr>
              <w:t xml:space="preserve">Additionally, the OPC outlined how SMEs favoured more binding rules than other respondents. When answering whether they believed that </w:t>
            </w:r>
            <w:r w:rsidRPr="009F2142">
              <w:rPr>
                <w:i/>
                <w:noProof/>
                <w:spacing w:val="-8"/>
              </w:rPr>
              <w:t>the initiatives objective could be achieved by non-binding guidance or recommendations</w:t>
            </w:r>
            <w:r w:rsidRPr="009F2142">
              <w:rPr>
                <w:noProof/>
                <w:spacing w:val="-8"/>
              </w:rPr>
              <w:t xml:space="preserve">, the average level of agreement was between neutral and somewhat agree (3.58), indicating a moderate level of support for non-binding guidance as a way to achieve the initiative’s objectives. SMEs, however, rated this lower, closer to somewhat agree (3.02), showing that </w:t>
            </w:r>
            <w:r w:rsidRPr="009F2142">
              <w:rPr>
                <w:b/>
                <w:noProof/>
                <w:spacing w:val="-8"/>
              </w:rPr>
              <w:t>smaller players see non-binding guidance as a less effective approach compared with the broader respondent pool</w:t>
            </w:r>
            <w:r w:rsidRPr="009F2142">
              <w:rPr>
                <w:noProof/>
                <w:spacing w:val="-8"/>
              </w:rPr>
              <w:t>.</w:t>
            </w:r>
          </w:p>
          <w:p w14:paraId="770783E6" w14:textId="3975C2AE" w:rsidR="00C0687D" w:rsidRPr="009F2142" w:rsidRDefault="00BA41B2" w:rsidP="009707D0">
            <w:pPr>
              <w:spacing w:after="240"/>
              <w:jc w:val="both"/>
              <w:rPr>
                <w:b/>
                <w:noProof/>
                <w:spacing w:val="-8"/>
              </w:rPr>
            </w:pPr>
            <w:r w:rsidRPr="009F2142">
              <w:rPr>
                <w:noProof/>
                <w:spacing w:val="-8"/>
              </w:rPr>
              <w:t xml:space="preserve">In rail, the </w:t>
            </w:r>
            <w:r w:rsidRPr="009F2142">
              <w:rPr>
                <w:b/>
                <w:noProof/>
                <w:spacing w:val="-8"/>
              </w:rPr>
              <w:t xml:space="preserve">views of new entrant railway undertakings differed clearly </w:t>
            </w:r>
            <w:r w:rsidR="007D40C4" w:rsidRPr="009F2142">
              <w:rPr>
                <w:b/>
                <w:noProof/>
                <w:spacing w:val="-8"/>
              </w:rPr>
              <w:t>from</w:t>
            </w:r>
            <w:r w:rsidRPr="009F2142">
              <w:rPr>
                <w:b/>
                <w:noProof/>
                <w:spacing w:val="-8"/>
              </w:rPr>
              <w:t xml:space="preserve"> those </w:t>
            </w:r>
            <w:r w:rsidR="00F73C20" w:rsidRPr="009F2142">
              <w:rPr>
                <w:b/>
                <w:noProof/>
                <w:spacing w:val="-8"/>
              </w:rPr>
              <w:t xml:space="preserve">of indispensable RUs. The former expressed clear support </w:t>
            </w:r>
            <w:r w:rsidR="002F1ABE" w:rsidRPr="009F2142">
              <w:rPr>
                <w:b/>
                <w:noProof/>
                <w:spacing w:val="-8"/>
              </w:rPr>
              <w:t xml:space="preserve">for the initiative, </w:t>
            </w:r>
            <w:r w:rsidR="00A65AA8" w:rsidRPr="009F2142">
              <w:rPr>
                <w:b/>
                <w:noProof/>
                <w:spacing w:val="-8"/>
              </w:rPr>
              <w:t xml:space="preserve">while the latter clearly </w:t>
            </w:r>
            <w:r w:rsidR="006B353F" w:rsidRPr="009F2142">
              <w:rPr>
                <w:b/>
                <w:noProof/>
                <w:spacing w:val="-8"/>
              </w:rPr>
              <w:t xml:space="preserve">opposed the measures. </w:t>
            </w:r>
            <w:r w:rsidR="00FE49A5" w:rsidRPr="009F2142">
              <w:rPr>
                <w:noProof/>
                <w:spacing w:val="-8"/>
              </w:rPr>
              <w:t>The ability for n</w:t>
            </w:r>
            <w:r w:rsidR="00542699" w:rsidRPr="009F2142">
              <w:rPr>
                <w:noProof/>
                <w:spacing w:val="-8"/>
              </w:rPr>
              <w:t xml:space="preserve">ew entrants to access </w:t>
            </w:r>
            <w:r w:rsidR="006B353F" w:rsidRPr="009F2142">
              <w:rPr>
                <w:noProof/>
                <w:spacing w:val="-8"/>
              </w:rPr>
              <w:t>incumbents’</w:t>
            </w:r>
            <w:r w:rsidR="00542699" w:rsidRPr="009F2142">
              <w:rPr>
                <w:noProof/>
                <w:spacing w:val="-8"/>
              </w:rPr>
              <w:t xml:space="preserve"> sales channels was perceived to be of “paramount importance” for </w:t>
            </w:r>
            <w:r w:rsidR="004F2D3F" w:rsidRPr="009F2142">
              <w:rPr>
                <w:noProof/>
                <w:spacing w:val="-8"/>
              </w:rPr>
              <w:t>a</w:t>
            </w:r>
            <w:r w:rsidR="00542699" w:rsidRPr="009F2142">
              <w:rPr>
                <w:noProof/>
                <w:spacing w:val="-8"/>
              </w:rPr>
              <w:t xml:space="preserve"> </w:t>
            </w:r>
            <w:r w:rsidR="00DC1F6B" w:rsidRPr="009F2142">
              <w:rPr>
                <w:noProof/>
                <w:spacing w:val="-8"/>
              </w:rPr>
              <w:t>SME</w:t>
            </w:r>
            <w:r w:rsidR="00F57343" w:rsidRPr="009F2142">
              <w:rPr>
                <w:noProof/>
                <w:spacing w:val="-8"/>
              </w:rPr>
              <w:t xml:space="preserve"> rail entrant interview</w:t>
            </w:r>
            <w:r w:rsidR="004F2D3F" w:rsidRPr="009F2142">
              <w:rPr>
                <w:noProof/>
                <w:spacing w:val="-8"/>
              </w:rPr>
              <w:t>ed</w:t>
            </w:r>
            <w:r w:rsidR="00F57343" w:rsidRPr="009F2142">
              <w:rPr>
                <w:noProof/>
                <w:spacing w:val="-8"/>
              </w:rPr>
              <w:t>.</w:t>
            </w:r>
            <w:r w:rsidR="00156857" w:rsidRPr="009F2142">
              <w:rPr>
                <w:noProof/>
                <w:spacing w:val="-8"/>
              </w:rPr>
              <w:t xml:space="preserve"> </w:t>
            </w:r>
            <w:r w:rsidR="00855789" w:rsidRPr="009F2142">
              <w:rPr>
                <w:noProof/>
                <w:spacing w:val="-8"/>
              </w:rPr>
              <w:t xml:space="preserve">In particular, an SME RU argued during </w:t>
            </w:r>
            <w:r w:rsidR="005A1853">
              <w:rPr>
                <w:noProof/>
                <w:spacing w:val="-8"/>
              </w:rPr>
              <w:t xml:space="preserve">the </w:t>
            </w:r>
            <w:r w:rsidR="00855789" w:rsidRPr="009F2142">
              <w:rPr>
                <w:noProof/>
                <w:spacing w:val="-8"/>
              </w:rPr>
              <w:t xml:space="preserve">interview that incumbent sales channels should be regarded as public property, accessible to any company. </w:t>
            </w:r>
            <w:r w:rsidR="00DC73CC" w:rsidRPr="009F2142">
              <w:rPr>
                <w:noProof/>
                <w:spacing w:val="-8"/>
              </w:rPr>
              <w:t>In this sense</w:t>
            </w:r>
            <w:r w:rsidR="00542699" w:rsidRPr="009F2142">
              <w:rPr>
                <w:noProof/>
                <w:spacing w:val="-8"/>
              </w:rPr>
              <w:t xml:space="preserve"> </w:t>
            </w:r>
            <w:r w:rsidR="000552D2" w:rsidRPr="009F2142">
              <w:rPr>
                <w:noProof/>
                <w:spacing w:val="-8"/>
              </w:rPr>
              <w:t xml:space="preserve">PM13, </w:t>
            </w:r>
            <w:r w:rsidR="006D36A3" w:rsidRPr="009F2142">
              <w:rPr>
                <w:noProof/>
                <w:spacing w:val="-8"/>
              </w:rPr>
              <w:t>PM</w:t>
            </w:r>
            <w:r w:rsidR="000552D2" w:rsidRPr="009F2142">
              <w:rPr>
                <w:noProof/>
                <w:spacing w:val="-8"/>
              </w:rPr>
              <w:t xml:space="preserve">14 and </w:t>
            </w:r>
            <w:r w:rsidR="006D36A3" w:rsidRPr="009F2142">
              <w:rPr>
                <w:noProof/>
                <w:spacing w:val="-8"/>
              </w:rPr>
              <w:t>PM</w:t>
            </w:r>
            <w:r w:rsidR="000552D2" w:rsidRPr="009F2142">
              <w:rPr>
                <w:noProof/>
                <w:spacing w:val="-8"/>
              </w:rPr>
              <w:t>15 were particularly well received</w:t>
            </w:r>
            <w:r w:rsidR="00120DAE" w:rsidRPr="009F2142">
              <w:rPr>
                <w:noProof/>
                <w:spacing w:val="-8"/>
              </w:rPr>
              <w:t xml:space="preserve">, as </w:t>
            </w:r>
            <w:r w:rsidR="00F43294" w:rsidRPr="009F2142">
              <w:rPr>
                <w:noProof/>
                <w:spacing w:val="-8"/>
              </w:rPr>
              <w:t xml:space="preserve">ensuring </w:t>
            </w:r>
            <w:r w:rsidR="00990657" w:rsidRPr="009F2142">
              <w:rPr>
                <w:noProof/>
                <w:spacing w:val="-8"/>
              </w:rPr>
              <w:t xml:space="preserve">the </w:t>
            </w:r>
            <w:r w:rsidR="00F43294" w:rsidRPr="009F2142">
              <w:rPr>
                <w:noProof/>
                <w:spacing w:val="-8"/>
              </w:rPr>
              <w:t xml:space="preserve">availability </w:t>
            </w:r>
            <w:r w:rsidR="009C55CB" w:rsidRPr="009F2142">
              <w:rPr>
                <w:noProof/>
                <w:spacing w:val="-8"/>
              </w:rPr>
              <w:t xml:space="preserve">of their offers on </w:t>
            </w:r>
            <w:r w:rsidR="00DC73CC" w:rsidRPr="009F2142">
              <w:rPr>
                <w:noProof/>
                <w:spacing w:val="-8"/>
              </w:rPr>
              <w:t xml:space="preserve">key rail </w:t>
            </w:r>
            <w:r w:rsidR="009C55CB" w:rsidRPr="009F2142">
              <w:rPr>
                <w:noProof/>
                <w:spacing w:val="-8"/>
              </w:rPr>
              <w:t xml:space="preserve">platforms. </w:t>
            </w:r>
            <w:r w:rsidR="00CB40F9" w:rsidRPr="009F2142">
              <w:rPr>
                <w:noProof/>
                <w:spacing w:val="-8"/>
              </w:rPr>
              <w:t>The o</w:t>
            </w:r>
            <w:r w:rsidR="00CB40F9" w:rsidRPr="009F2142">
              <w:rPr>
                <w:i/>
                <w:noProof/>
                <w:spacing w:val="-8"/>
              </w:rPr>
              <w:t>bligation for indispensable RUs to share their offer to requesting MDMS platforms</w:t>
            </w:r>
            <w:r w:rsidR="00CB40F9" w:rsidRPr="009F2142">
              <w:rPr>
                <w:noProof/>
                <w:spacing w:val="-8"/>
              </w:rPr>
              <w:t xml:space="preserve"> (PM13) is positively perceived, as it would “enable third party platforms to offer complete journeys for customers who want to use (their) trains as part of their journeys</w:t>
            </w:r>
            <w:r w:rsidR="004677F7">
              <w:rPr>
                <w:noProof/>
                <w:spacing w:val="-8"/>
              </w:rPr>
              <w:t>”</w:t>
            </w:r>
            <w:r w:rsidR="00CB40F9" w:rsidRPr="009F2142">
              <w:rPr>
                <w:rStyle w:val="FootnoteReference"/>
                <w:noProof/>
                <w:spacing w:val="-8"/>
              </w:rPr>
              <w:footnoteReference w:id="361"/>
            </w:r>
            <w:r w:rsidR="00CB40F9" w:rsidRPr="009F2142">
              <w:rPr>
                <w:noProof/>
                <w:spacing w:val="-8"/>
              </w:rPr>
              <w:t xml:space="preserve">. The </w:t>
            </w:r>
            <w:r w:rsidR="00CB40F9" w:rsidRPr="009F2142">
              <w:rPr>
                <w:i/>
                <w:noProof/>
                <w:spacing w:val="-8"/>
              </w:rPr>
              <w:t>obligation for indispensable RUs to enter into commercial agreement with willing R</w:t>
            </w:r>
            <w:r w:rsidR="00F808A9">
              <w:rPr>
                <w:i/>
                <w:noProof/>
                <w:spacing w:val="-8"/>
              </w:rPr>
              <w:t>U</w:t>
            </w:r>
            <w:r w:rsidR="00CB40F9" w:rsidRPr="009F2142">
              <w:rPr>
                <w:i/>
                <w:noProof/>
                <w:spacing w:val="-8"/>
              </w:rPr>
              <w:t>s to enable the sales of tickets</w:t>
            </w:r>
            <w:r w:rsidR="00CB40F9" w:rsidRPr="009F2142">
              <w:rPr>
                <w:noProof/>
                <w:spacing w:val="-8"/>
              </w:rPr>
              <w:t xml:space="preserve"> (</w:t>
            </w:r>
            <w:r w:rsidR="00CB40F9">
              <w:rPr>
                <w:noProof/>
                <w:spacing w:val="-8"/>
              </w:rPr>
              <w:t xml:space="preserve">PM14) was believed by All Rail to </w:t>
            </w:r>
            <w:r w:rsidR="00CB40F9" w:rsidRPr="00BE4605">
              <w:rPr>
                <w:noProof/>
                <w:spacing w:val="-8"/>
              </w:rPr>
              <w:t>potentially “doubling the modal shift of rail for long-distance travels”.</w:t>
            </w:r>
            <w:r w:rsidR="00CB40F9">
              <w:rPr>
                <w:noProof/>
                <w:spacing w:val="-8"/>
              </w:rPr>
              <w:t xml:space="preserve"> </w:t>
            </w:r>
            <w:r w:rsidR="009C55CB" w:rsidRPr="009F2142">
              <w:rPr>
                <w:noProof/>
                <w:spacing w:val="-8"/>
              </w:rPr>
              <w:t xml:space="preserve">The </w:t>
            </w:r>
            <w:r w:rsidR="00CA3E03" w:rsidRPr="009F2142">
              <w:rPr>
                <w:i/>
                <w:noProof/>
                <w:spacing w:val="-8"/>
              </w:rPr>
              <w:t xml:space="preserve">requirement for indispensable RU platforms to </w:t>
            </w:r>
            <w:r w:rsidR="0056610C" w:rsidRPr="009F2142">
              <w:rPr>
                <w:i/>
                <w:noProof/>
                <w:spacing w:val="-8"/>
              </w:rPr>
              <w:t>unbundle from their parent company</w:t>
            </w:r>
            <w:r w:rsidR="0056610C" w:rsidRPr="009F2142">
              <w:rPr>
                <w:noProof/>
                <w:spacing w:val="-8"/>
              </w:rPr>
              <w:t xml:space="preserve"> (PM15</w:t>
            </w:r>
            <w:r w:rsidR="00CA3E03" w:rsidRPr="009F2142">
              <w:rPr>
                <w:noProof/>
                <w:spacing w:val="-8"/>
              </w:rPr>
              <w:t>) was seen as a “game changer”</w:t>
            </w:r>
            <w:r w:rsidR="00F43294" w:rsidRPr="009F2142">
              <w:rPr>
                <w:noProof/>
                <w:spacing w:val="-8"/>
              </w:rPr>
              <w:t xml:space="preserve"> by the new entrant </w:t>
            </w:r>
            <w:r w:rsidR="00DC1F6B" w:rsidRPr="009F2142">
              <w:rPr>
                <w:noProof/>
                <w:spacing w:val="-8"/>
              </w:rPr>
              <w:t xml:space="preserve">industry </w:t>
            </w:r>
            <w:r w:rsidR="00F43294" w:rsidRPr="009F2142">
              <w:rPr>
                <w:noProof/>
                <w:spacing w:val="-8"/>
              </w:rPr>
              <w:t>association All Rail (</w:t>
            </w:r>
            <w:r w:rsidR="004F2D3F" w:rsidRPr="009F2142">
              <w:rPr>
                <w:noProof/>
                <w:spacing w:val="-8"/>
              </w:rPr>
              <w:t xml:space="preserve">which </w:t>
            </w:r>
            <w:r w:rsidR="003B1375" w:rsidRPr="009F2142">
              <w:rPr>
                <w:noProof/>
                <w:spacing w:val="-8"/>
              </w:rPr>
              <w:t>includ</w:t>
            </w:r>
            <w:r w:rsidR="004F2D3F" w:rsidRPr="009F2142">
              <w:rPr>
                <w:noProof/>
                <w:spacing w:val="-8"/>
              </w:rPr>
              <w:t>es</w:t>
            </w:r>
            <w:r w:rsidR="00156857" w:rsidRPr="009F2142">
              <w:rPr>
                <w:noProof/>
                <w:spacing w:val="-8"/>
              </w:rPr>
              <w:t xml:space="preserve"> SMEs)</w:t>
            </w:r>
            <w:r w:rsidR="00432CD6" w:rsidRPr="009F2142">
              <w:rPr>
                <w:noProof/>
                <w:spacing w:val="-8"/>
              </w:rPr>
              <w:t>, secu</w:t>
            </w:r>
            <w:r w:rsidR="00B06C41" w:rsidRPr="009F2142">
              <w:rPr>
                <w:noProof/>
                <w:spacing w:val="-8"/>
              </w:rPr>
              <w:t xml:space="preserve">ring </w:t>
            </w:r>
            <w:r w:rsidR="000E1EAF" w:rsidRPr="009F2142">
              <w:rPr>
                <w:noProof/>
                <w:spacing w:val="-8"/>
              </w:rPr>
              <w:t xml:space="preserve">new entrants’ visibility on </w:t>
            </w:r>
            <w:r w:rsidR="0054414D" w:rsidRPr="009F2142">
              <w:rPr>
                <w:noProof/>
                <w:spacing w:val="-8"/>
              </w:rPr>
              <w:t xml:space="preserve">key platforms </w:t>
            </w:r>
            <w:r w:rsidR="00147914" w:rsidRPr="009F2142">
              <w:rPr>
                <w:noProof/>
                <w:spacing w:val="-8"/>
              </w:rPr>
              <w:t xml:space="preserve">and </w:t>
            </w:r>
            <w:r w:rsidR="00F12503">
              <w:rPr>
                <w:noProof/>
                <w:spacing w:val="-8"/>
              </w:rPr>
              <w:t>supported</w:t>
            </w:r>
            <w:r w:rsidR="00F12503" w:rsidRPr="009F2142">
              <w:rPr>
                <w:noProof/>
                <w:spacing w:val="-8"/>
              </w:rPr>
              <w:t xml:space="preserve"> </w:t>
            </w:r>
            <w:r w:rsidR="00147914" w:rsidRPr="009F2142">
              <w:rPr>
                <w:noProof/>
                <w:spacing w:val="-8"/>
              </w:rPr>
              <w:t>by all new entrant rail operators surveyed.</w:t>
            </w:r>
            <w:r w:rsidR="00156857" w:rsidRPr="009F2142">
              <w:rPr>
                <w:noProof/>
                <w:spacing w:val="-8"/>
              </w:rPr>
              <w:t xml:space="preserve"> </w:t>
            </w:r>
            <w:r w:rsidR="00C0687D" w:rsidRPr="009F2142">
              <w:rPr>
                <w:noProof/>
                <w:spacing w:val="-8"/>
              </w:rPr>
              <w:t xml:space="preserve">On the contrary, indispensable RUs </w:t>
            </w:r>
            <w:r w:rsidR="00C23E65">
              <w:rPr>
                <w:noProof/>
                <w:spacing w:val="-8"/>
              </w:rPr>
              <w:t>were</w:t>
            </w:r>
            <w:r w:rsidR="00C23E65" w:rsidRPr="009F2142">
              <w:rPr>
                <w:noProof/>
                <w:spacing w:val="-8"/>
              </w:rPr>
              <w:t xml:space="preserve"> </w:t>
            </w:r>
            <w:r w:rsidR="007B5259" w:rsidRPr="009F2142">
              <w:rPr>
                <w:noProof/>
                <w:spacing w:val="-8"/>
              </w:rPr>
              <w:t xml:space="preserve">strongly opposed </w:t>
            </w:r>
            <w:r w:rsidR="00C23E65">
              <w:rPr>
                <w:noProof/>
                <w:spacing w:val="-8"/>
              </w:rPr>
              <w:t xml:space="preserve">to </w:t>
            </w:r>
            <w:r w:rsidR="007B5259" w:rsidRPr="009F2142">
              <w:rPr>
                <w:noProof/>
                <w:spacing w:val="-8"/>
              </w:rPr>
              <w:t>these measures</w:t>
            </w:r>
            <w:r w:rsidR="003F6E31" w:rsidRPr="009F2142">
              <w:rPr>
                <w:noProof/>
                <w:spacing w:val="-8"/>
              </w:rPr>
              <w:t xml:space="preserve">, </w:t>
            </w:r>
            <w:r w:rsidR="00726E50" w:rsidRPr="009F2142">
              <w:rPr>
                <w:noProof/>
                <w:spacing w:val="-8"/>
              </w:rPr>
              <w:t>perceiving the</w:t>
            </w:r>
            <w:r w:rsidR="00F86A0E" w:rsidRPr="009F2142">
              <w:rPr>
                <w:noProof/>
                <w:spacing w:val="-8"/>
              </w:rPr>
              <w:t>m</w:t>
            </w:r>
            <w:r w:rsidR="00726E50" w:rsidRPr="009F2142">
              <w:rPr>
                <w:noProof/>
                <w:spacing w:val="-8"/>
              </w:rPr>
              <w:t xml:space="preserve"> </w:t>
            </w:r>
            <w:r w:rsidR="00F86A0E" w:rsidRPr="009F2142">
              <w:rPr>
                <w:noProof/>
                <w:spacing w:val="-8"/>
              </w:rPr>
              <w:t>as</w:t>
            </w:r>
            <w:r w:rsidR="00726E50" w:rsidRPr="009F2142">
              <w:rPr>
                <w:noProof/>
                <w:spacing w:val="-8"/>
              </w:rPr>
              <w:t xml:space="preserve"> ineffective</w:t>
            </w:r>
            <w:r w:rsidR="00F86A0E" w:rsidRPr="009F2142">
              <w:rPr>
                <w:noProof/>
                <w:spacing w:val="-8"/>
              </w:rPr>
              <w:t xml:space="preserve">, </w:t>
            </w:r>
            <w:r w:rsidR="00D46C41" w:rsidRPr="009F2142">
              <w:rPr>
                <w:noProof/>
                <w:spacing w:val="-8"/>
              </w:rPr>
              <w:t>interfering with their commercial freedom</w:t>
            </w:r>
            <w:r w:rsidR="00726E50" w:rsidRPr="009F2142">
              <w:rPr>
                <w:noProof/>
                <w:spacing w:val="-8"/>
              </w:rPr>
              <w:t xml:space="preserve">. In particular PM13, </w:t>
            </w:r>
            <w:r w:rsidR="001433C5" w:rsidRPr="009F2142">
              <w:rPr>
                <w:noProof/>
                <w:spacing w:val="-8"/>
              </w:rPr>
              <w:t>PM</w:t>
            </w:r>
            <w:r w:rsidR="00726E50" w:rsidRPr="009F2142">
              <w:rPr>
                <w:noProof/>
                <w:spacing w:val="-8"/>
              </w:rPr>
              <w:t xml:space="preserve">14 and </w:t>
            </w:r>
            <w:r w:rsidR="001433C5" w:rsidRPr="009F2142">
              <w:rPr>
                <w:noProof/>
                <w:spacing w:val="-8"/>
              </w:rPr>
              <w:t>PM</w:t>
            </w:r>
            <w:r w:rsidR="00726E50" w:rsidRPr="009F2142">
              <w:rPr>
                <w:noProof/>
                <w:spacing w:val="-8"/>
              </w:rPr>
              <w:t xml:space="preserve">15 </w:t>
            </w:r>
            <w:r w:rsidR="00C23E65">
              <w:rPr>
                <w:noProof/>
                <w:spacing w:val="-8"/>
              </w:rPr>
              <w:t>were</w:t>
            </w:r>
            <w:r w:rsidR="00C23E65" w:rsidRPr="009F2142">
              <w:rPr>
                <w:noProof/>
                <w:spacing w:val="-8"/>
              </w:rPr>
              <w:t xml:space="preserve"> </w:t>
            </w:r>
            <w:r w:rsidR="00726E50" w:rsidRPr="009F2142">
              <w:rPr>
                <w:noProof/>
                <w:spacing w:val="-8"/>
              </w:rPr>
              <w:t xml:space="preserve">perceived as </w:t>
            </w:r>
            <w:r w:rsidR="00824D22" w:rsidRPr="009F2142">
              <w:rPr>
                <w:noProof/>
                <w:spacing w:val="-8"/>
              </w:rPr>
              <w:t>too interventionist</w:t>
            </w:r>
            <w:r w:rsidR="00A2291D" w:rsidRPr="009F2142">
              <w:rPr>
                <w:noProof/>
                <w:spacing w:val="-8"/>
              </w:rPr>
              <w:t>, with</w:t>
            </w:r>
            <w:r w:rsidR="00731295" w:rsidRPr="009F2142">
              <w:rPr>
                <w:noProof/>
                <w:spacing w:val="-8"/>
              </w:rPr>
              <w:t xml:space="preserve"> 4 out of 5 indispensable RUs surveyed</w:t>
            </w:r>
            <w:r w:rsidR="00726E50" w:rsidRPr="009F2142">
              <w:rPr>
                <w:noProof/>
                <w:spacing w:val="-8"/>
              </w:rPr>
              <w:t xml:space="preserve"> </w:t>
            </w:r>
            <w:r w:rsidR="00033E95" w:rsidRPr="009F2142">
              <w:rPr>
                <w:noProof/>
                <w:spacing w:val="-8"/>
              </w:rPr>
              <w:t>perceiving</w:t>
            </w:r>
            <w:r w:rsidR="00A2291D" w:rsidRPr="009F2142">
              <w:rPr>
                <w:noProof/>
                <w:spacing w:val="-8"/>
              </w:rPr>
              <w:t xml:space="preserve"> </w:t>
            </w:r>
            <w:r w:rsidR="007442BE" w:rsidRPr="009F2142">
              <w:rPr>
                <w:noProof/>
                <w:spacing w:val="-8"/>
              </w:rPr>
              <w:t xml:space="preserve">each of </w:t>
            </w:r>
            <w:r w:rsidR="00A2291D" w:rsidRPr="009F2142">
              <w:rPr>
                <w:noProof/>
                <w:spacing w:val="-8"/>
              </w:rPr>
              <w:t>these PMs ineffective</w:t>
            </w:r>
            <w:r w:rsidR="00C3088E" w:rsidRPr="009F2142">
              <w:rPr>
                <w:noProof/>
                <w:spacing w:val="-8"/>
              </w:rPr>
              <w:t xml:space="preserve">, potentially </w:t>
            </w:r>
            <w:r w:rsidR="00C3088E" w:rsidRPr="00BE4605">
              <w:rPr>
                <w:noProof/>
                <w:spacing w:val="-8"/>
              </w:rPr>
              <w:t>creat</w:t>
            </w:r>
            <w:r w:rsidR="00C3088E">
              <w:rPr>
                <w:noProof/>
                <w:spacing w:val="-8"/>
              </w:rPr>
              <w:t>ing</w:t>
            </w:r>
            <w:r w:rsidR="00C3088E" w:rsidRPr="00BE4605">
              <w:rPr>
                <w:noProof/>
                <w:spacing w:val="-8"/>
              </w:rPr>
              <w:t xml:space="preserve"> administrative burden and potentially </w:t>
            </w:r>
            <w:r w:rsidR="00C3088E" w:rsidRPr="009F2142">
              <w:rPr>
                <w:noProof/>
                <w:spacing w:val="-8"/>
              </w:rPr>
              <w:t>increas</w:t>
            </w:r>
            <w:r w:rsidR="00C23E65">
              <w:rPr>
                <w:noProof/>
                <w:spacing w:val="-8"/>
              </w:rPr>
              <w:t>ing</w:t>
            </w:r>
            <w:r w:rsidR="00C3088E" w:rsidRPr="00BE4605">
              <w:rPr>
                <w:noProof/>
                <w:spacing w:val="-8"/>
              </w:rPr>
              <w:t xml:space="preserve"> ticket price</w:t>
            </w:r>
            <w:r w:rsidR="00C3088E">
              <w:rPr>
                <w:noProof/>
                <w:spacing w:val="-8"/>
              </w:rPr>
              <w:t xml:space="preserve"> and </w:t>
            </w:r>
            <w:r w:rsidR="00C3088E" w:rsidRPr="009F2142">
              <w:rPr>
                <w:noProof/>
                <w:spacing w:val="-8"/>
              </w:rPr>
              <w:t>increas</w:t>
            </w:r>
            <w:r w:rsidR="00C23E65">
              <w:rPr>
                <w:noProof/>
                <w:spacing w:val="-8"/>
              </w:rPr>
              <w:t>ing</w:t>
            </w:r>
            <w:r w:rsidR="00C3088E">
              <w:rPr>
                <w:noProof/>
                <w:spacing w:val="-8"/>
              </w:rPr>
              <w:t xml:space="preserve"> market concentration</w:t>
            </w:r>
            <w:r w:rsidR="00C3088E" w:rsidRPr="00BE4605">
              <w:rPr>
                <w:noProof/>
                <w:spacing w:val="-8"/>
              </w:rPr>
              <w:t>.</w:t>
            </w:r>
          </w:p>
          <w:p w14:paraId="077A55FE" w14:textId="4C34BDAB" w:rsidR="007442BE" w:rsidRPr="009F2142" w:rsidRDefault="007442BE" w:rsidP="009707D0">
            <w:pPr>
              <w:spacing w:after="240"/>
              <w:jc w:val="both"/>
              <w:rPr>
                <w:noProof/>
                <w:spacing w:val="-8"/>
              </w:rPr>
            </w:pPr>
            <w:r w:rsidRPr="009F2142">
              <w:rPr>
                <w:noProof/>
                <w:spacing w:val="-8"/>
              </w:rPr>
              <w:t xml:space="preserve">For MDMS platforms, the views </w:t>
            </w:r>
            <w:r w:rsidR="00A847F8" w:rsidRPr="009F2142">
              <w:rPr>
                <w:noProof/>
                <w:spacing w:val="-8"/>
              </w:rPr>
              <w:t xml:space="preserve">of </w:t>
            </w:r>
            <w:r w:rsidR="00164E53" w:rsidRPr="009F2142">
              <w:rPr>
                <w:noProof/>
                <w:spacing w:val="-8"/>
              </w:rPr>
              <w:t xml:space="preserve">SMEs compared to </w:t>
            </w:r>
            <w:r w:rsidR="00F97CC5">
              <w:rPr>
                <w:noProof/>
                <w:spacing w:val="-8"/>
              </w:rPr>
              <w:t>non-SME</w:t>
            </w:r>
            <w:r w:rsidR="00F97CC5" w:rsidRPr="009F2142">
              <w:rPr>
                <w:noProof/>
                <w:spacing w:val="-8"/>
              </w:rPr>
              <w:t xml:space="preserve"> </w:t>
            </w:r>
            <w:r w:rsidR="00164E53" w:rsidRPr="009F2142">
              <w:rPr>
                <w:noProof/>
                <w:spacing w:val="-8"/>
              </w:rPr>
              <w:t xml:space="preserve">MDMS platforms </w:t>
            </w:r>
            <w:r w:rsidR="00742F8C" w:rsidRPr="009F2142">
              <w:rPr>
                <w:noProof/>
                <w:spacing w:val="-8"/>
              </w:rPr>
              <w:t xml:space="preserve">did not </w:t>
            </w:r>
            <w:r w:rsidR="00962343" w:rsidRPr="009F2142">
              <w:rPr>
                <w:noProof/>
                <w:spacing w:val="-8"/>
              </w:rPr>
              <w:t xml:space="preserve">substantially </w:t>
            </w:r>
            <w:r w:rsidR="00164E53" w:rsidRPr="009F2142">
              <w:rPr>
                <w:noProof/>
                <w:spacing w:val="-8"/>
              </w:rPr>
              <w:t>var</w:t>
            </w:r>
            <w:r w:rsidR="00962343" w:rsidRPr="009F2142">
              <w:rPr>
                <w:noProof/>
                <w:spacing w:val="-8"/>
              </w:rPr>
              <w:t>y</w:t>
            </w:r>
            <w:r w:rsidR="001E1C34" w:rsidRPr="009F2142">
              <w:rPr>
                <w:noProof/>
                <w:spacing w:val="-8"/>
              </w:rPr>
              <w:t xml:space="preserve">, although SMEs tend to </w:t>
            </w:r>
            <w:r w:rsidR="006C3F65" w:rsidRPr="009F2142">
              <w:rPr>
                <w:noProof/>
                <w:spacing w:val="-8"/>
              </w:rPr>
              <w:t>agree to a large</w:t>
            </w:r>
            <w:r w:rsidR="008B0F19" w:rsidRPr="009F2142">
              <w:rPr>
                <w:noProof/>
                <w:spacing w:val="-8"/>
              </w:rPr>
              <w:t>r</w:t>
            </w:r>
            <w:r w:rsidR="006C3F65" w:rsidRPr="009F2142">
              <w:rPr>
                <w:noProof/>
                <w:spacing w:val="-8"/>
              </w:rPr>
              <w:t xml:space="preserve"> extent with the problems and policy</w:t>
            </w:r>
            <w:r w:rsidR="001E1C34" w:rsidRPr="009F2142">
              <w:rPr>
                <w:noProof/>
                <w:spacing w:val="-8"/>
              </w:rPr>
              <w:t xml:space="preserve"> measures</w:t>
            </w:r>
            <w:r w:rsidR="00164E53" w:rsidRPr="009F2142" w:rsidDel="006C3F65">
              <w:rPr>
                <w:noProof/>
                <w:spacing w:val="-8"/>
              </w:rPr>
              <w:t>.</w:t>
            </w:r>
            <w:r w:rsidR="00164E53" w:rsidRPr="009F2142">
              <w:rPr>
                <w:noProof/>
                <w:spacing w:val="-8"/>
              </w:rPr>
              <w:t xml:space="preserve"> </w:t>
            </w:r>
            <w:r w:rsidR="008B0F19" w:rsidRPr="009F2142">
              <w:rPr>
                <w:noProof/>
                <w:spacing w:val="-8"/>
              </w:rPr>
              <w:t xml:space="preserve">During </w:t>
            </w:r>
            <w:r w:rsidR="007451F0">
              <w:rPr>
                <w:noProof/>
                <w:spacing w:val="-8"/>
              </w:rPr>
              <w:t>the targeted survey</w:t>
            </w:r>
            <w:r w:rsidR="007451F0" w:rsidRPr="009F2142">
              <w:rPr>
                <w:noProof/>
                <w:spacing w:val="-8"/>
              </w:rPr>
              <w:t xml:space="preserve"> </w:t>
            </w:r>
            <w:r w:rsidR="008B0F19" w:rsidRPr="009F2142">
              <w:rPr>
                <w:noProof/>
                <w:spacing w:val="-8"/>
              </w:rPr>
              <w:t xml:space="preserve">and interviews, </w:t>
            </w:r>
            <w:r w:rsidR="008B0F19" w:rsidRPr="009F2142">
              <w:rPr>
                <w:b/>
                <w:noProof/>
                <w:spacing w:val="-8"/>
              </w:rPr>
              <w:t>b</w:t>
            </w:r>
            <w:r w:rsidR="00EA3918" w:rsidRPr="009F2142">
              <w:rPr>
                <w:b/>
                <w:noProof/>
                <w:spacing w:val="-8"/>
              </w:rPr>
              <w:t xml:space="preserve">oth </w:t>
            </w:r>
            <w:r w:rsidR="00196D6A" w:rsidRPr="009F2142">
              <w:rPr>
                <w:b/>
                <w:noProof/>
                <w:spacing w:val="-8"/>
              </w:rPr>
              <w:t>outlined the difficulties in concluding commercial agreement</w:t>
            </w:r>
            <w:r w:rsidR="000C22EB" w:rsidRPr="009F2142">
              <w:rPr>
                <w:b/>
                <w:noProof/>
                <w:spacing w:val="-8"/>
              </w:rPr>
              <w:t xml:space="preserve">s </w:t>
            </w:r>
            <w:r w:rsidR="00196D6A" w:rsidRPr="009F2142">
              <w:rPr>
                <w:b/>
                <w:noProof/>
                <w:spacing w:val="-8"/>
              </w:rPr>
              <w:t>on fair terms with large carriers</w:t>
            </w:r>
            <w:r w:rsidR="00090D04" w:rsidRPr="009F2142">
              <w:rPr>
                <w:noProof/>
                <w:spacing w:val="-8"/>
              </w:rPr>
              <w:t xml:space="preserve"> and </w:t>
            </w:r>
            <w:r w:rsidR="00090D04" w:rsidRPr="009F2142">
              <w:rPr>
                <w:b/>
                <w:noProof/>
                <w:spacing w:val="-8"/>
              </w:rPr>
              <w:t xml:space="preserve">welcomed the introduction of </w:t>
            </w:r>
            <w:r w:rsidR="00477C58" w:rsidRPr="009F2142">
              <w:rPr>
                <w:b/>
                <w:noProof/>
                <w:spacing w:val="-8"/>
              </w:rPr>
              <w:t xml:space="preserve">principles to </w:t>
            </w:r>
            <w:r w:rsidR="00EE4E9D" w:rsidRPr="009F2142">
              <w:rPr>
                <w:b/>
                <w:noProof/>
                <w:spacing w:val="-8"/>
              </w:rPr>
              <w:t>ensure</w:t>
            </w:r>
            <w:r w:rsidR="001D711E" w:rsidRPr="009F2142">
              <w:rPr>
                <w:b/>
                <w:noProof/>
                <w:spacing w:val="-8"/>
              </w:rPr>
              <w:t xml:space="preserve"> </w:t>
            </w:r>
            <w:r w:rsidR="00477C58" w:rsidRPr="009F2142">
              <w:rPr>
                <w:b/>
                <w:noProof/>
                <w:spacing w:val="-8"/>
              </w:rPr>
              <w:t>fair commercial agreements</w:t>
            </w:r>
            <w:r w:rsidR="00425631" w:rsidRPr="009F2142">
              <w:rPr>
                <w:noProof/>
                <w:spacing w:val="-8"/>
              </w:rPr>
              <w:t xml:space="preserve">. </w:t>
            </w:r>
            <w:r w:rsidR="001540BA" w:rsidRPr="009F2142">
              <w:rPr>
                <w:noProof/>
                <w:spacing w:val="-8"/>
              </w:rPr>
              <w:t xml:space="preserve">In that sense, </w:t>
            </w:r>
            <w:r w:rsidR="006F71F0" w:rsidRPr="009F2142">
              <w:rPr>
                <w:noProof/>
                <w:spacing w:val="-8"/>
              </w:rPr>
              <w:t xml:space="preserve">an SME MSE outlined </w:t>
            </w:r>
            <w:r w:rsidR="00BF335E" w:rsidRPr="009F2142">
              <w:rPr>
                <w:noProof/>
                <w:spacing w:val="-8"/>
              </w:rPr>
              <w:t xml:space="preserve">in </w:t>
            </w:r>
            <w:r w:rsidR="00854845">
              <w:rPr>
                <w:noProof/>
                <w:spacing w:val="-8"/>
              </w:rPr>
              <w:t xml:space="preserve">an </w:t>
            </w:r>
            <w:r w:rsidR="00BF335E" w:rsidRPr="009F2142">
              <w:rPr>
                <w:noProof/>
                <w:spacing w:val="-8"/>
              </w:rPr>
              <w:t>interview</w:t>
            </w:r>
            <w:r w:rsidR="006F71F0" w:rsidRPr="009F2142">
              <w:rPr>
                <w:noProof/>
                <w:spacing w:val="-8"/>
              </w:rPr>
              <w:t xml:space="preserve"> the </w:t>
            </w:r>
            <w:r w:rsidR="00B14A8A" w:rsidRPr="009F2142">
              <w:rPr>
                <w:noProof/>
                <w:spacing w:val="-8"/>
              </w:rPr>
              <w:t>need to “promote cooperation between actors”</w:t>
            </w:r>
            <w:r w:rsidR="0009753A">
              <w:rPr>
                <w:noProof/>
                <w:spacing w:val="-8"/>
              </w:rPr>
              <w:t>.</w:t>
            </w:r>
            <w:r w:rsidR="007F07CC" w:rsidRPr="009F2142">
              <w:rPr>
                <w:noProof/>
                <w:spacing w:val="-8"/>
              </w:rPr>
              <w:t xml:space="preserve"> </w:t>
            </w:r>
            <w:r w:rsidR="0009753A">
              <w:rPr>
                <w:noProof/>
                <w:spacing w:val="-8"/>
              </w:rPr>
              <w:t>A</w:t>
            </w:r>
            <w:r w:rsidR="007F07CC" w:rsidRPr="009F2142">
              <w:rPr>
                <w:noProof/>
                <w:spacing w:val="-8"/>
              </w:rPr>
              <w:t xml:space="preserve">n SME CRS </w:t>
            </w:r>
            <w:r w:rsidR="0009753A">
              <w:rPr>
                <w:noProof/>
                <w:spacing w:val="-8"/>
              </w:rPr>
              <w:t>outlined</w:t>
            </w:r>
            <w:r w:rsidR="007F07CC">
              <w:rPr>
                <w:noProof/>
                <w:spacing w:val="-8"/>
              </w:rPr>
              <w:t xml:space="preserve"> </w:t>
            </w:r>
            <w:r w:rsidR="0066276D" w:rsidRPr="009F2142">
              <w:rPr>
                <w:noProof/>
                <w:spacing w:val="-8"/>
              </w:rPr>
              <w:t xml:space="preserve">how </w:t>
            </w:r>
            <w:r w:rsidR="000C22A5" w:rsidRPr="009F2142">
              <w:rPr>
                <w:noProof/>
                <w:spacing w:val="-8"/>
              </w:rPr>
              <w:t xml:space="preserve">“creating standardized commercial agreements is crucial </w:t>
            </w:r>
            <w:r w:rsidR="00542871" w:rsidRPr="009F2142">
              <w:rPr>
                <w:noProof/>
                <w:spacing w:val="-8"/>
              </w:rPr>
              <w:t>to improving MDMS functionality”</w:t>
            </w:r>
            <w:r w:rsidR="00831C8F" w:rsidRPr="009F2142">
              <w:rPr>
                <w:noProof/>
                <w:spacing w:val="-8"/>
              </w:rPr>
              <w:t xml:space="preserve"> while</w:t>
            </w:r>
            <w:r w:rsidR="00DF5E2E" w:rsidRPr="009F2142">
              <w:rPr>
                <w:noProof/>
                <w:spacing w:val="-8"/>
              </w:rPr>
              <w:t xml:space="preserve"> 2 MDMS industry associations representing larg</w:t>
            </w:r>
            <w:r w:rsidR="001650F6" w:rsidRPr="009F2142">
              <w:rPr>
                <w:noProof/>
                <w:spacing w:val="-8"/>
              </w:rPr>
              <w:t>e</w:t>
            </w:r>
            <w:r w:rsidR="00DF5E2E" w:rsidRPr="009F2142">
              <w:rPr>
                <w:noProof/>
                <w:spacing w:val="-8"/>
              </w:rPr>
              <w:t xml:space="preserve"> MDMSs</w:t>
            </w:r>
            <w:r w:rsidR="00216316" w:rsidRPr="009F2142">
              <w:rPr>
                <w:noProof/>
                <w:spacing w:val="-8"/>
              </w:rPr>
              <w:t xml:space="preserve"> </w:t>
            </w:r>
            <w:r w:rsidR="001650F6" w:rsidRPr="009F2142">
              <w:rPr>
                <w:noProof/>
                <w:spacing w:val="-8"/>
              </w:rPr>
              <w:t xml:space="preserve">(ADN Mobilités and EUTT) </w:t>
            </w:r>
            <w:r w:rsidR="00216316" w:rsidRPr="009F2142">
              <w:rPr>
                <w:noProof/>
                <w:spacing w:val="-8"/>
              </w:rPr>
              <w:t>outlined that</w:t>
            </w:r>
            <w:r w:rsidR="00DF5E2E" w:rsidRPr="009F2142">
              <w:rPr>
                <w:noProof/>
                <w:spacing w:val="-8"/>
              </w:rPr>
              <w:t xml:space="preserve"> </w:t>
            </w:r>
            <w:r w:rsidR="00216316" w:rsidRPr="009F2142">
              <w:rPr>
                <w:rFonts w:cs="Arial"/>
                <w:noProof/>
                <w:spacing w:val="-8"/>
              </w:rPr>
              <w:t>implementing explicit FRAND principles</w:t>
            </w:r>
            <w:r w:rsidR="001650F6" w:rsidRPr="009F2142">
              <w:rPr>
                <w:rFonts w:cs="Arial"/>
                <w:noProof/>
                <w:spacing w:val="-8"/>
              </w:rPr>
              <w:t xml:space="preserve"> </w:t>
            </w:r>
            <w:r w:rsidR="008F3988" w:rsidRPr="009F2142">
              <w:rPr>
                <w:rFonts w:cs="Arial"/>
                <w:noProof/>
                <w:spacing w:val="-8"/>
              </w:rPr>
              <w:t xml:space="preserve">applied to transport operators </w:t>
            </w:r>
            <w:r w:rsidR="001650F6" w:rsidRPr="009F2142">
              <w:rPr>
                <w:rFonts w:cs="Arial"/>
                <w:noProof/>
                <w:spacing w:val="-8"/>
              </w:rPr>
              <w:t>would be beneficial</w:t>
            </w:r>
            <w:r w:rsidR="00216316" w:rsidRPr="009F2142">
              <w:rPr>
                <w:rFonts w:cs="Arial"/>
                <w:noProof/>
                <w:spacing w:val="-8"/>
              </w:rPr>
              <w:t xml:space="preserve"> to enable transparency and efficiency within the ecosystem</w:t>
            </w:r>
            <w:r w:rsidR="001650F6" w:rsidRPr="009F2142">
              <w:rPr>
                <w:rFonts w:cs="Arial"/>
                <w:noProof/>
                <w:spacing w:val="-8"/>
              </w:rPr>
              <w:t>.</w:t>
            </w:r>
            <w:r w:rsidR="00216316" w:rsidRPr="009F2142">
              <w:rPr>
                <w:rFonts w:cs="Arial"/>
                <w:noProof/>
                <w:spacing w:val="-8"/>
              </w:rPr>
              <w:t xml:space="preserve"> </w:t>
            </w:r>
            <w:r w:rsidR="00660103" w:rsidRPr="009F2142">
              <w:rPr>
                <w:noProof/>
                <w:spacing w:val="-8"/>
              </w:rPr>
              <w:t xml:space="preserve">However, it must be noted that large MDMS platforms tend to </w:t>
            </w:r>
            <w:r w:rsidR="00E00A09" w:rsidRPr="00BE4605">
              <w:rPr>
                <w:rFonts w:eastAsiaTheme="minorEastAsia"/>
                <w:noProof/>
                <w:spacing w:val="-8"/>
              </w:rPr>
              <w:t xml:space="preserve">question the effectiveness of imposing principles on distribution fees and rules forbidding highly restrictive clauses on </w:t>
            </w:r>
            <w:r w:rsidR="00467597">
              <w:rPr>
                <w:rFonts w:eastAsiaTheme="minorEastAsia"/>
                <w:noProof/>
                <w:spacing w:val="-8"/>
              </w:rPr>
              <w:t>indispensable MDMS platforms (PM11)</w:t>
            </w:r>
            <w:r w:rsidR="00E00A09" w:rsidRPr="00BE4605">
              <w:rPr>
                <w:rFonts w:eastAsiaTheme="minorEastAsia"/>
                <w:noProof/>
                <w:spacing w:val="-8"/>
              </w:rPr>
              <w:t>, as they claim they would have no incentive to block access to their platform</w:t>
            </w:r>
            <w:r w:rsidR="00467597">
              <w:rPr>
                <w:rFonts w:eastAsiaTheme="minorEastAsia"/>
                <w:noProof/>
                <w:spacing w:val="-8"/>
              </w:rPr>
              <w:t xml:space="preserve">. </w:t>
            </w:r>
            <w:r w:rsidR="00467597" w:rsidRPr="00B50043">
              <w:rPr>
                <w:rFonts w:eastAsiaTheme="minorEastAsia"/>
                <w:b/>
                <w:noProof/>
                <w:spacing w:val="-8"/>
              </w:rPr>
              <w:t>SME MDMS</w:t>
            </w:r>
            <w:r w:rsidR="00467597">
              <w:rPr>
                <w:rFonts w:eastAsiaTheme="minorEastAsia"/>
                <w:noProof/>
                <w:spacing w:val="-8"/>
              </w:rPr>
              <w:t xml:space="preserve"> did not make such allegations in the survey and</w:t>
            </w:r>
            <w:r w:rsidR="00384A12">
              <w:rPr>
                <w:rFonts w:eastAsiaTheme="minorEastAsia"/>
                <w:noProof/>
                <w:spacing w:val="-8"/>
              </w:rPr>
              <w:t xml:space="preserve"> </w:t>
            </w:r>
            <w:r w:rsidR="00384A12" w:rsidRPr="009F2142">
              <w:rPr>
                <w:noProof/>
                <w:spacing w:val="-8"/>
              </w:rPr>
              <w:t xml:space="preserve">seem </w:t>
            </w:r>
            <w:r w:rsidR="00384A12" w:rsidRPr="009F2142">
              <w:rPr>
                <w:b/>
                <w:noProof/>
                <w:spacing w:val="-8"/>
              </w:rPr>
              <w:t xml:space="preserve">more attached to the </w:t>
            </w:r>
            <w:r w:rsidR="00A55981" w:rsidRPr="009F2142">
              <w:rPr>
                <w:b/>
                <w:noProof/>
                <w:spacing w:val="-8"/>
              </w:rPr>
              <w:t>introduction of fair principles</w:t>
            </w:r>
            <w:r w:rsidR="00A55981" w:rsidRPr="009F2142">
              <w:rPr>
                <w:noProof/>
                <w:spacing w:val="-8"/>
              </w:rPr>
              <w:t xml:space="preserve"> </w:t>
            </w:r>
            <w:r w:rsidR="00467597" w:rsidRPr="009F2142">
              <w:rPr>
                <w:noProof/>
                <w:spacing w:val="-8"/>
              </w:rPr>
              <w:t>overall</w:t>
            </w:r>
            <w:r w:rsidR="00A55981" w:rsidRPr="009F2142">
              <w:rPr>
                <w:noProof/>
                <w:spacing w:val="-8"/>
              </w:rPr>
              <w:t xml:space="preserve">. In the OPC, </w:t>
            </w:r>
            <w:r w:rsidR="00CB6475" w:rsidRPr="009F2142">
              <w:rPr>
                <w:noProof/>
                <w:spacing w:val="-8"/>
              </w:rPr>
              <w:t xml:space="preserve">this aspect </w:t>
            </w:r>
            <w:r w:rsidR="00430317" w:rsidRPr="009F2142">
              <w:rPr>
                <w:noProof/>
                <w:spacing w:val="-8"/>
              </w:rPr>
              <w:t xml:space="preserve">was ranked higher than average by SMEs, indicating that </w:t>
            </w:r>
            <w:r w:rsidR="003C69B5">
              <w:rPr>
                <w:noProof/>
                <w:spacing w:val="-8"/>
              </w:rPr>
              <w:t>in their</w:t>
            </w:r>
            <w:r w:rsidR="00430317" w:rsidRPr="009F2142">
              <w:rPr>
                <w:noProof/>
                <w:spacing w:val="-8"/>
              </w:rPr>
              <w:t xml:space="preserve"> view </w:t>
            </w:r>
            <w:r w:rsidR="003C69B5">
              <w:rPr>
                <w:noProof/>
                <w:spacing w:val="-8"/>
              </w:rPr>
              <w:t>this is</w:t>
            </w:r>
            <w:r w:rsidR="00430317" w:rsidRPr="009F2142">
              <w:rPr>
                <w:noProof/>
                <w:spacing w:val="-8"/>
              </w:rPr>
              <w:t xml:space="preserve"> a more important priority than </w:t>
            </w:r>
            <w:r w:rsidR="00290FA2">
              <w:rPr>
                <w:noProof/>
                <w:spacing w:val="-8"/>
              </w:rPr>
              <w:t xml:space="preserve">for </w:t>
            </w:r>
            <w:r w:rsidR="00430317" w:rsidRPr="009F2142">
              <w:rPr>
                <w:noProof/>
                <w:spacing w:val="-8"/>
              </w:rPr>
              <w:t>the broader respondent group.</w:t>
            </w:r>
          </w:p>
          <w:p w14:paraId="1CBF9287" w14:textId="0B709184" w:rsidR="005A271C" w:rsidRPr="004E336D" w:rsidRDefault="005A271C" w:rsidP="005A271C">
            <w:pPr>
              <w:rPr>
                <w:i/>
                <w:noProof/>
              </w:rPr>
            </w:pPr>
          </w:p>
        </w:tc>
      </w:tr>
    </w:tbl>
    <w:p w14:paraId="4AEEFD59" w14:textId="77777777" w:rsidR="005A271C" w:rsidRPr="005A271C" w:rsidRDefault="005A271C" w:rsidP="005A271C">
      <w:pPr>
        <w:rPr>
          <w:b/>
          <w:noProof/>
        </w:rPr>
      </w:pP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3"/>
      </w:tblGrid>
      <w:tr w:rsidR="005A271C" w:rsidRPr="005A271C" w14:paraId="5F5587F7" w14:textId="77777777" w:rsidTr="00667E6F">
        <w:trPr>
          <w:trHeight w:val="300"/>
        </w:trPr>
        <w:tc>
          <w:tcPr>
            <w:tcW w:w="5000" w:type="pct"/>
            <w:tcBorders>
              <w:top w:val="single" w:sz="4" w:space="0" w:color="auto"/>
              <w:left w:val="single" w:sz="4" w:space="0" w:color="auto"/>
              <w:bottom w:val="single" w:sz="4" w:space="0" w:color="auto"/>
              <w:right w:val="single" w:sz="4" w:space="0" w:color="auto"/>
            </w:tcBorders>
            <w:hideMark/>
          </w:tcPr>
          <w:p w14:paraId="4D7A13C7" w14:textId="77777777" w:rsidR="005A271C" w:rsidRPr="004E336D" w:rsidRDefault="005A271C" w:rsidP="001979E4">
            <w:pPr>
              <w:numPr>
                <w:ilvl w:val="0"/>
                <w:numId w:val="32"/>
              </w:numPr>
              <w:ind w:left="447" w:hanging="447"/>
              <w:rPr>
                <w:b/>
                <w:noProof/>
              </w:rPr>
            </w:pPr>
            <w:r w:rsidRPr="004E336D">
              <w:rPr>
                <w:b/>
                <w:noProof/>
              </w:rPr>
              <w:t>Assessment of impacts on SMEs</w:t>
            </w:r>
            <w:r w:rsidRPr="004E336D">
              <w:rPr>
                <w:b/>
                <w:noProof/>
                <w:vertAlign w:val="superscript"/>
              </w:rPr>
              <w:footnoteReference w:id="362"/>
            </w:r>
          </w:p>
        </w:tc>
      </w:tr>
      <w:tr w:rsidR="005A271C" w:rsidRPr="005A271C" w14:paraId="1F078ADD" w14:textId="77777777" w:rsidTr="00667E6F">
        <w:trPr>
          <w:trHeight w:val="300"/>
        </w:trPr>
        <w:tc>
          <w:tcPr>
            <w:tcW w:w="5000" w:type="pct"/>
            <w:tcBorders>
              <w:top w:val="single" w:sz="4" w:space="0" w:color="auto"/>
              <w:left w:val="single" w:sz="4" w:space="0" w:color="auto"/>
              <w:bottom w:val="single" w:sz="4" w:space="0" w:color="auto"/>
              <w:right w:val="single" w:sz="4" w:space="0" w:color="auto"/>
            </w:tcBorders>
            <w:hideMark/>
          </w:tcPr>
          <w:p w14:paraId="6F4E044A" w14:textId="3FA0F8C8" w:rsidR="005A271C" w:rsidRPr="005A271C" w:rsidRDefault="005A271C" w:rsidP="005A271C">
            <w:pPr>
              <w:rPr>
                <w:noProof/>
              </w:rPr>
            </w:pPr>
            <w:r w:rsidRPr="005A271C">
              <w:rPr>
                <w:b/>
                <w:bCs/>
                <w:noProof/>
              </w:rPr>
              <w:t>What are the estimated direct costs for SMEs of the preferred policy option</w:t>
            </w:r>
            <w:r w:rsidRPr="005A271C">
              <w:rPr>
                <w:b/>
                <w:bCs/>
                <w:i/>
                <w:iCs/>
                <w:noProof/>
              </w:rPr>
              <w:t>?</w:t>
            </w:r>
            <w:r w:rsidRPr="005A271C">
              <w:rPr>
                <w:noProof/>
              </w:rPr>
              <w:t xml:space="preserve"> </w:t>
            </w:r>
          </w:p>
        </w:tc>
      </w:tr>
      <w:tr w:rsidR="005A271C" w:rsidRPr="005A271C" w14:paraId="2D06C17A" w14:textId="77777777" w:rsidTr="00667E6F">
        <w:trPr>
          <w:trHeight w:val="300"/>
        </w:trPr>
        <w:tc>
          <w:tcPr>
            <w:tcW w:w="5000" w:type="pct"/>
            <w:tcBorders>
              <w:top w:val="single" w:sz="4" w:space="0" w:color="auto"/>
              <w:left w:val="single" w:sz="4" w:space="0" w:color="auto"/>
              <w:bottom w:val="single" w:sz="4" w:space="0" w:color="auto"/>
              <w:right w:val="single" w:sz="4" w:space="0" w:color="auto"/>
            </w:tcBorders>
            <w:hideMark/>
          </w:tcPr>
          <w:p w14:paraId="7F66FD0C" w14:textId="77777777" w:rsidR="005A271C" w:rsidRPr="005A271C" w:rsidRDefault="005A271C" w:rsidP="005A271C">
            <w:pPr>
              <w:rPr>
                <w:i/>
                <w:iCs/>
                <w:noProof/>
              </w:rPr>
            </w:pPr>
            <w:bookmarkStart w:id="2105" w:name="_Hlk189835363"/>
            <w:r w:rsidRPr="005A271C">
              <w:rPr>
                <w:b/>
                <w:bCs/>
                <w:i/>
                <w:iCs/>
                <w:noProof/>
              </w:rPr>
              <w:t>Qualitative assessment</w:t>
            </w:r>
          </w:p>
        </w:tc>
      </w:tr>
      <w:tr w:rsidR="005A271C" w:rsidRPr="005A271C" w14:paraId="6855EF4A" w14:textId="77777777" w:rsidTr="00667E6F">
        <w:trPr>
          <w:trHeight w:val="300"/>
        </w:trPr>
        <w:tc>
          <w:tcPr>
            <w:tcW w:w="5000" w:type="pct"/>
            <w:tcBorders>
              <w:top w:val="single" w:sz="4" w:space="0" w:color="auto"/>
              <w:left w:val="single" w:sz="4" w:space="0" w:color="auto"/>
              <w:bottom w:val="single" w:sz="4" w:space="0" w:color="auto"/>
              <w:right w:val="single" w:sz="4" w:space="0" w:color="auto"/>
            </w:tcBorders>
            <w:hideMark/>
          </w:tcPr>
          <w:p w14:paraId="77393291" w14:textId="338CF3D3" w:rsidR="005A271C" w:rsidRPr="005A271C" w:rsidRDefault="00C06672" w:rsidP="005A271C">
            <w:pPr>
              <w:rPr>
                <w:i/>
                <w:iCs/>
                <w:noProof/>
              </w:rPr>
            </w:pPr>
            <w:r>
              <w:rPr>
                <w:i/>
                <w:iCs/>
                <w:noProof/>
              </w:rPr>
              <w:t>-</w:t>
            </w:r>
          </w:p>
        </w:tc>
      </w:tr>
      <w:tr w:rsidR="005A271C" w:rsidRPr="005A271C" w14:paraId="345F9D14" w14:textId="77777777" w:rsidTr="00667E6F">
        <w:trPr>
          <w:trHeight w:val="300"/>
        </w:trPr>
        <w:tc>
          <w:tcPr>
            <w:tcW w:w="5000" w:type="pct"/>
            <w:tcBorders>
              <w:top w:val="single" w:sz="4" w:space="0" w:color="auto"/>
              <w:left w:val="single" w:sz="4" w:space="0" w:color="auto"/>
              <w:bottom w:val="single" w:sz="4" w:space="0" w:color="auto"/>
              <w:right w:val="single" w:sz="4" w:space="0" w:color="auto"/>
            </w:tcBorders>
            <w:hideMark/>
          </w:tcPr>
          <w:p w14:paraId="43C9EB95" w14:textId="77777777" w:rsidR="005A271C" w:rsidRPr="00177EC1" w:rsidRDefault="005A271C" w:rsidP="005A271C">
            <w:pPr>
              <w:rPr>
                <w:b/>
                <w:bCs/>
                <w:i/>
                <w:iCs/>
                <w:noProof/>
              </w:rPr>
            </w:pPr>
            <w:r w:rsidRPr="00177EC1">
              <w:rPr>
                <w:b/>
                <w:bCs/>
                <w:i/>
                <w:iCs/>
                <w:noProof/>
              </w:rPr>
              <w:t>Quantitative assessment</w:t>
            </w:r>
          </w:p>
        </w:tc>
        <w:bookmarkEnd w:id="2105"/>
      </w:tr>
      <w:tr w:rsidR="005A271C" w:rsidRPr="005A271C" w14:paraId="22184216" w14:textId="77777777" w:rsidTr="00667E6F">
        <w:trPr>
          <w:trHeight w:val="300"/>
        </w:trPr>
        <w:tc>
          <w:tcPr>
            <w:tcW w:w="5000" w:type="pct"/>
            <w:tcBorders>
              <w:top w:val="single" w:sz="4" w:space="0" w:color="auto"/>
              <w:left w:val="single" w:sz="4" w:space="0" w:color="auto"/>
              <w:bottom w:val="single" w:sz="4" w:space="0" w:color="auto"/>
              <w:right w:val="single" w:sz="4" w:space="0" w:color="auto"/>
            </w:tcBorders>
            <w:hideMark/>
          </w:tcPr>
          <w:p w14:paraId="5319DBF6" w14:textId="0A749709" w:rsidR="005A271C" w:rsidRPr="00805846" w:rsidRDefault="001729F2" w:rsidP="00194F22">
            <w:pPr>
              <w:spacing w:after="240"/>
              <w:rPr>
                <w:noProof/>
                <w:spacing w:val="-8"/>
              </w:rPr>
            </w:pPr>
            <w:r w:rsidRPr="00194F22">
              <w:rPr>
                <w:noProof/>
                <w:spacing w:val="-8"/>
              </w:rPr>
              <w:t>There are no direct impacts associated to the preferred policy option.</w:t>
            </w:r>
          </w:p>
        </w:tc>
      </w:tr>
      <w:tr w:rsidR="005A271C" w:rsidRPr="005A271C" w14:paraId="40230D80" w14:textId="77777777" w:rsidTr="00667E6F">
        <w:trPr>
          <w:trHeight w:val="300"/>
        </w:trPr>
        <w:tc>
          <w:tcPr>
            <w:tcW w:w="5000" w:type="pct"/>
            <w:tcBorders>
              <w:top w:val="single" w:sz="4" w:space="0" w:color="auto"/>
              <w:left w:val="single" w:sz="4" w:space="0" w:color="auto"/>
              <w:bottom w:val="single" w:sz="4" w:space="0" w:color="auto"/>
              <w:right w:val="single" w:sz="4" w:space="0" w:color="auto"/>
            </w:tcBorders>
            <w:hideMark/>
          </w:tcPr>
          <w:p w14:paraId="17AC180B" w14:textId="01695CC0" w:rsidR="005A271C" w:rsidRPr="005A271C" w:rsidRDefault="005A271C" w:rsidP="00805846">
            <w:pPr>
              <w:jc w:val="both"/>
              <w:rPr>
                <w:b/>
                <w:bCs/>
                <w:noProof/>
              </w:rPr>
            </w:pPr>
            <w:r w:rsidRPr="005A271C">
              <w:rPr>
                <w:b/>
                <w:bCs/>
                <w:noProof/>
              </w:rPr>
              <w:t>What are the estimated direct benefits/cost savings for SMEs of the preferred policy option?</w:t>
            </w:r>
            <w:r w:rsidR="003F1EBA">
              <w:rPr>
                <w:b/>
                <w:bCs/>
                <w:noProof/>
              </w:rPr>
              <w:t xml:space="preserve"> </w:t>
            </w:r>
          </w:p>
        </w:tc>
      </w:tr>
      <w:tr w:rsidR="005A271C" w:rsidRPr="005A271C" w14:paraId="26F6ADAD" w14:textId="77777777" w:rsidTr="00667E6F">
        <w:trPr>
          <w:trHeight w:val="300"/>
        </w:trPr>
        <w:tc>
          <w:tcPr>
            <w:tcW w:w="5000" w:type="pct"/>
            <w:tcBorders>
              <w:top w:val="single" w:sz="4" w:space="0" w:color="auto"/>
              <w:left w:val="single" w:sz="4" w:space="0" w:color="auto"/>
              <w:bottom w:val="single" w:sz="4" w:space="0" w:color="auto"/>
              <w:right w:val="single" w:sz="4" w:space="0" w:color="auto"/>
            </w:tcBorders>
            <w:hideMark/>
          </w:tcPr>
          <w:p w14:paraId="1BC9C77C" w14:textId="77777777" w:rsidR="005A271C" w:rsidRPr="005A271C" w:rsidRDefault="005A271C" w:rsidP="005A271C">
            <w:pPr>
              <w:rPr>
                <w:noProof/>
              </w:rPr>
            </w:pPr>
            <w:r w:rsidRPr="005A271C">
              <w:rPr>
                <w:b/>
                <w:bCs/>
                <w:noProof/>
              </w:rPr>
              <w:t>Qualitative assessment</w:t>
            </w:r>
          </w:p>
        </w:tc>
      </w:tr>
      <w:tr w:rsidR="005A271C" w:rsidRPr="005A271C" w14:paraId="7D50AAEC" w14:textId="77777777" w:rsidTr="00667E6F">
        <w:trPr>
          <w:trHeight w:val="300"/>
        </w:trPr>
        <w:tc>
          <w:tcPr>
            <w:tcW w:w="5000" w:type="pct"/>
            <w:tcBorders>
              <w:top w:val="single" w:sz="4" w:space="0" w:color="auto"/>
              <w:left w:val="single" w:sz="4" w:space="0" w:color="auto"/>
              <w:bottom w:val="single" w:sz="4" w:space="0" w:color="auto"/>
              <w:right w:val="single" w:sz="4" w:space="0" w:color="auto"/>
            </w:tcBorders>
            <w:hideMark/>
          </w:tcPr>
          <w:p w14:paraId="60718037" w14:textId="637F31C7" w:rsidR="005A271C" w:rsidRPr="00194F22" w:rsidRDefault="00D453C9" w:rsidP="00194F22">
            <w:pPr>
              <w:spacing w:after="240"/>
              <w:rPr>
                <w:noProof/>
                <w:spacing w:val="-8"/>
              </w:rPr>
            </w:pPr>
            <w:r w:rsidRPr="00194F22">
              <w:rPr>
                <w:noProof/>
                <w:spacing w:val="-8"/>
              </w:rPr>
              <w:t>There are no direct impacts associated to the preferred policy option.</w:t>
            </w:r>
          </w:p>
        </w:tc>
      </w:tr>
      <w:tr w:rsidR="005A271C" w:rsidRPr="005A271C" w14:paraId="720344F3" w14:textId="77777777" w:rsidTr="00667E6F">
        <w:trPr>
          <w:trHeight w:val="300"/>
        </w:trPr>
        <w:tc>
          <w:tcPr>
            <w:tcW w:w="5000" w:type="pct"/>
            <w:tcBorders>
              <w:top w:val="single" w:sz="4" w:space="0" w:color="auto"/>
              <w:left w:val="single" w:sz="4" w:space="0" w:color="auto"/>
              <w:bottom w:val="single" w:sz="4" w:space="0" w:color="auto"/>
              <w:right w:val="single" w:sz="4" w:space="0" w:color="auto"/>
            </w:tcBorders>
            <w:hideMark/>
          </w:tcPr>
          <w:p w14:paraId="1ABA23FC" w14:textId="77777777" w:rsidR="005A271C" w:rsidRPr="005A271C" w:rsidRDefault="005A271C" w:rsidP="005A271C">
            <w:pPr>
              <w:rPr>
                <w:noProof/>
              </w:rPr>
            </w:pPr>
            <w:r w:rsidRPr="005A271C">
              <w:rPr>
                <w:b/>
                <w:bCs/>
                <w:noProof/>
              </w:rPr>
              <w:t>Quantitative assessment</w:t>
            </w:r>
          </w:p>
        </w:tc>
      </w:tr>
      <w:tr w:rsidR="00454D2B" w:rsidRPr="005A271C" w14:paraId="6501C398" w14:textId="77777777" w:rsidTr="00667E6F">
        <w:trPr>
          <w:trHeight w:val="300"/>
        </w:trPr>
        <w:tc>
          <w:tcPr>
            <w:tcW w:w="5000" w:type="pct"/>
            <w:tcBorders>
              <w:top w:val="single" w:sz="4" w:space="0" w:color="auto"/>
              <w:left w:val="single" w:sz="4" w:space="0" w:color="auto"/>
              <w:bottom w:val="single" w:sz="4" w:space="0" w:color="auto"/>
              <w:right w:val="single" w:sz="4" w:space="0" w:color="auto"/>
            </w:tcBorders>
          </w:tcPr>
          <w:p w14:paraId="1196E5FD" w14:textId="21226069" w:rsidR="00454D2B" w:rsidRPr="00194F22" w:rsidRDefault="00B80C98" w:rsidP="00194F22">
            <w:pPr>
              <w:spacing w:after="240"/>
              <w:rPr>
                <w:noProof/>
                <w:spacing w:val="-8"/>
              </w:rPr>
            </w:pPr>
            <w:r w:rsidRPr="00194F22">
              <w:rPr>
                <w:noProof/>
                <w:spacing w:val="-8"/>
              </w:rPr>
              <w:t>There are no direct impacts associated to the preferred policy option.</w:t>
            </w:r>
          </w:p>
        </w:tc>
      </w:tr>
      <w:tr w:rsidR="005A271C" w:rsidRPr="005A271C" w14:paraId="3C72D196" w14:textId="77777777" w:rsidTr="00667E6F">
        <w:trPr>
          <w:trHeight w:val="300"/>
        </w:trPr>
        <w:tc>
          <w:tcPr>
            <w:tcW w:w="5000" w:type="pct"/>
            <w:tcBorders>
              <w:top w:val="single" w:sz="4" w:space="0" w:color="auto"/>
              <w:left w:val="single" w:sz="4" w:space="0" w:color="auto"/>
              <w:bottom w:val="single" w:sz="4" w:space="0" w:color="auto"/>
              <w:right w:val="single" w:sz="4" w:space="0" w:color="auto"/>
            </w:tcBorders>
            <w:hideMark/>
          </w:tcPr>
          <w:p w14:paraId="345BAFC4" w14:textId="40CB2497" w:rsidR="005A271C" w:rsidRPr="005A271C" w:rsidRDefault="005A271C" w:rsidP="005A271C">
            <w:pPr>
              <w:rPr>
                <w:b/>
                <w:bCs/>
                <w:noProof/>
              </w:rPr>
            </w:pPr>
            <w:r w:rsidRPr="005A271C">
              <w:rPr>
                <w:b/>
                <w:bCs/>
                <w:noProof/>
              </w:rPr>
              <w:t xml:space="preserve">What are the indirect impacts of this initiative on SMEs? </w:t>
            </w:r>
          </w:p>
        </w:tc>
      </w:tr>
      <w:tr w:rsidR="005A271C" w:rsidRPr="005A271C" w14:paraId="602A7C6B" w14:textId="77777777" w:rsidTr="00667E6F">
        <w:trPr>
          <w:trHeight w:val="300"/>
        </w:trPr>
        <w:tc>
          <w:tcPr>
            <w:tcW w:w="5000" w:type="pct"/>
            <w:tcBorders>
              <w:top w:val="single" w:sz="4" w:space="0" w:color="auto"/>
              <w:left w:val="single" w:sz="4" w:space="0" w:color="auto"/>
              <w:bottom w:val="single" w:sz="4" w:space="0" w:color="auto"/>
              <w:right w:val="single" w:sz="4" w:space="0" w:color="auto"/>
            </w:tcBorders>
            <w:hideMark/>
          </w:tcPr>
          <w:p w14:paraId="1A6EB8A7" w14:textId="78337009" w:rsidR="00B843C9" w:rsidRPr="00194F22" w:rsidRDefault="00E34DCB" w:rsidP="00194F22">
            <w:pPr>
              <w:spacing w:after="240"/>
              <w:jc w:val="both"/>
              <w:rPr>
                <w:noProof/>
                <w:spacing w:val="-8"/>
              </w:rPr>
            </w:pPr>
            <w:r w:rsidRPr="00194F22">
              <w:rPr>
                <w:noProof/>
                <w:spacing w:val="-8"/>
              </w:rPr>
              <w:t xml:space="preserve">While not directly affected by the </w:t>
            </w:r>
            <w:r w:rsidR="0026250F" w:rsidRPr="00194F22">
              <w:rPr>
                <w:noProof/>
                <w:spacing w:val="-8"/>
              </w:rPr>
              <w:t>preferred policy option (PO3)</w:t>
            </w:r>
            <w:r w:rsidRPr="00194F22">
              <w:rPr>
                <w:noProof/>
                <w:spacing w:val="-8"/>
              </w:rPr>
              <w:t>, SME MDMS platforms</w:t>
            </w:r>
            <w:r w:rsidR="008B0F19" w:rsidRPr="00194F22">
              <w:rPr>
                <w:noProof/>
                <w:spacing w:val="-8"/>
              </w:rPr>
              <w:t xml:space="preserve"> </w:t>
            </w:r>
            <w:r w:rsidRPr="00194F22">
              <w:rPr>
                <w:noProof/>
                <w:spacing w:val="-8"/>
              </w:rPr>
              <w:t>and</w:t>
            </w:r>
            <w:r w:rsidR="008B0F19" w:rsidRPr="00194F22">
              <w:rPr>
                <w:noProof/>
                <w:spacing w:val="-8"/>
              </w:rPr>
              <w:t xml:space="preserve"> SME</w:t>
            </w:r>
            <w:r w:rsidRPr="00194F22">
              <w:rPr>
                <w:noProof/>
                <w:spacing w:val="-8"/>
              </w:rPr>
              <w:t xml:space="preserve"> transport operators will </w:t>
            </w:r>
            <w:r w:rsidR="00043E02" w:rsidRPr="00194F22">
              <w:rPr>
                <w:noProof/>
                <w:spacing w:val="-8"/>
              </w:rPr>
              <w:t>in</w:t>
            </w:r>
            <w:r w:rsidRPr="00194F22">
              <w:rPr>
                <w:noProof/>
                <w:spacing w:val="-8"/>
              </w:rPr>
              <w:t xml:space="preserve">directly benefit from the measures implemented. In this sense, an MDMS </w:t>
            </w:r>
            <w:r w:rsidR="00D63D15" w:rsidRPr="00194F22">
              <w:rPr>
                <w:noProof/>
                <w:spacing w:val="-8"/>
              </w:rPr>
              <w:t xml:space="preserve">platform </w:t>
            </w:r>
            <w:r w:rsidRPr="00194F22">
              <w:rPr>
                <w:noProof/>
                <w:spacing w:val="-8"/>
              </w:rPr>
              <w:t xml:space="preserve">stated in the </w:t>
            </w:r>
            <w:r w:rsidR="00D63D15" w:rsidRPr="00194F22">
              <w:rPr>
                <w:noProof/>
                <w:spacing w:val="-8"/>
              </w:rPr>
              <w:t xml:space="preserve">targeted </w:t>
            </w:r>
            <w:r w:rsidRPr="00194F22">
              <w:rPr>
                <w:noProof/>
                <w:spacing w:val="-8"/>
              </w:rPr>
              <w:t xml:space="preserve">survey that they </w:t>
            </w:r>
            <w:r w:rsidRPr="00671D26">
              <w:rPr>
                <w:i/>
                <w:noProof/>
                <w:spacing w:val="-8"/>
              </w:rPr>
              <w:t>“do not expect these measures to increase costs for SMEs. In fact, especially the measures aimed to support independent MDMS will increase revenue opportunities for SMEs in all sectors involved”.</w:t>
            </w:r>
            <w:r w:rsidR="000620D7" w:rsidRPr="00194F22">
              <w:rPr>
                <w:noProof/>
                <w:spacing w:val="-8"/>
              </w:rPr>
              <w:t xml:space="preserve"> </w:t>
            </w:r>
          </w:p>
          <w:p w14:paraId="1BDF4A1A" w14:textId="383EA94C" w:rsidR="005A271C" w:rsidRPr="000222BF" w:rsidRDefault="004C11FB" w:rsidP="00194F22">
            <w:pPr>
              <w:spacing w:after="240"/>
              <w:jc w:val="both"/>
              <w:rPr>
                <w:noProof/>
              </w:rPr>
            </w:pPr>
            <w:r w:rsidRPr="00194F22">
              <w:rPr>
                <w:noProof/>
                <w:spacing w:val="-8"/>
              </w:rPr>
              <w:t>As described in</w:t>
            </w:r>
            <w:r w:rsidR="009075F2" w:rsidRPr="00194F22">
              <w:rPr>
                <w:noProof/>
                <w:spacing w:val="-8"/>
              </w:rPr>
              <w:t xml:space="preserve"> section </w:t>
            </w:r>
            <w:r w:rsidR="00F86427" w:rsidRPr="00194F22">
              <w:rPr>
                <w:noProof/>
                <w:spacing w:val="-8"/>
              </w:rPr>
              <w:t xml:space="preserve">6.1.5, </w:t>
            </w:r>
            <w:r w:rsidR="003E5A00" w:rsidRPr="00194F22">
              <w:rPr>
                <w:noProof/>
                <w:spacing w:val="-8"/>
              </w:rPr>
              <w:t>PO3</w:t>
            </w:r>
            <w:r w:rsidRPr="00194F22">
              <w:rPr>
                <w:noProof/>
                <w:spacing w:val="-8"/>
              </w:rPr>
              <w:t xml:space="preserve"> will allow </w:t>
            </w:r>
            <w:r w:rsidR="00B52706" w:rsidRPr="00194F22">
              <w:rPr>
                <w:noProof/>
                <w:spacing w:val="-8"/>
              </w:rPr>
              <w:t>SME</w:t>
            </w:r>
            <w:r w:rsidRPr="00194F22">
              <w:rPr>
                <w:noProof/>
                <w:spacing w:val="-8"/>
              </w:rPr>
              <w:t xml:space="preserve"> transport operators and </w:t>
            </w:r>
            <w:r w:rsidR="00B52706" w:rsidRPr="00194F22">
              <w:rPr>
                <w:noProof/>
                <w:spacing w:val="-8"/>
              </w:rPr>
              <w:t xml:space="preserve">SME </w:t>
            </w:r>
            <w:r w:rsidRPr="00194F22">
              <w:rPr>
                <w:noProof/>
                <w:spacing w:val="-8"/>
              </w:rPr>
              <w:t>MDMS platforms to conclude commercial agreements on fair terms with indispensable MDMS platforms</w:t>
            </w:r>
            <w:r w:rsidR="00B52706" w:rsidRPr="00194F22">
              <w:rPr>
                <w:noProof/>
                <w:spacing w:val="-8"/>
              </w:rPr>
              <w:t xml:space="preserve"> (PM11) and</w:t>
            </w:r>
            <w:r w:rsidRPr="00194F22">
              <w:rPr>
                <w:noProof/>
                <w:spacing w:val="-8"/>
              </w:rPr>
              <w:t xml:space="preserve"> indispensable RUs (</w:t>
            </w:r>
            <w:r w:rsidR="00EC513A" w:rsidRPr="00194F22">
              <w:rPr>
                <w:noProof/>
                <w:spacing w:val="-8"/>
              </w:rPr>
              <w:t>PM</w:t>
            </w:r>
            <w:r w:rsidRPr="00194F22">
              <w:rPr>
                <w:noProof/>
                <w:spacing w:val="-8"/>
              </w:rPr>
              <w:t>12)</w:t>
            </w:r>
            <w:r w:rsidR="00D05C2D" w:rsidRPr="00194F22">
              <w:rPr>
                <w:noProof/>
                <w:spacing w:val="-8"/>
              </w:rPr>
              <w:t>, streamlining negotiation processes</w:t>
            </w:r>
            <w:r w:rsidR="007518FF" w:rsidRPr="00194F22">
              <w:rPr>
                <w:noProof/>
                <w:spacing w:val="-8"/>
              </w:rPr>
              <w:t>.</w:t>
            </w:r>
            <w:r w:rsidR="0043260C" w:rsidRPr="00194F22">
              <w:rPr>
                <w:noProof/>
                <w:spacing w:val="-8"/>
              </w:rPr>
              <w:t xml:space="preserve"> </w:t>
            </w:r>
            <w:r w:rsidR="0090204D" w:rsidRPr="00194F22">
              <w:rPr>
                <w:noProof/>
                <w:spacing w:val="-8"/>
              </w:rPr>
              <w:t>Thus, t</w:t>
            </w:r>
            <w:r w:rsidR="0043260C" w:rsidRPr="00194F22">
              <w:rPr>
                <w:noProof/>
                <w:spacing w:val="-8"/>
              </w:rPr>
              <w:t xml:space="preserve">he adjustment costs savings </w:t>
            </w:r>
            <w:r w:rsidR="0090204D" w:rsidRPr="00194F22">
              <w:rPr>
                <w:noProof/>
                <w:spacing w:val="-8"/>
              </w:rPr>
              <w:t xml:space="preserve">in PO3 are estimated at </w:t>
            </w:r>
            <w:r w:rsidR="0090204D" w:rsidRPr="00194F22">
              <w:rPr>
                <w:b/>
                <w:noProof/>
                <w:spacing w:val="-8"/>
              </w:rPr>
              <w:t xml:space="preserve">EUR </w:t>
            </w:r>
            <w:r w:rsidR="00A07E4D">
              <w:rPr>
                <w:b/>
                <w:noProof/>
                <w:spacing w:val="-8"/>
              </w:rPr>
              <w:t>90.5</w:t>
            </w:r>
            <w:r w:rsidR="0090204D" w:rsidRPr="00194F22">
              <w:rPr>
                <w:b/>
                <w:noProof/>
                <w:spacing w:val="-8"/>
              </w:rPr>
              <w:t xml:space="preserve"> million</w:t>
            </w:r>
            <w:r w:rsidR="0090204D" w:rsidRPr="00194F22">
              <w:rPr>
                <w:noProof/>
                <w:spacing w:val="-8"/>
              </w:rPr>
              <w:t xml:space="preserve"> </w:t>
            </w:r>
            <w:r w:rsidR="0090204D" w:rsidRPr="00194F22">
              <w:rPr>
                <w:b/>
                <w:noProof/>
                <w:spacing w:val="-8"/>
              </w:rPr>
              <w:t xml:space="preserve">for </w:t>
            </w:r>
            <w:r w:rsidR="0090204D" w:rsidRPr="00194F22">
              <w:rPr>
                <w:b/>
                <w:bCs/>
                <w:noProof/>
                <w:spacing w:val="-8"/>
              </w:rPr>
              <w:t xml:space="preserve">SME </w:t>
            </w:r>
            <w:r w:rsidR="0090204D" w:rsidRPr="00194F22">
              <w:rPr>
                <w:b/>
                <w:noProof/>
                <w:spacing w:val="-8"/>
              </w:rPr>
              <w:t xml:space="preserve">MDMS platforms and EUR </w:t>
            </w:r>
            <w:r w:rsidR="005F2B70">
              <w:rPr>
                <w:b/>
                <w:noProof/>
                <w:spacing w:val="-8"/>
              </w:rPr>
              <w:t>96.1</w:t>
            </w:r>
            <w:r w:rsidR="0090204D" w:rsidRPr="00194F22">
              <w:rPr>
                <w:b/>
                <w:noProof/>
                <w:spacing w:val="-8"/>
              </w:rPr>
              <w:t xml:space="preserve"> million for SME transport operators</w:t>
            </w:r>
            <w:r w:rsidR="0090204D" w:rsidRPr="00194F22">
              <w:rPr>
                <w:bCs/>
                <w:noProof/>
                <w:spacing w:val="-8"/>
              </w:rPr>
              <w:t>, expressed as present value over 2028-2050 relative to the baseline</w:t>
            </w:r>
            <w:r w:rsidR="0090204D" w:rsidRPr="00194F22">
              <w:rPr>
                <w:b/>
                <w:bCs/>
                <w:noProof/>
                <w:spacing w:val="-8"/>
              </w:rPr>
              <w:t>.</w:t>
            </w:r>
            <w:r w:rsidR="009C5A86" w:rsidRPr="00194F22">
              <w:rPr>
                <w:b/>
                <w:bCs/>
                <w:noProof/>
                <w:spacing w:val="-8"/>
              </w:rPr>
              <w:t xml:space="preserve"> </w:t>
            </w:r>
            <w:r w:rsidRPr="00194F22">
              <w:rPr>
                <w:noProof/>
                <w:spacing w:val="-8"/>
              </w:rPr>
              <w:t xml:space="preserve">SME MDMS platform Dohop stated in </w:t>
            </w:r>
            <w:r w:rsidR="0090204D" w:rsidRPr="00194F22">
              <w:rPr>
                <w:noProof/>
                <w:spacing w:val="-8"/>
              </w:rPr>
              <w:t xml:space="preserve">an </w:t>
            </w:r>
            <w:r w:rsidRPr="00194F22">
              <w:rPr>
                <w:noProof/>
                <w:spacing w:val="-8"/>
              </w:rPr>
              <w:t xml:space="preserve">interview that </w:t>
            </w:r>
            <w:r w:rsidRPr="00987078">
              <w:rPr>
                <w:i/>
                <w:noProof/>
                <w:spacing w:val="-8"/>
              </w:rPr>
              <w:t>“SMEs are typically the entities that are currently suffering from the imbalance of power”</w:t>
            </w:r>
            <w:r w:rsidRPr="00194F22">
              <w:rPr>
                <w:noProof/>
                <w:spacing w:val="-8"/>
              </w:rPr>
              <w:t xml:space="preserve"> and would therefore directly benefit from these </w:t>
            </w:r>
            <w:r w:rsidR="0090204D" w:rsidRPr="00194F22">
              <w:rPr>
                <w:bCs/>
                <w:noProof/>
                <w:spacing w:val="-8"/>
              </w:rPr>
              <w:t>measures</w:t>
            </w:r>
            <w:r w:rsidR="00C01F8A" w:rsidRPr="00194F22">
              <w:rPr>
                <w:noProof/>
                <w:spacing w:val="-8"/>
              </w:rPr>
              <w:t>.</w:t>
            </w:r>
            <w:r w:rsidR="005A271C">
              <w:rPr>
                <w:noProof/>
              </w:rPr>
              <w:t xml:space="preserve"> </w:t>
            </w:r>
          </w:p>
        </w:tc>
      </w:tr>
    </w:tbl>
    <w:p w14:paraId="58F3FED2" w14:textId="77777777" w:rsidR="005A271C" w:rsidRPr="005A271C" w:rsidRDefault="005A271C" w:rsidP="005A271C">
      <w:pPr>
        <w:rPr>
          <w:b/>
          <w:bCs/>
          <w:noProof/>
        </w:rPr>
      </w:pPr>
    </w:p>
    <w:tbl>
      <w:tblPr>
        <w:tblW w:w="5000" w:type="pct"/>
        <w:tblLook w:val="04A0" w:firstRow="1" w:lastRow="0" w:firstColumn="1" w:lastColumn="0" w:noHBand="0" w:noVBand="1"/>
      </w:tblPr>
      <w:tblGrid>
        <w:gridCol w:w="9603"/>
      </w:tblGrid>
      <w:tr w:rsidR="005A271C" w:rsidRPr="005A271C" w14:paraId="09844645" w14:textId="77777777" w:rsidTr="00667E6F">
        <w:tc>
          <w:tcPr>
            <w:tcW w:w="5000" w:type="pct"/>
            <w:tcBorders>
              <w:top w:val="single" w:sz="4" w:space="0" w:color="auto"/>
              <w:left w:val="single" w:sz="4" w:space="0" w:color="auto"/>
              <w:bottom w:val="single" w:sz="4" w:space="0" w:color="auto"/>
              <w:right w:val="single" w:sz="4" w:space="0" w:color="auto"/>
            </w:tcBorders>
            <w:hideMark/>
          </w:tcPr>
          <w:p w14:paraId="238391FC" w14:textId="77777777" w:rsidR="005A271C" w:rsidRPr="004E336D" w:rsidRDefault="005A271C" w:rsidP="001979E4">
            <w:pPr>
              <w:numPr>
                <w:ilvl w:val="0"/>
                <w:numId w:val="32"/>
              </w:numPr>
              <w:ind w:left="447" w:hanging="425"/>
              <w:rPr>
                <w:b/>
                <w:noProof/>
              </w:rPr>
            </w:pPr>
            <w:r w:rsidRPr="004E336D">
              <w:rPr>
                <w:b/>
                <w:noProof/>
              </w:rPr>
              <w:t>Minimising negative impacts on SMEs</w:t>
            </w:r>
          </w:p>
        </w:tc>
      </w:tr>
      <w:tr w:rsidR="005A271C" w:rsidRPr="005A271C" w14:paraId="1E13CC62" w14:textId="77777777" w:rsidTr="00667E6F">
        <w:tc>
          <w:tcPr>
            <w:tcW w:w="5000" w:type="pct"/>
            <w:tcBorders>
              <w:top w:val="single" w:sz="4" w:space="0" w:color="auto"/>
              <w:left w:val="single" w:sz="4" w:space="0" w:color="auto"/>
              <w:bottom w:val="single" w:sz="4" w:space="0" w:color="auto"/>
              <w:right w:val="single" w:sz="4" w:space="0" w:color="auto"/>
            </w:tcBorders>
            <w:hideMark/>
          </w:tcPr>
          <w:p w14:paraId="1EB80C1D" w14:textId="77777777" w:rsidR="008627BF" w:rsidRDefault="005A271C" w:rsidP="00194F22">
            <w:pPr>
              <w:spacing w:after="240"/>
              <w:rPr>
                <w:noProof/>
              </w:rPr>
            </w:pPr>
            <w:r w:rsidRPr="005A271C">
              <w:rPr>
                <w:b/>
                <w:bCs/>
                <w:noProof/>
              </w:rPr>
              <w:t xml:space="preserve">Are SMEs disproportionately affected compared to large companies? </w:t>
            </w:r>
          </w:p>
          <w:p w14:paraId="328870C0" w14:textId="18F1E55F" w:rsidR="005A271C" w:rsidRPr="00194F22" w:rsidRDefault="008627BF" w:rsidP="00194F22">
            <w:pPr>
              <w:spacing w:after="240"/>
              <w:rPr>
                <w:noProof/>
                <w:spacing w:val="-8"/>
              </w:rPr>
            </w:pPr>
            <w:r w:rsidRPr="00194F22">
              <w:rPr>
                <w:noProof/>
                <w:spacing w:val="-8"/>
              </w:rPr>
              <w:t xml:space="preserve">SMEs are out of scope of </w:t>
            </w:r>
            <w:r w:rsidR="00B1457C" w:rsidRPr="00194F22">
              <w:rPr>
                <w:noProof/>
                <w:spacing w:val="-8"/>
              </w:rPr>
              <w:t>PO3</w:t>
            </w:r>
            <w:r w:rsidR="0007673D" w:rsidRPr="00194F22">
              <w:rPr>
                <w:noProof/>
                <w:spacing w:val="-8"/>
              </w:rPr>
              <w:t xml:space="preserve"> </w:t>
            </w:r>
            <w:r w:rsidR="002C1EAD" w:rsidRPr="00194F22">
              <w:rPr>
                <w:noProof/>
                <w:spacing w:val="-8"/>
              </w:rPr>
              <w:t>and t</w:t>
            </w:r>
            <w:r w:rsidR="00B77DAD" w:rsidRPr="00194F22">
              <w:rPr>
                <w:noProof/>
                <w:spacing w:val="-8"/>
              </w:rPr>
              <w:t xml:space="preserve">hey only indirectly benefit of costs savings. </w:t>
            </w:r>
            <w:r w:rsidR="0007673D" w:rsidRPr="00194F22">
              <w:rPr>
                <w:noProof/>
                <w:spacing w:val="-8"/>
              </w:rPr>
              <w:t xml:space="preserve"> </w:t>
            </w:r>
          </w:p>
          <w:p w14:paraId="375A4B9E" w14:textId="77777777" w:rsidR="005A271C" w:rsidRPr="005A271C" w:rsidRDefault="005A271C" w:rsidP="00194F22">
            <w:pPr>
              <w:spacing w:after="240"/>
              <w:rPr>
                <w:b/>
                <w:bCs/>
                <w:noProof/>
              </w:rPr>
            </w:pPr>
            <w:r w:rsidRPr="005A271C">
              <w:rPr>
                <w:b/>
                <w:bCs/>
                <w:noProof/>
              </w:rPr>
              <w:t>If yes, are there any specific subgroups</w:t>
            </w:r>
            <w:r w:rsidRPr="005A271C">
              <w:rPr>
                <w:noProof/>
              </w:rPr>
              <w:t xml:space="preserve"> </w:t>
            </w:r>
            <w:r w:rsidRPr="005A271C">
              <w:rPr>
                <w:b/>
                <w:bCs/>
                <w:noProof/>
              </w:rPr>
              <w:t>of SMEs more exposed than others?</w:t>
            </w:r>
          </w:p>
        </w:tc>
      </w:tr>
      <w:tr w:rsidR="005A271C" w:rsidRPr="005A271C" w14:paraId="77C726CD" w14:textId="77777777" w:rsidTr="00667E6F">
        <w:tc>
          <w:tcPr>
            <w:tcW w:w="5000" w:type="pct"/>
            <w:tcBorders>
              <w:top w:val="single" w:sz="4" w:space="0" w:color="auto"/>
              <w:left w:val="single" w:sz="4" w:space="0" w:color="auto"/>
              <w:bottom w:val="single" w:sz="4" w:space="0" w:color="auto"/>
              <w:right w:val="single" w:sz="4" w:space="0" w:color="auto"/>
            </w:tcBorders>
            <w:hideMark/>
          </w:tcPr>
          <w:p w14:paraId="78949939" w14:textId="46EE7152" w:rsidR="005A271C" w:rsidRPr="00194F22" w:rsidRDefault="00B77DAD" w:rsidP="00194F22">
            <w:pPr>
              <w:spacing w:after="240"/>
              <w:rPr>
                <w:noProof/>
                <w:spacing w:val="-8"/>
              </w:rPr>
            </w:pPr>
            <w:r w:rsidRPr="00194F22">
              <w:rPr>
                <w:noProof/>
                <w:spacing w:val="-8"/>
              </w:rPr>
              <w:t>No</w:t>
            </w:r>
          </w:p>
        </w:tc>
      </w:tr>
      <w:tr w:rsidR="005A271C" w:rsidRPr="005A271C" w14:paraId="60E38DB3" w14:textId="77777777" w:rsidTr="00667E6F">
        <w:tc>
          <w:tcPr>
            <w:tcW w:w="5000" w:type="pct"/>
            <w:tcBorders>
              <w:top w:val="single" w:sz="4" w:space="0" w:color="auto"/>
              <w:left w:val="single" w:sz="4" w:space="0" w:color="auto"/>
              <w:bottom w:val="single" w:sz="4" w:space="0" w:color="auto"/>
              <w:right w:val="single" w:sz="4" w:space="0" w:color="auto"/>
            </w:tcBorders>
            <w:hideMark/>
          </w:tcPr>
          <w:p w14:paraId="2E28737F" w14:textId="0E022604" w:rsidR="005A271C" w:rsidRPr="005A271C" w:rsidRDefault="005A271C" w:rsidP="005A271C">
            <w:pPr>
              <w:rPr>
                <w:b/>
                <w:bCs/>
                <w:noProof/>
              </w:rPr>
            </w:pPr>
            <w:r w:rsidRPr="005A271C">
              <w:rPr>
                <w:b/>
                <w:bCs/>
                <w:noProof/>
              </w:rPr>
              <w:t xml:space="preserve">Have mitigating measures been included in the preferred option/proposal? </w:t>
            </w:r>
            <w:r w:rsidRPr="005A271C">
              <w:rPr>
                <w:noProof/>
              </w:rPr>
              <w:t xml:space="preserve"> </w:t>
            </w:r>
          </w:p>
        </w:tc>
      </w:tr>
      <w:tr w:rsidR="005A271C" w:rsidRPr="005A271C" w14:paraId="24BC3AF7" w14:textId="77777777" w:rsidTr="00667E6F">
        <w:tc>
          <w:tcPr>
            <w:tcW w:w="5000" w:type="pct"/>
            <w:tcBorders>
              <w:top w:val="single" w:sz="4" w:space="0" w:color="auto"/>
              <w:left w:val="single" w:sz="4" w:space="0" w:color="auto"/>
              <w:bottom w:val="single" w:sz="4" w:space="0" w:color="auto"/>
              <w:right w:val="single" w:sz="4" w:space="0" w:color="auto"/>
            </w:tcBorders>
            <w:hideMark/>
          </w:tcPr>
          <w:p w14:paraId="14BFFF92" w14:textId="447E1F78" w:rsidR="005A271C" w:rsidRPr="00194F22" w:rsidRDefault="002C1EAD" w:rsidP="00194F22">
            <w:pPr>
              <w:spacing w:after="240"/>
              <w:rPr>
                <w:noProof/>
                <w:spacing w:val="-8"/>
              </w:rPr>
            </w:pPr>
            <w:r w:rsidRPr="00194F22">
              <w:rPr>
                <w:noProof/>
                <w:spacing w:val="-8"/>
              </w:rPr>
              <w:t xml:space="preserve">SMEs are out of scope of PO3 and they only indirectly benefit of costs savings.  </w:t>
            </w:r>
          </w:p>
        </w:tc>
      </w:tr>
    </w:tbl>
    <w:p w14:paraId="642ECEAD" w14:textId="77777777" w:rsidR="005A271C" w:rsidRPr="005A271C" w:rsidRDefault="005A271C" w:rsidP="005A271C">
      <w:pPr>
        <w:rPr>
          <w:b/>
          <w:bCs/>
          <w:noProof/>
        </w:rPr>
      </w:pPr>
    </w:p>
    <w:tbl>
      <w:tblPr>
        <w:tblW w:w="5000" w:type="pct"/>
        <w:tblLook w:val="06A0" w:firstRow="1" w:lastRow="0" w:firstColumn="1" w:lastColumn="0" w:noHBand="1" w:noVBand="1"/>
      </w:tblPr>
      <w:tblGrid>
        <w:gridCol w:w="9603"/>
      </w:tblGrid>
      <w:tr w:rsidR="005A271C" w:rsidRPr="005A271C" w14:paraId="22BBDA82" w14:textId="77777777" w:rsidTr="00667E6F">
        <w:trPr>
          <w:trHeight w:val="300"/>
        </w:trPr>
        <w:tc>
          <w:tcPr>
            <w:tcW w:w="5000" w:type="pct"/>
            <w:tcBorders>
              <w:top w:val="single" w:sz="4" w:space="0" w:color="auto"/>
              <w:left w:val="single" w:sz="4" w:space="0" w:color="auto"/>
              <w:bottom w:val="single" w:sz="4" w:space="0" w:color="auto"/>
              <w:right w:val="single" w:sz="4" w:space="0" w:color="auto"/>
            </w:tcBorders>
            <w:hideMark/>
          </w:tcPr>
          <w:p w14:paraId="72BB9E7B" w14:textId="77777777" w:rsidR="005A271C" w:rsidRPr="005A271C" w:rsidRDefault="005A271C" w:rsidP="005A271C">
            <w:pPr>
              <w:rPr>
                <w:b/>
                <w:bCs/>
                <w:noProof/>
              </w:rPr>
            </w:pPr>
            <w:r w:rsidRPr="005A271C">
              <w:rPr>
                <w:b/>
                <w:bCs/>
                <w:noProof/>
              </w:rPr>
              <w:t>Contribution to the 35% burden reduction target for SMEs</w:t>
            </w:r>
          </w:p>
        </w:tc>
      </w:tr>
      <w:tr w:rsidR="005A271C" w:rsidRPr="005A271C" w14:paraId="5A7E0FA5" w14:textId="77777777" w:rsidTr="00667E6F">
        <w:trPr>
          <w:trHeight w:val="300"/>
        </w:trPr>
        <w:tc>
          <w:tcPr>
            <w:tcW w:w="5000" w:type="pct"/>
            <w:tcBorders>
              <w:top w:val="single" w:sz="4" w:space="0" w:color="auto"/>
              <w:left w:val="single" w:sz="4" w:space="0" w:color="auto"/>
              <w:bottom w:val="single" w:sz="4" w:space="0" w:color="auto"/>
              <w:right w:val="single" w:sz="4" w:space="0" w:color="auto"/>
            </w:tcBorders>
            <w:hideMark/>
          </w:tcPr>
          <w:p w14:paraId="1BBA7097" w14:textId="358A1FC7" w:rsidR="005A271C" w:rsidRPr="005A271C" w:rsidRDefault="005A271C" w:rsidP="005A271C">
            <w:pPr>
              <w:rPr>
                <w:b/>
                <w:bCs/>
                <w:noProof/>
              </w:rPr>
            </w:pPr>
            <w:r w:rsidRPr="005A271C">
              <w:rPr>
                <w:b/>
                <w:bCs/>
                <w:noProof/>
              </w:rPr>
              <w:t>Are there any administrative cost savings relevant for the 35% burden reduction target for SMEs?</w:t>
            </w:r>
            <w:r w:rsidR="00C723B8">
              <w:rPr>
                <w:b/>
                <w:bCs/>
                <w:noProof/>
              </w:rPr>
              <w:t xml:space="preserve"> </w:t>
            </w:r>
          </w:p>
        </w:tc>
      </w:tr>
      <w:tr w:rsidR="005A271C" w:rsidRPr="005A271C" w14:paraId="5BEC2A1A" w14:textId="77777777" w:rsidTr="00667E6F">
        <w:trPr>
          <w:trHeight w:val="300"/>
        </w:trPr>
        <w:tc>
          <w:tcPr>
            <w:tcW w:w="5000" w:type="pct"/>
            <w:tcBorders>
              <w:top w:val="single" w:sz="4" w:space="0" w:color="auto"/>
              <w:left w:val="single" w:sz="4" w:space="0" w:color="auto"/>
              <w:bottom w:val="single" w:sz="4" w:space="0" w:color="auto"/>
              <w:right w:val="single" w:sz="4" w:space="0" w:color="auto"/>
            </w:tcBorders>
            <w:hideMark/>
          </w:tcPr>
          <w:p w14:paraId="312B0F06" w14:textId="528BA2B3" w:rsidR="005A271C" w:rsidRPr="00C1473A" w:rsidRDefault="00EF50FC" w:rsidP="00194F22">
            <w:pPr>
              <w:spacing w:after="240"/>
              <w:rPr>
                <w:noProof/>
              </w:rPr>
            </w:pPr>
            <w:r w:rsidRPr="00194F22">
              <w:rPr>
                <w:noProof/>
                <w:spacing w:val="-8"/>
              </w:rPr>
              <w:t>No</w:t>
            </w:r>
            <w:r w:rsidR="002C1EAD" w:rsidRPr="00194F22">
              <w:rPr>
                <w:noProof/>
                <w:spacing w:val="-8"/>
              </w:rPr>
              <w:t xml:space="preserve">, there are no administrative costs savings or administrative costs </w:t>
            </w:r>
            <w:r w:rsidR="00142B51" w:rsidRPr="00194F22">
              <w:rPr>
                <w:noProof/>
                <w:spacing w:val="-8"/>
              </w:rPr>
              <w:t>for SMEs.</w:t>
            </w:r>
            <w:r w:rsidR="00142B51">
              <w:rPr>
                <w:noProof/>
              </w:rPr>
              <w:t xml:space="preserve"> </w:t>
            </w:r>
          </w:p>
        </w:tc>
      </w:tr>
    </w:tbl>
    <w:p w14:paraId="6568AC75" w14:textId="7382511B" w:rsidR="00FE0957" w:rsidRPr="00D71008" w:rsidRDefault="00FE0957">
      <w:pPr>
        <w:rPr>
          <w:noProof/>
        </w:rPr>
        <w:sectPr w:rsidR="00FE0957" w:rsidRPr="00D71008" w:rsidSect="00B669AA">
          <w:headerReference w:type="default" r:id="rId64"/>
          <w:footerReference w:type="default" r:id="rId65"/>
          <w:pgSz w:w="11910" w:h="16840"/>
          <w:pgMar w:top="1021" w:right="709" w:bottom="1021" w:left="1588" w:header="0" w:footer="1147" w:gutter="0"/>
          <w:cols w:space="720"/>
        </w:sectPr>
      </w:pPr>
      <w:bookmarkStart w:id="2106" w:name="4_Specific_impact_on_market_dynamics_lin"/>
      <w:bookmarkStart w:id="2107" w:name="Annex_5:_Competitiveness_check"/>
      <w:bookmarkStart w:id="2108" w:name="Annex_6:_Discarded_policy_measures"/>
      <w:bookmarkEnd w:id="2106"/>
      <w:bookmarkEnd w:id="2107"/>
      <w:bookmarkEnd w:id="2108"/>
    </w:p>
    <w:p w14:paraId="7BACF08C" w14:textId="33B4D3F9" w:rsidR="00712390" w:rsidRPr="00D71008" w:rsidRDefault="003C4819" w:rsidP="00672881">
      <w:pPr>
        <w:pStyle w:val="Heading1"/>
        <w:spacing w:before="0" w:after="240"/>
        <w:ind w:right="17"/>
        <w:jc w:val="center"/>
        <w:rPr>
          <w:noProof/>
        </w:rPr>
      </w:pPr>
      <w:bookmarkStart w:id="2109" w:name="_Toc223981689"/>
      <w:r w:rsidRPr="00D71008">
        <w:rPr>
          <w:smallCaps/>
          <w:noProof/>
        </w:rPr>
        <w:t>Annex</w:t>
      </w:r>
      <w:r w:rsidRPr="00D71008">
        <w:rPr>
          <w:smallCaps/>
          <w:noProof/>
          <w:spacing w:val="-9"/>
        </w:rPr>
        <w:t xml:space="preserve"> </w:t>
      </w:r>
      <w:r w:rsidR="006B6DB6" w:rsidRPr="00D71008">
        <w:rPr>
          <w:smallCaps/>
          <w:noProof/>
        </w:rPr>
        <w:t>7</w:t>
      </w:r>
      <w:r w:rsidRPr="00D71008">
        <w:rPr>
          <w:smallCaps/>
          <w:noProof/>
        </w:rPr>
        <w:t>:</w:t>
      </w:r>
      <w:r w:rsidRPr="00D71008">
        <w:rPr>
          <w:smallCaps/>
          <w:noProof/>
          <w:spacing w:val="-15"/>
        </w:rPr>
        <w:t xml:space="preserve"> </w:t>
      </w:r>
      <w:r w:rsidRPr="00D71008">
        <w:rPr>
          <w:smallCaps/>
          <w:noProof/>
        </w:rPr>
        <w:t>Discarded</w:t>
      </w:r>
      <w:r w:rsidRPr="00D71008">
        <w:rPr>
          <w:smallCaps/>
          <w:noProof/>
          <w:spacing w:val="-5"/>
        </w:rPr>
        <w:t xml:space="preserve"> </w:t>
      </w:r>
      <w:r w:rsidRPr="00D71008">
        <w:rPr>
          <w:smallCaps/>
          <w:noProof/>
        </w:rPr>
        <w:t>policy</w:t>
      </w:r>
      <w:r w:rsidRPr="00D71008">
        <w:rPr>
          <w:smallCaps/>
          <w:noProof/>
          <w:spacing w:val="-5"/>
        </w:rPr>
        <w:t xml:space="preserve"> </w:t>
      </w:r>
      <w:r w:rsidRPr="00D71008">
        <w:rPr>
          <w:smallCaps/>
          <w:noProof/>
          <w:spacing w:val="-2"/>
        </w:rPr>
        <w:t>measures</w:t>
      </w:r>
      <w:bookmarkEnd w:id="2109"/>
    </w:p>
    <w:p w14:paraId="34952837" w14:textId="0CBE80CD" w:rsidR="00712390" w:rsidRPr="000B20C8" w:rsidRDefault="003C4819" w:rsidP="000B20C8">
      <w:pPr>
        <w:pStyle w:val="BodyText"/>
        <w:spacing w:after="240"/>
        <w:ind w:left="0"/>
        <w:rPr>
          <w:noProof/>
          <w:spacing w:val="-8"/>
        </w:rPr>
      </w:pPr>
      <w:r w:rsidRPr="000B20C8">
        <w:rPr>
          <w:noProof/>
          <w:spacing w:val="-8"/>
        </w:rPr>
        <w:t xml:space="preserve">During the </w:t>
      </w:r>
      <w:r w:rsidR="004A5CA4" w:rsidRPr="000B20C8">
        <w:rPr>
          <w:noProof/>
          <w:spacing w:val="-8"/>
        </w:rPr>
        <w:t>i</w:t>
      </w:r>
      <w:r w:rsidRPr="000B20C8">
        <w:rPr>
          <w:noProof/>
          <w:spacing w:val="-8"/>
        </w:rPr>
        <w:t xml:space="preserve">mpact </w:t>
      </w:r>
      <w:r w:rsidR="004A5CA4" w:rsidRPr="000B20C8">
        <w:rPr>
          <w:noProof/>
          <w:spacing w:val="-8"/>
        </w:rPr>
        <w:t>a</w:t>
      </w:r>
      <w:r w:rsidRPr="000B20C8">
        <w:rPr>
          <w:noProof/>
          <w:spacing w:val="-8"/>
        </w:rPr>
        <w:t>ssessment process, a number of possible policy measures have been discussed with the key stakeholders and finally discarded, as explained below.</w:t>
      </w:r>
    </w:p>
    <w:p w14:paraId="07FC52E5" w14:textId="32E88DC6" w:rsidR="004A5CA4" w:rsidRPr="00383DBF" w:rsidRDefault="004A5CA4" w:rsidP="004A5CA4">
      <w:pPr>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134</w:t>
      </w:r>
      <w:r w:rsidRPr="00383DBF">
        <w:rPr>
          <w:i/>
          <w:noProof/>
          <w:sz w:val="22"/>
          <w:szCs w:val="22"/>
        </w:rPr>
        <w:fldChar w:fldCharType="end"/>
      </w:r>
      <w:r w:rsidRPr="00383DBF">
        <w:rPr>
          <w:i/>
          <w:noProof/>
          <w:sz w:val="22"/>
          <w:szCs w:val="22"/>
        </w:rPr>
        <w:t xml:space="preserve">: </w:t>
      </w:r>
      <w:r>
        <w:rPr>
          <w:i/>
          <w:noProof/>
          <w:sz w:val="22"/>
          <w:szCs w:val="22"/>
        </w:rPr>
        <w:t>Discarded policy measures and the reason for discarding them</w:t>
      </w:r>
    </w:p>
    <w:tbl>
      <w:tblPr>
        <w:tblW w:w="5318"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818"/>
        <w:gridCol w:w="3502"/>
        <w:gridCol w:w="5042"/>
      </w:tblGrid>
      <w:tr w:rsidR="008E73A8" w:rsidRPr="005D5F7D" w14:paraId="6D583D7D" w14:textId="77777777" w:rsidTr="000B20C8">
        <w:trPr>
          <w:trHeight w:val="573"/>
          <w:tblHeader/>
        </w:trPr>
        <w:tc>
          <w:tcPr>
            <w:tcW w:w="877" w:type="pct"/>
            <w:shd w:val="clear" w:color="auto" w:fill="006FC0"/>
          </w:tcPr>
          <w:p w14:paraId="68599511" w14:textId="40CB1F2B" w:rsidR="003E4FCA" w:rsidRPr="005D5F7D" w:rsidRDefault="00705856" w:rsidP="000B20C8">
            <w:pPr>
              <w:pStyle w:val="TableParagraph"/>
              <w:rPr>
                <w:b/>
                <w:noProof/>
                <w:sz w:val="20"/>
                <w:szCs w:val="20"/>
              </w:rPr>
            </w:pPr>
            <w:r>
              <w:rPr>
                <w:b/>
                <w:noProof/>
                <w:color w:val="FFFFFF"/>
                <w:sz w:val="20"/>
                <w:szCs w:val="20"/>
              </w:rPr>
              <w:t>Discarded</w:t>
            </w:r>
            <w:r w:rsidR="00331220">
              <w:rPr>
                <w:b/>
                <w:noProof/>
                <w:color w:val="FFFFFF"/>
                <w:sz w:val="20"/>
                <w:szCs w:val="20"/>
              </w:rPr>
              <w:t xml:space="preserve"> </w:t>
            </w:r>
            <w:r w:rsidR="000B20C8">
              <w:rPr>
                <w:b/>
                <w:noProof/>
                <w:color w:val="FFFFFF"/>
                <w:sz w:val="20"/>
                <w:szCs w:val="20"/>
              </w:rPr>
              <w:t>p</w:t>
            </w:r>
            <w:r w:rsidR="000B20C8" w:rsidRPr="005D5F7D">
              <w:rPr>
                <w:b/>
                <w:noProof/>
                <w:color w:val="FFFFFF"/>
                <w:sz w:val="20"/>
                <w:szCs w:val="20"/>
              </w:rPr>
              <w:t>olicy</w:t>
            </w:r>
            <w:r w:rsidR="003E4FCA" w:rsidRPr="005D5F7D">
              <w:rPr>
                <w:b/>
                <w:noProof/>
                <w:color w:val="FFFFFF"/>
                <w:spacing w:val="-2"/>
                <w:sz w:val="20"/>
                <w:szCs w:val="20"/>
              </w:rPr>
              <w:t xml:space="preserve"> measure</w:t>
            </w:r>
          </w:p>
        </w:tc>
        <w:tc>
          <w:tcPr>
            <w:tcW w:w="1690" w:type="pct"/>
            <w:shd w:val="clear" w:color="auto" w:fill="006FC0"/>
          </w:tcPr>
          <w:p w14:paraId="763469B5" w14:textId="77777777" w:rsidR="003E4FCA" w:rsidRPr="005D5F7D" w:rsidRDefault="003E4FCA" w:rsidP="000B20C8">
            <w:pPr>
              <w:pStyle w:val="TableParagraph"/>
              <w:ind w:left="3"/>
              <w:jc w:val="center"/>
              <w:rPr>
                <w:b/>
                <w:noProof/>
                <w:sz w:val="20"/>
                <w:szCs w:val="20"/>
              </w:rPr>
            </w:pPr>
            <w:r w:rsidRPr="005D5F7D">
              <w:rPr>
                <w:b/>
                <w:noProof/>
                <w:color w:val="FFFFFF"/>
                <w:sz w:val="20"/>
                <w:szCs w:val="20"/>
              </w:rPr>
              <w:t>Short</w:t>
            </w:r>
            <w:r w:rsidRPr="005D5F7D">
              <w:rPr>
                <w:b/>
                <w:noProof/>
                <w:color w:val="FFFFFF"/>
                <w:spacing w:val="-4"/>
                <w:sz w:val="20"/>
                <w:szCs w:val="20"/>
              </w:rPr>
              <w:t xml:space="preserve"> </w:t>
            </w:r>
            <w:r w:rsidRPr="005D5F7D">
              <w:rPr>
                <w:b/>
                <w:noProof/>
                <w:color w:val="FFFFFF"/>
                <w:spacing w:val="-2"/>
                <w:sz w:val="20"/>
                <w:szCs w:val="20"/>
              </w:rPr>
              <w:t>description</w:t>
            </w:r>
          </w:p>
        </w:tc>
        <w:tc>
          <w:tcPr>
            <w:tcW w:w="2433" w:type="pct"/>
            <w:shd w:val="clear" w:color="auto" w:fill="006FC0"/>
          </w:tcPr>
          <w:p w14:paraId="53C83884" w14:textId="3E2FC476" w:rsidR="003E4FCA" w:rsidRPr="005D5F7D" w:rsidRDefault="003E4FCA" w:rsidP="000B20C8">
            <w:pPr>
              <w:pStyle w:val="TableParagraph"/>
              <w:ind w:left="5"/>
              <w:jc w:val="center"/>
              <w:rPr>
                <w:b/>
                <w:noProof/>
                <w:sz w:val="20"/>
                <w:szCs w:val="20"/>
              </w:rPr>
            </w:pPr>
            <w:r w:rsidRPr="005D5F7D">
              <w:rPr>
                <w:b/>
                <w:noProof/>
                <w:color w:val="FFFFFF"/>
                <w:sz w:val="20"/>
                <w:szCs w:val="20"/>
              </w:rPr>
              <w:t>Reason</w:t>
            </w:r>
            <w:r w:rsidRPr="005D5F7D">
              <w:rPr>
                <w:b/>
                <w:noProof/>
                <w:color w:val="FFFFFF"/>
                <w:spacing w:val="-4"/>
                <w:sz w:val="20"/>
                <w:szCs w:val="20"/>
              </w:rPr>
              <w:t xml:space="preserve"> </w:t>
            </w:r>
            <w:r w:rsidRPr="005D5F7D">
              <w:rPr>
                <w:b/>
                <w:noProof/>
                <w:color w:val="FFFFFF"/>
                <w:sz w:val="20"/>
                <w:szCs w:val="20"/>
              </w:rPr>
              <w:t>for</w:t>
            </w:r>
            <w:r w:rsidRPr="005D5F7D">
              <w:rPr>
                <w:b/>
                <w:noProof/>
                <w:color w:val="FFFFFF"/>
                <w:spacing w:val="-3"/>
                <w:sz w:val="20"/>
                <w:szCs w:val="20"/>
              </w:rPr>
              <w:t xml:space="preserve"> </w:t>
            </w:r>
            <w:r w:rsidRPr="005D5F7D">
              <w:rPr>
                <w:b/>
                <w:noProof/>
                <w:color w:val="FFFFFF"/>
                <w:spacing w:val="-2"/>
                <w:sz w:val="20"/>
                <w:szCs w:val="20"/>
              </w:rPr>
              <w:t>discarding</w:t>
            </w:r>
          </w:p>
        </w:tc>
      </w:tr>
      <w:tr w:rsidR="003C7589" w:rsidRPr="005D5F7D" w14:paraId="1AA37D71" w14:textId="77777777" w:rsidTr="000B20C8">
        <w:trPr>
          <w:trHeight w:val="1034"/>
        </w:trPr>
        <w:tc>
          <w:tcPr>
            <w:tcW w:w="877" w:type="pct"/>
            <w:shd w:val="clear" w:color="auto" w:fill="FFFFFF" w:themeFill="background1"/>
          </w:tcPr>
          <w:p w14:paraId="3320C842" w14:textId="46EDB2C1" w:rsidR="003E4FCA" w:rsidRPr="005D5F7D" w:rsidRDefault="003E4FCA" w:rsidP="005D5F7D">
            <w:pPr>
              <w:pStyle w:val="TableParagraph"/>
              <w:ind w:left="83"/>
              <w:rPr>
                <w:noProof/>
                <w:sz w:val="20"/>
                <w:szCs w:val="20"/>
              </w:rPr>
            </w:pPr>
            <w:r w:rsidRPr="005D5F7D">
              <w:rPr>
                <w:noProof/>
                <w:color w:val="000000" w:themeColor="text1"/>
                <w:sz w:val="20"/>
                <w:szCs w:val="20"/>
              </w:rPr>
              <w:t>Remove the neutral display requirement for CRS</w:t>
            </w:r>
          </w:p>
        </w:tc>
        <w:tc>
          <w:tcPr>
            <w:tcW w:w="1690" w:type="pct"/>
          </w:tcPr>
          <w:p w14:paraId="62B3D6AA" w14:textId="032F1199" w:rsidR="003E4FCA" w:rsidRPr="005D5F7D" w:rsidRDefault="003E4FCA" w:rsidP="00770386">
            <w:pPr>
              <w:pStyle w:val="TableParagraph"/>
              <w:ind w:left="85" w:right="78"/>
              <w:jc w:val="both"/>
              <w:rPr>
                <w:noProof/>
                <w:sz w:val="20"/>
                <w:szCs w:val="20"/>
              </w:rPr>
            </w:pPr>
            <w:r w:rsidRPr="005D5F7D">
              <w:rPr>
                <w:noProof/>
                <w:sz w:val="20"/>
                <w:szCs w:val="20"/>
              </w:rPr>
              <w:t xml:space="preserve">Remove the obligation coming from Article 5 of the </w:t>
            </w:r>
            <w:r w:rsidR="00A710F1" w:rsidRPr="005D5F7D">
              <w:rPr>
                <w:noProof/>
                <w:sz w:val="20"/>
                <w:szCs w:val="20"/>
              </w:rPr>
              <w:t>CRS</w:t>
            </w:r>
            <w:r w:rsidRPr="005D5F7D">
              <w:rPr>
                <w:noProof/>
                <w:sz w:val="20"/>
                <w:szCs w:val="20"/>
              </w:rPr>
              <w:t xml:space="preserve"> Code of Conduct, </w:t>
            </w:r>
            <w:r w:rsidR="00A710F1" w:rsidRPr="005D5F7D">
              <w:rPr>
                <w:noProof/>
                <w:sz w:val="20"/>
                <w:szCs w:val="20"/>
              </w:rPr>
              <w:t>obliging</w:t>
            </w:r>
            <w:r w:rsidRPr="005D5F7D">
              <w:rPr>
                <w:noProof/>
                <w:sz w:val="20"/>
                <w:szCs w:val="20"/>
              </w:rPr>
              <w:t xml:space="preserve"> CRS to </w:t>
            </w:r>
            <w:r w:rsidR="00017CCA" w:rsidRPr="005D5F7D">
              <w:rPr>
                <w:noProof/>
                <w:sz w:val="20"/>
                <w:szCs w:val="20"/>
              </w:rPr>
              <w:t>follow</w:t>
            </w:r>
            <w:r w:rsidR="000033D9" w:rsidRPr="005D5F7D">
              <w:rPr>
                <w:noProof/>
                <w:sz w:val="20"/>
                <w:szCs w:val="20"/>
              </w:rPr>
              <w:t xml:space="preserve"> certain</w:t>
            </w:r>
            <w:r w:rsidRPr="005D5F7D">
              <w:rPr>
                <w:noProof/>
                <w:sz w:val="20"/>
                <w:szCs w:val="20"/>
              </w:rPr>
              <w:t xml:space="preserve"> display </w:t>
            </w:r>
            <w:r w:rsidRPr="005D5F7D">
              <w:rPr>
                <w:noProof/>
                <w:spacing w:val="-2"/>
                <w:sz w:val="20"/>
                <w:szCs w:val="20"/>
              </w:rPr>
              <w:t>principles.</w:t>
            </w:r>
          </w:p>
        </w:tc>
        <w:tc>
          <w:tcPr>
            <w:tcW w:w="2433" w:type="pct"/>
          </w:tcPr>
          <w:p w14:paraId="6301ED5F" w14:textId="00EC7120" w:rsidR="00D55E46" w:rsidRPr="005D5F7D" w:rsidRDefault="003E4FCA">
            <w:pPr>
              <w:pStyle w:val="TableParagraph"/>
              <w:ind w:left="83" w:right="81"/>
              <w:jc w:val="both"/>
              <w:rPr>
                <w:noProof/>
                <w:sz w:val="20"/>
                <w:szCs w:val="20"/>
              </w:rPr>
            </w:pPr>
            <w:r w:rsidRPr="005D5F7D">
              <w:rPr>
                <w:noProof/>
                <w:sz w:val="20"/>
                <w:szCs w:val="20"/>
              </w:rPr>
              <w:t xml:space="preserve">This obligation is still relevant </w:t>
            </w:r>
            <w:r w:rsidR="00477BBD" w:rsidRPr="005D5F7D">
              <w:rPr>
                <w:noProof/>
                <w:sz w:val="20"/>
                <w:szCs w:val="20"/>
              </w:rPr>
              <w:t>si</w:t>
            </w:r>
            <w:r w:rsidR="00D55E46" w:rsidRPr="005D5F7D">
              <w:rPr>
                <w:noProof/>
                <w:sz w:val="20"/>
                <w:szCs w:val="20"/>
              </w:rPr>
              <w:t>n</w:t>
            </w:r>
            <w:r w:rsidR="00477BBD" w:rsidRPr="005D5F7D">
              <w:rPr>
                <w:noProof/>
                <w:sz w:val="20"/>
                <w:szCs w:val="20"/>
              </w:rPr>
              <w:t>ce it helps enhance comparability</w:t>
            </w:r>
            <w:r w:rsidR="000D5F06" w:rsidRPr="005D5F7D">
              <w:rPr>
                <w:noProof/>
                <w:sz w:val="20"/>
                <w:szCs w:val="20"/>
              </w:rPr>
              <w:t xml:space="preserve"> and provides end-users with better informed choices. </w:t>
            </w:r>
            <w:r w:rsidR="00D55E46" w:rsidRPr="005D5F7D">
              <w:rPr>
                <w:noProof/>
                <w:sz w:val="20"/>
                <w:szCs w:val="20"/>
              </w:rPr>
              <w:t>Importantly, this measure helps ensure a level playing field to different transport operators</w:t>
            </w:r>
            <w:r w:rsidR="00B838AC" w:rsidRPr="005D5F7D">
              <w:rPr>
                <w:noProof/>
                <w:sz w:val="20"/>
                <w:szCs w:val="20"/>
              </w:rPr>
              <w:t xml:space="preserve"> on CRS</w:t>
            </w:r>
            <w:r w:rsidR="00D55E46" w:rsidRPr="005D5F7D">
              <w:rPr>
                <w:noProof/>
                <w:sz w:val="20"/>
                <w:szCs w:val="20"/>
              </w:rPr>
              <w:t>.</w:t>
            </w:r>
          </w:p>
          <w:p w14:paraId="1EB92A89" w14:textId="77777777" w:rsidR="00D55E46" w:rsidRPr="005D5F7D" w:rsidRDefault="00D55E46">
            <w:pPr>
              <w:pStyle w:val="TableParagraph"/>
              <w:ind w:left="83" w:right="81"/>
              <w:jc w:val="both"/>
              <w:rPr>
                <w:noProof/>
                <w:sz w:val="20"/>
                <w:szCs w:val="20"/>
              </w:rPr>
            </w:pPr>
          </w:p>
          <w:p w14:paraId="283F2CB9" w14:textId="4D983E53" w:rsidR="003E4FCA" w:rsidRPr="005D5F7D" w:rsidRDefault="003E4FCA">
            <w:pPr>
              <w:pStyle w:val="TableParagraph"/>
              <w:ind w:left="83" w:right="81"/>
              <w:jc w:val="both"/>
              <w:rPr>
                <w:noProof/>
                <w:sz w:val="20"/>
                <w:szCs w:val="20"/>
              </w:rPr>
            </w:pPr>
          </w:p>
        </w:tc>
      </w:tr>
      <w:tr w:rsidR="003C7589" w:rsidRPr="005D5F7D" w14:paraId="741CC819" w14:textId="77777777" w:rsidTr="000B20C8">
        <w:trPr>
          <w:trHeight w:val="1723"/>
        </w:trPr>
        <w:tc>
          <w:tcPr>
            <w:tcW w:w="877" w:type="pct"/>
            <w:shd w:val="clear" w:color="auto" w:fill="FFFFFF" w:themeFill="background1"/>
          </w:tcPr>
          <w:p w14:paraId="0D100F6D" w14:textId="02C08E82" w:rsidR="003E4FCA" w:rsidRPr="005D5F7D" w:rsidRDefault="003E4FCA" w:rsidP="005D5F7D">
            <w:pPr>
              <w:pStyle w:val="TableParagraph"/>
              <w:ind w:left="83" w:right="78"/>
              <w:rPr>
                <w:noProof/>
                <w:sz w:val="20"/>
                <w:szCs w:val="20"/>
              </w:rPr>
            </w:pPr>
            <w:r w:rsidRPr="005D5F7D">
              <w:rPr>
                <w:noProof/>
                <w:color w:val="000000"/>
                <w:sz w:val="20"/>
                <w:szCs w:val="20"/>
              </w:rPr>
              <w:t>Remove requirement ensuring that operators provide accurate data</w:t>
            </w:r>
          </w:p>
        </w:tc>
        <w:tc>
          <w:tcPr>
            <w:tcW w:w="1690" w:type="pct"/>
          </w:tcPr>
          <w:p w14:paraId="12F6C730" w14:textId="7B99BB3C" w:rsidR="003E4FCA" w:rsidRPr="005D5F7D" w:rsidRDefault="2C0B66DB" w:rsidP="00770386">
            <w:pPr>
              <w:pStyle w:val="TableParagraph"/>
              <w:ind w:left="85" w:right="79"/>
              <w:jc w:val="both"/>
              <w:rPr>
                <w:noProof/>
                <w:sz w:val="20"/>
                <w:szCs w:val="20"/>
              </w:rPr>
            </w:pPr>
            <w:r w:rsidRPr="005D5F7D">
              <w:rPr>
                <w:noProof/>
                <w:sz w:val="20"/>
                <w:szCs w:val="20"/>
              </w:rPr>
              <w:t xml:space="preserve">Remove the obligation coming from Article 9 of the </w:t>
            </w:r>
            <w:r w:rsidR="000033D9" w:rsidRPr="005D5F7D">
              <w:rPr>
                <w:noProof/>
                <w:sz w:val="20"/>
                <w:szCs w:val="20"/>
              </w:rPr>
              <w:t>CRS</w:t>
            </w:r>
            <w:r w:rsidRPr="005D5F7D">
              <w:rPr>
                <w:noProof/>
                <w:sz w:val="20"/>
                <w:szCs w:val="20"/>
              </w:rPr>
              <w:t xml:space="preserve"> Code of Conduct </w:t>
            </w:r>
            <w:r w:rsidR="000033D9" w:rsidRPr="005D5F7D">
              <w:rPr>
                <w:noProof/>
                <w:sz w:val="20"/>
                <w:szCs w:val="20"/>
              </w:rPr>
              <w:t>obliging</w:t>
            </w:r>
            <w:r w:rsidRPr="005D5F7D">
              <w:rPr>
                <w:noProof/>
                <w:sz w:val="20"/>
                <w:szCs w:val="20"/>
              </w:rPr>
              <w:t xml:space="preserve"> transport operators to provide MDMS</w:t>
            </w:r>
            <w:r w:rsidR="7EB469B0" w:rsidRPr="005D5F7D">
              <w:rPr>
                <w:noProof/>
                <w:sz w:val="20"/>
                <w:szCs w:val="20"/>
              </w:rPr>
              <w:t xml:space="preserve"> platforms</w:t>
            </w:r>
            <w:r w:rsidRPr="005D5F7D">
              <w:rPr>
                <w:noProof/>
                <w:sz w:val="20"/>
                <w:szCs w:val="20"/>
              </w:rPr>
              <w:t xml:space="preserve"> with data that is correct, accurate and complete. This obligation is linked to the neutral display obligation, as inaccurate data would prevent MDMS </w:t>
            </w:r>
            <w:r w:rsidR="00E256E6" w:rsidRPr="005D5F7D">
              <w:rPr>
                <w:noProof/>
                <w:sz w:val="20"/>
                <w:szCs w:val="20"/>
              </w:rPr>
              <w:t>platforms</w:t>
            </w:r>
            <w:r w:rsidRPr="005D5F7D">
              <w:rPr>
                <w:noProof/>
                <w:sz w:val="20"/>
                <w:szCs w:val="20"/>
              </w:rPr>
              <w:t xml:space="preserve"> from offering an unbiased display to subscribers (travel agents and TMCs) and end-users.</w:t>
            </w:r>
          </w:p>
        </w:tc>
        <w:tc>
          <w:tcPr>
            <w:tcW w:w="2433" w:type="pct"/>
          </w:tcPr>
          <w:p w14:paraId="204437C8" w14:textId="6390FEB4" w:rsidR="003E4FCA" w:rsidRPr="005D5F7D" w:rsidRDefault="003E4FCA">
            <w:pPr>
              <w:pStyle w:val="TableParagraph"/>
              <w:ind w:left="83" w:right="82"/>
              <w:jc w:val="both"/>
              <w:rPr>
                <w:noProof/>
                <w:sz w:val="20"/>
                <w:szCs w:val="20"/>
              </w:rPr>
            </w:pPr>
            <w:r w:rsidRPr="005D5F7D">
              <w:rPr>
                <w:noProof/>
                <w:sz w:val="20"/>
                <w:szCs w:val="20"/>
              </w:rPr>
              <w:t xml:space="preserve">This obligation is still relevant to ensure that MDMS can comply with the neutral display requirement, </w:t>
            </w:r>
            <w:r w:rsidR="00820225" w:rsidRPr="005D5F7D">
              <w:rPr>
                <w:noProof/>
                <w:sz w:val="20"/>
                <w:szCs w:val="20"/>
              </w:rPr>
              <w:t>in particular given</w:t>
            </w:r>
            <w:r w:rsidRPr="005D5F7D">
              <w:rPr>
                <w:noProof/>
                <w:sz w:val="20"/>
                <w:szCs w:val="20"/>
              </w:rPr>
              <w:t xml:space="preserve"> the extension </w:t>
            </w:r>
            <w:r w:rsidR="00820225" w:rsidRPr="005D5F7D">
              <w:rPr>
                <w:noProof/>
                <w:sz w:val="20"/>
                <w:szCs w:val="20"/>
              </w:rPr>
              <w:t xml:space="preserve">of the neutral display </w:t>
            </w:r>
            <w:r w:rsidRPr="005D5F7D">
              <w:rPr>
                <w:noProof/>
                <w:sz w:val="20"/>
                <w:szCs w:val="20"/>
              </w:rPr>
              <w:t xml:space="preserve">to include </w:t>
            </w:r>
            <w:r w:rsidR="00820225" w:rsidRPr="005D5F7D">
              <w:rPr>
                <w:noProof/>
                <w:sz w:val="20"/>
                <w:szCs w:val="20"/>
              </w:rPr>
              <w:t>additional</w:t>
            </w:r>
            <w:r w:rsidRPr="005D5F7D">
              <w:rPr>
                <w:noProof/>
                <w:sz w:val="20"/>
                <w:szCs w:val="20"/>
              </w:rPr>
              <w:t xml:space="preserve"> ranking criteria (e.g. GHG emissions). </w:t>
            </w:r>
          </w:p>
        </w:tc>
      </w:tr>
      <w:tr w:rsidR="003C7589" w:rsidRPr="005D5F7D" w14:paraId="5000F8BA" w14:textId="77777777" w:rsidTr="000B20C8">
        <w:trPr>
          <w:trHeight w:val="935"/>
        </w:trPr>
        <w:tc>
          <w:tcPr>
            <w:tcW w:w="877" w:type="pct"/>
          </w:tcPr>
          <w:p w14:paraId="0F355C20" w14:textId="1B611E4E" w:rsidR="003E4FCA" w:rsidRPr="005D5F7D" w:rsidRDefault="003E4FCA" w:rsidP="005D5F7D">
            <w:pPr>
              <w:pStyle w:val="TableParagraph"/>
              <w:rPr>
                <w:noProof/>
                <w:sz w:val="20"/>
                <w:szCs w:val="20"/>
              </w:rPr>
            </w:pPr>
            <w:r w:rsidRPr="005D5F7D">
              <w:rPr>
                <w:noProof/>
                <w:sz w:val="20"/>
                <w:szCs w:val="20"/>
              </w:rPr>
              <w:t>Remove requirements fo</w:t>
            </w:r>
            <w:r w:rsidR="00820225" w:rsidRPr="005D5F7D">
              <w:rPr>
                <w:noProof/>
                <w:sz w:val="20"/>
                <w:szCs w:val="20"/>
              </w:rPr>
              <w:t xml:space="preserve">r </w:t>
            </w:r>
            <w:r w:rsidRPr="005D5F7D">
              <w:rPr>
                <w:noProof/>
                <w:sz w:val="20"/>
                <w:szCs w:val="20"/>
              </w:rPr>
              <w:t>fair treatment of subscribers</w:t>
            </w:r>
          </w:p>
        </w:tc>
        <w:tc>
          <w:tcPr>
            <w:tcW w:w="1690" w:type="pct"/>
          </w:tcPr>
          <w:p w14:paraId="0184A83A" w14:textId="710053EB" w:rsidR="003E4FCA" w:rsidRPr="005D5F7D" w:rsidRDefault="003E4FCA" w:rsidP="00770386">
            <w:pPr>
              <w:pStyle w:val="TableParagraph"/>
              <w:ind w:left="85" w:right="79"/>
              <w:jc w:val="both"/>
              <w:rPr>
                <w:noProof/>
                <w:sz w:val="20"/>
                <w:szCs w:val="20"/>
              </w:rPr>
            </w:pPr>
            <w:r w:rsidRPr="005D5F7D">
              <w:rPr>
                <w:noProof/>
                <w:sz w:val="20"/>
                <w:szCs w:val="20"/>
              </w:rPr>
              <w:t>This measure would remove the protections in favo</w:t>
            </w:r>
            <w:r w:rsidR="00CA0912" w:rsidRPr="005D5F7D">
              <w:rPr>
                <w:noProof/>
                <w:sz w:val="20"/>
                <w:szCs w:val="20"/>
              </w:rPr>
              <w:t>u</w:t>
            </w:r>
            <w:r w:rsidRPr="005D5F7D">
              <w:rPr>
                <w:noProof/>
                <w:sz w:val="20"/>
                <w:szCs w:val="20"/>
              </w:rPr>
              <w:t>r of subscribers (travel agents and travel management companies) in commercial relationship with CRSs, also with reference to MIDT data.</w:t>
            </w:r>
            <w:r w:rsidR="00E402D0" w:rsidRPr="005D5F7D">
              <w:rPr>
                <w:noProof/>
                <w:sz w:val="20"/>
                <w:szCs w:val="20"/>
              </w:rPr>
              <w:t xml:space="preserve"> MIDT data consist of any marketing, booking and sales data held by CRS providers. These data may be made available by CRS providers provided that such data are offered with equal timeliness and on a non-discriminatory basis to all participating</w:t>
            </w:r>
            <w:r w:rsidR="009D3D4A" w:rsidRPr="005D5F7D">
              <w:rPr>
                <w:noProof/>
                <w:sz w:val="20"/>
                <w:szCs w:val="20"/>
              </w:rPr>
              <w:t xml:space="preserve"> operators. </w:t>
            </w:r>
          </w:p>
        </w:tc>
        <w:tc>
          <w:tcPr>
            <w:tcW w:w="2433" w:type="pct"/>
          </w:tcPr>
          <w:p w14:paraId="181746B9" w14:textId="7028FAB5" w:rsidR="003E4FCA" w:rsidRPr="005D5F7D" w:rsidRDefault="0059386C" w:rsidP="00F751C7">
            <w:pPr>
              <w:pStyle w:val="TableParagraph"/>
              <w:ind w:left="83" w:right="71"/>
              <w:jc w:val="both"/>
              <w:rPr>
                <w:noProof/>
                <w:sz w:val="20"/>
                <w:szCs w:val="20"/>
              </w:rPr>
            </w:pPr>
            <w:r w:rsidRPr="005D5F7D">
              <w:rPr>
                <w:noProof/>
                <w:sz w:val="20"/>
                <w:szCs w:val="20"/>
              </w:rPr>
              <w:t xml:space="preserve">This obligation is still relevant </w:t>
            </w:r>
            <w:r w:rsidR="003E4FCA" w:rsidRPr="005D5F7D">
              <w:rPr>
                <w:noProof/>
                <w:sz w:val="20"/>
                <w:szCs w:val="20"/>
              </w:rPr>
              <w:t xml:space="preserve">for subscribers </w:t>
            </w:r>
            <w:r w:rsidR="00413E61" w:rsidRPr="005D5F7D">
              <w:rPr>
                <w:noProof/>
                <w:sz w:val="20"/>
                <w:szCs w:val="20"/>
              </w:rPr>
              <w:t xml:space="preserve">protecting them from potential </w:t>
            </w:r>
            <w:r w:rsidR="003E4FCA" w:rsidRPr="005D5F7D">
              <w:rPr>
                <w:noProof/>
                <w:sz w:val="20"/>
                <w:szCs w:val="20"/>
              </w:rPr>
              <w:t xml:space="preserve">unfair and unjustified conditions being imposed by CRSs and using the MIDT data to influence travel agents. </w:t>
            </w:r>
            <w:r w:rsidR="00BE54EF" w:rsidRPr="005D5F7D">
              <w:rPr>
                <w:noProof/>
                <w:sz w:val="20"/>
                <w:szCs w:val="20"/>
              </w:rPr>
              <w:t>carriers, including parent carriers.</w:t>
            </w:r>
            <w:r w:rsidR="00100154" w:rsidRPr="005D5F7D">
              <w:rPr>
                <w:noProof/>
                <w:sz w:val="20"/>
                <w:szCs w:val="20"/>
              </w:rPr>
              <w:t xml:space="preserve"> </w:t>
            </w:r>
          </w:p>
        </w:tc>
      </w:tr>
      <w:tr w:rsidR="003C7589" w:rsidRPr="005D5F7D" w14:paraId="08DFBA81" w14:textId="77777777" w:rsidTr="000B20C8">
        <w:trPr>
          <w:trHeight w:val="1723"/>
        </w:trPr>
        <w:tc>
          <w:tcPr>
            <w:tcW w:w="877" w:type="pct"/>
          </w:tcPr>
          <w:p w14:paraId="5052E963" w14:textId="77777777" w:rsidR="003E4FCA" w:rsidRPr="005D5F7D" w:rsidRDefault="003E4FCA" w:rsidP="005D5F7D">
            <w:pPr>
              <w:pStyle w:val="TableParagraph"/>
              <w:rPr>
                <w:noProof/>
                <w:sz w:val="20"/>
                <w:szCs w:val="20"/>
              </w:rPr>
            </w:pPr>
            <w:r w:rsidRPr="005D5F7D">
              <w:rPr>
                <w:noProof/>
                <w:sz w:val="20"/>
                <w:szCs w:val="20"/>
              </w:rPr>
              <w:t>Remove information on banned airlines and rules on equivalent treatment of EU airlines (for all B2B MDMS operating in 3rd countries)</w:t>
            </w:r>
          </w:p>
        </w:tc>
        <w:tc>
          <w:tcPr>
            <w:tcW w:w="1690" w:type="pct"/>
          </w:tcPr>
          <w:p w14:paraId="2DD0DA54" w14:textId="77777777" w:rsidR="003E4FCA" w:rsidRPr="005D5F7D" w:rsidRDefault="003E4FCA" w:rsidP="00770386">
            <w:pPr>
              <w:pStyle w:val="TableParagraph"/>
              <w:ind w:left="85" w:right="79"/>
              <w:jc w:val="both"/>
              <w:rPr>
                <w:noProof/>
                <w:sz w:val="20"/>
                <w:szCs w:val="20"/>
              </w:rPr>
            </w:pPr>
            <w:r w:rsidRPr="005D5F7D">
              <w:rPr>
                <w:noProof/>
                <w:sz w:val="20"/>
                <w:szCs w:val="20"/>
              </w:rPr>
              <w:t>This measure would remove the obligations to inform about airlines subject to an operating ban and to ensure equivalent treatment of EU airlines when the MDMS operates in third countries.</w:t>
            </w:r>
          </w:p>
        </w:tc>
        <w:tc>
          <w:tcPr>
            <w:tcW w:w="2433" w:type="pct"/>
          </w:tcPr>
          <w:p w14:paraId="40549B89" w14:textId="1D40D0D8" w:rsidR="003E4FCA" w:rsidRPr="005D5F7D" w:rsidRDefault="003E4FCA" w:rsidP="000E02DF">
            <w:pPr>
              <w:pStyle w:val="TableParagraph"/>
              <w:jc w:val="both"/>
              <w:rPr>
                <w:noProof/>
                <w:sz w:val="20"/>
                <w:szCs w:val="20"/>
              </w:rPr>
            </w:pPr>
            <w:r w:rsidRPr="005D5F7D">
              <w:rPr>
                <w:noProof/>
                <w:sz w:val="20"/>
                <w:szCs w:val="20"/>
              </w:rPr>
              <w:t>The requirements that MDMS provide information on airlines subject to an operating ban within the EU and ensure equivalent treatment of EU airlines when the MDMS operates in third countries, are still relevan</w:t>
            </w:r>
            <w:r w:rsidR="00366B29" w:rsidRPr="005D5F7D">
              <w:rPr>
                <w:noProof/>
                <w:sz w:val="20"/>
                <w:szCs w:val="20"/>
              </w:rPr>
              <w:t>t</w:t>
            </w:r>
            <w:r w:rsidR="008C1852" w:rsidRPr="005D5F7D">
              <w:rPr>
                <w:noProof/>
                <w:sz w:val="20"/>
                <w:szCs w:val="20"/>
              </w:rPr>
              <w:t>. The</w:t>
            </w:r>
            <w:r w:rsidR="00DF3A2F" w:rsidRPr="005D5F7D">
              <w:rPr>
                <w:noProof/>
                <w:sz w:val="20"/>
                <w:szCs w:val="20"/>
              </w:rPr>
              <w:t xml:space="preserve"> first </w:t>
            </w:r>
            <w:r w:rsidR="008C1852" w:rsidRPr="005D5F7D">
              <w:rPr>
                <w:noProof/>
                <w:sz w:val="20"/>
                <w:szCs w:val="20"/>
              </w:rPr>
              <w:t xml:space="preserve">rule </w:t>
            </w:r>
            <w:r w:rsidR="00DF3A2F" w:rsidRPr="005D5F7D">
              <w:rPr>
                <w:noProof/>
                <w:sz w:val="20"/>
                <w:szCs w:val="20"/>
              </w:rPr>
              <w:t>ensure</w:t>
            </w:r>
            <w:r w:rsidR="008C1852" w:rsidRPr="005D5F7D">
              <w:rPr>
                <w:noProof/>
                <w:sz w:val="20"/>
                <w:szCs w:val="20"/>
              </w:rPr>
              <w:t>s</w:t>
            </w:r>
            <w:r w:rsidR="00DF3A2F" w:rsidRPr="005D5F7D">
              <w:rPr>
                <w:noProof/>
                <w:sz w:val="20"/>
                <w:szCs w:val="20"/>
              </w:rPr>
              <w:t xml:space="preserve"> that </w:t>
            </w:r>
            <w:r w:rsidR="00A72C21" w:rsidRPr="005D5F7D">
              <w:rPr>
                <w:noProof/>
                <w:sz w:val="20"/>
                <w:szCs w:val="20"/>
              </w:rPr>
              <w:t xml:space="preserve">ticket sellers can comply with the obligation to provide this information to passengers as requested by Regulation </w:t>
            </w:r>
            <w:r w:rsidR="008C1852" w:rsidRPr="005D5F7D">
              <w:rPr>
                <w:noProof/>
                <w:sz w:val="20"/>
                <w:szCs w:val="20"/>
              </w:rPr>
              <w:t>(EC) No 2111/2005</w:t>
            </w:r>
            <w:r w:rsidR="00EB7EE4" w:rsidRPr="005D5F7D">
              <w:rPr>
                <w:noProof/>
                <w:sz w:val="20"/>
                <w:szCs w:val="20"/>
              </w:rPr>
              <w:t xml:space="preserve">. The second rule allows equivalent treatment of EU carriers </w:t>
            </w:r>
            <w:r w:rsidR="00A44B6D" w:rsidRPr="005D5F7D">
              <w:rPr>
                <w:noProof/>
                <w:sz w:val="20"/>
                <w:szCs w:val="20"/>
              </w:rPr>
              <w:t>by third country CRSs. If a third country CRS does not treat equally a</w:t>
            </w:r>
            <w:r w:rsidR="00A335E2" w:rsidRPr="005D5F7D">
              <w:rPr>
                <w:noProof/>
                <w:sz w:val="20"/>
                <w:szCs w:val="20"/>
              </w:rPr>
              <w:t xml:space="preserve">n EU carrier the Commission can ask EU </w:t>
            </w:r>
            <w:r w:rsidR="00CA1E07" w:rsidRPr="005D5F7D">
              <w:rPr>
                <w:noProof/>
                <w:sz w:val="20"/>
                <w:szCs w:val="20"/>
              </w:rPr>
              <w:t xml:space="preserve">CRSs to treat in an equivalent manner non-EU carriers. </w:t>
            </w:r>
          </w:p>
        </w:tc>
      </w:tr>
      <w:tr w:rsidR="003C7589" w:rsidRPr="005D5F7D" w14:paraId="54E78513" w14:textId="77777777" w:rsidTr="000B20C8">
        <w:trPr>
          <w:trHeight w:val="1723"/>
        </w:trPr>
        <w:tc>
          <w:tcPr>
            <w:tcW w:w="877" w:type="pct"/>
          </w:tcPr>
          <w:p w14:paraId="0A029147" w14:textId="77777777" w:rsidR="003E4FCA" w:rsidRPr="005D5F7D" w:rsidRDefault="003E4FCA" w:rsidP="005D5F7D">
            <w:pPr>
              <w:pStyle w:val="TableParagraph"/>
              <w:rPr>
                <w:noProof/>
                <w:sz w:val="20"/>
                <w:szCs w:val="20"/>
              </w:rPr>
            </w:pPr>
            <w:r w:rsidRPr="005D5F7D">
              <w:rPr>
                <w:noProof/>
                <w:sz w:val="20"/>
                <w:szCs w:val="20"/>
              </w:rPr>
              <w:t>Remove the enforcement rules of the Regulation on CRS. This is subject to all other competition-related provisions being repealed</w:t>
            </w:r>
          </w:p>
        </w:tc>
        <w:tc>
          <w:tcPr>
            <w:tcW w:w="1690" w:type="pct"/>
          </w:tcPr>
          <w:p w14:paraId="5872E969" w14:textId="77777777" w:rsidR="003E4FCA" w:rsidRPr="005D5F7D" w:rsidDel="00EC3DE5" w:rsidRDefault="003E4FCA" w:rsidP="00934A59">
            <w:pPr>
              <w:pStyle w:val="TableParagraph"/>
              <w:ind w:left="85" w:right="79"/>
              <w:jc w:val="both"/>
              <w:rPr>
                <w:noProof/>
                <w:sz w:val="20"/>
                <w:szCs w:val="20"/>
              </w:rPr>
            </w:pPr>
            <w:r w:rsidRPr="005D5F7D">
              <w:rPr>
                <w:noProof/>
                <w:sz w:val="20"/>
                <w:szCs w:val="20"/>
              </w:rPr>
              <w:t>This measure would remove procedures ensuring that the obligations imposed by CRS Code of Conduct (including protections for subscribers and transport operators) are properly enforced.</w:t>
            </w:r>
          </w:p>
        </w:tc>
        <w:tc>
          <w:tcPr>
            <w:tcW w:w="2433" w:type="pct"/>
          </w:tcPr>
          <w:p w14:paraId="4B714EC4" w14:textId="44A837EA" w:rsidR="003E4FCA" w:rsidRPr="005D5F7D" w:rsidRDefault="00DE22F4" w:rsidP="00934A59">
            <w:pPr>
              <w:pStyle w:val="TableParagraph"/>
              <w:jc w:val="both"/>
              <w:rPr>
                <w:noProof/>
                <w:sz w:val="20"/>
                <w:szCs w:val="20"/>
              </w:rPr>
            </w:pPr>
            <w:r w:rsidRPr="005D5F7D">
              <w:rPr>
                <w:noProof/>
                <w:sz w:val="20"/>
                <w:szCs w:val="20"/>
              </w:rPr>
              <w:t>This measure has been discarded, as it remains relevant to retain certain enforcement powers for the MDMS initiative overall. These powers will be delegated to national enforcement authorities and coordinated at the EU level through a newly established enforcement network, ensuring consistent enforcement across the EU.</w:t>
            </w:r>
          </w:p>
        </w:tc>
      </w:tr>
      <w:tr w:rsidR="003C7589" w:rsidRPr="005D5F7D" w14:paraId="3D981BC7" w14:textId="77777777" w:rsidTr="000B20C8">
        <w:trPr>
          <w:trHeight w:val="1723"/>
        </w:trPr>
        <w:tc>
          <w:tcPr>
            <w:tcW w:w="877" w:type="pct"/>
          </w:tcPr>
          <w:p w14:paraId="50E91BDE" w14:textId="77777777" w:rsidR="003E4FCA" w:rsidRPr="005D5F7D" w:rsidRDefault="003E4FCA" w:rsidP="005D5F7D">
            <w:pPr>
              <w:pStyle w:val="TableParagraph"/>
              <w:rPr>
                <w:noProof/>
                <w:sz w:val="20"/>
                <w:szCs w:val="20"/>
              </w:rPr>
            </w:pPr>
            <w:r w:rsidRPr="005D5F7D">
              <w:rPr>
                <w:noProof/>
                <w:sz w:val="20"/>
                <w:szCs w:val="20"/>
              </w:rPr>
              <w:t>Obligation for the EC</w:t>
            </w:r>
            <w:r w:rsidRPr="005D5F7D">
              <w:rPr>
                <w:noProof/>
                <w:sz w:val="20"/>
                <w:szCs w:val="20"/>
                <w:lang w:eastAsia="en-IE"/>
              </w:rPr>
              <w:t xml:space="preserve"> to settle disputes between parties. </w:t>
            </w:r>
          </w:p>
        </w:tc>
        <w:tc>
          <w:tcPr>
            <w:tcW w:w="1690" w:type="pct"/>
          </w:tcPr>
          <w:p w14:paraId="19DEF3DA" w14:textId="5B6CFB34" w:rsidR="003E4FCA" w:rsidRPr="005D5F7D" w:rsidRDefault="003E4FCA" w:rsidP="00934A59">
            <w:pPr>
              <w:pStyle w:val="TableParagraph"/>
              <w:ind w:left="85" w:right="79"/>
              <w:jc w:val="both"/>
              <w:rPr>
                <w:noProof/>
                <w:sz w:val="20"/>
                <w:szCs w:val="20"/>
                <w:lang w:eastAsia="en-IE"/>
              </w:rPr>
            </w:pPr>
            <w:r w:rsidRPr="005D5F7D">
              <w:rPr>
                <w:noProof/>
                <w:sz w:val="20"/>
                <w:szCs w:val="20"/>
                <w:lang w:eastAsia="en-IE"/>
              </w:rPr>
              <w:t>Obligation for the Commission to directly settle disputes between parties, which could arise from PM1</w:t>
            </w:r>
            <w:r w:rsidR="00E34468" w:rsidRPr="005D5F7D">
              <w:rPr>
                <w:noProof/>
                <w:sz w:val="20"/>
                <w:szCs w:val="20"/>
                <w:lang w:eastAsia="en-IE"/>
              </w:rPr>
              <w:t>1</w:t>
            </w:r>
            <w:r w:rsidRPr="005D5F7D">
              <w:rPr>
                <w:noProof/>
                <w:sz w:val="20"/>
                <w:szCs w:val="20"/>
                <w:lang w:eastAsia="en-IE"/>
              </w:rPr>
              <w:t xml:space="preserve"> to 1</w:t>
            </w:r>
            <w:r w:rsidR="00E34468" w:rsidRPr="005D5F7D">
              <w:rPr>
                <w:noProof/>
                <w:sz w:val="20"/>
                <w:szCs w:val="20"/>
                <w:lang w:eastAsia="en-IE"/>
              </w:rPr>
              <w:t>6</w:t>
            </w:r>
            <w:r w:rsidRPr="005D5F7D">
              <w:rPr>
                <w:noProof/>
                <w:sz w:val="20"/>
                <w:szCs w:val="20"/>
                <w:lang w:eastAsia="en-IE"/>
              </w:rPr>
              <w:t>.</w:t>
            </w:r>
          </w:p>
        </w:tc>
        <w:tc>
          <w:tcPr>
            <w:tcW w:w="2433" w:type="pct"/>
          </w:tcPr>
          <w:p w14:paraId="193D9F9B" w14:textId="2D312778" w:rsidR="003E4FCA" w:rsidRPr="005D5F7D" w:rsidRDefault="003E4FCA" w:rsidP="000E02DF">
            <w:pPr>
              <w:pStyle w:val="TableParagraph"/>
              <w:jc w:val="both"/>
              <w:rPr>
                <w:noProof/>
                <w:sz w:val="20"/>
                <w:szCs w:val="20"/>
              </w:rPr>
            </w:pPr>
            <w:r w:rsidRPr="005D5F7D">
              <w:rPr>
                <w:noProof/>
                <w:sz w:val="20"/>
                <w:szCs w:val="20"/>
              </w:rPr>
              <w:t xml:space="preserve">This measure has been discarded because ensuring enforcement at the EU level would be less cost-efficient. Many national enforcement authorities already exist and could undertake these tasks, particularly </w:t>
            </w:r>
            <w:r w:rsidR="00265347" w:rsidRPr="005D5F7D">
              <w:rPr>
                <w:noProof/>
                <w:sz w:val="20"/>
                <w:szCs w:val="20"/>
              </w:rPr>
              <w:t>rail regulators</w:t>
            </w:r>
            <w:r w:rsidRPr="005D5F7D">
              <w:rPr>
                <w:noProof/>
                <w:sz w:val="20"/>
                <w:szCs w:val="20"/>
              </w:rPr>
              <w:t>, competition authorities and those established to enforce provisions under the Data Act.</w:t>
            </w:r>
          </w:p>
          <w:p w14:paraId="6C20B3A1" w14:textId="77777777" w:rsidR="003E4FCA" w:rsidRPr="005D5F7D" w:rsidRDefault="003E4FCA" w:rsidP="000E02DF">
            <w:pPr>
              <w:pStyle w:val="TableParagraph"/>
              <w:rPr>
                <w:noProof/>
                <w:sz w:val="20"/>
                <w:szCs w:val="20"/>
              </w:rPr>
            </w:pPr>
          </w:p>
        </w:tc>
      </w:tr>
      <w:tr w:rsidR="003C7589" w:rsidRPr="005D5F7D" w14:paraId="4E645B62" w14:textId="77777777" w:rsidTr="000B20C8">
        <w:trPr>
          <w:trHeight w:val="1723"/>
        </w:trPr>
        <w:tc>
          <w:tcPr>
            <w:tcW w:w="877" w:type="pct"/>
          </w:tcPr>
          <w:p w14:paraId="6D9B1CB1" w14:textId="664A3CDE" w:rsidR="00DD4AC9" w:rsidRPr="005D5F7D" w:rsidRDefault="003E726F" w:rsidP="005D5F7D">
            <w:pPr>
              <w:pStyle w:val="TableParagraph"/>
              <w:rPr>
                <w:noProof/>
                <w:sz w:val="20"/>
                <w:szCs w:val="20"/>
              </w:rPr>
            </w:pPr>
            <w:r w:rsidRPr="005D5F7D">
              <w:rPr>
                <w:noProof/>
                <w:sz w:val="20"/>
                <w:szCs w:val="20"/>
              </w:rPr>
              <w:t>Reporting obligation for operators and MDMS to assess their indispensability</w:t>
            </w:r>
          </w:p>
        </w:tc>
        <w:tc>
          <w:tcPr>
            <w:tcW w:w="1690" w:type="pct"/>
          </w:tcPr>
          <w:p w14:paraId="48D29EDB" w14:textId="2D9ED161" w:rsidR="00DD4AC9" w:rsidRPr="005D5F7D" w:rsidRDefault="008B58CB" w:rsidP="00934A59">
            <w:pPr>
              <w:pStyle w:val="TableParagraph"/>
              <w:ind w:left="85" w:right="79"/>
              <w:jc w:val="both"/>
              <w:rPr>
                <w:noProof/>
                <w:sz w:val="20"/>
                <w:szCs w:val="20"/>
                <w:lang w:eastAsia="en-IE"/>
              </w:rPr>
            </w:pPr>
            <w:r w:rsidRPr="005D5F7D">
              <w:rPr>
                <w:noProof/>
                <w:sz w:val="20"/>
                <w:szCs w:val="20"/>
                <w:lang w:eastAsia="en-IE"/>
              </w:rPr>
              <w:t>Obligation for opera</w:t>
            </w:r>
            <w:r w:rsidR="00B877F9" w:rsidRPr="005D5F7D">
              <w:rPr>
                <w:noProof/>
                <w:sz w:val="20"/>
                <w:szCs w:val="20"/>
                <w:lang w:eastAsia="en-IE"/>
              </w:rPr>
              <w:t xml:space="preserve">tors and MDMS to report on their market share. </w:t>
            </w:r>
          </w:p>
        </w:tc>
        <w:tc>
          <w:tcPr>
            <w:tcW w:w="2433" w:type="pct"/>
          </w:tcPr>
          <w:p w14:paraId="53250602" w14:textId="31FD928A" w:rsidR="00DD4AC9" w:rsidRPr="005D5F7D" w:rsidRDefault="00B877F9" w:rsidP="00134B40">
            <w:pPr>
              <w:pStyle w:val="TableParagraph"/>
              <w:jc w:val="both"/>
              <w:rPr>
                <w:noProof/>
                <w:sz w:val="20"/>
                <w:szCs w:val="20"/>
              </w:rPr>
            </w:pPr>
            <w:r w:rsidRPr="005D5F7D">
              <w:rPr>
                <w:noProof/>
                <w:sz w:val="20"/>
                <w:szCs w:val="20"/>
              </w:rPr>
              <w:t>This measure has been discarded as a notification mechanism</w:t>
            </w:r>
            <w:r w:rsidR="005F3FD2" w:rsidRPr="005D5F7D">
              <w:rPr>
                <w:noProof/>
                <w:sz w:val="20"/>
                <w:szCs w:val="20"/>
              </w:rPr>
              <w:t>, as foreseen in PM</w:t>
            </w:r>
            <w:r w:rsidR="001A6620" w:rsidRPr="005D5F7D">
              <w:rPr>
                <w:noProof/>
                <w:sz w:val="20"/>
                <w:szCs w:val="20"/>
              </w:rPr>
              <w:t>10is</w:t>
            </w:r>
            <w:r w:rsidRPr="005D5F7D">
              <w:rPr>
                <w:noProof/>
                <w:sz w:val="20"/>
                <w:szCs w:val="20"/>
              </w:rPr>
              <w:t xml:space="preserve"> more efficient for designation authorities, for </w:t>
            </w:r>
            <w:r w:rsidR="001A6620" w:rsidRPr="005D5F7D">
              <w:rPr>
                <w:noProof/>
                <w:sz w:val="20"/>
                <w:szCs w:val="20"/>
              </w:rPr>
              <w:t xml:space="preserve">RUs </w:t>
            </w:r>
            <w:r w:rsidRPr="005D5F7D">
              <w:rPr>
                <w:noProof/>
                <w:sz w:val="20"/>
                <w:szCs w:val="20"/>
              </w:rPr>
              <w:t xml:space="preserve">and for </w:t>
            </w:r>
            <w:r w:rsidR="001A6620" w:rsidRPr="005D5F7D">
              <w:rPr>
                <w:noProof/>
                <w:sz w:val="20"/>
                <w:szCs w:val="20"/>
              </w:rPr>
              <w:t xml:space="preserve">MDMS </w:t>
            </w:r>
            <w:r w:rsidRPr="005D5F7D">
              <w:rPr>
                <w:noProof/>
                <w:sz w:val="20"/>
                <w:szCs w:val="20"/>
              </w:rPr>
              <w:t xml:space="preserve">platforms. </w:t>
            </w:r>
            <w:r w:rsidR="001A6620" w:rsidRPr="005D5F7D">
              <w:rPr>
                <w:noProof/>
                <w:sz w:val="20"/>
                <w:szCs w:val="20"/>
              </w:rPr>
              <w:t>Beyond</w:t>
            </w:r>
            <w:r w:rsidR="0080719C" w:rsidRPr="005D5F7D">
              <w:rPr>
                <w:noProof/>
                <w:sz w:val="20"/>
                <w:szCs w:val="20"/>
              </w:rPr>
              <w:t xml:space="preserve"> notification reporting obligation is also foreseen and taken into account in PM10 in the context of the RMMS.</w:t>
            </w:r>
          </w:p>
        </w:tc>
      </w:tr>
      <w:tr w:rsidR="003C7589" w:rsidRPr="005D5F7D" w14:paraId="142921BF" w14:textId="77777777" w:rsidTr="000B20C8">
        <w:trPr>
          <w:trHeight w:val="983"/>
        </w:trPr>
        <w:tc>
          <w:tcPr>
            <w:tcW w:w="877" w:type="pct"/>
          </w:tcPr>
          <w:p w14:paraId="0F6E778A" w14:textId="170CD47E" w:rsidR="003E4FCA" w:rsidRPr="005D5F7D" w:rsidRDefault="003E4FCA" w:rsidP="005D5F7D">
            <w:pPr>
              <w:pStyle w:val="TableParagraph"/>
              <w:rPr>
                <w:noProof/>
                <w:sz w:val="20"/>
                <w:szCs w:val="20"/>
              </w:rPr>
            </w:pPr>
            <w:r w:rsidRPr="005D5F7D">
              <w:rPr>
                <w:noProof/>
                <w:sz w:val="20"/>
                <w:szCs w:val="20"/>
              </w:rPr>
              <w:t>Remove the ban on unfair conditions in CRS-airline contracts which restrict airline’s ability to use of alternative distribution systems</w:t>
            </w:r>
          </w:p>
        </w:tc>
        <w:tc>
          <w:tcPr>
            <w:tcW w:w="1690" w:type="pct"/>
          </w:tcPr>
          <w:p w14:paraId="5FA579D1" w14:textId="1B104EEA" w:rsidR="003E4FCA" w:rsidRPr="005D5F7D" w:rsidRDefault="003E4FCA" w:rsidP="00A00EC9">
            <w:pPr>
              <w:pStyle w:val="TableParagraph"/>
              <w:ind w:left="85" w:right="79"/>
              <w:jc w:val="both"/>
              <w:rPr>
                <w:noProof/>
                <w:sz w:val="20"/>
                <w:szCs w:val="20"/>
              </w:rPr>
            </w:pPr>
            <w:r w:rsidRPr="005D5F7D">
              <w:rPr>
                <w:noProof/>
                <w:sz w:val="20"/>
                <w:szCs w:val="20"/>
              </w:rPr>
              <w:t xml:space="preserve">Removes the provision coming from Article 3 of the </w:t>
            </w:r>
            <w:r w:rsidR="003E45A0" w:rsidRPr="005D5F7D">
              <w:rPr>
                <w:noProof/>
                <w:sz w:val="20"/>
                <w:szCs w:val="20"/>
              </w:rPr>
              <w:t>CRS</w:t>
            </w:r>
            <w:r w:rsidRPr="005D5F7D">
              <w:rPr>
                <w:noProof/>
                <w:sz w:val="20"/>
                <w:szCs w:val="20"/>
              </w:rPr>
              <w:t xml:space="preserve"> Code of Conduct, which protects transport operators from unfair and unjustified conditions that are imposed when they enter commercial agreements with CRSs.</w:t>
            </w:r>
          </w:p>
        </w:tc>
        <w:tc>
          <w:tcPr>
            <w:tcW w:w="2433" w:type="pct"/>
          </w:tcPr>
          <w:p w14:paraId="6A3F2987" w14:textId="016B2E3A" w:rsidR="003E4FCA" w:rsidRPr="005D5F7D" w:rsidRDefault="003E4FCA" w:rsidP="00A00EC9">
            <w:pPr>
              <w:pStyle w:val="TableParagraph"/>
              <w:jc w:val="both"/>
              <w:rPr>
                <w:noProof/>
                <w:sz w:val="20"/>
                <w:szCs w:val="20"/>
              </w:rPr>
            </w:pPr>
            <w:r w:rsidRPr="005D5F7D">
              <w:rPr>
                <w:noProof/>
                <w:sz w:val="20"/>
                <w:szCs w:val="20"/>
              </w:rPr>
              <w:t xml:space="preserve">This </w:t>
            </w:r>
            <w:r w:rsidR="00F14DFB" w:rsidRPr="005D5F7D">
              <w:rPr>
                <w:noProof/>
                <w:sz w:val="20"/>
                <w:szCs w:val="20"/>
              </w:rPr>
              <w:t xml:space="preserve">measure </w:t>
            </w:r>
            <w:r w:rsidRPr="005D5F7D">
              <w:rPr>
                <w:noProof/>
                <w:sz w:val="20"/>
                <w:szCs w:val="20"/>
              </w:rPr>
              <w:t>does not sufficiently address the specific objectives</w:t>
            </w:r>
            <w:r w:rsidR="007A26CB" w:rsidRPr="005D5F7D">
              <w:rPr>
                <w:noProof/>
                <w:sz w:val="20"/>
                <w:szCs w:val="20"/>
              </w:rPr>
              <w:t xml:space="preserve"> and in particular SO2</w:t>
            </w:r>
            <w:r w:rsidR="003E45A0" w:rsidRPr="005D5F7D">
              <w:rPr>
                <w:noProof/>
                <w:sz w:val="20"/>
                <w:szCs w:val="20"/>
              </w:rPr>
              <w:t>. T</w:t>
            </w:r>
            <w:r w:rsidRPr="005D5F7D">
              <w:rPr>
                <w:noProof/>
                <w:sz w:val="20"/>
                <w:szCs w:val="20"/>
              </w:rPr>
              <w:t>his provision</w:t>
            </w:r>
            <w:r w:rsidRPr="005D5F7D">
              <w:rPr>
                <w:noProof/>
                <w:spacing w:val="-5"/>
                <w:sz w:val="20"/>
                <w:szCs w:val="20"/>
              </w:rPr>
              <w:t xml:space="preserve"> </w:t>
            </w:r>
            <w:r w:rsidRPr="005D5F7D">
              <w:rPr>
                <w:noProof/>
                <w:sz w:val="20"/>
                <w:szCs w:val="20"/>
              </w:rPr>
              <w:t>is</w:t>
            </w:r>
            <w:r w:rsidRPr="005D5F7D">
              <w:rPr>
                <w:noProof/>
                <w:spacing w:val="-3"/>
                <w:sz w:val="20"/>
                <w:szCs w:val="20"/>
              </w:rPr>
              <w:t xml:space="preserve"> </w:t>
            </w:r>
            <w:r w:rsidRPr="005D5F7D">
              <w:rPr>
                <w:noProof/>
                <w:sz w:val="20"/>
                <w:szCs w:val="20"/>
              </w:rPr>
              <w:t>still</w:t>
            </w:r>
            <w:r w:rsidRPr="005D5F7D">
              <w:rPr>
                <w:noProof/>
                <w:spacing w:val="-5"/>
                <w:sz w:val="20"/>
                <w:szCs w:val="20"/>
              </w:rPr>
              <w:t xml:space="preserve"> </w:t>
            </w:r>
            <w:r w:rsidRPr="005D5F7D">
              <w:rPr>
                <w:noProof/>
                <w:sz w:val="20"/>
                <w:szCs w:val="20"/>
              </w:rPr>
              <w:t>relevant</w:t>
            </w:r>
            <w:r w:rsidRPr="005D5F7D">
              <w:rPr>
                <w:noProof/>
                <w:spacing w:val="-1"/>
                <w:sz w:val="20"/>
                <w:szCs w:val="20"/>
              </w:rPr>
              <w:t xml:space="preserve"> </w:t>
            </w:r>
            <w:r w:rsidRPr="005D5F7D">
              <w:rPr>
                <w:noProof/>
                <w:sz w:val="20"/>
                <w:szCs w:val="20"/>
              </w:rPr>
              <w:t>to</w:t>
            </w:r>
            <w:r w:rsidRPr="005D5F7D">
              <w:rPr>
                <w:noProof/>
                <w:spacing w:val="-3"/>
                <w:sz w:val="20"/>
                <w:szCs w:val="20"/>
              </w:rPr>
              <w:t xml:space="preserve"> </w:t>
            </w:r>
            <w:r w:rsidRPr="005D5F7D">
              <w:rPr>
                <w:noProof/>
                <w:sz w:val="20"/>
                <w:szCs w:val="20"/>
              </w:rPr>
              <w:t>address</w:t>
            </w:r>
            <w:r w:rsidRPr="005D5F7D">
              <w:rPr>
                <w:noProof/>
                <w:spacing w:val="-4"/>
                <w:sz w:val="20"/>
                <w:szCs w:val="20"/>
              </w:rPr>
              <w:t xml:space="preserve"> </w:t>
            </w:r>
            <w:r w:rsidRPr="005D5F7D">
              <w:rPr>
                <w:noProof/>
                <w:sz w:val="20"/>
                <w:szCs w:val="20"/>
              </w:rPr>
              <w:t>the</w:t>
            </w:r>
            <w:r w:rsidRPr="005D5F7D">
              <w:rPr>
                <w:noProof/>
                <w:spacing w:val="-3"/>
                <w:sz w:val="20"/>
                <w:szCs w:val="20"/>
              </w:rPr>
              <w:t xml:space="preserve"> </w:t>
            </w:r>
            <w:r w:rsidRPr="005D5F7D">
              <w:rPr>
                <w:noProof/>
                <w:spacing w:val="-2"/>
                <w:sz w:val="20"/>
                <w:szCs w:val="20"/>
              </w:rPr>
              <w:t>imbalance</w:t>
            </w:r>
            <w:r w:rsidRPr="005D5F7D">
              <w:rPr>
                <w:noProof/>
                <w:sz w:val="20"/>
                <w:szCs w:val="20"/>
              </w:rPr>
              <w:t xml:space="preserve"> between</w:t>
            </w:r>
            <w:r w:rsidRPr="005D5F7D">
              <w:rPr>
                <w:noProof/>
                <w:spacing w:val="29"/>
                <w:sz w:val="20"/>
                <w:szCs w:val="20"/>
              </w:rPr>
              <w:t xml:space="preserve"> </w:t>
            </w:r>
            <w:r w:rsidRPr="005D5F7D">
              <w:rPr>
                <w:noProof/>
                <w:sz w:val="20"/>
                <w:szCs w:val="20"/>
              </w:rPr>
              <w:t>parties, in particular relevant for small carriers,</w:t>
            </w:r>
            <w:r w:rsidRPr="005D5F7D">
              <w:rPr>
                <w:noProof/>
                <w:spacing w:val="29"/>
                <w:sz w:val="20"/>
                <w:szCs w:val="20"/>
              </w:rPr>
              <w:t xml:space="preserve"> </w:t>
            </w:r>
            <w:r w:rsidRPr="005D5F7D">
              <w:rPr>
                <w:noProof/>
                <w:sz w:val="20"/>
                <w:szCs w:val="20"/>
              </w:rPr>
              <w:t>and</w:t>
            </w:r>
            <w:r w:rsidRPr="005D5F7D">
              <w:rPr>
                <w:noProof/>
                <w:spacing w:val="31"/>
                <w:sz w:val="20"/>
                <w:szCs w:val="20"/>
              </w:rPr>
              <w:t xml:space="preserve"> </w:t>
            </w:r>
            <w:r w:rsidRPr="005D5F7D">
              <w:rPr>
                <w:noProof/>
                <w:sz w:val="20"/>
                <w:szCs w:val="20"/>
              </w:rPr>
              <w:t>ensure</w:t>
            </w:r>
            <w:r w:rsidRPr="005D5F7D">
              <w:rPr>
                <w:noProof/>
                <w:spacing w:val="30"/>
                <w:sz w:val="20"/>
                <w:szCs w:val="20"/>
              </w:rPr>
              <w:t xml:space="preserve"> </w:t>
            </w:r>
            <w:r w:rsidRPr="005D5F7D">
              <w:rPr>
                <w:noProof/>
                <w:sz w:val="20"/>
                <w:szCs w:val="20"/>
              </w:rPr>
              <w:t>effective</w:t>
            </w:r>
            <w:r w:rsidRPr="005D5F7D">
              <w:rPr>
                <w:noProof/>
                <w:spacing w:val="30"/>
                <w:sz w:val="20"/>
                <w:szCs w:val="20"/>
              </w:rPr>
              <w:t xml:space="preserve"> </w:t>
            </w:r>
            <w:r w:rsidRPr="005D5F7D">
              <w:rPr>
                <w:noProof/>
                <w:sz w:val="20"/>
                <w:szCs w:val="20"/>
              </w:rPr>
              <w:t>and</w:t>
            </w:r>
            <w:r w:rsidRPr="005D5F7D">
              <w:rPr>
                <w:noProof/>
                <w:spacing w:val="31"/>
                <w:sz w:val="20"/>
                <w:szCs w:val="20"/>
              </w:rPr>
              <w:t xml:space="preserve"> </w:t>
            </w:r>
            <w:r w:rsidRPr="005D5F7D">
              <w:rPr>
                <w:noProof/>
                <w:sz w:val="20"/>
                <w:szCs w:val="20"/>
              </w:rPr>
              <w:t>fair</w:t>
            </w:r>
            <w:r w:rsidRPr="005D5F7D">
              <w:rPr>
                <w:noProof/>
                <w:spacing w:val="31"/>
                <w:sz w:val="20"/>
                <w:szCs w:val="20"/>
              </w:rPr>
              <w:t xml:space="preserve"> </w:t>
            </w:r>
            <w:r w:rsidRPr="005D5F7D">
              <w:rPr>
                <w:noProof/>
                <w:sz w:val="20"/>
                <w:szCs w:val="20"/>
              </w:rPr>
              <w:t>competition</w:t>
            </w:r>
            <w:r w:rsidRPr="005D5F7D">
              <w:rPr>
                <w:noProof/>
                <w:spacing w:val="30"/>
                <w:sz w:val="20"/>
                <w:szCs w:val="20"/>
              </w:rPr>
              <w:t xml:space="preserve"> </w:t>
            </w:r>
            <w:r w:rsidRPr="005D5F7D">
              <w:rPr>
                <w:noProof/>
                <w:sz w:val="20"/>
                <w:szCs w:val="20"/>
              </w:rPr>
              <w:t>betwee</w:t>
            </w:r>
            <w:r w:rsidR="00825591" w:rsidRPr="005D5F7D">
              <w:rPr>
                <w:noProof/>
                <w:sz w:val="20"/>
                <w:szCs w:val="20"/>
              </w:rPr>
              <w:t xml:space="preserve">n different sized </w:t>
            </w:r>
            <w:r w:rsidRPr="005D5F7D">
              <w:rPr>
                <w:noProof/>
                <w:spacing w:val="-2"/>
                <w:sz w:val="20"/>
                <w:szCs w:val="20"/>
              </w:rPr>
              <w:t>carriers</w:t>
            </w:r>
            <w:r w:rsidRPr="005D5F7D">
              <w:rPr>
                <w:noProof/>
                <w:sz w:val="20"/>
                <w:szCs w:val="20"/>
              </w:rPr>
              <w:t xml:space="preserve"> when</w:t>
            </w:r>
            <w:r w:rsidRPr="005D5F7D">
              <w:rPr>
                <w:noProof/>
                <w:spacing w:val="-5"/>
                <w:sz w:val="20"/>
                <w:szCs w:val="20"/>
              </w:rPr>
              <w:t xml:space="preserve"> </w:t>
            </w:r>
            <w:r w:rsidRPr="005D5F7D">
              <w:rPr>
                <w:noProof/>
                <w:sz w:val="20"/>
                <w:szCs w:val="20"/>
              </w:rPr>
              <w:t>they</w:t>
            </w:r>
            <w:r w:rsidRPr="005D5F7D">
              <w:rPr>
                <w:noProof/>
                <w:spacing w:val="-5"/>
                <w:sz w:val="20"/>
                <w:szCs w:val="20"/>
              </w:rPr>
              <w:t xml:space="preserve"> </w:t>
            </w:r>
            <w:r w:rsidRPr="005D5F7D">
              <w:rPr>
                <w:noProof/>
                <w:sz w:val="20"/>
                <w:szCs w:val="20"/>
              </w:rPr>
              <w:t>access</w:t>
            </w:r>
            <w:r w:rsidRPr="005D5F7D">
              <w:rPr>
                <w:noProof/>
                <w:spacing w:val="-5"/>
                <w:sz w:val="20"/>
                <w:szCs w:val="20"/>
              </w:rPr>
              <w:t xml:space="preserve"> </w:t>
            </w:r>
            <w:r w:rsidRPr="005D5F7D">
              <w:rPr>
                <w:noProof/>
                <w:sz w:val="20"/>
                <w:szCs w:val="20"/>
              </w:rPr>
              <w:t>and</w:t>
            </w:r>
            <w:r w:rsidRPr="005D5F7D">
              <w:rPr>
                <w:noProof/>
                <w:spacing w:val="-3"/>
                <w:sz w:val="20"/>
                <w:szCs w:val="20"/>
              </w:rPr>
              <w:t xml:space="preserve"> </w:t>
            </w:r>
            <w:r w:rsidRPr="005D5F7D">
              <w:rPr>
                <w:noProof/>
                <w:sz w:val="20"/>
                <w:szCs w:val="20"/>
              </w:rPr>
              <w:t>use</w:t>
            </w:r>
            <w:r w:rsidRPr="005D5F7D">
              <w:rPr>
                <w:noProof/>
                <w:spacing w:val="-4"/>
                <w:sz w:val="20"/>
                <w:szCs w:val="20"/>
              </w:rPr>
              <w:t xml:space="preserve"> </w:t>
            </w:r>
            <w:r w:rsidRPr="005D5F7D">
              <w:rPr>
                <w:noProof/>
                <w:spacing w:val="-2"/>
                <w:sz w:val="20"/>
                <w:szCs w:val="20"/>
              </w:rPr>
              <w:t>CRSs and other MDMS with</w:t>
            </w:r>
            <w:r w:rsidR="00386960" w:rsidRPr="005D5F7D">
              <w:rPr>
                <w:noProof/>
                <w:spacing w:val="-2"/>
                <w:sz w:val="20"/>
                <w:szCs w:val="20"/>
              </w:rPr>
              <w:t xml:space="preserve"> SMP</w:t>
            </w:r>
            <w:r w:rsidRPr="005D5F7D">
              <w:rPr>
                <w:noProof/>
                <w:spacing w:val="-2"/>
                <w:sz w:val="20"/>
                <w:szCs w:val="20"/>
              </w:rPr>
              <w:t>.</w:t>
            </w:r>
          </w:p>
        </w:tc>
      </w:tr>
      <w:tr w:rsidR="003C7589" w:rsidRPr="005D5F7D" w14:paraId="425D3C54" w14:textId="77777777" w:rsidTr="000B20C8">
        <w:trPr>
          <w:trHeight w:val="300"/>
        </w:trPr>
        <w:tc>
          <w:tcPr>
            <w:tcW w:w="877" w:type="pct"/>
          </w:tcPr>
          <w:p w14:paraId="1B33CC70" w14:textId="6CB9FCC0" w:rsidR="003E4FCA" w:rsidRPr="005D5F7D" w:rsidRDefault="003E4FCA" w:rsidP="005D5F7D">
            <w:pPr>
              <w:pStyle w:val="TableParagraph"/>
              <w:rPr>
                <w:noProof/>
                <w:sz w:val="20"/>
                <w:szCs w:val="20"/>
              </w:rPr>
            </w:pPr>
            <w:r w:rsidRPr="005D5F7D">
              <w:rPr>
                <w:noProof/>
                <w:sz w:val="20"/>
                <w:szCs w:val="20"/>
              </w:rPr>
              <w:t xml:space="preserve">Applies to all MDMS providers: obligation to enter into commercial agreements with willing </w:t>
            </w:r>
            <w:r w:rsidR="00A76FE7" w:rsidRPr="005D5F7D">
              <w:rPr>
                <w:noProof/>
                <w:sz w:val="20"/>
                <w:szCs w:val="20"/>
              </w:rPr>
              <w:t>transport</w:t>
            </w:r>
            <w:r w:rsidRPr="005D5F7D">
              <w:rPr>
                <w:noProof/>
                <w:sz w:val="20"/>
                <w:szCs w:val="20"/>
              </w:rPr>
              <w:t xml:space="preserve"> operators (active within the geographical and modal scope covered by the MDMS) to enable re-linking and/or the sale of tickets</w:t>
            </w:r>
          </w:p>
        </w:tc>
        <w:tc>
          <w:tcPr>
            <w:tcW w:w="1690" w:type="pct"/>
          </w:tcPr>
          <w:p w14:paraId="22E86FE3" w14:textId="0082F3B3" w:rsidR="003E4FCA" w:rsidRPr="005D5F7D" w:rsidRDefault="003E4FCA">
            <w:pPr>
              <w:pStyle w:val="TableParagraph"/>
              <w:jc w:val="both"/>
              <w:rPr>
                <w:noProof/>
                <w:sz w:val="20"/>
                <w:szCs w:val="20"/>
              </w:rPr>
            </w:pPr>
            <w:r w:rsidRPr="005D5F7D">
              <w:rPr>
                <w:noProof/>
                <w:sz w:val="20"/>
                <w:szCs w:val="20"/>
              </w:rPr>
              <w:t xml:space="preserve">An obligation on all MDMS providers (regardless of </w:t>
            </w:r>
            <w:r w:rsidR="00A76FE7" w:rsidRPr="005D5F7D">
              <w:rPr>
                <w:noProof/>
                <w:sz w:val="20"/>
                <w:szCs w:val="20"/>
              </w:rPr>
              <w:t>their market presence</w:t>
            </w:r>
            <w:r w:rsidRPr="005D5F7D">
              <w:rPr>
                <w:noProof/>
                <w:sz w:val="20"/>
                <w:szCs w:val="20"/>
              </w:rPr>
              <w:t>) to enter into commercial agreements with willing transport operators to enable to the sale of tickets.</w:t>
            </w:r>
          </w:p>
        </w:tc>
        <w:tc>
          <w:tcPr>
            <w:tcW w:w="2433" w:type="pct"/>
          </w:tcPr>
          <w:p w14:paraId="4A192996" w14:textId="18EBD868" w:rsidR="003E4FCA" w:rsidRPr="005D5F7D" w:rsidRDefault="003E4FCA">
            <w:pPr>
              <w:pStyle w:val="TableParagraph"/>
              <w:jc w:val="both"/>
              <w:rPr>
                <w:noProof/>
                <w:sz w:val="20"/>
                <w:szCs w:val="20"/>
              </w:rPr>
            </w:pPr>
            <w:r w:rsidRPr="005D5F7D">
              <w:rPr>
                <w:noProof/>
                <w:sz w:val="20"/>
                <w:szCs w:val="20"/>
              </w:rPr>
              <w:t xml:space="preserve">This measure is </w:t>
            </w:r>
            <w:r w:rsidR="00834588" w:rsidRPr="005D5F7D">
              <w:rPr>
                <w:noProof/>
                <w:sz w:val="20"/>
                <w:szCs w:val="20"/>
              </w:rPr>
              <w:t xml:space="preserve">not </w:t>
            </w:r>
            <w:r w:rsidRPr="005D5F7D">
              <w:rPr>
                <w:noProof/>
                <w:sz w:val="20"/>
                <w:szCs w:val="20"/>
              </w:rPr>
              <w:t xml:space="preserve">considered proportionate as it imposes an obligation on all MDMS </w:t>
            </w:r>
            <w:r w:rsidR="002F4F52" w:rsidRPr="005D5F7D">
              <w:rPr>
                <w:noProof/>
                <w:sz w:val="20"/>
                <w:szCs w:val="20"/>
              </w:rPr>
              <w:t>platforms</w:t>
            </w:r>
            <w:r w:rsidRPr="005D5F7D">
              <w:rPr>
                <w:noProof/>
                <w:sz w:val="20"/>
                <w:szCs w:val="20"/>
              </w:rPr>
              <w:t xml:space="preserve">, regardless of their </w:t>
            </w:r>
            <w:r w:rsidR="00A76FE7" w:rsidRPr="005D5F7D">
              <w:rPr>
                <w:noProof/>
                <w:sz w:val="20"/>
                <w:szCs w:val="20"/>
              </w:rPr>
              <w:t>market presence</w:t>
            </w:r>
            <w:r w:rsidR="00976F6E" w:rsidRPr="005D5F7D">
              <w:rPr>
                <w:noProof/>
                <w:sz w:val="20"/>
                <w:szCs w:val="20"/>
              </w:rPr>
              <w:t xml:space="preserve"> or mode</w:t>
            </w:r>
            <w:r w:rsidRPr="005D5F7D">
              <w:rPr>
                <w:noProof/>
                <w:sz w:val="20"/>
                <w:szCs w:val="20"/>
              </w:rPr>
              <w:t>. The PM1</w:t>
            </w:r>
            <w:r w:rsidR="00C90F49" w:rsidRPr="005D5F7D">
              <w:rPr>
                <w:noProof/>
                <w:sz w:val="20"/>
                <w:szCs w:val="20"/>
              </w:rPr>
              <w:t>4</w:t>
            </w:r>
            <w:r w:rsidRPr="005D5F7D">
              <w:rPr>
                <w:noProof/>
                <w:sz w:val="20"/>
                <w:szCs w:val="20"/>
              </w:rPr>
              <w:t xml:space="preserve"> offers a more targeted approach, focussing on </w:t>
            </w:r>
            <w:r w:rsidR="00BB5DD1" w:rsidRPr="005D5F7D">
              <w:rPr>
                <w:noProof/>
                <w:sz w:val="20"/>
                <w:szCs w:val="20"/>
              </w:rPr>
              <w:t>indispensable RU</w:t>
            </w:r>
            <w:r w:rsidR="00A76FE7" w:rsidRPr="005D5F7D">
              <w:rPr>
                <w:noProof/>
                <w:sz w:val="20"/>
                <w:szCs w:val="20"/>
              </w:rPr>
              <w:t xml:space="preserve"> platforms as we have identified that the refusal to integrate lies specifically with those platforms</w:t>
            </w:r>
            <w:r w:rsidR="00C74199" w:rsidRPr="005D5F7D">
              <w:rPr>
                <w:noProof/>
                <w:sz w:val="20"/>
                <w:szCs w:val="20"/>
              </w:rPr>
              <w:t>.</w:t>
            </w:r>
          </w:p>
        </w:tc>
      </w:tr>
      <w:tr w:rsidR="003C7589" w:rsidRPr="005D5F7D" w14:paraId="1D738827" w14:textId="77777777" w:rsidTr="000B20C8">
        <w:trPr>
          <w:trHeight w:val="300"/>
        </w:trPr>
        <w:tc>
          <w:tcPr>
            <w:tcW w:w="877" w:type="pct"/>
          </w:tcPr>
          <w:p w14:paraId="3442DEE8" w14:textId="1441327E" w:rsidR="00937CA5" w:rsidRPr="005D5F7D" w:rsidRDefault="009550E3" w:rsidP="005D5F7D">
            <w:pPr>
              <w:pStyle w:val="TableParagraph"/>
              <w:rPr>
                <w:noProof/>
                <w:sz w:val="20"/>
                <w:szCs w:val="20"/>
              </w:rPr>
            </w:pPr>
            <w:r w:rsidRPr="005D5F7D">
              <w:rPr>
                <w:noProof/>
                <w:sz w:val="20"/>
                <w:szCs w:val="20"/>
              </w:rPr>
              <w:t>Support voluntary commitment of MDMS to align with Sustainable Urban Mobility Plans and include active modes of transport (walking and cycling) for the first/last leg of a trip (guidelines to be developed by a Commission expert group)</w:t>
            </w:r>
          </w:p>
        </w:tc>
        <w:tc>
          <w:tcPr>
            <w:tcW w:w="1690" w:type="pct"/>
          </w:tcPr>
          <w:p w14:paraId="128EE996" w14:textId="24093659" w:rsidR="00937CA5" w:rsidRPr="005D5F7D" w:rsidRDefault="009F1D86">
            <w:pPr>
              <w:pStyle w:val="TableParagraph"/>
              <w:jc w:val="both"/>
              <w:rPr>
                <w:noProof/>
                <w:sz w:val="20"/>
                <w:szCs w:val="20"/>
              </w:rPr>
            </w:pPr>
            <w:r w:rsidRPr="005D5F7D">
              <w:rPr>
                <w:noProof/>
                <w:sz w:val="20"/>
                <w:szCs w:val="20"/>
              </w:rPr>
              <w:t xml:space="preserve">Support MDMS to align with SUMPs </w:t>
            </w:r>
            <w:r w:rsidR="00856632" w:rsidRPr="005D5F7D">
              <w:rPr>
                <w:noProof/>
                <w:sz w:val="20"/>
                <w:szCs w:val="20"/>
              </w:rPr>
              <w:t>via the development of guidelines.</w:t>
            </w:r>
          </w:p>
        </w:tc>
        <w:tc>
          <w:tcPr>
            <w:tcW w:w="2433" w:type="pct"/>
          </w:tcPr>
          <w:p w14:paraId="0FA3E421" w14:textId="21B6A7A4" w:rsidR="00937CA5" w:rsidRPr="005D5F7D" w:rsidRDefault="00856632">
            <w:pPr>
              <w:pStyle w:val="TableParagraph"/>
              <w:jc w:val="both"/>
              <w:rPr>
                <w:noProof/>
                <w:sz w:val="20"/>
                <w:szCs w:val="20"/>
              </w:rPr>
            </w:pPr>
            <w:r w:rsidRPr="005D5F7D">
              <w:rPr>
                <w:noProof/>
                <w:sz w:val="20"/>
                <w:szCs w:val="20"/>
              </w:rPr>
              <w:t xml:space="preserve">This measure is not in scope of the initiative, </w:t>
            </w:r>
            <w:r w:rsidR="005224C6" w:rsidRPr="005D5F7D">
              <w:rPr>
                <w:noProof/>
                <w:sz w:val="20"/>
                <w:szCs w:val="20"/>
              </w:rPr>
              <w:t>which</w:t>
            </w:r>
            <w:r w:rsidRPr="005D5F7D">
              <w:rPr>
                <w:noProof/>
                <w:sz w:val="20"/>
                <w:szCs w:val="20"/>
              </w:rPr>
              <w:t xml:space="preserve"> focuses on platforms selling regional and long-distance transport services.</w:t>
            </w:r>
          </w:p>
        </w:tc>
      </w:tr>
      <w:tr w:rsidR="003C7589" w:rsidRPr="005D5F7D" w14:paraId="5764D40F" w14:textId="77777777" w:rsidTr="000B20C8">
        <w:trPr>
          <w:trHeight w:val="300"/>
        </w:trPr>
        <w:tc>
          <w:tcPr>
            <w:tcW w:w="877" w:type="pct"/>
          </w:tcPr>
          <w:p w14:paraId="71645C6D" w14:textId="728CFC9C" w:rsidR="00937CA5" w:rsidRPr="005D5F7D" w:rsidRDefault="00985D06" w:rsidP="005D5F7D">
            <w:pPr>
              <w:pStyle w:val="TableParagraph"/>
              <w:rPr>
                <w:noProof/>
                <w:sz w:val="20"/>
                <w:szCs w:val="20"/>
              </w:rPr>
            </w:pPr>
            <w:r w:rsidRPr="005D5F7D">
              <w:rPr>
                <w:noProof/>
                <w:sz w:val="20"/>
                <w:szCs w:val="20"/>
              </w:rPr>
              <w:t>MDMS will be obliged to align with Sustainable Urban Mobility Plans and include active modes of transport (walking and cycling) in search results for first/last leg of a trip and connections</w:t>
            </w:r>
          </w:p>
        </w:tc>
        <w:tc>
          <w:tcPr>
            <w:tcW w:w="1690" w:type="pct"/>
          </w:tcPr>
          <w:p w14:paraId="130728C6" w14:textId="14F5BA11" w:rsidR="00937CA5" w:rsidRPr="005D5F7D" w:rsidRDefault="00856632">
            <w:pPr>
              <w:pStyle w:val="TableParagraph"/>
              <w:jc w:val="both"/>
              <w:rPr>
                <w:noProof/>
                <w:sz w:val="20"/>
                <w:szCs w:val="20"/>
              </w:rPr>
            </w:pPr>
            <w:r w:rsidRPr="005D5F7D">
              <w:rPr>
                <w:noProof/>
                <w:sz w:val="20"/>
                <w:szCs w:val="20"/>
              </w:rPr>
              <w:t>Obligation for MDMS to align with SUMPs</w:t>
            </w:r>
          </w:p>
        </w:tc>
        <w:tc>
          <w:tcPr>
            <w:tcW w:w="2433" w:type="pct"/>
          </w:tcPr>
          <w:p w14:paraId="14B3F904" w14:textId="6AF49376" w:rsidR="00937CA5" w:rsidRPr="005D5F7D" w:rsidRDefault="00856632">
            <w:pPr>
              <w:pStyle w:val="TableParagraph"/>
              <w:jc w:val="both"/>
              <w:rPr>
                <w:noProof/>
                <w:sz w:val="20"/>
                <w:szCs w:val="20"/>
              </w:rPr>
            </w:pPr>
            <w:r w:rsidRPr="005D5F7D">
              <w:rPr>
                <w:noProof/>
                <w:sz w:val="20"/>
                <w:szCs w:val="20"/>
              </w:rPr>
              <w:t xml:space="preserve">This measure is not in scope of the initiative, </w:t>
            </w:r>
            <w:r w:rsidR="005224C6" w:rsidRPr="005D5F7D">
              <w:rPr>
                <w:noProof/>
                <w:sz w:val="20"/>
                <w:szCs w:val="20"/>
              </w:rPr>
              <w:t>which</w:t>
            </w:r>
            <w:r w:rsidRPr="005D5F7D">
              <w:rPr>
                <w:noProof/>
                <w:sz w:val="20"/>
                <w:szCs w:val="20"/>
              </w:rPr>
              <w:t xml:space="preserve"> focuses on platforms selling regional and long-distance transport services.</w:t>
            </w:r>
          </w:p>
        </w:tc>
      </w:tr>
      <w:tr w:rsidR="003C7589" w:rsidRPr="005D5F7D" w14:paraId="53EABBDA" w14:textId="77777777" w:rsidTr="000B20C8">
        <w:trPr>
          <w:trHeight w:val="300"/>
        </w:trPr>
        <w:tc>
          <w:tcPr>
            <w:tcW w:w="877" w:type="pct"/>
          </w:tcPr>
          <w:p w14:paraId="1830B170" w14:textId="72EECD73" w:rsidR="000D5406" w:rsidRPr="005D5F7D" w:rsidRDefault="00CC1C70" w:rsidP="005D5F7D">
            <w:pPr>
              <w:pStyle w:val="TableParagraph"/>
              <w:rPr>
                <w:noProof/>
                <w:sz w:val="20"/>
                <w:szCs w:val="20"/>
              </w:rPr>
            </w:pPr>
            <w:r w:rsidRPr="005D5F7D">
              <w:rPr>
                <w:noProof/>
                <w:sz w:val="20"/>
                <w:szCs w:val="20"/>
              </w:rPr>
              <w:t>Support MDMS to share information on GHG emissions of trips voluntarily (guidelines to be developed by a Commission expert group)</w:t>
            </w:r>
          </w:p>
        </w:tc>
        <w:tc>
          <w:tcPr>
            <w:tcW w:w="1690" w:type="pct"/>
          </w:tcPr>
          <w:p w14:paraId="553BA060" w14:textId="4DCFFC60" w:rsidR="000D5406" w:rsidRPr="005D5F7D" w:rsidRDefault="00CC1C70">
            <w:pPr>
              <w:pStyle w:val="TableParagraph"/>
              <w:jc w:val="both"/>
              <w:rPr>
                <w:noProof/>
                <w:sz w:val="20"/>
                <w:szCs w:val="20"/>
              </w:rPr>
            </w:pPr>
            <w:r w:rsidRPr="005D5F7D">
              <w:rPr>
                <w:noProof/>
                <w:sz w:val="20"/>
                <w:szCs w:val="20"/>
              </w:rPr>
              <w:t>Support MDMS to share information on GHG via the development of guidelines.</w:t>
            </w:r>
          </w:p>
        </w:tc>
        <w:tc>
          <w:tcPr>
            <w:tcW w:w="2433" w:type="pct"/>
          </w:tcPr>
          <w:p w14:paraId="6B847789" w14:textId="6F4A4D59" w:rsidR="000D5406" w:rsidRPr="005D5F7D" w:rsidRDefault="00CC1C70">
            <w:pPr>
              <w:pStyle w:val="TableParagraph"/>
              <w:jc w:val="both"/>
              <w:rPr>
                <w:noProof/>
                <w:sz w:val="20"/>
                <w:szCs w:val="20"/>
              </w:rPr>
            </w:pPr>
            <w:r w:rsidRPr="005D5F7D">
              <w:rPr>
                <w:noProof/>
                <w:sz w:val="20"/>
                <w:szCs w:val="20"/>
              </w:rPr>
              <w:t>This measure is not considered effective, also in the context of exisiting legal framework</w:t>
            </w:r>
            <w:r w:rsidR="00851B33" w:rsidRPr="005D5F7D">
              <w:rPr>
                <w:noProof/>
                <w:sz w:val="20"/>
                <w:szCs w:val="20"/>
              </w:rPr>
              <w:t>s</w:t>
            </w:r>
            <w:r w:rsidRPr="005D5F7D">
              <w:rPr>
                <w:noProof/>
                <w:sz w:val="20"/>
                <w:szCs w:val="20"/>
              </w:rPr>
              <w:t xml:space="preserve"> (Count Emmission Eu / FEL) </w:t>
            </w:r>
            <w:r w:rsidR="00851B33" w:rsidRPr="005D5F7D">
              <w:rPr>
                <w:noProof/>
                <w:sz w:val="20"/>
                <w:szCs w:val="20"/>
              </w:rPr>
              <w:t>to display GHG.</w:t>
            </w:r>
          </w:p>
        </w:tc>
      </w:tr>
      <w:tr w:rsidR="003C7589" w:rsidRPr="005D5F7D" w14:paraId="4C4949FA" w14:textId="77777777" w:rsidTr="000B20C8">
        <w:trPr>
          <w:trHeight w:val="300"/>
        </w:trPr>
        <w:tc>
          <w:tcPr>
            <w:tcW w:w="877" w:type="pct"/>
          </w:tcPr>
          <w:p w14:paraId="0C2AA1C2" w14:textId="3F22DCA6" w:rsidR="0061034B" w:rsidRPr="005D5F7D" w:rsidRDefault="00DC61CA" w:rsidP="005D5F7D">
            <w:pPr>
              <w:pStyle w:val="TableParagraph"/>
              <w:rPr>
                <w:noProof/>
                <w:sz w:val="20"/>
                <w:szCs w:val="20"/>
              </w:rPr>
            </w:pPr>
            <w:r w:rsidRPr="005D5F7D">
              <w:rPr>
                <w:noProof/>
                <w:sz w:val="20"/>
                <w:szCs w:val="20"/>
              </w:rPr>
              <w:t>The rail sector should agree on rules for rail journey continuation based on certain requirements by a given date: open to the public, reliable for passengers and MDMS and covering all rail services. If no agreement is found, the EC sets in legislation rules for rail journey continuation with the same operator with whom the original ticket had been purchased</w:t>
            </w:r>
          </w:p>
        </w:tc>
        <w:tc>
          <w:tcPr>
            <w:tcW w:w="1690" w:type="pct"/>
          </w:tcPr>
          <w:p w14:paraId="52CEB25B" w14:textId="59CC6070" w:rsidR="0061034B" w:rsidRPr="005D5F7D" w:rsidRDefault="001810F7">
            <w:pPr>
              <w:pStyle w:val="TableParagraph"/>
              <w:jc w:val="both"/>
              <w:rPr>
                <w:noProof/>
                <w:sz w:val="20"/>
                <w:szCs w:val="20"/>
              </w:rPr>
            </w:pPr>
            <w:r w:rsidRPr="005D5F7D">
              <w:rPr>
                <w:noProof/>
                <w:sz w:val="20"/>
                <w:szCs w:val="20"/>
              </w:rPr>
              <w:t>Rail sector to agree on journey continuation rules.</w:t>
            </w:r>
          </w:p>
        </w:tc>
        <w:tc>
          <w:tcPr>
            <w:tcW w:w="2433" w:type="pct"/>
          </w:tcPr>
          <w:p w14:paraId="5E9D1C08" w14:textId="2080E41D" w:rsidR="0061034B" w:rsidRPr="005D5F7D" w:rsidRDefault="001810F7">
            <w:pPr>
              <w:pStyle w:val="TableParagraph"/>
              <w:jc w:val="both"/>
              <w:rPr>
                <w:noProof/>
                <w:sz w:val="20"/>
                <w:szCs w:val="20"/>
              </w:rPr>
            </w:pPr>
            <w:r w:rsidRPr="005D5F7D">
              <w:rPr>
                <w:noProof/>
                <w:sz w:val="20"/>
                <w:szCs w:val="20"/>
              </w:rPr>
              <w:t>This measure is not in scope of the initiative, additional measures are considered in the context of the targeted revision of the Rail Passenger Right Regulation.</w:t>
            </w:r>
          </w:p>
        </w:tc>
      </w:tr>
      <w:tr w:rsidR="003C7589" w:rsidRPr="005D5F7D" w14:paraId="2CD7EF33" w14:textId="77777777" w:rsidTr="000B20C8">
        <w:trPr>
          <w:trHeight w:val="300"/>
        </w:trPr>
        <w:tc>
          <w:tcPr>
            <w:tcW w:w="877" w:type="pct"/>
          </w:tcPr>
          <w:p w14:paraId="28969562" w14:textId="2990E038" w:rsidR="0061034B" w:rsidRPr="005D5F7D" w:rsidRDefault="001810F7" w:rsidP="005D5F7D">
            <w:pPr>
              <w:pStyle w:val="TableParagraph"/>
              <w:rPr>
                <w:noProof/>
                <w:sz w:val="20"/>
                <w:szCs w:val="20"/>
              </w:rPr>
            </w:pPr>
            <w:r w:rsidRPr="005D5F7D">
              <w:rPr>
                <w:noProof/>
                <w:sz w:val="20"/>
                <w:szCs w:val="20"/>
              </w:rPr>
              <w:t>The MDMS legislation sets out basic rules for rail journey continuation with any operator and specific modalities can be regulated by sector agreement or by implementing legislation</w:t>
            </w:r>
          </w:p>
        </w:tc>
        <w:tc>
          <w:tcPr>
            <w:tcW w:w="1690" w:type="pct"/>
          </w:tcPr>
          <w:p w14:paraId="3AC85B3D" w14:textId="44F7B7BB" w:rsidR="0061034B" w:rsidRPr="005D5F7D" w:rsidRDefault="001810F7">
            <w:pPr>
              <w:pStyle w:val="TableParagraph"/>
              <w:jc w:val="both"/>
              <w:rPr>
                <w:noProof/>
                <w:sz w:val="20"/>
                <w:szCs w:val="20"/>
              </w:rPr>
            </w:pPr>
            <w:r w:rsidRPr="005D5F7D">
              <w:rPr>
                <w:noProof/>
                <w:sz w:val="20"/>
                <w:szCs w:val="20"/>
              </w:rPr>
              <w:t>Basic rules for journey continuation in legislation.</w:t>
            </w:r>
          </w:p>
        </w:tc>
        <w:tc>
          <w:tcPr>
            <w:tcW w:w="2433" w:type="pct"/>
          </w:tcPr>
          <w:p w14:paraId="33610A61" w14:textId="4350219E" w:rsidR="0061034B" w:rsidRPr="005D5F7D" w:rsidRDefault="001810F7">
            <w:pPr>
              <w:pStyle w:val="TableParagraph"/>
              <w:jc w:val="both"/>
              <w:rPr>
                <w:noProof/>
                <w:sz w:val="20"/>
                <w:szCs w:val="20"/>
              </w:rPr>
            </w:pPr>
            <w:r w:rsidRPr="005D5F7D">
              <w:rPr>
                <w:noProof/>
                <w:sz w:val="20"/>
                <w:szCs w:val="20"/>
              </w:rPr>
              <w:t>This measure is not in scope of the initiative, additional measures are considered in the context of the targeted revision of the Rail Passenger Right Regulation</w:t>
            </w:r>
          </w:p>
        </w:tc>
      </w:tr>
      <w:tr w:rsidR="003C7589" w:rsidRPr="005D5F7D" w14:paraId="01060272" w14:textId="77777777" w:rsidTr="000B20C8">
        <w:trPr>
          <w:trHeight w:val="300"/>
        </w:trPr>
        <w:tc>
          <w:tcPr>
            <w:tcW w:w="877" w:type="pct"/>
          </w:tcPr>
          <w:p w14:paraId="76813547" w14:textId="309E37C6" w:rsidR="008E357B" w:rsidRPr="005D5F7D" w:rsidRDefault="009E4509" w:rsidP="005D5F7D">
            <w:pPr>
              <w:pStyle w:val="TableParagraph"/>
              <w:rPr>
                <w:noProof/>
                <w:sz w:val="20"/>
                <w:szCs w:val="20"/>
              </w:rPr>
            </w:pPr>
            <w:r w:rsidRPr="005D5F7D">
              <w:rPr>
                <w:noProof/>
                <w:sz w:val="20"/>
                <w:szCs w:val="20"/>
              </w:rPr>
              <w:t>The sector should agree on the use of multimodal booking API standards by a given date (otherwise EC to impose through legislation) – to be used when there is a commercial agreemen</w:t>
            </w:r>
            <w:r w:rsidR="00B61481" w:rsidRPr="005D5F7D">
              <w:rPr>
                <w:noProof/>
                <w:sz w:val="20"/>
                <w:szCs w:val="20"/>
              </w:rPr>
              <w:t>t</w:t>
            </w:r>
          </w:p>
        </w:tc>
        <w:tc>
          <w:tcPr>
            <w:tcW w:w="1690" w:type="pct"/>
          </w:tcPr>
          <w:p w14:paraId="6F9A6A40" w14:textId="6B0336DB" w:rsidR="008E357B" w:rsidRPr="005D5F7D" w:rsidRDefault="009E4509">
            <w:pPr>
              <w:pStyle w:val="TableParagraph"/>
              <w:jc w:val="both"/>
              <w:rPr>
                <w:noProof/>
                <w:sz w:val="20"/>
                <w:szCs w:val="20"/>
              </w:rPr>
            </w:pPr>
            <w:r w:rsidRPr="005D5F7D">
              <w:rPr>
                <w:noProof/>
                <w:sz w:val="20"/>
                <w:szCs w:val="20"/>
              </w:rPr>
              <w:t xml:space="preserve">Sector to agree on API standards for distribution. </w:t>
            </w:r>
          </w:p>
        </w:tc>
        <w:tc>
          <w:tcPr>
            <w:tcW w:w="2433" w:type="pct"/>
          </w:tcPr>
          <w:p w14:paraId="11EB0AB2" w14:textId="574C4555" w:rsidR="008E357B" w:rsidRPr="005D5F7D" w:rsidRDefault="009E4509">
            <w:pPr>
              <w:pStyle w:val="TableParagraph"/>
              <w:jc w:val="both"/>
              <w:rPr>
                <w:noProof/>
                <w:sz w:val="20"/>
                <w:szCs w:val="20"/>
              </w:rPr>
            </w:pPr>
            <w:r w:rsidRPr="005D5F7D">
              <w:rPr>
                <w:noProof/>
                <w:sz w:val="20"/>
                <w:szCs w:val="20"/>
              </w:rPr>
              <w:t>API standards have been developed in the context of the implementing legislation on TAP-TS</w:t>
            </w:r>
            <w:r w:rsidR="00B61481" w:rsidRPr="005D5F7D">
              <w:rPr>
                <w:noProof/>
                <w:sz w:val="20"/>
                <w:szCs w:val="20"/>
              </w:rPr>
              <w:t>I</w:t>
            </w:r>
            <w:r w:rsidR="007603ED" w:rsidRPr="005D5F7D">
              <w:rPr>
                <w:rStyle w:val="FootnoteReference"/>
                <w:noProof/>
                <w:sz w:val="20"/>
                <w:szCs w:val="20"/>
              </w:rPr>
              <w:footnoteReference w:id="363"/>
            </w:r>
            <w:r w:rsidR="00B61481" w:rsidRPr="005D5F7D">
              <w:rPr>
                <w:noProof/>
                <w:sz w:val="20"/>
                <w:szCs w:val="20"/>
              </w:rPr>
              <w:t xml:space="preserve"> – no need for legal duplication.</w:t>
            </w:r>
          </w:p>
        </w:tc>
      </w:tr>
      <w:tr w:rsidR="003C7589" w:rsidRPr="005D5F7D" w14:paraId="6C41FF0F" w14:textId="77777777" w:rsidTr="000B20C8">
        <w:trPr>
          <w:trHeight w:val="300"/>
        </w:trPr>
        <w:tc>
          <w:tcPr>
            <w:tcW w:w="877" w:type="pct"/>
          </w:tcPr>
          <w:p w14:paraId="1482E5B6" w14:textId="0A40E724" w:rsidR="008E357B" w:rsidRPr="005D5F7D" w:rsidRDefault="00B61481" w:rsidP="005D5F7D">
            <w:pPr>
              <w:pStyle w:val="TableParagraph"/>
              <w:rPr>
                <w:noProof/>
                <w:sz w:val="20"/>
                <w:szCs w:val="20"/>
              </w:rPr>
            </w:pPr>
            <w:r w:rsidRPr="005D5F7D">
              <w:rPr>
                <w:noProof/>
                <w:sz w:val="20"/>
                <w:szCs w:val="20"/>
              </w:rPr>
              <w:t>Booking API standards set in legislation for all new MDMS agreements if requested by either of the participating parties</w:t>
            </w:r>
          </w:p>
        </w:tc>
        <w:tc>
          <w:tcPr>
            <w:tcW w:w="1690" w:type="pct"/>
          </w:tcPr>
          <w:p w14:paraId="0227E75E" w14:textId="600FD921" w:rsidR="008E357B" w:rsidRPr="005D5F7D" w:rsidRDefault="00B61481">
            <w:pPr>
              <w:pStyle w:val="TableParagraph"/>
              <w:jc w:val="both"/>
              <w:rPr>
                <w:noProof/>
                <w:sz w:val="20"/>
                <w:szCs w:val="20"/>
              </w:rPr>
            </w:pPr>
            <w:r w:rsidRPr="005D5F7D">
              <w:rPr>
                <w:noProof/>
                <w:sz w:val="20"/>
                <w:szCs w:val="20"/>
              </w:rPr>
              <w:t>API standards for distribution are set in legislation.</w:t>
            </w:r>
          </w:p>
        </w:tc>
        <w:tc>
          <w:tcPr>
            <w:tcW w:w="2433" w:type="pct"/>
          </w:tcPr>
          <w:p w14:paraId="4FE3ABC8" w14:textId="50CBBCFB" w:rsidR="008E357B" w:rsidRPr="005D5F7D" w:rsidRDefault="00B61481">
            <w:pPr>
              <w:pStyle w:val="TableParagraph"/>
              <w:jc w:val="both"/>
              <w:rPr>
                <w:noProof/>
                <w:sz w:val="20"/>
                <w:szCs w:val="20"/>
              </w:rPr>
            </w:pPr>
            <w:r w:rsidRPr="005D5F7D">
              <w:rPr>
                <w:noProof/>
                <w:sz w:val="20"/>
                <w:szCs w:val="20"/>
              </w:rPr>
              <w:t>API standards have been developed in the context of the implementing legislation on TAP-TSI</w:t>
            </w:r>
            <w:r w:rsidR="007603ED" w:rsidRPr="005D5F7D">
              <w:rPr>
                <w:rStyle w:val="FootnoteReference"/>
                <w:noProof/>
                <w:sz w:val="20"/>
                <w:szCs w:val="20"/>
              </w:rPr>
              <w:footnoteReference w:id="364"/>
            </w:r>
            <w:r w:rsidRPr="005D5F7D">
              <w:rPr>
                <w:noProof/>
                <w:sz w:val="20"/>
                <w:szCs w:val="20"/>
              </w:rPr>
              <w:t xml:space="preserve"> - no need for legal duplication.</w:t>
            </w:r>
          </w:p>
        </w:tc>
      </w:tr>
    </w:tbl>
    <w:p w14:paraId="25E9B7BA" w14:textId="77777777" w:rsidR="003E4FCA" w:rsidRPr="00D71008" w:rsidRDefault="003E4FCA" w:rsidP="003E4FCA">
      <w:pPr>
        <w:rPr>
          <w:noProof/>
        </w:rPr>
      </w:pPr>
    </w:p>
    <w:p w14:paraId="4E9F3E7F" w14:textId="77777777" w:rsidR="00134B40" w:rsidRDefault="00134B40">
      <w:pPr>
        <w:rPr>
          <w:noProof/>
          <w:sz w:val="20"/>
          <w:szCs w:val="20"/>
        </w:rPr>
      </w:pPr>
    </w:p>
    <w:p w14:paraId="3E0EFD71" w14:textId="77777777" w:rsidR="000B20C8" w:rsidRPr="000B20C8" w:rsidRDefault="000B20C8" w:rsidP="000B20C8">
      <w:pPr>
        <w:rPr>
          <w:noProof/>
          <w:sz w:val="20"/>
          <w:szCs w:val="20"/>
        </w:rPr>
      </w:pPr>
    </w:p>
    <w:p w14:paraId="6B082E7C" w14:textId="77777777" w:rsidR="000B20C8" w:rsidRDefault="000B20C8" w:rsidP="000B20C8">
      <w:pPr>
        <w:rPr>
          <w:noProof/>
          <w:sz w:val="20"/>
          <w:szCs w:val="20"/>
        </w:rPr>
      </w:pPr>
    </w:p>
    <w:p w14:paraId="7BD433F0" w14:textId="676D51D1" w:rsidR="000B20C8" w:rsidRDefault="000B20C8" w:rsidP="000B20C8">
      <w:pPr>
        <w:tabs>
          <w:tab w:val="left" w:pos="7853"/>
        </w:tabs>
        <w:rPr>
          <w:noProof/>
          <w:sz w:val="20"/>
          <w:szCs w:val="20"/>
        </w:rPr>
      </w:pPr>
      <w:r>
        <w:rPr>
          <w:noProof/>
          <w:sz w:val="20"/>
          <w:szCs w:val="20"/>
        </w:rPr>
        <w:tab/>
      </w:r>
    </w:p>
    <w:p w14:paraId="55847A67" w14:textId="6E16454B" w:rsidR="00134B40" w:rsidRDefault="000B20C8" w:rsidP="000B20C8">
      <w:pPr>
        <w:tabs>
          <w:tab w:val="left" w:pos="7853"/>
        </w:tabs>
        <w:rPr>
          <w:noProof/>
          <w:sz w:val="20"/>
          <w:szCs w:val="20"/>
        </w:rPr>
        <w:sectPr w:rsidR="00134B40" w:rsidSect="009B5DDB">
          <w:headerReference w:type="default" r:id="rId66"/>
          <w:footerReference w:type="default" r:id="rId67"/>
          <w:type w:val="nextColumn"/>
          <w:pgSz w:w="11910" w:h="16840"/>
          <w:pgMar w:top="709" w:right="1137" w:bottom="1588" w:left="1021" w:header="0" w:footer="1141" w:gutter="0"/>
          <w:cols w:space="720"/>
          <w:docGrid w:linePitch="326"/>
        </w:sectPr>
      </w:pPr>
      <w:r>
        <w:rPr>
          <w:noProof/>
          <w:sz w:val="20"/>
          <w:szCs w:val="20"/>
        </w:rPr>
        <w:tab/>
      </w:r>
    </w:p>
    <w:p w14:paraId="35E77069" w14:textId="752B7852" w:rsidR="00712390" w:rsidRPr="00D71008" w:rsidRDefault="003C4819" w:rsidP="00A9339E">
      <w:pPr>
        <w:pStyle w:val="Heading1"/>
        <w:spacing w:before="0" w:after="240"/>
        <w:ind w:right="17"/>
        <w:jc w:val="center"/>
        <w:rPr>
          <w:noProof/>
        </w:rPr>
      </w:pPr>
      <w:bookmarkStart w:id="2110" w:name="Annex_7:_Retained_policy_measures"/>
      <w:bookmarkStart w:id="2111" w:name="_Toc223981690"/>
      <w:bookmarkEnd w:id="2110"/>
      <w:r w:rsidRPr="00D71008">
        <w:rPr>
          <w:smallCaps/>
          <w:noProof/>
        </w:rPr>
        <w:t>Annex</w:t>
      </w:r>
      <w:r w:rsidRPr="00D71008">
        <w:rPr>
          <w:smallCaps/>
          <w:noProof/>
          <w:spacing w:val="-9"/>
        </w:rPr>
        <w:t xml:space="preserve"> </w:t>
      </w:r>
      <w:r w:rsidR="006B6DB6" w:rsidRPr="00D71008">
        <w:rPr>
          <w:smallCaps/>
          <w:noProof/>
        </w:rPr>
        <w:t>8</w:t>
      </w:r>
      <w:r w:rsidRPr="00D71008">
        <w:rPr>
          <w:smallCaps/>
          <w:noProof/>
        </w:rPr>
        <w:t>:</w:t>
      </w:r>
      <w:r w:rsidRPr="00D71008">
        <w:rPr>
          <w:smallCaps/>
          <w:noProof/>
          <w:spacing w:val="-15"/>
        </w:rPr>
        <w:t xml:space="preserve"> </w:t>
      </w:r>
      <w:r w:rsidRPr="00D71008">
        <w:rPr>
          <w:smallCaps/>
          <w:noProof/>
        </w:rPr>
        <w:t>Retained</w:t>
      </w:r>
      <w:r w:rsidRPr="00D71008">
        <w:rPr>
          <w:smallCaps/>
          <w:noProof/>
          <w:spacing w:val="-3"/>
        </w:rPr>
        <w:t xml:space="preserve"> </w:t>
      </w:r>
      <w:r w:rsidRPr="00D71008">
        <w:rPr>
          <w:smallCaps/>
          <w:noProof/>
        </w:rPr>
        <w:t>policy</w:t>
      </w:r>
      <w:r w:rsidRPr="00D71008">
        <w:rPr>
          <w:smallCaps/>
          <w:noProof/>
          <w:spacing w:val="-5"/>
        </w:rPr>
        <w:t xml:space="preserve"> </w:t>
      </w:r>
      <w:r w:rsidRPr="00D71008">
        <w:rPr>
          <w:smallCaps/>
          <w:noProof/>
          <w:spacing w:val="-2"/>
        </w:rPr>
        <w:t>measures</w:t>
      </w:r>
      <w:bookmarkEnd w:id="2111"/>
    </w:p>
    <w:p w14:paraId="54822A8D" w14:textId="2C7327C7" w:rsidR="00BA4AF3" w:rsidRPr="00A9339E" w:rsidRDefault="003C4819" w:rsidP="00A9339E">
      <w:pPr>
        <w:pStyle w:val="BodyText"/>
        <w:spacing w:after="240"/>
        <w:ind w:left="0"/>
        <w:rPr>
          <w:b/>
          <w:noProof/>
          <w:spacing w:val="-8"/>
        </w:rPr>
      </w:pPr>
      <w:r w:rsidRPr="00A9339E">
        <w:rPr>
          <w:noProof/>
          <w:spacing w:val="-8"/>
        </w:rPr>
        <w:t>This annex presents the policy measures that have been retained to be included in policy options.</w:t>
      </w:r>
      <w:r w:rsidR="000B5F65" w:rsidRPr="00A9339E">
        <w:rPr>
          <w:noProof/>
          <w:spacing w:val="-8"/>
        </w:rPr>
        <w:t xml:space="preserve"> </w:t>
      </w:r>
      <w:r w:rsidR="003F788A" w:rsidRPr="00A9339E">
        <w:rPr>
          <w:b/>
          <w:noProof/>
          <w:spacing w:val="-8"/>
        </w:rPr>
        <w:t xml:space="preserve">SMEs are not subject to any of the </w:t>
      </w:r>
      <w:r w:rsidR="00D45FB3" w:rsidRPr="00A9339E">
        <w:rPr>
          <w:b/>
          <w:noProof/>
          <w:spacing w:val="-8"/>
        </w:rPr>
        <w:t>Policy Me</w:t>
      </w:r>
      <w:r w:rsidR="00C93961" w:rsidRPr="00A9339E">
        <w:rPr>
          <w:b/>
          <w:noProof/>
          <w:spacing w:val="-8"/>
        </w:rPr>
        <w:t>a</w:t>
      </w:r>
      <w:r w:rsidR="00D45FB3" w:rsidRPr="00A9339E">
        <w:rPr>
          <w:b/>
          <w:noProof/>
          <w:spacing w:val="-8"/>
        </w:rPr>
        <w:t>sures</w:t>
      </w:r>
      <w:r w:rsidR="002A0C7C" w:rsidRPr="00A9339E">
        <w:rPr>
          <w:b/>
          <w:noProof/>
          <w:spacing w:val="-8"/>
        </w:rPr>
        <w:t xml:space="preserve"> listed below</w:t>
      </w:r>
      <w:r w:rsidR="00D45FB3" w:rsidRPr="00A9339E">
        <w:rPr>
          <w:b/>
          <w:noProof/>
          <w:spacing w:val="-8"/>
        </w:rPr>
        <w:t>.</w:t>
      </w:r>
      <w:r w:rsidR="00651694" w:rsidRPr="00A9339E">
        <w:rPr>
          <w:b/>
          <w:noProof/>
          <w:spacing w:val="-8"/>
        </w:rPr>
        <w:t xml:space="preserve"> </w:t>
      </w:r>
    </w:p>
    <w:p w14:paraId="0B425747" w14:textId="6521A71F" w:rsidR="003C7589" w:rsidRPr="00383DBF" w:rsidRDefault="003C7589" w:rsidP="003C7589">
      <w:pPr>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135</w:t>
      </w:r>
      <w:r w:rsidRPr="00383DBF">
        <w:rPr>
          <w:i/>
          <w:noProof/>
          <w:sz w:val="22"/>
          <w:szCs w:val="22"/>
        </w:rPr>
        <w:fldChar w:fldCharType="end"/>
      </w:r>
      <w:r w:rsidRPr="00383DBF">
        <w:rPr>
          <w:i/>
          <w:noProof/>
          <w:sz w:val="22"/>
          <w:szCs w:val="22"/>
        </w:rPr>
        <w:t xml:space="preserve">: </w:t>
      </w:r>
      <w:r>
        <w:rPr>
          <w:i/>
          <w:noProof/>
          <w:sz w:val="22"/>
          <w:szCs w:val="22"/>
        </w:rPr>
        <w:t>Retain</w:t>
      </w:r>
      <w:r w:rsidR="009E3135">
        <w:rPr>
          <w:i/>
          <w:noProof/>
          <w:sz w:val="22"/>
          <w:szCs w:val="22"/>
        </w:rPr>
        <w:t>ed</w:t>
      </w:r>
      <w:r>
        <w:rPr>
          <w:i/>
          <w:noProof/>
          <w:sz w:val="22"/>
          <w:szCs w:val="22"/>
        </w:rPr>
        <w:t xml:space="preserve"> policy measures</w:t>
      </w:r>
      <w:r w:rsidR="009E3135">
        <w:rPr>
          <w:i/>
          <w:noProof/>
          <w:sz w:val="22"/>
          <w:szCs w:val="22"/>
        </w:rPr>
        <w:t>, link with specific objective and problem driver and description</w:t>
      </w:r>
      <w:r>
        <w:rPr>
          <w:i/>
          <w:noProof/>
          <w:sz w:val="22"/>
          <w:szCs w:val="22"/>
        </w:rPr>
        <w:t xml:space="preserve"> </w:t>
      </w:r>
      <w:r w:rsidR="009E3135">
        <w:rPr>
          <w:i/>
          <w:noProof/>
          <w:sz w:val="22"/>
          <w:szCs w:val="22"/>
        </w:rPr>
        <w:t>of the policy measure</w:t>
      </w:r>
      <w:r w:rsidR="00A9339E">
        <w:rPr>
          <w:i/>
          <w:noProof/>
          <w:sz w:val="22"/>
          <w:szCs w:val="22"/>
        </w:rPr>
        <w:t>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97"/>
        <w:gridCol w:w="1183"/>
        <w:gridCol w:w="1561"/>
        <w:gridCol w:w="7592"/>
      </w:tblGrid>
      <w:tr w:rsidR="00BA4AF3" w:rsidRPr="00D71008" w14:paraId="63CEC05E" w14:textId="77777777" w:rsidTr="00D036D7">
        <w:trPr>
          <w:trHeight w:val="576"/>
          <w:tblHeader/>
          <w:jc w:val="center"/>
        </w:trPr>
        <w:tc>
          <w:tcPr>
            <w:tcW w:w="1444" w:type="pct"/>
            <w:shd w:val="clear" w:color="auto" w:fill="006FC0"/>
          </w:tcPr>
          <w:p w14:paraId="3556EB94" w14:textId="77777777" w:rsidR="00BA4AF3" w:rsidRPr="00D71008" w:rsidRDefault="00BA4AF3">
            <w:pPr>
              <w:pStyle w:val="TableParagraph"/>
              <w:spacing w:before="173"/>
              <w:ind w:left="4" w:right="1"/>
              <w:jc w:val="center"/>
              <w:rPr>
                <w:b/>
                <w:noProof/>
                <w:sz w:val="24"/>
                <w:szCs w:val="24"/>
              </w:rPr>
            </w:pPr>
            <w:r w:rsidRPr="00D71008">
              <w:rPr>
                <w:b/>
                <w:noProof/>
                <w:color w:val="FFFFFF"/>
                <w:sz w:val="24"/>
                <w:szCs w:val="24"/>
              </w:rPr>
              <w:t>Policy</w:t>
            </w:r>
            <w:r w:rsidRPr="00D71008">
              <w:rPr>
                <w:b/>
                <w:noProof/>
                <w:color w:val="FFFFFF"/>
                <w:spacing w:val="-2"/>
                <w:sz w:val="24"/>
                <w:szCs w:val="24"/>
              </w:rPr>
              <w:t xml:space="preserve"> measure</w:t>
            </w:r>
          </w:p>
        </w:tc>
        <w:tc>
          <w:tcPr>
            <w:tcW w:w="407" w:type="pct"/>
            <w:tcBorders>
              <w:bottom w:val="single" w:sz="4" w:space="0" w:color="ECF3F7"/>
            </w:tcBorders>
            <w:shd w:val="clear" w:color="auto" w:fill="006FC0"/>
          </w:tcPr>
          <w:p w14:paraId="62986508" w14:textId="77777777" w:rsidR="00BA4AF3" w:rsidRPr="00D71008" w:rsidRDefault="00BA4AF3" w:rsidP="00517201">
            <w:pPr>
              <w:pStyle w:val="TableParagraph"/>
              <w:spacing w:before="58"/>
              <w:ind w:left="153" w:firstLine="79"/>
              <w:jc w:val="center"/>
              <w:rPr>
                <w:b/>
                <w:noProof/>
                <w:sz w:val="24"/>
                <w:szCs w:val="24"/>
              </w:rPr>
            </w:pPr>
            <w:r w:rsidRPr="00D71008">
              <w:rPr>
                <w:b/>
                <w:noProof/>
                <w:color w:val="FFFFFF"/>
                <w:spacing w:val="-2"/>
                <w:sz w:val="24"/>
                <w:szCs w:val="24"/>
              </w:rPr>
              <w:t>Specific Objective</w:t>
            </w:r>
          </w:p>
        </w:tc>
        <w:tc>
          <w:tcPr>
            <w:tcW w:w="537" w:type="pct"/>
            <w:tcBorders>
              <w:bottom w:val="single" w:sz="4" w:space="0" w:color="ECF3F7"/>
            </w:tcBorders>
            <w:shd w:val="clear" w:color="auto" w:fill="006FC0"/>
          </w:tcPr>
          <w:p w14:paraId="0B68BCB3" w14:textId="77777777" w:rsidR="00BA4AF3" w:rsidRPr="00D71008" w:rsidRDefault="00BA4AF3">
            <w:pPr>
              <w:pStyle w:val="TableParagraph"/>
              <w:spacing w:before="58"/>
              <w:ind w:left="380" w:right="284" w:hanging="82"/>
              <w:rPr>
                <w:b/>
                <w:noProof/>
                <w:sz w:val="24"/>
                <w:szCs w:val="24"/>
              </w:rPr>
            </w:pPr>
            <w:r w:rsidRPr="00D71008">
              <w:rPr>
                <w:b/>
                <w:noProof/>
                <w:color w:val="FFFFFF"/>
                <w:spacing w:val="-2"/>
                <w:sz w:val="24"/>
                <w:szCs w:val="24"/>
              </w:rPr>
              <w:t>Problem Driver</w:t>
            </w:r>
          </w:p>
        </w:tc>
        <w:tc>
          <w:tcPr>
            <w:tcW w:w="2612" w:type="pct"/>
            <w:shd w:val="clear" w:color="auto" w:fill="006FC0"/>
          </w:tcPr>
          <w:p w14:paraId="4C1BDBDE" w14:textId="259E3962" w:rsidR="00BA4AF3" w:rsidRPr="00D71008" w:rsidRDefault="009E3135">
            <w:pPr>
              <w:pStyle w:val="TableParagraph"/>
              <w:spacing w:before="173"/>
              <w:ind w:left="10"/>
              <w:jc w:val="center"/>
              <w:rPr>
                <w:b/>
                <w:noProof/>
                <w:sz w:val="24"/>
                <w:szCs w:val="24"/>
              </w:rPr>
            </w:pPr>
            <w:r>
              <w:rPr>
                <w:b/>
                <w:noProof/>
                <w:color w:val="FFFFFF"/>
                <w:sz w:val="24"/>
                <w:szCs w:val="24"/>
              </w:rPr>
              <w:t>D</w:t>
            </w:r>
            <w:r w:rsidR="00BA4AF3" w:rsidRPr="00D71008">
              <w:rPr>
                <w:b/>
                <w:noProof/>
                <w:color w:val="FFFFFF"/>
                <w:spacing w:val="-2"/>
                <w:sz w:val="24"/>
                <w:szCs w:val="24"/>
              </w:rPr>
              <w:t>escription</w:t>
            </w:r>
          </w:p>
        </w:tc>
      </w:tr>
      <w:tr w:rsidR="00BA4AF3" w:rsidRPr="00D71008" w14:paraId="7861F418" w14:textId="77777777" w:rsidTr="001E50E2">
        <w:trPr>
          <w:trHeight w:val="331"/>
          <w:jc w:val="center"/>
        </w:trPr>
        <w:tc>
          <w:tcPr>
            <w:tcW w:w="5000" w:type="pct"/>
            <w:gridSpan w:val="4"/>
            <w:tcBorders>
              <w:top w:val="single" w:sz="36" w:space="0" w:color="ECF3F7"/>
            </w:tcBorders>
            <w:shd w:val="clear" w:color="auto" w:fill="DBE4F0"/>
          </w:tcPr>
          <w:p w14:paraId="3E55B087" w14:textId="028ADBEB" w:rsidR="00BA4AF3" w:rsidRPr="00D71008" w:rsidRDefault="00572604" w:rsidP="00572604">
            <w:pPr>
              <w:pStyle w:val="TableParagraph"/>
              <w:spacing w:before="44"/>
              <w:ind w:left="83"/>
              <w:jc w:val="center"/>
              <w:rPr>
                <w:b/>
                <w:noProof/>
                <w:sz w:val="24"/>
                <w:szCs w:val="24"/>
              </w:rPr>
            </w:pPr>
            <w:r w:rsidRPr="00D71008">
              <w:rPr>
                <w:b/>
                <w:noProof/>
                <w:sz w:val="24"/>
                <w:szCs w:val="24"/>
              </w:rPr>
              <w:t>Policy measures common to all options</w:t>
            </w:r>
          </w:p>
        </w:tc>
      </w:tr>
      <w:tr w:rsidR="001D62E2" w:rsidRPr="00D71008" w14:paraId="276C4BD9" w14:textId="77777777" w:rsidTr="001E50E2">
        <w:trPr>
          <w:trHeight w:val="1692"/>
          <w:jc w:val="center"/>
        </w:trPr>
        <w:tc>
          <w:tcPr>
            <w:tcW w:w="1444" w:type="pct"/>
          </w:tcPr>
          <w:p w14:paraId="25619A55" w14:textId="5252E397" w:rsidR="001D62E2" w:rsidRPr="00D71008" w:rsidRDefault="04A76220" w:rsidP="18D2D960">
            <w:pPr>
              <w:pStyle w:val="TableParagraph"/>
              <w:ind w:left="83" w:right="72"/>
              <w:jc w:val="both"/>
              <w:rPr>
                <w:noProof/>
                <w:sz w:val="24"/>
                <w:szCs w:val="24"/>
              </w:rPr>
            </w:pPr>
            <w:r w:rsidRPr="00D71008">
              <w:rPr>
                <w:b/>
                <w:noProof/>
                <w:sz w:val="24"/>
                <w:szCs w:val="24"/>
              </w:rPr>
              <w:t xml:space="preserve">PM 1 – </w:t>
            </w:r>
            <w:r w:rsidRPr="004E336D">
              <w:rPr>
                <w:noProof/>
                <w:sz w:val="24"/>
                <w:szCs w:val="24"/>
              </w:rPr>
              <w:t xml:space="preserve">Obligation for </w:t>
            </w:r>
            <w:r w:rsidRPr="004E336D">
              <w:rPr>
                <w:b/>
                <w:noProof/>
                <w:sz w:val="24"/>
                <w:szCs w:val="24"/>
              </w:rPr>
              <w:t xml:space="preserve">all MDMS </w:t>
            </w:r>
            <w:r w:rsidR="794A8EAF" w:rsidRPr="004E336D">
              <w:rPr>
                <w:b/>
                <w:noProof/>
                <w:sz w:val="24"/>
                <w:szCs w:val="24"/>
              </w:rPr>
              <w:t>platforms</w:t>
            </w:r>
            <w:r w:rsidR="794A8EAF" w:rsidRPr="004E336D">
              <w:rPr>
                <w:noProof/>
                <w:sz w:val="24"/>
                <w:szCs w:val="24"/>
              </w:rPr>
              <w:t xml:space="preserve"> </w:t>
            </w:r>
            <w:r w:rsidRPr="004E336D">
              <w:rPr>
                <w:noProof/>
                <w:sz w:val="24"/>
                <w:szCs w:val="24"/>
              </w:rPr>
              <w:t xml:space="preserve">to apply neutral display obligations and </w:t>
            </w:r>
            <w:r w:rsidR="00856CC9" w:rsidRPr="004E336D">
              <w:rPr>
                <w:b/>
                <w:noProof/>
                <w:sz w:val="24"/>
                <w:szCs w:val="24"/>
              </w:rPr>
              <w:t>for</w:t>
            </w:r>
            <w:r w:rsidRPr="004E336D">
              <w:rPr>
                <w:b/>
                <w:noProof/>
                <w:sz w:val="24"/>
                <w:szCs w:val="24"/>
              </w:rPr>
              <w:t xml:space="preserve"> transport operators (in all modes</w:t>
            </w:r>
            <w:r w:rsidR="00856CC9" w:rsidRPr="004E336D">
              <w:rPr>
                <w:b/>
                <w:noProof/>
                <w:sz w:val="24"/>
                <w:szCs w:val="24"/>
              </w:rPr>
              <w:t>)</w:t>
            </w:r>
            <w:r w:rsidRPr="004E336D">
              <w:rPr>
                <w:noProof/>
                <w:sz w:val="24"/>
                <w:szCs w:val="24"/>
              </w:rPr>
              <w:t xml:space="preserve"> to </w:t>
            </w:r>
            <w:r w:rsidR="0088090E" w:rsidRPr="004E336D">
              <w:rPr>
                <w:noProof/>
                <w:sz w:val="24"/>
                <w:szCs w:val="24"/>
              </w:rPr>
              <w:t>ensure that the</w:t>
            </w:r>
            <w:r w:rsidRPr="004E336D">
              <w:rPr>
                <w:noProof/>
                <w:sz w:val="24"/>
                <w:szCs w:val="24"/>
              </w:rPr>
              <w:t xml:space="preserve"> data </w:t>
            </w:r>
            <w:r w:rsidR="0088090E" w:rsidRPr="004E336D">
              <w:rPr>
                <w:noProof/>
                <w:sz w:val="24"/>
                <w:szCs w:val="24"/>
              </w:rPr>
              <w:t>they submit are accurate</w:t>
            </w:r>
          </w:p>
        </w:tc>
        <w:tc>
          <w:tcPr>
            <w:tcW w:w="407" w:type="pct"/>
            <w:vMerge w:val="restart"/>
            <w:vAlign w:val="center"/>
          </w:tcPr>
          <w:p w14:paraId="2C6A87AC" w14:textId="77777777" w:rsidR="001D62E2" w:rsidRPr="0010719F" w:rsidRDefault="001D62E2">
            <w:pPr>
              <w:pStyle w:val="TableParagraph"/>
              <w:rPr>
                <w:noProof/>
                <w:sz w:val="24"/>
                <w:szCs w:val="24"/>
                <w:highlight w:val="yellow"/>
              </w:rPr>
            </w:pPr>
          </w:p>
          <w:p w14:paraId="0DE38E54" w14:textId="77777777" w:rsidR="001D62E2" w:rsidRPr="0010719F" w:rsidRDefault="001D62E2">
            <w:pPr>
              <w:pStyle w:val="TableParagraph"/>
              <w:rPr>
                <w:noProof/>
                <w:sz w:val="24"/>
                <w:szCs w:val="24"/>
                <w:highlight w:val="yellow"/>
              </w:rPr>
            </w:pPr>
          </w:p>
          <w:p w14:paraId="6DD7F2DF" w14:textId="77777777" w:rsidR="001D62E2" w:rsidRPr="0010719F" w:rsidRDefault="001D62E2">
            <w:pPr>
              <w:pStyle w:val="TableParagraph"/>
              <w:rPr>
                <w:noProof/>
                <w:sz w:val="24"/>
                <w:szCs w:val="24"/>
                <w:highlight w:val="yellow"/>
              </w:rPr>
            </w:pPr>
          </w:p>
          <w:p w14:paraId="108D445C" w14:textId="77777777" w:rsidR="001D62E2" w:rsidRPr="0010719F" w:rsidRDefault="001D62E2">
            <w:pPr>
              <w:pStyle w:val="TableParagraph"/>
              <w:rPr>
                <w:noProof/>
                <w:sz w:val="24"/>
                <w:szCs w:val="24"/>
                <w:highlight w:val="yellow"/>
              </w:rPr>
            </w:pPr>
          </w:p>
          <w:p w14:paraId="16842DE7" w14:textId="77777777" w:rsidR="001D62E2" w:rsidRPr="0010719F" w:rsidRDefault="001D62E2">
            <w:pPr>
              <w:pStyle w:val="TableParagraph"/>
              <w:rPr>
                <w:noProof/>
                <w:sz w:val="24"/>
                <w:szCs w:val="24"/>
                <w:highlight w:val="yellow"/>
              </w:rPr>
            </w:pPr>
          </w:p>
          <w:p w14:paraId="67E1BE66" w14:textId="77777777" w:rsidR="001D62E2" w:rsidRPr="0010719F" w:rsidRDefault="001D62E2">
            <w:pPr>
              <w:pStyle w:val="TableParagraph"/>
              <w:spacing w:before="116"/>
              <w:rPr>
                <w:noProof/>
                <w:sz w:val="24"/>
                <w:szCs w:val="24"/>
                <w:highlight w:val="yellow"/>
              </w:rPr>
            </w:pPr>
          </w:p>
          <w:p w14:paraId="2FE73FEB" w14:textId="77777777" w:rsidR="00CA2B5D" w:rsidRPr="0010719F" w:rsidRDefault="001D62E2">
            <w:pPr>
              <w:pStyle w:val="TableParagraph"/>
              <w:ind w:left="5"/>
              <w:jc w:val="center"/>
              <w:rPr>
                <w:noProof/>
                <w:sz w:val="24"/>
                <w:szCs w:val="24"/>
                <w:highlight w:val="yellow"/>
              </w:rPr>
            </w:pPr>
            <w:r w:rsidRPr="00CA2B5D">
              <w:rPr>
                <w:noProof/>
                <w:spacing w:val="-5"/>
                <w:sz w:val="24"/>
                <w:szCs w:val="24"/>
              </w:rPr>
              <w:t>SO1</w:t>
            </w:r>
          </w:p>
          <w:p w14:paraId="5A5233D5" w14:textId="6F1596B2" w:rsidR="001D62E2" w:rsidRPr="0010719F" w:rsidRDefault="001D62E2" w:rsidP="00A82603">
            <w:pPr>
              <w:jc w:val="center"/>
              <w:rPr>
                <w:noProof/>
                <w:highlight w:val="yellow"/>
              </w:rPr>
            </w:pPr>
          </w:p>
        </w:tc>
        <w:tc>
          <w:tcPr>
            <w:tcW w:w="537" w:type="pct"/>
            <w:vMerge w:val="restart"/>
            <w:vAlign w:val="center"/>
          </w:tcPr>
          <w:p w14:paraId="1E9B57FC" w14:textId="77777777" w:rsidR="001D62E2" w:rsidRPr="0010719F" w:rsidRDefault="001D62E2">
            <w:pPr>
              <w:pStyle w:val="TableParagraph"/>
              <w:rPr>
                <w:noProof/>
                <w:sz w:val="24"/>
                <w:szCs w:val="24"/>
                <w:highlight w:val="yellow"/>
              </w:rPr>
            </w:pPr>
          </w:p>
          <w:p w14:paraId="488B1DB6" w14:textId="77777777" w:rsidR="001D62E2" w:rsidRPr="0010719F" w:rsidRDefault="001D62E2">
            <w:pPr>
              <w:pStyle w:val="TableParagraph"/>
              <w:rPr>
                <w:noProof/>
                <w:sz w:val="24"/>
                <w:szCs w:val="24"/>
                <w:highlight w:val="yellow"/>
              </w:rPr>
            </w:pPr>
          </w:p>
          <w:p w14:paraId="3AB6A887" w14:textId="77777777" w:rsidR="001D62E2" w:rsidRPr="0010719F" w:rsidRDefault="001D62E2">
            <w:pPr>
              <w:pStyle w:val="TableParagraph"/>
              <w:rPr>
                <w:noProof/>
                <w:sz w:val="24"/>
                <w:szCs w:val="24"/>
                <w:highlight w:val="yellow"/>
              </w:rPr>
            </w:pPr>
          </w:p>
          <w:p w14:paraId="0C6C255A" w14:textId="77777777" w:rsidR="001D62E2" w:rsidRPr="0010719F" w:rsidRDefault="001D62E2">
            <w:pPr>
              <w:pStyle w:val="TableParagraph"/>
              <w:rPr>
                <w:noProof/>
                <w:sz w:val="24"/>
                <w:szCs w:val="24"/>
                <w:highlight w:val="yellow"/>
              </w:rPr>
            </w:pPr>
          </w:p>
          <w:p w14:paraId="2BE1AD29" w14:textId="77777777" w:rsidR="001D62E2" w:rsidRPr="0010719F" w:rsidRDefault="001D62E2">
            <w:pPr>
              <w:pStyle w:val="TableParagraph"/>
              <w:spacing w:before="116"/>
              <w:rPr>
                <w:noProof/>
                <w:sz w:val="24"/>
                <w:szCs w:val="24"/>
                <w:highlight w:val="yellow"/>
              </w:rPr>
            </w:pPr>
          </w:p>
          <w:p w14:paraId="0BBCD1F8" w14:textId="6A0F9B64" w:rsidR="001D62E2" w:rsidRPr="0010719F" w:rsidRDefault="00CA2B5D">
            <w:pPr>
              <w:pStyle w:val="TableParagraph"/>
              <w:ind w:left="5"/>
              <w:jc w:val="center"/>
              <w:rPr>
                <w:noProof/>
                <w:sz w:val="24"/>
                <w:szCs w:val="24"/>
                <w:highlight w:val="yellow"/>
              </w:rPr>
            </w:pPr>
            <w:r w:rsidRPr="00375D17">
              <w:rPr>
                <w:noProof/>
                <w:spacing w:val="-5"/>
                <w:sz w:val="24"/>
                <w:szCs w:val="24"/>
              </w:rPr>
              <w:t>PD</w:t>
            </w:r>
            <w:r w:rsidR="0049366B">
              <w:rPr>
                <w:noProof/>
                <w:spacing w:val="-5"/>
                <w:sz w:val="24"/>
                <w:szCs w:val="24"/>
              </w:rPr>
              <w:t>2</w:t>
            </w:r>
          </w:p>
        </w:tc>
        <w:tc>
          <w:tcPr>
            <w:tcW w:w="2612" w:type="pct"/>
            <w:vAlign w:val="center"/>
          </w:tcPr>
          <w:p w14:paraId="30319C94" w14:textId="1CA09EFC" w:rsidR="001D62E2" w:rsidRDefault="000B5F65" w:rsidP="18D2D960">
            <w:pPr>
              <w:pStyle w:val="TableParagraph"/>
              <w:ind w:right="79"/>
              <w:jc w:val="both"/>
              <w:rPr>
                <w:noProof/>
                <w:sz w:val="24"/>
                <w:szCs w:val="24"/>
              </w:rPr>
            </w:pPr>
            <w:r w:rsidRPr="00D71008">
              <w:rPr>
                <w:noProof/>
                <w:sz w:val="24"/>
                <w:szCs w:val="24"/>
              </w:rPr>
              <w:t xml:space="preserve">All </w:t>
            </w:r>
            <w:r w:rsidR="04A76220" w:rsidRPr="00D71008">
              <w:rPr>
                <w:noProof/>
                <w:sz w:val="24"/>
                <w:szCs w:val="24"/>
              </w:rPr>
              <w:t xml:space="preserve">MDMS </w:t>
            </w:r>
            <w:r w:rsidR="00355794" w:rsidRPr="00D71008">
              <w:rPr>
                <w:noProof/>
                <w:sz w:val="24"/>
                <w:szCs w:val="24"/>
              </w:rPr>
              <w:t>platforms</w:t>
            </w:r>
            <w:r w:rsidR="002A772F">
              <w:rPr>
                <w:noProof/>
                <w:sz w:val="24"/>
                <w:szCs w:val="24"/>
              </w:rPr>
              <w:t xml:space="preserve"> (B2B and B2C)</w:t>
            </w:r>
            <w:r w:rsidR="04A76220" w:rsidRPr="00D71008">
              <w:rPr>
                <w:noProof/>
                <w:sz w:val="24"/>
                <w:szCs w:val="24"/>
              </w:rPr>
              <w:t xml:space="preserve"> when displaying </w:t>
            </w:r>
            <w:r w:rsidR="008E4D56" w:rsidRPr="00D71008">
              <w:rPr>
                <w:noProof/>
                <w:sz w:val="24"/>
                <w:szCs w:val="24"/>
              </w:rPr>
              <w:t>travel options</w:t>
            </w:r>
            <w:r w:rsidR="04A76220" w:rsidRPr="00D71008">
              <w:rPr>
                <w:noProof/>
                <w:sz w:val="24"/>
                <w:szCs w:val="24"/>
              </w:rPr>
              <w:t>, shall</w:t>
            </w:r>
            <w:r w:rsidR="00992847" w:rsidRPr="00D71008">
              <w:rPr>
                <w:noProof/>
                <w:sz w:val="24"/>
                <w:szCs w:val="24"/>
              </w:rPr>
              <w:t>,</w:t>
            </w:r>
            <w:r w:rsidR="04A76220" w:rsidRPr="00D71008">
              <w:rPr>
                <w:noProof/>
                <w:sz w:val="24"/>
                <w:szCs w:val="24"/>
              </w:rPr>
              <w:t xml:space="preserve"> </w:t>
            </w:r>
            <w:r w:rsidR="18AC9B0D" w:rsidRPr="00D71008">
              <w:rPr>
                <w:noProof/>
                <w:sz w:val="24"/>
                <w:szCs w:val="24"/>
              </w:rPr>
              <w:t>by default</w:t>
            </w:r>
            <w:r w:rsidR="00992847" w:rsidRPr="00D71008">
              <w:rPr>
                <w:noProof/>
                <w:sz w:val="24"/>
                <w:szCs w:val="24"/>
              </w:rPr>
              <w:t>,</w:t>
            </w:r>
            <w:r w:rsidR="000827D9" w:rsidRPr="00D71008">
              <w:rPr>
                <w:noProof/>
                <w:sz w:val="24"/>
                <w:szCs w:val="24"/>
              </w:rPr>
              <w:t xml:space="preserve"> </w:t>
            </w:r>
            <w:r w:rsidR="00992847" w:rsidRPr="00D71008">
              <w:rPr>
                <w:noProof/>
                <w:sz w:val="24"/>
                <w:szCs w:val="24"/>
              </w:rPr>
              <w:t xml:space="preserve">rank them based on one or more of the </w:t>
            </w:r>
            <w:r w:rsidR="00E326B2" w:rsidRPr="00D71008">
              <w:rPr>
                <w:noProof/>
                <w:sz w:val="24"/>
                <w:szCs w:val="24"/>
              </w:rPr>
              <w:t xml:space="preserve">minimum </w:t>
            </w:r>
            <w:r w:rsidR="04A76220" w:rsidRPr="00D71008">
              <w:rPr>
                <w:noProof/>
                <w:sz w:val="24"/>
                <w:szCs w:val="24"/>
              </w:rPr>
              <w:t>criteria set in legislation (e.g. final price, travel time</w:t>
            </w:r>
            <w:r w:rsidR="565394F8" w:rsidRPr="00D71008">
              <w:rPr>
                <w:noProof/>
                <w:sz w:val="24"/>
                <w:szCs w:val="24"/>
              </w:rPr>
              <w:t>, greenhouse gas emissions)</w:t>
            </w:r>
            <w:r w:rsidR="000E5660" w:rsidRPr="00D71008">
              <w:rPr>
                <w:noProof/>
                <w:sz w:val="24"/>
                <w:szCs w:val="24"/>
              </w:rPr>
              <w:t>. Such</w:t>
            </w:r>
            <w:r w:rsidR="04A76220" w:rsidRPr="00D71008">
              <w:rPr>
                <w:noProof/>
                <w:sz w:val="24"/>
                <w:szCs w:val="24"/>
              </w:rPr>
              <w:t xml:space="preserve"> obligation would still allow </w:t>
            </w:r>
            <w:r w:rsidR="2B7ABE47" w:rsidRPr="00D71008">
              <w:rPr>
                <w:noProof/>
                <w:sz w:val="24"/>
                <w:szCs w:val="24"/>
              </w:rPr>
              <w:t xml:space="preserve">B2C </w:t>
            </w:r>
            <w:r w:rsidR="04A76220" w:rsidRPr="00D71008">
              <w:rPr>
                <w:noProof/>
                <w:sz w:val="24"/>
                <w:szCs w:val="24"/>
              </w:rPr>
              <w:t>MDMS</w:t>
            </w:r>
            <w:r w:rsidR="537225C8" w:rsidRPr="00D71008">
              <w:rPr>
                <w:noProof/>
                <w:sz w:val="24"/>
                <w:szCs w:val="24"/>
              </w:rPr>
              <w:t xml:space="preserve"> platforms</w:t>
            </w:r>
            <w:r w:rsidR="04A76220" w:rsidRPr="00D71008">
              <w:rPr>
                <w:noProof/>
                <w:sz w:val="24"/>
                <w:szCs w:val="24"/>
              </w:rPr>
              <w:t xml:space="preserve"> to gain revenue from advertisement</w:t>
            </w:r>
            <w:r w:rsidR="004F23C2" w:rsidRPr="00D71008">
              <w:rPr>
                <w:noProof/>
                <w:sz w:val="24"/>
                <w:szCs w:val="24"/>
              </w:rPr>
              <w:t xml:space="preserve">, since they can still </w:t>
            </w:r>
            <w:r w:rsidR="00815DD2" w:rsidRPr="00D71008">
              <w:rPr>
                <w:noProof/>
                <w:sz w:val="24"/>
                <w:szCs w:val="24"/>
              </w:rPr>
              <w:t>accept payment by transport operators for them</w:t>
            </w:r>
            <w:r w:rsidR="04A76220" w:rsidRPr="00D71008">
              <w:rPr>
                <w:noProof/>
                <w:sz w:val="24"/>
                <w:szCs w:val="24"/>
              </w:rPr>
              <w:t xml:space="preserve"> to </w:t>
            </w:r>
            <w:r w:rsidR="00815DD2" w:rsidRPr="00D71008">
              <w:rPr>
                <w:noProof/>
                <w:sz w:val="24"/>
                <w:szCs w:val="24"/>
              </w:rPr>
              <w:t>be prominently displayed. However, this cannot be</w:t>
            </w:r>
            <w:r w:rsidR="04A76220" w:rsidRPr="00D71008">
              <w:rPr>
                <w:noProof/>
                <w:sz w:val="24"/>
                <w:szCs w:val="24"/>
              </w:rPr>
              <w:t xml:space="preserve"> a </w:t>
            </w:r>
            <w:r w:rsidR="00815DD2" w:rsidRPr="00D71008">
              <w:rPr>
                <w:noProof/>
                <w:sz w:val="24"/>
                <w:szCs w:val="24"/>
              </w:rPr>
              <w:t xml:space="preserve">default ranking </w:t>
            </w:r>
            <w:r w:rsidR="00653632" w:rsidRPr="00D71008">
              <w:rPr>
                <w:noProof/>
                <w:sz w:val="24"/>
                <w:szCs w:val="24"/>
              </w:rPr>
              <w:t>criterion and</w:t>
            </w:r>
            <w:r w:rsidR="000C4905" w:rsidRPr="00D71008">
              <w:rPr>
                <w:noProof/>
                <w:sz w:val="24"/>
                <w:szCs w:val="24"/>
              </w:rPr>
              <w:t xml:space="preserve"> can only </w:t>
            </w:r>
            <w:r w:rsidR="008A0D75" w:rsidRPr="00D71008">
              <w:rPr>
                <w:noProof/>
                <w:sz w:val="24"/>
                <w:szCs w:val="24"/>
              </w:rPr>
              <w:t>be</w:t>
            </w:r>
            <w:r w:rsidR="0040538F" w:rsidRPr="00D71008">
              <w:rPr>
                <w:noProof/>
                <w:sz w:val="24"/>
                <w:szCs w:val="24"/>
              </w:rPr>
              <w:t xml:space="preserve"> displayed</w:t>
            </w:r>
            <w:r w:rsidR="008A0D75" w:rsidRPr="00D71008">
              <w:rPr>
                <w:noProof/>
                <w:sz w:val="24"/>
                <w:szCs w:val="24"/>
              </w:rPr>
              <w:t xml:space="preserve"> </w:t>
            </w:r>
            <w:r w:rsidR="68EF7464" w:rsidRPr="00D71008">
              <w:rPr>
                <w:noProof/>
                <w:sz w:val="24"/>
                <w:szCs w:val="24"/>
              </w:rPr>
              <w:t xml:space="preserve">if </w:t>
            </w:r>
            <w:r w:rsidR="008A0D75" w:rsidRPr="00D71008">
              <w:rPr>
                <w:noProof/>
                <w:sz w:val="24"/>
                <w:szCs w:val="24"/>
              </w:rPr>
              <w:t xml:space="preserve">selected by the end </w:t>
            </w:r>
            <w:r w:rsidR="00462730" w:rsidRPr="00D71008">
              <w:rPr>
                <w:noProof/>
                <w:sz w:val="24"/>
                <w:szCs w:val="24"/>
              </w:rPr>
              <w:t>user</w:t>
            </w:r>
            <w:r w:rsidR="002E24F4">
              <w:rPr>
                <w:noProof/>
                <w:sz w:val="24"/>
                <w:szCs w:val="24"/>
              </w:rPr>
              <w:t xml:space="preserve"> and </w:t>
            </w:r>
            <w:r w:rsidR="00E2004A">
              <w:rPr>
                <w:noProof/>
                <w:sz w:val="24"/>
                <w:szCs w:val="24"/>
              </w:rPr>
              <w:t xml:space="preserve">be </w:t>
            </w:r>
            <w:r w:rsidR="002E538B">
              <w:rPr>
                <w:noProof/>
                <w:sz w:val="24"/>
                <w:szCs w:val="24"/>
              </w:rPr>
              <w:t>clearly indicated as “</w:t>
            </w:r>
            <w:r w:rsidR="00037195">
              <w:rPr>
                <w:noProof/>
                <w:sz w:val="24"/>
                <w:szCs w:val="24"/>
              </w:rPr>
              <w:t xml:space="preserve">the </w:t>
            </w:r>
            <w:r w:rsidR="002E538B">
              <w:rPr>
                <w:noProof/>
                <w:sz w:val="24"/>
                <w:szCs w:val="24"/>
              </w:rPr>
              <w:t>best option for”</w:t>
            </w:r>
            <w:r w:rsidR="04A76220" w:rsidRPr="00D71008">
              <w:rPr>
                <w:noProof/>
                <w:sz w:val="24"/>
                <w:szCs w:val="24"/>
              </w:rPr>
              <w:t xml:space="preserve">. </w:t>
            </w:r>
            <w:r w:rsidR="000766F9" w:rsidRPr="00D71008">
              <w:rPr>
                <w:noProof/>
                <w:sz w:val="24"/>
                <w:szCs w:val="24"/>
              </w:rPr>
              <w:t>In addition, t</w:t>
            </w:r>
            <w:r w:rsidR="04A76220" w:rsidRPr="00D71008">
              <w:rPr>
                <w:noProof/>
                <w:sz w:val="24"/>
                <w:szCs w:val="24"/>
              </w:rPr>
              <w:t>ransport operators</w:t>
            </w:r>
            <w:r w:rsidR="005A6AF8" w:rsidRPr="00D71008">
              <w:rPr>
                <w:noProof/>
                <w:sz w:val="24"/>
                <w:szCs w:val="24"/>
              </w:rPr>
              <w:t xml:space="preserve"> </w:t>
            </w:r>
            <w:r w:rsidR="04A76220" w:rsidRPr="00D71008">
              <w:rPr>
                <w:noProof/>
                <w:sz w:val="24"/>
                <w:szCs w:val="24"/>
              </w:rPr>
              <w:t>shall ensure the data they submit to MDMS providers are accurate</w:t>
            </w:r>
            <w:r w:rsidR="003C39B8" w:rsidRPr="00D71008">
              <w:rPr>
                <w:noProof/>
                <w:sz w:val="24"/>
                <w:szCs w:val="24"/>
              </w:rPr>
              <w:t>, up to date</w:t>
            </w:r>
            <w:r w:rsidR="04A76220" w:rsidRPr="00D71008">
              <w:rPr>
                <w:noProof/>
                <w:sz w:val="24"/>
                <w:szCs w:val="24"/>
              </w:rPr>
              <w:t xml:space="preserve"> and allow the </w:t>
            </w:r>
            <w:r w:rsidR="00F41A6D" w:rsidRPr="00D71008">
              <w:rPr>
                <w:noProof/>
                <w:sz w:val="24"/>
                <w:szCs w:val="24"/>
              </w:rPr>
              <w:t>MDMS platform</w:t>
            </w:r>
            <w:r w:rsidR="04A76220" w:rsidRPr="00D71008">
              <w:rPr>
                <w:noProof/>
                <w:sz w:val="24"/>
                <w:szCs w:val="24"/>
              </w:rPr>
              <w:t xml:space="preserve"> to respect the neutral display rules.</w:t>
            </w:r>
          </w:p>
          <w:p w14:paraId="2EFA4CB4" w14:textId="77777777" w:rsidR="00BF1DDE" w:rsidRDefault="00BF1DDE" w:rsidP="18D2D960">
            <w:pPr>
              <w:pStyle w:val="TableParagraph"/>
              <w:ind w:right="79"/>
              <w:jc w:val="both"/>
              <w:rPr>
                <w:noProof/>
                <w:sz w:val="24"/>
                <w:szCs w:val="24"/>
              </w:rPr>
            </w:pPr>
          </w:p>
          <w:p w14:paraId="0E80FA1F" w14:textId="34BB16C6" w:rsidR="001E15FD" w:rsidRDefault="00A757B3" w:rsidP="18D2D960">
            <w:pPr>
              <w:pStyle w:val="TableParagraph"/>
              <w:ind w:right="79"/>
              <w:jc w:val="both"/>
              <w:rPr>
                <w:noProof/>
                <w:sz w:val="24"/>
                <w:szCs w:val="24"/>
              </w:rPr>
            </w:pPr>
            <w:r>
              <w:rPr>
                <w:noProof/>
                <w:sz w:val="24"/>
                <w:szCs w:val="24"/>
              </w:rPr>
              <w:t>It should be noted that this</w:t>
            </w:r>
            <w:r w:rsidR="00A7277B" w:rsidRPr="00A757B3">
              <w:rPr>
                <w:noProof/>
                <w:sz w:val="24"/>
                <w:szCs w:val="24"/>
              </w:rPr>
              <w:t xml:space="preserve"> PM </w:t>
            </w:r>
            <w:r w:rsidR="007936F4" w:rsidRPr="00A757B3">
              <w:rPr>
                <w:noProof/>
                <w:sz w:val="24"/>
                <w:szCs w:val="24"/>
              </w:rPr>
              <w:t>retains, updates and extends the</w:t>
            </w:r>
            <w:r w:rsidR="00BF1DDE" w:rsidRPr="00A757B3">
              <w:rPr>
                <w:noProof/>
                <w:sz w:val="24"/>
                <w:szCs w:val="24"/>
              </w:rPr>
              <w:t xml:space="preserve"> </w:t>
            </w:r>
            <w:r w:rsidR="00BF1DDE">
              <w:rPr>
                <w:noProof/>
                <w:sz w:val="24"/>
                <w:szCs w:val="24"/>
              </w:rPr>
              <w:t xml:space="preserve">neutral display </w:t>
            </w:r>
            <w:r w:rsidR="00BF1DDE" w:rsidRPr="00A757B3">
              <w:rPr>
                <w:noProof/>
                <w:sz w:val="24"/>
                <w:szCs w:val="24"/>
              </w:rPr>
              <w:t>obligation</w:t>
            </w:r>
            <w:r w:rsidR="00BC0F19">
              <w:rPr>
                <w:noProof/>
                <w:sz w:val="24"/>
                <w:szCs w:val="24"/>
              </w:rPr>
              <w:t>s</w:t>
            </w:r>
            <w:r w:rsidR="005C785C">
              <w:rPr>
                <w:noProof/>
                <w:sz w:val="24"/>
                <w:szCs w:val="24"/>
              </w:rPr>
              <w:t>,</w:t>
            </w:r>
            <w:r w:rsidR="00BC0F19">
              <w:rPr>
                <w:noProof/>
                <w:sz w:val="24"/>
                <w:szCs w:val="24"/>
              </w:rPr>
              <w:t xml:space="preserve"> and </w:t>
            </w:r>
            <w:r w:rsidR="00F67E8E">
              <w:rPr>
                <w:noProof/>
                <w:sz w:val="24"/>
                <w:szCs w:val="24"/>
              </w:rPr>
              <w:t xml:space="preserve">the </w:t>
            </w:r>
            <w:r w:rsidR="00BF1DDE" w:rsidRPr="00A757B3">
              <w:rPr>
                <w:noProof/>
                <w:sz w:val="24"/>
                <w:szCs w:val="24"/>
              </w:rPr>
              <w:t>obligation</w:t>
            </w:r>
            <w:r w:rsidR="00BF1DDE">
              <w:rPr>
                <w:noProof/>
                <w:sz w:val="24"/>
                <w:szCs w:val="24"/>
              </w:rPr>
              <w:t xml:space="preserve"> </w:t>
            </w:r>
            <w:r w:rsidR="00F67E8E">
              <w:rPr>
                <w:noProof/>
                <w:sz w:val="24"/>
                <w:szCs w:val="24"/>
              </w:rPr>
              <w:t>to submit accurate data,</w:t>
            </w:r>
            <w:r w:rsidR="00BC0F19">
              <w:rPr>
                <w:noProof/>
                <w:sz w:val="24"/>
                <w:szCs w:val="24"/>
              </w:rPr>
              <w:t xml:space="preserve"> respectively</w:t>
            </w:r>
            <w:r w:rsidR="00BF1DDE" w:rsidRPr="00A757B3">
              <w:rPr>
                <w:noProof/>
                <w:sz w:val="24"/>
                <w:szCs w:val="24"/>
              </w:rPr>
              <w:t xml:space="preserve"> </w:t>
            </w:r>
            <w:r w:rsidR="00BF1DDE">
              <w:rPr>
                <w:noProof/>
                <w:sz w:val="24"/>
                <w:szCs w:val="24"/>
              </w:rPr>
              <w:t xml:space="preserve">set out in </w:t>
            </w:r>
            <w:r w:rsidR="00F06527">
              <w:rPr>
                <w:noProof/>
                <w:sz w:val="24"/>
                <w:szCs w:val="24"/>
              </w:rPr>
              <w:t xml:space="preserve">Article 5 </w:t>
            </w:r>
            <w:r w:rsidR="00010EEC">
              <w:rPr>
                <w:noProof/>
                <w:sz w:val="24"/>
                <w:szCs w:val="24"/>
              </w:rPr>
              <w:t xml:space="preserve">and 9 </w:t>
            </w:r>
            <w:r w:rsidR="00F06527">
              <w:rPr>
                <w:noProof/>
                <w:sz w:val="24"/>
                <w:szCs w:val="24"/>
              </w:rPr>
              <w:t>of the</w:t>
            </w:r>
            <w:r w:rsidR="00BF1DDE">
              <w:rPr>
                <w:noProof/>
                <w:sz w:val="24"/>
                <w:szCs w:val="24"/>
              </w:rPr>
              <w:t xml:space="preserve"> CRS Code of Conduct </w:t>
            </w:r>
            <w:r w:rsidR="003A3C23">
              <w:rPr>
                <w:noProof/>
                <w:sz w:val="24"/>
                <w:szCs w:val="24"/>
              </w:rPr>
              <w:t>(which is rep</w:t>
            </w:r>
            <w:r w:rsidR="00FA48DF">
              <w:rPr>
                <w:noProof/>
                <w:sz w:val="24"/>
                <w:szCs w:val="24"/>
              </w:rPr>
              <w:t>ealed)</w:t>
            </w:r>
            <w:r w:rsidR="001800D7" w:rsidRPr="00A757B3">
              <w:rPr>
                <w:noProof/>
                <w:sz w:val="24"/>
                <w:szCs w:val="24"/>
              </w:rPr>
              <w:t xml:space="preserve">. </w:t>
            </w:r>
            <w:r w:rsidR="00A84DD7">
              <w:rPr>
                <w:noProof/>
                <w:sz w:val="24"/>
                <w:szCs w:val="24"/>
              </w:rPr>
              <w:t>In the CRS Code of Conduct this measure</w:t>
            </w:r>
            <w:r w:rsidR="007E38EC">
              <w:rPr>
                <w:noProof/>
                <w:sz w:val="24"/>
                <w:szCs w:val="24"/>
              </w:rPr>
              <w:t xml:space="preserve"> </w:t>
            </w:r>
            <w:r w:rsidR="00C57D4F">
              <w:rPr>
                <w:noProof/>
                <w:sz w:val="24"/>
                <w:szCs w:val="24"/>
              </w:rPr>
              <w:t>is</w:t>
            </w:r>
            <w:r w:rsidR="001800D7">
              <w:rPr>
                <w:noProof/>
                <w:sz w:val="24"/>
                <w:szCs w:val="24"/>
              </w:rPr>
              <w:t xml:space="preserve"> </w:t>
            </w:r>
            <w:r w:rsidR="00A84DD7">
              <w:rPr>
                <w:noProof/>
                <w:sz w:val="24"/>
                <w:szCs w:val="24"/>
              </w:rPr>
              <w:t>limited</w:t>
            </w:r>
            <w:r w:rsidR="001A53B7">
              <w:rPr>
                <w:noProof/>
                <w:sz w:val="24"/>
                <w:szCs w:val="24"/>
              </w:rPr>
              <w:t xml:space="preserve"> </w:t>
            </w:r>
            <w:r w:rsidR="00445CF8">
              <w:rPr>
                <w:noProof/>
                <w:sz w:val="24"/>
                <w:szCs w:val="24"/>
              </w:rPr>
              <w:t>to</w:t>
            </w:r>
            <w:r w:rsidR="001A53B7">
              <w:rPr>
                <w:noProof/>
                <w:sz w:val="24"/>
                <w:szCs w:val="24"/>
              </w:rPr>
              <w:t xml:space="preserve"> </w:t>
            </w:r>
            <w:r w:rsidR="00A84DD7">
              <w:rPr>
                <w:noProof/>
                <w:sz w:val="24"/>
                <w:szCs w:val="24"/>
              </w:rPr>
              <w:t>CRS</w:t>
            </w:r>
            <w:r w:rsidR="000B57CD">
              <w:rPr>
                <w:noProof/>
                <w:sz w:val="24"/>
                <w:szCs w:val="24"/>
              </w:rPr>
              <w:t>, with PM1</w:t>
            </w:r>
            <w:r w:rsidR="00AB47D8">
              <w:rPr>
                <w:noProof/>
                <w:sz w:val="24"/>
                <w:szCs w:val="24"/>
              </w:rPr>
              <w:t xml:space="preserve"> it</w:t>
            </w:r>
            <w:r w:rsidR="000956DC">
              <w:rPr>
                <w:noProof/>
                <w:sz w:val="24"/>
                <w:szCs w:val="24"/>
              </w:rPr>
              <w:t xml:space="preserve"> will be extended</w:t>
            </w:r>
            <w:r w:rsidR="002E7A44">
              <w:rPr>
                <w:noProof/>
                <w:sz w:val="24"/>
                <w:szCs w:val="24"/>
              </w:rPr>
              <w:t xml:space="preserve"> to all B2B and B2C MDMS, except for SMEs. </w:t>
            </w:r>
            <w:r w:rsidR="001E15FD">
              <w:rPr>
                <w:noProof/>
                <w:sz w:val="24"/>
                <w:szCs w:val="24"/>
              </w:rPr>
              <w:t>The neutral display rules</w:t>
            </w:r>
            <w:r w:rsidR="00A87331">
              <w:rPr>
                <w:noProof/>
                <w:sz w:val="24"/>
                <w:szCs w:val="24"/>
              </w:rPr>
              <w:t xml:space="preserve"> have </w:t>
            </w:r>
            <w:r w:rsidR="00844355">
              <w:rPr>
                <w:noProof/>
                <w:sz w:val="24"/>
                <w:szCs w:val="24"/>
              </w:rPr>
              <w:t xml:space="preserve">fostered competition between </w:t>
            </w:r>
            <w:r w:rsidR="002D30E6">
              <w:rPr>
                <w:noProof/>
                <w:sz w:val="24"/>
                <w:szCs w:val="24"/>
              </w:rPr>
              <w:t xml:space="preserve">different sized </w:t>
            </w:r>
            <w:r w:rsidR="00844355">
              <w:rPr>
                <w:noProof/>
                <w:sz w:val="24"/>
                <w:szCs w:val="24"/>
              </w:rPr>
              <w:t xml:space="preserve">air carriers </w:t>
            </w:r>
            <w:r w:rsidR="004B1966">
              <w:rPr>
                <w:noProof/>
                <w:sz w:val="24"/>
                <w:szCs w:val="24"/>
              </w:rPr>
              <w:t>and continue</w:t>
            </w:r>
            <w:r w:rsidR="002D30E6">
              <w:rPr>
                <w:noProof/>
                <w:sz w:val="24"/>
                <w:szCs w:val="24"/>
              </w:rPr>
              <w:t xml:space="preserve"> to play an essential role in preventing discrimination </w:t>
            </w:r>
            <w:r w:rsidR="00FF5EB8">
              <w:rPr>
                <w:noProof/>
                <w:sz w:val="24"/>
                <w:szCs w:val="24"/>
              </w:rPr>
              <w:t xml:space="preserve">and present offers in unbiased </w:t>
            </w:r>
            <w:r w:rsidR="001447E3">
              <w:rPr>
                <w:noProof/>
                <w:sz w:val="24"/>
                <w:szCs w:val="24"/>
              </w:rPr>
              <w:t>manner also protecting consumer interest</w:t>
            </w:r>
            <w:r w:rsidR="00A2666E">
              <w:rPr>
                <w:noProof/>
                <w:sz w:val="24"/>
                <w:szCs w:val="24"/>
              </w:rPr>
              <w:t xml:space="preserve">. </w:t>
            </w:r>
            <w:r w:rsidR="00F57E67">
              <w:rPr>
                <w:noProof/>
                <w:sz w:val="24"/>
                <w:szCs w:val="24"/>
              </w:rPr>
              <w:t>As explained in Chapter 2, i</w:t>
            </w:r>
            <w:r w:rsidR="00F57E67" w:rsidRPr="00A757B3">
              <w:rPr>
                <w:noProof/>
                <w:sz w:val="24"/>
                <w:szCs w:val="24"/>
              </w:rPr>
              <w:t>t</w:t>
            </w:r>
            <w:r w:rsidR="00A2666E">
              <w:rPr>
                <w:noProof/>
                <w:sz w:val="24"/>
                <w:szCs w:val="24"/>
              </w:rPr>
              <w:t xml:space="preserve"> is essential to extend these rules to </w:t>
            </w:r>
            <w:r w:rsidR="00A12D1C">
              <w:rPr>
                <w:noProof/>
                <w:sz w:val="24"/>
                <w:szCs w:val="24"/>
              </w:rPr>
              <w:t>all MDMS – in order to ensure a level playing field</w:t>
            </w:r>
            <w:r w:rsidR="00A33C13">
              <w:rPr>
                <w:noProof/>
                <w:sz w:val="24"/>
                <w:szCs w:val="24"/>
              </w:rPr>
              <w:t xml:space="preserve"> in the distribution market – and to</w:t>
            </w:r>
            <w:r w:rsidR="00F57E67" w:rsidRPr="00A757B3">
              <w:rPr>
                <w:noProof/>
                <w:sz w:val="24"/>
                <w:szCs w:val="24"/>
              </w:rPr>
              <w:t xml:space="preserve"> </w:t>
            </w:r>
            <w:r w:rsidR="00A2666E">
              <w:rPr>
                <w:noProof/>
                <w:sz w:val="24"/>
                <w:szCs w:val="24"/>
              </w:rPr>
              <w:t xml:space="preserve">the other modes of transport, in particular for rail </w:t>
            </w:r>
            <w:r w:rsidR="00926B63">
              <w:rPr>
                <w:noProof/>
                <w:sz w:val="24"/>
                <w:szCs w:val="24"/>
              </w:rPr>
              <w:t xml:space="preserve">where </w:t>
            </w:r>
            <w:r w:rsidR="00511AB2">
              <w:rPr>
                <w:noProof/>
                <w:sz w:val="24"/>
                <w:szCs w:val="24"/>
              </w:rPr>
              <w:t>commercial incentives to p</w:t>
            </w:r>
            <w:r w:rsidR="00F300F1">
              <w:rPr>
                <w:noProof/>
                <w:sz w:val="24"/>
                <w:szCs w:val="24"/>
              </w:rPr>
              <w:t>romote certain</w:t>
            </w:r>
            <w:r w:rsidR="007D00B5">
              <w:rPr>
                <w:noProof/>
                <w:sz w:val="24"/>
                <w:szCs w:val="24"/>
              </w:rPr>
              <w:t xml:space="preserve"> RUs is particularly visible.</w:t>
            </w:r>
            <w:r w:rsidR="00A2666E">
              <w:rPr>
                <w:noProof/>
                <w:sz w:val="24"/>
                <w:szCs w:val="24"/>
              </w:rPr>
              <w:t xml:space="preserve"> </w:t>
            </w:r>
            <w:r w:rsidR="00C52890">
              <w:rPr>
                <w:noProof/>
                <w:sz w:val="24"/>
                <w:szCs w:val="24"/>
              </w:rPr>
              <w:t>The extension of these rules will help</w:t>
            </w:r>
            <w:r w:rsidR="00F57E67" w:rsidRPr="00A757B3">
              <w:rPr>
                <w:noProof/>
                <w:sz w:val="24"/>
                <w:szCs w:val="24"/>
              </w:rPr>
              <w:t xml:space="preserve"> </w:t>
            </w:r>
            <w:r w:rsidR="00A2666E">
              <w:rPr>
                <w:noProof/>
                <w:sz w:val="24"/>
                <w:szCs w:val="24"/>
              </w:rPr>
              <w:t>boost competition between new entrants and rail incumbents and ensure that consumer choice is based on unbiased display of travel options.</w:t>
            </w:r>
            <w:r w:rsidR="000B18A6">
              <w:rPr>
                <w:noProof/>
                <w:sz w:val="24"/>
                <w:szCs w:val="24"/>
              </w:rPr>
              <w:t xml:space="preserve"> </w:t>
            </w:r>
            <w:r w:rsidR="005C77EB">
              <w:rPr>
                <w:noProof/>
                <w:sz w:val="24"/>
                <w:szCs w:val="24"/>
              </w:rPr>
              <w:t>Compared to Article 5 of the CRS Code of Conduct, new</w:t>
            </w:r>
            <w:r w:rsidR="00445CF8" w:rsidRPr="00A757B3">
              <w:rPr>
                <w:noProof/>
                <w:sz w:val="24"/>
                <w:szCs w:val="24"/>
              </w:rPr>
              <w:t xml:space="preserve"> </w:t>
            </w:r>
            <w:r w:rsidR="001800D7" w:rsidRPr="00A757B3">
              <w:rPr>
                <w:noProof/>
                <w:sz w:val="24"/>
                <w:szCs w:val="24"/>
              </w:rPr>
              <w:t>r</w:t>
            </w:r>
            <w:r w:rsidR="002F41CA" w:rsidRPr="00A757B3">
              <w:rPr>
                <w:noProof/>
                <w:sz w:val="24"/>
                <w:szCs w:val="24"/>
              </w:rPr>
              <w:t xml:space="preserve">anking criteria </w:t>
            </w:r>
            <w:r w:rsidR="00445CF8" w:rsidRPr="00A757B3">
              <w:rPr>
                <w:noProof/>
                <w:sz w:val="24"/>
                <w:szCs w:val="24"/>
              </w:rPr>
              <w:t>will be added as minimum manda</w:t>
            </w:r>
            <w:r w:rsidR="00B01FD1" w:rsidRPr="00A757B3">
              <w:rPr>
                <w:noProof/>
                <w:sz w:val="24"/>
                <w:szCs w:val="24"/>
              </w:rPr>
              <w:t xml:space="preserve">tory criteria </w:t>
            </w:r>
            <w:r w:rsidR="002F41CA" w:rsidRPr="00A757B3">
              <w:rPr>
                <w:noProof/>
                <w:sz w:val="24"/>
                <w:szCs w:val="24"/>
              </w:rPr>
              <w:t xml:space="preserve">and display rules </w:t>
            </w:r>
            <w:r w:rsidR="00107EC3" w:rsidRPr="00A757B3">
              <w:rPr>
                <w:noProof/>
                <w:sz w:val="24"/>
                <w:szCs w:val="24"/>
              </w:rPr>
              <w:t xml:space="preserve">will allow for more </w:t>
            </w:r>
            <w:r w:rsidR="001A584B" w:rsidRPr="00A757B3">
              <w:rPr>
                <w:noProof/>
                <w:sz w:val="24"/>
                <w:szCs w:val="24"/>
              </w:rPr>
              <w:t xml:space="preserve">flexibility compared to the current principal display. </w:t>
            </w:r>
            <w:r w:rsidR="002E5ABD">
              <w:rPr>
                <w:noProof/>
                <w:sz w:val="24"/>
                <w:szCs w:val="24"/>
              </w:rPr>
              <w:t>Since neutral display obligations are extended to all transport modes, so is the obligation to share accurate data.</w:t>
            </w:r>
          </w:p>
          <w:p w14:paraId="3B6832A9" w14:textId="31D87055" w:rsidR="001D62E2" w:rsidRPr="00D71008" w:rsidRDefault="001D62E2" w:rsidP="00CE2C4C">
            <w:pPr>
              <w:pStyle w:val="TableParagraph"/>
              <w:ind w:right="79"/>
              <w:jc w:val="both"/>
              <w:rPr>
                <w:noProof/>
                <w:sz w:val="24"/>
                <w:szCs w:val="24"/>
              </w:rPr>
            </w:pPr>
          </w:p>
        </w:tc>
      </w:tr>
      <w:tr w:rsidR="001D62E2" w:rsidRPr="00D71008" w14:paraId="788249EB" w14:textId="77777777" w:rsidTr="001E50E2">
        <w:trPr>
          <w:trHeight w:val="2034"/>
          <w:jc w:val="center"/>
        </w:trPr>
        <w:tc>
          <w:tcPr>
            <w:tcW w:w="1444" w:type="pct"/>
            <w:tcBorders>
              <w:right w:val="single" w:sz="4" w:space="0" w:color="00549F"/>
            </w:tcBorders>
          </w:tcPr>
          <w:p w14:paraId="61C92FD3" w14:textId="57F7026C" w:rsidR="0010719F" w:rsidRDefault="04A76220" w:rsidP="000E5660">
            <w:pPr>
              <w:pStyle w:val="TableParagraph"/>
              <w:ind w:left="83" w:right="76"/>
              <w:jc w:val="both"/>
              <w:rPr>
                <w:noProof/>
                <w:sz w:val="24"/>
                <w:szCs w:val="24"/>
              </w:rPr>
            </w:pPr>
            <w:r w:rsidRPr="00D71008">
              <w:rPr>
                <w:b/>
                <w:noProof/>
                <w:sz w:val="24"/>
                <w:szCs w:val="24"/>
              </w:rPr>
              <w:t xml:space="preserve">PM 2 – </w:t>
            </w:r>
            <w:r w:rsidRPr="00375D17">
              <w:rPr>
                <w:noProof/>
                <w:sz w:val="24"/>
                <w:szCs w:val="24"/>
              </w:rPr>
              <w:t>Obligation</w:t>
            </w:r>
            <w:r w:rsidRPr="00375D17">
              <w:rPr>
                <w:noProof/>
                <w:spacing w:val="6"/>
                <w:sz w:val="24"/>
                <w:szCs w:val="24"/>
              </w:rPr>
              <w:t xml:space="preserve"> </w:t>
            </w:r>
            <w:r w:rsidRPr="00375D17">
              <w:rPr>
                <w:noProof/>
                <w:sz w:val="24"/>
                <w:szCs w:val="24"/>
              </w:rPr>
              <w:t>for</w:t>
            </w:r>
            <w:r w:rsidRPr="00375D17">
              <w:rPr>
                <w:noProof/>
                <w:spacing w:val="13"/>
                <w:sz w:val="24"/>
                <w:szCs w:val="24"/>
              </w:rPr>
              <w:t xml:space="preserve"> </w:t>
            </w:r>
            <w:r w:rsidRPr="00375D17">
              <w:rPr>
                <w:b/>
                <w:noProof/>
                <w:sz w:val="24"/>
                <w:szCs w:val="24"/>
              </w:rPr>
              <w:t>all</w:t>
            </w:r>
            <w:r w:rsidRPr="00375D17">
              <w:rPr>
                <w:b/>
                <w:noProof/>
                <w:spacing w:val="10"/>
                <w:sz w:val="24"/>
                <w:szCs w:val="24"/>
              </w:rPr>
              <w:t xml:space="preserve"> </w:t>
            </w:r>
            <w:r w:rsidRPr="00375D17">
              <w:rPr>
                <w:b/>
                <w:noProof/>
                <w:sz w:val="24"/>
                <w:szCs w:val="24"/>
              </w:rPr>
              <w:t xml:space="preserve">MDMS </w:t>
            </w:r>
            <w:r w:rsidR="6D7E4672" w:rsidRPr="00375D17">
              <w:rPr>
                <w:b/>
                <w:noProof/>
                <w:sz w:val="24"/>
                <w:szCs w:val="24"/>
              </w:rPr>
              <w:t>platforms</w:t>
            </w:r>
            <w:r w:rsidR="6D7E4672" w:rsidRPr="00375D17">
              <w:rPr>
                <w:noProof/>
                <w:spacing w:val="8"/>
                <w:sz w:val="24"/>
                <w:szCs w:val="24"/>
              </w:rPr>
              <w:t xml:space="preserve"> </w:t>
            </w:r>
            <w:r w:rsidRPr="00375D17">
              <w:rPr>
                <w:noProof/>
                <w:sz w:val="24"/>
                <w:szCs w:val="24"/>
              </w:rPr>
              <w:t>to</w:t>
            </w:r>
            <w:r w:rsidRPr="00375D17">
              <w:rPr>
                <w:noProof/>
                <w:spacing w:val="12"/>
                <w:sz w:val="24"/>
                <w:szCs w:val="24"/>
              </w:rPr>
              <w:t xml:space="preserve"> </w:t>
            </w:r>
            <w:r w:rsidR="00EB311D" w:rsidRPr="00375D17">
              <w:rPr>
                <w:noProof/>
                <w:sz w:val="24"/>
                <w:szCs w:val="24"/>
              </w:rPr>
              <w:t>load</w:t>
            </w:r>
            <w:r w:rsidR="00EB311D" w:rsidRPr="00375D17">
              <w:rPr>
                <w:noProof/>
                <w:spacing w:val="-1"/>
                <w:sz w:val="24"/>
                <w:szCs w:val="24"/>
              </w:rPr>
              <w:t xml:space="preserve"> </w:t>
            </w:r>
            <w:r w:rsidR="00EB311D" w:rsidRPr="00375D17">
              <w:rPr>
                <w:noProof/>
                <w:sz w:val="24"/>
                <w:szCs w:val="24"/>
              </w:rPr>
              <w:t xml:space="preserve">and process data </w:t>
            </w:r>
            <w:r w:rsidR="00410E80" w:rsidRPr="00375D17">
              <w:rPr>
                <w:noProof/>
                <w:sz w:val="24"/>
                <w:szCs w:val="24"/>
              </w:rPr>
              <w:t>of operators</w:t>
            </w:r>
            <w:r w:rsidR="00EB311D" w:rsidRPr="00375D17">
              <w:rPr>
                <w:noProof/>
                <w:sz w:val="24"/>
                <w:szCs w:val="24"/>
              </w:rPr>
              <w:t xml:space="preserve"> with equal care and timeliness</w:t>
            </w:r>
          </w:p>
          <w:p w14:paraId="00A67E21" w14:textId="0B3CA5D1" w:rsidR="001D62E2" w:rsidRPr="00D71008" w:rsidRDefault="001D62E2" w:rsidP="000E5660">
            <w:pPr>
              <w:pStyle w:val="TableParagraph"/>
              <w:ind w:left="83" w:right="76"/>
              <w:jc w:val="both"/>
              <w:rPr>
                <w:noProof/>
                <w:sz w:val="24"/>
                <w:szCs w:val="24"/>
              </w:rPr>
            </w:pPr>
          </w:p>
        </w:tc>
        <w:tc>
          <w:tcPr>
            <w:tcW w:w="407" w:type="pct"/>
            <w:vMerge/>
            <w:vAlign w:val="center"/>
          </w:tcPr>
          <w:p w14:paraId="0E41779B" w14:textId="77777777" w:rsidR="001D62E2" w:rsidRPr="00D71008" w:rsidRDefault="001D62E2" w:rsidP="00A82603">
            <w:pPr>
              <w:jc w:val="center"/>
              <w:rPr>
                <w:noProof/>
              </w:rPr>
            </w:pPr>
          </w:p>
        </w:tc>
        <w:tc>
          <w:tcPr>
            <w:tcW w:w="537" w:type="pct"/>
            <w:vMerge/>
            <w:vAlign w:val="center"/>
          </w:tcPr>
          <w:p w14:paraId="009630F5" w14:textId="77777777" w:rsidR="001D62E2" w:rsidRPr="00D71008" w:rsidRDefault="001D62E2">
            <w:pPr>
              <w:rPr>
                <w:noProof/>
              </w:rPr>
            </w:pPr>
          </w:p>
        </w:tc>
        <w:tc>
          <w:tcPr>
            <w:tcW w:w="2612" w:type="pct"/>
            <w:tcBorders>
              <w:left w:val="single" w:sz="4" w:space="0" w:color="00549F"/>
            </w:tcBorders>
          </w:tcPr>
          <w:p w14:paraId="2DDB0A44" w14:textId="77777777" w:rsidR="002D244B" w:rsidRDefault="001D62E2" w:rsidP="000E5660">
            <w:pPr>
              <w:pStyle w:val="TableParagraph"/>
              <w:ind w:right="74"/>
              <w:jc w:val="both"/>
              <w:rPr>
                <w:noProof/>
                <w:sz w:val="24"/>
                <w:szCs w:val="24"/>
              </w:rPr>
            </w:pPr>
            <w:r w:rsidRPr="00D71008">
              <w:rPr>
                <w:noProof/>
                <w:sz w:val="24"/>
                <w:szCs w:val="24"/>
              </w:rPr>
              <w:t xml:space="preserve">MDMS </w:t>
            </w:r>
            <w:r w:rsidR="00D709B7" w:rsidRPr="00D71008">
              <w:rPr>
                <w:noProof/>
                <w:sz w:val="24"/>
                <w:szCs w:val="24"/>
              </w:rPr>
              <w:t>platform</w:t>
            </w:r>
            <w:r w:rsidR="00FD49AD" w:rsidRPr="00D71008">
              <w:rPr>
                <w:noProof/>
                <w:sz w:val="24"/>
                <w:szCs w:val="24"/>
              </w:rPr>
              <w:t xml:space="preserve"> </w:t>
            </w:r>
            <w:r w:rsidR="002A772F">
              <w:rPr>
                <w:noProof/>
                <w:sz w:val="24"/>
                <w:szCs w:val="24"/>
              </w:rPr>
              <w:t>(B2B and B2C)</w:t>
            </w:r>
            <w:r w:rsidR="00FD49AD" w:rsidRPr="00D71008">
              <w:rPr>
                <w:noProof/>
                <w:sz w:val="24"/>
                <w:szCs w:val="24"/>
              </w:rPr>
              <w:t xml:space="preserve"> </w:t>
            </w:r>
            <w:r w:rsidR="00D709B7" w:rsidRPr="00D71008">
              <w:rPr>
                <w:noProof/>
                <w:sz w:val="24"/>
                <w:szCs w:val="24"/>
              </w:rPr>
              <w:t>s</w:t>
            </w:r>
            <w:r w:rsidRPr="00D71008">
              <w:rPr>
                <w:noProof/>
                <w:sz w:val="24"/>
                <w:szCs w:val="24"/>
              </w:rPr>
              <w:t>hall load, and process data provided by transport operators, with equal care and</w:t>
            </w:r>
            <w:r w:rsidRPr="00D71008" w:rsidDel="00983BC5">
              <w:rPr>
                <w:noProof/>
                <w:sz w:val="24"/>
                <w:szCs w:val="24"/>
              </w:rPr>
              <w:t xml:space="preserve"> </w:t>
            </w:r>
            <w:r w:rsidR="00983BC5" w:rsidRPr="00D71008">
              <w:rPr>
                <w:noProof/>
                <w:sz w:val="24"/>
                <w:szCs w:val="24"/>
              </w:rPr>
              <w:t>timeliness</w:t>
            </w:r>
            <w:r w:rsidRPr="00D71008">
              <w:rPr>
                <w:noProof/>
                <w:sz w:val="24"/>
                <w:szCs w:val="24"/>
              </w:rPr>
              <w:t>.</w:t>
            </w:r>
          </w:p>
          <w:p w14:paraId="5A1415FE" w14:textId="77777777" w:rsidR="002D244B" w:rsidRDefault="002D244B" w:rsidP="000E5660">
            <w:pPr>
              <w:pStyle w:val="TableParagraph"/>
              <w:ind w:right="74"/>
              <w:jc w:val="both"/>
              <w:rPr>
                <w:noProof/>
                <w:sz w:val="24"/>
                <w:szCs w:val="24"/>
              </w:rPr>
            </w:pPr>
          </w:p>
          <w:p w14:paraId="1CE0D619" w14:textId="209596A3" w:rsidR="00AA7D01" w:rsidRPr="00D71008" w:rsidRDefault="002D244B" w:rsidP="00352F7B">
            <w:pPr>
              <w:pStyle w:val="TableParagraph"/>
              <w:ind w:right="74"/>
              <w:jc w:val="both"/>
              <w:rPr>
                <w:noProof/>
                <w:sz w:val="24"/>
                <w:szCs w:val="24"/>
              </w:rPr>
            </w:pPr>
            <w:r>
              <w:rPr>
                <w:noProof/>
                <w:sz w:val="24"/>
                <w:szCs w:val="24"/>
              </w:rPr>
              <w:t>It should be noted that this</w:t>
            </w:r>
            <w:r w:rsidRPr="00A757B3">
              <w:rPr>
                <w:noProof/>
                <w:sz w:val="24"/>
                <w:szCs w:val="24"/>
              </w:rPr>
              <w:t xml:space="preserve"> PM retains</w:t>
            </w:r>
            <w:r w:rsidR="00C90A15">
              <w:rPr>
                <w:noProof/>
                <w:sz w:val="24"/>
                <w:szCs w:val="24"/>
              </w:rPr>
              <w:t xml:space="preserve"> and extends</w:t>
            </w:r>
            <w:r w:rsidR="00A26508">
              <w:rPr>
                <w:noProof/>
                <w:sz w:val="24"/>
                <w:szCs w:val="24"/>
              </w:rPr>
              <w:t xml:space="preserve"> to all MDMS platforms</w:t>
            </w:r>
            <w:r w:rsidRPr="00A757B3">
              <w:rPr>
                <w:noProof/>
                <w:sz w:val="24"/>
                <w:szCs w:val="24"/>
              </w:rPr>
              <w:t xml:space="preserve">, </w:t>
            </w:r>
            <w:r w:rsidR="00C90A15">
              <w:rPr>
                <w:noProof/>
                <w:sz w:val="24"/>
                <w:szCs w:val="24"/>
              </w:rPr>
              <w:t>t</w:t>
            </w:r>
            <w:r w:rsidR="00740DFB">
              <w:rPr>
                <w:noProof/>
                <w:sz w:val="24"/>
                <w:szCs w:val="24"/>
              </w:rPr>
              <w:t xml:space="preserve">he obligation </w:t>
            </w:r>
            <w:r w:rsidR="00C17FBC">
              <w:rPr>
                <w:noProof/>
                <w:sz w:val="24"/>
                <w:szCs w:val="24"/>
              </w:rPr>
              <w:t>provided for</w:t>
            </w:r>
            <w:r w:rsidR="00740DFB">
              <w:rPr>
                <w:noProof/>
                <w:sz w:val="24"/>
                <w:szCs w:val="24"/>
              </w:rPr>
              <w:t xml:space="preserve"> </w:t>
            </w:r>
            <w:r w:rsidR="003B0189">
              <w:rPr>
                <w:noProof/>
                <w:sz w:val="24"/>
                <w:szCs w:val="24"/>
              </w:rPr>
              <w:t>by</w:t>
            </w:r>
            <w:r w:rsidR="00740DFB">
              <w:rPr>
                <w:noProof/>
                <w:sz w:val="24"/>
                <w:szCs w:val="24"/>
              </w:rPr>
              <w:t xml:space="preserve"> Article 3(2) of the CRS Code of Conduct </w:t>
            </w:r>
            <w:r w:rsidR="00FA48DF">
              <w:rPr>
                <w:noProof/>
                <w:sz w:val="24"/>
                <w:szCs w:val="24"/>
              </w:rPr>
              <w:t xml:space="preserve">(which is repealed) </w:t>
            </w:r>
            <w:r w:rsidR="00304702">
              <w:rPr>
                <w:noProof/>
                <w:sz w:val="24"/>
                <w:szCs w:val="24"/>
              </w:rPr>
              <w:t>to</w:t>
            </w:r>
            <w:r w:rsidR="00AF3CA8">
              <w:rPr>
                <w:noProof/>
                <w:sz w:val="24"/>
                <w:szCs w:val="24"/>
              </w:rPr>
              <w:t xml:space="preserve"> ensure fair treatment of all transport operators participating to a platform.</w:t>
            </w:r>
          </w:p>
        </w:tc>
      </w:tr>
      <w:tr w:rsidR="001D62E2" w:rsidRPr="00D71008" w14:paraId="6D84FBA6" w14:textId="77777777" w:rsidTr="001E50E2">
        <w:trPr>
          <w:trHeight w:val="804"/>
          <w:jc w:val="center"/>
        </w:trPr>
        <w:tc>
          <w:tcPr>
            <w:tcW w:w="1444" w:type="pct"/>
            <w:tcBorders>
              <w:right w:val="single" w:sz="4" w:space="0" w:color="00549F"/>
            </w:tcBorders>
          </w:tcPr>
          <w:p w14:paraId="036DE796" w14:textId="73ACB5B2" w:rsidR="001D62E2" w:rsidRPr="00D71008" w:rsidRDefault="04A76220" w:rsidP="000E5660">
            <w:pPr>
              <w:pStyle w:val="TableParagraph"/>
              <w:ind w:left="83" w:right="76"/>
              <w:jc w:val="both"/>
              <w:rPr>
                <w:b/>
                <w:noProof/>
                <w:sz w:val="24"/>
                <w:szCs w:val="24"/>
              </w:rPr>
            </w:pPr>
            <w:r w:rsidRPr="00D71008">
              <w:rPr>
                <w:b/>
                <w:noProof/>
                <w:sz w:val="24"/>
                <w:szCs w:val="24"/>
              </w:rPr>
              <w:t xml:space="preserve">PM 3 – </w:t>
            </w:r>
            <w:r w:rsidRPr="00D71008">
              <w:rPr>
                <w:noProof/>
                <w:sz w:val="24"/>
                <w:szCs w:val="24"/>
              </w:rPr>
              <w:t>Obligation</w:t>
            </w:r>
            <w:r w:rsidRPr="00D71008">
              <w:rPr>
                <w:noProof/>
                <w:spacing w:val="6"/>
                <w:sz w:val="24"/>
                <w:szCs w:val="24"/>
              </w:rPr>
              <w:t xml:space="preserve"> </w:t>
            </w:r>
            <w:r w:rsidRPr="00D71008">
              <w:rPr>
                <w:noProof/>
                <w:sz w:val="24"/>
                <w:szCs w:val="24"/>
              </w:rPr>
              <w:t>for</w:t>
            </w:r>
            <w:r w:rsidRPr="00D71008">
              <w:rPr>
                <w:noProof/>
                <w:spacing w:val="13"/>
                <w:sz w:val="24"/>
                <w:szCs w:val="24"/>
              </w:rPr>
              <w:t xml:space="preserve"> </w:t>
            </w:r>
            <w:r w:rsidRPr="00721660">
              <w:rPr>
                <w:b/>
                <w:noProof/>
                <w:sz w:val="24"/>
                <w:szCs w:val="24"/>
              </w:rPr>
              <w:t>all</w:t>
            </w:r>
            <w:r w:rsidRPr="00721660">
              <w:rPr>
                <w:b/>
                <w:noProof/>
                <w:spacing w:val="10"/>
                <w:sz w:val="24"/>
                <w:szCs w:val="24"/>
              </w:rPr>
              <w:t xml:space="preserve"> </w:t>
            </w:r>
            <w:r w:rsidRPr="00721660">
              <w:rPr>
                <w:b/>
                <w:noProof/>
                <w:sz w:val="24"/>
                <w:szCs w:val="24"/>
              </w:rPr>
              <w:t xml:space="preserve">MDMS </w:t>
            </w:r>
            <w:r w:rsidR="32A84D56" w:rsidRPr="00721660">
              <w:rPr>
                <w:b/>
                <w:noProof/>
                <w:sz w:val="24"/>
                <w:szCs w:val="24"/>
              </w:rPr>
              <w:t>platforms</w:t>
            </w:r>
            <w:r w:rsidR="32A84D56" w:rsidRPr="00D71008">
              <w:rPr>
                <w:noProof/>
                <w:spacing w:val="8"/>
                <w:sz w:val="24"/>
                <w:szCs w:val="24"/>
              </w:rPr>
              <w:t xml:space="preserve"> </w:t>
            </w:r>
            <w:r w:rsidRPr="00D71008">
              <w:rPr>
                <w:noProof/>
                <w:sz w:val="24"/>
                <w:szCs w:val="24"/>
              </w:rPr>
              <w:t>to</w:t>
            </w:r>
            <w:r>
              <w:rPr>
                <w:noProof/>
                <w:sz w:val="24"/>
                <w:szCs w:val="24"/>
              </w:rPr>
              <w:t xml:space="preserve"> </w:t>
            </w:r>
            <w:r w:rsidR="005F2DB7">
              <w:rPr>
                <w:noProof/>
                <w:sz w:val="24"/>
                <w:szCs w:val="24"/>
              </w:rPr>
              <w:t>share</w:t>
            </w:r>
            <w:r w:rsidRPr="00D71008">
              <w:rPr>
                <w:noProof/>
                <w:spacing w:val="80"/>
                <w:sz w:val="24"/>
                <w:szCs w:val="24"/>
              </w:rPr>
              <w:t xml:space="preserve"> </w:t>
            </w:r>
            <w:r w:rsidRPr="00D71008">
              <w:rPr>
                <w:noProof/>
                <w:sz w:val="24"/>
                <w:szCs w:val="24"/>
              </w:rPr>
              <w:t>marketin</w:t>
            </w:r>
            <w:r w:rsidR="00FF63B1">
              <w:rPr>
                <w:noProof/>
                <w:sz w:val="24"/>
                <w:szCs w:val="24"/>
              </w:rPr>
              <w:t>g</w:t>
            </w:r>
            <w:r w:rsidR="005606E6">
              <w:rPr>
                <w:noProof/>
                <w:sz w:val="24"/>
                <w:szCs w:val="24"/>
              </w:rPr>
              <w:t xml:space="preserve"> </w:t>
            </w:r>
            <w:r w:rsidRPr="00D71008">
              <w:rPr>
                <w:noProof/>
                <w:sz w:val="24"/>
                <w:szCs w:val="24"/>
              </w:rPr>
              <w:t>and</w:t>
            </w:r>
            <w:r w:rsidRPr="00D71008">
              <w:rPr>
                <w:noProof/>
                <w:spacing w:val="80"/>
                <w:sz w:val="24"/>
                <w:szCs w:val="24"/>
              </w:rPr>
              <w:t xml:space="preserve"> </w:t>
            </w:r>
            <w:r w:rsidRPr="00D71008">
              <w:rPr>
                <w:noProof/>
                <w:sz w:val="24"/>
                <w:szCs w:val="24"/>
              </w:rPr>
              <w:t>booking</w:t>
            </w:r>
            <w:r w:rsidRPr="00D71008">
              <w:rPr>
                <w:noProof/>
                <w:spacing w:val="80"/>
                <w:sz w:val="24"/>
                <w:szCs w:val="24"/>
              </w:rPr>
              <w:t xml:space="preserve"> </w:t>
            </w:r>
            <w:r w:rsidRPr="00D71008">
              <w:rPr>
                <w:noProof/>
                <w:sz w:val="24"/>
                <w:szCs w:val="24"/>
              </w:rPr>
              <w:t>data</w:t>
            </w:r>
            <w:r>
              <w:rPr>
                <w:noProof/>
                <w:sz w:val="24"/>
                <w:szCs w:val="24"/>
              </w:rPr>
              <w:t xml:space="preserve"> </w:t>
            </w:r>
            <w:r w:rsidR="00721660">
              <w:rPr>
                <w:noProof/>
                <w:sz w:val="24"/>
                <w:szCs w:val="24"/>
              </w:rPr>
              <w:t>in a fair way, when requested by transport operators</w:t>
            </w:r>
            <w:r w:rsidR="00057F23">
              <w:rPr>
                <w:noProof/>
                <w:sz w:val="24"/>
                <w:szCs w:val="24"/>
              </w:rPr>
              <w:t xml:space="preserve"> and authorities</w:t>
            </w:r>
          </w:p>
        </w:tc>
        <w:tc>
          <w:tcPr>
            <w:tcW w:w="407" w:type="pct"/>
            <w:vMerge/>
            <w:vAlign w:val="center"/>
          </w:tcPr>
          <w:p w14:paraId="2A5A0E54" w14:textId="77777777" w:rsidR="001D62E2" w:rsidRPr="00D71008" w:rsidRDefault="001D62E2" w:rsidP="00A82603">
            <w:pPr>
              <w:jc w:val="center"/>
              <w:rPr>
                <w:noProof/>
              </w:rPr>
            </w:pPr>
          </w:p>
        </w:tc>
        <w:tc>
          <w:tcPr>
            <w:tcW w:w="537" w:type="pct"/>
            <w:vAlign w:val="center"/>
          </w:tcPr>
          <w:p w14:paraId="5BE48621" w14:textId="7E333457" w:rsidR="001D62E2" w:rsidRPr="00D71008" w:rsidRDefault="00D91D9C" w:rsidP="00D91D9C">
            <w:pPr>
              <w:jc w:val="center"/>
              <w:rPr>
                <w:noProof/>
              </w:rPr>
            </w:pPr>
            <w:r>
              <w:rPr>
                <w:noProof/>
              </w:rPr>
              <w:t>PD3</w:t>
            </w:r>
          </w:p>
        </w:tc>
        <w:tc>
          <w:tcPr>
            <w:tcW w:w="2612" w:type="pct"/>
            <w:tcBorders>
              <w:left w:val="single" w:sz="4" w:space="0" w:color="00549F"/>
            </w:tcBorders>
          </w:tcPr>
          <w:p w14:paraId="00D29E6D" w14:textId="7AF304D1" w:rsidR="00B35E03" w:rsidRDefault="001D62E2" w:rsidP="00352F7B">
            <w:pPr>
              <w:pStyle w:val="TableParagraph"/>
              <w:ind w:right="74"/>
              <w:jc w:val="both"/>
              <w:rPr>
                <w:noProof/>
                <w:sz w:val="24"/>
                <w:szCs w:val="24"/>
              </w:rPr>
            </w:pPr>
            <w:r w:rsidRPr="00D71008">
              <w:rPr>
                <w:noProof/>
                <w:sz w:val="24"/>
                <w:szCs w:val="24"/>
              </w:rPr>
              <w:t>Marketing, booking and sales data</w:t>
            </w:r>
            <w:r w:rsidR="00BD4D14">
              <w:rPr>
                <w:noProof/>
                <w:sz w:val="24"/>
                <w:szCs w:val="24"/>
              </w:rPr>
              <w:t xml:space="preserve"> </w:t>
            </w:r>
            <w:r w:rsidR="00DC0331">
              <w:rPr>
                <w:noProof/>
                <w:sz w:val="24"/>
                <w:szCs w:val="24"/>
              </w:rPr>
              <w:t>shall</w:t>
            </w:r>
            <w:r w:rsidRPr="00D71008">
              <w:rPr>
                <w:noProof/>
                <w:sz w:val="24"/>
                <w:szCs w:val="24"/>
              </w:rPr>
              <w:t xml:space="preserve"> be made available by MDMS </w:t>
            </w:r>
            <w:r w:rsidR="00D709B7" w:rsidRPr="00D71008">
              <w:rPr>
                <w:noProof/>
                <w:sz w:val="24"/>
                <w:szCs w:val="24"/>
              </w:rPr>
              <w:t>platforms</w:t>
            </w:r>
            <w:r w:rsidR="00DC0331">
              <w:rPr>
                <w:noProof/>
                <w:sz w:val="24"/>
                <w:szCs w:val="24"/>
              </w:rPr>
              <w:t>, when there is such request by transport operators</w:t>
            </w:r>
            <w:r w:rsidR="00E936A7">
              <w:rPr>
                <w:noProof/>
                <w:sz w:val="24"/>
                <w:szCs w:val="24"/>
              </w:rPr>
              <w:t xml:space="preserve"> or public authority</w:t>
            </w:r>
            <w:r w:rsidR="00DC0331">
              <w:rPr>
                <w:noProof/>
                <w:sz w:val="24"/>
                <w:szCs w:val="24"/>
              </w:rPr>
              <w:t>,</w:t>
            </w:r>
            <w:r w:rsidRPr="00D71008">
              <w:rPr>
                <w:noProof/>
                <w:sz w:val="24"/>
                <w:szCs w:val="24"/>
              </w:rPr>
              <w:t xml:space="preserve"> provided that such data are offered with equal timeliness and on a non-discriminatory basis to all transport operators</w:t>
            </w:r>
            <w:r w:rsidR="00BB1EC3" w:rsidRPr="00D71008">
              <w:rPr>
                <w:noProof/>
                <w:sz w:val="24"/>
                <w:szCs w:val="24"/>
              </w:rPr>
              <w:t xml:space="preserve"> displayed on that platform</w:t>
            </w:r>
            <w:r w:rsidRPr="00D71008">
              <w:rPr>
                <w:noProof/>
                <w:sz w:val="24"/>
                <w:szCs w:val="24"/>
              </w:rPr>
              <w:t xml:space="preserve">. </w:t>
            </w:r>
          </w:p>
          <w:p w14:paraId="2B484093" w14:textId="77777777" w:rsidR="00B35E03" w:rsidRDefault="00B35E03" w:rsidP="00352F7B">
            <w:pPr>
              <w:pStyle w:val="TableParagraph"/>
              <w:ind w:right="74"/>
              <w:jc w:val="both"/>
              <w:rPr>
                <w:noProof/>
                <w:sz w:val="24"/>
                <w:szCs w:val="24"/>
              </w:rPr>
            </w:pPr>
          </w:p>
          <w:p w14:paraId="68FA831E" w14:textId="468E767B" w:rsidR="00BA428E" w:rsidRPr="00D71008" w:rsidRDefault="00B35E03" w:rsidP="00352F7B">
            <w:pPr>
              <w:pStyle w:val="TableParagraph"/>
              <w:ind w:right="74"/>
              <w:jc w:val="both"/>
              <w:rPr>
                <w:noProof/>
                <w:sz w:val="24"/>
                <w:szCs w:val="24"/>
              </w:rPr>
            </w:pPr>
            <w:r w:rsidRPr="00B35E03">
              <w:rPr>
                <w:noProof/>
                <w:sz w:val="24"/>
                <w:szCs w:val="24"/>
              </w:rPr>
              <w:t>It should be noted that this PM retains and extends to all MDMS platforms, the obligation provided for by</w:t>
            </w:r>
            <w:r w:rsidR="00806257">
              <w:rPr>
                <w:noProof/>
                <w:sz w:val="24"/>
                <w:szCs w:val="24"/>
              </w:rPr>
              <w:t xml:space="preserve"> Article 7 of the CRS Code of Conduct (with is repealed) to </w:t>
            </w:r>
            <w:r w:rsidR="00E347A1" w:rsidRPr="00E347A1">
              <w:rPr>
                <w:noProof/>
                <w:sz w:val="24"/>
                <w:szCs w:val="24"/>
              </w:rPr>
              <w:t xml:space="preserve">prevent CRSs and other </w:t>
            </w:r>
            <w:r w:rsidR="00191887">
              <w:rPr>
                <w:noProof/>
                <w:sz w:val="24"/>
                <w:szCs w:val="24"/>
              </w:rPr>
              <w:t xml:space="preserve">MDMS </w:t>
            </w:r>
            <w:r w:rsidR="00E347A1" w:rsidRPr="00E347A1">
              <w:rPr>
                <w:noProof/>
                <w:sz w:val="24"/>
                <w:szCs w:val="24"/>
              </w:rPr>
              <w:t xml:space="preserve">from using </w:t>
            </w:r>
            <w:r w:rsidR="00512B88">
              <w:rPr>
                <w:noProof/>
                <w:sz w:val="24"/>
                <w:szCs w:val="24"/>
              </w:rPr>
              <w:t>marketing and booking</w:t>
            </w:r>
            <w:r w:rsidR="00E347A1" w:rsidRPr="00E347A1">
              <w:rPr>
                <w:noProof/>
                <w:sz w:val="24"/>
                <w:szCs w:val="24"/>
              </w:rPr>
              <w:t xml:space="preserve"> data to increase their bargaining power against carriers and travel agents.</w:t>
            </w:r>
          </w:p>
        </w:tc>
      </w:tr>
      <w:tr w:rsidR="00E41D7E" w:rsidRPr="00D71008" w14:paraId="73B1D444" w14:textId="77777777" w:rsidTr="001E50E2">
        <w:trPr>
          <w:trHeight w:val="699"/>
          <w:jc w:val="center"/>
        </w:trPr>
        <w:tc>
          <w:tcPr>
            <w:tcW w:w="1444" w:type="pct"/>
            <w:tcBorders>
              <w:right w:val="single" w:sz="4" w:space="0" w:color="00549F"/>
            </w:tcBorders>
          </w:tcPr>
          <w:p w14:paraId="5DCF21DE" w14:textId="0F278451" w:rsidR="00E41D7E" w:rsidRPr="00D71008" w:rsidRDefault="289DE2E4" w:rsidP="18D2D960">
            <w:pPr>
              <w:pStyle w:val="TableParagraph"/>
              <w:spacing w:before="53"/>
              <w:ind w:left="83" w:right="76"/>
              <w:jc w:val="both"/>
              <w:rPr>
                <w:b/>
                <w:noProof/>
                <w:sz w:val="24"/>
                <w:szCs w:val="24"/>
              </w:rPr>
            </w:pPr>
            <w:r w:rsidRPr="00D71008">
              <w:rPr>
                <w:b/>
                <w:noProof/>
                <w:sz w:val="24"/>
                <w:szCs w:val="24"/>
              </w:rPr>
              <w:t xml:space="preserve">PM 4 – </w:t>
            </w:r>
            <w:r w:rsidR="00C33C35" w:rsidRPr="004E336D">
              <w:rPr>
                <w:noProof/>
                <w:sz w:val="24"/>
                <w:szCs w:val="24"/>
              </w:rPr>
              <w:t xml:space="preserve">Obligation for </w:t>
            </w:r>
            <w:r w:rsidR="00C33C35" w:rsidRPr="004E336D">
              <w:rPr>
                <w:b/>
                <w:noProof/>
                <w:sz w:val="24"/>
                <w:szCs w:val="24"/>
              </w:rPr>
              <w:t>all B2B MDMS platforms to treat subscribers</w:t>
            </w:r>
            <w:r w:rsidR="007A25EC" w:rsidRPr="004E336D">
              <w:rPr>
                <w:b/>
                <w:noProof/>
                <w:sz w:val="24"/>
                <w:szCs w:val="24"/>
              </w:rPr>
              <w:t xml:space="preserve"> fairly and</w:t>
            </w:r>
            <w:r w:rsidR="00C33C35" w:rsidRPr="004E336D">
              <w:rPr>
                <w:noProof/>
                <w:sz w:val="24"/>
                <w:szCs w:val="24"/>
              </w:rPr>
              <w:t xml:space="preserve"> clearly identify in their display</w:t>
            </w:r>
            <w:r w:rsidR="00C33C35" w:rsidRPr="004E336D">
              <w:rPr>
                <w:b/>
                <w:noProof/>
                <w:sz w:val="24"/>
                <w:szCs w:val="24"/>
              </w:rPr>
              <w:t xml:space="preserve"> banned airlines</w:t>
            </w:r>
            <w:r w:rsidR="007A25EC" w:rsidRPr="004E336D">
              <w:rPr>
                <w:noProof/>
                <w:sz w:val="24"/>
                <w:szCs w:val="24"/>
              </w:rPr>
              <w:t>. Obligation for</w:t>
            </w:r>
            <w:r w:rsidR="00C33C35" w:rsidRPr="004E336D">
              <w:rPr>
                <w:noProof/>
                <w:sz w:val="24"/>
                <w:szCs w:val="24"/>
              </w:rPr>
              <w:t xml:space="preserve"> third countries</w:t>
            </w:r>
            <w:r w:rsidR="007A25EC" w:rsidRPr="004E336D">
              <w:rPr>
                <w:noProof/>
                <w:sz w:val="24"/>
                <w:szCs w:val="24"/>
              </w:rPr>
              <w:t xml:space="preserve"> B2B MDMS to </w:t>
            </w:r>
            <w:r w:rsidR="008E4E53" w:rsidRPr="004E336D">
              <w:rPr>
                <w:b/>
                <w:noProof/>
                <w:sz w:val="24"/>
                <w:szCs w:val="24"/>
              </w:rPr>
              <w:t>ensure equal treatment of EU air carriers</w:t>
            </w:r>
          </w:p>
        </w:tc>
        <w:tc>
          <w:tcPr>
            <w:tcW w:w="407" w:type="pct"/>
            <w:vMerge/>
            <w:vAlign w:val="center"/>
          </w:tcPr>
          <w:p w14:paraId="6E532FF1" w14:textId="77777777" w:rsidR="00E41D7E" w:rsidRPr="00D71008" w:rsidRDefault="00E41D7E" w:rsidP="00A82603">
            <w:pPr>
              <w:jc w:val="center"/>
              <w:rPr>
                <w:noProof/>
              </w:rPr>
            </w:pPr>
          </w:p>
        </w:tc>
        <w:tc>
          <w:tcPr>
            <w:tcW w:w="537" w:type="pct"/>
            <w:vMerge w:val="restart"/>
            <w:vAlign w:val="center"/>
          </w:tcPr>
          <w:p w14:paraId="086318C8" w14:textId="27E8BB5B" w:rsidR="00E41D7E" w:rsidRPr="00D71008" w:rsidRDefault="00513194" w:rsidP="00235925">
            <w:pPr>
              <w:jc w:val="center"/>
              <w:rPr>
                <w:noProof/>
              </w:rPr>
            </w:pPr>
            <w:r w:rsidRPr="00D71008">
              <w:rPr>
                <w:noProof/>
                <w:spacing w:val="-5"/>
              </w:rPr>
              <w:t>PD</w:t>
            </w:r>
            <w:r w:rsidR="005B227D">
              <w:rPr>
                <w:noProof/>
                <w:spacing w:val="-5"/>
              </w:rPr>
              <w:t>1</w:t>
            </w:r>
          </w:p>
        </w:tc>
        <w:tc>
          <w:tcPr>
            <w:tcW w:w="2612" w:type="pct"/>
            <w:tcBorders>
              <w:left w:val="single" w:sz="4" w:space="0" w:color="00549F"/>
            </w:tcBorders>
            <w:vAlign w:val="center"/>
          </w:tcPr>
          <w:p w14:paraId="249CF3F6" w14:textId="695FFBA5" w:rsidR="00A910F3" w:rsidRDefault="0067371B" w:rsidP="002017FF">
            <w:pPr>
              <w:pStyle w:val="TableParagraph"/>
              <w:ind w:right="74"/>
              <w:jc w:val="both"/>
              <w:rPr>
                <w:noProof/>
                <w:sz w:val="24"/>
                <w:szCs w:val="24"/>
              </w:rPr>
            </w:pPr>
            <w:r>
              <w:rPr>
                <w:noProof/>
                <w:sz w:val="24"/>
                <w:szCs w:val="24"/>
              </w:rPr>
              <w:t>All B2B MDMS platforms shall</w:t>
            </w:r>
            <w:r w:rsidR="2268CC54" w:rsidRPr="00D71008">
              <w:rPr>
                <w:noProof/>
                <w:sz w:val="24"/>
                <w:szCs w:val="24"/>
              </w:rPr>
              <w:t xml:space="preserve"> </w:t>
            </w:r>
            <w:r>
              <w:rPr>
                <w:noProof/>
                <w:sz w:val="24"/>
                <w:szCs w:val="24"/>
              </w:rPr>
              <w:t>fairly</w:t>
            </w:r>
            <w:r w:rsidR="00A12077">
              <w:rPr>
                <w:noProof/>
                <w:sz w:val="24"/>
                <w:szCs w:val="24"/>
              </w:rPr>
              <w:t xml:space="preserve"> treat</w:t>
            </w:r>
            <w:r w:rsidR="2268CC54" w:rsidRPr="00D71008">
              <w:rPr>
                <w:noProof/>
                <w:sz w:val="24"/>
                <w:szCs w:val="24"/>
              </w:rPr>
              <w:t xml:space="preserve"> subscribers</w:t>
            </w:r>
            <w:r w:rsidR="00030253">
              <w:rPr>
                <w:noProof/>
                <w:sz w:val="24"/>
                <w:szCs w:val="24"/>
              </w:rPr>
              <w:t xml:space="preserve"> to do not impose unfair and unjustified conditions to travel agents in their commercial relationships with them</w:t>
            </w:r>
            <w:r w:rsidR="00A910F3">
              <w:rPr>
                <w:noProof/>
                <w:sz w:val="24"/>
                <w:szCs w:val="24"/>
              </w:rPr>
              <w:t>.</w:t>
            </w:r>
          </w:p>
          <w:p w14:paraId="4B9BD7C7" w14:textId="1546BF9B" w:rsidR="00A910F3" w:rsidRDefault="00A910F3" w:rsidP="002017FF">
            <w:pPr>
              <w:pStyle w:val="TableParagraph"/>
              <w:ind w:right="74"/>
              <w:jc w:val="both"/>
              <w:rPr>
                <w:noProof/>
                <w:sz w:val="24"/>
                <w:szCs w:val="24"/>
              </w:rPr>
            </w:pPr>
            <w:r>
              <w:rPr>
                <w:noProof/>
                <w:sz w:val="24"/>
                <w:szCs w:val="24"/>
              </w:rPr>
              <w:t>All B2B MDMS platforms shall</w:t>
            </w:r>
            <w:r w:rsidRPr="00D71008">
              <w:rPr>
                <w:noProof/>
                <w:sz w:val="24"/>
                <w:szCs w:val="24"/>
              </w:rPr>
              <w:t xml:space="preserve"> </w:t>
            </w:r>
            <w:r w:rsidR="00B77065" w:rsidRPr="004E336D">
              <w:rPr>
                <w:noProof/>
                <w:sz w:val="24"/>
                <w:szCs w:val="24"/>
              </w:rPr>
              <w:t>comply with the obligations under Article 9 of Regulation 2111/2005 to bring air carriers subject to an operating ban to the attention of passengers.</w:t>
            </w:r>
          </w:p>
          <w:p w14:paraId="5CBA573E" w14:textId="45C95678" w:rsidR="00E41D7E" w:rsidRPr="00D71008" w:rsidRDefault="00EE6E8E" w:rsidP="002017FF">
            <w:pPr>
              <w:pStyle w:val="TableParagraph"/>
              <w:ind w:right="74"/>
              <w:jc w:val="both"/>
              <w:rPr>
                <w:noProof/>
                <w:sz w:val="24"/>
                <w:szCs w:val="24"/>
              </w:rPr>
            </w:pPr>
            <w:r w:rsidRPr="004E336D">
              <w:rPr>
                <w:noProof/>
                <w:sz w:val="24"/>
                <w:szCs w:val="24"/>
              </w:rPr>
              <w:t>T</w:t>
            </w:r>
            <w:r w:rsidR="00B77065" w:rsidRPr="004E336D">
              <w:rPr>
                <w:noProof/>
                <w:sz w:val="24"/>
                <w:szCs w:val="24"/>
              </w:rPr>
              <w:t xml:space="preserve">hird countries B2B MDMS </w:t>
            </w:r>
            <w:r w:rsidR="00023A15" w:rsidRPr="004E336D">
              <w:rPr>
                <w:noProof/>
                <w:sz w:val="24"/>
                <w:szCs w:val="24"/>
              </w:rPr>
              <w:t>shall</w:t>
            </w:r>
            <w:r w:rsidR="00B77065" w:rsidRPr="004E336D">
              <w:rPr>
                <w:noProof/>
                <w:sz w:val="24"/>
                <w:szCs w:val="24"/>
              </w:rPr>
              <w:t xml:space="preserve"> equa</w:t>
            </w:r>
            <w:r w:rsidR="00023A15" w:rsidRPr="004E336D">
              <w:rPr>
                <w:noProof/>
                <w:sz w:val="24"/>
                <w:szCs w:val="24"/>
              </w:rPr>
              <w:t>l</w:t>
            </w:r>
            <w:r w:rsidR="00B77065" w:rsidRPr="004E336D">
              <w:rPr>
                <w:noProof/>
                <w:sz w:val="24"/>
                <w:szCs w:val="24"/>
              </w:rPr>
              <w:t>l</w:t>
            </w:r>
            <w:r w:rsidR="00023A15" w:rsidRPr="004E336D">
              <w:rPr>
                <w:noProof/>
                <w:sz w:val="24"/>
                <w:szCs w:val="24"/>
              </w:rPr>
              <w:t>y</w:t>
            </w:r>
            <w:r w:rsidR="00B77065" w:rsidRPr="004E336D">
              <w:rPr>
                <w:noProof/>
                <w:sz w:val="24"/>
                <w:szCs w:val="24"/>
              </w:rPr>
              <w:t xml:space="preserve"> treat EU air carriers</w:t>
            </w:r>
            <w:r w:rsidR="00A40898" w:rsidRPr="00A40898">
              <w:rPr>
                <w:noProof/>
                <w:sz w:val="24"/>
                <w:szCs w:val="24"/>
              </w:rPr>
              <w:t xml:space="preserve"> </w:t>
            </w:r>
            <w:r w:rsidR="00023A15">
              <w:rPr>
                <w:noProof/>
                <w:sz w:val="24"/>
                <w:szCs w:val="24"/>
              </w:rPr>
              <w:t>and</w:t>
            </w:r>
            <w:r w:rsidR="00A40898" w:rsidRPr="00A40898">
              <w:rPr>
                <w:noProof/>
                <w:sz w:val="24"/>
                <w:szCs w:val="24"/>
              </w:rPr>
              <w:t xml:space="preserve"> third country air carriers.</w:t>
            </w:r>
            <w:r w:rsidR="00810081">
              <w:rPr>
                <w:noProof/>
                <w:sz w:val="24"/>
                <w:szCs w:val="24"/>
              </w:rPr>
              <w:t xml:space="preserve"> E</w:t>
            </w:r>
            <w:r w:rsidR="755D66D8" w:rsidRPr="00D71008">
              <w:rPr>
                <w:noProof/>
                <w:sz w:val="24"/>
                <w:szCs w:val="24"/>
              </w:rPr>
              <w:t>quivalent treatment of EU airlines</w:t>
            </w:r>
            <w:r w:rsidR="66DBFC97" w:rsidRPr="00D71008">
              <w:rPr>
                <w:noProof/>
                <w:sz w:val="24"/>
                <w:szCs w:val="24"/>
              </w:rPr>
              <w:t xml:space="preserve"> by B2B MDMS</w:t>
            </w:r>
            <w:r w:rsidR="56198034" w:rsidRPr="00D71008">
              <w:rPr>
                <w:noProof/>
                <w:sz w:val="24"/>
                <w:szCs w:val="24"/>
              </w:rPr>
              <w:t xml:space="preserve"> </w:t>
            </w:r>
            <w:r w:rsidR="0011535B" w:rsidRPr="00D71008">
              <w:rPr>
                <w:noProof/>
                <w:sz w:val="24"/>
                <w:szCs w:val="24"/>
              </w:rPr>
              <w:t xml:space="preserve">platforms </w:t>
            </w:r>
            <w:r w:rsidR="56198034" w:rsidRPr="00D71008">
              <w:rPr>
                <w:noProof/>
                <w:sz w:val="24"/>
                <w:szCs w:val="24"/>
              </w:rPr>
              <w:t>operating in third countries</w:t>
            </w:r>
            <w:r w:rsidR="009B4495">
              <w:rPr>
                <w:noProof/>
                <w:sz w:val="24"/>
                <w:szCs w:val="24"/>
              </w:rPr>
              <w:t>,</w:t>
            </w:r>
            <w:r w:rsidR="66DBFC97" w:rsidRPr="00D71008">
              <w:rPr>
                <w:noProof/>
                <w:sz w:val="24"/>
                <w:szCs w:val="24"/>
              </w:rPr>
              <w:t xml:space="preserve"> is essential to ensure a level playing field between </w:t>
            </w:r>
            <w:r w:rsidR="004D7A4B">
              <w:rPr>
                <w:noProof/>
                <w:sz w:val="24"/>
                <w:szCs w:val="24"/>
              </w:rPr>
              <w:t>B2B</w:t>
            </w:r>
            <w:r w:rsidR="66DBFC97" w:rsidRPr="00D71008">
              <w:rPr>
                <w:noProof/>
                <w:sz w:val="24"/>
                <w:szCs w:val="24"/>
              </w:rPr>
              <w:t xml:space="preserve"> platforms competing</w:t>
            </w:r>
            <w:r w:rsidR="4706FFBA" w:rsidRPr="00D71008">
              <w:rPr>
                <w:noProof/>
                <w:sz w:val="24"/>
                <w:szCs w:val="24"/>
              </w:rPr>
              <w:t xml:space="preserve"> in the same market.</w:t>
            </w:r>
            <w:r w:rsidR="004135F2" w:rsidRPr="00D71008">
              <w:rPr>
                <w:noProof/>
                <w:sz w:val="24"/>
                <w:szCs w:val="24"/>
              </w:rPr>
              <w:t xml:space="preserve"> </w:t>
            </w:r>
            <w:r w:rsidR="003848E7" w:rsidRPr="00B35E03">
              <w:rPr>
                <w:noProof/>
                <w:sz w:val="24"/>
                <w:szCs w:val="24"/>
              </w:rPr>
              <w:t xml:space="preserve">It should be noted that this PM retains and extends to all </w:t>
            </w:r>
            <w:r w:rsidR="003848E7">
              <w:rPr>
                <w:noProof/>
                <w:sz w:val="24"/>
                <w:szCs w:val="24"/>
              </w:rPr>
              <w:t xml:space="preserve">B2B </w:t>
            </w:r>
            <w:r w:rsidR="003848E7" w:rsidRPr="00B35E03">
              <w:rPr>
                <w:noProof/>
                <w:sz w:val="24"/>
                <w:szCs w:val="24"/>
              </w:rPr>
              <w:t>MDMS platforms</w:t>
            </w:r>
            <w:r w:rsidR="003848E7">
              <w:rPr>
                <w:noProof/>
                <w:sz w:val="24"/>
                <w:szCs w:val="24"/>
              </w:rPr>
              <w:t xml:space="preserve"> </w:t>
            </w:r>
            <w:r w:rsidR="0094254D">
              <w:rPr>
                <w:noProof/>
                <w:sz w:val="24"/>
                <w:szCs w:val="24"/>
              </w:rPr>
              <w:t>t</w:t>
            </w:r>
            <w:r w:rsidR="0098123A">
              <w:rPr>
                <w:noProof/>
                <w:sz w:val="24"/>
                <w:szCs w:val="24"/>
              </w:rPr>
              <w:t>h</w:t>
            </w:r>
            <w:r w:rsidR="00DF5248">
              <w:rPr>
                <w:noProof/>
                <w:sz w:val="24"/>
                <w:szCs w:val="24"/>
              </w:rPr>
              <w:t>e</w:t>
            </w:r>
            <w:r w:rsidR="0098123A">
              <w:rPr>
                <w:noProof/>
                <w:sz w:val="24"/>
                <w:szCs w:val="24"/>
              </w:rPr>
              <w:t xml:space="preserve"> rule </w:t>
            </w:r>
            <w:r w:rsidR="00DF5248">
              <w:rPr>
                <w:noProof/>
                <w:sz w:val="24"/>
                <w:szCs w:val="24"/>
              </w:rPr>
              <w:t xml:space="preserve">on fair treatment of subscribers </w:t>
            </w:r>
            <w:r w:rsidR="0098123A">
              <w:rPr>
                <w:noProof/>
                <w:sz w:val="24"/>
                <w:szCs w:val="24"/>
              </w:rPr>
              <w:t>provided for</w:t>
            </w:r>
            <w:r w:rsidR="009E32B7">
              <w:rPr>
                <w:noProof/>
                <w:sz w:val="24"/>
                <w:szCs w:val="24"/>
              </w:rPr>
              <w:t xml:space="preserve"> by Article 6</w:t>
            </w:r>
            <w:r w:rsidR="00433032">
              <w:rPr>
                <w:noProof/>
                <w:sz w:val="24"/>
                <w:szCs w:val="24"/>
              </w:rPr>
              <w:t>,</w:t>
            </w:r>
            <w:r w:rsidR="0094254D">
              <w:rPr>
                <w:noProof/>
                <w:sz w:val="24"/>
                <w:szCs w:val="24"/>
              </w:rPr>
              <w:t xml:space="preserve"> </w:t>
            </w:r>
            <w:r w:rsidR="009E32B7">
              <w:rPr>
                <w:noProof/>
                <w:sz w:val="24"/>
                <w:szCs w:val="24"/>
              </w:rPr>
              <w:t>Article</w:t>
            </w:r>
            <w:r w:rsidR="00225FB3">
              <w:rPr>
                <w:noProof/>
                <w:sz w:val="24"/>
                <w:szCs w:val="24"/>
              </w:rPr>
              <w:t>s</w:t>
            </w:r>
            <w:r w:rsidR="007E621E">
              <w:rPr>
                <w:noProof/>
                <w:sz w:val="24"/>
                <w:szCs w:val="24"/>
              </w:rPr>
              <w:t xml:space="preserve"> 5</w:t>
            </w:r>
            <w:r w:rsidR="0064728D">
              <w:rPr>
                <w:noProof/>
                <w:sz w:val="24"/>
                <w:szCs w:val="24"/>
              </w:rPr>
              <w:t xml:space="preserve">(3) and (4) </w:t>
            </w:r>
            <w:r w:rsidR="006A64AE">
              <w:rPr>
                <w:noProof/>
                <w:sz w:val="24"/>
                <w:szCs w:val="24"/>
              </w:rPr>
              <w:t xml:space="preserve">and </w:t>
            </w:r>
            <w:r w:rsidR="0064728D">
              <w:rPr>
                <w:noProof/>
                <w:sz w:val="24"/>
                <w:szCs w:val="24"/>
              </w:rPr>
              <w:t xml:space="preserve">Article </w:t>
            </w:r>
            <w:r w:rsidR="00E3002F">
              <w:rPr>
                <w:noProof/>
                <w:sz w:val="24"/>
                <w:szCs w:val="24"/>
              </w:rPr>
              <w:t xml:space="preserve">8 </w:t>
            </w:r>
            <w:r w:rsidR="001472D1">
              <w:rPr>
                <w:noProof/>
                <w:sz w:val="24"/>
                <w:szCs w:val="24"/>
              </w:rPr>
              <w:t>of t</w:t>
            </w:r>
            <w:r w:rsidR="00625254">
              <w:rPr>
                <w:noProof/>
                <w:sz w:val="24"/>
                <w:szCs w:val="24"/>
              </w:rPr>
              <w:t xml:space="preserve">he CRS Code of Conduct </w:t>
            </w:r>
            <w:r w:rsidR="002D021F">
              <w:rPr>
                <w:noProof/>
                <w:sz w:val="24"/>
                <w:szCs w:val="24"/>
              </w:rPr>
              <w:t>(w</w:t>
            </w:r>
            <w:r w:rsidR="00124AFB">
              <w:rPr>
                <w:noProof/>
                <w:sz w:val="24"/>
                <w:szCs w:val="24"/>
              </w:rPr>
              <w:t>h</w:t>
            </w:r>
            <w:r w:rsidR="002D021F">
              <w:rPr>
                <w:noProof/>
                <w:sz w:val="24"/>
                <w:szCs w:val="24"/>
              </w:rPr>
              <w:t>i</w:t>
            </w:r>
            <w:r w:rsidR="002256DE">
              <w:rPr>
                <w:noProof/>
                <w:sz w:val="24"/>
                <w:szCs w:val="24"/>
              </w:rPr>
              <w:t>ch</w:t>
            </w:r>
            <w:r w:rsidR="002D021F">
              <w:rPr>
                <w:noProof/>
                <w:sz w:val="24"/>
                <w:szCs w:val="24"/>
              </w:rPr>
              <w:t xml:space="preserve"> </w:t>
            </w:r>
            <w:r w:rsidR="00625254">
              <w:rPr>
                <w:noProof/>
                <w:sz w:val="24"/>
                <w:szCs w:val="24"/>
              </w:rPr>
              <w:t>is</w:t>
            </w:r>
            <w:r w:rsidR="00080067">
              <w:rPr>
                <w:noProof/>
                <w:sz w:val="24"/>
                <w:szCs w:val="24"/>
              </w:rPr>
              <w:t xml:space="preserve"> </w:t>
            </w:r>
            <w:r w:rsidR="002D021F">
              <w:rPr>
                <w:noProof/>
                <w:sz w:val="24"/>
                <w:szCs w:val="24"/>
              </w:rPr>
              <w:t>repealed)</w:t>
            </w:r>
            <w:r w:rsidR="00BF0FEB">
              <w:rPr>
                <w:noProof/>
                <w:sz w:val="24"/>
                <w:szCs w:val="24"/>
              </w:rPr>
              <w:t>.</w:t>
            </w:r>
            <w:r w:rsidR="002B5477">
              <w:rPr>
                <w:noProof/>
                <w:sz w:val="24"/>
                <w:szCs w:val="24"/>
              </w:rPr>
              <w:t xml:space="preserve"> </w:t>
            </w:r>
          </w:p>
        </w:tc>
      </w:tr>
      <w:tr w:rsidR="00E41D7E" w:rsidRPr="00D71008" w14:paraId="679D00A5" w14:textId="77777777" w:rsidTr="001E50E2">
        <w:trPr>
          <w:trHeight w:val="804"/>
          <w:jc w:val="center"/>
        </w:trPr>
        <w:tc>
          <w:tcPr>
            <w:tcW w:w="1444" w:type="pct"/>
            <w:tcBorders>
              <w:right w:val="single" w:sz="4" w:space="0" w:color="00549F"/>
            </w:tcBorders>
          </w:tcPr>
          <w:p w14:paraId="6F1D4BC5" w14:textId="3765E725" w:rsidR="00E41D7E" w:rsidRPr="00D71008" w:rsidRDefault="00E41D7E" w:rsidP="00E41D7E">
            <w:pPr>
              <w:pStyle w:val="TableParagraph"/>
              <w:spacing w:before="53"/>
              <w:ind w:left="83" w:right="76"/>
              <w:jc w:val="both"/>
              <w:rPr>
                <w:b/>
                <w:noProof/>
                <w:sz w:val="24"/>
                <w:szCs w:val="24"/>
              </w:rPr>
            </w:pPr>
            <w:r w:rsidRPr="00D71008">
              <w:rPr>
                <w:b/>
                <w:noProof/>
                <w:sz w:val="24"/>
                <w:szCs w:val="24"/>
              </w:rPr>
              <w:t xml:space="preserve">PM 5 – </w:t>
            </w:r>
            <w:r w:rsidRPr="00D71008">
              <w:rPr>
                <w:noProof/>
                <w:sz w:val="24"/>
                <w:szCs w:val="24"/>
              </w:rPr>
              <w:t xml:space="preserve">Remove provisions from CRS Code of Conduct on data protection which are no longer necessary </w:t>
            </w:r>
            <w:r w:rsidRPr="00D71008" w:rsidDel="00CA1BEB">
              <w:rPr>
                <w:noProof/>
                <w:sz w:val="24"/>
                <w:szCs w:val="24"/>
              </w:rPr>
              <w:t>due to GDPR</w:t>
            </w:r>
          </w:p>
        </w:tc>
        <w:tc>
          <w:tcPr>
            <w:tcW w:w="407" w:type="pct"/>
            <w:vMerge/>
            <w:vAlign w:val="center"/>
          </w:tcPr>
          <w:p w14:paraId="51F0C54B" w14:textId="16A3E01A" w:rsidR="00E41D7E" w:rsidRPr="00D71008" w:rsidRDefault="00E41D7E" w:rsidP="00A82603">
            <w:pPr>
              <w:jc w:val="center"/>
              <w:rPr>
                <w:noProof/>
              </w:rPr>
            </w:pPr>
          </w:p>
        </w:tc>
        <w:tc>
          <w:tcPr>
            <w:tcW w:w="537" w:type="pct"/>
            <w:vMerge/>
            <w:vAlign w:val="center"/>
          </w:tcPr>
          <w:p w14:paraId="1CCDAA7C" w14:textId="77777777" w:rsidR="00E41D7E" w:rsidRPr="00D71008" w:rsidRDefault="00E41D7E" w:rsidP="00A82603">
            <w:pPr>
              <w:jc w:val="center"/>
              <w:rPr>
                <w:noProof/>
                <w:spacing w:val="-5"/>
              </w:rPr>
            </w:pPr>
          </w:p>
        </w:tc>
        <w:tc>
          <w:tcPr>
            <w:tcW w:w="2612" w:type="pct"/>
            <w:tcBorders>
              <w:left w:val="single" w:sz="4" w:space="0" w:color="00549F"/>
            </w:tcBorders>
          </w:tcPr>
          <w:p w14:paraId="19122187" w14:textId="222C2250" w:rsidR="00E41D7E" w:rsidRPr="00D71008" w:rsidRDefault="007B21B6" w:rsidP="002017FF">
            <w:pPr>
              <w:pStyle w:val="TableParagraph"/>
              <w:ind w:right="74"/>
              <w:jc w:val="both"/>
              <w:rPr>
                <w:noProof/>
                <w:sz w:val="24"/>
                <w:szCs w:val="24"/>
              </w:rPr>
            </w:pPr>
            <w:r w:rsidRPr="00D71008">
              <w:rPr>
                <w:noProof/>
                <w:sz w:val="24"/>
                <w:szCs w:val="24"/>
              </w:rPr>
              <w:t>These</w:t>
            </w:r>
            <w:r w:rsidR="00FE4031" w:rsidRPr="00D71008">
              <w:rPr>
                <w:noProof/>
                <w:sz w:val="24"/>
                <w:szCs w:val="24"/>
              </w:rPr>
              <w:t xml:space="preserve"> provisions will be repealed as they are not relevant and fit for purpose anymore, given market, regulatory and technological changes.</w:t>
            </w:r>
            <w:r w:rsidR="00CA1BEB" w:rsidRPr="00D71008">
              <w:rPr>
                <w:noProof/>
                <w:sz w:val="24"/>
                <w:szCs w:val="24"/>
              </w:rPr>
              <w:t xml:space="preserve"> </w:t>
            </w:r>
            <w:r w:rsidR="00156A44" w:rsidRPr="00D71008">
              <w:rPr>
                <w:noProof/>
                <w:sz w:val="24"/>
                <w:szCs w:val="24"/>
              </w:rPr>
              <w:t xml:space="preserve">Notably, </w:t>
            </w:r>
            <w:r w:rsidR="0082639B" w:rsidRPr="00D71008">
              <w:rPr>
                <w:noProof/>
                <w:sz w:val="24"/>
                <w:szCs w:val="24"/>
              </w:rPr>
              <w:t>the entry into force of GD</w:t>
            </w:r>
            <w:r w:rsidR="00C26526" w:rsidRPr="00D71008">
              <w:rPr>
                <w:noProof/>
                <w:sz w:val="24"/>
                <w:szCs w:val="24"/>
              </w:rPr>
              <w:t>PR</w:t>
            </w:r>
            <w:r w:rsidR="0082639B" w:rsidRPr="00D71008">
              <w:rPr>
                <w:noProof/>
                <w:sz w:val="24"/>
                <w:szCs w:val="24"/>
              </w:rPr>
              <w:t xml:space="preserve"> </w:t>
            </w:r>
            <w:r w:rsidR="0068176C" w:rsidRPr="00D71008">
              <w:rPr>
                <w:noProof/>
                <w:sz w:val="24"/>
                <w:szCs w:val="24"/>
              </w:rPr>
              <w:t xml:space="preserve">already provides </w:t>
            </w:r>
            <w:r w:rsidR="00DD4DF6" w:rsidRPr="00D71008">
              <w:rPr>
                <w:noProof/>
                <w:sz w:val="24"/>
                <w:szCs w:val="24"/>
              </w:rPr>
              <w:t xml:space="preserve">the necessary framework to ensure </w:t>
            </w:r>
            <w:r w:rsidR="00840F7F" w:rsidRPr="00D71008">
              <w:rPr>
                <w:noProof/>
                <w:sz w:val="24"/>
                <w:szCs w:val="24"/>
              </w:rPr>
              <w:t xml:space="preserve">data protection </w:t>
            </w:r>
            <w:r w:rsidR="004B42A5" w:rsidRPr="00D71008">
              <w:rPr>
                <w:noProof/>
                <w:sz w:val="24"/>
                <w:szCs w:val="24"/>
              </w:rPr>
              <w:t xml:space="preserve">on ticketing platforms. </w:t>
            </w:r>
          </w:p>
        </w:tc>
      </w:tr>
      <w:tr w:rsidR="00BA4AF3" w:rsidRPr="00D71008" w14:paraId="2AEF8EF6" w14:textId="77777777" w:rsidTr="001E50E2">
        <w:trPr>
          <w:trHeight w:val="3564"/>
          <w:jc w:val="center"/>
        </w:trPr>
        <w:tc>
          <w:tcPr>
            <w:tcW w:w="1444" w:type="pct"/>
            <w:tcBorders>
              <w:right w:val="single" w:sz="4" w:space="0" w:color="00549F"/>
            </w:tcBorders>
          </w:tcPr>
          <w:p w14:paraId="199C08ED" w14:textId="77777777" w:rsidR="004D0349" w:rsidRPr="004E336D" w:rsidRDefault="00BA4AF3">
            <w:pPr>
              <w:pStyle w:val="TableParagraph"/>
              <w:spacing w:before="50"/>
              <w:ind w:left="83" w:right="74"/>
              <w:jc w:val="both"/>
              <w:rPr>
                <w:noProof/>
                <w:sz w:val="24"/>
                <w:szCs w:val="24"/>
              </w:rPr>
            </w:pPr>
            <w:r w:rsidRPr="00D71008">
              <w:rPr>
                <w:b/>
                <w:noProof/>
                <w:sz w:val="24"/>
                <w:szCs w:val="24"/>
              </w:rPr>
              <w:t xml:space="preserve">PM </w:t>
            </w:r>
            <w:r w:rsidR="00063B49" w:rsidRPr="00D71008">
              <w:rPr>
                <w:b/>
                <w:noProof/>
                <w:sz w:val="24"/>
                <w:szCs w:val="24"/>
              </w:rPr>
              <w:t>6</w:t>
            </w:r>
            <w:r w:rsidRPr="00D71008">
              <w:rPr>
                <w:b/>
                <w:noProof/>
                <w:sz w:val="24"/>
                <w:szCs w:val="24"/>
              </w:rPr>
              <w:t xml:space="preserve"> – </w:t>
            </w:r>
            <w:r w:rsidR="00063B49" w:rsidRPr="004E336D">
              <w:rPr>
                <w:noProof/>
                <w:sz w:val="24"/>
                <w:szCs w:val="24"/>
              </w:rPr>
              <w:t xml:space="preserve">Obligation for </w:t>
            </w:r>
            <w:r w:rsidR="00063B49" w:rsidRPr="004E336D">
              <w:rPr>
                <w:b/>
                <w:noProof/>
                <w:sz w:val="24"/>
                <w:szCs w:val="24"/>
              </w:rPr>
              <w:t>Member States</w:t>
            </w:r>
            <w:r w:rsidR="00063B49" w:rsidRPr="004E336D">
              <w:rPr>
                <w:noProof/>
                <w:sz w:val="24"/>
                <w:szCs w:val="24"/>
              </w:rPr>
              <w:t xml:space="preserve"> to appoint a national authority to settle disputes between parties</w:t>
            </w:r>
            <w:r w:rsidR="004D0349" w:rsidRPr="004E336D">
              <w:rPr>
                <w:noProof/>
                <w:sz w:val="24"/>
                <w:szCs w:val="24"/>
              </w:rPr>
              <w:t>, and establish an EU enforcement network for coordination</w:t>
            </w:r>
          </w:p>
          <w:p w14:paraId="5C25713F" w14:textId="7657F245" w:rsidR="00BA4AF3" w:rsidRPr="00D71008" w:rsidRDefault="00BA4AF3">
            <w:pPr>
              <w:pStyle w:val="TableParagraph"/>
              <w:spacing w:before="50"/>
              <w:ind w:left="83" w:right="74"/>
              <w:jc w:val="both"/>
              <w:rPr>
                <w:noProof/>
                <w:sz w:val="24"/>
                <w:szCs w:val="24"/>
              </w:rPr>
            </w:pPr>
          </w:p>
        </w:tc>
        <w:tc>
          <w:tcPr>
            <w:tcW w:w="407" w:type="pct"/>
            <w:tcBorders>
              <w:left w:val="single" w:sz="4" w:space="0" w:color="00549F"/>
              <w:right w:val="single" w:sz="4" w:space="0" w:color="00549F"/>
            </w:tcBorders>
          </w:tcPr>
          <w:p w14:paraId="237659FA" w14:textId="77777777" w:rsidR="00BA4AF3" w:rsidRPr="00D71008" w:rsidRDefault="00BA4AF3">
            <w:pPr>
              <w:pStyle w:val="TableParagraph"/>
              <w:rPr>
                <w:noProof/>
                <w:sz w:val="24"/>
                <w:szCs w:val="24"/>
              </w:rPr>
            </w:pPr>
          </w:p>
          <w:p w14:paraId="0E66885E" w14:textId="77777777" w:rsidR="00BA4AF3" w:rsidRPr="00D71008" w:rsidRDefault="00BA4AF3">
            <w:pPr>
              <w:pStyle w:val="TableParagraph"/>
              <w:rPr>
                <w:noProof/>
                <w:sz w:val="24"/>
                <w:szCs w:val="24"/>
              </w:rPr>
            </w:pPr>
          </w:p>
          <w:p w14:paraId="0E8A28A3" w14:textId="77777777" w:rsidR="00BA4AF3" w:rsidRPr="00D71008" w:rsidRDefault="00BA4AF3">
            <w:pPr>
              <w:pStyle w:val="TableParagraph"/>
              <w:rPr>
                <w:noProof/>
                <w:sz w:val="24"/>
                <w:szCs w:val="24"/>
              </w:rPr>
            </w:pPr>
          </w:p>
          <w:p w14:paraId="6545A850" w14:textId="77777777" w:rsidR="00BA4AF3" w:rsidRPr="00D71008" w:rsidRDefault="00BA4AF3">
            <w:pPr>
              <w:pStyle w:val="TableParagraph"/>
              <w:rPr>
                <w:noProof/>
                <w:sz w:val="24"/>
                <w:szCs w:val="24"/>
              </w:rPr>
            </w:pPr>
          </w:p>
          <w:p w14:paraId="3C57009F" w14:textId="77777777" w:rsidR="00BA4AF3" w:rsidRPr="00D71008" w:rsidRDefault="00BA4AF3">
            <w:pPr>
              <w:pStyle w:val="TableParagraph"/>
              <w:rPr>
                <w:noProof/>
                <w:sz w:val="24"/>
                <w:szCs w:val="24"/>
              </w:rPr>
            </w:pPr>
          </w:p>
          <w:p w14:paraId="70BF9B64" w14:textId="77777777" w:rsidR="00BA4AF3" w:rsidRPr="00D71008" w:rsidRDefault="00BA4AF3">
            <w:pPr>
              <w:pStyle w:val="TableParagraph"/>
              <w:rPr>
                <w:noProof/>
                <w:sz w:val="24"/>
                <w:szCs w:val="24"/>
              </w:rPr>
            </w:pPr>
          </w:p>
          <w:p w14:paraId="01B93E0C" w14:textId="77777777" w:rsidR="00BA4AF3" w:rsidRPr="00D71008" w:rsidRDefault="00BA4AF3">
            <w:pPr>
              <w:pStyle w:val="TableParagraph"/>
              <w:spacing w:before="51"/>
              <w:rPr>
                <w:noProof/>
                <w:sz w:val="24"/>
                <w:szCs w:val="24"/>
              </w:rPr>
            </w:pPr>
          </w:p>
          <w:p w14:paraId="3A8E096F" w14:textId="39F59059" w:rsidR="00BA4AF3" w:rsidRPr="00D71008" w:rsidRDefault="00BA4AF3">
            <w:pPr>
              <w:pStyle w:val="TableParagraph"/>
              <w:spacing w:before="1"/>
              <w:ind w:left="5"/>
              <w:jc w:val="center"/>
              <w:rPr>
                <w:noProof/>
                <w:sz w:val="24"/>
                <w:szCs w:val="24"/>
              </w:rPr>
            </w:pPr>
            <w:r w:rsidRPr="00CA2B5D">
              <w:rPr>
                <w:noProof/>
                <w:spacing w:val="-5"/>
                <w:sz w:val="24"/>
                <w:szCs w:val="24"/>
              </w:rPr>
              <w:t>SO</w:t>
            </w:r>
            <w:r w:rsidR="00063B49" w:rsidRPr="00CA2B5D">
              <w:rPr>
                <w:noProof/>
                <w:spacing w:val="-5"/>
                <w:sz w:val="24"/>
                <w:szCs w:val="24"/>
              </w:rPr>
              <w:t>1</w:t>
            </w:r>
            <w:r w:rsidR="00CA2B5D" w:rsidRPr="00CA2B5D">
              <w:rPr>
                <w:noProof/>
                <w:spacing w:val="-5"/>
                <w:sz w:val="24"/>
                <w:szCs w:val="24"/>
              </w:rPr>
              <w:t>/</w:t>
            </w:r>
            <w:r w:rsidR="00063B49" w:rsidRPr="00CA2B5D">
              <w:rPr>
                <w:noProof/>
                <w:spacing w:val="-5"/>
                <w:sz w:val="24"/>
                <w:szCs w:val="24"/>
              </w:rPr>
              <w:t>2</w:t>
            </w:r>
          </w:p>
        </w:tc>
        <w:tc>
          <w:tcPr>
            <w:tcW w:w="537" w:type="pct"/>
            <w:tcBorders>
              <w:left w:val="single" w:sz="4" w:space="0" w:color="00549F"/>
              <w:right w:val="single" w:sz="4" w:space="0" w:color="00549F"/>
            </w:tcBorders>
          </w:tcPr>
          <w:p w14:paraId="760CAE35" w14:textId="77777777" w:rsidR="00BA4AF3" w:rsidRPr="00D71008" w:rsidRDefault="00BA4AF3">
            <w:pPr>
              <w:pStyle w:val="TableParagraph"/>
              <w:rPr>
                <w:noProof/>
                <w:sz w:val="24"/>
                <w:szCs w:val="24"/>
              </w:rPr>
            </w:pPr>
          </w:p>
          <w:p w14:paraId="5F8411A7" w14:textId="77777777" w:rsidR="00BA4AF3" w:rsidRPr="00D71008" w:rsidRDefault="00BA4AF3">
            <w:pPr>
              <w:pStyle w:val="TableParagraph"/>
              <w:rPr>
                <w:noProof/>
                <w:sz w:val="24"/>
                <w:szCs w:val="24"/>
              </w:rPr>
            </w:pPr>
          </w:p>
          <w:p w14:paraId="68A60ACF" w14:textId="77777777" w:rsidR="00BA4AF3" w:rsidRPr="00D71008" w:rsidRDefault="00BA4AF3">
            <w:pPr>
              <w:pStyle w:val="TableParagraph"/>
              <w:rPr>
                <w:noProof/>
                <w:sz w:val="24"/>
                <w:szCs w:val="24"/>
              </w:rPr>
            </w:pPr>
          </w:p>
          <w:p w14:paraId="44F98A8E" w14:textId="77777777" w:rsidR="00BA4AF3" w:rsidRPr="00D71008" w:rsidRDefault="00BA4AF3">
            <w:pPr>
              <w:pStyle w:val="TableParagraph"/>
              <w:rPr>
                <w:noProof/>
                <w:sz w:val="24"/>
                <w:szCs w:val="24"/>
              </w:rPr>
            </w:pPr>
          </w:p>
          <w:p w14:paraId="34453DE2" w14:textId="77777777" w:rsidR="00BA4AF3" w:rsidRPr="00D71008" w:rsidRDefault="00BA4AF3">
            <w:pPr>
              <w:pStyle w:val="TableParagraph"/>
              <w:rPr>
                <w:noProof/>
                <w:sz w:val="24"/>
                <w:szCs w:val="24"/>
              </w:rPr>
            </w:pPr>
          </w:p>
          <w:p w14:paraId="5F63C7D7" w14:textId="77777777" w:rsidR="00BA4AF3" w:rsidRPr="00D71008" w:rsidRDefault="00BA4AF3">
            <w:pPr>
              <w:pStyle w:val="TableParagraph"/>
              <w:rPr>
                <w:noProof/>
                <w:sz w:val="24"/>
                <w:szCs w:val="24"/>
              </w:rPr>
            </w:pPr>
          </w:p>
          <w:p w14:paraId="11F65A8D" w14:textId="77777777" w:rsidR="00BA4AF3" w:rsidRPr="00D71008" w:rsidRDefault="00BA4AF3">
            <w:pPr>
              <w:pStyle w:val="TableParagraph"/>
              <w:spacing w:before="51"/>
              <w:rPr>
                <w:noProof/>
                <w:sz w:val="24"/>
                <w:szCs w:val="24"/>
              </w:rPr>
            </w:pPr>
          </w:p>
          <w:p w14:paraId="32FC85BA" w14:textId="57F73321" w:rsidR="00BA4AF3" w:rsidRPr="00D71008" w:rsidRDefault="00BA4AF3">
            <w:pPr>
              <w:pStyle w:val="TableParagraph"/>
              <w:spacing w:before="1"/>
              <w:ind w:left="5"/>
              <w:jc w:val="center"/>
              <w:rPr>
                <w:noProof/>
                <w:sz w:val="24"/>
                <w:szCs w:val="24"/>
              </w:rPr>
            </w:pPr>
            <w:r w:rsidRPr="00D71008">
              <w:rPr>
                <w:noProof/>
                <w:spacing w:val="-5"/>
                <w:sz w:val="24"/>
                <w:szCs w:val="24"/>
              </w:rPr>
              <w:t>PD</w:t>
            </w:r>
            <w:r w:rsidR="003864CF">
              <w:rPr>
                <w:noProof/>
                <w:spacing w:val="-5"/>
                <w:sz w:val="24"/>
                <w:szCs w:val="24"/>
              </w:rPr>
              <w:t>3/4</w:t>
            </w:r>
          </w:p>
        </w:tc>
        <w:tc>
          <w:tcPr>
            <w:tcW w:w="2612" w:type="pct"/>
            <w:tcBorders>
              <w:left w:val="single" w:sz="4" w:space="0" w:color="00549F"/>
            </w:tcBorders>
          </w:tcPr>
          <w:p w14:paraId="440097A0" w14:textId="3ECE399D" w:rsidR="00BA4AF3" w:rsidRDefault="00156ABE">
            <w:pPr>
              <w:pStyle w:val="TableParagraph"/>
              <w:spacing w:before="1"/>
              <w:ind w:left="85" w:right="71"/>
              <w:jc w:val="both"/>
              <w:rPr>
                <w:noProof/>
                <w:sz w:val="24"/>
                <w:szCs w:val="24"/>
              </w:rPr>
            </w:pPr>
            <w:r w:rsidRPr="00D71008">
              <w:rPr>
                <w:noProof/>
                <w:sz w:val="24"/>
                <w:szCs w:val="24"/>
              </w:rPr>
              <w:t xml:space="preserve">Each Member State shall </w:t>
            </w:r>
            <w:r w:rsidR="004A2566" w:rsidRPr="00D71008">
              <w:rPr>
                <w:noProof/>
                <w:sz w:val="24"/>
                <w:szCs w:val="24"/>
              </w:rPr>
              <w:t>appoint</w:t>
            </w:r>
            <w:r w:rsidR="009610CE" w:rsidRPr="00D71008">
              <w:rPr>
                <w:noProof/>
                <w:sz w:val="24"/>
                <w:szCs w:val="24"/>
              </w:rPr>
              <w:t xml:space="preserve"> </w:t>
            </w:r>
            <w:r w:rsidRPr="00D71008">
              <w:rPr>
                <w:noProof/>
                <w:sz w:val="24"/>
                <w:szCs w:val="24"/>
              </w:rPr>
              <w:t xml:space="preserve">one </w:t>
            </w:r>
            <w:r w:rsidR="00BC3C15" w:rsidRPr="00D71008">
              <w:rPr>
                <w:noProof/>
                <w:sz w:val="24"/>
                <w:szCs w:val="24"/>
              </w:rPr>
              <w:t>national enforcement body</w:t>
            </w:r>
            <w:r w:rsidR="00550CEB" w:rsidRPr="00D71008">
              <w:rPr>
                <w:noProof/>
                <w:sz w:val="24"/>
                <w:szCs w:val="24"/>
              </w:rPr>
              <w:t xml:space="preserve"> (NEB)</w:t>
            </w:r>
            <w:r w:rsidR="00BC3C15" w:rsidRPr="00D71008">
              <w:rPr>
                <w:noProof/>
                <w:sz w:val="24"/>
                <w:szCs w:val="24"/>
              </w:rPr>
              <w:t xml:space="preserve">, </w:t>
            </w:r>
            <w:r w:rsidR="00973E1B" w:rsidRPr="00D71008">
              <w:rPr>
                <w:noProof/>
                <w:sz w:val="24"/>
                <w:szCs w:val="24"/>
              </w:rPr>
              <w:t>responsible for</w:t>
            </w:r>
            <w:r w:rsidRPr="00D71008">
              <w:rPr>
                <w:noProof/>
                <w:sz w:val="24"/>
                <w:szCs w:val="24"/>
              </w:rPr>
              <w:t xml:space="preserve"> disputes related to </w:t>
            </w:r>
            <w:r w:rsidR="009727FD">
              <w:rPr>
                <w:noProof/>
                <w:sz w:val="24"/>
                <w:szCs w:val="24"/>
              </w:rPr>
              <w:t>neutral display or rules on contractual agreements</w:t>
            </w:r>
            <w:r w:rsidR="00482ABE" w:rsidRPr="00D71008">
              <w:rPr>
                <w:noProof/>
                <w:sz w:val="24"/>
                <w:szCs w:val="24"/>
              </w:rPr>
              <w:t xml:space="preserve">. </w:t>
            </w:r>
            <w:r w:rsidR="00E86F78">
              <w:rPr>
                <w:noProof/>
                <w:sz w:val="24"/>
                <w:szCs w:val="24"/>
              </w:rPr>
              <w:t>This only relates to disputes between parties and not to consumer disputes</w:t>
            </w:r>
            <w:r w:rsidR="003A2B7C">
              <w:rPr>
                <w:noProof/>
                <w:sz w:val="24"/>
                <w:szCs w:val="24"/>
              </w:rPr>
              <w:t>.</w:t>
            </w:r>
          </w:p>
          <w:p w14:paraId="0E458358" w14:textId="77777777" w:rsidR="00D3581F" w:rsidRPr="00D3581F" w:rsidRDefault="00D3581F" w:rsidP="00D3581F">
            <w:pPr>
              <w:pStyle w:val="TableParagraph"/>
              <w:spacing w:before="1"/>
              <w:ind w:left="85" w:right="71"/>
              <w:jc w:val="both"/>
              <w:rPr>
                <w:noProof/>
                <w:sz w:val="24"/>
                <w:szCs w:val="24"/>
              </w:rPr>
            </w:pPr>
            <w:r w:rsidRPr="00D3581F">
              <w:rPr>
                <w:noProof/>
                <w:sz w:val="24"/>
                <w:szCs w:val="24"/>
              </w:rPr>
              <w:t>Member States already have competent authorities responsible for resolving disputes in relevant areas, such as competition authorities, transport regulatory authorities, and rail regulators. In addition, the EU Data Act requires Member States to ensure that a competent authority or appropriate mechanism is in place to address disputes and oversee compliance with FRAND (Fair, Reasonable, and Non-Discriminatory) conditions, particularly in relation to data access and sharing.</w:t>
            </w:r>
          </w:p>
          <w:p w14:paraId="6411D2AE" w14:textId="126849BD" w:rsidR="003E39A4" w:rsidRDefault="00D3581F">
            <w:pPr>
              <w:pStyle w:val="TableParagraph"/>
              <w:spacing w:before="1"/>
              <w:ind w:left="85" w:right="71"/>
              <w:jc w:val="both"/>
              <w:rPr>
                <w:noProof/>
                <w:sz w:val="24"/>
                <w:szCs w:val="24"/>
              </w:rPr>
            </w:pPr>
            <w:r w:rsidRPr="00D3581F">
              <w:rPr>
                <w:noProof/>
                <w:sz w:val="24"/>
                <w:szCs w:val="24"/>
              </w:rPr>
              <w:t>It is therefore assumed that Member States will not need to establish new bodies. At most, existing authorities may need to expand their operational capacity. This could involve recruiting additional staff, legal and competition specialists to handle potential increases in disputes and ensure regulatory compliance</w:t>
            </w:r>
            <w:r w:rsidR="00650B1C">
              <w:rPr>
                <w:noProof/>
                <w:sz w:val="24"/>
                <w:szCs w:val="24"/>
              </w:rPr>
              <w:t xml:space="preserve">. </w:t>
            </w:r>
            <w:r w:rsidR="00650B1C" w:rsidRPr="00650B1C">
              <w:rPr>
                <w:noProof/>
                <w:sz w:val="24"/>
                <w:szCs w:val="24"/>
              </w:rPr>
              <w:t xml:space="preserve">The enforcement rules </w:t>
            </w:r>
            <w:r w:rsidR="00650B1C">
              <w:rPr>
                <w:noProof/>
                <w:sz w:val="24"/>
                <w:szCs w:val="24"/>
              </w:rPr>
              <w:t xml:space="preserve">provided for by </w:t>
            </w:r>
            <w:r w:rsidR="004A553E">
              <w:rPr>
                <w:noProof/>
                <w:sz w:val="24"/>
                <w:szCs w:val="24"/>
              </w:rPr>
              <w:t>section 6 of the CRS Code of Conduct are repealed as enforcement</w:t>
            </w:r>
            <w:r w:rsidR="00650B1C">
              <w:rPr>
                <w:noProof/>
                <w:sz w:val="24"/>
                <w:szCs w:val="24"/>
              </w:rPr>
              <w:t xml:space="preserve"> </w:t>
            </w:r>
            <w:r w:rsidR="00650B1C" w:rsidRPr="00650B1C">
              <w:rPr>
                <w:noProof/>
                <w:sz w:val="24"/>
                <w:szCs w:val="24"/>
              </w:rPr>
              <w:t xml:space="preserve">will be handled by </w:t>
            </w:r>
            <w:r w:rsidR="004A553E">
              <w:rPr>
                <w:noProof/>
                <w:sz w:val="24"/>
                <w:szCs w:val="24"/>
              </w:rPr>
              <w:t>NE</w:t>
            </w:r>
            <w:r w:rsidR="00F71A82">
              <w:rPr>
                <w:noProof/>
                <w:sz w:val="24"/>
                <w:szCs w:val="24"/>
              </w:rPr>
              <w:t>B</w:t>
            </w:r>
            <w:r w:rsidR="00650B1C" w:rsidRPr="00650B1C">
              <w:rPr>
                <w:noProof/>
                <w:sz w:val="24"/>
                <w:szCs w:val="24"/>
              </w:rPr>
              <w:t>.</w:t>
            </w:r>
          </w:p>
          <w:p w14:paraId="32DEDDCB" w14:textId="4B82B97A" w:rsidR="00BA4AF3" w:rsidRPr="00D71008" w:rsidRDefault="00D3581F" w:rsidP="00535B30">
            <w:pPr>
              <w:jc w:val="both"/>
              <w:rPr>
                <w:noProof/>
              </w:rPr>
            </w:pPr>
            <w:r w:rsidRPr="00D71008">
              <w:rPr>
                <w:noProof/>
              </w:rPr>
              <w:t>The Commission will establish an enforcement network to ensure consistent enforcement in the EU</w:t>
            </w:r>
            <w:r w:rsidR="0013705D">
              <w:rPr>
                <w:noProof/>
              </w:rPr>
              <w:t xml:space="preserve"> and will also be responsible for </w:t>
            </w:r>
            <w:r w:rsidR="00A00048">
              <w:rPr>
                <w:noProof/>
              </w:rPr>
              <w:t>assess</w:t>
            </w:r>
            <w:r w:rsidR="00A91C85">
              <w:rPr>
                <w:noProof/>
              </w:rPr>
              <w:t>ing</w:t>
            </w:r>
            <w:r w:rsidR="00A00048">
              <w:rPr>
                <w:noProof/>
              </w:rPr>
              <w:t xml:space="preserve"> citizens satisfaction with online ticketing platforms via a Eurobarometer</w:t>
            </w:r>
            <w:r w:rsidR="00A91C85">
              <w:rPr>
                <w:noProof/>
              </w:rPr>
              <w:t xml:space="preserve"> every two years</w:t>
            </w:r>
            <w:r w:rsidR="00A00048">
              <w:rPr>
                <w:noProof/>
              </w:rPr>
              <w:t>.</w:t>
            </w:r>
            <w:r w:rsidR="282C2CE2">
              <w:rPr>
                <w:noProof/>
              </w:rPr>
              <w:t xml:space="preserve"> </w:t>
            </w:r>
            <w:r w:rsidR="31EA4BED">
              <w:rPr>
                <w:noProof/>
              </w:rPr>
              <w:t>Specifically, t</w:t>
            </w:r>
            <w:r w:rsidR="282C2CE2">
              <w:rPr>
                <w:noProof/>
              </w:rPr>
              <w:t>h</w:t>
            </w:r>
            <w:r w:rsidR="113D813F">
              <w:rPr>
                <w:noProof/>
              </w:rPr>
              <w:t>e</w:t>
            </w:r>
            <w:r w:rsidR="282C2CE2">
              <w:rPr>
                <w:noProof/>
              </w:rPr>
              <w:t xml:space="preserve"> EU enforcement network will convene every year to allow NEBs to exchange information on their (i) monitoring, enforcement and implementation work, (ii) decision-making principles, and (iii) administrative practices. The Commission will participate in discussions, coordinate and support cooperation on matters of common interest and exchange of best practice.</w:t>
            </w:r>
          </w:p>
        </w:tc>
      </w:tr>
      <w:tr w:rsidR="002C47CE" w:rsidRPr="00D71008" w14:paraId="0591569A" w14:textId="77777777" w:rsidTr="001E50E2">
        <w:trPr>
          <w:trHeight w:val="479"/>
          <w:jc w:val="center"/>
        </w:trPr>
        <w:tc>
          <w:tcPr>
            <w:tcW w:w="1444" w:type="pct"/>
            <w:tcBorders>
              <w:right w:val="single" w:sz="4" w:space="0" w:color="00549F"/>
            </w:tcBorders>
          </w:tcPr>
          <w:p w14:paraId="497530A5" w14:textId="4E3EDAE3" w:rsidR="002C47CE" w:rsidRPr="00D71008" w:rsidRDefault="340619A4" w:rsidP="18D2D960">
            <w:pPr>
              <w:pStyle w:val="TableParagraph"/>
              <w:spacing w:before="50"/>
              <w:ind w:left="83" w:right="74"/>
              <w:jc w:val="both"/>
              <w:rPr>
                <w:b/>
                <w:noProof/>
                <w:sz w:val="24"/>
                <w:szCs w:val="24"/>
              </w:rPr>
            </w:pPr>
            <w:r w:rsidRPr="00D71008">
              <w:rPr>
                <w:b/>
                <w:noProof/>
                <w:sz w:val="24"/>
                <w:szCs w:val="24"/>
              </w:rPr>
              <w:t xml:space="preserve">PM 7 – </w:t>
            </w:r>
            <w:r w:rsidRPr="00D71008">
              <w:rPr>
                <w:noProof/>
                <w:sz w:val="24"/>
                <w:szCs w:val="24"/>
              </w:rPr>
              <w:t xml:space="preserve">Obligation for </w:t>
            </w:r>
            <w:r w:rsidRPr="00B836DC">
              <w:rPr>
                <w:b/>
                <w:noProof/>
                <w:sz w:val="24"/>
                <w:szCs w:val="24"/>
              </w:rPr>
              <w:t>all B2C MDMS</w:t>
            </w:r>
            <w:r w:rsidR="15E70A24" w:rsidRPr="00D71008">
              <w:rPr>
                <w:noProof/>
                <w:sz w:val="24"/>
                <w:szCs w:val="24"/>
              </w:rPr>
              <w:t xml:space="preserve"> platforms</w:t>
            </w:r>
            <w:r w:rsidRPr="00D71008">
              <w:rPr>
                <w:noProof/>
                <w:sz w:val="24"/>
                <w:szCs w:val="24"/>
              </w:rPr>
              <w:t xml:space="preserve"> to share data for mobility management </w:t>
            </w:r>
          </w:p>
        </w:tc>
        <w:tc>
          <w:tcPr>
            <w:tcW w:w="407" w:type="pct"/>
            <w:vMerge w:val="restart"/>
            <w:tcBorders>
              <w:left w:val="single" w:sz="4" w:space="0" w:color="00549F"/>
              <w:right w:val="single" w:sz="4" w:space="0" w:color="00549F"/>
            </w:tcBorders>
            <w:vAlign w:val="center"/>
          </w:tcPr>
          <w:p w14:paraId="2FD800DC" w14:textId="297494F4" w:rsidR="002C47CE" w:rsidRPr="00D71008" w:rsidRDefault="002C47CE" w:rsidP="002C47CE">
            <w:pPr>
              <w:pStyle w:val="TableParagraph"/>
              <w:jc w:val="center"/>
              <w:rPr>
                <w:noProof/>
                <w:sz w:val="24"/>
                <w:szCs w:val="24"/>
              </w:rPr>
            </w:pPr>
            <w:r w:rsidRPr="0099031E">
              <w:rPr>
                <w:noProof/>
                <w:spacing w:val="-5"/>
                <w:sz w:val="24"/>
                <w:szCs w:val="24"/>
              </w:rPr>
              <w:t>SO</w:t>
            </w:r>
            <w:r w:rsidR="0099031E" w:rsidRPr="0099031E">
              <w:rPr>
                <w:noProof/>
                <w:spacing w:val="-5"/>
                <w:sz w:val="24"/>
                <w:szCs w:val="24"/>
              </w:rPr>
              <w:t>1</w:t>
            </w:r>
          </w:p>
        </w:tc>
        <w:tc>
          <w:tcPr>
            <w:tcW w:w="537" w:type="pct"/>
            <w:vMerge w:val="restart"/>
            <w:tcBorders>
              <w:left w:val="single" w:sz="4" w:space="0" w:color="00549F"/>
              <w:right w:val="single" w:sz="4" w:space="0" w:color="00549F"/>
            </w:tcBorders>
            <w:vAlign w:val="center"/>
          </w:tcPr>
          <w:p w14:paraId="0CA5C660" w14:textId="21284C77" w:rsidR="002C47CE" w:rsidRPr="00D71008" w:rsidRDefault="002C47CE" w:rsidP="002C47CE">
            <w:pPr>
              <w:pStyle w:val="TableParagraph"/>
              <w:jc w:val="center"/>
              <w:rPr>
                <w:noProof/>
                <w:sz w:val="24"/>
                <w:szCs w:val="24"/>
              </w:rPr>
            </w:pPr>
            <w:r w:rsidRPr="00D71008">
              <w:rPr>
                <w:noProof/>
                <w:sz w:val="24"/>
                <w:szCs w:val="24"/>
              </w:rPr>
              <w:t>PD</w:t>
            </w:r>
            <w:r w:rsidR="003864CF">
              <w:rPr>
                <w:noProof/>
                <w:sz w:val="24"/>
                <w:szCs w:val="24"/>
              </w:rPr>
              <w:t>2</w:t>
            </w:r>
          </w:p>
        </w:tc>
        <w:tc>
          <w:tcPr>
            <w:tcW w:w="2612" w:type="pct"/>
            <w:tcBorders>
              <w:left w:val="single" w:sz="4" w:space="0" w:color="00549F"/>
            </w:tcBorders>
            <w:vAlign w:val="center"/>
          </w:tcPr>
          <w:p w14:paraId="4EB80B2B" w14:textId="3135BB28" w:rsidR="002C47CE" w:rsidRPr="00D71008" w:rsidRDefault="00482ABE" w:rsidP="00A517AF">
            <w:pPr>
              <w:pStyle w:val="TableParagraph"/>
              <w:spacing w:before="1"/>
              <w:ind w:right="71"/>
              <w:jc w:val="both"/>
              <w:rPr>
                <w:noProof/>
                <w:sz w:val="24"/>
                <w:szCs w:val="24"/>
              </w:rPr>
            </w:pPr>
            <w:r w:rsidRPr="00D71008">
              <w:rPr>
                <w:noProof/>
                <w:sz w:val="24"/>
                <w:szCs w:val="24"/>
              </w:rPr>
              <w:t>Upon request of a public transport authority, MDMS p</w:t>
            </w:r>
            <w:r w:rsidR="00C43C05" w:rsidRPr="00D71008">
              <w:rPr>
                <w:noProof/>
                <w:sz w:val="24"/>
                <w:szCs w:val="24"/>
              </w:rPr>
              <w:t>latforms</w:t>
            </w:r>
            <w:r w:rsidRPr="00D71008">
              <w:rPr>
                <w:noProof/>
                <w:sz w:val="24"/>
                <w:szCs w:val="24"/>
              </w:rPr>
              <w:t xml:space="preserve"> shall provide data relevant for improving the effectiveness of public transport policies on the territories which fall under the responsibility of the public transport authority.</w:t>
            </w:r>
            <w:r w:rsidR="00A517AF" w:rsidRPr="00D71008">
              <w:rPr>
                <w:noProof/>
                <w:sz w:val="24"/>
                <w:szCs w:val="24"/>
              </w:rPr>
              <w:t xml:space="preserve"> </w:t>
            </w:r>
            <w:r w:rsidRPr="00D71008">
              <w:rPr>
                <w:noProof/>
                <w:sz w:val="24"/>
                <w:szCs w:val="24"/>
              </w:rPr>
              <w:t xml:space="preserve">The data shall be aggregated and anonymised. </w:t>
            </w:r>
          </w:p>
        </w:tc>
      </w:tr>
      <w:tr w:rsidR="002C47CE" w:rsidRPr="00D71008" w14:paraId="163BECED" w14:textId="77777777" w:rsidTr="001E50E2">
        <w:trPr>
          <w:trHeight w:val="479"/>
          <w:jc w:val="center"/>
        </w:trPr>
        <w:tc>
          <w:tcPr>
            <w:tcW w:w="1444" w:type="pct"/>
            <w:tcBorders>
              <w:right w:val="single" w:sz="4" w:space="0" w:color="00549F"/>
            </w:tcBorders>
          </w:tcPr>
          <w:p w14:paraId="0B76A0F2" w14:textId="22B951C1" w:rsidR="002C47CE" w:rsidRPr="00D71008" w:rsidRDefault="70264B79" w:rsidP="18D2D960">
            <w:pPr>
              <w:pStyle w:val="TableParagraph"/>
              <w:spacing w:before="50"/>
              <w:ind w:left="83" w:right="74"/>
              <w:jc w:val="both"/>
              <w:rPr>
                <w:b/>
                <w:noProof/>
                <w:sz w:val="24"/>
                <w:szCs w:val="24"/>
              </w:rPr>
            </w:pPr>
            <w:r w:rsidRPr="00D71008">
              <w:rPr>
                <w:b/>
                <w:noProof/>
                <w:sz w:val="24"/>
                <w:szCs w:val="24"/>
              </w:rPr>
              <w:t xml:space="preserve">PM </w:t>
            </w:r>
            <w:r w:rsidR="3BC337BF" w:rsidRPr="00D71008">
              <w:rPr>
                <w:b/>
                <w:noProof/>
                <w:sz w:val="24"/>
                <w:szCs w:val="24"/>
              </w:rPr>
              <w:t>8</w:t>
            </w:r>
            <w:r w:rsidRPr="00D71008">
              <w:rPr>
                <w:b/>
                <w:noProof/>
                <w:sz w:val="24"/>
                <w:szCs w:val="24"/>
              </w:rPr>
              <w:t xml:space="preserve"> – </w:t>
            </w:r>
            <w:r w:rsidRPr="004E336D">
              <w:rPr>
                <w:noProof/>
                <w:sz w:val="24"/>
                <w:szCs w:val="24"/>
              </w:rPr>
              <w:t xml:space="preserve">Obligation for </w:t>
            </w:r>
            <w:r w:rsidRPr="004E336D">
              <w:rPr>
                <w:b/>
                <w:noProof/>
                <w:sz w:val="24"/>
                <w:szCs w:val="24"/>
              </w:rPr>
              <w:t>all B2B and B2C MDMS</w:t>
            </w:r>
            <w:r w:rsidR="35036B3E" w:rsidRPr="004E336D">
              <w:rPr>
                <w:noProof/>
                <w:sz w:val="24"/>
                <w:szCs w:val="24"/>
              </w:rPr>
              <w:t xml:space="preserve"> platforms</w:t>
            </w:r>
            <w:r w:rsidRPr="004E336D">
              <w:rPr>
                <w:noProof/>
                <w:sz w:val="24"/>
                <w:szCs w:val="24"/>
              </w:rPr>
              <w:t xml:space="preserve"> to display information on GHG </w:t>
            </w:r>
            <w:r w:rsidR="00AD4BA8" w:rsidRPr="004E336D">
              <w:rPr>
                <w:noProof/>
                <w:sz w:val="24"/>
                <w:szCs w:val="24"/>
              </w:rPr>
              <w:t xml:space="preserve">or CO2 </w:t>
            </w:r>
            <w:r w:rsidRPr="004E336D">
              <w:rPr>
                <w:noProof/>
                <w:sz w:val="24"/>
                <w:szCs w:val="24"/>
              </w:rPr>
              <w:t>emissions of trips</w:t>
            </w:r>
            <w:r w:rsidR="00AD4BA8" w:rsidRPr="004E336D">
              <w:rPr>
                <w:noProof/>
                <w:sz w:val="24"/>
                <w:szCs w:val="24"/>
              </w:rPr>
              <w:t xml:space="preserve"> (when</w:t>
            </w:r>
            <w:r w:rsidRPr="004E336D">
              <w:rPr>
                <w:noProof/>
                <w:sz w:val="24"/>
                <w:szCs w:val="24"/>
              </w:rPr>
              <w:t xml:space="preserve"> these data are provided by the operators in line with </w:t>
            </w:r>
            <w:r w:rsidR="00AD4BA8" w:rsidRPr="004E336D">
              <w:rPr>
                <w:noProof/>
                <w:sz w:val="24"/>
                <w:szCs w:val="24"/>
              </w:rPr>
              <w:t xml:space="preserve">and </w:t>
            </w:r>
            <w:r w:rsidR="004214CB" w:rsidRPr="004E336D">
              <w:rPr>
                <w:noProof/>
                <w:sz w:val="24"/>
                <w:szCs w:val="24"/>
              </w:rPr>
              <w:t xml:space="preserve">Count Emissions EU </w:t>
            </w:r>
            <w:r w:rsidRPr="004E336D">
              <w:rPr>
                <w:noProof/>
                <w:sz w:val="24"/>
                <w:szCs w:val="24"/>
              </w:rPr>
              <w:t>and</w:t>
            </w:r>
            <w:r w:rsidR="004214CB" w:rsidRPr="004E336D">
              <w:rPr>
                <w:noProof/>
                <w:sz w:val="24"/>
                <w:szCs w:val="24"/>
              </w:rPr>
              <w:t xml:space="preserve"> </w:t>
            </w:r>
            <w:r w:rsidRPr="004E336D">
              <w:rPr>
                <w:noProof/>
                <w:sz w:val="24"/>
                <w:szCs w:val="24"/>
              </w:rPr>
              <w:t>Flight Emission Label</w:t>
            </w:r>
            <w:r w:rsidR="00AD4BA8" w:rsidRPr="004E336D">
              <w:rPr>
                <w:noProof/>
                <w:sz w:val="24"/>
                <w:szCs w:val="24"/>
              </w:rPr>
              <w:t>)</w:t>
            </w:r>
          </w:p>
        </w:tc>
        <w:tc>
          <w:tcPr>
            <w:tcW w:w="407" w:type="pct"/>
            <w:vMerge/>
            <w:vAlign w:val="center"/>
          </w:tcPr>
          <w:p w14:paraId="61091BF5" w14:textId="77777777" w:rsidR="002C47CE" w:rsidRPr="00D71008" w:rsidRDefault="002C47CE" w:rsidP="002C47CE">
            <w:pPr>
              <w:pStyle w:val="TableParagraph"/>
              <w:jc w:val="center"/>
              <w:rPr>
                <w:noProof/>
                <w:spacing w:val="-5"/>
                <w:sz w:val="24"/>
                <w:szCs w:val="24"/>
              </w:rPr>
            </w:pPr>
          </w:p>
        </w:tc>
        <w:tc>
          <w:tcPr>
            <w:tcW w:w="537" w:type="pct"/>
            <w:vMerge/>
            <w:vAlign w:val="center"/>
          </w:tcPr>
          <w:p w14:paraId="3582811D" w14:textId="77777777" w:rsidR="002C47CE" w:rsidRPr="00D71008" w:rsidRDefault="002C47CE" w:rsidP="002C47CE">
            <w:pPr>
              <w:pStyle w:val="TableParagraph"/>
              <w:jc w:val="center"/>
              <w:rPr>
                <w:noProof/>
                <w:sz w:val="24"/>
                <w:szCs w:val="24"/>
              </w:rPr>
            </w:pPr>
          </w:p>
        </w:tc>
        <w:tc>
          <w:tcPr>
            <w:tcW w:w="2612" w:type="pct"/>
            <w:tcBorders>
              <w:left w:val="single" w:sz="4" w:space="0" w:color="00549F"/>
            </w:tcBorders>
          </w:tcPr>
          <w:p w14:paraId="4B0B7287" w14:textId="38103317" w:rsidR="002C47CE" w:rsidRPr="004E336D" w:rsidRDefault="00E650A0" w:rsidP="00A80672">
            <w:pPr>
              <w:pStyle w:val="TableParagraph"/>
              <w:spacing w:before="1"/>
              <w:ind w:right="71"/>
              <w:jc w:val="both"/>
              <w:rPr>
                <w:noProof/>
                <w:sz w:val="24"/>
                <w:szCs w:val="24"/>
              </w:rPr>
            </w:pPr>
            <w:bookmarkStart w:id="2112" w:name="_Hlk144971823"/>
            <w:r w:rsidRPr="00D71008">
              <w:rPr>
                <w:noProof/>
                <w:sz w:val="24"/>
                <w:szCs w:val="24"/>
              </w:rPr>
              <w:t xml:space="preserve">MDMS </w:t>
            </w:r>
            <w:r w:rsidR="00A80672" w:rsidRPr="00D71008">
              <w:rPr>
                <w:noProof/>
                <w:sz w:val="24"/>
                <w:szCs w:val="24"/>
              </w:rPr>
              <w:t>platforms</w:t>
            </w:r>
            <w:r w:rsidR="008A05A6" w:rsidRPr="00D71008">
              <w:rPr>
                <w:noProof/>
                <w:sz w:val="24"/>
                <w:szCs w:val="24"/>
              </w:rPr>
              <w:t xml:space="preserve"> </w:t>
            </w:r>
            <w:r w:rsidRPr="00D71008">
              <w:rPr>
                <w:noProof/>
                <w:sz w:val="24"/>
                <w:szCs w:val="24"/>
              </w:rPr>
              <w:t>shall provide clear, transparent and accessible information on the greenhouse gas emissions</w:t>
            </w:r>
            <w:r w:rsidR="009A05FF">
              <w:rPr>
                <w:noProof/>
                <w:sz w:val="24"/>
                <w:szCs w:val="24"/>
              </w:rPr>
              <w:t>/</w:t>
            </w:r>
            <w:r w:rsidR="00EB0C8F" w:rsidRPr="00EB0C8F">
              <w:rPr>
                <w:noProof/>
                <w:sz w:val="24"/>
                <w:szCs w:val="24"/>
              </w:rPr>
              <w:t>carbon dioxide equivalent emissions</w:t>
            </w:r>
            <w:r w:rsidRPr="00D71008">
              <w:rPr>
                <w:noProof/>
                <w:sz w:val="24"/>
                <w:szCs w:val="24"/>
              </w:rPr>
              <w:t xml:space="preserve"> of the travel options displayed, whenever such information is shared by transport operators. </w:t>
            </w:r>
            <w:bookmarkEnd w:id="2112"/>
            <w:r w:rsidR="00AD4BA8">
              <w:rPr>
                <w:noProof/>
                <w:sz w:val="24"/>
                <w:szCs w:val="24"/>
              </w:rPr>
              <w:t xml:space="preserve">Based on </w:t>
            </w:r>
            <w:r w:rsidR="00AD4BA8" w:rsidRPr="004E336D">
              <w:rPr>
                <w:noProof/>
                <w:sz w:val="24"/>
                <w:szCs w:val="24"/>
              </w:rPr>
              <w:t xml:space="preserve">Count Emissions EU and Flight Emission Label operators are expected to share these data in a specific </w:t>
            </w:r>
            <w:r w:rsidR="004008EC" w:rsidRPr="004E336D">
              <w:rPr>
                <w:noProof/>
                <w:sz w:val="24"/>
                <w:szCs w:val="24"/>
              </w:rPr>
              <w:t>format.</w:t>
            </w:r>
            <w:r w:rsidR="00AD4BA8" w:rsidRPr="004E336D">
              <w:rPr>
                <w:noProof/>
                <w:sz w:val="24"/>
                <w:szCs w:val="24"/>
              </w:rPr>
              <w:t xml:space="preserve"> </w:t>
            </w:r>
          </w:p>
          <w:p w14:paraId="1D747C15" w14:textId="77777777" w:rsidR="007E6AAF" w:rsidRPr="004E336D" w:rsidRDefault="007E6AAF" w:rsidP="00A80672">
            <w:pPr>
              <w:pStyle w:val="TableParagraph"/>
              <w:spacing w:before="1"/>
              <w:ind w:right="71"/>
              <w:jc w:val="both"/>
              <w:rPr>
                <w:noProof/>
                <w:sz w:val="24"/>
                <w:szCs w:val="24"/>
              </w:rPr>
            </w:pPr>
          </w:p>
          <w:p w14:paraId="6A9FF9B8" w14:textId="75C88595" w:rsidR="002C47CE" w:rsidRPr="004E336D" w:rsidRDefault="002C47CE" w:rsidP="00C71B7E">
            <w:pPr>
              <w:pStyle w:val="TableParagraph"/>
              <w:spacing w:before="1"/>
              <w:ind w:right="71"/>
              <w:rPr>
                <w:noProof/>
                <w:sz w:val="24"/>
                <w:szCs w:val="24"/>
              </w:rPr>
            </w:pPr>
          </w:p>
        </w:tc>
      </w:tr>
      <w:tr w:rsidR="006E13E7" w:rsidRPr="00D71008" w14:paraId="0EDC3F69" w14:textId="77777777" w:rsidTr="001E50E2">
        <w:trPr>
          <w:trHeight w:val="479"/>
          <w:jc w:val="center"/>
        </w:trPr>
        <w:tc>
          <w:tcPr>
            <w:tcW w:w="1444" w:type="pct"/>
            <w:tcBorders>
              <w:right w:val="single" w:sz="4" w:space="0" w:color="00549F"/>
            </w:tcBorders>
          </w:tcPr>
          <w:p w14:paraId="38C22D55" w14:textId="1612FC0A" w:rsidR="009802BB" w:rsidRPr="004E336D" w:rsidRDefault="23B60A08" w:rsidP="009802BB">
            <w:pPr>
              <w:pStyle w:val="TableParagraph"/>
              <w:spacing w:before="1"/>
              <w:ind w:right="71"/>
              <w:jc w:val="both"/>
              <w:rPr>
                <w:noProof/>
                <w:sz w:val="24"/>
                <w:szCs w:val="24"/>
              </w:rPr>
            </w:pPr>
            <w:r w:rsidRPr="00D71008">
              <w:rPr>
                <w:b/>
                <w:noProof/>
                <w:sz w:val="24"/>
                <w:szCs w:val="24"/>
              </w:rPr>
              <w:t xml:space="preserve">PM 9 – </w:t>
            </w:r>
            <w:r w:rsidR="009802BB" w:rsidRPr="004E336D">
              <w:rPr>
                <w:noProof/>
                <w:sz w:val="24"/>
                <w:szCs w:val="24"/>
              </w:rPr>
              <w:t xml:space="preserve">Thresholds to identify </w:t>
            </w:r>
            <w:r w:rsidR="00B836DC" w:rsidRPr="004E336D">
              <w:rPr>
                <w:noProof/>
                <w:sz w:val="24"/>
                <w:szCs w:val="24"/>
              </w:rPr>
              <w:t>B2C</w:t>
            </w:r>
            <w:r w:rsidR="009802BB" w:rsidRPr="004E336D">
              <w:rPr>
                <w:noProof/>
                <w:sz w:val="24"/>
                <w:szCs w:val="24"/>
              </w:rPr>
              <w:t xml:space="preserve"> MDMS platforms and </w:t>
            </w:r>
            <w:r w:rsidR="001358ED" w:rsidRPr="004E336D">
              <w:rPr>
                <w:noProof/>
                <w:sz w:val="24"/>
                <w:szCs w:val="24"/>
              </w:rPr>
              <w:t>RU</w:t>
            </w:r>
            <w:r w:rsidR="009802BB" w:rsidRPr="004E336D">
              <w:rPr>
                <w:noProof/>
                <w:sz w:val="24"/>
                <w:szCs w:val="24"/>
              </w:rPr>
              <w:t>s with SMP:</w:t>
            </w:r>
          </w:p>
          <w:p w14:paraId="0C51E54E" w14:textId="2FC72E6C" w:rsidR="009802BB" w:rsidRPr="004E336D" w:rsidRDefault="009802BB" w:rsidP="001979E4">
            <w:pPr>
              <w:pStyle w:val="TableParagraph"/>
              <w:numPr>
                <w:ilvl w:val="0"/>
                <w:numId w:val="17"/>
              </w:numPr>
              <w:spacing w:before="1"/>
              <w:ind w:right="71"/>
              <w:jc w:val="both"/>
              <w:rPr>
                <w:noProof/>
                <w:sz w:val="24"/>
                <w:szCs w:val="24"/>
              </w:rPr>
            </w:pPr>
            <w:r w:rsidRPr="004E336D">
              <w:rPr>
                <w:b/>
                <w:noProof/>
                <w:sz w:val="24"/>
                <w:szCs w:val="24"/>
              </w:rPr>
              <w:t xml:space="preserve">for </w:t>
            </w:r>
            <w:r w:rsidR="001358ED" w:rsidRPr="004E336D">
              <w:rPr>
                <w:b/>
                <w:noProof/>
                <w:sz w:val="24"/>
                <w:szCs w:val="24"/>
              </w:rPr>
              <w:t>RU</w:t>
            </w:r>
            <w:r w:rsidRPr="004E336D">
              <w:rPr>
                <w:b/>
                <w:noProof/>
                <w:sz w:val="24"/>
                <w:szCs w:val="24"/>
              </w:rPr>
              <w:t>s with SMP</w:t>
            </w:r>
            <w:r w:rsidRPr="004E336D">
              <w:rPr>
                <w:noProof/>
                <w:sz w:val="24"/>
                <w:szCs w:val="24"/>
              </w:rPr>
              <w:t>: within one calendar year, 50% or more of the total rail services operated in a Member State (including domestic and EU cross-border services to/from that Member State), expressed in yearly passenger kilometres</w:t>
            </w:r>
          </w:p>
          <w:p w14:paraId="7A20A3FF" w14:textId="3CD6A97E" w:rsidR="006E13E7" w:rsidRPr="00D71008" w:rsidRDefault="00D106DB" w:rsidP="007B2D8E">
            <w:pPr>
              <w:pStyle w:val="TableParagraph"/>
              <w:numPr>
                <w:ilvl w:val="0"/>
                <w:numId w:val="5"/>
              </w:numPr>
              <w:spacing w:before="50"/>
              <w:ind w:right="74"/>
              <w:jc w:val="both"/>
              <w:rPr>
                <w:b/>
                <w:noProof/>
                <w:sz w:val="24"/>
                <w:szCs w:val="24"/>
              </w:rPr>
            </w:pPr>
            <w:r w:rsidRPr="004E336D">
              <w:rPr>
                <w:b/>
                <w:noProof/>
                <w:sz w:val="24"/>
                <w:szCs w:val="24"/>
              </w:rPr>
              <w:t>for B2C MDMS with SMP</w:t>
            </w:r>
            <w:r w:rsidRPr="004E336D">
              <w:rPr>
                <w:noProof/>
                <w:sz w:val="24"/>
                <w:szCs w:val="24"/>
              </w:rPr>
              <w:t>: evaluated at EU and national level, via two proxies: total number of ticket sold</w:t>
            </w:r>
            <w:r w:rsidR="009802BB" w:rsidRPr="004E336D">
              <w:rPr>
                <w:noProof/>
                <w:sz w:val="24"/>
                <w:szCs w:val="24"/>
              </w:rPr>
              <w:t> </w:t>
            </w:r>
            <w:r w:rsidRPr="004E336D">
              <w:rPr>
                <w:noProof/>
                <w:sz w:val="24"/>
                <w:szCs w:val="24"/>
              </w:rPr>
              <w:t>and/or the total value of tickets</w:t>
            </w:r>
          </w:p>
        </w:tc>
        <w:tc>
          <w:tcPr>
            <w:tcW w:w="407" w:type="pct"/>
            <w:vMerge w:val="restart"/>
            <w:tcBorders>
              <w:left w:val="single" w:sz="4" w:space="0" w:color="00549F"/>
              <w:right w:val="single" w:sz="4" w:space="0" w:color="00549F"/>
            </w:tcBorders>
            <w:vAlign w:val="center"/>
          </w:tcPr>
          <w:p w14:paraId="514060CD" w14:textId="44737D38" w:rsidR="006E13E7" w:rsidRPr="00D71008" w:rsidRDefault="006E13E7" w:rsidP="002C47CE">
            <w:pPr>
              <w:pStyle w:val="TableParagraph"/>
              <w:jc w:val="center"/>
              <w:rPr>
                <w:noProof/>
                <w:spacing w:val="-5"/>
                <w:sz w:val="24"/>
                <w:szCs w:val="24"/>
              </w:rPr>
            </w:pPr>
            <w:r w:rsidRPr="000859BC">
              <w:rPr>
                <w:noProof/>
                <w:spacing w:val="-5"/>
                <w:sz w:val="24"/>
                <w:szCs w:val="24"/>
              </w:rPr>
              <w:t>SO1</w:t>
            </w:r>
            <w:r w:rsidR="000859BC">
              <w:rPr>
                <w:noProof/>
                <w:spacing w:val="-5"/>
                <w:sz w:val="24"/>
                <w:szCs w:val="24"/>
              </w:rPr>
              <w:t>/</w:t>
            </w:r>
            <w:r w:rsidRPr="000859BC">
              <w:rPr>
                <w:noProof/>
                <w:spacing w:val="-5"/>
                <w:sz w:val="24"/>
                <w:szCs w:val="24"/>
              </w:rPr>
              <w:t>2</w:t>
            </w:r>
          </w:p>
        </w:tc>
        <w:tc>
          <w:tcPr>
            <w:tcW w:w="537" w:type="pct"/>
            <w:vMerge w:val="restart"/>
            <w:tcBorders>
              <w:left w:val="single" w:sz="4" w:space="0" w:color="00549F"/>
              <w:right w:val="single" w:sz="4" w:space="0" w:color="00549F"/>
            </w:tcBorders>
            <w:vAlign w:val="center"/>
          </w:tcPr>
          <w:p w14:paraId="2DCE795B" w14:textId="6DF3FB03" w:rsidR="006E13E7" w:rsidRPr="00D71008" w:rsidRDefault="000859BC" w:rsidP="002C47CE">
            <w:pPr>
              <w:pStyle w:val="TableParagraph"/>
              <w:jc w:val="center"/>
              <w:rPr>
                <w:noProof/>
                <w:sz w:val="24"/>
                <w:szCs w:val="24"/>
              </w:rPr>
            </w:pPr>
            <w:r w:rsidRPr="00D71008">
              <w:rPr>
                <w:noProof/>
                <w:sz w:val="24"/>
                <w:szCs w:val="24"/>
              </w:rPr>
              <w:t>PD</w:t>
            </w:r>
            <w:r w:rsidR="00847EC3">
              <w:rPr>
                <w:noProof/>
                <w:sz w:val="24"/>
                <w:szCs w:val="24"/>
              </w:rPr>
              <w:t>3/4</w:t>
            </w:r>
          </w:p>
        </w:tc>
        <w:tc>
          <w:tcPr>
            <w:tcW w:w="2612" w:type="pct"/>
            <w:tcBorders>
              <w:left w:val="single" w:sz="4" w:space="0" w:color="00549F"/>
            </w:tcBorders>
          </w:tcPr>
          <w:p w14:paraId="15008CD1" w14:textId="3CCE119D" w:rsidR="00EB6505" w:rsidRPr="00D71008" w:rsidRDefault="23B60A08" w:rsidP="00EB6505">
            <w:pPr>
              <w:pStyle w:val="TableParagraph"/>
              <w:spacing w:before="1"/>
              <w:ind w:right="71"/>
              <w:jc w:val="both"/>
              <w:rPr>
                <w:noProof/>
                <w:sz w:val="24"/>
                <w:szCs w:val="24"/>
              </w:rPr>
            </w:pPr>
            <w:r w:rsidRPr="00D71008">
              <w:rPr>
                <w:noProof/>
                <w:sz w:val="24"/>
                <w:szCs w:val="24"/>
              </w:rPr>
              <w:t xml:space="preserve">The legislation sets </w:t>
            </w:r>
            <w:r w:rsidR="009802BB">
              <w:rPr>
                <w:noProof/>
                <w:sz w:val="24"/>
                <w:szCs w:val="24"/>
              </w:rPr>
              <w:t>thresholds</w:t>
            </w:r>
            <w:r w:rsidRPr="00D71008">
              <w:rPr>
                <w:noProof/>
                <w:sz w:val="24"/>
                <w:szCs w:val="24"/>
              </w:rPr>
              <w:t xml:space="preserve"> for the identification of MDMS </w:t>
            </w:r>
            <w:r w:rsidR="5AA154DB" w:rsidRPr="00D71008">
              <w:rPr>
                <w:noProof/>
                <w:sz w:val="24"/>
                <w:szCs w:val="24"/>
              </w:rPr>
              <w:t xml:space="preserve">platforms </w:t>
            </w:r>
            <w:r w:rsidRPr="00D71008">
              <w:rPr>
                <w:noProof/>
                <w:sz w:val="24"/>
                <w:szCs w:val="24"/>
              </w:rPr>
              <w:t xml:space="preserve">with </w:t>
            </w:r>
            <w:r w:rsidR="00A80672" w:rsidRPr="00D71008">
              <w:rPr>
                <w:noProof/>
                <w:sz w:val="24"/>
                <w:szCs w:val="24"/>
              </w:rPr>
              <w:t xml:space="preserve">SMP and </w:t>
            </w:r>
            <w:r w:rsidR="001358ED">
              <w:rPr>
                <w:noProof/>
                <w:sz w:val="24"/>
                <w:szCs w:val="24"/>
              </w:rPr>
              <w:t>RU</w:t>
            </w:r>
            <w:r w:rsidR="00A80672" w:rsidRPr="00D71008">
              <w:rPr>
                <w:noProof/>
                <w:sz w:val="24"/>
                <w:szCs w:val="24"/>
              </w:rPr>
              <w:t>s with SMP</w:t>
            </w:r>
            <w:r w:rsidR="002A0C7C" w:rsidRPr="00D71008">
              <w:rPr>
                <w:noProof/>
                <w:sz w:val="24"/>
                <w:szCs w:val="24"/>
              </w:rPr>
              <w:t>.</w:t>
            </w:r>
            <w:r w:rsidR="004F05E1" w:rsidRPr="00D71008">
              <w:rPr>
                <w:noProof/>
                <w:sz w:val="24"/>
                <w:szCs w:val="24"/>
              </w:rPr>
              <w:t xml:space="preserve"> A</w:t>
            </w:r>
            <w:r w:rsidR="7D57C260" w:rsidRPr="00D71008">
              <w:rPr>
                <w:noProof/>
                <w:sz w:val="24"/>
                <w:szCs w:val="24"/>
              </w:rPr>
              <w:t>s detailed in section 5.1.</w:t>
            </w:r>
            <w:r w:rsidR="00D555B9" w:rsidRPr="00D71008">
              <w:rPr>
                <w:noProof/>
                <w:sz w:val="24"/>
                <w:szCs w:val="24"/>
              </w:rPr>
              <w:t>, t</w:t>
            </w:r>
            <w:r w:rsidR="00E94BD6" w:rsidRPr="00D71008">
              <w:rPr>
                <w:noProof/>
                <w:sz w:val="24"/>
                <w:szCs w:val="24"/>
              </w:rPr>
              <w:t>o operationalise the concept of indispensability in the B2C distribution market, an MDMS platform is considered as having SMP if it controls at least 10% of the EU market or 30% of a national market, based on either the total value or volume of tickets sold in one transport mode.</w:t>
            </w:r>
            <w:r w:rsidR="00C374A9" w:rsidRPr="00D71008">
              <w:rPr>
                <w:noProof/>
                <w:sz w:val="24"/>
                <w:szCs w:val="24"/>
              </w:rPr>
              <w:t xml:space="preserve"> </w:t>
            </w:r>
            <w:r w:rsidR="00C67B1E" w:rsidRPr="00C67B1E">
              <w:rPr>
                <w:noProof/>
                <w:sz w:val="24"/>
                <w:szCs w:val="24"/>
              </w:rPr>
              <w:t>For MSE, they are considered as having SMP if they reach 10% or more of EU domain traffic.</w:t>
            </w:r>
            <w:r w:rsidR="00C374A9" w:rsidRPr="00D71008">
              <w:rPr>
                <w:noProof/>
                <w:sz w:val="24"/>
                <w:szCs w:val="24"/>
              </w:rPr>
              <w:t xml:space="preserve"> </w:t>
            </w:r>
            <w:r w:rsidR="00EB6505" w:rsidRPr="00D71008">
              <w:rPr>
                <w:noProof/>
                <w:sz w:val="24"/>
                <w:szCs w:val="24"/>
              </w:rPr>
              <w:t xml:space="preserve">For </w:t>
            </w:r>
            <w:r w:rsidR="001358ED">
              <w:rPr>
                <w:noProof/>
                <w:sz w:val="24"/>
                <w:szCs w:val="24"/>
              </w:rPr>
              <w:t>RU</w:t>
            </w:r>
            <w:r w:rsidR="00EB6505" w:rsidRPr="00D71008">
              <w:rPr>
                <w:noProof/>
                <w:sz w:val="24"/>
                <w:szCs w:val="24"/>
              </w:rPr>
              <w:t>s, SMP is defined as operating 50% or more of total rail services in a Member State, measured in annual passenger-kilometres, including both domestic and cross-border services.</w:t>
            </w:r>
          </w:p>
          <w:p w14:paraId="7D01FC68" w14:textId="77777777" w:rsidR="00E94BD6" w:rsidRPr="00D71008" w:rsidRDefault="00E94BD6" w:rsidP="00137814">
            <w:pPr>
              <w:pStyle w:val="TableParagraph"/>
              <w:spacing w:before="1"/>
              <w:ind w:right="71"/>
              <w:jc w:val="both"/>
              <w:rPr>
                <w:noProof/>
                <w:sz w:val="24"/>
                <w:szCs w:val="24"/>
              </w:rPr>
            </w:pPr>
          </w:p>
          <w:p w14:paraId="09CDB3F6" w14:textId="77777777" w:rsidR="006E13E7" w:rsidRPr="00D71008" w:rsidRDefault="006E13E7" w:rsidP="002C5447">
            <w:pPr>
              <w:pStyle w:val="TableParagraph"/>
              <w:spacing w:before="1"/>
              <w:ind w:right="71"/>
              <w:jc w:val="both"/>
              <w:rPr>
                <w:noProof/>
                <w:sz w:val="24"/>
                <w:szCs w:val="24"/>
              </w:rPr>
            </w:pPr>
          </w:p>
          <w:p w14:paraId="28679A34" w14:textId="77777777" w:rsidR="00853984" w:rsidRPr="00D71008" w:rsidRDefault="00853984" w:rsidP="00FC07E3">
            <w:pPr>
              <w:pStyle w:val="TableParagraph"/>
              <w:spacing w:before="1"/>
              <w:ind w:left="720" w:right="71"/>
              <w:jc w:val="both"/>
              <w:rPr>
                <w:noProof/>
                <w:sz w:val="24"/>
                <w:szCs w:val="24"/>
              </w:rPr>
            </w:pPr>
          </w:p>
          <w:p w14:paraId="65126C93" w14:textId="23E3CBCF" w:rsidR="006E13E7" w:rsidRPr="00D71008" w:rsidRDefault="006E13E7" w:rsidP="002C5447">
            <w:pPr>
              <w:pStyle w:val="TableParagraph"/>
              <w:spacing w:before="1"/>
              <w:ind w:right="71"/>
              <w:jc w:val="both"/>
              <w:rPr>
                <w:noProof/>
                <w:sz w:val="24"/>
                <w:szCs w:val="24"/>
              </w:rPr>
            </w:pPr>
          </w:p>
        </w:tc>
      </w:tr>
      <w:tr w:rsidR="003A1FBD" w:rsidRPr="00D71008" w14:paraId="07BB6714" w14:textId="77777777" w:rsidTr="001E50E2">
        <w:trPr>
          <w:trHeight w:val="479"/>
          <w:jc w:val="center"/>
        </w:trPr>
        <w:tc>
          <w:tcPr>
            <w:tcW w:w="1444" w:type="pct"/>
            <w:tcBorders>
              <w:top w:val="single" w:sz="4" w:space="0" w:color="000000" w:themeColor="text1"/>
              <w:left w:val="single" w:sz="4" w:space="0" w:color="000000" w:themeColor="text1"/>
              <w:bottom w:val="single" w:sz="4" w:space="0" w:color="000000" w:themeColor="text1"/>
              <w:right w:val="single" w:sz="4" w:space="0" w:color="00549F"/>
            </w:tcBorders>
          </w:tcPr>
          <w:p w14:paraId="35BAB2AE" w14:textId="0D300CD7" w:rsidR="006E13E7" w:rsidRPr="00D71008" w:rsidRDefault="23B60A08" w:rsidP="18D2D960">
            <w:pPr>
              <w:pStyle w:val="TableParagraph"/>
              <w:spacing w:before="1"/>
              <w:ind w:right="71"/>
              <w:jc w:val="both"/>
              <w:rPr>
                <w:noProof/>
                <w:sz w:val="24"/>
                <w:szCs w:val="24"/>
              </w:rPr>
            </w:pPr>
            <w:r w:rsidRPr="00D71008">
              <w:rPr>
                <w:b/>
                <w:noProof/>
                <w:sz w:val="24"/>
                <w:szCs w:val="24"/>
              </w:rPr>
              <w:t xml:space="preserve">PM 10 – </w:t>
            </w:r>
            <w:r w:rsidR="00A96078" w:rsidRPr="004E336D">
              <w:rPr>
                <w:b/>
                <w:noProof/>
                <w:sz w:val="24"/>
                <w:szCs w:val="24"/>
              </w:rPr>
              <w:t>B2C MDMS platforms</w:t>
            </w:r>
            <w:r w:rsidR="001B6943" w:rsidRPr="004E336D">
              <w:rPr>
                <w:b/>
                <w:noProof/>
                <w:sz w:val="24"/>
                <w:szCs w:val="24"/>
              </w:rPr>
              <w:t xml:space="preserve"> with SMP</w:t>
            </w:r>
            <w:r w:rsidR="00A16E85" w:rsidRPr="004E336D">
              <w:rPr>
                <w:b/>
                <w:noProof/>
                <w:sz w:val="24"/>
                <w:szCs w:val="24"/>
              </w:rPr>
              <w:t xml:space="preserve">: </w:t>
            </w:r>
            <w:r w:rsidR="00A16E85" w:rsidRPr="004E336D">
              <w:rPr>
                <w:noProof/>
                <w:sz w:val="24"/>
                <w:szCs w:val="24"/>
              </w:rPr>
              <w:t>must</w:t>
            </w:r>
            <w:r w:rsidR="00A96078" w:rsidRPr="004E336D">
              <w:rPr>
                <w:noProof/>
                <w:sz w:val="24"/>
                <w:szCs w:val="24"/>
              </w:rPr>
              <w:t xml:space="preserve"> notify national authorities </w:t>
            </w:r>
            <w:r w:rsidR="00A16E85" w:rsidRPr="004E336D">
              <w:rPr>
                <w:noProof/>
                <w:sz w:val="24"/>
                <w:szCs w:val="24"/>
              </w:rPr>
              <w:t>or the EC about</w:t>
            </w:r>
            <w:r w:rsidR="00A96078" w:rsidRPr="004E336D">
              <w:rPr>
                <w:noProof/>
                <w:sz w:val="24"/>
                <w:szCs w:val="24"/>
              </w:rPr>
              <w:t xml:space="preserve"> their market presence. </w:t>
            </w:r>
            <w:r w:rsidR="00B5392C" w:rsidRPr="004E336D">
              <w:rPr>
                <w:noProof/>
                <w:sz w:val="24"/>
                <w:szCs w:val="24"/>
              </w:rPr>
              <w:t xml:space="preserve">National authorities designate B2C MDMS </w:t>
            </w:r>
            <w:r w:rsidR="00A96078" w:rsidRPr="004E336D">
              <w:rPr>
                <w:noProof/>
                <w:sz w:val="24"/>
                <w:szCs w:val="24"/>
              </w:rPr>
              <w:t>platform</w:t>
            </w:r>
            <w:r w:rsidR="00FB35AE" w:rsidRPr="004E336D">
              <w:rPr>
                <w:noProof/>
                <w:sz w:val="24"/>
                <w:szCs w:val="24"/>
              </w:rPr>
              <w:t xml:space="preserve">, </w:t>
            </w:r>
            <w:r w:rsidR="001358ED" w:rsidRPr="004E336D">
              <w:rPr>
                <w:noProof/>
                <w:sz w:val="24"/>
                <w:szCs w:val="24"/>
              </w:rPr>
              <w:t>RU</w:t>
            </w:r>
            <w:r w:rsidR="00B5392C" w:rsidRPr="004E336D">
              <w:rPr>
                <w:noProof/>
                <w:sz w:val="24"/>
                <w:szCs w:val="24"/>
              </w:rPr>
              <w:t xml:space="preserve">s with SMP </w:t>
            </w:r>
            <w:r w:rsidR="00FB35AE" w:rsidRPr="004E336D">
              <w:rPr>
                <w:noProof/>
                <w:sz w:val="24"/>
                <w:szCs w:val="24"/>
              </w:rPr>
              <w:t xml:space="preserve">and indispensable RU platforms </w:t>
            </w:r>
            <w:r w:rsidR="00B5392C" w:rsidRPr="004E336D">
              <w:rPr>
                <w:noProof/>
                <w:sz w:val="24"/>
                <w:szCs w:val="24"/>
              </w:rPr>
              <w:t>at national level</w:t>
            </w:r>
            <w:r w:rsidR="00A16E85" w:rsidRPr="004E336D">
              <w:rPr>
                <w:noProof/>
                <w:sz w:val="24"/>
                <w:szCs w:val="24"/>
              </w:rPr>
              <w:t>, while the</w:t>
            </w:r>
            <w:r w:rsidR="00B5392C" w:rsidRPr="004E336D">
              <w:rPr>
                <w:noProof/>
                <w:sz w:val="24"/>
                <w:szCs w:val="24"/>
              </w:rPr>
              <w:t xml:space="preserve"> </w:t>
            </w:r>
            <w:r w:rsidR="004621AD" w:rsidRPr="004E336D">
              <w:rPr>
                <w:noProof/>
                <w:sz w:val="24"/>
                <w:szCs w:val="24"/>
              </w:rPr>
              <w:t xml:space="preserve">EC </w:t>
            </w:r>
            <w:r w:rsidR="00A16E85" w:rsidRPr="004E336D">
              <w:rPr>
                <w:noProof/>
                <w:sz w:val="24"/>
                <w:szCs w:val="24"/>
              </w:rPr>
              <w:t>designates</w:t>
            </w:r>
            <w:r w:rsidR="004621AD" w:rsidRPr="004E336D">
              <w:rPr>
                <w:noProof/>
                <w:sz w:val="24"/>
                <w:szCs w:val="24"/>
              </w:rPr>
              <w:t xml:space="preserve"> B2C MDMS platforms with SMP at EU level. </w:t>
            </w:r>
            <w:r w:rsidR="00A16E85" w:rsidRPr="004E336D">
              <w:rPr>
                <w:noProof/>
                <w:sz w:val="24"/>
                <w:szCs w:val="24"/>
              </w:rPr>
              <w:t>The</w:t>
            </w:r>
            <w:r w:rsidR="00B5392C" w:rsidRPr="004E336D">
              <w:rPr>
                <w:noProof/>
                <w:sz w:val="24"/>
                <w:szCs w:val="24"/>
              </w:rPr>
              <w:t xml:space="preserve"> EC </w:t>
            </w:r>
            <w:r w:rsidR="00A16E85" w:rsidRPr="004E336D">
              <w:rPr>
                <w:noProof/>
                <w:sz w:val="24"/>
                <w:szCs w:val="24"/>
              </w:rPr>
              <w:t>publishes</w:t>
            </w:r>
            <w:r w:rsidR="00B5392C" w:rsidRPr="004E336D">
              <w:rPr>
                <w:noProof/>
                <w:sz w:val="24"/>
                <w:szCs w:val="24"/>
              </w:rPr>
              <w:t xml:space="preserve"> a list of MDMS </w:t>
            </w:r>
            <w:r w:rsidR="00A96078" w:rsidRPr="004E336D">
              <w:rPr>
                <w:noProof/>
                <w:sz w:val="24"/>
                <w:szCs w:val="24"/>
              </w:rPr>
              <w:t xml:space="preserve">platforms </w:t>
            </w:r>
            <w:r w:rsidR="00A85462" w:rsidRPr="004E336D">
              <w:rPr>
                <w:noProof/>
                <w:sz w:val="24"/>
                <w:szCs w:val="24"/>
              </w:rPr>
              <w:t>(including indispensable RU platforms)</w:t>
            </w:r>
            <w:r w:rsidR="00A96078" w:rsidRPr="004E336D">
              <w:rPr>
                <w:noProof/>
                <w:sz w:val="24"/>
                <w:szCs w:val="24"/>
              </w:rPr>
              <w:t xml:space="preserve"> </w:t>
            </w:r>
            <w:r w:rsidR="00B5392C" w:rsidRPr="004E336D">
              <w:rPr>
                <w:noProof/>
                <w:sz w:val="24"/>
                <w:szCs w:val="24"/>
              </w:rPr>
              <w:t xml:space="preserve">and </w:t>
            </w:r>
            <w:r w:rsidR="001358ED" w:rsidRPr="004E336D">
              <w:rPr>
                <w:noProof/>
                <w:sz w:val="24"/>
                <w:szCs w:val="24"/>
              </w:rPr>
              <w:t>RU</w:t>
            </w:r>
            <w:r w:rsidR="00B5392C" w:rsidRPr="004E336D">
              <w:rPr>
                <w:noProof/>
                <w:sz w:val="24"/>
                <w:szCs w:val="24"/>
              </w:rPr>
              <w:t>s with SMP at</w:t>
            </w:r>
            <w:r w:rsidR="00A16E85" w:rsidRPr="004E336D">
              <w:rPr>
                <w:noProof/>
                <w:sz w:val="24"/>
                <w:szCs w:val="24"/>
              </w:rPr>
              <w:t xml:space="preserve"> both</w:t>
            </w:r>
            <w:r w:rsidR="00B5392C" w:rsidRPr="004E336D">
              <w:rPr>
                <w:noProof/>
                <w:sz w:val="24"/>
                <w:szCs w:val="24"/>
              </w:rPr>
              <w:t xml:space="preserve"> national and </w:t>
            </w:r>
            <w:r w:rsidR="00A16E85" w:rsidRPr="004E336D">
              <w:rPr>
                <w:noProof/>
                <w:sz w:val="24"/>
                <w:szCs w:val="24"/>
              </w:rPr>
              <w:t>EU</w:t>
            </w:r>
            <w:r w:rsidR="00B5392C" w:rsidRPr="004E336D">
              <w:rPr>
                <w:noProof/>
                <w:sz w:val="24"/>
                <w:szCs w:val="24"/>
              </w:rPr>
              <w:t xml:space="preserve"> level</w:t>
            </w:r>
            <w:r w:rsidR="00A16E85" w:rsidRPr="004E336D">
              <w:rPr>
                <w:noProof/>
                <w:sz w:val="24"/>
                <w:szCs w:val="24"/>
              </w:rPr>
              <w:t>.</w:t>
            </w:r>
          </w:p>
        </w:tc>
        <w:tc>
          <w:tcPr>
            <w:tcW w:w="407" w:type="pct"/>
            <w:vMerge/>
            <w:vAlign w:val="center"/>
          </w:tcPr>
          <w:p w14:paraId="56659D0B" w14:textId="77777777" w:rsidR="006E13E7" w:rsidRPr="00D71008" w:rsidRDefault="006E13E7" w:rsidP="002C47CE">
            <w:pPr>
              <w:pStyle w:val="TableParagraph"/>
              <w:jc w:val="center"/>
              <w:rPr>
                <w:noProof/>
                <w:spacing w:val="-5"/>
                <w:sz w:val="24"/>
                <w:szCs w:val="24"/>
              </w:rPr>
            </w:pPr>
          </w:p>
        </w:tc>
        <w:tc>
          <w:tcPr>
            <w:tcW w:w="537" w:type="pct"/>
            <w:vMerge/>
            <w:vAlign w:val="center"/>
          </w:tcPr>
          <w:p w14:paraId="1346950D" w14:textId="77777777" w:rsidR="006E13E7" w:rsidRPr="00D71008" w:rsidRDefault="006E13E7" w:rsidP="002C47CE">
            <w:pPr>
              <w:pStyle w:val="TableParagraph"/>
              <w:jc w:val="center"/>
              <w:rPr>
                <w:noProof/>
                <w:sz w:val="24"/>
                <w:szCs w:val="24"/>
              </w:rPr>
            </w:pPr>
          </w:p>
        </w:tc>
        <w:tc>
          <w:tcPr>
            <w:tcW w:w="2612" w:type="pct"/>
            <w:tcBorders>
              <w:top w:val="single" w:sz="4" w:space="0" w:color="000000" w:themeColor="text1"/>
              <w:left w:val="single" w:sz="4" w:space="0" w:color="00549F"/>
              <w:bottom w:val="single" w:sz="4" w:space="0" w:color="000000" w:themeColor="text1"/>
              <w:right w:val="single" w:sz="4" w:space="0" w:color="000000" w:themeColor="text1"/>
            </w:tcBorders>
          </w:tcPr>
          <w:p w14:paraId="7D57490D" w14:textId="27C484DA" w:rsidR="003F386D" w:rsidRPr="00D71008" w:rsidRDefault="003F386D" w:rsidP="001805A4">
            <w:pPr>
              <w:pStyle w:val="TableParagraph"/>
              <w:spacing w:before="1"/>
              <w:ind w:right="71"/>
              <w:jc w:val="both"/>
              <w:rPr>
                <w:noProof/>
                <w:sz w:val="24"/>
                <w:szCs w:val="24"/>
              </w:rPr>
            </w:pPr>
            <w:r w:rsidRPr="00D71008">
              <w:rPr>
                <w:noProof/>
                <w:sz w:val="24"/>
                <w:szCs w:val="24"/>
              </w:rPr>
              <w:t xml:space="preserve">When an MDMS platform meets the thresholds </w:t>
            </w:r>
            <w:r w:rsidR="004C68D7" w:rsidRPr="00D71008">
              <w:rPr>
                <w:noProof/>
                <w:sz w:val="24"/>
                <w:szCs w:val="24"/>
              </w:rPr>
              <w:t>at EU level</w:t>
            </w:r>
            <w:r w:rsidRPr="00D71008">
              <w:rPr>
                <w:noProof/>
                <w:sz w:val="24"/>
                <w:szCs w:val="24"/>
              </w:rPr>
              <w:t>, it shall notify the Commission</w:t>
            </w:r>
            <w:r w:rsidR="001805A4" w:rsidRPr="00D71008">
              <w:rPr>
                <w:noProof/>
                <w:sz w:val="24"/>
                <w:szCs w:val="24"/>
              </w:rPr>
              <w:t xml:space="preserve"> and </w:t>
            </w:r>
            <w:r w:rsidRPr="00D71008">
              <w:rPr>
                <w:noProof/>
                <w:sz w:val="24"/>
                <w:szCs w:val="24"/>
              </w:rPr>
              <w:t>the national enforcement body</w:t>
            </w:r>
            <w:r w:rsidR="004C68D7" w:rsidRPr="00D71008">
              <w:rPr>
                <w:noProof/>
                <w:sz w:val="24"/>
                <w:szCs w:val="24"/>
              </w:rPr>
              <w:t>, for the thresholds at national level.</w:t>
            </w:r>
            <w:r w:rsidR="008C7708" w:rsidRPr="00D71008">
              <w:rPr>
                <w:noProof/>
                <w:sz w:val="24"/>
                <w:szCs w:val="24"/>
              </w:rPr>
              <w:t xml:space="preserve"> </w:t>
            </w:r>
            <w:r w:rsidR="001805A4" w:rsidRPr="00D71008">
              <w:rPr>
                <w:noProof/>
                <w:sz w:val="24"/>
                <w:szCs w:val="24"/>
              </w:rPr>
              <w:t xml:space="preserve">The national enforcement body </w:t>
            </w:r>
            <w:r w:rsidR="00A96078" w:rsidRPr="00D71008">
              <w:rPr>
                <w:noProof/>
                <w:sz w:val="24"/>
                <w:szCs w:val="24"/>
              </w:rPr>
              <w:t>designates</w:t>
            </w:r>
            <w:r w:rsidR="001805A4" w:rsidRPr="00D71008">
              <w:rPr>
                <w:noProof/>
                <w:sz w:val="24"/>
                <w:szCs w:val="24"/>
              </w:rPr>
              <w:t xml:space="preserve"> B2C MDMS and</w:t>
            </w:r>
            <w:r w:rsidR="005E4627" w:rsidRPr="00D71008">
              <w:rPr>
                <w:noProof/>
                <w:sz w:val="24"/>
                <w:szCs w:val="24"/>
              </w:rPr>
              <w:t xml:space="preserve"> </w:t>
            </w:r>
            <w:r w:rsidR="001358ED">
              <w:rPr>
                <w:noProof/>
                <w:sz w:val="24"/>
                <w:szCs w:val="24"/>
              </w:rPr>
              <w:t>RU</w:t>
            </w:r>
            <w:r w:rsidR="001805A4" w:rsidRPr="00D71008">
              <w:rPr>
                <w:noProof/>
                <w:sz w:val="24"/>
                <w:szCs w:val="24"/>
              </w:rPr>
              <w:t xml:space="preserve">s with SMP at national level. </w:t>
            </w:r>
            <w:r w:rsidR="00FB5F7E">
              <w:rPr>
                <w:noProof/>
                <w:sz w:val="24"/>
                <w:szCs w:val="24"/>
              </w:rPr>
              <w:t>For RU, this is done following the procedure of the Rail Market Monitoring Scheme</w:t>
            </w:r>
            <w:r w:rsidR="003604C4">
              <w:rPr>
                <w:rStyle w:val="FootnoteReference"/>
                <w:noProof/>
                <w:sz w:val="24"/>
                <w:szCs w:val="24"/>
              </w:rPr>
              <w:footnoteReference w:id="365"/>
            </w:r>
            <w:r w:rsidR="00FB5F7E">
              <w:rPr>
                <w:noProof/>
                <w:sz w:val="24"/>
                <w:szCs w:val="24"/>
              </w:rPr>
              <w:t>.</w:t>
            </w:r>
            <w:r w:rsidR="001805A4" w:rsidRPr="00D71008">
              <w:rPr>
                <w:noProof/>
                <w:sz w:val="24"/>
                <w:szCs w:val="24"/>
              </w:rPr>
              <w:t xml:space="preserve"> </w:t>
            </w:r>
            <w:r w:rsidRPr="00D71008">
              <w:rPr>
                <w:noProof/>
                <w:sz w:val="24"/>
                <w:szCs w:val="24"/>
              </w:rPr>
              <w:t xml:space="preserve">National enforcement bodies shall inform the Commission of their respective designation decisions. The Commission shall publish on its official website, and keep up to date, a list of the designated, at national or Union’s level, MDMS </w:t>
            </w:r>
            <w:r w:rsidR="00A96078" w:rsidRPr="00D71008">
              <w:rPr>
                <w:noProof/>
                <w:sz w:val="24"/>
                <w:szCs w:val="24"/>
              </w:rPr>
              <w:t>platforms</w:t>
            </w:r>
            <w:r w:rsidRPr="00D71008">
              <w:rPr>
                <w:noProof/>
                <w:sz w:val="24"/>
                <w:szCs w:val="24"/>
              </w:rPr>
              <w:t xml:space="preserve"> and </w:t>
            </w:r>
            <w:r w:rsidR="001358ED">
              <w:rPr>
                <w:noProof/>
                <w:sz w:val="24"/>
                <w:szCs w:val="24"/>
              </w:rPr>
              <w:t>RU</w:t>
            </w:r>
            <w:r w:rsidR="00A96078" w:rsidRPr="00D71008">
              <w:rPr>
                <w:noProof/>
                <w:sz w:val="24"/>
                <w:szCs w:val="24"/>
              </w:rPr>
              <w:t>s with SMP.</w:t>
            </w:r>
            <w:r w:rsidR="00C528B7" w:rsidRPr="00D71008">
              <w:rPr>
                <w:noProof/>
                <w:sz w:val="24"/>
                <w:szCs w:val="24"/>
              </w:rPr>
              <w:t xml:space="preserve"> </w:t>
            </w:r>
            <w:r w:rsidR="00526085">
              <w:rPr>
                <w:noProof/>
                <w:sz w:val="24"/>
                <w:szCs w:val="24"/>
              </w:rPr>
              <w:t xml:space="preserve">This also lists indispensable </w:t>
            </w:r>
            <w:r w:rsidR="001358ED">
              <w:rPr>
                <w:noProof/>
                <w:sz w:val="24"/>
                <w:szCs w:val="24"/>
              </w:rPr>
              <w:t>RU</w:t>
            </w:r>
            <w:r w:rsidR="00526085">
              <w:rPr>
                <w:noProof/>
                <w:sz w:val="24"/>
                <w:szCs w:val="24"/>
              </w:rPr>
              <w:t xml:space="preserve">s platforms which are </w:t>
            </w:r>
            <w:r w:rsidR="00B77520" w:rsidRPr="00B77520">
              <w:rPr>
                <w:noProof/>
                <w:sz w:val="24"/>
                <w:szCs w:val="24"/>
              </w:rPr>
              <w:t>considered indispensable when it is owned by an indispensable RU</w:t>
            </w:r>
            <w:r w:rsidR="00B77520">
              <w:rPr>
                <w:noProof/>
                <w:sz w:val="24"/>
                <w:szCs w:val="24"/>
              </w:rPr>
              <w:t>.</w:t>
            </w:r>
          </w:p>
          <w:p w14:paraId="15D0D656" w14:textId="7528CE17" w:rsidR="006E13E7" w:rsidRPr="00D71008" w:rsidRDefault="006E13E7" w:rsidP="00260CFF">
            <w:pPr>
              <w:pStyle w:val="TableParagraph"/>
              <w:spacing w:before="1"/>
              <w:ind w:right="71"/>
              <w:jc w:val="both"/>
              <w:rPr>
                <w:noProof/>
                <w:sz w:val="24"/>
                <w:szCs w:val="24"/>
              </w:rPr>
            </w:pPr>
          </w:p>
        </w:tc>
      </w:tr>
      <w:tr w:rsidR="003245A0" w:rsidRPr="00D71008" w14:paraId="337F719D" w14:textId="77777777" w:rsidTr="001E50E2">
        <w:trPr>
          <w:trHeight w:val="479"/>
          <w:jc w:val="center"/>
        </w:trPr>
        <w:tc>
          <w:tcPr>
            <w:tcW w:w="1444" w:type="pct"/>
            <w:tcBorders>
              <w:right w:val="single" w:sz="4" w:space="0" w:color="00549F"/>
            </w:tcBorders>
          </w:tcPr>
          <w:p w14:paraId="2185233B" w14:textId="58681A8C" w:rsidR="003245A0" w:rsidRPr="00D71008" w:rsidRDefault="27552AC4" w:rsidP="000055BB">
            <w:pPr>
              <w:pStyle w:val="TableParagraph"/>
              <w:spacing w:before="1"/>
              <w:ind w:right="71"/>
              <w:jc w:val="both"/>
              <w:rPr>
                <w:noProof/>
                <w:sz w:val="24"/>
                <w:szCs w:val="24"/>
              </w:rPr>
            </w:pPr>
            <w:r w:rsidRPr="00D71008">
              <w:rPr>
                <w:b/>
                <w:noProof/>
                <w:sz w:val="24"/>
                <w:szCs w:val="24"/>
              </w:rPr>
              <w:t xml:space="preserve">PM </w:t>
            </w:r>
            <w:r w:rsidR="00B5392C" w:rsidRPr="00D71008">
              <w:rPr>
                <w:b/>
                <w:noProof/>
                <w:sz w:val="24"/>
                <w:szCs w:val="24"/>
              </w:rPr>
              <w:t>11</w:t>
            </w:r>
            <w:r w:rsidRPr="00D71008">
              <w:rPr>
                <w:b/>
                <w:noProof/>
                <w:sz w:val="24"/>
                <w:szCs w:val="24"/>
              </w:rPr>
              <w:t xml:space="preserve"> – </w:t>
            </w:r>
            <w:r w:rsidRPr="004E336D">
              <w:rPr>
                <w:b/>
                <w:noProof/>
                <w:sz w:val="24"/>
                <w:szCs w:val="24"/>
              </w:rPr>
              <w:t xml:space="preserve">B2C MDMS </w:t>
            </w:r>
            <w:r w:rsidR="783AFE93" w:rsidRPr="004E336D">
              <w:rPr>
                <w:b/>
                <w:noProof/>
                <w:sz w:val="24"/>
                <w:szCs w:val="24"/>
              </w:rPr>
              <w:t xml:space="preserve">platforms </w:t>
            </w:r>
            <w:r w:rsidRPr="004E336D">
              <w:rPr>
                <w:b/>
                <w:noProof/>
                <w:sz w:val="24"/>
                <w:szCs w:val="24"/>
              </w:rPr>
              <w:t xml:space="preserve">with </w:t>
            </w:r>
            <w:r w:rsidR="00675D63" w:rsidRPr="004E336D">
              <w:rPr>
                <w:b/>
                <w:noProof/>
                <w:sz w:val="24"/>
                <w:szCs w:val="24"/>
              </w:rPr>
              <w:t>SMP</w:t>
            </w:r>
            <w:r w:rsidR="00E6095B" w:rsidRPr="004E336D">
              <w:rPr>
                <w:b/>
                <w:noProof/>
                <w:sz w:val="24"/>
                <w:szCs w:val="24"/>
              </w:rPr>
              <w:t>, indispensable RU platforms</w:t>
            </w:r>
            <w:r w:rsidR="00F452BA" w:rsidRPr="004E336D">
              <w:rPr>
                <w:b/>
                <w:noProof/>
                <w:sz w:val="24"/>
                <w:szCs w:val="24"/>
              </w:rPr>
              <w:t xml:space="preserve"> and B2B MDMS: </w:t>
            </w:r>
            <w:r w:rsidR="00F452BA" w:rsidRPr="004E336D">
              <w:rPr>
                <w:noProof/>
                <w:sz w:val="24"/>
                <w:szCs w:val="24"/>
              </w:rPr>
              <w:t>must</w:t>
            </w:r>
            <w:r w:rsidRPr="004E336D">
              <w:rPr>
                <w:noProof/>
                <w:sz w:val="24"/>
                <w:szCs w:val="24"/>
              </w:rPr>
              <w:t xml:space="preserve"> respect principles on distribution fees and cannot impose highly restrictive clauses (exclusivity clauses, unfair and unjustified conditions, marketing clauses and other technical restrictions) when entering into commercial agreements with transport operators</w:t>
            </w:r>
          </w:p>
        </w:tc>
        <w:tc>
          <w:tcPr>
            <w:tcW w:w="407" w:type="pct"/>
            <w:vMerge/>
            <w:vAlign w:val="center"/>
          </w:tcPr>
          <w:p w14:paraId="0BA54390" w14:textId="77777777" w:rsidR="003245A0" w:rsidRPr="00D71008" w:rsidRDefault="003245A0" w:rsidP="002C47CE">
            <w:pPr>
              <w:pStyle w:val="TableParagraph"/>
              <w:jc w:val="center"/>
              <w:rPr>
                <w:noProof/>
                <w:sz w:val="24"/>
                <w:szCs w:val="24"/>
              </w:rPr>
            </w:pPr>
          </w:p>
        </w:tc>
        <w:tc>
          <w:tcPr>
            <w:tcW w:w="537" w:type="pct"/>
            <w:tcBorders>
              <w:left w:val="single" w:sz="4" w:space="0" w:color="00549F"/>
              <w:right w:val="single" w:sz="4" w:space="0" w:color="00549F"/>
            </w:tcBorders>
            <w:vAlign w:val="center"/>
          </w:tcPr>
          <w:p w14:paraId="5E1D9678" w14:textId="2A0C1773" w:rsidR="003245A0" w:rsidRPr="00D71008" w:rsidRDefault="000859BC" w:rsidP="002C47CE">
            <w:pPr>
              <w:pStyle w:val="TableParagraph"/>
              <w:jc w:val="center"/>
              <w:rPr>
                <w:noProof/>
                <w:sz w:val="24"/>
                <w:szCs w:val="24"/>
              </w:rPr>
            </w:pPr>
            <w:r w:rsidRPr="00D71008">
              <w:rPr>
                <w:noProof/>
                <w:sz w:val="24"/>
                <w:szCs w:val="24"/>
              </w:rPr>
              <w:t>PD</w:t>
            </w:r>
            <w:r w:rsidR="00847EC3">
              <w:rPr>
                <w:noProof/>
                <w:sz w:val="24"/>
                <w:szCs w:val="24"/>
              </w:rPr>
              <w:t>3</w:t>
            </w:r>
          </w:p>
        </w:tc>
        <w:tc>
          <w:tcPr>
            <w:tcW w:w="2612" w:type="pct"/>
            <w:tcBorders>
              <w:left w:val="single" w:sz="4" w:space="0" w:color="00549F"/>
            </w:tcBorders>
          </w:tcPr>
          <w:p w14:paraId="3A6AD9DD" w14:textId="0497450C" w:rsidR="003245A0" w:rsidRDefault="003245A0" w:rsidP="00260CFF">
            <w:pPr>
              <w:pStyle w:val="TableParagraph"/>
              <w:spacing w:before="1"/>
              <w:ind w:right="71"/>
              <w:jc w:val="both"/>
              <w:rPr>
                <w:noProof/>
                <w:sz w:val="24"/>
                <w:szCs w:val="24"/>
              </w:rPr>
            </w:pPr>
            <w:r w:rsidRPr="00D71008">
              <w:rPr>
                <w:noProof/>
                <w:sz w:val="24"/>
                <w:szCs w:val="24"/>
              </w:rPr>
              <w:t xml:space="preserve">MDMS </w:t>
            </w:r>
            <w:r w:rsidR="0001422F" w:rsidRPr="00D71008">
              <w:rPr>
                <w:noProof/>
                <w:sz w:val="24"/>
                <w:szCs w:val="24"/>
              </w:rPr>
              <w:t>platforms</w:t>
            </w:r>
            <w:r w:rsidRPr="00D71008">
              <w:rPr>
                <w:noProof/>
                <w:sz w:val="24"/>
                <w:szCs w:val="24"/>
              </w:rPr>
              <w:t xml:space="preserve"> with </w:t>
            </w:r>
            <w:r w:rsidR="0001422F" w:rsidRPr="00D71008">
              <w:rPr>
                <w:noProof/>
                <w:sz w:val="24"/>
                <w:szCs w:val="24"/>
              </w:rPr>
              <w:t>SMP</w:t>
            </w:r>
            <w:r w:rsidR="00E6095B">
              <w:rPr>
                <w:noProof/>
                <w:sz w:val="24"/>
                <w:szCs w:val="24"/>
              </w:rPr>
              <w:t>, indispensable RU platforms</w:t>
            </w:r>
            <w:r w:rsidRPr="00D71008">
              <w:rPr>
                <w:noProof/>
                <w:sz w:val="24"/>
                <w:szCs w:val="24"/>
              </w:rPr>
              <w:t xml:space="preserve"> and B2B MDMS providers</w:t>
            </w:r>
            <w:r w:rsidR="00791832" w:rsidRPr="00D71008">
              <w:rPr>
                <w:noProof/>
                <w:sz w:val="24"/>
                <w:szCs w:val="24"/>
              </w:rPr>
              <w:t xml:space="preserve"> </w:t>
            </w:r>
            <w:r w:rsidRPr="00D71008">
              <w:rPr>
                <w:noProof/>
                <w:sz w:val="24"/>
                <w:szCs w:val="24"/>
              </w:rPr>
              <w:t>must</w:t>
            </w:r>
            <w:r w:rsidR="00A47938" w:rsidRPr="00D71008">
              <w:rPr>
                <w:noProof/>
                <w:sz w:val="24"/>
                <w:szCs w:val="24"/>
              </w:rPr>
              <w:t xml:space="preserve"> respect a set of rules when entering into a commercial agreement </w:t>
            </w:r>
            <w:r w:rsidR="00A84220" w:rsidRPr="00D71008">
              <w:rPr>
                <w:noProof/>
                <w:sz w:val="24"/>
                <w:szCs w:val="24"/>
              </w:rPr>
              <w:t xml:space="preserve">with an operator, such as </w:t>
            </w:r>
            <w:r w:rsidR="00442C8B" w:rsidRPr="00D71008">
              <w:rPr>
                <w:noProof/>
                <w:sz w:val="24"/>
                <w:szCs w:val="24"/>
              </w:rPr>
              <w:t>(1)</w:t>
            </w:r>
            <w:r w:rsidRPr="00D71008">
              <w:rPr>
                <w:noProof/>
                <w:sz w:val="24"/>
                <w:szCs w:val="24"/>
              </w:rPr>
              <w:t xml:space="preserve"> </w:t>
            </w:r>
            <w:r w:rsidR="00190887" w:rsidRPr="00D71008">
              <w:rPr>
                <w:noProof/>
                <w:sz w:val="24"/>
                <w:szCs w:val="24"/>
              </w:rPr>
              <w:t xml:space="preserve">the </w:t>
            </w:r>
            <w:r w:rsidRPr="00D71008">
              <w:rPr>
                <w:noProof/>
                <w:sz w:val="24"/>
                <w:szCs w:val="24"/>
              </w:rPr>
              <w:t>protect</w:t>
            </w:r>
            <w:r w:rsidR="00190887" w:rsidRPr="00D71008">
              <w:rPr>
                <w:noProof/>
                <w:sz w:val="24"/>
                <w:szCs w:val="24"/>
              </w:rPr>
              <w:t>ion of</w:t>
            </w:r>
            <w:r w:rsidRPr="00D71008">
              <w:rPr>
                <w:noProof/>
                <w:sz w:val="24"/>
                <w:szCs w:val="24"/>
              </w:rPr>
              <w:t xml:space="preserve"> commercially sensitive data, </w:t>
            </w:r>
            <w:r w:rsidR="00442C8B" w:rsidRPr="00D71008">
              <w:rPr>
                <w:noProof/>
                <w:sz w:val="24"/>
                <w:szCs w:val="24"/>
              </w:rPr>
              <w:t xml:space="preserve">(2) </w:t>
            </w:r>
            <w:r w:rsidR="00D55A10" w:rsidRPr="00D71008">
              <w:rPr>
                <w:noProof/>
                <w:sz w:val="24"/>
                <w:szCs w:val="24"/>
              </w:rPr>
              <w:t xml:space="preserve">cannot </w:t>
            </w:r>
            <w:r w:rsidR="00141392" w:rsidRPr="00D71008">
              <w:rPr>
                <w:noProof/>
                <w:sz w:val="24"/>
                <w:szCs w:val="24"/>
              </w:rPr>
              <w:t>att</w:t>
            </w:r>
            <w:r w:rsidR="0082060F" w:rsidRPr="00D71008">
              <w:rPr>
                <w:noProof/>
                <w:sz w:val="24"/>
                <w:szCs w:val="24"/>
              </w:rPr>
              <w:t>ach</w:t>
            </w:r>
            <w:r w:rsidRPr="00D71008">
              <w:rPr>
                <w:noProof/>
                <w:sz w:val="24"/>
                <w:szCs w:val="24"/>
              </w:rPr>
              <w:t xml:space="preserve"> unjustified contract conditions</w:t>
            </w:r>
            <w:r w:rsidR="000A0E29" w:rsidRPr="00D71008">
              <w:rPr>
                <w:noProof/>
                <w:sz w:val="24"/>
                <w:szCs w:val="24"/>
              </w:rPr>
              <w:t xml:space="preserve"> or unnecessary to the contract</w:t>
            </w:r>
            <w:r w:rsidR="00442C8B" w:rsidRPr="00D71008">
              <w:rPr>
                <w:noProof/>
                <w:sz w:val="24"/>
                <w:szCs w:val="24"/>
              </w:rPr>
              <w:t>(3)</w:t>
            </w:r>
            <w:r w:rsidRPr="00D71008">
              <w:rPr>
                <w:noProof/>
                <w:sz w:val="24"/>
                <w:szCs w:val="24"/>
              </w:rPr>
              <w:t xml:space="preserve"> apply remuneration based on objective </w:t>
            </w:r>
            <w:r w:rsidR="00B35B0D" w:rsidRPr="00D71008">
              <w:rPr>
                <w:noProof/>
                <w:sz w:val="24"/>
                <w:szCs w:val="24"/>
              </w:rPr>
              <w:t>and transparent</w:t>
            </w:r>
            <w:r w:rsidRPr="00D71008">
              <w:rPr>
                <w:noProof/>
                <w:sz w:val="24"/>
                <w:szCs w:val="24"/>
              </w:rPr>
              <w:t xml:space="preserve"> criteria</w:t>
            </w:r>
            <w:r w:rsidR="006C572C" w:rsidRPr="00D71008">
              <w:rPr>
                <w:noProof/>
                <w:sz w:val="24"/>
                <w:szCs w:val="24"/>
              </w:rPr>
              <w:t xml:space="preserve"> (such as</w:t>
            </w:r>
            <w:r w:rsidR="00B7233E" w:rsidRPr="00D71008">
              <w:rPr>
                <w:noProof/>
                <w:sz w:val="24"/>
                <w:szCs w:val="24"/>
              </w:rPr>
              <w:t xml:space="preserve"> quality and level of services, </w:t>
            </w:r>
            <w:r w:rsidR="00D23C17" w:rsidRPr="00D71008">
              <w:rPr>
                <w:noProof/>
                <w:sz w:val="24"/>
                <w:szCs w:val="24"/>
              </w:rPr>
              <w:t>annual volume of transport produ</w:t>
            </w:r>
            <w:r w:rsidR="00B01576" w:rsidRPr="00D71008">
              <w:rPr>
                <w:noProof/>
                <w:sz w:val="24"/>
                <w:szCs w:val="24"/>
              </w:rPr>
              <w:t>cts distributed, look-to</w:t>
            </w:r>
            <w:r w:rsidR="00C528B7" w:rsidRPr="00D71008">
              <w:rPr>
                <w:noProof/>
                <w:sz w:val="24"/>
                <w:szCs w:val="24"/>
              </w:rPr>
              <w:t>-book ratios, etc</w:t>
            </w:r>
            <w:r w:rsidR="006C572C" w:rsidRPr="00D71008">
              <w:rPr>
                <w:noProof/>
                <w:sz w:val="24"/>
                <w:szCs w:val="24"/>
              </w:rPr>
              <w:t>)</w:t>
            </w:r>
            <w:r w:rsidR="00C528B7" w:rsidRPr="00D71008">
              <w:rPr>
                <w:noProof/>
                <w:sz w:val="24"/>
                <w:szCs w:val="24"/>
              </w:rPr>
              <w:t>.</w:t>
            </w:r>
            <w:r w:rsidR="00851CC7" w:rsidRPr="00D71008">
              <w:rPr>
                <w:noProof/>
                <w:sz w:val="24"/>
                <w:szCs w:val="24"/>
              </w:rPr>
              <w:t>These criteria must be transparently shared with the operator</w:t>
            </w:r>
            <w:r w:rsidR="006769EC" w:rsidRPr="00D71008">
              <w:rPr>
                <w:noProof/>
                <w:sz w:val="24"/>
                <w:szCs w:val="24"/>
              </w:rPr>
              <w:t xml:space="preserve"> or the NEB if requested. </w:t>
            </w:r>
            <w:r w:rsidR="006A6ED2" w:rsidRPr="00D71008">
              <w:rPr>
                <w:noProof/>
                <w:sz w:val="24"/>
                <w:szCs w:val="24"/>
              </w:rPr>
              <w:t>They should</w:t>
            </w:r>
            <w:r w:rsidRPr="00D71008">
              <w:rPr>
                <w:noProof/>
                <w:sz w:val="24"/>
                <w:szCs w:val="24"/>
              </w:rPr>
              <w:t xml:space="preserve"> not discriminate between transport operators, </w:t>
            </w:r>
            <w:r w:rsidR="00D35EC5" w:rsidRPr="00D71008">
              <w:rPr>
                <w:noProof/>
                <w:sz w:val="24"/>
                <w:szCs w:val="24"/>
              </w:rPr>
              <w:t>and</w:t>
            </w:r>
            <w:r w:rsidRPr="00D71008">
              <w:rPr>
                <w:noProof/>
                <w:sz w:val="24"/>
                <w:szCs w:val="24"/>
              </w:rPr>
              <w:t xml:space="preserve"> B2B MDMS providers must ensure equal access to distribution facilities and maintain a clea</w:t>
            </w:r>
            <w:r w:rsidR="000679DC" w:rsidRPr="00D71008">
              <w:rPr>
                <w:noProof/>
                <w:sz w:val="24"/>
                <w:szCs w:val="24"/>
              </w:rPr>
              <w:t>r</w:t>
            </w:r>
            <w:r w:rsidRPr="00D71008">
              <w:rPr>
                <w:noProof/>
                <w:sz w:val="24"/>
                <w:szCs w:val="24"/>
              </w:rPr>
              <w:t xml:space="preserve"> software-based separation from transport operators' private systems.</w:t>
            </w:r>
          </w:p>
          <w:p w14:paraId="30226B69" w14:textId="36954BAB" w:rsidR="003245A0" w:rsidRPr="00D71008" w:rsidRDefault="000A22B9" w:rsidP="00260CFF">
            <w:pPr>
              <w:pStyle w:val="TableParagraph"/>
              <w:spacing w:before="1"/>
              <w:ind w:right="71"/>
              <w:jc w:val="both"/>
              <w:rPr>
                <w:noProof/>
                <w:sz w:val="24"/>
                <w:szCs w:val="24"/>
              </w:rPr>
            </w:pPr>
            <w:r w:rsidRPr="000A22B9">
              <w:rPr>
                <w:noProof/>
                <w:sz w:val="24"/>
                <w:szCs w:val="24"/>
              </w:rPr>
              <w:t xml:space="preserve">It should be noted that this PM retains and extends </w:t>
            </w:r>
            <w:r w:rsidR="00F31DA5">
              <w:rPr>
                <w:noProof/>
                <w:sz w:val="24"/>
                <w:szCs w:val="24"/>
              </w:rPr>
              <w:t>t</w:t>
            </w:r>
            <w:r w:rsidR="00380B89">
              <w:rPr>
                <w:noProof/>
                <w:sz w:val="24"/>
                <w:szCs w:val="24"/>
              </w:rPr>
              <w:t>he rules on fair tr</w:t>
            </w:r>
            <w:r w:rsidR="000E0B60">
              <w:rPr>
                <w:noProof/>
                <w:sz w:val="24"/>
                <w:szCs w:val="24"/>
              </w:rPr>
              <w:t xml:space="preserve">eatment of transport operators provided for by Article </w:t>
            </w:r>
            <w:r w:rsidR="001D32F2">
              <w:rPr>
                <w:noProof/>
                <w:sz w:val="24"/>
                <w:szCs w:val="24"/>
              </w:rPr>
              <w:t>3</w:t>
            </w:r>
            <w:r w:rsidR="000E0B60">
              <w:rPr>
                <w:noProof/>
                <w:sz w:val="24"/>
                <w:szCs w:val="24"/>
              </w:rPr>
              <w:t xml:space="preserve"> of the CRS Code of Conduct to all other B2B MDMS and </w:t>
            </w:r>
            <w:r w:rsidR="006B072B">
              <w:rPr>
                <w:noProof/>
                <w:sz w:val="24"/>
                <w:szCs w:val="24"/>
              </w:rPr>
              <w:t>to B2C MDMS with SMP</w:t>
            </w:r>
            <w:r w:rsidR="005E682A">
              <w:rPr>
                <w:noProof/>
                <w:sz w:val="24"/>
                <w:szCs w:val="24"/>
              </w:rPr>
              <w:t xml:space="preserve"> to </w:t>
            </w:r>
            <w:r w:rsidR="00A51C41">
              <w:rPr>
                <w:noProof/>
                <w:sz w:val="24"/>
                <w:szCs w:val="24"/>
              </w:rPr>
              <w:t>prevent abusive beh</w:t>
            </w:r>
            <w:r w:rsidR="00C8207C">
              <w:rPr>
                <w:noProof/>
                <w:sz w:val="24"/>
                <w:szCs w:val="24"/>
              </w:rPr>
              <w:t>av</w:t>
            </w:r>
            <w:r w:rsidR="00A51C41">
              <w:rPr>
                <w:noProof/>
                <w:sz w:val="24"/>
                <w:szCs w:val="24"/>
              </w:rPr>
              <w:t>iours through unfair and unjustified conditions</w:t>
            </w:r>
            <w:r w:rsidR="001A5EFA">
              <w:rPr>
                <w:noProof/>
                <w:sz w:val="24"/>
                <w:szCs w:val="24"/>
              </w:rPr>
              <w:t>. The</w:t>
            </w:r>
            <w:r w:rsidR="001D32F2">
              <w:rPr>
                <w:noProof/>
                <w:sz w:val="24"/>
                <w:szCs w:val="24"/>
              </w:rPr>
              <w:t>se</w:t>
            </w:r>
            <w:r w:rsidR="001A5EFA">
              <w:rPr>
                <w:noProof/>
                <w:sz w:val="24"/>
                <w:szCs w:val="24"/>
              </w:rPr>
              <w:t xml:space="preserve"> rules </w:t>
            </w:r>
            <w:r w:rsidR="001D32F2">
              <w:rPr>
                <w:noProof/>
                <w:sz w:val="24"/>
                <w:szCs w:val="24"/>
              </w:rPr>
              <w:t>are</w:t>
            </w:r>
            <w:r w:rsidR="00A51CE1">
              <w:rPr>
                <w:noProof/>
                <w:sz w:val="24"/>
                <w:szCs w:val="24"/>
              </w:rPr>
              <w:t xml:space="preserve"> retained and updated to ensure a better level playing field between different sized carriers, reducing the imbalance in bargain</w:t>
            </w:r>
            <w:r w:rsidR="008201B3">
              <w:rPr>
                <w:noProof/>
                <w:sz w:val="24"/>
                <w:szCs w:val="24"/>
              </w:rPr>
              <w:t>in</w:t>
            </w:r>
            <w:r w:rsidR="00A51CE1">
              <w:rPr>
                <w:noProof/>
                <w:sz w:val="24"/>
                <w:szCs w:val="24"/>
              </w:rPr>
              <w:t>g power vis-à-vis indispensable MDMS</w:t>
            </w:r>
            <w:r w:rsidR="001A5EAD">
              <w:rPr>
                <w:noProof/>
                <w:sz w:val="24"/>
                <w:szCs w:val="24"/>
              </w:rPr>
              <w:t xml:space="preserve"> (including CRSs)</w:t>
            </w:r>
            <w:r w:rsidR="00DB0AE5">
              <w:rPr>
                <w:noProof/>
                <w:sz w:val="24"/>
                <w:szCs w:val="24"/>
              </w:rPr>
              <w:t xml:space="preserve">. </w:t>
            </w:r>
            <w:r w:rsidR="005142C2">
              <w:rPr>
                <w:noProof/>
                <w:sz w:val="24"/>
                <w:szCs w:val="24"/>
              </w:rPr>
              <w:t>More</w:t>
            </w:r>
            <w:r w:rsidR="0098442A">
              <w:rPr>
                <w:noProof/>
                <w:sz w:val="24"/>
                <w:szCs w:val="24"/>
              </w:rPr>
              <w:t xml:space="preserve"> transparency</w:t>
            </w:r>
            <w:r w:rsidR="00DB0AE5">
              <w:rPr>
                <w:noProof/>
                <w:sz w:val="24"/>
                <w:szCs w:val="24"/>
              </w:rPr>
              <w:t xml:space="preserve"> </w:t>
            </w:r>
            <w:r w:rsidR="0098442A">
              <w:rPr>
                <w:noProof/>
                <w:sz w:val="24"/>
                <w:szCs w:val="24"/>
              </w:rPr>
              <w:t>on</w:t>
            </w:r>
            <w:r w:rsidR="00DB0AE5">
              <w:rPr>
                <w:noProof/>
                <w:sz w:val="24"/>
                <w:szCs w:val="24"/>
              </w:rPr>
              <w:t xml:space="preserve"> the level of fees </w:t>
            </w:r>
            <w:r w:rsidR="00A750FF">
              <w:rPr>
                <w:noProof/>
                <w:sz w:val="24"/>
                <w:szCs w:val="24"/>
              </w:rPr>
              <w:t>will facilitate cooperation as fees are</w:t>
            </w:r>
            <w:r w:rsidR="00DB0AE5">
              <w:rPr>
                <w:noProof/>
                <w:sz w:val="24"/>
                <w:szCs w:val="24"/>
              </w:rPr>
              <w:t xml:space="preserve"> one of the most cont</w:t>
            </w:r>
            <w:r w:rsidR="00EE2507">
              <w:rPr>
                <w:noProof/>
                <w:sz w:val="24"/>
                <w:szCs w:val="24"/>
              </w:rPr>
              <w:t xml:space="preserve">roversial </w:t>
            </w:r>
            <w:r w:rsidR="0098442A">
              <w:rPr>
                <w:noProof/>
                <w:sz w:val="24"/>
                <w:szCs w:val="24"/>
              </w:rPr>
              <w:t>elements</w:t>
            </w:r>
            <w:r w:rsidR="009445BC">
              <w:rPr>
                <w:noProof/>
                <w:sz w:val="24"/>
                <w:szCs w:val="24"/>
              </w:rPr>
              <w:t xml:space="preserve"> in </w:t>
            </w:r>
            <w:r w:rsidR="00A750FF">
              <w:rPr>
                <w:noProof/>
                <w:sz w:val="24"/>
                <w:szCs w:val="24"/>
              </w:rPr>
              <w:t xml:space="preserve">the </w:t>
            </w:r>
            <w:r w:rsidR="009445BC">
              <w:rPr>
                <w:noProof/>
                <w:sz w:val="24"/>
                <w:szCs w:val="24"/>
              </w:rPr>
              <w:t>negotiations</w:t>
            </w:r>
            <w:r w:rsidR="0098442A">
              <w:rPr>
                <w:noProof/>
                <w:sz w:val="24"/>
                <w:szCs w:val="24"/>
              </w:rPr>
              <w:t xml:space="preserve"> </w:t>
            </w:r>
            <w:r w:rsidR="00A750FF">
              <w:rPr>
                <w:noProof/>
                <w:sz w:val="24"/>
                <w:szCs w:val="24"/>
              </w:rPr>
              <w:t xml:space="preserve">of distribution agreements. </w:t>
            </w:r>
          </w:p>
        </w:tc>
      </w:tr>
      <w:tr w:rsidR="000859BC" w:rsidRPr="00D71008" w14:paraId="257817E1" w14:textId="77777777" w:rsidTr="001E50E2">
        <w:trPr>
          <w:trHeight w:val="479"/>
          <w:jc w:val="center"/>
        </w:trPr>
        <w:tc>
          <w:tcPr>
            <w:tcW w:w="1444" w:type="pct"/>
            <w:tcBorders>
              <w:right w:val="single" w:sz="4" w:space="0" w:color="00549F"/>
            </w:tcBorders>
          </w:tcPr>
          <w:p w14:paraId="4745AC94" w14:textId="7A16B425" w:rsidR="000859BC" w:rsidRPr="00D71008" w:rsidRDefault="000859BC" w:rsidP="000055BB">
            <w:pPr>
              <w:pStyle w:val="TableParagraph"/>
              <w:spacing w:before="1"/>
              <w:ind w:right="71"/>
              <w:jc w:val="both"/>
              <w:rPr>
                <w:b/>
                <w:noProof/>
                <w:color w:val="000000" w:themeColor="text1"/>
                <w:sz w:val="24"/>
                <w:szCs w:val="24"/>
                <w:lang w:eastAsia="en-IE"/>
              </w:rPr>
            </w:pPr>
            <w:r w:rsidRPr="00D71008">
              <w:rPr>
                <w:b/>
                <w:noProof/>
                <w:color w:val="000000" w:themeColor="text1"/>
                <w:sz w:val="24"/>
                <w:szCs w:val="24"/>
                <w:lang w:eastAsia="en-IE"/>
              </w:rPr>
              <w:t>PM</w:t>
            </w:r>
            <w:r w:rsidRPr="00D71008" w:rsidDel="00B5392C">
              <w:rPr>
                <w:b/>
                <w:noProof/>
                <w:color w:val="000000" w:themeColor="text1"/>
                <w:sz w:val="24"/>
                <w:szCs w:val="24"/>
                <w:lang w:eastAsia="en-IE"/>
              </w:rPr>
              <w:t xml:space="preserve"> </w:t>
            </w:r>
            <w:r w:rsidRPr="00D71008">
              <w:rPr>
                <w:b/>
                <w:noProof/>
                <w:color w:val="000000" w:themeColor="text1"/>
                <w:sz w:val="24"/>
                <w:szCs w:val="24"/>
                <w:lang w:eastAsia="en-IE"/>
              </w:rPr>
              <w:t>12</w:t>
            </w:r>
            <w:r w:rsidRPr="00D71008">
              <w:rPr>
                <w:noProof/>
                <w:color w:val="000000" w:themeColor="text1"/>
                <w:sz w:val="24"/>
                <w:szCs w:val="24"/>
                <w:lang w:eastAsia="en-IE"/>
              </w:rPr>
              <w:t xml:space="preserve"> </w:t>
            </w:r>
            <w:r w:rsidRPr="00D71008">
              <w:rPr>
                <w:b/>
                <w:noProof/>
                <w:sz w:val="24"/>
                <w:szCs w:val="24"/>
              </w:rPr>
              <w:t xml:space="preserve">– </w:t>
            </w:r>
            <w:r w:rsidRPr="004E336D">
              <w:rPr>
                <w:b/>
                <w:noProof/>
                <w:color w:val="000000" w:themeColor="text1"/>
                <w:sz w:val="24"/>
                <w:szCs w:val="24"/>
                <w:lang w:eastAsia="en-IE"/>
              </w:rPr>
              <w:t xml:space="preserve">Indispensable RUs (with SMP and </w:t>
            </w:r>
            <w:r w:rsidRPr="00245BC2">
              <w:rPr>
                <w:b/>
                <w:noProof/>
                <w:color w:val="000000" w:themeColor="text1"/>
                <w:sz w:val="24"/>
                <w:szCs w:val="24"/>
                <w:lang w:eastAsia="en-IE"/>
              </w:rPr>
              <w:t>operating</w:t>
            </w:r>
            <w:r w:rsidRPr="004E336D">
              <w:rPr>
                <w:b/>
                <w:noProof/>
                <w:color w:val="000000" w:themeColor="text1"/>
                <w:sz w:val="24"/>
                <w:szCs w:val="24"/>
                <w:lang w:eastAsia="en-IE"/>
              </w:rPr>
              <w:t xml:space="preserve"> PSO and cross- border services): </w:t>
            </w:r>
            <w:r w:rsidRPr="004E336D">
              <w:rPr>
                <w:noProof/>
                <w:color w:val="000000" w:themeColor="text1"/>
                <w:sz w:val="24"/>
                <w:szCs w:val="24"/>
                <w:lang w:eastAsia="en-IE"/>
              </w:rPr>
              <w:t>must respect principles on distribution fees without imposing restrictive clauses (exclusivity clauses, marketing clauses and other technical restrictions) when entering into commercial agreements with MDMS platforms</w:t>
            </w:r>
          </w:p>
        </w:tc>
        <w:tc>
          <w:tcPr>
            <w:tcW w:w="407" w:type="pct"/>
            <w:vMerge/>
            <w:vAlign w:val="center"/>
          </w:tcPr>
          <w:p w14:paraId="56FA8A59" w14:textId="77777777" w:rsidR="000859BC" w:rsidRPr="00D71008" w:rsidRDefault="000859BC" w:rsidP="002C47CE">
            <w:pPr>
              <w:pStyle w:val="TableParagraph"/>
              <w:jc w:val="center"/>
              <w:rPr>
                <w:noProof/>
                <w:sz w:val="24"/>
                <w:szCs w:val="24"/>
              </w:rPr>
            </w:pPr>
          </w:p>
        </w:tc>
        <w:tc>
          <w:tcPr>
            <w:tcW w:w="537" w:type="pct"/>
            <w:vMerge w:val="restart"/>
            <w:tcBorders>
              <w:left w:val="single" w:sz="4" w:space="0" w:color="00549F"/>
              <w:right w:val="single" w:sz="4" w:space="0" w:color="00549F"/>
            </w:tcBorders>
            <w:vAlign w:val="center"/>
          </w:tcPr>
          <w:p w14:paraId="07508BC4" w14:textId="69C21986" w:rsidR="00847EC3" w:rsidRDefault="00847EC3" w:rsidP="002C47CE">
            <w:pPr>
              <w:pStyle w:val="TableParagraph"/>
              <w:jc w:val="center"/>
              <w:rPr>
                <w:noProof/>
                <w:sz w:val="24"/>
                <w:szCs w:val="24"/>
              </w:rPr>
            </w:pPr>
          </w:p>
          <w:p w14:paraId="649A5757" w14:textId="6E97A276" w:rsidR="000859BC" w:rsidRDefault="00847EC3" w:rsidP="002C47CE">
            <w:pPr>
              <w:pStyle w:val="TableParagraph"/>
              <w:jc w:val="center"/>
              <w:rPr>
                <w:noProof/>
                <w:sz w:val="24"/>
                <w:szCs w:val="24"/>
              </w:rPr>
            </w:pPr>
            <w:r>
              <w:rPr>
                <w:noProof/>
                <w:sz w:val="24"/>
                <w:szCs w:val="24"/>
              </w:rPr>
              <w:t>PD4</w:t>
            </w:r>
          </w:p>
        </w:tc>
        <w:tc>
          <w:tcPr>
            <w:tcW w:w="2612" w:type="pct"/>
            <w:tcBorders>
              <w:left w:val="single" w:sz="4" w:space="0" w:color="00549F"/>
            </w:tcBorders>
          </w:tcPr>
          <w:p w14:paraId="10158ABC" w14:textId="6DA758BE" w:rsidR="000859BC" w:rsidRPr="00D71008" w:rsidRDefault="000859BC" w:rsidP="00E624BD">
            <w:pPr>
              <w:pStyle w:val="TableParagraph"/>
              <w:ind w:right="74"/>
              <w:jc w:val="both"/>
              <w:rPr>
                <w:noProof/>
                <w:sz w:val="24"/>
                <w:szCs w:val="24"/>
              </w:rPr>
            </w:pPr>
            <w:r w:rsidRPr="00D71008">
              <w:rPr>
                <w:noProof/>
                <w:sz w:val="24"/>
                <w:szCs w:val="24"/>
              </w:rPr>
              <w:t xml:space="preserve">Under PM 13, </w:t>
            </w:r>
            <w:r w:rsidRPr="004E336D">
              <w:rPr>
                <w:noProof/>
                <w:sz w:val="24"/>
                <w:szCs w:val="24"/>
              </w:rPr>
              <w:t>indispensable RUs (with SMP) and all other rail undertakings in relation to PSO and cross</w:t>
            </w:r>
            <w:r w:rsidRPr="004E336D">
              <w:rPr>
                <w:b/>
                <w:noProof/>
                <w:sz w:val="24"/>
                <w:szCs w:val="24"/>
              </w:rPr>
              <w:t xml:space="preserve">- </w:t>
            </w:r>
            <w:r w:rsidRPr="004E336D">
              <w:rPr>
                <w:noProof/>
                <w:sz w:val="24"/>
                <w:szCs w:val="24"/>
              </w:rPr>
              <w:t>border services</w:t>
            </w:r>
            <w:r w:rsidRPr="00D71008">
              <w:rPr>
                <w:bCs/>
                <w:noProof/>
                <w:color w:val="000000" w:themeColor="text1"/>
                <w:sz w:val="24"/>
                <w:szCs w:val="24"/>
                <w:lang w:eastAsia="en-IE"/>
              </w:rPr>
              <w:t>,</w:t>
            </w:r>
            <w:r w:rsidRPr="00D71008">
              <w:rPr>
                <w:noProof/>
                <w:sz w:val="24"/>
                <w:szCs w:val="24"/>
              </w:rPr>
              <w:t xml:space="preserve"> are obliged to enter into a commercial agreement when requested by an online distribution platform. </w:t>
            </w:r>
            <w:r>
              <w:rPr>
                <w:noProof/>
                <w:sz w:val="24"/>
                <w:szCs w:val="24"/>
              </w:rPr>
              <w:t>W</w:t>
            </w:r>
            <w:r w:rsidRPr="00D71008">
              <w:rPr>
                <w:noProof/>
                <w:sz w:val="24"/>
                <w:szCs w:val="24"/>
              </w:rPr>
              <w:t xml:space="preserve">hen entering a commercial agreement with an online distribution platform, these entities must apply non-discriminatory and reasonable contract conditions. </w:t>
            </w:r>
            <w:r>
              <w:rPr>
                <w:noProof/>
                <w:sz w:val="24"/>
                <w:szCs w:val="24"/>
              </w:rPr>
              <w:t>Beyond, they</w:t>
            </w:r>
            <w:r w:rsidRPr="00D71008">
              <w:rPr>
                <w:noProof/>
                <w:sz w:val="24"/>
                <w:szCs w:val="24"/>
              </w:rPr>
              <w:t xml:space="preserve"> may not include conditions that would prevent the online distribution platform to combine their tickets and fares with any other ticket of other </w:t>
            </w:r>
            <w:r>
              <w:rPr>
                <w:noProof/>
                <w:sz w:val="24"/>
                <w:szCs w:val="24"/>
              </w:rPr>
              <w:t>RU</w:t>
            </w:r>
            <w:r w:rsidRPr="00D71008">
              <w:rPr>
                <w:noProof/>
                <w:sz w:val="24"/>
                <w:szCs w:val="24"/>
              </w:rPr>
              <w:t>s, and which would potentially prevent the platforms to offer single tickets.</w:t>
            </w:r>
          </w:p>
        </w:tc>
      </w:tr>
      <w:tr w:rsidR="00096BC4" w:rsidRPr="00D71008" w14:paraId="65E7D46A" w14:textId="77777777" w:rsidTr="001E50E2">
        <w:trPr>
          <w:trHeight w:val="479"/>
          <w:jc w:val="center"/>
        </w:trPr>
        <w:tc>
          <w:tcPr>
            <w:tcW w:w="1444" w:type="pct"/>
            <w:tcBorders>
              <w:right w:val="single" w:sz="4" w:space="0" w:color="00549F"/>
            </w:tcBorders>
          </w:tcPr>
          <w:p w14:paraId="79666B2E" w14:textId="683549CF" w:rsidR="005F461E" w:rsidRPr="00D71008" w:rsidRDefault="0091329B" w:rsidP="000055BB">
            <w:pPr>
              <w:pStyle w:val="TableParagraph"/>
              <w:spacing w:before="1"/>
              <w:ind w:right="71"/>
              <w:jc w:val="both"/>
              <w:rPr>
                <w:b/>
                <w:noProof/>
                <w:color w:val="000000"/>
                <w:sz w:val="24"/>
                <w:szCs w:val="24"/>
                <w:lang w:eastAsia="en-IE"/>
              </w:rPr>
            </w:pPr>
            <w:r w:rsidRPr="00D71008">
              <w:rPr>
                <w:b/>
                <w:noProof/>
                <w:color w:val="000000" w:themeColor="text1"/>
                <w:sz w:val="24"/>
                <w:szCs w:val="24"/>
                <w:lang w:eastAsia="en-IE"/>
              </w:rPr>
              <w:t>PM 1</w:t>
            </w:r>
            <w:r w:rsidR="009668DB" w:rsidRPr="00D71008">
              <w:rPr>
                <w:b/>
                <w:noProof/>
                <w:color w:val="000000" w:themeColor="text1"/>
                <w:sz w:val="24"/>
                <w:szCs w:val="24"/>
                <w:lang w:eastAsia="en-IE"/>
              </w:rPr>
              <w:t>3</w:t>
            </w:r>
            <w:r w:rsidRPr="00D71008">
              <w:rPr>
                <w:noProof/>
                <w:color w:val="000000" w:themeColor="text1"/>
                <w:sz w:val="24"/>
                <w:szCs w:val="24"/>
                <w:lang w:eastAsia="en-IE"/>
              </w:rPr>
              <w:t xml:space="preserve"> </w:t>
            </w:r>
            <w:r w:rsidRPr="00D71008">
              <w:rPr>
                <w:b/>
                <w:noProof/>
                <w:sz w:val="24"/>
                <w:szCs w:val="24"/>
              </w:rPr>
              <w:t xml:space="preserve">– </w:t>
            </w:r>
            <w:r w:rsidR="002C6656" w:rsidRPr="005D2D60">
              <w:rPr>
                <w:b/>
                <w:noProof/>
                <w:sz w:val="24"/>
                <w:szCs w:val="24"/>
              </w:rPr>
              <w:t>Indispensable</w:t>
            </w:r>
            <w:r w:rsidR="002410A1" w:rsidRPr="005D2D60">
              <w:rPr>
                <w:b/>
                <w:noProof/>
                <w:sz w:val="24"/>
                <w:szCs w:val="24"/>
              </w:rPr>
              <w:t xml:space="preserve"> </w:t>
            </w:r>
            <w:r w:rsidR="001358ED" w:rsidRPr="005D2D60">
              <w:rPr>
                <w:b/>
                <w:noProof/>
                <w:sz w:val="24"/>
                <w:szCs w:val="24"/>
              </w:rPr>
              <w:t>RU</w:t>
            </w:r>
            <w:r w:rsidR="004A2256" w:rsidRPr="005D2D60">
              <w:rPr>
                <w:b/>
                <w:noProof/>
                <w:sz w:val="24"/>
                <w:szCs w:val="24"/>
              </w:rPr>
              <w:t>s</w:t>
            </w:r>
            <w:r w:rsidR="002410A1" w:rsidRPr="005D2D60">
              <w:rPr>
                <w:b/>
                <w:noProof/>
                <w:sz w:val="24"/>
                <w:szCs w:val="24"/>
              </w:rPr>
              <w:t xml:space="preserve"> (with SMP </w:t>
            </w:r>
            <w:r w:rsidR="00C4597A" w:rsidRPr="005D2D60">
              <w:rPr>
                <w:b/>
                <w:noProof/>
                <w:sz w:val="24"/>
                <w:szCs w:val="24"/>
              </w:rPr>
              <w:t xml:space="preserve">and </w:t>
            </w:r>
            <w:r w:rsidR="00245BC2" w:rsidRPr="005D2D60">
              <w:rPr>
                <w:b/>
                <w:noProof/>
                <w:sz w:val="24"/>
                <w:szCs w:val="24"/>
              </w:rPr>
              <w:t>operating</w:t>
            </w:r>
            <w:r w:rsidR="002410A1" w:rsidRPr="005D2D60">
              <w:rPr>
                <w:b/>
                <w:noProof/>
                <w:sz w:val="24"/>
                <w:szCs w:val="24"/>
              </w:rPr>
              <w:t xml:space="preserve"> PSO and cross- border services): </w:t>
            </w:r>
            <w:r w:rsidR="002C6656" w:rsidRPr="005D2D60">
              <w:rPr>
                <w:noProof/>
                <w:sz w:val="24"/>
                <w:szCs w:val="24"/>
              </w:rPr>
              <w:t>must</w:t>
            </w:r>
            <w:r w:rsidR="002410A1" w:rsidRPr="005D2D60">
              <w:rPr>
                <w:noProof/>
                <w:sz w:val="24"/>
                <w:szCs w:val="24"/>
              </w:rPr>
              <w:t xml:space="preserve"> enter into commercial </w:t>
            </w:r>
            <w:r w:rsidR="002C6656" w:rsidRPr="005D2D60">
              <w:rPr>
                <w:noProof/>
                <w:sz w:val="24"/>
                <w:szCs w:val="24"/>
              </w:rPr>
              <w:t>agreements</w:t>
            </w:r>
            <w:r w:rsidR="002410A1" w:rsidRPr="005D2D60">
              <w:rPr>
                <w:noProof/>
                <w:sz w:val="24"/>
                <w:szCs w:val="24"/>
              </w:rPr>
              <w:t xml:space="preserve"> with </w:t>
            </w:r>
            <w:r w:rsidR="00FC0229" w:rsidRPr="005D2D60">
              <w:rPr>
                <w:noProof/>
                <w:sz w:val="24"/>
                <w:szCs w:val="24"/>
              </w:rPr>
              <w:t>requesting MDMS</w:t>
            </w:r>
            <w:r w:rsidR="002C6656" w:rsidRPr="005D2D60">
              <w:rPr>
                <w:noProof/>
                <w:sz w:val="24"/>
                <w:szCs w:val="24"/>
              </w:rPr>
              <w:t xml:space="preserve"> platforms</w:t>
            </w:r>
            <w:r w:rsidR="002410A1" w:rsidRPr="005D2D60">
              <w:rPr>
                <w:noProof/>
                <w:sz w:val="24"/>
                <w:szCs w:val="24"/>
              </w:rPr>
              <w:t xml:space="preserve"> to enable the </w:t>
            </w:r>
            <w:r w:rsidR="002C6656" w:rsidRPr="005D2D60">
              <w:rPr>
                <w:noProof/>
                <w:sz w:val="24"/>
                <w:szCs w:val="24"/>
              </w:rPr>
              <w:t>re-linking, resale and/</w:t>
            </w:r>
            <w:r w:rsidR="0019083A" w:rsidRPr="005D2D60">
              <w:rPr>
                <w:noProof/>
                <w:sz w:val="24"/>
                <w:szCs w:val="24"/>
              </w:rPr>
              <w:t xml:space="preserve">or </w:t>
            </w:r>
            <w:r w:rsidR="00085606" w:rsidRPr="005D2D60">
              <w:rPr>
                <w:noProof/>
                <w:sz w:val="24"/>
                <w:szCs w:val="24"/>
              </w:rPr>
              <w:t>distribution</w:t>
            </w:r>
            <w:r w:rsidR="002410A1" w:rsidRPr="005D2D60">
              <w:rPr>
                <w:noProof/>
                <w:sz w:val="24"/>
                <w:szCs w:val="24"/>
              </w:rPr>
              <w:t xml:space="preserve"> of </w:t>
            </w:r>
            <w:r w:rsidR="002C6656" w:rsidRPr="005D2D60">
              <w:rPr>
                <w:noProof/>
                <w:sz w:val="24"/>
                <w:szCs w:val="24"/>
              </w:rPr>
              <w:t xml:space="preserve">their </w:t>
            </w:r>
            <w:r w:rsidR="002410A1" w:rsidRPr="005D2D60">
              <w:rPr>
                <w:noProof/>
                <w:sz w:val="24"/>
                <w:szCs w:val="24"/>
              </w:rPr>
              <w:t>tickets</w:t>
            </w:r>
            <w:r w:rsidR="00FC0229" w:rsidRPr="005D2D60">
              <w:rPr>
                <w:noProof/>
                <w:sz w:val="24"/>
                <w:szCs w:val="24"/>
              </w:rPr>
              <w:t xml:space="preserve"> via those platforms for the specified services (‘sharing obligation’)</w:t>
            </w:r>
          </w:p>
        </w:tc>
        <w:tc>
          <w:tcPr>
            <w:tcW w:w="407" w:type="pct"/>
            <w:vMerge w:val="restart"/>
            <w:tcBorders>
              <w:right w:val="single" w:sz="4" w:space="0" w:color="00549F"/>
            </w:tcBorders>
            <w:vAlign w:val="center"/>
          </w:tcPr>
          <w:p w14:paraId="692AC81B" w14:textId="7210A2EE" w:rsidR="005F461E" w:rsidRPr="00D71008" w:rsidRDefault="000859BC" w:rsidP="002C47CE">
            <w:pPr>
              <w:pStyle w:val="TableParagraph"/>
              <w:jc w:val="center"/>
              <w:rPr>
                <w:noProof/>
                <w:sz w:val="24"/>
                <w:szCs w:val="24"/>
              </w:rPr>
            </w:pPr>
            <w:r>
              <w:rPr>
                <w:noProof/>
                <w:sz w:val="24"/>
                <w:szCs w:val="24"/>
              </w:rPr>
              <w:t>SO2</w:t>
            </w:r>
          </w:p>
        </w:tc>
        <w:tc>
          <w:tcPr>
            <w:tcW w:w="537" w:type="pct"/>
            <w:vMerge/>
            <w:vAlign w:val="center"/>
          </w:tcPr>
          <w:p w14:paraId="294BB284" w14:textId="7734DD1E" w:rsidR="005F461E" w:rsidRPr="00D71008" w:rsidRDefault="005F461E" w:rsidP="002C47CE">
            <w:pPr>
              <w:pStyle w:val="TableParagraph"/>
              <w:jc w:val="center"/>
              <w:rPr>
                <w:noProof/>
                <w:sz w:val="24"/>
                <w:szCs w:val="24"/>
              </w:rPr>
            </w:pPr>
          </w:p>
        </w:tc>
        <w:tc>
          <w:tcPr>
            <w:tcW w:w="2612" w:type="pct"/>
            <w:tcBorders>
              <w:left w:val="single" w:sz="4" w:space="0" w:color="00549F"/>
            </w:tcBorders>
          </w:tcPr>
          <w:p w14:paraId="580C2B59" w14:textId="20507748" w:rsidR="005F461E" w:rsidRPr="00D71008" w:rsidRDefault="00223B36" w:rsidP="00260CFF">
            <w:pPr>
              <w:pStyle w:val="TableParagraph"/>
              <w:spacing w:before="1"/>
              <w:ind w:right="71"/>
              <w:jc w:val="both"/>
              <w:rPr>
                <w:noProof/>
                <w:sz w:val="24"/>
                <w:szCs w:val="24"/>
              </w:rPr>
            </w:pPr>
            <w:r w:rsidRPr="004E336D">
              <w:rPr>
                <w:noProof/>
                <w:sz w:val="24"/>
                <w:szCs w:val="24"/>
              </w:rPr>
              <w:t xml:space="preserve">Indispensable </w:t>
            </w:r>
            <w:r w:rsidR="001358ED" w:rsidRPr="004E336D">
              <w:rPr>
                <w:noProof/>
                <w:sz w:val="24"/>
                <w:szCs w:val="24"/>
              </w:rPr>
              <w:t>RU</w:t>
            </w:r>
            <w:r w:rsidR="00BA3177" w:rsidRPr="004E336D">
              <w:rPr>
                <w:noProof/>
                <w:sz w:val="24"/>
                <w:szCs w:val="24"/>
              </w:rPr>
              <w:t>s</w:t>
            </w:r>
            <w:r w:rsidR="00511C6F" w:rsidRPr="004E336D">
              <w:rPr>
                <w:noProof/>
                <w:sz w:val="24"/>
                <w:szCs w:val="24"/>
              </w:rPr>
              <w:t xml:space="preserve"> </w:t>
            </w:r>
            <w:r w:rsidRPr="004E336D">
              <w:rPr>
                <w:noProof/>
                <w:sz w:val="24"/>
                <w:szCs w:val="24"/>
              </w:rPr>
              <w:t>(with SMP</w:t>
            </w:r>
            <w:r w:rsidR="00511C6F" w:rsidRPr="004E336D">
              <w:rPr>
                <w:noProof/>
                <w:sz w:val="24"/>
                <w:szCs w:val="24"/>
              </w:rPr>
              <w:t xml:space="preserve"> in any given Member </w:t>
            </w:r>
            <w:r w:rsidR="00D351BD" w:rsidRPr="004E336D">
              <w:rPr>
                <w:noProof/>
                <w:sz w:val="24"/>
                <w:szCs w:val="24"/>
              </w:rPr>
              <w:t xml:space="preserve">State </w:t>
            </w:r>
            <w:r w:rsidRPr="004E336D">
              <w:rPr>
                <w:noProof/>
                <w:sz w:val="24"/>
                <w:szCs w:val="24"/>
              </w:rPr>
              <w:t>and all other rail undertakings in relation to PSO and cross- border services)</w:t>
            </w:r>
            <w:r w:rsidR="00D351BD" w:rsidRPr="00223B36">
              <w:rPr>
                <w:bCs/>
                <w:noProof/>
                <w:sz w:val="24"/>
                <w:szCs w:val="24"/>
              </w:rPr>
              <w:t xml:space="preserve"> </w:t>
            </w:r>
            <w:r w:rsidR="00511C6F" w:rsidRPr="00D71008">
              <w:rPr>
                <w:noProof/>
                <w:sz w:val="24"/>
                <w:szCs w:val="24"/>
              </w:rPr>
              <w:t xml:space="preserve">will be obliged to enter </w:t>
            </w:r>
            <w:r w:rsidR="00D351BD" w:rsidRPr="00D71008">
              <w:rPr>
                <w:noProof/>
                <w:sz w:val="24"/>
                <w:szCs w:val="24"/>
              </w:rPr>
              <w:t xml:space="preserve">into </w:t>
            </w:r>
            <w:r w:rsidR="00511C6F" w:rsidRPr="00D71008">
              <w:rPr>
                <w:noProof/>
                <w:sz w:val="24"/>
                <w:szCs w:val="24"/>
              </w:rPr>
              <w:t xml:space="preserve">a commercial agreement with any requesting </w:t>
            </w:r>
            <w:r w:rsidR="00531FE5" w:rsidRPr="00D71008">
              <w:rPr>
                <w:noProof/>
                <w:sz w:val="24"/>
                <w:szCs w:val="24"/>
              </w:rPr>
              <w:t xml:space="preserve">online </w:t>
            </w:r>
            <w:r w:rsidR="0050612C">
              <w:rPr>
                <w:noProof/>
                <w:sz w:val="24"/>
                <w:szCs w:val="24"/>
              </w:rPr>
              <w:t>ticketing</w:t>
            </w:r>
            <w:r w:rsidR="00531FE5" w:rsidRPr="00D71008">
              <w:rPr>
                <w:noProof/>
                <w:sz w:val="24"/>
                <w:szCs w:val="24"/>
              </w:rPr>
              <w:t xml:space="preserve"> platform</w:t>
            </w:r>
            <w:r w:rsidR="00511C6F" w:rsidRPr="00D71008">
              <w:rPr>
                <w:noProof/>
                <w:sz w:val="24"/>
                <w:szCs w:val="24"/>
              </w:rPr>
              <w:t xml:space="preserve"> to enable </w:t>
            </w:r>
            <w:r w:rsidR="000A7EB6" w:rsidRPr="004E336D">
              <w:rPr>
                <w:noProof/>
                <w:sz w:val="24"/>
                <w:szCs w:val="24"/>
              </w:rPr>
              <w:t xml:space="preserve">re-linking, resale and/or distribution </w:t>
            </w:r>
            <w:r w:rsidR="00511C6F" w:rsidRPr="004E336D">
              <w:rPr>
                <w:noProof/>
                <w:sz w:val="24"/>
                <w:szCs w:val="24"/>
              </w:rPr>
              <w:t xml:space="preserve">of </w:t>
            </w:r>
            <w:r w:rsidR="000A7EB6" w:rsidRPr="004E336D">
              <w:rPr>
                <w:noProof/>
                <w:sz w:val="24"/>
                <w:szCs w:val="24"/>
              </w:rPr>
              <w:t xml:space="preserve">their </w:t>
            </w:r>
            <w:r w:rsidR="00511C6F" w:rsidRPr="004E336D">
              <w:rPr>
                <w:noProof/>
                <w:sz w:val="24"/>
                <w:szCs w:val="24"/>
              </w:rPr>
              <w:t>tickets</w:t>
            </w:r>
            <w:r w:rsidR="00511C6F" w:rsidRPr="00D71008">
              <w:rPr>
                <w:noProof/>
                <w:sz w:val="24"/>
                <w:szCs w:val="24"/>
              </w:rPr>
              <w:t xml:space="preserve"> </w:t>
            </w:r>
            <w:r w:rsidR="006575FD">
              <w:rPr>
                <w:noProof/>
                <w:sz w:val="24"/>
                <w:szCs w:val="24"/>
              </w:rPr>
              <w:t xml:space="preserve">(depending on the </w:t>
            </w:r>
            <w:r>
              <w:rPr>
                <w:noProof/>
                <w:sz w:val="24"/>
                <w:szCs w:val="24"/>
              </w:rPr>
              <w:t>request</w:t>
            </w:r>
            <w:r w:rsidR="006575FD">
              <w:rPr>
                <w:noProof/>
                <w:sz w:val="24"/>
                <w:szCs w:val="24"/>
              </w:rPr>
              <w:t xml:space="preserve"> of the platform) </w:t>
            </w:r>
            <w:r w:rsidR="00F96BFE" w:rsidRPr="00D71008">
              <w:rPr>
                <w:noProof/>
                <w:sz w:val="24"/>
                <w:szCs w:val="24"/>
              </w:rPr>
              <w:t xml:space="preserve">within, to and from </w:t>
            </w:r>
            <w:r w:rsidR="00511C6F" w:rsidRPr="00D71008">
              <w:rPr>
                <w:noProof/>
                <w:sz w:val="24"/>
                <w:szCs w:val="24"/>
              </w:rPr>
              <w:t>that Member State</w:t>
            </w:r>
            <w:r w:rsidR="00343F61" w:rsidRPr="00D71008">
              <w:rPr>
                <w:noProof/>
                <w:sz w:val="24"/>
                <w:szCs w:val="24"/>
              </w:rPr>
              <w:t>.</w:t>
            </w:r>
            <w:r w:rsidR="00511C6F" w:rsidRPr="00D71008">
              <w:rPr>
                <w:noProof/>
                <w:sz w:val="24"/>
                <w:szCs w:val="24"/>
              </w:rPr>
              <w:t xml:space="preserve"> </w:t>
            </w:r>
            <w:r w:rsidR="00ED7CCD" w:rsidRPr="00D71008">
              <w:rPr>
                <w:noProof/>
                <w:sz w:val="24"/>
                <w:szCs w:val="24"/>
              </w:rPr>
              <w:t>The</w:t>
            </w:r>
            <w:r w:rsidR="001029E3" w:rsidRPr="00D71008">
              <w:rPr>
                <w:noProof/>
                <w:sz w:val="24"/>
                <w:szCs w:val="24"/>
              </w:rPr>
              <w:t>se</w:t>
            </w:r>
            <w:r w:rsidR="00ED7CCD" w:rsidRPr="00D71008">
              <w:rPr>
                <w:noProof/>
                <w:sz w:val="24"/>
                <w:szCs w:val="24"/>
              </w:rPr>
              <w:t xml:space="preserve"> </w:t>
            </w:r>
            <w:r w:rsidR="00916CE3" w:rsidRPr="00D71008">
              <w:rPr>
                <w:noProof/>
                <w:sz w:val="24"/>
                <w:szCs w:val="24"/>
              </w:rPr>
              <w:t xml:space="preserve">agreements must follow the </w:t>
            </w:r>
            <w:r w:rsidR="001029E3" w:rsidRPr="00D71008">
              <w:rPr>
                <w:noProof/>
                <w:sz w:val="24"/>
                <w:szCs w:val="24"/>
              </w:rPr>
              <w:t xml:space="preserve">principles laid down in PM12. </w:t>
            </w:r>
            <w:r w:rsidR="003C49D8" w:rsidRPr="00D71008">
              <w:rPr>
                <w:noProof/>
                <w:sz w:val="24"/>
                <w:szCs w:val="24"/>
              </w:rPr>
              <w:t xml:space="preserve">This obligation only </w:t>
            </w:r>
            <w:r w:rsidR="006410DA" w:rsidRPr="00D71008">
              <w:rPr>
                <w:noProof/>
                <w:sz w:val="24"/>
                <w:szCs w:val="24"/>
              </w:rPr>
              <w:t>appl</w:t>
            </w:r>
            <w:r w:rsidR="006410DA">
              <w:rPr>
                <w:noProof/>
                <w:sz w:val="24"/>
                <w:szCs w:val="24"/>
              </w:rPr>
              <w:t>ies</w:t>
            </w:r>
            <w:r w:rsidR="003C49D8" w:rsidRPr="00D71008">
              <w:rPr>
                <w:noProof/>
                <w:sz w:val="24"/>
                <w:szCs w:val="24"/>
              </w:rPr>
              <w:t xml:space="preserve"> </w:t>
            </w:r>
            <w:r w:rsidR="00A82C52" w:rsidRPr="00D71008">
              <w:rPr>
                <w:noProof/>
                <w:sz w:val="24"/>
                <w:szCs w:val="24"/>
              </w:rPr>
              <w:t xml:space="preserve">to </w:t>
            </w:r>
            <w:r w:rsidR="00C94D55" w:rsidRPr="00D71008">
              <w:rPr>
                <w:noProof/>
                <w:sz w:val="24"/>
                <w:szCs w:val="24"/>
              </w:rPr>
              <w:t>these services</w:t>
            </w:r>
            <w:r w:rsidR="00DB3BDA" w:rsidRPr="00D71008">
              <w:rPr>
                <w:noProof/>
                <w:sz w:val="24"/>
                <w:szCs w:val="24"/>
              </w:rPr>
              <w:t xml:space="preserve"> </w:t>
            </w:r>
            <w:r w:rsidR="000D72E0">
              <w:rPr>
                <w:noProof/>
                <w:sz w:val="24"/>
                <w:szCs w:val="24"/>
              </w:rPr>
              <w:t>(e.g. PSO, cross-border services)</w:t>
            </w:r>
            <w:r w:rsidR="00DB3BDA" w:rsidRPr="00D71008">
              <w:rPr>
                <w:noProof/>
                <w:sz w:val="24"/>
                <w:szCs w:val="24"/>
              </w:rPr>
              <w:t xml:space="preserve"> and not to other services the </w:t>
            </w:r>
            <w:r w:rsidR="001358ED">
              <w:rPr>
                <w:noProof/>
                <w:sz w:val="24"/>
                <w:szCs w:val="24"/>
              </w:rPr>
              <w:t>RU</w:t>
            </w:r>
            <w:r w:rsidR="00DB3BDA" w:rsidRPr="00D71008">
              <w:rPr>
                <w:noProof/>
                <w:sz w:val="24"/>
                <w:szCs w:val="24"/>
              </w:rPr>
              <w:t xml:space="preserve"> might operate</w:t>
            </w:r>
            <w:r w:rsidR="003B5BA6" w:rsidRPr="00D71008">
              <w:rPr>
                <w:noProof/>
                <w:sz w:val="24"/>
                <w:szCs w:val="24"/>
              </w:rPr>
              <w:t>.</w:t>
            </w:r>
            <w:r w:rsidR="00C94732">
              <w:rPr>
                <w:noProof/>
                <w:sz w:val="24"/>
                <w:szCs w:val="24"/>
              </w:rPr>
              <w:t xml:space="preserve"> </w:t>
            </w:r>
            <w:r w:rsidR="001358ED">
              <w:rPr>
                <w:noProof/>
                <w:sz w:val="24"/>
                <w:szCs w:val="24"/>
              </w:rPr>
              <w:t>RU</w:t>
            </w:r>
            <w:r w:rsidR="001124B7" w:rsidRPr="00D71008">
              <w:rPr>
                <w:noProof/>
                <w:sz w:val="24"/>
                <w:szCs w:val="24"/>
              </w:rPr>
              <w:t>s, railway service organisers, competent authorities, and any other entity responsible for</w:t>
            </w:r>
            <w:r w:rsidR="00827540" w:rsidRPr="00D71008">
              <w:rPr>
                <w:noProof/>
                <w:sz w:val="24"/>
                <w:szCs w:val="24"/>
              </w:rPr>
              <w:t xml:space="preserve"> a railway service that </w:t>
            </w:r>
            <w:r w:rsidR="00FF08BB" w:rsidRPr="00D71008">
              <w:rPr>
                <w:noProof/>
                <w:sz w:val="24"/>
                <w:szCs w:val="24"/>
              </w:rPr>
              <w:t xml:space="preserve">are within the scope of </w:t>
            </w:r>
            <w:r w:rsidR="00B357D4" w:rsidRPr="00D71008">
              <w:rPr>
                <w:noProof/>
                <w:sz w:val="24"/>
                <w:szCs w:val="24"/>
              </w:rPr>
              <w:t>PM13</w:t>
            </w:r>
            <w:r w:rsidR="009811D2" w:rsidRPr="00D71008">
              <w:rPr>
                <w:noProof/>
                <w:sz w:val="24"/>
                <w:szCs w:val="24"/>
              </w:rPr>
              <w:t xml:space="preserve">, </w:t>
            </w:r>
            <w:r w:rsidR="00E14D05" w:rsidRPr="00D71008">
              <w:rPr>
                <w:noProof/>
                <w:sz w:val="24"/>
                <w:szCs w:val="24"/>
              </w:rPr>
              <w:t xml:space="preserve">may </w:t>
            </w:r>
            <w:r w:rsidR="00212848">
              <w:rPr>
                <w:noProof/>
                <w:sz w:val="24"/>
                <w:szCs w:val="24"/>
              </w:rPr>
              <w:t>nonetheless</w:t>
            </w:r>
            <w:r w:rsidR="00E14D05" w:rsidRPr="00D71008">
              <w:rPr>
                <w:noProof/>
                <w:sz w:val="24"/>
                <w:szCs w:val="24"/>
              </w:rPr>
              <w:t xml:space="preserve"> attach to the commercial agreement reasonable conditions</w:t>
            </w:r>
            <w:r w:rsidR="00C94732">
              <w:rPr>
                <w:noProof/>
                <w:sz w:val="24"/>
                <w:szCs w:val="24"/>
              </w:rPr>
              <w:t xml:space="preserve"> to ensure that the distribution platform is viable. </w:t>
            </w:r>
          </w:p>
        </w:tc>
      </w:tr>
      <w:tr w:rsidR="005F461E" w:rsidRPr="00D71008" w14:paraId="33BF82E0" w14:textId="77777777" w:rsidTr="001E50E2">
        <w:trPr>
          <w:trHeight w:val="479"/>
          <w:jc w:val="center"/>
        </w:trPr>
        <w:tc>
          <w:tcPr>
            <w:tcW w:w="1444" w:type="pct"/>
            <w:tcBorders>
              <w:right w:val="single" w:sz="4" w:space="0" w:color="00549F"/>
            </w:tcBorders>
          </w:tcPr>
          <w:p w14:paraId="38F95C31" w14:textId="6300CB36" w:rsidR="005F461E" w:rsidRPr="00D71008" w:rsidRDefault="576FE37E" w:rsidP="00D30A16">
            <w:pPr>
              <w:pStyle w:val="TableParagraph"/>
              <w:spacing w:before="1"/>
              <w:ind w:right="71"/>
              <w:jc w:val="both"/>
              <w:rPr>
                <w:b/>
                <w:noProof/>
                <w:color w:val="000000"/>
                <w:sz w:val="24"/>
                <w:szCs w:val="24"/>
                <w:lang w:eastAsia="en-IE"/>
              </w:rPr>
            </w:pPr>
            <w:r w:rsidRPr="00D71008">
              <w:rPr>
                <w:b/>
                <w:noProof/>
                <w:color w:val="000000" w:themeColor="text1"/>
                <w:sz w:val="24"/>
                <w:szCs w:val="24"/>
                <w:lang w:eastAsia="en-IE"/>
              </w:rPr>
              <w:t xml:space="preserve">PM </w:t>
            </w:r>
            <w:r w:rsidR="00B5392C" w:rsidRPr="00D71008">
              <w:rPr>
                <w:b/>
                <w:noProof/>
                <w:color w:val="000000" w:themeColor="text1"/>
                <w:sz w:val="24"/>
                <w:szCs w:val="24"/>
                <w:lang w:eastAsia="en-IE"/>
              </w:rPr>
              <w:t>1</w:t>
            </w:r>
            <w:r w:rsidR="009668DB" w:rsidRPr="00D71008">
              <w:rPr>
                <w:b/>
                <w:noProof/>
                <w:color w:val="000000" w:themeColor="text1"/>
                <w:sz w:val="24"/>
                <w:szCs w:val="24"/>
                <w:lang w:eastAsia="en-IE"/>
              </w:rPr>
              <w:t>4</w:t>
            </w:r>
            <w:r w:rsidRPr="00D71008">
              <w:rPr>
                <w:b/>
                <w:noProof/>
                <w:color w:val="000000" w:themeColor="text1"/>
                <w:sz w:val="24"/>
                <w:szCs w:val="24"/>
                <w:lang w:eastAsia="en-IE"/>
              </w:rPr>
              <w:t xml:space="preserve"> –</w:t>
            </w:r>
            <w:r w:rsidRPr="00D71008">
              <w:rPr>
                <w:b/>
                <w:noProof/>
                <w:sz w:val="24"/>
                <w:szCs w:val="24"/>
              </w:rPr>
              <w:t xml:space="preserve"> </w:t>
            </w:r>
            <w:r w:rsidR="00213B05" w:rsidRPr="004E336D">
              <w:rPr>
                <w:b/>
                <w:noProof/>
                <w:sz w:val="24"/>
                <w:szCs w:val="24"/>
              </w:rPr>
              <w:t xml:space="preserve">Indispensable </w:t>
            </w:r>
            <w:r w:rsidR="00D30A16" w:rsidRPr="004E336D">
              <w:rPr>
                <w:b/>
                <w:noProof/>
                <w:sz w:val="24"/>
                <w:szCs w:val="24"/>
              </w:rPr>
              <w:t>RU</w:t>
            </w:r>
            <w:r w:rsidRPr="004E336D">
              <w:rPr>
                <w:b/>
                <w:noProof/>
                <w:sz w:val="24"/>
                <w:szCs w:val="24"/>
              </w:rPr>
              <w:t xml:space="preserve"> </w:t>
            </w:r>
            <w:r w:rsidR="00D07039" w:rsidRPr="004E336D">
              <w:rPr>
                <w:b/>
                <w:noProof/>
                <w:sz w:val="24"/>
                <w:szCs w:val="24"/>
              </w:rPr>
              <w:t>platforms</w:t>
            </w:r>
            <w:r w:rsidRPr="004E336D">
              <w:rPr>
                <w:b/>
                <w:noProof/>
                <w:sz w:val="24"/>
                <w:szCs w:val="24"/>
              </w:rPr>
              <w:t>:</w:t>
            </w:r>
            <w:r w:rsidRPr="002F0D7D">
              <w:rPr>
                <w:noProof/>
                <w:sz w:val="24"/>
                <w:szCs w:val="24"/>
              </w:rPr>
              <w:t xml:space="preserve"> </w:t>
            </w:r>
            <w:r w:rsidR="00213B05" w:rsidRPr="004E336D">
              <w:rPr>
                <w:noProof/>
                <w:sz w:val="24"/>
                <w:szCs w:val="24"/>
              </w:rPr>
              <w:t>must</w:t>
            </w:r>
            <w:r w:rsidRPr="004E336D">
              <w:rPr>
                <w:noProof/>
                <w:sz w:val="24"/>
                <w:szCs w:val="24"/>
              </w:rPr>
              <w:t xml:space="preserve"> enter into commercial agreements with </w:t>
            </w:r>
            <w:r w:rsidR="002F0D7D" w:rsidRPr="002F0D7D">
              <w:rPr>
                <w:noProof/>
                <w:sz w:val="24"/>
                <w:szCs w:val="24"/>
              </w:rPr>
              <w:t>requesting</w:t>
            </w:r>
            <w:r w:rsidRPr="004E336D">
              <w:rPr>
                <w:noProof/>
                <w:sz w:val="24"/>
                <w:szCs w:val="24"/>
              </w:rPr>
              <w:t xml:space="preserve"> </w:t>
            </w:r>
            <w:r w:rsidR="001358ED" w:rsidRPr="004E336D">
              <w:rPr>
                <w:noProof/>
                <w:sz w:val="24"/>
                <w:szCs w:val="24"/>
              </w:rPr>
              <w:t>RU</w:t>
            </w:r>
            <w:r w:rsidR="00530902" w:rsidRPr="004E336D">
              <w:rPr>
                <w:noProof/>
                <w:sz w:val="24"/>
                <w:szCs w:val="24"/>
              </w:rPr>
              <w:t>s</w:t>
            </w:r>
            <w:r w:rsidR="00D07039" w:rsidRPr="004E336D">
              <w:rPr>
                <w:noProof/>
                <w:sz w:val="24"/>
                <w:szCs w:val="24"/>
              </w:rPr>
              <w:t xml:space="preserve"> (</w:t>
            </w:r>
            <w:r w:rsidR="00B45378" w:rsidRPr="004E336D">
              <w:rPr>
                <w:noProof/>
                <w:sz w:val="24"/>
                <w:szCs w:val="24"/>
              </w:rPr>
              <w:t>operating</w:t>
            </w:r>
            <w:r w:rsidR="00D07039" w:rsidRPr="004E336D">
              <w:rPr>
                <w:noProof/>
                <w:sz w:val="24"/>
                <w:szCs w:val="24"/>
              </w:rPr>
              <w:t xml:space="preserve"> within the </w:t>
            </w:r>
            <w:r w:rsidR="00B45378" w:rsidRPr="004E336D">
              <w:rPr>
                <w:noProof/>
                <w:sz w:val="24"/>
                <w:szCs w:val="24"/>
              </w:rPr>
              <w:t xml:space="preserve">same </w:t>
            </w:r>
            <w:r w:rsidR="00D07039" w:rsidRPr="004E336D">
              <w:rPr>
                <w:noProof/>
                <w:sz w:val="24"/>
                <w:szCs w:val="24"/>
              </w:rPr>
              <w:t xml:space="preserve">geographical </w:t>
            </w:r>
            <w:r w:rsidR="00B45378" w:rsidRPr="004E336D">
              <w:rPr>
                <w:noProof/>
                <w:sz w:val="24"/>
                <w:szCs w:val="24"/>
              </w:rPr>
              <w:t>area in which</w:t>
            </w:r>
            <w:r w:rsidR="00D07039" w:rsidRPr="004E336D">
              <w:rPr>
                <w:noProof/>
                <w:sz w:val="24"/>
                <w:szCs w:val="24"/>
              </w:rPr>
              <w:t xml:space="preserve"> the </w:t>
            </w:r>
            <w:r w:rsidR="001358ED" w:rsidRPr="004E336D">
              <w:rPr>
                <w:noProof/>
                <w:sz w:val="24"/>
                <w:szCs w:val="24"/>
              </w:rPr>
              <w:t>RU</w:t>
            </w:r>
            <w:r w:rsidR="00B45378" w:rsidRPr="004E336D">
              <w:rPr>
                <w:noProof/>
                <w:sz w:val="24"/>
                <w:szCs w:val="24"/>
              </w:rPr>
              <w:t xml:space="preserve"> owning the </w:t>
            </w:r>
            <w:r w:rsidR="00BB5DD1" w:rsidRPr="004E336D">
              <w:rPr>
                <w:noProof/>
                <w:sz w:val="24"/>
                <w:szCs w:val="24"/>
              </w:rPr>
              <w:t>indispensable RU</w:t>
            </w:r>
            <w:r w:rsidR="00B45378" w:rsidRPr="004E336D">
              <w:rPr>
                <w:noProof/>
                <w:sz w:val="24"/>
                <w:szCs w:val="24"/>
              </w:rPr>
              <w:t xml:space="preserve"> platform has SMP</w:t>
            </w:r>
            <w:r w:rsidR="00213B05" w:rsidRPr="004E336D">
              <w:rPr>
                <w:noProof/>
                <w:sz w:val="24"/>
                <w:szCs w:val="24"/>
              </w:rPr>
              <w:t>)</w:t>
            </w:r>
            <w:r w:rsidRPr="004E336D">
              <w:rPr>
                <w:noProof/>
                <w:sz w:val="24"/>
                <w:szCs w:val="24"/>
              </w:rPr>
              <w:t xml:space="preserve"> to enable the </w:t>
            </w:r>
            <w:r w:rsidR="00B45378" w:rsidRPr="004E336D">
              <w:rPr>
                <w:noProof/>
                <w:sz w:val="24"/>
                <w:szCs w:val="24"/>
              </w:rPr>
              <w:t>distribution</w:t>
            </w:r>
            <w:r w:rsidRPr="004E336D">
              <w:rPr>
                <w:noProof/>
                <w:sz w:val="24"/>
                <w:szCs w:val="24"/>
              </w:rPr>
              <w:t xml:space="preserve"> of </w:t>
            </w:r>
            <w:r w:rsidR="002F0D7D" w:rsidRPr="002F0D7D">
              <w:rPr>
                <w:noProof/>
                <w:sz w:val="24"/>
                <w:szCs w:val="24"/>
              </w:rPr>
              <w:t>their tickets (‘hosting obligation’)</w:t>
            </w:r>
          </w:p>
        </w:tc>
        <w:tc>
          <w:tcPr>
            <w:tcW w:w="407" w:type="pct"/>
            <w:vMerge/>
            <w:vAlign w:val="center"/>
          </w:tcPr>
          <w:p w14:paraId="51528E5B" w14:textId="77777777" w:rsidR="005F461E" w:rsidRPr="00D71008" w:rsidRDefault="005F461E" w:rsidP="002C47CE">
            <w:pPr>
              <w:pStyle w:val="TableParagraph"/>
              <w:jc w:val="center"/>
              <w:rPr>
                <w:noProof/>
                <w:sz w:val="24"/>
                <w:szCs w:val="24"/>
              </w:rPr>
            </w:pPr>
          </w:p>
        </w:tc>
        <w:tc>
          <w:tcPr>
            <w:tcW w:w="537" w:type="pct"/>
            <w:vMerge/>
            <w:vAlign w:val="center"/>
          </w:tcPr>
          <w:p w14:paraId="672C1FA2" w14:textId="2DBD2A12" w:rsidR="005F461E" w:rsidRPr="00D71008" w:rsidRDefault="005F461E" w:rsidP="002C47CE">
            <w:pPr>
              <w:pStyle w:val="TableParagraph"/>
              <w:jc w:val="center"/>
              <w:rPr>
                <w:noProof/>
                <w:sz w:val="24"/>
                <w:szCs w:val="24"/>
              </w:rPr>
            </w:pPr>
          </w:p>
        </w:tc>
        <w:tc>
          <w:tcPr>
            <w:tcW w:w="2612" w:type="pct"/>
            <w:tcBorders>
              <w:left w:val="single" w:sz="4" w:space="0" w:color="00549F"/>
            </w:tcBorders>
          </w:tcPr>
          <w:p w14:paraId="427306A2" w14:textId="096941CE" w:rsidR="00704FB8" w:rsidRPr="00D71008" w:rsidRDefault="00C42DE6" w:rsidP="00D07039">
            <w:pPr>
              <w:pStyle w:val="TableParagraph"/>
              <w:spacing w:before="1"/>
              <w:ind w:right="71"/>
              <w:jc w:val="both"/>
              <w:rPr>
                <w:noProof/>
                <w:sz w:val="24"/>
                <w:szCs w:val="24"/>
              </w:rPr>
            </w:pPr>
            <w:r w:rsidRPr="00D71008">
              <w:rPr>
                <w:noProof/>
                <w:sz w:val="24"/>
                <w:szCs w:val="24"/>
              </w:rPr>
              <w:t xml:space="preserve">Indispensable </w:t>
            </w:r>
            <w:r w:rsidR="008D5AD6">
              <w:rPr>
                <w:noProof/>
                <w:sz w:val="24"/>
                <w:szCs w:val="24"/>
              </w:rPr>
              <w:t>RU</w:t>
            </w:r>
            <w:r w:rsidR="004C0E60" w:rsidRPr="00D71008">
              <w:rPr>
                <w:noProof/>
                <w:sz w:val="24"/>
                <w:szCs w:val="24"/>
              </w:rPr>
              <w:t xml:space="preserve"> platforms</w:t>
            </w:r>
            <w:r w:rsidR="00D07039" w:rsidRPr="00D71008">
              <w:rPr>
                <w:noProof/>
                <w:sz w:val="24"/>
                <w:szCs w:val="24"/>
              </w:rPr>
              <w:t xml:space="preserve"> shall </w:t>
            </w:r>
            <w:r w:rsidR="00461F2B" w:rsidRPr="00D71008">
              <w:rPr>
                <w:noProof/>
                <w:sz w:val="24"/>
                <w:szCs w:val="24"/>
              </w:rPr>
              <w:t>e</w:t>
            </w:r>
            <w:r w:rsidR="00D11B2E" w:rsidRPr="00D71008">
              <w:rPr>
                <w:noProof/>
                <w:sz w:val="24"/>
                <w:szCs w:val="24"/>
              </w:rPr>
              <w:t xml:space="preserve">nter into agreements with </w:t>
            </w:r>
            <w:r w:rsidR="00804F77" w:rsidRPr="00D71008">
              <w:rPr>
                <w:noProof/>
                <w:sz w:val="24"/>
                <w:szCs w:val="24"/>
              </w:rPr>
              <w:t xml:space="preserve">requesting </w:t>
            </w:r>
            <w:r w:rsidR="001358ED">
              <w:rPr>
                <w:noProof/>
                <w:sz w:val="24"/>
                <w:szCs w:val="24"/>
              </w:rPr>
              <w:t>RU</w:t>
            </w:r>
            <w:r w:rsidR="006202C4" w:rsidRPr="00D71008">
              <w:rPr>
                <w:noProof/>
                <w:sz w:val="24"/>
                <w:szCs w:val="24"/>
              </w:rPr>
              <w:t>s</w:t>
            </w:r>
            <w:r w:rsidR="00D11B2E" w:rsidRPr="00D71008">
              <w:rPr>
                <w:noProof/>
                <w:sz w:val="24"/>
                <w:szCs w:val="24"/>
              </w:rPr>
              <w:t xml:space="preserve"> </w:t>
            </w:r>
            <w:r w:rsidR="00AD2351" w:rsidRPr="00D71008">
              <w:rPr>
                <w:noProof/>
                <w:sz w:val="24"/>
                <w:szCs w:val="24"/>
              </w:rPr>
              <w:t xml:space="preserve">in order to </w:t>
            </w:r>
            <w:r w:rsidR="00A56E73" w:rsidRPr="00D71008">
              <w:rPr>
                <w:noProof/>
                <w:sz w:val="24"/>
                <w:szCs w:val="24"/>
              </w:rPr>
              <w:t>distribute</w:t>
            </w:r>
            <w:r w:rsidR="00AD2351" w:rsidRPr="00D71008">
              <w:rPr>
                <w:noProof/>
                <w:sz w:val="24"/>
                <w:szCs w:val="24"/>
              </w:rPr>
              <w:t xml:space="preserve"> </w:t>
            </w:r>
            <w:r w:rsidR="00584715" w:rsidRPr="00D71008">
              <w:rPr>
                <w:noProof/>
                <w:sz w:val="24"/>
                <w:szCs w:val="24"/>
              </w:rPr>
              <w:t>tickets</w:t>
            </w:r>
            <w:r w:rsidR="00D07039" w:rsidRPr="00D71008">
              <w:rPr>
                <w:noProof/>
                <w:sz w:val="24"/>
                <w:szCs w:val="24"/>
              </w:rPr>
              <w:t xml:space="preserve">, offered </w:t>
            </w:r>
            <w:r w:rsidR="0012627A" w:rsidRPr="00D71008">
              <w:rPr>
                <w:noProof/>
                <w:sz w:val="24"/>
                <w:szCs w:val="24"/>
              </w:rPr>
              <w:t xml:space="preserve">within the </w:t>
            </w:r>
            <w:r w:rsidR="0012627A" w:rsidRPr="00D71008">
              <w:rPr>
                <w:bCs/>
                <w:noProof/>
                <w:sz w:val="24"/>
                <w:szCs w:val="24"/>
              </w:rPr>
              <w:t xml:space="preserve">same </w:t>
            </w:r>
            <w:r w:rsidR="0012627A" w:rsidRPr="00D71008">
              <w:rPr>
                <w:noProof/>
                <w:sz w:val="24"/>
                <w:szCs w:val="24"/>
              </w:rPr>
              <w:t xml:space="preserve">geographical </w:t>
            </w:r>
            <w:r w:rsidR="0012627A" w:rsidRPr="00D71008">
              <w:rPr>
                <w:bCs/>
                <w:noProof/>
                <w:sz w:val="24"/>
                <w:szCs w:val="24"/>
              </w:rPr>
              <w:t>area in which</w:t>
            </w:r>
            <w:r w:rsidR="0012627A" w:rsidRPr="00D71008">
              <w:rPr>
                <w:noProof/>
                <w:sz w:val="24"/>
                <w:szCs w:val="24"/>
              </w:rPr>
              <w:t xml:space="preserve"> the </w:t>
            </w:r>
            <w:r w:rsidR="0012627A" w:rsidRPr="00D71008">
              <w:rPr>
                <w:bCs/>
                <w:noProof/>
                <w:sz w:val="24"/>
                <w:szCs w:val="24"/>
              </w:rPr>
              <w:t xml:space="preserve">indispensable </w:t>
            </w:r>
            <w:r w:rsidR="00954A9E">
              <w:rPr>
                <w:bCs/>
                <w:noProof/>
                <w:sz w:val="24"/>
                <w:szCs w:val="24"/>
              </w:rPr>
              <w:t>RU</w:t>
            </w:r>
            <w:r w:rsidR="0012627A" w:rsidRPr="00D71008">
              <w:rPr>
                <w:bCs/>
                <w:noProof/>
                <w:sz w:val="24"/>
                <w:szCs w:val="24"/>
              </w:rPr>
              <w:t xml:space="preserve"> platform is </w:t>
            </w:r>
            <w:r w:rsidR="0012627A" w:rsidRPr="00D71008">
              <w:rPr>
                <w:noProof/>
                <w:sz w:val="24"/>
                <w:szCs w:val="24"/>
              </w:rPr>
              <w:t>activ</w:t>
            </w:r>
            <w:r w:rsidR="6DDEF77D" w:rsidRPr="00D71008">
              <w:rPr>
                <w:noProof/>
                <w:sz w:val="24"/>
                <w:szCs w:val="24"/>
              </w:rPr>
              <w:t>e</w:t>
            </w:r>
            <w:r w:rsidR="667A0123" w:rsidRPr="07A1DEFC">
              <w:rPr>
                <w:noProof/>
                <w:sz w:val="24"/>
                <w:szCs w:val="24"/>
              </w:rPr>
              <w:t>, including</w:t>
            </w:r>
            <w:r w:rsidR="002E7372" w:rsidRPr="002E7372">
              <w:rPr>
                <w:noProof/>
                <w:sz w:val="24"/>
                <w:szCs w:val="24"/>
              </w:rPr>
              <w:t xml:space="preserve"> cross-border services </w:t>
            </w:r>
            <w:r w:rsidR="45DC4F2F" w:rsidRPr="76BFE58E">
              <w:rPr>
                <w:noProof/>
                <w:sz w:val="24"/>
                <w:szCs w:val="24"/>
              </w:rPr>
              <w:t>to and from the</w:t>
            </w:r>
            <w:r w:rsidR="002E7372" w:rsidRPr="76BFE58E">
              <w:rPr>
                <w:noProof/>
                <w:sz w:val="24"/>
                <w:szCs w:val="24"/>
              </w:rPr>
              <w:t xml:space="preserve"> </w:t>
            </w:r>
            <w:r w:rsidR="002E7372" w:rsidRPr="002E7372">
              <w:rPr>
                <w:noProof/>
                <w:sz w:val="24"/>
                <w:szCs w:val="24"/>
              </w:rPr>
              <w:t>Member State.</w:t>
            </w:r>
            <w:r w:rsidR="005D07E4">
              <w:rPr>
                <w:noProof/>
                <w:sz w:val="24"/>
                <w:szCs w:val="24"/>
              </w:rPr>
              <w:t xml:space="preserve"> </w:t>
            </w:r>
            <w:r w:rsidR="00F55024" w:rsidRPr="00D71008">
              <w:rPr>
                <w:noProof/>
                <w:sz w:val="24"/>
                <w:szCs w:val="24"/>
              </w:rPr>
              <w:t>They must apply non-discriminatory and reasonable contract conditions</w:t>
            </w:r>
            <w:r w:rsidR="00465173" w:rsidRPr="00D71008">
              <w:rPr>
                <w:noProof/>
                <w:sz w:val="24"/>
                <w:szCs w:val="24"/>
              </w:rPr>
              <w:t xml:space="preserve"> as described in PM1</w:t>
            </w:r>
            <w:r w:rsidR="008D5AD6">
              <w:rPr>
                <w:noProof/>
                <w:sz w:val="24"/>
                <w:szCs w:val="24"/>
              </w:rPr>
              <w:t>1</w:t>
            </w:r>
            <w:r w:rsidR="00F55024" w:rsidRPr="00D71008">
              <w:rPr>
                <w:noProof/>
                <w:sz w:val="24"/>
                <w:szCs w:val="24"/>
              </w:rPr>
              <w:t>.</w:t>
            </w:r>
          </w:p>
          <w:p w14:paraId="13768F0F" w14:textId="77777777" w:rsidR="00704FB8" w:rsidRPr="00D71008" w:rsidRDefault="00704FB8" w:rsidP="00D07039">
            <w:pPr>
              <w:pStyle w:val="TableParagraph"/>
              <w:spacing w:before="1"/>
              <w:ind w:right="71"/>
              <w:jc w:val="both"/>
              <w:rPr>
                <w:noProof/>
                <w:sz w:val="24"/>
                <w:szCs w:val="24"/>
              </w:rPr>
            </w:pPr>
          </w:p>
          <w:p w14:paraId="22C67D3E" w14:textId="522E2F16" w:rsidR="005F461E" w:rsidRPr="00D71008" w:rsidRDefault="005F461E" w:rsidP="00260CFF">
            <w:pPr>
              <w:pStyle w:val="TableParagraph"/>
              <w:spacing w:before="1"/>
              <w:ind w:right="71"/>
              <w:jc w:val="both"/>
              <w:rPr>
                <w:noProof/>
                <w:sz w:val="24"/>
                <w:szCs w:val="24"/>
              </w:rPr>
            </w:pPr>
          </w:p>
        </w:tc>
      </w:tr>
      <w:tr w:rsidR="009B7B71" w:rsidRPr="00D71008" w14:paraId="7F0F9938" w14:textId="77777777" w:rsidTr="001E50E2">
        <w:trPr>
          <w:trHeight w:val="479"/>
          <w:jc w:val="center"/>
        </w:trPr>
        <w:tc>
          <w:tcPr>
            <w:tcW w:w="1444" w:type="pct"/>
            <w:tcBorders>
              <w:right w:val="single" w:sz="4" w:space="0" w:color="00549F"/>
            </w:tcBorders>
          </w:tcPr>
          <w:p w14:paraId="5371C3E4" w14:textId="5CAB9829" w:rsidR="009B7B71" w:rsidRPr="00D71008" w:rsidRDefault="004F7F9B" w:rsidP="000055BB">
            <w:pPr>
              <w:pStyle w:val="TableParagraph"/>
              <w:spacing w:before="1"/>
              <w:ind w:right="71"/>
              <w:jc w:val="both"/>
              <w:rPr>
                <w:b/>
                <w:noProof/>
                <w:color w:val="000000" w:themeColor="text1"/>
                <w:sz w:val="24"/>
                <w:szCs w:val="24"/>
                <w:lang w:eastAsia="en-IE"/>
              </w:rPr>
            </w:pPr>
            <w:r w:rsidRPr="00D71008">
              <w:rPr>
                <w:b/>
                <w:noProof/>
                <w:color w:val="000000" w:themeColor="text1"/>
                <w:sz w:val="24"/>
                <w:szCs w:val="24"/>
                <w:lang w:eastAsia="en-IE"/>
              </w:rPr>
              <w:t>PM 1</w:t>
            </w:r>
            <w:r w:rsidR="009668DB" w:rsidRPr="00D71008">
              <w:rPr>
                <w:b/>
                <w:noProof/>
                <w:color w:val="000000" w:themeColor="text1"/>
                <w:sz w:val="24"/>
                <w:szCs w:val="24"/>
                <w:lang w:eastAsia="en-IE"/>
              </w:rPr>
              <w:t>5</w:t>
            </w:r>
            <w:r w:rsidRPr="00D71008">
              <w:rPr>
                <w:b/>
                <w:noProof/>
                <w:color w:val="000000" w:themeColor="text1"/>
                <w:sz w:val="24"/>
                <w:szCs w:val="24"/>
                <w:lang w:eastAsia="en-IE"/>
              </w:rPr>
              <w:t xml:space="preserve"> –</w:t>
            </w:r>
            <w:r w:rsidRPr="00D71008">
              <w:rPr>
                <w:b/>
                <w:noProof/>
                <w:sz w:val="24"/>
                <w:szCs w:val="24"/>
              </w:rPr>
              <w:t xml:space="preserve"> </w:t>
            </w:r>
            <w:r w:rsidR="00D30A16" w:rsidRPr="004E336D">
              <w:rPr>
                <w:b/>
                <w:noProof/>
                <w:color w:val="000000" w:themeColor="text1"/>
                <w:sz w:val="24"/>
                <w:szCs w:val="24"/>
                <w:lang w:eastAsia="en-IE"/>
              </w:rPr>
              <w:t>Indispensable RU</w:t>
            </w:r>
            <w:r w:rsidRPr="004E336D">
              <w:rPr>
                <w:b/>
                <w:noProof/>
                <w:color w:val="000000" w:themeColor="text1"/>
                <w:sz w:val="24"/>
                <w:szCs w:val="24"/>
                <w:lang w:eastAsia="en-IE"/>
              </w:rPr>
              <w:t xml:space="preserve"> platforms: </w:t>
            </w:r>
            <w:r w:rsidR="00D30A16" w:rsidRPr="002F0D7D">
              <w:rPr>
                <w:noProof/>
                <w:color w:val="000000" w:themeColor="text1"/>
                <w:sz w:val="24"/>
                <w:szCs w:val="24"/>
                <w:lang w:eastAsia="en-IE"/>
              </w:rPr>
              <w:t>must</w:t>
            </w:r>
            <w:r w:rsidRPr="002F0D7D">
              <w:rPr>
                <w:noProof/>
                <w:color w:val="000000" w:themeColor="text1"/>
                <w:sz w:val="24"/>
                <w:szCs w:val="24"/>
                <w:lang w:eastAsia="en-IE"/>
              </w:rPr>
              <w:t xml:space="preserve"> unbundle its distribution system from </w:t>
            </w:r>
            <w:r w:rsidR="00D30A16" w:rsidRPr="002F0D7D">
              <w:rPr>
                <w:noProof/>
                <w:color w:val="000000" w:themeColor="text1"/>
                <w:sz w:val="24"/>
                <w:szCs w:val="24"/>
                <w:lang w:eastAsia="en-IE"/>
              </w:rPr>
              <w:t xml:space="preserve">the systems of </w:t>
            </w:r>
            <w:r w:rsidR="00775661" w:rsidRPr="002F0D7D">
              <w:rPr>
                <w:noProof/>
                <w:color w:val="000000" w:themeColor="text1"/>
                <w:sz w:val="24"/>
                <w:szCs w:val="24"/>
                <w:lang w:eastAsia="en-IE"/>
              </w:rPr>
              <w:t xml:space="preserve">its </w:t>
            </w:r>
            <w:r w:rsidR="00D30A16" w:rsidRPr="002F0D7D">
              <w:rPr>
                <w:noProof/>
                <w:color w:val="000000" w:themeColor="text1"/>
                <w:sz w:val="24"/>
                <w:szCs w:val="24"/>
                <w:lang w:eastAsia="en-IE"/>
              </w:rPr>
              <w:t>parent operator</w:t>
            </w:r>
          </w:p>
        </w:tc>
        <w:tc>
          <w:tcPr>
            <w:tcW w:w="407" w:type="pct"/>
            <w:tcBorders>
              <w:right w:val="single" w:sz="4" w:space="0" w:color="00549F"/>
            </w:tcBorders>
            <w:vAlign w:val="center"/>
          </w:tcPr>
          <w:p w14:paraId="4E74F18C" w14:textId="1C4695B3" w:rsidR="009B7B71" w:rsidRPr="00D71008" w:rsidRDefault="0099031E" w:rsidP="002C47CE">
            <w:pPr>
              <w:pStyle w:val="TableParagraph"/>
              <w:jc w:val="center"/>
              <w:rPr>
                <w:noProof/>
                <w:sz w:val="24"/>
                <w:szCs w:val="24"/>
              </w:rPr>
            </w:pPr>
            <w:r>
              <w:rPr>
                <w:noProof/>
                <w:sz w:val="24"/>
                <w:szCs w:val="24"/>
              </w:rPr>
              <w:t>SO1/SO2</w:t>
            </w:r>
          </w:p>
        </w:tc>
        <w:tc>
          <w:tcPr>
            <w:tcW w:w="537" w:type="pct"/>
            <w:vMerge/>
            <w:vAlign w:val="center"/>
          </w:tcPr>
          <w:p w14:paraId="77635B07" w14:textId="77777777" w:rsidR="009B7B71" w:rsidRPr="00D71008" w:rsidRDefault="009B7B71" w:rsidP="002C47CE">
            <w:pPr>
              <w:pStyle w:val="TableParagraph"/>
              <w:jc w:val="center"/>
              <w:rPr>
                <w:noProof/>
                <w:sz w:val="24"/>
                <w:szCs w:val="24"/>
              </w:rPr>
            </w:pPr>
          </w:p>
        </w:tc>
        <w:tc>
          <w:tcPr>
            <w:tcW w:w="2612" w:type="pct"/>
            <w:tcBorders>
              <w:left w:val="single" w:sz="4" w:space="0" w:color="00549F"/>
            </w:tcBorders>
            <w:vAlign w:val="center"/>
          </w:tcPr>
          <w:p w14:paraId="39A80D36" w14:textId="18503459" w:rsidR="009B7B71" w:rsidRPr="00D71008" w:rsidRDefault="00865DB9" w:rsidP="003043C8">
            <w:pPr>
              <w:pStyle w:val="TableParagraph"/>
              <w:spacing w:before="1"/>
              <w:ind w:right="71"/>
              <w:jc w:val="both"/>
              <w:rPr>
                <w:noProof/>
                <w:sz w:val="24"/>
                <w:szCs w:val="24"/>
              </w:rPr>
            </w:pPr>
            <w:r>
              <w:rPr>
                <w:noProof/>
                <w:sz w:val="24"/>
                <w:szCs w:val="24"/>
              </w:rPr>
              <w:t>I</w:t>
            </w:r>
            <w:r w:rsidR="00C42DE6" w:rsidRPr="00D71008">
              <w:rPr>
                <w:noProof/>
                <w:sz w:val="24"/>
                <w:szCs w:val="24"/>
              </w:rPr>
              <w:t xml:space="preserve">ndispensable </w:t>
            </w:r>
            <w:r w:rsidR="00696434">
              <w:rPr>
                <w:noProof/>
                <w:sz w:val="24"/>
                <w:szCs w:val="24"/>
              </w:rPr>
              <w:t>RU</w:t>
            </w:r>
            <w:r w:rsidR="004F7F9B" w:rsidRPr="00D71008">
              <w:rPr>
                <w:noProof/>
                <w:sz w:val="24"/>
                <w:szCs w:val="24"/>
              </w:rPr>
              <w:t xml:space="preserve"> platforms shall unbundle their </w:t>
            </w:r>
            <w:r w:rsidR="003F2455" w:rsidRPr="00D71008">
              <w:rPr>
                <w:noProof/>
                <w:sz w:val="24"/>
                <w:szCs w:val="24"/>
              </w:rPr>
              <w:t>railway ticket</w:t>
            </w:r>
            <w:r w:rsidR="00FA742B" w:rsidRPr="00D71008">
              <w:rPr>
                <w:noProof/>
                <w:sz w:val="24"/>
                <w:szCs w:val="24"/>
              </w:rPr>
              <w:t xml:space="preserve"> </w:t>
            </w:r>
            <w:r w:rsidR="004F7F9B" w:rsidRPr="00D71008">
              <w:rPr>
                <w:noProof/>
                <w:sz w:val="24"/>
                <w:szCs w:val="24"/>
              </w:rPr>
              <w:t>distribution systems from the</w:t>
            </w:r>
            <w:r w:rsidR="00A957A6" w:rsidRPr="00D71008">
              <w:rPr>
                <w:noProof/>
                <w:sz w:val="24"/>
                <w:szCs w:val="24"/>
              </w:rPr>
              <w:t>ir</w:t>
            </w:r>
            <w:r w:rsidR="0075047D" w:rsidRPr="00D71008">
              <w:rPr>
                <w:noProof/>
                <w:sz w:val="24"/>
                <w:szCs w:val="24"/>
              </w:rPr>
              <w:t xml:space="preserve"> railway operations.</w:t>
            </w:r>
            <w:r w:rsidR="005C263F" w:rsidRPr="00D71008">
              <w:rPr>
                <w:noProof/>
                <w:sz w:val="24"/>
                <w:szCs w:val="24"/>
              </w:rPr>
              <w:t xml:space="preserve"> </w:t>
            </w:r>
            <w:r w:rsidR="000576B5" w:rsidRPr="00D71008">
              <w:rPr>
                <w:noProof/>
                <w:sz w:val="24"/>
                <w:szCs w:val="24"/>
              </w:rPr>
              <w:t>The platfo</w:t>
            </w:r>
            <w:r w:rsidR="00A21436" w:rsidRPr="00D71008">
              <w:rPr>
                <w:noProof/>
                <w:sz w:val="24"/>
                <w:szCs w:val="24"/>
              </w:rPr>
              <w:t>r</w:t>
            </w:r>
            <w:r w:rsidR="000576B5" w:rsidRPr="00D71008">
              <w:rPr>
                <w:noProof/>
                <w:sz w:val="24"/>
                <w:szCs w:val="24"/>
              </w:rPr>
              <w:t xml:space="preserve">m shall be in organisational, functional, hierarchical and decision-making terms, legally distinct and independent from any </w:t>
            </w:r>
            <w:r w:rsidR="001358ED">
              <w:rPr>
                <w:noProof/>
                <w:sz w:val="24"/>
                <w:szCs w:val="24"/>
              </w:rPr>
              <w:t>RU</w:t>
            </w:r>
            <w:r w:rsidR="000576B5" w:rsidRPr="00D71008">
              <w:rPr>
                <w:noProof/>
                <w:sz w:val="24"/>
                <w:szCs w:val="24"/>
              </w:rPr>
              <w:t>.</w:t>
            </w:r>
          </w:p>
        </w:tc>
      </w:tr>
    </w:tbl>
    <w:p w14:paraId="72B507FC" w14:textId="77777777" w:rsidR="0083281F" w:rsidRPr="00D71008" w:rsidRDefault="0083281F" w:rsidP="00773C9E">
      <w:pPr>
        <w:pStyle w:val="BodyText"/>
        <w:spacing w:before="239"/>
        <w:ind w:left="0"/>
        <w:jc w:val="left"/>
        <w:rPr>
          <w:noProof/>
        </w:rPr>
      </w:pPr>
    </w:p>
    <w:p w14:paraId="0037629D" w14:textId="28C6E4FF" w:rsidR="00712390" w:rsidRPr="00D71008" w:rsidRDefault="00712390">
      <w:pPr>
        <w:pStyle w:val="BodyText"/>
        <w:spacing w:before="8"/>
        <w:ind w:left="0"/>
        <w:jc w:val="left"/>
        <w:rPr>
          <w:noProof/>
          <w:sz w:val="12"/>
        </w:rPr>
      </w:pPr>
    </w:p>
    <w:p w14:paraId="38EA8647" w14:textId="77777777" w:rsidR="00712390" w:rsidRPr="00D71008" w:rsidRDefault="00712390">
      <w:pPr>
        <w:jc w:val="both"/>
        <w:rPr>
          <w:noProof/>
          <w:sz w:val="20"/>
        </w:rPr>
        <w:sectPr w:rsidR="00712390" w:rsidRPr="00D71008" w:rsidSect="00134B40">
          <w:headerReference w:type="default" r:id="rId68"/>
          <w:footerReference w:type="default" r:id="rId69"/>
          <w:pgSz w:w="16840" w:h="11910" w:orient="landscape"/>
          <w:pgMar w:top="1021" w:right="709" w:bottom="1021" w:left="1588" w:header="0" w:footer="1141" w:gutter="0"/>
          <w:cols w:space="720"/>
        </w:sectPr>
      </w:pPr>
    </w:p>
    <w:p w14:paraId="4A87E90C" w14:textId="23911B1F" w:rsidR="00712390" w:rsidRPr="00D71008" w:rsidRDefault="003C4819" w:rsidP="00E30E43">
      <w:pPr>
        <w:pStyle w:val="Heading1"/>
        <w:jc w:val="center"/>
        <w:rPr>
          <w:smallCaps/>
          <w:noProof/>
        </w:rPr>
      </w:pPr>
      <w:bookmarkStart w:id="2113" w:name="Annex_9:_Background_on_the_Code_of_Condu"/>
      <w:bookmarkStart w:id="2114" w:name="_Toc223981691"/>
      <w:bookmarkEnd w:id="2113"/>
      <w:r w:rsidRPr="00D71008">
        <w:rPr>
          <w:smallCaps/>
          <w:noProof/>
        </w:rPr>
        <w:t>Annex</w:t>
      </w:r>
      <w:r w:rsidRPr="00D71008">
        <w:rPr>
          <w:smallCaps/>
          <w:noProof/>
          <w:spacing w:val="-4"/>
        </w:rPr>
        <w:t xml:space="preserve"> </w:t>
      </w:r>
      <w:r w:rsidRPr="00D71008" w:rsidDel="003C4819">
        <w:rPr>
          <w:smallCaps/>
          <w:noProof/>
        </w:rPr>
        <w:t>9</w:t>
      </w:r>
      <w:r w:rsidRPr="00D71008">
        <w:rPr>
          <w:smallCaps/>
          <w:noProof/>
        </w:rPr>
        <w:t>:</w:t>
      </w:r>
      <w:r w:rsidRPr="00D71008">
        <w:rPr>
          <w:smallCaps/>
          <w:noProof/>
          <w:spacing w:val="-15"/>
        </w:rPr>
        <w:t xml:space="preserve"> </w:t>
      </w:r>
      <w:r w:rsidRPr="00D71008">
        <w:rPr>
          <w:smallCaps/>
          <w:noProof/>
        </w:rPr>
        <w:t>Background</w:t>
      </w:r>
      <w:r w:rsidRPr="00D71008">
        <w:rPr>
          <w:smallCaps/>
          <w:noProof/>
          <w:spacing w:val="-3"/>
        </w:rPr>
        <w:t xml:space="preserve"> </w:t>
      </w:r>
      <w:r w:rsidRPr="00D71008">
        <w:rPr>
          <w:smallCaps/>
          <w:noProof/>
        </w:rPr>
        <w:t>on</w:t>
      </w:r>
      <w:r w:rsidRPr="00D71008">
        <w:rPr>
          <w:smallCaps/>
          <w:noProof/>
          <w:spacing w:val="-3"/>
        </w:rPr>
        <w:t xml:space="preserve"> </w:t>
      </w:r>
      <w:r w:rsidRPr="00D71008">
        <w:rPr>
          <w:smallCaps/>
          <w:noProof/>
        </w:rPr>
        <w:t>the</w:t>
      </w:r>
      <w:r w:rsidRPr="00D71008">
        <w:rPr>
          <w:smallCaps/>
          <w:noProof/>
          <w:spacing w:val="-2"/>
        </w:rPr>
        <w:t xml:space="preserve"> </w:t>
      </w:r>
      <w:r w:rsidRPr="00D71008">
        <w:rPr>
          <w:smallCaps/>
          <w:noProof/>
        </w:rPr>
        <w:t>Code</w:t>
      </w:r>
      <w:r w:rsidRPr="00D71008">
        <w:rPr>
          <w:smallCaps/>
          <w:noProof/>
          <w:spacing w:val="-3"/>
        </w:rPr>
        <w:t xml:space="preserve"> </w:t>
      </w:r>
      <w:r w:rsidRPr="00D71008">
        <w:rPr>
          <w:smallCaps/>
          <w:noProof/>
        </w:rPr>
        <w:t>of Conduct</w:t>
      </w:r>
      <w:r w:rsidRPr="00D71008">
        <w:rPr>
          <w:smallCaps/>
          <w:noProof/>
          <w:spacing w:val="-2"/>
        </w:rPr>
        <w:t xml:space="preserve"> </w:t>
      </w:r>
      <w:r w:rsidRPr="00D71008">
        <w:rPr>
          <w:smallCaps/>
          <w:noProof/>
        </w:rPr>
        <w:t>on</w:t>
      </w:r>
      <w:r w:rsidRPr="00D71008">
        <w:rPr>
          <w:smallCaps/>
          <w:noProof/>
          <w:spacing w:val="-3"/>
        </w:rPr>
        <w:t xml:space="preserve"> </w:t>
      </w:r>
      <w:r w:rsidRPr="00D71008">
        <w:rPr>
          <w:smallCaps/>
          <w:noProof/>
        </w:rPr>
        <w:t>Computerised Reservation Systems</w:t>
      </w:r>
      <w:r w:rsidR="00DF1D9A" w:rsidRPr="00D71008">
        <w:rPr>
          <w:smallCaps/>
          <w:noProof/>
        </w:rPr>
        <w:t xml:space="preserve"> and air market</w:t>
      </w:r>
      <w:bookmarkEnd w:id="2114"/>
    </w:p>
    <w:p w14:paraId="5B045337" w14:textId="216F2F29" w:rsidR="00712390" w:rsidRPr="00D71008" w:rsidRDefault="00712390" w:rsidP="18D2D960">
      <w:pPr>
        <w:pStyle w:val="BodyText"/>
        <w:ind w:left="0"/>
        <w:jc w:val="left"/>
        <w:rPr>
          <w:b/>
          <w:noProof/>
          <w:sz w:val="22"/>
          <w:szCs w:val="22"/>
        </w:rPr>
      </w:pPr>
    </w:p>
    <w:p w14:paraId="4FF9475C" w14:textId="42C86C69" w:rsidR="00712390" w:rsidRPr="00D71008" w:rsidRDefault="00712390">
      <w:pPr>
        <w:pStyle w:val="BodyText"/>
        <w:spacing w:before="2"/>
        <w:ind w:left="0"/>
        <w:jc w:val="left"/>
        <w:rPr>
          <w:b/>
          <w:noProof/>
          <w:sz w:val="22"/>
          <w:szCs w:val="22"/>
        </w:rPr>
      </w:pPr>
    </w:p>
    <w:p w14:paraId="2FFB5F49" w14:textId="78315813" w:rsidR="00A1160C" w:rsidRPr="00E30E43" w:rsidRDefault="00A1160C" w:rsidP="00E30E43">
      <w:pPr>
        <w:pStyle w:val="BodyText"/>
        <w:spacing w:after="240"/>
        <w:ind w:left="0"/>
        <w:rPr>
          <w:noProof/>
          <w:spacing w:val="-8"/>
        </w:rPr>
      </w:pPr>
      <w:r w:rsidRPr="00E30E43">
        <w:rPr>
          <w:noProof/>
          <w:spacing w:val="-8"/>
        </w:rPr>
        <w:t>In contrast to the rail market</w:t>
      </w:r>
      <w:r w:rsidR="00AA67F4" w:rsidRPr="00E30E43">
        <w:rPr>
          <w:noProof/>
          <w:spacing w:val="-8"/>
        </w:rPr>
        <w:t>,</w:t>
      </w:r>
      <w:r w:rsidRPr="00E30E43">
        <w:rPr>
          <w:noProof/>
          <w:spacing w:val="-8"/>
        </w:rPr>
        <w:t xml:space="preserve"> which is opening to a slow </w:t>
      </w:r>
      <w:r w:rsidR="008B3E23" w:rsidRPr="00E30E43">
        <w:rPr>
          <w:noProof/>
          <w:spacing w:val="-8"/>
        </w:rPr>
        <w:t>pace</w:t>
      </w:r>
      <w:r w:rsidR="00AA67F4" w:rsidRPr="00E30E43">
        <w:rPr>
          <w:noProof/>
          <w:spacing w:val="-8"/>
        </w:rPr>
        <w:t>,</w:t>
      </w:r>
      <w:r w:rsidR="003C4819" w:rsidRPr="00E30E43">
        <w:rPr>
          <w:noProof/>
          <w:spacing w:val="-8"/>
        </w:rPr>
        <w:t xml:space="preserve"> </w:t>
      </w:r>
      <w:r w:rsidRPr="00E30E43">
        <w:rPr>
          <w:bCs/>
          <w:noProof/>
          <w:spacing w:val="-8"/>
        </w:rPr>
        <w:t>the air services market has been open for decades, and is characterised by competition between multiple large, medium and small airlines operating in the market with free access to routes and freedom of pricing. Airlines</w:t>
      </w:r>
      <w:r w:rsidR="00A33BD6" w:rsidRPr="00E30E43">
        <w:rPr>
          <w:bCs/>
          <w:noProof/>
          <w:spacing w:val="-8"/>
        </w:rPr>
        <w:t xml:space="preserve"> today</w:t>
      </w:r>
      <w:r w:rsidRPr="00E30E43">
        <w:rPr>
          <w:bCs/>
          <w:noProof/>
          <w:spacing w:val="-8"/>
        </w:rPr>
        <w:t xml:space="preserve"> rely on intermediaries (both B2B and B2C) to access as many consumers as possible </w:t>
      </w:r>
      <w:r w:rsidR="00C61670" w:rsidRPr="00E30E43">
        <w:rPr>
          <w:bCs/>
          <w:noProof/>
          <w:spacing w:val="-8"/>
        </w:rPr>
        <w:t>in order to</w:t>
      </w:r>
      <w:r w:rsidRPr="00E30E43">
        <w:rPr>
          <w:bCs/>
          <w:noProof/>
          <w:spacing w:val="-8"/>
        </w:rPr>
        <w:t xml:space="preserve"> compete effectively. Third-party platforms have a stronger market presence in air as are the first port of call for consumers searching for air tickets, allowing them to effectively negotiate with airlines to display and sell tickets</w:t>
      </w:r>
      <w:r w:rsidRPr="00E30E43">
        <w:rPr>
          <w:bCs/>
          <w:noProof/>
          <w:spacing w:val="-8"/>
          <w:vertAlign w:val="superscript"/>
        </w:rPr>
        <w:footnoteReference w:id="366"/>
      </w:r>
      <w:r w:rsidRPr="00E30E43">
        <w:rPr>
          <w:bCs/>
          <w:noProof/>
          <w:spacing w:val="-8"/>
        </w:rPr>
        <w:t>. However, smaller airlines might encounter more difficulties to access and use intermediaries than larger airlines.</w:t>
      </w:r>
      <w:r w:rsidR="00751CD3" w:rsidRPr="00E30E43">
        <w:rPr>
          <w:bCs/>
          <w:noProof/>
          <w:spacing w:val="-8"/>
        </w:rPr>
        <w:t xml:space="preserve"> Th</w:t>
      </w:r>
      <w:r w:rsidR="009513B2" w:rsidRPr="00E30E43">
        <w:rPr>
          <w:bCs/>
          <w:noProof/>
          <w:spacing w:val="-8"/>
        </w:rPr>
        <w:t xml:space="preserve">e maturity of the air </w:t>
      </w:r>
      <w:r w:rsidR="008B6990" w:rsidRPr="00E30E43">
        <w:rPr>
          <w:bCs/>
          <w:noProof/>
          <w:spacing w:val="-8"/>
        </w:rPr>
        <w:t>services and distribution</w:t>
      </w:r>
      <w:r w:rsidR="009513B2" w:rsidRPr="00E30E43">
        <w:rPr>
          <w:bCs/>
          <w:noProof/>
          <w:spacing w:val="-8"/>
        </w:rPr>
        <w:t xml:space="preserve"> market </w:t>
      </w:r>
      <w:r w:rsidR="008B6990" w:rsidRPr="00E30E43">
        <w:rPr>
          <w:bCs/>
          <w:noProof/>
          <w:spacing w:val="-8"/>
        </w:rPr>
        <w:t xml:space="preserve">has been </w:t>
      </w:r>
      <w:r w:rsidR="00A52931" w:rsidRPr="00E30E43">
        <w:rPr>
          <w:bCs/>
          <w:noProof/>
          <w:spacing w:val="-8"/>
        </w:rPr>
        <w:t xml:space="preserve">boosted also through the adoption of </w:t>
      </w:r>
      <w:r w:rsidR="00993D6A" w:rsidRPr="00E30E43">
        <w:rPr>
          <w:bCs/>
          <w:noProof/>
          <w:spacing w:val="-8"/>
        </w:rPr>
        <w:t xml:space="preserve">sector-specific </w:t>
      </w:r>
      <w:r w:rsidR="00EF3483" w:rsidRPr="00E30E43">
        <w:rPr>
          <w:bCs/>
          <w:noProof/>
          <w:spacing w:val="-8"/>
        </w:rPr>
        <w:t>regulation</w:t>
      </w:r>
      <w:r w:rsidR="00596475" w:rsidRPr="00E30E43">
        <w:rPr>
          <w:bCs/>
          <w:noProof/>
          <w:spacing w:val="-8"/>
        </w:rPr>
        <w:t xml:space="preserve"> on CRSs. </w:t>
      </w:r>
      <w:r w:rsidR="006C1FDD" w:rsidRPr="00593484">
        <w:rPr>
          <w:noProof/>
          <w:spacing w:val="-8"/>
          <w:lang w:val="en-IE"/>
        </w:rPr>
        <w:t>The maturity of the intermediary distribution market is shown by around 49% of the tickets sold in the EU in 2024 went through MDMS (31% via B2B and 18% via B2C MDMS) as explained in Annex 4.</w:t>
      </w:r>
    </w:p>
    <w:p w14:paraId="29338138" w14:textId="23889C26" w:rsidR="00712390" w:rsidRPr="00E30E43" w:rsidRDefault="00134AD7" w:rsidP="00E30E43">
      <w:pPr>
        <w:pStyle w:val="BodyText"/>
        <w:spacing w:after="240"/>
        <w:ind w:left="0"/>
        <w:rPr>
          <w:noProof/>
          <w:spacing w:val="-8"/>
        </w:rPr>
      </w:pPr>
      <w:r w:rsidRPr="00E30E43">
        <w:rPr>
          <w:noProof/>
          <w:spacing w:val="-8"/>
        </w:rPr>
        <w:t>Computerised Reservation Systems (“CRSs”) were</w:t>
      </w:r>
      <w:r w:rsidR="003C4819" w:rsidRPr="00E30E43">
        <w:rPr>
          <w:noProof/>
          <w:spacing w:val="-8"/>
        </w:rPr>
        <w:t xml:space="preserve"> originally established by airlines to sell their own tickets. In the 1980s CRSs began to act as intermediaries between airlines and travel agents, by displaying travel options (availabilities and fares) also from carriers </w:t>
      </w:r>
      <w:r w:rsidR="00DC0730" w:rsidRPr="00E30E43">
        <w:rPr>
          <w:noProof/>
          <w:spacing w:val="-8"/>
        </w:rPr>
        <w:t xml:space="preserve">other </w:t>
      </w:r>
      <w:r w:rsidR="003C4819" w:rsidRPr="00E30E43">
        <w:rPr>
          <w:noProof/>
          <w:spacing w:val="-8"/>
        </w:rPr>
        <w:t>than those owning the CRS. At that time, the vast majority of airline bookings were made through CRSs</w:t>
      </w:r>
      <w:r w:rsidR="003A0170" w:rsidRPr="00E30E43">
        <w:rPr>
          <w:noProof/>
          <w:spacing w:val="-8"/>
        </w:rPr>
        <w:t>,</w:t>
      </w:r>
      <w:r w:rsidR="003C4819" w:rsidRPr="00E30E43">
        <w:rPr>
          <w:noProof/>
          <w:spacing w:val="-8"/>
        </w:rPr>
        <w:t xml:space="preserve"> and most CRSs were owned and controlled by airlines. Whilst some customers </w:t>
      </w:r>
      <w:r w:rsidR="007D72AF" w:rsidRPr="00E30E43">
        <w:rPr>
          <w:noProof/>
          <w:spacing w:val="-8"/>
        </w:rPr>
        <w:t>already</w:t>
      </w:r>
      <w:r w:rsidR="003C4819" w:rsidRPr="00E30E43">
        <w:rPr>
          <w:noProof/>
          <w:spacing w:val="-8"/>
        </w:rPr>
        <w:t xml:space="preserve"> made direct bookings with airlines, the fact that most reservations were made by TAs through airline-owned CRSs in the 1980s raised concerns regarding the potential bias in presenting the results of flight searches to travel agents. CRSs could favour the flights of the airlines </w:t>
      </w:r>
      <w:r w:rsidR="002636D3" w:rsidRPr="00E30E43">
        <w:rPr>
          <w:noProof/>
          <w:spacing w:val="-8"/>
        </w:rPr>
        <w:t>owning</w:t>
      </w:r>
      <w:r w:rsidR="00BE61AE" w:rsidRPr="00E30E43">
        <w:rPr>
          <w:noProof/>
          <w:spacing w:val="-8"/>
        </w:rPr>
        <w:t xml:space="preserve"> </w:t>
      </w:r>
      <w:r w:rsidR="003C4819" w:rsidRPr="00E30E43">
        <w:rPr>
          <w:noProof/>
          <w:spacing w:val="-8"/>
        </w:rPr>
        <w:t xml:space="preserve">them, and parent carriers could discriminate against CRSs owned by other airlines. This combination created risks of competitive abuse for which </w:t>
      </w:r>
      <w:r w:rsidR="003C4819" w:rsidRPr="00E30E43">
        <w:rPr>
          <w:b/>
          <w:noProof/>
          <w:spacing w:val="-8"/>
        </w:rPr>
        <w:t>general competition rules were not sufficient and for which specific ad hoc rules in the form of a Code of Conduct were necessary</w:t>
      </w:r>
      <w:r w:rsidR="003C4819" w:rsidRPr="00E30E43">
        <w:rPr>
          <w:noProof/>
          <w:spacing w:val="-8"/>
        </w:rPr>
        <w:t xml:space="preserve">. </w:t>
      </w:r>
      <w:r w:rsidR="003C4819" w:rsidRPr="00E30E43">
        <w:rPr>
          <w:b/>
          <w:noProof/>
          <w:spacing w:val="-8"/>
        </w:rPr>
        <w:t>Regulation 2299/89 was therefore adopted to ensure equal treatment of all airlines whose flights were included in a CRS as to promote competition</w:t>
      </w:r>
      <w:r w:rsidR="001E1156" w:rsidRPr="00E30E43">
        <w:rPr>
          <w:b/>
          <w:noProof/>
          <w:spacing w:val="-8"/>
        </w:rPr>
        <w:t xml:space="preserve"> between airlines</w:t>
      </w:r>
      <w:r w:rsidR="003C4819" w:rsidRPr="00E30E43">
        <w:rPr>
          <w:b/>
          <w:noProof/>
          <w:spacing w:val="-8"/>
        </w:rPr>
        <w:t xml:space="preserve"> in the indirect air ticket distribution sector</w:t>
      </w:r>
      <w:r w:rsidR="003C4819" w:rsidRPr="00E30E43">
        <w:rPr>
          <w:noProof/>
          <w:spacing w:val="-8"/>
        </w:rPr>
        <w:t>. It introduced requirements for results to be shown on an unbiased display that did not favour the CRS’s parent carriers (or any other carriers) and to ensure that parent carriers did not favour their own CRS over the others</w:t>
      </w:r>
      <w:r w:rsidR="009E3575" w:rsidRPr="00E30E43">
        <w:rPr>
          <w:noProof/>
          <w:spacing w:val="-8"/>
        </w:rPr>
        <w:t xml:space="preserve"> as well as to ensure that </w:t>
      </w:r>
      <w:r w:rsidR="00244A38" w:rsidRPr="00E30E43">
        <w:rPr>
          <w:noProof/>
          <w:spacing w:val="-8"/>
        </w:rPr>
        <w:t>travel agents and finally consumers have access to offers without bias</w:t>
      </w:r>
      <w:r w:rsidR="003C4819" w:rsidRPr="00E30E43">
        <w:rPr>
          <w:noProof/>
          <w:spacing w:val="-8"/>
        </w:rPr>
        <w:t>. Given the complex and multi-national character of the CRS services and its support for the single aviation market, regulation at EU level had strong-added value.</w:t>
      </w:r>
    </w:p>
    <w:p w14:paraId="74DFA5CA" w14:textId="3F95B633" w:rsidR="00702072" w:rsidRPr="00E30E43" w:rsidRDefault="00507498" w:rsidP="00E30E43">
      <w:pPr>
        <w:pStyle w:val="BodyText"/>
        <w:spacing w:after="240"/>
        <w:ind w:left="0"/>
        <w:rPr>
          <w:noProof/>
          <w:spacing w:val="-8"/>
        </w:rPr>
      </w:pPr>
      <w:r w:rsidRPr="00E30E43">
        <w:rPr>
          <w:noProof/>
          <w:spacing w:val="-8"/>
        </w:rPr>
        <w:t>Already in 2007, first t</w:t>
      </w:r>
      <w:r w:rsidR="003C4819" w:rsidRPr="00E30E43">
        <w:rPr>
          <w:noProof/>
          <w:spacing w:val="-8"/>
        </w:rPr>
        <w:t>echnological and market developments ha</w:t>
      </w:r>
      <w:r w:rsidR="00CB2701" w:rsidRPr="00E30E43">
        <w:rPr>
          <w:noProof/>
          <w:spacing w:val="-8"/>
        </w:rPr>
        <w:t>d</w:t>
      </w:r>
      <w:r w:rsidR="003C4819" w:rsidRPr="00E30E43">
        <w:rPr>
          <w:noProof/>
          <w:spacing w:val="-8"/>
        </w:rPr>
        <w:t xml:space="preserve"> removed </w:t>
      </w:r>
      <w:r w:rsidR="00D720F5" w:rsidRPr="00E30E43">
        <w:rPr>
          <w:noProof/>
          <w:spacing w:val="-8"/>
        </w:rPr>
        <w:t>some</w:t>
      </w:r>
      <w:r w:rsidR="003C4819" w:rsidRPr="00E30E43">
        <w:rPr>
          <w:noProof/>
          <w:spacing w:val="-8"/>
        </w:rPr>
        <w:t xml:space="preserve"> of the features of the competitive landscape for which the CRS Code of Conduct was created. </w:t>
      </w:r>
      <w:r w:rsidR="00883312" w:rsidRPr="00E30E43">
        <w:rPr>
          <w:noProof/>
          <w:spacing w:val="-8"/>
        </w:rPr>
        <w:t>Many</w:t>
      </w:r>
      <w:r w:rsidR="003C4819" w:rsidRPr="00E30E43">
        <w:rPr>
          <w:noProof/>
          <w:spacing w:val="-8"/>
        </w:rPr>
        <w:t xml:space="preserve"> airlines divested </w:t>
      </w:r>
      <w:r w:rsidR="00467EB2" w:rsidRPr="00E30E43">
        <w:rPr>
          <w:noProof/>
          <w:spacing w:val="-8"/>
        </w:rPr>
        <w:t>from</w:t>
      </w:r>
      <w:r w:rsidR="003C4819" w:rsidRPr="00E30E43">
        <w:rPr>
          <w:noProof/>
          <w:spacing w:val="-8"/>
        </w:rPr>
        <w:t xml:space="preserve"> CRS</w:t>
      </w:r>
      <w:r w:rsidR="00467EB2" w:rsidRPr="00E30E43">
        <w:rPr>
          <w:noProof/>
          <w:spacing w:val="-8"/>
        </w:rPr>
        <w:t>s</w:t>
      </w:r>
      <w:r w:rsidR="003C4819" w:rsidRPr="00E30E43">
        <w:rPr>
          <w:noProof/>
          <w:spacing w:val="-8"/>
        </w:rPr>
        <w:t xml:space="preserve"> and the rise of alternative distribution channels, such as the airlines' websites or their call centres, </w:t>
      </w:r>
      <w:r w:rsidR="003C4819" w:rsidRPr="00E30E43">
        <w:rPr>
          <w:b/>
          <w:noProof/>
          <w:spacing w:val="-8"/>
        </w:rPr>
        <w:t>allowed consumers to have access to a multiplicity of information and booking channels for air transport services</w:t>
      </w:r>
      <w:r w:rsidR="003C4819" w:rsidRPr="00E30E43">
        <w:rPr>
          <w:noProof/>
          <w:spacing w:val="-8"/>
        </w:rPr>
        <w:t>. Therefore, in 2009 Regulation 2299/89 was replaced by Regulation (EC) 80/2009 (“the Regulation”), which regulates the business-to-business (B2B) relationships between the CRS providers, as well as air and rail carriers, and travel agents (“subscribers”) in indirect ticket distribution. The 2009 revision of the Code of Conduct took into account the advent of the Internet and introduced a degree of liberalisation by, for example, giving more contractual freedom for airlines and CRSs to negotiate booking fees and fare content.</w:t>
      </w:r>
      <w:r w:rsidR="00226B7C" w:rsidRPr="00E30E43">
        <w:rPr>
          <w:noProof/>
          <w:spacing w:val="-8"/>
        </w:rPr>
        <w:t xml:space="preserve"> This change was justified by </w:t>
      </w:r>
      <w:r w:rsidR="005D1F6D" w:rsidRPr="00E30E43">
        <w:rPr>
          <w:noProof/>
          <w:spacing w:val="-8"/>
        </w:rPr>
        <w:t>some</w:t>
      </w:r>
      <w:r w:rsidR="00226B7C" w:rsidRPr="00E30E43">
        <w:rPr>
          <w:noProof/>
          <w:spacing w:val="-8"/>
        </w:rPr>
        <w:t xml:space="preserve"> uninte</w:t>
      </w:r>
      <w:r w:rsidR="573F68C3" w:rsidRPr="00E30E43">
        <w:rPr>
          <w:noProof/>
          <w:spacing w:val="-8"/>
        </w:rPr>
        <w:t>n</w:t>
      </w:r>
      <w:r w:rsidR="00226B7C" w:rsidRPr="00E30E43">
        <w:rPr>
          <w:noProof/>
          <w:spacing w:val="-8"/>
        </w:rPr>
        <w:t>ded consequences</w:t>
      </w:r>
      <w:r w:rsidR="006976B2" w:rsidRPr="00E30E43">
        <w:rPr>
          <w:noProof/>
          <w:spacing w:val="-8"/>
        </w:rPr>
        <w:t xml:space="preserve"> of the </w:t>
      </w:r>
      <w:r w:rsidR="00972259" w:rsidRPr="00E30E43">
        <w:rPr>
          <w:noProof/>
          <w:spacing w:val="-8"/>
        </w:rPr>
        <w:t>1989’s</w:t>
      </w:r>
      <w:r w:rsidR="006976B2" w:rsidRPr="00E30E43">
        <w:rPr>
          <w:noProof/>
          <w:spacing w:val="-8"/>
        </w:rPr>
        <w:t xml:space="preserve"> Code of Conduct</w:t>
      </w:r>
      <w:r w:rsidR="00972259" w:rsidRPr="00E30E43">
        <w:rPr>
          <w:noProof/>
          <w:spacing w:val="-8"/>
        </w:rPr>
        <w:t>.</w:t>
      </w:r>
      <w:r w:rsidR="006976B2" w:rsidRPr="00E30E43">
        <w:rPr>
          <w:noProof/>
          <w:spacing w:val="-8"/>
        </w:rPr>
        <w:t xml:space="preserve"> </w:t>
      </w:r>
      <w:r w:rsidR="00972259" w:rsidRPr="00E30E43">
        <w:rPr>
          <w:noProof/>
          <w:spacing w:val="-8"/>
        </w:rPr>
        <w:t>E</w:t>
      </w:r>
      <w:r w:rsidR="00526104" w:rsidRPr="00E30E43">
        <w:rPr>
          <w:noProof/>
          <w:spacing w:val="-8"/>
        </w:rPr>
        <w:t xml:space="preserve">ven though </w:t>
      </w:r>
      <w:r w:rsidR="00176B21" w:rsidRPr="00E30E43">
        <w:rPr>
          <w:noProof/>
          <w:spacing w:val="-8"/>
        </w:rPr>
        <w:t>th</w:t>
      </w:r>
      <w:r w:rsidR="00931082" w:rsidRPr="00E30E43">
        <w:rPr>
          <w:noProof/>
          <w:spacing w:val="-8"/>
        </w:rPr>
        <w:t>e first Code of Conduct</w:t>
      </w:r>
      <w:r w:rsidR="00176B21" w:rsidRPr="00E30E43">
        <w:rPr>
          <w:noProof/>
          <w:spacing w:val="-8"/>
        </w:rPr>
        <w:t xml:space="preserve"> was successful in </w:t>
      </w:r>
      <w:r w:rsidR="003C3ECC" w:rsidRPr="00E30E43">
        <w:rPr>
          <w:noProof/>
          <w:spacing w:val="-8"/>
        </w:rPr>
        <w:t xml:space="preserve">preventing abuse and </w:t>
      </w:r>
      <w:r w:rsidR="00526104" w:rsidRPr="00E30E43">
        <w:rPr>
          <w:noProof/>
          <w:spacing w:val="-8"/>
        </w:rPr>
        <w:t xml:space="preserve">enhancing </w:t>
      </w:r>
      <w:r w:rsidR="006976B2" w:rsidRPr="00E30E43">
        <w:rPr>
          <w:noProof/>
          <w:spacing w:val="-8"/>
        </w:rPr>
        <w:t>compe</w:t>
      </w:r>
      <w:r w:rsidR="00DF057E" w:rsidRPr="00E30E43">
        <w:rPr>
          <w:noProof/>
          <w:spacing w:val="-8"/>
        </w:rPr>
        <w:t>t</w:t>
      </w:r>
      <w:r w:rsidR="006976B2" w:rsidRPr="00E30E43">
        <w:rPr>
          <w:noProof/>
          <w:spacing w:val="-8"/>
        </w:rPr>
        <w:t>ition</w:t>
      </w:r>
      <w:r w:rsidR="00526104" w:rsidRPr="00E30E43">
        <w:rPr>
          <w:noProof/>
          <w:spacing w:val="-8"/>
        </w:rPr>
        <w:t xml:space="preserve"> between airlines</w:t>
      </w:r>
      <w:r w:rsidR="003252F1" w:rsidRPr="00E30E43">
        <w:rPr>
          <w:noProof/>
          <w:spacing w:val="-8"/>
        </w:rPr>
        <w:t xml:space="preserve"> in the </w:t>
      </w:r>
      <w:r w:rsidR="00D3705B" w:rsidRPr="00E30E43">
        <w:rPr>
          <w:noProof/>
          <w:spacing w:val="-8"/>
        </w:rPr>
        <w:t xml:space="preserve">air services </w:t>
      </w:r>
      <w:r w:rsidR="003252F1" w:rsidRPr="00E30E43">
        <w:rPr>
          <w:noProof/>
          <w:spacing w:val="-8"/>
        </w:rPr>
        <w:t>market</w:t>
      </w:r>
      <w:r w:rsidR="00DA3378" w:rsidRPr="00E30E43">
        <w:rPr>
          <w:noProof/>
          <w:spacing w:val="-8"/>
        </w:rPr>
        <w:t>,</w:t>
      </w:r>
      <w:r w:rsidR="00FE4917" w:rsidRPr="00E30E43">
        <w:rPr>
          <w:noProof/>
          <w:spacing w:val="-8"/>
        </w:rPr>
        <w:t xml:space="preserve"> the</w:t>
      </w:r>
      <w:r w:rsidR="006976B2" w:rsidRPr="00E30E43">
        <w:rPr>
          <w:noProof/>
          <w:spacing w:val="-8"/>
        </w:rPr>
        <w:t xml:space="preserve"> prohibition for airlines to differentiate content between CRSs significantly restricted their negotiating freedom. The lack of competition </w:t>
      </w:r>
      <w:r w:rsidR="00520EB7" w:rsidRPr="00E30E43">
        <w:rPr>
          <w:noProof/>
          <w:spacing w:val="-8"/>
        </w:rPr>
        <w:t>created</w:t>
      </w:r>
      <w:r w:rsidR="006976B2" w:rsidRPr="00E30E43">
        <w:rPr>
          <w:noProof/>
          <w:spacing w:val="-8"/>
        </w:rPr>
        <w:t xml:space="preserve"> a system of economic rents in favour of CRSs and travel agents, at the expense of airlines and their passengers. </w:t>
      </w:r>
      <w:r w:rsidR="00D665EA" w:rsidRPr="00E30E43">
        <w:rPr>
          <w:noProof/>
          <w:spacing w:val="-8"/>
        </w:rPr>
        <w:t>This lack of flexibility</w:t>
      </w:r>
      <w:r w:rsidR="006976B2" w:rsidRPr="00E30E43">
        <w:rPr>
          <w:noProof/>
          <w:spacing w:val="-8"/>
        </w:rPr>
        <w:t xml:space="preserve"> l</w:t>
      </w:r>
      <w:r w:rsidR="00D30251" w:rsidRPr="00E30E43">
        <w:rPr>
          <w:noProof/>
          <w:spacing w:val="-8"/>
        </w:rPr>
        <w:t>ed</w:t>
      </w:r>
      <w:r w:rsidR="006976B2" w:rsidRPr="00E30E43">
        <w:rPr>
          <w:noProof/>
          <w:spacing w:val="-8"/>
        </w:rPr>
        <w:t xml:space="preserve"> to higher CRS booking fees</w:t>
      </w:r>
      <w:r w:rsidR="00D82E03" w:rsidRPr="00E30E43">
        <w:rPr>
          <w:rStyle w:val="FootnoteReference"/>
          <w:noProof/>
          <w:spacing w:val="-8"/>
        </w:rPr>
        <w:footnoteReference w:id="367"/>
      </w:r>
      <w:r w:rsidR="00F8606C" w:rsidRPr="00E30E43">
        <w:rPr>
          <w:noProof/>
          <w:spacing w:val="-8"/>
        </w:rPr>
        <w:t>,</w:t>
      </w:r>
      <w:r w:rsidR="006976B2" w:rsidRPr="00E30E43">
        <w:rPr>
          <w:noProof/>
          <w:spacing w:val="-8"/>
        </w:rPr>
        <w:t xml:space="preserve"> </w:t>
      </w:r>
      <w:r w:rsidR="00F8606C" w:rsidRPr="00E30E43">
        <w:rPr>
          <w:noProof/>
          <w:spacing w:val="-8"/>
        </w:rPr>
        <w:t xml:space="preserve">inciting </w:t>
      </w:r>
      <w:r w:rsidR="006976B2" w:rsidRPr="00E30E43">
        <w:rPr>
          <w:noProof/>
          <w:spacing w:val="-8"/>
        </w:rPr>
        <w:t>airlines to distribute an increasing share of their tickets via alternative distribution channels</w:t>
      </w:r>
      <w:r w:rsidR="000D7868" w:rsidRPr="00E30E43">
        <w:rPr>
          <w:rStyle w:val="FootnoteReference"/>
          <w:noProof/>
          <w:spacing w:val="-8"/>
        </w:rPr>
        <w:footnoteReference w:id="368"/>
      </w:r>
      <w:r w:rsidR="006976B2" w:rsidRPr="00E30E43">
        <w:rPr>
          <w:noProof/>
          <w:spacing w:val="-8"/>
        </w:rPr>
        <w:t>.</w:t>
      </w:r>
    </w:p>
    <w:p w14:paraId="553693F6" w14:textId="24B131FD" w:rsidR="00B31BD3" w:rsidRPr="00E30E43" w:rsidRDefault="003C4819" w:rsidP="00E30E43">
      <w:pPr>
        <w:pStyle w:val="BodyText"/>
        <w:spacing w:after="240"/>
        <w:ind w:left="0"/>
        <w:rPr>
          <w:noProof/>
          <w:spacing w:val="-8"/>
        </w:rPr>
      </w:pPr>
      <w:r w:rsidRPr="00E30E43">
        <w:rPr>
          <w:b/>
          <w:noProof/>
          <w:spacing w:val="-8"/>
        </w:rPr>
        <w:t>Today, CRSs account for a smaller share of total air ticket sales</w:t>
      </w:r>
      <w:r w:rsidRPr="00E30E43">
        <w:rPr>
          <w:noProof/>
          <w:spacing w:val="-8"/>
        </w:rPr>
        <w:t>. The</w:t>
      </w:r>
      <w:r w:rsidR="009F36F6" w:rsidRPr="00E30E43">
        <w:rPr>
          <w:noProof/>
          <w:spacing w:val="-8"/>
        </w:rPr>
        <w:t xml:space="preserve"> </w:t>
      </w:r>
      <w:r w:rsidRPr="00E30E43">
        <w:rPr>
          <w:noProof/>
          <w:spacing w:val="-8"/>
        </w:rPr>
        <w:t xml:space="preserve">share of tickets booked via a CRS for flights </w:t>
      </w:r>
      <w:r w:rsidR="0077032A" w:rsidRPr="00E30E43">
        <w:rPr>
          <w:noProof/>
          <w:spacing w:val="-8"/>
        </w:rPr>
        <w:t xml:space="preserve">decreased </w:t>
      </w:r>
      <w:r w:rsidR="00177400" w:rsidRPr="00E30E43">
        <w:rPr>
          <w:noProof/>
          <w:spacing w:val="-8"/>
        </w:rPr>
        <w:t xml:space="preserve">from </w:t>
      </w:r>
      <w:r w:rsidR="00EF08F2" w:rsidRPr="00E30E43">
        <w:rPr>
          <w:noProof/>
          <w:spacing w:val="-8"/>
        </w:rPr>
        <w:t xml:space="preserve">approximately </w:t>
      </w:r>
      <w:r w:rsidRPr="00E30E43">
        <w:rPr>
          <w:noProof/>
          <w:spacing w:val="-8"/>
        </w:rPr>
        <w:t>3</w:t>
      </w:r>
      <w:r>
        <w:rPr>
          <w:noProof/>
          <w:spacing w:val="-8"/>
        </w:rPr>
        <w:t>0.</w:t>
      </w:r>
      <w:r w:rsidR="00493A57" w:rsidRPr="00E30E43">
        <w:rPr>
          <w:noProof/>
          <w:spacing w:val="-8"/>
        </w:rPr>
        <w:t>1</w:t>
      </w:r>
      <w:r w:rsidRPr="00E30E43">
        <w:rPr>
          <w:noProof/>
          <w:spacing w:val="-8"/>
        </w:rPr>
        <w:t>%</w:t>
      </w:r>
      <w:r w:rsidR="00177400" w:rsidRPr="00E30E43">
        <w:rPr>
          <w:noProof/>
          <w:spacing w:val="-8"/>
        </w:rPr>
        <w:t xml:space="preserve"> in 2019</w:t>
      </w:r>
      <w:r w:rsidR="00B55800" w:rsidRPr="00E30E43">
        <w:rPr>
          <w:noProof/>
          <w:spacing w:val="-8"/>
        </w:rPr>
        <w:t xml:space="preserve"> </w:t>
      </w:r>
      <w:r w:rsidR="0094748A" w:rsidRPr="00E30E43">
        <w:rPr>
          <w:noProof/>
          <w:spacing w:val="-8"/>
        </w:rPr>
        <w:t xml:space="preserve">to </w:t>
      </w:r>
      <w:r w:rsidR="0039012C" w:rsidRPr="00E30E43">
        <w:rPr>
          <w:noProof/>
          <w:spacing w:val="-8"/>
        </w:rPr>
        <w:t>2</w:t>
      </w:r>
      <w:r w:rsidR="00493A57" w:rsidRPr="00E30E43">
        <w:rPr>
          <w:noProof/>
          <w:spacing w:val="-8"/>
        </w:rPr>
        <w:t>2</w:t>
      </w:r>
      <w:r w:rsidR="0094748A" w:rsidRPr="00E30E43">
        <w:rPr>
          <w:noProof/>
          <w:spacing w:val="-8"/>
        </w:rPr>
        <w:t>%</w:t>
      </w:r>
      <w:r w:rsidR="008332F4" w:rsidRPr="00E30E43">
        <w:rPr>
          <w:rStyle w:val="FootnoteReference"/>
          <w:noProof/>
          <w:spacing w:val="-8"/>
        </w:rPr>
        <w:footnoteReference w:id="369"/>
      </w:r>
      <w:r w:rsidR="00B55800" w:rsidRPr="00E30E43">
        <w:rPr>
          <w:noProof/>
          <w:spacing w:val="-8"/>
        </w:rPr>
        <w:t xml:space="preserve"> </w:t>
      </w:r>
      <w:r w:rsidR="0059219E" w:rsidRPr="00E30E43">
        <w:rPr>
          <w:noProof/>
          <w:spacing w:val="-8"/>
        </w:rPr>
        <w:t>in 2024</w:t>
      </w:r>
      <w:r w:rsidR="0077032A" w:rsidRPr="00E30E43">
        <w:rPr>
          <w:noProof/>
          <w:spacing w:val="-8"/>
        </w:rPr>
        <w:t xml:space="preserve"> </w:t>
      </w:r>
      <w:r w:rsidR="00B55800" w:rsidRPr="00E30E43">
        <w:rPr>
          <w:noProof/>
          <w:spacing w:val="-8"/>
        </w:rPr>
        <w:t>of ticket sold</w:t>
      </w:r>
      <w:r w:rsidR="00DA3424" w:rsidRPr="00E30E43">
        <w:rPr>
          <w:noProof/>
          <w:spacing w:val="-8"/>
        </w:rPr>
        <w:t xml:space="preserve"> in the EU</w:t>
      </w:r>
      <w:r w:rsidRPr="00E30E43">
        <w:rPr>
          <w:noProof/>
          <w:spacing w:val="-8"/>
        </w:rPr>
        <w:t>.</w:t>
      </w:r>
      <w:r w:rsidR="00114756" w:rsidRPr="00E30E43">
        <w:rPr>
          <w:noProof/>
          <w:spacing w:val="-8"/>
        </w:rPr>
        <w:t xml:space="preserve"> However, </w:t>
      </w:r>
      <w:r w:rsidR="005B07A8" w:rsidRPr="00E30E43">
        <w:rPr>
          <w:noProof/>
          <w:spacing w:val="-8"/>
        </w:rPr>
        <w:t>the</w:t>
      </w:r>
      <w:r w:rsidR="00C20969" w:rsidRPr="00E30E43">
        <w:rPr>
          <w:noProof/>
          <w:spacing w:val="-8"/>
        </w:rPr>
        <w:t xml:space="preserve"> </w:t>
      </w:r>
      <w:r w:rsidR="00D95DD0" w:rsidRPr="00E30E43">
        <w:rPr>
          <w:noProof/>
          <w:spacing w:val="-8"/>
        </w:rPr>
        <w:t>CRS</w:t>
      </w:r>
      <w:r w:rsidR="005B07A8" w:rsidRPr="00E30E43">
        <w:rPr>
          <w:noProof/>
          <w:spacing w:val="-8"/>
        </w:rPr>
        <w:t xml:space="preserve"> market in the EU27 remains highly concentrated among three major global providers. In 2024, </w:t>
      </w:r>
      <w:r w:rsidR="001F7B68" w:rsidRPr="00E30E43">
        <w:rPr>
          <w:noProof/>
          <w:spacing w:val="-8"/>
        </w:rPr>
        <w:t xml:space="preserve">one </w:t>
      </w:r>
      <w:r w:rsidR="005B07A8" w:rsidRPr="00E30E43">
        <w:rPr>
          <w:noProof/>
          <w:spacing w:val="-8"/>
        </w:rPr>
        <w:t xml:space="preserve">CRS accounted for approximately 64% of all CRS-based air ticket sales in the </w:t>
      </w:r>
      <w:r w:rsidR="00693552" w:rsidRPr="00E30E43">
        <w:rPr>
          <w:noProof/>
          <w:spacing w:val="-8"/>
        </w:rPr>
        <w:t>EU</w:t>
      </w:r>
      <w:r w:rsidR="005B07A8" w:rsidRPr="00E30E43">
        <w:rPr>
          <w:noProof/>
          <w:spacing w:val="-8"/>
        </w:rPr>
        <w:t xml:space="preserve">. </w:t>
      </w:r>
      <w:r w:rsidR="001F7B68" w:rsidRPr="00E30E43">
        <w:rPr>
          <w:noProof/>
          <w:spacing w:val="-8"/>
        </w:rPr>
        <w:t xml:space="preserve">The second </w:t>
      </w:r>
      <w:r w:rsidR="005B07A8" w:rsidRPr="00E30E43">
        <w:rPr>
          <w:noProof/>
          <w:spacing w:val="-8"/>
        </w:rPr>
        <w:t>CRS, while globally the second-largest provider with approximately 25-30% global market share, has a smaller footprint in Europe</w:t>
      </w:r>
      <w:r w:rsidR="005B07A8" w:rsidRPr="00E30E43">
        <w:rPr>
          <w:noProof/>
          <w:spacing w:val="-8"/>
          <w:vertAlign w:val="superscript"/>
        </w:rPr>
        <w:t>62</w:t>
      </w:r>
      <w:r w:rsidR="00C1726A" w:rsidRPr="00E30E43">
        <w:rPr>
          <w:noProof/>
          <w:spacing w:val="-8"/>
        </w:rPr>
        <w:t xml:space="preserve"> </w:t>
      </w:r>
      <w:r w:rsidR="008D6870" w:rsidRPr="00E30E43">
        <w:rPr>
          <w:noProof/>
          <w:spacing w:val="-8"/>
        </w:rPr>
        <w:t>of</w:t>
      </w:r>
      <w:r w:rsidR="005B07A8" w:rsidRPr="00E30E43">
        <w:rPr>
          <w:noProof/>
          <w:spacing w:val="-8"/>
        </w:rPr>
        <w:t xml:space="preserve"> around 2</w:t>
      </w:r>
      <w:r w:rsidR="003208F2" w:rsidRPr="00E30E43">
        <w:rPr>
          <w:noProof/>
          <w:spacing w:val="-8"/>
        </w:rPr>
        <w:t>2</w:t>
      </w:r>
      <w:r w:rsidR="005B07A8" w:rsidRPr="00E30E43">
        <w:rPr>
          <w:noProof/>
          <w:spacing w:val="-8"/>
        </w:rPr>
        <w:t xml:space="preserve">% of the EU market. The remaining 12–16% is attributed to </w:t>
      </w:r>
      <w:r w:rsidR="00C50315" w:rsidRPr="00E30E43">
        <w:rPr>
          <w:noProof/>
          <w:spacing w:val="-8"/>
        </w:rPr>
        <w:t xml:space="preserve">the third </w:t>
      </w:r>
      <w:r w:rsidR="005B07A8" w:rsidRPr="00E30E43">
        <w:rPr>
          <w:noProof/>
          <w:spacing w:val="-8"/>
        </w:rPr>
        <w:t>CRS</w:t>
      </w:r>
      <w:r w:rsidR="008F3B85" w:rsidRPr="00E30E43">
        <w:rPr>
          <w:noProof/>
          <w:spacing w:val="-8"/>
        </w:rPr>
        <w:t xml:space="preserve">, with an estimated 14% in the EU. </w:t>
      </w:r>
      <w:r w:rsidR="00D95DD0" w:rsidRPr="00E30E43">
        <w:rPr>
          <w:noProof/>
          <w:spacing w:val="-8"/>
        </w:rPr>
        <w:t xml:space="preserve">On the other hand, as bookings for business travel tend to be higher value and tend to be booked in particular via </w:t>
      </w:r>
      <w:r w:rsidR="003945CE" w:rsidRPr="00E30E43">
        <w:rPr>
          <w:noProof/>
          <w:spacing w:val="-8"/>
        </w:rPr>
        <w:t>TMCs</w:t>
      </w:r>
      <w:r w:rsidR="00D95DD0" w:rsidRPr="00E30E43">
        <w:rPr>
          <w:noProof/>
          <w:spacing w:val="-8"/>
        </w:rPr>
        <w:t xml:space="preserve"> (who still rely to a great extent on CRSs) it is likely that the percentage of bookings by value made via CRSs </w:t>
      </w:r>
      <w:r w:rsidR="005D310E" w:rsidRPr="00E30E43">
        <w:rPr>
          <w:noProof/>
          <w:spacing w:val="-8"/>
        </w:rPr>
        <w:t>is</w:t>
      </w:r>
      <w:r w:rsidR="00D95DD0" w:rsidRPr="00E30E43">
        <w:rPr>
          <w:noProof/>
          <w:spacing w:val="-8"/>
        </w:rPr>
        <w:t xml:space="preserve"> greater than the percentage by volume.</w:t>
      </w:r>
      <w:r w:rsidR="008C0320" w:rsidRPr="00E30E43">
        <w:rPr>
          <w:noProof/>
          <w:spacing w:val="-8"/>
        </w:rPr>
        <w:t xml:space="preserve"> Data collected show a continued heavy reliance on CRS-connected channels, which made up nearly </w:t>
      </w:r>
      <w:r w:rsidR="00620FE2" w:rsidRPr="00E30E43">
        <w:rPr>
          <w:noProof/>
          <w:spacing w:val="-8"/>
        </w:rPr>
        <w:t>73</w:t>
      </w:r>
      <w:r w:rsidR="008C0320" w:rsidRPr="00E30E43">
        <w:rPr>
          <w:noProof/>
          <w:spacing w:val="-8"/>
        </w:rPr>
        <w:t xml:space="preserve">% of all ticket selling channels in in 2024. </w:t>
      </w:r>
      <w:r w:rsidR="004F0B52" w:rsidRPr="00E30E43">
        <w:rPr>
          <w:noProof/>
          <w:spacing w:val="-8"/>
        </w:rPr>
        <w:t>T</w:t>
      </w:r>
      <w:r w:rsidR="008C0320" w:rsidRPr="00E30E43">
        <w:rPr>
          <w:noProof/>
          <w:spacing w:val="-8"/>
        </w:rPr>
        <w:t xml:space="preserve">he diversification towards non-CRS content aggregators (including both offline and online OTAs) more than doubled over the same period, growing from 4% to 11% of total distribution channels used. </w:t>
      </w:r>
      <w:r w:rsidR="00274FF2" w:rsidRPr="00E30E43">
        <w:rPr>
          <w:noProof/>
          <w:spacing w:val="-8"/>
        </w:rPr>
        <w:t xml:space="preserve">Non-CRS channels </w:t>
      </w:r>
      <w:r w:rsidR="00266AF7" w:rsidRPr="00E30E43">
        <w:rPr>
          <w:noProof/>
          <w:spacing w:val="-8"/>
        </w:rPr>
        <w:t>are growing in importance with a</w:t>
      </w:r>
      <w:r w:rsidR="00DF1D9A" w:rsidRPr="00E30E43">
        <w:rPr>
          <w:noProof/>
          <w:spacing w:val="-8"/>
        </w:rPr>
        <w:t xml:space="preserve"> shift from </w:t>
      </w:r>
      <w:r>
        <w:rPr>
          <w:noProof/>
          <w:spacing w:val="-8"/>
        </w:rPr>
        <w:t>5</w:t>
      </w:r>
      <w:r w:rsidR="00DF1D9A" w:rsidRPr="00E30E43">
        <w:rPr>
          <w:noProof/>
          <w:spacing w:val="-8"/>
        </w:rPr>
        <w:t xml:space="preserve">% in 2019 to 9% in 2024 </w:t>
      </w:r>
      <w:r w:rsidR="008352BD" w:rsidRPr="00E30E43">
        <w:rPr>
          <w:noProof/>
          <w:spacing w:val="-8"/>
        </w:rPr>
        <w:t>of ticket sold</w:t>
      </w:r>
      <w:r w:rsidR="00DF1D9A" w:rsidRPr="00E30E43">
        <w:rPr>
          <w:noProof/>
          <w:spacing w:val="-8"/>
        </w:rPr>
        <w:t xml:space="preserve"> in the EU</w:t>
      </w:r>
      <w:r w:rsidR="008352BD" w:rsidRPr="00E30E43">
        <w:rPr>
          <w:noProof/>
          <w:spacing w:val="-8"/>
        </w:rPr>
        <w:t>.</w:t>
      </w:r>
      <w:r w:rsidR="00274FF2" w:rsidRPr="00E30E43">
        <w:rPr>
          <w:noProof/>
          <w:spacing w:val="-8"/>
        </w:rPr>
        <w:t xml:space="preserve"> </w:t>
      </w:r>
      <w:r w:rsidR="002C3741" w:rsidRPr="00E30E43">
        <w:rPr>
          <w:noProof/>
          <w:spacing w:val="-8"/>
        </w:rPr>
        <w:t>Despite this growing ability to diversify, stakeholders confirmed that CRSs remain important for both airlines</w:t>
      </w:r>
      <w:r w:rsidR="00BE0B5A" w:rsidRPr="00E30E43">
        <w:rPr>
          <w:noProof/>
          <w:spacing w:val="-8"/>
        </w:rPr>
        <w:t>, in particular small airlines,</w:t>
      </w:r>
      <w:r w:rsidR="002C3741" w:rsidRPr="00E30E43">
        <w:rPr>
          <w:noProof/>
          <w:spacing w:val="-8"/>
        </w:rPr>
        <w:t xml:space="preserve"> and </w:t>
      </w:r>
      <w:r w:rsidR="00627614" w:rsidRPr="00E30E43">
        <w:rPr>
          <w:noProof/>
          <w:spacing w:val="-8"/>
        </w:rPr>
        <w:t>for travel agents</w:t>
      </w:r>
      <w:r w:rsidR="002C3741" w:rsidRPr="00E30E43">
        <w:rPr>
          <w:noProof/>
          <w:spacing w:val="-8"/>
        </w:rPr>
        <w:t xml:space="preserve">, including </w:t>
      </w:r>
      <w:r w:rsidR="00627614" w:rsidRPr="00E30E43">
        <w:rPr>
          <w:noProof/>
          <w:spacing w:val="-8"/>
        </w:rPr>
        <w:t xml:space="preserve">also </w:t>
      </w:r>
      <w:r w:rsidR="002C3741" w:rsidRPr="00E30E43">
        <w:rPr>
          <w:noProof/>
          <w:spacing w:val="-8"/>
        </w:rPr>
        <w:t xml:space="preserve">OTAs, who continue to rely on them for their content. </w:t>
      </w:r>
    </w:p>
    <w:p w14:paraId="1316AAE9" w14:textId="59530617" w:rsidR="001F7BE3" w:rsidRPr="00E30E43" w:rsidRDefault="00951C79" w:rsidP="00E30E43">
      <w:pPr>
        <w:pStyle w:val="BodyText"/>
        <w:spacing w:after="240"/>
        <w:ind w:left="0"/>
        <w:rPr>
          <w:noProof/>
          <w:spacing w:val="-8"/>
        </w:rPr>
      </w:pPr>
      <w:r w:rsidRPr="00E30E43">
        <w:rPr>
          <w:b/>
          <w:noProof/>
          <w:spacing w:val="-8"/>
        </w:rPr>
        <w:t xml:space="preserve">The </w:t>
      </w:r>
      <w:r w:rsidR="001F7BE3" w:rsidRPr="00E30E43">
        <w:rPr>
          <w:b/>
          <w:noProof/>
          <w:spacing w:val="-8"/>
        </w:rPr>
        <w:t>declining share of bookings made via CRSs today</w:t>
      </w:r>
      <w:r w:rsidR="001F7BE3" w:rsidRPr="00E30E43">
        <w:rPr>
          <w:noProof/>
          <w:spacing w:val="-8"/>
        </w:rPr>
        <w:t xml:space="preserve"> is due to a multitude of factors. In the 1990s and early 2000s, following air transport liberalisation packages, low-cost carriers (LCCs) gained significant market share across Europe, and by 2018 LCCs were flying more passengers than legacy carries on intra-EEA flights (European Commission, 2019). LCCs incentivised passengers to book their tickets directly via their website and did not distribute tickets via CRSs. Recently, this trend has seen a slight change as also LCCs, including Ryanair, have started distributing part of their tickets through CRSs to increase sales in the business segment. In the last years LCCs have also concluded commercial agreements with </w:t>
      </w:r>
      <w:r w:rsidR="00A56D41" w:rsidRPr="00E30E43">
        <w:rPr>
          <w:noProof/>
          <w:spacing w:val="-8"/>
        </w:rPr>
        <w:t>several</w:t>
      </w:r>
      <w:r w:rsidR="001F7BE3" w:rsidRPr="00E30E43">
        <w:rPr>
          <w:noProof/>
          <w:spacing w:val="-8"/>
        </w:rPr>
        <w:t xml:space="preserve"> OTAs</w:t>
      </w:r>
      <w:r w:rsidR="00151BEF" w:rsidRPr="00E30E43">
        <w:rPr>
          <w:noProof/>
          <w:spacing w:val="-8"/>
        </w:rPr>
        <w:t>, MSEs</w:t>
      </w:r>
      <w:r w:rsidR="001F7BE3" w:rsidRPr="00E30E43">
        <w:rPr>
          <w:noProof/>
          <w:spacing w:val="-8"/>
        </w:rPr>
        <w:t xml:space="preserve"> and </w:t>
      </w:r>
      <w:r w:rsidR="00A56D41" w:rsidRPr="00E30E43">
        <w:rPr>
          <w:noProof/>
          <w:spacing w:val="-8"/>
        </w:rPr>
        <w:t>NCAs</w:t>
      </w:r>
      <w:r w:rsidR="001F7BE3" w:rsidRPr="00E30E43">
        <w:rPr>
          <w:noProof/>
          <w:spacing w:val="-8"/>
        </w:rPr>
        <w:t xml:space="preserve"> to increase their </w:t>
      </w:r>
      <w:r w:rsidR="000E066F" w:rsidRPr="00E30E43">
        <w:rPr>
          <w:noProof/>
          <w:spacing w:val="-8"/>
        </w:rPr>
        <w:t>consumers</w:t>
      </w:r>
      <w:r w:rsidR="001F7BE3" w:rsidRPr="00E30E43">
        <w:rPr>
          <w:noProof/>
          <w:spacing w:val="-8"/>
        </w:rPr>
        <w:t xml:space="preserve"> reach. However, some OTAs argue that large airlines and in particular dominant LCCs are employing strategies limit</w:t>
      </w:r>
      <w:r w:rsidR="008C487C" w:rsidRPr="00E30E43">
        <w:rPr>
          <w:noProof/>
          <w:spacing w:val="-8"/>
        </w:rPr>
        <w:t>ing</w:t>
      </w:r>
      <w:r w:rsidR="001F7BE3" w:rsidRPr="00E30E43">
        <w:rPr>
          <w:noProof/>
          <w:spacing w:val="-8"/>
        </w:rPr>
        <w:t xml:space="preserve"> the integration of their offerings into independent MDMS platforms (e.g. high surcharges, restrictions on marketing</w:t>
      </w:r>
      <w:r w:rsidR="00215EF0" w:rsidRPr="00E30E43">
        <w:rPr>
          <w:noProof/>
          <w:spacing w:val="-8"/>
        </w:rPr>
        <w:t xml:space="preserve">, </w:t>
      </w:r>
      <w:r w:rsidR="00F83643" w:rsidRPr="00E30E43">
        <w:rPr>
          <w:noProof/>
          <w:spacing w:val="-8"/>
        </w:rPr>
        <w:t xml:space="preserve">retaining </w:t>
      </w:r>
      <w:r w:rsidR="00215EF0" w:rsidRPr="00E30E43">
        <w:rPr>
          <w:noProof/>
          <w:spacing w:val="-8"/>
        </w:rPr>
        <w:t>lighter fares</w:t>
      </w:r>
      <w:r w:rsidR="001F7BE3" w:rsidRPr="00E30E43">
        <w:rPr>
          <w:noProof/>
          <w:spacing w:val="-8"/>
        </w:rPr>
        <w:t xml:space="preserve"> etc.). On their side, LCCs argue back that it would be economically unsustainable for them to allow high booking fees and to sell all their offers in all intermediaries as this would undermine their business model which is based on maintaining the costs of travelling low. </w:t>
      </w:r>
      <w:r w:rsidR="004571F2" w:rsidRPr="00E30E43">
        <w:rPr>
          <w:noProof/>
          <w:spacing w:val="-8"/>
        </w:rPr>
        <w:t xml:space="preserve">In general, </w:t>
      </w:r>
      <w:r w:rsidR="00FD5305" w:rsidRPr="00E30E43">
        <w:rPr>
          <w:noProof/>
          <w:spacing w:val="-8"/>
        </w:rPr>
        <w:t>airlines argue they should be able to withhold certain fares (notably the cheapest fares) from these channels when distribution costs exceed the benefits</w:t>
      </w:r>
      <w:r w:rsidR="00FD5305" w:rsidRPr="00E30E43">
        <w:rPr>
          <w:noProof/>
          <w:spacing w:val="-8"/>
          <w:vertAlign w:val="superscript"/>
        </w:rPr>
        <w:footnoteReference w:id="370"/>
      </w:r>
      <w:r w:rsidR="00FD5305" w:rsidRPr="00E30E43">
        <w:rPr>
          <w:noProof/>
          <w:spacing w:val="-8"/>
        </w:rPr>
        <w:t xml:space="preserve">. </w:t>
      </w:r>
      <w:r w:rsidR="001F7BE3" w:rsidRPr="00E30E43">
        <w:rPr>
          <w:noProof/>
          <w:spacing w:val="-8"/>
        </w:rPr>
        <w:t>Now, all carriers use their website as a promotion tool and as a direct sales channel. In general, the use of the internet by passengers to book flights has grown significantly in recent years due to the increased availability, and speed, of the internet in offices, homes and via mobile data networks</w:t>
      </w:r>
      <w:r w:rsidR="001F7BE3" w:rsidRPr="00E30E43">
        <w:rPr>
          <w:rStyle w:val="FootnoteReference"/>
          <w:noProof/>
          <w:spacing w:val="-8"/>
        </w:rPr>
        <w:footnoteReference w:id="371"/>
      </w:r>
      <w:r w:rsidR="001F7BE3" w:rsidRPr="00E30E43">
        <w:rPr>
          <w:noProof/>
          <w:spacing w:val="-8"/>
        </w:rPr>
        <w:t>.</w:t>
      </w:r>
    </w:p>
    <w:p w14:paraId="67A75900" w14:textId="5251D1CC" w:rsidR="001F7BE3" w:rsidRPr="00E30E43" w:rsidRDefault="001F7BE3" w:rsidP="00BC0D93">
      <w:pPr>
        <w:pStyle w:val="BodyText"/>
        <w:spacing w:after="240"/>
        <w:ind w:left="0" w:right="-26"/>
        <w:rPr>
          <w:noProof/>
          <w:spacing w:val="-8"/>
        </w:rPr>
      </w:pPr>
      <w:r w:rsidRPr="00E30E43">
        <w:rPr>
          <w:noProof/>
          <w:spacing w:val="-8"/>
        </w:rPr>
        <w:t>The</w:t>
      </w:r>
      <w:r w:rsidRPr="00E30E43">
        <w:rPr>
          <w:b/>
          <w:bCs/>
          <w:noProof/>
          <w:spacing w:val="-8"/>
        </w:rPr>
        <w:t xml:space="preserve"> internet</w:t>
      </w:r>
      <w:r w:rsidRPr="00E30E43">
        <w:rPr>
          <w:noProof/>
          <w:spacing w:val="-8"/>
        </w:rPr>
        <w:t xml:space="preserve"> penetration also facilitated the creation of new business models in the air ticket distribution sector. This is the case of OTAs, </w:t>
      </w:r>
      <w:r w:rsidR="00FD008B" w:rsidRPr="00E30E43">
        <w:rPr>
          <w:noProof/>
          <w:spacing w:val="-8"/>
        </w:rPr>
        <w:t>NCAs</w:t>
      </w:r>
      <w:r w:rsidRPr="00E30E43">
        <w:rPr>
          <w:noProof/>
          <w:spacing w:val="-8"/>
        </w:rPr>
        <w:t xml:space="preserve">, MSEs. OTAs and MSEs also take </w:t>
      </w:r>
      <w:r w:rsidR="000878EC" w:rsidRPr="00E30E43">
        <w:rPr>
          <w:noProof/>
          <w:spacing w:val="-8"/>
        </w:rPr>
        <w:t>the</w:t>
      </w:r>
      <w:r w:rsidRPr="00E30E43">
        <w:rPr>
          <w:noProof/>
          <w:spacing w:val="-8"/>
        </w:rPr>
        <w:t xml:space="preserve"> feed both from CRSs and </w:t>
      </w:r>
      <w:r w:rsidR="00455E14" w:rsidRPr="00E30E43">
        <w:rPr>
          <w:noProof/>
          <w:spacing w:val="-8"/>
        </w:rPr>
        <w:t>NCAs</w:t>
      </w:r>
      <w:r w:rsidRPr="00E30E43">
        <w:rPr>
          <w:noProof/>
          <w:spacing w:val="-8"/>
        </w:rPr>
        <w:t xml:space="preserve"> in ticket distribution. Among travel agents, Travel Management Companies are a specialised type of travel agents that cater for the</w:t>
      </w:r>
      <w:r w:rsidR="00041012" w:rsidRPr="00E30E43">
        <w:rPr>
          <w:noProof/>
          <w:spacing w:val="-8"/>
        </w:rPr>
        <w:t xml:space="preserve"> </w:t>
      </w:r>
      <w:r w:rsidRPr="00E30E43">
        <w:rPr>
          <w:noProof/>
          <w:spacing w:val="-8"/>
        </w:rPr>
        <w:t xml:space="preserve">needs of business travellers. </w:t>
      </w:r>
      <w:r w:rsidRPr="00E30E43">
        <w:rPr>
          <w:b/>
          <w:noProof/>
          <w:spacing w:val="-8"/>
        </w:rPr>
        <w:t>New content aggregators</w:t>
      </w:r>
      <w:r w:rsidRPr="00E30E43">
        <w:rPr>
          <w:noProof/>
          <w:spacing w:val="-8"/>
        </w:rPr>
        <w:t>, such as Travelfusion, are companies that supply a software interface that connects directly to multiple carriers’ application programming interface (API) and then provides travel agents with capabilities to compare flight options among different carriers and book flights performing similar functions to CRSs. Their main source of revenue is the booking fees paid directly by travel agents, unlike CRS which receive booking fees from carriers and subscription fees from travel agents and TMCs.</w:t>
      </w:r>
    </w:p>
    <w:p w14:paraId="2F7269EB" w14:textId="66A9BABC" w:rsidR="00571D93" w:rsidRPr="00E30E43" w:rsidRDefault="00B06E28" w:rsidP="00BC0D93">
      <w:pPr>
        <w:pStyle w:val="BodyText"/>
        <w:spacing w:after="240"/>
        <w:ind w:left="0" w:right="-26"/>
        <w:rPr>
          <w:noProof/>
          <w:spacing w:val="-8"/>
        </w:rPr>
      </w:pPr>
      <w:r w:rsidRPr="00E30E43">
        <w:rPr>
          <w:noProof/>
          <w:spacing w:val="-8"/>
        </w:rPr>
        <w:t xml:space="preserve">In recent years, some airlines have implemented so-called </w:t>
      </w:r>
      <w:r w:rsidRPr="00E30E43">
        <w:rPr>
          <w:b/>
          <w:bCs/>
          <w:noProof/>
          <w:spacing w:val="-8"/>
        </w:rPr>
        <w:t>Direct Connect (DC) systems</w:t>
      </w:r>
      <w:r w:rsidR="00BF1276">
        <w:rPr>
          <w:rStyle w:val="FootnoteReference"/>
          <w:b/>
          <w:bCs/>
          <w:noProof/>
          <w:spacing w:val="-8"/>
        </w:rPr>
        <w:footnoteReference w:id="372"/>
      </w:r>
      <w:r w:rsidRPr="00E30E43">
        <w:rPr>
          <w:noProof/>
          <w:spacing w:val="-8"/>
        </w:rPr>
        <w:t xml:space="preserve"> that provide a feed of flight and ticket information and booking capability which travel agents and Travel Management Companies can connect to directly. In essence, this is similar to an airline website but aimed at the business-to-business (B2B) sector. Individual DC systems only contain flights operated by the same airline or the same airline’s group or with that airline’s code (and operated by other airlines with which the airline has a code-sharing agreement or an interlining agreement</w:t>
      </w:r>
      <w:r w:rsidRPr="00E30E43">
        <w:rPr>
          <w:rStyle w:val="FootnoteReference"/>
          <w:noProof/>
          <w:spacing w:val="-8"/>
        </w:rPr>
        <w:footnoteReference w:id="373"/>
      </w:r>
      <w:r w:rsidRPr="00E30E43">
        <w:rPr>
          <w:noProof/>
          <w:spacing w:val="-8"/>
        </w:rPr>
        <w:t>). The use of DC systems allows air carriers to distribute direct to travel agents and avoid</w:t>
      </w:r>
      <w:r w:rsidR="00682F48" w:rsidRPr="00E30E43">
        <w:rPr>
          <w:noProof/>
          <w:spacing w:val="-8"/>
        </w:rPr>
        <w:t>ing</w:t>
      </w:r>
      <w:r w:rsidRPr="00E30E43">
        <w:rPr>
          <w:noProof/>
          <w:spacing w:val="-8"/>
        </w:rPr>
        <w:t xml:space="preserve"> CRS booking fees. To encourage a greater use of these DC systems, some carriers have implemented booking surcharges for flights booked through CRSs</w:t>
      </w:r>
      <w:r w:rsidRPr="00E30E43">
        <w:rPr>
          <w:rStyle w:val="FootnoteReference"/>
          <w:noProof/>
          <w:spacing w:val="-8"/>
        </w:rPr>
        <w:footnoteReference w:id="374"/>
      </w:r>
      <w:r w:rsidRPr="00E30E43">
        <w:rPr>
          <w:noProof/>
          <w:spacing w:val="-8"/>
        </w:rPr>
        <w:t xml:space="preserve"> or have withdrawn some of their fares (namely the cheaper ones (Hayhurst, 2018)) from the CRSs, reserving those fares for non-CRS distribution channels (both direct, i.e., their consumer website, or indirect, on DC systems and selected content aggregators). New content aggregators and DC systems use more recent data standards – typically APIs, based on XML standards – than the 1980s EDIFACT data standard traditionally used by the CRSs. One of these standards is ‘New Distribution Capability’ (NDC). The NDC data standard</w:t>
      </w:r>
      <w:r w:rsidR="005C5F0C" w:rsidRPr="00E30E43">
        <w:rPr>
          <w:noProof/>
          <w:spacing w:val="-8"/>
        </w:rPr>
        <w:t xml:space="preserve"> </w:t>
      </w:r>
      <w:r w:rsidRPr="00E30E43">
        <w:rPr>
          <w:noProof/>
          <w:spacing w:val="-8"/>
        </w:rPr>
        <w:t>allows the distribution of richer airline content and increases the potential for selling more varied ancillary services (meals, lounge access, seat selection, etc.) and for selling customised travel products, in line with modern distribution needs. Under the NDC distribution model, travel agent’s requests are sent to the airline (either through a direct connect or via an aggregator) and it is the airline and not the intermediary which creates the offer.</w:t>
      </w:r>
      <w:r w:rsidR="004F2155" w:rsidRPr="00E30E43">
        <w:rPr>
          <w:noProof/>
          <w:spacing w:val="-8"/>
        </w:rPr>
        <w:t xml:space="preserve"> </w:t>
      </w:r>
      <w:r w:rsidRPr="00E30E43">
        <w:rPr>
          <w:rStyle w:val="FootnoteReference"/>
          <w:noProof/>
          <w:spacing w:val="-8"/>
        </w:rPr>
        <w:footnoteReference w:id="375"/>
      </w:r>
      <w:r w:rsidRPr="00E30E43">
        <w:rPr>
          <w:noProof/>
          <w:spacing w:val="-8"/>
        </w:rPr>
        <w:t xml:space="preserve"> However, the full transition to NDC is not yet completed for CRSs. Moreover, the use of EDIFACT which allows for less flexibility is required for smaller and medium travel agents </w:t>
      </w:r>
      <w:r w:rsidR="00290805" w:rsidRPr="00E30E43">
        <w:rPr>
          <w:noProof/>
          <w:spacing w:val="-8"/>
        </w:rPr>
        <w:t xml:space="preserve">and airlines </w:t>
      </w:r>
      <w:r w:rsidRPr="00E30E43">
        <w:rPr>
          <w:noProof/>
          <w:spacing w:val="-8"/>
        </w:rPr>
        <w:t xml:space="preserve">which are not yet able to adapt to NDC. </w:t>
      </w:r>
      <w:r w:rsidR="00571D93" w:rsidRPr="00E30E43">
        <w:rPr>
          <w:noProof/>
          <w:spacing w:val="-8"/>
        </w:rPr>
        <w:t xml:space="preserve">Despite the decline in market shares, </w:t>
      </w:r>
      <w:r w:rsidR="00571D93" w:rsidRPr="00E30E43">
        <w:rPr>
          <w:b/>
          <w:noProof/>
          <w:spacing w:val="-8"/>
        </w:rPr>
        <w:t>traditional CRSs (Amadeus, Travelport and Sabre) continue to play a key role</w:t>
      </w:r>
      <w:r w:rsidR="00571D93" w:rsidRPr="00E30E43">
        <w:rPr>
          <w:noProof/>
          <w:spacing w:val="-8"/>
        </w:rPr>
        <w:t xml:space="preserve"> because of their strategic position in the distribution chain. CRSs are two-sided platforms connecting airlines with hundreds of thousands travel agents worldwide, TMCs and OTAs. Airlines, and in particular smaller air carriers, still rely on CRS to reach a wide network of travel agents and consumers</w:t>
      </w:r>
      <w:r w:rsidR="00985FEA" w:rsidRPr="00E30E43">
        <w:rPr>
          <w:noProof/>
          <w:spacing w:val="-8"/>
        </w:rPr>
        <w:t xml:space="preserve"> </w:t>
      </w:r>
      <w:r w:rsidR="00571D93" w:rsidRPr="00E30E43">
        <w:rPr>
          <w:noProof/>
          <w:spacing w:val="-8"/>
        </w:rPr>
        <w:t>and neutral display rules allow them to compete on an equal footing with large airlines. Outside of their home markets, also larger airlines seeking a broad global customer base must contract with all major CRSs in order to tap into the network of travel agents and be visible to consumers. The traditional CRS business model relies on airline booking fees, paid for each flight segment booked, today ranging around 8 Euro per flight segment. To negotiate lower booking fees, airlines can agree to provide all</w:t>
      </w:r>
      <w:r w:rsidR="00282045" w:rsidRPr="00E30E43">
        <w:rPr>
          <w:noProof/>
          <w:spacing w:val="-8"/>
        </w:rPr>
        <w:t xml:space="preserve"> </w:t>
      </w:r>
      <w:r w:rsidR="00571D93" w:rsidRPr="00E30E43">
        <w:rPr>
          <w:noProof/>
          <w:spacing w:val="-8"/>
        </w:rPr>
        <w:t>fare content, and the lowest fees are available under so-called “full content agreements”, where the airline agrees to provide the CRS with the same level of content (fares, schedules, and seat availability) as the airline offers on all other channels (including the airline’s consumer website). In turn, Travel Agents subscribe to a CRS by paying a subscription fee and often receive incentive payments to use only that CRS (e.g. for each flight segment booked through the CRS), as well as free back-office systems and software and training. The details of each relationship between airlines and CRSs, and between CRSs and subscribers, are subject to contractual conditions negotiated bilaterally between the parties, and usually subject to non-disclosure agreements. T</w:t>
      </w:r>
      <w:r w:rsidR="00B452F0" w:rsidRPr="00E30E43">
        <w:rPr>
          <w:noProof/>
          <w:spacing w:val="-8"/>
        </w:rPr>
        <w:t>raditional t</w:t>
      </w:r>
      <w:r w:rsidR="00571D93" w:rsidRPr="00E30E43">
        <w:rPr>
          <w:noProof/>
          <w:spacing w:val="-8"/>
        </w:rPr>
        <w:t>ravel agents and in particular smaller travel agents face structural barriers to switching. Financial incentives, technological dependencies, parity clauses and high switching costs strongly encourage them to single-hom</w:t>
      </w:r>
      <w:r w:rsidR="00A95A49" w:rsidRPr="00E30E43">
        <w:rPr>
          <w:noProof/>
          <w:spacing w:val="-8"/>
        </w:rPr>
        <w:t>e</w:t>
      </w:r>
      <w:r w:rsidR="00571D93" w:rsidRPr="00E30E43">
        <w:rPr>
          <w:noProof/>
          <w:spacing w:val="-8"/>
        </w:rPr>
        <w:t xml:space="preserve"> on one CRS. Smaller agents lack the resources to switch systems or adopt NDC technology (used by new B2B content aggregators) and therefore remain reliant on CRSs using the EDIFACT standard. </w:t>
      </w:r>
    </w:p>
    <w:p w14:paraId="33705108" w14:textId="77777777" w:rsidR="00510FD0" w:rsidRPr="00E30E43" w:rsidRDefault="00B06E28" w:rsidP="00BC0D93">
      <w:pPr>
        <w:pStyle w:val="BodyText"/>
        <w:spacing w:after="240"/>
        <w:ind w:left="0" w:right="-26"/>
        <w:rPr>
          <w:noProof/>
          <w:spacing w:val="-8"/>
        </w:rPr>
      </w:pPr>
      <w:r w:rsidRPr="00E30E43">
        <w:rPr>
          <w:b/>
          <w:bCs/>
          <w:noProof/>
          <w:spacing w:val="-8"/>
        </w:rPr>
        <w:t>Metasearch engines (MSEs)</w:t>
      </w:r>
      <w:r w:rsidRPr="00E30E43">
        <w:rPr>
          <w:noProof/>
          <w:spacing w:val="-8"/>
        </w:rPr>
        <w:t xml:space="preserve"> are online aggregators of flight information which provide consumers with price comparisons. They source the information from airlines with which they have a commercial agreement, CRSs, </w:t>
      </w:r>
      <w:r w:rsidR="00F41E31" w:rsidRPr="00E30E43">
        <w:rPr>
          <w:noProof/>
          <w:spacing w:val="-8"/>
        </w:rPr>
        <w:t>NCAs</w:t>
      </w:r>
      <w:r w:rsidRPr="00E30E43">
        <w:rPr>
          <w:noProof/>
          <w:spacing w:val="-8"/>
        </w:rPr>
        <w:t>, OTAs, DC systems and by screen scraping</w:t>
      </w:r>
      <w:r w:rsidRPr="00E30E43">
        <w:rPr>
          <w:rStyle w:val="FootnoteReference"/>
          <w:noProof/>
          <w:spacing w:val="-8"/>
        </w:rPr>
        <w:footnoteReference w:id="376"/>
      </w:r>
      <w:r w:rsidRPr="00E30E43">
        <w:rPr>
          <w:noProof/>
          <w:spacing w:val="-8"/>
        </w:rPr>
        <w:t xml:space="preserve"> airline consumer websites. Operating in the B2C segment, they do not generally provide booking services</w:t>
      </w:r>
      <w:r w:rsidRPr="00E30E43">
        <w:rPr>
          <w:rStyle w:val="FootnoteReference"/>
          <w:noProof/>
          <w:spacing w:val="-8"/>
        </w:rPr>
        <w:footnoteReference w:id="377"/>
      </w:r>
      <w:r w:rsidRPr="00E30E43">
        <w:rPr>
          <w:noProof/>
          <w:spacing w:val="-8"/>
        </w:rPr>
        <w:t xml:space="preserve"> or operate as a sales channel but they redirect the user to different OTAs and </w:t>
      </w:r>
      <w:r w:rsidR="009F3D77" w:rsidRPr="00E30E43">
        <w:rPr>
          <w:noProof/>
          <w:spacing w:val="-8"/>
        </w:rPr>
        <w:t xml:space="preserve">to </w:t>
      </w:r>
      <w:r w:rsidRPr="00E30E43">
        <w:rPr>
          <w:noProof/>
          <w:spacing w:val="-8"/>
        </w:rPr>
        <w:t>the airline website providing the booking function. However, MSEs are consulted by some TAs to obtain information on air travel options that are not available via the other intermediaries they use – for example, flights offered by LCCs may not be included in the CRS system that a TA subscribes to.</w:t>
      </w:r>
    </w:p>
    <w:p w14:paraId="373B6AC3" w14:textId="0BF6A8B6" w:rsidR="00B06E28" w:rsidRPr="00E30E43" w:rsidRDefault="00B06E28" w:rsidP="00BC0D93">
      <w:pPr>
        <w:pStyle w:val="BodyText"/>
        <w:spacing w:after="240"/>
        <w:ind w:left="0" w:right="-26"/>
        <w:rPr>
          <w:noProof/>
          <w:spacing w:val="-8"/>
        </w:rPr>
      </w:pPr>
      <w:r w:rsidRPr="00E30E43">
        <w:rPr>
          <w:noProof/>
          <w:spacing w:val="-8"/>
        </w:rPr>
        <w:t xml:space="preserve">Air ticket distribution channels are characterised by </w:t>
      </w:r>
      <w:r w:rsidRPr="00E30E43">
        <w:rPr>
          <w:b/>
          <w:noProof/>
          <w:spacing w:val="-8"/>
        </w:rPr>
        <w:t>indirect network effects</w:t>
      </w:r>
      <w:r w:rsidRPr="00E30E43">
        <w:rPr>
          <w:noProof/>
          <w:spacing w:val="-8"/>
        </w:rPr>
        <w:t xml:space="preserve">. For travel agents, an intermediation service becomes more useful as more travel options (be it flight or rail options) are added to it, thus allowing the agent to provide more options to its clients; by using a single feed with different flight options, especially smaller travel agents also enjoy lower search costs by benefiting from having information from multiple airlines collated in one repository. For air carriers, an intermediation service becomes more useful as more consumer-facing channels use it or as more users it (i.e. the more popular B2C channels display airline products prominently), as it increases the visibility of its services, and they get exposure to a bigger audience </w:t>
      </w:r>
      <w:r w:rsidR="0022529E" w:rsidRPr="00E30E43">
        <w:rPr>
          <w:noProof/>
          <w:spacing w:val="-8"/>
        </w:rPr>
        <w:t>of potential</w:t>
      </w:r>
      <w:r w:rsidRPr="00E30E43">
        <w:rPr>
          <w:noProof/>
          <w:spacing w:val="-8"/>
        </w:rPr>
        <w:t xml:space="preserve"> customers. This is particularly relevant for smaller air carriers that might have more difficulties to be visible to customers</w:t>
      </w:r>
      <w:r w:rsidRPr="00E30E43">
        <w:rPr>
          <w:rStyle w:val="FootnoteReference"/>
          <w:noProof/>
          <w:spacing w:val="-8"/>
        </w:rPr>
        <w:footnoteReference w:id="378"/>
      </w:r>
      <w:r w:rsidRPr="00E30E43">
        <w:rPr>
          <w:noProof/>
          <w:spacing w:val="-8"/>
        </w:rPr>
        <w:t xml:space="preserve">. As such, this is a sector where there are strong indirect network effects. </w:t>
      </w:r>
      <w:r w:rsidRPr="00E30E43">
        <w:rPr>
          <w:b/>
          <w:noProof/>
          <w:spacing w:val="-8"/>
        </w:rPr>
        <w:t>Taken together, all these changes have created a</w:t>
      </w:r>
      <w:r w:rsidR="00DB1010" w:rsidRPr="00E30E43">
        <w:rPr>
          <w:b/>
          <w:noProof/>
          <w:spacing w:val="-8"/>
        </w:rPr>
        <w:t>n air ticket distribution</w:t>
      </w:r>
      <w:r w:rsidRPr="00E30E43">
        <w:rPr>
          <w:b/>
          <w:noProof/>
          <w:spacing w:val="-8"/>
        </w:rPr>
        <w:t xml:space="preserve"> sector that is multi-pronged:</w:t>
      </w:r>
    </w:p>
    <w:p w14:paraId="7D7B8397" w14:textId="1E1D2EA3" w:rsidR="00B06E28" w:rsidRPr="00E30E43" w:rsidRDefault="00B06E28" w:rsidP="00BC0D93">
      <w:pPr>
        <w:pStyle w:val="ListParagraph"/>
        <w:numPr>
          <w:ilvl w:val="0"/>
          <w:numId w:val="1"/>
        </w:numPr>
        <w:tabs>
          <w:tab w:val="left" w:pos="1069"/>
        </w:tabs>
        <w:spacing w:before="0" w:after="240"/>
        <w:ind w:right="-26"/>
        <w:jc w:val="both"/>
        <w:rPr>
          <w:noProof/>
          <w:spacing w:val="-8"/>
          <w:sz w:val="24"/>
        </w:rPr>
      </w:pPr>
      <w:r w:rsidRPr="00E30E43">
        <w:rPr>
          <w:noProof/>
          <w:spacing w:val="-8"/>
          <w:sz w:val="24"/>
          <w:szCs w:val="24"/>
        </w:rPr>
        <w:t>Some tickets are sold directly to consumers (“direct distribution”, mostly via the airlines’ websites (“airline.com”), but also via the phone).</w:t>
      </w:r>
    </w:p>
    <w:p w14:paraId="640D46EC" w14:textId="77777777" w:rsidR="000E4D00" w:rsidRPr="00E30E43" w:rsidRDefault="00B06E28" w:rsidP="00BC0D93">
      <w:pPr>
        <w:pStyle w:val="ListParagraph"/>
        <w:numPr>
          <w:ilvl w:val="0"/>
          <w:numId w:val="1"/>
        </w:numPr>
        <w:tabs>
          <w:tab w:val="left" w:pos="1069"/>
        </w:tabs>
        <w:spacing w:before="0" w:after="240"/>
        <w:ind w:right="-26"/>
        <w:jc w:val="both"/>
        <w:rPr>
          <w:noProof/>
          <w:spacing w:val="-8"/>
          <w:sz w:val="24"/>
          <w:szCs w:val="24"/>
        </w:rPr>
      </w:pPr>
      <w:r w:rsidRPr="00E30E43">
        <w:rPr>
          <w:noProof/>
          <w:spacing w:val="-8"/>
          <w:sz w:val="24"/>
        </w:rPr>
        <w:t xml:space="preserve">Some tickets are sold via </w:t>
      </w:r>
      <w:r w:rsidR="00BC548A" w:rsidRPr="00E30E43">
        <w:rPr>
          <w:noProof/>
          <w:spacing w:val="-8"/>
          <w:sz w:val="24"/>
        </w:rPr>
        <w:t xml:space="preserve">online and offline </w:t>
      </w:r>
      <w:r w:rsidRPr="00E30E43">
        <w:rPr>
          <w:noProof/>
          <w:spacing w:val="-8"/>
          <w:sz w:val="24"/>
        </w:rPr>
        <w:t>travel agents (“indirect distribution”), who access ticket information either via a traditional CRS, or new business models such as</w:t>
      </w:r>
      <w:r w:rsidR="009D7713" w:rsidRPr="00E30E43">
        <w:rPr>
          <w:noProof/>
          <w:spacing w:val="-8"/>
          <w:sz w:val="24"/>
        </w:rPr>
        <w:t xml:space="preserve"> NCAs</w:t>
      </w:r>
      <w:r w:rsidRPr="00E30E43">
        <w:rPr>
          <w:noProof/>
          <w:spacing w:val="-8"/>
          <w:sz w:val="24"/>
        </w:rPr>
        <w:t xml:space="preserve">, or via a </w:t>
      </w:r>
      <w:r w:rsidR="000E4D00" w:rsidRPr="00E30E43">
        <w:rPr>
          <w:noProof/>
          <w:spacing w:val="-8"/>
          <w:sz w:val="24"/>
        </w:rPr>
        <w:t>DC system</w:t>
      </w:r>
      <w:r w:rsidRPr="00E30E43">
        <w:rPr>
          <w:noProof/>
          <w:spacing w:val="-8"/>
          <w:sz w:val="24"/>
        </w:rPr>
        <w:t>.</w:t>
      </w:r>
      <w:r w:rsidR="005B4DD4" w:rsidRPr="00E30E43">
        <w:rPr>
          <w:noProof/>
          <w:spacing w:val="-8"/>
        </w:rPr>
        <w:t xml:space="preserve"> </w:t>
      </w:r>
      <w:r w:rsidR="005B4DD4" w:rsidRPr="00E30E43">
        <w:rPr>
          <w:noProof/>
          <w:spacing w:val="-8"/>
          <w:sz w:val="24"/>
          <w:szCs w:val="24"/>
        </w:rPr>
        <w:t>Travel agents, including OTAs and TMCs, might need access to multiple channels if they are to provide travellers with a full range of flight options.</w:t>
      </w:r>
    </w:p>
    <w:p w14:paraId="5CDF9C1B" w14:textId="5124D94F" w:rsidR="006571F2" w:rsidRPr="00595C31" w:rsidRDefault="00B06E28" w:rsidP="00D55609">
      <w:pPr>
        <w:pStyle w:val="ListParagraph"/>
        <w:numPr>
          <w:ilvl w:val="0"/>
          <w:numId w:val="1"/>
        </w:numPr>
        <w:tabs>
          <w:tab w:val="left" w:pos="1069"/>
        </w:tabs>
        <w:spacing w:before="0" w:after="240"/>
        <w:ind w:right="-26"/>
        <w:jc w:val="both"/>
        <w:rPr>
          <w:noProof/>
          <w:spacing w:val="-8"/>
          <w:sz w:val="24"/>
          <w:szCs w:val="24"/>
        </w:rPr>
      </w:pPr>
      <w:r w:rsidRPr="00E30E43">
        <w:rPr>
          <w:noProof/>
          <w:spacing w:val="-8"/>
          <w:sz w:val="24"/>
          <w:szCs w:val="24"/>
        </w:rPr>
        <w:t>MSEs provide a “one-stop” solution for consumers to search for different flight options and respective price information, then directing consumers to the relevant website (be it an OTA or an airline’s website) to make the booking.</w:t>
      </w:r>
    </w:p>
    <w:p w14:paraId="054F8CBC" w14:textId="77777777" w:rsidR="000E4F89" w:rsidRPr="005D2D60" w:rsidRDefault="000E4F89" w:rsidP="000E4F89">
      <w:pPr>
        <w:tabs>
          <w:tab w:val="left" w:pos="1069"/>
        </w:tabs>
        <w:spacing w:after="240"/>
        <w:ind w:right="-26"/>
        <w:jc w:val="both"/>
        <w:rPr>
          <w:noProof/>
          <w:spacing w:val="-8"/>
        </w:rPr>
      </w:pPr>
    </w:p>
    <w:p w14:paraId="30A013AB" w14:textId="77777777" w:rsidR="000E4F89" w:rsidRPr="005D2D60" w:rsidRDefault="000E4F89" w:rsidP="000E4F89">
      <w:pPr>
        <w:tabs>
          <w:tab w:val="left" w:pos="1069"/>
        </w:tabs>
        <w:spacing w:after="240"/>
        <w:ind w:right="-26"/>
        <w:jc w:val="both"/>
        <w:rPr>
          <w:noProof/>
          <w:spacing w:val="-8"/>
        </w:rPr>
      </w:pPr>
    </w:p>
    <w:p w14:paraId="0360221E" w14:textId="77777777" w:rsidR="000E4F89" w:rsidRPr="005D2D60" w:rsidRDefault="000E4F89" w:rsidP="000E4F89">
      <w:pPr>
        <w:tabs>
          <w:tab w:val="left" w:pos="1069"/>
        </w:tabs>
        <w:spacing w:after="240"/>
        <w:ind w:right="-26"/>
        <w:jc w:val="both"/>
        <w:rPr>
          <w:noProof/>
          <w:spacing w:val="-8"/>
        </w:rPr>
      </w:pPr>
    </w:p>
    <w:p w14:paraId="7910AAED" w14:textId="77777777" w:rsidR="000E4F89" w:rsidRPr="005D2D60" w:rsidRDefault="000E4F89" w:rsidP="000E4F89">
      <w:pPr>
        <w:tabs>
          <w:tab w:val="left" w:pos="1069"/>
        </w:tabs>
        <w:spacing w:after="240"/>
        <w:ind w:right="-26"/>
        <w:jc w:val="both"/>
        <w:rPr>
          <w:noProof/>
          <w:spacing w:val="-8"/>
        </w:rPr>
      </w:pPr>
    </w:p>
    <w:p w14:paraId="67569C1E" w14:textId="78DAF419" w:rsidR="00384EA5" w:rsidRPr="00384EA5" w:rsidRDefault="00384EA5" w:rsidP="00384EA5">
      <w:pPr>
        <w:pStyle w:val="Caption"/>
        <w:keepNext/>
        <w:jc w:val="both"/>
        <w:rPr>
          <w:noProof/>
          <w:color w:val="auto"/>
          <w:sz w:val="22"/>
          <w:szCs w:val="22"/>
        </w:rPr>
      </w:pPr>
      <w:r w:rsidRPr="00384EA5">
        <w:rPr>
          <w:noProof/>
          <w:color w:val="auto"/>
          <w:sz w:val="22"/>
          <w:szCs w:val="22"/>
        </w:rPr>
        <w:t xml:space="preserve">Figure </w:t>
      </w:r>
      <w:r w:rsidRPr="00384EA5">
        <w:rPr>
          <w:noProof/>
          <w:color w:val="auto"/>
          <w:sz w:val="22"/>
          <w:szCs w:val="22"/>
        </w:rPr>
        <w:fldChar w:fldCharType="begin"/>
      </w:r>
      <w:r w:rsidRPr="00384EA5">
        <w:rPr>
          <w:noProof/>
          <w:color w:val="auto"/>
          <w:sz w:val="22"/>
          <w:szCs w:val="22"/>
        </w:rPr>
        <w:instrText xml:space="preserve"> SEQ Figure \* ARABIC </w:instrText>
      </w:r>
      <w:r w:rsidRPr="00384EA5">
        <w:rPr>
          <w:noProof/>
          <w:color w:val="auto"/>
          <w:sz w:val="22"/>
          <w:szCs w:val="22"/>
        </w:rPr>
        <w:fldChar w:fldCharType="separate"/>
      </w:r>
      <w:r w:rsidR="0055391F">
        <w:rPr>
          <w:noProof/>
          <w:color w:val="auto"/>
          <w:sz w:val="22"/>
          <w:szCs w:val="22"/>
        </w:rPr>
        <w:t>16</w:t>
      </w:r>
      <w:r w:rsidRPr="00384EA5">
        <w:rPr>
          <w:noProof/>
          <w:color w:val="auto"/>
          <w:sz w:val="22"/>
          <w:szCs w:val="22"/>
        </w:rPr>
        <w:fldChar w:fldCharType="end"/>
      </w:r>
      <w:r w:rsidRPr="00384EA5">
        <w:rPr>
          <w:noProof/>
          <w:color w:val="auto"/>
          <w:sz w:val="22"/>
          <w:szCs w:val="22"/>
        </w:rPr>
        <w:t>: Air ticket distribution modern landscape</w:t>
      </w:r>
    </w:p>
    <w:p w14:paraId="2EEC888C" w14:textId="070A714F" w:rsidR="00D15083" w:rsidRDefault="006571F2" w:rsidP="00D55609">
      <w:pPr>
        <w:jc w:val="both"/>
        <w:rPr>
          <w:noProof/>
        </w:rPr>
      </w:pPr>
      <w:r>
        <w:rPr>
          <w:noProof/>
          <w:lang w:val="en-GB" w:eastAsia="en-GB"/>
        </w:rPr>
        <w:drawing>
          <wp:inline distT="0" distB="0" distL="0" distR="0" wp14:anchorId="4C738095" wp14:editId="752E2BCC">
            <wp:extent cx="5606092" cy="3898900"/>
            <wp:effectExtent l="0" t="0" r="0" b="6350"/>
            <wp:docPr id="1088082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684966" cy="3953755"/>
                    </a:xfrm>
                    <a:prstGeom prst="rect">
                      <a:avLst/>
                    </a:prstGeom>
                    <a:noFill/>
                  </pic:spPr>
                </pic:pic>
              </a:graphicData>
            </a:graphic>
          </wp:inline>
        </w:drawing>
      </w:r>
    </w:p>
    <w:p w14:paraId="1EDD49BC" w14:textId="77777777" w:rsidR="00D93225" w:rsidRDefault="00D93225" w:rsidP="00D55609">
      <w:pPr>
        <w:jc w:val="both"/>
        <w:rPr>
          <w:noProof/>
        </w:rPr>
      </w:pPr>
    </w:p>
    <w:p w14:paraId="02D69E1C" w14:textId="77777777" w:rsidR="00D93225" w:rsidRDefault="00D93225" w:rsidP="00D55609">
      <w:pPr>
        <w:jc w:val="both"/>
        <w:rPr>
          <w:noProof/>
        </w:rPr>
      </w:pPr>
    </w:p>
    <w:p w14:paraId="316F7E04" w14:textId="77777777" w:rsidR="00D93225" w:rsidRDefault="00D93225" w:rsidP="00D55609">
      <w:pPr>
        <w:jc w:val="both"/>
        <w:rPr>
          <w:noProof/>
        </w:rPr>
      </w:pPr>
    </w:p>
    <w:p w14:paraId="338320C1" w14:textId="67B9D607" w:rsidR="00D15083" w:rsidRPr="00D71008" w:rsidRDefault="00D15083" w:rsidP="00D55609">
      <w:pPr>
        <w:jc w:val="both"/>
        <w:rPr>
          <w:noProof/>
        </w:rPr>
        <w:sectPr w:rsidR="00D15083" w:rsidRPr="00D71008" w:rsidSect="00C66146">
          <w:headerReference w:type="default" r:id="rId71"/>
          <w:footerReference w:type="default" r:id="rId72"/>
          <w:type w:val="nextColumn"/>
          <w:pgSz w:w="11910" w:h="16840"/>
          <w:pgMar w:top="1021" w:right="709" w:bottom="1021" w:left="1588" w:header="0" w:footer="1783" w:gutter="0"/>
          <w:cols w:space="720"/>
        </w:sectPr>
      </w:pPr>
    </w:p>
    <w:p w14:paraId="5697D277" w14:textId="16CE278E" w:rsidR="00712390" w:rsidRPr="00D71008" w:rsidRDefault="00712390">
      <w:pPr>
        <w:pStyle w:val="BodyText"/>
        <w:ind w:left="0"/>
        <w:jc w:val="left"/>
        <w:rPr>
          <w:noProof/>
          <w:sz w:val="20"/>
        </w:rPr>
      </w:pPr>
    </w:p>
    <w:p w14:paraId="4621E58E" w14:textId="46A45CA5" w:rsidR="00712390" w:rsidRPr="00D71008" w:rsidRDefault="003C4819" w:rsidP="00F075EB">
      <w:pPr>
        <w:pStyle w:val="Heading1"/>
        <w:spacing w:before="0" w:after="240"/>
        <w:ind w:right="244"/>
        <w:jc w:val="center"/>
        <w:rPr>
          <w:noProof/>
        </w:rPr>
      </w:pPr>
      <w:bookmarkStart w:id="2115" w:name="_Toc223981692"/>
      <w:r w:rsidRPr="00D71008">
        <w:rPr>
          <w:smallCaps/>
          <w:noProof/>
        </w:rPr>
        <w:t>Annex</w:t>
      </w:r>
      <w:r w:rsidRPr="00D71008">
        <w:rPr>
          <w:smallCaps/>
          <w:noProof/>
          <w:spacing w:val="-1"/>
        </w:rPr>
        <w:t xml:space="preserve"> </w:t>
      </w:r>
      <w:r w:rsidR="006B6DB6" w:rsidRPr="00D71008">
        <w:rPr>
          <w:smallCaps/>
          <w:noProof/>
        </w:rPr>
        <w:t>10</w:t>
      </w:r>
      <w:r w:rsidRPr="00D71008">
        <w:rPr>
          <w:smallCaps/>
          <w:noProof/>
        </w:rPr>
        <w:t>:</w:t>
      </w:r>
      <w:r w:rsidRPr="00D71008">
        <w:rPr>
          <w:smallCaps/>
          <w:noProof/>
          <w:spacing w:val="-15"/>
        </w:rPr>
        <w:t xml:space="preserve"> </w:t>
      </w:r>
      <w:r w:rsidRPr="00D71008">
        <w:rPr>
          <w:smallCaps/>
          <w:noProof/>
        </w:rPr>
        <w:t>Links</w:t>
      </w:r>
      <w:r w:rsidRPr="00D71008">
        <w:rPr>
          <w:smallCaps/>
          <w:noProof/>
          <w:spacing w:val="-3"/>
        </w:rPr>
        <w:t xml:space="preserve"> </w:t>
      </w:r>
      <w:r w:rsidRPr="00D71008">
        <w:rPr>
          <w:smallCaps/>
          <w:noProof/>
        </w:rPr>
        <w:t>between</w:t>
      </w:r>
      <w:r w:rsidRPr="00D71008">
        <w:rPr>
          <w:smallCaps/>
          <w:noProof/>
          <w:spacing w:val="-1"/>
        </w:rPr>
        <w:t xml:space="preserve"> </w:t>
      </w:r>
      <w:r w:rsidRPr="00D71008">
        <w:rPr>
          <w:smallCaps/>
          <w:noProof/>
        </w:rPr>
        <w:t>conclusions of the</w:t>
      </w:r>
      <w:r w:rsidRPr="00D71008">
        <w:rPr>
          <w:smallCaps/>
          <w:noProof/>
          <w:spacing w:val="-1"/>
        </w:rPr>
        <w:t xml:space="preserve"> </w:t>
      </w:r>
      <w:r w:rsidRPr="00D71008">
        <w:rPr>
          <w:smallCaps/>
          <w:noProof/>
        </w:rPr>
        <w:t>ex-post</w:t>
      </w:r>
      <w:r w:rsidRPr="00D71008">
        <w:rPr>
          <w:smallCaps/>
          <w:noProof/>
          <w:spacing w:val="-1"/>
        </w:rPr>
        <w:t xml:space="preserve"> </w:t>
      </w:r>
      <w:r w:rsidRPr="00D71008">
        <w:rPr>
          <w:smallCaps/>
          <w:noProof/>
        </w:rPr>
        <w:t>evaluation</w:t>
      </w:r>
      <w:r w:rsidRPr="00D71008">
        <w:rPr>
          <w:smallCaps/>
          <w:noProof/>
          <w:spacing w:val="-1"/>
        </w:rPr>
        <w:t xml:space="preserve"> </w:t>
      </w:r>
      <w:r w:rsidRPr="00D71008">
        <w:rPr>
          <w:smallCaps/>
          <w:noProof/>
        </w:rPr>
        <w:t>of the CRS</w:t>
      </w:r>
      <w:r w:rsidRPr="00D71008">
        <w:rPr>
          <w:smallCaps/>
          <w:noProof/>
          <w:spacing w:val="-15"/>
        </w:rPr>
        <w:t xml:space="preserve"> </w:t>
      </w:r>
      <w:r w:rsidRPr="00D71008">
        <w:rPr>
          <w:smallCaps/>
          <w:noProof/>
        </w:rPr>
        <w:t>Code</w:t>
      </w:r>
      <w:r w:rsidRPr="00D71008">
        <w:rPr>
          <w:smallCaps/>
          <w:noProof/>
          <w:spacing w:val="-1"/>
        </w:rPr>
        <w:t xml:space="preserve"> </w:t>
      </w:r>
      <w:r w:rsidRPr="00D71008">
        <w:rPr>
          <w:smallCaps/>
          <w:noProof/>
        </w:rPr>
        <w:t>of Conduct</w:t>
      </w:r>
      <w:r w:rsidRPr="00D71008">
        <w:rPr>
          <w:smallCaps/>
          <w:noProof/>
          <w:spacing w:val="-1"/>
        </w:rPr>
        <w:t xml:space="preserve"> </w:t>
      </w:r>
      <w:r w:rsidRPr="00D71008">
        <w:rPr>
          <w:smallCaps/>
          <w:noProof/>
        </w:rPr>
        <w:t>and</w:t>
      </w:r>
      <w:r w:rsidRPr="00D71008">
        <w:rPr>
          <w:smallCaps/>
          <w:noProof/>
          <w:spacing w:val="-1"/>
        </w:rPr>
        <w:t xml:space="preserve"> </w:t>
      </w:r>
      <w:r w:rsidRPr="00D71008">
        <w:rPr>
          <w:smallCaps/>
          <w:noProof/>
        </w:rPr>
        <w:t>the impact assessment</w:t>
      </w:r>
      <w:bookmarkEnd w:id="2115"/>
    </w:p>
    <w:p w14:paraId="0FDEDC79" w14:textId="77777777" w:rsidR="00490D40" w:rsidRPr="00F075EB" w:rsidRDefault="00490D40" w:rsidP="00F075EB">
      <w:pPr>
        <w:pStyle w:val="BodyText"/>
        <w:spacing w:after="240"/>
        <w:ind w:left="0"/>
        <w:rPr>
          <w:noProof/>
          <w:spacing w:val="-8"/>
        </w:rPr>
      </w:pPr>
      <w:r w:rsidRPr="00F075EB">
        <w:rPr>
          <w:noProof/>
          <w:spacing w:val="-8"/>
        </w:rPr>
        <w:t xml:space="preserve">The </w:t>
      </w:r>
      <w:r w:rsidRPr="00F075EB">
        <w:rPr>
          <w:b/>
          <w:noProof/>
          <w:spacing w:val="-8"/>
        </w:rPr>
        <w:t>CRS Code of Conduct was evaluated in 2020</w:t>
      </w:r>
      <w:r w:rsidRPr="00F075EB">
        <w:rPr>
          <w:b/>
          <w:noProof/>
          <w:spacing w:val="-8"/>
          <w:vertAlign w:val="superscript"/>
        </w:rPr>
        <w:footnoteReference w:id="379"/>
      </w:r>
      <w:r w:rsidRPr="00F075EB">
        <w:rPr>
          <w:noProof/>
          <w:spacing w:val="-8"/>
        </w:rPr>
        <w:t xml:space="preserve"> to assess, whether, in light of market and technological changes in air indirect ticket distribution, it is still relevant in achieving the objectives of (i) preventing distortion of competition between CRSs owned by parent carriers, and (ii) ensuring fair and effective competition between carriers; and, whether it remains fit for purpose given broader horizontal legislation. The main conclusions of the ex-post evaluation, and their links with this IA, are presented in Annex 10 and summarised in this section.</w:t>
      </w:r>
    </w:p>
    <w:p w14:paraId="73BCCA45" w14:textId="77777777" w:rsidR="00490D40" w:rsidRPr="00F075EB" w:rsidRDefault="00490D40" w:rsidP="00F075EB">
      <w:pPr>
        <w:pStyle w:val="BodyText"/>
        <w:spacing w:after="240"/>
        <w:ind w:left="0"/>
        <w:rPr>
          <w:noProof/>
          <w:spacing w:val="-8"/>
        </w:rPr>
      </w:pPr>
      <w:r w:rsidRPr="00F075EB">
        <w:rPr>
          <w:b/>
          <w:noProof/>
          <w:spacing w:val="-8"/>
        </w:rPr>
        <w:t>The evaluation concluded that the objectives of (i) ensuring a level playing field and (ii) increasing transparency remain relevant.</w:t>
      </w:r>
      <w:r w:rsidRPr="00F075EB">
        <w:rPr>
          <w:noProof/>
          <w:spacing w:val="-8"/>
        </w:rPr>
        <w:t xml:space="preserve"> The evaluation found that the Code has not fully ensured a level playing field for all participating carriers, as regards access to, and use of CRS services, since it did not lead to better balancing of the bargaining power of different-sized air carriers vis-à-vis CRSs. Some carriers expressed concerns about specific clauses in their contracts with CRS providers, reducing the ability of airlines to use alternative booking systems or technology. Moreover, the evaluation concluded that the transparency requirements, in the form of the neutral display, remain important, since travel agents, both offline and online, and travel management companies still heavily rely on CRS data especially for business travel. </w:t>
      </w:r>
      <w:r w:rsidRPr="00F075EB">
        <w:rPr>
          <w:b/>
          <w:noProof/>
          <w:spacing w:val="-8"/>
        </w:rPr>
        <w:t xml:space="preserve">The evaluation also concluded that specific sectoral treatment of traditional CRS services may no longer be justified in view of market and technological developments in air ticket distribution </w:t>
      </w:r>
      <w:r w:rsidRPr="00F075EB">
        <w:rPr>
          <w:noProof/>
          <w:spacing w:val="-8"/>
        </w:rPr>
        <w:t>(increased internet penetration, the rise of other channels and divestment of airlines from CRSs).</w:t>
      </w:r>
      <w:r w:rsidRPr="00F075EB">
        <w:rPr>
          <w:b/>
          <w:noProof/>
          <w:spacing w:val="-8"/>
        </w:rPr>
        <w:t xml:space="preserve"> </w:t>
      </w:r>
      <w:r w:rsidRPr="00F075EB">
        <w:rPr>
          <w:noProof/>
          <w:spacing w:val="-8"/>
        </w:rPr>
        <w:t xml:space="preserve">If the CRS Code of Conduct is still considered necessary, its scope should be examined and extended to ensure that it continues to be relevant for future market developments. </w:t>
      </w:r>
      <w:r w:rsidRPr="00F075EB">
        <w:rPr>
          <w:b/>
          <w:noProof/>
          <w:spacing w:val="-8"/>
        </w:rPr>
        <w:t>Moreover, the evaluation found that the objective of preventing distortion of competition between CRSs by parent carriers and of ensuring fair and effective competition between carriers owning CRSs no longer seems a relevant objective for ex ante regulation</w:t>
      </w:r>
      <w:r w:rsidRPr="00F075EB">
        <w:rPr>
          <w:b/>
          <w:bCs/>
          <w:noProof/>
          <w:spacing w:val="-8"/>
        </w:rPr>
        <w:t>.</w:t>
      </w:r>
      <w:r w:rsidRPr="00F075EB">
        <w:rPr>
          <w:b/>
          <w:noProof/>
          <w:spacing w:val="-8"/>
        </w:rPr>
        <w:t xml:space="preserve"> </w:t>
      </w:r>
      <w:r w:rsidRPr="00F075EB">
        <w:rPr>
          <w:noProof/>
          <w:spacing w:val="-8"/>
        </w:rPr>
        <w:t>None of the three traditional CRSs operating in Europe is owned by an air carrier. Theoretically, air carriers might reinvest in CRSs, though there is currently no evidence that this is likely to happen. Therefore, the provisions on parent carriers of the CRS Code of Conduct are no longer relevant for the aviation market.</w:t>
      </w:r>
      <w:r w:rsidRPr="00F075EB">
        <w:rPr>
          <w:b/>
          <w:noProof/>
          <w:spacing w:val="-8"/>
        </w:rPr>
        <w:t xml:space="preserve"> Finally, the evaluation concluded that while promoting rail and multimodal transport remains important, this should be pursued through broader initiatives rather than CRS-specific rules. </w:t>
      </w:r>
      <w:r w:rsidRPr="00F075EB">
        <w:rPr>
          <w:noProof/>
          <w:spacing w:val="-8"/>
        </w:rPr>
        <w:t>The integration of CRS retained elements in the MDMS proposal is specifically aimed at making it a more genuinely multimodal initiative including both B2B and B2C sides of the ticket distribution chain.</w:t>
      </w:r>
    </w:p>
    <w:p w14:paraId="1D704564" w14:textId="629DC560" w:rsidR="00712390" w:rsidRDefault="72CD5126" w:rsidP="00F075EB">
      <w:pPr>
        <w:pStyle w:val="BodyText"/>
        <w:tabs>
          <w:tab w:val="left" w:pos="1134"/>
        </w:tabs>
        <w:spacing w:after="240"/>
        <w:ind w:left="0"/>
        <w:rPr>
          <w:noProof/>
          <w:spacing w:val="-8"/>
        </w:rPr>
      </w:pPr>
      <w:r w:rsidRPr="00F075EB">
        <w:rPr>
          <w:noProof/>
          <w:spacing w:val="-8"/>
        </w:rPr>
        <w:t xml:space="preserve">If the CRS Code of Conduct is still considered necessary, its scope should be examined and extended to ensure that it continues to be relevant for future market developments. </w:t>
      </w:r>
      <w:r w:rsidRPr="00F075EB">
        <w:rPr>
          <w:b/>
          <w:bCs/>
          <w:noProof/>
          <w:spacing w:val="-8"/>
        </w:rPr>
        <w:t xml:space="preserve">Moreover, the evaluation found that the objective of preventing distortion of competition between CRSs by parent carriers and of ensuring fair and effective competition between carriers owning CRSs no longer seems a relevant objective for ex-ante regulation. </w:t>
      </w:r>
      <w:r w:rsidRPr="00F075EB">
        <w:rPr>
          <w:noProof/>
          <w:spacing w:val="-8"/>
        </w:rPr>
        <w:t>None of the three traditional CRSs operating in Europe is owned by an air carrier. Theoretically, air carriers might reinvest in CRSs, though there is currently no evidence that this is likely to happen. Therefore, the provisions on parent carriers of the CRS Code of Conduct are no longer relevant for the aviation market.</w:t>
      </w:r>
      <w:r w:rsidRPr="00F075EB">
        <w:rPr>
          <w:b/>
          <w:bCs/>
          <w:noProof/>
          <w:spacing w:val="-8"/>
        </w:rPr>
        <w:t xml:space="preserve"> Finally, the evaluation concluded that while promoting rail and multimodal transport remains important, this should be pursued through broader initiatives rather than CRS-specific rules. </w:t>
      </w:r>
      <w:r w:rsidRPr="00F075EB">
        <w:rPr>
          <w:noProof/>
          <w:spacing w:val="-8"/>
        </w:rPr>
        <w:t>The integration of CRS retained elements in the MDMS proposal is specifically aimed at making it a more genuinely multimodal initiative including both B2B and B2C sides of the ticket distribution chain.</w:t>
      </w:r>
    </w:p>
    <w:p w14:paraId="3E0B40DE" w14:textId="35C51D04" w:rsidR="4228F04E" w:rsidRPr="00D71008" w:rsidRDefault="003C4819" w:rsidP="005A7347">
      <w:pPr>
        <w:pStyle w:val="BodyText"/>
        <w:spacing w:after="240"/>
        <w:ind w:left="0" w:right="246"/>
        <w:rPr>
          <w:noProof/>
        </w:rPr>
      </w:pPr>
      <w:r w:rsidRPr="00F075EB">
        <w:rPr>
          <w:noProof/>
          <w:spacing w:val="-8"/>
        </w:rPr>
        <w:t>The following table summarises the links between the conclusions of the ex-post evaluation and the impact assessment of the Code of Conduct on Computerised Reservation Systems.</w:t>
      </w:r>
    </w:p>
    <w:p w14:paraId="6E60135C" w14:textId="2B0A3D08" w:rsidR="00252091" w:rsidRPr="00B86E15" w:rsidRDefault="00252091" w:rsidP="00575B76">
      <w:pPr>
        <w:keepNext/>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136</w:t>
      </w:r>
      <w:r w:rsidRPr="00383DBF">
        <w:rPr>
          <w:i/>
          <w:noProof/>
          <w:sz w:val="22"/>
          <w:szCs w:val="22"/>
        </w:rPr>
        <w:fldChar w:fldCharType="end"/>
      </w:r>
      <w:r w:rsidRPr="00383DBF">
        <w:rPr>
          <w:i/>
          <w:noProof/>
          <w:sz w:val="22"/>
          <w:szCs w:val="22"/>
        </w:rPr>
        <w:t xml:space="preserve">: </w:t>
      </w:r>
      <w:r w:rsidRPr="00B86E15">
        <w:rPr>
          <w:i/>
          <w:noProof/>
          <w:sz w:val="22"/>
          <w:szCs w:val="22"/>
        </w:rPr>
        <w:t xml:space="preserve">Link between </w:t>
      </w:r>
      <w:r w:rsidR="00575B76">
        <w:rPr>
          <w:i/>
          <w:noProof/>
          <w:sz w:val="22"/>
          <w:szCs w:val="22"/>
        </w:rPr>
        <w:t xml:space="preserve">the conclusions of the ex post evaluation and the impact assessment </w:t>
      </w:r>
    </w:p>
    <w:tbl>
      <w:tblPr>
        <w:tblpPr w:leftFromText="180" w:rightFromText="180" w:vertAnchor="text" w:tblpY="1"/>
        <w:tblOverlap w:val="neve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5093"/>
        <w:gridCol w:w="8"/>
        <w:gridCol w:w="4747"/>
      </w:tblGrid>
      <w:tr w:rsidR="00712390" w:rsidRPr="00D71008" w14:paraId="06BB403D" w14:textId="77777777" w:rsidTr="00613C3D">
        <w:trPr>
          <w:trHeight w:val="414"/>
          <w:tblHeader/>
        </w:trPr>
        <w:tc>
          <w:tcPr>
            <w:tcW w:w="2590" w:type="pct"/>
            <w:gridSpan w:val="2"/>
            <w:shd w:val="clear" w:color="auto" w:fill="006FC0"/>
          </w:tcPr>
          <w:p w14:paraId="77BC7C85" w14:textId="77777777" w:rsidR="00712390" w:rsidRPr="00C20865" w:rsidRDefault="003C4819">
            <w:pPr>
              <w:pStyle w:val="TableParagraph"/>
              <w:keepNext/>
              <w:spacing w:before="57"/>
              <w:ind w:left="14"/>
              <w:jc w:val="center"/>
              <w:rPr>
                <w:b/>
                <w:noProof/>
                <w:sz w:val="24"/>
                <w:szCs w:val="24"/>
                <w:lang w:val="fr-BE"/>
              </w:rPr>
            </w:pPr>
            <w:r w:rsidRPr="00C20865">
              <w:rPr>
                <w:b/>
                <w:noProof/>
                <w:color w:val="FFFFFF"/>
                <w:sz w:val="24"/>
                <w:szCs w:val="24"/>
                <w:lang w:val="fr-BE"/>
              </w:rPr>
              <w:t>Main</w:t>
            </w:r>
            <w:r w:rsidRPr="00C20865">
              <w:rPr>
                <w:b/>
                <w:noProof/>
                <w:color w:val="FFFFFF"/>
                <w:spacing w:val="-7"/>
                <w:sz w:val="24"/>
                <w:szCs w:val="24"/>
                <w:lang w:val="fr-BE"/>
              </w:rPr>
              <w:t xml:space="preserve"> </w:t>
            </w:r>
            <w:r w:rsidRPr="00C20865">
              <w:rPr>
                <w:b/>
                <w:noProof/>
                <w:color w:val="FFFFFF"/>
                <w:sz w:val="24"/>
                <w:szCs w:val="24"/>
                <w:lang w:val="fr-BE"/>
              </w:rPr>
              <w:t>ex-post</w:t>
            </w:r>
            <w:r w:rsidRPr="00C20865">
              <w:rPr>
                <w:b/>
                <w:noProof/>
                <w:color w:val="FFFFFF"/>
                <w:spacing w:val="-5"/>
                <w:sz w:val="24"/>
                <w:szCs w:val="24"/>
                <w:lang w:val="fr-BE"/>
              </w:rPr>
              <w:t xml:space="preserve"> </w:t>
            </w:r>
            <w:r w:rsidRPr="00C20865">
              <w:rPr>
                <w:b/>
                <w:noProof/>
                <w:color w:val="FFFFFF"/>
                <w:sz w:val="24"/>
                <w:szCs w:val="24"/>
                <w:lang w:val="fr-BE"/>
              </w:rPr>
              <w:t>evaluation</w:t>
            </w:r>
            <w:r w:rsidRPr="00C20865">
              <w:rPr>
                <w:b/>
                <w:noProof/>
                <w:color w:val="FFFFFF"/>
                <w:spacing w:val="-5"/>
                <w:sz w:val="24"/>
                <w:szCs w:val="24"/>
                <w:lang w:val="fr-BE"/>
              </w:rPr>
              <w:t xml:space="preserve"> </w:t>
            </w:r>
            <w:r w:rsidRPr="00C20865">
              <w:rPr>
                <w:b/>
                <w:noProof/>
                <w:color w:val="FFFFFF"/>
                <w:spacing w:val="-2"/>
                <w:sz w:val="24"/>
                <w:szCs w:val="24"/>
                <w:lang w:val="fr-BE"/>
              </w:rPr>
              <w:t>conclusions</w:t>
            </w:r>
          </w:p>
        </w:tc>
        <w:tc>
          <w:tcPr>
            <w:tcW w:w="2410" w:type="pct"/>
            <w:shd w:val="clear" w:color="auto" w:fill="006FC0"/>
          </w:tcPr>
          <w:p w14:paraId="1501F25B" w14:textId="77777777" w:rsidR="00712390" w:rsidRPr="00D71008" w:rsidRDefault="003C4819">
            <w:pPr>
              <w:pStyle w:val="TableParagraph"/>
              <w:keepNext/>
              <w:spacing w:before="57"/>
              <w:ind w:left="13"/>
              <w:jc w:val="center"/>
              <w:rPr>
                <w:b/>
                <w:noProof/>
                <w:sz w:val="24"/>
                <w:szCs w:val="24"/>
              </w:rPr>
            </w:pPr>
            <w:r w:rsidRPr="00D71008">
              <w:rPr>
                <w:b/>
                <w:noProof/>
                <w:color w:val="FFFFFF"/>
                <w:sz w:val="24"/>
                <w:szCs w:val="24"/>
              </w:rPr>
              <w:t>Impact</w:t>
            </w:r>
            <w:r w:rsidRPr="00D71008">
              <w:rPr>
                <w:b/>
                <w:noProof/>
                <w:color w:val="FFFFFF"/>
                <w:spacing w:val="-8"/>
                <w:sz w:val="24"/>
                <w:szCs w:val="24"/>
              </w:rPr>
              <w:t xml:space="preserve"> </w:t>
            </w:r>
            <w:r w:rsidRPr="00D71008">
              <w:rPr>
                <w:b/>
                <w:noProof/>
                <w:color w:val="FFFFFF"/>
                <w:spacing w:val="-2"/>
                <w:sz w:val="24"/>
                <w:szCs w:val="24"/>
              </w:rPr>
              <w:t>Assessment</w:t>
            </w:r>
          </w:p>
        </w:tc>
      </w:tr>
      <w:tr w:rsidR="00712390" w:rsidRPr="00D71008" w14:paraId="779CB5E0" w14:textId="77777777" w:rsidTr="00613C3D">
        <w:trPr>
          <w:trHeight w:val="412"/>
        </w:trPr>
        <w:tc>
          <w:tcPr>
            <w:tcW w:w="5000" w:type="pct"/>
            <w:gridSpan w:val="3"/>
          </w:tcPr>
          <w:p w14:paraId="589C19F5" w14:textId="77777777" w:rsidR="00712390" w:rsidRPr="00D71008" w:rsidRDefault="003C4819">
            <w:pPr>
              <w:pStyle w:val="TableParagraph"/>
              <w:spacing w:before="56"/>
              <w:ind w:left="17"/>
              <w:jc w:val="center"/>
              <w:rPr>
                <w:b/>
                <w:noProof/>
                <w:sz w:val="24"/>
                <w:szCs w:val="24"/>
              </w:rPr>
            </w:pPr>
            <w:r w:rsidRPr="00D71008">
              <w:rPr>
                <w:b/>
                <w:noProof/>
                <w:sz w:val="24"/>
                <w:szCs w:val="24"/>
              </w:rPr>
              <w:t>Conclusions</w:t>
            </w:r>
            <w:r w:rsidRPr="00D71008">
              <w:rPr>
                <w:b/>
                <w:noProof/>
                <w:spacing w:val="-7"/>
                <w:sz w:val="24"/>
                <w:szCs w:val="24"/>
              </w:rPr>
              <w:t xml:space="preserve"> </w:t>
            </w:r>
            <w:r w:rsidRPr="00D71008">
              <w:rPr>
                <w:b/>
                <w:noProof/>
                <w:sz w:val="24"/>
                <w:szCs w:val="24"/>
              </w:rPr>
              <w:t>on</w:t>
            </w:r>
            <w:r w:rsidRPr="00D71008">
              <w:rPr>
                <w:b/>
                <w:noProof/>
                <w:spacing w:val="-7"/>
                <w:sz w:val="24"/>
                <w:szCs w:val="24"/>
              </w:rPr>
              <w:t xml:space="preserve"> </w:t>
            </w:r>
            <w:r w:rsidRPr="00D71008">
              <w:rPr>
                <w:b/>
                <w:noProof/>
                <w:spacing w:val="-2"/>
                <w:sz w:val="24"/>
                <w:szCs w:val="24"/>
              </w:rPr>
              <w:t>relevance</w:t>
            </w:r>
          </w:p>
        </w:tc>
      </w:tr>
      <w:tr w:rsidR="00712390" w:rsidRPr="00D71008" w14:paraId="20A04437" w14:textId="77777777" w:rsidTr="00613C3D">
        <w:trPr>
          <w:trHeight w:val="1035"/>
        </w:trPr>
        <w:tc>
          <w:tcPr>
            <w:tcW w:w="2590" w:type="pct"/>
            <w:gridSpan w:val="2"/>
          </w:tcPr>
          <w:p w14:paraId="51FA4577" w14:textId="77777777" w:rsidR="00712390" w:rsidRPr="00D71008" w:rsidRDefault="003C4819">
            <w:pPr>
              <w:pStyle w:val="TableParagraph"/>
              <w:spacing w:before="53"/>
              <w:ind w:left="107" w:right="88"/>
              <w:jc w:val="both"/>
              <w:rPr>
                <w:noProof/>
                <w:sz w:val="24"/>
                <w:szCs w:val="24"/>
              </w:rPr>
            </w:pPr>
            <w:r w:rsidRPr="00D71008">
              <w:rPr>
                <w:noProof/>
                <w:sz w:val="24"/>
                <w:szCs w:val="24"/>
              </w:rPr>
              <w:t>The objectives of ensuring a level playing field and increasing transparency may remain relevant.</w:t>
            </w:r>
            <w:r w:rsidRPr="00D71008">
              <w:rPr>
                <w:noProof/>
                <w:spacing w:val="-1"/>
                <w:sz w:val="24"/>
                <w:szCs w:val="24"/>
              </w:rPr>
              <w:t xml:space="preserve"> </w:t>
            </w:r>
            <w:r w:rsidRPr="00D71008">
              <w:rPr>
                <w:noProof/>
                <w:sz w:val="24"/>
                <w:szCs w:val="24"/>
              </w:rPr>
              <w:t>However,</w:t>
            </w:r>
            <w:r w:rsidRPr="00D71008">
              <w:rPr>
                <w:noProof/>
                <w:spacing w:val="-3"/>
                <w:sz w:val="24"/>
                <w:szCs w:val="24"/>
              </w:rPr>
              <w:t xml:space="preserve"> </w:t>
            </w:r>
            <w:r w:rsidRPr="00D71008">
              <w:rPr>
                <w:noProof/>
                <w:sz w:val="24"/>
                <w:szCs w:val="24"/>
              </w:rPr>
              <w:t>in</w:t>
            </w:r>
            <w:r w:rsidRPr="00D71008">
              <w:rPr>
                <w:noProof/>
                <w:spacing w:val="-2"/>
                <w:sz w:val="24"/>
                <w:szCs w:val="24"/>
              </w:rPr>
              <w:t xml:space="preserve"> </w:t>
            </w:r>
            <w:r w:rsidRPr="00D71008">
              <w:rPr>
                <w:noProof/>
                <w:sz w:val="24"/>
                <w:szCs w:val="24"/>
              </w:rPr>
              <w:t>view</w:t>
            </w:r>
            <w:r w:rsidRPr="00D71008">
              <w:rPr>
                <w:noProof/>
                <w:spacing w:val="-4"/>
                <w:sz w:val="24"/>
                <w:szCs w:val="24"/>
              </w:rPr>
              <w:t xml:space="preserve"> </w:t>
            </w:r>
            <w:r w:rsidRPr="00D71008">
              <w:rPr>
                <w:noProof/>
                <w:sz w:val="24"/>
                <w:szCs w:val="24"/>
              </w:rPr>
              <w:t>of</w:t>
            </w:r>
            <w:r w:rsidRPr="00D71008">
              <w:rPr>
                <w:noProof/>
                <w:spacing w:val="-2"/>
                <w:sz w:val="24"/>
                <w:szCs w:val="24"/>
              </w:rPr>
              <w:t xml:space="preserve"> </w:t>
            </w:r>
            <w:r w:rsidRPr="00D71008">
              <w:rPr>
                <w:noProof/>
                <w:sz w:val="24"/>
                <w:szCs w:val="24"/>
              </w:rPr>
              <w:t>developments</w:t>
            </w:r>
            <w:r w:rsidRPr="00D71008">
              <w:rPr>
                <w:noProof/>
                <w:spacing w:val="-3"/>
                <w:sz w:val="24"/>
                <w:szCs w:val="24"/>
              </w:rPr>
              <w:t xml:space="preserve"> </w:t>
            </w:r>
            <w:r w:rsidRPr="00D71008">
              <w:rPr>
                <w:noProof/>
                <w:sz w:val="24"/>
                <w:szCs w:val="24"/>
              </w:rPr>
              <w:t>in</w:t>
            </w:r>
            <w:r w:rsidRPr="00D71008">
              <w:rPr>
                <w:noProof/>
                <w:spacing w:val="-3"/>
                <w:sz w:val="24"/>
                <w:szCs w:val="24"/>
              </w:rPr>
              <w:t xml:space="preserve"> </w:t>
            </w:r>
            <w:r w:rsidRPr="00D71008">
              <w:rPr>
                <w:noProof/>
                <w:sz w:val="24"/>
                <w:szCs w:val="24"/>
              </w:rPr>
              <w:t>air ticket</w:t>
            </w:r>
            <w:r w:rsidRPr="00D71008">
              <w:rPr>
                <w:noProof/>
                <w:spacing w:val="-3"/>
                <w:sz w:val="24"/>
                <w:szCs w:val="24"/>
              </w:rPr>
              <w:t xml:space="preserve"> </w:t>
            </w:r>
            <w:r w:rsidRPr="00D71008">
              <w:rPr>
                <w:noProof/>
                <w:sz w:val="24"/>
                <w:szCs w:val="24"/>
              </w:rPr>
              <w:t>distribution,</w:t>
            </w:r>
            <w:r w:rsidRPr="00D71008">
              <w:rPr>
                <w:noProof/>
                <w:spacing w:val="-3"/>
                <w:sz w:val="24"/>
                <w:szCs w:val="24"/>
              </w:rPr>
              <w:t xml:space="preserve"> </w:t>
            </w:r>
            <w:r w:rsidRPr="00D71008">
              <w:rPr>
                <w:noProof/>
                <w:sz w:val="24"/>
                <w:szCs w:val="24"/>
              </w:rPr>
              <w:t>it</w:t>
            </w:r>
            <w:r w:rsidRPr="00D71008">
              <w:rPr>
                <w:noProof/>
                <w:spacing w:val="-1"/>
                <w:sz w:val="24"/>
                <w:szCs w:val="24"/>
              </w:rPr>
              <w:t xml:space="preserve"> </w:t>
            </w:r>
            <w:r w:rsidRPr="00D71008">
              <w:rPr>
                <w:noProof/>
                <w:sz w:val="24"/>
                <w:szCs w:val="24"/>
              </w:rPr>
              <w:t>is</w:t>
            </w:r>
            <w:r w:rsidRPr="00D71008">
              <w:rPr>
                <w:noProof/>
                <w:spacing w:val="-2"/>
                <w:sz w:val="24"/>
                <w:szCs w:val="24"/>
              </w:rPr>
              <w:t xml:space="preserve"> </w:t>
            </w:r>
            <w:r w:rsidRPr="00D71008">
              <w:rPr>
                <w:noProof/>
                <w:sz w:val="24"/>
                <w:szCs w:val="24"/>
              </w:rPr>
              <w:t>not</w:t>
            </w:r>
            <w:r w:rsidRPr="00D71008">
              <w:rPr>
                <w:noProof/>
                <w:spacing w:val="-3"/>
                <w:sz w:val="24"/>
                <w:szCs w:val="24"/>
              </w:rPr>
              <w:t xml:space="preserve"> </w:t>
            </w:r>
            <w:r w:rsidRPr="00D71008">
              <w:rPr>
                <w:noProof/>
                <w:sz w:val="24"/>
                <w:szCs w:val="24"/>
              </w:rPr>
              <w:t>clear whether</w:t>
            </w:r>
            <w:r w:rsidRPr="00D71008">
              <w:rPr>
                <w:noProof/>
                <w:spacing w:val="-3"/>
                <w:sz w:val="24"/>
                <w:szCs w:val="24"/>
              </w:rPr>
              <w:t xml:space="preserve"> </w:t>
            </w:r>
            <w:r w:rsidRPr="00D71008">
              <w:rPr>
                <w:noProof/>
                <w:sz w:val="24"/>
                <w:szCs w:val="24"/>
              </w:rPr>
              <w:t>it remains necessary to complement general EU competition rules with specific sectoral treatment of traditional CRS services to achieve a level playing field.</w:t>
            </w:r>
          </w:p>
        </w:tc>
        <w:tc>
          <w:tcPr>
            <w:tcW w:w="2410" w:type="pct"/>
          </w:tcPr>
          <w:p w14:paraId="0947C013" w14:textId="1747CA50" w:rsidR="00712390" w:rsidRPr="00D71008" w:rsidRDefault="003C4819">
            <w:pPr>
              <w:pStyle w:val="TableParagraph"/>
              <w:spacing w:before="53"/>
              <w:ind w:left="105" w:right="92"/>
              <w:jc w:val="both"/>
              <w:rPr>
                <w:noProof/>
                <w:sz w:val="24"/>
                <w:szCs w:val="24"/>
              </w:rPr>
            </w:pPr>
            <w:r w:rsidRPr="00D71008">
              <w:rPr>
                <w:noProof/>
                <w:sz w:val="24"/>
                <w:szCs w:val="24"/>
              </w:rPr>
              <w:t>With the proposed rules, all B2B MDMS will be subject to neutral display obligations</w:t>
            </w:r>
            <w:r w:rsidRPr="00D71008">
              <w:rPr>
                <w:noProof/>
                <w:spacing w:val="40"/>
                <w:sz w:val="24"/>
                <w:szCs w:val="24"/>
              </w:rPr>
              <w:t xml:space="preserve"> </w:t>
            </w:r>
            <w:r w:rsidRPr="00D71008">
              <w:rPr>
                <w:noProof/>
                <w:sz w:val="24"/>
                <w:szCs w:val="24"/>
              </w:rPr>
              <w:t xml:space="preserve">and will have to comply with </w:t>
            </w:r>
            <w:r w:rsidR="0054740E" w:rsidRPr="00D71008">
              <w:rPr>
                <w:noProof/>
                <w:sz w:val="24"/>
                <w:szCs w:val="24"/>
              </w:rPr>
              <w:t>fair treatment</w:t>
            </w:r>
            <w:r w:rsidRPr="00D71008">
              <w:rPr>
                <w:noProof/>
                <w:sz w:val="24"/>
                <w:szCs w:val="24"/>
              </w:rPr>
              <w:t xml:space="preserve"> rules when entering into commercial agreements with willing operators and subscribers. These rules cannot be guaranteed without a sectoral regulation.</w:t>
            </w:r>
          </w:p>
        </w:tc>
      </w:tr>
      <w:tr w:rsidR="00712390" w:rsidRPr="00D71008" w14:paraId="4D6F5B65" w14:textId="77777777" w:rsidTr="00613C3D">
        <w:trPr>
          <w:trHeight w:val="1261"/>
        </w:trPr>
        <w:tc>
          <w:tcPr>
            <w:tcW w:w="2590" w:type="pct"/>
            <w:gridSpan w:val="2"/>
          </w:tcPr>
          <w:p w14:paraId="3F65A502" w14:textId="77777777" w:rsidR="00712390" w:rsidRPr="00D71008" w:rsidRDefault="003C4819">
            <w:pPr>
              <w:pStyle w:val="TableParagraph"/>
              <w:spacing w:before="50"/>
              <w:ind w:left="107" w:right="92"/>
              <w:jc w:val="both"/>
              <w:rPr>
                <w:noProof/>
                <w:sz w:val="24"/>
                <w:szCs w:val="24"/>
              </w:rPr>
            </w:pPr>
            <w:r w:rsidRPr="00D71008">
              <w:rPr>
                <w:noProof/>
                <w:sz w:val="24"/>
                <w:szCs w:val="24"/>
              </w:rPr>
              <w:t>Should it be considered that the CRS Code of Conduct is still necessary, its scope would require further attention to ensure that it continues to be relevant in light of market developments. Future policy decisions should carefully consider the impact on air ticket distribution as a whole.</w:t>
            </w:r>
          </w:p>
        </w:tc>
        <w:tc>
          <w:tcPr>
            <w:tcW w:w="2410" w:type="pct"/>
          </w:tcPr>
          <w:p w14:paraId="39780BF4" w14:textId="77777777" w:rsidR="00712390" w:rsidRPr="00D71008" w:rsidRDefault="003C4819">
            <w:pPr>
              <w:pStyle w:val="TableParagraph"/>
              <w:spacing w:before="50"/>
              <w:ind w:left="105" w:right="86"/>
              <w:jc w:val="both"/>
              <w:rPr>
                <w:noProof/>
                <w:sz w:val="24"/>
                <w:szCs w:val="24"/>
              </w:rPr>
            </w:pPr>
            <w:r w:rsidRPr="00D71008">
              <w:rPr>
                <w:noProof/>
                <w:sz w:val="24"/>
                <w:szCs w:val="24"/>
              </w:rPr>
              <w:t>The impact assessment concludes that, in the light of market developments, the scope of the retained rules should be extended to all B2B MDMS, including new content aggregators</w:t>
            </w:r>
            <w:r w:rsidRPr="00D71008">
              <w:rPr>
                <w:noProof/>
                <w:spacing w:val="-2"/>
                <w:sz w:val="24"/>
                <w:szCs w:val="24"/>
              </w:rPr>
              <w:t xml:space="preserve"> </w:t>
            </w:r>
            <w:r w:rsidRPr="00D71008">
              <w:rPr>
                <w:noProof/>
                <w:sz w:val="24"/>
                <w:szCs w:val="24"/>
              </w:rPr>
              <w:t>performing</w:t>
            </w:r>
            <w:r w:rsidRPr="00D71008">
              <w:rPr>
                <w:noProof/>
                <w:spacing w:val="-3"/>
                <w:sz w:val="24"/>
                <w:szCs w:val="24"/>
              </w:rPr>
              <w:t xml:space="preserve"> </w:t>
            </w:r>
            <w:r w:rsidRPr="00D71008">
              <w:rPr>
                <w:noProof/>
                <w:sz w:val="24"/>
                <w:szCs w:val="24"/>
              </w:rPr>
              <w:t>similar</w:t>
            </w:r>
            <w:r w:rsidRPr="00D71008">
              <w:rPr>
                <w:noProof/>
                <w:spacing w:val="-1"/>
                <w:sz w:val="24"/>
                <w:szCs w:val="24"/>
              </w:rPr>
              <w:t xml:space="preserve"> </w:t>
            </w:r>
            <w:r w:rsidRPr="00D71008">
              <w:rPr>
                <w:noProof/>
                <w:sz w:val="24"/>
                <w:szCs w:val="24"/>
              </w:rPr>
              <w:t>functions</w:t>
            </w:r>
            <w:r w:rsidRPr="00D71008">
              <w:rPr>
                <w:noProof/>
                <w:spacing w:val="-2"/>
                <w:sz w:val="24"/>
                <w:szCs w:val="24"/>
              </w:rPr>
              <w:t xml:space="preserve"> </w:t>
            </w:r>
            <w:r w:rsidRPr="00D71008">
              <w:rPr>
                <w:noProof/>
                <w:sz w:val="24"/>
                <w:szCs w:val="24"/>
              </w:rPr>
              <w:t>to</w:t>
            </w:r>
            <w:r w:rsidRPr="00D71008">
              <w:rPr>
                <w:noProof/>
                <w:spacing w:val="-1"/>
                <w:sz w:val="24"/>
                <w:szCs w:val="24"/>
              </w:rPr>
              <w:t xml:space="preserve"> </w:t>
            </w:r>
            <w:r w:rsidRPr="00D71008">
              <w:rPr>
                <w:noProof/>
                <w:sz w:val="24"/>
                <w:szCs w:val="24"/>
              </w:rPr>
              <w:t>traditional</w:t>
            </w:r>
            <w:r w:rsidRPr="00D71008">
              <w:rPr>
                <w:noProof/>
                <w:spacing w:val="-2"/>
                <w:sz w:val="24"/>
                <w:szCs w:val="24"/>
              </w:rPr>
              <w:t xml:space="preserve"> </w:t>
            </w:r>
            <w:r w:rsidRPr="00D71008">
              <w:rPr>
                <w:noProof/>
                <w:sz w:val="24"/>
                <w:szCs w:val="24"/>
              </w:rPr>
              <w:t>CRSs. The</w:t>
            </w:r>
            <w:r w:rsidRPr="00D71008">
              <w:rPr>
                <w:noProof/>
                <w:spacing w:val="-2"/>
                <w:sz w:val="24"/>
                <w:szCs w:val="24"/>
              </w:rPr>
              <w:t xml:space="preserve"> </w:t>
            </w:r>
            <w:r w:rsidRPr="00D71008">
              <w:rPr>
                <w:noProof/>
                <w:sz w:val="24"/>
                <w:szCs w:val="24"/>
              </w:rPr>
              <w:t>MDMS</w:t>
            </w:r>
            <w:r w:rsidRPr="00D71008">
              <w:rPr>
                <w:noProof/>
                <w:spacing w:val="-2"/>
                <w:sz w:val="24"/>
                <w:szCs w:val="24"/>
              </w:rPr>
              <w:t xml:space="preserve"> </w:t>
            </w:r>
            <w:r w:rsidRPr="00D71008">
              <w:rPr>
                <w:noProof/>
                <w:sz w:val="24"/>
                <w:szCs w:val="24"/>
              </w:rPr>
              <w:t>initiative</w:t>
            </w:r>
            <w:r w:rsidRPr="00D71008">
              <w:rPr>
                <w:noProof/>
                <w:spacing w:val="-2"/>
                <w:sz w:val="24"/>
                <w:szCs w:val="24"/>
              </w:rPr>
              <w:t xml:space="preserve"> </w:t>
            </w:r>
            <w:r w:rsidRPr="00D71008">
              <w:rPr>
                <w:noProof/>
                <w:sz w:val="24"/>
                <w:szCs w:val="24"/>
              </w:rPr>
              <w:t>by</w:t>
            </w:r>
            <w:r w:rsidRPr="00D71008">
              <w:rPr>
                <w:noProof/>
                <w:spacing w:val="-5"/>
                <w:sz w:val="24"/>
                <w:szCs w:val="24"/>
              </w:rPr>
              <w:t xml:space="preserve"> </w:t>
            </w:r>
            <w:r w:rsidRPr="00D71008">
              <w:rPr>
                <w:noProof/>
                <w:sz w:val="24"/>
                <w:szCs w:val="24"/>
              </w:rPr>
              <w:t>its nature assesses the combined impact of policy decisions not only on all air ticket distribution but the whole ticket distribution market for all modes.</w:t>
            </w:r>
          </w:p>
        </w:tc>
      </w:tr>
      <w:tr w:rsidR="00712390" w:rsidRPr="00D71008" w14:paraId="2C187CE2" w14:textId="77777777" w:rsidTr="00613C3D">
        <w:trPr>
          <w:trHeight w:val="1036"/>
        </w:trPr>
        <w:tc>
          <w:tcPr>
            <w:tcW w:w="2590" w:type="pct"/>
            <w:gridSpan w:val="2"/>
          </w:tcPr>
          <w:p w14:paraId="4411FDAB" w14:textId="77777777" w:rsidR="00712390" w:rsidRPr="00D71008" w:rsidRDefault="003C4819">
            <w:pPr>
              <w:pStyle w:val="TableParagraph"/>
              <w:spacing w:before="53"/>
              <w:ind w:left="107" w:right="89"/>
              <w:jc w:val="both"/>
              <w:rPr>
                <w:noProof/>
                <w:sz w:val="24"/>
                <w:szCs w:val="24"/>
              </w:rPr>
            </w:pPr>
            <w:r w:rsidRPr="00D71008">
              <w:rPr>
                <w:noProof/>
                <w:sz w:val="24"/>
                <w:szCs w:val="24"/>
              </w:rPr>
              <w:t>None of the three traditional CRSs operating in Europe is owned by any air carrier to a significant extent. Preventing parent carriers from distorting competition between CRSs and/or between themselves and participating carriers therefore no longer seems a relevant objective for ex ante regulation.</w:t>
            </w:r>
          </w:p>
        </w:tc>
        <w:tc>
          <w:tcPr>
            <w:tcW w:w="2410" w:type="pct"/>
          </w:tcPr>
          <w:p w14:paraId="013D6A02" w14:textId="77777777" w:rsidR="00712390" w:rsidRPr="00D71008" w:rsidRDefault="003C4819">
            <w:pPr>
              <w:pStyle w:val="TableParagraph"/>
              <w:spacing w:before="53"/>
              <w:ind w:left="105" w:right="88"/>
              <w:jc w:val="both"/>
              <w:rPr>
                <w:noProof/>
                <w:sz w:val="24"/>
                <w:szCs w:val="24"/>
              </w:rPr>
            </w:pPr>
            <w:r w:rsidRPr="00D71008">
              <w:rPr>
                <w:noProof/>
                <w:sz w:val="24"/>
                <w:szCs w:val="24"/>
              </w:rPr>
              <w:t>The impact assessment does not see the need to retain rules on parent carriers as airlines have divested from CRSs and there is no evidence that this is likely to happen again in</w:t>
            </w:r>
            <w:r w:rsidRPr="00D71008">
              <w:rPr>
                <w:noProof/>
                <w:spacing w:val="40"/>
                <w:sz w:val="24"/>
                <w:szCs w:val="24"/>
              </w:rPr>
              <w:t xml:space="preserve"> </w:t>
            </w:r>
            <w:r w:rsidRPr="00D71008">
              <w:rPr>
                <w:noProof/>
                <w:sz w:val="24"/>
                <w:szCs w:val="24"/>
              </w:rPr>
              <w:t>the future. Removing these provisions is part of all three policy options considered.</w:t>
            </w:r>
          </w:p>
        </w:tc>
      </w:tr>
      <w:tr w:rsidR="00712390" w:rsidRPr="00D71008" w14:paraId="30CB6455" w14:textId="77777777" w:rsidTr="00613C3D">
        <w:trPr>
          <w:trHeight w:val="1034"/>
        </w:trPr>
        <w:tc>
          <w:tcPr>
            <w:tcW w:w="2590" w:type="pct"/>
            <w:gridSpan w:val="2"/>
          </w:tcPr>
          <w:p w14:paraId="427BBFBF" w14:textId="77777777" w:rsidR="00712390" w:rsidRPr="00D71008" w:rsidRDefault="003C4819">
            <w:pPr>
              <w:pStyle w:val="TableParagraph"/>
              <w:spacing w:before="53"/>
              <w:ind w:left="107" w:right="92"/>
              <w:jc w:val="both"/>
              <w:rPr>
                <w:noProof/>
                <w:sz w:val="24"/>
                <w:szCs w:val="24"/>
              </w:rPr>
            </w:pPr>
            <w:r w:rsidRPr="00D71008">
              <w:rPr>
                <w:noProof/>
                <w:sz w:val="24"/>
                <w:szCs w:val="24"/>
              </w:rPr>
              <w:t>Access to and preventing abuse of marketing data (MIDT data) still seems relevant to a certain extent because such data remain an important tool for air carriers in market research, and because some travel agents consider that MIDT data have been used unfairly to put pressure on them.</w:t>
            </w:r>
          </w:p>
        </w:tc>
        <w:tc>
          <w:tcPr>
            <w:tcW w:w="2410" w:type="pct"/>
          </w:tcPr>
          <w:p w14:paraId="2077D8F8" w14:textId="77777777" w:rsidR="00712390" w:rsidRPr="00D71008" w:rsidRDefault="003C4819">
            <w:pPr>
              <w:pStyle w:val="TableParagraph"/>
              <w:spacing w:before="53"/>
              <w:ind w:left="105" w:right="87"/>
              <w:jc w:val="both"/>
              <w:rPr>
                <w:noProof/>
                <w:sz w:val="24"/>
                <w:szCs w:val="24"/>
              </w:rPr>
            </w:pPr>
            <w:r w:rsidRPr="00D71008">
              <w:rPr>
                <w:noProof/>
                <w:sz w:val="24"/>
                <w:szCs w:val="24"/>
              </w:rPr>
              <w:t>The rules on access to marketing data (MIDT data) and preventing its abuse are to be retained. In addition, their scope is to be extended to all B2B MDMS, including content aggregators performing similar functions to CRSs.</w:t>
            </w:r>
          </w:p>
        </w:tc>
      </w:tr>
      <w:tr w:rsidR="00712390" w:rsidRPr="00D71008" w14:paraId="0E0FAF66" w14:textId="77777777" w:rsidTr="00613C3D">
        <w:trPr>
          <w:trHeight w:val="1033"/>
        </w:trPr>
        <w:tc>
          <w:tcPr>
            <w:tcW w:w="2590" w:type="pct"/>
            <w:gridSpan w:val="2"/>
          </w:tcPr>
          <w:p w14:paraId="05D4DA3D" w14:textId="77777777" w:rsidR="00712390" w:rsidRPr="00D71008" w:rsidRDefault="003C4819">
            <w:pPr>
              <w:pStyle w:val="TableParagraph"/>
              <w:spacing w:before="53"/>
              <w:ind w:left="107"/>
              <w:rPr>
                <w:noProof/>
                <w:sz w:val="24"/>
                <w:szCs w:val="24"/>
              </w:rPr>
            </w:pPr>
            <w:r w:rsidRPr="00D71008">
              <w:rPr>
                <w:noProof/>
                <w:sz w:val="24"/>
                <w:szCs w:val="24"/>
              </w:rPr>
              <w:t>The</w:t>
            </w:r>
            <w:r w:rsidRPr="00D71008">
              <w:rPr>
                <w:noProof/>
                <w:spacing w:val="-2"/>
                <w:sz w:val="24"/>
                <w:szCs w:val="24"/>
              </w:rPr>
              <w:t xml:space="preserve"> </w:t>
            </w:r>
            <w:r w:rsidRPr="00D71008">
              <w:rPr>
                <w:noProof/>
                <w:sz w:val="24"/>
                <w:szCs w:val="24"/>
              </w:rPr>
              <w:t>objective</w:t>
            </w:r>
            <w:r w:rsidRPr="00D71008">
              <w:rPr>
                <w:noProof/>
                <w:spacing w:val="-2"/>
                <w:sz w:val="24"/>
                <w:szCs w:val="24"/>
              </w:rPr>
              <w:t xml:space="preserve"> </w:t>
            </w:r>
            <w:r w:rsidRPr="00D71008">
              <w:rPr>
                <w:noProof/>
                <w:sz w:val="24"/>
                <w:szCs w:val="24"/>
              </w:rPr>
              <w:t>of</w:t>
            </w:r>
            <w:r w:rsidRPr="00D71008">
              <w:rPr>
                <w:noProof/>
                <w:spacing w:val="-4"/>
                <w:sz w:val="24"/>
                <w:szCs w:val="24"/>
              </w:rPr>
              <w:t xml:space="preserve"> </w:t>
            </w:r>
            <w:r w:rsidRPr="00D71008">
              <w:rPr>
                <w:noProof/>
                <w:sz w:val="24"/>
                <w:szCs w:val="24"/>
              </w:rPr>
              <w:t>consistent</w:t>
            </w:r>
            <w:r w:rsidRPr="00D71008">
              <w:rPr>
                <w:noProof/>
                <w:spacing w:val="-3"/>
                <w:sz w:val="24"/>
                <w:szCs w:val="24"/>
              </w:rPr>
              <w:t xml:space="preserve"> </w:t>
            </w:r>
            <w:r w:rsidRPr="00D71008">
              <w:rPr>
                <w:noProof/>
                <w:sz w:val="24"/>
                <w:szCs w:val="24"/>
              </w:rPr>
              <w:t>application</w:t>
            </w:r>
            <w:r w:rsidRPr="00D71008">
              <w:rPr>
                <w:noProof/>
                <w:spacing w:val="-3"/>
                <w:sz w:val="24"/>
                <w:szCs w:val="24"/>
              </w:rPr>
              <w:t xml:space="preserve"> </w:t>
            </w:r>
            <w:r w:rsidRPr="00D71008">
              <w:rPr>
                <w:noProof/>
                <w:sz w:val="24"/>
                <w:szCs w:val="24"/>
              </w:rPr>
              <w:t>of</w:t>
            </w:r>
            <w:r w:rsidRPr="00D71008">
              <w:rPr>
                <w:noProof/>
                <w:spacing w:val="-2"/>
                <w:sz w:val="24"/>
                <w:szCs w:val="24"/>
              </w:rPr>
              <w:t xml:space="preserve"> </w:t>
            </w:r>
            <w:r w:rsidRPr="00D71008">
              <w:rPr>
                <w:noProof/>
                <w:sz w:val="24"/>
                <w:szCs w:val="24"/>
              </w:rPr>
              <w:t>data</w:t>
            </w:r>
            <w:r w:rsidRPr="00D71008">
              <w:rPr>
                <w:noProof/>
                <w:spacing w:val="-2"/>
                <w:sz w:val="24"/>
                <w:szCs w:val="24"/>
              </w:rPr>
              <w:t xml:space="preserve"> </w:t>
            </w:r>
            <w:r w:rsidRPr="00D71008">
              <w:rPr>
                <w:noProof/>
                <w:sz w:val="24"/>
                <w:szCs w:val="24"/>
              </w:rPr>
              <w:t>protection</w:t>
            </w:r>
            <w:r w:rsidRPr="00D71008">
              <w:rPr>
                <w:noProof/>
                <w:spacing w:val="-3"/>
                <w:sz w:val="24"/>
                <w:szCs w:val="24"/>
              </w:rPr>
              <w:t xml:space="preserve"> </w:t>
            </w:r>
            <w:r w:rsidRPr="00D71008">
              <w:rPr>
                <w:noProof/>
                <w:sz w:val="24"/>
                <w:szCs w:val="24"/>
              </w:rPr>
              <w:t>rules</w:t>
            </w:r>
            <w:r w:rsidRPr="00D71008">
              <w:rPr>
                <w:noProof/>
                <w:spacing w:val="-3"/>
                <w:sz w:val="24"/>
                <w:szCs w:val="24"/>
              </w:rPr>
              <w:t xml:space="preserve"> </w:t>
            </w:r>
            <w:r w:rsidRPr="00D71008">
              <w:rPr>
                <w:noProof/>
                <w:sz w:val="24"/>
                <w:szCs w:val="24"/>
              </w:rPr>
              <w:t>is</w:t>
            </w:r>
            <w:r w:rsidRPr="00D71008">
              <w:rPr>
                <w:noProof/>
                <w:spacing w:val="-1"/>
                <w:sz w:val="24"/>
                <w:szCs w:val="24"/>
              </w:rPr>
              <w:t xml:space="preserve"> </w:t>
            </w:r>
            <w:r w:rsidRPr="00D71008">
              <w:rPr>
                <w:noProof/>
                <w:sz w:val="24"/>
                <w:szCs w:val="24"/>
              </w:rPr>
              <w:t>currently</w:t>
            </w:r>
            <w:r w:rsidRPr="00D71008">
              <w:rPr>
                <w:noProof/>
                <w:spacing w:val="-3"/>
                <w:sz w:val="24"/>
                <w:szCs w:val="24"/>
              </w:rPr>
              <w:t xml:space="preserve"> </w:t>
            </w:r>
            <w:r w:rsidRPr="00D71008">
              <w:rPr>
                <w:noProof/>
                <w:sz w:val="24"/>
                <w:szCs w:val="24"/>
              </w:rPr>
              <w:t>being</w:t>
            </w:r>
            <w:r w:rsidRPr="00D71008">
              <w:rPr>
                <w:noProof/>
                <w:spacing w:val="-1"/>
                <w:sz w:val="24"/>
                <w:szCs w:val="24"/>
              </w:rPr>
              <w:t xml:space="preserve"> </w:t>
            </w:r>
            <w:r w:rsidRPr="00D71008">
              <w:rPr>
                <w:noProof/>
                <w:sz w:val="24"/>
                <w:szCs w:val="24"/>
              </w:rPr>
              <w:t>fully</w:t>
            </w:r>
            <w:r w:rsidRPr="00D71008">
              <w:rPr>
                <w:noProof/>
                <w:spacing w:val="-1"/>
                <w:sz w:val="24"/>
                <w:szCs w:val="24"/>
              </w:rPr>
              <w:t xml:space="preserve"> </w:t>
            </w:r>
            <w:r w:rsidRPr="00D71008">
              <w:rPr>
                <w:noProof/>
                <w:sz w:val="24"/>
                <w:szCs w:val="24"/>
              </w:rPr>
              <w:t>met by the General Data Protection Regulation (GDPR).</w:t>
            </w:r>
          </w:p>
        </w:tc>
        <w:tc>
          <w:tcPr>
            <w:tcW w:w="2410" w:type="pct"/>
          </w:tcPr>
          <w:p w14:paraId="51C502F7" w14:textId="77777777" w:rsidR="00712390" w:rsidRPr="00D71008" w:rsidRDefault="003C4819">
            <w:pPr>
              <w:pStyle w:val="TableParagraph"/>
              <w:spacing w:before="53"/>
              <w:ind w:left="105" w:right="88"/>
              <w:jc w:val="both"/>
              <w:rPr>
                <w:noProof/>
                <w:sz w:val="24"/>
                <w:szCs w:val="24"/>
              </w:rPr>
            </w:pPr>
            <w:r w:rsidRPr="00D71008">
              <w:rPr>
                <w:noProof/>
                <w:sz w:val="24"/>
                <w:szCs w:val="24"/>
              </w:rPr>
              <w:t>The</w:t>
            </w:r>
            <w:r w:rsidRPr="00D71008">
              <w:rPr>
                <w:noProof/>
                <w:spacing w:val="-3"/>
                <w:sz w:val="24"/>
                <w:szCs w:val="24"/>
              </w:rPr>
              <w:t xml:space="preserve"> </w:t>
            </w:r>
            <w:r w:rsidRPr="00D71008">
              <w:rPr>
                <w:noProof/>
                <w:sz w:val="24"/>
                <w:szCs w:val="24"/>
              </w:rPr>
              <w:t>impact</w:t>
            </w:r>
            <w:r w:rsidRPr="00D71008">
              <w:rPr>
                <w:noProof/>
                <w:spacing w:val="-4"/>
                <w:sz w:val="24"/>
                <w:szCs w:val="24"/>
              </w:rPr>
              <w:t xml:space="preserve"> </w:t>
            </w:r>
            <w:r w:rsidRPr="00D71008">
              <w:rPr>
                <w:noProof/>
                <w:sz w:val="24"/>
                <w:szCs w:val="24"/>
              </w:rPr>
              <w:t>assessment</w:t>
            </w:r>
            <w:r w:rsidRPr="00D71008">
              <w:rPr>
                <w:noProof/>
                <w:spacing w:val="-1"/>
                <w:sz w:val="24"/>
                <w:szCs w:val="24"/>
              </w:rPr>
              <w:t xml:space="preserve"> </w:t>
            </w:r>
            <w:r w:rsidRPr="00D71008">
              <w:rPr>
                <w:noProof/>
                <w:sz w:val="24"/>
                <w:szCs w:val="24"/>
              </w:rPr>
              <w:t>concludes</w:t>
            </w:r>
            <w:r w:rsidRPr="00D71008">
              <w:rPr>
                <w:noProof/>
                <w:spacing w:val="-4"/>
                <w:sz w:val="24"/>
                <w:szCs w:val="24"/>
              </w:rPr>
              <w:t xml:space="preserve"> </w:t>
            </w:r>
            <w:r w:rsidRPr="00D71008">
              <w:rPr>
                <w:noProof/>
                <w:sz w:val="24"/>
                <w:szCs w:val="24"/>
              </w:rPr>
              <w:t>that</w:t>
            </w:r>
            <w:r w:rsidRPr="00D71008">
              <w:rPr>
                <w:noProof/>
                <w:spacing w:val="-1"/>
                <w:sz w:val="24"/>
                <w:szCs w:val="24"/>
              </w:rPr>
              <w:t xml:space="preserve"> </w:t>
            </w:r>
            <w:r w:rsidRPr="00D71008">
              <w:rPr>
                <w:noProof/>
                <w:sz w:val="24"/>
                <w:szCs w:val="24"/>
              </w:rPr>
              <w:t>the</w:t>
            </w:r>
            <w:r w:rsidRPr="00D71008">
              <w:rPr>
                <w:noProof/>
                <w:spacing w:val="-1"/>
                <w:sz w:val="24"/>
                <w:szCs w:val="24"/>
              </w:rPr>
              <w:t xml:space="preserve"> </w:t>
            </w:r>
            <w:r w:rsidRPr="00D71008">
              <w:rPr>
                <w:noProof/>
                <w:sz w:val="24"/>
                <w:szCs w:val="24"/>
              </w:rPr>
              <w:t>processing,</w:t>
            </w:r>
            <w:r w:rsidRPr="00D71008">
              <w:rPr>
                <w:noProof/>
                <w:spacing w:val="-3"/>
                <w:sz w:val="24"/>
                <w:szCs w:val="24"/>
              </w:rPr>
              <w:t xml:space="preserve"> </w:t>
            </w:r>
            <w:r w:rsidRPr="00D71008">
              <w:rPr>
                <w:noProof/>
                <w:sz w:val="24"/>
                <w:szCs w:val="24"/>
              </w:rPr>
              <w:t>access,</w:t>
            </w:r>
            <w:r w:rsidRPr="00D71008">
              <w:rPr>
                <w:noProof/>
                <w:spacing w:val="-2"/>
                <w:sz w:val="24"/>
                <w:szCs w:val="24"/>
              </w:rPr>
              <w:t xml:space="preserve"> </w:t>
            </w:r>
            <w:r w:rsidRPr="00D71008">
              <w:rPr>
                <w:noProof/>
                <w:sz w:val="24"/>
                <w:szCs w:val="24"/>
              </w:rPr>
              <w:t>and</w:t>
            </w:r>
            <w:r w:rsidRPr="00D71008">
              <w:rPr>
                <w:noProof/>
                <w:spacing w:val="-2"/>
                <w:sz w:val="24"/>
                <w:szCs w:val="24"/>
              </w:rPr>
              <w:t xml:space="preserve"> </w:t>
            </w:r>
            <w:r w:rsidRPr="00D71008">
              <w:rPr>
                <w:noProof/>
                <w:sz w:val="24"/>
                <w:szCs w:val="24"/>
              </w:rPr>
              <w:t>storage</w:t>
            </w:r>
            <w:r w:rsidRPr="00D71008">
              <w:rPr>
                <w:noProof/>
                <w:spacing w:val="-1"/>
                <w:sz w:val="24"/>
                <w:szCs w:val="24"/>
              </w:rPr>
              <w:t xml:space="preserve"> </w:t>
            </w:r>
            <w:r w:rsidRPr="00D71008">
              <w:rPr>
                <w:noProof/>
                <w:sz w:val="24"/>
                <w:szCs w:val="24"/>
              </w:rPr>
              <w:t>of</w:t>
            </w:r>
            <w:r w:rsidRPr="00D71008">
              <w:rPr>
                <w:noProof/>
                <w:spacing w:val="-5"/>
                <w:sz w:val="24"/>
                <w:szCs w:val="24"/>
              </w:rPr>
              <w:t xml:space="preserve"> </w:t>
            </w:r>
            <w:r w:rsidRPr="00D71008">
              <w:rPr>
                <w:noProof/>
                <w:sz w:val="24"/>
                <w:szCs w:val="24"/>
              </w:rPr>
              <w:t>personal</w:t>
            </w:r>
            <w:r w:rsidRPr="00D71008">
              <w:rPr>
                <w:noProof/>
                <w:spacing w:val="-4"/>
                <w:sz w:val="24"/>
                <w:szCs w:val="24"/>
              </w:rPr>
              <w:t xml:space="preserve"> </w:t>
            </w:r>
            <w:r w:rsidRPr="00D71008">
              <w:rPr>
                <w:noProof/>
                <w:sz w:val="24"/>
                <w:szCs w:val="24"/>
              </w:rPr>
              <w:t>data is now covered by the legislation on data protection (GDPR). Repealing the redundant sector-specific data protection provisions in the CRS Code of Conduct is part of all three policy options considered.</w:t>
            </w:r>
          </w:p>
        </w:tc>
      </w:tr>
      <w:tr w:rsidR="00712390" w:rsidRPr="00D71008" w14:paraId="397677EE" w14:textId="77777777" w:rsidTr="00613C3D">
        <w:trPr>
          <w:trHeight w:val="1263"/>
        </w:trPr>
        <w:tc>
          <w:tcPr>
            <w:tcW w:w="2590" w:type="pct"/>
            <w:gridSpan w:val="2"/>
          </w:tcPr>
          <w:p w14:paraId="5B5D9B6A" w14:textId="77777777" w:rsidR="00712390" w:rsidRPr="00D71008" w:rsidRDefault="003C4819">
            <w:pPr>
              <w:pStyle w:val="TableParagraph"/>
              <w:spacing w:before="53"/>
              <w:ind w:left="107" w:right="94"/>
              <w:jc w:val="both"/>
              <w:rPr>
                <w:noProof/>
                <w:sz w:val="24"/>
                <w:szCs w:val="24"/>
              </w:rPr>
            </w:pPr>
            <w:r w:rsidRPr="00D71008">
              <w:rPr>
                <w:noProof/>
                <w:sz w:val="24"/>
                <w:szCs w:val="24"/>
              </w:rPr>
              <w:t>The CRS Code of Conduct contains very limited provisions on promoting rail transport and inter-modal transport, and the evaluation has revealed that only a few rail companies participate in CRSs today. However, that does not mean that this specific objective is irrelevant</w:t>
            </w:r>
            <w:r w:rsidRPr="00D71008">
              <w:rPr>
                <w:noProof/>
                <w:spacing w:val="-2"/>
                <w:sz w:val="24"/>
                <w:szCs w:val="24"/>
              </w:rPr>
              <w:t xml:space="preserve"> </w:t>
            </w:r>
            <w:r w:rsidRPr="00D71008">
              <w:rPr>
                <w:noProof/>
                <w:sz w:val="24"/>
                <w:szCs w:val="24"/>
              </w:rPr>
              <w:t>but</w:t>
            </w:r>
            <w:r w:rsidRPr="00D71008">
              <w:rPr>
                <w:noProof/>
                <w:spacing w:val="-4"/>
                <w:sz w:val="24"/>
                <w:szCs w:val="24"/>
              </w:rPr>
              <w:t xml:space="preserve"> </w:t>
            </w:r>
            <w:r w:rsidRPr="00D71008">
              <w:rPr>
                <w:noProof/>
                <w:sz w:val="24"/>
                <w:szCs w:val="24"/>
              </w:rPr>
              <w:t>there</w:t>
            </w:r>
            <w:r w:rsidRPr="00D71008">
              <w:rPr>
                <w:noProof/>
                <w:spacing w:val="-3"/>
                <w:sz w:val="24"/>
                <w:szCs w:val="24"/>
              </w:rPr>
              <w:t xml:space="preserve"> </w:t>
            </w:r>
            <w:r w:rsidRPr="00D71008">
              <w:rPr>
                <w:noProof/>
                <w:sz w:val="24"/>
                <w:szCs w:val="24"/>
              </w:rPr>
              <w:t>is</w:t>
            </w:r>
            <w:r w:rsidRPr="00D71008">
              <w:rPr>
                <w:noProof/>
                <w:spacing w:val="-4"/>
                <w:sz w:val="24"/>
                <w:szCs w:val="24"/>
              </w:rPr>
              <w:t xml:space="preserve"> </w:t>
            </w:r>
            <w:r w:rsidRPr="00D71008">
              <w:rPr>
                <w:noProof/>
                <w:sz w:val="24"/>
                <w:szCs w:val="24"/>
              </w:rPr>
              <w:t>insufficient</w:t>
            </w:r>
            <w:r w:rsidRPr="00D71008">
              <w:rPr>
                <w:noProof/>
                <w:spacing w:val="-4"/>
                <w:sz w:val="24"/>
                <w:szCs w:val="24"/>
              </w:rPr>
              <w:t xml:space="preserve"> </w:t>
            </w:r>
            <w:r w:rsidRPr="00D71008">
              <w:rPr>
                <w:noProof/>
                <w:sz w:val="24"/>
                <w:szCs w:val="24"/>
              </w:rPr>
              <w:t>evidence</w:t>
            </w:r>
            <w:r w:rsidRPr="00D71008">
              <w:rPr>
                <w:noProof/>
                <w:spacing w:val="-3"/>
                <w:sz w:val="24"/>
                <w:szCs w:val="24"/>
              </w:rPr>
              <w:t xml:space="preserve"> </w:t>
            </w:r>
            <w:r w:rsidRPr="00D71008">
              <w:rPr>
                <w:noProof/>
                <w:sz w:val="24"/>
                <w:szCs w:val="24"/>
              </w:rPr>
              <w:t>to</w:t>
            </w:r>
            <w:r w:rsidRPr="00D71008">
              <w:rPr>
                <w:noProof/>
                <w:spacing w:val="-2"/>
                <w:sz w:val="24"/>
                <w:szCs w:val="24"/>
              </w:rPr>
              <w:t xml:space="preserve"> </w:t>
            </w:r>
            <w:r w:rsidRPr="00D71008">
              <w:rPr>
                <w:noProof/>
                <w:sz w:val="24"/>
                <w:szCs w:val="24"/>
              </w:rPr>
              <w:t>confirm</w:t>
            </w:r>
            <w:r w:rsidRPr="00D71008">
              <w:rPr>
                <w:noProof/>
                <w:spacing w:val="-5"/>
                <w:sz w:val="24"/>
                <w:szCs w:val="24"/>
              </w:rPr>
              <w:t xml:space="preserve"> </w:t>
            </w:r>
            <w:r w:rsidRPr="00D71008">
              <w:rPr>
                <w:noProof/>
                <w:sz w:val="24"/>
                <w:szCs w:val="24"/>
              </w:rPr>
              <w:t>that</w:t>
            </w:r>
            <w:r w:rsidRPr="00D71008">
              <w:rPr>
                <w:noProof/>
                <w:spacing w:val="-1"/>
                <w:sz w:val="24"/>
                <w:szCs w:val="24"/>
              </w:rPr>
              <w:t xml:space="preserve"> </w:t>
            </w:r>
            <w:r w:rsidRPr="00D71008">
              <w:rPr>
                <w:noProof/>
                <w:sz w:val="24"/>
                <w:szCs w:val="24"/>
              </w:rPr>
              <w:t>the</w:t>
            </w:r>
            <w:r w:rsidRPr="00D71008">
              <w:rPr>
                <w:noProof/>
                <w:spacing w:val="-3"/>
                <w:sz w:val="24"/>
                <w:szCs w:val="24"/>
              </w:rPr>
              <w:t xml:space="preserve"> </w:t>
            </w:r>
            <w:r w:rsidRPr="00D71008">
              <w:rPr>
                <w:noProof/>
                <w:sz w:val="24"/>
                <w:szCs w:val="24"/>
              </w:rPr>
              <w:t>CRS</w:t>
            </w:r>
            <w:r w:rsidRPr="00D71008">
              <w:rPr>
                <w:noProof/>
                <w:spacing w:val="-1"/>
                <w:sz w:val="24"/>
                <w:szCs w:val="24"/>
              </w:rPr>
              <w:t xml:space="preserve"> </w:t>
            </w:r>
            <w:r w:rsidRPr="00D71008">
              <w:rPr>
                <w:noProof/>
                <w:sz w:val="24"/>
                <w:szCs w:val="24"/>
              </w:rPr>
              <w:t>Code</w:t>
            </w:r>
            <w:r w:rsidRPr="00D71008">
              <w:rPr>
                <w:noProof/>
                <w:spacing w:val="-3"/>
                <w:sz w:val="24"/>
                <w:szCs w:val="24"/>
              </w:rPr>
              <w:t xml:space="preserve"> </w:t>
            </w:r>
            <w:r w:rsidRPr="00D71008">
              <w:rPr>
                <w:noProof/>
                <w:sz w:val="24"/>
                <w:szCs w:val="24"/>
              </w:rPr>
              <w:t>of</w:t>
            </w:r>
            <w:r w:rsidRPr="00D71008">
              <w:rPr>
                <w:noProof/>
                <w:spacing w:val="-5"/>
                <w:sz w:val="24"/>
                <w:szCs w:val="24"/>
              </w:rPr>
              <w:t xml:space="preserve"> </w:t>
            </w:r>
            <w:r w:rsidRPr="00D71008">
              <w:rPr>
                <w:noProof/>
                <w:sz w:val="24"/>
                <w:szCs w:val="24"/>
              </w:rPr>
              <w:t>Conduct</w:t>
            </w:r>
            <w:r w:rsidRPr="00D71008">
              <w:rPr>
                <w:noProof/>
                <w:spacing w:val="-3"/>
                <w:sz w:val="24"/>
                <w:szCs w:val="24"/>
              </w:rPr>
              <w:t xml:space="preserve"> </w:t>
            </w:r>
            <w:r w:rsidRPr="00D71008">
              <w:rPr>
                <w:noProof/>
                <w:sz w:val="24"/>
                <w:szCs w:val="24"/>
              </w:rPr>
              <w:t>remains the most appropriate or necessary vehicle to achieve this objective.</w:t>
            </w:r>
          </w:p>
        </w:tc>
        <w:tc>
          <w:tcPr>
            <w:tcW w:w="2410" w:type="pct"/>
          </w:tcPr>
          <w:p w14:paraId="3120269F" w14:textId="77777777" w:rsidR="00712390" w:rsidRPr="00D71008" w:rsidRDefault="003C4819">
            <w:pPr>
              <w:pStyle w:val="TableParagraph"/>
              <w:spacing w:before="53"/>
              <w:ind w:left="105" w:right="91"/>
              <w:jc w:val="both"/>
              <w:rPr>
                <w:noProof/>
                <w:sz w:val="24"/>
                <w:szCs w:val="24"/>
              </w:rPr>
            </w:pPr>
            <w:r w:rsidRPr="00D71008">
              <w:rPr>
                <w:noProof/>
                <w:sz w:val="24"/>
                <w:szCs w:val="24"/>
              </w:rPr>
              <w:t>The MDMS initiative is being proposed as a specific initiative to promote rail transport and inter-modal transport. Integration of CRS retained elements in the MDMS initiative</w:t>
            </w:r>
            <w:r w:rsidRPr="00D71008">
              <w:rPr>
                <w:noProof/>
                <w:spacing w:val="40"/>
                <w:sz w:val="24"/>
                <w:szCs w:val="24"/>
              </w:rPr>
              <w:t xml:space="preserve"> </w:t>
            </w:r>
            <w:r w:rsidRPr="00D71008">
              <w:rPr>
                <w:noProof/>
                <w:sz w:val="24"/>
                <w:szCs w:val="24"/>
              </w:rPr>
              <w:t>is specifically aimed at ensuring coherence of the policy approach between making it a more genuine multimodal initiative including both B2B and B2C sides of the ticket distribution chain.</w:t>
            </w:r>
          </w:p>
        </w:tc>
      </w:tr>
      <w:tr w:rsidR="00712390" w:rsidRPr="00D71008" w14:paraId="0B880626" w14:textId="77777777" w:rsidTr="00613C3D">
        <w:trPr>
          <w:trHeight w:val="414"/>
        </w:trPr>
        <w:tc>
          <w:tcPr>
            <w:tcW w:w="5000" w:type="pct"/>
            <w:gridSpan w:val="3"/>
          </w:tcPr>
          <w:p w14:paraId="10E3BAF5" w14:textId="77777777" w:rsidR="00712390" w:rsidRPr="00D71008" w:rsidRDefault="003C4819">
            <w:pPr>
              <w:pStyle w:val="TableParagraph"/>
              <w:spacing w:before="57"/>
              <w:ind w:left="17" w:right="4"/>
              <w:jc w:val="center"/>
              <w:rPr>
                <w:b/>
                <w:noProof/>
                <w:sz w:val="24"/>
                <w:szCs w:val="24"/>
              </w:rPr>
            </w:pPr>
            <w:r w:rsidRPr="00D71008">
              <w:rPr>
                <w:b/>
                <w:noProof/>
                <w:sz w:val="24"/>
                <w:szCs w:val="24"/>
              </w:rPr>
              <w:t>Conclusions</w:t>
            </w:r>
            <w:r w:rsidRPr="00D71008">
              <w:rPr>
                <w:b/>
                <w:noProof/>
                <w:spacing w:val="-7"/>
                <w:sz w:val="24"/>
                <w:szCs w:val="24"/>
              </w:rPr>
              <w:t xml:space="preserve"> </w:t>
            </w:r>
            <w:r w:rsidRPr="00D71008">
              <w:rPr>
                <w:b/>
                <w:noProof/>
                <w:sz w:val="24"/>
                <w:szCs w:val="24"/>
              </w:rPr>
              <w:t>on</w:t>
            </w:r>
            <w:r w:rsidRPr="00D71008">
              <w:rPr>
                <w:b/>
                <w:noProof/>
                <w:spacing w:val="-7"/>
                <w:sz w:val="24"/>
                <w:szCs w:val="24"/>
              </w:rPr>
              <w:t xml:space="preserve"> </w:t>
            </w:r>
            <w:r w:rsidRPr="00D71008">
              <w:rPr>
                <w:b/>
                <w:noProof/>
                <w:spacing w:val="-2"/>
                <w:sz w:val="24"/>
                <w:szCs w:val="24"/>
              </w:rPr>
              <w:t>effectiveness</w:t>
            </w:r>
          </w:p>
        </w:tc>
      </w:tr>
      <w:tr w:rsidR="00712390" w:rsidRPr="00D71008" w14:paraId="53EAAC4F" w14:textId="77777777" w:rsidTr="00613C3D">
        <w:trPr>
          <w:trHeight w:val="1034"/>
        </w:trPr>
        <w:tc>
          <w:tcPr>
            <w:tcW w:w="2590" w:type="pct"/>
            <w:gridSpan w:val="2"/>
          </w:tcPr>
          <w:p w14:paraId="7C609BAB" w14:textId="77777777" w:rsidR="00712390" w:rsidRPr="00D71008" w:rsidRDefault="003C4819">
            <w:pPr>
              <w:pStyle w:val="TableParagraph"/>
              <w:spacing w:before="53"/>
              <w:ind w:left="107" w:right="87"/>
              <w:jc w:val="both"/>
              <w:rPr>
                <w:noProof/>
                <w:sz w:val="24"/>
                <w:szCs w:val="24"/>
              </w:rPr>
            </w:pPr>
            <w:r w:rsidRPr="00D71008">
              <w:rPr>
                <w:noProof/>
                <w:sz w:val="24"/>
                <w:szCs w:val="24"/>
              </w:rPr>
              <w:t>The CRS Code of</w:t>
            </w:r>
            <w:r w:rsidRPr="00D71008">
              <w:rPr>
                <w:noProof/>
                <w:spacing w:val="-1"/>
                <w:sz w:val="24"/>
                <w:szCs w:val="24"/>
              </w:rPr>
              <w:t xml:space="preserve"> </w:t>
            </w:r>
            <w:r w:rsidRPr="00D71008">
              <w:rPr>
                <w:noProof/>
                <w:sz w:val="24"/>
                <w:szCs w:val="24"/>
              </w:rPr>
              <w:t>Conduct has not been fully</w:t>
            </w:r>
            <w:r w:rsidRPr="00D71008">
              <w:rPr>
                <w:noProof/>
                <w:spacing w:val="-1"/>
                <w:sz w:val="24"/>
                <w:szCs w:val="24"/>
              </w:rPr>
              <w:t xml:space="preserve"> </w:t>
            </w:r>
            <w:r w:rsidRPr="00D71008">
              <w:rPr>
                <w:noProof/>
                <w:sz w:val="24"/>
                <w:szCs w:val="24"/>
              </w:rPr>
              <w:t>effective in</w:t>
            </w:r>
            <w:r w:rsidRPr="00D71008">
              <w:rPr>
                <w:noProof/>
                <w:spacing w:val="-1"/>
                <w:sz w:val="24"/>
                <w:szCs w:val="24"/>
              </w:rPr>
              <w:t xml:space="preserve"> </w:t>
            </w:r>
            <w:r w:rsidRPr="00D71008">
              <w:rPr>
                <w:noProof/>
                <w:sz w:val="24"/>
                <w:szCs w:val="24"/>
              </w:rPr>
              <w:t>achieving</w:t>
            </w:r>
            <w:r w:rsidRPr="00D71008">
              <w:rPr>
                <w:noProof/>
                <w:spacing w:val="-1"/>
                <w:sz w:val="24"/>
                <w:szCs w:val="24"/>
              </w:rPr>
              <w:t xml:space="preserve"> </w:t>
            </w:r>
            <w:r w:rsidRPr="00D71008">
              <w:rPr>
                <w:noProof/>
                <w:sz w:val="24"/>
                <w:szCs w:val="24"/>
              </w:rPr>
              <w:t>the objective of</w:t>
            </w:r>
            <w:r w:rsidRPr="00D71008">
              <w:rPr>
                <w:noProof/>
                <w:spacing w:val="-1"/>
                <w:sz w:val="24"/>
                <w:szCs w:val="24"/>
              </w:rPr>
              <w:t xml:space="preserve"> </w:t>
            </w:r>
            <w:r w:rsidRPr="00D71008">
              <w:rPr>
                <w:noProof/>
                <w:sz w:val="24"/>
                <w:szCs w:val="24"/>
              </w:rPr>
              <w:t>ensuring a level playing field for all participating carriers for access to, and the use of CRS services, since it did not lead to better balancing of the bargaining power of different-sized air carriers vis-à-vis CRSs.</w:t>
            </w:r>
          </w:p>
        </w:tc>
        <w:tc>
          <w:tcPr>
            <w:tcW w:w="2410" w:type="pct"/>
          </w:tcPr>
          <w:p w14:paraId="2140F459" w14:textId="5493D483" w:rsidR="00712390" w:rsidRPr="00D71008" w:rsidRDefault="003C4819">
            <w:pPr>
              <w:pStyle w:val="TableParagraph"/>
              <w:spacing w:before="53"/>
              <w:ind w:left="105" w:right="89"/>
              <w:jc w:val="both"/>
              <w:rPr>
                <w:noProof/>
                <w:sz w:val="24"/>
                <w:szCs w:val="24"/>
              </w:rPr>
            </w:pPr>
            <w:r w:rsidRPr="00D71008">
              <w:rPr>
                <w:noProof/>
                <w:sz w:val="24"/>
                <w:szCs w:val="24"/>
              </w:rPr>
              <w:t xml:space="preserve">The impact assessment retains the CRS Code of Conduct’s prohibition of unfair and unjustified conditions (i.e., Art. 3 and Art. 6), protecting carriers vis-à-vis powerful CRS services in the form of </w:t>
            </w:r>
            <w:r w:rsidR="006352FC" w:rsidRPr="00D71008">
              <w:rPr>
                <w:noProof/>
                <w:sz w:val="24"/>
                <w:szCs w:val="24"/>
              </w:rPr>
              <w:t>fair treatment</w:t>
            </w:r>
            <w:r w:rsidRPr="00D71008">
              <w:rPr>
                <w:noProof/>
                <w:sz w:val="24"/>
                <w:szCs w:val="24"/>
              </w:rPr>
              <w:t xml:space="preserve">rules for all B2B MDMS. Moreover, additional, new provisions will </w:t>
            </w:r>
            <w:r w:rsidR="002C73F2" w:rsidRPr="00D71008">
              <w:rPr>
                <w:noProof/>
                <w:sz w:val="24"/>
                <w:szCs w:val="24"/>
              </w:rPr>
              <w:t>improve</w:t>
            </w:r>
            <w:r w:rsidRPr="00D71008">
              <w:rPr>
                <w:noProof/>
                <w:sz w:val="24"/>
                <w:szCs w:val="24"/>
              </w:rPr>
              <w:t xml:space="preserve"> the position of (smaller) carriers.</w:t>
            </w:r>
          </w:p>
        </w:tc>
      </w:tr>
      <w:tr w:rsidR="00712390" w:rsidRPr="00D71008" w14:paraId="053314AB" w14:textId="77777777" w:rsidTr="00613C3D">
        <w:trPr>
          <w:trHeight w:val="803"/>
        </w:trPr>
        <w:tc>
          <w:tcPr>
            <w:tcW w:w="2590" w:type="pct"/>
            <w:gridSpan w:val="2"/>
          </w:tcPr>
          <w:p w14:paraId="6CE13275" w14:textId="77777777" w:rsidR="00712390" w:rsidRPr="00D71008" w:rsidRDefault="003C4819">
            <w:pPr>
              <w:pStyle w:val="TableParagraph"/>
              <w:spacing w:before="53"/>
              <w:ind w:left="107" w:right="88"/>
              <w:jc w:val="both"/>
              <w:rPr>
                <w:noProof/>
                <w:sz w:val="24"/>
                <w:szCs w:val="24"/>
              </w:rPr>
            </w:pPr>
            <w:r w:rsidRPr="00D71008">
              <w:rPr>
                <w:noProof/>
                <w:sz w:val="24"/>
                <w:szCs w:val="24"/>
              </w:rPr>
              <w:t>Despite the CRS Code of Conduct, travel agents have still</w:t>
            </w:r>
            <w:r w:rsidRPr="00D71008">
              <w:rPr>
                <w:noProof/>
                <w:spacing w:val="22"/>
                <w:sz w:val="24"/>
                <w:szCs w:val="24"/>
              </w:rPr>
              <w:t xml:space="preserve"> </w:t>
            </w:r>
            <w:r w:rsidRPr="00D71008">
              <w:rPr>
                <w:noProof/>
                <w:sz w:val="24"/>
                <w:szCs w:val="24"/>
              </w:rPr>
              <w:t>been subjected to pressure from</w:t>
            </w:r>
            <w:r w:rsidRPr="00D71008">
              <w:rPr>
                <w:noProof/>
                <w:spacing w:val="40"/>
                <w:sz w:val="24"/>
                <w:szCs w:val="24"/>
              </w:rPr>
              <w:t xml:space="preserve"> </w:t>
            </w:r>
            <w:r w:rsidRPr="00D71008">
              <w:rPr>
                <w:noProof/>
                <w:sz w:val="24"/>
                <w:szCs w:val="24"/>
              </w:rPr>
              <w:t>air carriers based on marketing data. However, this is considered to be a potential issue with the enforcement of the CRS Code of Conduct rather than with its provisions per se.</w:t>
            </w:r>
          </w:p>
        </w:tc>
        <w:tc>
          <w:tcPr>
            <w:tcW w:w="2410" w:type="pct"/>
          </w:tcPr>
          <w:p w14:paraId="16599197" w14:textId="77777777" w:rsidR="00712390" w:rsidRPr="00D71008" w:rsidRDefault="003C4819">
            <w:pPr>
              <w:pStyle w:val="TableParagraph"/>
              <w:spacing w:before="53"/>
              <w:ind w:left="105" w:right="90"/>
              <w:jc w:val="both"/>
              <w:rPr>
                <w:noProof/>
                <w:sz w:val="24"/>
                <w:szCs w:val="24"/>
              </w:rPr>
            </w:pPr>
            <w:r w:rsidRPr="00D71008">
              <w:rPr>
                <w:noProof/>
                <w:sz w:val="24"/>
                <w:szCs w:val="24"/>
              </w:rPr>
              <w:t>The impact assessment concludes that rules on access to and preventing abuse of marketing data (MIDT data) are to be retained to continue ensure the protection of travel agents from undue influence of transport operators.</w:t>
            </w:r>
          </w:p>
        </w:tc>
      </w:tr>
      <w:tr w:rsidR="00712390" w:rsidRPr="00D71008" w14:paraId="312E7E93" w14:textId="77777777" w:rsidTr="00613C3D">
        <w:trPr>
          <w:trHeight w:val="1494"/>
        </w:trPr>
        <w:tc>
          <w:tcPr>
            <w:tcW w:w="2590" w:type="pct"/>
            <w:gridSpan w:val="2"/>
          </w:tcPr>
          <w:p w14:paraId="13AC8A30" w14:textId="72EEBB61" w:rsidR="00712390" w:rsidRPr="00D71008" w:rsidRDefault="003C4819">
            <w:pPr>
              <w:pStyle w:val="TableParagraph"/>
              <w:spacing w:before="53"/>
              <w:ind w:left="107" w:right="87"/>
              <w:jc w:val="both"/>
              <w:rPr>
                <w:noProof/>
                <w:sz w:val="24"/>
                <w:szCs w:val="24"/>
              </w:rPr>
            </w:pPr>
            <w:r w:rsidRPr="00D71008">
              <w:rPr>
                <w:noProof/>
                <w:sz w:val="24"/>
                <w:szCs w:val="24"/>
              </w:rPr>
              <w:t>The CRS Code of Conduct has been effective in achieving transparency of travel options made available on CRS platforms even though the introduction of competition in market and new technologies led to more fragmentation of content. However, the CRS Code of</w:t>
            </w:r>
            <w:r w:rsidRPr="00D71008">
              <w:rPr>
                <w:noProof/>
                <w:spacing w:val="80"/>
                <w:sz w:val="24"/>
                <w:szCs w:val="24"/>
              </w:rPr>
              <w:t xml:space="preserve"> </w:t>
            </w:r>
            <w:r w:rsidRPr="00D71008">
              <w:rPr>
                <w:noProof/>
                <w:sz w:val="24"/>
                <w:szCs w:val="24"/>
              </w:rPr>
              <w:t>Conduct never</w:t>
            </w:r>
            <w:r w:rsidRPr="00D71008">
              <w:rPr>
                <w:noProof/>
                <w:spacing w:val="-1"/>
                <w:sz w:val="24"/>
                <w:szCs w:val="24"/>
              </w:rPr>
              <w:t xml:space="preserve"> </w:t>
            </w:r>
            <w:r w:rsidRPr="00D71008">
              <w:rPr>
                <w:noProof/>
                <w:sz w:val="24"/>
                <w:szCs w:val="24"/>
              </w:rPr>
              <w:t>had</w:t>
            </w:r>
            <w:r w:rsidRPr="00D71008">
              <w:rPr>
                <w:noProof/>
                <w:spacing w:val="-1"/>
                <w:sz w:val="24"/>
                <w:szCs w:val="24"/>
              </w:rPr>
              <w:t xml:space="preserve"> </w:t>
            </w:r>
            <w:r w:rsidRPr="00D71008">
              <w:rPr>
                <w:noProof/>
                <w:sz w:val="24"/>
                <w:szCs w:val="24"/>
              </w:rPr>
              <w:t>the</w:t>
            </w:r>
            <w:r w:rsidRPr="00D71008">
              <w:rPr>
                <w:noProof/>
                <w:spacing w:val="-2"/>
                <w:sz w:val="24"/>
                <w:szCs w:val="24"/>
              </w:rPr>
              <w:t xml:space="preserve"> </w:t>
            </w:r>
            <w:r w:rsidRPr="00D71008">
              <w:rPr>
                <w:noProof/>
                <w:sz w:val="24"/>
                <w:szCs w:val="24"/>
              </w:rPr>
              <w:t>objective</w:t>
            </w:r>
            <w:r w:rsidRPr="00D71008">
              <w:rPr>
                <w:noProof/>
                <w:spacing w:val="-2"/>
                <w:sz w:val="24"/>
                <w:szCs w:val="24"/>
              </w:rPr>
              <w:t xml:space="preserve"> </w:t>
            </w:r>
            <w:r w:rsidRPr="00D71008">
              <w:rPr>
                <w:noProof/>
                <w:sz w:val="24"/>
                <w:szCs w:val="24"/>
              </w:rPr>
              <w:t>of</w:t>
            </w:r>
            <w:r w:rsidRPr="00D71008">
              <w:rPr>
                <w:noProof/>
                <w:spacing w:val="-3"/>
                <w:sz w:val="24"/>
                <w:szCs w:val="24"/>
              </w:rPr>
              <w:t xml:space="preserve"> </w:t>
            </w:r>
            <w:r w:rsidRPr="00D71008">
              <w:rPr>
                <w:noProof/>
                <w:sz w:val="24"/>
                <w:szCs w:val="24"/>
              </w:rPr>
              <w:t>preventing</w:t>
            </w:r>
            <w:r w:rsidRPr="00D71008">
              <w:rPr>
                <w:noProof/>
                <w:spacing w:val="-3"/>
                <w:sz w:val="24"/>
                <w:szCs w:val="24"/>
              </w:rPr>
              <w:t xml:space="preserve"> </w:t>
            </w:r>
            <w:r w:rsidRPr="00D71008">
              <w:rPr>
                <w:noProof/>
                <w:sz w:val="24"/>
                <w:szCs w:val="24"/>
              </w:rPr>
              <w:t>fragmentation</w:t>
            </w:r>
            <w:r w:rsidRPr="00D71008">
              <w:rPr>
                <w:noProof/>
                <w:spacing w:val="-3"/>
                <w:sz w:val="24"/>
                <w:szCs w:val="24"/>
              </w:rPr>
              <w:t xml:space="preserve"> </w:t>
            </w:r>
            <w:r w:rsidRPr="00D71008">
              <w:rPr>
                <w:noProof/>
                <w:sz w:val="24"/>
                <w:szCs w:val="24"/>
              </w:rPr>
              <w:t>and</w:t>
            </w:r>
            <w:r w:rsidRPr="00D71008">
              <w:rPr>
                <w:noProof/>
                <w:spacing w:val="-1"/>
                <w:sz w:val="24"/>
                <w:szCs w:val="24"/>
              </w:rPr>
              <w:t xml:space="preserve"> </w:t>
            </w:r>
            <w:r w:rsidRPr="00D71008">
              <w:rPr>
                <w:noProof/>
                <w:sz w:val="24"/>
                <w:szCs w:val="24"/>
              </w:rPr>
              <w:t>of</w:t>
            </w:r>
            <w:r w:rsidRPr="00D71008">
              <w:rPr>
                <w:noProof/>
                <w:spacing w:val="-1"/>
                <w:sz w:val="24"/>
                <w:szCs w:val="24"/>
              </w:rPr>
              <w:t xml:space="preserve"> </w:t>
            </w:r>
            <w:r w:rsidRPr="00D71008">
              <w:rPr>
                <w:noProof/>
                <w:sz w:val="24"/>
                <w:szCs w:val="24"/>
              </w:rPr>
              <w:t>making</w:t>
            </w:r>
            <w:r w:rsidRPr="00D71008">
              <w:rPr>
                <w:noProof/>
                <w:spacing w:val="-3"/>
                <w:sz w:val="24"/>
                <w:szCs w:val="24"/>
              </w:rPr>
              <w:t xml:space="preserve"> </w:t>
            </w:r>
            <w:r w:rsidRPr="00D71008">
              <w:rPr>
                <w:noProof/>
                <w:sz w:val="24"/>
                <w:szCs w:val="24"/>
              </w:rPr>
              <w:t>all</w:t>
            </w:r>
            <w:r w:rsidRPr="00D71008">
              <w:rPr>
                <w:noProof/>
                <w:spacing w:val="-2"/>
                <w:sz w:val="24"/>
                <w:szCs w:val="24"/>
              </w:rPr>
              <w:t xml:space="preserve"> </w:t>
            </w:r>
            <w:r w:rsidRPr="00D71008">
              <w:rPr>
                <w:noProof/>
                <w:sz w:val="24"/>
                <w:szCs w:val="24"/>
              </w:rPr>
              <w:t>airline</w:t>
            </w:r>
            <w:r w:rsidRPr="00D71008">
              <w:rPr>
                <w:noProof/>
                <w:spacing w:val="-2"/>
                <w:sz w:val="24"/>
                <w:szCs w:val="24"/>
              </w:rPr>
              <w:t xml:space="preserve"> </w:t>
            </w:r>
            <w:r w:rsidRPr="00D71008">
              <w:rPr>
                <w:noProof/>
                <w:sz w:val="24"/>
                <w:szCs w:val="24"/>
              </w:rPr>
              <w:t>tickets available on CRSs, but rather aimed to ensure that all information provided to CRSs by participating carriers is provided to CRSs’ subscribers in a neutral and comprehensive way.</w:t>
            </w:r>
          </w:p>
        </w:tc>
        <w:tc>
          <w:tcPr>
            <w:tcW w:w="2410" w:type="pct"/>
          </w:tcPr>
          <w:p w14:paraId="5D3E1167" w14:textId="77777777" w:rsidR="00712390" w:rsidRPr="00D71008" w:rsidRDefault="003C4819">
            <w:pPr>
              <w:pStyle w:val="TableParagraph"/>
              <w:spacing w:before="53"/>
              <w:ind w:left="105" w:right="88"/>
              <w:jc w:val="both"/>
              <w:rPr>
                <w:noProof/>
                <w:sz w:val="24"/>
                <w:szCs w:val="24"/>
              </w:rPr>
            </w:pPr>
            <w:r w:rsidRPr="00D71008">
              <w:rPr>
                <w:noProof/>
                <w:sz w:val="24"/>
                <w:szCs w:val="24"/>
              </w:rPr>
              <w:t>The impact assessment retains the provisions on the neutral display and extending them</w:t>
            </w:r>
            <w:r w:rsidRPr="00D71008">
              <w:rPr>
                <w:noProof/>
                <w:spacing w:val="40"/>
                <w:sz w:val="24"/>
                <w:szCs w:val="24"/>
              </w:rPr>
              <w:t xml:space="preserve"> </w:t>
            </w:r>
            <w:r w:rsidRPr="00D71008">
              <w:rPr>
                <w:noProof/>
                <w:sz w:val="24"/>
                <w:szCs w:val="24"/>
              </w:rPr>
              <w:t>to all B2B MDMS will continue to ensure and even strengthen transparency of travel options made available on all MDMS.</w:t>
            </w:r>
          </w:p>
        </w:tc>
      </w:tr>
      <w:tr w:rsidR="00712390" w:rsidRPr="00D71008" w14:paraId="16F5E166" w14:textId="77777777" w:rsidTr="00613C3D">
        <w:trPr>
          <w:trHeight w:val="1033"/>
        </w:trPr>
        <w:tc>
          <w:tcPr>
            <w:tcW w:w="2590" w:type="pct"/>
            <w:gridSpan w:val="2"/>
          </w:tcPr>
          <w:p w14:paraId="5FBAA54B" w14:textId="502AA22B" w:rsidR="00712390" w:rsidRPr="00D71008" w:rsidRDefault="003C4819">
            <w:pPr>
              <w:pStyle w:val="TableParagraph"/>
              <w:spacing w:before="53"/>
              <w:ind w:left="107" w:right="95"/>
              <w:jc w:val="both"/>
              <w:rPr>
                <w:noProof/>
                <w:sz w:val="24"/>
                <w:szCs w:val="24"/>
              </w:rPr>
            </w:pPr>
            <w:r w:rsidRPr="00D71008">
              <w:rPr>
                <w:noProof/>
                <w:sz w:val="24"/>
                <w:szCs w:val="24"/>
              </w:rPr>
              <w:t xml:space="preserve">The travel agents have access to rail options in their systems. CRS providers also confirmed that they work with several train companies and provide rail options in primary displays where relevant. Therefore, it seems that the specific objective of promoting rail transport has been </w:t>
            </w:r>
            <w:r w:rsidR="009B47C2" w:rsidRPr="00D71008">
              <w:rPr>
                <w:noProof/>
                <w:sz w:val="24"/>
                <w:szCs w:val="24"/>
              </w:rPr>
              <w:t xml:space="preserve">only </w:t>
            </w:r>
            <w:r w:rsidRPr="00D71008">
              <w:rPr>
                <w:noProof/>
                <w:sz w:val="24"/>
                <w:szCs w:val="24"/>
              </w:rPr>
              <w:t>partially achieved.</w:t>
            </w:r>
          </w:p>
        </w:tc>
        <w:tc>
          <w:tcPr>
            <w:tcW w:w="2410" w:type="pct"/>
          </w:tcPr>
          <w:p w14:paraId="16640A90" w14:textId="54B9E3CB" w:rsidR="00712390" w:rsidRPr="00D71008" w:rsidRDefault="003C4819">
            <w:pPr>
              <w:pStyle w:val="TableParagraph"/>
              <w:spacing w:before="53"/>
              <w:ind w:left="105" w:right="90"/>
              <w:jc w:val="both"/>
              <w:rPr>
                <w:noProof/>
                <w:sz w:val="24"/>
                <w:szCs w:val="24"/>
              </w:rPr>
            </w:pPr>
            <w:r w:rsidRPr="00D71008">
              <w:rPr>
                <w:noProof/>
                <w:sz w:val="24"/>
                <w:szCs w:val="24"/>
              </w:rPr>
              <w:t>Under the proposed MDMS policy</w:t>
            </w:r>
            <w:r w:rsidRPr="00D71008">
              <w:rPr>
                <w:noProof/>
                <w:spacing w:val="-2"/>
                <w:sz w:val="24"/>
                <w:szCs w:val="24"/>
              </w:rPr>
              <w:t xml:space="preserve"> </w:t>
            </w:r>
            <w:r w:rsidRPr="00D71008">
              <w:rPr>
                <w:noProof/>
                <w:sz w:val="24"/>
                <w:szCs w:val="24"/>
              </w:rPr>
              <w:t xml:space="preserve">options, CRS providers are to obtain access to the full offer of the large </w:t>
            </w:r>
            <w:r w:rsidR="001358ED">
              <w:rPr>
                <w:noProof/>
                <w:sz w:val="24"/>
                <w:szCs w:val="24"/>
              </w:rPr>
              <w:t>RU</w:t>
            </w:r>
            <w:r w:rsidRPr="00D71008">
              <w:rPr>
                <w:noProof/>
                <w:sz w:val="24"/>
                <w:szCs w:val="24"/>
              </w:rPr>
              <w:t>s. Moreover, promoting rail transport is to be strengthened by allowing consumers to select travel options based on their GHG emissions.</w:t>
            </w:r>
          </w:p>
        </w:tc>
      </w:tr>
      <w:tr w:rsidR="00712390" w:rsidRPr="00D71008" w14:paraId="0B6AEABA" w14:textId="77777777" w:rsidTr="00613C3D">
        <w:trPr>
          <w:trHeight w:val="415"/>
        </w:trPr>
        <w:tc>
          <w:tcPr>
            <w:tcW w:w="5000" w:type="pct"/>
            <w:gridSpan w:val="3"/>
          </w:tcPr>
          <w:p w14:paraId="71D4CA89" w14:textId="77777777" w:rsidR="00712390" w:rsidRPr="00D71008" w:rsidRDefault="003C4819">
            <w:pPr>
              <w:pStyle w:val="TableParagraph"/>
              <w:spacing w:before="57"/>
              <w:ind w:left="17" w:right="1"/>
              <w:jc w:val="center"/>
              <w:rPr>
                <w:b/>
                <w:noProof/>
                <w:sz w:val="24"/>
                <w:szCs w:val="24"/>
              </w:rPr>
            </w:pPr>
            <w:r w:rsidRPr="00D71008">
              <w:rPr>
                <w:b/>
                <w:noProof/>
                <w:sz w:val="24"/>
                <w:szCs w:val="24"/>
              </w:rPr>
              <w:t>Conclusions</w:t>
            </w:r>
            <w:r w:rsidRPr="00D71008">
              <w:rPr>
                <w:b/>
                <w:noProof/>
                <w:spacing w:val="-7"/>
                <w:sz w:val="24"/>
                <w:szCs w:val="24"/>
              </w:rPr>
              <w:t xml:space="preserve"> </w:t>
            </w:r>
            <w:r w:rsidRPr="00D71008">
              <w:rPr>
                <w:b/>
                <w:noProof/>
                <w:sz w:val="24"/>
                <w:szCs w:val="24"/>
              </w:rPr>
              <w:t>on</w:t>
            </w:r>
            <w:r w:rsidRPr="00D71008">
              <w:rPr>
                <w:b/>
                <w:noProof/>
                <w:spacing w:val="-7"/>
                <w:sz w:val="24"/>
                <w:szCs w:val="24"/>
              </w:rPr>
              <w:t xml:space="preserve"> </w:t>
            </w:r>
            <w:r w:rsidRPr="00D71008">
              <w:rPr>
                <w:b/>
                <w:noProof/>
                <w:spacing w:val="-2"/>
                <w:sz w:val="24"/>
                <w:szCs w:val="24"/>
              </w:rPr>
              <w:t>efficiency</w:t>
            </w:r>
          </w:p>
        </w:tc>
      </w:tr>
      <w:tr w:rsidR="00712390" w:rsidRPr="00D71008" w14:paraId="298AE162" w14:textId="77777777" w:rsidTr="00613C3D">
        <w:trPr>
          <w:trHeight w:val="575"/>
        </w:trPr>
        <w:tc>
          <w:tcPr>
            <w:tcW w:w="2590" w:type="pct"/>
            <w:gridSpan w:val="2"/>
          </w:tcPr>
          <w:p w14:paraId="1FBB85EA" w14:textId="77777777" w:rsidR="00712390" w:rsidRPr="00D71008" w:rsidRDefault="003C4819">
            <w:pPr>
              <w:pStyle w:val="TableParagraph"/>
              <w:spacing w:before="53"/>
              <w:ind w:left="127" w:right="138"/>
              <w:jc w:val="both"/>
              <w:rPr>
                <w:noProof/>
                <w:sz w:val="24"/>
                <w:szCs w:val="24"/>
              </w:rPr>
            </w:pPr>
            <w:r w:rsidRPr="00D71008">
              <w:rPr>
                <w:noProof/>
                <w:sz w:val="24"/>
                <w:szCs w:val="24"/>
              </w:rPr>
              <w:t>The Code of Conduct imposed limited direct costs on the</w:t>
            </w:r>
            <w:r w:rsidR="00A317FF" w:rsidRPr="00D71008">
              <w:rPr>
                <w:noProof/>
                <w:sz w:val="24"/>
                <w:szCs w:val="24"/>
              </w:rPr>
              <w:t xml:space="preserve"> </w:t>
            </w:r>
            <w:r w:rsidRPr="00D71008">
              <w:rPr>
                <w:noProof/>
                <w:sz w:val="24"/>
                <w:szCs w:val="24"/>
              </w:rPr>
              <w:t>industry.</w:t>
            </w:r>
          </w:p>
        </w:tc>
        <w:tc>
          <w:tcPr>
            <w:tcW w:w="2410" w:type="pct"/>
          </w:tcPr>
          <w:p w14:paraId="780D1927" w14:textId="77777777" w:rsidR="00712390" w:rsidRPr="00D71008" w:rsidRDefault="003C4819">
            <w:pPr>
              <w:pStyle w:val="TableParagraph"/>
              <w:spacing w:before="53"/>
              <w:ind w:left="105" w:right="92"/>
              <w:rPr>
                <w:noProof/>
                <w:sz w:val="24"/>
                <w:szCs w:val="24"/>
              </w:rPr>
            </w:pPr>
            <w:r w:rsidRPr="00D71008">
              <w:rPr>
                <w:noProof/>
                <w:sz w:val="24"/>
                <w:szCs w:val="24"/>
              </w:rPr>
              <w:t>The already small direct costs to the industry will be further reduced by removal of Art. 12 of the Code of Conduct (see below).</w:t>
            </w:r>
          </w:p>
        </w:tc>
      </w:tr>
      <w:tr w:rsidR="00712390" w:rsidRPr="00D71008" w14:paraId="27375FE8" w14:textId="77777777" w:rsidTr="00613C3D">
        <w:trPr>
          <w:trHeight w:val="803"/>
        </w:trPr>
        <w:tc>
          <w:tcPr>
            <w:tcW w:w="259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FF53BF3" w14:textId="77777777" w:rsidR="00712390" w:rsidRPr="00D71008" w:rsidRDefault="003C4819">
            <w:pPr>
              <w:pStyle w:val="TableParagraph"/>
              <w:spacing w:before="53"/>
              <w:ind w:left="107" w:right="92"/>
              <w:jc w:val="both"/>
              <w:rPr>
                <w:noProof/>
                <w:sz w:val="24"/>
                <w:szCs w:val="24"/>
              </w:rPr>
            </w:pPr>
            <w:r w:rsidRPr="00D71008">
              <w:rPr>
                <w:noProof/>
                <w:sz w:val="24"/>
                <w:szCs w:val="24"/>
              </w:rPr>
              <w:t>The CRS Code of Conduct imposes on-going direct costs to CRS providers derived from the reporting requirements (audits) of Article 12 on their ownership structure and governance model.</w:t>
            </w:r>
            <w:r w:rsidRPr="00D71008">
              <w:rPr>
                <w:noProof/>
                <w:spacing w:val="11"/>
                <w:sz w:val="24"/>
                <w:szCs w:val="24"/>
              </w:rPr>
              <w:t xml:space="preserve"> </w:t>
            </w:r>
            <w:r w:rsidRPr="00D71008">
              <w:rPr>
                <w:noProof/>
                <w:sz w:val="24"/>
                <w:szCs w:val="24"/>
              </w:rPr>
              <w:t>As</w:t>
            </w:r>
            <w:r w:rsidRPr="00D71008">
              <w:rPr>
                <w:noProof/>
                <w:spacing w:val="9"/>
                <w:sz w:val="24"/>
                <w:szCs w:val="24"/>
              </w:rPr>
              <w:t xml:space="preserve"> </w:t>
            </w:r>
            <w:r w:rsidRPr="00D71008">
              <w:rPr>
                <w:noProof/>
                <w:sz w:val="24"/>
                <w:szCs w:val="24"/>
              </w:rPr>
              <w:t>the</w:t>
            </w:r>
            <w:r w:rsidRPr="00D71008">
              <w:rPr>
                <w:noProof/>
                <w:spacing w:val="9"/>
                <w:sz w:val="24"/>
                <w:szCs w:val="24"/>
              </w:rPr>
              <w:t xml:space="preserve"> </w:t>
            </w:r>
            <w:r w:rsidRPr="00D71008">
              <w:rPr>
                <w:noProof/>
                <w:sz w:val="24"/>
                <w:szCs w:val="24"/>
              </w:rPr>
              <w:t>CRS</w:t>
            </w:r>
            <w:r w:rsidRPr="00D71008">
              <w:rPr>
                <w:noProof/>
                <w:spacing w:val="9"/>
                <w:sz w:val="24"/>
                <w:szCs w:val="24"/>
              </w:rPr>
              <w:t xml:space="preserve"> </w:t>
            </w:r>
            <w:r w:rsidRPr="00D71008">
              <w:rPr>
                <w:noProof/>
                <w:sz w:val="24"/>
                <w:szCs w:val="24"/>
              </w:rPr>
              <w:t>providers</w:t>
            </w:r>
            <w:r w:rsidRPr="00D71008">
              <w:rPr>
                <w:noProof/>
                <w:spacing w:val="8"/>
                <w:sz w:val="24"/>
                <w:szCs w:val="24"/>
              </w:rPr>
              <w:t xml:space="preserve"> </w:t>
            </w:r>
            <w:r w:rsidRPr="00D71008">
              <w:rPr>
                <w:noProof/>
                <w:sz w:val="24"/>
                <w:szCs w:val="24"/>
              </w:rPr>
              <w:t>are</w:t>
            </w:r>
            <w:r w:rsidRPr="00D71008">
              <w:rPr>
                <w:noProof/>
                <w:spacing w:val="9"/>
                <w:sz w:val="24"/>
                <w:szCs w:val="24"/>
              </w:rPr>
              <w:t xml:space="preserve"> </w:t>
            </w:r>
            <w:r w:rsidRPr="00D71008">
              <w:rPr>
                <w:noProof/>
                <w:sz w:val="24"/>
                <w:szCs w:val="24"/>
              </w:rPr>
              <w:t>all</w:t>
            </w:r>
            <w:r w:rsidRPr="00D71008">
              <w:rPr>
                <w:noProof/>
                <w:spacing w:val="8"/>
                <w:sz w:val="24"/>
                <w:szCs w:val="24"/>
              </w:rPr>
              <w:t xml:space="preserve"> </w:t>
            </w:r>
            <w:r w:rsidRPr="00D71008">
              <w:rPr>
                <w:noProof/>
                <w:sz w:val="24"/>
                <w:szCs w:val="24"/>
              </w:rPr>
              <w:t>publicly</w:t>
            </w:r>
            <w:r w:rsidRPr="00D71008">
              <w:rPr>
                <w:noProof/>
                <w:spacing w:val="5"/>
                <w:sz w:val="24"/>
                <w:szCs w:val="24"/>
              </w:rPr>
              <w:t xml:space="preserve"> </w:t>
            </w:r>
            <w:r w:rsidRPr="00D71008">
              <w:rPr>
                <w:noProof/>
                <w:sz w:val="24"/>
                <w:szCs w:val="24"/>
              </w:rPr>
              <w:t>listed</w:t>
            </w:r>
            <w:r w:rsidRPr="00D71008">
              <w:rPr>
                <w:noProof/>
                <w:spacing w:val="10"/>
                <w:sz w:val="24"/>
                <w:szCs w:val="24"/>
              </w:rPr>
              <w:t xml:space="preserve"> </w:t>
            </w:r>
            <w:r w:rsidRPr="00D71008">
              <w:rPr>
                <w:noProof/>
                <w:sz w:val="24"/>
                <w:szCs w:val="24"/>
              </w:rPr>
              <w:t>companies</w:t>
            </w:r>
            <w:r w:rsidRPr="00D71008">
              <w:rPr>
                <w:noProof/>
                <w:spacing w:val="9"/>
                <w:sz w:val="24"/>
                <w:szCs w:val="24"/>
              </w:rPr>
              <w:t xml:space="preserve"> </w:t>
            </w:r>
            <w:r w:rsidRPr="00D71008">
              <w:rPr>
                <w:noProof/>
                <w:sz w:val="24"/>
                <w:szCs w:val="24"/>
              </w:rPr>
              <w:t>these</w:t>
            </w:r>
            <w:r w:rsidRPr="00D71008">
              <w:rPr>
                <w:noProof/>
                <w:spacing w:val="9"/>
                <w:sz w:val="24"/>
                <w:szCs w:val="24"/>
              </w:rPr>
              <w:t xml:space="preserve"> </w:t>
            </w:r>
            <w:r w:rsidRPr="00D71008">
              <w:rPr>
                <w:noProof/>
                <w:sz w:val="24"/>
                <w:szCs w:val="24"/>
              </w:rPr>
              <w:t>reporting</w:t>
            </w:r>
            <w:r w:rsidRPr="00D71008">
              <w:rPr>
                <w:noProof/>
                <w:spacing w:val="9"/>
                <w:sz w:val="24"/>
                <w:szCs w:val="24"/>
              </w:rPr>
              <w:t xml:space="preserve"> </w:t>
            </w:r>
            <w:r w:rsidRPr="00D71008">
              <w:rPr>
                <w:noProof/>
                <w:spacing w:val="-2"/>
                <w:sz w:val="24"/>
                <w:szCs w:val="24"/>
              </w:rPr>
              <w:t>requirements</w:t>
            </w:r>
          </w:p>
        </w:tc>
        <w:tc>
          <w:tcPr>
            <w:tcW w:w="241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09C0D5" w14:textId="77777777" w:rsidR="00712390" w:rsidRPr="00D71008" w:rsidRDefault="003C4819">
            <w:pPr>
              <w:pStyle w:val="TableParagraph"/>
              <w:spacing w:before="53"/>
              <w:ind w:left="105" w:right="92"/>
              <w:jc w:val="both"/>
              <w:rPr>
                <w:noProof/>
                <w:sz w:val="24"/>
                <w:szCs w:val="24"/>
              </w:rPr>
            </w:pPr>
            <w:r w:rsidRPr="00D71008">
              <w:rPr>
                <w:noProof/>
                <w:sz w:val="24"/>
                <w:szCs w:val="24"/>
              </w:rPr>
              <w:t>Since</w:t>
            </w:r>
            <w:r w:rsidRPr="00D71008">
              <w:rPr>
                <w:noProof/>
                <w:spacing w:val="40"/>
                <w:sz w:val="24"/>
                <w:szCs w:val="24"/>
              </w:rPr>
              <w:t xml:space="preserve"> </w:t>
            </w:r>
            <w:r w:rsidRPr="00D71008">
              <w:rPr>
                <w:noProof/>
                <w:sz w:val="24"/>
                <w:szCs w:val="24"/>
              </w:rPr>
              <w:t>the</w:t>
            </w:r>
            <w:r w:rsidRPr="00D71008">
              <w:rPr>
                <w:noProof/>
                <w:spacing w:val="40"/>
                <w:sz w:val="24"/>
                <w:szCs w:val="24"/>
              </w:rPr>
              <w:t xml:space="preserve"> </w:t>
            </w:r>
            <w:r w:rsidRPr="00D71008">
              <w:rPr>
                <w:noProof/>
                <w:sz w:val="24"/>
                <w:szCs w:val="24"/>
              </w:rPr>
              <w:t>parent</w:t>
            </w:r>
            <w:r w:rsidRPr="00D71008">
              <w:rPr>
                <w:noProof/>
                <w:spacing w:val="40"/>
                <w:sz w:val="24"/>
                <w:szCs w:val="24"/>
              </w:rPr>
              <w:t xml:space="preserve"> </w:t>
            </w:r>
            <w:r w:rsidRPr="00D71008">
              <w:rPr>
                <w:noProof/>
                <w:sz w:val="24"/>
                <w:szCs w:val="24"/>
              </w:rPr>
              <w:t>carrier</w:t>
            </w:r>
            <w:r w:rsidRPr="00D71008">
              <w:rPr>
                <w:noProof/>
                <w:spacing w:val="40"/>
                <w:sz w:val="24"/>
                <w:szCs w:val="24"/>
              </w:rPr>
              <w:t xml:space="preserve"> </w:t>
            </w:r>
            <w:r w:rsidRPr="00D71008">
              <w:rPr>
                <w:noProof/>
                <w:sz w:val="24"/>
                <w:szCs w:val="24"/>
              </w:rPr>
              <w:t>provisions</w:t>
            </w:r>
            <w:r w:rsidRPr="00D71008">
              <w:rPr>
                <w:noProof/>
                <w:spacing w:val="40"/>
                <w:sz w:val="24"/>
                <w:szCs w:val="24"/>
              </w:rPr>
              <w:t xml:space="preserve"> </w:t>
            </w:r>
            <w:r w:rsidRPr="00D71008">
              <w:rPr>
                <w:noProof/>
                <w:sz w:val="24"/>
                <w:szCs w:val="24"/>
              </w:rPr>
              <w:t>are</w:t>
            </w:r>
            <w:r w:rsidRPr="00D71008">
              <w:rPr>
                <w:noProof/>
                <w:spacing w:val="40"/>
                <w:sz w:val="24"/>
                <w:szCs w:val="24"/>
              </w:rPr>
              <w:t xml:space="preserve"> </w:t>
            </w:r>
            <w:r w:rsidRPr="00D71008">
              <w:rPr>
                <w:noProof/>
                <w:sz w:val="24"/>
                <w:szCs w:val="24"/>
              </w:rPr>
              <w:t>no</w:t>
            </w:r>
            <w:r w:rsidRPr="00D71008">
              <w:rPr>
                <w:noProof/>
                <w:spacing w:val="40"/>
                <w:sz w:val="24"/>
                <w:szCs w:val="24"/>
              </w:rPr>
              <w:t xml:space="preserve"> </w:t>
            </w:r>
            <w:r w:rsidRPr="00D71008">
              <w:rPr>
                <w:noProof/>
                <w:sz w:val="24"/>
                <w:szCs w:val="24"/>
              </w:rPr>
              <w:t>longer</w:t>
            </w:r>
            <w:r w:rsidRPr="00D71008">
              <w:rPr>
                <w:noProof/>
                <w:spacing w:val="40"/>
                <w:sz w:val="24"/>
                <w:szCs w:val="24"/>
              </w:rPr>
              <w:t xml:space="preserve"> </w:t>
            </w:r>
            <w:r w:rsidRPr="00D71008">
              <w:rPr>
                <w:noProof/>
                <w:sz w:val="24"/>
                <w:szCs w:val="24"/>
              </w:rPr>
              <w:t>necessary,</w:t>
            </w:r>
            <w:r w:rsidRPr="00D71008">
              <w:rPr>
                <w:noProof/>
                <w:spacing w:val="66"/>
                <w:sz w:val="24"/>
                <w:szCs w:val="24"/>
              </w:rPr>
              <w:t xml:space="preserve"> </w:t>
            </w:r>
            <w:r w:rsidRPr="00D71008">
              <w:rPr>
                <w:noProof/>
                <w:sz w:val="24"/>
                <w:szCs w:val="24"/>
              </w:rPr>
              <w:t>all</w:t>
            </w:r>
            <w:r w:rsidRPr="00D71008">
              <w:rPr>
                <w:noProof/>
                <w:spacing w:val="40"/>
                <w:sz w:val="24"/>
                <w:szCs w:val="24"/>
              </w:rPr>
              <w:t xml:space="preserve"> </w:t>
            </w:r>
            <w:r w:rsidRPr="00D71008">
              <w:rPr>
                <w:noProof/>
                <w:sz w:val="24"/>
                <w:szCs w:val="24"/>
              </w:rPr>
              <w:t>the</w:t>
            </w:r>
            <w:r w:rsidRPr="00D71008">
              <w:rPr>
                <w:noProof/>
                <w:spacing w:val="40"/>
                <w:sz w:val="24"/>
                <w:szCs w:val="24"/>
              </w:rPr>
              <w:t xml:space="preserve"> </w:t>
            </w:r>
            <w:r w:rsidRPr="00D71008">
              <w:rPr>
                <w:noProof/>
                <w:sz w:val="24"/>
                <w:szCs w:val="24"/>
              </w:rPr>
              <w:t>policy</w:t>
            </w:r>
            <w:r w:rsidRPr="00D71008">
              <w:rPr>
                <w:noProof/>
                <w:spacing w:val="40"/>
                <w:sz w:val="24"/>
                <w:szCs w:val="24"/>
              </w:rPr>
              <w:t xml:space="preserve"> </w:t>
            </w:r>
            <w:r w:rsidRPr="00D71008">
              <w:rPr>
                <w:noProof/>
                <w:sz w:val="24"/>
                <w:szCs w:val="24"/>
              </w:rPr>
              <w:t>options</w:t>
            </w:r>
            <w:r w:rsidRPr="00D71008">
              <w:rPr>
                <w:noProof/>
                <w:spacing w:val="40"/>
                <w:sz w:val="24"/>
                <w:szCs w:val="24"/>
              </w:rPr>
              <w:t xml:space="preserve"> </w:t>
            </w:r>
            <w:r w:rsidRPr="00D71008">
              <w:rPr>
                <w:noProof/>
                <w:sz w:val="24"/>
                <w:szCs w:val="24"/>
              </w:rPr>
              <w:t>considered would repeal Art 12 of the CRS Code of Conduct.</w:t>
            </w:r>
          </w:p>
        </w:tc>
      </w:tr>
      <w:tr w:rsidR="0044187F" w:rsidRPr="00D71008" w14:paraId="43DB7925" w14:textId="77777777" w:rsidTr="00613C3D">
        <w:trPr>
          <w:trHeight w:val="525"/>
        </w:trPr>
        <w:tc>
          <w:tcPr>
            <w:tcW w:w="5000" w:type="pct"/>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EFB2587" w14:textId="4B255570" w:rsidR="0044187F" w:rsidRPr="00AD78C1" w:rsidRDefault="0044187F">
            <w:pPr>
              <w:pStyle w:val="TableParagraph"/>
              <w:spacing w:before="53"/>
              <w:ind w:right="92"/>
              <w:jc w:val="center"/>
              <w:rPr>
                <w:b/>
                <w:noProof/>
                <w:sz w:val="24"/>
                <w:szCs w:val="24"/>
              </w:rPr>
            </w:pPr>
            <w:r w:rsidRPr="00AD78C1">
              <w:rPr>
                <w:b/>
                <w:noProof/>
                <w:sz w:val="24"/>
                <w:szCs w:val="24"/>
              </w:rPr>
              <w:t xml:space="preserve">Conclusions on </w:t>
            </w:r>
            <w:r w:rsidR="00AD78C1" w:rsidRPr="00AD78C1">
              <w:rPr>
                <w:b/>
                <w:bCs/>
                <w:noProof/>
                <w:sz w:val="24"/>
                <w:szCs w:val="24"/>
              </w:rPr>
              <w:t>coherence</w:t>
            </w:r>
          </w:p>
        </w:tc>
      </w:tr>
      <w:tr w:rsidR="00AD78C1" w:rsidRPr="00D71008" w14:paraId="3D14D6F2" w14:textId="77777777" w:rsidTr="00613C3D">
        <w:trPr>
          <w:trHeight w:val="525"/>
        </w:trPr>
        <w:tc>
          <w:tcPr>
            <w:tcW w:w="2586"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03E8F00" w14:textId="2AC4FBA6" w:rsidR="00AD78C1" w:rsidRPr="00613C3D" w:rsidRDefault="00F80AAD" w:rsidP="00613C3D">
            <w:pPr>
              <w:pStyle w:val="TableParagraph"/>
              <w:spacing w:before="53"/>
              <w:ind w:right="92"/>
              <w:jc w:val="both"/>
              <w:rPr>
                <w:noProof/>
                <w:sz w:val="24"/>
                <w:szCs w:val="24"/>
              </w:rPr>
            </w:pPr>
            <w:r w:rsidRPr="005D2D60">
              <w:rPr>
                <w:noProof/>
                <w:sz w:val="24"/>
                <w:szCs w:val="24"/>
              </w:rPr>
              <w:t>The provisions of the Code of Conduct are consistent with general competition law, EU legislation on consumer protection, or other business-related legislation.</w:t>
            </w:r>
          </w:p>
        </w:tc>
        <w:tc>
          <w:tcPr>
            <w:tcW w:w="2414"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B56C9F" w14:textId="411E2A0A" w:rsidR="00AD78C1" w:rsidRPr="00AD78C1" w:rsidRDefault="00613C3D" w:rsidP="00613C3D">
            <w:pPr>
              <w:pStyle w:val="TableParagraph"/>
              <w:spacing w:before="53"/>
              <w:ind w:right="92"/>
              <w:jc w:val="both"/>
              <w:rPr>
                <w:b/>
                <w:bCs/>
                <w:noProof/>
                <w:sz w:val="24"/>
                <w:szCs w:val="24"/>
              </w:rPr>
            </w:pPr>
            <w:r w:rsidRPr="005D2D60">
              <w:rPr>
                <w:noProof/>
                <w:sz w:val="24"/>
                <w:szCs w:val="24"/>
              </w:rPr>
              <w:t>The impact assessment concludes that the proposed rules would ensure ongoing consistency with EU legislation, including general competition law and the new and upcoming rules for the digital economy.</w:t>
            </w:r>
            <w:r w:rsidRPr="005D2D60">
              <w:rPr>
                <w:b/>
                <w:noProof/>
                <w:sz w:val="24"/>
                <w:szCs w:val="24"/>
              </w:rPr>
              <w:t xml:space="preserve"> </w:t>
            </w:r>
            <w:r w:rsidRPr="005D2D60">
              <w:rPr>
                <w:noProof/>
                <w:sz w:val="24"/>
                <w:szCs w:val="24"/>
              </w:rPr>
              <w:t>Moreover, the new rules strengthen consumer protection (e.g., by clearly defining rules on the search criteria to be applied in search tools by MDMS) by extending neutral display requirements for CRS and travel agents to all B2B and B2C MDMS.</w:t>
            </w:r>
          </w:p>
        </w:tc>
      </w:tr>
      <w:tr w:rsidR="00182DA6" w:rsidRPr="00D71008" w14:paraId="7534E705" w14:textId="77777777" w:rsidTr="00182DA6">
        <w:trPr>
          <w:trHeight w:val="525"/>
        </w:trPr>
        <w:tc>
          <w:tcPr>
            <w:tcW w:w="5000" w:type="pct"/>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5CD0491" w14:textId="3057009E" w:rsidR="00182DA6" w:rsidRPr="005D2D60" w:rsidRDefault="00436C54" w:rsidP="00436C54">
            <w:pPr>
              <w:pStyle w:val="TableParagraph"/>
              <w:spacing w:before="53"/>
              <w:ind w:right="92"/>
              <w:jc w:val="center"/>
              <w:rPr>
                <w:b/>
                <w:noProof/>
                <w:sz w:val="24"/>
                <w:szCs w:val="24"/>
              </w:rPr>
            </w:pPr>
            <w:r w:rsidRPr="005D2D60">
              <w:rPr>
                <w:b/>
                <w:noProof/>
                <w:sz w:val="24"/>
                <w:szCs w:val="24"/>
              </w:rPr>
              <w:t>Conclusions on EU added value</w:t>
            </w:r>
          </w:p>
        </w:tc>
      </w:tr>
      <w:tr w:rsidR="00436C54" w:rsidRPr="00D71008" w14:paraId="71118D1B" w14:textId="77777777" w:rsidTr="0018091A">
        <w:trPr>
          <w:trHeight w:val="525"/>
        </w:trPr>
        <w:tc>
          <w:tcPr>
            <w:tcW w:w="2586" w:type="pc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3BBED4B" w14:textId="6BA0FC8F" w:rsidR="00436C54" w:rsidRPr="005D2D60" w:rsidRDefault="00306DB1" w:rsidP="00A31B78">
            <w:pPr>
              <w:pStyle w:val="TableParagraph"/>
              <w:spacing w:before="53"/>
              <w:ind w:right="92"/>
              <w:jc w:val="both"/>
              <w:rPr>
                <w:noProof/>
                <w:sz w:val="24"/>
                <w:szCs w:val="24"/>
              </w:rPr>
            </w:pPr>
            <w:r w:rsidRPr="005D2D60">
              <w:rPr>
                <w:noProof/>
                <w:sz w:val="24"/>
                <w:szCs w:val="24"/>
              </w:rPr>
              <w:t>Given the international character both of CRS services and of the airline business, regulating the sector at the national level would increase costs and could trigger competitive distortions between Member States. Therefore, the EU intervention has an added value compared to intervention on a national level.</w:t>
            </w:r>
          </w:p>
        </w:tc>
        <w:tc>
          <w:tcPr>
            <w:tcW w:w="2414"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BECA8B8" w14:textId="48680271" w:rsidR="00436C54" w:rsidRPr="005D2D60" w:rsidRDefault="00A31B78" w:rsidP="00A31B78">
            <w:pPr>
              <w:pStyle w:val="TableParagraph"/>
              <w:spacing w:before="53"/>
              <w:ind w:right="92"/>
              <w:jc w:val="both"/>
              <w:rPr>
                <w:noProof/>
                <w:sz w:val="24"/>
                <w:szCs w:val="24"/>
              </w:rPr>
            </w:pPr>
            <w:r w:rsidRPr="005D2D60">
              <w:rPr>
                <w:noProof/>
                <w:sz w:val="24"/>
                <w:szCs w:val="24"/>
              </w:rPr>
              <w:t>The EU intervention has still an added value as the nature of the sectors covered is international.</w:t>
            </w:r>
          </w:p>
        </w:tc>
      </w:tr>
    </w:tbl>
    <w:p w14:paraId="1267076C" w14:textId="76D1D993" w:rsidR="00712390" w:rsidRPr="00D71008" w:rsidRDefault="00613C3D">
      <w:pPr>
        <w:rPr>
          <w:noProof/>
        </w:rPr>
        <w:sectPr w:rsidR="00712390" w:rsidRPr="00D71008" w:rsidSect="00F075EB">
          <w:headerReference w:type="default" r:id="rId73"/>
          <w:footerReference w:type="default" r:id="rId74"/>
          <w:type w:val="nextColumn"/>
          <w:pgSz w:w="11910" w:h="16840"/>
          <w:pgMar w:top="709" w:right="1021" w:bottom="1588" w:left="1021" w:header="0" w:footer="1783" w:gutter="0"/>
          <w:cols w:space="720"/>
          <w:docGrid w:linePitch="326"/>
        </w:sectPr>
      </w:pPr>
      <w:r>
        <w:rPr>
          <w:noProof/>
        </w:rPr>
        <w:br w:type="textWrapping" w:clear="all"/>
      </w:r>
    </w:p>
    <w:p w14:paraId="57D8B9E6" w14:textId="77777777" w:rsidR="00B058C6" w:rsidRPr="00B768F7" w:rsidRDefault="00B058C6" w:rsidP="00B058C6">
      <w:pPr>
        <w:pStyle w:val="Heading1"/>
        <w:spacing w:before="0" w:after="240"/>
        <w:ind w:right="244"/>
        <w:jc w:val="center"/>
        <w:rPr>
          <w:b w:val="0"/>
          <w:smallCaps/>
          <w:noProof/>
        </w:rPr>
      </w:pPr>
      <w:bookmarkStart w:id="2116" w:name="_Toc222313540"/>
      <w:bookmarkStart w:id="2117" w:name="_Toc223981693"/>
      <w:r w:rsidRPr="00B21EEA">
        <w:rPr>
          <w:smallCaps/>
          <w:noProof/>
        </w:rPr>
        <w:t>Annex 11: Decisions and rulings concerning anti-competitive practices on rail ticket distribution</w:t>
      </w:r>
      <w:bookmarkEnd w:id="2116"/>
      <w:bookmarkEnd w:id="2117"/>
    </w:p>
    <w:p w14:paraId="306089D7" w14:textId="77777777" w:rsidR="00B058C6" w:rsidRPr="00CF645A" w:rsidRDefault="00B058C6" w:rsidP="00B058C6">
      <w:pPr>
        <w:pStyle w:val="BodyText"/>
        <w:ind w:right="344"/>
        <w:rPr>
          <w:i/>
          <w:iCs/>
          <w:noProof/>
        </w:rPr>
      </w:pPr>
    </w:p>
    <w:p w14:paraId="0294DC6B" w14:textId="77777777" w:rsidR="00B058C6" w:rsidRPr="008821DD" w:rsidRDefault="00B058C6" w:rsidP="00B058C6">
      <w:pPr>
        <w:pStyle w:val="BodyText"/>
        <w:spacing w:after="240"/>
        <w:ind w:left="0"/>
        <w:rPr>
          <w:noProof/>
          <w:spacing w:val="-8"/>
        </w:rPr>
      </w:pPr>
      <w:r w:rsidRPr="008821DD">
        <w:rPr>
          <w:noProof/>
          <w:spacing w:val="-8"/>
        </w:rPr>
        <w:t xml:space="preserve">Over the past 20 years, the European Commission, national courts and competition authorities have investigated </w:t>
      </w:r>
      <w:r w:rsidRPr="005D2D60">
        <w:rPr>
          <w:noProof/>
          <w:spacing w:val="-8"/>
        </w:rPr>
        <w:t xml:space="preserve">and have issued judgments or decisions on </w:t>
      </w:r>
      <w:r w:rsidRPr="008821DD">
        <w:rPr>
          <w:noProof/>
          <w:spacing w:val="-8"/>
        </w:rPr>
        <w:t xml:space="preserve">abusive practices in the rail ticket distribution market in France, Germany, Italy, Spain and Sweden, providing sound evidence of existing market failure. </w:t>
      </w:r>
    </w:p>
    <w:p w14:paraId="23D8AA26" w14:textId="77777777" w:rsidR="00B058C6" w:rsidRPr="008821DD" w:rsidRDefault="00B058C6" w:rsidP="00B058C6">
      <w:pPr>
        <w:pStyle w:val="BodyText"/>
        <w:spacing w:after="240"/>
        <w:ind w:left="0"/>
        <w:rPr>
          <w:noProof/>
          <w:spacing w:val="-8"/>
        </w:rPr>
      </w:pPr>
      <w:r w:rsidRPr="008821DD">
        <w:rPr>
          <w:noProof/>
          <w:spacing w:val="-8"/>
        </w:rPr>
        <w:t xml:space="preserve">Specifically, these cases illustrate the limited willingness of indispensable RUs to (i) provide their full offer on fair terms to third party platforms and (ii) their competitors’ offer on fair terms on their platform (problem driver </w:t>
      </w:r>
      <w:r>
        <w:rPr>
          <w:noProof/>
          <w:spacing w:val="-8"/>
        </w:rPr>
        <w:t>4</w:t>
      </w:r>
      <w:r w:rsidRPr="008821DD">
        <w:rPr>
          <w:noProof/>
          <w:spacing w:val="-8"/>
        </w:rPr>
        <w:t xml:space="preserve">). </w:t>
      </w:r>
    </w:p>
    <w:p w14:paraId="4A042CE7" w14:textId="77777777" w:rsidR="00B058C6" w:rsidRPr="008821DD" w:rsidRDefault="00B058C6" w:rsidP="00B058C6">
      <w:pPr>
        <w:pStyle w:val="BodyText"/>
        <w:spacing w:after="240"/>
        <w:ind w:left="0"/>
        <w:rPr>
          <w:b/>
          <w:i/>
          <w:noProof/>
          <w:spacing w:val="-8"/>
        </w:rPr>
      </w:pPr>
      <w:r w:rsidRPr="008821DD">
        <w:rPr>
          <w:b/>
          <w:i/>
          <w:noProof/>
          <w:spacing w:val="-8"/>
        </w:rPr>
        <w:t>Limited willingness of indispensable RUs to provide their full offer on fair terms to third party platforms</w:t>
      </w:r>
    </w:p>
    <w:p w14:paraId="1D3B7422" w14:textId="77777777" w:rsidR="00B058C6" w:rsidRPr="008821DD" w:rsidRDefault="00B058C6" w:rsidP="00B058C6">
      <w:pPr>
        <w:pStyle w:val="BodyText"/>
        <w:spacing w:after="240"/>
        <w:ind w:left="0"/>
        <w:rPr>
          <w:noProof/>
          <w:spacing w:val="-8"/>
        </w:rPr>
      </w:pPr>
      <w:r w:rsidRPr="008821DD">
        <w:rPr>
          <w:noProof/>
          <w:spacing w:val="-8"/>
        </w:rPr>
        <w:t>In the 2009 competition case against the French rail incumbent SNCF</w:t>
      </w:r>
      <w:r w:rsidRPr="008821DD">
        <w:rPr>
          <w:noProof/>
          <w:spacing w:val="-8"/>
          <w:vertAlign w:val="superscript"/>
        </w:rPr>
        <w:footnoteReference w:id="380"/>
      </w:r>
      <w:r w:rsidRPr="008821DD">
        <w:rPr>
          <w:noProof/>
          <w:spacing w:val="-8"/>
        </w:rPr>
        <w:t xml:space="preserve">, the French competition authority found that the national railway company had engaged in anti-competitive behaviour by privileging its own online ticketing platform, </w:t>
      </w:r>
      <w:r w:rsidRPr="008821DD">
        <w:rPr>
          <w:i/>
          <w:noProof/>
          <w:spacing w:val="-8"/>
        </w:rPr>
        <w:t>Voyages-sncf.com</w:t>
      </w:r>
      <w:r w:rsidRPr="008821DD">
        <w:rPr>
          <w:noProof/>
          <w:spacing w:val="-8"/>
        </w:rPr>
        <w:t>, and a joint venture subsidiary created with Expedia, over independent ticket platforms. Indeed, SNCF had provided preferential access to its ticket inventory and pricing information to their platforms, thereby ensuring they had a competitive advantage over other online distributors. For example, SNCF did not provide other ticketing platforms with the technical capability to market promotional offers (e.g. last-minute offers) or use the “print ticket” function, and online resellers were forced to purchase an expensive computer licence from SNCF to access its booking system.</w:t>
      </w:r>
      <w:r>
        <w:rPr>
          <w:noProof/>
          <w:spacing w:val="-8"/>
        </w:rPr>
        <w:t xml:space="preserve"> </w:t>
      </w:r>
      <w:r w:rsidRPr="008821DD">
        <w:rPr>
          <w:noProof/>
          <w:spacing w:val="-8"/>
        </w:rPr>
        <w:t>This strategy was found to effectively stifle competition and limit consumer choice in the French rail ticket distribution market. Following this investigation, SNCF committed to providing access to promotional offers and all its features to online platforms, to significantly lowering the price of the computer licence and enable alternatives to accessing SNCF’s computerised services.</w:t>
      </w:r>
    </w:p>
    <w:p w14:paraId="0CE30A81" w14:textId="77777777" w:rsidR="00B058C6" w:rsidRPr="008821DD" w:rsidRDefault="00B058C6" w:rsidP="00B058C6">
      <w:pPr>
        <w:pStyle w:val="BodyText"/>
        <w:spacing w:after="240"/>
        <w:ind w:left="0"/>
        <w:rPr>
          <w:noProof/>
          <w:spacing w:val="-8"/>
        </w:rPr>
      </w:pPr>
      <w:r w:rsidRPr="008821DD">
        <w:rPr>
          <w:noProof/>
          <w:spacing w:val="-8"/>
        </w:rPr>
        <w:t>Again in 2014, the French competition authority investigated SNCF for engaging in anti-competitive behaviour related to its online ticketing services</w:t>
      </w:r>
      <w:r w:rsidRPr="008821DD">
        <w:rPr>
          <w:noProof/>
          <w:spacing w:val="-8"/>
          <w:vertAlign w:val="superscript"/>
        </w:rPr>
        <w:footnoteReference w:id="381"/>
      </w:r>
      <w:r w:rsidRPr="008821DD">
        <w:rPr>
          <w:noProof/>
          <w:spacing w:val="-8"/>
        </w:rPr>
        <w:t>. The inquiry revealed that SNCF had abused its dominant position in the railway transport market to the detriment of competing services</w:t>
      </w:r>
      <w:r w:rsidRPr="005D2D60">
        <w:rPr>
          <w:noProof/>
          <w:spacing w:val="-8"/>
          <w:lang w:eastAsia="en-IE"/>
        </w:rPr>
        <w:t xml:space="preserve"> </w:t>
      </w:r>
      <w:r w:rsidRPr="005D2D60">
        <w:rPr>
          <w:noProof/>
          <w:spacing w:val="-8"/>
        </w:rPr>
        <w:t>in the ticketing distribution market.</w:t>
      </w:r>
      <w:r w:rsidRPr="008821DD">
        <w:rPr>
          <w:noProof/>
          <w:spacing w:val="-8"/>
        </w:rPr>
        <w:t xml:space="preserve">. SNCF was found to have engaged in practices favouring the company's platform, by (i) offering exclusive deals and discounts not accessible to rival ticket distribution platforms, (ii) letting the distribution platform </w:t>
      </w:r>
      <w:r w:rsidRPr="008821DD">
        <w:rPr>
          <w:i/>
          <w:noProof/>
          <w:spacing w:val="-8"/>
        </w:rPr>
        <w:t>Voyages-sncf.com</w:t>
      </w:r>
      <w:r w:rsidRPr="008821DD">
        <w:rPr>
          <w:noProof/>
          <w:spacing w:val="-8"/>
        </w:rPr>
        <w:t xml:space="preserve"> potential</w:t>
      </w:r>
      <w:r>
        <w:rPr>
          <w:noProof/>
          <w:spacing w:val="-8"/>
        </w:rPr>
        <w:t>ly</w:t>
      </w:r>
      <w:r w:rsidRPr="008821DD">
        <w:rPr>
          <w:noProof/>
          <w:spacing w:val="-8"/>
        </w:rPr>
        <w:t xml:space="preserve"> access the commercial strategy of other travel agencies given the lack of clear separation with the SNCF subsidiary responsible for collecting access requests to SNCF reservation management system (Résarail) and (iii) the redirection from the sncf.com website to the distribution platform </w:t>
      </w:r>
      <w:r w:rsidRPr="008821DD">
        <w:rPr>
          <w:i/>
          <w:noProof/>
          <w:spacing w:val="-8"/>
        </w:rPr>
        <w:t>Voyages-sncf.com</w:t>
      </w:r>
      <w:r w:rsidRPr="008821DD">
        <w:rPr>
          <w:noProof/>
          <w:spacing w:val="-8"/>
        </w:rPr>
        <w:t xml:space="preserve"> for train schedules and booking SNCF tickets. These actions limited the ability of other distributors to compete effectively. SNCF subsequently committed to apply the same commission conditions to all travel agencies, guarantee the confidentiality of requests by competing travel agencies to </w:t>
      </w:r>
      <w:r w:rsidRPr="008821DD">
        <w:rPr>
          <w:i/>
          <w:noProof/>
          <w:spacing w:val="-8"/>
        </w:rPr>
        <w:t>Voyages-sncf.com</w:t>
      </w:r>
      <w:r w:rsidRPr="008821DD">
        <w:rPr>
          <w:noProof/>
          <w:spacing w:val="-8"/>
        </w:rPr>
        <w:t xml:space="preserve"> and give access to timetables directly on its sncf.com internet site.</w:t>
      </w:r>
    </w:p>
    <w:p w14:paraId="7D16BBA5" w14:textId="77777777" w:rsidR="00B058C6" w:rsidRPr="008821DD" w:rsidRDefault="00B058C6" w:rsidP="00B058C6">
      <w:pPr>
        <w:pStyle w:val="BodyText"/>
        <w:spacing w:after="240"/>
        <w:ind w:left="0"/>
        <w:rPr>
          <w:noProof/>
          <w:spacing w:val="-8"/>
        </w:rPr>
      </w:pPr>
      <w:r w:rsidRPr="008821DD">
        <w:rPr>
          <w:noProof/>
          <w:spacing w:val="-8"/>
        </w:rPr>
        <w:t>Similarly in Germany, in 2023 the Bundeskartellamt ruled that Deutsche Bahn (DB), the German state-owned rail</w:t>
      </w:r>
      <w:r w:rsidRPr="008821DD" w:rsidDel="0049048E">
        <w:rPr>
          <w:noProof/>
          <w:spacing w:val="-8"/>
        </w:rPr>
        <w:t xml:space="preserve"> </w:t>
      </w:r>
      <w:r w:rsidRPr="008821DD">
        <w:rPr>
          <w:noProof/>
          <w:spacing w:val="-8"/>
        </w:rPr>
        <w:t>incumbent, was in violation of competition law due to abusing its market power in relation to mobility platforms</w:t>
      </w:r>
      <w:r w:rsidRPr="008821DD">
        <w:rPr>
          <w:noProof/>
          <w:spacing w:val="-8"/>
          <w:vertAlign w:val="superscript"/>
        </w:rPr>
        <w:footnoteReference w:id="382"/>
      </w:r>
      <w:r w:rsidRPr="008821DD">
        <w:rPr>
          <w:noProof/>
          <w:spacing w:val="-8"/>
        </w:rPr>
        <w:t>. According to the findings, DB used unfair commercial practices and contractual clauses to strengthen its already dominant position. These include the lack of fair provision of real-time data of DB passenger services to third-part</w:t>
      </w:r>
      <w:r>
        <w:rPr>
          <w:noProof/>
          <w:spacing w:val="-8"/>
        </w:rPr>
        <w:t>y</w:t>
      </w:r>
      <w:r w:rsidRPr="008821DD">
        <w:rPr>
          <w:noProof/>
          <w:spacing w:val="-8"/>
        </w:rPr>
        <w:t xml:space="preserve"> platforms and the inclusion of restrictive advertising clauses in commercial agreements with distributors.</w:t>
      </w:r>
      <w:r w:rsidRPr="008821DD" w:rsidDel="176D26AA">
        <w:rPr>
          <w:noProof/>
          <w:spacing w:val="-8"/>
        </w:rPr>
        <w:t xml:space="preserve"> </w:t>
      </w:r>
      <w:r w:rsidRPr="008821DD">
        <w:rPr>
          <w:noProof/>
          <w:spacing w:val="-8"/>
        </w:rPr>
        <w:t>In August 2024, after the Düsseldorf Higher Regional Court decided to reject an application for urgent legal protection by Deutsche Bahn AG (DB) against the decision of the Bundeskartellamt, the Bunde</w:t>
      </w:r>
      <w:r>
        <w:rPr>
          <w:noProof/>
          <w:spacing w:val="-8"/>
        </w:rPr>
        <w:t>s</w:t>
      </w:r>
      <w:r w:rsidRPr="008821DD">
        <w:rPr>
          <w:noProof/>
          <w:spacing w:val="-8"/>
        </w:rPr>
        <w:t>kartellamt recognised that DB has been making changes and enabled platforms to receive real-time data on delays and cancellations and up-to-date information on departure platforms and major disruptions. Further, DB is no longer including restrictive advertising clauses in contracts and, apart from justified exceptions, allowing mobility platforms to grant discounts on tickets. Furthermore, it was noted that DB was paying platforms an intermediary commission</w:t>
      </w:r>
      <w:r w:rsidRPr="008821DD">
        <w:rPr>
          <w:noProof/>
          <w:spacing w:val="-8"/>
          <w:vertAlign w:val="superscript"/>
        </w:rPr>
        <w:footnoteReference w:id="383"/>
      </w:r>
      <w:r w:rsidRPr="008821DD">
        <w:rPr>
          <w:noProof/>
          <w:spacing w:val="-8"/>
        </w:rPr>
        <w:t>. D.d. March 2026, an appeal against the Bundeskartellamt’s decision is still ongoing</w:t>
      </w:r>
      <w:r w:rsidRPr="008821DD">
        <w:rPr>
          <w:noProof/>
          <w:spacing w:val="-8"/>
          <w:vertAlign w:val="superscript"/>
        </w:rPr>
        <w:footnoteReference w:id="384"/>
      </w:r>
      <w:r w:rsidRPr="008821DD">
        <w:rPr>
          <w:noProof/>
          <w:spacing w:val="-8"/>
        </w:rPr>
        <w:t>.</w:t>
      </w:r>
    </w:p>
    <w:p w14:paraId="6C299F67" w14:textId="77777777" w:rsidR="00B058C6" w:rsidRPr="008821DD" w:rsidRDefault="00B058C6" w:rsidP="00B058C6">
      <w:pPr>
        <w:pStyle w:val="BodyText"/>
        <w:spacing w:after="240"/>
        <w:ind w:left="0"/>
        <w:rPr>
          <w:noProof/>
          <w:spacing w:val="-8"/>
        </w:rPr>
      </w:pPr>
      <w:r w:rsidRPr="008821DD">
        <w:rPr>
          <w:noProof/>
          <w:spacing w:val="-8"/>
        </w:rPr>
        <w:t>In Spain, the European Commission opened a formal investigation on 28 April 2023 assessing whether Renfe abused its dominant position in the Spanish passenger rail transport market by refusing to supply all its content and real-time data to third-party ticketing platforms. The Commission preliminarily found that Renfe’s refusal to provide its full content and real-time data have prevented competition and may breach EU competition rules prohibiting the abuse of a dominant position (Article 102 of the TFEU). Renfe consequently committed on 17 January 2024 to make available all current and future content and real-time data to third-party ticketing platforms (with a non-circumvention clause), provide parity to third-party platforms in relation to maximum monthly average Look-to-Book ratios</w:t>
      </w:r>
      <w:r w:rsidRPr="008821DD">
        <w:rPr>
          <w:noProof/>
          <w:spacing w:val="-8"/>
          <w:vertAlign w:val="superscript"/>
        </w:rPr>
        <w:footnoteReference w:id="385"/>
      </w:r>
      <w:r w:rsidRPr="008821DD">
        <w:rPr>
          <w:noProof/>
          <w:spacing w:val="-8"/>
        </w:rPr>
        <w:t xml:space="preserve"> and not exceed a maximum error rate</w:t>
      </w:r>
      <w:r w:rsidRPr="008821DD">
        <w:rPr>
          <w:noProof/>
          <w:spacing w:val="-8"/>
          <w:vertAlign w:val="superscript"/>
        </w:rPr>
        <w:footnoteReference w:id="386"/>
      </w:r>
      <w:r w:rsidRPr="008821DD">
        <w:rPr>
          <w:noProof/>
          <w:spacing w:val="-8"/>
        </w:rPr>
        <w:t xml:space="preserve"> of 4% as of 2024 and a maximum unavailability rate</w:t>
      </w:r>
      <w:r w:rsidRPr="008821DD">
        <w:rPr>
          <w:noProof/>
          <w:spacing w:val="-8"/>
          <w:vertAlign w:val="superscript"/>
        </w:rPr>
        <w:footnoteReference w:id="387"/>
      </w:r>
      <w:r w:rsidRPr="008821DD">
        <w:rPr>
          <w:noProof/>
          <w:spacing w:val="-8"/>
        </w:rPr>
        <w:t xml:space="preserve"> of 1% as of 2025. The Commission concluded that these commitments would address its preliminary competition concerns over Renfe's alleged abuse of dominant position in the Spanish online passenger rail ticket distribution market. It therefore decided to make them legally binding on Renfe</w:t>
      </w:r>
      <w:r w:rsidRPr="008821DD">
        <w:rPr>
          <w:noProof/>
          <w:spacing w:val="-8"/>
          <w:vertAlign w:val="superscript"/>
        </w:rPr>
        <w:footnoteReference w:id="388"/>
      </w:r>
      <w:r w:rsidRPr="008821DD">
        <w:rPr>
          <w:noProof/>
          <w:spacing w:val="-8"/>
        </w:rPr>
        <w:t>.</w:t>
      </w:r>
    </w:p>
    <w:p w14:paraId="13D51301" w14:textId="77777777" w:rsidR="00B058C6" w:rsidRPr="008821DD" w:rsidRDefault="00B058C6" w:rsidP="00B058C6">
      <w:pPr>
        <w:pStyle w:val="BodyText"/>
        <w:spacing w:after="240"/>
        <w:ind w:left="0"/>
        <w:rPr>
          <w:noProof/>
          <w:spacing w:val="-8"/>
        </w:rPr>
      </w:pPr>
      <w:r w:rsidRPr="008821DD">
        <w:rPr>
          <w:noProof/>
          <w:spacing w:val="-8"/>
        </w:rPr>
        <w:t>On 18 April 2023, the Italian competition authority (Autorità Garante della Concorrenza e del Mercato) issued a decision accepting commitments from Trenitalia (a subsidiary of Ferrovie dello Stato Italiane (FS), the Italian state-owned rail passenger incumbent operator)</w:t>
      </w:r>
      <w:r w:rsidRPr="008821DD">
        <w:rPr>
          <w:noProof/>
          <w:spacing w:val="-8"/>
          <w:vertAlign w:val="superscript"/>
        </w:rPr>
        <w:footnoteReference w:id="389"/>
      </w:r>
      <w:r w:rsidRPr="008821DD">
        <w:rPr>
          <w:noProof/>
          <w:spacing w:val="-8"/>
        </w:rPr>
        <w:t>. This followed the initiation of an investigation regarding a potential abuse of Trenitalia’s dominant position within the rail passenger market, by refusing its competitor Nuovo Trasporto Viaggiatori (NTV) to sell Trenitalia regional and intercity PSO services tickets in combination with NTV’s own tickets. These commitments would allow for their competitor, NTV, to sell Trenitalia regional and intercity service tickets, and regional connections offered by Trenitalia TPER and Trenord, in combination with its own tickets.</w:t>
      </w:r>
    </w:p>
    <w:p w14:paraId="7046C615" w14:textId="77777777" w:rsidR="00B058C6" w:rsidRPr="008821DD" w:rsidRDefault="00B058C6" w:rsidP="00B058C6">
      <w:pPr>
        <w:pStyle w:val="BodyText"/>
        <w:spacing w:after="240"/>
        <w:ind w:left="0"/>
        <w:rPr>
          <w:noProof/>
          <w:spacing w:val="-8"/>
        </w:rPr>
      </w:pPr>
      <w:r w:rsidRPr="008821DD">
        <w:rPr>
          <w:b/>
          <w:i/>
          <w:noProof/>
          <w:spacing w:val="-8"/>
        </w:rPr>
        <w:t>Limited willingness of indispensable RUs to provide their competitors’ offer on their platform</w:t>
      </w:r>
      <w:r w:rsidRPr="008821DD">
        <w:rPr>
          <w:noProof/>
          <w:spacing w:val="-8"/>
        </w:rPr>
        <w:t xml:space="preserve"> </w:t>
      </w:r>
    </w:p>
    <w:p w14:paraId="662A00B9" w14:textId="77777777" w:rsidR="00B058C6" w:rsidRPr="008821DD" w:rsidRDefault="00B058C6" w:rsidP="00B058C6">
      <w:pPr>
        <w:pStyle w:val="BodyText"/>
        <w:spacing w:after="240"/>
        <w:ind w:left="0"/>
        <w:rPr>
          <w:noProof/>
          <w:spacing w:val="-8"/>
        </w:rPr>
      </w:pPr>
      <w:r w:rsidRPr="008821DD">
        <w:rPr>
          <w:noProof/>
          <w:spacing w:val="-8"/>
        </w:rPr>
        <w:t>In 2019, the Swedish competition authority (Konkurrensverket) issued a decision and wrote a letter to the Swedish Ministry of Infrastructure in relation to the dominance in ticketing of Statens Järnvägar (SJ), the Swedish state-owned passenger incumbent RU</w:t>
      </w:r>
      <w:r w:rsidRPr="008821DD">
        <w:rPr>
          <w:noProof/>
          <w:spacing w:val="-8"/>
          <w:vertAlign w:val="superscript"/>
        </w:rPr>
        <w:footnoteReference w:id="390"/>
      </w:r>
      <w:r w:rsidRPr="008821DD">
        <w:rPr>
          <w:noProof/>
          <w:spacing w:val="-8"/>
        </w:rPr>
        <w:t xml:space="preserve">. SJ was investigated by the Swedish Competition Authority (SCA) over allegations of abusing its market position, specifically by refusing to sell competitors’ tickets on its platform. </w:t>
      </w:r>
      <w:r w:rsidRPr="005D2D60">
        <w:rPr>
          <w:noProof/>
          <w:spacing w:val="-8"/>
        </w:rPr>
        <w:t xml:space="preserve">In the investigation, the SCA noted that SJ’s strategy was not business neutral. </w:t>
      </w:r>
      <w:r w:rsidRPr="008821DD">
        <w:rPr>
          <w:noProof/>
          <w:spacing w:val="-8"/>
        </w:rPr>
        <w:t xml:space="preserve">The authority therefore suggested creating a neutral booking platform (which already exists in Sweden: </w:t>
      </w:r>
      <w:hyperlink r:id="rId75" w:history="1">
        <w:r w:rsidRPr="6D012DDA">
          <w:rPr>
            <w:rStyle w:val="Hyperlink"/>
            <w:noProof/>
            <w:spacing w:val="-8"/>
          </w:rPr>
          <w:t>https://resrobot.se/</w:t>
        </w:r>
      </w:hyperlink>
      <w:r w:rsidRPr="008821DD">
        <w:rPr>
          <w:noProof/>
          <w:spacing w:val="-8"/>
        </w:rPr>
        <w:t xml:space="preserve"> but that sells a very small number of tickets) or to mandate that all transport operators must sell other operators’ tickets. The letter recommended that the government initiate a review and consider regulating the selling of tickets for rail passenger services.</w:t>
      </w:r>
    </w:p>
    <w:p w14:paraId="746AA507" w14:textId="77777777" w:rsidR="00B058C6" w:rsidRPr="008821DD" w:rsidRDefault="00B058C6" w:rsidP="00B058C6">
      <w:pPr>
        <w:pStyle w:val="BodyText"/>
        <w:spacing w:after="240"/>
        <w:ind w:left="0"/>
        <w:rPr>
          <w:noProof/>
          <w:spacing w:val="-8"/>
        </w:rPr>
      </w:pPr>
      <w:bookmarkStart w:id="2118" w:name="_Ref223293612"/>
      <w:r w:rsidRPr="008821DD">
        <w:rPr>
          <w:noProof/>
          <w:spacing w:val="-8"/>
        </w:rPr>
        <w:t>The Frankfurt am Main Higher Regional Court (Oberlandesgericht Frankfurt am Main) published a judgment on 2 October 2023</w:t>
      </w:r>
      <w:r w:rsidRPr="008821DD">
        <w:rPr>
          <w:noProof/>
          <w:spacing w:val="-8"/>
          <w:vertAlign w:val="superscript"/>
        </w:rPr>
        <w:footnoteReference w:id="391"/>
      </w:r>
      <w:r w:rsidRPr="008821DD">
        <w:rPr>
          <w:noProof/>
          <w:spacing w:val="-8"/>
        </w:rPr>
        <w:t xml:space="preserve"> prohibiting DB’s ticketing platform DB Navigator to offer a “show fastest connection” search filter. This filter was found to mislead consumers by not displaying all possible connections that were fast. The filter, preset by default, prioritised DB's own services even if alternative options existed that were faster but had different departure or arrival times. This algorithm thus deprived competitors of the opportunity to compete fairly and influenced consumer choices towards DB products. The court deemed this practice to be a form of anti-competitive behaviour, as it manipulated search results in DB’s favour.</w:t>
      </w:r>
      <w:bookmarkEnd w:id="2118"/>
    </w:p>
    <w:p w14:paraId="3A49E5FE" w14:textId="77777777" w:rsidR="00B058C6" w:rsidRDefault="00B058C6" w:rsidP="00B058C6">
      <w:pPr>
        <w:pStyle w:val="BodyText"/>
        <w:ind w:left="0"/>
        <w:rPr>
          <w:noProof/>
        </w:rPr>
      </w:pPr>
    </w:p>
    <w:p w14:paraId="40092334" w14:textId="77777777" w:rsidR="00B058C6" w:rsidRDefault="00B058C6" w:rsidP="00B058C6">
      <w:pPr>
        <w:pStyle w:val="BodyText"/>
        <w:ind w:left="0"/>
        <w:rPr>
          <w:noProof/>
        </w:rPr>
      </w:pPr>
    </w:p>
    <w:p w14:paraId="39986B3E" w14:textId="77777777" w:rsidR="00B058C6" w:rsidRDefault="00B058C6" w:rsidP="00B058C6">
      <w:pPr>
        <w:pStyle w:val="BodyText"/>
        <w:ind w:left="0"/>
        <w:rPr>
          <w:noProof/>
        </w:rPr>
        <w:sectPr w:rsidR="00B058C6" w:rsidSect="00B058C6">
          <w:headerReference w:type="default" r:id="rId76"/>
          <w:footerReference w:type="default" r:id="rId77"/>
          <w:type w:val="nextColumn"/>
          <w:pgSz w:w="11910" w:h="16840"/>
          <w:pgMar w:top="1021" w:right="709" w:bottom="1021" w:left="1588" w:header="0" w:footer="1783" w:gutter="0"/>
          <w:cols w:space="720"/>
        </w:sectPr>
      </w:pPr>
    </w:p>
    <w:p w14:paraId="2756EBD6" w14:textId="77777777" w:rsidR="00B058C6" w:rsidRPr="00D71008" w:rsidRDefault="00B058C6" w:rsidP="00B058C6">
      <w:pPr>
        <w:pStyle w:val="Heading1"/>
        <w:spacing w:before="0" w:after="240"/>
        <w:jc w:val="center"/>
        <w:rPr>
          <w:smallCaps/>
          <w:noProof/>
        </w:rPr>
      </w:pPr>
      <w:bookmarkStart w:id="2119" w:name="_Toc223981694"/>
      <w:r w:rsidRPr="00D71008">
        <w:rPr>
          <w:smallCaps/>
          <w:noProof/>
        </w:rPr>
        <w:t>Annex</w:t>
      </w:r>
      <w:r w:rsidRPr="00D71008">
        <w:rPr>
          <w:smallCaps/>
          <w:noProof/>
          <w:spacing w:val="-4"/>
        </w:rPr>
        <w:t xml:space="preserve"> </w:t>
      </w:r>
      <w:r>
        <w:rPr>
          <w:smallCaps/>
          <w:noProof/>
        </w:rPr>
        <w:t>12</w:t>
      </w:r>
      <w:r w:rsidRPr="00D71008">
        <w:rPr>
          <w:smallCaps/>
          <w:noProof/>
        </w:rPr>
        <w:t>:</w:t>
      </w:r>
      <w:r w:rsidRPr="00D71008">
        <w:rPr>
          <w:smallCaps/>
          <w:noProof/>
          <w:spacing w:val="-15"/>
        </w:rPr>
        <w:t xml:space="preserve"> </w:t>
      </w:r>
      <w:r w:rsidRPr="002802A5">
        <w:rPr>
          <w:smallCaps/>
          <w:noProof/>
        </w:rPr>
        <w:t>M</w:t>
      </w:r>
      <w:r>
        <w:rPr>
          <w:smallCaps/>
          <w:noProof/>
        </w:rPr>
        <w:t>onitoring and evaluation</w:t>
      </w:r>
      <w:bookmarkEnd w:id="2119"/>
    </w:p>
    <w:p w14:paraId="4CA24111" w14:textId="77777777" w:rsidR="00B058C6" w:rsidRPr="00D71008" w:rsidRDefault="00B058C6" w:rsidP="00B058C6">
      <w:pPr>
        <w:rPr>
          <w:noProof/>
        </w:rPr>
      </w:pPr>
    </w:p>
    <w:p w14:paraId="07A6F83B" w14:textId="77777777" w:rsidR="00B058C6" w:rsidRPr="00E30E43" w:rsidRDefault="00B058C6" w:rsidP="00B058C6">
      <w:pPr>
        <w:spacing w:after="240"/>
        <w:jc w:val="both"/>
        <w:rPr>
          <w:noProof/>
          <w:spacing w:val="-8"/>
        </w:rPr>
      </w:pPr>
      <w:r w:rsidRPr="00E30E43">
        <w:rPr>
          <w:noProof/>
          <w:spacing w:val="-8"/>
        </w:rPr>
        <w:t xml:space="preserve">The Commission services will monitor the implementation of this initiative through a number of actions and a set of core indicators that will measure progress towards achieving the objectives. In addition, the National Enforcement Bodies will play a key role in monitoring implementation. </w:t>
      </w:r>
    </w:p>
    <w:p w14:paraId="2B8D94C0" w14:textId="1C946669" w:rsidR="00B058C6" w:rsidRPr="00E30E43" w:rsidRDefault="00B058C6" w:rsidP="00B058C6">
      <w:pPr>
        <w:spacing w:after="240"/>
        <w:jc w:val="both"/>
        <w:rPr>
          <w:noProof/>
          <w:spacing w:val="-8"/>
        </w:rPr>
      </w:pPr>
      <w:r w:rsidRPr="00E30E43">
        <w:rPr>
          <w:noProof/>
          <w:spacing w:val="-8"/>
        </w:rPr>
        <w:t>At least five years after the start of implementation of the legislation, the Commission services should carry out an evaluation to among others verify to what extent the objectives of the initiative have been reached. The evaluation should be undertaken at a point in time when sufficient data is available on actual implementation, so that ex-post it can be assessed whether the initiatives are efficient (what actual benefits are achieved at what actual cost), effective (whether they meet the objectives), coherent, relevant (whether they respond to the needs) and EU added value. Also, synergies between the</w:t>
      </w:r>
      <w:r w:rsidRPr="00E30E43" w:rsidDel="00CC3F55">
        <w:rPr>
          <w:noProof/>
          <w:spacing w:val="-8"/>
        </w:rPr>
        <w:t xml:space="preserve"> </w:t>
      </w:r>
      <w:r w:rsidR="00CC3F55">
        <w:rPr>
          <w:noProof/>
          <w:spacing w:val="-8"/>
        </w:rPr>
        <w:t>RMB</w:t>
      </w:r>
      <w:r w:rsidRPr="00E30E43">
        <w:rPr>
          <w:noProof/>
          <w:spacing w:val="-8"/>
        </w:rPr>
        <w:t xml:space="preserve"> and the </w:t>
      </w:r>
      <w:r w:rsidR="00CC3F55">
        <w:rPr>
          <w:noProof/>
          <w:spacing w:val="-8"/>
        </w:rPr>
        <w:t>R</w:t>
      </w:r>
      <w:r w:rsidRPr="00E30E43">
        <w:rPr>
          <w:noProof/>
          <w:spacing w:val="-8"/>
        </w:rPr>
        <w:t xml:space="preserve">TR will need to be analysed, together with the interplay with the targeted revision on rail passenger rights, since these initiatives are very much interlinked.     </w:t>
      </w:r>
    </w:p>
    <w:p w14:paraId="71904EC2" w14:textId="77777777" w:rsidR="00B058C6" w:rsidRPr="005D2D60" w:rsidRDefault="00B058C6" w:rsidP="00B058C6">
      <w:pPr>
        <w:spacing w:after="240"/>
        <w:jc w:val="both"/>
        <w:rPr>
          <w:noProof/>
          <w:color w:val="000000" w:themeColor="text1"/>
          <w:spacing w:val="-8"/>
        </w:rPr>
      </w:pPr>
      <w:r w:rsidRPr="00E30E43">
        <w:rPr>
          <w:b/>
          <w:noProof/>
          <w:color w:val="000000" w:themeColor="text1"/>
          <w:spacing w:val="-8"/>
        </w:rPr>
        <w:t>As regards Specific Objective 1</w:t>
      </w:r>
      <w:r w:rsidRPr="00E30E43">
        <w:rPr>
          <w:noProof/>
          <w:color w:val="000000" w:themeColor="text1"/>
          <w:spacing w:val="-8"/>
        </w:rPr>
        <w:t xml:space="preserve"> (</w:t>
      </w:r>
      <w:r w:rsidRPr="00E30E43">
        <w:rPr>
          <w:i/>
          <w:iCs/>
          <w:noProof/>
          <w:color w:val="000000" w:themeColor="text1"/>
          <w:spacing w:val="-8"/>
        </w:rPr>
        <w:t xml:space="preserve">Improve </w:t>
      </w:r>
      <w:r w:rsidRPr="00E30E43">
        <w:rPr>
          <w:bCs/>
          <w:i/>
          <w:iCs/>
          <w:noProof/>
          <w:color w:val="000000" w:themeColor="text1"/>
          <w:spacing w:val="-8"/>
        </w:rPr>
        <w:t>transparency and establish</w:t>
      </w:r>
      <w:r w:rsidRPr="00E30E43">
        <w:rPr>
          <w:i/>
          <w:noProof/>
          <w:color w:val="000000" w:themeColor="text1"/>
          <w:spacing w:val="-8"/>
        </w:rPr>
        <w:t xml:space="preserve"> a level playing field for transport operators in terms of access and use of indispensable MDMS</w:t>
      </w:r>
      <w:r w:rsidRPr="00E30E43">
        <w:rPr>
          <w:noProof/>
          <w:color w:val="000000" w:themeColor="text1"/>
          <w:spacing w:val="-8"/>
        </w:rPr>
        <w:t xml:space="preserve">), the main milestones are to (i) </w:t>
      </w:r>
      <w:r w:rsidRPr="005D2D60">
        <w:rPr>
          <w:noProof/>
          <w:color w:val="000000" w:themeColor="text1"/>
          <w:spacing w:val="-8"/>
        </w:rPr>
        <w:t xml:space="preserve">achieve fair and non-discriminatory commercial agreement negotiations, (ii) </w:t>
      </w:r>
      <w:r>
        <w:rPr>
          <w:noProof/>
          <w:color w:val="000000" w:themeColor="text1"/>
          <w:spacing w:val="-8"/>
        </w:rPr>
        <w:t>e</w:t>
      </w:r>
      <w:r w:rsidRPr="006F6D71">
        <w:rPr>
          <w:noProof/>
          <w:color w:val="000000" w:themeColor="text1"/>
          <w:spacing w:val="-8"/>
        </w:rPr>
        <w:t>nsure unbiased display of travel options for end-users on all MDMS platforms</w:t>
      </w:r>
      <w:r w:rsidRPr="005D2D60">
        <w:rPr>
          <w:noProof/>
          <w:color w:val="000000" w:themeColor="text1"/>
          <w:spacing w:val="-8"/>
        </w:rPr>
        <w:t xml:space="preserve"> and (iii)</w:t>
      </w:r>
      <w:r w:rsidRPr="00E30E43">
        <w:rPr>
          <w:noProof/>
          <w:spacing w:val="-8"/>
        </w:rPr>
        <w:t xml:space="preserve"> </w:t>
      </w:r>
      <w:r>
        <w:rPr>
          <w:noProof/>
          <w:spacing w:val="-8"/>
        </w:rPr>
        <w:t>m</w:t>
      </w:r>
      <w:r w:rsidRPr="006F6D71">
        <w:rPr>
          <w:noProof/>
          <w:spacing w:val="-8"/>
        </w:rPr>
        <w:t>inimise unjustified price divergence for identical offers across</w:t>
      </w:r>
      <w:r>
        <w:rPr>
          <w:noProof/>
          <w:spacing w:val="-8"/>
        </w:rPr>
        <w:t xml:space="preserve"> platforms</w:t>
      </w:r>
      <w:r w:rsidRPr="005D2D60">
        <w:rPr>
          <w:noProof/>
          <w:color w:val="000000" w:themeColor="text1"/>
          <w:spacing w:val="-8"/>
        </w:rPr>
        <w:t>.</w:t>
      </w:r>
      <w:r w:rsidRPr="00E30E43">
        <w:rPr>
          <w:noProof/>
          <w:color w:val="000000" w:themeColor="text1"/>
          <w:spacing w:val="-8"/>
        </w:rPr>
        <w:t xml:space="preserve"> </w:t>
      </w:r>
      <w:r w:rsidRPr="00C307DF">
        <w:rPr>
          <w:noProof/>
          <w:color w:val="000000" w:themeColor="text1"/>
          <w:spacing w:val="-8"/>
        </w:rPr>
        <w:t>Progress towards this objective</w:t>
      </w:r>
      <w:r w:rsidRPr="00E30E43">
        <w:rPr>
          <w:noProof/>
          <w:color w:val="000000" w:themeColor="text1"/>
          <w:spacing w:val="-8"/>
        </w:rPr>
        <w:t xml:space="preserve"> will be monitored </w:t>
      </w:r>
      <w:r w:rsidRPr="00C307DF">
        <w:rPr>
          <w:noProof/>
          <w:color w:val="000000" w:themeColor="text1"/>
          <w:spacing w:val="-8"/>
        </w:rPr>
        <w:t>using</w:t>
      </w:r>
      <w:r w:rsidRPr="00E30E43">
        <w:rPr>
          <w:noProof/>
          <w:color w:val="000000" w:themeColor="text1"/>
          <w:spacing w:val="-8"/>
        </w:rPr>
        <w:t xml:space="preserve"> </w:t>
      </w:r>
      <w:r>
        <w:rPr>
          <w:noProof/>
          <w:color w:val="000000" w:themeColor="text1"/>
          <w:spacing w:val="-8"/>
        </w:rPr>
        <w:t>four</w:t>
      </w:r>
      <w:r w:rsidRPr="00E30E43">
        <w:rPr>
          <w:noProof/>
          <w:color w:val="000000" w:themeColor="text1"/>
          <w:spacing w:val="-8"/>
        </w:rPr>
        <w:t xml:space="preserve"> key indicators</w:t>
      </w:r>
      <w:r w:rsidRPr="00C307DF">
        <w:rPr>
          <w:noProof/>
          <w:color w:val="000000" w:themeColor="text1"/>
          <w:spacing w:val="-8"/>
        </w:rPr>
        <w:t>:</w:t>
      </w:r>
      <w:r w:rsidRPr="00E30E43">
        <w:rPr>
          <w:noProof/>
          <w:color w:val="000000" w:themeColor="text1"/>
          <w:spacing w:val="-8"/>
        </w:rPr>
        <w:t xml:space="preserve"> </w:t>
      </w:r>
      <w:r>
        <w:rPr>
          <w:noProof/>
          <w:color w:val="000000" w:themeColor="text1"/>
          <w:spacing w:val="-8"/>
        </w:rPr>
        <w:t>(i)</w:t>
      </w:r>
      <w:r w:rsidRPr="00E30E43">
        <w:rPr>
          <w:noProof/>
          <w:color w:val="000000" w:themeColor="text1"/>
          <w:spacing w:val="-8"/>
        </w:rPr>
        <w:t xml:space="preserve"> the number of transport operators distributing transport products on indispensable MDMS platforms</w:t>
      </w:r>
      <w:r>
        <w:rPr>
          <w:noProof/>
          <w:color w:val="000000" w:themeColor="text1"/>
          <w:spacing w:val="-8"/>
        </w:rPr>
        <w:t>, (ii)</w:t>
      </w:r>
      <w:r w:rsidRPr="00E30E43">
        <w:rPr>
          <w:noProof/>
          <w:color w:val="000000" w:themeColor="text1"/>
          <w:spacing w:val="-8"/>
        </w:rPr>
        <w:t xml:space="preserve"> the number of agreements between MDMS platforms and transport operators</w:t>
      </w:r>
      <w:r>
        <w:rPr>
          <w:noProof/>
          <w:color w:val="000000" w:themeColor="text1"/>
          <w:spacing w:val="-8"/>
        </w:rPr>
        <w:t>, (iii) the number of sanctions imposed and (iv) i</w:t>
      </w:r>
      <w:r w:rsidRPr="009C6758">
        <w:rPr>
          <w:noProof/>
          <w:color w:val="000000" w:themeColor="text1"/>
          <w:spacing w:val="-8"/>
        </w:rPr>
        <w:t>ncreased consumer satisfactions scores on travel information availability and book-ability</w:t>
      </w:r>
      <w:r w:rsidRPr="00E30E43">
        <w:rPr>
          <w:noProof/>
          <w:color w:val="000000" w:themeColor="text1"/>
          <w:spacing w:val="-8"/>
        </w:rPr>
        <w:t xml:space="preserve">. </w:t>
      </w:r>
      <w:r w:rsidRPr="000404B0">
        <w:rPr>
          <w:noProof/>
          <w:color w:val="000000" w:themeColor="text1"/>
          <w:spacing w:val="-8"/>
        </w:rPr>
        <w:t xml:space="preserve">Data for the </w:t>
      </w:r>
      <w:r>
        <w:rPr>
          <w:noProof/>
          <w:color w:val="000000" w:themeColor="text1"/>
          <w:spacing w:val="-8"/>
        </w:rPr>
        <w:t xml:space="preserve">first three indicators will </w:t>
      </w:r>
      <w:r w:rsidRPr="000404B0">
        <w:rPr>
          <w:noProof/>
          <w:color w:val="000000" w:themeColor="text1"/>
          <w:spacing w:val="-8"/>
        </w:rPr>
        <w:t xml:space="preserve">primarily </w:t>
      </w:r>
      <w:r>
        <w:rPr>
          <w:noProof/>
          <w:color w:val="000000" w:themeColor="text1"/>
          <w:spacing w:val="-8"/>
        </w:rPr>
        <w:t xml:space="preserve">be </w:t>
      </w:r>
      <w:r w:rsidRPr="000404B0">
        <w:rPr>
          <w:noProof/>
          <w:color w:val="000000" w:themeColor="text1"/>
          <w:spacing w:val="-8"/>
        </w:rPr>
        <w:t xml:space="preserve">collected through </w:t>
      </w:r>
      <w:r>
        <w:rPr>
          <w:noProof/>
          <w:color w:val="000000" w:themeColor="text1"/>
          <w:spacing w:val="-8"/>
        </w:rPr>
        <w:t xml:space="preserve">market monitoring </w:t>
      </w:r>
      <w:r w:rsidRPr="000404B0">
        <w:rPr>
          <w:noProof/>
          <w:color w:val="000000" w:themeColor="text1"/>
          <w:spacing w:val="-8"/>
        </w:rPr>
        <w:t>carried out by</w:t>
      </w:r>
      <w:r>
        <w:rPr>
          <w:noProof/>
          <w:color w:val="000000" w:themeColor="text1"/>
          <w:spacing w:val="-8"/>
        </w:rPr>
        <w:t xml:space="preserve"> national enforcement authorities and the Commission</w:t>
      </w:r>
      <w:r w:rsidRPr="000404B0">
        <w:rPr>
          <w:noProof/>
          <w:color w:val="000000" w:themeColor="text1"/>
          <w:spacing w:val="-8"/>
        </w:rPr>
        <w:t xml:space="preserve"> </w:t>
      </w:r>
      <w:r>
        <w:rPr>
          <w:noProof/>
          <w:color w:val="000000" w:themeColor="text1"/>
          <w:spacing w:val="-8"/>
        </w:rPr>
        <w:t xml:space="preserve">(PM6). National enforcement authorities </w:t>
      </w:r>
      <w:r w:rsidRPr="000404B0">
        <w:rPr>
          <w:noProof/>
          <w:color w:val="000000" w:themeColor="text1"/>
          <w:spacing w:val="-8"/>
        </w:rPr>
        <w:t>can obtain relevant</w:t>
      </w:r>
      <w:r>
        <w:rPr>
          <w:noProof/>
          <w:color w:val="000000" w:themeColor="text1"/>
          <w:spacing w:val="-8"/>
        </w:rPr>
        <w:t xml:space="preserve"> market data from operators</w:t>
      </w:r>
      <w:r w:rsidRPr="000404B0">
        <w:rPr>
          <w:noProof/>
          <w:color w:val="000000" w:themeColor="text1"/>
          <w:spacing w:val="-8"/>
        </w:rPr>
        <w:t>, including through</w:t>
      </w:r>
      <w:r>
        <w:rPr>
          <w:noProof/>
          <w:color w:val="000000" w:themeColor="text1"/>
          <w:spacing w:val="-8"/>
        </w:rPr>
        <w:t xml:space="preserve"> MIDT data. </w:t>
      </w:r>
      <w:r w:rsidRPr="000404B0">
        <w:rPr>
          <w:noProof/>
          <w:color w:val="000000" w:themeColor="text1"/>
          <w:spacing w:val="-8"/>
        </w:rPr>
        <w:t>Information on</w:t>
      </w:r>
      <w:r>
        <w:rPr>
          <w:noProof/>
          <w:color w:val="000000" w:themeColor="text1"/>
          <w:spacing w:val="-8"/>
        </w:rPr>
        <w:t xml:space="preserve"> sanctions </w:t>
      </w:r>
      <w:r w:rsidRPr="000404B0">
        <w:rPr>
          <w:noProof/>
          <w:color w:val="000000" w:themeColor="text1"/>
          <w:spacing w:val="-8"/>
        </w:rPr>
        <w:t xml:space="preserve">will be </w:t>
      </w:r>
      <w:r>
        <w:rPr>
          <w:noProof/>
          <w:color w:val="000000" w:themeColor="text1"/>
          <w:spacing w:val="-8"/>
        </w:rPr>
        <w:t xml:space="preserve">shared </w:t>
      </w:r>
      <w:r w:rsidRPr="000404B0">
        <w:rPr>
          <w:noProof/>
          <w:color w:val="000000" w:themeColor="text1"/>
          <w:spacing w:val="-8"/>
        </w:rPr>
        <w:t>among</w:t>
      </w:r>
      <w:r>
        <w:rPr>
          <w:noProof/>
          <w:color w:val="000000" w:themeColor="text1"/>
          <w:spacing w:val="-8"/>
        </w:rPr>
        <w:t xml:space="preserve"> authorities </w:t>
      </w:r>
      <w:r w:rsidRPr="000404B0">
        <w:rPr>
          <w:noProof/>
          <w:color w:val="000000" w:themeColor="text1"/>
          <w:spacing w:val="-8"/>
        </w:rPr>
        <w:t>within</w:t>
      </w:r>
      <w:r>
        <w:rPr>
          <w:noProof/>
          <w:color w:val="000000" w:themeColor="text1"/>
          <w:spacing w:val="-8"/>
        </w:rPr>
        <w:t xml:space="preserve"> the </w:t>
      </w:r>
      <w:r w:rsidRPr="00553ABA">
        <w:rPr>
          <w:noProof/>
          <w:color w:val="000000" w:themeColor="text1"/>
          <w:spacing w:val="-8"/>
        </w:rPr>
        <w:t xml:space="preserve">EU enforcement network </w:t>
      </w:r>
      <w:r w:rsidRPr="000404B0">
        <w:rPr>
          <w:noProof/>
          <w:color w:val="000000" w:themeColor="text1"/>
          <w:spacing w:val="-8"/>
        </w:rPr>
        <w:t xml:space="preserve">to support </w:t>
      </w:r>
      <w:r w:rsidRPr="00553ABA">
        <w:rPr>
          <w:noProof/>
          <w:color w:val="000000" w:themeColor="text1"/>
          <w:spacing w:val="-8"/>
        </w:rPr>
        <w:t>coordination</w:t>
      </w:r>
      <w:r w:rsidRPr="000404B0">
        <w:rPr>
          <w:noProof/>
          <w:color w:val="000000" w:themeColor="text1"/>
          <w:spacing w:val="-8"/>
        </w:rPr>
        <w:t>. Consumer satisfaction</w:t>
      </w:r>
      <w:r>
        <w:rPr>
          <w:noProof/>
          <w:color w:val="000000" w:themeColor="text1"/>
          <w:spacing w:val="-8"/>
        </w:rPr>
        <w:t xml:space="preserve"> will be </w:t>
      </w:r>
      <w:r w:rsidRPr="000404B0">
        <w:rPr>
          <w:noProof/>
          <w:color w:val="000000" w:themeColor="text1"/>
          <w:spacing w:val="-8"/>
        </w:rPr>
        <w:t>measured through</w:t>
      </w:r>
      <w:r>
        <w:rPr>
          <w:noProof/>
          <w:color w:val="000000" w:themeColor="text1"/>
          <w:spacing w:val="-8"/>
        </w:rPr>
        <w:t xml:space="preserve"> Eurobarometer surveys</w:t>
      </w:r>
      <w:r w:rsidRPr="000404B0">
        <w:rPr>
          <w:noProof/>
          <w:color w:val="000000" w:themeColor="text1"/>
          <w:spacing w:val="-8"/>
        </w:rPr>
        <w:t xml:space="preserve"> conducted by regulators.</w:t>
      </w:r>
    </w:p>
    <w:p w14:paraId="482A4D7B" w14:textId="77777777" w:rsidR="00B058C6" w:rsidRPr="001A359B" w:rsidRDefault="00B058C6" w:rsidP="00B058C6">
      <w:pPr>
        <w:spacing w:after="240"/>
        <w:jc w:val="both"/>
        <w:rPr>
          <w:noProof/>
        </w:rPr>
      </w:pPr>
      <w:r w:rsidRPr="00E30E43">
        <w:rPr>
          <w:b/>
          <w:noProof/>
          <w:spacing w:val="-8"/>
        </w:rPr>
        <w:t>Concerning Specific Objective 2</w:t>
      </w:r>
      <w:r w:rsidRPr="00E30E43">
        <w:rPr>
          <w:noProof/>
          <w:spacing w:val="-8"/>
        </w:rPr>
        <w:t xml:space="preserve"> (</w:t>
      </w:r>
      <w:r w:rsidRPr="00E30E43">
        <w:rPr>
          <w:i/>
          <w:noProof/>
          <w:spacing w:val="-8"/>
        </w:rPr>
        <w:t>Improve completeness of rail offer on MDMS platforms, including indispensable RU platforms</w:t>
      </w:r>
      <w:r w:rsidRPr="00E30E43">
        <w:rPr>
          <w:noProof/>
          <w:spacing w:val="-8"/>
        </w:rPr>
        <w:t xml:space="preserve">), </w:t>
      </w:r>
      <w:r>
        <w:rPr>
          <w:noProof/>
          <w:spacing w:val="-8"/>
        </w:rPr>
        <w:t>p</w:t>
      </w:r>
      <w:r w:rsidRPr="001F3CDB">
        <w:rPr>
          <w:noProof/>
          <w:spacing w:val="-8"/>
        </w:rPr>
        <w:t>rogress</w:t>
      </w:r>
      <w:r w:rsidRPr="00E30E43">
        <w:rPr>
          <w:noProof/>
          <w:spacing w:val="-8"/>
        </w:rPr>
        <w:t xml:space="preserve"> towards </w:t>
      </w:r>
      <w:r w:rsidRPr="001F3CDB">
        <w:rPr>
          <w:noProof/>
          <w:spacing w:val="-8"/>
        </w:rPr>
        <w:t>this</w:t>
      </w:r>
      <w:r w:rsidRPr="00E30E43">
        <w:rPr>
          <w:noProof/>
          <w:spacing w:val="-8"/>
        </w:rPr>
        <w:t xml:space="preserve"> objective</w:t>
      </w:r>
      <w:r>
        <w:rPr>
          <w:noProof/>
          <w:spacing w:val="-8"/>
        </w:rPr>
        <w:t xml:space="preserve"> and </w:t>
      </w:r>
      <w:r w:rsidRPr="001F3CDB">
        <w:rPr>
          <w:noProof/>
          <w:spacing w:val="-8"/>
        </w:rPr>
        <w:t xml:space="preserve">the related </w:t>
      </w:r>
      <w:r>
        <w:rPr>
          <w:noProof/>
          <w:spacing w:val="-8"/>
        </w:rPr>
        <w:t xml:space="preserve">operational </w:t>
      </w:r>
      <w:r w:rsidRPr="001F3CDB">
        <w:rPr>
          <w:noProof/>
          <w:spacing w:val="-8"/>
        </w:rPr>
        <w:t>objectives</w:t>
      </w:r>
      <w:r>
        <w:rPr>
          <w:noProof/>
          <w:spacing w:val="-8"/>
        </w:rPr>
        <w:t xml:space="preserve"> </w:t>
      </w:r>
      <w:r w:rsidRPr="00E30E43">
        <w:rPr>
          <w:noProof/>
          <w:spacing w:val="-8"/>
        </w:rPr>
        <w:t xml:space="preserve">will be </w:t>
      </w:r>
      <w:r w:rsidRPr="001F3CDB">
        <w:rPr>
          <w:noProof/>
          <w:spacing w:val="-8"/>
        </w:rPr>
        <w:t>monitored through two main indicators:</w:t>
      </w:r>
      <w:r w:rsidRPr="005D2D60">
        <w:rPr>
          <w:noProof/>
          <w:spacing w:val="-8"/>
        </w:rPr>
        <w:t xml:space="preserve"> (i) the n</w:t>
      </w:r>
      <w:r w:rsidRPr="00E30E43">
        <w:rPr>
          <w:noProof/>
          <w:spacing w:val="-8"/>
        </w:rPr>
        <w:t>umber of indispensable RUs present on third-party platforms</w:t>
      </w:r>
      <w:r>
        <w:rPr>
          <w:noProof/>
          <w:spacing w:val="-8"/>
        </w:rPr>
        <w:t xml:space="preserve"> and (ii) the number of </w:t>
      </w:r>
      <w:r w:rsidRPr="002E68F9">
        <w:rPr>
          <w:noProof/>
        </w:rPr>
        <w:t>cross-border rail services for which tickets are available on third-party platforms</w:t>
      </w:r>
      <w:r>
        <w:rPr>
          <w:noProof/>
        </w:rPr>
        <w:t>.</w:t>
      </w:r>
      <w:r w:rsidRPr="000C673C">
        <w:rPr>
          <w:noProof/>
          <w:lang w:eastAsia="en-GB"/>
        </w:rPr>
        <w:t xml:space="preserve"> </w:t>
      </w:r>
      <w:r w:rsidRPr="000C673C">
        <w:rPr>
          <w:noProof/>
        </w:rPr>
        <w:t>The data needed to monitor these indicators can rely on existing regulatory requirements. In particular,</w:t>
      </w:r>
      <w:r>
        <w:rPr>
          <w:noProof/>
        </w:rPr>
        <w:t xml:space="preserve"> TAP TSI</w:t>
      </w:r>
      <w:r>
        <w:rPr>
          <w:rStyle w:val="FootnoteReference"/>
          <w:noProof/>
        </w:rPr>
        <w:footnoteReference w:id="392"/>
      </w:r>
      <w:r w:rsidRPr="000C673C">
        <w:rPr>
          <w:noProof/>
        </w:rPr>
        <w:t xml:space="preserve"> already requires that certain business-to-business data be made accessible to competent authorities.</w:t>
      </w:r>
      <w:r w:rsidRPr="005D2D60">
        <w:rPr>
          <w:noProof/>
        </w:rPr>
        <w:t xml:space="preserve"> In practice, this means that national enforcement bodies can request access to relevant ticketing data from distributors. This may include access to comprehensive ticketing datasets where necessary. The monitoring will therefore build on the market monitoring activities carried out by national authorities (PM6).</w:t>
      </w:r>
    </w:p>
    <w:p w14:paraId="19EB3BD5" w14:textId="77777777" w:rsidR="00B058C6" w:rsidRPr="00552320" w:rsidRDefault="00B058C6" w:rsidP="00B058C6">
      <w:pPr>
        <w:spacing w:after="240"/>
        <w:jc w:val="both"/>
        <w:rPr>
          <w:noProof/>
          <w:spacing w:val="-8"/>
        </w:rPr>
      </w:pPr>
      <w:r w:rsidRPr="00E30E43">
        <w:rPr>
          <w:noProof/>
          <w:spacing w:val="-8"/>
        </w:rPr>
        <w:t xml:space="preserve">The links between specific objectives, operational objectives, indicators and data sources is presented in the table below. </w:t>
      </w:r>
    </w:p>
    <w:p w14:paraId="70630D2D" w14:textId="2E1C486D" w:rsidR="00B058C6" w:rsidRPr="00B86E15" w:rsidRDefault="00B058C6" w:rsidP="00B058C6">
      <w:pPr>
        <w:keepNext/>
        <w:tabs>
          <w:tab w:val="left" w:pos="1134"/>
        </w:tabs>
        <w:jc w:val="both"/>
        <w:rPr>
          <w:i/>
          <w:noProof/>
          <w:sz w:val="22"/>
          <w:szCs w:val="22"/>
        </w:rPr>
      </w:pPr>
      <w:r w:rsidRPr="00383DBF">
        <w:rPr>
          <w:i/>
          <w:noProof/>
          <w:sz w:val="22"/>
          <w:szCs w:val="22"/>
        </w:rPr>
        <w:t xml:space="preserve">Table </w:t>
      </w:r>
      <w:r w:rsidRPr="00383DBF">
        <w:rPr>
          <w:i/>
          <w:noProof/>
          <w:sz w:val="22"/>
          <w:szCs w:val="22"/>
        </w:rPr>
        <w:fldChar w:fldCharType="begin"/>
      </w:r>
      <w:r w:rsidRPr="00383DBF">
        <w:rPr>
          <w:i/>
          <w:noProof/>
          <w:sz w:val="22"/>
          <w:szCs w:val="22"/>
        </w:rPr>
        <w:instrText xml:space="preserve"> SEQ Table \* ARABIC </w:instrText>
      </w:r>
      <w:r w:rsidRPr="00383DBF">
        <w:rPr>
          <w:i/>
          <w:noProof/>
          <w:sz w:val="22"/>
          <w:szCs w:val="22"/>
        </w:rPr>
        <w:fldChar w:fldCharType="separate"/>
      </w:r>
      <w:r w:rsidR="0055391F">
        <w:rPr>
          <w:i/>
          <w:noProof/>
          <w:sz w:val="22"/>
          <w:szCs w:val="22"/>
        </w:rPr>
        <w:t>137</w:t>
      </w:r>
      <w:r w:rsidRPr="00383DBF">
        <w:rPr>
          <w:i/>
          <w:noProof/>
          <w:sz w:val="22"/>
          <w:szCs w:val="22"/>
        </w:rPr>
        <w:fldChar w:fldCharType="end"/>
      </w:r>
      <w:r w:rsidRPr="00383DBF">
        <w:rPr>
          <w:i/>
          <w:noProof/>
          <w:sz w:val="22"/>
          <w:szCs w:val="22"/>
        </w:rPr>
        <w:t xml:space="preserve">: </w:t>
      </w:r>
      <w:r w:rsidRPr="00B86E15">
        <w:rPr>
          <w:i/>
          <w:noProof/>
          <w:sz w:val="22"/>
          <w:szCs w:val="22"/>
        </w:rPr>
        <w:t>Link between specific objectives, operational objectives, indicators for monitoring and related data source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3119"/>
        <w:gridCol w:w="2410"/>
        <w:gridCol w:w="1669"/>
      </w:tblGrid>
      <w:tr w:rsidR="00B058C6" w:rsidRPr="000D54CD" w14:paraId="24CA92DF" w14:textId="77777777">
        <w:trPr>
          <w:cantSplit/>
          <w:trHeight w:val="255"/>
          <w:tblHeader/>
        </w:trPr>
        <w:tc>
          <w:tcPr>
            <w:tcW w:w="1252" w:type="pct"/>
            <w:shd w:val="clear" w:color="auto" w:fill="0070C0"/>
            <w:noWrap/>
            <w:hideMark/>
          </w:tcPr>
          <w:p w14:paraId="22FD7D65" w14:textId="77777777" w:rsidR="00B058C6" w:rsidRPr="00F47E7B" w:rsidRDefault="00B058C6">
            <w:pPr>
              <w:pStyle w:val="Text4"/>
              <w:spacing w:before="0" w:after="0"/>
              <w:ind w:left="0"/>
              <w:jc w:val="center"/>
              <w:rPr>
                <w:rFonts w:ascii="Times New Roman" w:eastAsia="Calibri" w:hAnsi="Times New Roman"/>
                <w:b/>
                <w:noProof/>
              </w:rPr>
            </w:pPr>
            <w:r w:rsidRPr="00F47E7B">
              <w:rPr>
                <w:rFonts w:ascii="Times New Roman" w:eastAsia="Calibri" w:hAnsi="Times New Roman"/>
                <w:b/>
                <w:noProof/>
                <w:color w:val="FFFFFF" w:themeColor="background1"/>
              </w:rPr>
              <w:t>Specific objective</w:t>
            </w:r>
          </w:p>
        </w:tc>
        <w:tc>
          <w:tcPr>
            <w:tcW w:w="1624" w:type="pct"/>
            <w:shd w:val="clear" w:color="auto" w:fill="0070C0"/>
            <w:noWrap/>
            <w:hideMark/>
          </w:tcPr>
          <w:p w14:paraId="71C063E1" w14:textId="77777777" w:rsidR="00B058C6" w:rsidRPr="00B15F2F" w:rsidRDefault="00B058C6">
            <w:pPr>
              <w:pStyle w:val="Text4"/>
              <w:spacing w:before="0" w:after="0"/>
              <w:ind w:left="0"/>
              <w:jc w:val="center"/>
              <w:rPr>
                <w:rFonts w:ascii="Times New Roman" w:eastAsia="Calibri" w:hAnsi="Times New Roman"/>
                <w:b/>
                <w:noProof/>
                <w:color w:val="FFFFFF" w:themeColor="background1"/>
              </w:rPr>
            </w:pPr>
            <w:r w:rsidRPr="00B15F2F">
              <w:rPr>
                <w:rFonts w:ascii="Times New Roman" w:eastAsia="Calibri" w:hAnsi="Times New Roman"/>
                <w:b/>
                <w:noProof/>
                <w:color w:val="FFFFFF" w:themeColor="background1"/>
              </w:rPr>
              <w:t>Operational objectives</w:t>
            </w:r>
          </w:p>
        </w:tc>
        <w:tc>
          <w:tcPr>
            <w:tcW w:w="1255" w:type="pct"/>
            <w:shd w:val="clear" w:color="auto" w:fill="0070C0"/>
            <w:noWrap/>
            <w:hideMark/>
          </w:tcPr>
          <w:p w14:paraId="7CC4A6EB" w14:textId="77777777" w:rsidR="00B058C6" w:rsidRPr="00B15F2F" w:rsidRDefault="00B058C6">
            <w:pPr>
              <w:pStyle w:val="Text4"/>
              <w:spacing w:before="0" w:after="0"/>
              <w:ind w:left="0"/>
              <w:jc w:val="center"/>
              <w:rPr>
                <w:rFonts w:ascii="Times New Roman" w:eastAsia="Calibri" w:hAnsi="Times New Roman"/>
                <w:b/>
                <w:noProof/>
                <w:color w:val="FFFFFF" w:themeColor="background1"/>
              </w:rPr>
            </w:pPr>
            <w:r w:rsidRPr="00B15F2F">
              <w:rPr>
                <w:rFonts w:ascii="Times New Roman" w:eastAsia="Calibri" w:hAnsi="Times New Roman"/>
                <w:b/>
                <w:noProof/>
                <w:color w:val="FFFFFF" w:themeColor="background1"/>
              </w:rPr>
              <w:t>Indicators</w:t>
            </w:r>
          </w:p>
        </w:tc>
        <w:tc>
          <w:tcPr>
            <w:tcW w:w="869" w:type="pct"/>
            <w:shd w:val="clear" w:color="auto" w:fill="0070C0"/>
            <w:noWrap/>
            <w:hideMark/>
          </w:tcPr>
          <w:p w14:paraId="1F449310" w14:textId="77777777" w:rsidR="00B058C6" w:rsidRPr="00B15F2F" w:rsidRDefault="00B058C6">
            <w:pPr>
              <w:pStyle w:val="Text4"/>
              <w:spacing w:before="0" w:after="0"/>
              <w:ind w:left="0"/>
              <w:jc w:val="center"/>
              <w:rPr>
                <w:rFonts w:ascii="Times New Roman" w:eastAsia="Calibri" w:hAnsi="Times New Roman"/>
                <w:b/>
                <w:noProof/>
                <w:color w:val="FFFFFF" w:themeColor="background1"/>
              </w:rPr>
            </w:pPr>
            <w:r w:rsidRPr="00B15F2F">
              <w:rPr>
                <w:rFonts w:ascii="Times New Roman" w:eastAsia="Calibri" w:hAnsi="Times New Roman"/>
                <w:b/>
                <w:noProof/>
                <w:color w:val="FFFFFF" w:themeColor="background1"/>
              </w:rPr>
              <w:t>Data sources</w:t>
            </w:r>
          </w:p>
        </w:tc>
      </w:tr>
      <w:tr w:rsidR="00B058C6" w:rsidRPr="000D54CD" w14:paraId="6AC3DCE2" w14:textId="77777777">
        <w:trPr>
          <w:cantSplit/>
          <w:trHeight w:val="255"/>
          <w:tblHeader/>
        </w:trPr>
        <w:tc>
          <w:tcPr>
            <w:tcW w:w="1252" w:type="pct"/>
            <w:noWrap/>
            <w:hideMark/>
          </w:tcPr>
          <w:p w14:paraId="0A71487C" w14:textId="77777777" w:rsidR="00B058C6" w:rsidRPr="008119C0" w:rsidRDefault="00B058C6">
            <w:pPr>
              <w:pStyle w:val="Text4"/>
              <w:spacing w:before="0" w:after="0"/>
              <w:ind w:left="0"/>
              <w:rPr>
                <w:rFonts w:ascii="Times New Roman" w:eastAsia="Calibri" w:hAnsi="Times New Roman"/>
                <w:b/>
                <w:noProof/>
              </w:rPr>
            </w:pPr>
            <w:r>
              <w:rPr>
                <w:rFonts w:ascii="Times New Roman" w:eastAsia="Calibri" w:hAnsi="Times New Roman"/>
                <w:b/>
                <w:noProof/>
              </w:rPr>
              <w:t>Improve transparency and establish a level playing field for transport operators in terms of access and use of indispensable MDMS</w:t>
            </w:r>
          </w:p>
        </w:tc>
        <w:tc>
          <w:tcPr>
            <w:tcW w:w="1624" w:type="pct"/>
            <w:noWrap/>
            <w:hideMark/>
          </w:tcPr>
          <w:p w14:paraId="36F67DDC" w14:textId="77777777" w:rsidR="00B058C6" w:rsidRPr="00AD0DA5" w:rsidRDefault="00B058C6" w:rsidP="001979E4">
            <w:pPr>
              <w:pStyle w:val="ListParagraph"/>
              <w:numPr>
                <w:ilvl w:val="0"/>
                <w:numId w:val="33"/>
              </w:numPr>
              <w:spacing w:before="60"/>
              <w:rPr>
                <w:rFonts w:eastAsia="Calibri"/>
                <w:noProof/>
              </w:rPr>
            </w:pPr>
            <w:r w:rsidRPr="00C31D1C">
              <w:rPr>
                <w:rFonts w:eastAsiaTheme="minorEastAsia"/>
                <w:noProof/>
                <w:sz w:val="20"/>
                <w:szCs w:val="20"/>
              </w:rPr>
              <w:t>Achieve fair and non-discriminatory commercial agreement negotiations (limited abuse of negotiating power - reduce discriminatory contractual clauses or exclusivity arrangements)</w:t>
            </w:r>
          </w:p>
          <w:p w14:paraId="29473F55" w14:textId="77777777" w:rsidR="00B058C6" w:rsidRDefault="00B058C6" w:rsidP="001979E4">
            <w:pPr>
              <w:pStyle w:val="Text4"/>
              <w:numPr>
                <w:ilvl w:val="0"/>
                <w:numId w:val="33"/>
              </w:numPr>
              <w:spacing w:before="0" w:after="0"/>
              <w:rPr>
                <w:rFonts w:ascii="Times New Roman" w:hAnsi="Times New Roman"/>
                <w:noProof/>
              </w:rPr>
            </w:pPr>
            <w:r>
              <w:rPr>
                <w:rFonts w:ascii="Times New Roman" w:hAnsi="Times New Roman"/>
                <w:noProof/>
              </w:rPr>
              <w:t xml:space="preserve">Ensure unbiased display of travel options for end-users on all MDMS platforms and </w:t>
            </w:r>
            <w:r w:rsidRPr="00A96B93">
              <w:rPr>
                <w:rFonts w:ascii="Times New Roman" w:hAnsi="Times New Roman"/>
                <w:noProof/>
              </w:rPr>
              <w:t>clear identification of paid prominence or sponsored listings</w:t>
            </w:r>
          </w:p>
          <w:p w14:paraId="2D5574A0" w14:textId="77777777" w:rsidR="00B058C6" w:rsidRPr="00C31D1C" w:rsidRDefault="00B058C6" w:rsidP="001979E4">
            <w:pPr>
              <w:pStyle w:val="ListParagraph"/>
              <w:numPr>
                <w:ilvl w:val="0"/>
                <w:numId w:val="33"/>
              </w:numPr>
              <w:spacing w:before="60"/>
              <w:rPr>
                <w:rFonts w:eastAsiaTheme="minorEastAsia"/>
                <w:noProof/>
                <w:sz w:val="20"/>
                <w:szCs w:val="20"/>
              </w:rPr>
            </w:pPr>
            <w:r w:rsidRPr="00C31D1C">
              <w:rPr>
                <w:rFonts w:eastAsiaTheme="minorEastAsia"/>
                <w:noProof/>
                <w:sz w:val="20"/>
                <w:szCs w:val="20"/>
              </w:rPr>
              <w:t>Minimise unjustified price divergence for identical offers across platforms</w:t>
            </w:r>
          </w:p>
          <w:p w14:paraId="4267E24F" w14:textId="77777777" w:rsidR="00B058C6" w:rsidRPr="00D67F01" w:rsidRDefault="00B058C6">
            <w:pPr>
              <w:pStyle w:val="ListParagraph"/>
              <w:spacing w:before="60"/>
              <w:ind w:left="360" w:firstLine="0"/>
              <w:rPr>
                <w:rFonts w:eastAsia="Calibri"/>
                <w:noProof/>
              </w:rPr>
            </w:pPr>
          </w:p>
        </w:tc>
        <w:tc>
          <w:tcPr>
            <w:tcW w:w="1255" w:type="pct"/>
            <w:noWrap/>
            <w:hideMark/>
          </w:tcPr>
          <w:p w14:paraId="2661D5C8" w14:textId="77777777" w:rsidR="00B058C6" w:rsidRPr="00C647FF" w:rsidRDefault="00B058C6" w:rsidP="001979E4">
            <w:pPr>
              <w:pStyle w:val="Text4"/>
              <w:numPr>
                <w:ilvl w:val="0"/>
                <w:numId w:val="33"/>
              </w:numPr>
              <w:spacing w:before="0" w:after="0"/>
              <w:jc w:val="center"/>
              <w:rPr>
                <w:rFonts w:ascii="Times New Roman" w:hAnsi="Times New Roman"/>
                <w:noProof/>
              </w:rPr>
            </w:pPr>
            <w:r w:rsidRPr="005D2D60">
              <w:rPr>
                <w:rFonts w:ascii="Times New Roman" w:hAnsi="Times New Roman"/>
                <w:noProof/>
              </w:rPr>
              <w:t>Number of transport operators distributing transport products on indispensable MDMS platforms</w:t>
            </w:r>
          </w:p>
          <w:p w14:paraId="12530E69" w14:textId="77777777" w:rsidR="00B058C6" w:rsidRPr="00C647FF" w:rsidRDefault="00B058C6">
            <w:pPr>
              <w:pStyle w:val="Text4"/>
              <w:spacing w:before="0" w:after="0"/>
              <w:ind w:left="360"/>
              <w:rPr>
                <w:rFonts w:ascii="Times New Roman" w:hAnsi="Times New Roman"/>
                <w:noProof/>
              </w:rPr>
            </w:pPr>
          </w:p>
          <w:p w14:paraId="175C80D4" w14:textId="77777777" w:rsidR="00B058C6" w:rsidRDefault="00B058C6" w:rsidP="001979E4">
            <w:pPr>
              <w:pStyle w:val="Text4"/>
              <w:numPr>
                <w:ilvl w:val="0"/>
                <w:numId w:val="33"/>
              </w:numPr>
              <w:spacing w:before="0" w:after="0"/>
              <w:jc w:val="center"/>
              <w:rPr>
                <w:rFonts w:ascii="Times New Roman" w:hAnsi="Times New Roman"/>
                <w:noProof/>
              </w:rPr>
            </w:pPr>
            <w:r w:rsidRPr="005D2D60">
              <w:rPr>
                <w:rFonts w:ascii="Times New Roman" w:hAnsi="Times New Roman"/>
                <w:noProof/>
              </w:rPr>
              <w:t>Number of agreements between MDMS platforms and transport operators</w:t>
            </w:r>
          </w:p>
          <w:p w14:paraId="52C6FEB6" w14:textId="77777777" w:rsidR="00B058C6" w:rsidRDefault="00B058C6">
            <w:pPr>
              <w:pStyle w:val="Text4"/>
              <w:spacing w:before="0" w:after="0"/>
              <w:ind w:left="0"/>
              <w:rPr>
                <w:rFonts w:ascii="Times New Roman" w:hAnsi="Times New Roman"/>
                <w:noProof/>
              </w:rPr>
            </w:pPr>
          </w:p>
          <w:p w14:paraId="372660B6" w14:textId="77777777" w:rsidR="00B058C6" w:rsidRPr="005D2D60" w:rsidRDefault="00B058C6" w:rsidP="001979E4">
            <w:pPr>
              <w:pStyle w:val="Text4"/>
              <w:numPr>
                <w:ilvl w:val="0"/>
                <w:numId w:val="33"/>
              </w:numPr>
              <w:spacing w:before="0" w:after="0"/>
              <w:jc w:val="center"/>
              <w:rPr>
                <w:rFonts w:ascii="Times New Roman" w:hAnsi="Times New Roman"/>
                <w:noProof/>
              </w:rPr>
            </w:pPr>
            <w:r w:rsidRPr="005D2D60">
              <w:rPr>
                <w:rFonts w:ascii="Times New Roman" w:hAnsi="Times New Roman"/>
                <w:noProof/>
              </w:rPr>
              <w:t>Number of sanctions imposed</w:t>
            </w:r>
          </w:p>
          <w:p w14:paraId="565902BA" w14:textId="77777777" w:rsidR="00B058C6" w:rsidRPr="005D2D60" w:rsidRDefault="00B058C6" w:rsidP="001979E4">
            <w:pPr>
              <w:pStyle w:val="Text4"/>
              <w:numPr>
                <w:ilvl w:val="0"/>
                <w:numId w:val="33"/>
              </w:numPr>
              <w:spacing w:before="0" w:after="0"/>
              <w:jc w:val="center"/>
              <w:rPr>
                <w:rFonts w:ascii="Times New Roman" w:eastAsia="Calibri" w:hAnsi="Times New Roman"/>
                <w:noProof/>
              </w:rPr>
            </w:pPr>
            <w:r w:rsidRPr="005D2D60">
              <w:rPr>
                <w:rFonts w:ascii="Times New Roman" w:hAnsi="Times New Roman"/>
                <w:noProof/>
              </w:rPr>
              <w:t>Increased consumer satisfactions scores on travel information availability and bookability</w:t>
            </w:r>
          </w:p>
        </w:tc>
        <w:tc>
          <w:tcPr>
            <w:tcW w:w="869" w:type="pct"/>
            <w:noWrap/>
            <w:hideMark/>
          </w:tcPr>
          <w:p w14:paraId="2FCA86E4" w14:textId="77777777" w:rsidR="00B058C6" w:rsidRDefault="00B058C6">
            <w:pPr>
              <w:pStyle w:val="Text4"/>
              <w:spacing w:before="0" w:after="0"/>
              <w:ind w:left="0"/>
              <w:jc w:val="center"/>
              <w:rPr>
                <w:rFonts w:ascii="Times New Roman" w:eastAsia="Calibri" w:hAnsi="Times New Roman"/>
                <w:noProof/>
              </w:rPr>
            </w:pPr>
            <w:r>
              <w:rPr>
                <w:rFonts w:ascii="Times New Roman" w:eastAsia="Calibri" w:hAnsi="Times New Roman"/>
                <w:noProof/>
              </w:rPr>
              <w:t>National enforcement authorities</w:t>
            </w:r>
          </w:p>
          <w:p w14:paraId="07A5B332" w14:textId="77777777" w:rsidR="00B058C6" w:rsidRDefault="00B058C6">
            <w:pPr>
              <w:pStyle w:val="Text4"/>
              <w:spacing w:before="0" w:after="0"/>
              <w:ind w:left="0"/>
              <w:jc w:val="center"/>
              <w:rPr>
                <w:rFonts w:ascii="Times New Roman" w:eastAsia="Calibri" w:hAnsi="Times New Roman"/>
                <w:noProof/>
              </w:rPr>
            </w:pPr>
          </w:p>
          <w:p w14:paraId="7AD83AE2" w14:textId="77777777" w:rsidR="00B058C6" w:rsidRPr="005D2D60" w:rsidRDefault="00B058C6">
            <w:pPr>
              <w:pStyle w:val="Text4"/>
              <w:spacing w:before="0" w:after="0"/>
              <w:ind w:left="0"/>
              <w:jc w:val="center"/>
              <w:rPr>
                <w:rFonts w:ascii="Times New Roman" w:eastAsia="Calibri" w:hAnsi="Times New Roman"/>
                <w:noProof/>
              </w:rPr>
            </w:pPr>
            <w:r>
              <w:rPr>
                <w:rFonts w:ascii="Times New Roman" w:eastAsia="Calibri" w:hAnsi="Times New Roman"/>
                <w:noProof/>
              </w:rPr>
              <w:t>European Commission (via the EU enforcement network)</w:t>
            </w:r>
          </w:p>
          <w:p w14:paraId="5457F95F" w14:textId="77777777" w:rsidR="00B058C6" w:rsidRPr="005D2D60" w:rsidRDefault="00B058C6">
            <w:pPr>
              <w:pStyle w:val="Text4"/>
              <w:spacing w:before="0" w:after="0"/>
              <w:ind w:left="0"/>
              <w:jc w:val="center"/>
              <w:rPr>
                <w:rFonts w:ascii="Times New Roman" w:eastAsia="Calibri" w:hAnsi="Times New Roman"/>
                <w:noProof/>
              </w:rPr>
            </w:pPr>
          </w:p>
          <w:p w14:paraId="4E06825C" w14:textId="77777777" w:rsidR="00B058C6" w:rsidRPr="000D54CD" w:rsidRDefault="00B058C6">
            <w:pPr>
              <w:pStyle w:val="Text4"/>
              <w:spacing w:before="0" w:after="0"/>
              <w:ind w:left="0"/>
              <w:jc w:val="center"/>
              <w:rPr>
                <w:rFonts w:ascii="Times New Roman" w:eastAsia="Calibri" w:hAnsi="Times New Roman"/>
                <w:noProof/>
              </w:rPr>
            </w:pPr>
            <w:r>
              <w:rPr>
                <w:rFonts w:ascii="Times New Roman" w:eastAsia="Calibri" w:hAnsi="Times New Roman"/>
                <w:noProof/>
              </w:rPr>
              <w:t>Eurobarometer</w:t>
            </w:r>
          </w:p>
        </w:tc>
      </w:tr>
      <w:tr w:rsidR="00B058C6" w:rsidRPr="000D54CD" w14:paraId="57E4E3F8" w14:textId="77777777">
        <w:trPr>
          <w:cantSplit/>
          <w:trHeight w:val="255"/>
          <w:tblHeader/>
        </w:trPr>
        <w:tc>
          <w:tcPr>
            <w:tcW w:w="1252" w:type="pct"/>
            <w:noWrap/>
          </w:tcPr>
          <w:p w14:paraId="76FDC5A8" w14:textId="77777777" w:rsidR="00B058C6" w:rsidRPr="008119C0" w:rsidRDefault="00B058C6">
            <w:pPr>
              <w:pStyle w:val="Text4"/>
              <w:spacing w:before="0" w:after="0"/>
              <w:ind w:left="0"/>
              <w:rPr>
                <w:rFonts w:ascii="Times New Roman" w:eastAsia="Calibri" w:hAnsi="Times New Roman"/>
                <w:b/>
                <w:noProof/>
              </w:rPr>
            </w:pPr>
            <w:r w:rsidRPr="008119C0">
              <w:rPr>
                <w:rFonts w:ascii="Times New Roman" w:eastAsia="Calibri" w:hAnsi="Times New Roman"/>
                <w:b/>
                <w:noProof/>
              </w:rPr>
              <w:t xml:space="preserve">Improve completeness </w:t>
            </w:r>
            <w:r>
              <w:rPr>
                <w:rFonts w:ascii="Times New Roman" w:eastAsia="Calibri" w:hAnsi="Times New Roman"/>
                <w:b/>
                <w:noProof/>
              </w:rPr>
              <w:t>of rail offer on MDMS platforms, including indispensable RU platforms</w:t>
            </w:r>
          </w:p>
        </w:tc>
        <w:tc>
          <w:tcPr>
            <w:tcW w:w="1624" w:type="pct"/>
            <w:noWrap/>
          </w:tcPr>
          <w:p w14:paraId="0094AC08" w14:textId="77777777" w:rsidR="00B058C6" w:rsidRPr="00C31D1C" w:rsidRDefault="00B058C6" w:rsidP="001979E4">
            <w:pPr>
              <w:pStyle w:val="ListParagraph"/>
              <w:numPr>
                <w:ilvl w:val="0"/>
                <w:numId w:val="34"/>
              </w:numPr>
              <w:spacing w:before="60" w:line="259" w:lineRule="auto"/>
              <w:ind w:left="360"/>
              <w:rPr>
                <w:rFonts w:eastAsiaTheme="minorEastAsia"/>
                <w:noProof/>
                <w:sz w:val="20"/>
                <w:szCs w:val="20"/>
              </w:rPr>
            </w:pPr>
            <w:r w:rsidRPr="00C31D1C">
              <w:rPr>
                <w:rFonts w:eastAsiaTheme="minorEastAsia"/>
                <w:noProof/>
                <w:sz w:val="20"/>
                <w:szCs w:val="20"/>
              </w:rPr>
              <w:t xml:space="preserve">Increase the availability of single rail tickets </w:t>
            </w:r>
            <w:r w:rsidRPr="2E3CBD04">
              <w:rPr>
                <w:rFonts w:eastAsiaTheme="minorEastAsia"/>
                <w:noProof/>
                <w:sz w:val="20"/>
                <w:szCs w:val="20"/>
              </w:rPr>
              <w:t>(repre</w:t>
            </w:r>
            <w:r>
              <w:rPr>
                <w:rFonts w:eastAsiaTheme="minorEastAsia"/>
                <w:noProof/>
                <w:sz w:val="20"/>
                <w:szCs w:val="20"/>
              </w:rPr>
              <w:t>s</w:t>
            </w:r>
            <w:r w:rsidRPr="2E3CBD04">
              <w:rPr>
                <w:rFonts w:eastAsiaTheme="minorEastAsia"/>
                <w:noProof/>
                <w:sz w:val="20"/>
                <w:szCs w:val="20"/>
              </w:rPr>
              <w:t xml:space="preserve">enting a multi-operator </w:t>
            </w:r>
            <w:r w:rsidRPr="0DA150F0">
              <w:rPr>
                <w:rFonts w:eastAsiaTheme="minorEastAsia"/>
                <w:noProof/>
                <w:sz w:val="20"/>
                <w:szCs w:val="20"/>
              </w:rPr>
              <w:t xml:space="preserve">journey) </w:t>
            </w:r>
            <w:r w:rsidRPr="00C31D1C">
              <w:rPr>
                <w:rFonts w:eastAsiaTheme="minorEastAsia"/>
                <w:noProof/>
                <w:sz w:val="20"/>
                <w:szCs w:val="20"/>
              </w:rPr>
              <w:t>across MDMS platforms</w:t>
            </w:r>
          </w:p>
          <w:p w14:paraId="629854E5" w14:textId="77777777" w:rsidR="00B058C6" w:rsidRPr="000D54CD" w:rsidRDefault="00B058C6">
            <w:pPr>
              <w:pStyle w:val="ListParagraph"/>
              <w:spacing w:before="60"/>
              <w:ind w:left="360" w:firstLine="0"/>
              <w:rPr>
                <w:noProof/>
              </w:rPr>
            </w:pPr>
          </w:p>
        </w:tc>
        <w:tc>
          <w:tcPr>
            <w:tcW w:w="1255" w:type="pct"/>
            <w:noWrap/>
          </w:tcPr>
          <w:p w14:paraId="08FDB28F" w14:textId="77777777" w:rsidR="00B058C6" w:rsidRPr="00A64800" w:rsidRDefault="00B058C6" w:rsidP="001979E4">
            <w:pPr>
              <w:pStyle w:val="Text4"/>
              <w:numPr>
                <w:ilvl w:val="0"/>
                <w:numId w:val="34"/>
              </w:numPr>
              <w:spacing w:before="0" w:after="0"/>
              <w:ind w:left="360"/>
              <w:jc w:val="center"/>
              <w:rPr>
                <w:rFonts w:ascii="Times New Roman" w:hAnsi="Times New Roman"/>
                <w:noProof/>
              </w:rPr>
            </w:pPr>
            <w:r w:rsidRPr="00A64800">
              <w:rPr>
                <w:rFonts w:ascii="Times New Roman" w:hAnsi="Times New Roman"/>
                <w:noProof/>
              </w:rPr>
              <w:t>Number of indispensable RUs present on third-party platforms</w:t>
            </w:r>
            <w:r>
              <w:rPr>
                <w:rFonts w:ascii="Times New Roman" w:hAnsi="Times New Roman"/>
                <w:noProof/>
              </w:rPr>
              <w:t xml:space="preserve"> (in number of agreements between these parties)</w:t>
            </w:r>
          </w:p>
          <w:p w14:paraId="07B7BCF8" w14:textId="77777777" w:rsidR="00B058C6" w:rsidRPr="00A64800" w:rsidRDefault="00B058C6">
            <w:pPr>
              <w:pStyle w:val="Text4"/>
              <w:spacing w:before="0" w:after="0"/>
              <w:ind w:left="0"/>
              <w:rPr>
                <w:rFonts w:ascii="Times New Roman" w:hAnsi="Times New Roman"/>
                <w:noProof/>
              </w:rPr>
            </w:pPr>
          </w:p>
          <w:p w14:paraId="2ED91F3B" w14:textId="77777777" w:rsidR="00B058C6" w:rsidRPr="000D54CD" w:rsidRDefault="00B058C6" w:rsidP="001979E4">
            <w:pPr>
              <w:pStyle w:val="Text4"/>
              <w:numPr>
                <w:ilvl w:val="0"/>
                <w:numId w:val="34"/>
              </w:numPr>
              <w:spacing w:before="0" w:after="0"/>
              <w:ind w:left="360"/>
              <w:jc w:val="center"/>
              <w:rPr>
                <w:rFonts w:ascii="Times New Roman" w:hAnsi="Times New Roman"/>
                <w:noProof/>
              </w:rPr>
            </w:pPr>
            <w:r>
              <w:rPr>
                <w:rFonts w:ascii="Times New Roman" w:hAnsi="Times New Roman"/>
                <w:noProof/>
              </w:rPr>
              <w:t>N</w:t>
            </w:r>
            <w:r w:rsidRPr="002E68F9">
              <w:rPr>
                <w:rFonts w:ascii="Times New Roman" w:hAnsi="Times New Roman"/>
                <w:noProof/>
              </w:rPr>
              <w:t>umber of cross-border rail services for which tickets are available on third-party platforms</w:t>
            </w:r>
          </w:p>
        </w:tc>
        <w:tc>
          <w:tcPr>
            <w:tcW w:w="869" w:type="pct"/>
            <w:noWrap/>
          </w:tcPr>
          <w:p w14:paraId="5A8FE98E" w14:textId="77777777" w:rsidR="00B058C6" w:rsidRDefault="00B058C6">
            <w:pPr>
              <w:pStyle w:val="Text4"/>
              <w:spacing w:before="0" w:after="0"/>
              <w:ind w:left="0"/>
              <w:rPr>
                <w:rFonts w:ascii="Times New Roman" w:hAnsi="Times New Roman"/>
                <w:noProof/>
              </w:rPr>
            </w:pPr>
            <w:r w:rsidRPr="00214CE8">
              <w:rPr>
                <w:rFonts w:ascii="Times New Roman" w:hAnsi="Times New Roman"/>
                <w:noProof/>
              </w:rPr>
              <w:t>National enforcement authorities</w:t>
            </w:r>
          </w:p>
          <w:p w14:paraId="5DFFE598" w14:textId="77777777" w:rsidR="00B058C6" w:rsidRDefault="00B058C6">
            <w:pPr>
              <w:pStyle w:val="Text4"/>
              <w:spacing w:before="0" w:after="0"/>
              <w:ind w:left="0"/>
              <w:rPr>
                <w:rFonts w:ascii="Times New Roman" w:hAnsi="Times New Roman"/>
                <w:noProof/>
              </w:rPr>
            </w:pPr>
          </w:p>
          <w:p w14:paraId="3D17DF78" w14:textId="77777777" w:rsidR="00B058C6" w:rsidRPr="000D54CD" w:rsidRDefault="00B058C6">
            <w:pPr>
              <w:pStyle w:val="Text4"/>
              <w:spacing w:before="0" w:after="0"/>
              <w:ind w:left="0"/>
              <w:rPr>
                <w:rFonts w:ascii="Times New Roman" w:hAnsi="Times New Roman"/>
                <w:noProof/>
              </w:rPr>
            </w:pPr>
          </w:p>
        </w:tc>
      </w:tr>
    </w:tbl>
    <w:p w14:paraId="030A9815" w14:textId="77777777" w:rsidR="00B058C6" w:rsidRDefault="00B058C6" w:rsidP="00B058C6">
      <w:pPr>
        <w:jc w:val="both"/>
        <w:rPr>
          <w:noProof/>
        </w:rPr>
      </w:pPr>
    </w:p>
    <w:p w14:paraId="6BFF3FBF" w14:textId="77777777" w:rsidR="00C9065A" w:rsidRDefault="00B058C6">
      <w:pPr>
        <w:widowControl w:val="0"/>
        <w:autoSpaceDE w:val="0"/>
        <w:autoSpaceDN w:val="0"/>
        <w:rPr>
          <w:smallCaps/>
          <w:noProof/>
        </w:rPr>
      </w:pPr>
      <w:r>
        <w:rPr>
          <w:b/>
          <w:smallCaps/>
          <w:noProof/>
        </w:rPr>
        <w:br w:type="page"/>
      </w:r>
    </w:p>
    <w:p w14:paraId="43495A7C" w14:textId="18BB7EE1" w:rsidR="003201BB" w:rsidRPr="00D71008" w:rsidRDefault="003201BB" w:rsidP="00A45DE8">
      <w:pPr>
        <w:pStyle w:val="Heading1"/>
        <w:jc w:val="center"/>
        <w:rPr>
          <w:smallCaps/>
          <w:noProof/>
        </w:rPr>
      </w:pPr>
      <w:bookmarkStart w:id="2120" w:name="_Toc223981695"/>
      <w:r w:rsidRPr="00D71008">
        <w:rPr>
          <w:smallCaps/>
          <w:noProof/>
        </w:rPr>
        <w:t>Annex</w:t>
      </w:r>
      <w:r w:rsidRPr="00D71008">
        <w:rPr>
          <w:smallCaps/>
          <w:noProof/>
          <w:spacing w:val="-4"/>
        </w:rPr>
        <w:t xml:space="preserve"> </w:t>
      </w:r>
      <w:r>
        <w:rPr>
          <w:smallCaps/>
          <w:noProof/>
        </w:rPr>
        <w:t>13</w:t>
      </w:r>
      <w:r w:rsidRPr="00D71008">
        <w:rPr>
          <w:smallCaps/>
          <w:noProof/>
        </w:rPr>
        <w:t>:</w:t>
      </w:r>
      <w:r w:rsidRPr="00D71008">
        <w:rPr>
          <w:smallCaps/>
          <w:noProof/>
          <w:spacing w:val="-15"/>
        </w:rPr>
        <w:t xml:space="preserve"> </w:t>
      </w:r>
      <w:r w:rsidR="004B5C50">
        <w:rPr>
          <w:smallCaps/>
          <w:noProof/>
          <w:spacing w:val="-15"/>
        </w:rPr>
        <w:t>Detailed assessment</w:t>
      </w:r>
      <w:r w:rsidR="00A45DE8">
        <w:rPr>
          <w:smallCaps/>
          <w:noProof/>
          <w:spacing w:val="-15"/>
        </w:rPr>
        <w:t xml:space="preserve"> of impact on </w:t>
      </w:r>
      <w:r w:rsidR="004B5C50">
        <w:rPr>
          <w:smallCaps/>
          <w:noProof/>
          <w:spacing w:val="-15"/>
        </w:rPr>
        <w:t>competition</w:t>
      </w:r>
      <w:bookmarkEnd w:id="2120"/>
      <w:r w:rsidR="004B5C50">
        <w:rPr>
          <w:smallCaps/>
          <w:noProof/>
          <w:spacing w:val="-15"/>
        </w:rPr>
        <w:t xml:space="preserve"> </w:t>
      </w:r>
    </w:p>
    <w:p w14:paraId="75E33997" w14:textId="77777777" w:rsidR="003201BB" w:rsidRDefault="003201BB" w:rsidP="003201BB">
      <w:pPr>
        <w:pStyle w:val="BodyText"/>
        <w:spacing w:after="240"/>
        <w:ind w:left="0"/>
        <w:rPr>
          <w:noProof/>
          <w:spacing w:val="-8"/>
          <w:highlight w:val="cyan"/>
        </w:rPr>
      </w:pPr>
    </w:p>
    <w:p w14:paraId="24128ACC" w14:textId="2D904E02" w:rsidR="003201BB" w:rsidRPr="00A45DE8" w:rsidRDefault="003201BB" w:rsidP="003201BB">
      <w:pPr>
        <w:pStyle w:val="BodyText"/>
        <w:spacing w:after="240"/>
        <w:ind w:left="0"/>
        <w:rPr>
          <w:noProof/>
          <w:spacing w:val="-8"/>
        </w:rPr>
      </w:pPr>
      <w:r w:rsidRPr="00A45DE8">
        <w:rPr>
          <w:noProof/>
          <w:spacing w:val="-8"/>
        </w:rPr>
        <w:t xml:space="preserve">The proposed policy options aim to </w:t>
      </w:r>
      <w:r w:rsidR="00C9308E">
        <w:rPr>
          <w:noProof/>
          <w:spacing w:val="-8"/>
        </w:rPr>
        <w:t xml:space="preserve">ensure a </w:t>
      </w:r>
      <w:r w:rsidR="00C9308E" w:rsidRPr="00B3088E">
        <w:rPr>
          <w:noProof/>
          <w:spacing w:val="-8"/>
        </w:rPr>
        <w:t>better functioning of</w:t>
      </w:r>
      <w:r w:rsidR="00C9308E">
        <w:rPr>
          <w:noProof/>
          <w:spacing w:val="-8"/>
        </w:rPr>
        <w:t xml:space="preserve"> the</w:t>
      </w:r>
      <w:r w:rsidRPr="00A45DE8">
        <w:rPr>
          <w:noProof/>
          <w:spacing w:val="-8"/>
        </w:rPr>
        <w:t xml:space="preserve"> MDMS </w:t>
      </w:r>
      <w:r w:rsidR="00C9308E">
        <w:rPr>
          <w:noProof/>
          <w:spacing w:val="-8"/>
        </w:rPr>
        <w:t xml:space="preserve">market </w:t>
      </w:r>
      <w:r w:rsidR="009364BA">
        <w:rPr>
          <w:noProof/>
          <w:spacing w:val="-8"/>
        </w:rPr>
        <w:t xml:space="preserve">in the EU </w:t>
      </w:r>
      <w:r w:rsidRPr="00A45DE8">
        <w:rPr>
          <w:noProof/>
          <w:spacing w:val="-8"/>
        </w:rPr>
        <w:t xml:space="preserve">and </w:t>
      </w:r>
      <w:r w:rsidR="00C9308E">
        <w:rPr>
          <w:noProof/>
          <w:spacing w:val="-8"/>
        </w:rPr>
        <w:t xml:space="preserve">accelerate the development of the </w:t>
      </w:r>
      <w:r w:rsidRPr="00A45DE8">
        <w:rPr>
          <w:noProof/>
          <w:spacing w:val="-8"/>
        </w:rPr>
        <w:t xml:space="preserve">rail </w:t>
      </w:r>
      <w:r w:rsidR="00C9308E">
        <w:rPr>
          <w:noProof/>
          <w:spacing w:val="-8"/>
        </w:rPr>
        <w:t>one</w:t>
      </w:r>
      <w:r w:rsidRPr="00A45DE8">
        <w:rPr>
          <w:noProof/>
          <w:spacing w:val="-8"/>
        </w:rPr>
        <w:t>. While all POs address the identified problem drivers, and therefore improve market conditions, some measures are expected to have a stronger impact on market dynamics. Some measures are common to all options (PMs1 to 12) and are relevant for B2C and B2B MDMS</w:t>
      </w:r>
      <w:r w:rsidR="00DE3351">
        <w:rPr>
          <w:noProof/>
          <w:spacing w:val="-8"/>
        </w:rPr>
        <w:t xml:space="preserve"> platforms</w:t>
      </w:r>
      <w:r w:rsidRPr="00A45DE8">
        <w:rPr>
          <w:noProof/>
          <w:spacing w:val="-8"/>
        </w:rPr>
        <w:t xml:space="preserve">, to a lesser extent for transport operators (especially RUs) and public authorities, and with a positive impact for consumers. </w:t>
      </w:r>
    </w:p>
    <w:p w14:paraId="76636EED" w14:textId="77777777" w:rsidR="003201BB" w:rsidRPr="00A45DE8" w:rsidRDefault="003201BB" w:rsidP="003201BB">
      <w:pPr>
        <w:pStyle w:val="BodyText"/>
        <w:spacing w:after="240"/>
        <w:ind w:left="0"/>
        <w:rPr>
          <w:noProof/>
          <w:spacing w:val="-8"/>
        </w:rPr>
      </w:pPr>
      <w:r w:rsidRPr="00A45DE8">
        <w:rPr>
          <w:noProof/>
          <w:spacing w:val="-8"/>
        </w:rPr>
        <w:t>This section assesses how the policy options affect:</w:t>
      </w:r>
    </w:p>
    <w:p w14:paraId="5FA36A7D" w14:textId="77777777" w:rsidR="003201BB" w:rsidRPr="00A45DE8" w:rsidRDefault="003201BB" w:rsidP="001979E4">
      <w:pPr>
        <w:pStyle w:val="BodyText"/>
        <w:numPr>
          <w:ilvl w:val="0"/>
          <w:numId w:val="37"/>
        </w:numPr>
        <w:tabs>
          <w:tab w:val="left" w:pos="426"/>
        </w:tabs>
        <w:spacing w:after="120"/>
        <w:ind w:left="426" w:hanging="426"/>
        <w:rPr>
          <w:noProof/>
          <w:spacing w:val="-8"/>
        </w:rPr>
      </w:pPr>
      <w:r w:rsidRPr="00A45DE8">
        <w:rPr>
          <w:noProof/>
          <w:spacing w:val="-8"/>
        </w:rPr>
        <w:t>The functioning of the internal market for passenger rail services,</w:t>
      </w:r>
    </w:p>
    <w:p w14:paraId="1B3928EF" w14:textId="11960B99" w:rsidR="003201BB" w:rsidRPr="00A45DE8" w:rsidRDefault="003201BB" w:rsidP="001979E4">
      <w:pPr>
        <w:pStyle w:val="BodyText"/>
        <w:numPr>
          <w:ilvl w:val="0"/>
          <w:numId w:val="37"/>
        </w:numPr>
        <w:tabs>
          <w:tab w:val="left" w:pos="426"/>
        </w:tabs>
        <w:spacing w:after="120"/>
        <w:ind w:left="426" w:hanging="426"/>
        <w:rPr>
          <w:noProof/>
          <w:spacing w:val="-8"/>
        </w:rPr>
      </w:pPr>
      <w:r w:rsidRPr="00A45DE8">
        <w:rPr>
          <w:noProof/>
          <w:spacing w:val="-8"/>
        </w:rPr>
        <w:t xml:space="preserve">The market for </w:t>
      </w:r>
      <w:r w:rsidR="002A24DB" w:rsidRPr="005D2D60">
        <w:rPr>
          <w:noProof/>
          <w:spacing w:val="-8"/>
        </w:rPr>
        <w:t xml:space="preserve">online ticketing </w:t>
      </w:r>
      <w:r w:rsidRPr="00A45DE8">
        <w:rPr>
          <w:noProof/>
          <w:spacing w:val="-8"/>
        </w:rPr>
        <w:t>services (</w:t>
      </w:r>
      <w:r w:rsidR="00AC7F7A">
        <w:rPr>
          <w:noProof/>
          <w:spacing w:val="-8"/>
        </w:rPr>
        <w:t>including multimodal ones)</w:t>
      </w:r>
    </w:p>
    <w:p w14:paraId="7AE42566" w14:textId="77777777" w:rsidR="003201BB" w:rsidRPr="00A45DE8" w:rsidRDefault="003201BB" w:rsidP="001979E4">
      <w:pPr>
        <w:pStyle w:val="BodyText"/>
        <w:numPr>
          <w:ilvl w:val="0"/>
          <w:numId w:val="37"/>
        </w:numPr>
        <w:tabs>
          <w:tab w:val="left" w:pos="426"/>
        </w:tabs>
        <w:spacing w:after="240"/>
        <w:ind w:left="426" w:hanging="426"/>
        <w:rPr>
          <w:noProof/>
          <w:spacing w:val="-8"/>
        </w:rPr>
      </w:pPr>
      <w:r w:rsidRPr="00A45DE8">
        <w:rPr>
          <w:noProof/>
          <w:spacing w:val="-8"/>
        </w:rPr>
        <w:t>Entry conditions and competitive dynamics in both markets.</w:t>
      </w:r>
    </w:p>
    <w:p w14:paraId="1D7BAC53" w14:textId="77276568" w:rsidR="003201BB" w:rsidRPr="00A45DE8" w:rsidRDefault="003201BB" w:rsidP="003201BB">
      <w:pPr>
        <w:pStyle w:val="BodyText"/>
        <w:spacing w:after="240"/>
        <w:ind w:left="0"/>
        <w:rPr>
          <w:noProof/>
          <w:spacing w:val="-8"/>
        </w:rPr>
      </w:pPr>
      <w:r w:rsidRPr="00A45DE8">
        <w:rPr>
          <w:noProof/>
          <w:spacing w:val="-8"/>
        </w:rPr>
        <w:t xml:space="preserve">The benchmark is the baseline scenario, </w:t>
      </w:r>
      <w:r w:rsidR="006B12AA">
        <w:rPr>
          <w:noProof/>
          <w:spacing w:val="-8"/>
        </w:rPr>
        <w:t xml:space="preserve">described in Section </w:t>
      </w:r>
      <w:r w:rsidR="00397F8C">
        <w:rPr>
          <w:noProof/>
          <w:spacing w:val="-8"/>
        </w:rPr>
        <w:t>5.1</w:t>
      </w:r>
      <w:r w:rsidR="006B12AA">
        <w:rPr>
          <w:noProof/>
          <w:spacing w:val="-8"/>
        </w:rPr>
        <w:t xml:space="preserve"> and</w:t>
      </w:r>
      <w:r w:rsidRPr="00A45DE8">
        <w:rPr>
          <w:noProof/>
          <w:spacing w:val="-8"/>
        </w:rPr>
        <w:t xml:space="preserve"> characterised by voluntary commercial negotiations between </w:t>
      </w:r>
      <w:r w:rsidR="00C75D2D">
        <w:rPr>
          <w:noProof/>
          <w:spacing w:val="-8"/>
        </w:rPr>
        <w:t>(</w:t>
      </w:r>
      <w:r w:rsidRPr="00A45DE8">
        <w:rPr>
          <w:noProof/>
          <w:spacing w:val="-8"/>
        </w:rPr>
        <w:t>rail</w:t>
      </w:r>
      <w:r w:rsidR="00C75D2D">
        <w:rPr>
          <w:noProof/>
          <w:spacing w:val="-8"/>
        </w:rPr>
        <w:t>)</w:t>
      </w:r>
      <w:r w:rsidRPr="00A45DE8">
        <w:rPr>
          <w:noProof/>
          <w:spacing w:val="-8"/>
        </w:rPr>
        <w:t xml:space="preserve">operators and MDMS platforms, heterogeneous contractual practices across Member States, potential asymmetries where vertically integrated </w:t>
      </w:r>
      <w:r w:rsidR="00147421">
        <w:rPr>
          <w:noProof/>
          <w:spacing w:val="-8"/>
        </w:rPr>
        <w:t xml:space="preserve">rail </w:t>
      </w:r>
      <w:r w:rsidRPr="00A45DE8">
        <w:rPr>
          <w:noProof/>
          <w:spacing w:val="-8"/>
        </w:rPr>
        <w:t xml:space="preserve">platforms combine operational and distribution functions, and fragmented cross-border integration of ticketing and re-linking solutions. Under the baseline, distribution access </w:t>
      </w:r>
      <w:r w:rsidR="008F4B1A">
        <w:rPr>
          <w:noProof/>
          <w:spacing w:val="-8"/>
        </w:rPr>
        <w:t>in rail</w:t>
      </w:r>
      <w:r w:rsidRPr="00A45DE8">
        <w:rPr>
          <w:noProof/>
          <w:spacing w:val="-8"/>
        </w:rPr>
        <w:t xml:space="preserve"> is not guaranteed and depend</w:t>
      </w:r>
      <w:r w:rsidR="00783163">
        <w:rPr>
          <w:noProof/>
          <w:spacing w:val="-8"/>
        </w:rPr>
        <w:t>s</w:t>
      </w:r>
      <w:r w:rsidRPr="00A45DE8">
        <w:rPr>
          <w:noProof/>
          <w:spacing w:val="-8"/>
        </w:rPr>
        <w:t xml:space="preserve"> on bilateral commercial incentives. This creates legal and practical uncertainty for market participants and may limit cross-border expansion and entry of new </w:t>
      </w:r>
      <w:r w:rsidR="00F2583B">
        <w:rPr>
          <w:noProof/>
          <w:spacing w:val="-8"/>
        </w:rPr>
        <w:t xml:space="preserve">rail </w:t>
      </w:r>
      <w:r w:rsidRPr="00A45DE8">
        <w:rPr>
          <w:noProof/>
          <w:spacing w:val="-8"/>
        </w:rPr>
        <w:t>operators or platforms. Without EU intervention, fragmentation risks persist or increase as digital distribution becomes more central to passenger choice and market access.</w:t>
      </w:r>
    </w:p>
    <w:p w14:paraId="2C8E9FC8" w14:textId="77777777" w:rsidR="003201BB" w:rsidRPr="00A45DE8" w:rsidRDefault="003201BB" w:rsidP="003201BB">
      <w:pPr>
        <w:pStyle w:val="BodyText"/>
        <w:spacing w:after="240"/>
        <w:ind w:left="0"/>
        <w:rPr>
          <w:b/>
          <w:i/>
          <w:noProof/>
          <w:spacing w:val="-8"/>
        </w:rPr>
      </w:pPr>
      <w:r w:rsidRPr="00A45DE8">
        <w:rPr>
          <w:b/>
          <w:i/>
          <w:noProof/>
          <w:spacing w:val="-8"/>
        </w:rPr>
        <w:t>Common measures (PM1-PM8): horizontal improvement of neutrality and transparency</w:t>
      </w:r>
    </w:p>
    <w:p w14:paraId="769474E6" w14:textId="77777777" w:rsidR="003201BB" w:rsidRPr="00A45DE8" w:rsidRDefault="003201BB" w:rsidP="003201BB">
      <w:pPr>
        <w:pStyle w:val="BodyText"/>
        <w:spacing w:after="120"/>
        <w:ind w:left="0"/>
        <w:rPr>
          <w:noProof/>
          <w:spacing w:val="-8"/>
        </w:rPr>
      </w:pPr>
      <w:r w:rsidRPr="00A45DE8">
        <w:rPr>
          <w:noProof/>
          <w:spacing w:val="-8"/>
        </w:rPr>
        <w:t>All policy options include common measures that:</w:t>
      </w:r>
    </w:p>
    <w:p w14:paraId="38559311" w14:textId="633AF6E3" w:rsidR="003201BB" w:rsidRPr="00A45DE8" w:rsidRDefault="003201BB" w:rsidP="001979E4">
      <w:pPr>
        <w:pStyle w:val="BodyText"/>
        <w:numPr>
          <w:ilvl w:val="0"/>
          <w:numId w:val="38"/>
        </w:numPr>
        <w:spacing w:after="120"/>
        <w:rPr>
          <w:noProof/>
          <w:spacing w:val="-8"/>
        </w:rPr>
      </w:pPr>
      <w:r w:rsidRPr="00A45DE8">
        <w:rPr>
          <w:noProof/>
          <w:spacing w:val="-8"/>
        </w:rPr>
        <w:t xml:space="preserve">Extend CRS Code of Conduct obligations to all B2B </w:t>
      </w:r>
      <w:r w:rsidR="0060136E">
        <w:rPr>
          <w:noProof/>
          <w:spacing w:val="-8"/>
        </w:rPr>
        <w:t xml:space="preserve">and B2C </w:t>
      </w:r>
      <w:r w:rsidRPr="00A45DE8">
        <w:rPr>
          <w:noProof/>
          <w:spacing w:val="-8"/>
        </w:rPr>
        <w:t>MDMS platforms,</w:t>
      </w:r>
      <w:r w:rsidR="00A21C7C">
        <w:rPr>
          <w:noProof/>
          <w:spacing w:val="-8"/>
        </w:rPr>
        <w:t xml:space="preserve"> including on neutral display of transport offers on </w:t>
      </w:r>
      <w:r w:rsidR="000A7506">
        <w:rPr>
          <w:noProof/>
          <w:spacing w:val="-8"/>
        </w:rPr>
        <w:t xml:space="preserve">MDMS platforms, </w:t>
      </w:r>
      <w:r w:rsidR="000A7506" w:rsidRPr="00A45DE8">
        <w:rPr>
          <w:noProof/>
          <w:spacing w:val="-8"/>
        </w:rPr>
        <w:t>fair loading and processing of operator data</w:t>
      </w:r>
    </w:p>
    <w:p w14:paraId="3A20E8C2" w14:textId="77777777" w:rsidR="003201BB" w:rsidRPr="00A45DE8" w:rsidRDefault="003201BB" w:rsidP="001979E4">
      <w:pPr>
        <w:pStyle w:val="BodyText"/>
        <w:numPr>
          <w:ilvl w:val="0"/>
          <w:numId w:val="38"/>
        </w:numPr>
        <w:spacing w:after="240"/>
        <w:rPr>
          <w:noProof/>
          <w:spacing w:val="-8"/>
        </w:rPr>
      </w:pPr>
      <w:r w:rsidRPr="00A45DE8">
        <w:rPr>
          <w:noProof/>
          <w:spacing w:val="-8"/>
        </w:rPr>
        <w:t>Establish national authorities responsible for dispute settlement.</w:t>
      </w:r>
    </w:p>
    <w:p w14:paraId="1B8E3F7C" w14:textId="24CA62FC" w:rsidR="003201BB" w:rsidRPr="00A45DE8" w:rsidRDefault="003201BB" w:rsidP="003201BB">
      <w:pPr>
        <w:pStyle w:val="BodyText"/>
        <w:spacing w:after="240"/>
        <w:ind w:left="0"/>
        <w:rPr>
          <w:noProof/>
        </w:rPr>
      </w:pPr>
      <w:r w:rsidRPr="00A45DE8">
        <w:rPr>
          <w:noProof/>
          <w:spacing w:val="-8"/>
        </w:rPr>
        <w:t>These measures address distortion</w:t>
      </w:r>
      <w:r w:rsidR="00CD1D3B">
        <w:rPr>
          <w:noProof/>
          <w:spacing w:val="-8"/>
        </w:rPr>
        <w:t xml:space="preserve"> of offer</w:t>
      </w:r>
      <w:r w:rsidRPr="00A45DE8">
        <w:rPr>
          <w:noProof/>
          <w:spacing w:val="-8"/>
        </w:rPr>
        <w:t>s and improve transparency in ticket distribution markets. In particular, neutral display reduces the risk of self-preferencing and increases the visibility of alternative transport offers, strengthening competition on price and quality.</w:t>
      </w:r>
    </w:p>
    <w:p w14:paraId="3B2625D4" w14:textId="0A6BC90F" w:rsidR="003201BB" w:rsidRPr="00A45DE8" w:rsidRDefault="003201BB" w:rsidP="003201BB">
      <w:pPr>
        <w:pStyle w:val="BodyText"/>
        <w:spacing w:after="240"/>
        <w:ind w:left="0"/>
        <w:rPr>
          <w:noProof/>
        </w:rPr>
      </w:pPr>
      <w:r w:rsidRPr="00A45DE8">
        <w:rPr>
          <w:noProof/>
          <w:spacing w:val="-8"/>
        </w:rPr>
        <w:t xml:space="preserve">However, these measures do not guarantee </w:t>
      </w:r>
      <w:r w:rsidR="008A6037">
        <w:rPr>
          <w:noProof/>
          <w:spacing w:val="-8"/>
        </w:rPr>
        <w:t xml:space="preserve">the possibility for MDMS platforms to sell RU tickets </w:t>
      </w:r>
      <w:r w:rsidR="00B608DE">
        <w:rPr>
          <w:noProof/>
          <w:spacing w:val="-8"/>
        </w:rPr>
        <w:t>nor the possibility for RUs to be sold on indispensable RU platforms</w:t>
      </w:r>
      <w:r w:rsidRPr="00A45DE8">
        <w:rPr>
          <w:noProof/>
          <w:spacing w:val="-8"/>
        </w:rPr>
        <w:t xml:space="preserve">. </w:t>
      </w:r>
      <w:r w:rsidR="00B608DE">
        <w:rPr>
          <w:noProof/>
          <w:spacing w:val="-8"/>
        </w:rPr>
        <w:t>Therefore, their effect</w:t>
      </w:r>
      <w:r w:rsidRPr="00A45DE8">
        <w:rPr>
          <w:noProof/>
          <w:spacing w:val="-8"/>
        </w:rPr>
        <w:t xml:space="preserve"> on market structure is </w:t>
      </w:r>
      <w:r w:rsidR="003741AF">
        <w:rPr>
          <w:noProof/>
          <w:spacing w:val="-8"/>
        </w:rPr>
        <w:t>not expected to be</w:t>
      </w:r>
      <w:r w:rsidRPr="00A45DE8">
        <w:rPr>
          <w:noProof/>
          <w:spacing w:val="-8"/>
        </w:rPr>
        <w:t xml:space="preserve"> structural. They improve fairness but do not </w:t>
      </w:r>
      <w:r w:rsidR="00D7779F">
        <w:rPr>
          <w:noProof/>
          <w:spacing w:val="-8"/>
        </w:rPr>
        <w:t>re</w:t>
      </w:r>
      <w:r w:rsidR="00D7779F" w:rsidRPr="00737ECA">
        <w:rPr>
          <w:noProof/>
          <w:spacing w:val="-8"/>
        </w:rPr>
        <w:t>move</w:t>
      </w:r>
      <w:r w:rsidR="00D7779F" w:rsidRPr="00A45DE8">
        <w:rPr>
          <w:noProof/>
          <w:spacing w:val="-8"/>
        </w:rPr>
        <w:t xml:space="preserve"> </w:t>
      </w:r>
      <w:r w:rsidRPr="00A45DE8">
        <w:rPr>
          <w:noProof/>
          <w:spacing w:val="-8"/>
        </w:rPr>
        <w:t xml:space="preserve">entry barriers </w:t>
      </w:r>
      <w:r w:rsidR="009474BC">
        <w:rPr>
          <w:noProof/>
          <w:spacing w:val="-8"/>
        </w:rPr>
        <w:t>caused</w:t>
      </w:r>
      <w:r w:rsidRPr="00A45DE8">
        <w:rPr>
          <w:noProof/>
          <w:spacing w:val="-8"/>
        </w:rPr>
        <w:t xml:space="preserve"> </w:t>
      </w:r>
      <w:r w:rsidR="003B4601">
        <w:rPr>
          <w:noProof/>
          <w:spacing w:val="-8"/>
        </w:rPr>
        <w:t xml:space="preserve">by </w:t>
      </w:r>
      <w:r>
        <w:rPr>
          <w:noProof/>
        </w:rPr>
        <w:t>refusal to deal.</w:t>
      </w:r>
    </w:p>
    <w:p w14:paraId="41860F2E" w14:textId="77777777" w:rsidR="003201BB" w:rsidRPr="00A45DE8" w:rsidRDefault="003201BB" w:rsidP="003201BB">
      <w:pPr>
        <w:pStyle w:val="BodyText"/>
        <w:spacing w:after="240"/>
        <w:ind w:left="0"/>
        <w:rPr>
          <w:b/>
          <w:i/>
          <w:noProof/>
          <w:spacing w:val="-8"/>
        </w:rPr>
      </w:pPr>
      <w:r w:rsidRPr="00A45DE8">
        <w:rPr>
          <w:b/>
          <w:i/>
          <w:noProof/>
          <w:spacing w:val="-8"/>
        </w:rPr>
        <w:t>Comparative assessment across policy options</w:t>
      </w:r>
    </w:p>
    <w:p w14:paraId="4F013765" w14:textId="6561A339" w:rsidR="003201BB" w:rsidRPr="00A45DE8" w:rsidRDefault="003201BB" w:rsidP="003201BB">
      <w:pPr>
        <w:pStyle w:val="BodyText"/>
        <w:spacing w:after="240"/>
        <w:ind w:left="0"/>
        <w:rPr>
          <w:b/>
          <w:noProof/>
          <w:spacing w:val="-8"/>
        </w:rPr>
      </w:pPr>
      <w:r w:rsidRPr="00A45DE8">
        <w:rPr>
          <w:b/>
          <w:noProof/>
          <w:spacing w:val="-8"/>
        </w:rPr>
        <w:t xml:space="preserve">Policy Option 1: </w:t>
      </w:r>
      <w:r w:rsidR="0012516D" w:rsidRPr="005D2D60">
        <w:rPr>
          <w:b/>
          <w:i/>
          <w:noProof/>
          <w:spacing w:val="-8"/>
        </w:rPr>
        <w:t>Facilitating integration</w:t>
      </w:r>
    </w:p>
    <w:p w14:paraId="7CB6F5CE" w14:textId="5BACF744" w:rsidR="003201BB" w:rsidRPr="00A45DE8" w:rsidRDefault="003201BB" w:rsidP="003201BB">
      <w:pPr>
        <w:pStyle w:val="BodyText"/>
        <w:spacing w:after="240"/>
        <w:ind w:left="0"/>
        <w:rPr>
          <w:noProof/>
          <w:spacing w:val="-8"/>
        </w:rPr>
      </w:pPr>
      <w:r w:rsidRPr="00A45DE8">
        <w:rPr>
          <w:noProof/>
          <w:spacing w:val="-8"/>
        </w:rPr>
        <w:t xml:space="preserve">Under </w:t>
      </w:r>
      <w:r w:rsidRPr="00A45DE8">
        <w:rPr>
          <w:b/>
          <w:noProof/>
          <w:spacing w:val="-8"/>
        </w:rPr>
        <w:t>PO1</w:t>
      </w:r>
      <w:r w:rsidRPr="00A45DE8">
        <w:rPr>
          <w:noProof/>
          <w:spacing w:val="-8"/>
        </w:rPr>
        <w:t xml:space="preserve">, </w:t>
      </w:r>
      <w:r w:rsidR="009474BC">
        <w:rPr>
          <w:noProof/>
          <w:spacing w:val="-8"/>
        </w:rPr>
        <w:t>RUs with SMP</w:t>
      </w:r>
      <w:r w:rsidRPr="00A45DE8">
        <w:rPr>
          <w:noProof/>
          <w:spacing w:val="-8"/>
        </w:rPr>
        <w:t xml:space="preserve"> and MDMS platforms with SMP are required to respect fair principles when entering commercial agreements. However, the decision to conclude </w:t>
      </w:r>
      <w:r w:rsidR="000A05CA">
        <w:rPr>
          <w:noProof/>
          <w:spacing w:val="-8"/>
        </w:rPr>
        <w:t>such</w:t>
      </w:r>
      <w:r w:rsidR="000A05CA" w:rsidRPr="00A45DE8">
        <w:rPr>
          <w:noProof/>
          <w:spacing w:val="-8"/>
        </w:rPr>
        <w:t xml:space="preserve"> </w:t>
      </w:r>
      <w:r w:rsidRPr="00A45DE8">
        <w:rPr>
          <w:noProof/>
          <w:spacing w:val="-8"/>
        </w:rPr>
        <w:t>agreement remains voluntary.</w:t>
      </w:r>
    </w:p>
    <w:p w14:paraId="1200D10E" w14:textId="77777777" w:rsidR="003201BB" w:rsidRPr="00A45DE8" w:rsidRDefault="003201BB" w:rsidP="003201BB">
      <w:pPr>
        <w:pStyle w:val="BodyText"/>
        <w:spacing w:after="240"/>
        <w:ind w:left="0"/>
        <w:rPr>
          <w:noProof/>
          <w:spacing w:val="-8"/>
        </w:rPr>
      </w:pPr>
      <w:r w:rsidRPr="00A45DE8">
        <w:rPr>
          <w:noProof/>
          <w:spacing w:val="-8"/>
        </w:rPr>
        <w:t>The internal market impact of PO1 lies primarily in improving predictability and reducing the risk of abusive contractual clauses in negotiations involving large actors. It reduces asymmetries in bargaining positions where SMP is present and strengthens legal certainty. This reduces asymmetry between large and smaller actors and harmonises negotiation frameworks across the internal market. It strengthens internal market coherence by increasing consistency of contractual practices, reducing discriminatory treatment, improving legal certainty across Member States, and increasing the likelihood that agreements are concluded under balanced terms, thereby facilitating integration of services.</w:t>
      </w:r>
    </w:p>
    <w:p w14:paraId="4460CB3F" w14:textId="3B91DDB4" w:rsidR="003201BB" w:rsidRPr="00A45DE8" w:rsidRDefault="003201BB" w:rsidP="003201BB">
      <w:pPr>
        <w:pStyle w:val="BodyText"/>
        <w:spacing w:after="240"/>
        <w:ind w:left="0"/>
        <w:rPr>
          <w:noProof/>
          <w:spacing w:val="-8"/>
        </w:rPr>
      </w:pPr>
      <w:r w:rsidRPr="00A45DE8">
        <w:rPr>
          <w:noProof/>
          <w:spacing w:val="-8"/>
        </w:rPr>
        <w:t>The neutral display requirement (PM1) impacts the market by making alternative transport options more visible, creating incentives to improve transport services and/or lower prices for customers. With neutral display and without self-preferencing, users are more likely to choose the best (cheapest, most innovative, etc.) offer. Competition between service providers is therefore promoted by these measures. Applying fair terms in operator-MDMS with SMP license agreements (PM11) and on indispensable RU operator – MDMS agreement (PM12) in all POs is expected to facilitate the development of commercial agreements by ensuring to the weaker party equitable deals. It would have a significant impact on market conditions, as applying fair terms in commercial agreement would lead to a level playing field for the distribution of tickets affecting all players positioned in the market. This could in turn lead to changes in pricing strategies (lower prices to gain market shares) and thus changes on the demand and supply side. The strong impact of PM11 and</w:t>
      </w:r>
      <w:r w:rsidR="00593B73">
        <w:rPr>
          <w:noProof/>
          <w:spacing w:val="-8"/>
        </w:rPr>
        <w:t xml:space="preserve"> PM</w:t>
      </w:r>
      <w:r w:rsidRPr="00A45DE8">
        <w:rPr>
          <w:noProof/>
          <w:spacing w:val="-8"/>
        </w:rPr>
        <w:t>12 is supported by the introduction of NEBs, that will guarantee the implementation of neutral display requirements and fair terms by dealing with related complaints (PM</w:t>
      </w:r>
      <w:r w:rsidR="008C0915">
        <w:rPr>
          <w:noProof/>
          <w:spacing w:val="-8"/>
        </w:rPr>
        <w:t>6</w:t>
      </w:r>
      <w:r w:rsidRPr="00A45DE8" w:rsidDel="00F8548D">
        <w:rPr>
          <w:noProof/>
          <w:spacing w:val="-8"/>
        </w:rPr>
        <w:t xml:space="preserve"> </w:t>
      </w:r>
      <w:r w:rsidR="00F8548D">
        <w:rPr>
          <w:noProof/>
          <w:spacing w:val="-8"/>
        </w:rPr>
        <w:t>and</w:t>
      </w:r>
      <w:r w:rsidR="00F8548D" w:rsidRPr="00A45DE8">
        <w:rPr>
          <w:noProof/>
          <w:spacing w:val="-8"/>
        </w:rPr>
        <w:t xml:space="preserve"> </w:t>
      </w:r>
      <w:r w:rsidR="00F8548D">
        <w:rPr>
          <w:noProof/>
          <w:spacing w:val="-8"/>
        </w:rPr>
        <w:t>PM</w:t>
      </w:r>
      <w:r w:rsidRPr="00A45DE8">
        <w:rPr>
          <w:noProof/>
          <w:spacing w:val="-8"/>
        </w:rPr>
        <w:t xml:space="preserve">10), improving compliance and deterring unfair behaviour. </w:t>
      </w:r>
    </w:p>
    <w:p w14:paraId="5061FC76" w14:textId="77777777" w:rsidR="003201BB" w:rsidRPr="00A45DE8" w:rsidRDefault="003201BB" w:rsidP="003201BB">
      <w:pPr>
        <w:pStyle w:val="BodyText"/>
        <w:spacing w:after="240"/>
        <w:ind w:left="0"/>
        <w:rPr>
          <w:noProof/>
          <w:spacing w:val="-8"/>
        </w:rPr>
      </w:pPr>
      <w:r w:rsidRPr="00A45DE8">
        <w:rPr>
          <w:noProof/>
          <w:spacing w:val="-8"/>
        </w:rPr>
        <w:t>Nevertheless, because no obligation to conclude agreements is introduced, structural barriers to entry in distribution markets remain. Rail operators may still limit access to inventory, and MDMS platforms may decline to integrate certain operators. As a result, fragmentation of ticket distribution across Member States may persist.</w:t>
      </w:r>
    </w:p>
    <w:p w14:paraId="5A1F2D22" w14:textId="77777777" w:rsidR="003201BB" w:rsidRPr="00A45DE8" w:rsidRDefault="003201BB" w:rsidP="003201BB">
      <w:pPr>
        <w:pStyle w:val="BodyText"/>
        <w:spacing w:after="240"/>
        <w:ind w:left="0"/>
        <w:rPr>
          <w:noProof/>
          <w:spacing w:val="-8"/>
        </w:rPr>
      </w:pPr>
      <w:r w:rsidRPr="00A45DE8">
        <w:rPr>
          <w:noProof/>
          <w:spacing w:val="-8"/>
        </w:rPr>
        <w:t>PO1 therefore improves behavioural fairness and reduces extreme imbalances, but its impact on market contestability and cross-border integration remains moderate.</w:t>
      </w:r>
    </w:p>
    <w:p w14:paraId="561F8116" w14:textId="0D558422" w:rsidR="00737ECA" w:rsidRPr="00737ECA" w:rsidRDefault="003201BB" w:rsidP="00737ECA">
      <w:pPr>
        <w:pStyle w:val="BodyText"/>
        <w:spacing w:after="240"/>
        <w:ind w:left="0"/>
        <w:rPr>
          <w:b/>
          <w:bCs/>
          <w:i/>
          <w:iCs/>
          <w:noProof/>
          <w:spacing w:val="-8"/>
        </w:rPr>
      </w:pPr>
      <w:r w:rsidRPr="00A45DE8">
        <w:rPr>
          <w:b/>
          <w:noProof/>
          <w:spacing w:val="-8"/>
        </w:rPr>
        <w:t xml:space="preserve">Policy Option 2: </w:t>
      </w:r>
      <w:r w:rsidR="7D67239D" w:rsidRPr="00B12C8C">
        <w:rPr>
          <w:b/>
          <w:i/>
          <w:noProof/>
          <w:spacing w:val="-8"/>
        </w:rPr>
        <w:t>E</w:t>
      </w:r>
      <w:r w:rsidR="00737ECA" w:rsidRPr="4CB7F912">
        <w:rPr>
          <w:b/>
          <w:bCs/>
          <w:i/>
          <w:iCs/>
          <w:noProof/>
          <w:spacing w:val="-8"/>
        </w:rPr>
        <w:t>mpowering</w:t>
      </w:r>
      <w:r w:rsidR="00737ECA" w:rsidRPr="4CB7F912">
        <w:rPr>
          <w:b/>
          <w:i/>
          <w:noProof/>
          <w:spacing w:val="-8"/>
        </w:rPr>
        <w:t xml:space="preserve"> requesting MDMS platforms to offer single tickets in rail</w:t>
      </w:r>
    </w:p>
    <w:p w14:paraId="743B4857" w14:textId="0ECDE4D2" w:rsidR="003201BB" w:rsidRPr="00A45DE8" w:rsidRDefault="003201BB" w:rsidP="003201BB">
      <w:pPr>
        <w:pStyle w:val="BodyText"/>
        <w:spacing w:after="240"/>
        <w:ind w:left="0"/>
        <w:rPr>
          <w:noProof/>
          <w:spacing w:val="-8"/>
        </w:rPr>
      </w:pPr>
      <w:r w:rsidRPr="00A45DE8">
        <w:rPr>
          <w:b/>
          <w:noProof/>
          <w:spacing w:val="-8"/>
        </w:rPr>
        <w:t>PO2</w:t>
      </w:r>
      <w:r w:rsidRPr="00A45DE8">
        <w:rPr>
          <w:noProof/>
          <w:spacing w:val="-8"/>
        </w:rPr>
        <w:t xml:space="preserve"> is expected to provide stronger incentives to improve the functioning of EU transport system than PO1 as it builds on the same measures while introducing an obligation for indispensable RUs to enter into agreement with requesting MDMS </w:t>
      </w:r>
      <w:r w:rsidR="00317920">
        <w:rPr>
          <w:noProof/>
          <w:spacing w:val="-8"/>
        </w:rPr>
        <w:t xml:space="preserve">(‘sharing obligation’) </w:t>
      </w:r>
      <w:r w:rsidRPr="00A45DE8">
        <w:rPr>
          <w:noProof/>
          <w:spacing w:val="-8"/>
        </w:rPr>
        <w:t xml:space="preserve">(PM13). This provides all platforms with the possibility to sell tickets of all services of major interest for consumers, such as those of incumbent, public service and cross-border operators. While this will come with initial adjustment costs, it will provide strong benefits in the long run by allowing a broader distribution of key RU offerings, and the combination of these newly acquired rail offers with other transport modes, providing innovative, competitive and more sustainable journey options to consumers. </w:t>
      </w:r>
    </w:p>
    <w:p w14:paraId="21532D50" w14:textId="049A0DF0" w:rsidR="003201BB" w:rsidRPr="00A45DE8" w:rsidRDefault="003201BB" w:rsidP="003201BB">
      <w:pPr>
        <w:pStyle w:val="BodyText"/>
        <w:spacing w:after="240"/>
        <w:ind w:left="0"/>
        <w:rPr>
          <w:noProof/>
          <w:spacing w:val="-8"/>
        </w:rPr>
      </w:pPr>
      <w:r w:rsidRPr="00A45DE8">
        <w:rPr>
          <w:noProof/>
          <w:spacing w:val="-8"/>
        </w:rPr>
        <w:t xml:space="preserve">Indeed, PO2 is not only expected to reduce search costs for customers and facilitate matching demand and supply for rail and multimodal journeys but also to increase competition in both the transport and the platform markets. For example, in the rail transport market, the offers of different RUs will be presented on the online platforms next to each other with their characteristics and price. This is likely to lead to more intense price competition between operators. </w:t>
      </w:r>
      <w:r w:rsidR="0006655D" w:rsidRPr="005D2D60">
        <w:rPr>
          <w:noProof/>
          <w:spacing w:val="-8"/>
        </w:rPr>
        <w:t>The lower train occupancy rates typically observed for new entrants compared with incumbents suggest that tacit collusion - potentially facilitated by the price transparency of platforms—is unlikely to emerge, at least until new entrants are fully established in the market and achieve occupancy levels comparable to those of the incumbent on specific routes.</w:t>
      </w:r>
    </w:p>
    <w:p w14:paraId="0EFE2BB5" w14:textId="77777777" w:rsidR="003201BB" w:rsidRPr="00A45DE8" w:rsidRDefault="003201BB" w:rsidP="003201BB">
      <w:pPr>
        <w:pStyle w:val="BodyText"/>
        <w:spacing w:after="240"/>
        <w:ind w:left="0"/>
        <w:rPr>
          <w:noProof/>
          <w:spacing w:val="-8"/>
        </w:rPr>
      </w:pPr>
      <w:r w:rsidRPr="00A45DE8">
        <w:rPr>
          <w:noProof/>
          <w:spacing w:val="-8"/>
        </w:rPr>
        <w:t xml:space="preserve">This corresponds to what has been observed in domestic rail passenger transport as a result of market opening, with an initial sharp fall in prices as new entrants try to win market shares through aggressive pricing. Only at a later stage, price stabilise at a level that is higher than the lowest observed right after entry, but still significantly lower than the pre-entry monopoly price. </w:t>
      </w:r>
    </w:p>
    <w:p w14:paraId="47DF89D5" w14:textId="20E7EDEB" w:rsidR="003201BB" w:rsidRPr="00A45DE8" w:rsidRDefault="003201BB" w:rsidP="003201BB">
      <w:pPr>
        <w:pStyle w:val="BodyText"/>
        <w:spacing w:after="240"/>
        <w:ind w:left="0"/>
        <w:rPr>
          <w:noProof/>
          <w:spacing w:val="-8"/>
        </w:rPr>
      </w:pPr>
      <w:r w:rsidRPr="00A45DE8">
        <w:rPr>
          <w:noProof/>
          <w:spacing w:val="-8"/>
        </w:rPr>
        <w:t xml:space="preserve">RUs also adopt other strategies to win customers, for example targeting specific market segments (low-cost travellers, business travellers, etc) or providing additional services (free </w:t>
      </w:r>
      <w:r w:rsidR="6FB6E4A5" w:rsidRPr="00A45DE8">
        <w:rPr>
          <w:noProof/>
          <w:spacing w:val="-8"/>
        </w:rPr>
        <w:t>WIFI</w:t>
      </w:r>
      <w:r w:rsidRPr="00A45DE8">
        <w:rPr>
          <w:noProof/>
          <w:spacing w:val="-8"/>
        </w:rPr>
        <w:t>, bicycle transportation, etc). All in all, market opening has resulted in advantages for consumers in terms of price, innovation and higher frequencies, which in turn has increased train ridership</w:t>
      </w:r>
      <w:r w:rsidRPr="00A45DE8">
        <w:rPr>
          <w:rStyle w:val="FootnoteReference"/>
          <w:noProof/>
          <w:spacing w:val="-8"/>
        </w:rPr>
        <w:footnoteReference w:id="393"/>
      </w:r>
      <w:r w:rsidRPr="00A45DE8">
        <w:rPr>
          <w:noProof/>
          <w:spacing w:val="-8"/>
        </w:rPr>
        <w:t xml:space="preserve">. It is expected that customers’ greater access to information </w:t>
      </w:r>
      <w:r w:rsidR="00F643C4">
        <w:rPr>
          <w:noProof/>
        </w:rPr>
        <w:t xml:space="preserve">and ticketing </w:t>
      </w:r>
      <w:r w:rsidRPr="00A45DE8">
        <w:rPr>
          <w:noProof/>
          <w:spacing w:val="-8"/>
        </w:rPr>
        <w:t xml:space="preserve">would reinforce these developments. </w:t>
      </w:r>
    </w:p>
    <w:p w14:paraId="65B78A5E" w14:textId="2ACC52A2" w:rsidR="003201BB" w:rsidRPr="00A45DE8" w:rsidRDefault="003201BB" w:rsidP="003201BB">
      <w:pPr>
        <w:pStyle w:val="BodyText"/>
        <w:spacing w:after="240"/>
        <w:ind w:left="0"/>
        <w:rPr>
          <w:noProof/>
        </w:rPr>
      </w:pPr>
      <w:r w:rsidRPr="00A45DE8">
        <w:rPr>
          <w:noProof/>
          <w:spacing w:val="-8"/>
        </w:rPr>
        <w:t xml:space="preserve">Similarly to the impact on the transport market, PO2 will increase competition also in the </w:t>
      </w:r>
      <w:r w:rsidR="003A4F30">
        <w:rPr>
          <w:noProof/>
          <w:spacing w:val="-8"/>
        </w:rPr>
        <w:t>online ticketing</w:t>
      </w:r>
      <w:r w:rsidR="003A4F30" w:rsidRPr="00A45DE8">
        <w:rPr>
          <w:noProof/>
          <w:spacing w:val="-8"/>
        </w:rPr>
        <w:t xml:space="preserve"> </w:t>
      </w:r>
      <w:r w:rsidRPr="00A45DE8">
        <w:rPr>
          <w:noProof/>
          <w:spacing w:val="-8"/>
        </w:rPr>
        <w:t xml:space="preserve">market, by making available to all the offer of indispensable </w:t>
      </w:r>
      <w:r w:rsidR="003A4F30">
        <w:rPr>
          <w:noProof/>
          <w:spacing w:val="-8"/>
        </w:rPr>
        <w:t>RUs</w:t>
      </w:r>
      <w:r w:rsidRPr="00A45DE8">
        <w:rPr>
          <w:noProof/>
          <w:spacing w:val="-8"/>
        </w:rPr>
        <w:t xml:space="preserve">. This is expected to erode the position of indispensable </w:t>
      </w:r>
      <w:r w:rsidR="00FE724C">
        <w:rPr>
          <w:noProof/>
          <w:spacing w:val="-8"/>
        </w:rPr>
        <w:t>RU</w:t>
      </w:r>
      <w:r w:rsidRPr="00A45DE8">
        <w:rPr>
          <w:noProof/>
          <w:spacing w:val="-8"/>
        </w:rPr>
        <w:t xml:space="preserve"> platforms and encourage innovation in terms of wider offer of services and overall booking experience. However, these effects will materialise gradually, and their full impact is likely to materialise only in the medium to long</w:t>
      </w:r>
      <w:r w:rsidR="00D06323">
        <w:rPr>
          <w:noProof/>
          <w:spacing w:val="-8"/>
        </w:rPr>
        <w:t>-</w:t>
      </w:r>
      <w:r w:rsidRPr="00A45DE8">
        <w:rPr>
          <w:noProof/>
          <w:spacing w:val="-8"/>
        </w:rPr>
        <w:t xml:space="preserve">term. </w:t>
      </w:r>
    </w:p>
    <w:p w14:paraId="4D4417C2" w14:textId="2FEDDD17" w:rsidR="003201BB" w:rsidRPr="00A45DE8" w:rsidRDefault="003201BB" w:rsidP="003201BB">
      <w:pPr>
        <w:pStyle w:val="BodyText"/>
        <w:spacing w:after="240"/>
        <w:ind w:left="0"/>
        <w:rPr>
          <w:noProof/>
          <w:spacing w:val="-8"/>
        </w:rPr>
      </w:pPr>
      <w:r w:rsidRPr="00A45DE8">
        <w:rPr>
          <w:noProof/>
          <w:spacing w:val="-8"/>
        </w:rPr>
        <w:t xml:space="preserve">Moreover, as under PO1, </w:t>
      </w:r>
      <w:r w:rsidR="00AC4681">
        <w:rPr>
          <w:noProof/>
        </w:rPr>
        <w:t xml:space="preserve">there is no obligation for indispensable RU platforms to integrate requesting </w:t>
      </w:r>
      <w:r w:rsidR="00AC4681">
        <w:rPr>
          <w:noProof/>
          <w:spacing w:val="-8"/>
        </w:rPr>
        <w:t>RUs</w:t>
      </w:r>
      <w:r w:rsidRPr="00A45DE8">
        <w:rPr>
          <w:noProof/>
          <w:spacing w:val="-8"/>
        </w:rPr>
        <w:t>. While market dynamics improve relative to the baseline, structural access to distribution is not guaranteed. Entry barriers linked to refusal to conclude agreements may still arise.</w:t>
      </w:r>
    </w:p>
    <w:p w14:paraId="48503EA0" w14:textId="77777777" w:rsidR="003201BB" w:rsidRPr="00A45DE8" w:rsidRDefault="003201BB" w:rsidP="003201BB">
      <w:pPr>
        <w:pStyle w:val="BodyText"/>
        <w:spacing w:after="240"/>
        <w:ind w:left="0"/>
        <w:rPr>
          <w:noProof/>
          <w:spacing w:val="-8"/>
        </w:rPr>
      </w:pPr>
      <w:r w:rsidRPr="00A45DE8">
        <w:rPr>
          <w:noProof/>
          <w:spacing w:val="-8"/>
        </w:rPr>
        <w:t>PO2 therefore delivers a stronger improvement in internal market functioning than PO1, but without fully addressing strategic exclusion risks.</w:t>
      </w:r>
    </w:p>
    <w:p w14:paraId="69E98067" w14:textId="707D97A6" w:rsidR="00A45DE8" w:rsidRPr="00A45DE8" w:rsidRDefault="00A45DE8" w:rsidP="00A45DE8">
      <w:pPr>
        <w:pStyle w:val="BodyText"/>
        <w:spacing w:after="240"/>
        <w:ind w:left="0"/>
        <w:rPr>
          <w:b/>
          <w:noProof/>
          <w:spacing w:val="-8"/>
        </w:rPr>
      </w:pPr>
      <w:r w:rsidRPr="00A45DE8">
        <w:rPr>
          <w:b/>
          <w:noProof/>
          <w:spacing w:val="-8"/>
        </w:rPr>
        <w:t xml:space="preserve">Policy Option 3: </w:t>
      </w:r>
      <w:r w:rsidR="39026848">
        <w:rPr>
          <w:b/>
          <w:i/>
          <w:noProof/>
        </w:rPr>
        <w:t>E</w:t>
      </w:r>
      <w:r w:rsidR="00D327F9" w:rsidRPr="005D2D60">
        <w:rPr>
          <w:b/>
          <w:i/>
          <w:noProof/>
          <w:spacing w:val="-8"/>
        </w:rPr>
        <w:t xml:space="preserve">mpowering requesting RU to be offered on indispensable </w:t>
      </w:r>
      <w:r w:rsidR="00D327F9" w:rsidRPr="005D2D60">
        <w:rPr>
          <w:b/>
          <w:i/>
          <w:noProof/>
        </w:rPr>
        <w:t>RU platforms</w:t>
      </w:r>
    </w:p>
    <w:p w14:paraId="3DEFD65F" w14:textId="6416D54C" w:rsidR="00A45DE8" w:rsidRPr="00A45DE8" w:rsidRDefault="00A45DE8" w:rsidP="00A45DE8">
      <w:pPr>
        <w:pStyle w:val="BodyText"/>
        <w:spacing w:after="240"/>
        <w:ind w:left="0"/>
        <w:rPr>
          <w:noProof/>
          <w:spacing w:val="-8"/>
        </w:rPr>
      </w:pPr>
      <w:r w:rsidRPr="00A45DE8">
        <w:rPr>
          <w:b/>
          <w:noProof/>
          <w:spacing w:val="-8"/>
        </w:rPr>
        <w:t>PO3</w:t>
      </w:r>
      <w:r w:rsidRPr="00A45DE8">
        <w:rPr>
          <w:noProof/>
          <w:spacing w:val="-8"/>
        </w:rPr>
        <w:t xml:space="preserve"> is the most ambitious of the options in terms of potential market changes. As for PO1 and PO2 it contains a measure on neutral display (PM1), fair terms in commercial agreements (PM11</w:t>
      </w:r>
      <w:r w:rsidR="00C928F0">
        <w:rPr>
          <w:noProof/>
          <w:spacing w:val="-8"/>
        </w:rPr>
        <w:t xml:space="preserve"> and PM</w:t>
      </w:r>
      <w:r w:rsidRPr="00A45DE8">
        <w:rPr>
          <w:noProof/>
          <w:spacing w:val="-8"/>
        </w:rPr>
        <w:t xml:space="preserve">12) and a sharing obligation (PM13). In addition to these measures, </w:t>
      </w:r>
      <w:r w:rsidR="00CC3F8D">
        <w:rPr>
          <w:noProof/>
          <w:spacing w:val="-8"/>
        </w:rPr>
        <w:t>indispensable RU platforms</w:t>
      </w:r>
      <w:r w:rsidRPr="00A45DE8">
        <w:rPr>
          <w:noProof/>
          <w:spacing w:val="-8"/>
        </w:rPr>
        <w:t xml:space="preserve"> are required to conclude ticket sale agreements with </w:t>
      </w:r>
      <w:r w:rsidR="000C0E9D">
        <w:rPr>
          <w:noProof/>
          <w:spacing w:val="-8"/>
        </w:rPr>
        <w:t>requesting RUs</w:t>
      </w:r>
      <w:r w:rsidRPr="00A45DE8">
        <w:rPr>
          <w:noProof/>
          <w:spacing w:val="-8"/>
        </w:rPr>
        <w:t xml:space="preserve"> active in their geographic scope enabling the distribution of the corresponding tickets on their platform (PM14). </w:t>
      </w:r>
    </w:p>
    <w:p w14:paraId="34FFC404" w14:textId="36D32D40" w:rsidR="00A45DE8" w:rsidRPr="00A45DE8" w:rsidRDefault="00A45DE8" w:rsidP="00A45DE8">
      <w:pPr>
        <w:pStyle w:val="BodyText"/>
        <w:spacing w:after="240"/>
        <w:ind w:left="0"/>
        <w:rPr>
          <w:noProof/>
          <w:spacing w:val="-8"/>
        </w:rPr>
      </w:pPr>
      <w:r w:rsidRPr="00A45DE8">
        <w:rPr>
          <w:noProof/>
          <w:spacing w:val="-8"/>
        </w:rPr>
        <w:t xml:space="preserve">This means that the complete set of rail offers that one can expect to find on independent platforms as a result of the ‘sharing obligation’, will also become a feature of indispensable </w:t>
      </w:r>
      <w:r w:rsidR="00445A56">
        <w:rPr>
          <w:noProof/>
          <w:spacing w:val="-8"/>
        </w:rPr>
        <w:t xml:space="preserve">RU </w:t>
      </w:r>
      <w:r w:rsidRPr="00A45DE8">
        <w:rPr>
          <w:noProof/>
          <w:spacing w:val="-8"/>
        </w:rPr>
        <w:t>platforms as a result of th</w:t>
      </w:r>
      <w:r w:rsidR="00445A56">
        <w:rPr>
          <w:noProof/>
          <w:spacing w:val="-8"/>
        </w:rPr>
        <w:t>is</w:t>
      </w:r>
      <w:r w:rsidRPr="00A45DE8">
        <w:rPr>
          <w:noProof/>
          <w:spacing w:val="-8"/>
        </w:rPr>
        <w:t xml:space="preserve"> ‘hosting obligation’. In other words, while the transmission channel of PM13 will be the independent platforms and their customer base, PM14 will produce its effect through the much wider reach of the indispensable </w:t>
      </w:r>
      <w:r w:rsidR="00272A9D">
        <w:rPr>
          <w:noProof/>
          <w:spacing w:val="-8"/>
        </w:rPr>
        <w:t xml:space="preserve">RU </w:t>
      </w:r>
      <w:r w:rsidRPr="00A45DE8">
        <w:rPr>
          <w:noProof/>
          <w:spacing w:val="-8"/>
        </w:rPr>
        <w:t xml:space="preserve">platforms. The expected outcome on competition and market functioning will be qualitatively similar to PO2, but quantitatively stronger and earlier to materialise. In PO2, it will take time before customers of indispensable </w:t>
      </w:r>
      <w:r w:rsidR="00272A9D">
        <w:rPr>
          <w:noProof/>
          <w:spacing w:val="-8"/>
        </w:rPr>
        <w:t>RU</w:t>
      </w:r>
      <w:r w:rsidRPr="00A45DE8">
        <w:rPr>
          <w:noProof/>
          <w:spacing w:val="-8"/>
        </w:rPr>
        <w:t xml:space="preserve"> platforms realise that independent platforms have a more complete offer and, possibly, decide to switch to those distribution channels. In PO3 there will be no need for customers to modify their purchasing habits, since they will be exposed to a more complete offer of rail journeys on the platforms</w:t>
      </w:r>
      <w:r w:rsidR="49883A9D" w:rsidRPr="00A45DE8">
        <w:rPr>
          <w:noProof/>
          <w:spacing w:val="-8"/>
        </w:rPr>
        <w:t>,</w:t>
      </w:r>
      <w:r w:rsidRPr="00A45DE8">
        <w:rPr>
          <w:noProof/>
          <w:spacing w:val="-8"/>
        </w:rPr>
        <w:t xml:space="preserve"> they are most familiar with. </w:t>
      </w:r>
    </w:p>
    <w:p w14:paraId="530FAE8F" w14:textId="77777777" w:rsidR="00A45DE8" w:rsidRPr="00A45DE8" w:rsidRDefault="00A45DE8" w:rsidP="00A45DE8">
      <w:pPr>
        <w:pStyle w:val="BodyText"/>
        <w:spacing w:after="240"/>
        <w:ind w:left="0"/>
        <w:rPr>
          <w:noProof/>
          <w:spacing w:val="-8"/>
        </w:rPr>
      </w:pPr>
      <w:r w:rsidRPr="00A45DE8">
        <w:rPr>
          <w:noProof/>
          <w:spacing w:val="-8"/>
        </w:rPr>
        <w:t xml:space="preserve">PM14 would therefore address much more effectively the competition obstacles linked to the strong position of key RUs in both the operational and distribution market, which have been outlined by several national and EU-level competition cases (see Annex 11). This would strengthen competition on the market for rail services, where the lack of fair access to existing distribution channels is a significant barrier to market entry for new operators. </w:t>
      </w:r>
    </w:p>
    <w:p w14:paraId="1BA88D60" w14:textId="16ECEDF7" w:rsidR="00A45DE8" w:rsidRPr="00A45DE8" w:rsidRDefault="00A45DE8" w:rsidP="00A45DE8">
      <w:pPr>
        <w:pStyle w:val="BodyText"/>
        <w:spacing w:after="240"/>
        <w:ind w:left="0"/>
        <w:rPr>
          <w:noProof/>
          <w:spacing w:val="-8"/>
        </w:rPr>
      </w:pPr>
      <w:r w:rsidRPr="00A45DE8">
        <w:rPr>
          <w:noProof/>
          <w:spacing w:val="-8"/>
        </w:rPr>
        <w:t xml:space="preserve">In the </w:t>
      </w:r>
      <w:r w:rsidR="00F964A5">
        <w:rPr>
          <w:noProof/>
          <w:spacing w:val="-8"/>
        </w:rPr>
        <w:t>online ticketing</w:t>
      </w:r>
      <w:r w:rsidRPr="00A45DE8">
        <w:rPr>
          <w:noProof/>
          <w:spacing w:val="-8"/>
        </w:rPr>
        <w:t xml:space="preserve"> market, PM14 would widen the offer of indispensable </w:t>
      </w:r>
      <w:r w:rsidR="00CA3BD5">
        <w:rPr>
          <w:noProof/>
          <w:spacing w:val="-8"/>
        </w:rPr>
        <w:t xml:space="preserve">RU </w:t>
      </w:r>
      <w:r w:rsidRPr="00A45DE8">
        <w:rPr>
          <w:noProof/>
          <w:spacing w:val="-8"/>
        </w:rPr>
        <w:t xml:space="preserve">platforms. This might have the effect of making them even more attractive for consumers and might reinforce their position vis à vis independent platforms. Although this result might seem suboptimal from the perspective of the platform market, PM1 to PM13 will ensure that indispensable </w:t>
      </w:r>
      <w:r w:rsidR="00CA3BD5">
        <w:rPr>
          <w:noProof/>
          <w:spacing w:val="-8"/>
        </w:rPr>
        <w:t>RU</w:t>
      </w:r>
      <w:r w:rsidRPr="00A45DE8">
        <w:rPr>
          <w:noProof/>
          <w:spacing w:val="-8"/>
        </w:rPr>
        <w:t xml:space="preserve"> platforms compete on fair ground with other platforms and are no longer in a position to abuse their market strength. </w:t>
      </w:r>
      <w:r w:rsidR="005A678A">
        <w:rPr>
          <w:noProof/>
          <w:spacing w:val="-8"/>
        </w:rPr>
        <w:t xml:space="preserve">Moreover, </w:t>
      </w:r>
      <w:r w:rsidR="009D4102">
        <w:rPr>
          <w:noProof/>
          <w:spacing w:val="-8"/>
        </w:rPr>
        <w:t xml:space="preserve">PM14 would provide both </w:t>
      </w:r>
      <w:r w:rsidR="003A664C">
        <w:rPr>
          <w:noProof/>
          <w:spacing w:val="-8"/>
        </w:rPr>
        <w:t>travellers and transport operators with a wider choice of platforms</w:t>
      </w:r>
      <w:r w:rsidR="007C2C94">
        <w:rPr>
          <w:noProof/>
          <w:spacing w:val="-8"/>
        </w:rPr>
        <w:t xml:space="preserve"> </w:t>
      </w:r>
      <w:r w:rsidR="00201E4D">
        <w:rPr>
          <w:noProof/>
          <w:spacing w:val="-8"/>
        </w:rPr>
        <w:t>to</w:t>
      </w:r>
      <w:r w:rsidR="0065482A">
        <w:rPr>
          <w:noProof/>
          <w:spacing w:val="-8"/>
        </w:rPr>
        <w:t xml:space="preserve"> </w:t>
      </w:r>
      <w:r w:rsidR="00A505BE">
        <w:rPr>
          <w:noProof/>
          <w:spacing w:val="-8"/>
        </w:rPr>
        <w:t>cater for their needs</w:t>
      </w:r>
      <w:r w:rsidR="00831213">
        <w:rPr>
          <w:noProof/>
          <w:spacing w:val="-8"/>
        </w:rPr>
        <w:t xml:space="preserve"> and </w:t>
      </w:r>
      <w:r w:rsidR="00C23D28">
        <w:rPr>
          <w:noProof/>
          <w:spacing w:val="-8"/>
        </w:rPr>
        <w:t xml:space="preserve">would </w:t>
      </w:r>
      <w:r w:rsidR="00831213">
        <w:rPr>
          <w:noProof/>
        </w:rPr>
        <w:t>eliminate</w:t>
      </w:r>
      <w:r w:rsidR="00831213">
        <w:rPr>
          <w:noProof/>
          <w:spacing w:val="-8"/>
        </w:rPr>
        <w:t xml:space="preserve"> any preferential access to ticketing offers </w:t>
      </w:r>
      <w:r w:rsidR="00CD7EF9">
        <w:rPr>
          <w:noProof/>
          <w:spacing w:val="-8"/>
        </w:rPr>
        <w:t xml:space="preserve">currently </w:t>
      </w:r>
      <w:r w:rsidR="00831213">
        <w:rPr>
          <w:noProof/>
        </w:rPr>
        <w:t xml:space="preserve">enjoyed by </w:t>
      </w:r>
      <w:r w:rsidR="502D52FA">
        <w:rPr>
          <w:noProof/>
        </w:rPr>
        <w:t xml:space="preserve">certain </w:t>
      </w:r>
      <w:r w:rsidR="00831213">
        <w:rPr>
          <w:noProof/>
          <w:spacing w:val="-8"/>
        </w:rPr>
        <w:t>platforms</w:t>
      </w:r>
      <w:r w:rsidR="00A505BE">
        <w:rPr>
          <w:noProof/>
          <w:spacing w:val="-8"/>
        </w:rPr>
        <w:t>.</w:t>
      </w:r>
      <w:r w:rsidR="005A678A">
        <w:rPr>
          <w:noProof/>
          <w:spacing w:val="-8"/>
        </w:rPr>
        <w:t xml:space="preserve"> </w:t>
      </w:r>
      <w:r w:rsidR="00CD7EF9">
        <w:rPr>
          <w:noProof/>
          <w:spacing w:val="-8"/>
        </w:rPr>
        <w:t xml:space="preserve">This is likely to promote competition on </w:t>
      </w:r>
      <w:r w:rsidR="002C77D8">
        <w:rPr>
          <w:noProof/>
          <w:spacing w:val="-8"/>
        </w:rPr>
        <w:t>quality of service and innovation rather than on</w:t>
      </w:r>
      <w:r w:rsidR="005A678A">
        <w:rPr>
          <w:noProof/>
          <w:spacing w:val="-8"/>
        </w:rPr>
        <w:t xml:space="preserve"> </w:t>
      </w:r>
      <w:r w:rsidR="00403920">
        <w:rPr>
          <w:noProof/>
          <w:spacing w:val="-8"/>
        </w:rPr>
        <w:t>providing exclusive content.</w:t>
      </w:r>
      <w:r w:rsidR="005A678A">
        <w:rPr>
          <w:noProof/>
          <w:spacing w:val="-8"/>
        </w:rPr>
        <w:t xml:space="preserve"> </w:t>
      </w:r>
      <w:r w:rsidRPr="00A45DE8">
        <w:rPr>
          <w:noProof/>
          <w:spacing w:val="-8"/>
        </w:rPr>
        <w:t xml:space="preserve">The main goal is to introduce conditions of fair competition in both transport and platform markets in a rapid and effective way and PM14 achieves this producing the greatest benefit to consumers. </w:t>
      </w:r>
    </w:p>
    <w:p w14:paraId="2C446528" w14:textId="77777777" w:rsidR="00A45DE8" w:rsidRPr="00A45DE8" w:rsidRDefault="00A45DE8" w:rsidP="00A45DE8">
      <w:pPr>
        <w:pStyle w:val="BodyText"/>
        <w:spacing w:after="120"/>
        <w:ind w:left="0"/>
        <w:rPr>
          <w:noProof/>
          <w:spacing w:val="-8"/>
        </w:rPr>
      </w:pPr>
      <w:r w:rsidRPr="00A45DE8">
        <w:rPr>
          <w:noProof/>
          <w:spacing w:val="-8"/>
        </w:rPr>
        <w:t>Accordingly, the impact of PO3 on the internal market is expected to be significant as:</w:t>
      </w:r>
    </w:p>
    <w:p w14:paraId="56E97BBB" w14:textId="77777777" w:rsidR="00A45DE8" w:rsidRPr="00A45DE8" w:rsidRDefault="00A45DE8" w:rsidP="001979E4">
      <w:pPr>
        <w:pStyle w:val="BodyText"/>
        <w:numPr>
          <w:ilvl w:val="0"/>
          <w:numId w:val="39"/>
        </w:numPr>
        <w:spacing w:after="120"/>
        <w:ind w:left="426" w:hanging="426"/>
        <w:rPr>
          <w:noProof/>
          <w:spacing w:val="-8"/>
        </w:rPr>
      </w:pPr>
      <w:r w:rsidRPr="00A45DE8">
        <w:rPr>
          <w:noProof/>
          <w:spacing w:val="-8"/>
        </w:rPr>
        <w:t>Access to distribution channels becomes more predictable,</w:t>
      </w:r>
    </w:p>
    <w:p w14:paraId="563CAAB8" w14:textId="77777777" w:rsidR="00A45DE8" w:rsidRPr="00A45DE8" w:rsidRDefault="00A45DE8" w:rsidP="001979E4">
      <w:pPr>
        <w:pStyle w:val="BodyText"/>
        <w:numPr>
          <w:ilvl w:val="0"/>
          <w:numId w:val="39"/>
        </w:numPr>
        <w:spacing w:after="120"/>
        <w:ind w:left="426" w:hanging="426"/>
        <w:rPr>
          <w:noProof/>
          <w:spacing w:val="-8"/>
        </w:rPr>
      </w:pPr>
      <w:r w:rsidRPr="00A45DE8">
        <w:rPr>
          <w:noProof/>
          <w:spacing w:val="-8"/>
        </w:rPr>
        <w:t>Entry barriers for new rail operators are removed,</w:t>
      </w:r>
    </w:p>
    <w:p w14:paraId="706E435C" w14:textId="77777777" w:rsidR="00A45DE8" w:rsidRPr="00A45DE8" w:rsidRDefault="00A45DE8" w:rsidP="001979E4">
      <w:pPr>
        <w:pStyle w:val="BodyText"/>
        <w:numPr>
          <w:ilvl w:val="0"/>
          <w:numId w:val="39"/>
        </w:numPr>
        <w:spacing w:after="120"/>
        <w:ind w:left="426" w:hanging="426"/>
        <w:rPr>
          <w:noProof/>
          <w:spacing w:val="-8"/>
        </w:rPr>
      </w:pPr>
      <w:r w:rsidRPr="00A45DE8">
        <w:rPr>
          <w:noProof/>
          <w:spacing w:val="-8"/>
        </w:rPr>
        <w:t>Vertically integrated distribution systems with SMP face constraints on exclusionary behaviour,</w:t>
      </w:r>
    </w:p>
    <w:p w14:paraId="511B1D8D" w14:textId="77777777" w:rsidR="00A45DE8" w:rsidRPr="00A45DE8" w:rsidRDefault="00A45DE8" w:rsidP="001979E4">
      <w:pPr>
        <w:pStyle w:val="BodyText"/>
        <w:numPr>
          <w:ilvl w:val="0"/>
          <w:numId w:val="39"/>
        </w:numPr>
        <w:spacing w:after="120"/>
        <w:ind w:left="426" w:hanging="426"/>
        <w:rPr>
          <w:noProof/>
          <w:spacing w:val="-8"/>
        </w:rPr>
      </w:pPr>
      <w:r w:rsidRPr="00A45DE8">
        <w:rPr>
          <w:noProof/>
          <w:spacing w:val="-8"/>
        </w:rPr>
        <w:t>Cross-border integration of rail services becomes more feasible;</w:t>
      </w:r>
    </w:p>
    <w:p w14:paraId="18499140" w14:textId="77777777" w:rsidR="00A45DE8" w:rsidRPr="00A45DE8" w:rsidRDefault="00A45DE8" w:rsidP="001979E4">
      <w:pPr>
        <w:pStyle w:val="BodyText"/>
        <w:numPr>
          <w:ilvl w:val="0"/>
          <w:numId w:val="39"/>
        </w:numPr>
        <w:spacing w:after="240"/>
        <w:ind w:left="426" w:hanging="426"/>
        <w:rPr>
          <w:noProof/>
          <w:spacing w:val="-8"/>
        </w:rPr>
      </w:pPr>
      <w:r w:rsidRPr="00A45DE8">
        <w:rPr>
          <w:noProof/>
          <w:spacing w:val="-8"/>
        </w:rPr>
        <w:t>The near totality of customers will benefit from a complete ticketing offer.</w:t>
      </w:r>
    </w:p>
    <w:p w14:paraId="595614B9" w14:textId="77777777" w:rsidR="00A45DE8" w:rsidRPr="00A45DE8" w:rsidRDefault="00A45DE8" w:rsidP="00A45DE8">
      <w:pPr>
        <w:pStyle w:val="BodyText"/>
        <w:spacing w:after="240"/>
        <w:ind w:left="0"/>
        <w:rPr>
          <w:noProof/>
          <w:spacing w:val="-8"/>
        </w:rPr>
      </w:pPr>
      <w:r w:rsidRPr="00A45DE8">
        <w:rPr>
          <w:noProof/>
          <w:spacing w:val="-8"/>
        </w:rPr>
        <w:t>PO3 therefore delivers the most substantial improvement in internal market integration and competition intensity among the policy options.</w:t>
      </w:r>
    </w:p>
    <w:p w14:paraId="1C70739A" w14:textId="34784A84" w:rsidR="00A45DE8" w:rsidRPr="00A45DE8" w:rsidRDefault="00A45DE8" w:rsidP="00A45DE8">
      <w:pPr>
        <w:pStyle w:val="BodyText"/>
        <w:spacing w:after="240"/>
        <w:ind w:left="0"/>
        <w:rPr>
          <w:b/>
          <w:noProof/>
          <w:spacing w:val="-8"/>
        </w:rPr>
      </w:pPr>
      <w:r w:rsidRPr="0D120EAB">
        <w:rPr>
          <w:b/>
          <w:bCs/>
          <w:noProof/>
          <w:spacing w:val="-8"/>
        </w:rPr>
        <w:t xml:space="preserve">Policy Option 4: </w:t>
      </w:r>
      <w:r w:rsidR="78A0ED97" w:rsidRPr="694B3FB0">
        <w:rPr>
          <w:b/>
          <w:i/>
          <w:noProof/>
          <w:spacing w:val="-8"/>
        </w:rPr>
        <w:t>U</w:t>
      </w:r>
      <w:r w:rsidR="0076523F" w:rsidRPr="005D2D60">
        <w:rPr>
          <w:b/>
          <w:i/>
          <w:noProof/>
          <w:spacing w:val="-8"/>
        </w:rPr>
        <w:t>nbundling indispensable RU operators and platforms</w:t>
      </w:r>
    </w:p>
    <w:p w14:paraId="210FA0B5" w14:textId="51CEE0BB" w:rsidR="00A45DE8" w:rsidRPr="00A45DE8" w:rsidRDefault="00A45DE8" w:rsidP="00A45DE8">
      <w:pPr>
        <w:pStyle w:val="BodyText"/>
        <w:spacing w:after="240"/>
        <w:ind w:left="0"/>
        <w:rPr>
          <w:noProof/>
        </w:rPr>
      </w:pPr>
      <w:r w:rsidRPr="00A45DE8">
        <w:rPr>
          <w:noProof/>
          <w:spacing w:val="-8"/>
        </w:rPr>
        <w:t>PO4</w:t>
      </w:r>
      <w:r w:rsidR="594B8A62" w:rsidRPr="00A45DE8">
        <w:rPr>
          <w:noProof/>
          <w:spacing w:val="-8"/>
        </w:rPr>
        <w:t>, with the PM 15,</w:t>
      </w:r>
      <w:r w:rsidRPr="00A45DE8">
        <w:rPr>
          <w:noProof/>
          <w:spacing w:val="-8"/>
        </w:rPr>
        <w:t xml:space="preserve"> also requires </w:t>
      </w:r>
      <w:r w:rsidR="0076523F">
        <w:rPr>
          <w:noProof/>
          <w:spacing w:val="-8"/>
        </w:rPr>
        <w:t>indispensable RUs</w:t>
      </w:r>
      <w:r w:rsidRPr="00A45DE8">
        <w:rPr>
          <w:noProof/>
          <w:spacing w:val="-8"/>
        </w:rPr>
        <w:t xml:space="preserve"> to conclude agreements under fair principles. However, instead of imposing mandatory hosting obligations on </w:t>
      </w:r>
      <w:r w:rsidR="001507EA">
        <w:rPr>
          <w:noProof/>
          <w:spacing w:val="-8"/>
        </w:rPr>
        <w:t>indispensable RU platforms</w:t>
      </w:r>
      <w:r w:rsidRPr="00A45DE8">
        <w:rPr>
          <w:noProof/>
          <w:spacing w:val="-8"/>
        </w:rPr>
        <w:t>, it requires them to unbundle their distribution systems from those of their parent operators.</w:t>
      </w:r>
    </w:p>
    <w:p w14:paraId="6F94F759" w14:textId="77777777" w:rsidR="00A45DE8" w:rsidRPr="00A45DE8" w:rsidRDefault="00A45DE8" w:rsidP="00A45DE8">
      <w:pPr>
        <w:pStyle w:val="BodyText"/>
        <w:spacing w:after="240"/>
        <w:ind w:left="0"/>
        <w:rPr>
          <w:noProof/>
          <w:spacing w:val="-8"/>
        </w:rPr>
      </w:pPr>
      <w:r w:rsidRPr="00A45DE8">
        <w:rPr>
          <w:noProof/>
          <w:spacing w:val="-8"/>
        </w:rPr>
        <w:t>This measure targets structural conflicts of interest rather than transactional access.</w:t>
      </w:r>
    </w:p>
    <w:p w14:paraId="40E208FE" w14:textId="48AC804D" w:rsidR="00A45DE8" w:rsidRPr="00A45DE8" w:rsidRDefault="00A45DE8" w:rsidP="00A45DE8">
      <w:pPr>
        <w:pStyle w:val="BodyText"/>
        <w:spacing w:after="240"/>
        <w:ind w:left="0"/>
        <w:rPr>
          <w:noProof/>
        </w:rPr>
      </w:pPr>
      <w:r w:rsidRPr="00A45DE8">
        <w:rPr>
          <w:noProof/>
          <w:spacing w:val="-8"/>
        </w:rPr>
        <w:t xml:space="preserve">By separating operational and distribution functions, PO4 reduces incentives for preferential treatment and improves neutrality in distribution markets. It addresses vertical integration concerns that may distort competition. However, because PO4 does not impose a direct obligation on </w:t>
      </w:r>
      <w:r w:rsidR="00CC3F8D">
        <w:rPr>
          <w:noProof/>
          <w:spacing w:val="-8"/>
        </w:rPr>
        <w:t xml:space="preserve">indispensable RU </w:t>
      </w:r>
      <w:r w:rsidRPr="00A45DE8">
        <w:rPr>
          <w:noProof/>
          <w:spacing w:val="-8"/>
        </w:rPr>
        <w:t>platforms to conclude hosting agreements, its impact on guaranteed content availability differs from PO3. The improvement in competition stems from structural governance rather than direct inclusion obligations. PO4 therefore strengthens competitive neutrality and internal market coherence, but its mechanism differs from PO3.</w:t>
      </w:r>
    </w:p>
    <w:p w14:paraId="40D8A9CC" w14:textId="6329B7C3" w:rsidR="49F65785" w:rsidRPr="008A1631" w:rsidRDefault="00A45DE8" w:rsidP="004173CB">
      <w:pPr>
        <w:pStyle w:val="BodyText"/>
        <w:spacing w:after="240"/>
        <w:ind w:left="0"/>
        <w:rPr>
          <w:noProof/>
        </w:rPr>
      </w:pPr>
      <w:r w:rsidRPr="00A45DE8">
        <w:rPr>
          <w:noProof/>
          <w:spacing w:val="-8"/>
        </w:rPr>
        <w:t xml:space="preserve">While </w:t>
      </w:r>
      <w:r w:rsidR="5C1E1B77" w:rsidRPr="00A45DE8">
        <w:rPr>
          <w:noProof/>
          <w:spacing w:val="-8"/>
        </w:rPr>
        <w:t>PM15</w:t>
      </w:r>
      <w:r w:rsidRPr="00A45DE8">
        <w:rPr>
          <w:noProof/>
          <w:spacing w:val="-8"/>
        </w:rPr>
        <w:t xml:space="preserve"> is expected to also prevent preferential treatment from incumbents to their own transport services on their platforms, its efficiency is deemed to be lower than PM14, since unbundling is costly and complex to implement and its effects are not immediate, but rather manifest themselves through time as a result of the introduction of a different set of incentives. </w:t>
      </w:r>
    </w:p>
    <w:sectPr w:rsidR="49F65785" w:rsidRPr="008A1631" w:rsidSect="00C66146">
      <w:headerReference w:type="default" r:id="rId78"/>
      <w:footerReference w:type="default" r:id="rId79"/>
      <w:type w:val="nextColumn"/>
      <w:pgSz w:w="11910" w:h="16840"/>
      <w:pgMar w:top="1021" w:right="709" w:bottom="1021" w:left="1588" w:header="0" w:footer="17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503E4" w14:textId="77777777" w:rsidR="00C4332D" w:rsidRPr="00D71008" w:rsidRDefault="00C4332D">
      <w:r w:rsidRPr="00D71008">
        <w:separator/>
      </w:r>
    </w:p>
    <w:p w14:paraId="7D3300C4" w14:textId="77777777" w:rsidR="00C4332D" w:rsidRPr="00D71008" w:rsidRDefault="00C4332D"/>
  </w:endnote>
  <w:endnote w:type="continuationSeparator" w:id="0">
    <w:p w14:paraId="35390677" w14:textId="77777777" w:rsidR="00C4332D" w:rsidRPr="00D71008" w:rsidRDefault="00C4332D">
      <w:r w:rsidRPr="00D71008">
        <w:continuationSeparator/>
      </w:r>
    </w:p>
    <w:p w14:paraId="67B9C504" w14:textId="77777777" w:rsidR="00C4332D" w:rsidRPr="00D71008" w:rsidRDefault="00C4332D"/>
  </w:endnote>
  <w:endnote w:type="continuationNotice" w:id="1">
    <w:p w14:paraId="031CA31C" w14:textId="77777777" w:rsidR="00C4332D" w:rsidRPr="00D71008" w:rsidRDefault="00C4332D"/>
    <w:p w14:paraId="7CAA0BDC" w14:textId="77777777" w:rsidR="00C4332D" w:rsidRPr="00D71008" w:rsidRDefault="00C433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quot;Times New Roman&quot;,serif">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quot;Calibri&quot;,sans-serif">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C Square Sans Cond Pro">
    <w:charset w:val="00"/>
    <w:family w:val="swiss"/>
    <w:pitch w:val="variable"/>
    <w:sig w:usb0="20000287" w:usb1="00000001" w:usb2="00000000" w:usb3="00000000" w:csb0="0000019F" w:csb1="00000000"/>
  </w:font>
  <w:font w:name="Avenir Next LT Pro">
    <w:charset w:val="00"/>
    <w:family w:val="swiss"/>
    <w:pitch w:val="variable"/>
    <w:sig w:usb0="800000EF" w:usb1="5000204A"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Yu Mincho">
    <w:altName w:val="游明朝"/>
    <w:charset w:val="80"/>
    <w:family w:val="roman"/>
    <w:pitch w:val="variable"/>
    <w:sig w:usb0="800002E7" w:usb1="2AC7FCFF" w:usb2="00000012" w:usb3="00000000" w:csb0="0002009F" w:csb1="00000000"/>
  </w:font>
  <w:font w:name="Roboto">
    <w:altName w:val="Times New Roman"/>
    <w:charset w:val="00"/>
    <w:family w:val="auto"/>
    <w:pitch w:val="variable"/>
    <w:sig w:usb0="00000001" w:usb1="5000217F" w:usb2="00000021" w:usb3="00000000" w:csb0="0000019F" w:csb1="00000000"/>
  </w:font>
  <w:font w:name="Aptos">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8941F" w14:textId="12D36C87" w:rsidR="00DA297B" w:rsidRPr="00DA297B" w:rsidRDefault="00DA297B" w:rsidP="00DA297B">
    <w:pPr>
      <w:pStyle w:val="FooterCoverPage"/>
      <w:rPr>
        <w:rFonts w:ascii="Arial" w:hAnsi="Arial" w:cs="Arial"/>
        <w:b/>
        <w:sz w:val="48"/>
      </w:rPr>
    </w:pPr>
    <w:r w:rsidRPr="00DA297B">
      <w:rPr>
        <w:rFonts w:ascii="Arial" w:hAnsi="Arial" w:cs="Arial"/>
        <w:b/>
        <w:sz w:val="48"/>
      </w:rPr>
      <w:t>EN</w:t>
    </w:r>
    <w:r w:rsidRPr="00DA297B">
      <w:rPr>
        <w:rFonts w:ascii="Arial" w:hAnsi="Arial" w:cs="Arial"/>
        <w:b/>
        <w:sz w:val="48"/>
      </w:rPr>
      <w:tab/>
    </w:r>
    <w:r w:rsidRPr="00DA297B">
      <w:rPr>
        <w:rFonts w:ascii="Arial" w:hAnsi="Arial" w:cs="Arial"/>
        <w:b/>
        <w:sz w:val="48"/>
      </w:rPr>
      <w:tab/>
    </w:r>
    <w:r w:rsidRPr="00DA297B">
      <w:tab/>
    </w:r>
    <w:r w:rsidRPr="00DA297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FE6CD" w14:textId="2B0B96B2" w:rsidR="00DA297B" w:rsidRPr="00DA297B" w:rsidRDefault="00DA297B" w:rsidP="00DA297B">
    <w:pPr>
      <w:pStyle w:val="FooterCoverPage"/>
      <w:rPr>
        <w:rFonts w:ascii="Arial" w:hAnsi="Arial" w:cs="Arial"/>
        <w:b/>
        <w:sz w:val="48"/>
      </w:rPr>
    </w:pPr>
    <w:r w:rsidRPr="00DA297B">
      <w:rPr>
        <w:rFonts w:ascii="Arial" w:hAnsi="Arial" w:cs="Arial"/>
        <w:b/>
        <w:sz w:val="48"/>
      </w:rPr>
      <w:t>EN</w:t>
    </w:r>
    <w:r w:rsidRPr="00DA297B">
      <w:rPr>
        <w:rFonts w:ascii="Arial" w:hAnsi="Arial" w:cs="Arial"/>
        <w:b/>
        <w:sz w:val="48"/>
      </w:rPr>
      <w:tab/>
    </w:r>
    <w:r w:rsidRPr="00DA297B">
      <w:rPr>
        <w:rFonts w:ascii="Arial" w:hAnsi="Arial" w:cs="Arial"/>
        <w:b/>
        <w:sz w:val="48"/>
      </w:rPr>
      <w:tab/>
    </w:r>
    <w:r w:rsidRPr="00DA297B">
      <w:tab/>
    </w:r>
    <w:r w:rsidRPr="00DA297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79FA2" w14:textId="77777777" w:rsidR="00DA297B" w:rsidRPr="00DA297B" w:rsidRDefault="00DA297B" w:rsidP="00DA297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694994"/>
      <w:docPartObj>
        <w:docPartGallery w:val="Page Numbers (Bottom of Page)"/>
        <w:docPartUnique/>
      </w:docPartObj>
    </w:sdtPr>
    <w:sdtEndPr>
      <w:rPr>
        <w:noProof/>
      </w:rPr>
    </w:sdtEndPr>
    <w:sdtContent>
      <w:p w14:paraId="503F39C6" w14:textId="77777777" w:rsidR="00910B2C" w:rsidRDefault="00910B2C">
        <w:pPr>
          <w:pStyle w:val="Footer"/>
          <w:jc w:val="center"/>
        </w:pPr>
        <w:r w:rsidRPr="00117904">
          <w:fldChar w:fldCharType="begin"/>
        </w:r>
        <w:r>
          <w:instrText xml:space="preserve"> PAGE   \* MERGEFORMAT </w:instrText>
        </w:r>
        <w:r w:rsidRPr="00117904">
          <w:fldChar w:fldCharType="separate"/>
        </w:r>
        <w:r w:rsidRPr="00117904">
          <w:t>2</w:t>
        </w:r>
        <w:r w:rsidRPr="00117904">
          <w:fldChar w:fldCharType="end"/>
        </w:r>
      </w:p>
    </w:sdtContent>
  </w:sdt>
  <w:p w14:paraId="24984CE7" w14:textId="77777777" w:rsidR="00910B2C" w:rsidRDefault="00910B2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6239015"/>
      <w:docPartObj>
        <w:docPartGallery w:val="Page Numbers (Bottom of Page)"/>
        <w:docPartUnique/>
      </w:docPartObj>
    </w:sdtPr>
    <w:sdtEndPr>
      <w:rPr>
        <w:noProof/>
      </w:rPr>
    </w:sdtEndPr>
    <w:sdtContent>
      <w:p w14:paraId="0BA329DF" w14:textId="4E26AAF8" w:rsidR="00724722" w:rsidRDefault="00724722" w:rsidP="00DE0695">
        <w:pPr>
          <w:pStyle w:val="Footer"/>
          <w:jc w:val="center"/>
        </w:pPr>
        <w:r w:rsidRPr="00117904">
          <w:fldChar w:fldCharType="begin"/>
        </w:r>
        <w:r>
          <w:instrText xml:space="preserve"> PAGE   \* MERGEFORMAT </w:instrText>
        </w:r>
        <w:r w:rsidRPr="00117904">
          <w:fldChar w:fldCharType="separate"/>
        </w:r>
        <w:r w:rsidR="00DA297B">
          <w:rPr>
            <w:noProof/>
          </w:rPr>
          <w:t>I</w:t>
        </w:r>
        <w:r w:rsidRPr="00117904">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6C109" w14:textId="77777777" w:rsidR="00910B2C" w:rsidRDefault="00910B2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869222"/>
      <w:docPartObj>
        <w:docPartGallery w:val="Page Numbers (Bottom of Page)"/>
        <w:docPartUnique/>
      </w:docPartObj>
    </w:sdtPr>
    <w:sdtEndPr>
      <w:rPr>
        <w:noProof/>
      </w:rPr>
    </w:sdtEndPr>
    <w:sdtContent>
      <w:p w14:paraId="1A3AB734" w14:textId="30CA64BA" w:rsidR="00724722" w:rsidRDefault="00724722" w:rsidP="00DE0695">
        <w:pPr>
          <w:pStyle w:val="Footer"/>
          <w:jc w:val="center"/>
        </w:pPr>
        <w:r w:rsidRPr="00117904">
          <w:fldChar w:fldCharType="begin"/>
        </w:r>
        <w:r>
          <w:instrText xml:space="preserve"> PAGE   \* MERGEFORMAT </w:instrText>
        </w:r>
        <w:r w:rsidRPr="00117904">
          <w:fldChar w:fldCharType="separate"/>
        </w:r>
        <w:r w:rsidR="00DA297B">
          <w:rPr>
            <w:noProof/>
          </w:rPr>
          <w:t>IV</w:t>
        </w:r>
        <w:r w:rsidRPr="00117904">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8538365"/>
      <w:docPartObj>
        <w:docPartGallery w:val="Page Numbers (Bottom of Page)"/>
        <w:docPartUnique/>
      </w:docPartObj>
    </w:sdtPr>
    <w:sdtEndPr>
      <w:rPr>
        <w:noProof/>
      </w:rPr>
    </w:sdtEndPr>
    <w:sdtContent>
      <w:p w14:paraId="0D7F1B7F" w14:textId="05A1FF2F" w:rsidR="00724722" w:rsidRDefault="00724722" w:rsidP="00DE0695">
        <w:pPr>
          <w:pStyle w:val="Footer"/>
          <w:jc w:val="center"/>
        </w:pPr>
        <w:r w:rsidRPr="00117904">
          <w:fldChar w:fldCharType="begin"/>
        </w:r>
        <w:r>
          <w:instrText xml:space="preserve"> PAGE   \* MERGEFORMAT </w:instrText>
        </w:r>
        <w:r w:rsidRPr="00117904">
          <w:fldChar w:fldCharType="separate"/>
        </w:r>
        <w:r w:rsidR="00DA297B">
          <w:rPr>
            <w:noProof/>
          </w:rPr>
          <w:t>2</w:t>
        </w:r>
        <w:r w:rsidRPr="00117904">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0507347"/>
      <w:docPartObj>
        <w:docPartGallery w:val="Page Numbers (Bottom of Page)"/>
        <w:docPartUnique/>
      </w:docPartObj>
    </w:sdtPr>
    <w:sdtEndPr>
      <w:rPr>
        <w:noProof/>
      </w:rPr>
    </w:sdtEndPr>
    <w:sdtContent>
      <w:p w14:paraId="18B839FF" w14:textId="77777777" w:rsidR="00724722" w:rsidRDefault="00724722" w:rsidP="00DE0695">
        <w:pPr>
          <w:pStyle w:val="Footer"/>
          <w:jc w:val="center"/>
        </w:pPr>
        <w:r w:rsidRPr="00117904">
          <w:fldChar w:fldCharType="begin"/>
        </w:r>
        <w:r>
          <w:instrText xml:space="preserve"> PAGE   \* MERGEFORMAT </w:instrText>
        </w:r>
        <w:r w:rsidRPr="00117904">
          <w:fldChar w:fldCharType="separate"/>
        </w:r>
        <w:r w:rsidRPr="00117904">
          <w:t>2</w:t>
        </w:r>
        <w:r w:rsidRPr="00117904">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3542739"/>
      <w:docPartObj>
        <w:docPartGallery w:val="Page Numbers (Bottom of Page)"/>
        <w:docPartUnique/>
      </w:docPartObj>
    </w:sdtPr>
    <w:sdtEndPr>
      <w:rPr>
        <w:noProof/>
      </w:rPr>
    </w:sdtEndPr>
    <w:sdtContent>
      <w:p w14:paraId="0414FE16" w14:textId="77777777" w:rsidR="00724722" w:rsidRDefault="00724722" w:rsidP="00DE0695">
        <w:pPr>
          <w:pStyle w:val="Footer"/>
          <w:jc w:val="center"/>
        </w:pPr>
        <w:r w:rsidRPr="00117904">
          <w:fldChar w:fldCharType="begin"/>
        </w:r>
        <w:r>
          <w:instrText xml:space="preserve"> PAGE   \* MERGEFORMAT </w:instrText>
        </w:r>
        <w:r w:rsidRPr="00117904">
          <w:fldChar w:fldCharType="separate"/>
        </w:r>
        <w:r w:rsidRPr="00117904">
          <w:t>2</w:t>
        </w:r>
        <w:r w:rsidRPr="00117904">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2AADD" w14:textId="22F3793B" w:rsidR="00712390" w:rsidRPr="00D71008" w:rsidRDefault="00863698" w:rsidP="001A2240">
    <w:pPr>
      <w:pStyle w:val="BodyText"/>
      <w:spacing w:line="14" w:lineRule="auto"/>
      <w:ind w:left="0"/>
      <w:rPr>
        <w:sz w:val="20"/>
      </w:rPr>
    </w:pPr>
    <w:r w:rsidRPr="00D71008">
      <w:rPr>
        <w:noProof/>
        <w:lang w:eastAsia="en-GB"/>
      </w:rPr>
      <mc:AlternateContent>
        <mc:Choice Requires="wps">
          <w:drawing>
            <wp:anchor distT="0" distB="0" distL="0" distR="0" simplePos="0" relativeHeight="251658240" behindDoc="1" locked="0" layoutInCell="1" allowOverlap="1" wp14:anchorId="0D0FEC5F" wp14:editId="3743CB06">
              <wp:simplePos x="0" y="0"/>
              <wp:positionH relativeFrom="margin">
                <wp:posOffset>2680335</wp:posOffset>
              </wp:positionH>
              <wp:positionV relativeFrom="bottomMargin">
                <wp:posOffset>118110</wp:posOffset>
              </wp:positionV>
              <wp:extent cx="317500" cy="194310"/>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2233C7BC" w14:textId="77777777" w:rsidR="00712390" w:rsidRPr="00D71008" w:rsidRDefault="003C4819"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D0FEC5F" id="_x0000_t202" coordsize="21600,21600" o:spt="202" path="m,l,21600r21600,l21600,xe">
              <v:stroke joinstyle="miter"/>
              <v:path gradientshapeok="t" o:connecttype="rect"/>
            </v:shapetype>
            <v:shape id="Textbox 126" o:spid="_x0000_s1064" type="#_x0000_t202" style="position:absolute;left:0;text-align:left;margin-left:211.05pt;margin-top:9.3pt;width:25pt;height:15.3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" filled="f" stroked="f">
              <v:path arrowok="t"/>
              <v:textbox inset="0,0,0,0">
                <w:txbxContent>
                  <w:p w14:paraId="2233C7BC" w14:textId="77777777" w:rsidR="00712390" w:rsidRPr="00D71008" w:rsidRDefault="003C4819"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v:textbox>
              <w10:wrap anchorx="margin" anchory="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A3ADD" w14:textId="77777777" w:rsidR="00724722" w:rsidRPr="00D71008" w:rsidRDefault="00724722" w:rsidP="001A2240">
    <w:pPr>
      <w:pStyle w:val="BodyText"/>
      <w:spacing w:line="14" w:lineRule="auto"/>
      <w:ind w:left="0"/>
      <w:rPr>
        <w:sz w:val="20"/>
      </w:rPr>
    </w:pPr>
    <w:r w:rsidRPr="00D71008">
      <w:rPr>
        <w:noProof/>
        <w:lang w:eastAsia="en-GB"/>
      </w:rPr>
      <mc:AlternateContent>
        <mc:Choice Requires="wps">
          <w:drawing>
            <wp:anchor distT="0" distB="0" distL="0" distR="0" simplePos="0" relativeHeight="251658245" behindDoc="1" locked="0" layoutInCell="1" allowOverlap="1" wp14:anchorId="5681203A" wp14:editId="32BE3926">
              <wp:simplePos x="0" y="0"/>
              <wp:positionH relativeFrom="margin">
                <wp:posOffset>2680335</wp:posOffset>
              </wp:positionH>
              <wp:positionV relativeFrom="bottomMargin">
                <wp:posOffset>118110</wp:posOffset>
              </wp:positionV>
              <wp:extent cx="317500" cy="194310"/>
              <wp:effectExtent l="0" t="0" r="0" b="0"/>
              <wp:wrapNone/>
              <wp:docPr id="1100887965"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6AE029F3" w14:textId="77777777" w:rsidR="00724722" w:rsidRPr="00D71008" w:rsidRDefault="00724722"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681203A" id="_x0000_t202" coordsize="21600,21600" o:spt="202" path="m,l,21600r21600,l21600,xe">
              <v:stroke joinstyle="miter"/>
              <v:path gradientshapeok="t" o:connecttype="rect"/>
            </v:shapetype>
            <v:shape id="_x0000_s1065" type="#_x0000_t202" style="position:absolute;left:0;text-align:left;margin-left:211.05pt;margin-top:9.3pt;width:25pt;height:15.3pt;z-index:-251658235;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" filled="f" stroked="f">
              <v:path arrowok="t"/>
              <v:textbox inset="0,0,0,0">
                <w:txbxContent>
                  <w:p w14:paraId="6AE029F3" w14:textId="77777777" w:rsidR="00724722" w:rsidRPr="00D71008" w:rsidRDefault="00724722"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v:textbox>
              <w10:wrap anchorx="margin" anchory="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73668" w14:textId="77777777" w:rsidR="00494306" w:rsidRDefault="00C14354">
    <w:pPr>
      <w:pStyle w:val="Footer"/>
    </w:pPr>
    <w:r w:rsidRPr="00D71008">
      <w:rPr>
        <w:noProof/>
        <w:lang w:eastAsia="en-GB"/>
      </w:rPr>
      <mc:AlternateContent>
        <mc:Choice Requires="wps">
          <w:drawing>
            <wp:anchor distT="0" distB="0" distL="0" distR="0" simplePos="0" relativeHeight="251658242" behindDoc="1" locked="0" layoutInCell="1" allowOverlap="1" wp14:anchorId="61BF231F" wp14:editId="6716F535">
              <wp:simplePos x="0" y="0"/>
              <wp:positionH relativeFrom="margin">
                <wp:posOffset>3982085</wp:posOffset>
              </wp:positionH>
              <wp:positionV relativeFrom="bottomMargin">
                <wp:posOffset>10160</wp:posOffset>
              </wp:positionV>
              <wp:extent cx="317500" cy="194310"/>
              <wp:effectExtent l="0" t="0" r="0" b="0"/>
              <wp:wrapNone/>
              <wp:docPr id="1863796247"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2AD57571" w14:textId="77777777" w:rsidR="00C14354" w:rsidRPr="00D71008" w:rsidRDefault="00C14354"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1BF231F" id="_x0000_t202" coordsize="21600,21600" o:spt="202" path="m,l,21600r21600,l21600,xe">
              <v:stroke joinstyle="miter"/>
              <v:path gradientshapeok="t" o:connecttype="rect"/>
            </v:shapetype>
            <v:shape id="_x0000_s1066" type="#_x0000_t202" style="position:absolute;margin-left:313.55pt;margin-top:.8pt;width:25pt;height:15.3pt;z-index:-251658238;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" filled="f" stroked="f">
              <v:path arrowok="t"/>
              <v:textbox inset="0,0,0,0">
                <w:txbxContent>
                  <w:p w14:paraId="2AD57571" w14:textId="77777777" w:rsidR="00C14354" w:rsidRPr="00D71008" w:rsidRDefault="00C14354"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v:textbox>
              <w10:wrap anchorx="margin" anchory="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39FD9" w14:textId="77777777" w:rsidR="00494306" w:rsidRDefault="00C14354">
    <w:pPr>
      <w:pStyle w:val="Footer"/>
    </w:pPr>
    <w:r w:rsidRPr="00D71008">
      <w:rPr>
        <w:noProof/>
        <w:lang w:eastAsia="en-GB"/>
      </w:rPr>
      <mc:AlternateContent>
        <mc:Choice Requires="wps">
          <w:drawing>
            <wp:anchor distT="0" distB="0" distL="0" distR="0" simplePos="0" relativeHeight="251658243" behindDoc="1" locked="0" layoutInCell="1" allowOverlap="1" wp14:anchorId="3BD807D2" wp14:editId="5B093DDC">
              <wp:simplePos x="0" y="0"/>
              <wp:positionH relativeFrom="margin">
                <wp:posOffset>2769235</wp:posOffset>
              </wp:positionH>
              <wp:positionV relativeFrom="bottomMargin">
                <wp:posOffset>130810</wp:posOffset>
              </wp:positionV>
              <wp:extent cx="317500" cy="194310"/>
              <wp:effectExtent l="0" t="0" r="0" b="0"/>
              <wp:wrapNone/>
              <wp:docPr id="1040889574"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7FBA9500" w14:textId="77777777" w:rsidR="00C14354" w:rsidRPr="00D71008" w:rsidRDefault="00C14354"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BD807D2" id="_x0000_t202" coordsize="21600,21600" o:spt="202" path="m,l,21600r21600,l21600,xe">
              <v:stroke joinstyle="miter"/>
              <v:path gradientshapeok="t" o:connecttype="rect"/>
            </v:shapetype>
            <v:shape id="_x0000_s1067" type="#_x0000_t202" style="position:absolute;margin-left:218.05pt;margin-top:10.3pt;width:25pt;height:15.3pt;z-index:-251658237;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" filled="f" stroked="f">
              <v:path arrowok="t"/>
              <v:textbox inset="0,0,0,0">
                <w:txbxContent>
                  <w:p w14:paraId="7FBA9500" w14:textId="77777777" w:rsidR="00C14354" w:rsidRPr="00D71008" w:rsidRDefault="00C14354"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v:textbox>
              <w10:wrap anchorx="margin" anchory="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2DEE2" w14:textId="77777777" w:rsidR="00724722" w:rsidRDefault="00724722">
    <w:pPr>
      <w:pStyle w:val="Footer"/>
    </w:pPr>
    <w:r w:rsidRPr="00D71008">
      <w:rPr>
        <w:noProof/>
        <w:lang w:eastAsia="en-GB"/>
      </w:rPr>
      <mc:AlternateContent>
        <mc:Choice Requires="wps">
          <w:drawing>
            <wp:anchor distT="0" distB="0" distL="0" distR="0" simplePos="0" relativeHeight="251658246" behindDoc="1" locked="0" layoutInCell="1" allowOverlap="1" wp14:anchorId="4E2D3D32" wp14:editId="389190BD">
              <wp:simplePos x="0" y="0"/>
              <wp:positionH relativeFrom="margin">
                <wp:posOffset>2769235</wp:posOffset>
              </wp:positionH>
              <wp:positionV relativeFrom="bottomMargin">
                <wp:posOffset>130810</wp:posOffset>
              </wp:positionV>
              <wp:extent cx="317500" cy="194310"/>
              <wp:effectExtent l="0" t="0" r="0" b="0"/>
              <wp:wrapNone/>
              <wp:docPr id="617199879"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6908C6B3" w14:textId="77777777" w:rsidR="00724722" w:rsidRPr="00D71008" w:rsidRDefault="00724722"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E2D3D32" id="_x0000_t202" coordsize="21600,21600" o:spt="202" path="m,l,21600r21600,l21600,xe">
              <v:stroke joinstyle="miter"/>
              <v:path gradientshapeok="t" o:connecttype="rect"/>
            </v:shapetype>
            <v:shape id="_x0000_s1068" type="#_x0000_t202" style="position:absolute;margin-left:218.05pt;margin-top:10.3pt;width:25pt;height:15.3pt;z-index:-251658234;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" filled="f" stroked="f">
              <v:path arrowok="t"/>
              <v:textbox inset="0,0,0,0">
                <w:txbxContent>
                  <w:p w14:paraId="6908C6B3" w14:textId="77777777" w:rsidR="00724722" w:rsidRPr="00D71008" w:rsidRDefault="00724722"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v:textbox>
              <w10:wrap anchorx="margin" anchory="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CB185" w14:textId="77777777" w:rsidR="00724722" w:rsidRDefault="00724722">
    <w:pPr>
      <w:pStyle w:val="Footer"/>
    </w:pPr>
    <w:r w:rsidRPr="00D71008">
      <w:rPr>
        <w:noProof/>
        <w:lang w:eastAsia="en-GB"/>
      </w:rPr>
      <mc:AlternateContent>
        <mc:Choice Requires="wps">
          <w:drawing>
            <wp:anchor distT="0" distB="0" distL="0" distR="0" simplePos="0" relativeHeight="251658247" behindDoc="1" locked="0" layoutInCell="1" allowOverlap="1" wp14:anchorId="2F82FEE7" wp14:editId="4F79B79D">
              <wp:simplePos x="0" y="0"/>
              <wp:positionH relativeFrom="margin">
                <wp:posOffset>2769235</wp:posOffset>
              </wp:positionH>
              <wp:positionV relativeFrom="bottomMargin">
                <wp:posOffset>130810</wp:posOffset>
              </wp:positionV>
              <wp:extent cx="317500" cy="194310"/>
              <wp:effectExtent l="0" t="0" r="0" b="0"/>
              <wp:wrapNone/>
              <wp:docPr id="1389002358"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1A5AF668" w14:textId="77777777" w:rsidR="00724722" w:rsidRPr="00D71008" w:rsidRDefault="00724722"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F82FEE7" id="_x0000_t202" coordsize="21600,21600" o:spt="202" path="m,l,21600r21600,l21600,xe">
              <v:stroke joinstyle="miter"/>
              <v:path gradientshapeok="t" o:connecttype="rect"/>
            </v:shapetype>
            <v:shape id="_x0000_s1069" type="#_x0000_t202" style="position:absolute;margin-left:218.05pt;margin-top:10.3pt;width:25pt;height:15.3pt;z-index:-251658233;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" filled="f" stroked="f">
              <v:path arrowok="t"/>
              <v:textbox inset="0,0,0,0">
                <w:txbxContent>
                  <w:p w14:paraId="1A5AF668" w14:textId="77777777" w:rsidR="00724722" w:rsidRPr="00D71008" w:rsidRDefault="00724722"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v:textbox>
              <w10:wrap anchorx="margin" anchory="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A0F6A" w14:textId="77777777" w:rsidR="00724722" w:rsidRDefault="00724722">
    <w:pPr>
      <w:pStyle w:val="Footer"/>
    </w:pPr>
    <w:r w:rsidRPr="00D71008">
      <w:rPr>
        <w:noProof/>
        <w:lang w:eastAsia="en-GB"/>
      </w:rPr>
      <mc:AlternateContent>
        <mc:Choice Requires="wps">
          <w:drawing>
            <wp:anchor distT="0" distB="0" distL="0" distR="0" simplePos="0" relativeHeight="251658248" behindDoc="1" locked="0" layoutInCell="1" allowOverlap="1" wp14:anchorId="092E5830" wp14:editId="51F9D485">
              <wp:simplePos x="0" y="0"/>
              <wp:positionH relativeFrom="margin">
                <wp:posOffset>2769235</wp:posOffset>
              </wp:positionH>
              <wp:positionV relativeFrom="bottomMargin">
                <wp:posOffset>130810</wp:posOffset>
              </wp:positionV>
              <wp:extent cx="317500" cy="194310"/>
              <wp:effectExtent l="0" t="0" r="0" b="0"/>
              <wp:wrapNone/>
              <wp:docPr id="49050171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624CBA87" w14:textId="77777777" w:rsidR="00724722" w:rsidRPr="00D71008" w:rsidRDefault="00724722"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92E5830" id="_x0000_t202" coordsize="21600,21600" o:spt="202" path="m,l,21600r21600,l21600,xe">
              <v:stroke joinstyle="miter"/>
              <v:path gradientshapeok="t" o:connecttype="rect"/>
            </v:shapetype>
            <v:shape id="_x0000_s1070" type="#_x0000_t202" style="position:absolute;margin-left:218.05pt;margin-top:10.3pt;width:25pt;height:15.3pt;z-index:-251658232;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" filled="f" stroked="f">
              <v:path arrowok="t"/>
              <v:textbox inset="0,0,0,0">
                <w:txbxContent>
                  <w:p w14:paraId="624CBA87" w14:textId="77777777" w:rsidR="00724722" w:rsidRPr="00D71008" w:rsidRDefault="00724722"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v:textbox>
              <w10:wrap anchorx="margin" anchory="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10E25" w14:textId="77777777" w:rsidR="00724722" w:rsidRDefault="00724722">
    <w:pPr>
      <w:pStyle w:val="Footer"/>
    </w:pPr>
    <w:r w:rsidRPr="00D71008">
      <w:rPr>
        <w:noProof/>
        <w:lang w:eastAsia="en-GB"/>
      </w:rPr>
      <mc:AlternateContent>
        <mc:Choice Requires="wps">
          <w:drawing>
            <wp:anchor distT="0" distB="0" distL="0" distR="0" simplePos="0" relativeHeight="251658249" behindDoc="1" locked="0" layoutInCell="1" allowOverlap="1" wp14:anchorId="45E86A1F" wp14:editId="003C0873">
              <wp:simplePos x="0" y="0"/>
              <wp:positionH relativeFrom="margin">
                <wp:posOffset>2769235</wp:posOffset>
              </wp:positionH>
              <wp:positionV relativeFrom="bottomMargin">
                <wp:posOffset>130810</wp:posOffset>
              </wp:positionV>
              <wp:extent cx="317500" cy="194310"/>
              <wp:effectExtent l="0" t="0" r="0" b="0"/>
              <wp:wrapNone/>
              <wp:docPr id="562516893"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144FD170" w14:textId="77777777" w:rsidR="00724722" w:rsidRPr="00D71008" w:rsidRDefault="00724722"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5E86A1F" id="_x0000_t202" coordsize="21600,21600" o:spt="202" path="m,l,21600r21600,l21600,xe">
              <v:stroke joinstyle="miter"/>
              <v:path gradientshapeok="t" o:connecttype="rect"/>
            </v:shapetype>
            <v:shape id="_x0000_s1071" type="#_x0000_t202" style="position:absolute;margin-left:218.05pt;margin-top:10.3pt;width:25pt;height:15.3pt;z-index:-251658231;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" filled="f" stroked="f">
              <v:path arrowok="t"/>
              <v:textbox inset="0,0,0,0">
                <w:txbxContent>
                  <w:p w14:paraId="144FD170" w14:textId="77777777" w:rsidR="00724722" w:rsidRPr="00D71008" w:rsidRDefault="00724722"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v:textbox>
              <w10:wrap anchorx="margin" anchory="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C343A" w14:textId="77777777" w:rsidR="00724722" w:rsidRDefault="00724722">
    <w:pPr>
      <w:pStyle w:val="Footer"/>
    </w:pPr>
    <w:r w:rsidRPr="00D71008">
      <w:rPr>
        <w:noProof/>
        <w:lang w:eastAsia="en-GB"/>
      </w:rPr>
      <mc:AlternateContent>
        <mc:Choice Requires="wps">
          <w:drawing>
            <wp:anchor distT="0" distB="0" distL="0" distR="0" simplePos="0" relativeHeight="251658250" behindDoc="1" locked="0" layoutInCell="1" allowOverlap="1" wp14:anchorId="7BAC65FD" wp14:editId="1FD1A1B5">
              <wp:simplePos x="0" y="0"/>
              <wp:positionH relativeFrom="margin">
                <wp:posOffset>2769235</wp:posOffset>
              </wp:positionH>
              <wp:positionV relativeFrom="bottomMargin">
                <wp:posOffset>130810</wp:posOffset>
              </wp:positionV>
              <wp:extent cx="317500" cy="194310"/>
              <wp:effectExtent l="0" t="0" r="0" b="0"/>
              <wp:wrapNone/>
              <wp:docPr id="1409143555"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5B68F62A" w14:textId="77777777" w:rsidR="00724722" w:rsidRPr="00D71008" w:rsidRDefault="00724722"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BAC65FD" id="_x0000_t202" coordsize="21600,21600" o:spt="202" path="m,l,21600r21600,l21600,xe">
              <v:stroke joinstyle="miter"/>
              <v:path gradientshapeok="t" o:connecttype="rect"/>
            </v:shapetype>
            <v:shape id="_x0000_s1072" type="#_x0000_t202" style="position:absolute;margin-left:218.05pt;margin-top:10.3pt;width:25pt;height:15.3pt;z-index:-25165823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" filled="f" stroked="f">
              <v:path arrowok="t"/>
              <v:textbox inset="0,0,0,0">
                <w:txbxContent>
                  <w:p w14:paraId="5B68F62A" w14:textId="77777777" w:rsidR="00724722" w:rsidRPr="00D71008" w:rsidRDefault="00724722"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v:textbox>
              <w10:wrap anchorx="margin" anchory="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BB6B3" w14:textId="77777777" w:rsidR="00724722" w:rsidRDefault="00724722">
    <w:pPr>
      <w:pStyle w:val="Footer"/>
    </w:pPr>
    <w:r w:rsidRPr="00D71008">
      <w:rPr>
        <w:noProof/>
        <w:lang w:eastAsia="en-GB"/>
      </w:rPr>
      <mc:AlternateContent>
        <mc:Choice Requires="wps">
          <w:drawing>
            <wp:anchor distT="0" distB="0" distL="0" distR="0" simplePos="0" relativeHeight="251658251" behindDoc="1" locked="0" layoutInCell="1" allowOverlap="1" wp14:anchorId="34FC9EE2" wp14:editId="5A68243C">
              <wp:simplePos x="0" y="0"/>
              <wp:positionH relativeFrom="margin">
                <wp:posOffset>2769235</wp:posOffset>
              </wp:positionH>
              <wp:positionV relativeFrom="bottomMargin">
                <wp:posOffset>130810</wp:posOffset>
              </wp:positionV>
              <wp:extent cx="317500" cy="194310"/>
              <wp:effectExtent l="0" t="0" r="0" b="0"/>
              <wp:wrapNone/>
              <wp:docPr id="182553923"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16609135" w14:textId="77777777" w:rsidR="00724722" w:rsidRPr="00D71008" w:rsidRDefault="00724722"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4FC9EE2" id="_x0000_t202" coordsize="21600,21600" o:spt="202" path="m,l,21600r21600,l21600,xe">
              <v:stroke joinstyle="miter"/>
              <v:path gradientshapeok="t" o:connecttype="rect"/>
            </v:shapetype>
            <v:shape id="_x0000_s1073" type="#_x0000_t202" style="position:absolute;margin-left:218.05pt;margin-top:10.3pt;width:25pt;height:15.3pt;z-index:-251658229;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" filled="f" stroked="f">
              <v:path arrowok="t"/>
              <v:textbox inset="0,0,0,0">
                <w:txbxContent>
                  <w:p w14:paraId="16609135" w14:textId="77777777" w:rsidR="00724722" w:rsidRPr="00D71008" w:rsidRDefault="00724722" w:rsidP="007527C5">
                    <w:pPr>
                      <w:pStyle w:val="BodyText"/>
                      <w:spacing w:before="10"/>
                      <w:ind w:left="60"/>
                      <w:jc w:val="center"/>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107</w:t>
                    </w:r>
                    <w:r w:rsidRPr="00D71008">
                      <w:rPr>
                        <w:spacing w:val="-5"/>
                      </w:rPr>
                      <w:fldChar w:fldCharType="end"/>
                    </w:r>
                  </w:p>
                </w:txbxContent>
              </v:textbox>
              <w10:wrap anchorx="margin" anchory="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942F5" w14:textId="77777777" w:rsidR="00712390" w:rsidRPr="00D71008" w:rsidRDefault="003C4819">
    <w:pPr>
      <w:pStyle w:val="BodyText"/>
      <w:spacing w:line="14" w:lineRule="auto"/>
      <w:ind w:left="0"/>
      <w:jc w:val="left"/>
      <w:rPr>
        <w:sz w:val="20"/>
      </w:rPr>
    </w:pPr>
    <w:r w:rsidRPr="00D71008">
      <w:rPr>
        <w:noProof/>
        <w:lang w:eastAsia="en-GB"/>
      </w:rPr>
      <mc:AlternateContent>
        <mc:Choice Requires="wps">
          <w:drawing>
            <wp:anchor distT="0" distB="0" distL="0" distR="0" simplePos="0" relativeHeight="251658241" behindDoc="1" locked="0" layoutInCell="1" allowOverlap="1" wp14:anchorId="0BB5E920" wp14:editId="4271F4F7">
              <wp:simplePos x="0" y="0"/>
              <wp:positionH relativeFrom="page">
                <wp:posOffset>3790960</wp:posOffset>
              </wp:positionH>
              <wp:positionV relativeFrom="page">
                <wp:posOffset>9712903</wp:posOffset>
              </wp:positionV>
              <wp:extent cx="317500" cy="194310"/>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1B4D55F6" w14:textId="77777777" w:rsidR="00712390" w:rsidRPr="00D71008" w:rsidRDefault="003C4819">
                          <w:pPr>
                            <w:pStyle w:val="BodyText"/>
                            <w:spacing w:before="10"/>
                            <w:ind w:left="60"/>
                            <w:jc w:val="left"/>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125</w:t>
                          </w:r>
                          <w:r w:rsidRPr="00D71008">
                            <w:rPr>
                              <w:spacing w:val="-5"/>
                            </w:rPr>
                            <w:fldChar w:fldCharType="end"/>
                          </w:r>
                        </w:p>
                      </w:txbxContent>
                    </wps:txbx>
                    <wps:bodyPr wrap="square" lIns="0" tIns="0" rIns="0" bIns="0" rtlCol="0">
                      <a:noAutofit/>
                    </wps:bodyPr>
                  </wps:wsp>
                </a:graphicData>
              </a:graphic>
            </wp:anchor>
          </w:drawing>
        </mc:Choice>
        <mc:Fallback>
          <w:pict>
            <v:shapetype w14:anchorId="0BB5E920" id="_x0000_t202" coordsize="21600,21600" o:spt="202" path="m,l,21600r21600,l21600,xe">
              <v:stroke joinstyle="miter"/>
              <v:path gradientshapeok="t" o:connecttype="rect"/>
            </v:shapetype>
            <v:shape id="Textbox 134" o:spid="_x0000_s1074" type="#_x0000_t202" style="position:absolute;margin-left:298.5pt;margin-top:764.8pt;width:25pt;height:15.3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" filled="f" stroked="f">
              <v:path arrowok="t"/>
              <v:textbox inset="0,0,0,0">
                <w:txbxContent>
                  <w:p w14:paraId="1B4D55F6" w14:textId="77777777" w:rsidR="00712390" w:rsidRPr="00D71008" w:rsidRDefault="003C4819">
                    <w:pPr>
                      <w:pStyle w:val="BodyText"/>
                      <w:spacing w:before="10"/>
                      <w:ind w:left="60"/>
                      <w:jc w:val="left"/>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125</w:t>
                    </w:r>
                    <w:r w:rsidRPr="00D71008">
                      <w:rPr>
                        <w:spacing w:val="-5"/>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2066162"/>
      <w:docPartObj>
        <w:docPartGallery w:val="Page Numbers (Bottom of Page)"/>
        <w:docPartUnique/>
      </w:docPartObj>
    </w:sdtPr>
    <w:sdtEndPr>
      <w:rPr>
        <w:noProof/>
      </w:rPr>
    </w:sdtEndPr>
    <w:sdtContent>
      <w:p w14:paraId="0DA2A3A4" w14:textId="662699FF" w:rsidR="00327B61" w:rsidRDefault="00327B61">
        <w:pPr>
          <w:pStyle w:val="Footer"/>
          <w:jc w:val="center"/>
        </w:pPr>
        <w:r w:rsidRPr="00327B61">
          <w:rPr>
            <w:sz w:val="24"/>
            <w:szCs w:val="24"/>
          </w:rPr>
          <w:fldChar w:fldCharType="begin"/>
        </w:r>
        <w:r w:rsidRPr="00327B61">
          <w:rPr>
            <w:sz w:val="24"/>
            <w:szCs w:val="24"/>
          </w:rPr>
          <w:instrText xml:space="preserve"> PAGE   \* MERGEFORMAT </w:instrText>
        </w:r>
        <w:r w:rsidRPr="00327B61">
          <w:rPr>
            <w:sz w:val="24"/>
            <w:szCs w:val="24"/>
          </w:rPr>
          <w:fldChar w:fldCharType="separate"/>
        </w:r>
        <w:r w:rsidRPr="00327B61">
          <w:rPr>
            <w:noProof/>
            <w:sz w:val="24"/>
            <w:szCs w:val="24"/>
          </w:rPr>
          <w:t>2</w:t>
        </w:r>
        <w:r w:rsidRPr="00327B61">
          <w:rPr>
            <w:noProof/>
            <w:sz w:val="24"/>
            <w:szCs w:val="24"/>
          </w:rPr>
          <w:fldChar w:fldCharType="end"/>
        </w:r>
      </w:p>
    </w:sdtContent>
  </w:sdt>
  <w:p w14:paraId="4A2AA076" w14:textId="52D5B94F" w:rsidR="008B1648" w:rsidRDefault="008B164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4CC32" w14:textId="77777777" w:rsidR="008B1648" w:rsidRDefault="00DE12D1">
    <w:pPr>
      <w:pStyle w:val="Footer"/>
    </w:pPr>
    <w:r w:rsidRPr="00D71008">
      <w:rPr>
        <w:noProof/>
        <w:lang w:eastAsia="en-GB"/>
      </w:rPr>
      <mc:AlternateContent>
        <mc:Choice Requires="wps">
          <w:drawing>
            <wp:anchor distT="0" distB="0" distL="0" distR="0" simplePos="0" relativeHeight="251658244" behindDoc="1" locked="0" layoutInCell="1" allowOverlap="1" wp14:anchorId="26FA4FF7" wp14:editId="6BDA7A3D">
              <wp:simplePos x="0" y="0"/>
              <wp:positionH relativeFrom="page">
                <wp:posOffset>3790960</wp:posOffset>
              </wp:positionH>
              <wp:positionV relativeFrom="page">
                <wp:posOffset>9712903</wp:posOffset>
              </wp:positionV>
              <wp:extent cx="317500" cy="194310"/>
              <wp:effectExtent l="0" t="0" r="0" b="0"/>
              <wp:wrapNone/>
              <wp:docPr id="137643728"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055A05C6" w14:textId="77777777" w:rsidR="00DE12D1" w:rsidRPr="00D71008" w:rsidRDefault="00DE12D1">
                          <w:pPr>
                            <w:pStyle w:val="BodyText"/>
                            <w:spacing w:before="10"/>
                            <w:ind w:left="60"/>
                            <w:jc w:val="left"/>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125</w:t>
                          </w:r>
                          <w:r w:rsidRPr="00D71008">
                            <w:rPr>
                              <w:spacing w:val="-5"/>
                            </w:rPr>
                            <w:fldChar w:fldCharType="end"/>
                          </w:r>
                        </w:p>
                      </w:txbxContent>
                    </wps:txbx>
                    <wps:bodyPr wrap="square" lIns="0" tIns="0" rIns="0" bIns="0" rtlCol="0">
                      <a:noAutofit/>
                    </wps:bodyPr>
                  </wps:wsp>
                </a:graphicData>
              </a:graphic>
            </wp:anchor>
          </w:drawing>
        </mc:Choice>
        <mc:Fallback>
          <w:pict>
            <v:shapetype w14:anchorId="26FA4FF7" id="_x0000_t202" coordsize="21600,21600" o:spt="202" path="m,l,21600r21600,l21600,xe">
              <v:stroke joinstyle="miter"/>
              <v:path gradientshapeok="t" o:connecttype="rect"/>
            </v:shapetype>
            <v:shape id="_x0000_s1075" type="#_x0000_t202" style="position:absolute;margin-left:298.5pt;margin-top:764.8pt;width:25pt;height:15.3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" filled="f" stroked="f">
              <v:path arrowok="t"/>
              <v:textbox inset="0,0,0,0">
                <w:txbxContent>
                  <w:p w14:paraId="055A05C6" w14:textId="77777777" w:rsidR="00DE12D1" w:rsidRPr="00D71008" w:rsidRDefault="00DE12D1">
                    <w:pPr>
                      <w:pStyle w:val="BodyText"/>
                      <w:spacing w:before="10"/>
                      <w:ind w:left="60"/>
                      <w:jc w:val="left"/>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125</w:t>
                    </w:r>
                    <w:r w:rsidRPr="00D71008">
                      <w:rPr>
                        <w:spacing w:val="-5"/>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928B4" w14:textId="77777777" w:rsidR="00724722" w:rsidRDefault="00724722">
    <w:pPr>
      <w:pStyle w:val="Footer"/>
    </w:pPr>
    <w:r w:rsidRPr="00D71008">
      <w:rPr>
        <w:noProof/>
        <w:lang w:eastAsia="en-GB"/>
      </w:rPr>
      <mc:AlternateContent>
        <mc:Choice Requires="wps">
          <w:drawing>
            <wp:anchor distT="0" distB="0" distL="0" distR="0" simplePos="0" relativeHeight="251658252" behindDoc="1" locked="0" layoutInCell="1" allowOverlap="1" wp14:anchorId="35FB705C" wp14:editId="0A1253A4">
              <wp:simplePos x="0" y="0"/>
              <wp:positionH relativeFrom="page">
                <wp:posOffset>3790960</wp:posOffset>
              </wp:positionH>
              <wp:positionV relativeFrom="page">
                <wp:posOffset>9712903</wp:posOffset>
              </wp:positionV>
              <wp:extent cx="317500" cy="194310"/>
              <wp:effectExtent l="0" t="0" r="0" b="0"/>
              <wp:wrapNone/>
              <wp:docPr id="469296613"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264D920A" w14:textId="77777777" w:rsidR="00724722" w:rsidRPr="00D71008" w:rsidRDefault="00724722">
                          <w:pPr>
                            <w:pStyle w:val="BodyText"/>
                            <w:spacing w:before="10"/>
                            <w:ind w:left="60"/>
                            <w:jc w:val="left"/>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125</w:t>
                          </w:r>
                          <w:r w:rsidRPr="00D71008">
                            <w:rPr>
                              <w:spacing w:val="-5"/>
                            </w:rPr>
                            <w:fldChar w:fldCharType="end"/>
                          </w:r>
                        </w:p>
                      </w:txbxContent>
                    </wps:txbx>
                    <wps:bodyPr wrap="square" lIns="0" tIns="0" rIns="0" bIns="0" rtlCol="0">
                      <a:noAutofit/>
                    </wps:bodyPr>
                  </wps:wsp>
                </a:graphicData>
              </a:graphic>
            </wp:anchor>
          </w:drawing>
        </mc:Choice>
        <mc:Fallback>
          <w:pict>
            <v:shapetype w14:anchorId="35FB705C" id="_x0000_t202" coordsize="21600,21600" o:spt="202" path="m,l,21600r21600,l21600,xe">
              <v:stroke joinstyle="miter"/>
              <v:path gradientshapeok="t" o:connecttype="rect"/>
            </v:shapetype>
            <v:shape id="_x0000_s1076" type="#_x0000_t202" style="position:absolute;margin-left:298.5pt;margin-top:764.8pt;width:25pt;height:15.3pt;z-index:-2516582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" filled="f" stroked="f">
              <v:path arrowok="t"/>
              <v:textbox inset="0,0,0,0">
                <w:txbxContent>
                  <w:p w14:paraId="264D920A" w14:textId="77777777" w:rsidR="00724722" w:rsidRPr="00D71008" w:rsidRDefault="00724722">
                    <w:pPr>
                      <w:pStyle w:val="BodyText"/>
                      <w:spacing w:before="10"/>
                      <w:ind w:left="60"/>
                      <w:jc w:val="left"/>
                    </w:pPr>
                    <w:r w:rsidRPr="00D71008">
                      <w:rPr>
                        <w:spacing w:val="-5"/>
                      </w:rPr>
                      <w:fldChar w:fldCharType="begin"/>
                    </w:r>
                    <w:r w:rsidRPr="00D71008">
                      <w:rPr>
                        <w:spacing w:val="-5"/>
                      </w:rPr>
                      <w:instrText xml:space="preserve"> PAGE </w:instrText>
                    </w:r>
                    <w:r w:rsidRPr="00D71008">
                      <w:rPr>
                        <w:spacing w:val="-5"/>
                      </w:rPr>
                      <w:fldChar w:fldCharType="separate"/>
                    </w:r>
                    <w:r w:rsidRPr="00D71008">
                      <w:rPr>
                        <w:spacing w:val="-5"/>
                      </w:rPr>
                      <w:t>125</w:t>
                    </w:r>
                    <w:r w:rsidRPr="00D71008">
                      <w:rPr>
                        <w:spacing w:val="-5"/>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0738107"/>
      <w:docPartObj>
        <w:docPartGallery w:val="Page Numbers (Bottom of Page)"/>
        <w:docPartUnique/>
      </w:docPartObj>
    </w:sdtPr>
    <w:sdtEndPr/>
    <w:sdtContent>
      <w:p w14:paraId="1C4283D9" w14:textId="77777777" w:rsidR="00B058C6" w:rsidRPr="00D71008" w:rsidRDefault="00B058C6">
        <w:pPr>
          <w:pStyle w:val="Footer"/>
          <w:jc w:val="center"/>
        </w:pPr>
        <w:r w:rsidRPr="00D71008">
          <w:fldChar w:fldCharType="begin"/>
        </w:r>
        <w:r w:rsidRPr="00D71008">
          <w:instrText xml:space="preserve"> PAGE   \* MERGEFORMAT </w:instrText>
        </w:r>
        <w:r w:rsidRPr="00D71008">
          <w:fldChar w:fldCharType="separate"/>
        </w:r>
        <w:r w:rsidRPr="00D71008">
          <w:t>2</w:t>
        </w:r>
        <w:r w:rsidRPr="00D71008">
          <w:fldChar w:fldCharType="end"/>
        </w:r>
      </w:p>
    </w:sdtContent>
  </w:sdt>
  <w:p w14:paraId="3EC8E869" w14:textId="77777777" w:rsidR="00B058C6" w:rsidRPr="00D71008" w:rsidRDefault="00B058C6">
    <w:pPr>
      <w:pStyle w:val="BodyText"/>
      <w:spacing w:line="14" w:lineRule="auto"/>
      <w:ind w:left="0"/>
      <w:jc w:val="left"/>
      <w:rPr>
        <w:sz w:val="20"/>
      </w:rP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159676"/>
      <w:docPartObj>
        <w:docPartGallery w:val="Page Numbers (Bottom of Page)"/>
        <w:docPartUnique/>
      </w:docPartObj>
    </w:sdtPr>
    <w:sdtEndPr/>
    <w:sdtContent>
      <w:p w14:paraId="18BEF0D5" w14:textId="77777777" w:rsidR="00724722" w:rsidRPr="00D71008" w:rsidRDefault="00724722">
        <w:pPr>
          <w:pStyle w:val="Footer"/>
          <w:jc w:val="center"/>
        </w:pPr>
        <w:r w:rsidRPr="00D71008">
          <w:fldChar w:fldCharType="begin"/>
        </w:r>
        <w:r w:rsidRPr="00D71008">
          <w:instrText xml:space="preserve"> PAGE   \* MERGEFORMAT </w:instrText>
        </w:r>
        <w:r w:rsidRPr="00D71008">
          <w:fldChar w:fldCharType="separate"/>
        </w:r>
        <w:r w:rsidRPr="00D71008">
          <w:t>2</w:t>
        </w:r>
        <w:r w:rsidRPr="00D71008">
          <w:fldChar w:fldCharType="end"/>
        </w:r>
      </w:p>
    </w:sdtContent>
  </w:sdt>
  <w:p w14:paraId="7029EBC6" w14:textId="77777777" w:rsidR="00724722" w:rsidRPr="00D71008" w:rsidRDefault="00724722">
    <w:pPr>
      <w:pStyle w:val="BodyText"/>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267758" w14:textId="77777777" w:rsidR="00C4332D" w:rsidRPr="00D71008" w:rsidRDefault="00C4332D">
      <w:r w:rsidRPr="00D71008">
        <w:separator/>
      </w:r>
    </w:p>
    <w:p w14:paraId="6ABD7668" w14:textId="77777777" w:rsidR="00C4332D" w:rsidRPr="00D71008" w:rsidRDefault="00C4332D">
      <w:pPr>
        <w:rPr>
          <w:sz w:val="8"/>
          <w:szCs w:val="8"/>
        </w:rPr>
      </w:pPr>
    </w:p>
  </w:footnote>
  <w:footnote w:type="continuationSeparator" w:id="0">
    <w:p w14:paraId="6BC619E3" w14:textId="77777777" w:rsidR="00C4332D" w:rsidRPr="00D71008" w:rsidRDefault="00C4332D">
      <w:r w:rsidRPr="00D71008">
        <w:continuationSeparator/>
      </w:r>
    </w:p>
    <w:p w14:paraId="29DC1BC5" w14:textId="77777777" w:rsidR="00C4332D" w:rsidRPr="00D71008" w:rsidRDefault="00C4332D"/>
  </w:footnote>
  <w:footnote w:type="continuationNotice" w:id="1">
    <w:p w14:paraId="419E1407" w14:textId="77777777" w:rsidR="00C4332D" w:rsidRPr="00D71008" w:rsidRDefault="00C4332D"/>
    <w:p w14:paraId="687336AB" w14:textId="77777777" w:rsidR="00C4332D" w:rsidRPr="00D71008" w:rsidRDefault="00C4332D"/>
  </w:footnote>
  <w:footnote w:id="2">
    <w:p w14:paraId="0B78E181" w14:textId="77777777" w:rsidR="00122817" w:rsidRPr="00D71008" w:rsidRDefault="00122817" w:rsidP="00122817">
      <w:pPr>
        <w:ind w:right="425"/>
        <w:jc w:val="both"/>
        <w:rPr>
          <w:i/>
          <w:sz w:val="20"/>
          <w:szCs w:val="20"/>
        </w:rPr>
      </w:pPr>
      <w:r w:rsidRPr="007A05AC">
        <w:rPr>
          <w:rStyle w:val="FootnoteReference"/>
          <w:sz w:val="20"/>
          <w:szCs w:val="20"/>
        </w:rPr>
        <w:footnoteRef/>
      </w:r>
      <w:r w:rsidRPr="007A05AC">
        <w:rPr>
          <w:sz w:val="20"/>
          <w:szCs w:val="20"/>
        </w:rPr>
        <w:t xml:space="preserve"> </w:t>
      </w:r>
      <w:r w:rsidRPr="00D71008">
        <w:rPr>
          <w:sz w:val="20"/>
          <w:szCs w:val="20"/>
        </w:rPr>
        <w:t>OJ L 35, 4.2.2009, pp. 47–55.</w:t>
      </w:r>
    </w:p>
  </w:footnote>
  <w:footnote w:id="3">
    <w:p w14:paraId="1AFC4EAB" w14:textId="7B75BED2" w:rsidR="008F583C" w:rsidRPr="007A05AC" w:rsidRDefault="008F583C" w:rsidP="008F583C">
      <w:pPr>
        <w:ind w:right="115"/>
        <w:jc w:val="both"/>
        <w:rPr>
          <w:sz w:val="20"/>
          <w:szCs w:val="20"/>
        </w:rPr>
      </w:pPr>
      <w:r w:rsidRPr="00D71008">
        <w:rPr>
          <w:rStyle w:val="FootnoteReference"/>
          <w:sz w:val="20"/>
          <w:szCs w:val="20"/>
        </w:rPr>
        <w:footnoteRef/>
      </w:r>
      <w:r w:rsidRPr="00D71008">
        <w:rPr>
          <w:spacing w:val="-2"/>
          <w:sz w:val="20"/>
          <w:szCs w:val="20"/>
        </w:rPr>
        <w:t xml:space="preserve"> ‘</w:t>
      </w:r>
      <w:r w:rsidRPr="00D71008">
        <w:rPr>
          <w:sz w:val="20"/>
          <w:szCs w:val="20"/>
        </w:rPr>
        <w:t>Europe’s choice - Political guidelines for the next European Commission 2024−2029</w:t>
      </w:r>
      <w:r w:rsidR="005C0D43">
        <w:rPr>
          <w:sz w:val="20"/>
          <w:szCs w:val="20"/>
        </w:rPr>
        <w:t>: ‘</w:t>
      </w:r>
      <w:r w:rsidR="005C0D43" w:rsidRPr="003372D2">
        <w:rPr>
          <w:i/>
          <w:sz w:val="20"/>
          <w:szCs w:val="20"/>
        </w:rPr>
        <w:t>Cross-border train travel is still too difficult for many citizens. People should be able to use open booking systems to purchase trans-European journeys with several providers, without losing their right to reimbursement or compensatory travel. To this end we will propose a Single Digital Booking and Ticketing Regulation, to ensure that Europeans can buy one single ticket on one single platform and get passengers’ rights for their whole trip</w:t>
      </w:r>
      <w:r w:rsidR="005C0D43">
        <w:rPr>
          <w:sz w:val="20"/>
          <w:szCs w:val="20"/>
        </w:rPr>
        <w:t>’</w:t>
      </w:r>
    </w:p>
  </w:footnote>
  <w:footnote w:id="4">
    <w:p w14:paraId="0B388DD7" w14:textId="1B7B6C69" w:rsidR="007A05D6" w:rsidRPr="00D71008" w:rsidRDefault="007A05D6" w:rsidP="007A05D6">
      <w:pPr>
        <w:pStyle w:val="FootnoteText"/>
        <w:jc w:val="both"/>
      </w:pPr>
      <w:r w:rsidRPr="00D71008">
        <w:rPr>
          <w:rStyle w:val="FootnoteReference"/>
        </w:rPr>
        <w:footnoteRef/>
      </w:r>
      <w:r w:rsidRPr="00D71008">
        <w:t xml:space="preserve"> </w:t>
      </w:r>
      <w:r w:rsidR="00260AAA" w:rsidRPr="00D71008">
        <w:t>Th</w:t>
      </w:r>
      <w:r w:rsidR="00260AAA">
        <w:t>ese</w:t>
      </w:r>
      <w:r w:rsidR="00260AAA" w:rsidRPr="00D71008">
        <w:t xml:space="preserve"> </w:t>
      </w:r>
      <w:r w:rsidRPr="00D71008">
        <w:t>initiative</w:t>
      </w:r>
      <w:r w:rsidR="00260AAA">
        <w:t>s</w:t>
      </w:r>
      <w:r w:rsidRPr="00D71008">
        <w:t xml:space="preserve"> do not apply to local or urban transport services.</w:t>
      </w:r>
    </w:p>
  </w:footnote>
  <w:footnote w:id="5">
    <w:p w14:paraId="412B5031" w14:textId="567D4B58" w:rsidR="00E52B2D" w:rsidRPr="00D71008" w:rsidRDefault="00E52B2D">
      <w:pPr>
        <w:pStyle w:val="FootnoteText"/>
      </w:pPr>
      <w:r w:rsidRPr="00D71008">
        <w:rPr>
          <w:rStyle w:val="FootnoteReference"/>
        </w:rPr>
        <w:footnoteRef/>
      </w:r>
      <w:r w:rsidRPr="00D71008">
        <w:t xml:space="preserve"> </w:t>
      </w:r>
      <w:hyperlink r:id="rId1" w:history="1">
        <w:r w:rsidR="008B6316" w:rsidRPr="005A0993">
          <w:rPr>
            <w:rStyle w:val="Hyperlink"/>
          </w:rPr>
          <w:t>Flash Eurobarometer 551</w:t>
        </w:r>
      </w:hyperlink>
      <w:r w:rsidR="008B6316" w:rsidRPr="008B6316">
        <w:t xml:space="preserve"> - Multimodal Digital Mobility Service – August – September 2024</w:t>
      </w:r>
    </w:p>
  </w:footnote>
  <w:footnote w:id="6">
    <w:p w14:paraId="331A273D" w14:textId="42F15056" w:rsidR="004634F8" w:rsidRPr="00D71008" w:rsidRDefault="004634F8" w:rsidP="004634F8">
      <w:pPr>
        <w:pStyle w:val="FootnoteText"/>
        <w:ind w:right="115"/>
        <w:jc w:val="both"/>
      </w:pPr>
      <w:r w:rsidRPr="00D71008">
        <w:rPr>
          <w:rStyle w:val="FootnoteReference"/>
        </w:rPr>
        <w:footnoteRef/>
      </w:r>
      <w:r w:rsidRPr="00D71008">
        <w:t xml:space="preserve"> COM</w:t>
      </w:r>
      <w:r w:rsidR="00CC3B99">
        <w:t xml:space="preserve"> </w:t>
      </w:r>
      <w:r w:rsidRPr="00D71008">
        <w:t>(2019)640 final</w:t>
      </w:r>
    </w:p>
  </w:footnote>
  <w:footnote w:id="7">
    <w:p w14:paraId="52CD1BD4" w14:textId="77777777" w:rsidR="00BD4A2F" w:rsidRPr="00D71008" w:rsidRDefault="00BD4A2F" w:rsidP="00BD4A2F">
      <w:pPr>
        <w:pStyle w:val="FootnoteText"/>
        <w:ind w:right="115"/>
        <w:jc w:val="both"/>
      </w:pPr>
      <w:r w:rsidRPr="00D71008">
        <w:rPr>
          <w:rStyle w:val="FootnoteReference"/>
        </w:rPr>
        <w:footnoteRef/>
      </w:r>
      <w:r w:rsidRPr="00D71008">
        <w:t xml:space="preserve"> COM (2020)789 final</w:t>
      </w:r>
    </w:p>
  </w:footnote>
  <w:footnote w:id="8">
    <w:p w14:paraId="01647FA6" w14:textId="1C8A0EAE" w:rsidR="1D0FD919" w:rsidRDefault="1D0FD919">
      <w:r w:rsidRPr="00E900B5">
        <w:rPr>
          <w:rStyle w:val="FootnoteReference"/>
          <w:sz w:val="20"/>
          <w:szCs w:val="20"/>
          <w:lang w:eastAsia="en-US"/>
        </w:rPr>
        <w:footnoteRef/>
      </w:r>
      <w:r w:rsidRPr="00E900B5">
        <w:rPr>
          <w:sz w:val="20"/>
          <w:szCs w:val="20"/>
        </w:rPr>
        <w:t xml:space="preserve"> </w:t>
      </w:r>
      <w:r w:rsidRPr="00E900B5">
        <w:rPr>
          <w:rFonts w:eastAsiaTheme="minorEastAsia"/>
          <w:sz w:val="20"/>
          <w:szCs w:val="20"/>
        </w:rPr>
        <w:t xml:space="preserve">European Commission: </w:t>
      </w:r>
      <w:r w:rsidRPr="007F28F7">
        <w:rPr>
          <w:rFonts w:eastAsiaTheme="minorEastAsia"/>
          <w:sz w:val="20"/>
          <w:szCs w:val="20"/>
        </w:rPr>
        <w:t>Di</w:t>
      </w:r>
      <w:r w:rsidRPr="1D0FD919">
        <w:rPr>
          <w:sz w:val="20"/>
          <w:szCs w:val="20"/>
        </w:rPr>
        <w:t xml:space="preserve">rectorate-General for Mobility and Transport and EY, </w:t>
      </w:r>
      <w:r w:rsidRPr="1D0FD919">
        <w:rPr>
          <w:i/>
          <w:iCs/>
          <w:sz w:val="20"/>
          <w:szCs w:val="20"/>
        </w:rPr>
        <w:t>Study on passenger and freight rail transport services’ prices to final customers – Final report</w:t>
      </w:r>
      <w:r w:rsidRPr="1D0FD919">
        <w:rPr>
          <w:sz w:val="20"/>
          <w:szCs w:val="20"/>
        </w:rPr>
        <w:t xml:space="preserve">, Publications Office of the European Union, 2024, </w:t>
      </w:r>
      <w:hyperlink r:id="rId2" w:history="1">
        <w:r w:rsidRPr="1D0FD919">
          <w:rPr>
            <w:rStyle w:val="Hyperlink"/>
            <w:color w:val="467886"/>
            <w:sz w:val="20"/>
            <w:szCs w:val="20"/>
          </w:rPr>
          <w:t>https://data.europa.eu/doi/10.2832/403804</w:t>
        </w:r>
      </w:hyperlink>
    </w:p>
  </w:footnote>
  <w:footnote w:id="9">
    <w:p w14:paraId="203DC0E4" w14:textId="77777777" w:rsidR="3F868DAE" w:rsidRDefault="3F868DAE" w:rsidP="3F868DAE">
      <w:pPr>
        <w:pStyle w:val="FootnoteText"/>
      </w:pPr>
      <w:r w:rsidRPr="3F868DAE">
        <w:rPr>
          <w:rStyle w:val="FootnoteReference"/>
        </w:rPr>
        <w:footnoteRef/>
      </w:r>
      <w:r>
        <w:t xml:space="preserve"> OJ L 343, 14.12.2012, p. 32, as amended by OJ L 352, 23.12.2016, p. 1.</w:t>
      </w:r>
    </w:p>
  </w:footnote>
  <w:footnote w:id="10">
    <w:p w14:paraId="259258D3" w14:textId="3F815498" w:rsidR="3F868DAE" w:rsidRDefault="3F868DAE" w:rsidP="00A5710C">
      <w:pPr>
        <w:pStyle w:val="FootnoteText"/>
        <w:jc w:val="both"/>
      </w:pPr>
      <w:r w:rsidRPr="3F868DAE">
        <w:rPr>
          <w:rStyle w:val="FootnoteReference"/>
        </w:rPr>
        <w:footnoteRef/>
      </w:r>
      <w:r>
        <w:t xml:space="preserve"> Under the provisions of this Directive, Member States may require RUs operating domestic passenger services to participate in common information and integrated ticketing schemes for the supply of tickets, through</w:t>
      </w:r>
      <w:r w:rsidR="006A39D4">
        <w:t>-</w:t>
      </w:r>
      <w:r>
        <w:t>tickets and reservations, provided these schemes do not distort the market or discriminate between RUs. A through</w:t>
      </w:r>
      <w:r w:rsidR="00B90E12">
        <w:t>-</w:t>
      </w:r>
      <w:r>
        <w:t>ticket represents a transport contract covering multiple connected legs of a journey, entitling passengers to certain rights (re-routing or a refund, assistance, and potentially delay compensation based on the time of arrival at the final destination) in case of a missed connection between services covered by that ticket.</w:t>
      </w:r>
    </w:p>
  </w:footnote>
  <w:footnote w:id="11">
    <w:p w14:paraId="22687419" w14:textId="3198C983" w:rsidR="4A333F34" w:rsidRDefault="4A333F34" w:rsidP="4A333F34">
      <w:pPr>
        <w:jc w:val="both"/>
        <w:rPr>
          <w:sz w:val="20"/>
          <w:szCs w:val="20"/>
        </w:rPr>
      </w:pPr>
      <w:r w:rsidRPr="4A333F34">
        <w:rPr>
          <w:rStyle w:val="FootnoteReference"/>
          <w:sz w:val="20"/>
          <w:szCs w:val="20"/>
        </w:rPr>
        <w:footnoteRef/>
      </w:r>
      <w:r w:rsidRPr="4A333F34">
        <w:rPr>
          <w:rStyle w:val="FootnoteReference"/>
          <w:sz w:val="20"/>
          <w:szCs w:val="20"/>
        </w:rPr>
        <w:t xml:space="preserve"> </w:t>
      </w:r>
      <w:r w:rsidRPr="4A333F34">
        <w:rPr>
          <w:sz w:val="20"/>
          <w:szCs w:val="20"/>
        </w:rPr>
        <w:t>COM (2025)903 final</w:t>
      </w:r>
    </w:p>
  </w:footnote>
  <w:footnote w:id="12">
    <w:p w14:paraId="060DB801" w14:textId="77777777" w:rsidR="4A333F34" w:rsidRDefault="4A333F34" w:rsidP="4A333F34">
      <w:pPr>
        <w:ind w:right="108"/>
        <w:jc w:val="both"/>
        <w:rPr>
          <w:sz w:val="20"/>
          <w:szCs w:val="20"/>
        </w:rPr>
      </w:pPr>
      <w:r w:rsidRPr="4A333F34">
        <w:rPr>
          <w:rStyle w:val="FootnoteReference"/>
          <w:sz w:val="20"/>
          <w:szCs w:val="20"/>
        </w:rPr>
        <w:footnoteRef/>
      </w:r>
      <w:r w:rsidRPr="4A333F34">
        <w:rPr>
          <w:sz w:val="20"/>
          <w:szCs w:val="20"/>
        </w:rPr>
        <w:t xml:space="preserve"> 2022/2022(INI)</w:t>
      </w:r>
    </w:p>
  </w:footnote>
  <w:footnote w:id="13">
    <w:p w14:paraId="48FEBA2D" w14:textId="2209CC76" w:rsidR="008071A5" w:rsidRPr="00117904" w:rsidRDefault="008071A5" w:rsidP="008071A5">
      <w:pPr>
        <w:pStyle w:val="FootnoteText"/>
        <w:jc w:val="both"/>
      </w:pPr>
      <w:r w:rsidRPr="00D71008">
        <w:rPr>
          <w:rStyle w:val="FootnoteReference"/>
        </w:rPr>
        <w:footnoteRef/>
      </w:r>
      <w:r w:rsidRPr="00117904">
        <w:t xml:space="preserve"> </w:t>
      </w:r>
      <w:r w:rsidR="00060C6D" w:rsidRPr="00117904">
        <w:t>https://data.consilium.europa.eu/doc/document/ST-8824-2021-INIT/en/pdf</w:t>
      </w:r>
    </w:p>
  </w:footnote>
  <w:footnote w:id="14">
    <w:p w14:paraId="6BAB0A0D" w14:textId="77777777" w:rsidR="00EB652F" w:rsidRPr="00D71008" w:rsidRDefault="00EB652F" w:rsidP="00EB652F">
      <w:pPr>
        <w:pStyle w:val="FootnoteText"/>
        <w:ind w:right="115"/>
        <w:jc w:val="both"/>
      </w:pPr>
      <w:r w:rsidRPr="00D71008">
        <w:rPr>
          <w:rStyle w:val="FootnoteReference"/>
        </w:rPr>
        <w:footnoteRef/>
      </w:r>
      <w:r w:rsidRPr="00117904">
        <w:t xml:space="preserve"> Letta, Enrico. </w:t>
      </w:r>
      <w:r w:rsidRPr="00D71008">
        <w:rPr>
          <w:i/>
        </w:rPr>
        <w:t>Much More Than a Market</w:t>
      </w:r>
      <w:r w:rsidRPr="00D71008">
        <w:t>. Council of the European Union, 2024, p. 85</w:t>
      </w:r>
    </w:p>
  </w:footnote>
  <w:footnote w:id="15">
    <w:p w14:paraId="1BAD826C" w14:textId="77777777" w:rsidR="00EB652F" w:rsidRPr="00D71008" w:rsidRDefault="00EB652F" w:rsidP="00EB652F">
      <w:pPr>
        <w:pStyle w:val="FootnoteText"/>
        <w:ind w:right="115"/>
        <w:jc w:val="both"/>
      </w:pPr>
      <w:r w:rsidRPr="00D71008">
        <w:rPr>
          <w:rStyle w:val="FootnoteReference"/>
        </w:rPr>
        <w:footnoteRef/>
      </w:r>
      <w:r w:rsidRPr="00D71008">
        <w:t xml:space="preserve"> Draghi, Mario - </w:t>
      </w:r>
      <w:r w:rsidRPr="00D71008">
        <w:rPr>
          <w:i/>
        </w:rPr>
        <w:t>The Future of European Competitiveness: In-Depth Analysis and Recommendations.</w:t>
      </w:r>
      <w:r w:rsidRPr="00D71008">
        <w:t xml:space="preserve"> 2024, p. 213</w:t>
      </w:r>
    </w:p>
  </w:footnote>
  <w:footnote w:id="16">
    <w:p w14:paraId="4ADA9448" w14:textId="77777777" w:rsidR="003A7749" w:rsidRPr="00D71008" w:rsidRDefault="003A7749" w:rsidP="003A7749">
      <w:pPr>
        <w:pStyle w:val="FootnoteText"/>
        <w:jc w:val="both"/>
      </w:pPr>
      <w:r w:rsidRPr="00D71008">
        <w:rPr>
          <w:rStyle w:val="FootnoteReference"/>
        </w:rPr>
        <w:footnoteRef/>
      </w:r>
      <w:r w:rsidRPr="00D71008">
        <w:t xml:space="preserve"> Only public transport services organised by regions and privately run rail, road, and maritime services within regional/100 km limits are subject to that obligation.</w:t>
      </w:r>
    </w:p>
  </w:footnote>
  <w:footnote w:id="17">
    <w:p w14:paraId="5E706A32" w14:textId="77777777" w:rsidR="0000348A" w:rsidRPr="00D71008" w:rsidRDefault="0000348A" w:rsidP="0000348A">
      <w:pPr>
        <w:jc w:val="both"/>
        <w:rPr>
          <w:spacing w:val="-2"/>
          <w:sz w:val="20"/>
          <w:szCs w:val="20"/>
        </w:rPr>
      </w:pPr>
      <w:r w:rsidRPr="00D71008">
        <w:rPr>
          <w:rStyle w:val="FootnoteReference"/>
          <w:sz w:val="20"/>
          <w:szCs w:val="20"/>
        </w:rPr>
        <w:footnoteRef/>
      </w:r>
      <w:r w:rsidRPr="00D71008">
        <w:rPr>
          <w:spacing w:val="-2"/>
          <w:sz w:val="20"/>
          <w:szCs w:val="20"/>
        </w:rPr>
        <w:t xml:space="preserve"> Law No. 2019-1428 of 24 December 2019 on Mobility Orientation, Article 28.</w:t>
      </w:r>
    </w:p>
  </w:footnote>
  <w:footnote w:id="18">
    <w:p w14:paraId="142312E0" w14:textId="0CDF614A" w:rsidR="006D291B" w:rsidRPr="00D71008" w:rsidRDefault="006D291B" w:rsidP="005A5504">
      <w:pPr>
        <w:pStyle w:val="FootnoteText"/>
        <w:jc w:val="both"/>
      </w:pPr>
      <w:r w:rsidRPr="00D71008">
        <w:rPr>
          <w:rStyle w:val="FootnoteReference"/>
        </w:rPr>
        <w:footnoteRef/>
      </w:r>
      <w:r w:rsidRPr="00D71008">
        <w:t xml:space="preserve"> </w:t>
      </w:r>
      <w:r w:rsidR="0073193F" w:rsidRPr="00D71008">
        <w:rPr>
          <w:spacing w:val="-2"/>
        </w:rPr>
        <w:t>Act on Transport Services (320/2017; amendments up to 731/2018 included)</w:t>
      </w:r>
      <w:r w:rsidR="000A12D6" w:rsidRPr="00D71008">
        <w:rPr>
          <w:spacing w:val="-2"/>
        </w:rPr>
        <w:t>.</w:t>
      </w:r>
    </w:p>
  </w:footnote>
  <w:footnote w:id="19">
    <w:p w14:paraId="649A86DF" w14:textId="5D0D19AB" w:rsidR="00F95790" w:rsidRPr="00D71008" w:rsidRDefault="00F95790" w:rsidP="005A5504">
      <w:pPr>
        <w:pStyle w:val="FootnoteText"/>
        <w:jc w:val="both"/>
      </w:pPr>
      <w:r w:rsidRPr="00D71008">
        <w:rPr>
          <w:rStyle w:val="FootnoteReference"/>
        </w:rPr>
        <w:footnoteRef/>
      </w:r>
      <w:r w:rsidRPr="00D71008">
        <w:t xml:space="preserve"> A mobility service provider in Finnish law is any company or operator that offers transport services or services connected to transport </w:t>
      </w:r>
      <w:r w:rsidR="00703FAB" w:rsidRPr="00D71008">
        <w:t>(</w:t>
      </w:r>
      <w:r w:rsidRPr="00D71008">
        <w:t>trip information, ticketing/brokerage, dispatching, parking, or other supporting mobility services</w:t>
      </w:r>
      <w:r w:rsidR="00703FAB" w:rsidRPr="00D71008">
        <w:t>)</w:t>
      </w:r>
      <w:r w:rsidRPr="00D71008">
        <w:t>.</w:t>
      </w:r>
    </w:p>
  </w:footnote>
  <w:footnote w:id="20">
    <w:p w14:paraId="6A6B9915" w14:textId="44BDE7AE" w:rsidR="00DD2AB5" w:rsidRPr="00D71008" w:rsidRDefault="00DD2AB5" w:rsidP="00A72EEC">
      <w:pPr>
        <w:pStyle w:val="FootnoteText"/>
        <w:jc w:val="both"/>
      </w:pPr>
      <w:r w:rsidRPr="00D71008">
        <w:rPr>
          <w:rStyle w:val="FootnoteReference"/>
        </w:rPr>
        <w:footnoteRef/>
      </w:r>
      <w:r w:rsidRPr="00D71008">
        <w:t xml:space="preserve"> </w:t>
      </w:r>
      <w:hyperlink r:id="rId3">
        <w:r w:rsidRPr="00D71008">
          <w:t>1900019</w:t>
        </w:r>
        <w:r w:rsidRPr="00D71008">
          <w:rPr>
            <w:spacing w:val="-8"/>
          </w:rPr>
          <w:t xml:space="preserve"> </w:t>
        </w:r>
        <w:r w:rsidRPr="00D71008">
          <w:t>Brochure</w:t>
        </w:r>
        <w:r w:rsidRPr="00D71008">
          <w:rPr>
            <w:spacing w:val="-7"/>
          </w:rPr>
          <w:t xml:space="preserve"> </w:t>
        </w:r>
        <w:r w:rsidRPr="00D71008">
          <w:t>MaaS-pilots</w:t>
        </w:r>
        <w:r w:rsidRPr="00D71008">
          <w:rPr>
            <w:spacing w:val="-6"/>
          </w:rPr>
          <w:t xml:space="preserve"> </w:t>
        </w:r>
        <w:r w:rsidRPr="00D71008">
          <w:t>A4-EN.indd</w:t>
        </w:r>
        <w:r w:rsidRPr="00D71008">
          <w:rPr>
            <w:spacing w:val="-6"/>
          </w:rPr>
          <w:t xml:space="preserve"> </w:t>
        </w:r>
        <w:r w:rsidRPr="00D71008">
          <w:rPr>
            <w:spacing w:val="-2"/>
          </w:rPr>
          <w:t>(dutchmobilityinnovations.com)</w:t>
        </w:r>
      </w:hyperlink>
      <w:r w:rsidR="000A12D6" w:rsidRPr="00D71008">
        <w:t>.</w:t>
      </w:r>
    </w:p>
  </w:footnote>
  <w:footnote w:id="21">
    <w:p w14:paraId="46F9D58A" w14:textId="4D2039C8" w:rsidR="00111AE7" w:rsidRPr="00D71008" w:rsidRDefault="00111AE7" w:rsidP="009035DF">
      <w:pPr>
        <w:pStyle w:val="FootnoteText"/>
        <w:jc w:val="both"/>
      </w:pPr>
      <w:r w:rsidRPr="00D71008">
        <w:rPr>
          <w:rStyle w:val="FootnoteReference"/>
        </w:rPr>
        <w:footnoteRef/>
      </w:r>
      <w:r w:rsidRPr="00D71008">
        <w:t xml:space="preserve"> </w:t>
      </w:r>
      <w:r w:rsidR="009D197A" w:rsidRPr="00D71008">
        <w:t xml:space="preserve">Law 9/2025 of </w:t>
      </w:r>
      <w:r w:rsidR="0029587E" w:rsidRPr="00D71008">
        <w:t>3d December on Sustainable Mobility</w:t>
      </w:r>
      <w:r w:rsidR="00F76AB7" w:rsidRPr="00D71008">
        <w:t>, Article 92.</w:t>
      </w:r>
    </w:p>
  </w:footnote>
  <w:footnote w:id="22">
    <w:p w14:paraId="1702899C" w14:textId="2B943057" w:rsidR="00733131" w:rsidRPr="00733131" w:rsidRDefault="00733131">
      <w:pPr>
        <w:pStyle w:val="FootnoteText"/>
        <w:rPr>
          <w:lang w:val="en-US"/>
        </w:rPr>
      </w:pPr>
      <w:r>
        <w:rPr>
          <w:rStyle w:val="FootnoteReference"/>
        </w:rPr>
        <w:footnoteRef/>
      </w:r>
      <w:r>
        <w:t xml:space="preserve"> </w:t>
      </w:r>
      <w:r w:rsidR="00293484" w:rsidRPr="00293484">
        <w:rPr>
          <w:lang w:val="en-IE"/>
        </w:rPr>
        <w:t xml:space="preserve">Samtrafiken's National Distribution System </w:t>
      </w:r>
      <w:r w:rsidR="00293484">
        <w:rPr>
          <w:lang w:val="en-IE"/>
        </w:rPr>
        <w:t>-</w:t>
      </w:r>
      <w:r>
        <w:rPr>
          <w:lang w:val="en-IE"/>
        </w:rPr>
        <w:t xml:space="preserve"> </w:t>
      </w:r>
      <w:hyperlink r:id="rId4" w:history="1">
        <w:r w:rsidRPr="00733131">
          <w:rPr>
            <w:rStyle w:val="Hyperlink"/>
            <w:lang w:val="en-IE"/>
          </w:rPr>
          <w:t>Services | Samtrafiken</w:t>
        </w:r>
      </w:hyperlink>
    </w:p>
  </w:footnote>
  <w:footnote w:id="23">
    <w:p w14:paraId="7D3F648C" w14:textId="5FFB6147" w:rsidR="00AA57DD" w:rsidRPr="001D603F" w:rsidRDefault="00AA57DD" w:rsidP="00A72EEC">
      <w:pPr>
        <w:pStyle w:val="FootnoteText"/>
        <w:jc w:val="both"/>
        <w:rPr>
          <w:lang w:val="es-ES"/>
        </w:rPr>
      </w:pPr>
      <w:r w:rsidRPr="00D71008">
        <w:rPr>
          <w:rStyle w:val="FootnoteReference"/>
        </w:rPr>
        <w:footnoteRef/>
      </w:r>
      <w:r w:rsidR="006E7C45" w:rsidRPr="001D603F">
        <w:rPr>
          <w:lang w:val="es-ES"/>
        </w:rPr>
        <w:t xml:space="preserve"> OJ L, 2023/2661</w:t>
      </w:r>
    </w:p>
  </w:footnote>
  <w:footnote w:id="24">
    <w:p w14:paraId="6EFDA8D9" w14:textId="6028DC18" w:rsidR="00C32FE8" w:rsidRPr="001D603F" w:rsidRDefault="00F72E1C">
      <w:pPr>
        <w:pStyle w:val="FootnoteText"/>
        <w:rPr>
          <w:lang w:val="es-ES"/>
        </w:rPr>
      </w:pPr>
      <w:r w:rsidRPr="00D71008">
        <w:rPr>
          <w:rStyle w:val="FootnoteReference"/>
        </w:rPr>
        <w:footnoteRef/>
      </w:r>
      <w:r w:rsidRPr="001D603F">
        <w:rPr>
          <w:lang w:val="es-ES"/>
        </w:rPr>
        <w:t xml:space="preserve"> </w:t>
      </w:r>
      <w:r w:rsidR="00C323AD" w:rsidRPr="001D603F">
        <w:rPr>
          <w:lang w:val="es-ES"/>
        </w:rPr>
        <w:t>OJ L, 2024/490</w:t>
      </w:r>
    </w:p>
  </w:footnote>
  <w:footnote w:id="25">
    <w:p w14:paraId="2159619F" w14:textId="37E1FEAE" w:rsidR="0069576A" w:rsidRPr="001D603F" w:rsidRDefault="0069576A" w:rsidP="002F4146">
      <w:pPr>
        <w:pStyle w:val="FootnoteText"/>
        <w:jc w:val="both"/>
        <w:rPr>
          <w:lang w:val="es-ES"/>
        </w:rPr>
      </w:pPr>
      <w:r w:rsidRPr="00D71008">
        <w:rPr>
          <w:rStyle w:val="FootnoteReference"/>
        </w:rPr>
        <w:footnoteRef/>
      </w:r>
      <w:r w:rsidRPr="001D603F">
        <w:rPr>
          <w:lang w:val="es-ES"/>
        </w:rPr>
        <w:t xml:space="preserve"> </w:t>
      </w:r>
      <w:r w:rsidR="008D23B8" w:rsidRPr="001D603F">
        <w:rPr>
          <w:lang w:val="es-ES"/>
        </w:rPr>
        <w:t>OJ L 138, 26.5.2016, p. 44–101</w:t>
      </w:r>
      <w:r w:rsidR="00D624A5" w:rsidRPr="001D603F">
        <w:rPr>
          <w:lang w:val="es-ES"/>
        </w:rPr>
        <w:t>.</w:t>
      </w:r>
    </w:p>
  </w:footnote>
  <w:footnote w:id="26">
    <w:p w14:paraId="616F686C" w14:textId="7535BF98" w:rsidR="00A0774C" w:rsidRPr="001D603F" w:rsidRDefault="00A0774C">
      <w:pPr>
        <w:pStyle w:val="FootnoteText"/>
        <w:rPr>
          <w:lang w:val="es-ES"/>
        </w:rPr>
      </w:pPr>
      <w:r>
        <w:rPr>
          <w:rStyle w:val="FootnoteReference"/>
        </w:rPr>
        <w:footnoteRef/>
      </w:r>
      <w:r w:rsidRPr="001D603F">
        <w:rPr>
          <w:lang w:val="es-ES"/>
        </w:rPr>
        <w:t xml:space="preserve"> </w:t>
      </w:r>
      <w:r w:rsidR="00344AF4" w:rsidRPr="001D603F">
        <w:rPr>
          <w:lang w:val="es-ES"/>
        </w:rPr>
        <w:t xml:space="preserve">OJ L, 2026/253, 10.2.2026, </w:t>
      </w:r>
      <w:r w:rsidR="00D1497A" w:rsidRPr="001D603F">
        <w:rPr>
          <w:lang w:val="es-ES"/>
        </w:rPr>
        <w:t xml:space="preserve">p. </w:t>
      </w:r>
      <w:r w:rsidR="006B6E84" w:rsidRPr="001D603F">
        <w:rPr>
          <w:lang w:val="es-ES"/>
        </w:rPr>
        <w:t>1.</w:t>
      </w:r>
    </w:p>
  </w:footnote>
  <w:footnote w:id="27">
    <w:p w14:paraId="162B1101" w14:textId="77777777" w:rsidR="00E83E83" w:rsidRPr="001D603F" w:rsidRDefault="00E83E83" w:rsidP="00E83E83">
      <w:pPr>
        <w:pStyle w:val="FootnoteText"/>
        <w:jc w:val="both"/>
        <w:rPr>
          <w:lang w:val="es-ES"/>
        </w:rPr>
      </w:pPr>
      <w:r w:rsidRPr="00D71008">
        <w:rPr>
          <w:rStyle w:val="FootnoteReference"/>
        </w:rPr>
        <w:footnoteRef/>
      </w:r>
      <w:r w:rsidRPr="001D603F">
        <w:rPr>
          <w:lang w:val="es-ES"/>
        </w:rPr>
        <w:t xml:space="preserve"> OJ L 265, 12.10.2022, p. 1–66.</w:t>
      </w:r>
    </w:p>
  </w:footnote>
  <w:footnote w:id="28">
    <w:p w14:paraId="2099AF70" w14:textId="0E418A41" w:rsidR="0092057B" w:rsidRPr="001D603F" w:rsidRDefault="0092057B" w:rsidP="0092057B">
      <w:pPr>
        <w:pStyle w:val="FootnoteText"/>
        <w:rPr>
          <w:lang w:val="es-ES"/>
        </w:rPr>
      </w:pPr>
      <w:r w:rsidRPr="00D71008">
        <w:rPr>
          <w:rStyle w:val="FootnoteReference"/>
        </w:rPr>
        <w:footnoteRef/>
      </w:r>
      <w:r w:rsidRPr="001D603F">
        <w:rPr>
          <w:lang w:val="es-ES"/>
        </w:rPr>
        <w:t xml:space="preserve"> </w:t>
      </w:r>
      <w:r w:rsidR="00D063C1" w:rsidRPr="001D603F">
        <w:rPr>
          <w:lang w:val="es-ES"/>
        </w:rPr>
        <w:t>OJ L 2022/</w:t>
      </w:r>
      <w:r w:rsidR="00F26ADA" w:rsidRPr="001D603F">
        <w:rPr>
          <w:lang w:val="es-ES"/>
        </w:rPr>
        <w:t xml:space="preserve">2065, </w:t>
      </w:r>
      <w:r w:rsidR="00F53D97" w:rsidRPr="001D603F">
        <w:rPr>
          <w:lang w:val="es-ES"/>
        </w:rPr>
        <w:t>19.10.2022</w:t>
      </w:r>
    </w:p>
  </w:footnote>
  <w:footnote w:id="29">
    <w:p w14:paraId="40DD2B41" w14:textId="7E4BAB99" w:rsidR="003924B3" w:rsidRPr="001D603F" w:rsidRDefault="003924B3">
      <w:pPr>
        <w:pStyle w:val="FootnoteText"/>
        <w:rPr>
          <w:lang w:val="es-ES"/>
        </w:rPr>
      </w:pPr>
      <w:r w:rsidRPr="00D71008">
        <w:rPr>
          <w:rStyle w:val="FootnoteReference"/>
        </w:rPr>
        <w:footnoteRef/>
      </w:r>
      <w:r w:rsidRPr="001D603F">
        <w:rPr>
          <w:lang w:val="es-ES"/>
        </w:rPr>
        <w:t xml:space="preserve"> OJ L 2023/2854, 22.12.2023</w:t>
      </w:r>
    </w:p>
  </w:footnote>
  <w:footnote w:id="30">
    <w:p w14:paraId="028A7183" w14:textId="76893CBF" w:rsidR="00CD291F" w:rsidRPr="001D603F" w:rsidRDefault="00CD291F">
      <w:pPr>
        <w:pStyle w:val="FootnoteText"/>
        <w:rPr>
          <w:lang w:val="es-ES"/>
        </w:rPr>
      </w:pPr>
      <w:r>
        <w:rPr>
          <w:rStyle w:val="FootnoteReference"/>
        </w:rPr>
        <w:footnoteRef/>
      </w:r>
      <w:r w:rsidRPr="001D603F">
        <w:rPr>
          <w:lang w:val="es-ES"/>
        </w:rPr>
        <w:t xml:space="preserve"> OJ L, 2024/1689, 12.7.2024.</w:t>
      </w:r>
    </w:p>
  </w:footnote>
  <w:footnote w:id="31">
    <w:p w14:paraId="211BD240" w14:textId="77777777" w:rsidR="0096126F" w:rsidRPr="001D603F" w:rsidRDefault="0096126F" w:rsidP="0096126F">
      <w:pPr>
        <w:pStyle w:val="FootnoteText"/>
        <w:ind w:right="107"/>
        <w:jc w:val="both"/>
        <w:rPr>
          <w:lang w:val="es-ES"/>
        </w:rPr>
      </w:pPr>
      <w:r w:rsidRPr="00D71008">
        <w:rPr>
          <w:rStyle w:val="FootnoteReference"/>
        </w:rPr>
        <w:footnoteRef/>
      </w:r>
      <w:r w:rsidRPr="001D603F">
        <w:rPr>
          <w:lang w:val="es-ES"/>
        </w:rPr>
        <w:t xml:space="preserve"> OJ L 328, 18.12.2019, p. 7–28.</w:t>
      </w:r>
    </w:p>
  </w:footnote>
  <w:footnote w:id="32">
    <w:p w14:paraId="7C277797" w14:textId="77777777" w:rsidR="005C51DF" w:rsidRPr="005D2D60" w:rsidRDefault="005C51DF" w:rsidP="005C51DF">
      <w:pPr>
        <w:pStyle w:val="FootnoteText"/>
        <w:ind w:right="107"/>
        <w:jc w:val="both"/>
      </w:pPr>
      <w:r w:rsidRPr="00D71008">
        <w:rPr>
          <w:rStyle w:val="FootnoteReference"/>
        </w:rPr>
        <w:footnoteRef/>
      </w:r>
      <w:r w:rsidRPr="005D2D60">
        <w:t xml:space="preserve"> OJL 172, 17.5.2021, p. 1–52.</w:t>
      </w:r>
    </w:p>
  </w:footnote>
  <w:footnote w:id="33">
    <w:p w14:paraId="1123DE16" w14:textId="77777777" w:rsidR="005C51DF" w:rsidRPr="005D2D60" w:rsidRDefault="005C51DF" w:rsidP="005C51DF">
      <w:pPr>
        <w:pStyle w:val="FootnoteText"/>
        <w:ind w:right="107"/>
        <w:jc w:val="both"/>
      </w:pPr>
      <w:r w:rsidRPr="00D71008">
        <w:rPr>
          <w:rStyle w:val="FootnoteReference"/>
        </w:rPr>
        <w:footnoteRef/>
      </w:r>
      <w:r w:rsidRPr="005D2D60">
        <w:t xml:space="preserve"> COM (2023)752</w:t>
      </w:r>
      <w:r w:rsidRPr="005D2D60">
        <w:rPr>
          <w:rFonts w:ascii="Roboto" w:hAnsi="Roboto"/>
          <w:color w:val="333333"/>
          <w:shd w:val="clear" w:color="auto" w:fill="FFFFFF"/>
        </w:rPr>
        <w:t xml:space="preserve"> </w:t>
      </w:r>
    </w:p>
  </w:footnote>
  <w:footnote w:id="34">
    <w:p w14:paraId="3CFD9BE9" w14:textId="40D9E6CB" w:rsidR="005870B6" w:rsidRPr="00D71008" w:rsidRDefault="005870B6" w:rsidP="00A72EEC">
      <w:pPr>
        <w:pStyle w:val="FootnoteText"/>
        <w:ind w:right="107"/>
        <w:jc w:val="both"/>
      </w:pPr>
      <w:r w:rsidRPr="00D71008">
        <w:rPr>
          <w:rStyle w:val="FootnoteReference"/>
        </w:rPr>
        <w:footnoteRef/>
      </w:r>
      <w:r w:rsidRPr="00D71008">
        <w:t xml:space="preserve"> </w:t>
      </w:r>
      <w:r w:rsidR="00744667" w:rsidRPr="00D71008">
        <w:t>COM</w:t>
      </w:r>
      <w:r w:rsidR="00EF238A">
        <w:t xml:space="preserve"> </w:t>
      </w:r>
      <w:r w:rsidR="00744667" w:rsidRPr="00D71008">
        <w:t xml:space="preserve">(2023) 441 </w:t>
      </w:r>
    </w:p>
  </w:footnote>
  <w:footnote w:id="35">
    <w:p w14:paraId="47037A51" w14:textId="145EFE17" w:rsidR="00AD4029" w:rsidRPr="00D71008" w:rsidRDefault="00AD4029" w:rsidP="00181722">
      <w:pPr>
        <w:pStyle w:val="FootnoteText"/>
        <w:ind w:right="108"/>
        <w:jc w:val="both"/>
      </w:pPr>
      <w:r w:rsidRPr="00D71008">
        <w:rPr>
          <w:rStyle w:val="FootnoteReference"/>
        </w:rPr>
        <w:footnoteRef/>
      </w:r>
      <w:r w:rsidRPr="00D71008">
        <w:t xml:space="preserve"> </w:t>
      </w:r>
      <w:r w:rsidR="00871B13" w:rsidRPr="00D71008">
        <w:t>OJ L, 2024/3170.</w:t>
      </w:r>
    </w:p>
  </w:footnote>
  <w:footnote w:id="36">
    <w:p w14:paraId="106757BF" w14:textId="04681609" w:rsidR="00744667" w:rsidRPr="00D71008" w:rsidRDefault="00744667" w:rsidP="00181722">
      <w:pPr>
        <w:pStyle w:val="FootnoteText"/>
        <w:ind w:right="108"/>
        <w:jc w:val="both"/>
      </w:pPr>
      <w:r w:rsidRPr="00D71008">
        <w:rPr>
          <w:rStyle w:val="FootnoteReference"/>
        </w:rPr>
        <w:footnoteRef/>
      </w:r>
      <w:r w:rsidRPr="00D71008">
        <w:t xml:space="preserve"> </w:t>
      </w:r>
      <w:r w:rsidR="008147F9" w:rsidRPr="00D71008">
        <w:t>European Commission: Directorate-General for Internal Market, Industry, Entrepreneurship and SMEs, </w:t>
      </w:r>
      <w:r w:rsidR="008147F9" w:rsidRPr="00D71008">
        <w:rPr>
          <w:i/>
          <w:iCs/>
        </w:rPr>
        <w:t>Transition pathway for tourism</w:t>
      </w:r>
      <w:r w:rsidR="008147F9" w:rsidRPr="00D71008">
        <w:t>, Publications Office of the European Union, 2022</w:t>
      </w:r>
    </w:p>
  </w:footnote>
  <w:footnote w:id="37">
    <w:p w14:paraId="55F12D10" w14:textId="722D8028" w:rsidR="00CD4B71" w:rsidRPr="00D71008" w:rsidRDefault="00CD4B71">
      <w:pPr>
        <w:pStyle w:val="FootnoteText"/>
      </w:pPr>
      <w:r w:rsidRPr="00D71008">
        <w:rPr>
          <w:rStyle w:val="FootnoteReference"/>
        </w:rPr>
        <w:footnoteRef/>
      </w:r>
      <w:r w:rsidRPr="00D71008">
        <w:t xml:space="preserve"> COM</w:t>
      </w:r>
      <w:r w:rsidR="00EF238A">
        <w:t xml:space="preserve"> </w:t>
      </w:r>
      <w:r w:rsidRPr="00D71008">
        <w:t>(2025) 763 final</w:t>
      </w:r>
    </w:p>
  </w:footnote>
  <w:footnote w:id="38">
    <w:p w14:paraId="572C0F43" w14:textId="2D6FB881" w:rsidR="006B5419" w:rsidRPr="006B5419" w:rsidRDefault="006B5419" w:rsidP="006B5419">
      <w:pPr>
        <w:pStyle w:val="FootnoteText"/>
        <w:jc w:val="both"/>
      </w:pPr>
      <w:r>
        <w:rPr>
          <w:rStyle w:val="FootnoteReference"/>
        </w:rPr>
        <w:footnoteRef/>
      </w:r>
      <w:r>
        <w:t xml:space="preserve"> </w:t>
      </w:r>
      <w:r w:rsidRPr="00D71008">
        <w:t xml:space="preserve">CRS aggregate and provide information on travel options (inter alia schedules, availability and fares) of different airlines </w:t>
      </w:r>
      <w:r>
        <w:t xml:space="preserve">and rail operators </w:t>
      </w:r>
      <w:r w:rsidRPr="00D71008">
        <w:t xml:space="preserve">to </w:t>
      </w:r>
      <w:r>
        <w:t xml:space="preserve">online and offline </w:t>
      </w:r>
      <w:r w:rsidRPr="00D71008">
        <w:t xml:space="preserve">travel agents and </w:t>
      </w:r>
      <w:r w:rsidR="00773197" w:rsidRPr="00773197">
        <w:t>Travel Management Compan</w:t>
      </w:r>
      <w:r w:rsidR="00773197">
        <w:t>ies</w:t>
      </w:r>
      <w:r w:rsidRPr="00D71008">
        <w:t>. Unlike B2C MDMS they do not sell directly to consumers but enable travel agencies to book tickets on behalf of their clients (Sabre, Amadeus, Travelport).</w:t>
      </w:r>
    </w:p>
  </w:footnote>
  <w:footnote w:id="39">
    <w:p w14:paraId="6E752F2F" w14:textId="77777777" w:rsidR="00F85081" w:rsidRPr="00D71008" w:rsidRDefault="00F85081" w:rsidP="00F85081">
      <w:pPr>
        <w:pStyle w:val="FootnoteText"/>
        <w:jc w:val="both"/>
      </w:pPr>
      <w:r w:rsidRPr="00D71008">
        <w:rPr>
          <w:rStyle w:val="FootnoteReference"/>
        </w:rPr>
        <w:footnoteRef/>
      </w:r>
      <w:r w:rsidRPr="00D71008">
        <w:t xml:space="preserve"> Council Regulation (EEC) No 2299/89 of 24 July 1989 on a code of conduct for computerised reservation systems, OJ L 220, 29.07.1989, p. 1-7.</w:t>
      </w:r>
    </w:p>
  </w:footnote>
  <w:footnote w:id="40">
    <w:p w14:paraId="20A016F0" w14:textId="77777777" w:rsidR="00F85081" w:rsidRPr="00D71008" w:rsidRDefault="00F85081" w:rsidP="00F85081">
      <w:pPr>
        <w:pStyle w:val="FootnoteText"/>
        <w:jc w:val="both"/>
      </w:pPr>
      <w:r w:rsidRPr="00D71008">
        <w:rPr>
          <w:rStyle w:val="FootnoteReference"/>
        </w:rPr>
        <w:footnoteRef/>
      </w:r>
      <w:r w:rsidRPr="00D71008">
        <w:t xml:space="preserve"> Regulation (EC) No 80/2009 of the European Parliament and of the Council of 14 January 2009 on a Code of Conduct for computerised reservation systems.</w:t>
      </w:r>
    </w:p>
  </w:footnote>
  <w:footnote w:id="41">
    <w:p w14:paraId="60EB4C15" w14:textId="4629707F" w:rsidR="007F14F4" w:rsidRPr="00D71008" w:rsidRDefault="007F14F4" w:rsidP="00181722">
      <w:pPr>
        <w:pStyle w:val="FootnoteText"/>
        <w:ind w:right="108"/>
        <w:jc w:val="both"/>
        <w:rPr>
          <w:b/>
        </w:rPr>
      </w:pPr>
      <w:r w:rsidRPr="00D71008">
        <w:rPr>
          <w:rStyle w:val="FootnoteReference"/>
        </w:rPr>
        <w:footnoteRef/>
      </w:r>
      <w:r w:rsidRPr="00D71008">
        <w:t xml:space="preserve"> </w:t>
      </w:r>
      <w:r w:rsidR="008E01FD" w:rsidRPr="00D71008">
        <w:t>SWD</w:t>
      </w:r>
      <w:r w:rsidR="00EF238A">
        <w:t xml:space="preserve"> </w:t>
      </w:r>
      <w:r w:rsidR="008E01FD" w:rsidRPr="00D71008">
        <w:t>(2020)9</w:t>
      </w:r>
      <w:r w:rsidR="008E01FD" w:rsidRPr="00D71008">
        <w:rPr>
          <w:b/>
          <w:bCs/>
        </w:rPr>
        <w:t xml:space="preserve"> </w:t>
      </w:r>
    </w:p>
  </w:footnote>
  <w:footnote w:id="42">
    <w:p w14:paraId="23DBDBBD" w14:textId="70F01F9D" w:rsidR="008D5596" w:rsidRPr="008D5596" w:rsidRDefault="008D5596">
      <w:pPr>
        <w:pStyle w:val="FootnoteText"/>
      </w:pPr>
      <w:r>
        <w:rPr>
          <w:rStyle w:val="FootnoteReference"/>
        </w:rPr>
        <w:footnoteRef/>
      </w:r>
      <w:r>
        <w:t xml:space="preserve"> </w:t>
      </w:r>
      <w:r w:rsidRPr="005A1F36">
        <w:t>Ricardo</w:t>
      </w:r>
      <w:r w:rsidRPr="005A1F36">
        <w:rPr>
          <w:spacing w:val="-1"/>
        </w:rPr>
        <w:t xml:space="preserve"> </w:t>
      </w:r>
      <w:r w:rsidRPr="005A1F36">
        <w:t>et</w:t>
      </w:r>
      <w:r w:rsidRPr="005A1F36">
        <w:rPr>
          <w:spacing w:val="-2"/>
        </w:rPr>
        <w:t xml:space="preserve"> </w:t>
      </w:r>
      <w:r w:rsidRPr="005A1F36">
        <w:t>al.</w:t>
      </w:r>
      <w:r w:rsidRPr="005A1F36">
        <w:rPr>
          <w:spacing w:val="-2"/>
        </w:rPr>
        <w:t xml:space="preserve"> </w:t>
      </w:r>
      <w:r w:rsidRPr="005A1F36">
        <w:t>(2026),</w:t>
      </w:r>
      <w:r w:rsidRPr="005A1F36">
        <w:rPr>
          <w:spacing w:val="-2"/>
        </w:rPr>
        <w:t xml:space="preserve"> </w:t>
      </w:r>
      <w:r w:rsidRPr="005A1F36">
        <w:t>Study</w:t>
      </w:r>
      <w:r w:rsidRPr="005A1F36">
        <w:rPr>
          <w:spacing w:val="-3"/>
        </w:rPr>
        <w:t xml:space="preserve"> </w:t>
      </w:r>
      <w:r w:rsidRPr="005A1F36">
        <w:t>supporting</w:t>
      </w:r>
      <w:r w:rsidRPr="005A1F36">
        <w:rPr>
          <w:spacing w:val="-1"/>
        </w:rPr>
        <w:t xml:space="preserve"> </w:t>
      </w:r>
      <w:r w:rsidRPr="005A1F36">
        <w:t>the MDMS and SDBTR Impact assessment</w:t>
      </w:r>
      <w:r w:rsidR="00E22144">
        <w:t>.</w:t>
      </w:r>
    </w:p>
  </w:footnote>
  <w:footnote w:id="43">
    <w:p w14:paraId="612F7E88" w14:textId="427B050D" w:rsidR="00D91CAE" w:rsidRPr="007A05AC" w:rsidRDefault="00D91CAE" w:rsidP="00BD2CE4">
      <w:pPr>
        <w:pStyle w:val="FootnoteText"/>
        <w:jc w:val="both"/>
      </w:pPr>
      <w:r w:rsidRPr="007A05AC">
        <w:rPr>
          <w:rStyle w:val="FootnoteReference"/>
        </w:rPr>
        <w:footnoteRef/>
      </w:r>
      <w:r w:rsidRPr="007A05AC">
        <w:t xml:space="preserve"> </w:t>
      </w:r>
      <w:r w:rsidR="0030073B" w:rsidRPr="0030073B">
        <w:t xml:space="preserve">The attractiveness of origin or destination nodes was assessed considering for each NUTS3 region the economic attractiveness (as indicated by the GDP by NUTS3 region from Eurostat), personal attractiveness (as indicated by the number of bed places for tourism per NUTS3 region from Eurostat), and its status as a capital city. </w:t>
      </w:r>
      <w:r w:rsidRPr="007A05AC">
        <w:t>The Nomenclature of territorial units for statistics (NUTS) is a geographical nomenclature subdividing the EU territory into regions at three different levels (NUTS1, NUTS2 and NUTS3 respectively, moving from larger to smaller territorial units). NUTS3 regions are those with population between 150,000 and 800,000.</w:t>
      </w:r>
      <w:r w:rsidR="002062BA">
        <w:t xml:space="preserve"> More details on the </w:t>
      </w:r>
      <w:r w:rsidR="00124B0B" w:rsidRPr="00124B0B">
        <w:t xml:space="preserve">analysis of </w:t>
      </w:r>
      <w:r w:rsidR="00124B0B">
        <w:t xml:space="preserve">the </w:t>
      </w:r>
      <w:r w:rsidR="00124B0B" w:rsidRPr="00124B0B">
        <w:t>100 origin-destination routes</w:t>
      </w:r>
      <w:r w:rsidR="00124B0B">
        <w:t xml:space="preserve"> </w:t>
      </w:r>
      <w:r w:rsidR="009A587B">
        <w:t>are</w:t>
      </w:r>
      <w:r w:rsidR="00124B0B">
        <w:t xml:space="preserve"> provided in Annex 4 (section 1.3.1</w:t>
      </w:r>
      <w:r w:rsidR="00E64673">
        <w:t>).</w:t>
      </w:r>
    </w:p>
  </w:footnote>
  <w:footnote w:id="44">
    <w:p w14:paraId="49D24AAA" w14:textId="1CA6FF9F" w:rsidR="00D91CAE" w:rsidRPr="007A05AC" w:rsidRDefault="00D91CAE" w:rsidP="00D91CAE">
      <w:pPr>
        <w:pStyle w:val="FootnoteText"/>
        <w:jc w:val="both"/>
      </w:pPr>
      <w:r w:rsidRPr="007A05AC">
        <w:rPr>
          <w:rStyle w:val="FootnoteReference"/>
        </w:rPr>
        <w:footnoteRef/>
      </w:r>
      <w:r w:rsidRPr="007A05AC">
        <w:t xml:space="preserve"> Whilst it only provides options for within-mode travel (e.g. bus-bus or rail-rail), Omio is used as a proxy for availability of travel options on MDMS as it is one of the most comprehensive independent MDMS platform for land travel in the market that allows to book travel options from different modes. Other platforms either lack multimodal booking (e.g. Rome2Rio only does re-linking) or have limited modal or geographic scope.</w:t>
      </w:r>
    </w:p>
  </w:footnote>
  <w:footnote w:id="45">
    <w:p w14:paraId="238737B2" w14:textId="3F5C287F" w:rsidR="00D91CAE" w:rsidRPr="007A05AC" w:rsidRDefault="00D91CAE" w:rsidP="00D91CAE">
      <w:pPr>
        <w:pStyle w:val="FootnoteText"/>
        <w:jc w:val="both"/>
      </w:pPr>
      <w:r w:rsidRPr="007A05AC">
        <w:rPr>
          <w:rStyle w:val="FootnoteReference"/>
        </w:rPr>
        <w:footnoteRef/>
      </w:r>
      <w:r w:rsidRPr="007A05AC">
        <w:t xml:space="preserve"> Google Maps was used to list all possible within-mode and multimodal connections possible via land and sea and their associated journey times. Costs for these connections were collected by direct research on the websites of relevant operators. This was supplemented by additional information from Google Flights on possible direct air connections and their associated journey times/costs.</w:t>
      </w:r>
    </w:p>
  </w:footnote>
  <w:footnote w:id="46">
    <w:p w14:paraId="30DDC7F2" w14:textId="70EF0FE8" w:rsidR="00665FAD" w:rsidRPr="00223C4D" w:rsidRDefault="00665FAD" w:rsidP="000C10DB">
      <w:pPr>
        <w:pStyle w:val="FootnoteText"/>
        <w:jc w:val="both"/>
      </w:pPr>
      <w:r>
        <w:rPr>
          <w:rStyle w:val="FootnoteReference"/>
        </w:rPr>
        <w:footnoteRef/>
      </w:r>
      <w:r>
        <w:t xml:space="preserve"> </w:t>
      </w:r>
      <w:r w:rsidR="003149CD">
        <w:t xml:space="preserve">A </w:t>
      </w:r>
      <w:r>
        <w:t>direct comparison of costs was only possible in 56 OD pairs</w:t>
      </w:r>
      <w:r w:rsidR="003149CD">
        <w:t xml:space="preserve">, limiting the representativeness of the exercise, </w:t>
      </w:r>
      <w:r w:rsidR="008F621E">
        <w:t xml:space="preserve">and </w:t>
      </w:r>
      <w:r w:rsidR="000C10DB">
        <w:t xml:space="preserve">the </w:t>
      </w:r>
      <w:r w:rsidR="00333CF6" w:rsidRPr="00333CF6">
        <w:t>cost data collected directly via operator websites was for a point further in the future than the costs extracted from Omio</w:t>
      </w:r>
      <w:r w:rsidR="000C10DB">
        <w:t>.</w:t>
      </w:r>
    </w:p>
  </w:footnote>
  <w:footnote w:id="47">
    <w:p w14:paraId="15707CA3" w14:textId="77777777" w:rsidR="00D91CAE" w:rsidRDefault="00D91CAE" w:rsidP="00D91CAE">
      <w:pPr>
        <w:pStyle w:val="FootnoteText"/>
      </w:pPr>
      <w:r>
        <w:rPr>
          <w:rStyle w:val="FootnoteReference"/>
        </w:rPr>
        <w:footnoteRef/>
      </w:r>
      <w:r>
        <w:t xml:space="preserve"> </w:t>
      </w:r>
      <w:hyperlink r:id="rId5" w:history="1">
        <w:r w:rsidRPr="005A0993">
          <w:rPr>
            <w:rStyle w:val="Hyperlink"/>
          </w:rPr>
          <w:t>Flash Eurobarometer 551</w:t>
        </w:r>
      </w:hyperlink>
      <w:r w:rsidRPr="00F3426A">
        <w:t xml:space="preserve"> - Multimodal Digital Mobility Service – August – September 2024</w:t>
      </w:r>
    </w:p>
  </w:footnote>
  <w:footnote w:id="48">
    <w:p w14:paraId="08FAB43A" w14:textId="77777777" w:rsidR="009F1172" w:rsidRPr="004E336D" w:rsidRDefault="009F1172" w:rsidP="009F1172">
      <w:pPr>
        <w:pStyle w:val="FootnoteText"/>
      </w:pPr>
      <w:r>
        <w:rPr>
          <w:rStyle w:val="FootnoteReference"/>
        </w:rPr>
        <w:footnoteRef/>
      </w:r>
      <w:r>
        <w:t xml:space="preserve"> </w:t>
      </w:r>
      <w:r w:rsidRPr="00D71008">
        <w:t>5% selected the response 'very difficult' and 30% 'rather difficult'</w:t>
      </w:r>
      <w:r w:rsidRPr="007A05AC">
        <w:t>.</w:t>
      </w:r>
    </w:p>
  </w:footnote>
  <w:footnote w:id="49">
    <w:p w14:paraId="14E0CCE5" w14:textId="77777777" w:rsidR="00D91CAE" w:rsidRPr="004E336D" w:rsidRDefault="00D91CAE" w:rsidP="00D91CAE">
      <w:pPr>
        <w:pStyle w:val="FootnoteText"/>
      </w:pPr>
      <w:r>
        <w:rPr>
          <w:rStyle w:val="FootnoteReference"/>
        </w:rPr>
        <w:footnoteRef/>
      </w:r>
      <w:r>
        <w:t xml:space="preserve"> </w:t>
      </w:r>
      <w:r w:rsidRPr="00D71008">
        <w:t>6% selected the response 'very difficult' and 30% 'rather difficult'</w:t>
      </w:r>
      <w:r w:rsidRPr="007A05AC">
        <w:t>.</w:t>
      </w:r>
    </w:p>
  </w:footnote>
  <w:footnote w:id="50">
    <w:p w14:paraId="197F2DF1" w14:textId="77777777" w:rsidR="00D91CAE" w:rsidRPr="004D44F4" w:rsidRDefault="00D91CAE" w:rsidP="00D91CAE">
      <w:pPr>
        <w:pStyle w:val="FootnoteText"/>
      </w:pPr>
      <w:r>
        <w:rPr>
          <w:rStyle w:val="FootnoteReference"/>
        </w:rPr>
        <w:footnoteRef/>
      </w:r>
      <w:r>
        <w:t xml:space="preserve"> </w:t>
      </w:r>
      <w:r w:rsidRPr="005D2D60">
        <w:t>See section 1.3.2 of Annex 4. </w:t>
      </w:r>
    </w:p>
  </w:footnote>
  <w:footnote w:id="51">
    <w:p w14:paraId="151BAC69" w14:textId="4EDC939A" w:rsidR="009167C3" w:rsidRPr="00D81471" w:rsidRDefault="009167C3" w:rsidP="00436A1F">
      <w:pPr>
        <w:pStyle w:val="FootnoteText"/>
        <w:jc w:val="both"/>
      </w:pPr>
      <w:r>
        <w:rPr>
          <w:rStyle w:val="FootnoteReference"/>
        </w:rPr>
        <w:footnoteRef/>
      </w:r>
      <w:r>
        <w:t xml:space="preserve"> </w:t>
      </w:r>
      <w:r w:rsidR="00EA23A0">
        <w:t>I</w:t>
      </w:r>
      <w:r w:rsidRPr="00D81471">
        <w:t>ncluding those of operators which they control, operators which control them or operators that are controlled by the same entity as the one controlling them</w:t>
      </w:r>
      <w:r w:rsidR="00EA23A0">
        <w:t xml:space="preserve"> and including those of operators that are part of the same economic undertaking</w:t>
      </w:r>
      <w:r w:rsidR="00C37ED5">
        <w:t xml:space="preserve"> (group)</w:t>
      </w:r>
      <w:r w:rsidR="00C84B79">
        <w:t xml:space="preserve">. </w:t>
      </w:r>
      <w:r w:rsidR="00517835" w:rsidRPr="00517835">
        <w:rPr>
          <w:lang w:val="en-IE"/>
        </w:rPr>
        <w:t>This includes Direct Connect systems, identified as a carrier system that does not provide aggregation</w:t>
      </w:r>
      <w:r w:rsidR="00D97B1E" w:rsidRPr="00517835">
        <w:rPr>
          <w:lang w:val="en-IE"/>
        </w:rPr>
        <w:t xml:space="preserve"> and </w:t>
      </w:r>
      <w:r w:rsidR="00517835" w:rsidRPr="00517835">
        <w:rPr>
          <w:lang w:val="en-IE"/>
        </w:rPr>
        <w:t>comparison service with other carriers which do not belong to their group</w:t>
      </w:r>
      <w:r w:rsidR="008D33A8">
        <w:rPr>
          <w:lang w:val="en-IE"/>
        </w:rPr>
        <w:t xml:space="preserve"> and </w:t>
      </w:r>
      <w:r w:rsidR="00C84B79">
        <w:t xml:space="preserve">excludes </w:t>
      </w:r>
      <w:r w:rsidR="00D97B1E">
        <w:t>code</w:t>
      </w:r>
      <w:r w:rsidR="00B21A3C">
        <w:t xml:space="preserve"> </w:t>
      </w:r>
      <w:r w:rsidR="00D97B1E">
        <w:t>share and interlining agreements</w:t>
      </w:r>
      <w:r w:rsidR="00026F55">
        <w:t xml:space="preserve">. </w:t>
      </w:r>
      <w:r w:rsidR="00026F55" w:rsidRPr="00026F55">
        <w:t>Code</w:t>
      </w:r>
      <w:r w:rsidR="00785850">
        <w:t xml:space="preserve"> </w:t>
      </w:r>
      <w:r w:rsidR="00026F55" w:rsidRPr="00026F55">
        <w:t>share agreements allow an airline to market and sell flights operated by another airline under its own flight number. Interlining agreements enable airlines to issue tickets and manage passengers on journeys involving multiple airlines. These arrangements may also include cooperation with other transport operators (e.g. air-rail or air-</w:t>
      </w:r>
      <w:r w:rsidR="004A3CF6">
        <w:t>coach</w:t>
      </w:r>
      <w:r w:rsidR="00026F55" w:rsidRPr="00026F55">
        <w:t>). They are forms of operational cooperation, not ticket sales on behalf of other operators which ensure better connectivity, a wider range of travel options and may also be beneficial to consumers from the passenger rights perspective.</w:t>
      </w:r>
    </w:p>
  </w:footnote>
  <w:footnote w:id="52">
    <w:p w14:paraId="6B286654" w14:textId="4EB26ABD" w:rsidR="00E522BA" w:rsidRPr="00E522BA" w:rsidRDefault="00E522BA" w:rsidP="00CD1AEB">
      <w:pPr>
        <w:pStyle w:val="FootnoteText"/>
        <w:jc w:val="both"/>
      </w:pPr>
      <w:r>
        <w:rPr>
          <w:rStyle w:val="FootnoteReference"/>
        </w:rPr>
        <w:footnoteRef/>
      </w:r>
      <w:r>
        <w:t xml:space="preserve"> </w:t>
      </w:r>
      <w:r w:rsidR="005A1C93">
        <w:t>Meta search engines (</w:t>
      </w:r>
      <w:r w:rsidR="002C43AE" w:rsidRPr="00D71008">
        <w:t>MSE</w:t>
      </w:r>
      <w:r w:rsidR="005A1C93">
        <w:t>)</w:t>
      </w:r>
      <w:r w:rsidR="002C43AE" w:rsidRPr="00D71008">
        <w:rPr>
          <w:bCs/>
        </w:rPr>
        <w:t xml:space="preserve"> </w:t>
      </w:r>
      <w:r w:rsidR="002C43AE" w:rsidRPr="00D71008">
        <w:t>aggregate and present travel option(s) to users (schedules, availability and fares), redirecting them to other MDMS platforms (Online Travel Agents (OTAs)) or direct distribution channels (transport operator’s website) to complete the booking for the selected option(s). Examples include Skyscanner and Google Flights</w:t>
      </w:r>
      <w:r w:rsidR="00CD1AEB">
        <w:t>. OTA</w:t>
      </w:r>
      <w:r w:rsidR="008F1E85">
        <w:t>s</w:t>
      </w:r>
      <w:r w:rsidR="00CD1AEB">
        <w:t xml:space="preserve"> </w:t>
      </w:r>
      <w:r w:rsidR="00CD1AEB" w:rsidRPr="00D71008">
        <w:t>aggregate and offer travel option(s) from multiple operators and enable users to book tickets directly on the platform. This requires the MDMS platforms to have access to each operator’s booking and reservation systems through standardised interfaces.</w:t>
      </w:r>
      <w:r w:rsidR="00CD1AEB" w:rsidRPr="00D71008">
        <w:rPr>
          <w:bCs/>
        </w:rPr>
        <w:t xml:space="preserve"> Such platforms can be independent from transport operators (e.g., Trainline, Omio, eDreams) or be owned by an operator (e.g., SNCF Connect, DB Navigator).</w:t>
      </w:r>
      <w:r w:rsidR="00F15DC9">
        <w:rPr>
          <w:bCs/>
        </w:rPr>
        <w:t xml:space="preserve"> </w:t>
      </w:r>
      <w:r w:rsidR="0094671A" w:rsidRPr="0094671A">
        <w:rPr>
          <w:bCs/>
        </w:rPr>
        <w:t>New Content Aggregator</w:t>
      </w:r>
      <w:r w:rsidR="0094671A">
        <w:rPr>
          <w:bCs/>
        </w:rPr>
        <w:t>s</w:t>
      </w:r>
      <w:r w:rsidR="0094671A" w:rsidRPr="0094671A">
        <w:rPr>
          <w:bCs/>
        </w:rPr>
        <w:t xml:space="preserve"> </w:t>
      </w:r>
      <w:r w:rsidR="0094671A">
        <w:rPr>
          <w:bCs/>
        </w:rPr>
        <w:t>(</w:t>
      </w:r>
      <w:r w:rsidR="00F15DC9" w:rsidRPr="00D71008">
        <w:t>NCA</w:t>
      </w:r>
      <w:r w:rsidR="0094671A">
        <w:t>s)</w:t>
      </w:r>
      <w:r w:rsidR="00F15DC9" w:rsidRPr="00D71008">
        <w:t xml:space="preserve"> aggregate and present travel options (schedules, availability and fares) to online and offline travel agents. Examples include Travelfusion, Farelogix.</w:t>
      </w:r>
    </w:p>
  </w:footnote>
  <w:footnote w:id="53">
    <w:p w14:paraId="711730E1" w14:textId="17C8BE07" w:rsidR="00683CB0" w:rsidRPr="00D71008" w:rsidRDefault="00683CB0" w:rsidP="00683CB0">
      <w:pPr>
        <w:pStyle w:val="FootnoteText"/>
        <w:jc w:val="both"/>
      </w:pPr>
      <w:r w:rsidRPr="00D71008">
        <w:rPr>
          <w:rStyle w:val="FootnoteReference"/>
        </w:rPr>
        <w:footnoteRef/>
      </w:r>
      <w:r w:rsidRPr="00D71008">
        <w:t xml:space="preserve"> Ricardo et al. (2026), Study supporting the </w:t>
      </w:r>
      <w:r w:rsidR="007A130E">
        <w:t>RMB</w:t>
      </w:r>
      <w:r w:rsidR="007A130E" w:rsidRPr="00D71008">
        <w:t xml:space="preserve"> </w:t>
      </w:r>
      <w:r w:rsidRPr="00D71008">
        <w:t xml:space="preserve">and </w:t>
      </w:r>
      <w:r w:rsidR="007A130E">
        <w:t>RTR</w:t>
      </w:r>
      <w:r w:rsidR="007A130E" w:rsidRPr="00D71008">
        <w:t xml:space="preserve"> </w:t>
      </w:r>
      <w:r w:rsidRPr="00D71008">
        <w:t>Impact assessment.</w:t>
      </w:r>
    </w:p>
  </w:footnote>
  <w:footnote w:id="54">
    <w:p w14:paraId="4197B4F6" w14:textId="27F195CA" w:rsidR="00E84E26" w:rsidRPr="00E84E26" w:rsidRDefault="00E84E26" w:rsidP="007F1A41">
      <w:pPr>
        <w:pStyle w:val="FootnoteText"/>
        <w:jc w:val="both"/>
      </w:pPr>
      <w:r>
        <w:rPr>
          <w:rStyle w:val="FootnoteReference"/>
        </w:rPr>
        <w:footnoteRef/>
      </w:r>
      <w:r w:rsidR="005B2786" w:rsidDel="00C74B1B">
        <w:t xml:space="preserve"> </w:t>
      </w:r>
      <w:r w:rsidR="00C74B1B">
        <w:t>Since th</w:t>
      </w:r>
      <w:r w:rsidR="00054F6C">
        <w:t xml:space="preserve">e survey was </w:t>
      </w:r>
      <w:r w:rsidR="00154419">
        <w:t>carried out</w:t>
      </w:r>
      <w:r w:rsidR="007F1A41">
        <w:t>,</w:t>
      </w:r>
      <w:r w:rsidR="00054F6C">
        <w:t xml:space="preserve"> the problem tree has evolved, </w:t>
      </w:r>
      <w:r w:rsidR="007F1A41">
        <w:t>reformulating</w:t>
      </w:r>
      <w:r w:rsidR="00054F6C">
        <w:t xml:space="preserve"> </w:t>
      </w:r>
      <w:r w:rsidR="00B139F6">
        <w:t>the problems and drivers</w:t>
      </w:r>
      <w:r w:rsidR="007F1A41">
        <w:t xml:space="preserve"> identified</w:t>
      </w:r>
      <w:r w:rsidR="00B139F6">
        <w:t>.</w:t>
      </w:r>
      <w:r w:rsidR="00C74B1B" w:rsidDel="00F1206D">
        <w:t xml:space="preserve"> </w:t>
      </w:r>
      <w:r w:rsidR="00F1206D">
        <w:t xml:space="preserve">This paragraph reflects answers from stakeholders on the following problem: </w:t>
      </w:r>
      <w:r w:rsidR="006E7C8F" w:rsidRPr="00720DC6">
        <w:t>Potential distortion of competition between regulated (CRS) and non-regulated B2B distribution channels performing similar functions to CRS</w:t>
      </w:r>
      <w:r w:rsidR="006E7C8F">
        <w:t>.</w:t>
      </w:r>
      <w:r w:rsidR="00426BD9">
        <w:t xml:space="preserve"> </w:t>
      </w:r>
    </w:p>
  </w:footnote>
  <w:footnote w:id="55">
    <w:p w14:paraId="0E326E18" w14:textId="77777777" w:rsidR="00683CB0" w:rsidRPr="00D71008" w:rsidRDefault="00683CB0" w:rsidP="00683CB0">
      <w:pPr>
        <w:pStyle w:val="FootnoteText"/>
        <w:jc w:val="both"/>
      </w:pPr>
      <w:r w:rsidRPr="00D71008">
        <w:rPr>
          <w:rStyle w:val="FootnoteReference"/>
        </w:rPr>
        <w:footnoteRef/>
      </w:r>
      <w:r w:rsidRPr="00D71008">
        <w:t xml:space="preserve"> One saw no unfair competition, while another acknowledged the Code’s benefits in preventing abusive practices such as biasing but supported its review to address technological developments and the extension of core principles to unregulated actors, including OTAs.</w:t>
      </w:r>
    </w:p>
  </w:footnote>
  <w:footnote w:id="56">
    <w:p w14:paraId="57113C78" w14:textId="36EE1D84" w:rsidR="00C0313A" w:rsidRPr="005D2D60" w:rsidRDefault="00C0313A">
      <w:pPr>
        <w:pStyle w:val="FootnoteText"/>
      </w:pPr>
      <w:r>
        <w:rPr>
          <w:rStyle w:val="FootnoteReference"/>
        </w:rPr>
        <w:footnoteRef/>
      </w:r>
      <w:r>
        <w:t xml:space="preserve"> </w:t>
      </w:r>
      <w:r w:rsidR="001E29E5">
        <w:rPr>
          <w:bCs/>
        </w:rPr>
        <w:t>I</w:t>
      </w:r>
      <w:r w:rsidRPr="00C0313A">
        <w:rPr>
          <w:bCs/>
        </w:rPr>
        <w:t>ncluding Airlines for Europe, ALLRAIL, and ERA</w:t>
      </w:r>
      <w:r w:rsidR="007C7A6F">
        <w:rPr>
          <w:bCs/>
        </w:rPr>
        <w:t>.</w:t>
      </w:r>
    </w:p>
  </w:footnote>
  <w:footnote w:id="57">
    <w:p w14:paraId="545F602B" w14:textId="77777777" w:rsidR="00D643D5" w:rsidRPr="00007F2D" w:rsidRDefault="00D643D5" w:rsidP="00D643D5">
      <w:pPr>
        <w:pStyle w:val="FootnoteText"/>
      </w:pPr>
      <w:r w:rsidRPr="00D71008">
        <w:rPr>
          <w:rStyle w:val="FootnoteReference"/>
        </w:rPr>
        <w:footnoteRef/>
      </w:r>
      <w:r>
        <w:t xml:space="preserve"> </w:t>
      </w:r>
      <w:r w:rsidRPr="00D71008">
        <w:t>Oberlandesgericht Frankfurt am Main, Decision of 2 October 2023, Case No</w:t>
      </w:r>
    </w:p>
  </w:footnote>
  <w:footnote w:id="58">
    <w:p w14:paraId="79513383" w14:textId="684621AD" w:rsidR="004F34B9" w:rsidRPr="00D71008" w:rsidRDefault="004F34B9" w:rsidP="004F34B9">
      <w:pPr>
        <w:pStyle w:val="FootnoteText"/>
        <w:jc w:val="both"/>
      </w:pPr>
      <w:r w:rsidRPr="00D71008">
        <w:rPr>
          <w:rStyle w:val="FootnoteReference"/>
        </w:rPr>
        <w:footnoteRef/>
      </w:r>
      <w:r w:rsidRPr="00D71008">
        <w:t xml:space="preserve"> Ricardo et al. (2026), Study supporting the </w:t>
      </w:r>
      <w:r w:rsidR="007A130E">
        <w:t>RMB</w:t>
      </w:r>
      <w:r w:rsidR="007A130E" w:rsidRPr="00D71008">
        <w:t xml:space="preserve"> </w:t>
      </w:r>
      <w:r w:rsidRPr="00D71008">
        <w:t xml:space="preserve">and </w:t>
      </w:r>
      <w:r w:rsidR="007A130E">
        <w:t>RTR</w:t>
      </w:r>
      <w:r w:rsidR="007A130E" w:rsidRPr="00D71008">
        <w:t xml:space="preserve"> </w:t>
      </w:r>
      <w:r w:rsidRPr="00D71008">
        <w:t>Impact assessment.</w:t>
      </w:r>
    </w:p>
  </w:footnote>
  <w:footnote w:id="59">
    <w:p w14:paraId="3B322319" w14:textId="0F95C63F" w:rsidR="004F34B9" w:rsidRPr="00D71008" w:rsidRDefault="004F34B9" w:rsidP="004F34B9">
      <w:pPr>
        <w:pStyle w:val="FootnoteText"/>
        <w:jc w:val="both"/>
      </w:pPr>
      <w:r w:rsidRPr="00D71008">
        <w:rPr>
          <w:rStyle w:val="FootnoteReference"/>
        </w:rPr>
        <w:footnoteRef/>
      </w:r>
      <w:r w:rsidRPr="00D71008">
        <w:t xml:space="preserve"> The practice of </w:t>
      </w:r>
      <w:r w:rsidR="000D2613" w:rsidRPr="007A05AC">
        <w:t>travel agents</w:t>
      </w:r>
      <w:r w:rsidRPr="00D71008">
        <w:t xml:space="preserve"> and OTAs to remain loyal to a single CRS, encouraged through financial incentives, IT equipment and free training.</w:t>
      </w:r>
    </w:p>
  </w:footnote>
  <w:footnote w:id="60">
    <w:p w14:paraId="0D794F53" w14:textId="132909DB" w:rsidR="004F34B9" w:rsidRPr="00D71008" w:rsidRDefault="004F34B9" w:rsidP="004F34B9">
      <w:pPr>
        <w:pStyle w:val="FootnoteText"/>
        <w:jc w:val="both"/>
      </w:pPr>
      <w:r w:rsidRPr="00D71008">
        <w:rPr>
          <w:rStyle w:val="FootnoteReference"/>
        </w:rPr>
        <w:footnoteRef/>
      </w:r>
      <w:r w:rsidRPr="00D71008">
        <w:t xml:space="preserve"> This </w:t>
      </w:r>
      <w:r w:rsidR="006E3BB3">
        <w:t>73</w:t>
      </w:r>
      <w:r w:rsidRPr="00D71008">
        <w:t xml:space="preserve">% represents the heavy reliance of OTAs and </w:t>
      </w:r>
      <w:r w:rsidR="004C7EB3" w:rsidRPr="007A05AC">
        <w:t>travel agents</w:t>
      </w:r>
      <w:r w:rsidRPr="00D71008">
        <w:t xml:space="preserve"> on CRSs to distribute their tickets. </w:t>
      </w:r>
    </w:p>
  </w:footnote>
  <w:footnote w:id="61">
    <w:p w14:paraId="0044368D" w14:textId="3488D3D3" w:rsidR="005932D2" w:rsidRPr="00D71008" w:rsidRDefault="005932D2" w:rsidP="005932D2">
      <w:pPr>
        <w:pStyle w:val="FootnoteText"/>
        <w:jc w:val="both"/>
      </w:pPr>
      <w:r w:rsidRPr="00D71008">
        <w:rPr>
          <w:rStyle w:val="FootnoteReference"/>
        </w:rPr>
        <w:footnoteRef/>
      </w:r>
      <w:r w:rsidRPr="00D71008">
        <w:t xml:space="preserve"> Ricardo et al. (2026), Study supporting the </w:t>
      </w:r>
      <w:r w:rsidR="007A130E">
        <w:t>RMB</w:t>
      </w:r>
      <w:r w:rsidR="007A130E" w:rsidRPr="00D71008">
        <w:t xml:space="preserve"> </w:t>
      </w:r>
      <w:r w:rsidRPr="00D71008">
        <w:t xml:space="preserve">and </w:t>
      </w:r>
      <w:r w:rsidR="007A130E">
        <w:t>RTR</w:t>
      </w:r>
      <w:r w:rsidR="007A130E" w:rsidRPr="00D71008">
        <w:t xml:space="preserve"> </w:t>
      </w:r>
      <w:r w:rsidRPr="00D71008">
        <w:t>Impact assessment, market report.</w:t>
      </w:r>
    </w:p>
  </w:footnote>
  <w:footnote w:id="62">
    <w:p w14:paraId="53ED5F97" w14:textId="66942CF3" w:rsidR="005932D2" w:rsidRPr="00D71008" w:rsidRDefault="005932D2" w:rsidP="005932D2">
      <w:pPr>
        <w:pStyle w:val="FootnoteText"/>
        <w:jc w:val="both"/>
      </w:pPr>
      <w:r w:rsidRPr="00D71008">
        <w:rPr>
          <w:rStyle w:val="FootnoteReference"/>
        </w:rPr>
        <w:footnoteRef/>
      </w:r>
      <w:r w:rsidRPr="00D71008">
        <w:t xml:space="preserve"> One airline interviewed in the context of impact assessment support study indicated that every major European airline group utilises Amadeus CRS backend systems despite this charging 20 EUR per ticket sold.</w:t>
      </w:r>
    </w:p>
  </w:footnote>
  <w:footnote w:id="63">
    <w:p w14:paraId="01E4E372" w14:textId="77777777" w:rsidR="004F34B9" w:rsidRPr="00D71008" w:rsidRDefault="004F34B9" w:rsidP="004F34B9">
      <w:pPr>
        <w:pStyle w:val="FootnoteText"/>
        <w:jc w:val="both"/>
      </w:pPr>
      <w:r w:rsidRPr="00D71008">
        <w:rPr>
          <w:rStyle w:val="FootnoteReference"/>
        </w:rPr>
        <w:footnoteRef/>
      </w:r>
      <w:r w:rsidRPr="00D71008">
        <w:t xml:space="preserve"> Full content parity clauses require airlines to provide the same flight content and prices to a CRS as to other distribution channels, preventing airlines from offering better or differentiated terms elsewhere. </w:t>
      </w:r>
    </w:p>
  </w:footnote>
  <w:footnote w:id="64">
    <w:p w14:paraId="44F63A0C" w14:textId="06807C7F" w:rsidR="004F34B9" w:rsidRPr="00D71008" w:rsidRDefault="004F34B9" w:rsidP="004F34B9">
      <w:pPr>
        <w:pStyle w:val="FootnoteText"/>
        <w:jc w:val="both"/>
      </w:pPr>
      <w:r w:rsidRPr="00D71008">
        <w:rPr>
          <w:rStyle w:val="FootnoteReference"/>
        </w:rPr>
        <w:footnoteRef/>
      </w:r>
      <w:r w:rsidRPr="00D71008">
        <w:t xml:space="preserve"> In an interview, an airline indicated that the big three CRSs account for 50% of the airline revenue and that, during the pandemics, they were about to exit contracts with two of the big three due to “unacceptable conditions”. Two airlines’ associations and three airlines highlighted the role of contractual provisions such as full content obligations and parity clauses in reinforcing the commercial position of dominant CRSs. They also argue that these mechanisms have limited flexibility and slowed the entry of new distribution models. One airline noted, such conditions “</w:t>
      </w:r>
      <w:r w:rsidRPr="00D71008">
        <w:rPr>
          <w:i/>
        </w:rPr>
        <w:t>placed commercial advantage with CRSs to maintain their incentive structures, locking agencies in</w:t>
      </w:r>
      <w:r w:rsidRPr="00D71008">
        <w:t>”</w:t>
      </w:r>
      <w:r w:rsidR="005C4B36">
        <w:t>.</w:t>
      </w:r>
    </w:p>
  </w:footnote>
  <w:footnote w:id="65">
    <w:p w14:paraId="0902917E" w14:textId="77777777" w:rsidR="004F34B9" w:rsidRPr="00D71008" w:rsidRDefault="004F34B9" w:rsidP="001E4BED">
      <w:pPr>
        <w:pStyle w:val="FootnoteText"/>
        <w:jc w:val="both"/>
      </w:pPr>
      <w:r w:rsidRPr="00D71008">
        <w:rPr>
          <w:rStyle w:val="FootnoteReference"/>
        </w:rPr>
        <w:footnoteRef/>
      </w:r>
      <w:r w:rsidRPr="00D71008">
        <w:t xml:space="preserve"> Direct connects directly connect airlines to travel agents, bypassing CRSs and their fees.</w:t>
      </w:r>
    </w:p>
  </w:footnote>
  <w:footnote w:id="66">
    <w:p w14:paraId="69B65362" w14:textId="1DB95617" w:rsidR="004F34B9" w:rsidRPr="00D71008" w:rsidRDefault="004F34B9" w:rsidP="004F34B9">
      <w:pPr>
        <w:pStyle w:val="FootnoteText"/>
        <w:jc w:val="both"/>
      </w:pPr>
      <w:r w:rsidRPr="00D71008">
        <w:rPr>
          <w:rStyle w:val="FootnoteReference"/>
        </w:rPr>
        <w:footnoteRef/>
      </w:r>
      <w:r w:rsidRPr="00D71008">
        <w:t xml:space="preserve"> Th</w:t>
      </w:r>
      <w:r w:rsidR="00A644E6">
        <w:t>e</w:t>
      </w:r>
      <w:r w:rsidRPr="00D71008">
        <w:t xml:space="preserve"> corporate segment is lower in terms of volume but much more profitable than the leisure segment. </w:t>
      </w:r>
      <w:r w:rsidRPr="00D71008">
        <w:rPr>
          <w:bCs/>
        </w:rPr>
        <w:t xml:space="preserve">One major airline interviewed indicated that the profitability of airlines is to a large extent dependent on corporate/business travel bookings that are managed by </w:t>
      </w:r>
      <w:r w:rsidR="00954112" w:rsidRPr="007A05AC">
        <w:rPr>
          <w:bCs/>
        </w:rPr>
        <w:t>travel agents</w:t>
      </w:r>
      <w:r w:rsidRPr="00D71008">
        <w:rPr>
          <w:bCs/>
        </w:rPr>
        <w:t>/</w:t>
      </w:r>
      <w:r w:rsidR="00482D12" w:rsidRPr="00482D12">
        <w:t xml:space="preserve"> </w:t>
      </w:r>
      <w:r w:rsidR="00482D12" w:rsidRPr="00482D12">
        <w:rPr>
          <w:bCs/>
        </w:rPr>
        <w:t>Travel Management Compan</w:t>
      </w:r>
      <w:r w:rsidR="00482D12">
        <w:rPr>
          <w:bCs/>
        </w:rPr>
        <w:t>ies</w:t>
      </w:r>
      <w:r w:rsidR="00482D12" w:rsidRPr="00482D12">
        <w:rPr>
          <w:bCs/>
        </w:rPr>
        <w:t xml:space="preserve"> </w:t>
      </w:r>
      <w:r w:rsidR="00FD56D7">
        <w:rPr>
          <w:bCs/>
        </w:rPr>
        <w:t>(</w:t>
      </w:r>
      <w:r w:rsidRPr="00D71008">
        <w:rPr>
          <w:bCs/>
        </w:rPr>
        <w:t>TMCs</w:t>
      </w:r>
      <w:r w:rsidR="00FD56D7">
        <w:rPr>
          <w:bCs/>
        </w:rPr>
        <w:t>)</w:t>
      </w:r>
      <w:r w:rsidRPr="00D71008">
        <w:rPr>
          <w:bCs/>
        </w:rPr>
        <w:t xml:space="preserve"> that in turn rely on CRSs to make the bookings.</w:t>
      </w:r>
    </w:p>
  </w:footnote>
  <w:footnote w:id="67">
    <w:p w14:paraId="14EAF951" w14:textId="32F900DC" w:rsidR="004F34B9" w:rsidRPr="00D71008" w:rsidRDefault="004F34B9" w:rsidP="004F34B9">
      <w:pPr>
        <w:pStyle w:val="FootnoteText"/>
        <w:jc w:val="both"/>
      </w:pPr>
      <w:r w:rsidRPr="00D71008">
        <w:rPr>
          <w:rStyle w:val="FootnoteReference"/>
          <w:rFonts w:eastAsiaTheme="majorEastAsia"/>
        </w:rPr>
        <w:footnoteRef/>
      </w:r>
      <w:r w:rsidRPr="00D71008">
        <w:t xml:space="preserve"> ERA highlighted the important role CRSs play in enabling fair competition between small and large carriers. One operator noted that access conditions vary widely across MDMS platforms, with high integration costs and selective policies disproportionately affecting smaller or regional operators. A large operator indicated that airlines may not have difficulties in accessing MDMS platforms but have difficulties with the costs associated with this access, noting that for some newer or smaller airlines, the cost may lead to a “negative business case</w:t>
      </w:r>
      <w:r w:rsidRPr="007A05AC">
        <w:t>”.</w:t>
      </w:r>
    </w:p>
  </w:footnote>
  <w:footnote w:id="68">
    <w:p w14:paraId="7EE6DC5F" w14:textId="77777777" w:rsidR="0094188B" w:rsidRPr="007A05AC" w:rsidRDefault="0094188B" w:rsidP="0094188B">
      <w:pPr>
        <w:pStyle w:val="FootnoteText"/>
        <w:jc w:val="both"/>
      </w:pPr>
      <w:r w:rsidRPr="007A05AC">
        <w:rPr>
          <w:rStyle w:val="FootnoteReference"/>
        </w:rPr>
        <w:footnoteRef/>
      </w:r>
      <w:r w:rsidRPr="007A05AC">
        <w:t xml:space="preserve"> Two airlines and two airline associations in the interviews further argued that B2C platforms taking the feed from CRSs gain unrestricted access to content without the need to negotiate commercial terms with air carriers. They also argue that this dynamic, coupled with the limited bargaining power of smaller airlines, risks to further strengthen the market power of both B2B and B2C MDMS providers.</w:t>
      </w:r>
    </w:p>
  </w:footnote>
  <w:footnote w:id="69">
    <w:p w14:paraId="0F471E14" w14:textId="77777777" w:rsidR="0094188B" w:rsidRPr="007A05AC" w:rsidRDefault="0094188B" w:rsidP="0094188B">
      <w:pPr>
        <w:pStyle w:val="FootnoteText"/>
        <w:jc w:val="both"/>
      </w:pPr>
      <w:r w:rsidRPr="007A05AC">
        <w:rPr>
          <w:rStyle w:val="FootnoteReference"/>
        </w:rPr>
        <w:footnoteRef/>
      </w:r>
      <w:r w:rsidRPr="007A05AC">
        <w:t xml:space="preserve"> One CRS mentioned that the inclusion of operators is based on “a positive business case driven by consumer demand,” noting that factors such as API integration costs, commission levels, and maintenance fees determine feasibility. Another CRS disagreed with the problem while cautioning that mandating access on operator-owned platforms could “reinforce their dominant position” in distribution markets.</w:t>
      </w:r>
    </w:p>
  </w:footnote>
  <w:footnote w:id="70">
    <w:p w14:paraId="48015E0A" w14:textId="6FD54B1F" w:rsidR="004E4359" w:rsidRPr="00313417" w:rsidRDefault="004E4359" w:rsidP="004E4359">
      <w:pPr>
        <w:pStyle w:val="FootnoteText"/>
        <w:jc w:val="both"/>
      </w:pPr>
      <w:r>
        <w:rPr>
          <w:rStyle w:val="FootnoteReference"/>
        </w:rPr>
        <w:footnoteRef/>
      </w:r>
      <w:r>
        <w:t xml:space="preserve"> A</w:t>
      </w:r>
      <w:r w:rsidRPr="00D71008">
        <w:t xml:space="preserve"> Commission investigation into Renfe found that in 2021 Renfe’s own online direct channels accounted for 80</w:t>
      </w:r>
      <w:r>
        <w:t>-</w:t>
      </w:r>
      <w:r w:rsidRPr="00D71008">
        <w:t xml:space="preserve">90% of its total online ticket revenues </w:t>
      </w:r>
      <w:r>
        <w:t>(a fair proxy of the total size of the potential market for online rail ticketing services in Spain)</w:t>
      </w:r>
      <w:r w:rsidRPr="00D71008">
        <w:t>, with third-party platforms representing only 10</w:t>
      </w:r>
      <w:r>
        <w:t>-</w:t>
      </w:r>
      <w:r w:rsidRPr="00D71008">
        <w:t xml:space="preserve">20%. On this basis, the Commission took the initial view that Renfe, as a vertically integrated dominant </w:t>
      </w:r>
      <w:r>
        <w:t>RU</w:t>
      </w:r>
      <w:r w:rsidRPr="00D71008">
        <w:t xml:space="preserve">, holds a dominant position in the potential downstream Spanish online rail ticketing market through its proprietary distribution solutions. </w:t>
      </w:r>
      <w:r>
        <w:rPr>
          <w:rFonts w:eastAsia="Aptos"/>
        </w:rPr>
        <w:t>However, the Commission recalled that Renfe’s potential dominance in the Spanish online rail ticketing market had no bearing on the preliminary finding that Renfe’s dominant position in the Spanish passenger rail market would likely</w:t>
      </w:r>
      <w:r w:rsidDel="003A58F0">
        <w:rPr>
          <w:rFonts w:eastAsia="Aptos"/>
        </w:rPr>
        <w:t xml:space="preserve"> </w:t>
      </w:r>
      <w:r>
        <w:rPr>
          <w:rFonts w:eastAsia="Aptos"/>
        </w:rPr>
        <w:t>be leveraged and lead to the elimination of effective competition in the ticketing market</w:t>
      </w:r>
      <w:r w:rsidRPr="00D71008">
        <w:t xml:space="preserve"> (see Annex 11). In France, a 2024 study by Compass Lexecon estimated SNCF Connect’s market share in the online distribution of rail tickets to the general public at 80</w:t>
      </w:r>
      <w:r>
        <w:t>-</w:t>
      </w:r>
      <w:r w:rsidRPr="00D71008">
        <w:t xml:space="preserve">90%. In Sweden, the Swedish Competition Authority found that alternative online channels represent only a marginal share of ticket sales and that the vast majority of ticket sales by SJ and other </w:t>
      </w:r>
      <w:r>
        <w:t>RU</w:t>
      </w:r>
      <w:r w:rsidRPr="00D71008">
        <w:t>s occur via SJ’s digital channels. A government public investigation further highlighted the limited competitive constraint exerted by the neutral platform Resrobot, which recorded around 10,000 bookings in 2019 compared to approximately 25 million bookings through SJ’s digital channels (see Annex 11)</w:t>
      </w:r>
      <w:r>
        <w:t>.</w:t>
      </w:r>
    </w:p>
  </w:footnote>
  <w:footnote w:id="71">
    <w:p w14:paraId="7781877D" w14:textId="77777777" w:rsidR="004E4359" w:rsidRPr="00554F2E" w:rsidRDefault="004E4359" w:rsidP="004E4359">
      <w:pPr>
        <w:pStyle w:val="FootnoteText"/>
      </w:pPr>
      <w:r>
        <w:rPr>
          <w:rStyle w:val="FootnoteReference"/>
        </w:rPr>
        <w:footnoteRef/>
      </w:r>
      <w:r>
        <w:t xml:space="preserve"> Monopolkommission, Rail 2021: </w:t>
      </w:r>
      <w:r w:rsidRPr="00777039">
        <w:rPr>
          <w:i/>
          <w:iCs/>
        </w:rPr>
        <w:t>Competition into the Timetable</w:t>
      </w:r>
      <w:r>
        <w:t>!</w:t>
      </w:r>
    </w:p>
  </w:footnote>
  <w:footnote w:id="72">
    <w:p w14:paraId="3F37B441" w14:textId="77777777" w:rsidR="004E4359" w:rsidRPr="00D71008" w:rsidRDefault="004E4359" w:rsidP="004E4359">
      <w:pPr>
        <w:pStyle w:val="FootnoteText"/>
        <w:jc w:val="both"/>
      </w:pPr>
      <w:r w:rsidRPr="00D71008">
        <w:rPr>
          <w:rStyle w:val="FootnoteReference"/>
        </w:rPr>
        <w:footnoteRef/>
      </w:r>
      <w:r w:rsidRPr="00D71008">
        <w:t xml:space="preserve"> According to two industry associations and one NGO</w:t>
      </w:r>
      <w:r w:rsidRPr="00D71008">
        <w:rPr>
          <w:sz w:val="24"/>
          <w:szCs w:val="24"/>
        </w:rPr>
        <w:t xml:space="preserve"> </w:t>
      </w:r>
      <w:r w:rsidRPr="00D71008">
        <w:t xml:space="preserve">passengers primarily use indispensable </w:t>
      </w:r>
      <w:r>
        <w:t>RU</w:t>
      </w:r>
      <w:r w:rsidRPr="00D71008">
        <w:t xml:space="preserve"> websites for booking rail tickets.</w:t>
      </w:r>
      <w:r w:rsidRPr="00D71008">
        <w:rPr>
          <w:sz w:val="22"/>
          <w:szCs w:val="22"/>
        </w:rPr>
        <w:t xml:space="preserve"> </w:t>
      </w:r>
      <w:r w:rsidRPr="00D71008">
        <w:t xml:space="preserve">This statement has been outlined by T&amp;E, ADN </w:t>
      </w:r>
      <w:r w:rsidRPr="004E336D">
        <w:t>Mobilités</w:t>
      </w:r>
      <w:r w:rsidRPr="00D71008">
        <w:t xml:space="preserve"> and AllRail during interviews</w:t>
      </w:r>
      <w:r w:rsidRPr="007A05AC">
        <w:t>.</w:t>
      </w:r>
    </w:p>
  </w:footnote>
  <w:footnote w:id="73">
    <w:p w14:paraId="4F71EA69" w14:textId="77777777" w:rsidR="00371438" w:rsidRPr="00D71008" w:rsidRDefault="00371438" w:rsidP="00371438">
      <w:pPr>
        <w:pStyle w:val="FootnoteText"/>
        <w:jc w:val="both"/>
      </w:pPr>
      <w:r w:rsidRPr="00D71008">
        <w:rPr>
          <w:rStyle w:val="FootnoteReference"/>
          <w:rFonts w:eastAsiaTheme="majorEastAsia"/>
        </w:rPr>
        <w:footnoteRef/>
      </w:r>
      <w:r w:rsidRPr="00D71008">
        <w:t xml:space="preserve"> As reported by All Rail and WestBahn in interviews</w:t>
      </w:r>
      <w:r w:rsidRPr="007A05AC">
        <w:t>.</w:t>
      </w:r>
    </w:p>
  </w:footnote>
  <w:footnote w:id="74">
    <w:p w14:paraId="603AA58B" w14:textId="77777777" w:rsidR="00371438" w:rsidRPr="005944FB" w:rsidRDefault="00371438" w:rsidP="00371438">
      <w:pPr>
        <w:pStyle w:val="FootnoteText"/>
        <w:jc w:val="both"/>
        <w:rPr>
          <w:lang w:val="fr-BE"/>
        </w:rPr>
      </w:pPr>
      <w:r w:rsidRPr="00D71008">
        <w:rPr>
          <w:rStyle w:val="FootnoteReference"/>
          <w:rFonts w:eastAsiaTheme="majorEastAsia"/>
        </w:rPr>
        <w:footnoteRef/>
      </w:r>
      <w:r w:rsidRPr="005944FB">
        <w:rPr>
          <w:lang w:val="fr-BE"/>
        </w:rPr>
        <w:t xml:space="preserve"> Autorité de régulation des transports, </w:t>
      </w:r>
      <w:r w:rsidRPr="005944FB">
        <w:rPr>
          <w:i/>
          <w:lang w:val="fr-BE"/>
        </w:rPr>
        <w:t>Ouverture et utilisation des données de mobilité</w:t>
      </w:r>
      <w:r w:rsidRPr="005944FB">
        <w:rPr>
          <w:lang w:val="fr-BE"/>
        </w:rPr>
        <w:t>, February 2025 p.25</w:t>
      </w:r>
    </w:p>
  </w:footnote>
  <w:footnote w:id="75">
    <w:p w14:paraId="44EDB8D0" w14:textId="77777777" w:rsidR="00371438" w:rsidRPr="002B7DD9" w:rsidRDefault="00371438" w:rsidP="0006212C">
      <w:pPr>
        <w:pStyle w:val="FootnoteText"/>
        <w:jc w:val="both"/>
      </w:pPr>
      <w:r>
        <w:rPr>
          <w:rStyle w:val="FootnoteReference"/>
        </w:rPr>
        <w:footnoteRef/>
      </w:r>
      <w:r>
        <w:t xml:space="preserve"> </w:t>
      </w:r>
      <w:r w:rsidRPr="006963C0">
        <w:t>2025 Opinion Way</w:t>
      </w:r>
      <w:r>
        <w:t xml:space="preserve"> survey for FNAUT</w:t>
      </w:r>
    </w:p>
  </w:footnote>
  <w:footnote w:id="76">
    <w:p w14:paraId="3228114D" w14:textId="30E4ABD1" w:rsidR="00F26A5F" w:rsidRPr="0006212C" w:rsidRDefault="00F26A5F" w:rsidP="0006212C">
      <w:pPr>
        <w:pStyle w:val="FootnoteText"/>
        <w:jc w:val="both"/>
        <w:rPr>
          <w:i/>
        </w:rPr>
      </w:pPr>
      <w:r>
        <w:rPr>
          <w:rStyle w:val="FootnoteReference"/>
        </w:rPr>
        <w:footnoteRef/>
      </w:r>
      <w:r>
        <w:t xml:space="preserve"> </w:t>
      </w:r>
      <w:r w:rsidR="00F46F5F">
        <w:t>Since the survey was carried out, the problem tree has evolved, reformulating the problems and drivers identified</w:t>
      </w:r>
      <w:r w:rsidR="00675A23">
        <w:t>. T</w:t>
      </w:r>
      <w:r>
        <w:t xml:space="preserve">his paragraph </w:t>
      </w:r>
      <w:r w:rsidR="00F46F5F">
        <w:t>summarises the views of stakeholders on the following</w:t>
      </w:r>
      <w:r w:rsidR="00675A23">
        <w:t xml:space="preserve"> problem: </w:t>
      </w:r>
      <w:r w:rsidR="00FF69F2" w:rsidRPr="0006212C">
        <w:rPr>
          <w:i/>
        </w:rPr>
        <w:t>Uneven access of operators to indispensable MDMS platforms.</w:t>
      </w:r>
    </w:p>
  </w:footnote>
  <w:footnote w:id="77">
    <w:p w14:paraId="18B256D8" w14:textId="77777777" w:rsidR="00E3688D" w:rsidRPr="007A05AC" w:rsidRDefault="00E3688D" w:rsidP="00E3688D">
      <w:pPr>
        <w:pStyle w:val="FootnoteText"/>
        <w:jc w:val="both"/>
      </w:pPr>
      <w:r w:rsidRPr="0006212C">
        <w:rPr>
          <w:rStyle w:val="FootnoteReference"/>
          <w:i/>
        </w:rPr>
        <w:footnoteRef/>
      </w:r>
      <w:r w:rsidRPr="0006212C">
        <w:rPr>
          <w:i/>
        </w:rPr>
        <w:t xml:space="preserve"> EUTT (an association representing independent </w:t>
      </w:r>
      <w:r w:rsidRPr="007A05AC">
        <w:t>ticketing platforms) and the MDMS platform Dohop confirmed that operators are included based on commercial viability and that they have no incentive to discriminate. Indispensable RU platforms added that integrating third-party offers can be disproportionately costly when expected demand is low.</w:t>
      </w:r>
    </w:p>
  </w:footnote>
  <w:footnote w:id="78">
    <w:p w14:paraId="0CBA6AD9" w14:textId="77777777" w:rsidR="00E3688D" w:rsidRPr="00D71008" w:rsidRDefault="00E3688D" w:rsidP="00E3688D">
      <w:pPr>
        <w:jc w:val="both"/>
        <w:rPr>
          <w:sz w:val="20"/>
          <w:szCs w:val="20"/>
        </w:rPr>
      </w:pPr>
      <w:r w:rsidRPr="007A05AC">
        <w:rPr>
          <w:rStyle w:val="FootnoteReference"/>
          <w:rFonts w:eastAsiaTheme="majorEastAsia"/>
          <w:sz w:val="20"/>
          <w:szCs w:val="20"/>
        </w:rPr>
        <w:footnoteRef/>
      </w:r>
      <w:r w:rsidRPr="00D71008">
        <w:rPr>
          <w:sz w:val="20"/>
          <w:szCs w:val="20"/>
        </w:rPr>
        <w:t xml:space="preserve"> 16 out of 31 agreed, 7 neither agreed nor disagreed/did not know and 8 disagreed (including 4 incumbent </w:t>
      </w:r>
      <w:r>
        <w:rPr>
          <w:sz w:val="20"/>
          <w:szCs w:val="20"/>
        </w:rPr>
        <w:t>RU</w:t>
      </w:r>
      <w:r w:rsidRPr="00D71008">
        <w:rPr>
          <w:sz w:val="20"/>
          <w:szCs w:val="20"/>
        </w:rPr>
        <w:t>)</w:t>
      </w:r>
    </w:p>
  </w:footnote>
  <w:footnote w:id="79">
    <w:p w14:paraId="66A1BA28" w14:textId="77777777" w:rsidR="00E3688D" w:rsidRPr="00D71008" w:rsidRDefault="00E3688D" w:rsidP="00E3688D">
      <w:pPr>
        <w:pStyle w:val="FootnoteText"/>
        <w:jc w:val="both"/>
      </w:pPr>
      <w:r w:rsidRPr="00D71008">
        <w:rPr>
          <w:rStyle w:val="FootnoteReference"/>
        </w:rPr>
        <w:footnoteRef/>
      </w:r>
      <w:r w:rsidRPr="00D71008">
        <w:t xml:space="preserve"> Amongst those agreeing, All</w:t>
      </w:r>
      <w:r>
        <w:t>R</w:t>
      </w:r>
      <w:r w:rsidRPr="00D71008">
        <w:t xml:space="preserve">ail </w:t>
      </w:r>
      <w:r w:rsidRPr="007A05AC">
        <w:t>stated</w:t>
      </w:r>
      <w:r w:rsidRPr="00D71008">
        <w:t xml:space="preserve"> that uneven access to indispensable </w:t>
      </w:r>
      <w:r>
        <w:t>RU</w:t>
      </w:r>
      <w:r w:rsidRPr="00D71008">
        <w:t xml:space="preserve"> platforms restricts competitor visibility and hampers market entry. </w:t>
      </w:r>
      <w:r w:rsidRPr="007A05AC">
        <w:t xml:space="preserve">In a follow-up interview, </w:t>
      </w:r>
      <w:r w:rsidRPr="00D71008">
        <w:t xml:space="preserve">Flix </w:t>
      </w:r>
      <w:r>
        <w:t xml:space="preserve">stated </w:t>
      </w:r>
      <w:r w:rsidRPr="00D71008">
        <w:t>that DB’s ticketing platform reduces the visibility of competing services, including by omitting price information or placing them in less prominent positions, despite legal obligations on fair visibility, a practice also recognised by the Frankfurt am Main Higher Regional Court (see Annex 11).</w:t>
      </w:r>
    </w:p>
  </w:footnote>
  <w:footnote w:id="80">
    <w:p w14:paraId="656F7AA1" w14:textId="77777777" w:rsidR="00E3688D" w:rsidRPr="00D71008" w:rsidRDefault="00E3688D" w:rsidP="00E3688D">
      <w:pPr>
        <w:pStyle w:val="FootnoteText"/>
        <w:jc w:val="both"/>
      </w:pPr>
      <w:r w:rsidRPr="00D71008">
        <w:rPr>
          <w:rStyle w:val="FootnoteReference"/>
        </w:rPr>
        <w:footnoteRef/>
      </w:r>
      <w:r w:rsidRPr="00D71008">
        <w:t xml:space="preserve"> </w:t>
      </w:r>
      <w:r>
        <w:t>T</w:t>
      </w:r>
      <w:r w:rsidRPr="00D71008">
        <w:t>hey pointed to a gatekeeper effect that limits competition and consumer choice and highlighted the high technical, financial, and commercial barriers faced by smaller operators when attempting to integrate with these dominant platforms.</w:t>
      </w:r>
    </w:p>
  </w:footnote>
  <w:footnote w:id="81">
    <w:p w14:paraId="73CE1387" w14:textId="77777777" w:rsidR="00C0530C" w:rsidRPr="00D71008" w:rsidRDefault="00C0530C" w:rsidP="00C0530C">
      <w:pPr>
        <w:jc w:val="both"/>
        <w:rPr>
          <w:sz w:val="20"/>
          <w:szCs w:val="20"/>
        </w:rPr>
      </w:pPr>
      <w:r w:rsidRPr="00D71008">
        <w:rPr>
          <w:sz w:val="20"/>
          <w:szCs w:val="20"/>
          <w:vertAlign w:val="superscript"/>
        </w:rPr>
        <w:footnoteRef/>
      </w:r>
      <w:r w:rsidRPr="00D71008">
        <w:rPr>
          <w:sz w:val="20"/>
          <w:szCs w:val="20"/>
        </w:rPr>
        <w:t xml:space="preserve"> As reported in the 9th monitoring report on the development of the rail market (SWD</w:t>
      </w:r>
      <w:r>
        <w:rPr>
          <w:sz w:val="20"/>
          <w:szCs w:val="20"/>
        </w:rPr>
        <w:t xml:space="preserve"> </w:t>
      </w:r>
      <w:r w:rsidRPr="00D71008">
        <w:rPr>
          <w:sz w:val="20"/>
          <w:szCs w:val="20"/>
        </w:rPr>
        <w:t>(2025) 239 final), in 2022, state-owned rail incumbents held 87.4% of the overall EU commercial passenger rail service market and 79% share in public service obligation (PSO) passenger services market.</w:t>
      </w:r>
      <w:r>
        <w:rPr>
          <w:sz w:val="20"/>
          <w:szCs w:val="20"/>
        </w:rPr>
        <w:t xml:space="preserve"> </w:t>
      </w:r>
      <w:r w:rsidRPr="00DF2AAC">
        <w:rPr>
          <w:sz w:val="20"/>
          <w:szCs w:val="20"/>
        </w:rPr>
        <w:t xml:space="preserve">However, 13 countries still have a monopoly or a share of domestic incumbent in PSO passenger-km over 99% in 2023. </w:t>
      </w:r>
    </w:p>
  </w:footnote>
  <w:footnote w:id="82">
    <w:p w14:paraId="43D012E3" w14:textId="7EE60035" w:rsidR="00C0530C" w:rsidRPr="00D71008" w:rsidRDefault="00C0530C" w:rsidP="00C0530C">
      <w:pPr>
        <w:jc w:val="both"/>
        <w:rPr>
          <w:sz w:val="20"/>
          <w:szCs w:val="20"/>
        </w:rPr>
      </w:pPr>
      <w:r w:rsidRPr="00D71008">
        <w:rPr>
          <w:sz w:val="20"/>
          <w:szCs w:val="20"/>
          <w:vertAlign w:val="superscript"/>
        </w:rPr>
        <w:footnoteRef/>
      </w:r>
      <w:r w:rsidRPr="00D71008">
        <w:rPr>
          <w:sz w:val="20"/>
          <w:szCs w:val="20"/>
        </w:rPr>
        <w:t xml:space="preserve"> Transport services awarded and operated in accordance with Regulation (EC) No 1370/2007. PSO passenger services represented 59% of the total passenger kilometres in the EU in 2022</w:t>
      </w:r>
      <w:r w:rsidR="002336E7">
        <w:rPr>
          <w:sz w:val="20"/>
          <w:szCs w:val="20"/>
        </w:rPr>
        <w:t xml:space="preserve"> (</w:t>
      </w:r>
      <w:r w:rsidRPr="00D71008">
        <w:rPr>
          <w:sz w:val="20"/>
          <w:szCs w:val="20"/>
        </w:rPr>
        <w:t>SWD</w:t>
      </w:r>
      <w:r>
        <w:rPr>
          <w:sz w:val="20"/>
          <w:szCs w:val="20"/>
        </w:rPr>
        <w:t xml:space="preserve"> </w:t>
      </w:r>
      <w:r w:rsidRPr="00D71008">
        <w:rPr>
          <w:sz w:val="20"/>
          <w:szCs w:val="20"/>
        </w:rPr>
        <w:t>(2023) 288 final</w:t>
      </w:r>
      <w:r w:rsidR="002336E7">
        <w:rPr>
          <w:sz w:val="20"/>
          <w:szCs w:val="20"/>
        </w:rPr>
        <w:t>)</w:t>
      </w:r>
      <w:r w:rsidRPr="00D71008">
        <w:rPr>
          <w:sz w:val="20"/>
          <w:szCs w:val="20"/>
        </w:rPr>
        <w:t xml:space="preserve">. A PSO contract provides the </w:t>
      </w:r>
      <w:r>
        <w:rPr>
          <w:sz w:val="20"/>
          <w:szCs w:val="20"/>
        </w:rPr>
        <w:t>RU</w:t>
      </w:r>
      <w:r w:rsidRPr="00D71008">
        <w:rPr>
          <w:sz w:val="20"/>
          <w:szCs w:val="20"/>
        </w:rPr>
        <w:t xml:space="preserve"> the right (and obligation) to operate services on an, in principle, exclusive basis (on a network or on a bundle of one or more railway lines) in most cases or at least on the biggest part of the network served</w:t>
      </w:r>
      <w:r w:rsidRPr="007A05AC">
        <w:rPr>
          <w:sz w:val="20"/>
          <w:szCs w:val="20"/>
        </w:rPr>
        <w:t>.</w:t>
      </w:r>
    </w:p>
  </w:footnote>
  <w:footnote w:id="83">
    <w:p w14:paraId="20715739" w14:textId="77777777" w:rsidR="00C0530C" w:rsidRPr="00D71008" w:rsidRDefault="00C0530C" w:rsidP="00C0530C">
      <w:pPr>
        <w:pStyle w:val="FootnoteText"/>
        <w:jc w:val="both"/>
      </w:pPr>
      <w:r w:rsidRPr="00D71008">
        <w:rPr>
          <w:rStyle w:val="FootnoteReference"/>
        </w:rPr>
        <w:footnoteRef/>
      </w:r>
      <w:r w:rsidRPr="00D71008">
        <w:t xml:space="preserve"> In most cases </w:t>
      </w:r>
      <w:r>
        <w:t xml:space="preserve">there are no alternatives whilst </w:t>
      </w:r>
      <w:r w:rsidRPr="00D71008">
        <w:t>cross-border rail services are highly relevant for EU connectivity and to decarbonise intra-EU long-distance travel.</w:t>
      </w:r>
    </w:p>
  </w:footnote>
  <w:footnote w:id="84">
    <w:p w14:paraId="6BA63A41" w14:textId="77777777" w:rsidR="004B48D6" w:rsidRPr="00117904" w:rsidRDefault="004B48D6" w:rsidP="004B48D6">
      <w:pPr>
        <w:pStyle w:val="FootnoteText"/>
        <w:jc w:val="both"/>
      </w:pPr>
      <w:r w:rsidRPr="00D71008">
        <w:rPr>
          <w:rStyle w:val="FootnoteReference"/>
        </w:rPr>
        <w:footnoteRef/>
      </w:r>
      <w:r w:rsidRPr="005D2D60">
        <w:t xml:space="preserve"> Preslmayr, T., Stütz, T., Gerstenmayer, T., &amp; Kadam, H. (2021). </w:t>
      </w:r>
      <w:r w:rsidRPr="00117904">
        <w:rPr>
          <w:i/>
        </w:rPr>
        <w:t>International rail ticketing: stumbling block on modal shift</w:t>
      </w:r>
      <w:r w:rsidRPr="00117904">
        <w:t>. Eisenbahntechnische Rundschau (ETR) Austria, No. 6, pp. 72–78.</w:t>
      </w:r>
    </w:p>
  </w:footnote>
  <w:footnote w:id="85">
    <w:p w14:paraId="41C488CE" w14:textId="77777777" w:rsidR="00A253E4" w:rsidRPr="00117904" w:rsidRDefault="00A253E4" w:rsidP="00A253E4">
      <w:pPr>
        <w:pStyle w:val="FootnoteText"/>
        <w:jc w:val="both"/>
      </w:pPr>
      <w:r w:rsidRPr="00D71008">
        <w:rPr>
          <w:rStyle w:val="FootnoteReference"/>
        </w:rPr>
        <w:footnoteRef/>
      </w:r>
      <w:r w:rsidRPr="00117904">
        <w:t xml:space="preserve"> SNCF Connect, Trainline, Tictatrip, Kombo, Omio, Rome2Rio, Rail Europe.</w:t>
      </w:r>
    </w:p>
  </w:footnote>
  <w:footnote w:id="86">
    <w:p w14:paraId="2BC10F4B" w14:textId="77777777" w:rsidR="00A253E4" w:rsidRPr="00117904" w:rsidRDefault="00A253E4" w:rsidP="00A253E4">
      <w:pPr>
        <w:pStyle w:val="FootnoteText"/>
        <w:jc w:val="both"/>
      </w:pPr>
      <w:r w:rsidRPr="00D71008">
        <w:rPr>
          <w:rStyle w:val="FootnoteReference"/>
        </w:rPr>
        <w:footnoteRef/>
      </w:r>
      <w:r w:rsidRPr="00117904">
        <w:t xml:space="preserve"> Trenitalia, Renfe, SNCB, Deutsche Bahn, NS International, ÖBB, ÖBB Nightjet, CFL, HZPP, CD and Eurostar.</w:t>
      </w:r>
    </w:p>
  </w:footnote>
  <w:footnote w:id="87">
    <w:p w14:paraId="28747C86" w14:textId="77777777" w:rsidR="00A253E4" w:rsidRPr="005944FB" w:rsidRDefault="00A253E4" w:rsidP="00A253E4">
      <w:pPr>
        <w:pStyle w:val="FootnoteText"/>
        <w:ind w:right="107"/>
        <w:jc w:val="both"/>
        <w:rPr>
          <w:lang w:val="fr-BE"/>
        </w:rPr>
      </w:pPr>
      <w:r w:rsidRPr="00D71008">
        <w:rPr>
          <w:rStyle w:val="FootnoteReference"/>
        </w:rPr>
        <w:footnoteRef/>
      </w:r>
      <w:r w:rsidRPr="005944FB">
        <w:rPr>
          <w:lang w:val="fr-BE"/>
        </w:rPr>
        <w:t xml:space="preserve"> UFC Que Choisir, </w:t>
      </w:r>
      <w:r w:rsidRPr="005944FB">
        <w:rPr>
          <w:i/>
          <w:lang w:val="fr-BE"/>
        </w:rPr>
        <w:t>Transport Ferroviaire ‘L’information tarifaire et les droits des consommateurs</w:t>
      </w:r>
      <w:r w:rsidRPr="005944FB">
        <w:rPr>
          <w:lang w:val="fr-BE"/>
        </w:rPr>
        <w:t xml:space="preserve"> </w:t>
      </w:r>
      <w:r w:rsidRPr="005944FB">
        <w:rPr>
          <w:i/>
          <w:lang w:val="fr-BE"/>
        </w:rPr>
        <w:t>déraillent’,</w:t>
      </w:r>
      <w:r w:rsidRPr="005944FB">
        <w:rPr>
          <w:lang w:val="fr-BE"/>
        </w:rPr>
        <w:t xml:space="preserve"> 2024.</w:t>
      </w:r>
    </w:p>
  </w:footnote>
  <w:footnote w:id="88">
    <w:p w14:paraId="17D9F713" w14:textId="77777777" w:rsidR="00A253E4" w:rsidRPr="00D71008" w:rsidRDefault="00A253E4" w:rsidP="00A253E4">
      <w:pPr>
        <w:pStyle w:val="FootnoteText"/>
        <w:ind w:right="107"/>
        <w:jc w:val="both"/>
      </w:pPr>
      <w:r w:rsidRPr="00D71008">
        <w:rPr>
          <w:rStyle w:val="FootnoteReference"/>
        </w:rPr>
        <w:footnoteRef/>
      </w:r>
      <w:r w:rsidRPr="00D71008">
        <w:rPr>
          <w:rStyle w:val="FootnoteReference"/>
        </w:rPr>
        <w:t xml:space="preserve"> </w:t>
      </w:r>
      <w:r w:rsidRPr="00D71008">
        <w:t>Transport &amp; Environment</w:t>
      </w:r>
      <w:r w:rsidRPr="00D71008">
        <w:rPr>
          <w:i/>
        </w:rPr>
        <w:t>, "Here’s what Europeans from 7 countries think of rail booking processes”,</w:t>
      </w:r>
      <w:r w:rsidRPr="00D71008">
        <w:t xml:space="preserve"> 22 October 2025, url: </w:t>
      </w:r>
      <w:hyperlink r:id="rId6" w:history="1">
        <w:r w:rsidRPr="00D71008">
          <w:t>Here’s what Europeans from 7 countries think of rail booking… | T&amp;E</w:t>
        </w:r>
      </w:hyperlink>
    </w:p>
  </w:footnote>
  <w:footnote w:id="89">
    <w:p w14:paraId="1FE857F1" w14:textId="1C8E57CB" w:rsidR="00A253E4" w:rsidRPr="00D71008" w:rsidRDefault="00A253E4" w:rsidP="00A253E4">
      <w:pPr>
        <w:pStyle w:val="FootnoteText"/>
        <w:jc w:val="both"/>
      </w:pPr>
      <w:r w:rsidRPr="00D71008">
        <w:rPr>
          <w:rStyle w:val="FootnoteReference"/>
        </w:rPr>
        <w:footnoteRef/>
      </w:r>
      <w:r w:rsidRPr="00D71008">
        <w:t xml:space="preserve"> France, Germany, Italy, Spain, Poland</w:t>
      </w:r>
      <w:r w:rsidR="00CA646A" w:rsidRPr="007A05AC">
        <w:t>,</w:t>
      </w:r>
      <w:r w:rsidRPr="007A05AC">
        <w:t xml:space="preserve"> </w:t>
      </w:r>
      <w:r w:rsidRPr="00D71008">
        <w:t>Romania</w:t>
      </w:r>
      <w:r w:rsidR="00CA646A" w:rsidRPr="007A05AC">
        <w:t xml:space="preserve"> and UK</w:t>
      </w:r>
      <w:r w:rsidRPr="00D71008">
        <w:t>.</w:t>
      </w:r>
    </w:p>
  </w:footnote>
  <w:footnote w:id="90">
    <w:p w14:paraId="0F7F6560" w14:textId="51A87DA3" w:rsidR="00B537F5" w:rsidRPr="0006212C" w:rsidRDefault="00B537F5" w:rsidP="00D41C6A">
      <w:pPr>
        <w:pStyle w:val="FootnoteText"/>
        <w:jc w:val="both"/>
        <w:rPr>
          <w:i/>
          <w:lang w:val="en-IE"/>
        </w:rPr>
      </w:pPr>
      <w:r>
        <w:rPr>
          <w:rStyle w:val="FootnoteReference"/>
        </w:rPr>
        <w:footnoteRef/>
      </w:r>
      <w:r>
        <w:t xml:space="preserve"> Since the survey was carried out, the problem tree has evolved, reformulating the problems and drivers identified. This paragraph summarises the views of stakeholders on the following problem</w:t>
      </w:r>
      <w:r w:rsidRPr="0006212C">
        <w:rPr>
          <w:i/>
        </w:rPr>
        <w:t xml:space="preserve">: </w:t>
      </w:r>
      <w:r w:rsidR="00D41C6A" w:rsidRPr="0006212C">
        <w:rPr>
          <w:i/>
        </w:rPr>
        <w:t>Limited and distorted information and</w:t>
      </w:r>
      <w:r w:rsidRPr="0006212C">
        <w:rPr>
          <w:i/>
        </w:rPr>
        <w:t xml:space="preserve"> access to </w:t>
      </w:r>
      <w:r w:rsidR="00D41C6A" w:rsidRPr="0006212C">
        <w:rPr>
          <w:i/>
        </w:rPr>
        <w:t>tickets for consumers on</w:t>
      </w:r>
      <w:r w:rsidRPr="0006212C">
        <w:rPr>
          <w:i/>
        </w:rPr>
        <w:t xml:space="preserve"> MDMS</w:t>
      </w:r>
      <w:r w:rsidR="00D41C6A" w:rsidRPr="0006212C">
        <w:rPr>
          <w:i/>
        </w:rPr>
        <w:t>, in particular for rail</w:t>
      </w:r>
      <w:r w:rsidR="003D5A4C" w:rsidRPr="0006212C">
        <w:rPr>
          <w:i/>
        </w:rPr>
        <w:t>.</w:t>
      </w:r>
    </w:p>
  </w:footnote>
  <w:footnote w:id="91">
    <w:p w14:paraId="068D90A7" w14:textId="4E2B3970" w:rsidR="00D75884" w:rsidRPr="009246AB" w:rsidRDefault="00D75884">
      <w:pPr>
        <w:pStyle w:val="FootnoteText"/>
        <w:rPr>
          <w:lang w:val="nl-BE"/>
        </w:rPr>
      </w:pPr>
      <w:r>
        <w:rPr>
          <w:rStyle w:val="FootnoteReference"/>
        </w:rPr>
        <w:footnoteRef/>
      </w:r>
      <w:r w:rsidRPr="009246AB">
        <w:rPr>
          <w:lang w:val="nl-BE"/>
        </w:rPr>
        <w:t xml:space="preserve"> </w:t>
      </w:r>
      <w:r w:rsidR="003B4E5E" w:rsidRPr="009246AB">
        <w:rPr>
          <w:lang w:val="nl-BE"/>
        </w:rPr>
        <w:t>2023/0271 (COD)</w:t>
      </w:r>
    </w:p>
  </w:footnote>
  <w:footnote w:id="92">
    <w:p w14:paraId="57D2D456" w14:textId="3390BEB7" w:rsidR="00630279" w:rsidRPr="009246AB" w:rsidRDefault="00630279">
      <w:pPr>
        <w:pStyle w:val="FootnoteText"/>
        <w:rPr>
          <w:lang w:val="nl-BE"/>
        </w:rPr>
      </w:pPr>
      <w:r>
        <w:rPr>
          <w:rStyle w:val="FootnoteReference"/>
        </w:rPr>
        <w:footnoteRef/>
      </w:r>
      <w:r w:rsidRPr="009246AB">
        <w:rPr>
          <w:lang w:val="nl-BE"/>
        </w:rPr>
        <w:t xml:space="preserve"> OJ L, 2024/1679, 28.6.2024</w:t>
      </w:r>
    </w:p>
  </w:footnote>
  <w:footnote w:id="93">
    <w:p w14:paraId="4F74102C" w14:textId="77777777" w:rsidR="00B13563" w:rsidRPr="009246AB" w:rsidRDefault="00B13563" w:rsidP="00B13563">
      <w:pPr>
        <w:pStyle w:val="FootnoteText"/>
        <w:rPr>
          <w:lang w:val="nl-BE"/>
        </w:rPr>
      </w:pPr>
      <w:r>
        <w:rPr>
          <w:rStyle w:val="FootnoteReference"/>
        </w:rPr>
        <w:footnoteRef/>
      </w:r>
      <w:r w:rsidRPr="009246AB">
        <w:rPr>
          <w:lang w:val="nl-BE"/>
        </w:rPr>
        <w:t xml:space="preserve"> OJ L, 2026/253, 10.2.2026, p. 1.</w:t>
      </w:r>
    </w:p>
  </w:footnote>
  <w:footnote w:id="94">
    <w:p w14:paraId="5038F997" w14:textId="5808FF51" w:rsidR="005F6C44" w:rsidRPr="00D71008" w:rsidRDefault="005F6C44" w:rsidP="005F6C44">
      <w:pPr>
        <w:pStyle w:val="FootnoteText"/>
        <w:jc w:val="both"/>
      </w:pPr>
      <w:r w:rsidRPr="00D71008">
        <w:rPr>
          <w:rStyle w:val="FootnoteReference"/>
        </w:rPr>
        <w:footnoteRef/>
      </w:r>
      <w:r w:rsidRPr="00AA15C8">
        <w:rPr>
          <w:lang w:val="en-IE"/>
        </w:rPr>
        <w:t xml:space="preserve"> Ricardo et al. </w:t>
      </w:r>
      <w:r w:rsidRPr="00D71008">
        <w:t xml:space="preserve">(2026), Study supporting the </w:t>
      </w:r>
      <w:r w:rsidR="001329F3">
        <w:t>RMB</w:t>
      </w:r>
      <w:r w:rsidR="001329F3" w:rsidRPr="00D71008">
        <w:t xml:space="preserve"> </w:t>
      </w:r>
      <w:r w:rsidRPr="00D71008">
        <w:t xml:space="preserve">and </w:t>
      </w:r>
      <w:r w:rsidR="001329F3">
        <w:t>RTR</w:t>
      </w:r>
      <w:r w:rsidR="001329F3" w:rsidRPr="00D71008">
        <w:t xml:space="preserve"> </w:t>
      </w:r>
      <w:r w:rsidRPr="00D71008">
        <w:t>Impact assessment. Most of the legacy carriers responding to the</w:t>
      </w:r>
      <w:r w:rsidR="007F2F5D">
        <w:t xml:space="preserve"> targeted</w:t>
      </w:r>
      <w:r w:rsidRPr="00D71008">
        <w:t xml:space="preserve"> survey</w:t>
      </w:r>
      <w:r w:rsidRPr="00D71008">
        <w:rPr>
          <w:spacing w:val="-1"/>
        </w:rPr>
        <w:t xml:space="preserve"> </w:t>
      </w:r>
      <w:r w:rsidRPr="00D71008">
        <w:t>indicated an increase in direct “own” distribution channels while some indicated also an increase in the share of NDC-based distribution in the period 2015-2019</w:t>
      </w:r>
    </w:p>
  </w:footnote>
  <w:footnote w:id="95">
    <w:p w14:paraId="1A21534F" w14:textId="6D08C0F6" w:rsidR="005F6C44" w:rsidRPr="00D71008" w:rsidRDefault="005F6C44" w:rsidP="005F6C44">
      <w:pPr>
        <w:pStyle w:val="FootnoteText"/>
        <w:jc w:val="both"/>
      </w:pPr>
      <w:r w:rsidRPr="00D71008">
        <w:rPr>
          <w:rStyle w:val="FootnoteReference"/>
        </w:rPr>
        <w:footnoteRef/>
      </w:r>
      <w:r w:rsidR="002E4D84" w:rsidRPr="00D71008">
        <w:t xml:space="preserve"> Ricardo et al. (2026), Study supporting the </w:t>
      </w:r>
      <w:r w:rsidR="001329F3">
        <w:t>RMB</w:t>
      </w:r>
      <w:r w:rsidR="001329F3" w:rsidRPr="00D71008">
        <w:t xml:space="preserve"> </w:t>
      </w:r>
      <w:r w:rsidR="002E4D84" w:rsidRPr="00D71008">
        <w:t xml:space="preserve">and </w:t>
      </w:r>
      <w:r w:rsidR="001329F3">
        <w:t>RTR</w:t>
      </w:r>
      <w:r w:rsidR="001329F3" w:rsidRPr="00D71008">
        <w:t xml:space="preserve"> </w:t>
      </w:r>
      <w:r w:rsidR="002E4D84" w:rsidRPr="00D71008">
        <w:t>Impact assessment. NDC technology allow</w:t>
      </w:r>
      <w:r w:rsidR="00A006A1">
        <w:t>s</w:t>
      </w:r>
      <w:r w:rsidR="002E4D84" w:rsidRPr="00D71008">
        <w:t xml:space="preserve"> linking carriers directly with TAs </w:t>
      </w:r>
      <w:r w:rsidR="00E42F9E">
        <w:t xml:space="preserve">and </w:t>
      </w:r>
      <w:r w:rsidR="002E4D84" w:rsidRPr="00D71008">
        <w:t>cheaper distribution through NDC aggregators. The share of tickets distributed with NDC technology</w:t>
      </w:r>
      <w:r w:rsidR="002E4D84" w:rsidRPr="00D71008">
        <w:rPr>
          <w:spacing w:val="-1"/>
        </w:rPr>
        <w:t xml:space="preserve"> </w:t>
      </w:r>
      <w:r w:rsidR="002E4D84" w:rsidRPr="00D71008">
        <w:t xml:space="preserve">is expected to </w:t>
      </w:r>
      <w:r w:rsidR="00B31890">
        <w:t>increase</w:t>
      </w:r>
      <w:r w:rsidR="000B41E8">
        <w:t xml:space="preserve"> as</w:t>
      </w:r>
      <w:r w:rsidR="002E4D84" w:rsidRPr="00D71008">
        <w:t xml:space="preserve"> </w:t>
      </w:r>
      <w:r w:rsidR="000B41E8">
        <w:t>a</w:t>
      </w:r>
      <w:r w:rsidR="002E4D84" w:rsidRPr="00D71008">
        <w:t xml:space="preserve"> report (Accenture, 2021) highlighted that after the outbreak of the Covid-19 pandemic, airlines have increased their investments in Direct Connect systems.</w:t>
      </w:r>
      <w:r w:rsidR="002E4D84" w:rsidRPr="00D71008" w:rsidDel="005F3CC6">
        <w:t xml:space="preserve"> </w:t>
      </w:r>
    </w:p>
  </w:footnote>
  <w:footnote w:id="96">
    <w:p w14:paraId="69C5F695" w14:textId="77777777" w:rsidR="005F6C44" w:rsidRPr="001D603F" w:rsidRDefault="005F6C44" w:rsidP="005F6C44">
      <w:pPr>
        <w:pStyle w:val="FootnoteText"/>
        <w:jc w:val="both"/>
        <w:rPr>
          <w:lang w:val="es-ES"/>
        </w:rPr>
      </w:pPr>
      <w:r w:rsidRPr="00D71008">
        <w:rPr>
          <w:rStyle w:val="FootnoteReference"/>
        </w:rPr>
        <w:footnoteRef/>
      </w:r>
      <w:r w:rsidRPr="001D603F">
        <w:rPr>
          <w:lang w:val="es-ES"/>
        </w:rPr>
        <w:t xml:space="preserve"> OJ L 186, 11.7.2019, p. 57–79.</w:t>
      </w:r>
    </w:p>
  </w:footnote>
  <w:footnote w:id="97">
    <w:p w14:paraId="6A91A3DE" w14:textId="77777777" w:rsidR="005F6C44" w:rsidRPr="001D603F" w:rsidRDefault="005F6C44" w:rsidP="005F6C44">
      <w:pPr>
        <w:pStyle w:val="FootnoteText"/>
        <w:jc w:val="both"/>
        <w:rPr>
          <w:lang w:val="es-ES"/>
        </w:rPr>
      </w:pPr>
      <w:r w:rsidRPr="00D71008">
        <w:rPr>
          <w:rStyle w:val="FootnoteReference"/>
        </w:rPr>
        <w:footnoteRef/>
      </w:r>
      <w:r w:rsidRPr="001D603F">
        <w:rPr>
          <w:lang w:val="es-ES"/>
        </w:rPr>
        <w:t xml:space="preserve"> OJ</w:t>
      </w:r>
      <w:r w:rsidRPr="001D603F">
        <w:rPr>
          <w:spacing w:val="6"/>
          <w:lang w:val="es-ES"/>
        </w:rPr>
        <w:t xml:space="preserve"> </w:t>
      </w:r>
      <w:r w:rsidRPr="001D603F">
        <w:rPr>
          <w:lang w:val="es-ES"/>
        </w:rPr>
        <w:t>L</w:t>
      </w:r>
      <w:r w:rsidRPr="001D603F">
        <w:rPr>
          <w:spacing w:val="2"/>
          <w:lang w:val="es-ES"/>
        </w:rPr>
        <w:t xml:space="preserve"> </w:t>
      </w:r>
      <w:r w:rsidRPr="001D603F">
        <w:rPr>
          <w:lang w:val="es-ES"/>
        </w:rPr>
        <w:t>134,</w:t>
      </w:r>
      <w:r w:rsidRPr="001D603F">
        <w:rPr>
          <w:spacing w:val="5"/>
          <w:lang w:val="es-ES"/>
        </w:rPr>
        <w:t xml:space="preserve"> </w:t>
      </w:r>
      <w:r w:rsidRPr="001D603F">
        <w:rPr>
          <w:spacing w:val="-2"/>
          <w:lang w:val="es-ES"/>
        </w:rPr>
        <w:t>11.5.2022.</w:t>
      </w:r>
    </w:p>
  </w:footnote>
  <w:footnote w:id="98">
    <w:p w14:paraId="70487182" w14:textId="77777777" w:rsidR="005F6C44" w:rsidRPr="001D603F" w:rsidRDefault="005F6C44" w:rsidP="005F6C44">
      <w:pPr>
        <w:pStyle w:val="FootnoteText"/>
        <w:rPr>
          <w:lang w:val="es-ES"/>
        </w:rPr>
      </w:pPr>
      <w:r w:rsidRPr="00D71008">
        <w:rPr>
          <w:rStyle w:val="FootnoteReference"/>
        </w:rPr>
        <w:footnoteRef/>
      </w:r>
      <w:r w:rsidRPr="001D603F">
        <w:rPr>
          <w:lang w:val="es-ES"/>
        </w:rPr>
        <w:t xml:space="preserve"> OJ L 119, 4.5.2016, p. 1–88.</w:t>
      </w:r>
    </w:p>
  </w:footnote>
  <w:footnote w:id="99">
    <w:p w14:paraId="26377DB7" w14:textId="77777777" w:rsidR="005F6C44" w:rsidRPr="00D71008" w:rsidRDefault="005F6C44" w:rsidP="00FB7D30">
      <w:pPr>
        <w:pStyle w:val="FootnoteText"/>
        <w:jc w:val="both"/>
      </w:pPr>
      <w:r w:rsidRPr="00D71008">
        <w:rPr>
          <w:rStyle w:val="FootnoteReference"/>
        </w:rPr>
        <w:footnoteRef/>
      </w:r>
      <w:r w:rsidRPr="00D71008">
        <w:t xml:space="preserve"> According to the majority of stakeholders consulted during the evaluation, the GDPR is enough to guarantee data protection and therefore Article 11 of the Code of Conduct can be repealed.</w:t>
      </w:r>
    </w:p>
  </w:footnote>
  <w:footnote w:id="100">
    <w:p w14:paraId="39DEA821" w14:textId="77777777" w:rsidR="005F6C44" w:rsidRPr="00D71008" w:rsidRDefault="005F6C44" w:rsidP="005F6C44">
      <w:pPr>
        <w:pStyle w:val="FootnoteText"/>
        <w:jc w:val="both"/>
      </w:pPr>
      <w:r w:rsidRPr="00D71008">
        <w:rPr>
          <w:rStyle w:val="FootnoteReference"/>
        </w:rPr>
        <w:footnoteRef/>
      </w:r>
      <w:r w:rsidRPr="00D71008">
        <w:t xml:space="preserve"> Art 5(2) of the Code of Conduct </w:t>
      </w:r>
      <w:r>
        <w:t>states</w:t>
      </w:r>
      <w:r w:rsidRPr="00D71008">
        <w:t xml:space="preserve"> that </w:t>
      </w:r>
      <w:r>
        <w:t>when</w:t>
      </w:r>
      <w:r w:rsidRPr="00D71008">
        <w:t xml:space="preserve"> information </w:t>
      </w:r>
      <w:r>
        <w:t>is</w:t>
      </w:r>
      <w:r w:rsidRPr="00D71008">
        <w:t xml:space="preserve"> provided by a CRS to the consumer, the trav</w:t>
      </w:r>
      <w:r>
        <w:t>el</w:t>
      </w:r>
      <w:r w:rsidRPr="00D71008">
        <w:t xml:space="preserve"> agent (subscriber) shall use a neutral display, unless another display is required to meet a preference indicated by a consumer.</w:t>
      </w:r>
    </w:p>
  </w:footnote>
  <w:footnote w:id="101">
    <w:p w14:paraId="2DE4BAE1" w14:textId="3B69EDEF" w:rsidR="005F6C44" w:rsidRPr="00D71008" w:rsidRDefault="005F6C44" w:rsidP="005F6C44">
      <w:pPr>
        <w:pStyle w:val="FootnoteText"/>
        <w:jc w:val="both"/>
      </w:pPr>
      <w:r w:rsidRPr="00D71008">
        <w:rPr>
          <w:rStyle w:val="FootnoteReference"/>
        </w:rPr>
        <w:footnoteRef/>
      </w:r>
      <w:r w:rsidRPr="00D71008">
        <w:t xml:space="preserve"> Airlines increasingly value customisable bundle fares and </w:t>
      </w:r>
      <w:r w:rsidR="00483A41">
        <w:t xml:space="preserve">the </w:t>
      </w:r>
      <w:r w:rsidRPr="00D71008">
        <w:t xml:space="preserve">ability to offer different services, which is limited in CRS providers </w:t>
      </w:r>
      <w:r w:rsidRPr="004E336D">
        <w:t>using</w:t>
      </w:r>
      <w:r w:rsidRPr="00D71008">
        <w:t xml:space="preserve"> </w:t>
      </w:r>
      <w:r w:rsidR="00EA5101" w:rsidRPr="00EA5101">
        <w:t xml:space="preserve">Electronic Data Interchange for Administration, Commerce and Transport </w:t>
      </w:r>
      <w:r w:rsidR="00EA5101">
        <w:t>(</w:t>
      </w:r>
      <w:r w:rsidRPr="00D71008">
        <w:t>EDIFACT</w:t>
      </w:r>
      <w:r w:rsidR="00EA5101">
        <w:t>)</w:t>
      </w:r>
      <w:r w:rsidRPr="00D71008">
        <w:t xml:space="preserve"> which is a more static standard, while allowed by NDC technology used by NCAs and not always fully implemented by CRS providers. This lack of adaptability is driving some airlines, to shift sales to NDC channels where they can retain control over pricing and product design.</w:t>
      </w:r>
    </w:p>
  </w:footnote>
  <w:footnote w:id="102">
    <w:p w14:paraId="12766215" w14:textId="24B69A34" w:rsidR="001A3BD1" w:rsidRPr="005D2D60" w:rsidRDefault="001A3BD1" w:rsidP="0005440F">
      <w:pPr>
        <w:pStyle w:val="FootnoteText"/>
        <w:jc w:val="both"/>
      </w:pPr>
      <w:r>
        <w:rPr>
          <w:rStyle w:val="FootnoteReference"/>
        </w:rPr>
        <w:footnoteRef/>
      </w:r>
      <w:r>
        <w:t xml:space="preserve"> </w:t>
      </w:r>
      <w:r w:rsidRPr="005D2D60">
        <w:t>In the interview</w:t>
      </w:r>
      <w:r w:rsidR="00AC5937" w:rsidRPr="005D2D60">
        <w:t>s</w:t>
      </w:r>
      <w:r w:rsidRPr="005D2D60">
        <w:t xml:space="preserve"> a </w:t>
      </w:r>
      <w:r w:rsidR="00AC5937" w:rsidRPr="005D2D60">
        <w:t>NCA</w:t>
      </w:r>
      <w:r w:rsidRPr="005D2D60">
        <w:t xml:space="preserve"> explained</w:t>
      </w:r>
      <w:r w:rsidR="005F1F56" w:rsidRPr="005D2D60">
        <w:t xml:space="preserve"> that “A key concern is the dominance of three main </w:t>
      </w:r>
      <w:r w:rsidR="00443AC7">
        <w:t>CRSs</w:t>
      </w:r>
      <w:r w:rsidR="005F1F56" w:rsidRPr="005D2D60">
        <w:t xml:space="preserve"> in Western Europe, which impose restrictive "full content agreements" on airlines. These agreements force airlines to offer identical content across all sales channels, limiting their ability to tailor pricing or offers based on the channel's cost. This restriction, coupled with technical limitations of the </w:t>
      </w:r>
      <w:r w:rsidR="00443AC7">
        <w:t>CRS</w:t>
      </w:r>
      <w:r w:rsidR="005F1F56" w:rsidRPr="005D2D60">
        <w:t>s</w:t>
      </w:r>
      <w:r w:rsidR="00EB7F5A">
        <w:t xml:space="preserve"> - </w:t>
      </w:r>
      <w:r w:rsidR="005F1F56" w:rsidRPr="005D2D60">
        <w:t>such as their inability to support fare brand displays</w:t>
      </w:r>
      <w:r w:rsidR="00EB7F5A">
        <w:t xml:space="preserve"> - </w:t>
      </w:r>
      <w:r w:rsidR="005F1F56" w:rsidRPr="005D2D60">
        <w:t>hampers innovation and reduces consumer choice</w:t>
      </w:r>
      <w:r w:rsidR="00AC5937" w:rsidRPr="005D2D60">
        <w:t>”</w:t>
      </w:r>
      <w:r w:rsidR="005F1F56" w:rsidRPr="005D2D60">
        <w:t>.</w:t>
      </w:r>
    </w:p>
  </w:footnote>
  <w:footnote w:id="103">
    <w:p w14:paraId="16F5ED17" w14:textId="6CC3DB5A" w:rsidR="00954806" w:rsidRPr="00954806" w:rsidRDefault="00954806" w:rsidP="005D1787">
      <w:pPr>
        <w:pStyle w:val="FootnoteText"/>
        <w:jc w:val="both"/>
      </w:pPr>
      <w:r>
        <w:rPr>
          <w:rStyle w:val="FootnoteReference"/>
        </w:rPr>
        <w:footnoteRef/>
      </w:r>
      <w:r>
        <w:t xml:space="preserve"> Since the survey was carried out, the problem tree has evolved, reformulating the problems and drivers identified. This paragraph summarises views of stakeholders on </w:t>
      </w:r>
      <w:r w:rsidR="008D7873">
        <w:t>the following question: to what extent do you agree that this problem driver su</w:t>
      </w:r>
      <w:r w:rsidR="005D1787">
        <w:t>fficiently identifies the causes of p</w:t>
      </w:r>
      <w:r w:rsidR="005D1787" w:rsidRPr="00720DC6">
        <w:t>otential distortion of competition between regulated CRS and non-regulated B2B distribution channels performing similar functions to CRS</w:t>
      </w:r>
    </w:p>
  </w:footnote>
  <w:footnote w:id="104">
    <w:p w14:paraId="3AE208C1" w14:textId="31496911" w:rsidR="005F6C44" w:rsidRPr="00D71008" w:rsidRDefault="005F6C44" w:rsidP="005F6C44">
      <w:pPr>
        <w:pStyle w:val="FootnoteText"/>
        <w:jc w:val="both"/>
      </w:pPr>
      <w:r w:rsidRPr="00D71008">
        <w:rPr>
          <w:rStyle w:val="FootnoteReference"/>
        </w:rPr>
        <w:footnoteRef/>
      </w:r>
      <w:r w:rsidRPr="00D71008">
        <w:t xml:space="preserve"> 5 airlines and one other industry group advocated for the extension of the non-discrimination and neutrality provisions to all MDMS platforms, including unregulated actors like OTAs, and emphasise the need for effective enforcement </w:t>
      </w:r>
      <w:r w:rsidRPr="00124E6A">
        <w:t>through national authorities. These stakeholders also stated that the</w:t>
      </w:r>
      <w:r w:rsidR="00124E6A" w:rsidRPr="00124E6A">
        <w:t xml:space="preserve"> </w:t>
      </w:r>
      <w:r w:rsidRPr="00124E6A">
        <w:t>revision should reflect technological advancements</w:t>
      </w:r>
      <w:r w:rsidRPr="00D71008">
        <w:t xml:space="preserve"> and ensure robust compliance mechanisms.</w:t>
      </w:r>
    </w:p>
  </w:footnote>
  <w:footnote w:id="105">
    <w:p w14:paraId="0C76A4BD" w14:textId="77777777" w:rsidR="005F6C44" w:rsidRPr="00316B49" w:rsidRDefault="005F6C44" w:rsidP="00A534C8">
      <w:pPr>
        <w:pStyle w:val="FootnoteText"/>
        <w:jc w:val="both"/>
      </w:pPr>
      <w:r>
        <w:rPr>
          <w:rStyle w:val="FootnoteReference"/>
        </w:rPr>
        <w:footnoteRef/>
      </w:r>
      <w:r>
        <w:t xml:space="preserve"> </w:t>
      </w:r>
      <w:r w:rsidRPr="00316B49">
        <w:t>European Commission: Directorate-General for Mobility and Transport, GA&amp;P and Ricardo, </w:t>
      </w:r>
      <w:r w:rsidRPr="00316B49">
        <w:rPr>
          <w:i/>
          <w:iCs/>
        </w:rPr>
        <w:t>Support study for the ex-post evaluation of regulation 80/2009 on a code of conduct for computerised reservation systems – Final report</w:t>
      </w:r>
      <w:r w:rsidRPr="00316B49">
        <w:t>, Publications Office, 2020</w:t>
      </w:r>
    </w:p>
  </w:footnote>
  <w:footnote w:id="106">
    <w:p w14:paraId="3E9AAB38" w14:textId="6153F555" w:rsidR="005F6C44" w:rsidRPr="00FA26B9" w:rsidRDefault="005F6C44" w:rsidP="005F6C44">
      <w:pPr>
        <w:pStyle w:val="FootnoteText"/>
      </w:pPr>
      <w:r>
        <w:rPr>
          <w:rStyle w:val="FootnoteReference"/>
        </w:rPr>
        <w:footnoteRef/>
      </w:r>
      <w:r>
        <w:t xml:space="preserve"> Reported in interviews </w:t>
      </w:r>
      <w:r w:rsidR="00C05F80">
        <w:t>in the context of t</w:t>
      </w:r>
      <w:r>
        <w:t xml:space="preserve">he </w:t>
      </w:r>
      <w:r w:rsidRPr="008F38AA">
        <w:t>Support study for the ex-post evaluation of regulation 80/2009 on a code of conduct for computerised reservation systems</w:t>
      </w:r>
      <w:r>
        <w:t xml:space="preserve"> by CRS providers, travel agents and a technology company</w:t>
      </w:r>
      <w:r w:rsidR="00512EE1">
        <w:t>.</w:t>
      </w:r>
    </w:p>
  </w:footnote>
  <w:footnote w:id="107">
    <w:p w14:paraId="4EA764E6" w14:textId="0E9BC59D" w:rsidR="005F6C44" w:rsidRPr="00D71008" w:rsidRDefault="005F6C44" w:rsidP="005F6C44">
      <w:pPr>
        <w:jc w:val="both"/>
        <w:rPr>
          <w:b/>
          <w:sz w:val="20"/>
          <w:szCs w:val="20"/>
        </w:rPr>
      </w:pPr>
      <w:r w:rsidRPr="00D71008">
        <w:rPr>
          <w:rStyle w:val="FootnoteReference"/>
          <w:sz w:val="20"/>
          <w:szCs w:val="20"/>
        </w:rPr>
        <w:footnoteRef/>
      </w:r>
      <w:r w:rsidR="00A86444">
        <w:rPr>
          <w:sz w:val="20"/>
          <w:szCs w:val="20"/>
        </w:rPr>
        <w:t xml:space="preserve"> </w:t>
      </w:r>
      <w:r w:rsidR="00A86444" w:rsidRPr="00A86444">
        <w:rPr>
          <w:sz w:val="20"/>
          <w:szCs w:val="20"/>
        </w:rPr>
        <w:t xml:space="preserve">Since the survey was carried out, the problem tree has evolved, reformulating the problems and drivers identified. This paragraph summarises views of stakeholders on the </w:t>
      </w:r>
      <w:r w:rsidR="001213CD">
        <w:rPr>
          <w:sz w:val="20"/>
          <w:szCs w:val="20"/>
        </w:rPr>
        <w:t>two</w:t>
      </w:r>
      <w:r w:rsidR="00A86444">
        <w:rPr>
          <w:sz w:val="20"/>
          <w:szCs w:val="20"/>
        </w:rPr>
        <w:t xml:space="preserve"> </w:t>
      </w:r>
      <w:r w:rsidR="00A86444" w:rsidRPr="00A86444">
        <w:rPr>
          <w:sz w:val="20"/>
          <w:szCs w:val="20"/>
        </w:rPr>
        <w:t>following question</w:t>
      </w:r>
      <w:r w:rsidR="001213CD">
        <w:rPr>
          <w:sz w:val="20"/>
          <w:szCs w:val="20"/>
        </w:rPr>
        <w:t>s</w:t>
      </w:r>
      <w:r w:rsidR="00A86444" w:rsidRPr="00A86444">
        <w:rPr>
          <w:sz w:val="20"/>
          <w:szCs w:val="20"/>
        </w:rPr>
        <w:t xml:space="preserve">: to what extent do you agree that this problem driver sufficiently identifies the causes </w:t>
      </w:r>
      <w:r w:rsidR="0031368E">
        <w:rPr>
          <w:sz w:val="20"/>
          <w:szCs w:val="20"/>
        </w:rPr>
        <w:t xml:space="preserve">that lead to </w:t>
      </w:r>
      <w:r w:rsidR="0031368E" w:rsidRPr="00994508">
        <w:rPr>
          <w:i/>
          <w:iCs/>
          <w:sz w:val="20"/>
          <w:szCs w:val="20"/>
        </w:rPr>
        <w:t>uneven access of operators to indispensable MDMS</w:t>
      </w:r>
      <w:r w:rsidR="0031368E" w:rsidRPr="0031368E">
        <w:rPr>
          <w:sz w:val="20"/>
          <w:szCs w:val="20"/>
        </w:rPr>
        <w:t xml:space="preserve"> platforms</w:t>
      </w:r>
      <w:r w:rsidR="0031368E">
        <w:rPr>
          <w:sz w:val="20"/>
          <w:szCs w:val="20"/>
        </w:rPr>
        <w:t xml:space="preserve"> and to </w:t>
      </w:r>
      <w:r w:rsidR="00A86444" w:rsidRPr="00A86444">
        <w:rPr>
          <w:sz w:val="20"/>
          <w:szCs w:val="20"/>
        </w:rPr>
        <w:t xml:space="preserve"> </w:t>
      </w:r>
      <w:r w:rsidR="00994508">
        <w:rPr>
          <w:sz w:val="20"/>
          <w:szCs w:val="20"/>
        </w:rPr>
        <w:t xml:space="preserve"> </w:t>
      </w:r>
      <w:r w:rsidR="00994508" w:rsidRPr="00994508">
        <w:rPr>
          <w:i/>
          <w:iCs/>
          <w:sz w:val="20"/>
          <w:szCs w:val="20"/>
        </w:rPr>
        <w:t>limited and distorted information and access to tickets for consumers on MDMS, in particular for rail.</w:t>
      </w:r>
    </w:p>
  </w:footnote>
  <w:footnote w:id="108">
    <w:p w14:paraId="06D6B86E" w14:textId="26B4F158" w:rsidR="005F6C44" w:rsidRPr="00D71008" w:rsidRDefault="005F6C44" w:rsidP="005F6C44">
      <w:pPr>
        <w:pStyle w:val="FootnoteText"/>
        <w:jc w:val="both"/>
      </w:pPr>
      <w:r w:rsidRPr="00D71008">
        <w:rPr>
          <w:rStyle w:val="FootnoteReference"/>
        </w:rPr>
        <w:footnoteRef/>
      </w:r>
      <w:r w:rsidRPr="00D71008">
        <w:t xml:space="preserve"> Airlines’ associations, including the European Regions Airline Association (ERA), shared concerns about rankings bias, prioritisation and limited transparency on major B2C MDMS platforms, fearing that transport operators paying higher commissions for prominence of their offer in the display may be favoured (</w:t>
      </w:r>
      <w:r w:rsidR="00FF6B26">
        <w:t>r</w:t>
      </w:r>
      <w:r w:rsidRPr="00D71008">
        <w:t xml:space="preserve">eported by 1 MDMS industry association, ECTAA and Snälltåget). One airline criticised </w:t>
      </w:r>
      <w:r w:rsidRPr="004E336D">
        <w:t>model</w:t>
      </w:r>
      <w:r>
        <w:t>s</w:t>
      </w:r>
      <w:r w:rsidRPr="00D71008">
        <w:t xml:space="preserve"> where paid placement influences search results, arguing instead for neutral display and against default settings which can bias user choice. One transport operator specified that the Code of Conduct should be extended or updated to apply its core principles, such as transparency, equal access, and fairness, to all MDMSs. Another large airline reported that CRSs, OTAs and MSEs promote certain operators due to booking fees, incentives, or ranking manipulation. AllRail echoed those concerns in rail, noting discriminatory practices by incumbent </w:t>
      </w:r>
      <w:r>
        <w:t>RU</w:t>
      </w:r>
      <w:r w:rsidRPr="00D71008">
        <w:t xml:space="preserve">s’ platforms. They cited DB’s willingness to sell tickets from other state incumbents (e.g. ÖBB), but not from independent </w:t>
      </w:r>
      <w:r>
        <w:t>RU</w:t>
      </w:r>
      <w:r w:rsidRPr="00D71008">
        <w:t>s (like European Sleeper or Westbahn). Both WestBahn and AllRail pointed out that DB Navigator’s default “fastest connection” setting favours DB’s high-speed services and pushes competitors down the rankings (see Annex 11).</w:t>
      </w:r>
    </w:p>
  </w:footnote>
  <w:footnote w:id="109">
    <w:p w14:paraId="766E0483" w14:textId="6E7DC609" w:rsidR="005F6C44" w:rsidRPr="00D71008" w:rsidRDefault="005F6C44" w:rsidP="005F6C44">
      <w:pPr>
        <w:pStyle w:val="FootnoteText"/>
      </w:pPr>
      <w:r w:rsidRPr="00D71008">
        <w:rPr>
          <w:rStyle w:val="FootnoteReference"/>
        </w:rPr>
        <w:footnoteRef/>
      </w:r>
      <w:r w:rsidRPr="00D71008">
        <w:t xml:space="preserve"> 8 of 19 MDMS platforms </w:t>
      </w:r>
      <w:r w:rsidR="00817337">
        <w:t xml:space="preserve">disagreed that pd2 led to limited and distorted information on mdms platforms and 13 disagreed that it led to uneven access to indispensable MDMS platforms </w:t>
      </w:r>
      <w:r w:rsidRPr="00D71008">
        <w:t xml:space="preserve">and </w:t>
      </w:r>
      <w:r>
        <w:t>4</w:t>
      </w:r>
      <w:r w:rsidRPr="00D71008">
        <w:t xml:space="preserve"> of </w:t>
      </w:r>
      <w:r>
        <w:t>5</w:t>
      </w:r>
      <w:r w:rsidRPr="00D71008">
        <w:t xml:space="preserve"> </w:t>
      </w:r>
      <w:r>
        <w:t>RU</w:t>
      </w:r>
      <w:r w:rsidRPr="00D71008">
        <w:t xml:space="preserve">s with SMP ‘fully’ disagreed that problem driver </w:t>
      </w:r>
      <w:r>
        <w:t>2</w:t>
      </w:r>
      <w:r w:rsidRPr="00D71008">
        <w:t xml:space="preserve"> leads to </w:t>
      </w:r>
      <w:r w:rsidR="00817337">
        <w:t xml:space="preserve">both </w:t>
      </w:r>
      <w:r w:rsidRPr="00D71008">
        <w:t>problem</w:t>
      </w:r>
      <w:r w:rsidR="00817337">
        <w:t>s</w:t>
      </w:r>
      <w:r w:rsidRPr="00D71008">
        <w:t>.</w:t>
      </w:r>
    </w:p>
  </w:footnote>
  <w:footnote w:id="110">
    <w:p w14:paraId="75B00A66" w14:textId="079EFB64" w:rsidR="005F6C44" w:rsidRPr="00D71008" w:rsidRDefault="005F6C44" w:rsidP="005F6C44">
      <w:pPr>
        <w:pStyle w:val="FootnoteText"/>
      </w:pPr>
      <w:r w:rsidRPr="00D71008">
        <w:rPr>
          <w:rStyle w:val="FootnoteReference"/>
        </w:rPr>
        <w:footnoteRef/>
      </w:r>
      <w:r w:rsidRPr="00D71008">
        <w:t xml:space="preserve"> </w:t>
      </w:r>
      <w:r w:rsidR="009A5026">
        <w:t>A</w:t>
      </w:r>
      <w:r w:rsidRPr="00D71008">
        <w:t xml:space="preserve"> major MDMS provider and a travel agency said they have no incentive to favour specific operators, as their models depend on comprehensive, neutral </w:t>
      </w:r>
      <w:r w:rsidRPr="00D71008" w:rsidDel="005E0592">
        <w:t>content</w:t>
      </w:r>
      <w:r w:rsidRPr="00D71008">
        <w:t xml:space="preserve"> to serve consumer needs.</w:t>
      </w:r>
    </w:p>
  </w:footnote>
  <w:footnote w:id="111">
    <w:p w14:paraId="2286D866" w14:textId="0F1AA240" w:rsidR="003F305C" w:rsidRPr="003F305C" w:rsidRDefault="003F305C" w:rsidP="007D130A">
      <w:pPr>
        <w:pStyle w:val="FootnoteText"/>
        <w:jc w:val="both"/>
      </w:pPr>
      <w:r>
        <w:rPr>
          <w:rStyle w:val="FootnoteReference"/>
        </w:rPr>
        <w:footnoteRef/>
      </w:r>
      <w:r>
        <w:t xml:space="preserve"> </w:t>
      </w:r>
      <w:r w:rsidRPr="005D2D60">
        <w:rPr>
          <w:rFonts w:eastAsiaTheme="minorEastAsia"/>
          <w:spacing w:val="-8"/>
        </w:rPr>
        <w:t>Three interviewed MDMS providers highlighted a lack of collaboration among operators in supplying consistent greenhouse gas data, further impeding the effectiveness of any disclosure regime. Two other MDMS highlight the difficulties stemming from diverse calculation methodologies employed by operators, which complicate cross-border travel assessments and undermine the granularity and comparability of available data.</w:t>
      </w:r>
    </w:p>
  </w:footnote>
  <w:footnote w:id="112">
    <w:p w14:paraId="39828121" w14:textId="77777777" w:rsidR="00824446" w:rsidRPr="00D71008" w:rsidRDefault="00824446" w:rsidP="00824446">
      <w:pPr>
        <w:pStyle w:val="FootnoteText"/>
        <w:jc w:val="both"/>
      </w:pPr>
      <w:r w:rsidRPr="00D71008">
        <w:rPr>
          <w:rStyle w:val="FootnoteReference"/>
        </w:rPr>
        <w:footnoteRef/>
      </w:r>
      <w:r w:rsidRPr="00D71008">
        <w:t xml:space="preserve"> </w:t>
      </w:r>
      <w:r>
        <w:t>According to the impact assessment support study, t</w:t>
      </w:r>
      <w:r w:rsidRPr="00D71008">
        <w:t xml:space="preserve">he average financial incentives to travel agents are approximately around 2-3 EUR per flight segment. Lufthansa highlighted that incentives are based on how much </w:t>
      </w:r>
      <w:r>
        <w:t>travel agents</w:t>
      </w:r>
      <w:r w:rsidRPr="00D71008">
        <w:t xml:space="preserve"> sell or which airline they sell, making it hard for new entrants and reducing competition, limiting innovation and keeping the market controlled by a few players. An airline industry association stated that this creates a dependency of airlines vis-à-vis CRSs.</w:t>
      </w:r>
    </w:p>
  </w:footnote>
  <w:footnote w:id="113">
    <w:p w14:paraId="08357823" w14:textId="77777777" w:rsidR="004C517A" w:rsidRPr="00D71008" w:rsidRDefault="004C517A" w:rsidP="004C517A">
      <w:pPr>
        <w:pStyle w:val="FootnoteText"/>
        <w:jc w:val="both"/>
      </w:pPr>
      <w:r w:rsidRPr="00D71008">
        <w:rPr>
          <w:rStyle w:val="FootnoteReference"/>
        </w:rPr>
        <w:footnoteRef/>
      </w:r>
      <w:r w:rsidRPr="00D71008">
        <w:t xml:space="preserve"> Contractual provisions requiring airlines to provide the same flight content and prices to a CRS as to other distribution channels, preventing airlines from offering better or differentiated terms elsewhere. </w:t>
      </w:r>
    </w:p>
  </w:footnote>
  <w:footnote w:id="114">
    <w:p w14:paraId="703127AA" w14:textId="770D0035" w:rsidR="004C517A" w:rsidRPr="00D71008" w:rsidRDefault="004C517A" w:rsidP="004C517A">
      <w:pPr>
        <w:pStyle w:val="FootnoteText"/>
        <w:jc w:val="both"/>
      </w:pPr>
      <w:r w:rsidRPr="00D71008">
        <w:rPr>
          <w:rStyle w:val="FootnoteReference"/>
        </w:rPr>
        <w:footnoteRef/>
      </w:r>
      <w:r w:rsidRPr="004E336D">
        <w:t xml:space="preserve"> Ricardo et al. </w:t>
      </w:r>
      <w:r w:rsidRPr="00D71008">
        <w:t xml:space="preserve">(2026), Study supporting the </w:t>
      </w:r>
      <w:r w:rsidR="001329F3">
        <w:t>RMB</w:t>
      </w:r>
      <w:r w:rsidR="001329F3" w:rsidRPr="00D71008">
        <w:t xml:space="preserve"> </w:t>
      </w:r>
      <w:r w:rsidRPr="00D71008">
        <w:t xml:space="preserve">and </w:t>
      </w:r>
      <w:r w:rsidR="001329F3">
        <w:t>RTR</w:t>
      </w:r>
      <w:r w:rsidR="001329F3" w:rsidRPr="00D71008">
        <w:t xml:space="preserve"> </w:t>
      </w:r>
      <w:r w:rsidRPr="00D71008">
        <w:t xml:space="preserve">Impact assessment, market report. </w:t>
      </w:r>
    </w:p>
  </w:footnote>
  <w:footnote w:id="115">
    <w:p w14:paraId="6CC14FBD" w14:textId="0A8A8DAA" w:rsidR="004C517A" w:rsidRPr="00D71008" w:rsidRDefault="004C517A" w:rsidP="004C517A">
      <w:pPr>
        <w:pStyle w:val="FootnoteText"/>
      </w:pPr>
      <w:r w:rsidRPr="00D71008">
        <w:rPr>
          <w:rStyle w:val="FootnoteReference"/>
        </w:rPr>
        <w:footnoteRef/>
      </w:r>
      <w:r w:rsidR="00503CAA">
        <w:t xml:space="preserve"> </w:t>
      </w:r>
      <w:hyperlink r:id="rId7" w:history="1">
        <w:r w:rsidRPr="00D71008">
          <w:rPr>
            <w:rStyle w:val="Hyperlink"/>
          </w:rPr>
          <w:t>A4E-intermediaries-study_FINAL-02.pdf</w:t>
        </w:r>
      </w:hyperlink>
      <w:r w:rsidR="00503CAA">
        <w:t xml:space="preserve"> </w:t>
      </w:r>
      <w:r w:rsidR="00503CAA" w:rsidRPr="00503CAA">
        <w:t>on the impact of online intermediaries on consumers and carriers</w:t>
      </w:r>
      <w:r w:rsidR="00284F28">
        <w:t>.</w:t>
      </w:r>
    </w:p>
  </w:footnote>
  <w:footnote w:id="116">
    <w:p w14:paraId="313681FF" w14:textId="77777777" w:rsidR="000F6203" w:rsidRPr="006B64E0" w:rsidRDefault="000F6203" w:rsidP="000F6203">
      <w:pPr>
        <w:pStyle w:val="FootnoteText"/>
      </w:pPr>
      <w:r>
        <w:rPr>
          <w:rStyle w:val="FootnoteReference"/>
        </w:rPr>
        <w:footnoteRef/>
      </w:r>
      <w:r>
        <w:t xml:space="preserve"> </w:t>
      </w:r>
      <w:r w:rsidRPr="00F70967">
        <w:t>Transport &amp; Environment (2026). Bringing the EU’s rail ticketing regulation out of the stone age</w:t>
      </w:r>
    </w:p>
  </w:footnote>
  <w:footnote w:id="117">
    <w:p w14:paraId="47400DF5" w14:textId="21D117BA" w:rsidR="006279E6" w:rsidRPr="006279E6" w:rsidRDefault="006279E6" w:rsidP="00EA17B8">
      <w:pPr>
        <w:pStyle w:val="FootnoteText"/>
        <w:jc w:val="both"/>
      </w:pPr>
      <w:r>
        <w:rPr>
          <w:rStyle w:val="FootnoteReference"/>
        </w:rPr>
        <w:footnoteRef/>
      </w:r>
      <w:r>
        <w:t xml:space="preserve"> </w:t>
      </w:r>
      <w:r w:rsidRPr="00A86444">
        <w:t>Since the survey was carried out, the problem tree has evolved, reformulating the problems and drivers identified.</w:t>
      </w:r>
      <w:r>
        <w:t xml:space="preserve"> However, responses from stakeholders on </w:t>
      </w:r>
      <w:r w:rsidR="00EA17B8">
        <w:t>whether they agree with</w:t>
      </w:r>
      <w:r w:rsidR="002E0CF2">
        <w:t xml:space="preserve"> problem driver 3 </w:t>
      </w:r>
      <w:r w:rsidR="00EA17B8">
        <w:t>as a driver leading to</w:t>
      </w:r>
      <w:r w:rsidR="002E0CF2">
        <w:t xml:space="preserve"> the</w:t>
      </w:r>
      <w:r>
        <w:t xml:space="preserve"> </w:t>
      </w:r>
      <w:r w:rsidR="002C5943">
        <w:t>old problems are still relevant</w:t>
      </w:r>
      <w:r w:rsidR="00EA17B8">
        <w:t>.</w:t>
      </w:r>
      <w:r w:rsidR="002C5943">
        <w:t xml:space="preserve"> </w:t>
      </w:r>
    </w:p>
  </w:footnote>
  <w:footnote w:id="118">
    <w:p w14:paraId="31CE9812" w14:textId="2E7F19FB" w:rsidR="004C517A" w:rsidRPr="00D71008" w:rsidRDefault="004C517A" w:rsidP="004C517A">
      <w:pPr>
        <w:jc w:val="both"/>
        <w:rPr>
          <w:sz w:val="20"/>
          <w:szCs w:val="20"/>
        </w:rPr>
      </w:pPr>
      <w:r w:rsidRPr="00D71008">
        <w:rPr>
          <w:rStyle w:val="FootnoteReference"/>
          <w:sz w:val="20"/>
          <w:szCs w:val="20"/>
        </w:rPr>
        <w:footnoteRef/>
      </w:r>
      <w:r w:rsidRPr="00D71008">
        <w:rPr>
          <w:sz w:val="20"/>
          <w:szCs w:val="20"/>
        </w:rPr>
        <w:t xml:space="preserve"> Arguing that airlines use their market power to impose unfavourable terms, including low commissions for smaller MDMS and preferential treatment for high-volume platforms, content restrictions or surcharges leading to non-transparent pricing. Stated by 9 MDMS including </w:t>
      </w:r>
      <w:r w:rsidRPr="00D71008">
        <w:rPr>
          <w:rFonts w:eastAsiaTheme="minorEastAsia"/>
          <w:sz w:val="20"/>
          <w:szCs w:val="20"/>
        </w:rPr>
        <w:t>ECTAA, EU Travel Tech, FTO, SRF, Skyscanner and Welcome Travel Group SpA.</w:t>
      </w:r>
      <w:r w:rsidRPr="00D71008">
        <w:rPr>
          <w:sz w:val="20"/>
          <w:szCs w:val="20"/>
        </w:rPr>
        <w:t xml:space="preserve"> </w:t>
      </w:r>
      <w:r w:rsidR="00FC4709">
        <w:rPr>
          <w:sz w:val="20"/>
          <w:szCs w:val="20"/>
        </w:rPr>
        <w:t xml:space="preserve">In addition, </w:t>
      </w:r>
      <w:r w:rsidRPr="00D71008">
        <w:rPr>
          <w:sz w:val="20"/>
          <w:szCs w:val="20"/>
        </w:rPr>
        <w:t>2 CRSs and one MSE, explain</w:t>
      </w:r>
      <w:r w:rsidR="00792C7B">
        <w:rPr>
          <w:sz w:val="20"/>
          <w:szCs w:val="20"/>
        </w:rPr>
        <w:t>ed</w:t>
      </w:r>
      <w:r w:rsidRPr="00D71008">
        <w:rPr>
          <w:sz w:val="20"/>
          <w:szCs w:val="20"/>
        </w:rPr>
        <w:t xml:space="preserve"> in interviews that some air operators retain lighter fares or impose surcharges, resulting in non-transparent pricing and constrained consumer choice. In contrast, larger air carriers, which participated in the survey, argue that applying surcharges are intended to offset high CRS booking fees where full content agreements are not in place.</w:t>
      </w:r>
      <w:r w:rsidRPr="00D71008">
        <w:t xml:space="preserve"> </w:t>
      </w:r>
    </w:p>
  </w:footnote>
  <w:footnote w:id="119">
    <w:p w14:paraId="322AC912" w14:textId="66AEBFCF" w:rsidR="00FF6C4D" w:rsidRPr="00FF6C4D" w:rsidRDefault="00FF6C4D">
      <w:pPr>
        <w:pStyle w:val="FootnoteText"/>
      </w:pPr>
      <w:r>
        <w:rPr>
          <w:rStyle w:val="FootnoteReference"/>
        </w:rPr>
        <w:footnoteRef/>
      </w:r>
      <w:r>
        <w:t xml:space="preserve"> </w:t>
      </w:r>
      <w:r w:rsidRPr="00FF6C4D">
        <w:rPr>
          <w:lang w:val="en-IE"/>
        </w:rPr>
        <w:t xml:space="preserve">Since the survey was carried out, the problem tree has evolved, reformulating the problems and drivers. </w:t>
      </w:r>
      <w:r w:rsidR="00AB5E8D">
        <w:rPr>
          <w:lang w:val="en-IE"/>
        </w:rPr>
        <w:t>R</w:t>
      </w:r>
      <w:r w:rsidRPr="00FF6C4D">
        <w:rPr>
          <w:lang w:val="en-IE"/>
        </w:rPr>
        <w:t>esponses from stakeholders on whether they agree with problem driver 3 as a driver leading to the old problems are still relevant.</w:t>
      </w:r>
    </w:p>
  </w:footnote>
  <w:footnote w:id="120">
    <w:p w14:paraId="3FE5145A" w14:textId="1287E07C" w:rsidR="00B008BC" w:rsidRPr="00D71008" w:rsidRDefault="00B008BC" w:rsidP="00B008BC">
      <w:pPr>
        <w:pStyle w:val="FootnoteText"/>
        <w:jc w:val="both"/>
      </w:pPr>
      <w:r w:rsidRPr="00D71008">
        <w:rPr>
          <w:rStyle w:val="FootnoteReference"/>
        </w:rPr>
        <w:footnoteRef/>
      </w:r>
      <w:r w:rsidRPr="00D71008">
        <w:t xml:space="preserve"> </w:t>
      </w:r>
      <w:r w:rsidR="002137CF">
        <w:t xml:space="preserve">See footnote </w:t>
      </w:r>
      <w:r w:rsidR="00120C28">
        <w:fldChar w:fldCharType="begin"/>
      </w:r>
      <w:r w:rsidR="00120C28">
        <w:instrText xml:space="preserve"> NOTEREF _Ref223956037 \h </w:instrText>
      </w:r>
      <w:r w:rsidR="00120C28">
        <w:fldChar w:fldCharType="separate"/>
      </w:r>
      <w:r w:rsidR="0055391F">
        <w:t>69</w:t>
      </w:r>
      <w:r w:rsidR="00120C28">
        <w:fldChar w:fldCharType="end"/>
      </w:r>
      <w:r w:rsidRPr="00D71008">
        <w:t>.</w:t>
      </w:r>
    </w:p>
  </w:footnote>
  <w:footnote w:id="121">
    <w:p w14:paraId="73CD3F1C" w14:textId="4B03226A" w:rsidR="00F94D49" w:rsidRPr="00D71008" w:rsidRDefault="00F94D49" w:rsidP="000849CD">
      <w:pPr>
        <w:pStyle w:val="FootnoteText"/>
        <w:jc w:val="both"/>
      </w:pPr>
      <w:r w:rsidRPr="00D71008">
        <w:rPr>
          <w:rStyle w:val="FootnoteReference"/>
        </w:rPr>
        <w:footnoteRef/>
      </w:r>
      <w:r w:rsidRPr="00D71008">
        <w:t xml:space="preserve"> During the </w:t>
      </w:r>
      <w:r w:rsidR="00B9491D">
        <w:t>targeted survey</w:t>
      </w:r>
      <w:r w:rsidRPr="00D71008">
        <w:t xml:space="preserve">, new rail entrants highlighted that access to </w:t>
      </w:r>
      <w:r w:rsidR="00BB5DD1">
        <w:t>indispensable RU</w:t>
      </w:r>
      <w:r w:rsidRPr="00D71008">
        <w:t xml:space="preserve"> platforms is essential for commercial success</w:t>
      </w:r>
      <w:r w:rsidR="00BF6F13">
        <w:t xml:space="preserve"> (s</w:t>
      </w:r>
      <w:r w:rsidRPr="00D71008">
        <w:t>tatement from European Sleeper and another new entrant</w:t>
      </w:r>
      <w:r w:rsidR="00BF6F13">
        <w:t>).</w:t>
      </w:r>
    </w:p>
  </w:footnote>
  <w:footnote w:id="122">
    <w:p w14:paraId="23FB08A3" w14:textId="328DF922" w:rsidR="00F94D49" w:rsidRPr="00D71008" w:rsidDel="007C6FE4" w:rsidRDefault="00F94D49" w:rsidP="00F94D49">
      <w:pPr>
        <w:pStyle w:val="FootnoteText"/>
        <w:jc w:val="both"/>
      </w:pPr>
      <w:r w:rsidRPr="00D71008">
        <w:rPr>
          <w:rStyle w:val="FootnoteReference"/>
          <w:rFonts w:eastAsiaTheme="majorEastAsia"/>
        </w:rPr>
        <w:footnoteRef/>
      </w:r>
      <w:r w:rsidRPr="00D71008" w:rsidDel="007C6FE4">
        <w:t xml:space="preserve"> Statement from All Rail in interviews</w:t>
      </w:r>
      <w:r w:rsidR="00642401">
        <w:t>.</w:t>
      </w:r>
    </w:p>
  </w:footnote>
  <w:footnote w:id="123">
    <w:p w14:paraId="723A35F0" w14:textId="1480F73E" w:rsidR="002541D5" w:rsidRPr="00D71008" w:rsidRDefault="002541D5" w:rsidP="000849CD">
      <w:pPr>
        <w:jc w:val="both"/>
        <w:rPr>
          <w:sz w:val="20"/>
          <w:szCs w:val="20"/>
        </w:rPr>
      </w:pPr>
      <w:r w:rsidRPr="00D71008">
        <w:rPr>
          <w:sz w:val="20"/>
          <w:szCs w:val="20"/>
          <w:vertAlign w:val="superscript"/>
        </w:rPr>
        <w:footnoteRef/>
      </w:r>
      <w:r w:rsidRPr="00D71008">
        <w:rPr>
          <w:sz w:val="20"/>
          <w:szCs w:val="20"/>
        </w:rPr>
        <w:t xml:space="preserve"> Transport services awarded and operated in accordance with Regulation (EC) No 1370/2007</w:t>
      </w:r>
      <w:r w:rsidR="00B3037E">
        <w:rPr>
          <w:sz w:val="20"/>
          <w:szCs w:val="20"/>
        </w:rPr>
        <w:t>.</w:t>
      </w:r>
      <w:r w:rsidRPr="00D71008">
        <w:rPr>
          <w:sz w:val="20"/>
          <w:szCs w:val="20"/>
        </w:rPr>
        <w:t xml:space="preserve"> </w:t>
      </w:r>
    </w:p>
  </w:footnote>
  <w:footnote w:id="124">
    <w:p w14:paraId="16F0128C" w14:textId="6ACE52E8" w:rsidR="00FB550B" w:rsidRPr="00D71008" w:rsidRDefault="00FB550B" w:rsidP="00FB550B">
      <w:pPr>
        <w:tabs>
          <w:tab w:val="left" w:pos="1134"/>
        </w:tabs>
        <w:jc w:val="both"/>
        <w:rPr>
          <w:sz w:val="20"/>
          <w:szCs w:val="20"/>
        </w:rPr>
      </w:pPr>
      <w:r w:rsidRPr="00D71008">
        <w:rPr>
          <w:rStyle w:val="FootnoteReference"/>
          <w:sz w:val="20"/>
          <w:szCs w:val="20"/>
        </w:rPr>
        <w:footnoteRef/>
      </w:r>
      <w:r w:rsidRPr="00D71008">
        <w:rPr>
          <w:sz w:val="20"/>
          <w:szCs w:val="20"/>
        </w:rPr>
        <w:t xml:space="preserve"> Overall, 39 of the 74 respondents ‘partially’ (29) or ‘fully’ (10) agreed that problem driver contributes to problem </w:t>
      </w:r>
      <w:r w:rsidR="00461135">
        <w:rPr>
          <w:sz w:val="20"/>
          <w:szCs w:val="20"/>
        </w:rPr>
        <w:t>2</w:t>
      </w:r>
      <w:r w:rsidRPr="00D71008">
        <w:rPr>
          <w:sz w:val="20"/>
          <w:szCs w:val="20"/>
        </w:rPr>
        <w:t>.</w:t>
      </w:r>
    </w:p>
  </w:footnote>
  <w:footnote w:id="125">
    <w:p w14:paraId="13044AB2" w14:textId="2D24AD28" w:rsidR="00FB550B" w:rsidRPr="00D71008" w:rsidRDefault="00FB550B" w:rsidP="00FB550B">
      <w:pPr>
        <w:pStyle w:val="FootnoteText"/>
      </w:pPr>
      <w:r w:rsidRPr="00D71008">
        <w:rPr>
          <w:rStyle w:val="FootnoteReference"/>
        </w:rPr>
        <w:footnoteRef/>
      </w:r>
      <w:r w:rsidRPr="00D71008">
        <w:t xml:space="preserve"> </w:t>
      </w:r>
      <w:r w:rsidR="005622E3">
        <w:t>T</w:t>
      </w:r>
      <w:r w:rsidRPr="00D71008">
        <w:t>he SNCF Group stated that it does not see a lack of willingness to share information, attributing the issue instead to technical and financial barriers such as limited interoperability, high development costs and resource constraints.</w:t>
      </w:r>
    </w:p>
  </w:footnote>
  <w:footnote w:id="126">
    <w:p w14:paraId="26B24D3B" w14:textId="69B019BF" w:rsidR="00FB550B" w:rsidRPr="00D71008" w:rsidRDefault="00FB550B" w:rsidP="00E41511">
      <w:pPr>
        <w:pStyle w:val="FootnoteText"/>
        <w:jc w:val="both"/>
      </w:pPr>
      <w:r w:rsidRPr="00D71008">
        <w:rPr>
          <w:rStyle w:val="FootnoteReference"/>
        </w:rPr>
        <w:footnoteRef/>
      </w:r>
      <w:r w:rsidRPr="00D71008">
        <w:t xml:space="preserve"> Consumer organisation EPF also highlighted interoperability as a key obstacle to seamless EU ticketing but recognised the limited willingness of indispensable </w:t>
      </w:r>
      <w:r w:rsidR="001358ED">
        <w:t>RU</w:t>
      </w:r>
      <w:r w:rsidRPr="00D71008">
        <w:t xml:space="preserve">s to provide their full offer on fair terms to MDMS platforms as a key issue, particularly concerning incumbent </w:t>
      </w:r>
      <w:r w:rsidR="001358ED">
        <w:t>RU</w:t>
      </w:r>
      <w:r w:rsidRPr="00D71008">
        <w:t>s.</w:t>
      </w:r>
    </w:p>
  </w:footnote>
  <w:footnote w:id="127">
    <w:p w14:paraId="21499D9D" w14:textId="60282D6D" w:rsidR="00FB550B" w:rsidRPr="002B6DAD" w:rsidRDefault="00FB550B" w:rsidP="00FB550B">
      <w:pPr>
        <w:pStyle w:val="FootnoteText"/>
        <w:jc w:val="both"/>
        <w:rPr>
          <w:sz w:val="24"/>
          <w:szCs w:val="24"/>
          <w:u w:val="single"/>
          <w:lang w:val="it-IT"/>
        </w:rPr>
      </w:pPr>
      <w:r w:rsidRPr="00D71008">
        <w:rPr>
          <w:rStyle w:val="FootnoteReference"/>
          <w:rFonts w:eastAsiaTheme="majorEastAsia"/>
        </w:rPr>
        <w:footnoteRef/>
      </w:r>
      <w:r w:rsidRPr="002B6DAD">
        <w:rPr>
          <w:lang w:val="it-IT"/>
        </w:rPr>
        <w:t xml:space="preserve"> including ECTAA, EU Travel Tech, Federazione Turismo Organizzato (FTO), SRF, ADN Mobilit</w:t>
      </w:r>
      <w:r w:rsidR="00D22D74" w:rsidRPr="002B6DAD">
        <w:rPr>
          <w:lang w:val="it-IT"/>
        </w:rPr>
        <w:t>é</w:t>
      </w:r>
      <w:r w:rsidRPr="002B6DAD">
        <w:rPr>
          <w:lang w:val="it-IT"/>
        </w:rPr>
        <w:t>s, Dohop, ECTAA, Skyscanner</w:t>
      </w:r>
    </w:p>
  </w:footnote>
  <w:footnote w:id="128">
    <w:p w14:paraId="55B5D238" w14:textId="1FED294D" w:rsidR="00515200" w:rsidRPr="005D2D60" w:rsidRDefault="00515200" w:rsidP="00151680">
      <w:pPr>
        <w:pStyle w:val="FootnoteText"/>
        <w:jc w:val="both"/>
      </w:pPr>
      <w:r>
        <w:rPr>
          <w:rStyle w:val="FootnoteReference"/>
        </w:rPr>
        <w:footnoteRef/>
      </w:r>
      <w:r>
        <w:t xml:space="preserve"> </w:t>
      </w:r>
      <w:r w:rsidRPr="00515200">
        <w:t>Revenues from ticket sales through the Third-party Ticketing Platforms Omio, Trainline, Rail-Europe and El Corte Inglés accounted for 0-5%, 0-5%, 0-5% and 0-5%, respectively, of Renfe’s total revenues from online sales.</w:t>
      </w:r>
    </w:p>
  </w:footnote>
  <w:footnote w:id="129">
    <w:p w14:paraId="289EA393" w14:textId="685622BF" w:rsidR="05EC8D08" w:rsidRPr="00D71008" w:rsidRDefault="05EC8D08" w:rsidP="00151680">
      <w:pPr>
        <w:jc w:val="both"/>
      </w:pPr>
      <w:r w:rsidRPr="00D71008">
        <w:rPr>
          <w:rStyle w:val="FootnoteReference"/>
        </w:rPr>
        <w:footnoteRef/>
      </w:r>
      <w:r w:rsidRPr="00D71008">
        <w:t xml:space="preserve"> </w:t>
      </w:r>
      <w:r w:rsidRPr="00D71008">
        <w:rPr>
          <w:sz w:val="20"/>
          <w:szCs w:val="20"/>
        </w:rPr>
        <w:t>9 of 16 independent MDMS platforms and their industry associations,</w:t>
      </w:r>
      <w:r w:rsidRPr="00D71008">
        <w:t xml:space="preserve"> </w:t>
      </w:r>
      <w:r w:rsidRPr="00D71008">
        <w:rPr>
          <w:sz w:val="20"/>
          <w:szCs w:val="20"/>
        </w:rPr>
        <w:t xml:space="preserve">5 of 5 new entrant </w:t>
      </w:r>
      <w:r w:rsidR="001358ED">
        <w:rPr>
          <w:sz w:val="20"/>
          <w:szCs w:val="20"/>
        </w:rPr>
        <w:t>RU</w:t>
      </w:r>
      <w:r w:rsidRPr="00D71008">
        <w:rPr>
          <w:sz w:val="20"/>
          <w:szCs w:val="20"/>
        </w:rPr>
        <w:t>,</w:t>
      </w:r>
      <w:r w:rsidRPr="00D71008">
        <w:t xml:space="preserve"> </w:t>
      </w:r>
      <w:r w:rsidRPr="00D71008">
        <w:rPr>
          <w:sz w:val="20"/>
          <w:szCs w:val="20"/>
        </w:rPr>
        <w:t>7 of 10 national authorities and 10 of 12 ‘</w:t>
      </w:r>
      <w:r w:rsidR="001004F9">
        <w:rPr>
          <w:sz w:val="20"/>
          <w:szCs w:val="20"/>
        </w:rPr>
        <w:t>o</w:t>
      </w:r>
      <w:r w:rsidR="001004F9" w:rsidRPr="00D71008">
        <w:rPr>
          <w:sz w:val="20"/>
          <w:szCs w:val="20"/>
        </w:rPr>
        <w:t xml:space="preserve">ther’ </w:t>
      </w:r>
      <w:r w:rsidRPr="00D71008">
        <w:rPr>
          <w:sz w:val="20"/>
          <w:szCs w:val="20"/>
        </w:rPr>
        <w:t>have agreed to this problem driver.</w:t>
      </w:r>
    </w:p>
  </w:footnote>
  <w:footnote w:id="130">
    <w:p w14:paraId="3FD124F4" w14:textId="06E5E8FE" w:rsidR="008B270E" w:rsidRPr="00D71008" w:rsidRDefault="008B270E" w:rsidP="00903842">
      <w:pPr>
        <w:pStyle w:val="FootnoteText"/>
      </w:pPr>
      <w:r w:rsidRPr="00D71008">
        <w:rPr>
          <w:rStyle w:val="FootnoteReference"/>
        </w:rPr>
        <w:footnoteRef/>
      </w:r>
      <w:r w:rsidRPr="00D71008">
        <w:t xml:space="preserve"> This statement has been outlined by T&amp;E, ADN Mobilités and AllRail during interviews</w:t>
      </w:r>
      <w:r w:rsidR="0026474E">
        <w:t>.</w:t>
      </w:r>
    </w:p>
  </w:footnote>
  <w:footnote w:id="131">
    <w:p w14:paraId="55836AC6" w14:textId="7C481438" w:rsidR="008B270E" w:rsidRPr="00D71008" w:rsidRDefault="008B270E" w:rsidP="00903842">
      <w:pPr>
        <w:pStyle w:val="FootnoteText"/>
      </w:pPr>
      <w:r w:rsidRPr="00D71008">
        <w:rPr>
          <w:rStyle w:val="FootnoteReference"/>
        </w:rPr>
        <w:footnoteRef/>
      </w:r>
      <w:r w:rsidRPr="00D71008">
        <w:t xml:space="preserve"> CER, Czech Railways and another </w:t>
      </w:r>
      <w:r w:rsidR="001358ED">
        <w:t>RU</w:t>
      </w:r>
      <w:r w:rsidR="00996854">
        <w:t>.</w:t>
      </w:r>
    </w:p>
  </w:footnote>
  <w:footnote w:id="132">
    <w:p w14:paraId="5DBDF6E2" w14:textId="77777777" w:rsidR="007B30C8" w:rsidRPr="00D71008" w:rsidRDefault="007B30C8" w:rsidP="00151680">
      <w:pPr>
        <w:pStyle w:val="FootnoteText"/>
        <w:jc w:val="both"/>
      </w:pPr>
      <w:r w:rsidRPr="00D71008">
        <w:rPr>
          <w:rStyle w:val="FootnoteReference"/>
        </w:rPr>
        <w:footnoteRef/>
      </w:r>
      <w:r w:rsidRPr="00D71008">
        <w:t xml:space="preserve"> During interviews, four new entrant </w:t>
      </w:r>
      <w:r>
        <w:t>RU</w:t>
      </w:r>
      <w:r w:rsidRPr="00D71008">
        <w:t xml:space="preserve">s including their industry association (these include WestBahn, Snälltåget and AllRail) expressed concerns over the lack of fair access to </w:t>
      </w:r>
      <w:r>
        <w:t>indispensable RU</w:t>
      </w:r>
      <w:r w:rsidRPr="00D71008">
        <w:t xml:space="preserve"> platforms.</w:t>
      </w:r>
    </w:p>
  </w:footnote>
  <w:footnote w:id="133">
    <w:p w14:paraId="6158888E" w14:textId="77777777" w:rsidR="00241CBE" w:rsidRPr="00D71008" w:rsidRDefault="00241CBE" w:rsidP="00241CBE">
      <w:pPr>
        <w:pStyle w:val="FootnoteText"/>
        <w:jc w:val="both"/>
      </w:pPr>
      <w:r w:rsidRPr="00D71008">
        <w:rPr>
          <w:rStyle w:val="FootnoteReference"/>
        </w:rPr>
        <w:footnoteRef/>
      </w:r>
      <w:r w:rsidRPr="00D71008">
        <w:t xml:space="preserve"> </w:t>
      </w:r>
      <w:r w:rsidR="00166A82">
        <w:t>T</w:t>
      </w:r>
      <w:r w:rsidRPr="00D71008">
        <w:t xml:space="preserve">ransport operators are the stakeholder group that appeared the most concerned about the persistence of this problem over time, with 17 of 30 expecting deterioration. Non-incumbent </w:t>
      </w:r>
      <w:r w:rsidR="001358ED">
        <w:t>RU</w:t>
      </w:r>
      <w:r w:rsidRPr="00D71008">
        <w:t xml:space="preserve">s highlighted how the market will continue favouring incumbents and worsen discrimination while two airline industry association highlighted the growing influence of large OTAs and MSEs that will continue promoting certain operators or products based on their own commercial interests. On the contrary, five independent MDMS platforms/ industry associations highlighted that they do not believe this problem to reflect market reality and therefore do not foresee this problem to improve nor deteriorate. </w:t>
      </w:r>
    </w:p>
  </w:footnote>
  <w:footnote w:id="134">
    <w:p w14:paraId="3CE984CC" w14:textId="3F25F262" w:rsidR="00C52B1E" w:rsidRPr="00D71008" w:rsidRDefault="00C52B1E" w:rsidP="00C52B1E">
      <w:pPr>
        <w:pStyle w:val="FootnoteText"/>
        <w:jc w:val="both"/>
      </w:pPr>
      <w:r w:rsidRPr="00D71008">
        <w:rPr>
          <w:rStyle w:val="FootnoteReference"/>
        </w:rPr>
        <w:footnoteRef/>
      </w:r>
      <w:r w:rsidRPr="00D71008">
        <w:t xml:space="preserve"> </w:t>
      </w:r>
      <w:r w:rsidR="00110F2A">
        <w:t xml:space="preserve">11 of 16 </w:t>
      </w:r>
      <w:r w:rsidRPr="00D71008">
        <w:t>MDMS platforms</w:t>
      </w:r>
      <w:r w:rsidR="00110F2A">
        <w:t xml:space="preserve"> that replied to the targ</w:t>
      </w:r>
      <w:r w:rsidR="00394D71">
        <w:t>eted survey</w:t>
      </w:r>
      <w:r w:rsidRPr="00D71008" w:rsidDel="00394D71">
        <w:t xml:space="preserve"> </w:t>
      </w:r>
      <w:r w:rsidRPr="00D71008">
        <w:t xml:space="preserve">believe that </w:t>
      </w:r>
      <w:r w:rsidR="00E52C02">
        <w:t>P</w:t>
      </w:r>
      <w:r w:rsidR="00E52C02" w:rsidRPr="00D71008">
        <w:t xml:space="preserve">roblem </w:t>
      </w:r>
      <w:r w:rsidR="00394D71">
        <w:t>2</w:t>
      </w:r>
      <w:r w:rsidR="00394D71" w:rsidRPr="00D71008">
        <w:t xml:space="preserve"> </w:t>
      </w:r>
      <w:r w:rsidRPr="00D71008">
        <w:t>will deteriorate. MDMS industry association ADN Mobilit</w:t>
      </w:r>
      <w:r>
        <w:t>é</w:t>
      </w:r>
      <w:r w:rsidRPr="00D71008">
        <w:t>s believes that without legislative intervention, “independent vendors will continue to struggle and ultimately leave the European market” leading to reduced consumer choice, particularly for cross-border and multimodal travel.</w:t>
      </w:r>
    </w:p>
  </w:footnote>
  <w:footnote w:id="135">
    <w:p w14:paraId="11E4AADA" w14:textId="2DD05E50" w:rsidR="0044074C" w:rsidRPr="00D71008" w:rsidRDefault="0044074C" w:rsidP="00BB277A">
      <w:pPr>
        <w:pStyle w:val="FootnoteText"/>
        <w:jc w:val="both"/>
      </w:pPr>
      <w:r w:rsidRPr="00D71008">
        <w:rPr>
          <w:rStyle w:val="FootnoteReference"/>
        </w:rPr>
        <w:footnoteRef/>
      </w:r>
      <w:r w:rsidR="00625985" w:rsidRPr="00D71008">
        <w:t xml:space="preserve"> </w:t>
      </w:r>
      <w:r w:rsidRPr="00D71008">
        <w:t xml:space="preserve">This analysis was not shared among incumbent rail and public transport operators, with 6 of 8 surveyed indicating that Problem </w:t>
      </w:r>
      <w:r w:rsidR="00E52C02">
        <w:t>2</w:t>
      </w:r>
      <w:r w:rsidRPr="00D71008">
        <w:t xml:space="preserve"> is not currently a major issue, largely because industry-led initiatives like the CER Ticketing Roadmap and OSDM implementation are already addressing cross-border ticketing and integration. In contrast, two new entrants highlighted their lack of visibility on key ticketing platforms as a key challenge likely to persist. </w:t>
      </w:r>
    </w:p>
  </w:footnote>
  <w:footnote w:id="136">
    <w:p w14:paraId="0C546857" w14:textId="77777777" w:rsidR="009745A8" w:rsidRPr="00881445" w:rsidRDefault="009745A8" w:rsidP="009745A8">
      <w:pPr>
        <w:pStyle w:val="FootnoteText"/>
        <w:tabs>
          <w:tab w:val="left" w:pos="284"/>
        </w:tabs>
      </w:pPr>
      <w:r w:rsidRPr="0035121B">
        <w:rPr>
          <w:rStyle w:val="FootnoteReference"/>
        </w:rPr>
        <w:footnoteRef/>
      </w:r>
      <w:r w:rsidRPr="00881445">
        <w:t xml:space="preserve"> </w:t>
      </w:r>
      <w:hyperlink r:id="rId8" w:history="1">
        <w:r w:rsidRPr="001E1684">
          <w:rPr>
            <w:rStyle w:val="Hyperlink"/>
          </w:rPr>
          <w:t>Delivering the European Green Deal - European Commission</w:t>
        </w:r>
      </w:hyperlink>
    </w:p>
  </w:footnote>
  <w:footnote w:id="137">
    <w:p w14:paraId="1D33909F" w14:textId="77777777" w:rsidR="009745A8" w:rsidRDefault="009745A8" w:rsidP="009745A8">
      <w:pPr>
        <w:pStyle w:val="FootnoteText"/>
        <w:rPr>
          <w:lang w:val="en-IE"/>
        </w:rPr>
      </w:pPr>
      <w:r>
        <w:rPr>
          <w:rStyle w:val="FootnoteReference"/>
        </w:rPr>
        <w:footnoteRef/>
      </w:r>
      <w:r>
        <w:rPr>
          <w:lang w:val="en-IE"/>
        </w:rPr>
        <w:t xml:space="preserve"> COM(2025) 524 final</w:t>
      </w:r>
    </w:p>
  </w:footnote>
  <w:footnote w:id="138">
    <w:p w14:paraId="5E3FF462" w14:textId="77777777" w:rsidR="009745A8" w:rsidRDefault="009745A8" w:rsidP="009745A8">
      <w:pPr>
        <w:pStyle w:val="FootnoteText"/>
        <w:rPr>
          <w:lang w:val="en-IE"/>
        </w:rPr>
      </w:pPr>
      <w:r>
        <w:rPr>
          <w:rStyle w:val="FootnoteReference"/>
        </w:rPr>
        <w:footnoteRef/>
      </w:r>
      <w:r>
        <w:rPr>
          <w:lang w:val="en-IE"/>
        </w:rPr>
        <w:t xml:space="preserve"> </w:t>
      </w:r>
      <w:hyperlink r:id="rId9" w:history="1">
        <w:r>
          <w:rPr>
            <w:rStyle w:val="Hyperlink"/>
            <w:lang w:val="en-IE"/>
          </w:rPr>
          <w:t>Regulation (EU) 2024/1610</w:t>
        </w:r>
      </w:hyperlink>
    </w:p>
  </w:footnote>
  <w:footnote w:id="139">
    <w:p w14:paraId="1174100D" w14:textId="5E93C9B9" w:rsidR="009745A8" w:rsidRDefault="009745A8" w:rsidP="009745A8">
      <w:pPr>
        <w:pStyle w:val="FootnoteText"/>
        <w:rPr>
          <w:lang w:val="en-IE"/>
        </w:rPr>
      </w:pPr>
      <w:r>
        <w:rPr>
          <w:rStyle w:val="FootnoteReference"/>
        </w:rPr>
        <w:footnoteRef/>
      </w:r>
      <w:r>
        <w:rPr>
          <w:lang w:val="en-IE"/>
        </w:rPr>
        <w:t xml:space="preserve"> </w:t>
      </w:r>
      <w:hyperlink r:id="rId10" w:history="1">
        <w:r w:rsidR="005F05A7">
          <w:rPr>
            <w:rStyle w:val="Hyperlink"/>
            <w:lang w:val="en-IE"/>
          </w:rPr>
          <w:t>https://eur-lex.europa.eu/eli/reg/2024/1257/oj/eng</w:t>
        </w:r>
      </w:hyperlink>
    </w:p>
  </w:footnote>
  <w:footnote w:id="140">
    <w:p w14:paraId="505E7C3C" w14:textId="77777777" w:rsidR="009745A8" w:rsidRDefault="009745A8" w:rsidP="009745A8">
      <w:pPr>
        <w:pStyle w:val="FootnoteText"/>
        <w:rPr>
          <w:lang w:val="en-IE"/>
        </w:rPr>
      </w:pPr>
      <w:r>
        <w:rPr>
          <w:rStyle w:val="FootnoteReference"/>
        </w:rPr>
        <w:footnoteRef/>
      </w:r>
      <w:r>
        <w:rPr>
          <w:lang w:val="en-IE"/>
        </w:rPr>
        <w:t xml:space="preserve"> </w:t>
      </w:r>
      <w:hyperlink r:id="rId11" w:history="1">
        <w:r>
          <w:rPr>
            <w:rStyle w:val="Hyperlink"/>
            <w:lang w:val="en-IE"/>
          </w:rPr>
          <w:t>Regulation - EU - 2024/1679 - EN - EUR-Lex</w:t>
        </w:r>
      </w:hyperlink>
    </w:p>
  </w:footnote>
  <w:footnote w:id="141">
    <w:p w14:paraId="53D0F6AB" w14:textId="77777777" w:rsidR="009745A8" w:rsidRPr="00881445" w:rsidRDefault="009745A8" w:rsidP="009745A8">
      <w:pPr>
        <w:pStyle w:val="FootnoteText"/>
      </w:pPr>
      <w:r w:rsidRPr="0035121B">
        <w:rPr>
          <w:rStyle w:val="FootnoteReference"/>
        </w:rPr>
        <w:footnoteRef/>
      </w:r>
      <w:r w:rsidRPr="0035121B">
        <w:t xml:space="preserve"> </w:t>
      </w:r>
      <w:hyperlink r:id="rId12" w:history="1">
        <w:r w:rsidRPr="0035121B">
          <w:rPr>
            <w:rStyle w:val="Hyperlink"/>
          </w:rPr>
          <w:t>Green Deal: Greening freight for more economic gain with less environmental impact (europa.eu)</w:t>
        </w:r>
      </w:hyperlink>
      <w:r>
        <w:rPr>
          <w:rStyle w:val="Hyperlink"/>
        </w:rPr>
        <w:t>.</w:t>
      </w:r>
    </w:p>
  </w:footnote>
  <w:footnote w:id="142">
    <w:p w14:paraId="1293D50A" w14:textId="77777777" w:rsidR="009745A8" w:rsidRPr="00E8621E" w:rsidRDefault="009745A8" w:rsidP="009745A8">
      <w:pPr>
        <w:pStyle w:val="FootnoteText"/>
      </w:pPr>
      <w:r>
        <w:rPr>
          <w:rStyle w:val="FootnoteReference"/>
        </w:rPr>
        <w:footnoteRef/>
      </w:r>
      <w:r>
        <w:t xml:space="preserve"> </w:t>
      </w:r>
      <w:hyperlink r:id="rId13" w:history="1">
        <w:r w:rsidRPr="00E8621E">
          <w:rPr>
            <w:rStyle w:val="Hyperlink"/>
          </w:rPr>
          <w:t>Updated rules for safer roads, less air pollution and digital vehicle documents</w:t>
        </w:r>
      </w:hyperlink>
    </w:p>
  </w:footnote>
  <w:footnote w:id="143">
    <w:p w14:paraId="445E10F6" w14:textId="77777777" w:rsidR="001F1DD7" w:rsidRPr="001D603F" w:rsidRDefault="001F1DD7" w:rsidP="001F1DD7">
      <w:pPr>
        <w:pStyle w:val="FootnoteText"/>
        <w:jc w:val="both"/>
        <w:rPr>
          <w:lang w:val="es-ES"/>
        </w:rPr>
      </w:pPr>
      <w:r w:rsidRPr="00D71008">
        <w:rPr>
          <w:rStyle w:val="FootnoteReference"/>
        </w:rPr>
        <w:footnoteRef/>
      </w:r>
      <w:r w:rsidRPr="001D603F">
        <w:rPr>
          <w:lang w:val="es-ES"/>
        </w:rPr>
        <w:t xml:space="preserve"> OJ L, 2023/2661</w:t>
      </w:r>
    </w:p>
  </w:footnote>
  <w:footnote w:id="144">
    <w:p w14:paraId="67BD9212" w14:textId="77777777" w:rsidR="001F1DD7" w:rsidRPr="001D603F" w:rsidRDefault="001F1DD7" w:rsidP="001F1DD7">
      <w:pPr>
        <w:pStyle w:val="FootnoteText"/>
        <w:rPr>
          <w:lang w:val="es-ES"/>
        </w:rPr>
      </w:pPr>
      <w:r w:rsidRPr="00D71008">
        <w:rPr>
          <w:rStyle w:val="FootnoteReference"/>
        </w:rPr>
        <w:footnoteRef/>
      </w:r>
      <w:r w:rsidRPr="001D603F">
        <w:rPr>
          <w:lang w:val="es-ES"/>
        </w:rPr>
        <w:t xml:space="preserve"> OJ L, 2024/490</w:t>
      </w:r>
    </w:p>
  </w:footnote>
  <w:footnote w:id="145">
    <w:p w14:paraId="6E999B2C" w14:textId="77777777" w:rsidR="001F1DD7" w:rsidRPr="001D603F" w:rsidRDefault="001F1DD7" w:rsidP="001F1DD7">
      <w:pPr>
        <w:ind w:right="425"/>
        <w:jc w:val="both"/>
        <w:rPr>
          <w:i/>
          <w:sz w:val="20"/>
          <w:szCs w:val="20"/>
          <w:lang w:val="es-ES"/>
        </w:rPr>
      </w:pPr>
      <w:r w:rsidRPr="00D71008">
        <w:rPr>
          <w:rStyle w:val="FootnoteReference"/>
        </w:rPr>
        <w:footnoteRef/>
      </w:r>
      <w:r w:rsidRPr="001D603F">
        <w:rPr>
          <w:lang w:val="es-ES"/>
        </w:rPr>
        <w:t xml:space="preserve"> </w:t>
      </w:r>
      <w:r w:rsidRPr="001D603F">
        <w:rPr>
          <w:sz w:val="20"/>
          <w:szCs w:val="20"/>
          <w:lang w:val="es-ES"/>
        </w:rPr>
        <w:t>OJ L 35, 4.2.2009, pp. 47–55.</w:t>
      </w:r>
    </w:p>
  </w:footnote>
  <w:footnote w:id="146">
    <w:p w14:paraId="4C60AF15" w14:textId="77777777" w:rsidR="009745A8" w:rsidRPr="00881445" w:rsidRDefault="009745A8" w:rsidP="009745A8">
      <w:pPr>
        <w:pStyle w:val="FootnoteText"/>
        <w:tabs>
          <w:tab w:val="left" w:pos="142"/>
          <w:tab w:val="left" w:pos="284"/>
        </w:tabs>
      </w:pPr>
      <w:r>
        <w:rPr>
          <w:rStyle w:val="FootnoteReference"/>
        </w:rPr>
        <w:footnoteRef/>
      </w:r>
      <w:r w:rsidRPr="00881445">
        <w:t xml:space="preserve"> COM(2022) 289 final</w:t>
      </w:r>
    </w:p>
  </w:footnote>
  <w:footnote w:id="147">
    <w:p w14:paraId="3429994A" w14:textId="77777777" w:rsidR="009745A8" w:rsidRPr="00881445" w:rsidRDefault="009745A8" w:rsidP="009745A8">
      <w:pPr>
        <w:pStyle w:val="FootnoteText"/>
        <w:tabs>
          <w:tab w:val="left" w:pos="142"/>
          <w:tab w:val="left" w:pos="284"/>
        </w:tabs>
      </w:pPr>
      <w:r>
        <w:rPr>
          <w:rStyle w:val="FootnoteReference"/>
        </w:rPr>
        <w:footnoteRef/>
      </w:r>
      <w:r w:rsidRPr="00881445">
        <w:t xml:space="preserve"> </w:t>
      </w:r>
      <w:hyperlink r:id="rId14" w:anchor="explore" w:history="1">
        <w:r w:rsidRPr="00881445">
          <w:rPr>
            <w:rStyle w:val="Hyperlink"/>
          </w:rPr>
          <w:t>https://knowledge4policy.ec.europa.eu/foresight/tool/megatrends-hub_en#explore</w:t>
        </w:r>
      </w:hyperlink>
      <w:r w:rsidRPr="00881445">
        <w:t xml:space="preserve"> </w:t>
      </w:r>
    </w:p>
  </w:footnote>
  <w:footnote w:id="148">
    <w:p w14:paraId="3AEA6B7F" w14:textId="77777777" w:rsidR="009745A8" w:rsidRPr="00881445" w:rsidRDefault="009745A8" w:rsidP="009745A8">
      <w:pPr>
        <w:pStyle w:val="FootnoteText"/>
        <w:tabs>
          <w:tab w:val="left" w:pos="142"/>
          <w:tab w:val="left" w:pos="284"/>
        </w:tabs>
        <w:rPr>
          <w:sz w:val="16"/>
          <w:szCs w:val="16"/>
        </w:rPr>
      </w:pPr>
      <w:r w:rsidRPr="00274943">
        <w:rPr>
          <w:rStyle w:val="FootnoteReference"/>
        </w:rPr>
        <w:footnoteRef/>
      </w:r>
      <w:r w:rsidRPr="00881445">
        <w:t xml:space="preserve"> </w:t>
      </w:r>
      <w:r w:rsidRPr="00FD0B0E">
        <w:t>DG ECFIN</w:t>
      </w:r>
      <w:r>
        <w:t>,</w:t>
      </w:r>
      <w:r w:rsidRPr="00FD0B0E">
        <w:t xml:space="preserve"> </w:t>
      </w:r>
      <w:hyperlink r:id="rId15" w:history="1">
        <w:r w:rsidRPr="00F26127">
          <w:rPr>
            <w:rStyle w:val="Hyperlink"/>
          </w:rPr>
          <w:t>2024 Ageing Report. Economic and Budgetary Projections for the EU Member States (2022-2070) - Economy and Finance</w:t>
        </w:r>
      </w:hyperlink>
    </w:p>
  </w:footnote>
  <w:footnote w:id="149">
    <w:p w14:paraId="4B077C73" w14:textId="77777777" w:rsidR="003E0F91" w:rsidRPr="005D2D60" w:rsidRDefault="003E0F91" w:rsidP="003E0F91">
      <w:pPr>
        <w:pStyle w:val="FootnoteText"/>
      </w:pPr>
      <w:r>
        <w:rPr>
          <w:rStyle w:val="FootnoteReference"/>
        </w:rPr>
        <w:footnoteRef/>
      </w:r>
      <w:r>
        <w:t xml:space="preserve"> </w:t>
      </w:r>
      <w:r w:rsidRPr="005D2D60">
        <w:t>Guidelines on market analysis and the assessment of significant market power under the EU regulatory framework for electronic communications networks and services, C(2018) 2374 final.</w:t>
      </w:r>
    </w:p>
  </w:footnote>
  <w:footnote w:id="150">
    <w:p w14:paraId="793E1AB8" w14:textId="77777777" w:rsidR="003E0F91" w:rsidRPr="005D2D60" w:rsidRDefault="003E0F91" w:rsidP="003E0F91">
      <w:pPr>
        <w:pStyle w:val="FootnoteText"/>
      </w:pPr>
      <w:r>
        <w:rPr>
          <w:rStyle w:val="FootnoteReference"/>
        </w:rPr>
        <w:footnoteRef/>
      </w:r>
      <w:r>
        <w:t xml:space="preserve"> </w:t>
      </w:r>
      <w:r w:rsidRPr="005D2D60">
        <w:t xml:space="preserve">Judgment of 13 February 1979, </w:t>
      </w:r>
      <w:r w:rsidRPr="005D2D60">
        <w:rPr>
          <w:i/>
        </w:rPr>
        <w:t>Hoffmann-La Roche v Commission</w:t>
      </w:r>
      <w:r w:rsidRPr="005D2D60">
        <w:t xml:space="preserve">, Case 85/76, EU:C:1979:36, paragraph 41; Judgment of 3 July 1991, </w:t>
      </w:r>
      <w:r w:rsidRPr="005D2D60">
        <w:rPr>
          <w:i/>
        </w:rPr>
        <w:t>Akzo v Commission</w:t>
      </w:r>
      <w:r w:rsidRPr="005D2D60">
        <w:t>, C-62/86, EU:C:1991:286, paragraph 60.</w:t>
      </w:r>
    </w:p>
  </w:footnote>
  <w:footnote w:id="151">
    <w:p w14:paraId="7C9F871D" w14:textId="77777777" w:rsidR="00867A37" w:rsidRPr="00D71008" w:rsidRDefault="00867A37" w:rsidP="00867A37">
      <w:pPr>
        <w:pStyle w:val="FootnoteText"/>
      </w:pPr>
      <w:r w:rsidRPr="00D71008">
        <w:rPr>
          <w:rStyle w:val="FootnoteReference"/>
        </w:rPr>
        <w:footnoteRef/>
      </w:r>
      <w:r w:rsidRPr="00D71008">
        <w:t xml:space="preserve"> C/2018/2374</w:t>
      </w:r>
    </w:p>
  </w:footnote>
  <w:footnote w:id="152">
    <w:p w14:paraId="15CECA6F" w14:textId="57F487B3" w:rsidR="003D3B5F" w:rsidRPr="00D71008" w:rsidRDefault="003D3B5F" w:rsidP="006D1BE1">
      <w:pPr>
        <w:pStyle w:val="FootnoteText"/>
        <w:jc w:val="both"/>
      </w:pPr>
      <w:r w:rsidRPr="00D71008">
        <w:rPr>
          <w:rStyle w:val="FootnoteReference"/>
        </w:rPr>
        <w:footnoteRef/>
      </w:r>
      <w:r w:rsidRPr="00D71008">
        <w:t xml:space="preserve"> </w:t>
      </w:r>
      <w:r w:rsidR="00D75FE0" w:rsidRPr="00D71008">
        <w:rPr>
          <w:rFonts w:eastAsiaTheme="minorEastAsia"/>
        </w:rPr>
        <w:t>8</w:t>
      </w:r>
      <w:r w:rsidRPr="00D71008">
        <w:rPr>
          <w:rFonts w:eastAsiaTheme="minorEastAsia"/>
        </w:rPr>
        <w:t xml:space="preserve"> of 20 MDMS platforms saw downsides to PM1, questioning the relevance and enforceability of neutral display requirements and emphasizing that </w:t>
      </w:r>
      <w:r w:rsidR="00A92922">
        <w:rPr>
          <w:rFonts w:eastAsiaTheme="minorEastAsia"/>
        </w:rPr>
        <w:t xml:space="preserve">not leaving </w:t>
      </w:r>
      <w:r w:rsidRPr="00D71008">
        <w:rPr>
          <w:rFonts w:eastAsiaTheme="minorEastAsia"/>
        </w:rPr>
        <w:t xml:space="preserve">the choice of selection criteria with the user </w:t>
      </w:r>
      <w:r w:rsidR="00A92922">
        <w:rPr>
          <w:rFonts w:eastAsiaTheme="minorEastAsia"/>
        </w:rPr>
        <w:t xml:space="preserve">could </w:t>
      </w:r>
      <w:r w:rsidRPr="00D71008">
        <w:rPr>
          <w:rFonts w:eastAsiaTheme="minorEastAsia"/>
        </w:rPr>
        <w:t xml:space="preserve">result in negative effects on platforms’ business models </w:t>
      </w:r>
      <w:r w:rsidRPr="00D71008">
        <w:t>(mentioned in interviews by Skyscanner and the industry association ADN Mobilités).</w:t>
      </w:r>
      <w:r w:rsidR="007F019E" w:rsidRPr="00D71008">
        <w:t xml:space="preserve"> 11 of 30 transport operators expected it to be very or somewhat effective</w:t>
      </w:r>
      <w:r w:rsidR="00E05AAB" w:rsidRPr="00D71008">
        <w:t xml:space="preserve"> while </w:t>
      </w:r>
      <w:r w:rsidR="007F019E" w:rsidRPr="00D71008">
        <w:t>2 of 30 stakeholders expected it to be very or somewhat ineffective. Moreover, 17 of 30 stakeholders were neutral (14) or did not know (3). 1 out of 3 of new entrant rail operators considered it somewhat effective while 2 out of 3 replied don’t know or did not answer. </w:t>
      </w:r>
    </w:p>
  </w:footnote>
  <w:footnote w:id="153">
    <w:p w14:paraId="3938BC12" w14:textId="3689407B" w:rsidR="003D3B5F" w:rsidRPr="00D71008" w:rsidRDefault="003D3B5F" w:rsidP="006D1BE1">
      <w:pPr>
        <w:pStyle w:val="FootnoteText"/>
        <w:jc w:val="both"/>
      </w:pPr>
      <w:r w:rsidRPr="00D71008">
        <w:rPr>
          <w:rStyle w:val="FootnoteReference"/>
        </w:rPr>
        <w:footnoteRef/>
      </w:r>
      <w:r w:rsidRPr="00D71008">
        <w:t xml:space="preserve"> Nine of 20 found PM8 very ineffective, and four respondents, including EU Travel Tech and Skyscanner, supported PM8 while emphasizing the need for standardised methods of GHG data reporting and calculation to ensure consistency with the existing EU framework, thereby simplifying compliance and reducing confusion for consumers.</w:t>
      </w:r>
      <w:r w:rsidR="000F111D" w:rsidRPr="00D71008">
        <w:t xml:space="preserve"> 11 of 29 transport operators expected it to be very or somewhat effective (7 very effective, 4 somewhat effective). Furthermore, 10 of 29 transport operators expected it to be very ineffective.</w:t>
      </w:r>
    </w:p>
  </w:footnote>
  <w:footnote w:id="154">
    <w:p w14:paraId="37CEEFA2" w14:textId="4280CC98" w:rsidR="0044612D" w:rsidRPr="00D71008" w:rsidRDefault="0044612D" w:rsidP="006D1BE1">
      <w:pPr>
        <w:pStyle w:val="FootnoteText"/>
        <w:jc w:val="both"/>
      </w:pPr>
      <w:r w:rsidRPr="00D71008">
        <w:rPr>
          <w:rStyle w:val="FootnoteReference"/>
        </w:rPr>
        <w:footnoteRef/>
      </w:r>
      <w:r w:rsidRPr="00D71008">
        <w:t xml:space="preserve"> </w:t>
      </w:r>
      <w:r w:rsidR="00427259" w:rsidRPr="00D71008">
        <w:t>Explicitly s</w:t>
      </w:r>
      <w:r w:rsidRPr="00D71008">
        <w:t xml:space="preserve">upported in interviews by </w:t>
      </w:r>
      <w:r w:rsidR="00E40228" w:rsidRPr="00D71008">
        <w:t xml:space="preserve">CER, SNCF, </w:t>
      </w:r>
      <w:r w:rsidR="00B75286" w:rsidRPr="00D71008">
        <w:t>rail entrant Sna</w:t>
      </w:r>
      <w:r w:rsidR="00D52021" w:rsidRPr="00D71008">
        <w:t>lltaget</w:t>
      </w:r>
      <w:r w:rsidR="00427259" w:rsidRPr="00D71008">
        <w:t>,</w:t>
      </w:r>
      <w:r w:rsidR="00494FEA" w:rsidRPr="00D71008">
        <w:t xml:space="preserve"> the MDMS industry association </w:t>
      </w:r>
      <w:r w:rsidR="00F4561F" w:rsidRPr="00D71008">
        <w:t xml:space="preserve">ADN Mobilités </w:t>
      </w:r>
      <w:r w:rsidR="00D822F9" w:rsidRPr="00D71008">
        <w:t>and one other MDMS plat</w:t>
      </w:r>
      <w:r w:rsidR="00427259" w:rsidRPr="00D71008">
        <w:t xml:space="preserve">form. </w:t>
      </w:r>
    </w:p>
  </w:footnote>
  <w:footnote w:id="155">
    <w:p w14:paraId="2F1A9884" w14:textId="4C87DCAC" w:rsidR="00427259" w:rsidRPr="00D71008" w:rsidRDefault="00427259" w:rsidP="006D1BE1">
      <w:pPr>
        <w:pStyle w:val="FootnoteText"/>
        <w:jc w:val="both"/>
      </w:pPr>
      <w:r w:rsidRPr="00D71008">
        <w:rPr>
          <w:rStyle w:val="FootnoteReference"/>
        </w:rPr>
        <w:footnoteRef/>
      </w:r>
      <w:r w:rsidRPr="00D71008">
        <w:t xml:space="preserve"> Mentioned in interviews by</w:t>
      </w:r>
      <w:r w:rsidR="006D1BE1" w:rsidRPr="00D71008">
        <w:t xml:space="preserve"> two MDMS providers, two </w:t>
      </w:r>
      <w:r w:rsidR="001358ED">
        <w:t>RU</w:t>
      </w:r>
      <w:r w:rsidR="006D1BE1" w:rsidRPr="00D71008">
        <w:t>s -</w:t>
      </w:r>
      <w:r w:rsidR="00F05E04">
        <w:t xml:space="preserve"> </w:t>
      </w:r>
      <w:r w:rsidR="006D1BE1" w:rsidRPr="00D71008">
        <w:t>one incumbent - and an airline.</w:t>
      </w:r>
    </w:p>
  </w:footnote>
  <w:footnote w:id="156">
    <w:p w14:paraId="7AC8B180" w14:textId="77777777" w:rsidR="008A4D15" w:rsidRPr="00D71008" w:rsidRDefault="008A4D15" w:rsidP="008A4D15">
      <w:pPr>
        <w:pStyle w:val="FootnoteText"/>
        <w:jc w:val="both"/>
      </w:pPr>
      <w:r w:rsidRPr="00D71008">
        <w:rPr>
          <w:rStyle w:val="FootnoteReference"/>
        </w:rPr>
        <w:footnoteRef/>
      </w:r>
      <w:r w:rsidRPr="00D71008">
        <w:t xml:space="preserve"> During interviews, one airline considered it as </w:t>
      </w:r>
      <w:r w:rsidRPr="00D71008">
        <w:rPr>
          <w:rFonts w:eastAsiaTheme="minorEastAsia"/>
        </w:rPr>
        <w:t xml:space="preserve">“the best approach to avoid situations of distorted information” while another airline noted that the extension of CRS CoC neutral display obligation and fair treatment of transport operators to dominant B2C MDMS is “mandatory” for the fair treatment of offers. Another airline </w:t>
      </w:r>
      <w:r w:rsidRPr="004E336D">
        <w:rPr>
          <w:rFonts w:eastAsiaTheme="minorEastAsia"/>
        </w:rPr>
        <w:t>criti</w:t>
      </w:r>
      <w:r>
        <w:rPr>
          <w:rFonts w:eastAsiaTheme="minorEastAsia"/>
        </w:rPr>
        <w:t>ci</w:t>
      </w:r>
      <w:r w:rsidRPr="004E336D">
        <w:rPr>
          <w:rFonts w:eastAsiaTheme="minorEastAsia"/>
        </w:rPr>
        <w:t>sed</w:t>
      </w:r>
      <w:r w:rsidRPr="00D71008">
        <w:rPr>
          <w:rFonts w:eastAsiaTheme="minorEastAsia"/>
        </w:rPr>
        <w:t xml:space="preserve"> business models </w:t>
      </w:r>
      <w:r>
        <w:rPr>
          <w:rFonts w:eastAsiaTheme="minorEastAsia"/>
        </w:rPr>
        <w:t>as applied by</w:t>
      </w:r>
      <w:r w:rsidRPr="00D71008">
        <w:rPr>
          <w:rFonts w:eastAsiaTheme="minorEastAsia"/>
        </w:rPr>
        <w:t xml:space="preserve"> Edreams, and their display policies. </w:t>
      </w:r>
    </w:p>
  </w:footnote>
  <w:footnote w:id="157">
    <w:p w14:paraId="7796FD66" w14:textId="0A5A2340" w:rsidR="004402B7" w:rsidRPr="00BF1EF4" w:rsidRDefault="004402B7">
      <w:pPr>
        <w:pStyle w:val="FootnoteText"/>
        <w:rPr>
          <w:lang w:val="en-IE"/>
        </w:rPr>
      </w:pPr>
      <w:r>
        <w:rPr>
          <w:rStyle w:val="FootnoteReference"/>
        </w:rPr>
        <w:footnoteRef/>
      </w:r>
      <w:r>
        <w:t xml:space="preserve"> These are views on PM6 in </w:t>
      </w:r>
      <w:r w:rsidR="00DC66CA">
        <w:t>tackling</w:t>
      </w:r>
      <w:r>
        <w:t xml:space="preserve"> </w:t>
      </w:r>
      <w:r w:rsidR="00DC66CA">
        <w:t>limited and distorted information</w:t>
      </w:r>
      <w:r w:rsidR="00BF1EF4">
        <w:t xml:space="preserve"> on platforms</w:t>
      </w:r>
      <w:r>
        <w:t xml:space="preserve">. In relation to </w:t>
      </w:r>
      <w:r w:rsidR="00CE769E">
        <w:t xml:space="preserve">tackling uneven access of </w:t>
      </w:r>
      <w:r w:rsidR="00BF1EF4">
        <w:t>operators</w:t>
      </w:r>
      <w:r w:rsidR="0079468E">
        <w:t>’</w:t>
      </w:r>
      <w:r w:rsidR="00CE769E">
        <w:t xml:space="preserve"> platforms</w:t>
      </w:r>
      <w:r>
        <w:t xml:space="preserve">, </w:t>
      </w:r>
      <w:r w:rsidR="00F21474">
        <w:t xml:space="preserve">36 of 71 </w:t>
      </w:r>
      <w:r w:rsidR="006D0B56">
        <w:t xml:space="preserve">found it effective, 14 ineffective and 21 were neutral/did not know. </w:t>
      </w:r>
      <w:r w:rsidR="00BF1EF4">
        <w:t xml:space="preserve">As in relation to </w:t>
      </w:r>
      <w:r w:rsidR="00922305">
        <w:t>the</w:t>
      </w:r>
      <w:r w:rsidR="00BF1EF4">
        <w:t xml:space="preserve"> former problem, transport operators appeared the most supportive of this measure.</w:t>
      </w:r>
    </w:p>
  </w:footnote>
  <w:footnote w:id="158">
    <w:p w14:paraId="4870359D" w14:textId="2C89AD47" w:rsidR="005A5C26" w:rsidRPr="00D71008" w:rsidRDefault="005A5C26" w:rsidP="005A5C26">
      <w:pPr>
        <w:pStyle w:val="FootnoteText"/>
        <w:jc w:val="both"/>
      </w:pPr>
      <w:r w:rsidRPr="00D71008">
        <w:rPr>
          <w:rStyle w:val="FootnoteReference"/>
        </w:rPr>
        <w:footnoteRef/>
      </w:r>
      <w:r w:rsidRPr="00D71008">
        <w:t xml:space="preserve"> Statement supported in interview by two new content aggregators, two airlines, two rail new entrant – WestBahn and Snälltåget, a national authority, together with two </w:t>
      </w:r>
      <w:r w:rsidR="00684051">
        <w:t>from the ‘o</w:t>
      </w:r>
      <w:r w:rsidRPr="00D71008">
        <w:t>thers</w:t>
      </w:r>
      <w:r w:rsidR="00684051">
        <w:t>’ category</w:t>
      </w:r>
      <w:r w:rsidRPr="00D71008">
        <w:t>, including BEUC.</w:t>
      </w:r>
    </w:p>
  </w:footnote>
  <w:footnote w:id="159">
    <w:p w14:paraId="083C3968" w14:textId="0B1023EE" w:rsidR="00B44779" w:rsidRPr="00D71008" w:rsidRDefault="00B44779" w:rsidP="00F243DF">
      <w:pPr>
        <w:pStyle w:val="FootnoteText"/>
        <w:jc w:val="both"/>
      </w:pPr>
      <w:r w:rsidRPr="00D71008">
        <w:rPr>
          <w:rStyle w:val="FootnoteReference"/>
        </w:rPr>
        <w:footnoteRef/>
      </w:r>
      <w:r w:rsidRPr="00D71008">
        <w:t xml:space="preserve"> </w:t>
      </w:r>
      <w:r w:rsidR="00F243DF" w:rsidRPr="00D71008">
        <w:t>An MDMS provider recognised the theoretical benefit of a neutral body but noted that disputes rarely escalate to a level that would need its involvement, implying that practical utility may be limited. More critically, CER and the Czech authority</w:t>
      </w:r>
      <w:r w:rsidR="00F243DF" w:rsidRPr="00FE2835">
        <w:t xml:space="preserve"> </w:t>
      </w:r>
      <w:r w:rsidR="00F243DF" w:rsidRPr="00D71008">
        <w:t>questioned both the need and effectiveness of such an institution. CER and the Czech authority, for example, argued that existing judicial and administrative bodies are sufficient for handling market disputes. The Czech authority</w:t>
      </w:r>
      <w:r w:rsidR="00F243DF" w:rsidRPr="00D71008" w:rsidDel="008B34DA">
        <w:t xml:space="preserve"> </w:t>
      </w:r>
      <w:r w:rsidR="008B34DA">
        <w:t>argu</w:t>
      </w:r>
      <w:r w:rsidR="00992EF5">
        <w:t>ed</w:t>
      </w:r>
      <w:r w:rsidR="008B34DA" w:rsidRPr="00D71008">
        <w:t xml:space="preserve"> </w:t>
      </w:r>
      <w:r w:rsidR="00F243DF" w:rsidRPr="00D71008">
        <w:t>that a neutral body would add little value, given the competitiveness of the national ticketing market and the availability of redress through existing legal mechanisms.</w:t>
      </w:r>
    </w:p>
  </w:footnote>
  <w:footnote w:id="160">
    <w:p w14:paraId="5093DDC6" w14:textId="57B2A9DA" w:rsidR="003D3B5F" w:rsidRPr="00D71008" w:rsidRDefault="003D3B5F" w:rsidP="00F243DF">
      <w:pPr>
        <w:pStyle w:val="FootnoteText"/>
        <w:jc w:val="both"/>
      </w:pPr>
      <w:r w:rsidRPr="00D71008">
        <w:rPr>
          <w:rStyle w:val="FootnoteReference"/>
        </w:rPr>
        <w:footnoteRef/>
      </w:r>
      <w:r w:rsidRPr="00D71008">
        <w:t xml:space="preserve"> 13 out of 20 MDMS platforms found PM11 ineffective</w:t>
      </w:r>
      <w:r w:rsidR="00F62CE3">
        <w:t>.</w:t>
      </w:r>
    </w:p>
  </w:footnote>
  <w:footnote w:id="161">
    <w:p w14:paraId="53AFC999" w14:textId="03C0C12C" w:rsidR="003D3B5F" w:rsidRPr="00D71008" w:rsidRDefault="003D3B5F" w:rsidP="00F243DF">
      <w:pPr>
        <w:pStyle w:val="FootnoteText"/>
        <w:jc w:val="both"/>
      </w:pPr>
      <w:r w:rsidRPr="00D71008">
        <w:rPr>
          <w:rStyle w:val="FootnoteReference"/>
        </w:rPr>
        <w:footnoteRef/>
      </w:r>
      <w:r w:rsidRPr="00D71008">
        <w:t xml:space="preserve"> Only 2 of 29 transport operators found PM13 effective, 6 ineffective and 21 were neutral/did not know</w:t>
      </w:r>
      <w:r w:rsidR="00F62CE3">
        <w:t>.</w:t>
      </w:r>
    </w:p>
  </w:footnote>
  <w:footnote w:id="162">
    <w:p w14:paraId="19D5D62A" w14:textId="6320E9AE" w:rsidR="003D3B5F" w:rsidRPr="00D71008" w:rsidRDefault="003D3B5F" w:rsidP="00F243DF">
      <w:pPr>
        <w:pStyle w:val="FootnoteText"/>
        <w:jc w:val="both"/>
      </w:pPr>
      <w:r w:rsidRPr="00D71008">
        <w:rPr>
          <w:rStyle w:val="FootnoteReference"/>
        </w:rPr>
        <w:footnoteRef/>
      </w:r>
      <w:r w:rsidRPr="00D71008">
        <w:t xml:space="preserve"> During interviews, six MDMS B2C platforms and a trade association </w:t>
      </w:r>
      <w:r w:rsidR="00F62CE3">
        <w:t>argued</w:t>
      </w:r>
      <w:r w:rsidR="00F62CE3" w:rsidRPr="00D71008">
        <w:t xml:space="preserve"> </w:t>
      </w:r>
      <w:r w:rsidRPr="00D71008">
        <w:t xml:space="preserve">that the main issue is the unwillingness from large operators to share their offer on fair terms. </w:t>
      </w:r>
    </w:p>
  </w:footnote>
  <w:footnote w:id="163">
    <w:p w14:paraId="3B85CC18" w14:textId="650F022C" w:rsidR="003D3B5F" w:rsidRPr="00D71008" w:rsidRDefault="003D3B5F" w:rsidP="00F243DF">
      <w:pPr>
        <w:pStyle w:val="FootnoteText"/>
        <w:jc w:val="both"/>
      </w:pPr>
      <w:r w:rsidRPr="00D71008">
        <w:rPr>
          <w:rStyle w:val="FootnoteReference"/>
        </w:rPr>
        <w:footnoteRef/>
      </w:r>
      <w:r w:rsidRPr="00D71008">
        <w:t xml:space="preserve"> Expressed by the industry association CER, DB, SNCF and UITP</w:t>
      </w:r>
      <w:r w:rsidR="005B383C">
        <w:t>.</w:t>
      </w:r>
    </w:p>
  </w:footnote>
  <w:footnote w:id="164">
    <w:p w14:paraId="25E21767" w14:textId="41266C58" w:rsidR="00290FD4" w:rsidRPr="004E336D" w:rsidRDefault="00290FD4" w:rsidP="00290FD4">
      <w:pPr>
        <w:pStyle w:val="FootnoteText"/>
      </w:pPr>
      <w:r>
        <w:rPr>
          <w:rStyle w:val="FootnoteReference"/>
        </w:rPr>
        <w:footnoteRef/>
      </w:r>
      <w:r w:rsidR="00AC2134">
        <w:t xml:space="preserve"> </w:t>
      </w:r>
      <w:r>
        <w:t>MPMF final report (2022), p.32</w:t>
      </w:r>
    </w:p>
  </w:footnote>
  <w:footnote w:id="165">
    <w:p w14:paraId="1AFF21DD" w14:textId="70EDC404" w:rsidR="00F24B29" w:rsidRPr="00F24B29" w:rsidRDefault="00F24B29">
      <w:pPr>
        <w:pStyle w:val="FootnoteText"/>
      </w:pPr>
      <w:r>
        <w:rPr>
          <w:rStyle w:val="FootnoteReference"/>
        </w:rPr>
        <w:footnoteRef/>
      </w:r>
      <w:r>
        <w:t xml:space="preserve"> Ibid p.26</w:t>
      </w:r>
    </w:p>
  </w:footnote>
  <w:footnote w:id="166">
    <w:p w14:paraId="34D2FFA7" w14:textId="1D1CC759" w:rsidR="00D63EEC" w:rsidRPr="00D71008" w:rsidRDefault="00D63EEC">
      <w:pPr>
        <w:pStyle w:val="FootnoteText"/>
      </w:pPr>
      <w:r w:rsidRPr="00D71008">
        <w:rPr>
          <w:rStyle w:val="FootnoteReference"/>
        </w:rPr>
        <w:footnoteRef/>
      </w:r>
      <w:r w:rsidRPr="00D71008">
        <w:t xml:space="preserve"> </w:t>
      </w:r>
      <w:r w:rsidR="00BA2F9E" w:rsidRPr="00D71008">
        <w:t xml:space="preserve">7 of </w:t>
      </w:r>
      <w:r w:rsidR="000438AD" w:rsidRPr="00D71008">
        <w:t xml:space="preserve">11 </w:t>
      </w:r>
      <w:r w:rsidR="00CB36E2">
        <w:t xml:space="preserve">national authorities </w:t>
      </w:r>
      <w:r w:rsidR="00CD5A30" w:rsidRPr="000D17B0">
        <w:t xml:space="preserve">and </w:t>
      </w:r>
      <w:r w:rsidR="005A173E" w:rsidRPr="000D17B0">
        <w:t>6 of 10</w:t>
      </w:r>
      <w:r w:rsidR="00CB36E2">
        <w:t xml:space="preserve"> stakeholders under the category </w:t>
      </w:r>
      <w:r w:rsidR="00FE7E3A">
        <w:t>‘</w:t>
      </w:r>
      <w:r w:rsidR="005B383C">
        <w:t>o</w:t>
      </w:r>
      <w:r w:rsidR="00CB36E2">
        <w:t>ther</w:t>
      </w:r>
      <w:r w:rsidR="00FE7E3A">
        <w:t>’</w:t>
      </w:r>
      <w:r w:rsidR="004009F8">
        <w:t xml:space="preserve"> </w:t>
      </w:r>
      <w:r w:rsidR="004009F8" w:rsidRPr="004009F8">
        <w:t>found it effective</w:t>
      </w:r>
      <w:r w:rsidR="005A173E" w:rsidRPr="00D71008">
        <w:t>.</w:t>
      </w:r>
    </w:p>
  </w:footnote>
  <w:footnote w:id="167">
    <w:p w14:paraId="280E8F55" w14:textId="4C2E03DB" w:rsidR="005A173E" w:rsidRPr="00D71008" w:rsidRDefault="005A173E">
      <w:pPr>
        <w:pStyle w:val="FootnoteText"/>
      </w:pPr>
      <w:r w:rsidRPr="00D71008">
        <w:rPr>
          <w:rStyle w:val="FootnoteReference"/>
        </w:rPr>
        <w:footnoteRef/>
      </w:r>
      <w:r w:rsidRPr="00D71008">
        <w:t xml:space="preserve"> 7 of 20 </w:t>
      </w:r>
      <w:r w:rsidR="00A526FB" w:rsidRPr="00D71008">
        <w:t>found it effective</w:t>
      </w:r>
      <w:r w:rsidRPr="00D71008">
        <w:t xml:space="preserve">, 7 </w:t>
      </w:r>
      <w:r w:rsidR="00A526FB" w:rsidRPr="00D71008">
        <w:t xml:space="preserve">were </w:t>
      </w:r>
      <w:r w:rsidRPr="00D71008">
        <w:t>neutral</w:t>
      </w:r>
      <w:r w:rsidR="00A526FB" w:rsidRPr="00D71008">
        <w:t xml:space="preserve">, 4 found it ineffective and 2 did not know. </w:t>
      </w:r>
    </w:p>
  </w:footnote>
  <w:footnote w:id="168">
    <w:p w14:paraId="34283D6E" w14:textId="27E4CCFD" w:rsidR="00997A47" w:rsidRPr="00D71008" w:rsidRDefault="00997A47">
      <w:pPr>
        <w:pStyle w:val="FootnoteText"/>
      </w:pPr>
      <w:r w:rsidRPr="00D71008">
        <w:rPr>
          <w:rStyle w:val="FootnoteReference"/>
        </w:rPr>
        <w:footnoteRef/>
      </w:r>
      <w:r w:rsidRPr="00D71008">
        <w:t xml:space="preserve"> </w:t>
      </w:r>
      <w:r w:rsidR="00874F35" w:rsidRPr="00D71008">
        <w:t xml:space="preserve">8 of 30 found it ineffective, </w:t>
      </w:r>
      <w:r w:rsidR="00211D4E" w:rsidRPr="00D71008">
        <w:t xml:space="preserve">two </w:t>
      </w:r>
      <w:r w:rsidR="004009F8" w:rsidRPr="004009F8">
        <w:t xml:space="preserve">found it </w:t>
      </w:r>
      <w:r w:rsidR="00211D4E" w:rsidRPr="00D71008">
        <w:t>effective</w:t>
      </w:r>
      <w:r w:rsidR="00743FB3" w:rsidRPr="00D71008">
        <w:t xml:space="preserve">, 2 were neutral and </w:t>
      </w:r>
      <w:r w:rsidR="00874F35" w:rsidRPr="00D71008">
        <w:t xml:space="preserve">17 </w:t>
      </w:r>
      <w:r w:rsidR="00211D4E" w:rsidRPr="00D71008">
        <w:t>did not know</w:t>
      </w:r>
      <w:r w:rsidR="007458EA">
        <w:t>.</w:t>
      </w:r>
      <w:r w:rsidR="00211D4E" w:rsidRPr="00D71008">
        <w:t xml:space="preserve"> </w:t>
      </w:r>
    </w:p>
  </w:footnote>
  <w:footnote w:id="169">
    <w:p w14:paraId="7BA2C445" w14:textId="6810E181" w:rsidR="00DE7CCB" w:rsidRPr="00D71008" w:rsidRDefault="00DE7CCB" w:rsidP="00DE7CCB">
      <w:pPr>
        <w:pStyle w:val="FootnoteText"/>
      </w:pPr>
      <w:r w:rsidRPr="00D71008">
        <w:rPr>
          <w:rStyle w:val="FootnoteReference"/>
        </w:rPr>
        <w:footnoteRef/>
      </w:r>
      <w:r w:rsidRPr="00D71008">
        <w:t xml:space="preserve"> Mentioned in interviews by the industry association for </w:t>
      </w:r>
      <w:r w:rsidR="001358ED">
        <w:t>RU</w:t>
      </w:r>
      <w:r w:rsidRPr="00D71008">
        <w:t>s CER, SJ AB</w:t>
      </w:r>
      <w:r w:rsidR="00CC759A">
        <w:t>,</w:t>
      </w:r>
      <w:r w:rsidRPr="00D71008">
        <w:t xml:space="preserve"> DB, and UITP</w:t>
      </w:r>
      <w:r w:rsidR="007458EA">
        <w:t>.</w:t>
      </w:r>
    </w:p>
  </w:footnote>
  <w:footnote w:id="170">
    <w:p w14:paraId="4FA879CF" w14:textId="1374686A" w:rsidR="00243683" w:rsidRPr="00D71008" w:rsidRDefault="00243683" w:rsidP="00243683">
      <w:pPr>
        <w:pStyle w:val="FootnoteText"/>
        <w:jc w:val="both"/>
      </w:pPr>
      <w:r w:rsidRPr="00D71008">
        <w:rPr>
          <w:rStyle w:val="FootnoteReference"/>
        </w:rPr>
        <w:footnoteRef/>
      </w:r>
      <w:r w:rsidRPr="00D71008">
        <w:t xml:space="preserve"> This included </w:t>
      </w:r>
      <w:r w:rsidR="00EC2AA3">
        <w:t>3</w:t>
      </w:r>
      <w:r w:rsidR="00EC2AA3" w:rsidRPr="00D71008">
        <w:t xml:space="preserve"> </w:t>
      </w:r>
      <w:r w:rsidRPr="00D71008">
        <w:t xml:space="preserve">MDMS providers/associations </w:t>
      </w:r>
      <w:r w:rsidR="00EC2AA3">
        <w:t>(</w:t>
      </w:r>
      <w:r w:rsidRPr="00D71008">
        <w:t xml:space="preserve">including </w:t>
      </w:r>
      <w:r w:rsidR="00EC2AA3">
        <w:t>1</w:t>
      </w:r>
      <w:r w:rsidR="00EC2AA3" w:rsidRPr="00D71008">
        <w:t xml:space="preserve"> </w:t>
      </w:r>
      <w:r w:rsidRPr="00D71008">
        <w:t xml:space="preserve">new content aggregator, 1CRS and ADN </w:t>
      </w:r>
      <w:r w:rsidRPr="009C2473">
        <w:t>Mobilités</w:t>
      </w:r>
      <w:r w:rsidR="00EC2AA3">
        <w:t>)</w:t>
      </w:r>
      <w:r w:rsidRPr="00D71008">
        <w:t>,</w:t>
      </w:r>
      <w:r w:rsidDel="00E41211">
        <w:t xml:space="preserve"> </w:t>
      </w:r>
      <w:r w:rsidR="00E41211">
        <w:t xml:space="preserve">3 </w:t>
      </w:r>
      <w:r>
        <w:t>RU</w:t>
      </w:r>
      <w:r w:rsidRPr="00D71008">
        <w:t xml:space="preserve">s </w:t>
      </w:r>
      <w:r w:rsidR="00E41211">
        <w:t>(</w:t>
      </w:r>
      <w:r w:rsidR="00AC22C9">
        <w:t>1</w:t>
      </w:r>
      <w:r w:rsidRPr="00D71008">
        <w:t xml:space="preserve"> incumbent</w:t>
      </w:r>
      <w:r w:rsidR="00E41211">
        <w:t>s</w:t>
      </w:r>
      <w:r w:rsidR="00AC22C9">
        <w:t xml:space="preserve"> and their industry association</w:t>
      </w:r>
      <w:r w:rsidRPr="00D71008">
        <w:t xml:space="preserve"> CER, and </w:t>
      </w:r>
      <w:r w:rsidR="00E41211">
        <w:t>1</w:t>
      </w:r>
      <w:r w:rsidR="00E41211" w:rsidRPr="00D71008">
        <w:t xml:space="preserve"> </w:t>
      </w:r>
      <w:r w:rsidRPr="00D71008">
        <w:t>new entrant</w:t>
      </w:r>
      <w:r w:rsidR="00E41211">
        <w:t>)</w:t>
      </w:r>
      <w:r w:rsidRPr="00D71008">
        <w:t>,</w:t>
      </w:r>
      <w:r w:rsidRPr="00D71008" w:rsidDel="00E41211">
        <w:t xml:space="preserve"> </w:t>
      </w:r>
      <w:r w:rsidR="00E41211">
        <w:t>2</w:t>
      </w:r>
      <w:r w:rsidR="00E41211" w:rsidRPr="00D71008">
        <w:t xml:space="preserve"> </w:t>
      </w:r>
      <w:r w:rsidRPr="00D71008">
        <w:t xml:space="preserve">national authorities, </w:t>
      </w:r>
      <w:r w:rsidR="00E41211">
        <w:t>2</w:t>
      </w:r>
      <w:r w:rsidRPr="00D71008">
        <w:t xml:space="preserve"> airlines/airline association, ECTAA and UITP</w:t>
      </w:r>
      <w:r w:rsidR="00E41211">
        <w:t>.</w:t>
      </w:r>
    </w:p>
  </w:footnote>
  <w:footnote w:id="171">
    <w:p w14:paraId="3B7EE260" w14:textId="7A36EFAA" w:rsidR="005257F9" w:rsidRPr="00D71008" w:rsidRDefault="005257F9">
      <w:pPr>
        <w:pStyle w:val="FootnoteText"/>
      </w:pPr>
      <w:r w:rsidRPr="00D71008">
        <w:rPr>
          <w:rStyle w:val="FootnoteReference"/>
        </w:rPr>
        <w:footnoteRef/>
      </w:r>
      <w:r w:rsidRPr="00D71008">
        <w:t xml:space="preserve"> Stated by CER</w:t>
      </w:r>
      <w:r w:rsidR="00E41211">
        <w:t>,</w:t>
      </w:r>
      <w:r w:rsidRPr="00D71008">
        <w:t xml:space="preserve"> </w:t>
      </w:r>
      <w:r w:rsidR="00ED63B4">
        <w:t>2</w:t>
      </w:r>
      <w:r w:rsidR="00ED63B4" w:rsidRPr="00D71008">
        <w:t xml:space="preserve"> </w:t>
      </w:r>
      <w:r w:rsidR="00223C69" w:rsidRPr="00D71008">
        <w:t xml:space="preserve">incumbents and ECTAA </w:t>
      </w:r>
      <w:r w:rsidRPr="00D71008">
        <w:t>during interviews</w:t>
      </w:r>
      <w:r w:rsidR="00ED63B4">
        <w:t>.</w:t>
      </w:r>
    </w:p>
  </w:footnote>
  <w:footnote w:id="172">
    <w:p w14:paraId="0BB6980D" w14:textId="3F66018C" w:rsidR="00DF17D0" w:rsidRPr="00D71008" w:rsidRDefault="00DF17D0" w:rsidP="00DF17D0">
      <w:r w:rsidRPr="00D71008">
        <w:rPr>
          <w:rStyle w:val="FootnoteReference"/>
          <w:sz w:val="20"/>
          <w:szCs w:val="20"/>
        </w:rPr>
        <w:footnoteRef/>
      </w:r>
      <w:r w:rsidRPr="00D71008">
        <w:t xml:space="preserve"> </w:t>
      </w:r>
      <w:r w:rsidRPr="00D71008">
        <w:rPr>
          <w:sz w:val="20"/>
          <w:szCs w:val="20"/>
        </w:rPr>
        <w:t>10 ’very’ and 12 ’somewhat effective</w:t>
      </w:r>
      <w:r w:rsidR="00380D65">
        <w:rPr>
          <w:sz w:val="20"/>
          <w:szCs w:val="20"/>
        </w:rPr>
        <w:t>’</w:t>
      </w:r>
      <w:r w:rsidR="002220C9">
        <w:rPr>
          <w:sz w:val="20"/>
          <w:szCs w:val="20"/>
        </w:rPr>
        <w:t>.</w:t>
      </w:r>
    </w:p>
  </w:footnote>
  <w:footnote w:id="173">
    <w:p w14:paraId="76F3DB33" w14:textId="53F41912" w:rsidR="00DF17D0" w:rsidRPr="00D71008" w:rsidRDefault="00DF17D0" w:rsidP="00DF17D0">
      <w:r w:rsidRPr="00D71008">
        <w:rPr>
          <w:rStyle w:val="FootnoteReference"/>
          <w:sz w:val="20"/>
          <w:szCs w:val="20"/>
        </w:rPr>
        <w:footnoteRef/>
      </w:r>
      <w:r w:rsidRPr="00D71008">
        <w:t xml:space="preserve"> </w:t>
      </w:r>
      <w:r w:rsidRPr="00D71008">
        <w:rPr>
          <w:sz w:val="20"/>
          <w:szCs w:val="20"/>
        </w:rPr>
        <w:t>19 ’very’ and 1 ’somewhat’ ineffective</w:t>
      </w:r>
      <w:r w:rsidR="00380D65">
        <w:rPr>
          <w:sz w:val="20"/>
          <w:szCs w:val="20"/>
        </w:rPr>
        <w:t>’</w:t>
      </w:r>
      <w:r w:rsidR="002220C9">
        <w:rPr>
          <w:sz w:val="20"/>
          <w:szCs w:val="20"/>
        </w:rPr>
        <w:t>.</w:t>
      </w:r>
    </w:p>
  </w:footnote>
  <w:footnote w:id="174">
    <w:p w14:paraId="042D2160" w14:textId="5B1612A7" w:rsidR="00DF17D0" w:rsidRPr="00D71008" w:rsidRDefault="00DF17D0" w:rsidP="00DF17D0">
      <w:r w:rsidRPr="00D71008">
        <w:rPr>
          <w:rStyle w:val="FootnoteReference"/>
          <w:sz w:val="20"/>
          <w:szCs w:val="20"/>
        </w:rPr>
        <w:footnoteRef/>
      </w:r>
      <w:r w:rsidRPr="00D71008">
        <w:t xml:space="preserve"> </w:t>
      </w:r>
      <w:r w:rsidRPr="00D71008">
        <w:rPr>
          <w:sz w:val="20"/>
          <w:szCs w:val="20"/>
        </w:rPr>
        <w:t>17 neutral and 9 did not know</w:t>
      </w:r>
      <w:r w:rsidR="002220C9">
        <w:rPr>
          <w:sz w:val="20"/>
          <w:szCs w:val="20"/>
        </w:rPr>
        <w:t>.</w:t>
      </w:r>
    </w:p>
  </w:footnote>
  <w:footnote w:id="175">
    <w:p w14:paraId="53CB1CFB" w14:textId="0A95EB76" w:rsidR="006557F8" w:rsidRPr="00D71008" w:rsidRDefault="006557F8" w:rsidP="006557F8">
      <w:r w:rsidRPr="00D71008">
        <w:rPr>
          <w:rStyle w:val="FootnoteReference"/>
          <w:sz w:val="20"/>
          <w:szCs w:val="20"/>
        </w:rPr>
        <w:footnoteRef/>
      </w:r>
      <w:r w:rsidRPr="00D71008">
        <w:t xml:space="preserve"> </w:t>
      </w:r>
      <w:r w:rsidRPr="00D71008">
        <w:rPr>
          <w:sz w:val="20"/>
          <w:szCs w:val="20"/>
        </w:rPr>
        <w:t>7 neutral and 3 did not know</w:t>
      </w:r>
      <w:r w:rsidR="002220C9">
        <w:rPr>
          <w:sz w:val="20"/>
          <w:szCs w:val="20"/>
        </w:rPr>
        <w:t>.</w:t>
      </w:r>
    </w:p>
  </w:footnote>
  <w:footnote w:id="176">
    <w:p w14:paraId="3223AC64" w14:textId="24F8D424" w:rsidR="006557F8" w:rsidRPr="00D71008" w:rsidRDefault="006557F8" w:rsidP="006557F8">
      <w:pPr>
        <w:rPr>
          <w:sz w:val="20"/>
          <w:szCs w:val="20"/>
        </w:rPr>
      </w:pPr>
      <w:r w:rsidRPr="00D71008">
        <w:rPr>
          <w:rStyle w:val="FootnoteReference"/>
          <w:sz w:val="20"/>
          <w:szCs w:val="20"/>
        </w:rPr>
        <w:footnoteRef/>
      </w:r>
      <w:r w:rsidRPr="00D71008">
        <w:t xml:space="preserve"> </w:t>
      </w:r>
      <w:r w:rsidRPr="00D71008">
        <w:rPr>
          <w:sz w:val="20"/>
          <w:szCs w:val="20"/>
        </w:rPr>
        <w:t>2 ’very’ and 2 ’somewhat ineffective</w:t>
      </w:r>
      <w:r>
        <w:rPr>
          <w:sz w:val="20"/>
          <w:szCs w:val="20"/>
        </w:rPr>
        <w:t>’</w:t>
      </w:r>
      <w:r w:rsidR="00380D65">
        <w:rPr>
          <w:sz w:val="20"/>
          <w:szCs w:val="20"/>
        </w:rPr>
        <w:t>.</w:t>
      </w:r>
    </w:p>
  </w:footnote>
  <w:footnote w:id="177">
    <w:p w14:paraId="167E633D" w14:textId="77777777" w:rsidR="00C0044D" w:rsidRPr="00D71008" w:rsidRDefault="00C0044D" w:rsidP="00C0044D">
      <w:pPr>
        <w:pStyle w:val="FootnoteText"/>
      </w:pPr>
      <w:r w:rsidRPr="00D71008">
        <w:rPr>
          <w:rStyle w:val="FootnoteReference"/>
          <w:rFonts w:eastAsiaTheme="majorEastAsia"/>
        </w:rPr>
        <w:footnoteRef/>
      </w:r>
      <w:r w:rsidRPr="00D71008">
        <w:t xml:space="preserve"> </w:t>
      </w:r>
      <w:hyperlink r:id="rId16" w:history="1">
        <w:r w:rsidRPr="005A0993">
          <w:rPr>
            <w:rStyle w:val="Hyperlink"/>
          </w:rPr>
          <w:t>Flash Eurobarometer 551</w:t>
        </w:r>
      </w:hyperlink>
      <w:r w:rsidRPr="008B6316">
        <w:t xml:space="preserve"> - Multimodal Digital Mobility Service – August – September 2024</w:t>
      </w:r>
    </w:p>
  </w:footnote>
  <w:footnote w:id="178">
    <w:p w14:paraId="09B1DD53" w14:textId="3A0CF2AD" w:rsidR="00C0044D" w:rsidRPr="005A1F36" w:rsidRDefault="00C0044D" w:rsidP="00C0044D">
      <w:pPr>
        <w:pStyle w:val="FootnoteText"/>
      </w:pPr>
      <w:r w:rsidRPr="005A1F36">
        <w:rPr>
          <w:rStyle w:val="FootnoteReference"/>
          <w:rFonts w:eastAsiaTheme="majorEastAsia"/>
        </w:rPr>
        <w:footnoteRef/>
      </w:r>
      <w:r w:rsidRPr="005A1F36">
        <w:t xml:space="preserve"> Ricardo</w:t>
      </w:r>
      <w:r w:rsidRPr="005A1F36">
        <w:rPr>
          <w:spacing w:val="-1"/>
        </w:rPr>
        <w:t xml:space="preserve"> </w:t>
      </w:r>
      <w:r w:rsidRPr="005A1F36">
        <w:t>et</w:t>
      </w:r>
      <w:r w:rsidRPr="005A1F36">
        <w:rPr>
          <w:spacing w:val="-2"/>
        </w:rPr>
        <w:t xml:space="preserve"> </w:t>
      </w:r>
      <w:r w:rsidRPr="005A1F36">
        <w:t>al.</w:t>
      </w:r>
      <w:r w:rsidRPr="005A1F36">
        <w:rPr>
          <w:spacing w:val="-2"/>
        </w:rPr>
        <w:t xml:space="preserve"> </w:t>
      </w:r>
      <w:r w:rsidRPr="005A1F36">
        <w:t>(2026),</w:t>
      </w:r>
      <w:r w:rsidRPr="005A1F36">
        <w:rPr>
          <w:spacing w:val="-2"/>
        </w:rPr>
        <w:t xml:space="preserve"> </w:t>
      </w:r>
      <w:r w:rsidRPr="005A1F36">
        <w:t>Study</w:t>
      </w:r>
      <w:r w:rsidRPr="005A1F36">
        <w:rPr>
          <w:spacing w:val="-3"/>
        </w:rPr>
        <w:t xml:space="preserve"> </w:t>
      </w:r>
      <w:r w:rsidRPr="005A1F36">
        <w:t>supporting</w:t>
      </w:r>
      <w:r w:rsidRPr="005A1F36">
        <w:rPr>
          <w:spacing w:val="-1"/>
        </w:rPr>
        <w:t xml:space="preserve"> </w:t>
      </w:r>
      <w:r w:rsidRPr="005A1F36">
        <w:t xml:space="preserve">the </w:t>
      </w:r>
      <w:r w:rsidR="001329F3">
        <w:t>RMB</w:t>
      </w:r>
      <w:r w:rsidR="001329F3" w:rsidRPr="005A1F36">
        <w:t xml:space="preserve"> </w:t>
      </w:r>
      <w:r w:rsidRPr="005A1F36">
        <w:t xml:space="preserve">and </w:t>
      </w:r>
      <w:r w:rsidR="001329F3">
        <w:t>RTR</w:t>
      </w:r>
      <w:r w:rsidR="001329F3" w:rsidRPr="005A1F36">
        <w:t xml:space="preserve"> </w:t>
      </w:r>
      <w:r w:rsidRPr="005A1F36">
        <w:t>Impact assessment</w:t>
      </w:r>
    </w:p>
  </w:footnote>
  <w:footnote w:id="179">
    <w:p w14:paraId="07847B8B" w14:textId="77777777" w:rsidR="00C0044D" w:rsidRPr="00D71008" w:rsidRDefault="00C0044D" w:rsidP="000A2EE9">
      <w:pPr>
        <w:pStyle w:val="FootnoteText"/>
        <w:jc w:val="both"/>
      </w:pPr>
      <w:r w:rsidRPr="00D71008">
        <w:rPr>
          <w:rStyle w:val="FootnoteReference"/>
          <w:rFonts w:eastAsiaTheme="majorEastAsia"/>
        </w:rPr>
        <w:footnoteRef/>
      </w:r>
      <w:r w:rsidRPr="00D71008">
        <w:t xml:space="preserve"> For example, </w:t>
      </w:r>
      <w:hyperlink r:id="rId17" w:history="1">
        <w:r w:rsidRPr="00D71008">
          <w:rPr>
            <w:rStyle w:val="Hyperlink"/>
          </w:rPr>
          <w:t>Register of Commission Documents - SWD(2023)351</w:t>
        </w:r>
      </w:hyperlink>
      <w:r w:rsidRPr="00D71008">
        <w:t xml:space="preserve">; </w:t>
      </w:r>
      <w:hyperlink r:id="rId18" w:history="1">
        <w:r w:rsidRPr="00D71008">
          <w:rPr>
            <w:rStyle w:val="Hyperlink"/>
          </w:rPr>
          <w:t>Register of Commission Documents - SWD(2023)443</w:t>
        </w:r>
      </w:hyperlink>
      <w:r w:rsidRPr="00D71008">
        <w:t xml:space="preserve">; </w:t>
      </w:r>
      <w:hyperlink r:id="rId19" w:history="1">
        <w:r w:rsidRPr="00D71008">
          <w:rPr>
            <w:rStyle w:val="Hyperlink"/>
          </w:rPr>
          <w:t>Register of Commission Documents - SWD(2021)472</w:t>
        </w:r>
      </w:hyperlink>
      <w:r w:rsidRPr="00D71008">
        <w:t xml:space="preserve">; </w:t>
      </w:r>
      <w:hyperlink r:id="rId20" w:history="1">
        <w:r w:rsidRPr="00D71008">
          <w:rPr>
            <w:rStyle w:val="Hyperlink"/>
          </w:rPr>
          <w:t>Register of Commission Documents - SWD(2021)474</w:t>
        </w:r>
      </w:hyperlink>
    </w:p>
  </w:footnote>
  <w:footnote w:id="180">
    <w:p w14:paraId="0084346E" w14:textId="77777777" w:rsidR="00C0044D" w:rsidRPr="006E4CA9" w:rsidRDefault="00C0044D" w:rsidP="00C0044D">
      <w:pPr>
        <w:pStyle w:val="FootnoteText"/>
      </w:pPr>
      <w:r w:rsidRPr="006E4CA9">
        <w:rPr>
          <w:rStyle w:val="FootnoteReference"/>
        </w:rPr>
        <w:footnoteRef/>
      </w:r>
      <w:r w:rsidRPr="006E4CA9">
        <w:t xml:space="preserve"> </w:t>
      </w:r>
      <w:r w:rsidRPr="006E4CA9">
        <w:rPr>
          <w:spacing w:val="-8"/>
        </w:rPr>
        <w:t>To monetise the external costs savings, the unit values from the 2019 Handbook on the external costs of transport have been used (</w:t>
      </w:r>
      <w:hyperlink r:id="rId21" w:history="1">
        <w:r w:rsidRPr="006E4CA9">
          <w:rPr>
            <w:rStyle w:val="Hyperlink"/>
          </w:rPr>
          <w:t>Handbook on the external costs of transport - Publications Office of the EU</w:t>
        </w:r>
      </w:hyperlink>
      <w:r w:rsidRPr="006E4CA9">
        <w:t>)</w:t>
      </w:r>
      <w:r w:rsidRPr="006E4CA9">
        <w:rPr>
          <w:spacing w:val="-8"/>
        </w:rPr>
        <w:t>.</w:t>
      </w:r>
    </w:p>
  </w:footnote>
  <w:footnote w:id="181">
    <w:p w14:paraId="521528BE" w14:textId="1EE327A2" w:rsidR="00E75522" w:rsidRPr="005A1F36" w:rsidRDefault="00E75522" w:rsidP="001A7F18">
      <w:pPr>
        <w:pStyle w:val="FootnoteText"/>
        <w:jc w:val="both"/>
      </w:pPr>
      <w:r w:rsidRPr="005A1F36">
        <w:rPr>
          <w:rStyle w:val="FootnoteReference"/>
        </w:rPr>
        <w:footnoteRef/>
      </w:r>
      <w:r w:rsidRPr="005A1F36">
        <w:t xml:space="preserve"> Most B2B MDMS platforms operate EU-</w:t>
      </w:r>
      <w:r w:rsidR="00602AAB" w:rsidRPr="005A1F36">
        <w:t>wide,</w:t>
      </w:r>
      <w:r w:rsidRPr="005A1F36">
        <w:t xml:space="preserve"> and it is not possible to split the costs arising from obligations on these platforms by Member State. On the other hand, many B2C platforms are more localised and based on desk research in the context of the impact assessment support study it was possible to ascertain in which Member States they offer services. Thus, for policy measures that affect B2C platforms the associated costs are also provided by Member State, while for B2B platform</w:t>
      </w:r>
      <w:r w:rsidR="000527E2" w:rsidRPr="005A1F36">
        <w:t>s</w:t>
      </w:r>
      <w:r w:rsidRPr="005A1F36">
        <w:t xml:space="preserve"> costs are provided at EU-level only</w:t>
      </w:r>
      <w:r w:rsidR="005A1F36" w:rsidRPr="005A1F36">
        <w:t xml:space="preserve"> in Annex 4</w:t>
      </w:r>
      <w:r w:rsidRPr="005A1F36">
        <w:t>.</w:t>
      </w:r>
    </w:p>
  </w:footnote>
  <w:footnote w:id="182">
    <w:p w14:paraId="254A1076" w14:textId="77777777" w:rsidR="00F20208" w:rsidRPr="00117904" w:rsidRDefault="00F20208" w:rsidP="009D5FFE">
      <w:pPr>
        <w:pStyle w:val="FootnoteText"/>
        <w:jc w:val="both"/>
      </w:pPr>
      <w:r>
        <w:rPr>
          <w:rStyle w:val="FootnoteReference"/>
        </w:rPr>
        <w:footnoteRef/>
      </w:r>
      <w:r>
        <w:t xml:space="preserve"> </w:t>
      </w:r>
      <w:r w:rsidRPr="00F20208">
        <w:t xml:space="preserve">Drawing on stakeholder feedback, the one-off adjustment cost </w:t>
      </w:r>
      <w:r>
        <w:t>per</w:t>
      </w:r>
      <w:r w:rsidRPr="00F20208">
        <w:t xml:space="preserve"> B2C platform for setting up an API is estimated at EUR 117,719 in 2024 prices</w:t>
      </w:r>
      <w:r>
        <w:t xml:space="preserve">. </w:t>
      </w:r>
      <w:r w:rsidR="00630F92" w:rsidRPr="00630F92">
        <w:t>The maintenance of the API is estimated at 10% of the initial setup cost (i.e. EUR 11,772)</w:t>
      </w:r>
      <w:r w:rsidR="00630F92">
        <w:t>.</w:t>
      </w:r>
    </w:p>
  </w:footnote>
  <w:footnote w:id="183">
    <w:p w14:paraId="2BEE8834" w14:textId="7483CACA" w:rsidR="00A370B8" w:rsidRPr="00817D72" w:rsidRDefault="00276FE3" w:rsidP="00F80991">
      <w:pPr>
        <w:pStyle w:val="FootnoteText"/>
        <w:jc w:val="both"/>
      </w:pPr>
      <w:r>
        <w:rPr>
          <w:rStyle w:val="FootnoteReference"/>
        </w:rPr>
        <w:footnoteRef/>
      </w:r>
      <w:r>
        <w:t xml:space="preserve"> </w:t>
      </w:r>
      <w:r w:rsidRPr="00276FE3">
        <w:t>In PM1 the one-off cost per MDMS platform (excluding CRS) is estimated at EUR 23,125 and the one-off cost per CRS at EUR 7,708. Part of PM1 requirements is already met in the baseline by CRSs. In PM8 the one-off cost is the same for CRSs and other MDMS platforms (EUR 23,125). The maintenance cost per platform is estimated at 10% of the one-off cost.</w:t>
      </w:r>
    </w:p>
  </w:footnote>
  <w:footnote w:id="184">
    <w:p w14:paraId="721A3BB9" w14:textId="64346472" w:rsidR="00074D1D" w:rsidRPr="00074D1D" w:rsidRDefault="00074D1D">
      <w:pPr>
        <w:pStyle w:val="FootnoteText"/>
      </w:pPr>
      <w:r>
        <w:rPr>
          <w:rStyle w:val="FootnoteReference"/>
        </w:rPr>
        <w:footnoteRef/>
      </w:r>
      <w:r>
        <w:t xml:space="preserve"> </w:t>
      </w:r>
      <w:r w:rsidRPr="00074D1D">
        <w:t>The one-off cost per new agreement negotiated by indispensable RU platforms is estimated at EUR 29,772.</w:t>
      </w:r>
    </w:p>
  </w:footnote>
  <w:footnote w:id="185">
    <w:p w14:paraId="1746F077" w14:textId="42630B0B" w:rsidR="003A40BD" w:rsidRPr="003A40BD" w:rsidRDefault="003A40BD">
      <w:pPr>
        <w:pStyle w:val="FootnoteText"/>
      </w:pPr>
      <w:r>
        <w:rPr>
          <w:rStyle w:val="FootnoteReference"/>
        </w:rPr>
        <w:footnoteRef/>
      </w:r>
      <w:r>
        <w:t xml:space="preserve"> </w:t>
      </w:r>
      <w:r w:rsidR="003D0035" w:rsidRPr="003D0035">
        <w:t>SWD(2020) 363 fina</w:t>
      </w:r>
      <w:r w:rsidR="003D0035">
        <w:t>l</w:t>
      </w:r>
      <w:r w:rsidR="009415D9">
        <w:t>. T</w:t>
      </w:r>
      <w:r w:rsidR="009415D9" w:rsidRPr="002A23AD">
        <w:t>he Digital Market Act assumed 20 FTEs per ‘Gatekeeper’ for submission of relevant data to authorities. In this case, the entities are much smaller than those regulated under the DMA (Apple, Google, etc.) and the process is expected to be much lighter (platforms only need to notify that they have reached a threshold).</w:t>
      </w:r>
    </w:p>
  </w:footnote>
  <w:footnote w:id="186">
    <w:p w14:paraId="3277EF18" w14:textId="432368B2" w:rsidR="0074793C" w:rsidRPr="00117904" w:rsidRDefault="0074793C" w:rsidP="009217D4">
      <w:pPr>
        <w:pStyle w:val="FootnoteText"/>
        <w:jc w:val="both"/>
      </w:pPr>
      <w:r>
        <w:rPr>
          <w:rStyle w:val="FootnoteReference"/>
        </w:rPr>
        <w:footnoteRef/>
      </w:r>
      <w:r>
        <w:t xml:space="preserve"> The </w:t>
      </w:r>
      <w:r w:rsidRPr="0074793C">
        <w:t>cost saving per new agreement</w:t>
      </w:r>
      <w:r>
        <w:t xml:space="preserve"> </w:t>
      </w:r>
      <w:r w:rsidR="00191602">
        <w:t>is</w:t>
      </w:r>
      <w:r>
        <w:t xml:space="preserve"> assumed at</w:t>
      </w:r>
      <w:r w:rsidRPr="0074793C">
        <w:t xml:space="preserve"> EUR 2,000 and</w:t>
      </w:r>
      <w:r>
        <w:t xml:space="preserve"> per </w:t>
      </w:r>
      <w:r w:rsidR="00DC6960">
        <w:t>renegotiated</w:t>
      </w:r>
      <w:r>
        <w:t xml:space="preserve"> agreement</w:t>
      </w:r>
      <w:r w:rsidRPr="0074793C">
        <w:t xml:space="preserve"> </w:t>
      </w:r>
      <w:r>
        <w:t xml:space="preserve">at </w:t>
      </w:r>
      <w:r w:rsidRPr="0074793C">
        <w:t>EUR 1,183</w:t>
      </w:r>
      <w:r w:rsidR="0051189E">
        <w:t>,</w:t>
      </w:r>
      <w:r w:rsidRPr="0074793C">
        <w:t xml:space="preserve"> </w:t>
      </w:r>
      <w:r w:rsidR="00191602">
        <w:t xml:space="preserve">based on </w:t>
      </w:r>
      <w:r w:rsidR="0051189E">
        <w:t xml:space="preserve">input from </w:t>
      </w:r>
      <w:r w:rsidR="0063528E">
        <w:t xml:space="preserve">stakeholders. </w:t>
      </w:r>
    </w:p>
  </w:footnote>
  <w:footnote w:id="187">
    <w:p w14:paraId="7BA70FAC" w14:textId="170D9FB3" w:rsidR="00EA4FEB" w:rsidRPr="00EA4FEB" w:rsidRDefault="00EA4FEB" w:rsidP="009217D4">
      <w:pPr>
        <w:pStyle w:val="FootnoteText"/>
        <w:jc w:val="both"/>
      </w:pPr>
      <w:r>
        <w:rPr>
          <w:rStyle w:val="FootnoteReference"/>
        </w:rPr>
        <w:footnoteRef/>
      </w:r>
      <w:r>
        <w:t xml:space="preserve"> </w:t>
      </w:r>
      <w:r w:rsidRPr="00EA4FEB">
        <w:t>The one-off adjustment costs for indispensable RUs due to PM13 cover two elements: (i) the cost of negotiating the agreement; and (ii) the cost of facilitating data exchange for distribution.</w:t>
      </w:r>
      <w:r w:rsidR="00D6257F">
        <w:t xml:space="preserve"> </w:t>
      </w:r>
      <w:r w:rsidR="00D6257F" w:rsidRPr="00D6257F">
        <w:t>These two elements translate into a one-off cost of onboarding a new third-party platform estimated at EUR 29,772</w:t>
      </w:r>
      <w:r w:rsidR="00887371">
        <w:t xml:space="preserve"> per agreement</w:t>
      </w:r>
      <w:r w:rsidR="00D6257F" w:rsidRPr="00D6257F">
        <w:t>.</w:t>
      </w:r>
    </w:p>
  </w:footnote>
  <w:footnote w:id="188">
    <w:p w14:paraId="21AD1211" w14:textId="57E03678" w:rsidR="004A6F1F" w:rsidRPr="004A6F1F" w:rsidRDefault="004A6F1F" w:rsidP="00EC2A64">
      <w:pPr>
        <w:pStyle w:val="FootnoteText"/>
        <w:jc w:val="both"/>
      </w:pPr>
      <w:r>
        <w:rPr>
          <w:rStyle w:val="FootnoteReference"/>
        </w:rPr>
        <w:footnoteRef/>
      </w:r>
      <w:r>
        <w:t xml:space="preserve"> </w:t>
      </w:r>
      <w:r w:rsidRPr="004A6F1F">
        <w:t>It is assumed that 2 hours are needed per RU with SMP for this task. The cost per RU is estimated at EUR 71.4, considering the hourly rates for the ISCO3 category (technicians and associate professionals) from the ‘Eurostat Structure of earnings survey. The total one-off administrative costs at EU level are estimated at EUR 1,356 in 2028 taking into account the 19 RUs in scope of PM10.</w:t>
      </w:r>
    </w:p>
  </w:footnote>
  <w:footnote w:id="189">
    <w:p w14:paraId="0FEDF675" w14:textId="77777777" w:rsidR="00463411" w:rsidRPr="00117904" w:rsidRDefault="00463411" w:rsidP="00463411">
      <w:pPr>
        <w:pStyle w:val="FootnoteText"/>
        <w:jc w:val="both"/>
      </w:pPr>
      <w:r>
        <w:rPr>
          <w:rStyle w:val="FootnoteReference"/>
        </w:rPr>
        <w:footnoteRef/>
      </w:r>
      <w:r>
        <w:t xml:space="preserve"> The </w:t>
      </w:r>
      <w:r w:rsidRPr="0074793C">
        <w:t>cost saving per new agreement</w:t>
      </w:r>
      <w:r>
        <w:t xml:space="preserve"> is assumed at</w:t>
      </w:r>
      <w:r w:rsidRPr="0074793C">
        <w:t xml:space="preserve"> EUR 2,000 and</w:t>
      </w:r>
      <w:r>
        <w:t xml:space="preserve"> per renegotiated agreement</w:t>
      </w:r>
      <w:r w:rsidRPr="0074793C">
        <w:t xml:space="preserve"> </w:t>
      </w:r>
      <w:r>
        <w:t xml:space="preserve">at </w:t>
      </w:r>
      <w:r w:rsidRPr="0074793C">
        <w:t>EUR 1,183</w:t>
      </w:r>
      <w:r>
        <w:t>,</w:t>
      </w:r>
      <w:r w:rsidRPr="0074793C">
        <w:t xml:space="preserve"> </w:t>
      </w:r>
      <w:r>
        <w:t xml:space="preserve">based on input from stakeholders. </w:t>
      </w:r>
    </w:p>
  </w:footnote>
  <w:footnote w:id="190">
    <w:p w14:paraId="59D5AD69" w14:textId="343C8994" w:rsidR="00AA68EB" w:rsidRPr="00AA68EB" w:rsidRDefault="00AA68EB" w:rsidP="00DD646C">
      <w:pPr>
        <w:pStyle w:val="FootnoteText"/>
        <w:jc w:val="both"/>
      </w:pPr>
      <w:r>
        <w:rPr>
          <w:rStyle w:val="FootnoteReference"/>
        </w:rPr>
        <w:footnoteRef/>
      </w:r>
      <w:r>
        <w:t xml:space="preserve"> </w:t>
      </w:r>
      <w:r w:rsidRPr="00AA68EB">
        <w:t xml:space="preserve">Based on stakeholder feedback </w:t>
      </w:r>
      <w:r>
        <w:t>this is expected to</w:t>
      </w:r>
      <w:r w:rsidRPr="00AA68EB">
        <w:t xml:space="preserve"> require</w:t>
      </w:r>
      <w:r w:rsidR="00E10335">
        <w:t xml:space="preserve"> maximum</w:t>
      </w:r>
      <w:r w:rsidRPr="00AA68EB">
        <w:t xml:space="preserve"> 4 </w:t>
      </w:r>
      <w:r>
        <w:t>full time equivalents (</w:t>
      </w:r>
      <w:r w:rsidRPr="00AA68EB">
        <w:t>FTEs</w:t>
      </w:r>
      <w:r>
        <w:t>)</w:t>
      </w:r>
      <w:r w:rsidRPr="00AA68EB">
        <w:t xml:space="preserve"> </w:t>
      </w:r>
      <w:r w:rsidR="00632918">
        <w:t>per</w:t>
      </w:r>
      <w:r w:rsidRPr="00AA68EB">
        <w:t xml:space="preserve"> Member State</w:t>
      </w:r>
      <w:r>
        <w:t>.</w:t>
      </w:r>
      <w:r w:rsidR="00964D15">
        <w:t xml:space="preserve"> </w:t>
      </w:r>
      <w:r w:rsidR="00964D15" w:rsidRPr="00964D15">
        <w:t>For monetising the labour costs, the hourly rates for the ISCO3 category (technicians and associate professionals) from the ‘Eurostat Structure of earnings survey, Labour Force Survey data’ have been used. In addition, the number of working hours per day is assumed at 7.2 hours, and the number of working days per year at 220.</w:t>
      </w:r>
    </w:p>
  </w:footnote>
  <w:footnote w:id="191">
    <w:p w14:paraId="2821A763" w14:textId="710800EC" w:rsidR="00C94B57" w:rsidRPr="00C94B57" w:rsidRDefault="00C94B57" w:rsidP="008069E5">
      <w:pPr>
        <w:pStyle w:val="FootnoteText"/>
        <w:jc w:val="both"/>
      </w:pPr>
      <w:r>
        <w:rPr>
          <w:rStyle w:val="FootnoteReference"/>
        </w:rPr>
        <w:footnoteRef/>
      </w:r>
      <w:r>
        <w:t xml:space="preserve"> </w:t>
      </w:r>
      <w:r w:rsidRPr="00C94B57">
        <w:t>One full time equivalent (FTE) is assumed to be needed per national authority, with recurrent administrative costs estimated at EUR 56,527 per national authority. 27 national authorities are considered for calculating the total recurrent costs.</w:t>
      </w:r>
    </w:p>
  </w:footnote>
  <w:footnote w:id="192">
    <w:p w14:paraId="353250B5" w14:textId="2A1E6ABA" w:rsidR="00FB586C" w:rsidRPr="00FB586C" w:rsidRDefault="00FB586C">
      <w:pPr>
        <w:pStyle w:val="FootnoteText"/>
      </w:pPr>
      <w:r>
        <w:rPr>
          <w:rStyle w:val="FootnoteReference"/>
        </w:rPr>
        <w:footnoteRef/>
      </w:r>
      <w:r w:rsidRPr="00FB586C" w:rsidDel="00B341A7">
        <w:t xml:space="preserve"> </w:t>
      </w:r>
      <w:r w:rsidRPr="00FB586C">
        <w:t>The one-off administrative costs per Member State are estimated at EUR 113,053</w:t>
      </w:r>
      <w:r w:rsidR="0060795F">
        <w:t>.</w:t>
      </w:r>
    </w:p>
  </w:footnote>
  <w:footnote w:id="193">
    <w:p w14:paraId="79EE6360" w14:textId="1BB260E8" w:rsidR="00B9600D" w:rsidRPr="00B9600D" w:rsidRDefault="00B9600D" w:rsidP="00BB03B1">
      <w:pPr>
        <w:pStyle w:val="FootnoteText"/>
        <w:jc w:val="both"/>
      </w:pPr>
      <w:r>
        <w:rPr>
          <w:rStyle w:val="FootnoteReference"/>
        </w:rPr>
        <w:footnoteRef/>
      </w:r>
      <w:r>
        <w:t xml:space="preserve"> </w:t>
      </w:r>
      <w:r w:rsidRPr="00B9600D">
        <w:t xml:space="preserve">This is assumed to require 2 </w:t>
      </w:r>
      <w:r>
        <w:t>full time equivalents</w:t>
      </w:r>
      <w:r w:rsidR="00914407">
        <w:t xml:space="preserve"> (FTE)</w:t>
      </w:r>
      <w:r w:rsidRPr="00B9600D">
        <w:t xml:space="preserve"> per year from 2028 onwards. The cost per FTE was assumed at EUR 118,326 at AD5 level, including overheads.</w:t>
      </w:r>
    </w:p>
  </w:footnote>
  <w:footnote w:id="194">
    <w:p w14:paraId="7CF36385" w14:textId="3EB05F86" w:rsidR="00FE20D8" w:rsidRPr="00FE20D8" w:rsidRDefault="00FE20D8" w:rsidP="00BB03B1">
      <w:pPr>
        <w:pStyle w:val="FootnoteText"/>
        <w:jc w:val="both"/>
      </w:pPr>
      <w:r>
        <w:rPr>
          <w:rStyle w:val="FootnoteReference"/>
        </w:rPr>
        <w:footnoteRef/>
      </w:r>
      <w:r>
        <w:t xml:space="preserve"> </w:t>
      </w:r>
      <w:r w:rsidRPr="00FE20D8">
        <w:t>The European Commission is assumed to organise one meeting of the EU‑wide enforcement network per year from 2028 onwards, to exchange best practices. The average cost for a two-day in-person meeting hosted by EC, where participants are reimbursed by the EC, is around EUR 30,000.</w:t>
      </w:r>
      <w:r w:rsidR="00790223">
        <w:t xml:space="preserve"> In addition, each two years from 2030 onwards, a Eurobarometer survey is assumed to be conducted. The costs for the Eurobarometer survey, are assumed at EUR 100,000 per year based on the costs of the Eurobarometer survey conducted in 2024.</w:t>
      </w:r>
    </w:p>
  </w:footnote>
  <w:footnote w:id="195">
    <w:p w14:paraId="040F01FD" w14:textId="77777777" w:rsidR="00820F2A" w:rsidRPr="00117904" w:rsidRDefault="00820F2A" w:rsidP="00820F2A">
      <w:pPr>
        <w:pStyle w:val="FootnoteText"/>
        <w:jc w:val="both"/>
      </w:pPr>
      <w:r>
        <w:rPr>
          <w:rStyle w:val="FootnoteReference"/>
        </w:rPr>
        <w:footnoteRef/>
      </w:r>
      <w:r>
        <w:t xml:space="preserve"> The </w:t>
      </w:r>
      <w:r w:rsidRPr="0074793C">
        <w:t>cost saving per new agreement</w:t>
      </w:r>
      <w:r>
        <w:t xml:space="preserve"> is assumed at</w:t>
      </w:r>
      <w:r w:rsidRPr="0074793C">
        <w:t xml:space="preserve"> EUR 2,000 and</w:t>
      </w:r>
      <w:r>
        <w:t xml:space="preserve"> per renegotiated agreement</w:t>
      </w:r>
      <w:r w:rsidRPr="0074793C">
        <w:t xml:space="preserve"> </w:t>
      </w:r>
      <w:r>
        <w:t xml:space="preserve">at </w:t>
      </w:r>
      <w:r w:rsidRPr="0074793C">
        <w:t>EUR 1,183</w:t>
      </w:r>
      <w:r>
        <w:t>,</w:t>
      </w:r>
      <w:r w:rsidRPr="0074793C">
        <w:t xml:space="preserve"> </w:t>
      </w:r>
      <w:r>
        <w:t xml:space="preserve">based on input from stakeholders. </w:t>
      </w:r>
    </w:p>
  </w:footnote>
  <w:footnote w:id="196">
    <w:p w14:paraId="717CDB41" w14:textId="5EFFFF50" w:rsidR="00511035" w:rsidRPr="00511035" w:rsidRDefault="00511035">
      <w:pPr>
        <w:pStyle w:val="FootnoteText"/>
      </w:pPr>
      <w:r>
        <w:rPr>
          <w:rStyle w:val="FootnoteReference"/>
        </w:rPr>
        <w:footnoteRef/>
      </w:r>
      <w:r>
        <w:t xml:space="preserve"> </w:t>
      </w:r>
      <w:r w:rsidR="00370388">
        <w:t xml:space="preserve">Independent platforms </w:t>
      </w:r>
      <w:r w:rsidR="00470D08">
        <w:t>might be</w:t>
      </w:r>
      <w:r w:rsidR="00370388">
        <w:t xml:space="preserve"> the only</w:t>
      </w:r>
      <w:r>
        <w:t xml:space="preserve"> </w:t>
      </w:r>
      <w:r w:rsidR="001578E3">
        <w:t>available sale channel for</w:t>
      </w:r>
      <w:r w:rsidR="00F54FEC">
        <w:t xml:space="preserve"> new entrant rail operators, since, a</w:t>
      </w:r>
      <w:r w:rsidR="00643456">
        <w:t>s already indicated</w:t>
      </w:r>
      <w:r w:rsidR="00370388">
        <w:t xml:space="preserve">, </w:t>
      </w:r>
      <w:r w:rsidR="00E5035B">
        <w:t xml:space="preserve">many </w:t>
      </w:r>
      <w:r w:rsidR="00643456">
        <w:t>in</w:t>
      </w:r>
      <w:r w:rsidR="00352A13">
        <w:t xml:space="preserve">dispensable RU platforms </w:t>
      </w:r>
      <w:r w:rsidR="00CB672B">
        <w:t>are</w:t>
      </w:r>
      <w:r w:rsidR="00352A13">
        <w:t xml:space="preserve"> not </w:t>
      </w:r>
      <w:r w:rsidR="00CB672B">
        <w:t xml:space="preserve">willing </w:t>
      </w:r>
      <w:r w:rsidR="00F54FEC">
        <w:t xml:space="preserve">to </w:t>
      </w:r>
      <w:r w:rsidR="00857CD5">
        <w:t>sell tickets of new entrant</w:t>
      </w:r>
      <w:r w:rsidR="00F54FEC">
        <w:t>s.</w:t>
      </w:r>
    </w:p>
  </w:footnote>
  <w:footnote w:id="197">
    <w:p w14:paraId="16096EAD" w14:textId="0C4E98B3" w:rsidR="001C5034" w:rsidRPr="001C5034" w:rsidRDefault="001C5034">
      <w:pPr>
        <w:pStyle w:val="FootnoteText"/>
      </w:pPr>
      <w:r>
        <w:rPr>
          <w:rStyle w:val="FootnoteReference"/>
        </w:rPr>
        <w:footnoteRef/>
      </w:r>
      <w:r>
        <w:t xml:space="preserve"> </w:t>
      </w:r>
      <w:r w:rsidRPr="00A86480">
        <w:t>The</w:t>
      </w:r>
      <w:r w:rsidRPr="00A86480" w:rsidDel="00641798">
        <w:t xml:space="preserve"> </w:t>
      </w:r>
      <w:r w:rsidRPr="00A86480">
        <w:t>2019 Handbook on external costs of transport (</w:t>
      </w:r>
      <w:hyperlink r:id="rId22" w:history="1">
        <w:r w:rsidRPr="00691908">
          <w:rPr>
            <w:rStyle w:val="Hyperlink"/>
          </w:rPr>
          <w:t>Handbook on the external costs of transport - Publications Office of the EU (europa.eu)</w:t>
        </w:r>
      </w:hyperlink>
      <w:r w:rsidRPr="00691908">
        <w:t>)</w:t>
      </w:r>
      <w:r w:rsidR="00641798">
        <w:t xml:space="preserve"> has been used</w:t>
      </w:r>
      <w:r w:rsidRPr="00A86480">
        <w:t xml:space="preserve"> to monetise the external costs</w:t>
      </w:r>
      <w:r w:rsidR="00662DB1">
        <w:t xml:space="preserve"> savings</w:t>
      </w:r>
      <w:r w:rsidRPr="00A86480">
        <w:t>.</w:t>
      </w:r>
    </w:p>
  </w:footnote>
  <w:footnote w:id="198">
    <w:p w14:paraId="449E2D88" w14:textId="2425AFD7" w:rsidR="0037797D" w:rsidRPr="0037797D" w:rsidRDefault="0037797D">
      <w:pPr>
        <w:pStyle w:val="FootnoteText"/>
      </w:pPr>
      <w:r>
        <w:rPr>
          <w:rStyle w:val="FootnoteReference"/>
        </w:rPr>
        <w:footnoteRef/>
      </w:r>
      <w:r>
        <w:t xml:space="preserve"> </w:t>
      </w:r>
      <w:r w:rsidR="006326A1" w:rsidRPr="00117904">
        <w:t xml:space="preserve">Draghi, Mario - </w:t>
      </w:r>
      <w:r w:rsidR="006326A1" w:rsidRPr="00117904">
        <w:rPr>
          <w:i/>
        </w:rPr>
        <w:t>The Future of European Competitiveness: In-Depth Analysis and Recommendations.</w:t>
      </w:r>
      <w:r w:rsidR="006326A1" w:rsidRPr="00117904">
        <w:t xml:space="preserve"> 2024, p. 213</w:t>
      </w:r>
    </w:p>
  </w:footnote>
  <w:footnote w:id="199">
    <w:p w14:paraId="243AB969" w14:textId="5BEA5278" w:rsidR="00B824F9" w:rsidRPr="00B824F9" w:rsidRDefault="00B824F9">
      <w:pPr>
        <w:pStyle w:val="FootnoteText"/>
      </w:pPr>
      <w:r>
        <w:rPr>
          <w:rStyle w:val="FootnoteReference"/>
        </w:rPr>
        <w:footnoteRef/>
      </w:r>
      <w:r>
        <w:t xml:space="preserve"> </w:t>
      </w:r>
      <w:r w:rsidR="000D56F2" w:rsidRPr="00117904">
        <w:t xml:space="preserve">Letta, Enrico. </w:t>
      </w:r>
      <w:r w:rsidR="000D56F2" w:rsidRPr="00117904">
        <w:rPr>
          <w:i/>
        </w:rPr>
        <w:t>Much More Than a Market</w:t>
      </w:r>
      <w:r w:rsidR="000D56F2" w:rsidRPr="00117904">
        <w:t>. Council of the European Union, 2024, p. 85</w:t>
      </w:r>
    </w:p>
  </w:footnote>
  <w:footnote w:id="200">
    <w:p w14:paraId="3610F443" w14:textId="1A04865A" w:rsidR="007A4FE6" w:rsidRPr="007A4FE6" w:rsidRDefault="007A4FE6">
      <w:pPr>
        <w:pStyle w:val="FootnoteText"/>
      </w:pPr>
      <w:r>
        <w:rPr>
          <w:rStyle w:val="FootnoteReference"/>
        </w:rPr>
        <w:footnoteRef/>
      </w:r>
      <w:r>
        <w:t xml:space="preserve"> </w:t>
      </w:r>
      <w:r w:rsidR="007A41D4" w:rsidRPr="004E336D">
        <w:t>OJ L 2023/2854, 22.12.2023</w:t>
      </w:r>
    </w:p>
  </w:footnote>
  <w:footnote w:id="201">
    <w:p w14:paraId="776F148A" w14:textId="07D3BC80" w:rsidR="007606F1" w:rsidRPr="007606F1" w:rsidRDefault="007606F1" w:rsidP="007606F1">
      <w:pPr>
        <w:pStyle w:val="FootnoteText"/>
        <w:jc w:val="both"/>
      </w:pPr>
      <w:r>
        <w:rPr>
          <w:rStyle w:val="FootnoteReference"/>
        </w:rPr>
        <w:footnoteRef/>
      </w:r>
      <w:r>
        <w:t xml:space="preserve"> </w:t>
      </w:r>
      <w:r w:rsidRPr="006326A1">
        <w:t>The impacts on air pollution emissions have been quantified with the help of the ASTRA model. T</w:t>
      </w:r>
      <w:r w:rsidR="00811EC5">
        <w:t>he</w:t>
      </w:r>
      <w:r w:rsidRPr="006326A1">
        <w:t xml:space="preserve"> unit costs from the 2019 Handbook on external costs of transport (</w:t>
      </w:r>
      <w:hyperlink r:id="rId23" w:history="1">
        <w:r w:rsidR="002C423B" w:rsidRPr="005D2D60">
          <w:rPr>
            <w:rStyle w:val="Hyperlink"/>
          </w:rPr>
          <w:t>Handbook on the external costs of transport - Publications Office of the EU</w:t>
        </w:r>
      </w:hyperlink>
      <w:r w:rsidRPr="006326A1">
        <w:t xml:space="preserve">) have been used to monetise the external costs. </w:t>
      </w:r>
    </w:p>
  </w:footnote>
  <w:footnote w:id="202">
    <w:p w14:paraId="3EFABB1D" w14:textId="5DDB1AFE" w:rsidR="00355C06" w:rsidRPr="00C95CEE" w:rsidRDefault="00355C06" w:rsidP="00355C06">
      <w:pPr>
        <w:pStyle w:val="FootnoteText"/>
        <w:jc w:val="both"/>
      </w:pPr>
      <w:r>
        <w:rPr>
          <w:rStyle w:val="FootnoteReference"/>
        </w:rPr>
        <w:footnoteRef/>
      </w:r>
      <w:r>
        <w:t xml:space="preserve"> </w:t>
      </w:r>
      <w:r w:rsidRPr="00F957CA">
        <w:t>The impacts on fatalities and injuries have been quantified with the help of the ASTRA model. The 2019 Handbook on the external costs of transport (</w:t>
      </w:r>
      <w:hyperlink r:id="rId24" w:history="1">
        <w:r w:rsidRPr="00F957CA">
          <w:rPr>
            <w:rStyle w:val="Hyperlink"/>
          </w:rPr>
          <w:t>Handbook on the external costs of transport - Publications Office of the EU</w:t>
        </w:r>
      </w:hyperlink>
      <w:r w:rsidRPr="00F957CA">
        <w:t xml:space="preserve">) has been used to monetise the costs. </w:t>
      </w:r>
    </w:p>
  </w:footnote>
  <w:footnote w:id="203">
    <w:p w14:paraId="724DB665" w14:textId="5B0608E5" w:rsidR="00207656" w:rsidRPr="00BA29BD" w:rsidRDefault="00207656" w:rsidP="00207656">
      <w:pPr>
        <w:pStyle w:val="FootnoteText"/>
      </w:pPr>
      <w:r w:rsidRPr="00BA29BD">
        <w:rPr>
          <w:rStyle w:val="FootnoteReference"/>
        </w:rPr>
        <w:footnoteRef/>
      </w:r>
      <w:r w:rsidRPr="00BA29BD">
        <w:t xml:space="preserve"> POLIS underlined that</w:t>
      </w:r>
      <w:r w:rsidRPr="005D2D60">
        <w:t xml:space="preserve"> younger groups </w:t>
      </w:r>
      <w:r w:rsidR="00654790" w:rsidRPr="005D2D60">
        <w:t>use</w:t>
      </w:r>
      <w:r w:rsidRPr="005D2D60">
        <w:t xml:space="preserve"> digital services </w:t>
      </w:r>
      <w:r w:rsidR="00654790" w:rsidRPr="005D2D60">
        <w:t xml:space="preserve">more frequently </w:t>
      </w:r>
      <w:r w:rsidRPr="005D2D60">
        <w:t>and would therefore benefit the most from having better information and accessibility to tickets in a digital way.</w:t>
      </w:r>
    </w:p>
  </w:footnote>
  <w:footnote w:id="204">
    <w:p w14:paraId="0A187EF7" w14:textId="3A079152" w:rsidR="00486EFC" w:rsidRPr="00606972" w:rsidRDefault="00486EFC" w:rsidP="00486EFC">
      <w:pPr>
        <w:pStyle w:val="FootnoteText"/>
      </w:pPr>
      <w:r>
        <w:rPr>
          <w:rStyle w:val="FootnoteReference"/>
        </w:rPr>
        <w:footnoteRef/>
      </w:r>
      <w:r>
        <w:t xml:space="preserve"> </w:t>
      </w:r>
      <w:hyperlink r:id="rId25" w:history="1">
        <w:r w:rsidRPr="006500D3">
          <w:rPr>
            <w:rStyle w:val="Hyperlink"/>
          </w:rPr>
          <w:t>Flash Eurobarometer 551</w:t>
        </w:r>
      </w:hyperlink>
      <w:r w:rsidRPr="009526A5">
        <w:t xml:space="preserve"> - Multimodal Digital Mobility Service – August – September 2024</w:t>
      </w:r>
    </w:p>
  </w:footnote>
  <w:footnote w:id="205">
    <w:p w14:paraId="64EBD969" w14:textId="0B8D9514" w:rsidR="00030166" w:rsidRPr="00030166" w:rsidRDefault="00030166" w:rsidP="00C65361">
      <w:pPr>
        <w:pStyle w:val="FootnoteText"/>
        <w:jc w:val="both"/>
      </w:pPr>
      <w:r>
        <w:rPr>
          <w:rStyle w:val="FootnoteReference"/>
        </w:rPr>
        <w:footnoteRef/>
      </w:r>
      <w:r>
        <w:t xml:space="preserve"> </w:t>
      </w:r>
      <w:r w:rsidRPr="005D2D60">
        <w:t xml:space="preserve">In the </w:t>
      </w:r>
      <w:r w:rsidR="00D42917" w:rsidRPr="005D2D60">
        <w:t>targeted</w:t>
      </w:r>
      <w:r w:rsidRPr="005D2D60">
        <w:t xml:space="preserve"> survey, ALL RAIL underlined that the impact would likely be more immediate for younger passengers, who are more familiar with using MDMS platforms to search and book their trips. This group is particularly sensitive to fragmented offers and tends to compare options across operators. Making all services visible and bookable on the same platforms would improve their access to better prices and combinations, especially for regional and cross-border travel.</w:t>
      </w:r>
    </w:p>
  </w:footnote>
  <w:footnote w:id="206">
    <w:p w14:paraId="08240865" w14:textId="58278EDC" w:rsidR="0010493A" w:rsidRPr="005D2D60" w:rsidRDefault="0010493A">
      <w:pPr>
        <w:pStyle w:val="FootnoteText"/>
      </w:pPr>
      <w:r>
        <w:rPr>
          <w:rStyle w:val="FootnoteReference"/>
        </w:rPr>
        <w:footnoteRef/>
      </w:r>
      <w:r>
        <w:t xml:space="preserve"> </w:t>
      </w:r>
      <w:r w:rsidRPr="00EA0707">
        <w:t>T</w:t>
      </w:r>
      <w:r w:rsidR="00482F37">
        <w:t>he</w:t>
      </w:r>
      <w:r w:rsidRPr="00EA0707">
        <w:t xml:space="preserve"> unit costs from the 2019 Handbook on external costs of transport (</w:t>
      </w:r>
      <w:hyperlink r:id="rId26" w:history="1">
        <w:r w:rsidRPr="00EA0707">
          <w:rPr>
            <w:rStyle w:val="Hyperlink"/>
          </w:rPr>
          <w:t>Handbook on the external costs of transport - Publications Office of the EU (europa.eu)</w:t>
        </w:r>
      </w:hyperlink>
      <w:r w:rsidRPr="00EA0707">
        <w:t>) have been used to monetise the external costs.</w:t>
      </w:r>
    </w:p>
  </w:footnote>
  <w:footnote w:id="207">
    <w:p w14:paraId="7F984617" w14:textId="77777777" w:rsidR="00B87107" w:rsidRPr="005D2D60" w:rsidRDefault="00B87107" w:rsidP="00B87107">
      <w:pPr>
        <w:pStyle w:val="FootnoteText"/>
      </w:pPr>
      <w:r>
        <w:rPr>
          <w:rStyle w:val="FootnoteReference"/>
        </w:rPr>
        <w:footnoteRef/>
      </w:r>
      <w:r>
        <w:t xml:space="preserve"> </w:t>
      </w:r>
      <w:r w:rsidRPr="00EA0707">
        <w:t>T</w:t>
      </w:r>
      <w:r>
        <w:t>he</w:t>
      </w:r>
      <w:r w:rsidRPr="00EA0707">
        <w:t xml:space="preserve"> unit costs from the 2019 Handbook on external costs of transport (</w:t>
      </w:r>
      <w:hyperlink r:id="rId27" w:history="1">
        <w:r w:rsidRPr="00EA0707">
          <w:rPr>
            <w:rStyle w:val="Hyperlink"/>
          </w:rPr>
          <w:t>Handbook on the external costs of transport - Publications Office of the EU (europa.eu)</w:t>
        </w:r>
      </w:hyperlink>
      <w:r w:rsidRPr="00EA0707">
        <w:t>) have been used to monetise the external costs.</w:t>
      </w:r>
    </w:p>
  </w:footnote>
  <w:footnote w:id="208">
    <w:p w14:paraId="08A7BD75" w14:textId="77777777" w:rsidR="00596160" w:rsidRPr="005D2D60" w:rsidRDefault="00596160" w:rsidP="00596160">
      <w:pPr>
        <w:pStyle w:val="FootnoteText"/>
      </w:pPr>
      <w:r>
        <w:rPr>
          <w:rStyle w:val="FootnoteReference"/>
        </w:rPr>
        <w:footnoteRef/>
      </w:r>
      <w:r>
        <w:t xml:space="preserve"> </w:t>
      </w:r>
      <w:r w:rsidRPr="00EA0707">
        <w:t>T</w:t>
      </w:r>
      <w:r>
        <w:t>he</w:t>
      </w:r>
      <w:r w:rsidRPr="00EA0707">
        <w:t xml:space="preserve"> unit costs from the 2019 Handbook on external costs of transport (</w:t>
      </w:r>
      <w:hyperlink r:id="rId28" w:history="1">
        <w:r w:rsidRPr="00EA0707">
          <w:rPr>
            <w:rStyle w:val="Hyperlink"/>
          </w:rPr>
          <w:t>Handbook on the external costs of transport - Publications Office of the EU (europa.eu)</w:t>
        </w:r>
      </w:hyperlink>
      <w:r w:rsidRPr="00EA0707">
        <w:t>) have been used to monetise the external costs.</w:t>
      </w:r>
    </w:p>
  </w:footnote>
  <w:footnote w:id="209">
    <w:p w14:paraId="7771AF93" w14:textId="77777777" w:rsidR="003F5099" w:rsidRPr="0006714A" w:rsidRDefault="003F5099" w:rsidP="003F5099">
      <w:pPr>
        <w:pStyle w:val="FootnoteTextEP-LC1"/>
        <w:rPr>
          <w:rFonts w:eastAsia="Times New Roman"/>
        </w:rPr>
      </w:pPr>
      <w:r w:rsidRPr="0006714A">
        <w:rPr>
          <w:rStyle w:val="FootnoteReference"/>
          <w:rFonts w:eastAsia="Times New Roman"/>
        </w:rPr>
        <w:footnoteRef/>
      </w:r>
      <w:r w:rsidRPr="0006714A">
        <w:rPr>
          <w:rFonts w:eastAsia="Times New Roman"/>
        </w:rPr>
        <w:t xml:space="preserve"> </w:t>
      </w:r>
      <w:hyperlink r:id="rId29" w:history="1">
        <w:r w:rsidRPr="00EF3FE4">
          <w:rPr>
            <w:rStyle w:val="Hyperlink"/>
          </w:rPr>
          <w:t>Regulation (EU) 2021/1119</w:t>
        </w:r>
      </w:hyperlink>
      <w:r>
        <w:rPr>
          <w:rFonts w:eastAsia="Times New Roman"/>
        </w:rPr>
        <w:t xml:space="preserve"> </w:t>
      </w:r>
      <w:r w:rsidRPr="003B5150">
        <w:rPr>
          <w:rFonts w:eastAsia="Times New Roman"/>
        </w:rPr>
        <w:t>establishing the framework for achieving climate neutrality</w:t>
      </w:r>
      <w:r>
        <w:rPr>
          <w:rFonts w:eastAsia="Times New Roman"/>
        </w:rPr>
        <w:t>.</w:t>
      </w:r>
    </w:p>
  </w:footnote>
  <w:footnote w:id="210">
    <w:p w14:paraId="41257D3A" w14:textId="25C1932F" w:rsidR="000C7B09" w:rsidRPr="001D603F" w:rsidRDefault="000C7B09">
      <w:pPr>
        <w:pStyle w:val="FootnoteText"/>
        <w:rPr>
          <w:lang w:val="es-ES"/>
        </w:rPr>
      </w:pPr>
      <w:r>
        <w:rPr>
          <w:rStyle w:val="FootnoteReference"/>
        </w:rPr>
        <w:footnoteRef/>
      </w:r>
      <w:r w:rsidRPr="001D603F">
        <w:rPr>
          <w:lang w:val="es-ES"/>
        </w:rPr>
        <w:t xml:space="preserve"> </w:t>
      </w:r>
      <w:r w:rsidR="00F01645" w:rsidRPr="001D603F">
        <w:rPr>
          <w:lang w:val="es-ES"/>
        </w:rPr>
        <w:t>OJ L, 2023/2661</w:t>
      </w:r>
    </w:p>
  </w:footnote>
  <w:footnote w:id="211">
    <w:p w14:paraId="578C8F2B" w14:textId="7C0E45AB" w:rsidR="00F01645" w:rsidRPr="001D603F" w:rsidRDefault="00F01645">
      <w:pPr>
        <w:pStyle w:val="FootnoteText"/>
        <w:rPr>
          <w:lang w:val="es-ES"/>
        </w:rPr>
      </w:pPr>
      <w:r>
        <w:rPr>
          <w:rStyle w:val="FootnoteReference"/>
        </w:rPr>
        <w:footnoteRef/>
      </w:r>
      <w:r w:rsidRPr="001D603F">
        <w:rPr>
          <w:lang w:val="es-ES"/>
        </w:rPr>
        <w:t xml:space="preserve"> OJ L, 2024/490</w:t>
      </w:r>
    </w:p>
  </w:footnote>
  <w:footnote w:id="212">
    <w:p w14:paraId="715DE99D" w14:textId="59F2CE4B" w:rsidR="460A4170" w:rsidRPr="001D603F" w:rsidRDefault="460A4170">
      <w:pPr>
        <w:rPr>
          <w:sz w:val="20"/>
          <w:szCs w:val="20"/>
          <w:lang w:val="es-ES"/>
        </w:rPr>
      </w:pPr>
      <w:r w:rsidRPr="0075374E">
        <w:rPr>
          <w:sz w:val="20"/>
          <w:szCs w:val="20"/>
          <w:vertAlign w:val="superscript"/>
        </w:rPr>
        <w:footnoteRef/>
      </w:r>
      <w:r w:rsidRPr="001D603F">
        <w:rPr>
          <w:sz w:val="20"/>
          <w:szCs w:val="20"/>
          <w:lang w:val="es-ES"/>
        </w:rPr>
        <w:t xml:space="preserve"> OJ L 277, 27.10.2022, pp. 1–102</w:t>
      </w:r>
    </w:p>
  </w:footnote>
  <w:footnote w:id="213">
    <w:p w14:paraId="2261DC0F" w14:textId="7C484887" w:rsidR="7172A19F" w:rsidRPr="0075374E" w:rsidRDefault="7172A19F">
      <w:pPr>
        <w:rPr>
          <w:sz w:val="20"/>
          <w:szCs w:val="20"/>
        </w:rPr>
      </w:pPr>
      <w:r w:rsidRPr="0075374E">
        <w:rPr>
          <w:sz w:val="20"/>
          <w:szCs w:val="20"/>
          <w:vertAlign w:val="superscript"/>
        </w:rPr>
        <w:footnoteRef/>
      </w:r>
      <w:r w:rsidRPr="0075374E">
        <w:rPr>
          <w:sz w:val="20"/>
          <w:szCs w:val="20"/>
        </w:rPr>
        <w:t xml:space="preserve"> OJ L 265, 12.10.2022, pp. 1–66</w:t>
      </w:r>
    </w:p>
  </w:footnote>
  <w:footnote w:id="214">
    <w:p w14:paraId="2BB30818" w14:textId="59DC89B5" w:rsidR="00790633" w:rsidRPr="00790633" w:rsidRDefault="00790633" w:rsidP="0075374E">
      <w:pPr>
        <w:pStyle w:val="FootnoteText"/>
        <w:jc w:val="both"/>
      </w:pPr>
      <w:r>
        <w:rPr>
          <w:rStyle w:val="FootnoteReference"/>
        </w:rPr>
        <w:footnoteRef/>
      </w:r>
      <w:r>
        <w:t xml:space="preserve"> </w:t>
      </w:r>
      <w:r w:rsidRPr="00790633">
        <w:t xml:space="preserve">Excluding external costs savings, PO2 and PO3 both result in a benefit to cost ratio of 0.9. However, although not possible to quantify, the overall impact on consumers’ costs savings would be the strongest, as well as the quickest to materialise, in the case of PO3. Therefore, also when excluding the external costs savings PO3 is expected to be the most efficient </w:t>
      </w:r>
      <w:r w:rsidR="008B2E6E">
        <w:t xml:space="preserve">of the four </w:t>
      </w:r>
      <w:r w:rsidRPr="00790633">
        <w:t>option</w:t>
      </w:r>
      <w:r w:rsidR="008B2E6E">
        <w:t>s</w:t>
      </w:r>
      <w:r w:rsidRPr="00790633">
        <w:t>.</w:t>
      </w:r>
    </w:p>
  </w:footnote>
  <w:footnote w:id="215">
    <w:p w14:paraId="1A8493CF" w14:textId="77777777" w:rsidR="00AE09BA" w:rsidRPr="003A40BD" w:rsidRDefault="00AE09BA" w:rsidP="00AE09BA">
      <w:pPr>
        <w:pStyle w:val="FootnoteText"/>
      </w:pPr>
      <w:r>
        <w:rPr>
          <w:rStyle w:val="FootnoteReference"/>
        </w:rPr>
        <w:footnoteRef/>
      </w:r>
      <w:r>
        <w:t xml:space="preserve"> </w:t>
      </w:r>
      <w:r w:rsidRPr="003D0035">
        <w:t>SWD(2020) 363 fina</w:t>
      </w:r>
      <w:r>
        <w:t>l. T</w:t>
      </w:r>
      <w:r w:rsidRPr="002A23AD">
        <w:t>he Digital Market Act assumed 20 FTEs per ‘Gatekeeper’ for submission of relevant data to authorities. In this case, the entities are much smaller than those regulated under the DMA (Apple, Google, etc.) and the process is expected to be much lighter (platforms only need to notify that they have reached a threshold).</w:t>
      </w:r>
    </w:p>
  </w:footnote>
  <w:footnote w:id="216">
    <w:p w14:paraId="2CC7887E" w14:textId="3DAC92D1" w:rsidR="00215FB9" w:rsidRPr="00215FB9" w:rsidRDefault="00215FB9">
      <w:pPr>
        <w:pStyle w:val="FootnoteText"/>
      </w:pPr>
      <w:r>
        <w:rPr>
          <w:rStyle w:val="FootnoteReference"/>
        </w:rPr>
        <w:footnoteRef/>
      </w:r>
      <w:r>
        <w:t xml:space="preserve"> </w:t>
      </w:r>
      <w:r w:rsidRPr="008C3399">
        <w:rPr>
          <w:spacing w:val="-8"/>
        </w:rPr>
        <w:t>The one-off effort required is estimated at 2 FTEs per Member State in 2028.</w:t>
      </w:r>
    </w:p>
  </w:footnote>
  <w:footnote w:id="217">
    <w:p w14:paraId="1D41F481" w14:textId="77777777" w:rsidR="00101F9C" w:rsidRPr="00C94B57" w:rsidRDefault="00101F9C" w:rsidP="00101F9C">
      <w:pPr>
        <w:pStyle w:val="FootnoteText"/>
        <w:jc w:val="both"/>
      </w:pPr>
      <w:r>
        <w:rPr>
          <w:rStyle w:val="FootnoteReference"/>
        </w:rPr>
        <w:footnoteRef/>
      </w:r>
      <w:r>
        <w:t xml:space="preserve"> </w:t>
      </w:r>
      <w:r w:rsidRPr="00C94B57">
        <w:t>One full time equivalent (FTE) is assumed to be needed per national authority, with recurrent administrative costs estimated at EUR 56,527 per national authority. 27 national authorities are considered for calculating the total recurrent costs.</w:t>
      </w:r>
    </w:p>
  </w:footnote>
  <w:footnote w:id="218">
    <w:p w14:paraId="0072E162" w14:textId="400DF282" w:rsidR="0005472E" w:rsidRPr="00D71008" w:rsidRDefault="0005472E" w:rsidP="00AE1B90">
      <w:pPr>
        <w:pStyle w:val="FootnoteText"/>
        <w:jc w:val="both"/>
      </w:pPr>
      <w:r w:rsidRPr="00D71008">
        <w:rPr>
          <w:rStyle w:val="FootnoteReference"/>
        </w:rPr>
        <w:footnoteRef/>
      </w:r>
      <w:r w:rsidR="00DD65E4" w:rsidRPr="00D71008">
        <w:t>COM(2021) 645 final</w:t>
      </w:r>
    </w:p>
  </w:footnote>
  <w:footnote w:id="219">
    <w:p w14:paraId="3800FEEA" w14:textId="4C23EB68" w:rsidR="0005472E" w:rsidRPr="00D71008" w:rsidRDefault="0005472E" w:rsidP="00AE1B90">
      <w:pPr>
        <w:pStyle w:val="FootnoteText"/>
        <w:jc w:val="both"/>
      </w:pPr>
      <w:r w:rsidRPr="00D71008">
        <w:rPr>
          <w:rStyle w:val="FootnoteReference"/>
        </w:rPr>
        <w:footnoteRef/>
      </w:r>
      <w:r w:rsidRPr="00D71008">
        <w:t xml:space="preserve"> COM(2020)789</w:t>
      </w:r>
      <w:r w:rsidRPr="00D71008">
        <w:rPr>
          <w:spacing w:val="-5"/>
        </w:rPr>
        <w:t xml:space="preserve"> </w:t>
      </w:r>
      <w:r w:rsidRPr="00D71008">
        <w:rPr>
          <w:spacing w:val="-4"/>
        </w:rPr>
        <w:t>final</w:t>
      </w:r>
    </w:p>
  </w:footnote>
  <w:footnote w:id="220">
    <w:p w14:paraId="3BE61DBE" w14:textId="5F980A0F" w:rsidR="0005472E" w:rsidRPr="00D71008" w:rsidRDefault="0005472E" w:rsidP="00AE1B90">
      <w:pPr>
        <w:spacing w:before="1"/>
        <w:ind w:right="2645"/>
        <w:jc w:val="both"/>
        <w:rPr>
          <w:sz w:val="20"/>
        </w:rPr>
      </w:pPr>
      <w:r w:rsidRPr="00D71008">
        <w:rPr>
          <w:rStyle w:val="FootnoteReference"/>
        </w:rPr>
        <w:footnoteRef/>
      </w:r>
      <w:r w:rsidRPr="00D71008">
        <w:t xml:space="preserve"> </w:t>
      </w:r>
      <w:r w:rsidRPr="00D71008">
        <w:rPr>
          <w:sz w:val="20"/>
        </w:rPr>
        <w:t>SWD(2020)9 final</w:t>
      </w:r>
    </w:p>
  </w:footnote>
  <w:footnote w:id="221">
    <w:p w14:paraId="369DD0A2" w14:textId="46784F8F" w:rsidR="00B522EC" w:rsidRPr="00D71008" w:rsidRDefault="00B522EC" w:rsidP="00AE1B90">
      <w:pPr>
        <w:pStyle w:val="FootnoteText"/>
        <w:jc w:val="both"/>
      </w:pPr>
      <w:r w:rsidRPr="00D71008">
        <w:rPr>
          <w:rStyle w:val="FootnoteReference"/>
        </w:rPr>
        <w:footnoteRef/>
      </w:r>
      <w:r w:rsidRPr="00D71008">
        <w:t xml:space="preserve"> </w:t>
      </w:r>
      <w:hyperlink r:id="rId30">
        <w:r w:rsidRPr="00D71008">
          <w:rPr>
            <w:color w:val="0000FF"/>
            <w:u w:val="single" w:color="0000FF"/>
          </w:rPr>
          <w:t>https://ec.europa.eu/info/law/better-regulation/have-your-say/initiatives/12507-Air-travel-computerised-reservation-</w:t>
        </w:r>
      </w:hyperlink>
      <w:r w:rsidRPr="00D71008">
        <w:rPr>
          <w:color w:val="0000FF"/>
        </w:rPr>
        <w:t xml:space="preserve"> </w:t>
      </w:r>
      <w:hyperlink r:id="rId31">
        <w:r w:rsidRPr="00D71008">
          <w:rPr>
            <w:color w:val="0000FF"/>
            <w:spacing w:val="-2"/>
            <w:u w:val="single" w:color="0000FF"/>
          </w:rPr>
          <w:t>systems-updated-rules-_en</w:t>
        </w:r>
      </w:hyperlink>
    </w:p>
  </w:footnote>
  <w:footnote w:id="222">
    <w:p w14:paraId="33D48656" w14:textId="722ABE34" w:rsidR="00A435A5" w:rsidRPr="00AA15C8" w:rsidRDefault="00A435A5" w:rsidP="00AE1B90">
      <w:pPr>
        <w:ind w:right="1113"/>
        <w:jc w:val="both"/>
        <w:rPr>
          <w:sz w:val="20"/>
        </w:rPr>
      </w:pPr>
      <w:r w:rsidRPr="00D71008">
        <w:rPr>
          <w:rStyle w:val="FootnoteReference"/>
        </w:rPr>
        <w:footnoteRef/>
      </w:r>
      <w:r w:rsidR="00410E72" w:rsidRPr="00AA15C8">
        <w:t xml:space="preserve"> </w:t>
      </w:r>
      <w:hyperlink r:id="rId32" w:history="1">
        <w:r w:rsidR="00376F83" w:rsidRPr="00AA15C8">
          <w:rPr>
            <w:rStyle w:val="Hyperlink"/>
            <w:sz w:val="20"/>
          </w:rPr>
          <w:t>https://ec.europa.eu/info/law/better-regulation/have-your-say/initiatives/13133-Multimodal-digital-mobility-</w:t>
        </w:r>
      </w:hyperlink>
      <w:r w:rsidRPr="00AA15C8">
        <w:rPr>
          <w:color w:val="0000FF"/>
          <w:sz w:val="20"/>
        </w:rPr>
        <w:t xml:space="preserve"> </w:t>
      </w:r>
      <w:hyperlink r:id="rId33">
        <w:r w:rsidRPr="00AA15C8">
          <w:rPr>
            <w:color w:val="0000FF"/>
            <w:spacing w:val="-2"/>
            <w:sz w:val="20"/>
            <w:u w:val="single" w:color="0000FF"/>
          </w:rPr>
          <w:t>services_en</w:t>
        </w:r>
      </w:hyperlink>
    </w:p>
    <w:p w14:paraId="71929CB0" w14:textId="7B326B61" w:rsidR="00A435A5" w:rsidRPr="00AA15C8" w:rsidRDefault="00A435A5" w:rsidP="00773C9E">
      <w:pPr>
        <w:pStyle w:val="FootnoteText"/>
        <w:ind w:left="851"/>
        <w:rPr>
          <w:lang w:val="en-IE"/>
        </w:rPr>
      </w:pPr>
    </w:p>
  </w:footnote>
  <w:footnote w:id="223">
    <w:p w14:paraId="48739EC5" w14:textId="77777777" w:rsidR="008F3DB2" w:rsidRPr="008F3DB2" w:rsidRDefault="008F3DB2">
      <w:pPr>
        <w:pStyle w:val="FootnoteText"/>
      </w:pPr>
      <w:r>
        <w:rPr>
          <w:rStyle w:val="FootnoteReference"/>
        </w:rPr>
        <w:footnoteRef/>
      </w:r>
      <w:r>
        <w:t xml:space="preserve"> </w:t>
      </w:r>
      <w:r w:rsidRPr="005D2D60">
        <w:t>SWD/2017/0318</w:t>
      </w:r>
    </w:p>
  </w:footnote>
  <w:footnote w:id="224">
    <w:p w14:paraId="4EDAFF35" w14:textId="48CFEAD9" w:rsidR="009B0077" w:rsidRPr="00D71008" w:rsidRDefault="009B0077">
      <w:pPr>
        <w:pStyle w:val="FootnoteText"/>
      </w:pPr>
      <w:r w:rsidRPr="00D71008">
        <w:rPr>
          <w:rStyle w:val="FootnoteReference"/>
        </w:rPr>
        <w:footnoteRef/>
      </w:r>
      <w:r w:rsidRPr="00D71008">
        <w:t xml:space="preserve"> </w:t>
      </w:r>
      <w:hyperlink r:id="rId34" w:history="1">
        <w:r w:rsidR="00B345AA" w:rsidRPr="006500D3">
          <w:rPr>
            <w:rStyle w:val="Hyperlink"/>
          </w:rPr>
          <w:t>Flash Eurobarometer 551</w:t>
        </w:r>
      </w:hyperlink>
      <w:r w:rsidR="00B345AA" w:rsidRPr="00B345AA">
        <w:t xml:space="preserve"> - Multimodal Digital Mobility Service – August – September 2024</w:t>
      </w:r>
    </w:p>
  </w:footnote>
  <w:footnote w:id="225">
    <w:p w14:paraId="4CF038CE" w14:textId="5A13455D" w:rsidR="0071555A" w:rsidRPr="0071555A" w:rsidRDefault="0071555A">
      <w:pPr>
        <w:pStyle w:val="FootnoteText"/>
      </w:pPr>
      <w:r>
        <w:rPr>
          <w:rStyle w:val="FootnoteReference"/>
        </w:rPr>
        <w:footnoteRef/>
      </w:r>
      <w:r>
        <w:t xml:space="preserve"> </w:t>
      </w:r>
      <w:r w:rsidRPr="005A1F36">
        <w:t>Ricardo</w:t>
      </w:r>
      <w:r w:rsidRPr="005A1F36">
        <w:rPr>
          <w:spacing w:val="-1"/>
        </w:rPr>
        <w:t xml:space="preserve"> </w:t>
      </w:r>
      <w:r w:rsidRPr="005A1F36">
        <w:t>et</w:t>
      </w:r>
      <w:r w:rsidRPr="005A1F36">
        <w:rPr>
          <w:spacing w:val="-2"/>
        </w:rPr>
        <w:t xml:space="preserve"> </w:t>
      </w:r>
      <w:r w:rsidRPr="005A1F36">
        <w:t>al.</w:t>
      </w:r>
      <w:r w:rsidRPr="005A1F36">
        <w:rPr>
          <w:spacing w:val="-2"/>
        </w:rPr>
        <w:t xml:space="preserve"> </w:t>
      </w:r>
      <w:r w:rsidRPr="005A1F36">
        <w:t>(2026),</w:t>
      </w:r>
      <w:r w:rsidRPr="005A1F36">
        <w:rPr>
          <w:spacing w:val="-2"/>
        </w:rPr>
        <w:t xml:space="preserve"> </w:t>
      </w:r>
      <w:r w:rsidRPr="005A1F36">
        <w:t>Study</w:t>
      </w:r>
      <w:r w:rsidRPr="005A1F36">
        <w:rPr>
          <w:spacing w:val="-3"/>
        </w:rPr>
        <w:t xml:space="preserve"> </w:t>
      </w:r>
      <w:r w:rsidRPr="005A1F36">
        <w:t>supporting</w:t>
      </w:r>
      <w:r w:rsidRPr="005A1F36">
        <w:rPr>
          <w:spacing w:val="-1"/>
        </w:rPr>
        <w:t xml:space="preserve"> </w:t>
      </w:r>
      <w:r w:rsidRPr="005A1F36">
        <w:t xml:space="preserve">the </w:t>
      </w:r>
      <w:r w:rsidR="008E5E17">
        <w:t>RMB</w:t>
      </w:r>
      <w:r w:rsidRPr="005A1F36">
        <w:t xml:space="preserve"> and </w:t>
      </w:r>
      <w:r w:rsidR="008E5E17">
        <w:t>RTR</w:t>
      </w:r>
      <w:r w:rsidRPr="005A1F36">
        <w:t xml:space="preserve"> Impact assessment</w:t>
      </w:r>
    </w:p>
  </w:footnote>
  <w:footnote w:id="226">
    <w:p w14:paraId="4131A29E" w14:textId="119AC8A6" w:rsidR="003A698A" w:rsidRPr="00D71008" w:rsidRDefault="003A698A">
      <w:pPr>
        <w:pStyle w:val="FootnoteText"/>
      </w:pPr>
      <w:r w:rsidRPr="00D71008">
        <w:rPr>
          <w:rStyle w:val="FootnoteReference"/>
        </w:rPr>
        <w:footnoteRef/>
      </w:r>
      <w:r w:rsidRPr="00D71008">
        <w:t xml:space="preserve"> </w:t>
      </w:r>
      <w:hyperlink r:id="rId35" w:history="1">
        <w:r w:rsidRPr="00D71008">
          <w:rPr>
            <w:rStyle w:val="Hyperlink"/>
          </w:rPr>
          <w:t>https://transport.ec.europa.eu/news-events/news/multimodal-passenger-mobility-forum-final-report-2023-02-02_en</w:t>
        </w:r>
      </w:hyperlink>
    </w:p>
  </w:footnote>
  <w:footnote w:id="227">
    <w:p w14:paraId="5F839510" w14:textId="35574663" w:rsidR="007316CF" w:rsidRPr="00781031" w:rsidRDefault="007316CF">
      <w:pPr>
        <w:pStyle w:val="FootnoteText"/>
        <w:rPr>
          <w:lang w:val="fr-BE"/>
        </w:rPr>
      </w:pPr>
      <w:r w:rsidRPr="00D0351B">
        <w:rPr>
          <w:rStyle w:val="FootnoteReference"/>
        </w:rPr>
        <w:footnoteRef/>
      </w:r>
      <w:r w:rsidRPr="00674F9C">
        <w:rPr>
          <w:lang w:val="fr-BE"/>
        </w:rPr>
        <w:t xml:space="preserve"> </w:t>
      </w:r>
      <w:hyperlink r:id="rId36">
        <w:r w:rsidRPr="00674F9C">
          <w:rPr>
            <w:color w:val="0000FF"/>
            <w:u w:val="single" w:color="0000FF"/>
            <w:lang w:val="fr-BE"/>
          </w:rPr>
          <w:t>https://ec.europa.eu/info/law/better-regulation/have-your-say/initiatives/13133-Multimodal-Digital-Mobility-</w:t>
        </w:r>
      </w:hyperlink>
      <w:r w:rsidRPr="00674F9C">
        <w:rPr>
          <w:color w:val="0000FF"/>
          <w:lang w:val="fr-BE"/>
        </w:rPr>
        <w:t xml:space="preserve"> </w:t>
      </w:r>
      <w:hyperlink r:id="rId37">
        <w:r w:rsidRPr="00781031">
          <w:rPr>
            <w:color w:val="0000FF"/>
            <w:spacing w:val="-2"/>
            <w:u w:val="single" w:color="0000FF"/>
            <w:lang w:val="fr-BE"/>
          </w:rPr>
          <w:t>Services/public-consultation_en</w:t>
        </w:r>
      </w:hyperlink>
    </w:p>
  </w:footnote>
  <w:footnote w:id="228">
    <w:p w14:paraId="708409F8" w14:textId="28EDA652" w:rsidR="00AA5A6D" w:rsidRPr="004D3C05" w:rsidDel="00A02FA3" w:rsidRDefault="00D30DCD">
      <w:pPr>
        <w:pStyle w:val="FootnoteText"/>
        <w:rPr>
          <w:lang w:val="en-IE"/>
        </w:rPr>
      </w:pPr>
      <w:r>
        <w:rPr>
          <w:rStyle w:val="FootnoteReference"/>
        </w:rPr>
        <w:footnoteRef/>
      </w:r>
      <w:r>
        <w:t xml:space="preserve"> </w:t>
      </w:r>
      <w:r w:rsidR="00346662" w:rsidRPr="004D3C05">
        <w:rPr>
          <w:lang w:val="en-IE"/>
        </w:rPr>
        <w:t>Czech</w:t>
      </w:r>
      <w:r w:rsidRPr="004D3C05">
        <w:rPr>
          <w:lang w:val="en-IE"/>
        </w:rPr>
        <w:t xml:space="preserve"> national </w:t>
      </w:r>
      <w:r w:rsidR="00385EC5" w:rsidRPr="004D3C05">
        <w:rPr>
          <w:lang w:val="en-IE"/>
        </w:rPr>
        <w:t>RU</w:t>
      </w:r>
    </w:p>
  </w:footnote>
  <w:footnote w:id="229">
    <w:p w14:paraId="1DD817C7" w14:textId="0DFB1041" w:rsidR="00AA5A6D" w:rsidRPr="00E35CBC" w:rsidDel="00A02FA3" w:rsidRDefault="00346662" w:rsidP="00AA5A6D">
      <w:pPr>
        <w:pStyle w:val="FootnoteText"/>
        <w:rPr>
          <w:lang w:val="en-IE"/>
        </w:rPr>
      </w:pPr>
      <w:r>
        <w:rPr>
          <w:rStyle w:val="FootnoteReference"/>
        </w:rPr>
        <w:footnoteRef/>
      </w:r>
      <w:r>
        <w:t xml:space="preserve"> </w:t>
      </w:r>
      <w:r w:rsidR="00E35CBC">
        <w:t>Representing Spanish bus operators</w:t>
      </w:r>
    </w:p>
  </w:footnote>
  <w:footnote w:id="230">
    <w:p w14:paraId="35D7CBF7" w14:textId="11950C1B" w:rsidR="00AA5A6D" w:rsidRPr="00E35CBC" w:rsidDel="00A02FA3" w:rsidRDefault="00E35CBC">
      <w:pPr>
        <w:pStyle w:val="FootnoteText"/>
        <w:rPr>
          <w:lang w:val="en-IE"/>
        </w:rPr>
      </w:pPr>
      <w:r>
        <w:rPr>
          <w:rStyle w:val="FootnoteReference"/>
        </w:rPr>
        <w:footnoteRef/>
      </w:r>
      <w:r>
        <w:t xml:space="preserve"> </w:t>
      </w:r>
      <w:r w:rsidRPr="00E35CBC">
        <w:rPr>
          <w:lang w:val="en-IE"/>
        </w:rPr>
        <w:t xml:space="preserve">French </w:t>
      </w:r>
      <w:r w:rsidR="00385EC5">
        <w:rPr>
          <w:lang w:val="en-IE"/>
        </w:rPr>
        <w:t>RU</w:t>
      </w:r>
    </w:p>
  </w:footnote>
  <w:footnote w:id="231">
    <w:p w14:paraId="3E9A2571" w14:textId="400C7933" w:rsidR="00AA5A6D" w:rsidRPr="0037749B" w:rsidDel="00A02FA3" w:rsidRDefault="0037749B" w:rsidP="00AA5A6D">
      <w:pPr>
        <w:pStyle w:val="FootnoteText"/>
        <w:rPr>
          <w:lang w:val="en-IE"/>
        </w:rPr>
      </w:pPr>
      <w:r>
        <w:rPr>
          <w:rStyle w:val="FootnoteReference"/>
        </w:rPr>
        <w:footnoteRef/>
      </w:r>
      <w:r>
        <w:t xml:space="preserve"> </w:t>
      </w:r>
      <w:r w:rsidRPr="0037749B">
        <w:rPr>
          <w:lang w:val="en-IE"/>
        </w:rPr>
        <w:t xml:space="preserve">Representing European Passenger </w:t>
      </w:r>
      <w:r>
        <w:rPr>
          <w:lang w:val="en-IE"/>
        </w:rPr>
        <w:t>Transport Operators</w:t>
      </w:r>
    </w:p>
  </w:footnote>
  <w:footnote w:id="232">
    <w:p w14:paraId="0A22C22F" w14:textId="6419778E" w:rsidR="00F815A0" w:rsidRPr="004D3C05" w:rsidRDefault="004D3C05">
      <w:pPr>
        <w:pStyle w:val="FootnoteText"/>
        <w:rPr>
          <w:lang w:val="en-IE"/>
        </w:rPr>
      </w:pPr>
      <w:r>
        <w:rPr>
          <w:rStyle w:val="FootnoteReference"/>
        </w:rPr>
        <w:footnoteRef/>
      </w:r>
      <w:r>
        <w:t xml:space="preserve"> </w:t>
      </w:r>
      <w:r w:rsidRPr="004D3C05">
        <w:rPr>
          <w:lang w:val="en-IE"/>
        </w:rPr>
        <w:t>Represent</w:t>
      </w:r>
      <w:r>
        <w:rPr>
          <w:lang w:val="en-IE"/>
        </w:rPr>
        <w:t>ing new mobility services</w:t>
      </w:r>
    </w:p>
  </w:footnote>
  <w:footnote w:id="233">
    <w:p w14:paraId="1C04BD97" w14:textId="77777777" w:rsidR="0020419A" w:rsidRPr="00D71008" w:rsidRDefault="0020419A" w:rsidP="0020419A">
      <w:pPr>
        <w:pStyle w:val="FootnoteText"/>
      </w:pPr>
      <w:r w:rsidRPr="00D71008">
        <w:rPr>
          <w:rStyle w:val="FootnoteReference"/>
        </w:rPr>
        <w:footnoteRef/>
      </w:r>
      <w:r w:rsidRPr="00D71008">
        <w:t xml:space="preserve"> Representing French public transport operators.</w:t>
      </w:r>
    </w:p>
  </w:footnote>
  <w:footnote w:id="234">
    <w:p w14:paraId="7CEA0DBD" w14:textId="77777777" w:rsidR="0020419A" w:rsidRPr="00D71008" w:rsidRDefault="0020419A" w:rsidP="0020419A">
      <w:pPr>
        <w:pStyle w:val="FootnoteText"/>
      </w:pPr>
      <w:r w:rsidRPr="00D71008">
        <w:rPr>
          <w:rStyle w:val="FootnoteReference"/>
        </w:rPr>
        <w:footnoteRef/>
      </w:r>
      <w:r w:rsidRPr="00D71008">
        <w:t xml:space="preserve"> Dutch national </w:t>
      </w:r>
      <w:r>
        <w:t>RU</w:t>
      </w:r>
      <w:r w:rsidRPr="00D71008">
        <w:t>.</w:t>
      </w:r>
    </w:p>
  </w:footnote>
  <w:footnote w:id="235">
    <w:p w14:paraId="3A1DFB3B" w14:textId="77777777" w:rsidR="0020419A" w:rsidRPr="00D71008" w:rsidRDefault="0020419A" w:rsidP="0020419A">
      <w:pPr>
        <w:pStyle w:val="FootnoteText"/>
      </w:pPr>
      <w:r w:rsidRPr="00D71008">
        <w:rPr>
          <w:rStyle w:val="FootnoteReference"/>
        </w:rPr>
        <w:footnoteRef/>
      </w:r>
      <w:r w:rsidRPr="00D71008">
        <w:t xml:space="preserve"> Representing</w:t>
      </w:r>
      <w:r w:rsidRPr="00D71008">
        <w:rPr>
          <w:spacing w:val="-5"/>
        </w:rPr>
        <w:t xml:space="preserve"> </w:t>
      </w:r>
      <w:r w:rsidRPr="00D71008">
        <w:t>the</w:t>
      </w:r>
      <w:r w:rsidRPr="00D71008">
        <w:rPr>
          <w:spacing w:val="-5"/>
        </w:rPr>
        <w:t xml:space="preserve"> </w:t>
      </w:r>
      <w:r w:rsidRPr="00D71008">
        <w:t>rail</w:t>
      </w:r>
      <w:r w:rsidRPr="00D71008">
        <w:rPr>
          <w:spacing w:val="-4"/>
        </w:rPr>
        <w:t xml:space="preserve"> </w:t>
      </w:r>
      <w:r w:rsidRPr="00D71008">
        <w:t>supply</w:t>
      </w:r>
      <w:r w:rsidRPr="00D71008">
        <w:rPr>
          <w:spacing w:val="-8"/>
        </w:rPr>
        <w:t xml:space="preserve"> </w:t>
      </w:r>
      <w:r w:rsidRPr="00D71008">
        <w:rPr>
          <w:spacing w:val="-2"/>
        </w:rPr>
        <w:t>industry</w:t>
      </w:r>
    </w:p>
  </w:footnote>
  <w:footnote w:id="236">
    <w:p w14:paraId="08DB5710" w14:textId="41ACD2C9" w:rsidR="00944551" w:rsidRPr="00D71008" w:rsidRDefault="00944551">
      <w:pPr>
        <w:pStyle w:val="FootnoteText"/>
      </w:pPr>
      <w:r w:rsidRPr="00D71008">
        <w:rPr>
          <w:rStyle w:val="FootnoteReference"/>
        </w:rPr>
        <w:footnoteRef/>
      </w:r>
      <w:r w:rsidRPr="00D71008">
        <w:t xml:space="preserve"> </w:t>
      </w:r>
      <w:r w:rsidR="00BE29D8" w:rsidRPr="00D71008">
        <w:rPr>
          <w:i/>
        </w:rPr>
        <w:t>Op.cit</w:t>
      </w:r>
      <w:r w:rsidR="003245E3" w:rsidRPr="00D71008">
        <w:t xml:space="preserve">: </w:t>
      </w:r>
      <w:r w:rsidRPr="00D71008">
        <w:t>Statement supported by A</w:t>
      </w:r>
      <w:r w:rsidR="00F7480D" w:rsidRPr="00D71008">
        <w:t>DN</w:t>
      </w:r>
      <w:r w:rsidRPr="00D71008">
        <w:t xml:space="preserve"> mobilités and 3 other MDMS platforms </w:t>
      </w:r>
      <w:r w:rsidR="00F7480D" w:rsidRPr="00D71008">
        <w:t>as well as 1 ‘Other’ stakeholder.</w:t>
      </w:r>
    </w:p>
  </w:footnote>
  <w:footnote w:id="237">
    <w:p w14:paraId="15444E04" w14:textId="3B39CABF" w:rsidR="007C6DFA" w:rsidRPr="00D71008" w:rsidRDefault="007C6DFA">
      <w:pPr>
        <w:pStyle w:val="FootnoteText"/>
      </w:pPr>
      <w:r w:rsidRPr="00D71008">
        <w:rPr>
          <w:rStyle w:val="FootnoteReference"/>
        </w:rPr>
        <w:footnoteRef/>
      </w:r>
      <w:r w:rsidRPr="00D71008">
        <w:t xml:space="preserve"> Mentioned by 13 MDMS platforms/industry associations including </w:t>
      </w:r>
      <w:r w:rsidR="00B668AF" w:rsidRPr="00D71008">
        <w:t>ADN Mobilités, Skyscanner, Dohop, ECTAA, EUTT, SRF</w:t>
      </w:r>
    </w:p>
  </w:footnote>
  <w:footnote w:id="238">
    <w:p w14:paraId="691D017D" w14:textId="77777777" w:rsidR="00957368" w:rsidRPr="00D71008" w:rsidRDefault="00957368" w:rsidP="00957368">
      <w:pPr>
        <w:pStyle w:val="FootnoteText"/>
      </w:pPr>
      <w:r w:rsidRPr="00D71008">
        <w:rPr>
          <w:rStyle w:val="FootnoteReference"/>
        </w:rPr>
        <w:footnoteRef/>
      </w:r>
      <w:r w:rsidRPr="00D71008">
        <w:t xml:space="preserve"> Mentioned in interviews by one airline association</w:t>
      </w:r>
    </w:p>
  </w:footnote>
  <w:footnote w:id="239">
    <w:p w14:paraId="1D412E0D" w14:textId="6447A26B" w:rsidR="00453FC6" w:rsidRPr="00D71008" w:rsidRDefault="00453FC6" w:rsidP="00453FC6">
      <w:pPr>
        <w:pStyle w:val="FootnoteText"/>
      </w:pPr>
      <w:r w:rsidRPr="00D71008">
        <w:rPr>
          <w:rStyle w:val="FootnoteReference"/>
        </w:rPr>
        <w:footnoteRef/>
      </w:r>
      <w:r w:rsidRPr="00D71008">
        <w:t xml:space="preserve"> </w:t>
      </w:r>
      <w:r w:rsidR="003245E3" w:rsidRPr="00D71008">
        <w:t xml:space="preserve">Ricardo (2025), </w:t>
      </w:r>
      <w:r w:rsidR="003245E3" w:rsidRPr="00D71008">
        <w:rPr>
          <w:i/>
        </w:rPr>
        <w:t>Interview analysis</w:t>
      </w:r>
      <w:r w:rsidR="003245E3" w:rsidRPr="00D71008">
        <w:t xml:space="preserve">: Statement supported by </w:t>
      </w:r>
      <w:r w:rsidRPr="00D71008">
        <w:t xml:space="preserve">ADN </w:t>
      </w:r>
      <w:r w:rsidR="005109C6" w:rsidRPr="00D71008">
        <w:t>M</w:t>
      </w:r>
      <w:r w:rsidRPr="00D71008">
        <w:t>obilités</w:t>
      </w:r>
    </w:p>
  </w:footnote>
  <w:footnote w:id="240">
    <w:p w14:paraId="64FBCEC0" w14:textId="77777777" w:rsidR="000F2034" w:rsidRPr="00D71008" w:rsidRDefault="000F2034" w:rsidP="000F2034">
      <w:pPr>
        <w:pStyle w:val="FootnoteText"/>
      </w:pPr>
      <w:r w:rsidRPr="00D71008">
        <w:rPr>
          <w:rStyle w:val="FootnoteReference"/>
        </w:rPr>
        <w:footnoteRef/>
      </w:r>
      <w:r w:rsidRPr="00D71008">
        <w:t xml:space="preserve"> Statement supported by EUTT and 2 other MDMS platforms in the air sector.</w:t>
      </w:r>
    </w:p>
  </w:footnote>
  <w:footnote w:id="241">
    <w:p w14:paraId="2B3788B3" w14:textId="77777777" w:rsidR="000F2034" w:rsidRPr="00D71008" w:rsidRDefault="000F2034" w:rsidP="000F2034">
      <w:pPr>
        <w:pStyle w:val="FootnoteText"/>
      </w:pPr>
      <w:r w:rsidRPr="00D71008">
        <w:rPr>
          <w:rStyle w:val="FootnoteReference"/>
        </w:rPr>
        <w:footnoteRef/>
      </w:r>
      <w:r w:rsidRPr="00D71008">
        <w:t xml:space="preserve"> </w:t>
      </w:r>
      <w:r w:rsidRPr="00D71008">
        <w:rPr>
          <w:i/>
        </w:rPr>
        <w:t>Op.cit.</w:t>
      </w:r>
      <w:r w:rsidRPr="00D71008">
        <w:t>: Statement supported by ADN Mobilités, sectorial organization representing French-based independent platforms</w:t>
      </w:r>
    </w:p>
  </w:footnote>
  <w:footnote w:id="242">
    <w:p w14:paraId="0C83F28D" w14:textId="77777777" w:rsidR="000F2034" w:rsidRPr="00D71008" w:rsidRDefault="000F2034" w:rsidP="000F2034">
      <w:pPr>
        <w:pStyle w:val="FootnoteText"/>
      </w:pPr>
      <w:r w:rsidRPr="00D71008">
        <w:rPr>
          <w:rStyle w:val="FootnoteReference"/>
        </w:rPr>
        <w:footnoteRef/>
      </w:r>
      <w:r w:rsidRPr="00D71008">
        <w:t xml:space="preserve"> The industry association All Rail and Westbahn</w:t>
      </w:r>
    </w:p>
  </w:footnote>
  <w:footnote w:id="243">
    <w:p w14:paraId="3CFCD58D" w14:textId="77777777" w:rsidR="000F2034" w:rsidRPr="00D71008" w:rsidRDefault="000F2034" w:rsidP="000F2034">
      <w:pPr>
        <w:pStyle w:val="FootnoteText"/>
      </w:pPr>
      <w:r w:rsidRPr="00D71008">
        <w:rPr>
          <w:rStyle w:val="FootnoteReference"/>
        </w:rPr>
        <w:footnoteRef/>
      </w:r>
      <w:r w:rsidRPr="00D71008">
        <w:t xml:space="preserve"> </w:t>
      </w:r>
      <w:r w:rsidRPr="00D71008">
        <w:rPr>
          <w:i/>
        </w:rPr>
        <w:t>Op.cit</w:t>
      </w:r>
      <w:r w:rsidRPr="00D71008">
        <w:t xml:space="preserve">: </w:t>
      </w:r>
      <w:r w:rsidRPr="00D71008">
        <w:rPr>
          <w:rFonts w:cs="Arial"/>
        </w:rPr>
        <w:t>Statement supported by two new entrants in rail sector (including WestBahn), one MDMS provider, one national authority, and four ‘others’.</w:t>
      </w:r>
    </w:p>
  </w:footnote>
  <w:footnote w:id="244">
    <w:p w14:paraId="1932A049" w14:textId="77777777" w:rsidR="009F6A24" w:rsidRPr="00D71008" w:rsidRDefault="009F6A24" w:rsidP="009F6A24">
      <w:pPr>
        <w:pStyle w:val="FootnoteText"/>
      </w:pPr>
      <w:r w:rsidRPr="00D71008">
        <w:rPr>
          <w:rStyle w:val="FootnoteReference"/>
        </w:rPr>
        <w:footnoteRef/>
      </w:r>
      <w:r w:rsidRPr="00D71008">
        <w:t xml:space="preserve"> Mentioned by three incumbent </w:t>
      </w:r>
      <w:r>
        <w:t>RU</w:t>
      </w:r>
      <w:r w:rsidRPr="00D71008">
        <w:t>s and their industry association CER</w:t>
      </w:r>
    </w:p>
  </w:footnote>
  <w:footnote w:id="245">
    <w:p w14:paraId="463BD3E1" w14:textId="77777777" w:rsidR="009F6A24" w:rsidRPr="00D71008" w:rsidRDefault="009F6A24" w:rsidP="009F6A24">
      <w:pPr>
        <w:pStyle w:val="FootnoteText"/>
      </w:pPr>
      <w:r w:rsidRPr="00D71008">
        <w:rPr>
          <w:rStyle w:val="FootnoteReference"/>
        </w:rPr>
        <w:footnoteRef/>
      </w:r>
      <w:r w:rsidRPr="00D71008">
        <w:t xml:space="preserve"> Ricardo (2025): Interview analysis, Statement supported by 3 out of 16 MDMS including EUTT and Dohop, and 3 </w:t>
      </w:r>
      <w:r>
        <w:t>RU</w:t>
      </w:r>
      <w:r w:rsidRPr="00D71008">
        <w:t xml:space="preserve">s with SMP including CER and DB. </w:t>
      </w:r>
    </w:p>
  </w:footnote>
  <w:footnote w:id="246">
    <w:p w14:paraId="391A1AB6" w14:textId="4427ED20" w:rsidR="00AE0059" w:rsidRPr="00D71008" w:rsidRDefault="00AE0059">
      <w:pPr>
        <w:pStyle w:val="FootnoteText"/>
      </w:pPr>
      <w:r w:rsidRPr="00D71008">
        <w:rPr>
          <w:rStyle w:val="FootnoteReference"/>
        </w:rPr>
        <w:footnoteRef/>
      </w:r>
      <w:r w:rsidRPr="00D71008">
        <w:t xml:space="preserve"> Transport operators </w:t>
      </w:r>
      <w:r w:rsidR="00940732" w:rsidRPr="00D71008">
        <w:t xml:space="preserve">were 10 out of </w:t>
      </w:r>
      <w:r w:rsidR="00863B13" w:rsidRPr="00D71008">
        <w:t xml:space="preserve">19 to be neutral and 5 to find it effective, </w:t>
      </w:r>
      <w:r w:rsidR="0097602E" w:rsidRPr="00D71008">
        <w:t xml:space="preserve">MDMS platforms were 5 out of </w:t>
      </w:r>
      <w:r w:rsidR="00E54F7F" w:rsidRPr="00D71008">
        <w:t xml:space="preserve">17 to be </w:t>
      </w:r>
      <w:r w:rsidR="004703A6" w:rsidRPr="00D71008">
        <w:t xml:space="preserve">neutral, and 3 to find it effective, </w:t>
      </w:r>
      <w:r w:rsidR="008B51A1" w:rsidRPr="00D71008">
        <w:t xml:space="preserve">while 2 out of </w:t>
      </w:r>
      <w:r w:rsidR="00F702F4" w:rsidRPr="00D71008">
        <w:t xml:space="preserve">11 </w:t>
      </w:r>
      <w:r w:rsidR="009645D1" w:rsidRPr="00D71008">
        <w:t xml:space="preserve">national authorities </w:t>
      </w:r>
      <w:r w:rsidR="00F702F4" w:rsidRPr="00D71008">
        <w:t xml:space="preserve">were neutral and 6 </w:t>
      </w:r>
      <w:r w:rsidR="00390720" w:rsidRPr="00D71008">
        <w:t xml:space="preserve">find it effective and 3 out of </w:t>
      </w:r>
      <w:r w:rsidR="00E33770" w:rsidRPr="00D71008">
        <w:t xml:space="preserve">9 Others </w:t>
      </w:r>
      <w:r w:rsidR="00AD3EDE" w:rsidRPr="00D71008">
        <w:t xml:space="preserve">found PM6 effective and 2 were neutral. </w:t>
      </w:r>
    </w:p>
  </w:footnote>
  <w:footnote w:id="247">
    <w:p w14:paraId="4CA21F89" w14:textId="1E2A9503" w:rsidR="001C3A37" w:rsidRPr="00D71008" w:rsidRDefault="001C3A37">
      <w:pPr>
        <w:pStyle w:val="FootnoteText"/>
      </w:pPr>
      <w:r w:rsidRPr="00D71008">
        <w:rPr>
          <w:rStyle w:val="FootnoteReference"/>
        </w:rPr>
        <w:footnoteRef/>
      </w:r>
      <w:r w:rsidRPr="00D71008">
        <w:t xml:space="preserve"> </w:t>
      </w:r>
      <w:r w:rsidR="00FA7C04" w:rsidRPr="00D71008">
        <w:t>In total</w:t>
      </w:r>
      <w:r w:rsidR="00634EA9" w:rsidRPr="00D71008">
        <w:t xml:space="preserve">, from </w:t>
      </w:r>
      <w:r w:rsidR="00FA7C04" w:rsidRPr="00D71008">
        <w:t xml:space="preserve">10 out of </w:t>
      </w:r>
      <w:r w:rsidR="00634EA9" w:rsidRPr="00D71008">
        <w:t xml:space="preserve">17 </w:t>
      </w:r>
      <w:r w:rsidR="008A71E7" w:rsidRPr="00D71008">
        <w:t>MDMS platforms</w:t>
      </w:r>
      <w:r w:rsidR="00634EA9" w:rsidRPr="00D71008">
        <w:t xml:space="preserve">, </w:t>
      </w:r>
      <w:r w:rsidR="0012710D" w:rsidRPr="00D71008">
        <w:t xml:space="preserve">18 out of </w:t>
      </w:r>
      <w:r w:rsidR="002D5E40" w:rsidRPr="00D71008">
        <w:t xml:space="preserve">27 </w:t>
      </w:r>
      <w:r w:rsidR="008A71E7" w:rsidRPr="00D71008">
        <w:t xml:space="preserve">transport operators, </w:t>
      </w:r>
      <w:r w:rsidR="005F138B" w:rsidRPr="00D71008">
        <w:t xml:space="preserve">6 out of </w:t>
      </w:r>
      <w:r w:rsidR="0017481C" w:rsidRPr="00D71008">
        <w:t xml:space="preserve">10 national authorities, </w:t>
      </w:r>
      <w:r w:rsidR="00066BC4" w:rsidRPr="00D71008">
        <w:t>4 out of 10 Others</w:t>
      </w:r>
      <w:r w:rsidR="006C5939" w:rsidRPr="00D71008">
        <w:t>.</w:t>
      </w:r>
    </w:p>
  </w:footnote>
  <w:footnote w:id="248">
    <w:p w14:paraId="6FD5DE66" w14:textId="42A853BE" w:rsidR="005B4201" w:rsidRPr="00D71008" w:rsidRDefault="005B4201">
      <w:pPr>
        <w:pStyle w:val="FootnoteText"/>
      </w:pPr>
      <w:r w:rsidRPr="00D71008">
        <w:rPr>
          <w:rStyle w:val="FootnoteReference"/>
        </w:rPr>
        <w:footnoteRef/>
      </w:r>
      <w:r w:rsidRPr="00D71008">
        <w:t xml:space="preserve"> Stated </w:t>
      </w:r>
      <w:r w:rsidR="00C82C6E" w:rsidRPr="00D71008">
        <w:t xml:space="preserve">in interview </w:t>
      </w:r>
      <w:r w:rsidRPr="00D71008">
        <w:t>by A</w:t>
      </w:r>
      <w:r w:rsidR="00DE15FD">
        <w:t>DN</w:t>
      </w:r>
      <w:r w:rsidRPr="00D71008">
        <w:t xml:space="preserve"> Mobilités, </w:t>
      </w:r>
      <w:r w:rsidR="00F62777" w:rsidRPr="00D71008">
        <w:t xml:space="preserve">EUTT, </w:t>
      </w:r>
      <w:r w:rsidRPr="00D71008">
        <w:t xml:space="preserve">EPF, </w:t>
      </w:r>
      <w:r w:rsidR="00C82C6E" w:rsidRPr="00D71008">
        <w:t>one national authority</w:t>
      </w:r>
    </w:p>
  </w:footnote>
  <w:footnote w:id="249">
    <w:p w14:paraId="6524A68A" w14:textId="13371D65" w:rsidR="00063924" w:rsidRPr="00D71008" w:rsidRDefault="00063924">
      <w:pPr>
        <w:pStyle w:val="FootnoteText"/>
      </w:pPr>
      <w:r w:rsidRPr="00D71008">
        <w:rPr>
          <w:rStyle w:val="FootnoteReference"/>
        </w:rPr>
        <w:footnoteRef/>
      </w:r>
      <w:r w:rsidRPr="00D71008">
        <w:t xml:space="preserve"> </w:t>
      </w:r>
      <w:r w:rsidR="00927C57" w:rsidRPr="00D71008">
        <w:t xml:space="preserve">Stated interviews by </w:t>
      </w:r>
      <w:r w:rsidRPr="00D71008">
        <w:t>CER</w:t>
      </w:r>
      <w:r w:rsidR="002C56BC" w:rsidRPr="00D71008">
        <w:t xml:space="preserve"> (representative of </w:t>
      </w:r>
      <w:r w:rsidR="001358ED">
        <w:t>RU</w:t>
      </w:r>
      <w:r w:rsidR="002C56BC" w:rsidRPr="00D71008">
        <w:t>s)</w:t>
      </w:r>
      <w:r w:rsidRPr="00D71008">
        <w:t>, DB</w:t>
      </w:r>
      <w:r w:rsidR="002C56BC" w:rsidRPr="00D71008">
        <w:t xml:space="preserve"> (German incumbent </w:t>
      </w:r>
      <w:r w:rsidR="001358ED">
        <w:t>RU</w:t>
      </w:r>
      <w:r w:rsidR="002C56BC" w:rsidRPr="00D71008">
        <w:t>)</w:t>
      </w:r>
      <w:r w:rsidRPr="00D71008">
        <w:t>, SNCF</w:t>
      </w:r>
      <w:r w:rsidR="002C56BC" w:rsidRPr="00D71008">
        <w:t xml:space="preserve"> (French incumbent </w:t>
      </w:r>
      <w:r w:rsidR="001358ED">
        <w:t>RU</w:t>
      </w:r>
      <w:r w:rsidR="002C56BC" w:rsidRPr="00D71008">
        <w:t>)</w:t>
      </w:r>
      <w:r w:rsidRPr="00D71008">
        <w:t>, UITP</w:t>
      </w:r>
      <w:r w:rsidR="002C56BC" w:rsidRPr="00D71008">
        <w:t xml:space="preserve"> (representative of </w:t>
      </w:r>
      <w:r w:rsidR="00927C57" w:rsidRPr="00D71008">
        <w:t>urban public transport services)</w:t>
      </w:r>
    </w:p>
  </w:footnote>
  <w:footnote w:id="250">
    <w:p w14:paraId="1B949224" w14:textId="77777777" w:rsidR="00C741ED" w:rsidRPr="004E336D" w:rsidRDefault="00C741ED" w:rsidP="00C741ED">
      <w:pPr>
        <w:pStyle w:val="FootnoteText"/>
      </w:pPr>
      <w:r>
        <w:rPr>
          <w:rStyle w:val="FootnoteReference"/>
        </w:rPr>
        <w:footnoteRef/>
      </w:r>
      <w:r>
        <w:t xml:space="preserve"> MPMF final report (2022), p.32</w:t>
      </w:r>
    </w:p>
  </w:footnote>
  <w:footnote w:id="251">
    <w:p w14:paraId="6791C74C" w14:textId="77777777" w:rsidR="00C741ED" w:rsidRPr="00F24B29" w:rsidRDefault="00C741ED" w:rsidP="00C741ED">
      <w:pPr>
        <w:pStyle w:val="FootnoteText"/>
      </w:pPr>
      <w:r>
        <w:rPr>
          <w:rStyle w:val="FootnoteReference"/>
        </w:rPr>
        <w:footnoteRef/>
      </w:r>
      <w:r>
        <w:t xml:space="preserve"> Ibid p.26</w:t>
      </w:r>
    </w:p>
  </w:footnote>
  <w:footnote w:id="252">
    <w:p w14:paraId="451F8880" w14:textId="6490EAA9" w:rsidR="00422805" w:rsidRPr="00D71008" w:rsidRDefault="00422805">
      <w:pPr>
        <w:pStyle w:val="FootnoteText"/>
      </w:pPr>
      <w:r w:rsidRPr="00D71008">
        <w:rPr>
          <w:rStyle w:val="FootnoteReference"/>
        </w:rPr>
        <w:footnoteRef/>
      </w:r>
      <w:r w:rsidRPr="00D71008">
        <w:t xml:space="preserve"> </w:t>
      </w:r>
      <w:r w:rsidRPr="00D71008">
        <w:rPr>
          <w:rFonts w:cs="Arial"/>
        </w:rPr>
        <w:t>two MDMS providers including ADN Mobilités, an incumbent rail operator, an association of airlines, the public transport operators association UITP, two national authorities and other organizations such as ECTAA</w:t>
      </w:r>
    </w:p>
  </w:footnote>
  <w:footnote w:id="253">
    <w:p w14:paraId="41A2E59B" w14:textId="2ED69AA7" w:rsidR="00C91C05" w:rsidRPr="00D71008" w:rsidRDefault="00C91C05">
      <w:pPr>
        <w:pStyle w:val="FootnoteText"/>
      </w:pPr>
      <w:r w:rsidRPr="00D71008">
        <w:rPr>
          <w:rStyle w:val="FootnoteReference"/>
        </w:rPr>
        <w:footnoteRef/>
      </w:r>
      <w:r w:rsidRPr="00D71008">
        <w:t xml:space="preserve"> </w:t>
      </w:r>
      <w:r w:rsidRPr="00D71008">
        <w:rPr>
          <w:rFonts w:cs="Arial"/>
        </w:rPr>
        <w:t xml:space="preserve">voiced by two </w:t>
      </w:r>
      <w:r w:rsidR="00B30650" w:rsidRPr="00D71008">
        <w:rPr>
          <w:rFonts w:cs="Arial"/>
        </w:rPr>
        <w:t xml:space="preserve">incumbent </w:t>
      </w:r>
      <w:r w:rsidR="001358ED">
        <w:rPr>
          <w:rFonts w:cs="Arial"/>
        </w:rPr>
        <w:t>RU</w:t>
      </w:r>
      <w:r w:rsidRPr="00D71008">
        <w:rPr>
          <w:rFonts w:cs="Arial"/>
        </w:rPr>
        <w:t xml:space="preserve">s / rail association including CER, </w:t>
      </w:r>
      <w:r w:rsidR="003C2F8B" w:rsidRPr="00D71008">
        <w:rPr>
          <w:rFonts w:cs="Arial"/>
        </w:rPr>
        <w:t xml:space="preserve">and two MDMS industry associations </w:t>
      </w:r>
      <w:r w:rsidR="00741889" w:rsidRPr="00D71008">
        <w:rPr>
          <w:rFonts w:cs="Arial"/>
        </w:rPr>
        <w:t>EUTT</w:t>
      </w:r>
      <w:r w:rsidR="003C2F8B" w:rsidRPr="00D71008">
        <w:rPr>
          <w:rFonts w:cs="Arial"/>
        </w:rPr>
        <w:t xml:space="preserve"> and</w:t>
      </w:r>
      <w:r w:rsidR="00741889" w:rsidRPr="00D71008">
        <w:rPr>
          <w:rFonts w:cs="Arial"/>
        </w:rPr>
        <w:t xml:space="preserve"> ADN Mobilités</w:t>
      </w:r>
    </w:p>
  </w:footnote>
  <w:footnote w:id="254">
    <w:p w14:paraId="4461C129" w14:textId="0718911C" w:rsidR="00061875" w:rsidRPr="00D71008" w:rsidRDefault="00061875">
      <w:pPr>
        <w:pStyle w:val="FootnoteText"/>
      </w:pPr>
      <w:r w:rsidRPr="00D71008">
        <w:rPr>
          <w:rStyle w:val="FootnoteReference"/>
        </w:rPr>
        <w:footnoteRef/>
      </w:r>
      <w:r w:rsidRPr="00D71008">
        <w:t xml:space="preserve"> </w:t>
      </w:r>
      <w:r w:rsidR="00BF5BD8" w:rsidRPr="00D71008">
        <w:t xml:space="preserve">Statement shared in interview by DB, CER, SNCF </w:t>
      </w:r>
      <w:r w:rsidR="0034303E" w:rsidRPr="00D71008">
        <w:t>and UITP</w:t>
      </w:r>
    </w:p>
  </w:footnote>
  <w:footnote w:id="255">
    <w:p w14:paraId="5DD1536E" w14:textId="72A23A2A" w:rsidR="00FD41E3" w:rsidRPr="00D71008" w:rsidRDefault="00FD41E3">
      <w:pPr>
        <w:pStyle w:val="FootnoteText"/>
      </w:pPr>
      <w:r w:rsidRPr="00D71008">
        <w:rPr>
          <w:rStyle w:val="FootnoteReference"/>
        </w:rPr>
        <w:footnoteRef/>
      </w:r>
      <w:r w:rsidRPr="00D71008">
        <w:t xml:space="preserve"> Statement shared in interview by </w:t>
      </w:r>
      <w:r w:rsidR="00385FAE">
        <w:t>a new entrant RU</w:t>
      </w:r>
      <w:r w:rsidRPr="00D71008">
        <w:t>, All</w:t>
      </w:r>
      <w:r w:rsidR="00E84209" w:rsidRPr="00D71008">
        <w:t xml:space="preserve"> </w:t>
      </w:r>
      <w:r w:rsidRPr="00D71008">
        <w:t>rail</w:t>
      </w:r>
    </w:p>
  </w:footnote>
  <w:footnote w:id="256">
    <w:p w14:paraId="10978B97" w14:textId="3AB7EFD7" w:rsidR="00A01EDD" w:rsidRPr="00D71008" w:rsidRDefault="00A01EDD" w:rsidP="00A01EDD">
      <w:pPr>
        <w:pStyle w:val="FootnoteText"/>
        <w:tabs>
          <w:tab w:val="left" w:pos="284"/>
        </w:tabs>
      </w:pPr>
      <w:r w:rsidRPr="00D71008">
        <w:rPr>
          <w:rStyle w:val="FootnoteReference"/>
        </w:rPr>
        <w:footnoteRef/>
      </w:r>
      <w:r w:rsidRPr="00D71008">
        <w:t xml:space="preserve"> </w:t>
      </w:r>
      <w:r w:rsidR="00E52A40" w:rsidRPr="00D71008">
        <w:t xml:space="preserve">Ricardo et al. (2026), Study supporting the </w:t>
      </w:r>
      <w:r w:rsidR="008E5E17">
        <w:t>RMB</w:t>
      </w:r>
      <w:r w:rsidR="00E52A40" w:rsidRPr="00D71008">
        <w:t xml:space="preserve"> and </w:t>
      </w:r>
      <w:r w:rsidR="008E5E17">
        <w:t>RTR</w:t>
      </w:r>
      <w:r w:rsidR="00E52A40" w:rsidRPr="00D71008">
        <w:t xml:space="preserve"> Impact assessment.</w:t>
      </w:r>
    </w:p>
  </w:footnote>
  <w:footnote w:id="257">
    <w:p w14:paraId="02EC4463" w14:textId="77777777" w:rsidR="006E465B" w:rsidRPr="005944FB" w:rsidRDefault="006E465B" w:rsidP="006E465B">
      <w:pPr>
        <w:pStyle w:val="FootnoteText"/>
        <w:rPr>
          <w:lang w:val="fr-BE"/>
        </w:rPr>
      </w:pPr>
      <w:r w:rsidRPr="00D71008">
        <w:rPr>
          <w:rStyle w:val="FootnoteReference"/>
        </w:rPr>
        <w:footnoteRef/>
      </w:r>
      <w:r w:rsidRPr="005944FB">
        <w:rPr>
          <w:lang w:val="fr-BE"/>
        </w:rPr>
        <w:t xml:space="preserve"> </w:t>
      </w:r>
      <w:hyperlink r:id="rId38" w:history="1">
        <w:r w:rsidRPr="005944FB">
          <w:rPr>
            <w:rStyle w:val="Hyperlink"/>
            <w:lang w:val="fr-BE"/>
          </w:rPr>
          <w:t>EUR-Lex - 52024DC0063 - EN - EUR-Lex (europa.eu)</w:t>
        </w:r>
      </w:hyperlink>
    </w:p>
  </w:footnote>
  <w:footnote w:id="258">
    <w:p w14:paraId="3D082C0F" w14:textId="77777777" w:rsidR="006E465B" w:rsidRPr="00D71008" w:rsidRDefault="006E465B" w:rsidP="006E465B">
      <w:pPr>
        <w:pStyle w:val="FootnoteText"/>
      </w:pPr>
      <w:r w:rsidRPr="00D71008">
        <w:rPr>
          <w:rStyle w:val="FootnoteReference"/>
        </w:rPr>
        <w:footnoteRef/>
      </w:r>
      <w:r w:rsidRPr="00D71008">
        <w:t xml:space="preserve"> </w:t>
      </w:r>
      <w:hyperlink r:id="rId39" w:history="1">
        <w:r w:rsidRPr="00D71008">
          <w:rPr>
            <w:rStyle w:val="Hyperlink"/>
          </w:rPr>
          <w:t>Delivering the European Green Deal | European Commission (europa.eu)</w:t>
        </w:r>
      </w:hyperlink>
    </w:p>
  </w:footnote>
  <w:footnote w:id="259">
    <w:p w14:paraId="7D8F07BA" w14:textId="77777777" w:rsidR="006E465B" w:rsidRPr="005944FB" w:rsidRDefault="006E465B" w:rsidP="006E465B">
      <w:pPr>
        <w:pStyle w:val="FootnoteText"/>
        <w:tabs>
          <w:tab w:val="left" w:pos="567"/>
        </w:tabs>
        <w:rPr>
          <w:lang w:val="fr-BE"/>
        </w:rPr>
      </w:pPr>
      <w:r w:rsidRPr="00D71008">
        <w:rPr>
          <w:rStyle w:val="FootnoteReference"/>
        </w:rPr>
        <w:footnoteRef/>
      </w:r>
      <w:r w:rsidRPr="005944FB">
        <w:rPr>
          <w:lang w:val="fr-BE"/>
        </w:rPr>
        <w:t xml:space="preserve"> </w:t>
      </w:r>
      <w:r w:rsidRPr="005944FB">
        <w:rPr>
          <w:shd w:val="clear" w:color="auto" w:fill="FFFFFF"/>
          <w:lang w:val="fr-BE"/>
        </w:rPr>
        <w:t>SWD(2020)176 final</w:t>
      </w:r>
    </w:p>
  </w:footnote>
  <w:footnote w:id="260">
    <w:p w14:paraId="732857F6" w14:textId="695A028B" w:rsidR="006E465B" w:rsidRPr="005944FB" w:rsidRDefault="006E465B" w:rsidP="006E465B">
      <w:pPr>
        <w:pStyle w:val="FootnoteText"/>
        <w:tabs>
          <w:tab w:val="left" w:pos="142"/>
        </w:tabs>
        <w:rPr>
          <w:lang w:val="fr-BE"/>
        </w:rPr>
      </w:pPr>
      <w:r w:rsidRPr="00D71008">
        <w:rPr>
          <w:rStyle w:val="FootnoteReference"/>
        </w:rPr>
        <w:footnoteRef/>
      </w:r>
      <w:r w:rsidRPr="005944FB">
        <w:rPr>
          <w:lang w:val="fr-BE"/>
        </w:rPr>
        <w:t xml:space="preserve"> EUR-Lex - 52020SC0331 - EN - EUR-Lex (europa.eu)</w:t>
      </w:r>
    </w:p>
  </w:footnote>
  <w:footnote w:id="261">
    <w:p w14:paraId="6DC3800F" w14:textId="3D207DEA" w:rsidR="006E465B" w:rsidRPr="00D71008" w:rsidRDefault="006E465B" w:rsidP="006E465B">
      <w:pPr>
        <w:pStyle w:val="FootnoteText"/>
        <w:tabs>
          <w:tab w:val="left" w:pos="709"/>
        </w:tabs>
      </w:pPr>
      <w:r w:rsidRPr="00D71008">
        <w:rPr>
          <w:rStyle w:val="FootnoteReference"/>
        </w:rPr>
        <w:footnoteRef/>
      </w:r>
      <w:r w:rsidRPr="00D71008">
        <w:t xml:space="preserve"> Source: 2050 long-term strategy (europa.eu)</w:t>
      </w:r>
    </w:p>
  </w:footnote>
  <w:footnote w:id="262">
    <w:p w14:paraId="64B861F7" w14:textId="51E19F71" w:rsidR="0088495D" w:rsidRPr="00D71008" w:rsidRDefault="0088495D" w:rsidP="001155E4">
      <w:pPr>
        <w:pStyle w:val="FootnoteText"/>
      </w:pPr>
      <w:r w:rsidRPr="00D71008">
        <w:rPr>
          <w:rStyle w:val="FootnoteReference"/>
        </w:rPr>
        <w:footnoteRef/>
      </w:r>
      <w:r w:rsidRPr="00D71008">
        <w:t xml:space="preserve"> </w:t>
      </w:r>
      <w:r w:rsidR="001155E4" w:rsidRPr="00D71008">
        <w:t xml:space="preserve">For example, </w:t>
      </w:r>
      <w:hyperlink r:id="rId40" w:history="1">
        <w:r w:rsidRPr="00D71008">
          <w:rPr>
            <w:rStyle w:val="Hyperlink"/>
          </w:rPr>
          <w:t>Register of Commission Documents - SWD(2023)351</w:t>
        </w:r>
      </w:hyperlink>
      <w:r w:rsidR="003A22CB" w:rsidRPr="00D71008">
        <w:t xml:space="preserve">; </w:t>
      </w:r>
      <w:hyperlink r:id="rId41" w:history="1">
        <w:r w:rsidR="003A22CB" w:rsidRPr="00D71008">
          <w:rPr>
            <w:rStyle w:val="Hyperlink"/>
          </w:rPr>
          <w:t>Register of Commission Documents - SWD(2023)443</w:t>
        </w:r>
      </w:hyperlink>
      <w:r w:rsidR="003A22CB" w:rsidRPr="00D71008">
        <w:t xml:space="preserve">; </w:t>
      </w:r>
      <w:hyperlink r:id="rId42" w:history="1">
        <w:r w:rsidR="00D7599A" w:rsidRPr="00D71008">
          <w:rPr>
            <w:rStyle w:val="Hyperlink"/>
          </w:rPr>
          <w:t>Register of Commission Documents - SWD(2021)472</w:t>
        </w:r>
      </w:hyperlink>
      <w:r w:rsidR="001155E4" w:rsidRPr="00D71008">
        <w:t xml:space="preserve">; </w:t>
      </w:r>
      <w:hyperlink r:id="rId43" w:history="1">
        <w:r w:rsidR="001155E4" w:rsidRPr="00D71008">
          <w:rPr>
            <w:rStyle w:val="Hyperlink"/>
          </w:rPr>
          <w:t>Register of Commission Documents - SWD(2021)474</w:t>
        </w:r>
      </w:hyperlink>
    </w:p>
  </w:footnote>
  <w:footnote w:id="263">
    <w:p w14:paraId="79A1A653" w14:textId="77777777" w:rsidR="00AB3983" w:rsidRPr="00D71008" w:rsidRDefault="00AB3983" w:rsidP="00AB3983">
      <w:pPr>
        <w:pStyle w:val="FootnoteText"/>
      </w:pPr>
      <w:r w:rsidRPr="00D71008">
        <w:rPr>
          <w:rStyle w:val="FootnoteReference"/>
        </w:rPr>
        <w:footnoteRef/>
      </w:r>
      <w:r w:rsidRPr="00D71008">
        <w:t xml:space="preserve"> </w:t>
      </w:r>
      <w:hyperlink r:id="rId44" w:history="1">
        <w:r w:rsidRPr="005A0993">
          <w:rPr>
            <w:rStyle w:val="Hyperlink"/>
          </w:rPr>
          <w:t>Flash Eurobarometer 551</w:t>
        </w:r>
      </w:hyperlink>
      <w:r w:rsidRPr="008B6316">
        <w:t xml:space="preserve"> - Multimodal Digital Mobility Service – August – September 2024</w:t>
      </w:r>
    </w:p>
  </w:footnote>
  <w:footnote w:id="264">
    <w:p w14:paraId="2FC2CB50" w14:textId="3E851092" w:rsidR="001D5626" w:rsidRPr="005D2D60" w:rsidRDefault="001D5626">
      <w:pPr>
        <w:pStyle w:val="FootnoteText"/>
      </w:pPr>
      <w:r>
        <w:rPr>
          <w:rStyle w:val="FootnoteReference"/>
        </w:rPr>
        <w:footnoteRef/>
      </w:r>
      <w:r>
        <w:t xml:space="preserve"> </w:t>
      </w:r>
      <w:r w:rsidRPr="001D5626">
        <w:t>The Nomenclature of territorial units for statistics (NUTS) is a geographical nomenclature subdividing the EU territory into regions at three different levels (NUTS1, NUTS2 and NUTS3 respectively, moving from larger to smaller territorial units). NUTS3 regions are those with population between 150,000 and 800,000.</w:t>
      </w:r>
    </w:p>
  </w:footnote>
  <w:footnote w:id="265">
    <w:p w14:paraId="6F0A160C" w14:textId="6D3C4170" w:rsidR="00A01EDD" w:rsidRPr="00D71008" w:rsidRDefault="00A01EDD" w:rsidP="00A01EDD">
      <w:pPr>
        <w:pStyle w:val="FootnoteText"/>
      </w:pPr>
      <w:r w:rsidRPr="00D71008">
        <w:rPr>
          <w:rStyle w:val="FootnoteReference"/>
        </w:rPr>
        <w:footnoteRef/>
      </w:r>
      <w:r w:rsidRPr="00D71008">
        <w:t xml:space="preserve"> </w:t>
      </w:r>
      <w:r w:rsidR="00431C22" w:rsidRPr="00D71008">
        <w:t xml:space="preserve">Ricardo et al. (2026), Study supporting the </w:t>
      </w:r>
      <w:r w:rsidR="008E5E17">
        <w:t>RMB</w:t>
      </w:r>
      <w:r w:rsidR="00431C22" w:rsidRPr="00D71008">
        <w:t xml:space="preserve"> and </w:t>
      </w:r>
      <w:r w:rsidR="008E5E17">
        <w:t>RTR</w:t>
      </w:r>
      <w:r w:rsidR="00431C22" w:rsidRPr="00D71008">
        <w:t xml:space="preserve"> Impact assessment.</w:t>
      </w:r>
      <w:r w:rsidRPr="00D71008">
        <w:t xml:space="preserve"> </w:t>
      </w:r>
    </w:p>
  </w:footnote>
  <w:footnote w:id="266">
    <w:p w14:paraId="4E5D93CA" w14:textId="612A9191" w:rsidR="001449C8" w:rsidRPr="001449C8" w:rsidRDefault="001449C8">
      <w:pPr>
        <w:pStyle w:val="FootnoteText"/>
      </w:pPr>
      <w:r>
        <w:rPr>
          <w:rStyle w:val="FootnoteReference"/>
        </w:rPr>
        <w:footnoteRef/>
      </w:r>
      <w:r>
        <w:t xml:space="preserve"> </w:t>
      </w:r>
      <w:r w:rsidRPr="00D71008">
        <w:t>A detailed description of the model is available at</w:t>
      </w:r>
      <w:r w:rsidR="0067583E">
        <w:t>:</w:t>
      </w:r>
      <w:r w:rsidRPr="00D71008">
        <w:t xml:space="preserve"> </w:t>
      </w:r>
      <w:hyperlink r:id="rId45" w:history="1">
        <w:r w:rsidR="0067583E" w:rsidRPr="005D2D60">
          <w:rPr>
            <w:rStyle w:val="Hyperlink"/>
          </w:rPr>
          <w:t>PRIMES MODEL</w:t>
        </w:r>
      </w:hyperlink>
    </w:p>
  </w:footnote>
  <w:footnote w:id="267">
    <w:p w14:paraId="1AADBF83" w14:textId="77777777" w:rsidR="00072FD9" w:rsidRPr="00D71008" w:rsidRDefault="00072FD9" w:rsidP="00072FD9">
      <w:pPr>
        <w:pStyle w:val="FootnoteText"/>
      </w:pPr>
      <w:r w:rsidRPr="00D71008">
        <w:rPr>
          <w:rStyle w:val="FootnoteReference"/>
        </w:rPr>
        <w:footnoteRef/>
      </w:r>
      <w:r w:rsidRPr="00D71008">
        <w:t xml:space="preserve"> </w:t>
      </w:r>
      <w:hyperlink r:id="rId46" w:history="1">
        <w:r w:rsidRPr="00D71008">
          <w:rPr>
            <w:rStyle w:val="Hyperlink"/>
          </w:rPr>
          <w:t>https://www.tmleuven.be/en/navigation/TREMOVE</w:t>
        </w:r>
      </w:hyperlink>
      <w:r w:rsidRPr="00D71008">
        <w:t xml:space="preserve">. </w:t>
      </w:r>
    </w:p>
  </w:footnote>
  <w:footnote w:id="268">
    <w:p w14:paraId="1698BA64" w14:textId="77777777" w:rsidR="00072FD9" w:rsidRPr="00D71008" w:rsidRDefault="00072FD9" w:rsidP="00D2593C">
      <w:pPr>
        <w:pStyle w:val="FootnoteText"/>
        <w:jc w:val="both"/>
      </w:pPr>
      <w:r w:rsidRPr="00D71008">
        <w:rPr>
          <w:rStyle w:val="FootnoteReference"/>
        </w:rPr>
        <w:footnoteRef/>
      </w:r>
      <w:r w:rsidRPr="00D71008">
        <w:t xml:space="preserve"> Several model enhancements were made compared to the standard TREMOVE model, as for example: for the number of vintages (allowing representation of the choice of second-hand cars); for the technology categories which include vehicle types using electricity from the grid and fuel cells. The model also incorporates additional fuel types, such as biofuels (when they differ from standard fossil fuel technologies), LPG, LNG, hydrogen and e-fuels. In addition, representation of infrastructure for refuelling and recharging are among the model refinements, influencing fuel choices. A major model enhancement concerns the inclusion of heterogeneity in the distance of stylised trips; the model considers that the trip distances follow a distribution function with different distances and frequencies. The inclusion of heterogeneity was found to be of significant influence in the choice of vehicle-fuels especially for vehicles-fuels with range limitations.</w:t>
      </w:r>
    </w:p>
  </w:footnote>
  <w:footnote w:id="269">
    <w:p w14:paraId="5FAC3302" w14:textId="0C129E95" w:rsidR="00FD4FDD" w:rsidRPr="00D71008" w:rsidRDefault="00FD4FDD">
      <w:pPr>
        <w:pStyle w:val="FootnoteText"/>
      </w:pPr>
      <w:r w:rsidRPr="00D71008">
        <w:rPr>
          <w:rStyle w:val="FootnoteReference"/>
        </w:rPr>
        <w:footnoteRef/>
      </w:r>
      <w:r w:rsidRPr="00D71008">
        <w:t xml:space="preserve"> </w:t>
      </w:r>
      <w:hyperlink r:id="rId47" w:history="1">
        <w:r w:rsidRPr="00D71008">
          <w:rPr>
            <w:rStyle w:val="Hyperlink"/>
          </w:rPr>
          <w:t>COPERT | Calculations of Emissions from Road Transport</w:t>
        </w:r>
      </w:hyperlink>
    </w:p>
  </w:footnote>
  <w:footnote w:id="270">
    <w:p w14:paraId="1BA622F6" w14:textId="77777777" w:rsidR="007A0C40" w:rsidRPr="00D71008" w:rsidRDefault="007A0C40" w:rsidP="007A0C40">
      <w:pPr>
        <w:pStyle w:val="FootnoteText"/>
      </w:pPr>
      <w:r w:rsidRPr="00D71008">
        <w:rPr>
          <w:rStyle w:val="FootnoteReference"/>
        </w:rPr>
        <w:footnoteRef/>
      </w:r>
      <w:r w:rsidRPr="00D71008">
        <w:t xml:space="preserve"> </w:t>
      </w:r>
      <w:hyperlink r:id="rId48" w:history="1">
        <w:r w:rsidRPr="00D71008">
          <w:rPr>
            <w:rStyle w:val="Hyperlink"/>
          </w:rPr>
          <w:t>Statistical pocketbook 2025 - Mobility and Transport - European Commission</w:t>
        </w:r>
      </w:hyperlink>
    </w:p>
  </w:footnote>
  <w:footnote w:id="271">
    <w:p w14:paraId="4F97F256" w14:textId="77777777" w:rsidR="007A0C40" w:rsidRPr="00D71008" w:rsidRDefault="007A0C40" w:rsidP="007A0C40">
      <w:pPr>
        <w:pStyle w:val="FootnoteText"/>
      </w:pPr>
      <w:r w:rsidRPr="00D71008">
        <w:rPr>
          <w:rStyle w:val="FootnoteReference"/>
        </w:rPr>
        <w:footnoteRef/>
      </w:r>
      <w:r w:rsidRPr="00D71008">
        <w:t xml:space="preserve"> </w:t>
      </w:r>
      <w:hyperlink r:id="rId49" w:history="1">
        <w:r w:rsidRPr="00D71008">
          <w:rPr>
            <w:rStyle w:val="Hyperlink"/>
          </w:rPr>
          <w:t>Homepage | European Alternative Fuels Observatory</w:t>
        </w:r>
      </w:hyperlink>
    </w:p>
  </w:footnote>
  <w:footnote w:id="272">
    <w:p w14:paraId="7D581612" w14:textId="3A038A76" w:rsidR="00601A87" w:rsidRPr="00D71008" w:rsidRDefault="00601A87" w:rsidP="00601A87">
      <w:pPr>
        <w:pStyle w:val="FootnoteText"/>
      </w:pPr>
      <w:r w:rsidRPr="00D71008">
        <w:rPr>
          <w:rStyle w:val="FootnoteReference"/>
        </w:rPr>
        <w:footnoteRef/>
      </w:r>
      <w:r w:rsidRPr="00D71008">
        <w:t xml:space="preserve"> A detailed description of the model is available at </w:t>
      </w:r>
      <w:hyperlink r:id="rId50" w:history="1">
        <w:r w:rsidR="008B2678" w:rsidRPr="00D71008">
          <w:rPr>
            <w:rStyle w:val="Hyperlink"/>
          </w:rPr>
          <w:t>https://www.astra-model.eu/</w:t>
        </w:r>
      </w:hyperlink>
      <w:r w:rsidR="008B2678" w:rsidRPr="00D71008">
        <w:t xml:space="preserve"> </w:t>
      </w:r>
    </w:p>
  </w:footnote>
  <w:footnote w:id="273">
    <w:p w14:paraId="50C14B27" w14:textId="5B340DAE" w:rsidR="00851D41" w:rsidRPr="00D71008" w:rsidRDefault="00851D41" w:rsidP="00851D41">
      <w:pPr>
        <w:pStyle w:val="FootnoteText"/>
      </w:pPr>
      <w:r w:rsidRPr="00D71008">
        <w:rPr>
          <w:rStyle w:val="FootnoteReference"/>
        </w:rPr>
        <w:footnoteRef/>
      </w:r>
      <w:r w:rsidRPr="00D71008">
        <w:t xml:space="preserve"> </w:t>
      </w:r>
      <w:hyperlink r:id="rId51" w:history="1">
        <w:r w:rsidR="006A6D8E" w:rsidRPr="00D71008">
          <w:rPr>
            <w:rStyle w:val="Hyperlink"/>
          </w:rPr>
          <w:t>Handbook on the external costs of transport - Publications Office of the EU</w:t>
        </w:r>
      </w:hyperlink>
    </w:p>
  </w:footnote>
  <w:footnote w:id="274">
    <w:p w14:paraId="137F992E" w14:textId="77777777" w:rsidR="00011DC3" w:rsidRPr="00D71008" w:rsidRDefault="00011DC3" w:rsidP="00011DC3">
      <w:pPr>
        <w:pStyle w:val="FootnoteText"/>
      </w:pPr>
      <w:r w:rsidRPr="00D71008">
        <w:rPr>
          <w:rStyle w:val="FootnoteReference"/>
        </w:rPr>
        <w:footnoteRef/>
      </w:r>
      <w:r w:rsidRPr="00D71008">
        <w:t xml:space="preserve"> </w:t>
      </w:r>
      <w:hyperlink r:id="rId52" w:history="1">
        <w:r w:rsidRPr="00D71008">
          <w:rPr>
            <w:rStyle w:val="Hyperlink"/>
          </w:rPr>
          <w:t>Statistical pocketbook 2025 - Mobility and Transport - European Commission</w:t>
        </w:r>
      </w:hyperlink>
    </w:p>
  </w:footnote>
  <w:footnote w:id="275">
    <w:p w14:paraId="71B1CCC1" w14:textId="77777777" w:rsidR="00B31E8C" w:rsidRPr="00D71008" w:rsidRDefault="00B31E8C" w:rsidP="00B31E8C">
      <w:pPr>
        <w:pStyle w:val="FootnoteText"/>
      </w:pPr>
      <w:r w:rsidRPr="00D71008">
        <w:rPr>
          <w:rStyle w:val="FootnoteReference"/>
        </w:rPr>
        <w:footnoteRef/>
      </w:r>
      <w:r w:rsidRPr="00D71008">
        <w:t xml:space="preserve"> </w:t>
      </w:r>
      <w:hyperlink r:id="rId53" w:history="1">
        <w:r w:rsidRPr="005A0993">
          <w:rPr>
            <w:rStyle w:val="Hyperlink"/>
          </w:rPr>
          <w:t>Flash Eurobarometer 551</w:t>
        </w:r>
      </w:hyperlink>
      <w:r w:rsidRPr="008B6316">
        <w:t xml:space="preserve"> - Multimodal Digital Mobility Service – August – September 2024</w:t>
      </w:r>
    </w:p>
  </w:footnote>
  <w:footnote w:id="276">
    <w:p w14:paraId="72CED324" w14:textId="02231B43" w:rsidR="00A20642" w:rsidRPr="00D71008" w:rsidRDefault="00A20642" w:rsidP="00A20642">
      <w:pPr>
        <w:pStyle w:val="FootnoteText"/>
      </w:pPr>
      <w:r w:rsidRPr="00D71008">
        <w:rPr>
          <w:rStyle w:val="FootnoteReference"/>
        </w:rPr>
        <w:footnoteRef/>
      </w:r>
      <w:r w:rsidRPr="00D71008">
        <w:t xml:space="preserve"> </w:t>
      </w:r>
      <w:r w:rsidR="00031C34">
        <w:t>T</w:t>
      </w:r>
      <w:r w:rsidRPr="00D71008">
        <w:t xml:space="preserve">here are 1,165 NUTS3 </w:t>
      </w:r>
      <w:r w:rsidR="004C5067">
        <w:t>regions</w:t>
      </w:r>
      <w:r w:rsidR="004C5067" w:rsidRPr="00D71008">
        <w:t xml:space="preserve"> </w:t>
      </w:r>
      <w:r w:rsidRPr="00D71008">
        <w:t xml:space="preserve">in </w:t>
      </w:r>
      <w:r w:rsidR="00031C34">
        <w:t>the EU</w:t>
      </w:r>
      <w:r w:rsidRPr="00D71008">
        <w:t xml:space="preserve"> resulting in about 1,350,000 origin-destination </w:t>
      </w:r>
      <w:r w:rsidR="001D2755">
        <w:t xml:space="preserve">(OD) </w:t>
      </w:r>
      <w:r w:rsidRPr="00D71008">
        <w:t xml:space="preserve">pairs. </w:t>
      </w:r>
      <w:r w:rsidR="006A53C5">
        <w:t xml:space="preserve">There are 244 </w:t>
      </w:r>
      <w:r w:rsidRPr="00D71008">
        <w:t xml:space="preserve">NUTS2 </w:t>
      </w:r>
      <w:r w:rsidR="004C5067">
        <w:t>regions</w:t>
      </w:r>
      <w:r w:rsidR="004C5067" w:rsidRPr="00D71008">
        <w:t xml:space="preserve"> </w:t>
      </w:r>
      <w:r w:rsidR="006A53C5">
        <w:t>in the EU</w:t>
      </w:r>
      <w:r w:rsidRPr="00D71008">
        <w:t xml:space="preserve"> resulting in about 59,500 origin-destination pairs.</w:t>
      </w:r>
    </w:p>
  </w:footnote>
  <w:footnote w:id="277">
    <w:p w14:paraId="3B5EA0E1" w14:textId="0157215F" w:rsidR="00CB7259" w:rsidRPr="00D71008" w:rsidRDefault="00CB7259">
      <w:pPr>
        <w:pStyle w:val="FootnoteText"/>
      </w:pPr>
      <w:r w:rsidRPr="00D71008">
        <w:rPr>
          <w:rStyle w:val="FootnoteReference"/>
        </w:rPr>
        <w:footnoteRef/>
      </w:r>
      <w:r w:rsidRPr="00D71008">
        <w:t xml:space="preserve"> </w:t>
      </w:r>
      <w:r w:rsidR="00CE1DE2" w:rsidRPr="00D71008">
        <w:t>Eurostat Air Transport of Passengers, Eurostat National Railway Passenger Transport</w:t>
      </w:r>
      <w:r w:rsidR="00A6413E" w:rsidRPr="00D71008">
        <w:t xml:space="preserve"> and </w:t>
      </w:r>
      <w:r w:rsidR="00CE1DE2" w:rsidRPr="00D71008">
        <w:t>Eurostat Maritime Passenger Statistics</w:t>
      </w:r>
      <w:r w:rsidR="00A6413E" w:rsidRPr="00D71008">
        <w:t>.</w:t>
      </w:r>
    </w:p>
  </w:footnote>
  <w:footnote w:id="278">
    <w:p w14:paraId="7DF81400" w14:textId="259BA1FE" w:rsidR="00D34A55" w:rsidRPr="00D71008" w:rsidRDefault="00D34A55" w:rsidP="00265E48">
      <w:pPr>
        <w:pStyle w:val="FootnoteText"/>
        <w:jc w:val="both"/>
      </w:pPr>
      <w:r w:rsidRPr="00D71008">
        <w:rPr>
          <w:rStyle w:val="FootnoteReference"/>
        </w:rPr>
        <w:footnoteRef/>
      </w:r>
      <w:r w:rsidRPr="00D71008">
        <w:t xml:space="preserve"> </w:t>
      </w:r>
      <w:r w:rsidR="00407091" w:rsidRPr="00265E48">
        <w:t>A</w:t>
      </w:r>
      <w:r w:rsidRPr="00D71008">
        <w:t xml:space="preserve">bout 700 </w:t>
      </w:r>
      <w:r w:rsidR="00AE7567" w:rsidRPr="00265E48">
        <w:t>cross-border</w:t>
      </w:r>
      <w:r w:rsidRPr="00D71008">
        <w:t xml:space="preserve"> combinations.</w:t>
      </w:r>
    </w:p>
  </w:footnote>
  <w:footnote w:id="279">
    <w:p w14:paraId="75E2BEB7" w14:textId="1ACEF1E6" w:rsidR="002E5DDD" w:rsidRPr="00FC2CF1" w:rsidRDefault="002E5DDD" w:rsidP="00F36671">
      <w:pPr>
        <w:pStyle w:val="FootnoteText"/>
        <w:jc w:val="both"/>
      </w:pPr>
      <w:r w:rsidRPr="00265E48">
        <w:rPr>
          <w:rStyle w:val="FootnoteReference"/>
        </w:rPr>
        <w:footnoteRef/>
      </w:r>
      <w:r w:rsidRPr="00265E48">
        <w:t xml:space="preserve"> </w:t>
      </w:r>
      <w:r w:rsidR="0034554A" w:rsidRPr="000136C1">
        <w:rPr>
          <w:bCs/>
          <w:i/>
          <w:iCs/>
        </w:rPr>
        <w:t>The attractiveness of origin or destination nodes</w:t>
      </w:r>
      <w:r w:rsidR="0034554A" w:rsidRPr="00265E48">
        <w:t xml:space="preserve"> was assessed considering for each NUTS3 region the economic attractiveness (as indicated by the GDP by NUTS3 region from Eurostat), personal attractiveness (as indicated by the number of bed places for tourism per NUTS3 region from Eurostat), and its status as a capital city. Threshold criteria were applied to designate certain NUTS3 regions as attractive. Either the regions needed to be a capital city or comply with both of the conditions of being attractive for business purposes and personal purposes. A region was defined as attractive for business purposes if: (i) GDP in absolute terms was higher than EUR 18.75 billion per year (i.e. the average GDP per NUTS3 region at EU level (EUR 15 billion per year) plus a 25% uplift to avoid all NUT3 regions being classified as ‘attractive’ within some Member States), or; (ii) GDP per inhabitant is larger than the national average by 50% AND GDP in absolute terms is larger than the average GDP per region (average GDP per region = national GDP / number of regions). A region was defined as attractive for personal purposes if: (i) the number of bed places in absolute terms in that region is higher than 31,250 (i.e. the average number of bed places per NUTS3 region at EU level (25,000) plus a 25% uplift to avoid all NUT3 regions being classified as ‘attractive’ within some Member States), or; (ii) the number of bed places per inhabitant per region is 50% or higher than the national average.</w:t>
      </w:r>
    </w:p>
  </w:footnote>
  <w:footnote w:id="280">
    <w:p w14:paraId="2595E9EE" w14:textId="39C1182B" w:rsidR="009549E5" w:rsidRPr="004E336D" w:rsidRDefault="009549E5" w:rsidP="00265E48">
      <w:pPr>
        <w:pStyle w:val="FootnoteText"/>
        <w:jc w:val="both"/>
      </w:pPr>
      <w:r w:rsidRPr="00265E48">
        <w:rPr>
          <w:rStyle w:val="FootnoteReference"/>
        </w:rPr>
        <w:footnoteRef/>
      </w:r>
      <w:r w:rsidRPr="00265E48">
        <w:t xml:space="preserve"> </w:t>
      </w:r>
      <w:hyperlink r:id="rId54" w:history="1">
        <w:r w:rsidRPr="00265E48">
          <w:rPr>
            <w:rStyle w:val="Hyperlink"/>
          </w:rPr>
          <w:t>https://ourairports.com/data/</w:t>
        </w:r>
      </w:hyperlink>
    </w:p>
  </w:footnote>
  <w:footnote w:id="281">
    <w:p w14:paraId="53AADC72" w14:textId="585DBC87" w:rsidR="0082265C" w:rsidRPr="00265E48" w:rsidRDefault="0082265C" w:rsidP="00FC2CF1">
      <w:pPr>
        <w:pStyle w:val="FootnoteText"/>
        <w:jc w:val="both"/>
      </w:pPr>
      <w:r w:rsidRPr="00265E48">
        <w:rPr>
          <w:rStyle w:val="FootnoteReference"/>
        </w:rPr>
        <w:footnoteRef/>
      </w:r>
      <w:r w:rsidRPr="00265E48">
        <w:t xml:space="preserve"> </w:t>
      </w:r>
      <w:r w:rsidR="00744A7E" w:rsidRPr="00265E48">
        <w:t>A target ratio of routes was set between high, moderate and low traffic routes</w:t>
      </w:r>
      <w:r w:rsidR="00F12372" w:rsidRPr="00265E48">
        <w:t xml:space="preserve"> as proxied through ‘attractiveness’. Taking</w:t>
      </w:r>
      <w:r w:rsidR="00B17051" w:rsidRPr="00265E48">
        <w:t xml:space="preserve"> into account the</w:t>
      </w:r>
      <w:r w:rsidR="00F12372" w:rsidRPr="00265E48">
        <w:t xml:space="preserve"> population data and the attractiveness </w:t>
      </w:r>
      <w:r w:rsidR="00B17051" w:rsidRPr="00265E48">
        <w:t>of</w:t>
      </w:r>
      <w:r w:rsidR="00F12372" w:rsidRPr="00265E48">
        <w:t xml:space="preserve"> each NUTS3</w:t>
      </w:r>
      <w:r w:rsidR="00B17051" w:rsidRPr="00265E48">
        <w:t xml:space="preserve"> region</w:t>
      </w:r>
      <w:r w:rsidR="00F12372" w:rsidRPr="00265E48">
        <w:t xml:space="preserve">, </w:t>
      </w:r>
      <w:r w:rsidR="00B17051" w:rsidRPr="00265E48">
        <w:t xml:space="preserve">the </w:t>
      </w:r>
      <w:r w:rsidR="00F12372" w:rsidRPr="00265E48">
        <w:t xml:space="preserve">analysis indicates that 4-26% of the </w:t>
      </w:r>
      <w:r w:rsidR="000639C4" w:rsidRPr="00265E48">
        <w:t>EU</w:t>
      </w:r>
      <w:r w:rsidR="00F12372" w:rsidRPr="00265E48">
        <w:t xml:space="preserve"> population may be living and traveling between two ‘less attractive’ NUTS3 </w:t>
      </w:r>
      <w:r w:rsidR="000639C4" w:rsidRPr="00265E48">
        <w:t>regions</w:t>
      </w:r>
      <w:r w:rsidR="00F12372" w:rsidRPr="00265E48">
        <w:t xml:space="preserve">. </w:t>
      </w:r>
      <w:r w:rsidR="009B1438" w:rsidRPr="00265E48">
        <w:t>G</w:t>
      </w:r>
      <w:r w:rsidR="00F12372" w:rsidRPr="00265E48">
        <w:t xml:space="preserve">iven that the ‘highly relevant’ routes are specifically identified as carrying more passengers, a 40/45/15 target split </w:t>
      </w:r>
      <w:r w:rsidR="00692EDA" w:rsidRPr="00265E48">
        <w:t xml:space="preserve">has been used </w:t>
      </w:r>
      <w:r w:rsidR="00FF547D" w:rsidRPr="00265E48">
        <w:t>for</w:t>
      </w:r>
      <w:r w:rsidR="00F12372" w:rsidRPr="00265E48">
        <w:t xml:space="preserve"> high/moderate/low traffic routes.</w:t>
      </w:r>
    </w:p>
  </w:footnote>
  <w:footnote w:id="282">
    <w:p w14:paraId="73718A37" w14:textId="12E288AF" w:rsidR="000521AB" w:rsidRPr="00265E48" w:rsidRDefault="000521AB" w:rsidP="00265E48">
      <w:pPr>
        <w:pStyle w:val="FootnoteText"/>
        <w:jc w:val="both"/>
      </w:pPr>
      <w:r w:rsidRPr="00265E48">
        <w:rPr>
          <w:rStyle w:val="FootnoteReference"/>
        </w:rPr>
        <w:footnoteRef/>
      </w:r>
      <w:r w:rsidRPr="00265E48">
        <w:t xml:space="preserve"> </w:t>
      </w:r>
      <w:r w:rsidR="001562D1" w:rsidRPr="00265E48">
        <w:t>A</w:t>
      </w:r>
      <w:r w:rsidR="000A62B1" w:rsidRPr="00265E48">
        <w:t xml:space="preserve"> </w:t>
      </w:r>
      <w:r w:rsidR="001562D1" w:rsidRPr="00265E48">
        <w:t>targeted distribution of routes between M</w:t>
      </w:r>
      <w:r w:rsidR="00E8424C" w:rsidRPr="00265E48">
        <w:t>ember States</w:t>
      </w:r>
      <w:r w:rsidR="001562D1" w:rsidRPr="00265E48">
        <w:t xml:space="preserve"> was set based on the proportion of total </w:t>
      </w:r>
      <w:r w:rsidR="00E8424C" w:rsidRPr="00265E48">
        <w:t xml:space="preserve">EU </w:t>
      </w:r>
      <w:r w:rsidR="001562D1" w:rsidRPr="00265E48">
        <w:t>passenger traffic passing through each Member State, as indicated by Eurostat data</w:t>
      </w:r>
      <w:r w:rsidR="009C3A18" w:rsidRPr="00265E48">
        <w:t xml:space="preserve"> (</w:t>
      </w:r>
      <w:hyperlink r:id="rId55" w:history="1">
        <w:r w:rsidR="009C3A18" w:rsidRPr="00265E48">
          <w:rPr>
            <w:rStyle w:val="Hyperlink"/>
          </w:rPr>
          <w:t>road_pa_mov</w:t>
        </w:r>
      </w:hyperlink>
      <w:r w:rsidR="009C3A18" w:rsidRPr="00265E48">
        <w:t>)</w:t>
      </w:r>
      <w:r w:rsidR="001562D1" w:rsidRPr="00265E48">
        <w:t>.</w:t>
      </w:r>
    </w:p>
  </w:footnote>
  <w:footnote w:id="283">
    <w:p w14:paraId="6E26AC2B" w14:textId="17A24B2A" w:rsidR="00ED331B" w:rsidRPr="00265E48" w:rsidRDefault="00ED331B" w:rsidP="00265E48">
      <w:pPr>
        <w:pStyle w:val="FootnoteText"/>
        <w:jc w:val="both"/>
      </w:pPr>
      <w:r w:rsidRPr="00265E48">
        <w:rPr>
          <w:rStyle w:val="FootnoteReference"/>
        </w:rPr>
        <w:footnoteRef/>
      </w:r>
      <w:r w:rsidRPr="00265E48">
        <w:t xml:space="preserve"> A range of route distances was targeted, with a preference towards shorter routes (reflecting the most common routes performed by </w:t>
      </w:r>
      <w:r w:rsidR="000027C2" w:rsidRPr="00265E48">
        <w:t xml:space="preserve">EU </w:t>
      </w:r>
      <w:r w:rsidRPr="00265E48">
        <w:t xml:space="preserve">travellers). </w:t>
      </w:r>
    </w:p>
  </w:footnote>
  <w:footnote w:id="284">
    <w:p w14:paraId="14BB43A1" w14:textId="2128B217" w:rsidR="00143207" w:rsidRPr="00265E48" w:rsidRDefault="00143207" w:rsidP="00265E48">
      <w:pPr>
        <w:pStyle w:val="FootnoteText"/>
        <w:jc w:val="both"/>
      </w:pPr>
      <w:r w:rsidRPr="00265E48">
        <w:rPr>
          <w:rStyle w:val="FootnoteReference"/>
        </w:rPr>
        <w:footnoteRef/>
      </w:r>
      <w:r w:rsidRPr="00265E48">
        <w:t xml:space="preserve"> </w:t>
      </w:r>
      <w:r w:rsidR="000027C2" w:rsidRPr="00265E48">
        <w:t>A</w:t>
      </w:r>
      <w:r w:rsidRPr="00265E48">
        <w:t xml:space="preserve"> target distribution transport mode availability was set based on </w:t>
      </w:r>
      <w:r w:rsidR="001968D0" w:rsidRPr="00265E48">
        <w:t xml:space="preserve">the </w:t>
      </w:r>
      <w:r w:rsidRPr="00265E48">
        <w:t xml:space="preserve">modal split </w:t>
      </w:r>
      <w:r w:rsidR="00670436" w:rsidRPr="00265E48">
        <w:t>for</w:t>
      </w:r>
      <w:r w:rsidRPr="00265E48">
        <w:t xml:space="preserve"> EU passenger traffic, as indicated by Eurostat data</w:t>
      </w:r>
      <w:r w:rsidR="00265E48" w:rsidRPr="00265E48">
        <w:t xml:space="preserve"> (</w:t>
      </w:r>
      <w:hyperlink r:id="rId56" w:history="1">
        <w:r w:rsidR="00265E48" w:rsidRPr="00265E48">
          <w:rPr>
            <w:rStyle w:val="Hyperlink"/>
          </w:rPr>
          <w:t>tran_hv_ms_psmod</w:t>
        </w:r>
      </w:hyperlink>
      <w:r w:rsidR="00265E48" w:rsidRPr="00265E48">
        <w:t>)</w:t>
      </w:r>
      <w:r w:rsidRPr="00265E48">
        <w:t>.</w:t>
      </w:r>
    </w:p>
  </w:footnote>
  <w:footnote w:id="285">
    <w:p w14:paraId="01BC7E1F" w14:textId="4E5FB5F3" w:rsidR="00FE5430" w:rsidRPr="004E336D" w:rsidRDefault="00FE5430">
      <w:pPr>
        <w:pStyle w:val="FootnoteText"/>
      </w:pPr>
      <w:r>
        <w:rPr>
          <w:rStyle w:val="FootnoteReference"/>
        </w:rPr>
        <w:footnoteRef/>
      </w:r>
      <w:r>
        <w:t xml:space="preserve"> Hybrid represents the situation </w:t>
      </w:r>
      <w:r w:rsidRPr="00FE5430">
        <w:t>where one node is attractive and one is moderately attractive</w:t>
      </w:r>
      <w:r>
        <w:t>.</w:t>
      </w:r>
    </w:p>
  </w:footnote>
  <w:footnote w:id="286">
    <w:p w14:paraId="4B247C3D" w14:textId="77777777" w:rsidR="004629A1" w:rsidRPr="000036A3" w:rsidRDefault="004629A1" w:rsidP="004629A1">
      <w:pPr>
        <w:pStyle w:val="FootnoteText"/>
        <w:jc w:val="both"/>
      </w:pPr>
      <w:r w:rsidRPr="000036A3">
        <w:rPr>
          <w:rStyle w:val="FootnoteReference"/>
        </w:rPr>
        <w:footnoteRef/>
      </w:r>
      <w:r w:rsidRPr="000036A3">
        <w:t xml:space="preserve"> In particularly, responses to question 6 were used “How do you (or would you) usually book your regional or long-distance journeys? Select all that apply.  [MULTIPLE ANSWERS]”. </w:t>
      </w:r>
    </w:p>
  </w:footnote>
  <w:footnote w:id="287">
    <w:p w14:paraId="7DFDF1DA" w14:textId="42C70DDA" w:rsidR="00BE0DC3" w:rsidRPr="005D2D60" w:rsidRDefault="00BE0DC3">
      <w:pPr>
        <w:pStyle w:val="FootnoteText"/>
      </w:pPr>
      <w:r>
        <w:rPr>
          <w:rStyle w:val="FootnoteReference"/>
        </w:rPr>
        <w:footnoteRef/>
      </w:r>
      <w:r>
        <w:t xml:space="preserve"> </w:t>
      </w:r>
      <w:hyperlink r:id="rId57" w:history="1">
        <w:r w:rsidRPr="005A0993">
          <w:rPr>
            <w:rStyle w:val="Hyperlink"/>
          </w:rPr>
          <w:t>Flash Eurobarometer 551</w:t>
        </w:r>
      </w:hyperlink>
      <w:r w:rsidRPr="008B6316">
        <w:t xml:space="preserve"> - Multimodal Digital Mobility Service – August – September 2024</w:t>
      </w:r>
    </w:p>
  </w:footnote>
  <w:footnote w:id="288">
    <w:p w14:paraId="339A890F" w14:textId="4A182223" w:rsidR="009E5B91" w:rsidRPr="009E5B91" w:rsidRDefault="009E5B91">
      <w:pPr>
        <w:pStyle w:val="FootnoteText"/>
      </w:pPr>
      <w:r>
        <w:rPr>
          <w:rStyle w:val="FootnoteReference"/>
        </w:rPr>
        <w:footnoteRef/>
      </w:r>
      <w:r>
        <w:t xml:space="preserve"> </w:t>
      </w:r>
      <w:hyperlink r:id="rId58" w:history="1">
        <w:r w:rsidRPr="00DC7C33">
          <w:rPr>
            <w:rStyle w:val="Hyperlink"/>
          </w:rPr>
          <w:t>https://www.sciencedirect.com/science/article/abs/pii/S0967070X12001692?via%3Dihub</w:t>
        </w:r>
      </w:hyperlink>
    </w:p>
  </w:footnote>
  <w:footnote w:id="289">
    <w:p w14:paraId="7675CBA0" w14:textId="66B9AEC9" w:rsidR="009E5B91" w:rsidRPr="009E5B91" w:rsidRDefault="009E5B91">
      <w:pPr>
        <w:pStyle w:val="FootnoteText"/>
      </w:pPr>
      <w:r>
        <w:rPr>
          <w:rStyle w:val="FootnoteReference"/>
        </w:rPr>
        <w:footnoteRef/>
      </w:r>
      <w:r>
        <w:t xml:space="preserve"> </w:t>
      </w:r>
      <w:hyperlink r:id="rId59" w:history="1">
        <w:r w:rsidR="00954EB2" w:rsidRPr="00DC7C33">
          <w:rPr>
            <w:rStyle w:val="Hyperlink"/>
          </w:rPr>
          <w:t>https://cedelft.eu/wp-content/uploads/sites/2/2021/03/CE_Delft_4S52_Modal_choice_criteria_in_rail-transport_Def.pdf</w:t>
        </w:r>
      </w:hyperlink>
    </w:p>
  </w:footnote>
  <w:footnote w:id="290">
    <w:p w14:paraId="7CC591E0" w14:textId="77777777" w:rsidR="004232D2" w:rsidRPr="004E336D" w:rsidRDefault="004232D2" w:rsidP="00AF49D6">
      <w:pPr>
        <w:pStyle w:val="FootnoteText"/>
        <w:jc w:val="both"/>
      </w:pPr>
      <w:r>
        <w:rPr>
          <w:rStyle w:val="FootnoteReference"/>
        </w:rPr>
        <w:footnoteRef/>
      </w:r>
      <w:r>
        <w:t xml:space="preserve"> </w:t>
      </w:r>
      <w:r w:rsidRPr="004E336D">
        <w:rPr>
          <w:rFonts w:eastAsia="Aptos"/>
          <w:kern w:val="2"/>
          <w14:ligatures w14:val="standardContextual"/>
        </w:rPr>
        <w:t>Literature (</w:t>
      </w:r>
      <w:hyperlink r:id="rId60" w:history="1">
        <w:r w:rsidRPr="00F86502">
          <w:rPr>
            <w:rStyle w:val="Hyperlink"/>
            <w:rFonts w:eastAsia="Aptos"/>
            <w:spacing w:val="-8"/>
            <w:kern w:val="2"/>
            <w14:ligatures w14:val="standardContextual"/>
          </w:rPr>
          <w:t>CE_Delft_4S52_Modal_choice_criteria_in_rail-transport_Def.pdf</w:t>
        </w:r>
      </w:hyperlink>
      <w:r w:rsidRPr="004E336D">
        <w:rPr>
          <w:rFonts w:eastAsia="Aptos"/>
          <w:spacing w:val="-8"/>
          <w:kern w:val="2"/>
          <w14:ligatures w14:val="standardContextual"/>
        </w:rPr>
        <w:t xml:space="preserve">; </w:t>
      </w:r>
      <w:hyperlink r:id="rId61" w:history="1">
        <w:r w:rsidRPr="00F86502">
          <w:rPr>
            <w:rStyle w:val="Hyperlink"/>
            <w:spacing w:val="-8"/>
          </w:rPr>
          <w:t>Substitutiemogelijkheden van luchtvaart naar spoor | Kennisinstituut voor Mobiliteitsbeleid</w:t>
        </w:r>
      </w:hyperlink>
      <w:r w:rsidRPr="00F86502">
        <w:rPr>
          <w:rFonts w:eastAsia="Aptos"/>
          <w:kern w:val="2"/>
          <w14:ligatures w14:val="standardContextual"/>
        </w:rPr>
        <w:t>) suggests that</w:t>
      </w:r>
      <w:r w:rsidRPr="004E336D">
        <w:rPr>
          <w:rFonts w:eastAsia="Aptos"/>
          <w:kern w:val="2"/>
          <w14:ligatures w14:val="standardContextual"/>
        </w:rPr>
        <w:t xml:space="preserve"> </w:t>
      </w:r>
      <w:r w:rsidRPr="00F86502">
        <w:t>the most important parameters vary across modes.</w:t>
      </w:r>
      <w:r w:rsidRPr="004E336D">
        <w:rPr>
          <w:rFonts w:eastAsia="Aptos"/>
          <w:kern w:val="2"/>
          <w14:ligatures w14:val="standardContextual"/>
        </w:rPr>
        <w:t xml:space="preserve"> </w:t>
      </w:r>
      <w:r w:rsidRPr="00F86502">
        <w:t xml:space="preserve">Considering the cross-modal nature of the analysis and the bundling of the factors into QPs, equal weighting was used to remain agnostic between the two </w:t>
      </w:r>
      <w:r w:rsidRPr="00F86502">
        <w:rPr>
          <w:spacing w:val="-8"/>
        </w:rPr>
        <w:t>qualitative parameters</w:t>
      </w:r>
      <w:r w:rsidRPr="00F86502">
        <w:t>.</w:t>
      </w:r>
    </w:p>
  </w:footnote>
  <w:footnote w:id="291">
    <w:p w14:paraId="7E7A319E" w14:textId="09D83A36" w:rsidR="001C4831" w:rsidRPr="001C4831" w:rsidRDefault="001C4831" w:rsidP="002852FC">
      <w:pPr>
        <w:pStyle w:val="FootnoteText"/>
        <w:jc w:val="both"/>
      </w:pPr>
      <w:r>
        <w:rPr>
          <w:rStyle w:val="FootnoteReference"/>
        </w:rPr>
        <w:footnoteRef/>
      </w:r>
      <w:r>
        <w:t xml:space="preserve"> </w:t>
      </w:r>
      <w:r w:rsidRPr="001C4831">
        <w:t xml:space="preserve">For the purposes of this analysis </w:t>
      </w:r>
      <w:r>
        <w:t>the</w:t>
      </w:r>
      <w:r w:rsidRPr="001C4831">
        <w:t xml:space="preserve"> modal shift </w:t>
      </w:r>
      <w:r>
        <w:t xml:space="preserve">is </w:t>
      </w:r>
      <w:r w:rsidRPr="001C4831">
        <w:t>defined as a shift from air and road transport to other collective modes of transport</w:t>
      </w:r>
      <w:r>
        <w:t>.</w:t>
      </w:r>
    </w:p>
  </w:footnote>
  <w:footnote w:id="292">
    <w:p w14:paraId="4CDF7329" w14:textId="0EFED1C0" w:rsidR="00D973FA" w:rsidRPr="00D973FA" w:rsidRDefault="00D973FA" w:rsidP="00AF49D6">
      <w:pPr>
        <w:pStyle w:val="FootnoteText"/>
      </w:pPr>
      <w:r>
        <w:rPr>
          <w:rStyle w:val="FootnoteReference"/>
        </w:rPr>
        <w:footnoteRef/>
      </w:r>
      <w:r>
        <w:t xml:space="preserve"> P</w:t>
      </w:r>
      <w:r w:rsidRPr="00AE4753">
        <w:t>roviding such information is complete and accurate</w:t>
      </w:r>
      <w:r>
        <w:t>.</w:t>
      </w:r>
    </w:p>
  </w:footnote>
  <w:footnote w:id="293">
    <w:p w14:paraId="78D614BA" w14:textId="77777777" w:rsidR="00C51646" w:rsidRPr="00062292" w:rsidRDefault="00C51646" w:rsidP="00C51646">
      <w:pPr>
        <w:pStyle w:val="FootnoteText"/>
      </w:pPr>
      <w:r>
        <w:rPr>
          <w:rStyle w:val="FootnoteReference"/>
        </w:rPr>
        <w:footnoteRef/>
      </w:r>
      <w:r w:rsidRPr="00062292">
        <w:t xml:space="preserve"> E.g. </w:t>
      </w:r>
      <w:hyperlink r:id="rId62" w:history="1">
        <w:r w:rsidRPr="00062292">
          <w:rPr>
            <w:rStyle w:val="Hyperlink"/>
          </w:rPr>
          <w:t>https://transweb.sjsu.edu/sites/default/files/1223-modal-shift-high-speed-rail-literature-review.pdf</w:t>
        </w:r>
      </w:hyperlink>
      <w:r w:rsidRPr="00062292">
        <w:t xml:space="preserve"> </w:t>
      </w:r>
    </w:p>
  </w:footnote>
  <w:footnote w:id="294">
    <w:p w14:paraId="47E60FFE" w14:textId="77777777" w:rsidR="00C51646" w:rsidRPr="00B25850" w:rsidRDefault="00C51646" w:rsidP="00C51646">
      <w:pPr>
        <w:pStyle w:val="FootnoteText"/>
      </w:pPr>
      <w:r>
        <w:rPr>
          <w:rStyle w:val="FootnoteReference"/>
        </w:rPr>
        <w:footnoteRef/>
      </w:r>
      <w:r w:rsidRPr="00062292">
        <w:t xml:space="preserve"> E.g.</w:t>
      </w:r>
      <w:hyperlink r:id="rId63" w:history="1">
        <w:r w:rsidRPr="00B25850">
          <w:rPr>
            <w:rStyle w:val="Hyperlink"/>
          </w:rPr>
          <w:t>https://www.transport.gov.scot/publication/strategic-business-case-transport-appraisal-report-draft-appendix-c-preliminary-appraisal-summary-tables-a96-corridor-review/preliminary-appraisal-summary-table-investment-in-demand-responsive-transport-and-mobility-as-a-service/</w:t>
        </w:r>
      </w:hyperlink>
      <w:r w:rsidRPr="00B25850">
        <w:t xml:space="preserve"> </w:t>
      </w:r>
    </w:p>
  </w:footnote>
  <w:footnote w:id="295">
    <w:p w14:paraId="600056D1" w14:textId="77777777" w:rsidR="00C51646" w:rsidRDefault="00C51646" w:rsidP="00C51646">
      <w:pPr>
        <w:pStyle w:val="FootnoteText"/>
      </w:pPr>
      <w:r>
        <w:rPr>
          <w:rStyle w:val="FootnoteReference"/>
        </w:rPr>
        <w:footnoteRef/>
      </w:r>
      <w:r w:rsidRPr="00AF7F3F">
        <w:t xml:space="preserve"> E.g. </w:t>
      </w:r>
      <w:hyperlink r:id="rId64" w:history="1">
        <w:r w:rsidRPr="00107D4F">
          <w:rPr>
            <w:rStyle w:val="Hyperlink"/>
          </w:rPr>
          <w:t>https://www.itf-oecd.org/sites/default/files/docs/integrating-public-transport-maas.pdf</w:t>
        </w:r>
      </w:hyperlink>
      <w:r>
        <w:t xml:space="preserve"> </w:t>
      </w:r>
    </w:p>
  </w:footnote>
  <w:footnote w:id="296">
    <w:p w14:paraId="3C172F06" w14:textId="6E6BE5D3" w:rsidR="0859C5D5" w:rsidRPr="00180761" w:rsidRDefault="0859C5D5" w:rsidP="0859C5D5">
      <w:pPr>
        <w:rPr>
          <w:sz w:val="20"/>
          <w:szCs w:val="20"/>
        </w:rPr>
      </w:pPr>
      <w:r w:rsidRPr="00180761">
        <w:rPr>
          <w:sz w:val="20"/>
          <w:szCs w:val="20"/>
          <w:vertAlign w:val="superscript"/>
        </w:rPr>
        <w:footnoteRef/>
      </w:r>
      <w:r w:rsidR="63A96F08" w:rsidRPr="00180761">
        <w:rPr>
          <w:sz w:val="20"/>
          <w:szCs w:val="20"/>
        </w:rPr>
        <w:t xml:space="preserve"> </w:t>
      </w:r>
      <w:hyperlink r:id="rId65" w:history="1">
        <w:r w:rsidRPr="00180761">
          <w:rPr>
            <w:rStyle w:val="Hyperlink"/>
            <w:sz w:val="20"/>
            <w:szCs w:val="20"/>
          </w:rPr>
          <w:t>Conclusions_CRA_Incrementality_through_mobility_platforms_in_Spain_1.pdf</w:t>
        </w:r>
      </w:hyperlink>
    </w:p>
  </w:footnote>
  <w:footnote w:id="297">
    <w:p w14:paraId="31A1C463" w14:textId="77777777" w:rsidR="003A1969" w:rsidRPr="00EF553F" w:rsidRDefault="003A1969" w:rsidP="007B5236">
      <w:pPr>
        <w:pStyle w:val="FootnoteText"/>
        <w:jc w:val="both"/>
      </w:pPr>
      <w:r w:rsidRPr="00EF553F">
        <w:rPr>
          <w:rStyle w:val="FootnoteReference"/>
        </w:rPr>
        <w:footnoteRef/>
      </w:r>
      <w:r w:rsidRPr="00EF553F">
        <w:t xml:space="preserve"> Mentimeter calculates the average score of all responses as a simple arithmetic mean of each individual response (1,2,or 3).</w:t>
      </w:r>
    </w:p>
  </w:footnote>
  <w:footnote w:id="298">
    <w:p w14:paraId="4BB27C08" w14:textId="77777777" w:rsidR="00E9551A" w:rsidRPr="00F31F55" w:rsidRDefault="00E9551A" w:rsidP="007B5236">
      <w:pPr>
        <w:pStyle w:val="FootnoteText"/>
        <w:jc w:val="both"/>
      </w:pPr>
      <w:r w:rsidRPr="00F31F55">
        <w:rPr>
          <w:rStyle w:val="FootnoteReference"/>
        </w:rPr>
        <w:footnoteRef/>
      </w:r>
      <w:r w:rsidRPr="00F31F55">
        <w:t xml:space="preserve"> Research was undertaken in May/June 2025 for travel tickets dated Wednesday 17</w:t>
      </w:r>
      <w:r w:rsidRPr="00F31F55">
        <w:rPr>
          <w:vertAlign w:val="superscript"/>
        </w:rPr>
        <w:t>th</w:t>
      </w:r>
      <w:r w:rsidRPr="00F31F55">
        <w:t xml:space="preserve"> September (3-4 months in advance), with journeys starting at 06:00am. Some operators do not allow tickets to be purchased this far in advance. Therefore, if September tickets could not be seen, as a lower priority</w:t>
      </w:r>
      <w:r>
        <w:t>,</w:t>
      </w:r>
      <w:r w:rsidRPr="00F31F55">
        <w:t xml:space="preserve"> tickets dated Wednesday 16</w:t>
      </w:r>
      <w:r w:rsidRPr="00F31F55">
        <w:rPr>
          <w:vertAlign w:val="superscript"/>
        </w:rPr>
        <w:t>th</w:t>
      </w:r>
      <w:r w:rsidRPr="00F31F55">
        <w:t xml:space="preserve"> July were </w:t>
      </w:r>
      <w:r>
        <w:t>checked</w:t>
      </w:r>
      <w:r w:rsidRPr="00F31F55">
        <w:t xml:space="preserve">. </w:t>
      </w:r>
    </w:p>
  </w:footnote>
  <w:footnote w:id="299">
    <w:p w14:paraId="194D23C3" w14:textId="77777777" w:rsidR="00E9551A" w:rsidRPr="004E336D" w:rsidRDefault="00E9551A" w:rsidP="00E9551A">
      <w:pPr>
        <w:pStyle w:val="FootnoteText"/>
      </w:pPr>
      <w:r>
        <w:rPr>
          <w:rStyle w:val="FootnoteReference"/>
        </w:rPr>
        <w:footnoteRef/>
      </w:r>
      <w:r>
        <w:t xml:space="preserve"> Hybrid represents the situation </w:t>
      </w:r>
      <w:r w:rsidRPr="00FE5430">
        <w:t>where one node is attractive and one is moderately attractive</w:t>
      </w:r>
      <w:r>
        <w:t>.</w:t>
      </w:r>
    </w:p>
  </w:footnote>
  <w:footnote w:id="300">
    <w:p w14:paraId="57D64FFC" w14:textId="77777777" w:rsidR="00A76542" w:rsidRPr="00A76542" w:rsidRDefault="00A76542" w:rsidP="00A76542">
      <w:pPr>
        <w:rPr>
          <w:sz w:val="20"/>
          <w:szCs w:val="20"/>
        </w:rPr>
      </w:pPr>
      <w:r w:rsidRPr="00A76542">
        <w:rPr>
          <w:sz w:val="20"/>
          <w:szCs w:val="20"/>
          <w:vertAlign w:val="superscript"/>
        </w:rPr>
        <w:footnoteRef/>
      </w:r>
      <w:r w:rsidRPr="00A76542">
        <w:rPr>
          <w:sz w:val="20"/>
          <w:szCs w:val="20"/>
        </w:rPr>
        <w:t xml:space="preserve"> The obligation of indispensable RU platforms to integrate the offering of RU is limited to the offers within their geographical scope of operation.</w:t>
      </w:r>
    </w:p>
  </w:footnote>
  <w:footnote w:id="301">
    <w:p w14:paraId="607C1144" w14:textId="77777777" w:rsidR="007A3168" w:rsidDel="00C30FF5" w:rsidRDefault="007A3168" w:rsidP="007A3168">
      <w:pPr>
        <w:pStyle w:val="FootnoteText"/>
      </w:pPr>
      <w:r w:rsidDel="00C30FF5">
        <w:rPr>
          <w:rStyle w:val="FootnoteReference"/>
        </w:rPr>
        <w:footnoteRef/>
      </w:r>
      <w:r w:rsidDel="00C30FF5">
        <w:t xml:space="preserve"> </w:t>
      </w:r>
      <w:r w:rsidRPr="00BD7FD9" w:rsidDel="00C30FF5">
        <w:t>Around half of attendees replied to the questions (49 out of 108, or 45%)</w:t>
      </w:r>
    </w:p>
  </w:footnote>
  <w:footnote w:id="302">
    <w:p w14:paraId="5625320F" w14:textId="7888500B" w:rsidR="00DB07EE" w:rsidRPr="00DB07EE" w:rsidRDefault="00DB07EE">
      <w:pPr>
        <w:pStyle w:val="FootnoteText"/>
      </w:pPr>
      <w:r>
        <w:rPr>
          <w:rStyle w:val="FootnoteReference"/>
        </w:rPr>
        <w:footnoteRef/>
      </w:r>
      <w:r>
        <w:t xml:space="preserve"> </w:t>
      </w:r>
      <w:r w:rsidRPr="001647E3">
        <w:t>TRUST (TRansport eUropean Simulation Tool) is a European scale transport network model simulating road, rail and maritime transport</w:t>
      </w:r>
      <w:r>
        <w:t xml:space="preserve"> for both passengers and freight (</w:t>
      </w:r>
      <w:hyperlink r:id="rId66" w:history="1">
        <w:r w:rsidRPr="004375F9">
          <w:rPr>
            <w:rStyle w:val="Hyperlink"/>
          </w:rPr>
          <w:t>https://www.trt.it/en/tools/trust/</w:t>
        </w:r>
      </w:hyperlink>
      <w:r>
        <w:t>).</w:t>
      </w:r>
    </w:p>
  </w:footnote>
  <w:footnote w:id="303">
    <w:p w14:paraId="34746537" w14:textId="33BD3BC0" w:rsidR="00326F3E" w:rsidRPr="005D2D60" w:rsidRDefault="00326F3E">
      <w:pPr>
        <w:pStyle w:val="FootnoteText"/>
      </w:pPr>
      <w:r>
        <w:rPr>
          <w:rStyle w:val="FootnoteReference"/>
        </w:rPr>
        <w:footnoteRef/>
      </w:r>
      <w:r>
        <w:t xml:space="preserve"> </w:t>
      </w:r>
      <w:r w:rsidR="00EC0A8C">
        <w:t>B</w:t>
      </w:r>
      <w:r w:rsidRPr="009C013A">
        <w:t>ased on distance travelled by mode in each leg</w:t>
      </w:r>
      <w:r w:rsidR="00EC0A8C">
        <w:t>.</w:t>
      </w:r>
    </w:p>
  </w:footnote>
  <w:footnote w:id="304">
    <w:p w14:paraId="7EB1B859" w14:textId="404BE164" w:rsidR="008B753C" w:rsidRPr="005D2D60" w:rsidRDefault="008B753C" w:rsidP="005C2D27">
      <w:pPr>
        <w:pStyle w:val="FootnoteText"/>
        <w:jc w:val="both"/>
      </w:pPr>
      <w:r>
        <w:rPr>
          <w:rStyle w:val="FootnoteReference"/>
        </w:rPr>
        <w:footnoteRef/>
      </w:r>
      <w:r>
        <w:t xml:space="preserve"> </w:t>
      </w:r>
      <w:r w:rsidRPr="00497ECB">
        <w:rPr>
          <w:spacing w:val="-8"/>
        </w:rPr>
        <w:t>As an example, an increase in multimodal trips by “coach-rail” is assigned to rail as main mode in ASTRA, but the alignment of distance travelled in each leg of the trip allows to consider also an increase of passenger-km by coach as part of that multimodal trip and consequent reduction in the distance travelled by rail (rather than the entire distance being associated with the rail mode).</w:t>
      </w:r>
    </w:p>
  </w:footnote>
  <w:footnote w:id="305">
    <w:p w14:paraId="49E80167" w14:textId="77777777" w:rsidR="00566515" w:rsidRPr="00D71008" w:rsidRDefault="00566515" w:rsidP="00566515">
      <w:pPr>
        <w:pStyle w:val="FootnoteText"/>
      </w:pPr>
      <w:r w:rsidRPr="00D71008">
        <w:rPr>
          <w:rStyle w:val="FootnoteReference"/>
        </w:rPr>
        <w:footnoteRef/>
      </w:r>
      <w:r w:rsidRPr="00D71008">
        <w:t xml:space="preserve"> </w:t>
      </w:r>
      <w:hyperlink r:id="rId67" w:history="1">
        <w:r w:rsidRPr="00D71008">
          <w:rPr>
            <w:rStyle w:val="Hyperlink"/>
          </w:rPr>
          <w:t>Handbook on the external costs of transport - Publications Office of the EU</w:t>
        </w:r>
      </w:hyperlink>
    </w:p>
  </w:footnote>
  <w:footnote w:id="306">
    <w:p w14:paraId="3E7840C8" w14:textId="77777777" w:rsidR="001F1C03" w:rsidRPr="005D2D60" w:rsidRDefault="001F1C03" w:rsidP="001F1C03">
      <w:pPr>
        <w:pStyle w:val="FootnoteText"/>
      </w:pPr>
      <w:r>
        <w:rPr>
          <w:rStyle w:val="FootnoteReference"/>
        </w:rPr>
        <w:footnoteRef/>
      </w:r>
      <w:r>
        <w:t xml:space="preserve"> </w:t>
      </w:r>
      <w:r w:rsidRPr="00493EFB">
        <w:t>Sources include: ACEA, BloomberNEF, Goldman Sachs, ICCT, IEA, Ricardo, DEA, other scientific publications</w:t>
      </w:r>
      <w:r>
        <w:t xml:space="preserve">. </w:t>
      </w:r>
    </w:p>
  </w:footnote>
  <w:footnote w:id="307">
    <w:p w14:paraId="3347512C" w14:textId="77777777" w:rsidR="005B595D" w:rsidRPr="00486281" w:rsidRDefault="005B595D" w:rsidP="005B595D">
      <w:pPr>
        <w:pStyle w:val="FootnoteText"/>
        <w:rPr>
          <w:lang w:val="fr-BE"/>
        </w:rPr>
      </w:pPr>
      <w:r w:rsidRPr="00D71008">
        <w:rPr>
          <w:rStyle w:val="FootnoteReference"/>
        </w:rPr>
        <w:footnoteRef/>
      </w:r>
      <w:r w:rsidRPr="00486281">
        <w:rPr>
          <w:lang w:val="fr-BE"/>
        </w:rPr>
        <w:t xml:space="preserve"> EUROPOP2023 (proj_23n).</w:t>
      </w:r>
    </w:p>
  </w:footnote>
  <w:footnote w:id="308">
    <w:p w14:paraId="5201D588" w14:textId="0FE1C2FD" w:rsidR="005B595D" w:rsidRPr="00154941" w:rsidRDefault="005B595D" w:rsidP="005B595D">
      <w:pPr>
        <w:pStyle w:val="FootnoteText"/>
        <w:rPr>
          <w:lang w:val="fr-BE"/>
        </w:rPr>
      </w:pPr>
      <w:r w:rsidRPr="00D71008">
        <w:rPr>
          <w:rStyle w:val="FootnoteReference"/>
        </w:rPr>
        <w:footnoteRef/>
      </w:r>
      <w:r w:rsidR="00721953" w:rsidRPr="00154941">
        <w:rPr>
          <w:lang w:val="fr-BE"/>
        </w:rPr>
        <w:t xml:space="preserve"> </w:t>
      </w:r>
      <w:r w:rsidRPr="00154941">
        <w:rPr>
          <w:lang w:val="fr-BE"/>
        </w:rPr>
        <w:t>DG ECFIN,</w:t>
      </w:r>
      <w:r w:rsidR="00721953" w:rsidRPr="00154941">
        <w:rPr>
          <w:lang w:val="fr-BE"/>
        </w:rPr>
        <w:t xml:space="preserve"> </w:t>
      </w:r>
      <w:hyperlink r:id="rId68" w:history="1">
        <w:r w:rsidR="004C7DFF" w:rsidRPr="00154941">
          <w:rPr>
            <w:rStyle w:val="Hyperlink"/>
            <w:lang w:val="fr-BE"/>
          </w:rPr>
          <w:t>https://ec.europa.eu/commission/presscorner/detail/en/ip_22_6782</w:t>
        </w:r>
      </w:hyperlink>
    </w:p>
  </w:footnote>
  <w:footnote w:id="309">
    <w:p w14:paraId="2B69A65D" w14:textId="77777777" w:rsidR="005B595D" w:rsidRPr="00117904" w:rsidRDefault="005B595D" w:rsidP="005B595D">
      <w:pPr>
        <w:pStyle w:val="FootnoteText"/>
      </w:pPr>
      <w:r w:rsidRPr="00D71008">
        <w:rPr>
          <w:rStyle w:val="FootnoteReference"/>
        </w:rPr>
        <w:footnoteRef/>
      </w:r>
      <w:r w:rsidRPr="00117904">
        <w:t xml:space="preserve"> DG ECFIN,</w:t>
      </w:r>
      <w:hyperlink r:id="rId69" w:history="1">
        <w:r w:rsidRPr="00117904">
          <w:rPr>
            <w:rFonts w:eastAsiaTheme="minorHAnsi"/>
            <w:sz w:val="24"/>
            <w:szCs w:val="24"/>
          </w:rPr>
          <w:t xml:space="preserve"> </w:t>
        </w:r>
        <w:hyperlink r:id="rId70" w:history="1">
          <w:r w:rsidRPr="00117904">
            <w:rPr>
              <w:rStyle w:val="Hyperlink"/>
            </w:rPr>
            <w:t>2024 Ageing Report. Economic and budgetary projections for the EU Member States (2022-2070)</w:t>
          </w:r>
        </w:hyperlink>
        <w:r w:rsidRPr="00117904">
          <w:rPr>
            <w:rStyle w:val="Hyperlink"/>
          </w:rPr>
          <w:t>.</w:t>
        </w:r>
      </w:hyperlink>
    </w:p>
  </w:footnote>
  <w:footnote w:id="310">
    <w:p w14:paraId="7B29CCCF" w14:textId="77777777" w:rsidR="00B42DBE" w:rsidRPr="00117904" w:rsidRDefault="00B42DBE" w:rsidP="00B42DBE">
      <w:pPr>
        <w:pStyle w:val="FootnoteText"/>
        <w:tabs>
          <w:tab w:val="left" w:pos="284"/>
        </w:tabs>
      </w:pPr>
      <w:r w:rsidRPr="0035121B">
        <w:rPr>
          <w:rStyle w:val="FootnoteReference"/>
        </w:rPr>
        <w:footnoteRef/>
      </w:r>
      <w:r w:rsidRPr="00117904">
        <w:t xml:space="preserve"> </w:t>
      </w:r>
      <w:hyperlink r:id="rId71" w:history="1">
        <w:r w:rsidRPr="001E1684">
          <w:rPr>
            <w:rStyle w:val="Hyperlink"/>
          </w:rPr>
          <w:t>Delivering the European Green Deal - European Commission</w:t>
        </w:r>
      </w:hyperlink>
    </w:p>
  </w:footnote>
  <w:footnote w:id="311">
    <w:p w14:paraId="0DA3297F" w14:textId="77777777" w:rsidR="00B42DBE" w:rsidRPr="005944FB" w:rsidRDefault="00B42DBE" w:rsidP="00B42DBE">
      <w:pPr>
        <w:pStyle w:val="FootnoteText"/>
        <w:rPr>
          <w:lang w:val="fr-BE"/>
        </w:rPr>
      </w:pPr>
      <w:r>
        <w:rPr>
          <w:rStyle w:val="FootnoteReference"/>
        </w:rPr>
        <w:footnoteRef/>
      </w:r>
      <w:r w:rsidRPr="005944FB">
        <w:rPr>
          <w:lang w:val="fr-BE"/>
        </w:rPr>
        <w:t xml:space="preserve"> COM(2025) 524 final</w:t>
      </w:r>
    </w:p>
  </w:footnote>
  <w:footnote w:id="312">
    <w:p w14:paraId="477BB033" w14:textId="77777777" w:rsidR="00B42DBE" w:rsidRPr="00C20865" w:rsidRDefault="00B42DBE" w:rsidP="00B42DBE">
      <w:pPr>
        <w:pStyle w:val="FootnoteText"/>
        <w:rPr>
          <w:lang w:val="fr-BE"/>
        </w:rPr>
      </w:pPr>
      <w:r>
        <w:rPr>
          <w:rStyle w:val="FootnoteReference"/>
        </w:rPr>
        <w:footnoteRef/>
      </w:r>
      <w:r w:rsidRPr="00C20865">
        <w:rPr>
          <w:lang w:val="fr-BE"/>
        </w:rPr>
        <w:t xml:space="preserve"> </w:t>
      </w:r>
      <w:hyperlink r:id="rId72" w:history="1">
        <w:r w:rsidRPr="00C20865">
          <w:rPr>
            <w:rStyle w:val="Hyperlink"/>
            <w:lang w:val="fr-BE"/>
          </w:rPr>
          <w:t>Regulation (EU) 2024/1610</w:t>
        </w:r>
      </w:hyperlink>
    </w:p>
  </w:footnote>
  <w:footnote w:id="313">
    <w:p w14:paraId="6F235DCE" w14:textId="77777777" w:rsidR="00B42DBE" w:rsidRPr="00C20865" w:rsidRDefault="00B42DBE" w:rsidP="00B42DBE">
      <w:pPr>
        <w:pStyle w:val="FootnoteText"/>
        <w:rPr>
          <w:lang w:val="fr-BE"/>
        </w:rPr>
      </w:pPr>
      <w:r>
        <w:rPr>
          <w:rStyle w:val="FootnoteReference"/>
        </w:rPr>
        <w:footnoteRef/>
      </w:r>
      <w:r w:rsidRPr="00C20865">
        <w:rPr>
          <w:lang w:val="fr-BE"/>
        </w:rPr>
        <w:t xml:space="preserve"> </w:t>
      </w:r>
      <w:hyperlink r:id="rId73" w:history="1">
        <w:r w:rsidRPr="00C20865">
          <w:rPr>
            <w:rStyle w:val="Hyperlink"/>
            <w:lang w:val="fr-BE"/>
          </w:rPr>
          <w:t>Regulation - 2024/1257 - EN - EUR-Lex</w:t>
        </w:r>
      </w:hyperlink>
    </w:p>
  </w:footnote>
  <w:footnote w:id="314">
    <w:p w14:paraId="3AD29A67" w14:textId="77777777" w:rsidR="00B42DBE" w:rsidRPr="005944FB" w:rsidRDefault="00B42DBE" w:rsidP="00B42DBE">
      <w:pPr>
        <w:pStyle w:val="FootnoteText"/>
        <w:rPr>
          <w:lang w:val="fr-BE"/>
        </w:rPr>
      </w:pPr>
      <w:r>
        <w:rPr>
          <w:rStyle w:val="FootnoteReference"/>
        </w:rPr>
        <w:footnoteRef/>
      </w:r>
      <w:r w:rsidRPr="005944FB">
        <w:rPr>
          <w:lang w:val="fr-BE"/>
        </w:rPr>
        <w:t xml:space="preserve"> </w:t>
      </w:r>
      <w:hyperlink r:id="rId74" w:history="1">
        <w:r w:rsidRPr="005944FB">
          <w:rPr>
            <w:rStyle w:val="Hyperlink"/>
            <w:lang w:val="fr-BE"/>
          </w:rPr>
          <w:t>Regulation - EU - 2024/1679 - EN - EUR-Lex</w:t>
        </w:r>
      </w:hyperlink>
    </w:p>
  </w:footnote>
  <w:footnote w:id="315">
    <w:p w14:paraId="3C7A30EB" w14:textId="77777777" w:rsidR="00B42DBE" w:rsidRPr="00117904" w:rsidRDefault="00B42DBE" w:rsidP="00B42DBE">
      <w:pPr>
        <w:pStyle w:val="FootnoteText"/>
      </w:pPr>
      <w:r w:rsidRPr="0035121B">
        <w:rPr>
          <w:rStyle w:val="FootnoteReference"/>
        </w:rPr>
        <w:footnoteRef/>
      </w:r>
      <w:r w:rsidRPr="0035121B">
        <w:t xml:space="preserve"> </w:t>
      </w:r>
      <w:hyperlink r:id="rId75" w:history="1">
        <w:r w:rsidRPr="0035121B">
          <w:rPr>
            <w:rStyle w:val="Hyperlink"/>
          </w:rPr>
          <w:t>Green Deal: Greening freight for more economic gain with less environmental impact (europa.eu)</w:t>
        </w:r>
      </w:hyperlink>
      <w:r>
        <w:rPr>
          <w:rStyle w:val="Hyperlink"/>
        </w:rPr>
        <w:t>.</w:t>
      </w:r>
    </w:p>
  </w:footnote>
  <w:footnote w:id="316">
    <w:p w14:paraId="36B3767F" w14:textId="77777777" w:rsidR="00B42DBE" w:rsidRPr="00E8621E" w:rsidRDefault="00B42DBE" w:rsidP="00B42DBE">
      <w:pPr>
        <w:pStyle w:val="FootnoteText"/>
      </w:pPr>
      <w:r>
        <w:rPr>
          <w:rStyle w:val="FootnoteReference"/>
        </w:rPr>
        <w:footnoteRef/>
      </w:r>
      <w:r>
        <w:t xml:space="preserve"> </w:t>
      </w:r>
      <w:hyperlink r:id="rId76" w:history="1">
        <w:r w:rsidRPr="00E8621E">
          <w:rPr>
            <w:rStyle w:val="Hyperlink"/>
          </w:rPr>
          <w:t>Updated rules for safer roads, less air pollution and digital vehicle documents</w:t>
        </w:r>
      </w:hyperlink>
    </w:p>
  </w:footnote>
  <w:footnote w:id="317">
    <w:p w14:paraId="1DD5B8C9" w14:textId="77777777" w:rsidR="00B42DBE" w:rsidRPr="001D603F" w:rsidRDefault="00B42DBE" w:rsidP="00B42DBE">
      <w:pPr>
        <w:pStyle w:val="FootnoteText"/>
        <w:jc w:val="both"/>
        <w:rPr>
          <w:lang w:val="es-ES"/>
        </w:rPr>
      </w:pPr>
      <w:r w:rsidRPr="00D71008">
        <w:rPr>
          <w:rStyle w:val="FootnoteReference"/>
        </w:rPr>
        <w:footnoteRef/>
      </w:r>
      <w:r w:rsidRPr="001D603F">
        <w:rPr>
          <w:lang w:val="es-ES"/>
        </w:rPr>
        <w:t xml:space="preserve"> OJ L, 2023/2661</w:t>
      </w:r>
    </w:p>
  </w:footnote>
  <w:footnote w:id="318">
    <w:p w14:paraId="2B1EB7E9" w14:textId="77777777" w:rsidR="00B42DBE" w:rsidRPr="001D603F" w:rsidRDefault="00B42DBE" w:rsidP="00B42DBE">
      <w:pPr>
        <w:pStyle w:val="FootnoteText"/>
        <w:rPr>
          <w:lang w:val="es-ES"/>
        </w:rPr>
      </w:pPr>
      <w:r w:rsidRPr="00D71008">
        <w:rPr>
          <w:rStyle w:val="FootnoteReference"/>
        </w:rPr>
        <w:footnoteRef/>
      </w:r>
      <w:r w:rsidRPr="001D603F">
        <w:rPr>
          <w:lang w:val="es-ES"/>
        </w:rPr>
        <w:t xml:space="preserve"> OJ L, 2024/490</w:t>
      </w:r>
    </w:p>
  </w:footnote>
  <w:footnote w:id="319">
    <w:p w14:paraId="548224A9" w14:textId="77777777" w:rsidR="00B42DBE" w:rsidRPr="001D603F" w:rsidRDefault="00B42DBE" w:rsidP="00B42DBE">
      <w:pPr>
        <w:ind w:right="425"/>
        <w:jc w:val="both"/>
        <w:rPr>
          <w:i/>
          <w:sz w:val="20"/>
          <w:szCs w:val="20"/>
          <w:lang w:val="es-ES"/>
        </w:rPr>
      </w:pPr>
      <w:r w:rsidRPr="00D71008">
        <w:rPr>
          <w:rStyle w:val="FootnoteReference"/>
        </w:rPr>
        <w:footnoteRef/>
      </w:r>
      <w:r w:rsidRPr="001D603F">
        <w:rPr>
          <w:lang w:val="es-ES"/>
        </w:rPr>
        <w:t xml:space="preserve"> </w:t>
      </w:r>
      <w:r w:rsidRPr="001D603F">
        <w:rPr>
          <w:sz w:val="20"/>
          <w:szCs w:val="20"/>
          <w:lang w:val="es-ES"/>
        </w:rPr>
        <w:t>OJ L 35, 4.2.2009, pp. 47–55.</w:t>
      </w:r>
    </w:p>
  </w:footnote>
  <w:footnote w:id="320">
    <w:p w14:paraId="1FC53805" w14:textId="77777777" w:rsidR="00B42DBE" w:rsidRPr="00117904" w:rsidRDefault="00B42DBE" w:rsidP="00B42DBE">
      <w:pPr>
        <w:pStyle w:val="FootnoteText"/>
        <w:tabs>
          <w:tab w:val="left" w:pos="142"/>
          <w:tab w:val="left" w:pos="284"/>
        </w:tabs>
      </w:pPr>
      <w:r>
        <w:rPr>
          <w:rStyle w:val="FootnoteReference"/>
        </w:rPr>
        <w:footnoteRef/>
      </w:r>
      <w:r w:rsidRPr="00117904">
        <w:t xml:space="preserve"> COM(2022) 289 final</w:t>
      </w:r>
    </w:p>
  </w:footnote>
  <w:footnote w:id="321">
    <w:p w14:paraId="6C02DC60" w14:textId="77777777" w:rsidR="00B42DBE" w:rsidRPr="00117904" w:rsidRDefault="00B42DBE" w:rsidP="00B42DBE">
      <w:pPr>
        <w:pStyle w:val="FootnoteText"/>
        <w:tabs>
          <w:tab w:val="left" w:pos="142"/>
          <w:tab w:val="left" w:pos="284"/>
        </w:tabs>
      </w:pPr>
      <w:r>
        <w:rPr>
          <w:rStyle w:val="FootnoteReference"/>
        </w:rPr>
        <w:footnoteRef/>
      </w:r>
      <w:r w:rsidRPr="00117904">
        <w:t xml:space="preserve"> </w:t>
      </w:r>
      <w:hyperlink r:id="rId77" w:anchor="explore" w:history="1">
        <w:r w:rsidRPr="00117904">
          <w:rPr>
            <w:rStyle w:val="Hyperlink"/>
          </w:rPr>
          <w:t>https://knowledge4policy.ec.europa.eu/foresight/tool/megatrends-hub_en#explore</w:t>
        </w:r>
      </w:hyperlink>
      <w:r w:rsidRPr="00117904">
        <w:t xml:space="preserve"> </w:t>
      </w:r>
    </w:p>
  </w:footnote>
  <w:footnote w:id="322">
    <w:p w14:paraId="44CD306F" w14:textId="77777777" w:rsidR="00B42DBE" w:rsidRPr="00117904" w:rsidRDefault="00B42DBE" w:rsidP="00B42DBE">
      <w:pPr>
        <w:pStyle w:val="FootnoteText"/>
        <w:tabs>
          <w:tab w:val="left" w:pos="142"/>
          <w:tab w:val="left" w:pos="284"/>
        </w:tabs>
        <w:rPr>
          <w:sz w:val="16"/>
          <w:szCs w:val="16"/>
        </w:rPr>
      </w:pPr>
      <w:r w:rsidRPr="00274943">
        <w:rPr>
          <w:rStyle w:val="FootnoteReference"/>
        </w:rPr>
        <w:footnoteRef/>
      </w:r>
      <w:r w:rsidRPr="00117904">
        <w:t xml:space="preserve"> </w:t>
      </w:r>
      <w:r w:rsidRPr="00FD0B0E">
        <w:t>DG ECFIN</w:t>
      </w:r>
      <w:r>
        <w:t>,</w:t>
      </w:r>
      <w:r w:rsidRPr="00FD0B0E">
        <w:t xml:space="preserve"> </w:t>
      </w:r>
      <w:hyperlink r:id="rId78" w:history="1">
        <w:r w:rsidRPr="00F26127">
          <w:rPr>
            <w:rStyle w:val="Hyperlink"/>
          </w:rPr>
          <w:t>2024 Ageing Report. Economic and Budgetary Projections for the EU Member States (2022-2070) - Economy and Finance</w:t>
        </w:r>
      </w:hyperlink>
    </w:p>
  </w:footnote>
  <w:footnote w:id="323">
    <w:p w14:paraId="67734CC2" w14:textId="77777777" w:rsidR="00C23887" w:rsidRPr="009C3711" w:rsidRDefault="00C23887" w:rsidP="00C23887">
      <w:pPr>
        <w:pStyle w:val="FootnoteText"/>
      </w:pPr>
      <w:r w:rsidRPr="009C3711">
        <w:rPr>
          <w:rStyle w:val="FootnoteReference"/>
        </w:rPr>
        <w:footnoteRef/>
      </w:r>
      <w:r w:rsidRPr="009C3711">
        <w:t xml:space="preserve"> EY (2019), Exploratory study on passenger rights in the multimodal context: final report, </w:t>
      </w:r>
      <w:hyperlink r:id="rId79" w:history="1">
        <w:r w:rsidRPr="009C3711">
          <w:rPr>
            <w:rStyle w:val="Hyperlink"/>
          </w:rPr>
          <w:t>https://data.europa.eu/doi/10.2832/72925</w:t>
        </w:r>
      </w:hyperlink>
      <w:r w:rsidRPr="009C3711">
        <w:t xml:space="preserve"> </w:t>
      </w:r>
    </w:p>
  </w:footnote>
  <w:footnote w:id="324">
    <w:p w14:paraId="39A11AC0" w14:textId="77777777" w:rsidR="007233F8" w:rsidRDefault="007233F8" w:rsidP="007233F8">
      <w:pPr>
        <w:pStyle w:val="FootnoteText"/>
      </w:pPr>
      <w:r>
        <w:rPr>
          <w:rStyle w:val="FootnoteReference"/>
        </w:rPr>
        <w:footnoteRef/>
      </w:r>
      <w:r>
        <w:t xml:space="preserve"> T</w:t>
      </w:r>
      <w:r w:rsidRPr="009874C4">
        <w:t xml:space="preserve">here is no European database of these services. Not all existing platforms may be identifiable through desk research due to the way they define or market themselves. </w:t>
      </w:r>
    </w:p>
  </w:footnote>
  <w:footnote w:id="325">
    <w:p w14:paraId="4BD63F1D" w14:textId="0EC74D40" w:rsidR="001668ED" w:rsidRPr="001668ED" w:rsidRDefault="001668ED">
      <w:pPr>
        <w:pStyle w:val="FootnoteText"/>
      </w:pPr>
      <w:r>
        <w:rPr>
          <w:rStyle w:val="FootnoteReference"/>
        </w:rPr>
        <w:footnoteRef/>
      </w:r>
      <w:r>
        <w:t xml:space="preserve"> </w:t>
      </w:r>
      <w:r w:rsidR="00E1105D">
        <w:t xml:space="preserve">There is uncertainty with this figure </w:t>
      </w:r>
      <w:r w:rsidR="0009528E">
        <w:t xml:space="preserve">due to limitations with data in particular for </w:t>
      </w:r>
      <w:r w:rsidR="009B4269">
        <w:t xml:space="preserve">MSE, </w:t>
      </w:r>
      <w:r w:rsidR="0009528E">
        <w:t>OTAs.</w:t>
      </w:r>
    </w:p>
  </w:footnote>
  <w:footnote w:id="326">
    <w:p w14:paraId="04E5ED20" w14:textId="77777777" w:rsidR="004C18C8" w:rsidRDefault="004C18C8" w:rsidP="004C18C8">
      <w:pPr>
        <w:pStyle w:val="FootnoteText"/>
      </w:pPr>
      <w:r>
        <w:rPr>
          <w:rStyle w:val="FootnoteReference"/>
        </w:rPr>
        <w:footnoteRef/>
      </w:r>
      <w:r>
        <w:t xml:space="preserve"> </w:t>
      </w:r>
      <w:hyperlink r:id="rId80" w:history="1">
        <w:r w:rsidRPr="00AE5199">
          <w:rPr>
            <w:rStyle w:val="Hyperlink"/>
          </w:rPr>
          <w:t>https://www.businesstravelnewseurope.com/Europes-leading-TMCs/2025/Europe-rankings</w:t>
        </w:r>
      </w:hyperlink>
      <w:r>
        <w:t xml:space="preserve"> </w:t>
      </w:r>
    </w:p>
  </w:footnote>
  <w:footnote w:id="327">
    <w:p w14:paraId="03C686B9" w14:textId="77777777" w:rsidR="004C18C8" w:rsidRDefault="004C18C8" w:rsidP="004C18C8">
      <w:pPr>
        <w:pStyle w:val="FootnoteText"/>
      </w:pPr>
      <w:r>
        <w:rPr>
          <w:rStyle w:val="FootnoteReference"/>
        </w:rPr>
        <w:footnoteRef/>
      </w:r>
      <w:r>
        <w:t xml:space="preserve"> </w:t>
      </w:r>
      <w:hyperlink r:id="rId81" w:history="1">
        <w:r w:rsidRPr="00AE5199">
          <w:rPr>
            <w:rStyle w:val="Hyperlink"/>
          </w:rPr>
          <w:t>https://a4e.eu/wp-content/uploads/A4E-intermediaries-study_FINAL-02.pdf</w:t>
        </w:r>
      </w:hyperlink>
      <w:r>
        <w:t xml:space="preserve"> </w:t>
      </w:r>
    </w:p>
  </w:footnote>
  <w:footnote w:id="328">
    <w:p w14:paraId="65E6BD79" w14:textId="605928A9" w:rsidR="009E78EA" w:rsidRPr="009E78EA" w:rsidRDefault="009E78EA">
      <w:pPr>
        <w:pStyle w:val="FootnoteText"/>
      </w:pPr>
      <w:r>
        <w:rPr>
          <w:rStyle w:val="FootnoteReference"/>
        </w:rPr>
        <w:footnoteRef/>
      </w:r>
      <w:r>
        <w:t xml:space="preserve"> Country of origin for the leader </w:t>
      </w:r>
      <w:r w:rsidR="00F35E6E">
        <w:t xml:space="preserve">platforms </w:t>
      </w:r>
      <w:r w:rsidR="00CE0E4B">
        <w:t>include</w:t>
      </w:r>
      <w:r w:rsidR="00F35E6E">
        <w:t xml:space="preserve"> DE, AT, </w:t>
      </w:r>
      <w:r w:rsidR="001331CF">
        <w:t>DK, LU, FI, ES</w:t>
      </w:r>
      <w:r w:rsidR="008643A5">
        <w:t xml:space="preserve"> and NL.</w:t>
      </w:r>
      <w:r w:rsidR="001331CF">
        <w:t xml:space="preserve"> </w:t>
      </w:r>
    </w:p>
  </w:footnote>
  <w:footnote w:id="329">
    <w:p w14:paraId="66F61311" w14:textId="0DE052A4" w:rsidR="003C78A1" w:rsidRPr="003C78A1" w:rsidRDefault="003C78A1">
      <w:pPr>
        <w:pStyle w:val="FootnoteText"/>
      </w:pPr>
      <w:r>
        <w:rPr>
          <w:rStyle w:val="FootnoteReference"/>
        </w:rPr>
        <w:footnoteRef/>
      </w:r>
      <w:r>
        <w:t xml:space="preserve"> </w:t>
      </w:r>
      <w:r w:rsidRPr="003C78A1">
        <w:t>Country of origin for the planned adopter platforms include FR, PL, IT, BE, PT, MT, CY, EL, BG and EE.</w:t>
      </w:r>
    </w:p>
  </w:footnote>
  <w:footnote w:id="330">
    <w:p w14:paraId="321A774B" w14:textId="6E524304" w:rsidR="00D66D65" w:rsidRPr="00D66D65" w:rsidRDefault="00D66D65">
      <w:pPr>
        <w:pStyle w:val="FootnoteText"/>
      </w:pPr>
      <w:r>
        <w:rPr>
          <w:rStyle w:val="FootnoteReference"/>
        </w:rPr>
        <w:footnoteRef/>
      </w:r>
      <w:r>
        <w:t xml:space="preserve"> </w:t>
      </w:r>
      <w:r w:rsidRPr="00D66D65">
        <w:t>Country of origin for the follower platforms include HR, LT, HU, SE, CZ, IE, SI, LV, RO and SK</w:t>
      </w:r>
      <w:r>
        <w:t xml:space="preserve">. </w:t>
      </w:r>
    </w:p>
  </w:footnote>
  <w:footnote w:id="331">
    <w:p w14:paraId="692C1E4D" w14:textId="77777777" w:rsidR="002F6D96" w:rsidRDefault="002F6D96" w:rsidP="00BE4F99">
      <w:pPr>
        <w:pStyle w:val="FootnoteText"/>
        <w:jc w:val="both"/>
      </w:pPr>
      <w:r>
        <w:rPr>
          <w:rStyle w:val="FootnoteReference"/>
        </w:rPr>
        <w:footnoteRef/>
      </w:r>
      <w:r>
        <w:t xml:space="preserve"> The platforms per capita metric was estimated as the sum of two elements: Member States specific platforms divided by Member States population, and EU-wide platforms divided by EU27 population. The second element is therefore the same for all Member States and reflects the fact that all Member States have access to some EU-wide platforms.  </w:t>
      </w:r>
    </w:p>
  </w:footnote>
  <w:footnote w:id="332">
    <w:p w14:paraId="3122064F" w14:textId="59C45A7F" w:rsidR="00C64088" w:rsidRPr="00C64088" w:rsidRDefault="00C64088">
      <w:pPr>
        <w:pStyle w:val="FootnoteText"/>
      </w:pPr>
      <w:r>
        <w:rPr>
          <w:rStyle w:val="FootnoteReference"/>
        </w:rPr>
        <w:footnoteRef/>
      </w:r>
      <w:r>
        <w:t xml:space="preserve"> W</w:t>
      </w:r>
      <w:r w:rsidRPr="00C64088">
        <w:t xml:space="preserve">hilst SME </w:t>
      </w:r>
      <w:r>
        <w:t xml:space="preserve">are not </w:t>
      </w:r>
      <w:r w:rsidRPr="00C64088">
        <w:t>directly affected by the measures, they are still expected to benefit from them as a result of their implementation.</w:t>
      </w:r>
    </w:p>
  </w:footnote>
  <w:footnote w:id="333">
    <w:p w14:paraId="0E9C4569" w14:textId="77777777" w:rsidR="00542B54" w:rsidRDefault="00542B54" w:rsidP="00C918D8">
      <w:pPr>
        <w:pStyle w:val="FootnoteText"/>
      </w:pPr>
      <w:r>
        <w:rPr>
          <w:rStyle w:val="FootnoteReference"/>
        </w:rPr>
        <w:footnoteRef/>
      </w:r>
      <w:r>
        <w:t xml:space="preserve"> Source: Eurostat, number of operators in 2023</w:t>
      </w:r>
    </w:p>
  </w:footnote>
  <w:footnote w:id="334">
    <w:p w14:paraId="1C1F92D5" w14:textId="4251B558" w:rsidR="00542B54" w:rsidRDefault="00542B54" w:rsidP="00C918D8">
      <w:pPr>
        <w:pStyle w:val="FootnoteText"/>
      </w:pPr>
      <w:r>
        <w:rPr>
          <w:rStyle w:val="FootnoteReference"/>
        </w:rPr>
        <w:footnoteRef/>
      </w:r>
      <w:r>
        <w:t xml:space="preserve"> </w:t>
      </w:r>
      <w:r w:rsidRPr="00117904">
        <w:t>Source: desk research based on websites of railway regulators, RUs and competent authorities.</w:t>
      </w:r>
    </w:p>
  </w:footnote>
  <w:footnote w:id="335">
    <w:p w14:paraId="0250A603" w14:textId="253EFBB1" w:rsidR="00542B54" w:rsidRPr="00DB7D34" w:rsidRDefault="00542B54" w:rsidP="00C918D8">
      <w:pPr>
        <w:pStyle w:val="FootnoteText"/>
      </w:pPr>
      <w:r>
        <w:rPr>
          <w:rStyle w:val="FootnoteReference"/>
        </w:rPr>
        <w:footnoteRef/>
      </w:r>
      <w:r>
        <w:t xml:space="preserve"> Covering </w:t>
      </w:r>
      <w:r w:rsidRPr="00255F89">
        <w:t>all 25</w:t>
      </w:r>
      <w:r w:rsidRPr="00DB7D34">
        <w:t xml:space="preserve"> </w:t>
      </w:r>
      <w:r>
        <w:t>Member States</w:t>
      </w:r>
      <w:r w:rsidRPr="00DB7D34">
        <w:t xml:space="preserve"> with </w:t>
      </w:r>
      <w:r>
        <w:t xml:space="preserve">a </w:t>
      </w:r>
      <w:r w:rsidRPr="00DB7D34">
        <w:t>rail</w:t>
      </w:r>
      <w:r>
        <w:t xml:space="preserve"> system</w:t>
      </w:r>
      <w:r w:rsidRPr="00DB7D34">
        <w:t xml:space="preserve">, </w:t>
      </w:r>
      <w:r>
        <w:t xml:space="preserve">those RUs which are indispensable meaning that they have significant market presence on the national rail market. </w:t>
      </w:r>
    </w:p>
  </w:footnote>
  <w:footnote w:id="336">
    <w:p w14:paraId="6AFD7024" w14:textId="6F72570C" w:rsidR="00542B54" w:rsidRPr="006D7AB2" w:rsidRDefault="00542B54" w:rsidP="00C918D8">
      <w:pPr>
        <w:pStyle w:val="FootnoteText"/>
      </w:pPr>
      <w:r>
        <w:rPr>
          <w:rStyle w:val="FootnoteReference"/>
        </w:rPr>
        <w:footnoteRef/>
      </w:r>
      <w:r>
        <w:t xml:space="preserve"> No additional cross-border PSO services have been added to this number. Most cross-border services that are operated under a PSO contract are part of a bigger contract that comprises domestic PSO services as well.</w:t>
      </w:r>
    </w:p>
  </w:footnote>
  <w:footnote w:id="337">
    <w:p w14:paraId="17C417FC" w14:textId="77777777" w:rsidR="00542B54" w:rsidRDefault="00542B54" w:rsidP="00C918D8">
      <w:pPr>
        <w:pStyle w:val="FootnoteText"/>
      </w:pPr>
      <w:r>
        <w:rPr>
          <w:rStyle w:val="FootnoteReference"/>
        </w:rPr>
        <w:footnoteRef/>
      </w:r>
      <w:r>
        <w:t xml:space="preserve"> Source: Eurostat, number of operators in 2023</w:t>
      </w:r>
    </w:p>
  </w:footnote>
  <w:footnote w:id="338">
    <w:p w14:paraId="58D8CF2D" w14:textId="0A2ECF20" w:rsidR="00542B54" w:rsidRDefault="00542B54" w:rsidP="00C918D8">
      <w:pPr>
        <w:pStyle w:val="FootnoteText"/>
      </w:pPr>
      <w:r>
        <w:rPr>
          <w:rStyle w:val="FootnoteReference"/>
        </w:rPr>
        <w:footnoteRef/>
      </w:r>
      <w:r>
        <w:t xml:space="preserve"> A</w:t>
      </w:r>
      <w:r w:rsidRPr="00B561F4">
        <w:t xml:space="preserve">ir carriers holding an A operating licence in </w:t>
      </w:r>
      <w:r w:rsidRPr="00255F89">
        <w:t>EU27</w:t>
      </w:r>
      <w:r>
        <w:t xml:space="preserve"> in 2023 based on ACOL database.</w:t>
      </w:r>
    </w:p>
  </w:footnote>
  <w:footnote w:id="339">
    <w:p w14:paraId="12F98EB9" w14:textId="77777777" w:rsidR="00E378D3" w:rsidRDefault="00E378D3" w:rsidP="00E378D3">
      <w:pPr>
        <w:pStyle w:val="FootnoteText"/>
        <w:jc w:val="both"/>
      </w:pPr>
      <w:r>
        <w:rPr>
          <w:rStyle w:val="FootnoteReference"/>
        </w:rPr>
        <w:footnoteRef/>
      </w:r>
      <w:r>
        <w:t xml:space="preserve"> </w:t>
      </w:r>
      <w:r w:rsidRPr="00265498">
        <w:t>Of the 2</w:t>
      </w:r>
      <w:r>
        <w:t>0</w:t>
      </w:r>
      <w:r w:rsidRPr="00265498">
        <w:t xml:space="preserve"> MDMS reviewed, totals for the number of transport operator partnerships were available for </w:t>
      </w:r>
      <w:r>
        <w:t>8</w:t>
      </w:r>
      <w:r w:rsidRPr="00265498">
        <w:t xml:space="preserve"> systems</w:t>
      </w:r>
      <w:r>
        <w:t xml:space="preserve"> (</w:t>
      </w:r>
      <w:r w:rsidRPr="00265498">
        <w:rPr>
          <w:i/>
          <w:iCs/>
        </w:rPr>
        <w:t>Omio, Trainline, Interrail, Tranzer, Eurail, Wien Mobil, Upstream,</w:t>
      </w:r>
      <w:r w:rsidRPr="00265498">
        <w:t> and </w:t>
      </w:r>
      <w:r w:rsidRPr="00265498">
        <w:rPr>
          <w:i/>
          <w:iCs/>
        </w:rPr>
        <w:t>AccessRail</w:t>
      </w:r>
      <w:r>
        <w:rPr>
          <w:i/>
          <w:iCs/>
        </w:rPr>
        <w:t>)</w:t>
      </w:r>
      <w:r w:rsidRPr="00265498">
        <w:t>. For the remaining 1</w:t>
      </w:r>
      <w:r>
        <w:t>2</w:t>
      </w:r>
      <w:r w:rsidRPr="00265498">
        <w:t xml:space="preserve"> systems</w:t>
      </w:r>
      <w:r>
        <w:t xml:space="preserve"> (</w:t>
      </w:r>
      <w:r w:rsidRPr="00265498">
        <w:rPr>
          <w:i/>
          <w:iCs/>
        </w:rPr>
        <w:t>Rome2rio, ARGE ÖVV, reittiopas, Open Move Way, Glimble, Mobimeo, HannoverMobil, Gaiyo, Turnn, OV Chipkaart, Natur Trip,</w:t>
      </w:r>
      <w:r w:rsidRPr="00265498">
        <w:t> and </w:t>
      </w:r>
      <w:r w:rsidRPr="00265498">
        <w:rPr>
          <w:i/>
          <w:iCs/>
        </w:rPr>
        <w:t>Ruter</w:t>
      </w:r>
      <w:r>
        <w:t xml:space="preserve">) </w:t>
      </w:r>
      <w:r w:rsidRPr="00265498">
        <w:t xml:space="preserve">the </w:t>
      </w:r>
      <w:r>
        <w:t>totals</w:t>
      </w:r>
      <w:r w:rsidRPr="00265498">
        <w:t xml:space="preserve"> are based on best available estimates. These estimates draw on publicly accessible information about known partnerships and network coverage, and were developed through analysis conducted </w:t>
      </w:r>
      <w:r>
        <w:t>in the context of the impact assessment support study</w:t>
      </w:r>
      <w:r w:rsidRPr="00265498">
        <w:t>.</w:t>
      </w:r>
    </w:p>
  </w:footnote>
  <w:footnote w:id="340">
    <w:p w14:paraId="1D7707A9" w14:textId="77777777" w:rsidR="00EA78E2" w:rsidRPr="00117904" w:rsidRDefault="00EA78E2" w:rsidP="00EA78E2">
      <w:pPr>
        <w:pStyle w:val="FootnoteText"/>
        <w:jc w:val="both"/>
      </w:pPr>
      <w:r>
        <w:rPr>
          <w:rStyle w:val="FootnoteReference"/>
        </w:rPr>
        <w:footnoteRef/>
      </w:r>
      <w:r>
        <w:t xml:space="preserve"> </w:t>
      </w:r>
      <w:r w:rsidRPr="0078490B">
        <w:t xml:space="preserve">The information on the number of rail tickets collected as part of the </w:t>
      </w:r>
      <w:r>
        <w:t xml:space="preserve">desk study and the </w:t>
      </w:r>
      <w:r w:rsidRPr="0078490B">
        <w:t>stakeholder consultation process in the context of the impact assessment support study was limited and fragmented. The number of tickets sold excluding seasonal passes in the Member States has been estimated based on the number of passengers travelling by rail and assumptions on the share of seasonal passes sold compared to the total number of tickets sold. The number of tickets sold projected in the baseline scenario follows the evolution of the number of passengers travelling by rail, provided in section 2.2.1 of Annex 4.</w:t>
      </w:r>
    </w:p>
  </w:footnote>
  <w:footnote w:id="341">
    <w:p w14:paraId="4395582B" w14:textId="77777777" w:rsidR="00CC77C3" w:rsidRPr="00255F89" w:rsidRDefault="00CC77C3" w:rsidP="00CC77C3">
      <w:pPr>
        <w:pStyle w:val="FootnoteText"/>
      </w:pPr>
      <w:r w:rsidRPr="004E336D">
        <w:rPr>
          <w:rStyle w:val="FootnoteReference"/>
        </w:rPr>
        <w:footnoteRef/>
      </w:r>
      <w:r w:rsidRPr="00117904">
        <w:t xml:space="preserve"> </w:t>
      </w:r>
      <w:r w:rsidRPr="00255F89">
        <w:t>Germany, Austria, Denmark, Luxembourg, Finland, Spain, Netherlands</w:t>
      </w:r>
    </w:p>
  </w:footnote>
  <w:footnote w:id="342">
    <w:p w14:paraId="53644628" w14:textId="77777777" w:rsidR="00CC77C3" w:rsidRPr="00255F89" w:rsidRDefault="00CC77C3" w:rsidP="00CC77C3">
      <w:pPr>
        <w:pStyle w:val="FootnoteText"/>
      </w:pPr>
      <w:r w:rsidRPr="004E336D">
        <w:rPr>
          <w:rStyle w:val="FootnoteReference"/>
        </w:rPr>
        <w:footnoteRef/>
      </w:r>
      <w:r w:rsidRPr="00255F89">
        <w:t xml:space="preserve"> France, Poland, Italy, Belgium, Portugal, Malta, Cyprus, Greece, Bulgaria, Estonia. </w:t>
      </w:r>
    </w:p>
  </w:footnote>
  <w:footnote w:id="343">
    <w:p w14:paraId="48E452E2" w14:textId="77777777" w:rsidR="00CC77C3" w:rsidRPr="00255F89" w:rsidRDefault="00CC77C3" w:rsidP="00CC77C3">
      <w:pPr>
        <w:pStyle w:val="FootnoteText"/>
      </w:pPr>
      <w:r w:rsidRPr="004E336D">
        <w:rPr>
          <w:rStyle w:val="FootnoteReference"/>
        </w:rPr>
        <w:footnoteRef/>
      </w:r>
      <w:r w:rsidRPr="00255F89">
        <w:t xml:space="preserve"> Croatia, Lithuania, Hungary, Sweden, Czech Republic, Ireland, Slovenia, Latvia, Romania, Slovakia</w:t>
      </w:r>
    </w:p>
  </w:footnote>
  <w:footnote w:id="344">
    <w:p w14:paraId="0036F086" w14:textId="1337D686" w:rsidR="009E4448" w:rsidRPr="009E4448" w:rsidRDefault="009E4448">
      <w:pPr>
        <w:pStyle w:val="FootnoteText"/>
      </w:pPr>
      <w:r>
        <w:rPr>
          <w:rStyle w:val="FootnoteReference"/>
        </w:rPr>
        <w:footnoteRef/>
      </w:r>
      <w:r>
        <w:t xml:space="preserve"> </w:t>
      </w:r>
      <w:hyperlink r:id="rId82" w:history="1">
        <w:r w:rsidRPr="009E4448">
          <w:rPr>
            <w:rStyle w:val="Hyperlink"/>
          </w:rPr>
          <w:t>Actual and usual hours of work - Statistics Explained - Eurostat</w:t>
        </w:r>
      </w:hyperlink>
    </w:p>
  </w:footnote>
  <w:footnote w:id="345">
    <w:p w14:paraId="14ADA958" w14:textId="6BAF3AA3" w:rsidR="000A1B87" w:rsidRPr="000A1B87" w:rsidRDefault="000A1B87">
      <w:pPr>
        <w:pStyle w:val="FootnoteText"/>
      </w:pPr>
      <w:r>
        <w:rPr>
          <w:rStyle w:val="FootnoteReference"/>
        </w:rPr>
        <w:footnoteRef/>
      </w:r>
      <w:r>
        <w:t xml:space="preserve"> </w:t>
      </w:r>
      <w:r w:rsidRPr="000A1B87">
        <w:t>CRS platforms are already subject to neutral display obligations in the baseline (Article 5 and 9 of the CRS Code of Conduct). Compared to Article 5 of the CRS Code of Conduct, new ranking criteria will be added as minimum mandatory criteria and display rules will allow for more flexibility compared to the current principal display.</w:t>
      </w:r>
    </w:p>
  </w:footnote>
  <w:footnote w:id="346">
    <w:p w14:paraId="67E8D432" w14:textId="5BB3F957" w:rsidR="0021737D" w:rsidRPr="0021737D" w:rsidRDefault="0021737D">
      <w:pPr>
        <w:pStyle w:val="FootnoteText"/>
      </w:pPr>
      <w:r>
        <w:rPr>
          <w:rStyle w:val="FootnoteReference"/>
        </w:rPr>
        <w:footnoteRef/>
      </w:r>
      <w:r>
        <w:t xml:space="preserve"> </w:t>
      </w:r>
      <w:r w:rsidRPr="0021737D">
        <w:t>Costs for some Member States are zero because no large B2C platforms are projected to operate in these countries.</w:t>
      </w:r>
    </w:p>
  </w:footnote>
  <w:footnote w:id="347">
    <w:p w14:paraId="69B2A964" w14:textId="77777777" w:rsidR="00F40593" w:rsidRPr="006436D7" w:rsidRDefault="00F40593" w:rsidP="00F40593">
      <w:pPr>
        <w:pStyle w:val="Text4"/>
        <w:ind w:left="0"/>
        <w:rPr>
          <w:rFonts w:ascii="Times New Roman" w:eastAsia="Calibri" w:hAnsi="Times New Roman"/>
        </w:rPr>
      </w:pPr>
      <w:r>
        <w:rPr>
          <w:rStyle w:val="FootnoteReference"/>
        </w:rPr>
        <w:footnoteRef/>
      </w:r>
      <w:r>
        <w:t xml:space="preserve"> </w:t>
      </w:r>
      <w:r w:rsidRPr="006436D7">
        <w:rPr>
          <w:rFonts w:ascii="Times New Roman" w:eastAsia="Calibri" w:hAnsi="Times New Roman"/>
        </w:rPr>
        <w:t>By comparison, PM1 requires a comprehensive overhaul of ranking and display functions, including revisions to ranking algorithms, potential front-end redesign, and enhanced data validation or restructuring. Development of ranking algorithms, UI/UX components (</w:t>
      </w:r>
      <w:r w:rsidRPr="006436D7">
        <w:rPr>
          <w:rFonts w:ascii="Times New Roman" w:hAnsi="Times New Roman"/>
        </w:rPr>
        <w:t>User interface and User experience)</w:t>
      </w:r>
      <w:r w:rsidRPr="006436D7">
        <w:rPr>
          <w:rFonts w:ascii="Times New Roman" w:eastAsia="Calibri" w:hAnsi="Times New Roman"/>
        </w:rPr>
        <w:t xml:space="preserve">, and data-processing pipelines generally entails greater complexity than back-end standardisation. </w:t>
      </w:r>
    </w:p>
  </w:footnote>
  <w:footnote w:id="348">
    <w:p w14:paraId="5E781815" w14:textId="77777777" w:rsidR="009820D1" w:rsidRPr="0021737D" w:rsidRDefault="009820D1" w:rsidP="009820D1">
      <w:pPr>
        <w:pStyle w:val="FootnoteText"/>
      </w:pPr>
      <w:r>
        <w:rPr>
          <w:rStyle w:val="FootnoteReference"/>
        </w:rPr>
        <w:footnoteRef/>
      </w:r>
      <w:r>
        <w:t xml:space="preserve"> </w:t>
      </w:r>
      <w:r w:rsidRPr="0021737D">
        <w:t>Costs for some Member States are zero because no large B2C platforms are projected to operate in these countries.</w:t>
      </w:r>
    </w:p>
  </w:footnote>
  <w:footnote w:id="349">
    <w:p w14:paraId="270965A0" w14:textId="77777777" w:rsidR="00525716" w:rsidRPr="0021737D" w:rsidRDefault="00525716" w:rsidP="00525716">
      <w:pPr>
        <w:pStyle w:val="FootnoteText"/>
      </w:pPr>
      <w:r>
        <w:rPr>
          <w:rStyle w:val="FootnoteReference"/>
        </w:rPr>
        <w:footnoteRef/>
      </w:r>
      <w:r>
        <w:t xml:space="preserve"> </w:t>
      </w:r>
      <w:r w:rsidRPr="0021737D">
        <w:t>Costs for some Member States are zero because no large B2C platforms are projected to operate in these countries.</w:t>
      </w:r>
    </w:p>
  </w:footnote>
  <w:footnote w:id="350">
    <w:p w14:paraId="4CE7B877" w14:textId="77777777" w:rsidR="00102459" w:rsidRPr="00331704" w:rsidDel="00F362C2" w:rsidRDefault="00102459" w:rsidP="00102459">
      <w:pPr>
        <w:pStyle w:val="FootnoteText"/>
      </w:pPr>
      <w:r w:rsidRPr="00331704" w:rsidDel="00F362C2">
        <w:rPr>
          <w:rStyle w:val="FootnoteReference"/>
        </w:rPr>
        <w:footnoteRef/>
      </w:r>
      <w:r w:rsidRPr="00331704" w:rsidDel="00F362C2">
        <w:t xml:space="preserve"> The estimate was derived by calculating the average of the values submitted by stakeholders, after removing two extreme outliers, one unusually low and one unusually high.</w:t>
      </w:r>
    </w:p>
  </w:footnote>
  <w:footnote w:id="351">
    <w:p w14:paraId="439EBCC9" w14:textId="77777777" w:rsidR="009467A1" w:rsidRPr="0021737D" w:rsidRDefault="009467A1" w:rsidP="009467A1">
      <w:pPr>
        <w:pStyle w:val="FootnoteText"/>
      </w:pPr>
      <w:r>
        <w:rPr>
          <w:rStyle w:val="FootnoteReference"/>
        </w:rPr>
        <w:footnoteRef/>
      </w:r>
      <w:r>
        <w:t xml:space="preserve"> </w:t>
      </w:r>
      <w:r w:rsidRPr="0021737D">
        <w:t>Costs for some Member States are zero because no large B2C platforms are projected to operate in these countries.</w:t>
      </w:r>
    </w:p>
  </w:footnote>
  <w:footnote w:id="352">
    <w:p w14:paraId="1CC49D7F" w14:textId="77777777" w:rsidR="00CD1E68" w:rsidRPr="0021737D" w:rsidRDefault="00CD1E68" w:rsidP="00CD1E68">
      <w:pPr>
        <w:pStyle w:val="FootnoteText"/>
      </w:pPr>
      <w:r>
        <w:rPr>
          <w:rStyle w:val="FootnoteReference"/>
        </w:rPr>
        <w:footnoteRef/>
      </w:r>
      <w:r>
        <w:t xml:space="preserve"> </w:t>
      </w:r>
      <w:r w:rsidRPr="0021737D">
        <w:t>Costs for some Member States are zero because no large B2C platforms are projected to operate in these countries.</w:t>
      </w:r>
    </w:p>
  </w:footnote>
  <w:footnote w:id="353">
    <w:p w14:paraId="313FAD0F" w14:textId="77777777" w:rsidR="00A228B0" w:rsidRDefault="00A228B0" w:rsidP="00A228B0">
      <w:pPr>
        <w:pStyle w:val="FootnoteText"/>
      </w:pPr>
      <w:r>
        <w:rPr>
          <w:rStyle w:val="FootnoteReference"/>
        </w:rPr>
        <w:footnoteRef/>
      </w:r>
      <w:r>
        <w:t xml:space="preserve"> </w:t>
      </w:r>
      <w:hyperlink r:id="rId83" w:history="1">
        <w:r w:rsidRPr="007B38CB">
          <w:rPr>
            <w:rStyle w:val="Hyperlink"/>
          </w:rPr>
          <w:t>https://transport.ec.europa.eu/transport-modes/rail/market/rail-market-monitoring-rmms_en</w:t>
        </w:r>
      </w:hyperlink>
      <w:r>
        <w:t xml:space="preserve"> </w:t>
      </w:r>
    </w:p>
  </w:footnote>
  <w:footnote w:id="354">
    <w:p w14:paraId="72DEF342" w14:textId="77777777" w:rsidR="00A228B0" w:rsidRDefault="00A228B0" w:rsidP="00A228B0">
      <w:pPr>
        <w:pStyle w:val="FootnoteText"/>
      </w:pPr>
      <w:r>
        <w:rPr>
          <w:rStyle w:val="FootnoteReference"/>
        </w:rPr>
        <w:footnoteRef/>
      </w:r>
      <w:r>
        <w:t xml:space="preserve"> </w:t>
      </w:r>
      <w:hyperlink r:id="rId84" w:history="1">
        <w:r w:rsidRPr="007B38CB">
          <w:rPr>
            <w:rStyle w:val="Hyperlink"/>
          </w:rPr>
          <w:t>https://eur-lex.europa.eu/resource.html?uri=cellar:57a5679e-3f85-11eb-b27b-01aa75ed71a1.0001.02/DOC_2&amp;format=PDF</w:t>
        </w:r>
      </w:hyperlink>
      <w:r>
        <w:t xml:space="preserve"> </w:t>
      </w:r>
    </w:p>
  </w:footnote>
  <w:footnote w:id="355">
    <w:p w14:paraId="783300B9" w14:textId="77777777" w:rsidR="006C3F42" w:rsidRPr="00594FF5" w:rsidRDefault="0026703D" w:rsidP="006C3F42">
      <w:pPr>
        <w:pStyle w:val="FootnoteText"/>
        <w:rPr>
          <w:lang w:val="it-IT"/>
        </w:rPr>
      </w:pPr>
      <w:r>
        <w:rPr>
          <w:rStyle w:val="FootnoteReference"/>
        </w:rPr>
        <w:footnoteRef/>
      </w:r>
      <w:r w:rsidRPr="00594FF5">
        <w:rPr>
          <w:lang w:val="it-IT"/>
        </w:rPr>
        <w:t xml:space="preserve"> </w:t>
      </w:r>
      <w:r w:rsidR="006C3F42" w:rsidRPr="00594FF5">
        <w:rPr>
          <w:lang w:val="it-IT"/>
        </w:rPr>
        <w:t>OJ L, 2026/253, 10.2.2026, p. 1.</w:t>
      </w:r>
    </w:p>
    <w:p w14:paraId="4CFFD00F" w14:textId="57AFA268" w:rsidR="0026703D" w:rsidRPr="00594FF5" w:rsidRDefault="0026703D">
      <w:pPr>
        <w:pStyle w:val="FootnoteText"/>
        <w:rPr>
          <w:lang w:val="it-IT"/>
        </w:rPr>
      </w:pPr>
    </w:p>
  </w:footnote>
  <w:footnote w:id="356">
    <w:p w14:paraId="42B21BC8" w14:textId="6EDD3AA5" w:rsidR="00906AFD" w:rsidRPr="00906AFD" w:rsidRDefault="00906AFD">
      <w:pPr>
        <w:pStyle w:val="FootnoteText"/>
      </w:pPr>
      <w:r>
        <w:rPr>
          <w:rStyle w:val="FootnoteReference"/>
        </w:rPr>
        <w:footnoteRef/>
      </w:r>
      <w:r w:rsidRPr="0075374E">
        <w:rPr>
          <w:lang w:val="it-IT"/>
        </w:rPr>
        <w:t xml:space="preserve"> </w:t>
      </w:r>
      <w:r w:rsidR="001E7970" w:rsidRPr="0075374E">
        <w:rPr>
          <w:lang w:val="it-IT"/>
        </w:rPr>
        <w:t xml:space="preserve">Mizutani, F., Smith, A., Nash, C., &amp; Uranishi, S. (2014). </w:t>
      </w:r>
      <w:r w:rsidR="001E7970" w:rsidRPr="001E7970">
        <w:rPr>
          <w:i/>
          <w:iCs/>
        </w:rPr>
        <w:t>Comparing the costs of vertical separation, integration, and intermediate organisational structures in European and East Asian railways</w:t>
      </w:r>
      <w:r w:rsidR="001E7970" w:rsidRPr="001E7970">
        <w:t xml:space="preserve"> (Discussion Paper No. 2014-37). Graduate School of Business Administration, Kobe University.</w:t>
      </w:r>
    </w:p>
  </w:footnote>
  <w:footnote w:id="357">
    <w:p w14:paraId="274FDB9F" w14:textId="1D6C6DB5" w:rsidR="001620F4" w:rsidRPr="001620F4" w:rsidRDefault="001620F4">
      <w:pPr>
        <w:pStyle w:val="FootnoteText"/>
      </w:pPr>
      <w:r>
        <w:rPr>
          <w:rStyle w:val="FootnoteReference"/>
        </w:rPr>
        <w:footnoteRef/>
      </w:r>
      <w:r>
        <w:t xml:space="preserve"> </w:t>
      </w:r>
      <w:r w:rsidRPr="001620F4">
        <w:t>Except public administration and defence, compulsory social security, activities of membership organisations</w:t>
      </w:r>
      <w:r>
        <w:t>.</w:t>
      </w:r>
    </w:p>
  </w:footnote>
  <w:footnote w:id="358">
    <w:p w14:paraId="1775F669" w14:textId="77777777" w:rsidR="00AC6196" w:rsidRPr="000C0158" w:rsidRDefault="00AC6196" w:rsidP="00AC6196">
      <w:pPr>
        <w:pStyle w:val="FootnoteText"/>
      </w:pPr>
      <w:r>
        <w:rPr>
          <w:rStyle w:val="FootnoteReference"/>
        </w:rPr>
        <w:footnoteRef/>
      </w:r>
      <w:r>
        <w:t xml:space="preserve"> The rail supply industry is not covered as it is outside of the scope of this initiative.</w:t>
      </w:r>
    </w:p>
  </w:footnote>
  <w:footnote w:id="359">
    <w:p w14:paraId="6A4BDA91" w14:textId="77777777" w:rsidR="005A271C" w:rsidRPr="005A271C" w:rsidRDefault="005A271C" w:rsidP="005A271C">
      <w:pPr>
        <w:pStyle w:val="FootnoteText"/>
      </w:pPr>
      <w:r>
        <w:rPr>
          <w:rStyle w:val="FootnoteReference"/>
        </w:rPr>
        <w:footnoteRef/>
      </w:r>
      <w:r>
        <w:t xml:space="preserve"> https://ec.europa.eu/docsroom/documents/63274</w:t>
      </w:r>
    </w:p>
  </w:footnote>
  <w:footnote w:id="360">
    <w:p w14:paraId="656D84F4" w14:textId="4781E699" w:rsidR="00890248" w:rsidRDefault="00890248">
      <w:pPr>
        <w:pStyle w:val="FootnoteText"/>
      </w:pPr>
      <w:r>
        <w:rPr>
          <w:rStyle w:val="FootnoteReference"/>
        </w:rPr>
        <w:footnoteRef/>
      </w:r>
      <w:r>
        <w:t xml:space="preserve"> </w:t>
      </w:r>
      <w:r w:rsidR="007F53DB">
        <w:t xml:space="preserve">A score </w:t>
      </w:r>
      <w:r w:rsidR="001C7DDE">
        <w:t xml:space="preserve">of 5 represents that all respondents have fully agreed, a score of 4 that </w:t>
      </w:r>
      <w:r w:rsidR="00F721EB">
        <w:t>respondents</w:t>
      </w:r>
      <w:r w:rsidR="001C7DDE">
        <w:t xml:space="preserve"> </w:t>
      </w:r>
      <w:r w:rsidR="004D09F5">
        <w:t xml:space="preserve">on average </w:t>
      </w:r>
      <w:r w:rsidR="001C7DDE">
        <w:t xml:space="preserve">have indicated </w:t>
      </w:r>
      <w:r w:rsidR="00F721EB">
        <w:t xml:space="preserve">somewhat agree, a score of 3 indicates </w:t>
      </w:r>
      <w:r w:rsidR="004D09F5">
        <w:t xml:space="preserve">on average </w:t>
      </w:r>
      <w:r w:rsidR="00F721EB">
        <w:t xml:space="preserve">neutral views. </w:t>
      </w:r>
    </w:p>
  </w:footnote>
  <w:footnote w:id="361">
    <w:p w14:paraId="078FF049" w14:textId="11CCEDF0" w:rsidR="00CB40F9" w:rsidRPr="00066594" w:rsidRDefault="00CB40F9" w:rsidP="00CB40F9">
      <w:pPr>
        <w:pStyle w:val="FootnoteText"/>
      </w:pPr>
      <w:r>
        <w:rPr>
          <w:rStyle w:val="FootnoteReference"/>
        </w:rPr>
        <w:footnoteRef/>
      </w:r>
      <w:r>
        <w:t xml:space="preserve"> Statement formulated by </w:t>
      </w:r>
      <w:r w:rsidR="004A5783">
        <w:t>an SME new entrant RU</w:t>
      </w:r>
      <w:r>
        <w:t xml:space="preserve"> during their interview</w:t>
      </w:r>
      <w:r w:rsidR="000140BD">
        <w:t>.</w:t>
      </w:r>
    </w:p>
  </w:footnote>
  <w:footnote w:id="362">
    <w:p w14:paraId="7B0CDBDE" w14:textId="128CC635" w:rsidR="005A271C" w:rsidRDefault="005A271C" w:rsidP="005A271C">
      <w:pPr>
        <w:pStyle w:val="FootnoteText"/>
      </w:pPr>
      <w:r>
        <w:rPr>
          <w:rStyle w:val="FootnoteReference"/>
        </w:rPr>
        <w:footnoteRef/>
      </w:r>
      <w:r>
        <w:t xml:space="preserve"> The costs and benefits data in this annex are consistent with the data in </w:t>
      </w:r>
      <w:r w:rsidR="00FD3329">
        <w:t>A</w:t>
      </w:r>
      <w:r>
        <w:t xml:space="preserve">nnex 3. </w:t>
      </w:r>
    </w:p>
  </w:footnote>
  <w:footnote w:id="363">
    <w:p w14:paraId="240CACAA" w14:textId="02321211" w:rsidR="007603ED" w:rsidRPr="007603ED" w:rsidRDefault="007603ED">
      <w:pPr>
        <w:pStyle w:val="FootnoteText"/>
      </w:pPr>
      <w:r>
        <w:rPr>
          <w:rStyle w:val="FootnoteReference"/>
        </w:rPr>
        <w:footnoteRef/>
      </w:r>
      <w:r>
        <w:t xml:space="preserve"> </w:t>
      </w:r>
      <w:r w:rsidRPr="005D2D60">
        <w:t>OJ L, 2026/253, 10.2.2026, p. 1.</w:t>
      </w:r>
    </w:p>
  </w:footnote>
  <w:footnote w:id="364">
    <w:p w14:paraId="331DB709" w14:textId="41D99D4E" w:rsidR="007603ED" w:rsidRPr="007603ED" w:rsidRDefault="007603ED">
      <w:pPr>
        <w:pStyle w:val="FootnoteText"/>
      </w:pPr>
      <w:r>
        <w:rPr>
          <w:rStyle w:val="FootnoteReference"/>
        </w:rPr>
        <w:footnoteRef/>
      </w:r>
      <w:r>
        <w:t xml:space="preserve"> </w:t>
      </w:r>
      <w:r w:rsidRPr="005D2D60">
        <w:t>OJ L, 2026/253, 10.2.2026, p. 1.</w:t>
      </w:r>
    </w:p>
  </w:footnote>
  <w:footnote w:id="365">
    <w:p w14:paraId="56C48DE6" w14:textId="77BA822D" w:rsidR="003604C4" w:rsidRPr="003604C4" w:rsidRDefault="003604C4">
      <w:pPr>
        <w:pStyle w:val="FootnoteText"/>
      </w:pPr>
      <w:r>
        <w:rPr>
          <w:rStyle w:val="FootnoteReference"/>
        </w:rPr>
        <w:footnoteRef/>
      </w:r>
      <w:r>
        <w:t xml:space="preserve"> </w:t>
      </w:r>
      <w:hyperlink r:id="rId85" w:history="1">
        <w:r w:rsidRPr="003604C4">
          <w:rPr>
            <w:rStyle w:val="Hyperlink"/>
          </w:rPr>
          <w:t>Rail Market Monitoring (RMMS) - Mobility and Transport</w:t>
        </w:r>
      </w:hyperlink>
    </w:p>
  </w:footnote>
  <w:footnote w:id="366">
    <w:p w14:paraId="2BC9B357" w14:textId="77777777" w:rsidR="001954CE" w:rsidRDefault="001954CE"/>
    <w:p w14:paraId="5623D492" w14:textId="77777777" w:rsidR="00A1160C" w:rsidRPr="00D71008" w:rsidRDefault="00A1160C" w:rsidP="00A1160C"/>
  </w:footnote>
  <w:footnote w:id="367">
    <w:p w14:paraId="1EF1C73C" w14:textId="25928BFC" w:rsidR="00D82E03" w:rsidRPr="00D71008" w:rsidRDefault="00D82E03" w:rsidP="000D6735">
      <w:pPr>
        <w:pStyle w:val="FootnoteText"/>
        <w:jc w:val="both"/>
      </w:pPr>
      <w:r w:rsidRPr="00D71008">
        <w:rPr>
          <w:rStyle w:val="FootnoteReference"/>
        </w:rPr>
        <w:footnoteRef/>
      </w:r>
      <w:r w:rsidRPr="00D71008">
        <w:t xml:space="preserve"> The non-discrimination requirement for booking fees stifle</w:t>
      </w:r>
      <w:r w:rsidR="002B5E90" w:rsidRPr="00D71008">
        <w:t>s</w:t>
      </w:r>
      <w:r w:rsidRPr="00D71008">
        <w:t xml:space="preserve"> price competition, because if CRS vendors provide a discount to one airline, they must provide it to all.</w:t>
      </w:r>
      <w:r w:rsidR="002B5E90" w:rsidRPr="00D71008">
        <w:t xml:space="preserve"> This requirement was set out in the 1989’s Code of Conduct. </w:t>
      </w:r>
    </w:p>
  </w:footnote>
  <w:footnote w:id="368">
    <w:p w14:paraId="39D62841" w14:textId="571D931B" w:rsidR="000D7868" w:rsidRPr="00D71008" w:rsidRDefault="000D7868" w:rsidP="000D6735">
      <w:pPr>
        <w:pStyle w:val="FootnoteText"/>
        <w:jc w:val="both"/>
      </w:pPr>
      <w:r w:rsidRPr="00D71008">
        <w:rPr>
          <w:rStyle w:val="FootnoteReference"/>
        </w:rPr>
        <w:footnoteRef/>
      </w:r>
      <w:r w:rsidRPr="00D71008">
        <w:t xml:space="preserve"> </w:t>
      </w:r>
      <w:r w:rsidR="0095224D" w:rsidRPr="00D71008">
        <w:t>2007’s Impact assessment of the Regulation 2299/89 on a Code of Conduct for computerised reservation systems</w:t>
      </w:r>
      <w:r w:rsidR="007D4EDD" w:rsidRPr="00D71008">
        <w:t xml:space="preserve">, </w:t>
      </w:r>
      <w:r w:rsidR="00871048" w:rsidRPr="00D71008">
        <w:t xml:space="preserve">COM(2007) 709 SEC(2007) 1497, </w:t>
      </w:r>
      <w:hyperlink r:id="rId86" w:history="1">
        <w:r w:rsidR="00972259" w:rsidRPr="00D71008">
          <w:rPr>
            <w:rStyle w:val="Hyperlink"/>
          </w:rPr>
          <w:t>https://transport.ec.europa.eu/document/download/a1f0573a-13a3-4157-b569-bdc40a0f7f72_en?filename=crs_impact_assessment.pdf</w:t>
        </w:r>
      </w:hyperlink>
      <w:r w:rsidR="00972259" w:rsidRPr="00D71008">
        <w:t xml:space="preserve">. </w:t>
      </w:r>
    </w:p>
  </w:footnote>
  <w:footnote w:id="369">
    <w:p w14:paraId="69FCF2B8" w14:textId="6123FCBB" w:rsidR="008332F4" w:rsidRPr="00D71008" w:rsidRDefault="008332F4">
      <w:pPr>
        <w:pStyle w:val="FootnoteText"/>
      </w:pPr>
      <w:r w:rsidRPr="00D71008">
        <w:rPr>
          <w:rStyle w:val="FootnoteReference"/>
        </w:rPr>
        <w:footnoteRef/>
      </w:r>
      <w:r w:rsidRPr="00D71008">
        <w:t xml:space="preserve"> </w:t>
      </w:r>
      <w:r w:rsidR="001B7DB8" w:rsidRPr="00D71008">
        <w:t xml:space="preserve">Ricardo (2026) support study of the impact assessment of </w:t>
      </w:r>
      <w:r w:rsidR="008E5E17">
        <w:t>RMB and RTR</w:t>
      </w:r>
      <w:r w:rsidR="001B7DB8" w:rsidRPr="00D71008">
        <w:t xml:space="preserve">. </w:t>
      </w:r>
      <w:r w:rsidR="00823B94">
        <w:t>Reported</w:t>
      </w:r>
      <w:r w:rsidR="001B7DB8" w:rsidRPr="00D71008">
        <w:t xml:space="preserve"> by one main CRS which share that CRS hold 22% of EU air ticketing market in 2024.</w:t>
      </w:r>
    </w:p>
  </w:footnote>
  <w:footnote w:id="370">
    <w:p w14:paraId="5F0C0D21" w14:textId="723F4AA0" w:rsidR="00FD5305" w:rsidRPr="00D71008" w:rsidRDefault="00FD5305" w:rsidP="00FD5305">
      <w:pPr>
        <w:pStyle w:val="FootnoteText"/>
      </w:pPr>
      <w:r w:rsidRPr="00D71008">
        <w:rPr>
          <w:rStyle w:val="FootnoteReference"/>
        </w:rPr>
        <w:footnoteRef/>
      </w:r>
      <w:r w:rsidRPr="00D71008">
        <w:t xml:space="preserve"> One airline interviewed in the context of impact assessment support study indicated that every major European airline group utilises </w:t>
      </w:r>
      <w:r w:rsidR="00402A67">
        <w:t>one of the three main</w:t>
      </w:r>
      <w:r w:rsidRPr="00D71008">
        <w:t xml:space="preserve"> CRS backend systems despite this charging 20 EUR per ticket sold, which is significantly more than the fee charged by newer intermediaries.</w:t>
      </w:r>
    </w:p>
  </w:footnote>
  <w:footnote w:id="371">
    <w:p w14:paraId="1A0E4339" w14:textId="77777777" w:rsidR="001F7BE3" w:rsidRPr="00D71008" w:rsidRDefault="001F7BE3" w:rsidP="001F7BE3">
      <w:pPr>
        <w:pStyle w:val="FootnoteText"/>
      </w:pPr>
      <w:r w:rsidRPr="00D71008">
        <w:rPr>
          <w:rStyle w:val="FootnoteReference"/>
        </w:rPr>
        <w:footnoteRef/>
      </w:r>
      <w:r w:rsidRPr="00D71008">
        <w:t xml:space="preserve"> According to Eurostat, by 2019, the share of EU27 households with internet access was 90%, compared to 64% in 2009 (Eurostat, 2020a).</w:t>
      </w:r>
    </w:p>
  </w:footnote>
  <w:footnote w:id="372">
    <w:p w14:paraId="6CFB91DE" w14:textId="3633696E" w:rsidR="00BF1276" w:rsidRPr="00BF1276" w:rsidRDefault="00BF1276">
      <w:pPr>
        <w:pStyle w:val="FootnoteText"/>
      </w:pPr>
      <w:r>
        <w:rPr>
          <w:rStyle w:val="FootnoteReference"/>
        </w:rPr>
        <w:footnoteRef/>
      </w:r>
      <w:r>
        <w:t xml:space="preserve"> </w:t>
      </w:r>
      <w:r w:rsidRPr="00BF1276">
        <w:rPr>
          <w:lang w:val="en-IE"/>
        </w:rPr>
        <w:t xml:space="preserve">Due to the limited availability of data provided by stakeholders, it was not possible to determine the current market share of ticket sold in the EU which passes through Direct Connects. Ricardo (2026) support study of the impact assessment of </w:t>
      </w:r>
      <w:r w:rsidR="008E5E17">
        <w:rPr>
          <w:lang w:val="en-IE"/>
        </w:rPr>
        <w:t>RMB and RTR</w:t>
      </w:r>
      <w:r w:rsidRPr="00BF1276">
        <w:rPr>
          <w:lang w:val="en-IE"/>
        </w:rPr>
        <w:t>.</w:t>
      </w:r>
    </w:p>
  </w:footnote>
  <w:footnote w:id="373">
    <w:p w14:paraId="2776F79C" w14:textId="14011B69" w:rsidR="00B06E28" w:rsidRPr="00D71008" w:rsidRDefault="00B06E28" w:rsidP="001F099A">
      <w:pPr>
        <w:spacing w:before="1"/>
        <w:ind w:right="401"/>
        <w:jc w:val="both"/>
      </w:pPr>
      <w:r w:rsidRPr="00D71008">
        <w:rPr>
          <w:rStyle w:val="FootnoteReference"/>
        </w:rPr>
        <w:footnoteRef/>
      </w:r>
      <w:r w:rsidRPr="00D71008">
        <w:t xml:space="preserve"> </w:t>
      </w:r>
      <w:r w:rsidRPr="00D71008">
        <w:rPr>
          <w:sz w:val="20"/>
        </w:rPr>
        <w:t>Code-share agreements, also known simply as codeshare, are commercial agreements under which the airline operating a flight (the "operating airline") allows one or more other airlines (the "marketing airlines") to market and issue tickets for the flight as if the marketing airlines were operating the flight themselves. Flights covered by a codeshare</w:t>
      </w:r>
      <w:r w:rsidRPr="00D71008">
        <w:rPr>
          <w:spacing w:val="-3"/>
          <w:sz w:val="20"/>
        </w:rPr>
        <w:t xml:space="preserve"> </w:t>
      </w:r>
      <w:r w:rsidRPr="00D71008">
        <w:rPr>
          <w:sz w:val="20"/>
        </w:rPr>
        <w:t>agreement</w:t>
      </w:r>
      <w:r w:rsidRPr="00D71008">
        <w:rPr>
          <w:spacing w:val="-4"/>
          <w:sz w:val="20"/>
        </w:rPr>
        <w:t xml:space="preserve"> </w:t>
      </w:r>
      <w:r w:rsidRPr="00D71008">
        <w:rPr>
          <w:sz w:val="20"/>
        </w:rPr>
        <w:t>are</w:t>
      </w:r>
      <w:r w:rsidRPr="00D71008">
        <w:rPr>
          <w:spacing w:val="-3"/>
          <w:sz w:val="20"/>
        </w:rPr>
        <w:t xml:space="preserve"> </w:t>
      </w:r>
      <w:r w:rsidRPr="00D71008">
        <w:rPr>
          <w:sz w:val="20"/>
        </w:rPr>
        <w:t>displayed on</w:t>
      </w:r>
      <w:r w:rsidRPr="00D71008">
        <w:rPr>
          <w:spacing w:val="-4"/>
          <w:sz w:val="20"/>
        </w:rPr>
        <w:t xml:space="preserve"> </w:t>
      </w:r>
      <w:r w:rsidRPr="00D71008">
        <w:rPr>
          <w:sz w:val="20"/>
        </w:rPr>
        <w:t>the</w:t>
      </w:r>
      <w:r w:rsidRPr="00D71008">
        <w:rPr>
          <w:spacing w:val="-3"/>
          <w:sz w:val="20"/>
        </w:rPr>
        <w:t xml:space="preserve"> </w:t>
      </w:r>
      <w:r w:rsidRPr="00D71008">
        <w:rPr>
          <w:sz w:val="20"/>
        </w:rPr>
        <w:t>airlines’</w:t>
      </w:r>
      <w:r w:rsidRPr="00D71008">
        <w:rPr>
          <w:spacing w:val="-2"/>
          <w:sz w:val="20"/>
        </w:rPr>
        <w:t xml:space="preserve"> </w:t>
      </w:r>
      <w:r w:rsidRPr="00D71008">
        <w:rPr>
          <w:sz w:val="20"/>
        </w:rPr>
        <w:t>websites</w:t>
      </w:r>
      <w:r w:rsidRPr="00D71008">
        <w:rPr>
          <w:spacing w:val="-4"/>
          <w:sz w:val="20"/>
        </w:rPr>
        <w:t xml:space="preserve"> </w:t>
      </w:r>
      <w:r w:rsidRPr="00D71008">
        <w:rPr>
          <w:sz w:val="20"/>
        </w:rPr>
        <w:t>and</w:t>
      </w:r>
      <w:r w:rsidRPr="00D71008">
        <w:rPr>
          <w:spacing w:val="-2"/>
          <w:sz w:val="20"/>
        </w:rPr>
        <w:t xml:space="preserve"> </w:t>
      </w:r>
      <w:r w:rsidRPr="00D71008">
        <w:rPr>
          <w:sz w:val="20"/>
        </w:rPr>
        <w:t>on</w:t>
      </w:r>
      <w:r w:rsidRPr="00D71008">
        <w:rPr>
          <w:spacing w:val="-4"/>
          <w:sz w:val="20"/>
        </w:rPr>
        <w:t xml:space="preserve"> </w:t>
      </w:r>
      <w:r w:rsidRPr="00D71008">
        <w:rPr>
          <w:sz w:val="20"/>
        </w:rPr>
        <w:t>CRS</w:t>
      </w:r>
      <w:r w:rsidRPr="00D71008">
        <w:rPr>
          <w:spacing w:val="-4"/>
          <w:sz w:val="20"/>
        </w:rPr>
        <w:t xml:space="preserve"> </w:t>
      </w:r>
      <w:r w:rsidRPr="00D71008">
        <w:rPr>
          <w:sz w:val="20"/>
        </w:rPr>
        <w:t>and</w:t>
      </w:r>
      <w:r w:rsidRPr="00D71008">
        <w:rPr>
          <w:spacing w:val="-1"/>
          <w:sz w:val="20"/>
        </w:rPr>
        <w:t xml:space="preserve"> </w:t>
      </w:r>
      <w:r w:rsidRPr="00D71008">
        <w:rPr>
          <w:sz w:val="20"/>
        </w:rPr>
        <w:t>other</w:t>
      </w:r>
      <w:r w:rsidRPr="00D71008">
        <w:rPr>
          <w:spacing w:val="-2"/>
          <w:sz w:val="20"/>
        </w:rPr>
        <w:t xml:space="preserve"> </w:t>
      </w:r>
      <w:r w:rsidRPr="00D71008">
        <w:rPr>
          <w:sz w:val="20"/>
        </w:rPr>
        <w:t>aggregators</w:t>
      </w:r>
      <w:r w:rsidR="00A22C1C" w:rsidRPr="00D71008">
        <w:rPr>
          <w:sz w:val="20"/>
        </w:rPr>
        <w:t>.</w:t>
      </w:r>
      <w:r w:rsidRPr="00D71008">
        <w:rPr>
          <w:spacing w:val="-2"/>
          <w:sz w:val="20"/>
        </w:rPr>
        <w:t xml:space="preserve"> </w:t>
      </w:r>
    </w:p>
  </w:footnote>
  <w:footnote w:id="374">
    <w:p w14:paraId="1A05E0E9" w14:textId="77777777" w:rsidR="00B06E28" w:rsidRPr="00D71008" w:rsidRDefault="00B06E28" w:rsidP="00B06E28">
      <w:pPr>
        <w:pStyle w:val="FootnoteText"/>
      </w:pPr>
      <w:r w:rsidRPr="00D71008">
        <w:rPr>
          <w:rStyle w:val="FootnoteReference"/>
        </w:rPr>
        <w:footnoteRef/>
      </w:r>
      <w:r w:rsidRPr="00D71008">
        <w:t xml:space="preserve"> For example, Lufthansa, IAG, and Air France/KLM have added such surcharges (Metcalf, 2017). This triggered complaints</w:t>
      </w:r>
      <w:r w:rsidRPr="00D71008">
        <w:rPr>
          <w:spacing w:val="-4"/>
        </w:rPr>
        <w:t xml:space="preserve"> </w:t>
      </w:r>
      <w:r w:rsidRPr="00D71008">
        <w:t>to</w:t>
      </w:r>
      <w:r w:rsidRPr="00D71008">
        <w:rPr>
          <w:spacing w:val="-2"/>
        </w:rPr>
        <w:t xml:space="preserve"> </w:t>
      </w:r>
      <w:r w:rsidRPr="00D71008">
        <w:t>the</w:t>
      </w:r>
      <w:r w:rsidRPr="00D71008">
        <w:rPr>
          <w:spacing w:val="-3"/>
        </w:rPr>
        <w:t xml:space="preserve"> </w:t>
      </w:r>
      <w:r w:rsidRPr="00D71008">
        <w:t>European</w:t>
      </w:r>
      <w:r w:rsidRPr="00D71008">
        <w:rPr>
          <w:spacing w:val="-2"/>
        </w:rPr>
        <w:t xml:space="preserve"> </w:t>
      </w:r>
      <w:r w:rsidRPr="00D71008">
        <w:t>Commission</w:t>
      </w:r>
      <w:r w:rsidRPr="00D71008">
        <w:rPr>
          <w:spacing w:val="-4"/>
        </w:rPr>
        <w:t xml:space="preserve"> </w:t>
      </w:r>
      <w:r w:rsidRPr="00D71008">
        <w:t>by</w:t>
      </w:r>
      <w:r w:rsidRPr="00D71008">
        <w:rPr>
          <w:spacing w:val="-7"/>
        </w:rPr>
        <w:t xml:space="preserve"> </w:t>
      </w:r>
      <w:r w:rsidRPr="00D71008">
        <w:t>the</w:t>
      </w:r>
      <w:r w:rsidRPr="00D71008">
        <w:rPr>
          <w:spacing w:val="-3"/>
        </w:rPr>
        <w:t xml:space="preserve"> </w:t>
      </w:r>
      <w:r w:rsidRPr="00D71008">
        <w:t>European</w:t>
      </w:r>
      <w:r w:rsidRPr="00D71008">
        <w:rPr>
          <w:spacing w:val="-4"/>
        </w:rPr>
        <w:t xml:space="preserve"> </w:t>
      </w:r>
      <w:r w:rsidRPr="00D71008">
        <w:t>Technology</w:t>
      </w:r>
      <w:r w:rsidRPr="00D71008">
        <w:rPr>
          <w:spacing w:val="-4"/>
        </w:rPr>
        <w:t xml:space="preserve"> </w:t>
      </w:r>
      <w:r w:rsidRPr="00D71008">
        <w:t>and</w:t>
      </w:r>
      <w:r w:rsidRPr="00D71008">
        <w:rPr>
          <w:spacing w:val="-2"/>
        </w:rPr>
        <w:t xml:space="preserve"> </w:t>
      </w:r>
      <w:r w:rsidRPr="00D71008">
        <w:t>Travel</w:t>
      </w:r>
      <w:r w:rsidRPr="00D71008">
        <w:rPr>
          <w:spacing w:val="-3"/>
        </w:rPr>
        <w:t xml:space="preserve"> </w:t>
      </w:r>
      <w:r w:rsidRPr="00D71008">
        <w:t>Services</w:t>
      </w:r>
      <w:r w:rsidRPr="00D71008">
        <w:rPr>
          <w:spacing w:val="-4"/>
        </w:rPr>
        <w:t xml:space="preserve"> </w:t>
      </w:r>
      <w:r w:rsidRPr="00D71008">
        <w:t>Association</w:t>
      </w:r>
      <w:r w:rsidRPr="00D71008">
        <w:rPr>
          <w:spacing w:val="-4"/>
        </w:rPr>
        <w:t xml:space="preserve"> </w:t>
      </w:r>
      <w:r w:rsidRPr="00D71008">
        <w:t>(ETTSA,</w:t>
      </w:r>
      <w:r w:rsidRPr="00D71008">
        <w:rPr>
          <w:spacing w:val="-3"/>
        </w:rPr>
        <w:t xml:space="preserve"> </w:t>
      </w:r>
      <w:r w:rsidRPr="00D71008">
        <w:t>now Eu Travel Tech). However, Lufthansa does not impose such a surcharge on bookings made via Travelfusion, a new content aggregator (Boehmer, 2020).</w:t>
      </w:r>
    </w:p>
  </w:footnote>
  <w:footnote w:id="375">
    <w:p w14:paraId="6E91F7D3" w14:textId="0D1D6FE1" w:rsidR="00B06E28" w:rsidRPr="00D71008" w:rsidRDefault="00B06E28" w:rsidP="00B06E28">
      <w:pPr>
        <w:spacing w:line="229" w:lineRule="exact"/>
        <w:rPr>
          <w:sz w:val="20"/>
        </w:rPr>
      </w:pPr>
      <w:r w:rsidRPr="00D71008">
        <w:rPr>
          <w:rStyle w:val="FootnoteReference"/>
        </w:rPr>
        <w:footnoteRef/>
      </w:r>
      <w:r w:rsidRPr="00D71008">
        <w:t xml:space="preserve"> </w:t>
      </w:r>
      <w:r w:rsidRPr="00D71008">
        <w:rPr>
          <w:sz w:val="20"/>
        </w:rPr>
        <w:t>For</w:t>
      </w:r>
      <w:r w:rsidRPr="00D71008">
        <w:rPr>
          <w:spacing w:val="-4"/>
          <w:sz w:val="20"/>
        </w:rPr>
        <w:t xml:space="preserve"> </w:t>
      </w:r>
      <w:r w:rsidRPr="00D71008">
        <w:rPr>
          <w:sz w:val="20"/>
        </w:rPr>
        <w:t>example,</w:t>
      </w:r>
      <w:r w:rsidRPr="00D71008">
        <w:rPr>
          <w:spacing w:val="-2"/>
          <w:sz w:val="20"/>
        </w:rPr>
        <w:t xml:space="preserve"> </w:t>
      </w:r>
      <w:r w:rsidRPr="00D71008">
        <w:rPr>
          <w:sz w:val="20"/>
        </w:rPr>
        <w:t>Amadeus</w:t>
      </w:r>
      <w:r>
        <w:rPr>
          <w:sz w:val="20"/>
        </w:rPr>
        <w:t xml:space="preserve"> </w:t>
      </w:r>
      <w:r w:rsidR="00DB542A">
        <w:rPr>
          <w:sz w:val="20"/>
        </w:rPr>
        <w:t>started</w:t>
      </w:r>
      <w:r w:rsidRPr="00D71008">
        <w:rPr>
          <w:spacing w:val="-5"/>
          <w:sz w:val="20"/>
        </w:rPr>
        <w:t xml:space="preserve"> </w:t>
      </w:r>
      <w:r w:rsidRPr="00D71008">
        <w:rPr>
          <w:sz w:val="20"/>
        </w:rPr>
        <w:t>implement</w:t>
      </w:r>
      <w:r w:rsidR="006452E3">
        <w:rPr>
          <w:sz w:val="20"/>
        </w:rPr>
        <w:t>ing</w:t>
      </w:r>
      <w:r w:rsidRPr="00D71008">
        <w:rPr>
          <w:spacing w:val="-4"/>
          <w:sz w:val="20"/>
        </w:rPr>
        <w:t xml:space="preserve"> </w:t>
      </w:r>
      <w:r w:rsidRPr="00D71008">
        <w:rPr>
          <w:sz w:val="20"/>
        </w:rPr>
        <w:t>NDC</w:t>
      </w:r>
      <w:r w:rsidRPr="00D71008">
        <w:rPr>
          <w:spacing w:val="-5"/>
          <w:sz w:val="20"/>
        </w:rPr>
        <w:t xml:space="preserve"> </w:t>
      </w:r>
      <w:r w:rsidRPr="00D71008">
        <w:rPr>
          <w:sz w:val="20"/>
        </w:rPr>
        <w:t>in</w:t>
      </w:r>
      <w:r w:rsidRPr="00D71008">
        <w:rPr>
          <w:spacing w:val="-5"/>
          <w:sz w:val="20"/>
        </w:rPr>
        <w:t xml:space="preserve"> </w:t>
      </w:r>
      <w:r w:rsidRPr="00D71008">
        <w:rPr>
          <w:sz w:val="20"/>
        </w:rPr>
        <w:t>its</w:t>
      </w:r>
      <w:r w:rsidRPr="00D71008">
        <w:rPr>
          <w:spacing w:val="-4"/>
          <w:sz w:val="20"/>
        </w:rPr>
        <w:t xml:space="preserve"> </w:t>
      </w:r>
      <w:r w:rsidRPr="00D71008">
        <w:rPr>
          <w:sz w:val="20"/>
        </w:rPr>
        <w:t>CRS</w:t>
      </w:r>
      <w:r w:rsidRPr="00D71008">
        <w:rPr>
          <w:spacing w:val="-5"/>
          <w:sz w:val="20"/>
        </w:rPr>
        <w:t xml:space="preserve"> </w:t>
      </w:r>
      <w:r w:rsidRPr="00D71008">
        <w:rPr>
          <w:sz w:val="20"/>
        </w:rPr>
        <w:t>in</w:t>
      </w:r>
      <w:r w:rsidRPr="00D71008">
        <w:rPr>
          <w:spacing w:val="-5"/>
          <w:sz w:val="20"/>
        </w:rPr>
        <w:t xml:space="preserve"> </w:t>
      </w:r>
      <w:r w:rsidRPr="00D71008">
        <w:rPr>
          <w:spacing w:val="-2"/>
          <w:sz w:val="20"/>
        </w:rPr>
        <w:t>2019.</w:t>
      </w:r>
    </w:p>
  </w:footnote>
  <w:footnote w:id="376">
    <w:p w14:paraId="19376483" w14:textId="77777777" w:rsidR="00B06E28" w:rsidRPr="00D71008" w:rsidRDefault="00B06E28" w:rsidP="00B06E28">
      <w:pPr>
        <w:spacing w:before="1"/>
        <w:ind w:right="401"/>
        <w:rPr>
          <w:sz w:val="20"/>
        </w:rPr>
      </w:pPr>
      <w:r w:rsidRPr="00D71008">
        <w:rPr>
          <w:rStyle w:val="FootnoteReference"/>
        </w:rPr>
        <w:footnoteRef/>
      </w:r>
      <w:r w:rsidRPr="00D71008">
        <w:t xml:space="preserve"> </w:t>
      </w:r>
      <w:r w:rsidRPr="00D71008">
        <w:rPr>
          <w:sz w:val="20"/>
        </w:rPr>
        <w:t>Screen</w:t>
      </w:r>
      <w:r w:rsidRPr="00D71008">
        <w:rPr>
          <w:spacing w:val="-3"/>
          <w:sz w:val="20"/>
        </w:rPr>
        <w:t xml:space="preserve"> </w:t>
      </w:r>
      <w:r w:rsidRPr="00D71008">
        <w:rPr>
          <w:sz w:val="20"/>
        </w:rPr>
        <w:t>scraping</w:t>
      </w:r>
      <w:r w:rsidRPr="00D71008">
        <w:rPr>
          <w:spacing w:val="-3"/>
          <w:sz w:val="20"/>
        </w:rPr>
        <w:t xml:space="preserve"> </w:t>
      </w:r>
      <w:r w:rsidRPr="00D71008">
        <w:rPr>
          <w:sz w:val="20"/>
        </w:rPr>
        <w:t>is</w:t>
      </w:r>
      <w:r w:rsidRPr="00D71008">
        <w:rPr>
          <w:spacing w:val="-3"/>
          <w:sz w:val="20"/>
        </w:rPr>
        <w:t xml:space="preserve"> </w:t>
      </w:r>
      <w:r w:rsidRPr="00D71008">
        <w:rPr>
          <w:sz w:val="20"/>
        </w:rPr>
        <w:t>the</w:t>
      </w:r>
      <w:r w:rsidRPr="00D71008">
        <w:rPr>
          <w:spacing w:val="-2"/>
          <w:sz w:val="20"/>
        </w:rPr>
        <w:t xml:space="preserve"> </w:t>
      </w:r>
      <w:r w:rsidRPr="00D71008">
        <w:rPr>
          <w:sz w:val="20"/>
        </w:rPr>
        <w:t>act</w:t>
      </w:r>
      <w:r w:rsidRPr="00D71008">
        <w:rPr>
          <w:spacing w:val="-3"/>
          <w:sz w:val="20"/>
        </w:rPr>
        <w:t xml:space="preserve"> </w:t>
      </w:r>
      <w:r w:rsidRPr="00D71008">
        <w:rPr>
          <w:sz w:val="20"/>
        </w:rPr>
        <w:t>of</w:t>
      </w:r>
      <w:r w:rsidRPr="00D71008">
        <w:rPr>
          <w:spacing w:val="-4"/>
          <w:sz w:val="20"/>
        </w:rPr>
        <w:t xml:space="preserve"> </w:t>
      </w:r>
      <w:r w:rsidRPr="00D71008">
        <w:rPr>
          <w:sz w:val="20"/>
        </w:rPr>
        <w:t>copying</w:t>
      </w:r>
      <w:r w:rsidRPr="00D71008">
        <w:rPr>
          <w:spacing w:val="-3"/>
          <w:sz w:val="20"/>
        </w:rPr>
        <w:t xml:space="preserve"> </w:t>
      </w:r>
      <w:r w:rsidRPr="00D71008">
        <w:rPr>
          <w:sz w:val="20"/>
        </w:rPr>
        <w:t>information</w:t>
      </w:r>
      <w:r w:rsidRPr="00D71008">
        <w:rPr>
          <w:spacing w:val="-3"/>
          <w:sz w:val="20"/>
        </w:rPr>
        <w:t xml:space="preserve"> </w:t>
      </w:r>
      <w:r w:rsidRPr="00D71008">
        <w:rPr>
          <w:sz w:val="20"/>
        </w:rPr>
        <w:t>that</w:t>
      </w:r>
      <w:r w:rsidRPr="00D71008">
        <w:rPr>
          <w:spacing w:val="-3"/>
          <w:sz w:val="20"/>
        </w:rPr>
        <w:t xml:space="preserve"> </w:t>
      </w:r>
      <w:r w:rsidRPr="00D71008">
        <w:rPr>
          <w:sz w:val="20"/>
        </w:rPr>
        <w:t>shows</w:t>
      </w:r>
      <w:r w:rsidRPr="00D71008">
        <w:rPr>
          <w:spacing w:val="-1"/>
          <w:sz w:val="20"/>
        </w:rPr>
        <w:t xml:space="preserve"> </w:t>
      </w:r>
      <w:r w:rsidRPr="00D71008">
        <w:rPr>
          <w:sz w:val="20"/>
        </w:rPr>
        <w:t>on</w:t>
      </w:r>
      <w:r w:rsidRPr="00D71008">
        <w:rPr>
          <w:spacing w:val="-3"/>
          <w:sz w:val="20"/>
        </w:rPr>
        <w:t xml:space="preserve"> </w:t>
      </w:r>
      <w:r w:rsidRPr="00D71008">
        <w:rPr>
          <w:sz w:val="20"/>
        </w:rPr>
        <w:t>a</w:t>
      </w:r>
      <w:r w:rsidRPr="00D71008">
        <w:rPr>
          <w:spacing w:val="-2"/>
          <w:sz w:val="20"/>
        </w:rPr>
        <w:t xml:space="preserve"> </w:t>
      </w:r>
      <w:r w:rsidRPr="00D71008">
        <w:rPr>
          <w:sz w:val="20"/>
        </w:rPr>
        <w:t>digital</w:t>
      </w:r>
      <w:r w:rsidRPr="00D71008">
        <w:rPr>
          <w:spacing w:val="-3"/>
          <w:sz w:val="20"/>
        </w:rPr>
        <w:t xml:space="preserve"> </w:t>
      </w:r>
      <w:r w:rsidRPr="00D71008">
        <w:rPr>
          <w:sz w:val="20"/>
        </w:rPr>
        <w:t>display</w:t>
      </w:r>
      <w:r w:rsidRPr="00D71008">
        <w:rPr>
          <w:spacing w:val="-3"/>
          <w:sz w:val="20"/>
        </w:rPr>
        <w:t xml:space="preserve"> </w:t>
      </w:r>
      <w:r w:rsidRPr="00D71008">
        <w:rPr>
          <w:sz w:val="20"/>
        </w:rPr>
        <w:t>so</w:t>
      </w:r>
      <w:r w:rsidRPr="00D71008">
        <w:rPr>
          <w:spacing w:val="-1"/>
          <w:sz w:val="20"/>
        </w:rPr>
        <w:t xml:space="preserve"> </w:t>
      </w:r>
      <w:r w:rsidRPr="00D71008">
        <w:rPr>
          <w:sz w:val="20"/>
        </w:rPr>
        <w:t>it</w:t>
      </w:r>
      <w:r w:rsidRPr="00D71008">
        <w:rPr>
          <w:spacing w:val="-3"/>
          <w:sz w:val="20"/>
        </w:rPr>
        <w:t xml:space="preserve"> </w:t>
      </w:r>
      <w:r w:rsidRPr="00D71008">
        <w:rPr>
          <w:sz w:val="20"/>
        </w:rPr>
        <w:t>can</w:t>
      </w:r>
      <w:r w:rsidRPr="00D71008">
        <w:rPr>
          <w:spacing w:val="-3"/>
          <w:sz w:val="20"/>
        </w:rPr>
        <w:t xml:space="preserve"> </w:t>
      </w:r>
      <w:r w:rsidRPr="00D71008">
        <w:rPr>
          <w:sz w:val="20"/>
        </w:rPr>
        <w:t>be</w:t>
      </w:r>
      <w:r w:rsidRPr="00D71008">
        <w:rPr>
          <w:spacing w:val="-2"/>
          <w:sz w:val="20"/>
        </w:rPr>
        <w:t xml:space="preserve"> </w:t>
      </w:r>
      <w:r w:rsidRPr="00D71008">
        <w:rPr>
          <w:sz w:val="20"/>
        </w:rPr>
        <w:t>used</w:t>
      </w:r>
      <w:r w:rsidRPr="00D71008">
        <w:rPr>
          <w:spacing w:val="-1"/>
          <w:sz w:val="20"/>
        </w:rPr>
        <w:t xml:space="preserve"> </w:t>
      </w:r>
      <w:r w:rsidRPr="00D71008">
        <w:rPr>
          <w:sz w:val="20"/>
        </w:rPr>
        <w:t>for</w:t>
      </w:r>
      <w:r w:rsidRPr="00D71008">
        <w:rPr>
          <w:spacing w:val="-2"/>
          <w:sz w:val="20"/>
        </w:rPr>
        <w:t xml:space="preserve"> </w:t>
      </w:r>
      <w:r w:rsidRPr="00D71008">
        <w:rPr>
          <w:sz w:val="20"/>
        </w:rPr>
        <w:t xml:space="preserve">another </w:t>
      </w:r>
      <w:r w:rsidRPr="00D71008">
        <w:rPr>
          <w:spacing w:val="-2"/>
          <w:sz w:val="20"/>
        </w:rPr>
        <w:t>purpose.</w:t>
      </w:r>
    </w:p>
  </w:footnote>
  <w:footnote w:id="377">
    <w:p w14:paraId="7D17B666" w14:textId="77777777" w:rsidR="00B06E28" w:rsidRPr="00D71008" w:rsidRDefault="00B06E28" w:rsidP="00B06E28">
      <w:pPr>
        <w:pStyle w:val="FootnoteText"/>
      </w:pPr>
      <w:r w:rsidRPr="00D71008">
        <w:rPr>
          <w:rStyle w:val="FootnoteReference"/>
        </w:rPr>
        <w:footnoteRef/>
      </w:r>
      <w:r w:rsidRPr="00D71008">
        <w:t xml:space="preserve"> Google</w:t>
      </w:r>
      <w:r w:rsidRPr="00D71008">
        <w:rPr>
          <w:spacing w:val="-4"/>
        </w:rPr>
        <w:t xml:space="preserve"> </w:t>
      </w:r>
      <w:r w:rsidRPr="00D71008">
        <w:t>Flights</w:t>
      </w:r>
      <w:r w:rsidRPr="00D71008">
        <w:rPr>
          <w:spacing w:val="-6"/>
        </w:rPr>
        <w:t xml:space="preserve"> </w:t>
      </w:r>
      <w:r w:rsidRPr="00D71008">
        <w:t>now</w:t>
      </w:r>
      <w:r w:rsidRPr="00D71008">
        <w:rPr>
          <w:spacing w:val="-6"/>
        </w:rPr>
        <w:t xml:space="preserve"> </w:t>
      </w:r>
      <w:r w:rsidRPr="00D71008">
        <w:t>offers</w:t>
      </w:r>
      <w:r w:rsidRPr="00D71008">
        <w:rPr>
          <w:spacing w:val="-5"/>
        </w:rPr>
        <w:t xml:space="preserve"> </w:t>
      </w:r>
      <w:r w:rsidRPr="00D71008">
        <w:t>booking</w:t>
      </w:r>
      <w:r w:rsidRPr="00D71008">
        <w:rPr>
          <w:spacing w:val="-5"/>
        </w:rPr>
        <w:t xml:space="preserve"> </w:t>
      </w:r>
      <w:r w:rsidRPr="00D71008">
        <w:t>capabilities</w:t>
      </w:r>
      <w:r w:rsidRPr="00D71008">
        <w:rPr>
          <w:spacing w:val="-3"/>
        </w:rPr>
        <w:t xml:space="preserve"> </w:t>
      </w:r>
      <w:r w:rsidRPr="00D71008">
        <w:t>for</w:t>
      </w:r>
      <w:r w:rsidRPr="00D71008">
        <w:rPr>
          <w:spacing w:val="-4"/>
        </w:rPr>
        <w:t xml:space="preserve"> </w:t>
      </w:r>
      <w:r w:rsidRPr="00D71008">
        <w:t>some</w:t>
      </w:r>
      <w:r w:rsidRPr="00D71008">
        <w:rPr>
          <w:spacing w:val="-5"/>
        </w:rPr>
        <w:t xml:space="preserve"> </w:t>
      </w:r>
      <w:r w:rsidRPr="00D71008">
        <w:t>air</w:t>
      </w:r>
      <w:r w:rsidRPr="00D71008">
        <w:rPr>
          <w:spacing w:val="-2"/>
        </w:rPr>
        <w:t xml:space="preserve"> </w:t>
      </w:r>
      <w:r w:rsidRPr="00D71008">
        <w:t>carriers</w:t>
      </w:r>
      <w:r w:rsidRPr="00D71008">
        <w:rPr>
          <w:spacing w:val="-5"/>
        </w:rPr>
        <w:t xml:space="preserve"> </w:t>
      </w:r>
      <w:r w:rsidRPr="00D71008">
        <w:t>in</w:t>
      </w:r>
      <w:r w:rsidRPr="00D71008">
        <w:rPr>
          <w:spacing w:val="-6"/>
        </w:rPr>
        <w:t xml:space="preserve"> </w:t>
      </w:r>
      <w:r w:rsidRPr="00D71008">
        <w:t>India</w:t>
      </w:r>
      <w:r w:rsidRPr="00D71008">
        <w:rPr>
          <w:spacing w:val="3"/>
        </w:rPr>
        <w:t xml:space="preserve"> </w:t>
      </w:r>
      <w:r w:rsidRPr="00D71008">
        <w:t>(Live</w:t>
      </w:r>
      <w:r w:rsidRPr="00D71008">
        <w:rPr>
          <w:spacing w:val="-5"/>
        </w:rPr>
        <w:t xml:space="preserve"> </w:t>
      </w:r>
      <w:r w:rsidRPr="00D71008">
        <w:t>from</w:t>
      </w:r>
      <w:r w:rsidRPr="00D71008">
        <w:rPr>
          <w:spacing w:val="-8"/>
        </w:rPr>
        <w:t xml:space="preserve"> </w:t>
      </w:r>
      <w:r w:rsidRPr="00D71008">
        <w:t>a</w:t>
      </w:r>
      <w:r w:rsidRPr="00D71008">
        <w:rPr>
          <w:spacing w:val="-2"/>
        </w:rPr>
        <w:t xml:space="preserve"> </w:t>
      </w:r>
      <w:r w:rsidRPr="00D71008">
        <w:t>Lounge,</w:t>
      </w:r>
      <w:r w:rsidRPr="00D71008">
        <w:rPr>
          <w:spacing w:val="-4"/>
        </w:rPr>
        <w:t xml:space="preserve"> </w:t>
      </w:r>
      <w:r w:rsidRPr="00D71008">
        <w:rPr>
          <w:spacing w:val="-2"/>
        </w:rPr>
        <w:t>2020).</w:t>
      </w:r>
    </w:p>
  </w:footnote>
  <w:footnote w:id="378">
    <w:p w14:paraId="11BD6BD5" w14:textId="77777777" w:rsidR="00B06E28" w:rsidRPr="00D71008" w:rsidRDefault="00B06E28" w:rsidP="00B06E28">
      <w:pPr>
        <w:pStyle w:val="FootnoteText"/>
      </w:pPr>
      <w:r w:rsidRPr="00D71008">
        <w:rPr>
          <w:rStyle w:val="FootnoteReference"/>
        </w:rPr>
        <w:footnoteRef/>
      </w:r>
      <w:r w:rsidRPr="00D71008">
        <w:t xml:space="preserve"> Being</w:t>
      </w:r>
      <w:r w:rsidRPr="00D71008">
        <w:rPr>
          <w:spacing w:val="-3"/>
        </w:rPr>
        <w:t xml:space="preserve"> </w:t>
      </w:r>
      <w:r w:rsidRPr="00D71008">
        <w:t>on</w:t>
      </w:r>
      <w:r w:rsidRPr="00D71008">
        <w:rPr>
          <w:spacing w:val="-4"/>
        </w:rPr>
        <w:t xml:space="preserve"> </w:t>
      </w:r>
      <w:r w:rsidRPr="00D71008">
        <w:t>a</w:t>
      </w:r>
      <w:r w:rsidRPr="00D71008">
        <w:rPr>
          <w:spacing w:val="-3"/>
        </w:rPr>
        <w:t xml:space="preserve"> </w:t>
      </w:r>
      <w:r w:rsidRPr="00D71008">
        <w:t>CRS</w:t>
      </w:r>
      <w:r w:rsidRPr="00D71008">
        <w:rPr>
          <w:spacing w:val="-3"/>
        </w:rPr>
        <w:t xml:space="preserve"> </w:t>
      </w:r>
      <w:r w:rsidRPr="00D71008">
        <w:t>can</w:t>
      </w:r>
      <w:r w:rsidRPr="00D71008">
        <w:rPr>
          <w:spacing w:val="-4"/>
        </w:rPr>
        <w:t xml:space="preserve"> </w:t>
      </w:r>
      <w:r w:rsidRPr="00D71008">
        <w:t>also</w:t>
      </w:r>
      <w:r w:rsidRPr="00D71008">
        <w:rPr>
          <w:spacing w:val="-3"/>
        </w:rPr>
        <w:t xml:space="preserve"> </w:t>
      </w:r>
      <w:r w:rsidRPr="00D71008">
        <w:t>allow</w:t>
      </w:r>
      <w:r w:rsidRPr="00D71008">
        <w:rPr>
          <w:spacing w:val="-4"/>
        </w:rPr>
        <w:t xml:space="preserve"> </w:t>
      </w:r>
      <w:r w:rsidRPr="00D71008">
        <w:t>rail</w:t>
      </w:r>
      <w:r w:rsidRPr="00D71008">
        <w:rPr>
          <w:spacing w:val="-3"/>
        </w:rPr>
        <w:t xml:space="preserve"> </w:t>
      </w:r>
      <w:r w:rsidRPr="00D71008">
        <w:t>operators</w:t>
      </w:r>
      <w:r w:rsidRPr="00D71008">
        <w:rPr>
          <w:spacing w:val="-3"/>
        </w:rPr>
        <w:t xml:space="preserve"> </w:t>
      </w:r>
      <w:r w:rsidRPr="00D71008">
        <w:t>to</w:t>
      </w:r>
      <w:r w:rsidRPr="00D71008">
        <w:rPr>
          <w:spacing w:val="-2"/>
        </w:rPr>
        <w:t xml:space="preserve"> </w:t>
      </w:r>
      <w:r w:rsidRPr="00D71008">
        <w:t>compete with</w:t>
      </w:r>
      <w:r w:rsidRPr="00D71008">
        <w:rPr>
          <w:spacing w:val="-4"/>
        </w:rPr>
        <w:t xml:space="preserve"> </w:t>
      </w:r>
      <w:r w:rsidRPr="00D71008">
        <w:t>air</w:t>
      </w:r>
      <w:r w:rsidRPr="00D71008">
        <w:rPr>
          <w:spacing w:val="-2"/>
        </w:rPr>
        <w:t xml:space="preserve"> </w:t>
      </w:r>
      <w:r w:rsidRPr="00D71008">
        <w:t>travel, where</w:t>
      </w:r>
      <w:r w:rsidRPr="00D71008">
        <w:rPr>
          <w:spacing w:val="-3"/>
        </w:rPr>
        <w:t xml:space="preserve"> </w:t>
      </w:r>
      <w:r w:rsidRPr="00D71008">
        <w:t>possible.</w:t>
      </w:r>
      <w:r w:rsidRPr="00D71008">
        <w:rPr>
          <w:spacing w:val="-3"/>
        </w:rPr>
        <w:t xml:space="preserve"> </w:t>
      </w:r>
      <w:r w:rsidRPr="00D71008">
        <w:t>The</w:t>
      </w:r>
      <w:r w:rsidRPr="00D71008">
        <w:rPr>
          <w:spacing w:val="-3"/>
        </w:rPr>
        <w:t xml:space="preserve"> </w:t>
      </w:r>
      <w:r w:rsidRPr="00D71008">
        <w:t>CRS</w:t>
      </w:r>
      <w:r w:rsidRPr="00D71008">
        <w:rPr>
          <w:spacing w:val="-3"/>
        </w:rPr>
        <w:t xml:space="preserve"> </w:t>
      </w:r>
      <w:r w:rsidRPr="00D71008">
        <w:t>Code</w:t>
      </w:r>
      <w:r w:rsidRPr="00D71008">
        <w:rPr>
          <w:spacing w:val="-3"/>
        </w:rPr>
        <w:t xml:space="preserve"> </w:t>
      </w:r>
      <w:r w:rsidRPr="00D71008">
        <w:t>of</w:t>
      </w:r>
      <w:r w:rsidRPr="00D71008">
        <w:rPr>
          <w:spacing w:val="-4"/>
        </w:rPr>
        <w:t xml:space="preserve"> </w:t>
      </w:r>
      <w:r w:rsidRPr="00D71008">
        <w:t>Conduct aims</w:t>
      </w:r>
      <w:r w:rsidRPr="00D71008">
        <w:rPr>
          <w:spacing w:val="-5"/>
        </w:rPr>
        <w:t xml:space="preserve"> </w:t>
      </w:r>
      <w:r w:rsidRPr="00D71008">
        <w:t>to</w:t>
      </w:r>
      <w:r w:rsidRPr="00D71008">
        <w:rPr>
          <w:spacing w:val="-3"/>
        </w:rPr>
        <w:t xml:space="preserve"> </w:t>
      </w:r>
      <w:r w:rsidRPr="00D71008">
        <w:t>incentivise</w:t>
      </w:r>
      <w:r w:rsidRPr="00D71008">
        <w:rPr>
          <w:spacing w:val="-4"/>
        </w:rPr>
        <w:t xml:space="preserve"> </w:t>
      </w:r>
      <w:r w:rsidRPr="00D71008">
        <w:t>that</w:t>
      </w:r>
      <w:r w:rsidRPr="00D71008">
        <w:rPr>
          <w:spacing w:val="-4"/>
        </w:rPr>
        <w:t xml:space="preserve"> </w:t>
      </w:r>
      <w:r w:rsidRPr="00D71008">
        <w:t>practice</w:t>
      </w:r>
      <w:r w:rsidRPr="00D71008">
        <w:rPr>
          <w:spacing w:val="-4"/>
        </w:rPr>
        <w:t xml:space="preserve"> </w:t>
      </w:r>
      <w:r w:rsidRPr="00D71008">
        <w:t>by</w:t>
      </w:r>
      <w:r w:rsidRPr="00D71008">
        <w:rPr>
          <w:spacing w:val="-4"/>
        </w:rPr>
        <w:t xml:space="preserve"> </w:t>
      </w:r>
      <w:r w:rsidRPr="00D71008">
        <w:t>mandating</w:t>
      </w:r>
      <w:r w:rsidRPr="00D71008">
        <w:rPr>
          <w:spacing w:val="-5"/>
        </w:rPr>
        <w:t xml:space="preserve"> </w:t>
      </w:r>
      <w:r w:rsidRPr="00D71008">
        <w:t>that</w:t>
      </w:r>
      <w:r w:rsidRPr="00D71008">
        <w:rPr>
          <w:spacing w:val="1"/>
        </w:rPr>
        <w:t xml:space="preserve"> </w:t>
      </w:r>
      <w:r w:rsidRPr="00D71008">
        <w:t>potential</w:t>
      </w:r>
      <w:r w:rsidRPr="00D71008">
        <w:rPr>
          <w:spacing w:val="-5"/>
        </w:rPr>
        <w:t xml:space="preserve"> </w:t>
      </w:r>
      <w:r w:rsidRPr="00D71008">
        <w:t>rail</w:t>
      </w:r>
      <w:r w:rsidRPr="00D71008">
        <w:rPr>
          <w:spacing w:val="-4"/>
        </w:rPr>
        <w:t xml:space="preserve"> </w:t>
      </w:r>
      <w:r w:rsidRPr="00D71008">
        <w:t>options</w:t>
      </w:r>
      <w:r w:rsidRPr="00D71008">
        <w:rPr>
          <w:spacing w:val="-5"/>
        </w:rPr>
        <w:t xml:space="preserve"> </w:t>
      </w:r>
      <w:r w:rsidRPr="00D71008">
        <w:t>are</w:t>
      </w:r>
      <w:r w:rsidRPr="00D71008">
        <w:rPr>
          <w:spacing w:val="-3"/>
        </w:rPr>
        <w:t xml:space="preserve"> </w:t>
      </w:r>
      <w:r w:rsidRPr="00D71008">
        <w:t>shown</w:t>
      </w:r>
      <w:r w:rsidRPr="00D71008">
        <w:rPr>
          <w:spacing w:val="-3"/>
        </w:rPr>
        <w:t xml:space="preserve"> </w:t>
      </w:r>
      <w:r w:rsidRPr="00D71008">
        <w:t>in</w:t>
      </w:r>
      <w:r w:rsidRPr="00D71008">
        <w:rPr>
          <w:spacing w:val="-6"/>
        </w:rPr>
        <w:t xml:space="preserve"> </w:t>
      </w:r>
      <w:r w:rsidRPr="00D71008">
        <w:t>the</w:t>
      </w:r>
      <w:r w:rsidRPr="00D71008">
        <w:rPr>
          <w:spacing w:val="-4"/>
        </w:rPr>
        <w:t xml:space="preserve"> </w:t>
      </w:r>
      <w:r w:rsidRPr="00D71008">
        <w:t>first</w:t>
      </w:r>
      <w:r w:rsidRPr="00D71008">
        <w:rPr>
          <w:spacing w:val="-4"/>
        </w:rPr>
        <w:t xml:space="preserve"> </w:t>
      </w:r>
      <w:r w:rsidRPr="00D71008">
        <w:t>screen</w:t>
      </w:r>
      <w:r w:rsidRPr="00D71008">
        <w:rPr>
          <w:spacing w:val="-5"/>
        </w:rPr>
        <w:t xml:space="preserve"> </w:t>
      </w:r>
      <w:r w:rsidRPr="00D71008">
        <w:t>of</w:t>
      </w:r>
      <w:r w:rsidRPr="00D71008">
        <w:rPr>
          <w:spacing w:val="-6"/>
        </w:rPr>
        <w:t xml:space="preserve"> </w:t>
      </w:r>
      <w:r w:rsidRPr="00D71008">
        <w:t>a</w:t>
      </w:r>
      <w:r w:rsidRPr="00D71008">
        <w:rPr>
          <w:spacing w:val="-4"/>
        </w:rPr>
        <w:t xml:space="preserve"> </w:t>
      </w:r>
      <w:r w:rsidRPr="00D71008">
        <w:t>search</w:t>
      </w:r>
      <w:r w:rsidRPr="00D71008">
        <w:rPr>
          <w:spacing w:val="-4"/>
        </w:rPr>
        <w:t xml:space="preserve"> </w:t>
      </w:r>
      <w:r w:rsidRPr="00D71008">
        <w:rPr>
          <w:spacing w:val="-2"/>
        </w:rPr>
        <w:t>result.</w:t>
      </w:r>
    </w:p>
  </w:footnote>
  <w:footnote w:id="379">
    <w:p w14:paraId="2CA8C1BD" w14:textId="77777777" w:rsidR="00490D40" w:rsidRPr="00AA15C8" w:rsidRDefault="00490D40" w:rsidP="00490D40">
      <w:pPr>
        <w:pStyle w:val="FootnoteText"/>
        <w:ind w:right="108"/>
        <w:jc w:val="both"/>
        <w:rPr>
          <w:b/>
        </w:rPr>
      </w:pPr>
      <w:r w:rsidRPr="00D71008">
        <w:rPr>
          <w:rStyle w:val="FootnoteReference"/>
        </w:rPr>
        <w:footnoteRef/>
      </w:r>
      <w:r w:rsidRPr="00AA15C8">
        <w:t xml:space="preserve"> SWD(2020)9</w:t>
      </w:r>
      <w:r w:rsidRPr="00AA15C8">
        <w:rPr>
          <w:b/>
        </w:rPr>
        <w:t xml:space="preserve"> </w:t>
      </w:r>
    </w:p>
  </w:footnote>
  <w:footnote w:id="380">
    <w:p w14:paraId="6A216CFF" w14:textId="77777777" w:rsidR="00B058C6" w:rsidRPr="00AA15C8" w:rsidRDefault="00B058C6" w:rsidP="00B058C6">
      <w:pPr>
        <w:pStyle w:val="FootnoteText"/>
      </w:pPr>
      <w:r w:rsidRPr="00D71008">
        <w:rPr>
          <w:rStyle w:val="FootnoteReference"/>
        </w:rPr>
        <w:footnoteRef/>
      </w:r>
      <w:r w:rsidRPr="00AA15C8">
        <w:t xml:space="preserve"> Autorité de la concurrence, Decision No. 09-D-06, 5 February 2009</w:t>
      </w:r>
    </w:p>
  </w:footnote>
  <w:footnote w:id="381">
    <w:p w14:paraId="1F5F5026" w14:textId="77777777" w:rsidR="00B058C6" w:rsidRPr="00AA15C8" w:rsidRDefault="00B058C6" w:rsidP="00B058C6">
      <w:pPr>
        <w:pStyle w:val="FootnoteText"/>
      </w:pPr>
      <w:r w:rsidRPr="00D71008">
        <w:rPr>
          <w:rStyle w:val="FootnoteReference"/>
        </w:rPr>
        <w:footnoteRef/>
      </w:r>
      <w:r w:rsidRPr="00AA15C8">
        <w:t xml:space="preserve"> Autorité de la concurrence, Decision No. 14-D-13, 2 October 2014</w:t>
      </w:r>
    </w:p>
  </w:footnote>
  <w:footnote w:id="382">
    <w:p w14:paraId="26928FA8" w14:textId="77777777" w:rsidR="00B058C6" w:rsidRPr="00AA15C8" w:rsidRDefault="00B058C6" w:rsidP="00B058C6">
      <w:pPr>
        <w:rPr>
          <w:lang w:val="en-GB"/>
        </w:rPr>
      </w:pPr>
      <w:r w:rsidRPr="00DC42E3">
        <w:rPr>
          <w:rStyle w:val="FootnoteReference"/>
          <w:sz w:val="20"/>
          <w:szCs w:val="20"/>
        </w:rPr>
        <w:footnoteRef/>
      </w:r>
      <w:r w:rsidRPr="00AA15C8">
        <w:rPr>
          <w:lang w:val="en-GB"/>
        </w:rPr>
        <w:t xml:space="preserve"> </w:t>
      </w:r>
      <w:hyperlink r:id="rId87" w:history="1">
        <w:r w:rsidRPr="00AA15C8">
          <w:rPr>
            <w:rStyle w:val="Hyperlink"/>
            <w:sz w:val="20"/>
            <w:szCs w:val="20"/>
            <w:lang w:val="en-GB"/>
          </w:rPr>
          <w:t>Bundeskartellamt - Homepage - Offene Märkte für digitale Mobilitätsdienstleistungen – Deutsche Bahn muss Wettbewerbsbeschränkungen abstellen</w:t>
        </w:r>
      </w:hyperlink>
    </w:p>
  </w:footnote>
  <w:footnote w:id="383">
    <w:p w14:paraId="5F9DEF4E" w14:textId="77777777" w:rsidR="00B058C6" w:rsidRPr="00D71008" w:rsidRDefault="00B058C6" w:rsidP="00B058C6">
      <w:pPr>
        <w:pStyle w:val="FootnoteText"/>
      </w:pPr>
      <w:r w:rsidRPr="00D71008">
        <w:rPr>
          <w:rStyle w:val="FootnoteReference"/>
        </w:rPr>
        <w:footnoteRef/>
      </w:r>
      <w:r w:rsidRPr="00D71008">
        <w:t xml:space="preserve"> Bundeskartellamt (2024), </w:t>
      </w:r>
      <w:r w:rsidRPr="00D71008">
        <w:rPr>
          <w:i/>
        </w:rPr>
        <w:t>Further important step in implementing the Bundeskartellamt’s ruling on abusive practices against Deutsche Bahn – mobility platforms gain access to real-time data</w:t>
      </w:r>
      <w:r w:rsidRPr="00D71008">
        <w:t xml:space="preserve">, </w:t>
      </w:r>
      <w:hyperlink r:id="rId88" w:history="1">
        <w:r w:rsidRPr="00D71008">
          <w:rPr>
            <w:rStyle w:val="Hyperlink"/>
          </w:rPr>
          <w:t>Bundeskartellamt - Homepage - Further important step in implementing the Bundeskartellamt’s ruling on abusive practices against Deutsche Bahn – mobility platforms gain access to real-time data</w:t>
        </w:r>
      </w:hyperlink>
    </w:p>
  </w:footnote>
  <w:footnote w:id="384">
    <w:p w14:paraId="48F263EB" w14:textId="77777777" w:rsidR="00B058C6" w:rsidRPr="00D71008" w:rsidRDefault="00B058C6" w:rsidP="00B058C6">
      <w:pPr>
        <w:pStyle w:val="FootnoteText"/>
      </w:pPr>
      <w:r w:rsidRPr="00D71008">
        <w:rPr>
          <w:rStyle w:val="FootnoteReference"/>
        </w:rPr>
        <w:footnoteRef/>
      </w:r>
      <w:r w:rsidRPr="00D71008">
        <w:t xml:space="preserve"> Bundeskartellamt (2023), </w:t>
      </w:r>
      <w:r w:rsidRPr="00D71008">
        <w:rPr>
          <w:i/>
          <w:iCs/>
        </w:rPr>
        <w:t xml:space="preserve">Open markets for digital mobility services – Deutsche Bahn must end restrictions of competition, </w:t>
      </w:r>
      <w:hyperlink r:id="rId89">
        <w:r w:rsidRPr="00D71008">
          <w:rPr>
            <w:rStyle w:val="Hyperlink"/>
          </w:rPr>
          <w:t>https://www.bundeskartellamt.de/SharedDocs/Meldung/EN/Pressemitteilungen/2023/28_06_2023_DB_Mobilitaet.html</w:t>
        </w:r>
      </w:hyperlink>
    </w:p>
  </w:footnote>
  <w:footnote w:id="385">
    <w:p w14:paraId="15F00D62" w14:textId="77777777" w:rsidR="00B058C6" w:rsidRPr="00D71008" w:rsidRDefault="00B058C6" w:rsidP="00B058C6">
      <w:pPr>
        <w:pStyle w:val="FootnoteText"/>
      </w:pPr>
      <w:r w:rsidRPr="00D71008">
        <w:rPr>
          <w:rStyle w:val="FootnoteReference"/>
        </w:rPr>
        <w:footnoteRef/>
      </w:r>
      <w:r w:rsidRPr="00D71008">
        <w:t xml:space="preserve"> based on the number of availability requests made by the platforms</w:t>
      </w:r>
    </w:p>
  </w:footnote>
  <w:footnote w:id="386">
    <w:p w14:paraId="353E285E" w14:textId="77777777" w:rsidR="00B058C6" w:rsidRPr="00D71008" w:rsidRDefault="00B058C6" w:rsidP="00B058C6">
      <w:pPr>
        <w:pStyle w:val="FootnoteText"/>
      </w:pPr>
      <w:r w:rsidRPr="00D71008">
        <w:rPr>
          <w:rStyle w:val="FootnoteReference"/>
        </w:rPr>
        <w:footnoteRef/>
      </w:r>
      <w:r w:rsidRPr="00D71008">
        <w:t xml:space="preserve"> number of failed reservation requests vs number of reservation requests</w:t>
      </w:r>
    </w:p>
  </w:footnote>
  <w:footnote w:id="387">
    <w:p w14:paraId="2C9F67BB" w14:textId="77777777" w:rsidR="00B058C6" w:rsidRPr="00D71008" w:rsidRDefault="00B058C6" w:rsidP="00B058C6">
      <w:pPr>
        <w:pStyle w:val="FootnoteText"/>
      </w:pPr>
      <w:r w:rsidRPr="00D71008">
        <w:rPr>
          <w:rStyle w:val="FootnoteReference"/>
        </w:rPr>
        <w:footnoteRef/>
      </w:r>
      <w:r w:rsidRPr="00D71008">
        <w:t xml:space="preserve"> (level of availability of Renfe’s sales system between 6:00 and 23:00 hours</w:t>
      </w:r>
    </w:p>
  </w:footnote>
  <w:footnote w:id="388">
    <w:p w14:paraId="7A5B32A4" w14:textId="77777777" w:rsidR="00B058C6" w:rsidRPr="00D71008" w:rsidRDefault="00B058C6" w:rsidP="00B058C6">
      <w:pPr>
        <w:pStyle w:val="FootnoteText"/>
      </w:pPr>
      <w:r w:rsidRPr="00D71008">
        <w:rPr>
          <w:rStyle w:val="FootnoteReference"/>
        </w:rPr>
        <w:footnoteRef/>
      </w:r>
      <w:r w:rsidRPr="00D71008">
        <w:t xml:space="preserve"> European Commission (2024) </w:t>
      </w:r>
      <w:r w:rsidRPr="00D71008">
        <w:rPr>
          <w:i/>
        </w:rPr>
        <w:t xml:space="preserve">Commission accepts commitments by Renfe opening up competition in online rail ticketing in Spain, </w:t>
      </w:r>
      <w:hyperlink r:id="rId90" w:history="1">
        <w:r w:rsidRPr="00D71008">
          <w:rPr>
            <w:rStyle w:val="Hyperlink"/>
          </w:rPr>
          <w:t>https://ec.europa.eu/commission/presscorner/detail/en/ip_24_201</w:t>
        </w:r>
      </w:hyperlink>
      <w:r w:rsidRPr="00D71008">
        <w:t xml:space="preserve"> </w:t>
      </w:r>
    </w:p>
  </w:footnote>
  <w:footnote w:id="389">
    <w:p w14:paraId="17B2C93F" w14:textId="77777777" w:rsidR="00B058C6" w:rsidRPr="0075374E" w:rsidRDefault="00B058C6" w:rsidP="00B058C6">
      <w:pPr>
        <w:pStyle w:val="FootnoteText"/>
        <w:jc w:val="both"/>
        <w:rPr>
          <w:lang w:val="it-IT"/>
        </w:rPr>
      </w:pPr>
      <w:r w:rsidRPr="00D71008">
        <w:rPr>
          <w:rStyle w:val="FootnoteReference"/>
        </w:rPr>
        <w:footnoteRef/>
      </w:r>
      <w:r w:rsidRPr="0075374E">
        <w:rPr>
          <w:lang w:val="it-IT"/>
        </w:rPr>
        <w:t xml:space="preserve"> Autorità Garante della Concorrenza e del Mercato (2023), </w:t>
      </w:r>
      <w:r w:rsidRPr="0075374E">
        <w:rPr>
          <w:i/>
          <w:lang w:val="it-IT"/>
        </w:rPr>
        <w:t xml:space="preserve">Bollettino N. 17 del 8 Maggio 2023, Provvedimento n. 30610, </w:t>
      </w:r>
      <w:r w:rsidRPr="0075374E">
        <w:rPr>
          <w:lang w:val="it-IT"/>
        </w:rPr>
        <w:t>https://www.agcm.it/dotcmsdoc/bollettini/2023/17-23.pd</w:t>
      </w:r>
    </w:p>
  </w:footnote>
  <w:footnote w:id="390">
    <w:p w14:paraId="40DF3F8B" w14:textId="77777777" w:rsidR="00B058C6" w:rsidRPr="0075374E" w:rsidRDefault="00B058C6" w:rsidP="00B058C6">
      <w:pPr>
        <w:pStyle w:val="FootnoteText"/>
        <w:jc w:val="both"/>
        <w:rPr>
          <w:lang w:val="it-IT"/>
        </w:rPr>
      </w:pPr>
      <w:r w:rsidRPr="00D71008">
        <w:rPr>
          <w:rStyle w:val="FootnoteReference"/>
        </w:rPr>
        <w:footnoteRef/>
      </w:r>
      <w:r w:rsidRPr="0075374E">
        <w:rPr>
          <w:lang w:val="it-IT"/>
        </w:rPr>
        <w:t xml:space="preserve"> Konkurrensverket (2019), </w:t>
      </w:r>
      <w:r w:rsidRPr="0075374E">
        <w:rPr>
          <w:i/>
          <w:color w:val="000000" w:themeColor="text1"/>
          <w:lang w:val="it-IT"/>
        </w:rPr>
        <w:t xml:space="preserve">Konsumenter kan vinna på reglering av försäljning av tågbiljetter, </w:t>
      </w:r>
      <w:r w:rsidRPr="0075374E">
        <w:rPr>
          <w:color w:val="000000" w:themeColor="text1"/>
          <w:lang w:val="it-IT"/>
        </w:rPr>
        <w:t>https://www.konkurrensverket.se/informationsmaterial/nyhetsarkiv/2019/konsumenter-kan-vinna-pa-reglering-av-forsaljning-av-tagbiljetter/</w:t>
      </w:r>
    </w:p>
  </w:footnote>
  <w:footnote w:id="391">
    <w:p w14:paraId="4F95802D" w14:textId="77777777" w:rsidR="00B058C6" w:rsidRPr="00220473" w:rsidRDefault="00B058C6" w:rsidP="00B058C6">
      <w:pPr>
        <w:pStyle w:val="FootnoteText"/>
      </w:pPr>
      <w:r w:rsidRPr="00D71008">
        <w:rPr>
          <w:rStyle w:val="FootnoteReference"/>
        </w:rPr>
        <w:footnoteRef/>
      </w:r>
      <w:r w:rsidRPr="005D2D60">
        <w:t>Higher Regional Court of Frankfurt (OLG Frankfurt), Decision of 21 September 2023, Case No. 6 W 61/23, ECLI:DE:OLGHE:2023:0921.6W61.23.00.</w:t>
      </w:r>
    </w:p>
    <w:p w14:paraId="35631F88" w14:textId="77777777" w:rsidR="00B058C6" w:rsidRPr="00007F2D" w:rsidRDefault="00B058C6" w:rsidP="00B058C6">
      <w:pPr>
        <w:pStyle w:val="FootnoteText"/>
        <w:jc w:val="both"/>
      </w:pPr>
    </w:p>
  </w:footnote>
  <w:footnote w:id="392">
    <w:p w14:paraId="36BD6E70" w14:textId="77777777" w:rsidR="00B058C6" w:rsidRPr="00B41DA1" w:rsidRDefault="00B058C6" w:rsidP="00B058C6">
      <w:pPr>
        <w:pStyle w:val="FootnoteText"/>
      </w:pPr>
      <w:r>
        <w:rPr>
          <w:rStyle w:val="FootnoteReference"/>
        </w:rPr>
        <w:footnoteRef/>
      </w:r>
      <w:r>
        <w:t xml:space="preserve"> </w:t>
      </w:r>
      <w:r w:rsidRPr="005D2D60">
        <w:t>OJ L, 2026/253, 10.2.2026, p. 1.</w:t>
      </w:r>
    </w:p>
  </w:footnote>
  <w:footnote w:id="393">
    <w:p w14:paraId="340A5D28" w14:textId="77777777" w:rsidR="003201BB" w:rsidRPr="00A665E7" w:rsidRDefault="003201BB" w:rsidP="003201BB">
      <w:pPr>
        <w:pStyle w:val="FootnoteText"/>
      </w:pPr>
      <w:r>
        <w:rPr>
          <w:rStyle w:val="FootnoteReference"/>
        </w:rPr>
        <w:footnoteRef/>
      </w:r>
      <w:r>
        <w:t xml:space="preserve"> A 2024 study </w:t>
      </w:r>
      <w:r w:rsidRPr="007D50DF">
        <w:t>shows that, in certain market</w:t>
      </w:r>
      <w:r>
        <w:t xml:space="preserve"> </w:t>
      </w:r>
      <w:r w:rsidRPr="007D50DF">
        <w:t>s</w:t>
      </w:r>
      <w:r>
        <w:t>egments</w:t>
      </w:r>
      <w:r w:rsidRPr="007D50DF">
        <w:t xml:space="preserve">, competition has slashed prices by 24% (in ES), boosted ridership by 154% (in CZ), increased frequencies by 41% (in AT), raised the rail market share by 18% (in IT). </w:t>
      </w:r>
      <w:r>
        <w:t xml:space="preserve">Source: </w:t>
      </w:r>
      <w:hyperlink r:id="rId91" w:history="1">
        <w:r w:rsidRPr="007D50DF">
          <w:rPr>
            <w:rStyle w:val="Hyperlink"/>
          </w:rPr>
          <w:t>Rail market opening: competition leads to lower ticket prices, EU study finds - Mobility and Transport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420B7" w14:textId="77777777" w:rsidR="00DA297B" w:rsidRPr="00DA297B" w:rsidRDefault="00DA297B" w:rsidP="00DA297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A23C6" w14:textId="77777777" w:rsidR="00DA297B" w:rsidRPr="00DA297B" w:rsidRDefault="00DA297B" w:rsidP="00DA297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B18BF" w14:textId="77777777" w:rsidR="00DA297B" w:rsidRPr="00DA297B" w:rsidRDefault="00DA297B" w:rsidP="00DA297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25F71" w14:textId="77777777" w:rsidR="00910B2C" w:rsidRDefault="00910B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E4004" w14:textId="77777777" w:rsidR="00724722" w:rsidRDefault="0072472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199E4" w14:textId="77777777" w:rsidR="00910B2C" w:rsidRDefault="00910B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48058" w14:textId="77777777" w:rsidR="00724722" w:rsidRDefault="0072472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A4941" w14:textId="77777777" w:rsidR="00724722" w:rsidRDefault="0072472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5DEE8" w14:textId="77777777" w:rsidR="00724722" w:rsidRDefault="0072472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F00B7" w14:textId="77777777" w:rsidR="00724722" w:rsidRDefault="0072472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EC766" w14:textId="77777777" w:rsidR="00724722" w:rsidRDefault="0072472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7CE33" w14:textId="77777777" w:rsidR="00724722" w:rsidRDefault="0072472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8A0AE" w14:textId="77777777" w:rsidR="00724722" w:rsidRDefault="0072472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2FA21" w14:textId="77777777" w:rsidR="00724722" w:rsidRDefault="0072472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4E895" w14:textId="77777777" w:rsidR="00724722" w:rsidRDefault="0072472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A5334" w14:textId="77777777" w:rsidR="00724722" w:rsidRDefault="0072472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1CFC2" w14:textId="77777777" w:rsidR="00724722" w:rsidRDefault="0072472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04589" w14:textId="77777777" w:rsidR="00724722" w:rsidRDefault="0072472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A5359" w14:textId="77777777" w:rsidR="00724722" w:rsidRDefault="0072472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CE6E6" w14:textId="77777777" w:rsidR="00724722" w:rsidRDefault="00724722">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76A58" w14:textId="77777777" w:rsidR="00724722" w:rsidRDefault="0072472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5E025" w14:textId="77777777" w:rsidR="00724722" w:rsidRDefault="0072472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24A38" w14:textId="77777777" w:rsidR="00724722" w:rsidRDefault="00724722">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4CAA5" w14:textId="77777777" w:rsidR="00724722" w:rsidRDefault="0072472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BC513" w14:textId="77777777" w:rsidR="00724722" w:rsidRDefault="0072472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2FAF8" w14:textId="77777777" w:rsidR="00724722" w:rsidRDefault="007247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36366"/>
    <w:multiLevelType w:val="hybridMultilevel"/>
    <w:tmpl w:val="1E7E467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99004E"/>
    <w:multiLevelType w:val="hybridMultilevel"/>
    <w:tmpl w:val="16540FE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711622"/>
    <w:multiLevelType w:val="hybridMultilevel"/>
    <w:tmpl w:val="B71C62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F7E798F"/>
    <w:multiLevelType w:val="hybridMultilevel"/>
    <w:tmpl w:val="670A48FA"/>
    <w:lvl w:ilvl="0" w:tplc="18090001">
      <w:start w:val="1"/>
      <w:numFmt w:val="bullet"/>
      <w:lvlText w:val=""/>
      <w:lvlJc w:val="left"/>
      <w:pPr>
        <w:ind w:left="363" w:hanging="360"/>
      </w:pPr>
      <w:rPr>
        <w:rFonts w:ascii="Symbol" w:hAnsi="Symbol" w:hint="default"/>
      </w:rPr>
    </w:lvl>
    <w:lvl w:ilvl="1" w:tplc="18090003" w:tentative="1">
      <w:start w:val="1"/>
      <w:numFmt w:val="bullet"/>
      <w:lvlText w:val="o"/>
      <w:lvlJc w:val="left"/>
      <w:pPr>
        <w:ind w:left="1083" w:hanging="360"/>
      </w:pPr>
      <w:rPr>
        <w:rFonts w:ascii="Courier New" w:hAnsi="Courier New" w:cs="Courier New" w:hint="default"/>
      </w:rPr>
    </w:lvl>
    <w:lvl w:ilvl="2" w:tplc="18090005" w:tentative="1">
      <w:start w:val="1"/>
      <w:numFmt w:val="bullet"/>
      <w:lvlText w:val=""/>
      <w:lvlJc w:val="left"/>
      <w:pPr>
        <w:ind w:left="1803" w:hanging="360"/>
      </w:pPr>
      <w:rPr>
        <w:rFonts w:ascii="Wingdings" w:hAnsi="Wingdings" w:hint="default"/>
      </w:rPr>
    </w:lvl>
    <w:lvl w:ilvl="3" w:tplc="18090001" w:tentative="1">
      <w:start w:val="1"/>
      <w:numFmt w:val="bullet"/>
      <w:lvlText w:val=""/>
      <w:lvlJc w:val="left"/>
      <w:pPr>
        <w:ind w:left="2523" w:hanging="360"/>
      </w:pPr>
      <w:rPr>
        <w:rFonts w:ascii="Symbol" w:hAnsi="Symbol" w:hint="default"/>
      </w:rPr>
    </w:lvl>
    <w:lvl w:ilvl="4" w:tplc="18090003" w:tentative="1">
      <w:start w:val="1"/>
      <w:numFmt w:val="bullet"/>
      <w:lvlText w:val="o"/>
      <w:lvlJc w:val="left"/>
      <w:pPr>
        <w:ind w:left="3243" w:hanging="360"/>
      </w:pPr>
      <w:rPr>
        <w:rFonts w:ascii="Courier New" w:hAnsi="Courier New" w:cs="Courier New" w:hint="default"/>
      </w:rPr>
    </w:lvl>
    <w:lvl w:ilvl="5" w:tplc="18090005" w:tentative="1">
      <w:start w:val="1"/>
      <w:numFmt w:val="bullet"/>
      <w:lvlText w:val=""/>
      <w:lvlJc w:val="left"/>
      <w:pPr>
        <w:ind w:left="3963" w:hanging="360"/>
      </w:pPr>
      <w:rPr>
        <w:rFonts w:ascii="Wingdings" w:hAnsi="Wingdings" w:hint="default"/>
      </w:rPr>
    </w:lvl>
    <w:lvl w:ilvl="6" w:tplc="18090001" w:tentative="1">
      <w:start w:val="1"/>
      <w:numFmt w:val="bullet"/>
      <w:lvlText w:val=""/>
      <w:lvlJc w:val="left"/>
      <w:pPr>
        <w:ind w:left="4683" w:hanging="360"/>
      </w:pPr>
      <w:rPr>
        <w:rFonts w:ascii="Symbol" w:hAnsi="Symbol" w:hint="default"/>
      </w:rPr>
    </w:lvl>
    <w:lvl w:ilvl="7" w:tplc="18090003" w:tentative="1">
      <w:start w:val="1"/>
      <w:numFmt w:val="bullet"/>
      <w:lvlText w:val="o"/>
      <w:lvlJc w:val="left"/>
      <w:pPr>
        <w:ind w:left="5403" w:hanging="360"/>
      </w:pPr>
      <w:rPr>
        <w:rFonts w:ascii="Courier New" w:hAnsi="Courier New" w:cs="Courier New" w:hint="default"/>
      </w:rPr>
    </w:lvl>
    <w:lvl w:ilvl="8" w:tplc="18090005" w:tentative="1">
      <w:start w:val="1"/>
      <w:numFmt w:val="bullet"/>
      <w:lvlText w:val=""/>
      <w:lvlJc w:val="left"/>
      <w:pPr>
        <w:ind w:left="6123" w:hanging="360"/>
      </w:pPr>
      <w:rPr>
        <w:rFonts w:ascii="Wingdings" w:hAnsi="Wingdings" w:hint="default"/>
      </w:rPr>
    </w:lvl>
  </w:abstractNum>
  <w:abstractNum w:abstractNumId="4" w15:restartNumberingAfterBreak="0">
    <w:nsid w:val="120B8345"/>
    <w:multiLevelType w:val="multilevel"/>
    <w:tmpl w:val="1C507ABE"/>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5FF04AF"/>
    <w:multiLevelType w:val="hybridMultilevel"/>
    <w:tmpl w:val="AE90805E"/>
    <w:lvl w:ilvl="0" w:tplc="6D7829CA">
      <w:numFmt w:val="bullet"/>
      <w:lvlText w:val=""/>
      <w:lvlJc w:val="left"/>
      <w:pPr>
        <w:ind w:left="358" w:hanging="358"/>
      </w:pPr>
      <w:rPr>
        <w:rFonts w:ascii="Symbol" w:hAnsi="Symbol" w:hint="default"/>
        <w:b w:val="0"/>
        <w:bCs w:val="0"/>
        <w:i w:val="0"/>
        <w:iCs w:val="0"/>
        <w:spacing w:val="0"/>
        <w:w w:val="100"/>
        <w:sz w:val="24"/>
        <w:szCs w:val="24"/>
        <w:lang w:val="en-US" w:eastAsia="en-US" w:bidi="ar-SA"/>
      </w:rPr>
    </w:lvl>
    <w:lvl w:ilvl="1" w:tplc="AB4E7C08">
      <w:numFmt w:val="bullet"/>
      <w:lvlText w:val="•"/>
      <w:lvlJc w:val="left"/>
      <w:pPr>
        <w:ind w:left="1320" w:hanging="358"/>
      </w:pPr>
      <w:rPr>
        <w:lang w:val="en-US" w:eastAsia="en-US" w:bidi="ar-SA"/>
      </w:rPr>
    </w:lvl>
    <w:lvl w:ilvl="2" w:tplc="A21A4B0C">
      <w:numFmt w:val="bullet"/>
      <w:lvlText w:val="•"/>
      <w:lvlJc w:val="left"/>
      <w:pPr>
        <w:ind w:left="2289" w:hanging="358"/>
      </w:pPr>
      <w:rPr>
        <w:lang w:val="en-US" w:eastAsia="en-US" w:bidi="ar-SA"/>
      </w:rPr>
    </w:lvl>
    <w:lvl w:ilvl="3" w:tplc="6764045E">
      <w:numFmt w:val="bullet"/>
      <w:lvlText w:val="•"/>
      <w:lvlJc w:val="left"/>
      <w:pPr>
        <w:ind w:left="3257" w:hanging="358"/>
      </w:pPr>
      <w:rPr>
        <w:lang w:val="en-US" w:eastAsia="en-US" w:bidi="ar-SA"/>
      </w:rPr>
    </w:lvl>
    <w:lvl w:ilvl="4" w:tplc="ED80F118">
      <w:numFmt w:val="bullet"/>
      <w:lvlText w:val="•"/>
      <w:lvlJc w:val="left"/>
      <w:pPr>
        <w:ind w:left="4226" w:hanging="358"/>
      </w:pPr>
      <w:rPr>
        <w:lang w:val="en-US" w:eastAsia="en-US" w:bidi="ar-SA"/>
      </w:rPr>
    </w:lvl>
    <w:lvl w:ilvl="5" w:tplc="E5E40B64">
      <w:numFmt w:val="bullet"/>
      <w:lvlText w:val="•"/>
      <w:lvlJc w:val="left"/>
      <w:pPr>
        <w:ind w:left="5195" w:hanging="358"/>
      </w:pPr>
      <w:rPr>
        <w:lang w:val="en-US" w:eastAsia="en-US" w:bidi="ar-SA"/>
      </w:rPr>
    </w:lvl>
    <w:lvl w:ilvl="6" w:tplc="4D7A98A2">
      <w:numFmt w:val="bullet"/>
      <w:lvlText w:val="•"/>
      <w:lvlJc w:val="left"/>
      <w:pPr>
        <w:ind w:left="6163" w:hanging="358"/>
      </w:pPr>
      <w:rPr>
        <w:lang w:val="en-US" w:eastAsia="en-US" w:bidi="ar-SA"/>
      </w:rPr>
    </w:lvl>
    <w:lvl w:ilvl="7" w:tplc="2B4A085A">
      <w:numFmt w:val="bullet"/>
      <w:lvlText w:val="•"/>
      <w:lvlJc w:val="left"/>
      <w:pPr>
        <w:ind w:left="7132" w:hanging="358"/>
      </w:pPr>
      <w:rPr>
        <w:lang w:val="en-US" w:eastAsia="en-US" w:bidi="ar-SA"/>
      </w:rPr>
    </w:lvl>
    <w:lvl w:ilvl="8" w:tplc="A072A6B8">
      <w:numFmt w:val="bullet"/>
      <w:lvlText w:val="•"/>
      <w:lvlJc w:val="left"/>
      <w:pPr>
        <w:ind w:left="8101" w:hanging="358"/>
      </w:pPr>
      <w:rPr>
        <w:lang w:val="en-US" w:eastAsia="en-US" w:bidi="ar-SA"/>
      </w:rPr>
    </w:lvl>
  </w:abstractNum>
  <w:abstractNum w:abstractNumId="6" w15:restartNumberingAfterBreak="0">
    <w:nsid w:val="171B0FB5"/>
    <w:multiLevelType w:val="hybridMultilevel"/>
    <w:tmpl w:val="A59CB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CE31CD"/>
    <w:multiLevelType w:val="hybridMultilevel"/>
    <w:tmpl w:val="69461F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F1A58AD"/>
    <w:multiLevelType w:val="hybridMultilevel"/>
    <w:tmpl w:val="96BADE12"/>
    <w:lvl w:ilvl="0" w:tplc="B96013B6">
      <w:start w:val="2"/>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201620A9"/>
    <w:multiLevelType w:val="hybridMultilevel"/>
    <w:tmpl w:val="8F86854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230361B0"/>
    <w:multiLevelType w:val="multilevel"/>
    <w:tmpl w:val="961C5B82"/>
    <w:lvl w:ilvl="0">
      <w:start w:val="1"/>
      <w:numFmt w:val="decimal"/>
      <w:lvlText w:val="%1."/>
      <w:lvlJc w:val="left"/>
      <w:pPr>
        <w:ind w:left="1921"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2281" w:hanging="720"/>
      </w:pPr>
      <w:rPr>
        <w:rFonts w:hint="default"/>
        <w:b w:val="0"/>
        <w:bCs/>
        <w:i/>
        <w:iCs/>
      </w:rPr>
    </w:lvl>
    <w:lvl w:ilvl="3">
      <w:start w:val="1"/>
      <w:numFmt w:val="decimal"/>
      <w:isLgl/>
      <w:lvlText w:val="%1.%2.%3.%4."/>
      <w:lvlJc w:val="left"/>
      <w:pPr>
        <w:ind w:left="2281" w:hanging="720"/>
      </w:pPr>
      <w:rPr>
        <w:rFonts w:hint="default"/>
      </w:rPr>
    </w:lvl>
    <w:lvl w:ilvl="4">
      <w:start w:val="1"/>
      <w:numFmt w:val="decimal"/>
      <w:isLgl/>
      <w:lvlText w:val="%1.%2.%3.%4.%5."/>
      <w:lvlJc w:val="left"/>
      <w:pPr>
        <w:ind w:left="2641" w:hanging="1080"/>
      </w:pPr>
      <w:rPr>
        <w:rFonts w:hint="default"/>
      </w:rPr>
    </w:lvl>
    <w:lvl w:ilvl="5">
      <w:start w:val="1"/>
      <w:numFmt w:val="decimal"/>
      <w:isLgl/>
      <w:lvlText w:val="%1.%2.%3.%4.%5.%6."/>
      <w:lvlJc w:val="left"/>
      <w:pPr>
        <w:ind w:left="2641"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361" w:hanging="1800"/>
      </w:pPr>
      <w:rPr>
        <w:rFonts w:hint="default"/>
      </w:rPr>
    </w:lvl>
  </w:abstractNum>
  <w:abstractNum w:abstractNumId="11" w15:restartNumberingAfterBreak="0">
    <w:nsid w:val="273718C9"/>
    <w:multiLevelType w:val="hybridMultilevel"/>
    <w:tmpl w:val="412218F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8A9263B"/>
    <w:multiLevelType w:val="hybridMultilevel"/>
    <w:tmpl w:val="DE669D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656F2E"/>
    <w:multiLevelType w:val="hybridMultilevel"/>
    <w:tmpl w:val="1DF222AE"/>
    <w:lvl w:ilvl="0" w:tplc="FFFFFFFF">
      <w:start w:val="1"/>
      <w:numFmt w:val="bullet"/>
      <w:lvlText w:val=""/>
      <w:lvlJc w:val="left"/>
      <w:pPr>
        <w:ind w:left="720" w:hanging="360"/>
      </w:pPr>
      <w:rPr>
        <w:rFonts w:ascii="Symbol" w:hAnsi="Symbol" w:hint="default"/>
      </w:rPr>
    </w:lvl>
    <w:lvl w:ilvl="1" w:tplc="D494E13E">
      <w:numFmt w:val="bullet"/>
      <w:lvlText w:val="-"/>
      <w:lvlJc w:val="left"/>
      <w:pPr>
        <w:ind w:left="1440" w:hanging="360"/>
      </w:pPr>
      <w:rPr>
        <w:rFonts w:ascii="Times New Roman" w:eastAsiaTheme="minorEastAsia"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D137083"/>
    <w:multiLevelType w:val="hybridMultilevel"/>
    <w:tmpl w:val="45D8E9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D600A30"/>
    <w:multiLevelType w:val="hybridMultilevel"/>
    <w:tmpl w:val="4148B0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1A3C3C"/>
    <w:multiLevelType w:val="hybridMultilevel"/>
    <w:tmpl w:val="21AC0B2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334D4673"/>
    <w:multiLevelType w:val="hybridMultilevel"/>
    <w:tmpl w:val="E93A17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0" w15:restartNumberingAfterBreak="0">
    <w:nsid w:val="3EAE6B65"/>
    <w:multiLevelType w:val="multilevel"/>
    <w:tmpl w:val="038A024A"/>
    <w:name w:val="list-bullet-color-table2"/>
    <w:lvl w:ilvl="0">
      <w:start w:val="1"/>
      <w:numFmt w:val="bullet"/>
      <w:lvlRestart w:val="0"/>
      <w:pStyle w:val="list-bullet-color-table"/>
      <w:lvlText w:val=""/>
      <w:lvlJc w:val="left"/>
      <w:pPr>
        <w:ind w:left="284" w:hanging="284"/>
      </w:pPr>
      <w:rPr>
        <w:rFonts w:ascii="Symbol" w:hAnsi="Symbol" w:hint="default"/>
        <w:color w:val="006DB6"/>
        <w:sz w:val="16"/>
      </w:rPr>
    </w:lvl>
    <w:lvl w:ilvl="1">
      <w:start w:val="1"/>
      <w:numFmt w:val="bullet"/>
      <w:lvlText w:val="-"/>
      <w:lvlJc w:val="left"/>
      <w:pPr>
        <w:ind w:left="568" w:hanging="284"/>
      </w:pPr>
      <w:rPr>
        <w:rFonts w:ascii="Arial" w:hAnsi="Arial" w:cs="Arial"/>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21" w15:restartNumberingAfterBreak="0">
    <w:nsid w:val="4203399E"/>
    <w:multiLevelType w:val="hybridMultilevel"/>
    <w:tmpl w:val="3BE651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89360A6"/>
    <w:multiLevelType w:val="hybridMultilevel"/>
    <w:tmpl w:val="1CB80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AA90285"/>
    <w:multiLevelType w:val="hybridMultilevel"/>
    <w:tmpl w:val="A73886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C2B5059"/>
    <w:multiLevelType w:val="hybridMultilevel"/>
    <w:tmpl w:val="46C2F1F0"/>
    <w:lvl w:ilvl="0" w:tplc="39D62B58">
      <w:numFmt w:val="bullet"/>
      <w:lvlText w:val="-"/>
      <w:lvlJc w:val="left"/>
      <w:pPr>
        <w:ind w:left="284" w:hanging="284"/>
      </w:pPr>
      <w:rPr>
        <w:rFonts w:ascii="Calibri" w:hAnsi="Calibri" w:hint="default"/>
        <w:b w:val="0"/>
        <w:bCs w:val="0"/>
        <w:i w:val="0"/>
        <w:iCs w:val="0"/>
        <w:spacing w:val="0"/>
        <w:w w:val="100"/>
        <w:sz w:val="24"/>
        <w:szCs w:val="24"/>
        <w:lang w:val="en-US" w:eastAsia="en-US" w:bidi="ar-SA"/>
      </w:rPr>
    </w:lvl>
    <w:lvl w:ilvl="1" w:tplc="457AE8C6">
      <w:numFmt w:val="bullet"/>
      <w:lvlText w:val=""/>
      <w:lvlJc w:val="left"/>
      <w:pPr>
        <w:ind w:left="709" w:hanging="425"/>
      </w:pPr>
      <w:rPr>
        <w:rFonts w:ascii="Symbol" w:hAnsi="Symbol" w:hint="default"/>
        <w:b w:val="0"/>
        <w:bCs w:val="0"/>
        <w:i w:val="0"/>
        <w:iCs w:val="0"/>
        <w:spacing w:val="0"/>
        <w:w w:val="100"/>
        <w:sz w:val="24"/>
        <w:szCs w:val="24"/>
        <w:lang w:val="en-US" w:eastAsia="en-US" w:bidi="ar-SA"/>
      </w:rPr>
    </w:lvl>
    <w:lvl w:ilvl="2" w:tplc="B0148654">
      <w:numFmt w:val="bullet"/>
      <w:lvlText w:val="•"/>
      <w:lvlJc w:val="left"/>
      <w:pPr>
        <w:ind w:left="1748" w:hanging="425"/>
      </w:pPr>
      <w:rPr>
        <w:lang w:val="en-US" w:eastAsia="en-US" w:bidi="ar-SA"/>
      </w:rPr>
    </w:lvl>
    <w:lvl w:ilvl="3" w:tplc="B8507656">
      <w:numFmt w:val="bullet"/>
      <w:lvlText w:val="•"/>
      <w:lvlJc w:val="left"/>
      <w:pPr>
        <w:ind w:left="2784" w:hanging="425"/>
      </w:pPr>
      <w:rPr>
        <w:lang w:val="en-US" w:eastAsia="en-US" w:bidi="ar-SA"/>
      </w:rPr>
    </w:lvl>
    <w:lvl w:ilvl="4" w:tplc="4EF204D4">
      <w:numFmt w:val="bullet"/>
      <w:lvlText w:val="•"/>
      <w:lvlJc w:val="left"/>
      <w:pPr>
        <w:ind w:left="3820" w:hanging="425"/>
      </w:pPr>
      <w:rPr>
        <w:lang w:val="en-US" w:eastAsia="en-US" w:bidi="ar-SA"/>
      </w:rPr>
    </w:lvl>
    <w:lvl w:ilvl="5" w:tplc="A5EA6A1C">
      <w:numFmt w:val="bullet"/>
      <w:lvlText w:val="•"/>
      <w:lvlJc w:val="left"/>
      <w:pPr>
        <w:ind w:left="4857" w:hanging="425"/>
      </w:pPr>
      <w:rPr>
        <w:lang w:val="en-US" w:eastAsia="en-US" w:bidi="ar-SA"/>
      </w:rPr>
    </w:lvl>
    <w:lvl w:ilvl="6" w:tplc="359AA8D2">
      <w:numFmt w:val="bullet"/>
      <w:lvlText w:val="•"/>
      <w:lvlJc w:val="left"/>
      <w:pPr>
        <w:ind w:left="5893" w:hanging="425"/>
      </w:pPr>
      <w:rPr>
        <w:lang w:val="en-US" w:eastAsia="en-US" w:bidi="ar-SA"/>
      </w:rPr>
    </w:lvl>
    <w:lvl w:ilvl="7" w:tplc="FB2210FE">
      <w:numFmt w:val="bullet"/>
      <w:lvlText w:val="•"/>
      <w:lvlJc w:val="left"/>
      <w:pPr>
        <w:ind w:left="6929" w:hanging="425"/>
      </w:pPr>
      <w:rPr>
        <w:lang w:val="en-US" w:eastAsia="en-US" w:bidi="ar-SA"/>
      </w:rPr>
    </w:lvl>
    <w:lvl w:ilvl="8" w:tplc="63F0634E">
      <w:numFmt w:val="bullet"/>
      <w:lvlText w:val="•"/>
      <w:lvlJc w:val="left"/>
      <w:pPr>
        <w:ind w:left="7965" w:hanging="425"/>
      </w:pPr>
      <w:rPr>
        <w:lang w:val="en-US" w:eastAsia="en-US" w:bidi="ar-SA"/>
      </w:rPr>
    </w:lvl>
  </w:abstractNum>
  <w:abstractNum w:abstractNumId="25" w15:restartNumberingAfterBreak="0">
    <w:nsid w:val="4DE33A35"/>
    <w:multiLevelType w:val="hybridMultilevel"/>
    <w:tmpl w:val="4AA895A0"/>
    <w:lvl w:ilvl="0" w:tplc="18090001">
      <w:start w:val="1"/>
      <w:numFmt w:val="bullet"/>
      <w:lvlText w:val=""/>
      <w:lvlJc w:val="left"/>
      <w:pPr>
        <w:ind w:left="1288" w:hanging="360"/>
      </w:pPr>
      <w:rPr>
        <w:rFonts w:ascii="Symbol" w:hAnsi="Symbol" w:hint="default"/>
      </w:rPr>
    </w:lvl>
    <w:lvl w:ilvl="1" w:tplc="FFFFFFFF" w:tentative="1">
      <w:start w:val="1"/>
      <w:numFmt w:val="bullet"/>
      <w:lvlText w:val="o"/>
      <w:lvlJc w:val="left"/>
      <w:pPr>
        <w:ind w:left="2008" w:hanging="360"/>
      </w:pPr>
      <w:rPr>
        <w:rFonts w:ascii="Courier New" w:hAnsi="Courier New" w:cs="Courier New" w:hint="default"/>
      </w:rPr>
    </w:lvl>
    <w:lvl w:ilvl="2" w:tplc="FFFFFFFF" w:tentative="1">
      <w:start w:val="1"/>
      <w:numFmt w:val="bullet"/>
      <w:lvlText w:val=""/>
      <w:lvlJc w:val="left"/>
      <w:pPr>
        <w:ind w:left="2728" w:hanging="360"/>
      </w:pPr>
      <w:rPr>
        <w:rFonts w:ascii="Wingdings" w:hAnsi="Wingdings" w:hint="default"/>
      </w:rPr>
    </w:lvl>
    <w:lvl w:ilvl="3" w:tplc="FFFFFFFF" w:tentative="1">
      <w:start w:val="1"/>
      <w:numFmt w:val="bullet"/>
      <w:lvlText w:val=""/>
      <w:lvlJc w:val="left"/>
      <w:pPr>
        <w:ind w:left="3448" w:hanging="360"/>
      </w:pPr>
      <w:rPr>
        <w:rFonts w:ascii="Symbol" w:hAnsi="Symbol" w:hint="default"/>
      </w:rPr>
    </w:lvl>
    <w:lvl w:ilvl="4" w:tplc="FFFFFFFF" w:tentative="1">
      <w:start w:val="1"/>
      <w:numFmt w:val="bullet"/>
      <w:lvlText w:val="o"/>
      <w:lvlJc w:val="left"/>
      <w:pPr>
        <w:ind w:left="4168" w:hanging="360"/>
      </w:pPr>
      <w:rPr>
        <w:rFonts w:ascii="Courier New" w:hAnsi="Courier New" w:cs="Courier New" w:hint="default"/>
      </w:rPr>
    </w:lvl>
    <w:lvl w:ilvl="5" w:tplc="FFFFFFFF" w:tentative="1">
      <w:start w:val="1"/>
      <w:numFmt w:val="bullet"/>
      <w:lvlText w:val=""/>
      <w:lvlJc w:val="left"/>
      <w:pPr>
        <w:ind w:left="4888" w:hanging="360"/>
      </w:pPr>
      <w:rPr>
        <w:rFonts w:ascii="Wingdings" w:hAnsi="Wingdings" w:hint="default"/>
      </w:rPr>
    </w:lvl>
    <w:lvl w:ilvl="6" w:tplc="FFFFFFFF">
      <w:start w:val="1"/>
      <w:numFmt w:val="bullet"/>
      <w:lvlText w:val=""/>
      <w:lvlJc w:val="left"/>
      <w:pPr>
        <w:ind w:left="5608" w:hanging="360"/>
      </w:pPr>
      <w:rPr>
        <w:rFonts w:ascii="Symbol" w:hAnsi="Symbol" w:hint="default"/>
      </w:rPr>
    </w:lvl>
    <w:lvl w:ilvl="7" w:tplc="FFFFFFFF" w:tentative="1">
      <w:start w:val="1"/>
      <w:numFmt w:val="bullet"/>
      <w:lvlText w:val="o"/>
      <w:lvlJc w:val="left"/>
      <w:pPr>
        <w:ind w:left="6328" w:hanging="360"/>
      </w:pPr>
      <w:rPr>
        <w:rFonts w:ascii="Courier New" w:hAnsi="Courier New" w:cs="Courier New" w:hint="default"/>
      </w:rPr>
    </w:lvl>
    <w:lvl w:ilvl="8" w:tplc="FFFFFFFF" w:tentative="1">
      <w:start w:val="1"/>
      <w:numFmt w:val="bullet"/>
      <w:lvlText w:val=""/>
      <w:lvlJc w:val="left"/>
      <w:pPr>
        <w:ind w:left="7048" w:hanging="360"/>
      </w:pPr>
      <w:rPr>
        <w:rFonts w:ascii="Wingdings" w:hAnsi="Wingdings" w:hint="default"/>
      </w:rPr>
    </w:lvl>
  </w:abstractNum>
  <w:abstractNum w:abstractNumId="26" w15:restartNumberingAfterBreak="0">
    <w:nsid w:val="4F1F220B"/>
    <w:multiLevelType w:val="hybridMultilevel"/>
    <w:tmpl w:val="D466E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7FB217"/>
    <w:multiLevelType w:val="hybridMultilevel"/>
    <w:tmpl w:val="1F60277C"/>
    <w:lvl w:ilvl="0" w:tplc="16AC050E">
      <w:start w:val="1"/>
      <w:numFmt w:val="bullet"/>
      <w:lvlText w:val="-"/>
      <w:lvlJc w:val="left"/>
      <w:pPr>
        <w:ind w:left="720" w:hanging="360"/>
      </w:pPr>
      <w:rPr>
        <w:rFonts w:ascii="&quot;Times New Roman&quot;,serif" w:hAnsi="&quot;Times New Roman&quot;,serif" w:hint="default"/>
      </w:rPr>
    </w:lvl>
    <w:lvl w:ilvl="1" w:tplc="54A6B52C">
      <w:start w:val="1"/>
      <w:numFmt w:val="bullet"/>
      <w:lvlText w:val="o"/>
      <w:lvlJc w:val="left"/>
      <w:pPr>
        <w:ind w:left="1440" w:hanging="360"/>
      </w:pPr>
      <w:rPr>
        <w:rFonts w:ascii="Courier New" w:hAnsi="Courier New" w:hint="default"/>
      </w:rPr>
    </w:lvl>
    <w:lvl w:ilvl="2" w:tplc="F4E483B4">
      <w:start w:val="1"/>
      <w:numFmt w:val="bullet"/>
      <w:lvlText w:val=""/>
      <w:lvlJc w:val="left"/>
      <w:pPr>
        <w:ind w:left="2160" w:hanging="360"/>
      </w:pPr>
      <w:rPr>
        <w:rFonts w:ascii="Wingdings" w:hAnsi="Wingdings" w:hint="default"/>
      </w:rPr>
    </w:lvl>
    <w:lvl w:ilvl="3" w:tplc="18468BEA">
      <w:start w:val="1"/>
      <w:numFmt w:val="bullet"/>
      <w:lvlText w:val=""/>
      <w:lvlJc w:val="left"/>
      <w:pPr>
        <w:ind w:left="2880" w:hanging="360"/>
      </w:pPr>
      <w:rPr>
        <w:rFonts w:ascii="Symbol" w:hAnsi="Symbol" w:hint="default"/>
      </w:rPr>
    </w:lvl>
    <w:lvl w:ilvl="4" w:tplc="F926C3A0">
      <w:start w:val="1"/>
      <w:numFmt w:val="bullet"/>
      <w:lvlText w:val="o"/>
      <w:lvlJc w:val="left"/>
      <w:pPr>
        <w:ind w:left="3600" w:hanging="360"/>
      </w:pPr>
      <w:rPr>
        <w:rFonts w:ascii="Courier New" w:hAnsi="Courier New" w:hint="default"/>
      </w:rPr>
    </w:lvl>
    <w:lvl w:ilvl="5" w:tplc="83DC2894">
      <w:start w:val="1"/>
      <w:numFmt w:val="bullet"/>
      <w:lvlText w:val=""/>
      <w:lvlJc w:val="left"/>
      <w:pPr>
        <w:ind w:left="4320" w:hanging="360"/>
      </w:pPr>
      <w:rPr>
        <w:rFonts w:ascii="Wingdings" w:hAnsi="Wingdings" w:hint="default"/>
      </w:rPr>
    </w:lvl>
    <w:lvl w:ilvl="6" w:tplc="17989D0A">
      <w:start w:val="1"/>
      <w:numFmt w:val="bullet"/>
      <w:lvlText w:val=""/>
      <w:lvlJc w:val="left"/>
      <w:pPr>
        <w:ind w:left="5040" w:hanging="360"/>
      </w:pPr>
      <w:rPr>
        <w:rFonts w:ascii="Symbol" w:hAnsi="Symbol" w:hint="default"/>
      </w:rPr>
    </w:lvl>
    <w:lvl w:ilvl="7" w:tplc="2BC21BC8">
      <w:start w:val="1"/>
      <w:numFmt w:val="bullet"/>
      <w:lvlText w:val="o"/>
      <w:lvlJc w:val="left"/>
      <w:pPr>
        <w:ind w:left="5760" w:hanging="360"/>
      </w:pPr>
      <w:rPr>
        <w:rFonts w:ascii="Courier New" w:hAnsi="Courier New" w:hint="default"/>
      </w:rPr>
    </w:lvl>
    <w:lvl w:ilvl="8" w:tplc="3174899E">
      <w:start w:val="1"/>
      <w:numFmt w:val="bullet"/>
      <w:lvlText w:val=""/>
      <w:lvlJc w:val="left"/>
      <w:pPr>
        <w:ind w:left="6480" w:hanging="360"/>
      </w:pPr>
      <w:rPr>
        <w:rFonts w:ascii="Wingdings" w:hAnsi="Wingdings" w:hint="default"/>
      </w:rPr>
    </w:lvl>
  </w:abstractNum>
  <w:abstractNum w:abstractNumId="28" w15:restartNumberingAfterBreak="0">
    <w:nsid w:val="521B1C8F"/>
    <w:multiLevelType w:val="hybridMultilevel"/>
    <w:tmpl w:val="B4CA16C8"/>
    <w:lvl w:ilvl="0" w:tplc="1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5D6F82"/>
    <w:multiLevelType w:val="hybridMultilevel"/>
    <w:tmpl w:val="36E09FC8"/>
    <w:lvl w:ilvl="0" w:tplc="38686A80">
      <w:start w:val="1"/>
      <w:numFmt w:val="decimal"/>
      <w:lvlText w:val="%1."/>
      <w:lvlJc w:val="left"/>
      <w:pPr>
        <w:tabs>
          <w:tab w:val="num" w:pos="720"/>
        </w:tabs>
        <w:ind w:left="720" w:hanging="360"/>
      </w:pPr>
    </w:lvl>
    <w:lvl w:ilvl="1" w:tplc="0AF0E44A">
      <w:start w:val="1"/>
      <w:numFmt w:val="decimal"/>
      <w:lvlText w:val="%2."/>
      <w:lvlJc w:val="left"/>
      <w:pPr>
        <w:tabs>
          <w:tab w:val="num" w:pos="1440"/>
        </w:tabs>
        <w:ind w:left="1440" w:hanging="360"/>
      </w:pPr>
    </w:lvl>
    <w:lvl w:ilvl="2" w:tplc="66E273E6" w:tentative="1">
      <w:start w:val="1"/>
      <w:numFmt w:val="decimal"/>
      <w:lvlText w:val="%3."/>
      <w:lvlJc w:val="left"/>
      <w:pPr>
        <w:tabs>
          <w:tab w:val="num" w:pos="2160"/>
        </w:tabs>
        <w:ind w:left="2160" w:hanging="360"/>
      </w:pPr>
    </w:lvl>
    <w:lvl w:ilvl="3" w:tplc="E1A05AD0" w:tentative="1">
      <w:start w:val="1"/>
      <w:numFmt w:val="decimal"/>
      <w:lvlText w:val="%4."/>
      <w:lvlJc w:val="left"/>
      <w:pPr>
        <w:tabs>
          <w:tab w:val="num" w:pos="2880"/>
        </w:tabs>
        <w:ind w:left="2880" w:hanging="360"/>
      </w:pPr>
    </w:lvl>
    <w:lvl w:ilvl="4" w:tplc="40EC11E0" w:tentative="1">
      <w:start w:val="1"/>
      <w:numFmt w:val="decimal"/>
      <w:lvlText w:val="%5."/>
      <w:lvlJc w:val="left"/>
      <w:pPr>
        <w:tabs>
          <w:tab w:val="num" w:pos="3600"/>
        </w:tabs>
        <w:ind w:left="3600" w:hanging="360"/>
      </w:pPr>
    </w:lvl>
    <w:lvl w:ilvl="5" w:tplc="30082734" w:tentative="1">
      <w:start w:val="1"/>
      <w:numFmt w:val="decimal"/>
      <w:lvlText w:val="%6."/>
      <w:lvlJc w:val="left"/>
      <w:pPr>
        <w:tabs>
          <w:tab w:val="num" w:pos="4320"/>
        </w:tabs>
        <w:ind w:left="4320" w:hanging="360"/>
      </w:pPr>
    </w:lvl>
    <w:lvl w:ilvl="6" w:tplc="595ED93E" w:tentative="1">
      <w:start w:val="1"/>
      <w:numFmt w:val="decimal"/>
      <w:lvlText w:val="%7."/>
      <w:lvlJc w:val="left"/>
      <w:pPr>
        <w:tabs>
          <w:tab w:val="num" w:pos="5040"/>
        </w:tabs>
        <w:ind w:left="5040" w:hanging="360"/>
      </w:pPr>
    </w:lvl>
    <w:lvl w:ilvl="7" w:tplc="CA6AD2FE" w:tentative="1">
      <w:start w:val="1"/>
      <w:numFmt w:val="decimal"/>
      <w:lvlText w:val="%8."/>
      <w:lvlJc w:val="left"/>
      <w:pPr>
        <w:tabs>
          <w:tab w:val="num" w:pos="5760"/>
        </w:tabs>
        <w:ind w:left="5760" w:hanging="360"/>
      </w:pPr>
    </w:lvl>
    <w:lvl w:ilvl="8" w:tplc="EE084458" w:tentative="1">
      <w:start w:val="1"/>
      <w:numFmt w:val="decimal"/>
      <w:lvlText w:val="%9."/>
      <w:lvlJc w:val="left"/>
      <w:pPr>
        <w:tabs>
          <w:tab w:val="num" w:pos="6480"/>
        </w:tabs>
        <w:ind w:left="6480" w:hanging="360"/>
      </w:pPr>
    </w:lvl>
  </w:abstractNum>
  <w:abstractNum w:abstractNumId="30" w15:restartNumberingAfterBreak="0">
    <w:nsid w:val="54AC0C1C"/>
    <w:multiLevelType w:val="hybridMultilevel"/>
    <w:tmpl w:val="3B6E6D5A"/>
    <w:lvl w:ilvl="0" w:tplc="08090001">
      <w:start w:val="1"/>
      <w:numFmt w:val="bullet"/>
      <w:lvlText w:val=""/>
      <w:lvlJc w:val="left"/>
      <w:pPr>
        <w:ind w:left="360" w:hanging="360"/>
      </w:pPr>
      <w:rPr>
        <w:rFonts w:ascii="Symbol" w:hAnsi="Symbol" w:hint="default"/>
        <w:b w:val="0"/>
        <w:bCs w:val="0"/>
        <w:i w:val="0"/>
        <w:iCs w:val="0"/>
        <w:spacing w:val="0"/>
        <w:w w:val="100"/>
        <w:sz w:val="24"/>
        <w:szCs w:val="24"/>
        <w:lang w:val="en-US" w:eastAsia="en-US" w:bidi="ar-SA"/>
      </w:rPr>
    </w:lvl>
    <w:lvl w:ilvl="1" w:tplc="FFFFFFFF" w:tentative="1">
      <w:start w:val="1"/>
      <w:numFmt w:val="bullet"/>
      <w:lvlText w:val="o"/>
      <w:lvlJc w:val="left"/>
      <w:pPr>
        <w:ind w:left="731" w:hanging="360"/>
      </w:pPr>
      <w:rPr>
        <w:rFonts w:ascii="Courier New" w:hAnsi="Courier New" w:cs="Courier New" w:hint="default"/>
      </w:rPr>
    </w:lvl>
    <w:lvl w:ilvl="2" w:tplc="FFFFFFFF" w:tentative="1">
      <w:start w:val="1"/>
      <w:numFmt w:val="bullet"/>
      <w:lvlText w:val=""/>
      <w:lvlJc w:val="left"/>
      <w:pPr>
        <w:ind w:left="1451" w:hanging="360"/>
      </w:pPr>
      <w:rPr>
        <w:rFonts w:ascii="Wingdings" w:hAnsi="Wingdings" w:hint="default"/>
      </w:rPr>
    </w:lvl>
    <w:lvl w:ilvl="3" w:tplc="FFFFFFFF" w:tentative="1">
      <w:start w:val="1"/>
      <w:numFmt w:val="bullet"/>
      <w:lvlText w:val=""/>
      <w:lvlJc w:val="left"/>
      <w:pPr>
        <w:ind w:left="2171" w:hanging="360"/>
      </w:pPr>
      <w:rPr>
        <w:rFonts w:ascii="Symbol" w:hAnsi="Symbol" w:hint="default"/>
      </w:rPr>
    </w:lvl>
    <w:lvl w:ilvl="4" w:tplc="FFFFFFFF" w:tentative="1">
      <w:start w:val="1"/>
      <w:numFmt w:val="bullet"/>
      <w:lvlText w:val="o"/>
      <w:lvlJc w:val="left"/>
      <w:pPr>
        <w:ind w:left="2891" w:hanging="360"/>
      </w:pPr>
      <w:rPr>
        <w:rFonts w:ascii="Courier New" w:hAnsi="Courier New" w:cs="Courier New" w:hint="default"/>
      </w:rPr>
    </w:lvl>
    <w:lvl w:ilvl="5" w:tplc="FFFFFFFF" w:tentative="1">
      <w:start w:val="1"/>
      <w:numFmt w:val="bullet"/>
      <w:lvlText w:val=""/>
      <w:lvlJc w:val="left"/>
      <w:pPr>
        <w:ind w:left="3611" w:hanging="360"/>
      </w:pPr>
      <w:rPr>
        <w:rFonts w:ascii="Wingdings" w:hAnsi="Wingdings" w:hint="default"/>
      </w:rPr>
    </w:lvl>
    <w:lvl w:ilvl="6" w:tplc="FFFFFFFF" w:tentative="1">
      <w:start w:val="1"/>
      <w:numFmt w:val="bullet"/>
      <w:lvlText w:val=""/>
      <w:lvlJc w:val="left"/>
      <w:pPr>
        <w:ind w:left="4331" w:hanging="360"/>
      </w:pPr>
      <w:rPr>
        <w:rFonts w:ascii="Symbol" w:hAnsi="Symbol" w:hint="default"/>
      </w:rPr>
    </w:lvl>
    <w:lvl w:ilvl="7" w:tplc="FFFFFFFF" w:tentative="1">
      <w:start w:val="1"/>
      <w:numFmt w:val="bullet"/>
      <w:lvlText w:val="o"/>
      <w:lvlJc w:val="left"/>
      <w:pPr>
        <w:ind w:left="5051" w:hanging="360"/>
      </w:pPr>
      <w:rPr>
        <w:rFonts w:ascii="Courier New" w:hAnsi="Courier New" w:cs="Courier New" w:hint="default"/>
      </w:rPr>
    </w:lvl>
    <w:lvl w:ilvl="8" w:tplc="FFFFFFFF" w:tentative="1">
      <w:start w:val="1"/>
      <w:numFmt w:val="bullet"/>
      <w:lvlText w:val=""/>
      <w:lvlJc w:val="left"/>
      <w:pPr>
        <w:ind w:left="5771" w:hanging="360"/>
      </w:pPr>
      <w:rPr>
        <w:rFonts w:ascii="Wingdings" w:hAnsi="Wingdings" w:hint="default"/>
      </w:rPr>
    </w:lvl>
  </w:abstractNum>
  <w:abstractNum w:abstractNumId="31" w15:restartNumberingAfterBreak="0">
    <w:nsid w:val="54B44E1C"/>
    <w:multiLevelType w:val="hybridMultilevel"/>
    <w:tmpl w:val="980233EA"/>
    <w:lvl w:ilvl="0" w:tplc="F7A08100">
      <w:numFmt w:val="bullet"/>
      <w:lvlText w:val="-"/>
      <w:lvlJc w:val="left"/>
      <w:pPr>
        <w:ind w:left="360" w:hanging="360"/>
      </w:pPr>
      <w:rPr>
        <w:rFonts w:ascii="Cambria" w:eastAsiaTheme="minorEastAsia" w:hAnsi="Cambria" w:cstheme="minorBid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583954EB"/>
    <w:multiLevelType w:val="hybridMultilevel"/>
    <w:tmpl w:val="A6127E6C"/>
    <w:lvl w:ilvl="0" w:tplc="FFFFFFFF">
      <w:start w:val="1"/>
      <w:numFmt w:val="bullet"/>
      <w:lvlText w:val=""/>
      <w:lvlJc w:val="left"/>
      <w:pPr>
        <w:ind w:left="360" w:hanging="360"/>
      </w:pPr>
      <w:rPr>
        <w:rFonts w:ascii="Symbol" w:hAnsi="Symbol" w:hint="default"/>
      </w:rPr>
    </w:lvl>
    <w:lvl w:ilvl="1" w:tplc="BBFE90DC">
      <w:start w:val="1"/>
      <w:numFmt w:val="bullet"/>
      <w:lvlText w:val="-"/>
      <w:lvlJc w:val="left"/>
      <w:pPr>
        <w:ind w:left="1080" w:hanging="360"/>
      </w:pPr>
      <w:rPr>
        <w:rFonts w:ascii="&quot;Calibri&quot;,sans-serif" w:hAnsi="&quot;Calibri&quot;,sans-serif"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5A040B74"/>
    <w:multiLevelType w:val="hybridMultilevel"/>
    <w:tmpl w:val="506E1244"/>
    <w:lvl w:ilvl="0" w:tplc="239699A6">
      <w:start w:val="1"/>
      <w:numFmt w:val="decimal"/>
      <w:lvlText w:val="%1."/>
      <w:lvlJc w:val="left"/>
      <w:pPr>
        <w:ind w:left="1561" w:hanging="432"/>
      </w:pPr>
      <w:rPr>
        <w:rFonts w:ascii="Times New Roman" w:eastAsia="Times New Roman" w:hAnsi="Times New Roman" w:cs="Times New Roman"/>
        <w:b/>
        <w:bCs/>
        <w:i w:val="0"/>
        <w:iCs w:val="0"/>
        <w:spacing w:val="0"/>
        <w:w w:val="100"/>
        <w:sz w:val="24"/>
        <w:szCs w:val="24"/>
        <w:lang w:val="en-US" w:eastAsia="en-US" w:bidi="ar-SA"/>
      </w:rPr>
    </w:lvl>
    <w:lvl w:ilvl="1" w:tplc="84BECBC2">
      <w:numFmt w:val="bullet"/>
      <w:lvlText w:val="•"/>
      <w:lvlJc w:val="left"/>
      <w:pPr>
        <w:ind w:left="2520" w:hanging="432"/>
      </w:pPr>
      <w:rPr>
        <w:rFonts w:hint="default"/>
        <w:lang w:val="en-US" w:eastAsia="en-US" w:bidi="ar-SA"/>
      </w:rPr>
    </w:lvl>
    <w:lvl w:ilvl="2" w:tplc="88D0374A">
      <w:numFmt w:val="bullet"/>
      <w:lvlText w:val="•"/>
      <w:lvlJc w:val="left"/>
      <w:pPr>
        <w:ind w:left="3481" w:hanging="432"/>
      </w:pPr>
      <w:rPr>
        <w:rFonts w:hint="default"/>
        <w:lang w:val="en-US" w:eastAsia="en-US" w:bidi="ar-SA"/>
      </w:rPr>
    </w:lvl>
    <w:lvl w:ilvl="3" w:tplc="6CFA34D2">
      <w:numFmt w:val="bullet"/>
      <w:lvlText w:val="•"/>
      <w:lvlJc w:val="left"/>
      <w:pPr>
        <w:ind w:left="4441" w:hanging="432"/>
      </w:pPr>
      <w:rPr>
        <w:rFonts w:hint="default"/>
        <w:lang w:val="en-US" w:eastAsia="en-US" w:bidi="ar-SA"/>
      </w:rPr>
    </w:lvl>
    <w:lvl w:ilvl="4" w:tplc="D11CB7A6">
      <w:numFmt w:val="bullet"/>
      <w:lvlText w:val="•"/>
      <w:lvlJc w:val="left"/>
      <w:pPr>
        <w:ind w:left="5402" w:hanging="432"/>
      </w:pPr>
      <w:rPr>
        <w:rFonts w:hint="default"/>
        <w:lang w:val="en-US" w:eastAsia="en-US" w:bidi="ar-SA"/>
      </w:rPr>
    </w:lvl>
    <w:lvl w:ilvl="5" w:tplc="F9B07720">
      <w:numFmt w:val="bullet"/>
      <w:lvlText w:val="•"/>
      <w:lvlJc w:val="left"/>
      <w:pPr>
        <w:ind w:left="6363" w:hanging="432"/>
      </w:pPr>
      <w:rPr>
        <w:rFonts w:hint="default"/>
        <w:lang w:val="en-US" w:eastAsia="en-US" w:bidi="ar-SA"/>
      </w:rPr>
    </w:lvl>
    <w:lvl w:ilvl="6" w:tplc="6A70D27A">
      <w:numFmt w:val="bullet"/>
      <w:lvlText w:val="•"/>
      <w:lvlJc w:val="left"/>
      <w:pPr>
        <w:ind w:left="7323" w:hanging="432"/>
      </w:pPr>
      <w:rPr>
        <w:rFonts w:hint="default"/>
        <w:lang w:val="en-US" w:eastAsia="en-US" w:bidi="ar-SA"/>
      </w:rPr>
    </w:lvl>
    <w:lvl w:ilvl="7" w:tplc="39B2F27C">
      <w:numFmt w:val="bullet"/>
      <w:lvlText w:val="•"/>
      <w:lvlJc w:val="left"/>
      <w:pPr>
        <w:ind w:left="8284" w:hanging="432"/>
      </w:pPr>
      <w:rPr>
        <w:rFonts w:hint="default"/>
        <w:lang w:val="en-US" w:eastAsia="en-US" w:bidi="ar-SA"/>
      </w:rPr>
    </w:lvl>
    <w:lvl w:ilvl="8" w:tplc="311EA3DE">
      <w:numFmt w:val="bullet"/>
      <w:lvlText w:val="•"/>
      <w:lvlJc w:val="left"/>
      <w:pPr>
        <w:ind w:left="9245" w:hanging="432"/>
      </w:pPr>
      <w:rPr>
        <w:rFonts w:hint="default"/>
        <w:lang w:val="en-US" w:eastAsia="en-US" w:bidi="ar-SA"/>
      </w:rPr>
    </w:lvl>
  </w:abstractNum>
  <w:abstractNum w:abstractNumId="34" w15:restartNumberingAfterBreak="0">
    <w:nsid w:val="5A10592D"/>
    <w:multiLevelType w:val="multilevel"/>
    <w:tmpl w:val="2CDC795C"/>
    <w:lvl w:ilvl="0">
      <w:start w:val="1"/>
      <w:numFmt w:val="decimal"/>
      <w:lvlText w:val="%1."/>
      <w:lvlJc w:val="left"/>
      <w:pPr>
        <w:ind w:left="785"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7" w:hanging="720"/>
      </w:pPr>
      <w:rPr>
        <w:rFonts w:hint="default"/>
      </w:rPr>
    </w:lvl>
    <w:lvl w:ilvl="3">
      <w:start w:val="1"/>
      <w:numFmt w:val="decimal"/>
      <w:isLgl/>
      <w:lvlText w:val="%1.%2.%3.%4."/>
      <w:lvlJc w:val="left"/>
      <w:pPr>
        <w:ind w:left="1148" w:hanging="720"/>
      </w:pPr>
      <w:rPr>
        <w:rFonts w:hint="default"/>
      </w:rPr>
    </w:lvl>
    <w:lvl w:ilvl="4">
      <w:start w:val="1"/>
      <w:numFmt w:val="decimal"/>
      <w:isLgl/>
      <w:lvlText w:val="%1.%2.%3.%4.%5."/>
      <w:lvlJc w:val="left"/>
      <w:pPr>
        <w:ind w:left="1509" w:hanging="1080"/>
      </w:pPr>
      <w:rPr>
        <w:rFonts w:hint="default"/>
      </w:rPr>
    </w:lvl>
    <w:lvl w:ilvl="5">
      <w:start w:val="1"/>
      <w:numFmt w:val="decimal"/>
      <w:isLgl/>
      <w:lvlText w:val="%1.%2.%3.%4.%5.%6."/>
      <w:lvlJc w:val="left"/>
      <w:pPr>
        <w:ind w:left="1510" w:hanging="1080"/>
      </w:pPr>
      <w:rPr>
        <w:rFonts w:hint="default"/>
      </w:rPr>
    </w:lvl>
    <w:lvl w:ilvl="6">
      <w:start w:val="1"/>
      <w:numFmt w:val="decimal"/>
      <w:isLgl/>
      <w:lvlText w:val="%1.%2.%3.%4.%5.%6.%7."/>
      <w:lvlJc w:val="left"/>
      <w:pPr>
        <w:ind w:left="1871" w:hanging="144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2233" w:hanging="1800"/>
      </w:pPr>
      <w:rPr>
        <w:rFonts w:hint="default"/>
      </w:rPr>
    </w:lvl>
  </w:abstractNum>
  <w:abstractNum w:abstractNumId="35" w15:restartNumberingAfterBreak="0">
    <w:nsid w:val="5C39504D"/>
    <w:multiLevelType w:val="hybridMultilevel"/>
    <w:tmpl w:val="5F64F72E"/>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5F225CF4"/>
    <w:multiLevelType w:val="hybridMultilevel"/>
    <w:tmpl w:val="D9B2375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19B3AEF"/>
    <w:multiLevelType w:val="hybridMultilevel"/>
    <w:tmpl w:val="9FF88546"/>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6A9807DD"/>
    <w:multiLevelType w:val="hybridMultilevel"/>
    <w:tmpl w:val="5A0030B4"/>
    <w:lvl w:ilvl="0" w:tplc="18090001">
      <w:start w:val="1"/>
      <w:numFmt w:val="bullet"/>
      <w:lvlText w:val=""/>
      <w:lvlJc w:val="left"/>
      <w:pPr>
        <w:ind w:left="284" w:hanging="284"/>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709" w:hanging="425"/>
      </w:pPr>
      <w:rPr>
        <w:rFonts w:ascii="Symbol" w:hAnsi="Symbol" w:hint="default"/>
        <w:b w:val="0"/>
        <w:bCs w:val="0"/>
        <w:i w:val="0"/>
        <w:iCs w:val="0"/>
        <w:spacing w:val="0"/>
        <w:w w:val="100"/>
        <w:sz w:val="24"/>
        <w:szCs w:val="24"/>
        <w:lang w:val="en-US" w:eastAsia="en-US" w:bidi="ar-SA"/>
      </w:rPr>
    </w:lvl>
    <w:lvl w:ilvl="2" w:tplc="FFFFFFFF">
      <w:numFmt w:val="bullet"/>
      <w:lvlText w:val="•"/>
      <w:lvlJc w:val="left"/>
      <w:pPr>
        <w:ind w:left="1748" w:hanging="425"/>
      </w:pPr>
      <w:rPr>
        <w:lang w:val="en-US" w:eastAsia="en-US" w:bidi="ar-SA"/>
      </w:rPr>
    </w:lvl>
    <w:lvl w:ilvl="3" w:tplc="FFFFFFFF">
      <w:numFmt w:val="bullet"/>
      <w:lvlText w:val="•"/>
      <w:lvlJc w:val="left"/>
      <w:pPr>
        <w:ind w:left="2784" w:hanging="425"/>
      </w:pPr>
      <w:rPr>
        <w:lang w:val="en-US" w:eastAsia="en-US" w:bidi="ar-SA"/>
      </w:rPr>
    </w:lvl>
    <w:lvl w:ilvl="4" w:tplc="FFFFFFFF">
      <w:numFmt w:val="bullet"/>
      <w:lvlText w:val="•"/>
      <w:lvlJc w:val="left"/>
      <w:pPr>
        <w:ind w:left="3820" w:hanging="425"/>
      </w:pPr>
      <w:rPr>
        <w:lang w:val="en-US" w:eastAsia="en-US" w:bidi="ar-SA"/>
      </w:rPr>
    </w:lvl>
    <w:lvl w:ilvl="5" w:tplc="FFFFFFFF">
      <w:numFmt w:val="bullet"/>
      <w:lvlText w:val="•"/>
      <w:lvlJc w:val="left"/>
      <w:pPr>
        <w:ind w:left="4857" w:hanging="425"/>
      </w:pPr>
      <w:rPr>
        <w:lang w:val="en-US" w:eastAsia="en-US" w:bidi="ar-SA"/>
      </w:rPr>
    </w:lvl>
    <w:lvl w:ilvl="6" w:tplc="FFFFFFFF">
      <w:numFmt w:val="bullet"/>
      <w:lvlText w:val="•"/>
      <w:lvlJc w:val="left"/>
      <w:pPr>
        <w:ind w:left="5893" w:hanging="425"/>
      </w:pPr>
      <w:rPr>
        <w:lang w:val="en-US" w:eastAsia="en-US" w:bidi="ar-SA"/>
      </w:rPr>
    </w:lvl>
    <w:lvl w:ilvl="7" w:tplc="FFFFFFFF">
      <w:numFmt w:val="bullet"/>
      <w:lvlText w:val="•"/>
      <w:lvlJc w:val="left"/>
      <w:pPr>
        <w:ind w:left="6929" w:hanging="425"/>
      </w:pPr>
      <w:rPr>
        <w:lang w:val="en-US" w:eastAsia="en-US" w:bidi="ar-SA"/>
      </w:rPr>
    </w:lvl>
    <w:lvl w:ilvl="8" w:tplc="FFFFFFFF">
      <w:numFmt w:val="bullet"/>
      <w:lvlText w:val="•"/>
      <w:lvlJc w:val="left"/>
      <w:pPr>
        <w:ind w:left="7965" w:hanging="425"/>
      </w:pPr>
      <w:rPr>
        <w:lang w:val="en-US" w:eastAsia="en-US" w:bidi="ar-SA"/>
      </w:rPr>
    </w:lvl>
  </w:abstractNum>
  <w:abstractNum w:abstractNumId="39" w15:restartNumberingAfterBreak="0">
    <w:nsid w:val="6C97345F"/>
    <w:multiLevelType w:val="multilevel"/>
    <w:tmpl w:val="36E0B608"/>
    <w:lvl w:ilvl="0">
      <w:start w:val="1"/>
      <w:numFmt w:val="decimal"/>
      <w:lvlText w:val="%1."/>
      <w:lvlJc w:val="left"/>
      <w:pPr>
        <w:ind w:left="720" w:hanging="360"/>
      </w:pPr>
      <w:rPr>
        <w:rFonts w:hint="default"/>
      </w:rPr>
    </w:lvl>
    <w:lvl w:ilvl="1">
      <w:start w:val="1"/>
      <w:numFmt w:val="decimal"/>
      <w:isLgl/>
      <w:lvlText w:val="%1.%2."/>
      <w:lvlJc w:val="left"/>
      <w:pPr>
        <w:ind w:left="842"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446"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50" w:hanging="1080"/>
      </w:pPr>
      <w:rPr>
        <w:rFonts w:hint="default"/>
      </w:rPr>
    </w:lvl>
    <w:lvl w:ilvl="6">
      <w:start w:val="1"/>
      <w:numFmt w:val="decimal"/>
      <w:isLgl/>
      <w:lvlText w:val="%1.%2.%3.%4.%5.%6.%7."/>
      <w:lvlJc w:val="left"/>
      <w:pPr>
        <w:ind w:left="2532" w:hanging="1440"/>
      </w:pPr>
      <w:rPr>
        <w:rFonts w:hint="default"/>
      </w:rPr>
    </w:lvl>
    <w:lvl w:ilvl="7">
      <w:start w:val="1"/>
      <w:numFmt w:val="decimal"/>
      <w:isLgl/>
      <w:lvlText w:val="%1.%2.%3.%4.%5.%6.%7.%8."/>
      <w:lvlJc w:val="left"/>
      <w:pPr>
        <w:ind w:left="2654" w:hanging="1440"/>
      </w:pPr>
      <w:rPr>
        <w:rFonts w:hint="default"/>
      </w:rPr>
    </w:lvl>
    <w:lvl w:ilvl="8">
      <w:start w:val="1"/>
      <w:numFmt w:val="decimal"/>
      <w:isLgl/>
      <w:lvlText w:val="%1.%2.%3.%4.%5.%6.%7.%8.%9."/>
      <w:lvlJc w:val="left"/>
      <w:pPr>
        <w:ind w:left="3136" w:hanging="1800"/>
      </w:pPr>
      <w:rPr>
        <w:rFonts w:hint="default"/>
      </w:rPr>
    </w:lvl>
  </w:abstractNum>
  <w:abstractNum w:abstractNumId="40" w15:restartNumberingAfterBreak="0">
    <w:nsid w:val="70FB0D8E"/>
    <w:multiLevelType w:val="hybridMultilevel"/>
    <w:tmpl w:val="4E824EC4"/>
    <w:lvl w:ilvl="0" w:tplc="09AA1F56">
      <w:numFmt w:val="bullet"/>
      <w:lvlText w:val="-"/>
      <w:lvlJc w:val="left"/>
      <w:pPr>
        <w:ind w:left="3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13C3254">
      <w:numFmt w:val="bullet"/>
      <w:lvlText w:val="•"/>
      <w:lvlJc w:val="left"/>
      <w:pPr>
        <w:ind w:left="1275" w:hanging="360"/>
      </w:pPr>
      <w:rPr>
        <w:rFonts w:hint="default"/>
        <w:lang w:val="en-US" w:eastAsia="en-US" w:bidi="ar-SA"/>
      </w:rPr>
    </w:lvl>
    <w:lvl w:ilvl="2" w:tplc="336E7804">
      <w:numFmt w:val="bullet"/>
      <w:lvlText w:val="•"/>
      <w:lvlJc w:val="left"/>
      <w:pPr>
        <w:ind w:left="2200" w:hanging="360"/>
      </w:pPr>
      <w:rPr>
        <w:rFonts w:hint="default"/>
        <w:lang w:val="en-US" w:eastAsia="en-US" w:bidi="ar-SA"/>
      </w:rPr>
    </w:lvl>
    <w:lvl w:ilvl="3" w:tplc="A4DAEB54">
      <w:numFmt w:val="bullet"/>
      <w:lvlText w:val="•"/>
      <w:lvlJc w:val="left"/>
      <w:pPr>
        <w:ind w:left="3124" w:hanging="360"/>
      </w:pPr>
      <w:rPr>
        <w:rFonts w:hint="default"/>
        <w:lang w:val="en-US" w:eastAsia="en-US" w:bidi="ar-SA"/>
      </w:rPr>
    </w:lvl>
    <w:lvl w:ilvl="4" w:tplc="8F38E66E">
      <w:numFmt w:val="bullet"/>
      <w:lvlText w:val="•"/>
      <w:lvlJc w:val="left"/>
      <w:pPr>
        <w:ind w:left="4049" w:hanging="360"/>
      </w:pPr>
      <w:rPr>
        <w:rFonts w:hint="default"/>
        <w:lang w:val="en-US" w:eastAsia="en-US" w:bidi="ar-SA"/>
      </w:rPr>
    </w:lvl>
    <w:lvl w:ilvl="5" w:tplc="980EEAA8">
      <w:numFmt w:val="bullet"/>
      <w:lvlText w:val="•"/>
      <w:lvlJc w:val="left"/>
      <w:pPr>
        <w:ind w:left="4974" w:hanging="360"/>
      </w:pPr>
      <w:rPr>
        <w:rFonts w:hint="default"/>
        <w:lang w:val="en-US" w:eastAsia="en-US" w:bidi="ar-SA"/>
      </w:rPr>
    </w:lvl>
    <w:lvl w:ilvl="6" w:tplc="F432CD08">
      <w:numFmt w:val="bullet"/>
      <w:lvlText w:val="•"/>
      <w:lvlJc w:val="left"/>
      <w:pPr>
        <w:ind w:left="5898" w:hanging="360"/>
      </w:pPr>
      <w:rPr>
        <w:rFonts w:hint="default"/>
        <w:lang w:val="en-US" w:eastAsia="en-US" w:bidi="ar-SA"/>
      </w:rPr>
    </w:lvl>
    <w:lvl w:ilvl="7" w:tplc="634E2882">
      <w:numFmt w:val="bullet"/>
      <w:lvlText w:val="•"/>
      <w:lvlJc w:val="left"/>
      <w:pPr>
        <w:ind w:left="6823" w:hanging="360"/>
      </w:pPr>
      <w:rPr>
        <w:rFonts w:hint="default"/>
        <w:lang w:val="en-US" w:eastAsia="en-US" w:bidi="ar-SA"/>
      </w:rPr>
    </w:lvl>
    <w:lvl w:ilvl="8" w:tplc="48CC074A">
      <w:numFmt w:val="bullet"/>
      <w:lvlText w:val="•"/>
      <w:lvlJc w:val="left"/>
      <w:pPr>
        <w:ind w:left="7748" w:hanging="360"/>
      </w:pPr>
      <w:rPr>
        <w:rFonts w:hint="default"/>
        <w:lang w:val="en-US" w:eastAsia="en-US" w:bidi="ar-SA"/>
      </w:rPr>
    </w:lvl>
  </w:abstractNum>
  <w:abstractNum w:abstractNumId="41" w15:restartNumberingAfterBreak="0">
    <w:nsid w:val="74A351C2"/>
    <w:multiLevelType w:val="hybridMultilevel"/>
    <w:tmpl w:val="7B5A9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CE41D5"/>
    <w:multiLevelType w:val="multilevel"/>
    <w:tmpl w:val="795E67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75F927CE"/>
    <w:multiLevelType w:val="hybridMultilevel"/>
    <w:tmpl w:val="69EE716E"/>
    <w:lvl w:ilvl="0" w:tplc="0AFA859A">
      <w:numFmt w:val="bullet"/>
      <w:lvlText w:val="-"/>
      <w:lvlJc w:val="left"/>
      <w:pPr>
        <w:ind w:left="61" w:hanging="164"/>
      </w:pPr>
      <w:rPr>
        <w:rFonts w:ascii="Times New Roman" w:eastAsia="Times New Roman" w:hAnsi="Times New Roman" w:cs="Times New Roman" w:hint="default"/>
        <w:b w:val="0"/>
        <w:bCs w:val="0"/>
        <w:i w:val="0"/>
        <w:iCs w:val="0"/>
        <w:spacing w:val="0"/>
        <w:w w:val="100"/>
        <w:sz w:val="22"/>
        <w:szCs w:val="22"/>
        <w:lang w:val="en-US" w:eastAsia="en-US" w:bidi="ar-SA"/>
      </w:rPr>
    </w:lvl>
    <w:lvl w:ilvl="1" w:tplc="CBDA1EC6">
      <w:numFmt w:val="bullet"/>
      <w:lvlText w:val="•"/>
      <w:lvlJc w:val="left"/>
      <w:pPr>
        <w:ind w:left="628" w:hanging="164"/>
      </w:pPr>
      <w:rPr>
        <w:rFonts w:hint="default"/>
        <w:lang w:val="en-US" w:eastAsia="en-US" w:bidi="ar-SA"/>
      </w:rPr>
    </w:lvl>
    <w:lvl w:ilvl="2" w:tplc="12D27EC0">
      <w:numFmt w:val="bullet"/>
      <w:lvlText w:val="•"/>
      <w:lvlJc w:val="left"/>
      <w:pPr>
        <w:ind w:left="1196" w:hanging="164"/>
      </w:pPr>
      <w:rPr>
        <w:rFonts w:hint="default"/>
        <w:lang w:val="en-US" w:eastAsia="en-US" w:bidi="ar-SA"/>
      </w:rPr>
    </w:lvl>
    <w:lvl w:ilvl="3" w:tplc="27A43882">
      <w:numFmt w:val="bullet"/>
      <w:lvlText w:val="•"/>
      <w:lvlJc w:val="left"/>
      <w:pPr>
        <w:ind w:left="1764" w:hanging="164"/>
      </w:pPr>
      <w:rPr>
        <w:rFonts w:hint="default"/>
        <w:lang w:val="en-US" w:eastAsia="en-US" w:bidi="ar-SA"/>
      </w:rPr>
    </w:lvl>
    <w:lvl w:ilvl="4" w:tplc="5D40F6E6">
      <w:numFmt w:val="bullet"/>
      <w:lvlText w:val="•"/>
      <w:lvlJc w:val="left"/>
      <w:pPr>
        <w:ind w:left="2332" w:hanging="164"/>
      </w:pPr>
      <w:rPr>
        <w:rFonts w:hint="default"/>
        <w:lang w:val="en-US" w:eastAsia="en-US" w:bidi="ar-SA"/>
      </w:rPr>
    </w:lvl>
    <w:lvl w:ilvl="5" w:tplc="82800EEE">
      <w:numFmt w:val="bullet"/>
      <w:lvlText w:val="•"/>
      <w:lvlJc w:val="left"/>
      <w:pPr>
        <w:ind w:left="2900" w:hanging="164"/>
      </w:pPr>
      <w:rPr>
        <w:rFonts w:hint="default"/>
        <w:lang w:val="en-US" w:eastAsia="en-US" w:bidi="ar-SA"/>
      </w:rPr>
    </w:lvl>
    <w:lvl w:ilvl="6" w:tplc="2FC058EE">
      <w:numFmt w:val="bullet"/>
      <w:lvlText w:val="•"/>
      <w:lvlJc w:val="left"/>
      <w:pPr>
        <w:ind w:left="3468" w:hanging="164"/>
      </w:pPr>
      <w:rPr>
        <w:rFonts w:hint="default"/>
        <w:lang w:val="en-US" w:eastAsia="en-US" w:bidi="ar-SA"/>
      </w:rPr>
    </w:lvl>
    <w:lvl w:ilvl="7" w:tplc="3B3236F0">
      <w:numFmt w:val="bullet"/>
      <w:lvlText w:val="•"/>
      <w:lvlJc w:val="left"/>
      <w:pPr>
        <w:ind w:left="4036" w:hanging="164"/>
      </w:pPr>
      <w:rPr>
        <w:rFonts w:hint="default"/>
        <w:lang w:val="en-US" w:eastAsia="en-US" w:bidi="ar-SA"/>
      </w:rPr>
    </w:lvl>
    <w:lvl w:ilvl="8" w:tplc="0CD6D07E">
      <w:numFmt w:val="bullet"/>
      <w:lvlText w:val="•"/>
      <w:lvlJc w:val="left"/>
      <w:pPr>
        <w:ind w:left="4604" w:hanging="164"/>
      </w:pPr>
      <w:rPr>
        <w:rFonts w:hint="default"/>
        <w:lang w:val="en-US" w:eastAsia="en-US" w:bidi="ar-SA"/>
      </w:rPr>
    </w:lvl>
  </w:abstractNum>
  <w:num w:numId="1">
    <w:abstractNumId w:val="40"/>
  </w:num>
  <w:num w:numId="2">
    <w:abstractNumId w:val="33"/>
  </w:num>
  <w:num w:numId="3">
    <w:abstractNumId w:val="5"/>
  </w:num>
  <w:num w:numId="4">
    <w:abstractNumId w:val="24"/>
  </w:num>
  <w:num w:numId="5">
    <w:abstractNumId w:val="43"/>
  </w:num>
  <w:num w:numId="6">
    <w:abstractNumId w:val="15"/>
  </w:num>
  <w:num w:numId="7">
    <w:abstractNumId w:val="0"/>
  </w:num>
  <w:num w:numId="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34"/>
  </w:num>
  <w:num w:numId="11">
    <w:abstractNumId w:val="39"/>
  </w:num>
  <w:num w:numId="12">
    <w:abstractNumId w:val="1"/>
  </w:num>
  <w:num w:numId="13">
    <w:abstractNumId w:val="10"/>
  </w:num>
  <w:num w:numId="14">
    <w:abstractNumId w:val="16"/>
  </w:num>
  <w:num w:numId="15">
    <w:abstractNumId w:val="2"/>
  </w:num>
  <w:num w:numId="16">
    <w:abstractNumId w:val="31"/>
  </w:num>
  <w:num w:numId="17">
    <w:abstractNumId w:val="43"/>
  </w:num>
  <w:num w:numId="18">
    <w:abstractNumId w:val="17"/>
  </w:num>
  <w:num w:numId="19">
    <w:abstractNumId w:val="32"/>
  </w:num>
  <w:num w:numId="20">
    <w:abstractNumId w:val="14"/>
  </w:num>
  <w:num w:numId="21">
    <w:abstractNumId w:val="4"/>
  </w:num>
  <w:num w:numId="22">
    <w:abstractNumId w:val="37"/>
  </w:num>
  <w:num w:numId="23">
    <w:abstractNumId w:val="9"/>
  </w:num>
  <w:num w:numId="24">
    <w:abstractNumId w:val="29"/>
  </w:num>
  <w:num w:numId="25">
    <w:abstractNumId w:val="26"/>
  </w:num>
  <w:num w:numId="26">
    <w:abstractNumId w:val="36"/>
  </w:num>
  <w:num w:numId="27">
    <w:abstractNumId w:val="35"/>
  </w:num>
  <w:num w:numId="28">
    <w:abstractNumId w:val="7"/>
  </w:num>
  <w:num w:numId="29">
    <w:abstractNumId w:val="22"/>
  </w:num>
  <w:num w:numId="30">
    <w:abstractNumId w:val="28"/>
  </w:num>
  <w:num w:numId="31">
    <w:abstractNumId w:val="13"/>
  </w:num>
  <w:num w:numId="32">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6"/>
  </w:num>
  <w:num w:numId="35">
    <w:abstractNumId w:val="25"/>
  </w:num>
  <w:num w:numId="36">
    <w:abstractNumId w:val="20"/>
  </w:num>
  <w:num w:numId="37">
    <w:abstractNumId w:val="3"/>
  </w:num>
  <w:num w:numId="38">
    <w:abstractNumId w:val="23"/>
  </w:num>
  <w:num w:numId="39">
    <w:abstractNumId w:val="21"/>
  </w:num>
  <w:num w:numId="40">
    <w:abstractNumId w:val="41"/>
  </w:num>
  <w:num w:numId="41">
    <w:abstractNumId w:val="11"/>
  </w:num>
  <w:num w:numId="42">
    <w:abstractNumId w:val="27"/>
  </w:num>
  <w:num w:numId="43">
    <w:abstractNumId w:val="38"/>
  </w:num>
  <w:num w:numId="44">
    <w:abstractNumId w:val="19"/>
  </w:num>
  <w:num w:numId="45">
    <w:abstractNumId w:val="1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drawingGridHorizontalSpacing w:val="110"/>
  <w:displayHorizontalDrawingGridEvery w:val="2"/>
  <w:characterSpacingControl w:val="doNotCompress"/>
  <w:hdrShapeDefaults>
    <o:shapedefaults v:ext="edit" spidmax="2051"/>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s"/>
    <w:docVar w:name="LW_CORRIGENDUM" w:val="&lt;UNUSED&gt;"/>
    <w:docVar w:name="LW_COVERPAGE_EXISTS" w:val="True"/>
    <w:docVar w:name="LW_COVERPAGE_GUID" w:val="CCFA41A0-6D23-464A-B5EC-83EF296A428B"/>
    <w:docVar w:name="LW_COVERPAGE_TYPE" w:val="1"/>
    <w:docVar w:name="LW_CROSSREFERENCE" w:val="{COM(2026) 231 final} - {COM(2026) 232 final} - {SEC(2026) 300 final} - {SWD(2026) 301 final}"/>
    <w:docVar w:name="LW_DocType" w:val="NORMAL"/>
    <w:docVar w:name="LW_EMISSION" w:val="13.5.2026"/>
    <w:docVar w:name="LW_EMISSION_ISODATE" w:val="2026-05-13"/>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Proposal for a_x000d__x000d__x000d__x000b_&lt;FMT:Bold&gt;REGULATION OF THE EUROPEAN PARLIAMENT AND OF THE COUNCIL&lt;/FMT&gt;_x000d__x000d__x000d__x000b_&lt;FMT:Bold&gt;on rail ticketing&lt;/FMT&gt;_x000d__x000d__x000d__x000b_"/>
    <w:docVar w:name="LW_PART_NBR" w:val="1"/>
    <w:docVar w:name="LW_PART_NBR_TOTAL" w:val="1"/>
    <w:docVar w:name="LW_REF.INST.NEW" w:val="SWD"/>
    <w:docVar w:name="LW_REF.INST.NEW_ADOPTED" w:val="final"/>
    <w:docVar w:name="LW_REF.INST.NEW_TEXT" w:val="(2026) 30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IMPACT ASSESSMENT REPORT_x000b_"/>
    <w:docVar w:name="LW_TYPEACTEPRINCIPAL.CP" w:val="Proposal for a_x000b_REGULATION OF THE EUROPEAN PARLIAMENT AND OF THE COUNCIL_x000b_on multimodal booking and repealing Regulation (EC) No 80/2009_x000b__x000b_"/>
    <w:docVar w:name="LwApiVersions" w:val="LW4CoDe 1.24.5.0; LW 9.2, Build 20251112"/>
  </w:docVars>
  <w:rsids>
    <w:rsidRoot w:val="00712390"/>
    <w:rsid w:val="00000079"/>
    <w:rsid w:val="0000008C"/>
    <w:rsid w:val="00000125"/>
    <w:rsid w:val="00000129"/>
    <w:rsid w:val="000001A2"/>
    <w:rsid w:val="000001A7"/>
    <w:rsid w:val="000001B9"/>
    <w:rsid w:val="000001E0"/>
    <w:rsid w:val="00000251"/>
    <w:rsid w:val="00000302"/>
    <w:rsid w:val="0000031B"/>
    <w:rsid w:val="000003B0"/>
    <w:rsid w:val="000003CF"/>
    <w:rsid w:val="000003F4"/>
    <w:rsid w:val="00000414"/>
    <w:rsid w:val="00000475"/>
    <w:rsid w:val="00000478"/>
    <w:rsid w:val="000004A9"/>
    <w:rsid w:val="000004C9"/>
    <w:rsid w:val="000004FA"/>
    <w:rsid w:val="00000515"/>
    <w:rsid w:val="0000056A"/>
    <w:rsid w:val="00000630"/>
    <w:rsid w:val="00000632"/>
    <w:rsid w:val="00000640"/>
    <w:rsid w:val="00000709"/>
    <w:rsid w:val="0000071C"/>
    <w:rsid w:val="0000074A"/>
    <w:rsid w:val="000007A7"/>
    <w:rsid w:val="000007D2"/>
    <w:rsid w:val="0000082A"/>
    <w:rsid w:val="00000894"/>
    <w:rsid w:val="000008CD"/>
    <w:rsid w:val="000008E9"/>
    <w:rsid w:val="0000090A"/>
    <w:rsid w:val="00000912"/>
    <w:rsid w:val="00000958"/>
    <w:rsid w:val="00000959"/>
    <w:rsid w:val="000009E2"/>
    <w:rsid w:val="00000A1A"/>
    <w:rsid w:val="00000A36"/>
    <w:rsid w:val="00000A66"/>
    <w:rsid w:val="00000A68"/>
    <w:rsid w:val="00000A6A"/>
    <w:rsid w:val="00000A6C"/>
    <w:rsid w:val="00000A76"/>
    <w:rsid w:val="00000A77"/>
    <w:rsid w:val="00000AD8"/>
    <w:rsid w:val="00000AF3"/>
    <w:rsid w:val="00000B13"/>
    <w:rsid w:val="00000B48"/>
    <w:rsid w:val="00000B5D"/>
    <w:rsid w:val="00000BA6"/>
    <w:rsid w:val="00000BB2"/>
    <w:rsid w:val="00000BD5"/>
    <w:rsid w:val="00000C4A"/>
    <w:rsid w:val="00000CF9"/>
    <w:rsid w:val="00000D00"/>
    <w:rsid w:val="00000D17"/>
    <w:rsid w:val="00000D4C"/>
    <w:rsid w:val="00000DF3"/>
    <w:rsid w:val="00000E6F"/>
    <w:rsid w:val="00000EB7"/>
    <w:rsid w:val="00000EF1"/>
    <w:rsid w:val="00000F01"/>
    <w:rsid w:val="00000F2B"/>
    <w:rsid w:val="00000F63"/>
    <w:rsid w:val="00000FA3"/>
    <w:rsid w:val="00000FF7"/>
    <w:rsid w:val="00001038"/>
    <w:rsid w:val="0000105C"/>
    <w:rsid w:val="000010AE"/>
    <w:rsid w:val="000010D3"/>
    <w:rsid w:val="000010FF"/>
    <w:rsid w:val="0000112F"/>
    <w:rsid w:val="00001187"/>
    <w:rsid w:val="0000119A"/>
    <w:rsid w:val="000011DB"/>
    <w:rsid w:val="0000126A"/>
    <w:rsid w:val="00001272"/>
    <w:rsid w:val="00001274"/>
    <w:rsid w:val="000012C8"/>
    <w:rsid w:val="000012CE"/>
    <w:rsid w:val="00001341"/>
    <w:rsid w:val="000014FC"/>
    <w:rsid w:val="00001519"/>
    <w:rsid w:val="00001557"/>
    <w:rsid w:val="00001563"/>
    <w:rsid w:val="000015A8"/>
    <w:rsid w:val="000015B1"/>
    <w:rsid w:val="000015B7"/>
    <w:rsid w:val="000015CC"/>
    <w:rsid w:val="00001605"/>
    <w:rsid w:val="0000167A"/>
    <w:rsid w:val="0000171C"/>
    <w:rsid w:val="000017CE"/>
    <w:rsid w:val="00001824"/>
    <w:rsid w:val="00001841"/>
    <w:rsid w:val="00001852"/>
    <w:rsid w:val="0000188D"/>
    <w:rsid w:val="000018C0"/>
    <w:rsid w:val="000018D4"/>
    <w:rsid w:val="0000192E"/>
    <w:rsid w:val="00001935"/>
    <w:rsid w:val="000019E9"/>
    <w:rsid w:val="000019EA"/>
    <w:rsid w:val="000019FB"/>
    <w:rsid w:val="00001A00"/>
    <w:rsid w:val="00001AB5"/>
    <w:rsid w:val="00001AE0"/>
    <w:rsid w:val="00001B60"/>
    <w:rsid w:val="00001B7D"/>
    <w:rsid w:val="00001BD2"/>
    <w:rsid w:val="00001C6A"/>
    <w:rsid w:val="00001C90"/>
    <w:rsid w:val="00001D14"/>
    <w:rsid w:val="00001D1C"/>
    <w:rsid w:val="00001D63"/>
    <w:rsid w:val="00001D92"/>
    <w:rsid w:val="00001DEA"/>
    <w:rsid w:val="00001DF4"/>
    <w:rsid w:val="00001E0B"/>
    <w:rsid w:val="00001E52"/>
    <w:rsid w:val="00001E9E"/>
    <w:rsid w:val="00001F6F"/>
    <w:rsid w:val="00001F85"/>
    <w:rsid w:val="0000203D"/>
    <w:rsid w:val="0000210A"/>
    <w:rsid w:val="0000212B"/>
    <w:rsid w:val="00002193"/>
    <w:rsid w:val="000021DA"/>
    <w:rsid w:val="000021FA"/>
    <w:rsid w:val="00002255"/>
    <w:rsid w:val="000022DC"/>
    <w:rsid w:val="000022EA"/>
    <w:rsid w:val="00002341"/>
    <w:rsid w:val="00002370"/>
    <w:rsid w:val="00002398"/>
    <w:rsid w:val="000023BB"/>
    <w:rsid w:val="0000247C"/>
    <w:rsid w:val="00002594"/>
    <w:rsid w:val="00002599"/>
    <w:rsid w:val="000025D6"/>
    <w:rsid w:val="000025DE"/>
    <w:rsid w:val="000025E1"/>
    <w:rsid w:val="00002602"/>
    <w:rsid w:val="00002617"/>
    <w:rsid w:val="00002664"/>
    <w:rsid w:val="000026D5"/>
    <w:rsid w:val="000026EE"/>
    <w:rsid w:val="0000270D"/>
    <w:rsid w:val="0000271F"/>
    <w:rsid w:val="00002728"/>
    <w:rsid w:val="0000274A"/>
    <w:rsid w:val="00002761"/>
    <w:rsid w:val="0000277B"/>
    <w:rsid w:val="00002794"/>
    <w:rsid w:val="000027AF"/>
    <w:rsid w:val="000027C2"/>
    <w:rsid w:val="000027FE"/>
    <w:rsid w:val="00002801"/>
    <w:rsid w:val="000028D8"/>
    <w:rsid w:val="000028EC"/>
    <w:rsid w:val="00002913"/>
    <w:rsid w:val="0000291C"/>
    <w:rsid w:val="0000297E"/>
    <w:rsid w:val="000029B2"/>
    <w:rsid w:val="000029EA"/>
    <w:rsid w:val="000029EF"/>
    <w:rsid w:val="00002A02"/>
    <w:rsid w:val="00002A15"/>
    <w:rsid w:val="00002AEA"/>
    <w:rsid w:val="00002B1E"/>
    <w:rsid w:val="00002B5E"/>
    <w:rsid w:val="00002BBF"/>
    <w:rsid w:val="00002BC7"/>
    <w:rsid w:val="00002C94"/>
    <w:rsid w:val="00002CA4"/>
    <w:rsid w:val="00002CB9"/>
    <w:rsid w:val="00002CC6"/>
    <w:rsid w:val="00002CC8"/>
    <w:rsid w:val="00002CE1"/>
    <w:rsid w:val="00002CE3"/>
    <w:rsid w:val="00002CEF"/>
    <w:rsid w:val="00002D1E"/>
    <w:rsid w:val="00002D8C"/>
    <w:rsid w:val="00002DB6"/>
    <w:rsid w:val="00002E71"/>
    <w:rsid w:val="00002E8E"/>
    <w:rsid w:val="00002EBB"/>
    <w:rsid w:val="00002F37"/>
    <w:rsid w:val="0000305B"/>
    <w:rsid w:val="00003122"/>
    <w:rsid w:val="00003157"/>
    <w:rsid w:val="0000319A"/>
    <w:rsid w:val="000031DC"/>
    <w:rsid w:val="000031F7"/>
    <w:rsid w:val="00003201"/>
    <w:rsid w:val="00003256"/>
    <w:rsid w:val="0000329E"/>
    <w:rsid w:val="0000329F"/>
    <w:rsid w:val="000032D7"/>
    <w:rsid w:val="00003319"/>
    <w:rsid w:val="000033D8"/>
    <w:rsid w:val="000033D9"/>
    <w:rsid w:val="000033DD"/>
    <w:rsid w:val="00003418"/>
    <w:rsid w:val="0000344D"/>
    <w:rsid w:val="0000348A"/>
    <w:rsid w:val="000034AD"/>
    <w:rsid w:val="000034CF"/>
    <w:rsid w:val="000034DC"/>
    <w:rsid w:val="000034DF"/>
    <w:rsid w:val="0000354E"/>
    <w:rsid w:val="0000355F"/>
    <w:rsid w:val="00003564"/>
    <w:rsid w:val="00003601"/>
    <w:rsid w:val="00003627"/>
    <w:rsid w:val="0000365C"/>
    <w:rsid w:val="0000366C"/>
    <w:rsid w:val="00003680"/>
    <w:rsid w:val="000036C8"/>
    <w:rsid w:val="0000373E"/>
    <w:rsid w:val="0000376B"/>
    <w:rsid w:val="0000377C"/>
    <w:rsid w:val="000037AD"/>
    <w:rsid w:val="000037FC"/>
    <w:rsid w:val="00003858"/>
    <w:rsid w:val="0000395F"/>
    <w:rsid w:val="00003A60"/>
    <w:rsid w:val="00003A85"/>
    <w:rsid w:val="00003ACF"/>
    <w:rsid w:val="00003ADB"/>
    <w:rsid w:val="00003ADC"/>
    <w:rsid w:val="00003BC2"/>
    <w:rsid w:val="00003BDF"/>
    <w:rsid w:val="00003BF5"/>
    <w:rsid w:val="00003C97"/>
    <w:rsid w:val="00003CEB"/>
    <w:rsid w:val="00003D29"/>
    <w:rsid w:val="00003D93"/>
    <w:rsid w:val="00003DB0"/>
    <w:rsid w:val="00003E2A"/>
    <w:rsid w:val="00003E46"/>
    <w:rsid w:val="00003E76"/>
    <w:rsid w:val="00003ED9"/>
    <w:rsid w:val="00003EFA"/>
    <w:rsid w:val="00003F27"/>
    <w:rsid w:val="00003F30"/>
    <w:rsid w:val="00003F3B"/>
    <w:rsid w:val="00003FA2"/>
    <w:rsid w:val="00003FF4"/>
    <w:rsid w:val="00004005"/>
    <w:rsid w:val="000040A0"/>
    <w:rsid w:val="000040A5"/>
    <w:rsid w:val="000040EE"/>
    <w:rsid w:val="000040F3"/>
    <w:rsid w:val="00004158"/>
    <w:rsid w:val="00004166"/>
    <w:rsid w:val="000041BC"/>
    <w:rsid w:val="000041F0"/>
    <w:rsid w:val="000041F7"/>
    <w:rsid w:val="000042D9"/>
    <w:rsid w:val="0000434B"/>
    <w:rsid w:val="00004374"/>
    <w:rsid w:val="000043AF"/>
    <w:rsid w:val="000043F1"/>
    <w:rsid w:val="00004401"/>
    <w:rsid w:val="00004408"/>
    <w:rsid w:val="0000441A"/>
    <w:rsid w:val="0000441F"/>
    <w:rsid w:val="000044A0"/>
    <w:rsid w:val="000044DC"/>
    <w:rsid w:val="0000450D"/>
    <w:rsid w:val="00004540"/>
    <w:rsid w:val="000046DA"/>
    <w:rsid w:val="00004722"/>
    <w:rsid w:val="00004737"/>
    <w:rsid w:val="0000477C"/>
    <w:rsid w:val="000047D2"/>
    <w:rsid w:val="00004821"/>
    <w:rsid w:val="0000482A"/>
    <w:rsid w:val="00004899"/>
    <w:rsid w:val="000048C7"/>
    <w:rsid w:val="0000490C"/>
    <w:rsid w:val="00004945"/>
    <w:rsid w:val="0000497C"/>
    <w:rsid w:val="000049A8"/>
    <w:rsid w:val="00004A33"/>
    <w:rsid w:val="00004A53"/>
    <w:rsid w:val="00004A86"/>
    <w:rsid w:val="00004A99"/>
    <w:rsid w:val="00004AA4"/>
    <w:rsid w:val="00004AF8"/>
    <w:rsid w:val="00004B2B"/>
    <w:rsid w:val="00004B64"/>
    <w:rsid w:val="00004C13"/>
    <w:rsid w:val="00004C50"/>
    <w:rsid w:val="00004C70"/>
    <w:rsid w:val="00004C7C"/>
    <w:rsid w:val="00004CA5"/>
    <w:rsid w:val="00004CBF"/>
    <w:rsid w:val="00004D5C"/>
    <w:rsid w:val="00004D7E"/>
    <w:rsid w:val="00004DD9"/>
    <w:rsid w:val="00004DDD"/>
    <w:rsid w:val="00004DE8"/>
    <w:rsid w:val="00004E76"/>
    <w:rsid w:val="00004E8C"/>
    <w:rsid w:val="00004F00"/>
    <w:rsid w:val="00004F06"/>
    <w:rsid w:val="00004F1A"/>
    <w:rsid w:val="00004F1E"/>
    <w:rsid w:val="00004F32"/>
    <w:rsid w:val="00004F4D"/>
    <w:rsid w:val="00004F6A"/>
    <w:rsid w:val="00004FAB"/>
    <w:rsid w:val="00004FBE"/>
    <w:rsid w:val="00004FEB"/>
    <w:rsid w:val="00004FF5"/>
    <w:rsid w:val="00005057"/>
    <w:rsid w:val="00005069"/>
    <w:rsid w:val="00005074"/>
    <w:rsid w:val="000050AB"/>
    <w:rsid w:val="0000517D"/>
    <w:rsid w:val="000051FD"/>
    <w:rsid w:val="00005229"/>
    <w:rsid w:val="00005250"/>
    <w:rsid w:val="00005263"/>
    <w:rsid w:val="0000529A"/>
    <w:rsid w:val="000052EE"/>
    <w:rsid w:val="0000534C"/>
    <w:rsid w:val="000053A4"/>
    <w:rsid w:val="00005417"/>
    <w:rsid w:val="00005433"/>
    <w:rsid w:val="00005452"/>
    <w:rsid w:val="0000550A"/>
    <w:rsid w:val="0000550E"/>
    <w:rsid w:val="00005534"/>
    <w:rsid w:val="0000557F"/>
    <w:rsid w:val="00005599"/>
    <w:rsid w:val="000055BB"/>
    <w:rsid w:val="00005602"/>
    <w:rsid w:val="000056D4"/>
    <w:rsid w:val="0000570A"/>
    <w:rsid w:val="0000572D"/>
    <w:rsid w:val="00005769"/>
    <w:rsid w:val="0000576B"/>
    <w:rsid w:val="000057CA"/>
    <w:rsid w:val="000057D3"/>
    <w:rsid w:val="000057FC"/>
    <w:rsid w:val="00005807"/>
    <w:rsid w:val="0000585C"/>
    <w:rsid w:val="00005878"/>
    <w:rsid w:val="00005882"/>
    <w:rsid w:val="000058F4"/>
    <w:rsid w:val="0000594B"/>
    <w:rsid w:val="0000598C"/>
    <w:rsid w:val="0000598E"/>
    <w:rsid w:val="000059A6"/>
    <w:rsid w:val="000059C2"/>
    <w:rsid w:val="00005A3E"/>
    <w:rsid w:val="00005A80"/>
    <w:rsid w:val="00005AA7"/>
    <w:rsid w:val="00005AD0"/>
    <w:rsid w:val="00005AE3"/>
    <w:rsid w:val="00005B9E"/>
    <w:rsid w:val="00005BC1"/>
    <w:rsid w:val="00005C0A"/>
    <w:rsid w:val="00005C12"/>
    <w:rsid w:val="00005CC0"/>
    <w:rsid w:val="00005CE9"/>
    <w:rsid w:val="00005D1A"/>
    <w:rsid w:val="00005D3B"/>
    <w:rsid w:val="00005D74"/>
    <w:rsid w:val="00005D80"/>
    <w:rsid w:val="00005DAB"/>
    <w:rsid w:val="00005DEB"/>
    <w:rsid w:val="00005E33"/>
    <w:rsid w:val="00005E4A"/>
    <w:rsid w:val="00005E54"/>
    <w:rsid w:val="00005E5F"/>
    <w:rsid w:val="00005E97"/>
    <w:rsid w:val="00005EA8"/>
    <w:rsid w:val="00005F13"/>
    <w:rsid w:val="00005F26"/>
    <w:rsid w:val="00005F85"/>
    <w:rsid w:val="00005FB5"/>
    <w:rsid w:val="00005FB7"/>
    <w:rsid w:val="0000601D"/>
    <w:rsid w:val="00006070"/>
    <w:rsid w:val="0000608D"/>
    <w:rsid w:val="000060FB"/>
    <w:rsid w:val="00006135"/>
    <w:rsid w:val="00006144"/>
    <w:rsid w:val="00006196"/>
    <w:rsid w:val="0000619A"/>
    <w:rsid w:val="000061D2"/>
    <w:rsid w:val="000061FA"/>
    <w:rsid w:val="00006230"/>
    <w:rsid w:val="00006233"/>
    <w:rsid w:val="000062AA"/>
    <w:rsid w:val="000062E8"/>
    <w:rsid w:val="000062FB"/>
    <w:rsid w:val="00006300"/>
    <w:rsid w:val="0000630A"/>
    <w:rsid w:val="000063BA"/>
    <w:rsid w:val="0000640C"/>
    <w:rsid w:val="000064D1"/>
    <w:rsid w:val="000064E5"/>
    <w:rsid w:val="000064FB"/>
    <w:rsid w:val="00006502"/>
    <w:rsid w:val="00006522"/>
    <w:rsid w:val="000065C9"/>
    <w:rsid w:val="000065E3"/>
    <w:rsid w:val="00006622"/>
    <w:rsid w:val="00006635"/>
    <w:rsid w:val="0000663B"/>
    <w:rsid w:val="00006675"/>
    <w:rsid w:val="00006683"/>
    <w:rsid w:val="00006693"/>
    <w:rsid w:val="000066D4"/>
    <w:rsid w:val="000066E1"/>
    <w:rsid w:val="00006709"/>
    <w:rsid w:val="00006733"/>
    <w:rsid w:val="00006772"/>
    <w:rsid w:val="00006787"/>
    <w:rsid w:val="0000685E"/>
    <w:rsid w:val="0000685F"/>
    <w:rsid w:val="000068EE"/>
    <w:rsid w:val="00006954"/>
    <w:rsid w:val="000069E2"/>
    <w:rsid w:val="000069E3"/>
    <w:rsid w:val="000069E6"/>
    <w:rsid w:val="000069F0"/>
    <w:rsid w:val="000069FD"/>
    <w:rsid w:val="00006A48"/>
    <w:rsid w:val="00006A5D"/>
    <w:rsid w:val="00006A80"/>
    <w:rsid w:val="00006A91"/>
    <w:rsid w:val="00006AD9"/>
    <w:rsid w:val="00006B06"/>
    <w:rsid w:val="00006B29"/>
    <w:rsid w:val="00006B99"/>
    <w:rsid w:val="00006C21"/>
    <w:rsid w:val="00006C32"/>
    <w:rsid w:val="00006CA5"/>
    <w:rsid w:val="00006CD3"/>
    <w:rsid w:val="00006D05"/>
    <w:rsid w:val="00006D5D"/>
    <w:rsid w:val="00006DB3"/>
    <w:rsid w:val="00006DC5"/>
    <w:rsid w:val="00006DC9"/>
    <w:rsid w:val="00006E2C"/>
    <w:rsid w:val="00006E5E"/>
    <w:rsid w:val="00006E81"/>
    <w:rsid w:val="00006E94"/>
    <w:rsid w:val="00006EB7"/>
    <w:rsid w:val="00006EE5"/>
    <w:rsid w:val="00006EEC"/>
    <w:rsid w:val="00006F07"/>
    <w:rsid w:val="00006F64"/>
    <w:rsid w:val="00006F7B"/>
    <w:rsid w:val="00006F99"/>
    <w:rsid w:val="0000701A"/>
    <w:rsid w:val="0000704B"/>
    <w:rsid w:val="0000704D"/>
    <w:rsid w:val="0000705A"/>
    <w:rsid w:val="000070F9"/>
    <w:rsid w:val="00007184"/>
    <w:rsid w:val="00007194"/>
    <w:rsid w:val="00007197"/>
    <w:rsid w:val="00007213"/>
    <w:rsid w:val="0000723F"/>
    <w:rsid w:val="0000737A"/>
    <w:rsid w:val="000073B6"/>
    <w:rsid w:val="000073DE"/>
    <w:rsid w:val="000073E7"/>
    <w:rsid w:val="00007407"/>
    <w:rsid w:val="0000740C"/>
    <w:rsid w:val="0000752A"/>
    <w:rsid w:val="0000752E"/>
    <w:rsid w:val="00007565"/>
    <w:rsid w:val="00007575"/>
    <w:rsid w:val="000075C9"/>
    <w:rsid w:val="0000761D"/>
    <w:rsid w:val="0000762B"/>
    <w:rsid w:val="0000763A"/>
    <w:rsid w:val="0000764B"/>
    <w:rsid w:val="0000764C"/>
    <w:rsid w:val="000076D1"/>
    <w:rsid w:val="000076D2"/>
    <w:rsid w:val="000076E1"/>
    <w:rsid w:val="000076E4"/>
    <w:rsid w:val="000076F7"/>
    <w:rsid w:val="000077B1"/>
    <w:rsid w:val="0000785E"/>
    <w:rsid w:val="00007893"/>
    <w:rsid w:val="000078AA"/>
    <w:rsid w:val="000078D7"/>
    <w:rsid w:val="00007906"/>
    <w:rsid w:val="00007909"/>
    <w:rsid w:val="00007999"/>
    <w:rsid w:val="000079A0"/>
    <w:rsid w:val="000079A3"/>
    <w:rsid w:val="000079F0"/>
    <w:rsid w:val="00007AA3"/>
    <w:rsid w:val="00007B78"/>
    <w:rsid w:val="00007BBA"/>
    <w:rsid w:val="00007BD1"/>
    <w:rsid w:val="00007C23"/>
    <w:rsid w:val="00007C27"/>
    <w:rsid w:val="00007D13"/>
    <w:rsid w:val="00007D73"/>
    <w:rsid w:val="00007DCB"/>
    <w:rsid w:val="00007DCD"/>
    <w:rsid w:val="00007DE0"/>
    <w:rsid w:val="00007DF6"/>
    <w:rsid w:val="00007E13"/>
    <w:rsid w:val="00007E39"/>
    <w:rsid w:val="00007E5D"/>
    <w:rsid w:val="00007E9C"/>
    <w:rsid w:val="00007EAC"/>
    <w:rsid w:val="00007EE2"/>
    <w:rsid w:val="00007EFE"/>
    <w:rsid w:val="00007F09"/>
    <w:rsid w:val="00007F2D"/>
    <w:rsid w:val="00007F57"/>
    <w:rsid w:val="00007F60"/>
    <w:rsid w:val="00007F85"/>
    <w:rsid w:val="00007F90"/>
    <w:rsid w:val="0001002A"/>
    <w:rsid w:val="0001006E"/>
    <w:rsid w:val="000100C2"/>
    <w:rsid w:val="0001014C"/>
    <w:rsid w:val="0001015E"/>
    <w:rsid w:val="0001019E"/>
    <w:rsid w:val="000101E8"/>
    <w:rsid w:val="00010205"/>
    <w:rsid w:val="00010209"/>
    <w:rsid w:val="0001021C"/>
    <w:rsid w:val="00010256"/>
    <w:rsid w:val="0001025E"/>
    <w:rsid w:val="00010336"/>
    <w:rsid w:val="00010392"/>
    <w:rsid w:val="000103F4"/>
    <w:rsid w:val="000103FC"/>
    <w:rsid w:val="00010510"/>
    <w:rsid w:val="00010529"/>
    <w:rsid w:val="000105A6"/>
    <w:rsid w:val="000105C2"/>
    <w:rsid w:val="00010636"/>
    <w:rsid w:val="00010652"/>
    <w:rsid w:val="00010671"/>
    <w:rsid w:val="0001069D"/>
    <w:rsid w:val="000106AC"/>
    <w:rsid w:val="00010713"/>
    <w:rsid w:val="0001079E"/>
    <w:rsid w:val="000107CA"/>
    <w:rsid w:val="000107D5"/>
    <w:rsid w:val="000108BF"/>
    <w:rsid w:val="000108C3"/>
    <w:rsid w:val="00010926"/>
    <w:rsid w:val="0001097A"/>
    <w:rsid w:val="00010997"/>
    <w:rsid w:val="000109D2"/>
    <w:rsid w:val="00010A10"/>
    <w:rsid w:val="00010A48"/>
    <w:rsid w:val="00010B46"/>
    <w:rsid w:val="00010BE0"/>
    <w:rsid w:val="00010BE3"/>
    <w:rsid w:val="00010C15"/>
    <w:rsid w:val="00010CD2"/>
    <w:rsid w:val="00010CE8"/>
    <w:rsid w:val="00010CF8"/>
    <w:rsid w:val="00010D3E"/>
    <w:rsid w:val="00010D69"/>
    <w:rsid w:val="00010D6E"/>
    <w:rsid w:val="00010D72"/>
    <w:rsid w:val="00010DA0"/>
    <w:rsid w:val="00010E35"/>
    <w:rsid w:val="00010E4F"/>
    <w:rsid w:val="00010E82"/>
    <w:rsid w:val="00010EA1"/>
    <w:rsid w:val="00010ECE"/>
    <w:rsid w:val="00010EE5"/>
    <w:rsid w:val="00010EEC"/>
    <w:rsid w:val="00010F51"/>
    <w:rsid w:val="00010F92"/>
    <w:rsid w:val="00010FB8"/>
    <w:rsid w:val="00011075"/>
    <w:rsid w:val="00011089"/>
    <w:rsid w:val="00011091"/>
    <w:rsid w:val="00011173"/>
    <w:rsid w:val="000111B4"/>
    <w:rsid w:val="00011227"/>
    <w:rsid w:val="00011242"/>
    <w:rsid w:val="00011247"/>
    <w:rsid w:val="0001128C"/>
    <w:rsid w:val="000112BF"/>
    <w:rsid w:val="00011348"/>
    <w:rsid w:val="0001138A"/>
    <w:rsid w:val="000113A5"/>
    <w:rsid w:val="000113B6"/>
    <w:rsid w:val="000113B8"/>
    <w:rsid w:val="00011460"/>
    <w:rsid w:val="000114B1"/>
    <w:rsid w:val="000114D7"/>
    <w:rsid w:val="000114E7"/>
    <w:rsid w:val="000115BB"/>
    <w:rsid w:val="00011620"/>
    <w:rsid w:val="00011642"/>
    <w:rsid w:val="00011649"/>
    <w:rsid w:val="00011681"/>
    <w:rsid w:val="000116BC"/>
    <w:rsid w:val="00011706"/>
    <w:rsid w:val="0001175A"/>
    <w:rsid w:val="00011800"/>
    <w:rsid w:val="00011807"/>
    <w:rsid w:val="00011822"/>
    <w:rsid w:val="00011851"/>
    <w:rsid w:val="000118D4"/>
    <w:rsid w:val="000118DA"/>
    <w:rsid w:val="000118F0"/>
    <w:rsid w:val="00011909"/>
    <w:rsid w:val="0001192E"/>
    <w:rsid w:val="00011978"/>
    <w:rsid w:val="0001197B"/>
    <w:rsid w:val="0001198D"/>
    <w:rsid w:val="00011993"/>
    <w:rsid w:val="000119C0"/>
    <w:rsid w:val="000119D4"/>
    <w:rsid w:val="00011A71"/>
    <w:rsid w:val="00011A84"/>
    <w:rsid w:val="00011ACC"/>
    <w:rsid w:val="00011B12"/>
    <w:rsid w:val="00011B3E"/>
    <w:rsid w:val="00011B46"/>
    <w:rsid w:val="00011BBF"/>
    <w:rsid w:val="00011BE0"/>
    <w:rsid w:val="00011BEC"/>
    <w:rsid w:val="00011C1F"/>
    <w:rsid w:val="00011C50"/>
    <w:rsid w:val="00011C56"/>
    <w:rsid w:val="00011D40"/>
    <w:rsid w:val="00011DB3"/>
    <w:rsid w:val="00011DB5"/>
    <w:rsid w:val="00011DC3"/>
    <w:rsid w:val="00011DE0"/>
    <w:rsid w:val="00011E21"/>
    <w:rsid w:val="00011E89"/>
    <w:rsid w:val="00011EA0"/>
    <w:rsid w:val="00011EBB"/>
    <w:rsid w:val="00011EC6"/>
    <w:rsid w:val="00011EE9"/>
    <w:rsid w:val="00011EFB"/>
    <w:rsid w:val="00011F05"/>
    <w:rsid w:val="00011F26"/>
    <w:rsid w:val="00011F51"/>
    <w:rsid w:val="00011F59"/>
    <w:rsid w:val="00011FE1"/>
    <w:rsid w:val="00011FFC"/>
    <w:rsid w:val="0001207C"/>
    <w:rsid w:val="000120DB"/>
    <w:rsid w:val="0001214E"/>
    <w:rsid w:val="00012178"/>
    <w:rsid w:val="00012189"/>
    <w:rsid w:val="000121DB"/>
    <w:rsid w:val="000121F0"/>
    <w:rsid w:val="00012228"/>
    <w:rsid w:val="00012229"/>
    <w:rsid w:val="00012314"/>
    <w:rsid w:val="00012322"/>
    <w:rsid w:val="00012372"/>
    <w:rsid w:val="000123A6"/>
    <w:rsid w:val="000123F4"/>
    <w:rsid w:val="0001254C"/>
    <w:rsid w:val="0001260C"/>
    <w:rsid w:val="00012657"/>
    <w:rsid w:val="00012669"/>
    <w:rsid w:val="00012688"/>
    <w:rsid w:val="00012697"/>
    <w:rsid w:val="000126F9"/>
    <w:rsid w:val="00012733"/>
    <w:rsid w:val="000127B7"/>
    <w:rsid w:val="000127F4"/>
    <w:rsid w:val="0001287C"/>
    <w:rsid w:val="0001289B"/>
    <w:rsid w:val="000128BA"/>
    <w:rsid w:val="0001296C"/>
    <w:rsid w:val="000129B5"/>
    <w:rsid w:val="000129DA"/>
    <w:rsid w:val="00012A0D"/>
    <w:rsid w:val="00012A15"/>
    <w:rsid w:val="00012A54"/>
    <w:rsid w:val="00012A61"/>
    <w:rsid w:val="00012ADD"/>
    <w:rsid w:val="00012B32"/>
    <w:rsid w:val="00012B7A"/>
    <w:rsid w:val="00012BC1"/>
    <w:rsid w:val="00012BE6"/>
    <w:rsid w:val="00012C21"/>
    <w:rsid w:val="00012C5B"/>
    <w:rsid w:val="00012C85"/>
    <w:rsid w:val="00012CE7"/>
    <w:rsid w:val="00012D0A"/>
    <w:rsid w:val="00012D5B"/>
    <w:rsid w:val="00012DAC"/>
    <w:rsid w:val="00012DF9"/>
    <w:rsid w:val="00012E22"/>
    <w:rsid w:val="00012E97"/>
    <w:rsid w:val="00012EA3"/>
    <w:rsid w:val="00012EA4"/>
    <w:rsid w:val="00012EBF"/>
    <w:rsid w:val="00012ED5"/>
    <w:rsid w:val="00012F10"/>
    <w:rsid w:val="00012F24"/>
    <w:rsid w:val="00012F62"/>
    <w:rsid w:val="00012F6C"/>
    <w:rsid w:val="00013008"/>
    <w:rsid w:val="000130AE"/>
    <w:rsid w:val="000130B0"/>
    <w:rsid w:val="000130CD"/>
    <w:rsid w:val="00013119"/>
    <w:rsid w:val="0001312F"/>
    <w:rsid w:val="0001315E"/>
    <w:rsid w:val="000131F7"/>
    <w:rsid w:val="00013210"/>
    <w:rsid w:val="00013211"/>
    <w:rsid w:val="00013234"/>
    <w:rsid w:val="0001326C"/>
    <w:rsid w:val="00013284"/>
    <w:rsid w:val="0001329D"/>
    <w:rsid w:val="000132BD"/>
    <w:rsid w:val="000132FF"/>
    <w:rsid w:val="00013348"/>
    <w:rsid w:val="0001338E"/>
    <w:rsid w:val="00013391"/>
    <w:rsid w:val="000133B0"/>
    <w:rsid w:val="000133FE"/>
    <w:rsid w:val="00013411"/>
    <w:rsid w:val="000134AF"/>
    <w:rsid w:val="000134BC"/>
    <w:rsid w:val="0001351C"/>
    <w:rsid w:val="00013555"/>
    <w:rsid w:val="0001355F"/>
    <w:rsid w:val="00013598"/>
    <w:rsid w:val="000135CD"/>
    <w:rsid w:val="00013600"/>
    <w:rsid w:val="000136A7"/>
    <w:rsid w:val="000136C1"/>
    <w:rsid w:val="000136D7"/>
    <w:rsid w:val="00013723"/>
    <w:rsid w:val="00013802"/>
    <w:rsid w:val="00013808"/>
    <w:rsid w:val="0001380A"/>
    <w:rsid w:val="00013939"/>
    <w:rsid w:val="00013951"/>
    <w:rsid w:val="0001395C"/>
    <w:rsid w:val="0001395E"/>
    <w:rsid w:val="0001398F"/>
    <w:rsid w:val="000139D5"/>
    <w:rsid w:val="00013A46"/>
    <w:rsid w:val="00013A67"/>
    <w:rsid w:val="00013A6D"/>
    <w:rsid w:val="00013A73"/>
    <w:rsid w:val="00013A8C"/>
    <w:rsid w:val="00013AAD"/>
    <w:rsid w:val="00013AC7"/>
    <w:rsid w:val="00013AE4"/>
    <w:rsid w:val="00013AF3"/>
    <w:rsid w:val="00013AFE"/>
    <w:rsid w:val="00013B73"/>
    <w:rsid w:val="00013B75"/>
    <w:rsid w:val="00013B7E"/>
    <w:rsid w:val="00013C1F"/>
    <w:rsid w:val="00013C86"/>
    <w:rsid w:val="00013C94"/>
    <w:rsid w:val="00013CEC"/>
    <w:rsid w:val="00013D25"/>
    <w:rsid w:val="00013D77"/>
    <w:rsid w:val="00013D78"/>
    <w:rsid w:val="00013D8A"/>
    <w:rsid w:val="00013E2F"/>
    <w:rsid w:val="00013E44"/>
    <w:rsid w:val="00013E50"/>
    <w:rsid w:val="00013ECD"/>
    <w:rsid w:val="00013EF9"/>
    <w:rsid w:val="00013FD2"/>
    <w:rsid w:val="00014093"/>
    <w:rsid w:val="00014097"/>
    <w:rsid w:val="000140BB"/>
    <w:rsid w:val="000140BD"/>
    <w:rsid w:val="000140E0"/>
    <w:rsid w:val="0001415D"/>
    <w:rsid w:val="0001415E"/>
    <w:rsid w:val="000141B2"/>
    <w:rsid w:val="000141D5"/>
    <w:rsid w:val="000141EA"/>
    <w:rsid w:val="00014208"/>
    <w:rsid w:val="00014220"/>
    <w:rsid w:val="0001422E"/>
    <w:rsid w:val="0001422F"/>
    <w:rsid w:val="0001424E"/>
    <w:rsid w:val="000142C8"/>
    <w:rsid w:val="000142DB"/>
    <w:rsid w:val="00014352"/>
    <w:rsid w:val="000143C2"/>
    <w:rsid w:val="000143CC"/>
    <w:rsid w:val="00014485"/>
    <w:rsid w:val="00014562"/>
    <w:rsid w:val="00014623"/>
    <w:rsid w:val="00014653"/>
    <w:rsid w:val="00014662"/>
    <w:rsid w:val="0001472E"/>
    <w:rsid w:val="00014743"/>
    <w:rsid w:val="0001480C"/>
    <w:rsid w:val="00014860"/>
    <w:rsid w:val="0001487E"/>
    <w:rsid w:val="00014899"/>
    <w:rsid w:val="0001489C"/>
    <w:rsid w:val="000148B8"/>
    <w:rsid w:val="000148DE"/>
    <w:rsid w:val="00014902"/>
    <w:rsid w:val="0001492C"/>
    <w:rsid w:val="0001494E"/>
    <w:rsid w:val="00014965"/>
    <w:rsid w:val="0001496A"/>
    <w:rsid w:val="00014985"/>
    <w:rsid w:val="0001498A"/>
    <w:rsid w:val="0001498B"/>
    <w:rsid w:val="00014997"/>
    <w:rsid w:val="000149A9"/>
    <w:rsid w:val="000149C0"/>
    <w:rsid w:val="000149E7"/>
    <w:rsid w:val="00014A24"/>
    <w:rsid w:val="00014AA6"/>
    <w:rsid w:val="00014B3A"/>
    <w:rsid w:val="00014BA4"/>
    <w:rsid w:val="00014BF1"/>
    <w:rsid w:val="00014CAF"/>
    <w:rsid w:val="00014CC2"/>
    <w:rsid w:val="00014CC5"/>
    <w:rsid w:val="00014D7B"/>
    <w:rsid w:val="00014D9D"/>
    <w:rsid w:val="00014E33"/>
    <w:rsid w:val="00014E4C"/>
    <w:rsid w:val="00014E5F"/>
    <w:rsid w:val="00014E8B"/>
    <w:rsid w:val="00014E8D"/>
    <w:rsid w:val="00014ECF"/>
    <w:rsid w:val="00014F23"/>
    <w:rsid w:val="00014F2E"/>
    <w:rsid w:val="00014F83"/>
    <w:rsid w:val="00014F9E"/>
    <w:rsid w:val="00014FA2"/>
    <w:rsid w:val="00014FD8"/>
    <w:rsid w:val="00015006"/>
    <w:rsid w:val="00015011"/>
    <w:rsid w:val="0001501F"/>
    <w:rsid w:val="00015051"/>
    <w:rsid w:val="00015108"/>
    <w:rsid w:val="0001511F"/>
    <w:rsid w:val="00015128"/>
    <w:rsid w:val="000151C8"/>
    <w:rsid w:val="00015249"/>
    <w:rsid w:val="00015270"/>
    <w:rsid w:val="000152A9"/>
    <w:rsid w:val="000152C7"/>
    <w:rsid w:val="000152E4"/>
    <w:rsid w:val="000153AC"/>
    <w:rsid w:val="000154E9"/>
    <w:rsid w:val="00015523"/>
    <w:rsid w:val="00015579"/>
    <w:rsid w:val="000156D3"/>
    <w:rsid w:val="000156E2"/>
    <w:rsid w:val="00015707"/>
    <w:rsid w:val="0001581E"/>
    <w:rsid w:val="00015822"/>
    <w:rsid w:val="00015825"/>
    <w:rsid w:val="0001582B"/>
    <w:rsid w:val="00015882"/>
    <w:rsid w:val="000158DE"/>
    <w:rsid w:val="000158F1"/>
    <w:rsid w:val="00015914"/>
    <w:rsid w:val="0001593B"/>
    <w:rsid w:val="00015943"/>
    <w:rsid w:val="00015A3C"/>
    <w:rsid w:val="00015AAD"/>
    <w:rsid w:val="00015AE9"/>
    <w:rsid w:val="00015B53"/>
    <w:rsid w:val="00015B7A"/>
    <w:rsid w:val="00015BD4"/>
    <w:rsid w:val="00015C47"/>
    <w:rsid w:val="00015C69"/>
    <w:rsid w:val="00015C75"/>
    <w:rsid w:val="00015C90"/>
    <w:rsid w:val="00015CAE"/>
    <w:rsid w:val="00015CEE"/>
    <w:rsid w:val="00015D16"/>
    <w:rsid w:val="00015D23"/>
    <w:rsid w:val="00015D58"/>
    <w:rsid w:val="00015DC7"/>
    <w:rsid w:val="00015DD0"/>
    <w:rsid w:val="00015DDC"/>
    <w:rsid w:val="00015E63"/>
    <w:rsid w:val="00015E68"/>
    <w:rsid w:val="00015E6E"/>
    <w:rsid w:val="00015E97"/>
    <w:rsid w:val="00015EFB"/>
    <w:rsid w:val="00015F5E"/>
    <w:rsid w:val="00015F6B"/>
    <w:rsid w:val="00015FB2"/>
    <w:rsid w:val="00015FC4"/>
    <w:rsid w:val="0001601B"/>
    <w:rsid w:val="0001609C"/>
    <w:rsid w:val="000160B7"/>
    <w:rsid w:val="000160F7"/>
    <w:rsid w:val="00016126"/>
    <w:rsid w:val="00016164"/>
    <w:rsid w:val="00016166"/>
    <w:rsid w:val="0001617A"/>
    <w:rsid w:val="000161C3"/>
    <w:rsid w:val="00016229"/>
    <w:rsid w:val="00016254"/>
    <w:rsid w:val="00016257"/>
    <w:rsid w:val="0001629D"/>
    <w:rsid w:val="000162BF"/>
    <w:rsid w:val="00016310"/>
    <w:rsid w:val="0001632D"/>
    <w:rsid w:val="0001633E"/>
    <w:rsid w:val="00016392"/>
    <w:rsid w:val="000163D4"/>
    <w:rsid w:val="000163E1"/>
    <w:rsid w:val="000163F9"/>
    <w:rsid w:val="00016409"/>
    <w:rsid w:val="0001641B"/>
    <w:rsid w:val="00016495"/>
    <w:rsid w:val="000164DD"/>
    <w:rsid w:val="00016524"/>
    <w:rsid w:val="000165C0"/>
    <w:rsid w:val="000165D5"/>
    <w:rsid w:val="00016639"/>
    <w:rsid w:val="00016650"/>
    <w:rsid w:val="00016682"/>
    <w:rsid w:val="000166DC"/>
    <w:rsid w:val="000166E3"/>
    <w:rsid w:val="000166ED"/>
    <w:rsid w:val="0001672B"/>
    <w:rsid w:val="0001679E"/>
    <w:rsid w:val="000167C2"/>
    <w:rsid w:val="0001681A"/>
    <w:rsid w:val="00016826"/>
    <w:rsid w:val="0001682D"/>
    <w:rsid w:val="00016839"/>
    <w:rsid w:val="00016858"/>
    <w:rsid w:val="000168A5"/>
    <w:rsid w:val="000168C5"/>
    <w:rsid w:val="000168F4"/>
    <w:rsid w:val="00016977"/>
    <w:rsid w:val="00016988"/>
    <w:rsid w:val="00016A2D"/>
    <w:rsid w:val="00016A88"/>
    <w:rsid w:val="00016ABB"/>
    <w:rsid w:val="00016AC4"/>
    <w:rsid w:val="00016C23"/>
    <w:rsid w:val="00016C99"/>
    <w:rsid w:val="00016CC4"/>
    <w:rsid w:val="00016CE4"/>
    <w:rsid w:val="00016D3B"/>
    <w:rsid w:val="00016D6F"/>
    <w:rsid w:val="00016D87"/>
    <w:rsid w:val="00016DAA"/>
    <w:rsid w:val="00016E6A"/>
    <w:rsid w:val="00016E91"/>
    <w:rsid w:val="00016EDD"/>
    <w:rsid w:val="00016EEA"/>
    <w:rsid w:val="00016F49"/>
    <w:rsid w:val="00016F74"/>
    <w:rsid w:val="00016F81"/>
    <w:rsid w:val="00016FA9"/>
    <w:rsid w:val="00016FB0"/>
    <w:rsid w:val="00017010"/>
    <w:rsid w:val="0001702D"/>
    <w:rsid w:val="00017064"/>
    <w:rsid w:val="000170E9"/>
    <w:rsid w:val="00017131"/>
    <w:rsid w:val="000171AF"/>
    <w:rsid w:val="000171F0"/>
    <w:rsid w:val="00017209"/>
    <w:rsid w:val="00017217"/>
    <w:rsid w:val="000172C8"/>
    <w:rsid w:val="000172D9"/>
    <w:rsid w:val="000172DF"/>
    <w:rsid w:val="000172EB"/>
    <w:rsid w:val="00017307"/>
    <w:rsid w:val="0001740C"/>
    <w:rsid w:val="00017496"/>
    <w:rsid w:val="000174CF"/>
    <w:rsid w:val="00017542"/>
    <w:rsid w:val="00017555"/>
    <w:rsid w:val="000175D1"/>
    <w:rsid w:val="00017631"/>
    <w:rsid w:val="00017635"/>
    <w:rsid w:val="00017637"/>
    <w:rsid w:val="00017643"/>
    <w:rsid w:val="00017662"/>
    <w:rsid w:val="00017686"/>
    <w:rsid w:val="000176F6"/>
    <w:rsid w:val="00017719"/>
    <w:rsid w:val="0001772B"/>
    <w:rsid w:val="0001776C"/>
    <w:rsid w:val="00017797"/>
    <w:rsid w:val="000177A5"/>
    <w:rsid w:val="000177CD"/>
    <w:rsid w:val="000177F9"/>
    <w:rsid w:val="00017817"/>
    <w:rsid w:val="0001781C"/>
    <w:rsid w:val="0001782A"/>
    <w:rsid w:val="000178A5"/>
    <w:rsid w:val="000178B7"/>
    <w:rsid w:val="000178F3"/>
    <w:rsid w:val="00017937"/>
    <w:rsid w:val="00017A15"/>
    <w:rsid w:val="00017A24"/>
    <w:rsid w:val="00017A67"/>
    <w:rsid w:val="00017AB6"/>
    <w:rsid w:val="00017ABC"/>
    <w:rsid w:val="00017B8B"/>
    <w:rsid w:val="00017BAC"/>
    <w:rsid w:val="00017BF5"/>
    <w:rsid w:val="00017C2C"/>
    <w:rsid w:val="00017C36"/>
    <w:rsid w:val="00017C39"/>
    <w:rsid w:val="00017C81"/>
    <w:rsid w:val="00017C95"/>
    <w:rsid w:val="00017CB6"/>
    <w:rsid w:val="00017CCA"/>
    <w:rsid w:val="00017CD6"/>
    <w:rsid w:val="00017CF7"/>
    <w:rsid w:val="00017CF9"/>
    <w:rsid w:val="00017D46"/>
    <w:rsid w:val="00017D4E"/>
    <w:rsid w:val="00017D83"/>
    <w:rsid w:val="00017D89"/>
    <w:rsid w:val="00017E13"/>
    <w:rsid w:val="00017ED8"/>
    <w:rsid w:val="00017F40"/>
    <w:rsid w:val="00017F75"/>
    <w:rsid w:val="000200A5"/>
    <w:rsid w:val="000200FC"/>
    <w:rsid w:val="0002013D"/>
    <w:rsid w:val="000201AF"/>
    <w:rsid w:val="000201FE"/>
    <w:rsid w:val="00020226"/>
    <w:rsid w:val="0002028A"/>
    <w:rsid w:val="000202AE"/>
    <w:rsid w:val="000202E4"/>
    <w:rsid w:val="00020344"/>
    <w:rsid w:val="000203A4"/>
    <w:rsid w:val="000203F4"/>
    <w:rsid w:val="000203FD"/>
    <w:rsid w:val="00020438"/>
    <w:rsid w:val="0002049D"/>
    <w:rsid w:val="0002050F"/>
    <w:rsid w:val="00020583"/>
    <w:rsid w:val="0002058A"/>
    <w:rsid w:val="00020595"/>
    <w:rsid w:val="00020696"/>
    <w:rsid w:val="00020753"/>
    <w:rsid w:val="0002078A"/>
    <w:rsid w:val="000207F0"/>
    <w:rsid w:val="000207FE"/>
    <w:rsid w:val="00020885"/>
    <w:rsid w:val="000208C1"/>
    <w:rsid w:val="00020948"/>
    <w:rsid w:val="00020955"/>
    <w:rsid w:val="00020964"/>
    <w:rsid w:val="0002097E"/>
    <w:rsid w:val="0002099D"/>
    <w:rsid w:val="000209AA"/>
    <w:rsid w:val="00020A4B"/>
    <w:rsid w:val="00020AB8"/>
    <w:rsid w:val="00020AEA"/>
    <w:rsid w:val="00020B02"/>
    <w:rsid w:val="00020B15"/>
    <w:rsid w:val="00020B16"/>
    <w:rsid w:val="00020B74"/>
    <w:rsid w:val="00020B7F"/>
    <w:rsid w:val="00020C04"/>
    <w:rsid w:val="00020C17"/>
    <w:rsid w:val="00020C22"/>
    <w:rsid w:val="00020C24"/>
    <w:rsid w:val="00020CD4"/>
    <w:rsid w:val="00020D46"/>
    <w:rsid w:val="00020D7A"/>
    <w:rsid w:val="00020E54"/>
    <w:rsid w:val="00020EB0"/>
    <w:rsid w:val="00020EB2"/>
    <w:rsid w:val="00020F46"/>
    <w:rsid w:val="00020F4F"/>
    <w:rsid w:val="00020F70"/>
    <w:rsid w:val="00020FAE"/>
    <w:rsid w:val="00020FD8"/>
    <w:rsid w:val="00020FEC"/>
    <w:rsid w:val="00021000"/>
    <w:rsid w:val="00021003"/>
    <w:rsid w:val="00021005"/>
    <w:rsid w:val="0002104E"/>
    <w:rsid w:val="00021091"/>
    <w:rsid w:val="000210A3"/>
    <w:rsid w:val="000210E6"/>
    <w:rsid w:val="0002116F"/>
    <w:rsid w:val="0002117C"/>
    <w:rsid w:val="000211F5"/>
    <w:rsid w:val="000211FF"/>
    <w:rsid w:val="00021238"/>
    <w:rsid w:val="000212AB"/>
    <w:rsid w:val="000212CC"/>
    <w:rsid w:val="000212F5"/>
    <w:rsid w:val="0002139A"/>
    <w:rsid w:val="000213F1"/>
    <w:rsid w:val="00021408"/>
    <w:rsid w:val="0002144B"/>
    <w:rsid w:val="00021464"/>
    <w:rsid w:val="000214A4"/>
    <w:rsid w:val="000214BA"/>
    <w:rsid w:val="00021504"/>
    <w:rsid w:val="00021598"/>
    <w:rsid w:val="000215C2"/>
    <w:rsid w:val="0002160F"/>
    <w:rsid w:val="00021695"/>
    <w:rsid w:val="0002169C"/>
    <w:rsid w:val="000216DE"/>
    <w:rsid w:val="000216DF"/>
    <w:rsid w:val="000216EC"/>
    <w:rsid w:val="00021713"/>
    <w:rsid w:val="000217B9"/>
    <w:rsid w:val="000217C3"/>
    <w:rsid w:val="000218DF"/>
    <w:rsid w:val="0002193E"/>
    <w:rsid w:val="00021946"/>
    <w:rsid w:val="0002194B"/>
    <w:rsid w:val="0002197A"/>
    <w:rsid w:val="00021999"/>
    <w:rsid w:val="00021A50"/>
    <w:rsid w:val="00021B0A"/>
    <w:rsid w:val="00021B3A"/>
    <w:rsid w:val="00021B4D"/>
    <w:rsid w:val="00021B8B"/>
    <w:rsid w:val="00021C80"/>
    <w:rsid w:val="00021D44"/>
    <w:rsid w:val="00021DF9"/>
    <w:rsid w:val="00021E0C"/>
    <w:rsid w:val="00021E1A"/>
    <w:rsid w:val="00021E21"/>
    <w:rsid w:val="00021E5E"/>
    <w:rsid w:val="00021EA4"/>
    <w:rsid w:val="00021EC2"/>
    <w:rsid w:val="00021F2F"/>
    <w:rsid w:val="00021FEC"/>
    <w:rsid w:val="00022017"/>
    <w:rsid w:val="0002205F"/>
    <w:rsid w:val="00022093"/>
    <w:rsid w:val="000220D2"/>
    <w:rsid w:val="000220DF"/>
    <w:rsid w:val="00022122"/>
    <w:rsid w:val="00022164"/>
    <w:rsid w:val="000221D8"/>
    <w:rsid w:val="0002223C"/>
    <w:rsid w:val="00022241"/>
    <w:rsid w:val="00022292"/>
    <w:rsid w:val="000222BF"/>
    <w:rsid w:val="000223BD"/>
    <w:rsid w:val="00022404"/>
    <w:rsid w:val="00022432"/>
    <w:rsid w:val="000224AA"/>
    <w:rsid w:val="000224AC"/>
    <w:rsid w:val="0002250C"/>
    <w:rsid w:val="00022516"/>
    <w:rsid w:val="0002252A"/>
    <w:rsid w:val="0002257C"/>
    <w:rsid w:val="00022663"/>
    <w:rsid w:val="00022688"/>
    <w:rsid w:val="00022721"/>
    <w:rsid w:val="00022785"/>
    <w:rsid w:val="00022800"/>
    <w:rsid w:val="00022803"/>
    <w:rsid w:val="00022806"/>
    <w:rsid w:val="00022833"/>
    <w:rsid w:val="00022912"/>
    <w:rsid w:val="00022928"/>
    <w:rsid w:val="00022997"/>
    <w:rsid w:val="000229B3"/>
    <w:rsid w:val="00022A7A"/>
    <w:rsid w:val="00022A96"/>
    <w:rsid w:val="00022B84"/>
    <w:rsid w:val="00022C5A"/>
    <w:rsid w:val="00022D23"/>
    <w:rsid w:val="00022DA5"/>
    <w:rsid w:val="00022DE4"/>
    <w:rsid w:val="00022E0A"/>
    <w:rsid w:val="00022E17"/>
    <w:rsid w:val="00022E35"/>
    <w:rsid w:val="00022E47"/>
    <w:rsid w:val="00022EAB"/>
    <w:rsid w:val="00022EB1"/>
    <w:rsid w:val="00022F01"/>
    <w:rsid w:val="00022F2F"/>
    <w:rsid w:val="00022FDB"/>
    <w:rsid w:val="00023016"/>
    <w:rsid w:val="00023025"/>
    <w:rsid w:val="0002309B"/>
    <w:rsid w:val="000230D6"/>
    <w:rsid w:val="000230E1"/>
    <w:rsid w:val="00023156"/>
    <w:rsid w:val="0002323C"/>
    <w:rsid w:val="000232AE"/>
    <w:rsid w:val="000232DE"/>
    <w:rsid w:val="0002331D"/>
    <w:rsid w:val="00023353"/>
    <w:rsid w:val="0002335E"/>
    <w:rsid w:val="00023360"/>
    <w:rsid w:val="0002336E"/>
    <w:rsid w:val="000233B1"/>
    <w:rsid w:val="000233FD"/>
    <w:rsid w:val="00023412"/>
    <w:rsid w:val="00023477"/>
    <w:rsid w:val="00023492"/>
    <w:rsid w:val="000234BF"/>
    <w:rsid w:val="000234E3"/>
    <w:rsid w:val="00023505"/>
    <w:rsid w:val="0002351B"/>
    <w:rsid w:val="00023543"/>
    <w:rsid w:val="00023586"/>
    <w:rsid w:val="0002358C"/>
    <w:rsid w:val="000235AF"/>
    <w:rsid w:val="000235C5"/>
    <w:rsid w:val="0002365E"/>
    <w:rsid w:val="0002369B"/>
    <w:rsid w:val="000236A2"/>
    <w:rsid w:val="000236BC"/>
    <w:rsid w:val="00023881"/>
    <w:rsid w:val="000238A8"/>
    <w:rsid w:val="00023968"/>
    <w:rsid w:val="00023969"/>
    <w:rsid w:val="000239BF"/>
    <w:rsid w:val="00023A15"/>
    <w:rsid w:val="00023A2C"/>
    <w:rsid w:val="00023A4F"/>
    <w:rsid w:val="00023B0B"/>
    <w:rsid w:val="00023B52"/>
    <w:rsid w:val="00023B56"/>
    <w:rsid w:val="00023B89"/>
    <w:rsid w:val="00023B96"/>
    <w:rsid w:val="00023BE6"/>
    <w:rsid w:val="00023BF0"/>
    <w:rsid w:val="00023C14"/>
    <w:rsid w:val="00023C36"/>
    <w:rsid w:val="00023C84"/>
    <w:rsid w:val="00023CAE"/>
    <w:rsid w:val="00023D27"/>
    <w:rsid w:val="00023D54"/>
    <w:rsid w:val="00023D68"/>
    <w:rsid w:val="00023E1B"/>
    <w:rsid w:val="00023E2C"/>
    <w:rsid w:val="00023E9F"/>
    <w:rsid w:val="00023EB0"/>
    <w:rsid w:val="00023ECA"/>
    <w:rsid w:val="00023EDC"/>
    <w:rsid w:val="00023F1C"/>
    <w:rsid w:val="00023F2B"/>
    <w:rsid w:val="00023FDC"/>
    <w:rsid w:val="0002402D"/>
    <w:rsid w:val="00024034"/>
    <w:rsid w:val="0002407A"/>
    <w:rsid w:val="0002409A"/>
    <w:rsid w:val="000240D7"/>
    <w:rsid w:val="000240E8"/>
    <w:rsid w:val="00024130"/>
    <w:rsid w:val="00024171"/>
    <w:rsid w:val="0002418D"/>
    <w:rsid w:val="0002419A"/>
    <w:rsid w:val="000241C2"/>
    <w:rsid w:val="00024364"/>
    <w:rsid w:val="00024387"/>
    <w:rsid w:val="0002441B"/>
    <w:rsid w:val="00024448"/>
    <w:rsid w:val="0002448A"/>
    <w:rsid w:val="0002448B"/>
    <w:rsid w:val="000244DD"/>
    <w:rsid w:val="000244F4"/>
    <w:rsid w:val="00024523"/>
    <w:rsid w:val="0002452F"/>
    <w:rsid w:val="000245DE"/>
    <w:rsid w:val="000245F0"/>
    <w:rsid w:val="00024606"/>
    <w:rsid w:val="00024667"/>
    <w:rsid w:val="00024698"/>
    <w:rsid w:val="000246BA"/>
    <w:rsid w:val="000246DD"/>
    <w:rsid w:val="0002471B"/>
    <w:rsid w:val="00024755"/>
    <w:rsid w:val="0002479F"/>
    <w:rsid w:val="000247B3"/>
    <w:rsid w:val="000247BB"/>
    <w:rsid w:val="000247BD"/>
    <w:rsid w:val="000247C8"/>
    <w:rsid w:val="000247F2"/>
    <w:rsid w:val="00024803"/>
    <w:rsid w:val="00024820"/>
    <w:rsid w:val="00024846"/>
    <w:rsid w:val="00024904"/>
    <w:rsid w:val="00024918"/>
    <w:rsid w:val="000249CC"/>
    <w:rsid w:val="00024A08"/>
    <w:rsid w:val="00024A43"/>
    <w:rsid w:val="00024A9D"/>
    <w:rsid w:val="00024BDB"/>
    <w:rsid w:val="00024C49"/>
    <w:rsid w:val="00024C4D"/>
    <w:rsid w:val="00024C5A"/>
    <w:rsid w:val="00024D3B"/>
    <w:rsid w:val="00024DA6"/>
    <w:rsid w:val="00024E7D"/>
    <w:rsid w:val="00024EBD"/>
    <w:rsid w:val="00024F29"/>
    <w:rsid w:val="00024F50"/>
    <w:rsid w:val="00024FA0"/>
    <w:rsid w:val="00024FBD"/>
    <w:rsid w:val="00024FC8"/>
    <w:rsid w:val="00025028"/>
    <w:rsid w:val="0002502A"/>
    <w:rsid w:val="00025068"/>
    <w:rsid w:val="0002513E"/>
    <w:rsid w:val="00025187"/>
    <w:rsid w:val="000251A5"/>
    <w:rsid w:val="000251BA"/>
    <w:rsid w:val="000251D3"/>
    <w:rsid w:val="0002521E"/>
    <w:rsid w:val="00025268"/>
    <w:rsid w:val="000252BE"/>
    <w:rsid w:val="000252D8"/>
    <w:rsid w:val="000252EE"/>
    <w:rsid w:val="000252F4"/>
    <w:rsid w:val="000252FF"/>
    <w:rsid w:val="00025326"/>
    <w:rsid w:val="00025338"/>
    <w:rsid w:val="0002534A"/>
    <w:rsid w:val="000253EB"/>
    <w:rsid w:val="000253F9"/>
    <w:rsid w:val="00025438"/>
    <w:rsid w:val="00025446"/>
    <w:rsid w:val="0002548C"/>
    <w:rsid w:val="00025495"/>
    <w:rsid w:val="0002549E"/>
    <w:rsid w:val="000254BC"/>
    <w:rsid w:val="000254C5"/>
    <w:rsid w:val="000254F7"/>
    <w:rsid w:val="00025528"/>
    <w:rsid w:val="00025573"/>
    <w:rsid w:val="000255D1"/>
    <w:rsid w:val="000256AD"/>
    <w:rsid w:val="00025737"/>
    <w:rsid w:val="0002576A"/>
    <w:rsid w:val="0002579C"/>
    <w:rsid w:val="00025856"/>
    <w:rsid w:val="00025868"/>
    <w:rsid w:val="00025895"/>
    <w:rsid w:val="00025896"/>
    <w:rsid w:val="000258A0"/>
    <w:rsid w:val="000258C8"/>
    <w:rsid w:val="000258F0"/>
    <w:rsid w:val="0002590D"/>
    <w:rsid w:val="0002590E"/>
    <w:rsid w:val="00025921"/>
    <w:rsid w:val="00025978"/>
    <w:rsid w:val="000259F9"/>
    <w:rsid w:val="00025A35"/>
    <w:rsid w:val="00025A52"/>
    <w:rsid w:val="00025A7A"/>
    <w:rsid w:val="00025AEB"/>
    <w:rsid w:val="00025B18"/>
    <w:rsid w:val="00025B25"/>
    <w:rsid w:val="00025B4E"/>
    <w:rsid w:val="00025BCA"/>
    <w:rsid w:val="00025BCC"/>
    <w:rsid w:val="00025BCF"/>
    <w:rsid w:val="00025C25"/>
    <w:rsid w:val="00025D08"/>
    <w:rsid w:val="00025D38"/>
    <w:rsid w:val="00025DF7"/>
    <w:rsid w:val="00025EB1"/>
    <w:rsid w:val="00025EEB"/>
    <w:rsid w:val="00025EF2"/>
    <w:rsid w:val="00025F94"/>
    <w:rsid w:val="00025FAE"/>
    <w:rsid w:val="00025FB9"/>
    <w:rsid w:val="00026002"/>
    <w:rsid w:val="0002602A"/>
    <w:rsid w:val="000260B0"/>
    <w:rsid w:val="000260B2"/>
    <w:rsid w:val="000260B8"/>
    <w:rsid w:val="000260FB"/>
    <w:rsid w:val="000260FF"/>
    <w:rsid w:val="0002612D"/>
    <w:rsid w:val="00026132"/>
    <w:rsid w:val="00026179"/>
    <w:rsid w:val="0002620B"/>
    <w:rsid w:val="00026219"/>
    <w:rsid w:val="00026234"/>
    <w:rsid w:val="00026277"/>
    <w:rsid w:val="0002633F"/>
    <w:rsid w:val="0002638F"/>
    <w:rsid w:val="000263AE"/>
    <w:rsid w:val="000263E6"/>
    <w:rsid w:val="00026451"/>
    <w:rsid w:val="00026495"/>
    <w:rsid w:val="000264E4"/>
    <w:rsid w:val="0002654C"/>
    <w:rsid w:val="00026552"/>
    <w:rsid w:val="0002657E"/>
    <w:rsid w:val="0002658E"/>
    <w:rsid w:val="000265FD"/>
    <w:rsid w:val="00026604"/>
    <w:rsid w:val="0002662F"/>
    <w:rsid w:val="0002663D"/>
    <w:rsid w:val="00026644"/>
    <w:rsid w:val="00026664"/>
    <w:rsid w:val="000266FA"/>
    <w:rsid w:val="0002676D"/>
    <w:rsid w:val="00026795"/>
    <w:rsid w:val="000267A4"/>
    <w:rsid w:val="00026876"/>
    <w:rsid w:val="0002688F"/>
    <w:rsid w:val="000268A1"/>
    <w:rsid w:val="00026974"/>
    <w:rsid w:val="000269B2"/>
    <w:rsid w:val="000269BC"/>
    <w:rsid w:val="000269CB"/>
    <w:rsid w:val="000269DD"/>
    <w:rsid w:val="000269F1"/>
    <w:rsid w:val="00026A05"/>
    <w:rsid w:val="00026A06"/>
    <w:rsid w:val="00026ABB"/>
    <w:rsid w:val="00026B19"/>
    <w:rsid w:val="00026B49"/>
    <w:rsid w:val="00026B6C"/>
    <w:rsid w:val="00026BB8"/>
    <w:rsid w:val="00026C07"/>
    <w:rsid w:val="00026C1C"/>
    <w:rsid w:val="00026C71"/>
    <w:rsid w:val="00026CAB"/>
    <w:rsid w:val="00026CB7"/>
    <w:rsid w:val="00026CEE"/>
    <w:rsid w:val="00026DB0"/>
    <w:rsid w:val="00026DB8"/>
    <w:rsid w:val="00026DE1"/>
    <w:rsid w:val="00026E67"/>
    <w:rsid w:val="00026E82"/>
    <w:rsid w:val="00026F07"/>
    <w:rsid w:val="00026F55"/>
    <w:rsid w:val="00026F7E"/>
    <w:rsid w:val="00026F9B"/>
    <w:rsid w:val="00026FF5"/>
    <w:rsid w:val="0002702F"/>
    <w:rsid w:val="00027077"/>
    <w:rsid w:val="000270B1"/>
    <w:rsid w:val="000270CA"/>
    <w:rsid w:val="00027136"/>
    <w:rsid w:val="00027157"/>
    <w:rsid w:val="00027179"/>
    <w:rsid w:val="00027187"/>
    <w:rsid w:val="000271BB"/>
    <w:rsid w:val="000271D3"/>
    <w:rsid w:val="000271EC"/>
    <w:rsid w:val="0002725E"/>
    <w:rsid w:val="000272E0"/>
    <w:rsid w:val="00027300"/>
    <w:rsid w:val="00027357"/>
    <w:rsid w:val="00027359"/>
    <w:rsid w:val="0002739D"/>
    <w:rsid w:val="000273DC"/>
    <w:rsid w:val="000273FF"/>
    <w:rsid w:val="0002743C"/>
    <w:rsid w:val="00027454"/>
    <w:rsid w:val="000274B7"/>
    <w:rsid w:val="000274CC"/>
    <w:rsid w:val="0002752D"/>
    <w:rsid w:val="00027592"/>
    <w:rsid w:val="000275AE"/>
    <w:rsid w:val="000275B2"/>
    <w:rsid w:val="000275CD"/>
    <w:rsid w:val="00027636"/>
    <w:rsid w:val="00027638"/>
    <w:rsid w:val="00027658"/>
    <w:rsid w:val="00027686"/>
    <w:rsid w:val="00027688"/>
    <w:rsid w:val="0002768F"/>
    <w:rsid w:val="00027701"/>
    <w:rsid w:val="000277F1"/>
    <w:rsid w:val="00027821"/>
    <w:rsid w:val="00027824"/>
    <w:rsid w:val="000278BB"/>
    <w:rsid w:val="000278D7"/>
    <w:rsid w:val="00027905"/>
    <w:rsid w:val="00027A0C"/>
    <w:rsid w:val="00027A29"/>
    <w:rsid w:val="00027A2A"/>
    <w:rsid w:val="00027A42"/>
    <w:rsid w:val="00027B59"/>
    <w:rsid w:val="00027B5B"/>
    <w:rsid w:val="00027B73"/>
    <w:rsid w:val="00027BB4"/>
    <w:rsid w:val="00027BD3"/>
    <w:rsid w:val="00027C43"/>
    <w:rsid w:val="00027C73"/>
    <w:rsid w:val="00027DA9"/>
    <w:rsid w:val="00027DF9"/>
    <w:rsid w:val="00027E5E"/>
    <w:rsid w:val="00027E99"/>
    <w:rsid w:val="00027EEE"/>
    <w:rsid w:val="00027F7C"/>
    <w:rsid w:val="00027F7E"/>
    <w:rsid w:val="00027FC0"/>
    <w:rsid w:val="00030043"/>
    <w:rsid w:val="0003006E"/>
    <w:rsid w:val="000300C5"/>
    <w:rsid w:val="00030104"/>
    <w:rsid w:val="0003014C"/>
    <w:rsid w:val="00030166"/>
    <w:rsid w:val="0003017B"/>
    <w:rsid w:val="00030182"/>
    <w:rsid w:val="000301AC"/>
    <w:rsid w:val="00030237"/>
    <w:rsid w:val="0003023C"/>
    <w:rsid w:val="0003024B"/>
    <w:rsid w:val="00030250"/>
    <w:rsid w:val="00030253"/>
    <w:rsid w:val="00030258"/>
    <w:rsid w:val="00030338"/>
    <w:rsid w:val="0003038B"/>
    <w:rsid w:val="0003044D"/>
    <w:rsid w:val="0003045A"/>
    <w:rsid w:val="00030462"/>
    <w:rsid w:val="0003048E"/>
    <w:rsid w:val="000304B8"/>
    <w:rsid w:val="00030548"/>
    <w:rsid w:val="00030564"/>
    <w:rsid w:val="00030569"/>
    <w:rsid w:val="0003059D"/>
    <w:rsid w:val="00030667"/>
    <w:rsid w:val="00030695"/>
    <w:rsid w:val="0003069C"/>
    <w:rsid w:val="000306B6"/>
    <w:rsid w:val="00030726"/>
    <w:rsid w:val="000307D2"/>
    <w:rsid w:val="00030809"/>
    <w:rsid w:val="00030835"/>
    <w:rsid w:val="0003084A"/>
    <w:rsid w:val="0003085A"/>
    <w:rsid w:val="00030878"/>
    <w:rsid w:val="00030916"/>
    <w:rsid w:val="00030954"/>
    <w:rsid w:val="0003096D"/>
    <w:rsid w:val="00030974"/>
    <w:rsid w:val="000309B0"/>
    <w:rsid w:val="000309CA"/>
    <w:rsid w:val="00030A37"/>
    <w:rsid w:val="00030A68"/>
    <w:rsid w:val="00030AF1"/>
    <w:rsid w:val="00030B3D"/>
    <w:rsid w:val="00030C95"/>
    <w:rsid w:val="00030D19"/>
    <w:rsid w:val="00030D4E"/>
    <w:rsid w:val="00030DCE"/>
    <w:rsid w:val="00030E48"/>
    <w:rsid w:val="00030E77"/>
    <w:rsid w:val="00030E82"/>
    <w:rsid w:val="00030EDC"/>
    <w:rsid w:val="00030F09"/>
    <w:rsid w:val="00030F5E"/>
    <w:rsid w:val="00030F60"/>
    <w:rsid w:val="00030FC0"/>
    <w:rsid w:val="0003102D"/>
    <w:rsid w:val="00031038"/>
    <w:rsid w:val="00031076"/>
    <w:rsid w:val="000310B1"/>
    <w:rsid w:val="0003110F"/>
    <w:rsid w:val="00031124"/>
    <w:rsid w:val="00031211"/>
    <w:rsid w:val="00031245"/>
    <w:rsid w:val="00031284"/>
    <w:rsid w:val="000312FF"/>
    <w:rsid w:val="00031300"/>
    <w:rsid w:val="0003137E"/>
    <w:rsid w:val="000313A1"/>
    <w:rsid w:val="000313B1"/>
    <w:rsid w:val="000313D9"/>
    <w:rsid w:val="000313EA"/>
    <w:rsid w:val="0003144C"/>
    <w:rsid w:val="000314A0"/>
    <w:rsid w:val="000314B3"/>
    <w:rsid w:val="00031519"/>
    <w:rsid w:val="00031528"/>
    <w:rsid w:val="0003158F"/>
    <w:rsid w:val="000315A4"/>
    <w:rsid w:val="000315B9"/>
    <w:rsid w:val="000315DB"/>
    <w:rsid w:val="000315EC"/>
    <w:rsid w:val="00031630"/>
    <w:rsid w:val="00031687"/>
    <w:rsid w:val="00031689"/>
    <w:rsid w:val="000316C1"/>
    <w:rsid w:val="00031716"/>
    <w:rsid w:val="00031729"/>
    <w:rsid w:val="0003173F"/>
    <w:rsid w:val="00031746"/>
    <w:rsid w:val="00031776"/>
    <w:rsid w:val="000317C4"/>
    <w:rsid w:val="000317D1"/>
    <w:rsid w:val="0003180A"/>
    <w:rsid w:val="00031845"/>
    <w:rsid w:val="0003184F"/>
    <w:rsid w:val="000318D8"/>
    <w:rsid w:val="0003193F"/>
    <w:rsid w:val="000319A0"/>
    <w:rsid w:val="000319A3"/>
    <w:rsid w:val="00031A08"/>
    <w:rsid w:val="00031A1E"/>
    <w:rsid w:val="00031A64"/>
    <w:rsid w:val="00031AAB"/>
    <w:rsid w:val="00031B0A"/>
    <w:rsid w:val="00031B6F"/>
    <w:rsid w:val="00031B80"/>
    <w:rsid w:val="00031B85"/>
    <w:rsid w:val="00031C08"/>
    <w:rsid w:val="00031C34"/>
    <w:rsid w:val="00031C6B"/>
    <w:rsid w:val="00031C98"/>
    <w:rsid w:val="00031D0B"/>
    <w:rsid w:val="00031D0D"/>
    <w:rsid w:val="00031D54"/>
    <w:rsid w:val="00031D6D"/>
    <w:rsid w:val="00031D79"/>
    <w:rsid w:val="00031D9D"/>
    <w:rsid w:val="00031DA4"/>
    <w:rsid w:val="00031DD5"/>
    <w:rsid w:val="00031DD9"/>
    <w:rsid w:val="00031DE8"/>
    <w:rsid w:val="00031DF1"/>
    <w:rsid w:val="00031E22"/>
    <w:rsid w:val="00031E34"/>
    <w:rsid w:val="00031EA4"/>
    <w:rsid w:val="00031EB8"/>
    <w:rsid w:val="00031F01"/>
    <w:rsid w:val="00031F34"/>
    <w:rsid w:val="00031F6F"/>
    <w:rsid w:val="000320F3"/>
    <w:rsid w:val="000320FF"/>
    <w:rsid w:val="00032110"/>
    <w:rsid w:val="000321A2"/>
    <w:rsid w:val="000321D2"/>
    <w:rsid w:val="000321E4"/>
    <w:rsid w:val="0003224B"/>
    <w:rsid w:val="00032270"/>
    <w:rsid w:val="00032291"/>
    <w:rsid w:val="00032302"/>
    <w:rsid w:val="000323B1"/>
    <w:rsid w:val="000323B3"/>
    <w:rsid w:val="000323F2"/>
    <w:rsid w:val="0003243E"/>
    <w:rsid w:val="00032463"/>
    <w:rsid w:val="000324F6"/>
    <w:rsid w:val="00032553"/>
    <w:rsid w:val="00032559"/>
    <w:rsid w:val="00032560"/>
    <w:rsid w:val="000325CB"/>
    <w:rsid w:val="000325E0"/>
    <w:rsid w:val="00032655"/>
    <w:rsid w:val="0003265E"/>
    <w:rsid w:val="000326CA"/>
    <w:rsid w:val="00032722"/>
    <w:rsid w:val="000327F4"/>
    <w:rsid w:val="00032850"/>
    <w:rsid w:val="00032886"/>
    <w:rsid w:val="00032898"/>
    <w:rsid w:val="000328C5"/>
    <w:rsid w:val="00032912"/>
    <w:rsid w:val="0003295E"/>
    <w:rsid w:val="00032970"/>
    <w:rsid w:val="00032A09"/>
    <w:rsid w:val="00032A4D"/>
    <w:rsid w:val="00032A5A"/>
    <w:rsid w:val="00032AA8"/>
    <w:rsid w:val="00032AC8"/>
    <w:rsid w:val="00032ACC"/>
    <w:rsid w:val="00032AD6"/>
    <w:rsid w:val="00032AD9"/>
    <w:rsid w:val="00032B42"/>
    <w:rsid w:val="00032BCB"/>
    <w:rsid w:val="00032BCC"/>
    <w:rsid w:val="00032BEB"/>
    <w:rsid w:val="00032C14"/>
    <w:rsid w:val="00032C55"/>
    <w:rsid w:val="00032C8A"/>
    <w:rsid w:val="00032C94"/>
    <w:rsid w:val="00032CA6"/>
    <w:rsid w:val="00032D24"/>
    <w:rsid w:val="00032D4B"/>
    <w:rsid w:val="00032D68"/>
    <w:rsid w:val="00032DA1"/>
    <w:rsid w:val="00032DDA"/>
    <w:rsid w:val="00032DDB"/>
    <w:rsid w:val="00032E51"/>
    <w:rsid w:val="00032F50"/>
    <w:rsid w:val="00032F66"/>
    <w:rsid w:val="00032F72"/>
    <w:rsid w:val="00032F87"/>
    <w:rsid w:val="00032FF7"/>
    <w:rsid w:val="00033034"/>
    <w:rsid w:val="00033081"/>
    <w:rsid w:val="000330C8"/>
    <w:rsid w:val="00033129"/>
    <w:rsid w:val="0003317D"/>
    <w:rsid w:val="000331C0"/>
    <w:rsid w:val="00033262"/>
    <w:rsid w:val="00033298"/>
    <w:rsid w:val="0003330D"/>
    <w:rsid w:val="0003331A"/>
    <w:rsid w:val="00033400"/>
    <w:rsid w:val="00033456"/>
    <w:rsid w:val="0003345E"/>
    <w:rsid w:val="000334B2"/>
    <w:rsid w:val="000334C4"/>
    <w:rsid w:val="000334DC"/>
    <w:rsid w:val="00033505"/>
    <w:rsid w:val="00033549"/>
    <w:rsid w:val="00033577"/>
    <w:rsid w:val="0003360E"/>
    <w:rsid w:val="0003362F"/>
    <w:rsid w:val="000336EB"/>
    <w:rsid w:val="00033716"/>
    <w:rsid w:val="0003372F"/>
    <w:rsid w:val="00033768"/>
    <w:rsid w:val="000337E4"/>
    <w:rsid w:val="00033813"/>
    <w:rsid w:val="00033828"/>
    <w:rsid w:val="000338A3"/>
    <w:rsid w:val="0003391F"/>
    <w:rsid w:val="000339DE"/>
    <w:rsid w:val="00033A3A"/>
    <w:rsid w:val="00033A60"/>
    <w:rsid w:val="00033B4D"/>
    <w:rsid w:val="00033BC5"/>
    <w:rsid w:val="00033BD0"/>
    <w:rsid w:val="00033C80"/>
    <w:rsid w:val="00033D0D"/>
    <w:rsid w:val="00033D41"/>
    <w:rsid w:val="00033D4C"/>
    <w:rsid w:val="00033DB8"/>
    <w:rsid w:val="00033DC6"/>
    <w:rsid w:val="00033E5E"/>
    <w:rsid w:val="00033E7E"/>
    <w:rsid w:val="00033E95"/>
    <w:rsid w:val="00033FA2"/>
    <w:rsid w:val="00033FC2"/>
    <w:rsid w:val="00034058"/>
    <w:rsid w:val="0003405E"/>
    <w:rsid w:val="0003406C"/>
    <w:rsid w:val="00034132"/>
    <w:rsid w:val="0003419D"/>
    <w:rsid w:val="000341B4"/>
    <w:rsid w:val="000341E7"/>
    <w:rsid w:val="000341F0"/>
    <w:rsid w:val="0003420C"/>
    <w:rsid w:val="00034285"/>
    <w:rsid w:val="000342DD"/>
    <w:rsid w:val="000342F1"/>
    <w:rsid w:val="0003432E"/>
    <w:rsid w:val="00034339"/>
    <w:rsid w:val="00034398"/>
    <w:rsid w:val="0003440C"/>
    <w:rsid w:val="0003443E"/>
    <w:rsid w:val="0003448C"/>
    <w:rsid w:val="000344F7"/>
    <w:rsid w:val="00034522"/>
    <w:rsid w:val="000345B1"/>
    <w:rsid w:val="0003461D"/>
    <w:rsid w:val="00034643"/>
    <w:rsid w:val="0003465C"/>
    <w:rsid w:val="00034663"/>
    <w:rsid w:val="000346E3"/>
    <w:rsid w:val="0003475D"/>
    <w:rsid w:val="0003477C"/>
    <w:rsid w:val="000347D2"/>
    <w:rsid w:val="0003483B"/>
    <w:rsid w:val="0003485A"/>
    <w:rsid w:val="00034869"/>
    <w:rsid w:val="0003487A"/>
    <w:rsid w:val="00034885"/>
    <w:rsid w:val="00034898"/>
    <w:rsid w:val="000348BA"/>
    <w:rsid w:val="000348EB"/>
    <w:rsid w:val="00034923"/>
    <w:rsid w:val="00034927"/>
    <w:rsid w:val="0003492D"/>
    <w:rsid w:val="0003498A"/>
    <w:rsid w:val="000349D5"/>
    <w:rsid w:val="00034A17"/>
    <w:rsid w:val="00034A2B"/>
    <w:rsid w:val="00034AAC"/>
    <w:rsid w:val="00034AAE"/>
    <w:rsid w:val="00034B7E"/>
    <w:rsid w:val="00034B87"/>
    <w:rsid w:val="00034B9F"/>
    <w:rsid w:val="00034BB5"/>
    <w:rsid w:val="00034BE6"/>
    <w:rsid w:val="00034CBF"/>
    <w:rsid w:val="00034D02"/>
    <w:rsid w:val="00034D32"/>
    <w:rsid w:val="00034D77"/>
    <w:rsid w:val="00034D80"/>
    <w:rsid w:val="00034EA0"/>
    <w:rsid w:val="00034EC8"/>
    <w:rsid w:val="00034EEC"/>
    <w:rsid w:val="00034F11"/>
    <w:rsid w:val="00034F2F"/>
    <w:rsid w:val="00034F60"/>
    <w:rsid w:val="00034F69"/>
    <w:rsid w:val="00034FCC"/>
    <w:rsid w:val="00034FFA"/>
    <w:rsid w:val="0003508C"/>
    <w:rsid w:val="000351E6"/>
    <w:rsid w:val="00035241"/>
    <w:rsid w:val="00035266"/>
    <w:rsid w:val="00035270"/>
    <w:rsid w:val="000352AC"/>
    <w:rsid w:val="00035304"/>
    <w:rsid w:val="00035313"/>
    <w:rsid w:val="0003532E"/>
    <w:rsid w:val="00035373"/>
    <w:rsid w:val="00035374"/>
    <w:rsid w:val="00035385"/>
    <w:rsid w:val="000353FB"/>
    <w:rsid w:val="00035425"/>
    <w:rsid w:val="00035448"/>
    <w:rsid w:val="00035453"/>
    <w:rsid w:val="0003549D"/>
    <w:rsid w:val="00035513"/>
    <w:rsid w:val="0003552C"/>
    <w:rsid w:val="00035546"/>
    <w:rsid w:val="00035561"/>
    <w:rsid w:val="000355A4"/>
    <w:rsid w:val="000355B1"/>
    <w:rsid w:val="000355CC"/>
    <w:rsid w:val="000355EF"/>
    <w:rsid w:val="0003561E"/>
    <w:rsid w:val="0003578F"/>
    <w:rsid w:val="000357A0"/>
    <w:rsid w:val="00035813"/>
    <w:rsid w:val="0003583F"/>
    <w:rsid w:val="0003584B"/>
    <w:rsid w:val="000358BA"/>
    <w:rsid w:val="000358CC"/>
    <w:rsid w:val="0003594E"/>
    <w:rsid w:val="00035996"/>
    <w:rsid w:val="00035A2A"/>
    <w:rsid w:val="00035A80"/>
    <w:rsid w:val="00035AD6"/>
    <w:rsid w:val="00035B01"/>
    <w:rsid w:val="00035B0A"/>
    <w:rsid w:val="00035B7D"/>
    <w:rsid w:val="00035BA8"/>
    <w:rsid w:val="00035BC4"/>
    <w:rsid w:val="00035C9A"/>
    <w:rsid w:val="00035CAA"/>
    <w:rsid w:val="00035CF3"/>
    <w:rsid w:val="00035D31"/>
    <w:rsid w:val="00035D5C"/>
    <w:rsid w:val="00035D81"/>
    <w:rsid w:val="00035DB0"/>
    <w:rsid w:val="00035DD2"/>
    <w:rsid w:val="00035DF4"/>
    <w:rsid w:val="00035E28"/>
    <w:rsid w:val="00035E5D"/>
    <w:rsid w:val="00035E61"/>
    <w:rsid w:val="00035E66"/>
    <w:rsid w:val="00035E88"/>
    <w:rsid w:val="00035E92"/>
    <w:rsid w:val="00035EB3"/>
    <w:rsid w:val="00035EB9"/>
    <w:rsid w:val="00035F7A"/>
    <w:rsid w:val="00035FBF"/>
    <w:rsid w:val="00035FF5"/>
    <w:rsid w:val="00036007"/>
    <w:rsid w:val="00036026"/>
    <w:rsid w:val="00036055"/>
    <w:rsid w:val="00036092"/>
    <w:rsid w:val="000360A1"/>
    <w:rsid w:val="000360B2"/>
    <w:rsid w:val="00036113"/>
    <w:rsid w:val="0003613C"/>
    <w:rsid w:val="0003616E"/>
    <w:rsid w:val="00036272"/>
    <w:rsid w:val="00036277"/>
    <w:rsid w:val="0003629E"/>
    <w:rsid w:val="000362A9"/>
    <w:rsid w:val="00036312"/>
    <w:rsid w:val="00036328"/>
    <w:rsid w:val="0003637E"/>
    <w:rsid w:val="000363D8"/>
    <w:rsid w:val="00036415"/>
    <w:rsid w:val="00036475"/>
    <w:rsid w:val="000364C5"/>
    <w:rsid w:val="00036518"/>
    <w:rsid w:val="0003653F"/>
    <w:rsid w:val="000365A6"/>
    <w:rsid w:val="000365AD"/>
    <w:rsid w:val="000365C0"/>
    <w:rsid w:val="000365DB"/>
    <w:rsid w:val="0003667B"/>
    <w:rsid w:val="00036680"/>
    <w:rsid w:val="0003668D"/>
    <w:rsid w:val="000366A3"/>
    <w:rsid w:val="00036785"/>
    <w:rsid w:val="00036809"/>
    <w:rsid w:val="000368BB"/>
    <w:rsid w:val="00036949"/>
    <w:rsid w:val="000369B0"/>
    <w:rsid w:val="000369B6"/>
    <w:rsid w:val="00036A08"/>
    <w:rsid w:val="00036AB0"/>
    <w:rsid w:val="00036AB7"/>
    <w:rsid w:val="00036ADE"/>
    <w:rsid w:val="00036BE7"/>
    <w:rsid w:val="00036C05"/>
    <w:rsid w:val="00036C64"/>
    <w:rsid w:val="00036CD4"/>
    <w:rsid w:val="00036CEA"/>
    <w:rsid w:val="00036D2E"/>
    <w:rsid w:val="00036DD2"/>
    <w:rsid w:val="00036E0D"/>
    <w:rsid w:val="00036E3F"/>
    <w:rsid w:val="00036EC4"/>
    <w:rsid w:val="00036F05"/>
    <w:rsid w:val="00036F48"/>
    <w:rsid w:val="00036F75"/>
    <w:rsid w:val="00036FA9"/>
    <w:rsid w:val="00036FF6"/>
    <w:rsid w:val="00037017"/>
    <w:rsid w:val="0003704B"/>
    <w:rsid w:val="00037099"/>
    <w:rsid w:val="000370BD"/>
    <w:rsid w:val="000370BE"/>
    <w:rsid w:val="00037157"/>
    <w:rsid w:val="0003717A"/>
    <w:rsid w:val="00037195"/>
    <w:rsid w:val="000371A3"/>
    <w:rsid w:val="00037203"/>
    <w:rsid w:val="00037221"/>
    <w:rsid w:val="0003727F"/>
    <w:rsid w:val="000372E5"/>
    <w:rsid w:val="00037359"/>
    <w:rsid w:val="0003739F"/>
    <w:rsid w:val="000373C0"/>
    <w:rsid w:val="00037429"/>
    <w:rsid w:val="0003743E"/>
    <w:rsid w:val="000374D3"/>
    <w:rsid w:val="0003752E"/>
    <w:rsid w:val="000375A0"/>
    <w:rsid w:val="000375A6"/>
    <w:rsid w:val="00037611"/>
    <w:rsid w:val="0003762D"/>
    <w:rsid w:val="000376B2"/>
    <w:rsid w:val="000376FD"/>
    <w:rsid w:val="00037791"/>
    <w:rsid w:val="000377A8"/>
    <w:rsid w:val="000377DA"/>
    <w:rsid w:val="00037811"/>
    <w:rsid w:val="0003785D"/>
    <w:rsid w:val="00037A49"/>
    <w:rsid w:val="00037A63"/>
    <w:rsid w:val="00037AA2"/>
    <w:rsid w:val="00037AFC"/>
    <w:rsid w:val="00037B5D"/>
    <w:rsid w:val="00037BAC"/>
    <w:rsid w:val="00037C54"/>
    <w:rsid w:val="00037C73"/>
    <w:rsid w:val="00037CD5"/>
    <w:rsid w:val="00037D03"/>
    <w:rsid w:val="00037D26"/>
    <w:rsid w:val="00037D59"/>
    <w:rsid w:val="00037D6F"/>
    <w:rsid w:val="00037D8A"/>
    <w:rsid w:val="00037DBA"/>
    <w:rsid w:val="00037DC5"/>
    <w:rsid w:val="00037E3F"/>
    <w:rsid w:val="00037E57"/>
    <w:rsid w:val="00037E6D"/>
    <w:rsid w:val="00037E71"/>
    <w:rsid w:val="00037E73"/>
    <w:rsid w:val="00037EB1"/>
    <w:rsid w:val="00037ED1"/>
    <w:rsid w:val="00037F79"/>
    <w:rsid w:val="00037FB5"/>
    <w:rsid w:val="00037FBE"/>
    <w:rsid w:val="00040054"/>
    <w:rsid w:val="00040094"/>
    <w:rsid w:val="000400CC"/>
    <w:rsid w:val="00040113"/>
    <w:rsid w:val="00040125"/>
    <w:rsid w:val="00040131"/>
    <w:rsid w:val="0004014B"/>
    <w:rsid w:val="00040150"/>
    <w:rsid w:val="00040152"/>
    <w:rsid w:val="0004016A"/>
    <w:rsid w:val="00040179"/>
    <w:rsid w:val="000401B6"/>
    <w:rsid w:val="000401FF"/>
    <w:rsid w:val="00040214"/>
    <w:rsid w:val="00040262"/>
    <w:rsid w:val="00040273"/>
    <w:rsid w:val="00040284"/>
    <w:rsid w:val="00040286"/>
    <w:rsid w:val="000402E6"/>
    <w:rsid w:val="000402FE"/>
    <w:rsid w:val="000403FC"/>
    <w:rsid w:val="0004041B"/>
    <w:rsid w:val="0004043B"/>
    <w:rsid w:val="0004044B"/>
    <w:rsid w:val="00040459"/>
    <w:rsid w:val="000404AD"/>
    <w:rsid w:val="000404B0"/>
    <w:rsid w:val="000404BD"/>
    <w:rsid w:val="000404EF"/>
    <w:rsid w:val="000405F3"/>
    <w:rsid w:val="00040614"/>
    <w:rsid w:val="0004061A"/>
    <w:rsid w:val="00040691"/>
    <w:rsid w:val="000406BB"/>
    <w:rsid w:val="000406E8"/>
    <w:rsid w:val="000406FD"/>
    <w:rsid w:val="00040700"/>
    <w:rsid w:val="00040725"/>
    <w:rsid w:val="00040741"/>
    <w:rsid w:val="0004074A"/>
    <w:rsid w:val="0004074C"/>
    <w:rsid w:val="0004078F"/>
    <w:rsid w:val="000407AD"/>
    <w:rsid w:val="000407E3"/>
    <w:rsid w:val="000407F6"/>
    <w:rsid w:val="00040817"/>
    <w:rsid w:val="00040849"/>
    <w:rsid w:val="0004084B"/>
    <w:rsid w:val="0004087D"/>
    <w:rsid w:val="00040889"/>
    <w:rsid w:val="00040890"/>
    <w:rsid w:val="000408A6"/>
    <w:rsid w:val="00040904"/>
    <w:rsid w:val="00040962"/>
    <w:rsid w:val="0004098F"/>
    <w:rsid w:val="00040992"/>
    <w:rsid w:val="000409C6"/>
    <w:rsid w:val="00040A05"/>
    <w:rsid w:val="00040A23"/>
    <w:rsid w:val="00040A29"/>
    <w:rsid w:val="00040A7B"/>
    <w:rsid w:val="00040A8E"/>
    <w:rsid w:val="00040ABF"/>
    <w:rsid w:val="00040AC3"/>
    <w:rsid w:val="00040AC8"/>
    <w:rsid w:val="00040B2B"/>
    <w:rsid w:val="00040BDC"/>
    <w:rsid w:val="00040BFF"/>
    <w:rsid w:val="00040C23"/>
    <w:rsid w:val="00040C4C"/>
    <w:rsid w:val="00040C5F"/>
    <w:rsid w:val="00040C6E"/>
    <w:rsid w:val="00040C8C"/>
    <w:rsid w:val="00040CA7"/>
    <w:rsid w:val="00040CAB"/>
    <w:rsid w:val="00040CAE"/>
    <w:rsid w:val="00040D28"/>
    <w:rsid w:val="00040D2D"/>
    <w:rsid w:val="00040D5E"/>
    <w:rsid w:val="00040DA8"/>
    <w:rsid w:val="00040DF3"/>
    <w:rsid w:val="00040E0D"/>
    <w:rsid w:val="00040E0E"/>
    <w:rsid w:val="00040E41"/>
    <w:rsid w:val="00040E5E"/>
    <w:rsid w:val="00040E92"/>
    <w:rsid w:val="00040EBC"/>
    <w:rsid w:val="00040EC6"/>
    <w:rsid w:val="00040F4B"/>
    <w:rsid w:val="00040F70"/>
    <w:rsid w:val="00040F8B"/>
    <w:rsid w:val="00040FB2"/>
    <w:rsid w:val="00041011"/>
    <w:rsid w:val="00041012"/>
    <w:rsid w:val="00041015"/>
    <w:rsid w:val="00041035"/>
    <w:rsid w:val="00041048"/>
    <w:rsid w:val="0004105B"/>
    <w:rsid w:val="000410CD"/>
    <w:rsid w:val="000411C7"/>
    <w:rsid w:val="000411F2"/>
    <w:rsid w:val="00041265"/>
    <w:rsid w:val="0004128C"/>
    <w:rsid w:val="0004140C"/>
    <w:rsid w:val="00041445"/>
    <w:rsid w:val="00041446"/>
    <w:rsid w:val="00041471"/>
    <w:rsid w:val="0004147D"/>
    <w:rsid w:val="000414C9"/>
    <w:rsid w:val="000414D0"/>
    <w:rsid w:val="00041511"/>
    <w:rsid w:val="00041540"/>
    <w:rsid w:val="00041568"/>
    <w:rsid w:val="00041573"/>
    <w:rsid w:val="000415AF"/>
    <w:rsid w:val="000415DB"/>
    <w:rsid w:val="000415FA"/>
    <w:rsid w:val="0004160E"/>
    <w:rsid w:val="0004168D"/>
    <w:rsid w:val="00041753"/>
    <w:rsid w:val="0004178D"/>
    <w:rsid w:val="00041790"/>
    <w:rsid w:val="000417AA"/>
    <w:rsid w:val="000417BC"/>
    <w:rsid w:val="0004181E"/>
    <w:rsid w:val="00041850"/>
    <w:rsid w:val="000418B2"/>
    <w:rsid w:val="00041905"/>
    <w:rsid w:val="0004192D"/>
    <w:rsid w:val="000419C8"/>
    <w:rsid w:val="000419FF"/>
    <w:rsid w:val="00041A16"/>
    <w:rsid w:val="00041A1F"/>
    <w:rsid w:val="00041AEF"/>
    <w:rsid w:val="00041B25"/>
    <w:rsid w:val="00041B2D"/>
    <w:rsid w:val="00041B2F"/>
    <w:rsid w:val="00041B8E"/>
    <w:rsid w:val="00041BB1"/>
    <w:rsid w:val="00041C34"/>
    <w:rsid w:val="00041C84"/>
    <w:rsid w:val="00041CE0"/>
    <w:rsid w:val="00041D06"/>
    <w:rsid w:val="00041D63"/>
    <w:rsid w:val="00041D92"/>
    <w:rsid w:val="00041DA5"/>
    <w:rsid w:val="00041E4A"/>
    <w:rsid w:val="00041E5A"/>
    <w:rsid w:val="00041E7F"/>
    <w:rsid w:val="00041EF3"/>
    <w:rsid w:val="00041F1B"/>
    <w:rsid w:val="00041F31"/>
    <w:rsid w:val="00041F37"/>
    <w:rsid w:val="00041F41"/>
    <w:rsid w:val="00041F44"/>
    <w:rsid w:val="00041F5A"/>
    <w:rsid w:val="00041F5F"/>
    <w:rsid w:val="00041F83"/>
    <w:rsid w:val="00041FC8"/>
    <w:rsid w:val="00041FCA"/>
    <w:rsid w:val="0004200A"/>
    <w:rsid w:val="00042011"/>
    <w:rsid w:val="00042029"/>
    <w:rsid w:val="0004202C"/>
    <w:rsid w:val="00042043"/>
    <w:rsid w:val="0004205A"/>
    <w:rsid w:val="000420B7"/>
    <w:rsid w:val="000420DC"/>
    <w:rsid w:val="000420E9"/>
    <w:rsid w:val="00042143"/>
    <w:rsid w:val="00042148"/>
    <w:rsid w:val="0004217A"/>
    <w:rsid w:val="00042197"/>
    <w:rsid w:val="00042213"/>
    <w:rsid w:val="000422A7"/>
    <w:rsid w:val="00042307"/>
    <w:rsid w:val="00042379"/>
    <w:rsid w:val="000423D0"/>
    <w:rsid w:val="000423EA"/>
    <w:rsid w:val="00042461"/>
    <w:rsid w:val="00042486"/>
    <w:rsid w:val="000424D1"/>
    <w:rsid w:val="00042532"/>
    <w:rsid w:val="000425A7"/>
    <w:rsid w:val="000425F9"/>
    <w:rsid w:val="0004260B"/>
    <w:rsid w:val="00042637"/>
    <w:rsid w:val="00042650"/>
    <w:rsid w:val="000426CA"/>
    <w:rsid w:val="000426DA"/>
    <w:rsid w:val="000426E1"/>
    <w:rsid w:val="000426FA"/>
    <w:rsid w:val="00042705"/>
    <w:rsid w:val="0004273D"/>
    <w:rsid w:val="00042744"/>
    <w:rsid w:val="000427F3"/>
    <w:rsid w:val="00042801"/>
    <w:rsid w:val="0004284A"/>
    <w:rsid w:val="00042857"/>
    <w:rsid w:val="000428CA"/>
    <w:rsid w:val="000428CF"/>
    <w:rsid w:val="00042944"/>
    <w:rsid w:val="00042992"/>
    <w:rsid w:val="000429CD"/>
    <w:rsid w:val="000429DD"/>
    <w:rsid w:val="00042A33"/>
    <w:rsid w:val="00042AB9"/>
    <w:rsid w:val="00042ADD"/>
    <w:rsid w:val="00042B76"/>
    <w:rsid w:val="00042B85"/>
    <w:rsid w:val="00042BA5"/>
    <w:rsid w:val="00042C33"/>
    <w:rsid w:val="00042C40"/>
    <w:rsid w:val="00042C6E"/>
    <w:rsid w:val="00042CB0"/>
    <w:rsid w:val="00042CEF"/>
    <w:rsid w:val="00042D1A"/>
    <w:rsid w:val="00042DAF"/>
    <w:rsid w:val="00042DE9"/>
    <w:rsid w:val="00042E25"/>
    <w:rsid w:val="00042E96"/>
    <w:rsid w:val="00042EA4"/>
    <w:rsid w:val="00042EA5"/>
    <w:rsid w:val="00042EE7"/>
    <w:rsid w:val="00042EEF"/>
    <w:rsid w:val="00042F97"/>
    <w:rsid w:val="00042FA1"/>
    <w:rsid w:val="00042FE8"/>
    <w:rsid w:val="000430C5"/>
    <w:rsid w:val="00043143"/>
    <w:rsid w:val="0004318E"/>
    <w:rsid w:val="00043297"/>
    <w:rsid w:val="000432B0"/>
    <w:rsid w:val="000432B4"/>
    <w:rsid w:val="0004330B"/>
    <w:rsid w:val="000433DE"/>
    <w:rsid w:val="000433F7"/>
    <w:rsid w:val="000433F9"/>
    <w:rsid w:val="00043403"/>
    <w:rsid w:val="0004340E"/>
    <w:rsid w:val="0004343D"/>
    <w:rsid w:val="00043446"/>
    <w:rsid w:val="00043489"/>
    <w:rsid w:val="000434C6"/>
    <w:rsid w:val="000435B0"/>
    <w:rsid w:val="000435BC"/>
    <w:rsid w:val="000435BF"/>
    <w:rsid w:val="00043644"/>
    <w:rsid w:val="0004364C"/>
    <w:rsid w:val="000436EE"/>
    <w:rsid w:val="00043770"/>
    <w:rsid w:val="0004378F"/>
    <w:rsid w:val="0004379A"/>
    <w:rsid w:val="000437A7"/>
    <w:rsid w:val="000437E5"/>
    <w:rsid w:val="00043821"/>
    <w:rsid w:val="0004385C"/>
    <w:rsid w:val="0004389D"/>
    <w:rsid w:val="000438A8"/>
    <w:rsid w:val="000438AD"/>
    <w:rsid w:val="000438DA"/>
    <w:rsid w:val="000438E5"/>
    <w:rsid w:val="000438E6"/>
    <w:rsid w:val="000438EC"/>
    <w:rsid w:val="0004395E"/>
    <w:rsid w:val="00043961"/>
    <w:rsid w:val="00043979"/>
    <w:rsid w:val="00043A1B"/>
    <w:rsid w:val="00043A21"/>
    <w:rsid w:val="00043A4F"/>
    <w:rsid w:val="00043AB4"/>
    <w:rsid w:val="00043AD0"/>
    <w:rsid w:val="00043ADF"/>
    <w:rsid w:val="00043B0F"/>
    <w:rsid w:val="00043BC9"/>
    <w:rsid w:val="00043C03"/>
    <w:rsid w:val="00043C1D"/>
    <w:rsid w:val="00043CBE"/>
    <w:rsid w:val="00043CDD"/>
    <w:rsid w:val="00043D5B"/>
    <w:rsid w:val="00043DDB"/>
    <w:rsid w:val="00043E02"/>
    <w:rsid w:val="00043ECC"/>
    <w:rsid w:val="00043EFB"/>
    <w:rsid w:val="00043F1D"/>
    <w:rsid w:val="00043F20"/>
    <w:rsid w:val="00043F91"/>
    <w:rsid w:val="00043FF7"/>
    <w:rsid w:val="00044008"/>
    <w:rsid w:val="0004401F"/>
    <w:rsid w:val="000440C5"/>
    <w:rsid w:val="000440FD"/>
    <w:rsid w:val="00044108"/>
    <w:rsid w:val="0004413B"/>
    <w:rsid w:val="00044146"/>
    <w:rsid w:val="00044157"/>
    <w:rsid w:val="0004415F"/>
    <w:rsid w:val="000441B9"/>
    <w:rsid w:val="000441C9"/>
    <w:rsid w:val="00044263"/>
    <w:rsid w:val="00044290"/>
    <w:rsid w:val="0004429C"/>
    <w:rsid w:val="000442AE"/>
    <w:rsid w:val="000442D2"/>
    <w:rsid w:val="000442FC"/>
    <w:rsid w:val="00044359"/>
    <w:rsid w:val="000443CE"/>
    <w:rsid w:val="00044413"/>
    <w:rsid w:val="00044441"/>
    <w:rsid w:val="00044476"/>
    <w:rsid w:val="00044484"/>
    <w:rsid w:val="0004450D"/>
    <w:rsid w:val="00044559"/>
    <w:rsid w:val="0004456B"/>
    <w:rsid w:val="0004456E"/>
    <w:rsid w:val="0004467E"/>
    <w:rsid w:val="00044683"/>
    <w:rsid w:val="000446A6"/>
    <w:rsid w:val="000446AB"/>
    <w:rsid w:val="000446BD"/>
    <w:rsid w:val="000446CB"/>
    <w:rsid w:val="00044706"/>
    <w:rsid w:val="00044715"/>
    <w:rsid w:val="00044778"/>
    <w:rsid w:val="0004477F"/>
    <w:rsid w:val="000447AA"/>
    <w:rsid w:val="000447B8"/>
    <w:rsid w:val="000448A6"/>
    <w:rsid w:val="000448E0"/>
    <w:rsid w:val="0004492E"/>
    <w:rsid w:val="00044931"/>
    <w:rsid w:val="0004495F"/>
    <w:rsid w:val="00044969"/>
    <w:rsid w:val="00044996"/>
    <w:rsid w:val="000449B3"/>
    <w:rsid w:val="000449D0"/>
    <w:rsid w:val="000449D7"/>
    <w:rsid w:val="00044A30"/>
    <w:rsid w:val="00044A36"/>
    <w:rsid w:val="00044A66"/>
    <w:rsid w:val="00044B04"/>
    <w:rsid w:val="00044B65"/>
    <w:rsid w:val="00044B9C"/>
    <w:rsid w:val="00044BE8"/>
    <w:rsid w:val="00044BEE"/>
    <w:rsid w:val="00044C20"/>
    <w:rsid w:val="00044C2C"/>
    <w:rsid w:val="00044C36"/>
    <w:rsid w:val="00044C3C"/>
    <w:rsid w:val="00044C70"/>
    <w:rsid w:val="00044C71"/>
    <w:rsid w:val="00044C9D"/>
    <w:rsid w:val="00044D25"/>
    <w:rsid w:val="00044D2D"/>
    <w:rsid w:val="00044D5F"/>
    <w:rsid w:val="00044D8A"/>
    <w:rsid w:val="00044E6F"/>
    <w:rsid w:val="00044E82"/>
    <w:rsid w:val="00044F19"/>
    <w:rsid w:val="00044F2D"/>
    <w:rsid w:val="00044F7E"/>
    <w:rsid w:val="00044FBE"/>
    <w:rsid w:val="00044FE7"/>
    <w:rsid w:val="00044FF1"/>
    <w:rsid w:val="00045013"/>
    <w:rsid w:val="0004501C"/>
    <w:rsid w:val="00045053"/>
    <w:rsid w:val="00045057"/>
    <w:rsid w:val="0004509C"/>
    <w:rsid w:val="000450B2"/>
    <w:rsid w:val="00045124"/>
    <w:rsid w:val="00045146"/>
    <w:rsid w:val="000451A8"/>
    <w:rsid w:val="000452E1"/>
    <w:rsid w:val="000453D0"/>
    <w:rsid w:val="000453ED"/>
    <w:rsid w:val="000453F8"/>
    <w:rsid w:val="00045405"/>
    <w:rsid w:val="0004541B"/>
    <w:rsid w:val="0004546A"/>
    <w:rsid w:val="0004546D"/>
    <w:rsid w:val="000454B9"/>
    <w:rsid w:val="000454BA"/>
    <w:rsid w:val="000454C5"/>
    <w:rsid w:val="000454CD"/>
    <w:rsid w:val="0004554D"/>
    <w:rsid w:val="0004556E"/>
    <w:rsid w:val="00045597"/>
    <w:rsid w:val="000455A5"/>
    <w:rsid w:val="000455C5"/>
    <w:rsid w:val="00045612"/>
    <w:rsid w:val="00045627"/>
    <w:rsid w:val="000456E4"/>
    <w:rsid w:val="0004577F"/>
    <w:rsid w:val="000457D7"/>
    <w:rsid w:val="000457DB"/>
    <w:rsid w:val="0004587A"/>
    <w:rsid w:val="0004589B"/>
    <w:rsid w:val="000458A6"/>
    <w:rsid w:val="000458F8"/>
    <w:rsid w:val="00045924"/>
    <w:rsid w:val="00045938"/>
    <w:rsid w:val="0004595A"/>
    <w:rsid w:val="0004599F"/>
    <w:rsid w:val="000459DD"/>
    <w:rsid w:val="00045A15"/>
    <w:rsid w:val="00045A5C"/>
    <w:rsid w:val="00045A69"/>
    <w:rsid w:val="00045AFE"/>
    <w:rsid w:val="00045B3B"/>
    <w:rsid w:val="00045BE7"/>
    <w:rsid w:val="00045C4C"/>
    <w:rsid w:val="00045C59"/>
    <w:rsid w:val="00045C65"/>
    <w:rsid w:val="00045CB5"/>
    <w:rsid w:val="00045CC8"/>
    <w:rsid w:val="00045CF8"/>
    <w:rsid w:val="00045D5E"/>
    <w:rsid w:val="00045DDE"/>
    <w:rsid w:val="00045E01"/>
    <w:rsid w:val="00045E89"/>
    <w:rsid w:val="00045ECB"/>
    <w:rsid w:val="00045EEE"/>
    <w:rsid w:val="00045EF9"/>
    <w:rsid w:val="00045F0C"/>
    <w:rsid w:val="00045F6C"/>
    <w:rsid w:val="00045FBE"/>
    <w:rsid w:val="00045FC4"/>
    <w:rsid w:val="0004604A"/>
    <w:rsid w:val="00046130"/>
    <w:rsid w:val="000461CE"/>
    <w:rsid w:val="000461D5"/>
    <w:rsid w:val="0004623E"/>
    <w:rsid w:val="00046340"/>
    <w:rsid w:val="00046386"/>
    <w:rsid w:val="0004639D"/>
    <w:rsid w:val="000463E7"/>
    <w:rsid w:val="00046419"/>
    <w:rsid w:val="00046432"/>
    <w:rsid w:val="0004643A"/>
    <w:rsid w:val="0004649B"/>
    <w:rsid w:val="000464BA"/>
    <w:rsid w:val="00046503"/>
    <w:rsid w:val="00046507"/>
    <w:rsid w:val="00046526"/>
    <w:rsid w:val="00046546"/>
    <w:rsid w:val="00046583"/>
    <w:rsid w:val="0004658D"/>
    <w:rsid w:val="000465A1"/>
    <w:rsid w:val="000465B4"/>
    <w:rsid w:val="000465D0"/>
    <w:rsid w:val="00046610"/>
    <w:rsid w:val="00046715"/>
    <w:rsid w:val="00046752"/>
    <w:rsid w:val="000467CC"/>
    <w:rsid w:val="00046890"/>
    <w:rsid w:val="000468A6"/>
    <w:rsid w:val="000468BF"/>
    <w:rsid w:val="0004692A"/>
    <w:rsid w:val="00046977"/>
    <w:rsid w:val="0004697F"/>
    <w:rsid w:val="000469CD"/>
    <w:rsid w:val="000469D1"/>
    <w:rsid w:val="000469FA"/>
    <w:rsid w:val="00046A12"/>
    <w:rsid w:val="00046A3B"/>
    <w:rsid w:val="00046A3F"/>
    <w:rsid w:val="00046A43"/>
    <w:rsid w:val="00046A6B"/>
    <w:rsid w:val="00046A72"/>
    <w:rsid w:val="00046A89"/>
    <w:rsid w:val="00046AAE"/>
    <w:rsid w:val="00046B23"/>
    <w:rsid w:val="00046B74"/>
    <w:rsid w:val="00046BB5"/>
    <w:rsid w:val="00046BD8"/>
    <w:rsid w:val="00046C52"/>
    <w:rsid w:val="00046C5C"/>
    <w:rsid w:val="00046D05"/>
    <w:rsid w:val="00046DA2"/>
    <w:rsid w:val="00046DA4"/>
    <w:rsid w:val="00046DB4"/>
    <w:rsid w:val="00046DD4"/>
    <w:rsid w:val="00046DF2"/>
    <w:rsid w:val="00046E5C"/>
    <w:rsid w:val="00046E9B"/>
    <w:rsid w:val="00046ED7"/>
    <w:rsid w:val="00047138"/>
    <w:rsid w:val="00047186"/>
    <w:rsid w:val="00047194"/>
    <w:rsid w:val="000471B8"/>
    <w:rsid w:val="00047274"/>
    <w:rsid w:val="00047300"/>
    <w:rsid w:val="0004732D"/>
    <w:rsid w:val="0004747D"/>
    <w:rsid w:val="00047531"/>
    <w:rsid w:val="00047566"/>
    <w:rsid w:val="000475FC"/>
    <w:rsid w:val="0004768D"/>
    <w:rsid w:val="000476C1"/>
    <w:rsid w:val="00047717"/>
    <w:rsid w:val="000477AC"/>
    <w:rsid w:val="0004780C"/>
    <w:rsid w:val="000478CF"/>
    <w:rsid w:val="000478D9"/>
    <w:rsid w:val="00047936"/>
    <w:rsid w:val="00047971"/>
    <w:rsid w:val="000479D0"/>
    <w:rsid w:val="000479F3"/>
    <w:rsid w:val="00047B7F"/>
    <w:rsid w:val="00047BEF"/>
    <w:rsid w:val="00047BF1"/>
    <w:rsid w:val="00047BF2"/>
    <w:rsid w:val="00047D44"/>
    <w:rsid w:val="00047E26"/>
    <w:rsid w:val="00047E3D"/>
    <w:rsid w:val="00047E4D"/>
    <w:rsid w:val="00047EC8"/>
    <w:rsid w:val="00047F2E"/>
    <w:rsid w:val="00047F5F"/>
    <w:rsid w:val="00047FBC"/>
    <w:rsid w:val="00047FCA"/>
    <w:rsid w:val="0004A174"/>
    <w:rsid w:val="0004BDA0"/>
    <w:rsid w:val="000500F5"/>
    <w:rsid w:val="00050120"/>
    <w:rsid w:val="0005014E"/>
    <w:rsid w:val="0005015C"/>
    <w:rsid w:val="0005019E"/>
    <w:rsid w:val="0005025B"/>
    <w:rsid w:val="00050284"/>
    <w:rsid w:val="00050298"/>
    <w:rsid w:val="000502A6"/>
    <w:rsid w:val="00050355"/>
    <w:rsid w:val="000503CC"/>
    <w:rsid w:val="000503FE"/>
    <w:rsid w:val="00050428"/>
    <w:rsid w:val="0005044F"/>
    <w:rsid w:val="00050464"/>
    <w:rsid w:val="0005047F"/>
    <w:rsid w:val="000504AD"/>
    <w:rsid w:val="00050507"/>
    <w:rsid w:val="00050533"/>
    <w:rsid w:val="0005055C"/>
    <w:rsid w:val="0005056B"/>
    <w:rsid w:val="000505AE"/>
    <w:rsid w:val="000505B9"/>
    <w:rsid w:val="000505F0"/>
    <w:rsid w:val="00050609"/>
    <w:rsid w:val="000506DA"/>
    <w:rsid w:val="00050723"/>
    <w:rsid w:val="000507CF"/>
    <w:rsid w:val="0005081E"/>
    <w:rsid w:val="0005082D"/>
    <w:rsid w:val="00050892"/>
    <w:rsid w:val="00050893"/>
    <w:rsid w:val="0005089F"/>
    <w:rsid w:val="000508B8"/>
    <w:rsid w:val="00050905"/>
    <w:rsid w:val="00050981"/>
    <w:rsid w:val="000509E0"/>
    <w:rsid w:val="00050A26"/>
    <w:rsid w:val="00050A34"/>
    <w:rsid w:val="00050A7D"/>
    <w:rsid w:val="00050AB2"/>
    <w:rsid w:val="00050ACC"/>
    <w:rsid w:val="00050AED"/>
    <w:rsid w:val="00050B2E"/>
    <w:rsid w:val="00050B55"/>
    <w:rsid w:val="00050B6C"/>
    <w:rsid w:val="00050B77"/>
    <w:rsid w:val="00050B80"/>
    <w:rsid w:val="00050B99"/>
    <w:rsid w:val="00050BA2"/>
    <w:rsid w:val="00050BD4"/>
    <w:rsid w:val="00050CC0"/>
    <w:rsid w:val="00050D2D"/>
    <w:rsid w:val="00050DED"/>
    <w:rsid w:val="00050E42"/>
    <w:rsid w:val="00050E58"/>
    <w:rsid w:val="00050E82"/>
    <w:rsid w:val="00050EAB"/>
    <w:rsid w:val="00050EB7"/>
    <w:rsid w:val="00050EC3"/>
    <w:rsid w:val="00050EC4"/>
    <w:rsid w:val="00050ECA"/>
    <w:rsid w:val="00050ED5"/>
    <w:rsid w:val="00050F47"/>
    <w:rsid w:val="00050F4B"/>
    <w:rsid w:val="00050F5C"/>
    <w:rsid w:val="00050FDE"/>
    <w:rsid w:val="00050FEA"/>
    <w:rsid w:val="000510A3"/>
    <w:rsid w:val="000511C1"/>
    <w:rsid w:val="00051201"/>
    <w:rsid w:val="0005123C"/>
    <w:rsid w:val="00051287"/>
    <w:rsid w:val="000512C9"/>
    <w:rsid w:val="000512CF"/>
    <w:rsid w:val="00051311"/>
    <w:rsid w:val="00051423"/>
    <w:rsid w:val="00051451"/>
    <w:rsid w:val="00051464"/>
    <w:rsid w:val="00051488"/>
    <w:rsid w:val="0005148F"/>
    <w:rsid w:val="000514A0"/>
    <w:rsid w:val="000514A4"/>
    <w:rsid w:val="000514D8"/>
    <w:rsid w:val="00051500"/>
    <w:rsid w:val="0005151A"/>
    <w:rsid w:val="0005152C"/>
    <w:rsid w:val="0005159D"/>
    <w:rsid w:val="000515DE"/>
    <w:rsid w:val="000515F2"/>
    <w:rsid w:val="00051624"/>
    <w:rsid w:val="00051633"/>
    <w:rsid w:val="00051695"/>
    <w:rsid w:val="000517F8"/>
    <w:rsid w:val="00051810"/>
    <w:rsid w:val="00051892"/>
    <w:rsid w:val="00051909"/>
    <w:rsid w:val="0005197C"/>
    <w:rsid w:val="00051A16"/>
    <w:rsid w:val="00051A17"/>
    <w:rsid w:val="00051A52"/>
    <w:rsid w:val="00051A72"/>
    <w:rsid w:val="00051ABF"/>
    <w:rsid w:val="00051AEA"/>
    <w:rsid w:val="00051B1D"/>
    <w:rsid w:val="00051B27"/>
    <w:rsid w:val="00051B33"/>
    <w:rsid w:val="00051B67"/>
    <w:rsid w:val="00051B8B"/>
    <w:rsid w:val="00051BD7"/>
    <w:rsid w:val="00051BE5"/>
    <w:rsid w:val="00051BEE"/>
    <w:rsid w:val="00051C0E"/>
    <w:rsid w:val="00051C91"/>
    <w:rsid w:val="00051D2F"/>
    <w:rsid w:val="00051DA0"/>
    <w:rsid w:val="00051E0D"/>
    <w:rsid w:val="00051E49"/>
    <w:rsid w:val="00051E8D"/>
    <w:rsid w:val="00051EE1"/>
    <w:rsid w:val="00051F03"/>
    <w:rsid w:val="00051F88"/>
    <w:rsid w:val="00051FA5"/>
    <w:rsid w:val="00051FB7"/>
    <w:rsid w:val="00051FE7"/>
    <w:rsid w:val="0005203F"/>
    <w:rsid w:val="00052081"/>
    <w:rsid w:val="00052104"/>
    <w:rsid w:val="00052136"/>
    <w:rsid w:val="00052169"/>
    <w:rsid w:val="0005216A"/>
    <w:rsid w:val="00052191"/>
    <w:rsid w:val="000521AB"/>
    <w:rsid w:val="000521C6"/>
    <w:rsid w:val="0005222F"/>
    <w:rsid w:val="000522A0"/>
    <w:rsid w:val="00052300"/>
    <w:rsid w:val="0005231F"/>
    <w:rsid w:val="00052345"/>
    <w:rsid w:val="0005236F"/>
    <w:rsid w:val="00052492"/>
    <w:rsid w:val="000524A8"/>
    <w:rsid w:val="000524D9"/>
    <w:rsid w:val="000524E5"/>
    <w:rsid w:val="0005252F"/>
    <w:rsid w:val="000525C5"/>
    <w:rsid w:val="00052632"/>
    <w:rsid w:val="0005263E"/>
    <w:rsid w:val="000526C2"/>
    <w:rsid w:val="00052703"/>
    <w:rsid w:val="00052704"/>
    <w:rsid w:val="0005275F"/>
    <w:rsid w:val="00052771"/>
    <w:rsid w:val="000527A6"/>
    <w:rsid w:val="000527E2"/>
    <w:rsid w:val="00052829"/>
    <w:rsid w:val="0005285D"/>
    <w:rsid w:val="000528A3"/>
    <w:rsid w:val="000528D1"/>
    <w:rsid w:val="00052967"/>
    <w:rsid w:val="0005296B"/>
    <w:rsid w:val="000529E8"/>
    <w:rsid w:val="00052A2E"/>
    <w:rsid w:val="00052A38"/>
    <w:rsid w:val="00052A93"/>
    <w:rsid w:val="00052B63"/>
    <w:rsid w:val="00052B7E"/>
    <w:rsid w:val="00052BA6"/>
    <w:rsid w:val="00052BBE"/>
    <w:rsid w:val="00052C0A"/>
    <w:rsid w:val="00052C52"/>
    <w:rsid w:val="00052C7E"/>
    <w:rsid w:val="00052D41"/>
    <w:rsid w:val="00052D98"/>
    <w:rsid w:val="00052DDC"/>
    <w:rsid w:val="00052DE8"/>
    <w:rsid w:val="00052E11"/>
    <w:rsid w:val="00052E20"/>
    <w:rsid w:val="00052E70"/>
    <w:rsid w:val="00052E74"/>
    <w:rsid w:val="00052E8E"/>
    <w:rsid w:val="00052F19"/>
    <w:rsid w:val="00052F21"/>
    <w:rsid w:val="00052F76"/>
    <w:rsid w:val="00052FA8"/>
    <w:rsid w:val="00053069"/>
    <w:rsid w:val="00053091"/>
    <w:rsid w:val="000530A0"/>
    <w:rsid w:val="000530CC"/>
    <w:rsid w:val="00053112"/>
    <w:rsid w:val="0005314F"/>
    <w:rsid w:val="0005319D"/>
    <w:rsid w:val="000531BE"/>
    <w:rsid w:val="000531D9"/>
    <w:rsid w:val="000531DD"/>
    <w:rsid w:val="00053202"/>
    <w:rsid w:val="00053241"/>
    <w:rsid w:val="00053264"/>
    <w:rsid w:val="000532C6"/>
    <w:rsid w:val="000532F6"/>
    <w:rsid w:val="00053347"/>
    <w:rsid w:val="00053359"/>
    <w:rsid w:val="00053392"/>
    <w:rsid w:val="00053400"/>
    <w:rsid w:val="00053437"/>
    <w:rsid w:val="0005348D"/>
    <w:rsid w:val="000534FD"/>
    <w:rsid w:val="00053511"/>
    <w:rsid w:val="00053541"/>
    <w:rsid w:val="0005358F"/>
    <w:rsid w:val="000535C5"/>
    <w:rsid w:val="000535E3"/>
    <w:rsid w:val="00053606"/>
    <w:rsid w:val="00053624"/>
    <w:rsid w:val="00053649"/>
    <w:rsid w:val="0005364E"/>
    <w:rsid w:val="000536AB"/>
    <w:rsid w:val="000536BF"/>
    <w:rsid w:val="000536E4"/>
    <w:rsid w:val="000536F9"/>
    <w:rsid w:val="000536FD"/>
    <w:rsid w:val="00053787"/>
    <w:rsid w:val="00053837"/>
    <w:rsid w:val="0005384C"/>
    <w:rsid w:val="00053912"/>
    <w:rsid w:val="00053958"/>
    <w:rsid w:val="000539FD"/>
    <w:rsid w:val="00053B2A"/>
    <w:rsid w:val="00053BA4"/>
    <w:rsid w:val="00053BA6"/>
    <w:rsid w:val="00053BB3"/>
    <w:rsid w:val="00053BC7"/>
    <w:rsid w:val="00053BCA"/>
    <w:rsid w:val="00053BEB"/>
    <w:rsid w:val="00053BF5"/>
    <w:rsid w:val="00053CA1"/>
    <w:rsid w:val="00053CD0"/>
    <w:rsid w:val="00053D08"/>
    <w:rsid w:val="00053D22"/>
    <w:rsid w:val="00053D28"/>
    <w:rsid w:val="00053D3B"/>
    <w:rsid w:val="00053D8C"/>
    <w:rsid w:val="00053DCD"/>
    <w:rsid w:val="00053E63"/>
    <w:rsid w:val="00053E87"/>
    <w:rsid w:val="00053ED1"/>
    <w:rsid w:val="00053F2D"/>
    <w:rsid w:val="00053F30"/>
    <w:rsid w:val="00053FC7"/>
    <w:rsid w:val="00054019"/>
    <w:rsid w:val="00054087"/>
    <w:rsid w:val="000540DB"/>
    <w:rsid w:val="000541D2"/>
    <w:rsid w:val="0005423C"/>
    <w:rsid w:val="00054244"/>
    <w:rsid w:val="00054251"/>
    <w:rsid w:val="0005427E"/>
    <w:rsid w:val="000542AE"/>
    <w:rsid w:val="00054371"/>
    <w:rsid w:val="000543B5"/>
    <w:rsid w:val="000543C1"/>
    <w:rsid w:val="000543CD"/>
    <w:rsid w:val="0005440D"/>
    <w:rsid w:val="0005440F"/>
    <w:rsid w:val="00054498"/>
    <w:rsid w:val="000544AF"/>
    <w:rsid w:val="000544ED"/>
    <w:rsid w:val="000544EF"/>
    <w:rsid w:val="00054550"/>
    <w:rsid w:val="0005456C"/>
    <w:rsid w:val="0005457F"/>
    <w:rsid w:val="00054594"/>
    <w:rsid w:val="00054621"/>
    <w:rsid w:val="00054638"/>
    <w:rsid w:val="00054716"/>
    <w:rsid w:val="00054727"/>
    <w:rsid w:val="0005472C"/>
    <w:rsid w:val="0005472E"/>
    <w:rsid w:val="00054736"/>
    <w:rsid w:val="00054761"/>
    <w:rsid w:val="000547A0"/>
    <w:rsid w:val="000547BF"/>
    <w:rsid w:val="0005481D"/>
    <w:rsid w:val="00054833"/>
    <w:rsid w:val="00054842"/>
    <w:rsid w:val="00054863"/>
    <w:rsid w:val="00054883"/>
    <w:rsid w:val="00054956"/>
    <w:rsid w:val="000549D0"/>
    <w:rsid w:val="000549D4"/>
    <w:rsid w:val="000549E8"/>
    <w:rsid w:val="00054A00"/>
    <w:rsid w:val="00054A3A"/>
    <w:rsid w:val="00054A50"/>
    <w:rsid w:val="00054AB1"/>
    <w:rsid w:val="00054ADA"/>
    <w:rsid w:val="00054ADE"/>
    <w:rsid w:val="00054AE9"/>
    <w:rsid w:val="00054B4E"/>
    <w:rsid w:val="00054BE0"/>
    <w:rsid w:val="00054C45"/>
    <w:rsid w:val="00054CA8"/>
    <w:rsid w:val="00054CB0"/>
    <w:rsid w:val="00054D00"/>
    <w:rsid w:val="00054DCF"/>
    <w:rsid w:val="00054DD2"/>
    <w:rsid w:val="00054E01"/>
    <w:rsid w:val="00054E10"/>
    <w:rsid w:val="00054E2F"/>
    <w:rsid w:val="00054E40"/>
    <w:rsid w:val="00054EB5"/>
    <w:rsid w:val="00054EDA"/>
    <w:rsid w:val="00054EE5"/>
    <w:rsid w:val="00054EE9"/>
    <w:rsid w:val="00054F6C"/>
    <w:rsid w:val="00054FCF"/>
    <w:rsid w:val="00054FFD"/>
    <w:rsid w:val="0005504C"/>
    <w:rsid w:val="00055054"/>
    <w:rsid w:val="00055068"/>
    <w:rsid w:val="00055076"/>
    <w:rsid w:val="000550D1"/>
    <w:rsid w:val="000550F9"/>
    <w:rsid w:val="00055133"/>
    <w:rsid w:val="0005513F"/>
    <w:rsid w:val="000551D6"/>
    <w:rsid w:val="000551E1"/>
    <w:rsid w:val="000552BA"/>
    <w:rsid w:val="000552D2"/>
    <w:rsid w:val="000552DF"/>
    <w:rsid w:val="00055305"/>
    <w:rsid w:val="00055325"/>
    <w:rsid w:val="00055358"/>
    <w:rsid w:val="00055404"/>
    <w:rsid w:val="0005540A"/>
    <w:rsid w:val="0005541B"/>
    <w:rsid w:val="00055458"/>
    <w:rsid w:val="00055489"/>
    <w:rsid w:val="000554F6"/>
    <w:rsid w:val="0005554F"/>
    <w:rsid w:val="00055671"/>
    <w:rsid w:val="000556C5"/>
    <w:rsid w:val="000556D2"/>
    <w:rsid w:val="00055732"/>
    <w:rsid w:val="00055748"/>
    <w:rsid w:val="0005574E"/>
    <w:rsid w:val="000557F6"/>
    <w:rsid w:val="00055813"/>
    <w:rsid w:val="00055849"/>
    <w:rsid w:val="00055881"/>
    <w:rsid w:val="000558AF"/>
    <w:rsid w:val="00055930"/>
    <w:rsid w:val="00055965"/>
    <w:rsid w:val="0005598E"/>
    <w:rsid w:val="00055A08"/>
    <w:rsid w:val="00055A21"/>
    <w:rsid w:val="00055A49"/>
    <w:rsid w:val="00055A95"/>
    <w:rsid w:val="00055B1A"/>
    <w:rsid w:val="00055B2A"/>
    <w:rsid w:val="00055BF5"/>
    <w:rsid w:val="00055C4D"/>
    <w:rsid w:val="00055C57"/>
    <w:rsid w:val="00055CE1"/>
    <w:rsid w:val="00055D1E"/>
    <w:rsid w:val="00055D52"/>
    <w:rsid w:val="00055D53"/>
    <w:rsid w:val="00055D5F"/>
    <w:rsid w:val="00055DF0"/>
    <w:rsid w:val="00055E54"/>
    <w:rsid w:val="00055E86"/>
    <w:rsid w:val="00055F24"/>
    <w:rsid w:val="00055F2F"/>
    <w:rsid w:val="00055F46"/>
    <w:rsid w:val="00055FA0"/>
    <w:rsid w:val="00055FD2"/>
    <w:rsid w:val="0005606B"/>
    <w:rsid w:val="0005607E"/>
    <w:rsid w:val="000560C2"/>
    <w:rsid w:val="000560D2"/>
    <w:rsid w:val="00056111"/>
    <w:rsid w:val="00056153"/>
    <w:rsid w:val="0005618E"/>
    <w:rsid w:val="000561F8"/>
    <w:rsid w:val="00056236"/>
    <w:rsid w:val="00056246"/>
    <w:rsid w:val="00056331"/>
    <w:rsid w:val="00056373"/>
    <w:rsid w:val="00056376"/>
    <w:rsid w:val="00056388"/>
    <w:rsid w:val="00056390"/>
    <w:rsid w:val="00056471"/>
    <w:rsid w:val="000564DF"/>
    <w:rsid w:val="0005651B"/>
    <w:rsid w:val="0005656C"/>
    <w:rsid w:val="000565C6"/>
    <w:rsid w:val="0005660B"/>
    <w:rsid w:val="0005666F"/>
    <w:rsid w:val="000566B4"/>
    <w:rsid w:val="00056736"/>
    <w:rsid w:val="0005673E"/>
    <w:rsid w:val="00056767"/>
    <w:rsid w:val="000567B9"/>
    <w:rsid w:val="000567F3"/>
    <w:rsid w:val="000568B9"/>
    <w:rsid w:val="0005692C"/>
    <w:rsid w:val="000569A6"/>
    <w:rsid w:val="00056A02"/>
    <w:rsid w:val="00056A0F"/>
    <w:rsid w:val="00056A11"/>
    <w:rsid w:val="00056A29"/>
    <w:rsid w:val="00056A44"/>
    <w:rsid w:val="00056A8C"/>
    <w:rsid w:val="00056AF9"/>
    <w:rsid w:val="00056AFA"/>
    <w:rsid w:val="00056B0C"/>
    <w:rsid w:val="00056B1D"/>
    <w:rsid w:val="00056BCF"/>
    <w:rsid w:val="00056BEE"/>
    <w:rsid w:val="00056BF4"/>
    <w:rsid w:val="00056C0E"/>
    <w:rsid w:val="00056C22"/>
    <w:rsid w:val="00056C3A"/>
    <w:rsid w:val="00056C79"/>
    <w:rsid w:val="00056CDC"/>
    <w:rsid w:val="00056D20"/>
    <w:rsid w:val="00056D3C"/>
    <w:rsid w:val="00056D49"/>
    <w:rsid w:val="00056D8B"/>
    <w:rsid w:val="00056DFE"/>
    <w:rsid w:val="00056E0C"/>
    <w:rsid w:val="00056E16"/>
    <w:rsid w:val="00056E24"/>
    <w:rsid w:val="00056E7C"/>
    <w:rsid w:val="00056E7E"/>
    <w:rsid w:val="00056E98"/>
    <w:rsid w:val="00056ECD"/>
    <w:rsid w:val="00056EE2"/>
    <w:rsid w:val="00056EF0"/>
    <w:rsid w:val="00056F92"/>
    <w:rsid w:val="00056FA0"/>
    <w:rsid w:val="00056FDD"/>
    <w:rsid w:val="0005701C"/>
    <w:rsid w:val="00057027"/>
    <w:rsid w:val="0005704A"/>
    <w:rsid w:val="0005705B"/>
    <w:rsid w:val="00057061"/>
    <w:rsid w:val="000570B5"/>
    <w:rsid w:val="000570DE"/>
    <w:rsid w:val="000570DF"/>
    <w:rsid w:val="0005713B"/>
    <w:rsid w:val="0005725C"/>
    <w:rsid w:val="0005726A"/>
    <w:rsid w:val="00057283"/>
    <w:rsid w:val="00057291"/>
    <w:rsid w:val="000572AE"/>
    <w:rsid w:val="000572BB"/>
    <w:rsid w:val="000572C3"/>
    <w:rsid w:val="00057321"/>
    <w:rsid w:val="00057324"/>
    <w:rsid w:val="00057353"/>
    <w:rsid w:val="0005735C"/>
    <w:rsid w:val="00057371"/>
    <w:rsid w:val="00057393"/>
    <w:rsid w:val="000573A8"/>
    <w:rsid w:val="00057453"/>
    <w:rsid w:val="00057468"/>
    <w:rsid w:val="00057480"/>
    <w:rsid w:val="000574AA"/>
    <w:rsid w:val="000574EC"/>
    <w:rsid w:val="00057503"/>
    <w:rsid w:val="00057522"/>
    <w:rsid w:val="000575D2"/>
    <w:rsid w:val="00057611"/>
    <w:rsid w:val="00057667"/>
    <w:rsid w:val="00057689"/>
    <w:rsid w:val="000576B5"/>
    <w:rsid w:val="00057749"/>
    <w:rsid w:val="00057755"/>
    <w:rsid w:val="00057765"/>
    <w:rsid w:val="0005780D"/>
    <w:rsid w:val="0005787A"/>
    <w:rsid w:val="00057885"/>
    <w:rsid w:val="000578A9"/>
    <w:rsid w:val="000578B9"/>
    <w:rsid w:val="000578CE"/>
    <w:rsid w:val="000578EA"/>
    <w:rsid w:val="00057932"/>
    <w:rsid w:val="00057946"/>
    <w:rsid w:val="00057992"/>
    <w:rsid w:val="000579AF"/>
    <w:rsid w:val="000579F9"/>
    <w:rsid w:val="00057A10"/>
    <w:rsid w:val="00057A44"/>
    <w:rsid w:val="00057A46"/>
    <w:rsid w:val="00057ABF"/>
    <w:rsid w:val="00057B1F"/>
    <w:rsid w:val="00057B37"/>
    <w:rsid w:val="00057B67"/>
    <w:rsid w:val="00057C02"/>
    <w:rsid w:val="00057C7A"/>
    <w:rsid w:val="00057CCD"/>
    <w:rsid w:val="00057D3F"/>
    <w:rsid w:val="00057D62"/>
    <w:rsid w:val="00057D75"/>
    <w:rsid w:val="00057D76"/>
    <w:rsid w:val="00057D9B"/>
    <w:rsid w:val="00057DA5"/>
    <w:rsid w:val="00057DBF"/>
    <w:rsid w:val="00057DF3"/>
    <w:rsid w:val="00057E1B"/>
    <w:rsid w:val="00057F23"/>
    <w:rsid w:val="00057F97"/>
    <w:rsid w:val="00057FBF"/>
    <w:rsid w:val="0006003A"/>
    <w:rsid w:val="00060082"/>
    <w:rsid w:val="000600B9"/>
    <w:rsid w:val="000600C4"/>
    <w:rsid w:val="0006016D"/>
    <w:rsid w:val="00060176"/>
    <w:rsid w:val="000601E3"/>
    <w:rsid w:val="00060218"/>
    <w:rsid w:val="000602B1"/>
    <w:rsid w:val="000602F6"/>
    <w:rsid w:val="0006032C"/>
    <w:rsid w:val="0006034A"/>
    <w:rsid w:val="00060355"/>
    <w:rsid w:val="0006036E"/>
    <w:rsid w:val="00060404"/>
    <w:rsid w:val="00060435"/>
    <w:rsid w:val="0006044B"/>
    <w:rsid w:val="0006045E"/>
    <w:rsid w:val="00060464"/>
    <w:rsid w:val="0006047D"/>
    <w:rsid w:val="000604A2"/>
    <w:rsid w:val="000604DE"/>
    <w:rsid w:val="00060541"/>
    <w:rsid w:val="000605A3"/>
    <w:rsid w:val="000605A4"/>
    <w:rsid w:val="00060644"/>
    <w:rsid w:val="0006067D"/>
    <w:rsid w:val="000606F7"/>
    <w:rsid w:val="0006077F"/>
    <w:rsid w:val="000607B2"/>
    <w:rsid w:val="00060807"/>
    <w:rsid w:val="0006081D"/>
    <w:rsid w:val="000608BD"/>
    <w:rsid w:val="00060941"/>
    <w:rsid w:val="00060946"/>
    <w:rsid w:val="00060999"/>
    <w:rsid w:val="000609A1"/>
    <w:rsid w:val="00060A19"/>
    <w:rsid w:val="00060A1C"/>
    <w:rsid w:val="00060A1D"/>
    <w:rsid w:val="00060A24"/>
    <w:rsid w:val="00060A7A"/>
    <w:rsid w:val="00060AC2"/>
    <w:rsid w:val="00060AD0"/>
    <w:rsid w:val="00060AD6"/>
    <w:rsid w:val="00060AE5"/>
    <w:rsid w:val="00060B69"/>
    <w:rsid w:val="00060B86"/>
    <w:rsid w:val="00060BDB"/>
    <w:rsid w:val="00060C56"/>
    <w:rsid w:val="00060C6D"/>
    <w:rsid w:val="00060C82"/>
    <w:rsid w:val="00060CAD"/>
    <w:rsid w:val="00060CC5"/>
    <w:rsid w:val="00060CCC"/>
    <w:rsid w:val="00060CD4"/>
    <w:rsid w:val="00060CDF"/>
    <w:rsid w:val="00060D6B"/>
    <w:rsid w:val="00060DA4"/>
    <w:rsid w:val="00060DC8"/>
    <w:rsid w:val="00060DDE"/>
    <w:rsid w:val="00060DF2"/>
    <w:rsid w:val="00060E49"/>
    <w:rsid w:val="00060E5A"/>
    <w:rsid w:val="00060E84"/>
    <w:rsid w:val="00060EC4"/>
    <w:rsid w:val="00060F7A"/>
    <w:rsid w:val="00060F7D"/>
    <w:rsid w:val="00060F90"/>
    <w:rsid w:val="00060FD1"/>
    <w:rsid w:val="00060FEF"/>
    <w:rsid w:val="0006100F"/>
    <w:rsid w:val="00061026"/>
    <w:rsid w:val="00061138"/>
    <w:rsid w:val="0006113B"/>
    <w:rsid w:val="00061178"/>
    <w:rsid w:val="00061185"/>
    <w:rsid w:val="00061196"/>
    <w:rsid w:val="000611BC"/>
    <w:rsid w:val="00061214"/>
    <w:rsid w:val="00061216"/>
    <w:rsid w:val="00061299"/>
    <w:rsid w:val="000612A4"/>
    <w:rsid w:val="00061305"/>
    <w:rsid w:val="00061337"/>
    <w:rsid w:val="00061389"/>
    <w:rsid w:val="000613CD"/>
    <w:rsid w:val="000613EA"/>
    <w:rsid w:val="000613FB"/>
    <w:rsid w:val="00061403"/>
    <w:rsid w:val="00061429"/>
    <w:rsid w:val="00061445"/>
    <w:rsid w:val="0006146B"/>
    <w:rsid w:val="00061485"/>
    <w:rsid w:val="000614A1"/>
    <w:rsid w:val="000614B1"/>
    <w:rsid w:val="000614BB"/>
    <w:rsid w:val="000614E2"/>
    <w:rsid w:val="000614F7"/>
    <w:rsid w:val="0006150F"/>
    <w:rsid w:val="00061516"/>
    <w:rsid w:val="0006155E"/>
    <w:rsid w:val="000615F8"/>
    <w:rsid w:val="0006165B"/>
    <w:rsid w:val="000616F9"/>
    <w:rsid w:val="00061713"/>
    <w:rsid w:val="0006171C"/>
    <w:rsid w:val="0006178B"/>
    <w:rsid w:val="0006183B"/>
    <w:rsid w:val="0006186B"/>
    <w:rsid w:val="00061875"/>
    <w:rsid w:val="0006193A"/>
    <w:rsid w:val="00061944"/>
    <w:rsid w:val="0006199F"/>
    <w:rsid w:val="000619BA"/>
    <w:rsid w:val="00061A70"/>
    <w:rsid w:val="00061AA5"/>
    <w:rsid w:val="00061AFE"/>
    <w:rsid w:val="00061BBD"/>
    <w:rsid w:val="00061C2B"/>
    <w:rsid w:val="00061C33"/>
    <w:rsid w:val="00061C63"/>
    <w:rsid w:val="00061C93"/>
    <w:rsid w:val="00061CCE"/>
    <w:rsid w:val="00061D28"/>
    <w:rsid w:val="00061D42"/>
    <w:rsid w:val="00061D56"/>
    <w:rsid w:val="00061D69"/>
    <w:rsid w:val="00061E7E"/>
    <w:rsid w:val="00061E97"/>
    <w:rsid w:val="00061EC5"/>
    <w:rsid w:val="00061ECB"/>
    <w:rsid w:val="00061EEC"/>
    <w:rsid w:val="00061F1A"/>
    <w:rsid w:val="00061F96"/>
    <w:rsid w:val="00061FC3"/>
    <w:rsid w:val="00062037"/>
    <w:rsid w:val="00062047"/>
    <w:rsid w:val="00062062"/>
    <w:rsid w:val="000620BE"/>
    <w:rsid w:val="000620D7"/>
    <w:rsid w:val="000620E8"/>
    <w:rsid w:val="000620EB"/>
    <w:rsid w:val="00062103"/>
    <w:rsid w:val="0006212C"/>
    <w:rsid w:val="00062153"/>
    <w:rsid w:val="0006215A"/>
    <w:rsid w:val="00062167"/>
    <w:rsid w:val="0006227A"/>
    <w:rsid w:val="000622C5"/>
    <w:rsid w:val="00062439"/>
    <w:rsid w:val="0006246B"/>
    <w:rsid w:val="0006247E"/>
    <w:rsid w:val="000624B8"/>
    <w:rsid w:val="00062672"/>
    <w:rsid w:val="0006267F"/>
    <w:rsid w:val="0006269E"/>
    <w:rsid w:val="000626A1"/>
    <w:rsid w:val="000626A2"/>
    <w:rsid w:val="000626E7"/>
    <w:rsid w:val="00062717"/>
    <w:rsid w:val="00062737"/>
    <w:rsid w:val="00062758"/>
    <w:rsid w:val="000627D3"/>
    <w:rsid w:val="000627EB"/>
    <w:rsid w:val="00062835"/>
    <w:rsid w:val="00062853"/>
    <w:rsid w:val="000628C2"/>
    <w:rsid w:val="00062908"/>
    <w:rsid w:val="0006291F"/>
    <w:rsid w:val="00062965"/>
    <w:rsid w:val="00062966"/>
    <w:rsid w:val="00062969"/>
    <w:rsid w:val="000629D6"/>
    <w:rsid w:val="00062A03"/>
    <w:rsid w:val="00062A88"/>
    <w:rsid w:val="00062A9E"/>
    <w:rsid w:val="00062B74"/>
    <w:rsid w:val="00062B76"/>
    <w:rsid w:val="00062C0C"/>
    <w:rsid w:val="00062C17"/>
    <w:rsid w:val="00062C4F"/>
    <w:rsid w:val="00062C69"/>
    <w:rsid w:val="00062D25"/>
    <w:rsid w:val="00062D33"/>
    <w:rsid w:val="00062D37"/>
    <w:rsid w:val="00062D43"/>
    <w:rsid w:val="00062D4F"/>
    <w:rsid w:val="00062D5F"/>
    <w:rsid w:val="00062E02"/>
    <w:rsid w:val="00062E20"/>
    <w:rsid w:val="00062E59"/>
    <w:rsid w:val="00062E75"/>
    <w:rsid w:val="00062EB3"/>
    <w:rsid w:val="00062EBF"/>
    <w:rsid w:val="00062F94"/>
    <w:rsid w:val="00062FBE"/>
    <w:rsid w:val="0006301A"/>
    <w:rsid w:val="0006303F"/>
    <w:rsid w:val="000630A2"/>
    <w:rsid w:val="000630F3"/>
    <w:rsid w:val="00063121"/>
    <w:rsid w:val="00063147"/>
    <w:rsid w:val="00063211"/>
    <w:rsid w:val="0006323A"/>
    <w:rsid w:val="0006328C"/>
    <w:rsid w:val="000632B4"/>
    <w:rsid w:val="000632B8"/>
    <w:rsid w:val="000632DB"/>
    <w:rsid w:val="000632FD"/>
    <w:rsid w:val="00063367"/>
    <w:rsid w:val="000633B8"/>
    <w:rsid w:val="00063409"/>
    <w:rsid w:val="00063442"/>
    <w:rsid w:val="0006348F"/>
    <w:rsid w:val="000634DA"/>
    <w:rsid w:val="00063587"/>
    <w:rsid w:val="000635DE"/>
    <w:rsid w:val="000636DC"/>
    <w:rsid w:val="0006378B"/>
    <w:rsid w:val="000637C6"/>
    <w:rsid w:val="000637CC"/>
    <w:rsid w:val="000637DE"/>
    <w:rsid w:val="000637F4"/>
    <w:rsid w:val="00063814"/>
    <w:rsid w:val="0006381C"/>
    <w:rsid w:val="00063838"/>
    <w:rsid w:val="00063849"/>
    <w:rsid w:val="00063868"/>
    <w:rsid w:val="00063890"/>
    <w:rsid w:val="0006391E"/>
    <w:rsid w:val="00063924"/>
    <w:rsid w:val="00063938"/>
    <w:rsid w:val="0006394D"/>
    <w:rsid w:val="00063952"/>
    <w:rsid w:val="00063973"/>
    <w:rsid w:val="00063982"/>
    <w:rsid w:val="000639B1"/>
    <w:rsid w:val="000639C4"/>
    <w:rsid w:val="00063AD4"/>
    <w:rsid w:val="00063B14"/>
    <w:rsid w:val="00063B47"/>
    <w:rsid w:val="00063B49"/>
    <w:rsid w:val="00063B61"/>
    <w:rsid w:val="00063B9D"/>
    <w:rsid w:val="00063BA5"/>
    <w:rsid w:val="00063C4D"/>
    <w:rsid w:val="00063C69"/>
    <w:rsid w:val="00063CB9"/>
    <w:rsid w:val="00063CC8"/>
    <w:rsid w:val="00063D24"/>
    <w:rsid w:val="00063D2B"/>
    <w:rsid w:val="00063DC6"/>
    <w:rsid w:val="00063E45"/>
    <w:rsid w:val="00063E61"/>
    <w:rsid w:val="00063E69"/>
    <w:rsid w:val="00063EE4"/>
    <w:rsid w:val="00063F55"/>
    <w:rsid w:val="00063F7A"/>
    <w:rsid w:val="00063F7B"/>
    <w:rsid w:val="00063FFF"/>
    <w:rsid w:val="00064041"/>
    <w:rsid w:val="00064069"/>
    <w:rsid w:val="00064085"/>
    <w:rsid w:val="000640DD"/>
    <w:rsid w:val="00064102"/>
    <w:rsid w:val="00064151"/>
    <w:rsid w:val="000641BE"/>
    <w:rsid w:val="000641F2"/>
    <w:rsid w:val="0006420E"/>
    <w:rsid w:val="00064214"/>
    <w:rsid w:val="0006428B"/>
    <w:rsid w:val="000643C9"/>
    <w:rsid w:val="000643EC"/>
    <w:rsid w:val="00064458"/>
    <w:rsid w:val="000644A6"/>
    <w:rsid w:val="000644EB"/>
    <w:rsid w:val="00064519"/>
    <w:rsid w:val="0006454C"/>
    <w:rsid w:val="0006454F"/>
    <w:rsid w:val="00064598"/>
    <w:rsid w:val="000645E4"/>
    <w:rsid w:val="00064675"/>
    <w:rsid w:val="000646D5"/>
    <w:rsid w:val="000646E3"/>
    <w:rsid w:val="00064700"/>
    <w:rsid w:val="00064775"/>
    <w:rsid w:val="00064787"/>
    <w:rsid w:val="000647EC"/>
    <w:rsid w:val="0006482C"/>
    <w:rsid w:val="000648A6"/>
    <w:rsid w:val="00064904"/>
    <w:rsid w:val="00064947"/>
    <w:rsid w:val="000649C1"/>
    <w:rsid w:val="00064A42"/>
    <w:rsid w:val="00064AA3"/>
    <w:rsid w:val="00064B16"/>
    <w:rsid w:val="00064B28"/>
    <w:rsid w:val="00064B6E"/>
    <w:rsid w:val="00064BD8"/>
    <w:rsid w:val="00064C08"/>
    <w:rsid w:val="00064D29"/>
    <w:rsid w:val="00064DA1"/>
    <w:rsid w:val="00064DE9"/>
    <w:rsid w:val="00064DFB"/>
    <w:rsid w:val="00064F07"/>
    <w:rsid w:val="00064F41"/>
    <w:rsid w:val="00064FCB"/>
    <w:rsid w:val="00064FF1"/>
    <w:rsid w:val="00065015"/>
    <w:rsid w:val="000650B0"/>
    <w:rsid w:val="000650C0"/>
    <w:rsid w:val="000650E5"/>
    <w:rsid w:val="0006517C"/>
    <w:rsid w:val="000651D6"/>
    <w:rsid w:val="000651F3"/>
    <w:rsid w:val="00065256"/>
    <w:rsid w:val="00065298"/>
    <w:rsid w:val="0006529A"/>
    <w:rsid w:val="000652A1"/>
    <w:rsid w:val="000652AE"/>
    <w:rsid w:val="000652CF"/>
    <w:rsid w:val="0006535B"/>
    <w:rsid w:val="0006537B"/>
    <w:rsid w:val="000653CB"/>
    <w:rsid w:val="000653F7"/>
    <w:rsid w:val="000654B1"/>
    <w:rsid w:val="0006553D"/>
    <w:rsid w:val="00065697"/>
    <w:rsid w:val="000656B2"/>
    <w:rsid w:val="0006573C"/>
    <w:rsid w:val="000657D6"/>
    <w:rsid w:val="000657F6"/>
    <w:rsid w:val="00065820"/>
    <w:rsid w:val="0006582A"/>
    <w:rsid w:val="0006590F"/>
    <w:rsid w:val="00065937"/>
    <w:rsid w:val="00065962"/>
    <w:rsid w:val="00065972"/>
    <w:rsid w:val="00065A0F"/>
    <w:rsid w:val="00065A25"/>
    <w:rsid w:val="00065A68"/>
    <w:rsid w:val="00065A69"/>
    <w:rsid w:val="00065AAA"/>
    <w:rsid w:val="00065AB2"/>
    <w:rsid w:val="00065ADA"/>
    <w:rsid w:val="00065B2F"/>
    <w:rsid w:val="00065B78"/>
    <w:rsid w:val="00065C6E"/>
    <w:rsid w:val="00065C93"/>
    <w:rsid w:val="00065CA7"/>
    <w:rsid w:val="00065CAE"/>
    <w:rsid w:val="00065CCE"/>
    <w:rsid w:val="00065D36"/>
    <w:rsid w:val="00065DFC"/>
    <w:rsid w:val="00065E28"/>
    <w:rsid w:val="00065E6F"/>
    <w:rsid w:val="00065E84"/>
    <w:rsid w:val="00065E95"/>
    <w:rsid w:val="00065E99"/>
    <w:rsid w:val="00065EB7"/>
    <w:rsid w:val="00065EC7"/>
    <w:rsid w:val="00065F02"/>
    <w:rsid w:val="00065F0A"/>
    <w:rsid w:val="00065F9D"/>
    <w:rsid w:val="00066085"/>
    <w:rsid w:val="000660D2"/>
    <w:rsid w:val="00066121"/>
    <w:rsid w:val="00066160"/>
    <w:rsid w:val="00066172"/>
    <w:rsid w:val="0006617E"/>
    <w:rsid w:val="00066241"/>
    <w:rsid w:val="00066311"/>
    <w:rsid w:val="00066368"/>
    <w:rsid w:val="0006639B"/>
    <w:rsid w:val="0006639F"/>
    <w:rsid w:val="00066413"/>
    <w:rsid w:val="00066429"/>
    <w:rsid w:val="0006643B"/>
    <w:rsid w:val="0006645D"/>
    <w:rsid w:val="0006646B"/>
    <w:rsid w:val="00066518"/>
    <w:rsid w:val="00066526"/>
    <w:rsid w:val="00066536"/>
    <w:rsid w:val="0006654E"/>
    <w:rsid w:val="00066557"/>
    <w:rsid w:val="0006655D"/>
    <w:rsid w:val="00066594"/>
    <w:rsid w:val="000665E2"/>
    <w:rsid w:val="00066623"/>
    <w:rsid w:val="0006664A"/>
    <w:rsid w:val="0006664F"/>
    <w:rsid w:val="0006668A"/>
    <w:rsid w:val="000666E3"/>
    <w:rsid w:val="000666FE"/>
    <w:rsid w:val="000667DC"/>
    <w:rsid w:val="0006681C"/>
    <w:rsid w:val="0006683A"/>
    <w:rsid w:val="000668A5"/>
    <w:rsid w:val="000668D0"/>
    <w:rsid w:val="00066928"/>
    <w:rsid w:val="0006694C"/>
    <w:rsid w:val="0006698A"/>
    <w:rsid w:val="00066998"/>
    <w:rsid w:val="000669A5"/>
    <w:rsid w:val="00066A72"/>
    <w:rsid w:val="00066A9B"/>
    <w:rsid w:val="00066AB8"/>
    <w:rsid w:val="00066AD2"/>
    <w:rsid w:val="00066AE8"/>
    <w:rsid w:val="00066B56"/>
    <w:rsid w:val="00066B7B"/>
    <w:rsid w:val="00066B8D"/>
    <w:rsid w:val="00066B93"/>
    <w:rsid w:val="00066B9F"/>
    <w:rsid w:val="00066BA9"/>
    <w:rsid w:val="00066BC4"/>
    <w:rsid w:val="00066BD3"/>
    <w:rsid w:val="00066D14"/>
    <w:rsid w:val="00066D67"/>
    <w:rsid w:val="00066DA8"/>
    <w:rsid w:val="00066E04"/>
    <w:rsid w:val="00066E41"/>
    <w:rsid w:val="00066EC7"/>
    <w:rsid w:val="00066EFB"/>
    <w:rsid w:val="00066F21"/>
    <w:rsid w:val="0006703D"/>
    <w:rsid w:val="00067041"/>
    <w:rsid w:val="000670C9"/>
    <w:rsid w:val="000670CB"/>
    <w:rsid w:val="000670F2"/>
    <w:rsid w:val="0006717A"/>
    <w:rsid w:val="000671BD"/>
    <w:rsid w:val="000671E1"/>
    <w:rsid w:val="00067204"/>
    <w:rsid w:val="0006724B"/>
    <w:rsid w:val="0006725E"/>
    <w:rsid w:val="00067260"/>
    <w:rsid w:val="000672F0"/>
    <w:rsid w:val="0006731B"/>
    <w:rsid w:val="0006733F"/>
    <w:rsid w:val="00067358"/>
    <w:rsid w:val="00067367"/>
    <w:rsid w:val="00067390"/>
    <w:rsid w:val="00067444"/>
    <w:rsid w:val="00067448"/>
    <w:rsid w:val="000674EB"/>
    <w:rsid w:val="00067553"/>
    <w:rsid w:val="00067599"/>
    <w:rsid w:val="000675C7"/>
    <w:rsid w:val="0006768B"/>
    <w:rsid w:val="000676A9"/>
    <w:rsid w:val="000676BD"/>
    <w:rsid w:val="000676D0"/>
    <w:rsid w:val="000676DF"/>
    <w:rsid w:val="000676E5"/>
    <w:rsid w:val="00067704"/>
    <w:rsid w:val="0006773C"/>
    <w:rsid w:val="00067760"/>
    <w:rsid w:val="00067776"/>
    <w:rsid w:val="000677CD"/>
    <w:rsid w:val="0006785D"/>
    <w:rsid w:val="0006786C"/>
    <w:rsid w:val="000678C2"/>
    <w:rsid w:val="000678EC"/>
    <w:rsid w:val="000678ED"/>
    <w:rsid w:val="00067909"/>
    <w:rsid w:val="0006798D"/>
    <w:rsid w:val="000679D0"/>
    <w:rsid w:val="000679DC"/>
    <w:rsid w:val="000679F0"/>
    <w:rsid w:val="000679F3"/>
    <w:rsid w:val="00067A07"/>
    <w:rsid w:val="00067A08"/>
    <w:rsid w:val="00067A34"/>
    <w:rsid w:val="00067A8E"/>
    <w:rsid w:val="00067AAD"/>
    <w:rsid w:val="00067AB0"/>
    <w:rsid w:val="00067AE5"/>
    <w:rsid w:val="00067B5C"/>
    <w:rsid w:val="00067B90"/>
    <w:rsid w:val="00067BBF"/>
    <w:rsid w:val="00067C2D"/>
    <w:rsid w:val="00067C4C"/>
    <w:rsid w:val="00067D73"/>
    <w:rsid w:val="00067DE6"/>
    <w:rsid w:val="00067E39"/>
    <w:rsid w:val="00067E62"/>
    <w:rsid w:val="00067E6D"/>
    <w:rsid w:val="00067E78"/>
    <w:rsid w:val="00067F55"/>
    <w:rsid w:val="00067F56"/>
    <w:rsid w:val="00067F58"/>
    <w:rsid w:val="00067FB7"/>
    <w:rsid w:val="00067FF3"/>
    <w:rsid w:val="0006BC5F"/>
    <w:rsid w:val="0006ED34"/>
    <w:rsid w:val="00070010"/>
    <w:rsid w:val="0007004E"/>
    <w:rsid w:val="000700A2"/>
    <w:rsid w:val="000700BE"/>
    <w:rsid w:val="000700CA"/>
    <w:rsid w:val="0007012D"/>
    <w:rsid w:val="000701B7"/>
    <w:rsid w:val="000701D2"/>
    <w:rsid w:val="000701DE"/>
    <w:rsid w:val="000701E4"/>
    <w:rsid w:val="000701EF"/>
    <w:rsid w:val="00070267"/>
    <w:rsid w:val="00070277"/>
    <w:rsid w:val="00070296"/>
    <w:rsid w:val="00070336"/>
    <w:rsid w:val="0007035F"/>
    <w:rsid w:val="000703B0"/>
    <w:rsid w:val="00070415"/>
    <w:rsid w:val="00070427"/>
    <w:rsid w:val="0007043F"/>
    <w:rsid w:val="00070457"/>
    <w:rsid w:val="00070487"/>
    <w:rsid w:val="00070494"/>
    <w:rsid w:val="0007051D"/>
    <w:rsid w:val="0007052A"/>
    <w:rsid w:val="00070549"/>
    <w:rsid w:val="000705D7"/>
    <w:rsid w:val="00070615"/>
    <w:rsid w:val="000706DB"/>
    <w:rsid w:val="00070707"/>
    <w:rsid w:val="0007074D"/>
    <w:rsid w:val="00070760"/>
    <w:rsid w:val="00070778"/>
    <w:rsid w:val="000707DF"/>
    <w:rsid w:val="0007081D"/>
    <w:rsid w:val="00070868"/>
    <w:rsid w:val="000709E3"/>
    <w:rsid w:val="00070A20"/>
    <w:rsid w:val="00070B05"/>
    <w:rsid w:val="00070B14"/>
    <w:rsid w:val="00070B9D"/>
    <w:rsid w:val="00070BCE"/>
    <w:rsid w:val="00070BEC"/>
    <w:rsid w:val="00070C5D"/>
    <w:rsid w:val="00070C92"/>
    <w:rsid w:val="00070CB7"/>
    <w:rsid w:val="00070D4E"/>
    <w:rsid w:val="00070D68"/>
    <w:rsid w:val="00070D83"/>
    <w:rsid w:val="00070D9C"/>
    <w:rsid w:val="00070DDF"/>
    <w:rsid w:val="00070DFF"/>
    <w:rsid w:val="00070E8B"/>
    <w:rsid w:val="00070E9E"/>
    <w:rsid w:val="00070EB1"/>
    <w:rsid w:val="00070F1E"/>
    <w:rsid w:val="00070F53"/>
    <w:rsid w:val="00070F7E"/>
    <w:rsid w:val="00070FCE"/>
    <w:rsid w:val="0007100A"/>
    <w:rsid w:val="00071030"/>
    <w:rsid w:val="00071067"/>
    <w:rsid w:val="00071104"/>
    <w:rsid w:val="00071120"/>
    <w:rsid w:val="00071215"/>
    <w:rsid w:val="00071218"/>
    <w:rsid w:val="0007126E"/>
    <w:rsid w:val="00071318"/>
    <w:rsid w:val="0007131C"/>
    <w:rsid w:val="00071331"/>
    <w:rsid w:val="00071345"/>
    <w:rsid w:val="000713A7"/>
    <w:rsid w:val="000713F3"/>
    <w:rsid w:val="000713FF"/>
    <w:rsid w:val="00071409"/>
    <w:rsid w:val="0007140B"/>
    <w:rsid w:val="00071466"/>
    <w:rsid w:val="000714AC"/>
    <w:rsid w:val="000714B8"/>
    <w:rsid w:val="00071518"/>
    <w:rsid w:val="00071567"/>
    <w:rsid w:val="000715CC"/>
    <w:rsid w:val="000715D2"/>
    <w:rsid w:val="000716B5"/>
    <w:rsid w:val="000716D8"/>
    <w:rsid w:val="000716F5"/>
    <w:rsid w:val="00071794"/>
    <w:rsid w:val="000717A3"/>
    <w:rsid w:val="000717F5"/>
    <w:rsid w:val="00071885"/>
    <w:rsid w:val="0007197A"/>
    <w:rsid w:val="00071A0D"/>
    <w:rsid w:val="00071A33"/>
    <w:rsid w:val="00071A40"/>
    <w:rsid w:val="00071AF2"/>
    <w:rsid w:val="00071B09"/>
    <w:rsid w:val="00071B16"/>
    <w:rsid w:val="00071B30"/>
    <w:rsid w:val="00071B89"/>
    <w:rsid w:val="00071BB3"/>
    <w:rsid w:val="00071C01"/>
    <w:rsid w:val="00071C13"/>
    <w:rsid w:val="00071C30"/>
    <w:rsid w:val="00071C8B"/>
    <w:rsid w:val="00071CB3"/>
    <w:rsid w:val="00071CBD"/>
    <w:rsid w:val="00071D1D"/>
    <w:rsid w:val="00071E3A"/>
    <w:rsid w:val="00071EB8"/>
    <w:rsid w:val="00071F1C"/>
    <w:rsid w:val="00071F74"/>
    <w:rsid w:val="00071FEF"/>
    <w:rsid w:val="00071FF7"/>
    <w:rsid w:val="00072003"/>
    <w:rsid w:val="0007208D"/>
    <w:rsid w:val="000720EE"/>
    <w:rsid w:val="0007214A"/>
    <w:rsid w:val="0007214B"/>
    <w:rsid w:val="0007216D"/>
    <w:rsid w:val="00072182"/>
    <w:rsid w:val="0007219C"/>
    <w:rsid w:val="000721AE"/>
    <w:rsid w:val="000721EE"/>
    <w:rsid w:val="00072245"/>
    <w:rsid w:val="000722A9"/>
    <w:rsid w:val="000722E8"/>
    <w:rsid w:val="000722FB"/>
    <w:rsid w:val="00072302"/>
    <w:rsid w:val="00072397"/>
    <w:rsid w:val="00072425"/>
    <w:rsid w:val="00072476"/>
    <w:rsid w:val="00072491"/>
    <w:rsid w:val="00072514"/>
    <w:rsid w:val="00072582"/>
    <w:rsid w:val="000725A3"/>
    <w:rsid w:val="0007260A"/>
    <w:rsid w:val="0007260C"/>
    <w:rsid w:val="00072666"/>
    <w:rsid w:val="000726BC"/>
    <w:rsid w:val="0007277A"/>
    <w:rsid w:val="000727B3"/>
    <w:rsid w:val="000727C9"/>
    <w:rsid w:val="000727E8"/>
    <w:rsid w:val="0007281C"/>
    <w:rsid w:val="00072824"/>
    <w:rsid w:val="000728BF"/>
    <w:rsid w:val="00072937"/>
    <w:rsid w:val="0007295B"/>
    <w:rsid w:val="0007296D"/>
    <w:rsid w:val="000729FC"/>
    <w:rsid w:val="000729FF"/>
    <w:rsid w:val="00072A10"/>
    <w:rsid w:val="00072A24"/>
    <w:rsid w:val="00072A46"/>
    <w:rsid w:val="00072A79"/>
    <w:rsid w:val="00072A91"/>
    <w:rsid w:val="00072B18"/>
    <w:rsid w:val="00072BE7"/>
    <w:rsid w:val="00072C47"/>
    <w:rsid w:val="00072C75"/>
    <w:rsid w:val="00072D04"/>
    <w:rsid w:val="00072D3C"/>
    <w:rsid w:val="00072D54"/>
    <w:rsid w:val="00072D6F"/>
    <w:rsid w:val="00072D99"/>
    <w:rsid w:val="00072DC4"/>
    <w:rsid w:val="00072DCB"/>
    <w:rsid w:val="00072DE2"/>
    <w:rsid w:val="00072DF6"/>
    <w:rsid w:val="00072E1B"/>
    <w:rsid w:val="00072E23"/>
    <w:rsid w:val="00072E2C"/>
    <w:rsid w:val="00072E5A"/>
    <w:rsid w:val="00072F76"/>
    <w:rsid w:val="00072F9F"/>
    <w:rsid w:val="00072FC4"/>
    <w:rsid w:val="00072FD9"/>
    <w:rsid w:val="00073005"/>
    <w:rsid w:val="00073045"/>
    <w:rsid w:val="000730E4"/>
    <w:rsid w:val="00073148"/>
    <w:rsid w:val="0007317D"/>
    <w:rsid w:val="0007323D"/>
    <w:rsid w:val="0007325A"/>
    <w:rsid w:val="0007330C"/>
    <w:rsid w:val="00073368"/>
    <w:rsid w:val="00073385"/>
    <w:rsid w:val="00073416"/>
    <w:rsid w:val="00073478"/>
    <w:rsid w:val="00073486"/>
    <w:rsid w:val="000734E9"/>
    <w:rsid w:val="0007365B"/>
    <w:rsid w:val="00073689"/>
    <w:rsid w:val="000736A0"/>
    <w:rsid w:val="000736D4"/>
    <w:rsid w:val="00073735"/>
    <w:rsid w:val="0007373D"/>
    <w:rsid w:val="00073769"/>
    <w:rsid w:val="000737C7"/>
    <w:rsid w:val="000737D8"/>
    <w:rsid w:val="000737FD"/>
    <w:rsid w:val="00073837"/>
    <w:rsid w:val="0007385F"/>
    <w:rsid w:val="0007387A"/>
    <w:rsid w:val="00073889"/>
    <w:rsid w:val="000738C2"/>
    <w:rsid w:val="000738CE"/>
    <w:rsid w:val="000739DA"/>
    <w:rsid w:val="00073A2E"/>
    <w:rsid w:val="00073A3A"/>
    <w:rsid w:val="00073A67"/>
    <w:rsid w:val="00073A7D"/>
    <w:rsid w:val="00073ABF"/>
    <w:rsid w:val="00073B22"/>
    <w:rsid w:val="00073BE2"/>
    <w:rsid w:val="00073BEF"/>
    <w:rsid w:val="00073C1E"/>
    <w:rsid w:val="00073C84"/>
    <w:rsid w:val="00073CB2"/>
    <w:rsid w:val="00073CC3"/>
    <w:rsid w:val="00073CFF"/>
    <w:rsid w:val="00073D0D"/>
    <w:rsid w:val="00073D47"/>
    <w:rsid w:val="00073DA2"/>
    <w:rsid w:val="00073DC4"/>
    <w:rsid w:val="00073DC9"/>
    <w:rsid w:val="00073DD8"/>
    <w:rsid w:val="00073DE6"/>
    <w:rsid w:val="00073E58"/>
    <w:rsid w:val="00073F34"/>
    <w:rsid w:val="00073F70"/>
    <w:rsid w:val="00073FD0"/>
    <w:rsid w:val="00073FF0"/>
    <w:rsid w:val="00073FF7"/>
    <w:rsid w:val="000740A1"/>
    <w:rsid w:val="000740CC"/>
    <w:rsid w:val="000740FB"/>
    <w:rsid w:val="00074141"/>
    <w:rsid w:val="00074157"/>
    <w:rsid w:val="0007421C"/>
    <w:rsid w:val="00074287"/>
    <w:rsid w:val="000742A7"/>
    <w:rsid w:val="000742AE"/>
    <w:rsid w:val="000742C9"/>
    <w:rsid w:val="000742CE"/>
    <w:rsid w:val="0007433B"/>
    <w:rsid w:val="00074375"/>
    <w:rsid w:val="000743CD"/>
    <w:rsid w:val="000743D0"/>
    <w:rsid w:val="000743D8"/>
    <w:rsid w:val="000744AA"/>
    <w:rsid w:val="000744C6"/>
    <w:rsid w:val="000744ED"/>
    <w:rsid w:val="00074578"/>
    <w:rsid w:val="00074584"/>
    <w:rsid w:val="000745AA"/>
    <w:rsid w:val="00074604"/>
    <w:rsid w:val="00074666"/>
    <w:rsid w:val="0007468A"/>
    <w:rsid w:val="00074699"/>
    <w:rsid w:val="000746B4"/>
    <w:rsid w:val="000746BE"/>
    <w:rsid w:val="00074772"/>
    <w:rsid w:val="0007479F"/>
    <w:rsid w:val="000747B4"/>
    <w:rsid w:val="000747D6"/>
    <w:rsid w:val="0007483C"/>
    <w:rsid w:val="000748C7"/>
    <w:rsid w:val="000748F8"/>
    <w:rsid w:val="00074932"/>
    <w:rsid w:val="000749E0"/>
    <w:rsid w:val="00074B0C"/>
    <w:rsid w:val="00074B16"/>
    <w:rsid w:val="00074B59"/>
    <w:rsid w:val="00074BFA"/>
    <w:rsid w:val="00074C2C"/>
    <w:rsid w:val="00074C3A"/>
    <w:rsid w:val="00074CD5"/>
    <w:rsid w:val="00074CD6"/>
    <w:rsid w:val="00074CD7"/>
    <w:rsid w:val="00074D05"/>
    <w:rsid w:val="00074D1D"/>
    <w:rsid w:val="00074D20"/>
    <w:rsid w:val="00074DDC"/>
    <w:rsid w:val="00074E31"/>
    <w:rsid w:val="00074EC5"/>
    <w:rsid w:val="00074EF4"/>
    <w:rsid w:val="00074F6E"/>
    <w:rsid w:val="00074F70"/>
    <w:rsid w:val="00074F9F"/>
    <w:rsid w:val="00074FA1"/>
    <w:rsid w:val="00074FA9"/>
    <w:rsid w:val="00074FF1"/>
    <w:rsid w:val="00075066"/>
    <w:rsid w:val="000750AC"/>
    <w:rsid w:val="000750FE"/>
    <w:rsid w:val="00075116"/>
    <w:rsid w:val="0007511E"/>
    <w:rsid w:val="000751B3"/>
    <w:rsid w:val="00075220"/>
    <w:rsid w:val="00075224"/>
    <w:rsid w:val="00075276"/>
    <w:rsid w:val="0007528A"/>
    <w:rsid w:val="000752DB"/>
    <w:rsid w:val="00075343"/>
    <w:rsid w:val="00075372"/>
    <w:rsid w:val="0007540A"/>
    <w:rsid w:val="000754E2"/>
    <w:rsid w:val="0007552E"/>
    <w:rsid w:val="0007554B"/>
    <w:rsid w:val="00075578"/>
    <w:rsid w:val="00075594"/>
    <w:rsid w:val="000756BF"/>
    <w:rsid w:val="000756FA"/>
    <w:rsid w:val="0007570D"/>
    <w:rsid w:val="00075726"/>
    <w:rsid w:val="00075853"/>
    <w:rsid w:val="00075867"/>
    <w:rsid w:val="00075877"/>
    <w:rsid w:val="0007587A"/>
    <w:rsid w:val="00075912"/>
    <w:rsid w:val="0007596D"/>
    <w:rsid w:val="0007599B"/>
    <w:rsid w:val="000759A8"/>
    <w:rsid w:val="00075A0E"/>
    <w:rsid w:val="00075A1D"/>
    <w:rsid w:val="00075A24"/>
    <w:rsid w:val="00075A26"/>
    <w:rsid w:val="00075A37"/>
    <w:rsid w:val="00075AAD"/>
    <w:rsid w:val="00075ABA"/>
    <w:rsid w:val="00075ACD"/>
    <w:rsid w:val="00075B1C"/>
    <w:rsid w:val="00075B2A"/>
    <w:rsid w:val="00075B97"/>
    <w:rsid w:val="00075BA0"/>
    <w:rsid w:val="00075BA7"/>
    <w:rsid w:val="00075BFF"/>
    <w:rsid w:val="00075C27"/>
    <w:rsid w:val="00075C45"/>
    <w:rsid w:val="00075CCA"/>
    <w:rsid w:val="00075CFD"/>
    <w:rsid w:val="00075D3B"/>
    <w:rsid w:val="00075D6B"/>
    <w:rsid w:val="00075D87"/>
    <w:rsid w:val="00075DB7"/>
    <w:rsid w:val="00075DF9"/>
    <w:rsid w:val="00075E44"/>
    <w:rsid w:val="00075E47"/>
    <w:rsid w:val="00075EBA"/>
    <w:rsid w:val="00075F20"/>
    <w:rsid w:val="00075F49"/>
    <w:rsid w:val="00075FB7"/>
    <w:rsid w:val="00076011"/>
    <w:rsid w:val="0007605B"/>
    <w:rsid w:val="00076072"/>
    <w:rsid w:val="0007613E"/>
    <w:rsid w:val="0007615E"/>
    <w:rsid w:val="00076160"/>
    <w:rsid w:val="0007616A"/>
    <w:rsid w:val="00076235"/>
    <w:rsid w:val="000762A9"/>
    <w:rsid w:val="000762B9"/>
    <w:rsid w:val="000762E5"/>
    <w:rsid w:val="000762F9"/>
    <w:rsid w:val="00076339"/>
    <w:rsid w:val="00076340"/>
    <w:rsid w:val="00076390"/>
    <w:rsid w:val="000763A1"/>
    <w:rsid w:val="000763C8"/>
    <w:rsid w:val="000763D8"/>
    <w:rsid w:val="000763F2"/>
    <w:rsid w:val="00076527"/>
    <w:rsid w:val="0007659A"/>
    <w:rsid w:val="000765BB"/>
    <w:rsid w:val="000765FB"/>
    <w:rsid w:val="00076613"/>
    <w:rsid w:val="000766F9"/>
    <w:rsid w:val="0007673D"/>
    <w:rsid w:val="0007673F"/>
    <w:rsid w:val="0007674A"/>
    <w:rsid w:val="000767AE"/>
    <w:rsid w:val="000767AF"/>
    <w:rsid w:val="0007684A"/>
    <w:rsid w:val="000768A2"/>
    <w:rsid w:val="000768D0"/>
    <w:rsid w:val="000768F8"/>
    <w:rsid w:val="00076910"/>
    <w:rsid w:val="0007699D"/>
    <w:rsid w:val="00076A24"/>
    <w:rsid w:val="00076ADA"/>
    <w:rsid w:val="00076C69"/>
    <w:rsid w:val="00076CA4"/>
    <w:rsid w:val="00076CE8"/>
    <w:rsid w:val="00076CF6"/>
    <w:rsid w:val="00076D22"/>
    <w:rsid w:val="00076D79"/>
    <w:rsid w:val="00076DCD"/>
    <w:rsid w:val="00076DFE"/>
    <w:rsid w:val="00076E3D"/>
    <w:rsid w:val="00076EA6"/>
    <w:rsid w:val="00076EEF"/>
    <w:rsid w:val="00076F43"/>
    <w:rsid w:val="00076F62"/>
    <w:rsid w:val="00076FC5"/>
    <w:rsid w:val="0007703B"/>
    <w:rsid w:val="00077046"/>
    <w:rsid w:val="0007708E"/>
    <w:rsid w:val="000770B5"/>
    <w:rsid w:val="000770DD"/>
    <w:rsid w:val="000770FF"/>
    <w:rsid w:val="000771D8"/>
    <w:rsid w:val="000771E0"/>
    <w:rsid w:val="00077249"/>
    <w:rsid w:val="0007724A"/>
    <w:rsid w:val="0007724F"/>
    <w:rsid w:val="00077250"/>
    <w:rsid w:val="000772CB"/>
    <w:rsid w:val="000772FF"/>
    <w:rsid w:val="00077330"/>
    <w:rsid w:val="00077392"/>
    <w:rsid w:val="000773B1"/>
    <w:rsid w:val="000773BB"/>
    <w:rsid w:val="000773FA"/>
    <w:rsid w:val="000774E1"/>
    <w:rsid w:val="0007750D"/>
    <w:rsid w:val="000775A9"/>
    <w:rsid w:val="000775E1"/>
    <w:rsid w:val="000775E5"/>
    <w:rsid w:val="00077602"/>
    <w:rsid w:val="00077603"/>
    <w:rsid w:val="0007762F"/>
    <w:rsid w:val="00077682"/>
    <w:rsid w:val="00077688"/>
    <w:rsid w:val="000776BC"/>
    <w:rsid w:val="000776DE"/>
    <w:rsid w:val="0007770F"/>
    <w:rsid w:val="000777A3"/>
    <w:rsid w:val="000777D2"/>
    <w:rsid w:val="00077826"/>
    <w:rsid w:val="0007782E"/>
    <w:rsid w:val="0007782F"/>
    <w:rsid w:val="00077844"/>
    <w:rsid w:val="00077849"/>
    <w:rsid w:val="000778A4"/>
    <w:rsid w:val="000778D4"/>
    <w:rsid w:val="000778E0"/>
    <w:rsid w:val="00077936"/>
    <w:rsid w:val="000779CE"/>
    <w:rsid w:val="000779F0"/>
    <w:rsid w:val="00077A17"/>
    <w:rsid w:val="00077A34"/>
    <w:rsid w:val="00077A8D"/>
    <w:rsid w:val="00077A96"/>
    <w:rsid w:val="00077ADB"/>
    <w:rsid w:val="00077B70"/>
    <w:rsid w:val="00077BEE"/>
    <w:rsid w:val="00077C2A"/>
    <w:rsid w:val="00077DBD"/>
    <w:rsid w:val="00077DFD"/>
    <w:rsid w:val="00077ECA"/>
    <w:rsid w:val="00077EF8"/>
    <w:rsid w:val="00077F15"/>
    <w:rsid w:val="00077F4E"/>
    <w:rsid w:val="00077F8E"/>
    <w:rsid w:val="00077FB3"/>
    <w:rsid w:val="00077FBB"/>
    <w:rsid w:val="00080057"/>
    <w:rsid w:val="00080067"/>
    <w:rsid w:val="0008013E"/>
    <w:rsid w:val="0008017D"/>
    <w:rsid w:val="000801F6"/>
    <w:rsid w:val="00080203"/>
    <w:rsid w:val="00080216"/>
    <w:rsid w:val="0008022C"/>
    <w:rsid w:val="0008023C"/>
    <w:rsid w:val="00080278"/>
    <w:rsid w:val="000802F0"/>
    <w:rsid w:val="00080320"/>
    <w:rsid w:val="00080420"/>
    <w:rsid w:val="00080426"/>
    <w:rsid w:val="0008042C"/>
    <w:rsid w:val="0008042F"/>
    <w:rsid w:val="00080481"/>
    <w:rsid w:val="00080509"/>
    <w:rsid w:val="00080520"/>
    <w:rsid w:val="0008052B"/>
    <w:rsid w:val="000805B0"/>
    <w:rsid w:val="000805EE"/>
    <w:rsid w:val="0008060A"/>
    <w:rsid w:val="000806E9"/>
    <w:rsid w:val="0008071D"/>
    <w:rsid w:val="0008076A"/>
    <w:rsid w:val="000807AB"/>
    <w:rsid w:val="000807B7"/>
    <w:rsid w:val="000807C5"/>
    <w:rsid w:val="000807E0"/>
    <w:rsid w:val="000808CF"/>
    <w:rsid w:val="000809B6"/>
    <w:rsid w:val="00080A45"/>
    <w:rsid w:val="00080A53"/>
    <w:rsid w:val="00080A57"/>
    <w:rsid w:val="00080AEF"/>
    <w:rsid w:val="00080B0A"/>
    <w:rsid w:val="00080B2E"/>
    <w:rsid w:val="00080BAB"/>
    <w:rsid w:val="00080BBD"/>
    <w:rsid w:val="00080BCC"/>
    <w:rsid w:val="00080C8F"/>
    <w:rsid w:val="00080CCA"/>
    <w:rsid w:val="00080CDD"/>
    <w:rsid w:val="00080D19"/>
    <w:rsid w:val="00080D24"/>
    <w:rsid w:val="00080D2F"/>
    <w:rsid w:val="00080D76"/>
    <w:rsid w:val="00080D8B"/>
    <w:rsid w:val="00080DE2"/>
    <w:rsid w:val="00080E4D"/>
    <w:rsid w:val="00080E91"/>
    <w:rsid w:val="00080F46"/>
    <w:rsid w:val="00080FEF"/>
    <w:rsid w:val="00080FFE"/>
    <w:rsid w:val="00081015"/>
    <w:rsid w:val="00081079"/>
    <w:rsid w:val="000810E2"/>
    <w:rsid w:val="0008114C"/>
    <w:rsid w:val="0008114D"/>
    <w:rsid w:val="000811AC"/>
    <w:rsid w:val="000811C3"/>
    <w:rsid w:val="000811E1"/>
    <w:rsid w:val="000811F9"/>
    <w:rsid w:val="00081251"/>
    <w:rsid w:val="0008126C"/>
    <w:rsid w:val="000812B7"/>
    <w:rsid w:val="000812CD"/>
    <w:rsid w:val="000812CE"/>
    <w:rsid w:val="00081368"/>
    <w:rsid w:val="00081380"/>
    <w:rsid w:val="00081385"/>
    <w:rsid w:val="000813AB"/>
    <w:rsid w:val="00081411"/>
    <w:rsid w:val="00081437"/>
    <w:rsid w:val="0008148C"/>
    <w:rsid w:val="000814E0"/>
    <w:rsid w:val="000814EE"/>
    <w:rsid w:val="000815B0"/>
    <w:rsid w:val="00081609"/>
    <w:rsid w:val="00081636"/>
    <w:rsid w:val="00081670"/>
    <w:rsid w:val="00081678"/>
    <w:rsid w:val="0008168E"/>
    <w:rsid w:val="00081710"/>
    <w:rsid w:val="000817AE"/>
    <w:rsid w:val="000817FC"/>
    <w:rsid w:val="00081868"/>
    <w:rsid w:val="000818EC"/>
    <w:rsid w:val="000818F1"/>
    <w:rsid w:val="0008190C"/>
    <w:rsid w:val="000819C2"/>
    <w:rsid w:val="000819E0"/>
    <w:rsid w:val="000819FD"/>
    <w:rsid w:val="00081A25"/>
    <w:rsid w:val="00081AB1"/>
    <w:rsid w:val="00081B1C"/>
    <w:rsid w:val="00081B22"/>
    <w:rsid w:val="00081B35"/>
    <w:rsid w:val="00081B8F"/>
    <w:rsid w:val="00081BAF"/>
    <w:rsid w:val="00081BEB"/>
    <w:rsid w:val="00081C23"/>
    <w:rsid w:val="00081C40"/>
    <w:rsid w:val="00081CAC"/>
    <w:rsid w:val="00081D30"/>
    <w:rsid w:val="00081D55"/>
    <w:rsid w:val="00081D7D"/>
    <w:rsid w:val="00081D84"/>
    <w:rsid w:val="00081D9C"/>
    <w:rsid w:val="00081DD2"/>
    <w:rsid w:val="00081DF5"/>
    <w:rsid w:val="00081E8D"/>
    <w:rsid w:val="00081EF0"/>
    <w:rsid w:val="00081F11"/>
    <w:rsid w:val="00081F2F"/>
    <w:rsid w:val="00081F40"/>
    <w:rsid w:val="00081F77"/>
    <w:rsid w:val="00081F99"/>
    <w:rsid w:val="00082022"/>
    <w:rsid w:val="00082047"/>
    <w:rsid w:val="0008207B"/>
    <w:rsid w:val="000820A3"/>
    <w:rsid w:val="00082110"/>
    <w:rsid w:val="00082121"/>
    <w:rsid w:val="00082130"/>
    <w:rsid w:val="0008219A"/>
    <w:rsid w:val="000821A0"/>
    <w:rsid w:val="000821A2"/>
    <w:rsid w:val="000821EC"/>
    <w:rsid w:val="0008222B"/>
    <w:rsid w:val="000822AB"/>
    <w:rsid w:val="0008230C"/>
    <w:rsid w:val="0008234C"/>
    <w:rsid w:val="000823FE"/>
    <w:rsid w:val="00082401"/>
    <w:rsid w:val="0008243E"/>
    <w:rsid w:val="0008244C"/>
    <w:rsid w:val="0008247A"/>
    <w:rsid w:val="00082489"/>
    <w:rsid w:val="0008249A"/>
    <w:rsid w:val="00082520"/>
    <w:rsid w:val="00082551"/>
    <w:rsid w:val="000825B5"/>
    <w:rsid w:val="00082607"/>
    <w:rsid w:val="00082626"/>
    <w:rsid w:val="0008266C"/>
    <w:rsid w:val="00082697"/>
    <w:rsid w:val="000826BC"/>
    <w:rsid w:val="000826C5"/>
    <w:rsid w:val="000826EE"/>
    <w:rsid w:val="00082714"/>
    <w:rsid w:val="00082743"/>
    <w:rsid w:val="0008275D"/>
    <w:rsid w:val="0008275F"/>
    <w:rsid w:val="000827A7"/>
    <w:rsid w:val="000827CF"/>
    <w:rsid w:val="000827D5"/>
    <w:rsid w:val="000827D9"/>
    <w:rsid w:val="00082800"/>
    <w:rsid w:val="00082809"/>
    <w:rsid w:val="0008286C"/>
    <w:rsid w:val="000828A1"/>
    <w:rsid w:val="000828D7"/>
    <w:rsid w:val="00082901"/>
    <w:rsid w:val="0008293B"/>
    <w:rsid w:val="0008295E"/>
    <w:rsid w:val="000829C1"/>
    <w:rsid w:val="000829DC"/>
    <w:rsid w:val="000829E5"/>
    <w:rsid w:val="000829EC"/>
    <w:rsid w:val="000829EE"/>
    <w:rsid w:val="00082AA7"/>
    <w:rsid w:val="00082B49"/>
    <w:rsid w:val="00082B6B"/>
    <w:rsid w:val="00082BE5"/>
    <w:rsid w:val="00082C0C"/>
    <w:rsid w:val="00082C1A"/>
    <w:rsid w:val="00082C8B"/>
    <w:rsid w:val="00082D7A"/>
    <w:rsid w:val="00082D9F"/>
    <w:rsid w:val="00082DEA"/>
    <w:rsid w:val="00082E80"/>
    <w:rsid w:val="00082E8F"/>
    <w:rsid w:val="00082ED1"/>
    <w:rsid w:val="00083004"/>
    <w:rsid w:val="00083063"/>
    <w:rsid w:val="000830DC"/>
    <w:rsid w:val="000830E3"/>
    <w:rsid w:val="000830ED"/>
    <w:rsid w:val="000830EF"/>
    <w:rsid w:val="00083117"/>
    <w:rsid w:val="00083152"/>
    <w:rsid w:val="00083157"/>
    <w:rsid w:val="00083165"/>
    <w:rsid w:val="000831BD"/>
    <w:rsid w:val="000831C2"/>
    <w:rsid w:val="000831FE"/>
    <w:rsid w:val="00083323"/>
    <w:rsid w:val="00083327"/>
    <w:rsid w:val="000833F4"/>
    <w:rsid w:val="00083422"/>
    <w:rsid w:val="0008344E"/>
    <w:rsid w:val="00083451"/>
    <w:rsid w:val="00083487"/>
    <w:rsid w:val="000834E8"/>
    <w:rsid w:val="000834FA"/>
    <w:rsid w:val="000834FE"/>
    <w:rsid w:val="0008359C"/>
    <w:rsid w:val="00083612"/>
    <w:rsid w:val="0008361A"/>
    <w:rsid w:val="000836FE"/>
    <w:rsid w:val="00083755"/>
    <w:rsid w:val="0008377F"/>
    <w:rsid w:val="00083793"/>
    <w:rsid w:val="000837A6"/>
    <w:rsid w:val="000837AC"/>
    <w:rsid w:val="000837BA"/>
    <w:rsid w:val="0008382C"/>
    <w:rsid w:val="00083849"/>
    <w:rsid w:val="00083862"/>
    <w:rsid w:val="00083867"/>
    <w:rsid w:val="000838E2"/>
    <w:rsid w:val="00083912"/>
    <w:rsid w:val="00083958"/>
    <w:rsid w:val="0008397E"/>
    <w:rsid w:val="0008399D"/>
    <w:rsid w:val="000839B2"/>
    <w:rsid w:val="000839D9"/>
    <w:rsid w:val="000839EB"/>
    <w:rsid w:val="00083A42"/>
    <w:rsid w:val="00083A74"/>
    <w:rsid w:val="00083A88"/>
    <w:rsid w:val="00083B25"/>
    <w:rsid w:val="00083B8E"/>
    <w:rsid w:val="00083B90"/>
    <w:rsid w:val="00083BA8"/>
    <w:rsid w:val="00083BAD"/>
    <w:rsid w:val="00083CEB"/>
    <w:rsid w:val="00083D12"/>
    <w:rsid w:val="00083D2B"/>
    <w:rsid w:val="00083D49"/>
    <w:rsid w:val="00083D62"/>
    <w:rsid w:val="00083D65"/>
    <w:rsid w:val="00083DD3"/>
    <w:rsid w:val="00083DE5"/>
    <w:rsid w:val="00083E0C"/>
    <w:rsid w:val="00083E2E"/>
    <w:rsid w:val="00083EC4"/>
    <w:rsid w:val="00083F62"/>
    <w:rsid w:val="00083FC4"/>
    <w:rsid w:val="00083FC8"/>
    <w:rsid w:val="00084010"/>
    <w:rsid w:val="0008407E"/>
    <w:rsid w:val="00084096"/>
    <w:rsid w:val="000840C1"/>
    <w:rsid w:val="0008411C"/>
    <w:rsid w:val="0008413F"/>
    <w:rsid w:val="00084148"/>
    <w:rsid w:val="0008415B"/>
    <w:rsid w:val="00084196"/>
    <w:rsid w:val="00084234"/>
    <w:rsid w:val="00084237"/>
    <w:rsid w:val="00084325"/>
    <w:rsid w:val="0008438C"/>
    <w:rsid w:val="00084480"/>
    <w:rsid w:val="000844EC"/>
    <w:rsid w:val="0008452A"/>
    <w:rsid w:val="00084550"/>
    <w:rsid w:val="000845C1"/>
    <w:rsid w:val="000845F2"/>
    <w:rsid w:val="0008460F"/>
    <w:rsid w:val="00084659"/>
    <w:rsid w:val="00084667"/>
    <w:rsid w:val="00084689"/>
    <w:rsid w:val="0008469E"/>
    <w:rsid w:val="000846A3"/>
    <w:rsid w:val="000846F4"/>
    <w:rsid w:val="00084777"/>
    <w:rsid w:val="000847AD"/>
    <w:rsid w:val="000847E2"/>
    <w:rsid w:val="00084882"/>
    <w:rsid w:val="0008495B"/>
    <w:rsid w:val="00084986"/>
    <w:rsid w:val="000849CD"/>
    <w:rsid w:val="000849F6"/>
    <w:rsid w:val="00084A22"/>
    <w:rsid w:val="00084A38"/>
    <w:rsid w:val="00084A49"/>
    <w:rsid w:val="00084A7E"/>
    <w:rsid w:val="00084A84"/>
    <w:rsid w:val="00084A98"/>
    <w:rsid w:val="00084AA6"/>
    <w:rsid w:val="00084AE1"/>
    <w:rsid w:val="00084B6F"/>
    <w:rsid w:val="00084BA4"/>
    <w:rsid w:val="00084C2B"/>
    <w:rsid w:val="00084C47"/>
    <w:rsid w:val="00084C5B"/>
    <w:rsid w:val="00084CA4"/>
    <w:rsid w:val="00084CA6"/>
    <w:rsid w:val="00084D22"/>
    <w:rsid w:val="00084D25"/>
    <w:rsid w:val="00084D2C"/>
    <w:rsid w:val="00084D4C"/>
    <w:rsid w:val="00084D72"/>
    <w:rsid w:val="00084DE5"/>
    <w:rsid w:val="00084DF7"/>
    <w:rsid w:val="00084E7F"/>
    <w:rsid w:val="00084EF0"/>
    <w:rsid w:val="00084EF2"/>
    <w:rsid w:val="00084F64"/>
    <w:rsid w:val="00084F6B"/>
    <w:rsid w:val="00084F95"/>
    <w:rsid w:val="00084F98"/>
    <w:rsid w:val="00084FBC"/>
    <w:rsid w:val="00084FEC"/>
    <w:rsid w:val="00085005"/>
    <w:rsid w:val="0008500E"/>
    <w:rsid w:val="00085082"/>
    <w:rsid w:val="00085120"/>
    <w:rsid w:val="00085123"/>
    <w:rsid w:val="00085134"/>
    <w:rsid w:val="00085141"/>
    <w:rsid w:val="0008514A"/>
    <w:rsid w:val="0008518B"/>
    <w:rsid w:val="00085199"/>
    <w:rsid w:val="000851FA"/>
    <w:rsid w:val="0008520C"/>
    <w:rsid w:val="00085221"/>
    <w:rsid w:val="0008524B"/>
    <w:rsid w:val="00085272"/>
    <w:rsid w:val="000852BC"/>
    <w:rsid w:val="000852C2"/>
    <w:rsid w:val="000852CB"/>
    <w:rsid w:val="000852E8"/>
    <w:rsid w:val="00085348"/>
    <w:rsid w:val="000853F9"/>
    <w:rsid w:val="00085443"/>
    <w:rsid w:val="00085450"/>
    <w:rsid w:val="00085455"/>
    <w:rsid w:val="00085468"/>
    <w:rsid w:val="000854E9"/>
    <w:rsid w:val="000854ED"/>
    <w:rsid w:val="00085506"/>
    <w:rsid w:val="000855B0"/>
    <w:rsid w:val="000855C3"/>
    <w:rsid w:val="000855CE"/>
    <w:rsid w:val="00085605"/>
    <w:rsid w:val="00085606"/>
    <w:rsid w:val="0008564A"/>
    <w:rsid w:val="00085688"/>
    <w:rsid w:val="000856C3"/>
    <w:rsid w:val="00085720"/>
    <w:rsid w:val="00085758"/>
    <w:rsid w:val="000857A4"/>
    <w:rsid w:val="0008583B"/>
    <w:rsid w:val="00085845"/>
    <w:rsid w:val="00085886"/>
    <w:rsid w:val="000858B6"/>
    <w:rsid w:val="0008594D"/>
    <w:rsid w:val="000859BC"/>
    <w:rsid w:val="000859ED"/>
    <w:rsid w:val="00085A0C"/>
    <w:rsid w:val="00085A1F"/>
    <w:rsid w:val="00085A9C"/>
    <w:rsid w:val="00085AB9"/>
    <w:rsid w:val="00085AF1"/>
    <w:rsid w:val="00085B5A"/>
    <w:rsid w:val="00085B87"/>
    <w:rsid w:val="00085BA8"/>
    <w:rsid w:val="00085C50"/>
    <w:rsid w:val="00085C70"/>
    <w:rsid w:val="00085C76"/>
    <w:rsid w:val="00085C7C"/>
    <w:rsid w:val="00085CEF"/>
    <w:rsid w:val="00085D28"/>
    <w:rsid w:val="00085D5A"/>
    <w:rsid w:val="00085D80"/>
    <w:rsid w:val="00085D8E"/>
    <w:rsid w:val="00085DA2"/>
    <w:rsid w:val="00085E0A"/>
    <w:rsid w:val="00085E87"/>
    <w:rsid w:val="00085EC2"/>
    <w:rsid w:val="00085ED1"/>
    <w:rsid w:val="00085F0C"/>
    <w:rsid w:val="00085F0D"/>
    <w:rsid w:val="00085FA3"/>
    <w:rsid w:val="00086002"/>
    <w:rsid w:val="00086060"/>
    <w:rsid w:val="00086092"/>
    <w:rsid w:val="000860B1"/>
    <w:rsid w:val="000860BA"/>
    <w:rsid w:val="00086139"/>
    <w:rsid w:val="0008616C"/>
    <w:rsid w:val="000861AE"/>
    <w:rsid w:val="00086227"/>
    <w:rsid w:val="00086237"/>
    <w:rsid w:val="0008624E"/>
    <w:rsid w:val="000862C2"/>
    <w:rsid w:val="000862CB"/>
    <w:rsid w:val="000862DB"/>
    <w:rsid w:val="0008637F"/>
    <w:rsid w:val="000863AB"/>
    <w:rsid w:val="000863CC"/>
    <w:rsid w:val="000863DE"/>
    <w:rsid w:val="0008640F"/>
    <w:rsid w:val="00086420"/>
    <w:rsid w:val="00086451"/>
    <w:rsid w:val="00086468"/>
    <w:rsid w:val="000864A2"/>
    <w:rsid w:val="000864CF"/>
    <w:rsid w:val="00086505"/>
    <w:rsid w:val="00086507"/>
    <w:rsid w:val="00086515"/>
    <w:rsid w:val="00086523"/>
    <w:rsid w:val="0008658B"/>
    <w:rsid w:val="000865D2"/>
    <w:rsid w:val="000865F7"/>
    <w:rsid w:val="00086654"/>
    <w:rsid w:val="00086681"/>
    <w:rsid w:val="0008668A"/>
    <w:rsid w:val="000866B0"/>
    <w:rsid w:val="000866DA"/>
    <w:rsid w:val="00086700"/>
    <w:rsid w:val="0008672B"/>
    <w:rsid w:val="00086731"/>
    <w:rsid w:val="0008678D"/>
    <w:rsid w:val="000867EA"/>
    <w:rsid w:val="000867FD"/>
    <w:rsid w:val="0008680D"/>
    <w:rsid w:val="00086817"/>
    <w:rsid w:val="0008687F"/>
    <w:rsid w:val="00086893"/>
    <w:rsid w:val="000868B4"/>
    <w:rsid w:val="000868D2"/>
    <w:rsid w:val="0008697D"/>
    <w:rsid w:val="000869F2"/>
    <w:rsid w:val="00086A1F"/>
    <w:rsid w:val="00086A2F"/>
    <w:rsid w:val="00086AB4"/>
    <w:rsid w:val="00086AC8"/>
    <w:rsid w:val="00086AD4"/>
    <w:rsid w:val="00086AF2"/>
    <w:rsid w:val="00086B01"/>
    <w:rsid w:val="00086B03"/>
    <w:rsid w:val="00086B14"/>
    <w:rsid w:val="00086B77"/>
    <w:rsid w:val="00086BA6"/>
    <w:rsid w:val="00086BE5"/>
    <w:rsid w:val="00086C41"/>
    <w:rsid w:val="00086C4D"/>
    <w:rsid w:val="00086C51"/>
    <w:rsid w:val="00086CAE"/>
    <w:rsid w:val="00086CC4"/>
    <w:rsid w:val="00086D21"/>
    <w:rsid w:val="00086D65"/>
    <w:rsid w:val="00086D9C"/>
    <w:rsid w:val="00086DCE"/>
    <w:rsid w:val="00086DE9"/>
    <w:rsid w:val="00086E14"/>
    <w:rsid w:val="00086E53"/>
    <w:rsid w:val="00086EA5"/>
    <w:rsid w:val="00086EB8"/>
    <w:rsid w:val="00086F22"/>
    <w:rsid w:val="00086F95"/>
    <w:rsid w:val="00086FA1"/>
    <w:rsid w:val="00086FB9"/>
    <w:rsid w:val="00086FEA"/>
    <w:rsid w:val="0008700A"/>
    <w:rsid w:val="0008701F"/>
    <w:rsid w:val="00087051"/>
    <w:rsid w:val="00087056"/>
    <w:rsid w:val="00087072"/>
    <w:rsid w:val="000870A1"/>
    <w:rsid w:val="000870F7"/>
    <w:rsid w:val="00087110"/>
    <w:rsid w:val="00087131"/>
    <w:rsid w:val="00087161"/>
    <w:rsid w:val="00087165"/>
    <w:rsid w:val="000871A0"/>
    <w:rsid w:val="000871E4"/>
    <w:rsid w:val="000871E6"/>
    <w:rsid w:val="0008721B"/>
    <w:rsid w:val="0008721D"/>
    <w:rsid w:val="00087226"/>
    <w:rsid w:val="0008724A"/>
    <w:rsid w:val="00087308"/>
    <w:rsid w:val="00087333"/>
    <w:rsid w:val="0008734A"/>
    <w:rsid w:val="00087377"/>
    <w:rsid w:val="000874A9"/>
    <w:rsid w:val="000874E4"/>
    <w:rsid w:val="000874F8"/>
    <w:rsid w:val="000874FC"/>
    <w:rsid w:val="0008754B"/>
    <w:rsid w:val="000875CA"/>
    <w:rsid w:val="000875D7"/>
    <w:rsid w:val="000875EB"/>
    <w:rsid w:val="00087632"/>
    <w:rsid w:val="0008763C"/>
    <w:rsid w:val="00087653"/>
    <w:rsid w:val="000876E4"/>
    <w:rsid w:val="000876EF"/>
    <w:rsid w:val="0008770B"/>
    <w:rsid w:val="00087730"/>
    <w:rsid w:val="00087780"/>
    <w:rsid w:val="000877EE"/>
    <w:rsid w:val="00087804"/>
    <w:rsid w:val="0008781D"/>
    <w:rsid w:val="00087828"/>
    <w:rsid w:val="000878EC"/>
    <w:rsid w:val="000878FB"/>
    <w:rsid w:val="00087946"/>
    <w:rsid w:val="000879C4"/>
    <w:rsid w:val="00087A73"/>
    <w:rsid w:val="00087A99"/>
    <w:rsid w:val="00087B11"/>
    <w:rsid w:val="00087B5E"/>
    <w:rsid w:val="00087BD7"/>
    <w:rsid w:val="00087C1A"/>
    <w:rsid w:val="00087D36"/>
    <w:rsid w:val="00087D87"/>
    <w:rsid w:val="00087DE3"/>
    <w:rsid w:val="00087E1F"/>
    <w:rsid w:val="00087E4F"/>
    <w:rsid w:val="00087E5F"/>
    <w:rsid w:val="00087E6A"/>
    <w:rsid w:val="00087EA0"/>
    <w:rsid w:val="00087F11"/>
    <w:rsid w:val="00087F2A"/>
    <w:rsid w:val="00087F3F"/>
    <w:rsid w:val="00087F5A"/>
    <w:rsid w:val="00087F6F"/>
    <w:rsid w:val="00087F9C"/>
    <w:rsid w:val="00087FCC"/>
    <w:rsid w:val="00090032"/>
    <w:rsid w:val="00090043"/>
    <w:rsid w:val="00090049"/>
    <w:rsid w:val="00090094"/>
    <w:rsid w:val="000900CF"/>
    <w:rsid w:val="000900ED"/>
    <w:rsid w:val="00090127"/>
    <w:rsid w:val="0009018B"/>
    <w:rsid w:val="000901B6"/>
    <w:rsid w:val="000901CF"/>
    <w:rsid w:val="0009020C"/>
    <w:rsid w:val="00090272"/>
    <w:rsid w:val="000902D5"/>
    <w:rsid w:val="000902F1"/>
    <w:rsid w:val="000902F9"/>
    <w:rsid w:val="000902FB"/>
    <w:rsid w:val="0009030F"/>
    <w:rsid w:val="0009031F"/>
    <w:rsid w:val="00090336"/>
    <w:rsid w:val="00090381"/>
    <w:rsid w:val="00090408"/>
    <w:rsid w:val="0009041C"/>
    <w:rsid w:val="00090452"/>
    <w:rsid w:val="00090453"/>
    <w:rsid w:val="000904A1"/>
    <w:rsid w:val="000904E6"/>
    <w:rsid w:val="00090503"/>
    <w:rsid w:val="0009050E"/>
    <w:rsid w:val="00090515"/>
    <w:rsid w:val="0009057A"/>
    <w:rsid w:val="0009057E"/>
    <w:rsid w:val="000905CD"/>
    <w:rsid w:val="0009062D"/>
    <w:rsid w:val="00090636"/>
    <w:rsid w:val="00090799"/>
    <w:rsid w:val="000908B8"/>
    <w:rsid w:val="000908E2"/>
    <w:rsid w:val="00090947"/>
    <w:rsid w:val="00090A1B"/>
    <w:rsid w:val="00090A64"/>
    <w:rsid w:val="00090A80"/>
    <w:rsid w:val="00090AA9"/>
    <w:rsid w:val="00090AAA"/>
    <w:rsid w:val="00090AC3"/>
    <w:rsid w:val="00090D04"/>
    <w:rsid w:val="00090D3A"/>
    <w:rsid w:val="00090E0B"/>
    <w:rsid w:val="00090E2B"/>
    <w:rsid w:val="00090E69"/>
    <w:rsid w:val="00090E84"/>
    <w:rsid w:val="00090EAA"/>
    <w:rsid w:val="00090EAC"/>
    <w:rsid w:val="00090EF9"/>
    <w:rsid w:val="00090F4D"/>
    <w:rsid w:val="00090F63"/>
    <w:rsid w:val="00090FD4"/>
    <w:rsid w:val="00090FE5"/>
    <w:rsid w:val="00091003"/>
    <w:rsid w:val="00091009"/>
    <w:rsid w:val="00091063"/>
    <w:rsid w:val="000910A8"/>
    <w:rsid w:val="000910DD"/>
    <w:rsid w:val="000910FA"/>
    <w:rsid w:val="0009111E"/>
    <w:rsid w:val="000911AA"/>
    <w:rsid w:val="0009120F"/>
    <w:rsid w:val="0009126F"/>
    <w:rsid w:val="00091279"/>
    <w:rsid w:val="0009127F"/>
    <w:rsid w:val="00091287"/>
    <w:rsid w:val="0009136B"/>
    <w:rsid w:val="0009146C"/>
    <w:rsid w:val="00091473"/>
    <w:rsid w:val="0009148F"/>
    <w:rsid w:val="000914A3"/>
    <w:rsid w:val="000914C6"/>
    <w:rsid w:val="000914DA"/>
    <w:rsid w:val="000914E2"/>
    <w:rsid w:val="000914FF"/>
    <w:rsid w:val="0009154F"/>
    <w:rsid w:val="0009155F"/>
    <w:rsid w:val="000915B7"/>
    <w:rsid w:val="000915D9"/>
    <w:rsid w:val="0009160B"/>
    <w:rsid w:val="00091674"/>
    <w:rsid w:val="0009171E"/>
    <w:rsid w:val="00091748"/>
    <w:rsid w:val="0009175C"/>
    <w:rsid w:val="00091796"/>
    <w:rsid w:val="0009180F"/>
    <w:rsid w:val="0009184D"/>
    <w:rsid w:val="0009186A"/>
    <w:rsid w:val="000918A5"/>
    <w:rsid w:val="000918A9"/>
    <w:rsid w:val="000918FD"/>
    <w:rsid w:val="00091952"/>
    <w:rsid w:val="000919C5"/>
    <w:rsid w:val="00091A14"/>
    <w:rsid w:val="00091A27"/>
    <w:rsid w:val="00091A39"/>
    <w:rsid w:val="00091A3C"/>
    <w:rsid w:val="00091A3D"/>
    <w:rsid w:val="00091A7E"/>
    <w:rsid w:val="00091B34"/>
    <w:rsid w:val="00091B3B"/>
    <w:rsid w:val="00091B86"/>
    <w:rsid w:val="00091B95"/>
    <w:rsid w:val="00091BA7"/>
    <w:rsid w:val="00091BF4"/>
    <w:rsid w:val="00091BF9"/>
    <w:rsid w:val="00091C05"/>
    <w:rsid w:val="00091C9D"/>
    <w:rsid w:val="00091CF5"/>
    <w:rsid w:val="00091CF8"/>
    <w:rsid w:val="00091E0D"/>
    <w:rsid w:val="00091E19"/>
    <w:rsid w:val="00091E22"/>
    <w:rsid w:val="00091E48"/>
    <w:rsid w:val="00091E95"/>
    <w:rsid w:val="00091F08"/>
    <w:rsid w:val="00091F2C"/>
    <w:rsid w:val="00091F41"/>
    <w:rsid w:val="00091F56"/>
    <w:rsid w:val="00091F7B"/>
    <w:rsid w:val="00091F85"/>
    <w:rsid w:val="00091FF0"/>
    <w:rsid w:val="00091FF7"/>
    <w:rsid w:val="0009200D"/>
    <w:rsid w:val="0009208B"/>
    <w:rsid w:val="000920B3"/>
    <w:rsid w:val="00092113"/>
    <w:rsid w:val="000921E9"/>
    <w:rsid w:val="0009227F"/>
    <w:rsid w:val="00092295"/>
    <w:rsid w:val="00092296"/>
    <w:rsid w:val="0009229F"/>
    <w:rsid w:val="000922A7"/>
    <w:rsid w:val="0009235B"/>
    <w:rsid w:val="0009235F"/>
    <w:rsid w:val="00092367"/>
    <w:rsid w:val="000923C4"/>
    <w:rsid w:val="000923D6"/>
    <w:rsid w:val="000923E5"/>
    <w:rsid w:val="00092403"/>
    <w:rsid w:val="0009242D"/>
    <w:rsid w:val="00092440"/>
    <w:rsid w:val="000924E3"/>
    <w:rsid w:val="0009251A"/>
    <w:rsid w:val="00092521"/>
    <w:rsid w:val="00092530"/>
    <w:rsid w:val="00092566"/>
    <w:rsid w:val="000925A3"/>
    <w:rsid w:val="0009264C"/>
    <w:rsid w:val="00092681"/>
    <w:rsid w:val="00092751"/>
    <w:rsid w:val="0009278B"/>
    <w:rsid w:val="0009279B"/>
    <w:rsid w:val="0009279F"/>
    <w:rsid w:val="000927B3"/>
    <w:rsid w:val="00092854"/>
    <w:rsid w:val="0009285B"/>
    <w:rsid w:val="000928B8"/>
    <w:rsid w:val="000928BF"/>
    <w:rsid w:val="00092927"/>
    <w:rsid w:val="00092982"/>
    <w:rsid w:val="00092991"/>
    <w:rsid w:val="000929D0"/>
    <w:rsid w:val="000929D6"/>
    <w:rsid w:val="00092A6D"/>
    <w:rsid w:val="00092A74"/>
    <w:rsid w:val="00092AEC"/>
    <w:rsid w:val="00092B2C"/>
    <w:rsid w:val="00092B7A"/>
    <w:rsid w:val="00092C48"/>
    <w:rsid w:val="00092C5B"/>
    <w:rsid w:val="00092CDB"/>
    <w:rsid w:val="00092DF7"/>
    <w:rsid w:val="00092E5E"/>
    <w:rsid w:val="00092E60"/>
    <w:rsid w:val="00092EB7"/>
    <w:rsid w:val="00092F09"/>
    <w:rsid w:val="00092F3B"/>
    <w:rsid w:val="00092F55"/>
    <w:rsid w:val="00092F90"/>
    <w:rsid w:val="00092FD6"/>
    <w:rsid w:val="00093019"/>
    <w:rsid w:val="00093067"/>
    <w:rsid w:val="00093082"/>
    <w:rsid w:val="000930DF"/>
    <w:rsid w:val="0009310F"/>
    <w:rsid w:val="00093111"/>
    <w:rsid w:val="00093112"/>
    <w:rsid w:val="00093187"/>
    <w:rsid w:val="000931BE"/>
    <w:rsid w:val="000931CF"/>
    <w:rsid w:val="0009321C"/>
    <w:rsid w:val="0009322C"/>
    <w:rsid w:val="0009328E"/>
    <w:rsid w:val="000932B0"/>
    <w:rsid w:val="000932D1"/>
    <w:rsid w:val="000932F7"/>
    <w:rsid w:val="0009330F"/>
    <w:rsid w:val="0009332F"/>
    <w:rsid w:val="000933B0"/>
    <w:rsid w:val="0009343F"/>
    <w:rsid w:val="000934E7"/>
    <w:rsid w:val="000935B1"/>
    <w:rsid w:val="00093678"/>
    <w:rsid w:val="00093681"/>
    <w:rsid w:val="0009369A"/>
    <w:rsid w:val="00093748"/>
    <w:rsid w:val="00093749"/>
    <w:rsid w:val="0009375C"/>
    <w:rsid w:val="000937E1"/>
    <w:rsid w:val="00093803"/>
    <w:rsid w:val="0009383C"/>
    <w:rsid w:val="00093870"/>
    <w:rsid w:val="00093888"/>
    <w:rsid w:val="000938BF"/>
    <w:rsid w:val="0009391A"/>
    <w:rsid w:val="0009396F"/>
    <w:rsid w:val="0009398B"/>
    <w:rsid w:val="000939C4"/>
    <w:rsid w:val="000939C5"/>
    <w:rsid w:val="00093A0D"/>
    <w:rsid w:val="00093A73"/>
    <w:rsid w:val="00093A9B"/>
    <w:rsid w:val="00093ABF"/>
    <w:rsid w:val="00093AD4"/>
    <w:rsid w:val="00093AEB"/>
    <w:rsid w:val="00093B09"/>
    <w:rsid w:val="00093B6C"/>
    <w:rsid w:val="00093B92"/>
    <w:rsid w:val="00093C02"/>
    <w:rsid w:val="00093C10"/>
    <w:rsid w:val="00093C37"/>
    <w:rsid w:val="00093C94"/>
    <w:rsid w:val="00093CAB"/>
    <w:rsid w:val="00093CB5"/>
    <w:rsid w:val="00093CBA"/>
    <w:rsid w:val="00093D87"/>
    <w:rsid w:val="00093DEA"/>
    <w:rsid w:val="00093EBE"/>
    <w:rsid w:val="00093F30"/>
    <w:rsid w:val="00093F60"/>
    <w:rsid w:val="00093F6E"/>
    <w:rsid w:val="00093F92"/>
    <w:rsid w:val="00093FB3"/>
    <w:rsid w:val="00093FE4"/>
    <w:rsid w:val="000940ED"/>
    <w:rsid w:val="0009416A"/>
    <w:rsid w:val="00094182"/>
    <w:rsid w:val="0009429B"/>
    <w:rsid w:val="00094383"/>
    <w:rsid w:val="000943B8"/>
    <w:rsid w:val="000943D2"/>
    <w:rsid w:val="000943FD"/>
    <w:rsid w:val="0009444D"/>
    <w:rsid w:val="0009447B"/>
    <w:rsid w:val="00094633"/>
    <w:rsid w:val="00094654"/>
    <w:rsid w:val="00094667"/>
    <w:rsid w:val="00094679"/>
    <w:rsid w:val="000946F0"/>
    <w:rsid w:val="00094720"/>
    <w:rsid w:val="0009474B"/>
    <w:rsid w:val="00094767"/>
    <w:rsid w:val="00094784"/>
    <w:rsid w:val="00094834"/>
    <w:rsid w:val="0009485C"/>
    <w:rsid w:val="000949D1"/>
    <w:rsid w:val="000949E4"/>
    <w:rsid w:val="000949FE"/>
    <w:rsid w:val="00094A24"/>
    <w:rsid w:val="00094A69"/>
    <w:rsid w:val="00094AAD"/>
    <w:rsid w:val="00094AC3"/>
    <w:rsid w:val="00094AD8"/>
    <w:rsid w:val="00094B1C"/>
    <w:rsid w:val="00094B3C"/>
    <w:rsid w:val="00094BF8"/>
    <w:rsid w:val="00094C24"/>
    <w:rsid w:val="00094C38"/>
    <w:rsid w:val="00094C3A"/>
    <w:rsid w:val="00094C85"/>
    <w:rsid w:val="00094C93"/>
    <w:rsid w:val="00094CA6"/>
    <w:rsid w:val="00094CC9"/>
    <w:rsid w:val="00094D0B"/>
    <w:rsid w:val="00094D4B"/>
    <w:rsid w:val="00094E0D"/>
    <w:rsid w:val="00094E11"/>
    <w:rsid w:val="00094E1B"/>
    <w:rsid w:val="00094E4C"/>
    <w:rsid w:val="00094EB6"/>
    <w:rsid w:val="00094EFB"/>
    <w:rsid w:val="00094F9A"/>
    <w:rsid w:val="00094FD2"/>
    <w:rsid w:val="00094FF2"/>
    <w:rsid w:val="0009501B"/>
    <w:rsid w:val="00095070"/>
    <w:rsid w:val="000950AD"/>
    <w:rsid w:val="000950C5"/>
    <w:rsid w:val="000950C6"/>
    <w:rsid w:val="000950DF"/>
    <w:rsid w:val="00095102"/>
    <w:rsid w:val="00095104"/>
    <w:rsid w:val="00095114"/>
    <w:rsid w:val="00095167"/>
    <w:rsid w:val="000951CD"/>
    <w:rsid w:val="000951D2"/>
    <w:rsid w:val="000951EF"/>
    <w:rsid w:val="0009521F"/>
    <w:rsid w:val="00095269"/>
    <w:rsid w:val="0009528E"/>
    <w:rsid w:val="000953D1"/>
    <w:rsid w:val="000953D4"/>
    <w:rsid w:val="00095412"/>
    <w:rsid w:val="0009545E"/>
    <w:rsid w:val="000954CE"/>
    <w:rsid w:val="000954E1"/>
    <w:rsid w:val="00095517"/>
    <w:rsid w:val="0009552A"/>
    <w:rsid w:val="0009555E"/>
    <w:rsid w:val="000955B9"/>
    <w:rsid w:val="0009564C"/>
    <w:rsid w:val="0009565B"/>
    <w:rsid w:val="0009568E"/>
    <w:rsid w:val="000956A5"/>
    <w:rsid w:val="000956C1"/>
    <w:rsid w:val="000956DC"/>
    <w:rsid w:val="0009573C"/>
    <w:rsid w:val="00095787"/>
    <w:rsid w:val="0009578B"/>
    <w:rsid w:val="000957B0"/>
    <w:rsid w:val="00095805"/>
    <w:rsid w:val="000958C6"/>
    <w:rsid w:val="000959F1"/>
    <w:rsid w:val="000959F4"/>
    <w:rsid w:val="00095A41"/>
    <w:rsid w:val="00095A43"/>
    <w:rsid w:val="00095B17"/>
    <w:rsid w:val="00095B1E"/>
    <w:rsid w:val="00095B92"/>
    <w:rsid w:val="00095BBC"/>
    <w:rsid w:val="00095BC9"/>
    <w:rsid w:val="00095BE0"/>
    <w:rsid w:val="00095BE8"/>
    <w:rsid w:val="00095CCA"/>
    <w:rsid w:val="00095D21"/>
    <w:rsid w:val="00095D42"/>
    <w:rsid w:val="00095DE1"/>
    <w:rsid w:val="00095E08"/>
    <w:rsid w:val="00095E59"/>
    <w:rsid w:val="00095EBA"/>
    <w:rsid w:val="00095EBC"/>
    <w:rsid w:val="00095EBD"/>
    <w:rsid w:val="00095ECF"/>
    <w:rsid w:val="00095EFD"/>
    <w:rsid w:val="00095F83"/>
    <w:rsid w:val="00095FC3"/>
    <w:rsid w:val="00095FC6"/>
    <w:rsid w:val="00096022"/>
    <w:rsid w:val="00096034"/>
    <w:rsid w:val="0009604E"/>
    <w:rsid w:val="00096092"/>
    <w:rsid w:val="000960B3"/>
    <w:rsid w:val="000960BA"/>
    <w:rsid w:val="000960C0"/>
    <w:rsid w:val="00096138"/>
    <w:rsid w:val="00096192"/>
    <w:rsid w:val="000961AF"/>
    <w:rsid w:val="000961C6"/>
    <w:rsid w:val="00096216"/>
    <w:rsid w:val="00096220"/>
    <w:rsid w:val="00096241"/>
    <w:rsid w:val="00096247"/>
    <w:rsid w:val="0009624F"/>
    <w:rsid w:val="00096280"/>
    <w:rsid w:val="000962C1"/>
    <w:rsid w:val="000962ED"/>
    <w:rsid w:val="00096389"/>
    <w:rsid w:val="000963AB"/>
    <w:rsid w:val="00096427"/>
    <w:rsid w:val="0009644C"/>
    <w:rsid w:val="0009648A"/>
    <w:rsid w:val="0009649A"/>
    <w:rsid w:val="00096536"/>
    <w:rsid w:val="000965A6"/>
    <w:rsid w:val="000965FA"/>
    <w:rsid w:val="0009662E"/>
    <w:rsid w:val="00096631"/>
    <w:rsid w:val="00096634"/>
    <w:rsid w:val="00096644"/>
    <w:rsid w:val="00096663"/>
    <w:rsid w:val="000966BB"/>
    <w:rsid w:val="00096754"/>
    <w:rsid w:val="00096780"/>
    <w:rsid w:val="000967A3"/>
    <w:rsid w:val="000967D5"/>
    <w:rsid w:val="000967E4"/>
    <w:rsid w:val="0009688F"/>
    <w:rsid w:val="0009689D"/>
    <w:rsid w:val="000968B4"/>
    <w:rsid w:val="000968B8"/>
    <w:rsid w:val="000968BE"/>
    <w:rsid w:val="000968C7"/>
    <w:rsid w:val="000968E5"/>
    <w:rsid w:val="000968EC"/>
    <w:rsid w:val="00096900"/>
    <w:rsid w:val="0009690D"/>
    <w:rsid w:val="00096911"/>
    <w:rsid w:val="00096916"/>
    <w:rsid w:val="0009691E"/>
    <w:rsid w:val="0009698C"/>
    <w:rsid w:val="0009698D"/>
    <w:rsid w:val="000969F0"/>
    <w:rsid w:val="00096A79"/>
    <w:rsid w:val="00096A84"/>
    <w:rsid w:val="00096A9E"/>
    <w:rsid w:val="00096B39"/>
    <w:rsid w:val="00096B76"/>
    <w:rsid w:val="00096BC4"/>
    <w:rsid w:val="00096C0E"/>
    <w:rsid w:val="00096C61"/>
    <w:rsid w:val="00096C78"/>
    <w:rsid w:val="00096CD6"/>
    <w:rsid w:val="00096CEC"/>
    <w:rsid w:val="00096D46"/>
    <w:rsid w:val="00096D7A"/>
    <w:rsid w:val="00096D82"/>
    <w:rsid w:val="00096D8B"/>
    <w:rsid w:val="00096D8D"/>
    <w:rsid w:val="00096DBB"/>
    <w:rsid w:val="00096E13"/>
    <w:rsid w:val="00096E45"/>
    <w:rsid w:val="00096E48"/>
    <w:rsid w:val="00096E4B"/>
    <w:rsid w:val="00096E4C"/>
    <w:rsid w:val="00096E8D"/>
    <w:rsid w:val="00096F15"/>
    <w:rsid w:val="00096F54"/>
    <w:rsid w:val="00096F5D"/>
    <w:rsid w:val="00096FC7"/>
    <w:rsid w:val="00096FEE"/>
    <w:rsid w:val="00096FF0"/>
    <w:rsid w:val="00097014"/>
    <w:rsid w:val="0009708F"/>
    <w:rsid w:val="000970A5"/>
    <w:rsid w:val="00097187"/>
    <w:rsid w:val="000971D7"/>
    <w:rsid w:val="000971FA"/>
    <w:rsid w:val="00097267"/>
    <w:rsid w:val="000972AA"/>
    <w:rsid w:val="0009732D"/>
    <w:rsid w:val="0009732F"/>
    <w:rsid w:val="0009739F"/>
    <w:rsid w:val="00097454"/>
    <w:rsid w:val="000974D7"/>
    <w:rsid w:val="000974DC"/>
    <w:rsid w:val="000974E3"/>
    <w:rsid w:val="0009753A"/>
    <w:rsid w:val="00097570"/>
    <w:rsid w:val="00097591"/>
    <w:rsid w:val="0009759C"/>
    <w:rsid w:val="000975D3"/>
    <w:rsid w:val="000975F3"/>
    <w:rsid w:val="000975F8"/>
    <w:rsid w:val="00097655"/>
    <w:rsid w:val="00097693"/>
    <w:rsid w:val="00097767"/>
    <w:rsid w:val="0009776F"/>
    <w:rsid w:val="0009778D"/>
    <w:rsid w:val="00097801"/>
    <w:rsid w:val="00097870"/>
    <w:rsid w:val="000978A2"/>
    <w:rsid w:val="00097942"/>
    <w:rsid w:val="0009796C"/>
    <w:rsid w:val="0009799D"/>
    <w:rsid w:val="000979E0"/>
    <w:rsid w:val="000979E5"/>
    <w:rsid w:val="000979F0"/>
    <w:rsid w:val="00097A5D"/>
    <w:rsid w:val="00097AAB"/>
    <w:rsid w:val="00097AE2"/>
    <w:rsid w:val="00097AFE"/>
    <w:rsid w:val="00097B13"/>
    <w:rsid w:val="00097B18"/>
    <w:rsid w:val="00097B5C"/>
    <w:rsid w:val="00097B83"/>
    <w:rsid w:val="00097BB0"/>
    <w:rsid w:val="00097BB8"/>
    <w:rsid w:val="00097C46"/>
    <w:rsid w:val="00097C58"/>
    <w:rsid w:val="00097C6E"/>
    <w:rsid w:val="00097CBB"/>
    <w:rsid w:val="00097CE1"/>
    <w:rsid w:val="00097CF0"/>
    <w:rsid w:val="00097D4E"/>
    <w:rsid w:val="00097DE4"/>
    <w:rsid w:val="00097DEF"/>
    <w:rsid w:val="00097E72"/>
    <w:rsid w:val="00097E9F"/>
    <w:rsid w:val="00097F81"/>
    <w:rsid w:val="000A0046"/>
    <w:rsid w:val="000A006B"/>
    <w:rsid w:val="000A0073"/>
    <w:rsid w:val="000A008A"/>
    <w:rsid w:val="000A00C2"/>
    <w:rsid w:val="000A0128"/>
    <w:rsid w:val="000A0136"/>
    <w:rsid w:val="000A018D"/>
    <w:rsid w:val="000A01F9"/>
    <w:rsid w:val="000A0242"/>
    <w:rsid w:val="000A0262"/>
    <w:rsid w:val="000A029C"/>
    <w:rsid w:val="000A02B4"/>
    <w:rsid w:val="000A030E"/>
    <w:rsid w:val="000A0354"/>
    <w:rsid w:val="000A0388"/>
    <w:rsid w:val="000A0395"/>
    <w:rsid w:val="000A03B3"/>
    <w:rsid w:val="000A03EB"/>
    <w:rsid w:val="000A0424"/>
    <w:rsid w:val="000A0531"/>
    <w:rsid w:val="000A0561"/>
    <w:rsid w:val="000A0573"/>
    <w:rsid w:val="000A05CA"/>
    <w:rsid w:val="000A062B"/>
    <w:rsid w:val="000A0645"/>
    <w:rsid w:val="000A0681"/>
    <w:rsid w:val="000A06A3"/>
    <w:rsid w:val="000A0711"/>
    <w:rsid w:val="000A0767"/>
    <w:rsid w:val="000A0772"/>
    <w:rsid w:val="000A07E0"/>
    <w:rsid w:val="000A07EA"/>
    <w:rsid w:val="000A0828"/>
    <w:rsid w:val="000A0844"/>
    <w:rsid w:val="000A087A"/>
    <w:rsid w:val="000A08A9"/>
    <w:rsid w:val="000A08BD"/>
    <w:rsid w:val="000A08C9"/>
    <w:rsid w:val="000A08DF"/>
    <w:rsid w:val="000A08E9"/>
    <w:rsid w:val="000A0924"/>
    <w:rsid w:val="000A0965"/>
    <w:rsid w:val="000A09D8"/>
    <w:rsid w:val="000A0A03"/>
    <w:rsid w:val="000A0A43"/>
    <w:rsid w:val="000A0ABB"/>
    <w:rsid w:val="000A0AE3"/>
    <w:rsid w:val="000A0B51"/>
    <w:rsid w:val="000A0B58"/>
    <w:rsid w:val="000A0B7E"/>
    <w:rsid w:val="000A0BF4"/>
    <w:rsid w:val="000A0BFC"/>
    <w:rsid w:val="000A0C0D"/>
    <w:rsid w:val="000A0C79"/>
    <w:rsid w:val="000A0C8B"/>
    <w:rsid w:val="000A0D7A"/>
    <w:rsid w:val="000A0D88"/>
    <w:rsid w:val="000A0DAF"/>
    <w:rsid w:val="000A0DC2"/>
    <w:rsid w:val="000A0DE0"/>
    <w:rsid w:val="000A0DED"/>
    <w:rsid w:val="000A0E29"/>
    <w:rsid w:val="000A0E63"/>
    <w:rsid w:val="000A0EA6"/>
    <w:rsid w:val="000A0ED5"/>
    <w:rsid w:val="000A0F15"/>
    <w:rsid w:val="000A0F33"/>
    <w:rsid w:val="000A0FB2"/>
    <w:rsid w:val="000A100F"/>
    <w:rsid w:val="000A1057"/>
    <w:rsid w:val="000A10BB"/>
    <w:rsid w:val="000A10E4"/>
    <w:rsid w:val="000A10FB"/>
    <w:rsid w:val="000A1171"/>
    <w:rsid w:val="000A1192"/>
    <w:rsid w:val="000A1193"/>
    <w:rsid w:val="000A11A0"/>
    <w:rsid w:val="000A11D6"/>
    <w:rsid w:val="000A11FF"/>
    <w:rsid w:val="000A1234"/>
    <w:rsid w:val="000A1254"/>
    <w:rsid w:val="000A1274"/>
    <w:rsid w:val="000A1292"/>
    <w:rsid w:val="000A12D6"/>
    <w:rsid w:val="000A1317"/>
    <w:rsid w:val="000A1412"/>
    <w:rsid w:val="000A141A"/>
    <w:rsid w:val="000A1441"/>
    <w:rsid w:val="000A1475"/>
    <w:rsid w:val="000A1491"/>
    <w:rsid w:val="000A14DE"/>
    <w:rsid w:val="000A1508"/>
    <w:rsid w:val="000A1552"/>
    <w:rsid w:val="000A1555"/>
    <w:rsid w:val="000A15E1"/>
    <w:rsid w:val="000A1631"/>
    <w:rsid w:val="000A1678"/>
    <w:rsid w:val="000A16F7"/>
    <w:rsid w:val="000A170D"/>
    <w:rsid w:val="000A1722"/>
    <w:rsid w:val="000A1773"/>
    <w:rsid w:val="000A17EC"/>
    <w:rsid w:val="000A180B"/>
    <w:rsid w:val="000A180D"/>
    <w:rsid w:val="000A1871"/>
    <w:rsid w:val="000A18AB"/>
    <w:rsid w:val="000A18C0"/>
    <w:rsid w:val="000A18C5"/>
    <w:rsid w:val="000A18FF"/>
    <w:rsid w:val="000A1ACA"/>
    <w:rsid w:val="000A1ACE"/>
    <w:rsid w:val="000A1B1A"/>
    <w:rsid w:val="000A1B87"/>
    <w:rsid w:val="000A1BE4"/>
    <w:rsid w:val="000A1BF0"/>
    <w:rsid w:val="000A1C89"/>
    <w:rsid w:val="000A1D0A"/>
    <w:rsid w:val="000A1D6A"/>
    <w:rsid w:val="000A1D71"/>
    <w:rsid w:val="000A1D89"/>
    <w:rsid w:val="000A1D90"/>
    <w:rsid w:val="000A1D9A"/>
    <w:rsid w:val="000A1E15"/>
    <w:rsid w:val="000A1E9B"/>
    <w:rsid w:val="000A1EDA"/>
    <w:rsid w:val="000A1EF7"/>
    <w:rsid w:val="000A1F10"/>
    <w:rsid w:val="000A1F2C"/>
    <w:rsid w:val="000A1F52"/>
    <w:rsid w:val="000A1FAE"/>
    <w:rsid w:val="000A1FBC"/>
    <w:rsid w:val="000A2018"/>
    <w:rsid w:val="000A2028"/>
    <w:rsid w:val="000A20D5"/>
    <w:rsid w:val="000A2158"/>
    <w:rsid w:val="000A21AE"/>
    <w:rsid w:val="000A2241"/>
    <w:rsid w:val="000A22A0"/>
    <w:rsid w:val="000A22B9"/>
    <w:rsid w:val="000A22C9"/>
    <w:rsid w:val="000A22D1"/>
    <w:rsid w:val="000A235F"/>
    <w:rsid w:val="000A2377"/>
    <w:rsid w:val="000A23EB"/>
    <w:rsid w:val="000A2425"/>
    <w:rsid w:val="000A2487"/>
    <w:rsid w:val="000A24A6"/>
    <w:rsid w:val="000A24F9"/>
    <w:rsid w:val="000A2556"/>
    <w:rsid w:val="000A25D9"/>
    <w:rsid w:val="000A265A"/>
    <w:rsid w:val="000A2664"/>
    <w:rsid w:val="000A2674"/>
    <w:rsid w:val="000A2685"/>
    <w:rsid w:val="000A268C"/>
    <w:rsid w:val="000A2690"/>
    <w:rsid w:val="000A269E"/>
    <w:rsid w:val="000A26A6"/>
    <w:rsid w:val="000A26D0"/>
    <w:rsid w:val="000A26E4"/>
    <w:rsid w:val="000A2702"/>
    <w:rsid w:val="000A2767"/>
    <w:rsid w:val="000A278B"/>
    <w:rsid w:val="000A27B1"/>
    <w:rsid w:val="000A2840"/>
    <w:rsid w:val="000A287E"/>
    <w:rsid w:val="000A28DE"/>
    <w:rsid w:val="000A2902"/>
    <w:rsid w:val="000A294C"/>
    <w:rsid w:val="000A2978"/>
    <w:rsid w:val="000A29BC"/>
    <w:rsid w:val="000A29E0"/>
    <w:rsid w:val="000A2A58"/>
    <w:rsid w:val="000A2A77"/>
    <w:rsid w:val="000A2A79"/>
    <w:rsid w:val="000A2C03"/>
    <w:rsid w:val="000A2C54"/>
    <w:rsid w:val="000A2C7F"/>
    <w:rsid w:val="000A2C93"/>
    <w:rsid w:val="000A2CD0"/>
    <w:rsid w:val="000A2CD7"/>
    <w:rsid w:val="000A2D56"/>
    <w:rsid w:val="000A2DB3"/>
    <w:rsid w:val="000A2E46"/>
    <w:rsid w:val="000A2E9D"/>
    <w:rsid w:val="000A2EAB"/>
    <w:rsid w:val="000A2EB3"/>
    <w:rsid w:val="000A2EE9"/>
    <w:rsid w:val="000A2F33"/>
    <w:rsid w:val="000A2FC2"/>
    <w:rsid w:val="000A3018"/>
    <w:rsid w:val="000A304D"/>
    <w:rsid w:val="000A30AD"/>
    <w:rsid w:val="000A30CE"/>
    <w:rsid w:val="000A30F1"/>
    <w:rsid w:val="000A310C"/>
    <w:rsid w:val="000A3127"/>
    <w:rsid w:val="000A316F"/>
    <w:rsid w:val="000A31BA"/>
    <w:rsid w:val="000A31CD"/>
    <w:rsid w:val="000A31D2"/>
    <w:rsid w:val="000A325D"/>
    <w:rsid w:val="000A32AA"/>
    <w:rsid w:val="000A32B3"/>
    <w:rsid w:val="000A32DD"/>
    <w:rsid w:val="000A3333"/>
    <w:rsid w:val="000A3343"/>
    <w:rsid w:val="000A3393"/>
    <w:rsid w:val="000A33C0"/>
    <w:rsid w:val="000A33EE"/>
    <w:rsid w:val="000A34BD"/>
    <w:rsid w:val="000A34EE"/>
    <w:rsid w:val="000A3518"/>
    <w:rsid w:val="000A351A"/>
    <w:rsid w:val="000A354F"/>
    <w:rsid w:val="000A35B3"/>
    <w:rsid w:val="000A3637"/>
    <w:rsid w:val="000A3680"/>
    <w:rsid w:val="000A368B"/>
    <w:rsid w:val="000A36B4"/>
    <w:rsid w:val="000A36D3"/>
    <w:rsid w:val="000A3744"/>
    <w:rsid w:val="000A374E"/>
    <w:rsid w:val="000A3808"/>
    <w:rsid w:val="000A3895"/>
    <w:rsid w:val="000A3978"/>
    <w:rsid w:val="000A39FC"/>
    <w:rsid w:val="000A3A7D"/>
    <w:rsid w:val="000A3A9A"/>
    <w:rsid w:val="000A3A9C"/>
    <w:rsid w:val="000A3B1E"/>
    <w:rsid w:val="000A3B21"/>
    <w:rsid w:val="000A3B26"/>
    <w:rsid w:val="000A3B4B"/>
    <w:rsid w:val="000A3C1F"/>
    <w:rsid w:val="000A3C49"/>
    <w:rsid w:val="000A3C5C"/>
    <w:rsid w:val="000A3CB7"/>
    <w:rsid w:val="000A3D39"/>
    <w:rsid w:val="000A3D77"/>
    <w:rsid w:val="000A3D99"/>
    <w:rsid w:val="000A3DB7"/>
    <w:rsid w:val="000A3DC3"/>
    <w:rsid w:val="000A3DD3"/>
    <w:rsid w:val="000A3DEB"/>
    <w:rsid w:val="000A3E5B"/>
    <w:rsid w:val="000A3E68"/>
    <w:rsid w:val="000A3E85"/>
    <w:rsid w:val="000A3F18"/>
    <w:rsid w:val="000A3F6D"/>
    <w:rsid w:val="000A3FCE"/>
    <w:rsid w:val="000A400B"/>
    <w:rsid w:val="000A400C"/>
    <w:rsid w:val="000A40B7"/>
    <w:rsid w:val="000A40E8"/>
    <w:rsid w:val="000A4137"/>
    <w:rsid w:val="000A4189"/>
    <w:rsid w:val="000A4192"/>
    <w:rsid w:val="000A41B3"/>
    <w:rsid w:val="000A41B4"/>
    <w:rsid w:val="000A41BB"/>
    <w:rsid w:val="000A41C4"/>
    <w:rsid w:val="000A4218"/>
    <w:rsid w:val="000A422D"/>
    <w:rsid w:val="000A42A0"/>
    <w:rsid w:val="000A4377"/>
    <w:rsid w:val="000A43D0"/>
    <w:rsid w:val="000A441C"/>
    <w:rsid w:val="000A4452"/>
    <w:rsid w:val="000A4476"/>
    <w:rsid w:val="000A44AD"/>
    <w:rsid w:val="000A44D3"/>
    <w:rsid w:val="000A44EA"/>
    <w:rsid w:val="000A4522"/>
    <w:rsid w:val="000A4558"/>
    <w:rsid w:val="000A455F"/>
    <w:rsid w:val="000A4594"/>
    <w:rsid w:val="000A45EE"/>
    <w:rsid w:val="000A45F6"/>
    <w:rsid w:val="000A461D"/>
    <w:rsid w:val="000A4646"/>
    <w:rsid w:val="000A4671"/>
    <w:rsid w:val="000A46AC"/>
    <w:rsid w:val="000A46F2"/>
    <w:rsid w:val="000A46FF"/>
    <w:rsid w:val="000A4708"/>
    <w:rsid w:val="000A476E"/>
    <w:rsid w:val="000A4825"/>
    <w:rsid w:val="000A4852"/>
    <w:rsid w:val="000A4869"/>
    <w:rsid w:val="000A48EF"/>
    <w:rsid w:val="000A49E9"/>
    <w:rsid w:val="000A4A09"/>
    <w:rsid w:val="000A4A1A"/>
    <w:rsid w:val="000A4A29"/>
    <w:rsid w:val="000A4A68"/>
    <w:rsid w:val="000A4A88"/>
    <w:rsid w:val="000A4AE5"/>
    <w:rsid w:val="000A4B71"/>
    <w:rsid w:val="000A4BC2"/>
    <w:rsid w:val="000A4BC7"/>
    <w:rsid w:val="000A4BFA"/>
    <w:rsid w:val="000A4C07"/>
    <w:rsid w:val="000A4C67"/>
    <w:rsid w:val="000A4CEA"/>
    <w:rsid w:val="000A4CF4"/>
    <w:rsid w:val="000A4D1B"/>
    <w:rsid w:val="000A4D1E"/>
    <w:rsid w:val="000A4DA0"/>
    <w:rsid w:val="000A4DCE"/>
    <w:rsid w:val="000A4DD6"/>
    <w:rsid w:val="000A4E12"/>
    <w:rsid w:val="000A4E18"/>
    <w:rsid w:val="000A4E45"/>
    <w:rsid w:val="000A4E72"/>
    <w:rsid w:val="000A4E9E"/>
    <w:rsid w:val="000A4EC1"/>
    <w:rsid w:val="000A4EEA"/>
    <w:rsid w:val="000A4FD7"/>
    <w:rsid w:val="000A503E"/>
    <w:rsid w:val="000A50A3"/>
    <w:rsid w:val="000A50C3"/>
    <w:rsid w:val="000A50E4"/>
    <w:rsid w:val="000A5117"/>
    <w:rsid w:val="000A5134"/>
    <w:rsid w:val="000A5144"/>
    <w:rsid w:val="000A5189"/>
    <w:rsid w:val="000A5200"/>
    <w:rsid w:val="000A5222"/>
    <w:rsid w:val="000A529C"/>
    <w:rsid w:val="000A52AA"/>
    <w:rsid w:val="000A530A"/>
    <w:rsid w:val="000A5325"/>
    <w:rsid w:val="000A5360"/>
    <w:rsid w:val="000A5365"/>
    <w:rsid w:val="000A5366"/>
    <w:rsid w:val="000A539B"/>
    <w:rsid w:val="000A539E"/>
    <w:rsid w:val="000A53A5"/>
    <w:rsid w:val="000A5406"/>
    <w:rsid w:val="000A5459"/>
    <w:rsid w:val="000A54BA"/>
    <w:rsid w:val="000A5507"/>
    <w:rsid w:val="000A5554"/>
    <w:rsid w:val="000A5562"/>
    <w:rsid w:val="000A5570"/>
    <w:rsid w:val="000A5578"/>
    <w:rsid w:val="000A55EE"/>
    <w:rsid w:val="000A5613"/>
    <w:rsid w:val="000A5698"/>
    <w:rsid w:val="000A571A"/>
    <w:rsid w:val="000A5798"/>
    <w:rsid w:val="000A5812"/>
    <w:rsid w:val="000A584B"/>
    <w:rsid w:val="000A5919"/>
    <w:rsid w:val="000A594B"/>
    <w:rsid w:val="000A59B8"/>
    <w:rsid w:val="000A59DF"/>
    <w:rsid w:val="000A5A42"/>
    <w:rsid w:val="000A5A5D"/>
    <w:rsid w:val="000A5A83"/>
    <w:rsid w:val="000A5AC0"/>
    <w:rsid w:val="000A5AC9"/>
    <w:rsid w:val="000A5B0E"/>
    <w:rsid w:val="000A5B2A"/>
    <w:rsid w:val="000A5B3D"/>
    <w:rsid w:val="000A5BA6"/>
    <w:rsid w:val="000A5C07"/>
    <w:rsid w:val="000A5C5D"/>
    <w:rsid w:val="000A5CD5"/>
    <w:rsid w:val="000A5D54"/>
    <w:rsid w:val="000A5D72"/>
    <w:rsid w:val="000A5DAC"/>
    <w:rsid w:val="000A5DE2"/>
    <w:rsid w:val="000A5DF2"/>
    <w:rsid w:val="000A5E28"/>
    <w:rsid w:val="000A5E35"/>
    <w:rsid w:val="000A5F0D"/>
    <w:rsid w:val="000A5F26"/>
    <w:rsid w:val="000A5F67"/>
    <w:rsid w:val="000A5F80"/>
    <w:rsid w:val="000A5F8F"/>
    <w:rsid w:val="000A604C"/>
    <w:rsid w:val="000A604F"/>
    <w:rsid w:val="000A607A"/>
    <w:rsid w:val="000A607D"/>
    <w:rsid w:val="000A609B"/>
    <w:rsid w:val="000A60A3"/>
    <w:rsid w:val="000A6123"/>
    <w:rsid w:val="000A6158"/>
    <w:rsid w:val="000A6174"/>
    <w:rsid w:val="000A618C"/>
    <w:rsid w:val="000A61B2"/>
    <w:rsid w:val="000A6226"/>
    <w:rsid w:val="000A62B1"/>
    <w:rsid w:val="000A62B4"/>
    <w:rsid w:val="000A62D8"/>
    <w:rsid w:val="000A62E3"/>
    <w:rsid w:val="000A6371"/>
    <w:rsid w:val="000A639D"/>
    <w:rsid w:val="000A63A7"/>
    <w:rsid w:val="000A649E"/>
    <w:rsid w:val="000A64A3"/>
    <w:rsid w:val="000A64E0"/>
    <w:rsid w:val="000A6502"/>
    <w:rsid w:val="000A6509"/>
    <w:rsid w:val="000A650D"/>
    <w:rsid w:val="000A6510"/>
    <w:rsid w:val="000A6515"/>
    <w:rsid w:val="000A654E"/>
    <w:rsid w:val="000A656B"/>
    <w:rsid w:val="000A6591"/>
    <w:rsid w:val="000A6594"/>
    <w:rsid w:val="000A65BF"/>
    <w:rsid w:val="000A65DC"/>
    <w:rsid w:val="000A65E2"/>
    <w:rsid w:val="000A6602"/>
    <w:rsid w:val="000A66A9"/>
    <w:rsid w:val="000A66D2"/>
    <w:rsid w:val="000A6726"/>
    <w:rsid w:val="000A6754"/>
    <w:rsid w:val="000A675A"/>
    <w:rsid w:val="000A677E"/>
    <w:rsid w:val="000A67B4"/>
    <w:rsid w:val="000A686D"/>
    <w:rsid w:val="000A68A4"/>
    <w:rsid w:val="000A6930"/>
    <w:rsid w:val="000A696B"/>
    <w:rsid w:val="000A698C"/>
    <w:rsid w:val="000A69D4"/>
    <w:rsid w:val="000A69F3"/>
    <w:rsid w:val="000A6A4E"/>
    <w:rsid w:val="000A6A66"/>
    <w:rsid w:val="000A6A76"/>
    <w:rsid w:val="000A6A7E"/>
    <w:rsid w:val="000A6ADA"/>
    <w:rsid w:val="000A6AEF"/>
    <w:rsid w:val="000A6B49"/>
    <w:rsid w:val="000A6C44"/>
    <w:rsid w:val="000A6CBA"/>
    <w:rsid w:val="000A6D7D"/>
    <w:rsid w:val="000A6D9C"/>
    <w:rsid w:val="000A6E99"/>
    <w:rsid w:val="000A6E9F"/>
    <w:rsid w:val="000A6EC4"/>
    <w:rsid w:val="000A6EC5"/>
    <w:rsid w:val="000A6F0A"/>
    <w:rsid w:val="000A6FC6"/>
    <w:rsid w:val="000A6FDB"/>
    <w:rsid w:val="000A700D"/>
    <w:rsid w:val="000A7019"/>
    <w:rsid w:val="000A701C"/>
    <w:rsid w:val="000A7043"/>
    <w:rsid w:val="000A705F"/>
    <w:rsid w:val="000A7081"/>
    <w:rsid w:val="000A70C3"/>
    <w:rsid w:val="000A70C9"/>
    <w:rsid w:val="000A70DD"/>
    <w:rsid w:val="000A7153"/>
    <w:rsid w:val="000A71A4"/>
    <w:rsid w:val="000A71BB"/>
    <w:rsid w:val="000A71BC"/>
    <w:rsid w:val="000A720B"/>
    <w:rsid w:val="000A7226"/>
    <w:rsid w:val="000A7251"/>
    <w:rsid w:val="000A7278"/>
    <w:rsid w:val="000A728C"/>
    <w:rsid w:val="000A729D"/>
    <w:rsid w:val="000A72BC"/>
    <w:rsid w:val="000A7388"/>
    <w:rsid w:val="000A739D"/>
    <w:rsid w:val="000A73FF"/>
    <w:rsid w:val="000A7440"/>
    <w:rsid w:val="000A74BD"/>
    <w:rsid w:val="000A74C2"/>
    <w:rsid w:val="000A7506"/>
    <w:rsid w:val="000A7524"/>
    <w:rsid w:val="000A7553"/>
    <w:rsid w:val="000A75D3"/>
    <w:rsid w:val="000A75EF"/>
    <w:rsid w:val="000A75F3"/>
    <w:rsid w:val="000A764A"/>
    <w:rsid w:val="000A764C"/>
    <w:rsid w:val="000A7682"/>
    <w:rsid w:val="000A76DA"/>
    <w:rsid w:val="000A7718"/>
    <w:rsid w:val="000A7762"/>
    <w:rsid w:val="000A776A"/>
    <w:rsid w:val="000A7796"/>
    <w:rsid w:val="000A77CC"/>
    <w:rsid w:val="000A77F7"/>
    <w:rsid w:val="000A7802"/>
    <w:rsid w:val="000A7811"/>
    <w:rsid w:val="000A7827"/>
    <w:rsid w:val="000A7832"/>
    <w:rsid w:val="000A7871"/>
    <w:rsid w:val="000A78A9"/>
    <w:rsid w:val="000A78EA"/>
    <w:rsid w:val="000A78EE"/>
    <w:rsid w:val="000A78F0"/>
    <w:rsid w:val="000A790D"/>
    <w:rsid w:val="000A7962"/>
    <w:rsid w:val="000A7AC3"/>
    <w:rsid w:val="000A7B20"/>
    <w:rsid w:val="000A7B3F"/>
    <w:rsid w:val="000A7B7D"/>
    <w:rsid w:val="000A7B8C"/>
    <w:rsid w:val="000A7B92"/>
    <w:rsid w:val="000A7BAB"/>
    <w:rsid w:val="000A7BDA"/>
    <w:rsid w:val="000A7C41"/>
    <w:rsid w:val="000A7C95"/>
    <w:rsid w:val="000A7CE5"/>
    <w:rsid w:val="000A7D1C"/>
    <w:rsid w:val="000A7D76"/>
    <w:rsid w:val="000A7E5A"/>
    <w:rsid w:val="000A7EA4"/>
    <w:rsid w:val="000A7EAE"/>
    <w:rsid w:val="000A7EB6"/>
    <w:rsid w:val="000A7EC0"/>
    <w:rsid w:val="000A7FCE"/>
    <w:rsid w:val="000A7FD5"/>
    <w:rsid w:val="000A7FF4"/>
    <w:rsid w:val="000B000E"/>
    <w:rsid w:val="000B000F"/>
    <w:rsid w:val="000B0036"/>
    <w:rsid w:val="000B0062"/>
    <w:rsid w:val="000B00C9"/>
    <w:rsid w:val="000B00DE"/>
    <w:rsid w:val="000B00F2"/>
    <w:rsid w:val="000B0101"/>
    <w:rsid w:val="000B012F"/>
    <w:rsid w:val="000B013F"/>
    <w:rsid w:val="000B0159"/>
    <w:rsid w:val="000B0181"/>
    <w:rsid w:val="000B0191"/>
    <w:rsid w:val="000B0196"/>
    <w:rsid w:val="000B01BB"/>
    <w:rsid w:val="000B026C"/>
    <w:rsid w:val="000B028B"/>
    <w:rsid w:val="000B029A"/>
    <w:rsid w:val="000B02E7"/>
    <w:rsid w:val="000B031F"/>
    <w:rsid w:val="000B0366"/>
    <w:rsid w:val="000B036C"/>
    <w:rsid w:val="000B037E"/>
    <w:rsid w:val="000B03AD"/>
    <w:rsid w:val="000B03C1"/>
    <w:rsid w:val="000B03D8"/>
    <w:rsid w:val="000B03FD"/>
    <w:rsid w:val="000B0426"/>
    <w:rsid w:val="000B04C9"/>
    <w:rsid w:val="000B0560"/>
    <w:rsid w:val="000B056D"/>
    <w:rsid w:val="000B05DA"/>
    <w:rsid w:val="000B0618"/>
    <w:rsid w:val="000B062F"/>
    <w:rsid w:val="000B0651"/>
    <w:rsid w:val="000B06B0"/>
    <w:rsid w:val="000B06CB"/>
    <w:rsid w:val="000B0778"/>
    <w:rsid w:val="000B07E3"/>
    <w:rsid w:val="000B0823"/>
    <w:rsid w:val="000B0846"/>
    <w:rsid w:val="000B08A0"/>
    <w:rsid w:val="000B095F"/>
    <w:rsid w:val="000B0985"/>
    <w:rsid w:val="000B098E"/>
    <w:rsid w:val="000B099B"/>
    <w:rsid w:val="000B09F6"/>
    <w:rsid w:val="000B0A27"/>
    <w:rsid w:val="000B0B07"/>
    <w:rsid w:val="000B0BE6"/>
    <w:rsid w:val="000B0C27"/>
    <w:rsid w:val="000B0C32"/>
    <w:rsid w:val="000B0C4D"/>
    <w:rsid w:val="000B0C4F"/>
    <w:rsid w:val="000B0CBE"/>
    <w:rsid w:val="000B0CD2"/>
    <w:rsid w:val="000B0D12"/>
    <w:rsid w:val="000B0D1F"/>
    <w:rsid w:val="000B0D2E"/>
    <w:rsid w:val="000B0D86"/>
    <w:rsid w:val="000B0ED1"/>
    <w:rsid w:val="000B0EDC"/>
    <w:rsid w:val="000B0F6D"/>
    <w:rsid w:val="000B0F7E"/>
    <w:rsid w:val="000B0F95"/>
    <w:rsid w:val="000B0FE4"/>
    <w:rsid w:val="000B0FED"/>
    <w:rsid w:val="000B107C"/>
    <w:rsid w:val="000B107D"/>
    <w:rsid w:val="000B109E"/>
    <w:rsid w:val="000B10A3"/>
    <w:rsid w:val="000B119F"/>
    <w:rsid w:val="000B126E"/>
    <w:rsid w:val="000B1286"/>
    <w:rsid w:val="000B12BB"/>
    <w:rsid w:val="000B1355"/>
    <w:rsid w:val="000B1363"/>
    <w:rsid w:val="000B13B1"/>
    <w:rsid w:val="000B13C2"/>
    <w:rsid w:val="000B13E1"/>
    <w:rsid w:val="000B1491"/>
    <w:rsid w:val="000B14EC"/>
    <w:rsid w:val="000B152E"/>
    <w:rsid w:val="000B1573"/>
    <w:rsid w:val="000B1592"/>
    <w:rsid w:val="000B15AC"/>
    <w:rsid w:val="000B15E3"/>
    <w:rsid w:val="000B1640"/>
    <w:rsid w:val="000B1658"/>
    <w:rsid w:val="000B166F"/>
    <w:rsid w:val="000B1683"/>
    <w:rsid w:val="000B16EC"/>
    <w:rsid w:val="000B173E"/>
    <w:rsid w:val="000B1768"/>
    <w:rsid w:val="000B180E"/>
    <w:rsid w:val="000B181D"/>
    <w:rsid w:val="000B1825"/>
    <w:rsid w:val="000B18A6"/>
    <w:rsid w:val="000B18E8"/>
    <w:rsid w:val="000B1902"/>
    <w:rsid w:val="000B190B"/>
    <w:rsid w:val="000B1929"/>
    <w:rsid w:val="000B193B"/>
    <w:rsid w:val="000B1940"/>
    <w:rsid w:val="000B1948"/>
    <w:rsid w:val="000B1953"/>
    <w:rsid w:val="000B1965"/>
    <w:rsid w:val="000B19D9"/>
    <w:rsid w:val="000B19DA"/>
    <w:rsid w:val="000B19E6"/>
    <w:rsid w:val="000B1A84"/>
    <w:rsid w:val="000B1A8D"/>
    <w:rsid w:val="000B1A95"/>
    <w:rsid w:val="000B1A9A"/>
    <w:rsid w:val="000B1AF5"/>
    <w:rsid w:val="000B1B5E"/>
    <w:rsid w:val="000B1BA4"/>
    <w:rsid w:val="000B1BAE"/>
    <w:rsid w:val="000B1BE0"/>
    <w:rsid w:val="000B1C03"/>
    <w:rsid w:val="000B1D33"/>
    <w:rsid w:val="000B1D95"/>
    <w:rsid w:val="000B1E53"/>
    <w:rsid w:val="000B1E6F"/>
    <w:rsid w:val="000B1E8B"/>
    <w:rsid w:val="000B1EA2"/>
    <w:rsid w:val="000B1EE6"/>
    <w:rsid w:val="000B1F1C"/>
    <w:rsid w:val="000B1F82"/>
    <w:rsid w:val="000B1FAA"/>
    <w:rsid w:val="000B1FB5"/>
    <w:rsid w:val="000B1FD0"/>
    <w:rsid w:val="000B1FD8"/>
    <w:rsid w:val="000B1FEE"/>
    <w:rsid w:val="000B2054"/>
    <w:rsid w:val="000B2066"/>
    <w:rsid w:val="000B20C8"/>
    <w:rsid w:val="000B2151"/>
    <w:rsid w:val="000B21C1"/>
    <w:rsid w:val="000B225C"/>
    <w:rsid w:val="000B229D"/>
    <w:rsid w:val="000B231A"/>
    <w:rsid w:val="000B232A"/>
    <w:rsid w:val="000B2376"/>
    <w:rsid w:val="000B23F6"/>
    <w:rsid w:val="000B2414"/>
    <w:rsid w:val="000B243F"/>
    <w:rsid w:val="000B24AB"/>
    <w:rsid w:val="000B2520"/>
    <w:rsid w:val="000B2553"/>
    <w:rsid w:val="000B25E4"/>
    <w:rsid w:val="000B263C"/>
    <w:rsid w:val="000B26AE"/>
    <w:rsid w:val="000B26BE"/>
    <w:rsid w:val="000B26CA"/>
    <w:rsid w:val="000B2701"/>
    <w:rsid w:val="000B270F"/>
    <w:rsid w:val="000B2724"/>
    <w:rsid w:val="000B276C"/>
    <w:rsid w:val="000B2786"/>
    <w:rsid w:val="000B2794"/>
    <w:rsid w:val="000B27A5"/>
    <w:rsid w:val="000B2823"/>
    <w:rsid w:val="000B28AA"/>
    <w:rsid w:val="000B28F7"/>
    <w:rsid w:val="000B2920"/>
    <w:rsid w:val="000B2923"/>
    <w:rsid w:val="000B2941"/>
    <w:rsid w:val="000B2953"/>
    <w:rsid w:val="000B2955"/>
    <w:rsid w:val="000B29C0"/>
    <w:rsid w:val="000B29C6"/>
    <w:rsid w:val="000B29F2"/>
    <w:rsid w:val="000B29F8"/>
    <w:rsid w:val="000B2A47"/>
    <w:rsid w:val="000B2A6A"/>
    <w:rsid w:val="000B2ACB"/>
    <w:rsid w:val="000B2B2A"/>
    <w:rsid w:val="000B2B3C"/>
    <w:rsid w:val="000B2BC2"/>
    <w:rsid w:val="000B2BC4"/>
    <w:rsid w:val="000B2BC8"/>
    <w:rsid w:val="000B2C0B"/>
    <w:rsid w:val="000B2C28"/>
    <w:rsid w:val="000B2C56"/>
    <w:rsid w:val="000B2CC3"/>
    <w:rsid w:val="000B2D24"/>
    <w:rsid w:val="000B2D39"/>
    <w:rsid w:val="000B2D9E"/>
    <w:rsid w:val="000B2DC1"/>
    <w:rsid w:val="000B2DF4"/>
    <w:rsid w:val="000B2E8C"/>
    <w:rsid w:val="000B2EBB"/>
    <w:rsid w:val="000B2EF1"/>
    <w:rsid w:val="000B2FB8"/>
    <w:rsid w:val="000B2FCA"/>
    <w:rsid w:val="000B3007"/>
    <w:rsid w:val="000B300A"/>
    <w:rsid w:val="000B3017"/>
    <w:rsid w:val="000B3043"/>
    <w:rsid w:val="000B3057"/>
    <w:rsid w:val="000B3130"/>
    <w:rsid w:val="000B31D5"/>
    <w:rsid w:val="000B31F3"/>
    <w:rsid w:val="000B3209"/>
    <w:rsid w:val="000B321B"/>
    <w:rsid w:val="000B32A1"/>
    <w:rsid w:val="000B32AD"/>
    <w:rsid w:val="000B332F"/>
    <w:rsid w:val="000B33D8"/>
    <w:rsid w:val="000B346E"/>
    <w:rsid w:val="000B34E1"/>
    <w:rsid w:val="000B34F9"/>
    <w:rsid w:val="000B3502"/>
    <w:rsid w:val="000B3512"/>
    <w:rsid w:val="000B3516"/>
    <w:rsid w:val="000B3530"/>
    <w:rsid w:val="000B3533"/>
    <w:rsid w:val="000B353A"/>
    <w:rsid w:val="000B3541"/>
    <w:rsid w:val="000B3544"/>
    <w:rsid w:val="000B354B"/>
    <w:rsid w:val="000B35A4"/>
    <w:rsid w:val="000B35CE"/>
    <w:rsid w:val="000B35F4"/>
    <w:rsid w:val="000B370F"/>
    <w:rsid w:val="000B373E"/>
    <w:rsid w:val="000B379D"/>
    <w:rsid w:val="000B37AD"/>
    <w:rsid w:val="000B37C1"/>
    <w:rsid w:val="000B37EA"/>
    <w:rsid w:val="000B37F5"/>
    <w:rsid w:val="000B38DF"/>
    <w:rsid w:val="000B3919"/>
    <w:rsid w:val="000B3951"/>
    <w:rsid w:val="000B3991"/>
    <w:rsid w:val="000B39A8"/>
    <w:rsid w:val="000B3A80"/>
    <w:rsid w:val="000B3A8C"/>
    <w:rsid w:val="000B3ABE"/>
    <w:rsid w:val="000B3AD4"/>
    <w:rsid w:val="000B3B1D"/>
    <w:rsid w:val="000B3B4D"/>
    <w:rsid w:val="000B3B67"/>
    <w:rsid w:val="000B3B6B"/>
    <w:rsid w:val="000B3B99"/>
    <w:rsid w:val="000B3BF9"/>
    <w:rsid w:val="000B3C1E"/>
    <w:rsid w:val="000B3C2D"/>
    <w:rsid w:val="000B3C37"/>
    <w:rsid w:val="000B3CCB"/>
    <w:rsid w:val="000B3D0B"/>
    <w:rsid w:val="000B3D44"/>
    <w:rsid w:val="000B3D49"/>
    <w:rsid w:val="000B3D82"/>
    <w:rsid w:val="000B3DCA"/>
    <w:rsid w:val="000B3E00"/>
    <w:rsid w:val="000B3E05"/>
    <w:rsid w:val="000B3E07"/>
    <w:rsid w:val="000B3E4A"/>
    <w:rsid w:val="000B3EBE"/>
    <w:rsid w:val="000B3EF1"/>
    <w:rsid w:val="000B3EF5"/>
    <w:rsid w:val="000B3F44"/>
    <w:rsid w:val="000B3FB0"/>
    <w:rsid w:val="000B3FE0"/>
    <w:rsid w:val="000B4035"/>
    <w:rsid w:val="000B4041"/>
    <w:rsid w:val="000B4051"/>
    <w:rsid w:val="000B407C"/>
    <w:rsid w:val="000B40BE"/>
    <w:rsid w:val="000B40D7"/>
    <w:rsid w:val="000B41BC"/>
    <w:rsid w:val="000B41DD"/>
    <w:rsid w:val="000B41E8"/>
    <w:rsid w:val="000B4219"/>
    <w:rsid w:val="000B421C"/>
    <w:rsid w:val="000B422C"/>
    <w:rsid w:val="000B4268"/>
    <w:rsid w:val="000B426D"/>
    <w:rsid w:val="000B42A1"/>
    <w:rsid w:val="000B42A5"/>
    <w:rsid w:val="000B432E"/>
    <w:rsid w:val="000B4368"/>
    <w:rsid w:val="000B43C3"/>
    <w:rsid w:val="000B4448"/>
    <w:rsid w:val="000B44DE"/>
    <w:rsid w:val="000B44E6"/>
    <w:rsid w:val="000B44FE"/>
    <w:rsid w:val="000B4526"/>
    <w:rsid w:val="000B4570"/>
    <w:rsid w:val="000B45A0"/>
    <w:rsid w:val="000B45BE"/>
    <w:rsid w:val="000B45D6"/>
    <w:rsid w:val="000B46B3"/>
    <w:rsid w:val="000B46D5"/>
    <w:rsid w:val="000B46FE"/>
    <w:rsid w:val="000B47D8"/>
    <w:rsid w:val="000B47FA"/>
    <w:rsid w:val="000B48C3"/>
    <w:rsid w:val="000B498E"/>
    <w:rsid w:val="000B49B5"/>
    <w:rsid w:val="000B49C5"/>
    <w:rsid w:val="000B49E2"/>
    <w:rsid w:val="000B49F8"/>
    <w:rsid w:val="000B4A12"/>
    <w:rsid w:val="000B4A7C"/>
    <w:rsid w:val="000B4AE3"/>
    <w:rsid w:val="000B4B66"/>
    <w:rsid w:val="000B4BA3"/>
    <w:rsid w:val="000B4BC8"/>
    <w:rsid w:val="000B4BFA"/>
    <w:rsid w:val="000B4C4C"/>
    <w:rsid w:val="000B4C52"/>
    <w:rsid w:val="000B4C65"/>
    <w:rsid w:val="000B4C82"/>
    <w:rsid w:val="000B4C96"/>
    <w:rsid w:val="000B4CAB"/>
    <w:rsid w:val="000B4D97"/>
    <w:rsid w:val="000B4D9D"/>
    <w:rsid w:val="000B4DA0"/>
    <w:rsid w:val="000B4DB2"/>
    <w:rsid w:val="000B4DE9"/>
    <w:rsid w:val="000B4E93"/>
    <w:rsid w:val="000B4EE3"/>
    <w:rsid w:val="000B4F08"/>
    <w:rsid w:val="000B4F2B"/>
    <w:rsid w:val="000B4F55"/>
    <w:rsid w:val="000B4F77"/>
    <w:rsid w:val="000B4FF3"/>
    <w:rsid w:val="000B5068"/>
    <w:rsid w:val="000B50E6"/>
    <w:rsid w:val="000B5154"/>
    <w:rsid w:val="000B5176"/>
    <w:rsid w:val="000B521C"/>
    <w:rsid w:val="000B5231"/>
    <w:rsid w:val="000B524E"/>
    <w:rsid w:val="000B5264"/>
    <w:rsid w:val="000B526F"/>
    <w:rsid w:val="000B5277"/>
    <w:rsid w:val="000B5300"/>
    <w:rsid w:val="000B545F"/>
    <w:rsid w:val="000B5465"/>
    <w:rsid w:val="000B5478"/>
    <w:rsid w:val="000B549E"/>
    <w:rsid w:val="000B54D3"/>
    <w:rsid w:val="000B54D4"/>
    <w:rsid w:val="000B55BC"/>
    <w:rsid w:val="000B55FF"/>
    <w:rsid w:val="000B56E2"/>
    <w:rsid w:val="000B56FD"/>
    <w:rsid w:val="000B57CD"/>
    <w:rsid w:val="000B57F5"/>
    <w:rsid w:val="000B5833"/>
    <w:rsid w:val="000B583E"/>
    <w:rsid w:val="000B5857"/>
    <w:rsid w:val="000B5883"/>
    <w:rsid w:val="000B5885"/>
    <w:rsid w:val="000B58BE"/>
    <w:rsid w:val="000B591B"/>
    <w:rsid w:val="000B59D0"/>
    <w:rsid w:val="000B59F1"/>
    <w:rsid w:val="000B5A2D"/>
    <w:rsid w:val="000B5A3A"/>
    <w:rsid w:val="000B5A74"/>
    <w:rsid w:val="000B5AA0"/>
    <w:rsid w:val="000B5B48"/>
    <w:rsid w:val="000B5BBB"/>
    <w:rsid w:val="000B5BD6"/>
    <w:rsid w:val="000B5BE8"/>
    <w:rsid w:val="000B5BF0"/>
    <w:rsid w:val="000B5C4A"/>
    <w:rsid w:val="000B5CB0"/>
    <w:rsid w:val="000B5CBD"/>
    <w:rsid w:val="000B5D09"/>
    <w:rsid w:val="000B5D68"/>
    <w:rsid w:val="000B5DC5"/>
    <w:rsid w:val="000B5E67"/>
    <w:rsid w:val="000B5E92"/>
    <w:rsid w:val="000B5E9C"/>
    <w:rsid w:val="000B5EBC"/>
    <w:rsid w:val="000B5EBD"/>
    <w:rsid w:val="000B5EBF"/>
    <w:rsid w:val="000B5F1D"/>
    <w:rsid w:val="000B5F5A"/>
    <w:rsid w:val="000B5F65"/>
    <w:rsid w:val="000B5FB2"/>
    <w:rsid w:val="000B5FE5"/>
    <w:rsid w:val="000B5FED"/>
    <w:rsid w:val="000B607C"/>
    <w:rsid w:val="000B60D5"/>
    <w:rsid w:val="000B60EF"/>
    <w:rsid w:val="000B6117"/>
    <w:rsid w:val="000B6119"/>
    <w:rsid w:val="000B61CA"/>
    <w:rsid w:val="000B61D0"/>
    <w:rsid w:val="000B6201"/>
    <w:rsid w:val="000B6236"/>
    <w:rsid w:val="000B624A"/>
    <w:rsid w:val="000B6261"/>
    <w:rsid w:val="000B62AB"/>
    <w:rsid w:val="000B62E3"/>
    <w:rsid w:val="000B62FF"/>
    <w:rsid w:val="000B6317"/>
    <w:rsid w:val="000B631E"/>
    <w:rsid w:val="000B6335"/>
    <w:rsid w:val="000B633F"/>
    <w:rsid w:val="000B6371"/>
    <w:rsid w:val="000B6393"/>
    <w:rsid w:val="000B63E0"/>
    <w:rsid w:val="000B6453"/>
    <w:rsid w:val="000B64E7"/>
    <w:rsid w:val="000B6561"/>
    <w:rsid w:val="000B656F"/>
    <w:rsid w:val="000B6580"/>
    <w:rsid w:val="000B658C"/>
    <w:rsid w:val="000B658F"/>
    <w:rsid w:val="000B65E3"/>
    <w:rsid w:val="000B661A"/>
    <w:rsid w:val="000B662A"/>
    <w:rsid w:val="000B666E"/>
    <w:rsid w:val="000B6688"/>
    <w:rsid w:val="000B6695"/>
    <w:rsid w:val="000B66B7"/>
    <w:rsid w:val="000B66C8"/>
    <w:rsid w:val="000B6701"/>
    <w:rsid w:val="000B6766"/>
    <w:rsid w:val="000B6787"/>
    <w:rsid w:val="000B67DD"/>
    <w:rsid w:val="000B6853"/>
    <w:rsid w:val="000B6854"/>
    <w:rsid w:val="000B6855"/>
    <w:rsid w:val="000B68C7"/>
    <w:rsid w:val="000B68D5"/>
    <w:rsid w:val="000B68DF"/>
    <w:rsid w:val="000B6901"/>
    <w:rsid w:val="000B692E"/>
    <w:rsid w:val="000B6936"/>
    <w:rsid w:val="000B693C"/>
    <w:rsid w:val="000B694E"/>
    <w:rsid w:val="000B699E"/>
    <w:rsid w:val="000B69A0"/>
    <w:rsid w:val="000B69C2"/>
    <w:rsid w:val="000B69DF"/>
    <w:rsid w:val="000B6A0C"/>
    <w:rsid w:val="000B6A16"/>
    <w:rsid w:val="000B6A22"/>
    <w:rsid w:val="000B6A26"/>
    <w:rsid w:val="000B6A46"/>
    <w:rsid w:val="000B6A65"/>
    <w:rsid w:val="000B6A93"/>
    <w:rsid w:val="000B6B15"/>
    <w:rsid w:val="000B6B30"/>
    <w:rsid w:val="000B6BD7"/>
    <w:rsid w:val="000B6BDC"/>
    <w:rsid w:val="000B6C19"/>
    <w:rsid w:val="000B6C3D"/>
    <w:rsid w:val="000B6D41"/>
    <w:rsid w:val="000B6DFC"/>
    <w:rsid w:val="000B6E14"/>
    <w:rsid w:val="000B6F33"/>
    <w:rsid w:val="000B6F38"/>
    <w:rsid w:val="000B6F6B"/>
    <w:rsid w:val="000B7017"/>
    <w:rsid w:val="000B706A"/>
    <w:rsid w:val="000B7080"/>
    <w:rsid w:val="000B70B7"/>
    <w:rsid w:val="000B71AC"/>
    <w:rsid w:val="000B727B"/>
    <w:rsid w:val="000B72AE"/>
    <w:rsid w:val="000B72F3"/>
    <w:rsid w:val="000B732A"/>
    <w:rsid w:val="000B7403"/>
    <w:rsid w:val="000B7407"/>
    <w:rsid w:val="000B7444"/>
    <w:rsid w:val="000B7490"/>
    <w:rsid w:val="000B74A7"/>
    <w:rsid w:val="000B758C"/>
    <w:rsid w:val="000B75AA"/>
    <w:rsid w:val="000B7609"/>
    <w:rsid w:val="000B760D"/>
    <w:rsid w:val="000B7680"/>
    <w:rsid w:val="000B76AB"/>
    <w:rsid w:val="000B770E"/>
    <w:rsid w:val="000B772C"/>
    <w:rsid w:val="000B77DF"/>
    <w:rsid w:val="000B77F2"/>
    <w:rsid w:val="000B7800"/>
    <w:rsid w:val="000B788A"/>
    <w:rsid w:val="000B7932"/>
    <w:rsid w:val="000B7938"/>
    <w:rsid w:val="000B7954"/>
    <w:rsid w:val="000B7A06"/>
    <w:rsid w:val="000B7A17"/>
    <w:rsid w:val="000B7A55"/>
    <w:rsid w:val="000B7A69"/>
    <w:rsid w:val="000B7A96"/>
    <w:rsid w:val="000B7B3F"/>
    <w:rsid w:val="000B7B43"/>
    <w:rsid w:val="000B7B4F"/>
    <w:rsid w:val="000B7B58"/>
    <w:rsid w:val="000B7B83"/>
    <w:rsid w:val="000B7BB5"/>
    <w:rsid w:val="000B7BC2"/>
    <w:rsid w:val="000B7BE4"/>
    <w:rsid w:val="000B7C29"/>
    <w:rsid w:val="000B7CA3"/>
    <w:rsid w:val="000B7D46"/>
    <w:rsid w:val="000B7DCC"/>
    <w:rsid w:val="000B7DE2"/>
    <w:rsid w:val="000B7E2B"/>
    <w:rsid w:val="000B7E38"/>
    <w:rsid w:val="000B7E44"/>
    <w:rsid w:val="000B7E81"/>
    <w:rsid w:val="000B7EBE"/>
    <w:rsid w:val="000B7EBF"/>
    <w:rsid w:val="000B7F26"/>
    <w:rsid w:val="000B7F2E"/>
    <w:rsid w:val="000B7F34"/>
    <w:rsid w:val="000B7F3C"/>
    <w:rsid w:val="000B7F43"/>
    <w:rsid w:val="000B7F61"/>
    <w:rsid w:val="000B7F6B"/>
    <w:rsid w:val="000B7F97"/>
    <w:rsid w:val="000B7FFC"/>
    <w:rsid w:val="000C0017"/>
    <w:rsid w:val="000C007E"/>
    <w:rsid w:val="000C00FB"/>
    <w:rsid w:val="000C010F"/>
    <w:rsid w:val="000C0126"/>
    <w:rsid w:val="000C013B"/>
    <w:rsid w:val="000C0176"/>
    <w:rsid w:val="000C01C9"/>
    <w:rsid w:val="000C01D8"/>
    <w:rsid w:val="000C01EB"/>
    <w:rsid w:val="000C01F2"/>
    <w:rsid w:val="000C01FD"/>
    <w:rsid w:val="000C0243"/>
    <w:rsid w:val="000C0258"/>
    <w:rsid w:val="000C028F"/>
    <w:rsid w:val="000C02AD"/>
    <w:rsid w:val="000C02F8"/>
    <w:rsid w:val="000C0327"/>
    <w:rsid w:val="000C0394"/>
    <w:rsid w:val="000C03C4"/>
    <w:rsid w:val="000C03D0"/>
    <w:rsid w:val="000C03F8"/>
    <w:rsid w:val="000C0443"/>
    <w:rsid w:val="000C0481"/>
    <w:rsid w:val="000C04A9"/>
    <w:rsid w:val="000C04D4"/>
    <w:rsid w:val="000C04D9"/>
    <w:rsid w:val="000C05E2"/>
    <w:rsid w:val="000C05E5"/>
    <w:rsid w:val="000C069D"/>
    <w:rsid w:val="000C06C1"/>
    <w:rsid w:val="000C06C7"/>
    <w:rsid w:val="000C070F"/>
    <w:rsid w:val="000C0710"/>
    <w:rsid w:val="000C0724"/>
    <w:rsid w:val="000C0745"/>
    <w:rsid w:val="000C0765"/>
    <w:rsid w:val="000C0790"/>
    <w:rsid w:val="000C07E5"/>
    <w:rsid w:val="000C082E"/>
    <w:rsid w:val="000C0860"/>
    <w:rsid w:val="000C088B"/>
    <w:rsid w:val="000C08C1"/>
    <w:rsid w:val="000C08C5"/>
    <w:rsid w:val="000C08EE"/>
    <w:rsid w:val="000C08F6"/>
    <w:rsid w:val="000C0959"/>
    <w:rsid w:val="000C096F"/>
    <w:rsid w:val="000C0995"/>
    <w:rsid w:val="000C0998"/>
    <w:rsid w:val="000C09A2"/>
    <w:rsid w:val="000C09B5"/>
    <w:rsid w:val="000C09FE"/>
    <w:rsid w:val="000C0A12"/>
    <w:rsid w:val="000C0A55"/>
    <w:rsid w:val="000C0A59"/>
    <w:rsid w:val="000C0A91"/>
    <w:rsid w:val="000C0AEC"/>
    <w:rsid w:val="000C0B21"/>
    <w:rsid w:val="000C0B23"/>
    <w:rsid w:val="000C0B6C"/>
    <w:rsid w:val="000C0BB0"/>
    <w:rsid w:val="000C0BB3"/>
    <w:rsid w:val="000C0BD1"/>
    <w:rsid w:val="000C0BE9"/>
    <w:rsid w:val="000C0C3A"/>
    <w:rsid w:val="000C0CC2"/>
    <w:rsid w:val="000C0CCE"/>
    <w:rsid w:val="000C0CFD"/>
    <w:rsid w:val="000C0D25"/>
    <w:rsid w:val="000C0D4C"/>
    <w:rsid w:val="000C0D61"/>
    <w:rsid w:val="000C0D69"/>
    <w:rsid w:val="000C0E98"/>
    <w:rsid w:val="000C0E9D"/>
    <w:rsid w:val="000C0EF7"/>
    <w:rsid w:val="000C0F30"/>
    <w:rsid w:val="000C0F7A"/>
    <w:rsid w:val="000C0F99"/>
    <w:rsid w:val="000C0FEA"/>
    <w:rsid w:val="000C0FEF"/>
    <w:rsid w:val="000C1009"/>
    <w:rsid w:val="000C1038"/>
    <w:rsid w:val="000C105C"/>
    <w:rsid w:val="000C10DB"/>
    <w:rsid w:val="000C10EC"/>
    <w:rsid w:val="000C1117"/>
    <w:rsid w:val="000C1139"/>
    <w:rsid w:val="000C1187"/>
    <w:rsid w:val="000C11B0"/>
    <w:rsid w:val="000C11E1"/>
    <w:rsid w:val="000C11E9"/>
    <w:rsid w:val="000C1253"/>
    <w:rsid w:val="000C1280"/>
    <w:rsid w:val="000C1299"/>
    <w:rsid w:val="000C12D9"/>
    <w:rsid w:val="000C1330"/>
    <w:rsid w:val="000C135B"/>
    <w:rsid w:val="000C1376"/>
    <w:rsid w:val="000C13F7"/>
    <w:rsid w:val="000C1406"/>
    <w:rsid w:val="000C1502"/>
    <w:rsid w:val="000C156C"/>
    <w:rsid w:val="000C1583"/>
    <w:rsid w:val="000C1584"/>
    <w:rsid w:val="000C15C0"/>
    <w:rsid w:val="000C1692"/>
    <w:rsid w:val="000C16E2"/>
    <w:rsid w:val="000C171E"/>
    <w:rsid w:val="000C1761"/>
    <w:rsid w:val="000C17EE"/>
    <w:rsid w:val="000C1815"/>
    <w:rsid w:val="000C18EE"/>
    <w:rsid w:val="000C1945"/>
    <w:rsid w:val="000C1A25"/>
    <w:rsid w:val="000C1A44"/>
    <w:rsid w:val="000C1A56"/>
    <w:rsid w:val="000C1A90"/>
    <w:rsid w:val="000C1A98"/>
    <w:rsid w:val="000C1AB0"/>
    <w:rsid w:val="000C1B26"/>
    <w:rsid w:val="000C1BBA"/>
    <w:rsid w:val="000C1C19"/>
    <w:rsid w:val="000C1C52"/>
    <w:rsid w:val="000C1C62"/>
    <w:rsid w:val="000C1C71"/>
    <w:rsid w:val="000C1CD8"/>
    <w:rsid w:val="000C1CED"/>
    <w:rsid w:val="000C1D0E"/>
    <w:rsid w:val="000C1D28"/>
    <w:rsid w:val="000C1D41"/>
    <w:rsid w:val="000C1D7E"/>
    <w:rsid w:val="000C1DA8"/>
    <w:rsid w:val="000C1DB9"/>
    <w:rsid w:val="000C1E22"/>
    <w:rsid w:val="000C1E8D"/>
    <w:rsid w:val="000C1EAA"/>
    <w:rsid w:val="000C1EDD"/>
    <w:rsid w:val="000C1F57"/>
    <w:rsid w:val="000C1F59"/>
    <w:rsid w:val="000C1F60"/>
    <w:rsid w:val="000C1F69"/>
    <w:rsid w:val="000C1F97"/>
    <w:rsid w:val="000C1FD6"/>
    <w:rsid w:val="000C1FE0"/>
    <w:rsid w:val="000C1FF8"/>
    <w:rsid w:val="000C2014"/>
    <w:rsid w:val="000C2062"/>
    <w:rsid w:val="000C2078"/>
    <w:rsid w:val="000C2081"/>
    <w:rsid w:val="000C20FD"/>
    <w:rsid w:val="000C21A1"/>
    <w:rsid w:val="000C21D3"/>
    <w:rsid w:val="000C21FD"/>
    <w:rsid w:val="000C220D"/>
    <w:rsid w:val="000C225F"/>
    <w:rsid w:val="000C2275"/>
    <w:rsid w:val="000C228A"/>
    <w:rsid w:val="000C22A5"/>
    <w:rsid w:val="000C22EB"/>
    <w:rsid w:val="000C22EC"/>
    <w:rsid w:val="000C2306"/>
    <w:rsid w:val="000C2363"/>
    <w:rsid w:val="000C2379"/>
    <w:rsid w:val="000C237C"/>
    <w:rsid w:val="000C23A5"/>
    <w:rsid w:val="000C23DA"/>
    <w:rsid w:val="000C243A"/>
    <w:rsid w:val="000C243E"/>
    <w:rsid w:val="000C246F"/>
    <w:rsid w:val="000C24A3"/>
    <w:rsid w:val="000C2502"/>
    <w:rsid w:val="000C252B"/>
    <w:rsid w:val="000C2641"/>
    <w:rsid w:val="000C26F5"/>
    <w:rsid w:val="000C26FB"/>
    <w:rsid w:val="000C2720"/>
    <w:rsid w:val="000C279B"/>
    <w:rsid w:val="000C27AC"/>
    <w:rsid w:val="000C27C0"/>
    <w:rsid w:val="000C280C"/>
    <w:rsid w:val="000C2839"/>
    <w:rsid w:val="000C286B"/>
    <w:rsid w:val="000C28A9"/>
    <w:rsid w:val="000C295C"/>
    <w:rsid w:val="000C2969"/>
    <w:rsid w:val="000C29C1"/>
    <w:rsid w:val="000C2A0A"/>
    <w:rsid w:val="000C2A33"/>
    <w:rsid w:val="000C2A6B"/>
    <w:rsid w:val="000C2A6D"/>
    <w:rsid w:val="000C2AD8"/>
    <w:rsid w:val="000C2ADE"/>
    <w:rsid w:val="000C2B08"/>
    <w:rsid w:val="000C2B17"/>
    <w:rsid w:val="000C2BA2"/>
    <w:rsid w:val="000C2C26"/>
    <w:rsid w:val="000C2C3C"/>
    <w:rsid w:val="000C2C87"/>
    <w:rsid w:val="000C2CF2"/>
    <w:rsid w:val="000C2DCD"/>
    <w:rsid w:val="000C2DFB"/>
    <w:rsid w:val="000C2E0D"/>
    <w:rsid w:val="000C2E2A"/>
    <w:rsid w:val="000C2E71"/>
    <w:rsid w:val="000C2E96"/>
    <w:rsid w:val="000C2EA1"/>
    <w:rsid w:val="000C2F08"/>
    <w:rsid w:val="000C2F0D"/>
    <w:rsid w:val="000C2F1B"/>
    <w:rsid w:val="000C2F24"/>
    <w:rsid w:val="000C2FE9"/>
    <w:rsid w:val="000C30B0"/>
    <w:rsid w:val="000C30B3"/>
    <w:rsid w:val="000C30D4"/>
    <w:rsid w:val="000C3132"/>
    <w:rsid w:val="000C3189"/>
    <w:rsid w:val="000C31FB"/>
    <w:rsid w:val="000C322C"/>
    <w:rsid w:val="000C322E"/>
    <w:rsid w:val="000C3249"/>
    <w:rsid w:val="000C32CB"/>
    <w:rsid w:val="000C3316"/>
    <w:rsid w:val="000C331B"/>
    <w:rsid w:val="000C3331"/>
    <w:rsid w:val="000C334A"/>
    <w:rsid w:val="000C334D"/>
    <w:rsid w:val="000C33A4"/>
    <w:rsid w:val="000C33EE"/>
    <w:rsid w:val="000C33FB"/>
    <w:rsid w:val="000C344B"/>
    <w:rsid w:val="000C3467"/>
    <w:rsid w:val="000C3482"/>
    <w:rsid w:val="000C358B"/>
    <w:rsid w:val="000C35BF"/>
    <w:rsid w:val="000C35D8"/>
    <w:rsid w:val="000C36AF"/>
    <w:rsid w:val="000C36B8"/>
    <w:rsid w:val="000C36EA"/>
    <w:rsid w:val="000C36ED"/>
    <w:rsid w:val="000C36EF"/>
    <w:rsid w:val="000C3703"/>
    <w:rsid w:val="000C3781"/>
    <w:rsid w:val="000C37D2"/>
    <w:rsid w:val="000C3809"/>
    <w:rsid w:val="000C382B"/>
    <w:rsid w:val="000C384D"/>
    <w:rsid w:val="000C3859"/>
    <w:rsid w:val="000C3933"/>
    <w:rsid w:val="000C395D"/>
    <w:rsid w:val="000C396E"/>
    <w:rsid w:val="000C3986"/>
    <w:rsid w:val="000C3990"/>
    <w:rsid w:val="000C3A0D"/>
    <w:rsid w:val="000C3A33"/>
    <w:rsid w:val="000C3A5B"/>
    <w:rsid w:val="000C3A73"/>
    <w:rsid w:val="000C3A7A"/>
    <w:rsid w:val="000C3AB8"/>
    <w:rsid w:val="000C3ABE"/>
    <w:rsid w:val="000C3AC5"/>
    <w:rsid w:val="000C3B22"/>
    <w:rsid w:val="000C3B90"/>
    <w:rsid w:val="000C3B93"/>
    <w:rsid w:val="000C3C34"/>
    <w:rsid w:val="000C3C36"/>
    <w:rsid w:val="000C3C4F"/>
    <w:rsid w:val="000C3C74"/>
    <w:rsid w:val="000C3CA1"/>
    <w:rsid w:val="000C3D17"/>
    <w:rsid w:val="000C3D2A"/>
    <w:rsid w:val="000C3D76"/>
    <w:rsid w:val="000C3D8C"/>
    <w:rsid w:val="000C3DDC"/>
    <w:rsid w:val="000C3DFC"/>
    <w:rsid w:val="000C3E3E"/>
    <w:rsid w:val="000C3E98"/>
    <w:rsid w:val="000C3ED0"/>
    <w:rsid w:val="000C3F96"/>
    <w:rsid w:val="000C3FE0"/>
    <w:rsid w:val="000C3FE2"/>
    <w:rsid w:val="000C4028"/>
    <w:rsid w:val="000C402D"/>
    <w:rsid w:val="000C40B8"/>
    <w:rsid w:val="000C4106"/>
    <w:rsid w:val="000C4109"/>
    <w:rsid w:val="000C4160"/>
    <w:rsid w:val="000C4162"/>
    <w:rsid w:val="000C4186"/>
    <w:rsid w:val="000C4193"/>
    <w:rsid w:val="000C41CC"/>
    <w:rsid w:val="000C4225"/>
    <w:rsid w:val="000C4240"/>
    <w:rsid w:val="000C4282"/>
    <w:rsid w:val="000C4297"/>
    <w:rsid w:val="000C42BF"/>
    <w:rsid w:val="000C43A0"/>
    <w:rsid w:val="000C43FB"/>
    <w:rsid w:val="000C4435"/>
    <w:rsid w:val="000C44C9"/>
    <w:rsid w:val="000C4540"/>
    <w:rsid w:val="000C458B"/>
    <w:rsid w:val="000C459B"/>
    <w:rsid w:val="000C460D"/>
    <w:rsid w:val="000C462A"/>
    <w:rsid w:val="000C462B"/>
    <w:rsid w:val="000C462E"/>
    <w:rsid w:val="000C4642"/>
    <w:rsid w:val="000C4644"/>
    <w:rsid w:val="000C4703"/>
    <w:rsid w:val="000C475E"/>
    <w:rsid w:val="000C47AE"/>
    <w:rsid w:val="000C47EA"/>
    <w:rsid w:val="000C47EE"/>
    <w:rsid w:val="000C4804"/>
    <w:rsid w:val="000C480D"/>
    <w:rsid w:val="000C48CE"/>
    <w:rsid w:val="000C48E2"/>
    <w:rsid w:val="000C48E5"/>
    <w:rsid w:val="000C4905"/>
    <w:rsid w:val="000C49AD"/>
    <w:rsid w:val="000C49AF"/>
    <w:rsid w:val="000C49B6"/>
    <w:rsid w:val="000C4A29"/>
    <w:rsid w:val="000C4A6B"/>
    <w:rsid w:val="000C4A79"/>
    <w:rsid w:val="000C4B0D"/>
    <w:rsid w:val="000C4B34"/>
    <w:rsid w:val="000C4B3E"/>
    <w:rsid w:val="000C4BC4"/>
    <w:rsid w:val="000C4BD5"/>
    <w:rsid w:val="000C4BFE"/>
    <w:rsid w:val="000C4C51"/>
    <w:rsid w:val="000C4C68"/>
    <w:rsid w:val="000C4C72"/>
    <w:rsid w:val="000C4C87"/>
    <w:rsid w:val="000C4D9F"/>
    <w:rsid w:val="000C4DA1"/>
    <w:rsid w:val="000C4DA7"/>
    <w:rsid w:val="000C4DBD"/>
    <w:rsid w:val="000C4DE1"/>
    <w:rsid w:val="000C4E00"/>
    <w:rsid w:val="000C4E40"/>
    <w:rsid w:val="000C4F0F"/>
    <w:rsid w:val="000C4F1B"/>
    <w:rsid w:val="000C4F49"/>
    <w:rsid w:val="000C4FA5"/>
    <w:rsid w:val="000C4FA7"/>
    <w:rsid w:val="000C5123"/>
    <w:rsid w:val="000C516F"/>
    <w:rsid w:val="000C518C"/>
    <w:rsid w:val="000C51A1"/>
    <w:rsid w:val="000C51A9"/>
    <w:rsid w:val="000C51B5"/>
    <w:rsid w:val="000C51FA"/>
    <w:rsid w:val="000C52E3"/>
    <w:rsid w:val="000C536A"/>
    <w:rsid w:val="000C5395"/>
    <w:rsid w:val="000C53D0"/>
    <w:rsid w:val="000C543A"/>
    <w:rsid w:val="000C5460"/>
    <w:rsid w:val="000C5471"/>
    <w:rsid w:val="000C5485"/>
    <w:rsid w:val="000C54B1"/>
    <w:rsid w:val="000C54C0"/>
    <w:rsid w:val="000C54C8"/>
    <w:rsid w:val="000C54F5"/>
    <w:rsid w:val="000C5509"/>
    <w:rsid w:val="000C552C"/>
    <w:rsid w:val="000C55C3"/>
    <w:rsid w:val="000C55CD"/>
    <w:rsid w:val="000C5696"/>
    <w:rsid w:val="000C569D"/>
    <w:rsid w:val="000C56BE"/>
    <w:rsid w:val="000C56CF"/>
    <w:rsid w:val="000C56FF"/>
    <w:rsid w:val="000C5703"/>
    <w:rsid w:val="000C5750"/>
    <w:rsid w:val="000C5782"/>
    <w:rsid w:val="000C5793"/>
    <w:rsid w:val="000C5847"/>
    <w:rsid w:val="000C5864"/>
    <w:rsid w:val="000C587E"/>
    <w:rsid w:val="000C588D"/>
    <w:rsid w:val="000C58D3"/>
    <w:rsid w:val="000C58F2"/>
    <w:rsid w:val="000C5926"/>
    <w:rsid w:val="000C59D2"/>
    <w:rsid w:val="000C59D7"/>
    <w:rsid w:val="000C5A0D"/>
    <w:rsid w:val="000C5A29"/>
    <w:rsid w:val="000C5B7A"/>
    <w:rsid w:val="000C5B97"/>
    <w:rsid w:val="000C5BA1"/>
    <w:rsid w:val="000C5BA9"/>
    <w:rsid w:val="000C5C16"/>
    <w:rsid w:val="000C5C64"/>
    <w:rsid w:val="000C5CB0"/>
    <w:rsid w:val="000C5CE6"/>
    <w:rsid w:val="000C5CFE"/>
    <w:rsid w:val="000C5D22"/>
    <w:rsid w:val="000C5D7D"/>
    <w:rsid w:val="000C5DA1"/>
    <w:rsid w:val="000C5DEB"/>
    <w:rsid w:val="000C5E18"/>
    <w:rsid w:val="000C5E30"/>
    <w:rsid w:val="000C5E37"/>
    <w:rsid w:val="000C5EA6"/>
    <w:rsid w:val="000C5EF5"/>
    <w:rsid w:val="000C5EFF"/>
    <w:rsid w:val="000C5F2A"/>
    <w:rsid w:val="000C5F83"/>
    <w:rsid w:val="000C5F9C"/>
    <w:rsid w:val="000C5FA7"/>
    <w:rsid w:val="000C5FD3"/>
    <w:rsid w:val="000C6027"/>
    <w:rsid w:val="000C6029"/>
    <w:rsid w:val="000C6032"/>
    <w:rsid w:val="000C60CE"/>
    <w:rsid w:val="000C60E3"/>
    <w:rsid w:val="000C6150"/>
    <w:rsid w:val="000C6160"/>
    <w:rsid w:val="000C617C"/>
    <w:rsid w:val="000C6184"/>
    <w:rsid w:val="000C61AC"/>
    <w:rsid w:val="000C61ED"/>
    <w:rsid w:val="000C6258"/>
    <w:rsid w:val="000C6291"/>
    <w:rsid w:val="000C62C2"/>
    <w:rsid w:val="000C62C3"/>
    <w:rsid w:val="000C62CC"/>
    <w:rsid w:val="000C6314"/>
    <w:rsid w:val="000C6325"/>
    <w:rsid w:val="000C6343"/>
    <w:rsid w:val="000C63A7"/>
    <w:rsid w:val="000C63C8"/>
    <w:rsid w:val="000C63E0"/>
    <w:rsid w:val="000C6419"/>
    <w:rsid w:val="000C645F"/>
    <w:rsid w:val="000C6475"/>
    <w:rsid w:val="000C6497"/>
    <w:rsid w:val="000C64A0"/>
    <w:rsid w:val="000C64A5"/>
    <w:rsid w:val="000C64A7"/>
    <w:rsid w:val="000C650A"/>
    <w:rsid w:val="000C65C7"/>
    <w:rsid w:val="000C65DF"/>
    <w:rsid w:val="000C660D"/>
    <w:rsid w:val="000C66C9"/>
    <w:rsid w:val="000C66D4"/>
    <w:rsid w:val="000C66E3"/>
    <w:rsid w:val="000C670E"/>
    <w:rsid w:val="000C673C"/>
    <w:rsid w:val="000C6857"/>
    <w:rsid w:val="000C68BA"/>
    <w:rsid w:val="000C691A"/>
    <w:rsid w:val="000C6941"/>
    <w:rsid w:val="000C6947"/>
    <w:rsid w:val="000C697D"/>
    <w:rsid w:val="000C6987"/>
    <w:rsid w:val="000C69BC"/>
    <w:rsid w:val="000C69C8"/>
    <w:rsid w:val="000C69CA"/>
    <w:rsid w:val="000C6ABC"/>
    <w:rsid w:val="000C6AD5"/>
    <w:rsid w:val="000C6B12"/>
    <w:rsid w:val="000C6C30"/>
    <w:rsid w:val="000C6CC8"/>
    <w:rsid w:val="000C6D02"/>
    <w:rsid w:val="000C6DAC"/>
    <w:rsid w:val="000C6E94"/>
    <w:rsid w:val="000C6F00"/>
    <w:rsid w:val="000C6F51"/>
    <w:rsid w:val="000C6FE2"/>
    <w:rsid w:val="000C7055"/>
    <w:rsid w:val="000C70CF"/>
    <w:rsid w:val="000C7236"/>
    <w:rsid w:val="000C7238"/>
    <w:rsid w:val="000C7246"/>
    <w:rsid w:val="000C72C7"/>
    <w:rsid w:val="000C72DD"/>
    <w:rsid w:val="000C735C"/>
    <w:rsid w:val="000C73C3"/>
    <w:rsid w:val="000C73C9"/>
    <w:rsid w:val="000C73D3"/>
    <w:rsid w:val="000C73E0"/>
    <w:rsid w:val="000C7412"/>
    <w:rsid w:val="000C7435"/>
    <w:rsid w:val="000C7474"/>
    <w:rsid w:val="000C74DD"/>
    <w:rsid w:val="000C74E1"/>
    <w:rsid w:val="000C7513"/>
    <w:rsid w:val="000C753E"/>
    <w:rsid w:val="000C7581"/>
    <w:rsid w:val="000C7584"/>
    <w:rsid w:val="000C75AA"/>
    <w:rsid w:val="000C75BE"/>
    <w:rsid w:val="000C75F6"/>
    <w:rsid w:val="000C7634"/>
    <w:rsid w:val="000C765E"/>
    <w:rsid w:val="000C76E6"/>
    <w:rsid w:val="000C76F2"/>
    <w:rsid w:val="000C76FA"/>
    <w:rsid w:val="000C7729"/>
    <w:rsid w:val="000C7739"/>
    <w:rsid w:val="000C7751"/>
    <w:rsid w:val="000C77E3"/>
    <w:rsid w:val="000C77ED"/>
    <w:rsid w:val="000C780A"/>
    <w:rsid w:val="000C783A"/>
    <w:rsid w:val="000C784E"/>
    <w:rsid w:val="000C78A3"/>
    <w:rsid w:val="000C78B3"/>
    <w:rsid w:val="000C78EA"/>
    <w:rsid w:val="000C794B"/>
    <w:rsid w:val="000C795C"/>
    <w:rsid w:val="000C79EC"/>
    <w:rsid w:val="000C79F4"/>
    <w:rsid w:val="000C7A4F"/>
    <w:rsid w:val="000C7AA7"/>
    <w:rsid w:val="000C7AE3"/>
    <w:rsid w:val="000C7B09"/>
    <w:rsid w:val="000C7B8A"/>
    <w:rsid w:val="000C7BCC"/>
    <w:rsid w:val="000C7BF5"/>
    <w:rsid w:val="000C7BFF"/>
    <w:rsid w:val="000C7C55"/>
    <w:rsid w:val="000C7C5C"/>
    <w:rsid w:val="000C7C7E"/>
    <w:rsid w:val="000C7CA9"/>
    <w:rsid w:val="000C7CD6"/>
    <w:rsid w:val="000C7CD7"/>
    <w:rsid w:val="000C7CE3"/>
    <w:rsid w:val="000C7D3F"/>
    <w:rsid w:val="000C7D62"/>
    <w:rsid w:val="000C7DB2"/>
    <w:rsid w:val="000C7E11"/>
    <w:rsid w:val="000C7E1A"/>
    <w:rsid w:val="000C7E20"/>
    <w:rsid w:val="000C7E82"/>
    <w:rsid w:val="000C7E9C"/>
    <w:rsid w:val="000C7ECF"/>
    <w:rsid w:val="000C7F04"/>
    <w:rsid w:val="000C7F37"/>
    <w:rsid w:val="000C7FDF"/>
    <w:rsid w:val="000D003E"/>
    <w:rsid w:val="000D0044"/>
    <w:rsid w:val="000D006E"/>
    <w:rsid w:val="000D0076"/>
    <w:rsid w:val="000D0091"/>
    <w:rsid w:val="000D0099"/>
    <w:rsid w:val="000D00B8"/>
    <w:rsid w:val="000D0142"/>
    <w:rsid w:val="000D0186"/>
    <w:rsid w:val="000D01D5"/>
    <w:rsid w:val="000D01FB"/>
    <w:rsid w:val="000D0200"/>
    <w:rsid w:val="000D023E"/>
    <w:rsid w:val="000D024F"/>
    <w:rsid w:val="000D02A6"/>
    <w:rsid w:val="000D033A"/>
    <w:rsid w:val="000D0354"/>
    <w:rsid w:val="000D037B"/>
    <w:rsid w:val="000D03AC"/>
    <w:rsid w:val="000D03DD"/>
    <w:rsid w:val="000D048F"/>
    <w:rsid w:val="000D049A"/>
    <w:rsid w:val="000D0546"/>
    <w:rsid w:val="000D0556"/>
    <w:rsid w:val="000D0582"/>
    <w:rsid w:val="000D0634"/>
    <w:rsid w:val="000D0664"/>
    <w:rsid w:val="000D06EB"/>
    <w:rsid w:val="000D07D9"/>
    <w:rsid w:val="000D0838"/>
    <w:rsid w:val="000D0864"/>
    <w:rsid w:val="000D0873"/>
    <w:rsid w:val="000D0889"/>
    <w:rsid w:val="000D089B"/>
    <w:rsid w:val="000D0928"/>
    <w:rsid w:val="000D098C"/>
    <w:rsid w:val="000D09D7"/>
    <w:rsid w:val="000D09F8"/>
    <w:rsid w:val="000D0A07"/>
    <w:rsid w:val="000D0A4D"/>
    <w:rsid w:val="000D0A68"/>
    <w:rsid w:val="000D0A9A"/>
    <w:rsid w:val="000D0AA7"/>
    <w:rsid w:val="000D0AAD"/>
    <w:rsid w:val="000D0AB1"/>
    <w:rsid w:val="000D0AE5"/>
    <w:rsid w:val="000D0B11"/>
    <w:rsid w:val="000D0B2E"/>
    <w:rsid w:val="000D0B58"/>
    <w:rsid w:val="000D0B5E"/>
    <w:rsid w:val="000D0B63"/>
    <w:rsid w:val="000D0B80"/>
    <w:rsid w:val="000D0BBC"/>
    <w:rsid w:val="000D0BC7"/>
    <w:rsid w:val="000D0C16"/>
    <w:rsid w:val="000D0C29"/>
    <w:rsid w:val="000D0C73"/>
    <w:rsid w:val="000D0CE9"/>
    <w:rsid w:val="000D0D14"/>
    <w:rsid w:val="000D0D2B"/>
    <w:rsid w:val="000D0D2C"/>
    <w:rsid w:val="000D0D7A"/>
    <w:rsid w:val="000D0E5A"/>
    <w:rsid w:val="000D0E70"/>
    <w:rsid w:val="000D0ED0"/>
    <w:rsid w:val="000D0EE5"/>
    <w:rsid w:val="000D0F4D"/>
    <w:rsid w:val="000D0F5F"/>
    <w:rsid w:val="000D0FAC"/>
    <w:rsid w:val="000D0FBD"/>
    <w:rsid w:val="000D0FFD"/>
    <w:rsid w:val="000D1007"/>
    <w:rsid w:val="000D100F"/>
    <w:rsid w:val="000D1017"/>
    <w:rsid w:val="000D102D"/>
    <w:rsid w:val="000D102E"/>
    <w:rsid w:val="000D1077"/>
    <w:rsid w:val="000D1087"/>
    <w:rsid w:val="000D10DF"/>
    <w:rsid w:val="000D10F4"/>
    <w:rsid w:val="000D115B"/>
    <w:rsid w:val="000D1180"/>
    <w:rsid w:val="000D118B"/>
    <w:rsid w:val="000D119C"/>
    <w:rsid w:val="000D11A0"/>
    <w:rsid w:val="000D11D3"/>
    <w:rsid w:val="000D1270"/>
    <w:rsid w:val="000D1285"/>
    <w:rsid w:val="000D12A8"/>
    <w:rsid w:val="000D12EA"/>
    <w:rsid w:val="000D130E"/>
    <w:rsid w:val="000D1338"/>
    <w:rsid w:val="000D1371"/>
    <w:rsid w:val="000D1387"/>
    <w:rsid w:val="000D13D3"/>
    <w:rsid w:val="000D13DC"/>
    <w:rsid w:val="000D141E"/>
    <w:rsid w:val="000D1425"/>
    <w:rsid w:val="000D1452"/>
    <w:rsid w:val="000D1497"/>
    <w:rsid w:val="000D149E"/>
    <w:rsid w:val="000D1528"/>
    <w:rsid w:val="000D1543"/>
    <w:rsid w:val="000D1614"/>
    <w:rsid w:val="000D1629"/>
    <w:rsid w:val="000D163B"/>
    <w:rsid w:val="000D164B"/>
    <w:rsid w:val="000D166B"/>
    <w:rsid w:val="000D168B"/>
    <w:rsid w:val="000D168C"/>
    <w:rsid w:val="000D16B6"/>
    <w:rsid w:val="000D16C4"/>
    <w:rsid w:val="000D16CD"/>
    <w:rsid w:val="000D16CE"/>
    <w:rsid w:val="000D16F4"/>
    <w:rsid w:val="000D17B0"/>
    <w:rsid w:val="000D17B5"/>
    <w:rsid w:val="000D17B8"/>
    <w:rsid w:val="000D17D2"/>
    <w:rsid w:val="000D17EF"/>
    <w:rsid w:val="000D17F6"/>
    <w:rsid w:val="000D1855"/>
    <w:rsid w:val="000D18ED"/>
    <w:rsid w:val="000D18F9"/>
    <w:rsid w:val="000D1957"/>
    <w:rsid w:val="000D196D"/>
    <w:rsid w:val="000D19DF"/>
    <w:rsid w:val="000D1A2A"/>
    <w:rsid w:val="000D1AD4"/>
    <w:rsid w:val="000D1AD9"/>
    <w:rsid w:val="000D1AE4"/>
    <w:rsid w:val="000D1B00"/>
    <w:rsid w:val="000D1B05"/>
    <w:rsid w:val="000D1B4D"/>
    <w:rsid w:val="000D1BBA"/>
    <w:rsid w:val="000D1C8A"/>
    <w:rsid w:val="000D1C8E"/>
    <w:rsid w:val="000D1CED"/>
    <w:rsid w:val="000D1CFA"/>
    <w:rsid w:val="000D1D1B"/>
    <w:rsid w:val="000D1D2B"/>
    <w:rsid w:val="000D1D42"/>
    <w:rsid w:val="000D1D4E"/>
    <w:rsid w:val="000D1D52"/>
    <w:rsid w:val="000D1D59"/>
    <w:rsid w:val="000D1E6C"/>
    <w:rsid w:val="000D1E70"/>
    <w:rsid w:val="000D1E88"/>
    <w:rsid w:val="000D1E9D"/>
    <w:rsid w:val="000D1F4E"/>
    <w:rsid w:val="000D1F64"/>
    <w:rsid w:val="000D1F99"/>
    <w:rsid w:val="000D1FBB"/>
    <w:rsid w:val="000D1FFB"/>
    <w:rsid w:val="000D202D"/>
    <w:rsid w:val="000D206C"/>
    <w:rsid w:val="000D207D"/>
    <w:rsid w:val="000D2085"/>
    <w:rsid w:val="000D21AD"/>
    <w:rsid w:val="000D21CF"/>
    <w:rsid w:val="000D21FC"/>
    <w:rsid w:val="000D2208"/>
    <w:rsid w:val="000D2244"/>
    <w:rsid w:val="000D2250"/>
    <w:rsid w:val="000D2277"/>
    <w:rsid w:val="000D22E9"/>
    <w:rsid w:val="000D2322"/>
    <w:rsid w:val="000D2325"/>
    <w:rsid w:val="000D23AF"/>
    <w:rsid w:val="000D23DD"/>
    <w:rsid w:val="000D2443"/>
    <w:rsid w:val="000D2529"/>
    <w:rsid w:val="000D2570"/>
    <w:rsid w:val="000D257A"/>
    <w:rsid w:val="000D257F"/>
    <w:rsid w:val="000D25E2"/>
    <w:rsid w:val="000D2605"/>
    <w:rsid w:val="000D2613"/>
    <w:rsid w:val="000D2621"/>
    <w:rsid w:val="000D2657"/>
    <w:rsid w:val="000D2685"/>
    <w:rsid w:val="000D269F"/>
    <w:rsid w:val="000D26CE"/>
    <w:rsid w:val="000D26FA"/>
    <w:rsid w:val="000D2706"/>
    <w:rsid w:val="000D2713"/>
    <w:rsid w:val="000D2764"/>
    <w:rsid w:val="000D27BE"/>
    <w:rsid w:val="000D27D4"/>
    <w:rsid w:val="000D27F0"/>
    <w:rsid w:val="000D2878"/>
    <w:rsid w:val="000D2932"/>
    <w:rsid w:val="000D2962"/>
    <w:rsid w:val="000D2964"/>
    <w:rsid w:val="000D2983"/>
    <w:rsid w:val="000D29EA"/>
    <w:rsid w:val="000D2A22"/>
    <w:rsid w:val="000D2A2E"/>
    <w:rsid w:val="000D2AC7"/>
    <w:rsid w:val="000D2ACA"/>
    <w:rsid w:val="000D2AD5"/>
    <w:rsid w:val="000D2B41"/>
    <w:rsid w:val="000D2B47"/>
    <w:rsid w:val="000D2B57"/>
    <w:rsid w:val="000D2B6F"/>
    <w:rsid w:val="000D2BAA"/>
    <w:rsid w:val="000D2C0A"/>
    <w:rsid w:val="000D2C1D"/>
    <w:rsid w:val="000D2C2B"/>
    <w:rsid w:val="000D2C2C"/>
    <w:rsid w:val="000D2D23"/>
    <w:rsid w:val="000D2D68"/>
    <w:rsid w:val="000D2E1B"/>
    <w:rsid w:val="000D2E23"/>
    <w:rsid w:val="000D2E78"/>
    <w:rsid w:val="000D2E7E"/>
    <w:rsid w:val="000D2ED0"/>
    <w:rsid w:val="000D2EFD"/>
    <w:rsid w:val="000D2F00"/>
    <w:rsid w:val="000D2F06"/>
    <w:rsid w:val="000D2F0F"/>
    <w:rsid w:val="000D2F3C"/>
    <w:rsid w:val="000D2F61"/>
    <w:rsid w:val="000D2FA6"/>
    <w:rsid w:val="000D3000"/>
    <w:rsid w:val="000D3006"/>
    <w:rsid w:val="000D3064"/>
    <w:rsid w:val="000D306A"/>
    <w:rsid w:val="000D3094"/>
    <w:rsid w:val="000D30B9"/>
    <w:rsid w:val="000D3113"/>
    <w:rsid w:val="000D315E"/>
    <w:rsid w:val="000D3168"/>
    <w:rsid w:val="000D3190"/>
    <w:rsid w:val="000D31EB"/>
    <w:rsid w:val="000D31ED"/>
    <w:rsid w:val="000D3221"/>
    <w:rsid w:val="000D3236"/>
    <w:rsid w:val="000D32B8"/>
    <w:rsid w:val="000D32D1"/>
    <w:rsid w:val="000D33D0"/>
    <w:rsid w:val="000D343B"/>
    <w:rsid w:val="000D3550"/>
    <w:rsid w:val="000D3561"/>
    <w:rsid w:val="000D3570"/>
    <w:rsid w:val="000D35CA"/>
    <w:rsid w:val="000D35CE"/>
    <w:rsid w:val="000D35D9"/>
    <w:rsid w:val="000D3640"/>
    <w:rsid w:val="000D3685"/>
    <w:rsid w:val="000D368B"/>
    <w:rsid w:val="000D36BD"/>
    <w:rsid w:val="000D36C4"/>
    <w:rsid w:val="000D36CF"/>
    <w:rsid w:val="000D374A"/>
    <w:rsid w:val="000D37A0"/>
    <w:rsid w:val="000D37B9"/>
    <w:rsid w:val="000D37F0"/>
    <w:rsid w:val="000D37FC"/>
    <w:rsid w:val="000D382B"/>
    <w:rsid w:val="000D3843"/>
    <w:rsid w:val="000D3867"/>
    <w:rsid w:val="000D389C"/>
    <w:rsid w:val="000D389D"/>
    <w:rsid w:val="000D38EA"/>
    <w:rsid w:val="000D38FB"/>
    <w:rsid w:val="000D3917"/>
    <w:rsid w:val="000D3961"/>
    <w:rsid w:val="000D396E"/>
    <w:rsid w:val="000D39AD"/>
    <w:rsid w:val="000D39EC"/>
    <w:rsid w:val="000D3A26"/>
    <w:rsid w:val="000D3A71"/>
    <w:rsid w:val="000D3A72"/>
    <w:rsid w:val="000D3B12"/>
    <w:rsid w:val="000D3B6A"/>
    <w:rsid w:val="000D3BA9"/>
    <w:rsid w:val="000D3C3C"/>
    <w:rsid w:val="000D3C3D"/>
    <w:rsid w:val="000D3C94"/>
    <w:rsid w:val="000D3CA3"/>
    <w:rsid w:val="000D3CB2"/>
    <w:rsid w:val="000D3CD0"/>
    <w:rsid w:val="000D3D0F"/>
    <w:rsid w:val="000D3D77"/>
    <w:rsid w:val="000D3D79"/>
    <w:rsid w:val="000D3D87"/>
    <w:rsid w:val="000D3D9D"/>
    <w:rsid w:val="000D3D9F"/>
    <w:rsid w:val="000D3DB9"/>
    <w:rsid w:val="000D3DC2"/>
    <w:rsid w:val="000D3DE9"/>
    <w:rsid w:val="000D3DF0"/>
    <w:rsid w:val="000D3DFF"/>
    <w:rsid w:val="000D3E29"/>
    <w:rsid w:val="000D3EB7"/>
    <w:rsid w:val="000D3F41"/>
    <w:rsid w:val="000D3F54"/>
    <w:rsid w:val="000D3F7D"/>
    <w:rsid w:val="000D3FEA"/>
    <w:rsid w:val="000D4002"/>
    <w:rsid w:val="000D4009"/>
    <w:rsid w:val="000D4018"/>
    <w:rsid w:val="000D4080"/>
    <w:rsid w:val="000D4096"/>
    <w:rsid w:val="000D4105"/>
    <w:rsid w:val="000D410E"/>
    <w:rsid w:val="000D4134"/>
    <w:rsid w:val="000D41B4"/>
    <w:rsid w:val="000D4278"/>
    <w:rsid w:val="000D42A5"/>
    <w:rsid w:val="000D4335"/>
    <w:rsid w:val="000D43B4"/>
    <w:rsid w:val="000D43B9"/>
    <w:rsid w:val="000D43F7"/>
    <w:rsid w:val="000D445B"/>
    <w:rsid w:val="000D449F"/>
    <w:rsid w:val="000D44C8"/>
    <w:rsid w:val="000D44E5"/>
    <w:rsid w:val="000D451B"/>
    <w:rsid w:val="000D453B"/>
    <w:rsid w:val="000D45B6"/>
    <w:rsid w:val="000D45E0"/>
    <w:rsid w:val="000D4608"/>
    <w:rsid w:val="000D4624"/>
    <w:rsid w:val="000D4638"/>
    <w:rsid w:val="000D465B"/>
    <w:rsid w:val="000D4696"/>
    <w:rsid w:val="000D46B6"/>
    <w:rsid w:val="000D4731"/>
    <w:rsid w:val="000D4742"/>
    <w:rsid w:val="000D474B"/>
    <w:rsid w:val="000D476D"/>
    <w:rsid w:val="000D4816"/>
    <w:rsid w:val="000D4819"/>
    <w:rsid w:val="000D4840"/>
    <w:rsid w:val="000D4862"/>
    <w:rsid w:val="000D48CD"/>
    <w:rsid w:val="000D48E7"/>
    <w:rsid w:val="000D4904"/>
    <w:rsid w:val="000D4919"/>
    <w:rsid w:val="000D4947"/>
    <w:rsid w:val="000D499A"/>
    <w:rsid w:val="000D49A1"/>
    <w:rsid w:val="000D4A13"/>
    <w:rsid w:val="000D4A20"/>
    <w:rsid w:val="000D4A89"/>
    <w:rsid w:val="000D4AD0"/>
    <w:rsid w:val="000D4B11"/>
    <w:rsid w:val="000D4BA3"/>
    <w:rsid w:val="000D4C08"/>
    <w:rsid w:val="000D4C42"/>
    <w:rsid w:val="000D4C4C"/>
    <w:rsid w:val="000D4C98"/>
    <w:rsid w:val="000D4D74"/>
    <w:rsid w:val="000D4D9F"/>
    <w:rsid w:val="000D4E5E"/>
    <w:rsid w:val="000D4E9E"/>
    <w:rsid w:val="000D4F08"/>
    <w:rsid w:val="000D4F3A"/>
    <w:rsid w:val="000D5000"/>
    <w:rsid w:val="000D5022"/>
    <w:rsid w:val="000D5142"/>
    <w:rsid w:val="000D5175"/>
    <w:rsid w:val="000D517E"/>
    <w:rsid w:val="000D51D3"/>
    <w:rsid w:val="000D525E"/>
    <w:rsid w:val="000D5282"/>
    <w:rsid w:val="000D528A"/>
    <w:rsid w:val="000D52AB"/>
    <w:rsid w:val="000D52F2"/>
    <w:rsid w:val="000D5317"/>
    <w:rsid w:val="000D5382"/>
    <w:rsid w:val="000D538B"/>
    <w:rsid w:val="000D5392"/>
    <w:rsid w:val="000D53A2"/>
    <w:rsid w:val="000D53CF"/>
    <w:rsid w:val="000D53F0"/>
    <w:rsid w:val="000D5406"/>
    <w:rsid w:val="000D5441"/>
    <w:rsid w:val="000D545A"/>
    <w:rsid w:val="000D5482"/>
    <w:rsid w:val="000D54B4"/>
    <w:rsid w:val="000D54EC"/>
    <w:rsid w:val="000D5511"/>
    <w:rsid w:val="000D5534"/>
    <w:rsid w:val="000D559F"/>
    <w:rsid w:val="000D55ED"/>
    <w:rsid w:val="000D56AB"/>
    <w:rsid w:val="000D56B1"/>
    <w:rsid w:val="000D56F2"/>
    <w:rsid w:val="000D5759"/>
    <w:rsid w:val="000D57E8"/>
    <w:rsid w:val="000D5821"/>
    <w:rsid w:val="000D5880"/>
    <w:rsid w:val="000D588C"/>
    <w:rsid w:val="000D5903"/>
    <w:rsid w:val="000D590F"/>
    <w:rsid w:val="000D5943"/>
    <w:rsid w:val="000D5949"/>
    <w:rsid w:val="000D596A"/>
    <w:rsid w:val="000D5982"/>
    <w:rsid w:val="000D59B0"/>
    <w:rsid w:val="000D5A13"/>
    <w:rsid w:val="000D5A20"/>
    <w:rsid w:val="000D5AB0"/>
    <w:rsid w:val="000D5AE4"/>
    <w:rsid w:val="000D5B42"/>
    <w:rsid w:val="000D5B51"/>
    <w:rsid w:val="000D5BB1"/>
    <w:rsid w:val="000D5BE3"/>
    <w:rsid w:val="000D5C4A"/>
    <w:rsid w:val="000D5CF7"/>
    <w:rsid w:val="000D5D13"/>
    <w:rsid w:val="000D5D64"/>
    <w:rsid w:val="000D5DF8"/>
    <w:rsid w:val="000D5E0C"/>
    <w:rsid w:val="000D5E51"/>
    <w:rsid w:val="000D5E6C"/>
    <w:rsid w:val="000D5E75"/>
    <w:rsid w:val="000D5E95"/>
    <w:rsid w:val="000D5EA8"/>
    <w:rsid w:val="000D5EC2"/>
    <w:rsid w:val="000D5EDF"/>
    <w:rsid w:val="000D5F06"/>
    <w:rsid w:val="000D605E"/>
    <w:rsid w:val="000D606D"/>
    <w:rsid w:val="000D6097"/>
    <w:rsid w:val="000D60B0"/>
    <w:rsid w:val="000D60E8"/>
    <w:rsid w:val="000D6150"/>
    <w:rsid w:val="000D6193"/>
    <w:rsid w:val="000D61CC"/>
    <w:rsid w:val="000D625F"/>
    <w:rsid w:val="000D6275"/>
    <w:rsid w:val="000D6278"/>
    <w:rsid w:val="000D62A8"/>
    <w:rsid w:val="000D630D"/>
    <w:rsid w:val="000D63E1"/>
    <w:rsid w:val="000D63EB"/>
    <w:rsid w:val="000D6416"/>
    <w:rsid w:val="000D6453"/>
    <w:rsid w:val="000D645D"/>
    <w:rsid w:val="000D64D7"/>
    <w:rsid w:val="000D6585"/>
    <w:rsid w:val="000D65E7"/>
    <w:rsid w:val="000D6677"/>
    <w:rsid w:val="000D66A3"/>
    <w:rsid w:val="000D66ED"/>
    <w:rsid w:val="000D6713"/>
    <w:rsid w:val="000D6735"/>
    <w:rsid w:val="000D6772"/>
    <w:rsid w:val="000D67A0"/>
    <w:rsid w:val="000D67A6"/>
    <w:rsid w:val="000D67D1"/>
    <w:rsid w:val="000D6801"/>
    <w:rsid w:val="000D686A"/>
    <w:rsid w:val="000D692B"/>
    <w:rsid w:val="000D697C"/>
    <w:rsid w:val="000D6993"/>
    <w:rsid w:val="000D699D"/>
    <w:rsid w:val="000D69A2"/>
    <w:rsid w:val="000D69BD"/>
    <w:rsid w:val="000D69F1"/>
    <w:rsid w:val="000D69FA"/>
    <w:rsid w:val="000D6A0F"/>
    <w:rsid w:val="000D6A46"/>
    <w:rsid w:val="000D6A4C"/>
    <w:rsid w:val="000D6A55"/>
    <w:rsid w:val="000D6A6D"/>
    <w:rsid w:val="000D6BBC"/>
    <w:rsid w:val="000D6BE7"/>
    <w:rsid w:val="000D6BF0"/>
    <w:rsid w:val="000D6C4F"/>
    <w:rsid w:val="000D6C6E"/>
    <w:rsid w:val="000D6C6F"/>
    <w:rsid w:val="000D6CBE"/>
    <w:rsid w:val="000D6D42"/>
    <w:rsid w:val="000D6D8F"/>
    <w:rsid w:val="000D6DC4"/>
    <w:rsid w:val="000D6DDD"/>
    <w:rsid w:val="000D6E4F"/>
    <w:rsid w:val="000D6E6B"/>
    <w:rsid w:val="000D6EA9"/>
    <w:rsid w:val="000D6EC1"/>
    <w:rsid w:val="000D6EF5"/>
    <w:rsid w:val="000D6F28"/>
    <w:rsid w:val="000D6F2A"/>
    <w:rsid w:val="000D6F8E"/>
    <w:rsid w:val="000D7012"/>
    <w:rsid w:val="000D7062"/>
    <w:rsid w:val="000D7097"/>
    <w:rsid w:val="000D70BF"/>
    <w:rsid w:val="000D70D2"/>
    <w:rsid w:val="000D70F5"/>
    <w:rsid w:val="000D7186"/>
    <w:rsid w:val="000D719C"/>
    <w:rsid w:val="000D71A7"/>
    <w:rsid w:val="000D723C"/>
    <w:rsid w:val="000D72B5"/>
    <w:rsid w:val="000D72D3"/>
    <w:rsid w:val="000D72E0"/>
    <w:rsid w:val="000D72F2"/>
    <w:rsid w:val="000D73A5"/>
    <w:rsid w:val="000D73AA"/>
    <w:rsid w:val="000D73D4"/>
    <w:rsid w:val="000D7424"/>
    <w:rsid w:val="000D7441"/>
    <w:rsid w:val="000D7447"/>
    <w:rsid w:val="000D7497"/>
    <w:rsid w:val="000D7498"/>
    <w:rsid w:val="000D7501"/>
    <w:rsid w:val="000D7552"/>
    <w:rsid w:val="000D75D1"/>
    <w:rsid w:val="000D761A"/>
    <w:rsid w:val="000D7624"/>
    <w:rsid w:val="000D7642"/>
    <w:rsid w:val="000D76D0"/>
    <w:rsid w:val="000D76FF"/>
    <w:rsid w:val="000D780E"/>
    <w:rsid w:val="000D7868"/>
    <w:rsid w:val="000D7892"/>
    <w:rsid w:val="000D78BB"/>
    <w:rsid w:val="000D78CA"/>
    <w:rsid w:val="000D79DD"/>
    <w:rsid w:val="000D7A2F"/>
    <w:rsid w:val="000D7A63"/>
    <w:rsid w:val="000D7AA9"/>
    <w:rsid w:val="000D7AFC"/>
    <w:rsid w:val="000D7B49"/>
    <w:rsid w:val="000D7B61"/>
    <w:rsid w:val="000D7B92"/>
    <w:rsid w:val="000D7BDB"/>
    <w:rsid w:val="000D7BDE"/>
    <w:rsid w:val="000D7C3E"/>
    <w:rsid w:val="000D7C4C"/>
    <w:rsid w:val="000D7C95"/>
    <w:rsid w:val="000D7CDA"/>
    <w:rsid w:val="000D7CE0"/>
    <w:rsid w:val="000D7CF1"/>
    <w:rsid w:val="000D7D47"/>
    <w:rsid w:val="000D7D90"/>
    <w:rsid w:val="000D7D96"/>
    <w:rsid w:val="000D7D9E"/>
    <w:rsid w:val="000D7E42"/>
    <w:rsid w:val="000D7E49"/>
    <w:rsid w:val="000D7E8B"/>
    <w:rsid w:val="000D7F53"/>
    <w:rsid w:val="000D7F6C"/>
    <w:rsid w:val="000D7F79"/>
    <w:rsid w:val="000D7FD5"/>
    <w:rsid w:val="000E0016"/>
    <w:rsid w:val="000E0029"/>
    <w:rsid w:val="000E0041"/>
    <w:rsid w:val="000E00B6"/>
    <w:rsid w:val="000E00CE"/>
    <w:rsid w:val="000E00F2"/>
    <w:rsid w:val="000E01B0"/>
    <w:rsid w:val="000E01CC"/>
    <w:rsid w:val="000E01D1"/>
    <w:rsid w:val="000E01FF"/>
    <w:rsid w:val="000E0211"/>
    <w:rsid w:val="000E0248"/>
    <w:rsid w:val="000E0291"/>
    <w:rsid w:val="000E02CF"/>
    <w:rsid w:val="000E02DF"/>
    <w:rsid w:val="000E0318"/>
    <w:rsid w:val="000E037D"/>
    <w:rsid w:val="000E0382"/>
    <w:rsid w:val="000E03A1"/>
    <w:rsid w:val="000E0483"/>
    <w:rsid w:val="000E04A5"/>
    <w:rsid w:val="000E04C9"/>
    <w:rsid w:val="000E04E9"/>
    <w:rsid w:val="000E0531"/>
    <w:rsid w:val="000E053A"/>
    <w:rsid w:val="000E0587"/>
    <w:rsid w:val="000E0598"/>
    <w:rsid w:val="000E05B6"/>
    <w:rsid w:val="000E0650"/>
    <w:rsid w:val="000E066F"/>
    <w:rsid w:val="000E06D6"/>
    <w:rsid w:val="000E0719"/>
    <w:rsid w:val="000E0757"/>
    <w:rsid w:val="000E0779"/>
    <w:rsid w:val="000E07F7"/>
    <w:rsid w:val="000E0810"/>
    <w:rsid w:val="000E0834"/>
    <w:rsid w:val="000E083D"/>
    <w:rsid w:val="000E08A6"/>
    <w:rsid w:val="000E08E3"/>
    <w:rsid w:val="000E095F"/>
    <w:rsid w:val="000E0969"/>
    <w:rsid w:val="000E0983"/>
    <w:rsid w:val="000E0A6B"/>
    <w:rsid w:val="000E0B5D"/>
    <w:rsid w:val="000E0B60"/>
    <w:rsid w:val="000E0B84"/>
    <w:rsid w:val="000E0C02"/>
    <w:rsid w:val="000E0C2B"/>
    <w:rsid w:val="000E0C6E"/>
    <w:rsid w:val="000E0CAE"/>
    <w:rsid w:val="000E0DC9"/>
    <w:rsid w:val="000E0DCC"/>
    <w:rsid w:val="000E0DD4"/>
    <w:rsid w:val="000E0E39"/>
    <w:rsid w:val="000E0E54"/>
    <w:rsid w:val="000E0E64"/>
    <w:rsid w:val="000E0EB1"/>
    <w:rsid w:val="000E0EDD"/>
    <w:rsid w:val="000E0EE4"/>
    <w:rsid w:val="000E0EEB"/>
    <w:rsid w:val="000E0F33"/>
    <w:rsid w:val="000E0FD3"/>
    <w:rsid w:val="000E1006"/>
    <w:rsid w:val="000E1045"/>
    <w:rsid w:val="000E1055"/>
    <w:rsid w:val="000E10BC"/>
    <w:rsid w:val="000E1237"/>
    <w:rsid w:val="000E1259"/>
    <w:rsid w:val="000E12BA"/>
    <w:rsid w:val="000E12D2"/>
    <w:rsid w:val="000E130F"/>
    <w:rsid w:val="000E1329"/>
    <w:rsid w:val="000E1337"/>
    <w:rsid w:val="000E13B3"/>
    <w:rsid w:val="000E13CF"/>
    <w:rsid w:val="000E13E4"/>
    <w:rsid w:val="000E13F9"/>
    <w:rsid w:val="000E14B7"/>
    <w:rsid w:val="000E14E9"/>
    <w:rsid w:val="000E1517"/>
    <w:rsid w:val="000E154E"/>
    <w:rsid w:val="000E1571"/>
    <w:rsid w:val="000E15A1"/>
    <w:rsid w:val="000E15DD"/>
    <w:rsid w:val="000E160F"/>
    <w:rsid w:val="000E1625"/>
    <w:rsid w:val="000E1664"/>
    <w:rsid w:val="000E16BF"/>
    <w:rsid w:val="000E16DC"/>
    <w:rsid w:val="000E1759"/>
    <w:rsid w:val="000E176C"/>
    <w:rsid w:val="000E17D3"/>
    <w:rsid w:val="000E17E0"/>
    <w:rsid w:val="000E1853"/>
    <w:rsid w:val="000E1856"/>
    <w:rsid w:val="000E185B"/>
    <w:rsid w:val="000E1866"/>
    <w:rsid w:val="000E1874"/>
    <w:rsid w:val="000E18F5"/>
    <w:rsid w:val="000E1906"/>
    <w:rsid w:val="000E1919"/>
    <w:rsid w:val="000E1927"/>
    <w:rsid w:val="000E1951"/>
    <w:rsid w:val="000E1964"/>
    <w:rsid w:val="000E1974"/>
    <w:rsid w:val="000E1986"/>
    <w:rsid w:val="000E19B1"/>
    <w:rsid w:val="000E1A8A"/>
    <w:rsid w:val="000E1AC3"/>
    <w:rsid w:val="000E1AEE"/>
    <w:rsid w:val="000E1B5B"/>
    <w:rsid w:val="000E1B88"/>
    <w:rsid w:val="000E1B9A"/>
    <w:rsid w:val="000E1B9E"/>
    <w:rsid w:val="000E1BA6"/>
    <w:rsid w:val="000E1BC0"/>
    <w:rsid w:val="000E1BC8"/>
    <w:rsid w:val="000E1BE8"/>
    <w:rsid w:val="000E1CF9"/>
    <w:rsid w:val="000E1D82"/>
    <w:rsid w:val="000E1DA4"/>
    <w:rsid w:val="000E1DB1"/>
    <w:rsid w:val="000E1DD3"/>
    <w:rsid w:val="000E1E2D"/>
    <w:rsid w:val="000E1E5E"/>
    <w:rsid w:val="000E1E8C"/>
    <w:rsid w:val="000E1EAF"/>
    <w:rsid w:val="000E1EB9"/>
    <w:rsid w:val="000E1EC0"/>
    <w:rsid w:val="000E1FBF"/>
    <w:rsid w:val="000E1FDC"/>
    <w:rsid w:val="000E1FF5"/>
    <w:rsid w:val="000E2028"/>
    <w:rsid w:val="000E203D"/>
    <w:rsid w:val="000E20E2"/>
    <w:rsid w:val="000E212C"/>
    <w:rsid w:val="000E213E"/>
    <w:rsid w:val="000E2144"/>
    <w:rsid w:val="000E219E"/>
    <w:rsid w:val="000E21DB"/>
    <w:rsid w:val="000E2235"/>
    <w:rsid w:val="000E2237"/>
    <w:rsid w:val="000E226A"/>
    <w:rsid w:val="000E2286"/>
    <w:rsid w:val="000E23C2"/>
    <w:rsid w:val="000E23D3"/>
    <w:rsid w:val="000E23D6"/>
    <w:rsid w:val="000E2498"/>
    <w:rsid w:val="000E254F"/>
    <w:rsid w:val="000E2568"/>
    <w:rsid w:val="000E2579"/>
    <w:rsid w:val="000E25BA"/>
    <w:rsid w:val="000E25DB"/>
    <w:rsid w:val="000E2678"/>
    <w:rsid w:val="000E269E"/>
    <w:rsid w:val="000E26BF"/>
    <w:rsid w:val="000E275F"/>
    <w:rsid w:val="000E2799"/>
    <w:rsid w:val="000E27AD"/>
    <w:rsid w:val="000E2860"/>
    <w:rsid w:val="000E289A"/>
    <w:rsid w:val="000E28C4"/>
    <w:rsid w:val="000E28F3"/>
    <w:rsid w:val="000E2957"/>
    <w:rsid w:val="000E2A22"/>
    <w:rsid w:val="000E2AA1"/>
    <w:rsid w:val="000E2B14"/>
    <w:rsid w:val="000E2B8B"/>
    <w:rsid w:val="000E2C21"/>
    <w:rsid w:val="000E2C26"/>
    <w:rsid w:val="000E2C5A"/>
    <w:rsid w:val="000E2C80"/>
    <w:rsid w:val="000E2C94"/>
    <w:rsid w:val="000E2C9C"/>
    <w:rsid w:val="000E2CF4"/>
    <w:rsid w:val="000E2D1F"/>
    <w:rsid w:val="000E2DB4"/>
    <w:rsid w:val="000E2DE5"/>
    <w:rsid w:val="000E2EE6"/>
    <w:rsid w:val="000E2F00"/>
    <w:rsid w:val="000E2F45"/>
    <w:rsid w:val="000E2F94"/>
    <w:rsid w:val="000E2FBC"/>
    <w:rsid w:val="000E3022"/>
    <w:rsid w:val="000E304E"/>
    <w:rsid w:val="000E3106"/>
    <w:rsid w:val="000E3166"/>
    <w:rsid w:val="000E32CC"/>
    <w:rsid w:val="000E331B"/>
    <w:rsid w:val="000E337B"/>
    <w:rsid w:val="000E337F"/>
    <w:rsid w:val="000E342B"/>
    <w:rsid w:val="000E3439"/>
    <w:rsid w:val="000E346D"/>
    <w:rsid w:val="000E34B7"/>
    <w:rsid w:val="000E34E2"/>
    <w:rsid w:val="000E34E6"/>
    <w:rsid w:val="000E3529"/>
    <w:rsid w:val="000E352D"/>
    <w:rsid w:val="000E3558"/>
    <w:rsid w:val="000E3562"/>
    <w:rsid w:val="000E35AD"/>
    <w:rsid w:val="000E35F4"/>
    <w:rsid w:val="000E36AD"/>
    <w:rsid w:val="000E36B3"/>
    <w:rsid w:val="000E374A"/>
    <w:rsid w:val="000E3842"/>
    <w:rsid w:val="000E3856"/>
    <w:rsid w:val="000E3877"/>
    <w:rsid w:val="000E387C"/>
    <w:rsid w:val="000E388D"/>
    <w:rsid w:val="000E388E"/>
    <w:rsid w:val="000E3900"/>
    <w:rsid w:val="000E3909"/>
    <w:rsid w:val="000E3914"/>
    <w:rsid w:val="000E391C"/>
    <w:rsid w:val="000E392C"/>
    <w:rsid w:val="000E3943"/>
    <w:rsid w:val="000E3965"/>
    <w:rsid w:val="000E39B0"/>
    <w:rsid w:val="000E39FC"/>
    <w:rsid w:val="000E3A54"/>
    <w:rsid w:val="000E3ACE"/>
    <w:rsid w:val="000E3B29"/>
    <w:rsid w:val="000E3B6B"/>
    <w:rsid w:val="000E3BE1"/>
    <w:rsid w:val="000E3BF1"/>
    <w:rsid w:val="000E3C7C"/>
    <w:rsid w:val="000E3C7D"/>
    <w:rsid w:val="000E3C89"/>
    <w:rsid w:val="000E3C9A"/>
    <w:rsid w:val="000E3CC5"/>
    <w:rsid w:val="000E3D03"/>
    <w:rsid w:val="000E3D7D"/>
    <w:rsid w:val="000E3DE7"/>
    <w:rsid w:val="000E3DF7"/>
    <w:rsid w:val="000E3E57"/>
    <w:rsid w:val="000E3E83"/>
    <w:rsid w:val="000E3EEB"/>
    <w:rsid w:val="000E3EED"/>
    <w:rsid w:val="000E3F09"/>
    <w:rsid w:val="000E3F38"/>
    <w:rsid w:val="000E3F5A"/>
    <w:rsid w:val="000E3F79"/>
    <w:rsid w:val="000E3F94"/>
    <w:rsid w:val="000E3FB1"/>
    <w:rsid w:val="000E3FE4"/>
    <w:rsid w:val="000E400D"/>
    <w:rsid w:val="000E4024"/>
    <w:rsid w:val="000E403E"/>
    <w:rsid w:val="000E40C3"/>
    <w:rsid w:val="000E40D9"/>
    <w:rsid w:val="000E41BE"/>
    <w:rsid w:val="000E41CB"/>
    <w:rsid w:val="000E41D6"/>
    <w:rsid w:val="000E41DC"/>
    <w:rsid w:val="000E41EC"/>
    <w:rsid w:val="000E4219"/>
    <w:rsid w:val="000E423F"/>
    <w:rsid w:val="000E42A4"/>
    <w:rsid w:val="000E42AE"/>
    <w:rsid w:val="000E42EF"/>
    <w:rsid w:val="000E4350"/>
    <w:rsid w:val="000E437B"/>
    <w:rsid w:val="000E4392"/>
    <w:rsid w:val="000E43B5"/>
    <w:rsid w:val="000E43C0"/>
    <w:rsid w:val="000E43E0"/>
    <w:rsid w:val="000E441D"/>
    <w:rsid w:val="000E445D"/>
    <w:rsid w:val="000E4477"/>
    <w:rsid w:val="000E448C"/>
    <w:rsid w:val="000E449C"/>
    <w:rsid w:val="000E4519"/>
    <w:rsid w:val="000E451E"/>
    <w:rsid w:val="000E452F"/>
    <w:rsid w:val="000E4539"/>
    <w:rsid w:val="000E4564"/>
    <w:rsid w:val="000E457C"/>
    <w:rsid w:val="000E4581"/>
    <w:rsid w:val="000E45E9"/>
    <w:rsid w:val="000E4665"/>
    <w:rsid w:val="000E466F"/>
    <w:rsid w:val="000E4692"/>
    <w:rsid w:val="000E46DF"/>
    <w:rsid w:val="000E4766"/>
    <w:rsid w:val="000E4775"/>
    <w:rsid w:val="000E47B6"/>
    <w:rsid w:val="000E47D8"/>
    <w:rsid w:val="000E47EC"/>
    <w:rsid w:val="000E483C"/>
    <w:rsid w:val="000E4916"/>
    <w:rsid w:val="000E492D"/>
    <w:rsid w:val="000E495A"/>
    <w:rsid w:val="000E4964"/>
    <w:rsid w:val="000E49A9"/>
    <w:rsid w:val="000E49FD"/>
    <w:rsid w:val="000E4A2D"/>
    <w:rsid w:val="000E4AC8"/>
    <w:rsid w:val="000E4AD2"/>
    <w:rsid w:val="000E4AE2"/>
    <w:rsid w:val="000E4AEF"/>
    <w:rsid w:val="000E4B51"/>
    <w:rsid w:val="000E4BA8"/>
    <w:rsid w:val="000E4C22"/>
    <w:rsid w:val="000E4CBD"/>
    <w:rsid w:val="000E4CCA"/>
    <w:rsid w:val="000E4CEA"/>
    <w:rsid w:val="000E4D00"/>
    <w:rsid w:val="000E4D59"/>
    <w:rsid w:val="000E4DD2"/>
    <w:rsid w:val="000E4DD3"/>
    <w:rsid w:val="000E4ED3"/>
    <w:rsid w:val="000E4F2F"/>
    <w:rsid w:val="000E4F89"/>
    <w:rsid w:val="000E4FD6"/>
    <w:rsid w:val="000E4FFA"/>
    <w:rsid w:val="000E5012"/>
    <w:rsid w:val="000E502D"/>
    <w:rsid w:val="000E503B"/>
    <w:rsid w:val="000E5055"/>
    <w:rsid w:val="000E5080"/>
    <w:rsid w:val="000E5081"/>
    <w:rsid w:val="000E5083"/>
    <w:rsid w:val="000E50F4"/>
    <w:rsid w:val="000E5117"/>
    <w:rsid w:val="000E5174"/>
    <w:rsid w:val="000E51B7"/>
    <w:rsid w:val="000E5229"/>
    <w:rsid w:val="000E5264"/>
    <w:rsid w:val="000E528A"/>
    <w:rsid w:val="000E52B2"/>
    <w:rsid w:val="000E52B3"/>
    <w:rsid w:val="000E52CD"/>
    <w:rsid w:val="000E52D8"/>
    <w:rsid w:val="000E5316"/>
    <w:rsid w:val="000E5380"/>
    <w:rsid w:val="000E53B9"/>
    <w:rsid w:val="000E53FB"/>
    <w:rsid w:val="000E54DA"/>
    <w:rsid w:val="000E54E4"/>
    <w:rsid w:val="000E54F5"/>
    <w:rsid w:val="000E5540"/>
    <w:rsid w:val="000E5543"/>
    <w:rsid w:val="000E5553"/>
    <w:rsid w:val="000E5572"/>
    <w:rsid w:val="000E5574"/>
    <w:rsid w:val="000E55AF"/>
    <w:rsid w:val="000E55CD"/>
    <w:rsid w:val="000E5620"/>
    <w:rsid w:val="000E5660"/>
    <w:rsid w:val="000E5693"/>
    <w:rsid w:val="000E5697"/>
    <w:rsid w:val="000E56A1"/>
    <w:rsid w:val="000E56C1"/>
    <w:rsid w:val="000E5738"/>
    <w:rsid w:val="000E573D"/>
    <w:rsid w:val="000E574C"/>
    <w:rsid w:val="000E5759"/>
    <w:rsid w:val="000E5807"/>
    <w:rsid w:val="000E580D"/>
    <w:rsid w:val="000E5852"/>
    <w:rsid w:val="000E588E"/>
    <w:rsid w:val="000E58C5"/>
    <w:rsid w:val="000E58EC"/>
    <w:rsid w:val="000E5901"/>
    <w:rsid w:val="000E590D"/>
    <w:rsid w:val="000E5933"/>
    <w:rsid w:val="000E594F"/>
    <w:rsid w:val="000E5967"/>
    <w:rsid w:val="000E5997"/>
    <w:rsid w:val="000E59DE"/>
    <w:rsid w:val="000E5A05"/>
    <w:rsid w:val="000E5A09"/>
    <w:rsid w:val="000E5A3C"/>
    <w:rsid w:val="000E5A66"/>
    <w:rsid w:val="000E5A9C"/>
    <w:rsid w:val="000E5AEF"/>
    <w:rsid w:val="000E5B08"/>
    <w:rsid w:val="000E5B0A"/>
    <w:rsid w:val="000E5BA6"/>
    <w:rsid w:val="000E5CEA"/>
    <w:rsid w:val="000E5CF8"/>
    <w:rsid w:val="000E5CF9"/>
    <w:rsid w:val="000E5D1C"/>
    <w:rsid w:val="000E5D23"/>
    <w:rsid w:val="000E5D28"/>
    <w:rsid w:val="000E5D41"/>
    <w:rsid w:val="000E5DCA"/>
    <w:rsid w:val="000E5DF2"/>
    <w:rsid w:val="000E5DFE"/>
    <w:rsid w:val="000E5E27"/>
    <w:rsid w:val="000E5F27"/>
    <w:rsid w:val="000E5F63"/>
    <w:rsid w:val="000E5FC4"/>
    <w:rsid w:val="000E5FCF"/>
    <w:rsid w:val="000E6012"/>
    <w:rsid w:val="000E601E"/>
    <w:rsid w:val="000E6095"/>
    <w:rsid w:val="000E609C"/>
    <w:rsid w:val="000E6122"/>
    <w:rsid w:val="000E6123"/>
    <w:rsid w:val="000E61DC"/>
    <w:rsid w:val="000E61DD"/>
    <w:rsid w:val="000E620A"/>
    <w:rsid w:val="000E621B"/>
    <w:rsid w:val="000E621F"/>
    <w:rsid w:val="000E62BC"/>
    <w:rsid w:val="000E6315"/>
    <w:rsid w:val="000E637A"/>
    <w:rsid w:val="000E63DB"/>
    <w:rsid w:val="000E63E7"/>
    <w:rsid w:val="000E63F3"/>
    <w:rsid w:val="000E640F"/>
    <w:rsid w:val="000E6435"/>
    <w:rsid w:val="000E644A"/>
    <w:rsid w:val="000E644D"/>
    <w:rsid w:val="000E6459"/>
    <w:rsid w:val="000E64F7"/>
    <w:rsid w:val="000E6527"/>
    <w:rsid w:val="000E6606"/>
    <w:rsid w:val="000E6661"/>
    <w:rsid w:val="000E667D"/>
    <w:rsid w:val="000E66A1"/>
    <w:rsid w:val="000E67EE"/>
    <w:rsid w:val="000E682C"/>
    <w:rsid w:val="000E685A"/>
    <w:rsid w:val="000E686B"/>
    <w:rsid w:val="000E68B5"/>
    <w:rsid w:val="000E6974"/>
    <w:rsid w:val="000E69E8"/>
    <w:rsid w:val="000E6AA9"/>
    <w:rsid w:val="000E6AC7"/>
    <w:rsid w:val="000E6AE0"/>
    <w:rsid w:val="000E6B31"/>
    <w:rsid w:val="000E6B4C"/>
    <w:rsid w:val="000E6B7A"/>
    <w:rsid w:val="000E6B80"/>
    <w:rsid w:val="000E6BD8"/>
    <w:rsid w:val="000E6C05"/>
    <w:rsid w:val="000E6C5C"/>
    <w:rsid w:val="000E6C9C"/>
    <w:rsid w:val="000E6D0C"/>
    <w:rsid w:val="000E6D62"/>
    <w:rsid w:val="000E6D6F"/>
    <w:rsid w:val="000E6D79"/>
    <w:rsid w:val="000E6D8F"/>
    <w:rsid w:val="000E6D94"/>
    <w:rsid w:val="000E6D9E"/>
    <w:rsid w:val="000E6DC5"/>
    <w:rsid w:val="000E6DCA"/>
    <w:rsid w:val="000E6DDB"/>
    <w:rsid w:val="000E6E2A"/>
    <w:rsid w:val="000E6E86"/>
    <w:rsid w:val="000E6E9C"/>
    <w:rsid w:val="000E6F06"/>
    <w:rsid w:val="000E6F0F"/>
    <w:rsid w:val="000E6F4F"/>
    <w:rsid w:val="000E6F61"/>
    <w:rsid w:val="000E6FBE"/>
    <w:rsid w:val="000E6FD7"/>
    <w:rsid w:val="000E70F1"/>
    <w:rsid w:val="000E7104"/>
    <w:rsid w:val="000E710B"/>
    <w:rsid w:val="000E7113"/>
    <w:rsid w:val="000E7190"/>
    <w:rsid w:val="000E71F5"/>
    <w:rsid w:val="000E729C"/>
    <w:rsid w:val="000E72B2"/>
    <w:rsid w:val="000E72B5"/>
    <w:rsid w:val="000E72BC"/>
    <w:rsid w:val="000E72F1"/>
    <w:rsid w:val="000E7300"/>
    <w:rsid w:val="000E730F"/>
    <w:rsid w:val="000E738A"/>
    <w:rsid w:val="000E7399"/>
    <w:rsid w:val="000E73B8"/>
    <w:rsid w:val="000E73E6"/>
    <w:rsid w:val="000E7418"/>
    <w:rsid w:val="000E744D"/>
    <w:rsid w:val="000E7481"/>
    <w:rsid w:val="000E74DB"/>
    <w:rsid w:val="000E74DE"/>
    <w:rsid w:val="000E75A2"/>
    <w:rsid w:val="000E75E4"/>
    <w:rsid w:val="000E767B"/>
    <w:rsid w:val="000E769F"/>
    <w:rsid w:val="000E76EC"/>
    <w:rsid w:val="000E7701"/>
    <w:rsid w:val="000E7789"/>
    <w:rsid w:val="000E77B0"/>
    <w:rsid w:val="000E77BF"/>
    <w:rsid w:val="000E7810"/>
    <w:rsid w:val="000E7880"/>
    <w:rsid w:val="000E7911"/>
    <w:rsid w:val="000E7919"/>
    <w:rsid w:val="000E7959"/>
    <w:rsid w:val="000E79CB"/>
    <w:rsid w:val="000E79D9"/>
    <w:rsid w:val="000E79DA"/>
    <w:rsid w:val="000E79DE"/>
    <w:rsid w:val="000E7A7B"/>
    <w:rsid w:val="000E7AD4"/>
    <w:rsid w:val="000E7AF5"/>
    <w:rsid w:val="000E7B48"/>
    <w:rsid w:val="000E7BFE"/>
    <w:rsid w:val="000E7C04"/>
    <w:rsid w:val="000E7C0F"/>
    <w:rsid w:val="000E7CCF"/>
    <w:rsid w:val="000E7D04"/>
    <w:rsid w:val="000E7D87"/>
    <w:rsid w:val="000E7D99"/>
    <w:rsid w:val="000E7D9D"/>
    <w:rsid w:val="000E7DB5"/>
    <w:rsid w:val="000E7DB6"/>
    <w:rsid w:val="000E7E4E"/>
    <w:rsid w:val="000E7E66"/>
    <w:rsid w:val="000E7E6E"/>
    <w:rsid w:val="000E7EDE"/>
    <w:rsid w:val="000E7F10"/>
    <w:rsid w:val="000E7F2F"/>
    <w:rsid w:val="000E7F3E"/>
    <w:rsid w:val="000E7FCE"/>
    <w:rsid w:val="000F006F"/>
    <w:rsid w:val="000F008B"/>
    <w:rsid w:val="000F0171"/>
    <w:rsid w:val="000F01DB"/>
    <w:rsid w:val="000F01DE"/>
    <w:rsid w:val="000F020A"/>
    <w:rsid w:val="000F0251"/>
    <w:rsid w:val="000F0272"/>
    <w:rsid w:val="000F029A"/>
    <w:rsid w:val="000F02A4"/>
    <w:rsid w:val="000F02D3"/>
    <w:rsid w:val="000F0344"/>
    <w:rsid w:val="000F035F"/>
    <w:rsid w:val="000F04BB"/>
    <w:rsid w:val="000F04E9"/>
    <w:rsid w:val="000F0511"/>
    <w:rsid w:val="000F0544"/>
    <w:rsid w:val="000F0549"/>
    <w:rsid w:val="000F05A7"/>
    <w:rsid w:val="000F05CA"/>
    <w:rsid w:val="000F05E2"/>
    <w:rsid w:val="000F05EC"/>
    <w:rsid w:val="000F05EE"/>
    <w:rsid w:val="000F06A8"/>
    <w:rsid w:val="000F06B6"/>
    <w:rsid w:val="000F06D4"/>
    <w:rsid w:val="000F074C"/>
    <w:rsid w:val="000F0791"/>
    <w:rsid w:val="000F07D7"/>
    <w:rsid w:val="000F07F7"/>
    <w:rsid w:val="000F0836"/>
    <w:rsid w:val="000F086F"/>
    <w:rsid w:val="000F08C6"/>
    <w:rsid w:val="000F0959"/>
    <w:rsid w:val="000F0962"/>
    <w:rsid w:val="000F09A0"/>
    <w:rsid w:val="000F09D0"/>
    <w:rsid w:val="000F0A03"/>
    <w:rsid w:val="000F0A36"/>
    <w:rsid w:val="000F0A54"/>
    <w:rsid w:val="000F0A7E"/>
    <w:rsid w:val="000F0A8A"/>
    <w:rsid w:val="000F0AB4"/>
    <w:rsid w:val="000F0AB8"/>
    <w:rsid w:val="000F0B41"/>
    <w:rsid w:val="000F0B4D"/>
    <w:rsid w:val="000F0B62"/>
    <w:rsid w:val="000F0BBB"/>
    <w:rsid w:val="000F0BC2"/>
    <w:rsid w:val="000F0C2A"/>
    <w:rsid w:val="000F0C74"/>
    <w:rsid w:val="000F0C84"/>
    <w:rsid w:val="000F0C8B"/>
    <w:rsid w:val="000F0D2F"/>
    <w:rsid w:val="000F0D6B"/>
    <w:rsid w:val="000F0DB8"/>
    <w:rsid w:val="000F0DD6"/>
    <w:rsid w:val="000F0DEB"/>
    <w:rsid w:val="000F0E2A"/>
    <w:rsid w:val="000F0E58"/>
    <w:rsid w:val="000F0E69"/>
    <w:rsid w:val="000F0E6F"/>
    <w:rsid w:val="000F0EF0"/>
    <w:rsid w:val="000F0F0B"/>
    <w:rsid w:val="000F0F11"/>
    <w:rsid w:val="000F0F68"/>
    <w:rsid w:val="000F0F86"/>
    <w:rsid w:val="000F0FB6"/>
    <w:rsid w:val="000F1013"/>
    <w:rsid w:val="000F1024"/>
    <w:rsid w:val="000F1083"/>
    <w:rsid w:val="000F10E8"/>
    <w:rsid w:val="000F10EF"/>
    <w:rsid w:val="000F111D"/>
    <w:rsid w:val="000F1186"/>
    <w:rsid w:val="000F118F"/>
    <w:rsid w:val="000F119D"/>
    <w:rsid w:val="000F127E"/>
    <w:rsid w:val="000F12B9"/>
    <w:rsid w:val="000F12CD"/>
    <w:rsid w:val="000F12CE"/>
    <w:rsid w:val="000F1336"/>
    <w:rsid w:val="000F1379"/>
    <w:rsid w:val="000F1437"/>
    <w:rsid w:val="000F14AA"/>
    <w:rsid w:val="000F1568"/>
    <w:rsid w:val="000F15AF"/>
    <w:rsid w:val="000F15C2"/>
    <w:rsid w:val="000F15FA"/>
    <w:rsid w:val="000F15FE"/>
    <w:rsid w:val="000F1640"/>
    <w:rsid w:val="000F1658"/>
    <w:rsid w:val="000F1662"/>
    <w:rsid w:val="000F1783"/>
    <w:rsid w:val="000F17C1"/>
    <w:rsid w:val="000F17E8"/>
    <w:rsid w:val="000F1803"/>
    <w:rsid w:val="000F1817"/>
    <w:rsid w:val="000F1842"/>
    <w:rsid w:val="000F1851"/>
    <w:rsid w:val="000F18C3"/>
    <w:rsid w:val="000F18CB"/>
    <w:rsid w:val="000F1916"/>
    <w:rsid w:val="000F1932"/>
    <w:rsid w:val="000F1956"/>
    <w:rsid w:val="000F19A7"/>
    <w:rsid w:val="000F19BC"/>
    <w:rsid w:val="000F1A07"/>
    <w:rsid w:val="000F1A32"/>
    <w:rsid w:val="000F1A58"/>
    <w:rsid w:val="000F1ADE"/>
    <w:rsid w:val="000F1B33"/>
    <w:rsid w:val="000F1B4F"/>
    <w:rsid w:val="000F1BF5"/>
    <w:rsid w:val="000F1BF8"/>
    <w:rsid w:val="000F1C26"/>
    <w:rsid w:val="000F1C4E"/>
    <w:rsid w:val="000F1C5C"/>
    <w:rsid w:val="000F1C7F"/>
    <w:rsid w:val="000F1C91"/>
    <w:rsid w:val="000F1D65"/>
    <w:rsid w:val="000F1D6D"/>
    <w:rsid w:val="000F1D8C"/>
    <w:rsid w:val="000F1D94"/>
    <w:rsid w:val="000F1DB7"/>
    <w:rsid w:val="000F1E20"/>
    <w:rsid w:val="000F1E29"/>
    <w:rsid w:val="000F1E32"/>
    <w:rsid w:val="000F1E9F"/>
    <w:rsid w:val="000F1ED7"/>
    <w:rsid w:val="000F1EE5"/>
    <w:rsid w:val="000F1EE8"/>
    <w:rsid w:val="000F1EF8"/>
    <w:rsid w:val="000F1F29"/>
    <w:rsid w:val="000F1F4E"/>
    <w:rsid w:val="000F1F82"/>
    <w:rsid w:val="000F1FB7"/>
    <w:rsid w:val="000F1FBC"/>
    <w:rsid w:val="000F1FC2"/>
    <w:rsid w:val="000F1FD1"/>
    <w:rsid w:val="000F1FE2"/>
    <w:rsid w:val="000F2020"/>
    <w:rsid w:val="000F2034"/>
    <w:rsid w:val="000F2045"/>
    <w:rsid w:val="000F20C0"/>
    <w:rsid w:val="000F20C4"/>
    <w:rsid w:val="000F20DA"/>
    <w:rsid w:val="000F20DD"/>
    <w:rsid w:val="000F2171"/>
    <w:rsid w:val="000F217C"/>
    <w:rsid w:val="000F220F"/>
    <w:rsid w:val="000F221B"/>
    <w:rsid w:val="000F2260"/>
    <w:rsid w:val="000F226E"/>
    <w:rsid w:val="000F2285"/>
    <w:rsid w:val="000F22D4"/>
    <w:rsid w:val="000F22E1"/>
    <w:rsid w:val="000F22F7"/>
    <w:rsid w:val="000F231E"/>
    <w:rsid w:val="000F232B"/>
    <w:rsid w:val="000F23A4"/>
    <w:rsid w:val="000F23BB"/>
    <w:rsid w:val="000F23F7"/>
    <w:rsid w:val="000F246C"/>
    <w:rsid w:val="000F2482"/>
    <w:rsid w:val="000F2488"/>
    <w:rsid w:val="000F248B"/>
    <w:rsid w:val="000F24CB"/>
    <w:rsid w:val="000F2509"/>
    <w:rsid w:val="000F2538"/>
    <w:rsid w:val="000F254C"/>
    <w:rsid w:val="000F2589"/>
    <w:rsid w:val="000F25AA"/>
    <w:rsid w:val="000F26AF"/>
    <w:rsid w:val="000F2709"/>
    <w:rsid w:val="000F2718"/>
    <w:rsid w:val="000F271A"/>
    <w:rsid w:val="000F274D"/>
    <w:rsid w:val="000F2762"/>
    <w:rsid w:val="000F2791"/>
    <w:rsid w:val="000F279C"/>
    <w:rsid w:val="000F27AA"/>
    <w:rsid w:val="000F286F"/>
    <w:rsid w:val="000F289B"/>
    <w:rsid w:val="000F28C5"/>
    <w:rsid w:val="000F28DD"/>
    <w:rsid w:val="000F28FC"/>
    <w:rsid w:val="000F29E4"/>
    <w:rsid w:val="000F2A19"/>
    <w:rsid w:val="000F2AB0"/>
    <w:rsid w:val="000F2B20"/>
    <w:rsid w:val="000F2B64"/>
    <w:rsid w:val="000F2C1F"/>
    <w:rsid w:val="000F2C39"/>
    <w:rsid w:val="000F2C8D"/>
    <w:rsid w:val="000F2CE8"/>
    <w:rsid w:val="000F2CF8"/>
    <w:rsid w:val="000F2D1D"/>
    <w:rsid w:val="000F2D32"/>
    <w:rsid w:val="000F2D79"/>
    <w:rsid w:val="000F2D80"/>
    <w:rsid w:val="000F2DB7"/>
    <w:rsid w:val="000F2DC9"/>
    <w:rsid w:val="000F2E10"/>
    <w:rsid w:val="000F2E1E"/>
    <w:rsid w:val="000F2EC0"/>
    <w:rsid w:val="000F2EF1"/>
    <w:rsid w:val="000F2F16"/>
    <w:rsid w:val="000F2F35"/>
    <w:rsid w:val="000F2F44"/>
    <w:rsid w:val="000F2F46"/>
    <w:rsid w:val="000F2F49"/>
    <w:rsid w:val="000F2FCE"/>
    <w:rsid w:val="000F2FE9"/>
    <w:rsid w:val="000F2FF1"/>
    <w:rsid w:val="000F2FF9"/>
    <w:rsid w:val="000F301B"/>
    <w:rsid w:val="000F3072"/>
    <w:rsid w:val="000F3137"/>
    <w:rsid w:val="000F3166"/>
    <w:rsid w:val="000F3176"/>
    <w:rsid w:val="000F319E"/>
    <w:rsid w:val="000F31BC"/>
    <w:rsid w:val="000F3238"/>
    <w:rsid w:val="000F3267"/>
    <w:rsid w:val="000F32A5"/>
    <w:rsid w:val="000F32B3"/>
    <w:rsid w:val="000F32BF"/>
    <w:rsid w:val="000F32DB"/>
    <w:rsid w:val="000F32FD"/>
    <w:rsid w:val="000F3311"/>
    <w:rsid w:val="000F3338"/>
    <w:rsid w:val="000F3349"/>
    <w:rsid w:val="000F334A"/>
    <w:rsid w:val="000F337B"/>
    <w:rsid w:val="000F337E"/>
    <w:rsid w:val="000F338B"/>
    <w:rsid w:val="000F339C"/>
    <w:rsid w:val="000F33DB"/>
    <w:rsid w:val="000F33E5"/>
    <w:rsid w:val="000F3425"/>
    <w:rsid w:val="000F3441"/>
    <w:rsid w:val="000F3443"/>
    <w:rsid w:val="000F345D"/>
    <w:rsid w:val="000F346D"/>
    <w:rsid w:val="000F347A"/>
    <w:rsid w:val="000F34C7"/>
    <w:rsid w:val="000F34CF"/>
    <w:rsid w:val="000F3500"/>
    <w:rsid w:val="000F3528"/>
    <w:rsid w:val="000F3563"/>
    <w:rsid w:val="000F3575"/>
    <w:rsid w:val="000F35D9"/>
    <w:rsid w:val="000F3614"/>
    <w:rsid w:val="000F362E"/>
    <w:rsid w:val="000F36DD"/>
    <w:rsid w:val="000F375B"/>
    <w:rsid w:val="000F37C1"/>
    <w:rsid w:val="000F3830"/>
    <w:rsid w:val="000F3854"/>
    <w:rsid w:val="000F387A"/>
    <w:rsid w:val="000F3890"/>
    <w:rsid w:val="000F38B8"/>
    <w:rsid w:val="000F38DF"/>
    <w:rsid w:val="000F3907"/>
    <w:rsid w:val="000F392B"/>
    <w:rsid w:val="000F392F"/>
    <w:rsid w:val="000F3975"/>
    <w:rsid w:val="000F397A"/>
    <w:rsid w:val="000F3992"/>
    <w:rsid w:val="000F39C0"/>
    <w:rsid w:val="000F39F2"/>
    <w:rsid w:val="000F3A9E"/>
    <w:rsid w:val="000F3ACB"/>
    <w:rsid w:val="000F3B14"/>
    <w:rsid w:val="000F3B2B"/>
    <w:rsid w:val="000F3B9A"/>
    <w:rsid w:val="000F3BA1"/>
    <w:rsid w:val="000F3BCB"/>
    <w:rsid w:val="000F3C05"/>
    <w:rsid w:val="000F3C06"/>
    <w:rsid w:val="000F3C3C"/>
    <w:rsid w:val="000F3CC9"/>
    <w:rsid w:val="000F3D14"/>
    <w:rsid w:val="000F3D3C"/>
    <w:rsid w:val="000F3DBC"/>
    <w:rsid w:val="000F3FB3"/>
    <w:rsid w:val="000F3FC1"/>
    <w:rsid w:val="000F4046"/>
    <w:rsid w:val="000F40D5"/>
    <w:rsid w:val="000F419C"/>
    <w:rsid w:val="000F4205"/>
    <w:rsid w:val="000F4290"/>
    <w:rsid w:val="000F42A0"/>
    <w:rsid w:val="000F42EC"/>
    <w:rsid w:val="000F4305"/>
    <w:rsid w:val="000F4352"/>
    <w:rsid w:val="000F43AD"/>
    <w:rsid w:val="000F43C3"/>
    <w:rsid w:val="000F43C4"/>
    <w:rsid w:val="000F4448"/>
    <w:rsid w:val="000F4470"/>
    <w:rsid w:val="000F4473"/>
    <w:rsid w:val="000F449E"/>
    <w:rsid w:val="000F44B4"/>
    <w:rsid w:val="000F44C5"/>
    <w:rsid w:val="000F44EB"/>
    <w:rsid w:val="000F452C"/>
    <w:rsid w:val="000F454B"/>
    <w:rsid w:val="000F45AE"/>
    <w:rsid w:val="000F45FC"/>
    <w:rsid w:val="000F467A"/>
    <w:rsid w:val="000F46A3"/>
    <w:rsid w:val="000F46F0"/>
    <w:rsid w:val="000F4700"/>
    <w:rsid w:val="000F474A"/>
    <w:rsid w:val="000F4763"/>
    <w:rsid w:val="000F4767"/>
    <w:rsid w:val="000F478B"/>
    <w:rsid w:val="000F478F"/>
    <w:rsid w:val="000F479A"/>
    <w:rsid w:val="000F47AD"/>
    <w:rsid w:val="000F47E5"/>
    <w:rsid w:val="000F47EF"/>
    <w:rsid w:val="000F4827"/>
    <w:rsid w:val="000F4845"/>
    <w:rsid w:val="000F48A9"/>
    <w:rsid w:val="000F48E1"/>
    <w:rsid w:val="000F498B"/>
    <w:rsid w:val="000F4A09"/>
    <w:rsid w:val="000F4A45"/>
    <w:rsid w:val="000F4AAB"/>
    <w:rsid w:val="000F4AC5"/>
    <w:rsid w:val="000F4B2A"/>
    <w:rsid w:val="000F4C21"/>
    <w:rsid w:val="000F4CDB"/>
    <w:rsid w:val="000F4CDC"/>
    <w:rsid w:val="000F4CE1"/>
    <w:rsid w:val="000F4CFB"/>
    <w:rsid w:val="000F4D27"/>
    <w:rsid w:val="000F4D33"/>
    <w:rsid w:val="000F4E43"/>
    <w:rsid w:val="000F4E83"/>
    <w:rsid w:val="000F4E84"/>
    <w:rsid w:val="000F4EA6"/>
    <w:rsid w:val="000F4EFA"/>
    <w:rsid w:val="000F4F10"/>
    <w:rsid w:val="000F4F1B"/>
    <w:rsid w:val="000F4F3C"/>
    <w:rsid w:val="000F4F79"/>
    <w:rsid w:val="000F4F7B"/>
    <w:rsid w:val="000F4F8A"/>
    <w:rsid w:val="000F4F96"/>
    <w:rsid w:val="000F4FCC"/>
    <w:rsid w:val="000F501C"/>
    <w:rsid w:val="000F509A"/>
    <w:rsid w:val="000F50E2"/>
    <w:rsid w:val="000F50EC"/>
    <w:rsid w:val="000F50EE"/>
    <w:rsid w:val="000F50F3"/>
    <w:rsid w:val="000F5127"/>
    <w:rsid w:val="000F51A5"/>
    <w:rsid w:val="000F51C2"/>
    <w:rsid w:val="000F51EA"/>
    <w:rsid w:val="000F52D7"/>
    <w:rsid w:val="000F52F1"/>
    <w:rsid w:val="000F532D"/>
    <w:rsid w:val="000F5369"/>
    <w:rsid w:val="000F5390"/>
    <w:rsid w:val="000F5402"/>
    <w:rsid w:val="000F54FA"/>
    <w:rsid w:val="000F5501"/>
    <w:rsid w:val="000F5506"/>
    <w:rsid w:val="000F5527"/>
    <w:rsid w:val="000F552A"/>
    <w:rsid w:val="000F5558"/>
    <w:rsid w:val="000F555E"/>
    <w:rsid w:val="000F5568"/>
    <w:rsid w:val="000F5594"/>
    <w:rsid w:val="000F55FD"/>
    <w:rsid w:val="000F5600"/>
    <w:rsid w:val="000F560B"/>
    <w:rsid w:val="000F562D"/>
    <w:rsid w:val="000F5637"/>
    <w:rsid w:val="000F5650"/>
    <w:rsid w:val="000F5659"/>
    <w:rsid w:val="000F56EF"/>
    <w:rsid w:val="000F5782"/>
    <w:rsid w:val="000F57D5"/>
    <w:rsid w:val="000F5876"/>
    <w:rsid w:val="000F58AB"/>
    <w:rsid w:val="000F5906"/>
    <w:rsid w:val="000F5961"/>
    <w:rsid w:val="000F5970"/>
    <w:rsid w:val="000F5A1C"/>
    <w:rsid w:val="000F5A50"/>
    <w:rsid w:val="000F5A63"/>
    <w:rsid w:val="000F5A81"/>
    <w:rsid w:val="000F5ACA"/>
    <w:rsid w:val="000F5AE5"/>
    <w:rsid w:val="000F5B2B"/>
    <w:rsid w:val="000F5B38"/>
    <w:rsid w:val="000F5B5E"/>
    <w:rsid w:val="000F5B72"/>
    <w:rsid w:val="000F5BD0"/>
    <w:rsid w:val="000F5BD6"/>
    <w:rsid w:val="000F5BF4"/>
    <w:rsid w:val="000F5C4C"/>
    <w:rsid w:val="000F5C4E"/>
    <w:rsid w:val="000F5C6A"/>
    <w:rsid w:val="000F5CF2"/>
    <w:rsid w:val="000F5D00"/>
    <w:rsid w:val="000F5D34"/>
    <w:rsid w:val="000F5D3E"/>
    <w:rsid w:val="000F5D4B"/>
    <w:rsid w:val="000F5D82"/>
    <w:rsid w:val="000F5D83"/>
    <w:rsid w:val="000F5E4D"/>
    <w:rsid w:val="000F5E7E"/>
    <w:rsid w:val="000F5EC4"/>
    <w:rsid w:val="000F5EE6"/>
    <w:rsid w:val="000F5F25"/>
    <w:rsid w:val="000F5F45"/>
    <w:rsid w:val="000F5F6A"/>
    <w:rsid w:val="000F5F71"/>
    <w:rsid w:val="000F5FC9"/>
    <w:rsid w:val="000F6039"/>
    <w:rsid w:val="000F604D"/>
    <w:rsid w:val="000F6065"/>
    <w:rsid w:val="000F6073"/>
    <w:rsid w:val="000F6104"/>
    <w:rsid w:val="000F6107"/>
    <w:rsid w:val="000F6132"/>
    <w:rsid w:val="000F619D"/>
    <w:rsid w:val="000F6203"/>
    <w:rsid w:val="000F6221"/>
    <w:rsid w:val="000F6241"/>
    <w:rsid w:val="000F6288"/>
    <w:rsid w:val="000F62FF"/>
    <w:rsid w:val="000F6358"/>
    <w:rsid w:val="000F636A"/>
    <w:rsid w:val="000F63B1"/>
    <w:rsid w:val="000F643E"/>
    <w:rsid w:val="000F6447"/>
    <w:rsid w:val="000F6450"/>
    <w:rsid w:val="000F646A"/>
    <w:rsid w:val="000F64E7"/>
    <w:rsid w:val="000F655B"/>
    <w:rsid w:val="000F6598"/>
    <w:rsid w:val="000F65EA"/>
    <w:rsid w:val="000F6611"/>
    <w:rsid w:val="000F66AC"/>
    <w:rsid w:val="000F66B3"/>
    <w:rsid w:val="000F66E5"/>
    <w:rsid w:val="000F671F"/>
    <w:rsid w:val="000F672F"/>
    <w:rsid w:val="000F676C"/>
    <w:rsid w:val="000F680A"/>
    <w:rsid w:val="000F686C"/>
    <w:rsid w:val="000F6871"/>
    <w:rsid w:val="000F68E2"/>
    <w:rsid w:val="000F691C"/>
    <w:rsid w:val="000F6955"/>
    <w:rsid w:val="000F695C"/>
    <w:rsid w:val="000F69C0"/>
    <w:rsid w:val="000F69DE"/>
    <w:rsid w:val="000F6A08"/>
    <w:rsid w:val="000F6A1C"/>
    <w:rsid w:val="000F6A6B"/>
    <w:rsid w:val="000F6AB3"/>
    <w:rsid w:val="000F6AF9"/>
    <w:rsid w:val="000F6B2C"/>
    <w:rsid w:val="000F6B72"/>
    <w:rsid w:val="000F6B8D"/>
    <w:rsid w:val="000F6BB5"/>
    <w:rsid w:val="000F6C74"/>
    <w:rsid w:val="000F6D08"/>
    <w:rsid w:val="000F6D5F"/>
    <w:rsid w:val="000F6D67"/>
    <w:rsid w:val="000F6D86"/>
    <w:rsid w:val="000F6D97"/>
    <w:rsid w:val="000F6DCD"/>
    <w:rsid w:val="000F6DE9"/>
    <w:rsid w:val="000F6E02"/>
    <w:rsid w:val="000F6E1D"/>
    <w:rsid w:val="000F6E30"/>
    <w:rsid w:val="000F6E36"/>
    <w:rsid w:val="000F6E85"/>
    <w:rsid w:val="000F6F12"/>
    <w:rsid w:val="000F6F5B"/>
    <w:rsid w:val="000F6F6A"/>
    <w:rsid w:val="000F6FB0"/>
    <w:rsid w:val="000F6FB8"/>
    <w:rsid w:val="000F6FFD"/>
    <w:rsid w:val="000F7019"/>
    <w:rsid w:val="000F7026"/>
    <w:rsid w:val="000F7058"/>
    <w:rsid w:val="000F7063"/>
    <w:rsid w:val="000F70AB"/>
    <w:rsid w:val="000F70DC"/>
    <w:rsid w:val="000F714E"/>
    <w:rsid w:val="000F7171"/>
    <w:rsid w:val="000F71DD"/>
    <w:rsid w:val="000F7201"/>
    <w:rsid w:val="000F72F1"/>
    <w:rsid w:val="000F72FB"/>
    <w:rsid w:val="000F7345"/>
    <w:rsid w:val="000F7375"/>
    <w:rsid w:val="000F7379"/>
    <w:rsid w:val="000F7383"/>
    <w:rsid w:val="000F73AE"/>
    <w:rsid w:val="000F73B1"/>
    <w:rsid w:val="000F7480"/>
    <w:rsid w:val="000F74D9"/>
    <w:rsid w:val="000F758A"/>
    <w:rsid w:val="000F75F2"/>
    <w:rsid w:val="000F76F8"/>
    <w:rsid w:val="000F7759"/>
    <w:rsid w:val="000F778F"/>
    <w:rsid w:val="000F77A2"/>
    <w:rsid w:val="000F7833"/>
    <w:rsid w:val="000F7858"/>
    <w:rsid w:val="000F786B"/>
    <w:rsid w:val="000F7883"/>
    <w:rsid w:val="000F78C1"/>
    <w:rsid w:val="000F78D2"/>
    <w:rsid w:val="000F78EE"/>
    <w:rsid w:val="000F7950"/>
    <w:rsid w:val="000F795E"/>
    <w:rsid w:val="000F796C"/>
    <w:rsid w:val="000F797D"/>
    <w:rsid w:val="000F79BA"/>
    <w:rsid w:val="000F79FF"/>
    <w:rsid w:val="000F7A11"/>
    <w:rsid w:val="000F7A32"/>
    <w:rsid w:val="000F7A7E"/>
    <w:rsid w:val="000F7AFA"/>
    <w:rsid w:val="000F7B1D"/>
    <w:rsid w:val="000F7B2F"/>
    <w:rsid w:val="000F7B9B"/>
    <w:rsid w:val="000F7BBF"/>
    <w:rsid w:val="000F7C5B"/>
    <w:rsid w:val="000F7CC7"/>
    <w:rsid w:val="000F7CD2"/>
    <w:rsid w:val="000F7D08"/>
    <w:rsid w:val="000F7D0B"/>
    <w:rsid w:val="000F7D53"/>
    <w:rsid w:val="000F7DDE"/>
    <w:rsid w:val="000F7E10"/>
    <w:rsid w:val="000F7E22"/>
    <w:rsid w:val="000F7E35"/>
    <w:rsid w:val="000F7E36"/>
    <w:rsid w:val="000F7E54"/>
    <w:rsid w:val="000F7E64"/>
    <w:rsid w:val="000F7EA4"/>
    <w:rsid w:val="000F7EB8"/>
    <w:rsid w:val="000F7EF9"/>
    <w:rsid w:val="000F7EFF"/>
    <w:rsid w:val="000F7F51"/>
    <w:rsid w:val="000F7F59"/>
    <w:rsid w:val="000F7FAF"/>
    <w:rsid w:val="000F7FC9"/>
    <w:rsid w:val="000F7FE4"/>
    <w:rsid w:val="000FD1E1"/>
    <w:rsid w:val="00100008"/>
    <w:rsid w:val="0010003A"/>
    <w:rsid w:val="00100056"/>
    <w:rsid w:val="00100110"/>
    <w:rsid w:val="00100154"/>
    <w:rsid w:val="0010018D"/>
    <w:rsid w:val="001001C3"/>
    <w:rsid w:val="001001F3"/>
    <w:rsid w:val="00100233"/>
    <w:rsid w:val="00100271"/>
    <w:rsid w:val="0010028D"/>
    <w:rsid w:val="00100305"/>
    <w:rsid w:val="00100309"/>
    <w:rsid w:val="00100363"/>
    <w:rsid w:val="00100394"/>
    <w:rsid w:val="001003D4"/>
    <w:rsid w:val="001003F9"/>
    <w:rsid w:val="00100408"/>
    <w:rsid w:val="001004E2"/>
    <w:rsid w:val="001004E9"/>
    <w:rsid w:val="001004F9"/>
    <w:rsid w:val="001004FF"/>
    <w:rsid w:val="00100530"/>
    <w:rsid w:val="00100534"/>
    <w:rsid w:val="0010054F"/>
    <w:rsid w:val="001005DA"/>
    <w:rsid w:val="001005E1"/>
    <w:rsid w:val="0010065E"/>
    <w:rsid w:val="001006A8"/>
    <w:rsid w:val="001006FF"/>
    <w:rsid w:val="0010070F"/>
    <w:rsid w:val="00100800"/>
    <w:rsid w:val="0010084F"/>
    <w:rsid w:val="00100856"/>
    <w:rsid w:val="0010094E"/>
    <w:rsid w:val="00100974"/>
    <w:rsid w:val="0010097D"/>
    <w:rsid w:val="001009C2"/>
    <w:rsid w:val="00100A05"/>
    <w:rsid w:val="00100A11"/>
    <w:rsid w:val="00100A1F"/>
    <w:rsid w:val="00100A6F"/>
    <w:rsid w:val="00100B71"/>
    <w:rsid w:val="00100B91"/>
    <w:rsid w:val="00100BAD"/>
    <w:rsid w:val="00100BD8"/>
    <w:rsid w:val="00100C37"/>
    <w:rsid w:val="00100CD2"/>
    <w:rsid w:val="00100D3F"/>
    <w:rsid w:val="00100D4C"/>
    <w:rsid w:val="00100D7E"/>
    <w:rsid w:val="00100E7C"/>
    <w:rsid w:val="00100E94"/>
    <w:rsid w:val="00100ED3"/>
    <w:rsid w:val="00100ED6"/>
    <w:rsid w:val="00100FF3"/>
    <w:rsid w:val="00101001"/>
    <w:rsid w:val="0010101E"/>
    <w:rsid w:val="00101021"/>
    <w:rsid w:val="00101025"/>
    <w:rsid w:val="00101037"/>
    <w:rsid w:val="0010108F"/>
    <w:rsid w:val="001010BD"/>
    <w:rsid w:val="001010E0"/>
    <w:rsid w:val="001011A9"/>
    <w:rsid w:val="001011BC"/>
    <w:rsid w:val="001011C6"/>
    <w:rsid w:val="00101285"/>
    <w:rsid w:val="001012F2"/>
    <w:rsid w:val="00101348"/>
    <w:rsid w:val="00101355"/>
    <w:rsid w:val="00101376"/>
    <w:rsid w:val="00101399"/>
    <w:rsid w:val="00101416"/>
    <w:rsid w:val="0010144B"/>
    <w:rsid w:val="001014CC"/>
    <w:rsid w:val="001014D2"/>
    <w:rsid w:val="001014E7"/>
    <w:rsid w:val="00101511"/>
    <w:rsid w:val="00101569"/>
    <w:rsid w:val="001015AD"/>
    <w:rsid w:val="001015EA"/>
    <w:rsid w:val="001015F2"/>
    <w:rsid w:val="00101636"/>
    <w:rsid w:val="00101675"/>
    <w:rsid w:val="001016B0"/>
    <w:rsid w:val="0010171D"/>
    <w:rsid w:val="00101744"/>
    <w:rsid w:val="0010174B"/>
    <w:rsid w:val="00101794"/>
    <w:rsid w:val="001017AC"/>
    <w:rsid w:val="001017EF"/>
    <w:rsid w:val="001017F7"/>
    <w:rsid w:val="0010182D"/>
    <w:rsid w:val="0010185B"/>
    <w:rsid w:val="0010190C"/>
    <w:rsid w:val="00101934"/>
    <w:rsid w:val="00101939"/>
    <w:rsid w:val="001019AB"/>
    <w:rsid w:val="00101A14"/>
    <w:rsid w:val="00101A32"/>
    <w:rsid w:val="00101A66"/>
    <w:rsid w:val="00101AD6"/>
    <w:rsid w:val="00101AFE"/>
    <w:rsid w:val="00101B50"/>
    <w:rsid w:val="00101BBB"/>
    <w:rsid w:val="00101BCE"/>
    <w:rsid w:val="00101BE9"/>
    <w:rsid w:val="00101C03"/>
    <w:rsid w:val="00101C2E"/>
    <w:rsid w:val="00101C9E"/>
    <w:rsid w:val="00101D07"/>
    <w:rsid w:val="00101D22"/>
    <w:rsid w:val="00101D5B"/>
    <w:rsid w:val="00101E0F"/>
    <w:rsid w:val="00101E79"/>
    <w:rsid w:val="00101E8E"/>
    <w:rsid w:val="00101EB0"/>
    <w:rsid w:val="00101F8A"/>
    <w:rsid w:val="00101F8C"/>
    <w:rsid w:val="00101F9C"/>
    <w:rsid w:val="00101FAA"/>
    <w:rsid w:val="00101FCA"/>
    <w:rsid w:val="00101FE9"/>
    <w:rsid w:val="00102043"/>
    <w:rsid w:val="001020E0"/>
    <w:rsid w:val="00102119"/>
    <w:rsid w:val="0010214A"/>
    <w:rsid w:val="0010215E"/>
    <w:rsid w:val="0010218B"/>
    <w:rsid w:val="001021FA"/>
    <w:rsid w:val="00102207"/>
    <w:rsid w:val="0010222A"/>
    <w:rsid w:val="0010226F"/>
    <w:rsid w:val="00102278"/>
    <w:rsid w:val="001022EB"/>
    <w:rsid w:val="00102315"/>
    <w:rsid w:val="00102330"/>
    <w:rsid w:val="00102411"/>
    <w:rsid w:val="00102425"/>
    <w:rsid w:val="00102435"/>
    <w:rsid w:val="00102443"/>
    <w:rsid w:val="00102459"/>
    <w:rsid w:val="001024DA"/>
    <w:rsid w:val="00102525"/>
    <w:rsid w:val="00102552"/>
    <w:rsid w:val="00102577"/>
    <w:rsid w:val="00102582"/>
    <w:rsid w:val="00102674"/>
    <w:rsid w:val="0010268C"/>
    <w:rsid w:val="001026AA"/>
    <w:rsid w:val="001026AE"/>
    <w:rsid w:val="001026DE"/>
    <w:rsid w:val="001026E4"/>
    <w:rsid w:val="00102701"/>
    <w:rsid w:val="001027C8"/>
    <w:rsid w:val="001027DE"/>
    <w:rsid w:val="001027F7"/>
    <w:rsid w:val="0010282B"/>
    <w:rsid w:val="0010285B"/>
    <w:rsid w:val="00102863"/>
    <w:rsid w:val="00102870"/>
    <w:rsid w:val="001028B3"/>
    <w:rsid w:val="001028CC"/>
    <w:rsid w:val="0010293C"/>
    <w:rsid w:val="00102942"/>
    <w:rsid w:val="00102945"/>
    <w:rsid w:val="00102962"/>
    <w:rsid w:val="00102976"/>
    <w:rsid w:val="001029E3"/>
    <w:rsid w:val="00102A4E"/>
    <w:rsid w:val="00102AA3"/>
    <w:rsid w:val="00102ADD"/>
    <w:rsid w:val="00102B0A"/>
    <w:rsid w:val="00102B1A"/>
    <w:rsid w:val="00102B2D"/>
    <w:rsid w:val="00102BA5"/>
    <w:rsid w:val="00102BE9"/>
    <w:rsid w:val="00102C28"/>
    <w:rsid w:val="00102C36"/>
    <w:rsid w:val="00102C41"/>
    <w:rsid w:val="00102C73"/>
    <w:rsid w:val="00102CAF"/>
    <w:rsid w:val="00102D01"/>
    <w:rsid w:val="00102D5C"/>
    <w:rsid w:val="00102D73"/>
    <w:rsid w:val="00102DC0"/>
    <w:rsid w:val="00102DDE"/>
    <w:rsid w:val="00102E44"/>
    <w:rsid w:val="00102E95"/>
    <w:rsid w:val="00102EB3"/>
    <w:rsid w:val="00102EDC"/>
    <w:rsid w:val="00102EF2"/>
    <w:rsid w:val="00102F6F"/>
    <w:rsid w:val="00102F75"/>
    <w:rsid w:val="00102FA5"/>
    <w:rsid w:val="00102FAB"/>
    <w:rsid w:val="0010300C"/>
    <w:rsid w:val="00103039"/>
    <w:rsid w:val="0010309E"/>
    <w:rsid w:val="001030BC"/>
    <w:rsid w:val="00103131"/>
    <w:rsid w:val="00103170"/>
    <w:rsid w:val="00103178"/>
    <w:rsid w:val="00103179"/>
    <w:rsid w:val="0010318A"/>
    <w:rsid w:val="001031F7"/>
    <w:rsid w:val="00103269"/>
    <w:rsid w:val="0010326B"/>
    <w:rsid w:val="0010328F"/>
    <w:rsid w:val="001032BE"/>
    <w:rsid w:val="001032F3"/>
    <w:rsid w:val="001032F5"/>
    <w:rsid w:val="0010338F"/>
    <w:rsid w:val="001033CC"/>
    <w:rsid w:val="00103488"/>
    <w:rsid w:val="001034A8"/>
    <w:rsid w:val="0010350B"/>
    <w:rsid w:val="00103567"/>
    <w:rsid w:val="0010356D"/>
    <w:rsid w:val="001035C5"/>
    <w:rsid w:val="001035DF"/>
    <w:rsid w:val="0010362C"/>
    <w:rsid w:val="0010362E"/>
    <w:rsid w:val="00103654"/>
    <w:rsid w:val="001036C1"/>
    <w:rsid w:val="001036D8"/>
    <w:rsid w:val="001036E4"/>
    <w:rsid w:val="0010373A"/>
    <w:rsid w:val="00103788"/>
    <w:rsid w:val="00103878"/>
    <w:rsid w:val="00103907"/>
    <w:rsid w:val="00103989"/>
    <w:rsid w:val="0010398C"/>
    <w:rsid w:val="001039E2"/>
    <w:rsid w:val="00103A29"/>
    <w:rsid w:val="00103A2B"/>
    <w:rsid w:val="00103A82"/>
    <w:rsid w:val="00103AB4"/>
    <w:rsid w:val="00103B34"/>
    <w:rsid w:val="00103B46"/>
    <w:rsid w:val="00103BE2"/>
    <w:rsid w:val="00103BE4"/>
    <w:rsid w:val="00103C89"/>
    <w:rsid w:val="00103C9E"/>
    <w:rsid w:val="00103D06"/>
    <w:rsid w:val="00103D39"/>
    <w:rsid w:val="00103D51"/>
    <w:rsid w:val="00103D76"/>
    <w:rsid w:val="00103DA8"/>
    <w:rsid w:val="00103DB9"/>
    <w:rsid w:val="00103DD4"/>
    <w:rsid w:val="00103E01"/>
    <w:rsid w:val="00103E90"/>
    <w:rsid w:val="00103EED"/>
    <w:rsid w:val="00103F5A"/>
    <w:rsid w:val="00103F9A"/>
    <w:rsid w:val="00103FFA"/>
    <w:rsid w:val="0010402C"/>
    <w:rsid w:val="00104089"/>
    <w:rsid w:val="001040CA"/>
    <w:rsid w:val="001040E2"/>
    <w:rsid w:val="0010410F"/>
    <w:rsid w:val="0010415D"/>
    <w:rsid w:val="001041D7"/>
    <w:rsid w:val="00104255"/>
    <w:rsid w:val="00104284"/>
    <w:rsid w:val="00104336"/>
    <w:rsid w:val="00104364"/>
    <w:rsid w:val="00104384"/>
    <w:rsid w:val="001043E8"/>
    <w:rsid w:val="001043F1"/>
    <w:rsid w:val="00104411"/>
    <w:rsid w:val="0010441C"/>
    <w:rsid w:val="00104475"/>
    <w:rsid w:val="001044BF"/>
    <w:rsid w:val="001044D5"/>
    <w:rsid w:val="00104510"/>
    <w:rsid w:val="0010452E"/>
    <w:rsid w:val="001045F4"/>
    <w:rsid w:val="00104768"/>
    <w:rsid w:val="001047A3"/>
    <w:rsid w:val="001047A4"/>
    <w:rsid w:val="001048B2"/>
    <w:rsid w:val="00104902"/>
    <w:rsid w:val="0010490C"/>
    <w:rsid w:val="00104916"/>
    <w:rsid w:val="00104921"/>
    <w:rsid w:val="0010493A"/>
    <w:rsid w:val="00104979"/>
    <w:rsid w:val="0010497D"/>
    <w:rsid w:val="00104988"/>
    <w:rsid w:val="0010498F"/>
    <w:rsid w:val="00104997"/>
    <w:rsid w:val="001049BE"/>
    <w:rsid w:val="001049E9"/>
    <w:rsid w:val="00104A4E"/>
    <w:rsid w:val="00104B5C"/>
    <w:rsid w:val="00104B9B"/>
    <w:rsid w:val="00104BCC"/>
    <w:rsid w:val="00104BE4"/>
    <w:rsid w:val="00104BFC"/>
    <w:rsid w:val="00104C89"/>
    <w:rsid w:val="00104C92"/>
    <w:rsid w:val="00104CA7"/>
    <w:rsid w:val="00104D8B"/>
    <w:rsid w:val="00104DA6"/>
    <w:rsid w:val="00104DAF"/>
    <w:rsid w:val="00104DBB"/>
    <w:rsid w:val="00104E07"/>
    <w:rsid w:val="00104E1C"/>
    <w:rsid w:val="00104E39"/>
    <w:rsid w:val="00104E5A"/>
    <w:rsid w:val="00104E66"/>
    <w:rsid w:val="00104E80"/>
    <w:rsid w:val="00104ED7"/>
    <w:rsid w:val="00104F55"/>
    <w:rsid w:val="00104FAF"/>
    <w:rsid w:val="00104FC6"/>
    <w:rsid w:val="00104FC9"/>
    <w:rsid w:val="00105026"/>
    <w:rsid w:val="0010504A"/>
    <w:rsid w:val="00105070"/>
    <w:rsid w:val="0010508D"/>
    <w:rsid w:val="00105095"/>
    <w:rsid w:val="0010510E"/>
    <w:rsid w:val="00105224"/>
    <w:rsid w:val="0010522B"/>
    <w:rsid w:val="00105248"/>
    <w:rsid w:val="00105262"/>
    <w:rsid w:val="001052D6"/>
    <w:rsid w:val="00105339"/>
    <w:rsid w:val="00105340"/>
    <w:rsid w:val="00105361"/>
    <w:rsid w:val="0010547C"/>
    <w:rsid w:val="001054D3"/>
    <w:rsid w:val="00105541"/>
    <w:rsid w:val="0010555E"/>
    <w:rsid w:val="00105566"/>
    <w:rsid w:val="00105568"/>
    <w:rsid w:val="001055CF"/>
    <w:rsid w:val="00105629"/>
    <w:rsid w:val="0010562D"/>
    <w:rsid w:val="00105714"/>
    <w:rsid w:val="0010573D"/>
    <w:rsid w:val="001057A7"/>
    <w:rsid w:val="001057DD"/>
    <w:rsid w:val="001057F4"/>
    <w:rsid w:val="0010586E"/>
    <w:rsid w:val="00105884"/>
    <w:rsid w:val="001058EC"/>
    <w:rsid w:val="00105921"/>
    <w:rsid w:val="00105966"/>
    <w:rsid w:val="00105969"/>
    <w:rsid w:val="001059DC"/>
    <w:rsid w:val="00105A98"/>
    <w:rsid w:val="00105AAF"/>
    <w:rsid w:val="00105AF0"/>
    <w:rsid w:val="00105B2D"/>
    <w:rsid w:val="00105B7C"/>
    <w:rsid w:val="00105BA5"/>
    <w:rsid w:val="00105BE8"/>
    <w:rsid w:val="00105C21"/>
    <w:rsid w:val="00105C89"/>
    <w:rsid w:val="00105D68"/>
    <w:rsid w:val="00105E20"/>
    <w:rsid w:val="00105E85"/>
    <w:rsid w:val="00105E95"/>
    <w:rsid w:val="00105EC4"/>
    <w:rsid w:val="00105F3D"/>
    <w:rsid w:val="00105F43"/>
    <w:rsid w:val="00105F95"/>
    <w:rsid w:val="00105FA8"/>
    <w:rsid w:val="00105FFB"/>
    <w:rsid w:val="0010600C"/>
    <w:rsid w:val="00106013"/>
    <w:rsid w:val="00106053"/>
    <w:rsid w:val="00106067"/>
    <w:rsid w:val="00106069"/>
    <w:rsid w:val="00106093"/>
    <w:rsid w:val="0010618A"/>
    <w:rsid w:val="001061CE"/>
    <w:rsid w:val="00106214"/>
    <w:rsid w:val="00106218"/>
    <w:rsid w:val="0010621E"/>
    <w:rsid w:val="00106281"/>
    <w:rsid w:val="00106318"/>
    <w:rsid w:val="00106340"/>
    <w:rsid w:val="00106358"/>
    <w:rsid w:val="0010638A"/>
    <w:rsid w:val="001063A3"/>
    <w:rsid w:val="001063B4"/>
    <w:rsid w:val="0010643D"/>
    <w:rsid w:val="00106480"/>
    <w:rsid w:val="001064E0"/>
    <w:rsid w:val="0010653F"/>
    <w:rsid w:val="0010658F"/>
    <w:rsid w:val="00106591"/>
    <w:rsid w:val="00106594"/>
    <w:rsid w:val="00106615"/>
    <w:rsid w:val="0010661E"/>
    <w:rsid w:val="0010663B"/>
    <w:rsid w:val="00106658"/>
    <w:rsid w:val="00106679"/>
    <w:rsid w:val="00106688"/>
    <w:rsid w:val="00106706"/>
    <w:rsid w:val="00106717"/>
    <w:rsid w:val="0010671F"/>
    <w:rsid w:val="00106756"/>
    <w:rsid w:val="00106763"/>
    <w:rsid w:val="00106776"/>
    <w:rsid w:val="001067A5"/>
    <w:rsid w:val="001067C2"/>
    <w:rsid w:val="001067D5"/>
    <w:rsid w:val="001067D9"/>
    <w:rsid w:val="001067E6"/>
    <w:rsid w:val="00106833"/>
    <w:rsid w:val="0010683C"/>
    <w:rsid w:val="0010683F"/>
    <w:rsid w:val="001068DA"/>
    <w:rsid w:val="001068E2"/>
    <w:rsid w:val="001068EF"/>
    <w:rsid w:val="00106929"/>
    <w:rsid w:val="0010699F"/>
    <w:rsid w:val="00106A2C"/>
    <w:rsid w:val="00106A30"/>
    <w:rsid w:val="00106A34"/>
    <w:rsid w:val="00106A5C"/>
    <w:rsid w:val="00106A79"/>
    <w:rsid w:val="00106ACE"/>
    <w:rsid w:val="00106AFA"/>
    <w:rsid w:val="00106B22"/>
    <w:rsid w:val="00106B79"/>
    <w:rsid w:val="00106BB0"/>
    <w:rsid w:val="00106BE2"/>
    <w:rsid w:val="00106C41"/>
    <w:rsid w:val="00106C4F"/>
    <w:rsid w:val="00106C71"/>
    <w:rsid w:val="00106CAC"/>
    <w:rsid w:val="00106CC0"/>
    <w:rsid w:val="00106D02"/>
    <w:rsid w:val="00106D2F"/>
    <w:rsid w:val="00106D68"/>
    <w:rsid w:val="00106DD4"/>
    <w:rsid w:val="00106E1E"/>
    <w:rsid w:val="00106E5F"/>
    <w:rsid w:val="00106E74"/>
    <w:rsid w:val="00106E8C"/>
    <w:rsid w:val="00106F26"/>
    <w:rsid w:val="00106F48"/>
    <w:rsid w:val="00106F9C"/>
    <w:rsid w:val="00106FA1"/>
    <w:rsid w:val="00106FFC"/>
    <w:rsid w:val="00107010"/>
    <w:rsid w:val="00107061"/>
    <w:rsid w:val="00107068"/>
    <w:rsid w:val="001070C0"/>
    <w:rsid w:val="001070DE"/>
    <w:rsid w:val="0010719F"/>
    <w:rsid w:val="001072B8"/>
    <w:rsid w:val="001072C3"/>
    <w:rsid w:val="00107301"/>
    <w:rsid w:val="00107356"/>
    <w:rsid w:val="001073A3"/>
    <w:rsid w:val="001073BA"/>
    <w:rsid w:val="001073BB"/>
    <w:rsid w:val="001073E8"/>
    <w:rsid w:val="00107430"/>
    <w:rsid w:val="0010743C"/>
    <w:rsid w:val="00107449"/>
    <w:rsid w:val="00107527"/>
    <w:rsid w:val="00107581"/>
    <w:rsid w:val="00107584"/>
    <w:rsid w:val="001075EF"/>
    <w:rsid w:val="0010764B"/>
    <w:rsid w:val="00107664"/>
    <w:rsid w:val="0010768E"/>
    <w:rsid w:val="001076C0"/>
    <w:rsid w:val="001076CC"/>
    <w:rsid w:val="001076DC"/>
    <w:rsid w:val="0010772F"/>
    <w:rsid w:val="00107762"/>
    <w:rsid w:val="001077B2"/>
    <w:rsid w:val="00107836"/>
    <w:rsid w:val="0010786F"/>
    <w:rsid w:val="001078F1"/>
    <w:rsid w:val="00107940"/>
    <w:rsid w:val="0010796D"/>
    <w:rsid w:val="001079E7"/>
    <w:rsid w:val="00107AA3"/>
    <w:rsid w:val="00107B29"/>
    <w:rsid w:val="00107BA9"/>
    <w:rsid w:val="00107BC7"/>
    <w:rsid w:val="00107C41"/>
    <w:rsid w:val="00107C70"/>
    <w:rsid w:val="00107CCF"/>
    <w:rsid w:val="00107CE5"/>
    <w:rsid w:val="00107D2C"/>
    <w:rsid w:val="00107D6A"/>
    <w:rsid w:val="00107D99"/>
    <w:rsid w:val="00107DC8"/>
    <w:rsid w:val="00107DC9"/>
    <w:rsid w:val="00107DCA"/>
    <w:rsid w:val="00107DE5"/>
    <w:rsid w:val="00107E0F"/>
    <w:rsid w:val="00107E3A"/>
    <w:rsid w:val="00107E46"/>
    <w:rsid w:val="00107EC3"/>
    <w:rsid w:val="00107F25"/>
    <w:rsid w:val="00107F5F"/>
    <w:rsid w:val="00107FC6"/>
    <w:rsid w:val="00107FC8"/>
    <w:rsid w:val="0010E9FB"/>
    <w:rsid w:val="001100B7"/>
    <w:rsid w:val="001100CC"/>
    <w:rsid w:val="001100E6"/>
    <w:rsid w:val="00110109"/>
    <w:rsid w:val="00110110"/>
    <w:rsid w:val="0011012B"/>
    <w:rsid w:val="00110172"/>
    <w:rsid w:val="001101F0"/>
    <w:rsid w:val="00110225"/>
    <w:rsid w:val="0011026E"/>
    <w:rsid w:val="00110286"/>
    <w:rsid w:val="001102B8"/>
    <w:rsid w:val="001102D7"/>
    <w:rsid w:val="001102F8"/>
    <w:rsid w:val="001103D7"/>
    <w:rsid w:val="00110489"/>
    <w:rsid w:val="001104E7"/>
    <w:rsid w:val="00110535"/>
    <w:rsid w:val="00110556"/>
    <w:rsid w:val="001105F0"/>
    <w:rsid w:val="0011064C"/>
    <w:rsid w:val="0011065A"/>
    <w:rsid w:val="00110674"/>
    <w:rsid w:val="001106C0"/>
    <w:rsid w:val="001106DC"/>
    <w:rsid w:val="001106E7"/>
    <w:rsid w:val="0011073D"/>
    <w:rsid w:val="00110772"/>
    <w:rsid w:val="00110783"/>
    <w:rsid w:val="0011083F"/>
    <w:rsid w:val="00110844"/>
    <w:rsid w:val="00110860"/>
    <w:rsid w:val="0011088F"/>
    <w:rsid w:val="00110A01"/>
    <w:rsid w:val="00110A65"/>
    <w:rsid w:val="00110A6C"/>
    <w:rsid w:val="00110A89"/>
    <w:rsid w:val="00110B00"/>
    <w:rsid w:val="00110B58"/>
    <w:rsid w:val="00110B8C"/>
    <w:rsid w:val="00110BD4"/>
    <w:rsid w:val="00110C00"/>
    <w:rsid w:val="00110C0C"/>
    <w:rsid w:val="00110C23"/>
    <w:rsid w:val="00110C29"/>
    <w:rsid w:val="00110C36"/>
    <w:rsid w:val="00110C9A"/>
    <w:rsid w:val="00110CCD"/>
    <w:rsid w:val="00110D12"/>
    <w:rsid w:val="00110D15"/>
    <w:rsid w:val="00110D2A"/>
    <w:rsid w:val="00110DAF"/>
    <w:rsid w:val="00110E17"/>
    <w:rsid w:val="00110E39"/>
    <w:rsid w:val="00110E55"/>
    <w:rsid w:val="00110E72"/>
    <w:rsid w:val="00110EA6"/>
    <w:rsid w:val="00110EE8"/>
    <w:rsid w:val="00110EEA"/>
    <w:rsid w:val="00110F0F"/>
    <w:rsid w:val="00110F2A"/>
    <w:rsid w:val="00110F63"/>
    <w:rsid w:val="00110F71"/>
    <w:rsid w:val="00110F7F"/>
    <w:rsid w:val="00110F8E"/>
    <w:rsid w:val="00110FDD"/>
    <w:rsid w:val="00110FE0"/>
    <w:rsid w:val="00111019"/>
    <w:rsid w:val="0011104F"/>
    <w:rsid w:val="001110CA"/>
    <w:rsid w:val="001110EC"/>
    <w:rsid w:val="00111105"/>
    <w:rsid w:val="001111AC"/>
    <w:rsid w:val="001111D3"/>
    <w:rsid w:val="001111D9"/>
    <w:rsid w:val="0011121C"/>
    <w:rsid w:val="0011124F"/>
    <w:rsid w:val="00111288"/>
    <w:rsid w:val="001112D0"/>
    <w:rsid w:val="0011130B"/>
    <w:rsid w:val="0011131A"/>
    <w:rsid w:val="0011132B"/>
    <w:rsid w:val="001113E0"/>
    <w:rsid w:val="001114D5"/>
    <w:rsid w:val="001115CE"/>
    <w:rsid w:val="001115D0"/>
    <w:rsid w:val="001115E0"/>
    <w:rsid w:val="00111636"/>
    <w:rsid w:val="0011167C"/>
    <w:rsid w:val="001116B7"/>
    <w:rsid w:val="001116D2"/>
    <w:rsid w:val="00111807"/>
    <w:rsid w:val="00111821"/>
    <w:rsid w:val="00111827"/>
    <w:rsid w:val="00111830"/>
    <w:rsid w:val="00111852"/>
    <w:rsid w:val="0011188C"/>
    <w:rsid w:val="0011188E"/>
    <w:rsid w:val="001118A6"/>
    <w:rsid w:val="001118AD"/>
    <w:rsid w:val="0011192A"/>
    <w:rsid w:val="0011193A"/>
    <w:rsid w:val="00111972"/>
    <w:rsid w:val="00111986"/>
    <w:rsid w:val="00111995"/>
    <w:rsid w:val="001119C5"/>
    <w:rsid w:val="001119E6"/>
    <w:rsid w:val="00111A19"/>
    <w:rsid w:val="00111A24"/>
    <w:rsid w:val="00111AC8"/>
    <w:rsid w:val="00111ADF"/>
    <w:rsid w:val="00111AE7"/>
    <w:rsid w:val="00111B48"/>
    <w:rsid w:val="00111B83"/>
    <w:rsid w:val="00111BFD"/>
    <w:rsid w:val="00111C2C"/>
    <w:rsid w:val="00111C32"/>
    <w:rsid w:val="00111C5C"/>
    <w:rsid w:val="00111C7B"/>
    <w:rsid w:val="00111D1C"/>
    <w:rsid w:val="00111D77"/>
    <w:rsid w:val="00111D78"/>
    <w:rsid w:val="00111D85"/>
    <w:rsid w:val="00111D9E"/>
    <w:rsid w:val="00111DA9"/>
    <w:rsid w:val="00111DD8"/>
    <w:rsid w:val="00111E76"/>
    <w:rsid w:val="00111F64"/>
    <w:rsid w:val="00111FB3"/>
    <w:rsid w:val="00111FCA"/>
    <w:rsid w:val="00112071"/>
    <w:rsid w:val="001120CE"/>
    <w:rsid w:val="001120F2"/>
    <w:rsid w:val="00112112"/>
    <w:rsid w:val="00112149"/>
    <w:rsid w:val="001121C0"/>
    <w:rsid w:val="001121D8"/>
    <w:rsid w:val="001121E0"/>
    <w:rsid w:val="00112227"/>
    <w:rsid w:val="0011226F"/>
    <w:rsid w:val="00112274"/>
    <w:rsid w:val="00112289"/>
    <w:rsid w:val="00112295"/>
    <w:rsid w:val="001122F0"/>
    <w:rsid w:val="00112352"/>
    <w:rsid w:val="001123A2"/>
    <w:rsid w:val="001123F6"/>
    <w:rsid w:val="00112411"/>
    <w:rsid w:val="00112477"/>
    <w:rsid w:val="001124B7"/>
    <w:rsid w:val="001124F5"/>
    <w:rsid w:val="0011257E"/>
    <w:rsid w:val="001125D9"/>
    <w:rsid w:val="00112607"/>
    <w:rsid w:val="00112661"/>
    <w:rsid w:val="00112690"/>
    <w:rsid w:val="001126B7"/>
    <w:rsid w:val="001126E7"/>
    <w:rsid w:val="0011270F"/>
    <w:rsid w:val="00112785"/>
    <w:rsid w:val="001127F5"/>
    <w:rsid w:val="001127FF"/>
    <w:rsid w:val="00112801"/>
    <w:rsid w:val="00112803"/>
    <w:rsid w:val="00112868"/>
    <w:rsid w:val="001128B5"/>
    <w:rsid w:val="001128C1"/>
    <w:rsid w:val="001128E0"/>
    <w:rsid w:val="001128F5"/>
    <w:rsid w:val="00112924"/>
    <w:rsid w:val="0011296A"/>
    <w:rsid w:val="001129F6"/>
    <w:rsid w:val="00112A11"/>
    <w:rsid w:val="00112A27"/>
    <w:rsid w:val="00112A94"/>
    <w:rsid w:val="00112A95"/>
    <w:rsid w:val="00112AC1"/>
    <w:rsid w:val="00112AC3"/>
    <w:rsid w:val="00112AC7"/>
    <w:rsid w:val="00112B62"/>
    <w:rsid w:val="00112B6A"/>
    <w:rsid w:val="00112B7E"/>
    <w:rsid w:val="00112B9B"/>
    <w:rsid w:val="00112BBC"/>
    <w:rsid w:val="00112C24"/>
    <w:rsid w:val="00112C30"/>
    <w:rsid w:val="00112C55"/>
    <w:rsid w:val="00112CBD"/>
    <w:rsid w:val="00112D07"/>
    <w:rsid w:val="00112D3E"/>
    <w:rsid w:val="00112DA8"/>
    <w:rsid w:val="00112EC0"/>
    <w:rsid w:val="00112ECE"/>
    <w:rsid w:val="00112EE5"/>
    <w:rsid w:val="00112F37"/>
    <w:rsid w:val="00112F73"/>
    <w:rsid w:val="00112F8B"/>
    <w:rsid w:val="00112F9C"/>
    <w:rsid w:val="00112FCE"/>
    <w:rsid w:val="00112FEE"/>
    <w:rsid w:val="0011315D"/>
    <w:rsid w:val="00113172"/>
    <w:rsid w:val="0011317B"/>
    <w:rsid w:val="001131EB"/>
    <w:rsid w:val="00113219"/>
    <w:rsid w:val="00113230"/>
    <w:rsid w:val="00113255"/>
    <w:rsid w:val="001132A1"/>
    <w:rsid w:val="001132DF"/>
    <w:rsid w:val="0011332D"/>
    <w:rsid w:val="001133AD"/>
    <w:rsid w:val="001133FB"/>
    <w:rsid w:val="00113407"/>
    <w:rsid w:val="00113421"/>
    <w:rsid w:val="00113461"/>
    <w:rsid w:val="00113489"/>
    <w:rsid w:val="001134A4"/>
    <w:rsid w:val="001134BA"/>
    <w:rsid w:val="001134C3"/>
    <w:rsid w:val="001134C4"/>
    <w:rsid w:val="00113531"/>
    <w:rsid w:val="00113570"/>
    <w:rsid w:val="0011358A"/>
    <w:rsid w:val="001135A2"/>
    <w:rsid w:val="001135CC"/>
    <w:rsid w:val="001135CD"/>
    <w:rsid w:val="001135EC"/>
    <w:rsid w:val="001135ED"/>
    <w:rsid w:val="00113647"/>
    <w:rsid w:val="0011366E"/>
    <w:rsid w:val="001136CC"/>
    <w:rsid w:val="001136DE"/>
    <w:rsid w:val="0011370B"/>
    <w:rsid w:val="00113736"/>
    <w:rsid w:val="00113778"/>
    <w:rsid w:val="0011378E"/>
    <w:rsid w:val="00113793"/>
    <w:rsid w:val="001137F7"/>
    <w:rsid w:val="00113862"/>
    <w:rsid w:val="00113921"/>
    <w:rsid w:val="0011392D"/>
    <w:rsid w:val="0011393C"/>
    <w:rsid w:val="00113969"/>
    <w:rsid w:val="0011396F"/>
    <w:rsid w:val="00113977"/>
    <w:rsid w:val="0011398F"/>
    <w:rsid w:val="001139CF"/>
    <w:rsid w:val="001139FA"/>
    <w:rsid w:val="00113A59"/>
    <w:rsid w:val="00113A9E"/>
    <w:rsid w:val="00113AA7"/>
    <w:rsid w:val="00113AB9"/>
    <w:rsid w:val="00113AD0"/>
    <w:rsid w:val="00113B55"/>
    <w:rsid w:val="00113BCA"/>
    <w:rsid w:val="00113C22"/>
    <w:rsid w:val="00113C73"/>
    <w:rsid w:val="00113DED"/>
    <w:rsid w:val="00113E0E"/>
    <w:rsid w:val="00113E7E"/>
    <w:rsid w:val="00113F39"/>
    <w:rsid w:val="00113F6A"/>
    <w:rsid w:val="00113FBB"/>
    <w:rsid w:val="00113FC3"/>
    <w:rsid w:val="00113FFE"/>
    <w:rsid w:val="00114012"/>
    <w:rsid w:val="0011403B"/>
    <w:rsid w:val="0011403F"/>
    <w:rsid w:val="00114065"/>
    <w:rsid w:val="001140A3"/>
    <w:rsid w:val="001140F8"/>
    <w:rsid w:val="00114101"/>
    <w:rsid w:val="00114141"/>
    <w:rsid w:val="001141AF"/>
    <w:rsid w:val="001141DF"/>
    <w:rsid w:val="00114204"/>
    <w:rsid w:val="0011420B"/>
    <w:rsid w:val="001142AB"/>
    <w:rsid w:val="001142BB"/>
    <w:rsid w:val="001142BC"/>
    <w:rsid w:val="001142F7"/>
    <w:rsid w:val="0011437C"/>
    <w:rsid w:val="001143CC"/>
    <w:rsid w:val="00114441"/>
    <w:rsid w:val="0011445A"/>
    <w:rsid w:val="001144D6"/>
    <w:rsid w:val="00114505"/>
    <w:rsid w:val="0011450C"/>
    <w:rsid w:val="00114596"/>
    <w:rsid w:val="001145B3"/>
    <w:rsid w:val="001145DB"/>
    <w:rsid w:val="0011462E"/>
    <w:rsid w:val="00114643"/>
    <w:rsid w:val="00114686"/>
    <w:rsid w:val="001146C8"/>
    <w:rsid w:val="00114704"/>
    <w:rsid w:val="00114756"/>
    <w:rsid w:val="0011475B"/>
    <w:rsid w:val="001147D5"/>
    <w:rsid w:val="001147DF"/>
    <w:rsid w:val="0011480F"/>
    <w:rsid w:val="0011481C"/>
    <w:rsid w:val="00114857"/>
    <w:rsid w:val="00114873"/>
    <w:rsid w:val="001148C2"/>
    <w:rsid w:val="00114967"/>
    <w:rsid w:val="001149F2"/>
    <w:rsid w:val="00114A11"/>
    <w:rsid w:val="00114A84"/>
    <w:rsid w:val="00114B21"/>
    <w:rsid w:val="00114BC0"/>
    <w:rsid w:val="00114C43"/>
    <w:rsid w:val="00114D03"/>
    <w:rsid w:val="00114D06"/>
    <w:rsid w:val="00114D8A"/>
    <w:rsid w:val="00114DC7"/>
    <w:rsid w:val="00114DC9"/>
    <w:rsid w:val="00114DE3"/>
    <w:rsid w:val="00114DFC"/>
    <w:rsid w:val="00114E2E"/>
    <w:rsid w:val="00114EB3"/>
    <w:rsid w:val="00114FA2"/>
    <w:rsid w:val="0011502D"/>
    <w:rsid w:val="0011505E"/>
    <w:rsid w:val="00115070"/>
    <w:rsid w:val="001150AC"/>
    <w:rsid w:val="001150AE"/>
    <w:rsid w:val="001150F7"/>
    <w:rsid w:val="00115139"/>
    <w:rsid w:val="00115151"/>
    <w:rsid w:val="001151EC"/>
    <w:rsid w:val="00115216"/>
    <w:rsid w:val="00115238"/>
    <w:rsid w:val="00115250"/>
    <w:rsid w:val="001152AB"/>
    <w:rsid w:val="001152C5"/>
    <w:rsid w:val="00115352"/>
    <w:rsid w:val="0011535B"/>
    <w:rsid w:val="00115365"/>
    <w:rsid w:val="001153AC"/>
    <w:rsid w:val="0011541F"/>
    <w:rsid w:val="00115437"/>
    <w:rsid w:val="001154BA"/>
    <w:rsid w:val="001154D1"/>
    <w:rsid w:val="001154D2"/>
    <w:rsid w:val="001154F5"/>
    <w:rsid w:val="00115547"/>
    <w:rsid w:val="0011554C"/>
    <w:rsid w:val="0011557C"/>
    <w:rsid w:val="001155E4"/>
    <w:rsid w:val="001155F6"/>
    <w:rsid w:val="00115605"/>
    <w:rsid w:val="00115633"/>
    <w:rsid w:val="00115667"/>
    <w:rsid w:val="00115698"/>
    <w:rsid w:val="001156A3"/>
    <w:rsid w:val="001156BE"/>
    <w:rsid w:val="001156F2"/>
    <w:rsid w:val="00115796"/>
    <w:rsid w:val="0011579C"/>
    <w:rsid w:val="001157D0"/>
    <w:rsid w:val="00115820"/>
    <w:rsid w:val="00115821"/>
    <w:rsid w:val="0011584A"/>
    <w:rsid w:val="0011584B"/>
    <w:rsid w:val="001158A3"/>
    <w:rsid w:val="001158D6"/>
    <w:rsid w:val="001158F1"/>
    <w:rsid w:val="0011592D"/>
    <w:rsid w:val="0011597D"/>
    <w:rsid w:val="001159DB"/>
    <w:rsid w:val="00115A28"/>
    <w:rsid w:val="00115A53"/>
    <w:rsid w:val="00115A79"/>
    <w:rsid w:val="00115A7C"/>
    <w:rsid w:val="00115A9B"/>
    <w:rsid w:val="00115B50"/>
    <w:rsid w:val="00115BA8"/>
    <w:rsid w:val="00115BDD"/>
    <w:rsid w:val="00115BEF"/>
    <w:rsid w:val="00115C3F"/>
    <w:rsid w:val="00115C78"/>
    <w:rsid w:val="00115CCF"/>
    <w:rsid w:val="00115D27"/>
    <w:rsid w:val="00115D2E"/>
    <w:rsid w:val="00115D31"/>
    <w:rsid w:val="00115D96"/>
    <w:rsid w:val="00115D9C"/>
    <w:rsid w:val="00115DDF"/>
    <w:rsid w:val="00115DEF"/>
    <w:rsid w:val="00115E03"/>
    <w:rsid w:val="00115E16"/>
    <w:rsid w:val="00115F5F"/>
    <w:rsid w:val="00115FB9"/>
    <w:rsid w:val="00116008"/>
    <w:rsid w:val="0011602A"/>
    <w:rsid w:val="0011604A"/>
    <w:rsid w:val="00116052"/>
    <w:rsid w:val="00116114"/>
    <w:rsid w:val="001161F1"/>
    <w:rsid w:val="001161F2"/>
    <w:rsid w:val="00116252"/>
    <w:rsid w:val="001162B3"/>
    <w:rsid w:val="00116322"/>
    <w:rsid w:val="0011633C"/>
    <w:rsid w:val="00116402"/>
    <w:rsid w:val="00116452"/>
    <w:rsid w:val="00116470"/>
    <w:rsid w:val="00116471"/>
    <w:rsid w:val="0011648F"/>
    <w:rsid w:val="00116504"/>
    <w:rsid w:val="00116510"/>
    <w:rsid w:val="00116582"/>
    <w:rsid w:val="00116631"/>
    <w:rsid w:val="00116636"/>
    <w:rsid w:val="0011665A"/>
    <w:rsid w:val="0011668B"/>
    <w:rsid w:val="0011669C"/>
    <w:rsid w:val="001166D2"/>
    <w:rsid w:val="0011672A"/>
    <w:rsid w:val="0011676D"/>
    <w:rsid w:val="00116792"/>
    <w:rsid w:val="0011679C"/>
    <w:rsid w:val="001167F0"/>
    <w:rsid w:val="00116805"/>
    <w:rsid w:val="0011689D"/>
    <w:rsid w:val="00116916"/>
    <w:rsid w:val="0011692F"/>
    <w:rsid w:val="0011695C"/>
    <w:rsid w:val="001169A5"/>
    <w:rsid w:val="00116A94"/>
    <w:rsid w:val="00116AD1"/>
    <w:rsid w:val="00116B32"/>
    <w:rsid w:val="00116B7E"/>
    <w:rsid w:val="00116B87"/>
    <w:rsid w:val="00116BA9"/>
    <w:rsid w:val="00116BCC"/>
    <w:rsid w:val="00116C16"/>
    <w:rsid w:val="00116C6A"/>
    <w:rsid w:val="00116C78"/>
    <w:rsid w:val="00116C9F"/>
    <w:rsid w:val="00116CB5"/>
    <w:rsid w:val="00116CC8"/>
    <w:rsid w:val="00116CDF"/>
    <w:rsid w:val="00116D03"/>
    <w:rsid w:val="00116D57"/>
    <w:rsid w:val="00116D80"/>
    <w:rsid w:val="00116DE0"/>
    <w:rsid w:val="00116E12"/>
    <w:rsid w:val="00116F47"/>
    <w:rsid w:val="00116FC4"/>
    <w:rsid w:val="0011700C"/>
    <w:rsid w:val="0011700F"/>
    <w:rsid w:val="00117019"/>
    <w:rsid w:val="00117029"/>
    <w:rsid w:val="00117038"/>
    <w:rsid w:val="0011703C"/>
    <w:rsid w:val="00117054"/>
    <w:rsid w:val="00117087"/>
    <w:rsid w:val="001170E1"/>
    <w:rsid w:val="001170F9"/>
    <w:rsid w:val="001170FB"/>
    <w:rsid w:val="00117107"/>
    <w:rsid w:val="00117135"/>
    <w:rsid w:val="00117136"/>
    <w:rsid w:val="00117185"/>
    <w:rsid w:val="001171CE"/>
    <w:rsid w:val="00117246"/>
    <w:rsid w:val="0011727D"/>
    <w:rsid w:val="00117281"/>
    <w:rsid w:val="0011737F"/>
    <w:rsid w:val="001173FE"/>
    <w:rsid w:val="00117417"/>
    <w:rsid w:val="0011741A"/>
    <w:rsid w:val="001174A5"/>
    <w:rsid w:val="00117533"/>
    <w:rsid w:val="00117540"/>
    <w:rsid w:val="00117602"/>
    <w:rsid w:val="00117605"/>
    <w:rsid w:val="0011761F"/>
    <w:rsid w:val="00117652"/>
    <w:rsid w:val="00117683"/>
    <w:rsid w:val="0011769F"/>
    <w:rsid w:val="001176A4"/>
    <w:rsid w:val="001176D1"/>
    <w:rsid w:val="00117710"/>
    <w:rsid w:val="00117718"/>
    <w:rsid w:val="00117753"/>
    <w:rsid w:val="0011779D"/>
    <w:rsid w:val="001177A1"/>
    <w:rsid w:val="001177BC"/>
    <w:rsid w:val="001177CA"/>
    <w:rsid w:val="0011781E"/>
    <w:rsid w:val="0011782B"/>
    <w:rsid w:val="0011785A"/>
    <w:rsid w:val="00117865"/>
    <w:rsid w:val="00117876"/>
    <w:rsid w:val="00117897"/>
    <w:rsid w:val="001178E9"/>
    <w:rsid w:val="001178FA"/>
    <w:rsid w:val="00117904"/>
    <w:rsid w:val="00117939"/>
    <w:rsid w:val="0011796D"/>
    <w:rsid w:val="001179AB"/>
    <w:rsid w:val="001179EC"/>
    <w:rsid w:val="00117A18"/>
    <w:rsid w:val="00117A1C"/>
    <w:rsid w:val="00117A3C"/>
    <w:rsid w:val="00117A63"/>
    <w:rsid w:val="00117AA2"/>
    <w:rsid w:val="00117AAB"/>
    <w:rsid w:val="00117AD9"/>
    <w:rsid w:val="00117B54"/>
    <w:rsid w:val="00117B6C"/>
    <w:rsid w:val="00117B7D"/>
    <w:rsid w:val="00117B9D"/>
    <w:rsid w:val="00117C36"/>
    <w:rsid w:val="00117C59"/>
    <w:rsid w:val="00117C67"/>
    <w:rsid w:val="00117C7A"/>
    <w:rsid w:val="00117D06"/>
    <w:rsid w:val="00117D10"/>
    <w:rsid w:val="00117D36"/>
    <w:rsid w:val="00117D8E"/>
    <w:rsid w:val="00117D9A"/>
    <w:rsid w:val="00117DB2"/>
    <w:rsid w:val="00117DC1"/>
    <w:rsid w:val="00117DFF"/>
    <w:rsid w:val="00117E07"/>
    <w:rsid w:val="00117E3C"/>
    <w:rsid w:val="00117E96"/>
    <w:rsid w:val="00117F01"/>
    <w:rsid w:val="00117F0E"/>
    <w:rsid w:val="00117F22"/>
    <w:rsid w:val="00117FBA"/>
    <w:rsid w:val="00120024"/>
    <w:rsid w:val="00120044"/>
    <w:rsid w:val="0012004A"/>
    <w:rsid w:val="0012006D"/>
    <w:rsid w:val="001201CD"/>
    <w:rsid w:val="001201D0"/>
    <w:rsid w:val="001201D6"/>
    <w:rsid w:val="0012021A"/>
    <w:rsid w:val="00120220"/>
    <w:rsid w:val="0012025C"/>
    <w:rsid w:val="00120277"/>
    <w:rsid w:val="00120285"/>
    <w:rsid w:val="001202BE"/>
    <w:rsid w:val="001202CC"/>
    <w:rsid w:val="001202D3"/>
    <w:rsid w:val="00120300"/>
    <w:rsid w:val="0012030C"/>
    <w:rsid w:val="00120315"/>
    <w:rsid w:val="00120347"/>
    <w:rsid w:val="00120370"/>
    <w:rsid w:val="001203BC"/>
    <w:rsid w:val="001203BF"/>
    <w:rsid w:val="001203C5"/>
    <w:rsid w:val="0012059D"/>
    <w:rsid w:val="00120601"/>
    <w:rsid w:val="0012060A"/>
    <w:rsid w:val="00120685"/>
    <w:rsid w:val="001206A3"/>
    <w:rsid w:val="001206AF"/>
    <w:rsid w:val="001206B0"/>
    <w:rsid w:val="00120731"/>
    <w:rsid w:val="00120770"/>
    <w:rsid w:val="00120789"/>
    <w:rsid w:val="00120864"/>
    <w:rsid w:val="001208B2"/>
    <w:rsid w:val="00120924"/>
    <w:rsid w:val="00120A20"/>
    <w:rsid w:val="00120A8E"/>
    <w:rsid w:val="00120AE7"/>
    <w:rsid w:val="00120B9D"/>
    <w:rsid w:val="00120BB8"/>
    <w:rsid w:val="00120BC8"/>
    <w:rsid w:val="00120C28"/>
    <w:rsid w:val="00120C4F"/>
    <w:rsid w:val="00120C57"/>
    <w:rsid w:val="00120CFB"/>
    <w:rsid w:val="00120D02"/>
    <w:rsid w:val="00120D3E"/>
    <w:rsid w:val="00120DAE"/>
    <w:rsid w:val="00120E76"/>
    <w:rsid w:val="00120EBB"/>
    <w:rsid w:val="00120EE4"/>
    <w:rsid w:val="00120EE9"/>
    <w:rsid w:val="00120F09"/>
    <w:rsid w:val="00120F3A"/>
    <w:rsid w:val="00120F6A"/>
    <w:rsid w:val="00120FB7"/>
    <w:rsid w:val="00120FE1"/>
    <w:rsid w:val="00120FF0"/>
    <w:rsid w:val="00121001"/>
    <w:rsid w:val="00121027"/>
    <w:rsid w:val="0012107A"/>
    <w:rsid w:val="001210DD"/>
    <w:rsid w:val="00121113"/>
    <w:rsid w:val="0012114D"/>
    <w:rsid w:val="001211B1"/>
    <w:rsid w:val="001211B8"/>
    <w:rsid w:val="001211C0"/>
    <w:rsid w:val="001211FC"/>
    <w:rsid w:val="00121203"/>
    <w:rsid w:val="00121218"/>
    <w:rsid w:val="00121223"/>
    <w:rsid w:val="00121232"/>
    <w:rsid w:val="00121239"/>
    <w:rsid w:val="0012123B"/>
    <w:rsid w:val="00121260"/>
    <w:rsid w:val="001212AC"/>
    <w:rsid w:val="001212C4"/>
    <w:rsid w:val="001212D3"/>
    <w:rsid w:val="00121341"/>
    <w:rsid w:val="00121350"/>
    <w:rsid w:val="00121365"/>
    <w:rsid w:val="001213CD"/>
    <w:rsid w:val="001213D9"/>
    <w:rsid w:val="001213FA"/>
    <w:rsid w:val="001213FF"/>
    <w:rsid w:val="00121478"/>
    <w:rsid w:val="00121494"/>
    <w:rsid w:val="001214A3"/>
    <w:rsid w:val="001214D3"/>
    <w:rsid w:val="001215B0"/>
    <w:rsid w:val="001215D4"/>
    <w:rsid w:val="00121609"/>
    <w:rsid w:val="00121625"/>
    <w:rsid w:val="00121760"/>
    <w:rsid w:val="00121795"/>
    <w:rsid w:val="001217A4"/>
    <w:rsid w:val="001217E6"/>
    <w:rsid w:val="00121879"/>
    <w:rsid w:val="001218AC"/>
    <w:rsid w:val="001218CA"/>
    <w:rsid w:val="00121906"/>
    <w:rsid w:val="0012194E"/>
    <w:rsid w:val="0012197D"/>
    <w:rsid w:val="00121996"/>
    <w:rsid w:val="001219C0"/>
    <w:rsid w:val="00121A20"/>
    <w:rsid w:val="00121A53"/>
    <w:rsid w:val="00121A54"/>
    <w:rsid w:val="00121AB4"/>
    <w:rsid w:val="00121ACA"/>
    <w:rsid w:val="00121AD2"/>
    <w:rsid w:val="00121B15"/>
    <w:rsid w:val="00121BA5"/>
    <w:rsid w:val="00121BD0"/>
    <w:rsid w:val="00121C4F"/>
    <w:rsid w:val="00121CC1"/>
    <w:rsid w:val="00121CE9"/>
    <w:rsid w:val="00121D3C"/>
    <w:rsid w:val="00121D41"/>
    <w:rsid w:val="00121D5E"/>
    <w:rsid w:val="00121D9E"/>
    <w:rsid w:val="00121DC7"/>
    <w:rsid w:val="00121DD3"/>
    <w:rsid w:val="00121E85"/>
    <w:rsid w:val="00121EA1"/>
    <w:rsid w:val="00121ED2"/>
    <w:rsid w:val="00121F10"/>
    <w:rsid w:val="00121F19"/>
    <w:rsid w:val="00121F1B"/>
    <w:rsid w:val="00121F58"/>
    <w:rsid w:val="00122019"/>
    <w:rsid w:val="00122033"/>
    <w:rsid w:val="00122088"/>
    <w:rsid w:val="00122094"/>
    <w:rsid w:val="00122244"/>
    <w:rsid w:val="00122246"/>
    <w:rsid w:val="0012224E"/>
    <w:rsid w:val="001222A1"/>
    <w:rsid w:val="00122378"/>
    <w:rsid w:val="00122390"/>
    <w:rsid w:val="00122395"/>
    <w:rsid w:val="001223AC"/>
    <w:rsid w:val="00122413"/>
    <w:rsid w:val="00122447"/>
    <w:rsid w:val="00122460"/>
    <w:rsid w:val="001225F6"/>
    <w:rsid w:val="0012261A"/>
    <w:rsid w:val="00122660"/>
    <w:rsid w:val="00122675"/>
    <w:rsid w:val="001226B9"/>
    <w:rsid w:val="001226C0"/>
    <w:rsid w:val="001226C5"/>
    <w:rsid w:val="001226CD"/>
    <w:rsid w:val="001226DE"/>
    <w:rsid w:val="0012274D"/>
    <w:rsid w:val="00122754"/>
    <w:rsid w:val="00122771"/>
    <w:rsid w:val="00122817"/>
    <w:rsid w:val="0012283F"/>
    <w:rsid w:val="00122862"/>
    <w:rsid w:val="00122874"/>
    <w:rsid w:val="001228CB"/>
    <w:rsid w:val="001228DC"/>
    <w:rsid w:val="00122940"/>
    <w:rsid w:val="00122945"/>
    <w:rsid w:val="0012298A"/>
    <w:rsid w:val="001229C7"/>
    <w:rsid w:val="001229DD"/>
    <w:rsid w:val="001229E6"/>
    <w:rsid w:val="001229FB"/>
    <w:rsid w:val="00122A6A"/>
    <w:rsid w:val="00122A7C"/>
    <w:rsid w:val="00122B1B"/>
    <w:rsid w:val="00122B92"/>
    <w:rsid w:val="00122B94"/>
    <w:rsid w:val="00122BAD"/>
    <w:rsid w:val="00122BE6"/>
    <w:rsid w:val="00122C0D"/>
    <w:rsid w:val="00122C2F"/>
    <w:rsid w:val="00122C4B"/>
    <w:rsid w:val="00122C58"/>
    <w:rsid w:val="00122C87"/>
    <w:rsid w:val="00122CC6"/>
    <w:rsid w:val="00122CD7"/>
    <w:rsid w:val="00122CD9"/>
    <w:rsid w:val="00122D3C"/>
    <w:rsid w:val="00122D41"/>
    <w:rsid w:val="00122D5D"/>
    <w:rsid w:val="00122DAD"/>
    <w:rsid w:val="00122DB6"/>
    <w:rsid w:val="00122DED"/>
    <w:rsid w:val="00122E2B"/>
    <w:rsid w:val="00122E4F"/>
    <w:rsid w:val="00122E91"/>
    <w:rsid w:val="00122E9B"/>
    <w:rsid w:val="00122EE0"/>
    <w:rsid w:val="00122F2C"/>
    <w:rsid w:val="00122FEF"/>
    <w:rsid w:val="00123026"/>
    <w:rsid w:val="0012303D"/>
    <w:rsid w:val="00123069"/>
    <w:rsid w:val="00123077"/>
    <w:rsid w:val="0012308C"/>
    <w:rsid w:val="001230B1"/>
    <w:rsid w:val="0012317E"/>
    <w:rsid w:val="0012319B"/>
    <w:rsid w:val="00123222"/>
    <w:rsid w:val="00123259"/>
    <w:rsid w:val="0012328A"/>
    <w:rsid w:val="00123291"/>
    <w:rsid w:val="001232B1"/>
    <w:rsid w:val="001232EA"/>
    <w:rsid w:val="00123308"/>
    <w:rsid w:val="00123313"/>
    <w:rsid w:val="0012335C"/>
    <w:rsid w:val="00123370"/>
    <w:rsid w:val="001233E0"/>
    <w:rsid w:val="001234B8"/>
    <w:rsid w:val="001234B9"/>
    <w:rsid w:val="00123505"/>
    <w:rsid w:val="0012350D"/>
    <w:rsid w:val="00123523"/>
    <w:rsid w:val="001235EA"/>
    <w:rsid w:val="00123675"/>
    <w:rsid w:val="001236B8"/>
    <w:rsid w:val="00123703"/>
    <w:rsid w:val="00123714"/>
    <w:rsid w:val="00123776"/>
    <w:rsid w:val="00123799"/>
    <w:rsid w:val="001237F6"/>
    <w:rsid w:val="0012381B"/>
    <w:rsid w:val="0012384D"/>
    <w:rsid w:val="0012393F"/>
    <w:rsid w:val="0012395F"/>
    <w:rsid w:val="0012398D"/>
    <w:rsid w:val="001239E6"/>
    <w:rsid w:val="00123A45"/>
    <w:rsid w:val="00123A50"/>
    <w:rsid w:val="00123A8B"/>
    <w:rsid w:val="00123A9B"/>
    <w:rsid w:val="00123B01"/>
    <w:rsid w:val="00123B2A"/>
    <w:rsid w:val="00123B2C"/>
    <w:rsid w:val="00123B75"/>
    <w:rsid w:val="00123B98"/>
    <w:rsid w:val="00123BDC"/>
    <w:rsid w:val="00123BE9"/>
    <w:rsid w:val="00123C27"/>
    <w:rsid w:val="00123C51"/>
    <w:rsid w:val="00123C81"/>
    <w:rsid w:val="00123CBC"/>
    <w:rsid w:val="00123CBF"/>
    <w:rsid w:val="00123CE2"/>
    <w:rsid w:val="00123CFD"/>
    <w:rsid w:val="00123D0A"/>
    <w:rsid w:val="00123D37"/>
    <w:rsid w:val="00123D5F"/>
    <w:rsid w:val="00123D71"/>
    <w:rsid w:val="00123D7D"/>
    <w:rsid w:val="00123D8F"/>
    <w:rsid w:val="00123D90"/>
    <w:rsid w:val="00123D94"/>
    <w:rsid w:val="00123D9E"/>
    <w:rsid w:val="00123DBF"/>
    <w:rsid w:val="00123E21"/>
    <w:rsid w:val="00123E29"/>
    <w:rsid w:val="00123EB5"/>
    <w:rsid w:val="00123F0A"/>
    <w:rsid w:val="00123F36"/>
    <w:rsid w:val="00123F57"/>
    <w:rsid w:val="00123FAF"/>
    <w:rsid w:val="00123FC6"/>
    <w:rsid w:val="00123FCF"/>
    <w:rsid w:val="00123FD5"/>
    <w:rsid w:val="00124018"/>
    <w:rsid w:val="0012409A"/>
    <w:rsid w:val="001240B9"/>
    <w:rsid w:val="0012413E"/>
    <w:rsid w:val="0012414C"/>
    <w:rsid w:val="00124179"/>
    <w:rsid w:val="0012417A"/>
    <w:rsid w:val="00124182"/>
    <w:rsid w:val="00124195"/>
    <w:rsid w:val="001241A6"/>
    <w:rsid w:val="001241AB"/>
    <w:rsid w:val="001241EE"/>
    <w:rsid w:val="00124202"/>
    <w:rsid w:val="0012424F"/>
    <w:rsid w:val="00124263"/>
    <w:rsid w:val="00124265"/>
    <w:rsid w:val="0012427E"/>
    <w:rsid w:val="001242B5"/>
    <w:rsid w:val="001242D0"/>
    <w:rsid w:val="001242D8"/>
    <w:rsid w:val="0012434B"/>
    <w:rsid w:val="00124371"/>
    <w:rsid w:val="001243B8"/>
    <w:rsid w:val="001243CF"/>
    <w:rsid w:val="001243D9"/>
    <w:rsid w:val="001243FF"/>
    <w:rsid w:val="00124451"/>
    <w:rsid w:val="00124476"/>
    <w:rsid w:val="00124478"/>
    <w:rsid w:val="001244B3"/>
    <w:rsid w:val="001245C4"/>
    <w:rsid w:val="001245ED"/>
    <w:rsid w:val="0012464F"/>
    <w:rsid w:val="0012466D"/>
    <w:rsid w:val="0012467D"/>
    <w:rsid w:val="001246C8"/>
    <w:rsid w:val="001246E3"/>
    <w:rsid w:val="0012477A"/>
    <w:rsid w:val="001247AC"/>
    <w:rsid w:val="001247B2"/>
    <w:rsid w:val="001247B7"/>
    <w:rsid w:val="001247FB"/>
    <w:rsid w:val="0012481F"/>
    <w:rsid w:val="0012485D"/>
    <w:rsid w:val="0012488C"/>
    <w:rsid w:val="001248E8"/>
    <w:rsid w:val="00124954"/>
    <w:rsid w:val="00124979"/>
    <w:rsid w:val="001249B2"/>
    <w:rsid w:val="001249B5"/>
    <w:rsid w:val="00124A69"/>
    <w:rsid w:val="00124A6D"/>
    <w:rsid w:val="00124A71"/>
    <w:rsid w:val="00124A7E"/>
    <w:rsid w:val="00124A9F"/>
    <w:rsid w:val="00124AFB"/>
    <w:rsid w:val="00124B02"/>
    <w:rsid w:val="00124B0B"/>
    <w:rsid w:val="00124B0C"/>
    <w:rsid w:val="00124C4A"/>
    <w:rsid w:val="00124CBE"/>
    <w:rsid w:val="00124CED"/>
    <w:rsid w:val="00124CFC"/>
    <w:rsid w:val="00124D5B"/>
    <w:rsid w:val="00124D83"/>
    <w:rsid w:val="00124D8B"/>
    <w:rsid w:val="00124DA3"/>
    <w:rsid w:val="00124DA6"/>
    <w:rsid w:val="00124DBF"/>
    <w:rsid w:val="00124DC7"/>
    <w:rsid w:val="00124DE8"/>
    <w:rsid w:val="00124E05"/>
    <w:rsid w:val="00124E21"/>
    <w:rsid w:val="00124E25"/>
    <w:rsid w:val="00124E4E"/>
    <w:rsid w:val="00124E6A"/>
    <w:rsid w:val="00124E93"/>
    <w:rsid w:val="00124F33"/>
    <w:rsid w:val="00124F3B"/>
    <w:rsid w:val="00124F7F"/>
    <w:rsid w:val="00124F90"/>
    <w:rsid w:val="00124FA1"/>
    <w:rsid w:val="00124FB2"/>
    <w:rsid w:val="00125027"/>
    <w:rsid w:val="0012502E"/>
    <w:rsid w:val="0012506E"/>
    <w:rsid w:val="001250D0"/>
    <w:rsid w:val="0012513B"/>
    <w:rsid w:val="00125160"/>
    <w:rsid w:val="0012516D"/>
    <w:rsid w:val="001251BE"/>
    <w:rsid w:val="00125213"/>
    <w:rsid w:val="00125267"/>
    <w:rsid w:val="001252BE"/>
    <w:rsid w:val="00125322"/>
    <w:rsid w:val="00125346"/>
    <w:rsid w:val="001253D1"/>
    <w:rsid w:val="001253F1"/>
    <w:rsid w:val="00125444"/>
    <w:rsid w:val="0012545D"/>
    <w:rsid w:val="0012548A"/>
    <w:rsid w:val="001254E4"/>
    <w:rsid w:val="00125550"/>
    <w:rsid w:val="00125563"/>
    <w:rsid w:val="00125582"/>
    <w:rsid w:val="001255A5"/>
    <w:rsid w:val="001255C5"/>
    <w:rsid w:val="00125612"/>
    <w:rsid w:val="0012563D"/>
    <w:rsid w:val="00125667"/>
    <w:rsid w:val="00125683"/>
    <w:rsid w:val="00125685"/>
    <w:rsid w:val="0012569C"/>
    <w:rsid w:val="0012574A"/>
    <w:rsid w:val="0012579C"/>
    <w:rsid w:val="001257D4"/>
    <w:rsid w:val="00125833"/>
    <w:rsid w:val="001258B3"/>
    <w:rsid w:val="001258BE"/>
    <w:rsid w:val="00125922"/>
    <w:rsid w:val="00125925"/>
    <w:rsid w:val="0012593D"/>
    <w:rsid w:val="001259D1"/>
    <w:rsid w:val="001259F2"/>
    <w:rsid w:val="00125A15"/>
    <w:rsid w:val="00125AAA"/>
    <w:rsid w:val="00125ACB"/>
    <w:rsid w:val="00125AEC"/>
    <w:rsid w:val="00125B3D"/>
    <w:rsid w:val="00125B42"/>
    <w:rsid w:val="00125B79"/>
    <w:rsid w:val="00125B94"/>
    <w:rsid w:val="00125B9B"/>
    <w:rsid w:val="00125BA4"/>
    <w:rsid w:val="00125C06"/>
    <w:rsid w:val="00125C37"/>
    <w:rsid w:val="00125C51"/>
    <w:rsid w:val="00125C74"/>
    <w:rsid w:val="00125CD9"/>
    <w:rsid w:val="00125D21"/>
    <w:rsid w:val="00125D26"/>
    <w:rsid w:val="00125D2E"/>
    <w:rsid w:val="00125D68"/>
    <w:rsid w:val="00125D88"/>
    <w:rsid w:val="00125E0E"/>
    <w:rsid w:val="00125E70"/>
    <w:rsid w:val="00125F32"/>
    <w:rsid w:val="00125FC6"/>
    <w:rsid w:val="00125FF6"/>
    <w:rsid w:val="00125FFF"/>
    <w:rsid w:val="00126059"/>
    <w:rsid w:val="001260D5"/>
    <w:rsid w:val="00126124"/>
    <w:rsid w:val="0012619B"/>
    <w:rsid w:val="001261A9"/>
    <w:rsid w:val="001261AD"/>
    <w:rsid w:val="001261E2"/>
    <w:rsid w:val="001261E4"/>
    <w:rsid w:val="001261FC"/>
    <w:rsid w:val="00126206"/>
    <w:rsid w:val="00126209"/>
    <w:rsid w:val="0012627A"/>
    <w:rsid w:val="00126283"/>
    <w:rsid w:val="00126298"/>
    <w:rsid w:val="001262E0"/>
    <w:rsid w:val="001262F1"/>
    <w:rsid w:val="00126334"/>
    <w:rsid w:val="00126381"/>
    <w:rsid w:val="001263DF"/>
    <w:rsid w:val="00126497"/>
    <w:rsid w:val="00126498"/>
    <w:rsid w:val="001264A8"/>
    <w:rsid w:val="001264B9"/>
    <w:rsid w:val="001264E7"/>
    <w:rsid w:val="001264EA"/>
    <w:rsid w:val="001264FD"/>
    <w:rsid w:val="00126530"/>
    <w:rsid w:val="001265C7"/>
    <w:rsid w:val="00126613"/>
    <w:rsid w:val="00126666"/>
    <w:rsid w:val="001266AF"/>
    <w:rsid w:val="001266C5"/>
    <w:rsid w:val="0012671C"/>
    <w:rsid w:val="00126734"/>
    <w:rsid w:val="0012679D"/>
    <w:rsid w:val="001267EC"/>
    <w:rsid w:val="001267F6"/>
    <w:rsid w:val="0012680B"/>
    <w:rsid w:val="00126836"/>
    <w:rsid w:val="00126859"/>
    <w:rsid w:val="001268D5"/>
    <w:rsid w:val="001268F4"/>
    <w:rsid w:val="00126934"/>
    <w:rsid w:val="0012693D"/>
    <w:rsid w:val="0012694A"/>
    <w:rsid w:val="0012694B"/>
    <w:rsid w:val="001269AC"/>
    <w:rsid w:val="00126A2D"/>
    <w:rsid w:val="00126A3E"/>
    <w:rsid w:val="00126AB2"/>
    <w:rsid w:val="00126B19"/>
    <w:rsid w:val="00126B20"/>
    <w:rsid w:val="00126B84"/>
    <w:rsid w:val="00126B95"/>
    <w:rsid w:val="00126BB0"/>
    <w:rsid w:val="00126C17"/>
    <w:rsid w:val="00126C2D"/>
    <w:rsid w:val="00126C56"/>
    <w:rsid w:val="00126CCD"/>
    <w:rsid w:val="00126CFE"/>
    <w:rsid w:val="00126D0C"/>
    <w:rsid w:val="00126D0D"/>
    <w:rsid w:val="00126D17"/>
    <w:rsid w:val="00126D3C"/>
    <w:rsid w:val="00126D9F"/>
    <w:rsid w:val="00126DAA"/>
    <w:rsid w:val="00126DE4"/>
    <w:rsid w:val="00126E00"/>
    <w:rsid w:val="00126E48"/>
    <w:rsid w:val="00126E51"/>
    <w:rsid w:val="00126E5F"/>
    <w:rsid w:val="00126E77"/>
    <w:rsid w:val="00126F21"/>
    <w:rsid w:val="00126F25"/>
    <w:rsid w:val="00126F4D"/>
    <w:rsid w:val="00126F89"/>
    <w:rsid w:val="00126FA2"/>
    <w:rsid w:val="00126FED"/>
    <w:rsid w:val="00127077"/>
    <w:rsid w:val="001270A6"/>
    <w:rsid w:val="001270E0"/>
    <w:rsid w:val="001270E6"/>
    <w:rsid w:val="0012710D"/>
    <w:rsid w:val="00127131"/>
    <w:rsid w:val="0012713C"/>
    <w:rsid w:val="00127177"/>
    <w:rsid w:val="001271C5"/>
    <w:rsid w:val="00127213"/>
    <w:rsid w:val="00127235"/>
    <w:rsid w:val="00127239"/>
    <w:rsid w:val="001272A8"/>
    <w:rsid w:val="001272D3"/>
    <w:rsid w:val="00127310"/>
    <w:rsid w:val="00127312"/>
    <w:rsid w:val="0012734C"/>
    <w:rsid w:val="001273A9"/>
    <w:rsid w:val="001273C9"/>
    <w:rsid w:val="001273FD"/>
    <w:rsid w:val="00127414"/>
    <w:rsid w:val="0012742F"/>
    <w:rsid w:val="0012743A"/>
    <w:rsid w:val="00127484"/>
    <w:rsid w:val="0012748A"/>
    <w:rsid w:val="00127519"/>
    <w:rsid w:val="001275B2"/>
    <w:rsid w:val="001275EB"/>
    <w:rsid w:val="001275F1"/>
    <w:rsid w:val="00127617"/>
    <w:rsid w:val="00127671"/>
    <w:rsid w:val="001276B8"/>
    <w:rsid w:val="001276CE"/>
    <w:rsid w:val="001276FD"/>
    <w:rsid w:val="00127722"/>
    <w:rsid w:val="0012772F"/>
    <w:rsid w:val="00127736"/>
    <w:rsid w:val="00127757"/>
    <w:rsid w:val="001277F7"/>
    <w:rsid w:val="0012787A"/>
    <w:rsid w:val="00127954"/>
    <w:rsid w:val="001279AC"/>
    <w:rsid w:val="001279AE"/>
    <w:rsid w:val="00127A27"/>
    <w:rsid w:val="00127A7E"/>
    <w:rsid w:val="00127A8D"/>
    <w:rsid w:val="00127A8F"/>
    <w:rsid w:val="00127AAE"/>
    <w:rsid w:val="00127AB4"/>
    <w:rsid w:val="00127ABC"/>
    <w:rsid w:val="00127B10"/>
    <w:rsid w:val="00127B22"/>
    <w:rsid w:val="00127B63"/>
    <w:rsid w:val="00127BF2"/>
    <w:rsid w:val="00127C02"/>
    <w:rsid w:val="00127C1B"/>
    <w:rsid w:val="00127C6C"/>
    <w:rsid w:val="00127C72"/>
    <w:rsid w:val="00127CEF"/>
    <w:rsid w:val="00127CF0"/>
    <w:rsid w:val="00127D32"/>
    <w:rsid w:val="00127D87"/>
    <w:rsid w:val="00127E48"/>
    <w:rsid w:val="00127E87"/>
    <w:rsid w:val="00127EB1"/>
    <w:rsid w:val="00127EE6"/>
    <w:rsid w:val="00127F43"/>
    <w:rsid w:val="00127F48"/>
    <w:rsid w:val="00127F5A"/>
    <w:rsid w:val="00127F6D"/>
    <w:rsid w:val="00130097"/>
    <w:rsid w:val="001300DE"/>
    <w:rsid w:val="001300FF"/>
    <w:rsid w:val="00130145"/>
    <w:rsid w:val="00130155"/>
    <w:rsid w:val="0013018D"/>
    <w:rsid w:val="001301A1"/>
    <w:rsid w:val="001301FD"/>
    <w:rsid w:val="0013020E"/>
    <w:rsid w:val="00130227"/>
    <w:rsid w:val="0013025A"/>
    <w:rsid w:val="00130276"/>
    <w:rsid w:val="001302D8"/>
    <w:rsid w:val="001302E1"/>
    <w:rsid w:val="0013032A"/>
    <w:rsid w:val="0013034E"/>
    <w:rsid w:val="0013038F"/>
    <w:rsid w:val="001303D1"/>
    <w:rsid w:val="001303FD"/>
    <w:rsid w:val="00130423"/>
    <w:rsid w:val="00130467"/>
    <w:rsid w:val="0013049E"/>
    <w:rsid w:val="001304CE"/>
    <w:rsid w:val="0013052F"/>
    <w:rsid w:val="00130530"/>
    <w:rsid w:val="00130581"/>
    <w:rsid w:val="00130645"/>
    <w:rsid w:val="0013069B"/>
    <w:rsid w:val="001307D2"/>
    <w:rsid w:val="0013084C"/>
    <w:rsid w:val="00130864"/>
    <w:rsid w:val="00130876"/>
    <w:rsid w:val="0013087A"/>
    <w:rsid w:val="0013091F"/>
    <w:rsid w:val="0013092A"/>
    <w:rsid w:val="0013099C"/>
    <w:rsid w:val="001309B3"/>
    <w:rsid w:val="001309B8"/>
    <w:rsid w:val="001309C1"/>
    <w:rsid w:val="001309EB"/>
    <w:rsid w:val="00130A36"/>
    <w:rsid w:val="00130A6A"/>
    <w:rsid w:val="00130ADF"/>
    <w:rsid w:val="00130B0D"/>
    <w:rsid w:val="00130B24"/>
    <w:rsid w:val="00130B39"/>
    <w:rsid w:val="00130B63"/>
    <w:rsid w:val="00130B89"/>
    <w:rsid w:val="00130C56"/>
    <w:rsid w:val="00130C75"/>
    <w:rsid w:val="00130D11"/>
    <w:rsid w:val="00130D19"/>
    <w:rsid w:val="00130D4E"/>
    <w:rsid w:val="00130D61"/>
    <w:rsid w:val="00130D66"/>
    <w:rsid w:val="00130E12"/>
    <w:rsid w:val="00130EA6"/>
    <w:rsid w:val="00130EC0"/>
    <w:rsid w:val="00130ED1"/>
    <w:rsid w:val="00130EE5"/>
    <w:rsid w:val="00130F53"/>
    <w:rsid w:val="00130F8B"/>
    <w:rsid w:val="00130F8E"/>
    <w:rsid w:val="00130FC6"/>
    <w:rsid w:val="00130FDC"/>
    <w:rsid w:val="00131045"/>
    <w:rsid w:val="00131082"/>
    <w:rsid w:val="001310AE"/>
    <w:rsid w:val="001310AF"/>
    <w:rsid w:val="001310CE"/>
    <w:rsid w:val="00131100"/>
    <w:rsid w:val="00131172"/>
    <w:rsid w:val="00131184"/>
    <w:rsid w:val="001311A7"/>
    <w:rsid w:val="001311DB"/>
    <w:rsid w:val="00131232"/>
    <w:rsid w:val="00131275"/>
    <w:rsid w:val="0013127A"/>
    <w:rsid w:val="00131296"/>
    <w:rsid w:val="001312D3"/>
    <w:rsid w:val="0013138C"/>
    <w:rsid w:val="0013139D"/>
    <w:rsid w:val="001313BD"/>
    <w:rsid w:val="0013144E"/>
    <w:rsid w:val="001314C1"/>
    <w:rsid w:val="00131504"/>
    <w:rsid w:val="0013157B"/>
    <w:rsid w:val="001315D0"/>
    <w:rsid w:val="00131636"/>
    <w:rsid w:val="00131670"/>
    <w:rsid w:val="00131672"/>
    <w:rsid w:val="00131673"/>
    <w:rsid w:val="0013169A"/>
    <w:rsid w:val="001316E9"/>
    <w:rsid w:val="00131706"/>
    <w:rsid w:val="0013172C"/>
    <w:rsid w:val="00131797"/>
    <w:rsid w:val="0013179E"/>
    <w:rsid w:val="001317A9"/>
    <w:rsid w:val="001317C6"/>
    <w:rsid w:val="001317DA"/>
    <w:rsid w:val="001317F5"/>
    <w:rsid w:val="00131806"/>
    <w:rsid w:val="00131842"/>
    <w:rsid w:val="0013189E"/>
    <w:rsid w:val="001318A2"/>
    <w:rsid w:val="001318B3"/>
    <w:rsid w:val="001318C2"/>
    <w:rsid w:val="0013192F"/>
    <w:rsid w:val="0013193F"/>
    <w:rsid w:val="0013194C"/>
    <w:rsid w:val="00131994"/>
    <w:rsid w:val="001319AE"/>
    <w:rsid w:val="001319B3"/>
    <w:rsid w:val="001319F1"/>
    <w:rsid w:val="00131A0B"/>
    <w:rsid w:val="00131A0C"/>
    <w:rsid w:val="00131A9D"/>
    <w:rsid w:val="00131AB0"/>
    <w:rsid w:val="00131B0B"/>
    <w:rsid w:val="00131B38"/>
    <w:rsid w:val="00131B51"/>
    <w:rsid w:val="00131B80"/>
    <w:rsid w:val="00131B90"/>
    <w:rsid w:val="00131BE2"/>
    <w:rsid w:val="00131C06"/>
    <w:rsid w:val="00131C2E"/>
    <w:rsid w:val="00131C80"/>
    <w:rsid w:val="00131CCF"/>
    <w:rsid w:val="00131D35"/>
    <w:rsid w:val="00131D69"/>
    <w:rsid w:val="00131DB2"/>
    <w:rsid w:val="00131DDC"/>
    <w:rsid w:val="00131E2D"/>
    <w:rsid w:val="00131F80"/>
    <w:rsid w:val="00131F9F"/>
    <w:rsid w:val="00131FC8"/>
    <w:rsid w:val="00132005"/>
    <w:rsid w:val="001320AE"/>
    <w:rsid w:val="0013212F"/>
    <w:rsid w:val="00132139"/>
    <w:rsid w:val="00132145"/>
    <w:rsid w:val="00132196"/>
    <w:rsid w:val="0013219C"/>
    <w:rsid w:val="001321AE"/>
    <w:rsid w:val="001321D3"/>
    <w:rsid w:val="00132290"/>
    <w:rsid w:val="001322BE"/>
    <w:rsid w:val="001322FE"/>
    <w:rsid w:val="001322FF"/>
    <w:rsid w:val="0013232C"/>
    <w:rsid w:val="00132345"/>
    <w:rsid w:val="001323B7"/>
    <w:rsid w:val="001323BB"/>
    <w:rsid w:val="001323C8"/>
    <w:rsid w:val="00132403"/>
    <w:rsid w:val="0013249A"/>
    <w:rsid w:val="001324BE"/>
    <w:rsid w:val="001324F3"/>
    <w:rsid w:val="0013259E"/>
    <w:rsid w:val="001325D1"/>
    <w:rsid w:val="00132678"/>
    <w:rsid w:val="00132709"/>
    <w:rsid w:val="00132768"/>
    <w:rsid w:val="001327B2"/>
    <w:rsid w:val="0013280A"/>
    <w:rsid w:val="00132873"/>
    <w:rsid w:val="00132894"/>
    <w:rsid w:val="001328A3"/>
    <w:rsid w:val="001328A4"/>
    <w:rsid w:val="0013290F"/>
    <w:rsid w:val="00132962"/>
    <w:rsid w:val="00132970"/>
    <w:rsid w:val="001329F3"/>
    <w:rsid w:val="00132A5B"/>
    <w:rsid w:val="00132A72"/>
    <w:rsid w:val="00132ACD"/>
    <w:rsid w:val="00132AFA"/>
    <w:rsid w:val="00132B10"/>
    <w:rsid w:val="00132B1C"/>
    <w:rsid w:val="00132BA7"/>
    <w:rsid w:val="00132BB7"/>
    <w:rsid w:val="00132BF7"/>
    <w:rsid w:val="00132BFE"/>
    <w:rsid w:val="00132C16"/>
    <w:rsid w:val="00132C23"/>
    <w:rsid w:val="00132C2F"/>
    <w:rsid w:val="00132C66"/>
    <w:rsid w:val="00132CBE"/>
    <w:rsid w:val="00132CBF"/>
    <w:rsid w:val="00132CF9"/>
    <w:rsid w:val="00132CFE"/>
    <w:rsid w:val="00132D1E"/>
    <w:rsid w:val="00132DC5"/>
    <w:rsid w:val="00132DD6"/>
    <w:rsid w:val="00132E83"/>
    <w:rsid w:val="00132EC2"/>
    <w:rsid w:val="00132F5B"/>
    <w:rsid w:val="00132FD8"/>
    <w:rsid w:val="00133057"/>
    <w:rsid w:val="0013305F"/>
    <w:rsid w:val="00133092"/>
    <w:rsid w:val="001330C9"/>
    <w:rsid w:val="00133126"/>
    <w:rsid w:val="00133193"/>
    <w:rsid w:val="00133194"/>
    <w:rsid w:val="001331C3"/>
    <w:rsid w:val="001331CF"/>
    <w:rsid w:val="0013320B"/>
    <w:rsid w:val="001332C2"/>
    <w:rsid w:val="001332CE"/>
    <w:rsid w:val="0013344A"/>
    <w:rsid w:val="00133485"/>
    <w:rsid w:val="0013348F"/>
    <w:rsid w:val="001334D3"/>
    <w:rsid w:val="00133548"/>
    <w:rsid w:val="0013355F"/>
    <w:rsid w:val="00133568"/>
    <w:rsid w:val="001335ED"/>
    <w:rsid w:val="0013364B"/>
    <w:rsid w:val="0013365D"/>
    <w:rsid w:val="00133749"/>
    <w:rsid w:val="00133760"/>
    <w:rsid w:val="00133772"/>
    <w:rsid w:val="00133799"/>
    <w:rsid w:val="00133813"/>
    <w:rsid w:val="001338E7"/>
    <w:rsid w:val="00133956"/>
    <w:rsid w:val="0013396E"/>
    <w:rsid w:val="0013397F"/>
    <w:rsid w:val="001339EF"/>
    <w:rsid w:val="00133BC0"/>
    <w:rsid w:val="00133BD6"/>
    <w:rsid w:val="00133BE4"/>
    <w:rsid w:val="00133C16"/>
    <w:rsid w:val="00133C9A"/>
    <w:rsid w:val="00133CCE"/>
    <w:rsid w:val="00133CE1"/>
    <w:rsid w:val="00133D4B"/>
    <w:rsid w:val="00133D7C"/>
    <w:rsid w:val="00133D8B"/>
    <w:rsid w:val="00133DB2"/>
    <w:rsid w:val="00133DC7"/>
    <w:rsid w:val="00133E39"/>
    <w:rsid w:val="00133E5A"/>
    <w:rsid w:val="00133E78"/>
    <w:rsid w:val="00133E95"/>
    <w:rsid w:val="00133EB7"/>
    <w:rsid w:val="00133EBD"/>
    <w:rsid w:val="00133ED0"/>
    <w:rsid w:val="00133EEF"/>
    <w:rsid w:val="00133FD2"/>
    <w:rsid w:val="00133FE4"/>
    <w:rsid w:val="00133FF3"/>
    <w:rsid w:val="00133FF5"/>
    <w:rsid w:val="0013415A"/>
    <w:rsid w:val="00134190"/>
    <w:rsid w:val="001341CD"/>
    <w:rsid w:val="001341DA"/>
    <w:rsid w:val="00134268"/>
    <w:rsid w:val="0013427B"/>
    <w:rsid w:val="00134292"/>
    <w:rsid w:val="0013429B"/>
    <w:rsid w:val="0013432F"/>
    <w:rsid w:val="00134371"/>
    <w:rsid w:val="0013437C"/>
    <w:rsid w:val="001343DE"/>
    <w:rsid w:val="0013445C"/>
    <w:rsid w:val="001344D1"/>
    <w:rsid w:val="001344FB"/>
    <w:rsid w:val="0013452C"/>
    <w:rsid w:val="001345C6"/>
    <w:rsid w:val="00134605"/>
    <w:rsid w:val="00134609"/>
    <w:rsid w:val="00134616"/>
    <w:rsid w:val="00134636"/>
    <w:rsid w:val="00134673"/>
    <w:rsid w:val="00134678"/>
    <w:rsid w:val="00134694"/>
    <w:rsid w:val="001346E2"/>
    <w:rsid w:val="0013471B"/>
    <w:rsid w:val="00134725"/>
    <w:rsid w:val="00134743"/>
    <w:rsid w:val="00134751"/>
    <w:rsid w:val="00134782"/>
    <w:rsid w:val="0013478E"/>
    <w:rsid w:val="0013484D"/>
    <w:rsid w:val="00134876"/>
    <w:rsid w:val="001348E8"/>
    <w:rsid w:val="00134927"/>
    <w:rsid w:val="00134950"/>
    <w:rsid w:val="0013499A"/>
    <w:rsid w:val="001349B5"/>
    <w:rsid w:val="001349BB"/>
    <w:rsid w:val="001349C8"/>
    <w:rsid w:val="001349FD"/>
    <w:rsid w:val="00134A33"/>
    <w:rsid w:val="00134A63"/>
    <w:rsid w:val="00134A7B"/>
    <w:rsid w:val="00134A88"/>
    <w:rsid w:val="00134ACF"/>
    <w:rsid w:val="00134AD7"/>
    <w:rsid w:val="00134AEC"/>
    <w:rsid w:val="00134B0F"/>
    <w:rsid w:val="00134B40"/>
    <w:rsid w:val="00134BAD"/>
    <w:rsid w:val="00134BC5"/>
    <w:rsid w:val="00134BFF"/>
    <w:rsid w:val="00134CD5"/>
    <w:rsid w:val="00134CEF"/>
    <w:rsid w:val="00134D1F"/>
    <w:rsid w:val="00134D6E"/>
    <w:rsid w:val="00134D71"/>
    <w:rsid w:val="00134E67"/>
    <w:rsid w:val="00134E7A"/>
    <w:rsid w:val="00134ECA"/>
    <w:rsid w:val="00134EE2"/>
    <w:rsid w:val="00134F1E"/>
    <w:rsid w:val="00135080"/>
    <w:rsid w:val="001350AE"/>
    <w:rsid w:val="00135113"/>
    <w:rsid w:val="00135121"/>
    <w:rsid w:val="00135151"/>
    <w:rsid w:val="001351A2"/>
    <w:rsid w:val="001351BB"/>
    <w:rsid w:val="001351C8"/>
    <w:rsid w:val="0013529F"/>
    <w:rsid w:val="001352BF"/>
    <w:rsid w:val="001352E0"/>
    <w:rsid w:val="00135343"/>
    <w:rsid w:val="00135376"/>
    <w:rsid w:val="00135383"/>
    <w:rsid w:val="001353A4"/>
    <w:rsid w:val="001353D1"/>
    <w:rsid w:val="001353E3"/>
    <w:rsid w:val="001353E6"/>
    <w:rsid w:val="00135482"/>
    <w:rsid w:val="001354EA"/>
    <w:rsid w:val="001354FA"/>
    <w:rsid w:val="0013552B"/>
    <w:rsid w:val="00135532"/>
    <w:rsid w:val="001355B1"/>
    <w:rsid w:val="00135624"/>
    <w:rsid w:val="0013563D"/>
    <w:rsid w:val="0013565C"/>
    <w:rsid w:val="00135665"/>
    <w:rsid w:val="001356A5"/>
    <w:rsid w:val="001356D9"/>
    <w:rsid w:val="001356E5"/>
    <w:rsid w:val="001356F3"/>
    <w:rsid w:val="00135747"/>
    <w:rsid w:val="001357B7"/>
    <w:rsid w:val="001357C0"/>
    <w:rsid w:val="00135874"/>
    <w:rsid w:val="001358A6"/>
    <w:rsid w:val="001358C6"/>
    <w:rsid w:val="001358ED"/>
    <w:rsid w:val="00135975"/>
    <w:rsid w:val="001359FF"/>
    <w:rsid w:val="00135A3F"/>
    <w:rsid w:val="00135A96"/>
    <w:rsid w:val="00135AFF"/>
    <w:rsid w:val="00135B6C"/>
    <w:rsid w:val="00135B9E"/>
    <w:rsid w:val="00135BCE"/>
    <w:rsid w:val="00135BF2"/>
    <w:rsid w:val="00135BF3"/>
    <w:rsid w:val="00135C67"/>
    <w:rsid w:val="00135C83"/>
    <w:rsid w:val="00135D84"/>
    <w:rsid w:val="00135DF3"/>
    <w:rsid w:val="00135E67"/>
    <w:rsid w:val="00135E7A"/>
    <w:rsid w:val="00135F7B"/>
    <w:rsid w:val="00135FF0"/>
    <w:rsid w:val="0013606E"/>
    <w:rsid w:val="001360C6"/>
    <w:rsid w:val="00136118"/>
    <w:rsid w:val="0013613B"/>
    <w:rsid w:val="00136147"/>
    <w:rsid w:val="001361B3"/>
    <w:rsid w:val="001361E2"/>
    <w:rsid w:val="001361ED"/>
    <w:rsid w:val="00136235"/>
    <w:rsid w:val="0013623D"/>
    <w:rsid w:val="0013625C"/>
    <w:rsid w:val="00136349"/>
    <w:rsid w:val="001363A1"/>
    <w:rsid w:val="001363B4"/>
    <w:rsid w:val="0013642B"/>
    <w:rsid w:val="00136453"/>
    <w:rsid w:val="00136457"/>
    <w:rsid w:val="0013646C"/>
    <w:rsid w:val="001364E8"/>
    <w:rsid w:val="001364FF"/>
    <w:rsid w:val="00136507"/>
    <w:rsid w:val="00136528"/>
    <w:rsid w:val="00136573"/>
    <w:rsid w:val="00136575"/>
    <w:rsid w:val="001365FB"/>
    <w:rsid w:val="0013660B"/>
    <w:rsid w:val="00136617"/>
    <w:rsid w:val="00136620"/>
    <w:rsid w:val="00136626"/>
    <w:rsid w:val="0013662A"/>
    <w:rsid w:val="001366B0"/>
    <w:rsid w:val="001366E6"/>
    <w:rsid w:val="00136803"/>
    <w:rsid w:val="00136828"/>
    <w:rsid w:val="00136841"/>
    <w:rsid w:val="00136874"/>
    <w:rsid w:val="001368BD"/>
    <w:rsid w:val="001368C5"/>
    <w:rsid w:val="00136903"/>
    <w:rsid w:val="0013690A"/>
    <w:rsid w:val="00136930"/>
    <w:rsid w:val="00136958"/>
    <w:rsid w:val="0013695C"/>
    <w:rsid w:val="00136963"/>
    <w:rsid w:val="00136991"/>
    <w:rsid w:val="00136A6F"/>
    <w:rsid w:val="00136AA4"/>
    <w:rsid w:val="00136AE4"/>
    <w:rsid w:val="00136B11"/>
    <w:rsid w:val="00136BDC"/>
    <w:rsid w:val="00136BFD"/>
    <w:rsid w:val="00136C03"/>
    <w:rsid w:val="00136C3E"/>
    <w:rsid w:val="00136C91"/>
    <w:rsid w:val="00136C9E"/>
    <w:rsid w:val="00136CF3"/>
    <w:rsid w:val="00136D0F"/>
    <w:rsid w:val="00136D27"/>
    <w:rsid w:val="00136DBD"/>
    <w:rsid w:val="00136DD4"/>
    <w:rsid w:val="00136E71"/>
    <w:rsid w:val="00136F0C"/>
    <w:rsid w:val="00136F70"/>
    <w:rsid w:val="00136F7C"/>
    <w:rsid w:val="00136FFF"/>
    <w:rsid w:val="0013700A"/>
    <w:rsid w:val="00137014"/>
    <w:rsid w:val="0013702E"/>
    <w:rsid w:val="0013704A"/>
    <w:rsid w:val="0013705D"/>
    <w:rsid w:val="001370AF"/>
    <w:rsid w:val="001370CB"/>
    <w:rsid w:val="0013716F"/>
    <w:rsid w:val="00137204"/>
    <w:rsid w:val="0013726E"/>
    <w:rsid w:val="00137273"/>
    <w:rsid w:val="00137286"/>
    <w:rsid w:val="00137319"/>
    <w:rsid w:val="00137375"/>
    <w:rsid w:val="00137381"/>
    <w:rsid w:val="0013738B"/>
    <w:rsid w:val="0013738F"/>
    <w:rsid w:val="00137400"/>
    <w:rsid w:val="0013750E"/>
    <w:rsid w:val="00137514"/>
    <w:rsid w:val="0013753B"/>
    <w:rsid w:val="00137555"/>
    <w:rsid w:val="001375D8"/>
    <w:rsid w:val="001375FD"/>
    <w:rsid w:val="001376F5"/>
    <w:rsid w:val="001376FD"/>
    <w:rsid w:val="00137702"/>
    <w:rsid w:val="0013772E"/>
    <w:rsid w:val="00137741"/>
    <w:rsid w:val="00137764"/>
    <w:rsid w:val="0013779F"/>
    <w:rsid w:val="001377B2"/>
    <w:rsid w:val="001377E7"/>
    <w:rsid w:val="00137814"/>
    <w:rsid w:val="0013782C"/>
    <w:rsid w:val="0013785A"/>
    <w:rsid w:val="00137872"/>
    <w:rsid w:val="00137875"/>
    <w:rsid w:val="001378A4"/>
    <w:rsid w:val="001378A7"/>
    <w:rsid w:val="001378AC"/>
    <w:rsid w:val="00137942"/>
    <w:rsid w:val="00137964"/>
    <w:rsid w:val="00137998"/>
    <w:rsid w:val="001379EC"/>
    <w:rsid w:val="00137A13"/>
    <w:rsid w:val="00137A35"/>
    <w:rsid w:val="00137AB1"/>
    <w:rsid w:val="00137AB4"/>
    <w:rsid w:val="00137ABF"/>
    <w:rsid w:val="00137B58"/>
    <w:rsid w:val="00137C03"/>
    <w:rsid w:val="00137C69"/>
    <w:rsid w:val="00137CD5"/>
    <w:rsid w:val="00137E1B"/>
    <w:rsid w:val="00137E71"/>
    <w:rsid w:val="00137E80"/>
    <w:rsid w:val="00137FBF"/>
    <w:rsid w:val="00137FCA"/>
    <w:rsid w:val="0014009A"/>
    <w:rsid w:val="00140169"/>
    <w:rsid w:val="00140170"/>
    <w:rsid w:val="0014020C"/>
    <w:rsid w:val="00140210"/>
    <w:rsid w:val="00140231"/>
    <w:rsid w:val="001402C7"/>
    <w:rsid w:val="00140316"/>
    <w:rsid w:val="0014033C"/>
    <w:rsid w:val="001403A5"/>
    <w:rsid w:val="00140539"/>
    <w:rsid w:val="0014059C"/>
    <w:rsid w:val="00140610"/>
    <w:rsid w:val="0014063B"/>
    <w:rsid w:val="00140643"/>
    <w:rsid w:val="001406B3"/>
    <w:rsid w:val="0014070E"/>
    <w:rsid w:val="0014073F"/>
    <w:rsid w:val="00140773"/>
    <w:rsid w:val="00140799"/>
    <w:rsid w:val="0014082E"/>
    <w:rsid w:val="00140841"/>
    <w:rsid w:val="00140884"/>
    <w:rsid w:val="0014088B"/>
    <w:rsid w:val="0014089B"/>
    <w:rsid w:val="001408F2"/>
    <w:rsid w:val="0014094B"/>
    <w:rsid w:val="001409A4"/>
    <w:rsid w:val="001409EB"/>
    <w:rsid w:val="00140A51"/>
    <w:rsid w:val="00140A70"/>
    <w:rsid w:val="00140A91"/>
    <w:rsid w:val="00140AEE"/>
    <w:rsid w:val="00140B49"/>
    <w:rsid w:val="00140B50"/>
    <w:rsid w:val="00140B71"/>
    <w:rsid w:val="00140B8B"/>
    <w:rsid w:val="00140BCF"/>
    <w:rsid w:val="00140BE1"/>
    <w:rsid w:val="00140C58"/>
    <w:rsid w:val="00140C9E"/>
    <w:rsid w:val="00140CA5"/>
    <w:rsid w:val="00140CBC"/>
    <w:rsid w:val="00140CE4"/>
    <w:rsid w:val="00140CF3"/>
    <w:rsid w:val="00140D77"/>
    <w:rsid w:val="00140DAF"/>
    <w:rsid w:val="00140DD6"/>
    <w:rsid w:val="00140DD9"/>
    <w:rsid w:val="00140DEE"/>
    <w:rsid w:val="00140E34"/>
    <w:rsid w:val="00140E53"/>
    <w:rsid w:val="00140EA5"/>
    <w:rsid w:val="00140EC9"/>
    <w:rsid w:val="00140EF9"/>
    <w:rsid w:val="00140F17"/>
    <w:rsid w:val="00140F27"/>
    <w:rsid w:val="00140F43"/>
    <w:rsid w:val="00140F69"/>
    <w:rsid w:val="00140F75"/>
    <w:rsid w:val="00140F8F"/>
    <w:rsid w:val="00141014"/>
    <w:rsid w:val="0014106C"/>
    <w:rsid w:val="00141074"/>
    <w:rsid w:val="00141092"/>
    <w:rsid w:val="001410B2"/>
    <w:rsid w:val="00141101"/>
    <w:rsid w:val="00141134"/>
    <w:rsid w:val="0014116A"/>
    <w:rsid w:val="0014116F"/>
    <w:rsid w:val="0014119B"/>
    <w:rsid w:val="001411A7"/>
    <w:rsid w:val="00141216"/>
    <w:rsid w:val="0014124D"/>
    <w:rsid w:val="00141272"/>
    <w:rsid w:val="001412A6"/>
    <w:rsid w:val="001412F7"/>
    <w:rsid w:val="00141316"/>
    <w:rsid w:val="0014131B"/>
    <w:rsid w:val="00141336"/>
    <w:rsid w:val="0014137C"/>
    <w:rsid w:val="00141392"/>
    <w:rsid w:val="001413D5"/>
    <w:rsid w:val="001413DF"/>
    <w:rsid w:val="001413F8"/>
    <w:rsid w:val="00141430"/>
    <w:rsid w:val="00141475"/>
    <w:rsid w:val="00141477"/>
    <w:rsid w:val="001414EC"/>
    <w:rsid w:val="00141523"/>
    <w:rsid w:val="00141543"/>
    <w:rsid w:val="001415C2"/>
    <w:rsid w:val="001415D1"/>
    <w:rsid w:val="00141679"/>
    <w:rsid w:val="001416A4"/>
    <w:rsid w:val="001416A6"/>
    <w:rsid w:val="001416B0"/>
    <w:rsid w:val="001416D4"/>
    <w:rsid w:val="00141713"/>
    <w:rsid w:val="00141767"/>
    <w:rsid w:val="0014179B"/>
    <w:rsid w:val="001417A1"/>
    <w:rsid w:val="001417E3"/>
    <w:rsid w:val="00141842"/>
    <w:rsid w:val="00141861"/>
    <w:rsid w:val="00141872"/>
    <w:rsid w:val="001418C4"/>
    <w:rsid w:val="00141919"/>
    <w:rsid w:val="00141977"/>
    <w:rsid w:val="00141981"/>
    <w:rsid w:val="001419B4"/>
    <w:rsid w:val="00141AC5"/>
    <w:rsid w:val="00141B03"/>
    <w:rsid w:val="00141B27"/>
    <w:rsid w:val="00141B4C"/>
    <w:rsid w:val="00141B8D"/>
    <w:rsid w:val="00141C19"/>
    <w:rsid w:val="00141C5F"/>
    <w:rsid w:val="00141C69"/>
    <w:rsid w:val="00141C6A"/>
    <w:rsid w:val="00141C71"/>
    <w:rsid w:val="00141C76"/>
    <w:rsid w:val="00141C8C"/>
    <w:rsid w:val="00141CAB"/>
    <w:rsid w:val="00141CBD"/>
    <w:rsid w:val="00141D11"/>
    <w:rsid w:val="00141D43"/>
    <w:rsid w:val="00141DDD"/>
    <w:rsid w:val="00141EA5"/>
    <w:rsid w:val="00141ECA"/>
    <w:rsid w:val="00141EEC"/>
    <w:rsid w:val="00141FB7"/>
    <w:rsid w:val="00142002"/>
    <w:rsid w:val="00142018"/>
    <w:rsid w:val="0014207A"/>
    <w:rsid w:val="00142085"/>
    <w:rsid w:val="001420BF"/>
    <w:rsid w:val="00142108"/>
    <w:rsid w:val="0014216A"/>
    <w:rsid w:val="00142192"/>
    <w:rsid w:val="001421DA"/>
    <w:rsid w:val="001422B6"/>
    <w:rsid w:val="001422B9"/>
    <w:rsid w:val="00142376"/>
    <w:rsid w:val="001423A3"/>
    <w:rsid w:val="00142411"/>
    <w:rsid w:val="0014247B"/>
    <w:rsid w:val="001424AF"/>
    <w:rsid w:val="00142501"/>
    <w:rsid w:val="00142520"/>
    <w:rsid w:val="001425CF"/>
    <w:rsid w:val="001425E3"/>
    <w:rsid w:val="00142616"/>
    <w:rsid w:val="001426D8"/>
    <w:rsid w:val="0014272C"/>
    <w:rsid w:val="00142814"/>
    <w:rsid w:val="0014286F"/>
    <w:rsid w:val="0014290A"/>
    <w:rsid w:val="0014296E"/>
    <w:rsid w:val="0014298F"/>
    <w:rsid w:val="001429B4"/>
    <w:rsid w:val="001429E4"/>
    <w:rsid w:val="00142A3B"/>
    <w:rsid w:val="00142AB1"/>
    <w:rsid w:val="00142AC0"/>
    <w:rsid w:val="00142AF1"/>
    <w:rsid w:val="00142B51"/>
    <w:rsid w:val="00142B8B"/>
    <w:rsid w:val="00142BB9"/>
    <w:rsid w:val="00142BCE"/>
    <w:rsid w:val="00142BF3"/>
    <w:rsid w:val="00142C60"/>
    <w:rsid w:val="00142C77"/>
    <w:rsid w:val="00142CF4"/>
    <w:rsid w:val="00142D7B"/>
    <w:rsid w:val="00142D93"/>
    <w:rsid w:val="00142E15"/>
    <w:rsid w:val="00142E9C"/>
    <w:rsid w:val="00142EAB"/>
    <w:rsid w:val="00142EAF"/>
    <w:rsid w:val="00142ECD"/>
    <w:rsid w:val="00142ED2"/>
    <w:rsid w:val="00142EE0"/>
    <w:rsid w:val="00142F50"/>
    <w:rsid w:val="00142F53"/>
    <w:rsid w:val="00142FBF"/>
    <w:rsid w:val="00142FDE"/>
    <w:rsid w:val="00142FFF"/>
    <w:rsid w:val="00143014"/>
    <w:rsid w:val="0014301B"/>
    <w:rsid w:val="00143027"/>
    <w:rsid w:val="00143082"/>
    <w:rsid w:val="0014308A"/>
    <w:rsid w:val="001430C9"/>
    <w:rsid w:val="0014312E"/>
    <w:rsid w:val="00143130"/>
    <w:rsid w:val="00143176"/>
    <w:rsid w:val="00143177"/>
    <w:rsid w:val="00143181"/>
    <w:rsid w:val="001431B3"/>
    <w:rsid w:val="001431EF"/>
    <w:rsid w:val="00143207"/>
    <w:rsid w:val="00143241"/>
    <w:rsid w:val="001432AC"/>
    <w:rsid w:val="001432D0"/>
    <w:rsid w:val="001432E0"/>
    <w:rsid w:val="0014330F"/>
    <w:rsid w:val="00143327"/>
    <w:rsid w:val="00143340"/>
    <w:rsid w:val="00143354"/>
    <w:rsid w:val="0014336D"/>
    <w:rsid w:val="00143371"/>
    <w:rsid w:val="00143388"/>
    <w:rsid w:val="001433B2"/>
    <w:rsid w:val="001433C5"/>
    <w:rsid w:val="001433FF"/>
    <w:rsid w:val="00143419"/>
    <w:rsid w:val="00143439"/>
    <w:rsid w:val="00143465"/>
    <w:rsid w:val="0014349F"/>
    <w:rsid w:val="00143546"/>
    <w:rsid w:val="00143562"/>
    <w:rsid w:val="001435C3"/>
    <w:rsid w:val="001435EA"/>
    <w:rsid w:val="001435F2"/>
    <w:rsid w:val="0014363B"/>
    <w:rsid w:val="001436D9"/>
    <w:rsid w:val="001436DF"/>
    <w:rsid w:val="00143757"/>
    <w:rsid w:val="00143775"/>
    <w:rsid w:val="00143836"/>
    <w:rsid w:val="001438ED"/>
    <w:rsid w:val="00143919"/>
    <w:rsid w:val="0014396D"/>
    <w:rsid w:val="00143973"/>
    <w:rsid w:val="0014398F"/>
    <w:rsid w:val="00143997"/>
    <w:rsid w:val="001439CE"/>
    <w:rsid w:val="001439D8"/>
    <w:rsid w:val="001439E1"/>
    <w:rsid w:val="001439FC"/>
    <w:rsid w:val="00143A17"/>
    <w:rsid w:val="00143A1F"/>
    <w:rsid w:val="00143A4D"/>
    <w:rsid w:val="00143A61"/>
    <w:rsid w:val="00143A76"/>
    <w:rsid w:val="00143AC0"/>
    <w:rsid w:val="00143B05"/>
    <w:rsid w:val="00143B0D"/>
    <w:rsid w:val="00143B19"/>
    <w:rsid w:val="00143B4B"/>
    <w:rsid w:val="00143B58"/>
    <w:rsid w:val="00143C26"/>
    <w:rsid w:val="00143C2B"/>
    <w:rsid w:val="00143D0B"/>
    <w:rsid w:val="00143D0E"/>
    <w:rsid w:val="00143D91"/>
    <w:rsid w:val="00143DA3"/>
    <w:rsid w:val="00143E8F"/>
    <w:rsid w:val="00143EAA"/>
    <w:rsid w:val="00143EC6"/>
    <w:rsid w:val="00143F10"/>
    <w:rsid w:val="00143F13"/>
    <w:rsid w:val="00143F16"/>
    <w:rsid w:val="00144024"/>
    <w:rsid w:val="00144098"/>
    <w:rsid w:val="001440CA"/>
    <w:rsid w:val="001441A4"/>
    <w:rsid w:val="00144208"/>
    <w:rsid w:val="00144212"/>
    <w:rsid w:val="00144217"/>
    <w:rsid w:val="00144221"/>
    <w:rsid w:val="0014428C"/>
    <w:rsid w:val="001442BD"/>
    <w:rsid w:val="001442F8"/>
    <w:rsid w:val="00144321"/>
    <w:rsid w:val="0014435A"/>
    <w:rsid w:val="0014439C"/>
    <w:rsid w:val="001443AC"/>
    <w:rsid w:val="00144412"/>
    <w:rsid w:val="00144478"/>
    <w:rsid w:val="00144487"/>
    <w:rsid w:val="001444A5"/>
    <w:rsid w:val="00144616"/>
    <w:rsid w:val="00144634"/>
    <w:rsid w:val="0014469B"/>
    <w:rsid w:val="0014470F"/>
    <w:rsid w:val="00144765"/>
    <w:rsid w:val="001447BF"/>
    <w:rsid w:val="001447E3"/>
    <w:rsid w:val="00144811"/>
    <w:rsid w:val="00144856"/>
    <w:rsid w:val="00144859"/>
    <w:rsid w:val="001448B2"/>
    <w:rsid w:val="001449A0"/>
    <w:rsid w:val="001449C8"/>
    <w:rsid w:val="00144A21"/>
    <w:rsid w:val="00144A2A"/>
    <w:rsid w:val="00144A8D"/>
    <w:rsid w:val="00144B8F"/>
    <w:rsid w:val="00144BFA"/>
    <w:rsid w:val="00144C30"/>
    <w:rsid w:val="00144C6D"/>
    <w:rsid w:val="00144C79"/>
    <w:rsid w:val="00144D49"/>
    <w:rsid w:val="00144DD6"/>
    <w:rsid w:val="00144E0C"/>
    <w:rsid w:val="00144E46"/>
    <w:rsid w:val="00144ED3"/>
    <w:rsid w:val="00144EFC"/>
    <w:rsid w:val="00144F49"/>
    <w:rsid w:val="00144F5D"/>
    <w:rsid w:val="00144F96"/>
    <w:rsid w:val="00144FA2"/>
    <w:rsid w:val="00144FE3"/>
    <w:rsid w:val="0014504A"/>
    <w:rsid w:val="00145088"/>
    <w:rsid w:val="001450A0"/>
    <w:rsid w:val="001450E0"/>
    <w:rsid w:val="00145168"/>
    <w:rsid w:val="00145175"/>
    <w:rsid w:val="001451BA"/>
    <w:rsid w:val="001451DB"/>
    <w:rsid w:val="001451EA"/>
    <w:rsid w:val="0014521C"/>
    <w:rsid w:val="00145227"/>
    <w:rsid w:val="00145250"/>
    <w:rsid w:val="00145384"/>
    <w:rsid w:val="00145399"/>
    <w:rsid w:val="001453A8"/>
    <w:rsid w:val="001453C4"/>
    <w:rsid w:val="0014540E"/>
    <w:rsid w:val="001454E4"/>
    <w:rsid w:val="001454F9"/>
    <w:rsid w:val="00145516"/>
    <w:rsid w:val="0014551A"/>
    <w:rsid w:val="00145533"/>
    <w:rsid w:val="0014553F"/>
    <w:rsid w:val="0014558A"/>
    <w:rsid w:val="001455C0"/>
    <w:rsid w:val="001455D4"/>
    <w:rsid w:val="001455D9"/>
    <w:rsid w:val="001455E3"/>
    <w:rsid w:val="001455FB"/>
    <w:rsid w:val="001456C8"/>
    <w:rsid w:val="001456CD"/>
    <w:rsid w:val="0014571A"/>
    <w:rsid w:val="0014581E"/>
    <w:rsid w:val="00145823"/>
    <w:rsid w:val="00145845"/>
    <w:rsid w:val="00145858"/>
    <w:rsid w:val="0014585F"/>
    <w:rsid w:val="00145868"/>
    <w:rsid w:val="00145882"/>
    <w:rsid w:val="001458B2"/>
    <w:rsid w:val="00145957"/>
    <w:rsid w:val="00145A14"/>
    <w:rsid w:val="00145A2E"/>
    <w:rsid w:val="00145AB2"/>
    <w:rsid w:val="00145B06"/>
    <w:rsid w:val="00145B21"/>
    <w:rsid w:val="00145B2C"/>
    <w:rsid w:val="00145B99"/>
    <w:rsid w:val="00145BBB"/>
    <w:rsid w:val="00145BEF"/>
    <w:rsid w:val="00145BF0"/>
    <w:rsid w:val="00145C0E"/>
    <w:rsid w:val="00145C3C"/>
    <w:rsid w:val="00145C72"/>
    <w:rsid w:val="00145C78"/>
    <w:rsid w:val="00145CDA"/>
    <w:rsid w:val="00145D3B"/>
    <w:rsid w:val="00145D7E"/>
    <w:rsid w:val="00145D8E"/>
    <w:rsid w:val="00145DB0"/>
    <w:rsid w:val="00145DCE"/>
    <w:rsid w:val="00145DD4"/>
    <w:rsid w:val="00145DEC"/>
    <w:rsid w:val="00145DFE"/>
    <w:rsid w:val="00145E20"/>
    <w:rsid w:val="00145E41"/>
    <w:rsid w:val="00145E8A"/>
    <w:rsid w:val="00145F0A"/>
    <w:rsid w:val="00145FA6"/>
    <w:rsid w:val="00145FC0"/>
    <w:rsid w:val="00145FD1"/>
    <w:rsid w:val="0014601D"/>
    <w:rsid w:val="00146050"/>
    <w:rsid w:val="00146093"/>
    <w:rsid w:val="001460C3"/>
    <w:rsid w:val="00146105"/>
    <w:rsid w:val="00146180"/>
    <w:rsid w:val="001461C2"/>
    <w:rsid w:val="00146202"/>
    <w:rsid w:val="00146228"/>
    <w:rsid w:val="0014623D"/>
    <w:rsid w:val="00146284"/>
    <w:rsid w:val="001462E0"/>
    <w:rsid w:val="0014635B"/>
    <w:rsid w:val="0014636B"/>
    <w:rsid w:val="00146375"/>
    <w:rsid w:val="0014639A"/>
    <w:rsid w:val="0014639D"/>
    <w:rsid w:val="001463EA"/>
    <w:rsid w:val="00146436"/>
    <w:rsid w:val="00146441"/>
    <w:rsid w:val="00146461"/>
    <w:rsid w:val="00146497"/>
    <w:rsid w:val="001464A8"/>
    <w:rsid w:val="001464C6"/>
    <w:rsid w:val="001464CD"/>
    <w:rsid w:val="001465B4"/>
    <w:rsid w:val="001465BF"/>
    <w:rsid w:val="001465DE"/>
    <w:rsid w:val="001465E0"/>
    <w:rsid w:val="001465E6"/>
    <w:rsid w:val="001465FD"/>
    <w:rsid w:val="0014662C"/>
    <w:rsid w:val="00146662"/>
    <w:rsid w:val="001466D5"/>
    <w:rsid w:val="001466F2"/>
    <w:rsid w:val="001466F7"/>
    <w:rsid w:val="001466FC"/>
    <w:rsid w:val="001466FE"/>
    <w:rsid w:val="00146709"/>
    <w:rsid w:val="001467F9"/>
    <w:rsid w:val="00146801"/>
    <w:rsid w:val="0014681E"/>
    <w:rsid w:val="0014681F"/>
    <w:rsid w:val="00146829"/>
    <w:rsid w:val="00146870"/>
    <w:rsid w:val="00146899"/>
    <w:rsid w:val="00146968"/>
    <w:rsid w:val="001469EA"/>
    <w:rsid w:val="00146A2B"/>
    <w:rsid w:val="00146A5B"/>
    <w:rsid w:val="00146B47"/>
    <w:rsid w:val="00146B6C"/>
    <w:rsid w:val="00146BC1"/>
    <w:rsid w:val="00146BE6"/>
    <w:rsid w:val="00146BEB"/>
    <w:rsid w:val="00146C1B"/>
    <w:rsid w:val="00146C72"/>
    <w:rsid w:val="00146C78"/>
    <w:rsid w:val="00146CBE"/>
    <w:rsid w:val="00146CE7"/>
    <w:rsid w:val="00146D2A"/>
    <w:rsid w:val="00146DC3"/>
    <w:rsid w:val="00146E20"/>
    <w:rsid w:val="00146E30"/>
    <w:rsid w:val="00146EC1"/>
    <w:rsid w:val="00146F1C"/>
    <w:rsid w:val="00146F86"/>
    <w:rsid w:val="0014700E"/>
    <w:rsid w:val="00147021"/>
    <w:rsid w:val="0014708D"/>
    <w:rsid w:val="00147099"/>
    <w:rsid w:val="001470B0"/>
    <w:rsid w:val="00147102"/>
    <w:rsid w:val="00147142"/>
    <w:rsid w:val="0014714A"/>
    <w:rsid w:val="0014714C"/>
    <w:rsid w:val="00147169"/>
    <w:rsid w:val="0014726D"/>
    <w:rsid w:val="00147270"/>
    <w:rsid w:val="00147272"/>
    <w:rsid w:val="0014729E"/>
    <w:rsid w:val="001472A1"/>
    <w:rsid w:val="001472B3"/>
    <w:rsid w:val="001472D1"/>
    <w:rsid w:val="001472F0"/>
    <w:rsid w:val="0014732F"/>
    <w:rsid w:val="00147334"/>
    <w:rsid w:val="00147360"/>
    <w:rsid w:val="00147398"/>
    <w:rsid w:val="001473CA"/>
    <w:rsid w:val="001473D0"/>
    <w:rsid w:val="00147421"/>
    <w:rsid w:val="0014745A"/>
    <w:rsid w:val="001474A7"/>
    <w:rsid w:val="001474D3"/>
    <w:rsid w:val="001474F9"/>
    <w:rsid w:val="0014750C"/>
    <w:rsid w:val="00147518"/>
    <w:rsid w:val="0014757E"/>
    <w:rsid w:val="00147599"/>
    <w:rsid w:val="00147609"/>
    <w:rsid w:val="00147705"/>
    <w:rsid w:val="001477C9"/>
    <w:rsid w:val="0014781E"/>
    <w:rsid w:val="00147898"/>
    <w:rsid w:val="001478A1"/>
    <w:rsid w:val="00147914"/>
    <w:rsid w:val="00147921"/>
    <w:rsid w:val="00147A34"/>
    <w:rsid w:val="00147A62"/>
    <w:rsid w:val="00147A8F"/>
    <w:rsid w:val="00147B2C"/>
    <w:rsid w:val="00147B33"/>
    <w:rsid w:val="00147B9D"/>
    <w:rsid w:val="00147BD2"/>
    <w:rsid w:val="00147C0D"/>
    <w:rsid w:val="00147C4E"/>
    <w:rsid w:val="00147C8D"/>
    <w:rsid w:val="00147DA3"/>
    <w:rsid w:val="00147DCD"/>
    <w:rsid w:val="00147E35"/>
    <w:rsid w:val="00147E4A"/>
    <w:rsid w:val="00147E6B"/>
    <w:rsid w:val="00147E84"/>
    <w:rsid w:val="00147E8B"/>
    <w:rsid w:val="00147E9D"/>
    <w:rsid w:val="00147ED1"/>
    <w:rsid w:val="00147EFC"/>
    <w:rsid w:val="00147F56"/>
    <w:rsid w:val="00147FE0"/>
    <w:rsid w:val="00150007"/>
    <w:rsid w:val="001500A5"/>
    <w:rsid w:val="001500F2"/>
    <w:rsid w:val="001500F9"/>
    <w:rsid w:val="001500FA"/>
    <w:rsid w:val="00150171"/>
    <w:rsid w:val="001501FD"/>
    <w:rsid w:val="00150212"/>
    <w:rsid w:val="00150235"/>
    <w:rsid w:val="001502A2"/>
    <w:rsid w:val="001503B2"/>
    <w:rsid w:val="001503E8"/>
    <w:rsid w:val="00150425"/>
    <w:rsid w:val="00150467"/>
    <w:rsid w:val="001504C0"/>
    <w:rsid w:val="00150500"/>
    <w:rsid w:val="0015052C"/>
    <w:rsid w:val="0015056D"/>
    <w:rsid w:val="00150571"/>
    <w:rsid w:val="0015057F"/>
    <w:rsid w:val="001505CC"/>
    <w:rsid w:val="001505F7"/>
    <w:rsid w:val="001505F9"/>
    <w:rsid w:val="00150664"/>
    <w:rsid w:val="00150673"/>
    <w:rsid w:val="001506AF"/>
    <w:rsid w:val="001506C7"/>
    <w:rsid w:val="00150716"/>
    <w:rsid w:val="0015073B"/>
    <w:rsid w:val="0015076E"/>
    <w:rsid w:val="0015079F"/>
    <w:rsid w:val="001507EA"/>
    <w:rsid w:val="00150816"/>
    <w:rsid w:val="0015086D"/>
    <w:rsid w:val="0015087A"/>
    <w:rsid w:val="00150887"/>
    <w:rsid w:val="001508BE"/>
    <w:rsid w:val="001508DB"/>
    <w:rsid w:val="001509CC"/>
    <w:rsid w:val="00150A07"/>
    <w:rsid w:val="00150A58"/>
    <w:rsid w:val="00150AA6"/>
    <w:rsid w:val="00150AD8"/>
    <w:rsid w:val="00150BA8"/>
    <w:rsid w:val="00150BAF"/>
    <w:rsid w:val="00150C3A"/>
    <w:rsid w:val="00150C56"/>
    <w:rsid w:val="00150CAC"/>
    <w:rsid w:val="00150CB8"/>
    <w:rsid w:val="00150CC9"/>
    <w:rsid w:val="00150D40"/>
    <w:rsid w:val="00150D54"/>
    <w:rsid w:val="00150D8A"/>
    <w:rsid w:val="00150DBF"/>
    <w:rsid w:val="00150DCC"/>
    <w:rsid w:val="00150DE1"/>
    <w:rsid w:val="00150E16"/>
    <w:rsid w:val="00150E37"/>
    <w:rsid w:val="00150EBC"/>
    <w:rsid w:val="00150EC6"/>
    <w:rsid w:val="00150F2B"/>
    <w:rsid w:val="00151063"/>
    <w:rsid w:val="00151119"/>
    <w:rsid w:val="00151125"/>
    <w:rsid w:val="0015112B"/>
    <w:rsid w:val="0015113C"/>
    <w:rsid w:val="0015115E"/>
    <w:rsid w:val="001511FA"/>
    <w:rsid w:val="0015120E"/>
    <w:rsid w:val="00151227"/>
    <w:rsid w:val="0015127B"/>
    <w:rsid w:val="001512BB"/>
    <w:rsid w:val="00151382"/>
    <w:rsid w:val="00151461"/>
    <w:rsid w:val="0015148B"/>
    <w:rsid w:val="001514D1"/>
    <w:rsid w:val="0015153F"/>
    <w:rsid w:val="00151540"/>
    <w:rsid w:val="00151541"/>
    <w:rsid w:val="0015158E"/>
    <w:rsid w:val="00151597"/>
    <w:rsid w:val="001515A2"/>
    <w:rsid w:val="001515D1"/>
    <w:rsid w:val="00151626"/>
    <w:rsid w:val="00151641"/>
    <w:rsid w:val="00151654"/>
    <w:rsid w:val="0015167B"/>
    <w:rsid w:val="00151680"/>
    <w:rsid w:val="00151685"/>
    <w:rsid w:val="0015169D"/>
    <w:rsid w:val="00151717"/>
    <w:rsid w:val="001517E2"/>
    <w:rsid w:val="001517ED"/>
    <w:rsid w:val="0015183D"/>
    <w:rsid w:val="0015187D"/>
    <w:rsid w:val="001518F7"/>
    <w:rsid w:val="001519FB"/>
    <w:rsid w:val="00151A18"/>
    <w:rsid w:val="00151A3C"/>
    <w:rsid w:val="00151A70"/>
    <w:rsid w:val="00151AA6"/>
    <w:rsid w:val="00151B09"/>
    <w:rsid w:val="00151B0F"/>
    <w:rsid w:val="00151B49"/>
    <w:rsid w:val="00151B76"/>
    <w:rsid w:val="00151B77"/>
    <w:rsid w:val="00151BEF"/>
    <w:rsid w:val="00151C05"/>
    <w:rsid w:val="00151C18"/>
    <w:rsid w:val="00151C1D"/>
    <w:rsid w:val="00151C44"/>
    <w:rsid w:val="00151CB9"/>
    <w:rsid w:val="00151CF2"/>
    <w:rsid w:val="00151CFE"/>
    <w:rsid w:val="00151D2A"/>
    <w:rsid w:val="00151D40"/>
    <w:rsid w:val="00151D5B"/>
    <w:rsid w:val="00151E2F"/>
    <w:rsid w:val="00151E3A"/>
    <w:rsid w:val="00151E8F"/>
    <w:rsid w:val="00151F43"/>
    <w:rsid w:val="00151F56"/>
    <w:rsid w:val="0015206E"/>
    <w:rsid w:val="00152106"/>
    <w:rsid w:val="00152113"/>
    <w:rsid w:val="00152140"/>
    <w:rsid w:val="0015216C"/>
    <w:rsid w:val="00152188"/>
    <w:rsid w:val="0015222E"/>
    <w:rsid w:val="0015223C"/>
    <w:rsid w:val="00152280"/>
    <w:rsid w:val="001522D9"/>
    <w:rsid w:val="001522EE"/>
    <w:rsid w:val="001522FC"/>
    <w:rsid w:val="0015231A"/>
    <w:rsid w:val="0015239E"/>
    <w:rsid w:val="001523B1"/>
    <w:rsid w:val="001523B3"/>
    <w:rsid w:val="001523B8"/>
    <w:rsid w:val="001523BE"/>
    <w:rsid w:val="001523CF"/>
    <w:rsid w:val="001523D1"/>
    <w:rsid w:val="001523E2"/>
    <w:rsid w:val="00152409"/>
    <w:rsid w:val="0015241F"/>
    <w:rsid w:val="00152438"/>
    <w:rsid w:val="00152446"/>
    <w:rsid w:val="0015244D"/>
    <w:rsid w:val="00152475"/>
    <w:rsid w:val="00152480"/>
    <w:rsid w:val="00152494"/>
    <w:rsid w:val="001524C0"/>
    <w:rsid w:val="0015256D"/>
    <w:rsid w:val="0015260C"/>
    <w:rsid w:val="00152616"/>
    <w:rsid w:val="0015264A"/>
    <w:rsid w:val="00152663"/>
    <w:rsid w:val="00152687"/>
    <w:rsid w:val="00152727"/>
    <w:rsid w:val="00152799"/>
    <w:rsid w:val="001527C4"/>
    <w:rsid w:val="001527EA"/>
    <w:rsid w:val="001527F1"/>
    <w:rsid w:val="0015281B"/>
    <w:rsid w:val="00152838"/>
    <w:rsid w:val="00152842"/>
    <w:rsid w:val="0015284A"/>
    <w:rsid w:val="00152964"/>
    <w:rsid w:val="001529E4"/>
    <w:rsid w:val="00152A76"/>
    <w:rsid w:val="00152A90"/>
    <w:rsid w:val="00152AE4"/>
    <w:rsid w:val="00152B28"/>
    <w:rsid w:val="00152B48"/>
    <w:rsid w:val="00152B71"/>
    <w:rsid w:val="00152B87"/>
    <w:rsid w:val="00152B8E"/>
    <w:rsid w:val="00152BF7"/>
    <w:rsid w:val="00152CB0"/>
    <w:rsid w:val="00152CC6"/>
    <w:rsid w:val="00152D26"/>
    <w:rsid w:val="00152D5E"/>
    <w:rsid w:val="00152D86"/>
    <w:rsid w:val="00152DAA"/>
    <w:rsid w:val="00152E60"/>
    <w:rsid w:val="00152EA0"/>
    <w:rsid w:val="00152EC1"/>
    <w:rsid w:val="00152EDC"/>
    <w:rsid w:val="00152EFD"/>
    <w:rsid w:val="00152F44"/>
    <w:rsid w:val="00152F8E"/>
    <w:rsid w:val="00152FBA"/>
    <w:rsid w:val="00152FEC"/>
    <w:rsid w:val="00153012"/>
    <w:rsid w:val="0015304D"/>
    <w:rsid w:val="001530B9"/>
    <w:rsid w:val="00153100"/>
    <w:rsid w:val="00153190"/>
    <w:rsid w:val="001531B8"/>
    <w:rsid w:val="001531CA"/>
    <w:rsid w:val="001531E3"/>
    <w:rsid w:val="0015331D"/>
    <w:rsid w:val="00153345"/>
    <w:rsid w:val="00153350"/>
    <w:rsid w:val="001533C1"/>
    <w:rsid w:val="00153444"/>
    <w:rsid w:val="0015345C"/>
    <w:rsid w:val="00153468"/>
    <w:rsid w:val="0015348B"/>
    <w:rsid w:val="00153499"/>
    <w:rsid w:val="001534C6"/>
    <w:rsid w:val="0015352A"/>
    <w:rsid w:val="0015353A"/>
    <w:rsid w:val="0015354A"/>
    <w:rsid w:val="00153554"/>
    <w:rsid w:val="0015356C"/>
    <w:rsid w:val="00153570"/>
    <w:rsid w:val="0015359C"/>
    <w:rsid w:val="001535D4"/>
    <w:rsid w:val="00153611"/>
    <w:rsid w:val="001536A5"/>
    <w:rsid w:val="001536AE"/>
    <w:rsid w:val="001537C3"/>
    <w:rsid w:val="001537C9"/>
    <w:rsid w:val="00153802"/>
    <w:rsid w:val="00153856"/>
    <w:rsid w:val="001538A4"/>
    <w:rsid w:val="00153946"/>
    <w:rsid w:val="001539F5"/>
    <w:rsid w:val="00153A10"/>
    <w:rsid w:val="00153A18"/>
    <w:rsid w:val="00153A61"/>
    <w:rsid w:val="00153A70"/>
    <w:rsid w:val="00153A80"/>
    <w:rsid w:val="00153A85"/>
    <w:rsid w:val="00153AF5"/>
    <w:rsid w:val="00153AF8"/>
    <w:rsid w:val="00153B0D"/>
    <w:rsid w:val="00153B10"/>
    <w:rsid w:val="00153B53"/>
    <w:rsid w:val="00153B54"/>
    <w:rsid w:val="00153B7B"/>
    <w:rsid w:val="00153BC6"/>
    <w:rsid w:val="00153C69"/>
    <w:rsid w:val="00153CCD"/>
    <w:rsid w:val="00153CD1"/>
    <w:rsid w:val="00153CD3"/>
    <w:rsid w:val="00153CED"/>
    <w:rsid w:val="00153D21"/>
    <w:rsid w:val="00153D51"/>
    <w:rsid w:val="00153D53"/>
    <w:rsid w:val="00153D5C"/>
    <w:rsid w:val="00153D6F"/>
    <w:rsid w:val="00153DCD"/>
    <w:rsid w:val="00153E11"/>
    <w:rsid w:val="00153E20"/>
    <w:rsid w:val="00153E88"/>
    <w:rsid w:val="00153E97"/>
    <w:rsid w:val="00153EAB"/>
    <w:rsid w:val="00153EBB"/>
    <w:rsid w:val="00153EEC"/>
    <w:rsid w:val="00153F40"/>
    <w:rsid w:val="00153FBB"/>
    <w:rsid w:val="00153FD1"/>
    <w:rsid w:val="0015400B"/>
    <w:rsid w:val="0015400D"/>
    <w:rsid w:val="00154083"/>
    <w:rsid w:val="001540BA"/>
    <w:rsid w:val="00154122"/>
    <w:rsid w:val="00154205"/>
    <w:rsid w:val="0015423D"/>
    <w:rsid w:val="0015427A"/>
    <w:rsid w:val="001542A2"/>
    <w:rsid w:val="001542B8"/>
    <w:rsid w:val="001542EE"/>
    <w:rsid w:val="0015430F"/>
    <w:rsid w:val="00154325"/>
    <w:rsid w:val="00154326"/>
    <w:rsid w:val="00154382"/>
    <w:rsid w:val="0015439C"/>
    <w:rsid w:val="001543A3"/>
    <w:rsid w:val="001543F0"/>
    <w:rsid w:val="00154419"/>
    <w:rsid w:val="00154422"/>
    <w:rsid w:val="00154458"/>
    <w:rsid w:val="00154461"/>
    <w:rsid w:val="001544C7"/>
    <w:rsid w:val="001544D8"/>
    <w:rsid w:val="001544DE"/>
    <w:rsid w:val="001544EF"/>
    <w:rsid w:val="0015450F"/>
    <w:rsid w:val="0015458D"/>
    <w:rsid w:val="001545D1"/>
    <w:rsid w:val="001545E0"/>
    <w:rsid w:val="00154659"/>
    <w:rsid w:val="0015467A"/>
    <w:rsid w:val="001546B6"/>
    <w:rsid w:val="001546BF"/>
    <w:rsid w:val="00154726"/>
    <w:rsid w:val="00154729"/>
    <w:rsid w:val="00154738"/>
    <w:rsid w:val="0015478F"/>
    <w:rsid w:val="001547D6"/>
    <w:rsid w:val="00154810"/>
    <w:rsid w:val="00154897"/>
    <w:rsid w:val="001548A0"/>
    <w:rsid w:val="001548A1"/>
    <w:rsid w:val="001548DB"/>
    <w:rsid w:val="001548EC"/>
    <w:rsid w:val="00154941"/>
    <w:rsid w:val="00154999"/>
    <w:rsid w:val="00154A21"/>
    <w:rsid w:val="00154A58"/>
    <w:rsid w:val="00154A62"/>
    <w:rsid w:val="00154B22"/>
    <w:rsid w:val="00154BC9"/>
    <w:rsid w:val="00154BFA"/>
    <w:rsid w:val="00154C11"/>
    <w:rsid w:val="00154C5D"/>
    <w:rsid w:val="00154C76"/>
    <w:rsid w:val="00154D68"/>
    <w:rsid w:val="00154D8C"/>
    <w:rsid w:val="00154DAC"/>
    <w:rsid w:val="00154DF7"/>
    <w:rsid w:val="00154E13"/>
    <w:rsid w:val="00154E4D"/>
    <w:rsid w:val="00154E62"/>
    <w:rsid w:val="00154EB2"/>
    <w:rsid w:val="00154F1A"/>
    <w:rsid w:val="00154F43"/>
    <w:rsid w:val="00154FAA"/>
    <w:rsid w:val="00154FAB"/>
    <w:rsid w:val="00154FFC"/>
    <w:rsid w:val="0015503A"/>
    <w:rsid w:val="001550AD"/>
    <w:rsid w:val="001550B4"/>
    <w:rsid w:val="00155168"/>
    <w:rsid w:val="0015518D"/>
    <w:rsid w:val="00155194"/>
    <w:rsid w:val="0015520D"/>
    <w:rsid w:val="00155212"/>
    <w:rsid w:val="0015522B"/>
    <w:rsid w:val="0015522D"/>
    <w:rsid w:val="00155245"/>
    <w:rsid w:val="00155259"/>
    <w:rsid w:val="0015537F"/>
    <w:rsid w:val="00155386"/>
    <w:rsid w:val="001553B2"/>
    <w:rsid w:val="001553BA"/>
    <w:rsid w:val="001553BB"/>
    <w:rsid w:val="00155413"/>
    <w:rsid w:val="00155510"/>
    <w:rsid w:val="00155525"/>
    <w:rsid w:val="00155559"/>
    <w:rsid w:val="00155569"/>
    <w:rsid w:val="0015558A"/>
    <w:rsid w:val="001555DA"/>
    <w:rsid w:val="0015565E"/>
    <w:rsid w:val="00155668"/>
    <w:rsid w:val="0015566C"/>
    <w:rsid w:val="001556CB"/>
    <w:rsid w:val="001557B3"/>
    <w:rsid w:val="00155836"/>
    <w:rsid w:val="00155853"/>
    <w:rsid w:val="00155874"/>
    <w:rsid w:val="00155887"/>
    <w:rsid w:val="001558EE"/>
    <w:rsid w:val="0015599D"/>
    <w:rsid w:val="001559F5"/>
    <w:rsid w:val="001559F9"/>
    <w:rsid w:val="00155A12"/>
    <w:rsid w:val="00155ABA"/>
    <w:rsid w:val="00155B53"/>
    <w:rsid w:val="00155B78"/>
    <w:rsid w:val="00155B9E"/>
    <w:rsid w:val="00155BC4"/>
    <w:rsid w:val="00155C01"/>
    <w:rsid w:val="00155C78"/>
    <w:rsid w:val="00155C7A"/>
    <w:rsid w:val="00155CE6"/>
    <w:rsid w:val="00155D25"/>
    <w:rsid w:val="00155D35"/>
    <w:rsid w:val="00155D45"/>
    <w:rsid w:val="00155D5B"/>
    <w:rsid w:val="00155DDD"/>
    <w:rsid w:val="00155DE1"/>
    <w:rsid w:val="00155DFE"/>
    <w:rsid w:val="00155E36"/>
    <w:rsid w:val="00155EB5"/>
    <w:rsid w:val="00155EC3"/>
    <w:rsid w:val="00155F33"/>
    <w:rsid w:val="00155F6B"/>
    <w:rsid w:val="00155FA0"/>
    <w:rsid w:val="00156008"/>
    <w:rsid w:val="0015608A"/>
    <w:rsid w:val="001560EF"/>
    <w:rsid w:val="00156153"/>
    <w:rsid w:val="00156166"/>
    <w:rsid w:val="00156185"/>
    <w:rsid w:val="00156217"/>
    <w:rsid w:val="00156239"/>
    <w:rsid w:val="00156281"/>
    <w:rsid w:val="0015628F"/>
    <w:rsid w:val="001562D1"/>
    <w:rsid w:val="00156340"/>
    <w:rsid w:val="0015634C"/>
    <w:rsid w:val="00156397"/>
    <w:rsid w:val="00156428"/>
    <w:rsid w:val="00156432"/>
    <w:rsid w:val="00156436"/>
    <w:rsid w:val="00156481"/>
    <w:rsid w:val="00156490"/>
    <w:rsid w:val="001564CD"/>
    <w:rsid w:val="001564FB"/>
    <w:rsid w:val="00156566"/>
    <w:rsid w:val="00156576"/>
    <w:rsid w:val="0015658C"/>
    <w:rsid w:val="001565EB"/>
    <w:rsid w:val="0015660C"/>
    <w:rsid w:val="00156698"/>
    <w:rsid w:val="001566CB"/>
    <w:rsid w:val="001566EC"/>
    <w:rsid w:val="00156739"/>
    <w:rsid w:val="001567AF"/>
    <w:rsid w:val="001567D5"/>
    <w:rsid w:val="001567E2"/>
    <w:rsid w:val="00156857"/>
    <w:rsid w:val="00156860"/>
    <w:rsid w:val="00156883"/>
    <w:rsid w:val="001568B3"/>
    <w:rsid w:val="00156941"/>
    <w:rsid w:val="00156961"/>
    <w:rsid w:val="00156966"/>
    <w:rsid w:val="00156971"/>
    <w:rsid w:val="001569A2"/>
    <w:rsid w:val="00156A09"/>
    <w:rsid w:val="00156A44"/>
    <w:rsid w:val="00156A75"/>
    <w:rsid w:val="00156ABE"/>
    <w:rsid w:val="00156AF5"/>
    <w:rsid w:val="00156B76"/>
    <w:rsid w:val="00156B95"/>
    <w:rsid w:val="00156B98"/>
    <w:rsid w:val="00156B9A"/>
    <w:rsid w:val="00156BA5"/>
    <w:rsid w:val="00156C10"/>
    <w:rsid w:val="00156C7B"/>
    <w:rsid w:val="00156C7E"/>
    <w:rsid w:val="00156CBE"/>
    <w:rsid w:val="00156CE1"/>
    <w:rsid w:val="00156CE3"/>
    <w:rsid w:val="00156D0D"/>
    <w:rsid w:val="00156DAD"/>
    <w:rsid w:val="00156DB0"/>
    <w:rsid w:val="00156DBE"/>
    <w:rsid w:val="00156DED"/>
    <w:rsid w:val="00156E64"/>
    <w:rsid w:val="00156E79"/>
    <w:rsid w:val="00156E85"/>
    <w:rsid w:val="00156E96"/>
    <w:rsid w:val="00156EEB"/>
    <w:rsid w:val="00156F41"/>
    <w:rsid w:val="0015706C"/>
    <w:rsid w:val="0015709F"/>
    <w:rsid w:val="0015710C"/>
    <w:rsid w:val="00157131"/>
    <w:rsid w:val="001571A9"/>
    <w:rsid w:val="001571DD"/>
    <w:rsid w:val="0015730C"/>
    <w:rsid w:val="00157369"/>
    <w:rsid w:val="001573B3"/>
    <w:rsid w:val="001573B9"/>
    <w:rsid w:val="00157477"/>
    <w:rsid w:val="00157499"/>
    <w:rsid w:val="001574CD"/>
    <w:rsid w:val="00157556"/>
    <w:rsid w:val="0015759B"/>
    <w:rsid w:val="001575F4"/>
    <w:rsid w:val="00157636"/>
    <w:rsid w:val="00157649"/>
    <w:rsid w:val="0015767D"/>
    <w:rsid w:val="0015768F"/>
    <w:rsid w:val="001576A6"/>
    <w:rsid w:val="001576A9"/>
    <w:rsid w:val="0015773D"/>
    <w:rsid w:val="00157763"/>
    <w:rsid w:val="001577A0"/>
    <w:rsid w:val="001577AD"/>
    <w:rsid w:val="00157847"/>
    <w:rsid w:val="001578DF"/>
    <w:rsid w:val="001578E3"/>
    <w:rsid w:val="00157912"/>
    <w:rsid w:val="00157926"/>
    <w:rsid w:val="00157957"/>
    <w:rsid w:val="00157A5A"/>
    <w:rsid w:val="00157A87"/>
    <w:rsid w:val="00157A9E"/>
    <w:rsid w:val="00157AAE"/>
    <w:rsid w:val="00157B29"/>
    <w:rsid w:val="00157B78"/>
    <w:rsid w:val="00157BCA"/>
    <w:rsid w:val="00157BFC"/>
    <w:rsid w:val="00157C12"/>
    <w:rsid w:val="00157C55"/>
    <w:rsid w:val="00157C61"/>
    <w:rsid w:val="00157C9C"/>
    <w:rsid w:val="00157C9E"/>
    <w:rsid w:val="00157CC4"/>
    <w:rsid w:val="00157D07"/>
    <w:rsid w:val="00157D0C"/>
    <w:rsid w:val="00157D3A"/>
    <w:rsid w:val="00157D73"/>
    <w:rsid w:val="00157D7F"/>
    <w:rsid w:val="00157DAF"/>
    <w:rsid w:val="00157DDB"/>
    <w:rsid w:val="00157EB3"/>
    <w:rsid w:val="00157EBB"/>
    <w:rsid w:val="00157F06"/>
    <w:rsid w:val="00157F12"/>
    <w:rsid w:val="00157F27"/>
    <w:rsid w:val="00157F5F"/>
    <w:rsid w:val="001600B2"/>
    <w:rsid w:val="00160142"/>
    <w:rsid w:val="00160181"/>
    <w:rsid w:val="001601FF"/>
    <w:rsid w:val="001602EB"/>
    <w:rsid w:val="0016030C"/>
    <w:rsid w:val="00160367"/>
    <w:rsid w:val="001603A8"/>
    <w:rsid w:val="001603FC"/>
    <w:rsid w:val="0016040D"/>
    <w:rsid w:val="00160469"/>
    <w:rsid w:val="00160499"/>
    <w:rsid w:val="001604CB"/>
    <w:rsid w:val="00160559"/>
    <w:rsid w:val="00160682"/>
    <w:rsid w:val="00160697"/>
    <w:rsid w:val="001606A3"/>
    <w:rsid w:val="0016070B"/>
    <w:rsid w:val="00160743"/>
    <w:rsid w:val="0016076B"/>
    <w:rsid w:val="001607C6"/>
    <w:rsid w:val="001607DF"/>
    <w:rsid w:val="001607E0"/>
    <w:rsid w:val="00160964"/>
    <w:rsid w:val="00160A0D"/>
    <w:rsid w:val="00160AC0"/>
    <w:rsid w:val="00160B1C"/>
    <w:rsid w:val="00160B40"/>
    <w:rsid w:val="00160B54"/>
    <w:rsid w:val="00160BAC"/>
    <w:rsid w:val="00160BB6"/>
    <w:rsid w:val="00160BFF"/>
    <w:rsid w:val="00160C74"/>
    <w:rsid w:val="00160C88"/>
    <w:rsid w:val="00160C9A"/>
    <w:rsid w:val="00160CB9"/>
    <w:rsid w:val="00160D2A"/>
    <w:rsid w:val="00160D34"/>
    <w:rsid w:val="00160D41"/>
    <w:rsid w:val="00160D46"/>
    <w:rsid w:val="00160D5A"/>
    <w:rsid w:val="00160D9A"/>
    <w:rsid w:val="00160DCC"/>
    <w:rsid w:val="00160E7D"/>
    <w:rsid w:val="00160E98"/>
    <w:rsid w:val="00160EA5"/>
    <w:rsid w:val="00160ECD"/>
    <w:rsid w:val="00160F7D"/>
    <w:rsid w:val="00160F7F"/>
    <w:rsid w:val="00160FF1"/>
    <w:rsid w:val="00161026"/>
    <w:rsid w:val="0016106C"/>
    <w:rsid w:val="00161089"/>
    <w:rsid w:val="00161115"/>
    <w:rsid w:val="00161139"/>
    <w:rsid w:val="0016114E"/>
    <w:rsid w:val="00161163"/>
    <w:rsid w:val="0016116F"/>
    <w:rsid w:val="00161189"/>
    <w:rsid w:val="001611A0"/>
    <w:rsid w:val="001611EA"/>
    <w:rsid w:val="00161269"/>
    <w:rsid w:val="001612E6"/>
    <w:rsid w:val="00161307"/>
    <w:rsid w:val="00161368"/>
    <w:rsid w:val="0016136A"/>
    <w:rsid w:val="00161455"/>
    <w:rsid w:val="0016146B"/>
    <w:rsid w:val="001614BA"/>
    <w:rsid w:val="001614DF"/>
    <w:rsid w:val="00161545"/>
    <w:rsid w:val="00161565"/>
    <w:rsid w:val="001615B0"/>
    <w:rsid w:val="001615BC"/>
    <w:rsid w:val="00161614"/>
    <w:rsid w:val="00161688"/>
    <w:rsid w:val="001616AB"/>
    <w:rsid w:val="00161765"/>
    <w:rsid w:val="001617C2"/>
    <w:rsid w:val="0016181D"/>
    <w:rsid w:val="00161822"/>
    <w:rsid w:val="0016185D"/>
    <w:rsid w:val="0016188B"/>
    <w:rsid w:val="0016194E"/>
    <w:rsid w:val="001619A2"/>
    <w:rsid w:val="001619C8"/>
    <w:rsid w:val="001619EF"/>
    <w:rsid w:val="00161A0C"/>
    <w:rsid w:val="00161A2D"/>
    <w:rsid w:val="00161A2F"/>
    <w:rsid w:val="00161A7A"/>
    <w:rsid w:val="00161AD8"/>
    <w:rsid w:val="00161AF2"/>
    <w:rsid w:val="00161B15"/>
    <w:rsid w:val="00161B29"/>
    <w:rsid w:val="00161BB6"/>
    <w:rsid w:val="00161BCE"/>
    <w:rsid w:val="00161C20"/>
    <w:rsid w:val="00161C33"/>
    <w:rsid w:val="00161C46"/>
    <w:rsid w:val="00161C4A"/>
    <w:rsid w:val="00161D83"/>
    <w:rsid w:val="00161D8E"/>
    <w:rsid w:val="00161DCD"/>
    <w:rsid w:val="00161EAD"/>
    <w:rsid w:val="00161EAF"/>
    <w:rsid w:val="00161EDD"/>
    <w:rsid w:val="00161F2B"/>
    <w:rsid w:val="0016206C"/>
    <w:rsid w:val="001620B5"/>
    <w:rsid w:val="001620DB"/>
    <w:rsid w:val="001620DC"/>
    <w:rsid w:val="001620F4"/>
    <w:rsid w:val="00162105"/>
    <w:rsid w:val="0016216C"/>
    <w:rsid w:val="0016219A"/>
    <w:rsid w:val="001621A5"/>
    <w:rsid w:val="001621BF"/>
    <w:rsid w:val="001621C2"/>
    <w:rsid w:val="001621E5"/>
    <w:rsid w:val="0016222F"/>
    <w:rsid w:val="00162255"/>
    <w:rsid w:val="0016227B"/>
    <w:rsid w:val="0016229F"/>
    <w:rsid w:val="001622D9"/>
    <w:rsid w:val="00162328"/>
    <w:rsid w:val="00162395"/>
    <w:rsid w:val="00162396"/>
    <w:rsid w:val="00162463"/>
    <w:rsid w:val="001624A5"/>
    <w:rsid w:val="001624AB"/>
    <w:rsid w:val="001624E0"/>
    <w:rsid w:val="00162518"/>
    <w:rsid w:val="0016253A"/>
    <w:rsid w:val="0016255C"/>
    <w:rsid w:val="0016257A"/>
    <w:rsid w:val="001625DD"/>
    <w:rsid w:val="0016262D"/>
    <w:rsid w:val="001626B4"/>
    <w:rsid w:val="001626F9"/>
    <w:rsid w:val="00162700"/>
    <w:rsid w:val="0016270E"/>
    <w:rsid w:val="0016272E"/>
    <w:rsid w:val="001627AA"/>
    <w:rsid w:val="001627B7"/>
    <w:rsid w:val="001627C4"/>
    <w:rsid w:val="001627CE"/>
    <w:rsid w:val="001627FA"/>
    <w:rsid w:val="0016286D"/>
    <w:rsid w:val="0016286E"/>
    <w:rsid w:val="00162876"/>
    <w:rsid w:val="001628E8"/>
    <w:rsid w:val="001628F6"/>
    <w:rsid w:val="0016296D"/>
    <w:rsid w:val="001629A2"/>
    <w:rsid w:val="00162AD5"/>
    <w:rsid w:val="00162ADF"/>
    <w:rsid w:val="00162B1F"/>
    <w:rsid w:val="00162B45"/>
    <w:rsid w:val="00162B8E"/>
    <w:rsid w:val="00162BB5"/>
    <w:rsid w:val="00162BEC"/>
    <w:rsid w:val="00162C4A"/>
    <w:rsid w:val="00162C50"/>
    <w:rsid w:val="00162CDB"/>
    <w:rsid w:val="00162CDE"/>
    <w:rsid w:val="00162D71"/>
    <w:rsid w:val="00162DC6"/>
    <w:rsid w:val="00162DCE"/>
    <w:rsid w:val="00162DFA"/>
    <w:rsid w:val="00162E2E"/>
    <w:rsid w:val="00162E76"/>
    <w:rsid w:val="00162E97"/>
    <w:rsid w:val="00162EE6"/>
    <w:rsid w:val="00162F4E"/>
    <w:rsid w:val="00162F6C"/>
    <w:rsid w:val="00162F8D"/>
    <w:rsid w:val="00162FAF"/>
    <w:rsid w:val="00162FBC"/>
    <w:rsid w:val="00162FDC"/>
    <w:rsid w:val="00162FEE"/>
    <w:rsid w:val="00163007"/>
    <w:rsid w:val="00163123"/>
    <w:rsid w:val="0016312C"/>
    <w:rsid w:val="00163187"/>
    <w:rsid w:val="0016318C"/>
    <w:rsid w:val="00163191"/>
    <w:rsid w:val="00163242"/>
    <w:rsid w:val="0016326C"/>
    <w:rsid w:val="00163292"/>
    <w:rsid w:val="001632B1"/>
    <w:rsid w:val="001632EC"/>
    <w:rsid w:val="0016333F"/>
    <w:rsid w:val="00163371"/>
    <w:rsid w:val="00163451"/>
    <w:rsid w:val="00163483"/>
    <w:rsid w:val="00163488"/>
    <w:rsid w:val="001634FF"/>
    <w:rsid w:val="00163541"/>
    <w:rsid w:val="0016356C"/>
    <w:rsid w:val="0016358E"/>
    <w:rsid w:val="0016359D"/>
    <w:rsid w:val="001635FC"/>
    <w:rsid w:val="00163643"/>
    <w:rsid w:val="00163648"/>
    <w:rsid w:val="0016366A"/>
    <w:rsid w:val="001636C3"/>
    <w:rsid w:val="001637CE"/>
    <w:rsid w:val="001637DF"/>
    <w:rsid w:val="0016380E"/>
    <w:rsid w:val="00163814"/>
    <w:rsid w:val="00163816"/>
    <w:rsid w:val="00163820"/>
    <w:rsid w:val="00163856"/>
    <w:rsid w:val="00163880"/>
    <w:rsid w:val="001638B1"/>
    <w:rsid w:val="001638F5"/>
    <w:rsid w:val="001638FF"/>
    <w:rsid w:val="00163922"/>
    <w:rsid w:val="00163925"/>
    <w:rsid w:val="00163956"/>
    <w:rsid w:val="00163970"/>
    <w:rsid w:val="001639B8"/>
    <w:rsid w:val="001639CE"/>
    <w:rsid w:val="001639F1"/>
    <w:rsid w:val="00163A6B"/>
    <w:rsid w:val="00163A6C"/>
    <w:rsid w:val="00163AC9"/>
    <w:rsid w:val="00163AE6"/>
    <w:rsid w:val="00163B4E"/>
    <w:rsid w:val="00163B53"/>
    <w:rsid w:val="00163BBD"/>
    <w:rsid w:val="00163BC0"/>
    <w:rsid w:val="00163BF9"/>
    <w:rsid w:val="00163C6F"/>
    <w:rsid w:val="00163C7F"/>
    <w:rsid w:val="00163CB3"/>
    <w:rsid w:val="00163D13"/>
    <w:rsid w:val="00163D1D"/>
    <w:rsid w:val="00163D2C"/>
    <w:rsid w:val="00163D5B"/>
    <w:rsid w:val="00163D67"/>
    <w:rsid w:val="00163D69"/>
    <w:rsid w:val="00163DF1"/>
    <w:rsid w:val="00163E0D"/>
    <w:rsid w:val="00163E26"/>
    <w:rsid w:val="00163E73"/>
    <w:rsid w:val="00163FA5"/>
    <w:rsid w:val="00164019"/>
    <w:rsid w:val="00164022"/>
    <w:rsid w:val="0016402D"/>
    <w:rsid w:val="00164039"/>
    <w:rsid w:val="0016404E"/>
    <w:rsid w:val="0016405B"/>
    <w:rsid w:val="0016407F"/>
    <w:rsid w:val="00164086"/>
    <w:rsid w:val="001640A7"/>
    <w:rsid w:val="001640AF"/>
    <w:rsid w:val="00164111"/>
    <w:rsid w:val="0016415F"/>
    <w:rsid w:val="00164185"/>
    <w:rsid w:val="00164199"/>
    <w:rsid w:val="00164217"/>
    <w:rsid w:val="0016425B"/>
    <w:rsid w:val="00164275"/>
    <w:rsid w:val="0016431F"/>
    <w:rsid w:val="00164422"/>
    <w:rsid w:val="00164431"/>
    <w:rsid w:val="00164435"/>
    <w:rsid w:val="00164478"/>
    <w:rsid w:val="001644CD"/>
    <w:rsid w:val="001644E8"/>
    <w:rsid w:val="001645B5"/>
    <w:rsid w:val="0016463D"/>
    <w:rsid w:val="00164694"/>
    <w:rsid w:val="001646CE"/>
    <w:rsid w:val="001646DE"/>
    <w:rsid w:val="001646F1"/>
    <w:rsid w:val="001646F6"/>
    <w:rsid w:val="00164736"/>
    <w:rsid w:val="00164787"/>
    <w:rsid w:val="00164799"/>
    <w:rsid w:val="0016479D"/>
    <w:rsid w:val="001647AE"/>
    <w:rsid w:val="001647CA"/>
    <w:rsid w:val="0016486C"/>
    <w:rsid w:val="001648FF"/>
    <w:rsid w:val="00164905"/>
    <w:rsid w:val="0016497B"/>
    <w:rsid w:val="001649A7"/>
    <w:rsid w:val="001649BD"/>
    <w:rsid w:val="001649C8"/>
    <w:rsid w:val="001649F9"/>
    <w:rsid w:val="00164A0A"/>
    <w:rsid w:val="00164A11"/>
    <w:rsid w:val="00164A48"/>
    <w:rsid w:val="00164AA6"/>
    <w:rsid w:val="00164AB5"/>
    <w:rsid w:val="00164AB6"/>
    <w:rsid w:val="00164B4F"/>
    <w:rsid w:val="00164BB6"/>
    <w:rsid w:val="00164BC9"/>
    <w:rsid w:val="00164BFE"/>
    <w:rsid w:val="00164C10"/>
    <w:rsid w:val="00164C58"/>
    <w:rsid w:val="00164C60"/>
    <w:rsid w:val="00164CB3"/>
    <w:rsid w:val="00164CEF"/>
    <w:rsid w:val="00164D4E"/>
    <w:rsid w:val="00164D83"/>
    <w:rsid w:val="00164DA1"/>
    <w:rsid w:val="00164DD7"/>
    <w:rsid w:val="00164DFE"/>
    <w:rsid w:val="00164E53"/>
    <w:rsid w:val="00164E56"/>
    <w:rsid w:val="00164E95"/>
    <w:rsid w:val="00164ECD"/>
    <w:rsid w:val="00164FC1"/>
    <w:rsid w:val="00165090"/>
    <w:rsid w:val="001650B2"/>
    <w:rsid w:val="001650F6"/>
    <w:rsid w:val="00165107"/>
    <w:rsid w:val="00165108"/>
    <w:rsid w:val="00165148"/>
    <w:rsid w:val="0016518A"/>
    <w:rsid w:val="001651DF"/>
    <w:rsid w:val="0016520A"/>
    <w:rsid w:val="00165295"/>
    <w:rsid w:val="0016529E"/>
    <w:rsid w:val="001652D1"/>
    <w:rsid w:val="00165375"/>
    <w:rsid w:val="001653A5"/>
    <w:rsid w:val="001653B3"/>
    <w:rsid w:val="0016540F"/>
    <w:rsid w:val="001654AF"/>
    <w:rsid w:val="001654B3"/>
    <w:rsid w:val="001654B4"/>
    <w:rsid w:val="001654F0"/>
    <w:rsid w:val="00165510"/>
    <w:rsid w:val="0016553C"/>
    <w:rsid w:val="00165541"/>
    <w:rsid w:val="00165579"/>
    <w:rsid w:val="00165588"/>
    <w:rsid w:val="0016559C"/>
    <w:rsid w:val="00165667"/>
    <w:rsid w:val="001656A2"/>
    <w:rsid w:val="0016571A"/>
    <w:rsid w:val="0016575C"/>
    <w:rsid w:val="001657EB"/>
    <w:rsid w:val="001657EC"/>
    <w:rsid w:val="001658A3"/>
    <w:rsid w:val="001658AC"/>
    <w:rsid w:val="00165904"/>
    <w:rsid w:val="0016590F"/>
    <w:rsid w:val="00165979"/>
    <w:rsid w:val="00165A07"/>
    <w:rsid w:val="00165A11"/>
    <w:rsid w:val="00165A73"/>
    <w:rsid w:val="00165B18"/>
    <w:rsid w:val="00165B1F"/>
    <w:rsid w:val="00165B44"/>
    <w:rsid w:val="00165BA2"/>
    <w:rsid w:val="00165BC1"/>
    <w:rsid w:val="00165BC9"/>
    <w:rsid w:val="00165BF1"/>
    <w:rsid w:val="00165C3D"/>
    <w:rsid w:val="00165C4D"/>
    <w:rsid w:val="00165C63"/>
    <w:rsid w:val="00165C9D"/>
    <w:rsid w:val="00165D1A"/>
    <w:rsid w:val="00165D85"/>
    <w:rsid w:val="00165D95"/>
    <w:rsid w:val="00165DCB"/>
    <w:rsid w:val="00165DFA"/>
    <w:rsid w:val="00165E2E"/>
    <w:rsid w:val="00165E6F"/>
    <w:rsid w:val="00165EDB"/>
    <w:rsid w:val="00165F2D"/>
    <w:rsid w:val="00165FA8"/>
    <w:rsid w:val="00165FB8"/>
    <w:rsid w:val="00165FD4"/>
    <w:rsid w:val="00165FF4"/>
    <w:rsid w:val="0016602C"/>
    <w:rsid w:val="00166081"/>
    <w:rsid w:val="001660EF"/>
    <w:rsid w:val="001660F4"/>
    <w:rsid w:val="0016610E"/>
    <w:rsid w:val="00166175"/>
    <w:rsid w:val="001661C6"/>
    <w:rsid w:val="001661DA"/>
    <w:rsid w:val="001661FE"/>
    <w:rsid w:val="001662A4"/>
    <w:rsid w:val="001662B1"/>
    <w:rsid w:val="001662FD"/>
    <w:rsid w:val="0016630D"/>
    <w:rsid w:val="00166314"/>
    <w:rsid w:val="0016631B"/>
    <w:rsid w:val="001663E6"/>
    <w:rsid w:val="00166412"/>
    <w:rsid w:val="00166459"/>
    <w:rsid w:val="001664A8"/>
    <w:rsid w:val="00166503"/>
    <w:rsid w:val="00166507"/>
    <w:rsid w:val="00166537"/>
    <w:rsid w:val="0016655E"/>
    <w:rsid w:val="0016656E"/>
    <w:rsid w:val="0016658A"/>
    <w:rsid w:val="0016660F"/>
    <w:rsid w:val="0016662E"/>
    <w:rsid w:val="00166677"/>
    <w:rsid w:val="0016667E"/>
    <w:rsid w:val="001666DE"/>
    <w:rsid w:val="00166716"/>
    <w:rsid w:val="00166752"/>
    <w:rsid w:val="00166761"/>
    <w:rsid w:val="00166778"/>
    <w:rsid w:val="001667C8"/>
    <w:rsid w:val="001667E2"/>
    <w:rsid w:val="0016682E"/>
    <w:rsid w:val="00166858"/>
    <w:rsid w:val="001668E2"/>
    <w:rsid w:val="001668ED"/>
    <w:rsid w:val="00166939"/>
    <w:rsid w:val="00166985"/>
    <w:rsid w:val="0016699A"/>
    <w:rsid w:val="001669BA"/>
    <w:rsid w:val="001669E8"/>
    <w:rsid w:val="001669FE"/>
    <w:rsid w:val="00166A00"/>
    <w:rsid w:val="00166A22"/>
    <w:rsid w:val="00166A64"/>
    <w:rsid w:val="00166A82"/>
    <w:rsid w:val="00166B60"/>
    <w:rsid w:val="00166BBD"/>
    <w:rsid w:val="00166C1E"/>
    <w:rsid w:val="00166C31"/>
    <w:rsid w:val="00166C6A"/>
    <w:rsid w:val="00166C87"/>
    <w:rsid w:val="00166C9F"/>
    <w:rsid w:val="00166CA8"/>
    <w:rsid w:val="00166CDE"/>
    <w:rsid w:val="00166CF0"/>
    <w:rsid w:val="00166D19"/>
    <w:rsid w:val="00166D8F"/>
    <w:rsid w:val="00166DB6"/>
    <w:rsid w:val="00166DC1"/>
    <w:rsid w:val="00166DC8"/>
    <w:rsid w:val="00166DFF"/>
    <w:rsid w:val="00166E8D"/>
    <w:rsid w:val="00166E96"/>
    <w:rsid w:val="00166EC7"/>
    <w:rsid w:val="00166F99"/>
    <w:rsid w:val="00166FA7"/>
    <w:rsid w:val="00166FE4"/>
    <w:rsid w:val="0016704F"/>
    <w:rsid w:val="0016707C"/>
    <w:rsid w:val="001670A2"/>
    <w:rsid w:val="001670C5"/>
    <w:rsid w:val="0016711D"/>
    <w:rsid w:val="00167128"/>
    <w:rsid w:val="00167150"/>
    <w:rsid w:val="00167168"/>
    <w:rsid w:val="0016718D"/>
    <w:rsid w:val="00167203"/>
    <w:rsid w:val="00167284"/>
    <w:rsid w:val="00167329"/>
    <w:rsid w:val="00167380"/>
    <w:rsid w:val="00167394"/>
    <w:rsid w:val="0016742D"/>
    <w:rsid w:val="00167456"/>
    <w:rsid w:val="00167473"/>
    <w:rsid w:val="00167482"/>
    <w:rsid w:val="00167489"/>
    <w:rsid w:val="00167492"/>
    <w:rsid w:val="001674D0"/>
    <w:rsid w:val="00167587"/>
    <w:rsid w:val="001675D5"/>
    <w:rsid w:val="001675E2"/>
    <w:rsid w:val="001675E6"/>
    <w:rsid w:val="0016762F"/>
    <w:rsid w:val="00167666"/>
    <w:rsid w:val="001676ED"/>
    <w:rsid w:val="00167737"/>
    <w:rsid w:val="001677BE"/>
    <w:rsid w:val="001677FE"/>
    <w:rsid w:val="00167822"/>
    <w:rsid w:val="001678A9"/>
    <w:rsid w:val="0016797F"/>
    <w:rsid w:val="001679D7"/>
    <w:rsid w:val="00167A7A"/>
    <w:rsid w:val="00167ACC"/>
    <w:rsid w:val="00167ADC"/>
    <w:rsid w:val="00167B0E"/>
    <w:rsid w:val="00167B3D"/>
    <w:rsid w:val="00167BDB"/>
    <w:rsid w:val="00167BF9"/>
    <w:rsid w:val="00167C51"/>
    <w:rsid w:val="00167C9D"/>
    <w:rsid w:val="00167CA2"/>
    <w:rsid w:val="00167CA6"/>
    <w:rsid w:val="00167CBD"/>
    <w:rsid w:val="00167CCE"/>
    <w:rsid w:val="00167D6F"/>
    <w:rsid w:val="00167E48"/>
    <w:rsid w:val="00167E61"/>
    <w:rsid w:val="00167E80"/>
    <w:rsid w:val="00167EAC"/>
    <w:rsid w:val="00167ECB"/>
    <w:rsid w:val="00167EF0"/>
    <w:rsid w:val="00167F5D"/>
    <w:rsid w:val="00167F76"/>
    <w:rsid w:val="00167FA2"/>
    <w:rsid w:val="00167FC2"/>
    <w:rsid w:val="00167FD4"/>
    <w:rsid w:val="001700A9"/>
    <w:rsid w:val="001700AA"/>
    <w:rsid w:val="001700DA"/>
    <w:rsid w:val="001700E6"/>
    <w:rsid w:val="0017019E"/>
    <w:rsid w:val="001701EA"/>
    <w:rsid w:val="00170202"/>
    <w:rsid w:val="00170212"/>
    <w:rsid w:val="0017022C"/>
    <w:rsid w:val="001702A2"/>
    <w:rsid w:val="001702D5"/>
    <w:rsid w:val="00170380"/>
    <w:rsid w:val="001703D6"/>
    <w:rsid w:val="001703E9"/>
    <w:rsid w:val="00170440"/>
    <w:rsid w:val="001704E8"/>
    <w:rsid w:val="001704F5"/>
    <w:rsid w:val="0017052F"/>
    <w:rsid w:val="0017055D"/>
    <w:rsid w:val="001705AA"/>
    <w:rsid w:val="001705C7"/>
    <w:rsid w:val="001705EA"/>
    <w:rsid w:val="00170636"/>
    <w:rsid w:val="0017063B"/>
    <w:rsid w:val="001706B1"/>
    <w:rsid w:val="0017077B"/>
    <w:rsid w:val="001707C9"/>
    <w:rsid w:val="00170826"/>
    <w:rsid w:val="00170828"/>
    <w:rsid w:val="0017084D"/>
    <w:rsid w:val="0017086A"/>
    <w:rsid w:val="001708AA"/>
    <w:rsid w:val="0017094E"/>
    <w:rsid w:val="001709AE"/>
    <w:rsid w:val="001709B7"/>
    <w:rsid w:val="00170ABB"/>
    <w:rsid w:val="00170AE6"/>
    <w:rsid w:val="00170B26"/>
    <w:rsid w:val="00170B50"/>
    <w:rsid w:val="00170B7D"/>
    <w:rsid w:val="00170C1D"/>
    <w:rsid w:val="00170C37"/>
    <w:rsid w:val="00170C77"/>
    <w:rsid w:val="00170CDB"/>
    <w:rsid w:val="00170CF0"/>
    <w:rsid w:val="00170D13"/>
    <w:rsid w:val="00170D77"/>
    <w:rsid w:val="00170D7C"/>
    <w:rsid w:val="00170D8E"/>
    <w:rsid w:val="00170DDA"/>
    <w:rsid w:val="00170DE5"/>
    <w:rsid w:val="00170E55"/>
    <w:rsid w:val="00170E92"/>
    <w:rsid w:val="00170EBC"/>
    <w:rsid w:val="00170EC0"/>
    <w:rsid w:val="00170F95"/>
    <w:rsid w:val="00170FAA"/>
    <w:rsid w:val="00170FD1"/>
    <w:rsid w:val="00170FE7"/>
    <w:rsid w:val="0017100B"/>
    <w:rsid w:val="00171037"/>
    <w:rsid w:val="00171062"/>
    <w:rsid w:val="001710AD"/>
    <w:rsid w:val="00171141"/>
    <w:rsid w:val="00171182"/>
    <w:rsid w:val="001711C2"/>
    <w:rsid w:val="001711E7"/>
    <w:rsid w:val="001711FB"/>
    <w:rsid w:val="0017122F"/>
    <w:rsid w:val="00171235"/>
    <w:rsid w:val="001712A6"/>
    <w:rsid w:val="0017135D"/>
    <w:rsid w:val="001713DD"/>
    <w:rsid w:val="0017144E"/>
    <w:rsid w:val="00171467"/>
    <w:rsid w:val="001714AB"/>
    <w:rsid w:val="001714CD"/>
    <w:rsid w:val="001714E9"/>
    <w:rsid w:val="0017150F"/>
    <w:rsid w:val="00171552"/>
    <w:rsid w:val="00171557"/>
    <w:rsid w:val="001715E4"/>
    <w:rsid w:val="001715EF"/>
    <w:rsid w:val="001715F8"/>
    <w:rsid w:val="001715FA"/>
    <w:rsid w:val="0017161D"/>
    <w:rsid w:val="0017163D"/>
    <w:rsid w:val="00171659"/>
    <w:rsid w:val="00171673"/>
    <w:rsid w:val="001716BE"/>
    <w:rsid w:val="00171709"/>
    <w:rsid w:val="0017171A"/>
    <w:rsid w:val="00171780"/>
    <w:rsid w:val="001717D5"/>
    <w:rsid w:val="0017184B"/>
    <w:rsid w:val="00171856"/>
    <w:rsid w:val="001718A2"/>
    <w:rsid w:val="001718A6"/>
    <w:rsid w:val="0017191C"/>
    <w:rsid w:val="0017192E"/>
    <w:rsid w:val="0017194D"/>
    <w:rsid w:val="00171971"/>
    <w:rsid w:val="001719D8"/>
    <w:rsid w:val="001719F9"/>
    <w:rsid w:val="00171A0F"/>
    <w:rsid w:val="00171A14"/>
    <w:rsid w:val="00171A3B"/>
    <w:rsid w:val="00171A58"/>
    <w:rsid w:val="00171A5C"/>
    <w:rsid w:val="00171A75"/>
    <w:rsid w:val="00171A99"/>
    <w:rsid w:val="00171AC1"/>
    <w:rsid w:val="00171ADF"/>
    <w:rsid w:val="00171B59"/>
    <w:rsid w:val="00171B73"/>
    <w:rsid w:val="00171B8A"/>
    <w:rsid w:val="00171B9E"/>
    <w:rsid w:val="00171BDE"/>
    <w:rsid w:val="00171BE0"/>
    <w:rsid w:val="00171C1C"/>
    <w:rsid w:val="00171C77"/>
    <w:rsid w:val="00171CB5"/>
    <w:rsid w:val="00171CFF"/>
    <w:rsid w:val="00171D4D"/>
    <w:rsid w:val="00171D89"/>
    <w:rsid w:val="00171DC9"/>
    <w:rsid w:val="00171E0F"/>
    <w:rsid w:val="00171E21"/>
    <w:rsid w:val="00171E9F"/>
    <w:rsid w:val="00171EB6"/>
    <w:rsid w:val="00171F09"/>
    <w:rsid w:val="00171F17"/>
    <w:rsid w:val="00171F31"/>
    <w:rsid w:val="00171F61"/>
    <w:rsid w:val="00171F95"/>
    <w:rsid w:val="00171FA1"/>
    <w:rsid w:val="0017204A"/>
    <w:rsid w:val="00172089"/>
    <w:rsid w:val="001720E7"/>
    <w:rsid w:val="001720FE"/>
    <w:rsid w:val="00172100"/>
    <w:rsid w:val="0017213B"/>
    <w:rsid w:val="0017217A"/>
    <w:rsid w:val="0017218D"/>
    <w:rsid w:val="001722AD"/>
    <w:rsid w:val="001722EC"/>
    <w:rsid w:val="0017231B"/>
    <w:rsid w:val="00172328"/>
    <w:rsid w:val="001723B6"/>
    <w:rsid w:val="001723D2"/>
    <w:rsid w:val="00172416"/>
    <w:rsid w:val="00172444"/>
    <w:rsid w:val="001724FB"/>
    <w:rsid w:val="0017259B"/>
    <w:rsid w:val="001725E3"/>
    <w:rsid w:val="0017266B"/>
    <w:rsid w:val="00172680"/>
    <w:rsid w:val="00172685"/>
    <w:rsid w:val="001726A0"/>
    <w:rsid w:val="001726B4"/>
    <w:rsid w:val="00172736"/>
    <w:rsid w:val="00172749"/>
    <w:rsid w:val="0017274B"/>
    <w:rsid w:val="00172756"/>
    <w:rsid w:val="001727C4"/>
    <w:rsid w:val="001727FC"/>
    <w:rsid w:val="00172809"/>
    <w:rsid w:val="00172875"/>
    <w:rsid w:val="001728A7"/>
    <w:rsid w:val="001728A8"/>
    <w:rsid w:val="00172995"/>
    <w:rsid w:val="001729F2"/>
    <w:rsid w:val="00172A01"/>
    <w:rsid w:val="00172A04"/>
    <w:rsid w:val="00172A48"/>
    <w:rsid w:val="00172A4F"/>
    <w:rsid w:val="00172A61"/>
    <w:rsid w:val="00172A7C"/>
    <w:rsid w:val="00172ADE"/>
    <w:rsid w:val="00172B2E"/>
    <w:rsid w:val="00172B39"/>
    <w:rsid w:val="00172B72"/>
    <w:rsid w:val="00172B7C"/>
    <w:rsid w:val="00172BCB"/>
    <w:rsid w:val="00172C4D"/>
    <w:rsid w:val="00172C8C"/>
    <w:rsid w:val="00172CF4"/>
    <w:rsid w:val="00172D1A"/>
    <w:rsid w:val="00172D59"/>
    <w:rsid w:val="00172D85"/>
    <w:rsid w:val="00172DD5"/>
    <w:rsid w:val="00172E06"/>
    <w:rsid w:val="00172EA1"/>
    <w:rsid w:val="00172EAC"/>
    <w:rsid w:val="00172EB3"/>
    <w:rsid w:val="00172EB6"/>
    <w:rsid w:val="00172F0B"/>
    <w:rsid w:val="00172F1A"/>
    <w:rsid w:val="00172F1E"/>
    <w:rsid w:val="00172F4D"/>
    <w:rsid w:val="00172F6D"/>
    <w:rsid w:val="0017300B"/>
    <w:rsid w:val="00173040"/>
    <w:rsid w:val="001730D0"/>
    <w:rsid w:val="0017312F"/>
    <w:rsid w:val="001731F7"/>
    <w:rsid w:val="00173303"/>
    <w:rsid w:val="00173371"/>
    <w:rsid w:val="001733B1"/>
    <w:rsid w:val="001733B5"/>
    <w:rsid w:val="0017340D"/>
    <w:rsid w:val="00173430"/>
    <w:rsid w:val="0017343E"/>
    <w:rsid w:val="00173459"/>
    <w:rsid w:val="00173496"/>
    <w:rsid w:val="001734A1"/>
    <w:rsid w:val="001734CE"/>
    <w:rsid w:val="001734FB"/>
    <w:rsid w:val="00173568"/>
    <w:rsid w:val="001735DE"/>
    <w:rsid w:val="001735EB"/>
    <w:rsid w:val="00173653"/>
    <w:rsid w:val="00173675"/>
    <w:rsid w:val="00173739"/>
    <w:rsid w:val="00173753"/>
    <w:rsid w:val="00173760"/>
    <w:rsid w:val="00173766"/>
    <w:rsid w:val="00173791"/>
    <w:rsid w:val="001737D1"/>
    <w:rsid w:val="0017380E"/>
    <w:rsid w:val="00173823"/>
    <w:rsid w:val="00173825"/>
    <w:rsid w:val="001738AA"/>
    <w:rsid w:val="0017391F"/>
    <w:rsid w:val="001739A4"/>
    <w:rsid w:val="00173A54"/>
    <w:rsid w:val="00173A71"/>
    <w:rsid w:val="00173AE2"/>
    <w:rsid w:val="00173B52"/>
    <w:rsid w:val="00173B62"/>
    <w:rsid w:val="00173BB4"/>
    <w:rsid w:val="00173BCF"/>
    <w:rsid w:val="00173C93"/>
    <w:rsid w:val="00173CA2"/>
    <w:rsid w:val="00173D15"/>
    <w:rsid w:val="00173D8F"/>
    <w:rsid w:val="00173DAC"/>
    <w:rsid w:val="00173E1F"/>
    <w:rsid w:val="00173E34"/>
    <w:rsid w:val="00173E3A"/>
    <w:rsid w:val="00173E62"/>
    <w:rsid w:val="00173ECF"/>
    <w:rsid w:val="00173F40"/>
    <w:rsid w:val="00173F63"/>
    <w:rsid w:val="00173FA3"/>
    <w:rsid w:val="00173FC5"/>
    <w:rsid w:val="0017403D"/>
    <w:rsid w:val="00174051"/>
    <w:rsid w:val="0017409C"/>
    <w:rsid w:val="001740BD"/>
    <w:rsid w:val="0017416C"/>
    <w:rsid w:val="00174192"/>
    <w:rsid w:val="00174277"/>
    <w:rsid w:val="00174278"/>
    <w:rsid w:val="001742FF"/>
    <w:rsid w:val="00174328"/>
    <w:rsid w:val="00174332"/>
    <w:rsid w:val="0017433B"/>
    <w:rsid w:val="00174365"/>
    <w:rsid w:val="001743D1"/>
    <w:rsid w:val="00174404"/>
    <w:rsid w:val="00174417"/>
    <w:rsid w:val="00174431"/>
    <w:rsid w:val="00174438"/>
    <w:rsid w:val="00174502"/>
    <w:rsid w:val="00174543"/>
    <w:rsid w:val="0017454E"/>
    <w:rsid w:val="0017457D"/>
    <w:rsid w:val="001745C4"/>
    <w:rsid w:val="00174603"/>
    <w:rsid w:val="00174785"/>
    <w:rsid w:val="001747A0"/>
    <w:rsid w:val="001747CC"/>
    <w:rsid w:val="00174801"/>
    <w:rsid w:val="0017480A"/>
    <w:rsid w:val="0017481C"/>
    <w:rsid w:val="00174822"/>
    <w:rsid w:val="0017482D"/>
    <w:rsid w:val="00174839"/>
    <w:rsid w:val="00174843"/>
    <w:rsid w:val="001748D3"/>
    <w:rsid w:val="00174920"/>
    <w:rsid w:val="0017495F"/>
    <w:rsid w:val="001749AA"/>
    <w:rsid w:val="001749D5"/>
    <w:rsid w:val="00174A17"/>
    <w:rsid w:val="00174A92"/>
    <w:rsid w:val="00174A96"/>
    <w:rsid w:val="00174AC6"/>
    <w:rsid w:val="00174B15"/>
    <w:rsid w:val="00174B27"/>
    <w:rsid w:val="00174B98"/>
    <w:rsid w:val="00174BFD"/>
    <w:rsid w:val="00174C5A"/>
    <w:rsid w:val="00174CC2"/>
    <w:rsid w:val="00174D8D"/>
    <w:rsid w:val="00174DDD"/>
    <w:rsid w:val="00174E0E"/>
    <w:rsid w:val="00174E17"/>
    <w:rsid w:val="00174F25"/>
    <w:rsid w:val="00174F59"/>
    <w:rsid w:val="00174F60"/>
    <w:rsid w:val="00174F61"/>
    <w:rsid w:val="00174FB0"/>
    <w:rsid w:val="0017505F"/>
    <w:rsid w:val="001750C4"/>
    <w:rsid w:val="001750C6"/>
    <w:rsid w:val="001751A3"/>
    <w:rsid w:val="001751B7"/>
    <w:rsid w:val="001751B8"/>
    <w:rsid w:val="001751C1"/>
    <w:rsid w:val="00175201"/>
    <w:rsid w:val="0017525F"/>
    <w:rsid w:val="0017527C"/>
    <w:rsid w:val="00175282"/>
    <w:rsid w:val="00175290"/>
    <w:rsid w:val="001752F7"/>
    <w:rsid w:val="00175325"/>
    <w:rsid w:val="00175336"/>
    <w:rsid w:val="001753CA"/>
    <w:rsid w:val="001754F9"/>
    <w:rsid w:val="0017550C"/>
    <w:rsid w:val="001755CA"/>
    <w:rsid w:val="001755F1"/>
    <w:rsid w:val="001756DA"/>
    <w:rsid w:val="001757B0"/>
    <w:rsid w:val="0017580A"/>
    <w:rsid w:val="00175868"/>
    <w:rsid w:val="001758D9"/>
    <w:rsid w:val="001758DC"/>
    <w:rsid w:val="001758F0"/>
    <w:rsid w:val="0017592D"/>
    <w:rsid w:val="00175953"/>
    <w:rsid w:val="001759AB"/>
    <w:rsid w:val="001759D6"/>
    <w:rsid w:val="001759ED"/>
    <w:rsid w:val="00175A20"/>
    <w:rsid w:val="00175B31"/>
    <w:rsid w:val="00175B4E"/>
    <w:rsid w:val="00175B5D"/>
    <w:rsid w:val="00175B64"/>
    <w:rsid w:val="00175B6F"/>
    <w:rsid w:val="00175BD6"/>
    <w:rsid w:val="00175BDF"/>
    <w:rsid w:val="00175BF7"/>
    <w:rsid w:val="00175CB5"/>
    <w:rsid w:val="00175CC3"/>
    <w:rsid w:val="00175CCB"/>
    <w:rsid w:val="00175CFA"/>
    <w:rsid w:val="00175D3B"/>
    <w:rsid w:val="00175D6B"/>
    <w:rsid w:val="00175DD1"/>
    <w:rsid w:val="00175E1E"/>
    <w:rsid w:val="00175ED3"/>
    <w:rsid w:val="00175F67"/>
    <w:rsid w:val="00175F7E"/>
    <w:rsid w:val="00175FF0"/>
    <w:rsid w:val="00176001"/>
    <w:rsid w:val="00176024"/>
    <w:rsid w:val="00176046"/>
    <w:rsid w:val="00176067"/>
    <w:rsid w:val="0017606C"/>
    <w:rsid w:val="001760A6"/>
    <w:rsid w:val="001760AA"/>
    <w:rsid w:val="001760E5"/>
    <w:rsid w:val="001760FB"/>
    <w:rsid w:val="00176142"/>
    <w:rsid w:val="0017615E"/>
    <w:rsid w:val="001761BD"/>
    <w:rsid w:val="001761C0"/>
    <w:rsid w:val="00176266"/>
    <w:rsid w:val="00176339"/>
    <w:rsid w:val="0017633B"/>
    <w:rsid w:val="0017635A"/>
    <w:rsid w:val="0017636C"/>
    <w:rsid w:val="0017639B"/>
    <w:rsid w:val="001763A9"/>
    <w:rsid w:val="001763F1"/>
    <w:rsid w:val="0017640B"/>
    <w:rsid w:val="00176412"/>
    <w:rsid w:val="00176415"/>
    <w:rsid w:val="00176462"/>
    <w:rsid w:val="001764B7"/>
    <w:rsid w:val="001764D3"/>
    <w:rsid w:val="0017651B"/>
    <w:rsid w:val="00176536"/>
    <w:rsid w:val="0017653A"/>
    <w:rsid w:val="00176568"/>
    <w:rsid w:val="001765AA"/>
    <w:rsid w:val="00176673"/>
    <w:rsid w:val="00176686"/>
    <w:rsid w:val="001766B1"/>
    <w:rsid w:val="001766F4"/>
    <w:rsid w:val="00176760"/>
    <w:rsid w:val="001767B0"/>
    <w:rsid w:val="00176817"/>
    <w:rsid w:val="00176822"/>
    <w:rsid w:val="00176838"/>
    <w:rsid w:val="001768A0"/>
    <w:rsid w:val="001768AC"/>
    <w:rsid w:val="001768BE"/>
    <w:rsid w:val="001768DC"/>
    <w:rsid w:val="0017692E"/>
    <w:rsid w:val="001769B2"/>
    <w:rsid w:val="00176A30"/>
    <w:rsid w:val="00176A5A"/>
    <w:rsid w:val="00176A90"/>
    <w:rsid w:val="00176B15"/>
    <w:rsid w:val="00176B21"/>
    <w:rsid w:val="00176B6A"/>
    <w:rsid w:val="00176B79"/>
    <w:rsid w:val="00176B85"/>
    <w:rsid w:val="00176B99"/>
    <w:rsid w:val="00176BA7"/>
    <w:rsid w:val="00176BD8"/>
    <w:rsid w:val="00176BEA"/>
    <w:rsid w:val="00176BF5"/>
    <w:rsid w:val="00176BF6"/>
    <w:rsid w:val="00176C0E"/>
    <w:rsid w:val="00176C3C"/>
    <w:rsid w:val="00176C70"/>
    <w:rsid w:val="00176C8A"/>
    <w:rsid w:val="00176C9F"/>
    <w:rsid w:val="00176D0B"/>
    <w:rsid w:val="00176D52"/>
    <w:rsid w:val="00176D9E"/>
    <w:rsid w:val="00176DDE"/>
    <w:rsid w:val="00176E06"/>
    <w:rsid w:val="00176E16"/>
    <w:rsid w:val="00176E18"/>
    <w:rsid w:val="00176E28"/>
    <w:rsid w:val="00176E67"/>
    <w:rsid w:val="00176E73"/>
    <w:rsid w:val="00176E91"/>
    <w:rsid w:val="00176EA5"/>
    <w:rsid w:val="00176EAF"/>
    <w:rsid w:val="00176ECD"/>
    <w:rsid w:val="00176F46"/>
    <w:rsid w:val="00176F9A"/>
    <w:rsid w:val="00176FB8"/>
    <w:rsid w:val="00176FFF"/>
    <w:rsid w:val="00177014"/>
    <w:rsid w:val="00177050"/>
    <w:rsid w:val="00177094"/>
    <w:rsid w:val="001770CD"/>
    <w:rsid w:val="00177104"/>
    <w:rsid w:val="00177183"/>
    <w:rsid w:val="001771A1"/>
    <w:rsid w:val="001771CA"/>
    <w:rsid w:val="0017723B"/>
    <w:rsid w:val="0017729C"/>
    <w:rsid w:val="001772D2"/>
    <w:rsid w:val="001772F5"/>
    <w:rsid w:val="00177362"/>
    <w:rsid w:val="0017737A"/>
    <w:rsid w:val="001773BF"/>
    <w:rsid w:val="001773D8"/>
    <w:rsid w:val="001773F7"/>
    <w:rsid w:val="00177400"/>
    <w:rsid w:val="00177426"/>
    <w:rsid w:val="0017744F"/>
    <w:rsid w:val="0017745D"/>
    <w:rsid w:val="001774B4"/>
    <w:rsid w:val="001774BC"/>
    <w:rsid w:val="001774DA"/>
    <w:rsid w:val="00177518"/>
    <w:rsid w:val="00177538"/>
    <w:rsid w:val="0017753E"/>
    <w:rsid w:val="001775EF"/>
    <w:rsid w:val="00177661"/>
    <w:rsid w:val="0017767C"/>
    <w:rsid w:val="001776BA"/>
    <w:rsid w:val="001776E9"/>
    <w:rsid w:val="001776F3"/>
    <w:rsid w:val="00177709"/>
    <w:rsid w:val="00177743"/>
    <w:rsid w:val="00177790"/>
    <w:rsid w:val="0017785E"/>
    <w:rsid w:val="00177909"/>
    <w:rsid w:val="00177A0E"/>
    <w:rsid w:val="00177A22"/>
    <w:rsid w:val="00177AA2"/>
    <w:rsid w:val="00177B98"/>
    <w:rsid w:val="00177BC3"/>
    <w:rsid w:val="00177C79"/>
    <w:rsid w:val="00177C8B"/>
    <w:rsid w:val="00177C8F"/>
    <w:rsid w:val="00177CED"/>
    <w:rsid w:val="00177D59"/>
    <w:rsid w:val="00177D65"/>
    <w:rsid w:val="00177D78"/>
    <w:rsid w:val="00177D87"/>
    <w:rsid w:val="00177DA1"/>
    <w:rsid w:val="00177EC1"/>
    <w:rsid w:val="00177EDA"/>
    <w:rsid w:val="00177EDC"/>
    <w:rsid w:val="00177F25"/>
    <w:rsid w:val="00177F66"/>
    <w:rsid w:val="00177FED"/>
    <w:rsid w:val="00180044"/>
    <w:rsid w:val="00180052"/>
    <w:rsid w:val="0018008C"/>
    <w:rsid w:val="001800D7"/>
    <w:rsid w:val="00180114"/>
    <w:rsid w:val="0018012B"/>
    <w:rsid w:val="00180145"/>
    <w:rsid w:val="0018014D"/>
    <w:rsid w:val="0018017B"/>
    <w:rsid w:val="001801A1"/>
    <w:rsid w:val="001801C1"/>
    <w:rsid w:val="001801E2"/>
    <w:rsid w:val="001801FA"/>
    <w:rsid w:val="00180223"/>
    <w:rsid w:val="001802DF"/>
    <w:rsid w:val="001802F4"/>
    <w:rsid w:val="00180316"/>
    <w:rsid w:val="00180319"/>
    <w:rsid w:val="00180322"/>
    <w:rsid w:val="00180331"/>
    <w:rsid w:val="0018036B"/>
    <w:rsid w:val="001803CD"/>
    <w:rsid w:val="001803DD"/>
    <w:rsid w:val="001804D3"/>
    <w:rsid w:val="0018051B"/>
    <w:rsid w:val="00180553"/>
    <w:rsid w:val="00180560"/>
    <w:rsid w:val="00180586"/>
    <w:rsid w:val="001805A4"/>
    <w:rsid w:val="001805E2"/>
    <w:rsid w:val="00180620"/>
    <w:rsid w:val="0018062C"/>
    <w:rsid w:val="0018067E"/>
    <w:rsid w:val="001806FB"/>
    <w:rsid w:val="00180761"/>
    <w:rsid w:val="00180792"/>
    <w:rsid w:val="001807B0"/>
    <w:rsid w:val="001807E3"/>
    <w:rsid w:val="0018085D"/>
    <w:rsid w:val="0018087B"/>
    <w:rsid w:val="001808DB"/>
    <w:rsid w:val="0018091A"/>
    <w:rsid w:val="00180920"/>
    <w:rsid w:val="0018092E"/>
    <w:rsid w:val="0018095B"/>
    <w:rsid w:val="00180976"/>
    <w:rsid w:val="001809FA"/>
    <w:rsid w:val="001809FF"/>
    <w:rsid w:val="00180A24"/>
    <w:rsid w:val="00180A50"/>
    <w:rsid w:val="00180A76"/>
    <w:rsid w:val="00180AA7"/>
    <w:rsid w:val="00180ABB"/>
    <w:rsid w:val="00180AD8"/>
    <w:rsid w:val="00180ADB"/>
    <w:rsid w:val="00180B08"/>
    <w:rsid w:val="00180B27"/>
    <w:rsid w:val="00180B4E"/>
    <w:rsid w:val="00180B8D"/>
    <w:rsid w:val="00180BEF"/>
    <w:rsid w:val="00180C34"/>
    <w:rsid w:val="00180C99"/>
    <w:rsid w:val="00180C9E"/>
    <w:rsid w:val="00180CAE"/>
    <w:rsid w:val="00180D0A"/>
    <w:rsid w:val="00180D4C"/>
    <w:rsid w:val="00180D96"/>
    <w:rsid w:val="00180E3F"/>
    <w:rsid w:val="00180F27"/>
    <w:rsid w:val="00180F3B"/>
    <w:rsid w:val="00180FBA"/>
    <w:rsid w:val="00181006"/>
    <w:rsid w:val="0018101B"/>
    <w:rsid w:val="001810A2"/>
    <w:rsid w:val="001810A4"/>
    <w:rsid w:val="001810AE"/>
    <w:rsid w:val="001810D9"/>
    <w:rsid w:val="001810E8"/>
    <w:rsid w:val="001810F7"/>
    <w:rsid w:val="0018113F"/>
    <w:rsid w:val="00181157"/>
    <w:rsid w:val="001811FD"/>
    <w:rsid w:val="0018122C"/>
    <w:rsid w:val="0018122D"/>
    <w:rsid w:val="0018124F"/>
    <w:rsid w:val="0018128C"/>
    <w:rsid w:val="001812AD"/>
    <w:rsid w:val="001812C3"/>
    <w:rsid w:val="001812EB"/>
    <w:rsid w:val="0018136E"/>
    <w:rsid w:val="001813E7"/>
    <w:rsid w:val="001814B5"/>
    <w:rsid w:val="0018159F"/>
    <w:rsid w:val="001815DC"/>
    <w:rsid w:val="001815E7"/>
    <w:rsid w:val="001815F3"/>
    <w:rsid w:val="00181616"/>
    <w:rsid w:val="0018163E"/>
    <w:rsid w:val="001816BC"/>
    <w:rsid w:val="001816CB"/>
    <w:rsid w:val="001816F3"/>
    <w:rsid w:val="00181721"/>
    <w:rsid w:val="00181722"/>
    <w:rsid w:val="00181780"/>
    <w:rsid w:val="0018178E"/>
    <w:rsid w:val="001817AF"/>
    <w:rsid w:val="00181833"/>
    <w:rsid w:val="001818FE"/>
    <w:rsid w:val="00181954"/>
    <w:rsid w:val="00181958"/>
    <w:rsid w:val="00181973"/>
    <w:rsid w:val="001819B3"/>
    <w:rsid w:val="00181A40"/>
    <w:rsid w:val="00181AA1"/>
    <w:rsid w:val="00181B3C"/>
    <w:rsid w:val="00181BA5"/>
    <w:rsid w:val="00181C1B"/>
    <w:rsid w:val="00181C80"/>
    <w:rsid w:val="00181D07"/>
    <w:rsid w:val="00181D24"/>
    <w:rsid w:val="00181D31"/>
    <w:rsid w:val="00181D3B"/>
    <w:rsid w:val="00181D43"/>
    <w:rsid w:val="00181DB5"/>
    <w:rsid w:val="00181E25"/>
    <w:rsid w:val="00181E29"/>
    <w:rsid w:val="00181E33"/>
    <w:rsid w:val="00181E5A"/>
    <w:rsid w:val="00181E5E"/>
    <w:rsid w:val="00181EAB"/>
    <w:rsid w:val="00181EB2"/>
    <w:rsid w:val="00181F6A"/>
    <w:rsid w:val="00181F7F"/>
    <w:rsid w:val="00181F81"/>
    <w:rsid w:val="00181F99"/>
    <w:rsid w:val="00181FA2"/>
    <w:rsid w:val="00182006"/>
    <w:rsid w:val="0018201B"/>
    <w:rsid w:val="00182022"/>
    <w:rsid w:val="00182075"/>
    <w:rsid w:val="0018207D"/>
    <w:rsid w:val="00182116"/>
    <w:rsid w:val="00182128"/>
    <w:rsid w:val="00182134"/>
    <w:rsid w:val="001821D7"/>
    <w:rsid w:val="00182248"/>
    <w:rsid w:val="001822BC"/>
    <w:rsid w:val="001822D2"/>
    <w:rsid w:val="00182328"/>
    <w:rsid w:val="0018232F"/>
    <w:rsid w:val="00182334"/>
    <w:rsid w:val="0018234B"/>
    <w:rsid w:val="001823F4"/>
    <w:rsid w:val="00182419"/>
    <w:rsid w:val="0018244A"/>
    <w:rsid w:val="00182476"/>
    <w:rsid w:val="001824F2"/>
    <w:rsid w:val="0018250A"/>
    <w:rsid w:val="0018250C"/>
    <w:rsid w:val="0018257C"/>
    <w:rsid w:val="0018259B"/>
    <w:rsid w:val="001825A2"/>
    <w:rsid w:val="001825B7"/>
    <w:rsid w:val="001825C0"/>
    <w:rsid w:val="00182674"/>
    <w:rsid w:val="00182675"/>
    <w:rsid w:val="00182687"/>
    <w:rsid w:val="001826A7"/>
    <w:rsid w:val="001826B9"/>
    <w:rsid w:val="001826D1"/>
    <w:rsid w:val="001826E7"/>
    <w:rsid w:val="00182753"/>
    <w:rsid w:val="0018275C"/>
    <w:rsid w:val="001827AE"/>
    <w:rsid w:val="001827D7"/>
    <w:rsid w:val="00182803"/>
    <w:rsid w:val="00182811"/>
    <w:rsid w:val="0018283B"/>
    <w:rsid w:val="00182855"/>
    <w:rsid w:val="001828A2"/>
    <w:rsid w:val="0018298E"/>
    <w:rsid w:val="001829DA"/>
    <w:rsid w:val="00182A26"/>
    <w:rsid w:val="00182A7F"/>
    <w:rsid w:val="00182AC2"/>
    <w:rsid w:val="00182B13"/>
    <w:rsid w:val="00182B2B"/>
    <w:rsid w:val="00182B60"/>
    <w:rsid w:val="00182B64"/>
    <w:rsid w:val="00182B7E"/>
    <w:rsid w:val="00182BCB"/>
    <w:rsid w:val="00182BE2"/>
    <w:rsid w:val="00182C19"/>
    <w:rsid w:val="00182CA9"/>
    <w:rsid w:val="00182CE2"/>
    <w:rsid w:val="00182D05"/>
    <w:rsid w:val="00182D2A"/>
    <w:rsid w:val="00182DA6"/>
    <w:rsid w:val="00182E5A"/>
    <w:rsid w:val="00182E6B"/>
    <w:rsid w:val="00182EAF"/>
    <w:rsid w:val="00182EBF"/>
    <w:rsid w:val="00183027"/>
    <w:rsid w:val="0018306D"/>
    <w:rsid w:val="0018306E"/>
    <w:rsid w:val="001830C0"/>
    <w:rsid w:val="001830C5"/>
    <w:rsid w:val="00183128"/>
    <w:rsid w:val="0018323E"/>
    <w:rsid w:val="00183270"/>
    <w:rsid w:val="001832DB"/>
    <w:rsid w:val="00183381"/>
    <w:rsid w:val="001833BD"/>
    <w:rsid w:val="001833BE"/>
    <w:rsid w:val="001833F4"/>
    <w:rsid w:val="0018340F"/>
    <w:rsid w:val="00183489"/>
    <w:rsid w:val="001834A9"/>
    <w:rsid w:val="001834D8"/>
    <w:rsid w:val="001835AE"/>
    <w:rsid w:val="001835BE"/>
    <w:rsid w:val="0018362D"/>
    <w:rsid w:val="00183631"/>
    <w:rsid w:val="00183743"/>
    <w:rsid w:val="0018377A"/>
    <w:rsid w:val="0018378B"/>
    <w:rsid w:val="0018380D"/>
    <w:rsid w:val="0018385C"/>
    <w:rsid w:val="001838B0"/>
    <w:rsid w:val="0018399F"/>
    <w:rsid w:val="00183A30"/>
    <w:rsid w:val="00183A3C"/>
    <w:rsid w:val="00183A83"/>
    <w:rsid w:val="00183AB0"/>
    <w:rsid w:val="00183B08"/>
    <w:rsid w:val="00183B96"/>
    <w:rsid w:val="00183B9A"/>
    <w:rsid w:val="00183BC6"/>
    <w:rsid w:val="00183BF4"/>
    <w:rsid w:val="00183C16"/>
    <w:rsid w:val="00183C35"/>
    <w:rsid w:val="00183C38"/>
    <w:rsid w:val="00183C74"/>
    <w:rsid w:val="00183C97"/>
    <w:rsid w:val="00183CA1"/>
    <w:rsid w:val="00183CFE"/>
    <w:rsid w:val="00183D0A"/>
    <w:rsid w:val="00183D1A"/>
    <w:rsid w:val="00183D21"/>
    <w:rsid w:val="00183D3C"/>
    <w:rsid w:val="00183D42"/>
    <w:rsid w:val="00183D95"/>
    <w:rsid w:val="00183D9F"/>
    <w:rsid w:val="00183E5F"/>
    <w:rsid w:val="00183EC6"/>
    <w:rsid w:val="00183EDD"/>
    <w:rsid w:val="00183EE7"/>
    <w:rsid w:val="00183F13"/>
    <w:rsid w:val="00183F62"/>
    <w:rsid w:val="00183F6D"/>
    <w:rsid w:val="00183FCD"/>
    <w:rsid w:val="00183FFD"/>
    <w:rsid w:val="0018400E"/>
    <w:rsid w:val="00184077"/>
    <w:rsid w:val="0018408F"/>
    <w:rsid w:val="00184104"/>
    <w:rsid w:val="00184118"/>
    <w:rsid w:val="00184150"/>
    <w:rsid w:val="00184183"/>
    <w:rsid w:val="001841B2"/>
    <w:rsid w:val="00184227"/>
    <w:rsid w:val="00184262"/>
    <w:rsid w:val="0018429E"/>
    <w:rsid w:val="001842CF"/>
    <w:rsid w:val="001842D7"/>
    <w:rsid w:val="001843AA"/>
    <w:rsid w:val="001843B9"/>
    <w:rsid w:val="001843BB"/>
    <w:rsid w:val="0018444D"/>
    <w:rsid w:val="00184456"/>
    <w:rsid w:val="00184465"/>
    <w:rsid w:val="0018447B"/>
    <w:rsid w:val="001844A4"/>
    <w:rsid w:val="00184538"/>
    <w:rsid w:val="0018456A"/>
    <w:rsid w:val="00184588"/>
    <w:rsid w:val="0018467C"/>
    <w:rsid w:val="00184697"/>
    <w:rsid w:val="001846A5"/>
    <w:rsid w:val="001846A8"/>
    <w:rsid w:val="001846B2"/>
    <w:rsid w:val="00184729"/>
    <w:rsid w:val="00184748"/>
    <w:rsid w:val="0018474F"/>
    <w:rsid w:val="0018476C"/>
    <w:rsid w:val="0018476D"/>
    <w:rsid w:val="001847FA"/>
    <w:rsid w:val="00184858"/>
    <w:rsid w:val="00184875"/>
    <w:rsid w:val="0018487D"/>
    <w:rsid w:val="001848D5"/>
    <w:rsid w:val="001849DD"/>
    <w:rsid w:val="00184A0D"/>
    <w:rsid w:val="00184A9C"/>
    <w:rsid w:val="00184B85"/>
    <w:rsid w:val="00184B87"/>
    <w:rsid w:val="00184B8E"/>
    <w:rsid w:val="00184B99"/>
    <w:rsid w:val="00184C26"/>
    <w:rsid w:val="00184C46"/>
    <w:rsid w:val="00184C8B"/>
    <w:rsid w:val="00184CA1"/>
    <w:rsid w:val="00184CBC"/>
    <w:rsid w:val="00184CD4"/>
    <w:rsid w:val="00184D1A"/>
    <w:rsid w:val="00184DA9"/>
    <w:rsid w:val="00184E31"/>
    <w:rsid w:val="00184E43"/>
    <w:rsid w:val="00184EB8"/>
    <w:rsid w:val="00184EC8"/>
    <w:rsid w:val="00184ECE"/>
    <w:rsid w:val="00184F49"/>
    <w:rsid w:val="00184FF9"/>
    <w:rsid w:val="0018500E"/>
    <w:rsid w:val="00185087"/>
    <w:rsid w:val="001850A5"/>
    <w:rsid w:val="001850C1"/>
    <w:rsid w:val="001850F4"/>
    <w:rsid w:val="00185144"/>
    <w:rsid w:val="00185156"/>
    <w:rsid w:val="00185197"/>
    <w:rsid w:val="001851A8"/>
    <w:rsid w:val="00185225"/>
    <w:rsid w:val="0018526E"/>
    <w:rsid w:val="001852AF"/>
    <w:rsid w:val="001852E2"/>
    <w:rsid w:val="0018532A"/>
    <w:rsid w:val="0018533B"/>
    <w:rsid w:val="00185394"/>
    <w:rsid w:val="001853CF"/>
    <w:rsid w:val="00185469"/>
    <w:rsid w:val="0018549D"/>
    <w:rsid w:val="001854C4"/>
    <w:rsid w:val="0018551C"/>
    <w:rsid w:val="00185536"/>
    <w:rsid w:val="00185578"/>
    <w:rsid w:val="001855E0"/>
    <w:rsid w:val="0018560B"/>
    <w:rsid w:val="00185641"/>
    <w:rsid w:val="0018564E"/>
    <w:rsid w:val="0018569C"/>
    <w:rsid w:val="00185791"/>
    <w:rsid w:val="001857C5"/>
    <w:rsid w:val="001857D0"/>
    <w:rsid w:val="001857EE"/>
    <w:rsid w:val="0018585D"/>
    <w:rsid w:val="001858F4"/>
    <w:rsid w:val="00185919"/>
    <w:rsid w:val="00185925"/>
    <w:rsid w:val="00185959"/>
    <w:rsid w:val="0018598D"/>
    <w:rsid w:val="00185A35"/>
    <w:rsid w:val="00185AAC"/>
    <w:rsid w:val="00185AB5"/>
    <w:rsid w:val="00185AE5"/>
    <w:rsid w:val="00185B0E"/>
    <w:rsid w:val="00185B5C"/>
    <w:rsid w:val="00185B7D"/>
    <w:rsid w:val="00185BB3"/>
    <w:rsid w:val="00185BEC"/>
    <w:rsid w:val="00185BF3"/>
    <w:rsid w:val="00185C0E"/>
    <w:rsid w:val="00185C33"/>
    <w:rsid w:val="00185C5E"/>
    <w:rsid w:val="00185C72"/>
    <w:rsid w:val="00185D3F"/>
    <w:rsid w:val="00185D56"/>
    <w:rsid w:val="00185DB7"/>
    <w:rsid w:val="00185E44"/>
    <w:rsid w:val="00185E66"/>
    <w:rsid w:val="00185E84"/>
    <w:rsid w:val="00185F38"/>
    <w:rsid w:val="00185F3E"/>
    <w:rsid w:val="00185F57"/>
    <w:rsid w:val="00185F65"/>
    <w:rsid w:val="0018600B"/>
    <w:rsid w:val="00186082"/>
    <w:rsid w:val="001860AA"/>
    <w:rsid w:val="001860E4"/>
    <w:rsid w:val="001860F4"/>
    <w:rsid w:val="00186171"/>
    <w:rsid w:val="001861DD"/>
    <w:rsid w:val="00186250"/>
    <w:rsid w:val="0018626E"/>
    <w:rsid w:val="0018627B"/>
    <w:rsid w:val="001862A8"/>
    <w:rsid w:val="001862DA"/>
    <w:rsid w:val="0018634A"/>
    <w:rsid w:val="00186380"/>
    <w:rsid w:val="001863E8"/>
    <w:rsid w:val="0018640C"/>
    <w:rsid w:val="0018648E"/>
    <w:rsid w:val="001864B9"/>
    <w:rsid w:val="001864BB"/>
    <w:rsid w:val="001864C5"/>
    <w:rsid w:val="001864C8"/>
    <w:rsid w:val="00186512"/>
    <w:rsid w:val="00186517"/>
    <w:rsid w:val="00186520"/>
    <w:rsid w:val="0018653C"/>
    <w:rsid w:val="00186565"/>
    <w:rsid w:val="001865D5"/>
    <w:rsid w:val="001865F9"/>
    <w:rsid w:val="00186604"/>
    <w:rsid w:val="0018665C"/>
    <w:rsid w:val="0018665E"/>
    <w:rsid w:val="00186676"/>
    <w:rsid w:val="00186686"/>
    <w:rsid w:val="001866EF"/>
    <w:rsid w:val="0018672F"/>
    <w:rsid w:val="00186762"/>
    <w:rsid w:val="001867A1"/>
    <w:rsid w:val="001867AC"/>
    <w:rsid w:val="0018684C"/>
    <w:rsid w:val="0018685F"/>
    <w:rsid w:val="00186881"/>
    <w:rsid w:val="00186889"/>
    <w:rsid w:val="00186907"/>
    <w:rsid w:val="00186979"/>
    <w:rsid w:val="0018699B"/>
    <w:rsid w:val="001869A7"/>
    <w:rsid w:val="001869BF"/>
    <w:rsid w:val="001869C6"/>
    <w:rsid w:val="00186A08"/>
    <w:rsid w:val="00186A1C"/>
    <w:rsid w:val="00186A32"/>
    <w:rsid w:val="00186A48"/>
    <w:rsid w:val="00186A76"/>
    <w:rsid w:val="00186A8D"/>
    <w:rsid w:val="00186AB0"/>
    <w:rsid w:val="00186ACF"/>
    <w:rsid w:val="00186AEA"/>
    <w:rsid w:val="00186AF3"/>
    <w:rsid w:val="00186C0B"/>
    <w:rsid w:val="00186C68"/>
    <w:rsid w:val="00186D3A"/>
    <w:rsid w:val="00186E35"/>
    <w:rsid w:val="00186E3F"/>
    <w:rsid w:val="00186E80"/>
    <w:rsid w:val="00186F75"/>
    <w:rsid w:val="00186FE7"/>
    <w:rsid w:val="00187082"/>
    <w:rsid w:val="001870D4"/>
    <w:rsid w:val="0018716E"/>
    <w:rsid w:val="001871BC"/>
    <w:rsid w:val="001871CE"/>
    <w:rsid w:val="00187204"/>
    <w:rsid w:val="00187232"/>
    <w:rsid w:val="00187284"/>
    <w:rsid w:val="001872F8"/>
    <w:rsid w:val="00187341"/>
    <w:rsid w:val="00187346"/>
    <w:rsid w:val="00187355"/>
    <w:rsid w:val="00187367"/>
    <w:rsid w:val="00187374"/>
    <w:rsid w:val="001873B1"/>
    <w:rsid w:val="001873D1"/>
    <w:rsid w:val="001873F3"/>
    <w:rsid w:val="0018740E"/>
    <w:rsid w:val="00187421"/>
    <w:rsid w:val="00187443"/>
    <w:rsid w:val="001874F0"/>
    <w:rsid w:val="00187557"/>
    <w:rsid w:val="0018759E"/>
    <w:rsid w:val="00187610"/>
    <w:rsid w:val="0018766D"/>
    <w:rsid w:val="00187689"/>
    <w:rsid w:val="0018769C"/>
    <w:rsid w:val="0018769F"/>
    <w:rsid w:val="0018774B"/>
    <w:rsid w:val="00187754"/>
    <w:rsid w:val="00187795"/>
    <w:rsid w:val="001877C3"/>
    <w:rsid w:val="00187858"/>
    <w:rsid w:val="0018785F"/>
    <w:rsid w:val="001878A3"/>
    <w:rsid w:val="001878B5"/>
    <w:rsid w:val="00187901"/>
    <w:rsid w:val="00187913"/>
    <w:rsid w:val="00187938"/>
    <w:rsid w:val="00187998"/>
    <w:rsid w:val="001879BF"/>
    <w:rsid w:val="001879C3"/>
    <w:rsid w:val="001879CB"/>
    <w:rsid w:val="001879CD"/>
    <w:rsid w:val="001879D2"/>
    <w:rsid w:val="001879F6"/>
    <w:rsid w:val="00187A18"/>
    <w:rsid w:val="00187A4D"/>
    <w:rsid w:val="00187A74"/>
    <w:rsid w:val="00187AA9"/>
    <w:rsid w:val="00187AC5"/>
    <w:rsid w:val="00187B05"/>
    <w:rsid w:val="00187B46"/>
    <w:rsid w:val="00187B51"/>
    <w:rsid w:val="00187B61"/>
    <w:rsid w:val="00187BA8"/>
    <w:rsid w:val="00187BB7"/>
    <w:rsid w:val="00187BEB"/>
    <w:rsid w:val="00187C55"/>
    <w:rsid w:val="00187C66"/>
    <w:rsid w:val="00187C7F"/>
    <w:rsid w:val="00187C81"/>
    <w:rsid w:val="00187D09"/>
    <w:rsid w:val="00187DAF"/>
    <w:rsid w:val="00187DCB"/>
    <w:rsid w:val="00187E4E"/>
    <w:rsid w:val="00187E6F"/>
    <w:rsid w:val="00187E7B"/>
    <w:rsid w:val="00187E7D"/>
    <w:rsid w:val="00187F0D"/>
    <w:rsid w:val="00187FB1"/>
    <w:rsid w:val="0018A2C4"/>
    <w:rsid w:val="0018CE90"/>
    <w:rsid w:val="0019002F"/>
    <w:rsid w:val="0019006F"/>
    <w:rsid w:val="0019009A"/>
    <w:rsid w:val="001900C7"/>
    <w:rsid w:val="0019011C"/>
    <w:rsid w:val="0019015A"/>
    <w:rsid w:val="00190199"/>
    <w:rsid w:val="00190231"/>
    <w:rsid w:val="001902BB"/>
    <w:rsid w:val="0019030D"/>
    <w:rsid w:val="0019031A"/>
    <w:rsid w:val="00190357"/>
    <w:rsid w:val="0019039A"/>
    <w:rsid w:val="001903B3"/>
    <w:rsid w:val="001904A8"/>
    <w:rsid w:val="001904C9"/>
    <w:rsid w:val="001904CA"/>
    <w:rsid w:val="001905A0"/>
    <w:rsid w:val="00190600"/>
    <w:rsid w:val="00190624"/>
    <w:rsid w:val="0019062D"/>
    <w:rsid w:val="00190637"/>
    <w:rsid w:val="0019072B"/>
    <w:rsid w:val="0019072E"/>
    <w:rsid w:val="00190751"/>
    <w:rsid w:val="0019075B"/>
    <w:rsid w:val="0019075E"/>
    <w:rsid w:val="001907BF"/>
    <w:rsid w:val="001907C2"/>
    <w:rsid w:val="001907FE"/>
    <w:rsid w:val="00190813"/>
    <w:rsid w:val="00190819"/>
    <w:rsid w:val="00190826"/>
    <w:rsid w:val="0019083A"/>
    <w:rsid w:val="0019083C"/>
    <w:rsid w:val="00190851"/>
    <w:rsid w:val="00190852"/>
    <w:rsid w:val="00190887"/>
    <w:rsid w:val="001908E2"/>
    <w:rsid w:val="0019096A"/>
    <w:rsid w:val="001909D8"/>
    <w:rsid w:val="00190A1C"/>
    <w:rsid w:val="00190A48"/>
    <w:rsid w:val="00190A4E"/>
    <w:rsid w:val="00190B0E"/>
    <w:rsid w:val="00190BAC"/>
    <w:rsid w:val="00190C85"/>
    <w:rsid w:val="00190CA5"/>
    <w:rsid w:val="00190CB6"/>
    <w:rsid w:val="00190CF4"/>
    <w:rsid w:val="00190D23"/>
    <w:rsid w:val="00190D41"/>
    <w:rsid w:val="00190D51"/>
    <w:rsid w:val="00190E40"/>
    <w:rsid w:val="00190E6F"/>
    <w:rsid w:val="00190F4C"/>
    <w:rsid w:val="00190FA9"/>
    <w:rsid w:val="00190FD7"/>
    <w:rsid w:val="00191081"/>
    <w:rsid w:val="00191087"/>
    <w:rsid w:val="00191094"/>
    <w:rsid w:val="001910A5"/>
    <w:rsid w:val="001910A7"/>
    <w:rsid w:val="001910B6"/>
    <w:rsid w:val="00191126"/>
    <w:rsid w:val="0019113E"/>
    <w:rsid w:val="00191148"/>
    <w:rsid w:val="001911C2"/>
    <w:rsid w:val="001912C1"/>
    <w:rsid w:val="001912C8"/>
    <w:rsid w:val="0019130D"/>
    <w:rsid w:val="0019134B"/>
    <w:rsid w:val="00191351"/>
    <w:rsid w:val="0019135D"/>
    <w:rsid w:val="00191383"/>
    <w:rsid w:val="001913A2"/>
    <w:rsid w:val="001913AA"/>
    <w:rsid w:val="001913BA"/>
    <w:rsid w:val="001913F6"/>
    <w:rsid w:val="00191493"/>
    <w:rsid w:val="001914D5"/>
    <w:rsid w:val="001914F8"/>
    <w:rsid w:val="001914FC"/>
    <w:rsid w:val="001915B6"/>
    <w:rsid w:val="001915FE"/>
    <w:rsid w:val="00191602"/>
    <w:rsid w:val="0019163B"/>
    <w:rsid w:val="0019163F"/>
    <w:rsid w:val="00191643"/>
    <w:rsid w:val="001916F2"/>
    <w:rsid w:val="00191759"/>
    <w:rsid w:val="00191796"/>
    <w:rsid w:val="001917D8"/>
    <w:rsid w:val="00191863"/>
    <w:rsid w:val="00191887"/>
    <w:rsid w:val="001918B2"/>
    <w:rsid w:val="00191941"/>
    <w:rsid w:val="0019194B"/>
    <w:rsid w:val="0019197A"/>
    <w:rsid w:val="001919A4"/>
    <w:rsid w:val="001919CB"/>
    <w:rsid w:val="001919F5"/>
    <w:rsid w:val="00191A16"/>
    <w:rsid w:val="00191A1B"/>
    <w:rsid w:val="00191A41"/>
    <w:rsid w:val="00191B43"/>
    <w:rsid w:val="00191BF5"/>
    <w:rsid w:val="00191C97"/>
    <w:rsid w:val="00191CB5"/>
    <w:rsid w:val="00191D6E"/>
    <w:rsid w:val="00191DC9"/>
    <w:rsid w:val="00191E03"/>
    <w:rsid w:val="00191EBA"/>
    <w:rsid w:val="00191FBC"/>
    <w:rsid w:val="00191FCC"/>
    <w:rsid w:val="001920B2"/>
    <w:rsid w:val="001920B3"/>
    <w:rsid w:val="001920CF"/>
    <w:rsid w:val="00192114"/>
    <w:rsid w:val="00192166"/>
    <w:rsid w:val="00192177"/>
    <w:rsid w:val="00192197"/>
    <w:rsid w:val="0019228A"/>
    <w:rsid w:val="00192316"/>
    <w:rsid w:val="0019236A"/>
    <w:rsid w:val="00192371"/>
    <w:rsid w:val="00192397"/>
    <w:rsid w:val="0019249B"/>
    <w:rsid w:val="00192517"/>
    <w:rsid w:val="0019255E"/>
    <w:rsid w:val="0019259D"/>
    <w:rsid w:val="001925A6"/>
    <w:rsid w:val="001925B9"/>
    <w:rsid w:val="001925F8"/>
    <w:rsid w:val="00192600"/>
    <w:rsid w:val="00192611"/>
    <w:rsid w:val="001926BB"/>
    <w:rsid w:val="00192752"/>
    <w:rsid w:val="0019275D"/>
    <w:rsid w:val="0019275E"/>
    <w:rsid w:val="0019278A"/>
    <w:rsid w:val="001927F6"/>
    <w:rsid w:val="00192836"/>
    <w:rsid w:val="00192857"/>
    <w:rsid w:val="0019287D"/>
    <w:rsid w:val="0019289E"/>
    <w:rsid w:val="001928B9"/>
    <w:rsid w:val="00192925"/>
    <w:rsid w:val="0019295F"/>
    <w:rsid w:val="0019296D"/>
    <w:rsid w:val="001929DE"/>
    <w:rsid w:val="001929E6"/>
    <w:rsid w:val="00192A56"/>
    <w:rsid w:val="00192A86"/>
    <w:rsid w:val="00192A96"/>
    <w:rsid w:val="00192B84"/>
    <w:rsid w:val="00192BDB"/>
    <w:rsid w:val="00192C01"/>
    <w:rsid w:val="00192C17"/>
    <w:rsid w:val="00192C85"/>
    <w:rsid w:val="00192C91"/>
    <w:rsid w:val="00192CB1"/>
    <w:rsid w:val="00192CFF"/>
    <w:rsid w:val="00192D40"/>
    <w:rsid w:val="00192D89"/>
    <w:rsid w:val="00192DA6"/>
    <w:rsid w:val="00192DE8"/>
    <w:rsid w:val="00192DEA"/>
    <w:rsid w:val="00192E08"/>
    <w:rsid w:val="00192EDB"/>
    <w:rsid w:val="00192F27"/>
    <w:rsid w:val="00192F41"/>
    <w:rsid w:val="00192F57"/>
    <w:rsid w:val="00192F79"/>
    <w:rsid w:val="00192FA6"/>
    <w:rsid w:val="00192FB6"/>
    <w:rsid w:val="00192FCC"/>
    <w:rsid w:val="0019308B"/>
    <w:rsid w:val="001930BD"/>
    <w:rsid w:val="001930D0"/>
    <w:rsid w:val="0019327F"/>
    <w:rsid w:val="0019329C"/>
    <w:rsid w:val="001932A3"/>
    <w:rsid w:val="001932AF"/>
    <w:rsid w:val="001932B6"/>
    <w:rsid w:val="00193395"/>
    <w:rsid w:val="00193420"/>
    <w:rsid w:val="00193432"/>
    <w:rsid w:val="0019345C"/>
    <w:rsid w:val="0019345F"/>
    <w:rsid w:val="00193532"/>
    <w:rsid w:val="0019354A"/>
    <w:rsid w:val="00193582"/>
    <w:rsid w:val="001935B9"/>
    <w:rsid w:val="001935C9"/>
    <w:rsid w:val="001935E6"/>
    <w:rsid w:val="00193600"/>
    <w:rsid w:val="00193602"/>
    <w:rsid w:val="0019364A"/>
    <w:rsid w:val="0019366E"/>
    <w:rsid w:val="0019369E"/>
    <w:rsid w:val="001936A3"/>
    <w:rsid w:val="001936AA"/>
    <w:rsid w:val="001936D2"/>
    <w:rsid w:val="00193742"/>
    <w:rsid w:val="00193758"/>
    <w:rsid w:val="0019380C"/>
    <w:rsid w:val="0019382C"/>
    <w:rsid w:val="00193876"/>
    <w:rsid w:val="001938AD"/>
    <w:rsid w:val="00193931"/>
    <w:rsid w:val="00193969"/>
    <w:rsid w:val="00193982"/>
    <w:rsid w:val="001939C2"/>
    <w:rsid w:val="00193A20"/>
    <w:rsid w:val="00193A55"/>
    <w:rsid w:val="00193A69"/>
    <w:rsid w:val="00193A94"/>
    <w:rsid w:val="00193AC4"/>
    <w:rsid w:val="00193AF0"/>
    <w:rsid w:val="00193B45"/>
    <w:rsid w:val="00193B49"/>
    <w:rsid w:val="00193B69"/>
    <w:rsid w:val="00193BA5"/>
    <w:rsid w:val="00193C46"/>
    <w:rsid w:val="00193C99"/>
    <w:rsid w:val="00193C9E"/>
    <w:rsid w:val="00193D12"/>
    <w:rsid w:val="00193D4A"/>
    <w:rsid w:val="00193D7F"/>
    <w:rsid w:val="00193DC7"/>
    <w:rsid w:val="00193DC9"/>
    <w:rsid w:val="00193DFE"/>
    <w:rsid w:val="00193E0E"/>
    <w:rsid w:val="00193E65"/>
    <w:rsid w:val="00193F63"/>
    <w:rsid w:val="00193F93"/>
    <w:rsid w:val="00193FA5"/>
    <w:rsid w:val="00194009"/>
    <w:rsid w:val="00194053"/>
    <w:rsid w:val="00194094"/>
    <w:rsid w:val="0019409B"/>
    <w:rsid w:val="001940A0"/>
    <w:rsid w:val="001940BF"/>
    <w:rsid w:val="0019410C"/>
    <w:rsid w:val="00194112"/>
    <w:rsid w:val="0019411C"/>
    <w:rsid w:val="0019413B"/>
    <w:rsid w:val="00194170"/>
    <w:rsid w:val="001941E8"/>
    <w:rsid w:val="00194201"/>
    <w:rsid w:val="0019424D"/>
    <w:rsid w:val="001942B4"/>
    <w:rsid w:val="001942C1"/>
    <w:rsid w:val="00194318"/>
    <w:rsid w:val="00194343"/>
    <w:rsid w:val="00194393"/>
    <w:rsid w:val="00194398"/>
    <w:rsid w:val="001943A1"/>
    <w:rsid w:val="001943D6"/>
    <w:rsid w:val="0019444D"/>
    <w:rsid w:val="00194461"/>
    <w:rsid w:val="00194469"/>
    <w:rsid w:val="001944B6"/>
    <w:rsid w:val="001944BB"/>
    <w:rsid w:val="00194582"/>
    <w:rsid w:val="00194590"/>
    <w:rsid w:val="00194599"/>
    <w:rsid w:val="001945A3"/>
    <w:rsid w:val="001945DB"/>
    <w:rsid w:val="001945DF"/>
    <w:rsid w:val="00194696"/>
    <w:rsid w:val="00194698"/>
    <w:rsid w:val="001946B2"/>
    <w:rsid w:val="001946CA"/>
    <w:rsid w:val="001946F3"/>
    <w:rsid w:val="00194792"/>
    <w:rsid w:val="001947A6"/>
    <w:rsid w:val="001947B1"/>
    <w:rsid w:val="001947B9"/>
    <w:rsid w:val="001947D4"/>
    <w:rsid w:val="0019480C"/>
    <w:rsid w:val="001948AA"/>
    <w:rsid w:val="001948AB"/>
    <w:rsid w:val="00194900"/>
    <w:rsid w:val="001949FB"/>
    <w:rsid w:val="00194A57"/>
    <w:rsid w:val="00194A69"/>
    <w:rsid w:val="00194A75"/>
    <w:rsid w:val="00194AA1"/>
    <w:rsid w:val="00194AA5"/>
    <w:rsid w:val="00194ABA"/>
    <w:rsid w:val="00194AD0"/>
    <w:rsid w:val="00194AD6"/>
    <w:rsid w:val="00194AEC"/>
    <w:rsid w:val="00194B03"/>
    <w:rsid w:val="00194B38"/>
    <w:rsid w:val="00194B59"/>
    <w:rsid w:val="00194B77"/>
    <w:rsid w:val="00194B99"/>
    <w:rsid w:val="00194BEB"/>
    <w:rsid w:val="00194BFC"/>
    <w:rsid w:val="00194C3E"/>
    <w:rsid w:val="00194D24"/>
    <w:rsid w:val="00194D30"/>
    <w:rsid w:val="00194D47"/>
    <w:rsid w:val="00194D71"/>
    <w:rsid w:val="00194D80"/>
    <w:rsid w:val="00194D86"/>
    <w:rsid w:val="00194DAB"/>
    <w:rsid w:val="00194DC0"/>
    <w:rsid w:val="00194E33"/>
    <w:rsid w:val="00194ECC"/>
    <w:rsid w:val="00194EF3"/>
    <w:rsid w:val="00194F11"/>
    <w:rsid w:val="00194F22"/>
    <w:rsid w:val="00194F29"/>
    <w:rsid w:val="00194F53"/>
    <w:rsid w:val="00194FB0"/>
    <w:rsid w:val="0019508D"/>
    <w:rsid w:val="001950AC"/>
    <w:rsid w:val="001950B5"/>
    <w:rsid w:val="001950C5"/>
    <w:rsid w:val="0019515A"/>
    <w:rsid w:val="00195175"/>
    <w:rsid w:val="001951D2"/>
    <w:rsid w:val="00195220"/>
    <w:rsid w:val="00195234"/>
    <w:rsid w:val="001952B7"/>
    <w:rsid w:val="001952DA"/>
    <w:rsid w:val="00195348"/>
    <w:rsid w:val="00195364"/>
    <w:rsid w:val="0019549C"/>
    <w:rsid w:val="001954CE"/>
    <w:rsid w:val="001954E1"/>
    <w:rsid w:val="00195535"/>
    <w:rsid w:val="00195562"/>
    <w:rsid w:val="0019558E"/>
    <w:rsid w:val="001955AC"/>
    <w:rsid w:val="001955D3"/>
    <w:rsid w:val="001955EF"/>
    <w:rsid w:val="00195667"/>
    <w:rsid w:val="00195670"/>
    <w:rsid w:val="00195711"/>
    <w:rsid w:val="00195716"/>
    <w:rsid w:val="0019571A"/>
    <w:rsid w:val="0019573C"/>
    <w:rsid w:val="0019584A"/>
    <w:rsid w:val="00195876"/>
    <w:rsid w:val="00195893"/>
    <w:rsid w:val="001958B3"/>
    <w:rsid w:val="001958F5"/>
    <w:rsid w:val="001959D1"/>
    <w:rsid w:val="001959F2"/>
    <w:rsid w:val="00195A11"/>
    <w:rsid w:val="00195A2B"/>
    <w:rsid w:val="00195A9A"/>
    <w:rsid w:val="00195AF3"/>
    <w:rsid w:val="00195B41"/>
    <w:rsid w:val="00195B4D"/>
    <w:rsid w:val="00195B69"/>
    <w:rsid w:val="00195B6E"/>
    <w:rsid w:val="00195BF8"/>
    <w:rsid w:val="00195CCA"/>
    <w:rsid w:val="00195D65"/>
    <w:rsid w:val="00195DB6"/>
    <w:rsid w:val="00195DBC"/>
    <w:rsid w:val="00195DE2"/>
    <w:rsid w:val="00195E53"/>
    <w:rsid w:val="00195E68"/>
    <w:rsid w:val="00195EA7"/>
    <w:rsid w:val="00195EEA"/>
    <w:rsid w:val="00195F23"/>
    <w:rsid w:val="00195F35"/>
    <w:rsid w:val="00195F50"/>
    <w:rsid w:val="00195F95"/>
    <w:rsid w:val="00196034"/>
    <w:rsid w:val="00196146"/>
    <w:rsid w:val="00196157"/>
    <w:rsid w:val="0019615C"/>
    <w:rsid w:val="00196198"/>
    <w:rsid w:val="00196222"/>
    <w:rsid w:val="00196231"/>
    <w:rsid w:val="00196260"/>
    <w:rsid w:val="001962CD"/>
    <w:rsid w:val="001962CE"/>
    <w:rsid w:val="001962EF"/>
    <w:rsid w:val="00196308"/>
    <w:rsid w:val="0019633D"/>
    <w:rsid w:val="00196349"/>
    <w:rsid w:val="001963B1"/>
    <w:rsid w:val="00196409"/>
    <w:rsid w:val="00196416"/>
    <w:rsid w:val="00196463"/>
    <w:rsid w:val="001964B1"/>
    <w:rsid w:val="001964CF"/>
    <w:rsid w:val="00196546"/>
    <w:rsid w:val="00196564"/>
    <w:rsid w:val="00196581"/>
    <w:rsid w:val="00196588"/>
    <w:rsid w:val="001965C1"/>
    <w:rsid w:val="00196610"/>
    <w:rsid w:val="00196611"/>
    <w:rsid w:val="0019664F"/>
    <w:rsid w:val="001966DE"/>
    <w:rsid w:val="0019671C"/>
    <w:rsid w:val="00196779"/>
    <w:rsid w:val="0019677A"/>
    <w:rsid w:val="00196882"/>
    <w:rsid w:val="0019688D"/>
    <w:rsid w:val="001968D0"/>
    <w:rsid w:val="001968F5"/>
    <w:rsid w:val="0019695A"/>
    <w:rsid w:val="00196979"/>
    <w:rsid w:val="001969F3"/>
    <w:rsid w:val="00196A00"/>
    <w:rsid w:val="00196AA2"/>
    <w:rsid w:val="00196AE2"/>
    <w:rsid w:val="00196B3E"/>
    <w:rsid w:val="00196BFE"/>
    <w:rsid w:val="00196C17"/>
    <w:rsid w:val="00196C3F"/>
    <w:rsid w:val="00196C47"/>
    <w:rsid w:val="00196C63"/>
    <w:rsid w:val="00196CC6"/>
    <w:rsid w:val="00196D6A"/>
    <w:rsid w:val="00196D7D"/>
    <w:rsid w:val="00196D84"/>
    <w:rsid w:val="00196D95"/>
    <w:rsid w:val="00196D9C"/>
    <w:rsid w:val="00196DD3"/>
    <w:rsid w:val="00196F0D"/>
    <w:rsid w:val="00196F0F"/>
    <w:rsid w:val="00196F14"/>
    <w:rsid w:val="00196F2C"/>
    <w:rsid w:val="00196F39"/>
    <w:rsid w:val="00196F58"/>
    <w:rsid w:val="00196F81"/>
    <w:rsid w:val="00196FA6"/>
    <w:rsid w:val="00196FB7"/>
    <w:rsid w:val="00196FBD"/>
    <w:rsid w:val="00196FBF"/>
    <w:rsid w:val="00196FD4"/>
    <w:rsid w:val="00196FDE"/>
    <w:rsid w:val="00196FE1"/>
    <w:rsid w:val="0019701A"/>
    <w:rsid w:val="0019701E"/>
    <w:rsid w:val="00197032"/>
    <w:rsid w:val="001970B3"/>
    <w:rsid w:val="001970B9"/>
    <w:rsid w:val="00197100"/>
    <w:rsid w:val="00197130"/>
    <w:rsid w:val="00197182"/>
    <w:rsid w:val="001971B7"/>
    <w:rsid w:val="001971E3"/>
    <w:rsid w:val="00197250"/>
    <w:rsid w:val="00197294"/>
    <w:rsid w:val="001972F9"/>
    <w:rsid w:val="00197397"/>
    <w:rsid w:val="001973A2"/>
    <w:rsid w:val="00197408"/>
    <w:rsid w:val="0019741A"/>
    <w:rsid w:val="0019745E"/>
    <w:rsid w:val="00197481"/>
    <w:rsid w:val="001974B5"/>
    <w:rsid w:val="0019751E"/>
    <w:rsid w:val="0019753A"/>
    <w:rsid w:val="0019754C"/>
    <w:rsid w:val="00197594"/>
    <w:rsid w:val="001975A2"/>
    <w:rsid w:val="001975A7"/>
    <w:rsid w:val="001975FE"/>
    <w:rsid w:val="001976C8"/>
    <w:rsid w:val="001976F8"/>
    <w:rsid w:val="00197706"/>
    <w:rsid w:val="0019780F"/>
    <w:rsid w:val="00197878"/>
    <w:rsid w:val="001978B3"/>
    <w:rsid w:val="001978D2"/>
    <w:rsid w:val="001978F8"/>
    <w:rsid w:val="00197918"/>
    <w:rsid w:val="00197926"/>
    <w:rsid w:val="00197928"/>
    <w:rsid w:val="0019794C"/>
    <w:rsid w:val="0019798F"/>
    <w:rsid w:val="00197998"/>
    <w:rsid w:val="001979A1"/>
    <w:rsid w:val="001979E1"/>
    <w:rsid w:val="001979E4"/>
    <w:rsid w:val="00197A87"/>
    <w:rsid w:val="00197AC7"/>
    <w:rsid w:val="00197B24"/>
    <w:rsid w:val="00197B97"/>
    <w:rsid w:val="00197BBE"/>
    <w:rsid w:val="00197C67"/>
    <w:rsid w:val="00197C95"/>
    <w:rsid w:val="00197D05"/>
    <w:rsid w:val="00197D4E"/>
    <w:rsid w:val="00197D86"/>
    <w:rsid w:val="00197DC2"/>
    <w:rsid w:val="00197E01"/>
    <w:rsid w:val="00197E03"/>
    <w:rsid w:val="00197E2D"/>
    <w:rsid w:val="00197EA0"/>
    <w:rsid w:val="00197EB9"/>
    <w:rsid w:val="00197EC3"/>
    <w:rsid w:val="00197EC5"/>
    <w:rsid w:val="00197EC8"/>
    <w:rsid w:val="00197F0F"/>
    <w:rsid w:val="00197F28"/>
    <w:rsid w:val="00197FCA"/>
    <w:rsid w:val="00197FDF"/>
    <w:rsid w:val="00197FF4"/>
    <w:rsid w:val="00197FF8"/>
    <w:rsid w:val="001A0033"/>
    <w:rsid w:val="001A005B"/>
    <w:rsid w:val="001A0070"/>
    <w:rsid w:val="001A0115"/>
    <w:rsid w:val="001A0172"/>
    <w:rsid w:val="001A0198"/>
    <w:rsid w:val="001A0287"/>
    <w:rsid w:val="001A02CD"/>
    <w:rsid w:val="001A02F6"/>
    <w:rsid w:val="001A02F7"/>
    <w:rsid w:val="001A034A"/>
    <w:rsid w:val="001A0356"/>
    <w:rsid w:val="001A038A"/>
    <w:rsid w:val="001A038C"/>
    <w:rsid w:val="001A03EC"/>
    <w:rsid w:val="001A0422"/>
    <w:rsid w:val="001A0453"/>
    <w:rsid w:val="001A047E"/>
    <w:rsid w:val="001A0498"/>
    <w:rsid w:val="001A050A"/>
    <w:rsid w:val="001A051B"/>
    <w:rsid w:val="001A0538"/>
    <w:rsid w:val="001A0552"/>
    <w:rsid w:val="001A055F"/>
    <w:rsid w:val="001A0595"/>
    <w:rsid w:val="001A05C7"/>
    <w:rsid w:val="001A05D9"/>
    <w:rsid w:val="001A0618"/>
    <w:rsid w:val="001A0750"/>
    <w:rsid w:val="001A0786"/>
    <w:rsid w:val="001A0792"/>
    <w:rsid w:val="001A07B9"/>
    <w:rsid w:val="001A07C0"/>
    <w:rsid w:val="001A07E5"/>
    <w:rsid w:val="001A07EB"/>
    <w:rsid w:val="001A0823"/>
    <w:rsid w:val="001A085E"/>
    <w:rsid w:val="001A088D"/>
    <w:rsid w:val="001A09D1"/>
    <w:rsid w:val="001A0A22"/>
    <w:rsid w:val="001A0AAD"/>
    <w:rsid w:val="001A0ACE"/>
    <w:rsid w:val="001A0B0B"/>
    <w:rsid w:val="001A0BD5"/>
    <w:rsid w:val="001A0BF5"/>
    <w:rsid w:val="001A0C15"/>
    <w:rsid w:val="001A0C45"/>
    <w:rsid w:val="001A0CF3"/>
    <w:rsid w:val="001A0D2E"/>
    <w:rsid w:val="001A0D31"/>
    <w:rsid w:val="001A0D6D"/>
    <w:rsid w:val="001A0D8E"/>
    <w:rsid w:val="001A0DE9"/>
    <w:rsid w:val="001A0DFE"/>
    <w:rsid w:val="001A0E1C"/>
    <w:rsid w:val="001A0E62"/>
    <w:rsid w:val="001A0E66"/>
    <w:rsid w:val="001A0E6B"/>
    <w:rsid w:val="001A0E86"/>
    <w:rsid w:val="001A0EE3"/>
    <w:rsid w:val="001A0F20"/>
    <w:rsid w:val="001A0F68"/>
    <w:rsid w:val="001A0FA4"/>
    <w:rsid w:val="001A0FB8"/>
    <w:rsid w:val="001A0FF7"/>
    <w:rsid w:val="001A100F"/>
    <w:rsid w:val="001A1039"/>
    <w:rsid w:val="001A103E"/>
    <w:rsid w:val="001A104D"/>
    <w:rsid w:val="001A104F"/>
    <w:rsid w:val="001A1067"/>
    <w:rsid w:val="001A106F"/>
    <w:rsid w:val="001A107A"/>
    <w:rsid w:val="001A1085"/>
    <w:rsid w:val="001A10C4"/>
    <w:rsid w:val="001A10E1"/>
    <w:rsid w:val="001A116D"/>
    <w:rsid w:val="001A11AB"/>
    <w:rsid w:val="001A11E6"/>
    <w:rsid w:val="001A1204"/>
    <w:rsid w:val="001A1206"/>
    <w:rsid w:val="001A128A"/>
    <w:rsid w:val="001A1327"/>
    <w:rsid w:val="001A132A"/>
    <w:rsid w:val="001A13A6"/>
    <w:rsid w:val="001A13A9"/>
    <w:rsid w:val="001A13BE"/>
    <w:rsid w:val="001A13F8"/>
    <w:rsid w:val="001A1431"/>
    <w:rsid w:val="001A14CB"/>
    <w:rsid w:val="001A1554"/>
    <w:rsid w:val="001A1595"/>
    <w:rsid w:val="001A15A7"/>
    <w:rsid w:val="001A1649"/>
    <w:rsid w:val="001A1662"/>
    <w:rsid w:val="001A16EA"/>
    <w:rsid w:val="001A1726"/>
    <w:rsid w:val="001A1775"/>
    <w:rsid w:val="001A179D"/>
    <w:rsid w:val="001A17D6"/>
    <w:rsid w:val="001A17E9"/>
    <w:rsid w:val="001A17EA"/>
    <w:rsid w:val="001A17F6"/>
    <w:rsid w:val="001A1802"/>
    <w:rsid w:val="001A187F"/>
    <w:rsid w:val="001A18BA"/>
    <w:rsid w:val="001A1914"/>
    <w:rsid w:val="001A1938"/>
    <w:rsid w:val="001A1958"/>
    <w:rsid w:val="001A1982"/>
    <w:rsid w:val="001A198D"/>
    <w:rsid w:val="001A198F"/>
    <w:rsid w:val="001A19AC"/>
    <w:rsid w:val="001A1A27"/>
    <w:rsid w:val="001A1A7B"/>
    <w:rsid w:val="001A1B62"/>
    <w:rsid w:val="001A1C2B"/>
    <w:rsid w:val="001A1C31"/>
    <w:rsid w:val="001A1C62"/>
    <w:rsid w:val="001A1C74"/>
    <w:rsid w:val="001A1C75"/>
    <w:rsid w:val="001A1C99"/>
    <w:rsid w:val="001A1D0B"/>
    <w:rsid w:val="001A1D0D"/>
    <w:rsid w:val="001A1D3B"/>
    <w:rsid w:val="001A1D9F"/>
    <w:rsid w:val="001A1DA3"/>
    <w:rsid w:val="001A1DB7"/>
    <w:rsid w:val="001A1E36"/>
    <w:rsid w:val="001A1E4F"/>
    <w:rsid w:val="001A1E64"/>
    <w:rsid w:val="001A1E7B"/>
    <w:rsid w:val="001A1ED6"/>
    <w:rsid w:val="001A1EDB"/>
    <w:rsid w:val="001A1EF3"/>
    <w:rsid w:val="001A1F1F"/>
    <w:rsid w:val="001A1FB0"/>
    <w:rsid w:val="001A1FBD"/>
    <w:rsid w:val="001A2063"/>
    <w:rsid w:val="001A20BE"/>
    <w:rsid w:val="001A20F1"/>
    <w:rsid w:val="001A20F5"/>
    <w:rsid w:val="001A2144"/>
    <w:rsid w:val="001A2167"/>
    <w:rsid w:val="001A2169"/>
    <w:rsid w:val="001A21B8"/>
    <w:rsid w:val="001A2240"/>
    <w:rsid w:val="001A2263"/>
    <w:rsid w:val="001A22E0"/>
    <w:rsid w:val="001A2326"/>
    <w:rsid w:val="001A2358"/>
    <w:rsid w:val="001A23DB"/>
    <w:rsid w:val="001A2474"/>
    <w:rsid w:val="001A2486"/>
    <w:rsid w:val="001A24FF"/>
    <w:rsid w:val="001A2500"/>
    <w:rsid w:val="001A255A"/>
    <w:rsid w:val="001A2696"/>
    <w:rsid w:val="001A26D6"/>
    <w:rsid w:val="001A274D"/>
    <w:rsid w:val="001A27DD"/>
    <w:rsid w:val="001A27F5"/>
    <w:rsid w:val="001A282F"/>
    <w:rsid w:val="001A2850"/>
    <w:rsid w:val="001A28B5"/>
    <w:rsid w:val="001A2923"/>
    <w:rsid w:val="001A2966"/>
    <w:rsid w:val="001A298A"/>
    <w:rsid w:val="001A29BF"/>
    <w:rsid w:val="001A29DD"/>
    <w:rsid w:val="001A29F1"/>
    <w:rsid w:val="001A29F7"/>
    <w:rsid w:val="001A2A3B"/>
    <w:rsid w:val="001A2A49"/>
    <w:rsid w:val="001A2A70"/>
    <w:rsid w:val="001A2A76"/>
    <w:rsid w:val="001A2A85"/>
    <w:rsid w:val="001A2AE3"/>
    <w:rsid w:val="001A2AE4"/>
    <w:rsid w:val="001A2AE5"/>
    <w:rsid w:val="001A2AF3"/>
    <w:rsid w:val="001A2B71"/>
    <w:rsid w:val="001A2B74"/>
    <w:rsid w:val="001A2B7C"/>
    <w:rsid w:val="001A2B7F"/>
    <w:rsid w:val="001A2BCC"/>
    <w:rsid w:val="001A2BEA"/>
    <w:rsid w:val="001A2C83"/>
    <w:rsid w:val="001A2CCB"/>
    <w:rsid w:val="001A2CD2"/>
    <w:rsid w:val="001A2D04"/>
    <w:rsid w:val="001A2D2E"/>
    <w:rsid w:val="001A2D31"/>
    <w:rsid w:val="001A2D95"/>
    <w:rsid w:val="001A2D97"/>
    <w:rsid w:val="001A2E21"/>
    <w:rsid w:val="001A2E4A"/>
    <w:rsid w:val="001A2E5F"/>
    <w:rsid w:val="001A2E77"/>
    <w:rsid w:val="001A2F11"/>
    <w:rsid w:val="001A2F13"/>
    <w:rsid w:val="001A2F18"/>
    <w:rsid w:val="001A2FEF"/>
    <w:rsid w:val="001A2FFB"/>
    <w:rsid w:val="001A3006"/>
    <w:rsid w:val="001A3056"/>
    <w:rsid w:val="001A30C9"/>
    <w:rsid w:val="001A30DE"/>
    <w:rsid w:val="001A30E6"/>
    <w:rsid w:val="001A30FE"/>
    <w:rsid w:val="001A3147"/>
    <w:rsid w:val="001A3222"/>
    <w:rsid w:val="001A3267"/>
    <w:rsid w:val="001A3286"/>
    <w:rsid w:val="001A329B"/>
    <w:rsid w:val="001A32C3"/>
    <w:rsid w:val="001A32CC"/>
    <w:rsid w:val="001A32F7"/>
    <w:rsid w:val="001A3333"/>
    <w:rsid w:val="001A3357"/>
    <w:rsid w:val="001A33C2"/>
    <w:rsid w:val="001A33C3"/>
    <w:rsid w:val="001A33E1"/>
    <w:rsid w:val="001A33F9"/>
    <w:rsid w:val="001A3454"/>
    <w:rsid w:val="001A34B5"/>
    <w:rsid w:val="001A34B9"/>
    <w:rsid w:val="001A34C7"/>
    <w:rsid w:val="001A3537"/>
    <w:rsid w:val="001A3538"/>
    <w:rsid w:val="001A3585"/>
    <w:rsid w:val="001A359B"/>
    <w:rsid w:val="001A35DA"/>
    <w:rsid w:val="001A35F8"/>
    <w:rsid w:val="001A3619"/>
    <w:rsid w:val="001A3638"/>
    <w:rsid w:val="001A3644"/>
    <w:rsid w:val="001A36A7"/>
    <w:rsid w:val="001A36BB"/>
    <w:rsid w:val="001A36F2"/>
    <w:rsid w:val="001A36FB"/>
    <w:rsid w:val="001A37BE"/>
    <w:rsid w:val="001A37E2"/>
    <w:rsid w:val="001A37E9"/>
    <w:rsid w:val="001A3863"/>
    <w:rsid w:val="001A3885"/>
    <w:rsid w:val="001A38F5"/>
    <w:rsid w:val="001A393D"/>
    <w:rsid w:val="001A3959"/>
    <w:rsid w:val="001A3988"/>
    <w:rsid w:val="001A39D3"/>
    <w:rsid w:val="001A3A4C"/>
    <w:rsid w:val="001A3AE2"/>
    <w:rsid w:val="001A3B21"/>
    <w:rsid w:val="001A3B7A"/>
    <w:rsid w:val="001A3BB5"/>
    <w:rsid w:val="001A3BD1"/>
    <w:rsid w:val="001A3C5F"/>
    <w:rsid w:val="001A3C81"/>
    <w:rsid w:val="001A3C90"/>
    <w:rsid w:val="001A3C94"/>
    <w:rsid w:val="001A3CF0"/>
    <w:rsid w:val="001A3D74"/>
    <w:rsid w:val="001A3D99"/>
    <w:rsid w:val="001A3E03"/>
    <w:rsid w:val="001A3E0D"/>
    <w:rsid w:val="001A3EAC"/>
    <w:rsid w:val="001A3ECF"/>
    <w:rsid w:val="001A3ED0"/>
    <w:rsid w:val="001A3F06"/>
    <w:rsid w:val="001A3F3A"/>
    <w:rsid w:val="001A3F6D"/>
    <w:rsid w:val="001A3FBE"/>
    <w:rsid w:val="001A400D"/>
    <w:rsid w:val="001A403A"/>
    <w:rsid w:val="001A403F"/>
    <w:rsid w:val="001A411A"/>
    <w:rsid w:val="001A4163"/>
    <w:rsid w:val="001A4180"/>
    <w:rsid w:val="001A41B0"/>
    <w:rsid w:val="001A41E0"/>
    <w:rsid w:val="001A421F"/>
    <w:rsid w:val="001A4261"/>
    <w:rsid w:val="001A4276"/>
    <w:rsid w:val="001A42CA"/>
    <w:rsid w:val="001A434A"/>
    <w:rsid w:val="001A43B3"/>
    <w:rsid w:val="001A4435"/>
    <w:rsid w:val="001A4496"/>
    <w:rsid w:val="001A44D1"/>
    <w:rsid w:val="001A4558"/>
    <w:rsid w:val="001A456B"/>
    <w:rsid w:val="001A456F"/>
    <w:rsid w:val="001A461A"/>
    <w:rsid w:val="001A4625"/>
    <w:rsid w:val="001A463B"/>
    <w:rsid w:val="001A4664"/>
    <w:rsid w:val="001A46B2"/>
    <w:rsid w:val="001A46D0"/>
    <w:rsid w:val="001A4706"/>
    <w:rsid w:val="001A470B"/>
    <w:rsid w:val="001A4754"/>
    <w:rsid w:val="001A475A"/>
    <w:rsid w:val="001A47D9"/>
    <w:rsid w:val="001A47F4"/>
    <w:rsid w:val="001A4826"/>
    <w:rsid w:val="001A4874"/>
    <w:rsid w:val="001A48CC"/>
    <w:rsid w:val="001A48D4"/>
    <w:rsid w:val="001A4929"/>
    <w:rsid w:val="001A4955"/>
    <w:rsid w:val="001A4963"/>
    <w:rsid w:val="001A4968"/>
    <w:rsid w:val="001A4987"/>
    <w:rsid w:val="001A49F3"/>
    <w:rsid w:val="001A4A3A"/>
    <w:rsid w:val="001A4A53"/>
    <w:rsid w:val="001A4A7E"/>
    <w:rsid w:val="001A4AE7"/>
    <w:rsid w:val="001A4B10"/>
    <w:rsid w:val="001A4B35"/>
    <w:rsid w:val="001A4B48"/>
    <w:rsid w:val="001A4BA1"/>
    <w:rsid w:val="001A4BEA"/>
    <w:rsid w:val="001A4C04"/>
    <w:rsid w:val="001A4C0E"/>
    <w:rsid w:val="001A4C14"/>
    <w:rsid w:val="001A4C2D"/>
    <w:rsid w:val="001A4C38"/>
    <w:rsid w:val="001A4CB6"/>
    <w:rsid w:val="001A4CC5"/>
    <w:rsid w:val="001A4D4A"/>
    <w:rsid w:val="001A4D4E"/>
    <w:rsid w:val="001A4D4F"/>
    <w:rsid w:val="001A4D51"/>
    <w:rsid w:val="001A4D53"/>
    <w:rsid w:val="001A4D5E"/>
    <w:rsid w:val="001A4DB8"/>
    <w:rsid w:val="001A4DC1"/>
    <w:rsid w:val="001A4DC2"/>
    <w:rsid w:val="001A4DD4"/>
    <w:rsid w:val="001A4DFA"/>
    <w:rsid w:val="001A4E93"/>
    <w:rsid w:val="001A4EEF"/>
    <w:rsid w:val="001A4F27"/>
    <w:rsid w:val="001A4F39"/>
    <w:rsid w:val="001A4F55"/>
    <w:rsid w:val="001A4F73"/>
    <w:rsid w:val="001A4FCC"/>
    <w:rsid w:val="001A4FE9"/>
    <w:rsid w:val="001A505F"/>
    <w:rsid w:val="001A50B4"/>
    <w:rsid w:val="001A5108"/>
    <w:rsid w:val="001A5139"/>
    <w:rsid w:val="001A5167"/>
    <w:rsid w:val="001A51A4"/>
    <w:rsid w:val="001A51B4"/>
    <w:rsid w:val="001A5299"/>
    <w:rsid w:val="001A52AB"/>
    <w:rsid w:val="001A52DF"/>
    <w:rsid w:val="001A531C"/>
    <w:rsid w:val="001A537D"/>
    <w:rsid w:val="001A537E"/>
    <w:rsid w:val="001A5393"/>
    <w:rsid w:val="001A53B7"/>
    <w:rsid w:val="001A53D9"/>
    <w:rsid w:val="001A5412"/>
    <w:rsid w:val="001A5482"/>
    <w:rsid w:val="001A54BF"/>
    <w:rsid w:val="001A54F7"/>
    <w:rsid w:val="001A554D"/>
    <w:rsid w:val="001A565E"/>
    <w:rsid w:val="001A567B"/>
    <w:rsid w:val="001A5686"/>
    <w:rsid w:val="001A56B3"/>
    <w:rsid w:val="001A574E"/>
    <w:rsid w:val="001A576A"/>
    <w:rsid w:val="001A57D1"/>
    <w:rsid w:val="001A584B"/>
    <w:rsid w:val="001A58AF"/>
    <w:rsid w:val="001A58EC"/>
    <w:rsid w:val="001A5939"/>
    <w:rsid w:val="001A593C"/>
    <w:rsid w:val="001A5956"/>
    <w:rsid w:val="001A59DA"/>
    <w:rsid w:val="001A59F9"/>
    <w:rsid w:val="001A5A1A"/>
    <w:rsid w:val="001A5A60"/>
    <w:rsid w:val="001A5A81"/>
    <w:rsid w:val="001A5AA1"/>
    <w:rsid w:val="001A5AB8"/>
    <w:rsid w:val="001A5ADB"/>
    <w:rsid w:val="001A5BD4"/>
    <w:rsid w:val="001A5C4A"/>
    <w:rsid w:val="001A5C4E"/>
    <w:rsid w:val="001A5C7D"/>
    <w:rsid w:val="001A5CBB"/>
    <w:rsid w:val="001A5CC3"/>
    <w:rsid w:val="001A5D0A"/>
    <w:rsid w:val="001A5D17"/>
    <w:rsid w:val="001A5D48"/>
    <w:rsid w:val="001A5D53"/>
    <w:rsid w:val="001A5D58"/>
    <w:rsid w:val="001A5D65"/>
    <w:rsid w:val="001A5D73"/>
    <w:rsid w:val="001A5DAD"/>
    <w:rsid w:val="001A5DDA"/>
    <w:rsid w:val="001A5DFD"/>
    <w:rsid w:val="001A5E40"/>
    <w:rsid w:val="001A5E4B"/>
    <w:rsid w:val="001A5E76"/>
    <w:rsid w:val="001A5E9E"/>
    <w:rsid w:val="001A5EAD"/>
    <w:rsid w:val="001A5EC1"/>
    <w:rsid w:val="001A5EC8"/>
    <w:rsid w:val="001A5EFA"/>
    <w:rsid w:val="001A5F37"/>
    <w:rsid w:val="001A6015"/>
    <w:rsid w:val="001A602A"/>
    <w:rsid w:val="001A60B6"/>
    <w:rsid w:val="001A60E7"/>
    <w:rsid w:val="001A60F0"/>
    <w:rsid w:val="001A6113"/>
    <w:rsid w:val="001A6120"/>
    <w:rsid w:val="001A6168"/>
    <w:rsid w:val="001A61C0"/>
    <w:rsid w:val="001A61D6"/>
    <w:rsid w:val="001A621C"/>
    <w:rsid w:val="001A6252"/>
    <w:rsid w:val="001A6271"/>
    <w:rsid w:val="001A628C"/>
    <w:rsid w:val="001A62B7"/>
    <w:rsid w:val="001A6315"/>
    <w:rsid w:val="001A638B"/>
    <w:rsid w:val="001A63C7"/>
    <w:rsid w:val="001A6433"/>
    <w:rsid w:val="001A6455"/>
    <w:rsid w:val="001A6497"/>
    <w:rsid w:val="001A64F6"/>
    <w:rsid w:val="001A6526"/>
    <w:rsid w:val="001A655A"/>
    <w:rsid w:val="001A65E0"/>
    <w:rsid w:val="001A6620"/>
    <w:rsid w:val="001A662B"/>
    <w:rsid w:val="001A6691"/>
    <w:rsid w:val="001A66B9"/>
    <w:rsid w:val="001A672C"/>
    <w:rsid w:val="001A6790"/>
    <w:rsid w:val="001A6795"/>
    <w:rsid w:val="001A67C1"/>
    <w:rsid w:val="001A67DE"/>
    <w:rsid w:val="001A68A9"/>
    <w:rsid w:val="001A68B5"/>
    <w:rsid w:val="001A68D3"/>
    <w:rsid w:val="001A6A1A"/>
    <w:rsid w:val="001A6A3A"/>
    <w:rsid w:val="001A6A40"/>
    <w:rsid w:val="001A6A59"/>
    <w:rsid w:val="001A6ADD"/>
    <w:rsid w:val="001A6AE1"/>
    <w:rsid w:val="001A6B0B"/>
    <w:rsid w:val="001A6B36"/>
    <w:rsid w:val="001A6B8C"/>
    <w:rsid w:val="001A6B9C"/>
    <w:rsid w:val="001A6BB9"/>
    <w:rsid w:val="001A6BD0"/>
    <w:rsid w:val="001A6BE7"/>
    <w:rsid w:val="001A6BF1"/>
    <w:rsid w:val="001A6C24"/>
    <w:rsid w:val="001A6C35"/>
    <w:rsid w:val="001A6C3C"/>
    <w:rsid w:val="001A6C8E"/>
    <w:rsid w:val="001A6CB0"/>
    <w:rsid w:val="001A6D07"/>
    <w:rsid w:val="001A6D37"/>
    <w:rsid w:val="001A6D9B"/>
    <w:rsid w:val="001A6DD8"/>
    <w:rsid w:val="001A6E0F"/>
    <w:rsid w:val="001A6E18"/>
    <w:rsid w:val="001A6E56"/>
    <w:rsid w:val="001A6E93"/>
    <w:rsid w:val="001A6ECF"/>
    <w:rsid w:val="001A6EE3"/>
    <w:rsid w:val="001A6EE6"/>
    <w:rsid w:val="001A6F20"/>
    <w:rsid w:val="001A6F25"/>
    <w:rsid w:val="001A6F56"/>
    <w:rsid w:val="001A6F71"/>
    <w:rsid w:val="001A6F85"/>
    <w:rsid w:val="001A6FC9"/>
    <w:rsid w:val="001A6FF9"/>
    <w:rsid w:val="001A7003"/>
    <w:rsid w:val="001A7051"/>
    <w:rsid w:val="001A7074"/>
    <w:rsid w:val="001A709D"/>
    <w:rsid w:val="001A70E7"/>
    <w:rsid w:val="001A7107"/>
    <w:rsid w:val="001A710A"/>
    <w:rsid w:val="001A711A"/>
    <w:rsid w:val="001A711C"/>
    <w:rsid w:val="001A71A2"/>
    <w:rsid w:val="001A71D7"/>
    <w:rsid w:val="001A71DF"/>
    <w:rsid w:val="001A71F2"/>
    <w:rsid w:val="001A71F6"/>
    <w:rsid w:val="001A7249"/>
    <w:rsid w:val="001A7271"/>
    <w:rsid w:val="001A727B"/>
    <w:rsid w:val="001A72DA"/>
    <w:rsid w:val="001A72DE"/>
    <w:rsid w:val="001A72E7"/>
    <w:rsid w:val="001A7340"/>
    <w:rsid w:val="001A73AA"/>
    <w:rsid w:val="001A73AC"/>
    <w:rsid w:val="001A73F4"/>
    <w:rsid w:val="001A73FD"/>
    <w:rsid w:val="001A740B"/>
    <w:rsid w:val="001A742F"/>
    <w:rsid w:val="001A7435"/>
    <w:rsid w:val="001A7499"/>
    <w:rsid w:val="001A74AD"/>
    <w:rsid w:val="001A74F1"/>
    <w:rsid w:val="001A74FA"/>
    <w:rsid w:val="001A75A1"/>
    <w:rsid w:val="001A75B4"/>
    <w:rsid w:val="001A7617"/>
    <w:rsid w:val="001A76FA"/>
    <w:rsid w:val="001A7778"/>
    <w:rsid w:val="001A778B"/>
    <w:rsid w:val="001A7791"/>
    <w:rsid w:val="001A7862"/>
    <w:rsid w:val="001A7884"/>
    <w:rsid w:val="001A7927"/>
    <w:rsid w:val="001A7937"/>
    <w:rsid w:val="001A79D3"/>
    <w:rsid w:val="001A7A02"/>
    <w:rsid w:val="001A7A34"/>
    <w:rsid w:val="001A7A47"/>
    <w:rsid w:val="001A7B64"/>
    <w:rsid w:val="001A7BB7"/>
    <w:rsid w:val="001A7BF8"/>
    <w:rsid w:val="001A7C05"/>
    <w:rsid w:val="001A7C06"/>
    <w:rsid w:val="001A7C22"/>
    <w:rsid w:val="001A7C39"/>
    <w:rsid w:val="001A7C4D"/>
    <w:rsid w:val="001A7C58"/>
    <w:rsid w:val="001A7C73"/>
    <w:rsid w:val="001A7C9B"/>
    <w:rsid w:val="001A7CA5"/>
    <w:rsid w:val="001A7CA7"/>
    <w:rsid w:val="001A7CFF"/>
    <w:rsid w:val="001A7D66"/>
    <w:rsid w:val="001A7E73"/>
    <w:rsid w:val="001A7E95"/>
    <w:rsid w:val="001A7F18"/>
    <w:rsid w:val="001A7F3C"/>
    <w:rsid w:val="001A7FF4"/>
    <w:rsid w:val="001B0036"/>
    <w:rsid w:val="001B0041"/>
    <w:rsid w:val="001B0088"/>
    <w:rsid w:val="001B00D8"/>
    <w:rsid w:val="001B00DC"/>
    <w:rsid w:val="001B00E6"/>
    <w:rsid w:val="001B00E7"/>
    <w:rsid w:val="001B0106"/>
    <w:rsid w:val="001B0114"/>
    <w:rsid w:val="001B0124"/>
    <w:rsid w:val="001B0149"/>
    <w:rsid w:val="001B0187"/>
    <w:rsid w:val="001B01A5"/>
    <w:rsid w:val="001B022D"/>
    <w:rsid w:val="001B0243"/>
    <w:rsid w:val="001B0245"/>
    <w:rsid w:val="001B0316"/>
    <w:rsid w:val="001B0346"/>
    <w:rsid w:val="001B0358"/>
    <w:rsid w:val="001B037F"/>
    <w:rsid w:val="001B03B4"/>
    <w:rsid w:val="001B03BB"/>
    <w:rsid w:val="001B03C5"/>
    <w:rsid w:val="001B043A"/>
    <w:rsid w:val="001B0462"/>
    <w:rsid w:val="001B0502"/>
    <w:rsid w:val="001B0530"/>
    <w:rsid w:val="001B0547"/>
    <w:rsid w:val="001B058A"/>
    <w:rsid w:val="001B059A"/>
    <w:rsid w:val="001B05FB"/>
    <w:rsid w:val="001B070A"/>
    <w:rsid w:val="001B081E"/>
    <w:rsid w:val="001B0875"/>
    <w:rsid w:val="001B088F"/>
    <w:rsid w:val="001B08C7"/>
    <w:rsid w:val="001B08D9"/>
    <w:rsid w:val="001B08E2"/>
    <w:rsid w:val="001B0901"/>
    <w:rsid w:val="001B090E"/>
    <w:rsid w:val="001B0915"/>
    <w:rsid w:val="001B091D"/>
    <w:rsid w:val="001B0923"/>
    <w:rsid w:val="001B0A0F"/>
    <w:rsid w:val="001B0A22"/>
    <w:rsid w:val="001B0A38"/>
    <w:rsid w:val="001B0AD2"/>
    <w:rsid w:val="001B0B0C"/>
    <w:rsid w:val="001B0B14"/>
    <w:rsid w:val="001B0B2B"/>
    <w:rsid w:val="001B0B89"/>
    <w:rsid w:val="001B0B8C"/>
    <w:rsid w:val="001B0BED"/>
    <w:rsid w:val="001B0C09"/>
    <w:rsid w:val="001B0C38"/>
    <w:rsid w:val="001B0CDF"/>
    <w:rsid w:val="001B0D03"/>
    <w:rsid w:val="001B0D23"/>
    <w:rsid w:val="001B0D7F"/>
    <w:rsid w:val="001B0DA1"/>
    <w:rsid w:val="001B0E21"/>
    <w:rsid w:val="001B0E8D"/>
    <w:rsid w:val="001B0E9A"/>
    <w:rsid w:val="001B0F2F"/>
    <w:rsid w:val="001B0F88"/>
    <w:rsid w:val="001B0FBB"/>
    <w:rsid w:val="001B1065"/>
    <w:rsid w:val="001B1099"/>
    <w:rsid w:val="001B10A7"/>
    <w:rsid w:val="001B10D8"/>
    <w:rsid w:val="001B1106"/>
    <w:rsid w:val="001B1118"/>
    <w:rsid w:val="001B1133"/>
    <w:rsid w:val="001B1160"/>
    <w:rsid w:val="001B11AD"/>
    <w:rsid w:val="001B11CA"/>
    <w:rsid w:val="001B11F5"/>
    <w:rsid w:val="001B1258"/>
    <w:rsid w:val="001B1267"/>
    <w:rsid w:val="001B1302"/>
    <w:rsid w:val="001B133C"/>
    <w:rsid w:val="001B135C"/>
    <w:rsid w:val="001B13BB"/>
    <w:rsid w:val="001B13C4"/>
    <w:rsid w:val="001B13EA"/>
    <w:rsid w:val="001B14D0"/>
    <w:rsid w:val="001B14F9"/>
    <w:rsid w:val="001B14FE"/>
    <w:rsid w:val="001B1559"/>
    <w:rsid w:val="001B156E"/>
    <w:rsid w:val="001B158B"/>
    <w:rsid w:val="001B15DA"/>
    <w:rsid w:val="001B1644"/>
    <w:rsid w:val="001B1649"/>
    <w:rsid w:val="001B1776"/>
    <w:rsid w:val="001B1778"/>
    <w:rsid w:val="001B17EE"/>
    <w:rsid w:val="001B17F6"/>
    <w:rsid w:val="001B1807"/>
    <w:rsid w:val="001B1872"/>
    <w:rsid w:val="001B1892"/>
    <w:rsid w:val="001B18CC"/>
    <w:rsid w:val="001B1900"/>
    <w:rsid w:val="001B1985"/>
    <w:rsid w:val="001B19BD"/>
    <w:rsid w:val="001B19D6"/>
    <w:rsid w:val="001B1A61"/>
    <w:rsid w:val="001B1A63"/>
    <w:rsid w:val="001B1A85"/>
    <w:rsid w:val="001B1A9B"/>
    <w:rsid w:val="001B1AB3"/>
    <w:rsid w:val="001B1B04"/>
    <w:rsid w:val="001B1B25"/>
    <w:rsid w:val="001B1B6E"/>
    <w:rsid w:val="001B1BB9"/>
    <w:rsid w:val="001B1BEE"/>
    <w:rsid w:val="001B1C16"/>
    <w:rsid w:val="001B1C53"/>
    <w:rsid w:val="001B1D09"/>
    <w:rsid w:val="001B1D50"/>
    <w:rsid w:val="001B1D95"/>
    <w:rsid w:val="001B1D9F"/>
    <w:rsid w:val="001B1DAD"/>
    <w:rsid w:val="001B1E1D"/>
    <w:rsid w:val="001B1E23"/>
    <w:rsid w:val="001B1E5D"/>
    <w:rsid w:val="001B1E6F"/>
    <w:rsid w:val="001B1E91"/>
    <w:rsid w:val="001B1EC7"/>
    <w:rsid w:val="001B1EDA"/>
    <w:rsid w:val="001B1EE0"/>
    <w:rsid w:val="001B1EE8"/>
    <w:rsid w:val="001B1F0F"/>
    <w:rsid w:val="001B1F60"/>
    <w:rsid w:val="001B1F63"/>
    <w:rsid w:val="001B1F98"/>
    <w:rsid w:val="001B1FA1"/>
    <w:rsid w:val="001B1FA6"/>
    <w:rsid w:val="001B1FED"/>
    <w:rsid w:val="001B2007"/>
    <w:rsid w:val="001B2055"/>
    <w:rsid w:val="001B2087"/>
    <w:rsid w:val="001B20A8"/>
    <w:rsid w:val="001B20AA"/>
    <w:rsid w:val="001B2112"/>
    <w:rsid w:val="001B2157"/>
    <w:rsid w:val="001B2174"/>
    <w:rsid w:val="001B218E"/>
    <w:rsid w:val="001B2198"/>
    <w:rsid w:val="001B21ED"/>
    <w:rsid w:val="001B223F"/>
    <w:rsid w:val="001B226D"/>
    <w:rsid w:val="001B2305"/>
    <w:rsid w:val="001B234E"/>
    <w:rsid w:val="001B2370"/>
    <w:rsid w:val="001B237E"/>
    <w:rsid w:val="001B238D"/>
    <w:rsid w:val="001B23CD"/>
    <w:rsid w:val="001B23EE"/>
    <w:rsid w:val="001B24B7"/>
    <w:rsid w:val="001B24DF"/>
    <w:rsid w:val="001B2502"/>
    <w:rsid w:val="001B2563"/>
    <w:rsid w:val="001B2579"/>
    <w:rsid w:val="001B2592"/>
    <w:rsid w:val="001B25BD"/>
    <w:rsid w:val="001B25C0"/>
    <w:rsid w:val="001B25EC"/>
    <w:rsid w:val="001B260F"/>
    <w:rsid w:val="001B2612"/>
    <w:rsid w:val="001B26A6"/>
    <w:rsid w:val="001B26AB"/>
    <w:rsid w:val="001B26BE"/>
    <w:rsid w:val="001B274B"/>
    <w:rsid w:val="001B27D6"/>
    <w:rsid w:val="001B2818"/>
    <w:rsid w:val="001B28AC"/>
    <w:rsid w:val="001B28B5"/>
    <w:rsid w:val="001B28D4"/>
    <w:rsid w:val="001B28E6"/>
    <w:rsid w:val="001B28F7"/>
    <w:rsid w:val="001B293A"/>
    <w:rsid w:val="001B2953"/>
    <w:rsid w:val="001B295B"/>
    <w:rsid w:val="001B2968"/>
    <w:rsid w:val="001B2971"/>
    <w:rsid w:val="001B2988"/>
    <w:rsid w:val="001B29BD"/>
    <w:rsid w:val="001B29C7"/>
    <w:rsid w:val="001B2A53"/>
    <w:rsid w:val="001B2AB8"/>
    <w:rsid w:val="001B2AC7"/>
    <w:rsid w:val="001B2B44"/>
    <w:rsid w:val="001B2B8C"/>
    <w:rsid w:val="001B2BCD"/>
    <w:rsid w:val="001B2C00"/>
    <w:rsid w:val="001B2C1B"/>
    <w:rsid w:val="001B2C88"/>
    <w:rsid w:val="001B2D38"/>
    <w:rsid w:val="001B2D51"/>
    <w:rsid w:val="001B2D63"/>
    <w:rsid w:val="001B2DAB"/>
    <w:rsid w:val="001B2E0E"/>
    <w:rsid w:val="001B2E18"/>
    <w:rsid w:val="001B2E2F"/>
    <w:rsid w:val="001B2E54"/>
    <w:rsid w:val="001B2E62"/>
    <w:rsid w:val="001B2EB3"/>
    <w:rsid w:val="001B2EC3"/>
    <w:rsid w:val="001B2EC5"/>
    <w:rsid w:val="001B2EF1"/>
    <w:rsid w:val="001B2EFA"/>
    <w:rsid w:val="001B2F19"/>
    <w:rsid w:val="001B2F2B"/>
    <w:rsid w:val="001B2F49"/>
    <w:rsid w:val="001B2FA5"/>
    <w:rsid w:val="001B2FC5"/>
    <w:rsid w:val="001B2FCF"/>
    <w:rsid w:val="001B3014"/>
    <w:rsid w:val="001B310A"/>
    <w:rsid w:val="001B313B"/>
    <w:rsid w:val="001B3172"/>
    <w:rsid w:val="001B31BC"/>
    <w:rsid w:val="001B31E1"/>
    <w:rsid w:val="001B31E7"/>
    <w:rsid w:val="001B3200"/>
    <w:rsid w:val="001B3234"/>
    <w:rsid w:val="001B3264"/>
    <w:rsid w:val="001B327B"/>
    <w:rsid w:val="001B328F"/>
    <w:rsid w:val="001B32B5"/>
    <w:rsid w:val="001B32E3"/>
    <w:rsid w:val="001B32FF"/>
    <w:rsid w:val="001B3306"/>
    <w:rsid w:val="001B333A"/>
    <w:rsid w:val="001B33B9"/>
    <w:rsid w:val="001B341B"/>
    <w:rsid w:val="001B34C5"/>
    <w:rsid w:val="001B34F4"/>
    <w:rsid w:val="001B3522"/>
    <w:rsid w:val="001B3552"/>
    <w:rsid w:val="001B3556"/>
    <w:rsid w:val="001B3563"/>
    <w:rsid w:val="001B35FA"/>
    <w:rsid w:val="001B3668"/>
    <w:rsid w:val="001B36BB"/>
    <w:rsid w:val="001B3712"/>
    <w:rsid w:val="001B3733"/>
    <w:rsid w:val="001B3768"/>
    <w:rsid w:val="001B37BF"/>
    <w:rsid w:val="001B37E4"/>
    <w:rsid w:val="001B37F4"/>
    <w:rsid w:val="001B3829"/>
    <w:rsid w:val="001B3849"/>
    <w:rsid w:val="001B384A"/>
    <w:rsid w:val="001B3850"/>
    <w:rsid w:val="001B3899"/>
    <w:rsid w:val="001B38CF"/>
    <w:rsid w:val="001B38DF"/>
    <w:rsid w:val="001B38E2"/>
    <w:rsid w:val="001B392F"/>
    <w:rsid w:val="001B3939"/>
    <w:rsid w:val="001B39B6"/>
    <w:rsid w:val="001B39EA"/>
    <w:rsid w:val="001B3A04"/>
    <w:rsid w:val="001B3A6E"/>
    <w:rsid w:val="001B3A86"/>
    <w:rsid w:val="001B3A98"/>
    <w:rsid w:val="001B3A9D"/>
    <w:rsid w:val="001B3AEE"/>
    <w:rsid w:val="001B3B09"/>
    <w:rsid w:val="001B3B1A"/>
    <w:rsid w:val="001B3B49"/>
    <w:rsid w:val="001B3B57"/>
    <w:rsid w:val="001B3B77"/>
    <w:rsid w:val="001B3BF2"/>
    <w:rsid w:val="001B3C47"/>
    <w:rsid w:val="001B3C82"/>
    <w:rsid w:val="001B3CBE"/>
    <w:rsid w:val="001B3CC2"/>
    <w:rsid w:val="001B3CCC"/>
    <w:rsid w:val="001B3D4E"/>
    <w:rsid w:val="001B3DC9"/>
    <w:rsid w:val="001B3E06"/>
    <w:rsid w:val="001B3E2C"/>
    <w:rsid w:val="001B3E36"/>
    <w:rsid w:val="001B3E50"/>
    <w:rsid w:val="001B3E64"/>
    <w:rsid w:val="001B3F20"/>
    <w:rsid w:val="001B3F97"/>
    <w:rsid w:val="001B3FBC"/>
    <w:rsid w:val="001B406D"/>
    <w:rsid w:val="001B40EE"/>
    <w:rsid w:val="001B41BD"/>
    <w:rsid w:val="001B41E4"/>
    <w:rsid w:val="001B41F7"/>
    <w:rsid w:val="001B4256"/>
    <w:rsid w:val="001B42A5"/>
    <w:rsid w:val="001B42DF"/>
    <w:rsid w:val="001B4338"/>
    <w:rsid w:val="001B4345"/>
    <w:rsid w:val="001B43D2"/>
    <w:rsid w:val="001B43EF"/>
    <w:rsid w:val="001B43F3"/>
    <w:rsid w:val="001B43F6"/>
    <w:rsid w:val="001B440B"/>
    <w:rsid w:val="001B4421"/>
    <w:rsid w:val="001B4435"/>
    <w:rsid w:val="001B447D"/>
    <w:rsid w:val="001B4499"/>
    <w:rsid w:val="001B4532"/>
    <w:rsid w:val="001B460D"/>
    <w:rsid w:val="001B4660"/>
    <w:rsid w:val="001B46E4"/>
    <w:rsid w:val="001B472A"/>
    <w:rsid w:val="001B475E"/>
    <w:rsid w:val="001B47B4"/>
    <w:rsid w:val="001B48EA"/>
    <w:rsid w:val="001B4901"/>
    <w:rsid w:val="001B494C"/>
    <w:rsid w:val="001B4976"/>
    <w:rsid w:val="001B4987"/>
    <w:rsid w:val="001B49D6"/>
    <w:rsid w:val="001B49FB"/>
    <w:rsid w:val="001B4A0E"/>
    <w:rsid w:val="001B4A22"/>
    <w:rsid w:val="001B4A64"/>
    <w:rsid w:val="001B4A66"/>
    <w:rsid w:val="001B4AB2"/>
    <w:rsid w:val="001B4ACE"/>
    <w:rsid w:val="001B4AD5"/>
    <w:rsid w:val="001B4B01"/>
    <w:rsid w:val="001B4B39"/>
    <w:rsid w:val="001B4B3D"/>
    <w:rsid w:val="001B4BD8"/>
    <w:rsid w:val="001B4BFB"/>
    <w:rsid w:val="001B4C24"/>
    <w:rsid w:val="001B4C32"/>
    <w:rsid w:val="001B4C7C"/>
    <w:rsid w:val="001B4C9C"/>
    <w:rsid w:val="001B4CF7"/>
    <w:rsid w:val="001B4D08"/>
    <w:rsid w:val="001B4D0C"/>
    <w:rsid w:val="001B4D0F"/>
    <w:rsid w:val="001B4D1C"/>
    <w:rsid w:val="001B4D91"/>
    <w:rsid w:val="001B4DEF"/>
    <w:rsid w:val="001B4E37"/>
    <w:rsid w:val="001B4E87"/>
    <w:rsid w:val="001B4E8B"/>
    <w:rsid w:val="001B4EAE"/>
    <w:rsid w:val="001B4EC5"/>
    <w:rsid w:val="001B4EC7"/>
    <w:rsid w:val="001B4ECB"/>
    <w:rsid w:val="001B4F76"/>
    <w:rsid w:val="001B4F81"/>
    <w:rsid w:val="001B4FB3"/>
    <w:rsid w:val="001B4FBE"/>
    <w:rsid w:val="001B4FFF"/>
    <w:rsid w:val="001B5032"/>
    <w:rsid w:val="001B50AC"/>
    <w:rsid w:val="001B50E1"/>
    <w:rsid w:val="001B5162"/>
    <w:rsid w:val="001B51AE"/>
    <w:rsid w:val="001B51C4"/>
    <w:rsid w:val="001B5209"/>
    <w:rsid w:val="001B5279"/>
    <w:rsid w:val="001B52DF"/>
    <w:rsid w:val="001B52FC"/>
    <w:rsid w:val="001B531F"/>
    <w:rsid w:val="001B5331"/>
    <w:rsid w:val="001B53E2"/>
    <w:rsid w:val="001B53F9"/>
    <w:rsid w:val="001B5425"/>
    <w:rsid w:val="001B5505"/>
    <w:rsid w:val="001B5532"/>
    <w:rsid w:val="001B56A2"/>
    <w:rsid w:val="001B56ED"/>
    <w:rsid w:val="001B5747"/>
    <w:rsid w:val="001B57B2"/>
    <w:rsid w:val="001B57E3"/>
    <w:rsid w:val="001B5823"/>
    <w:rsid w:val="001B5834"/>
    <w:rsid w:val="001B583E"/>
    <w:rsid w:val="001B584F"/>
    <w:rsid w:val="001B589C"/>
    <w:rsid w:val="001B58B7"/>
    <w:rsid w:val="001B5901"/>
    <w:rsid w:val="001B5916"/>
    <w:rsid w:val="001B5938"/>
    <w:rsid w:val="001B59D2"/>
    <w:rsid w:val="001B59E3"/>
    <w:rsid w:val="001B5A83"/>
    <w:rsid w:val="001B5A8C"/>
    <w:rsid w:val="001B5ADA"/>
    <w:rsid w:val="001B5AEB"/>
    <w:rsid w:val="001B5B9B"/>
    <w:rsid w:val="001B5CBA"/>
    <w:rsid w:val="001B5CEA"/>
    <w:rsid w:val="001B5CF8"/>
    <w:rsid w:val="001B5DDD"/>
    <w:rsid w:val="001B5E23"/>
    <w:rsid w:val="001B5E7A"/>
    <w:rsid w:val="001B5E9A"/>
    <w:rsid w:val="001B5ED6"/>
    <w:rsid w:val="001B5EF8"/>
    <w:rsid w:val="001B5FD0"/>
    <w:rsid w:val="001B6034"/>
    <w:rsid w:val="001B6079"/>
    <w:rsid w:val="001B60C8"/>
    <w:rsid w:val="001B6101"/>
    <w:rsid w:val="001B6129"/>
    <w:rsid w:val="001B6146"/>
    <w:rsid w:val="001B6192"/>
    <w:rsid w:val="001B61A7"/>
    <w:rsid w:val="001B61AF"/>
    <w:rsid w:val="001B620C"/>
    <w:rsid w:val="001B6252"/>
    <w:rsid w:val="001B627B"/>
    <w:rsid w:val="001B62FD"/>
    <w:rsid w:val="001B6331"/>
    <w:rsid w:val="001B6394"/>
    <w:rsid w:val="001B63CC"/>
    <w:rsid w:val="001B640C"/>
    <w:rsid w:val="001B640D"/>
    <w:rsid w:val="001B6482"/>
    <w:rsid w:val="001B649F"/>
    <w:rsid w:val="001B64B2"/>
    <w:rsid w:val="001B64DA"/>
    <w:rsid w:val="001B6504"/>
    <w:rsid w:val="001B653E"/>
    <w:rsid w:val="001B6567"/>
    <w:rsid w:val="001B660F"/>
    <w:rsid w:val="001B6638"/>
    <w:rsid w:val="001B6672"/>
    <w:rsid w:val="001B668F"/>
    <w:rsid w:val="001B67C3"/>
    <w:rsid w:val="001B67CC"/>
    <w:rsid w:val="001B6816"/>
    <w:rsid w:val="001B6870"/>
    <w:rsid w:val="001B6898"/>
    <w:rsid w:val="001B68AA"/>
    <w:rsid w:val="001B68B1"/>
    <w:rsid w:val="001B68CF"/>
    <w:rsid w:val="001B6916"/>
    <w:rsid w:val="001B6943"/>
    <w:rsid w:val="001B6969"/>
    <w:rsid w:val="001B69C8"/>
    <w:rsid w:val="001B6A1C"/>
    <w:rsid w:val="001B6A93"/>
    <w:rsid w:val="001B6AC2"/>
    <w:rsid w:val="001B6B39"/>
    <w:rsid w:val="001B6B47"/>
    <w:rsid w:val="001B6B9A"/>
    <w:rsid w:val="001B6BA2"/>
    <w:rsid w:val="001B6BB6"/>
    <w:rsid w:val="001B6C08"/>
    <w:rsid w:val="001B6C1B"/>
    <w:rsid w:val="001B6C2A"/>
    <w:rsid w:val="001B6C97"/>
    <w:rsid w:val="001B6D0E"/>
    <w:rsid w:val="001B6D3A"/>
    <w:rsid w:val="001B6D7E"/>
    <w:rsid w:val="001B6DEA"/>
    <w:rsid w:val="001B6DFE"/>
    <w:rsid w:val="001B6E2F"/>
    <w:rsid w:val="001B6E67"/>
    <w:rsid w:val="001B6ED1"/>
    <w:rsid w:val="001B6EFB"/>
    <w:rsid w:val="001B6F07"/>
    <w:rsid w:val="001B6F41"/>
    <w:rsid w:val="001B6F69"/>
    <w:rsid w:val="001B6FD0"/>
    <w:rsid w:val="001B701C"/>
    <w:rsid w:val="001B704C"/>
    <w:rsid w:val="001B7052"/>
    <w:rsid w:val="001B70AA"/>
    <w:rsid w:val="001B7107"/>
    <w:rsid w:val="001B7148"/>
    <w:rsid w:val="001B7194"/>
    <w:rsid w:val="001B7196"/>
    <w:rsid w:val="001B719B"/>
    <w:rsid w:val="001B71CD"/>
    <w:rsid w:val="001B720C"/>
    <w:rsid w:val="001B7213"/>
    <w:rsid w:val="001B721D"/>
    <w:rsid w:val="001B72C7"/>
    <w:rsid w:val="001B732C"/>
    <w:rsid w:val="001B73A8"/>
    <w:rsid w:val="001B73EC"/>
    <w:rsid w:val="001B7432"/>
    <w:rsid w:val="001B743B"/>
    <w:rsid w:val="001B7461"/>
    <w:rsid w:val="001B7490"/>
    <w:rsid w:val="001B74BB"/>
    <w:rsid w:val="001B74DC"/>
    <w:rsid w:val="001B74E6"/>
    <w:rsid w:val="001B7512"/>
    <w:rsid w:val="001B751E"/>
    <w:rsid w:val="001B754E"/>
    <w:rsid w:val="001B758C"/>
    <w:rsid w:val="001B7646"/>
    <w:rsid w:val="001B76EB"/>
    <w:rsid w:val="001B76EF"/>
    <w:rsid w:val="001B7719"/>
    <w:rsid w:val="001B771C"/>
    <w:rsid w:val="001B7734"/>
    <w:rsid w:val="001B773D"/>
    <w:rsid w:val="001B77C7"/>
    <w:rsid w:val="001B77E8"/>
    <w:rsid w:val="001B7841"/>
    <w:rsid w:val="001B785A"/>
    <w:rsid w:val="001B787A"/>
    <w:rsid w:val="001B795C"/>
    <w:rsid w:val="001B79CB"/>
    <w:rsid w:val="001B79CE"/>
    <w:rsid w:val="001B7A64"/>
    <w:rsid w:val="001B7AE6"/>
    <w:rsid w:val="001B7B00"/>
    <w:rsid w:val="001B7B08"/>
    <w:rsid w:val="001B7B4C"/>
    <w:rsid w:val="001B7BAB"/>
    <w:rsid w:val="001B7BF5"/>
    <w:rsid w:val="001B7C1A"/>
    <w:rsid w:val="001B7C24"/>
    <w:rsid w:val="001B7D0A"/>
    <w:rsid w:val="001B7D0C"/>
    <w:rsid w:val="001B7D73"/>
    <w:rsid w:val="001B7DB8"/>
    <w:rsid w:val="001B7DC4"/>
    <w:rsid w:val="001B7DFA"/>
    <w:rsid w:val="001B7E2D"/>
    <w:rsid w:val="001B7E34"/>
    <w:rsid w:val="001B7E5C"/>
    <w:rsid w:val="001B7E60"/>
    <w:rsid w:val="001B7E62"/>
    <w:rsid w:val="001B7E6D"/>
    <w:rsid w:val="001B7EC4"/>
    <w:rsid w:val="001B7F00"/>
    <w:rsid w:val="001B7F24"/>
    <w:rsid w:val="001B7F61"/>
    <w:rsid w:val="001B7F76"/>
    <w:rsid w:val="001B7F85"/>
    <w:rsid w:val="001B7FC7"/>
    <w:rsid w:val="001B7FDA"/>
    <w:rsid w:val="001C000E"/>
    <w:rsid w:val="001C0047"/>
    <w:rsid w:val="001C00E3"/>
    <w:rsid w:val="001C00EF"/>
    <w:rsid w:val="001C00F8"/>
    <w:rsid w:val="001C011F"/>
    <w:rsid w:val="001C01D2"/>
    <w:rsid w:val="001C01E2"/>
    <w:rsid w:val="001C01E7"/>
    <w:rsid w:val="001C0213"/>
    <w:rsid w:val="001C0214"/>
    <w:rsid w:val="001C023E"/>
    <w:rsid w:val="001C02A4"/>
    <w:rsid w:val="001C02D5"/>
    <w:rsid w:val="001C02D7"/>
    <w:rsid w:val="001C0320"/>
    <w:rsid w:val="001C0343"/>
    <w:rsid w:val="001C0347"/>
    <w:rsid w:val="001C034B"/>
    <w:rsid w:val="001C03BB"/>
    <w:rsid w:val="001C05A3"/>
    <w:rsid w:val="001C061E"/>
    <w:rsid w:val="001C0642"/>
    <w:rsid w:val="001C066E"/>
    <w:rsid w:val="001C0691"/>
    <w:rsid w:val="001C0692"/>
    <w:rsid w:val="001C06F4"/>
    <w:rsid w:val="001C0793"/>
    <w:rsid w:val="001C07A0"/>
    <w:rsid w:val="001C07B6"/>
    <w:rsid w:val="001C0812"/>
    <w:rsid w:val="001C0813"/>
    <w:rsid w:val="001C083D"/>
    <w:rsid w:val="001C0869"/>
    <w:rsid w:val="001C0893"/>
    <w:rsid w:val="001C08BD"/>
    <w:rsid w:val="001C08C6"/>
    <w:rsid w:val="001C08E3"/>
    <w:rsid w:val="001C0909"/>
    <w:rsid w:val="001C0919"/>
    <w:rsid w:val="001C091D"/>
    <w:rsid w:val="001C0937"/>
    <w:rsid w:val="001C0952"/>
    <w:rsid w:val="001C09D9"/>
    <w:rsid w:val="001C09ED"/>
    <w:rsid w:val="001C09F4"/>
    <w:rsid w:val="001C0A3B"/>
    <w:rsid w:val="001C0A9D"/>
    <w:rsid w:val="001C0B4B"/>
    <w:rsid w:val="001C0B80"/>
    <w:rsid w:val="001C0BB4"/>
    <w:rsid w:val="001C0C03"/>
    <w:rsid w:val="001C0C77"/>
    <w:rsid w:val="001C0CD0"/>
    <w:rsid w:val="001C0D34"/>
    <w:rsid w:val="001C0DE0"/>
    <w:rsid w:val="001C0E16"/>
    <w:rsid w:val="001C0E20"/>
    <w:rsid w:val="001C0E2E"/>
    <w:rsid w:val="001C0E38"/>
    <w:rsid w:val="001C0F28"/>
    <w:rsid w:val="001C0F45"/>
    <w:rsid w:val="001C0F4F"/>
    <w:rsid w:val="001C0F7C"/>
    <w:rsid w:val="001C0FBC"/>
    <w:rsid w:val="001C1029"/>
    <w:rsid w:val="001C1061"/>
    <w:rsid w:val="001C1087"/>
    <w:rsid w:val="001C1135"/>
    <w:rsid w:val="001C113F"/>
    <w:rsid w:val="001C11C0"/>
    <w:rsid w:val="001C11E8"/>
    <w:rsid w:val="001C1215"/>
    <w:rsid w:val="001C129C"/>
    <w:rsid w:val="001C12E5"/>
    <w:rsid w:val="001C12F0"/>
    <w:rsid w:val="001C1305"/>
    <w:rsid w:val="001C131C"/>
    <w:rsid w:val="001C1363"/>
    <w:rsid w:val="001C13D0"/>
    <w:rsid w:val="001C1442"/>
    <w:rsid w:val="001C1485"/>
    <w:rsid w:val="001C1489"/>
    <w:rsid w:val="001C148F"/>
    <w:rsid w:val="001C150F"/>
    <w:rsid w:val="001C1517"/>
    <w:rsid w:val="001C154C"/>
    <w:rsid w:val="001C154D"/>
    <w:rsid w:val="001C15C0"/>
    <w:rsid w:val="001C15FC"/>
    <w:rsid w:val="001C1656"/>
    <w:rsid w:val="001C1672"/>
    <w:rsid w:val="001C1673"/>
    <w:rsid w:val="001C1710"/>
    <w:rsid w:val="001C1729"/>
    <w:rsid w:val="001C1763"/>
    <w:rsid w:val="001C1772"/>
    <w:rsid w:val="001C1795"/>
    <w:rsid w:val="001C17AE"/>
    <w:rsid w:val="001C17CF"/>
    <w:rsid w:val="001C182F"/>
    <w:rsid w:val="001C18EA"/>
    <w:rsid w:val="001C1916"/>
    <w:rsid w:val="001C193F"/>
    <w:rsid w:val="001C19E5"/>
    <w:rsid w:val="001C1A40"/>
    <w:rsid w:val="001C1A89"/>
    <w:rsid w:val="001C1AF5"/>
    <w:rsid w:val="001C1B5A"/>
    <w:rsid w:val="001C1B9C"/>
    <w:rsid w:val="001C1B9D"/>
    <w:rsid w:val="001C1C23"/>
    <w:rsid w:val="001C1CCB"/>
    <w:rsid w:val="001C1D0E"/>
    <w:rsid w:val="001C1E4F"/>
    <w:rsid w:val="001C1F93"/>
    <w:rsid w:val="001C1FC4"/>
    <w:rsid w:val="001C1FD4"/>
    <w:rsid w:val="001C1FD5"/>
    <w:rsid w:val="001C1FDA"/>
    <w:rsid w:val="001C1FDE"/>
    <w:rsid w:val="001C2040"/>
    <w:rsid w:val="001C204F"/>
    <w:rsid w:val="001C207D"/>
    <w:rsid w:val="001C2086"/>
    <w:rsid w:val="001C20A1"/>
    <w:rsid w:val="001C20B2"/>
    <w:rsid w:val="001C217F"/>
    <w:rsid w:val="001C2185"/>
    <w:rsid w:val="001C21D2"/>
    <w:rsid w:val="001C220E"/>
    <w:rsid w:val="001C2211"/>
    <w:rsid w:val="001C225C"/>
    <w:rsid w:val="001C2265"/>
    <w:rsid w:val="001C2284"/>
    <w:rsid w:val="001C232F"/>
    <w:rsid w:val="001C2387"/>
    <w:rsid w:val="001C2398"/>
    <w:rsid w:val="001C239D"/>
    <w:rsid w:val="001C23CA"/>
    <w:rsid w:val="001C2444"/>
    <w:rsid w:val="001C2499"/>
    <w:rsid w:val="001C24A9"/>
    <w:rsid w:val="001C24B4"/>
    <w:rsid w:val="001C24F0"/>
    <w:rsid w:val="001C2536"/>
    <w:rsid w:val="001C2542"/>
    <w:rsid w:val="001C25A9"/>
    <w:rsid w:val="001C25C1"/>
    <w:rsid w:val="001C25FD"/>
    <w:rsid w:val="001C267D"/>
    <w:rsid w:val="001C2690"/>
    <w:rsid w:val="001C26DF"/>
    <w:rsid w:val="001C2730"/>
    <w:rsid w:val="001C274E"/>
    <w:rsid w:val="001C278C"/>
    <w:rsid w:val="001C2851"/>
    <w:rsid w:val="001C286A"/>
    <w:rsid w:val="001C2938"/>
    <w:rsid w:val="001C29EC"/>
    <w:rsid w:val="001C2A08"/>
    <w:rsid w:val="001C2A37"/>
    <w:rsid w:val="001C2A45"/>
    <w:rsid w:val="001C2A92"/>
    <w:rsid w:val="001C2ADC"/>
    <w:rsid w:val="001C2B0E"/>
    <w:rsid w:val="001C2B4E"/>
    <w:rsid w:val="001C2BBC"/>
    <w:rsid w:val="001C2BC3"/>
    <w:rsid w:val="001C2C34"/>
    <w:rsid w:val="001C2C3F"/>
    <w:rsid w:val="001C2C77"/>
    <w:rsid w:val="001C2CE8"/>
    <w:rsid w:val="001C2D5E"/>
    <w:rsid w:val="001C2D93"/>
    <w:rsid w:val="001C2D9C"/>
    <w:rsid w:val="001C2DCE"/>
    <w:rsid w:val="001C2DE3"/>
    <w:rsid w:val="001C2E20"/>
    <w:rsid w:val="001C2E8D"/>
    <w:rsid w:val="001C2E9F"/>
    <w:rsid w:val="001C2F21"/>
    <w:rsid w:val="001C2F36"/>
    <w:rsid w:val="001C30A6"/>
    <w:rsid w:val="001C30C3"/>
    <w:rsid w:val="001C30F4"/>
    <w:rsid w:val="001C30F7"/>
    <w:rsid w:val="001C3178"/>
    <w:rsid w:val="001C31B1"/>
    <w:rsid w:val="001C3229"/>
    <w:rsid w:val="001C3232"/>
    <w:rsid w:val="001C327A"/>
    <w:rsid w:val="001C3287"/>
    <w:rsid w:val="001C3293"/>
    <w:rsid w:val="001C329A"/>
    <w:rsid w:val="001C32A2"/>
    <w:rsid w:val="001C32A5"/>
    <w:rsid w:val="001C3331"/>
    <w:rsid w:val="001C3358"/>
    <w:rsid w:val="001C3375"/>
    <w:rsid w:val="001C337A"/>
    <w:rsid w:val="001C33AD"/>
    <w:rsid w:val="001C33E8"/>
    <w:rsid w:val="001C347C"/>
    <w:rsid w:val="001C34A5"/>
    <w:rsid w:val="001C34CA"/>
    <w:rsid w:val="001C34E1"/>
    <w:rsid w:val="001C3536"/>
    <w:rsid w:val="001C355B"/>
    <w:rsid w:val="001C355E"/>
    <w:rsid w:val="001C357A"/>
    <w:rsid w:val="001C357F"/>
    <w:rsid w:val="001C35D8"/>
    <w:rsid w:val="001C3626"/>
    <w:rsid w:val="001C3629"/>
    <w:rsid w:val="001C367B"/>
    <w:rsid w:val="001C367D"/>
    <w:rsid w:val="001C3688"/>
    <w:rsid w:val="001C368C"/>
    <w:rsid w:val="001C36EA"/>
    <w:rsid w:val="001C3735"/>
    <w:rsid w:val="001C37D3"/>
    <w:rsid w:val="001C3808"/>
    <w:rsid w:val="001C38C6"/>
    <w:rsid w:val="001C38D0"/>
    <w:rsid w:val="001C38E2"/>
    <w:rsid w:val="001C38E4"/>
    <w:rsid w:val="001C3979"/>
    <w:rsid w:val="001C39AB"/>
    <w:rsid w:val="001C3A27"/>
    <w:rsid w:val="001C3A37"/>
    <w:rsid w:val="001C3A6E"/>
    <w:rsid w:val="001C3B04"/>
    <w:rsid w:val="001C3B09"/>
    <w:rsid w:val="001C3B74"/>
    <w:rsid w:val="001C3BA8"/>
    <w:rsid w:val="001C3BFA"/>
    <w:rsid w:val="001C3C18"/>
    <w:rsid w:val="001C3C2C"/>
    <w:rsid w:val="001C3C7F"/>
    <w:rsid w:val="001C3C9D"/>
    <w:rsid w:val="001C3CA0"/>
    <w:rsid w:val="001C3D3F"/>
    <w:rsid w:val="001C3D43"/>
    <w:rsid w:val="001C3D54"/>
    <w:rsid w:val="001C3D6B"/>
    <w:rsid w:val="001C3DFF"/>
    <w:rsid w:val="001C3EBE"/>
    <w:rsid w:val="001C3F1C"/>
    <w:rsid w:val="001C3F2C"/>
    <w:rsid w:val="001C3FA5"/>
    <w:rsid w:val="001C3FFF"/>
    <w:rsid w:val="001C4026"/>
    <w:rsid w:val="001C40F3"/>
    <w:rsid w:val="001C4145"/>
    <w:rsid w:val="001C4156"/>
    <w:rsid w:val="001C415E"/>
    <w:rsid w:val="001C417F"/>
    <w:rsid w:val="001C419A"/>
    <w:rsid w:val="001C41CB"/>
    <w:rsid w:val="001C42A6"/>
    <w:rsid w:val="001C42D7"/>
    <w:rsid w:val="001C42FB"/>
    <w:rsid w:val="001C4302"/>
    <w:rsid w:val="001C4326"/>
    <w:rsid w:val="001C4386"/>
    <w:rsid w:val="001C43BE"/>
    <w:rsid w:val="001C43C0"/>
    <w:rsid w:val="001C43D7"/>
    <w:rsid w:val="001C4438"/>
    <w:rsid w:val="001C445F"/>
    <w:rsid w:val="001C446B"/>
    <w:rsid w:val="001C44D3"/>
    <w:rsid w:val="001C44FE"/>
    <w:rsid w:val="001C4552"/>
    <w:rsid w:val="001C457C"/>
    <w:rsid w:val="001C45A6"/>
    <w:rsid w:val="001C45AA"/>
    <w:rsid w:val="001C45AB"/>
    <w:rsid w:val="001C45FE"/>
    <w:rsid w:val="001C463B"/>
    <w:rsid w:val="001C4694"/>
    <w:rsid w:val="001C46B6"/>
    <w:rsid w:val="001C470F"/>
    <w:rsid w:val="001C4730"/>
    <w:rsid w:val="001C4766"/>
    <w:rsid w:val="001C479F"/>
    <w:rsid w:val="001C47EA"/>
    <w:rsid w:val="001C4818"/>
    <w:rsid w:val="001C4831"/>
    <w:rsid w:val="001C4892"/>
    <w:rsid w:val="001C48BE"/>
    <w:rsid w:val="001C48D4"/>
    <w:rsid w:val="001C48EA"/>
    <w:rsid w:val="001C4918"/>
    <w:rsid w:val="001C4936"/>
    <w:rsid w:val="001C49BB"/>
    <w:rsid w:val="001C49C0"/>
    <w:rsid w:val="001C4A51"/>
    <w:rsid w:val="001C4A54"/>
    <w:rsid w:val="001C4A64"/>
    <w:rsid w:val="001C4B1C"/>
    <w:rsid w:val="001C4B30"/>
    <w:rsid w:val="001C4B7A"/>
    <w:rsid w:val="001C4CD5"/>
    <w:rsid w:val="001C4D43"/>
    <w:rsid w:val="001C4DB7"/>
    <w:rsid w:val="001C4E2B"/>
    <w:rsid w:val="001C4E9B"/>
    <w:rsid w:val="001C4F13"/>
    <w:rsid w:val="001C4F79"/>
    <w:rsid w:val="001C4FAF"/>
    <w:rsid w:val="001C4FB5"/>
    <w:rsid w:val="001C5034"/>
    <w:rsid w:val="001C503D"/>
    <w:rsid w:val="001C507F"/>
    <w:rsid w:val="001C50AB"/>
    <w:rsid w:val="001C50B4"/>
    <w:rsid w:val="001C50C5"/>
    <w:rsid w:val="001C50DD"/>
    <w:rsid w:val="001C510F"/>
    <w:rsid w:val="001C511C"/>
    <w:rsid w:val="001C515D"/>
    <w:rsid w:val="001C51BD"/>
    <w:rsid w:val="001C5206"/>
    <w:rsid w:val="001C5234"/>
    <w:rsid w:val="001C528B"/>
    <w:rsid w:val="001C52D4"/>
    <w:rsid w:val="001C52E9"/>
    <w:rsid w:val="001C52F2"/>
    <w:rsid w:val="001C53EE"/>
    <w:rsid w:val="001C542A"/>
    <w:rsid w:val="001C5440"/>
    <w:rsid w:val="001C545F"/>
    <w:rsid w:val="001C5472"/>
    <w:rsid w:val="001C54A6"/>
    <w:rsid w:val="001C54D6"/>
    <w:rsid w:val="001C54E2"/>
    <w:rsid w:val="001C552B"/>
    <w:rsid w:val="001C5533"/>
    <w:rsid w:val="001C5646"/>
    <w:rsid w:val="001C5693"/>
    <w:rsid w:val="001C5792"/>
    <w:rsid w:val="001C57D3"/>
    <w:rsid w:val="001C57E2"/>
    <w:rsid w:val="001C5889"/>
    <w:rsid w:val="001C58A3"/>
    <w:rsid w:val="001C58CD"/>
    <w:rsid w:val="001C58F2"/>
    <w:rsid w:val="001C59C2"/>
    <w:rsid w:val="001C59FB"/>
    <w:rsid w:val="001C5A17"/>
    <w:rsid w:val="001C5A5A"/>
    <w:rsid w:val="001C5A86"/>
    <w:rsid w:val="001C5AA3"/>
    <w:rsid w:val="001C5AAE"/>
    <w:rsid w:val="001C5ADE"/>
    <w:rsid w:val="001C5B1C"/>
    <w:rsid w:val="001C5B6D"/>
    <w:rsid w:val="001C5B74"/>
    <w:rsid w:val="001C5BD6"/>
    <w:rsid w:val="001C5BDB"/>
    <w:rsid w:val="001C5C24"/>
    <w:rsid w:val="001C5C2A"/>
    <w:rsid w:val="001C5C8A"/>
    <w:rsid w:val="001C5D0D"/>
    <w:rsid w:val="001C5D21"/>
    <w:rsid w:val="001C5D8D"/>
    <w:rsid w:val="001C5E3B"/>
    <w:rsid w:val="001C5E66"/>
    <w:rsid w:val="001C5EB6"/>
    <w:rsid w:val="001C5F14"/>
    <w:rsid w:val="001C5F2D"/>
    <w:rsid w:val="001C5F51"/>
    <w:rsid w:val="001C5F62"/>
    <w:rsid w:val="001C5FC3"/>
    <w:rsid w:val="001C5FC8"/>
    <w:rsid w:val="001C6011"/>
    <w:rsid w:val="001C6033"/>
    <w:rsid w:val="001C60A9"/>
    <w:rsid w:val="001C60BA"/>
    <w:rsid w:val="001C612C"/>
    <w:rsid w:val="001C6185"/>
    <w:rsid w:val="001C623D"/>
    <w:rsid w:val="001C624A"/>
    <w:rsid w:val="001C62A1"/>
    <w:rsid w:val="001C62A8"/>
    <w:rsid w:val="001C62D1"/>
    <w:rsid w:val="001C62E0"/>
    <w:rsid w:val="001C636F"/>
    <w:rsid w:val="001C6372"/>
    <w:rsid w:val="001C63DF"/>
    <w:rsid w:val="001C646A"/>
    <w:rsid w:val="001C6477"/>
    <w:rsid w:val="001C656E"/>
    <w:rsid w:val="001C65D0"/>
    <w:rsid w:val="001C6674"/>
    <w:rsid w:val="001C668F"/>
    <w:rsid w:val="001C66FD"/>
    <w:rsid w:val="001C673C"/>
    <w:rsid w:val="001C6743"/>
    <w:rsid w:val="001C6746"/>
    <w:rsid w:val="001C678D"/>
    <w:rsid w:val="001C67AD"/>
    <w:rsid w:val="001C67FB"/>
    <w:rsid w:val="001C6810"/>
    <w:rsid w:val="001C6851"/>
    <w:rsid w:val="001C686C"/>
    <w:rsid w:val="001C6881"/>
    <w:rsid w:val="001C6977"/>
    <w:rsid w:val="001C6995"/>
    <w:rsid w:val="001C69D2"/>
    <w:rsid w:val="001C69D5"/>
    <w:rsid w:val="001C69FC"/>
    <w:rsid w:val="001C6A2F"/>
    <w:rsid w:val="001C6AF7"/>
    <w:rsid w:val="001C6AF9"/>
    <w:rsid w:val="001C6B5F"/>
    <w:rsid w:val="001C6CAE"/>
    <w:rsid w:val="001C6CB6"/>
    <w:rsid w:val="001C6D64"/>
    <w:rsid w:val="001C6D7B"/>
    <w:rsid w:val="001C6DBB"/>
    <w:rsid w:val="001C6DCF"/>
    <w:rsid w:val="001C6E6A"/>
    <w:rsid w:val="001C6EB7"/>
    <w:rsid w:val="001C6EC9"/>
    <w:rsid w:val="001C6EE2"/>
    <w:rsid w:val="001C6EEB"/>
    <w:rsid w:val="001C6F26"/>
    <w:rsid w:val="001C6F77"/>
    <w:rsid w:val="001C6F8C"/>
    <w:rsid w:val="001C6F9D"/>
    <w:rsid w:val="001C7035"/>
    <w:rsid w:val="001C706C"/>
    <w:rsid w:val="001C708B"/>
    <w:rsid w:val="001C7095"/>
    <w:rsid w:val="001C709E"/>
    <w:rsid w:val="001C70A6"/>
    <w:rsid w:val="001C7118"/>
    <w:rsid w:val="001C712A"/>
    <w:rsid w:val="001C7137"/>
    <w:rsid w:val="001C7196"/>
    <w:rsid w:val="001C7234"/>
    <w:rsid w:val="001C7292"/>
    <w:rsid w:val="001C729B"/>
    <w:rsid w:val="001C72E1"/>
    <w:rsid w:val="001C7328"/>
    <w:rsid w:val="001C7356"/>
    <w:rsid w:val="001C736B"/>
    <w:rsid w:val="001C7385"/>
    <w:rsid w:val="001C73CF"/>
    <w:rsid w:val="001C7404"/>
    <w:rsid w:val="001C7429"/>
    <w:rsid w:val="001C7486"/>
    <w:rsid w:val="001C7530"/>
    <w:rsid w:val="001C753B"/>
    <w:rsid w:val="001C753C"/>
    <w:rsid w:val="001C7557"/>
    <w:rsid w:val="001C75C1"/>
    <w:rsid w:val="001C75DD"/>
    <w:rsid w:val="001C7641"/>
    <w:rsid w:val="001C7660"/>
    <w:rsid w:val="001C770E"/>
    <w:rsid w:val="001C7759"/>
    <w:rsid w:val="001C783C"/>
    <w:rsid w:val="001C7849"/>
    <w:rsid w:val="001C7854"/>
    <w:rsid w:val="001C78AE"/>
    <w:rsid w:val="001C7988"/>
    <w:rsid w:val="001C798E"/>
    <w:rsid w:val="001C79AC"/>
    <w:rsid w:val="001C79F1"/>
    <w:rsid w:val="001C7A16"/>
    <w:rsid w:val="001C7A20"/>
    <w:rsid w:val="001C7A48"/>
    <w:rsid w:val="001C7ADC"/>
    <w:rsid w:val="001C7B09"/>
    <w:rsid w:val="001C7B1D"/>
    <w:rsid w:val="001C7B26"/>
    <w:rsid w:val="001C7B74"/>
    <w:rsid w:val="001C7B75"/>
    <w:rsid w:val="001C7B80"/>
    <w:rsid w:val="001C7BB7"/>
    <w:rsid w:val="001C7BDA"/>
    <w:rsid w:val="001C7BF6"/>
    <w:rsid w:val="001C7C20"/>
    <w:rsid w:val="001C7C5A"/>
    <w:rsid w:val="001C7C9B"/>
    <w:rsid w:val="001C7CB7"/>
    <w:rsid w:val="001C7CC0"/>
    <w:rsid w:val="001C7D23"/>
    <w:rsid w:val="001C7D2A"/>
    <w:rsid w:val="001C7D2E"/>
    <w:rsid w:val="001C7D5B"/>
    <w:rsid w:val="001C7DDE"/>
    <w:rsid w:val="001C7DFC"/>
    <w:rsid w:val="001C7E57"/>
    <w:rsid w:val="001C7E7D"/>
    <w:rsid w:val="001C7F34"/>
    <w:rsid w:val="001C7F45"/>
    <w:rsid w:val="001C7F47"/>
    <w:rsid w:val="001C7F54"/>
    <w:rsid w:val="001D0069"/>
    <w:rsid w:val="001D00A5"/>
    <w:rsid w:val="001D00EE"/>
    <w:rsid w:val="001D00F2"/>
    <w:rsid w:val="001D00F3"/>
    <w:rsid w:val="001D0106"/>
    <w:rsid w:val="001D0127"/>
    <w:rsid w:val="001D013A"/>
    <w:rsid w:val="001D0162"/>
    <w:rsid w:val="001D017A"/>
    <w:rsid w:val="001D01C3"/>
    <w:rsid w:val="001D01F9"/>
    <w:rsid w:val="001D0256"/>
    <w:rsid w:val="001D025E"/>
    <w:rsid w:val="001D0277"/>
    <w:rsid w:val="001D027F"/>
    <w:rsid w:val="001D029A"/>
    <w:rsid w:val="001D0353"/>
    <w:rsid w:val="001D0354"/>
    <w:rsid w:val="001D036D"/>
    <w:rsid w:val="001D0376"/>
    <w:rsid w:val="001D039B"/>
    <w:rsid w:val="001D03FA"/>
    <w:rsid w:val="001D0429"/>
    <w:rsid w:val="001D04B0"/>
    <w:rsid w:val="001D0522"/>
    <w:rsid w:val="001D059C"/>
    <w:rsid w:val="001D0654"/>
    <w:rsid w:val="001D0662"/>
    <w:rsid w:val="001D0676"/>
    <w:rsid w:val="001D0736"/>
    <w:rsid w:val="001D0751"/>
    <w:rsid w:val="001D0773"/>
    <w:rsid w:val="001D0784"/>
    <w:rsid w:val="001D078B"/>
    <w:rsid w:val="001D07A3"/>
    <w:rsid w:val="001D07AF"/>
    <w:rsid w:val="001D0883"/>
    <w:rsid w:val="001D08DA"/>
    <w:rsid w:val="001D092E"/>
    <w:rsid w:val="001D0980"/>
    <w:rsid w:val="001D09F8"/>
    <w:rsid w:val="001D0A34"/>
    <w:rsid w:val="001D0A35"/>
    <w:rsid w:val="001D0A4F"/>
    <w:rsid w:val="001D0A66"/>
    <w:rsid w:val="001D0AFC"/>
    <w:rsid w:val="001D0B98"/>
    <w:rsid w:val="001D0BC3"/>
    <w:rsid w:val="001D0BDD"/>
    <w:rsid w:val="001D0BE4"/>
    <w:rsid w:val="001D0C3C"/>
    <w:rsid w:val="001D0D49"/>
    <w:rsid w:val="001D0D61"/>
    <w:rsid w:val="001D0E0E"/>
    <w:rsid w:val="001D0E4B"/>
    <w:rsid w:val="001D0E62"/>
    <w:rsid w:val="001D0EF9"/>
    <w:rsid w:val="001D0EFC"/>
    <w:rsid w:val="001D0F40"/>
    <w:rsid w:val="001D0F5D"/>
    <w:rsid w:val="001D0FB5"/>
    <w:rsid w:val="001D0FC0"/>
    <w:rsid w:val="001D10A8"/>
    <w:rsid w:val="001D10AB"/>
    <w:rsid w:val="001D10D7"/>
    <w:rsid w:val="001D1131"/>
    <w:rsid w:val="001D11C0"/>
    <w:rsid w:val="001D11EA"/>
    <w:rsid w:val="001D121A"/>
    <w:rsid w:val="001D123A"/>
    <w:rsid w:val="001D124A"/>
    <w:rsid w:val="001D1279"/>
    <w:rsid w:val="001D1280"/>
    <w:rsid w:val="001D12A1"/>
    <w:rsid w:val="001D1309"/>
    <w:rsid w:val="001D13A4"/>
    <w:rsid w:val="001D13B8"/>
    <w:rsid w:val="001D142A"/>
    <w:rsid w:val="001D1463"/>
    <w:rsid w:val="001D146D"/>
    <w:rsid w:val="001D1485"/>
    <w:rsid w:val="001D1489"/>
    <w:rsid w:val="001D14D4"/>
    <w:rsid w:val="001D14FD"/>
    <w:rsid w:val="001D154E"/>
    <w:rsid w:val="001D1586"/>
    <w:rsid w:val="001D15CC"/>
    <w:rsid w:val="001D15DA"/>
    <w:rsid w:val="001D1647"/>
    <w:rsid w:val="001D1689"/>
    <w:rsid w:val="001D1694"/>
    <w:rsid w:val="001D169E"/>
    <w:rsid w:val="001D1793"/>
    <w:rsid w:val="001D17DC"/>
    <w:rsid w:val="001D17EF"/>
    <w:rsid w:val="001D183A"/>
    <w:rsid w:val="001D186D"/>
    <w:rsid w:val="001D1874"/>
    <w:rsid w:val="001D187F"/>
    <w:rsid w:val="001D1909"/>
    <w:rsid w:val="001D1945"/>
    <w:rsid w:val="001D194A"/>
    <w:rsid w:val="001D1974"/>
    <w:rsid w:val="001D19CB"/>
    <w:rsid w:val="001D1A25"/>
    <w:rsid w:val="001D1A37"/>
    <w:rsid w:val="001D1A5C"/>
    <w:rsid w:val="001D1ABB"/>
    <w:rsid w:val="001D1AD8"/>
    <w:rsid w:val="001D1B31"/>
    <w:rsid w:val="001D1B63"/>
    <w:rsid w:val="001D1B80"/>
    <w:rsid w:val="001D1BBC"/>
    <w:rsid w:val="001D1BDC"/>
    <w:rsid w:val="001D1C19"/>
    <w:rsid w:val="001D1C55"/>
    <w:rsid w:val="001D1C5C"/>
    <w:rsid w:val="001D1C82"/>
    <w:rsid w:val="001D1C95"/>
    <w:rsid w:val="001D1DC3"/>
    <w:rsid w:val="001D1E0D"/>
    <w:rsid w:val="001D1E20"/>
    <w:rsid w:val="001D1E3E"/>
    <w:rsid w:val="001D1EF5"/>
    <w:rsid w:val="001D1F27"/>
    <w:rsid w:val="001D1F50"/>
    <w:rsid w:val="001D1F62"/>
    <w:rsid w:val="001D1FDB"/>
    <w:rsid w:val="001D200A"/>
    <w:rsid w:val="001D2040"/>
    <w:rsid w:val="001D20AF"/>
    <w:rsid w:val="001D20C4"/>
    <w:rsid w:val="001D20D7"/>
    <w:rsid w:val="001D2111"/>
    <w:rsid w:val="001D211C"/>
    <w:rsid w:val="001D2130"/>
    <w:rsid w:val="001D2140"/>
    <w:rsid w:val="001D21BB"/>
    <w:rsid w:val="001D21D4"/>
    <w:rsid w:val="001D21EC"/>
    <w:rsid w:val="001D22A7"/>
    <w:rsid w:val="001D2309"/>
    <w:rsid w:val="001D230B"/>
    <w:rsid w:val="001D2328"/>
    <w:rsid w:val="001D234C"/>
    <w:rsid w:val="001D2397"/>
    <w:rsid w:val="001D239D"/>
    <w:rsid w:val="001D2407"/>
    <w:rsid w:val="001D240E"/>
    <w:rsid w:val="001D24AE"/>
    <w:rsid w:val="001D2516"/>
    <w:rsid w:val="001D2530"/>
    <w:rsid w:val="001D255F"/>
    <w:rsid w:val="001D2566"/>
    <w:rsid w:val="001D2577"/>
    <w:rsid w:val="001D2579"/>
    <w:rsid w:val="001D25E6"/>
    <w:rsid w:val="001D25F4"/>
    <w:rsid w:val="001D2631"/>
    <w:rsid w:val="001D269E"/>
    <w:rsid w:val="001D26B2"/>
    <w:rsid w:val="001D26CD"/>
    <w:rsid w:val="001D2709"/>
    <w:rsid w:val="001D2716"/>
    <w:rsid w:val="001D2727"/>
    <w:rsid w:val="001D273C"/>
    <w:rsid w:val="001D2755"/>
    <w:rsid w:val="001D2783"/>
    <w:rsid w:val="001D2788"/>
    <w:rsid w:val="001D27D3"/>
    <w:rsid w:val="001D27F6"/>
    <w:rsid w:val="001D2803"/>
    <w:rsid w:val="001D2815"/>
    <w:rsid w:val="001D2866"/>
    <w:rsid w:val="001D28DD"/>
    <w:rsid w:val="001D2901"/>
    <w:rsid w:val="001D2903"/>
    <w:rsid w:val="001D2952"/>
    <w:rsid w:val="001D2962"/>
    <w:rsid w:val="001D2964"/>
    <w:rsid w:val="001D29B2"/>
    <w:rsid w:val="001D2A29"/>
    <w:rsid w:val="001D2A52"/>
    <w:rsid w:val="001D2A7F"/>
    <w:rsid w:val="001D2A86"/>
    <w:rsid w:val="001D2AC3"/>
    <w:rsid w:val="001D2B3F"/>
    <w:rsid w:val="001D2B5D"/>
    <w:rsid w:val="001D2B6E"/>
    <w:rsid w:val="001D2C47"/>
    <w:rsid w:val="001D2C6D"/>
    <w:rsid w:val="001D2C9B"/>
    <w:rsid w:val="001D2CEA"/>
    <w:rsid w:val="001D2D19"/>
    <w:rsid w:val="001D2D2D"/>
    <w:rsid w:val="001D2E12"/>
    <w:rsid w:val="001D2E56"/>
    <w:rsid w:val="001D2E7F"/>
    <w:rsid w:val="001D2E9E"/>
    <w:rsid w:val="001D2EA9"/>
    <w:rsid w:val="001D2EC8"/>
    <w:rsid w:val="001D2F32"/>
    <w:rsid w:val="001D2FC9"/>
    <w:rsid w:val="001D2FFF"/>
    <w:rsid w:val="001D3001"/>
    <w:rsid w:val="001D301F"/>
    <w:rsid w:val="001D3026"/>
    <w:rsid w:val="001D302A"/>
    <w:rsid w:val="001D302C"/>
    <w:rsid w:val="001D306D"/>
    <w:rsid w:val="001D30FF"/>
    <w:rsid w:val="001D3126"/>
    <w:rsid w:val="001D318A"/>
    <w:rsid w:val="001D3224"/>
    <w:rsid w:val="001D3253"/>
    <w:rsid w:val="001D326A"/>
    <w:rsid w:val="001D3292"/>
    <w:rsid w:val="001D32C6"/>
    <w:rsid w:val="001D32E6"/>
    <w:rsid w:val="001D32EE"/>
    <w:rsid w:val="001D32F2"/>
    <w:rsid w:val="001D3318"/>
    <w:rsid w:val="001D3346"/>
    <w:rsid w:val="001D33EF"/>
    <w:rsid w:val="001D345A"/>
    <w:rsid w:val="001D345F"/>
    <w:rsid w:val="001D34DF"/>
    <w:rsid w:val="001D34EA"/>
    <w:rsid w:val="001D3530"/>
    <w:rsid w:val="001D353C"/>
    <w:rsid w:val="001D357C"/>
    <w:rsid w:val="001D359A"/>
    <w:rsid w:val="001D35B0"/>
    <w:rsid w:val="001D35BA"/>
    <w:rsid w:val="001D35D3"/>
    <w:rsid w:val="001D3667"/>
    <w:rsid w:val="001D3682"/>
    <w:rsid w:val="001D3687"/>
    <w:rsid w:val="001D36A1"/>
    <w:rsid w:val="001D36A2"/>
    <w:rsid w:val="001D36CB"/>
    <w:rsid w:val="001D36D2"/>
    <w:rsid w:val="001D36E2"/>
    <w:rsid w:val="001D3715"/>
    <w:rsid w:val="001D37A0"/>
    <w:rsid w:val="001D37FB"/>
    <w:rsid w:val="001D3858"/>
    <w:rsid w:val="001D39C4"/>
    <w:rsid w:val="001D39CD"/>
    <w:rsid w:val="001D39CF"/>
    <w:rsid w:val="001D39DB"/>
    <w:rsid w:val="001D3A26"/>
    <w:rsid w:val="001D3A7F"/>
    <w:rsid w:val="001D3A90"/>
    <w:rsid w:val="001D3AB6"/>
    <w:rsid w:val="001D3ADB"/>
    <w:rsid w:val="001D3AEF"/>
    <w:rsid w:val="001D3B1D"/>
    <w:rsid w:val="001D3BAA"/>
    <w:rsid w:val="001D3BB2"/>
    <w:rsid w:val="001D3BD7"/>
    <w:rsid w:val="001D3BE4"/>
    <w:rsid w:val="001D3C34"/>
    <w:rsid w:val="001D3D03"/>
    <w:rsid w:val="001D3DB8"/>
    <w:rsid w:val="001D3E5C"/>
    <w:rsid w:val="001D3E6E"/>
    <w:rsid w:val="001D3E74"/>
    <w:rsid w:val="001D3EDC"/>
    <w:rsid w:val="001D3EE5"/>
    <w:rsid w:val="001D3F17"/>
    <w:rsid w:val="001D3F34"/>
    <w:rsid w:val="001D3FBD"/>
    <w:rsid w:val="001D3FFA"/>
    <w:rsid w:val="001D4025"/>
    <w:rsid w:val="001D412F"/>
    <w:rsid w:val="001D4151"/>
    <w:rsid w:val="001D41A3"/>
    <w:rsid w:val="001D4213"/>
    <w:rsid w:val="001D42FE"/>
    <w:rsid w:val="001D432B"/>
    <w:rsid w:val="001D43E6"/>
    <w:rsid w:val="001D43E7"/>
    <w:rsid w:val="001D4418"/>
    <w:rsid w:val="001D4419"/>
    <w:rsid w:val="001D4426"/>
    <w:rsid w:val="001D44A3"/>
    <w:rsid w:val="001D451B"/>
    <w:rsid w:val="001D454E"/>
    <w:rsid w:val="001D457F"/>
    <w:rsid w:val="001D4612"/>
    <w:rsid w:val="001D4619"/>
    <w:rsid w:val="001D4662"/>
    <w:rsid w:val="001D468E"/>
    <w:rsid w:val="001D4698"/>
    <w:rsid w:val="001D4705"/>
    <w:rsid w:val="001D4738"/>
    <w:rsid w:val="001D479C"/>
    <w:rsid w:val="001D47A6"/>
    <w:rsid w:val="001D47BA"/>
    <w:rsid w:val="001D47E4"/>
    <w:rsid w:val="001D47E9"/>
    <w:rsid w:val="001D47FB"/>
    <w:rsid w:val="001D480F"/>
    <w:rsid w:val="001D4855"/>
    <w:rsid w:val="001D4859"/>
    <w:rsid w:val="001D4868"/>
    <w:rsid w:val="001D4871"/>
    <w:rsid w:val="001D48A0"/>
    <w:rsid w:val="001D48C1"/>
    <w:rsid w:val="001D4932"/>
    <w:rsid w:val="001D4982"/>
    <w:rsid w:val="001D49AD"/>
    <w:rsid w:val="001D4A07"/>
    <w:rsid w:val="001D4A34"/>
    <w:rsid w:val="001D4A46"/>
    <w:rsid w:val="001D4AAC"/>
    <w:rsid w:val="001D4AC2"/>
    <w:rsid w:val="001D4AE2"/>
    <w:rsid w:val="001D4AEA"/>
    <w:rsid w:val="001D4B65"/>
    <w:rsid w:val="001D4B69"/>
    <w:rsid w:val="001D4BD3"/>
    <w:rsid w:val="001D4C0C"/>
    <w:rsid w:val="001D4C37"/>
    <w:rsid w:val="001D4C49"/>
    <w:rsid w:val="001D4C62"/>
    <w:rsid w:val="001D4CD9"/>
    <w:rsid w:val="001D4D15"/>
    <w:rsid w:val="001D4D56"/>
    <w:rsid w:val="001D4DF0"/>
    <w:rsid w:val="001D4E22"/>
    <w:rsid w:val="001D4E6F"/>
    <w:rsid w:val="001D4E76"/>
    <w:rsid w:val="001D4EED"/>
    <w:rsid w:val="001D4F35"/>
    <w:rsid w:val="001D4FD5"/>
    <w:rsid w:val="001D4FDE"/>
    <w:rsid w:val="001D4FE3"/>
    <w:rsid w:val="001D5023"/>
    <w:rsid w:val="001D5030"/>
    <w:rsid w:val="001D5065"/>
    <w:rsid w:val="001D5073"/>
    <w:rsid w:val="001D50B1"/>
    <w:rsid w:val="001D50BD"/>
    <w:rsid w:val="001D50F1"/>
    <w:rsid w:val="001D50FB"/>
    <w:rsid w:val="001D511B"/>
    <w:rsid w:val="001D51AA"/>
    <w:rsid w:val="001D51E8"/>
    <w:rsid w:val="001D5202"/>
    <w:rsid w:val="001D5265"/>
    <w:rsid w:val="001D526D"/>
    <w:rsid w:val="001D5275"/>
    <w:rsid w:val="001D52CF"/>
    <w:rsid w:val="001D5306"/>
    <w:rsid w:val="001D538F"/>
    <w:rsid w:val="001D53B6"/>
    <w:rsid w:val="001D5425"/>
    <w:rsid w:val="001D544E"/>
    <w:rsid w:val="001D5497"/>
    <w:rsid w:val="001D5525"/>
    <w:rsid w:val="001D5555"/>
    <w:rsid w:val="001D555A"/>
    <w:rsid w:val="001D5596"/>
    <w:rsid w:val="001D55AA"/>
    <w:rsid w:val="001D55EB"/>
    <w:rsid w:val="001D55FE"/>
    <w:rsid w:val="001D5626"/>
    <w:rsid w:val="001D56E0"/>
    <w:rsid w:val="001D5711"/>
    <w:rsid w:val="001D576C"/>
    <w:rsid w:val="001D57C4"/>
    <w:rsid w:val="001D57CF"/>
    <w:rsid w:val="001D585B"/>
    <w:rsid w:val="001D588B"/>
    <w:rsid w:val="001D5896"/>
    <w:rsid w:val="001D58A8"/>
    <w:rsid w:val="001D58AA"/>
    <w:rsid w:val="001D58C9"/>
    <w:rsid w:val="001D58EF"/>
    <w:rsid w:val="001D591E"/>
    <w:rsid w:val="001D5945"/>
    <w:rsid w:val="001D5960"/>
    <w:rsid w:val="001D5968"/>
    <w:rsid w:val="001D5974"/>
    <w:rsid w:val="001D5993"/>
    <w:rsid w:val="001D59B5"/>
    <w:rsid w:val="001D59F6"/>
    <w:rsid w:val="001D5A5F"/>
    <w:rsid w:val="001D5B00"/>
    <w:rsid w:val="001D5B48"/>
    <w:rsid w:val="001D5C2E"/>
    <w:rsid w:val="001D5C75"/>
    <w:rsid w:val="001D5C79"/>
    <w:rsid w:val="001D5CAE"/>
    <w:rsid w:val="001D5CBD"/>
    <w:rsid w:val="001D5D04"/>
    <w:rsid w:val="001D5D12"/>
    <w:rsid w:val="001D5D15"/>
    <w:rsid w:val="001D5D47"/>
    <w:rsid w:val="001D5D94"/>
    <w:rsid w:val="001D5D9C"/>
    <w:rsid w:val="001D5DCA"/>
    <w:rsid w:val="001D5DD4"/>
    <w:rsid w:val="001D5DE3"/>
    <w:rsid w:val="001D5E3B"/>
    <w:rsid w:val="001D5E44"/>
    <w:rsid w:val="001D5E71"/>
    <w:rsid w:val="001D5E8D"/>
    <w:rsid w:val="001D5E9A"/>
    <w:rsid w:val="001D5ED0"/>
    <w:rsid w:val="001D5F4E"/>
    <w:rsid w:val="001D5F4F"/>
    <w:rsid w:val="001D5F5F"/>
    <w:rsid w:val="001D5F6B"/>
    <w:rsid w:val="001D5FC4"/>
    <w:rsid w:val="001D603F"/>
    <w:rsid w:val="001D607C"/>
    <w:rsid w:val="001D60A5"/>
    <w:rsid w:val="001D60E6"/>
    <w:rsid w:val="001D6109"/>
    <w:rsid w:val="001D612D"/>
    <w:rsid w:val="001D615B"/>
    <w:rsid w:val="001D616B"/>
    <w:rsid w:val="001D61C3"/>
    <w:rsid w:val="001D61D9"/>
    <w:rsid w:val="001D623D"/>
    <w:rsid w:val="001D626C"/>
    <w:rsid w:val="001D6298"/>
    <w:rsid w:val="001D62A6"/>
    <w:rsid w:val="001D62DB"/>
    <w:rsid w:val="001D62E2"/>
    <w:rsid w:val="001D6301"/>
    <w:rsid w:val="001D6347"/>
    <w:rsid w:val="001D6356"/>
    <w:rsid w:val="001D635B"/>
    <w:rsid w:val="001D63F0"/>
    <w:rsid w:val="001D6417"/>
    <w:rsid w:val="001D6446"/>
    <w:rsid w:val="001D648B"/>
    <w:rsid w:val="001D64CA"/>
    <w:rsid w:val="001D64D7"/>
    <w:rsid w:val="001D6540"/>
    <w:rsid w:val="001D6541"/>
    <w:rsid w:val="001D6567"/>
    <w:rsid w:val="001D65EA"/>
    <w:rsid w:val="001D65EF"/>
    <w:rsid w:val="001D65F1"/>
    <w:rsid w:val="001D6601"/>
    <w:rsid w:val="001D6608"/>
    <w:rsid w:val="001D660E"/>
    <w:rsid w:val="001D6645"/>
    <w:rsid w:val="001D668F"/>
    <w:rsid w:val="001D66DB"/>
    <w:rsid w:val="001D66E7"/>
    <w:rsid w:val="001D66F4"/>
    <w:rsid w:val="001D6746"/>
    <w:rsid w:val="001D6750"/>
    <w:rsid w:val="001D6784"/>
    <w:rsid w:val="001D67C3"/>
    <w:rsid w:val="001D67D0"/>
    <w:rsid w:val="001D68B8"/>
    <w:rsid w:val="001D68E8"/>
    <w:rsid w:val="001D68FB"/>
    <w:rsid w:val="001D6953"/>
    <w:rsid w:val="001D6970"/>
    <w:rsid w:val="001D697B"/>
    <w:rsid w:val="001D6988"/>
    <w:rsid w:val="001D6996"/>
    <w:rsid w:val="001D69A1"/>
    <w:rsid w:val="001D69BE"/>
    <w:rsid w:val="001D6A21"/>
    <w:rsid w:val="001D6A3F"/>
    <w:rsid w:val="001D6A5C"/>
    <w:rsid w:val="001D6A99"/>
    <w:rsid w:val="001D6ABD"/>
    <w:rsid w:val="001D6B7A"/>
    <w:rsid w:val="001D6B7F"/>
    <w:rsid w:val="001D6BC1"/>
    <w:rsid w:val="001D6BD1"/>
    <w:rsid w:val="001D6C6B"/>
    <w:rsid w:val="001D6CAB"/>
    <w:rsid w:val="001D6CCF"/>
    <w:rsid w:val="001D6D29"/>
    <w:rsid w:val="001D6D3B"/>
    <w:rsid w:val="001D6DFC"/>
    <w:rsid w:val="001D6E24"/>
    <w:rsid w:val="001D6E55"/>
    <w:rsid w:val="001D6E60"/>
    <w:rsid w:val="001D6ECA"/>
    <w:rsid w:val="001D6EE1"/>
    <w:rsid w:val="001D6EFC"/>
    <w:rsid w:val="001D6F7D"/>
    <w:rsid w:val="001D700E"/>
    <w:rsid w:val="001D702B"/>
    <w:rsid w:val="001D7036"/>
    <w:rsid w:val="001D7039"/>
    <w:rsid w:val="001D7056"/>
    <w:rsid w:val="001D7058"/>
    <w:rsid w:val="001D706D"/>
    <w:rsid w:val="001D7086"/>
    <w:rsid w:val="001D70BD"/>
    <w:rsid w:val="001D70C0"/>
    <w:rsid w:val="001D70CC"/>
    <w:rsid w:val="001D7115"/>
    <w:rsid w:val="001D711E"/>
    <w:rsid w:val="001D713C"/>
    <w:rsid w:val="001D7142"/>
    <w:rsid w:val="001D71E6"/>
    <w:rsid w:val="001D71F2"/>
    <w:rsid w:val="001D720F"/>
    <w:rsid w:val="001D7381"/>
    <w:rsid w:val="001D73BE"/>
    <w:rsid w:val="001D7404"/>
    <w:rsid w:val="001D7433"/>
    <w:rsid w:val="001D746A"/>
    <w:rsid w:val="001D746B"/>
    <w:rsid w:val="001D7477"/>
    <w:rsid w:val="001D7481"/>
    <w:rsid w:val="001D74B0"/>
    <w:rsid w:val="001D74C2"/>
    <w:rsid w:val="001D74D2"/>
    <w:rsid w:val="001D7524"/>
    <w:rsid w:val="001D75C0"/>
    <w:rsid w:val="001D7641"/>
    <w:rsid w:val="001D76E7"/>
    <w:rsid w:val="001D7773"/>
    <w:rsid w:val="001D781A"/>
    <w:rsid w:val="001D783D"/>
    <w:rsid w:val="001D7868"/>
    <w:rsid w:val="001D790F"/>
    <w:rsid w:val="001D795A"/>
    <w:rsid w:val="001D79A5"/>
    <w:rsid w:val="001D7A7E"/>
    <w:rsid w:val="001D7ACD"/>
    <w:rsid w:val="001D7B0F"/>
    <w:rsid w:val="001D7B10"/>
    <w:rsid w:val="001D7B36"/>
    <w:rsid w:val="001D7B4E"/>
    <w:rsid w:val="001D7B70"/>
    <w:rsid w:val="001D7B8E"/>
    <w:rsid w:val="001D7BE2"/>
    <w:rsid w:val="001D7C83"/>
    <w:rsid w:val="001D7C86"/>
    <w:rsid w:val="001D7D3B"/>
    <w:rsid w:val="001D7D63"/>
    <w:rsid w:val="001D7D72"/>
    <w:rsid w:val="001D7DE9"/>
    <w:rsid w:val="001D7E6F"/>
    <w:rsid w:val="001D7F19"/>
    <w:rsid w:val="001D7F8D"/>
    <w:rsid w:val="001D7FC8"/>
    <w:rsid w:val="001E000F"/>
    <w:rsid w:val="001E003B"/>
    <w:rsid w:val="001E0049"/>
    <w:rsid w:val="001E00CB"/>
    <w:rsid w:val="001E0194"/>
    <w:rsid w:val="001E0262"/>
    <w:rsid w:val="001E02A8"/>
    <w:rsid w:val="001E0320"/>
    <w:rsid w:val="001E03C0"/>
    <w:rsid w:val="001E03DB"/>
    <w:rsid w:val="001E049B"/>
    <w:rsid w:val="001E04B9"/>
    <w:rsid w:val="001E04ED"/>
    <w:rsid w:val="001E0575"/>
    <w:rsid w:val="001E05A1"/>
    <w:rsid w:val="001E06A1"/>
    <w:rsid w:val="001E06EA"/>
    <w:rsid w:val="001E076A"/>
    <w:rsid w:val="001E07A5"/>
    <w:rsid w:val="001E07E1"/>
    <w:rsid w:val="001E0814"/>
    <w:rsid w:val="001E094C"/>
    <w:rsid w:val="001E094F"/>
    <w:rsid w:val="001E0A2C"/>
    <w:rsid w:val="001E0AEB"/>
    <w:rsid w:val="001E0B55"/>
    <w:rsid w:val="001E0C13"/>
    <w:rsid w:val="001E0C3A"/>
    <w:rsid w:val="001E0C42"/>
    <w:rsid w:val="001E0C61"/>
    <w:rsid w:val="001E0D46"/>
    <w:rsid w:val="001E0D65"/>
    <w:rsid w:val="001E0DE3"/>
    <w:rsid w:val="001E0DE6"/>
    <w:rsid w:val="001E0DEF"/>
    <w:rsid w:val="001E0E61"/>
    <w:rsid w:val="001E0E64"/>
    <w:rsid w:val="001E0E6B"/>
    <w:rsid w:val="001E0E95"/>
    <w:rsid w:val="001E0EA2"/>
    <w:rsid w:val="001E0EE1"/>
    <w:rsid w:val="001E0EE9"/>
    <w:rsid w:val="001E0EF8"/>
    <w:rsid w:val="001E0F07"/>
    <w:rsid w:val="001E0F23"/>
    <w:rsid w:val="001E0FFA"/>
    <w:rsid w:val="001E1009"/>
    <w:rsid w:val="001E1038"/>
    <w:rsid w:val="001E10C7"/>
    <w:rsid w:val="001E1101"/>
    <w:rsid w:val="001E1156"/>
    <w:rsid w:val="001E1194"/>
    <w:rsid w:val="001E11FB"/>
    <w:rsid w:val="001E1283"/>
    <w:rsid w:val="001E1347"/>
    <w:rsid w:val="001E136C"/>
    <w:rsid w:val="001E146B"/>
    <w:rsid w:val="001E147D"/>
    <w:rsid w:val="001E14B6"/>
    <w:rsid w:val="001E1515"/>
    <w:rsid w:val="001E1543"/>
    <w:rsid w:val="001E1545"/>
    <w:rsid w:val="001E1593"/>
    <w:rsid w:val="001E15BB"/>
    <w:rsid w:val="001E15FD"/>
    <w:rsid w:val="001E1652"/>
    <w:rsid w:val="001E1677"/>
    <w:rsid w:val="001E1698"/>
    <w:rsid w:val="001E16F5"/>
    <w:rsid w:val="001E1714"/>
    <w:rsid w:val="001E1715"/>
    <w:rsid w:val="001E1814"/>
    <w:rsid w:val="001E184D"/>
    <w:rsid w:val="001E1853"/>
    <w:rsid w:val="001E1861"/>
    <w:rsid w:val="001E18B4"/>
    <w:rsid w:val="001E18D0"/>
    <w:rsid w:val="001E18F2"/>
    <w:rsid w:val="001E1904"/>
    <w:rsid w:val="001E196A"/>
    <w:rsid w:val="001E19AD"/>
    <w:rsid w:val="001E19B8"/>
    <w:rsid w:val="001E19D4"/>
    <w:rsid w:val="001E19D5"/>
    <w:rsid w:val="001E19FC"/>
    <w:rsid w:val="001E1A01"/>
    <w:rsid w:val="001E1A71"/>
    <w:rsid w:val="001E1AF9"/>
    <w:rsid w:val="001E1BB8"/>
    <w:rsid w:val="001E1C34"/>
    <w:rsid w:val="001E1C37"/>
    <w:rsid w:val="001E1C3B"/>
    <w:rsid w:val="001E1CFD"/>
    <w:rsid w:val="001E1D4A"/>
    <w:rsid w:val="001E1D50"/>
    <w:rsid w:val="001E1D6B"/>
    <w:rsid w:val="001E1DF7"/>
    <w:rsid w:val="001E1E61"/>
    <w:rsid w:val="001E1EB6"/>
    <w:rsid w:val="001E1F08"/>
    <w:rsid w:val="001E1F0B"/>
    <w:rsid w:val="001E1F2A"/>
    <w:rsid w:val="001E1F9F"/>
    <w:rsid w:val="001E20B2"/>
    <w:rsid w:val="001E20D6"/>
    <w:rsid w:val="001E2113"/>
    <w:rsid w:val="001E21D2"/>
    <w:rsid w:val="001E221F"/>
    <w:rsid w:val="001E2254"/>
    <w:rsid w:val="001E2274"/>
    <w:rsid w:val="001E22A7"/>
    <w:rsid w:val="001E22B8"/>
    <w:rsid w:val="001E22BB"/>
    <w:rsid w:val="001E232F"/>
    <w:rsid w:val="001E2388"/>
    <w:rsid w:val="001E238B"/>
    <w:rsid w:val="001E23B0"/>
    <w:rsid w:val="001E250B"/>
    <w:rsid w:val="001E2515"/>
    <w:rsid w:val="001E2574"/>
    <w:rsid w:val="001E257C"/>
    <w:rsid w:val="001E2646"/>
    <w:rsid w:val="001E264C"/>
    <w:rsid w:val="001E265E"/>
    <w:rsid w:val="001E266D"/>
    <w:rsid w:val="001E26BC"/>
    <w:rsid w:val="001E2717"/>
    <w:rsid w:val="001E273B"/>
    <w:rsid w:val="001E274B"/>
    <w:rsid w:val="001E2783"/>
    <w:rsid w:val="001E2860"/>
    <w:rsid w:val="001E2865"/>
    <w:rsid w:val="001E286E"/>
    <w:rsid w:val="001E2886"/>
    <w:rsid w:val="001E28A9"/>
    <w:rsid w:val="001E28C8"/>
    <w:rsid w:val="001E28DC"/>
    <w:rsid w:val="001E28FE"/>
    <w:rsid w:val="001E290F"/>
    <w:rsid w:val="001E2926"/>
    <w:rsid w:val="001E2933"/>
    <w:rsid w:val="001E2959"/>
    <w:rsid w:val="001E2983"/>
    <w:rsid w:val="001E2989"/>
    <w:rsid w:val="001E298F"/>
    <w:rsid w:val="001E299B"/>
    <w:rsid w:val="001E29AD"/>
    <w:rsid w:val="001E29BE"/>
    <w:rsid w:val="001E29E5"/>
    <w:rsid w:val="001E29EA"/>
    <w:rsid w:val="001E2AAD"/>
    <w:rsid w:val="001E2AB8"/>
    <w:rsid w:val="001E2ADA"/>
    <w:rsid w:val="001E2AFE"/>
    <w:rsid w:val="001E2B09"/>
    <w:rsid w:val="001E2B16"/>
    <w:rsid w:val="001E2B19"/>
    <w:rsid w:val="001E2B5A"/>
    <w:rsid w:val="001E2B74"/>
    <w:rsid w:val="001E2BC4"/>
    <w:rsid w:val="001E2BCF"/>
    <w:rsid w:val="001E2BEB"/>
    <w:rsid w:val="001E2D57"/>
    <w:rsid w:val="001E2DE7"/>
    <w:rsid w:val="001E2DF3"/>
    <w:rsid w:val="001E2DF4"/>
    <w:rsid w:val="001E2E2A"/>
    <w:rsid w:val="001E2E40"/>
    <w:rsid w:val="001E2E69"/>
    <w:rsid w:val="001E2EA8"/>
    <w:rsid w:val="001E2EE4"/>
    <w:rsid w:val="001E2FE8"/>
    <w:rsid w:val="001E30A5"/>
    <w:rsid w:val="001E30BE"/>
    <w:rsid w:val="001E30C1"/>
    <w:rsid w:val="001E30C9"/>
    <w:rsid w:val="001E31C2"/>
    <w:rsid w:val="001E31E9"/>
    <w:rsid w:val="001E320F"/>
    <w:rsid w:val="001E3216"/>
    <w:rsid w:val="001E3235"/>
    <w:rsid w:val="001E3238"/>
    <w:rsid w:val="001E3290"/>
    <w:rsid w:val="001E32A5"/>
    <w:rsid w:val="001E3325"/>
    <w:rsid w:val="001E3369"/>
    <w:rsid w:val="001E3382"/>
    <w:rsid w:val="001E338B"/>
    <w:rsid w:val="001E33C8"/>
    <w:rsid w:val="001E3403"/>
    <w:rsid w:val="001E3438"/>
    <w:rsid w:val="001E34F3"/>
    <w:rsid w:val="001E34F8"/>
    <w:rsid w:val="001E35C4"/>
    <w:rsid w:val="001E35C5"/>
    <w:rsid w:val="001E35CE"/>
    <w:rsid w:val="001E35F2"/>
    <w:rsid w:val="001E361F"/>
    <w:rsid w:val="001E3626"/>
    <w:rsid w:val="001E368D"/>
    <w:rsid w:val="001E36BA"/>
    <w:rsid w:val="001E36CE"/>
    <w:rsid w:val="001E36D6"/>
    <w:rsid w:val="001E3755"/>
    <w:rsid w:val="001E3756"/>
    <w:rsid w:val="001E377F"/>
    <w:rsid w:val="001E379E"/>
    <w:rsid w:val="001E37CF"/>
    <w:rsid w:val="001E382C"/>
    <w:rsid w:val="001E3853"/>
    <w:rsid w:val="001E3854"/>
    <w:rsid w:val="001E38D1"/>
    <w:rsid w:val="001E38FA"/>
    <w:rsid w:val="001E3938"/>
    <w:rsid w:val="001E3997"/>
    <w:rsid w:val="001E39BE"/>
    <w:rsid w:val="001E3AA7"/>
    <w:rsid w:val="001E3ABC"/>
    <w:rsid w:val="001E3ACD"/>
    <w:rsid w:val="001E3B4B"/>
    <w:rsid w:val="001E3B4E"/>
    <w:rsid w:val="001E3B4F"/>
    <w:rsid w:val="001E3BAE"/>
    <w:rsid w:val="001E3BFB"/>
    <w:rsid w:val="001E3C0C"/>
    <w:rsid w:val="001E3CD0"/>
    <w:rsid w:val="001E3CE5"/>
    <w:rsid w:val="001E3D34"/>
    <w:rsid w:val="001E3D8D"/>
    <w:rsid w:val="001E3DBB"/>
    <w:rsid w:val="001E3DC4"/>
    <w:rsid w:val="001E3DE6"/>
    <w:rsid w:val="001E3E4F"/>
    <w:rsid w:val="001E3E50"/>
    <w:rsid w:val="001E3E6A"/>
    <w:rsid w:val="001E3E9B"/>
    <w:rsid w:val="001E3F28"/>
    <w:rsid w:val="001E3FA0"/>
    <w:rsid w:val="001E3FCB"/>
    <w:rsid w:val="001E4023"/>
    <w:rsid w:val="001E402A"/>
    <w:rsid w:val="001E406D"/>
    <w:rsid w:val="001E4070"/>
    <w:rsid w:val="001E40DB"/>
    <w:rsid w:val="001E40E0"/>
    <w:rsid w:val="001E40E3"/>
    <w:rsid w:val="001E412B"/>
    <w:rsid w:val="001E4130"/>
    <w:rsid w:val="001E4159"/>
    <w:rsid w:val="001E4161"/>
    <w:rsid w:val="001E419C"/>
    <w:rsid w:val="001E4215"/>
    <w:rsid w:val="001E4278"/>
    <w:rsid w:val="001E429E"/>
    <w:rsid w:val="001E42DB"/>
    <w:rsid w:val="001E42FA"/>
    <w:rsid w:val="001E43AD"/>
    <w:rsid w:val="001E43BF"/>
    <w:rsid w:val="001E43CE"/>
    <w:rsid w:val="001E43F6"/>
    <w:rsid w:val="001E440A"/>
    <w:rsid w:val="001E446C"/>
    <w:rsid w:val="001E44C0"/>
    <w:rsid w:val="001E44F4"/>
    <w:rsid w:val="001E455D"/>
    <w:rsid w:val="001E45D2"/>
    <w:rsid w:val="001E45E7"/>
    <w:rsid w:val="001E45F0"/>
    <w:rsid w:val="001E460F"/>
    <w:rsid w:val="001E4639"/>
    <w:rsid w:val="001E46AD"/>
    <w:rsid w:val="001E46C5"/>
    <w:rsid w:val="001E46DE"/>
    <w:rsid w:val="001E46F7"/>
    <w:rsid w:val="001E4724"/>
    <w:rsid w:val="001E487D"/>
    <w:rsid w:val="001E48AD"/>
    <w:rsid w:val="001E48C5"/>
    <w:rsid w:val="001E4948"/>
    <w:rsid w:val="001E494F"/>
    <w:rsid w:val="001E4982"/>
    <w:rsid w:val="001E4991"/>
    <w:rsid w:val="001E49D4"/>
    <w:rsid w:val="001E4A24"/>
    <w:rsid w:val="001E4A6E"/>
    <w:rsid w:val="001E4A7A"/>
    <w:rsid w:val="001E4A83"/>
    <w:rsid w:val="001E4ABC"/>
    <w:rsid w:val="001E4B21"/>
    <w:rsid w:val="001E4B2A"/>
    <w:rsid w:val="001E4B46"/>
    <w:rsid w:val="001E4B6B"/>
    <w:rsid w:val="001E4B8D"/>
    <w:rsid w:val="001E4BCC"/>
    <w:rsid w:val="001E4BED"/>
    <w:rsid w:val="001E4CD1"/>
    <w:rsid w:val="001E4CF7"/>
    <w:rsid w:val="001E4D80"/>
    <w:rsid w:val="001E4E2E"/>
    <w:rsid w:val="001E4EB4"/>
    <w:rsid w:val="001E4EBF"/>
    <w:rsid w:val="001E4F28"/>
    <w:rsid w:val="001E4F88"/>
    <w:rsid w:val="001E5040"/>
    <w:rsid w:val="001E5049"/>
    <w:rsid w:val="001E5051"/>
    <w:rsid w:val="001E505A"/>
    <w:rsid w:val="001E5085"/>
    <w:rsid w:val="001E50E2"/>
    <w:rsid w:val="001E5161"/>
    <w:rsid w:val="001E5165"/>
    <w:rsid w:val="001E5193"/>
    <w:rsid w:val="001E5199"/>
    <w:rsid w:val="001E5258"/>
    <w:rsid w:val="001E52A9"/>
    <w:rsid w:val="001E536E"/>
    <w:rsid w:val="001E5394"/>
    <w:rsid w:val="001E53C3"/>
    <w:rsid w:val="001E5412"/>
    <w:rsid w:val="001E5422"/>
    <w:rsid w:val="001E5430"/>
    <w:rsid w:val="001E5464"/>
    <w:rsid w:val="001E550B"/>
    <w:rsid w:val="001E5531"/>
    <w:rsid w:val="001E554D"/>
    <w:rsid w:val="001E5571"/>
    <w:rsid w:val="001E55AB"/>
    <w:rsid w:val="001E5610"/>
    <w:rsid w:val="001E5661"/>
    <w:rsid w:val="001E569E"/>
    <w:rsid w:val="001E5721"/>
    <w:rsid w:val="001E5737"/>
    <w:rsid w:val="001E57A7"/>
    <w:rsid w:val="001E57FA"/>
    <w:rsid w:val="001E580E"/>
    <w:rsid w:val="001E584A"/>
    <w:rsid w:val="001E58E4"/>
    <w:rsid w:val="001E5917"/>
    <w:rsid w:val="001E596E"/>
    <w:rsid w:val="001E59D4"/>
    <w:rsid w:val="001E5A05"/>
    <w:rsid w:val="001E5A95"/>
    <w:rsid w:val="001E5A98"/>
    <w:rsid w:val="001E5ABA"/>
    <w:rsid w:val="001E5AD9"/>
    <w:rsid w:val="001E5B0C"/>
    <w:rsid w:val="001E5B35"/>
    <w:rsid w:val="001E5B6D"/>
    <w:rsid w:val="001E5B78"/>
    <w:rsid w:val="001E5BB5"/>
    <w:rsid w:val="001E5BF4"/>
    <w:rsid w:val="001E5C47"/>
    <w:rsid w:val="001E5CD4"/>
    <w:rsid w:val="001E5D10"/>
    <w:rsid w:val="001E5D65"/>
    <w:rsid w:val="001E5D6F"/>
    <w:rsid w:val="001E5D77"/>
    <w:rsid w:val="001E5D8B"/>
    <w:rsid w:val="001E5E38"/>
    <w:rsid w:val="001E5EC0"/>
    <w:rsid w:val="001E5F6B"/>
    <w:rsid w:val="001E5F99"/>
    <w:rsid w:val="001E5FF2"/>
    <w:rsid w:val="001E6057"/>
    <w:rsid w:val="001E6071"/>
    <w:rsid w:val="001E6090"/>
    <w:rsid w:val="001E60E6"/>
    <w:rsid w:val="001E610A"/>
    <w:rsid w:val="001E61F6"/>
    <w:rsid w:val="001E6230"/>
    <w:rsid w:val="001E6232"/>
    <w:rsid w:val="001E62A9"/>
    <w:rsid w:val="001E62AE"/>
    <w:rsid w:val="001E62D7"/>
    <w:rsid w:val="001E62DD"/>
    <w:rsid w:val="001E6327"/>
    <w:rsid w:val="001E634C"/>
    <w:rsid w:val="001E6382"/>
    <w:rsid w:val="001E63BF"/>
    <w:rsid w:val="001E6456"/>
    <w:rsid w:val="001E64A7"/>
    <w:rsid w:val="001E6507"/>
    <w:rsid w:val="001E6521"/>
    <w:rsid w:val="001E65A2"/>
    <w:rsid w:val="001E65CE"/>
    <w:rsid w:val="001E6657"/>
    <w:rsid w:val="001E665D"/>
    <w:rsid w:val="001E6680"/>
    <w:rsid w:val="001E67F5"/>
    <w:rsid w:val="001E68CD"/>
    <w:rsid w:val="001E68F0"/>
    <w:rsid w:val="001E696C"/>
    <w:rsid w:val="001E697C"/>
    <w:rsid w:val="001E69CE"/>
    <w:rsid w:val="001E69E7"/>
    <w:rsid w:val="001E69FB"/>
    <w:rsid w:val="001E6ADB"/>
    <w:rsid w:val="001E6B6C"/>
    <w:rsid w:val="001E6BB8"/>
    <w:rsid w:val="001E6C12"/>
    <w:rsid w:val="001E6C3E"/>
    <w:rsid w:val="001E6C7D"/>
    <w:rsid w:val="001E6C99"/>
    <w:rsid w:val="001E6C9B"/>
    <w:rsid w:val="001E6C9D"/>
    <w:rsid w:val="001E6CB0"/>
    <w:rsid w:val="001E6D41"/>
    <w:rsid w:val="001E6D99"/>
    <w:rsid w:val="001E6DB9"/>
    <w:rsid w:val="001E6DBC"/>
    <w:rsid w:val="001E6E0F"/>
    <w:rsid w:val="001E6E16"/>
    <w:rsid w:val="001E6E49"/>
    <w:rsid w:val="001E6E85"/>
    <w:rsid w:val="001E6E96"/>
    <w:rsid w:val="001E6EC5"/>
    <w:rsid w:val="001E6EC6"/>
    <w:rsid w:val="001E6EC8"/>
    <w:rsid w:val="001E6F27"/>
    <w:rsid w:val="001E6F67"/>
    <w:rsid w:val="001E6F8D"/>
    <w:rsid w:val="001E6FD6"/>
    <w:rsid w:val="001E700B"/>
    <w:rsid w:val="001E70F7"/>
    <w:rsid w:val="001E712D"/>
    <w:rsid w:val="001E7138"/>
    <w:rsid w:val="001E7181"/>
    <w:rsid w:val="001E719C"/>
    <w:rsid w:val="001E71A6"/>
    <w:rsid w:val="001E71B5"/>
    <w:rsid w:val="001E729A"/>
    <w:rsid w:val="001E7317"/>
    <w:rsid w:val="001E7377"/>
    <w:rsid w:val="001E7433"/>
    <w:rsid w:val="001E7444"/>
    <w:rsid w:val="001E7469"/>
    <w:rsid w:val="001E7489"/>
    <w:rsid w:val="001E748C"/>
    <w:rsid w:val="001E74A3"/>
    <w:rsid w:val="001E74AD"/>
    <w:rsid w:val="001E74EB"/>
    <w:rsid w:val="001E74F1"/>
    <w:rsid w:val="001E750A"/>
    <w:rsid w:val="001E753C"/>
    <w:rsid w:val="001E756A"/>
    <w:rsid w:val="001E75D1"/>
    <w:rsid w:val="001E760D"/>
    <w:rsid w:val="001E7632"/>
    <w:rsid w:val="001E7640"/>
    <w:rsid w:val="001E766C"/>
    <w:rsid w:val="001E76CB"/>
    <w:rsid w:val="001E76EB"/>
    <w:rsid w:val="001E775B"/>
    <w:rsid w:val="001E77A8"/>
    <w:rsid w:val="001E7837"/>
    <w:rsid w:val="001E783A"/>
    <w:rsid w:val="001E783D"/>
    <w:rsid w:val="001E784B"/>
    <w:rsid w:val="001E7857"/>
    <w:rsid w:val="001E7870"/>
    <w:rsid w:val="001E78A0"/>
    <w:rsid w:val="001E78B3"/>
    <w:rsid w:val="001E78CC"/>
    <w:rsid w:val="001E78E2"/>
    <w:rsid w:val="001E78E5"/>
    <w:rsid w:val="001E78EF"/>
    <w:rsid w:val="001E7947"/>
    <w:rsid w:val="001E7970"/>
    <w:rsid w:val="001E797A"/>
    <w:rsid w:val="001E799D"/>
    <w:rsid w:val="001E79A9"/>
    <w:rsid w:val="001E79C8"/>
    <w:rsid w:val="001E79FE"/>
    <w:rsid w:val="001E7A18"/>
    <w:rsid w:val="001E7A32"/>
    <w:rsid w:val="001E7AB6"/>
    <w:rsid w:val="001E7ABA"/>
    <w:rsid w:val="001E7ACE"/>
    <w:rsid w:val="001E7ADB"/>
    <w:rsid w:val="001E7AEA"/>
    <w:rsid w:val="001E7B0D"/>
    <w:rsid w:val="001E7B41"/>
    <w:rsid w:val="001E7B48"/>
    <w:rsid w:val="001E7B4C"/>
    <w:rsid w:val="001E7B77"/>
    <w:rsid w:val="001E7B9E"/>
    <w:rsid w:val="001E7BC0"/>
    <w:rsid w:val="001E7C32"/>
    <w:rsid w:val="001E7C80"/>
    <w:rsid w:val="001E7CA1"/>
    <w:rsid w:val="001E7CAD"/>
    <w:rsid w:val="001E7CFB"/>
    <w:rsid w:val="001E7D1F"/>
    <w:rsid w:val="001E7D40"/>
    <w:rsid w:val="001E7D71"/>
    <w:rsid w:val="001E7D79"/>
    <w:rsid w:val="001E7E56"/>
    <w:rsid w:val="001E7EE8"/>
    <w:rsid w:val="001E7EF4"/>
    <w:rsid w:val="001E7F0B"/>
    <w:rsid w:val="001E7FFA"/>
    <w:rsid w:val="001F003E"/>
    <w:rsid w:val="001F009B"/>
    <w:rsid w:val="001F00FC"/>
    <w:rsid w:val="001F0106"/>
    <w:rsid w:val="001F0113"/>
    <w:rsid w:val="001F015B"/>
    <w:rsid w:val="001F020A"/>
    <w:rsid w:val="001F0238"/>
    <w:rsid w:val="001F02BF"/>
    <w:rsid w:val="001F02C5"/>
    <w:rsid w:val="001F02D7"/>
    <w:rsid w:val="001F02F3"/>
    <w:rsid w:val="001F0300"/>
    <w:rsid w:val="001F0359"/>
    <w:rsid w:val="001F0373"/>
    <w:rsid w:val="001F038A"/>
    <w:rsid w:val="001F038B"/>
    <w:rsid w:val="001F03F1"/>
    <w:rsid w:val="001F0470"/>
    <w:rsid w:val="001F0488"/>
    <w:rsid w:val="001F04D0"/>
    <w:rsid w:val="001F0521"/>
    <w:rsid w:val="001F060B"/>
    <w:rsid w:val="001F0668"/>
    <w:rsid w:val="001F0673"/>
    <w:rsid w:val="001F0685"/>
    <w:rsid w:val="001F06E7"/>
    <w:rsid w:val="001F0755"/>
    <w:rsid w:val="001F0789"/>
    <w:rsid w:val="001F0798"/>
    <w:rsid w:val="001F0830"/>
    <w:rsid w:val="001F0841"/>
    <w:rsid w:val="001F087F"/>
    <w:rsid w:val="001F088A"/>
    <w:rsid w:val="001F0899"/>
    <w:rsid w:val="001F08AF"/>
    <w:rsid w:val="001F08FC"/>
    <w:rsid w:val="001F093E"/>
    <w:rsid w:val="001F099A"/>
    <w:rsid w:val="001F0A40"/>
    <w:rsid w:val="001F0A7A"/>
    <w:rsid w:val="001F0A86"/>
    <w:rsid w:val="001F0A8F"/>
    <w:rsid w:val="001F0AA8"/>
    <w:rsid w:val="001F0AC9"/>
    <w:rsid w:val="001F0AFC"/>
    <w:rsid w:val="001F0BD0"/>
    <w:rsid w:val="001F0BDC"/>
    <w:rsid w:val="001F0C6E"/>
    <w:rsid w:val="001F0CAB"/>
    <w:rsid w:val="001F0CB0"/>
    <w:rsid w:val="001F0D1A"/>
    <w:rsid w:val="001F0D1F"/>
    <w:rsid w:val="001F0DAF"/>
    <w:rsid w:val="001F0DC3"/>
    <w:rsid w:val="001F0DD6"/>
    <w:rsid w:val="001F0E07"/>
    <w:rsid w:val="001F0E0F"/>
    <w:rsid w:val="001F0E2B"/>
    <w:rsid w:val="001F0E84"/>
    <w:rsid w:val="001F0EA4"/>
    <w:rsid w:val="001F0FBD"/>
    <w:rsid w:val="001F0FED"/>
    <w:rsid w:val="001F1008"/>
    <w:rsid w:val="001F1016"/>
    <w:rsid w:val="001F101C"/>
    <w:rsid w:val="001F102F"/>
    <w:rsid w:val="001F10A8"/>
    <w:rsid w:val="001F10F1"/>
    <w:rsid w:val="001F10F8"/>
    <w:rsid w:val="001F113D"/>
    <w:rsid w:val="001F1140"/>
    <w:rsid w:val="001F1193"/>
    <w:rsid w:val="001F11B6"/>
    <w:rsid w:val="001F11FE"/>
    <w:rsid w:val="001F1203"/>
    <w:rsid w:val="001F1207"/>
    <w:rsid w:val="001F1234"/>
    <w:rsid w:val="001F125A"/>
    <w:rsid w:val="001F125C"/>
    <w:rsid w:val="001F1260"/>
    <w:rsid w:val="001F133C"/>
    <w:rsid w:val="001F13DE"/>
    <w:rsid w:val="001F13ED"/>
    <w:rsid w:val="001F141A"/>
    <w:rsid w:val="001F145D"/>
    <w:rsid w:val="001F146D"/>
    <w:rsid w:val="001F149B"/>
    <w:rsid w:val="001F14A3"/>
    <w:rsid w:val="001F14D1"/>
    <w:rsid w:val="001F14DA"/>
    <w:rsid w:val="001F14EC"/>
    <w:rsid w:val="001F1540"/>
    <w:rsid w:val="001F155F"/>
    <w:rsid w:val="001F15BC"/>
    <w:rsid w:val="001F15C5"/>
    <w:rsid w:val="001F1623"/>
    <w:rsid w:val="001F166C"/>
    <w:rsid w:val="001F1690"/>
    <w:rsid w:val="001F16C3"/>
    <w:rsid w:val="001F16F7"/>
    <w:rsid w:val="001F1700"/>
    <w:rsid w:val="001F1706"/>
    <w:rsid w:val="001F17DF"/>
    <w:rsid w:val="001F1834"/>
    <w:rsid w:val="001F1890"/>
    <w:rsid w:val="001F18C7"/>
    <w:rsid w:val="001F18E2"/>
    <w:rsid w:val="001F18EF"/>
    <w:rsid w:val="001F18FD"/>
    <w:rsid w:val="001F194A"/>
    <w:rsid w:val="001F194E"/>
    <w:rsid w:val="001F197A"/>
    <w:rsid w:val="001F19AC"/>
    <w:rsid w:val="001F19AD"/>
    <w:rsid w:val="001F19DC"/>
    <w:rsid w:val="001F19FF"/>
    <w:rsid w:val="001F1A37"/>
    <w:rsid w:val="001F1ADF"/>
    <w:rsid w:val="001F1B38"/>
    <w:rsid w:val="001F1C03"/>
    <w:rsid w:val="001F1C82"/>
    <w:rsid w:val="001F1C9D"/>
    <w:rsid w:val="001F1CA7"/>
    <w:rsid w:val="001F1D3F"/>
    <w:rsid w:val="001F1D48"/>
    <w:rsid w:val="001F1D55"/>
    <w:rsid w:val="001F1D66"/>
    <w:rsid w:val="001F1D72"/>
    <w:rsid w:val="001F1D86"/>
    <w:rsid w:val="001F1D97"/>
    <w:rsid w:val="001F1DD5"/>
    <w:rsid w:val="001F1DD7"/>
    <w:rsid w:val="001F1EA5"/>
    <w:rsid w:val="001F1EBD"/>
    <w:rsid w:val="001F1ED2"/>
    <w:rsid w:val="001F1EEE"/>
    <w:rsid w:val="001F1F5E"/>
    <w:rsid w:val="001F1F76"/>
    <w:rsid w:val="001F1F91"/>
    <w:rsid w:val="001F21C0"/>
    <w:rsid w:val="001F21F2"/>
    <w:rsid w:val="001F21FB"/>
    <w:rsid w:val="001F220D"/>
    <w:rsid w:val="001F229C"/>
    <w:rsid w:val="001F2322"/>
    <w:rsid w:val="001F233A"/>
    <w:rsid w:val="001F233E"/>
    <w:rsid w:val="001F23CB"/>
    <w:rsid w:val="001F2421"/>
    <w:rsid w:val="001F242E"/>
    <w:rsid w:val="001F24EB"/>
    <w:rsid w:val="001F2506"/>
    <w:rsid w:val="001F2564"/>
    <w:rsid w:val="001F2632"/>
    <w:rsid w:val="001F2637"/>
    <w:rsid w:val="001F2662"/>
    <w:rsid w:val="001F26A0"/>
    <w:rsid w:val="001F26C9"/>
    <w:rsid w:val="001F26F1"/>
    <w:rsid w:val="001F275E"/>
    <w:rsid w:val="001F2771"/>
    <w:rsid w:val="001F2789"/>
    <w:rsid w:val="001F279A"/>
    <w:rsid w:val="001F2909"/>
    <w:rsid w:val="001F2930"/>
    <w:rsid w:val="001F2989"/>
    <w:rsid w:val="001F2AAD"/>
    <w:rsid w:val="001F2AEF"/>
    <w:rsid w:val="001F2B0C"/>
    <w:rsid w:val="001F2B94"/>
    <w:rsid w:val="001F2C12"/>
    <w:rsid w:val="001F2C18"/>
    <w:rsid w:val="001F2C63"/>
    <w:rsid w:val="001F2C94"/>
    <w:rsid w:val="001F2CBE"/>
    <w:rsid w:val="001F2CCD"/>
    <w:rsid w:val="001F2CD4"/>
    <w:rsid w:val="001F2D09"/>
    <w:rsid w:val="001F2D66"/>
    <w:rsid w:val="001F2E2B"/>
    <w:rsid w:val="001F2E9E"/>
    <w:rsid w:val="001F2EBF"/>
    <w:rsid w:val="001F2F7C"/>
    <w:rsid w:val="001F2FCE"/>
    <w:rsid w:val="001F2FF4"/>
    <w:rsid w:val="001F307C"/>
    <w:rsid w:val="001F3144"/>
    <w:rsid w:val="001F3158"/>
    <w:rsid w:val="001F3180"/>
    <w:rsid w:val="001F3187"/>
    <w:rsid w:val="001F3189"/>
    <w:rsid w:val="001F31AF"/>
    <w:rsid w:val="001F31DB"/>
    <w:rsid w:val="001F3212"/>
    <w:rsid w:val="001F3290"/>
    <w:rsid w:val="001F32B9"/>
    <w:rsid w:val="001F32D3"/>
    <w:rsid w:val="001F32DD"/>
    <w:rsid w:val="001F3367"/>
    <w:rsid w:val="001F33B0"/>
    <w:rsid w:val="001F349F"/>
    <w:rsid w:val="001F34B1"/>
    <w:rsid w:val="001F3566"/>
    <w:rsid w:val="001F35AA"/>
    <w:rsid w:val="001F3631"/>
    <w:rsid w:val="001F365A"/>
    <w:rsid w:val="001F3698"/>
    <w:rsid w:val="001F36AD"/>
    <w:rsid w:val="001F36BC"/>
    <w:rsid w:val="001F3713"/>
    <w:rsid w:val="001F3765"/>
    <w:rsid w:val="001F382F"/>
    <w:rsid w:val="001F38B8"/>
    <w:rsid w:val="001F38ED"/>
    <w:rsid w:val="001F3905"/>
    <w:rsid w:val="001F3963"/>
    <w:rsid w:val="001F39C4"/>
    <w:rsid w:val="001F39C5"/>
    <w:rsid w:val="001F39CA"/>
    <w:rsid w:val="001F39CC"/>
    <w:rsid w:val="001F39D9"/>
    <w:rsid w:val="001F3A81"/>
    <w:rsid w:val="001F3A87"/>
    <w:rsid w:val="001F3AB8"/>
    <w:rsid w:val="001F3AC1"/>
    <w:rsid w:val="001F3B05"/>
    <w:rsid w:val="001F3B49"/>
    <w:rsid w:val="001F3C4B"/>
    <w:rsid w:val="001F3C56"/>
    <w:rsid w:val="001F3CA9"/>
    <w:rsid w:val="001F3CAE"/>
    <w:rsid w:val="001F3CDB"/>
    <w:rsid w:val="001F3D39"/>
    <w:rsid w:val="001F3DB2"/>
    <w:rsid w:val="001F3E12"/>
    <w:rsid w:val="001F3E23"/>
    <w:rsid w:val="001F3E2A"/>
    <w:rsid w:val="001F3E52"/>
    <w:rsid w:val="001F3EAB"/>
    <w:rsid w:val="001F3F4E"/>
    <w:rsid w:val="001F3F56"/>
    <w:rsid w:val="001F3F6A"/>
    <w:rsid w:val="001F3FA6"/>
    <w:rsid w:val="001F3FAB"/>
    <w:rsid w:val="001F402F"/>
    <w:rsid w:val="001F408E"/>
    <w:rsid w:val="001F40CD"/>
    <w:rsid w:val="001F40D8"/>
    <w:rsid w:val="001F4125"/>
    <w:rsid w:val="001F4147"/>
    <w:rsid w:val="001F41BC"/>
    <w:rsid w:val="001F41C9"/>
    <w:rsid w:val="001F41FD"/>
    <w:rsid w:val="001F4317"/>
    <w:rsid w:val="001F4365"/>
    <w:rsid w:val="001F438B"/>
    <w:rsid w:val="001F4397"/>
    <w:rsid w:val="001F43DA"/>
    <w:rsid w:val="001F43E5"/>
    <w:rsid w:val="001F4400"/>
    <w:rsid w:val="001F4446"/>
    <w:rsid w:val="001F446F"/>
    <w:rsid w:val="001F4478"/>
    <w:rsid w:val="001F4485"/>
    <w:rsid w:val="001F4505"/>
    <w:rsid w:val="001F4550"/>
    <w:rsid w:val="001F457E"/>
    <w:rsid w:val="001F4584"/>
    <w:rsid w:val="001F45EF"/>
    <w:rsid w:val="001F4616"/>
    <w:rsid w:val="001F4642"/>
    <w:rsid w:val="001F4669"/>
    <w:rsid w:val="001F466C"/>
    <w:rsid w:val="001F466D"/>
    <w:rsid w:val="001F475C"/>
    <w:rsid w:val="001F4783"/>
    <w:rsid w:val="001F479E"/>
    <w:rsid w:val="001F47D0"/>
    <w:rsid w:val="001F481C"/>
    <w:rsid w:val="001F481E"/>
    <w:rsid w:val="001F483F"/>
    <w:rsid w:val="001F48AB"/>
    <w:rsid w:val="001F48C0"/>
    <w:rsid w:val="001F48EB"/>
    <w:rsid w:val="001F4939"/>
    <w:rsid w:val="001F49B0"/>
    <w:rsid w:val="001F49C2"/>
    <w:rsid w:val="001F49DB"/>
    <w:rsid w:val="001F4A0F"/>
    <w:rsid w:val="001F4A1A"/>
    <w:rsid w:val="001F4A48"/>
    <w:rsid w:val="001F4A55"/>
    <w:rsid w:val="001F4A58"/>
    <w:rsid w:val="001F4A5B"/>
    <w:rsid w:val="001F4A6A"/>
    <w:rsid w:val="001F4A8C"/>
    <w:rsid w:val="001F4ACE"/>
    <w:rsid w:val="001F4AED"/>
    <w:rsid w:val="001F4B0D"/>
    <w:rsid w:val="001F4C7E"/>
    <w:rsid w:val="001F4C88"/>
    <w:rsid w:val="001F4D27"/>
    <w:rsid w:val="001F4EDC"/>
    <w:rsid w:val="001F4F29"/>
    <w:rsid w:val="001F4F3C"/>
    <w:rsid w:val="001F4FB4"/>
    <w:rsid w:val="001F4FFB"/>
    <w:rsid w:val="001F500D"/>
    <w:rsid w:val="001F5057"/>
    <w:rsid w:val="001F50B3"/>
    <w:rsid w:val="001F5133"/>
    <w:rsid w:val="001F5146"/>
    <w:rsid w:val="001F520C"/>
    <w:rsid w:val="001F520F"/>
    <w:rsid w:val="001F526F"/>
    <w:rsid w:val="001F529A"/>
    <w:rsid w:val="001F52AA"/>
    <w:rsid w:val="001F5361"/>
    <w:rsid w:val="001F5368"/>
    <w:rsid w:val="001F537F"/>
    <w:rsid w:val="001F53E5"/>
    <w:rsid w:val="001F5404"/>
    <w:rsid w:val="001F541A"/>
    <w:rsid w:val="001F54B2"/>
    <w:rsid w:val="001F553F"/>
    <w:rsid w:val="001F5540"/>
    <w:rsid w:val="001F555C"/>
    <w:rsid w:val="001F5584"/>
    <w:rsid w:val="001F55AD"/>
    <w:rsid w:val="001F55B2"/>
    <w:rsid w:val="001F5656"/>
    <w:rsid w:val="001F565E"/>
    <w:rsid w:val="001F5668"/>
    <w:rsid w:val="001F5712"/>
    <w:rsid w:val="001F57B5"/>
    <w:rsid w:val="001F57F5"/>
    <w:rsid w:val="001F57F9"/>
    <w:rsid w:val="001F580E"/>
    <w:rsid w:val="001F584E"/>
    <w:rsid w:val="001F58CC"/>
    <w:rsid w:val="001F58E5"/>
    <w:rsid w:val="001F58E7"/>
    <w:rsid w:val="001F58F2"/>
    <w:rsid w:val="001F59E3"/>
    <w:rsid w:val="001F5A2B"/>
    <w:rsid w:val="001F5A6A"/>
    <w:rsid w:val="001F5A6B"/>
    <w:rsid w:val="001F5AFC"/>
    <w:rsid w:val="001F5B10"/>
    <w:rsid w:val="001F5B20"/>
    <w:rsid w:val="001F5B29"/>
    <w:rsid w:val="001F5B33"/>
    <w:rsid w:val="001F5B8E"/>
    <w:rsid w:val="001F5B90"/>
    <w:rsid w:val="001F5BF2"/>
    <w:rsid w:val="001F5BF8"/>
    <w:rsid w:val="001F5C94"/>
    <w:rsid w:val="001F5CA0"/>
    <w:rsid w:val="001F5CD6"/>
    <w:rsid w:val="001F5D7A"/>
    <w:rsid w:val="001F5DB2"/>
    <w:rsid w:val="001F5DCF"/>
    <w:rsid w:val="001F5DFA"/>
    <w:rsid w:val="001F5E0D"/>
    <w:rsid w:val="001F5EF0"/>
    <w:rsid w:val="001F5F29"/>
    <w:rsid w:val="001F5FE8"/>
    <w:rsid w:val="001F608E"/>
    <w:rsid w:val="001F60D1"/>
    <w:rsid w:val="001F6110"/>
    <w:rsid w:val="001F611E"/>
    <w:rsid w:val="001F6241"/>
    <w:rsid w:val="001F62AF"/>
    <w:rsid w:val="001F6313"/>
    <w:rsid w:val="001F6342"/>
    <w:rsid w:val="001F6344"/>
    <w:rsid w:val="001F6347"/>
    <w:rsid w:val="001F63A5"/>
    <w:rsid w:val="001F63B8"/>
    <w:rsid w:val="001F63F4"/>
    <w:rsid w:val="001F6406"/>
    <w:rsid w:val="001F6432"/>
    <w:rsid w:val="001F6453"/>
    <w:rsid w:val="001F645F"/>
    <w:rsid w:val="001F6467"/>
    <w:rsid w:val="001F64A6"/>
    <w:rsid w:val="001F64E4"/>
    <w:rsid w:val="001F64E7"/>
    <w:rsid w:val="001F6504"/>
    <w:rsid w:val="001F652A"/>
    <w:rsid w:val="001F652B"/>
    <w:rsid w:val="001F652E"/>
    <w:rsid w:val="001F6535"/>
    <w:rsid w:val="001F6553"/>
    <w:rsid w:val="001F6558"/>
    <w:rsid w:val="001F65A9"/>
    <w:rsid w:val="001F65F1"/>
    <w:rsid w:val="001F65F2"/>
    <w:rsid w:val="001F6628"/>
    <w:rsid w:val="001F674D"/>
    <w:rsid w:val="001F675F"/>
    <w:rsid w:val="001F6773"/>
    <w:rsid w:val="001F67DE"/>
    <w:rsid w:val="001F67F6"/>
    <w:rsid w:val="001F6829"/>
    <w:rsid w:val="001F682D"/>
    <w:rsid w:val="001F6842"/>
    <w:rsid w:val="001F686D"/>
    <w:rsid w:val="001F6889"/>
    <w:rsid w:val="001F68A2"/>
    <w:rsid w:val="001F6976"/>
    <w:rsid w:val="001F69CC"/>
    <w:rsid w:val="001F69E0"/>
    <w:rsid w:val="001F6A76"/>
    <w:rsid w:val="001F6A7C"/>
    <w:rsid w:val="001F6A96"/>
    <w:rsid w:val="001F6A9D"/>
    <w:rsid w:val="001F6AB0"/>
    <w:rsid w:val="001F6ABB"/>
    <w:rsid w:val="001F6BE4"/>
    <w:rsid w:val="001F6BF4"/>
    <w:rsid w:val="001F6C85"/>
    <w:rsid w:val="001F6CA0"/>
    <w:rsid w:val="001F6CA7"/>
    <w:rsid w:val="001F6D2F"/>
    <w:rsid w:val="001F6DA3"/>
    <w:rsid w:val="001F6DBF"/>
    <w:rsid w:val="001F6DF0"/>
    <w:rsid w:val="001F6E0C"/>
    <w:rsid w:val="001F6E1B"/>
    <w:rsid w:val="001F6E3E"/>
    <w:rsid w:val="001F6ED4"/>
    <w:rsid w:val="001F6EF0"/>
    <w:rsid w:val="001F6F0B"/>
    <w:rsid w:val="001F6F36"/>
    <w:rsid w:val="001F6F94"/>
    <w:rsid w:val="001F6FA1"/>
    <w:rsid w:val="001F6FA3"/>
    <w:rsid w:val="001F6FAC"/>
    <w:rsid w:val="001F703F"/>
    <w:rsid w:val="001F706F"/>
    <w:rsid w:val="001F711B"/>
    <w:rsid w:val="001F7123"/>
    <w:rsid w:val="001F713F"/>
    <w:rsid w:val="001F7159"/>
    <w:rsid w:val="001F7166"/>
    <w:rsid w:val="001F7172"/>
    <w:rsid w:val="001F71CB"/>
    <w:rsid w:val="001F7223"/>
    <w:rsid w:val="001F7227"/>
    <w:rsid w:val="001F7257"/>
    <w:rsid w:val="001F72A0"/>
    <w:rsid w:val="001F72BF"/>
    <w:rsid w:val="001F7321"/>
    <w:rsid w:val="001F7339"/>
    <w:rsid w:val="001F733D"/>
    <w:rsid w:val="001F735F"/>
    <w:rsid w:val="001F7377"/>
    <w:rsid w:val="001F739E"/>
    <w:rsid w:val="001F73AE"/>
    <w:rsid w:val="001F73E8"/>
    <w:rsid w:val="001F741F"/>
    <w:rsid w:val="001F742D"/>
    <w:rsid w:val="001F7460"/>
    <w:rsid w:val="001F74E2"/>
    <w:rsid w:val="001F7522"/>
    <w:rsid w:val="001F753C"/>
    <w:rsid w:val="001F7543"/>
    <w:rsid w:val="001F75DA"/>
    <w:rsid w:val="001F7659"/>
    <w:rsid w:val="001F769A"/>
    <w:rsid w:val="001F771C"/>
    <w:rsid w:val="001F7804"/>
    <w:rsid w:val="001F7842"/>
    <w:rsid w:val="001F7889"/>
    <w:rsid w:val="001F788A"/>
    <w:rsid w:val="001F78B1"/>
    <w:rsid w:val="001F799A"/>
    <w:rsid w:val="001F7AC9"/>
    <w:rsid w:val="001F7AED"/>
    <w:rsid w:val="001F7B1A"/>
    <w:rsid w:val="001F7B66"/>
    <w:rsid w:val="001F7B68"/>
    <w:rsid w:val="001F7BDE"/>
    <w:rsid w:val="001F7BE3"/>
    <w:rsid w:val="001F7CCE"/>
    <w:rsid w:val="001F7D01"/>
    <w:rsid w:val="001F7D02"/>
    <w:rsid w:val="001F7DCA"/>
    <w:rsid w:val="001F7E18"/>
    <w:rsid w:val="001F7E1C"/>
    <w:rsid w:val="001F7E92"/>
    <w:rsid w:val="001F7EAA"/>
    <w:rsid w:val="001F7ECC"/>
    <w:rsid w:val="001F7EE7"/>
    <w:rsid w:val="001F7EF9"/>
    <w:rsid w:val="001F7F29"/>
    <w:rsid w:val="001F7F4E"/>
    <w:rsid w:val="001F7FAB"/>
    <w:rsid w:val="00200031"/>
    <w:rsid w:val="00200073"/>
    <w:rsid w:val="00200090"/>
    <w:rsid w:val="002000BF"/>
    <w:rsid w:val="002000C7"/>
    <w:rsid w:val="00200119"/>
    <w:rsid w:val="00200154"/>
    <w:rsid w:val="002001B4"/>
    <w:rsid w:val="002001C1"/>
    <w:rsid w:val="002001D3"/>
    <w:rsid w:val="002001E2"/>
    <w:rsid w:val="00200217"/>
    <w:rsid w:val="0020027A"/>
    <w:rsid w:val="002002EC"/>
    <w:rsid w:val="00200304"/>
    <w:rsid w:val="002003BD"/>
    <w:rsid w:val="0020041C"/>
    <w:rsid w:val="00200427"/>
    <w:rsid w:val="00200434"/>
    <w:rsid w:val="00200436"/>
    <w:rsid w:val="00200479"/>
    <w:rsid w:val="0020048F"/>
    <w:rsid w:val="0020053A"/>
    <w:rsid w:val="0020057D"/>
    <w:rsid w:val="002005FA"/>
    <w:rsid w:val="0020063B"/>
    <w:rsid w:val="002006A0"/>
    <w:rsid w:val="002006E6"/>
    <w:rsid w:val="002006EF"/>
    <w:rsid w:val="002006FA"/>
    <w:rsid w:val="00200700"/>
    <w:rsid w:val="00200704"/>
    <w:rsid w:val="0020071F"/>
    <w:rsid w:val="00200756"/>
    <w:rsid w:val="00200766"/>
    <w:rsid w:val="002007BB"/>
    <w:rsid w:val="002007F6"/>
    <w:rsid w:val="002007F8"/>
    <w:rsid w:val="00200800"/>
    <w:rsid w:val="00200801"/>
    <w:rsid w:val="00200828"/>
    <w:rsid w:val="0020086B"/>
    <w:rsid w:val="002008AA"/>
    <w:rsid w:val="002008FA"/>
    <w:rsid w:val="0020098D"/>
    <w:rsid w:val="00200A2B"/>
    <w:rsid w:val="00200A6D"/>
    <w:rsid w:val="00200A70"/>
    <w:rsid w:val="00200A92"/>
    <w:rsid w:val="00200AD2"/>
    <w:rsid w:val="00200AEB"/>
    <w:rsid w:val="00200B35"/>
    <w:rsid w:val="00200B3A"/>
    <w:rsid w:val="00200B87"/>
    <w:rsid w:val="00200BDB"/>
    <w:rsid w:val="00200BE4"/>
    <w:rsid w:val="00200BED"/>
    <w:rsid w:val="00200BFE"/>
    <w:rsid w:val="00200C44"/>
    <w:rsid w:val="00200C5B"/>
    <w:rsid w:val="00200C7F"/>
    <w:rsid w:val="00200C9B"/>
    <w:rsid w:val="00200CA7"/>
    <w:rsid w:val="00200CDD"/>
    <w:rsid w:val="00200D12"/>
    <w:rsid w:val="00200D6B"/>
    <w:rsid w:val="00200D8D"/>
    <w:rsid w:val="00200D9B"/>
    <w:rsid w:val="00200DE9"/>
    <w:rsid w:val="00200E20"/>
    <w:rsid w:val="00200E48"/>
    <w:rsid w:val="00200EC9"/>
    <w:rsid w:val="00200F3C"/>
    <w:rsid w:val="00200F8A"/>
    <w:rsid w:val="0020103A"/>
    <w:rsid w:val="00201086"/>
    <w:rsid w:val="00201101"/>
    <w:rsid w:val="00201115"/>
    <w:rsid w:val="0020115B"/>
    <w:rsid w:val="0020117A"/>
    <w:rsid w:val="0020118F"/>
    <w:rsid w:val="002011A4"/>
    <w:rsid w:val="00201212"/>
    <w:rsid w:val="00201266"/>
    <w:rsid w:val="00201292"/>
    <w:rsid w:val="002012BA"/>
    <w:rsid w:val="002012F2"/>
    <w:rsid w:val="00201318"/>
    <w:rsid w:val="00201330"/>
    <w:rsid w:val="0020140B"/>
    <w:rsid w:val="002014CD"/>
    <w:rsid w:val="0020150D"/>
    <w:rsid w:val="00201530"/>
    <w:rsid w:val="00201588"/>
    <w:rsid w:val="00201593"/>
    <w:rsid w:val="002015D4"/>
    <w:rsid w:val="00201629"/>
    <w:rsid w:val="0020165E"/>
    <w:rsid w:val="00201674"/>
    <w:rsid w:val="002016C0"/>
    <w:rsid w:val="002016F7"/>
    <w:rsid w:val="00201745"/>
    <w:rsid w:val="00201764"/>
    <w:rsid w:val="0020179C"/>
    <w:rsid w:val="002017BD"/>
    <w:rsid w:val="002017D9"/>
    <w:rsid w:val="002017E0"/>
    <w:rsid w:val="002017F4"/>
    <w:rsid w:val="002017FF"/>
    <w:rsid w:val="00201806"/>
    <w:rsid w:val="0020182A"/>
    <w:rsid w:val="00201852"/>
    <w:rsid w:val="002018DE"/>
    <w:rsid w:val="002018F0"/>
    <w:rsid w:val="00201944"/>
    <w:rsid w:val="00201991"/>
    <w:rsid w:val="002019D0"/>
    <w:rsid w:val="002019DF"/>
    <w:rsid w:val="00201A2E"/>
    <w:rsid w:val="00201A4A"/>
    <w:rsid w:val="00201A95"/>
    <w:rsid w:val="00201ACE"/>
    <w:rsid w:val="00201B33"/>
    <w:rsid w:val="00201B95"/>
    <w:rsid w:val="00201C1A"/>
    <w:rsid w:val="00201C3D"/>
    <w:rsid w:val="00201C52"/>
    <w:rsid w:val="00201C91"/>
    <w:rsid w:val="00201CED"/>
    <w:rsid w:val="00201D0C"/>
    <w:rsid w:val="00201DA1"/>
    <w:rsid w:val="00201DAB"/>
    <w:rsid w:val="00201DEC"/>
    <w:rsid w:val="00201E15"/>
    <w:rsid w:val="00201E4B"/>
    <w:rsid w:val="00201E4D"/>
    <w:rsid w:val="00201E66"/>
    <w:rsid w:val="00201E67"/>
    <w:rsid w:val="00201EED"/>
    <w:rsid w:val="00201EF1"/>
    <w:rsid w:val="00201F50"/>
    <w:rsid w:val="00201F54"/>
    <w:rsid w:val="00201F80"/>
    <w:rsid w:val="00201F97"/>
    <w:rsid w:val="00201FF8"/>
    <w:rsid w:val="0020208B"/>
    <w:rsid w:val="002020F1"/>
    <w:rsid w:val="00202123"/>
    <w:rsid w:val="00202135"/>
    <w:rsid w:val="002021AF"/>
    <w:rsid w:val="002021B1"/>
    <w:rsid w:val="002021D8"/>
    <w:rsid w:val="0020221B"/>
    <w:rsid w:val="00202241"/>
    <w:rsid w:val="00202243"/>
    <w:rsid w:val="0020224D"/>
    <w:rsid w:val="002022F5"/>
    <w:rsid w:val="00202323"/>
    <w:rsid w:val="00202338"/>
    <w:rsid w:val="00202345"/>
    <w:rsid w:val="0020238E"/>
    <w:rsid w:val="00202392"/>
    <w:rsid w:val="002023F2"/>
    <w:rsid w:val="00202426"/>
    <w:rsid w:val="00202462"/>
    <w:rsid w:val="0020246D"/>
    <w:rsid w:val="002024D1"/>
    <w:rsid w:val="0020257A"/>
    <w:rsid w:val="002025A5"/>
    <w:rsid w:val="002025EA"/>
    <w:rsid w:val="0020263E"/>
    <w:rsid w:val="0020263F"/>
    <w:rsid w:val="00202662"/>
    <w:rsid w:val="00202666"/>
    <w:rsid w:val="002026D9"/>
    <w:rsid w:val="002026E0"/>
    <w:rsid w:val="002026F5"/>
    <w:rsid w:val="002027A9"/>
    <w:rsid w:val="002027FE"/>
    <w:rsid w:val="002029BC"/>
    <w:rsid w:val="00202A0C"/>
    <w:rsid w:val="00202A6D"/>
    <w:rsid w:val="00202AE9"/>
    <w:rsid w:val="00202B9A"/>
    <w:rsid w:val="00202C8D"/>
    <w:rsid w:val="00202CAB"/>
    <w:rsid w:val="00202CF0"/>
    <w:rsid w:val="00202D2D"/>
    <w:rsid w:val="00202D31"/>
    <w:rsid w:val="00202DBC"/>
    <w:rsid w:val="00202DCC"/>
    <w:rsid w:val="00202DF2"/>
    <w:rsid w:val="00202E22"/>
    <w:rsid w:val="00202E50"/>
    <w:rsid w:val="00202E52"/>
    <w:rsid w:val="00202E8D"/>
    <w:rsid w:val="00202FF2"/>
    <w:rsid w:val="00203049"/>
    <w:rsid w:val="00203051"/>
    <w:rsid w:val="00203091"/>
    <w:rsid w:val="0020309D"/>
    <w:rsid w:val="00203111"/>
    <w:rsid w:val="00203162"/>
    <w:rsid w:val="00203196"/>
    <w:rsid w:val="0020324A"/>
    <w:rsid w:val="00203296"/>
    <w:rsid w:val="00203299"/>
    <w:rsid w:val="00203303"/>
    <w:rsid w:val="00203321"/>
    <w:rsid w:val="00203361"/>
    <w:rsid w:val="00203392"/>
    <w:rsid w:val="002033B7"/>
    <w:rsid w:val="00203472"/>
    <w:rsid w:val="002034EF"/>
    <w:rsid w:val="0020353E"/>
    <w:rsid w:val="0020357F"/>
    <w:rsid w:val="00203588"/>
    <w:rsid w:val="002035AA"/>
    <w:rsid w:val="002036A0"/>
    <w:rsid w:val="0020371D"/>
    <w:rsid w:val="0020372C"/>
    <w:rsid w:val="0020373E"/>
    <w:rsid w:val="00203745"/>
    <w:rsid w:val="00203791"/>
    <w:rsid w:val="002037BE"/>
    <w:rsid w:val="0020390F"/>
    <w:rsid w:val="00203920"/>
    <w:rsid w:val="0020393E"/>
    <w:rsid w:val="002039AD"/>
    <w:rsid w:val="002039D7"/>
    <w:rsid w:val="00203B01"/>
    <w:rsid w:val="00203B4E"/>
    <w:rsid w:val="00203B74"/>
    <w:rsid w:val="00203C2F"/>
    <w:rsid w:val="00203C40"/>
    <w:rsid w:val="00203CC4"/>
    <w:rsid w:val="00203D30"/>
    <w:rsid w:val="00203DAE"/>
    <w:rsid w:val="00203DC2"/>
    <w:rsid w:val="00203DDD"/>
    <w:rsid w:val="00203DE5"/>
    <w:rsid w:val="00203E02"/>
    <w:rsid w:val="00203E3C"/>
    <w:rsid w:val="00203E8B"/>
    <w:rsid w:val="00203EB4"/>
    <w:rsid w:val="00203EE8"/>
    <w:rsid w:val="00203F65"/>
    <w:rsid w:val="00203FA1"/>
    <w:rsid w:val="00203FA8"/>
    <w:rsid w:val="00203FDC"/>
    <w:rsid w:val="00204010"/>
    <w:rsid w:val="00204016"/>
    <w:rsid w:val="00204046"/>
    <w:rsid w:val="002040CF"/>
    <w:rsid w:val="00204137"/>
    <w:rsid w:val="0020419A"/>
    <w:rsid w:val="002041DF"/>
    <w:rsid w:val="0020422A"/>
    <w:rsid w:val="0020422C"/>
    <w:rsid w:val="0020422F"/>
    <w:rsid w:val="0020423D"/>
    <w:rsid w:val="00204240"/>
    <w:rsid w:val="0020424A"/>
    <w:rsid w:val="0020428C"/>
    <w:rsid w:val="002042BB"/>
    <w:rsid w:val="00204366"/>
    <w:rsid w:val="0020436C"/>
    <w:rsid w:val="00204370"/>
    <w:rsid w:val="002043AC"/>
    <w:rsid w:val="00204420"/>
    <w:rsid w:val="00204460"/>
    <w:rsid w:val="0020447A"/>
    <w:rsid w:val="002044A6"/>
    <w:rsid w:val="002044AA"/>
    <w:rsid w:val="002044D2"/>
    <w:rsid w:val="002044EF"/>
    <w:rsid w:val="00204500"/>
    <w:rsid w:val="0020452B"/>
    <w:rsid w:val="0020459D"/>
    <w:rsid w:val="002045D7"/>
    <w:rsid w:val="00204652"/>
    <w:rsid w:val="00204658"/>
    <w:rsid w:val="00204676"/>
    <w:rsid w:val="00204686"/>
    <w:rsid w:val="00204731"/>
    <w:rsid w:val="00204793"/>
    <w:rsid w:val="002047F7"/>
    <w:rsid w:val="002048E7"/>
    <w:rsid w:val="002048F4"/>
    <w:rsid w:val="0020493D"/>
    <w:rsid w:val="00204A9E"/>
    <w:rsid w:val="00204AD5"/>
    <w:rsid w:val="00204AE0"/>
    <w:rsid w:val="00204B1D"/>
    <w:rsid w:val="00204B6B"/>
    <w:rsid w:val="00204C7C"/>
    <w:rsid w:val="00204C86"/>
    <w:rsid w:val="00204CDE"/>
    <w:rsid w:val="00204D0D"/>
    <w:rsid w:val="00204D2E"/>
    <w:rsid w:val="00204D54"/>
    <w:rsid w:val="00204D66"/>
    <w:rsid w:val="00204D95"/>
    <w:rsid w:val="00204D97"/>
    <w:rsid w:val="00204DC6"/>
    <w:rsid w:val="00204DF5"/>
    <w:rsid w:val="00204E12"/>
    <w:rsid w:val="00204E62"/>
    <w:rsid w:val="00204E97"/>
    <w:rsid w:val="00204EB8"/>
    <w:rsid w:val="00204F08"/>
    <w:rsid w:val="00204F53"/>
    <w:rsid w:val="00204F78"/>
    <w:rsid w:val="00204FC2"/>
    <w:rsid w:val="00204FD6"/>
    <w:rsid w:val="00204FDC"/>
    <w:rsid w:val="00205006"/>
    <w:rsid w:val="00205029"/>
    <w:rsid w:val="0020502E"/>
    <w:rsid w:val="00205041"/>
    <w:rsid w:val="00205060"/>
    <w:rsid w:val="0020508F"/>
    <w:rsid w:val="00205098"/>
    <w:rsid w:val="002050A7"/>
    <w:rsid w:val="002050C7"/>
    <w:rsid w:val="002050CD"/>
    <w:rsid w:val="00205110"/>
    <w:rsid w:val="002051A7"/>
    <w:rsid w:val="002051FE"/>
    <w:rsid w:val="0020523E"/>
    <w:rsid w:val="0020526F"/>
    <w:rsid w:val="0020527D"/>
    <w:rsid w:val="00205298"/>
    <w:rsid w:val="002052B2"/>
    <w:rsid w:val="00205371"/>
    <w:rsid w:val="0020540D"/>
    <w:rsid w:val="00205428"/>
    <w:rsid w:val="00205496"/>
    <w:rsid w:val="0020553A"/>
    <w:rsid w:val="002055FA"/>
    <w:rsid w:val="00205636"/>
    <w:rsid w:val="0020563C"/>
    <w:rsid w:val="00205660"/>
    <w:rsid w:val="00205732"/>
    <w:rsid w:val="00205746"/>
    <w:rsid w:val="00205777"/>
    <w:rsid w:val="002057CA"/>
    <w:rsid w:val="0020580B"/>
    <w:rsid w:val="00205857"/>
    <w:rsid w:val="00205860"/>
    <w:rsid w:val="0020591D"/>
    <w:rsid w:val="00205958"/>
    <w:rsid w:val="00205989"/>
    <w:rsid w:val="00205A76"/>
    <w:rsid w:val="00205AEB"/>
    <w:rsid w:val="00205AFB"/>
    <w:rsid w:val="00205B03"/>
    <w:rsid w:val="00205BCC"/>
    <w:rsid w:val="00205BD0"/>
    <w:rsid w:val="00205C24"/>
    <w:rsid w:val="00205CA4"/>
    <w:rsid w:val="00205D56"/>
    <w:rsid w:val="00205ED6"/>
    <w:rsid w:val="00205ED8"/>
    <w:rsid w:val="00205F1B"/>
    <w:rsid w:val="00205F23"/>
    <w:rsid w:val="00205F2A"/>
    <w:rsid w:val="00206009"/>
    <w:rsid w:val="0020600F"/>
    <w:rsid w:val="0020601B"/>
    <w:rsid w:val="00206075"/>
    <w:rsid w:val="0020609E"/>
    <w:rsid w:val="002060A4"/>
    <w:rsid w:val="00206133"/>
    <w:rsid w:val="00206151"/>
    <w:rsid w:val="0020615E"/>
    <w:rsid w:val="00206181"/>
    <w:rsid w:val="00206196"/>
    <w:rsid w:val="0020619B"/>
    <w:rsid w:val="002061AA"/>
    <w:rsid w:val="002061B2"/>
    <w:rsid w:val="00206217"/>
    <w:rsid w:val="0020621C"/>
    <w:rsid w:val="00206226"/>
    <w:rsid w:val="00206249"/>
    <w:rsid w:val="0020624A"/>
    <w:rsid w:val="002062BA"/>
    <w:rsid w:val="002062CC"/>
    <w:rsid w:val="00206326"/>
    <w:rsid w:val="0020636D"/>
    <w:rsid w:val="00206381"/>
    <w:rsid w:val="00206385"/>
    <w:rsid w:val="002063D9"/>
    <w:rsid w:val="00206400"/>
    <w:rsid w:val="00206413"/>
    <w:rsid w:val="0020641D"/>
    <w:rsid w:val="002064F3"/>
    <w:rsid w:val="002064F6"/>
    <w:rsid w:val="002064FC"/>
    <w:rsid w:val="0020653B"/>
    <w:rsid w:val="0020655D"/>
    <w:rsid w:val="002065D2"/>
    <w:rsid w:val="002065E7"/>
    <w:rsid w:val="0020661A"/>
    <w:rsid w:val="0020663D"/>
    <w:rsid w:val="00206680"/>
    <w:rsid w:val="002066A6"/>
    <w:rsid w:val="0020670F"/>
    <w:rsid w:val="00206718"/>
    <w:rsid w:val="00206743"/>
    <w:rsid w:val="00206746"/>
    <w:rsid w:val="002067D7"/>
    <w:rsid w:val="002067DF"/>
    <w:rsid w:val="00206837"/>
    <w:rsid w:val="0020685B"/>
    <w:rsid w:val="00206883"/>
    <w:rsid w:val="002068C9"/>
    <w:rsid w:val="002068D2"/>
    <w:rsid w:val="00206925"/>
    <w:rsid w:val="0020697D"/>
    <w:rsid w:val="00206A1B"/>
    <w:rsid w:val="00206A41"/>
    <w:rsid w:val="00206A97"/>
    <w:rsid w:val="00206AB6"/>
    <w:rsid w:val="00206ACF"/>
    <w:rsid w:val="00206AF7"/>
    <w:rsid w:val="00206B17"/>
    <w:rsid w:val="00206B61"/>
    <w:rsid w:val="00206BC1"/>
    <w:rsid w:val="00206BD0"/>
    <w:rsid w:val="00206BF6"/>
    <w:rsid w:val="00206CF9"/>
    <w:rsid w:val="00206D7C"/>
    <w:rsid w:val="00206DFF"/>
    <w:rsid w:val="00206E7A"/>
    <w:rsid w:val="00206EDA"/>
    <w:rsid w:val="00206F0A"/>
    <w:rsid w:val="00206FA0"/>
    <w:rsid w:val="00206FD6"/>
    <w:rsid w:val="0020704C"/>
    <w:rsid w:val="00207070"/>
    <w:rsid w:val="00207089"/>
    <w:rsid w:val="002070AB"/>
    <w:rsid w:val="002070BB"/>
    <w:rsid w:val="00207116"/>
    <w:rsid w:val="0020714E"/>
    <w:rsid w:val="0020715D"/>
    <w:rsid w:val="0020716B"/>
    <w:rsid w:val="00207229"/>
    <w:rsid w:val="00207259"/>
    <w:rsid w:val="00207283"/>
    <w:rsid w:val="002072AC"/>
    <w:rsid w:val="002072D2"/>
    <w:rsid w:val="00207320"/>
    <w:rsid w:val="00207357"/>
    <w:rsid w:val="0020738D"/>
    <w:rsid w:val="002073E9"/>
    <w:rsid w:val="002073F4"/>
    <w:rsid w:val="002073F8"/>
    <w:rsid w:val="00207428"/>
    <w:rsid w:val="002074B0"/>
    <w:rsid w:val="002074F7"/>
    <w:rsid w:val="002074FB"/>
    <w:rsid w:val="00207507"/>
    <w:rsid w:val="00207519"/>
    <w:rsid w:val="00207574"/>
    <w:rsid w:val="00207656"/>
    <w:rsid w:val="002076BB"/>
    <w:rsid w:val="002076E6"/>
    <w:rsid w:val="002076F8"/>
    <w:rsid w:val="0020771B"/>
    <w:rsid w:val="00207794"/>
    <w:rsid w:val="002078B9"/>
    <w:rsid w:val="002078EB"/>
    <w:rsid w:val="0020795A"/>
    <w:rsid w:val="00207961"/>
    <w:rsid w:val="00207992"/>
    <w:rsid w:val="002079E2"/>
    <w:rsid w:val="00207A29"/>
    <w:rsid w:val="00207B09"/>
    <w:rsid w:val="00207B56"/>
    <w:rsid w:val="00207B9E"/>
    <w:rsid w:val="00207BBF"/>
    <w:rsid w:val="00207BD3"/>
    <w:rsid w:val="00207BE4"/>
    <w:rsid w:val="00207BF3"/>
    <w:rsid w:val="00207C98"/>
    <w:rsid w:val="00207D02"/>
    <w:rsid w:val="00207D1A"/>
    <w:rsid w:val="00207D36"/>
    <w:rsid w:val="00207D6C"/>
    <w:rsid w:val="00207DC4"/>
    <w:rsid w:val="00207E57"/>
    <w:rsid w:val="00207E59"/>
    <w:rsid w:val="00207E62"/>
    <w:rsid w:val="00207E87"/>
    <w:rsid w:val="00207EB7"/>
    <w:rsid w:val="00207FA8"/>
    <w:rsid w:val="00207FAB"/>
    <w:rsid w:val="00207FBD"/>
    <w:rsid w:val="00207FC0"/>
    <w:rsid w:val="00207FD4"/>
    <w:rsid w:val="00207FE1"/>
    <w:rsid w:val="0020A17D"/>
    <w:rsid w:val="0020B0A8"/>
    <w:rsid w:val="0020D873"/>
    <w:rsid w:val="00210055"/>
    <w:rsid w:val="002100B3"/>
    <w:rsid w:val="002100C4"/>
    <w:rsid w:val="002100D7"/>
    <w:rsid w:val="0021019E"/>
    <w:rsid w:val="002101CF"/>
    <w:rsid w:val="002101D2"/>
    <w:rsid w:val="002101DA"/>
    <w:rsid w:val="00210300"/>
    <w:rsid w:val="0021033A"/>
    <w:rsid w:val="00210398"/>
    <w:rsid w:val="002103A5"/>
    <w:rsid w:val="002103B1"/>
    <w:rsid w:val="002103CA"/>
    <w:rsid w:val="00210417"/>
    <w:rsid w:val="00210456"/>
    <w:rsid w:val="0021048A"/>
    <w:rsid w:val="002104CA"/>
    <w:rsid w:val="002104F6"/>
    <w:rsid w:val="00210585"/>
    <w:rsid w:val="00210622"/>
    <w:rsid w:val="00210635"/>
    <w:rsid w:val="00210636"/>
    <w:rsid w:val="0021064D"/>
    <w:rsid w:val="0021065B"/>
    <w:rsid w:val="00210665"/>
    <w:rsid w:val="0021066A"/>
    <w:rsid w:val="002106CC"/>
    <w:rsid w:val="002106DC"/>
    <w:rsid w:val="002106DD"/>
    <w:rsid w:val="00210705"/>
    <w:rsid w:val="0021072A"/>
    <w:rsid w:val="002107A0"/>
    <w:rsid w:val="002107D0"/>
    <w:rsid w:val="0021080D"/>
    <w:rsid w:val="00210812"/>
    <w:rsid w:val="00210841"/>
    <w:rsid w:val="002108F7"/>
    <w:rsid w:val="00210944"/>
    <w:rsid w:val="0021099F"/>
    <w:rsid w:val="002109AB"/>
    <w:rsid w:val="002109FA"/>
    <w:rsid w:val="00210A3B"/>
    <w:rsid w:val="00210A6E"/>
    <w:rsid w:val="00210AA8"/>
    <w:rsid w:val="00210AEC"/>
    <w:rsid w:val="00210AFC"/>
    <w:rsid w:val="00210B58"/>
    <w:rsid w:val="00210B5E"/>
    <w:rsid w:val="00210B6B"/>
    <w:rsid w:val="00210B73"/>
    <w:rsid w:val="00210B78"/>
    <w:rsid w:val="00210B7C"/>
    <w:rsid w:val="00210BBB"/>
    <w:rsid w:val="00210C48"/>
    <w:rsid w:val="00210C4F"/>
    <w:rsid w:val="00210C5B"/>
    <w:rsid w:val="00210C5E"/>
    <w:rsid w:val="00210C86"/>
    <w:rsid w:val="00210C89"/>
    <w:rsid w:val="00210C8F"/>
    <w:rsid w:val="00210C90"/>
    <w:rsid w:val="00210CC3"/>
    <w:rsid w:val="00210D70"/>
    <w:rsid w:val="00210DA0"/>
    <w:rsid w:val="00210E1E"/>
    <w:rsid w:val="00210EAF"/>
    <w:rsid w:val="00210EFE"/>
    <w:rsid w:val="00210F76"/>
    <w:rsid w:val="00210FE1"/>
    <w:rsid w:val="00210FFA"/>
    <w:rsid w:val="00211011"/>
    <w:rsid w:val="00211085"/>
    <w:rsid w:val="002110A2"/>
    <w:rsid w:val="00211120"/>
    <w:rsid w:val="0021112B"/>
    <w:rsid w:val="0021112F"/>
    <w:rsid w:val="00211149"/>
    <w:rsid w:val="002111E2"/>
    <w:rsid w:val="002111E4"/>
    <w:rsid w:val="00211206"/>
    <w:rsid w:val="00211251"/>
    <w:rsid w:val="002112A1"/>
    <w:rsid w:val="002112BF"/>
    <w:rsid w:val="002112D5"/>
    <w:rsid w:val="002112FA"/>
    <w:rsid w:val="00211308"/>
    <w:rsid w:val="0021130A"/>
    <w:rsid w:val="00211317"/>
    <w:rsid w:val="00211391"/>
    <w:rsid w:val="002113B9"/>
    <w:rsid w:val="00211407"/>
    <w:rsid w:val="00211464"/>
    <w:rsid w:val="00211487"/>
    <w:rsid w:val="00211530"/>
    <w:rsid w:val="00211542"/>
    <w:rsid w:val="00211566"/>
    <w:rsid w:val="002115D6"/>
    <w:rsid w:val="0021162A"/>
    <w:rsid w:val="0021164A"/>
    <w:rsid w:val="002116D0"/>
    <w:rsid w:val="002116E7"/>
    <w:rsid w:val="002116EA"/>
    <w:rsid w:val="0021173D"/>
    <w:rsid w:val="00211746"/>
    <w:rsid w:val="0021178A"/>
    <w:rsid w:val="002117A2"/>
    <w:rsid w:val="002117AA"/>
    <w:rsid w:val="002117ED"/>
    <w:rsid w:val="002117F8"/>
    <w:rsid w:val="0021181C"/>
    <w:rsid w:val="0021182A"/>
    <w:rsid w:val="00211866"/>
    <w:rsid w:val="00211886"/>
    <w:rsid w:val="0021189E"/>
    <w:rsid w:val="002118AB"/>
    <w:rsid w:val="002118E2"/>
    <w:rsid w:val="002118FE"/>
    <w:rsid w:val="0021195A"/>
    <w:rsid w:val="00211987"/>
    <w:rsid w:val="002119BA"/>
    <w:rsid w:val="002119C4"/>
    <w:rsid w:val="002119E1"/>
    <w:rsid w:val="002119F5"/>
    <w:rsid w:val="00211A39"/>
    <w:rsid w:val="00211A44"/>
    <w:rsid w:val="00211A61"/>
    <w:rsid w:val="00211A6A"/>
    <w:rsid w:val="00211ACA"/>
    <w:rsid w:val="00211AF2"/>
    <w:rsid w:val="00211B2C"/>
    <w:rsid w:val="00211B97"/>
    <w:rsid w:val="00211BCA"/>
    <w:rsid w:val="00211C2C"/>
    <w:rsid w:val="00211C3F"/>
    <w:rsid w:val="00211C81"/>
    <w:rsid w:val="00211C90"/>
    <w:rsid w:val="00211CA8"/>
    <w:rsid w:val="00211CEF"/>
    <w:rsid w:val="00211D16"/>
    <w:rsid w:val="00211D41"/>
    <w:rsid w:val="00211D4E"/>
    <w:rsid w:val="00211D93"/>
    <w:rsid w:val="00211E3F"/>
    <w:rsid w:val="00211E53"/>
    <w:rsid w:val="00211E66"/>
    <w:rsid w:val="00211EF2"/>
    <w:rsid w:val="00211F3F"/>
    <w:rsid w:val="00211F51"/>
    <w:rsid w:val="00211FA1"/>
    <w:rsid w:val="00211FB0"/>
    <w:rsid w:val="00211FC6"/>
    <w:rsid w:val="00211FD4"/>
    <w:rsid w:val="00212051"/>
    <w:rsid w:val="00212076"/>
    <w:rsid w:val="002120A3"/>
    <w:rsid w:val="002120B3"/>
    <w:rsid w:val="002120C3"/>
    <w:rsid w:val="00212102"/>
    <w:rsid w:val="00212169"/>
    <w:rsid w:val="0021221A"/>
    <w:rsid w:val="0021228A"/>
    <w:rsid w:val="002122C2"/>
    <w:rsid w:val="00212349"/>
    <w:rsid w:val="00212356"/>
    <w:rsid w:val="002123F8"/>
    <w:rsid w:val="00212414"/>
    <w:rsid w:val="00212445"/>
    <w:rsid w:val="00212476"/>
    <w:rsid w:val="002124B5"/>
    <w:rsid w:val="002124C4"/>
    <w:rsid w:val="0021253B"/>
    <w:rsid w:val="002125B3"/>
    <w:rsid w:val="002125EB"/>
    <w:rsid w:val="00212656"/>
    <w:rsid w:val="00212660"/>
    <w:rsid w:val="00212662"/>
    <w:rsid w:val="00212689"/>
    <w:rsid w:val="002126C1"/>
    <w:rsid w:val="002126CF"/>
    <w:rsid w:val="002127B5"/>
    <w:rsid w:val="002127D1"/>
    <w:rsid w:val="00212818"/>
    <w:rsid w:val="00212831"/>
    <w:rsid w:val="00212848"/>
    <w:rsid w:val="00212854"/>
    <w:rsid w:val="002128EC"/>
    <w:rsid w:val="00212901"/>
    <w:rsid w:val="00212907"/>
    <w:rsid w:val="00212928"/>
    <w:rsid w:val="00212966"/>
    <w:rsid w:val="002129E3"/>
    <w:rsid w:val="002129ED"/>
    <w:rsid w:val="00212A20"/>
    <w:rsid w:val="00212A33"/>
    <w:rsid w:val="00212A8C"/>
    <w:rsid w:val="00212B36"/>
    <w:rsid w:val="00212B60"/>
    <w:rsid w:val="00212B62"/>
    <w:rsid w:val="00212B78"/>
    <w:rsid w:val="00212BEE"/>
    <w:rsid w:val="00212C1C"/>
    <w:rsid w:val="00212CD7"/>
    <w:rsid w:val="00212CD8"/>
    <w:rsid w:val="00212D50"/>
    <w:rsid w:val="00212D57"/>
    <w:rsid w:val="00212D63"/>
    <w:rsid w:val="00212E5D"/>
    <w:rsid w:val="00212E71"/>
    <w:rsid w:val="00212EC8"/>
    <w:rsid w:val="00212ECC"/>
    <w:rsid w:val="00212EE5"/>
    <w:rsid w:val="00212EF9"/>
    <w:rsid w:val="00212F24"/>
    <w:rsid w:val="00212FE0"/>
    <w:rsid w:val="00213074"/>
    <w:rsid w:val="0021309A"/>
    <w:rsid w:val="0021309C"/>
    <w:rsid w:val="002130DA"/>
    <w:rsid w:val="00213100"/>
    <w:rsid w:val="0021311C"/>
    <w:rsid w:val="00213140"/>
    <w:rsid w:val="00213189"/>
    <w:rsid w:val="002132CE"/>
    <w:rsid w:val="002132D7"/>
    <w:rsid w:val="00213329"/>
    <w:rsid w:val="0021332B"/>
    <w:rsid w:val="002133A1"/>
    <w:rsid w:val="002133DC"/>
    <w:rsid w:val="0021345A"/>
    <w:rsid w:val="0021349C"/>
    <w:rsid w:val="002134DA"/>
    <w:rsid w:val="002134EA"/>
    <w:rsid w:val="00213509"/>
    <w:rsid w:val="002135FA"/>
    <w:rsid w:val="00213603"/>
    <w:rsid w:val="0021360A"/>
    <w:rsid w:val="00213628"/>
    <w:rsid w:val="0021364F"/>
    <w:rsid w:val="00213659"/>
    <w:rsid w:val="00213673"/>
    <w:rsid w:val="002136D5"/>
    <w:rsid w:val="002136DC"/>
    <w:rsid w:val="002136EE"/>
    <w:rsid w:val="002136FC"/>
    <w:rsid w:val="0021371C"/>
    <w:rsid w:val="0021374F"/>
    <w:rsid w:val="00213781"/>
    <w:rsid w:val="002137B3"/>
    <w:rsid w:val="002137CD"/>
    <w:rsid w:val="002137CF"/>
    <w:rsid w:val="002137D6"/>
    <w:rsid w:val="002138F3"/>
    <w:rsid w:val="0021391F"/>
    <w:rsid w:val="0021399E"/>
    <w:rsid w:val="002139A7"/>
    <w:rsid w:val="00213A09"/>
    <w:rsid w:val="00213A45"/>
    <w:rsid w:val="00213A8F"/>
    <w:rsid w:val="00213AAB"/>
    <w:rsid w:val="00213AAE"/>
    <w:rsid w:val="00213B05"/>
    <w:rsid w:val="00213B37"/>
    <w:rsid w:val="00213B3B"/>
    <w:rsid w:val="00213B3E"/>
    <w:rsid w:val="00213B44"/>
    <w:rsid w:val="00213B72"/>
    <w:rsid w:val="00213C73"/>
    <w:rsid w:val="00213CB3"/>
    <w:rsid w:val="00213CCE"/>
    <w:rsid w:val="00213CF2"/>
    <w:rsid w:val="00213D2D"/>
    <w:rsid w:val="00213DE4"/>
    <w:rsid w:val="00213E40"/>
    <w:rsid w:val="00213F28"/>
    <w:rsid w:val="00213F37"/>
    <w:rsid w:val="00213F53"/>
    <w:rsid w:val="00213FA8"/>
    <w:rsid w:val="00214039"/>
    <w:rsid w:val="00214041"/>
    <w:rsid w:val="0021404D"/>
    <w:rsid w:val="00214061"/>
    <w:rsid w:val="0021406D"/>
    <w:rsid w:val="0021417B"/>
    <w:rsid w:val="0021417D"/>
    <w:rsid w:val="002141AA"/>
    <w:rsid w:val="002141B2"/>
    <w:rsid w:val="0021422E"/>
    <w:rsid w:val="00214230"/>
    <w:rsid w:val="00214260"/>
    <w:rsid w:val="00214271"/>
    <w:rsid w:val="0021429D"/>
    <w:rsid w:val="002142CD"/>
    <w:rsid w:val="002142E0"/>
    <w:rsid w:val="0021439F"/>
    <w:rsid w:val="002143A5"/>
    <w:rsid w:val="002143AF"/>
    <w:rsid w:val="002143FA"/>
    <w:rsid w:val="00214403"/>
    <w:rsid w:val="002144AD"/>
    <w:rsid w:val="00214524"/>
    <w:rsid w:val="0021456E"/>
    <w:rsid w:val="00214591"/>
    <w:rsid w:val="002145DF"/>
    <w:rsid w:val="00214628"/>
    <w:rsid w:val="00214714"/>
    <w:rsid w:val="0021472D"/>
    <w:rsid w:val="0021472F"/>
    <w:rsid w:val="00214732"/>
    <w:rsid w:val="00214762"/>
    <w:rsid w:val="00214786"/>
    <w:rsid w:val="002147B8"/>
    <w:rsid w:val="002147D2"/>
    <w:rsid w:val="00214825"/>
    <w:rsid w:val="0021484E"/>
    <w:rsid w:val="0021486F"/>
    <w:rsid w:val="002148BF"/>
    <w:rsid w:val="00214941"/>
    <w:rsid w:val="002149A7"/>
    <w:rsid w:val="00214A05"/>
    <w:rsid w:val="00214A38"/>
    <w:rsid w:val="00214A70"/>
    <w:rsid w:val="00214AAD"/>
    <w:rsid w:val="00214AD4"/>
    <w:rsid w:val="00214B6A"/>
    <w:rsid w:val="00214BB8"/>
    <w:rsid w:val="00214C17"/>
    <w:rsid w:val="00214C50"/>
    <w:rsid w:val="00214C7E"/>
    <w:rsid w:val="00214C80"/>
    <w:rsid w:val="00214C9F"/>
    <w:rsid w:val="00214CCC"/>
    <w:rsid w:val="00214CE8"/>
    <w:rsid w:val="00214CF0"/>
    <w:rsid w:val="00214D01"/>
    <w:rsid w:val="00214D07"/>
    <w:rsid w:val="00214D21"/>
    <w:rsid w:val="00214D36"/>
    <w:rsid w:val="00214D3B"/>
    <w:rsid w:val="00214DC3"/>
    <w:rsid w:val="00214DC6"/>
    <w:rsid w:val="00214E13"/>
    <w:rsid w:val="00214E89"/>
    <w:rsid w:val="00214EAD"/>
    <w:rsid w:val="00214EC4"/>
    <w:rsid w:val="00214EFE"/>
    <w:rsid w:val="00214F02"/>
    <w:rsid w:val="00214F23"/>
    <w:rsid w:val="00214F9F"/>
    <w:rsid w:val="00214FC1"/>
    <w:rsid w:val="00214FE6"/>
    <w:rsid w:val="00215028"/>
    <w:rsid w:val="00215040"/>
    <w:rsid w:val="00215054"/>
    <w:rsid w:val="0021508D"/>
    <w:rsid w:val="00215091"/>
    <w:rsid w:val="0021509F"/>
    <w:rsid w:val="002150C4"/>
    <w:rsid w:val="002150E0"/>
    <w:rsid w:val="00215166"/>
    <w:rsid w:val="002151C1"/>
    <w:rsid w:val="002151DF"/>
    <w:rsid w:val="00215217"/>
    <w:rsid w:val="002152FE"/>
    <w:rsid w:val="0021535E"/>
    <w:rsid w:val="00215388"/>
    <w:rsid w:val="00215427"/>
    <w:rsid w:val="0021545F"/>
    <w:rsid w:val="0021547E"/>
    <w:rsid w:val="002154A6"/>
    <w:rsid w:val="00215501"/>
    <w:rsid w:val="0021554D"/>
    <w:rsid w:val="00215595"/>
    <w:rsid w:val="002155E4"/>
    <w:rsid w:val="0021562F"/>
    <w:rsid w:val="00215632"/>
    <w:rsid w:val="0021563A"/>
    <w:rsid w:val="0021568C"/>
    <w:rsid w:val="0021568E"/>
    <w:rsid w:val="002156D5"/>
    <w:rsid w:val="002156E5"/>
    <w:rsid w:val="002156F2"/>
    <w:rsid w:val="0021570D"/>
    <w:rsid w:val="0021571C"/>
    <w:rsid w:val="00215731"/>
    <w:rsid w:val="00215760"/>
    <w:rsid w:val="0021577B"/>
    <w:rsid w:val="00215795"/>
    <w:rsid w:val="002157C6"/>
    <w:rsid w:val="002157FA"/>
    <w:rsid w:val="0021585E"/>
    <w:rsid w:val="00215943"/>
    <w:rsid w:val="00215998"/>
    <w:rsid w:val="002159A9"/>
    <w:rsid w:val="00215A0C"/>
    <w:rsid w:val="00215A40"/>
    <w:rsid w:val="00215A6E"/>
    <w:rsid w:val="00215B37"/>
    <w:rsid w:val="00215BB1"/>
    <w:rsid w:val="00215BCD"/>
    <w:rsid w:val="00215C0D"/>
    <w:rsid w:val="00215C14"/>
    <w:rsid w:val="00215C5F"/>
    <w:rsid w:val="00215C6C"/>
    <w:rsid w:val="00215CAF"/>
    <w:rsid w:val="00215CBE"/>
    <w:rsid w:val="00215CCF"/>
    <w:rsid w:val="00215D23"/>
    <w:rsid w:val="00215D28"/>
    <w:rsid w:val="00215D5E"/>
    <w:rsid w:val="00215D82"/>
    <w:rsid w:val="00215DBE"/>
    <w:rsid w:val="00215E23"/>
    <w:rsid w:val="00215E4A"/>
    <w:rsid w:val="00215E96"/>
    <w:rsid w:val="00215E99"/>
    <w:rsid w:val="00215EF0"/>
    <w:rsid w:val="00215F5A"/>
    <w:rsid w:val="00215F78"/>
    <w:rsid w:val="00215FB9"/>
    <w:rsid w:val="00215FF9"/>
    <w:rsid w:val="00216083"/>
    <w:rsid w:val="00216092"/>
    <w:rsid w:val="00216093"/>
    <w:rsid w:val="002160DB"/>
    <w:rsid w:val="00216123"/>
    <w:rsid w:val="00216202"/>
    <w:rsid w:val="0021624F"/>
    <w:rsid w:val="002162E3"/>
    <w:rsid w:val="00216316"/>
    <w:rsid w:val="0021633A"/>
    <w:rsid w:val="0021633D"/>
    <w:rsid w:val="002163C0"/>
    <w:rsid w:val="00216414"/>
    <w:rsid w:val="00216431"/>
    <w:rsid w:val="0021644B"/>
    <w:rsid w:val="00216494"/>
    <w:rsid w:val="002164B2"/>
    <w:rsid w:val="002164BE"/>
    <w:rsid w:val="002164DB"/>
    <w:rsid w:val="002164E0"/>
    <w:rsid w:val="0021655A"/>
    <w:rsid w:val="00216578"/>
    <w:rsid w:val="002165A8"/>
    <w:rsid w:val="002165A9"/>
    <w:rsid w:val="002165AD"/>
    <w:rsid w:val="00216628"/>
    <w:rsid w:val="00216649"/>
    <w:rsid w:val="0021667F"/>
    <w:rsid w:val="002166EE"/>
    <w:rsid w:val="00216707"/>
    <w:rsid w:val="00216750"/>
    <w:rsid w:val="00216771"/>
    <w:rsid w:val="002167CC"/>
    <w:rsid w:val="002167CE"/>
    <w:rsid w:val="002167EF"/>
    <w:rsid w:val="002167F0"/>
    <w:rsid w:val="002167FD"/>
    <w:rsid w:val="0021683B"/>
    <w:rsid w:val="00216854"/>
    <w:rsid w:val="002168A4"/>
    <w:rsid w:val="002168B3"/>
    <w:rsid w:val="002168BC"/>
    <w:rsid w:val="002168C5"/>
    <w:rsid w:val="002168D1"/>
    <w:rsid w:val="0021690B"/>
    <w:rsid w:val="00216A04"/>
    <w:rsid w:val="00216A3D"/>
    <w:rsid w:val="00216A5B"/>
    <w:rsid w:val="00216A80"/>
    <w:rsid w:val="00216AA8"/>
    <w:rsid w:val="00216AC3"/>
    <w:rsid w:val="00216AF8"/>
    <w:rsid w:val="00216B07"/>
    <w:rsid w:val="00216B37"/>
    <w:rsid w:val="00216B4A"/>
    <w:rsid w:val="00216B74"/>
    <w:rsid w:val="00216BFC"/>
    <w:rsid w:val="00216C06"/>
    <w:rsid w:val="00216C57"/>
    <w:rsid w:val="00216C90"/>
    <w:rsid w:val="00216CC4"/>
    <w:rsid w:val="00216D0A"/>
    <w:rsid w:val="00216D57"/>
    <w:rsid w:val="00216D9D"/>
    <w:rsid w:val="00216DB9"/>
    <w:rsid w:val="00216DE2"/>
    <w:rsid w:val="00216DF5"/>
    <w:rsid w:val="00216E49"/>
    <w:rsid w:val="00216E4C"/>
    <w:rsid w:val="00216E68"/>
    <w:rsid w:val="00216E9B"/>
    <w:rsid w:val="00216EA3"/>
    <w:rsid w:val="00216F9E"/>
    <w:rsid w:val="00217091"/>
    <w:rsid w:val="002170E3"/>
    <w:rsid w:val="0021712B"/>
    <w:rsid w:val="002171D3"/>
    <w:rsid w:val="002171E7"/>
    <w:rsid w:val="00217204"/>
    <w:rsid w:val="0021726E"/>
    <w:rsid w:val="002172AE"/>
    <w:rsid w:val="002172B0"/>
    <w:rsid w:val="002172C4"/>
    <w:rsid w:val="002172EC"/>
    <w:rsid w:val="00217354"/>
    <w:rsid w:val="00217377"/>
    <w:rsid w:val="0021737D"/>
    <w:rsid w:val="002173D9"/>
    <w:rsid w:val="002173E7"/>
    <w:rsid w:val="00217418"/>
    <w:rsid w:val="00217426"/>
    <w:rsid w:val="00217455"/>
    <w:rsid w:val="0021745E"/>
    <w:rsid w:val="00217466"/>
    <w:rsid w:val="00217477"/>
    <w:rsid w:val="002174B1"/>
    <w:rsid w:val="002174B2"/>
    <w:rsid w:val="002174F3"/>
    <w:rsid w:val="002174FE"/>
    <w:rsid w:val="00217527"/>
    <w:rsid w:val="0021752A"/>
    <w:rsid w:val="0021754E"/>
    <w:rsid w:val="00217587"/>
    <w:rsid w:val="00217619"/>
    <w:rsid w:val="00217647"/>
    <w:rsid w:val="00217653"/>
    <w:rsid w:val="002176D7"/>
    <w:rsid w:val="00217750"/>
    <w:rsid w:val="00217775"/>
    <w:rsid w:val="002177C4"/>
    <w:rsid w:val="0021781F"/>
    <w:rsid w:val="00217928"/>
    <w:rsid w:val="00217958"/>
    <w:rsid w:val="00217971"/>
    <w:rsid w:val="002179DB"/>
    <w:rsid w:val="002179DF"/>
    <w:rsid w:val="00217A04"/>
    <w:rsid w:val="00217A51"/>
    <w:rsid w:val="00217AAA"/>
    <w:rsid w:val="00217AFD"/>
    <w:rsid w:val="00217BBD"/>
    <w:rsid w:val="00217BCD"/>
    <w:rsid w:val="00217C49"/>
    <w:rsid w:val="00217C65"/>
    <w:rsid w:val="00217CE6"/>
    <w:rsid w:val="00217CEB"/>
    <w:rsid w:val="00217D1A"/>
    <w:rsid w:val="00217D63"/>
    <w:rsid w:val="00217DE0"/>
    <w:rsid w:val="00217E3B"/>
    <w:rsid w:val="00217E56"/>
    <w:rsid w:val="00217EDB"/>
    <w:rsid w:val="00217EE9"/>
    <w:rsid w:val="00217EF7"/>
    <w:rsid w:val="00217F18"/>
    <w:rsid w:val="00217F27"/>
    <w:rsid w:val="00217F35"/>
    <w:rsid w:val="00217F9E"/>
    <w:rsid w:val="00217FB6"/>
    <w:rsid w:val="00217FD6"/>
    <w:rsid w:val="0022003D"/>
    <w:rsid w:val="002200D4"/>
    <w:rsid w:val="002200DF"/>
    <w:rsid w:val="00220102"/>
    <w:rsid w:val="0022012C"/>
    <w:rsid w:val="00220168"/>
    <w:rsid w:val="00220197"/>
    <w:rsid w:val="002201A5"/>
    <w:rsid w:val="002201C0"/>
    <w:rsid w:val="002201D9"/>
    <w:rsid w:val="0022022A"/>
    <w:rsid w:val="002202E4"/>
    <w:rsid w:val="002202EF"/>
    <w:rsid w:val="00220314"/>
    <w:rsid w:val="0022036B"/>
    <w:rsid w:val="0022036D"/>
    <w:rsid w:val="00220395"/>
    <w:rsid w:val="0022039F"/>
    <w:rsid w:val="002203B4"/>
    <w:rsid w:val="002203B9"/>
    <w:rsid w:val="00220473"/>
    <w:rsid w:val="002204E0"/>
    <w:rsid w:val="00220538"/>
    <w:rsid w:val="0022059C"/>
    <w:rsid w:val="0022061B"/>
    <w:rsid w:val="0022068B"/>
    <w:rsid w:val="0022068C"/>
    <w:rsid w:val="002206A3"/>
    <w:rsid w:val="002206DB"/>
    <w:rsid w:val="002206E8"/>
    <w:rsid w:val="00220708"/>
    <w:rsid w:val="00220770"/>
    <w:rsid w:val="002207B3"/>
    <w:rsid w:val="002207D4"/>
    <w:rsid w:val="002207DE"/>
    <w:rsid w:val="00220850"/>
    <w:rsid w:val="002208AC"/>
    <w:rsid w:val="002208B7"/>
    <w:rsid w:val="002208BC"/>
    <w:rsid w:val="002208D7"/>
    <w:rsid w:val="002208D9"/>
    <w:rsid w:val="00220916"/>
    <w:rsid w:val="0022091E"/>
    <w:rsid w:val="002209D2"/>
    <w:rsid w:val="002209E0"/>
    <w:rsid w:val="00220A01"/>
    <w:rsid w:val="00220A41"/>
    <w:rsid w:val="00220A99"/>
    <w:rsid w:val="00220AD9"/>
    <w:rsid w:val="00220B4D"/>
    <w:rsid w:val="00220B76"/>
    <w:rsid w:val="00220B82"/>
    <w:rsid w:val="00220B8B"/>
    <w:rsid w:val="00220BCA"/>
    <w:rsid w:val="00220BDD"/>
    <w:rsid w:val="00220C0D"/>
    <w:rsid w:val="00220CAE"/>
    <w:rsid w:val="00220D42"/>
    <w:rsid w:val="00220E2E"/>
    <w:rsid w:val="00220E4D"/>
    <w:rsid w:val="00220E96"/>
    <w:rsid w:val="00220EA3"/>
    <w:rsid w:val="00220EE4"/>
    <w:rsid w:val="00220EF1"/>
    <w:rsid w:val="00220EFA"/>
    <w:rsid w:val="00220F1C"/>
    <w:rsid w:val="00220F21"/>
    <w:rsid w:val="00220F3D"/>
    <w:rsid w:val="00221008"/>
    <w:rsid w:val="0022101A"/>
    <w:rsid w:val="0022109A"/>
    <w:rsid w:val="002210B0"/>
    <w:rsid w:val="002210E3"/>
    <w:rsid w:val="002210E5"/>
    <w:rsid w:val="002210E9"/>
    <w:rsid w:val="00221125"/>
    <w:rsid w:val="00221196"/>
    <w:rsid w:val="002211CA"/>
    <w:rsid w:val="002211CE"/>
    <w:rsid w:val="002211F0"/>
    <w:rsid w:val="00221271"/>
    <w:rsid w:val="002212A1"/>
    <w:rsid w:val="002212D1"/>
    <w:rsid w:val="002212F9"/>
    <w:rsid w:val="0022134E"/>
    <w:rsid w:val="00221366"/>
    <w:rsid w:val="00221394"/>
    <w:rsid w:val="002213C8"/>
    <w:rsid w:val="0022142D"/>
    <w:rsid w:val="00221478"/>
    <w:rsid w:val="00221517"/>
    <w:rsid w:val="00221524"/>
    <w:rsid w:val="0022152B"/>
    <w:rsid w:val="00221547"/>
    <w:rsid w:val="00221597"/>
    <w:rsid w:val="002215A8"/>
    <w:rsid w:val="00221671"/>
    <w:rsid w:val="002216AB"/>
    <w:rsid w:val="002216DA"/>
    <w:rsid w:val="00221728"/>
    <w:rsid w:val="00221730"/>
    <w:rsid w:val="002217E2"/>
    <w:rsid w:val="002217FA"/>
    <w:rsid w:val="00221809"/>
    <w:rsid w:val="0022187B"/>
    <w:rsid w:val="0022189F"/>
    <w:rsid w:val="002218DD"/>
    <w:rsid w:val="00221911"/>
    <w:rsid w:val="0022195F"/>
    <w:rsid w:val="002219B2"/>
    <w:rsid w:val="002219F4"/>
    <w:rsid w:val="002219F8"/>
    <w:rsid w:val="00221A0E"/>
    <w:rsid w:val="00221A14"/>
    <w:rsid w:val="00221A2E"/>
    <w:rsid w:val="00221A79"/>
    <w:rsid w:val="00221ACF"/>
    <w:rsid w:val="00221AD6"/>
    <w:rsid w:val="00221B26"/>
    <w:rsid w:val="00221B70"/>
    <w:rsid w:val="00221BA3"/>
    <w:rsid w:val="00221BED"/>
    <w:rsid w:val="00221C6D"/>
    <w:rsid w:val="00221C84"/>
    <w:rsid w:val="00221C98"/>
    <w:rsid w:val="00221CEF"/>
    <w:rsid w:val="00221CF1"/>
    <w:rsid w:val="00221D0A"/>
    <w:rsid w:val="00221D24"/>
    <w:rsid w:val="00221D3C"/>
    <w:rsid w:val="00221E94"/>
    <w:rsid w:val="00221EC9"/>
    <w:rsid w:val="00221ED0"/>
    <w:rsid w:val="00221F31"/>
    <w:rsid w:val="00221F4D"/>
    <w:rsid w:val="00221FA3"/>
    <w:rsid w:val="00221FBF"/>
    <w:rsid w:val="00221FFD"/>
    <w:rsid w:val="0022200B"/>
    <w:rsid w:val="00222031"/>
    <w:rsid w:val="002220C9"/>
    <w:rsid w:val="002220DF"/>
    <w:rsid w:val="00222127"/>
    <w:rsid w:val="00222130"/>
    <w:rsid w:val="00222181"/>
    <w:rsid w:val="0022219F"/>
    <w:rsid w:val="002221B7"/>
    <w:rsid w:val="00222211"/>
    <w:rsid w:val="00222223"/>
    <w:rsid w:val="00222227"/>
    <w:rsid w:val="00222269"/>
    <w:rsid w:val="00222284"/>
    <w:rsid w:val="00222287"/>
    <w:rsid w:val="00222290"/>
    <w:rsid w:val="002222A8"/>
    <w:rsid w:val="002222CB"/>
    <w:rsid w:val="002222F4"/>
    <w:rsid w:val="00222327"/>
    <w:rsid w:val="00222350"/>
    <w:rsid w:val="002223DF"/>
    <w:rsid w:val="00222460"/>
    <w:rsid w:val="00222507"/>
    <w:rsid w:val="0022250C"/>
    <w:rsid w:val="002225AF"/>
    <w:rsid w:val="0022264A"/>
    <w:rsid w:val="00222678"/>
    <w:rsid w:val="002226E1"/>
    <w:rsid w:val="0022271F"/>
    <w:rsid w:val="002227AE"/>
    <w:rsid w:val="002227C9"/>
    <w:rsid w:val="002227EC"/>
    <w:rsid w:val="00222822"/>
    <w:rsid w:val="00222914"/>
    <w:rsid w:val="0022293C"/>
    <w:rsid w:val="0022295E"/>
    <w:rsid w:val="0022297D"/>
    <w:rsid w:val="002229E1"/>
    <w:rsid w:val="00222A4C"/>
    <w:rsid w:val="00222AC9"/>
    <w:rsid w:val="00222AD8"/>
    <w:rsid w:val="00222B32"/>
    <w:rsid w:val="00222B53"/>
    <w:rsid w:val="00222B90"/>
    <w:rsid w:val="00222BBB"/>
    <w:rsid w:val="00222C00"/>
    <w:rsid w:val="00222C56"/>
    <w:rsid w:val="00222C70"/>
    <w:rsid w:val="00222CBE"/>
    <w:rsid w:val="00222CC1"/>
    <w:rsid w:val="00222D0C"/>
    <w:rsid w:val="00222D90"/>
    <w:rsid w:val="00222F39"/>
    <w:rsid w:val="00222F72"/>
    <w:rsid w:val="00222F74"/>
    <w:rsid w:val="00222F96"/>
    <w:rsid w:val="00222FC8"/>
    <w:rsid w:val="00222FCE"/>
    <w:rsid w:val="0022300B"/>
    <w:rsid w:val="0022303A"/>
    <w:rsid w:val="002230EE"/>
    <w:rsid w:val="0022311A"/>
    <w:rsid w:val="00223195"/>
    <w:rsid w:val="002231B4"/>
    <w:rsid w:val="002231FE"/>
    <w:rsid w:val="00223202"/>
    <w:rsid w:val="00223221"/>
    <w:rsid w:val="0022324E"/>
    <w:rsid w:val="00223255"/>
    <w:rsid w:val="002232BE"/>
    <w:rsid w:val="002232D6"/>
    <w:rsid w:val="0022336E"/>
    <w:rsid w:val="002233D9"/>
    <w:rsid w:val="002233EE"/>
    <w:rsid w:val="00223405"/>
    <w:rsid w:val="00223416"/>
    <w:rsid w:val="0022342B"/>
    <w:rsid w:val="002234A2"/>
    <w:rsid w:val="002234BA"/>
    <w:rsid w:val="002234C8"/>
    <w:rsid w:val="002234CD"/>
    <w:rsid w:val="002234CF"/>
    <w:rsid w:val="00223525"/>
    <w:rsid w:val="00223559"/>
    <w:rsid w:val="0022357C"/>
    <w:rsid w:val="0022358B"/>
    <w:rsid w:val="00223615"/>
    <w:rsid w:val="002236A3"/>
    <w:rsid w:val="002236B2"/>
    <w:rsid w:val="002236E1"/>
    <w:rsid w:val="002236FF"/>
    <w:rsid w:val="002237BF"/>
    <w:rsid w:val="00223805"/>
    <w:rsid w:val="00223816"/>
    <w:rsid w:val="002238C7"/>
    <w:rsid w:val="0022394F"/>
    <w:rsid w:val="00223A54"/>
    <w:rsid w:val="00223AB9"/>
    <w:rsid w:val="00223AF7"/>
    <w:rsid w:val="00223B06"/>
    <w:rsid w:val="00223B36"/>
    <w:rsid w:val="00223B4D"/>
    <w:rsid w:val="00223B58"/>
    <w:rsid w:val="00223C0C"/>
    <w:rsid w:val="00223C1E"/>
    <w:rsid w:val="00223C4D"/>
    <w:rsid w:val="00223C69"/>
    <w:rsid w:val="00223DBB"/>
    <w:rsid w:val="00223E00"/>
    <w:rsid w:val="00223F16"/>
    <w:rsid w:val="00223FB5"/>
    <w:rsid w:val="00223FBB"/>
    <w:rsid w:val="0022407B"/>
    <w:rsid w:val="002240B9"/>
    <w:rsid w:val="002240F3"/>
    <w:rsid w:val="00224134"/>
    <w:rsid w:val="0022415A"/>
    <w:rsid w:val="00224213"/>
    <w:rsid w:val="00224246"/>
    <w:rsid w:val="00224278"/>
    <w:rsid w:val="00224281"/>
    <w:rsid w:val="0022430D"/>
    <w:rsid w:val="0022435B"/>
    <w:rsid w:val="0022435D"/>
    <w:rsid w:val="00224360"/>
    <w:rsid w:val="00224375"/>
    <w:rsid w:val="0022439F"/>
    <w:rsid w:val="002243CF"/>
    <w:rsid w:val="002243F4"/>
    <w:rsid w:val="002243F5"/>
    <w:rsid w:val="00224445"/>
    <w:rsid w:val="00224506"/>
    <w:rsid w:val="002245C4"/>
    <w:rsid w:val="002245F6"/>
    <w:rsid w:val="002245FD"/>
    <w:rsid w:val="00224614"/>
    <w:rsid w:val="00224654"/>
    <w:rsid w:val="002246EF"/>
    <w:rsid w:val="00224708"/>
    <w:rsid w:val="00224764"/>
    <w:rsid w:val="0022478E"/>
    <w:rsid w:val="002247C9"/>
    <w:rsid w:val="00224843"/>
    <w:rsid w:val="00224856"/>
    <w:rsid w:val="00224872"/>
    <w:rsid w:val="0022487E"/>
    <w:rsid w:val="0022488F"/>
    <w:rsid w:val="002248F9"/>
    <w:rsid w:val="00224960"/>
    <w:rsid w:val="00224964"/>
    <w:rsid w:val="00224966"/>
    <w:rsid w:val="00224977"/>
    <w:rsid w:val="002249AF"/>
    <w:rsid w:val="002249BB"/>
    <w:rsid w:val="002249E4"/>
    <w:rsid w:val="00224A60"/>
    <w:rsid w:val="00224A63"/>
    <w:rsid w:val="00224A74"/>
    <w:rsid w:val="00224A7C"/>
    <w:rsid w:val="00224AEB"/>
    <w:rsid w:val="00224B08"/>
    <w:rsid w:val="00224B1A"/>
    <w:rsid w:val="00224B5F"/>
    <w:rsid w:val="00224BC4"/>
    <w:rsid w:val="00224BED"/>
    <w:rsid w:val="00224C0B"/>
    <w:rsid w:val="00224C4A"/>
    <w:rsid w:val="00224C50"/>
    <w:rsid w:val="00224CB3"/>
    <w:rsid w:val="00224D01"/>
    <w:rsid w:val="00224D2E"/>
    <w:rsid w:val="00224D67"/>
    <w:rsid w:val="00224DB5"/>
    <w:rsid w:val="00224DC9"/>
    <w:rsid w:val="00224DDB"/>
    <w:rsid w:val="00224DEF"/>
    <w:rsid w:val="00224E31"/>
    <w:rsid w:val="00224E34"/>
    <w:rsid w:val="00224EAA"/>
    <w:rsid w:val="00224EEB"/>
    <w:rsid w:val="00224F19"/>
    <w:rsid w:val="00224FD4"/>
    <w:rsid w:val="00224FF8"/>
    <w:rsid w:val="0022501D"/>
    <w:rsid w:val="00225096"/>
    <w:rsid w:val="00225187"/>
    <w:rsid w:val="002251C2"/>
    <w:rsid w:val="002251CC"/>
    <w:rsid w:val="002251F7"/>
    <w:rsid w:val="002251FF"/>
    <w:rsid w:val="00225228"/>
    <w:rsid w:val="00225269"/>
    <w:rsid w:val="00225297"/>
    <w:rsid w:val="0022529E"/>
    <w:rsid w:val="0022530B"/>
    <w:rsid w:val="00225325"/>
    <w:rsid w:val="00225347"/>
    <w:rsid w:val="00225351"/>
    <w:rsid w:val="0022537E"/>
    <w:rsid w:val="002253E4"/>
    <w:rsid w:val="00225447"/>
    <w:rsid w:val="0022546F"/>
    <w:rsid w:val="00225485"/>
    <w:rsid w:val="00225497"/>
    <w:rsid w:val="0022549D"/>
    <w:rsid w:val="002254B1"/>
    <w:rsid w:val="002254D7"/>
    <w:rsid w:val="0022554E"/>
    <w:rsid w:val="0022556B"/>
    <w:rsid w:val="002255B6"/>
    <w:rsid w:val="00225600"/>
    <w:rsid w:val="0022561E"/>
    <w:rsid w:val="00225638"/>
    <w:rsid w:val="00225656"/>
    <w:rsid w:val="0022566A"/>
    <w:rsid w:val="0022566F"/>
    <w:rsid w:val="00225671"/>
    <w:rsid w:val="00225695"/>
    <w:rsid w:val="002256DE"/>
    <w:rsid w:val="002256DF"/>
    <w:rsid w:val="00225739"/>
    <w:rsid w:val="00225765"/>
    <w:rsid w:val="0022579C"/>
    <w:rsid w:val="002257B4"/>
    <w:rsid w:val="002257CC"/>
    <w:rsid w:val="002258A9"/>
    <w:rsid w:val="002258D8"/>
    <w:rsid w:val="002258E2"/>
    <w:rsid w:val="0022591E"/>
    <w:rsid w:val="0022592F"/>
    <w:rsid w:val="0022593E"/>
    <w:rsid w:val="00225969"/>
    <w:rsid w:val="00225993"/>
    <w:rsid w:val="002259FE"/>
    <w:rsid w:val="00225A3E"/>
    <w:rsid w:val="00225A87"/>
    <w:rsid w:val="00225ABB"/>
    <w:rsid w:val="00225AEC"/>
    <w:rsid w:val="00225B1C"/>
    <w:rsid w:val="00225B9A"/>
    <w:rsid w:val="00225BD6"/>
    <w:rsid w:val="00225BDC"/>
    <w:rsid w:val="00225BEA"/>
    <w:rsid w:val="00225C18"/>
    <w:rsid w:val="00225C22"/>
    <w:rsid w:val="00225C3B"/>
    <w:rsid w:val="00225C4C"/>
    <w:rsid w:val="00225C5A"/>
    <w:rsid w:val="00225CBF"/>
    <w:rsid w:val="00225CFB"/>
    <w:rsid w:val="00225D22"/>
    <w:rsid w:val="00225D51"/>
    <w:rsid w:val="00225D5A"/>
    <w:rsid w:val="00225D94"/>
    <w:rsid w:val="00225DCE"/>
    <w:rsid w:val="00225EDB"/>
    <w:rsid w:val="00225F6E"/>
    <w:rsid w:val="00225FB3"/>
    <w:rsid w:val="00225FDA"/>
    <w:rsid w:val="00226022"/>
    <w:rsid w:val="0022602F"/>
    <w:rsid w:val="0022605D"/>
    <w:rsid w:val="002260B7"/>
    <w:rsid w:val="002260CE"/>
    <w:rsid w:val="002260D4"/>
    <w:rsid w:val="002260DD"/>
    <w:rsid w:val="00226248"/>
    <w:rsid w:val="00226291"/>
    <w:rsid w:val="002262C9"/>
    <w:rsid w:val="00226305"/>
    <w:rsid w:val="0022631A"/>
    <w:rsid w:val="002263AF"/>
    <w:rsid w:val="00226407"/>
    <w:rsid w:val="00226436"/>
    <w:rsid w:val="00226446"/>
    <w:rsid w:val="00226449"/>
    <w:rsid w:val="0022645D"/>
    <w:rsid w:val="002264A4"/>
    <w:rsid w:val="00226546"/>
    <w:rsid w:val="0022656A"/>
    <w:rsid w:val="00226589"/>
    <w:rsid w:val="0022665D"/>
    <w:rsid w:val="0022666A"/>
    <w:rsid w:val="0022669E"/>
    <w:rsid w:val="002266CA"/>
    <w:rsid w:val="0022670A"/>
    <w:rsid w:val="00226717"/>
    <w:rsid w:val="0022677B"/>
    <w:rsid w:val="002267C1"/>
    <w:rsid w:val="002267F6"/>
    <w:rsid w:val="00226843"/>
    <w:rsid w:val="0022688D"/>
    <w:rsid w:val="002268BD"/>
    <w:rsid w:val="0022690A"/>
    <w:rsid w:val="00226954"/>
    <w:rsid w:val="00226972"/>
    <w:rsid w:val="002269F3"/>
    <w:rsid w:val="002269FD"/>
    <w:rsid w:val="00226A5D"/>
    <w:rsid w:val="00226A96"/>
    <w:rsid w:val="00226AA0"/>
    <w:rsid w:val="00226AA7"/>
    <w:rsid w:val="00226AC0"/>
    <w:rsid w:val="00226B6E"/>
    <w:rsid w:val="00226B7C"/>
    <w:rsid w:val="00226BB2"/>
    <w:rsid w:val="00226BBA"/>
    <w:rsid w:val="00226BF0"/>
    <w:rsid w:val="00226C5A"/>
    <w:rsid w:val="00226C87"/>
    <w:rsid w:val="00226C8A"/>
    <w:rsid w:val="00226CEB"/>
    <w:rsid w:val="00226D67"/>
    <w:rsid w:val="00226DA6"/>
    <w:rsid w:val="00226DE1"/>
    <w:rsid w:val="00226E8D"/>
    <w:rsid w:val="00226ECD"/>
    <w:rsid w:val="00226F35"/>
    <w:rsid w:val="00226F4B"/>
    <w:rsid w:val="00226F74"/>
    <w:rsid w:val="00226FFC"/>
    <w:rsid w:val="00227002"/>
    <w:rsid w:val="00227013"/>
    <w:rsid w:val="00227039"/>
    <w:rsid w:val="00227068"/>
    <w:rsid w:val="0022707B"/>
    <w:rsid w:val="0022711A"/>
    <w:rsid w:val="00227189"/>
    <w:rsid w:val="002271A3"/>
    <w:rsid w:val="002271AC"/>
    <w:rsid w:val="002271C0"/>
    <w:rsid w:val="002271D7"/>
    <w:rsid w:val="002271F1"/>
    <w:rsid w:val="002271FA"/>
    <w:rsid w:val="0022725B"/>
    <w:rsid w:val="00227274"/>
    <w:rsid w:val="002272BF"/>
    <w:rsid w:val="002272FF"/>
    <w:rsid w:val="00227332"/>
    <w:rsid w:val="002273C7"/>
    <w:rsid w:val="00227409"/>
    <w:rsid w:val="00227499"/>
    <w:rsid w:val="0022753C"/>
    <w:rsid w:val="00227649"/>
    <w:rsid w:val="002276B6"/>
    <w:rsid w:val="002276C3"/>
    <w:rsid w:val="002276FC"/>
    <w:rsid w:val="00227765"/>
    <w:rsid w:val="002277A5"/>
    <w:rsid w:val="002277AA"/>
    <w:rsid w:val="002277E5"/>
    <w:rsid w:val="002278D3"/>
    <w:rsid w:val="002278DB"/>
    <w:rsid w:val="002278F7"/>
    <w:rsid w:val="00227963"/>
    <w:rsid w:val="002279BC"/>
    <w:rsid w:val="002279F7"/>
    <w:rsid w:val="00227A16"/>
    <w:rsid w:val="00227A1A"/>
    <w:rsid w:val="00227A36"/>
    <w:rsid w:val="00227A69"/>
    <w:rsid w:val="00227A70"/>
    <w:rsid w:val="00227AB9"/>
    <w:rsid w:val="00227AD2"/>
    <w:rsid w:val="00227AE0"/>
    <w:rsid w:val="00227B0A"/>
    <w:rsid w:val="00227B5B"/>
    <w:rsid w:val="00227B91"/>
    <w:rsid w:val="00227C09"/>
    <w:rsid w:val="00227C2D"/>
    <w:rsid w:val="00227CC4"/>
    <w:rsid w:val="00227CCB"/>
    <w:rsid w:val="00227D72"/>
    <w:rsid w:val="00227E1B"/>
    <w:rsid w:val="00227E28"/>
    <w:rsid w:val="00227E97"/>
    <w:rsid w:val="00227ED3"/>
    <w:rsid w:val="00227EE4"/>
    <w:rsid w:val="00227F82"/>
    <w:rsid w:val="00227FC8"/>
    <w:rsid w:val="00230018"/>
    <w:rsid w:val="0023002E"/>
    <w:rsid w:val="00230037"/>
    <w:rsid w:val="0023003D"/>
    <w:rsid w:val="00230056"/>
    <w:rsid w:val="00230093"/>
    <w:rsid w:val="002300F3"/>
    <w:rsid w:val="0023010E"/>
    <w:rsid w:val="0023015C"/>
    <w:rsid w:val="0023017B"/>
    <w:rsid w:val="00230182"/>
    <w:rsid w:val="002301D2"/>
    <w:rsid w:val="002301D5"/>
    <w:rsid w:val="002301F3"/>
    <w:rsid w:val="00230222"/>
    <w:rsid w:val="00230259"/>
    <w:rsid w:val="00230269"/>
    <w:rsid w:val="002302C6"/>
    <w:rsid w:val="002302D8"/>
    <w:rsid w:val="002303A3"/>
    <w:rsid w:val="002303FE"/>
    <w:rsid w:val="00230478"/>
    <w:rsid w:val="00230497"/>
    <w:rsid w:val="002304B0"/>
    <w:rsid w:val="002304BE"/>
    <w:rsid w:val="002304D3"/>
    <w:rsid w:val="0023053B"/>
    <w:rsid w:val="00230548"/>
    <w:rsid w:val="00230554"/>
    <w:rsid w:val="00230597"/>
    <w:rsid w:val="002305BC"/>
    <w:rsid w:val="002305C5"/>
    <w:rsid w:val="002305CA"/>
    <w:rsid w:val="002306CA"/>
    <w:rsid w:val="002306D5"/>
    <w:rsid w:val="0023077A"/>
    <w:rsid w:val="002307F6"/>
    <w:rsid w:val="002307FE"/>
    <w:rsid w:val="00230840"/>
    <w:rsid w:val="00230881"/>
    <w:rsid w:val="002308A1"/>
    <w:rsid w:val="00230944"/>
    <w:rsid w:val="0023096A"/>
    <w:rsid w:val="002309AE"/>
    <w:rsid w:val="002309DA"/>
    <w:rsid w:val="002309E1"/>
    <w:rsid w:val="002309FE"/>
    <w:rsid w:val="00230A16"/>
    <w:rsid w:val="00230A4A"/>
    <w:rsid w:val="00230A4D"/>
    <w:rsid w:val="00230A62"/>
    <w:rsid w:val="00230A93"/>
    <w:rsid w:val="00230B08"/>
    <w:rsid w:val="00230B1E"/>
    <w:rsid w:val="00230C19"/>
    <w:rsid w:val="00230CDF"/>
    <w:rsid w:val="00230CE2"/>
    <w:rsid w:val="00230DDC"/>
    <w:rsid w:val="00230E63"/>
    <w:rsid w:val="00230E96"/>
    <w:rsid w:val="00230EA5"/>
    <w:rsid w:val="00230EC3"/>
    <w:rsid w:val="00230F64"/>
    <w:rsid w:val="00230FAA"/>
    <w:rsid w:val="00230FD7"/>
    <w:rsid w:val="00231002"/>
    <w:rsid w:val="00231011"/>
    <w:rsid w:val="0023101B"/>
    <w:rsid w:val="00231058"/>
    <w:rsid w:val="00231092"/>
    <w:rsid w:val="002310A4"/>
    <w:rsid w:val="002310B7"/>
    <w:rsid w:val="002310C3"/>
    <w:rsid w:val="002310CE"/>
    <w:rsid w:val="00231112"/>
    <w:rsid w:val="00231115"/>
    <w:rsid w:val="00231122"/>
    <w:rsid w:val="00231128"/>
    <w:rsid w:val="00231155"/>
    <w:rsid w:val="00231179"/>
    <w:rsid w:val="002311EA"/>
    <w:rsid w:val="00231216"/>
    <w:rsid w:val="00231222"/>
    <w:rsid w:val="002312C1"/>
    <w:rsid w:val="002312E0"/>
    <w:rsid w:val="00231348"/>
    <w:rsid w:val="0023134F"/>
    <w:rsid w:val="00231376"/>
    <w:rsid w:val="00231393"/>
    <w:rsid w:val="002313B0"/>
    <w:rsid w:val="002313F9"/>
    <w:rsid w:val="00231434"/>
    <w:rsid w:val="00231457"/>
    <w:rsid w:val="00231480"/>
    <w:rsid w:val="002314B1"/>
    <w:rsid w:val="002314CD"/>
    <w:rsid w:val="00231572"/>
    <w:rsid w:val="0023159E"/>
    <w:rsid w:val="002315CA"/>
    <w:rsid w:val="002315CB"/>
    <w:rsid w:val="0023163E"/>
    <w:rsid w:val="00231648"/>
    <w:rsid w:val="00231651"/>
    <w:rsid w:val="00231657"/>
    <w:rsid w:val="00231669"/>
    <w:rsid w:val="002316B8"/>
    <w:rsid w:val="002316C4"/>
    <w:rsid w:val="002316ED"/>
    <w:rsid w:val="0023172E"/>
    <w:rsid w:val="002317DF"/>
    <w:rsid w:val="00231847"/>
    <w:rsid w:val="0023184A"/>
    <w:rsid w:val="00231896"/>
    <w:rsid w:val="002318A6"/>
    <w:rsid w:val="00231929"/>
    <w:rsid w:val="00231961"/>
    <w:rsid w:val="0023196E"/>
    <w:rsid w:val="0023197C"/>
    <w:rsid w:val="002319FA"/>
    <w:rsid w:val="00231A8D"/>
    <w:rsid w:val="00231AB8"/>
    <w:rsid w:val="00231AF2"/>
    <w:rsid w:val="00231B00"/>
    <w:rsid w:val="00231B02"/>
    <w:rsid w:val="00231B2C"/>
    <w:rsid w:val="00231B9F"/>
    <w:rsid w:val="00231BD1"/>
    <w:rsid w:val="00231BF7"/>
    <w:rsid w:val="00231BFE"/>
    <w:rsid w:val="00231C74"/>
    <w:rsid w:val="00231DFF"/>
    <w:rsid w:val="00231E34"/>
    <w:rsid w:val="00231E43"/>
    <w:rsid w:val="00231E65"/>
    <w:rsid w:val="00231EA4"/>
    <w:rsid w:val="00231ED2"/>
    <w:rsid w:val="00231ED8"/>
    <w:rsid w:val="00231EEB"/>
    <w:rsid w:val="00231F3D"/>
    <w:rsid w:val="00231F8C"/>
    <w:rsid w:val="00231FDF"/>
    <w:rsid w:val="00232048"/>
    <w:rsid w:val="00232056"/>
    <w:rsid w:val="002320A5"/>
    <w:rsid w:val="002320D0"/>
    <w:rsid w:val="002320D3"/>
    <w:rsid w:val="002320EE"/>
    <w:rsid w:val="002320F7"/>
    <w:rsid w:val="0023211D"/>
    <w:rsid w:val="00232145"/>
    <w:rsid w:val="00232155"/>
    <w:rsid w:val="00232191"/>
    <w:rsid w:val="00232196"/>
    <w:rsid w:val="002321EF"/>
    <w:rsid w:val="00232250"/>
    <w:rsid w:val="00232296"/>
    <w:rsid w:val="00232310"/>
    <w:rsid w:val="0023233E"/>
    <w:rsid w:val="002323A0"/>
    <w:rsid w:val="002323CC"/>
    <w:rsid w:val="0023245A"/>
    <w:rsid w:val="00232496"/>
    <w:rsid w:val="002324A7"/>
    <w:rsid w:val="002324D9"/>
    <w:rsid w:val="002324F2"/>
    <w:rsid w:val="0023260A"/>
    <w:rsid w:val="00232635"/>
    <w:rsid w:val="00232639"/>
    <w:rsid w:val="00232647"/>
    <w:rsid w:val="00232653"/>
    <w:rsid w:val="0023266D"/>
    <w:rsid w:val="002326D2"/>
    <w:rsid w:val="0023285F"/>
    <w:rsid w:val="002328BC"/>
    <w:rsid w:val="002328F3"/>
    <w:rsid w:val="00232921"/>
    <w:rsid w:val="00232927"/>
    <w:rsid w:val="0023294C"/>
    <w:rsid w:val="0023297C"/>
    <w:rsid w:val="002329A6"/>
    <w:rsid w:val="00232A39"/>
    <w:rsid w:val="00232A5A"/>
    <w:rsid w:val="00232AAB"/>
    <w:rsid w:val="00232AC5"/>
    <w:rsid w:val="00232AD0"/>
    <w:rsid w:val="00232AF4"/>
    <w:rsid w:val="00232B1E"/>
    <w:rsid w:val="00232B88"/>
    <w:rsid w:val="00232B8F"/>
    <w:rsid w:val="00232BDB"/>
    <w:rsid w:val="00232C30"/>
    <w:rsid w:val="00232C67"/>
    <w:rsid w:val="00232CE5"/>
    <w:rsid w:val="00232D3F"/>
    <w:rsid w:val="00232D55"/>
    <w:rsid w:val="00232E35"/>
    <w:rsid w:val="00232F34"/>
    <w:rsid w:val="00232F81"/>
    <w:rsid w:val="00232F98"/>
    <w:rsid w:val="00232FFB"/>
    <w:rsid w:val="00233003"/>
    <w:rsid w:val="00233020"/>
    <w:rsid w:val="00233086"/>
    <w:rsid w:val="00233096"/>
    <w:rsid w:val="0023316E"/>
    <w:rsid w:val="0023319A"/>
    <w:rsid w:val="00233211"/>
    <w:rsid w:val="00233232"/>
    <w:rsid w:val="0023327E"/>
    <w:rsid w:val="00233297"/>
    <w:rsid w:val="0023332C"/>
    <w:rsid w:val="00233373"/>
    <w:rsid w:val="002333E9"/>
    <w:rsid w:val="002333EC"/>
    <w:rsid w:val="002333EE"/>
    <w:rsid w:val="00233434"/>
    <w:rsid w:val="00233492"/>
    <w:rsid w:val="002334F7"/>
    <w:rsid w:val="00233518"/>
    <w:rsid w:val="00233540"/>
    <w:rsid w:val="0023354E"/>
    <w:rsid w:val="00233584"/>
    <w:rsid w:val="00233599"/>
    <w:rsid w:val="002335BF"/>
    <w:rsid w:val="002335C8"/>
    <w:rsid w:val="00233639"/>
    <w:rsid w:val="00233645"/>
    <w:rsid w:val="00233690"/>
    <w:rsid w:val="002336AC"/>
    <w:rsid w:val="002336E7"/>
    <w:rsid w:val="00233710"/>
    <w:rsid w:val="0023377B"/>
    <w:rsid w:val="002337B5"/>
    <w:rsid w:val="002337CC"/>
    <w:rsid w:val="002337D1"/>
    <w:rsid w:val="00233893"/>
    <w:rsid w:val="002338F3"/>
    <w:rsid w:val="00233914"/>
    <w:rsid w:val="00233939"/>
    <w:rsid w:val="0023393B"/>
    <w:rsid w:val="00233977"/>
    <w:rsid w:val="002339CD"/>
    <w:rsid w:val="002339EA"/>
    <w:rsid w:val="00233A45"/>
    <w:rsid w:val="00233A5D"/>
    <w:rsid w:val="00233A69"/>
    <w:rsid w:val="00233A94"/>
    <w:rsid w:val="00233AC5"/>
    <w:rsid w:val="00233B03"/>
    <w:rsid w:val="00233B3E"/>
    <w:rsid w:val="00233B68"/>
    <w:rsid w:val="00233B6C"/>
    <w:rsid w:val="00233B7A"/>
    <w:rsid w:val="00233B83"/>
    <w:rsid w:val="00233C7C"/>
    <w:rsid w:val="00233CBE"/>
    <w:rsid w:val="00233CC9"/>
    <w:rsid w:val="00233D11"/>
    <w:rsid w:val="00233D1F"/>
    <w:rsid w:val="00233D3C"/>
    <w:rsid w:val="00233D5B"/>
    <w:rsid w:val="00233D62"/>
    <w:rsid w:val="00233DD3"/>
    <w:rsid w:val="00233E8E"/>
    <w:rsid w:val="00233EB8"/>
    <w:rsid w:val="00233F26"/>
    <w:rsid w:val="00233F7E"/>
    <w:rsid w:val="00233FBE"/>
    <w:rsid w:val="00233FC2"/>
    <w:rsid w:val="00234012"/>
    <w:rsid w:val="00234042"/>
    <w:rsid w:val="00234080"/>
    <w:rsid w:val="00234083"/>
    <w:rsid w:val="00234112"/>
    <w:rsid w:val="002341A0"/>
    <w:rsid w:val="0023422E"/>
    <w:rsid w:val="0023424D"/>
    <w:rsid w:val="00234289"/>
    <w:rsid w:val="002342A2"/>
    <w:rsid w:val="002342AC"/>
    <w:rsid w:val="002342BE"/>
    <w:rsid w:val="0023433A"/>
    <w:rsid w:val="00234347"/>
    <w:rsid w:val="00234360"/>
    <w:rsid w:val="00234385"/>
    <w:rsid w:val="0023445D"/>
    <w:rsid w:val="002344DE"/>
    <w:rsid w:val="0023450C"/>
    <w:rsid w:val="002345BB"/>
    <w:rsid w:val="0023460C"/>
    <w:rsid w:val="00234634"/>
    <w:rsid w:val="0023465B"/>
    <w:rsid w:val="00234686"/>
    <w:rsid w:val="00234757"/>
    <w:rsid w:val="00234775"/>
    <w:rsid w:val="00234794"/>
    <w:rsid w:val="002347A2"/>
    <w:rsid w:val="002347A3"/>
    <w:rsid w:val="002347D8"/>
    <w:rsid w:val="002347F1"/>
    <w:rsid w:val="0023481B"/>
    <w:rsid w:val="00234886"/>
    <w:rsid w:val="00234979"/>
    <w:rsid w:val="0023497B"/>
    <w:rsid w:val="002349AC"/>
    <w:rsid w:val="002349AE"/>
    <w:rsid w:val="00234A4F"/>
    <w:rsid w:val="00234A7C"/>
    <w:rsid w:val="00234A9E"/>
    <w:rsid w:val="00234AA3"/>
    <w:rsid w:val="00234ABB"/>
    <w:rsid w:val="00234AC1"/>
    <w:rsid w:val="00234BA2"/>
    <w:rsid w:val="00234C06"/>
    <w:rsid w:val="00234C10"/>
    <w:rsid w:val="00234C13"/>
    <w:rsid w:val="00234D2F"/>
    <w:rsid w:val="00234D96"/>
    <w:rsid w:val="00234DEF"/>
    <w:rsid w:val="00234E40"/>
    <w:rsid w:val="00234E42"/>
    <w:rsid w:val="00234E66"/>
    <w:rsid w:val="00234EA4"/>
    <w:rsid w:val="00234EC7"/>
    <w:rsid w:val="00234EE5"/>
    <w:rsid w:val="00234EFD"/>
    <w:rsid w:val="00234F55"/>
    <w:rsid w:val="00234FCD"/>
    <w:rsid w:val="00235013"/>
    <w:rsid w:val="00235026"/>
    <w:rsid w:val="00235088"/>
    <w:rsid w:val="002350ED"/>
    <w:rsid w:val="00235105"/>
    <w:rsid w:val="0023511B"/>
    <w:rsid w:val="00235147"/>
    <w:rsid w:val="0023514C"/>
    <w:rsid w:val="0023520F"/>
    <w:rsid w:val="0023521E"/>
    <w:rsid w:val="002352B2"/>
    <w:rsid w:val="002352C8"/>
    <w:rsid w:val="002352D4"/>
    <w:rsid w:val="002352D8"/>
    <w:rsid w:val="00235323"/>
    <w:rsid w:val="00235368"/>
    <w:rsid w:val="00235379"/>
    <w:rsid w:val="002353F1"/>
    <w:rsid w:val="00235406"/>
    <w:rsid w:val="00235415"/>
    <w:rsid w:val="0023544E"/>
    <w:rsid w:val="00235454"/>
    <w:rsid w:val="0023546E"/>
    <w:rsid w:val="0023550C"/>
    <w:rsid w:val="00235525"/>
    <w:rsid w:val="00235593"/>
    <w:rsid w:val="002355BE"/>
    <w:rsid w:val="00235623"/>
    <w:rsid w:val="0023564B"/>
    <w:rsid w:val="00235683"/>
    <w:rsid w:val="0023569A"/>
    <w:rsid w:val="0023574C"/>
    <w:rsid w:val="00235762"/>
    <w:rsid w:val="002357A4"/>
    <w:rsid w:val="002357DC"/>
    <w:rsid w:val="0023582B"/>
    <w:rsid w:val="002358A1"/>
    <w:rsid w:val="002358C8"/>
    <w:rsid w:val="002358F0"/>
    <w:rsid w:val="00235925"/>
    <w:rsid w:val="00235930"/>
    <w:rsid w:val="00235943"/>
    <w:rsid w:val="0023596F"/>
    <w:rsid w:val="00235997"/>
    <w:rsid w:val="00235A0C"/>
    <w:rsid w:val="00235A3E"/>
    <w:rsid w:val="00235A6B"/>
    <w:rsid w:val="00235A82"/>
    <w:rsid w:val="00235B43"/>
    <w:rsid w:val="00235B4D"/>
    <w:rsid w:val="00235B7B"/>
    <w:rsid w:val="00235C33"/>
    <w:rsid w:val="00235C37"/>
    <w:rsid w:val="00235C38"/>
    <w:rsid w:val="00235C83"/>
    <w:rsid w:val="00235CC8"/>
    <w:rsid w:val="00235CDF"/>
    <w:rsid w:val="00235CE6"/>
    <w:rsid w:val="00235D00"/>
    <w:rsid w:val="00235D1A"/>
    <w:rsid w:val="00235DB5"/>
    <w:rsid w:val="00235E20"/>
    <w:rsid w:val="00235E45"/>
    <w:rsid w:val="00235EB7"/>
    <w:rsid w:val="00235EF8"/>
    <w:rsid w:val="00235F2C"/>
    <w:rsid w:val="00235F48"/>
    <w:rsid w:val="00235F7F"/>
    <w:rsid w:val="00235FCF"/>
    <w:rsid w:val="00236009"/>
    <w:rsid w:val="0023600A"/>
    <w:rsid w:val="00236020"/>
    <w:rsid w:val="00236061"/>
    <w:rsid w:val="00236071"/>
    <w:rsid w:val="002360D7"/>
    <w:rsid w:val="002360DE"/>
    <w:rsid w:val="002360FD"/>
    <w:rsid w:val="00236160"/>
    <w:rsid w:val="002361B0"/>
    <w:rsid w:val="002361C3"/>
    <w:rsid w:val="002361C7"/>
    <w:rsid w:val="002361D7"/>
    <w:rsid w:val="00236205"/>
    <w:rsid w:val="0023629A"/>
    <w:rsid w:val="0023629E"/>
    <w:rsid w:val="002362A4"/>
    <w:rsid w:val="00236316"/>
    <w:rsid w:val="00236329"/>
    <w:rsid w:val="00236340"/>
    <w:rsid w:val="0023641B"/>
    <w:rsid w:val="00236425"/>
    <w:rsid w:val="00236467"/>
    <w:rsid w:val="0023647A"/>
    <w:rsid w:val="00236482"/>
    <w:rsid w:val="002364B0"/>
    <w:rsid w:val="0023650B"/>
    <w:rsid w:val="00236530"/>
    <w:rsid w:val="002365A1"/>
    <w:rsid w:val="0023660B"/>
    <w:rsid w:val="00236623"/>
    <w:rsid w:val="00236635"/>
    <w:rsid w:val="00236641"/>
    <w:rsid w:val="00236645"/>
    <w:rsid w:val="00236673"/>
    <w:rsid w:val="0023667E"/>
    <w:rsid w:val="002366BB"/>
    <w:rsid w:val="0023673A"/>
    <w:rsid w:val="00236771"/>
    <w:rsid w:val="0023677F"/>
    <w:rsid w:val="002367B5"/>
    <w:rsid w:val="002367F3"/>
    <w:rsid w:val="002367F8"/>
    <w:rsid w:val="0023681E"/>
    <w:rsid w:val="0023682E"/>
    <w:rsid w:val="00236856"/>
    <w:rsid w:val="0023689B"/>
    <w:rsid w:val="002368DE"/>
    <w:rsid w:val="002368F2"/>
    <w:rsid w:val="002368F8"/>
    <w:rsid w:val="0023690F"/>
    <w:rsid w:val="0023695A"/>
    <w:rsid w:val="0023695D"/>
    <w:rsid w:val="002369C8"/>
    <w:rsid w:val="00236A30"/>
    <w:rsid w:val="00236A60"/>
    <w:rsid w:val="00236A99"/>
    <w:rsid w:val="00236AB4"/>
    <w:rsid w:val="00236ABF"/>
    <w:rsid w:val="00236B34"/>
    <w:rsid w:val="00236B35"/>
    <w:rsid w:val="00236B91"/>
    <w:rsid w:val="00236B93"/>
    <w:rsid w:val="00236BD4"/>
    <w:rsid w:val="00236C5F"/>
    <w:rsid w:val="00236C72"/>
    <w:rsid w:val="00236C9B"/>
    <w:rsid w:val="00236CE9"/>
    <w:rsid w:val="00236CF2"/>
    <w:rsid w:val="00236D3C"/>
    <w:rsid w:val="00236D86"/>
    <w:rsid w:val="00236E91"/>
    <w:rsid w:val="00236EB1"/>
    <w:rsid w:val="00236EC1"/>
    <w:rsid w:val="00236EDB"/>
    <w:rsid w:val="00236F41"/>
    <w:rsid w:val="00236F71"/>
    <w:rsid w:val="00236FCC"/>
    <w:rsid w:val="00237042"/>
    <w:rsid w:val="00237075"/>
    <w:rsid w:val="0023707F"/>
    <w:rsid w:val="002370A5"/>
    <w:rsid w:val="002370E0"/>
    <w:rsid w:val="002370EC"/>
    <w:rsid w:val="0023710F"/>
    <w:rsid w:val="00237129"/>
    <w:rsid w:val="00237174"/>
    <w:rsid w:val="00237357"/>
    <w:rsid w:val="00237395"/>
    <w:rsid w:val="002373A5"/>
    <w:rsid w:val="002373D8"/>
    <w:rsid w:val="00237434"/>
    <w:rsid w:val="00237445"/>
    <w:rsid w:val="0023744E"/>
    <w:rsid w:val="00237501"/>
    <w:rsid w:val="00237518"/>
    <w:rsid w:val="00237544"/>
    <w:rsid w:val="0023756E"/>
    <w:rsid w:val="0023758C"/>
    <w:rsid w:val="00237610"/>
    <w:rsid w:val="00237612"/>
    <w:rsid w:val="00237621"/>
    <w:rsid w:val="00237650"/>
    <w:rsid w:val="002376A3"/>
    <w:rsid w:val="002376BF"/>
    <w:rsid w:val="002376DE"/>
    <w:rsid w:val="00237727"/>
    <w:rsid w:val="0023772B"/>
    <w:rsid w:val="00237760"/>
    <w:rsid w:val="00237774"/>
    <w:rsid w:val="0023777C"/>
    <w:rsid w:val="00237792"/>
    <w:rsid w:val="002377C5"/>
    <w:rsid w:val="002377F5"/>
    <w:rsid w:val="00237975"/>
    <w:rsid w:val="00237A3C"/>
    <w:rsid w:val="00237A47"/>
    <w:rsid w:val="00237A70"/>
    <w:rsid w:val="00237ACC"/>
    <w:rsid w:val="00237AD1"/>
    <w:rsid w:val="00237AE7"/>
    <w:rsid w:val="00237BA7"/>
    <w:rsid w:val="00237BC7"/>
    <w:rsid w:val="00237BE4"/>
    <w:rsid w:val="00237C57"/>
    <w:rsid w:val="00237C80"/>
    <w:rsid w:val="00237C92"/>
    <w:rsid w:val="00237C94"/>
    <w:rsid w:val="00237CED"/>
    <w:rsid w:val="00237CF0"/>
    <w:rsid w:val="00237D66"/>
    <w:rsid w:val="00237D7A"/>
    <w:rsid w:val="00237D7F"/>
    <w:rsid w:val="00237DA0"/>
    <w:rsid w:val="00237DC6"/>
    <w:rsid w:val="00237E02"/>
    <w:rsid w:val="00237E2D"/>
    <w:rsid w:val="00237E3A"/>
    <w:rsid w:val="00237E5D"/>
    <w:rsid w:val="00237E6B"/>
    <w:rsid w:val="00237E74"/>
    <w:rsid w:val="00237EF2"/>
    <w:rsid w:val="00237F41"/>
    <w:rsid w:val="00237F95"/>
    <w:rsid w:val="00237FF1"/>
    <w:rsid w:val="00240087"/>
    <w:rsid w:val="0024008C"/>
    <w:rsid w:val="00240095"/>
    <w:rsid w:val="002400FD"/>
    <w:rsid w:val="0024010D"/>
    <w:rsid w:val="0024015E"/>
    <w:rsid w:val="00240178"/>
    <w:rsid w:val="0024019C"/>
    <w:rsid w:val="0024019F"/>
    <w:rsid w:val="002401A9"/>
    <w:rsid w:val="00240208"/>
    <w:rsid w:val="00240271"/>
    <w:rsid w:val="00240273"/>
    <w:rsid w:val="00240296"/>
    <w:rsid w:val="002402BC"/>
    <w:rsid w:val="002402D2"/>
    <w:rsid w:val="00240304"/>
    <w:rsid w:val="00240305"/>
    <w:rsid w:val="0024030A"/>
    <w:rsid w:val="00240336"/>
    <w:rsid w:val="00240375"/>
    <w:rsid w:val="0024037F"/>
    <w:rsid w:val="00240380"/>
    <w:rsid w:val="00240395"/>
    <w:rsid w:val="002403D3"/>
    <w:rsid w:val="002403E9"/>
    <w:rsid w:val="002403FA"/>
    <w:rsid w:val="00240408"/>
    <w:rsid w:val="0024042A"/>
    <w:rsid w:val="00240433"/>
    <w:rsid w:val="00240456"/>
    <w:rsid w:val="00240495"/>
    <w:rsid w:val="00240555"/>
    <w:rsid w:val="00240576"/>
    <w:rsid w:val="002405F5"/>
    <w:rsid w:val="002405FD"/>
    <w:rsid w:val="00240604"/>
    <w:rsid w:val="0024063C"/>
    <w:rsid w:val="00240657"/>
    <w:rsid w:val="002406D0"/>
    <w:rsid w:val="00240709"/>
    <w:rsid w:val="00240721"/>
    <w:rsid w:val="00240722"/>
    <w:rsid w:val="00240753"/>
    <w:rsid w:val="0024076F"/>
    <w:rsid w:val="00240781"/>
    <w:rsid w:val="002407B9"/>
    <w:rsid w:val="002407DB"/>
    <w:rsid w:val="00240812"/>
    <w:rsid w:val="0024081B"/>
    <w:rsid w:val="00240879"/>
    <w:rsid w:val="00240898"/>
    <w:rsid w:val="00240974"/>
    <w:rsid w:val="002409B8"/>
    <w:rsid w:val="002409E4"/>
    <w:rsid w:val="00240AB6"/>
    <w:rsid w:val="00240B20"/>
    <w:rsid w:val="00240B28"/>
    <w:rsid w:val="00240B44"/>
    <w:rsid w:val="00240BA1"/>
    <w:rsid w:val="00240BB1"/>
    <w:rsid w:val="00240BC3"/>
    <w:rsid w:val="00240C33"/>
    <w:rsid w:val="00240D19"/>
    <w:rsid w:val="00240DB6"/>
    <w:rsid w:val="00240DBB"/>
    <w:rsid w:val="00240DC2"/>
    <w:rsid w:val="00240DE6"/>
    <w:rsid w:val="00240DEA"/>
    <w:rsid w:val="00240E11"/>
    <w:rsid w:val="00240E54"/>
    <w:rsid w:val="00240E6E"/>
    <w:rsid w:val="00240E7A"/>
    <w:rsid w:val="00240E8D"/>
    <w:rsid w:val="00240FB8"/>
    <w:rsid w:val="00240FD5"/>
    <w:rsid w:val="00240FE2"/>
    <w:rsid w:val="00240FE6"/>
    <w:rsid w:val="00241008"/>
    <w:rsid w:val="00241034"/>
    <w:rsid w:val="00241048"/>
    <w:rsid w:val="00241077"/>
    <w:rsid w:val="00241096"/>
    <w:rsid w:val="002410A1"/>
    <w:rsid w:val="002410AD"/>
    <w:rsid w:val="002410FA"/>
    <w:rsid w:val="00241182"/>
    <w:rsid w:val="00241194"/>
    <w:rsid w:val="002411E0"/>
    <w:rsid w:val="00241296"/>
    <w:rsid w:val="002412B5"/>
    <w:rsid w:val="002412E3"/>
    <w:rsid w:val="0024133F"/>
    <w:rsid w:val="00241344"/>
    <w:rsid w:val="0024137D"/>
    <w:rsid w:val="002413F3"/>
    <w:rsid w:val="0024140A"/>
    <w:rsid w:val="00241413"/>
    <w:rsid w:val="00241427"/>
    <w:rsid w:val="00241566"/>
    <w:rsid w:val="00241581"/>
    <w:rsid w:val="0024159D"/>
    <w:rsid w:val="0024162A"/>
    <w:rsid w:val="00241691"/>
    <w:rsid w:val="00241692"/>
    <w:rsid w:val="002416B0"/>
    <w:rsid w:val="002416F7"/>
    <w:rsid w:val="00241707"/>
    <w:rsid w:val="00241711"/>
    <w:rsid w:val="00241725"/>
    <w:rsid w:val="0024177A"/>
    <w:rsid w:val="00241864"/>
    <w:rsid w:val="00241867"/>
    <w:rsid w:val="002418A7"/>
    <w:rsid w:val="002418BD"/>
    <w:rsid w:val="002419AB"/>
    <w:rsid w:val="002419C3"/>
    <w:rsid w:val="002419DD"/>
    <w:rsid w:val="00241A6F"/>
    <w:rsid w:val="00241AD2"/>
    <w:rsid w:val="00241AE6"/>
    <w:rsid w:val="00241B8E"/>
    <w:rsid w:val="00241BEF"/>
    <w:rsid w:val="00241C69"/>
    <w:rsid w:val="00241CBE"/>
    <w:rsid w:val="00241CE3"/>
    <w:rsid w:val="00241D11"/>
    <w:rsid w:val="00241D4C"/>
    <w:rsid w:val="00241D6B"/>
    <w:rsid w:val="00241E09"/>
    <w:rsid w:val="00241F6E"/>
    <w:rsid w:val="00241FEF"/>
    <w:rsid w:val="002420BE"/>
    <w:rsid w:val="002420DF"/>
    <w:rsid w:val="0024214A"/>
    <w:rsid w:val="00242156"/>
    <w:rsid w:val="00242160"/>
    <w:rsid w:val="002421B0"/>
    <w:rsid w:val="0024220C"/>
    <w:rsid w:val="00242212"/>
    <w:rsid w:val="00242284"/>
    <w:rsid w:val="002422EF"/>
    <w:rsid w:val="002422FB"/>
    <w:rsid w:val="00242318"/>
    <w:rsid w:val="0024235E"/>
    <w:rsid w:val="00242399"/>
    <w:rsid w:val="0024244A"/>
    <w:rsid w:val="0024246D"/>
    <w:rsid w:val="002424A5"/>
    <w:rsid w:val="00242510"/>
    <w:rsid w:val="00242578"/>
    <w:rsid w:val="0024258A"/>
    <w:rsid w:val="002425DC"/>
    <w:rsid w:val="002425E0"/>
    <w:rsid w:val="00242672"/>
    <w:rsid w:val="00242686"/>
    <w:rsid w:val="002426F4"/>
    <w:rsid w:val="002426F5"/>
    <w:rsid w:val="00242706"/>
    <w:rsid w:val="00242773"/>
    <w:rsid w:val="002427E5"/>
    <w:rsid w:val="002427EF"/>
    <w:rsid w:val="002427FC"/>
    <w:rsid w:val="002428EF"/>
    <w:rsid w:val="00242927"/>
    <w:rsid w:val="00242A03"/>
    <w:rsid w:val="00242A3E"/>
    <w:rsid w:val="00242A8F"/>
    <w:rsid w:val="00242A9F"/>
    <w:rsid w:val="00242AC7"/>
    <w:rsid w:val="00242B51"/>
    <w:rsid w:val="00242BA1"/>
    <w:rsid w:val="00242C10"/>
    <w:rsid w:val="00242C2A"/>
    <w:rsid w:val="00242C48"/>
    <w:rsid w:val="00242C5A"/>
    <w:rsid w:val="00242C9B"/>
    <w:rsid w:val="00242CAE"/>
    <w:rsid w:val="00242CD2"/>
    <w:rsid w:val="00242CDF"/>
    <w:rsid w:val="00242D1F"/>
    <w:rsid w:val="00242D42"/>
    <w:rsid w:val="00242D5A"/>
    <w:rsid w:val="00242DC4"/>
    <w:rsid w:val="00242DF6"/>
    <w:rsid w:val="00242E13"/>
    <w:rsid w:val="00242E8D"/>
    <w:rsid w:val="00242E90"/>
    <w:rsid w:val="00242E9A"/>
    <w:rsid w:val="00242ED7"/>
    <w:rsid w:val="00242F14"/>
    <w:rsid w:val="00242F28"/>
    <w:rsid w:val="00242FC1"/>
    <w:rsid w:val="00242FFC"/>
    <w:rsid w:val="0024300D"/>
    <w:rsid w:val="0024308A"/>
    <w:rsid w:val="0024316A"/>
    <w:rsid w:val="002431C7"/>
    <w:rsid w:val="002431E0"/>
    <w:rsid w:val="002431F8"/>
    <w:rsid w:val="00243268"/>
    <w:rsid w:val="0024326B"/>
    <w:rsid w:val="00243271"/>
    <w:rsid w:val="00243291"/>
    <w:rsid w:val="00243299"/>
    <w:rsid w:val="00243344"/>
    <w:rsid w:val="0024335E"/>
    <w:rsid w:val="002433CC"/>
    <w:rsid w:val="00243417"/>
    <w:rsid w:val="00243591"/>
    <w:rsid w:val="00243598"/>
    <w:rsid w:val="002435FA"/>
    <w:rsid w:val="0024362F"/>
    <w:rsid w:val="00243683"/>
    <w:rsid w:val="002436C4"/>
    <w:rsid w:val="002436DB"/>
    <w:rsid w:val="002436E9"/>
    <w:rsid w:val="00243738"/>
    <w:rsid w:val="002437B0"/>
    <w:rsid w:val="002437D8"/>
    <w:rsid w:val="002437EC"/>
    <w:rsid w:val="0024380E"/>
    <w:rsid w:val="00243924"/>
    <w:rsid w:val="00243931"/>
    <w:rsid w:val="0024393F"/>
    <w:rsid w:val="00243953"/>
    <w:rsid w:val="0024395A"/>
    <w:rsid w:val="002439B9"/>
    <w:rsid w:val="00243A63"/>
    <w:rsid w:val="00243A71"/>
    <w:rsid w:val="00243ADC"/>
    <w:rsid w:val="00243B91"/>
    <w:rsid w:val="00243BBF"/>
    <w:rsid w:val="00243BDA"/>
    <w:rsid w:val="00243BEE"/>
    <w:rsid w:val="00243C1E"/>
    <w:rsid w:val="00243C2A"/>
    <w:rsid w:val="00243C53"/>
    <w:rsid w:val="00243C83"/>
    <w:rsid w:val="00243C9F"/>
    <w:rsid w:val="00243CC6"/>
    <w:rsid w:val="00243CF0"/>
    <w:rsid w:val="00243D2E"/>
    <w:rsid w:val="00243D86"/>
    <w:rsid w:val="00243DD8"/>
    <w:rsid w:val="00243E4C"/>
    <w:rsid w:val="00243E6E"/>
    <w:rsid w:val="00243E88"/>
    <w:rsid w:val="00243FD3"/>
    <w:rsid w:val="00244013"/>
    <w:rsid w:val="00244047"/>
    <w:rsid w:val="0024408F"/>
    <w:rsid w:val="002440AB"/>
    <w:rsid w:val="002440F8"/>
    <w:rsid w:val="0024415F"/>
    <w:rsid w:val="0024417F"/>
    <w:rsid w:val="002441C7"/>
    <w:rsid w:val="00244261"/>
    <w:rsid w:val="0024426C"/>
    <w:rsid w:val="0024436B"/>
    <w:rsid w:val="0024438A"/>
    <w:rsid w:val="002443CB"/>
    <w:rsid w:val="002443F1"/>
    <w:rsid w:val="00244407"/>
    <w:rsid w:val="00244450"/>
    <w:rsid w:val="00244470"/>
    <w:rsid w:val="00244471"/>
    <w:rsid w:val="002444A7"/>
    <w:rsid w:val="002444CD"/>
    <w:rsid w:val="002444E4"/>
    <w:rsid w:val="00244541"/>
    <w:rsid w:val="00244544"/>
    <w:rsid w:val="00244606"/>
    <w:rsid w:val="0024463C"/>
    <w:rsid w:val="00244645"/>
    <w:rsid w:val="00244667"/>
    <w:rsid w:val="002446DF"/>
    <w:rsid w:val="002446F9"/>
    <w:rsid w:val="0024471D"/>
    <w:rsid w:val="002447E8"/>
    <w:rsid w:val="00244824"/>
    <w:rsid w:val="00244853"/>
    <w:rsid w:val="00244855"/>
    <w:rsid w:val="0024489E"/>
    <w:rsid w:val="002448C2"/>
    <w:rsid w:val="002448D6"/>
    <w:rsid w:val="002448F1"/>
    <w:rsid w:val="0024491C"/>
    <w:rsid w:val="00244945"/>
    <w:rsid w:val="00244969"/>
    <w:rsid w:val="00244970"/>
    <w:rsid w:val="002449B0"/>
    <w:rsid w:val="002449BD"/>
    <w:rsid w:val="002449D4"/>
    <w:rsid w:val="002449EF"/>
    <w:rsid w:val="00244A24"/>
    <w:rsid w:val="00244A38"/>
    <w:rsid w:val="00244A86"/>
    <w:rsid w:val="00244AC0"/>
    <w:rsid w:val="00244BB4"/>
    <w:rsid w:val="00244C17"/>
    <w:rsid w:val="00244C99"/>
    <w:rsid w:val="00244CD8"/>
    <w:rsid w:val="00244D3A"/>
    <w:rsid w:val="00244DA1"/>
    <w:rsid w:val="00244DB6"/>
    <w:rsid w:val="00244DFD"/>
    <w:rsid w:val="00244E04"/>
    <w:rsid w:val="00244E1B"/>
    <w:rsid w:val="00244E55"/>
    <w:rsid w:val="00244E76"/>
    <w:rsid w:val="00244F68"/>
    <w:rsid w:val="00244FC7"/>
    <w:rsid w:val="00245033"/>
    <w:rsid w:val="00245060"/>
    <w:rsid w:val="00245079"/>
    <w:rsid w:val="00245084"/>
    <w:rsid w:val="002450B0"/>
    <w:rsid w:val="002450D8"/>
    <w:rsid w:val="002450E4"/>
    <w:rsid w:val="0024512F"/>
    <w:rsid w:val="0024514C"/>
    <w:rsid w:val="0024516F"/>
    <w:rsid w:val="002451E9"/>
    <w:rsid w:val="00245204"/>
    <w:rsid w:val="0024523F"/>
    <w:rsid w:val="0024529F"/>
    <w:rsid w:val="002452C9"/>
    <w:rsid w:val="0024530B"/>
    <w:rsid w:val="0024532E"/>
    <w:rsid w:val="00245357"/>
    <w:rsid w:val="00245386"/>
    <w:rsid w:val="0024538E"/>
    <w:rsid w:val="002453A7"/>
    <w:rsid w:val="002453B7"/>
    <w:rsid w:val="002453E9"/>
    <w:rsid w:val="00245412"/>
    <w:rsid w:val="0024543A"/>
    <w:rsid w:val="0024543C"/>
    <w:rsid w:val="00245469"/>
    <w:rsid w:val="00245479"/>
    <w:rsid w:val="0024549A"/>
    <w:rsid w:val="002454FA"/>
    <w:rsid w:val="0024552B"/>
    <w:rsid w:val="00245550"/>
    <w:rsid w:val="0024555A"/>
    <w:rsid w:val="002455CF"/>
    <w:rsid w:val="0024561A"/>
    <w:rsid w:val="0024564E"/>
    <w:rsid w:val="0024568A"/>
    <w:rsid w:val="002456D8"/>
    <w:rsid w:val="0024575E"/>
    <w:rsid w:val="0024579D"/>
    <w:rsid w:val="002457AC"/>
    <w:rsid w:val="00245826"/>
    <w:rsid w:val="00245833"/>
    <w:rsid w:val="0024586F"/>
    <w:rsid w:val="00245905"/>
    <w:rsid w:val="00245A14"/>
    <w:rsid w:val="00245A41"/>
    <w:rsid w:val="00245A43"/>
    <w:rsid w:val="00245A62"/>
    <w:rsid w:val="00245A65"/>
    <w:rsid w:val="00245ADA"/>
    <w:rsid w:val="00245AE2"/>
    <w:rsid w:val="00245AE7"/>
    <w:rsid w:val="00245AEE"/>
    <w:rsid w:val="00245B29"/>
    <w:rsid w:val="00245B55"/>
    <w:rsid w:val="00245B77"/>
    <w:rsid w:val="00245BC2"/>
    <w:rsid w:val="00245BD8"/>
    <w:rsid w:val="00245BF1"/>
    <w:rsid w:val="00245C24"/>
    <w:rsid w:val="00245C69"/>
    <w:rsid w:val="00245C83"/>
    <w:rsid w:val="00245CF3"/>
    <w:rsid w:val="00245D3A"/>
    <w:rsid w:val="00245DA9"/>
    <w:rsid w:val="00245DCB"/>
    <w:rsid w:val="00245E27"/>
    <w:rsid w:val="00245E4D"/>
    <w:rsid w:val="00245E68"/>
    <w:rsid w:val="00245E90"/>
    <w:rsid w:val="00245EFB"/>
    <w:rsid w:val="00245F76"/>
    <w:rsid w:val="00245FC9"/>
    <w:rsid w:val="00245FE5"/>
    <w:rsid w:val="00246046"/>
    <w:rsid w:val="002460F0"/>
    <w:rsid w:val="0024613F"/>
    <w:rsid w:val="00246145"/>
    <w:rsid w:val="002461BC"/>
    <w:rsid w:val="00246244"/>
    <w:rsid w:val="00246254"/>
    <w:rsid w:val="00246260"/>
    <w:rsid w:val="00246270"/>
    <w:rsid w:val="0024627F"/>
    <w:rsid w:val="00246321"/>
    <w:rsid w:val="00246338"/>
    <w:rsid w:val="002463D0"/>
    <w:rsid w:val="002463E0"/>
    <w:rsid w:val="00246440"/>
    <w:rsid w:val="00246457"/>
    <w:rsid w:val="00246458"/>
    <w:rsid w:val="00246505"/>
    <w:rsid w:val="00246510"/>
    <w:rsid w:val="00246590"/>
    <w:rsid w:val="0024659B"/>
    <w:rsid w:val="00246615"/>
    <w:rsid w:val="00246645"/>
    <w:rsid w:val="00246653"/>
    <w:rsid w:val="002466F2"/>
    <w:rsid w:val="00246718"/>
    <w:rsid w:val="002467C5"/>
    <w:rsid w:val="002467C9"/>
    <w:rsid w:val="00246806"/>
    <w:rsid w:val="0024681E"/>
    <w:rsid w:val="00246845"/>
    <w:rsid w:val="0024686A"/>
    <w:rsid w:val="002468D6"/>
    <w:rsid w:val="00246945"/>
    <w:rsid w:val="0024698C"/>
    <w:rsid w:val="002469F8"/>
    <w:rsid w:val="00246A53"/>
    <w:rsid w:val="00246AD9"/>
    <w:rsid w:val="00246B02"/>
    <w:rsid w:val="00246BDB"/>
    <w:rsid w:val="00246BF0"/>
    <w:rsid w:val="00246C03"/>
    <w:rsid w:val="00246C92"/>
    <w:rsid w:val="00246CE2"/>
    <w:rsid w:val="00246D0F"/>
    <w:rsid w:val="00246D13"/>
    <w:rsid w:val="00246D52"/>
    <w:rsid w:val="00246D5C"/>
    <w:rsid w:val="00246D95"/>
    <w:rsid w:val="00246DA0"/>
    <w:rsid w:val="00246DE6"/>
    <w:rsid w:val="00246E40"/>
    <w:rsid w:val="00246E68"/>
    <w:rsid w:val="00246E95"/>
    <w:rsid w:val="00246E9D"/>
    <w:rsid w:val="00246EF0"/>
    <w:rsid w:val="00246F06"/>
    <w:rsid w:val="00246F21"/>
    <w:rsid w:val="00246F8C"/>
    <w:rsid w:val="00246FA4"/>
    <w:rsid w:val="0024703B"/>
    <w:rsid w:val="00247057"/>
    <w:rsid w:val="0024706C"/>
    <w:rsid w:val="002470D4"/>
    <w:rsid w:val="00247126"/>
    <w:rsid w:val="00247176"/>
    <w:rsid w:val="002471EB"/>
    <w:rsid w:val="0024720E"/>
    <w:rsid w:val="00247220"/>
    <w:rsid w:val="00247244"/>
    <w:rsid w:val="0024727A"/>
    <w:rsid w:val="0024729A"/>
    <w:rsid w:val="002472E3"/>
    <w:rsid w:val="00247342"/>
    <w:rsid w:val="00247365"/>
    <w:rsid w:val="00247393"/>
    <w:rsid w:val="002473B6"/>
    <w:rsid w:val="002473E2"/>
    <w:rsid w:val="002473E3"/>
    <w:rsid w:val="0024740E"/>
    <w:rsid w:val="00247481"/>
    <w:rsid w:val="002474AF"/>
    <w:rsid w:val="00247536"/>
    <w:rsid w:val="00247549"/>
    <w:rsid w:val="00247552"/>
    <w:rsid w:val="00247560"/>
    <w:rsid w:val="0024763D"/>
    <w:rsid w:val="0024764E"/>
    <w:rsid w:val="0024772E"/>
    <w:rsid w:val="00247767"/>
    <w:rsid w:val="002477AE"/>
    <w:rsid w:val="002477B4"/>
    <w:rsid w:val="00247807"/>
    <w:rsid w:val="00247811"/>
    <w:rsid w:val="002478BF"/>
    <w:rsid w:val="002478DD"/>
    <w:rsid w:val="00247985"/>
    <w:rsid w:val="002479B1"/>
    <w:rsid w:val="002479C0"/>
    <w:rsid w:val="00247A66"/>
    <w:rsid w:val="00247A88"/>
    <w:rsid w:val="00247A95"/>
    <w:rsid w:val="00247ACB"/>
    <w:rsid w:val="00247B3E"/>
    <w:rsid w:val="00247B63"/>
    <w:rsid w:val="00247BAA"/>
    <w:rsid w:val="00247C34"/>
    <w:rsid w:val="00247C50"/>
    <w:rsid w:val="00247C82"/>
    <w:rsid w:val="00247E5E"/>
    <w:rsid w:val="00247E98"/>
    <w:rsid w:val="00247EA5"/>
    <w:rsid w:val="00247EAC"/>
    <w:rsid w:val="00247EDA"/>
    <w:rsid w:val="00247F54"/>
    <w:rsid w:val="00247F82"/>
    <w:rsid w:val="00247FDB"/>
    <w:rsid w:val="00247FDC"/>
    <w:rsid w:val="00250008"/>
    <w:rsid w:val="0025002A"/>
    <w:rsid w:val="0025007F"/>
    <w:rsid w:val="002500B5"/>
    <w:rsid w:val="002500DA"/>
    <w:rsid w:val="00250102"/>
    <w:rsid w:val="00250111"/>
    <w:rsid w:val="00250121"/>
    <w:rsid w:val="0025015F"/>
    <w:rsid w:val="0025017A"/>
    <w:rsid w:val="002501C2"/>
    <w:rsid w:val="002501E0"/>
    <w:rsid w:val="00250311"/>
    <w:rsid w:val="0025032E"/>
    <w:rsid w:val="00250336"/>
    <w:rsid w:val="00250346"/>
    <w:rsid w:val="002503C7"/>
    <w:rsid w:val="002503CF"/>
    <w:rsid w:val="00250457"/>
    <w:rsid w:val="002504A5"/>
    <w:rsid w:val="002504B8"/>
    <w:rsid w:val="002504CA"/>
    <w:rsid w:val="002504D0"/>
    <w:rsid w:val="002505B8"/>
    <w:rsid w:val="002505D6"/>
    <w:rsid w:val="002505EA"/>
    <w:rsid w:val="00250627"/>
    <w:rsid w:val="00250674"/>
    <w:rsid w:val="00250676"/>
    <w:rsid w:val="002506A3"/>
    <w:rsid w:val="002506B2"/>
    <w:rsid w:val="002507AC"/>
    <w:rsid w:val="002507C7"/>
    <w:rsid w:val="00250845"/>
    <w:rsid w:val="00250866"/>
    <w:rsid w:val="002508BB"/>
    <w:rsid w:val="002508C6"/>
    <w:rsid w:val="002508D0"/>
    <w:rsid w:val="002508EE"/>
    <w:rsid w:val="00250912"/>
    <w:rsid w:val="0025095F"/>
    <w:rsid w:val="00250961"/>
    <w:rsid w:val="0025096A"/>
    <w:rsid w:val="002509E4"/>
    <w:rsid w:val="00250AE6"/>
    <w:rsid w:val="00250B07"/>
    <w:rsid w:val="00250B2A"/>
    <w:rsid w:val="00250BC5"/>
    <w:rsid w:val="00250C20"/>
    <w:rsid w:val="00250C9C"/>
    <w:rsid w:val="00250CA1"/>
    <w:rsid w:val="00250CA4"/>
    <w:rsid w:val="00250D0F"/>
    <w:rsid w:val="00250D20"/>
    <w:rsid w:val="00250E20"/>
    <w:rsid w:val="00250EF1"/>
    <w:rsid w:val="00250F39"/>
    <w:rsid w:val="00250F3C"/>
    <w:rsid w:val="00250F57"/>
    <w:rsid w:val="00250F65"/>
    <w:rsid w:val="00250F70"/>
    <w:rsid w:val="00250FAF"/>
    <w:rsid w:val="00250FB0"/>
    <w:rsid w:val="00251013"/>
    <w:rsid w:val="0025104C"/>
    <w:rsid w:val="002510C1"/>
    <w:rsid w:val="00251115"/>
    <w:rsid w:val="00251147"/>
    <w:rsid w:val="0025115B"/>
    <w:rsid w:val="00251184"/>
    <w:rsid w:val="002511A7"/>
    <w:rsid w:val="002511C3"/>
    <w:rsid w:val="002511DB"/>
    <w:rsid w:val="00251276"/>
    <w:rsid w:val="002512EE"/>
    <w:rsid w:val="00251325"/>
    <w:rsid w:val="00251348"/>
    <w:rsid w:val="00251364"/>
    <w:rsid w:val="00251367"/>
    <w:rsid w:val="00251374"/>
    <w:rsid w:val="002513CC"/>
    <w:rsid w:val="002513CF"/>
    <w:rsid w:val="0025140C"/>
    <w:rsid w:val="0025142B"/>
    <w:rsid w:val="0025147C"/>
    <w:rsid w:val="002514F0"/>
    <w:rsid w:val="002514F1"/>
    <w:rsid w:val="00251562"/>
    <w:rsid w:val="002515A4"/>
    <w:rsid w:val="002515C8"/>
    <w:rsid w:val="002515E6"/>
    <w:rsid w:val="002515FB"/>
    <w:rsid w:val="00251601"/>
    <w:rsid w:val="0025160A"/>
    <w:rsid w:val="00251645"/>
    <w:rsid w:val="002516D9"/>
    <w:rsid w:val="002516E8"/>
    <w:rsid w:val="002517DB"/>
    <w:rsid w:val="00251816"/>
    <w:rsid w:val="00251827"/>
    <w:rsid w:val="002518BD"/>
    <w:rsid w:val="0025190C"/>
    <w:rsid w:val="00251990"/>
    <w:rsid w:val="00251998"/>
    <w:rsid w:val="002519D9"/>
    <w:rsid w:val="00251A14"/>
    <w:rsid w:val="00251A8B"/>
    <w:rsid w:val="00251A98"/>
    <w:rsid w:val="00251AAD"/>
    <w:rsid w:val="00251ABF"/>
    <w:rsid w:val="00251AF1"/>
    <w:rsid w:val="00251B01"/>
    <w:rsid w:val="00251B11"/>
    <w:rsid w:val="00251B31"/>
    <w:rsid w:val="00251B76"/>
    <w:rsid w:val="00251C18"/>
    <w:rsid w:val="00251C3F"/>
    <w:rsid w:val="00251C8E"/>
    <w:rsid w:val="00251CB1"/>
    <w:rsid w:val="00251CC3"/>
    <w:rsid w:val="00251CCB"/>
    <w:rsid w:val="00251CDC"/>
    <w:rsid w:val="00251D02"/>
    <w:rsid w:val="00251D3A"/>
    <w:rsid w:val="00251D4B"/>
    <w:rsid w:val="00251D58"/>
    <w:rsid w:val="00251D5C"/>
    <w:rsid w:val="00251DDB"/>
    <w:rsid w:val="00251E10"/>
    <w:rsid w:val="00251E31"/>
    <w:rsid w:val="00251E81"/>
    <w:rsid w:val="00251F12"/>
    <w:rsid w:val="00251F77"/>
    <w:rsid w:val="00251F7E"/>
    <w:rsid w:val="00251F93"/>
    <w:rsid w:val="00251F98"/>
    <w:rsid w:val="00251FD3"/>
    <w:rsid w:val="00251FDD"/>
    <w:rsid w:val="00251FFF"/>
    <w:rsid w:val="00252089"/>
    <w:rsid w:val="00252091"/>
    <w:rsid w:val="002520FD"/>
    <w:rsid w:val="00252130"/>
    <w:rsid w:val="00252132"/>
    <w:rsid w:val="00252142"/>
    <w:rsid w:val="0025214C"/>
    <w:rsid w:val="00252154"/>
    <w:rsid w:val="0025216A"/>
    <w:rsid w:val="002521A4"/>
    <w:rsid w:val="002521A8"/>
    <w:rsid w:val="00252206"/>
    <w:rsid w:val="00252277"/>
    <w:rsid w:val="0025227F"/>
    <w:rsid w:val="00252292"/>
    <w:rsid w:val="002522DB"/>
    <w:rsid w:val="0025231D"/>
    <w:rsid w:val="00252328"/>
    <w:rsid w:val="00252369"/>
    <w:rsid w:val="002523C1"/>
    <w:rsid w:val="002523FE"/>
    <w:rsid w:val="00252469"/>
    <w:rsid w:val="0025246F"/>
    <w:rsid w:val="0025249B"/>
    <w:rsid w:val="002524B4"/>
    <w:rsid w:val="002524BC"/>
    <w:rsid w:val="00252502"/>
    <w:rsid w:val="0025259A"/>
    <w:rsid w:val="0025259E"/>
    <w:rsid w:val="002525EC"/>
    <w:rsid w:val="00252655"/>
    <w:rsid w:val="00252682"/>
    <w:rsid w:val="00252684"/>
    <w:rsid w:val="002526D2"/>
    <w:rsid w:val="002526E0"/>
    <w:rsid w:val="00252738"/>
    <w:rsid w:val="00252751"/>
    <w:rsid w:val="002527B1"/>
    <w:rsid w:val="002527D5"/>
    <w:rsid w:val="00252848"/>
    <w:rsid w:val="00252878"/>
    <w:rsid w:val="002528A7"/>
    <w:rsid w:val="002528F4"/>
    <w:rsid w:val="0025296E"/>
    <w:rsid w:val="0025299F"/>
    <w:rsid w:val="002529B1"/>
    <w:rsid w:val="002529C1"/>
    <w:rsid w:val="00252A6B"/>
    <w:rsid w:val="00252AB9"/>
    <w:rsid w:val="00252AC5"/>
    <w:rsid w:val="00252AF9"/>
    <w:rsid w:val="00252B62"/>
    <w:rsid w:val="00252BBC"/>
    <w:rsid w:val="00252C4D"/>
    <w:rsid w:val="00252C5F"/>
    <w:rsid w:val="00252C79"/>
    <w:rsid w:val="00252C83"/>
    <w:rsid w:val="00252CA0"/>
    <w:rsid w:val="00252CBE"/>
    <w:rsid w:val="00252CE6"/>
    <w:rsid w:val="00252D49"/>
    <w:rsid w:val="00252DE5"/>
    <w:rsid w:val="00252DFE"/>
    <w:rsid w:val="00252E14"/>
    <w:rsid w:val="00252E46"/>
    <w:rsid w:val="00252E78"/>
    <w:rsid w:val="00252EF5"/>
    <w:rsid w:val="00252F87"/>
    <w:rsid w:val="00252FC7"/>
    <w:rsid w:val="00252FE2"/>
    <w:rsid w:val="00253003"/>
    <w:rsid w:val="0025306D"/>
    <w:rsid w:val="0025307D"/>
    <w:rsid w:val="002530BD"/>
    <w:rsid w:val="002530D0"/>
    <w:rsid w:val="002530F0"/>
    <w:rsid w:val="00253128"/>
    <w:rsid w:val="0025312E"/>
    <w:rsid w:val="00253133"/>
    <w:rsid w:val="002531BE"/>
    <w:rsid w:val="00253229"/>
    <w:rsid w:val="00253268"/>
    <w:rsid w:val="0025329D"/>
    <w:rsid w:val="002532AA"/>
    <w:rsid w:val="002532C7"/>
    <w:rsid w:val="002532CB"/>
    <w:rsid w:val="00253399"/>
    <w:rsid w:val="00253446"/>
    <w:rsid w:val="0025346C"/>
    <w:rsid w:val="002534B7"/>
    <w:rsid w:val="002534C5"/>
    <w:rsid w:val="002534E8"/>
    <w:rsid w:val="002534F1"/>
    <w:rsid w:val="00253565"/>
    <w:rsid w:val="002535D2"/>
    <w:rsid w:val="00253703"/>
    <w:rsid w:val="00253714"/>
    <w:rsid w:val="0025371B"/>
    <w:rsid w:val="00253763"/>
    <w:rsid w:val="002537AF"/>
    <w:rsid w:val="002537BF"/>
    <w:rsid w:val="002537C8"/>
    <w:rsid w:val="002537CA"/>
    <w:rsid w:val="00253856"/>
    <w:rsid w:val="002538AE"/>
    <w:rsid w:val="002538B5"/>
    <w:rsid w:val="0025390C"/>
    <w:rsid w:val="00253929"/>
    <w:rsid w:val="0025392D"/>
    <w:rsid w:val="0025393C"/>
    <w:rsid w:val="00253944"/>
    <w:rsid w:val="00253985"/>
    <w:rsid w:val="0025399F"/>
    <w:rsid w:val="00253A7A"/>
    <w:rsid w:val="00253A80"/>
    <w:rsid w:val="00253A94"/>
    <w:rsid w:val="00253B2B"/>
    <w:rsid w:val="00253B39"/>
    <w:rsid w:val="00253B76"/>
    <w:rsid w:val="00253B7F"/>
    <w:rsid w:val="00253B8B"/>
    <w:rsid w:val="00253BF7"/>
    <w:rsid w:val="00253C03"/>
    <w:rsid w:val="00253C76"/>
    <w:rsid w:val="00253C9F"/>
    <w:rsid w:val="00253CC5"/>
    <w:rsid w:val="00253CE0"/>
    <w:rsid w:val="00253D08"/>
    <w:rsid w:val="00253D37"/>
    <w:rsid w:val="00253DE2"/>
    <w:rsid w:val="00253EAE"/>
    <w:rsid w:val="00253ECD"/>
    <w:rsid w:val="00253F58"/>
    <w:rsid w:val="00253F8B"/>
    <w:rsid w:val="00253FA4"/>
    <w:rsid w:val="0025404C"/>
    <w:rsid w:val="00254058"/>
    <w:rsid w:val="00254150"/>
    <w:rsid w:val="002541CC"/>
    <w:rsid w:val="002541D5"/>
    <w:rsid w:val="002541F2"/>
    <w:rsid w:val="00254228"/>
    <w:rsid w:val="0025425A"/>
    <w:rsid w:val="00254264"/>
    <w:rsid w:val="002542A1"/>
    <w:rsid w:val="002542B7"/>
    <w:rsid w:val="002542E6"/>
    <w:rsid w:val="0025434D"/>
    <w:rsid w:val="0025435B"/>
    <w:rsid w:val="0025436D"/>
    <w:rsid w:val="0025436F"/>
    <w:rsid w:val="00254425"/>
    <w:rsid w:val="0025442F"/>
    <w:rsid w:val="002544AD"/>
    <w:rsid w:val="002544E7"/>
    <w:rsid w:val="002544EC"/>
    <w:rsid w:val="00254537"/>
    <w:rsid w:val="002545FA"/>
    <w:rsid w:val="0025465B"/>
    <w:rsid w:val="0025468A"/>
    <w:rsid w:val="0025468D"/>
    <w:rsid w:val="00254690"/>
    <w:rsid w:val="002546C0"/>
    <w:rsid w:val="00254706"/>
    <w:rsid w:val="0025477B"/>
    <w:rsid w:val="0025477D"/>
    <w:rsid w:val="00254786"/>
    <w:rsid w:val="002547BD"/>
    <w:rsid w:val="002547CB"/>
    <w:rsid w:val="00254830"/>
    <w:rsid w:val="00254880"/>
    <w:rsid w:val="002548A1"/>
    <w:rsid w:val="002548B3"/>
    <w:rsid w:val="002548C2"/>
    <w:rsid w:val="00254912"/>
    <w:rsid w:val="002549A1"/>
    <w:rsid w:val="002549A9"/>
    <w:rsid w:val="00254A05"/>
    <w:rsid w:val="00254A27"/>
    <w:rsid w:val="00254A41"/>
    <w:rsid w:val="00254AC5"/>
    <w:rsid w:val="00254B61"/>
    <w:rsid w:val="00254B95"/>
    <w:rsid w:val="00254BB2"/>
    <w:rsid w:val="00254BDE"/>
    <w:rsid w:val="00254BE4"/>
    <w:rsid w:val="00254BF9"/>
    <w:rsid w:val="00254C0E"/>
    <w:rsid w:val="00254CB3"/>
    <w:rsid w:val="00254CDA"/>
    <w:rsid w:val="00254CF0"/>
    <w:rsid w:val="00254D0F"/>
    <w:rsid w:val="00254DCB"/>
    <w:rsid w:val="00254E19"/>
    <w:rsid w:val="00254ED2"/>
    <w:rsid w:val="00254F43"/>
    <w:rsid w:val="00254F64"/>
    <w:rsid w:val="00254F6A"/>
    <w:rsid w:val="00254FC9"/>
    <w:rsid w:val="00254FEA"/>
    <w:rsid w:val="00255060"/>
    <w:rsid w:val="002550C2"/>
    <w:rsid w:val="00255139"/>
    <w:rsid w:val="0025518D"/>
    <w:rsid w:val="0025518F"/>
    <w:rsid w:val="0025519F"/>
    <w:rsid w:val="002551AC"/>
    <w:rsid w:val="00255226"/>
    <w:rsid w:val="00255240"/>
    <w:rsid w:val="0025526F"/>
    <w:rsid w:val="00255298"/>
    <w:rsid w:val="00255322"/>
    <w:rsid w:val="0025535D"/>
    <w:rsid w:val="002553CC"/>
    <w:rsid w:val="00255412"/>
    <w:rsid w:val="00255450"/>
    <w:rsid w:val="0025546A"/>
    <w:rsid w:val="00255529"/>
    <w:rsid w:val="002555E8"/>
    <w:rsid w:val="002555F6"/>
    <w:rsid w:val="002555F9"/>
    <w:rsid w:val="002555FA"/>
    <w:rsid w:val="00255647"/>
    <w:rsid w:val="0025564B"/>
    <w:rsid w:val="00255686"/>
    <w:rsid w:val="00255735"/>
    <w:rsid w:val="00255769"/>
    <w:rsid w:val="002557A2"/>
    <w:rsid w:val="00255809"/>
    <w:rsid w:val="00255863"/>
    <w:rsid w:val="00255963"/>
    <w:rsid w:val="002559EF"/>
    <w:rsid w:val="00255ABD"/>
    <w:rsid w:val="00255AFB"/>
    <w:rsid w:val="00255BB4"/>
    <w:rsid w:val="00255BCA"/>
    <w:rsid w:val="00255C47"/>
    <w:rsid w:val="00255C4E"/>
    <w:rsid w:val="00255C6E"/>
    <w:rsid w:val="00255C74"/>
    <w:rsid w:val="00255CC4"/>
    <w:rsid w:val="00255CEF"/>
    <w:rsid w:val="00255CF7"/>
    <w:rsid w:val="00255CFE"/>
    <w:rsid w:val="00255D35"/>
    <w:rsid w:val="00255D5F"/>
    <w:rsid w:val="00255D64"/>
    <w:rsid w:val="00255D88"/>
    <w:rsid w:val="00255D96"/>
    <w:rsid w:val="00255DB5"/>
    <w:rsid w:val="00255DF4"/>
    <w:rsid w:val="00255DF6"/>
    <w:rsid w:val="00255E2C"/>
    <w:rsid w:val="00255E61"/>
    <w:rsid w:val="00255E70"/>
    <w:rsid w:val="00255F13"/>
    <w:rsid w:val="00255F31"/>
    <w:rsid w:val="00255F6B"/>
    <w:rsid w:val="00255F89"/>
    <w:rsid w:val="00256010"/>
    <w:rsid w:val="00256030"/>
    <w:rsid w:val="0025609F"/>
    <w:rsid w:val="002560AB"/>
    <w:rsid w:val="002560BB"/>
    <w:rsid w:val="002560E5"/>
    <w:rsid w:val="00256183"/>
    <w:rsid w:val="002561AC"/>
    <w:rsid w:val="002561FF"/>
    <w:rsid w:val="00256245"/>
    <w:rsid w:val="00256289"/>
    <w:rsid w:val="0025628F"/>
    <w:rsid w:val="002562B9"/>
    <w:rsid w:val="002562E4"/>
    <w:rsid w:val="00256301"/>
    <w:rsid w:val="00256307"/>
    <w:rsid w:val="00256322"/>
    <w:rsid w:val="00256325"/>
    <w:rsid w:val="00256381"/>
    <w:rsid w:val="002563FD"/>
    <w:rsid w:val="0025641D"/>
    <w:rsid w:val="00256468"/>
    <w:rsid w:val="0025649F"/>
    <w:rsid w:val="002564B9"/>
    <w:rsid w:val="002564C8"/>
    <w:rsid w:val="002564F2"/>
    <w:rsid w:val="0025651D"/>
    <w:rsid w:val="00256543"/>
    <w:rsid w:val="00256544"/>
    <w:rsid w:val="0025655D"/>
    <w:rsid w:val="00256579"/>
    <w:rsid w:val="0025659B"/>
    <w:rsid w:val="002565C4"/>
    <w:rsid w:val="0025666F"/>
    <w:rsid w:val="00256686"/>
    <w:rsid w:val="002566D2"/>
    <w:rsid w:val="002566EC"/>
    <w:rsid w:val="00256718"/>
    <w:rsid w:val="00256733"/>
    <w:rsid w:val="00256747"/>
    <w:rsid w:val="00256757"/>
    <w:rsid w:val="002567B5"/>
    <w:rsid w:val="00256808"/>
    <w:rsid w:val="00256862"/>
    <w:rsid w:val="00256866"/>
    <w:rsid w:val="0025687E"/>
    <w:rsid w:val="002568DF"/>
    <w:rsid w:val="002568F8"/>
    <w:rsid w:val="0025692A"/>
    <w:rsid w:val="0025693B"/>
    <w:rsid w:val="00256A29"/>
    <w:rsid w:val="00256AB8"/>
    <w:rsid w:val="00256B7A"/>
    <w:rsid w:val="00256B9C"/>
    <w:rsid w:val="00256BDE"/>
    <w:rsid w:val="00256C0A"/>
    <w:rsid w:val="00256C12"/>
    <w:rsid w:val="00256C9D"/>
    <w:rsid w:val="00256CA6"/>
    <w:rsid w:val="00256CA8"/>
    <w:rsid w:val="00256CBB"/>
    <w:rsid w:val="00256CEA"/>
    <w:rsid w:val="00256D2F"/>
    <w:rsid w:val="00256D95"/>
    <w:rsid w:val="00256DD1"/>
    <w:rsid w:val="00256DD2"/>
    <w:rsid w:val="00256DF0"/>
    <w:rsid w:val="00256E01"/>
    <w:rsid w:val="00256E82"/>
    <w:rsid w:val="00256EBB"/>
    <w:rsid w:val="00256F37"/>
    <w:rsid w:val="0025704A"/>
    <w:rsid w:val="0025704B"/>
    <w:rsid w:val="00257149"/>
    <w:rsid w:val="002571F5"/>
    <w:rsid w:val="0025723A"/>
    <w:rsid w:val="00257256"/>
    <w:rsid w:val="0025725D"/>
    <w:rsid w:val="0025728B"/>
    <w:rsid w:val="002572DF"/>
    <w:rsid w:val="00257341"/>
    <w:rsid w:val="00257398"/>
    <w:rsid w:val="002573F0"/>
    <w:rsid w:val="00257447"/>
    <w:rsid w:val="0025753B"/>
    <w:rsid w:val="00257549"/>
    <w:rsid w:val="00257551"/>
    <w:rsid w:val="0025759B"/>
    <w:rsid w:val="002575E6"/>
    <w:rsid w:val="00257670"/>
    <w:rsid w:val="0025767A"/>
    <w:rsid w:val="002576A8"/>
    <w:rsid w:val="002576AB"/>
    <w:rsid w:val="00257709"/>
    <w:rsid w:val="0025772F"/>
    <w:rsid w:val="0025777A"/>
    <w:rsid w:val="0025779E"/>
    <w:rsid w:val="00257833"/>
    <w:rsid w:val="0025784A"/>
    <w:rsid w:val="002578F4"/>
    <w:rsid w:val="00257921"/>
    <w:rsid w:val="00257966"/>
    <w:rsid w:val="002579E8"/>
    <w:rsid w:val="002579F5"/>
    <w:rsid w:val="002579FD"/>
    <w:rsid w:val="00257A01"/>
    <w:rsid w:val="00257A63"/>
    <w:rsid w:val="00257A6E"/>
    <w:rsid w:val="00257A92"/>
    <w:rsid w:val="00257ABC"/>
    <w:rsid w:val="00257AC6"/>
    <w:rsid w:val="00257B16"/>
    <w:rsid w:val="00257B40"/>
    <w:rsid w:val="00257B52"/>
    <w:rsid w:val="00257BF4"/>
    <w:rsid w:val="00257C14"/>
    <w:rsid w:val="00257C16"/>
    <w:rsid w:val="00257C5A"/>
    <w:rsid w:val="00257CEE"/>
    <w:rsid w:val="00257D05"/>
    <w:rsid w:val="00257D15"/>
    <w:rsid w:val="00257D62"/>
    <w:rsid w:val="00257D70"/>
    <w:rsid w:val="00257D85"/>
    <w:rsid w:val="00257DE2"/>
    <w:rsid w:val="00257DF0"/>
    <w:rsid w:val="00257E14"/>
    <w:rsid w:val="00257E15"/>
    <w:rsid w:val="00257E18"/>
    <w:rsid w:val="00257E8F"/>
    <w:rsid w:val="00257EA0"/>
    <w:rsid w:val="00257EC0"/>
    <w:rsid w:val="00257EF6"/>
    <w:rsid w:val="00257F7A"/>
    <w:rsid w:val="00257FC8"/>
    <w:rsid w:val="00257FF6"/>
    <w:rsid w:val="0025F655"/>
    <w:rsid w:val="00260080"/>
    <w:rsid w:val="0026008B"/>
    <w:rsid w:val="002600BF"/>
    <w:rsid w:val="00260115"/>
    <w:rsid w:val="00260125"/>
    <w:rsid w:val="0026015D"/>
    <w:rsid w:val="002601CB"/>
    <w:rsid w:val="002601F1"/>
    <w:rsid w:val="00260213"/>
    <w:rsid w:val="0026021E"/>
    <w:rsid w:val="00260238"/>
    <w:rsid w:val="0026024D"/>
    <w:rsid w:val="00260350"/>
    <w:rsid w:val="0026038A"/>
    <w:rsid w:val="002603D9"/>
    <w:rsid w:val="002603F1"/>
    <w:rsid w:val="00260408"/>
    <w:rsid w:val="0026042D"/>
    <w:rsid w:val="002604A9"/>
    <w:rsid w:val="002604C1"/>
    <w:rsid w:val="002604D3"/>
    <w:rsid w:val="002605BD"/>
    <w:rsid w:val="002605C1"/>
    <w:rsid w:val="002605EC"/>
    <w:rsid w:val="0026060B"/>
    <w:rsid w:val="00260652"/>
    <w:rsid w:val="002606AE"/>
    <w:rsid w:val="002606E7"/>
    <w:rsid w:val="0026074A"/>
    <w:rsid w:val="002607DD"/>
    <w:rsid w:val="00260842"/>
    <w:rsid w:val="0026084F"/>
    <w:rsid w:val="0026088B"/>
    <w:rsid w:val="0026089B"/>
    <w:rsid w:val="002608A1"/>
    <w:rsid w:val="002608B1"/>
    <w:rsid w:val="002608EB"/>
    <w:rsid w:val="00260930"/>
    <w:rsid w:val="0026096B"/>
    <w:rsid w:val="00260973"/>
    <w:rsid w:val="00260A08"/>
    <w:rsid w:val="00260A0F"/>
    <w:rsid w:val="00260AAA"/>
    <w:rsid w:val="00260AE4"/>
    <w:rsid w:val="00260B05"/>
    <w:rsid w:val="00260B8D"/>
    <w:rsid w:val="00260B93"/>
    <w:rsid w:val="00260BA4"/>
    <w:rsid w:val="00260BC8"/>
    <w:rsid w:val="00260BCD"/>
    <w:rsid w:val="00260BD6"/>
    <w:rsid w:val="00260C19"/>
    <w:rsid w:val="00260C31"/>
    <w:rsid w:val="00260C57"/>
    <w:rsid w:val="00260C84"/>
    <w:rsid w:val="00260CFF"/>
    <w:rsid w:val="00260D0A"/>
    <w:rsid w:val="00260D12"/>
    <w:rsid w:val="00260D1C"/>
    <w:rsid w:val="00260D69"/>
    <w:rsid w:val="00260D93"/>
    <w:rsid w:val="00260DD2"/>
    <w:rsid w:val="00260DED"/>
    <w:rsid w:val="00260E4E"/>
    <w:rsid w:val="00260E60"/>
    <w:rsid w:val="00260E92"/>
    <w:rsid w:val="00260EDB"/>
    <w:rsid w:val="00260EE8"/>
    <w:rsid w:val="00260EEE"/>
    <w:rsid w:val="00260F16"/>
    <w:rsid w:val="00260F2D"/>
    <w:rsid w:val="00260F2F"/>
    <w:rsid w:val="00260F5C"/>
    <w:rsid w:val="00260FC3"/>
    <w:rsid w:val="00260FD8"/>
    <w:rsid w:val="00260FFA"/>
    <w:rsid w:val="0026103F"/>
    <w:rsid w:val="00261053"/>
    <w:rsid w:val="00261076"/>
    <w:rsid w:val="0026109A"/>
    <w:rsid w:val="002610A2"/>
    <w:rsid w:val="002610B6"/>
    <w:rsid w:val="0026110E"/>
    <w:rsid w:val="00261144"/>
    <w:rsid w:val="00261149"/>
    <w:rsid w:val="00261200"/>
    <w:rsid w:val="00261204"/>
    <w:rsid w:val="0026123B"/>
    <w:rsid w:val="00261310"/>
    <w:rsid w:val="00261319"/>
    <w:rsid w:val="0026134C"/>
    <w:rsid w:val="0026136B"/>
    <w:rsid w:val="002613B6"/>
    <w:rsid w:val="0026149C"/>
    <w:rsid w:val="00261538"/>
    <w:rsid w:val="0026153C"/>
    <w:rsid w:val="00261546"/>
    <w:rsid w:val="0026158B"/>
    <w:rsid w:val="002615A1"/>
    <w:rsid w:val="002615F3"/>
    <w:rsid w:val="00261602"/>
    <w:rsid w:val="0026163E"/>
    <w:rsid w:val="00261704"/>
    <w:rsid w:val="00261753"/>
    <w:rsid w:val="00261759"/>
    <w:rsid w:val="0026178E"/>
    <w:rsid w:val="00261868"/>
    <w:rsid w:val="0026186D"/>
    <w:rsid w:val="00261876"/>
    <w:rsid w:val="0026189F"/>
    <w:rsid w:val="002618C6"/>
    <w:rsid w:val="0026190C"/>
    <w:rsid w:val="0026193C"/>
    <w:rsid w:val="00261951"/>
    <w:rsid w:val="00261963"/>
    <w:rsid w:val="00261993"/>
    <w:rsid w:val="002619E4"/>
    <w:rsid w:val="002619F2"/>
    <w:rsid w:val="00261A6E"/>
    <w:rsid w:val="00261AAE"/>
    <w:rsid w:val="00261AD5"/>
    <w:rsid w:val="00261AF0"/>
    <w:rsid w:val="00261AF5"/>
    <w:rsid w:val="00261B0B"/>
    <w:rsid w:val="00261B0F"/>
    <w:rsid w:val="00261B2F"/>
    <w:rsid w:val="00261B51"/>
    <w:rsid w:val="00261B6A"/>
    <w:rsid w:val="00261C6E"/>
    <w:rsid w:val="00261D17"/>
    <w:rsid w:val="00261D2E"/>
    <w:rsid w:val="00261D42"/>
    <w:rsid w:val="00261DE4"/>
    <w:rsid w:val="00261DEA"/>
    <w:rsid w:val="00261DF2"/>
    <w:rsid w:val="00261E10"/>
    <w:rsid w:val="00261E18"/>
    <w:rsid w:val="00261E2D"/>
    <w:rsid w:val="00261F2A"/>
    <w:rsid w:val="00261FA3"/>
    <w:rsid w:val="00261FD2"/>
    <w:rsid w:val="00261FEF"/>
    <w:rsid w:val="0026205E"/>
    <w:rsid w:val="002620E5"/>
    <w:rsid w:val="0026211C"/>
    <w:rsid w:val="00262203"/>
    <w:rsid w:val="0026220C"/>
    <w:rsid w:val="00262240"/>
    <w:rsid w:val="00262273"/>
    <w:rsid w:val="00262278"/>
    <w:rsid w:val="0026227E"/>
    <w:rsid w:val="00262280"/>
    <w:rsid w:val="002622AC"/>
    <w:rsid w:val="00262304"/>
    <w:rsid w:val="0026236B"/>
    <w:rsid w:val="0026239D"/>
    <w:rsid w:val="002623BC"/>
    <w:rsid w:val="002623D4"/>
    <w:rsid w:val="002623D8"/>
    <w:rsid w:val="0026240A"/>
    <w:rsid w:val="00262452"/>
    <w:rsid w:val="00262467"/>
    <w:rsid w:val="002624F7"/>
    <w:rsid w:val="0026250F"/>
    <w:rsid w:val="00262516"/>
    <w:rsid w:val="0026255B"/>
    <w:rsid w:val="002625C9"/>
    <w:rsid w:val="002625FF"/>
    <w:rsid w:val="0026260C"/>
    <w:rsid w:val="0026267E"/>
    <w:rsid w:val="0026268A"/>
    <w:rsid w:val="002626C1"/>
    <w:rsid w:val="00262708"/>
    <w:rsid w:val="00262759"/>
    <w:rsid w:val="00262779"/>
    <w:rsid w:val="00262781"/>
    <w:rsid w:val="00262782"/>
    <w:rsid w:val="00262783"/>
    <w:rsid w:val="0026278D"/>
    <w:rsid w:val="0026280B"/>
    <w:rsid w:val="00262849"/>
    <w:rsid w:val="00262864"/>
    <w:rsid w:val="00262875"/>
    <w:rsid w:val="002628CC"/>
    <w:rsid w:val="002628E2"/>
    <w:rsid w:val="0026290B"/>
    <w:rsid w:val="00262944"/>
    <w:rsid w:val="0026295D"/>
    <w:rsid w:val="00262981"/>
    <w:rsid w:val="002629C4"/>
    <w:rsid w:val="002629F7"/>
    <w:rsid w:val="00262A79"/>
    <w:rsid w:val="00262A85"/>
    <w:rsid w:val="00262AA6"/>
    <w:rsid w:val="00262ABD"/>
    <w:rsid w:val="00262AEA"/>
    <w:rsid w:val="00262C4C"/>
    <w:rsid w:val="00262C73"/>
    <w:rsid w:val="00262CFC"/>
    <w:rsid w:val="00262D0E"/>
    <w:rsid w:val="00262D3E"/>
    <w:rsid w:val="00262D42"/>
    <w:rsid w:val="00262D61"/>
    <w:rsid w:val="00262D7B"/>
    <w:rsid w:val="00262DE4"/>
    <w:rsid w:val="00262E1B"/>
    <w:rsid w:val="00262F44"/>
    <w:rsid w:val="00262F7D"/>
    <w:rsid w:val="00262FA1"/>
    <w:rsid w:val="00262FAE"/>
    <w:rsid w:val="00262FDA"/>
    <w:rsid w:val="0026307E"/>
    <w:rsid w:val="002630EB"/>
    <w:rsid w:val="0026315F"/>
    <w:rsid w:val="00263185"/>
    <w:rsid w:val="0026319D"/>
    <w:rsid w:val="002631B6"/>
    <w:rsid w:val="00263235"/>
    <w:rsid w:val="0026326D"/>
    <w:rsid w:val="002632F0"/>
    <w:rsid w:val="0026330E"/>
    <w:rsid w:val="0026336D"/>
    <w:rsid w:val="0026338C"/>
    <w:rsid w:val="002633A3"/>
    <w:rsid w:val="002633B1"/>
    <w:rsid w:val="002633D3"/>
    <w:rsid w:val="00263426"/>
    <w:rsid w:val="0026345D"/>
    <w:rsid w:val="0026346C"/>
    <w:rsid w:val="0026349B"/>
    <w:rsid w:val="002634AF"/>
    <w:rsid w:val="002634E2"/>
    <w:rsid w:val="0026350F"/>
    <w:rsid w:val="002635BE"/>
    <w:rsid w:val="002635C6"/>
    <w:rsid w:val="0026361F"/>
    <w:rsid w:val="002636C1"/>
    <w:rsid w:val="002636D3"/>
    <w:rsid w:val="0026372D"/>
    <w:rsid w:val="002637A7"/>
    <w:rsid w:val="0026380E"/>
    <w:rsid w:val="00263836"/>
    <w:rsid w:val="00263874"/>
    <w:rsid w:val="0026388F"/>
    <w:rsid w:val="002638BA"/>
    <w:rsid w:val="002638D9"/>
    <w:rsid w:val="002638DB"/>
    <w:rsid w:val="002638EE"/>
    <w:rsid w:val="00263945"/>
    <w:rsid w:val="00263948"/>
    <w:rsid w:val="00263992"/>
    <w:rsid w:val="00263A67"/>
    <w:rsid w:val="00263A94"/>
    <w:rsid w:val="00263AC4"/>
    <w:rsid w:val="00263B1E"/>
    <w:rsid w:val="00263B55"/>
    <w:rsid w:val="00263C24"/>
    <w:rsid w:val="00263C2C"/>
    <w:rsid w:val="00263C49"/>
    <w:rsid w:val="00263C5D"/>
    <w:rsid w:val="00263D4E"/>
    <w:rsid w:val="00263DC1"/>
    <w:rsid w:val="00263DEA"/>
    <w:rsid w:val="00263DFB"/>
    <w:rsid w:val="00263E17"/>
    <w:rsid w:val="00263E4C"/>
    <w:rsid w:val="00263E5D"/>
    <w:rsid w:val="00263E88"/>
    <w:rsid w:val="00263ED7"/>
    <w:rsid w:val="00263EEC"/>
    <w:rsid w:val="00263F39"/>
    <w:rsid w:val="00263F49"/>
    <w:rsid w:val="00263F5E"/>
    <w:rsid w:val="00263F76"/>
    <w:rsid w:val="00263F7F"/>
    <w:rsid w:val="00263F8D"/>
    <w:rsid w:val="00264013"/>
    <w:rsid w:val="002640AA"/>
    <w:rsid w:val="002640CF"/>
    <w:rsid w:val="002640E8"/>
    <w:rsid w:val="0026412D"/>
    <w:rsid w:val="00264134"/>
    <w:rsid w:val="00264144"/>
    <w:rsid w:val="00264150"/>
    <w:rsid w:val="002641BE"/>
    <w:rsid w:val="002641EF"/>
    <w:rsid w:val="00264248"/>
    <w:rsid w:val="00264259"/>
    <w:rsid w:val="0026429C"/>
    <w:rsid w:val="00264334"/>
    <w:rsid w:val="0026433A"/>
    <w:rsid w:val="0026436F"/>
    <w:rsid w:val="002643A7"/>
    <w:rsid w:val="002643C2"/>
    <w:rsid w:val="0026446B"/>
    <w:rsid w:val="00264481"/>
    <w:rsid w:val="00264491"/>
    <w:rsid w:val="002644AB"/>
    <w:rsid w:val="002644D8"/>
    <w:rsid w:val="002644F4"/>
    <w:rsid w:val="0026451C"/>
    <w:rsid w:val="00264631"/>
    <w:rsid w:val="0026464E"/>
    <w:rsid w:val="00264661"/>
    <w:rsid w:val="002646BC"/>
    <w:rsid w:val="002646FF"/>
    <w:rsid w:val="00264702"/>
    <w:rsid w:val="0026471A"/>
    <w:rsid w:val="0026474E"/>
    <w:rsid w:val="00264797"/>
    <w:rsid w:val="002647AD"/>
    <w:rsid w:val="002648AE"/>
    <w:rsid w:val="002648C1"/>
    <w:rsid w:val="0026495D"/>
    <w:rsid w:val="002649E2"/>
    <w:rsid w:val="002649E6"/>
    <w:rsid w:val="00264A32"/>
    <w:rsid w:val="00264A44"/>
    <w:rsid w:val="00264AAF"/>
    <w:rsid w:val="00264AC8"/>
    <w:rsid w:val="00264B01"/>
    <w:rsid w:val="00264B9E"/>
    <w:rsid w:val="00264BB1"/>
    <w:rsid w:val="00264BE5"/>
    <w:rsid w:val="00264BF9"/>
    <w:rsid w:val="00264C0C"/>
    <w:rsid w:val="00264C8D"/>
    <w:rsid w:val="00264D14"/>
    <w:rsid w:val="00264D61"/>
    <w:rsid w:val="00264D67"/>
    <w:rsid w:val="00264DF2"/>
    <w:rsid w:val="00264E90"/>
    <w:rsid w:val="00264EDE"/>
    <w:rsid w:val="00264EE6"/>
    <w:rsid w:val="00264EFC"/>
    <w:rsid w:val="00264F32"/>
    <w:rsid w:val="00264F3A"/>
    <w:rsid w:val="00264F54"/>
    <w:rsid w:val="00264F59"/>
    <w:rsid w:val="00264F71"/>
    <w:rsid w:val="00264FB3"/>
    <w:rsid w:val="00264FC1"/>
    <w:rsid w:val="0026506F"/>
    <w:rsid w:val="002650AF"/>
    <w:rsid w:val="002650E8"/>
    <w:rsid w:val="0026516D"/>
    <w:rsid w:val="0026517C"/>
    <w:rsid w:val="00265197"/>
    <w:rsid w:val="002651A7"/>
    <w:rsid w:val="002651B3"/>
    <w:rsid w:val="002651C5"/>
    <w:rsid w:val="002651EA"/>
    <w:rsid w:val="00265214"/>
    <w:rsid w:val="00265270"/>
    <w:rsid w:val="002652D9"/>
    <w:rsid w:val="00265347"/>
    <w:rsid w:val="00265383"/>
    <w:rsid w:val="002653BC"/>
    <w:rsid w:val="00265434"/>
    <w:rsid w:val="0026544D"/>
    <w:rsid w:val="00265484"/>
    <w:rsid w:val="002654AB"/>
    <w:rsid w:val="002654E2"/>
    <w:rsid w:val="00265515"/>
    <w:rsid w:val="0026556A"/>
    <w:rsid w:val="002655E2"/>
    <w:rsid w:val="002655FE"/>
    <w:rsid w:val="00265625"/>
    <w:rsid w:val="00265629"/>
    <w:rsid w:val="002656B4"/>
    <w:rsid w:val="002656E1"/>
    <w:rsid w:val="00265710"/>
    <w:rsid w:val="0026572D"/>
    <w:rsid w:val="0026585D"/>
    <w:rsid w:val="002658C9"/>
    <w:rsid w:val="002658FB"/>
    <w:rsid w:val="0026591B"/>
    <w:rsid w:val="002659B3"/>
    <w:rsid w:val="00265A30"/>
    <w:rsid w:val="00265A39"/>
    <w:rsid w:val="00265A66"/>
    <w:rsid w:val="00265ADF"/>
    <w:rsid w:val="00265BCA"/>
    <w:rsid w:val="00265C75"/>
    <w:rsid w:val="00265CA4"/>
    <w:rsid w:val="00265CA6"/>
    <w:rsid w:val="00265D1A"/>
    <w:rsid w:val="00265D27"/>
    <w:rsid w:val="00265D68"/>
    <w:rsid w:val="00265D96"/>
    <w:rsid w:val="00265E0A"/>
    <w:rsid w:val="00265E39"/>
    <w:rsid w:val="00265E48"/>
    <w:rsid w:val="00265ECA"/>
    <w:rsid w:val="00265F31"/>
    <w:rsid w:val="00265F60"/>
    <w:rsid w:val="00265F8C"/>
    <w:rsid w:val="00265F8F"/>
    <w:rsid w:val="00265F9D"/>
    <w:rsid w:val="00266050"/>
    <w:rsid w:val="00266057"/>
    <w:rsid w:val="0026605C"/>
    <w:rsid w:val="00266084"/>
    <w:rsid w:val="002660A4"/>
    <w:rsid w:val="002660E5"/>
    <w:rsid w:val="002660FA"/>
    <w:rsid w:val="00266122"/>
    <w:rsid w:val="0026619B"/>
    <w:rsid w:val="002661BA"/>
    <w:rsid w:val="00266221"/>
    <w:rsid w:val="0026624A"/>
    <w:rsid w:val="002662C8"/>
    <w:rsid w:val="002662FD"/>
    <w:rsid w:val="00266347"/>
    <w:rsid w:val="00266393"/>
    <w:rsid w:val="00266416"/>
    <w:rsid w:val="00266430"/>
    <w:rsid w:val="00266438"/>
    <w:rsid w:val="00266440"/>
    <w:rsid w:val="00266444"/>
    <w:rsid w:val="00266455"/>
    <w:rsid w:val="00266569"/>
    <w:rsid w:val="00266584"/>
    <w:rsid w:val="002665A0"/>
    <w:rsid w:val="002665AE"/>
    <w:rsid w:val="00266634"/>
    <w:rsid w:val="00266647"/>
    <w:rsid w:val="00266666"/>
    <w:rsid w:val="002666CA"/>
    <w:rsid w:val="002667A6"/>
    <w:rsid w:val="002667E3"/>
    <w:rsid w:val="0026685D"/>
    <w:rsid w:val="0026687E"/>
    <w:rsid w:val="00266896"/>
    <w:rsid w:val="002669DA"/>
    <w:rsid w:val="002669DD"/>
    <w:rsid w:val="002669EE"/>
    <w:rsid w:val="002669F7"/>
    <w:rsid w:val="00266A09"/>
    <w:rsid w:val="00266A0E"/>
    <w:rsid w:val="00266A59"/>
    <w:rsid w:val="00266A92"/>
    <w:rsid w:val="00266ABD"/>
    <w:rsid w:val="00266AF7"/>
    <w:rsid w:val="00266B7C"/>
    <w:rsid w:val="00266BD1"/>
    <w:rsid w:val="00266BF4"/>
    <w:rsid w:val="00266C67"/>
    <w:rsid w:val="00266C6F"/>
    <w:rsid w:val="00266C87"/>
    <w:rsid w:val="00266CD6"/>
    <w:rsid w:val="00266CE6"/>
    <w:rsid w:val="00266D27"/>
    <w:rsid w:val="00266D30"/>
    <w:rsid w:val="00266DD7"/>
    <w:rsid w:val="00266DF9"/>
    <w:rsid w:val="00266E08"/>
    <w:rsid w:val="00266E19"/>
    <w:rsid w:val="00266EBD"/>
    <w:rsid w:val="00266ECB"/>
    <w:rsid w:val="00266F19"/>
    <w:rsid w:val="00266F1B"/>
    <w:rsid w:val="0026702D"/>
    <w:rsid w:val="0026703D"/>
    <w:rsid w:val="00267064"/>
    <w:rsid w:val="0026716C"/>
    <w:rsid w:val="0026717B"/>
    <w:rsid w:val="002671C8"/>
    <w:rsid w:val="002671CA"/>
    <w:rsid w:val="002671DE"/>
    <w:rsid w:val="002671EF"/>
    <w:rsid w:val="00267219"/>
    <w:rsid w:val="00267242"/>
    <w:rsid w:val="0026724E"/>
    <w:rsid w:val="00267347"/>
    <w:rsid w:val="002673C8"/>
    <w:rsid w:val="002673E2"/>
    <w:rsid w:val="002673F8"/>
    <w:rsid w:val="002673FB"/>
    <w:rsid w:val="00267452"/>
    <w:rsid w:val="00267461"/>
    <w:rsid w:val="002674F5"/>
    <w:rsid w:val="00267503"/>
    <w:rsid w:val="00267567"/>
    <w:rsid w:val="002675CF"/>
    <w:rsid w:val="00267623"/>
    <w:rsid w:val="002676B0"/>
    <w:rsid w:val="002676FB"/>
    <w:rsid w:val="00267779"/>
    <w:rsid w:val="00267791"/>
    <w:rsid w:val="002677AA"/>
    <w:rsid w:val="002677E0"/>
    <w:rsid w:val="002677EA"/>
    <w:rsid w:val="002677ED"/>
    <w:rsid w:val="0026783A"/>
    <w:rsid w:val="00267848"/>
    <w:rsid w:val="00267851"/>
    <w:rsid w:val="00267874"/>
    <w:rsid w:val="002678CD"/>
    <w:rsid w:val="00267916"/>
    <w:rsid w:val="0026796D"/>
    <w:rsid w:val="002679DE"/>
    <w:rsid w:val="002679E9"/>
    <w:rsid w:val="002679F1"/>
    <w:rsid w:val="00267A6D"/>
    <w:rsid w:val="00267AAC"/>
    <w:rsid w:val="00267AAD"/>
    <w:rsid w:val="00267AAF"/>
    <w:rsid w:val="00267AC3"/>
    <w:rsid w:val="00267AD6"/>
    <w:rsid w:val="00267B38"/>
    <w:rsid w:val="00267B53"/>
    <w:rsid w:val="00267B71"/>
    <w:rsid w:val="00267B91"/>
    <w:rsid w:val="00267BA0"/>
    <w:rsid w:val="00267BCA"/>
    <w:rsid w:val="00267C9E"/>
    <w:rsid w:val="00267CCB"/>
    <w:rsid w:val="00267CEB"/>
    <w:rsid w:val="00267DA0"/>
    <w:rsid w:val="00267E74"/>
    <w:rsid w:val="00267E7E"/>
    <w:rsid w:val="00267EA0"/>
    <w:rsid w:val="00267ED3"/>
    <w:rsid w:val="00267F00"/>
    <w:rsid w:val="00267F06"/>
    <w:rsid w:val="0026A996"/>
    <w:rsid w:val="00270043"/>
    <w:rsid w:val="0027007D"/>
    <w:rsid w:val="00270081"/>
    <w:rsid w:val="002700A4"/>
    <w:rsid w:val="002700B9"/>
    <w:rsid w:val="00270127"/>
    <w:rsid w:val="0027015F"/>
    <w:rsid w:val="0027018A"/>
    <w:rsid w:val="0027019E"/>
    <w:rsid w:val="002701AE"/>
    <w:rsid w:val="002701DD"/>
    <w:rsid w:val="00270210"/>
    <w:rsid w:val="00270263"/>
    <w:rsid w:val="0027026E"/>
    <w:rsid w:val="002702A1"/>
    <w:rsid w:val="002702A6"/>
    <w:rsid w:val="00270323"/>
    <w:rsid w:val="00270324"/>
    <w:rsid w:val="0027033B"/>
    <w:rsid w:val="00270340"/>
    <w:rsid w:val="0027036F"/>
    <w:rsid w:val="0027038B"/>
    <w:rsid w:val="0027040D"/>
    <w:rsid w:val="0027040F"/>
    <w:rsid w:val="00270482"/>
    <w:rsid w:val="00270508"/>
    <w:rsid w:val="00270513"/>
    <w:rsid w:val="0027051C"/>
    <w:rsid w:val="0027051D"/>
    <w:rsid w:val="002705E4"/>
    <w:rsid w:val="002705EA"/>
    <w:rsid w:val="002706EB"/>
    <w:rsid w:val="00270747"/>
    <w:rsid w:val="00270748"/>
    <w:rsid w:val="0027075A"/>
    <w:rsid w:val="0027076C"/>
    <w:rsid w:val="002707A8"/>
    <w:rsid w:val="00270818"/>
    <w:rsid w:val="00270822"/>
    <w:rsid w:val="00270859"/>
    <w:rsid w:val="00270883"/>
    <w:rsid w:val="002708AB"/>
    <w:rsid w:val="002708AD"/>
    <w:rsid w:val="002708E6"/>
    <w:rsid w:val="00270974"/>
    <w:rsid w:val="00270980"/>
    <w:rsid w:val="00270A2A"/>
    <w:rsid w:val="00270A7C"/>
    <w:rsid w:val="00270A98"/>
    <w:rsid w:val="00270AE6"/>
    <w:rsid w:val="00270B16"/>
    <w:rsid w:val="00270B4D"/>
    <w:rsid w:val="00270B68"/>
    <w:rsid w:val="00270BFB"/>
    <w:rsid w:val="00270C15"/>
    <w:rsid w:val="00270C5C"/>
    <w:rsid w:val="00270C8B"/>
    <w:rsid w:val="00270CE4"/>
    <w:rsid w:val="00270CF7"/>
    <w:rsid w:val="00270D2E"/>
    <w:rsid w:val="00270DA0"/>
    <w:rsid w:val="00270DD4"/>
    <w:rsid w:val="00270E23"/>
    <w:rsid w:val="00270E33"/>
    <w:rsid w:val="00270E47"/>
    <w:rsid w:val="00270E54"/>
    <w:rsid w:val="00270EDC"/>
    <w:rsid w:val="00270F53"/>
    <w:rsid w:val="00270FA1"/>
    <w:rsid w:val="00270FE9"/>
    <w:rsid w:val="0027104D"/>
    <w:rsid w:val="0027106A"/>
    <w:rsid w:val="002710CE"/>
    <w:rsid w:val="002710E4"/>
    <w:rsid w:val="002710FB"/>
    <w:rsid w:val="00271146"/>
    <w:rsid w:val="002711E2"/>
    <w:rsid w:val="0027124D"/>
    <w:rsid w:val="002712A0"/>
    <w:rsid w:val="002712BD"/>
    <w:rsid w:val="002712FC"/>
    <w:rsid w:val="00271332"/>
    <w:rsid w:val="00271360"/>
    <w:rsid w:val="002713B1"/>
    <w:rsid w:val="002713FA"/>
    <w:rsid w:val="00271454"/>
    <w:rsid w:val="002714F8"/>
    <w:rsid w:val="002714FC"/>
    <w:rsid w:val="00271525"/>
    <w:rsid w:val="0027154B"/>
    <w:rsid w:val="00271564"/>
    <w:rsid w:val="002715E2"/>
    <w:rsid w:val="00271618"/>
    <w:rsid w:val="0027161A"/>
    <w:rsid w:val="00271676"/>
    <w:rsid w:val="002716C0"/>
    <w:rsid w:val="00271785"/>
    <w:rsid w:val="002717E6"/>
    <w:rsid w:val="002717EE"/>
    <w:rsid w:val="0027180D"/>
    <w:rsid w:val="0027181B"/>
    <w:rsid w:val="002718AF"/>
    <w:rsid w:val="002718E2"/>
    <w:rsid w:val="0027192C"/>
    <w:rsid w:val="00271998"/>
    <w:rsid w:val="00271A9B"/>
    <w:rsid w:val="00271B1A"/>
    <w:rsid w:val="00271B29"/>
    <w:rsid w:val="00271B2F"/>
    <w:rsid w:val="00271B6C"/>
    <w:rsid w:val="00271BED"/>
    <w:rsid w:val="00271C02"/>
    <w:rsid w:val="00271C08"/>
    <w:rsid w:val="00271C41"/>
    <w:rsid w:val="00271C7C"/>
    <w:rsid w:val="00271CA7"/>
    <w:rsid w:val="00271CC0"/>
    <w:rsid w:val="00271CC4"/>
    <w:rsid w:val="00271D05"/>
    <w:rsid w:val="00271D4F"/>
    <w:rsid w:val="00271DE2"/>
    <w:rsid w:val="00271E53"/>
    <w:rsid w:val="00271E85"/>
    <w:rsid w:val="00271F42"/>
    <w:rsid w:val="0027208C"/>
    <w:rsid w:val="002720D2"/>
    <w:rsid w:val="002720DD"/>
    <w:rsid w:val="002721C0"/>
    <w:rsid w:val="002721FC"/>
    <w:rsid w:val="0027222B"/>
    <w:rsid w:val="0027224A"/>
    <w:rsid w:val="002722C4"/>
    <w:rsid w:val="002722DB"/>
    <w:rsid w:val="00272348"/>
    <w:rsid w:val="00272354"/>
    <w:rsid w:val="0027238B"/>
    <w:rsid w:val="0027238D"/>
    <w:rsid w:val="002723F2"/>
    <w:rsid w:val="0027244A"/>
    <w:rsid w:val="002724C2"/>
    <w:rsid w:val="002724EC"/>
    <w:rsid w:val="0027252F"/>
    <w:rsid w:val="00272557"/>
    <w:rsid w:val="0027257E"/>
    <w:rsid w:val="00272620"/>
    <w:rsid w:val="002726B4"/>
    <w:rsid w:val="002726BF"/>
    <w:rsid w:val="002726EE"/>
    <w:rsid w:val="00272740"/>
    <w:rsid w:val="00272770"/>
    <w:rsid w:val="00272795"/>
    <w:rsid w:val="002727F4"/>
    <w:rsid w:val="0027292E"/>
    <w:rsid w:val="00272936"/>
    <w:rsid w:val="0027295C"/>
    <w:rsid w:val="00272A0E"/>
    <w:rsid w:val="00272A85"/>
    <w:rsid w:val="00272A9D"/>
    <w:rsid w:val="00272AA8"/>
    <w:rsid w:val="00272B34"/>
    <w:rsid w:val="00272B6F"/>
    <w:rsid w:val="00272B73"/>
    <w:rsid w:val="00272B8C"/>
    <w:rsid w:val="00272B94"/>
    <w:rsid w:val="00272BA8"/>
    <w:rsid w:val="00272BB8"/>
    <w:rsid w:val="00272BBE"/>
    <w:rsid w:val="00272BD5"/>
    <w:rsid w:val="00272BF3"/>
    <w:rsid w:val="00272C17"/>
    <w:rsid w:val="00272C1B"/>
    <w:rsid w:val="00272C1F"/>
    <w:rsid w:val="00272C23"/>
    <w:rsid w:val="00272C40"/>
    <w:rsid w:val="00272C5A"/>
    <w:rsid w:val="00272CB6"/>
    <w:rsid w:val="00272D27"/>
    <w:rsid w:val="00272D31"/>
    <w:rsid w:val="00272DEC"/>
    <w:rsid w:val="00272E01"/>
    <w:rsid w:val="00272E43"/>
    <w:rsid w:val="00272E47"/>
    <w:rsid w:val="00272E95"/>
    <w:rsid w:val="00272F78"/>
    <w:rsid w:val="00272FAF"/>
    <w:rsid w:val="00272FEE"/>
    <w:rsid w:val="00273062"/>
    <w:rsid w:val="00273065"/>
    <w:rsid w:val="00273081"/>
    <w:rsid w:val="0027308D"/>
    <w:rsid w:val="002730B1"/>
    <w:rsid w:val="002730E0"/>
    <w:rsid w:val="00273111"/>
    <w:rsid w:val="00273147"/>
    <w:rsid w:val="0027315A"/>
    <w:rsid w:val="002731C6"/>
    <w:rsid w:val="0027327B"/>
    <w:rsid w:val="0027329C"/>
    <w:rsid w:val="002732D2"/>
    <w:rsid w:val="002732D3"/>
    <w:rsid w:val="002732F0"/>
    <w:rsid w:val="002733C4"/>
    <w:rsid w:val="0027341E"/>
    <w:rsid w:val="00273427"/>
    <w:rsid w:val="00273468"/>
    <w:rsid w:val="0027347A"/>
    <w:rsid w:val="00273488"/>
    <w:rsid w:val="002734CA"/>
    <w:rsid w:val="00273541"/>
    <w:rsid w:val="00273546"/>
    <w:rsid w:val="002735B5"/>
    <w:rsid w:val="002735F5"/>
    <w:rsid w:val="00273616"/>
    <w:rsid w:val="00273652"/>
    <w:rsid w:val="00273660"/>
    <w:rsid w:val="0027367F"/>
    <w:rsid w:val="0027368D"/>
    <w:rsid w:val="002736FA"/>
    <w:rsid w:val="00273749"/>
    <w:rsid w:val="0027375A"/>
    <w:rsid w:val="0027376B"/>
    <w:rsid w:val="002737A4"/>
    <w:rsid w:val="002737CB"/>
    <w:rsid w:val="00273843"/>
    <w:rsid w:val="00273860"/>
    <w:rsid w:val="00273934"/>
    <w:rsid w:val="00273985"/>
    <w:rsid w:val="002739B8"/>
    <w:rsid w:val="002739E2"/>
    <w:rsid w:val="00273A18"/>
    <w:rsid w:val="00273A64"/>
    <w:rsid w:val="00273B19"/>
    <w:rsid w:val="00273B34"/>
    <w:rsid w:val="00273B87"/>
    <w:rsid w:val="00273BB1"/>
    <w:rsid w:val="00273BC3"/>
    <w:rsid w:val="00273CDD"/>
    <w:rsid w:val="00273CEC"/>
    <w:rsid w:val="00273CF6"/>
    <w:rsid w:val="00273D11"/>
    <w:rsid w:val="00273D22"/>
    <w:rsid w:val="00273D3D"/>
    <w:rsid w:val="00273DF4"/>
    <w:rsid w:val="00273E08"/>
    <w:rsid w:val="00273E44"/>
    <w:rsid w:val="00273E6C"/>
    <w:rsid w:val="00273F2C"/>
    <w:rsid w:val="00273F62"/>
    <w:rsid w:val="00273F6C"/>
    <w:rsid w:val="00273FC4"/>
    <w:rsid w:val="00273FE3"/>
    <w:rsid w:val="00273FE8"/>
    <w:rsid w:val="00273FF4"/>
    <w:rsid w:val="00274032"/>
    <w:rsid w:val="00274066"/>
    <w:rsid w:val="00274068"/>
    <w:rsid w:val="00274141"/>
    <w:rsid w:val="00274159"/>
    <w:rsid w:val="0027419D"/>
    <w:rsid w:val="002741C6"/>
    <w:rsid w:val="002741FC"/>
    <w:rsid w:val="0027420A"/>
    <w:rsid w:val="0027427D"/>
    <w:rsid w:val="00274328"/>
    <w:rsid w:val="002743B4"/>
    <w:rsid w:val="002744A0"/>
    <w:rsid w:val="002744BE"/>
    <w:rsid w:val="002744FA"/>
    <w:rsid w:val="0027452D"/>
    <w:rsid w:val="00274551"/>
    <w:rsid w:val="002745BB"/>
    <w:rsid w:val="002745BD"/>
    <w:rsid w:val="002745DF"/>
    <w:rsid w:val="002745FF"/>
    <w:rsid w:val="002746A8"/>
    <w:rsid w:val="002746B0"/>
    <w:rsid w:val="002746BA"/>
    <w:rsid w:val="002746C9"/>
    <w:rsid w:val="00274744"/>
    <w:rsid w:val="00274760"/>
    <w:rsid w:val="002747C6"/>
    <w:rsid w:val="00274802"/>
    <w:rsid w:val="00274828"/>
    <w:rsid w:val="002748F6"/>
    <w:rsid w:val="00274959"/>
    <w:rsid w:val="00274A14"/>
    <w:rsid w:val="00274A5E"/>
    <w:rsid w:val="00274A7C"/>
    <w:rsid w:val="00274A87"/>
    <w:rsid w:val="00274ADD"/>
    <w:rsid w:val="00274B70"/>
    <w:rsid w:val="00274B9E"/>
    <w:rsid w:val="00274BAD"/>
    <w:rsid w:val="00274BC5"/>
    <w:rsid w:val="00274CB1"/>
    <w:rsid w:val="00274CE1"/>
    <w:rsid w:val="00274CE6"/>
    <w:rsid w:val="00274D7F"/>
    <w:rsid w:val="00274D8A"/>
    <w:rsid w:val="00274E28"/>
    <w:rsid w:val="00274EC6"/>
    <w:rsid w:val="00274EE0"/>
    <w:rsid w:val="00274EFF"/>
    <w:rsid w:val="00274F25"/>
    <w:rsid w:val="00274FAE"/>
    <w:rsid w:val="00274FF2"/>
    <w:rsid w:val="00275034"/>
    <w:rsid w:val="002750A0"/>
    <w:rsid w:val="002750C7"/>
    <w:rsid w:val="002750E1"/>
    <w:rsid w:val="002750E3"/>
    <w:rsid w:val="0027510D"/>
    <w:rsid w:val="00275142"/>
    <w:rsid w:val="00275161"/>
    <w:rsid w:val="002751CC"/>
    <w:rsid w:val="00275219"/>
    <w:rsid w:val="0027524B"/>
    <w:rsid w:val="00275262"/>
    <w:rsid w:val="0027527B"/>
    <w:rsid w:val="00275290"/>
    <w:rsid w:val="002752A5"/>
    <w:rsid w:val="0027530E"/>
    <w:rsid w:val="0027532F"/>
    <w:rsid w:val="00275347"/>
    <w:rsid w:val="002753E9"/>
    <w:rsid w:val="002754DD"/>
    <w:rsid w:val="002754E6"/>
    <w:rsid w:val="0027550B"/>
    <w:rsid w:val="0027556D"/>
    <w:rsid w:val="002755B0"/>
    <w:rsid w:val="002755E4"/>
    <w:rsid w:val="0027561C"/>
    <w:rsid w:val="002756BA"/>
    <w:rsid w:val="002756ED"/>
    <w:rsid w:val="00275702"/>
    <w:rsid w:val="0027573D"/>
    <w:rsid w:val="0027578B"/>
    <w:rsid w:val="00275793"/>
    <w:rsid w:val="00275798"/>
    <w:rsid w:val="0027587B"/>
    <w:rsid w:val="002758A0"/>
    <w:rsid w:val="002759B6"/>
    <w:rsid w:val="002759E2"/>
    <w:rsid w:val="002759E7"/>
    <w:rsid w:val="00275A0F"/>
    <w:rsid w:val="00275A2E"/>
    <w:rsid w:val="00275A5B"/>
    <w:rsid w:val="00275A68"/>
    <w:rsid w:val="00275A73"/>
    <w:rsid w:val="00275B2E"/>
    <w:rsid w:val="00275C06"/>
    <w:rsid w:val="00275C0D"/>
    <w:rsid w:val="00275C46"/>
    <w:rsid w:val="00275C82"/>
    <w:rsid w:val="00275C8A"/>
    <w:rsid w:val="00275CD8"/>
    <w:rsid w:val="00275D24"/>
    <w:rsid w:val="00275D7F"/>
    <w:rsid w:val="00275DB0"/>
    <w:rsid w:val="00275DDE"/>
    <w:rsid w:val="00275DE6"/>
    <w:rsid w:val="00275E36"/>
    <w:rsid w:val="00275E70"/>
    <w:rsid w:val="00275ED9"/>
    <w:rsid w:val="00275F8D"/>
    <w:rsid w:val="00275F90"/>
    <w:rsid w:val="00275FDA"/>
    <w:rsid w:val="00275FEC"/>
    <w:rsid w:val="00276006"/>
    <w:rsid w:val="0027602D"/>
    <w:rsid w:val="00276041"/>
    <w:rsid w:val="00276043"/>
    <w:rsid w:val="002760BD"/>
    <w:rsid w:val="002760DC"/>
    <w:rsid w:val="002760EE"/>
    <w:rsid w:val="00276115"/>
    <w:rsid w:val="00276116"/>
    <w:rsid w:val="002761AE"/>
    <w:rsid w:val="002761B6"/>
    <w:rsid w:val="002761F0"/>
    <w:rsid w:val="002761FA"/>
    <w:rsid w:val="00276208"/>
    <w:rsid w:val="00276217"/>
    <w:rsid w:val="0027622C"/>
    <w:rsid w:val="002762AF"/>
    <w:rsid w:val="002762B6"/>
    <w:rsid w:val="002762B7"/>
    <w:rsid w:val="00276369"/>
    <w:rsid w:val="002763E6"/>
    <w:rsid w:val="002763F2"/>
    <w:rsid w:val="002763F4"/>
    <w:rsid w:val="0027640E"/>
    <w:rsid w:val="002764CF"/>
    <w:rsid w:val="002764F8"/>
    <w:rsid w:val="0027652F"/>
    <w:rsid w:val="00276544"/>
    <w:rsid w:val="00276549"/>
    <w:rsid w:val="00276566"/>
    <w:rsid w:val="0027659F"/>
    <w:rsid w:val="002765CE"/>
    <w:rsid w:val="002765D1"/>
    <w:rsid w:val="0027660E"/>
    <w:rsid w:val="0027660F"/>
    <w:rsid w:val="002766A8"/>
    <w:rsid w:val="002766B1"/>
    <w:rsid w:val="002766F0"/>
    <w:rsid w:val="002766F9"/>
    <w:rsid w:val="00276742"/>
    <w:rsid w:val="002767C1"/>
    <w:rsid w:val="002767F2"/>
    <w:rsid w:val="00276859"/>
    <w:rsid w:val="00276919"/>
    <w:rsid w:val="00276935"/>
    <w:rsid w:val="00276962"/>
    <w:rsid w:val="002769A8"/>
    <w:rsid w:val="002769AB"/>
    <w:rsid w:val="002769B3"/>
    <w:rsid w:val="002769CE"/>
    <w:rsid w:val="002769FA"/>
    <w:rsid w:val="00276A6F"/>
    <w:rsid w:val="00276AB2"/>
    <w:rsid w:val="00276AE9"/>
    <w:rsid w:val="00276AF5"/>
    <w:rsid w:val="00276BC7"/>
    <w:rsid w:val="00276BE6"/>
    <w:rsid w:val="00276C0E"/>
    <w:rsid w:val="00276C1E"/>
    <w:rsid w:val="00276C20"/>
    <w:rsid w:val="00276C41"/>
    <w:rsid w:val="00276C44"/>
    <w:rsid w:val="00276C65"/>
    <w:rsid w:val="00276C90"/>
    <w:rsid w:val="00276CA8"/>
    <w:rsid w:val="00276CAA"/>
    <w:rsid w:val="00276D4C"/>
    <w:rsid w:val="00276D79"/>
    <w:rsid w:val="00276E4A"/>
    <w:rsid w:val="00276E62"/>
    <w:rsid w:val="00276E9A"/>
    <w:rsid w:val="00276F0B"/>
    <w:rsid w:val="00276F1F"/>
    <w:rsid w:val="00276F32"/>
    <w:rsid w:val="00276F8E"/>
    <w:rsid w:val="00276F99"/>
    <w:rsid w:val="00276FE3"/>
    <w:rsid w:val="00277095"/>
    <w:rsid w:val="002770A7"/>
    <w:rsid w:val="002770CC"/>
    <w:rsid w:val="00277140"/>
    <w:rsid w:val="00277186"/>
    <w:rsid w:val="002771AB"/>
    <w:rsid w:val="002771B4"/>
    <w:rsid w:val="002771C0"/>
    <w:rsid w:val="002771D9"/>
    <w:rsid w:val="002772D0"/>
    <w:rsid w:val="002772FA"/>
    <w:rsid w:val="0027731D"/>
    <w:rsid w:val="0027733E"/>
    <w:rsid w:val="002773CE"/>
    <w:rsid w:val="002773DD"/>
    <w:rsid w:val="00277409"/>
    <w:rsid w:val="00277474"/>
    <w:rsid w:val="00277491"/>
    <w:rsid w:val="0027749C"/>
    <w:rsid w:val="00277573"/>
    <w:rsid w:val="0027757C"/>
    <w:rsid w:val="002775E5"/>
    <w:rsid w:val="00277615"/>
    <w:rsid w:val="0027767B"/>
    <w:rsid w:val="0027767D"/>
    <w:rsid w:val="00277690"/>
    <w:rsid w:val="0027771E"/>
    <w:rsid w:val="00277730"/>
    <w:rsid w:val="00277796"/>
    <w:rsid w:val="002777E1"/>
    <w:rsid w:val="0027780B"/>
    <w:rsid w:val="00277851"/>
    <w:rsid w:val="00277857"/>
    <w:rsid w:val="00277858"/>
    <w:rsid w:val="00277891"/>
    <w:rsid w:val="002778F0"/>
    <w:rsid w:val="00277923"/>
    <w:rsid w:val="00277985"/>
    <w:rsid w:val="00277A02"/>
    <w:rsid w:val="00277A11"/>
    <w:rsid w:val="00277A35"/>
    <w:rsid w:val="00277A70"/>
    <w:rsid w:val="00277ABF"/>
    <w:rsid w:val="00277AF4"/>
    <w:rsid w:val="00277B59"/>
    <w:rsid w:val="00277C3B"/>
    <w:rsid w:val="00277C6D"/>
    <w:rsid w:val="00277CA9"/>
    <w:rsid w:val="00277CC2"/>
    <w:rsid w:val="00277D06"/>
    <w:rsid w:val="00277D2C"/>
    <w:rsid w:val="00277D96"/>
    <w:rsid w:val="00277DAA"/>
    <w:rsid w:val="00277DB8"/>
    <w:rsid w:val="00277DC2"/>
    <w:rsid w:val="00277DDA"/>
    <w:rsid w:val="00277E0A"/>
    <w:rsid w:val="00277E3A"/>
    <w:rsid w:val="00277E3F"/>
    <w:rsid w:val="00277E66"/>
    <w:rsid w:val="00277E9C"/>
    <w:rsid w:val="00277EAF"/>
    <w:rsid w:val="00277F53"/>
    <w:rsid w:val="00277FA4"/>
    <w:rsid w:val="00277FC3"/>
    <w:rsid w:val="00277FD4"/>
    <w:rsid w:val="00280086"/>
    <w:rsid w:val="00280092"/>
    <w:rsid w:val="002800B6"/>
    <w:rsid w:val="002800DF"/>
    <w:rsid w:val="00280126"/>
    <w:rsid w:val="0028019F"/>
    <w:rsid w:val="002801B4"/>
    <w:rsid w:val="002801EE"/>
    <w:rsid w:val="00280215"/>
    <w:rsid w:val="0028026C"/>
    <w:rsid w:val="00280287"/>
    <w:rsid w:val="0028029A"/>
    <w:rsid w:val="002802A5"/>
    <w:rsid w:val="00280303"/>
    <w:rsid w:val="00280324"/>
    <w:rsid w:val="00280329"/>
    <w:rsid w:val="00280370"/>
    <w:rsid w:val="002803C6"/>
    <w:rsid w:val="002803CC"/>
    <w:rsid w:val="002803D7"/>
    <w:rsid w:val="00280407"/>
    <w:rsid w:val="00280431"/>
    <w:rsid w:val="002804FB"/>
    <w:rsid w:val="00280501"/>
    <w:rsid w:val="00280523"/>
    <w:rsid w:val="00280532"/>
    <w:rsid w:val="00280552"/>
    <w:rsid w:val="00280578"/>
    <w:rsid w:val="002805AD"/>
    <w:rsid w:val="002805C4"/>
    <w:rsid w:val="002805DF"/>
    <w:rsid w:val="002805EB"/>
    <w:rsid w:val="002805EF"/>
    <w:rsid w:val="002805F7"/>
    <w:rsid w:val="0028064A"/>
    <w:rsid w:val="002806B5"/>
    <w:rsid w:val="002806C0"/>
    <w:rsid w:val="002806F2"/>
    <w:rsid w:val="00280702"/>
    <w:rsid w:val="00280708"/>
    <w:rsid w:val="0028071C"/>
    <w:rsid w:val="0028073F"/>
    <w:rsid w:val="00280743"/>
    <w:rsid w:val="002807AB"/>
    <w:rsid w:val="0028081D"/>
    <w:rsid w:val="00280840"/>
    <w:rsid w:val="002808A4"/>
    <w:rsid w:val="002808AD"/>
    <w:rsid w:val="002808E3"/>
    <w:rsid w:val="002808FA"/>
    <w:rsid w:val="00280990"/>
    <w:rsid w:val="002809D0"/>
    <w:rsid w:val="00280A8F"/>
    <w:rsid w:val="00280B02"/>
    <w:rsid w:val="00280B13"/>
    <w:rsid w:val="00280BAB"/>
    <w:rsid w:val="00280BE4"/>
    <w:rsid w:val="00280CCC"/>
    <w:rsid w:val="00280DA0"/>
    <w:rsid w:val="00280DAB"/>
    <w:rsid w:val="00280DBE"/>
    <w:rsid w:val="00280DF4"/>
    <w:rsid w:val="00280E0A"/>
    <w:rsid w:val="00280E4A"/>
    <w:rsid w:val="00280E7A"/>
    <w:rsid w:val="00280E97"/>
    <w:rsid w:val="00280E9D"/>
    <w:rsid w:val="00280EAE"/>
    <w:rsid w:val="00280EBA"/>
    <w:rsid w:val="00280F08"/>
    <w:rsid w:val="00280F23"/>
    <w:rsid w:val="00280F34"/>
    <w:rsid w:val="00280F66"/>
    <w:rsid w:val="00280F86"/>
    <w:rsid w:val="00280FD4"/>
    <w:rsid w:val="00281012"/>
    <w:rsid w:val="00281017"/>
    <w:rsid w:val="00281018"/>
    <w:rsid w:val="00281031"/>
    <w:rsid w:val="00281049"/>
    <w:rsid w:val="00281054"/>
    <w:rsid w:val="00281058"/>
    <w:rsid w:val="002810C8"/>
    <w:rsid w:val="002810CD"/>
    <w:rsid w:val="002810E4"/>
    <w:rsid w:val="0028111F"/>
    <w:rsid w:val="002811B0"/>
    <w:rsid w:val="002811C8"/>
    <w:rsid w:val="00281254"/>
    <w:rsid w:val="0028129B"/>
    <w:rsid w:val="002812A5"/>
    <w:rsid w:val="002812C9"/>
    <w:rsid w:val="0028131C"/>
    <w:rsid w:val="00281324"/>
    <w:rsid w:val="0028134B"/>
    <w:rsid w:val="002813DF"/>
    <w:rsid w:val="00281402"/>
    <w:rsid w:val="0028143B"/>
    <w:rsid w:val="002814DC"/>
    <w:rsid w:val="002814F4"/>
    <w:rsid w:val="002814FC"/>
    <w:rsid w:val="002814FF"/>
    <w:rsid w:val="00281535"/>
    <w:rsid w:val="0028159F"/>
    <w:rsid w:val="002815BB"/>
    <w:rsid w:val="002815F9"/>
    <w:rsid w:val="00281628"/>
    <w:rsid w:val="00281629"/>
    <w:rsid w:val="002816F6"/>
    <w:rsid w:val="002817F3"/>
    <w:rsid w:val="00281915"/>
    <w:rsid w:val="0028195D"/>
    <w:rsid w:val="002819C0"/>
    <w:rsid w:val="002819DF"/>
    <w:rsid w:val="002819E6"/>
    <w:rsid w:val="00281A09"/>
    <w:rsid w:val="00281A2B"/>
    <w:rsid w:val="00281A3F"/>
    <w:rsid w:val="00281AD6"/>
    <w:rsid w:val="00281B3B"/>
    <w:rsid w:val="00281B7B"/>
    <w:rsid w:val="00281BDC"/>
    <w:rsid w:val="00281C4F"/>
    <w:rsid w:val="00281C61"/>
    <w:rsid w:val="00281C6E"/>
    <w:rsid w:val="00281C95"/>
    <w:rsid w:val="00281C99"/>
    <w:rsid w:val="00281CBD"/>
    <w:rsid w:val="00281D37"/>
    <w:rsid w:val="00281D80"/>
    <w:rsid w:val="00281DBC"/>
    <w:rsid w:val="00281DDA"/>
    <w:rsid w:val="00281E10"/>
    <w:rsid w:val="00281E64"/>
    <w:rsid w:val="00281EAC"/>
    <w:rsid w:val="00281F94"/>
    <w:rsid w:val="00281FA1"/>
    <w:rsid w:val="00281FB8"/>
    <w:rsid w:val="00281FD0"/>
    <w:rsid w:val="00282037"/>
    <w:rsid w:val="00282045"/>
    <w:rsid w:val="00282070"/>
    <w:rsid w:val="002820A4"/>
    <w:rsid w:val="002820AA"/>
    <w:rsid w:val="00282109"/>
    <w:rsid w:val="0028219E"/>
    <w:rsid w:val="002821BF"/>
    <w:rsid w:val="002821DC"/>
    <w:rsid w:val="00282254"/>
    <w:rsid w:val="0028229C"/>
    <w:rsid w:val="002822BE"/>
    <w:rsid w:val="00282339"/>
    <w:rsid w:val="00282342"/>
    <w:rsid w:val="002823B5"/>
    <w:rsid w:val="002823BC"/>
    <w:rsid w:val="002823D7"/>
    <w:rsid w:val="002823F0"/>
    <w:rsid w:val="002824DB"/>
    <w:rsid w:val="002824E7"/>
    <w:rsid w:val="00282559"/>
    <w:rsid w:val="002825D8"/>
    <w:rsid w:val="00282605"/>
    <w:rsid w:val="00282635"/>
    <w:rsid w:val="0028266A"/>
    <w:rsid w:val="002826A1"/>
    <w:rsid w:val="002826E5"/>
    <w:rsid w:val="00282706"/>
    <w:rsid w:val="0028279E"/>
    <w:rsid w:val="0028288C"/>
    <w:rsid w:val="002828AD"/>
    <w:rsid w:val="002828CD"/>
    <w:rsid w:val="002828F9"/>
    <w:rsid w:val="00282900"/>
    <w:rsid w:val="00282958"/>
    <w:rsid w:val="002829A9"/>
    <w:rsid w:val="002829C6"/>
    <w:rsid w:val="002829E2"/>
    <w:rsid w:val="00282A09"/>
    <w:rsid w:val="00282A2A"/>
    <w:rsid w:val="00282ACB"/>
    <w:rsid w:val="00282AF2"/>
    <w:rsid w:val="00282B27"/>
    <w:rsid w:val="00282B62"/>
    <w:rsid w:val="00282B78"/>
    <w:rsid w:val="00282B81"/>
    <w:rsid w:val="00282B96"/>
    <w:rsid w:val="00282B9D"/>
    <w:rsid w:val="00282BE0"/>
    <w:rsid w:val="00282C11"/>
    <w:rsid w:val="00282CCA"/>
    <w:rsid w:val="00282D91"/>
    <w:rsid w:val="00282E11"/>
    <w:rsid w:val="00282E3D"/>
    <w:rsid w:val="00282E40"/>
    <w:rsid w:val="00282E74"/>
    <w:rsid w:val="00282E80"/>
    <w:rsid w:val="00282F24"/>
    <w:rsid w:val="00282F9F"/>
    <w:rsid w:val="00282FB2"/>
    <w:rsid w:val="0028300B"/>
    <w:rsid w:val="00283040"/>
    <w:rsid w:val="0028304F"/>
    <w:rsid w:val="00283099"/>
    <w:rsid w:val="002830A9"/>
    <w:rsid w:val="002830E1"/>
    <w:rsid w:val="002830F8"/>
    <w:rsid w:val="00283108"/>
    <w:rsid w:val="00283117"/>
    <w:rsid w:val="002831C8"/>
    <w:rsid w:val="002831FC"/>
    <w:rsid w:val="002832B4"/>
    <w:rsid w:val="002832BC"/>
    <w:rsid w:val="002832FA"/>
    <w:rsid w:val="00283366"/>
    <w:rsid w:val="0028336C"/>
    <w:rsid w:val="00283399"/>
    <w:rsid w:val="002833A7"/>
    <w:rsid w:val="002833BC"/>
    <w:rsid w:val="00283422"/>
    <w:rsid w:val="0028343D"/>
    <w:rsid w:val="002834BA"/>
    <w:rsid w:val="002834CD"/>
    <w:rsid w:val="00283528"/>
    <w:rsid w:val="00283541"/>
    <w:rsid w:val="00283559"/>
    <w:rsid w:val="00283564"/>
    <w:rsid w:val="00283567"/>
    <w:rsid w:val="00283597"/>
    <w:rsid w:val="002835CF"/>
    <w:rsid w:val="0028362A"/>
    <w:rsid w:val="00283635"/>
    <w:rsid w:val="0028364B"/>
    <w:rsid w:val="002836BF"/>
    <w:rsid w:val="002836C9"/>
    <w:rsid w:val="0028373C"/>
    <w:rsid w:val="002837AF"/>
    <w:rsid w:val="002837B9"/>
    <w:rsid w:val="002837BB"/>
    <w:rsid w:val="002837CC"/>
    <w:rsid w:val="002837CF"/>
    <w:rsid w:val="00283883"/>
    <w:rsid w:val="0028392A"/>
    <w:rsid w:val="00283983"/>
    <w:rsid w:val="002839A7"/>
    <w:rsid w:val="002839C7"/>
    <w:rsid w:val="002839D7"/>
    <w:rsid w:val="00283A0F"/>
    <w:rsid w:val="00283A53"/>
    <w:rsid w:val="00283AD6"/>
    <w:rsid w:val="00283AF3"/>
    <w:rsid w:val="00283AF4"/>
    <w:rsid w:val="00283B88"/>
    <w:rsid w:val="00283BC3"/>
    <w:rsid w:val="00283BDE"/>
    <w:rsid w:val="00283C03"/>
    <w:rsid w:val="00283C34"/>
    <w:rsid w:val="00283C5B"/>
    <w:rsid w:val="00283C7F"/>
    <w:rsid w:val="00283C86"/>
    <w:rsid w:val="00283CAF"/>
    <w:rsid w:val="00283D75"/>
    <w:rsid w:val="00283D9A"/>
    <w:rsid w:val="00283DA6"/>
    <w:rsid w:val="00283DD6"/>
    <w:rsid w:val="00283E21"/>
    <w:rsid w:val="00283E63"/>
    <w:rsid w:val="00283E7A"/>
    <w:rsid w:val="00283E97"/>
    <w:rsid w:val="00283EB3"/>
    <w:rsid w:val="00283EEF"/>
    <w:rsid w:val="00283EFA"/>
    <w:rsid w:val="00283EFB"/>
    <w:rsid w:val="00283F8E"/>
    <w:rsid w:val="00283FC6"/>
    <w:rsid w:val="00283FE4"/>
    <w:rsid w:val="00283FE6"/>
    <w:rsid w:val="00283FF9"/>
    <w:rsid w:val="00284001"/>
    <w:rsid w:val="00284036"/>
    <w:rsid w:val="002840C3"/>
    <w:rsid w:val="0028410B"/>
    <w:rsid w:val="0028412D"/>
    <w:rsid w:val="00284167"/>
    <w:rsid w:val="0028416E"/>
    <w:rsid w:val="0028417F"/>
    <w:rsid w:val="002841B4"/>
    <w:rsid w:val="002841C4"/>
    <w:rsid w:val="002841CD"/>
    <w:rsid w:val="002841EB"/>
    <w:rsid w:val="0028427C"/>
    <w:rsid w:val="00284283"/>
    <w:rsid w:val="00284286"/>
    <w:rsid w:val="0028429F"/>
    <w:rsid w:val="002842F4"/>
    <w:rsid w:val="00284303"/>
    <w:rsid w:val="00284314"/>
    <w:rsid w:val="00284457"/>
    <w:rsid w:val="00284551"/>
    <w:rsid w:val="00284584"/>
    <w:rsid w:val="00284618"/>
    <w:rsid w:val="0028465B"/>
    <w:rsid w:val="00284674"/>
    <w:rsid w:val="002846A2"/>
    <w:rsid w:val="00284720"/>
    <w:rsid w:val="00284740"/>
    <w:rsid w:val="00284771"/>
    <w:rsid w:val="00284798"/>
    <w:rsid w:val="0028479F"/>
    <w:rsid w:val="002847C2"/>
    <w:rsid w:val="0028490A"/>
    <w:rsid w:val="00284932"/>
    <w:rsid w:val="00284943"/>
    <w:rsid w:val="0028496E"/>
    <w:rsid w:val="00284989"/>
    <w:rsid w:val="0028498B"/>
    <w:rsid w:val="002849BB"/>
    <w:rsid w:val="002849BE"/>
    <w:rsid w:val="002849CC"/>
    <w:rsid w:val="002849EA"/>
    <w:rsid w:val="002849F2"/>
    <w:rsid w:val="002849FC"/>
    <w:rsid w:val="00284A4A"/>
    <w:rsid w:val="00284AB3"/>
    <w:rsid w:val="00284AF2"/>
    <w:rsid w:val="00284AF3"/>
    <w:rsid w:val="00284BF7"/>
    <w:rsid w:val="00284C0F"/>
    <w:rsid w:val="00284C8B"/>
    <w:rsid w:val="00284CC0"/>
    <w:rsid w:val="00284CCF"/>
    <w:rsid w:val="00284D38"/>
    <w:rsid w:val="00284D99"/>
    <w:rsid w:val="00284DB2"/>
    <w:rsid w:val="00284DF6"/>
    <w:rsid w:val="00284E08"/>
    <w:rsid w:val="00284E52"/>
    <w:rsid w:val="00284EBF"/>
    <w:rsid w:val="00284EE3"/>
    <w:rsid w:val="00284EEE"/>
    <w:rsid w:val="00284F28"/>
    <w:rsid w:val="00284FA2"/>
    <w:rsid w:val="00284FFA"/>
    <w:rsid w:val="0028504A"/>
    <w:rsid w:val="0028505A"/>
    <w:rsid w:val="00285074"/>
    <w:rsid w:val="00285077"/>
    <w:rsid w:val="00285079"/>
    <w:rsid w:val="00285105"/>
    <w:rsid w:val="00285163"/>
    <w:rsid w:val="002851AC"/>
    <w:rsid w:val="00285284"/>
    <w:rsid w:val="002852D9"/>
    <w:rsid w:val="002852FA"/>
    <w:rsid w:val="002852FC"/>
    <w:rsid w:val="00285307"/>
    <w:rsid w:val="00285313"/>
    <w:rsid w:val="0028536C"/>
    <w:rsid w:val="002853B7"/>
    <w:rsid w:val="002853D0"/>
    <w:rsid w:val="00285455"/>
    <w:rsid w:val="0028545B"/>
    <w:rsid w:val="0028545E"/>
    <w:rsid w:val="00285499"/>
    <w:rsid w:val="002854D3"/>
    <w:rsid w:val="002854FE"/>
    <w:rsid w:val="00285518"/>
    <w:rsid w:val="002855DA"/>
    <w:rsid w:val="00285647"/>
    <w:rsid w:val="00285695"/>
    <w:rsid w:val="002856CF"/>
    <w:rsid w:val="002856FE"/>
    <w:rsid w:val="00285735"/>
    <w:rsid w:val="0028577C"/>
    <w:rsid w:val="002857AD"/>
    <w:rsid w:val="002857EC"/>
    <w:rsid w:val="00285811"/>
    <w:rsid w:val="00285819"/>
    <w:rsid w:val="0028582B"/>
    <w:rsid w:val="00285837"/>
    <w:rsid w:val="0028585A"/>
    <w:rsid w:val="002858ED"/>
    <w:rsid w:val="002858F4"/>
    <w:rsid w:val="00285904"/>
    <w:rsid w:val="0028592F"/>
    <w:rsid w:val="00285949"/>
    <w:rsid w:val="00285985"/>
    <w:rsid w:val="00285991"/>
    <w:rsid w:val="00285A3C"/>
    <w:rsid w:val="00285AAA"/>
    <w:rsid w:val="00285AE6"/>
    <w:rsid w:val="00285B68"/>
    <w:rsid w:val="00285B6F"/>
    <w:rsid w:val="00285B76"/>
    <w:rsid w:val="00285CBF"/>
    <w:rsid w:val="00285CC4"/>
    <w:rsid w:val="00285D1A"/>
    <w:rsid w:val="00285D33"/>
    <w:rsid w:val="00285DAE"/>
    <w:rsid w:val="00285DC6"/>
    <w:rsid w:val="00285E24"/>
    <w:rsid w:val="00285E4F"/>
    <w:rsid w:val="00285E8C"/>
    <w:rsid w:val="00285EC4"/>
    <w:rsid w:val="00285ECE"/>
    <w:rsid w:val="00285EDD"/>
    <w:rsid w:val="00285F0E"/>
    <w:rsid w:val="00285F31"/>
    <w:rsid w:val="00285F34"/>
    <w:rsid w:val="00285F41"/>
    <w:rsid w:val="00285F55"/>
    <w:rsid w:val="00285F89"/>
    <w:rsid w:val="00285F8D"/>
    <w:rsid w:val="00285FEE"/>
    <w:rsid w:val="0028600D"/>
    <w:rsid w:val="00286048"/>
    <w:rsid w:val="00286083"/>
    <w:rsid w:val="002860A8"/>
    <w:rsid w:val="002860B7"/>
    <w:rsid w:val="002860F8"/>
    <w:rsid w:val="00286107"/>
    <w:rsid w:val="0028614D"/>
    <w:rsid w:val="002861DF"/>
    <w:rsid w:val="00286208"/>
    <w:rsid w:val="0028620E"/>
    <w:rsid w:val="00286291"/>
    <w:rsid w:val="0028629D"/>
    <w:rsid w:val="002862A7"/>
    <w:rsid w:val="0028632C"/>
    <w:rsid w:val="0028633B"/>
    <w:rsid w:val="002863CC"/>
    <w:rsid w:val="002863D0"/>
    <w:rsid w:val="00286442"/>
    <w:rsid w:val="00286452"/>
    <w:rsid w:val="00286484"/>
    <w:rsid w:val="0028649E"/>
    <w:rsid w:val="0028650B"/>
    <w:rsid w:val="00286545"/>
    <w:rsid w:val="00286554"/>
    <w:rsid w:val="002865D5"/>
    <w:rsid w:val="002865F2"/>
    <w:rsid w:val="00286604"/>
    <w:rsid w:val="00286627"/>
    <w:rsid w:val="00286634"/>
    <w:rsid w:val="0028666B"/>
    <w:rsid w:val="00286689"/>
    <w:rsid w:val="002866CD"/>
    <w:rsid w:val="0028679F"/>
    <w:rsid w:val="002867C1"/>
    <w:rsid w:val="002867C8"/>
    <w:rsid w:val="002867EE"/>
    <w:rsid w:val="0028680D"/>
    <w:rsid w:val="0028684C"/>
    <w:rsid w:val="00286867"/>
    <w:rsid w:val="002868A6"/>
    <w:rsid w:val="00286945"/>
    <w:rsid w:val="00286970"/>
    <w:rsid w:val="00286A28"/>
    <w:rsid w:val="00286A29"/>
    <w:rsid w:val="00286A99"/>
    <w:rsid w:val="00286AE9"/>
    <w:rsid w:val="00286AF1"/>
    <w:rsid w:val="00286B0E"/>
    <w:rsid w:val="00286B25"/>
    <w:rsid w:val="00286B50"/>
    <w:rsid w:val="00286BFE"/>
    <w:rsid w:val="00286C17"/>
    <w:rsid w:val="00286C2A"/>
    <w:rsid w:val="00286C48"/>
    <w:rsid w:val="00286CE5"/>
    <w:rsid w:val="00286D41"/>
    <w:rsid w:val="00286E27"/>
    <w:rsid w:val="00286EA0"/>
    <w:rsid w:val="00286EFD"/>
    <w:rsid w:val="00286F0D"/>
    <w:rsid w:val="00286F51"/>
    <w:rsid w:val="00287025"/>
    <w:rsid w:val="0028705B"/>
    <w:rsid w:val="00287086"/>
    <w:rsid w:val="002870CA"/>
    <w:rsid w:val="002870E3"/>
    <w:rsid w:val="00287190"/>
    <w:rsid w:val="002871AF"/>
    <w:rsid w:val="00287207"/>
    <w:rsid w:val="0028726F"/>
    <w:rsid w:val="002872AF"/>
    <w:rsid w:val="002872B4"/>
    <w:rsid w:val="0028738A"/>
    <w:rsid w:val="002873A2"/>
    <w:rsid w:val="002873FA"/>
    <w:rsid w:val="00287410"/>
    <w:rsid w:val="0028744F"/>
    <w:rsid w:val="0028746F"/>
    <w:rsid w:val="00287483"/>
    <w:rsid w:val="002874A7"/>
    <w:rsid w:val="002874BD"/>
    <w:rsid w:val="0028752D"/>
    <w:rsid w:val="00287589"/>
    <w:rsid w:val="002875A5"/>
    <w:rsid w:val="00287649"/>
    <w:rsid w:val="0028765E"/>
    <w:rsid w:val="00287680"/>
    <w:rsid w:val="002876CC"/>
    <w:rsid w:val="002877C9"/>
    <w:rsid w:val="002877FC"/>
    <w:rsid w:val="0028788A"/>
    <w:rsid w:val="002878BC"/>
    <w:rsid w:val="002878F5"/>
    <w:rsid w:val="002878FE"/>
    <w:rsid w:val="00287906"/>
    <w:rsid w:val="00287947"/>
    <w:rsid w:val="0028796D"/>
    <w:rsid w:val="00287970"/>
    <w:rsid w:val="002879DC"/>
    <w:rsid w:val="002879EA"/>
    <w:rsid w:val="002879FC"/>
    <w:rsid w:val="00287A61"/>
    <w:rsid w:val="00287AAF"/>
    <w:rsid w:val="00287B07"/>
    <w:rsid w:val="00287B0B"/>
    <w:rsid w:val="00287B56"/>
    <w:rsid w:val="00287BF6"/>
    <w:rsid w:val="00287C3B"/>
    <w:rsid w:val="00287C89"/>
    <w:rsid w:val="00287CAE"/>
    <w:rsid w:val="00287CCE"/>
    <w:rsid w:val="00287CF1"/>
    <w:rsid w:val="00287D04"/>
    <w:rsid w:val="00287D20"/>
    <w:rsid w:val="00287DE0"/>
    <w:rsid w:val="00287E30"/>
    <w:rsid w:val="00287E4C"/>
    <w:rsid w:val="00287EE6"/>
    <w:rsid w:val="00287EEB"/>
    <w:rsid w:val="00287F3D"/>
    <w:rsid w:val="002900F1"/>
    <w:rsid w:val="00290109"/>
    <w:rsid w:val="00290194"/>
    <w:rsid w:val="002901B8"/>
    <w:rsid w:val="00290203"/>
    <w:rsid w:val="00290204"/>
    <w:rsid w:val="00290245"/>
    <w:rsid w:val="00290252"/>
    <w:rsid w:val="0029025B"/>
    <w:rsid w:val="00290262"/>
    <w:rsid w:val="00290274"/>
    <w:rsid w:val="002902A3"/>
    <w:rsid w:val="002902B3"/>
    <w:rsid w:val="002902F0"/>
    <w:rsid w:val="00290399"/>
    <w:rsid w:val="00290421"/>
    <w:rsid w:val="00290493"/>
    <w:rsid w:val="002904A5"/>
    <w:rsid w:val="00290505"/>
    <w:rsid w:val="0029050C"/>
    <w:rsid w:val="00290516"/>
    <w:rsid w:val="00290550"/>
    <w:rsid w:val="0029059D"/>
    <w:rsid w:val="002905AD"/>
    <w:rsid w:val="002905BA"/>
    <w:rsid w:val="00290656"/>
    <w:rsid w:val="0029068E"/>
    <w:rsid w:val="002906EB"/>
    <w:rsid w:val="00290713"/>
    <w:rsid w:val="00290743"/>
    <w:rsid w:val="00290748"/>
    <w:rsid w:val="00290767"/>
    <w:rsid w:val="0029076A"/>
    <w:rsid w:val="00290805"/>
    <w:rsid w:val="00290833"/>
    <w:rsid w:val="00290911"/>
    <w:rsid w:val="00290982"/>
    <w:rsid w:val="0029098D"/>
    <w:rsid w:val="00290A05"/>
    <w:rsid w:val="00290A1D"/>
    <w:rsid w:val="00290B13"/>
    <w:rsid w:val="00290B29"/>
    <w:rsid w:val="00290B30"/>
    <w:rsid w:val="00290C03"/>
    <w:rsid w:val="00290C85"/>
    <w:rsid w:val="00290C87"/>
    <w:rsid w:val="00290CAC"/>
    <w:rsid w:val="00290D69"/>
    <w:rsid w:val="00290D81"/>
    <w:rsid w:val="00290DA0"/>
    <w:rsid w:val="00290DE1"/>
    <w:rsid w:val="00290E18"/>
    <w:rsid w:val="00290F2C"/>
    <w:rsid w:val="00290FA2"/>
    <w:rsid w:val="00290FBD"/>
    <w:rsid w:val="00290FCD"/>
    <w:rsid w:val="00290FD4"/>
    <w:rsid w:val="00291040"/>
    <w:rsid w:val="0029104F"/>
    <w:rsid w:val="00291067"/>
    <w:rsid w:val="002910A4"/>
    <w:rsid w:val="002910B8"/>
    <w:rsid w:val="002910DB"/>
    <w:rsid w:val="0029112D"/>
    <w:rsid w:val="00291198"/>
    <w:rsid w:val="002911ED"/>
    <w:rsid w:val="002911F2"/>
    <w:rsid w:val="00291267"/>
    <w:rsid w:val="0029126D"/>
    <w:rsid w:val="002912CA"/>
    <w:rsid w:val="002912D7"/>
    <w:rsid w:val="0029132C"/>
    <w:rsid w:val="002913EB"/>
    <w:rsid w:val="002913ED"/>
    <w:rsid w:val="00291428"/>
    <w:rsid w:val="0029148B"/>
    <w:rsid w:val="002914D1"/>
    <w:rsid w:val="002914EB"/>
    <w:rsid w:val="002915BA"/>
    <w:rsid w:val="0029166E"/>
    <w:rsid w:val="0029167B"/>
    <w:rsid w:val="002916A8"/>
    <w:rsid w:val="002916B7"/>
    <w:rsid w:val="0029170B"/>
    <w:rsid w:val="00291760"/>
    <w:rsid w:val="00291762"/>
    <w:rsid w:val="002917A7"/>
    <w:rsid w:val="002917AC"/>
    <w:rsid w:val="00291837"/>
    <w:rsid w:val="0029189E"/>
    <w:rsid w:val="0029193D"/>
    <w:rsid w:val="0029195B"/>
    <w:rsid w:val="0029195D"/>
    <w:rsid w:val="00291B29"/>
    <w:rsid w:val="00291B65"/>
    <w:rsid w:val="00291B69"/>
    <w:rsid w:val="00291BFC"/>
    <w:rsid w:val="00291C15"/>
    <w:rsid w:val="00291C33"/>
    <w:rsid w:val="00291C4C"/>
    <w:rsid w:val="00291CA7"/>
    <w:rsid w:val="00291CD1"/>
    <w:rsid w:val="00291D3E"/>
    <w:rsid w:val="00291DAD"/>
    <w:rsid w:val="00291E4A"/>
    <w:rsid w:val="00291EB2"/>
    <w:rsid w:val="00291ECD"/>
    <w:rsid w:val="00291EE6"/>
    <w:rsid w:val="00291F66"/>
    <w:rsid w:val="00291F6C"/>
    <w:rsid w:val="00291FEB"/>
    <w:rsid w:val="00292042"/>
    <w:rsid w:val="002920B3"/>
    <w:rsid w:val="002920C1"/>
    <w:rsid w:val="002920C3"/>
    <w:rsid w:val="002920C5"/>
    <w:rsid w:val="002920CD"/>
    <w:rsid w:val="00292134"/>
    <w:rsid w:val="002921B6"/>
    <w:rsid w:val="002921DA"/>
    <w:rsid w:val="0029225B"/>
    <w:rsid w:val="0029225F"/>
    <w:rsid w:val="002922A2"/>
    <w:rsid w:val="0029231C"/>
    <w:rsid w:val="0029238D"/>
    <w:rsid w:val="002923A7"/>
    <w:rsid w:val="002923D0"/>
    <w:rsid w:val="002923FB"/>
    <w:rsid w:val="00292401"/>
    <w:rsid w:val="00292422"/>
    <w:rsid w:val="00292429"/>
    <w:rsid w:val="0029246B"/>
    <w:rsid w:val="002924B7"/>
    <w:rsid w:val="002925B2"/>
    <w:rsid w:val="002925EB"/>
    <w:rsid w:val="002925F2"/>
    <w:rsid w:val="0029260F"/>
    <w:rsid w:val="00292645"/>
    <w:rsid w:val="00292661"/>
    <w:rsid w:val="0029266F"/>
    <w:rsid w:val="0029267B"/>
    <w:rsid w:val="002926F7"/>
    <w:rsid w:val="0029274B"/>
    <w:rsid w:val="002927B7"/>
    <w:rsid w:val="002927F8"/>
    <w:rsid w:val="00292805"/>
    <w:rsid w:val="0029280F"/>
    <w:rsid w:val="00292845"/>
    <w:rsid w:val="00292876"/>
    <w:rsid w:val="00292925"/>
    <w:rsid w:val="0029295A"/>
    <w:rsid w:val="002929DA"/>
    <w:rsid w:val="00292A20"/>
    <w:rsid w:val="00292B35"/>
    <w:rsid w:val="00292B39"/>
    <w:rsid w:val="00292BB5"/>
    <w:rsid w:val="00292BD3"/>
    <w:rsid w:val="00292BFC"/>
    <w:rsid w:val="00292C1B"/>
    <w:rsid w:val="00292C1C"/>
    <w:rsid w:val="00292C27"/>
    <w:rsid w:val="00292C6A"/>
    <w:rsid w:val="00292C8C"/>
    <w:rsid w:val="00292CA5"/>
    <w:rsid w:val="00292CF6"/>
    <w:rsid w:val="00292D48"/>
    <w:rsid w:val="00292D74"/>
    <w:rsid w:val="00292DB6"/>
    <w:rsid w:val="00292E1F"/>
    <w:rsid w:val="00292E3A"/>
    <w:rsid w:val="00292E84"/>
    <w:rsid w:val="00292E87"/>
    <w:rsid w:val="00292EAC"/>
    <w:rsid w:val="00292F0E"/>
    <w:rsid w:val="00292F19"/>
    <w:rsid w:val="0029305F"/>
    <w:rsid w:val="00293078"/>
    <w:rsid w:val="002930F1"/>
    <w:rsid w:val="002931EB"/>
    <w:rsid w:val="00293268"/>
    <w:rsid w:val="0029326F"/>
    <w:rsid w:val="002932D7"/>
    <w:rsid w:val="002932FF"/>
    <w:rsid w:val="00293312"/>
    <w:rsid w:val="0029333E"/>
    <w:rsid w:val="00293354"/>
    <w:rsid w:val="00293363"/>
    <w:rsid w:val="00293397"/>
    <w:rsid w:val="002933E1"/>
    <w:rsid w:val="0029340B"/>
    <w:rsid w:val="00293441"/>
    <w:rsid w:val="0029345C"/>
    <w:rsid w:val="00293484"/>
    <w:rsid w:val="0029349E"/>
    <w:rsid w:val="002934F9"/>
    <w:rsid w:val="00293510"/>
    <w:rsid w:val="00293529"/>
    <w:rsid w:val="00293544"/>
    <w:rsid w:val="00293587"/>
    <w:rsid w:val="0029359F"/>
    <w:rsid w:val="002935A2"/>
    <w:rsid w:val="00293604"/>
    <w:rsid w:val="0029361B"/>
    <w:rsid w:val="00293635"/>
    <w:rsid w:val="0029366B"/>
    <w:rsid w:val="0029369A"/>
    <w:rsid w:val="002936C2"/>
    <w:rsid w:val="0029375E"/>
    <w:rsid w:val="00293765"/>
    <w:rsid w:val="00293770"/>
    <w:rsid w:val="002937C2"/>
    <w:rsid w:val="002937E9"/>
    <w:rsid w:val="00293856"/>
    <w:rsid w:val="00293895"/>
    <w:rsid w:val="0029389C"/>
    <w:rsid w:val="002938DF"/>
    <w:rsid w:val="002938FF"/>
    <w:rsid w:val="0029396B"/>
    <w:rsid w:val="0029399C"/>
    <w:rsid w:val="002939D2"/>
    <w:rsid w:val="002939FA"/>
    <w:rsid w:val="00293A3E"/>
    <w:rsid w:val="00293A62"/>
    <w:rsid w:val="00293A86"/>
    <w:rsid w:val="00293B19"/>
    <w:rsid w:val="00293BB0"/>
    <w:rsid w:val="00293BB4"/>
    <w:rsid w:val="00293C99"/>
    <w:rsid w:val="00293CFA"/>
    <w:rsid w:val="00293DF0"/>
    <w:rsid w:val="00293E37"/>
    <w:rsid w:val="00293E41"/>
    <w:rsid w:val="00293E70"/>
    <w:rsid w:val="00293EC6"/>
    <w:rsid w:val="00293F3D"/>
    <w:rsid w:val="00293F9A"/>
    <w:rsid w:val="00294040"/>
    <w:rsid w:val="002940EB"/>
    <w:rsid w:val="00294147"/>
    <w:rsid w:val="002941C7"/>
    <w:rsid w:val="002941E4"/>
    <w:rsid w:val="00294214"/>
    <w:rsid w:val="00294266"/>
    <w:rsid w:val="0029426A"/>
    <w:rsid w:val="00294288"/>
    <w:rsid w:val="002942DA"/>
    <w:rsid w:val="002942F7"/>
    <w:rsid w:val="00294325"/>
    <w:rsid w:val="00294369"/>
    <w:rsid w:val="00294372"/>
    <w:rsid w:val="00294389"/>
    <w:rsid w:val="002943AA"/>
    <w:rsid w:val="002943E3"/>
    <w:rsid w:val="002943E9"/>
    <w:rsid w:val="002943F5"/>
    <w:rsid w:val="002943F9"/>
    <w:rsid w:val="00294434"/>
    <w:rsid w:val="0029443B"/>
    <w:rsid w:val="002944C7"/>
    <w:rsid w:val="002944DB"/>
    <w:rsid w:val="002944DF"/>
    <w:rsid w:val="002944FC"/>
    <w:rsid w:val="00294507"/>
    <w:rsid w:val="00294513"/>
    <w:rsid w:val="00294560"/>
    <w:rsid w:val="00294575"/>
    <w:rsid w:val="0029459E"/>
    <w:rsid w:val="002945C0"/>
    <w:rsid w:val="002945CE"/>
    <w:rsid w:val="002945CF"/>
    <w:rsid w:val="002945F3"/>
    <w:rsid w:val="002945F6"/>
    <w:rsid w:val="00294631"/>
    <w:rsid w:val="00294636"/>
    <w:rsid w:val="00294686"/>
    <w:rsid w:val="002947C6"/>
    <w:rsid w:val="002947F8"/>
    <w:rsid w:val="0029480D"/>
    <w:rsid w:val="0029482C"/>
    <w:rsid w:val="0029485A"/>
    <w:rsid w:val="0029498C"/>
    <w:rsid w:val="00294995"/>
    <w:rsid w:val="002949D5"/>
    <w:rsid w:val="00294AC4"/>
    <w:rsid w:val="00294B09"/>
    <w:rsid w:val="00294B2F"/>
    <w:rsid w:val="00294B81"/>
    <w:rsid w:val="00294BAB"/>
    <w:rsid w:val="00294BB2"/>
    <w:rsid w:val="00294C61"/>
    <w:rsid w:val="00294C7C"/>
    <w:rsid w:val="00294CA6"/>
    <w:rsid w:val="00294CB1"/>
    <w:rsid w:val="00294CB9"/>
    <w:rsid w:val="00294CE2"/>
    <w:rsid w:val="00294D4C"/>
    <w:rsid w:val="00294D53"/>
    <w:rsid w:val="00294D76"/>
    <w:rsid w:val="00294D7D"/>
    <w:rsid w:val="00294DB7"/>
    <w:rsid w:val="00294E7D"/>
    <w:rsid w:val="00294E9F"/>
    <w:rsid w:val="00294EDB"/>
    <w:rsid w:val="00294F0C"/>
    <w:rsid w:val="00294F10"/>
    <w:rsid w:val="00294F8B"/>
    <w:rsid w:val="00294FB5"/>
    <w:rsid w:val="00294FE3"/>
    <w:rsid w:val="00295035"/>
    <w:rsid w:val="00295086"/>
    <w:rsid w:val="0029509E"/>
    <w:rsid w:val="002950B6"/>
    <w:rsid w:val="00295146"/>
    <w:rsid w:val="00295176"/>
    <w:rsid w:val="002951EE"/>
    <w:rsid w:val="00295250"/>
    <w:rsid w:val="0029526B"/>
    <w:rsid w:val="00295283"/>
    <w:rsid w:val="002952CB"/>
    <w:rsid w:val="002952E3"/>
    <w:rsid w:val="00295315"/>
    <w:rsid w:val="0029534B"/>
    <w:rsid w:val="0029539A"/>
    <w:rsid w:val="002953A6"/>
    <w:rsid w:val="00295435"/>
    <w:rsid w:val="002954AE"/>
    <w:rsid w:val="002954BE"/>
    <w:rsid w:val="002954F1"/>
    <w:rsid w:val="00295511"/>
    <w:rsid w:val="0029553F"/>
    <w:rsid w:val="00295559"/>
    <w:rsid w:val="00295587"/>
    <w:rsid w:val="002955BD"/>
    <w:rsid w:val="002955E9"/>
    <w:rsid w:val="00295631"/>
    <w:rsid w:val="002956E7"/>
    <w:rsid w:val="00295730"/>
    <w:rsid w:val="00295744"/>
    <w:rsid w:val="00295774"/>
    <w:rsid w:val="002957F6"/>
    <w:rsid w:val="00295820"/>
    <w:rsid w:val="0029585B"/>
    <w:rsid w:val="00295871"/>
    <w:rsid w:val="0029587E"/>
    <w:rsid w:val="002958C8"/>
    <w:rsid w:val="002958CD"/>
    <w:rsid w:val="002958F5"/>
    <w:rsid w:val="00295901"/>
    <w:rsid w:val="0029590A"/>
    <w:rsid w:val="00295952"/>
    <w:rsid w:val="002959EF"/>
    <w:rsid w:val="002959F4"/>
    <w:rsid w:val="00295A53"/>
    <w:rsid w:val="00295A6E"/>
    <w:rsid w:val="00295A89"/>
    <w:rsid w:val="00295A9A"/>
    <w:rsid w:val="00295AC7"/>
    <w:rsid w:val="00295B02"/>
    <w:rsid w:val="00295B5C"/>
    <w:rsid w:val="00295C0E"/>
    <w:rsid w:val="00295CDC"/>
    <w:rsid w:val="00295CE1"/>
    <w:rsid w:val="00295D6D"/>
    <w:rsid w:val="00295D7F"/>
    <w:rsid w:val="00295D8D"/>
    <w:rsid w:val="00295DFB"/>
    <w:rsid w:val="00295E4A"/>
    <w:rsid w:val="00295EAA"/>
    <w:rsid w:val="00295EE0"/>
    <w:rsid w:val="00295EE2"/>
    <w:rsid w:val="00295F70"/>
    <w:rsid w:val="00295F8B"/>
    <w:rsid w:val="0029607E"/>
    <w:rsid w:val="00296083"/>
    <w:rsid w:val="002960AF"/>
    <w:rsid w:val="00296129"/>
    <w:rsid w:val="00296145"/>
    <w:rsid w:val="00296151"/>
    <w:rsid w:val="00296192"/>
    <w:rsid w:val="002961A1"/>
    <w:rsid w:val="002961AC"/>
    <w:rsid w:val="00296218"/>
    <w:rsid w:val="0029628B"/>
    <w:rsid w:val="002962A9"/>
    <w:rsid w:val="002962E9"/>
    <w:rsid w:val="0029634F"/>
    <w:rsid w:val="0029637B"/>
    <w:rsid w:val="002963D2"/>
    <w:rsid w:val="0029642E"/>
    <w:rsid w:val="00296443"/>
    <w:rsid w:val="00296459"/>
    <w:rsid w:val="00296476"/>
    <w:rsid w:val="00296492"/>
    <w:rsid w:val="0029649A"/>
    <w:rsid w:val="002964A1"/>
    <w:rsid w:val="002964A4"/>
    <w:rsid w:val="0029653B"/>
    <w:rsid w:val="0029659A"/>
    <w:rsid w:val="00296602"/>
    <w:rsid w:val="00296633"/>
    <w:rsid w:val="00296643"/>
    <w:rsid w:val="00296657"/>
    <w:rsid w:val="00296685"/>
    <w:rsid w:val="002966BB"/>
    <w:rsid w:val="002966F2"/>
    <w:rsid w:val="00296744"/>
    <w:rsid w:val="002967F2"/>
    <w:rsid w:val="00296803"/>
    <w:rsid w:val="00296816"/>
    <w:rsid w:val="0029685F"/>
    <w:rsid w:val="00296898"/>
    <w:rsid w:val="002968D9"/>
    <w:rsid w:val="002968DD"/>
    <w:rsid w:val="002968E0"/>
    <w:rsid w:val="00296996"/>
    <w:rsid w:val="00296A11"/>
    <w:rsid w:val="00296A6C"/>
    <w:rsid w:val="00296A76"/>
    <w:rsid w:val="00296ADE"/>
    <w:rsid w:val="00296B1F"/>
    <w:rsid w:val="00296B38"/>
    <w:rsid w:val="00296B4C"/>
    <w:rsid w:val="00296B66"/>
    <w:rsid w:val="00296C30"/>
    <w:rsid w:val="00296C8B"/>
    <w:rsid w:val="00296CC3"/>
    <w:rsid w:val="00296CD2"/>
    <w:rsid w:val="00296D0E"/>
    <w:rsid w:val="00296D20"/>
    <w:rsid w:val="00296DBE"/>
    <w:rsid w:val="00296E25"/>
    <w:rsid w:val="00296E36"/>
    <w:rsid w:val="00296E3B"/>
    <w:rsid w:val="00296E9D"/>
    <w:rsid w:val="00296EE8"/>
    <w:rsid w:val="00296F49"/>
    <w:rsid w:val="00296F86"/>
    <w:rsid w:val="00296F9E"/>
    <w:rsid w:val="00296FB3"/>
    <w:rsid w:val="00296FBF"/>
    <w:rsid w:val="00296FE8"/>
    <w:rsid w:val="00296FFB"/>
    <w:rsid w:val="00297074"/>
    <w:rsid w:val="002970C5"/>
    <w:rsid w:val="002970DB"/>
    <w:rsid w:val="0029710D"/>
    <w:rsid w:val="00297124"/>
    <w:rsid w:val="00297156"/>
    <w:rsid w:val="00297165"/>
    <w:rsid w:val="002971CE"/>
    <w:rsid w:val="002971D4"/>
    <w:rsid w:val="002971EC"/>
    <w:rsid w:val="002971EF"/>
    <w:rsid w:val="00297258"/>
    <w:rsid w:val="0029725B"/>
    <w:rsid w:val="0029731A"/>
    <w:rsid w:val="0029736D"/>
    <w:rsid w:val="002973D4"/>
    <w:rsid w:val="0029740B"/>
    <w:rsid w:val="00297414"/>
    <w:rsid w:val="00297430"/>
    <w:rsid w:val="00297440"/>
    <w:rsid w:val="00297444"/>
    <w:rsid w:val="00297498"/>
    <w:rsid w:val="002974C0"/>
    <w:rsid w:val="002974F5"/>
    <w:rsid w:val="00297548"/>
    <w:rsid w:val="00297569"/>
    <w:rsid w:val="0029756D"/>
    <w:rsid w:val="002975C7"/>
    <w:rsid w:val="002975EE"/>
    <w:rsid w:val="002975F9"/>
    <w:rsid w:val="00297665"/>
    <w:rsid w:val="00297669"/>
    <w:rsid w:val="0029768E"/>
    <w:rsid w:val="0029769F"/>
    <w:rsid w:val="002976DA"/>
    <w:rsid w:val="00297700"/>
    <w:rsid w:val="00297722"/>
    <w:rsid w:val="00297740"/>
    <w:rsid w:val="00297750"/>
    <w:rsid w:val="00297766"/>
    <w:rsid w:val="00297781"/>
    <w:rsid w:val="002977BD"/>
    <w:rsid w:val="00297818"/>
    <w:rsid w:val="00297894"/>
    <w:rsid w:val="00297907"/>
    <w:rsid w:val="00297967"/>
    <w:rsid w:val="00297981"/>
    <w:rsid w:val="00297998"/>
    <w:rsid w:val="002979F5"/>
    <w:rsid w:val="00297A75"/>
    <w:rsid w:val="00297A76"/>
    <w:rsid w:val="00297A8A"/>
    <w:rsid w:val="00297AC5"/>
    <w:rsid w:val="00297AE4"/>
    <w:rsid w:val="00297B1F"/>
    <w:rsid w:val="00297B77"/>
    <w:rsid w:val="00297BD2"/>
    <w:rsid w:val="00297C67"/>
    <w:rsid w:val="00297C7F"/>
    <w:rsid w:val="00297C88"/>
    <w:rsid w:val="00297CC1"/>
    <w:rsid w:val="00297D4B"/>
    <w:rsid w:val="00297D57"/>
    <w:rsid w:val="00297DA9"/>
    <w:rsid w:val="00297DD4"/>
    <w:rsid w:val="00297E57"/>
    <w:rsid w:val="00297F1C"/>
    <w:rsid w:val="00297FB2"/>
    <w:rsid w:val="00297FB3"/>
    <w:rsid w:val="00297FD5"/>
    <w:rsid w:val="002A007F"/>
    <w:rsid w:val="002A0081"/>
    <w:rsid w:val="002A0087"/>
    <w:rsid w:val="002A00AD"/>
    <w:rsid w:val="002A00C7"/>
    <w:rsid w:val="002A00D6"/>
    <w:rsid w:val="002A0127"/>
    <w:rsid w:val="002A01FE"/>
    <w:rsid w:val="002A0228"/>
    <w:rsid w:val="002A023C"/>
    <w:rsid w:val="002A0244"/>
    <w:rsid w:val="002A0268"/>
    <w:rsid w:val="002A02F1"/>
    <w:rsid w:val="002A02F4"/>
    <w:rsid w:val="002A0338"/>
    <w:rsid w:val="002A03A7"/>
    <w:rsid w:val="002A0406"/>
    <w:rsid w:val="002A0495"/>
    <w:rsid w:val="002A04D9"/>
    <w:rsid w:val="002A0514"/>
    <w:rsid w:val="002A05B0"/>
    <w:rsid w:val="002A05CA"/>
    <w:rsid w:val="002A061D"/>
    <w:rsid w:val="002A0651"/>
    <w:rsid w:val="002A0689"/>
    <w:rsid w:val="002A06B2"/>
    <w:rsid w:val="002A0726"/>
    <w:rsid w:val="002A07C7"/>
    <w:rsid w:val="002A0825"/>
    <w:rsid w:val="002A08A2"/>
    <w:rsid w:val="002A08AB"/>
    <w:rsid w:val="002A08B0"/>
    <w:rsid w:val="002A08DA"/>
    <w:rsid w:val="002A091D"/>
    <w:rsid w:val="002A093F"/>
    <w:rsid w:val="002A0941"/>
    <w:rsid w:val="002A0978"/>
    <w:rsid w:val="002A09F5"/>
    <w:rsid w:val="002A0A19"/>
    <w:rsid w:val="002A0AB9"/>
    <w:rsid w:val="002A0ADC"/>
    <w:rsid w:val="002A0B3C"/>
    <w:rsid w:val="002A0B6B"/>
    <w:rsid w:val="002A0B79"/>
    <w:rsid w:val="002A0B81"/>
    <w:rsid w:val="002A0BA3"/>
    <w:rsid w:val="002A0BAD"/>
    <w:rsid w:val="002A0C50"/>
    <w:rsid w:val="002A0C6F"/>
    <w:rsid w:val="002A0C7C"/>
    <w:rsid w:val="002A0CBF"/>
    <w:rsid w:val="002A0CF5"/>
    <w:rsid w:val="002A0D28"/>
    <w:rsid w:val="002A0D52"/>
    <w:rsid w:val="002A0D68"/>
    <w:rsid w:val="002A0E8B"/>
    <w:rsid w:val="002A0EA8"/>
    <w:rsid w:val="002A0ECE"/>
    <w:rsid w:val="002A0ED5"/>
    <w:rsid w:val="002A0F00"/>
    <w:rsid w:val="002A0F3D"/>
    <w:rsid w:val="002A0F3F"/>
    <w:rsid w:val="002A0F60"/>
    <w:rsid w:val="002A0F68"/>
    <w:rsid w:val="002A0F98"/>
    <w:rsid w:val="002A0F9B"/>
    <w:rsid w:val="002A0FE5"/>
    <w:rsid w:val="002A108C"/>
    <w:rsid w:val="002A1104"/>
    <w:rsid w:val="002A1106"/>
    <w:rsid w:val="002A1147"/>
    <w:rsid w:val="002A114D"/>
    <w:rsid w:val="002A1183"/>
    <w:rsid w:val="002A1190"/>
    <w:rsid w:val="002A119D"/>
    <w:rsid w:val="002A1234"/>
    <w:rsid w:val="002A1238"/>
    <w:rsid w:val="002A12A6"/>
    <w:rsid w:val="002A12E5"/>
    <w:rsid w:val="002A131E"/>
    <w:rsid w:val="002A1327"/>
    <w:rsid w:val="002A132E"/>
    <w:rsid w:val="002A13C7"/>
    <w:rsid w:val="002A140B"/>
    <w:rsid w:val="002A1441"/>
    <w:rsid w:val="002A1442"/>
    <w:rsid w:val="002A1446"/>
    <w:rsid w:val="002A1453"/>
    <w:rsid w:val="002A1456"/>
    <w:rsid w:val="002A148C"/>
    <w:rsid w:val="002A1556"/>
    <w:rsid w:val="002A1575"/>
    <w:rsid w:val="002A15CA"/>
    <w:rsid w:val="002A15D2"/>
    <w:rsid w:val="002A1602"/>
    <w:rsid w:val="002A1635"/>
    <w:rsid w:val="002A163B"/>
    <w:rsid w:val="002A1652"/>
    <w:rsid w:val="002A16FB"/>
    <w:rsid w:val="002A1732"/>
    <w:rsid w:val="002A1780"/>
    <w:rsid w:val="002A17AE"/>
    <w:rsid w:val="002A17E8"/>
    <w:rsid w:val="002A1830"/>
    <w:rsid w:val="002A1845"/>
    <w:rsid w:val="002A185C"/>
    <w:rsid w:val="002A1874"/>
    <w:rsid w:val="002A189F"/>
    <w:rsid w:val="002A198E"/>
    <w:rsid w:val="002A19A8"/>
    <w:rsid w:val="002A1AA4"/>
    <w:rsid w:val="002A1AE4"/>
    <w:rsid w:val="002A1AE5"/>
    <w:rsid w:val="002A1AEC"/>
    <w:rsid w:val="002A1BB5"/>
    <w:rsid w:val="002A1BBA"/>
    <w:rsid w:val="002A1BCA"/>
    <w:rsid w:val="002A1C74"/>
    <w:rsid w:val="002A1CA0"/>
    <w:rsid w:val="002A1CC0"/>
    <w:rsid w:val="002A1CC5"/>
    <w:rsid w:val="002A1CC9"/>
    <w:rsid w:val="002A1D2C"/>
    <w:rsid w:val="002A1DF5"/>
    <w:rsid w:val="002A1E7A"/>
    <w:rsid w:val="002A1E7C"/>
    <w:rsid w:val="002A1E82"/>
    <w:rsid w:val="002A1ECD"/>
    <w:rsid w:val="002A1EE5"/>
    <w:rsid w:val="002A1EE9"/>
    <w:rsid w:val="002A1F1A"/>
    <w:rsid w:val="002A1F34"/>
    <w:rsid w:val="002A1F5B"/>
    <w:rsid w:val="002A1FC1"/>
    <w:rsid w:val="002A1FE7"/>
    <w:rsid w:val="002A1FF7"/>
    <w:rsid w:val="002A2006"/>
    <w:rsid w:val="002A2017"/>
    <w:rsid w:val="002A2050"/>
    <w:rsid w:val="002A205C"/>
    <w:rsid w:val="002A20C8"/>
    <w:rsid w:val="002A20EB"/>
    <w:rsid w:val="002A2138"/>
    <w:rsid w:val="002A2151"/>
    <w:rsid w:val="002A2182"/>
    <w:rsid w:val="002A2198"/>
    <w:rsid w:val="002A21C8"/>
    <w:rsid w:val="002A226C"/>
    <w:rsid w:val="002A22C8"/>
    <w:rsid w:val="002A2351"/>
    <w:rsid w:val="002A2361"/>
    <w:rsid w:val="002A23AD"/>
    <w:rsid w:val="002A23E3"/>
    <w:rsid w:val="002A2403"/>
    <w:rsid w:val="002A247F"/>
    <w:rsid w:val="002A24D0"/>
    <w:rsid w:val="002A24DB"/>
    <w:rsid w:val="002A2500"/>
    <w:rsid w:val="002A2531"/>
    <w:rsid w:val="002A253A"/>
    <w:rsid w:val="002A2546"/>
    <w:rsid w:val="002A255A"/>
    <w:rsid w:val="002A257A"/>
    <w:rsid w:val="002A258B"/>
    <w:rsid w:val="002A2590"/>
    <w:rsid w:val="002A25A1"/>
    <w:rsid w:val="002A25F9"/>
    <w:rsid w:val="002A2603"/>
    <w:rsid w:val="002A262A"/>
    <w:rsid w:val="002A2661"/>
    <w:rsid w:val="002A2687"/>
    <w:rsid w:val="002A270E"/>
    <w:rsid w:val="002A276F"/>
    <w:rsid w:val="002A27C1"/>
    <w:rsid w:val="002A2810"/>
    <w:rsid w:val="002A281D"/>
    <w:rsid w:val="002A295C"/>
    <w:rsid w:val="002A2A23"/>
    <w:rsid w:val="002A2A49"/>
    <w:rsid w:val="002A2A4F"/>
    <w:rsid w:val="002A2B21"/>
    <w:rsid w:val="002A2B36"/>
    <w:rsid w:val="002A2B59"/>
    <w:rsid w:val="002A2BA7"/>
    <w:rsid w:val="002A2BAF"/>
    <w:rsid w:val="002A2BF9"/>
    <w:rsid w:val="002A2C6C"/>
    <w:rsid w:val="002A2CD5"/>
    <w:rsid w:val="002A2D1E"/>
    <w:rsid w:val="002A2D46"/>
    <w:rsid w:val="002A2D89"/>
    <w:rsid w:val="002A2DAB"/>
    <w:rsid w:val="002A2DF7"/>
    <w:rsid w:val="002A2E0F"/>
    <w:rsid w:val="002A2E27"/>
    <w:rsid w:val="002A2EF7"/>
    <w:rsid w:val="002A2F38"/>
    <w:rsid w:val="002A2F56"/>
    <w:rsid w:val="002A301E"/>
    <w:rsid w:val="002A304C"/>
    <w:rsid w:val="002A30A5"/>
    <w:rsid w:val="002A30BC"/>
    <w:rsid w:val="002A3211"/>
    <w:rsid w:val="002A327C"/>
    <w:rsid w:val="002A329B"/>
    <w:rsid w:val="002A32AC"/>
    <w:rsid w:val="002A335B"/>
    <w:rsid w:val="002A3382"/>
    <w:rsid w:val="002A33CC"/>
    <w:rsid w:val="002A33F7"/>
    <w:rsid w:val="002A3402"/>
    <w:rsid w:val="002A341D"/>
    <w:rsid w:val="002A3438"/>
    <w:rsid w:val="002A348A"/>
    <w:rsid w:val="002A3494"/>
    <w:rsid w:val="002A34D2"/>
    <w:rsid w:val="002A353D"/>
    <w:rsid w:val="002A3578"/>
    <w:rsid w:val="002A3579"/>
    <w:rsid w:val="002A357A"/>
    <w:rsid w:val="002A3581"/>
    <w:rsid w:val="002A35D9"/>
    <w:rsid w:val="002A3643"/>
    <w:rsid w:val="002A3671"/>
    <w:rsid w:val="002A36D5"/>
    <w:rsid w:val="002A3823"/>
    <w:rsid w:val="002A3849"/>
    <w:rsid w:val="002A38C9"/>
    <w:rsid w:val="002A3912"/>
    <w:rsid w:val="002A391C"/>
    <w:rsid w:val="002A3941"/>
    <w:rsid w:val="002A3981"/>
    <w:rsid w:val="002A39D0"/>
    <w:rsid w:val="002A39E3"/>
    <w:rsid w:val="002A3A26"/>
    <w:rsid w:val="002A3A53"/>
    <w:rsid w:val="002A3A86"/>
    <w:rsid w:val="002A3AB9"/>
    <w:rsid w:val="002A3AC5"/>
    <w:rsid w:val="002A3B14"/>
    <w:rsid w:val="002A3B54"/>
    <w:rsid w:val="002A3B5F"/>
    <w:rsid w:val="002A3B71"/>
    <w:rsid w:val="002A3BE0"/>
    <w:rsid w:val="002A3C37"/>
    <w:rsid w:val="002A3C5B"/>
    <w:rsid w:val="002A3C7D"/>
    <w:rsid w:val="002A3C80"/>
    <w:rsid w:val="002A3C9E"/>
    <w:rsid w:val="002A3CC6"/>
    <w:rsid w:val="002A3D04"/>
    <w:rsid w:val="002A3D54"/>
    <w:rsid w:val="002A3D66"/>
    <w:rsid w:val="002A3D6A"/>
    <w:rsid w:val="002A3DB5"/>
    <w:rsid w:val="002A3E6C"/>
    <w:rsid w:val="002A3E9C"/>
    <w:rsid w:val="002A3EA4"/>
    <w:rsid w:val="002A3ED6"/>
    <w:rsid w:val="002A3EEE"/>
    <w:rsid w:val="002A3EFF"/>
    <w:rsid w:val="002A3F5A"/>
    <w:rsid w:val="002A4009"/>
    <w:rsid w:val="002A4051"/>
    <w:rsid w:val="002A4071"/>
    <w:rsid w:val="002A40A1"/>
    <w:rsid w:val="002A40F4"/>
    <w:rsid w:val="002A412F"/>
    <w:rsid w:val="002A4183"/>
    <w:rsid w:val="002A419E"/>
    <w:rsid w:val="002A4208"/>
    <w:rsid w:val="002A4212"/>
    <w:rsid w:val="002A4214"/>
    <w:rsid w:val="002A4245"/>
    <w:rsid w:val="002A425E"/>
    <w:rsid w:val="002A428F"/>
    <w:rsid w:val="002A42AB"/>
    <w:rsid w:val="002A4304"/>
    <w:rsid w:val="002A430D"/>
    <w:rsid w:val="002A4323"/>
    <w:rsid w:val="002A432C"/>
    <w:rsid w:val="002A43BB"/>
    <w:rsid w:val="002A43CF"/>
    <w:rsid w:val="002A4437"/>
    <w:rsid w:val="002A4442"/>
    <w:rsid w:val="002A4461"/>
    <w:rsid w:val="002A446F"/>
    <w:rsid w:val="002A4512"/>
    <w:rsid w:val="002A4523"/>
    <w:rsid w:val="002A4552"/>
    <w:rsid w:val="002A4622"/>
    <w:rsid w:val="002A4670"/>
    <w:rsid w:val="002A46D8"/>
    <w:rsid w:val="002A4739"/>
    <w:rsid w:val="002A474C"/>
    <w:rsid w:val="002A4764"/>
    <w:rsid w:val="002A47A7"/>
    <w:rsid w:val="002A47D4"/>
    <w:rsid w:val="002A4800"/>
    <w:rsid w:val="002A4807"/>
    <w:rsid w:val="002A4856"/>
    <w:rsid w:val="002A489B"/>
    <w:rsid w:val="002A4964"/>
    <w:rsid w:val="002A49F7"/>
    <w:rsid w:val="002A4A73"/>
    <w:rsid w:val="002A4ADF"/>
    <w:rsid w:val="002A4B5A"/>
    <w:rsid w:val="002A4B5C"/>
    <w:rsid w:val="002A4B74"/>
    <w:rsid w:val="002A4BCA"/>
    <w:rsid w:val="002A4BF0"/>
    <w:rsid w:val="002A4CDE"/>
    <w:rsid w:val="002A4CF8"/>
    <w:rsid w:val="002A4D11"/>
    <w:rsid w:val="002A4D98"/>
    <w:rsid w:val="002A4DA4"/>
    <w:rsid w:val="002A4E25"/>
    <w:rsid w:val="002A4E57"/>
    <w:rsid w:val="002A4EB5"/>
    <w:rsid w:val="002A4F2E"/>
    <w:rsid w:val="002A4FD2"/>
    <w:rsid w:val="002A4FFE"/>
    <w:rsid w:val="002A5001"/>
    <w:rsid w:val="002A50C6"/>
    <w:rsid w:val="002A520E"/>
    <w:rsid w:val="002A5224"/>
    <w:rsid w:val="002A5259"/>
    <w:rsid w:val="002A52A7"/>
    <w:rsid w:val="002A535A"/>
    <w:rsid w:val="002A53CA"/>
    <w:rsid w:val="002A53F7"/>
    <w:rsid w:val="002A5468"/>
    <w:rsid w:val="002A5530"/>
    <w:rsid w:val="002A5544"/>
    <w:rsid w:val="002A554D"/>
    <w:rsid w:val="002A5568"/>
    <w:rsid w:val="002A5590"/>
    <w:rsid w:val="002A55C4"/>
    <w:rsid w:val="002A560D"/>
    <w:rsid w:val="002A5643"/>
    <w:rsid w:val="002A5662"/>
    <w:rsid w:val="002A5670"/>
    <w:rsid w:val="002A5682"/>
    <w:rsid w:val="002A56F8"/>
    <w:rsid w:val="002A5702"/>
    <w:rsid w:val="002A5733"/>
    <w:rsid w:val="002A577B"/>
    <w:rsid w:val="002A57A3"/>
    <w:rsid w:val="002A57C4"/>
    <w:rsid w:val="002A580D"/>
    <w:rsid w:val="002A583F"/>
    <w:rsid w:val="002A5917"/>
    <w:rsid w:val="002A59A5"/>
    <w:rsid w:val="002A59AB"/>
    <w:rsid w:val="002A59BC"/>
    <w:rsid w:val="002A5A25"/>
    <w:rsid w:val="002A5AC7"/>
    <w:rsid w:val="002A5AD2"/>
    <w:rsid w:val="002A5AF8"/>
    <w:rsid w:val="002A5BB7"/>
    <w:rsid w:val="002A5BEF"/>
    <w:rsid w:val="002A5C4C"/>
    <w:rsid w:val="002A5C6B"/>
    <w:rsid w:val="002A5C8D"/>
    <w:rsid w:val="002A5C95"/>
    <w:rsid w:val="002A5CD9"/>
    <w:rsid w:val="002A5CDF"/>
    <w:rsid w:val="002A5DA6"/>
    <w:rsid w:val="002A5DDC"/>
    <w:rsid w:val="002A5DEA"/>
    <w:rsid w:val="002A5E19"/>
    <w:rsid w:val="002A5E55"/>
    <w:rsid w:val="002A5F2C"/>
    <w:rsid w:val="002A5F54"/>
    <w:rsid w:val="002A5FA9"/>
    <w:rsid w:val="002A5FFD"/>
    <w:rsid w:val="002A6065"/>
    <w:rsid w:val="002A60E5"/>
    <w:rsid w:val="002A60EC"/>
    <w:rsid w:val="002A60EE"/>
    <w:rsid w:val="002A60FD"/>
    <w:rsid w:val="002A6145"/>
    <w:rsid w:val="002A615E"/>
    <w:rsid w:val="002A6184"/>
    <w:rsid w:val="002A61C2"/>
    <w:rsid w:val="002A61DA"/>
    <w:rsid w:val="002A6229"/>
    <w:rsid w:val="002A6279"/>
    <w:rsid w:val="002A6296"/>
    <w:rsid w:val="002A62B7"/>
    <w:rsid w:val="002A62C1"/>
    <w:rsid w:val="002A62DB"/>
    <w:rsid w:val="002A630B"/>
    <w:rsid w:val="002A6339"/>
    <w:rsid w:val="002A6340"/>
    <w:rsid w:val="002A636A"/>
    <w:rsid w:val="002A637C"/>
    <w:rsid w:val="002A6389"/>
    <w:rsid w:val="002A63AB"/>
    <w:rsid w:val="002A63B1"/>
    <w:rsid w:val="002A63E4"/>
    <w:rsid w:val="002A63FA"/>
    <w:rsid w:val="002A6412"/>
    <w:rsid w:val="002A6463"/>
    <w:rsid w:val="002A6477"/>
    <w:rsid w:val="002A648D"/>
    <w:rsid w:val="002A64A8"/>
    <w:rsid w:val="002A64BB"/>
    <w:rsid w:val="002A64D1"/>
    <w:rsid w:val="002A64D5"/>
    <w:rsid w:val="002A64F2"/>
    <w:rsid w:val="002A6546"/>
    <w:rsid w:val="002A656B"/>
    <w:rsid w:val="002A65BD"/>
    <w:rsid w:val="002A6605"/>
    <w:rsid w:val="002A6636"/>
    <w:rsid w:val="002A663A"/>
    <w:rsid w:val="002A668A"/>
    <w:rsid w:val="002A66B3"/>
    <w:rsid w:val="002A686A"/>
    <w:rsid w:val="002A686E"/>
    <w:rsid w:val="002A6898"/>
    <w:rsid w:val="002A68B8"/>
    <w:rsid w:val="002A6995"/>
    <w:rsid w:val="002A69A2"/>
    <w:rsid w:val="002A6AAA"/>
    <w:rsid w:val="002A6B57"/>
    <w:rsid w:val="002A6B5D"/>
    <w:rsid w:val="002A6B85"/>
    <w:rsid w:val="002A6BA4"/>
    <w:rsid w:val="002A6C5A"/>
    <w:rsid w:val="002A6C90"/>
    <w:rsid w:val="002A6C9B"/>
    <w:rsid w:val="002A6CA5"/>
    <w:rsid w:val="002A6D21"/>
    <w:rsid w:val="002A6D62"/>
    <w:rsid w:val="002A6D72"/>
    <w:rsid w:val="002A6D7F"/>
    <w:rsid w:val="002A6E0D"/>
    <w:rsid w:val="002A6E78"/>
    <w:rsid w:val="002A6EA1"/>
    <w:rsid w:val="002A6EC9"/>
    <w:rsid w:val="002A6F0E"/>
    <w:rsid w:val="002A6F2F"/>
    <w:rsid w:val="002A6F52"/>
    <w:rsid w:val="002A6FDF"/>
    <w:rsid w:val="002A7060"/>
    <w:rsid w:val="002A70F8"/>
    <w:rsid w:val="002A716C"/>
    <w:rsid w:val="002A71A5"/>
    <w:rsid w:val="002A7234"/>
    <w:rsid w:val="002A7264"/>
    <w:rsid w:val="002A7298"/>
    <w:rsid w:val="002A72B7"/>
    <w:rsid w:val="002A7388"/>
    <w:rsid w:val="002A73A4"/>
    <w:rsid w:val="002A73D9"/>
    <w:rsid w:val="002A7453"/>
    <w:rsid w:val="002A748A"/>
    <w:rsid w:val="002A7493"/>
    <w:rsid w:val="002A749F"/>
    <w:rsid w:val="002A74C7"/>
    <w:rsid w:val="002A750D"/>
    <w:rsid w:val="002A75AC"/>
    <w:rsid w:val="002A75BA"/>
    <w:rsid w:val="002A7616"/>
    <w:rsid w:val="002A7660"/>
    <w:rsid w:val="002A768B"/>
    <w:rsid w:val="002A76A2"/>
    <w:rsid w:val="002A772F"/>
    <w:rsid w:val="002A774C"/>
    <w:rsid w:val="002A7787"/>
    <w:rsid w:val="002A7821"/>
    <w:rsid w:val="002A7828"/>
    <w:rsid w:val="002A783F"/>
    <w:rsid w:val="002A78DD"/>
    <w:rsid w:val="002A798E"/>
    <w:rsid w:val="002A79B6"/>
    <w:rsid w:val="002A7A40"/>
    <w:rsid w:val="002A7A6A"/>
    <w:rsid w:val="002A7A97"/>
    <w:rsid w:val="002A7AB2"/>
    <w:rsid w:val="002A7B05"/>
    <w:rsid w:val="002A7B71"/>
    <w:rsid w:val="002A7B84"/>
    <w:rsid w:val="002A7BB5"/>
    <w:rsid w:val="002A7BDA"/>
    <w:rsid w:val="002A7C0B"/>
    <w:rsid w:val="002A7C82"/>
    <w:rsid w:val="002A7CD4"/>
    <w:rsid w:val="002A7D16"/>
    <w:rsid w:val="002A7D56"/>
    <w:rsid w:val="002A7D7E"/>
    <w:rsid w:val="002A7D99"/>
    <w:rsid w:val="002A7DA5"/>
    <w:rsid w:val="002A7DAD"/>
    <w:rsid w:val="002A7E19"/>
    <w:rsid w:val="002A7E88"/>
    <w:rsid w:val="002A7F06"/>
    <w:rsid w:val="002A7F36"/>
    <w:rsid w:val="002A7F5A"/>
    <w:rsid w:val="002B011B"/>
    <w:rsid w:val="002B01CB"/>
    <w:rsid w:val="002B025E"/>
    <w:rsid w:val="002B0294"/>
    <w:rsid w:val="002B02D6"/>
    <w:rsid w:val="002B0391"/>
    <w:rsid w:val="002B0394"/>
    <w:rsid w:val="002B03C7"/>
    <w:rsid w:val="002B0408"/>
    <w:rsid w:val="002B0445"/>
    <w:rsid w:val="002B0472"/>
    <w:rsid w:val="002B0540"/>
    <w:rsid w:val="002B0579"/>
    <w:rsid w:val="002B05DD"/>
    <w:rsid w:val="002B0622"/>
    <w:rsid w:val="002B066D"/>
    <w:rsid w:val="002B0684"/>
    <w:rsid w:val="002B06CB"/>
    <w:rsid w:val="002B06DD"/>
    <w:rsid w:val="002B0774"/>
    <w:rsid w:val="002B0780"/>
    <w:rsid w:val="002B07D2"/>
    <w:rsid w:val="002B0809"/>
    <w:rsid w:val="002B0815"/>
    <w:rsid w:val="002B0842"/>
    <w:rsid w:val="002B0859"/>
    <w:rsid w:val="002B0882"/>
    <w:rsid w:val="002B08B8"/>
    <w:rsid w:val="002B08CE"/>
    <w:rsid w:val="002B0984"/>
    <w:rsid w:val="002B099B"/>
    <w:rsid w:val="002B099F"/>
    <w:rsid w:val="002B09B1"/>
    <w:rsid w:val="002B09CC"/>
    <w:rsid w:val="002B09F9"/>
    <w:rsid w:val="002B0A8F"/>
    <w:rsid w:val="002B0A9A"/>
    <w:rsid w:val="002B0B3C"/>
    <w:rsid w:val="002B0B92"/>
    <w:rsid w:val="002B0C4D"/>
    <w:rsid w:val="002B0C5A"/>
    <w:rsid w:val="002B0C67"/>
    <w:rsid w:val="002B0C68"/>
    <w:rsid w:val="002B0CE6"/>
    <w:rsid w:val="002B0D1B"/>
    <w:rsid w:val="002B0D2B"/>
    <w:rsid w:val="002B0D6E"/>
    <w:rsid w:val="002B0D8E"/>
    <w:rsid w:val="002B0DB0"/>
    <w:rsid w:val="002B0E86"/>
    <w:rsid w:val="002B0EEE"/>
    <w:rsid w:val="002B0F70"/>
    <w:rsid w:val="002B0F71"/>
    <w:rsid w:val="002B0FAD"/>
    <w:rsid w:val="002B100B"/>
    <w:rsid w:val="002B1030"/>
    <w:rsid w:val="002B108F"/>
    <w:rsid w:val="002B10A6"/>
    <w:rsid w:val="002B10F5"/>
    <w:rsid w:val="002B1102"/>
    <w:rsid w:val="002B1110"/>
    <w:rsid w:val="002B1113"/>
    <w:rsid w:val="002B114D"/>
    <w:rsid w:val="002B1173"/>
    <w:rsid w:val="002B117C"/>
    <w:rsid w:val="002B1185"/>
    <w:rsid w:val="002B11D5"/>
    <w:rsid w:val="002B1246"/>
    <w:rsid w:val="002B126E"/>
    <w:rsid w:val="002B1276"/>
    <w:rsid w:val="002B128B"/>
    <w:rsid w:val="002B12F0"/>
    <w:rsid w:val="002B13CD"/>
    <w:rsid w:val="002B1417"/>
    <w:rsid w:val="002B146E"/>
    <w:rsid w:val="002B15BE"/>
    <w:rsid w:val="002B15CF"/>
    <w:rsid w:val="002B15DB"/>
    <w:rsid w:val="002B1639"/>
    <w:rsid w:val="002B1646"/>
    <w:rsid w:val="002B16B8"/>
    <w:rsid w:val="002B1756"/>
    <w:rsid w:val="002B176F"/>
    <w:rsid w:val="002B17DD"/>
    <w:rsid w:val="002B17F4"/>
    <w:rsid w:val="002B181A"/>
    <w:rsid w:val="002B189A"/>
    <w:rsid w:val="002B18A6"/>
    <w:rsid w:val="002B18D5"/>
    <w:rsid w:val="002B1931"/>
    <w:rsid w:val="002B194E"/>
    <w:rsid w:val="002B1976"/>
    <w:rsid w:val="002B1A17"/>
    <w:rsid w:val="002B1AC0"/>
    <w:rsid w:val="002B1AC4"/>
    <w:rsid w:val="002B1AF4"/>
    <w:rsid w:val="002B1AF5"/>
    <w:rsid w:val="002B1B1F"/>
    <w:rsid w:val="002B1B23"/>
    <w:rsid w:val="002B1B30"/>
    <w:rsid w:val="002B1B60"/>
    <w:rsid w:val="002B1BBD"/>
    <w:rsid w:val="002B1C26"/>
    <w:rsid w:val="002B1C32"/>
    <w:rsid w:val="002B1C57"/>
    <w:rsid w:val="002B1C8C"/>
    <w:rsid w:val="002B1CCA"/>
    <w:rsid w:val="002B1CFC"/>
    <w:rsid w:val="002B1DB5"/>
    <w:rsid w:val="002B1DEA"/>
    <w:rsid w:val="002B1E35"/>
    <w:rsid w:val="002B1E66"/>
    <w:rsid w:val="002B1E7F"/>
    <w:rsid w:val="002B1EB6"/>
    <w:rsid w:val="002B1F08"/>
    <w:rsid w:val="002B1F34"/>
    <w:rsid w:val="002B1FD2"/>
    <w:rsid w:val="002B1FE4"/>
    <w:rsid w:val="002B1FFC"/>
    <w:rsid w:val="002B2035"/>
    <w:rsid w:val="002B20DF"/>
    <w:rsid w:val="002B2106"/>
    <w:rsid w:val="002B2155"/>
    <w:rsid w:val="002B21E4"/>
    <w:rsid w:val="002B21FE"/>
    <w:rsid w:val="002B2253"/>
    <w:rsid w:val="002B2297"/>
    <w:rsid w:val="002B232C"/>
    <w:rsid w:val="002B2343"/>
    <w:rsid w:val="002B23C3"/>
    <w:rsid w:val="002B23F4"/>
    <w:rsid w:val="002B2404"/>
    <w:rsid w:val="002B2441"/>
    <w:rsid w:val="002B246C"/>
    <w:rsid w:val="002B246F"/>
    <w:rsid w:val="002B2478"/>
    <w:rsid w:val="002B24CA"/>
    <w:rsid w:val="002B24E0"/>
    <w:rsid w:val="002B2506"/>
    <w:rsid w:val="002B2567"/>
    <w:rsid w:val="002B256D"/>
    <w:rsid w:val="002B259A"/>
    <w:rsid w:val="002B25F1"/>
    <w:rsid w:val="002B25F4"/>
    <w:rsid w:val="002B2618"/>
    <w:rsid w:val="002B2639"/>
    <w:rsid w:val="002B264A"/>
    <w:rsid w:val="002B26B7"/>
    <w:rsid w:val="002B2703"/>
    <w:rsid w:val="002B2867"/>
    <w:rsid w:val="002B286B"/>
    <w:rsid w:val="002B2893"/>
    <w:rsid w:val="002B298F"/>
    <w:rsid w:val="002B29AD"/>
    <w:rsid w:val="002B29D6"/>
    <w:rsid w:val="002B29F2"/>
    <w:rsid w:val="002B29F8"/>
    <w:rsid w:val="002B29FF"/>
    <w:rsid w:val="002B2A85"/>
    <w:rsid w:val="002B2A92"/>
    <w:rsid w:val="002B2AAF"/>
    <w:rsid w:val="002B2AB0"/>
    <w:rsid w:val="002B2B90"/>
    <w:rsid w:val="002B2B9A"/>
    <w:rsid w:val="002B2B9F"/>
    <w:rsid w:val="002B2C4A"/>
    <w:rsid w:val="002B2C54"/>
    <w:rsid w:val="002B2C83"/>
    <w:rsid w:val="002B2CA5"/>
    <w:rsid w:val="002B2CB0"/>
    <w:rsid w:val="002B2D68"/>
    <w:rsid w:val="002B2D76"/>
    <w:rsid w:val="002B2DDC"/>
    <w:rsid w:val="002B2E06"/>
    <w:rsid w:val="002B2E3E"/>
    <w:rsid w:val="002B2E88"/>
    <w:rsid w:val="002B2EA9"/>
    <w:rsid w:val="002B2F7C"/>
    <w:rsid w:val="002B2FCE"/>
    <w:rsid w:val="002B3035"/>
    <w:rsid w:val="002B30A8"/>
    <w:rsid w:val="002B31AC"/>
    <w:rsid w:val="002B31B3"/>
    <w:rsid w:val="002B327E"/>
    <w:rsid w:val="002B32AA"/>
    <w:rsid w:val="002B32B6"/>
    <w:rsid w:val="002B32D0"/>
    <w:rsid w:val="002B3321"/>
    <w:rsid w:val="002B3346"/>
    <w:rsid w:val="002B338C"/>
    <w:rsid w:val="002B3393"/>
    <w:rsid w:val="002B33A1"/>
    <w:rsid w:val="002B33DF"/>
    <w:rsid w:val="002B33E6"/>
    <w:rsid w:val="002B3438"/>
    <w:rsid w:val="002B34E4"/>
    <w:rsid w:val="002B3537"/>
    <w:rsid w:val="002B3545"/>
    <w:rsid w:val="002B35A6"/>
    <w:rsid w:val="002B35B3"/>
    <w:rsid w:val="002B35DA"/>
    <w:rsid w:val="002B35E3"/>
    <w:rsid w:val="002B35EB"/>
    <w:rsid w:val="002B360C"/>
    <w:rsid w:val="002B3613"/>
    <w:rsid w:val="002B362D"/>
    <w:rsid w:val="002B3630"/>
    <w:rsid w:val="002B365E"/>
    <w:rsid w:val="002B36D3"/>
    <w:rsid w:val="002B3716"/>
    <w:rsid w:val="002B3772"/>
    <w:rsid w:val="002B378B"/>
    <w:rsid w:val="002B37BF"/>
    <w:rsid w:val="002B37D5"/>
    <w:rsid w:val="002B37F7"/>
    <w:rsid w:val="002B383E"/>
    <w:rsid w:val="002B3861"/>
    <w:rsid w:val="002B389D"/>
    <w:rsid w:val="002B38A7"/>
    <w:rsid w:val="002B3940"/>
    <w:rsid w:val="002B3973"/>
    <w:rsid w:val="002B39B6"/>
    <w:rsid w:val="002B39FD"/>
    <w:rsid w:val="002B3A27"/>
    <w:rsid w:val="002B3A29"/>
    <w:rsid w:val="002B3A39"/>
    <w:rsid w:val="002B3A3A"/>
    <w:rsid w:val="002B3A83"/>
    <w:rsid w:val="002B3AA9"/>
    <w:rsid w:val="002B3B36"/>
    <w:rsid w:val="002B3BB7"/>
    <w:rsid w:val="002B3BD9"/>
    <w:rsid w:val="002B3BF3"/>
    <w:rsid w:val="002B3C0D"/>
    <w:rsid w:val="002B3C10"/>
    <w:rsid w:val="002B3C13"/>
    <w:rsid w:val="002B3C31"/>
    <w:rsid w:val="002B3C3A"/>
    <w:rsid w:val="002B3C9D"/>
    <w:rsid w:val="002B3D15"/>
    <w:rsid w:val="002B3D8A"/>
    <w:rsid w:val="002B3DAF"/>
    <w:rsid w:val="002B3DEC"/>
    <w:rsid w:val="002B3DEE"/>
    <w:rsid w:val="002B3DFA"/>
    <w:rsid w:val="002B3E27"/>
    <w:rsid w:val="002B3E6F"/>
    <w:rsid w:val="002B3EBD"/>
    <w:rsid w:val="002B3F0E"/>
    <w:rsid w:val="002B3F1F"/>
    <w:rsid w:val="002B3F3D"/>
    <w:rsid w:val="002B3F8E"/>
    <w:rsid w:val="002B3FA6"/>
    <w:rsid w:val="002B3FA8"/>
    <w:rsid w:val="002B3FD0"/>
    <w:rsid w:val="002B405F"/>
    <w:rsid w:val="002B40A7"/>
    <w:rsid w:val="002B413E"/>
    <w:rsid w:val="002B414D"/>
    <w:rsid w:val="002B4158"/>
    <w:rsid w:val="002B415C"/>
    <w:rsid w:val="002B4162"/>
    <w:rsid w:val="002B4173"/>
    <w:rsid w:val="002B418D"/>
    <w:rsid w:val="002B41C3"/>
    <w:rsid w:val="002B41C9"/>
    <w:rsid w:val="002B41EF"/>
    <w:rsid w:val="002B4213"/>
    <w:rsid w:val="002B42F5"/>
    <w:rsid w:val="002B42FB"/>
    <w:rsid w:val="002B436D"/>
    <w:rsid w:val="002B43E0"/>
    <w:rsid w:val="002B43E2"/>
    <w:rsid w:val="002B43F8"/>
    <w:rsid w:val="002B4487"/>
    <w:rsid w:val="002B44DC"/>
    <w:rsid w:val="002B4525"/>
    <w:rsid w:val="002B4554"/>
    <w:rsid w:val="002B45C1"/>
    <w:rsid w:val="002B45CA"/>
    <w:rsid w:val="002B4645"/>
    <w:rsid w:val="002B4682"/>
    <w:rsid w:val="002B46D2"/>
    <w:rsid w:val="002B4710"/>
    <w:rsid w:val="002B47C0"/>
    <w:rsid w:val="002B4881"/>
    <w:rsid w:val="002B488E"/>
    <w:rsid w:val="002B48C5"/>
    <w:rsid w:val="002B4932"/>
    <w:rsid w:val="002B49A3"/>
    <w:rsid w:val="002B49BA"/>
    <w:rsid w:val="002B49EC"/>
    <w:rsid w:val="002B4A16"/>
    <w:rsid w:val="002B4A74"/>
    <w:rsid w:val="002B4A77"/>
    <w:rsid w:val="002B4AB8"/>
    <w:rsid w:val="002B4ADF"/>
    <w:rsid w:val="002B4AED"/>
    <w:rsid w:val="002B4AF3"/>
    <w:rsid w:val="002B4B1B"/>
    <w:rsid w:val="002B4B41"/>
    <w:rsid w:val="002B4B88"/>
    <w:rsid w:val="002B4BB9"/>
    <w:rsid w:val="002B4BC2"/>
    <w:rsid w:val="002B4BCC"/>
    <w:rsid w:val="002B4BD8"/>
    <w:rsid w:val="002B4BEF"/>
    <w:rsid w:val="002B4C0C"/>
    <w:rsid w:val="002B4C29"/>
    <w:rsid w:val="002B4C4A"/>
    <w:rsid w:val="002B4C52"/>
    <w:rsid w:val="002B4CCC"/>
    <w:rsid w:val="002B4D1A"/>
    <w:rsid w:val="002B4D55"/>
    <w:rsid w:val="002B4D77"/>
    <w:rsid w:val="002B4DC7"/>
    <w:rsid w:val="002B4DCC"/>
    <w:rsid w:val="002B4E3A"/>
    <w:rsid w:val="002B4EDF"/>
    <w:rsid w:val="002B4F3F"/>
    <w:rsid w:val="002B4F46"/>
    <w:rsid w:val="002B4F67"/>
    <w:rsid w:val="002B4F7A"/>
    <w:rsid w:val="002B4FA2"/>
    <w:rsid w:val="002B500E"/>
    <w:rsid w:val="002B50C0"/>
    <w:rsid w:val="002B50F7"/>
    <w:rsid w:val="002B516D"/>
    <w:rsid w:val="002B51A8"/>
    <w:rsid w:val="002B51BE"/>
    <w:rsid w:val="002B51D3"/>
    <w:rsid w:val="002B51E6"/>
    <w:rsid w:val="002B524D"/>
    <w:rsid w:val="002B52B1"/>
    <w:rsid w:val="002B531F"/>
    <w:rsid w:val="002B53B6"/>
    <w:rsid w:val="002B53C8"/>
    <w:rsid w:val="002B5420"/>
    <w:rsid w:val="002B5460"/>
    <w:rsid w:val="002B5477"/>
    <w:rsid w:val="002B548D"/>
    <w:rsid w:val="002B5575"/>
    <w:rsid w:val="002B55C2"/>
    <w:rsid w:val="002B5616"/>
    <w:rsid w:val="002B5631"/>
    <w:rsid w:val="002B56D6"/>
    <w:rsid w:val="002B5718"/>
    <w:rsid w:val="002B5765"/>
    <w:rsid w:val="002B57D6"/>
    <w:rsid w:val="002B57D8"/>
    <w:rsid w:val="002B57D9"/>
    <w:rsid w:val="002B57F7"/>
    <w:rsid w:val="002B57FF"/>
    <w:rsid w:val="002B58CA"/>
    <w:rsid w:val="002B58F5"/>
    <w:rsid w:val="002B5901"/>
    <w:rsid w:val="002B59BF"/>
    <w:rsid w:val="002B59FA"/>
    <w:rsid w:val="002B5A11"/>
    <w:rsid w:val="002B5A61"/>
    <w:rsid w:val="002B5A86"/>
    <w:rsid w:val="002B5ACA"/>
    <w:rsid w:val="002B5B04"/>
    <w:rsid w:val="002B5BB0"/>
    <w:rsid w:val="002B5C22"/>
    <w:rsid w:val="002B5CD6"/>
    <w:rsid w:val="002B5CF4"/>
    <w:rsid w:val="002B5D25"/>
    <w:rsid w:val="002B5D27"/>
    <w:rsid w:val="002B5D33"/>
    <w:rsid w:val="002B5D91"/>
    <w:rsid w:val="002B5D9C"/>
    <w:rsid w:val="002B5DD3"/>
    <w:rsid w:val="002B5DE6"/>
    <w:rsid w:val="002B5E80"/>
    <w:rsid w:val="002B5E90"/>
    <w:rsid w:val="002B5ECC"/>
    <w:rsid w:val="002B5EFE"/>
    <w:rsid w:val="002B5F11"/>
    <w:rsid w:val="002B5F37"/>
    <w:rsid w:val="002B5F41"/>
    <w:rsid w:val="002B5F89"/>
    <w:rsid w:val="002B5FAD"/>
    <w:rsid w:val="002B5FB8"/>
    <w:rsid w:val="002B5FEF"/>
    <w:rsid w:val="002B5FFE"/>
    <w:rsid w:val="002B603B"/>
    <w:rsid w:val="002B6096"/>
    <w:rsid w:val="002B60B4"/>
    <w:rsid w:val="002B60C8"/>
    <w:rsid w:val="002B60F8"/>
    <w:rsid w:val="002B60FE"/>
    <w:rsid w:val="002B6169"/>
    <w:rsid w:val="002B6176"/>
    <w:rsid w:val="002B61F8"/>
    <w:rsid w:val="002B620B"/>
    <w:rsid w:val="002B628B"/>
    <w:rsid w:val="002B6298"/>
    <w:rsid w:val="002B629B"/>
    <w:rsid w:val="002B62FA"/>
    <w:rsid w:val="002B62FD"/>
    <w:rsid w:val="002B634D"/>
    <w:rsid w:val="002B63BD"/>
    <w:rsid w:val="002B63E0"/>
    <w:rsid w:val="002B640A"/>
    <w:rsid w:val="002B642F"/>
    <w:rsid w:val="002B6483"/>
    <w:rsid w:val="002B650C"/>
    <w:rsid w:val="002B6572"/>
    <w:rsid w:val="002B6587"/>
    <w:rsid w:val="002B65A2"/>
    <w:rsid w:val="002B65CC"/>
    <w:rsid w:val="002B66C3"/>
    <w:rsid w:val="002B66C9"/>
    <w:rsid w:val="002B66DC"/>
    <w:rsid w:val="002B6722"/>
    <w:rsid w:val="002B6724"/>
    <w:rsid w:val="002B6733"/>
    <w:rsid w:val="002B6790"/>
    <w:rsid w:val="002B67A1"/>
    <w:rsid w:val="002B67D1"/>
    <w:rsid w:val="002B6807"/>
    <w:rsid w:val="002B6869"/>
    <w:rsid w:val="002B688A"/>
    <w:rsid w:val="002B68FB"/>
    <w:rsid w:val="002B6910"/>
    <w:rsid w:val="002B6942"/>
    <w:rsid w:val="002B695D"/>
    <w:rsid w:val="002B69EB"/>
    <w:rsid w:val="002B69F9"/>
    <w:rsid w:val="002B6A43"/>
    <w:rsid w:val="002B6A89"/>
    <w:rsid w:val="002B6ADA"/>
    <w:rsid w:val="002B6B67"/>
    <w:rsid w:val="002B6BC2"/>
    <w:rsid w:val="002B6C15"/>
    <w:rsid w:val="002B6C73"/>
    <w:rsid w:val="002B6C74"/>
    <w:rsid w:val="002B6C87"/>
    <w:rsid w:val="002B6C94"/>
    <w:rsid w:val="002B6CF1"/>
    <w:rsid w:val="002B6D44"/>
    <w:rsid w:val="002B6D6C"/>
    <w:rsid w:val="002B6DAD"/>
    <w:rsid w:val="002B6E61"/>
    <w:rsid w:val="002B6EAB"/>
    <w:rsid w:val="002B6ED2"/>
    <w:rsid w:val="002B6F1A"/>
    <w:rsid w:val="002B6F41"/>
    <w:rsid w:val="002B6F58"/>
    <w:rsid w:val="002B70C4"/>
    <w:rsid w:val="002B7111"/>
    <w:rsid w:val="002B7175"/>
    <w:rsid w:val="002B7178"/>
    <w:rsid w:val="002B71D6"/>
    <w:rsid w:val="002B726C"/>
    <w:rsid w:val="002B72C5"/>
    <w:rsid w:val="002B7335"/>
    <w:rsid w:val="002B738E"/>
    <w:rsid w:val="002B73A5"/>
    <w:rsid w:val="002B73D6"/>
    <w:rsid w:val="002B741A"/>
    <w:rsid w:val="002B7420"/>
    <w:rsid w:val="002B7489"/>
    <w:rsid w:val="002B74F4"/>
    <w:rsid w:val="002B7567"/>
    <w:rsid w:val="002B75C2"/>
    <w:rsid w:val="002B76C8"/>
    <w:rsid w:val="002B76D1"/>
    <w:rsid w:val="002B76ED"/>
    <w:rsid w:val="002B76F0"/>
    <w:rsid w:val="002B7754"/>
    <w:rsid w:val="002B775D"/>
    <w:rsid w:val="002B780A"/>
    <w:rsid w:val="002B7842"/>
    <w:rsid w:val="002B7868"/>
    <w:rsid w:val="002B78DC"/>
    <w:rsid w:val="002B78E6"/>
    <w:rsid w:val="002B7906"/>
    <w:rsid w:val="002B791F"/>
    <w:rsid w:val="002B7971"/>
    <w:rsid w:val="002B7A23"/>
    <w:rsid w:val="002B7A49"/>
    <w:rsid w:val="002B7A99"/>
    <w:rsid w:val="002B7ACF"/>
    <w:rsid w:val="002B7AD9"/>
    <w:rsid w:val="002B7B0F"/>
    <w:rsid w:val="002B7BF3"/>
    <w:rsid w:val="002B7C02"/>
    <w:rsid w:val="002B7C0F"/>
    <w:rsid w:val="002B7C8A"/>
    <w:rsid w:val="002B7C8E"/>
    <w:rsid w:val="002B7C9A"/>
    <w:rsid w:val="002B7CBE"/>
    <w:rsid w:val="002B7D8D"/>
    <w:rsid w:val="002B7DD9"/>
    <w:rsid w:val="002B7DE3"/>
    <w:rsid w:val="002B7DED"/>
    <w:rsid w:val="002B7E1B"/>
    <w:rsid w:val="002B7E41"/>
    <w:rsid w:val="002B7E6E"/>
    <w:rsid w:val="002B7ED1"/>
    <w:rsid w:val="002B7F6D"/>
    <w:rsid w:val="002B7F78"/>
    <w:rsid w:val="002B7FE6"/>
    <w:rsid w:val="002B7FFE"/>
    <w:rsid w:val="002B99E6"/>
    <w:rsid w:val="002C0043"/>
    <w:rsid w:val="002C0074"/>
    <w:rsid w:val="002C00C9"/>
    <w:rsid w:val="002C00CB"/>
    <w:rsid w:val="002C0115"/>
    <w:rsid w:val="002C01A7"/>
    <w:rsid w:val="002C0216"/>
    <w:rsid w:val="002C025B"/>
    <w:rsid w:val="002C025E"/>
    <w:rsid w:val="002C0277"/>
    <w:rsid w:val="002C02B8"/>
    <w:rsid w:val="002C02D3"/>
    <w:rsid w:val="002C02FD"/>
    <w:rsid w:val="002C038D"/>
    <w:rsid w:val="002C0425"/>
    <w:rsid w:val="002C0491"/>
    <w:rsid w:val="002C04DA"/>
    <w:rsid w:val="002C04DE"/>
    <w:rsid w:val="002C051C"/>
    <w:rsid w:val="002C05AA"/>
    <w:rsid w:val="002C05BA"/>
    <w:rsid w:val="002C0618"/>
    <w:rsid w:val="002C0698"/>
    <w:rsid w:val="002C06A1"/>
    <w:rsid w:val="002C06B5"/>
    <w:rsid w:val="002C06E8"/>
    <w:rsid w:val="002C0734"/>
    <w:rsid w:val="002C073B"/>
    <w:rsid w:val="002C07B8"/>
    <w:rsid w:val="002C083A"/>
    <w:rsid w:val="002C086C"/>
    <w:rsid w:val="002C086F"/>
    <w:rsid w:val="002C08F8"/>
    <w:rsid w:val="002C0901"/>
    <w:rsid w:val="002C090F"/>
    <w:rsid w:val="002C0921"/>
    <w:rsid w:val="002C0943"/>
    <w:rsid w:val="002C0949"/>
    <w:rsid w:val="002C0A0B"/>
    <w:rsid w:val="002C0A1C"/>
    <w:rsid w:val="002C0A1D"/>
    <w:rsid w:val="002C0A21"/>
    <w:rsid w:val="002C0A5E"/>
    <w:rsid w:val="002C0AF5"/>
    <w:rsid w:val="002C0AFF"/>
    <w:rsid w:val="002C0B3A"/>
    <w:rsid w:val="002C0B44"/>
    <w:rsid w:val="002C0B9C"/>
    <w:rsid w:val="002C0B9D"/>
    <w:rsid w:val="002C0BF5"/>
    <w:rsid w:val="002C0C49"/>
    <w:rsid w:val="002C0C6C"/>
    <w:rsid w:val="002C0C78"/>
    <w:rsid w:val="002C0C97"/>
    <w:rsid w:val="002C0CF1"/>
    <w:rsid w:val="002C0D35"/>
    <w:rsid w:val="002C0D3D"/>
    <w:rsid w:val="002C0D42"/>
    <w:rsid w:val="002C0DB5"/>
    <w:rsid w:val="002C0E12"/>
    <w:rsid w:val="002C0E16"/>
    <w:rsid w:val="002C0E31"/>
    <w:rsid w:val="002C0E5A"/>
    <w:rsid w:val="002C0E7B"/>
    <w:rsid w:val="002C0EA8"/>
    <w:rsid w:val="002C0EFC"/>
    <w:rsid w:val="002C0F09"/>
    <w:rsid w:val="002C0F4B"/>
    <w:rsid w:val="002C0F59"/>
    <w:rsid w:val="002C0F69"/>
    <w:rsid w:val="002C0F7D"/>
    <w:rsid w:val="002C0F89"/>
    <w:rsid w:val="002C0FC3"/>
    <w:rsid w:val="002C1051"/>
    <w:rsid w:val="002C10B5"/>
    <w:rsid w:val="002C110F"/>
    <w:rsid w:val="002C116E"/>
    <w:rsid w:val="002C1196"/>
    <w:rsid w:val="002C11B9"/>
    <w:rsid w:val="002C11BA"/>
    <w:rsid w:val="002C11CE"/>
    <w:rsid w:val="002C121E"/>
    <w:rsid w:val="002C12EC"/>
    <w:rsid w:val="002C131A"/>
    <w:rsid w:val="002C1397"/>
    <w:rsid w:val="002C13BA"/>
    <w:rsid w:val="002C13FE"/>
    <w:rsid w:val="002C148A"/>
    <w:rsid w:val="002C148F"/>
    <w:rsid w:val="002C1492"/>
    <w:rsid w:val="002C1559"/>
    <w:rsid w:val="002C1576"/>
    <w:rsid w:val="002C158C"/>
    <w:rsid w:val="002C161C"/>
    <w:rsid w:val="002C1694"/>
    <w:rsid w:val="002C16B7"/>
    <w:rsid w:val="002C16CC"/>
    <w:rsid w:val="002C1706"/>
    <w:rsid w:val="002C1744"/>
    <w:rsid w:val="002C1755"/>
    <w:rsid w:val="002C175C"/>
    <w:rsid w:val="002C17D0"/>
    <w:rsid w:val="002C180A"/>
    <w:rsid w:val="002C1820"/>
    <w:rsid w:val="002C182C"/>
    <w:rsid w:val="002C1843"/>
    <w:rsid w:val="002C1844"/>
    <w:rsid w:val="002C1859"/>
    <w:rsid w:val="002C1866"/>
    <w:rsid w:val="002C18E2"/>
    <w:rsid w:val="002C18F6"/>
    <w:rsid w:val="002C1902"/>
    <w:rsid w:val="002C192B"/>
    <w:rsid w:val="002C1997"/>
    <w:rsid w:val="002C1A45"/>
    <w:rsid w:val="002C1A69"/>
    <w:rsid w:val="002C1A88"/>
    <w:rsid w:val="002C1ACA"/>
    <w:rsid w:val="002C1ADA"/>
    <w:rsid w:val="002C1AE7"/>
    <w:rsid w:val="002C1AEA"/>
    <w:rsid w:val="002C1B50"/>
    <w:rsid w:val="002C1C42"/>
    <w:rsid w:val="002C1C50"/>
    <w:rsid w:val="002C1C51"/>
    <w:rsid w:val="002C1C69"/>
    <w:rsid w:val="002C1CB8"/>
    <w:rsid w:val="002C1CF1"/>
    <w:rsid w:val="002C1DC4"/>
    <w:rsid w:val="002C1DE9"/>
    <w:rsid w:val="002C1E47"/>
    <w:rsid w:val="002C1E5F"/>
    <w:rsid w:val="002C1E79"/>
    <w:rsid w:val="002C1EAD"/>
    <w:rsid w:val="002C1EEB"/>
    <w:rsid w:val="002C1EFD"/>
    <w:rsid w:val="002C1F23"/>
    <w:rsid w:val="002C202E"/>
    <w:rsid w:val="002C204E"/>
    <w:rsid w:val="002C2082"/>
    <w:rsid w:val="002C2161"/>
    <w:rsid w:val="002C21C3"/>
    <w:rsid w:val="002C2212"/>
    <w:rsid w:val="002C2222"/>
    <w:rsid w:val="002C2223"/>
    <w:rsid w:val="002C223E"/>
    <w:rsid w:val="002C22BF"/>
    <w:rsid w:val="002C22FA"/>
    <w:rsid w:val="002C2385"/>
    <w:rsid w:val="002C23D2"/>
    <w:rsid w:val="002C23D3"/>
    <w:rsid w:val="002C23F3"/>
    <w:rsid w:val="002C23F9"/>
    <w:rsid w:val="002C242D"/>
    <w:rsid w:val="002C2443"/>
    <w:rsid w:val="002C24D4"/>
    <w:rsid w:val="002C24E4"/>
    <w:rsid w:val="002C24F2"/>
    <w:rsid w:val="002C24FA"/>
    <w:rsid w:val="002C2514"/>
    <w:rsid w:val="002C25A2"/>
    <w:rsid w:val="002C25C2"/>
    <w:rsid w:val="002C25E9"/>
    <w:rsid w:val="002C2621"/>
    <w:rsid w:val="002C264C"/>
    <w:rsid w:val="002C2650"/>
    <w:rsid w:val="002C266B"/>
    <w:rsid w:val="002C26E9"/>
    <w:rsid w:val="002C26F1"/>
    <w:rsid w:val="002C26FD"/>
    <w:rsid w:val="002C271F"/>
    <w:rsid w:val="002C2777"/>
    <w:rsid w:val="002C281F"/>
    <w:rsid w:val="002C286E"/>
    <w:rsid w:val="002C28AE"/>
    <w:rsid w:val="002C28ED"/>
    <w:rsid w:val="002C2916"/>
    <w:rsid w:val="002C2917"/>
    <w:rsid w:val="002C291C"/>
    <w:rsid w:val="002C2947"/>
    <w:rsid w:val="002C2960"/>
    <w:rsid w:val="002C29CC"/>
    <w:rsid w:val="002C2A38"/>
    <w:rsid w:val="002C2A6F"/>
    <w:rsid w:val="002C2AD8"/>
    <w:rsid w:val="002C2B1A"/>
    <w:rsid w:val="002C2B46"/>
    <w:rsid w:val="002C2B71"/>
    <w:rsid w:val="002C2B9F"/>
    <w:rsid w:val="002C2BE7"/>
    <w:rsid w:val="002C2C01"/>
    <w:rsid w:val="002C2D5E"/>
    <w:rsid w:val="002C2DB9"/>
    <w:rsid w:val="002C2DBE"/>
    <w:rsid w:val="002C2DD3"/>
    <w:rsid w:val="002C2E2B"/>
    <w:rsid w:val="002C2E5E"/>
    <w:rsid w:val="002C2E7C"/>
    <w:rsid w:val="002C2E8F"/>
    <w:rsid w:val="002C2EC8"/>
    <w:rsid w:val="002C2EDA"/>
    <w:rsid w:val="002C2EF7"/>
    <w:rsid w:val="002C2F56"/>
    <w:rsid w:val="002C303B"/>
    <w:rsid w:val="002C306A"/>
    <w:rsid w:val="002C30F4"/>
    <w:rsid w:val="002C3115"/>
    <w:rsid w:val="002C3179"/>
    <w:rsid w:val="002C31E3"/>
    <w:rsid w:val="002C320A"/>
    <w:rsid w:val="002C3294"/>
    <w:rsid w:val="002C335D"/>
    <w:rsid w:val="002C3377"/>
    <w:rsid w:val="002C33A2"/>
    <w:rsid w:val="002C33FB"/>
    <w:rsid w:val="002C345B"/>
    <w:rsid w:val="002C352E"/>
    <w:rsid w:val="002C3556"/>
    <w:rsid w:val="002C35B5"/>
    <w:rsid w:val="002C3608"/>
    <w:rsid w:val="002C360E"/>
    <w:rsid w:val="002C3617"/>
    <w:rsid w:val="002C3653"/>
    <w:rsid w:val="002C367C"/>
    <w:rsid w:val="002C36C4"/>
    <w:rsid w:val="002C3741"/>
    <w:rsid w:val="002C374A"/>
    <w:rsid w:val="002C37D5"/>
    <w:rsid w:val="002C37E5"/>
    <w:rsid w:val="002C3806"/>
    <w:rsid w:val="002C3834"/>
    <w:rsid w:val="002C3842"/>
    <w:rsid w:val="002C385F"/>
    <w:rsid w:val="002C38E7"/>
    <w:rsid w:val="002C3943"/>
    <w:rsid w:val="002C394E"/>
    <w:rsid w:val="002C3971"/>
    <w:rsid w:val="002C39CE"/>
    <w:rsid w:val="002C39ED"/>
    <w:rsid w:val="002C39FE"/>
    <w:rsid w:val="002C3A12"/>
    <w:rsid w:val="002C3A96"/>
    <w:rsid w:val="002C3B3E"/>
    <w:rsid w:val="002C3B42"/>
    <w:rsid w:val="002C3B4B"/>
    <w:rsid w:val="002C3BA1"/>
    <w:rsid w:val="002C3BC8"/>
    <w:rsid w:val="002C3C42"/>
    <w:rsid w:val="002C3C47"/>
    <w:rsid w:val="002C3C59"/>
    <w:rsid w:val="002C3C7C"/>
    <w:rsid w:val="002C3CA7"/>
    <w:rsid w:val="002C3CEA"/>
    <w:rsid w:val="002C3D07"/>
    <w:rsid w:val="002C3D1A"/>
    <w:rsid w:val="002C3D69"/>
    <w:rsid w:val="002C3D8A"/>
    <w:rsid w:val="002C3D90"/>
    <w:rsid w:val="002C3DAF"/>
    <w:rsid w:val="002C3DB9"/>
    <w:rsid w:val="002C3DC8"/>
    <w:rsid w:val="002C3DD3"/>
    <w:rsid w:val="002C3DD6"/>
    <w:rsid w:val="002C3E34"/>
    <w:rsid w:val="002C3E3B"/>
    <w:rsid w:val="002C3E69"/>
    <w:rsid w:val="002C3EB6"/>
    <w:rsid w:val="002C3ED4"/>
    <w:rsid w:val="002C3EED"/>
    <w:rsid w:val="002C3F1A"/>
    <w:rsid w:val="002C3F20"/>
    <w:rsid w:val="002C3F3B"/>
    <w:rsid w:val="002C3F7B"/>
    <w:rsid w:val="002C3FA5"/>
    <w:rsid w:val="002C3FC4"/>
    <w:rsid w:val="002C3FC9"/>
    <w:rsid w:val="002C3FE3"/>
    <w:rsid w:val="002C402B"/>
    <w:rsid w:val="002C402C"/>
    <w:rsid w:val="002C4035"/>
    <w:rsid w:val="002C407E"/>
    <w:rsid w:val="002C4108"/>
    <w:rsid w:val="002C4118"/>
    <w:rsid w:val="002C413E"/>
    <w:rsid w:val="002C4176"/>
    <w:rsid w:val="002C420B"/>
    <w:rsid w:val="002C4223"/>
    <w:rsid w:val="002C422B"/>
    <w:rsid w:val="002C423B"/>
    <w:rsid w:val="002C4256"/>
    <w:rsid w:val="002C42BB"/>
    <w:rsid w:val="002C42E8"/>
    <w:rsid w:val="002C4308"/>
    <w:rsid w:val="002C431A"/>
    <w:rsid w:val="002C4344"/>
    <w:rsid w:val="002C4357"/>
    <w:rsid w:val="002C4371"/>
    <w:rsid w:val="002C439D"/>
    <w:rsid w:val="002C43AC"/>
    <w:rsid w:val="002C43AE"/>
    <w:rsid w:val="002C4422"/>
    <w:rsid w:val="002C4441"/>
    <w:rsid w:val="002C4456"/>
    <w:rsid w:val="002C4479"/>
    <w:rsid w:val="002C4532"/>
    <w:rsid w:val="002C453A"/>
    <w:rsid w:val="002C4549"/>
    <w:rsid w:val="002C459A"/>
    <w:rsid w:val="002C4642"/>
    <w:rsid w:val="002C467A"/>
    <w:rsid w:val="002C46AC"/>
    <w:rsid w:val="002C46E6"/>
    <w:rsid w:val="002C4706"/>
    <w:rsid w:val="002C470D"/>
    <w:rsid w:val="002C4720"/>
    <w:rsid w:val="002C47B4"/>
    <w:rsid w:val="002C47CE"/>
    <w:rsid w:val="002C4836"/>
    <w:rsid w:val="002C48CF"/>
    <w:rsid w:val="002C48FD"/>
    <w:rsid w:val="002C495A"/>
    <w:rsid w:val="002C4A0E"/>
    <w:rsid w:val="002C4A2A"/>
    <w:rsid w:val="002C4A5D"/>
    <w:rsid w:val="002C4A8F"/>
    <w:rsid w:val="002C4B40"/>
    <w:rsid w:val="002C4B52"/>
    <w:rsid w:val="002C4B74"/>
    <w:rsid w:val="002C4B97"/>
    <w:rsid w:val="002C4BB6"/>
    <w:rsid w:val="002C4BC0"/>
    <w:rsid w:val="002C4C18"/>
    <w:rsid w:val="002C4C7E"/>
    <w:rsid w:val="002C4C87"/>
    <w:rsid w:val="002C4CD8"/>
    <w:rsid w:val="002C4CDD"/>
    <w:rsid w:val="002C4D15"/>
    <w:rsid w:val="002C4D26"/>
    <w:rsid w:val="002C4D60"/>
    <w:rsid w:val="002C4D84"/>
    <w:rsid w:val="002C4D99"/>
    <w:rsid w:val="002C4DBA"/>
    <w:rsid w:val="002C4E23"/>
    <w:rsid w:val="002C4E38"/>
    <w:rsid w:val="002C4E7C"/>
    <w:rsid w:val="002C4E86"/>
    <w:rsid w:val="002C4EB6"/>
    <w:rsid w:val="002C4EFE"/>
    <w:rsid w:val="002C4F41"/>
    <w:rsid w:val="002C4FED"/>
    <w:rsid w:val="002C5022"/>
    <w:rsid w:val="002C5047"/>
    <w:rsid w:val="002C5059"/>
    <w:rsid w:val="002C506C"/>
    <w:rsid w:val="002C5071"/>
    <w:rsid w:val="002C509F"/>
    <w:rsid w:val="002C50E3"/>
    <w:rsid w:val="002C50F8"/>
    <w:rsid w:val="002C51AB"/>
    <w:rsid w:val="002C51AC"/>
    <w:rsid w:val="002C51D5"/>
    <w:rsid w:val="002C51F5"/>
    <w:rsid w:val="002C51F7"/>
    <w:rsid w:val="002C5229"/>
    <w:rsid w:val="002C5240"/>
    <w:rsid w:val="002C524B"/>
    <w:rsid w:val="002C524E"/>
    <w:rsid w:val="002C52B0"/>
    <w:rsid w:val="002C52E9"/>
    <w:rsid w:val="002C531E"/>
    <w:rsid w:val="002C5366"/>
    <w:rsid w:val="002C5447"/>
    <w:rsid w:val="002C544A"/>
    <w:rsid w:val="002C5454"/>
    <w:rsid w:val="002C54DB"/>
    <w:rsid w:val="002C54FF"/>
    <w:rsid w:val="002C5529"/>
    <w:rsid w:val="002C5544"/>
    <w:rsid w:val="002C555E"/>
    <w:rsid w:val="002C5598"/>
    <w:rsid w:val="002C55BD"/>
    <w:rsid w:val="002C55D2"/>
    <w:rsid w:val="002C5649"/>
    <w:rsid w:val="002C5694"/>
    <w:rsid w:val="002C56A7"/>
    <w:rsid w:val="002C56BC"/>
    <w:rsid w:val="002C56D6"/>
    <w:rsid w:val="002C5717"/>
    <w:rsid w:val="002C5751"/>
    <w:rsid w:val="002C5753"/>
    <w:rsid w:val="002C5780"/>
    <w:rsid w:val="002C57AE"/>
    <w:rsid w:val="002C57C1"/>
    <w:rsid w:val="002C57CB"/>
    <w:rsid w:val="002C57CE"/>
    <w:rsid w:val="002C5815"/>
    <w:rsid w:val="002C5868"/>
    <w:rsid w:val="002C5915"/>
    <w:rsid w:val="002C5943"/>
    <w:rsid w:val="002C594E"/>
    <w:rsid w:val="002C5975"/>
    <w:rsid w:val="002C59C2"/>
    <w:rsid w:val="002C59DC"/>
    <w:rsid w:val="002C5A48"/>
    <w:rsid w:val="002C5A53"/>
    <w:rsid w:val="002C5AB5"/>
    <w:rsid w:val="002C5ABE"/>
    <w:rsid w:val="002C5AD6"/>
    <w:rsid w:val="002C5AE3"/>
    <w:rsid w:val="002C5B24"/>
    <w:rsid w:val="002C5B2E"/>
    <w:rsid w:val="002C5B9A"/>
    <w:rsid w:val="002C5BD6"/>
    <w:rsid w:val="002C5BFB"/>
    <w:rsid w:val="002C5C01"/>
    <w:rsid w:val="002C5C28"/>
    <w:rsid w:val="002C5C38"/>
    <w:rsid w:val="002C5C41"/>
    <w:rsid w:val="002C5C51"/>
    <w:rsid w:val="002C5C5F"/>
    <w:rsid w:val="002C5C6A"/>
    <w:rsid w:val="002C5C78"/>
    <w:rsid w:val="002C5D60"/>
    <w:rsid w:val="002C5D93"/>
    <w:rsid w:val="002C5DAA"/>
    <w:rsid w:val="002C5E09"/>
    <w:rsid w:val="002C5E12"/>
    <w:rsid w:val="002C5E1A"/>
    <w:rsid w:val="002C5E5C"/>
    <w:rsid w:val="002C5E6E"/>
    <w:rsid w:val="002C5EB0"/>
    <w:rsid w:val="002C5EB9"/>
    <w:rsid w:val="002C5F2D"/>
    <w:rsid w:val="002C5F67"/>
    <w:rsid w:val="002C5F80"/>
    <w:rsid w:val="002C5FB6"/>
    <w:rsid w:val="002C5FE8"/>
    <w:rsid w:val="002C5FE9"/>
    <w:rsid w:val="002C601E"/>
    <w:rsid w:val="002C6029"/>
    <w:rsid w:val="002C604A"/>
    <w:rsid w:val="002C6072"/>
    <w:rsid w:val="002C6075"/>
    <w:rsid w:val="002C609E"/>
    <w:rsid w:val="002C60ED"/>
    <w:rsid w:val="002C60F0"/>
    <w:rsid w:val="002C60FB"/>
    <w:rsid w:val="002C6177"/>
    <w:rsid w:val="002C6263"/>
    <w:rsid w:val="002C62A4"/>
    <w:rsid w:val="002C62D5"/>
    <w:rsid w:val="002C62E8"/>
    <w:rsid w:val="002C6318"/>
    <w:rsid w:val="002C632A"/>
    <w:rsid w:val="002C6366"/>
    <w:rsid w:val="002C6390"/>
    <w:rsid w:val="002C6396"/>
    <w:rsid w:val="002C644A"/>
    <w:rsid w:val="002C6517"/>
    <w:rsid w:val="002C6525"/>
    <w:rsid w:val="002C652F"/>
    <w:rsid w:val="002C6584"/>
    <w:rsid w:val="002C659B"/>
    <w:rsid w:val="002C65E5"/>
    <w:rsid w:val="002C6632"/>
    <w:rsid w:val="002C6653"/>
    <w:rsid w:val="002C6656"/>
    <w:rsid w:val="002C666E"/>
    <w:rsid w:val="002C6685"/>
    <w:rsid w:val="002C66CC"/>
    <w:rsid w:val="002C670D"/>
    <w:rsid w:val="002C677A"/>
    <w:rsid w:val="002C67C9"/>
    <w:rsid w:val="002C67D4"/>
    <w:rsid w:val="002C67D8"/>
    <w:rsid w:val="002C67E0"/>
    <w:rsid w:val="002C6883"/>
    <w:rsid w:val="002C68D8"/>
    <w:rsid w:val="002C691E"/>
    <w:rsid w:val="002C69C3"/>
    <w:rsid w:val="002C69D9"/>
    <w:rsid w:val="002C69FB"/>
    <w:rsid w:val="002C6A78"/>
    <w:rsid w:val="002C6A79"/>
    <w:rsid w:val="002C6AF1"/>
    <w:rsid w:val="002C6AFA"/>
    <w:rsid w:val="002C6B05"/>
    <w:rsid w:val="002C6B26"/>
    <w:rsid w:val="002C6B32"/>
    <w:rsid w:val="002C6C01"/>
    <w:rsid w:val="002C6C32"/>
    <w:rsid w:val="002C6C3D"/>
    <w:rsid w:val="002C6C45"/>
    <w:rsid w:val="002C6C65"/>
    <w:rsid w:val="002C6C6C"/>
    <w:rsid w:val="002C6CEE"/>
    <w:rsid w:val="002C6D13"/>
    <w:rsid w:val="002C6D69"/>
    <w:rsid w:val="002C6D88"/>
    <w:rsid w:val="002C6D99"/>
    <w:rsid w:val="002C6E9C"/>
    <w:rsid w:val="002C6ECD"/>
    <w:rsid w:val="002C6EF0"/>
    <w:rsid w:val="002C6F07"/>
    <w:rsid w:val="002C6F16"/>
    <w:rsid w:val="002C6F1E"/>
    <w:rsid w:val="002C6F64"/>
    <w:rsid w:val="002C6F81"/>
    <w:rsid w:val="002C6F85"/>
    <w:rsid w:val="002C6F90"/>
    <w:rsid w:val="002C6FBA"/>
    <w:rsid w:val="002C6FC2"/>
    <w:rsid w:val="002C6FE4"/>
    <w:rsid w:val="002C6FFB"/>
    <w:rsid w:val="002C7012"/>
    <w:rsid w:val="002C7015"/>
    <w:rsid w:val="002C714C"/>
    <w:rsid w:val="002C7192"/>
    <w:rsid w:val="002C71E4"/>
    <w:rsid w:val="002C7248"/>
    <w:rsid w:val="002C72C3"/>
    <w:rsid w:val="002C72EB"/>
    <w:rsid w:val="002C7337"/>
    <w:rsid w:val="002C7346"/>
    <w:rsid w:val="002C7364"/>
    <w:rsid w:val="002C7385"/>
    <w:rsid w:val="002C73A2"/>
    <w:rsid w:val="002C73F2"/>
    <w:rsid w:val="002C74A5"/>
    <w:rsid w:val="002C74C2"/>
    <w:rsid w:val="002C74C8"/>
    <w:rsid w:val="002C7534"/>
    <w:rsid w:val="002C754E"/>
    <w:rsid w:val="002C7599"/>
    <w:rsid w:val="002C75A1"/>
    <w:rsid w:val="002C75B7"/>
    <w:rsid w:val="002C7612"/>
    <w:rsid w:val="002C7644"/>
    <w:rsid w:val="002C7650"/>
    <w:rsid w:val="002C7682"/>
    <w:rsid w:val="002C7798"/>
    <w:rsid w:val="002C77D8"/>
    <w:rsid w:val="002C7806"/>
    <w:rsid w:val="002C784C"/>
    <w:rsid w:val="002C7885"/>
    <w:rsid w:val="002C789A"/>
    <w:rsid w:val="002C7945"/>
    <w:rsid w:val="002C794F"/>
    <w:rsid w:val="002C79B9"/>
    <w:rsid w:val="002C79CD"/>
    <w:rsid w:val="002C79E3"/>
    <w:rsid w:val="002C79ED"/>
    <w:rsid w:val="002C7A27"/>
    <w:rsid w:val="002C7A2A"/>
    <w:rsid w:val="002C7A53"/>
    <w:rsid w:val="002C7A8D"/>
    <w:rsid w:val="002C7AC9"/>
    <w:rsid w:val="002C7AD4"/>
    <w:rsid w:val="002C7B09"/>
    <w:rsid w:val="002C7B32"/>
    <w:rsid w:val="002C7B52"/>
    <w:rsid w:val="002C7B57"/>
    <w:rsid w:val="002C7B5E"/>
    <w:rsid w:val="002C7BA7"/>
    <w:rsid w:val="002C7C0B"/>
    <w:rsid w:val="002C7C83"/>
    <w:rsid w:val="002C7C84"/>
    <w:rsid w:val="002C7C9E"/>
    <w:rsid w:val="002C7CEA"/>
    <w:rsid w:val="002C7CEB"/>
    <w:rsid w:val="002C7CF5"/>
    <w:rsid w:val="002C7D24"/>
    <w:rsid w:val="002C7D34"/>
    <w:rsid w:val="002C7D52"/>
    <w:rsid w:val="002C7DCD"/>
    <w:rsid w:val="002C7DEB"/>
    <w:rsid w:val="002C7DF6"/>
    <w:rsid w:val="002C7E0F"/>
    <w:rsid w:val="002C7E43"/>
    <w:rsid w:val="002C7E5B"/>
    <w:rsid w:val="002C7E5E"/>
    <w:rsid w:val="002C7E8F"/>
    <w:rsid w:val="002C7EA7"/>
    <w:rsid w:val="002C7EA9"/>
    <w:rsid w:val="002C7ED1"/>
    <w:rsid w:val="002C7ED2"/>
    <w:rsid w:val="002C7F32"/>
    <w:rsid w:val="002D0069"/>
    <w:rsid w:val="002D006F"/>
    <w:rsid w:val="002D007B"/>
    <w:rsid w:val="002D0090"/>
    <w:rsid w:val="002D0096"/>
    <w:rsid w:val="002D00FF"/>
    <w:rsid w:val="002D013B"/>
    <w:rsid w:val="002D0141"/>
    <w:rsid w:val="002D0161"/>
    <w:rsid w:val="002D0191"/>
    <w:rsid w:val="002D01A5"/>
    <w:rsid w:val="002D01BC"/>
    <w:rsid w:val="002D01C6"/>
    <w:rsid w:val="002D01DE"/>
    <w:rsid w:val="002D01F6"/>
    <w:rsid w:val="002D0213"/>
    <w:rsid w:val="002D021F"/>
    <w:rsid w:val="002D0232"/>
    <w:rsid w:val="002D0250"/>
    <w:rsid w:val="002D0274"/>
    <w:rsid w:val="002D029D"/>
    <w:rsid w:val="002D02AA"/>
    <w:rsid w:val="002D0331"/>
    <w:rsid w:val="002D0384"/>
    <w:rsid w:val="002D038E"/>
    <w:rsid w:val="002D03D6"/>
    <w:rsid w:val="002D03FC"/>
    <w:rsid w:val="002D0403"/>
    <w:rsid w:val="002D041F"/>
    <w:rsid w:val="002D0432"/>
    <w:rsid w:val="002D0558"/>
    <w:rsid w:val="002D05AA"/>
    <w:rsid w:val="002D05E1"/>
    <w:rsid w:val="002D05F7"/>
    <w:rsid w:val="002D0663"/>
    <w:rsid w:val="002D0675"/>
    <w:rsid w:val="002D068B"/>
    <w:rsid w:val="002D0697"/>
    <w:rsid w:val="002D06B3"/>
    <w:rsid w:val="002D06C3"/>
    <w:rsid w:val="002D06F5"/>
    <w:rsid w:val="002D0719"/>
    <w:rsid w:val="002D075C"/>
    <w:rsid w:val="002D0768"/>
    <w:rsid w:val="002D08A6"/>
    <w:rsid w:val="002D08C3"/>
    <w:rsid w:val="002D08DD"/>
    <w:rsid w:val="002D0958"/>
    <w:rsid w:val="002D09B6"/>
    <w:rsid w:val="002D09ED"/>
    <w:rsid w:val="002D0A83"/>
    <w:rsid w:val="002D0AA5"/>
    <w:rsid w:val="002D0AAE"/>
    <w:rsid w:val="002D0ABF"/>
    <w:rsid w:val="002D0B76"/>
    <w:rsid w:val="002D0BF1"/>
    <w:rsid w:val="002D0C0B"/>
    <w:rsid w:val="002D0C0E"/>
    <w:rsid w:val="002D0C24"/>
    <w:rsid w:val="002D0C83"/>
    <w:rsid w:val="002D0CBC"/>
    <w:rsid w:val="002D0CC5"/>
    <w:rsid w:val="002D0D68"/>
    <w:rsid w:val="002D0D6B"/>
    <w:rsid w:val="002D0DCE"/>
    <w:rsid w:val="002D0F23"/>
    <w:rsid w:val="002D0F3A"/>
    <w:rsid w:val="002D0F7F"/>
    <w:rsid w:val="002D1020"/>
    <w:rsid w:val="002D1081"/>
    <w:rsid w:val="002D1086"/>
    <w:rsid w:val="002D10E3"/>
    <w:rsid w:val="002D10FF"/>
    <w:rsid w:val="002D1181"/>
    <w:rsid w:val="002D1191"/>
    <w:rsid w:val="002D11D4"/>
    <w:rsid w:val="002D1227"/>
    <w:rsid w:val="002D1248"/>
    <w:rsid w:val="002D1266"/>
    <w:rsid w:val="002D12C8"/>
    <w:rsid w:val="002D135F"/>
    <w:rsid w:val="002D13CB"/>
    <w:rsid w:val="002D144D"/>
    <w:rsid w:val="002D1460"/>
    <w:rsid w:val="002D1466"/>
    <w:rsid w:val="002D147F"/>
    <w:rsid w:val="002D14BB"/>
    <w:rsid w:val="002D14D2"/>
    <w:rsid w:val="002D1522"/>
    <w:rsid w:val="002D1673"/>
    <w:rsid w:val="002D16A1"/>
    <w:rsid w:val="002D1722"/>
    <w:rsid w:val="002D1728"/>
    <w:rsid w:val="002D175B"/>
    <w:rsid w:val="002D1792"/>
    <w:rsid w:val="002D18AA"/>
    <w:rsid w:val="002D18C0"/>
    <w:rsid w:val="002D190F"/>
    <w:rsid w:val="002D1910"/>
    <w:rsid w:val="002D1911"/>
    <w:rsid w:val="002D191A"/>
    <w:rsid w:val="002D19D4"/>
    <w:rsid w:val="002D19EF"/>
    <w:rsid w:val="002D1A1F"/>
    <w:rsid w:val="002D1A6E"/>
    <w:rsid w:val="002D1A8D"/>
    <w:rsid w:val="002D1AB5"/>
    <w:rsid w:val="002D1AF4"/>
    <w:rsid w:val="002D1B02"/>
    <w:rsid w:val="002D1B05"/>
    <w:rsid w:val="002D1B0A"/>
    <w:rsid w:val="002D1B2E"/>
    <w:rsid w:val="002D1B95"/>
    <w:rsid w:val="002D1BAA"/>
    <w:rsid w:val="002D1BFE"/>
    <w:rsid w:val="002D1C0D"/>
    <w:rsid w:val="002D1C2D"/>
    <w:rsid w:val="002D1C60"/>
    <w:rsid w:val="002D1CC2"/>
    <w:rsid w:val="002D1D03"/>
    <w:rsid w:val="002D1D1F"/>
    <w:rsid w:val="002D1D34"/>
    <w:rsid w:val="002D1D35"/>
    <w:rsid w:val="002D1D5F"/>
    <w:rsid w:val="002D1DDD"/>
    <w:rsid w:val="002D1DE3"/>
    <w:rsid w:val="002D1E09"/>
    <w:rsid w:val="002D1E53"/>
    <w:rsid w:val="002D1EFA"/>
    <w:rsid w:val="002D1FEF"/>
    <w:rsid w:val="002D1FF7"/>
    <w:rsid w:val="002D201F"/>
    <w:rsid w:val="002D2041"/>
    <w:rsid w:val="002D20CF"/>
    <w:rsid w:val="002D2130"/>
    <w:rsid w:val="002D216B"/>
    <w:rsid w:val="002D21F0"/>
    <w:rsid w:val="002D21F6"/>
    <w:rsid w:val="002D21FC"/>
    <w:rsid w:val="002D222F"/>
    <w:rsid w:val="002D2270"/>
    <w:rsid w:val="002D22BE"/>
    <w:rsid w:val="002D22C0"/>
    <w:rsid w:val="002D22DA"/>
    <w:rsid w:val="002D230E"/>
    <w:rsid w:val="002D2327"/>
    <w:rsid w:val="002D2335"/>
    <w:rsid w:val="002D2338"/>
    <w:rsid w:val="002D2358"/>
    <w:rsid w:val="002D23E6"/>
    <w:rsid w:val="002D244B"/>
    <w:rsid w:val="002D2478"/>
    <w:rsid w:val="002D255E"/>
    <w:rsid w:val="002D256C"/>
    <w:rsid w:val="002D2578"/>
    <w:rsid w:val="002D257F"/>
    <w:rsid w:val="002D25F5"/>
    <w:rsid w:val="002D2664"/>
    <w:rsid w:val="002D271B"/>
    <w:rsid w:val="002D271D"/>
    <w:rsid w:val="002D2720"/>
    <w:rsid w:val="002D277D"/>
    <w:rsid w:val="002D284B"/>
    <w:rsid w:val="002D2858"/>
    <w:rsid w:val="002D28CE"/>
    <w:rsid w:val="002D28DB"/>
    <w:rsid w:val="002D28FD"/>
    <w:rsid w:val="002D2929"/>
    <w:rsid w:val="002D29B2"/>
    <w:rsid w:val="002D29B3"/>
    <w:rsid w:val="002D29C0"/>
    <w:rsid w:val="002D29D5"/>
    <w:rsid w:val="002D29F4"/>
    <w:rsid w:val="002D2A4C"/>
    <w:rsid w:val="002D2A50"/>
    <w:rsid w:val="002D2AAC"/>
    <w:rsid w:val="002D2B06"/>
    <w:rsid w:val="002D2B79"/>
    <w:rsid w:val="002D2BA9"/>
    <w:rsid w:val="002D2BCC"/>
    <w:rsid w:val="002D2BDB"/>
    <w:rsid w:val="002D2BED"/>
    <w:rsid w:val="002D2C3F"/>
    <w:rsid w:val="002D2CF9"/>
    <w:rsid w:val="002D2D05"/>
    <w:rsid w:val="002D2D53"/>
    <w:rsid w:val="002D2D71"/>
    <w:rsid w:val="002D2DAA"/>
    <w:rsid w:val="002D2DE1"/>
    <w:rsid w:val="002D2E6B"/>
    <w:rsid w:val="002D2E83"/>
    <w:rsid w:val="002D2EEC"/>
    <w:rsid w:val="002D2F05"/>
    <w:rsid w:val="002D2F0D"/>
    <w:rsid w:val="002D2F99"/>
    <w:rsid w:val="002D2FEC"/>
    <w:rsid w:val="002D30E6"/>
    <w:rsid w:val="002D3138"/>
    <w:rsid w:val="002D314C"/>
    <w:rsid w:val="002D31BB"/>
    <w:rsid w:val="002D31C3"/>
    <w:rsid w:val="002D3266"/>
    <w:rsid w:val="002D336F"/>
    <w:rsid w:val="002D33BA"/>
    <w:rsid w:val="002D33E3"/>
    <w:rsid w:val="002D342D"/>
    <w:rsid w:val="002D3431"/>
    <w:rsid w:val="002D3441"/>
    <w:rsid w:val="002D3498"/>
    <w:rsid w:val="002D34D7"/>
    <w:rsid w:val="002D35B0"/>
    <w:rsid w:val="002D35FE"/>
    <w:rsid w:val="002D361D"/>
    <w:rsid w:val="002D3643"/>
    <w:rsid w:val="002D3644"/>
    <w:rsid w:val="002D3688"/>
    <w:rsid w:val="002D368F"/>
    <w:rsid w:val="002D3703"/>
    <w:rsid w:val="002D37D7"/>
    <w:rsid w:val="002D37E7"/>
    <w:rsid w:val="002D38E1"/>
    <w:rsid w:val="002D38FA"/>
    <w:rsid w:val="002D3902"/>
    <w:rsid w:val="002D390C"/>
    <w:rsid w:val="002D3910"/>
    <w:rsid w:val="002D3A0A"/>
    <w:rsid w:val="002D3A46"/>
    <w:rsid w:val="002D3A8E"/>
    <w:rsid w:val="002D3AFC"/>
    <w:rsid w:val="002D3BC3"/>
    <w:rsid w:val="002D3BE6"/>
    <w:rsid w:val="002D3C80"/>
    <w:rsid w:val="002D3CCB"/>
    <w:rsid w:val="002D3D32"/>
    <w:rsid w:val="002D3D65"/>
    <w:rsid w:val="002D3E27"/>
    <w:rsid w:val="002D3E48"/>
    <w:rsid w:val="002D3E68"/>
    <w:rsid w:val="002D3EFA"/>
    <w:rsid w:val="002D3F0A"/>
    <w:rsid w:val="002D3F58"/>
    <w:rsid w:val="002D3F7C"/>
    <w:rsid w:val="002D3F96"/>
    <w:rsid w:val="002D3FC1"/>
    <w:rsid w:val="002D3FE5"/>
    <w:rsid w:val="002D4001"/>
    <w:rsid w:val="002D4064"/>
    <w:rsid w:val="002D4078"/>
    <w:rsid w:val="002D4090"/>
    <w:rsid w:val="002D40B2"/>
    <w:rsid w:val="002D40D1"/>
    <w:rsid w:val="002D40E3"/>
    <w:rsid w:val="002D4107"/>
    <w:rsid w:val="002D4154"/>
    <w:rsid w:val="002D4249"/>
    <w:rsid w:val="002D42C2"/>
    <w:rsid w:val="002D436F"/>
    <w:rsid w:val="002D43E6"/>
    <w:rsid w:val="002D4423"/>
    <w:rsid w:val="002D4430"/>
    <w:rsid w:val="002D4461"/>
    <w:rsid w:val="002D4566"/>
    <w:rsid w:val="002D459C"/>
    <w:rsid w:val="002D463E"/>
    <w:rsid w:val="002D4655"/>
    <w:rsid w:val="002D46B9"/>
    <w:rsid w:val="002D46C9"/>
    <w:rsid w:val="002D471D"/>
    <w:rsid w:val="002D474C"/>
    <w:rsid w:val="002D4757"/>
    <w:rsid w:val="002D4779"/>
    <w:rsid w:val="002D4807"/>
    <w:rsid w:val="002D484C"/>
    <w:rsid w:val="002D4854"/>
    <w:rsid w:val="002D4881"/>
    <w:rsid w:val="002D488F"/>
    <w:rsid w:val="002D4A1C"/>
    <w:rsid w:val="002D4A7B"/>
    <w:rsid w:val="002D4AB7"/>
    <w:rsid w:val="002D4B1F"/>
    <w:rsid w:val="002D4B8C"/>
    <w:rsid w:val="002D4B9B"/>
    <w:rsid w:val="002D4BB8"/>
    <w:rsid w:val="002D4BBA"/>
    <w:rsid w:val="002D4BDC"/>
    <w:rsid w:val="002D4BF2"/>
    <w:rsid w:val="002D4C01"/>
    <w:rsid w:val="002D4C0D"/>
    <w:rsid w:val="002D4C26"/>
    <w:rsid w:val="002D4C96"/>
    <w:rsid w:val="002D4CA6"/>
    <w:rsid w:val="002D4DB1"/>
    <w:rsid w:val="002D4DCA"/>
    <w:rsid w:val="002D4DD9"/>
    <w:rsid w:val="002D4E42"/>
    <w:rsid w:val="002D4E92"/>
    <w:rsid w:val="002D4E99"/>
    <w:rsid w:val="002D4E9B"/>
    <w:rsid w:val="002D4EFA"/>
    <w:rsid w:val="002D4F3E"/>
    <w:rsid w:val="002D4F74"/>
    <w:rsid w:val="002D4FB3"/>
    <w:rsid w:val="002D4FB7"/>
    <w:rsid w:val="002D4FED"/>
    <w:rsid w:val="002D5016"/>
    <w:rsid w:val="002D50CB"/>
    <w:rsid w:val="002D512A"/>
    <w:rsid w:val="002D517D"/>
    <w:rsid w:val="002D52D9"/>
    <w:rsid w:val="002D530A"/>
    <w:rsid w:val="002D53BB"/>
    <w:rsid w:val="002D53DD"/>
    <w:rsid w:val="002D54B6"/>
    <w:rsid w:val="002D54B7"/>
    <w:rsid w:val="002D54B9"/>
    <w:rsid w:val="002D54CE"/>
    <w:rsid w:val="002D54EA"/>
    <w:rsid w:val="002D54ED"/>
    <w:rsid w:val="002D553F"/>
    <w:rsid w:val="002D556D"/>
    <w:rsid w:val="002D5588"/>
    <w:rsid w:val="002D5592"/>
    <w:rsid w:val="002D55AC"/>
    <w:rsid w:val="002D5603"/>
    <w:rsid w:val="002D5604"/>
    <w:rsid w:val="002D5611"/>
    <w:rsid w:val="002D5646"/>
    <w:rsid w:val="002D5655"/>
    <w:rsid w:val="002D566A"/>
    <w:rsid w:val="002D568E"/>
    <w:rsid w:val="002D56A6"/>
    <w:rsid w:val="002D56CC"/>
    <w:rsid w:val="002D5705"/>
    <w:rsid w:val="002D578A"/>
    <w:rsid w:val="002D5790"/>
    <w:rsid w:val="002D5853"/>
    <w:rsid w:val="002D5869"/>
    <w:rsid w:val="002D586E"/>
    <w:rsid w:val="002D58BE"/>
    <w:rsid w:val="002D58D7"/>
    <w:rsid w:val="002D594C"/>
    <w:rsid w:val="002D5955"/>
    <w:rsid w:val="002D59DE"/>
    <w:rsid w:val="002D5A01"/>
    <w:rsid w:val="002D5A16"/>
    <w:rsid w:val="002D5A82"/>
    <w:rsid w:val="002D5A83"/>
    <w:rsid w:val="002D5AA9"/>
    <w:rsid w:val="002D5ABC"/>
    <w:rsid w:val="002D5ABF"/>
    <w:rsid w:val="002D5AE1"/>
    <w:rsid w:val="002D5B50"/>
    <w:rsid w:val="002D5C0B"/>
    <w:rsid w:val="002D5C26"/>
    <w:rsid w:val="002D5C83"/>
    <w:rsid w:val="002D5D5F"/>
    <w:rsid w:val="002D5DF3"/>
    <w:rsid w:val="002D5E3A"/>
    <w:rsid w:val="002D5E40"/>
    <w:rsid w:val="002D5EA0"/>
    <w:rsid w:val="002D5EBE"/>
    <w:rsid w:val="002D5EFB"/>
    <w:rsid w:val="002D5F07"/>
    <w:rsid w:val="002D5F5B"/>
    <w:rsid w:val="002D5F6F"/>
    <w:rsid w:val="002D5F8F"/>
    <w:rsid w:val="002D5FB1"/>
    <w:rsid w:val="002D5FC6"/>
    <w:rsid w:val="002D6069"/>
    <w:rsid w:val="002D606F"/>
    <w:rsid w:val="002D6079"/>
    <w:rsid w:val="002D6126"/>
    <w:rsid w:val="002D6139"/>
    <w:rsid w:val="002D61C8"/>
    <w:rsid w:val="002D61D3"/>
    <w:rsid w:val="002D6293"/>
    <w:rsid w:val="002D62B6"/>
    <w:rsid w:val="002D6328"/>
    <w:rsid w:val="002D63D2"/>
    <w:rsid w:val="002D648D"/>
    <w:rsid w:val="002D64C7"/>
    <w:rsid w:val="002D650C"/>
    <w:rsid w:val="002D653E"/>
    <w:rsid w:val="002D6555"/>
    <w:rsid w:val="002D6584"/>
    <w:rsid w:val="002D65A5"/>
    <w:rsid w:val="002D65C5"/>
    <w:rsid w:val="002D668D"/>
    <w:rsid w:val="002D66E6"/>
    <w:rsid w:val="002D672E"/>
    <w:rsid w:val="002D6755"/>
    <w:rsid w:val="002D6785"/>
    <w:rsid w:val="002D67EE"/>
    <w:rsid w:val="002D6813"/>
    <w:rsid w:val="002D6819"/>
    <w:rsid w:val="002D6856"/>
    <w:rsid w:val="002D68E2"/>
    <w:rsid w:val="002D6923"/>
    <w:rsid w:val="002D69A0"/>
    <w:rsid w:val="002D69DE"/>
    <w:rsid w:val="002D6A06"/>
    <w:rsid w:val="002D6AF9"/>
    <w:rsid w:val="002D6B04"/>
    <w:rsid w:val="002D6B27"/>
    <w:rsid w:val="002D6BA6"/>
    <w:rsid w:val="002D6C8C"/>
    <w:rsid w:val="002D6C99"/>
    <w:rsid w:val="002D6CC5"/>
    <w:rsid w:val="002D6CC7"/>
    <w:rsid w:val="002D6CCF"/>
    <w:rsid w:val="002D6CD1"/>
    <w:rsid w:val="002D6CDB"/>
    <w:rsid w:val="002D6CF9"/>
    <w:rsid w:val="002D6D18"/>
    <w:rsid w:val="002D6D3C"/>
    <w:rsid w:val="002D6D43"/>
    <w:rsid w:val="002D6DA9"/>
    <w:rsid w:val="002D6DDB"/>
    <w:rsid w:val="002D6E38"/>
    <w:rsid w:val="002D6E9A"/>
    <w:rsid w:val="002D6ED2"/>
    <w:rsid w:val="002D6F6D"/>
    <w:rsid w:val="002D6F8A"/>
    <w:rsid w:val="002D6FCA"/>
    <w:rsid w:val="002D7048"/>
    <w:rsid w:val="002D718C"/>
    <w:rsid w:val="002D71A1"/>
    <w:rsid w:val="002D7237"/>
    <w:rsid w:val="002D7239"/>
    <w:rsid w:val="002D724D"/>
    <w:rsid w:val="002D72DC"/>
    <w:rsid w:val="002D7356"/>
    <w:rsid w:val="002D73DC"/>
    <w:rsid w:val="002D740B"/>
    <w:rsid w:val="002D741F"/>
    <w:rsid w:val="002D742C"/>
    <w:rsid w:val="002D7439"/>
    <w:rsid w:val="002D743E"/>
    <w:rsid w:val="002D7454"/>
    <w:rsid w:val="002D747A"/>
    <w:rsid w:val="002D751D"/>
    <w:rsid w:val="002D757E"/>
    <w:rsid w:val="002D7584"/>
    <w:rsid w:val="002D7593"/>
    <w:rsid w:val="002D75A7"/>
    <w:rsid w:val="002D75F8"/>
    <w:rsid w:val="002D75FD"/>
    <w:rsid w:val="002D7652"/>
    <w:rsid w:val="002D7738"/>
    <w:rsid w:val="002D773C"/>
    <w:rsid w:val="002D77B4"/>
    <w:rsid w:val="002D7800"/>
    <w:rsid w:val="002D7867"/>
    <w:rsid w:val="002D7882"/>
    <w:rsid w:val="002D78DA"/>
    <w:rsid w:val="002D78E9"/>
    <w:rsid w:val="002D7935"/>
    <w:rsid w:val="002D794F"/>
    <w:rsid w:val="002D79FB"/>
    <w:rsid w:val="002D7A3E"/>
    <w:rsid w:val="002D7A43"/>
    <w:rsid w:val="002D7A8B"/>
    <w:rsid w:val="002D7AF5"/>
    <w:rsid w:val="002D7B2A"/>
    <w:rsid w:val="002D7B8A"/>
    <w:rsid w:val="002D7B90"/>
    <w:rsid w:val="002D7BA9"/>
    <w:rsid w:val="002D7C03"/>
    <w:rsid w:val="002D7C08"/>
    <w:rsid w:val="002D7C7D"/>
    <w:rsid w:val="002D7C86"/>
    <w:rsid w:val="002D7D14"/>
    <w:rsid w:val="002D7DA3"/>
    <w:rsid w:val="002D7DEF"/>
    <w:rsid w:val="002D7E45"/>
    <w:rsid w:val="002D7EA1"/>
    <w:rsid w:val="002D7EC1"/>
    <w:rsid w:val="002D7EE3"/>
    <w:rsid w:val="002D7EF3"/>
    <w:rsid w:val="002D7F12"/>
    <w:rsid w:val="002D7F42"/>
    <w:rsid w:val="002D7F4D"/>
    <w:rsid w:val="002D7F57"/>
    <w:rsid w:val="002D7F9A"/>
    <w:rsid w:val="002D7FE9"/>
    <w:rsid w:val="002DA607"/>
    <w:rsid w:val="002E00C1"/>
    <w:rsid w:val="002E00E5"/>
    <w:rsid w:val="002E0129"/>
    <w:rsid w:val="002E0230"/>
    <w:rsid w:val="002E0267"/>
    <w:rsid w:val="002E02B1"/>
    <w:rsid w:val="002E02E8"/>
    <w:rsid w:val="002E0359"/>
    <w:rsid w:val="002E03C9"/>
    <w:rsid w:val="002E03EF"/>
    <w:rsid w:val="002E03FC"/>
    <w:rsid w:val="002E041A"/>
    <w:rsid w:val="002E0477"/>
    <w:rsid w:val="002E0493"/>
    <w:rsid w:val="002E052B"/>
    <w:rsid w:val="002E05C6"/>
    <w:rsid w:val="002E05ED"/>
    <w:rsid w:val="002E0612"/>
    <w:rsid w:val="002E06C9"/>
    <w:rsid w:val="002E06F7"/>
    <w:rsid w:val="002E0704"/>
    <w:rsid w:val="002E0709"/>
    <w:rsid w:val="002E075A"/>
    <w:rsid w:val="002E0788"/>
    <w:rsid w:val="002E078B"/>
    <w:rsid w:val="002E07E0"/>
    <w:rsid w:val="002E07E5"/>
    <w:rsid w:val="002E0819"/>
    <w:rsid w:val="002E0843"/>
    <w:rsid w:val="002E08D1"/>
    <w:rsid w:val="002E0955"/>
    <w:rsid w:val="002E0986"/>
    <w:rsid w:val="002E099A"/>
    <w:rsid w:val="002E09B7"/>
    <w:rsid w:val="002E09C8"/>
    <w:rsid w:val="002E09EB"/>
    <w:rsid w:val="002E0AA9"/>
    <w:rsid w:val="002E0AF2"/>
    <w:rsid w:val="002E0B85"/>
    <w:rsid w:val="002E0BF2"/>
    <w:rsid w:val="002E0C15"/>
    <w:rsid w:val="002E0C8C"/>
    <w:rsid w:val="002E0CB2"/>
    <w:rsid w:val="002E0CCC"/>
    <w:rsid w:val="002E0CF2"/>
    <w:rsid w:val="002E0D04"/>
    <w:rsid w:val="002E0D0C"/>
    <w:rsid w:val="002E0D33"/>
    <w:rsid w:val="002E0D59"/>
    <w:rsid w:val="002E0D79"/>
    <w:rsid w:val="002E0DC3"/>
    <w:rsid w:val="002E0E07"/>
    <w:rsid w:val="002E0E45"/>
    <w:rsid w:val="002E0E96"/>
    <w:rsid w:val="002E0EBA"/>
    <w:rsid w:val="002E0F55"/>
    <w:rsid w:val="002E0F7E"/>
    <w:rsid w:val="002E0F81"/>
    <w:rsid w:val="002E0FC2"/>
    <w:rsid w:val="002E0FC3"/>
    <w:rsid w:val="002E106A"/>
    <w:rsid w:val="002E10A6"/>
    <w:rsid w:val="002E10C2"/>
    <w:rsid w:val="002E10E6"/>
    <w:rsid w:val="002E1109"/>
    <w:rsid w:val="002E1198"/>
    <w:rsid w:val="002E11C0"/>
    <w:rsid w:val="002E11C8"/>
    <w:rsid w:val="002E128E"/>
    <w:rsid w:val="002E12A2"/>
    <w:rsid w:val="002E12B0"/>
    <w:rsid w:val="002E1351"/>
    <w:rsid w:val="002E138A"/>
    <w:rsid w:val="002E13CB"/>
    <w:rsid w:val="002E13CE"/>
    <w:rsid w:val="002E1418"/>
    <w:rsid w:val="002E1420"/>
    <w:rsid w:val="002E145B"/>
    <w:rsid w:val="002E14F9"/>
    <w:rsid w:val="002E152E"/>
    <w:rsid w:val="002E153F"/>
    <w:rsid w:val="002E1551"/>
    <w:rsid w:val="002E1594"/>
    <w:rsid w:val="002E15D3"/>
    <w:rsid w:val="002E15EC"/>
    <w:rsid w:val="002E163B"/>
    <w:rsid w:val="002E166E"/>
    <w:rsid w:val="002E16CB"/>
    <w:rsid w:val="002E16E5"/>
    <w:rsid w:val="002E170A"/>
    <w:rsid w:val="002E170F"/>
    <w:rsid w:val="002E1720"/>
    <w:rsid w:val="002E1766"/>
    <w:rsid w:val="002E176E"/>
    <w:rsid w:val="002E17E3"/>
    <w:rsid w:val="002E17E7"/>
    <w:rsid w:val="002E18C6"/>
    <w:rsid w:val="002E18DD"/>
    <w:rsid w:val="002E1901"/>
    <w:rsid w:val="002E1936"/>
    <w:rsid w:val="002E197E"/>
    <w:rsid w:val="002E19A4"/>
    <w:rsid w:val="002E19A6"/>
    <w:rsid w:val="002E19B1"/>
    <w:rsid w:val="002E1A33"/>
    <w:rsid w:val="002E1A37"/>
    <w:rsid w:val="002E1A3A"/>
    <w:rsid w:val="002E1AC0"/>
    <w:rsid w:val="002E1B32"/>
    <w:rsid w:val="002E1B79"/>
    <w:rsid w:val="002E1B8D"/>
    <w:rsid w:val="002E1BA1"/>
    <w:rsid w:val="002E1C9A"/>
    <w:rsid w:val="002E1CB4"/>
    <w:rsid w:val="002E1D4F"/>
    <w:rsid w:val="002E1D85"/>
    <w:rsid w:val="002E1DB5"/>
    <w:rsid w:val="002E1DC5"/>
    <w:rsid w:val="002E1DCB"/>
    <w:rsid w:val="002E1DD5"/>
    <w:rsid w:val="002E1E2D"/>
    <w:rsid w:val="002E1E42"/>
    <w:rsid w:val="002E1E60"/>
    <w:rsid w:val="002E1EC9"/>
    <w:rsid w:val="002E1F03"/>
    <w:rsid w:val="002E1F51"/>
    <w:rsid w:val="002E1F66"/>
    <w:rsid w:val="002E1F71"/>
    <w:rsid w:val="002E1F8D"/>
    <w:rsid w:val="002E1F91"/>
    <w:rsid w:val="002E1FC6"/>
    <w:rsid w:val="002E1FD1"/>
    <w:rsid w:val="002E1FDA"/>
    <w:rsid w:val="002E1FDC"/>
    <w:rsid w:val="002E1FFA"/>
    <w:rsid w:val="002E2010"/>
    <w:rsid w:val="002E201B"/>
    <w:rsid w:val="002E207D"/>
    <w:rsid w:val="002E20AE"/>
    <w:rsid w:val="002E20D8"/>
    <w:rsid w:val="002E2113"/>
    <w:rsid w:val="002E212E"/>
    <w:rsid w:val="002E2149"/>
    <w:rsid w:val="002E215A"/>
    <w:rsid w:val="002E219D"/>
    <w:rsid w:val="002E21AA"/>
    <w:rsid w:val="002E21C7"/>
    <w:rsid w:val="002E21F7"/>
    <w:rsid w:val="002E220F"/>
    <w:rsid w:val="002E2292"/>
    <w:rsid w:val="002E2295"/>
    <w:rsid w:val="002E229D"/>
    <w:rsid w:val="002E22B2"/>
    <w:rsid w:val="002E22D0"/>
    <w:rsid w:val="002E22E1"/>
    <w:rsid w:val="002E22FC"/>
    <w:rsid w:val="002E2345"/>
    <w:rsid w:val="002E23DD"/>
    <w:rsid w:val="002E23DE"/>
    <w:rsid w:val="002E2490"/>
    <w:rsid w:val="002E24D0"/>
    <w:rsid w:val="002E24D4"/>
    <w:rsid w:val="002E24F1"/>
    <w:rsid w:val="002E24F4"/>
    <w:rsid w:val="002E253B"/>
    <w:rsid w:val="002E2667"/>
    <w:rsid w:val="002E26A7"/>
    <w:rsid w:val="002E26C0"/>
    <w:rsid w:val="002E26CD"/>
    <w:rsid w:val="002E276E"/>
    <w:rsid w:val="002E2792"/>
    <w:rsid w:val="002E27B2"/>
    <w:rsid w:val="002E27CE"/>
    <w:rsid w:val="002E27FC"/>
    <w:rsid w:val="002E280E"/>
    <w:rsid w:val="002E287B"/>
    <w:rsid w:val="002E287F"/>
    <w:rsid w:val="002E2899"/>
    <w:rsid w:val="002E28D8"/>
    <w:rsid w:val="002E28E1"/>
    <w:rsid w:val="002E2980"/>
    <w:rsid w:val="002E29D8"/>
    <w:rsid w:val="002E2A45"/>
    <w:rsid w:val="002E2A6F"/>
    <w:rsid w:val="002E2A77"/>
    <w:rsid w:val="002E2A7E"/>
    <w:rsid w:val="002E2ABF"/>
    <w:rsid w:val="002E2B0B"/>
    <w:rsid w:val="002E2B11"/>
    <w:rsid w:val="002E2B54"/>
    <w:rsid w:val="002E2BA3"/>
    <w:rsid w:val="002E2BEB"/>
    <w:rsid w:val="002E2BF8"/>
    <w:rsid w:val="002E2C32"/>
    <w:rsid w:val="002E2C5D"/>
    <w:rsid w:val="002E2CC4"/>
    <w:rsid w:val="002E2CC8"/>
    <w:rsid w:val="002E2CCC"/>
    <w:rsid w:val="002E2D35"/>
    <w:rsid w:val="002E2D78"/>
    <w:rsid w:val="002E2D82"/>
    <w:rsid w:val="002E2DBD"/>
    <w:rsid w:val="002E2DC4"/>
    <w:rsid w:val="002E2DD6"/>
    <w:rsid w:val="002E2E42"/>
    <w:rsid w:val="002E2E53"/>
    <w:rsid w:val="002E2E95"/>
    <w:rsid w:val="002E2E97"/>
    <w:rsid w:val="002E2FAD"/>
    <w:rsid w:val="002E2FDB"/>
    <w:rsid w:val="002E3050"/>
    <w:rsid w:val="002E30B4"/>
    <w:rsid w:val="002E30C2"/>
    <w:rsid w:val="002E30F4"/>
    <w:rsid w:val="002E3161"/>
    <w:rsid w:val="002E31BF"/>
    <w:rsid w:val="002E31E5"/>
    <w:rsid w:val="002E31FC"/>
    <w:rsid w:val="002E323D"/>
    <w:rsid w:val="002E3300"/>
    <w:rsid w:val="002E3344"/>
    <w:rsid w:val="002E33F0"/>
    <w:rsid w:val="002E3437"/>
    <w:rsid w:val="002E3453"/>
    <w:rsid w:val="002E34C0"/>
    <w:rsid w:val="002E34CD"/>
    <w:rsid w:val="002E34DA"/>
    <w:rsid w:val="002E3596"/>
    <w:rsid w:val="002E35AF"/>
    <w:rsid w:val="002E360C"/>
    <w:rsid w:val="002E3626"/>
    <w:rsid w:val="002E3683"/>
    <w:rsid w:val="002E3706"/>
    <w:rsid w:val="002E373A"/>
    <w:rsid w:val="002E3829"/>
    <w:rsid w:val="002E38B1"/>
    <w:rsid w:val="002E3908"/>
    <w:rsid w:val="002E3912"/>
    <w:rsid w:val="002E3919"/>
    <w:rsid w:val="002E3932"/>
    <w:rsid w:val="002E3957"/>
    <w:rsid w:val="002E396D"/>
    <w:rsid w:val="002E39C3"/>
    <w:rsid w:val="002E39E1"/>
    <w:rsid w:val="002E3A43"/>
    <w:rsid w:val="002E3A69"/>
    <w:rsid w:val="002E3ADE"/>
    <w:rsid w:val="002E3B25"/>
    <w:rsid w:val="002E3C05"/>
    <w:rsid w:val="002E3C0A"/>
    <w:rsid w:val="002E3C22"/>
    <w:rsid w:val="002E3C44"/>
    <w:rsid w:val="002E3C57"/>
    <w:rsid w:val="002E3C96"/>
    <w:rsid w:val="002E3C9C"/>
    <w:rsid w:val="002E3CE0"/>
    <w:rsid w:val="002E3D07"/>
    <w:rsid w:val="002E3D2E"/>
    <w:rsid w:val="002E3D82"/>
    <w:rsid w:val="002E3DE7"/>
    <w:rsid w:val="002E3E0A"/>
    <w:rsid w:val="002E3E74"/>
    <w:rsid w:val="002E3EC3"/>
    <w:rsid w:val="002E3EC6"/>
    <w:rsid w:val="002E3F19"/>
    <w:rsid w:val="002E3F6F"/>
    <w:rsid w:val="002E3FAC"/>
    <w:rsid w:val="002E3FE0"/>
    <w:rsid w:val="002E3FF0"/>
    <w:rsid w:val="002E402E"/>
    <w:rsid w:val="002E4056"/>
    <w:rsid w:val="002E406A"/>
    <w:rsid w:val="002E407E"/>
    <w:rsid w:val="002E40D4"/>
    <w:rsid w:val="002E40DD"/>
    <w:rsid w:val="002E40EF"/>
    <w:rsid w:val="002E40F6"/>
    <w:rsid w:val="002E4100"/>
    <w:rsid w:val="002E4149"/>
    <w:rsid w:val="002E422E"/>
    <w:rsid w:val="002E425E"/>
    <w:rsid w:val="002E4260"/>
    <w:rsid w:val="002E42B7"/>
    <w:rsid w:val="002E42EA"/>
    <w:rsid w:val="002E430B"/>
    <w:rsid w:val="002E432F"/>
    <w:rsid w:val="002E438E"/>
    <w:rsid w:val="002E4398"/>
    <w:rsid w:val="002E43E1"/>
    <w:rsid w:val="002E43FE"/>
    <w:rsid w:val="002E4450"/>
    <w:rsid w:val="002E44A5"/>
    <w:rsid w:val="002E462B"/>
    <w:rsid w:val="002E4635"/>
    <w:rsid w:val="002E4652"/>
    <w:rsid w:val="002E466D"/>
    <w:rsid w:val="002E46E2"/>
    <w:rsid w:val="002E46E4"/>
    <w:rsid w:val="002E471D"/>
    <w:rsid w:val="002E4749"/>
    <w:rsid w:val="002E4753"/>
    <w:rsid w:val="002E476B"/>
    <w:rsid w:val="002E47D0"/>
    <w:rsid w:val="002E4881"/>
    <w:rsid w:val="002E48A1"/>
    <w:rsid w:val="002E48FA"/>
    <w:rsid w:val="002E491B"/>
    <w:rsid w:val="002E4998"/>
    <w:rsid w:val="002E49A9"/>
    <w:rsid w:val="002E4A12"/>
    <w:rsid w:val="002E4A5F"/>
    <w:rsid w:val="002E4A99"/>
    <w:rsid w:val="002E4AA6"/>
    <w:rsid w:val="002E4AF3"/>
    <w:rsid w:val="002E4B15"/>
    <w:rsid w:val="002E4B1E"/>
    <w:rsid w:val="002E4B1F"/>
    <w:rsid w:val="002E4B36"/>
    <w:rsid w:val="002E4B62"/>
    <w:rsid w:val="002E4B69"/>
    <w:rsid w:val="002E4B6C"/>
    <w:rsid w:val="002E4B76"/>
    <w:rsid w:val="002E4B9A"/>
    <w:rsid w:val="002E4BF9"/>
    <w:rsid w:val="002E4C6D"/>
    <w:rsid w:val="002E4C78"/>
    <w:rsid w:val="002E4CB4"/>
    <w:rsid w:val="002E4D2D"/>
    <w:rsid w:val="002E4D6F"/>
    <w:rsid w:val="002E4D84"/>
    <w:rsid w:val="002E4E15"/>
    <w:rsid w:val="002E4E72"/>
    <w:rsid w:val="002E4E9A"/>
    <w:rsid w:val="002E4EBE"/>
    <w:rsid w:val="002E4ED7"/>
    <w:rsid w:val="002E4F36"/>
    <w:rsid w:val="002E4F8A"/>
    <w:rsid w:val="002E4F99"/>
    <w:rsid w:val="002E4FCE"/>
    <w:rsid w:val="002E4FD2"/>
    <w:rsid w:val="002E5130"/>
    <w:rsid w:val="002E516E"/>
    <w:rsid w:val="002E522C"/>
    <w:rsid w:val="002E523B"/>
    <w:rsid w:val="002E528B"/>
    <w:rsid w:val="002E5293"/>
    <w:rsid w:val="002E530C"/>
    <w:rsid w:val="002E530E"/>
    <w:rsid w:val="002E531B"/>
    <w:rsid w:val="002E5324"/>
    <w:rsid w:val="002E5377"/>
    <w:rsid w:val="002E5382"/>
    <w:rsid w:val="002E538B"/>
    <w:rsid w:val="002E539F"/>
    <w:rsid w:val="002E53B5"/>
    <w:rsid w:val="002E547B"/>
    <w:rsid w:val="002E549F"/>
    <w:rsid w:val="002E54A3"/>
    <w:rsid w:val="002E5520"/>
    <w:rsid w:val="002E5563"/>
    <w:rsid w:val="002E55EA"/>
    <w:rsid w:val="002E5636"/>
    <w:rsid w:val="002E56B4"/>
    <w:rsid w:val="002E56CA"/>
    <w:rsid w:val="002E56D4"/>
    <w:rsid w:val="002E5743"/>
    <w:rsid w:val="002E5781"/>
    <w:rsid w:val="002E57B9"/>
    <w:rsid w:val="002E57D2"/>
    <w:rsid w:val="002E5893"/>
    <w:rsid w:val="002E59C9"/>
    <w:rsid w:val="002E59DB"/>
    <w:rsid w:val="002E59E4"/>
    <w:rsid w:val="002E5A5D"/>
    <w:rsid w:val="002E5A62"/>
    <w:rsid w:val="002E5A7E"/>
    <w:rsid w:val="002E5A99"/>
    <w:rsid w:val="002E5A9C"/>
    <w:rsid w:val="002E5ABD"/>
    <w:rsid w:val="002E5AF8"/>
    <w:rsid w:val="002E5B58"/>
    <w:rsid w:val="002E5B65"/>
    <w:rsid w:val="002E5B6E"/>
    <w:rsid w:val="002E5B7E"/>
    <w:rsid w:val="002E5BE7"/>
    <w:rsid w:val="002E5C11"/>
    <w:rsid w:val="002E5C74"/>
    <w:rsid w:val="002E5C9C"/>
    <w:rsid w:val="002E5CDD"/>
    <w:rsid w:val="002E5D15"/>
    <w:rsid w:val="002E5D19"/>
    <w:rsid w:val="002E5D22"/>
    <w:rsid w:val="002E5D2D"/>
    <w:rsid w:val="002E5D55"/>
    <w:rsid w:val="002E5DCC"/>
    <w:rsid w:val="002E5DDD"/>
    <w:rsid w:val="002E5DF2"/>
    <w:rsid w:val="002E5E29"/>
    <w:rsid w:val="002E5E47"/>
    <w:rsid w:val="002E5E91"/>
    <w:rsid w:val="002E5E98"/>
    <w:rsid w:val="002E5EB2"/>
    <w:rsid w:val="002E5EFC"/>
    <w:rsid w:val="002E5F7D"/>
    <w:rsid w:val="002E5FC8"/>
    <w:rsid w:val="002E5FF5"/>
    <w:rsid w:val="002E6031"/>
    <w:rsid w:val="002E6047"/>
    <w:rsid w:val="002E60B5"/>
    <w:rsid w:val="002E60E6"/>
    <w:rsid w:val="002E61CE"/>
    <w:rsid w:val="002E6210"/>
    <w:rsid w:val="002E622E"/>
    <w:rsid w:val="002E624F"/>
    <w:rsid w:val="002E62B7"/>
    <w:rsid w:val="002E62C2"/>
    <w:rsid w:val="002E62E8"/>
    <w:rsid w:val="002E630D"/>
    <w:rsid w:val="002E63E0"/>
    <w:rsid w:val="002E641B"/>
    <w:rsid w:val="002E641C"/>
    <w:rsid w:val="002E64D2"/>
    <w:rsid w:val="002E6573"/>
    <w:rsid w:val="002E6599"/>
    <w:rsid w:val="002E65DD"/>
    <w:rsid w:val="002E6617"/>
    <w:rsid w:val="002E66A0"/>
    <w:rsid w:val="002E66C3"/>
    <w:rsid w:val="002E6758"/>
    <w:rsid w:val="002E6779"/>
    <w:rsid w:val="002E67F3"/>
    <w:rsid w:val="002E6846"/>
    <w:rsid w:val="002E6847"/>
    <w:rsid w:val="002E6858"/>
    <w:rsid w:val="002E68BD"/>
    <w:rsid w:val="002E68CB"/>
    <w:rsid w:val="002E68F9"/>
    <w:rsid w:val="002E6928"/>
    <w:rsid w:val="002E6992"/>
    <w:rsid w:val="002E6A18"/>
    <w:rsid w:val="002E6A52"/>
    <w:rsid w:val="002E6A62"/>
    <w:rsid w:val="002E6A6C"/>
    <w:rsid w:val="002E6ACE"/>
    <w:rsid w:val="002E6AEB"/>
    <w:rsid w:val="002E6C33"/>
    <w:rsid w:val="002E6C37"/>
    <w:rsid w:val="002E6C39"/>
    <w:rsid w:val="002E6C49"/>
    <w:rsid w:val="002E6CDA"/>
    <w:rsid w:val="002E6CEC"/>
    <w:rsid w:val="002E6D02"/>
    <w:rsid w:val="002E6D4D"/>
    <w:rsid w:val="002E6D75"/>
    <w:rsid w:val="002E6DC2"/>
    <w:rsid w:val="002E6DF8"/>
    <w:rsid w:val="002E6E0C"/>
    <w:rsid w:val="002E6E3D"/>
    <w:rsid w:val="002E6EB0"/>
    <w:rsid w:val="002E6EC6"/>
    <w:rsid w:val="002E6ED6"/>
    <w:rsid w:val="002E6EE0"/>
    <w:rsid w:val="002E6F2D"/>
    <w:rsid w:val="002E6F53"/>
    <w:rsid w:val="002E6FDB"/>
    <w:rsid w:val="002E700B"/>
    <w:rsid w:val="002E707B"/>
    <w:rsid w:val="002E7093"/>
    <w:rsid w:val="002E70AC"/>
    <w:rsid w:val="002E720A"/>
    <w:rsid w:val="002E7241"/>
    <w:rsid w:val="002E726B"/>
    <w:rsid w:val="002E726C"/>
    <w:rsid w:val="002E7272"/>
    <w:rsid w:val="002E729E"/>
    <w:rsid w:val="002E72A1"/>
    <w:rsid w:val="002E72AF"/>
    <w:rsid w:val="002E730E"/>
    <w:rsid w:val="002E7368"/>
    <w:rsid w:val="002E7372"/>
    <w:rsid w:val="002E7392"/>
    <w:rsid w:val="002E73B4"/>
    <w:rsid w:val="002E73C3"/>
    <w:rsid w:val="002E7420"/>
    <w:rsid w:val="002E7501"/>
    <w:rsid w:val="002E75A1"/>
    <w:rsid w:val="002E75CE"/>
    <w:rsid w:val="002E7612"/>
    <w:rsid w:val="002E762E"/>
    <w:rsid w:val="002E76C5"/>
    <w:rsid w:val="002E779E"/>
    <w:rsid w:val="002E783D"/>
    <w:rsid w:val="002E786A"/>
    <w:rsid w:val="002E78C1"/>
    <w:rsid w:val="002E791D"/>
    <w:rsid w:val="002E7920"/>
    <w:rsid w:val="002E79A9"/>
    <w:rsid w:val="002E79CF"/>
    <w:rsid w:val="002E79E9"/>
    <w:rsid w:val="002E7A34"/>
    <w:rsid w:val="002E7A44"/>
    <w:rsid w:val="002E7A87"/>
    <w:rsid w:val="002E7AE4"/>
    <w:rsid w:val="002E7B69"/>
    <w:rsid w:val="002E7BA5"/>
    <w:rsid w:val="002E7BD5"/>
    <w:rsid w:val="002E7BDF"/>
    <w:rsid w:val="002E7C6F"/>
    <w:rsid w:val="002E7CDA"/>
    <w:rsid w:val="002E7D75"/>
    <w:rsid w:val="002E7D96"/>
    <w:rsid w:val="002E7E72"/>
    <w:rsid w:val="002E7EA3"/>
    <w:rsid w:val="002E7EEA"/>
    <w:rsid w:val="002E7F61"/>
    <w:rsid w:val="002E7FDE"/>
    <w:rsid w:val="002F0024"/>
    <w:rsid w:val="002F00CA"/>
    <w:rsid w:val="002F0192"/>
    <w:rsid w:val="002F020F"/>
    <w:rsid w:val="002F0223"/>
    <w:rsid w:val="002F02B8"/>
    <w:rsid w:val="002F02F7"/>
    <w:rsid w:val="002F02FB"/>
    <w:rsid w:val="002F035B"/>
    <w:rsid w:val="002F03C0"/>
    <w:rsid w:val="002F03DB"/>
    <w:rsid w:val="002F03E7"/>
    <w:rsid w:val="002F0419"/>
    <w:rsid w:val="002F041E"/>
    <w:rsid w:val="002F0435"/>
    <w:rsid w:val="002F048E"/>
    <w:rsid w:val="002F04B1"/>
    <w:rsid w:val="002F0507"/>
    <w:rsid w:val="002F0520"/>
    <w:rsid w:val="002F0535"/>
    <w:rsid w:val="002F05AD"/>
    <w:rsid w:val="002F0704"/>
    <w:rsid w:val="002F0706"/>
    <w:rsid w:val="002F0763"/>
    <w:rsid w:val="002F081A"/>
    <w:rsid w:val="002F08AB"/>
    <w:rsid w:val="002F08B3"/>
    <w:rsid w:val="002F08F3"/>
    <w:rsid w:val="002F0910"/>
    <w:rsid w:val="002F0971"/>
    <w:rsid w:val="002F098E"/>
    <w:rsid w:val="002F0A6D"/>
    <w:rsid w:val="002F0AAC"/>
    <w:rsid w:val="002F0AC0"/>
    <w:rsid w:val="002F0AC8"/>
    <w:rsid w:val="002F0B17"/>
    <w:rsid w:val="002F0B48"/>
    <w:rsid w:val="002F0B5F"/>
    <w:rsid w:val="002F0B69"/>
    <w:rsid w:val="002F0B9A"/>
    <w:rsid w:val="002F0BF3"/>
    <w:rsid w:val="002F0C34"/>
    <w:rsid w:val="002F0C8C"/>
    <w:rsid w:val="002F0C8E"/>
    <w:rsid w:val="002F0CE0"/>
    <w:rsid w:val="002F0D49"/>
    <w:rsid w:val="002F0D74"/>
    <w:rsid w:val="002F0D7D"/>
    <w:rsid w:val="002F0E16"/>
    <w:rsid w:val="002F0E35"/>
    <w:rsid w:val="002F0EC2"/>
    <w:rsid w:val="002F0EC4"/>
    <w:rsid w:val="002F0ED9"/>
    <w:rsid w:val="002F0EE3"/>
    <w:rsid w:val="002F0EF6"/>
    <w:rsid w:val="002F0F0B"/>
    <w:rsid w:val="002F0F1F"/>
    <w:rsid w:val="002F1018"/>
    <w:rsid w:val="002F1094"/>
    <w:rsid w:val="002F10E7"/>
    <w:rsid w:val="002F110A"/>
    <w:rsid w:val="002F11E3"/>
    <w:rsid w:val="002F123A"/>
    <w:rsid w:val="002F1271"/>
    <w:rsid w:val="002F1280"/>
    <w:rsid w:val="002F12AE"/>
    <w:rsid w:val="002F12B9"/>
    <w:rsid w:val="002F12C8"/>
    <w:rsid w:val="002F132E"/>
    <w:rsid w:val="002F138B"/>
    <w:rsid w:val="002F13A7"/>
    <w:rsid w:val="002F13AA"/>
    <w:rsid w:val="002F13E6"/>
    <w:rsid w:val="002F1448"/>
    <w:rsid w:val="002F144B"/>
    <w:rsid w:val="002F1467"/>
    <w:rsid w:val="002F1473"/>
    <w:rsid w:val="002F1491"/>
    <w:rsid w:val="002F1499"/>
    <w:rsid w:val="002F1509"/>
    <w:rsid w:val="002F15FC"/>
    <w:rsid w:val="002F1675"/>
    <w:rsid w:val="002F16A9"/>
    <w:rsid w:val="002F16BF"/>
    <w:rsid w:val="002F175D"/>
    <w:rsid w:val="002F17AD"/>
    <w:rsid w:val="002F17C1"/>
    <w:rsid w:val="002F17C5"/>
    <w:rsid w:val="002F1836"/>
    <w:rsid w:val="002F1860"/>
    <w:rsid w:val="002F18B2"/>
    <w:rsid w:val="002F1920"/>
    <w:rsid w:val="002F1A07"/>
    <w:rsid w:val="002F1A0B"/>
    <w:rsid w:val="002F1A39"/>
    <w:rsid w:val="002F1A62"/>
    <w:rsid w:val="002F1A78"/>
    <w:rsid w:val="002F1ABE"/>
    <w:rsid w:val="002F1ABF"/>
    <w:rsid w:val="002F1AC4"/>
    <w:rsid w:val="002F1AF6"/>
    <w:rsid w:val="002F1B60"/>
    <w:rsid w:val="002F1B70"/>
    <w:rsid w:val="002F1B94"/>
    <w:rsid w:val="002F1C15"/>
    <w:rsid w:val="002F1C49"/>
    <w:rsid w:val="002F1C6B"/>
    <w:rsid w:val="002F1D2C"/>
    <w:rsid w:val="002F1DF6"/>
    <w:rsid w:val="002F1E20"/>
    <w:rsid w:val="002F1E47"/>
    <w:rsid w:val="002F1E7D"/>
    <w:rsid w:val="002F1E9D"/>
    <w:rsid w:val="002F1F54"/>
    <w:rsid w:val="002F1F6F"/>
    <w:rsid w:val="002F200D"/>
    <w:rsid w:val="002F203A"/>
    <w:rsid w:val="002F208C"/>
    <w:rsid w:val="002F20A9"/>
    <w:rsid w:val="002F20CB"/>
    <w:rsid w:val="002F20F7"/>
    <w:rsid w:val="002F2151"/>
    <w:rsid w:val="002F215A"/>
    <w:rsid w:val="002F2184"/>
    <w:rsid w:val="002F21CB"/>
    <w:rsid w:val="002F21D2"/>
    <w:rsid w:val="002F2239"/>
    <w:rsid w:val="002F226A"/>
    <w:rsid w:val="002F2278"/>
    <w:rsid w:val="002F22BF"/>
    <w:rsid w:val="002F22E3"/>
    <w:rsid w:val="002F22FB"/>
    <w:rsid w:val="002F23EF"/>
    <w:rsid w:val="002F24B7"/>
    <w:rsid w:val="002F24F6"/>
    <w:rsid w:val="002F2519"/>
    <w:rsid w:val="002F255A"/>
    <w:rsid w:val="002F2574"/>
    <w:rsid w:val="002F2580"/>
    <w:rsid w:val="002F25C9"/>
    <w:rsid w:val="002F2609"/>
    <w:rsid w:val="002F262E"/>
    <w:rsid w:val="002F264F"/>
    <w:rsid w:val="002F2686"/>
    <w:rsid w:val="002F26D7"/>
    <w:rsid w:val="002F26DA"/>
    <w:rsid w:val="002F2708"/>
    <w:rsid w:val="002F271D"/>
    <w:rsid w:val="002F2797"/>
    <w:rsid w:val="002F27CE"/>
    <w:rsid w:val="002F281F"/>
    <w:rsid w:val="002F28D3"/>
    <w:rsid w:val="002F2901"/>
    <w:rsid w:val="002F29EC"/>
    <w:rsid w:val="002F29F2"/>
    <w:rsid w:val="002F2A8D"/>
    <w:rsid w:val="002F2AB6"/>
    <w:rsid w:val="002F2AED"/>
    <w:rsid w:val="002F2B5A"/>
    <w:rsid w:val="002F2BCC"/>
    <w:rsid w:val="002F2BFD"/>
    <w:rsid w:val="002F2C1D"/>
    <w:rsid w:val="002F2C28"/>
    <w:rsid w:val="002F2C87"/>
    <w:rsid w:val="002F2C8F"/>
    <w:rsid w:val="002F2CB0"/>
    <w:rsid w:val="002F2CCE"/>
    <w:rsid w:val="002F2CFC"/>
    <w:rsid w:val="002F2D78"/>
    <w:rsid w:val="002F2E04"/>
    <w:rsid w:val="002F2E31"/>
    <w:rsid w:val="002F2ED4"/>
    <w:rsid w:val="002F2F3A"/>
    <w:rsid w:val="002F2F90"/>
    <w:rsid w:val="002F2FAE"/>
    <w:rsid w:val="002F2FDA"/>
    <w:rsid w:val="002F2FEA"/>
    <w:rsid w:val="002F2FFD"/>
    <w:rsid w:val="002F3051"/>
    <w:rsid w:val="002F3066"/>
    <w:rsid w:val="002F30A1"/>
    <w:rsid w:val="002F310C"/>
    <w:rsid w:val="002F314F"/>
    <w:rsid w:val="002F3159"/>
    <w:rsid w:val="002F3184"/>
    <w:rsid w:val="002F31A5"/>
    <w:rsid w:val="002F3270"/>
    <w:rsid w:val="002F32BD"/>
    <w:rsid w:val="002F32FC"/>
    <w:rsid w:val="002F332E"/>
    <w:rsid w:val="002F334C"/>
    <w:rsid w:val="002F3370"/>
    <w:rsid w:val="002F3388"/>
    <w:rsid w:val="002F33B0"/>
    <w:rsid w:val="002F33CE"/>
    <w:rsid w:val="002F3428"/>
    <w:rsid w:val="002F34BB"/>
    <w:rsid w:val="002F3535"/>
    <w:rsid w:val="002F3556"/>
    <w:rsid w:val="002F3580"/>
    <w:rsid w:val="002F35C6"/>
    <w:rsid w:val="002F368E"/>
    <w:rsid w:val="002F3691"/>
    <w:rsid w:val="002F3699"/>
    <w:rsid w:val="002F36AC"/>
    <w:rsid w:val="002F3734"/>
    <w:rsid w:val="002F3751"/>
    <w:rsid w:val="002F3759"/>
    <w:rsid w:val="002F375A"/>
    <w:rsid w:val="002F379B"/>
    <w:rsid w:val="002F37A7"/>
    <w:rsid w:val="002F37B6"/>
    <w:rsid w:val="002F3806"/>
    <w:rsid w:val="002F380F"/>
    <w:rsid w:val="002F3810"/>
    <w:rsid w:val="002F3834"/>
    <w:rsid w:val="002F394C"/>
    <w:rsid w:val="002F39C8"/>
    <w:rsid w:val="002F3A7F"/>
    <w:rsid w:val="002F3A98"/>
    <w:rsid w:val="002F3AA3"/>
    <w:rsid w:val="002F3ACB"/>
    <w:rsid w:val="002F3AD5"/>
    <w:rsid w:val="002F3B28"/>
    <w:rsid w:val="002F3B4F"/>
    <w:rsid w:val="002F3B75"/>
    <w:rsid w:val="002F3BC5"/>
    <w:rsid w:val="002F3BE1"/>
    <w:rsid w:val="002F3C21"/>
    <w:rsid w:val="002F3C32"/>
    <w:rsid w:val="002F3C89"/>
    <w:rsid w:val="002F3CEE"/>
    <w:rsid w:val="002F3D36"/>
    <w:rsid w:val="002F3D6A"/>
    <w:rsid w:val="002F3E32"/>
    <w:rsid w:val="002F3E41"/>
    <w:rsid w:val="002F3E62"/>
    <w:rsid w:val="002F3F24"/>
    <w:rsid w:val="002F3F45"/>
    <w:rsid w:val="002F3F57"/>
    <w:rsid w:val="002F3F85"/>
    <w:rsid w:val="002F3F94"/>
    <w:rsid w:val="002F3FD6"/>
    <w:rsid w:val="002F3FD8"/>
    <w:rsid w:val="002F401D"/>
    <w:rsid w:val="002F4035"/>
    <w:rsid w:val="002F4041"/>
    <w:rsid w:val="002F409A"/>
    <w:rsid w:val="002F40C7"/>
    <w:rsid w:val="002F40CC"/>
    <w:rsid w:val="002F40D0"/>
    <w:rsid w:val="002F40F8"/>
    <w:rsid w:val="002F4128"/>
    <w:rsid w:val="002F4146"/>
    <w:rsid w:val="002F4156"/>
    <w:rsid w:val="002F416C"/>
    <w:rsid w:val="002F416D"/>
    <w:rsid w:val="002F418F"/>
    <w:rsid w:val="002F41A4"/>
    <w:rsid w:val="002F41AE"/>
    <w:rsid w:val="002F41B2"/>
    <w:rsid w:val="002F41BE"/>
    <w:rsid w:val="002F41CA"/>
    <w:rsid w:val="002F4206"/>
    <w:rsid w:val="002F42F6"/>
    <w:rsid w:val="002F432D"/>
    <w:rsid w:val="002F433A"/>
    <w:rsid w:val="002F4362"/>
    <w:rsid w:val="002F4378"/>
    <w:rsid w:val="002F4397"/>
    <w:rsid w:val="002F4425"/>
    <w:rsid w:val="002F442B"/>
    <w:rsid w:val="002F4467"/>
    <w:rsid w:val="002F446C"/>
    <w:rsid w:val="002F4476"/>
    <w:rsid w:val="002F4483"/>
    <w:rsid w:val="002F4493"/>
    <w:rsid w:val="002F44FE"/>
    <w:rsid w:val="002F452B"/>
    <w:rsid w:val="002F4541"/>
    <w:rsid w:val="002F4566"/>
    <w:rsid w:val="002F4578"/>
    <w:rsid w:val="002F45BA"/>
    <w:rsid w:val="002F460E"/>
    <w:rsid w:val="002F463F"/>
    <w:rsid w:val="002F4690"/>
    <w:rsid w:val="002F47A5"/>
    <w:rsid w:val="002F4805"/>
    <w:rsid w:val="002F489F"/>
    <w:rsid w:val="002F4958"/>
    <w:rsid w:val="002F4984"/>
    <w:rsid w:val="002F49EB"/>
    <w:rsid w:val="002F4A4A"/>
    <w:rsid w:val="002F4A76"/>
    <w:rsid w:val="002F4A89"/>
    <w:rsid w:val="002F4A8E"/>
    <w:rsid w:val="002F4ACA"/>
    <w:rsid w:val="002F4ADF"/>
    <w:rsid w:val="002F4B57"/>
    <w:rsid w:val="002F4C0E"/>
    <w:rsid w:val="002F4C50"/>
    <w:rsid w:val="002F4C83"/>
    <w:rsid w:val="002F4C91"/>
    <w:rsid w:val="002F4CC6"/>
    <w:rsid w:val="002F4D2D"/>
    <w:rsid w:val="002F4D37"/>
    <w:rsid w:val="002F4D7B"/>
    <w:rsid w:val="002F4D81"/>
    <w:rsid w:val="002F4DD9"/>
    <w:rsid w:val="002F4DED"/>
    <w:rsid w:val="002F4E17"/>
    <w:rsid w:val="002F4E59"/>
    <w:rsid w:val="002F4EC2"/>
    <w:rsid w:val="002F4EF1"/>
    <w:rsid w:val="002F4F38"/>
    <w:rsid w:val="002F4F52"/>
    <w:rsid w:val="002F4F6D"/>
    <w:rsid w:val="002F4FC4"/>
    <w:rsid w:val="002F4FE2"/>
    <w:rsid w:val="002F5019"/>
    <w:rsid w:val="002F504B"/>
    <w:rsid w:val="002F505C"/>
    <w:rsid w:val="002F50D1"/>
    <w:rsid w:val="002F50D8"/>
    <w:rsid w:val="002F510F"/>
    <w:rsid w:val="002F5121"/>
    <w:rsid w:val="002F5181"/>
    <w:rsid w:val="002F51B8"/>
    <w:rsid w:val="002F51DC"/>
    <w:rsid w:val="002F520B"/>
    <w:rsid w:val="002F5303"/>
    <w:rsid w:val="002F5357"/>
    <w:rsid w:val="002F5364"/>
    <w:rsid w:val="002F536A"/>
    <w:rsid w:val="002F5386"/>
    <w:rsid w:val="002F53A3"/>
    <w:rsid w:val="002F53A7"/>
    <w:rsid w:val="002F53F4"/>
    <w:rsid w:val="002F5428"/>
    <w:rsid w:val="002F5439"/>
    <w:rsid w:val="002F543F"/>
    <w:rsid w:val="002F5484"/>
    <w:rsid w:val="002F54C1"/>
    <w:rsid w:val="002F54CE"/>
    <w:rsid w:val="002F5523"/>
    <w:rsid w:val="002F55B7"/>
    <w:rsid w:val="002F55E1"/>
    <w:rsid w:val="002F55EB"/>
    <w:rsid w:val="002F5677"/>
    <w:rsid w:val="002F5684"/>
    <w:rsid w:val="002F5689"/>
    <w:rsid w:val="002F56D4"/>
    <w:rsid w:val="002F56E6"/>
    <w:rsid w:val="002F5726"/>
    <w:rsid w:val="002F57A4"/>
    <w:rsid w:val="002F5812"/>
    <w:rsid w:val="002F583E"/>
    <w:rsid w:val="002F5886"/>
    <w:rsid w:val="002F58A8"/>
    <w:rsid w:val="002F58C0"/>
    <w:rsid w:val="002F58C2"/>
    <w:rsid w:val="002F58CD"/>
    <w:rsid w:val="002F58DD"/>
    <w:rsid w:val="002F58E5"/>
    <w:rsid w:val="002F58F7"/>
    <w:rsid w:val="002F5914"/>
    <w:rsid w:val="002F592D"/>
    <w:rsid w:val="002F595F"/>
    <w:rsid w:val="002F59A0"/>
    <w:rsid w:val="002F59BE"/>
    <w:rsid w:val="002F59D2"/>
    <w:rsid w:val="002F5A28"/>
    <w:rsid w:val="002F5A6F"/>
    <w:rsid w:val="002F5AD0"/>
    <w:rsid w:val="002F5AF9"/>
    <w:rsid w:val="002F5C4D"/>
    <w:rsid w:val="002F5CF2"/>
    <w:rsid w:val="002F5D21"/>
    <w:rsid w:val="002F5D29"/>
    <w:rsid w:val="002F5D47"/>
    <w:rsid w:val="002F5DA8"/>
    <w:rsid w:val="002F5E55"/>
    <w:rsid w:val="002F5E7E"/>
    <w:rsid w:val="002F5ED0"/>
    <w:rsid w:val="002F5EF0"/>
    <w:rsid w:val="002F5F30"/>
    <w:rsid w:val="002F5F81"/>
    <w:rsid w:val="002F6016"/>
    <w:rsid w:val="002F6026"/>
    <w:rsid w:val="002F606F"/>
    <w:rsid w:val="002F6077"/>
    <w:rsid w:val="002F60A0"/>
    <w:rsid w:val="002F60BF"/>
    <w:rsid w:val="002F6108"/>
    <w:rsid w:val="002F61B9"/>
    <w:rsid w:val="002F625F"/>
    <w:rsid w:val="002F631E"/>
    <w:rsid w:val="002F63D5"/>
    <w:rsid w:val="002F6408"/>
    <w:rsid w:val="002F6418"/>
    <w:rsid w:val="002F644C"/>
    <w:rsid w:val="002F6498"/>
    <w:rsid w:val="002F64F8"/>
    <w:rsid w:val="002F652F"/>
    <w:rsid w:val="002F6535"/>
    <w:rsid w:val="002F654F"/>
    <w:rsid w:val="002F6558"/>
    <w:rsid w:val="002F6561"/>
    <w:rsid w:val="002F6596"/>
    <w:rsid w:val="002F65A2"/>
    <w:rsid w:val="002F65B3"/>
    <w:rsid w:val="002F65E9"/>
    <w:rsid w:val="002F65F7"/>
    <w:rsid w:val="002F660A"/>
    <w:rsid w:val="002F66F6"/>
    <w:rsid w:val="002F670C"/>
    <w:rsid w:val="002F67AC"/>
    <w:rsid w:val="002F682D"/>
    <w:rsid w:val="002F6835"/>
    <w:rsid w:val="002F6868"/>
    <w:rsid w:val="002F6880"/>
    <w:rsid w:val="002F6885"/>
    <w:rsid w:val="002F68AD"/>
    <w:rsid w:val="002F68C0"/>
    <w:rsid w:val="002F694E"/>
    <w:rsid w:val="002F6982"/>
    <w:rsid w:val="002F698E"/>
    <w:rsid w:val="002F6A3A"/>
    <w:rsid w:val="002F6AB3"/>
    <w:rsid w:val="002F6B30"/>
    <w:rsid w:val="002F6B53"/>
    <w:rsid w:val="002F6C18"/>
    <w:rsid w:val="002F6C80"/>
    <w:rsid w:val="002F6D0E"/>
    <w:rsid w:val="002F6D3F"/>
    <w:rsid w:val="002F6D57"/>
    <w:rsid w:val="002F6D7B"/>
    <w:rsid w:val="002F6D96"/>
    <w:rsid w:val="002F6DC2"/>
    <w:rsid w:val="002F6DD5"/>
    <w:rsid w:val="002F6DFC"/>
    <w:rsid w:val="002F6E07"/>
    <w:rsid w:val="002F6E6C"/>
    <w:rsid w:val="002F6E76"/>
    <w:rsid w:val="002F6EBF"/>
    <w:rsid w:val="002F6F00"/>
    <w:rsid w:val="002F6F2E"/>
    <w:rsid w:val="002F6F9A"/>
    <w:rsid w:val="002F6F9C"/>
    <w:rsid w:val="002F6FDD"/>
    <w:rsid w:val="002F6FF2"/>
    <w:rsid w:val="002F7028"/>
    <w:rsid w:val="002F707D"/>
    <w:rsid w:val="002F70E4"/>
    <w:rsid w:val="002F715E"/>
    <w:rsid w:val="002F716A"/>
    <w:rsid w:val="002F7193"/>
    <w:rsid w:val="002F71EC"/>
    <w:rsid w:val="002F7200"/>
    <w:rsid w:val="002F7225"/>
    <w:rsid w:val="002F7249"/>
    <w:rsid w:val="002F725F"/>
    <w:rsid w:val="002F7356"/>
    <w:rsid w:val="002F7359"/>
    <w:rsid w:val="002F73FC"/>
    <w:rsid w:val="002F7443"/>
    <w:rsid w:val="002F7460"/>
    <w:rsid w:val="002F747E"/>
    <w:rsid w:val="002F748E"/>
    <w:rsid w:val="002F74A4"/>
    <w:rsid w:val="002F74AB"/>
    <w:rsid w:val="002F74CE"/>
    <w:rsid w:val="002F74EE"/>
    <w:rsid w:val="002F7584"/>
    <w:rsid w:val="002F75A7"/>
    <w:rsid w:val="002F75AD"/>
    <w:rsid w:val="002F75F6"/>
    <w:rsid w:val="002F7617"/>
    <w:rsid w:val="002F7619"/>
    <w:rsid w:val="002F7651"/>
    <w:rsid w:val="002F76A0"/>
    <w:rsid w:val="002F76B6"/>
    <w:rsid w:val="002F7700"/>
    <w:rsid w:val="002F775D"/>
    <w:rsid w:val="002F778A"/>
    <w:rsid w:val="002F77A8"/>
    <w:rsid w:val="002F77A9"/>
    <w:rsid w:val="002F77F8"/>
    <w:rsid w:val="002F7808"/>
    <w:rsid w:val="002F7871"/>
    <w:rsid w:val="002F7923"/>
    <w:rsid w:val="002F79B1"/>
    <w:rsid w:val="002F7A08"/>
    <w:rsid w:val="002F7A20"/>
    <w:rsid w:val="002F7A43"/>
    <w:rsid w:val="002F7A6D"/>
    <w:rsid w:val="002F7A83"/>
    <w:rsid w:val="002F7A9D"/>
    <w:rsid w:val="002F7AFF"/>
    <w:rsid w:val="002F7B46"/>
    <w:rsid w:val="002F7BE3"/>
    <w:rsid w:val="002F7C09"/>
    <w:rsid w:val="002F7C22"/>
    <w:rsid w:val="002F7C31"/>
    <w:rsid w:val="002F7C49"/>
    <w:rsid w:val="002F7C79"/>
    <w:rsid w:val="002F7CD5"/>
    <w:rsid w:val="002F7CE4"/>
    <w:rsid w:val="002F7D4E"/>
    <w:rsid w:val="002F7D52"/>
    <w:rsid w:val="002F7D7E"/>
    <w:rsid w:val="002F7D80"/>
    <w:rsid w:val="002F7E62"/>
    <w:rsid w:val="002F7EBE"/>
    <w:rsid w:val="002F7ED6"/>
    <w:rsid w:val="002F7EE6"/>
    <w:rsid w:val="002F7F29"/>
    <w:rsid w:val="002F7F41"/>
    <w:rsid w:val="002F7F44"/>
    <w:rsid w:val="002F7F8C"/>
    <w:rsid w:val="002F7FB9"/>
    <w:rsid w:val="002F7FE7"/>
    <w:rsid w:val="002F7FF5"/>
    <w:rsid w:val="002F7FF7"/>
    <w:rsid w:val="00300007"/>
    <w:rsid w:val="0030008A"/>
    <w:rsid w:val="003000D9"/>
    <w:rsid w:val="003000E4"/>
    <w:rsid w:val="00300179"/>
    <w:rsid w:val="00300181"/>
    <w:rsid w:val="0030024A"/>
    <w:rsid w:val="00300262"/>
    <w:rsid w:val="0030027A"/>
    <w:rsid w:val="00300285"/>
    <w:rsid w:val="00300326"/>
    <w:rsid w:val="00300339"/>
    <w:rsid w:val="0030035D"/>
    <w:rsid w:val="0030044A"/>
    <w:rsid w:val="00300468"/>
    <w:rsid w:val="003004C3"/>
    <w:rsid w:val="003004F5"/>
    <w:rsid w:val="003005D7"/>
    <w:rsid w:val="00300614"/>
    <w:rsid w:val="00300648"/>
    <w:rsid w:val="00300677"/>
    <w:rsid w:val="003006E9"/>
    <w:rsid w:val="00300738"/>
    <w:rsid w:val="0030073B"/>
    <w:rsid w:val="00300782"/>
    <w:rsid w:val="00300785"/>
    <w:rsid w:val="003007AE"/>
    <w:rsid w:val="00300916"/>
    <w:rsid w:val="00300921"/>
    <w:rsid w:val="00300963"/>
    <w:rsid w:val="00300974"/>
    <w:rsid w:val="003009C4"/>
    <w:rsid w:val="003009EA"/>
    <w:rsid w:val="00300AB0"/>
    <w:rsid w:val="00300AC7"/>
    <w:rsid w:val="00300B88"/>
    <w:rsid w:val="00300B91"/>
    <w:rsid w:val="00300C00"/>
    <w:rsid w:val="00300C5A"/>
    <w:rsid w:val="00300C88"/>
    <w:rsid w:val="00300D09"/>
    <w:rsid w:val="00300D0F"/>
    <w:rsid w:val="00300D21"/>
    <w:rsid w:val="00300D63"/>
    <w:rsid w:val="00300E40"/>
    <w:rsid w:val="00300E65"/>
    <w:rsid w:val="00300E6B"/>
    <w:rsid w:val="00300EAC"/>
    <w:rsid w:val="00300F13"/>
    <w:rsid w:val="00300F2F"/>
    <w:rsid w:val="00300FB4"/>
    <w:rsid w:val="00300FD6"/>
    <w:rsid w:val="003010BD"/>
    <w:rsid w:val="00301195"/>
    <w:rsid w:val="003011F0"/>
    <w:rsid w:val="00301211"/>
    <w:rsid w:val="0030123E"/>
    <w:rsid w:val="00301290"/>
    <w:rsid w:val="003012CF"/>
    <w:rsid w:val="00301322"/>
    <w:rsid w:val="00301341"/>
    <w:rsid w:val="00301342"/>
    <w:rsid w:val="00301350"/>
    <w:rsid w:val="00301358"/>
    <w:rsid w:val="003013BC"/>
    <w:rsid w:val="003013D7"/>
    <w:rsid w:val="00301409"/>
    <w:rsid w:val="00301429"/>
    <w:rsid w:val="0030142B"/>
    <w:rsid w:val="0030145C"/>
    <w:rsid w:val="0030148B"/>
    <w:rsid w:val="003014D8"/>
    <w:rsid w:val="0030152F"/>
    <w:rsid w:val="0030154E"/>
    <w:rsid w:val="00301589"/>
    <w:rsid w:val="0030159B"/>
    <w:rsid w:val="00301672"/>
    <w:rsid w:val="003016AD"/>
    <w:rsid w:val="003016C8"/>
    <w:rsid w:val="003016EB"/>
    <w:rsid w:val="003016FD"/>
    <w:rsid w:val="00301804"/>
    <w:rsid w:val="00301878"/>
    <w:rsid w:val="0030196F"/>
    <w:rsid w:val="00301982"/>
    <w:rsid w:val="003019AE"/>
    <w:rsid w:val="00301B43"/>
    <w:rsid w:val="00301B44"/>
    <w:rsid w:val="00301B4F"/>
    <w:rsid w:val="00301B96"/>
    <w:rsid w:val="00301BD1"/>
    <w:rsid w:val="00301BE5"/>
    <w:rsid w:val="00301C07"/>
    <w:rsid w:val="00301C9D"/>
    <w:rsid w:val="00301CBD"/>
    <w:rsid w:val="00301CCD"/>
    <w:rsid w:val="00301D53"/>
    <w:rsid w:val="00301D7E"/>
    <w:rsid w:val="00301D83"/>
    <w:rsid w:val="00301D8A"/>
    <w:rsid w:val="00301DC8"/>
    <w:rsid w:val="00301DF7"/>
    <w:rsid w:val="00301E16"/>
    <w:rsid w:val="00301E26"/>
    <w:rsid w:val="00301E78"/>
    <w:rsid w:val="00301E81"/>
    <w:rsid w:val="00301EAA"/>
    <w:rsid w:val="00301ECF"/>
    <w:rsid w:val="00301EDC"/>
    <w:rsid w:val="00301F7E"/>
    <w:rsid w:val="00301F85"/>
    <w:rsid w:val="00302007"/>
    <w:rsid w:val="0030201E"/>
    <w:rsid w:val="00302023"/>
    <w:rsid w:val="003020AE"/>
    <w:rsid w:val="00302104"/>
    <w:rsid w:val="0030214F"/>
    <w:rsid w:val="00302199"/>
    <w:rsid w:val="003021E1"/>
    <w:rsid w:val="0030223D"/>
    <w:rsid w:val="003022B1"/>
    <w:rsid w:val="0030232C"/>
    <w:rsid w:val="00302390"/>
    <w:rsid w:val="003023C2"/>
    <w:rsid w:val="003023E2"/>
    <w:rsid w:val="00302508"/>
    <w:rsid w:val="0030250D"/>
    <w:rsid w:val="00302535"/>
    <w:rsid w:val="00302541"/>
    <w:rsid w:val="003025E9"/>
    <w:rsid w:val="0030261E"/>
    <w:rsid w:val="00302633"/>
    <w:rsid w:val="0030263A"/>
    <w:rsid w:val="00302679"/>
    <w:rsid w:val="003026A7"/>
    <w:rsid w:val="00302728"/>
    <w:rsid w:val="003027EA"/>
    <w:rsid w:val="00302873"/>
    <w:rsid w:val="0030287B"/>
    <w:rsid w:val="003028FD"/>
    <w:rsid w:val="00302960"/>
    <w:rsid w:val="00302997"/>
    <w:rsid w:val="003029A8"/>
    <w:rsid w:val="003029B6"/>
    <w:rsid w:val="00302A07"/>
    <w:rsid w:val="00302A15"/>
    <w:rsid w:val="00302A37"/>
    <w:rsid w:val="00302ADF"/>
    <w:rsid w:val="00302B76"/>
    <w:rsid w:val="00302B77"/>
    <w:rsid w:val="00302B81"/>
    <w:rsid w:val="00302B91"/>
    <w:rsid w:val="00302BB9"/>
    <w:rsid w:val="00302BC0"/>
    <w:rsid w:val="00302BC2"/>
    <w:rsid w:val="00302BD5"/>
    <w:rsid w:val="00302C0A"/>
    <w:rsid w:val="00302C4D"/>
    <w:rsid w:val="00302C5B"/>
    <w:rsid w:val="00302C7A"/>
    <w:rsid w:val="00302C9A"/>
    <w:rsid w:val="00302CAC"/>
    <w:rsid w:val="00302CEF"/>
    <w:rsid w:val="00302DA0"/>
    <w:rsid w:val="00302DB7"/>
    <w:rsid w:val="00302E12"/>
    <w:rsid w:val="00302E64"/>
    <w:rsid w:val="00302E7B"/>
    <w:rsid w:val="00302F1A"/>
    <w:rsid w:val="00303010"/>
    <w:rsid w:val="0030302A"/>
    <w:rsid w:val="00303050"/>
    <w:rsid w:val="00303085"/>
    <w:rsid w:val="00303086"/>
    <w:rsid w:val="003030E4"/>
    <w:rsid w:val="0030315A"/>
    <w:rsid w:val="003031B5"/>
    <w:rsid w:val="003031C8"/>
    <w:rsid w:val="003031CD"/>
    <w:rsid w:val="00303204"/>
    <w:rsid w:val="0030324F"/>
    <w:rsid w:val="003032BE"/>
    <w:rsid w:val="0030333E"/>
    <w:rsid w:val="00303365"/>
    <w:rsid w:val="00303398"/>
    <w:rsid w:val="003033A0"/>
    <w:rsid w:val="0030343E"/>
    <w:rsid w:val="003034E4"/>
    <w:rsid w:val="003034E9"/>
    <w:rsid w:val="00303549"/>
    <w:rsid w:val="0030357D"/>
    <w:rsid w:val="0030358B"/>
    <w:rsid w:val="0030358E"/>
    <w:rsid w:val="003035BD"/>
    <w:rsid w:val="003035BE"/>
    <w:rsid w:val="003036D1"/>
    <w:rsid w:val="00303712"/>
    <w:rsid w:val="00303714"/>
    <w:rsid w:val="00303730"/>
    <w:rsid w:val="0030376A"/>
    <w:rsid w:val="003037B1"/>
    <w:rsid w:val="003037B4"/>
    <w:rsid w:val="0030381D"/>
    <w:rsid w:val="0030381F"/>
    <w:rsid w:val="00303868"/>
    <w:rsid w:val="00303886"/>
    <w:rsid w:val="0030388F"/>
    <w:rsid w:val="003039B4"/>
    <w:rsid w:val="003039F4"/>
    <w:rsid w:val="00303A0B"/>
    <w:rsid w:val="00303A48"/>
    <w:rsid w:val="00303A56"/>
    <w:rsid w:val="00303A7A"/>
    <w:rsid w:val="00303A97"/>
    <w:rsid w:val="00303AD6"/>
    <w:rsid w:val="00303B27"/>
    <w:rsid w:val="00303B35"/>
    <w:rsid w:val="00303B4E"/>
    <w:rsid w:val="00303B84"/>
    <w:rsid w:val="00303BD5"/>
    <w:rsid w:val="00303C1F"/>
    <w:rsid w:val="00303C66"/>
    <w:rsid w:val="00303C6E"/>
    <w:rsid w:val="00303C77"/>
    <w:rsid w:val="00303C7B"/>
    <w:rsid w:val="00303DE6"/>
    <w:rsid w:val="00303DF8"/>
    <w:rsid w:val="00303E12"/>
    <w:rsid w:val="00303E92"/>
    <w:rsid w:val="00303EB0"/>
    <w:rsid w:val="00303EB8"/>
    <w:rsid w:val="00303EF1"/>
    <w:rsid w:val="00303F3D"/>
    <w:rsid w:val="00303F44"/>
    <w:rsid w:val="00303FA1"/>
    <w:rsid w:val="00303FA6"/>
    <w:rsid w:val="00303FBA"/>
    <w:rsid w:val="00304032"/>
    <w:rsid w:val="00304055"/>
    <w:rsid w:val="00304067"/>
    <w:rsid w:val="0030406C"/>
    <w:rsid w:val="0030410E"/>
    <w:rsid w:val="00304135"/>
    <w:rsid w:val="00304186"/>
    <w:rsid w:val="0030418C"/>
    <w:rsid w:val="0030418E"/>
    <w:rsid w:val="00304195"/>
    <w:rsid w:val="003041A6"/>
    <w:rsid w:val="0030425E"/>
    <w:rsid w:val="0030426C"/>
    <w:rsid w:val="0030427A"/>
    <w:rsid w:val="003042F5"/>
    <w:rsid w:val="003042FE"/>
    <w:rsid w:val="0030430C"/>
    <w:rsid w:val="0030432C"/>
    <w:rsid w:val="0030433A"/>
    <w:rsid w:val="0030434D"/>
    <w:rsid w:val="003043B7"/>
    <w:rsid w:val="003043C8"/>
    <w:rsid w:val="003043D8"/>
    <w:rsid w:val="00304485"/>
    <w:rsid w:val="003044EE"/>
    <w:rsid w:val="003044F9"/>
    <w:rsid w:val="00304525"/>
    <w:rsid w:val="00304537"/>
    <w:rsid w:val="0030456F"/>
    <w:rsid w:val="003045EB"/>
    <w:rsid w:val="00304679"/>
    <w:rsid w:val="00304692"/>
    <w:rsid w:val="0030469E"/>
    <w:rsid w:val="003046BB"/>
    <w:rsid w:val="00304702"/>
    <w:rsid w:val="0030470F"/>
    <w:rsid w:val="00304764"/>
    <w:rsid w:val="00304779"/>
    <w:rsid w:val="00304799"/>
    <w:rsid w:val="0030479C"/>
    <w:rsid w:val="00304826"/>
    <w:rsid w:val="0030484A"/>
    <w:rsid w:val="0030488F"/>
    <w:rsid w:val="003048D6"/>
    <w:rsid w:val="00304953"/>
    <w:rsid w:val="00304992"/>
    <w:rsid w:val="003049D2"/>
    <w:rsid w:val="00304A16"/>
    <w:rsid w:val="00304A34"/>
    <w:rsid w:val="00304A3D"/>
    <w:rsid w:val="00304A44"/>
    <w:rsid w:val="00304A4D"/>
    <w:rsid w:val="00304AB1"/>
    <w:rsid w:val="00304ABB"/>
    <w:rsid w:val="00304BDF"/>
    <w:rsid w:val="00304C06"/>
    <w:rsid w:val="00304CAF"/>
    <w:rsid w:val="00304D16"/>
    <w:rsid w:val="00304D19"/>
    <w:rsid w:val="00304D40"/>
    <w:rsid w:val="00304D70"/>
    <w:rsid w:val="00304D7A"/>
    <w:rsid w:val="00304D89"/>
    <w:rsid w:val="00304DFC"/>
    <w:rsid w:val="00304E37"/>
    <w:rsid w:val="00304E43"/>
    <w:rsid w:val="00304E86"/>
    <w:rsid w:val="00304EA9"/>
    <w:rsid w:val="00304EC8"/>
    <w:rsid w:val="00304EDB"/>
    <w:rsid w:val="00304EDD"/>
    <w:rsid w:val="00304F60"/>
    <w:rsid w:val="00304F90"/>
    <w:rsid w:val="00304FE3"/>
    <w:rsid w:val="00305001"/>
    <w:rsid w:val="00305046"/>
    <w:rsid w:val="003050AC"/>
    <w:rsid w:val="003050E5"/>
    <w:rsid w:val="00305116"/>
    <w:rsid w:val="00305133"/>
    <w:rsid w:val="00305189"/>
    <w:rsid w:val="003051B3"/>
    <w:rsid w:val="003051E0"/>
    <w:rsid w:val="003051F8"/>
    <w:rsid w:val="0030520A"/>
    <w:rsid w:val="0030525E"/>
    <w:rsid w:val="00305260"/>
    <w:rsid w:val="00305321"/>
    <w:rsid w:val="00305366"/>
    <w:rsid w:val="003053C3"/>
    <w:rsid w:val="00305475"/>
    <w:rsid w:val="00305502"/>
    <w:rsid w:val="0030550E"/>
    <w:rsid w:val="0030550F"/>
    <w:rsid w:val="0030556C"/>
    <w:rsid w:val="0030557C"/>
    <w:rsid w:val="00305581"/>
    <w:rsid w:val="003055D9"/>
    <w:rsid w:val="00305607"/>
    <w:rsid w:val="00305661"/>
    <w:rsid w:val="003056B7"/>
    <w:rsid w:val="003056C0"/>
    <w:rsid w:val="003056D1"/>
    <w:rsid w:val="003056E8"/>
    <w:rsid w:val="0030571E"/>
    <w:rsid w:val="00305726"/>
    <w:rsid w:val="0030575E"/>
    <w:rsid w:val="0030578E"/>
    <w:rsid w:val="0030578F"/>
    <w:rsid w:val="003057A4"/>
    <w:rsid w:val="0030580A"/>
    <w:rsid w:val="003058A1"/>
    <w:rsid w:val="003058C8"/>
    <w:rsid w:val="003058F0"/>
    <w:rsid w:val="003058F9"/>
    <w:rsid w:val="00305908"/>
    <w:rsid w:val="00305944"/>
    <w:rsid w:val="0030594F"/>
    <w:rsid w:val="00305961"/>
    <w:rsid w:val="00305983"/>
    <w:rsid w:val="00305988"/>
    <w:rsid w:val="003059B5"/>
    <w:rsid w:val="003059E1"/>
    <w:rsid w:val="00305A1E"/>
    <w:rsid w:val="00305A71"/>
    <w:rsid w:val="00305A75"/>
    <w:rsid w:val="00305AC2"/>
    <w:rsid w:val="00305AF1"/>
    <w:rsid w:val="00305B00"/>
    <w:rsid w:val="00305B19"/>
    <w:rsid w:val="00305B51"/>
    <w:rsid w:val="00305B5B"/>
    <w:rsid w:val="00305B70"/>
    <w:rsid w:val="00305B75"/>
    <w:rsid w:val="00305C28"/>
    <w:rsid w:val="00305C38"/>
    <w:rsid w:val="00305CD4"/>
    <w:rsid w:val="00305D2F"/>
    <w:rsid w:val="00305D99"/>
    <w:rsid w:val="00305E5F"/>
    <w:rsid w:val="00305E63"/>
    <w:rsid w:val="00305E9A"/>
    <w:rsid w:val="00305F29"/>
    <w:rsid w:val="00305F4D"/>
    <w:rsid w:val="00305F67"/>
    <w:rsid w:val="00305F71"/>
    <w:rsid w:val="00305FE0"/>
    <w:rsid w:val="00306057"/>
    <w:rsid w:val="0030605D"/>
    <w:rsid w:val="00306085"/>
    <w:rsid w:val="003060C6"/>
    <w:rsid w:val="003060C7"/>
    <w:rsid w:val="003060E2"/>
    <w:rsid w:val="00306115"/>
    <w:rsid w:val="00306118"/>
    <w:rsid w:val="0030611A"/>
    <w:rsid w:val="0030614F"/>
    <w:rsid w:val="00306175"/>
    <w:rsid w:val="00306204"/>
    <w:rsid w:val="00306298"/>
    <w:rsid w:val="003062D3"/>
    <w:rsid w:val="00306312"/>
    <w:rsid w:val="0030635D"/>
    <w:rsid w:val="0030638D"/>
    <w:rsid w:val="003063A3"/>
    <w:rsid w:val="003063FF"/>
    <w:rsid w:val="003064AB"/>
    <w:rsid w:val="003064BF"/>
    <w:rsid w:val="003064F5"/>
    <w:rsid w:val="00306534"/>
    <w:rsid w:val="00306618"/>
    <w:rsid w:val="003066BF"/>
    <w:rsid w:val="003066C9"/>
    <w:rsid w:val="003066D5"/>
    <w:rsid w:val="00306777"/>
    <w:rsid w:val="003067E7"/>
    <w:rsid w:val="00306824"/>
    <w:rsid w:val="0030683B"/>
    <w:rsid w:val="00306878"/>
    <w:rsid w:val="003068CF"/>
    <w:rsid w:val="003068EE"/>
    <w:rsid w:val="00306910"/>
    <w:rsid w:val="0030697D"/>
    <w:rsid w:val="00306997"/>
    <w:rsid w:val="003069B4"/>
    <w:rsid w:val="00306A06"/>
    <w:rsid w:val="00306AB1"/>
    <w:rsid w:val="00306AEE"/>
    <w:rsid w:val="00306B3F"/>
    <w:rsid w:val="00306B5A"/>
    <w:rsid w:val="00306BBD"/>
    <w:rsid w:val="00306BF7"/>
    <w:rsid w:val="00306C99"/>
    <w:rsid w:val="00306CAB"/>
    <w:rsid w:val="00306CB0"/>
    <w:rsid w:val="00306CBC"/>
    <w:rsid w:val="00306CF6"/>
    <w:rsid w:val="00306CFA"/>
    <w:rsid w:val="00306D23"/>
    <w:rsid w:val="00306D4A"/>
    <w:rsid w:val="00306D81"/>
    <w:rsid w:val="00306DB1"/>
    <w:rsid w:val="00306DEC"/>
    <w:rsid w:val="00306ECF"/>
    <w:rsid w:val="00306EDB"/>
    <w:rsid w:val="00306EFF"/>
    <w:rsid w:val="00306F94"/>
    <w:rsid w:val="00306F98"/>
    <w:rsid w:val="00306FA7"/>
    <w:rsid w:val="00306FDC"/>
    <w:rsid w:val="00306FE8"/>
    <w:rsid w:val="00307035"/>
    <w:rsid w:val="0030709F"/>
    <w:rsid w:val="003070B2"/>
    <w:rsid w:val="00307195"/>
    <w:rsid w:val="003071C9"/>
    <w:rsid w:val="003071DA"/>
    <w:rsid w:val="0030723B"/>
    <w:rsid w:val="0030734F"/>
    <w:rsid w:val="00307397"/>
    <w:rsid w:val="003073D6"/>
    <w:rsid w:val="003073FC"/>
    <w:rsid w:val="003073FD"/>
    <w:rsid w:val="00307435"/>
    <w:rsid w:val="00307442"/>
    <w:rsid w:val="0030744B"/>
    <w:rsid w:val="0030758C"/>
    <w:rsid w:val="003075D6"/>
    <w:rsid w:val="0030760A"/>
    <w:rsid w:val="00307663"/>
    <w:rsid w:val="003076A1"/>
    <w:rsid w:val="003076A7"/>
    <w:rsid w:val="003076C2"/>
    <w:rsid w:val="003076F9"/>
    <w:rsid w:val="00307709"/>
    <w:rsid w:val="00307732"/>
    <w:rsid w:val="00307769"/>
    <w:rsid w:val="00307787"/>
    <w:rsid w:val="0030778E"/>
    <w:rsid w:val="00307798"/>
    <w:rsid w:val="003077AA"/>
    <w:rsid w:val="003077C8"/>
    <w:rsid w:val="00307802"/>
    <w:rsid w:val="003078AB"/>
    <w:rsid w:val="003078F9"/>
    <w:rsid w:val="00307910"/>
    <w:rsid w:val="00307987"/>
    <w:rsid w:val="003079CE"/>
    <w:rsid w:val="00307A11"/>
    <w:rsid w:val="00307A51"/>
    <w:rsid w:val="00307A7B"/>
    <w:rsid w:val="00307AC8"/>
    <w:rsid w:val="00307B1F"/>
    <w:rsid w:val="00307B4A"/>
    <w:rsid w:val="00307B57"/>
    <w:rsid w:val="00307B82"/>
    <w:rsid w:val="00307BC2"/>
    <w:rsid w:val="00307BF8"/>
    <w:rsid w:val="00307C18"/>
    <w:rsid w:val="00307C7D"/>
    <w:rsid w:val="00307CD9"/>
    <w:rsid w:val="00307CFF"/>
    <w:rsid w:val="00307DDD"/>
    <w:rsid w:val="00307DF2"/>
    <w:rsid w:val="00307DF7"/>
    <w:rsid w:val="00307F25"/>
    <w:rsid w:val="00307F62"/>
    <w:rsid w:val="00307F95"/>
    <w:rsid w:val="00307FE9"/>
    <w:rsid w:val="00310030"/>
    <w:rsid w:val="00310039"/>
    <w:rsid w:val="003100A2"/>
    <w:rsid w:val="003100BF"/>
    <w:rsid w:val="003100C4"/>
    <w:rsid w:val="003100E0"/>
    <w:rsid w:val="003100FA"/>
    <w:rsid w:val="00310176"/>
    <w:rsid w:val="003101B5"/>
    <w:rsid w:val="003101BA"/>
    <w:rsid w:val="003101E6"/>
    <w:rsid w:val="003101EB"/>
    <w:rsid w:val="003101EF"/>
    <w:rsid w:val="00310216"/>
    <w:rsid w:val="00310257"/>
    <w:rsid w:val="0031026F"/>
    <w:rsid w:val="0031033D"/>
    <w:rsid w:val="00310347"/>
    <w:rsid w:val="00310383"/>
    <w:rsid w:val="00310388"/>
    <w:rsid w:val="00310390"/>
    <w:rsid w:val="003103EC"/>
    <w:rsid w:val="0031041F"/>
    <w:rsid w:val="00310445"/>
    <w:rsid w:val="0031046B"/>
    <w:rsid w:val="00310492"/>
    <w:rsid w:val="003104A2"/>
    <w:rsid w:val="003104A3"/>
    <w:rsid w:val="003104DA"/>
    <w:rsid w:val="00310568"/>
    <w:rsid w:val="0031056D"/>
    <w:rsid w:val="0031056E"/>
    <w:rsid w:val="00310610"/>
    <w:rsid w:val="00310617"/>
    <w:rsid w:val="003106AD"/>
    <w:rsid w:val="003106C9"/>
    <w:rsid w:val="003106E4"/>
    <w:rsid w:val="00310727"/>
    <w:rsid w:val="00310728"/>
    <w:rsid w:val="003107B3"/>
    <w:rsid w:val="00310833"/>
    <w:rsid w:val="003108BD"/>
    <w:rsid w:val="003108DD"/>
    <w:rsid w:val="00310990"/>
    <w:rsid w:val="003109F4"/>
    <w:rsid w:val="00310A53"/>
    <w:rsid w:val="00310A67"/>
    <w:rsid w:val="00310A79"/>
    <w:rsid w:val="00310B13"/>
    <w:rsid w:val="00310B75"/>
    <w:rsid w:val="00310B9D"/>
    <w:rsid w:val="00310C02"/>
    <w:rsid w:val="00310C03"/>
    <w:rsid w:val="00310CA6"/>
    <w:rsid w:val="00310CB2"/>
    <w:rsid w:val="00310D23"/>
    <w:rsid w:val="00310D68"/>
    <w:rsid w:val="00310D98"/>
    <w:rsid w:val="00310D9C"/>
    <w:rsid w:val="00310E18"/>
    <w:rsid w:val="00310E22"/>
    <w:rsid w:val="00310E6C"/>
    <w:rsid w:val="00310ED0"/>
    <w:rsid w:val="00310EE2"/>
    <w:rsid w:val="00310EEA"/>
    <w:rsid w:val="00310F26"/>
    <w:rsid w:val="00310F54"/>
    <w:rsid w:val="00310F9F"/>
    <w:rsid w:val="0031105E"/>
    <w:rsid w:val="00311091"/>
    <w:rsid w:val="003110CD"/>
    <w:rsid w:val="003110E0"/>
    <w:rsid w:val="00311108"/>
    <w:rsid w:val="0031111D"/>
    <w:rsid w:val="00311197"/>
    <w:rsid w:val="0031119F"/>
    <w:rsid w:val="003112A2"/>
    <w:rsid w:val="003112A3"/>
    <w:rsid w:val="00311362"/>
    <w:rsid w:val="0031136F"/>
    <w:rsid w:val="0031137B"/>
    <w:rsid w:val="0031138C"/>
    <w:rsid w:val="003113B5"/>
    <w:rsid w:val="003113CD"/>
    <w:rsid w:val="003113FD"/>
    <w:rsid w:val="0031141A"/>
    <w:rsid w:val="0031141F"/>
    <w:rsid w:val="00311458"/>
    <w:rsid w:val="003114C3"/>
    <w:rsid w:val="0031152E"/>
    <w:rsid w:val="00311563"/>
    <w:rsid w:val="00311579"/>
    <w:rsid w:val="00311589"/>
    <w:rsid w:val="0031168A"/>
    <w:rsid w:val="0031168B"/>
    <w:rsid w:val="003117A7"/>
    <w:rsid w:val="00311872"/>
    <w:rsid w:val="0031188D"/>
    <w:rsid w:val="00311912"/>
    <w:rsid w:val="00311955"/>
    <w:rsid w:val="00311985"/>
    <w:rsid w:val="00311993"/>
    <w:rsid w:val="003119B7"/>
    <w:rsid w:val="003119BE"/>
    <w:rsid w:val="003119F3"/>
    <w:rsid w:val="00311ACE"/>
    <w:rsid w:val="00311B1A"/>
    <w:rsid w:val="00311B24"/>
    <w:rsid w:val="00311B41"/>
    <w:rsid w:val="00311B44"/>
    <w:rsid w:val="00311B7E"/>
    <w:rsid w:val="00311BB7"/>
    <w:rsid w:val="00311BC1"/>
    <w:rsid w:val="00311C02"/>
    <w:rsid w:val="00311C99"/>
    <w:rsid w:val="00311CB0"/>
    <w:rsid w:val="00311CB3"/>
    <w:rsid w:val="00311D46"/>
    <w:rsid w:val="00311D96"/>
    <w:rsid w:val="00311DBB"/>
    <w:rsid w:val="00311E02"/>
    <w:rsid w:val="00311E1E"/>
    <w:rsid w:val="00311EA4"/>
    <w:rsid w:val="00311EF5"/>
    <w:rsid w:val="00311F54"/>
    <w:rsid w:val="00311FAF"/>
    <w:rsid w:val="00311FD0"/>
    <w:rsid w:val="00311FDA"/>
    <w:rsid w:val="00312034"/>
    <w:rsid w:val="0031209E"/>
    <w:rsid w:val="003120B4"/>
    <w:rsid w:val="00312110"/>
    <w:rsid w:val="00312184"/>
    <w:rsid w:val="0031219B"/>
    <w:rsid w:val="003121F3"/>
    <w:rsid w:val="00312283"/>
    <w:rsid w:val="00312284"/>
    <w:rsid w:val="003122B8"/>
    <w:rsid w:val="003122F7"/>
    <w:rsid w:val="00312307"/>
    <w:rsid w:val="00312444"/>
    <w:rsid w:val="00312454"/>
    <w:rsid w:val="00312484"/>
    <w:rsid w:val="003124DE"/>
    <w:rsid w:val="00312516"/>
    <w:rsid w:val="00312541"/>
    <w:rsid w:val="00312579"/>
    <w:rsid w:val="00312595"/>
    <w:rsid w:val="003125B8"/>
    <w:rsid w:val="003125BD"/>
    <w:rsid w:val="003125F2"/>
    <w:rsid w:val="003125FD"/>
    <w:rsid w:val="00312610"/>
    <w:rsid w:val="00312620"/>
    <w:rsid w:val="00312628"/>
    <w:rsid w:val="00312684"/>
    <w:rsid w:val="003126EC"/>
    <w:rsid w:val="003126EF"/>
    <w:rsid w:val="00312703"/>
    <w:rsid w:val="00312746"/>
    <w:rsid w:val="00312782"/>
    <w:rsid w:val="0031278F"/>
    <w:rsid w:val="003127F8"/>
    <w:rsid w:val="0031284F"/>
    <w:rsid w:val="003128BA"/>
    <w:rsid w:val="003128C7"/>
    <w:rsid w:val="00312907"/>
    <w:rsid w:val="0031299B"/>
    <w:rsid w:val="003129D1"/>
    <w:rsid w:val="00312A0C"/>
    <w:rsid w:val="00312A7B"/>
    <w:rsid w:val="00312A81"/>
    <w:rsid w:val="00312AB9"/>
    <w:rsid w:val="00312ADC"/>
    <w:rsid w:val="00312AE5"/>
    <w:rsid w:val="00312AE9"/>
    <w:rsid w:val="00312B02"/>
    <w:rsid w:val="00312B1F"/>
    <w:rsid w:val="00312B2B"/>
    <w:rsid w:val="00312B9B"/>
    <w:rsid w:val="00312BA3"/>
    <w:rsid w:val="00312BAB"/>
    <w:rsid w:val="00312BD6"/>
    <w:rsid w:val="00312C03"/>
    <w:rsid w:val="00312C23"/>
    <w:rsid w:val="00312C2C"/>
    <w:rsid w:val="00312CBF"/>
    <w:rsid w:val="00312D4F"/>
    <w:rsid w:val="00312D6A"/>
    <w:rsid w:val="00312E02"/>
    <w:rsid w:val="00312E18"/>
    <w:rsid w:val="00312E1F"/>
    <w:rsid w:val="00312F15"/>
    <w:rsid w:val="0031301D"/>
    <w:rsid w:val="0031306E"/>
    <w:rsid w:val="003130B8"/>
    <w:rsid w:val="00313105"/>
    <w:rsid w:val="00313113"/>
    <w:rsid w:val="0031313B"/>
    <w:rsid w:val="00313159"/>
    <w:rsid w:val="0031318B"/>
    <w:rsid w:val="0031321B"/>
    <w:rsid w:val="00313227"/>
    <w:rsid w:val="00313240"/>
    <w:rsid w:val="003132A3"/>
    <w:rsid w:val="00313338"/>
    <w:rsid w:val="00313343"/>
    <w:rsid w:val="00313352"/>
    <w:rsid w:val="003133BF"/>
    <w:rsid w:val="003133FC"/>
    <w:rsid w:val="0031340A"/>
    <w:rsid w:val="00313417"/>
    <w:rsid w:val="0031345A"/>
    <w:rsid w:val="0031346A"/>
    <w:rsid w:val="00313477"/>
    <w:rsid w:val="003134E6"/>
    <w:rsid w:val="003134F7"/>
    <w:rsid w:val="003134F8"/>
    <w:rsid w:val="00313506"/>
    <w:rsid w:val="00313514"/>
    <w:rsid w:val="0031352B"/>
    <w:rsid w:val="003135B9"/>
    <w:rsid w:val="003135EC"/>
    <w:rsid w:val="003135FD"/>
    <w:rsid w:val="0031368E"/>
    <w:rsid w:val="003136A4"/>
    <w:rsid w:val="00313710"/>
    <w:rsid w:val="00313785"/>
    <w:rsid w:val="00313805"/>
    <w:rsid w:val="00313818"/>
    <w:rsid w:val="00313849"/>
    <w:rsid w:val="0031385A"/>
    <w:rsid w:val="0031388B"/>
    <w:rsid w:val="003138A9"/>
    <w:rsid w:val="003138BC"/>
    <w:rsid w:val="00313948"/>
    <w:rsid w:val="0031394B"/>
    <w:rsid w:val="003139D1"/>
    <w:rsid w:val="003139E2"/>
    <w:rsid w:val="00313A02"/>
    <w:rsid w:val="00313A98"/>
    <w:rsid w:val="00313AB5"/>
    <w:rsid w:val="00313B03"/>
    <w:rsid w:val="00313B59"/>
    <w:rsid w:val="00313B80"/>
    <w:rsid w:val="00313B89"/>
    <w:rsid w:val="00313BA6"/>
    <w:rsid w:val="00313BEC"/>
    <w:rsid w:val="00313C15"/>
    <w:rsid w:val="00313C3E"/>
    <w:rsid w:val="00313CBC"/>
    <w:rsid w:val="00313CEC"/>
    <w:rsid w:val="00313D74"/>
    <w:rsid w:val="00313D8E"/>
    <w:rsid w:val="00313DEA"/>
    <w:rsid w:val="00313DF6"/>
    <w:rsid w:val="00313E0B"/>
    <w:rsid w:val="00313E2A"/>
    <w:rsid w:val="00313E4C"/>
    <w:rsid w:val="00313E79"/>
    <w:rsid w:val="00313EC6"/>
    <w:rsid w:val="00313EC8"/>
    <w:rsid w:val="00313F03"/>
    <w:rsid w:val="00313F0D"/>
    <w:rsid w:val="00313F10"/>
    <w:rsid w:val="00313F3B"/>
    <w:rsid w:val="00313F45"/>
    <w:rsid w:val="00313F7B"/>
    <w:rsid w:val="00313FB7"/>
    <w:rsid w:val="003140D0"/>
    <w:rsid w:val="003140ED"/>
    <w:rsid w:val="00314151"/>
    <w:rsid w:val="00314159"/>
    <w:rsid w:val="003141CB"/>
    <w:rsid w:val="00314242"/>
    <w:rsid w:val="0031427A"/>
    <w:rsid w:val="003142CA"/>
    <w:rsid w:val="003142D8"/>
    <w:rsid w:val="00314314"/>
    <w:rsid w:val="00314324"/>
    <w:rsid w:val="0031433E"/>
    <w:rsid w:val="003143C9"/>
    <w:rsid w:val="0031447E"/>
    <w:rsid w:val="00314492"/>
    <w:rsid w:val="003144EF"/>
    <w:rsid w:val="0031450C"/>
    <w:rsid w:val="00314533"/>
    <w:rsid w:val="003145BF"/>
    <w:rsid w:val="003145CB"/>
    <w:rsid w:val="00314623"/>
    <w:rsid w:val="00314632"/>
    <w:rsid w:val="003146C6"/>
    <w:rsid w:val="003146F0"/>
    <w:rsid w:val="003147F1"/>
    <w:rsid w:val="003148B9"/>
    <w:rsid w:val="003148D2"/>
    <w:rsid w:val="003149CD"/>
    <w:rsid w:val="00314A69"/>
    <w:rsid w:val="00314A8B"/>
    <w:rsid w:val="00314A9C"/>
    <w:rsid w:val="00314ACF"/>
    <w:rsid w:val="00314BE2"/>
    <w:rsid w:val="00314C24"/>
    <w:rsid w:val="00314C9B"/>
    <w:rsid w:val="00314CAD"/>
    <w:rsid w:val="00314CE4"/>
    <w:rsid w:val="00314CF2"/>
    <w:rsid w:val="00314D13"/>
    <w:rsid w:val="00314D2C"/>
    <w:rsid w:val="00314D30"/>
    <w:rsid w:val="00314D5B"/>
    <w:rsid w:val="00314D94"/>
    <w:rsid w:val="00314DFF"/>
    <w:rsid w:val="00314F53"/>
    <w:rsid w:val="00314F79"/>
    <w:rsid w:val="0031509B"/>
    <w:rsid w:val="003150FC"/>
    <w:rsid w:val="003151C0"/>
    <w:rsid w:val="003151C4"/>
    <w:rsid w:val="0031531C"/>
    <w:rsid w:val="00315331"/>
    <w:rsid w:val="0031536A"/>
    <w:rsid w:val="00315382"/>
    <w:rsid w:val="003153AA"/>
    <w:rsid w:val="00315413"/>
    <w:rsid w:val="00315449"/>
    <w:rsid w:val="0031546A"/>
    <w:rsid w:val="003154C8"/>
    <w:rsid w:val="0031552A"/>
    <w:rsid w:val="0031552B"/>
    <w:rsid w:val="0031554F"/>
    <w:rsid w:val="00315558"/>
    <w:rsid w:val="00315585"/>
    <w:rsid w:val="00315624"/>
    <w:rsid w:val="0031571F"/>
    <w:rsid w:val="0031573C"/>
    <w:rsid w:val="00315741"/>
    <w:rsid w:val="0031574D"/>
    <w:rsid w:val="0031574E"/>
    <w:rsid w:val="0031577E"/>
    <w:rsid w:val="003157A4"/>
    <w:rsid w:val="003157AA"/>
    <w:rsid w:val="003157C2"/>
    <w:rsid w:val="003157CA"/>
    <w:rsid w:val="003157DD"/>
    <w:rsid w:val="00315870"/>
    <w:rsid w:val="003158F0"/>
    <w:rsid w:val="00315954"/>
    <w:rsid w:val="003159A1"/>
    <w:rsid w:val="00315A2D"/>
    <w:rsid w:val="00315A32"/>
    <w:rsid w:val="00315A38"/>
    <w:rsid w:val="00315A5F"/>
    <w:rsid w:val="00315A9C"/>
    <w:rsid w:val="00315AE6"/>
    <w:rsid w:val="00315B56"/>
    <w:rsid w:val="00315BB7"/>
    <w:rsid w:val="00315BBD"/>
    <w:rsid w:val="00315BBF"/>
    <w:rsid w:val="00315C28"/>
    <w:rsid w:val="00315C3E"/>
    <w:rsid w:val="00315C49"/>
    <w:rsid w:val="00315C52"/>
    <w:rsid w:val="00315D29"/>
    <w:rsid w:val="00315D82"/>
    <w:rsid w:val="00315D9E"/>
    <w:rsid w:val="00315DB7"/>
    <w:rsid w:val="00315E22"/>
    <w:rsid w:val="00315E86"/>
    <w:rsid w:val="00315EE1"/>
    <w:rsid w:val="00315F1B"/>
    <w:rsid w:val="00315F30"/>
    <w:rsid w:val="00315F34"/>
    <w:rsid w:val="00315FA0"/>
    <w:rsid w:val="00315FB4"/>
    <w:rsid w:val="0031600B"/>
    <w:rsid w:val="00316023"/>
    <w:rsid w:val="00316047"/>
    <w:rsid w:val="00316068"/>
    <w:rsid w:val="0031608F"/>
    <w:rsid w:val="003160E1"/>
    <w:rsid w:val="0031611B"/>
    <w:rsid w:val="0031615F"/>
    <w:rsid w:val="00316218"/>
    <w:rsid w:val="0031627F"/>
    <w:rsid w:val="003162C6"/>
    <w:rsid w:val="0031633B"/>
    <w:rsid w:val="003163C5"/>
    <w:rsid w:val="003163DB"/>
    <w:rsid w:val="0031644C"/>
    <w:rsid w:val="00316473"/>
    <w:rsid w:val="003164F8"/>
    <w:rsid w:val="00316508"/>
    <w:rsid w:val="0031650B"/>
    <w:rsid w:val="00316585"/>
    <w:rsid w:val="003165FE"/>
    <w:rsid w:val="0031663D"/>
    <w:rsid w:val="003166A4"/>
    <w:rsid w:val="0031673A"/>
    <w:rsid w:val="0031676F"/>
    <w:rsid w:val="003167AA"/>
    <w:rsid w:val="003167B8"/>
    <w:rsid w:val="00316845"/>
    <w:rsid w:val="0031692C"/>
    <w:rsid w:val="00316941"/>
    <w:rsid w:val="00316959"/>
    <w:rsid w:val="0031696B"/>
    <w:rsid w:val="00316992"/>
    <w:rsid w:val="003169AE"/>
    <w:rsid w:val="00316A56"/>
    <w:rsid w:val="00316A5D"/>
    <w:rsid w:val="00316A95"/>
    <w:rsid w:val="00316ACF"/>
    <w:rsid w:val="00316AE8"/>
    <w:rsid w:val="00316B0B"/>
    <w:rsid w:val="00316B49"/>
    <w:rsid w:val="00316B5E"/>
    <w:rsid w:val="00316B65"/>
    <w:rsid w:val="00316B7C"/>
    <w:rsid w:val="00316BAA"/>
    <w:rsid w:val="00316C09"/>
    <w:rsid w:val="00316C2C"/>
    <w:rsid w:val="00316C37"/>
    <w:rsid w:val="00316CA9"/>
    <w:rsid w:val="00316CB5"/>
    <w:rsid w:val="00316CD2"/>
    <w:rsid w:val="00316D06"/>
    <w:rsid w:val="00316D9F"/>
    <w:rsid w:val="00316DB0"/>
    <w:rsid w:val="00316E04"/>
    <w:rsid w:val="00316E4A"/>
    <w:rsid w:val="00316F3D"/>
    <w:rsid w:val="00316F43"/>
    <w:rsid w:val="00316F85"/>
    <w:rsid w:val="00316FDF"/>
    <w:rsid w:val="00317082"/>
    <w:rsid w:val="003170BC"/>
    <w:rsid w:val="00317176"/>
    <w:rsid w:val="003171A2"/>
    <w:rsid w:val="003171FA"/>
    <w:rsid w:val="0031723C"/>
    <w:rsid w:val="00317268"/>
    <w:rsid w:val="0031727A"/>
    <w:rsid w:val="00317329"/>
    <w:rsid w:val="00317353"/>
    <w:rsid w:val="003173A7"/>
    <w:rsid w:val="003173C0"/>
    <w:rsid w:val="00317478"/>
    <w:rsid w:val="00317479"/>
    <w:rsid w:val="00317498"/>
    <w:rsid w:val="0031751B"/>
    <w:rsid w:val="00317571"/>
    <w:rsid w:val="00317590"/>
    <w:rsid w:val="0031760D"/>
    <w:rsid w:val="00317659"/>
    <w:rsid w:val="0031769C"/>
    <w:rsid w:val="003176B4"/>
    <w:rsid w:val="003176DC"/>
    <w:rsid w:val="00317772"/>
    <w:rsid w:val="00317784"/>
    <w:rsid w:val="00317843"/>
    <w:rsid w:val="00317848"/>
    <w:rsid w:val="00317858"/>
    <w:rsid w:val="00317884"/>
    <w:rsid w:val="00317896"/>
    <w:rsid w:val="003178A1"/>
    <w:rsid w:val="003178CB"/>
    <w:rsid w:val="00317920"/>
    <w:rsid w:val="003179CA"/>
    <w:rsid w:val="003179EA"/>
    <w:rsid w:val="00317A2D"/>
    <w:rsid w:val="00317A51"/>
    <w:rsid w:val="00317A6C"/>
    <w:rsid w:val="00317AE9"/>
    <w:rsid w:val="00317B03"/>
    <w:rsid w:val="00317B67"/>
    <w:rsid w:val="00317B91"/>
    <w:rsid w:val="00317BD2"/>
    <w:rsid w:val="00317C72"/>
    <w:rsid w:val="00317CF5"/>
    <w:rsid w:val="00317D16"/>
    <w:rsid w:val="00317D32"/>
    <w:rsid w:val="00317D52"/>
    <w:rsid w:val="00317D6E"/>
    <w:rsid w:val="00317D85"/>
    <w:rsid w:val="00317DE0"/>
    <w:rsid w:val="00317DEA"/>
    <w:rsid w:val="00317E20"/>
    <w:rsid w:val="00317EB7"/>
    <w:rsid w:val="00317EC6"/>
    <w:rsid w:val="00317ED2"/>
    <w:rsid w:val="00317FAE"/>
    <w:rsid w:val="00317FB8"/>
    <w:rsid w:val="00317FC1"/>
    <w:rsid w:val="00317FF5"/>
    <w:rsid w:val="00317FF7"/>
    <w:rsid w:val="0031FAC9"/>
    <w:rsid w:val="0032001A"/>
    <w:rsid w:val="0032001C"/>
    <w:rsid w:val="003200AD"/>
    <w:rsid w:val="003200E5"/>
    <w:rsid w:val="003200E9"/>
    <w:rsid w:val="00320103"/>
    <w:rsid w:val="00320105"/>
    <w:rsid w:val="00320167"/>
    <w:rsid w:val="00320175"/>
    <w:rsid w:val="003201BB"/>
    <w:rsid w:val="0032020B"/>
    <w:rsid w:val="00320215"/>
    <w:rsid w:val="0032029C"/>
    <w:rsid w:val="003202A9"/>
    <w:rsid w:val="003202D5"/>
    <w:rsid w:val="003202DC"/>
    <w:rsid w:val="00320314"/>
    <w:rsid w:val="00320315"/>
    <w:rsid w:val="0032035D"/>
    <w:rsid w:val="00320372"/>
    <w:rsid w:val="003203C4"/>
    <w:rsid w:val="00320404"/>
    <w:rsid w:val="003204E1"/>
    <w:rsid w:val="00320597"/>
    <w:rsid w:val="003205BD"/>
    <w:rsid w:val="003205CD"/>
    <w:rsid w:val="00320606"/>
    <w:rsid w:val="00320658"/>
    <w:rsid w:val="00320662"/>
    <w:rsid w:val="003206AA"/>
    <w:rsid w:val="003206BE"/>
    <w:rsid w:val="00320743"/>
    <w:rsid w:val="00320756"/>
    <w:rsid w:val="003207B5"/>
    <w:rsid w:val="003207B9"/>
    <w:rsid w:val="003207E5"/>
    <w:rsid w:val="00320843"/>
    <w:rsid w:val="0032085C"/>
    <w:rsid w:val="00320894"/>
    <w:rsid w:val="0032089E"/>
    <w:rsid w:val="003208CE"/>
    <w:rsid w:val="003208F2"/>
    <w:rsid w:val="00320912"/>
    <w:rsid w:val="0032094D"/>
    <w:rsid w:val="00320995"/>
    <w:rsid w:val="003209B2"/>
    <w:rsid w:val="00320A95"/>
    <w:rsid w:val="00320AB1"/>
    <w:rsid w:val="00320B4B"/>
    <w:rsid w:val="00320B6B"/>
    <w:rsid w:val="00320C20"/>
    <w:rsid w:val="00320C2E"/>
    <w:rsid w:val="00320C33"/>
    <w:rsid w:val="00320C38"/>
    <w:rsid w:val="00320CC7"/>
    <w:rsid w:val="00320CE1"/>
    <w:rsid w:val="00320CFF"/>
    <w:rsid w:val="00320D02"/>
    <w:rsid w:val="00320D2C"/>
    <w:rsid w:val="00320D36"/>
    <w:rsid w:val="00320DA3"/>
    <w:rsid w:val="00320DE8"/>
    <w:rsid w:val="00320DEB"/>
    <w:rsid w:val="00320E31"/>
    <w:rsid w:val="00320F60"/>
    <w:rsid w:val="00320F86"/>
    <w:rsid w:val="00320FB1"/>
    <w:rsid w:val="00320FD3"/>
    <w:rsid w:val="00321021"/>
    <w:rsid w:val="0032108C"/>
    <w:rsid w:val="003210B4"/>
    <w:rsid w:val="00321111"/>
    <w:rsid w:val="0032113D"/>
    <w:rsid w:val="00321184"/>
    <w:rsid w:val="003211E7"/>
    <w:rsid w:val="00321245"/>
    <w:rsid w:val="0032124D"/>
    <w:rsid w:val="00321295"/>
    <w:rsid w:val="003212B7"/>
    <w:rsid w:val="003212DA"/>
    <w:rsid w:val="00321347"/>
    <w:rsid w:val="0032134C"/>
    <w:rsid w:val="00321369"/>
    <w:rsid w:val="003213D0"/>
    <w:rsid w:val="0032141B"/>
    <w:rsid w:val="00321427"/>
    <w:rsid w:val="003214E3"/>
    <w:rsid w:val="003214F0"/>
    <w:rsid w:val="00321509"/>
    <w:rsid w:val="0032157F"/>
    <w:rsid w:val="0032158D"/>
    <w:rsid w:val="003215E2"/>
    <w:rsid w:val="00321621"/>
    <w:rsid w:val="00321625"/>
    <w:rsid w:val="00321668"/>
    <w:rsid w:val="00321679"/>
    <w:rsid w:val="00321685"/>
    <w:rsid w:val="00321761"/>
    <w:rsid w:val="003217BD"/>
    <w:rsid w:val="003217CB"/>
    <w:rsid w:val="003217CE"/>
    <w:rsid w:val="003217E8"/>
    <w:rsid w:val="003217EF"/>
    <w:rsid w:val="0032183D"/>
    <w:rsid w:val="003218A5"/>
    <w:rsid w:val="003218C3"/>
    <w:rsid w:val="003218F6"/>
    <w:rsid w:val="003218FA"/>
    <w:rsid w:val="003218FF"/>
    <w:rsid w:val="00321964"/>
    <w:rsid w:val="003219AE"/>
    <w:rsid w:val="003219BA"/>
    <w:rsid w:val="00321A51"/>
    <w:rsid w:val="00321AA9"/>
    <w:rsid w:val="00321AE8"/>
    <w:rsid w:val="00321AF1"/>
    <w:rsid w:val="00321B1B"/>
    <w:rsid w:val="00321B48"/>
    <w:rsid w:val="00321BE3"/>
    <w:rsid w:val="00321BF8"/>
    <w:rsid w:val="00321C50"/>
    <w:rsid w:val="00321C99"/>
    <w:rsid w:val="00321CA1"/>
    <w:rsid w:val="00321D02"/>
    <w:rsid w:val="00321D12"/>
    <w:rsid w:val="00321D22"/>
    <w:rsid w:val="00321D8C"/>
    <w:rsid w:val="00321DA3"/>
    <w:rsid w:val="00321DD1"/>
    <w:rsid w:val="00321E4A"/>
    <w:rsid w:val="00321E78"/>
    <w:rsid w:val="00321E82"/>
    <w:rsid w:val="00321E86"/>
    <w:rsid w:val="00321E9F"/>
    <w:rsid w:val="00321EC0"/>
    <w:rsid w:val="00321EDD"/>
    <w:rsid w:val="00321F2B"/>
    <w:rsid w:val="00321FBA"/>
    <w:rsid w:val="00321FC4"/>
    <w:rsid w:val="00321FC5"/>
    <w:rsid w:val="00322085"/>
    <w:rsid w:val="0032213D"/>
    <w:rsid w:val="00322142"/>
    <w:rsid w:val="00322161"/>
    <w:rsid w:val="0032217B"/>
    <w:rsid w:val="0032221C"/>
    <w:rsid w:val="00322229"/>
    <w:rsid w:val="00322269"/>
    <w:rsid w:val="00322271"/>
    <w:rsid w:val="0032229E"/>
    <w:rsid w:val="003222E3"/>
    <w:rsid w:val="00322355"/>
    <w:rsid w:val="00322409"/>
    <w:rsid w:val="00322420"/>
    <w:rsid w:val="00322428"/>
    <w:rsid w:val="0032242C"/>
    <w:rsid w:val="003224AC"/>
    <w:rsid w:val="0032250F"/>
    <w:rsid w:val="00322518"/>
    <w:rsid w:val="003225DD"/>
    <w:rsid w:val="00322627"/>
    <w:rsid w:val="00322645"/>
    <w:rsid w:val="0032264D"/>
    <w:rsid w:val="003226A1"/>
    <w:rsid w:val="0032275B"/>
    <w:rsid w:val="0032277E"/>
    <w:rsid w:val="00322784"/>
    <w:rsid w:val="003227BC"/>
    <w:rsid w:val="003227BD"/>
    <w:rsid w:val="003227DB"/>
    <w:rsid w:val="003227F5"/>
    <w:rsid w:val="003227F9"/>
    <w:rsid w:val="00322805"/>
    <w:rsid w:val="00322858"/>
    <w:rsid w:val="003228C5"/>
    <w:rsid w:val="003228D5"/>
    <w:rsid w:val="0032293D"/>
    <w:rsid w:val="0032299A"/>
    <w:rsid w:val="003229AF"/>
    <w:rsid w:val="00322A34"/>
    <w:rsid w:val="00322B0A"/>
    <w:rsid w:val="00322B25"/>
    <w:rsid w:val="00322B50"/>
    <w:rsid w:val="00322B68"/>
    <w:rsid w:val="00322B98"/>
    <w:rsid w:val="00322BE2"/>
    <w:rsid w:val="00322C0A"/>
    <w:rsid w:val="00322C1F"/>
    <w:rsid w:val="00322C42"/>
    <w:rsid w:val="00322C78"/>
    <w:rsid w:val="00322C93"/>
    <w:rsid w:val="00322CA4"/>
    <w:rsid w:val="00322CBD"/>
    <w:rsid w:val="00322CE9"/>
    <w:rsid w:val="00322D6D"/>
    <w:rsid w:val="00322DD8"/>
    <w:rsid w:val="00322E15"/>
    <w:rsid w:val="00322E17"/>
    <w:rsid w:val="00322E65"/>
    <w:rsid w:val="00322E91"/>
    <w:rsid w:val="00322EA7"/>
    <w:rsid w:val="00322ED0"/>
    <w:rsid w:val="00322FAC"/>
    <w:rsid w:val="00322FE7"/>
    <w:rsid w:val="00323091"/>
    <w:rsid w:val="00323096"/>
    <w:rsid w:val="0032310A"/>
    <w:rsid w:val="0032311D"/>
    <w:rsid w:val="00323122"/>
    <w:rsid w:val="00323190"/>
    <w:rsid w:val="003231CF"/>
    <w:rsid w:val="003231EE"/>
    <w:rsid w:val="003231FE"/>
    <w:rsid w:val="0032321E"/>
    <w:rsid w:val="00323236"/>
    <w:rsid w:val="0032325C"/>
    <w:rsid w:val="003232D2"/>
    <w:rsid w:val="003232D4"/>
    <w:rsid w:val="0032337C"/>
    <w:rsid w:val="00323387"/>
    <w:rsid w:val="003233D7"/>
    <w:rsid w:val="003233DE"/>
    <w:rsid w:val="00323428"/>
    <w:rsid w:val="00323447"/>
    <w:rsid w:val="00323485"/>
    <w:rsid w:val="003234FA"/>
    <w:rsid w:val="00323524"/>
    <w:rsid w:val="0032355B"/>
    <w:rsid w:val="0032357B"/>
    <w:rsid w:val="0032358D"/>
    <w:rsid w:val="00323597"/>
    <w:rsid w:val="003235D8"/>
    <w:rsid w:val="003235DA"/>
    <w:rsid w:val="00323604"/>
    <w:rsid w:val="0032365D"/>
    <w:rsid w:val="0032366C"/>
    <w:rsid w:val="003236E5"/>
    <w:rsid w:val="00323751"/>
    <w:rsid w:val="0032375E"/>
    <w:rsid w:val="00323777"/>
    <w:rsid w:val="00323798"/>
    <w:rsid w:val="003237A6"/>
    <w:rsid w:val="003237B3"/>
    <w:rsid w:val="00323819"/>
    <w:rsid w:val="00323882"/>
    <w:rsid w:val="00323899"/>
    <w:rsid w:val="0032390E"/>
    <w:rsid w:val="003239A5"/>
    <w:rsid w:val="003239BE"/>
    <w:rsid w:val="003239F4"/>
    <w:rsid w:val="003239FC"/>
    <w:rsid w:val="00323A1D"/>
    <w:rsid w:val="00323A7D"/>
    <w:rsid w:val="00323A85"/>
    <w:rsid w:val="00323A98"/>
    <w:rsid w:val="00323B10"/>
    <w:rsid w:val="00323B71"/>
    <w:rsid w:val="00323BAC"/>
    <w:rsid w:val="00323BD6"/>
    <w:rsid w:val="00323BD9"/>
    <w:rsid w:val="00323CD9"/>
    <w:rsid w:val="00323CE2"/>
    <w:rsid w:val="00323CEA"/>
    <w:rsid w:val="00323CF3"/>
    <w:rsid w:val="00323D18"/>
    <w:rsid w:val="00323F10"/>
    <w:rsid w:val="00323F62"/>
    <w:rsid w:val="00323FA6"/>
    <w:rsid w:val="00323FC4"/>
    <w:rsid w:val="0032402A"/>
    <w:rsid w:val="00324075"/>
    <w:rsid w:val="00324082"/>
    <w:rsid w:val="00324094"/>
    <w:rsid w:val="003240A6"/>
    <w:rsid w:val="003240F1"/>
    <w:rsid w:val="003240FC"/>
    <w:rsid w:val="00324106"/>
    <w:rsid w:val="00324195"/>
    <w:rsid w:val="0032420B"/>
    <w:rsid w:val="0032420F"/>
    <w:rsid w:val="0032421E"/>
    <w:rsid w:val="00324249"/>
    <w:rsid w:val="003242D8"/>
    <w:rsid w:val="00324383"/>
    <w:rsid w:val="0032439F"/>
    <w:rsid w:val="00324420"/>
    <w:rsid w:val="003244AD"/>
    <w:rsid w:val="0032450E"/>
    <w:rsid w:val="003245A0"/>
    <w:rsid w:val="003245A3"/>
    <w:rsid w:val="003245B5"/>
    <w:rsid w:val="003245E3"/>
    <w:rsid w:val="00324692"/>
    <w:rsid w:val="003246A7"/>
    <w:rsid w:val="003246AF"/>
    <w:rsid w:val="003246B5"/>
    <w:rsid w:val="003246E0"/>
    <w:rsid w:val="003247AF"/>
    <w:rsid w:val="003247B9"/>
    <w:rsid w:val="003247E1"/>
    <w:rsid w:val="00324810"/>
    <w:rsid w:val="00324857"/>
    <w:rsid w:val="0032486E"/>
    <w:rsid w:val="00324871"/>
    <w:rsid w:val="003248B6"/>
    <w:rsid w:val="00324930"/>
    <w:rsid w:val="00324A02"/>
    <w:rsid w:val="00324A07"/>
    <w:rsid w:val="00324A09"/>
    <w:rsid w:val="00324A7B"/>
    <w:rsid w:val="00324A93"/>
    <w:rsid w:val="00324AF6"/>
    <w:rsid w:val="00324B0D"/>
    <w:rsid w:val="00324B1E"/>
    <w:rsid w:val="00324B52"/>
    <w:rsid w:val="00324BB1"/>
    <w:rsid w:val="00324C47"/>
    <w:rsid w:val="00324C4C"/>
    <w:rsid w:val="00324C5A"/>
    <w:rsid w:val="00324C5E"/>
    <w:rsid w:val="00324C94"/>
    <w:rsid w:val="00324CAF"/>
    <w:rsid w:val="00324CCB"/>
    <w:rsid w:val="00324CF5"/>
    <w:rsid w:val="00324D13"/>
    <w:rsid w:val="00324D53"/>
    <w:rsid w:val="00324DC3"/>
    <w:rsid w:val="00324DCE"/>
    <w:rsid w:val="00324DDD"/>
    <w:rsid w:val="00324E2E"/>
    <w:rsid w:val="00324E5B"/>
    <w:rsid w:val="00324EEA"/>
    <w:rsid w:val="00324F77"/>
    <w:rsid w:val="00324F83"/>
    <w:rsid w:val="00324FCA"/>
    <w:rsid w:val="00325080"/>
    <w:rsid w:val="003250CF"/>
    <w:rsid w:val="003250ED"/>
    <w:rsid w:val="00325100"/>
    <w:rsid w:val="0032512C"/>
    <w:rsid w:val="003251B4"/>
    <w:rsid w:val="00325261"/>
    <w:rsid w:val="003252F1"/>
    <w:rsid w:val="003252FC"/>
    <w:rsid w:val="00325301"/>
    <w:rsid w:val="00325307"/>
    <w:rsid w:val="00325338"/>
    <w:rsid w:val="00325348"/>
    <w:rsid w:val="003253B1"/>
    <w:rsid w:val="003253B3"/>
    <w:rsid w:val="003253E3"/>
    <w:rsid w:val="0032542E"/>
    <w:rsid w:val="00325442"/>
    <w:rsid w:val="0032544B"/>
    <w:rsid w:val="00325456"/>
    <w:rsid w:val="00325465"/>
    <w:rsid w:val="003254FF"/>
    <w:rsid w:val="0032550C"/>
    <w:rsid w:val="00325514"/>
    <w:rsid w:val="0032551C"/>
    <w:rsid w:val="0032556F"/>
    <w:rsid w:val="0032558B"/>
    <w:rsid w:val="0032559C"/>
    <w:rsid w:val="003255CB"/>
    <w:rsid w:val="003255F1"/>
    <w:rsid w:val="00325612"/>
    <w:rsid w:val="00325685"/>
    <w:rsid w:val="0032569D"/>
    <w:rsid w:val="003257EE"/>
    <w:rsid w:val="00325800"/>
    <w:rsid w:val="003258AA"/>
    <w:rsid w:val="003258AD"/>
    <w:rsid w:val="003258B0"/>
    <w:rsid w:val="003258B6"/>
    <w:rsid w:val="003258C8"/>
    <w:rsid w:val="00325915"/>
    <w:rsid w:val="0032591D"/>
    <w:rsid w:val="00325952"/>
    <w:rsid w:val="00325968"/>
    <w:rsid w:val="00325996"/>
    <w:rsid w:val="003259F3"/>
    <w:rsid w:val="003259FA"/>
    <w:rsid w:val="00325A06"/>
    <w:rsid w:val="00325AA2"/>
    <w:rsid w:val="00325AA6"/>
    <w:rsid w:val="00325AAE"/>
    <w:rsid w:val="00325AED"/>
    <w:rsid w:val="00325B61"/>
    <w:rsid w:val="00325BA8"/>
    <w:rsid w:val="00325BEA"/>
    <w:rsid w:val="00325C5A"/>
    <w:rsid w:val="00325C85"/>
    <w:rsid w:val="00325C8D"/>
    <w:rsid w:val="00325C8E"/>
    <w:rsid w:val="00325CC1"/>
    <w:rsid w:val="00325D46"/>
    <w:rsid w:val="00325D75"/>
    <w:rsid w:val="00325DC5"/>
    <w:rsid w:val="00325DD8"/>
    <w:rsid w:val="00325DF7"/>
    <w:rsid w:val="00325E2F"/>
    <w:rsid w:val="00325E6E"/>
    <w:rsid w:val="00325EA5"/>
    <w:rsid w:val="00325EC2"/>
    <w:rsid w:val="00325EC6"/>
    <w:rsid w:val="00325EE4"/>
    <w:rsid w:val="00325EFB"/>
    <w:rsid w:val="00325F08"/>
    <w:rsid w:val="00325F2E"/>
    <w:rsid w:val="00325F4D"/>
    <w:rsid w:val="00325F54"/>
    <w:rsid w:val="00326073"/>
    <w:rsid w:val="003260F0"/>
    <w:rsid w:val="003261A4"/>
    <w:rsid w:val="003261F9"/>
    <w:rsid w:val="00326253"/>
    <w:rsid w:val="00326255"/>
    <w:rsid w:val="00326269"/>
    <w:rsid w:val="0032628A"/>
    <w:rsid w:val="003262A2"/>
    <w:rsid w:val="003262BF"/>
    <w:rsid w:val="003262D6"/>
    <w:rsid w:val="003262F9"/>
    <w:rsid w:val="00326435"/>
    <w:rsid w:val="0032645C"/>
    <w:rsid w:val="00326463"/>
    <w:rsid w:val="003264BF"/>
    <w:rsid w:val="003264CF"/>
    <w:rsid w:val="00326526"/>
    <w:rsid w:val="00326534"/>
    <w:rsid w:val="00326549"/>
    <w:rsid w:val="003265B7"/>
    <w:rsid w:val="003265C9"/>
    <w:rsid w:val="0032661E"/>
    <w:rsid w:val="0032665A"/>
    <w:rsid w:val="003266A8"/>
    <w:rsid w:val="003267B4"/>
    <w:rsid w:val="0032686F"/>
    <w:rsid w:val="0032689D"/>
    <w:rsid w:val="0032691F"/>
    <w:rsid w:val="00326942"/>
    <w:rsid w:val="00326967"/>
    <w:rsid w:val="003269A3"/>
    <w:rsid w:val="003269BD"/>
    <w:rsid w:val="003269E2"/>
    <w:rsid w:val="003269E3"/>
    <w:rsid w:val="00326A1D"/>
    <w:rsid w:val="00326A1F"/>
    <w:rsid w:val="00326A37"/>
    <w:rsid w:val="00326A5A"/>
    <w:rsid w:val="00326A74"/>
    <w:rsid w:val="00326A8B"/>
    <w:rsid w:val="00326AA9"/>
    <w:rsid w:val="00326ABD"/>
    <w:rsid w:val="00326AD0"/>
    <w:rsid w:val="00326B69"/>
    <w:rsid w:val="00326BB7"/>
    <w:rsid w:val="00326BBE"/>
    <w:rsid w:val="00326C28"/>
    <w:rsid w:val="00326C2D"/>
    <w:rsid w:val="00326C47"/>
    <w:rsid w:val="00326C55"/>
    <w:rsid w:val="00326C74"/>
    <w:rsid w:val="00326CA1"/>
    <w:rsid w:val="00326D08"/>
    <w:rsid w:val="00326D09"/>
    <w:rsid w:val="00326D27"/>
    <w:rsid w:val="00326E34"/>
    <w:rsid w:val="00326E96"/>
    <w:rsid w:val="00326ED3"/>
    <w:rsid w:val="00326F3E"/>
    <w:rsid w:val="00326F5C"/>
    <w:rsid w:val="00326F6D"/>
    <w:rsid w:val="00326F95"/>
    <w:rsid w:val="00326FC5"/>
    <w:rsid w:val="00326FDA"/>
    <w:rsid w:val="00326FF6"/>
    <w:rsid w:val="00327020"/>
    <w:rsid w:val="00327025"/>
    <w:rsid w:val="00327028"/>
    <w:rsid w:val="00327059"/>
    <w:rsid w:val="0032706C"/>
    <w:rsid w:val="003270C9"/>
    <w:rsid w:val="003270E6"/>
    <w:rsid w:val="003270F8"/>
    <w:rsid w:val="00327121"/>
    <w:rsid w:val="00327196"/>
    <w:rsid w:val="003271C7"/>
    <w:rsid w:val="003271F5"/>
    <w:rsid w:val="003271FB"/>
    <w:rsid w:val="00327297"/>
    <w:rsid w:val="003272C4"/>
    <w:rsid w:val="003272E5"/>
    <w:rsid w:val="00327321"/>
    <w:rsid w:val="00327358"/>
    <w:rsid w:val="00327392"/>
    <w:rsid w:val="003273C5"/>
    <w:rsid w:val="00327424"/>
    <w:rsid w:val="003274A6"/>
    <w:rsid w:val="00327542"/>
    <w:rsid w:val="003275DB"/>
    <w:rsid w:val="00327699"/>
    <w:rsid w:val="003276CA"/>
    <w:rsid w:val="003276D4"/>
    <w:rsid w:val="003276DA"/>
    <w:rsid w:val="003276DB"/>
    <w:rsid w:val="0032773F"/>
    <w:rsid w:val="00327795"/>
    <w:rsid w:val="003277CF"/>
    <w:rsid w:val="00327821"/>
    <w:rsid w:val="00327827"/>
    <w:rsid w:val="0032787F"/>
    <w:rsid w:val="00327908"/>
    <w:rsid w:val="0032794A"/>
    <w:rsid w:val="00327971"/>
    <w:rsid w:val="003279AF"/>
    <w:rsid w:val="003279D4"/>
    <w:rsid w:val="003279EF"/>
    <w:rsid w:val="00327AFB"/>
    <w:rsid w:val="00327B27"/>
    <w:rsid w:val="00327B5A"/>
    <w:rsid w:val="00327B61"/>
    <w:rsid w:val="00327B9E"/>
    <w:rsid w:val="00327BE8"/>
    <w:rsid w:val="00327BE9"/>
    <w:rsid w:val="00327C5A"/>
    <w:rsid w:val="00327C6B"/>
    <w:rsid w:val="00327D2C"/>
    <w:rsid w:val="00327E01"/>
    <w:rsid w:val="00327E32"/>
    <w:rsid w:val="00327E61"/>
    <w:rsid w:val="00327E6F"/>
    <w:rsid w:val="00327E75"/>
    <w:rsid w:val="00327E7A"/>
    <w:rsid w:val="00327E7E"/>
    <w:rsid w:val="00327E92"/>
    <w:rsid w:val="00327F86"/>
    <w:rsid w:val="00327FBB"/>
    <w:rsid w:val="00327FDC"/>
    <w:rsid w:val="0032E5C7"/>
    <w:rsid w:val="00330002"/>
    <w:rsid w:val="00330065"/>
    <w:rsid w:val="003300AA"/>
    <w:rsid w:val="00330108"/>
    <w:rsid w:val="0033012A"/>
    <w:rsid w:val="00330186"/>
    <w:rsid w:val="00330198"/>
    <w:rsid w:val="0033021D"/>
    <w:rsid w:val="00330234"/>
    <w:rsid w:val="00330260"/>
    <w:rsid w:val="00330286"/>
    <w:rsid w:val="003302FE"/>
    <w:rsid w:val="0033037A"/>
    <w:rsid w:val="003303A5"/>
    <w:rsid w:val="0033041B"/>
    <w:rsid w:val="0033043C"/>
    <w:rsid w:val="0033048D"/>
    <w:rsid w:val="003304C3"/>
    <w:rsid w:val="003304DA"/>
    <w:rsid w:val="0033051A"/>
    <w:rsid w:val="0033055E"/>
    <w:rsid w:val="00330579"/>
    <w:rsid w:val="003305D0"/>
    <w:rsid w:val="003305E3"/>
    <w:rsid w:val="003306C1"/>
    <w:rsid w:val="00330733"/>
    <w:rsid w:val="0033074C"/>
    <w:rsid w:val="0033084D"/>
    <w:rsid w:val="003308B7"/>
    <w:rsid w:val="00330933"/>
    <w:rsid w:val="00330966"/>
    <w:rsid w:val="0033096C"/>
    <w:rsid w:val="003309A3"/>
    <w:rsid w:val="003309E8"/>
    <w:rsid w:val="00330A19"/>
    <w:rsid w:val="00330A22"/>
    <w:rsid w:val="00330A45"/>
    <w:rsid w:val="00330A8A"/>
    <w:rsid w:val="00330ABA"/>
    <w:rsid w:val="00330B04"/>
    <w:rsid w:val="00330B0D"/>
    <w:rsid w:val="00330BAE"/>
    <w:rsid w:val="00330C2D"/>
    <w:rsid w:val="00330C99"/>
    <w:rsid w:val="00330CB4"/>
    <w:rsid w:val="00330CC3"/>
    <w:rsid w:val="00330D37"/>
    <w:rsid w:val="00330D3F"/>
    <w:rsid w:val="00330D6E"/>
    <w:rsid w:val="00330D89"/>
    <w:rsid w:val="00330DB4"/>
    <w:rsid w:val="00330DDE"/>
    <w:rsid w:val="00330EBC"/>
    <w:rsid w:val="00330F12"/>
    <w:rsid w:val="00330F5E"/>
    <w:rsid w:val="003310DA"/>
    <w:rsid w:val="0033116D"/>
    <w:rsid w:val="00331220"/>
    <w:rsid w:val="00331231"/>
    <w:rsid w:val="0033124B"/>
    <w:rsid w:val="00331276"/>
    <w:rsid w:val="003312C1"/>
    <w:rsid w:val="003312C6"/>
    <w:rsid w:val="003312CB"/>
    <w:rsid w:val="003312EE"/>
    <w:rsid w:val="003312F6"/>
    <w:rsid w:val="00331342"/>
    <w:rsid w:val="00331371"/>
    <w:rsid w:val="003313C6"/>
    <w:rsid w:val="0033140A"/>
    <w:rsid w:val="003314E3"/>
    <w:rsid w:val="00331544"/>
    <w:rsid w:val="003315A7"/>
    <w:rsid w:val="003315BB"/>
    <w:rsid w:val="00331639"/>
    <w:rsid w:val="00331675"/>
    <w:rsid w:val="00331676"/>
    <w:rsid w:val="0033167E"/>
    <w:rsid w:val="00331680"/>
    <w:rsid w:val="00331686"/>
    <w:rsid w:val="003316AF"/>
    <w:rsid w:val="003317AA"/>
    <w:rsid w:val="003317B5"/>
    <w:rsid w:val="0033180D"/>
    <w:rsid w:val="0033182C"/>
    <w:rsid w:val="00331881"/>
    <w:rsid w:val="0033189E"/>
    <w:rsid w:val="003318A4"/>
    <w:rsid w:val="00331A1E"/>
    <w:rsid w:val="00331A4C"/>
    <w:rsid w:val="00331A56"/>
    <w:rsid w:val="00331A58"/>
    <w:rsid w:val="00331A64"/>
    <w:rsid w:val="00331A90"/>
    <w:rsid w:val="00331AAC"/>
    <w:rsid w:val="00331ADF"/>
    <w:rsid w:val="00331AEA"/>
    <w:rsid w:val="00331B65"/>
    <w:rsid w:val="00331B78"/>
    <w:rsid w:val="00331C03"/>
    <w:rsid w:val="00331C9A"/>
    <w:rsid w:val="00331CFC"/>
    <w:rsid w:val="00331D4A"/>
    <w:rsid w:val="00331D60"/>
    <w:rsid w:val="00331D8E"/>
    <w:rsid w:val="00331E5E"/>
    <w:rsid w:val="00331E6F"/>
    <w:rsid w:val="00331EB3"/>
    <w:rsid w:val="00331F16"/>
    <w:rsid w:val="00331F2C"/>
    <w:rsid w:val="00331FB1"/>
    <w:rsid w:val="00331FCF"/>
    <w:rsid w:val="00331FFB"/>
    <w:rsid w:val="00332009"/>
    <w:rsid w:val="00332050"/>
    <w:rsid w:val="003320BD"/>
    <w:rsid w:val="003320CB"/>
    <w:rsid w:val="00332127"/>
    <w:rsid w:val="003321B6"/>
    <w:rsid w:val="003321FD"/>
    <w:rsid w:val="0033220C"/>
    <w:rsid w:val="00332239"/>
    <w:rsid w:val="0033226A"/>
    <w:rsid w:val="0033227A"/>
    <w:rsid w:val="003322B4"/>
    <w:rsid w:val="003322D7"/>
    <w:rsid w:val="003322E0"/>
    <w:rsid w:val="00332380"/>
    <w:rsid w:val="00332410"/>
    <w:rsid w:val="00332416"/>
    <w:rsid w:val="0033241D"/>
    <w:rsid w:val="00332434"/>
    <w:rsid w:val="00332440"/>
    <w:rsid w:val="00332454"/>
    <w:rsid w:val="00332484"/>
    <w:rsid w:val="00332494"/>
    <w:rsid w:val="003324D5"/>
    <w:rsid w:val="00332538"/>
    <w:rsid w:val="00332569"/>
    <w:rsid w:val="0033259D"/>
    <w:rsid w:val="003325AE"/>
    <w:rsid w:val="003325BE"/>
    <w:rsid w:val="003325E9"/>
    <w:rsid w:val="00332618"/>
    <w:rsid w:val="0033265F"/>
    <w:rsid w:val="003326AF"/>
    <w:rsid w:val="003326C0"/>
    <w:rsid w:val="003326CF"/>
    <w:rsid w:val="00332739"/>
    <w:rsid w:val="00332773"/>
    <w:rsid w:val="00332774"/>
    <w:rsid w:val="003327ED"/>
    <w:rsid w:val="003327F6"/>
    <w:rsid w:val="00332906"/>
    <w:rsid w:val="0033291B"/>
    <w:rsid w:val="00332959"/>
    <w:rsid w:val="00332976"/>
    <w:rsid w:val="00332980"/>
    <w:rsid w:val="00332991"/>
    <w:rsid w:val="003329A9"/>
    <w:rsid w:val="00332A1F"/>
    <w:rsid w:val="00332A32"/>
    <w:rsid w:val="00332AAA"/>
    <w:rsid w:val="00332AE3"/>
    <w:rsid w:val="00332B39"/>
    <w:rsid w:val="00332C29"/>
    <w:rsid w:val="00332C4D"/>
    <w:rsid w:val="00332C8B"/>
    <w:rsid w:val="00332C9D"/>
    <w:rsid w:val="00332CD3"/>
    <w:rsid w:val="00332CEE"/>
    <w:rsid w:val="00332D06"/>
    <w:rsid w:val="00332D36"/>
    <w:rsid w:val="00332D91"/>
    <w:rsid w:val="00332DB5"/>
    <w:rsid w:val="00332DBF"/>
    <w:rsid w:val="00332E14"/>
    <w:rsid w:val="00332E31"/>
    <w:rsid w:val="00332E53"/>
    <w:rsid w:val="00332E9D"/>
    <w:rsid w:val="00332E9E"/>
    <w:rsid w:val="00332EF3"/>
    <w:rsid w:val="00332F16"/>
    <w:rsid w:val="00332F71"/>
    <w:rsid w:val="00332F95"/>
    <w:rsid w:val="00333038"/>
    <w:rsid w:val="00333044"/>
    <w:rsid w:val="0033305B"/>
    <w:rsid w:val="003330D2"/>
    <w:rsid w:val="00333107"/>
    <w:rsid w:val="0033313C"/>
    <w:rsid w:val="0033316E"/>
    <w:rsid w:val="00333172"/>
    <w:rsid w:val="003332A1"/>
    <w:rsid w:val="003332BF"/>
    <w:rsid w:val="00333325"/>
    <w:rsid w:val="0033339D"/>
    <w:rsid w:val="003333DE"/>
    <w:rsid w:val="003334B8"/>
    <w:rsid w:val="0033351E"/>
    <w:rsid w:val="00333575"/>
    <w:rsid w:val="00333584"/>
    <w:rsid w:val="003335B2"/>
    <w:rsid w:val="003335C6"/>
    <w:rsid w:val="00333610"/>
    <w:rsid w:val="003336B3"/>
    <w:rsid w:val="003336D3"/>
    <w:rsid w:val="00333733"/>
    <w:rsid w:val="0033376F"/>
    <w:rsid w:val="003337A6"/>
    <w:rsid w:val="003337BE"/>
    <w:rsid w:val="003337DB"/>
    <w:rsid w:val="003337FD"/>
    <w:rsid w:val="0033383B"/>
    <w:rsid w:val="0033383C"/>
    <w:rsid w:val="0033385C"/>
    <w:rsid w:val="00333893"/>
    <w:rsid w:val="003338E6"/>
    <w:rsid w:val="003338F8"/>
    <w:rsid w:val="00333995"/>
    <w:rsid w:val="00333998"/>
    <w:rsid w:val="003339AC"/>
    <w:rsid w:val="003339CF"/>
    <w:rsid w:val="00333A58"/>
    <w:rsid w:val="00333A70"/>
    <w:rsid w:val="00333AAF"/>
    <w:rsid w:val="00333AC1"/>
    <w:rsid w:val="00333B2F"/>
    <w:rsid w:val="00333B40"/>
    <w:rsid w:val="00333B4D"/>
    <w:rsid w:val="00333BAF"/>
    <w:rsid w:val="00333BC1"/>
    <w:rsid w:val="00333C03"/>
    <w:rsid w:val="00333C1E"/>
    <w:rsid w:val="00333C20"/>
    <w:rsid w:val="00333C87"/>
    <w:rsid w:val="00333CF6"/>
    <w:rsid w:val="00333D02"/>
    <w:rsid w:val="00333D1B"/>
    <w:rsid w:val="00333D91"/>
    <w:rsid w:val="00333DAC"/>
    <w:rsid w:val="00333DF0"/>
    <w:rsid w:val="00333E56"/>
    <w:rsid w:val="00333E7C"/>
    <w:rsid w:val="00333ECB"/>
    <w:rsid w:val="00333FEB"/>
    <w:rsid w:val="00333FFE"/>
    <w:rsid w:val="00334019"/>
    <w:rsid w:val="0033405A"/>
    <w:rsid w:val="0033406E"/>
    <w:rsid w:val="00334073"/>
    <w:rsid w:val="003340AC"/>
    <w:rsid w:val="003341CD"/>
    <w:rsid w:val="003341DA"/>
    <w:rsid w:val="003341EC"/>
    <w:rsid w:val="003341FB"/>
    <w:rsid w:val="0033429E"/>
    <w:rsid w:val="0033430D"/>
    <w:rsid w:val="0033432E"/>
    <w:rsid w:val="00334334"/>
    <w:rsid w:val="00334367"/>
    <w:rsid w:val="00334392"/>
    <w:rsid w:val="003343A3"/>
    <w:rsid w:val="003343D7"/>
    <w:rsid w:val="00334445"/>
    <w:rsid w:val="0033446E"/>
    <w:rsid w:val="00334491"/>
    <w:rsid w:val="003344F8"/>
    <w:rsid w:val="00334530"/>
    <w:rsid w:val="003345CA"/>
    <w:rsid w:val="00334662"/>
    <w:rsid w:val="00334676"/>
    <w:rsid w:val="003346BD"/>
    <w:rsid w:val="0033472B"/>
    <w:rsid w:val="00334733"/>
    <w:rsid w:val="003347CA"/>
    <w:rsid w:val="003347F7"/>
    <w:rsid w:val="003347FC"/>
    <w:rsid w:val="00334804"/>
    <w:rsid w:val="0033484B"/>
    <w:rsid w:val="0033485B"/>
    <w:rsid w:val="0033485C"/>
    <w:rsid w:val="00334882"/>
    <w:rsid w:val="003348EE"/>
    <w:rsid w:val="00334903"/>
    <w:rsid w:val="003349D5"/>
    <w:rsid w:val="00334A1B"/>
    <w:rsid w:val="00334A5B"/>
    <w:rsid w:val="00334ABC"/>
    <w:rsid w:val="00334AC6"/>
    <w:rsid w:val="00334B0E"/>
    <w:rsid w:val="00334B15"/>
    <w:rsid w:val="00334B1D"/>
    <w:rsid w:val="00334BAB"/>
    <w:rsid w:val="00334BC2"/>
    <w:rsid w:val="00334BF6"/>
    <w:rsid w:val="00334C26"/>
    <w:rsid w:val="00334C2B"/>
    <w:rsid w:val="00334C5A"/>
    <w:rsid w:val="00334C9C"/>
    <w:rsid w:val="00334CC5"/>
    <w:rsid w:val="00334D2B"/>
    <w:rsid w:val="00334DDC"/>
    <w:rsid w:val="00334E5B"/>
    <w:rsid w:val="00334EC1"/>
    <w:rsid w:val="00334F0C"/>
    <w:rsid w:val="00334F5E"/>
    <w:rsid w:val="00334FC8"/>
    <w:rsid w:val="00334FF0"/>
    <w:rsid w:val="0033500D"/>
    <w:rsid w:val="0033501B"/>
    <w:rsid w:val="0033502E"/>
    <w:rsid w:val="00335046"/>
    <w:rsid w:val="00335085"/>
    <w:rsid w:val="00335086"/>
    <w:rsid w:val="0033508C"/>
    <w:rsid w:val="003350C3"/>
    <w:rsid w:val="003350CD"/>
    <w:rsid w:val="0033518D"/>
    <w:rsid w:val="003351A5"/>
    <w:rsid w:val="003351B4"/>
    <w:rsid w:val="0033527A"/>
    <w:rsid w:val="003352CD"/>
    <w:rsid w:val="00335319"/>
    <w:rsid w:val="00335320"/>
    <w:rsid w:val="0033533A"/>
    <w:rsid w:val="0033534D"/>
    <w:rsid w:val="0033536E"/>
    <w:rsid w:val="00335375"/>
    <w:rsid w:val="0033538A"/>
    <w:rsid w:val="00335396"/>
    <w:rsid w:val="0033542D"/>
    <w:rsid w:val="0033544F"/>
    <w:rsid w:val="00335455"/>
    <w:rsid w:val="00335465"/>
    <w:rsid w:val="003354E2"/>
    <w:rsid w:val="0033550B"/>
    <w:rsid w:val="00335656"/>
    <w:rsid w:val="0033571E"/>
    <w:rsid w:val="0033574F"/>
    <w:rsid w:val="00335791"/>
    <w:rsid w:val="00335793"/>
    <w:rsid w:val="003357AB"/>
    <w:rsid w:val="003357DA"/>
    <w:rsid w:val="00335804"/>
    <w:rsid w:val="00335868"/>
    <w:rsid w:val="003358D6"/>
    <w:rsid w:val="0033599F"/>
    <w:rsid w:val="00335A4B"/>
    <w:rsid w:val="00335A6F"/>
    <w:rsid w:val="00335AB6"/>
    <w:rsid w:val="00335B04"/>
    <w:rsid w:val="00335B0A"/>
    <w:rsid w:val="00335B70"/>
    <w:rsid w:val="00335B84"/>
    <w:rsid w:val="00335B9C"/>
    <w:rsid w:val="00335BDD"/>
    <w:rsid w:val="00335BFF"/>
    <w:rsid w:val="00335C10"/>
    <w:rsid w:val="00335C18"/>
    <w:rsid w:val="00335C42"/>
    <w:rsid w:val="00335C56"/>
    <w:rsid w:val="00335C58"/>
    <w:rsid w:val="00335CD3"/>
    <w:rsid w:val="00335D0C"/>
    <w:rsid w:val="00335D21"/>
    <w:rsid w:val="00335D23"/>
    <w:rsid w:val="00335D28"/>
    <w:rsid w:val="00335D54"/>
    <w:rsid w:val="00335D76"/>
    <w:rsid w:val="00335DD1"/>
    <w:rsid w:val="00335DDA"/>
    <w:rsid w:val="00335DE4"/>
    <w:rsid w:val="00335E6E"/>
    <w:rsid w:val="00335E75"/>
    <w:rsid w:val="00335E78"/>
    <w:rsid w:val="00335EC7"/>
    <w:rsid w:val="00335F1F"/>
    <w:rsid w:val="00335F48"/>
    <w:rsid w:val="00335F5F"/>
    <w:rsid w:val="00336037"/>
    <w:rsid w:val="00336098"/>
    <w:rsid w:val="003360AC"/>
    <w:rsid w:val="003360D6"/>
    <w:rsid w:val="00336159"/>
    <w:rsid w:val="003361C4"/>
    <w:rsid w:val="003361D4"/>
    <w:rsid w:val="0033628D"/>
    <w:rsid w:val="003362C9"/>
    <w:rsid w:val="0033632B"/>
    <w:rsid w:val="00336342"/>
    <w:rsid w:val="0033634C"/>
    <w:rsid w:val="003363BF"/>
    <w:rsid w:val="003363C2"/>
    <w:rsid w:val="0033640D"/>
    <w:rsid w:val="00336419"/>
    <w:rsid w:val="0033641F"/>
    <w:rsid w:val="0033644E"/>
    <w:rsid w:val="00336456"/>
    <w:rsid w:val="00336502"/>
    <w:rsid w:val="00336509"/>
    <w:rsid w:val="00336529"/>
    <w:rsid w:val="00336592"/>
    <w:rsid w:val="00336593"/>
    <w:rsid w:val="003365B5"/>
    <w:rsid w:val="003365F8"/>
    <w:rsid w:val="003365FC"/>
    <w:rsid w:val="00336625"/>
    <w:rsid w:val="00336664"/>
    <w:rsid w:val="003366DE"/>
    <w:rsid w:val="003366E9"/>
    <w:rsid w:val="0033673B"/>
    <w:rsid w:val="0033674E"/>
    <w:rsid w:val="00336791"/>
    <w:rsid w:val="003367F1"/>
    <w:rsid w:val="003367F7"/>
    <w:rsid w:val="003368A2"/>
    <w:rsid w:val="003368FC"/>
    <w:rsid w:val="0033695E"/>
    <w:rsid w:val="00336994"/>
    <w:rsid w:val="0033699A"/>
    <w:rsid w:val="003369BA"/>
    <w:rsid w:val="00336A0D"/>
    <w:rsid w:val="00336A61"/>
    <w:rsid w:val="00336A92"/>
    <w:rsid w:val="00336AE0"/>
    <w:rsid w:val="00336AF2"/>
    <w:rsid w:val="00336B68"/>
    <w:rsid w:val="00336BAC"/>
    <w:rsid w:val="00336BC5"/>
    <w:rsid w:val="00336C35"/>
    <w:rsid w:val="00336CB8"/>
    <w:rsid w:val="00336D4B"/>
    <w:rsid w:val="00336D65"/>
    <w:rsid w:val="00336D9D"/>
    <w:rsid w:val="00336DE2"/>
    <w:rsid w:val="00336E1B"/>
    <w:rsid w:val="00336ED7"/>
    <w:rsid w:val="00336EFA"/>
    <w:rsid w:val="00336F6A"/>
    <w:rsid w:val="00336F7F"/>
    <w:rsid w:val="00336FC4"/>
    <w:rsid w:val="00337028"/>
    <w:rsid w:val="00337052"/>
    <w:rsid w:val="00337062"/>
    <w:rsid w:val="00337077"/>
    <w:rsid w:val="003370B1"/>
    <w:rsid w:val="003370E3"/>
    <w:rsid w:val="00337118"/>
    <w:rsid w:val="00337128"/>
    <w:rsid w:val="00337180"/>
    <w:rsid w:val="003371F1"/>
    <w:rsid w:val="00337208"/>
    <w:rsid w:val="0033720E"/>
    <w:rsid w:val="00337223"/>
    <w:rsid w:val="0033728D"/>
    <w:rsid w:val="003372AC"/>
    <w:rsid w:val="003372B0"/>
    <w:rsid w:val="003372D2"/>
    <w:rsid w:val="0033731A"/>
    <w:rsid w:val="0033738A"/>
    <w:rsid w:val="003373B3"/>
    <w:rsid w:val="003373D1"/>
    <w:rsid w:val="003373DD"/>
    <w:rsid w:val="0033741E"/>
    <w:rsid w:val="00337420"/>
    <w:rsid w:val="00337459"/>
    <w:rsid w:val="0033747E"/>
    <w:rsid w:val="00337502"/>
    <w:rsid w:val="0033758A"/>
    <w:rsid w:val="00337625"/>
    <w:rsid w:val="00337644"/>
    <w:rsid w:val="00337673"/>
    <w:rsid w:val="003376BC"/>
    <w:rsid w:val="003376D3"/>
    <w:rsid w:val="003377AD"/>
    <w:rsid w:val="003377D9"/>
    <w:rsid w:val="0033782E"/>
    <w:rsid w:val="00337861"/>
    <w:rsid w:val="003378CE"/>
    <w:rsid w:val="0033791B"/>
    <w:rsid w:val="0033795F"/>
    <w:rsid w:val="0033796C"/>
    <w:rsid w:val="0033799F"/>
    <w:rsid w:val="003379AA"/>
    <w:rsid w:val="003379F2"/>
    <w:rsid w:val="00337A02"/>
    <w:rsid w:val="00337A06"/>
    <w:rsid w:val="00337A68"/>
    <w:rsid w:val="00337A88"/>
    <w:rsid w:val="00337A92"/>
    <w:rsid w:val="00337AEB"/>
    <w:rsid w:val="00337AEE"/>
    <w:rsid w:val="00337B27"/>
    <w:rsid w:val="00337B5B"/>
    <w:rsid w:val="00337BAA"/>
    <w:rsid w:val="00337BDB"/>
    <w:rsid w:val="00337C2E"/>
    <w:rsid w:val="00337C9C"/>
    <w:rsid w:val="00337D4D"/>
    <w:rsid w:val="00337D9A"/>
    <w:rsid w:val="00337DF1"/>
    <w:rsid w:val="00337E2D"/>
    <w:rsid w:val="00337E5F"/>
    <w:rsid w:val="00337E7E"/>
    <w:rsid w:val="00337ECE"/>
    <w:rsid w:val="00337F03"/>
    <w:rsid w:val="00337F96"/>
    <w:rsid w:val="00337FAF"/>
    <w:rsid w:val="00337FC8"/>
    <w:rsid w:val="00337FFC"/>
    <w:rsid w:val="0034004E"/>
    <w:rsid w:val="003401B2"/>
    <w:rsid w:val="003401FB"/>
    <w:rsid w:val="0034025E"/>
    <w:rsid w:val="00340292"/>
    <w:rsid w:val="003402E2"/>
    <w:rsid w:val="003402F8"/>
    <w:rsid w:val="0034031C"/>
    <w:rsid w:val="0034032C"/>
    <w:rsid w:val="003403CD"/>
    <w:rsid w:val="00340456"/>
    <w:rsid w:val="0034045A"/>
    <w:rsid w:val="003404AD"/>
    <w:rsid w:val="00340556"/>
    <w:rsid w:val="0034059C"/>
    <w:rsid w:val="003405A3"/>
    <w:rsid w:val="003405BF"/>
    <w:rsid w:val="0034062B"/>
    <w:rsid w:val="00340644"/>
    <w:rsid w:val="0034065F"/>
    <w:rsid w:val="00340674"/>
    <w:rsid w:val="0034078E"/>
    <w:rsid w:val="00340795"/>
    <w:rsid w:val="003407C4"/>
    <w:rsid w:val="00340829"/>
    <w:rsid w:val="00340841"/>
    <w:rsid w:val="00340885"/>
    <w:rsid w:val="0034088E"/>
    <w:rsid w:val="00340905"/>
    <w:rsid w:val="0034091F"/>
    <w:rsid w:val="00340934"/>
    <w:rsid w:val="00340975"/>
    <w:rsid w:val="0034097A"/>
    <w:rsid w:val="0034097E"/>
    <w:rsid w:val="00340997"/>
    <w:rsid w:val="003409A0"/>
    <w:rsid w:val="003409AC"/>
    <w:rsid w:val="003409C2"/>
    <w:rsid w:val="003409E9"/>
    <w:rsid w:val="003409EB"/>
    <w:rsid w:val="00340A37"/>
    <w:rsid w:val="00340A3B"/>
    <w:rsid w:val="00340A3C"/>
    <w:rsid w:val="00340A65"/>
    <w:rsid w:val="00340AC5"/>
    <w:rsid w:val="00340B15"/>
    <w:rsid w:val="00340B42"/>
    <w:rsid w:val="00340B7C"/>
    <w:rsid w:val="00340BC4"/>
    <w:rsid w:val="00340BFF"/>
    <w:rsid w:val="00340C58"/>
    <w:rsid w:val="00340CB1"/>
    <w:rsid w:val="00340CEE"/>
    <w:rsid w:val="00340CF0"/>
    <w:rsid w:val="00340D51"/>
    <w:rsid w:val="00340D60"/>
    <w:rsid w:val="00340D72"/>
    <w:rsid w:val="00340D94"/>
    <w:rsid w:val="00340E24"/>
    <w:rsid w:val="00340E4A"/>
    <w:rsid w:val="00340E93"/>
    <w:rsid w:val="00340EC7"/>
    <w:rsid w:val="00340F23"/>
    <w:rsid w:val="00340F6B"/>
    <w:rsid w:val="00340F95"/>
    <w:rsid w:val="00340FA7"/>
    <w:rsid w:val="0034101B"/>
    <w:rsid w:val="00341023"/>
    <w:rsid w:val="00341054"/>
    <w:rsid w:val="003410E7"/>
    <w:rsid w:val="0034110D"/>
    <w:rsid w:val="0034113F"/>
    <w:rsid w:val="00341158"/>
    <w:rsid w:val="00341196"/>
    <w:rsid w:val="003411C6"/>
    <w:rsid w:val="003411CE"/>
    <w:rsid w:val="003411E7"/>
    <w:rsid w:val="0034121D"/>
    <w:rsid w:val="00341257"/>
    <w:rsid w:val="0034129E"/>
    <w:rsid w:val="0034130F"/>
    <w:rsid w:val="0034135A"/>
    <w:rsid w:val="0034139C"/>
    <w:rsid w:val="00341420"/>
    <w:rsid w:val="00341441"/>
    <w:rsid w:val="003414AE"/>
    <w:rsid w:val="003414BD"/>
    <w:rsid w:val="003414F4"/>
    <w:rsid w:val="00341515"/>
    <w:rsid w:val="0034155F"/>
    <w:rsid w:val="00341563"/>
    <w:rsid w:val="00341599"/>
    <w:rsid w:val="003415B4"/>
    <w:rsid w:val="003415E9"/>
    <w:rsid w:val="003415F5"/>
    <w:rsid w:val="00341675"/>
    <w:rsid w:val="0034168D"/>
    <w:rsid w:val="003416E2"/>
    <w:rsid w:val="003416EB"/>
    <w:rsid w:val="00341702"/>
    <w:rsid w:val="00341739"/>
    <w:rsid w:val="003417CA"/>
    <w:rsid w:val="003417CD"/>
    <w:rsid w:val="003417D6"/>
    <w:rsid w:val="0034183C"/>
    <w:rsid w:val="0034186E"/>
    <w:rsid w:val="00341880"/>
    <w:rsid w:val="0034188A"/>
    <w:rsid w:val="003418D5"/>
    <w:rsid w:val="0034193A"/>
    <w:rsid w:val="00341985"/>
    <w:rsid w:val="00341986"/>
    <w:rsid w:val="0034198B"/>
    <w:rsid w:val="003419A8"/>
    <w:rsid w:val="00341A3B"/>
    <w:rsid w:val="00341A6A"/>
    <w:rsid w:val="00341A6D"/>
    <w:rsid w:val="00341ABB"/>
    <w:rsid w:val="00341B2E"/>
    <w:rsid w:val="00341B5B"/>
    <w:rsid w:val="00341B62"/>
    <w:rsid w:val="00341B7E"/>
    <w:rsid w:val="00341BBA"/>
    <w:rsid w:val="00341C1F"/>
    <w:rsid w:val="00341CB4"/>
    <w:rsid w:val="00341D03"/>
    <w:rsid w:val="00341D57"/>
    <w:rsid w:val="00341D77"/>
    <w:rsid w:val="00341DFB"/>
    <w:rsid w:val="00341E26"/>
    <w:rsid w:val="00341E28"/>
    <w:rsid w:val="00341E3E"/>
    <w:rsid w:val="00341E4F"/>
    <w:rsid w:val="00341E66"/>
    <w:rsid w:val="00341EB1"/>
    <w:rsid w:val="00341ED9"/>
    <w:rsid w:val="00341EF6"/>
    <w:rsid w:val="00341EF9"/>
    <w:rsid w:val="00341F03"/>
    <w:rsid w:val="00341F47"/>
    <w:rsid w:val="00341F67"/>
    <w:rsid w:val="00341F70"/>
    <w:rsid w:val="00341F80"/>
    <w:rsid w:val="00341FF6"/>
    <w:rsid w:val="00342001"/>
    <w:rsid w:val="00342055"/>
    <w:rsid w:val="00342092"/>
    <w:rsid w:val="00342098"/>
    <w:rsid w:val="003420D4"/>
    <w:rsid w:val="00342130"/>
    <w:rsid w:val="00342138"/>
    <w:rsid w:val="0034213A"/>
    <w:rsid w:val="00342162"/>
    <w:rsid w:val="003421AE"/>
    <w:rsid w:val="003421B1"/>
    <w:rsid w:val="003421CB"/>
    <w:rsid w:val="003421EB"/>
    <w:rsid w:val="0034220D"/>
    <w:rsid w:val="0034221E"/>
    <w:rsid w:val="00342239"/>
    <w:rsid w:val="0034224E"/>
    <w:rsid w:val="003422A1"/>
    <w:rsid w:val="003422E5"/>
    <w:rsid w:val="00342319"/>
    <w:rsid w:val="0034231E"/>
    <w:rsid w:val="003423B9"/>
    <w:rsid w:val="003423E2"/>
    <w:rsid w:val="00342479"/>
    <w:rsid w:val="00342497"/>
    <w:rsid w:val="003424D1"/>
    <w:rsid w:val="00342501"/>
    <w:rsid w:val="0034269C"/>
    <w:rsid w:val="003426DB"/>
    <w:rsid w:val="003426F2"/>
    <w:rsid w:val="00342774"/>
    <w:rsid w:val="00342780"/>
    <w:rsid w:val="00342785"/>
    <w:rsid w:val="003427BC"/>
    <w:rsid w:val="00342835"/>
    <w:rsid w:val="00342881"/>
    <w:rsid w:val="0034289E"/>
    <w:rsid w:val="003429A4"/>
    <w:rsid w:val="00342A24"/>
    <w:rsid w:val="00342A34"/>
    <w:rsid w:val="00342A6B"/>
    <w:rsid w:val="00342ACE"/>
    <w:rsid w:val="00342BC6"/>
    <w:rsid w:val="00342BC8"/>
    <w:rsid w:val="00342BCB"/>
    <w:rsid w:val="00342C1A"/>
    <w:rsid w:val="00342C87"/>
    <w:rsid w:val="00342CE0"/>
    <w:rsid w:val="00342D0C"/>
    <w:rsid w:val="00342D17"/>
    <w:rsid w:val="00342D43"/>
    <w:rsid w:val="00342E60"/>
    <w:rsid w:val="00342E98"/>
    <w:rsid w:val="00342EF3"/>
    <w:rsid w:val="00342F2F"/>
    <w:rsid w:val="00342F4B"/>
    <w:rsid w:val="00342F6A"/>
    <w:rsid w:val="00342F96"/>
    <w:rsid w:val="00342FDD"/>
    <w:rsid w:val="0034301F"/>
    <w:rsid w:val="00343027"/>
    <w:rsid w:val="0034303E"/>
    <w:rsid w:val="003430A8"/>
    <w:rsid w:val="0034311B"/>
    <w:rsid w:val="00343129"/>
    <w:rsid w:val="0034313E"/>
    <w:rsid w:val="00343214"/>
    <w:rsid w:val="00343226"/>
    <w:rsid w:val="0034326A"/>
    <w:rsid w:val="0034327E"/>
    <w:rsid w:val="003432A6"/>
    <w:rsid w:val="003432C8"/>
    <w:rsid w:val="00343301"/>
    <w:rsid w:val="00343326"/>
    <w:rsid w:val="0034334B"/>
    <w:rsid w:val="00343373"/>
    <w:rsid w:val="003433A1"/>
    <w:rsid w:val="003433A4"/>
    <w:rsid w:val="003433A7"/>
    <w:rsid w:val="0034345E"/>
    <w:rsid w:val="00343484"/>
    <w:rsid w:val="003434B0"/>
    <w:rsid w:val="00343502"/>
    <w:rsid w:val="0034352F"/>
    <w:rsid w:val="0034354F"/>
    <w:rsid w:val="00343597"/>
    <w:rsid w:val="003435ED"/>
    <w:rsid w:val="003435FD"/>
    <w:rsid w:val="0034360A"/>
    <w:rsid w:val="0034364A"/>
    <w:rsid w:val="003436A6"/>
    <w:rsid w:val="0034373D"/>
    <w:rsid w:val="00343815"/>
    <w:rsid w:val="00343879"/>
    <w:rsid w:val="003438CD"/>
    <w:rsid w:val="00343901"/>
    <w:rsid w:val="00343904"/>
    <w:rsid w:val="00343919"/>
    <w:rsid w:val="00343989"/>
    <w:rsid w:val="003439B5"/>
    <w:rsid w:val="003439E1"/>
    <w:rsid w:val="00343A13"/>
    <w:rsid w:val="00343A48"/>
    <w:rsid w:val="00343AF1"/>
    <w:rsid w:val="00343B37"/>
    <w:rsid w:val="00343B65"/>
    <w:rsid w:val="00343B68"/>
    <w:rsid w:val="00343B75"/>
    <w:rsid w:val="00343BAB"/>
    <w:rsid w:val="00343BB6"/>
    <w:rsid w:val="00343C39"/>
    <w:rsid w:val="00343C9B"/>
    <w:rsid w:val="00343D46"/>
    <w:rsid w:val="00343D9D"/>
    <w:rsid w:val="00343DC2"/>
    <w:rsid w:val="00343DD8"/>
    <w:rsid w:val="00343DDA"/>
    <w:rsid w:val="00343E0A"/>
    <w:rsid w:val="00343E11"/>
    <w:rsid w:val="00343E28"/>
    <w:rsid w:val="00343E2E"/>
    <w:rsid w:val="00343F31"/>
    <w:rsid w:val="00343F5E"/>
    <w:rsid w:val="00343F61"/>
    <w:rsid w:val="00343F70"/>
    <w:rsid w:val="00343FBE"/>
    <w:rsid w:val="00343FC4"/>
    <w:rsid w:val="00344022"/>
    <w:rsid w:val="00344047"/>
    <w:rsid w:val="0034409A"/>
    <w:rsid w:val="003440E6"/>
    <w:rsid w:val="0034410F"/>
    <w:rsid w:val="00344189"/>
    <w:rsid w:val="00344193"/>
    <w:rsid w:val="0034420B"/>
    <w:rsid w:val="0034427A"/>
    <w:rsid w:val="00344281"/>
    <w:rsid w:val="003442C6"/>
    <w:rsid w:val="003442E9"/>
    <w:rsid w:val="00344381"/>
    <w:rsid w:val="00344385"/>
    <w:rsid w:val="003443A3"/>
    <w:rsid w:val="003443BF"/>
    <w:rsid w:val="003443DE"/>
    <w:rsid w:val="00344418"/>
    <w:rsid w:val="0034442E"/>
    <w:rsid w:val="00344440"/>
    <w:rsid w:val="00344471"/>
    <w:rsid w:val="003444C8"/>
    <w:rsid w:val="003445AA"/>
    <w:rsid w:val="003445B9"/>
    <w:rsid w:val="003446B6"/>
    <w:rsid w:val="003446EC"/>
    <w:rsid w:val="00344741"/>
    <w:rsid w:val="0034475C"/>
    <w:rsid w:val="0034480A"/>
    <w:rsid w:val="00344851"/>
    <w:rsid w:val="00344866"/>
    <w:rsid w:val="0034488A"/>
    <w:rsid w:val="003448E2"/>
    <w:rsid w:val="003449B4"/>
    <w:rsid w:val="003449BA"/>
    <w:rsid w:val="00344A12"/>
    <w:rsid w:val="00344A99"/>
    <w:rsid w:val="00344AA1"/>
    <w:rsid w:val="00344AF4"/>
    <w:rsid w:val="00344B15"/>
    <w:rsid w:val="00344B37"/>
    <w:rsid w:val="00344B45"/>
    <w:rsid w:val="00344B65"/>
    <w:rsid w:val="00344B69"/>
    <w:rsid w:val="00344B6D"/>
    <w:rsid w:val="00344B70"/>
    <w:rsid w:val="00344B95"/>
    <w:rsid w:val="00344C1E"/>
    <w:rsid w:val="00344C24"/>
    <w:rsid w:val="00344C44"/>
    <w:rsid w:val="00344C61"/>
    <w:rsid w:val="00344C68"/>
    <w:rsid w:val="00344CA4"/>
    <w:rsid w:val="00344CD8"/>
    <w:rsid w:val="00344D0E"/>
    <w:rsid w:val="00344D2D"/>
    <w:rsid w:val="00344D30"/>
    <w:rsid w:val="00344D7B"/>
    <w:rsid w:val="00344D83"/>
    <w:rsid w:val="00344DA6"/>
    <w:rsid w:val="00344DE6"/>
    <w:rsid w:val="00344DEE"/>
    <w:rsid w:val="00344E07"/>
    <w:rsid w:val="00344E0B"/>
    <w:rsid w:val="00344E79"/>
    <w:rsid w:val="00344E94"/>
    <w:rsid w:val="00344EC8"/>
    <w:rsid w:val="00344F53"/>
    <w:rsid w:val="00344FF0"/>
    <w:rsid w:val="00345014"/>
    <w:rsid w:val="0034501F"/>
    <w:rsid w:val="00345063"/>
    <w:rsid w:val="0034508E"/>
    <w:rsid w:val="003450EF"/>
    <w:rsid w:val="00345107"/>
    <w:rsid w:val="00345132"/>
    <w:rsid w:val="00345181"/>
    <w:rsid w:val="00345194"/>
    <w:rsid w:val="00345196"/>
    <w:rsid w:val="003451DB"/>
    <w:rsid w:val="003451EE"/>
    <w:rsid w:val="00345216"/>
    <w:rsid w:val="0034529D"/>
    <w:rsid w:val="003452D6"/>
    <w:rsid w:val="003452D8"/>
    <w:rsid w:val="003452FE"/>
    <w:rsid w:val="00345302"/>
    <w:rsid w:val="00345337"/>
    <w:rsid w:val="00345379"/>
    <w:rsid w:val="00345394"/>
    <w:rsid w:val="003453C8"/>
    <w:rsid w:val="00345445"/>
    <w:rsid w:val="00345451"/>
    <w:rsid w:val="00345500"/>
    <w:rsid w:val="0034554A"/>
    <w:rsid w:val="0034556B"/>
    <w:rsid w:val="003455BD"/>
    <w:rsid w:val="003455C4"/>
    <w:rsid w:val="003455D8"/>
    <w:rsid w:val="0034562D"/>
    <w:rsid w:val="00345686"/>
    <w:rsid w:val="0034570F"/>
    <w:rsid w:val="0034573A"/>
    <w:rsid w:val="00345755"/>
    <w:rsid w:val="00345779"/>
    <w:rsid w:val="0034578E"/>
    <w:rsid w:val="003457A2"/>
    <w:rsid w:val="003457BC"/>
    <w:rsid w:val="003457D7"/>
    <w:rsid w:val="00345823"/>
    <w:rsid w:val="00345854"/>
    <w:rsid w:val="003458C6"/>
    <w:rsid w:val="003458E9"/>
    <w:rsid w:val="00345902"/>
    <w:rsid w:val="00345909"/>
    <w:rsid w:val="0034590E"/>
    <w:rsid w:val="00345967"/>
    <w:rsid w:val="00345986"/>
    <w:rsid w:val="0034599D"/>
    <w:rsid w:val="00345A0E"/>
    <w:rsid w:val="00345A55"/>
    <w:rsid w:val="00345AAA"/>
    <w:rsid w:val="00345B76"/>
    <w:rsid w:val="00345B9B"/>
    <w:rsid w:val="00345BB0"/>
    <w:rsid w:val="00345BDA"/>
    <w:rsid w:val="00345BE1"/>
    <w:rsid w:val="00345C25"/>
    <w:rsid w:val="00345CDA"/>
    <w:rsid w:val="00345CE0"/>
    <w:rsid w:val="00345D0E"/>
    <w:rsid w:val="00345D21"/>
    <w:rsid w:val="00345DEC"/>
    <w:rsid w:val="00345E0B"/>
    <w:rsid w:val="00345E23"/>
    <w:rsid w:val="00345E43"/>
    <w:rsid w:val="00345F69"/>
    <w:rsid w:val="00345F99"/>
    <w:rsid w:val="00345FBA"/>
    <w:rsid w:val="00345FFE"/>
    <w:rsid w:val="00346093"/>
    <w:rsid w:val="003460AD"/>
    <w:rsid w:val="0034610C"/>
    <w:rsid w:val="0034612E"/>
    <w:rsid w:val="0034615D"/>
    <w:rsid w:val="0034617D"/>
    <w:rsid w:val="00346193"/>
    <w:rsid w:val="00346248"/>
    <w:rsid w:val="00346266"/>
    <w:rsid w:val="00346278"/>
    <w:rsid w:val="0034631A"/>
    <w:rsid w:val="00346324"/>
    <w:rsid w:val="00346349"/>
    <w:rsid w:val="0034635B"/>
    <w:rsid w:val="003463A3"/>
    <w:rsid w:val="003463AC"/>
    <w:rsid w:val="003463BD"/>
    <w:rsid w:val="003463DC"/>
    <w:rsid w:val="003463ED"/>
    <w:rsid w:val="003463FF"/>
    <w:rsid w:val="0034646F"/>
    <w:rsid w:val="00346473"/>
    <w:rsid w:val="003464B7"/>
    <w:rsid w:val="003464DF"/>
    <w:rsid w:val="003464EE"/>
    <w:rsid w:val="00346554"/>
    <w:rsid w:val="00346581"/>
    <w:rsid w:val="0034659D"/>
    <w:rsid w:val="003465A2"/>
    <w:rsid w:val="003465FD"/>
    <w:rsid w:val="00346662"/>
    <w:rsid w:val="00346679"/>
    <w:rsid w:val="00346709"/>
    <w:rsid w:val="003467C3"/>
    <w:rsid w:val="00346819"/>
    <w:rsid w:val="00346854"/>
    <w:rsid w:val="0034685F"/>
    <w:rsid w:val="00346875"/>
    <w:rsid w:val="00346942"/>
    <w:rsid w:val="00346989"/>
    <w:rsid w:val="00346A1B"/>
    <w:rsid w:val="00346A39"/>
    <w:rsid w:val="00346A4C"/>
    <w:rsid w:val="00346A8C"/>
    <w:rsid w:val="00346AC3"/>
    <w:rsid w:val="00346B01"/>
    <w:rsid w:val="00346BF4"/>
    <w:rsid w:val="00346BFE"/>
    <w:rsid w:val="00346C02"/>
    <w:rsid w:val="00346C97"/>
    <w:rsid w:val="00346CE5"/>
    <w:rsid w:val="00346D17"/>
    <w:rsid w:val="00346D2E"/>
    <w:rsid w:val="00346D67"/>
    <w:rsid w:val="00346DA5"/>
    <w:rsid w:val="00346DA7"/>
    <w:rsid w:val="00346DAF"/>
    <w:rsid w:val="00346DE2"/>
    <w:rsid w:val="00346E9F"/>
    <w:rsid w:val="00346EC3"/>
    <w:rsid w:val="00346ED4"/>
    <w:rsid w:val="00346EE9"/>
    <w:rsid w:val="00346F01"/>
    <w:rsid w:val="00346F8C"/>
    <w:rsid w:val="00346F99"/>
    <w:rsid w:val="0034700E"/>
    <w:rsid w:val="00347027"/>
    <w:rsid w:val="003470AE"/>
    <w:rsid w:val="003470B7"/>
    <w:rsid w:val="0034715B"/>
    <w:rsid w:val="0034716E"/>
    <w:rsid w:val="00347181"/>
    <w:rsid w:val="003471DB"/>
    <w:rsid w:val="00347212"/>
    <w:rsid w:val="00347248"/>
    <w:rsid w:val="003472D4"/>
    <w:rsid w:val="0034732A"/>
    <w:rsid w:val="00347367"/>
    <w:rsid w:val="0034737C"/>
    <w:rsid w:val="003473B1"/>
    <w:rsid w:val="00347413"/>
    <w:rsid w:val="00347420"/>
    <w:rsid w:val="0034743F"/>
    <w:rsid w:val="00347459"/>
    <w:rsid w:val="0034748E"/>
    <w:rsid w:val="00347497"/>
    <w:rsid w:val="003474C0"/>
    <w:rsid w:val="00347500"/>
    <w:rsid w:val="003475BB"/>
    <w:rsid w:val="003475D9"/>
    <w:rsid w:val="003475F0"/>
    <w:rsid w:val="0034761B"/>
    <w:rsid w:val="00347645"/>
    <w:rsid w:val="0034768B"/>
    <w:rsid w:val="003476E4"/>
    <w:rsid w:val="00347703"/>
    <w:rsid w:val="00347790"/>
    <w:rsid w:val="003477FE"/>
    <w:rsid w:val="00347844"/>
    <w:rsid w:val="0034789D"/>
    <w:rsid w:val="003478E6"/>
    <w:rsid w:val="003478F7"/>
    <w:rsid w:val="00347905"/>
    <w:rsid w:val="00347981"/>
    <w:rsid w:val="003479BF"/>
    <w:rsid w:val="003479C2"/>
    <w:rsid w:val="003479D1"/>
    <w:rsid w:val="00347A03"/>
    <w:rsid w:val="00347A30"/>
    <w:rsid w:val="00347A4A"/>
    <w:rsid w:val="00347A4D"/>
    <w:rsid w:val="00347AE2"/>
    <w:rsid w:val="00347B0F"/>
    <w:rsid w:val="00347B23"/>
    <w:rsid w:val="00347C0E"/>
    <w:rsid w:val="00347C3E"/>
    <w:rsid w:val="00347C81"/>
    <w:rsid w:val="00347C90"/>
    <w:rsid w:val="00347C9C"/>
    <w:rsid w:val="00347D04"/>
    <w:rsid w:val="00347D50"/>
    <w:rsid w:val="00347D7B"/>
    <w:rsid w:val="00347D8A"/>
    <w:rsid w:val="00347DDC"/>
    <w:rsid w:val="00347E0F"/>
    <w:rsid w:val="00347E46"/>
    <w:rsid w:val="00347E70"/>
    <w:rsid w:val="00347ECC"/>
    <w:rsid w:val="00347F60"/>
    <w:rsid w:val="00347F77"/>
    <w:rsid w:val="00347F82"/>
    <w:rsid w:val="00350029"/>
    <w:rsid w:val="00350050"/>
    <w:rsid w:val="00350062"/>
    <w:rsid w:val="00350075"/>
    <w:rsid w:val="003500AA"/>
    <w:rsid w:val="0035012A"/>
    <w:rsid w:val="0035013B"/>
    <w:rsid w:val="0035014C"/>
    <w:rsid w:val="0035017B"/>
    <w:rsid w:val="0035018E"/>
    <w:rsid w:val="003501A2"/>
    <w:rsid w:val="003501A7"/>
    <w:rsid w:val="0035020F"/>
    <w:rsid w:val="0035025D"/>
    <w:rsid w:val="003502C3"/>
    <w:rsid w:val="00350318"/>
    <w:rsid w:val="00350320"/>
    <w:rsid w:val="00350339"/>
    <w:rsid w:val="0035033C"/>
    <w:rsid w:val="00350356"/>
    <w:rsid w:val="00350388"/>
    <w:rsid w:val="0035039E"/>
    <w:rsid w:val="003503A7"/>
    <w:rsid w:val="003503B5"/>
    <w:rsid w:val="003503C8"/>
    <w:rsid w:val="003503D8"/>
    <w:rsid w:val="003503E7"/>
    <w:rsid w:val="00350538"/>
    <w:rsid w:val="00350599"/>
    <w:rsid w:val="003505A2"/>
    <w:rsid w:val="003505B2"/>
    <w:rsid w:val="003505EB"/>
    <w:rsid w:val="00350620"/>
    <w:rsid w:val="0035062E"/>
    <w:rsid w:val="0035064C"/>
    <w:rsid w:val="003506D5"/>
    <w:rsid w:val="00350760"/>
    <w:rsid w:val="0035078A"/>
    <w:rsid w:val="003507B0"/>
    <w:rsid w:val="003507BB"/>
    <w:rsid w:val="003507BE"/>
    <w:rsid w:val="003507C3"/>
    <w:rsid w:val="003507F4"/>
    <w:rsid w:val="0035081D"/>
    <w:rsid w:val="00350852"/>
    <w:rsid w:val="0035086E"/>
    <w:rsid w:val="00350870"/>
    <w:rsid w:val="0035088D"/>
    <w:rsid w:val="003508FB"/>
    <w:rsid w:val="0035097F"/>
    <w:rsid w:val="003509EC"/>
    <w:rsid w:val="00350A1F"/>
    <w:rsid w:val="00350A7E"/>
    <w:rsid w:val="00350A95"/>
    <w:rsid w:val="00350AB3"/>
    <w:rsid w:val="00350ACD"/>
    <w:rsid w:val="00350BFC"/>
    <w:rsid w:val="00350C00"/>
    <w:rsid w:val="00350C17"/>
    <w:rsid w:val="00350CCE"/>
    <w:rsid w:val="00350CD0"/>
    <w:rsid w:val="00350CFB"/>
    <w:rsid w:val="00350D24"/>
    <w:rsid w:val="00350D67"/>
    <w:rsid w:val="00350D7A"/>
    <w:rsid w:val="00350DAD"/>
    <w:rsid w:val="00350DC4"/>
    <w:rsid w:val="00350DC6"/>
    <w:rsid w:val="00350E17"/>
    <w:rsid w:val="00350E47"/>
    <w:rsid w:val="00350EAE"/>
    <w:rsid w:val="00350EF4"/>
    <w:rsid w:val="00350F25"/>
    <w:rsid w:val="00350F3F"/>
    <w:rsid w:val="00350F4E"/>
    <w:rsid w:val="00350F92"/>
    <w:rsid w:val="00350F9A"/>
    <w:rsid w:val="00350FA6"/>
    <w:rsid w:val="00350FAB"/>
    <w:rsid w:val="00350FF9"/>
    <w:rsid w:val="00351047"/>
    <w:rsid w:val="003510BF"/>
    <w:rsid w:val="003510C0"/>
    <w:rsid w:val="003510C3"/>
    <w:rsid w:val="003510EC"/>
    <w:rsid w:val="00351140"/>
    <w:rsid w:val="003511A3"/>
    <w:rsid w:val="00351251"/>
    <w:rsid w:val="003512DB"/>
    <w:rsid w:val="00351325"/>
    <w:rsid w:val="0035133D"/>
    <w:rsid w:val="003513A1"/>
    <w:rsid w:val="003513D7"/>
    <w:rsid w:val="00351448"/>
    <w:rsid w:val="0035144E"/>
    <w:rsid w:val="00351451"/>
    <w:rsid w:val="00351483"/>
    <w:rsid w:val="003514C4"/>
    <w:rsid w:val="00351586"/>
    <w:rsid w:val="0035160F"/>
    <w:rsid w:val="0035166C"/>
    <w:rsid w:val="0035169B"/>
    <w:rsid w:val="003516A3"/>
    <w:rsid w:val="00351783"/>
    <w:rsid w:val="0035179F"/>
    <w:rsid w:val="003517B4"/>
    <w:rsid w:val="003517D3"/>
    <w:rsid w:val="003517FB"/>
    <w:rsid w:val="0035185B"/>
    <w:rsid w:val="0035186B"/>
    <w:rsid w:val="00351871"/>
    <w:rsid w:val="0035187B"/>
    <w:rsid w:val="00351889"/>
    <w:rsid w:val="003518A8"/>
    <w:rsid w:val="00351944"/>
    <w:rsid w:val="0035198A"/>
    <w:rsid w:val="003519E0"/>
    <w:rsid w:val="00351A1A"/>
    <w:rsid w:val="00351A3E"/>
    <w:rsid w:val="00351A74"/>
    <w:rsid w:val="00351B0B"/>
    <w:rsid w:val="00351B28"/>
    <w:rsid w:val="00351B7C"/>
    <w:rsid w:val="00351B83"/>
    <w:rsid w:val="00351BA3"/>
    <w:rsid w:val="00351BD4"/>
    <w:rsid w:val="00351BE5"/>
    <w:rsid w:val="00351C10"/>
    <w:rsid w:val="00351C16"/>
    <w:rsid w:val="00351C31"/>
    <w:rsid w:val="00351C8B"/>
    <w:rsid w:val="00351CB9"/>
    <w:rsid w:val="00351D42"/>
    <w:rsid w:val="00351D5C"/>
    <w:rsid w:val="00351D69"/>
    <w:rsid w:val="00351D6E"/>
    <w:rsid w:val="00351D76"/>
    <w:rsid w:val="00351D79"/>
    <w:rsid w:val="00351DC9"/>
    <w:rsid w:val="00351E13"/>
    <w:rsid w:val="00351E99"/>
    <w:rsid w:val="00351F17"/>
    <w:rsid w:val="00351F39"/>
    <w:rsid w:val="00351FE9"/>
    <w:rsid w:val="00352000"/>
    <w:rsid w:val="00352075"/>
    <w:rsid w:val="00352089"/>
    <w:rsid w:val="00352092"/>
    <w:rsid w:val="00352095"/>
    <w:rsid w:val="0035209D"/>
    <w:rsid w:val="003520B9"/>
    <w:rsid w:val="003520BE"/>
    <w:rsid w:val="003520F0"/>
    <w:rsid w:val="00352143"/>
    <w:rsid w:val="0035216A"/>
    <w:rsid w:val="0035217F"/>
    <w:rsid w:val="003521D7"/>
    <w:rsid w:val="00352206"/>
    <w:rsid w:val="00352237"/>
    <w:rsid w:val="00352239"/>
    <w:rsid w:val="0035224D"/>
    <w:rsid w:val="003522DF"/>
    <w:rsid w:val="00352309"/>
    <w:rsid w:val="00352312"/>
    <w:rsid w:val="003523E6"/>
    <w:rsid w:val="00352427"/>
    <w:rsid w:val="0035246F"/>
    <w:rsid w:val="0035247D"/>
    <w:rsid w:val="00352482"/>
    <w:rsid w:val="003524D6"/>
    <w:rsid w:val="0035250E"/>
    <w:rsid w:val="0035252D"/>
    <w:rsid w:val="0035257E"/>
    <w:rsid w:val="00352580"/>
    <w:rsid w:val="003525A0"/>
    <w:rsid w:val="0035264A"/>
    <w:rsid w:val="00352658"/>
    <w:rsid w:val="00352676"/>
    <w:rsid w:val="003526B2"/>
    <w:rsid w:val="003526E6"/>
    <w:rsid w:val="003526F5"/>
    <w:rsid w:val="00352765"/>
    <w:rsid w:val="003527B2"/>
    <w:rsid w:val="00352834"/>
    <w:rsid w:val="0035283C"/>
    <w:rsid w:val="00352844"/>
    <w:rsid w:val="00352905"/>
    <w:rsid w:val="0035290F"/>
    <w:rsid w:val="00352967"/>
    <w:rsid w:val="003529AC"/>
    <w:rsid w:val="003529DD"/>
    <w:rsid w:val="00352A13"/>
    <w:rsid w:val="00352A78"/>
    <w:rsid w:val="00352B0D"/>
    <w:rsid w:val="00352B68"/>
    <w:rsid w:val="00352B76"/>
    <w:rsid w:val="00352BA5"/>
    <w:rsid w:val="00352C2B"/>
    <w:rsid w:val="00352C92"/>
    <w:rsid w:val="00352CA8"/>
    <w:rsid w:val="00352CE0"/>
    <w:rsid w:val="00352CE5"/>
    <w:rsid w:val="00352D0E"/>
    <w:rsid w:val="00352D92"/>
    <w:rsid w:val="00352DE9"/>
    <w:rsid w:val="00352ED1"/>
    <w:rsid w:val="00352F7B"/>
    <w:rsid w:val="00352FD9"/>
    <w:rsid w:val="00353049"/>
    <w:rsid w:val="00353096"/>
    <w:rsid w:val="003530A2"/>
    <w:rsid w:val="003530C2"/>
    <w:rsid w:val="003530F0"/>
    <w:rsid w:val="0035310D"/>
    <w:rsid w:val="0035311B"/>
    <w:rsid w:val="00353122"/>
    <w:rsid w:val="0035321B"/>
    <w:rsid w:val="00353240"/>
    <w:rsid w:val="00353268"/>
    <w:rsid w:val="003532BB"/>
    <w:rsid w:val="00353388"/>
    <w:rsid w:val="003533DE"/>
    <w:rsid w:val="00353485"/>
    <w:rsid w:val="003534C6"/>
    <w:rsid w:val="003534E3"/>
    <w:rsid w:val="00353530"/>
    <w:rsid w:val="0035353C"/>
    <w:rsid w:val="0035358F"/>
    <w:rsid w:val="003535BC"/>
    <w:rsid w:val="00353606"/>
    <w:rsid w:val="003536BE"/>
    <w:rsid w:val="0035374F"/>
    <w:rsid w:val="00353758"/>
    <w:rsid w:val="00353762"/>
    <w:rsid w:val="0035377C"/>
    <w:rsid w:val="003537B1"/>
    <w:rsid w:val="003537B7"/>
    <w:rsid w:val="003537D4"/>
    <w:rsid w:val="003537F4"/>
    <w:rsid w:val="00353937"/>
    <w:rsid w:val="00353952"/>
    <w:rsid w:val="0035395C"/>
    <w:rsid w:val="0035396C"/>
    <w:rsid w:val="0035397A"/>
    <w:rsid w:val="00353984"/>
    <w:rsid w:val="003539C5"/>
    <w:rsid w:val="003539E4"/>
    <w:rsid w:val="00353A51"/>
    <w:rsid w:val="00353A77"/>
    <w:rsid w:val="00353AD0"/>
    <w:rsid w:val="00353AE2"/>
    <w:rsid w:val="00353AFE"/>
    <w:rsid w:val="00353B34"/>
    <w:rsid w:val="00353B6A"/>
    <w:rsid w:val="00353BFA"/>
    <w:rsid w:val="00353BFC"/>
    <w:rsid w:val="00353C2B"/>
    <w:rsid w:val="00353C67"/>
    <w:rsid w:val="00353C87"/>
    <w:rsid w:val="00353CB7"/>
    <w:rsid w:val="00353D10"/>
    <w:rsid w:val="00353E5B"/>
    <w:rsid w:val="00353E63"/>
    <w:rsid w:val="00353E92"/>
    <w:rsid w:val="00353EF9"/>
    <w:rsid w:val="00353F0F"/>
    <w:rsid w:val="00353F83"/>
    <w:rsid w:val="00353FFF"/>
    <w:rsid w:val="00354045"/>
    <w:rsid w:val="003540F6"/>
    <w:rsid w:val="00354141"/>
    <w:rsid w:val="003541DC"/>
    <w:rsid w:val="0035422B"/>
    <w:rsid w:val="0035422E"/>
    <w:rsid w:val="003542BB"/>
    <w:rsid w:val="00354355"/>
    <w:rsid w:val="00354384"/>
    <w:rsid w:val="00354391"/>
    <w:rsid w:val="0035439C"/>
    <w:rsid w:val="003543C0"/>
    <w:rsid w:val="003543C9"/>
    <w:rsid w:val="00354406"/>
    <w:rsid w:val="00354497"/>
    <w:rsid w:val="003544A6"/>
    <w:rsid w:val="003544C9"/>
    <w:rsid w:val="003544E5"/>
    <w:rsid w:val="00354574"/>
    <w:rsid w:val="00354667"/>
    <w:rsid w:val="003546CA"/>
    <w:rsid w:val="0035475C"/>
    <w:rsid w:val="0035476E"/>
    <w:rsid w:val="00354853"/>
    <w:rsid w:val="00354873"/>
    <w:rsid w:val="00354878"/>
    <w:rsid w:val="003548B6"/>
    <w:rsid w:val="003548C4"/>
    <w:rsid w:val="003548DE"/>
    <w:rsid w:val="003548E0"/>
    <w:rsid w:val="00354933"/>
    <w:rsid w:val="0035499D"/>
    <w:rsid w:val="003549BD"/>
    <w:rsid w:val="00354A01"/>
    <w:rsid w:val="00354A10"/>
    <w:rsid w:val="00354A13"/>
    <w:rsid w:val="00354A21"/>
    <w:rsid w:val="00354A33"/>
    <w:rsid w:val="00354A53"/>
    <w:rsid w:val="00354AA1"/>
    <w:rsid w:val="00354AB1"/>
    <w:rsid w:val="00354ACD"/>
    <w:rsid w:val="00354B10"/>
    <w:rsid w:val="00354B6C"/>
    <w:rsid w:val="00354B91"/>
    <w:rsid w:val="00354B95"/>
    <w:rsid w:val="00354BDC"/>
    <w:rsid w:val="00354C03"/>
    <w:rsid w:val="00354C6A"/>
    <w:rsid w:val="00354CBB"/>
    <w:rsid w:val="00354DFC"/>
    <w:rsid w:val="00354E79"/>
    <w:rsid w:val="00354E8E"/>
    <w:rsid w:val="00354E9F"/>
    <w:rsid w:val="00354EB1"/>
    <w:rsid w:val="00354F07"/>
    <w:rsid w:val="00354FD7"/>
    <w:rsid w:val="00355001"/>
    <w:rsid w:val="0035504E"/>
    <w:rsid w:val="0035508D"/>
    <w:rsid w:val="00355098"/>
    <w:rsid w:val="003550AE"/>
    <w:rsid w:val="003550C4"/>
    <w:rsid w:val="003550F3"/>
    <w:rsid w:val="00355129"/>
    <w:rsid w:val="00355138"/>
    <w:rsid w:val="00355193"/>
    <w:rsid w:val="003551CD"/>
    <w:rsid w:val="00355218"/>
    <w:rsid w:val="00355284"/>
    <w:rsid w:val="003552D7"/>
    <w:rsid w:val="00355338"/>
    <w:rsid w:val="0035534B"/>
    <w:rsid w:val="003554AB"/>
    <w:rsid w:val="003554ED"/>
    <w:rsid w:val="00355517"/>
    <w:rsid w:val="003555AA"/>
    <w:rsid w:val="003555AD"/>
    <w:rsid w:val="00355616"/>
    <w:rsid w:val="00355619"/>
    <w:rsid w:val="00355635"/>
    <w:rsid w:val="003556F7"/>
    <w:rsid w:val="00355711"/>
    <w:rsid w:val="00355723"/>
    <w:rsid w:val="00355734"/>
    <w:rsid w:val="0035574A"/>
    <w:rsid w:val="0035574E"/>
    <w:rsid w:val="0035577F"/>
    <w:rsid w:val="00355794"/>
    <w:rsid w:val="0035579D"/>
    <w:rsid w:val="003557C0"/>
    <w:rsid w:val="003557CC"/>
    <w:rsid w:val="003557DF"/>
    <w:rsid w:val="003557F6"/>
    <w:rsid w:val="00355804"/>
    <w:rsid w:val="0035583C"/>
    <w:rsid w:val="00355840"/>
    <w:rsid w:val="00355848"/>
    <w:rsid w:val="0035590E"/>
    <w:rsid w:val="00355917"/>
    <w:rsid w:val="00355948"/>
    <w:rsid w:val="00355961"/>
    <w:rsid w:val="00355980"/>
    <w:rsid w:val="0035599F"/>
    <w:rsid w:val="003559AB"/>
    <w:rsid w:val="00355AE0"/>
    <w:rsid w:val="00355B2C"/>
    <w:rsid w:val="00355B47"/>
    <w:rsid w:val="00355B5D"/>
    <w:rsid w:val="00355BF4"/>
    <w:rsid w:val="00355C06"/>
    <w:rsid w:val="00355C77"/>
    <w:rsid w:val="00355C97"/>
    <w:rsid w:val="00355C9B"/>
    <w:rsid w:val="00355CEE"/>
    <w:rsid w:val="00355CF4"/>
    <w:rsid w:val="00355DF6"/>
    <w:rsid w:val="00355E5D"/>
    <w:rsid w:val="00355F11"/>
    <w:rsid w:val="00355F4B"/>
    <w:rsid w:val="00355F4F"/>
    <w:rsid w:val="00355F50"/>
    <w:rsid w:val="00355F78"/>
    <w:rsid w:val="00355FE4"/>
    <w:rsid w:val="00356062"/>
    <w:rsid w:val="003560D8"/>
    <w:rsid w:val="003560FD"/>
    <w:rsid w:val="00356101"/>
    <w:rsid w:val="00356135"/>
    <w:rsid w:val="00356151"/>
    <w:rsid w:val="003561C4"/>
    <w:rsid w:val="00356238"/>
    <w:rsid w:val="0035624F"/>
    <w:rsid w:val="003562B4"/>
    <w:rsid w:val="003562C5"/>
    <w:rsid w:val="003562E7"/>
    <w:rsid w:val="003562ED"/>
    <w:rsid w:val="0035632D"/>
    <w:rsid w:val="0035635B"/>
    <w:rsid w:val="00356363"/>
    <w:rsid w:val="003563B0"/>
    <w:rsid w:val="003563D6"/>
    <w:rsid w:val="0035641A"/>
    <w:rsid w:val="003564CB"/>
    <w:rsid w:val="003564E2"/>
    <w:rsid w:val="00356512"/>
    <w:rsid w:val="00356513"/>
    <w:rsid w:val="0035651A"/>
    <w:rsid w:val="0035651F"/>
    <w:rsid w:val="0035652B"/>
    <w:rsid w:val="00356589"/>
    <w:rsid w:val="0035658C"/>
    <w:rsid w:val="00356611"/>
    <w:rsid w:val="00356664"/>
    <w:rsid w:val="003566D7"/>
    <w:rsid w:val="00356704"/>
    <w:rsid w:val="00356778"/>
    <w:rsid w:val="00356780"/>
    <w:rsid w:val="003567B7"/>
    <w:rsid w:val="003567E1"/>
    <w:rsid w:val="00356829"/>
    <w:rsid w:val="00356877"/>
    <w:rsid w:val="00356948"/>
    <w:rsid w:val="00356951"/>
    <w:rsid w:val="003569ED"/>
    <w:rsid w:val="003569F0"/>
    <w:rsid w:val="00356A32"/>
    <w:rsid w:val="00356A3F"/>
    <w:rsid w:val="00356A5A"/>
    <w:rsid w:val="00356ACD"/>
    <w:rsid w:val="00356AD1"/>
    <w:rsid w:val="00356AD3"/>
    <w:rsid w:val="00356B39"/>
    <w:rsid w:val="00356B49"/>
    <w:rsid w:val="00356B62"/>
    <w:rsid w:val="00356BA8"/>
    <w:rsid w:val="00356BEB"/>
    <w:rsid w:val="00356CE9"/>
    <w:rsid w:val="00356DC8"/>
    <w:rsid w:val="00356DD1"/>
    <w:rsid w:val="00356DF0"/>
    <w:rsid w:val="00356E29"/>
    <w:rsid w:val="00356E32"/>
    <w:rsid w:val="00356F7C"/>
    <w:rsid w:val="00356F90"/>
    <w:rsid w:val="00356F98"/>
    <w:rsid w:val="00356FE8"/>
    <w:rsid w:val="003570C8"/>
    <w:rsid w:val="0035712F"/>
    <w:rsid w:val="00357137"/>
    <w:rsid w:val="00357138"/>
    <w:rsid w:val="0035717D"/>
    <w:rsid w:val="003571A9"/>
    <w:rsid w:val="003571B2"/>
    <w:rsid w:val="003571FD"/>
    <w:rsid w:val="00357223"/>
    <w:rsid w:val="00357240"/>
    <w:rsid w:val="003572ED"/>
    <w:rsid w:val="003573A2"/>
    <w:rsid w:val="003573C6"/>
    <w:rsid w:val="003573F7"/>
    <w:rsid w:val="00357444"/>
    <w:rsid w:val="00357533"/>
    <w:rsid w:val="00357656"/>
    <w:rsid w:val="00357665"/>
    <w:rsid w:val="0035769F"/>
    <w:rsid w:val="003576CA"/>
    <w:rsid w:val="003576E8"/>
    <w:rsid w:val="003576EF"/>
    <w:rsid w:val="003576FD"/>
    <w:rsid w:val="00357755"/>
    <w:rsid w:val="00357761"/>
    <w:rsid w:val="00357776"/>
    <w:rsid w:val="003577B4"/>
    <w:rsid w:val="003577C9"/>
    <w:rsid w:val="00357810"/>
    <w:rsid w:val="0035789C"/>
    <w:rsid w:val="0035796B"/>
    <w:rsid w:val="0035797E"/>
    <w:rsid w:val="00357995"/>
    <w:rsid w:val="003579D4"/>
    <w:rsid w:val="00357A16"/>
    <w:rsid w:val="00357A5B"/>
    <w:rsid w:val="00357A98"/>
    <w:rsid w:val="00357B16"/>
    <w:rsid w:val="00357B2F"/>
    <w:rsid w:val="00357B30"/>
    <w:rsid w:val="00357B39"/>
    <w:rsid w:val="00357B9E"/>
    <w:rsid w:val="00357BEE"/>
    <w:rsid w:val="00357C4E"/>
    <w:rsid w:val="00357C57"/>
    <w:rsid w:val="00357CDB"/>
    <w:rsid w:val="00357D0B"/>
    <w:rsid w:val="00357DF1"/>
    <w:rsid w:val="00357DFC"/>
    <w:rsid w:val="00357E26"/>
    <w:rsid w:val="00357E54"/>
    <w:rsid w:val="00357E97"/>
    <w:rsid w:val="00357EA9"/>
    <w:rsid w:val="00357ED5"/>
    <w:rsid w:val="00357EEE"/>
    <w:rsid w:val="00357EF0"/>
    <w:rsid w:val="00357F01"/>
    <w:rsid w:val="00357F0B"/>
    <w:rsid w:val="00357FC6"/>
    <w:rsid w:val="00357FC7"/>
    <w:rsid w:val="00360027"/>
    <w:rsid w:val="003600C4"/>
    <w:rsid w:val="003601AC"/>
    <w:rsid w:val="003601CB"/>
    <w:rsid w:val="003601D0"/>
    <w:rsid w:val="003601F3"/>
    <w:rsid w:val="00360296"/>
    <w:rsid w:val="00360316"/>
    <w:rsid w:val="00360333"/>
    <w:rsid w:val="0036037B"/>
    <w:rsid w:val="003603BF"/>
    <w:rsid w:val="00360408"/>
    <w:rsid w:val="003604A7"/>
    <w:rsid w:val="003604BF"/>
    <w:rsid w:val="003604C2"/>
    <w:rsid w:val="003604C4"/>
    <w:rsid w:val="003604D5"/>
    <w:rsid w:val="003604E5"/>
    <w:rsid w:val="0036050D"/>
    <w:rsid w:val="0036052E"/>
    <w:rsid w:val="0036055C"/>
    <w:rsid w:val="00360570"/>
    <w:rsid w:val="003605B8"/>
    <w:rsid w:val="0036060A"/>
    <w:rsid w:val="00360662"/>
    <w:rsid w:val="0036066B"/>
    <w:rsid w:val="003606A5"/>
    <w:rsid w:val="00360708"/>
    <w:rsid w:val="00360758"/>
    <w:rsid w:val="00360771"/>
    <w:rsid w:val="00360791"/>
    <w:rsid w:val="003607EF"/>
    <w:rsid w:val="00360861"/>
    <w:rsid w:val="00360871"/>
    <w:rsid w:val="0036090E"/>
    <w:rsid w:val="00360924"/>
    <w:rsid w:val="00360959"/>
    <w:rsid w:val="0036096C"/>
    <w:rsid w:val="003609DD"/>
    <w:rsid w:val="00360A3A"/>
    <w:rsid w:val="00360A3D"/>
    <w:rsid w:val="00360A6F"/>
    <w:rsid w:val="00360ADF"/>
    <w:rsid w:val="00360AF1"/>
    <w:rsid w:val="00360B03"/>
    <w:rsid w:val="00360BB7"/>
    <w:rsid w:val="00360C89"/>
    <w:rsid w:val="00360C99"/>
    <w:rsid w:val="00360CD4"/>
    <w:rsid w:val="00360CD8"/>
    <w:rsid w:val="00360CDC"/>
    <w:rsid w:val="00360CEF"/>
    <w:rsid w:val="00360CFF"/>
    <w:rsid w:val="00360D27"/>
    <w:rsid w:val="00360D2E"/>
    <w:rsid w:val="00360D5B"/>
    <w:rsid w:val="00360D6B"/>
    <w:rsid w:val="00360D94"/>
    <w:rsid w:val="00360DC2"/>
    <w:rsid w:val="00360DC6"/>
    <w:rsid w:val="00360DCD"/>
    <w:rsid w:val="00360E94"/>
    <w:rsid w:val="00360E9A"/>
    <w:rsid w:val="00360EB7"/>
    <w:rsid w:val="00360EE2"/>
    <w:rsid w:val="00360F00"/>
    <w:rsid w:val="0036103B"/>
    <w:rsid w:val="003610AE"/>
    <w:rsid w:val="003610B8"/>
    <w:rsid w:val="003610E8"/>
    <w:rsid w:val="00361102"/>
    <w:rsid w:val="0036110B"/>
    <w:rsid w:val="00361173"/>
    <w:rsid w:val="0036117B"/>
    <w:rsid w:val="00361180"/>
    <w:rsid w:val="003611A3"/>
    <w:rsid w:val="00361255"/>
    <w:rsid w:val="00361292"/>
    <w:rsid w:val="0036129B"/>
    <w:rsid w:val="003612B8"/>
    <w:rsid w:val="00361318"/>
    <w:rsid w:val="0036139E"/>
    <w:rsid w:val="003613C1"/>
    <w:rsid w:val="003613D9"/>
    <w:rsid w:val="003613FF"/>
    <w:rsid w:val="00361479"/>
    <w:rsid w:val="00361484"/>
    <w:rsid w:val="0036149A"/>
    <w:rsid w:val="003614D5"/>
    <w:rsid w:val="0036151C"/>
    <w:rsid w:val="00361525"/>
    <w:rsid w:val="00361584"/>
    <w:rsid w:val="00361594"/>
    <w:rsid w:val="003615AF"/>
    <w:rsid w:val="003615C8"/>
    <w:rsid w:val="00361648"/>
    <w:rsid w:val="00361694"/>
    <w:rsid w:val="003616C5"/>
    <w:rsid w:val="00361731"/>
    <w:rsid w:val="00361758"/>
    <w:rsid w:val="003617CB"/>
    <w:rsid w:val="003617D5"/>
    <w:rsid w:val="00361843"/>
    <w:rsid w:val="00361851"/>
    <w:rsid w:val="003618DC"/>
    <w:rsid w:val="0036192C"/>
    <w:rsid w:val="00361961"/>
    <w:rsid w:val="0036196D"/>
    <w:rsid w:val="003619BE"/>
    <w:rsid w:val="003619F2"/>
    <w:rsid w:val="00361A0F"/>
    <w:rsid w:val="00361A25"/>
    <w:rsid w:val="00361A5F"/>
    <w:rsid w:val="00361AFA"/>
    <w:rsid w:val="00361B28"/>
    <w:rsid w:val="00361B40"/>
    <w:rsid w:val="00361C1B"/>
    <w:rsid w:val="00361C91"/>
    <w:rsid w:val="00361D3A"/>
    <w:rsid w:val="00361D47"/>
    <w:rsid w:val="00361D58"/>
    <w:rsid w:val="00361D67"/>
    <w:rsid w:val="00361D85"/>
    <w:rsid w:val="00361DB4"/>
    <w:rsid w:val="00361E26"/>
    <w:rsid w:val="00361E2C"/>
    <w:rsid w:val="00361E2F"/>
    <w:rsid w:val="00361E57"/>
    <w:rsid w:val="00361E75"/>
    <w:rsid w:val="00361F03"/>
    <w:rsid w:val="00362029"/>
    <w:rsid w:val="0036207A"/>
    <w:rsid w:val="0036209B"/>
    <w:rsid w:val="0036212D"/>
    <w:rsid w:val="00362172"/>
    <w:rsid w:val="003621C5"/>
    <w:rsid w:val="003621DD"/>
    <w:rsid w:val="0036230B"/>
    <w:rsid w:val="0036230F"/>
    <w:rsid w:val="00362314"/>
    <w:rsid w:val="00362346"/>
    <w:rsid w:val="003623BF"/>
    <w:rsid w:val="003623E7"/>
    <w:rsid w:val="003624D6"/>
    <w:rsid w:val="00362588"/>
    <w:rsid w:val="003625AC"/>
    <w:rsid w:val="003625DB"/>
    <w:rsid w:val="003625EC"/>
    <w:rsid w:val="0036268A"/>
    <w:rsid w:val="0036269D"/>
    <w:rsid w:val="003626F0"/>
    <w:rsid w:val="00362713"/>
    <w:rsid w:val="00362718"/>
    <w:rsid w:val="0036278E"/>
    <w:rsid w:val="003627C8"/>
    <w:rsid w:val="0036283E"/>
    <w:rsid w:val="0036284E"/>
    <w:rsid w:val="00362874"/>
    <w:rsid w:val="003628EF"/>
    <w:rsid w:val="00362932"/>
    <w:rsid w:val="0036296E"/>
    <w:rsid w:val="0036296F"/>
    <w:rsid w:val="003629FE"/>
    <w:rsid w:val="00362A43"/>
    <w:rsid w:val="00362A45"/>
    <w:rsid w:val="00362A9D"/>
    <w:rsid w:val="00362AEF"/>
    <w:rsid w:val="00362AFB"/>
    <w:rsid w:val="00362B31"/>
    <w:rsid w:val="00362B37"/>
    <w:rsid w:val="00362B54"/>
    <w:rsid w:val="00362B6A"/>
    <w:rsid w:val="00362B6D"/>
    <w:rsid w:val="00362BC4"/>
    <w:rsid w:val="00362BC6"/>
    <w:rsid w:val="00362BCF"/>
    <w:rsid w:val="00362BD5"/>
    <w:rsid w:val="00362BF8"/>
    <w:rsid w:val="00362C3D"/>
    <w:rsid w:val="00362C4A"/>
    <w:rsid w:val="00362D24"/>
    <w:rsid w:val="00362D3A"/>
    <w:rsid w:val="00362DA6"/>
    <w:rsid w:val="00362DC5"/>
    <w:rsid w:val="00362DC8"/>
    <w:rsid w:val="00362E04"/>
    <w:rsid w:val="00362E0D"/>
    <w:rsid w:val="00362E65"/>
    <w:rsid w:val="00362EDF"/>
    <w:rsid w:val="00362F42"/>
    <w:rsid w:val="00362F58"/>
    <w:rsid w:val="00362FA0"/>
    <w:rsid w:val="00362FB6"/>
    <w:rsid w:val="00362FF3"/>
    <w:rsid w:val="0036303D"/>
    <w:rsid w:val="0036307C"/>
    <w:rsid w:val="00363103"/>
    <w:rsid w:val="0036313F"/>
    <w:rsid w:val="0036315E"/>
    <w:rsid w:val="003631DA"/>
    <w:rsid w:val="00363267"/>
    <w:rsid w:val="003632EB"/>
    <w:rsid w:val="00363305"/>
    <w:rsid w:val="0036330F"/>
    <w:rsid w:val="00363411"/>
    <w:rsid w:val="00363482"/>
    <w:rsid w:val="003634CA"/>
    <w:rsid w:val="0036351D"/>
    <w:rsid w:val="0036356F"/>
    <w:rsid w:val="00363572"/>
    <w:rsid w:val="003635B3"/>
    <w:rsid w:val="003635EF"/>
    <w:rsid w:val="00363622"/>
    <w:rsid w:val="00363634"/>
    <w:rsid w:val="00363660"/>
    <w:rsid w:val="003636DD"/>
    <w:rsid w:val="0036378E"/>
    <w:rsid w:val="003637C9"/>
    <w:rsid w:val="00363801"/>
    <w:rsid w:val="0036380C"/>
    <w:rsid w:val="003638F3"/>
    <w:rsid w:val="003639C7"/>
    <w:rsid w:val="00363A03"/>
    <w:rsid w:val="00363A11"/>
    <w:rsid w:val="00363A5D"/>
    <w:rsid w:val="00363AE6"/>
    <w:rsid w:val="00363B02"/>
    <w:rsid w:val="00363B1F"/>
    <w:rsid w:val="00363B36"/>
    <w:rsid w:val="00363B58"/>
    <w:rsid w:val="00363B77"/>
    <w:rsid w:val="00363B8D"/>
    <w:rsid w:val="00363BA4"/>
    <w:rsid w:val="00363BB8"/>
    <w:rsid w:val="00363BCE"/>
    <w:rsid w:val="00363BF2"/>
    <w:rsid w:val="00363CBF"/>
    <w:rsid w:val="00363CF9"/>
    <w:rsid w:val="00363D75"/>
    <w:rsid w:val="00363DB3"/>
    <w:rsid w:val="00363DF9"/>
    <w:rsid w:val="00363E03"/>
    <w:rsid w:val="00363E40"/>
    <w:rsid w:val="00363E72"/>
    <w:rsid w:val="00363E73"/>
    <w:rsid w:val="00363E95"/>
    <w:rsid w:val="00363EE3"/>
    <w:rsid w:val="00363EED"/>
    <w:rsid w:val="00363F27"/>
    <w:rsid w:val="00363F5D"/>
    <w:rsid w:val="00363FF6"/>
    <w:rsid w:val="003640A2"/>
    <w:rsid w:val="00364111"/>
    <w:rsid w:val="0036412B"/>
    <w:rsid w:val="00364130"/>
    <w:rsid w:val="0036420C"/>
    <w:rsid w:val="00364227"/>
    <w:rsid w:val="0036426B"/>
    <w:rsid w:val="00364289"/>
    <w:rsid w:val="003642A1"/>
    <w:rsid w:val="003642E4"/>
    <w:rsid w:val="003642EE"/>
    <w:rsid w:val="0036432B"/>
    <w:rsid w:val="00364376"/>
    <w:rsid w:val="003643B1"/>
    <w:rsid w:val="003643E2"/>
    <w:rsid w:val="003644D0"/>
    <w:rsid w:val="003644E1"/>
    <w:rsid w:val="003644F6"/>
    <w:rsid w:val="0036457D"/>
    <w:rsid w:val="00364585"/>
    <w:rsid w:val="00364666"/>
    <w:rsid w:val="00364704"/>
    <w:rsid w:val="00364729"/>
    <w:rsid w:val="003647A4"/>
    <w:rsid w:val="00364820"/>
    <w:rsid w:val="0036484C"/>
    <w:rsid w:val="0036486F"/>
    <w:rsid w:val="003648CD"/>
    <w:rsid w:val="00364922"/>
    <w:rsid w:val="00364943"/>
    <w:rsid w:val="0036496B"/>
    <w:rsid w:val="003649DF"/>
    <w:rsid w:val="00364A07"/>
    <w:rsid w:val="00364A0B"/>
    <w:rsid w:val="00364A16"/>
    <w:rsid w:val="00364A1E"/>
    <w:rsid w:val="00364A70"/>
    <w:rsid w:val="00364A84"/>
    <w:rsid w:val="00364A9F"/>
    <w:rsid w:val="00364AB9"/>
    <w:rsid w:val="00364ABA"/>
    <w:rsid w:val="00364AF5"/>
    <w:rsid w:val="00364AFA"/>
    <w:rsid w:val="00364B00"/>
    <w:rsid w:val="00364B33"/>
    <w:rsid w:val="00364B86"/>
    <w:rsid w:val="00364B9F"/>
    <w:rsid w:val="00364BAD"/>
    <w:rsid w:val="00364BFC"/>
    <w:rsid w:val="00364C1D"/>
    <w:rsid w:val="00364C2E"/>
    <w:rsid w:val="00364C84"/>
    <w:rsid w:val="00364CBE"/>
    <w:rsid w:val="00364CD3"/>
    <w:rsid w:val="00364D7B"/>
    <w:rsid w:val="00364D95"/>
    <w:rsid w:val="00364DBB"/>
    <w:rsid w:val="00364E54"/>
    <w:rsid w:val="00364E59"/>
    <w:rsid w:val="00364EA0"/>
    <w:rsid w:val="00364EAD"/>
    <w:rsid w:val="00364EB8"/>
    <w:rsid w:val="00364EE8"/>
    <w:rsid w:val="00364F1A"/>
    <w:rsid w:val="00364F33"/>
    <w:rsid w:val="00364F78"/>
    <w:rsid w:val="00364F8C"/>
    <w:rsid w:val="00365049"/>
    <w:rsid w:val="0036504A"/>
    <w:rsid w:val="0036507A"/>
    <w:rsid w:val="003650B1"/>
    <w:rsid w:val="0036510C"/>
    <w:rsid w:val="0036512B"/>
    <w:rsid w:val="003651B5"/>
    <w:rsid w:val="00365223"/>
    <w:rsid w:val="00365309"/>
    <w:rsid w:val="0036532F"/>
    <w:rsid w:val="00365342"/>
    <w:rsid w:val="00365378"/>
    <w:rsid w:val="003653C2"/>
    <w:rsid w:val="00365437"/>
    <w:rsid w:val="00365468"/>
    <w:rsid w:val="00365497"/>
    <w:rsid w:val="00365506"/>
    <w:rsid w:val="00365545"/>
    <w:rsid w:val="00365570"/>
    <w:rsid w:val="003655CC"/>
    <w:rsid w:val="003656AB"/>
    <w:rsid w:val="00365746"/>
    <w:rsid w:val="003657D2"/>
    <w:rsid w:val="003658AD"/>
    <w:rsid w:val="003658B3"/>
    <w:rsid w:val="003658DB"/>
    <w:rsid w:val="003658DF"/>
    <w:rsid w:val="00365906"/>
    <w:rsid w:val="00365911"/>
    <w:rsid w:val="0036596A"/>
    <w:rsid w:val="00365999"/>
    <w:rsid w:val="003659AE"/>
    <w:rsid w:val="003659B8"/>
    <w:rsid w:val="003659F4"/>
    <w:rsid w:val="00365A11"/>
    <w:rsid w:val="00365A18"/>
    <w:rsid w:val="00365A1C"/>
    <w:rsid w:val="00365A3B"/>
    <w:rsid w:val="00365A6D"/>
    <w:rsid w:val="00365AEF"/>
    <w:rsid w:val="00365B20"/>
    <w:rsid w:val="00365B80"/>
    <w:rsid w:val="00365BAE"/>
    <w:rsid w:val="00365BB2"/>
    <w:rsid w:val="00365BE1"/>
    <w:rsid w:val="00365C1C"/>
    <w:rsid w:val="00365CD2"/>
    <w:rsid w:val="00365D0C"/>
    <w:rsid w:val="00365D30"/>
    <w:rsid w:val="00365D33"/>
    <w:rsid w:val="00365D3D"/>
    <w:rsid w:val="00365D55"/>
    <w:rsid w:val="00365D7B"/>
    <w:rsid w:val="00365E06"/>
    <w:rsid w:val="00365E0F"/>
    <w:rsid w:val="00365E2A"/>
    <w:rsid w:val="00365E47"/>
    <w:rsid w:val="00365E93"/>
    <w:rsid w:val="00365ED9"/>
    <w:rsid w:val="00365F4B"/>
    <w:rsid w:val="00366035"/>
    <w:rsid w:val="00366044"/>
    <w:rsid w:val="0036608A"/>
    <w:rsid w:val="0036609D"/>
    <w:rsid w:val="0036613A"/>
    <w:rsid w:val="00366180"/>
    <w:rsid w:val="0036618F"/>
    <w:rsid w:val="003661D4"/>
    <w:rsid w:val="003661D9"/>
    <w:rsid w:val="00366265"/>
    <w:rsid w:val="00366271"/>
    <w:rsid w:val="003662C4"/>
    <w:rsid w:val="003662E0"/>
    <w:rsid w:val="00366341"/>
    <w:rsid w:val="0036640B"/>
    <w:rsid w:val="00366490"/>
    <w:rsid w:val="0036650B"/>
    <w:rsid w:val="00366514"/>
    <w:rsid w:val="0036654A"/>
    <w:rsid w:val="0036654E"/>
    <w:rsid w:val="0036659E"/>
    <w:rsid w:val="003665D0"/>
    <w:rsid w:val="00366641"/>
    <w:rsid w:val="00366682"/>
    <w:rsid w:val="003666A8"/>
    <w:rsid w:val="003666AC"/>
    <w:rsid w:val="00366734"/>
    <w:rsid w:val="00366846"/>
    <w:rsid w:val="0036695C"/>
    <w:rsid w:val="0036695F"/>
    <w:rsid w:val="0036699D"/>
    <w:rsid w:val="003669AD"/>
    <w:rsid w:val="003669AF"/>
    <w:rsid w:val="003669F1"/>
    <w:rsid w:val="00366A0A"/>
    <w:rsid w:val="00366A1D"/>
    <w:rsid w:val="00366A94"/>
    <w:rsid w:val="00366AC5"/>
    <w:rsid w:val="00366AF2"/>
    <w:rsid w:val="00366B12"/>
    <w:rsid w:val="00366B29"/>
    <w:rsid w:val="00366BE8"/>
    <w:rsid w:val="00366BF0"/>
    <w:rsid w:val="00366C18"/>
    <w:rsid w:val="00366CD2"/>
    <w:rsid w:val="00366D0F"/>
    <w:rsid w:val="00366D29"/>
    <w:rsid w:val="00366D6B"/>
    <w:rsid w:val="00366DA6"/>
    <w:rsid w:val="00366DCE"/>
    <w:rsid w:val="00366DD8"/>
    <w:rsid w:val="00366DFF"/>
    <w:rsid w:val="00366E30"/>
    <w:rsid w:val="00366ED2"/>
    <w:rsid w:val="00366F26"/>
    <w:rsid w:val="00367024"/>
    <w:rsid w:val="00367071"/>
    <w:rsid w:val="00367095"/>
    <w:rsid w:val="0036709B"/>
    <w:rsid w:val="003670CC"/>
    <w:rsid w:val="003670FB"/>
    <w:rsid w:val="00367143"/>
    <w:rsid w:val="00367144"/>
    <w:rsid w:val="003671AB"/>
    <w:rsid w:val="003671CB"/>
    <w:rsid w:val="003671E2"/>
    <w:rsid w:val="00367241"/>
    <w:rsid w:val="0036725E"/>
    <w:rsid w:val="0036729F"/>
    <w:rsid w:val="003672E8"/>
    <w:rsid w:val="00367369"/>
    <w:rsid w:val="003673C8"/>
    <w:rsid w:val="003673E0"/>
    <w:rsid w:val="00367476"/>
    <w:rsid w:val="00367491"/>
    <w:rsid w:val="00367498"/>
    <w:rsid w:val="003674A9"/>
    <w:rsid w:val="003674C7"/>
    <w:rsid w:val="003674E6"/>
    <w:rsid w:val="003674FA"/>
    <w:rsid w:val="00367556"/>
    <w:rsid w:val="00367578"/>
    <w:rsid w:val="003675CF"/>
    <w:rsid w:val="0036764D"/>
    <w:rsid w:val="0036766A"/>
    <w:rsid w:val="003676BB"/>
    <w:rsid w:val="00367743"/>
    <w:rsid w:val="00367760"/>
    <w:rsid w:val="00367779"/>
    <w:rsid w:val="003677A9"/>
    <w:rsid w:val="003677AE"/>
    <w:rsid w:val="003677C4"/>
    <w:rsid w:val="003677EB"/>
    <w:rsid w:val="0036782E"/>
    <w:rsid w:val="0036789F"/>
    <w:rsid w:val="003678A1"/>
    <w:rsid w:val="003678A2"/>
    <w:rsid w:val="003678AA"/>
    <w:rsid w:val="003678ED"/>
    <w:rsid w:val="003678FB"/>
    <w:rsid w:val="0036794F"/>
    <w:rsid w:val="00367989"/>
    <w:rsid w:val="00367991"/>
    <w:rsid w:val="00367A07"/>
    <w:rsid w:val="00367A18"/>
    <w:rsid w:val="00367A3B"/>
    <w:rsid w:val="00367AF9"/>
    <w:rsid w:val="00367AFC"/>
    <w:rsid w:val="00367AFF"/>
    <w:rsid w:val="00367B6A"/>
    <w:rsid w:val="00367B88"/>
    <w:rsid w:val="00367B8C"/>
    <w:rsid w:val="00367BB6"/>
    <w:rsid w:val="00367BF6"/>
    <w:rsid w:val="00367BFC"/>
    <w:rsid w:val="00367C10"/>
    <w:rsid w:val="00367C76"/>
    <w:rsid w:val="00367C93"/>
    <w:rsid w:val="00367C95"/>
    <w:rsid w:val="00367CA6"/>
    <w:rsid w:val="00367D51"/>
    <w:rsid w:val="00367DCB"/>
    <w:rsid w:val="00367E62"/>
    <w:rsid w:val="00367E6E"/>
    <w:rsid w:val="00367EC7"/>
    <w:rsid w:val="00367EED"/>
    <w:rsid w:val="00367F1C"/>
    <w:rsid w:val="00367F5C"/>
    <w:rsid w:val="00367FAC"/>
    <w:rsid w:val="0036FFF2"/>
    <w:rsid w:val="003700C3"/>
    <w:rsid w:val="00370141"/>
    <w:rsid w:val="00370142"/>
    <w:rsid w:val="0037015A"/>
    <w:rsid w:val="003701D5"/>
    <w:rsid w:val="00370215"/>
    <w:rsid w:val="00370247"/>
    <w:rsid w:val="0037025E"/>
    <w:rsid w:val="0037026D"/>
    <w:rsid w:val="0037028B"/>
    <w:rsid w:val="00370336"/>
    <w:rsid w:val="00370357"/>
    <w:rsid w:val="0037035E"/>
    <w:rsid w:val="00370388"/>
    <w:rsid w:val="0037038C"/>
    <w:rsid w:val="003703AB"/>
    <w:rsid w:val="003703D6"/>
    <w:rsid w:val="003703FC"/>
    <w:rsid w:val="003703FE"/>
    <w:rsid w:val="0037040A"/>
    <w:rsid w:val="0037045D"/>
    <w:rsid w:val="003704AF"/>
    <w:rsid w:val="003704E8"/>
    <w:rsid w:val="0037054E"/>
    <w:rsid w:val="003705F5"/>
    <w:rsid w:val="003705F8"/>
    <w:rsid w:val="00370604"/>
    <w:rsid w:val="00370607"/>
    <w:rsid w:val="00370611"/>
    <w:rsid w:val="00370612"/>
    <w:rsid w:val="0037061D"/>
    <w:rsid w:val="0037065A"/>
    <w:rsid w:val="003706C1"/>
    <w:rsid w:val="003706D5"/>
    <w:rsid w:val="003706F6"/>
    <w:rsid w:val="00370758"/>
    <w:rsid w:val="00370810"/>
    <w:rsid w:val="00370859"/>
    <w:rsid w:val="0037085F"/>
    <w:rsid w:val="003708A4"/>
    <w:rsid w:val="003708AA"/>
    <w:rsid w:val="003708BB"/>
    <w:rsid w:val="003708BC"/>
    <w:rsid w:val="003708E0"/>
    <w:rsid w:val="0037094D"/>
    <w:rsid w:val="00370956"/>
    <w:rsid w:val="00370987"/>
    <w:rsid w:val="003709D5"/>
    <w:rsid w:val="003709E3"/>
    <w:rsid w:val="003709E4"/>
    <w:rsid w:val="00370B51"/>
    <w:rsid w:val="00370B8F"/>
    <w:rsid w:val="00370BBC"/>
    <w:rsid w:val="00370BC0"/>
    <w:rsid w:val="00370C01"/>
    <w:rsid w:val="00370C26"/>
    <w:rsid w:val="00370C6E"/>
    <w:rsid w:val="00370C95"/>
    <w:rsid w:val="00370CAB"/>
    <w:rsid w:val="00370D98"/>
    <w:rsid w:val="00370E19"/>
    <w:rsid w:val="00370E41"/>
    <w:rsid w:val="00370E7A"/>
    <w:rsid w:val="00370E8A"/>
    <w:rsid w:val="00370EF4"/>
    <w:rsid w:val="00370F07"/>
    <w:rsid w:val="00370F6B"/>
    <w:rsid w:val="00370FB0"/>
    <w:rsid w:val="00370FD0"/>
    <w:rsid w:val="0037101A"/>
    <w:rsid w:val="00371053"/>
    <w:rsid w:val="00371059"/>
    <w:rsid w:val="003710D1"/>
    <w:rsid w:val="00371121"/>
    <w:rsid w:val="00371180"/>
    <w:rsid w:val="00371199"/>
    <w:rsid w:val="003711B5"/>
    <w:rsid w:val="003711EC"/>
    <w:rsid w:val="00371280"/>
    <w:rsid w:val="00371281"/>
    <w:rsid w:val="0037130F"/>
    <w:rsid w:val="0037132F"/>
    <w:rsid w:val="00371394"/>
    <w:rsid w:val="00371438"/>
    <w:rsid w:val="003714B0"/>
    <w:rsid w:val="00371541"/>
    <w:rsid w:val="0037156B"/>
    <w:rsid w:val="00371584"/>
    <w:rsid w:val="003715E7"/>
    <w:rsid w:val="003715EC"/>
    <w:rsid w:val="00371628"/>
    <w:rsid w:val="0037162B"/>
    <w:rsid w:val="00371645"/>
    <w:rsid w:val="00371669"/>
    <w:rsid w:val="00371671"/>
    <w:rsid w:val="003716DC"/>
    <w:rsid w:val="003716E2"/>
    <w:rsid w:val="0037173B"/>
    <w:rsid w:val="00371784"/>
    <w:rsid w:val="0037178D"/>
    <w:rsid w:val="003717CC"/>
    <w:rsid w:val="00371868"/>
    <w:rsid w:val="00371870"/>
    <w:rsid w:val="0037189A"/>
    <w:rsid w:val="003718DC"/>
    <w:rsid w:val="0037196D"/>
    <w:rsid w:val="00371AA7"/>
    <w:rsid w:val="00371AF0"/>
    <w:rsid w:val="00371B0A"/>
    <w:rsid w:val="00371B87"/>
    <w:rsid w:val="00371BA5"/>
    <w:rsid w:val="00371BC6"/>
    <w:rsid w:val="00371BE9"/>
    <w:rsid w:val="00371BF8"/>
    <w:rsid w:val="00371C73"/>
    <w:rsid w:val="00371C7C"/>
    <w:rsid w:val="00371D37"/>
    <w:rsid w:val="00371D45"/>
    <w:rsid w:val="00371D86"/>
    <w:rsid w:val="00371EA8"/>
    <w:rsid w:val="00371EBD"/>
    <w:rsid w:val="00371F03"/>
    <w:rsid w:val="00371F06"/>
    <w:rsid w:val="00371F49"/>
    <w:rsid w:val="00371F6F"/>
    <w:rsid w:val="00371FB5"/>
    <w:rsid w:val="00371FB6"/>
    <w:rsid w:val="00371FDB"/>
    <w:rsid w:val="00371FE3"/>
    <w:rsid w:val="00372024"/>
    <w:rsid w:val="003720AA"/>
    <w:rsid w:val="0037212B"/>
    <w:rsid w:val="0037217E"/>
    <w:rsid w:val="003721AE"/>
    <w:rsid w:val="003721F9"/>
    <w:rsid w:val="00372274"/>
    <w:rsid w:val="003722A5"/>
    <w:rsid w:val="003722C7"/>
    <w:rsid w:val="00372301"/>
    <w:rsid w:val="0037230C"/>
    <w:rsid w:val="00372324"/>
    <w:rsid w:val="003723EE"/>
    <w:rsid w:val="003723FD"/>
    <w:rsid w:val="00372425"/>
    <w:rsid w:val="00372519"/>
    <w:rsid w:val="003725D4"/>
    <w:rsid w:val="003725E6"/>
    <w:rsid w:val="0037267B"/>
    <w:rsid w:val="00372703"/>
    <w:rsid w:val="00372735"/>
    <w:rsid w:val="00372751"/>
    <w:rsid w:val="00372766"/>
    <w:rsid w:val="003727CA"/>
    <w:rsid w:val="003727CC"/>
    <w:rsid w:val="00372873"/>
    <w:rsid w:val="00372894"/>
    <w:rsid w:val="003728BF"/>
    <w:rsid w:val="00372910"/>
    <w:rsid w:val="00372933"/>
    <w:rsid w:val="0037299D"/>
    <w:rsid w:val="003729C2"/>
    <w:rsid w:val="003729F4"/>
    <w:rsid w:val="00372A03"/>
    <w:rsid w:val="00372A2F"/>
    <w:rsid w:val="00372A59"/>
    <w:rsid w:val="00372A8D"/>
    <w:rsid w:val="00372AB3"/>
    <w:rsid w:val="00372AB4"/>
    <w:rsid w:val="00372B7F"/>
    <w:rsid w:val="00372BA4"/>
    <w:rsid w:val="00372BB7"/>
    <w:rsid w:val="00372BCD"/>
    <w:rsid w:val="00372BFC"/>
    <w:rsid w:val="00372BFF"/>
    <w:rsid w:val="00372C18"/>
    <w:rsid w:val="00372C7D"/>
    <w:rsid w:val="00372CDD"/>
    <w:rsid w:val="00372D16"/>
    <w:rsid w:val="00372D94"/>
    <w:rsid w:val="00372DD4"/>
    <w:rsid w:val="00372DDF"/>
    <w:rsid w:val="00372E1A"/>
    <w:rsid w:val="00372E64"/>
    <w:rsid w:val="00372E65"/>
    <w:rsid w:val="00372EFE"/>
    <w:rsid w:val="00372F4C"/>
    <w:rsid w:val="0037301F"/>
    <w:rsid w:val="0037302A"/>
    <w:rsid w:val="00373036"/>
    <w:rsid w:val="0037303A"/>
    <w:rsid w:val="00373162"/>
    <w:rsid w:val="00373189"/>
    <w:rsid w:val="003731F2"/>
    <w:rsid w:val="00373202"/>
    <w:rsid w:val="0037320F"/>
    <w:rsid w:val="00373264"/>
    <w:rsid w:val="003732AD"/>
    <w:rsid w:val="003732CF"/>
    <w:rsid w:val="00373329"/>
    <w:rsid w:val="00373390"/>
    <w:rsid w:val="003733AB"/>
    <w:rsid w:val="00373462"/>
    <w:rsid w:val="00373488"/>
    <w:rsid w:val="003734E8"/>
    <w:rsid w:val="003735AB"/>
    <w:rsid w:val="003735F2"/>
    <w:rsid w:val="0037360B"/>
    <w:rsid w:val="00373633"/>
    <w:rsid w:val="0037363D"/>
    <w:rsid w:val="003736B2"/>
    <w:rsid w:val="003737F9"/>
    <w:rsid w:val="0037381E"/>
    <w:rsid w:val="0037382D"/>
    <w:rsid w:val="00373856"/>
    <w:rsid w:val="0037388F"/>
    <w:rsid w:val="003738D2"/>
    <w:rsid w:val="003738F2"/>
    <w:rsid w:val="003738F3"/>
    <w:rsid w:val="00373920"/>
    <w:rsid w:val="00373923"/>
    <w:rsid w:val="003739C8"/>
    <w:rsid w:val="003739DA"/>
    <w:rsid w:val="00373A47"/>
    <w:rsid w:val="00373A48"/>
    <w:rsid w:val="00373A97"/>
    <w:rsid w:val="00373A9E"/>
    <w:rsid w:val="00373AE4"/>
    <w:rsid w:val="00373B04"/>
    <w:rsid w:val="00373B1F"/>
    <w:rsid w:val="00373B38"/>
    <w:rsid w:val="00373C0D"/>
    <w:rsid w:val="00373C43"/>
    <w:rsid w:val="00373C4C"/>
    <w:rsid w:val="00373C7D"/>
    <w:rsid w:val="00373C95"/>
    <w:rsid w:val="00373D51"/>
    <w:rsid w:val="00373D71"/>
    <w:rsid w:val="00373DF4"/>
    <w:rsid w:val="00373DFC"/>
    <w:rsid w:val="00373EBC"/>
    <w:rsid w:val="00373F1A"/>
    <w:rsid w:val="00373F2D"/>
    <w:rsid w:val="00373F7E"/>
    <w:rsid w:val="00373FC3"/>
    <w:rsid w:val="00373FD7"/>
    <w:rsid w:val="00374018"/>
    <w:rsid w:val="00374055"/>
    <w:rsid w:val="00374113"/>
    <w:rsid w:val="00374145"/>
    <w:rsid w:val="00374153"/>
    <w:rsid w:val="0037416C"/>
    <w:rsid w:val="00374196"/>
    <w:rsid w:val="003741AF"/>
    <w:rsid w:val="003741CE"/>
    <w:rsid w:val="003742B8"/>
    <w:rsid w:val="003742D7"/>
    <w:rsid w:val="003742ED"/>
    <w:rsid w:val="00374305"/>
    <w:rsid w:val="0037433A"/>
    <w:rsid w:val="003743A4"/>
    <w:rsid w:val="003743B0"/>
    <w:rsid w:val="003743B7"/>
    <w:rsid w:val="0037451B"/>
    <w:rsid w:val="003745C7"/>
    <w:rsid w:val="0037460F"/>
    <w:rsid w:val="00374665"/>
    <w:rsid w:val="0037468B"/>
    <w:rsid w:val="0037469A"/>
    <w:rsid w:val="003746A6"/>
    <w:rsid w:val="003746C4"/>
    <w:rsid w:val="00374755"/>
    <w:rsid w:val="003747AD"/>
    <w:rsid w:val="003747EF"/>
    <w:rsid w:val="0037483E"/>
    <w:rsid w:val="003748AE"/>
    <w:rsid w:val="003748B8"/>
    <w:rsid w:val="003748BB"/>
    <w:rsid w:val="0037495A"/>
    <w:rsid w:val="0037496E"/>
    <w:rsid w:val="003749A7"/>
    <w:rsid w:val="003749D1"/>
    <w:rsid w:val="003749FF"/>
    <w:rsid w:val="00374A2C"/>
    <w:rsid w:val="00374A59"/>
    <w:rsid w:val="00374A87"/>
    <w:rsid w:val="00374AB7"/>
    <w:rsid w:val="00374AD7"/>
    <w:rsid w:val="00374B16"/>
    <w:rsid w:val="00374B1B"/>
    <w:rsid w:val="00374B4A"/>
    <w:rsid w:val="00374B8A"/>
    <w:rsid w:val="00374BE2"/>
    <w:rsid w:val="00374C47"/>
    <w:rsid w:val="00374C82"/>
    <w:rsid w:val="00374C99"/>
    <w:rsid w:val="00374CCD"/>
    <w:rsid w:val="00374D77"/>
    <w:rsid w:val="00374DB8"/>
    <w:rsid w:val="00374DD3"/>
    <w:rsid w:val="00374DD4"/>
    <w:rsid w:val="00374E15"/>
    <w:rsid w:val="00374E59"/>
    <w:rsid w:val="00374E83"/>
    <w:rsid w:val="00374E91"/>
    <w:rsid w:val="00374EB4"/>
    <w:rsid w:val="00374EDA"/>
    <w:rsid w:val="00374F14"/>
    <w:rsid w:val="00374F18"/>
    <w:rsid w:val="00374F8D"/>
    <w:rsid w:val="00374FBC"/>
    <w:rsid w:val="00374FC1"/>
    <w:rsid w:val="00374FD6"/>
    <w:rsid w:val="0037501C"/>
    <w:rsid w:val="00375050"/>
    <w:rsid w:val="00375077"/>
    <w:rsid w:val="00375086"/>
    <w:rsid w:val="003750A3"/>
    <w:rsid w:val="00375166"/>
    <w:rsid w:val="00375190"/>
    <w:rsid w:val="00375191"/>
    <w:rsid w:val="0037524A"/>
    <w:rsid w:val="00375257"/>
    <w:rsid w:val="00375258"/>
    <w:rsid w:val="0037526F"/>
    <w:rsid w:val="00375286"/>
    <w:rsid w:val="003752DE"/>
    <w:rsid w:val="003752E8"/>
    <w:rsid w:val="003752FF"/>
    <w:rsid w:val="00375348"/>
    <w:rsid w:val="003753DB"/>
    <w:rsid w:val="00375421"/>
    <w:rsid w:val="003754D7"/>
    <w:rsid w:val="0037550D"/>
    <w:rsid w:val="003755AF"/>
    <w:rsid w:val="00375621"/>
    <w:rsid w:val="003756DE"/>
    <w:rsid w:val="00375742"/>
    <w:rsid w:val="0037578E"/>
    <w:rsid w:val="00375790"/>
    <w:rsid w:val="003757F2"/>
    <w:rsid w:val="00375818"/>
    <w:rsid w:val="0037581B"/>
    <w:rsid w:val="003758B0"/>
    <w:rsid w:val="00375925"/>
    <w:rsid w:val="003759A9"/>
    <w:rsid w:val="003759CC"/>
    <w:rsid w:val="003759DC"/>
    <w:rsid w:val="00375A11"/>
    <w:rsid w:val="00375A30"/>
    <w:rsid w:val="00375A7E"/>
    <w:rsid w:val="00375AF9"/>
    <w:rsid w:val="00375B41"/>
    <w:rsid w:val="00375B7B"/>
    <w:rsid w:val="00375B84"/>
    <w:rsid w:val="00375B8D"/>
    <w:rsid w:val="00375BA5"/>
    <w:rsid w:val="00375BD6"/>
    <w:rsid w:val="00375C13"/>
    <w:rsid w:val="00375C57"/>
    <w:rsid w:val="00375CBF"/>
    <w:rsid w:val="00375D17"/>
    <w:rsid w:val="00375D91"/>
    <w:rsid w:val="00375DAD"/>
    <w:rsid w:val="00375DE3"/>
    <w:rsid w:val="00375DED"/>
    <w:rsid w:val="00375DFE"/>
    <w:rsid w:val="00375E09"/>
    <w:rsid w:val="00375E40"/>
    <w:rsid w:val="00375E85"/>
    <w:rsid w:val="00375FA6"/>
    <w:rsid w:val="00375FF0"/>
    <w:rsid w:val="00376001"/>
    <w:rsid w:val="0037600C"/>
    <w:rsid w:val="00376010"/>
    <w:rsid w:val="00376033"/>
    <w:rsid w:val="00376051"/>
    <w:rsid w:val="0037606A"/>
    <w:rsid w:val="003760C3"/>
    <w:rsid w:val="003760D9"/>
    <w:rsid w:val="00376186"/>
    <w:rsid w:val="003761DF"/>
    <w:rsid w:val="00376216"/>
    <w:rsid w:val="0037627C"/>
    <w:rsid w:val="0037628A"/>
    <w:rsid w:val="00376296"/>
    <w:rsid w:val="003762D0"/>
    <w:rsid w:val="003762DB"/>
    <w:rsid w:val="003762ED"/>
    <w:rsid w:val="00376361"/>
    <w:rsid w:val="003763C4"/>
    <w:rsid w:val="00376401"/>
    <w:rsid w:val="00376415"/>
    <w:rsid w:val="00376452"/>
    <w:rsid w:val="003764BA"/>
    <w:rsid w:val="00376556"/>
    <w:rsid w:val="003765C2"/>
    <w:rsid w:val="0037664C"/>
    <w:rsid w:val="00376693"/>
    <w:rsid w:val="003766F2"/>
    <w:rsid w:val="003766F5"/>
    <w:rsid w:val="00376716"/>
    <w:rsid w:val="00376734"/>
    <w:rsid w:val="00376742"/>
    <w:rsid w:val="00376765"/>
    <w:rsid w:val="00376772"/>
    <w:rsid w:val="003767A2"/>
    <w:rsid w:val="00376877"/>
    <w:rsid w:val="00376899"/>
    <w:rsid w:val="003768D6"/>
    <w:rsid w:val="003768FE"/>
    <w:rsid w:val="0037691C"/>
    <w:rsid w:val="0037698D"/>
    <w:rsid w:val="003769BC"/>
    <w:rsid w:val="003769EE"/>
    <w:rsid w:val="003769F1"/>
    <w:rsid w:val="00376A12"/>
    <w:rsid w:val="00376A2F"/>
    <w:rsid w:val="00376A34"/>
    <w:rsid w:val="00376A39"/>
    <w:rsid w:val="00376A4D"/>
    <w:rsid w:val="00376AA2"/>
    <w:rsid w:val="00376AEB"/>
    <w:rsid w:val="00376AFE"/>
    <w:rsid w:val="00376B08"/>
    <w:rsid w:val="00376B0C"/>
    <w:rsid w:val="00376B0D"/>
    <w:rsid w:val="00376B12"/>
    <w:rsid w:val="00376B4D"/>
    <w:rsid w:val="00376BA4"/>
    <w:rsid w:val="00376BAF"/>
    <w:rsid w:val="00376BD4"/>
    <w:rsid w:val="00376BEA"/>
    <w:rsid w:val="00376C26"/>
    <w:rsid w:val="00376C64"/>
    <w:rsid w:val="00376CBD"/>
    <w:rsid w:val="00376CC6"/>
    <w:rsid w:val="00376D0E"/>
    <w:rsid w:val="00376DB7"/>
    <w:rsid w:val="00376E6F"/>
    <w:rsid w:val="00376E77"/>
    <w:rsid w:val="00376F25"/>
    <w:rsid w:val="00376F31"/>
    <w:rsid w:val="00376F34"/>
    <w:rsid w:val="00376F39"/>
    <w:rsid w:val="00376F82"/>
    <w:rsid w:val="00376F83"/>
    <w:rsid w:val="00376FD7"/>
    <w:rsid w:val="00376FDB"/>
    <w:rsid w:val="00377032"/>
    <w:rsid w:val="00377083"/>
    <w:rsid w:val="00377099"/>
    <w:rsid w:val="003770B6"/>
    <w:rsid w:val="00377104"/>
    <w:rsid w:val="00377121"/>
    <w:rsid w:val="0037719B"/>
    <w:rsid w:val="00377248"/>
    <w:rsid w:val="003772A3"/>
    <w:rsid w:val="003772B9"/>
    <w:rsid w:val="003772CD"/>
    <w:rsid w:val="003772E3"/>
    <w:rsid w:val="003772FE"/>
    <w:rsid w:val="00377311"/>
    <w:rsid w:val="00377381"/>
    <w:rsid w:val="00377388"/>
    <w:rsid w:val="00377397"/>
    <w:rsid w:val="00377413"/>
    <w:rsid w:val="00377426"/>
    <w:rsid w:val="00377437"/>
    <w:rsid w:val="00377466"/>
    <w:rsid w:val="0037749B"/>
    <w:rsid w:val="00377506"/>
    <w:rsid w:val="0037753F"/>
    <w:rsid w:val="003775D6"/>
    <w:rsid w:val="00377600"/>
    <w:rsid w:val="00377605"/>
    <w:rsid w:val="0037760F"/>
    <w:rsid w:val="00377654"/>
    <w:rsid w:val="0037766F"/>
    <w:rsid w:val="00377674"/>
    <w:rsid w:val="00377677"/>
    <w:rsid w:val="0037768A"/>
    <w:rsid w:val="00377706"/>
    <w:rsid w:val="00377740"/>
    <w:rsid w:val="0037775A"/>
    <w:rsid w:val="00377777"/>
    <w:rsid w:val="00377793"/>
    <w:rsid w:val="003777A8"/>
    <w:rsid w:val="003777B4"/>
    <w:rsid w:val="003777B9"/>
    <w:rsid w:val="003777C8"/>
    <w:rsid w:val="003778B0"/>
    <w:rsid w:val="003778BF"/>
    <w:rsid w:val="00377906"/>
    <w:rsid w:val="00377921"/>
    <w:rsid w:val="00377967"/>
    <w:rsid w:val="0037797D"/>
    <w:rsid w:val="003779C2"/>
    <w:rsid w:val="00377A1D"/>
    <w:rsid w:val="00377A4B"/>
    <w:rsid w:val="00377AB1"/>
    <w:rsid w:val="00377AC1"/>
    <w:rsid w:val="00377B37"/>
    <w:rsid w:val="00377B6D"/>
    <w:rsid w:val="00377B86"/>
    <w:rsid w:val="00377BA3"/>
    <w:rsid w:val="00377BC4"/>
    <w:rsid w:val="00377BE4"/>
    <w:rsid w:val="00377BEA"/>
    <w:rsid w:val="00377BED"/>
    <w:rsid w:val="00377BF9"/>
    <w:rsid w:val="00377C30"/>
    <w:rsid w:val="00377C42"/>
    <w:rsid w:val="00377D98"/>
    <w:rsid w:val="00377DE4"/>
    <w:rsid w:val="00377DFA"/>
    <w:rsid w:val="00377E11"/>
    <w:rsid w:val="00377E26"/>
    <w:rsid w:val="00377E3F"/>
    <w:rsid w:val="00377E41"/>
    <w:rsid w:val="00377EA0"/>
    <w:rsid w:val="00377EE5"/>
    <w:rsid w:val="00377F48"/>
    <w:rsid w:val="00377F61"/>
    <w:rsid w:val="00377F8C"/>
    <w:rsid w:val="0037ED93"/>
    <w:rsid w:val="003800D2"/>
    <w:rsid w:val="003800DD"/>
    <w:rsid w:val="00380142"/>
    <w:rsid w:val="00380162"/>
    <w:rsid w:val="00380179"/>
    <w:rsid w:val="0038018A"/>
    <w:rsid w:val="003801CD"/>
    <w:rsid w:val="003801DA"/>
    <w:rsid w:val="00380206"/>
    <w:rsid w:val="00380284"/>
    <w:rsid w:val="00380289"/>
    <w:rsid w:val="00380341"/>
    <w:rsid w:val="00380346"/>
    <w:rsid w:val="003803B0"/>
    <w:rsid w:val="003803BA"/>
    <w:rsid w:val="003803D0"/>
    <w:rsid w:val="00380425"/>
    <w:rsid w:val="00380426"/>
    <w:rsid w:val="003804E7"/>
    <w:rsid w:val="0038052C"/>
    <w:rsid w:val="00380555"/>
    <w:rsid w:val="0038057F"/>
    <w:rsid w:val="00380581"/>
    <w:rsid w:val="00380589"/>
    <w:rsid w:val="0038058C"/>
    <w:rsid w:val="003805BE"/>
    <w:rsid w:val="003805C2"/>
    <w:rsid w:val="003805F6"/>
    <w:rsid w:val="003805F8"/>
    <w:rsid w:val="00380600"/>
    <w:rsid w:val="003806BA"/>
    <w:rsid w:val="00380702"/>
    <w:rsid w:val="0038077E"/>
    <w:rsid w:val="003807F6"/>
    <w:rsid w:val="0038082D"/>
    <w:rsid w:val="0038084E"/>
    <w:rsid w:val="00380850"/>
    <w:rsid w:val="0038085E"/>
    <w:rsid w:val="0038086D"/>
    <w:rsid w:val="0038088B"/>
    <w:rsid w:val="003808D1"/>
    <w:rsid w:val="003808E3"/>
    <w:rsid w:val="003808F1"/>
    <w:rsid w:val="00380943"/>
    <w:rsid w:val="00380969"/>
    <w:rsid w:val="003809F6"/>
    <w:rsid w:val="00380A87"/>
    <w:rsid w:val="00380A96"/>
    <w:rsid w:val="00380ADD"/>
    <w:rsid w:val="00380AEB"/>
    <w:rsid w:val="00380B50"/>
    <w:rsid w:val="00380B62"/>
    <w:rsid w:val="00380B73"/>
    <w:rsid w:val="00380B89"/>
    <w:rsid w:val="00380BE5"/>
    <w:rsid w:val="00380C2B"/>
    <w:rsid w:val="00380C60"/>
    <w:rsid w:val="00380C68"/>
    <w:rsid w:val="00380C6C"/>
    <w:rsid w:val="00380CC8"/>
    <w:rsid w:val="00380CD4"/>
    <w:rsid w:val="00380D17"/>
    <w:rsid w:val="00380D21"/>
    <w:rsid w:val="00380D65"/>
    <w:rsid w:val="00380DB3"/>
    <w:rsid w:val="00380DCF"/>
    <w:rsid w:val="00380E8A"/>
    <w:rsid w:val="00380EDF"/>
    <w:rsid w:val="00380F13"/>
    <w:rsid w:val="00380F96"/>
    <w:rsid w:val="00380F98"/>
    <w:rsid w:val="00380FFF"/>
    <w:rsid w:val="00381016"/>
    <w:rsid w:val="00381018"/>
    <w:rsid w:val="00381024"/>
    <w:rsid w:val="00381037"/>
    <w:rsid w:val="00381046"/>
    <w:rsid w:val="00381089"/>
    <w:rsid w:val="003810BE"/>
    <w:rsid w:val="0038111A"/>
    <w:rsid w:val="00381124"/>
    <w:rsid w:val="00381180"/>
    <w:rsid w:val="0038118B"/>
    <w:rsid w:val="0038118F"/>
    <w:rsid w:val="003811A5"/>
    <w:rsid w:val="003811B6"/>
    <w:rsid w:val="0038124B"/>
    <w:rsid w:val="00381277"/>
    <w:rsid w:val="003812B3"/>
    <w:rsid w:val="003812E9"/>
    <w:rsid w:val="003813A3"/>
    <w:rsid w:val="003813C7"/>
    <w:rsid w:val="003813EE"/>
    <w:rsid w:val="003813F2"/>
    <w:rsid w:val="0038143F"/>
    <w:rsid w:val="00381446"/>
    <w:rsid w:val="00381470"/>
    <w:rsid w:val="003814B5"/>
    <w:rsid w:val="003814BD"/>
    <w:rsid w:val="003814E0"/>
    <w:rsid w:val="00381534"/>
    <w:rsid w:val="00381556"/>
    <w:rsid w:val="003815AE"/>
    <w:rsid w:val="003816A2"/>
    <w:rsid w:val="00381707"/>
    <w:rsid w:val="0038176C"/>
    <w:rsid w:val="003817BA"/>
    <w:rsid w:val="003817CC"/>
    <w:rsid w:val="0038184C"/>
    <w:rsid w:val="003818D6"/>
    <w:rsid w:val="00381900"/>
    <w:rsid w:val="0038192E"/>
    <w:rsid w:val="0038198D"/>
    <w:rsid w:val="003819A1"/>
    <w:rsid w:val="003819C8"/>
    <w:rsid w:val="003819EB"/>
    <w:rsid w:val="00381A3E"/>
    <w:rsid w:val="00381AC9"/>
    <w:rsid w:val="00381AE7"/>
    <w:rsid w:val="00381AF6"/>
    <w:rsid w:val="00381B1B"/>
    <w:rsid w:val="00381B7B"/>
    <w:rsid w:val="00381BBF"/>
    <w:rsid w:val="00381BC1"/>
    <w:rsid w:val="00381BDB"/>
    <w:rsid w:val="00381BE0"/>
    <w:rsid w:val="00381BE1"/>
    <w:rsid w:val="00381C0F"/>
    <w:rsid w:val="00381C1B"/>
    <w:rsid w:val="00381C33"/>
    <w:rsid w:val="00381C89"/>
    <w:rsid w:val="00381D0E"/>
    <w:rsid w:val="00381D12"/>
    <w:rsid w:val="00381D44"/>
    <w:rsid w:val="00381D45"/>
    <w:rsid w:val="00381D71"/>
    <w:rsid w:val="00381DA7"/>
    <w:rsid w:val="00381F1A"/>
    <w:rsid w:val="00381F4F"/>
    <w:rsid w:val="00381F60"/>
    <w:rsid w:val="00381FBE"/>
    <w:rsid w:val="00381FBF"/>
    <w:rsid w:val="00381FCA"/>
    <w:rsid w:val="00382004"/>
    <w:rsid w:val="0038206B"/>
    <w:rsid w:val="003820D2"/>
    <w:rsid w:val="00382132"/>
    <w:rsid w:val="00382159"/>
    <w:rsid w:val="0038215F"/>
    <w:rsid w:val="00382197"/>
    <w:rsid w:val="003821BF"/>
    <w:rsid w:val="003821E9"/>
    <w:rsid w:val="00382217"/>
    <w:rsid w:val="0038225B"/>
    <w:rsid w:val="00382267"/>
    <w:rsid w:val="00382296"/>
    <w:rsid w:val="003822D2"/>
    <w:rsid w:val="0038239B"/>
    <w:rsid w:val="003824B8"/>
    <w:rsid w:val="003824D3"/>
    <w:rsid w:val="003824DC"/>
    <w:rsid w:val="00382501"/>
    <w:rsid w:val="00382507"/>
    <w:rsid w:val="00382511"/>
    <w:rsid w:val="00382515"/>
    <w:rsid w:val="0038253A"/>
    <w:rsid w:val="0038253C"/>
    <w:rsid w:val="00382544"/>
    <w:rsid w:val="00382579"/>
    <w:rsid w:val="00382597"/>
    <w:rsid w:val="0038260A"/>
    <w:rsid w:val="0038261D"/>
    <w:rsid w:val="00382624"/>
    <w:rsid w:val="0038267C"/>
    <w:rsid w:val="003826DB"/>
    <w:rsid w:val="00382717"/>
    <w:rsid w:val="00382719"/>
    <w:rsid w:val="003827A4"/>
    <w:rsid w:val="0038284F"/>
    <w:rsid w:val="00382860"/>
    <w:rsid w:val="00382898"/>
    <w:rsid w:val="003828AE"/>
    <w:rsid w:val="00382902"/>
    <w:rsid w:val="003829B2"/>
    <w:rsid w:val="00382A1A"/>
    <w:rsid w:val="00382A4D"/>
    <w:rsid w:val="00382AA2"/>
    <w:rsid w:val="00382AAB"/>
    <w:rsid w:val="00382AB5"/>
    <w:rsid w:val="00382B1E"/>
    <w:rsid w:val="00382B52"/>
    <w:rsid w:val="00382B6A"/>
    <w:rsid w:val="00382BFC"/>
    <w:rsid w:val="00382C25"/>
    <w:rsid w:val="00382C4D"/>
    <w:rsid w:val="00382C6A"/>
    <w:rsid w:val="00382D05"/>
    <w:rsid w:val="00382D06"/>
    <w:rsid w:val="00382D2B"/>
    <w:rsid w:val="00382D69"/>
    <w:rsid w:val="00382DA6"/>
    <w:rsid w:val="00382DD2"/>
    <w:rsid w:val="00382E18"/>
    <w:rsid w:val="00382E24"/>
    <w:rsid w:val="00382E61"/>
    <w:rsid w:val="00382E62"/>
    <w:rsid w:val="00382E6A"/>
    <w:rsid w:val="00382EB4"/>
    <w:rsid w:val="00382F44"/>
    <w:rsid w:val="00382F8A"/>
    <w:rsid w:val="00382FF7"/>
    <w:rsid w:val="00382FF9"/>
    <w:rsid w:val="00383016"/>
    <w:rsid w:val="00383061"/>
    <w:rsid w:val="00383062"/>
    <w:rsid w:val="00383084"/>
    <w:rsid w:val="003830AD"/>
    <w:rsid w:val="003830EC"/>
    <w:rsid w:val="003830FC"/>
    <w:rsid w:val="00383142"/>
    <w:rsid w:val="0038317D"/>
    <w:rsid w:val="00383191"/>
    <w:rsid w:val="00383303"/>
    <w:rsid w:val="0038333B"/>
    <w:rsid w:val="00383353"/>
    <w:rsid w:val="003833A0"/>
    <w:rsid w:val="003833BA"/>
    <w:rsid w:val="0038340D"/>
    <w:rsid w:val="0038353E"/>
    <w:rsid w:val="0038363D"/>
    <w:rsid w:val="0038367D"/>
    <w:rsid w:val="0038368A"/>
    <w:rsid w:val="003836F5"/>
    <w:rsid w:val="003836FC"/>
    <w:rsid w:val="00383851"/>
    <w:rsid w:val="0038389B"/>
    <w:rsid w:val="003838CE"/>
    <w:rsid w:val="0038391A"/>
    <w:rsid w:val="00383953"/>
    <w:rsid w:val="0038396E"/>
    <w:rsid w:val="003839D0"/>
    <w:rsid w:val="003839D6"/>
    <w:rsid w:val="00383A24"/>
    <w:rsid w:val="00383A94"/>
    <w:rsid w:val="00383A9E"/>
    <w:rsid w:val="00383AE3"/>
    <w:rsid w:val="00383B4A"/>
    <w:rsid w:val="00383B56"/>
    <w:rsid w:val="00383B92"/>
    <w:rsid w:val="00383B9C"/>
    <w:rsid w:val="00383BA3"/>
    <w:rsid w:val="00383BBA"/>
    <w:rsid w:val="00383BE2"/>
    <w:rsid w:val="00383BF7"/>
    <w:rsid w:val="00383C0A"/>
    <w:rsid w:val="00383C0C"/>
    <w:rsid w:val="00383C3F"/>
    <w:rsid w:val="00383C84"/>
    <w:rsid w:val="00383CEE"/>
    <w:rsid w:val="00383CF7"/>
    <w:rsid w:val="00383D17"/>
    <w:rsid w:val="00383D2F"/>
    <w:rsid w:val="00383D57"/>
    <w:rsid w:val="00383D8B"/>
    <w:rsid w:val="00383DA0"/>
    <w:rsid w:val="00383DBF"/>
    <w:rsid w:val="00383E1A"/>
    <w:rsid w:val="00383E2E"/>
    <w:rsid w:val="00383E48"/>
    <w:rsid w:val="00383E69"/>
    <w:rsid w:val="00383E6B"/>
    <w:rsid w:val="00383EE0"/>
    <w:rsid w:val="00383EF5"/>
    <w:rsid w:val="00383FA4"/>
    <w:rsid w:val="00383FC3"/>
    <w:rsid w:val="00383FE6"/>
    <w:rsid w:val="00384023"/>
    <w:rsid w:val="0038402C"/>
    <w:rsid w:val="003840A8"/>
    <w:rsid w:val="003840D7"/>
    <w:rsid w:val="003840F6"/>
    <w:rsid w:val="003841EA"/>
    <w:rsid w:val="00384223"/>
    <w:rsid w:val="003842B5"/>
    <w:rsid w:val="003842B6"/>
    <w:rsid w:val="003843AC"/>
    <w:rsid w:val="003844A4"/>
    <w:rsid w:val="00384574"/>
    <w:rsid w:val="003845E9"/>
    <w:rsid w:val="003846F3"/>
    <w:rsid w:val="003846F7"/>
    <w:rsid w:val="0038478C"/>
    <w:rsid w:val="003847F1"/>
    <w:rsid w:val="0038481E"/>
    <w:rsid w:val="00384876"/>
    <w:rsid w:val="00384880"/>
    <w:rsid w:val="00384899"/>
    <w:rsid w:val="0038489D"/>
    <w:rsid w:val="003848BB"/>
    <w:rsid w:val="003848DB"/>
    <w:rsid w:val="003848E7"/>
    <w:rsid w:val="00384927"/>
    <w:rsid w:val="0038495E"/>
    <w:rsid w:val="003849BD"/>
    <w:rsid w:val="003849D1"/>
    <w:rsid w:val="003849E4"/>
    <w:rsid w:val="003849ED"/>
    <w:rsid w:val="003849FA"/>
    <w:rsid w:val="00384A12"/>
    <w:rsid w:val="00384AC0"/>
    <w:rsid w:val="00384AC6"/>
    <w:rsid w:val="00384AE0"/>
    <w:rsid w:val="00384AF4"/>
    <w:rsid w:val="00384B1D"/>
    <w:rsid w:val="00384B1E"/>
    <w:rsid w:val="00384B97"/>
    <w:rsid w:val="00384BEA"/>
    <w:rsid w:val="00384C16"/>
    <w:rsid w:val="00384C67"/>
    <w:rsid w:val="00384C6B"/>
    <w:rsid w:val="00384C82"/>
    <w:rsid w:val="00384CA9"/>
    <w:rsid w:val="00384CC7"/>
    <w:rsid w:val="00384CD1"/>
    <w:rsid w:val="00384CD2"/>
    <w:rsid w:val="00384CDA"/>
    <w:rsid w:val="00384D21"/>
    <w:rsid w:val="00384D51"/>
    <w:rsid w:val="00384DAD"/>
    <w:rsid w:val="00384DBD"/>
    <w:rsid w:val="00384DD0"/>
    <w:rsid w:val="00384DEA"/>
    <w:rsid w:val="00384EA5"/>
    <w:rsid w:val="00384ECC"/>
    <w:rsid w:val="00384F0D"/>
    <w:rsid w:val="00384F0E"/>
    <w:rsid w:val="00384F60"/>
    <w:rsid w:val="00385002"/>
    <w:rsid w:val="0038503A"/>
    <w:rsid w:val="00385069"/>
    <w:rsid w:val="00385195"/>
    <w:rsid w:val="0038519E"/>
    <w:rsid w:val="00385238"/>
    <w:rsid w:val="00385246"/>
    <w:rsid w:val="00385260"/>
    <w:rsid w:val="00385333"/>
    <w:rsid w:val="00385354"/>
    <w:rsid w:val="003853C7"/>
    <w:rsid w:val="003853CD"/>
    <w:rsid w:val="003853FF"/>
    <w:rsid w:val="00385457"/>
    <w:rsid w:val="00385468"/>
    <w:rsid w:val="0038548F"/>
    <w:rsid w:val="003854D6"/>
    <w:rsid w:val="00385515"/>
    <w:rsid w:val="003855C5"/>
    <w:rsid w:val="00385629"/>
    <w:rsid w:val="0038571A"/>
    <w:rsid w:val="0038575C"/>
    <w:rsid w:val="003857A4"/>
    <w:rsid w:val="003857FC"/>
    <w:rsid w:val="00385815"/>
    <w:rsid w:val="00385891"/>
    <w:rsid w:val="00385900"/>
    <w:rsid w:val="00385925"/>
    <w:rsid w:val="00385978"/>
    <w:rsid w:val="0038597E"/>
    <w:rsid w:val="003859DC"/>
    <w:rsid w:val="00385A11"/>
    <w:rsid w:val="00385A15"/>
    <w:rsid w:val="00385A1E"/>
    <w:rsid w:val="00385A22"/>
    <w:rsid w:val="00385A5C"/>
    <w:rsid w:val="00385AAD"/>
    <w:rsid w:val="00385ACC"/>
    <w:rsid w:val="00385B10"/>
    <w:rsid w:val="00385B23"/>
    <w:rsid w:val="00385B2F"/>
    <w:rsid w:val="00385B7D"/>
    <w:rsid w:val="00385BBE"/>
    <w:rsid w:val="00385BC6"/>
    <w:rsid w:val="00385BD2"/>
    <w:rsid w:val="00385C2D"/>
    <w:rsid w:val="00385C3F"/>
    <w:rsid w:val="00385C6F"/>
    <w:rsid w:val="00385CFB"/>
    <w:rsid w:val="00385D0B"/>
    <w:rsid w:val="00385E16"/>
    <w:rsid w:val="00385E52"/>
    <w:rsid w:val="00385EA9"/>
    <w:rsid w:val="00385EC5"/>
    <w:rsid w:val="00385EE2"/>
    <w:rsid w:val="00385F22"/>
    <w:rsid w:val="00385F33"/>
    <w:rsid w:val="00385F61"/>
    <w:rsid w:val="00385F9A"/>
    <w:rsid w:val="00385FAE"/>
    <w:rsid w:val="00385FB8"/>
    <w:rsid w:val="0038605E"/>
    <w:rsid w:val="003860B9"/>
    <w:rsid w:val="003860DC"/>
    <w:rsid w:val="0038610F"/>
    <w:rsid w:val="00386125"/>
    <w:rsid w:val="003861C2"/>
    <w:rsid w:val="003861D7"/>
    <w:rsid w:val="00386266"/>
    <w:rsid w:val="00386272"/>
    <w:rsid w:val="003862B1"/>
    <w:rsid w:val="00386328"/>
    <w:rsid w:val="00386399"/>
    <w:rsid w:val="003863B8"/>
    <w:rsid w:val="003863CB"/>
    <w:rsid w:val="003863CD"/>
    <w:rsid w:val="003864B3"/>
    <w:rsid w:val="003864CF"/>
    <w:rsid w:val="003864F4"/>
    <w:rsid w:val="003864F8"/>
    <w:rsid w:val="00386509"/>
    <w:rsid w:val="00386523"/>
    <w:rsid w:val="00386575"/>
    <w:rsid w:val="003865EE"/>
    <w:rsid w:val="00386623"/>
    <w:rsid w:val="00386685"/>
    <w:rsid w:val="003866A9"/>
    <w:rsid w:val="00386710"/>
    <w:rsid w:val="0038672F"/>
    <w:rsid w:val="0038677B"/>
    <w:rsid w:val="003867A9"/>
    <w:rsid w:val="003867B6"/>
    <w:rsid w:val="003867CE"/>
    <w:rsid w:val="003867D5"/>
    <w:rsid w:val="003867DA"/>
    <w:rsid w:val="003867DE"/>
    <w:rsid w:val="003867E3"/>
    <w:rsid w:val="00386842"/>
    <w:rsid w:val="0038684C"/>
    <w:rsid w:val="00386861"/>
    <w:rsid w:val="003868CE"/>
    <w:rsid w:val="003868E5"/>
    <w:rsid w:val="003868F6"/>
    <w:rsid w:val="0038690C"/>
    <w:rsid w:val="00386936"/>
    <w:rsid w:val="00386960"/>
    <w:rsid w:val="00386980"/>
    <w:rsid w:val="003869AA"/>
    <w:rsid w:val="003869FD"/>
    <w:rsid w:val="00386A80"/>
    <w:rsid w:val="00386A98"/>
    <w:rsid w:val="00386A9D"/>
    <w:rsid w:val="00386AE8"/>
    <w:rsid w:val="00386AE9"/>
    <w:rsid w:val="00386B5C"/>
    <w:rsid w:val="00386BA1"/>
    <w:rsid w:val="00386BBF"/>
    <w:rsid w:val="00386C28"/>
    <w:rsid w:val="00386C3A"/>
    <w:rsid w:val="00386C4F"/>
    <w:rsid w:val="00386CBE"/>
    <w:rsid w:val="00386D26"/>
    <w:rsid w:val="00386D37"/>
    <w:rsid w:val="00386D3F"/>
    <w:rsid w:val="00386D6E"/>
    <w:rsid w:val="00386D7A"/>
    <w:rsid w:val="00386DBF"/>
    <w:rsid w:val="00386E18"/>
    <w:rsid w:val="00386E3F"/>
    <w:rsid w:val="00386EBD"/>
    <w:rsid w:val="00386F39"/>
    <w:rsid w:val="00386F55"/>
    <w:rsid w:val="00386F67"/>
    <w:rsid w:val="00386F69"/>
    <w:rsid w:val="00387055"/>
    <w:rsid w:val="0038705E"/>
    <w:rsid w:val="003870D0"/>
    <w:rsid w:val="0038713A"/>
    <w:rsid w:val="00387179"/>
    <w:rsid w:val="00387191"/>
    <w:rsid w:val="003871CF"/>
    <w:rsid w:val="0038720A"/>
    <w:rsid w:val="003872D2"/>
    <w:rsid w:val="003872EB"/>
    <w:rsid w:val="003872F6"/>
    <w:rsid w:val="00387318"/>
    <w:rsid w:val="00387369"/>
    <w:rsid w:val="003873B7"/>
    <w:rsid w:val="003873C7"/>
    <w:rsid w:val="00387405"/>
    <w:rsid w:val="003874B4"/>
    <w:rsid w:val="00387503"/>
    <w:rsid w:val="0038758B"/>
    <w:rsid w:val="003875D5"/>
    <w:rsid w:val="0038764C"/>
    <w:rsid w:val="003876B3"/>
    <w:rsid w:val="00387704"/>
    <w:rsid w:val="00387774"/>
    <w:rsid w:val="003877BF"/>
    <w:rsid w:val="003877C8"/>
    <w:rsid w:val="00387812"/>
    <w:rsid w:val="00387813"/>
    <w:rsid w:val="00387829"/>
    <w:rsid w:val="00387831"/>
    <w:rsid w:val="00387842"/>
    <w:rsid w:val="0038789B"/>
    <w:rsid w:val="003878A1"/>
    <w:rsid w:val="003878DE"/>
    <w:rsid w:val="003878F7"/>
    <w:rsid w:val="003878FF"/>
    <w:rsid w:val="003879BC"/>
    <w:rsid w:val="003879D1"/>
    <w:rsid w:val="003879F5"/>
    <w:rsid w:val="00387A0E"/>
    <w:rsid w:val="00387BC5"/>
    <w:rsid w:val="00387BF3"/>
    <w:rsid w:val="00387C16"/>
    <w:rsid w:val="00387C1E"/>
    <w:rsid w:val="00387C52"/>
    <w:rsid w:val="00387C5B"/>
    <w:rsid w:val="00387CE6"/>
    <w:rsid w:val="00387CE9"/>
    <w:rsid w:val="00387D48"/>
    <w:rsid w:val="00387D4E"/>
    <w:rsid w:val="00387DA7"/>
    <w:rsid w:val="00387DE1"/>
    <w:rsid w:val="00387E7B"/>
    <w:rsid w:val="00387E89"/>
    <w:rsid w:val="00387F12"/>
    <w:rsid w:val="00387F5B"/>
    <w:rsid w:val="00387F65"/>
    <w:rsid w:val="00387F97"/>
    <w:rsid w:val="00387FC1"/>
    <w:rsid w:val="00390055"/>
    <w:rsid w:val="0039005D"/>
    <w:rsid w:val="003900A2"/>
    <w:rsid w:val="003900AE"/>
    <w:rsid w:val="0039012C"/>
    <w:rsid w:val="003901E0"/>
    <w:rsid w:val="00390205"/>
    <w:rsid w:val="0039020B"/>
    <w:rsid w:val="003902D3"/>
    <w:rsid w:val="003902DB"/>
    <w:rsid w:val="003902F1"/>
    <w:rsid w:val="00390304"/>
    <w:rsid w:val="003903A1"/>
    <w:rsid w:val="003903A9"/>
    <w:rsid w:val="003903C8"/>
    <w:rsid w:val="003903F3"/>
    <w:rsid w:val="0039040A"/>
    <w:rsid w:val="0039046B"/>
    <w:rsid w:val="00390485"/>
    <w:rsid w:val="00390493"/>
    <w:rsid w:val="003904C5"/>
    <w:rsid w:val="003904F3"/>
    <w:rsid w:val="003904FF"/>
    <w:rsid w:val="00390503"/>
    <w:rsid w:val="0039054D"/>
    <w:rsid w:val="00390571"/>
    <w:rsid w:val="003905C8"/>
    <w:rsid w:val="003905F3"/>
    <w:rsid w:val="003905F7"/>
    <w:rsid w:val="00390633"/>
    <w:rsid w:val="0039065F"/>
    <w:rsid w:val="0039069E"/>
    <w:rsid w:val="0039070E"/>
    <w:rsid w:val="00390720"/>
    <w:rsid w:val="003907E5"/>
    <w:rsid w:val="003907F6"/>
    <w:rsid w:val="00390825"/>
    <w:rsid w:val="0039088A"/>
    <w:rsid w:val="003908AE"/>
    <w:rsid w:val="00390901"/>
    <w:rsid w:val="00390940"/>
    <w:rsid w:val="00390964"/>
    <w:rsid w:val="0039098E"/>
    <w:rsid w:val="00390A84"/>
    <w:rsid w:val="00390AA0"/>
    <w:rsid w:val="00390ABE"/>
    <w:rsid w:val="00390ACF"/>
    <w:rsid w:val="00390B42"/>
    <w:rsid w:val="00390B43"/>
    <w:rsid w:val="00390B48"/>
    <w:rsid w:val="00390B7B"/>
    <w:rsid w:val="00390B94"/>
    <w:rsid w:val="00390BAC"/>
    <w:rsid w:val="00390BEF"/>
    <w:rsid w:val="00390C42"/>
    <w:rsid w:val="00390C6D"/>
    <w:rsid w:val="00390CC6"/>
    <w:rsid w:val="00390D1A"/>
    <w:rsid w:val="00390D1E"/>
    <w:rsid w:val="00390DC5"/>
    <w:rsid w:val="00390E6E"/>
    <w:rsid w:val="00390E71"/>
    <w:rsid w:val="00390E95"/>
    <w:rsid w:val="00390E98"/>
    <w:rsid w:val="00390EC0"/>
    <w:rsid w:val="00390F84"/>
    <w:rsid w:val="00390FB8"/>
    <w:rsid w:val="00391001"/>
    <w:rsid w:val="00391008"/>
    <w:rsid w:val="00391058"/>
    <w:rsid w:val="00391059"/>
    <w:rsid w:val="00391078"/>
    <w:rsid w:val="00391094"/>
    <w:rsid w:val="003910A6"/>
    <w:rsid w:val="00391115"/>
    <w:rsid w:val="0039112D"/>
    <w:rsid w:val="00391132"/>
    <w:rsid w:val="00391189"/>
    <w:rsid w:val="0039118F"/>
    <w:rsid w:val="0039119A"/>
    <w:rsid w:val="003911D7"/>
    <w:rsid w:val="003911E3"/>
    <w:rsid w:val="0039127E"/>
    <w:rsid w:val="00391280"/>
    <w:rsid w:val="00391339"/>
    <w:rsid w:val="00391372"/>
    <w:rsid w:val="00391392"/>
    <w:rsid w:val="003913A7"/>
    <w:rsid w:val="003913D8"/>
    <w:rsid w:val="00391431"/>
    <w:rsid w:val="00391435"/>
    <w:rsid w:val="00391437"/>
    <w:rsid w:val="003914AC"/>
    <w:rsid w:val="00391511"/>
    <w:rsid w:val="00391537"/>
    <w:rsid w:val="00391596"/>
    <w:rsid w:val="0039159F"/>
    <w:rsid w:val="003915D0"/>
    <w:rsid w:val="003915D1"/>
    <w:rsid w:val="0039165C"/>
    <w:rsid w:val="003916A1"/>
    <w:rsid w:val="003916CA"/>
    <w:rsid w:val="003916CB"/>
    <w:rsid w:val="003916FE"/>
    <w:rsid w:val="00391751"/>
    <w:rsid w:val="00391758"/>
    <w:rsid w:val="0039175A"/>
    <w:rsid w:val="0039179E"/>
    <w:rsid w:val="003917A9"/>
    <w:rsid w:val="003917CE"/>
    <w:rsid w:val="00391833"/>
    <w:rsid w:val="00391870"/>
    <w:rsid w:val="003918B4"/>
    <w:rsid w:val="00391944"/>
    <w:rsid w:val="003919B7"/>
    <w:rsid w:val="00391A3A"/>
    <w:rsid w:val="00391A78"/>
    <w:rsid w:val="00391A99"/>
    <w:rsid w:val="00391AA4"/>
    <w:rsid w:val="00391AD6"/>
    <w:rsid w:val="00391B45"/>
    <w:rsid w:val="00391B4C"/>
    <w:rsid w:val="00391B5A"/>
    <w:rsid w:val="00391B64"/>
    <w:rsid w:val="00391B83"/>
    <w:rsid w:val="00391C31"/>
    <w:rsid w:val="00391CAD"/>
    <w:rsid w:val="00391CB6"/>
    <w:rsid w:val="00391CBF"/>
    <w:rsid w:val="00391CFA"/>
    <w:rsid w:val="00391D6C"/>
    <w:rsid w:val="00391D83"/>
    <w:rsid w:val="00391DB1"/>
    <w:rsid w:val="00391DF6"/>
    <w:rsid w:val="00391DF7"/>
    <w:rsid w:val="00391DFA"/>
    <w:rsid w:val="00391E23"/>
    <w:rsid w:val="00391E43"/>
    <w:rsid w:val="00391E72"/>
    <w:rsid w:val="00391E91"/>
    <w:rsid w:val="00391EA3"/>
    <w:rsid w:val="00391EF4"/>
    <w:rsid w:val="00391FC0"/>
    <w:rsid w:val="00391FEE"/>
    <w:rsid w:val="00392020"/>
    <w:rsid w:val="0039204D"/>
    <w:rsid w:val="003920B6"/>
    <w:rsid w:val="003920C4"/>
    <w:rsid w:val="00392141"/>
    <w:rsid w:val="00392162"/>
    <w:rsid w:val="003921A3"/>
    <w:rsid w:val="003921DF"/>
    <w:rsid w:val="003922CA"/>
    <w:rsid w:val="003922D5"/>
    <w:rsid w:val="003922D9"/>
    <w:rsid w:val="003922EF"/>
    <w:rsid w:val="003922FB"/>
    <w:rsid w:val="003923AB"/>
    <w:rsid w:val="003923CE"/>
    <w:rsid w:val="00392443"/>
    <w:rsid w:val="003924B3"/>
    <w:rsid w:val="003924B5"/>
    <w:rsid w:val="003924F0"/>
    <w:rsid w:val="00392513"/>
    <w:rsid w:val="00392566"/>
    <w:rsid w:val="003925AC"/>
    <w:rsid w:val="003925D0"/>
    <w:rsid w:val="003925D3"/>
    <w:rsid w:val="0039265D"/>
    <w:rsid w:val="003926B1"/>
    <w:rsid w:val="003926D8"/>
    <w:rsid w:val="003926DD"/>
    <w:rsid w:val="003926E5"/>
    <w:rsid w:val="003926F0"/>
    <w:rsid w:val="00392733"/>
    <w:rsid w:val="00392756"/>
    <w:rsid w:val="00392764"/>
    <w:rsid w:val="00392831"/>
    <w:rsid w:val="0039289C"/>
    <w:rsid w:val="003928D7"/>
    <w:rsid w:val="0039291D"/>
    <w:rsid w:val="0039292A"/>
    <w:rsid w:val="0039293D"/>
    <w:rsid w:val="003929AF"/>
    <w:rsid w:val="003929EC"/>
    <w:rsid w:val="00392A45"/>
    <w:rsid w:val="00392A54"/>
    <w:rsid w:val="00392A55"/>
    <w:rsid w:val="00392A9A"/>
    <w:rsid w:val="00392AC4"/>
    <w:rsid w:val="00392B28"/>
    <w:rsid w:val="00392B81"/>
    <w:rsid w:val="00392BC8"/>
    <w:rsid w:val="00392CDC"/>
    <w:rsid w:val="00392D13"/>
    <w:rsid w:val="00392D60"/>
    <w:rsid w:val="00392D83"/>
    <w:rsid w:val="00392D8C"/>
    <w:rsid w:val="00392D99"/>
    <w:rsid w:val="00392DBB"/>
    <w:rsid w:val="00392DD4"/>
    <w:rsid w:val="00392DDE"/>
    <w:rsid w:val="00392DFA"/>
    <w:rsid w:val="00392E14"/>
    <w:rsid w:val="00392E8E"/>
    <w:rsid w:val="00392EA4"/>
    <w:rsid w:val="00392F0D"/>
    <w:rsid w:val="00392F76"/>
    <w:rsid w:val="00392FC2"/>
    <w:rsid w:val="00393020"/>
    <w:rsid w:val="003930B3"/>
    <w:rsid w:val="00393117"/>
    <w:rsid w:val="00393198"/>
    <w:rsid w:val="003931AA"/>
    <w:rsid w:val="003931F5"/>
    <w:rsid w:val="00393213"/>
    <w:rsid w:val="0039326D"/>
    <w:rsid w:val="003932DF"/>
    <w:rsid w:val="00393337"/>
    <w:rsid w:val="00393338"/>
    <w:rsid w:val="0039333F"/>
    <w:rsid w:val="00393362"/>
    <w:rsid w:val="0039336C"/>
    <w:rsid w:val="00393390"/>
    <w:rsid w:val="00393417"/>
    <w:rsid w:val="0039343F"/>
    <w:rsid w:val="0039344B"/>
    <w:rsid w:val="003934A3"/>
    <w:rsid w:val="003934A9"/>
    <w:rsid w:val="003934BD"/>
    <w:rsid w:val="003934C4"/>
    <w:rsid w:val="003934E3"/>
    <w:rsid w:val="00393503"/>
    <w:rsid w:val="00393510"/>
    <w:rsid w:val="0039357C"/>
    <w:rsid w:val="00393593"/>
    <w:rsid w:val="003935D3"/>
    <w:rsid w:val="00393602"/>
    <w:rsid w:val="003936AC"/>
    <w:rsid w:val="003936CB"/>
    <w:rsid w:val="003936CF"/>
    <w:rsid w:val="003936D2"/>
    <w:rsid w:val="00393738"/>
    <w:rsid w:val="00393749"/>
    <w:rsid w:val="00393773"/>
    <w:rsid w:val="00393791"/>
    <w:rsid w:val="003937AA"/>
    <w:rsid w:val="0039380D"/>
    <w:rsid w:val="0039382A"/>
    <w:rsid w:val="00393836"/>
    <w:rsid w:val="003938F6"/>
    <w:rsid w:val="00393931"/>
    <w:rsid w:val="00393940"/>
    <w:rsid w:val="00393972"/>
    <w:rsid w:val="00393992"/>
    <w:rsid w:val="003939AB"/>
    <w:rsid w:val="003939B2"/>
    <w:rsid w:val="003939E0"/>
    <w:rsid w:val="00393A30"/>
    <w:rsid w:val="00393A57"/>
    <w:rsid w:val="00393AB2"/>
    <w:rsid w:val="00393AE7"/>
    <w:rsid w:val="00393AFC"/>
    <w:rsid w:val="00393B35"/>
    <w:rsid w:val="00393B6B"/>
    <w:rsid w:val="00393C0A"/>
    <w:rsid w:val="00393C0F"/>
    <w:rsid w:val="00393C21"/>
    <w:rsid w:val="00393C72"/>
    <w:rsid w:val="00393C8A"/>
    <w:rsid w:val="00393CC1"/>
    <w:rsid w:val="00393CE9"/>
    <w:rsid w:val="00393D3C"/>
    <w:rsid w:val="00393D94"/>
    <w:rsid w:val="00393DA5"/>
    <w:rsid w:val="00393DB6"/>
    <w:rsid w:val="00393E03"/>
    <w:rsid w:val="00393E8A"/>
    <w:rsid w:val="00393EC3"/>
    <w:rsid w:val="00393EDD"/>
    <w:rsid w:val="00393FBB"/>
    <w:rsid w:val="0039400E"/>
    <w:rsid w:val="00394030"/>
    <w:rsid w:val="00394045"/>
    <w:rsid w:val="0039404D"/>
    <w:rsid w:val="00394065"/>
    <w:rsid w:val="00394087"/>
    <w:rsid w:val="0039410C"/>
    <w:rsid w:val="00394121"/>
    <w:rsid w:val="00394153"/>
    <w:rsid w:val="0039419E"/>
    <w:rsid w:val="003941CE"/>
    <w:rsid w:val="00394217"/>
    <w:rsid w:val="0039422B"/>
    <w:rsid w:val="00394266"/>
    <w:rsid w:val="003942B3"/>
    <w:rsid w:val="003942B8"/>
    <w:rsid w:val="003942CC"/>
    <w:rsid w:val="0039436C"/>
    <w:rsid w:val="003943BF"/>
    <w:rsid w:val="00394410"/>
    <w:rsid w:val="00394437"/>
    <w:rsid w:val="003944A9"/>
    <w:rsid w:val="003944BB"/>
    <w:rsid w:val="003944C3"/>
    <w:rsid w:val="003944C8"/>
    <w:rsid w:val="00394504"/>
    <w:rsid w:val="00394511"/>
    <w:rsid w:val="00394518"/>
    <w:rsid w:val="003945CE"/>
    <w:rsid w:val="003946A6"/>
    <w:rsid w:val="003946A8"/>
    <w:rsid w:val="003946F0"/>
    <w:rsid w:val="00394830"/>
    <w:rsid w:val="0039485E"/>
    <w:rsid w:val="00394864"/>
    <w:rsid w:val="003948C0"/>
    <w:rsid w:val="00394902"/>
    <w:rsid w:val="00394920"/>
    <w:rsid w:val="003949D2"/>
    <w:rsid w:val="003949E2"/>
    <w:rsid w:val="00394A2B"/>
    <w:rsid w:val="00394A42"/>
    <w:rsid w:val="00394A98"/>
    <w:rsid w:val="00394AEC"/>
    <w:rsid w:val="00394B16"/>
    <w:rsid w:val="00394B4F"/>
    <w:rsid w:val="00394B86"/>
    <w:rsid w:val="00394BC1"/>
    <w:rsid w:val="00394BD1"/>
    <w:rsid w:val="00394BF6"/>
    <w:rsid w:val="00394C02"/>
    <w:rsid w:val="00394C38"/>
    <w:rsid w:val="00394D71"/>
    <w:rsid w:val="00394D7B"/>
    <w:rsid w:val="00394E44"/>
    <w:rsid w:val="00394E4B"/>
    <w:rsid w:val="00394EB9"/>
    <w:rsid w:val="00394F03"/>
    <w:rsid w:val="00394F25"/>
    <w:rsid w:val="00394F36"/>
    <w:rsid w:val="00394F58"/>
    <w:rsid w:val="00394F86"/>
    <w:rsid w:val="00394FCF"/>
    <w:rsid w:val="0039505A"/>
    <w:rsid w:val="00395085"/>
    <w:rsid w:val="003950CE"/>
    <w:rsid w:val="00395128"/>
    <w:rsid w:val="00395141"/>
    <w:rsid w:val="003951A1"/>
    <w:rsid w:val="0039520D"/>
    <w:rsid w:val="0039523E"/>
    <w:rsid w:val="00395253"/>
    <w:rsid w:val="003952D0"/>
    <w:rsid w:val="003952FB"/>
    <w:rsid w:val="00395382"/>
    <w:rsid w:val="003953D3"/>
    <w:rsid w:val="0039540C"/>
    <w:rsid w:val="0039549C"/>
    <w:rsid w:val="0039554A"/>
    <w:rsid w:val="00395573"/>
    <w:rsid w:val="003955DD"/>
    <w:rsid w:val="003955EF"/>
    <w:rsid w:val="00395671"/>
    <w:rsid w:val="0039568A"/>
    <w:rsid w:val="003956C0"/>
    <w:rsid w:val="003956EE"/>
    <w:rsid w:val="0039577C"/>
    <w:rsid w:val="003957DB"/>
    <w:rsid w:val="00395841"/>
    <w:rsid w:val="00395863"/>
    <w:rsid w:val="00395875"/>
    <w:rsid w:val="00395897"/>
    <w:rsid w:val="003958AB"/>
    <w:rsid w:val="003958BC"/>
    <w:rsid w:val="003958CB"/>
    <w:rsid w:val="0039590A"/>
    <w:rsid w:val="00395912"/>
    <w:rsid w:val="00395933"/>
    <w:rsid w:val="00395A21"/>
    <w:rsid w:val="00395A26"/>
    <w:rsid w:val="00395A51"/>
    <w:rsid w:val="00395A8F"/>
    <w:rsid w:val="00395AA8"/>
    <w:rsid w:val="00395AAC"/>
    <w:rsid w:val="00395AB1"/>
    <w:rsid w:val="00395AEB"/>
    <w:rsid w:val="00395B00"/>
    <w:rsid w:val="00395B5C"/>
    <w:rsid w:val="00395BC7"/>
    <w:rsid w:val="00395BCE"/>
    <w:rsid w:val="00395C22"/>
    <w:rsid w:val="00395C42"/>
    <w:rsid w:val="00395C77"/>
    <w:rsid w:val="00395D29"/>
    <w:rsid w:val="00395D83"/>
    <w:rsid w:val="00395D99"/>
    <w:rsid w:val="00395DA2"/>
    <w:rsid w:val="00395DDB"/>
    <w:rsid w:val="00395DDD"/>
    <w:rsid w:val="00395EBE"/>
    <w:rsid w:val="00395EED"/>
    <w:rsid w:val="00395F0F"/>
    <w:rsid w:val="00395F4A"/>
    <w:rsid w:val="00395F87"/>
    <w:rsid w:val="00395FCF"/>
    <w:rsid w:val="00396021"/>
    <w:rsid w:val="0039603C"/>
    <w:rsid w:val="0039606F"/>
    <w:rsid w:val="00396086"/>
    <w:rsid w:val="003960E0"/>
    <w:rsid w:val="003960F4"/>
    <w:rsid w:val="00396116"/>
    <w:rsid w:val="0039612B"/>
    <w:rsid w:val="00396149"/>
    <w:rsid w:val="00396172"/>
    <w:rsid w:val="00396195"/>
    <w:rsid w:val="00396206"/>
    <w:rsid w:val="0039621A"/>
    <w:rsid w:val="00396266"/>
    <w:rsid w:val="0039627F"/>
    <w:rsid w:val="00396290"/>
    <w:rsid w:val="003962BB"/>
    <w:rsid w:val="003962D8"/>
    <w:rsid w:val="0039630E"/>
    <w:rsid w:val="00396318"/>
    <w:rsid w:val="00396332"/>
    <w:rsid w:val="00396342"/>
    <w:rsid w:val="003963B0"/>
    <w:rsid w:val="0039643C"/>
    <w:rsid w:val="00396465"/>
    <w:rsid w:val="00396480"/>
    <w:rsid w:val="003964D5"/>
    <w:rsid w:val="00396571"/>
    <w:rsid w:val="00396585"/>
    <w:rsid w:val="003965B0"/>
    <w:rsid w:val="0039661D"/>
    <w:rsid w:val="00396627"/>
    <w:rsid w:val="0039665B"/>
    <w:rsid w:val="003967AD"/>
    <w:rsid w:val="003967F0"/>
    <w:rsid w:val="0039680C"/>
    <w:rsid w:val="0039681B"/>
    <w:rsid w:val="0039686E"/>
    <w:rsid w:val="003968CD"/>
    <w:rsid w:val="0039691A"/>
    <w:rsid w:val="00396921"/>
    <w:rsid w:val="0039695D"/>
    <w:rsid w:val="0039699C"/>
    <w:rsid w:val="003969D7"/>
    <w:rsid w:val="00396A74"/>
    <w:rsid w:val="00396A9D"/>
    <w:rsid w:val="00396A9E"/>
    <w:rsid w:val="00396ADD"/>
    <w:rsid w:val="00396B4E"/>
    <w:rsid w:val="00396BCB"/>
    <w:rsid w:val="00396BE7"/>
    <w:rsid w:val="00396BF0"/>
    <w:rsid w:val="00396C2C"/>
    <w:rsid w:val="00396C94"/>
    <w:rsid w:val="00396CA0"/>
    <w:rsid w:val="00396CCE"/>
    <w:rsid w:val="00396D01"/>
    <w:rsid w:val="00396D4F"/>
    <w:rsid w:val="00396D5D"/>
    <w:rsid w:val="00396D64"/>
    <w:rsid w:val="00396D6E"/>
    <w:rsid w:val="00396DA1"/>
    <w:rsid w:val="00396E0B"/>
    <w:rsid w:val="00396E80"/>
    <w:rsid w:val="00396FB1"/>
    <w:rsid w:val="00397040"/>
    <w:rsid w:val="00397057"/>
    <w:rsid w:val="0039705C"/>
    <w:rsid w:val="0039707B"/>
    <w:rsid w:val="00397082"/>
    <w:rsid w:val="003970B5"/>
    <w:rsid w:val="003970EE"/>
    <w:rsid w:val="00397152"/>
    <w:rsid w:val="0039715E"/>
    <w:rsid w:val="00397172"/>
    <w:rsid w:val="00397174"/>
    <w:rsid w:val="0039717E"/>
    <w:rsid w:val="00397180"/>
    <w:rsid w:val="00397183"/>
    <w:rsid w:val="00397187"/>
    <w:rsid w:val="0039718A"/>
    <w:rsid w:val="003971F9"/>
    <w:rsid w:val="003972C1"/>
    <w:rsid w:val="0039730E"/>
    <w:rsid w:val="0039731B"/>
    <w:rsid w:val="00397367"/>
    <w:rsid w:val="003973AC"/>
    <w:rsid w:val="003973C5"/>
    <w:rsid w:val="003973E2"/>
    <w:rsid w:val="00397425"/>
    <w:rsid w:val="0039742A"/>
    <w:rsid w:val="00397458"/>
    <w:rsid w:val="00397527"/>
    <w:rsid w:val="0039755A"/>
    <w:rsid w:val="00397565"/>
    <w:rsid w:val="00397619"/>
    <w:rsid w:val="0039761B"/>
    <w:rsid w:val="0039763C"/>
    <w:rsid w:val="0039764F"/>
    <w:rsid w:val="0039765F"/>
    <w:rsid w:val="00397780"/>
    <w:rsid w:val="00397797"/>
    <w:rsid w:val="003977EB"/>
    <w:rsid w:val="003977F0"/>
    <w:rsid w:val="0039781F"/>
    <w:rsid w:val="00397834"/>
    <w:rsid w:val="00397891"/>
    <w:rsid w:val="003978B5"/>
    <w:rsid w:val="0039798E"/>
    <w:rsid w:val="00397A24"/>
    <w:rsid w:val="00397A88"/>
    <w:rsid w:val="00397B11"/>
    <w:rsid w:val="00397B21"/>
    <w:rsid w:val="00397C01"/>
    <w:rsid w:val="00397C63"/>
    <w:rsid w:val="00397C8D"/>
    <w:rsid w:val="00397C98"/>
    <w:rsid w:val="00397CCF"/>
    <w:rsid w:val="00397CF6"/>
    <w:rsid w:val="00397CFA"/>
    <w:rsid w:val="00397D14"/>
    <w:rsid w:val="00397D21"/>
    <w:rsid w:val="00397D46"/>
    <w:rsid w:val="00397D70"/>
    <w:rsid w:val="00397D87"/>
    <w:rsid w:val="00397D89"/>
    <w:rsid w:val="00397DBC"/>
    <w:rsid w:val="00397E55"/>
    <w:rsid w:val="00397F0D"/>
    <w:rsid w:val="00397F1B"/>
    <w:rsid w:val="00397F46"/>
    <w:rsid w:val="00397F61"/>
    <w:rsid w:val="00397F8C"/>
    <w:rsid w:val="00397FC0"/>
    <w:rsid w:val="00397FE2"/>
    <w:rsid w:val="00397FF6"/>
    <w:rsid w:val="003A0023"/>
    <w:rsid w:val="003A002F"/>
    <w:rsid w:val="003A0046"/>
    <w:rsid w:val="003A0053"/>
    <w:rsid w:val="003A0058"/>
    <w:rsid w:val="003A0087"/>
    <w:rsid w:val="003A00CC"/>
    <w:rsid w:val="003A00D4"/>
    <w:rsid w:val="003A00ED"/>
    <w:rsid w:val="003A0105"/>
    <w:rsid w:val="003A0148"/>
    <w:rsid w:val="003A014E"/>
    <w:rsid w:val="003A0170"/>
    <w:rsid w:val="003A018A"/>
    <w:rsid w:val="003A01E9"/>
    <w:rsid w:val="003A0203"/>
    <w:rsid w:val="003A025E"/>
    <w:rsid w:val="003A02E3"/>
    <w:rsid w:val="003A0309"/>
    <w:rsid w:val="003A031E"/>
    <w:rsid w:val="003A036B"/>
    <w:rsid w:val="003A037A"/>
    <w:rsid w:val="003A049B"/>
    <w:rsid w:val="003A04CC"/>
    <w:rsid w:val="003A05D4"/>
    <w:rsid w:val="003A062E"/>
    <w:rsid w:val="003A0632"/>
    <w:rsid w:val="003A064E"/>
    <w:rsid w:val="003A0694"/>
    <w:rsid w:val="003A06BE"/>
    <w:rsid w:val="003A06CC"/>
    <w:rsid w:val="003A06D0"/>
    <w:rsid w:val="003A06D2"/>
    <w:rsid w:val="003A075F"/>
    <w:rsid w:val="003A07A3"/>
    <w:rsid w:val="003A07CB"/>
    <w:rsid w:val="003A07CD"/>
    <w:rsid w:val="003A07E2"/>
    <w:rsid w:val="003A086E"/>
    <w:rsid w:val="003A08BA"/>
    <w:rsid w:val="003A0988"/>
    <w:rsid w:val="003A09D5"/>
    <w:rsid w:val="003A0A16"/>
    <w:rsid w:val="003A0A52"/>
    <w:rsid w:val="003A0A55"/>
    <w:rsid w:val="003A0B30"/>
    <w:rsid w:val="003A0B85"/>
    <w:rsid w:val="003A0BEF"/>
    <w:rsid w:val="003A0CA2"/>
    <w:rsid w:val="003A0CA7"/>
    <w:rsid w:val="003A0D96"/>
    <w:rsid w:val="003A0D98"/>
    <w:rsid w:val="003A0DAF"/>
    <w:rsid w:val="003A0DF4"/>
    <w:rsid w:val="003A0E06"/>
    <w:rsid w:val="003A0E1B"/>
    <w:rsid w:val="003A0EBC"/>
    <w:rsid w:val="003A0F1E"/>
    <w:rsid w:val="003A0F49"/>
    <w:rsid w:val="003A1070"/>
    <w:rsid w:val="003A1088"/>
    <w:rsid w:val="003A1092"/>
    <w:rsid w:val="003A109D"/>
    <w:rsid w:val="003A10A8"/>
    <w:rsid w:val="003A10B2"/>
    <w:rsid w:val="003A10E3"/>
    <w:rsid w:val="003A11E7"/>
    <w:rsid w:val="003A1283"/>
    <w:rsid w:val="003A12D2"/>
    <w:rsid w:val="003A132A"/>
    <w:rsid w:val="003A1385"/>
    <w:rsid w:val="003A13DE"/>
    <w:rsid w:val="003A148F"/>
    <w:rsid w:val="003A14B9"/>
    <w:rsid w:val="003A1576"/>
    <w:rsid w:val="003A1586"/>
    <w:rsid w:val="003A15B4"/>
    <w:rsid w:val="003A15E3"/>
    <w:rsid w:val="003A167B"/>
    <w:rsid w:val="003A1681"/>
    <w:rsid w:val="003A16CB"/>
    <w:rsid w:val="003A16F6"/>
    <w:rsid w:val="003A171F"/>
    <w:rsid w:val="003A1753"/>
    <w:rsid w:val="003A1794"/>
    <w:rsid w:val="003A17BE"/>
    <w:rsid w:val="003A1809"/>
    <w:rsid w:val="003A180A"/>
    <w:rsid w:val="003A1840"/>
    <w:rsid w:val="003A1848"/>
    <w:rsid w:val="003A1849"/>
    <w:rsid w:val="003A189A"/>
    <w:rsid w:val="003A18E2"/>
    <w:rsid w:val="003A1908"/>
    <w:rsid w:val="003A1969"/>
    <w:rsid w:val="003A1988"/>
    <w:rsid w:val="003A19B3"/>
    <w:rsid w:val="003A1AEF"/>
    <w:rsid w:val="003A1B0A"/>
    <w:rsid w:val="003A1B76"/>
    <w:rsid w:val="003A1B7B"/>
    <w:rsid w:val="003A1BAA"/>
    <w:rsid w:val="003A1BAF"/>
    <w:rsid w:val="003A1BB2"/>
    <w:rsid w:val="003A1BDA"/>
    <w:rsid w:val="003A1C08"/>
    <w:rsid w:val="003A1C4C"/>
    <w:rsid w:val="003A1C71"/>
    <w:rsid w:val="003A1C98"/>
    <w:rsid w:val="003A1CBA"/>
    <w:rsid w:val="003A1D05"/>
    <w:rsid w:val="003A1DFC"/>
    <w:rsid w:val="003A1E0C"/>
    <w:rsid w:val="003A1E20"/>
    <w:rsid w:val="003A1E80"/>
    <w:rsid w:val="003A1E8F"/>
    <w:rsid w:val="003A1E9D"/>
    <w:rsid w:val="003A1ED0"/>
    <w:rsid w:val="003A1EDA"/>
    <w:rsid w:val="003A1EF8"/>
    <w:rsid w:val="003A1F18"/>
    <w:rsid w:val="003A1F25"/>
    <w:rsid w:val="003A1FBD"/>
    <w:rsid w:val="003A2019"/>
    <w:rsid w:val="003A2060"/>
    <w:rsid w:val="003A2065"/>
    <w:rsid w:val="003A20CB"/>
    <w:rsid w:val="003A210F"/>
    <w:rsid w:val="003A2145"/>
    <w:rsid w:val="003A2158"/>
    <w:rsid w:val="003A216C"/>
    <w:rsid w:val="003A2252"/>
    <w:rsid w:val="003A2282"/>
    <w:rsid w:val="003A228A"/>
    <w:rsid w:val="003A22AF"/>
    <w:rsid w:val="003A22CB"/>
    <w:rsid w:val="003A232B"/>
    <w:rsid w:val="003A232F"/>
    <w:rsid w:val="003A2346"/>
    <w:rsid w:val="003A2385"/>
    <w:rsid w:val="003A2389"/>
    <w:rsid w:val="003A23E0"/>
    <w:rsid w:val="003A23F8"/>
    <w:rsid w:val="003A24B3"/>
    <w:rsid w:val="003A24F3"/>
    <w:rsid w:val="003A253A"/>
    <w:rsid w:val="003A255F"/>
    <w:rsid w:val="003A2582"/>
    <w:rsid w:val="003A262D"/>
    <w:rsid w:val="003A263B"/>
    <w:rsid w:val="003A2643"/>
    <w:rsid w:val="003A2673"/>
    <w:rsid w:val="003A268B"/>
    <w:rsid w:val="003A26D7"/>
    <w:rsid w:val="003A26E5"/>
    <w:rsid w:val="003A272E"/>
    <w:rsid w:val="003A2882"/>
    <w:rsid w:val="003A2896"/>
    <w:rsid w:val="003A28D5"/>
    <w:rsid w:val="003A297A"/>
    <w:rsid w:val="003A29B4"/>
    <w:rsid w:val="003A29D9"/>
    <w:rsid w:val="003A2A1F"/>
    <w:rsid w:val="003A2A8F"/>
    <w:rsid w:val="003A2A91"/>
    <w:rsid w:val="003A2ADF"/>
    <w:rsid w:val="003A2AE0"/>
    <w:rsid w:val="003A2B50"/>
    <w:rsid w:val="003A2B79"/>
    <w:rsid w:val="003A2B7C"/>
    <w:rsid w:val="003A2C1F"/>
    <w:rsid w:val="003A2C42"/>
    <w:rsid w:val="003A2C44"/>
    <w:rsid w:val="003A2C88"/>
    <w:rsid w:val="003A2CA3"/>
    <w:rsid w:val="003A2CC3"/>
    <w:rsid w:val="003A2D5E"/>
    <w:rsid w:val="003A2D75"/>
    <w:rsid w:val="003A2D80"/>
    <w:rsid w:val="003A2D88"/>
    <w:rsid w:val="003A2DC1"/>
    <w:rsid w:val="003A2E9D"/>
    <w:rsid w:val="003A2EDA"/>
    <w:rsid w:val="003A2F40"/>
    <w:rsid w:val="003A2F44"/>
    <w:rsid w:val="003A2F5A"/>
    <w:rsid w:val="003A2F7F"/>
    <w:rsid w:val="003A2F84"/>
    <w:rsid w:val="003A2FDD"/>
    <w:rsid w:val="003A2FEE"/>
    <w:rsid w:val="003A2FF6"/>
    <w:rsid w:val="003A301A"/>
    <w:rsid w:val="003A304A"/>
    <w:rsid w:val="003A304B"/>
    <w:rsid w:val="003A3116"/>
    <w:rsid w:val="003A3153"/>
    <w:rsid w:val="003A316E"/>
    <w:rsid w:val="003A319D"/>
    <w:rsid w:val="003A31C0"/>
    <w:rsid w:val="003A31CF"/>
    <w:rsid w:val="003A325F"/>
    <w:rsid w:val="003A326A"/>
    <w:rsid w:val="003A3320"/>
    <w:rsid w:val="003A33CC"/>
    <w:rsid w:val="003A340D"/>
    <w:rsid w:val="003A347C"/>
    <w:rsid w:val="003A34E6"/>
    <w:rsid w:val="003A3544"/>
    <w:rsid w:val="003A35A8"/>
    <w:rsid w:val="003A369F"/>
    <w:rsid w:val="003A36FE"/>
    <w:rsid w:val="003A3706"/>
    <w:rsid w:val="003A375E"/>
    <w:rsid w:val="003A3833"/>
    <w:rsid w:val="003A3854"/>
    <w:rsid w:val="003A3870"/>
    <w:rsid w:val="003A3876"/>
    <w:rsid w:val="003A38E4"/>
    <w:rsid w:val="003A38EC"/>
    <w:rsid w:val="003A38F4"/>
    <w:rsid w:val="003A3979"/>
    <w:rsid w:val="003A39C7"/>
    <w:rsid w:val="003A3A9F"/>
    <w:rsid w:val="003A3B4E"/>
    <w:rsid w:val="003A3BA0"/>
    <w:rsid w:val="003A3C23"/>
    <w:rsid w:val="003A3C2F"/>
    <w:rsid w:val="003A3C37"/>
    <w:rsid w:val="003A3C41"/>
    <w:rsid w:val="003A3C43"/>
    <w:rsid w:val="003A3CA3"/>
    <w:rsid w:val="003A3CE1"/>
    <w:rsid w:val="003A3D0C"/>
    <w:rsid w:val="003A3D2B"/>
    <w:rsid w:val="003A3D4F"/>
    <w:rsid w:val="003A3DB3"/>
    <w:rsid w:val="003A3E06"/>
    <w:rsid w:val="003A3E1D"/>
    <w:rsid w:val="003A3E26"/>
    <w:rsid w:val="003A3F01"/>
    <w:rsid w:val="003A3F39"/>
    <w:rsid w:val="003A3F84"/>
    <w:rsid w:val="003A3F9E"/>
    <w:rsid w:val="003A40BD"/>
    <w:rsid w:val="003A40E8"/>
    <w:rsid w:val="003A4147"/>
    <w:rsid w:val="003A414D"/>
    <w:rsid w:val="003A418B"/>
    <w:rsid w:val="003A419D"/>
    <w:rsid w:val="003A41D7"/>
    <w:rsid w:val="003A4264"/>
    <w:rsid w:val="003A42B0"/>
    <w:rsid w:val="003A42FE"/>
    <w:rsid w:val="003A431C"/>
    <w:rsid w:val="003A4337"/>
    <w:rsid w:val="003A4370"/>
    <w:rsid w:val="003A4373"/>
    <w:rsid w:val="003A4387"/>
    <w:rsid w:val="003A4400"/>
    <w:rsid w:val="003A4404"/>
    <w:rsid w:val="003A4414"/>
    <w:rsid w:val="003A441E"/>
    <w:rsid w:val="003A4431"/>
    <w:rsid w:val="003A4482"/>
    <w:rsid w:val="003A44C3"/>
    <w:rsid w:val="003A45A0"/>
    <w:rsid w:val="003A45BB"/>
    <w:rsid w:val="003A46DA"/>
    <w:rsid w:val="003A471F"/>
    <w:rsid w:val="003A4721"/>
    <w:rsid w:val="003A478C"/>
    <w:rsid w:val="003A479B"/>
    <w:rsid w:val="003A47A7"/>
    <w:rsid w:val="003A47BF"/>
    <w:rsid w:val="003A47E9"/>
    <w:rsid w:val="003A4862"/>
    <w:rsid w:val="003A48AE"/>
    <w:rsid w:val="003A491D"/>
    <w:rsid w:val="003A494F"/>
    <w:rsid w:val="003A498A"/>
    <w:rsid w:val="003A49B2"/>
    <w:rsid w:val="003A4AD9"/>
    <w:rsid w:val="003A4AFA"/>
    <w:rsid w:val="003A4B59"/>
    <w:rsid w:val="003A4BA5"/>
    <w:rsid w:val="003A4BBF"/>
    <w:rsid w:val="003A4BE8"/>
    <w:rsid w:val="003A4C11"/>
    <w:rsid w:val="003A4C2A"/>
    <w:rsid w:val="003A4CDE"/>
    <w:rsid w:val="003A4CF2"/>
    <w:rsid w:val="003A4D36"/>
    <w:rsid w:val="003A4E13"/>
    <w:rsid w:val="003A4E3C"/>
    <w:rsid w:val="003A4E63"/>
    <w:rsid w:val="003A4EBE"/>
    <w:rsid w:val="003A4EF1"/>
    <w:rsid w:val="003A4EF2"/>
    <w:rsid w:val="003A4F2D"/>
    <w:rsid w:val="003A4F30"/>
    <w:rsid w:val="003A4F3C"/>
    <w:rsid w:val="003A4FA3"/>
    <w:rsid w:val="003A4FC7"/>
    <w:rsid w:val="003A4FFA"/>
    <w:rsid w:val="003A5050"/>
    <w:rsid w:val="003A50C6"/>
    <w:rsid w:val="003A5125"/>
    <w:rsid w:val="003A5196"/>
    <w:rsid w:val="003A51DB"/>
    <w:rsid w:val="003A5248"/>
    <w:rsid w:val="003A527B"/>
    <w:rsid w:val="003A52BF"/>
    <w:rsid w:val="003A52C8"/>
    <w:rsid w:val="003A52CF"/>
    <w:rsid w:val="003A538D"/>
    <w:rsid w:val="003A53A7"/>
    <w:rsid w:val="003A53B8"/>
    <w:rsid w:val="003A53DC"/>
    <w:rsid w:val="003A53FF"/>
    <w:rsid w:val="003A5400"/>
    <w:rsid w:val="003A5435"/>
    <w:rsid w:val="003A5496"/>
    <w:rsid w:val="003A54A0"/>
    <w:rsid w:val="003A552A"/>
    <w:rsid w:val="003A5551"/>
    <w:rsid w:val="003A55B3"/>
    <w:rsid w:val="003A55DD"/>
    <w:rsid w:val="003A55EC"/>
    <w:rsid w:val="003A566B"/>
    <w:rsid w:val="003A56BD"/>
    <w:rsid w:val="003A56C6"/>
    <w:rsid w:val="003A56DF"/>
    <w:rsid w:val="003A56E4"/>
    <w:rsid w:val="003A575D"/>
    <w:rsid w:val="003A57C8"/>
    <w:rsid w:val="003A57E7"/>
    <w:rsid w:val="003A5801"/>
    <w:rsid w:val="003A5832"/>
    <w:rsid w:val="003A5843"/>
    <w:rsid w:val="003A58C3"/>
    <w:rsid w:val="003A58F0"/>
    <w:rsid w:val="003A598F"/>
    <w:rsid w:val="003A5A03"/>
    <w:rsid w:val="003A5A5C"/>
    <w:rsid w:val="003A5A78"/>
    <w:rsid w:val="003A5A9D"/>
    <w:rsid w:val="003A5AC2"/>
    <w:rsid w:val="003A5AFB"/>
    <w:rsid w:val="003A5B05"/>
    <w:rsid w:val="003A5B25"/>
    <w:rsid w:val="003A5B51"/>
    <w:rsid w:val="003A5B8B"/>
    <w:rsid w:val="003A5BF4"/>
    <w:rsid w:val="003A5C4A"/>
    <w:rsid w:val="003A5C6B"/>
    <w:rsid w:val="003A5CA8"/>
    <w:rsid w:val="003A5CE0"/>
    <w:rsid w:val="003A5CF5"/>
    <w:rsid w:val="003A5D4F"/>
    <w:rsid w:val="003A5D61"/>
    <w:rsid w:val="003A5E0C"/>
    <w:rsid w:val="003A5E28"/>
    <w:rsid w:val="003A5EEF"/>
    <w:rsid w:val="003A5F33"/>
    <w:rsid w:val="003A5F99"/>
    <w:rsid w:val="003A6073"/>
    <w:rsid w:val="003A60BC"/>
    <w:rsid w:val="003A60F4"/>
    <w:rsid w:val="003A611D"/>
    <w:rsid w:val="003A6134"/>
    <w:rsid w:val="003A6164"/>
    <w:rsid w:val="003A617B"/>
    <w:rsid w:val="003A6189"/>
    <w:rsid w:val="003A61B9"/>
    <w:rsid w:val="003A61C5"/>
    <w:rsid w:val="003A61D2"/>
    <w:rsid w:val="003A61FA"/>
    <w:rsid w:val="003A6248"/>
    <w:rsid w:val="003A624C"/>
    <w:rsid w:val="003A625C"/>
    <w:rsid w:val="003A631B"/>
    <w:rsid w:val="003A6348"/>
    <w:rsid w:val="003A634F"/>
    <w:rsid w:val="003A6353"/>
    <w:rsid w:val="003A63B6"/>
    <w:rsid w:val="003A63C1"/>
    <w:rsid w:val="003A642C"/>
    <w:rsid w:val="003A6447"/>
    <w:rsid w:val="003A646D"/>
    <w:rsid w:val="003A646F"/>
    <w:rsid w:val="003A648B"/>
    <w:rsid w:val="003A648F"/>
    <w:rsid w:val="003A65CA"/>
    <w:rsid w:val="003A6626"/>
    <w:rsid w:val="003A6627"/>
    <w:rsid w:val="003A662C"/>
    <w:rsid w:val="003A664C"/>
    <w:rsid w:val="003A6698"/>
    <w:rsid w:val="003A66F6"/>
    <w:rsid w:val="003A6754"/>
    <w:rsid w:val="003A675F"/>
    <w:rsid w:val="003A67FB"/>
    <w:rsid w:val="003A6804"/>
    <w:rsid w:val="003A6812"/>
    <w:rsid w:val="003A6837"/>
    <w:rsid w:val="003A6843"/>
    <w:rsid w:val="003A68F9"/>
    <w:rsid w:val="003A698A"/>
    <w:rsid w:val="003A6993"/>
    <w:rsid w:val="003A6A59"/>
    <w:rsid w:val="003A6A5F"/>
    <w:rsid w:val="003A6A70"/>
    <w:rsid w:val="003A6AE3"/>
    <w:rsid w:val="003A6BD5"/>
    <w:rsid w:val="003A6BDC"/>
    <w:rsid w:val="003A6C80"/>
    <w:rsid w:val="003A6D54"/>
    <w:rsid w:val="003A6D93"/>
    <w:rsid w:val="003A6DAB"/>
    <w:rsid w:val="003A6E32"/>
    <w:rsid w:val="003A6E4E"/>
    <w:rsid w:val="003A6F23"/>
    <w:rsid w:val="003A6F5D"/>
    <w:rsid w:val="003A6F64"/>
    <w:rsid w:val="003A6F7A"/>
    <w:rsid w:val="003A700B"/>
    <w:rsid w:val="003A7083"/>
    <w:rsid w:val="003A7098"/>
    <w:rsid w:val="003A70AE"/>
    <w:rsid w:val="003A70EA"/>
    <w:rsid w:val="003A7147"/>
    <w:rsid w:val="003A718C"/>
    <w:rsid w:val="003A71DB"/>
    <w:rsid w:val="003A71ED"/>
    <w:rsid w:val="003A71F8"/>
    <w:rsid w:val="003A7239"/>
    <w:rsid w:val="003A723E"/>
    <w:rsid w:val="003A7249"/>
    <w:rsid w:val="003A725F"/>
    <w:rsid w:val="003A726D"/>
    <w:rsid w:val="003A72A4"/>
    <w:rsid w:val="003A72BE"/>
    <w:rsid w:val="003A72C5"/>
    <w:rsid w:val="003A72C7"/>
    <w:rsid w:val="003A730E"/>
    <w:rsid w:val="003A7324"/>
    <w:rsid w:val="003A7372"/>
    <w:rsid w:val="003A7380"/>
    <w:rsid w:val="003A73F5"/>
    <w:rsid w:val="003A7426"/>
    <w:rsid w:val="003A7465"/>
    <w:rsid w:val="003A748B"/>
    <w:rsid w:val="003A74D2"/>
    <w:rsid w:val="003A7512"/>
    <w:rsid w:val="003A752B"/>
    <w:rsid w:val="003A7556"/>
    <w:rsid w:val="003A7562"/>
    <w:rsid w:val="003A75A5"/>
    <w:rsid w:val="003A7668"/>
    <w:rsid w:val="003A7678"/>
    <w:rsid w:val="003A7697"/>
    <w:rsid w:val="003A76BC"/>
    <w:rsid w:val="003A7709"/>
    <w:rsid w:val="003A7722"/>
    <w:rsid w:val="003A7749"/>
    <w:rsid w:val="003A77A0"/>
    <w:rsid w:val="003A77C9"/>
    <w:rsid w:val="003A7835"/>
    <w:rsid w:val="003A7839"/>
    <w:rsid w:val="003A7871"/>
    <w:rsid w:val="003A787A"/>
    <w:rsid w:val="003A789D"/>
    <w:rsid w:val="003A78CE"/>
    <w:rsid w:val="003A78E7"/>
    <w:rsid w:val="003A7909"/>
    <w:rsid w:val="003A7922"/>
    <w:rsid w:val="003A795E"/>
    <w:rsid w:val="003A7984"/>
    <w:rsid w:val="003A79A8"/>
    <w:rsid w:val="003A79AE"/>
    <w:rsid w:val="003A79BA"/>
    <w:rsid w:val="003A7A39"/>
    <w:rsid w:val="003A7A3D"/>
    <w:rsid w:val="003A7A9C"/>
    <w:rsid w:val="003A7AB6"/>
    <w:rsid w:val="003A7B0E"/>
    <w:rsid w:val="003A7B1D"/>
    <w:rsid w:val="003A7B2C"/>
    <w:rsid w:val="003A7BA4"/>
    <w:rsid w:val="003A7BB8"/>
    <w:rsid w:val="003A7C99"/>
    <w:rsid w:val="003A7CAB"/>
    <w:rsid w:val="003A7D97"/>
    <w:rsid w:val="003A7DB1"/>
    <w:rsid w:val="003A7E0F"/>
    <w:rsid w:val="003A7E4C"/>
    <w:rsid w:val="003A7E6E"/>
    <w:rsid w:val="003A7E92"/>
    <w:rsid w:val="003A7EB0"/>
    <w:rsid w:val="003A7EF7"/>
    <w:rsid w:val="003A7F2A"/>
    <w:rsid w:val="003A7F43"/>
    <w:rsid w:val="003A7FDA"/>
    <w:rsid w:val="003A7FE6"/>
    <w:rsid w:val="003A9A8C"/>
    <w:rsid w:val="003B00DC"/>
    <w:rsid w:val="003B0112"/>
    <w:rsid w:val="003B015A"/>
    <w:rsid w:val="003B0189"/>
    <w:rsid w:val="003B01CB"/>
    <w:rsid w:val="003B01E7"/>
    <w:rsid w:val="003B0210"/>
    <w:rsid w:val="003B0236"/>
    <w:rsid w:val="003B02CC"/>
    <w:rsid w:val="003B0373"/>
    <w:rsid w:val="003B039B"/>
    <w:rsid w:val="003B03BB"/>
    <w:rsid w:val="003B04ED"/>
    <w:rsid w:val="003B0504"/>
    <w:rsid w:val="003B0540"/>
    <w:rsid w:val="003B0576"/>
    <w:rsid w:val="003B05AD"/>
    <w:rsid w:val="003B05E0"/>
    <w:rsid w:val="003B05F3"/>
    <w:rsid w:val="003B060F"/>
    <w:rsid w:val="003B0615"/>
    <w:rsid w:val="003B061F"/>
    <w:rsid w:val="003B06CB"/>
    <w:rsid w:val="003B0726"/>
    <w:rsid w:val="003B0727"/>
    <w:rsid w:val="003B07D1"/>
    <w:rsid w:val="003B0807"/>
    <w:rsid w:val="003B0824"/>
    <w:rsid w:val="003B09D3"/>
    <w:rsid w:val="003B09D6"/>
    <w:rsid w:val="003B09E8"/>
    <w:rsid w:val="003B0ABD"/>
    <w:rsid w:val="003B0AC3"/>
    <w:rsid w:val="003B0B0E"/>
    <w:rsid w:val="003B0B9E"/>
    <w:rsid w:val="003B0BC6"/>
    <w:rsid w:val="003B0BE9"/>
    <w:rsid w:val="003B0C29"/>
    <w:rsid w:val="003B0C4E"/>
    <w:rsid w:val="003B0C82"/>
    <w:rsid w:val="003B0C99"/>
    <w:rsid w:val="003B0CB3"/>
    <w:rsid w:val="003B0D35"/>
    <w:rsid w:val="003B0D3F"/>
    <w:rsid w:val="003B0D5E"/>
    <w:rsid w:val="003B0D81"/>
    <w:rsid w:val="003B0E00"/>
    <w:rsid w:val="003B0E02"/>
    <w:rsid w:val="003B0E05"/>
    <w:rsid w:val="003B0E3B"/>
    <w:rsid w:val="003B0E7C"/>
    <w:rsid w:val="003B0E98"/>
    <w:rsid w:val="003B0EB6"/>
    <w:rsid w:val="003B0F02"/>
    <w:rsid w:val="003B0F11"/>
    <w:rsid w:val="003B0F25"/>
    <w:rsid w:val="003B0F3B"/>
    <w:rsid w:val="003B0F47"/>
    <w:rsid w:val="003B0FAB"/>
    <w:rsid w:val="003B0FEB"/>
    <w:rsid w:val="003B100B"/>
    <w:rsid w:val="003B104B"/>
    <w:rsid w:val="003B107E"/>
    <w:rsid w:val="003B10BA"/>
    <w:rsid w:val="003B1139"/>
    <w:rsid w:val="003B1183"/>
    <w:rsid w:val="003B11D2"/>
    <w:rsid w:val="003B11D3"/>
    <w:rsid w:val="003B1200"/>
    <w:rsid w:val="003B128E"/>
    <w:rsid w:val="003B12B5"/>
    <w:rsid w:val="003B12EC"/>
    <w:rsid w:val="003B1320"/>
    <w:rsid w:val="003B135D"/>
    <w:rsid w:val="003B136B"/>
    <w:rsid w:val="003B1375"/>
    <w:rsid w:val="003B13A8"/>
    <w:rsid w:val="003B13DE"/>
    <w:rsid w:val="003B1452"/>
    <w:rsid w:val="003B1465"/>
    <w:rsid w:val="003B149F"/>
    <w:rsid w:val="003B1508"/>
    <w:rsid w:val="003B154B"/>
    <w:rsid w:val="003B1557"/>
    <w:rsid w:val="003B1570"/>
    <w:rsid w:val="003B159B"/>
    <w:rsid w:val="003B15A8"/>
    <w:rsid w:val="003B15FB"/>
    <w:rsid w:val="003B1637"/>
    <w:rsid w:val="003B1649"/>
    <w:rsid w:val="003B1696"/>
    <w:rsid w:val="003B1785"/>
    <w:rsid w:val="003B17DE"/>
    <w:rsid w:val="003B1891"/>
    <w:rsid w:val="003B18E8"/>
    <w:rsid w:val="003B1A45"/>
    <w:rsid w:val="003B1A7E"/>
    <w:rsid w:val="003B1A83"/>
    <w:rsid w:val="003B1AAF"/>
    <w:rsid w:val="003B1AD5"/>
    <w:rsid w:val="003B1ADD"/>
    <w:rsid w:val="003B1BCA"/>
    <w:rsid w:val="003B1C19"/>
    <w:rsid w:val="003B1C43"/>
    <w:rsid w:val="003B1C6C"/>
    <w:rsid w:val="003B1D0E"/>
    <w:rsid w:val="003B1D42"/>
    <w:rsid w:val="003B1DD2"/>
    <w:rsid w:val="003B1E6D"/>
    <w:rsid w:val="003B1ECD"/>
    <w:rsid w:val="003B1EF8"/>
    <w:rsid w:val="003B1F03"/>
    <w:rsid w:val="003B1FD8"/>
    <w:rsid w:val="003B1FE5"/>
    <w:rsid w:val="003B1FFA"/>
    <w:rsid w:val="003B2050"/>
    <w:rsid w:val="003B207C"/>
    <w:rsid w:val="003B20B3"/>
    <w:rsid w:val="003B2141"/>
    <w:rsid w:val="003B21CD"/>
    <w:rsid w:val="003B225A"/>
    <w:rsid w:val="003B2279"/>
    <w:rsid w:val="003B22B0"/>
    <w:rsid w:val="003B22C5"/>
    <w:rsid w:val="003B2313"/>
    <w:rsid w:val="003B2359"/>
    <w:rsid w:val="003B235E"/>
    <w:rsid w:val="003B2363"/>
    <w:rsid w:val="003B23CA"/>
    <w:rsid w:val="003B23CD"/>
    <w:rsid w:val="003B23FC"/>
    <w:rsid w:val="003B2405"/>
    <w:rsid w:val="003B2429"/>
    <w:rsid w:val="003B24ED"/>
    <w:rsid w:val="003B253F"/>
    <w:rsid w:val="003B2559"/>
    <w:rsid w:val="003B255A"/>
    <w:rsid w:val="003B2614"/>
    <w:rsid w:val="003B2634"/>
    <w:rsid w:val="003B265A"/>
    <w:rsid w:val="003B265D"/>
    <w:rsid w:val="003B2691"/>
    <w:rsid w:val="003B26AD"/>
    <w:rsid w:val="003B275A"/>
    <w:rsid w:val="003B27BC"/>
    <w:rsid w:val="003B2847"/>
    <w:rsid w:val="003B2890"/>
    <w:rsid w:val="003B2898"/>
    <w:rsid w:val="003B2977"/>
    <w:rsid w:val="003B29E7"/>
    <w:rsid w:val="003B2A4D"/>
    <w:rsid w:val="003B2A7D"/>
    <w:rsid w:val="003B2A8D"/>
    <w:rsid w:val="003B2AB2"/>
    <w:rsid w:val="003B2AEA"/>
    <w:rsid w:val="003B2AF9"/>
    <w:rsid w:val="003B2B04"/>
    <w:rsid w:val="003B2B33"/>
    <w:rsid w:val="003B2B3E"/>
    <w:rsid w:val="003B2B58"/>
    <w:rsid w:val="003B2BF0"/>
    <w:rsid w:val="003B2C26"/>
    <w:rsid w:val="003B2C28"/>
    <w:rsid w:val="003B2C65"/>
    <w:rsid w:val="003B2C9B"/>
    <w:rsid w:val="003B2CBB"/>
    <w:rsid w:val="003B2CC9"/>
    <w:rsid w:val="003B2D0A"/>
    <w:rsid w:val="003B2D1A"/>
    <w:rsid w:val="003B2E3C"/>
    <w:rsid w:val="003B2E40"/>
    <w:rsid w:val="003B2E86"/>
    <w:rsid w:val="003B2EC7"/>
    <w:rsid w:val="003B2F68"/>
    <w:rsid w:val="003B2F80"/>
    <w:rsid w:val="003B2F9D"/>
    <w:rsid w:val="003B2FF9"/>
    <w:rsid w:val="003B3060"/>
    <w:rsid w:val="003B30AC"/>
    <w:rsid w:val="003B316F"/>
    <w:rsid w:val="003B31E3"/>
    <w:rsid w:val="003B3280"/>
    <w:rsid w:val="003B3296"/>
    <w:rsid w:val="003B329E"/>
    <w:rsid w:val="003B3308"/>
    <w:rsid w:val="003B3313"/>
    <w:rsid w:val="003B3316"/>
    <w:rsid w:val="003B3322"/>
    <w:rsid w:val="003B3370"/>
    <w:rsid w:val="003B337E"/>
    <w:rsid w:val="003B33B2"/>
    <w:rsid w:val="003B33C5"/>
    <w:rsid w:val="003B33F9"/>
    <w:rsid w:val="003B340A"/>
    <w:rsid w:val="003B340F"/>
    <w:rsid w:val="003B346B"/>
    <w:rsid w:val="003B3523"/>
    <w:rsid w:val="003B358C"/>
    <w:rsid w:val="003B3591"/>
    <w:rsid w:val="003B3616"/>
    <w:rsid w:val="003B3683"/>
    <w:rsid w:val="003B36AA"/>
    <w:rsid w:val="003B36D4"/>
    <w:rsid w:val="003B36D8"/>
    <w:rsid w:val="003B36F0"/>
    <w:rsid w:val="003B36F7"/>
    <w:rsid w:val="003B370C"/>
    <w:rsid w:val="003B372E"/>
    <w:rsid w:val="003B3741"/>
    <w:rsid w:val="003B3757"/>
    <w:rsid w:val="003B3766"/>
    <w:rsid w:val="003B3774"/>
    <w:rsid w:val="003B37CA"/>
    <w:rsid w:val="003B382D"/>
    <w:rsid w:val="003B386A"/>
    <w:rsid w:val="003B3870"/>
    <w:rsid w:val="003B3891"/>
    <w:rsid w:val="003B3907"/>
    <w:rsid w:val="003B3954"/>
    <w:rsid w:val="003B3A12"/>
    <w:rsid w:val="003B3A26"/>
    <w:rsid w:val="003B3A86"/>
    <w:rsid w:val="003B3B75"/>
    <w:rsid w:val="003B3C4F"/>
    <w:rsid w:val="003B3C66"/>
    <w:rsid w:val="003B3C81"/>
    <w:rsid w:val="003B3DA5"/>
    <w:rsid w:val="003B3DA7"/>
    <w:rsid w:val="003B3EC7"/>
    <w:rsid w:val="003B3EDC"/>
    <w:rsid w:val="003B3F5D"/>
    <w:rsid w:val="003B3F75"/>
    <w:rsid w:val="003B3FBA"/>
    <w:rsid w:val="003B3FEB"/>
    <w:rsid w:val="003B3FFA"/>
    <w:rsid w:val="003B401F"/>
    <w:rsid w:val="003B406E"/>
    <w:rsid w:val="003B40E3"/>
    <w:rsid w:val="003B41E7"/>
    <w:rsid w:val="003B4239"/>
    <w:rsid w:val="003B4254"/>
    <w:rsid w:val="003B425B"/>
    <w:rsid w:val="003B427E"/>
    <w:rsid w:val="003B42B2"/>
    <w:rsid w:val="003B42D7"/>
    <w:rsid w:val="003B4321"/>
    <w:rsid w:val="003B4345"/>
    <w:rsid w:val="003B4365"/>
    <w:rsid w:val="003B447E"/>
    <w:rsid w:val="003B4486"/>
    <w:rsid w:val="003B44B1"/>
    <w:rsid w:val="003B44C6"/>
    <w:rsid w:val="003B44F8"/>
    <w:rsid w:val="003B44FD"/>
    <w:rsid w:val="003B4509"/>
    <w:rsid w:val="003B45F5"/>
    <w:rsid w:val="003B4601"/>
    <w:rsid w:val="003B4625"/>
    <w:rsid w:val="003B469B"/>
    <w:rsid w:val="003B46A4"/>
    <w:rsid w:val="003B46B6"/>
    <w:rsid w:val="003B46BB"/>
    <w:rsid w:val="003B46C4"/>
    <w:rsid w:val="003B4736"/>
    <w:rsid w:val="003B473C"/>
    <w:rsid w:val="003B4778"/>
    <w:rsid w:val="003B4781"/>
    <w:rsid w:val="003B47A0"/>
    <w:rsid w:val="003B47C1"/>
    <w:rsid w:val="003B47CF"/>
    <w:rsid w:val="003B47E5"/>
    <w:rsid w:val="003B47E8"/>
    <w:rsid w:val="003B4839"/>
    <w:rsid w:val="003B48D9"/>
    <w:rsid w:val="003B48EF"/>
    <w:rsid w:val="003B491B"/>
    <w:rsid w:val="003B4975"/>
    <w:rsid w:val="003B4A62"/>
    <w:rsid w:val="003B4B27"/>
    <w:rsid w:val="003B4B2D"/>
    <w:rsid w:val="003B4BF4"/>
    <w:rsid w:val="003B4C29"/>
    <w:rsid w:val="003B4C43"/>
    <w:rsid w:val="003B4C60"/>
    <w:rsid w:val="003B4C79"/>
    <w:rsid w:val="003B4C7B"/>
    <w:rsid w:val="003B4C89"/>
    <w:rsid w:val="003B4C9D"/>
    <w:rsid w:val="003B4CB9"/>
    <w:rsid w:val="003B4D82"/>
    <w:rsid w:val="003B4E5E"/>
    <w:rsid w:val="003B4E61"/>
    <w:rsid w:val="003B4E6D"/>
    <w:rsid w:val="003B4ED9"/>
    <w:rsid w:val="003B4EE4"/>
    <w:rsid w:val="003B4F27"/>
    <w:rsid w:val="003B4F74"/>
    <w:rsid w:val="003B4F9B"/>
    <w:rsid w:val="003B4FCC"/>
    <w:rsid w:val="003B4FF0"/>
    <w:rsid w:val="003B5035"/>
    <w:rsid w:val="003B5048"/>
    <w:rsid w:val="003B5081"/>
    <w:rsid w:val="003B50C6"/>
    <w:rsid w:val="003B50CA"/>
    <w:rsid w:val="003B50F6"/>
    <w:rsid w:val="003B511D"/>
    <w:rsid w:val="003B512B"/>
    <w:rsid w:val="003B515D"/>
    <w:rsid w:val="003B5168"/>
    <w:rsid w:val="003B517F"/>
    <w:rsid w:val="003B518A"/>
    <w:rsid w:val="003B51D1"/>
    <w:rsid w:val="003B5256"/>
    <w:rsid w:val="003B5272"/>
    <w:rsid w:val="003B5284"/>
    <w:rsid w:val="003B52D0"/>
    <w:rsid w:val="003B534B"/>
    <w:rsid w:val="003B537A"/>
    <w:rsid w:val="003B547E"/>
    <w:rsid w:val="003B5495"/>
    <w:rsid w:val="003B54A1"/>
    <w:rsid w:val="003B54AD"/>
    <w:rsid w:val="003B54B3"/>
    <w:rsid w:val="003B54DB"/>
    <w:rsid w:val="003B5536"/>
    <w:rsid w:val="003B5559"/>
    <w:rsid w:val="003B5619"/>
    <w:rsid w:val="003B56A8"/>
    <w:rsid w:val="003B56FC"/>
    <w:rsid w:val="003B5700"/>
    <w:rsid w:val="003B5760"/>
    <w:rsid w:val="003B577A"/>
    <w:rsid w:val="003B57A2"/>
    <w:rsid w:val="003B57BB"/>
    <w:rsid w:val="003B5820"/>
    <w:rsid w:val="003B5834"/>
    <w:rsid w:val="003B5883"/>
    <w:rsid w:val="003B593C"/>
    <w:rsid w:val="003B5941"/>
    <w:rsid w:val="003B5946"/>
    <w:rsid w:val="003B594B"/>
    <w:rsid w:val="003B59AC"/>
    <w:rsid w:val="003B5A0F"/>
    <w:rsid w:val="003B5A5F"/>
    <w:rsid w:val="003B5AB3"/>
    <w:rsid w:val="003B5B5E"/>
    <w:rsid w:val="003B5B72"/>
    <w:rsid w:val="003B5B9D"/>
    <w:rsid w:val="003B5BA6"/>
    <w:rsid w:val="003B5BBF"/>
    <w:rsid w:val="003B5BE5"/>
    <w:rsid w:val="003B5C05"/>
    <w:rsid w:val="003B5C57"/>
    <w:rsid w:val="003B5C8E"/>
    <w:rsid w:val="003B5D14"/>
    <w:rsid w:val="003B5D43"/>
    <w:rsid w:val="003B5D65"/>
    <w:rsid w:val="003B5D6B"/>
    <w:rsid w:val="003B5DE2"/>
    <w:rsid w:val="003B5E40"/>
    <w:rsid w:val="003B5E66"/>
    <w:rsid w:val="003B5EA5"/>
    <w:rsid w:val="003B5EF1"/>
    <w:rsid w:val="003B5EF3"/>
    <w:rsid w:val="003B5F61"/>
    <w:rsid w:val="003B5FED"/>
    <w:rsid w:val="003B6038"/>
    <w:rsid w:val="003B60B6"/>
    <w:rsid w:val="003B60BF"/>
    <w:rsid w:val="003B610C"/>
    <w:rsid w:val="003B614F"/>
    <w:rsid w:val="003B615E"/>
    <w:rsid w:val="003B617A"/>
    <w:rsid w:val="003B620B"/>
    <w:rsid w:val="003B620E"/>
    <w:rsid w:val="003B627E"/>
    <w:rsid w:val="003B62E9"/>
    <w:rsid w:val="003B62F9"/>
    <w:rsid w:val="003B6309"/>
    <w:rsid w:val="003B6370"/>
    <w:rsid w:val="003B63AC"/>
    <w:rsid w:val="003B63D6"/>
    <w:rsid w:val="003B63F6"/>
    <w:rsid w:val="003B648D"/>
    <w:rsid w:val="003B64D0"/>
    <w:rsid w:val="003B6503"/>
    <w:rsid w:val="003B6529"/>
    <w:rsid w:val="003B652C"/>
    <w:rsid w:val="003B66CC"/>
    <w:rsid w:val="003B677E"/>
    <w:rsid w:val="003B690D"/>
    <w:rsid w:val="003B6969"/>
    <w:rsid w:val="003B69D6"/>
    <w:rsid w:val="003B69DD"/>
    <w:rsid w:val="003B6A28"/>
    <w:rsid w:val="003B6A4F"/>
    <w:rsid w:val="003B6A65"/>
    <w:rsid w:val="003B6A66"/>
    <w:rsid w:val="003B6A84"/>
    <w:rsid w:val="003B6ACD"/>
    <w:rsid w:val="003B6B67"/>
    <w:rsid w:val="003B6B80"/>
    <w:rsid w:val="003B6B82"/>
    <w:rsid w:val="003B6BB5"/>
    <w:rsid w:val="003B6C09"/>
    <w:rsid w:val="003B6CF3"/>
    <w:rsid w:val="003B6D9A"/>
    <w:rsid w:val="003B6DEE"/>
    <w:rsid w:val="003B6E24"/>
    <w:rsid w:val="003B6E8F"/>
    <w:rsid w:val="003B6EB7"/>
    <w:rsid w:val="003B6ED0"/>
    <w:rsid w:val="003B6ED2"/>
    <w:rsid w:val="003B6EF3"/>
    <w:rsid w:val="003B6EFE"/>
    <w:rsid w:val="003B6F5E"/>
    <w:rsid w:val="003B6FA1"/>
    <w:rsid w:val="003B6FC5"/>
    <w:rsid w:val="003B7058"/>
    <w:rsid w:val="003B70FF"/>
    <w:rsid w:val="003B715A"/>
    <w:rsid w:val="003B7199"/>
    <w:rsid w:val="003B71A8"/>
    <w:rsid w:val="003B71BC"/>
    <w:rsid w:val="003B71C6"/>
    <w:rsid w:val="003B71D0"/>
    <w:rsid w:val="003B71DA"/>
    <w:rsid w:val="003B71F1"/>
    <w:rsid w:val="003B7257"/>
    <w:rsid w:val="003B7264"/>
    <w:rsid w:val="003B7292"/>
    <w:rsid w:val="003B72A6"/>
    <w:rsid w:val="003B7369"/>
    <w:rsid w:val="003B739E"/>
    <w:rsid w:val="003B73BE"/>
    <w:rsid w:val="003B73EB"/>
    <w:rsid w:val="003B745B"/>
    <w:rsid w:val="003B748A"/>
    <w:rsid w:val="003B7494"/>
    <w:rsid w:val="003B74AB"/>
    <w:rsid w:val="003B74BB"/>
    <w:rsid w:val="003B75E3"/>
    <w:rsid w:val="003B75F0"/>
    <w:rsid w:val="003B760B"/>
    <w:rsid w:val="003B761E"/>
    <w:rsid w:val="003B768D"/>
    <w:rsid w:val="003B76ED"/>
    <w:rsid w:val="003B76FA"/>
    <w:rsid w:val="003B7741"/>
    <w:rsid w:val="003B7759"/>
    <w:rsid w:val="003B7764"/>
    <w:rsid w:val="003B7782"/>
    <w:rsid w:val="003B779C"/>
    <w:rsid w:val="003B77B6"/>
    <w:rsid w:val="003B782A"/>
    <w:rsid w:val="003B783C"/>
    <w:rsid w:val="003B784B"/>
    <w:rsid w:val="003B7850"/>
    <w:rsid w:val="003B7895"/>
    <w:rsid w:val="003B78DC"/>
    <w:rsid w:val="003B7949"/>
    <w:rsid w:val="003B7987"/>
    <w:rsid w:val="003B79F0"/>
    <w:rsid w:val="003B7A8E"/>
    <w:rsid w:val="003B7A92"/>
    <w:rsid w:val="003B7A99"/>
    <w:rsid w:val="003B7AA2"/>
    <w:rsid w:val="003B7AFB"/>
    <w:rsid w:val="003B7B03"/>
    <w:rsid w:val="003B7B46"/>
    <w:rsid w:val="003B7B7D"/>
    <w:rsid w:val="003B7BAE"/>
    <w:rsid w:val="003B7BC0"/>
    <w:rsid w:val="003B7BCF"/>
    <w:rsid w:val="003B7BFB"/>
    <w:rsid w:val="003B7C04"/>
    <w:rsid w:val="003B7C17"/>
    <w:rsid w:val="003B7C3E"/>
    <w:rsid w:val="003B7C4F"/>
    <w:rsid w:val="003B7C6A"/>
    <w:rsid w:val="003B7CAA"/>
    <w:rsid w:val="003B7D00"/>
    <w:rsid w:val="003B7D05"/>
    <w:rsid w:val="003B7D8B"/>
    <w:rsid w:val="003B7D91"/>
    <w:rsid w:val="003B7DAA"/>
    <w:rsid w:val="003B7DB1"/>
    <w:rsid w:val="003B7DF3"/>
    <w:rsid w:val="003B7E1F"/>
    <w:rsid w:val="003B7E34"/>
    <w:rsid w:val="003B7EA1"/>
    <w:rsid w:val="003B7F5B"/>
    <w:rsid w:val="003B7F60"/>
    <w:rsid w:val="003B7F75"/>
    <w:rsid w:val="003B7FEF"/>
    <w:rsid w:val="003B7FF2"/>
    <w:rsid w:val="003C0006"/>
    <w:rsid w:val="003C0068"/>
    <w:rsid w:val="003C0077"/>
    <w:rsid w:val="003C011A"/>
    <w:rsid w:val="003C017C"/>
    <w:rsid w:val="003C019A"/>
    <w:rsid w:val="003C01A5"/>
    <w:rsid w:val="003C0262"/>
    <w:rsid w:val="003C032A"/>
    <w:rsid w:val="003C0358"/>
    <w:rsid w:val="003C0366"/>
    <w:rsid w:val="003C03B4"/>
    <w:rsid w:val="003C03EE"/>
    <w:rsid w:val="003C040F"/>
    <w:rsid w:val="003C04AE"/>
    <w:rsid w:val="003C04B0"/>
    <w:rsid w:val="003C0507"/>
    <w:rsid w:val="003C0509"/>
    <w:rsid w:val="003C051B"/>
    <w:rsid w:val="003C0521"/>
    <w:rsid w:val="003C05C1"/>
    <w:rsid w:val="003C05EC"/>
    <w:rsid w:val="003C05F3"/>
    <w:rsid w:val="003C0604"/>
    <w:rsid w:val="003C0622"/>
    <w:rsid w:val="003C0656"/>
    <w:rsid w:val="003C06DC"/>
    <w:rsid w:val="003C077E"/>
    <w:rsid w:val="003C0781"/>
    <w:rsid w:val="003C084A"/>
    <w:rsid w:val="003C0882"/>
    <w:rsid w:val="003C0885"/>
    <w:rsid w:val="003C088C"/>
    <w:rsid w:val="003C08AE"/>
    <w:rsid w:val="003C08DC"/>
    <w:rsid w:val="003C08F4"/>
    <w:rsid w:val="003C098E"/>
    <w:rsid w:val="003C09AC"/>
    <w:rsid w:val="003C0A27"/>
    <w:rsid w:val="003C0A44"/>
    <w:rsid w:val="003C0A74"/>
    <w:rsid w:val="003C0AA7"/>
    <w:rsid w:val="003C0ACF"/>
    <w:rsid w:val="003C0ADF"/>
    <w:rsid w:val="003C0AF1"/>
    <w:rsid w:val="003C0B4C"/>
    <w:rsid w:val="003C0B77"/>
    <w:rsid w:val="003C0BB6"/>
    <w:rsid w:val="003C0BF5"/>
    <w:rsid w:val="003C0C83"/>
    <w:rsid w:val="003C0CB2"/>
    <w:rsid w:val="003C0CE8"/>
    <w:rsid w:val="003C0D13"/>
    <w:rsid w:val="003C0D59"/>
    <w:rsid w:val="003C0DC6"/>
    <w:rsid w:val="003C0DDC"/>
    <w:rsid w:val="003C0DEA"/>
    <w:rsid w:val="003C0E0A"/>
    <w:rsid w:val="003C0E7C"/>
    <w:rsid w:val="003C0EA0"/>
    <w:rsid w:val="003C0EFD"/>
    <w:rsid w:val="003C0F4F"/>
    <w:rsid w:val="003C0F52"/>
    <w:rsid w:val="003C0F7D"/>
    <w:rsid w:val="003C103A"/>
    <w:rsid w:val="003C10BC"/>
    <w:rsid w:val="003C1158"/>
    <w:rsid w:val="003C11AA"/>
    <w:rsid w:val="003C11F7"/>
    <w:rsid w:val="003C1237"/>
    <w:rsid w:val="003C1262"/>
    <w:rsid w:val="003C1273"/>
    <w:rsid w:val="003C128C"/>
    <w:rsid w:val="003C12A8"/>
    <w:rsid w:val="003C1362"/>
    <w:rsid w:val="003C136F"/>
    <w:rsid w:val="003C1371"/>
    <w:rsid w:val="003C1465"/>
    <w:rsid w:val="003C1475"/>
    <w:rsid w:val="003C1483"/>
    <w:rsid w:val="003C14AC"/>
    <w:rsid w:val="003C1535"/>
    <w:rsid w:val="003C1558"/>
    <w:rsid w:val="003C1583"/>
    <w:rsid w:val="003C15BA"/>
    <w:rsid w:val="003C15FE"/>
    <w:rsid w:val="003C16A4"/>
    <w:rsid w:val="003C1795"/>
    <w:rsid w:val="003C17E7"/>
    <w:rsid w:val="003C1843"/>
    <w:rsid w:val="003C18FF"/>
    <w:rsid w:val="003C19B1"/>
    <w:rsid w:val="003C1A07"/>
    <w:rsid w:val="003C1A37"/>
    <w:rsid w:val="003C1A42"/>
    <w:rsid w:val="003C1A89"/>
    <w:rsid w:val="003C1A97"/>
    <w:rsid w:val="003C1AB9"/>
    <w:rsid w:val="003C1B21"/>
    <w:rsid w:val="003C1B86"/>
    <w:rsid w:val="003C1BAD"/>
    <w:rsid w:val="003C1BAF"/>
    <w:rsid w:val="003C1BBE"/>
    <w:rsid w:val="003C1C00"/>
    <w:rsid w:val="003C1C21"/>
    <w:rsid w:val="003C1C3F"/>
    <w:rsid w:val="003C1C6B"/>
    <w:rsid w:val="003C1C70"/>
    <w:rsid w:val="003C1CF7"/>
    <w:rsid w:val="003C1D2A"/>
    <w:rsid w:val="003C1D5E"/>
    <w:rsid w:val="003C1D83"/>
    <w:rsid w:val="003C1DAC"/>
    <w:rsid w:val="003C1DAD"/>
    <w:rsid w:val="003C1DE0"/>
    <w:rsid w:val="003C1DEB"/>
    <w:rsid w:val="003C1E13"/>
    <w:rsid w:val="003C1E58"/>
    <w:rsid w:val="003C1E8A"/>
    <w:rsid w:val="003C1ECD"/>
    <w:rsid w:val="003C1EE6"/>
    <w:rsid w:val="003C1F20"/>
    <w:rsid w:val="003C1F5E"/>
    <w:rsid w:val="003C1F64"/>
    <w:rsid w:val="003C1F73"/>
    <w:rsid w:val="003C1F7E"/>
    <w:rsid w:val="003C1F9B"/>
    <w:rsid w:val="003C1F9F"/>
    <w:rsid w:val="003C1FC7"/>
    <w:rsid w:val="003C207A"/>
    <w:rsid w:val="003C207E"/>
    <w:rsid w:val="003C20FA"/>
    <w:rsid w:val="003C213E"/>
    <w:rsid w:val="003C2146"/>
    <w:rsid w:val="003C217B"/>
    <w:rsid w:val="003C21A9"/>
    <w:rsid w:val="003C21B5"/>
    <w:rsid w:val="003C21C1"/>
    <w:rsid w:val="003C21F8"/>
    <w:rsid w:val="003C226F"/>
    <w:rsid w:val="003C22FE"/>
    <w:rsid w:val="003C2367"/>
    <w:rsid w:val="003C237E"/>
    <w:rsid w:val="003C239D"/>
    <w:rsid w:val="003C2445"/>
    <w:rsid w:val="003C249A"/>
    <w:rsid w:val="003C2507"/>
    <w:rsid w:val="003C2525"/>
    <w:rsid w:val="003C2566"/>
    <w:rsid w:val="003C264A"/>
    <w:rsid w:val="003C265B"/>
    <w:rsid w:val="003C268F"/>
    <w:rsid w:val="003C269B"/>
    <w:rsid w:val="003C26B4"/>
    <w:rsid w:val="003C2712"/>
    <w:rsid w:val="003C272A"/>
    <w:rsid w:val="003C2759"/>
    <w:rsid w:val="003C277C"/>
    <w:rsid w:val="003C279C"/>
    <w:rsid w:val="003C27D5"/>
    <w:rsid w:val="003C27F7"/>
    <w:rsid w:val="003C281C"/>
    <w:rsid w:val="003C28EC"/>
    <w:rsid w:val="003C295D"/>
    <w:rsid w:val="003C29B6"/>
    <w:rsid w:val="003C2A02"/>
    <w:rsid w:val="003C2A3E"/>
    <w:rsid w:val="003C2A8B"/>
    <w:rsid w:val="003C2AAD"/>
    <w:rsid w:val="003C2B0C"/>
    <w:rsid w:val="003C2B53"/>
    <w:rsid w:val="003C2B79"/>
    <w:rsid w:val="003C2B88"/>
    <w:rsid w:val="003C2B94"/>
    <w:rsid w:val="003C2BE1"/>
    <w:rsid w:val="003C2BF3"/>
    <w:rsid w:val="003C2C4A"/>
    <w:rsid w:val="003C2C75"/>
    <w:rsid w:val="003C2C84"/>
    <w:rsid w:val="003C2C91"/>
    <w:rsid w:val="003C2CC0"/>
    <w:rsid w:val="003C2CC2"/>
    <w:rsid w:val="003C2D23"/>
    <w:rsid w:val="003C2E7E"/>
    <w:rsid w:val="003C2EE4"/>
    <w:rsid w:val="003C2F3E"/>
    <w:rsid w:val="003C2F8B"/>
    <w:rsid w:val="003C2FB7"/>
    <w:rsid w:val="003C3015"/>
    <w:rsid w:val="003C304D"/>
    <w:rsid w:val="003C3060"/>
    <w:rsid w:val="003C3085"/>
    <w:rsid w:val="003C3086"/>
    <w:rsid w:val="003C312C"/>
    <w:rsid w:val="003C3161"/>
    <w:rsid w:val="003C31E6"/>
    <w:rsid w:val="003C31F4"/>
    <w:rsid w:val="003C3204"/>
    <w:rsid w:val="003C334C"/>
    <w:rsid w:val="003C33CA"/>
    <w:rsid w:val="003C33CC"/>
    <w:rsid w:val="003C33FE"/>
    <w:rsid w:val="003C3445"/>
    <w:rsid w:val="003C349E"/>
    <w:rsid w:val="003C34F9"/>
    <w:rsid w:val="003C3519"/>
    <w:rsid w:val="003C3555"/>
    <w:rsid w:val="003C3562"/>
    <w:rsid w:val="003C35D3"/>
    <w:rsid w:val="003C35FB"/>
    <w:rsid w:val="003C35FC"/>
    <w:rsid w:val="003C361D"/>
    <w:rsid w:val="003C3640"/>
    <w:rsid w:val="003C3649"/>
    <w:rsid w:val="003C3663"/>
    <w:rsid w:val="003C36F5"/>
    <w:rsid w:val="003C36F6"/>
    <w:rsid w:val="003C3711"/>
    <w:rsid w:val="003C3713"/>
    <w:rsid w:val="003C371C"/>
    <w:rsid w:val="003C3756"/>
    <w:rsid w:val="003C379C"/>
    <w:rsid w:val="003C37F2"/>
    <w:rsid w:val="003C384D"/>
    <w:rsid w:val="003C38C3"/>
    <w:rsid w:val="003C38EA"/>
    <w:rsid w:val="003C39B8"/>
    <w:rsid w:val="003C39DC"/>
    <w:rsid w:val="003C39E1"/>
    <w:rsid w:val="003C3A83"/>
    <w:rsid w:val="003C3AB8"/>
    <w:rsid w:val="003C3B48"/>
    <w:rsid w:val="003C3B72"/>
    <w:rsid w:val="003C3BD4"/>
    <w:rsid w:val="003C3BF7"/>
    <w:rsid w:val="003C3C50"/>
    <w:rsid w:val="003C3C76"/>
    <w:rsid w:val="003C3CD4"/>
    <w:rsid w:val="003C3CFB"/>
    <w:rsid w:val="003C3D11"/>
    <w:rsid w:val="003C3D3C"/>
    <w:rsid w:val="003C3D71"/>
    <w:rsid w:val="003C3D8E"/>
    <w:rsid w:val="003C3DF5"/>
    <w:rsid w:val="003C3E9A"/>
    <w:rsid w:val="003C3ECC"/>
    <w:rsid w:val="003C3F3E"/>
    <w:rsid w:val="003C3F54"/>
    <w:rsid w:val="003C3FB6"/>
    <w:rsid w:val="003C3FD8"/>
    <w:rsid w:val="003C4028"/>
    <w:rsid w:val="003C4062"/>
    <w:rsid w:val="003C4132"/>
    <w:rsid w:val="003C41A2"/>
    <w:rsid w:val="003C41B5"/>
    <w:rsid w:val="003C41CC"/>
    <w:rsid w:val="003C41FD"/>
    <w:rsid w:val="003C42F0"/>
    <w:rsid w:val="003C4330"/>
    <w:rsid w:val="003C4342"/>
    <w:rsid w:val="003C4498"/>
    <w:rsid w:val="003C4526"/>
    <w:rsid w:val="003C4543"/>
    <w:rsid w:val="003C4559"/>
    <w:rsid w:val="003C4560"/>
    <w:rsid w:val="003C4598"/>
    <w:rsid w:val="003C460E"/>
    <w:rsid w:val="003C461A"/>
    <w:rsid w:val="003C4654"/>
    <w:rsid w:val="003C466C"/>
    <w:rsid w:val="003C4678"/>
    <w:rsid w:val="003C46AE"/>
    <w:rsid w:val="003C46BE"/>
    <w:rsid w:val="003C46E1"/>
    <w:rsid w:val="003C46F7"/>
    <w:rsid w:val="003C4722"/>
    <w:rsid w:val="003C4727"/>
    <w:rsid w:val="003C4737"/>
    <w:rsid w:val="003C47EE"/>
    <w:rsid w:val="003C47F2"/>
    <w:rsid w:val="003C4804"/>
    <w:rsid w:val="003C480F"/>
    <w:rsid w:val="003C4819"/>
    <w:rsid w:val="003C483A"/>
    <w:rsid w:val="003C4895"/>
    <w:rsid w:val="003C49A9"/>
    <w:rsid w:val="003C49D8"/>
    <w:rsid w:val="003C49F4"/>
    <w:rsid w:val="003C4A00"/>
    <w:rsid w:val="003C4A88"/>
    <w:rsid w:val="003C4A99"/>
    <w:rsid w:val="003C4AAC"/>
    <w:rsid w:val="003C4ABD"/>
    <w:rsid w:val="003C4B3C"/>
    <w:rsid w:val="003C4B9B"/>
    <w:rsid w:val="003C4C68"/>
    <w:rsid w:val="003C4C99"/>
    <w:rsid w:val="003C4CC5"/>
    <w:rsid w:val="003C4D5E"/>
    <w:rsid w:val="003C4D8E"/>
    <w:rsid w:val="003C4DA5"/>
    <w:rsid w:val="003C4DE5"/>
    <w:rsid w:val="003C4DEC"/>
    <w:rsid w:val="003C4DF0"/>
    <w:rsid w:val="003C4E0A"/>
    <w:rsid w:val="003C4E18"/>
    <w:rsid w:val="003C4EA1"/>
    <w:rsid w:val="003C4EF2"/>
    <w:rsid w:val="003C4F38"/>
    <w:rsid w:val="003C4F47"/>
    <w:rsid w:val="003C4FD6"/>
    <w:rsid w:val="003C500C"/>
    <w:rsid w:val="003C5012"/>
    <w:rsid w:val="003C506D"/>
    <w:rsid w:val="003C5091"/>
    <w:rsid w:val="003C50AF"/>
    <w:rsid w:val="003C50F3"/>
    <w:rsid w:val="003C50FD"/>
    <w:rsid w:val="003C511B"/>
    <w:rsid w:val="003C5172"/>
    <w:rsid w:val="003C5272"/>
    <w:rsid w:val="003C52BE"/>
    <w:rsid w:val="003C52EC"/>
    <w:rsid w:val="003C533D"/>
    <w:rsid w:val="003C53B0"/>
    <w:rsid w:val="003C540E"/>
    <w:rsid w:val="003C5416"/>
    <w:rsid w:val="003C541B"/>
    <w:rsid w:val="003C5472"/>
    <w:rsid w:val="003C5491"/>
    <w:rsid w:val="003C54DF"/>
    <w:rsid w:val="003C54FA"/>
    <w:rsid w:val="003C5535"/>
    <w:rsid w:val="003C553C"/>
    <w:rsid w:val="003C55D4"/>
    <w:rsid w:val="003C569A"/>
    <w:rsid w:val="003C56AE"/>
    <w:rsid w:val="003C572D"/>
    <w:rsid w:val="003C5786"/>
    <w:rsid w:val="003C5787"/>
    <w:rsid w:val="003C57B2"/>
    <w:rsid w:val="003C57BB"/>
    <w:rsid w:val="003C57CE"/>
    <w:rsid w:val="003C583D"/>
    <w:rsid w:val="003C5923"/>
    <w:rsid w:val="003C595B"/>
    <w:rsid w:val="003C59BD"/>
    <w:rsid w:val="003C59F9"/>
    <w:rsid w:val="003C5A15"/>
    <w:rsid w:val="003C5A59"/>
    <w:rsid w:val="003C5A63"/>
    <w:rsid w:val="003C5A64"/>
    <w:rsid w:val="003C5AC2"/>
    <w:rsid w:val="003C5B47"/>
    <w:rsid w:val="003C5B98"/>
    <w:rsid w:val="003C5B9E"/>
    <w:rsid w:val="003C5BC9"/>
    <w:rsid w:val="003C5C2C"/>
    <w:rsid w:val="003C5CC8"/>
    <w:rsid w:val="003C5D25"/>
    <w:rsid w:val="003C5D85"/>
    <w:rsid w:val="003C5DA1"/>
    <w:rsid w:val="003C5E13"/>
    <w:rsid w:val="003C5E2F"/>
    <w:rsid w:val="003C5E66"/>
    <w:rsid w:val="003C5EAB"/>
    <w:rsid w:val="003C5F5F"/>
    <w:rsid w:val="003C6040"/>
    <w:rsid w:val="003C6078"/>
    <w:rsid w:val="003C60DB"/>
    <w:rsid w:val="003C60FB"/>
    <w:rsid w:val="003C617E"/>
    <w:rsid w:val="003C61B8"/>
    <w:rsid w:val="003C61BD"/>
    <w:rsid w:val="003C6257"/>
    <w:rsid w:val="003C6277"/>
    <w:rsid w:val="003C6290"/>
    <w:rsid w:val="003C62A7"/>
    <w:rsid w:val="003C6334"/>
    <w:rsid w:val="003C6363"/>
    <w:rsid w:val="003C6369"/>
    <w:rsid w:val="003C63A6"/>
    <w:rsid w:val="003C63D3"/>
    <w:rsid w:val="003C6472"/>
    <w:rsid w:val="003C64F6"/>
    <w:rsid w:val="003C6504"/>
    <w:rsid w:val="003C6505"/>
    <w:rsid w:val="003C6517"/>
    <w:rsid w:val="003C6537"/>
    <w:rsid w:val="003C6554"/>
    <w:rsid w:val="003C6595"/>
    <w:rsid w:val="003C659E"/>
    <w:rsid w:val="003C65E4"/>
    <w:rsid w:val="003C65F3"/>
    <w:rsid w:val="003C6624"/>
    <w:rsid w:val="003C66AE"/>
    <w:rsid w:val="003C66DA"/>
    <w:rsid w:val="003C6716"/>
    <w:rsid w:val="003C6722"/>
    <w:rsid w:val="003C6778"/>
    <w:rsid w:val="003C67D5"/>
    <w:rsid w:val="003C6912"/>
    <w:rsid w:val="003C6937"/>
    <w:rsid w:val="003C694B"/>
    <w:rsid w:val="003C6952"/>
    <w:rsid w:val="003C6956"/>
    <w:rsid w:val="003C6958"/>
    <w:rsid w:val="003C6961"/>
    <w:rsid w:val="003C696E"/>
    <w:rsid w:val="003C6982"/>
    <w:rsid w:val="003C6990"/>
    <w:rsid w:val="003C69AE"/>
    <w:rsid w:val="003C69B5"/>
    <w:rsid w:val="003C69BC"/>
    <w:rsid w:val="003C69F4"/>
    <w:rsid w:val="003C6A39"/>
    <w:rsid w:val="003C6AF2"/>
    <w:rsid w:val="003C6B0D"/>
    <w:rsid w:val="003C6BB8"/>
    <w:rsid w:val="003C6BCC"/>
    <w:rsid w:val="003C6BFF"/>
    <w:rsid w:val="003C6C51"/>
    <w:rsid w:val="003C6C82"/>
    <w:rsid w:val="003C6CF3"/>
    <w:rsid w:val="003C6D6D"/>
    <w:rsid w:val="003C6D89"/>
    <w:rsid w:val="003C6DAF"/>
    <w:rsid w:val="003C6DB0"/>
    <w:rsid w:val="003C6E25"/>
    <w:rsid w:val="003C6F09"/>
    <w:rsid w:val="003C6F34"/>
    <w:rsid w:val="003C6F45"/>
    <w:rsid w:val="003C6F90"/>
    <w:rsid w:val="003C6FBB"/>
    <w:rsid w:val="003C6FE7"/>
    <w:rsid w:val="003C7015"/>
    <w:rsid w:val="003C703F"/>
    <w:rsid w:val="003C706A"/>
    <w:rsid w:val="003C708D"/>
    <w:rsid w:val="003C70CC"/>
    <w:rsid w:val="003C710B"/>
    <w:rsid w:val="003C7112"/>
    <w:rsid w:val="003C714D"/>
    <w:rsid w:val="003C7166"/>
    <w:rsid w:val="003C717C"/>
    <w:rsid w:val="003C7206"/>
    <w:rsid w:val="003C7264"/>
    <w:rsid w:val="003C7278"/>
    <w:rsid w:val="003C727C"/>
    <w:rsid w:val="003C7295"/>
    <w:rsid w:val="003C729A"/>
    <w:rsid w:val="003C72D8"/>
    <w:rsid w:val="003C72E3"/>
    <w:rsid w:val="003C72E8"/>
    <w:rsid w:val="003C737E"/>
    <w:rsid w:val="003C73D2"/>
    <w:rsid w:val="003C7430"/>
    <w:rsid w:val="003C74F4"/>
    <w:rsid w:val="003C7565"/>
    <w:rsid w:val="003C7589"/>
    <w:rsid w:val="003C75A1"/>
    <w:rsid w:val="003C76D7"/>
    <w:rsid w:val="003C76F4"/>
    <w:rsid w:val="003C770F"/>
    <w:rsid w:val="003C7739"/>
    <w:rsid w:val="003C7754"/>
    <w:rsid w:val="003C777B"/>
    <w:rsid w:val="003C7786"/>
    <w:rsid w:val="003C77E6"/>
    <w:rsid w:val="003C780C"/>
    <w:rsid w:val="003C7845"/>
    <w:rsid w:val="003C7850"/>
    <w:rsid w:val="003C78A1"/>
    <w:rsid w:val="003C78DF"/>
    <w:rsid w:val="003C78FC"/>
    <w:rsid w:val="003C79B2"/>
    <w:rsid w:val="003C79C0"/>
    <w:rsid w:val="003C79E3"/>
    <w:rsid w:val="003C7A1A"/>
    <w:rsid w:val="003C7A5F"/>
    <w:rsid w:val="003C7B09"/>
    <w:rsid w:val="003C7B0B"/>
    <w:rsid w:val="003C7B38"/>
    <w:rsid w:val="003C7BA9"/>
    <w:rsid w:val="003C7BDF"/>
    <w:rsid w:val="003C7BE8"/>
    <w:rsid w:val="003C7C05"/>
    <w:rsid w:val="003C7C3B"/>
    <w:rsid w:val="003C7CA6"/>
    <w:rsid w:val="003C7D6D"/>
    <w:rsid w:val="003C7D79"/>
    <w:rsid w:val="003C7D91"/>
    <w:rsid w:val="003C7DA4"/>
    <w:rsid w:val="003C7DE9"/>
    <w:rsid w:val="003C7DF7"/>
    <w:rsid w:val="003C7E03"/>
    <w:rsid w:val="003C7E0F"/>
    <w:rsid w:val="003C7E30"/>
    <w:rsid w:val="003C7E52"/>
    <w:rsid w:val="003C7E73"/>
    <w:rsid w:val="003C7ED4"/>
    <w:rsid w:val="003C7EDF"/>
    <w:rsid w:val="003C7F1E"/>
    <w:rsid w:val="003C7F29"/>
    <w:rsid w:val="003C7F67"/>
    <w:rsid w:val="003C7FAD"/>
    <w:rsid w:val="003CF94E"/>
    <w:rsid w:val="003D0008"/>
    <w:rsid w:val="003D0035"/>
    <w:rsid w:val="003D0040"/>
    <w:rsid w:val="003D007F"/>
    <w:rsid w:val="003D00AA"/>
    <w:rsid w:val="003D00FB"/>
    <w:rsid w:val="003D017B"/>
    <w:rsid w:val="003D017F"/>
    <w:rsid w:val="003D0361"/>
    <w:rsid w:val="003D03A6"/>
    <w:rsid w:val="003D03FD"/>
    <w:rsid w:val="003D0418"/>
    <w:rsid w:val="003D0451"/>
    <w:rsid w:val="003D0487"/>
    <w:rsid w:val="003D04E2"/>
    <w:rsid w:val="003D051D"/>
    <w:rsid w:val="003D0532"/>
    <w:rsid w:val="003D0583"/>
    <w:rsid w:val="003D05D8"/>
    <w:rsid w:val="003D05E9"/>
    <w:rsid w:val="003D0616"/>
    <w:rsid w:val="003D0634"/>
    <w:rsid w:val="003D0687"/>
    <w:rsid w:val="003D06ED"/>
    <w:rsid w:val="003D073B"/>
    <w:rsid w:val="003D07CD"/>
    <w:rsid w:val="003D07F3"/>
    <w:rsid w:val="003D080F"/>
    <w:rsid w:val="003D086D"/>
    <w:rsid w:val="003D0893"/>
    <w:rsid w:val="003D08A7"/>
    <w:rsid w:val="003D0936"/>
    <w:rsid w:val="003D093D"/>
    <w:rsid w:val="003D0950"/>
    <w:rsid w:val="003D0983"/>
    <w:rsid w:val="003D09AB"/>
    <w:rsid w:val="003D09DB"/>
    <w:rsid w:val="003D0A2A"/>
    <w:rsid w:val="003D0A37"/>
    <w:rsid w:val="003D0A4C"/>
    <w:rsid w:val="003D0A63"/>
    <w:rsid w:val="003D0AE6"/>
    <w:rsid w:val="003D0BB1"/>
    <w:rsid w:val="003D0BB7"/>
    <w:rsid w:val="003D0BEF"/>
    <w:rsid w:val="003D0C1F"/>
    <w:rsid w:val="003D0C35"/>
    <w:rsid w:val="003D0C6B"/>
    <w:rsid w:val="003D0C78"/>
    <w:rsid w:val="003D0CFA"/>
    <w:rsid w:val="003D0D1F"/>
    <w:rsid w:val="003D0D23"/>
    <w:rsid w:val="003D0D59"/>
    <w:rsid w:val="003D0D75"/>
    <w:rsid w:val="003D0D84"/>
    <w:rsid w:val="003D0E10"/>
    <w:rsid w:val="003D0E3D"/>
    <w:rsid w:val="003D0E8B"/>
    <w:rsid w:val="003D0EA8"/>
    <w:rsid w:val="003D0EAD"/>
    <w:rsid w:val="003D0EB9"/>
    <w:rsid w:val="003D0EBF"/>
    <w:rsid w:val="003D0ECA"/>
    <w:rsid w:val="003D0ED4"/>
    <w:rsid w:val="003D0ED8"/>
    <w:rsid w:val="003D0EEC"/>
    <w:rsid w:val="003D0F21"/>
    <w:rsid w:val="003D0F40"/>
    <w:rsid w:val="003D100C"/>
    <w:rsid w:val="003D108C"/>
    <w:rsid w:val="003D1092"/>
    <w:rsid w:val="003D10A3"/>
    <w:rsid w:val="003D10CE"/>
    <w:rsid w:val="003D111E"/>
    <w:rsid w:val="003D112A"/>
    <w:rsid w:val="003D1149"/>
    <w:rsid w:val="003D116C"/>
    <w:rsid w:val="003D119B"/>
    <w:rsid w:val="003D11D0"/>
    <w:rsid w:val="003D11F9"/>
    <w:rsid w:val="003D1210"/>
    <w:rsid w:val="003D1227"/>
    <w:rsid w:val="003D1245"/>
    <w:rsid w:val="003D1286"/>
    <w:rsid w:val="003D1293"/>
    <w:rsid w:val="003D12F3"/>
    <w:rsid w:val="003D130D"/>
    <w:rsid w:val="003D1365"/>
    <w:rsid w:val="003D13A1"/>
    <w:rsid w:val="003D13A2"/>
    <w:rsid w:val="003D13E7"/>
    <w:rsid w:val="003D146E"/>
    <w:rsid w:val="003D1475"/>
    <w:rsid w:val="003D14AF"/>
    <w:rsid w:val="003D14CB"/>
    <w:rsid w:val="003D14CD"/>
    <w:rsid w:val="003D14CF"/>
    <w:rsid w:val="003D14E2"/>
    <w:rsid w:val="003D150D"/>
    <w:rsid w:val="003D1542"/>
    <w:rsid w:val="003D1559"/>
    <w:rsid w:val="003D157F"/>
    <w:rsid w:val="003D15A7"/>
    <w:rsid w:val="003D15AE"/>
    <w:rsid w:val="003D15EA"/>
    <w:rsid w:val="003D1617"/>
    <w:rsid w:val="003D1624"/>
    <w:rsid w:val="003D16E7"/>
    <w:rsid w:val="003D16F2"/>
    <w:rsid w:val="003D1702"/>
    <w:rsid w:val="003D171B"/>
    <w:rsid w:val="003D1722"/>
    <w:rsid w:val="003D174C"/>
    <w:rsid w:val="003D17C1"/>
    <w:rsid w:val="003D17CA"/>
    <w:rsid w:val="003D1828"/>
    <w:rsid w:val="003D18CF"/>
    <w:rsid w:val="003D18E8"/>
    <w:rsid w:val="003D1949"/>
    <w:rsid w:val="003D197D"/>
    <w:rsid w:val="003D19C4"/>
    <w:rsid w:val="003D19D9"/>
    <w:rsid w:val="003D19F0"/>
    <w:rsid w:val="003D1A62"/>
    <w:rsid w:val="003D1A74"/>
    <w:rsid w:val="003D1A7F"/>
    <w:rsid w:val="003D1ACA"/>
    <w:rsid w:val="003D1ACB"/>
    <w:rsid w:val="003D1AD0"/>
    <w:rsid w:val="003D1AE6"/>
    <w:rsid w:val="003D1AF5"/>
    <w:rsid w:val="003D1BA4"/>
    <w:rsid w:val="003D1C10"/>
    <w:rsid w:val="003D1CCE"/>
    <w:rsid w:val="003D1CE3"/>
    <w:rsid w:val="003D1D4D"/>
    <w:rsid w:val="003D1D59"/>
    <w:rsid w:val="003D1E7D"/>
    <w:rsid w:val="003D1ED5"/>
    <w:rsid w:val="003D1F1E"/>
    <w:rsid w:val="003D1F9E"/>
    <w:rsid w:val="003D1FD2"/>
    <w:rsid w:val="003D2040"/>
    <w:rsid w:val="003D2066"/>
    <w:rsid w:val="003D20F1"/>
    <w:rsid w:val="003D2134"/>
    <w:rsid w:val="003D218B"/>
    <w:rsid w:val="003D2193"/>
    <w:rsid w:val="003D21A5"/>
    <w:rsid w:val="003D21A7"/>
    <w:rsid w:val="003D21C7"/>
    <w:rsid w:val="003D21F5"/>
    <w:rsid w:val="003D2202"/>
    <w:rsid w:val="003D223D"/>
    <w:rsid w:val="003D2262"/>
    <w:rsid w:val="003D228F"/>
    <w:rsid w:val="003D2294"/>
    <w:rsid w:val="003D22BF"/>
    <w:rsid w:val="003D22F1"/>
    <w:rsid w:val="003D2345"/>
    <w:rsid w:val="003D23D2"/>
    <w:rsid w:val="003D2424"/>
    <w:rsid w:val="003D2434"/>
    <w:rsid w:val="003D2435"/>
    <w:rsid w:val="003D244F"/>
    <w:rsid w:val="003D245D"/>
    <w:rsid w:val="003D24E1"/>
    <w:rsid w:val="003D24E7"/>
    <w:rsid w:val="003D24E8"/>
    <w:rsid w:val="003D256F"/>
    <w:rsid w:val="003D25D8"/>
    <w:rsid w:val="003D2619"/>
    <w:rsid w:val="003D2629"/>
    <w:rsid w:val="003D2647"/>
    <w:rsid w:val="003D2648"/>
    <w:rsid w:val="003D2670"/>
    <w:rsid w:val="003D2672"/>
    <w:rsid w:val="003D269F"/>
    <w:rsid w:val="003D26BB"/>
    <w:rsid w:val="003D26CA"/>
    <w:rsid w:val="003D26E0"/>
    <w:rsid w:val="003D2711"/>
    <w:rsid w:val="003D278F"/>
    <w:rsid w:val="003D27B7"/>
    <w:rsid w:val="003D27BE"/>
    <w:rsid w:val="003D27E3"/>
    <w:rsid w:val="003D27EF"/>
    <w:rsid w:val="003D280B"/>
    <w:rsid w:val="003D2881"/>
    <w:rsid w:val="003D28AA"/>
    <w:rsid w:val="003D28E4"/>
    <w:rsid w:val="003D2967"/>
    <w:rsid w:val="003D2A7F"/>
    <w:rsid w:val="003D2A8B"/>
    <w:rsid w:val="003D2A90"/>
    <w:rsid w:val="003D2AA5"/>
    <w:rsid w:val="003D2ADB"/>
    <w:rsid w:val="003D2B01"/>
    <w:rsid w:val="003D2B41"/>
    <w:rsid w:val="003D2B99"/>
    <w:rsid w:val="003D2BAC"/>
    <w:rsid w:val="003D2C27"/>
    <w:rsid w:val="003D2C4C"/>
    <w:rsid w:val="003D2D02"/>
    <w:rsid w:val="003D2D07"/>
    <w:rsid w:val="003D2D41"/>
    <w:rsid w:val="003D2D4B"/>
    <w:rsid w:val="003D2D62"/>
    <w:rsid w:val="003D2DBF"/>
    <w:rsid w:val="003D2DD6"/>
    <w:rsid w:val="003D2DE6"/>
    <w:rsid w:val="003D2DFE"/>
    <w:rsid w:val="003D2E57"/>
    <w:rsid w:val="003D2E65"/>
    <w:rsid w:val="003D2EC5"/>
    <w:rsid w:val="003D2EE5"/>
    <w:rsid w:val="003D2F04"/>
    <w:rsid w:val="003D2F2A"/>
    <w:rsid w:val="003D2F6C"/>
    <w:rsid w:val="003D2F79"/>
    <w:rsid w:val="003D3028"/>
    <w:rsid w:val="003D3037"/>
    <w:rsid w:val="003D309C"/>
    <w:rsid w:val="003D313A"/>
    <w:rsid w:val="003D31BA"/>
    <w:rsid w:val="003D31C4"/>
    <w:rsid w:val="003D3207"/>
    <w:rsid w:val="003D320C"/>
    <w:rsid w:val="003D320F"/>
    <w:rsid w:val="003D3270"/>
    <w:rsid w:val="003D32BF"/>
    <w:rsid w:val="003D32C1"/>
    <w:rsid w:val="003D32CA"/>
    <w:rsid w:val="003D32CE"/>
    <w:rsid w:val="003D32DD"/>
    <w:rsid w:val="003D332C"/>
    <w:rsid w:val="003D3333"/>
    <w:rsid w:val="003D333F"/>
    <w:rsid w:val="003D33D6"/>
    <w:rsid w:val="003D33F0"/>
    <w:rsid w:val="003D3436"/>
    <w:rsid w:val="003D3476"/>
    <w:rsid w:val="003D34F1"/>
    <w:rsid w:val="003D351A"/>
    <w:rsid w:val="003D351F"/>
    <w:rsid w:val="003D35C4"/>
    <w:rsid w:val="003D35DB"/>
    <w:rsid w:val="003D35F2"/>
    <w:rsid w:val="003D36EE"/>
    <w:rsid w:val="003D3713"/>
    <w:rsid w:val="003D3751"/>
    <w:rsid w:val="003D3793"/>
    <w:rsid w:val="003D379A"/>
    <w:rsid w:val="003D37DA"/>
    <w:rsid w:val="003D3808"/>
    <w:rsid w:val="003D381C"/>
    <w:rsid w:val="003D3823"/>
    <w:rsid w:val="003D384A"/>
    <w:rsid w:val="003D38B8"/>
    <w:rsid w:val="003D391A"/>
    <w:rsid w:val="003D3959"/>
    <w:rsid w:val="003D3964"/>
    <w:rsid w:val="003D39A3"/>
    <w:rsid w:val="003D39D7"/>
    <w:rsid w:val="003D3A3A"/>
    <w:rsid w:val="003D3A41"/>
    <w:rsid w:val="003D3A7B"/>
    <w:rsid w:val="003D3A9A"/>
    <w:rsid w:val="003D3AB9"/>
    <w:rsid w:val="003D3AEE"/>
    <w:rsid w:val="003D3AF9"/>
    <w:rsid w:val="003D3B08"/>
    <w:rsid w:val="003D3B15"/>
    <w:rsid w:val="003D3B58"/>
    <w:rsid w:val="003D3B5F"/>
    <w:rsid w:val="003D3B61"/>
    <w:rsid w:val="003D3BBB"/>
    <w:rsid w:val="003D3C5A"/>
    <w:rsid w:val="003D3D0F"/>
    <w:rsid w:val="003D3D25"/>
    <w:rsid w:val="003D3D50"/>
    <w:rsid w:val="003D3D55"/>
    <w:rsid w:val="003D3D5E"/>
    <w:rsid w:val="003D3D77"/>
    <w:rsid w:val="003D3DAC"/>
    <w:rsid w:val="003D3DBB"/>
    <w:rsid w:val="003D3DD0"/>
    <w:rsid w:val="003D3DD7"/>
    <w:rsid w:val="003D3DD9"/>
    <w:rsid w:val="003D3E5A"/>
    <w:rsid w:val="003D3E79"/>
    <w:rsid w:val="003D3F06"/>
    <w:rsid w:val="003D3F15"/>
    <w:rsid w:val="003D3F6B"/>
    <w:rsid w:val="003D4069"/>
    <w:rsid w:val="003D4075"/>
    <w:rsid w:val="003D407C"/>
    <w:rsid w:val="003D40DD"/>
    <w:rsid w:val="003D40DF"/>
    <w:rsid w:val="003D40E4"/>
    <w:rsid w:val="003D4177"/>
    <w:rsid w:val="003D41A9"/>
    <w:rsid w:val="003D41B4"/>
    <w:rsid w:val="003D41D5"/>
    <w:rsid w:val="003D41F7"/>
    <w:rsid w:val="003D4210"/>
    <w:rsid w:val="003D42E1"/>
    <w:rsid w:val="003D4304"/>
    <w:rsid w:val="003D4312"/>
    <w:rsid w:val="003D4334"/>
    <w:rsid w:val="003D433F"/>
    <w:rsid w:val="003D434A"/>
    <w:rsid w:val="003D4368"/>
    <w:rsid w:val="003D437D"/>
    <w:rsid w:val="003D43C3"/>
    <w:rsid w:val="003D43C8"/>
    <w:rsid w:val="003D4403"/>
    <w:rsid w:val="003D444D"/>
    <w:rsid w:val="003D44CE"/>
    <w:rsid w:val="003D4529"/>
    <w:rsid w:val="003D452B"/>
    <w:rsid w:val="003D4548"/>
    <w:rsid w:val="003D456D"/>
    <w:rsid w:val="003D45C3"/>
    <w:rsid w:val="003D45E9"/>
    <w:rsid w:val="003D477B"/>
    <w:rsid w:val="003D4781"/>
    <w:rsid w:val="003D479A"/>
    <w:rsid w:val="003D47AB"/>
    <w:rsid w:val="003D482C"/>
    <w:rsid w:val="003D4850"/>
    <w:rsid w:val="003D4879"/>
    <w:rsid w:val="003D4900"/>
    <w:rsid w:val="003D4942"/>
    <w:rsid w:val="003D494B"/>
    <w:rsid w:val="003D49A6"/>
    <w:rsid w:val="003D49CA"/>
    <w:rsid w:val="003D49CE"/>
    <w:rsid w:val="003D49F1"/>
    <w:rsid w:val="003D4A13"/>
    <w:rsid w:val="003D4A6A"/>
    <w:rsid w:val="003D4AC1"/>
    <w:rsid w:val="003D4ADA"/>
    <w:rsid w:val="003D4ADB"/>
    <w:rsid w:val="003D4B0C"/>
    <w:rsid w:val="003D4B49"/>
    <w:rsid w:val="003D4B58"/>
    <w:rsid w:val="003D4BE7"/>
    <w:rsid w:val="003D4C2A"/>
    <w:rsid w:val="003D4CB2"/>
    <w:rsid w:val="003D4D18"/>
    <w:rsid w:val="003D4D65"/>
    <w:rsid w:val="003D4D80"/>
    <w:rsid w:val="003D4DBB"/>
    <w:rsid w:val="003D4E39"/>
    <w:rsid w:val="003D4E75"/>
    <w:rsid w:val="003D4E9A"/>
    <w:rsid w:val="003D4F32"/>
    <w:rsid w:val="003D4F42"/>
    <w:rsid w:val="003D4F45"/>
    <w:rsid w:val="003D4F8D"/>
    <w:rsid w:val="003D4FAB"/>
    <w:rsid w:val="003D5102"/>
    <w:rsid w:val="003D510F"/>
    <w:rsid w:val="003D5121"/>
    <w:rsid w:val="003D51E9"/>
    <w:rsid w:val="003D5271"/>
    <w:rsid w:val="003D5285"/>
    <w:rsid w:val="003D5328"/>
    <w:rsid w:val="003D5368"/>
    <w:rsid w:val="003D5378"/>
    <w:rsid w:val="003D5396"/>
    <w:rsid w:val="003D539F"/>
    <w:rsid w:val="003D53B7"/>
    <w:rsid w:val="003D53CA"/>
    <w:rsid w:val="003D53D6"/>
    <w:rsid w:val="003D546B"/>
    <w:rsid w:val="003D548F"/>
    <w:rsid w:val="003D5580"/>
    <w:rsid w:val="003D5595"/>
    <w:rsid w:val="003D55D7"/>
    <w:rsid w:val="003D55EE"/>
    <w:rsid w:val="003D55F0"/>
    <w:rsid w:val="003D5662"/>
    <w:rsid w:val="003D5739"/>
    <w:rsid w:val="003D577D"/>
    <w:rsid w:val="003D5780"/>
    <w:rsid w:val="003D5802"/>
    <w:rsid w:val="003D580D"/>
    <w:rsid w:val="003D584B"/>
    <w:rsid w:val="003D58AC"/>
    <w:rsid w:val="003D58B5"/>
    <w:rsid w:val="003D58DA"/>
    <w:rsid w:val="003D590A"/>
    <w:rsid w:val="003D5954"/>
    <w:rsid w:val="003D598C"/>
    <w:rsid w:val="003D5A31"/>
    <w:rsid w:val="003D5A4C"/>
    <w:rsid w:val="003D5A7A"/>
    <w:rsid w:val="003D5B13"/>
    <w:rsid w:val="003D5B36"/>
    <w:rsid w:val="003D5B8A"/>
    <w:rsid w:val="003D5BE4"/>
    <w:rsid w:val="003D5C17"/>
    <w:rsid w:val="003D5C63"/>
    <w:rsid w:val="003D5C6A"/>
    <w:rsid w:val="003D5CC0"/>
    <w:rsid w:val="003D5CF9"/>
    <w:rsid w:val="003D5D50"/>
    <w:rsid w:val="003D5D59"/>
    <w:rsid w:val="003D5D72"/>
    <w:rsid w:val="003D5D7B"/>
    <w:rsid w:val="003D5DD7"/>
    <w:rsid w:val="003D5E85"/>
    <w:rsid w:val="003D5E99"/>
    <w:rsid w:val="003D5EF2"/>
    <w:rsid w:val="003D5F2A"/>
    <w:rsid w:val="003D5F2C"/>
    <w:rsid w:val="003D5F54"/>
    <w:rsid w:val="003D5FE1"/>
    <w:rsid w:val="003D6013"/>
    <w:rsid w:val="003D6068"/>
    <w:rsid w:val="003D6087"/>
    <w:rsid w:val="003D61B6"/>
    <w:rsid w:val="003D620F"/>
    <w:rsid w:val="003D622F"/>
    <w:rsid w:val="003D6249"/>
    <w:rsid w:val="003D6282"/>
    <w:rsid w:val="003D6289"/>
    <w:rsid w:val="003D62A4"/>
    <w:rsid w:val="003D62F2"/>
    <w:rsid w:val="003D6339"/>
    <w:rsid w:val="003D63FD"/>
    <w:rsid w:val="003D6459"/>
    <w:rsid w:val="003D6474"/>
    <w:rsid w:val="003D64C9"/>
    <w:rsid w:val="003D64CF"/>
    <w:rsid w:val="003D6558"/>
    <w:rsid w:val="003D6583"/>
    <w:rsid w:val="003D65B4"/>
    <w:rsid w:val="003D65BB"/>
    <w:rsid w:val="003D65D2"/>
    <w:rsid w:val="003D6624"/>
    <w:rsid w:val="003D6676"/>
    <w:rsid w:val="003D668D"/>
    <w:rsid w:val="003D66A2"/>
    <w:rsid w:val="003D6717"/>
    <w:rsid w:val="003D6729"/>
    <w:rsid w:val="003D67E4"/>
    <w:rsid w:val="003D6825"/>
    <w:rsid w:val="003D689F"/>
    <w:rsid w:val="003D6923"/>
    <w:rsid w:val="003D693D"/>
    <w:rsid w:val="003D6A2C"/>
    <w:rsid w:val="003D6A46"/>
    <w:rsid w:val="003D6AA0"/>
    <w:rsid w:val="003D6C2C"/>
    <w:rsid w:val="003D6C66"/>
    <w:rsid w:val="003D6CA8"/>
    <w:rsid w:val="003D6CE1"/>
    <w:rsid w:val="003D6D0D"/>
    <w:rsid w:val="003D6D1A"/>
    <w:rsid w:val="003D6D2C"/>
    <w:rsid w:val="003D6D40"/>
    <w:rsid w:val="003D6D50"/>
    <w:rsid w:val="003D6D85"/>
    <w:rsid w:val="003D6DBC"/>
    <w:rsid w:val="003D6DC1"/>
    <w:rsid w:val="003D6E67"/>
    <w:rsid w:val="003D6E90"/>
    <w:rsid w:val="003D6EB0"/>
    <w:rsid w:val="003D6ECD"/>
    <w:rsid w:val="003D6F3D"/>
    <w:rsid w:val="003D6F3E"/>
    <w:rsid w:val="003D6FD5"/>
    <w:rsid w:val="003D6FE9"/>
    <w:rsid w:val="003D7011"/>
    <w:rsid w:val="003D708D"/>
    <w:rsid w:val="003D7094"/>
    <w:rsid w:val="003D709A"/>
    <w:rsid w:val="003D70C4"/>
    <w:rsid w:val="003D711F"/>
    <w:rsid w:val="003D7121"/>
    <w:rsid w:val="003D7133"/>
    <w:rsid w:val="003D71A8"/>
    <w:rsid w:val="003D71F6"/>
    <w:rsid w:val="003D7219"/>
    <w:rsid w:val="003D724B"/>
    <w:rsid w:val="003D72B1"/>
    <w:rsid w:val="003D72E7"/>
    <w:rsid w:val="003D7317"/>
    <w:rsid w:val="003D741D"/>
    <w:rsid w:val="003D7437"/>
    <w:rsid w:val="003D7506"/>
    <w:rsid w:val="003D7513"/>
    <w:rsid w:val="003D75B0"/>
    <w:rsid w:val="003D75E2"/>
    <w:rsid w:val="003D75E6"/>
    <w:rsid w:val="003D7646"/>
    <w:rsid w:val="003D7665"/>
    <w:rsid w:val="003D7688"/>
    <w:rsid w:val="003D76F8"/>
    <w:rsid w:val="003D76F9"/>
    <w:rsid w:val="003D7731"/>
    <w:rsid w:val="003D778D"/>
    <w:rsid w:val="003D77BA"/>
    <w:rsid w:val="003D77DD"/>
    <w:rsid w:val="003D77F0"/>
    <w:rsid w:val="003D781C"/>
    <w:rsid w:val="003D78B7"/>
    <w:rsid w:val="003D78BB"/>
    <w:rsid w:val="003D78CA"/>
    <w:rsid w:val="003D78F4"/>
    <w:rsid w:val="003D78FE"/>
    <w:rsid w:val="003D793A"/>
    <w:rsid w:val="003D793E"/>
    <w:rsid w:val="003D7950"/>
    <w:rsid w:val="003D7957"/>
    <w:rsid w:val="003D7A21"/>
    <w:rsid w:val="003D7A7E"/>
    <w:rsid w:val="003D7AA9"/>
    <w:rsid w:val="003D7ADC"/>
    <w:rsid w:val="003D7B65"/>
    <w:rsid w:val="003D7BA1"/>
    <w:rsid w:val="003D7BCC"/>
    <w:rsid w:val="003D7BD3"/>
    <w:rsid w:val="003D7BD6"/>
    <w:rsid w:val="003D7BEE"/>
    <w:rsid w:val="003D7C5F"/>
    <w:rsid w:val="003D7C67"/>
    <w:rsid w:val="003D7C77"/>
    <w:rsid w:val="003D7CDE"/>
    <w:rsid w:val="003D7CFD"/>
    <w:rsid w:val="003D7D2E"/>
    <w:rsid w:val="003D7D9E"/>
    <w:rsid w:val="003D7DE4"/>
    <w:rsid w:val="003D7DE6"/>
    <w:rsid w:val="003D7E39"/>
    <w:rsid w:val="003D7E97"/>
    <w:rsid w:val="003D7EB0"/>
    <w:rsid w:val="003D7F17"/>
    <w:rsid w:val="003D7F6E"/>
    <w:rsid w:val="003D7F94"/>
    <w:rsid w:val="003D7FCC"/>
    <w:rsid w:val="003E0023"/>
    <w:rsid w:val="003E0036"/>
    <w:rsid w:val="003E0041"/>
    <w:rsid w:val="003E0046"/>
    <w:rsid w:val="003E004C"/>
    <w:rsid w:val="003E0054"/>
    <w:rsid w:val="003E005E"/>
    <w:rsid w:val="003E0085"/>
    <w:rsid w:val="003E0099"/>
    <w:rsid w:val="003E00BC"/>
    <w:rsid w:val="003E0107"/>
    <w:rsid w:val="003E010A"/>
    <w:rsid w:val="003E0132"/>
    <w:rsid w:val="003E01A7"/>
    <w:rsid w:val="003E01BD"/>
    <w:rsid w:val="003E01E1"/>
    <w:rsid w:val="003E01F2"/>
    <w:rsid w:val="003E0260"/>
    <w:rsid w:val="003E0267"/>
    <w:rsid w:val="003E02E1"/>
    <w:rsid w:val="003E0377"/>
    <w:rsid w:val="003E03BC"/>
    <w:rsid w:val="003E03D3"/>
    <w:rsid w:val="003E03E3"/>
    <w:rsid w:val="003E042A"/>
    <w:rsid w:val="003E042F"/>
    <w:rsid w:val="003E048D"/>
    <w:rsid w:val="003E0490"/>
    <w:rsid w:val="003E04D6"/>
    <w:rsid w:val="003E04EB"/>
    <w:rsid w:val="003E0516"/>
    <w:rsid w:val="003E052C"/>
    <w:rsid w:val="003E059B"/>
    <w:rsid w:val="003E05A3"/>
    <w:rsid w:val="003E05B0"/>
    <w:rsid w:val="003E05DF"/>
    <w:rsid w:val="003E05EA"/>
    <w:rsid w:val="003E0640"/>
    <w:rsid w:val="003E0684"/>
    <w:rsid w:val="003E0686"/>
    <w:rsid w:val="003E068F"/>
    <w:rsid w:val="003E06DF"/>
    <w:rsid w:val="003E0715"/>
    <w:rsid w:val="003E0725"/>
    <w:rsid w:val="003E0728"/>
    <w:rsid w:val="003E074A"/>
    <w:rsid w:val="003E076A"/>
    <w:rsid w:val="003E07FD"/>
    <w:rsid w:val="003E0800"/>
    <w:rsid w:val="003E084A"/>
    <w:rsid w:val="003E084E"/>
    <w:rsid w:val="003E0882"/>
    <w:rsid w:val="003E090F"/>
    <w:rsid w:val="003E095C"/>
    <w:rsid w:val="003E0978"/>
    <w:rsid w:val="003E09A3"/>
    <w:rsid w:val="003E0A0C"/>
    <w:rsid w:val="003E0A49"/>
    <w:rsid w:val="003E0A53"/>
    <w:rsid w:val="003E0A57"/>
    <w:rsid w:val="003E0A7C"/>
    <w:rsid w:val="003E0B01"/>
    <w:rsid w:val="003E0B0E"/>
    <w:rsid w:val="003E0B27"/>
    <w:rsid w:val="003E0B4C"/>
    <w:rsid w:val="003E0B73"/>
    <w:rsid w:val="003E0B7D"/>
    <w:rsid w:val="003E0B93"/>
    <w:rsid w:val="003E0BAD"/>
    <w:rsid w:val="003E0C22"/>
    <w:rsid w:val="003E0C77"/>
    <w:rsid w:val="003E0CC5"/>
    <w:rsid w:val="003E0E39"/>
    <w:rsid w:val="003E0E3C"/>
    <w:rsid w:val="003E0EB9"/>
    <w:rsid w:val="003E0EC2"/>
    <w:rsid w:val="003E0EFC"/>
    <w:rsid w:val="003E0F14"/>
    <w:rsid w:val="003E0F1A"/>
    <w:rsid w:val="003E0F56"/>
    <w:rsid w:val="003E0F91"/>
    <w:rsid w:val="003E0F9B"/>
    <w:rsid w:val="003E0FD9"/>
    <w:rsid w:val="003E101B"/>
    <w:rsid w:val="003E1061"/>
    <w:rsid w:val="003E10A0"/>
    <w:rsid w:val="003E10B1"/>
    <w:rsid w:val="003E10CD"/>
    <w:rsid w:val="003E10E2"/>
    <w:rsid w:val="003E111B"/>
    <w:rsid w:val="003E119E"/>
    <w:rsid w:val="003E11D1"/>
    <w:rsid w:val="003E1211"/>
    <w:rsid w:val="003E122E"/>
    <w:rsid w:val="003E123E"/>
    <w:rsid w:val="003E1247"/>
    <w:rsid w:val="003E12C1"/>
    <w:rsid w:val="003E12C4"/>
    <w:rsid w:val="003E1344"/>
    <w:rsid w:val="003E1353"/>
    <w:rsid w:val="003E13DE"/>
    <w:rsid w:val="003E13F8"/>
    <w:rsid w:val="003E1426"/>
    <w:rsid w:val="003E14AC"/>
    <w:rsid w:val="003E1547"/>
    <w:rsid w:val="003E1590"/>
    <w:rsid w:val="003E1604"/>
    <w:rsid w:val="003E1614"/>
    <w:rsid w:val="003E1625"/>
    <w:rsid w:val="003E1649"/>
    <w:rsid w:val="003E1661"/>
    <w:rsid w:val="003E166D"/>
    <w:rsid w:val="003E16E1"/>
    <w:rsid w:val="003E171D"/>
    <w:rsid w:val="003E175C"/>
    <w:rsid w:val="003E1788"/>
    <w:rsid w:val="003E1829"/>
    <w:rsid w:val="003E1872"/>
    <w:rsid w:val="003E187F"/>
    <w:rsid w:val="003E1881"/>
    <w:rsid w:val="003E18C9"/>
    <w:rsid w:val="003E18DF"/>
    <w:rsid w:val="003E1918"/>
    <w:rsid w:val="003E19A2"/>
    <w:rsid w:val="003E19A5"/>
    <w:rsid w:val="003E19B3"/>
    <w:rsid w:val="003E1A1F"/>
    <w:rsid w:val="003E1A47"/>
    <w:rsid w:val="003E1A5A"/>
    <w:rsid w:val="003E1A5C"/>
    <w:rsid w:val="003E1A64"/>
    <w:rsid w:val="003E1A6F"/>
    <w:rsid w:val="003E1AB7"/>
    <w:rsid w:val="003E1AC1"/>
    <w:rsid w:val="003E1B28"/>
    <w:rsid w:val="003E1B94"/>
    <w:rsid w:val="003E1B9F"/>
    <w:rsid w:val="003E1BBF"/>
    <w:rsid w:val="003E1BE2"/>
    <w:rsid w:val="003E1BF7"/>
    <w:rsid w:val="003E1C2E"/>
    <w:rsid w:val="003E1C33"/>
    <w:rsid w:val="003E1C61"/>
    <w:rsid w:val="003E1CBA"/>
    <w:rsid w:val="003E1D2F"/>
    <w:rsid w:val="003E1D71"/>
    <w:rsid w:val="003E1EB7"/>
    <w:rsid w:val="003E1EB9"/>
    <w:rsid w:val="003E1EC6"/>
    <w:rsid w:val="003E1EDC"/>
    <w:rsid w:val="003E1EF5"/>
    <w:rsid w:val="003E1F62"/>
    <w:rsid w:val="003E1FBC"/>
    <w:rsid w:val="003E1FC5"/>
    <w:rsid w:val="003E1FD1"/>
    <w:rsid w:val="003E1FE5"/>
    <w:rsid w:val="003E1FEB"/>
    <w:rsid w:val="003E1FFF"/>
    <w:rsid w:val="003E2013"/>
    <w:rsid w:val="003E2023"/>
    <w:rsid w:val="003E2080"/>
    <w:rsid w:val="003E20A5"/>
    <w:rsid w:val="003E20BF"/>
    <w:rsid w:val="003E20C4"/>
    <w:rsid w:val="003E20FA"/>
    <w:rsid w:val="003E2131"/>
    <w:rsid w:val="003E21A5"/>
    <w:rsid w:val="003E21A7"/>
    <w:rsid w:val="003E21B3"/>
    <w:rsid w:val="003E21DC"/>
    <w:rsid w:val="003E21EE"/>
    <w:rsid w:val="003E2243"/>
    <w:rsid w:val="003E225A"/>
    <w:rsid w:val="003E2268"/>
    <w:rsid w:val="003E2276"/>
    <w:rsid w:val="003E2289"/>
    <w:rsid w:val="003E22AA"/>
    <w:rsid w:val="003E22AC"/>
    <w:rsid w:val="003E22BB"/>
    <w:rsid w:val="003E233A"/>
    <w:rsid w:val="003E234E"/>
    <w:rsid w:val="003E239A"/>
    <w:rsid w:val="003E2431"/>
    <w:rsid w:val="003E244D"/>
    <w:rsid w:val="003E246F"/>
    <w:rsid w:val="003E2486"/>
    <w:rsid w:val="003E248C"/>
    <w:rsid w:val="003E24A1"/>
    <w:rsid w:val="003E24AE"/>
    <w:rsid w:val="003E24C1"/>
    <w:rsid w:val="003E24D9"/>
    <w:rsid w:val="003E24E2"/>
    <w:rsid w:val="003E24E6"/>
    <w:rsid w:val="003E251E"/>
    <w:rsid w:val="003E252B"/>
    <w:rsid w:val="003E257B"/>
    <w:rsid w:val="003E2591"/>
    <w:rsid w:val="003E25C5"/>
    <w:rsid w:val="003E25F9"/>
    <w:rsid w:val="003E2609"/>
    <w:rsid w:val="003E2622"/>
    <w:rsid w:val="003E26B7"/>
    <w:rsid w:val="003E276B"/>
    <w:rsid w:val="003E278E"/>
    <w:rsid w:val="003E27A6"/>
    <w:rsid w:val="003E27D2"/>
    <w:rsid w:val="003E2886"/>
    <w:rsid w:val="003E28E0"/>
    <w:rsid w:val="003E28ED"/>
    <w:rsid w:val="003E2917"/>
    <w:rsid w:val="003E2918"/>
    <w:rsid w:val="003E2943"/>
    <w:rsid w:val="003E2967"/>
    <w:rsid w:val="003E2A2D"/>
    <w:rsid w:val="003E2A44"/>
    <w:rsid w:val="003E2AFD"/>
    <w:rsid w:val="003E2B0B"/>
    <w:rsid w:val="003E2B78"/>
    <w:rsid w:val="003E2C7A"/>
    <w:rsid w:val="003E2C83"/>
    <w:rsid w:val="003E2C89"/>
    <w:rsid w:val="003E2D02"/>
    <w:rsid w:val="003E2D63"/>
    <w:rsid w:val="003E2DA6"/>
    <w:rsid w:val="003E2DD2"/>
    <w:rsid w:val="003E2E4B"/>
    <w:rsid w:val="003E2E63"/>
    <w:rsid w:val="003E2E74"/>
    <w:rsid w:val="003E2EB9"/>
    <w:rsid w:val="003E2F14"/>
    <w:rsid w:val="003E2F24"/>
    <w:rsid w:val="003E2F31"/>
    <w:rsid w:val="003E2F76"/>
    <w:rsid w:val="003E307E"/>
    <w:rsid w:val="003E30C1"/>
    <w:rsid w:val="003E310C"/>
    <w:rsid w:val="003E3173"/>
    <w:rsid w:val="003E318E"/>
    <w:rsid w:val="003E31EC"/>
    <w:rsid w:val="003E322F"/>
    <w:rsid w:val="003E3249"/>
    <w:rsid w:val="003E3257"/>
    <w:rsid w:val="003E3269"/>
    <w:rsid w:val="003E3275"/>
    <w:rsid w:val="003E32CE"/>
    <w:rsid w:val="003E3318"/>
    <w:rsid w:val="003E3358"/>
    <w:rsid w:val="003E3379"/>
    <w:rsid w:val="003E3513"/>
    <w:rsid w:val="003E3528"/>
    <w:rsid w:val="003E361F"/>
    <w:rsid w:val="003E36B3"/>
    <w:rsid w:val="003E36BE"/>
    <w:rsid w:val="003E36F8"/>
    <w:rsid w:val="003E3706"/>
    <w:rsid w:val="003E37A9"/>
    <w:rsid w:val="003E381A"/>
    <w:rsid w:val="003E382B"/>
    <w:rsid w:val="003E38E7"/>
    <w:rsid w:val="003E394E"/>
    <w:rsid w:val="003E396B"/>
    <w:rsid w:val="003E39A4"/>
    <w:rsid w:val="003E3A21"/>
    <w:rsid w:val="003E3A23"/>
    <w:rsid w:val="003E3A81"/>
    <w:rsid w:val="003E3AA5"/>
    <w:rsid w:val="003E3B47"/>
    <w:rsid w:val="003E3B68"/>
    <w:rsid w:val="003E3B7A"/>
    <w:rsid w:val="003E3B81"/>
    <w:rsid w:val="003E3B98"/>
    <w:rsid w:val="003E3BC3"/>
    <w:rsid w:val="003E3C64"/>
    <w:rsid w:val="003E3CBA"/>
    <w:rsid w:val="003E3CCD"/>
    <w:rsid w:val="003E3D6B"/>
    <w:rsid w:val="003E3DB8"/>
    <w:rsid w:val="003E3DE4"/>
    <w:rsid w:val="003E3E55"/>
    <w:rsid w:val="003E3EB9"/>
    <w:rsid w:val="003E3F90"/>
    <w:rsid w:val="003E3F91"/>
    <w:rsid w:val="003E3FBB"/>
    <w:rsid w:val="003E3FF5"/>
    <w:rsid w:val="003E3FF7"/>
    <w:rsid w:val="003E405D"/>
    <w:rsid w:val="003E40A6"/>
    <w:rsid w:val="003E40F6"/>
    <w:rsid w:val="003E4145"/>
    <w:rsid w:val="003E4186"/>
    <w:rsid w:val="003E41F9"/>
    <w:rsid w:val="003E4209"/>
    <w:rsid w:val="003E420F"/>
    <w:rsid w:val="003E423A"/>
    <w:rsid w:val="003E4271"/>
    <w:rsid w:val="003E4274"/>
    <w:rsid w:val="003E4292"/>
    <w:rsid w:val="003E42D0"/>
    <w:rsid w:val="003E42E7"/>
    <w:rsid w:val="003E42F6"/>
    <w:rsid w:val="003E4334"/>
    <w:rsid w:val="003E43D9"/>
    <w:rsid w:val="003E43DB"/>
    <w:rsid w:val="003E43F1"/>
    <w:rsid w:val="003E445E"/>
    <w:rsid w:val="003E4498"/>
    <w:rsid w:val="003E44E5"/>
    <w:rsid w:val="003E4531"/>
    <w:rsid w:val="003E4579"/>
    <w:rsid w:val="003E457B"/>
    <w:rsid w:val="003E457D"/>
    <w:rsid w:val="003E45A0"/>
    <w:rsid w:val="003E45A9"/>
    <w:rsid w:val="003E45EA"/>
    <w:rsid w:val="003E461D"/>
    <w:rsid w:val="003E4624"/>
    <w:rsid w:val="003E4665"/>
    <w:rsid w:val="003E4667"/>
    <w:rsid w:val="003E4674"/>
    <w:rsid w:val="003E467C"/>
    <w:rsid w:val="003E46FF"/>
    <w:rsid w:val="003E4709"/>
    <w:rsid w:val="003E4710"/>
    <w:rsid w:val="003E472C"/>
    <w:rsid w:val="003E4776"/>
    <w:rsid w:val="003E4788"/>
    <w:rsid w:val="003E478F"/>
    <w:rsid w:val="003E479E"/>
    <w:rsid w:val="003E47AD"/>
    <w:rsid w:val="003E47CA"/>
    <w:rsid w:val="003E47D7"/>
    <w:rsid w:val="003E4822"/>
    <w:rsid w:val="003E4849"/>
    <w:rsid w:val="003E48E7"/>
    <w:rsid w:val="003E4948"/>
    <w:rsid w:val="003E49AF"/>
    <w:rsid w:val="003E4A47"/>
    <w:rsid w:val="003E4A48"/>
    <w:rsid w:val="003E4A96"/>
    <w:rsid w:val="003E4B16"/>
    <w:rsid w:val="003E4B1A"/>
    <w:rsid w:val="003E4B2A"/>
    <w:rsid w:val="003E4B4A"/>
    <w:rsid w:val="003E4B77"/>
    <w:rsid w:val="003E4BA2"/>
    <w:rsid w:val="003E4BBE"/>
    <w:rsid w:val="003E4C91"/>
    <w:rsid w:val="003E4C9F"/>
    <w:rsid w:val="003E4CD7"/>
    <w:rsid w:val="003E4D00"/>
    <w:rsid w:val="003E4DB4"/>
    <w:rsid w:val="003E4E70"/>
    <w:rsid w:val="003E4E7B"/>
    <w:rsid w:val="003E4F38"/>
    <w:rsid w:val="003E4F3B"/>
    <w:rsid w:val="003E4F41"/>
    <w:rsid w:val="003E4FBF"/>
    <w:rsid w:val="003E4FCA"/>
    <w:rsid w:val="003E4FDD"/>
    <w:rsid w:val="003E4FF0"/>
    <w:rsid w:val="003E5003"/>
    <w:rsid w:val="003E500E"/>
    <w:rsid w:val="003E5073"/>
    <w:rsid w:val="003E50EB"/>
    <w:rsid w:val="003E50F1"/>
    <w:rsid w:val="003E516F"/>
    <w:rsid w:val="003E51A0"/>
    <w:rsid w:val="003E5231"/>
    <w:rsid w:val="003E525E"/>
    <w:rsid w:val="003E528B"/>
    <w:rsid w:val="003E52A2"/>
    <w:rsid w:val="003E52AA"/>
    <w:rsid w:val="003E52C5"/>
    <w:rsid w:val="003E52FC"/>
    <w:rsid w:val="003E5308"/>
    <w:rsid w:val="003E5332"/>
    <w:rsid w:val="003E53DF"/>
    <w:rsid w:val="003E53F2"/>
    <w:rsid w:val="003E543A"/>
    <w:rsid w:val="003E547F"/>
    <w:rsid w:val="003E54C7"/>
    <w:rsid w:val="003E54D6"/>
    <w:rsid w:val="003E54F9"/>
    <w:rsid w:val="003E5538"/>
    <w:rsid w:val="003E5563"/>
    <w:rsid w:val="003E559F"/>
    <w:rsid w:val="003E55EB"/>
    <w:rsid w:val="003E55FD"/>
    <w:rsid w:val="003E56C5"/>
    <w:rsid w:val="003E56EB"/>
    <w:rsid w:val="003E56F3"/>
    <w:rsid w:val="003E574C"/>
    <w:rsid w:val="003E5750"/>
    <w:rsid w:val="003E5760"/>
    <w:rsid w:val="003E5870"/>
    <w:rsid w:val="003E5889"/>
    <w:rsid w:val="003E58BF"/>
    <w:rsid w:val="003E5941"/>
    <w:rsid w:val="003E59B9"/>
    <w:rsid w:val="003E59D1"/>
    <w:rsid w:val="003E59DE"/>
    <w:rsid w:val="003E5A00"/>
    <w:rsid w:val="003E5A33"/>
    <w:rsid w:val="003E5A84"/>
    <w:rsid w:val="003E5A92"/>
    <w:rsid w:val="003E5AA1"/>
    <w:rsid w:val="003E5AD7"/>
    <w:rsid w:val="003E5BC6"/>
    <w:rsid w:val="003E5C23"/>
    <w:rsid w:val="003E5C2A"/>
    <w:rsid w:val="003E5C71"/>
    <w:rsid w:val="003E5C86"/>
    <w:rsid w:val="003E5CA4"/>
    <w:rsid w:val="003E5CDD"/>
    <w:rsid w:val="003E5D20"/>
    <w:rsid w:val="003E5D45"/>
    <w:rsid w:val="003E5D60"/>
    <w:rsid w:val="003E5D80"/>
    <w:rsid w:val="003E5DC0"/>
    <w:rsid w:val="003E5DCC"/>
    <w:rsid w:val="003E5DD3"/>
    <w:rsid w:val="003E5E5F"/>
    <w:rsid w:val="003E5E8F"/>
    <w:rsid w:val="003E5EA5"/>
    <w:rsid w:val="003E5EBE"/>
    <w:rsid w:val="003E5EC4"/>
    <w:rsid w:val="003E5ED9"/>
    <w:rsid w:val="003E5F21"/>
    <w:rsid w:val="003E5F35"/>
    <w:rsid w:val="003E5F57"/>
    <w:rsid w:val="003E5F6E"/>
    <w:rsid w:val="003E5FCD"/>
    <w:rsid w:val="003E5FF4"/>
    <w:rsid w:val="003E6030"/>
    <w:rsid w:val="003E6037"/>
    <w:rsid w:val="003E613D"/>
    <w:rsid w:val="003E6195"/>
    <w:rsid w:val="003E61B5"/>
    <w:rsid w:val="003E61D7"/>
    <w:rsid w:val="003E61F0"/>
    <w:rsid w:val="003E61FD"/>
    <w:rsid w:val="003E6266"/>
    <w:rsid w:val="003E62D4"/>
    <w:rsid w:val="003E62DD"/>
    <w:rsid w:val="003E6305"/>
    <w:rsid w:val="003E634B"/>
    <w:rsid w:val="003E6380"/>
    <w:rsid w:val="003E6444"/>
    <w:rsid w:val="003E644C"/>
    <w:rsid w:val="003E64A9"/>
    <w:rsid w:val="003E64C1"/>
    <w:rsid w:val="003E64DB"/>
    <w:rsid w:val="003E658C"/>
    <w:rsid w:val="003E6594"/>
    <w:rsid w:val="003E65B8"/>
    <w:rsid w:val="003E66C1"/>
    <w:rsid w:val="003E66E5"/>
    <w:rsid w:val="003E677D"/>
    <w:rsid w:val="003E67C3"/>
    <w:rsid w:val="003E680F"/>
    <w:rsid w:val="003E6828"/>
    <w:rsid w:val="003E6875"/>
    <w:rsid w:val="003E68D8"/>
    <w:rsid w:val="003E6902"/>
    <w:rsid w:val="003E690F"/>
    <w:rsid w:val="003E69F0"/>
    <w:rsid w:val="003E69F1"/>
    <w:rsid w:val="003E6A95"/>
    <w:rsid w:val="003E6ACE"/>
    <w:rsid w:val="003E6AE2"/>
    <w:rsid w:val="003E6AE9"/>
    <w:rsid w:val="003E6B27"/>
    <w:rsid w:val="003E6B7B"/>
    <w:rsid w:val="003E6BCC"/>
    <w:rsid w:val="003E6C0F"/>
    <w:rsid w:val="003E6C19"/>
    <w:rsid w:val="003E6C20"/>
    <w:rsid w:val="003E6C8B"/>
    <w:rsid w:val="003E6D0B"/>
    <w:rsid w:val="003E6D0F"/>
    <w:rsid w:val="003E6D20"/>
    <w:rsid w:val="003E6D28"/>
    <w:rsid w:val="003E6D8E"/>
    <w:rsid w:val="003E6D98"/>
    <w:rsid w:val="003E6DA6"/>
    <w:rsid w:val="003E6DFE"/>
    <w:rsid w:val="003E6ED8"/>
    <w:rsid w:val="003E6EF7"/>
    <w:rsid w:val="003E6F38"/>
    <w:rsid w:val="003E6F3C"/>
    <w:rsid w:val="003E6FC7"/>
    <w:rsid w:val="003E6FD3"/>
    <w:rsid w:val="003E6FD8"/>
    <w:rsid w:val="003E701F"/>
    <w:rsid w:val="003E704F"/>
    <w:rsid w:val="003E7050"/>
    <w:rsid w:val="003E7179"/>
    <w:rsid w:val="003E718D"/>
    <w:rsid w:val="003E71AA"/>
    <w:rsid w:val="003E71C8"/>
    <w:rsid w:val="003E726F"/>
    <w:rsid w:val="003E7286"/>
    <w:rsid w:val="003E740C"/>
    <w:rsid w:val="003E748A"/>
    <w:rsid w:val="003E748E"/>
    <w:rsid w:val="003E74BD"/>
    <w:rsid w:val="003E7577"/>
    <w:rsid w:val="003E7591"/>
    <w:rsid w:val="003E75AA"/>
    <w:rsid w:val="003E75D7"/>
    <w:rsid w:val="003E760D"/>
    <w:rsid w:val="003E7610"/>
    <w:rsid w:val="003E761C"/>
    <w:rsid w:val="003E762B"/>
    <w:rsid w:val="003E7633"/>
    <w:rsid w:val="003E7646"/>
    <w:rsid w:val="003E7653"/>
    <w:rsid w:val="003E76A0"/>
    <w:rsid w:val="003E76E8"/>
    <w:rsid w:val="003E7711"/>
    <w:rsid w:val="003E7749"/>
    <w:rsid w:val="003E7770"/>
    <w:rsid w:val="003E77B8"/>
    <w:rsid w:val="003E77EB"/>
    <w:rsid w:val="003E784A"/>
    <w:rsid w:val="003E78E3"/>
    <w:rsid w:val="003E78F3"/>
    <w:rsid w:val="003E790B"/>
    <w:rsid w:val="003E791F"/>
    <w:rsid w:val="003E7948"/>
    <w:rsid w:val="003E79A7"/>
    <w:rsid w:val="003E7A55"/>
    <w:rsid w:val="003E7A6A"/>
    <w:rsid w:val="003E7A95"/>
    <w:rsid w:val="003E7AD9"/>
    <w:rsid w:val="003E7ADA"/>
    <w:rsid w:val="003E7AF9"/>
    <w:rsid w:val="003E7AFB"/>
    <w:rsid w:val="003E7B71"/>
    <w:rsid w:val="003E7BDB"/>
    <w:rsid w:val="003E7BE0"/>
    <w:rsid w:val="003E7C18"/>
    <w:rsid w:val="003E7C33"/>
    <w:rsid w:val="003E7C4F"/>
    <w:rsid w:val="003E7C52"/>
    <w:rsid w:val="003E7C65"/>
    <w:rsid w:val="003E7C6B"/>
    <w:rsid w:val="003E7CB0"/>
    <w:rsid w:val="003E7CB1"/>
    <w:rsid w:val="003E7CCB"/>
    <w:rsid w:val="003E7CDB"/>
    <w:rsid w:val="003E7D45"/>
    <w:rsid w:val="003E7D9E"/>
    <w:rsid w:val="003E7D9F"/>
    <w:rsid w:val="003E7DEA"/>
    <w:rsid w:val="003E7DEE"/>
    <w:rsid w:val="003E7E40"/>
    <w:rsid w:val="003E7E8B"/>
    <w:rsid w:val="003E7E92"/>
    <w:rsid w:val="003E7F14"/>
    <w:rsid w:val="003E7F55"/>
    <w:rsid w:val="003E7F76"/>
    <w:rsid w:val="003E7F83"/>
    <w:rsid w:val="003E7F86"/>
    <w:rsid w:val="003E7FB2"/>
    <w:rsid w:val="003E7FE7"/>
    <w:rsid w:val="003F0096"/>
    <w:rsid w:val="003F00B5"/>
    <w:rsid w:val="003F0105"/>
    <w:rsid w:val="003F0157"/>
    <w:rsid w:val="003F0194"/>
    <w:rsid w:val="003F01BD"/>
    <w:rsid w:val="003F01C1"/>
    <w:rsid w:val="003F0207"/>
    <w:rsid w:val="003F020B"/>
    <w:rsid w:val="003F0223"/>
    <w:rsid w:val="003F0235"/>
    <w:rsid w:val="003F034B"/>
    <w:rsid w:val="003F036A"/>
    <w:rsid w:val="003F0385"/>
    <w:rsid w:val="003F03D7"/>
    <w:rsid w:val="003F044C"/>
    <w:rsid w:val="003F045F"/>
    <w:rsid w:val="003F057D"/>
    <w:rsid w:val="003F05B1"/>
    <w:rsid w:val="003F0701"/>
    <w:rsid w:val="003F0756"/>
    <w:rsid w:val="003F07D9"/>
    <w:rsid w:val="003F0834"/>
    <w:rsid w:val="003F0982"/>
    <w:rsid w:val="003F099F"/>
    <w:rsid w:val="003F09AB"/>
    <w:rsid w:val="003F09B4"/>
    <w:rsid w:val="003F0A0D"/>
    <w:rsid w:val="003F0AA1"/>
    <w:rsid w:val="003F0AB0"/>
    <w:rsid w:val="003F0AC1"/>
    <w:rsid w:val="003F0AE5"/>
    <w:rsid w:val="003F0AF2"/>
    <w:rsid w:val="003F0AF4"/>
    <w:rsid w:val="003F0B03"/>
    <w:rsid w:val="003F0B90"/>
    <w:rsid w:val="003F0B94"/>
    <w:rsid w:val="003F0C34"/>
    <w:rsid w:val="003F0C48"/>
    <w:rsid w:val="003F0C70"/>
    <w:rsid w:val="003F0CA3"/>
    <w:rsid w:val="003F0D29"/>
    <w:rsid w:val="003F0D40"/>
    <w:rsid w:val="003F0DBA"/>
    <w:rsid w:val="003F0DCD"/>
    <w:rsid w:val="003F0E09"/>
    <w:rsid w:val="003F0E12"/>
    <w:rsid w:val="003F0E24"/>
    <w:rsid w:val="003F0E82"/>
    <w:rsid w:val="003F0E9C"/>
    <w:rsid w:val="003F0E9F"/>
    <w:rsid w:val="003F0EBB"/>
    <w:rsid w:val="003F0EF7"/>
    <w:rsid w:val="003F0F4A"/>
    <w:rsid w:val="003F0FB9"/>
    <w:rsid w:val="003F0FE4"/>
    <w:rsid w:val="003F0FE7"/>
    <w:rsid w:val="003F1069"/>
    <w:rsid w:val="003F1077"/>
    <w:rsid w:val="003F10DD"/>
    <w:rsid w:val="003F10FE"/>
    <w:rsid w:val="003F1142"/>
    <w:rsid w:val="003F1188"/>
    <w:rsid w:val="003F1195"/>
    <w:rsid w:val="003F1198"/>
    <w:rsid w:val="003F11A7"/>
    <w:rsid w:val="003F11F5"/>
    <w:rsid w:val="003F1235"/>
    <w:rsid w:val="003F126C"/>
    <w:rsid w:val="003F127D"/>
    <w:rsid w:val="003F12A0"/>
    <w:rsid w:val="003F12A1"/>
    <w:rsid w:val="003F1310"/>
    <w:rsid w:val="003F13F4"/>
    <w:rsid w:val="003F1443"/>
    <w:rsid w:val="003F1452"/>
    <w:rsid w:val="003F14D1"/>
    <w:rsid w:val="003F14D6"/>
    <w:rsid w:val="003F1506"/>
    <w:rsid w:val="003F153D"/>
    <w:rsid w:val="003F156F"/>
    <w:rsid w:val="003F1585"/>
    <w:rsid w:val="003F15CB"/>
    <w:rsid w:val="003F15F1"/>
    <w:rsid w:val="003F161F"/>
    <w:rsid w:val="003F1692"/>
    <w:rsid w:val="003F169B"/>
    <w:rsid w:val="003F16B5"/>
    <w:rsid w:val="003F16FE"/>
    <w:rsid w:val="003F1718"/>
    <w:rsid w:val="003F1726"/>
    <w:rsid w:val="003F1738"/>
    <w:rsid w:val="003F1795"/>
    <w:rsid w:val="003F17F4"/>
    <w:rsid w:val="003F17F5"/>
    <w:rsid w:val="003F1828"/>
    <w:rsid w:val="003F1878"/>
    <w:rsid w:val="003F1890"/>
    <w:rsid w:val="003F18C0"/>
    <w:rsid w:val="003F193B"/>
    <w:rsid w:val="003F194A"/>
    <w:rsid w:val="003F1985"/>
    <w:rsid w:val="003F199D"/>
    <w:rsid w:val="003F19D0"/>
    <w:rsid w:val="003F19F0"/>
    <w:rsid w:val="003F1A00"/>
    <w:rsid w:val="003F1A31"/>
    <w:rsid w:val="003F1AD2"/>
    <w:rsid w:val="003F1AE0"/>
    <w:rsid w:val="003F1B52"/>
    <w:rsid w:val="003F1BAA"/>
    <w:rsid w:val="003F1BC8"/>
    <w:rsid w:val="003F1D31"/>
    <w:rsid w:val="003F1D46"/>
    <w:rsid w:val="003F1D73"/>
    <w:rsid w:val="003F1DAA"/>
    <w:rsid w:val="003F1DE0"/>
    <w:rsid w:val="003F1EBA"/>
    <w:rsid w:val="003F1F0F"/>
    <w:rsid w:val="003F1F66"/>
    <w:rsid w:val="003F1F87"/>
    <w:rsid w:val="003F1FA2"/>
    <w:rsid w:val="003F1FA4"/>
    <w:rsid w:val="003F1FA9"/>
    <w:rsid w:val="003F1FB5"/>
    <w:rsid w:val="003F1FD4"/>
    <w:rsid w:val="003F2033"/>
    <w:rsid w:val="003F2080"/>
    <w:rsid w:val="003F2138"/>
    <w:rsid w:val="003F2156"/>
    <w:rsid w:val="003F21AF"/>
    <w:rsid w:val="003F21F3"/>
    <w:rsid w:val="003F2236"/>
    <w:rsid w:val="003F2320"/>
    <w:rsid w:val="003F233B"/>
    <w:rsid w:val="003F2341"/>
    <w:rsid w:val="003F23EA"/>
    <w:rsid w:val="003F2433"/>
    <w:rsid w:val="003F244A"/>
    <w:rsid w:val="003F2451"/>
    <w:rsid w:val="003F2455"/>
    <w:rsid w:val="003F24D9"/>
    <w:rsid w:val="003F24EB"/>
    <w:rsid w:val="003F254E"/>
    <w:rsid w:val="003F257C"/>
    <w:rsid w:val="003F2620"/>
    <w:rsid w:val="003F2638"/>
    <w:rsid w:val="003F26B8"/>
    <w:rsid w:val="003F26DB"/>
    <w:rsid w:val="003F26EB"/>
    <w:rsid w:val="003F2707"/>
    <w:rsid w:val="003F2708"/>
    <w:rsid w:val="003F270F"/>
    <w:rsid w:val="003F272F"/>
    <w:rsid w:val="003F2780"/>
    <w:rsid w:val="003F281E"/>
    <w:rsid w:val="003F282E"/>
    <w:rsid w:val="003F2854"/>
    <w:rsid w:val="003F286C"/>
    <w:rsid w:val="003F2887"/>
    <w:rsid w:val="003F2960"/>
    <w:rsid w:val="003F29FF"/>
    <w:rsid w:val="003F2A41"/>
    <w:rsid w:val="003F2A5B"/>
    <w:rsid w:val="003F2A6D"/>
    <w:rsid w:val="003F2AA4"/>
    <w:rsid w:val="003F2AE0"/>
    <w:rsid w:val="003F2B47"/>
    <w:rsid w:val="003F2B84"/>
    <w:rsid w:val="003F2B9B"/>
    <w:rsid w:val="003F2BB9"/>
    <w:rsid w:val="003F2BC6"/>
    <w:rsid w:val="003F2C2B"/>
    <w:rsid w:val="003F2C7A"/>
    <w:rsid w:val="003F2CD7"/>
    <w:rsid w:val="003F2DBE"/>
    <w:rsid w:val="003F2DEE"/>
    <w:rsid w:val="003F2E09"/>
    <w:rsid w:val="003F2E0E"/>
    <w:rsid w:val="003F2E58"/>
    <w:rsid w:val="003F2E64"/>
    <w:rsid w:val="003F2E66"/>
    <w:rsid w:val="003F2E79"/>
    <w:rsid w:val="003F2EDB"/>
    <w:rsid w:val="003F2F76"/>
    <w:rsid w:val="003F2F7D"/>
    <w:rsid w:val="003F2F85"/>
    <w:rsid w:val="003F2F8B"/>
    <w:rsid w:val="003F2FF6"/>
    <w:rsid w:val="003F302A"/>
    <w:rsid w:val="003F3038"/>
    <w:rsid w:val="003F305C"/>
    <w:rsid w:val="003F3076"/>
    <w:rsid w:val="003F3083"/>
    <w:rsid w:val="003F3088"/>
    <w:rsid w:val="003F30A3"/>
    <w:rsid w:val="003F30C2"/>
    <w:rsid w:val="003F3110"/>
    <w:rsid w:val="003F316F"/>
    <w:rsid w:val="003F3196"/>
    <w:rsid w:val="003F31BB"/>
    <w:rsid w:val="003F3238"/>
    <w:rsid w:val="003F3282"/>
    <w:rsid w:val="003F3357"/>
    <w:rsid w:val="003F337E"/>
    <w:rsid w:val="003F3394"/>
    <w:rsid w:val="003F345B"/>
    <w:rsid w:val="003F34B3"/>
    <w:rsid w:val="003F34B7"/>
    <w:rsid w:val="003F34DC"/>
    <w:rsid w:val="003F34E1"/>
    <w:rsid w:val="003F34FD"/>
    <w:rsid w:val="003F3503"/>
    <w:rsid w:val="003F350E"/>
    <w:rsid w:val="003F3525"/>
    <w:rsid w:val="003F35A0"/>
    <w:rsid w:val="003F35AF"/>
    <w:rsid w:val="003F35E3"/>
    <w:rsid w:val="003F361A"/>
    <w:rsid w:val="003F3640"/>
    <w:rsid w:val="003F3641"/>
    <w:rsid w:val="003F369B"/>
    <w:rsid w:val="003F369D"/>
    <w:rsid w:val="003F36BA"/>
    <w:rsid w:val="003F3722"/>
    <w:rsid w:val="003F372A"/>
    <w:rsid w:val="003F3762"/>
    <w:rsid w:val="003F3792"/>
    <w:rsid w:val="003F37A1"/>
    <w:rsid w:val="003F37B6"/>
    <w:rsid w:val="003F37BA"/>
    <w:rsid w:val="003F37FD"/>
    <w:rsid w:val="003F3810"/>
    <w:rsid w:val="003F385D"/>
    <w:rsid w:val="003F386D"/>
    <w:rsid w:val="003F3882"/>
    <w:rsid w:val="003F397D"/>
    <w:rsid w:val="003F39C7"/>
    <w:rsid w:val="003F3A1D"/>
    <w:rsid w:val="003F3A62"/>
    <w:rsid w:val="003F3A7F"/>
    <w:rsid w:val="003F3A8D"/>
    <w:rsid w:val="003F3AAD"/>
    <w:rsid w:val="003F3B07"/>
    <w:rsid w:val="003F3B10"/>
    <w:rsid w:val="003F3B16"/>
    <w:rsid w:val="003F3B3A"/>
    <w:rsid w:val="003F3B5D"/>
    <w:rsid w:val="003F3BE4"/>
    <w:rsid w:val="003F3C0D"/>
    <w:rsid w:val="003F3C28"/>
    <w:rsid w:val="003F3C69"/>
    <w:rsid w:val="003F3CA7"/>
    <w:rsid w:val="003F3CD3"/>
    <w:rsid w:val="003F3CED"/>
    <w:rsid w:val="003F3CF1"/>
    <w:rsid w:val="003F3CF3"/>
    <w:rsid w:val="003F3D1C"/>
    <w:rsid w:val="003F3D31"/>
    <w:rsid w:val="003F3D48"/>
    <w:rsid w:val="003F3D80"/>
    <w:rsid w:val="003F3E25"/>
    <w:rsid w:val="003F3E3D"/>
    <w:rsid w:val="003F3E4C"/>
    <w:rsid w:val="003F3E5C"/>
    <w:rsid w:val="003F3E63"/>
    <w:rsid w:val="003F3E85"/>
    <w:rsid w:val="003F3EAE"/>
    <w:rsid w:val="003F3F51"/>
    <w:rsid w:val="003F3F78"/>
    <w:rsid w:val="003F3F8A"/>
    <w:rsid w:val="003F3FFB"/>
    <w:rsid w:val="003F4070"/>
    <w:rsid w:val="003F4097"/>
    <w:rsid w:val="003F416A"/>
    <w:rsid w:val="003F41AB"/>
    <w:rsid w:val="003F41CB"/>
    <w:rsid w:val="003F4200"/>
    <w:rsid w:val="003F421C"/>
    <w:rsid w:val="003F425E"/>
    <w:rsid w:val="003F42C1"/>
    <w:rsid w:val="003F4301"/>
    <w:rsid w:val="003F433F"/>
    <w:rsid w:val="003F43AB"/>
    <w:rsid w:val="003F4432"/>
    <w:rsid w:val="003F4455"/>
    <w:rsid w:val="003F448B"/>
    <w:rsid w:val="003F44BC"/>
    <w:rsid w:val="003F44CE"/>
    <w:rsid w:val="003F44D3"/>
    <w:rsid w:val="003F4518"/>
    <w:rsid w:val="003F451E"/>
    <w:rsid w:val="003F45BE"/>
    <w:rsid w:val="003F460D"/>
    <w:rsid w:val="003F4651"/>
    <w:rsid w:val="003F4660"/>
    <w:rsid w:val="003F4676"/>
    <w:rsid w:val="003F4678"/>
    <w:rsid w:val="003F4706"/>
    <w:rsid w:val="003F47C4"/>
    <w:rsid w:val="003F47CD"/>
    <w:rsid w:val="003F47ED"/>
    <w:rsid w:val="003F4849"/>
    <w:rsid w:val="003F485F"/>
    <w:rsid w:val="003F48B5"/>
    <w:rsid w:val="003F48C6"/>
    <w:rsid w:val="003F48D1"/>
    <w:rsid w:val="003F49B8"/>
    <w:rsid w:val="003F4A00"/>
    <w:rsid w:val="003F4A6C"/>
    <w:rsid w:val="003F4A81"/>
    <w:rsid w:val="003F4A89"/>
    <w:rsid w:val="003F4AAF"/>
    <w:rsid w:val="003F4AB5"/>
    <w:rsid w:val="003F4B08"/>
    <w:rsid w:val="003F4B31"/>
    <w:rsid w:val="003F4B59"/>
    <w:rsid w:val="003F4BE8"/>
    <w:rsid w:val="003F4CA5"/>
    <w:rsid w:val="003F4CE1"/>
    <w:rsid w:val="003F4D58"/>
    <w:rsid w:val="003F4E01"/>
    <w:rsid w:val="003F4E0B"/>
    <w:rsid w:val="003F4E2A"/>
    <w:rsid w:val="003F4E3E"/>
    <w:rsid w:val="003F4E4C"/>
    <w:rsid w:val="003F4E71"/>
    <w:rsid w:val="003F4E76"/>
    <w:rsid w:val="003F4E8A"/>
    <w:rsid w:val="003F4E8D"/>
    <w:rsid w:val="003F4E98"/>
    <w:rsid w:val="003F4EC6"/>
    <w:rsid w:val="003F4ECF"/>
    <w:rsid w:val="003F4F71"/>
    <w:rsid w:val="003F4F87"/>
    <w:rsid w:val="003F4F8D"/>
    <w:rsid w:val="003F4F92"/>
    <w:rsid w:val="003F4FBC"/>
    <w:rsid w:val="003F508E"/>
    <w:rsid w:val="003F5099"/>
    <w:rsid w:val="003F5119"/>
    <w:rsid w:val="003F519F"/>
    <w:rsid w:val="003F51AB"/>
    <w:rsid w:val="003F51E4"/>
    <w:rsid w:val="003F51FD"/>
    <w:rsid w:val="003F5249"/>
    <w:rsid w:val="003F52B8"/>
    <w:rsid w:val="003F52F0"/>
    <w:rsid w:val="003F5344"/>
    <w:rsid w:val="003F53BC"/>
    <w:rsid w:val="003F53DC"/>
    <w:rsid w:val="003F5409"/>
    <w:rsid w:val="003F543A"/>
    <w:rsid w:val="003F5474"/>
    <w:rsid w:val="003F5497"/>
    <w:rsid w:val="003F54B5"/>
    <w:rsid w:val="003F54DE"/>
    <w:rsid w:val="003F54FF"/>
    <w:rsid w:val="003F5505"/>
    <w:rsid w:val="003F550C"/>
    <w:rsid w:val="003F551E"/>
    <w:rsid w:val="003F5535"/>
    <w:rsid w:val="003F5538"/>
    <w:rsid w:val="003F5582"/>
    <w:rsid w:val="003F5633"/>
    <w:rsid w:val="003F5683"/>
    <w:rsid w:val="003F56C5"/>
    <w:rsid w:val="003F5714"/>
    <w:rsid w:val="003F571A"/>
    <w:rsid w:val="003F5762"/>
    <w:rsid w:val="003F5766"/>
    <w:rsid w:val="003F57C8"/>
    <w:rsid w:val="003F57CA"/>
    <w:rsid w:val="003F580A"/>
    <w:rsid w:val="003F5842"/>
    <w:rsid w:val="003F58BC"/>
    <w:rsid w:val="003F5913"/>
    <w:rsid w:val="003F593A"/>
    <w:rsid w:val="003F59C0"/>
    <w:rsid w:val="003F59F3"/>
    <w:rsid w:val="003F59FC"/>
    <w:rsid w:val="003F5A18"/>
    <w:rsid w:val="003F5ACA"/>
    <w:rsid w:val="003F5B12"/>
    <w:rsid w:val="003F5BDA"/>
    <w:rsid w:val="003F5BEC"/>
    <w:rsid w:val="003F5BF7"/>
    <w:rsid w:val="003F5BF8"/>
    <w:rsid w:val="003F5C44"/>
    <w:rsid w:val="003F5C46"/>
    <w:rsid w:val="003F5C52"/>
    <w:rsid w:val="003F5C7E"/>
    <w:rsid w:val="003F5C9A"/>
    <w:rsid w:val="003F5CAB"/>
    <w:rsid w:val="003F5CE2"/>
    <w:rsid w:val="003F5E2F"/>
    <w:rsid w:val="003F5E92"/>
    <w:rsid w:val="003F5EC7"/>
    <w:rsid w:val="003F5F09"/>
    <w:rsid w:val="003F5F6B"/>
    <w:rsid w:val="003F5F8A"/>
    <w:rsid w:val="003F5FC7"/>
    <w:rsid w:val="003F5FCE"/>
    <w:rsid w:val="003F5FD0"/>
    <w:rsid w:val="003F6128"/>
    <w:rsid w:val="003F6163"/>
    <w:rsid w:val="003F616F"/>
    <w:rsid w:val="003F617A"/>
    <w:rsid w:val="003F61AA"/>
    <w:rsid w:val="003F61E4"/>
    <w:rsid w:val="003F62BE"/>
    <w:rsid w:val="003F62F8"/>
    <w:rsid w:val="003F6393"/>
    <w:rsid w:val="003F6470"/>
    <w:rsid w:val="003F64DF"/>
    <w:rsid w:val="003F6502"/>
    <w:rsid w:val="003F658D"/>
    <w:rsid w:val="003F65B6"/>
    <w:rsid w:val="003F65B8"/>
    <w:rsid w:val="003F65E2"/>
    <w:rsid w:val="003F65F0"/>
    <w:rsid w:val="003F6603"/>
    <w:rsid w:val="003F664E"/>
    <w:rsid w:val="003F669C"/>
    <w:rsid w:val="003F66CA"/>
    <w:rsid w:val="003F6759"/>
    <w:rsid w:val="003F6764"/>
    <w:rsid w:val="003F67BF"/>
    <w:rsid w:val="003F67FC"/>
    <w:rsid w:val="003F6820"/>
    <w:rsid w:val="003F6854"/>
    <w:rsid w:val="003F68BE"/>
    <w:rsid w:val="003F68FE"/>
    <w:rsid w:val="003F6920"/>
    <w:rsid w:val="003F6935"/>
    <w:rsid w:val="003F694D"/>
    <w:rsid w:val="003F6956"/>
    <w:rsid w:val="003F6974"/>
    <w:rsid w:val="003F69AD"/>
    <w:rsid w:val="003F69BE"/>
    <w:rsid w:val="003F6A41"/>
    <w:rsid w:val="003F6A59"/>
    <w:rsid w:val="003F6A88"/>
    <w:rsid w:val="003F6ABC"/>
    <w:rsid w:val="003F6B26"/>
    <w:rsid w:val="003F6B69"/>
    <w:rsid w:val="003F6BB9"/>
    <w:rsid w:val="003F6BE0"/>
    <w:rsid w:val="003F6BFB"/>
    <w:rsid w:val="003F6CD4"/>
    <w:rsid w:val="003F6D00"/>
    <w:rsid w:val="003F6D57"/>
    <w:rsid w:val="003F6D64"/>
    <w:rsid w:val="003F6D71"/>
    <w:rsid w:val="003F6D85"/>
    <w:rsid w:val="003F6D94"/>
    <w:rsid w:val="003F6DC7"/>
    <w:rsid w:val="003F6E00"/>
    <w:rsid w:val="003F6E28"/>
    <w:rsid w:val="003F6E31"/>
    <w:rsid w:val="003F6E38"/>
    <w:rsid w:val="003F6E3F"/>
    <w:rsid w:val="003F6E73"/>
    <w:rsid w:val="003F6EE2"/>
    <w:rsid w:val="003F6F30"/>
    <w:rsid w:val="003F6F6D"/>
    <w:rsid w:val="003F6FA5"/>
    <w:rsid w:val="003F6FC9"/>
    <w:rsid w:val="003F704C"/>
    <w:rsid w:val="003F7098"/>
    <w:rsid w:val="003F70A8"/>
    <w:rsid w:val="003F70E4"/>
    <w:rsid w:val="003F70FA"/>
    <w:rsid w:val="003F70FF"/>
    <w:rsid w:val="003F7130"/>
    <w:rsid w:val="003F713C"/>
    <w:rsid w:val="003F7181"/>
    <w:rsid w:val="003F71E7"/>
    <w:rsid w:val="003F7218"/>
    <w:rsid w:val="003F725E"/>
    <w:rsid w:val="003F732E"/>
    <w:rsid w:val="003F7355"/>
    <w:rsid w:val="003F7372"/>
    <w:rsid w:val="003F739C"/>
    <w:rsid w:val="003F739D"/>
    <w:rsid w:val="003F739E"/>
    <w:rsid w:val="003F742A"/>
    <w:rsid w:val="003F7435"/>
    <w:rsid w:val="003F743B"/>
    <w:rsid w:val="003F7450"/>
    <w:rsid w:val="003F7483"/>
    <w:rsid w:val="003F749B"/>
    <w:rsid w:val="003F74E3"/>
    <w:rsid w:val="003F7508"/>
    <w:rsid w:val="003F7539"/>
    <w:rsid w:val="003F7583"/>
    <w:rsid w:val="003F758D"/>
    <w:rsid w:val="003F75E9"/>
    <w:rsid w:val="003F760B"/>
    <w:rsid w:val="003F7670"/>
    <w:rsid w:val="003F776C"/>
    <w:rsid w:val="003F777F"/>
    <w:rsid w:val="003F77A3"/>
    <w:rsid w:val="003F7814"/>
    <w:rsid w:val="003F7834"/>
    <w:rsid w:val="003F7875"/>
    <w:rsid w:val="003F788A"/>
    <w:rsid w:val="003F78AE"/>
    <w:rsid w:val="003F78C3"/>
    <w:rsid w:val="003F7902"/>
    <w:rsid w:val="003F795B"/>
    <w:rsid w:val="003F7970"/>
    <w:rsid w:val="003F7986"/>
    <w:rsid w:val="003F7A3D"/>
    <w:rsid w:val="003F7A67"/>
    <w:rsid w:val="003F7A9B"/>
    <w:rsid w:val="003F7B24"/>
    <w:rsid w:val="003F7B49"/>
    <w:rsid w:val="003F7B4D"/>
    <w:rsid w:val="003F7B75"/>
    <w:rsid w:val="003F7BA5"/>
    <w:rsid w:val="003F7BA6"/>
    <w:rsid w:val="003F7BF6"/>
    <w:rsid w:val="003F7C40"/>
    <w:rsid w:val="003F7C72"/>
    <w:rsid w:val="003F7CB8"/>
    <w:rsid w:val="003F7D46"/>
    <w:rsid w:val="003F7D50"/>
    <w:rsid w:val="003F7D77"/>
    <w:rsid w:val="003F7D80"/>
    <w:rsid w:val="003F7DC2"/>
    <w:rsid w:val="003F7DD5"/>
    <w:rsid w:val="003F7E3E"/>
    <w:rsid w:val="003F7E46"/>
    <w:rsid w:val="003F7E48"/>
    <w:rsid w:val="003F7E87"/>
    <w:rsid w:val="003F7F1A"/>
    <w:rsid w:val="003F7F1B"/>
    <w:rsid w:val="003F7F34"/>
    <w:rsid w:val="003F7FDB"/>
    <w:rsid w:val="003F7FE0"/>
    <w:rsid w:val="003F7FE2"/>
    <w:rsid w:val="004000FC"/>
    <w:rsid w:val="00400117"/>
    <w:rsid w:val="0040013E"/>
    <w:rsid w:val="00400169"/>
    <w:rsid w:val="0040017A"/>
    <w:rsid w:val="0040019D"/>
    <w:rsid w:val="004001DE"/>
    <w:rsid w:val="00400300"/>
    <w:rsid w:val="00400306"/>
    <w:rsid w:val="00400346"/>
    <w:rsid w:val="004003CB"/>
    <w:rsid w:val="004003FC"/>
    <w:rsid w:val="00400409"/>
    <w:rsid w:val="0040047C"/>
    <w:rsid w:val="00400496"/>
    <w:rsid w:val="0040049C"/>
    <w:rsid w:val="004004C6"/>
    <w:rsid w:val="004004DA"/>
    <w:rsid w:val="00400572"/>
    <w:rsid w:val="00400585"/>
    <w:rsid w:val="004005A1"/>
    <w:rsid w:val="004005D3"/>
    <w:rsid w:val="004005E1"/>
    <w:rsid w:val="00400626"/>
    <w:rsid w:val="0040063A"/>
    <w:rsid w:val="004006E6"/>
    <w:rsid w:val="0040073E"/>
    <w:rsid w:val="0040074A"/>
    <w:rsid w:val="00400759"/>
    <w:rsid w:val="0040077F"/>
    <w:rsid w:val="00400789"/>
    <w:rsid w:val="004007A5"/>
    <w:rsid w:val="004007B1"/>
    <w:rsid w:val="004007C2"/>
    <w:rsid w:val="004007C4"/>
    <w:rsid w:val="004007D5"/>
    <w:rsid w:val="00400817"/>
    <w:rsid w:val="00400819"/>
    <w:rsid w:val="00400823"/>
    <w:rsid w:val="00400832"/>
    <w:rsid w:val="0040083E"/>
    <w:rsid w:val="0040086F"/>
    <w:rsid w:val="004008A8"/>
    <w:rsid w:val="004008EC"/>
    <w:rsid w:val="004008F9"/>
    <w:rsid w:val="0040092E"/>
    <w:rsid w:val="004009C2"/>
    <w:rsid w:val="004009F8"/>
    <w:rsid w:val="00400A91"/>
    <w:rsid w:val="00400AA6"/>
    <w:rsid w:val="00400AD2"/>
    <w:rsid w:val="00400ADA"/>
    <w:rsid w:val="00400AF6"/>
    <w:rsid w:val="00400B12"/>
    <w:rsid w:val="00400B25"/>
    <w:rsid w:val="00400B2E"/>
    <w:rsid w:val="00400B57"/>
    <w:rsid w:val="00400B6B"/>
    <w:rsid w:val="00400B82"/>
    <w:rsid w:val="00400B88"/>
    <w:rsid w:val="00400B8D"/>
    <w:rsid w:val="00400BCA"/>
    <w:rsid w:val="00400BE7"/>
    <w:rsid w:val="00400BF0"/>
    <w:rsid w:val="00400BFA"/>
    <w:rsid w:val="00400C26"/>
    <w:rsid w:val="00400C82"/>
    <w:rsid w:val="00400C91"/>
    <w:rsid w:val="00400C96"/>
    <w:rsid w:val="00400CB2"/>
    <w:rsid w:val="00400CCA"/>
    <w:rsid w:val="00400D5A"/>
    <w:rsid w:val="00400E07"/>
    <w:rsid w:val="00400E3B"/>
    <w:rsid w:val="00400E61"/>
    <w:rsid w:val="00400E80"/>
    <w:rsid w:val="00400EA9"/>
    <w:rsid w:val="00400ECD"/>
    <w:rsid w:val="00400ECF"/>
    <w:rsid w:val="00400F49"/>
    <w:rsid w:val="00400F51"/>
    <w:rsid w:val="00400FA2"/>
    <w:rsid w:val="00400FAD"/>
    <w:rsid w:val="0040101D"/>
    <w:rsid w:val="00401046"/>
    <w:rsid w:val="00401070"/>
    <w:rsid w:val="004010B3"/>
    <w:rsid w:val="004010FC"/>
    <w:rsid w:val="00401153"/>
    <w:rsid w:val="0040115F"/>
    <w:rsid w:val="004012D0"/>
    <w:rsid w:val="004012D5"/>
    <w:rsid w:val="004012F7"/>
    <w:rsid w:val="004012FB"/>
    <w:rsid w:val="0040131D"/>
    <w:rsid w:val="00401341"/>
    <w:rsid w:val="00401376"/>
    <w:rsid w:val="00401391"/>
    <w:rsid w:val="004013A0"/>
    <w:rsid w:val="004013D8"/>
    <w:rsid w:val="00401414"/>
    <w:rsid w:val="0040141A"/>
    <w:rsid w:val="0040141C"/>
    <w:rsid w:val="00401570"/>
    <w:rsid w:val="004015AF"/>
    <w:rsid w:val="004015BD"/>
    <w:rsid w:val="004015F0"/>
    <w:rsid w:val="0040161A"/>
    <w:rsid w:val="004016B9"/>
    <w:rsid w:val="004016EA"/>
    <w:rsid w:val="00401720"/>
    <w:rsid w:val="00401734"/>
    <w:rsid w:val="00401758"/>
    <w:rsid w:val="0040177C"/>
    <w:rsid w:val="004017E8"/>
    <w:rsid w:val="00401825"/>
    <w:rsid w:val="00401826"/>
    <w:rsid w:val="0040183E"/>
    <w:rsid w:val="00401862"/>
    <w:rsid w:val="0040191D"/>
    <w:rsid w:val="0040195F"/>
    <w:rsid w:val="0040197D"/>
    <w:rsid w:val="004019A1"/>
    <w:rsid w:val="004019BF"/>
    <w:rsid w:val="004019C4"/>
    <w:rsid w:val="004019D1"/>
    <w:rsid w:val="00401A04"/>
    <w:rsid w:val="00401A08"/>
    <w:rsid w:val="00401A23"/>
    <w:rsid w:val="00401B2F"/>
    <w:rsid w:val="00401B4A"/>
    <w:rsid w:val="00401BBC"/>
    <w:rsid w:val="00401C18"/>
    <w:rsid w:val="00401C25"/>
    <w:rsid w:val="00401C44"/>
    <w:rsid w:val="00401C64"/>
    <w:rsid w:val="00401C8A"/>
    <w:rsid w:val="00401C94"/>
    <w:rsid w:val="00401CAB"/>
    <w:rsid w:val="00401D1F"/>
    <w:rsid w:val="00401D43"/>
    <w:rsid w:val="00401D59"/>
    <w:rsid w:val="00401DCF"/>
    <w:rsid w:val="00401E15"/>
    <w:rsid w:val="00401E88"/>
    <w:rsid w:val="00401EA1"/>
    <w:rsid w:val="00401EA7"/>
    <w:rsid w:val="00401EB5"/>
    <w:rsid w:val="00401F1F"/>
    <w:rsid w:val="00401F3C"/>
    <w:rsid w:val="00401F51"/>
    <w:rsid w:val="00401F55"/>
    <w:rsid w:val="00401F9A"/>
    <w:rsid w:val="00401FCA"/>
    <w:rsid w:val="00401FCC"/>
    <w:rsid w:val="00402041"/>
    <w:rsid w:val="00402059"/>
    <w:rsid w:val="0040205B"/>
    <w:rsid w:val="00402094"/>
    <w:rsid w:val="004020CE"/>
    <w:rsid w:val="004020CF"/>
    <w:rsid w:val="0040211A"/>
    <w:rsid w:val="0040212B"/>
    <w:rsid w:val="004021B0"/>
    <w:rsid w:val="00402234"/>
    <w:rsid w:val="0040223C"/>
    <w:rsid w:val="00402287"/>
    <w:rsid w:val="004022AC"/>
    <w:rsid w:val="004022CE"/>
    <w:rsid w:val="004022D6"/>
    <w:rsid w:val="004022DD"/>
    <w:rsid w:val="00402309"/>
    <w:rsid w:val="0040236A"/>
    <w:rsid w:val="004023D8"/>
    <w:rsid w:val="00402420"/>
    <w:rsid w:val="004024B0"/>
    <w:rsid w:val="004024B4"/>
    <w:rsid w:val="004024C4"/>
    <w:rsid w:val="004024C9"/>
    <w:rsid w:val="00402515"/>
    <w:rsid w:val="00402527"/>
    <w:rsid w:val="00402572"/>
    <w:rsid w:val="0040259C"/>
    <w:rsid w:val="00402612"/>
    <w:rsid w:val="00402615"/>
    <w:rsid w:val="00402619"/>
    <w:rsid w:val="00402686"/>
    <w:rsid w:val="00402691"/>
    <w:rsid w:val="004026A5"/>
    <w:rsid w:val="004026CE"/>
    <w:rsid w:val="004026D5"/>
    <w:rsid w:val="004026E7"/>
    <w:rsid w:val="004026FF"/>
    <w:rsid w:val="00402722"/>
    <w:rsid w:val="00402810"/>
    <w:rsid w:val="0040282A"/>
    <w:rsid w:val="0040282F"/>
    <w:rsid w:val="00402856"/>
    <w:rsid w:val="004028C4"/>
    <w:rsid w:val="004028D3"/>
    <w:rsid w:val="00402904"/>
    <w:rsid w:val="00402951"/>
    <w:rsid w:val="004029E0"/>
    <w:rsid w:val="00402A3D"/>
    <w:rsid w:val="00402A64"/>
    <w:rsid w:val="00402A67"/>
    <w:rsid w:val="00402A79"/>
    <w:rsid w:val="00402A8E"/>
    <w:rsid w:val="00402A9A"/>
    <w:rsid w:val="00402AAB"/>
    <w:rsid w:val="00402B33"/>
    <w:rsid w:val="00402B3C"/>
    <w:rsid w:val="00402B62"/>
    <w:rsid w:val="00402B63"/>
    <w:rsid w:val="00402B67"/>
    <w:rsid w:val="00402BAD"/>
    <w:rsid w:val="00402BCA"/>
    <w:rsid w:val="00402BFC"/>
    <w:rsid w:val="00402C51"/>
    <w:rsid w:val="00402C6E"/>
    <w:rsid w:val="00402CF4"/>
    <w:rsid w:val="00402D39"/>
    <w:rsid w:val="00402D5C"/>
    <w:rsid w:val="00402D6A"/>
    <w:rsid w:val="00402D70"/>
    <w:rsid w:val="00402D85"/>
    <w:rsid w:val="00402E80"/>
    <w:rsid w:val="00402E83"/>
    <w:rsid w:val="00402E97"/>
    <w:rsid w:val="00402E99"/>
    <w:rsid w:val="00402EA4"/>
    <w:rsid w:val="00402EF4"/>
    <w:rsid w:val="00402F42"/>
    <w:rsid w:val="00402F8B"/>
    <w:rsid w:val="00402FEE"/>
    <w:rsid w:val="00403060"/>
    <w:rsid w:val="004030AF"/>
    <w:rsid w:val="004030F2"/>
    <w:rsid w:val="00403150"/>
    <w:rsid w:val="00403182"/>
    <w:rsid w:val="00403201"/>
    <w:rsid w:val="0040322A"/>
    <w:rsid w:val="004032DA"/>
    <w:rsid w:val="004032F8"/>
    <w:rsid w:val="0040332C"/>
    <w:rsid w:val="00403458"/>
    <w:rsid w:val="0040349F"/>
    <w:rsid w:val="0040350F"/>
    <w:rsid w:val="00403538"/>
    <w:rsid w:val="0040353D"/>
    <w:rsid w:val="0040358E"/>
    <w:rsid w:val="004035BD"/>
    <w:rsid w:val="004035EB"/>
    <w:rsid w:val="004035F7"/>
    <w:rsid w:val="0040362A"/>
    <w:rsid w:val="00403659"/>
    <w:rsid w:val="004036E8"/>
    <w:rsid w:val="0040375C"/>
    <w:rsid w:val="00403805"/>
    <w:rsid w:val="00403806"/>
    <w:rsid w:val="00403810"/>
    <w:rsid w:val="00403812"/>
    <w:rsid w:val="00403816"/>
    <w:rsid w:val="00403834"/>
    <w:rsid w:val="0040389D"/>
    <w:rsid w:val="004038AB"/>
    <w:rsid w:val="004038FD"/>
    <w:rsid w:val="00403920"/>
    <w:rsid w:val="00403934"/>
    <w:rsid w:val="00403958"/>
    <w:rsid w:val="00403965"/>
    <w:rsid w:val="00403970"/>
    <w:rsid w:val="00403994"/>
    <w:rsid w:val="004039B0"/>
    <w:rsid w:val="004039C6"/>
    <w:rsid w:val="004039F1"/>
    <w:rsid w:val="00403A3D"/>
    <w:rsid w:val="00403A9C"/>
    <w:rsid w:val="00403AE5"/>
    <w:rsid w:val="00403B4A"/>
    <w:rsid w:val="00403B5A"/>
    <w:rsid w:val="00403B8E"/>
    <w:rsid w:val="00403BAF"/>
    <w:rsid w:val="00403C6B"/>
    <w:rsid w:val="00403C7C"/>
    <w:rsid w:val="00403D07"/>
    <w:rsid w:val="00403D25"/>
    <w:rsid w:val="00403D2F"/>
    <w:rsid w:val="00403D34"/>
    <w:rsid w:val="00403D3C"/>
    <w:rsid w:val="00403D41"/>
    <w:rsid w:val="00403DC5"/>
    <w:rsid w:val="00403DC6"/>
    <w:rsid w:val="00403E20"/>
    <w:rsid w:val="00403E57"/>
    <w:rsid w:val="00403EAE"/>
    <w:rsid w:val="00403F4D"/>
    <w:rsid w:val="00403F6A"/>
    <w:rsid w:val="00404022"/>
    <w:rsid w:val="00404064"/>
    <w:rsid w:val="004040BF"/>
    <w:rsid w:val="004040CD"/>
    <w:rsid w:val="0040414E"/>
    <w:rsid w:val="00404154"/>
    <w:rsid w:val="0040415F"/>
    <w:rsid w:val="004041A0"/>
    <w:rsid w:val="004041B7"/>
    <w:rsid w:val="004041D2"/>
    <w:rsid w:val="004041D3"/>
    <w:rsid w:val="004041FF"/>
    <w:rsid w:val="004042DB"/>
    <w:rsid w:val="004042DD"/>
    <w:rsid w:val="004042F6"/>
    <w:rsid w:val="00404303"/>
    <w:rsid w:val="00404325"/>
    <w:rsid w:val="0040433D"/>
    <w:rsid w:val="00404362"/>
    <w:rsid w:val="0040441A"/>
    <w:rsid w:val="00404454"/>
    <w:rsid w:val="00404459"/>
    <w:rsid w:val="00404469"/>
    <w:rsid w:val="0040447D"/>
    <w:rsid w:val="00404501"/>
    <w:rsid w:val="0040450D"/>
    <w:rsid w:val="00404560"/>
    <w:rsid w:val="00404583"/>
    <w:rsid w:val="004045EE"/>
    <w:rsid w:val="00404685"/>
    <w:rsid w:val="00404698"/>
    <w:rsid w:val="00404752"/>
    <w:rsid w:val="0040476B"/>
    <w:rsid w:val="00404791"/>
    <w:rsid w:val="00404843"/>
    <w:rsid w:val="0040484F"/>
    <w:rsid w:val="0040485F"/>
    <w:rsid w:val="00404878"/>
    <w:rsid w:val="0040487A"/>
    <w:rsid w:val="004048A1"/>
    <w:rsid w:val="00404904"/>
    <w:rsid w:val="0040494C"/>
    <w:rsid w:val="0040495C"/>
    <w:rsid w:val="00404963"/>
    <w:rsid w:val="00404968"/>
    <w:rsid w:val="0040499C"/>
    <w:rsid w:val="00404A0F"/>
    <w:rsid w:val="00404A11"/>
    <w:rsid w:val="00404A1A"/>
    <w:rsid w:val="00404A72"/>
    <w:rsid w:val="00404B26"/>
    <w:rsid w:val="00404B3C"/>
    <w:rsid w:val="00404BF8"/>
    <w:rsid w:val="00404C28"/>
    <w:rsid w:val="00404CBD"/>
    <w:rsid w:val="00404D9D"/>
    <w:rsid w:val="00404DD4"/>
    <w:rsid w:val="00404DFB"/>
    <w:rsid w:val="00404E10"/>
    <w:rsid w:val="00404E95"/>
    <w:rsid w:val="00404EA6"/>
    <w:rsid w:val="00404EB6"/>
    <w:rsid w:val="00404EBB"/>
    <w:rsid w:val="00404EC1"/>
    <w:rsid w:val="00404F27"/>
    <w:rsid w:val="00404F61"/>
    <w:rsid w:val="00404F71"/>
    <w:rsid w:val="00404F8B"/>
    <w:rsid w:val="00404F9A"/>
    <w:rsid w:val="00404FC0"/>
    <w:rsid w:val="00404FC7"/>
    <w:rsid w:val="0040501D"/>
    <w:rsid w:val="00405027"/>
    <w:rsid w:val="0040503A"/>
    <w:rsid w:val="00405079"/>
    <w:rsid w:val="00405095"/>
    <w:rsid w:val="004050A7"/>
    <w:rsid w:val="004050C3"/>
    <w:rsid w:val="004050DC"/>
    <w:rsid w:val="00405135"/>
    <w:rsid w:val="0040516B"/>
    <w:rsid w:val="0040519A"/>
    <w:rsid w:val="004051C4"/>
    <w:rsid w:val="00405366"/>
    <w:rsid w:val="00405368"/>
    <w:rsid w:val="00405380"/>
    <w:rsid w:val="0040538F"/>
    <w:rsid w:val="004053B5"/>
    <w:rsid w:val="00405422"/>
    <w:rsid w:val="0040549B"/>
    <w:rsid w:val="004054DF"/>
    <w:rsid w:val="004054E3"/>
    <w:rsid w:val="004054F3"/>
    <w:rsid w:val="00405595"/>
    <w:rsid w:val="004055D2"/>
    <w:rsid w:val="00405606"/>
    <w:rsid w:val="0040562B"/>
    <w:rsid w:val="00405647"/>
    <w:rsid w:val="0040566C"/>
    <w:rsid w:val="00405693"/>
    <w:rsid w:val="004056A3"/>
    <w:rsid w:val="004056EC"/>
    <w:rsid w:val="004056FC"/>
    <w:rsid w:val="00405721"/>
    <w:rsid w:val="0040576C"/>
    <w:rsid w:val="00405879"/>
    <w:rsid w:val="0040589A"/>
    <w:rsid w:val="004058AA"/>
    <w:rsid w:val="0040591F"/>
    <w:rsid w:val="00405943"/>
    <w:rsid w:val="004059EC"/>
    <w:rsid w:val="004059FE"/>
    <w:rsid w:val="00405A48"/>
    <w:rsid w:val="00405A75"/>
    <w:rsid w:val="00405AAB"/>
    <w:rsid w:val="00405AED"/>
    <w:rsid w:val="00405B31"/>
    <w:rsid w:val="00405B36"/>
    <w:rsid w:val="00405B7D"/>
    <w:rsid w:val="00405B82"/>
    <w:rsid w:val="00405B84"/>
    <w:rsid w:val="00405CEC"/>
    <w:rsid w:val="00405CEE"/>
    <w:rsid w:val="00405D24"/>
    <w:rsid w:val="00405D41"/>
    <w:rsid w:val="00405E23"/>
    <w:rsid w:val="00405E28"/>
    <w:rsid w:val="00405E4C"/>
    <w:rsid w:val="00405EBD"/>
    <w:rsid w:val="00405EE2"/>
    <w:rsid w:val="00405F1A"/>
    <w:rsid w:val="00405F63"/>
    <w:rsid w:val="00405F84"/>
    <w:rsid w:val="00405FD0"/>
    <w:rsid w:val="00406048"/>
    <w:rsid w:val="00406073"/>
    <w:rsid w:val="00406074"/>
    <w:rsid w:val="0040607A"/>
    <w:rsid w:val="00406085"/>
    <w:rsid w:val="00406113"/>
    <w:rsid w:val="00406140"/>
    <w:rsid w:val="00406159"/>
    <w:rsid w:val="004061A4"/>
    <w:rsid w:val="004061BF"/>
    <w:rsid w:val="004061E2"/>
    <w:rsid w:val="0040622A"/>
    <w:rsid w:val="004063C1"/>
    <w:rsid w:val="004063D6"/>
    <w:rsid w:val="004063F1"/>
    <w:rsid w:val="0040640B"/>
    <w:rsid w:val="00406411"/>
    <w:rsid w:val="00406457"/>
    <w:rsid w:val="0040647D"/>
    <w:rsid w:val="0040647F"/>
    <w:rsid w:val="0040649F"/>
    <w:rsid w:val="004064A2"/>
    <w:rsid w:val="004064FB"/>
    <w:rsid w:val="0040656D"/>
    <w:rsid w:val="00406594"/>
    <w:rsid w:val="0040659A"/>
    <w:rsid w:val="004065DC"/>
    <w:rsid w:val="00406626"/>
    <w:rsid w:val="00406668"/>
    <w:rsid w:val="00406685"/>
    <w:rsid w:val="004066B3"/>
    <w:rsid w:val="004066B9"/>
    <w:rsid w:val="004066C3"/>
    <w:rsid w:val="004066EC"/>
    <w:rsid w:val="00406722"/>
    <w:rsid w:val="0040676E"/>
    <w:rsid w:val="0040679A"/>
    <w:rsid w:val="004067DB"/>
    <w:rsid w:val="004067F2"/>
    <w:rsid w:val="004067FD"/>
    <w:rsid w:val="00406843"/>
    <w:rsid w:val="00406861"/>
    <w:rsid w:val="004068CC"/>
    <w:rsid w:val="004068CF"/>
    <w:rsid w:val="0040694C"/>
    <w:rsid w:val="004069DA"/>
    <w:rsid w:val="004069E7"/>
    <w:rsid w:val="00406A02"/>
    <w:rsid w:val="00406A54"/>
    <w:rsid w:val="00406A70"/>
    <w:rsid w:val="00406AA2"/>
    <w:rsid w:val="00406AB6"/>
    <w:rsid w:val="00406AE2"/>
    <w:rsid w:val="00406B15"/>
    <w:rsid w:val="00406B4A"/>
    <w:rsid w:val="00406B95"/>
    <w:rsid w:val="00406BB3"/>
    <w:rsid w:val="00406BD2"/>
    <w:rsid w:val="00406BE5"/>
    <w:rsid w:val="00406C93"/>
    <w:rsid w:val="00406CFD"/>
    <w:rsid w:val="00406DAD"/>
    <w:rsid w:val="00406DC8"/>
    <w:rsid w:val="00406DF1"/>
    <w:rsid w:val="00406E68"/>
    <w:rsid w:val="00406ECC"/>
    <w:rsid w:val="00406EEB"/>
    <w:rsid w:val="00406F68"/>
    <w:rsid w:val="00406F8A"/>
    <w:rsid w:val="00406FA0"/>
    <w:rsid w:val="00406FAB"/>
    <w:rsid w:val="00406FBB"/>
    <w:rsid w:val="00406FE5"/>
    <w:rsid w:val="0040700B"/>
    <w:rsid w:val="00407048"/>
    <w:rsid w:val="00407081"/>
    <w:rsid w:val="00407091"/>
    <w:rsid w:val="004070A8"/>
    <w:rsid w:val="00407121"/>
    <w:rsid w:val="00407164"/>
    <w:rsid w:val="00407184"/>
    <w:rsid w:val="0040718B"/>
    <w:rsid w:val="0040719F"/>
    <w:rsid w:val="0040724D"/>
    <w:rsid w:val="0040724F"/>
    <w:rsid w:val="004072C0"/>
    <w:rsid w:val="00407324"/>
    <w:rsid w:val="0040733F"/>
    <w:rsid w:val="00407357"/>
    <w:rsid w:val="004073CC"/>
    <w:rsid w:val="004073DD"/>
    <w:rsid w:val="00407431"/>
    <w:rsid w:val="00407451"/>
    <w:rsid w:val="00407452"/>
    <w:rsid w:val="0040746B"/>
    <w:rsid w:val="004074A8"/>
    <w:rsid w:val="004074E9"/>
    <w:rsid w:val="004074FD"/>
    <w:rsid w:val="0040751C"/>
    <w:rsid w:val="0040751E"/>
    <w:rsid w:val="00407527"/>
    <w:rsid w:val="0040755F"/>
    <w:rsid w:val="00407560"/>
    <w:rsid w:val="0040757B"/>
    <w:rsid w:val="00407599"/>
    <w:rsid w:val="004075FB"/>
    <w:rsid w:val="00407611"/>
    <w:rsid w:val="0040761E"/>
    <w:rsid w:val="00407634"/>
    <w:rsid w:val="0040763C"/>
    <w:rsid w:val="0040764B"/>
    <w:rsid w:val="0040765B"/>
    <w:rsid w:val="004076A1"/>
    <w:rsid w:val="0040771A"/>
    <w:rsid w:val="00407739"/>
    <w:rsid w:val="0040773B"/>
    <w:rsid w:val="0040774E"/>
    <w:rsid w:val="0040776E"/>
    <w:rsid w:val="00407774"/>
    <w:rsid w:val="00407783"/>
    <w:rsid w:val="00407786"/>
    <w:rsid w:val="004077D3"/>
    <w:rsid w:val="004077F6"/>
    <w:rsid w:val="0040786B"/>
    <w:rsid w:val="00407972"/>
    <w:rsid w:val="004079D2"/>
    <w:rsid w:val="00407A62"/>
    <w:rsid w:val="00407A66"/>
    <w:rsid w:val="00407AD3"/>
    <w:rsid w:val="00407AEE"/>
    <w:rsid w:val="00407B6E"/>
    <w:rsid w:val="00407B7F"/>
    <w:rsid w:val="00407BE9"/>
    <w:rsid w:val="00407C4D"/>
    <w:rsid w:val="00407C4F"/>
    <w:rsid w:val="00407C87"/>
    <w:rsid w:val="00407C97"/>
    <w:rsid w:val="00407CC2"/>
    <w:rsid w:val="00407D47"/>
    <w:rsid w:val="00407D70"/>
    <w:rsid w:val="00407D8F"/>
    <w:rsid w:val="00407DAE"/>
    <w:rsid w:val="00407F00"/>
    <w:rsid w:val="00407F5B"/>
    <w:rsid w:val="00407F64"/>
    <w:rsid w:val="00407F75"/>
    <w:rsid w:val="00407FBE"/>
    <w:rsid w:val="00410001"/>
    <w:rsid w:val="00410036"/>
    <w:rsid w:val="0041003D"/>
    <w:rsid w:val="00410045"/>
    <w:rsid w:val="00410067"/>
    <w:rsid w:val="004100A8"/>
    <w:rsid w:val="004100CE"/>
    <w:rsid w:val="004100F4"/>
    <w:rsid w:val="00410115"/>
    <w:rsid w:val="0041012C"/>
    <w:rsid w:val="004101E0"/>
    <w:rsid w:val="004101EB"/>
    <w:rsid w:val="00410235"/>
    <w:rsid w:val="004102CD"/>
    <w:rsid w:val="004102F7"/>
    <w:rsid w:val="00410374"/>
    <w:rsid w:val="004103DB"/>
    <w:rsid w:val="00410423"/>
    <w:rsid w:val="00410444"/>
    <w:rsid w:val="0041046C"/>
    <w:rsid w:val="004104A1"/>
    <w:rsid w:val="004104E8"/>
    <w:rsid w:val="004104EF"/>
    <w:rsid w:val="00410510"/>
    <w:rsid w:val="0041056F"/>
    <w:rsid w:val="00410613"/>
    <w:rsid w:val="00410620"/>
    <w:rsid w:val="00410624"/>
    <w:rsid w:val="00410664"/>
    <w:rsid w:val="00410669"/>
    <w:rsid w:val="00410674"/>
    <w:rsid w:val="004106D5"/>
    <w:rsid w:val="004106E3"/>
    <w:rsid w:val="004106F3"/>
    <w:rsid w:val="00410743"/>
    <w:rsid w:val="0041076F"/>
    <w:rsid w:val="0041077A"/>
    <w:rsid w:val="0041079D"/>
    <w:rsid w:val="004107A9"/>
    <w:rsid w:val="00410812"/>
    <w:rsid w:val="0041082D"/>
    <w:rsid w:val="004108FF"/>
    <w:rsid w:val="00410927"/>
    <w:rsid w:val="0041093F"/>
    <w:rsid w:val="0041096B"/>
    <w:rsid w:val="00410994"/>
    <w:rsid w:val="004109BF"/>
    <w:rsid w:val="004109C5"/>
    <w:rsid w:val="00410A00"/>
    <w:rsid w:val="00410ABD"/>
    <w:rsid w:val="00410B1B"/>
    <w:rsid w:val="00410B25"/>
    <w:rsid w:val="00410B28"/>
    <w:rsid w:val="00410B48"/>
    <w:rsid w:val="00410B61"/>
    <w:rsid w:val="00410C18"/>
    <w:rsid w:val="00410C2A"/>
    <w:rsid w:val="00410C71"/>
    <w:rsid w:val="00410CE9"/>
    <w:rsid w:val="00410D22"/>
    <w:rsid w:val="00410E72"/>
    <w:rsid w:val="00410E78"/>
    <w:rsid w:val="00410E80"/>
    <w:rsid w:val="00410EAA"/>
    <w:rsid w:val="00410EB7"/>
    <w:rsid w:val="00410F0D"/>
    <w:rsid w:val="00410F34"/>
    <w:rsid w:val="00410F69"/>
    <w:rsid w:val="00410F72"/>
    <w:rsid w:val="00410F8F"/>
    <w:rsid w:val="00410FD9"/>
    <w:rsid w:val="00410FF9"/>
    <w:rsid w:val="0041100E"/>
    <w:rsid w:val="004110AF"/>
    <w:rsid w:val="004110E0"/>
    <w:rsid w:val="004110EA"/>
    <w:rsid w:val="0041110D"/>
    <w:rsid w:val="00411155"/>
    <w:rsid w:val="0041116D"/>
    <w:rsid w:val="0041116F"/>
    <w:rsid w:val="004111EB"/>
    <w:rsid w:val="004111FB"/>
    <w:rsid w:val="0041120C"/>
    <w:rsid w:val="0041120F"/>
    <w:rsid w:val="004112ED"/>
    <w:rsid w:val="004112F9"/>
    <w:rsid w:val="00411327"/>
    <w:rsid w:val="00411352"/>
    <w:rsid w:val="004113A5"/>
    <w:rsid w:val="00411415"/>
    <w:rsid w:val="0041143B"/>
    <w:rsid w:val="0041148B"/>
    <w:rsid w:val="004114AA"/>
    <w:rsid w:val="00411510"/>
    <w:rsid w:val="00411514"/>
    <w:rsid w:val="00411518"/>
    <w:rsid w:val="00411565"/>
    <w:rsid w:val="0041164D"/>
    <w:rsid w:val="004116AE"/>
    <w:rsid w:val="004116E0"/>
    <w:rsid w:val="0041170D"/>
    <w:rsid w:val="00411719"/>
    <w:rsid w:val="00411738"/>
    <w:rsid w:val="0041175F"/>
    <w:rsid w:val="00411761"/>
    <w:rsid w:val="0041178C"/>
    <w:rsid w:val="004117B6"/>
    <w:rsid w:val="004117C3"/>
    <w:rsid w:val="00411880"/>
    <w:rsid w:val="00411906"/>
    <w:rsid w:val="00411914"/>
    <w:rsid w:val="00411967"/>
    <w:rsid w:val="0041197E"/>
    <w:rsid w:val="0041199E"/>
    <w:rsid w:val="00411A5F"/>
    <w:rsid w:val="00411A89"/>
    <w:rsid w:val="00411AEB"/>
    <w:rsid w:val="00411B13"/>
    <w:rsid w:val="00411BA7"/>
    <w:rsid w:val="00411BDC"/>
    <w:rsid w:val="00411BDD"/>
    <w:rsid w:val="00411C08"/>
    <w:rsid w:val="00411C39"/>
    <w:rsid w:val="00411C47"/>
    <w:rsid w:val="00411C48"/>
    <w:rsid w:val="00411C56"/>
    <w:rsid w:val="00411D05"/>
    <w:rsid w:val="00411D4C"/>
    <w:rsid w:val="00411D5A"/>
    <w:rsid w:val="00411D73"/>
    <w:rsid w:val="00411D7C"/>
    <w:rsid w:val="00411DF5"/>
    <w:rsid w:val="00411E2B"/>
    <w:rsid w:val="00411E4A"/>
    <w:rsid w:val="00411EA2"/>
    <w:rsid w:val="00412007"/>
    <w:rsid w:val="00412077"/>
    <w:rsid w:val="0041207B"/>
    <w:rsid w:val="00412118"/>
    <w:rsid w:val="00412143"/>
    <w:rsid w:val="004121EF"/>
    <w:rsid w:val="00412201"/>
    <w:rsid w:val="00412211"/>
    <w:rsid w:val="00412255"/>
    <w:rsid w:val="004122A1"/>
    <w:rsid w:val="004122C5"/>
    <w:rsid w:val="004122C6"/>
    <w:rsid w:val="004122EF"/>
    <w:rsid w:val="00412356"/>
    <w:rsid w:val="004123AE"/>
    <w:rsid w:val="004123CE"/>
    <w:rsid w:val="00412412"/>
    <w:rsid w:val="00412413"/>
    <w:rsid w:val="00412446"/>
    <w:rsid w:val="00412481"/>
    <w:rsid w:val="00412498"/>
    <w:rsid w:val="00412539"/>
    <w:rsid w:val="00412542"/>
    <w:rsid w:val="004125A4"/>
    <w:rsid w:val="004125B0"/>
    <w:rsid w:val="004125F5"/>
    <w:rsid w:val="00412699"/>
    <w:rsid w:val="004126E7"/>
    <w:rsid w:val="00412710"/>
    <w:rsid w:val="00412728"/>
    <w:rsid w:val="0041272F"/>
    <w:rsid w:val="00412740"/>
    <w:rsid w:val="004127A1"/>
    <w:rsid w:val="004127BF"/>
    <w:rsid w:val="0041287C"/>
    <w:rsid w:val="00412899"/>
    <w:rsid w:val="004128AC"/>
    <w:rsid w:val="0041291F"/>
    <w:rsid w:val="0041292E"/>
    <w:rsid w:val="004129AC"/>
    <w:rsid w:val="004129D9"/>
    <w:rsid w:val="004129F5"/>
    <w:rsid w:val="004129F9"/>
    <w:rsid w:val="00412A29"/>
    <w:rsid w:val="00412A58"/>
    <w:rsid w:val="00412A76"/>
    <w:rsid w:val="00412A8E"/>
    <w:rsid w:val="00412B72"/>
    <w:rsid w:val="00412B7B"/>
    <w:rsid w:val="00412B93"/>
    <w:rsid w:val="00412BC0"/>
    <w:rsid w:val="00412BF5"/>
    <w:rsid w:val="00412C83"/>
    <w:rsid w:val="00412CB7"/>
    <w:rsid w:val="00412CC1"/>
    <w:rsid w:val="00412CDC"/>
    <w:rsid w:val="00412D30"/>
    <w:rsid w:val="00412DA2"/>
    <w:rsid w:val="00412E29"/>
    <w:rsid w:val="00412E72"/>
    <w:rsid w:val="00412E8E"/>
    <w:rsid w:val="00412E9E"/>
    <w:rsid w:val="00412EC1"/>
    <w:rsid w:val="00412EC5"/>
    <w:rsid w:val="00412F37"/>
    <w:rsid w:val="00412F86"/>
    <w:rsid w:val="00413008"/>
    <w:rsid w:val="00413016"/>
    <w:rsid w:val="00413035"/>
    <w:rsid w:val="00413053"/>
    <w:rsid w:val="004130B6"/>
    <w:rsid w:val="004130BC"/>
    <w:rsid w:val="004130E4"/>
    <w:rsid w:val="00413117"/>
    <w:rsid w:val="00413146"/>
    <w:rsid w:val="0041321F"/>
    <w:rsid w:val="0041326C"/>
    <w:rsid w:val="0041338C"/>
    <w:rsid w:val="004133CC"/>
    <w:rsid w:val="004133EF"/>
    <w:rsid w:val="00413426"/>
    <w:rsid w:val="00413471"/>
    <w:rsid w:val="00413480"/>
    <w:rsid w:val="00413496"/>
    <w:rsid w:val="00413497"/>
    <w:rsid w:val="0041351B"/>
    <w:rsid w:val="004135BE"/>
    <w:rsid w:val="004135F2"/>
    <w:rsid w:val="0041364B"/>
    <w:rsid w:val="0041372E"/>
    <w:rsid w:val="004137DA"/>
    <w:rsid w:val="004137F1"/>
    <w:rsid w:val="00413866"/>
    <w:rsid w:val="0041387E"/>
    <w:rsid w:val="004138F0"/>
    <w:rsid w:val="00413915"/>
    <w:rsid w:val="0041396C"/>
    <w:rsid w:val="00413A29"/>
    <w:rsid w:val="00413A35"/>
    <w:rsid w:val="00413A9F"/>
    <w:rsid w:val="00413B10"/>
    <w:rsid w:val="00413B44"/>
    <w:rsid w:val="00413B77"/>
    <w:rsid w:val="00413BB9"/>
    <w:rsid w:val="00413C23"/>
    <w:rsid w:val="00413C85"/>
    <w:rsid w:val="00413CA8"/>
    <w:rsid w:val="00413CB5"/>
    <w:rsid w:val="00413D1F"/>
    <w:rsid w:val="00413D80"/>
    <w:rsid w:val="00413DCB"/>
    <w:rsid w:val="00413E61"/>
    <w:rsid w:val="00413EDF"/>
    <w:rsid w:val="00413EFD"/>
    <w:rsid w:val="00413F28"/>
    <w:rsid w:val="00413F6B"/>
    <w:rsid w:val="00413F89"/>
    <w:rsid w:val="00413FF2"/>
    <w:rsid w:val="0041400F"/>
    <w:rsid w:val="00414023"/>
    <w:rsid w:val="00414048"/>
    <w:rsid w:val="0041408F"/>
    <w:rsid w:val="00414177"/>
    <w:rsid w:val="0041419B"/>
    <w:rsid w:val="00414238"/>
    <w:rsid w:val="00414239"/>
    <w:rsid w:val="0041423C"/>
    <w:rsid w:val="0041426A"/>
    <w:rsid w:val="0041426F"/>
    <w:rsid w:val="00414287"/>
    <w:rsid w:val="004142A4"/>
    <w:rsid w:val="004142B4"/>
    <w:rsid w:val="004142D8"/>
    <w:rsid w:val="00414315"/>
    <w:rsid w:val="00414316"/>
    <w:rsid w:val="00414354"/>
    <w:rsid w:val="00414371"/>
    <w:rsid w:val="00414399"/>
    <w:rsid w:val="004143CF"/>
    <w:rsid w:val="0041440F"/>
    <w:rsid w:val="00414422"/>
    <w:rsid w:val="00414448"/>
    <w:rsid w:val="00414455"/>
    <w:rsid w:val="00414482"/>
    <w:rsid w:val="00414492"/>
    <w:rsid w:val="004144DA"/>
    <w:rsid w:val="00414519"/>
    <w:rsid w:val="0041451A"/>
    <w:rsid w:val="00414546"/>
    <w:rsid w:val="0041459E"/>
    <w:rsid w:val="004145A1"/>
    <w:rsid w:val="004145D9"/>
    <w:rsid w:val="004145FF"/>
    <w:rsid w:val="00414623"/>
    <w:rsid w:val="00414658"/>
    <w:rsid w:val="00414662"/>
    <w:rsid w:val="0041467C"/>
    <w:rsid w:val="00414682"/>
    <w:rsid w:val="004146C4"/>
    <w:rsid w:val="004146FF"/>
    <w:rsid w:val="00414783"/>
    <w:rsid w:val="00414791"/>
    <w:rsid w:val="00414833"/>
    <w:rsid w:val="00414868"/>
    <w:rsid w:val="004148D7"/>
    <w:rsid w:val="0041490C"/>
    <w:rsid w:val="0041491E"/>
    <w:rsid w:val="0041496C"/>
    <w:rsid w:val="004149E4"/>
    <w:rsid w:val="00414A16"/>
    <w:rsid w:val="00414A8A"/>
    <w:rsid w:val="00414B0C"/>
    <w:rsid w:val="00414B1E"/>
    <w:rsid w:val="00414B3A"/>
    <w:rsid w:val="00414B3E"/>
    <w:rsid w:val="00414C08"/>
    <w:rsid w:val="00414C1F"/>
    <w:rsid w:val="00414C9E"/>
    <w:rsid w:val="00414CAD"/>
    <w:rsid w:val="00414CCF"/>
    <w:rsid w:val="00414D30"/>
    <w:rsid w:val="00414D8B"/>
    <w:rsid w:val="00414E30"/>
    <w:rsid w:val="00414E4B"/>
    <w:rsid w:val="00414E4C"/>
    <w:rsid w:val="00414F09"/>
    <w:rsid w:val="00414F1E"/>
    <w:rsid w:val="00414FBE"/>
    <w:rsid w:val="00415010"/>
    <w:rsid w:val="00415021"/>
    <w:rsid w:val="004150AF"/>
    <w:rsid w:val="004150B5"/>
    <w:rsid w:val="00415100"/>
    <w:rsid w:val="00415125"/>
    <w:rsid w:val="0041512C"/>
    <w:rsid w:val="00415156"/>
    <w:rsid w:val="0041517B"/>
    <w:rsid w:val="0041528C"/>
    <w:rsid w:val="004152D7"/>
    <w:rsid w:val="004153D0"/>
    <w:rsid w:val="004153F3"/>
    <w:rsid w:val="0041540B"/>
    <w:rsid w:val="00415438"/>
    <w:rsid w:val="00415466"/>
    <w:rsid w:val="004154AC"/>
    <w:rsid w:val="004154C2"/>
    <w:rsid w:val="00415549"/>
    <w:rsid w:val="0041555D"/>
    <w:rsid w:val="004155AE"/>
    <w:rsid w:val="004155EE"/>
    <w:rsid w:val="0041561D"/>
    <w:rsid w:val="004156C5"/>
    <w:rsid w:val="004156F6"/>
    <w:rsid w:val="00415722"/>
    <w:rsid w:val="00415727"/>
    <w:rsid w:val="00415732"/>
    <w:rsid w:val="00415748"/>
    <w:rsid w:val="004157DF"/>
    <w:rsid w:val="004158C2"/>
    <w:rsid w:val="00415907"/>
    <w:rsid w:val="00415911"/>
    <w:rsid w:val="0041592A"/>
    <w:rsid w:val="004159AD"/>
    <w:rsid w:val="00415A51"/>
    <w:rsid w:val="00415A8E"/>
    <w:rsid w:val="00415A9F"/>
    <w:rsid w:val="00415AEF"/>
    <w:rsid w:val="00415AF9"/>
    <w:rsid w:val="00415B20"/>
    <w:rsid w:val="00415BD9"/>
    <w:rsid w:val="00415BE6"/>
    <w:rsid w:val="00415C6E"/>
    <w:rsid w:val="00415C95"/>
    <w:rsid w:val="00415CAA"/>
    <w:rsid w:val="00415CB7"/>
    <w:rsid w:val="00415CFB"/>
    <w:rsid w:val="00415D3A"/>
    <w:rsid w:val="00415E0C"/>
    <w:rsid w:val="00415E40"/>
    <w:rsid w:val="00415ED1"/>
    <w:rsid w:val="00415F15"/>
    <w:rsid w:val="00415F47"/>
    <w:rsid w:val="00415F8F"/>
    <w:rsid w:val="00415FC6"/>
    <w:rsid w:val="00415FE7"/>
    <w:rsid w:val="0041600A"/>
    <w:rsid w:val="00416025"/>
    <w:rsid w:val="00416051"/>
    <w:rsid w:val="004160C0"/>
    <w:rsid w:val="004160F0"/>
    <w:rsid w:val="00416111"/>
    <w:rsid w:val="00416119"/>
    <w:rsid w:val="0041618A"/>
    <w:rsid w:val="004161E2"/>
    <w:rsid w:val="004161F4"/>
    <w:rsid w:val="00416206"/>
    <w:rsid w:val="00416236"/>
    <w:rsid w:val="004162FC"/>
    <w:rsid w:val="00416304"/>
    <w:rsid w:val="00416326"/>
    <w:rsid w:val="00416335"/>
    <w:rsid w:val="004163A3"/>
    <w:rsid w:val="004163B7"/>
    <w:rsid w:val="0041642D"/>
    <w:rsid w:val="00416481"/>
    <w:rsid w:val="004164A7"/>
    <w:rsid w:val="004164C8"/>
    <w:rsid w:val="00416586"/>
    <w:rsid w:val="00416625"/>
    <w:rsid w:val="00416640"/>
    <w:rsid w:val="00416672"/>
    <w:rsid w:val="004166CD"/>
    <w:rsid w:val="0041670B"/>
    <w:rsid w:val="00416723"/>
    <w:rsid w:val="00416820"/>
    <w:rsid w:val="00416824"/>
    <w:rsid w:val="0041684D"/>
    <w:rsid w:val="004168B9"/>
    <w:rsid w:val="004168C4"/>
    <w:rsid w:val="00416904"/>
    <w:rsid w:val="00416967"/>
    <w:rsid w:val="0041696D"/>
    <w:rsid w:val="00416A3C"/>
    <w:rsid w:val="00416A57"/>
    <w:rsid w:val="00416AB0"/>
    <w:rsid w:val="00416ACD"/>
    <w:rsid w:val="00416BA4"/>
    <w:rsid w:val="00416CF3"/>
    <w:rsid w:val="00416DB7"/>
    <w:rsid w:val="00416DDA"/>
    <w:rsid w:val="00416E3A"/>
    <w:rsid w:val="00416E57"/>
    <w:rsid w:val="00416E7A"/>
    <w:rsid w:val="00416F26"/>
    <w:rsid w:val="00416FCF"/>
    <w:rsid w:val="00417038"/>
    <w:rsid w:val="00417045"/>
    <w:rsid w:val="00417058"/>
    <w:rsid w:val="00417066"/>
    <w:rsid w:val="00417137"/>
    <w:rsid w:val="0041713A"/>
    <w:rsid w:val="00417150"/>
    <w:rsid w:val="00417211"/>
    <w:rsid w:val="00417238"/>
    <w:rsid w:val="00417247"/>
    <w:rsid w:val="0041726B"/>
    <w:rsid w:val="00417294"/>
    <w:rsid w:val="004172B8"/>
    <w:rsid w:val="0041733F"/>
    <w:rsid w:val="00417347"/>
    <w:rsid w:val="004173CB"/>
    <w:rsid w:val="00417403"/>
    <w:rsid w:val="0041740E"/>
    <w:rsid w:val="0041748F"/>
    <w:rsid w:val="004174C8"/>
    <w:rsid w:val="0041753E"/>
    <w:rsid w:val="00417548"/>
    <w:rsid w:val="0041756A"/>
    <w:rsid w:val="004175A3"/>
    <w:rsid w:val="004175D6"/>
    <w:rsid w:val="00417641"/>
    <w:rsid w:val="00417667"/>
    <w:rsid w:val="004176EB"/>
    <w:rsid w:val="0041773D"/>
    <w:rsid w:val="0041773E"/>
    <w:rsid w:val="00417756"/>
    <w:rsid w:val="00417769"/>
    <w:rsid w:val="004177EA"/>
    <w:rsid w:val="0041783A"/>
    <w:rsid w:val="004178BF"/>
    <w:rsid w:val="0041794C"/>
    <w:rsid w:val="00417953"/>
    <w:rsid w:val="00417973"/>
    <w:rsid w:val="00417987"/>
    <w:rsid w:val="00417A19"/>
    <w:rsid w:val="00417A3E"/>
    <w:rsid w:val="00417A53"/>
    <w:rsid w:val="00417A9A"/>
    <w:rsid w:val="00417B29"/>
    <w:rsid w:val="00417B5F"/>
    <w:rsid w:val="00417B62"/>
    <w:rsid w:val="00417BAA"/>
    <w:rsid w:val="00417BC3"/>
    <w:rsid w:val="00417C74"/>
    <w:rsid w:val="00417C92"/>
    <w:rsid w:val="00417CA9"/>
    <w:rsid w:val="00417CC8"/>
    <w:rsid w:val="00417CCB"/>
    <w:rsid w:val="00417D8E"/>
    <w:rsid w:val="00417DBE"/>
    <w:rsid w:val="00417DE4"/>
    <w:rsid w:val="00417DE9"/>
    <w:rsid w:val="00417E13"/>
    <w:rsid w:val="00417E55"/>
    <w:rsid w:val="00417E59"/>
    <w:rsid w:val="00417E64"/>
    <w:rsid w:val="00417EB6"/>
    <w:rsid w:val="00417EC3"/>
    <w:rsid w:val="00417F06"/>
    <w:rsid w:val="00417F13"/>
    <w:rsid w:val="00417F71"/>
    <w:rsid w:val="00417FAE"/>
    <w:rsid w:val="00417FD7"/>
    <w:rsid w:val="0042000A"/>
    <w:rsid w:val="00420051"/>
    <w:rsid w:val="00420070"/>
    <w:rsid w:val="0042007D"/>
    <w:rsid w:val="004200A2"/>
    <w:rsid w:val="004200DA"/>
    <w:rsid w:val="004200EF"/>
    <w:rsid w:val="00420143"/>
    <w:rsid w:val="0042017C"/>
    <w:rsid w:val="0042021E"/>
    <w:rsid w:val="00420243"/>
    <w:rsid w:val="00420272"/>
    <w:rsid w:val="00420275"/>
    <w:rsid w:val="00420292"/>
    <w:rsid w:val="004202AB"/>
    <w:rsid w:val="004202AC"/>
    <w:rsid w:val="004202E5"/>
    <w:rsid w:val="004202F8"/>
    <w:rsid w:val="0042034A"/>
    <w:rsid w:val="00420363"/>
    <w:rsid w:val="004203A6"/>
    <w:rsid w:val="004203BB"/>
    <w:rsid w:val="004203E4"/>
    <w:rsid w:val="004203F5"/>
    <w:rsid w:val="004203F7"/>
    <w:rsid w:val="0042040D"/>
    <w:rsid w:val="00420422"/>
    <w:rsid w:val="00420443"/>
    <w:rsid w:val="0042045C"/>
    <w:rsid w:val="00420462"/>
    <w:rsid w:val="004204DD"/>
    <w:rsid w:val="00420527"/>
    <w:rsid w:val="00420549"/>
    <w:rsid w:val="0042060E"/>
    <w:rsid w:val="0042065E"/>
    <w:rsid w:val="004206CC"/>
    <w:rsid w:val="00420770"/>
    <w:rsid w:val="00420798"/>
    <w:rsid w:val="004207EA"/>
    <w:rsid w:val="0042080F"/>
    <w:rsid w:val="00420844"/>
    <w:rsid w:val="00420868"/>
    <w:rsid w:val="00420883"/>
    <w:rsid w:val="004208D3"/>
    <w:rsid w:val="00420906"/>
    <w:rsid w:val="00420918"/>
    <w:rsid w:val="0042091F"/>
    <w:rsid w:val="00420941"/>
    <w:rsid w:val="00420955"/>
    <w:rsid w:val="0042098A"/>
    <w:rsid w:val="004209BF"/>
    <w:rsid w:val="004209D9"/>
    <w:rsid w:val="00420A5A"/>
    <w:rsid w:val="00420A6E"/>
    <w:rsid w:val="00420A97"/>
    <w:rsid w:val="00420AFB"/>
    <w:rsid w:val="00420BCC"/>
    <w:rsid w:val="00420BFE"/>
    <w:rsid w:val="00420C0F"/>
    <w:rsid w:val="00420C2A"/>
    <w:rsid w:val="00420C2E"/>
    <w:rsid w:val="00420C3E"/>
    <w:rsid w:val="00420C53"/>
    <w:rsid w:val="00420C60"/>
    <w:rsid w:val="00420CD3"/>
    <w:rsid w:val="00420D55"/>
    <w:rsid w:val="00420DBC"/>
    <w:rsid w:val="00420DD9"/>
    <w:rsid w:val="00420DEA"/>
    <w:rsid w:val="00420DFF"/>
    <w:rsid w:val="00420E05"/>
    <w:rsid w:val="00420E0D"/>
    <w:rsid w:val="00420E13"/>
    <w:rsid w:val="00420E3F"/>
    <w:rsid w:val="00420E71"/>
    <w:rsid w:val="00420EBB"/>
    <w:rsid w:val="00420ECF"/>
    <w:rsid w:val="00420F03"/>
    <w:rsid w:val="00420F4B"/>
    <w:rsid w:val="00420F7E"/>
    <w:rsid w:val="00420F81"/>
    <w:rsid w:val="0042108B"/>
    <w:rsid w:val="004210E2"/>
    <w:rsid w:val="004210EE"/>
    <w:rsid w:val="004211B6"/>
    <w:rsid w:val="004211BE"/>
    <w:rsid w:val="0042120B"/>
    <w:rsid w:val="00421226"/>
    <w:rsid w:val="0042122C"/>
    <w:rsid w:val="00421238"/>
    <w:rsid w:val="00421239"/>
    <w:rsid w:val="004212D5"/>
    <w:rsid w:val="004212DB"/>
    <w:rsid w:val="00421359"/>
    <w:rsid w:val="0042139B"/>
    <w:rsid w:val="004213C0"/>
    <w:rsid w:val="00421442"/>
    <w:rsid w:val="00421494"/>
    <w:rsid w:val="004214A1"/>
    <w:rsid w:val="004214CB"/>
    <w:rsid w:val="004214D7"/>
    <w:rsid w:val="0042159F"/>
    <w:rsid w:val="004215A1"/>
    <w:rsid w:val="004215F1"/>
    <w:rsid w:val="00421607"/>
    <w:rsid w:val="004216D1"/>
    <w:rsid w:val="004216E1"/>
    <w:rsid w:val="004216F4"/>
    <w:rsid w:val="00421797"/>
    <w:rsid w:val="004217A0"/>
    <w:rsid w:val="0042184F"/>
    <w:rsid w:val="0042185A"/>
    <w:rsid w:val="00421860"/>
    <w:rsid w:val="00421895"/>
    <w:rsid w:val="004219C4"/>
    <w:rsid w:val="004219C6"/>
    <w:rsid w:val="004219E1"/>
    <w:rsid w:val="00421A06"/>
    <w:rsid w:val="00421A36"/>
    <w:rsid w:val="00421A48"/>
    <w:rsid w:val="00421A4B"/>
    <w:rsid w:val="00421A5B"/>
    <w:rsid w:val="00421A71"/>
    <w:rsid w:val="00421B08"/>
    <w:rsid w:val="00421B14"/>
    <w:rsid w:val="00421B9F"/>
    <w:rsid w:val="00421BA2"/>
    <w:rsid w:val="00421BBE"/>
    <w:rsid w:val="00421C06"/>
    <w:rsid w:val="00421C44"/>
    <w:rsid w:val="00421C4D"/>
    <w:rsid w:val="00421CE7"/>
    <w:rsid w:val="00421D0E"/>
    <w:rsid w:val="00421D9F"/>
    <w:rsid w:val="00421DE2"/>
    <w:rsid w:val="00421E0B"/>
    <w:rsid w:val="00421EA2"/>
    <w:rsid w:val="00421ED7"/>
    <w:rsid w:val="00421F21"/>
    <w:rsid w:val="00421F5D"/>
    <w:rsid w:val="00421F7D"/>
    <w:rsid w:val="00421FA5"/>
    <w:rsid w:val="00421FFC"/>
    <w:rsid w:val="00422009"/>
    <w:rsid w:val="00422068"/>
    <w:rsid w:val="0042208F"/>
    <w:rsid w:val="004220B0"/>
    <w:rsid w:val="0042211D"/>
    <w:rsid w:val="00422148"/>
    <w:rsid w:val="0042216E"/>
    <w:rsid w:val="00422188"/>
    <w:rsid w:val="004221A8"/>
    <w:rsid w:val="004221C7"/>
    <w:rsid w:val="004221E2"/>
    <w:rsid w:val="00422276"/>
    <w:rsid w:val="00422302"/>
    <w:rsid w:val="0042231E"/>
    <w:rsid w:val="0042232B"/>
    <w:rsid w:val="00422350"/>
    <w:rsid w:val="004223B0"/>
    <w:rsid w:val="004223BF"/>
    <w:rsid w:val="004223F5"/>
    <w:rsid w:val="00422426"/>
    <w:rsid w:val="0042242D"/>
    <w:rsid w:val="00422448"/>
    <w:rsid w:val="004224C6"/>
    <w:rsid w:val="004224CF"/>
    <w:rsid w:val="004224D7"/>
    <w:rsid w:val="00422534"/>
    <w:rsid w:val="00422567"/>
    <w:rsid w:val="004225B8"/>
    <w:rsid w:val="004225F0"/>
    <w:rsid w:val="00422614"/>
    <w:rsid w:val="00422661"/>
    <w:rsid w:val="004226DD"/>
    <w:rsid w:val="00422723"/>
    <w:rsid w:val="00422724"/>
    <w:rsid w:val="0042277A"/>
    <w:rsid w:val="0042279E"/>
    <w:rsid w:val="00422805"/>
    <w:rsid w:val="0042280C"/>
    <w:rsid w:val="00422825"/>
    <w:rsid w:val="0042283C"/>
    <w:rsid w:val="0042285F"/>
    <w:rsid w:val="004228FD"/>
    <w:rsid w:val="004229AE"/>
    <w:rsid w:val="004229C7"/>
    <w:rsid w:val="004229DB"/>
    <w:rsid w:val="004229E6"/>
    <w:rsid w:val="004229F4"/>
    <w:rsid w:val="004229F8"/>
    <w:rsid w:val="00422A14"/>
    <w:rsid w:val="00422ADF"/>
    <w:rsid w:val="00422AF4"/>
    <w:rsid w:val="00422B04"/>
    <w:rsid w:val="00422B39"/>
    <w:rsid w:val="00422B45"/>
    <w:rsid w:val="00422B7B"/>
    <w:rsid w:val="00422BAF"/>
    <w:rsid w:val="00422CA3"/>
    <w:rsid w:val="00422CAD"/>
    <w:rsid w:val="00422CE2"/>
    <w:rsid w:val="00422CE5"/>
    <w:rsid w:val="00422D28"/>
    <w:rsid w:val="00422D5C"/>
    <w:rsid w:val="00422D7B"/>
    <w:rsid w:val="00422DBA"/>
    <w:rsid w:val="00422DE8"/>
    <w:rsid w:val="00422E0E"/>
    <w:rsid w:val="00422E1E"/>
    <w:rsid w:val="00422E9C"/>
    <w:rsid w:val="00422ECA"/>
    <w:rsid w:val="00422F00"/>
    <w:rsid w:val="00422F14"/>
    <w:rsid w:val="00422F99"/>
    <w:rsid w:val="00422FA4"/>
    <w:rsid w:val="00422FC6"/>
    <w:rsid w:val="00422FEF"/>
    <w:rsid w:val="0042304B"/>
    <w:rsid w:val="004230A3"/>
    <w:rsid w:val="00423146"/>
    <w:rsid w:val="00423149"/>
    <w:rsid w:val="00423159"/>
    <w:rsid w:val="00423198"/>
    <w:rsid w:val="004231BC"/>
    <w:rsid w:val="004231C7"/>
    <w:rsid w:val="00423205"/>
    <w:rsid w:val="0042320B"/>
    <w:rsid w:val="00423229"/>
    <w:rsid w:val="0042322C"/>
    <w:rsid w:val="0042322F"/>
    <w:rsid w:val="00423259"/>
    <w:rsid w:val="00423269"/>
    <w:rsid w:val="00423270"/>
    <w:rsid w:val="0042327F"/>
    <w:rsid w:val="00423280"/>
    <w:rsid w:val="004232B6"/>
    <w:rsid w:val="004232D2"/>
    <w:rsid w:val="00423310"/>
    <w:rsid w:val="00423318"/>
    <w:rsid w:val="00423328"/>
    <w:rsid w:val="00423390"/>
    <w:rsid w:val="004233E1"/>
    <w:rsid w:val="00423436"/>
    <w:rsid w:val="00423489"/>
    <w:rsid w:val="004234EF"/>
    <w:rsid w:val="00423555"/>
    <w:rsid w:val="0042358F"/>
    <w:rsid w:val="004235E6"/>
    <w:rsid w:val="00423646"/>
    <w:rsid w:val="0042364F"/>
    <w:rsid w:val="0042368D"/>
    <w:rsid w:val="0042372A"/>
    <w:rsid w:val="0042373D"/>
    <w:rsid w:val="00423745"/>
    <w:rsid w:val="004237C1"/>
    <w:rsid w:val="004237ED"/>
    <w:rsid w:val="004238AE"/>
    <w:rsid w:val="004238CF"/>
    <w:rsid w:val="004238D8"/>
    <w:rsid w:val="00423998"/>
    <w:rsid w:val="004239B0"/>
    <w:rsid w:val="004239D3"/>
    <w:rsid w:val="004239D6"/>
    <w:rsid w:val="004239DC"/>
    <w:rsid w:val="00423A1A"/>
    <w:rsid w:val="00423A1D"/>
    <w:rsid w:val="00423AB1"/>
    <w:rsid w:val="00423B6B"/>
    <w:rsid w:val="00423B7C"/>
    <w:rsid w:val="00423B95"/>
    <w:rsid w:val="00423B9B"/>
    <w:rsid w:val="00423CAA"/>
    <w:rsid w:val="00423CEB"/>
    <w:rsid w:val="00423D8D"/>
    <w:rsid w:val="00423DB5"/>
    <w:rsid w:val="00423DD8"/>
    <w:rsid w:val="00423DE0"/>
    <w:rsid w:val="00423DF8"/>
    <w:rsid w:val="00423F03"/>
    <w:rsid w:val="00423F07"/>
    <w:rsid w:val="00423F57"/>
    <w:rsid w:val="00423F63"/>
    <w:rsid w:val="00423FC2"/>
    <w:rsid w:val="00423FF9"/>
    <w:rsid w:val="004240B1"/>
    <w:rsid w:val="00424148"/>
    <w:rsid w:val="00424181"/>
    <w:rsid w:val="00424199"/>
    <w:rsid w:val="0042419A"/>
    <w:rsid w:val="004241A1"/>
    <w:rsid w:val="004241FA"/>
    <w:rsid w:val="00424204"/>
    <w:rsid w:val="0042426B"/>
    <w:rsid w:val="0042428D"/>
    <w:rsid w:val="004242B7"/>
    <w:rsid w:val="00424338"/>
    <w:rsid w:val="004243EA"/>
    <w:rsid w:val="004243EB"/>
    <w:rsid w:val="004243FE"/>
    <w:rsid w:val="00424439"/>
    <w:rsid w:val="00424532"/>
    <w:rsid w:val="00424566"/>
    <w:rsid w:val="00424594"/>
    <w:rsid w:val="00424597"/>
    <w:rsid w:val="00424614"/>
    <w:rsid w:val="0042465B"/>
    <w:rsid w:val="0042466B"/>
    <w:rsid w:val="004246A9"/>
    <w:rsid w:val="004246BC"/>
    <w:rsid w:val="004246D0"/>
    <w:rsid w:val="00424721"/>
    <w:rsid w:val="00424786"/>
    <w:rsid w:val="00424823"/>
    <w:rsid w:val="0042482A"/>
    <w:rsid w:val="00424835"/>
    <w:rsid w:val="004248BE"/>
    <w:rsid w:val="00424916"/>
    <w:rsid w:val="00424927"/>
    <w:rsid w:val="00424940"/>
    <w:rsid w:val="0042496B"/>
    <w:rsid w:val="004249B4"/>
    <w:rsid w:val="00424A00"/>
    <w:rsid w:val="00424A1A"/>
    <w:rsid w:val="00424A1C"/>
    <w:rsid w:val="00424A2E"/>
    <w:rsid w:val="00424A3B"/>
    <w:rsid w:val="00424A7D"/>
    <w:rsid w:val="00424B45"/>
    <w:rsid w:val="00424B7D"/>
    <w:rsid w:val="00424B8A"/>
    <w:rsid w:val="00424B9F"/>
    <w:rsid w:val="00424BB9"/>
    <w:rsid w:val="00424BDA"/>
    <w:rsid w:val="00424C3B"/>
    <w:rsid w:val="00424C4B"/>
    <w:rsid w:val="00424CB0"/>
    <w:rsid w:val="00424CCB"/>
    <w:rsid w:val="00424D23"/>
    <w:rsid w:val="00424D2D"/>
    <w:rsid w:val="00424D3A"/>
    <w:rsid w:val="00424D8E"/>
    <w:rsid w:val="00424DA2"/>
    <w:rsid w:val="00424DCD"/>
    <w:rsid w:val="00424DE9"/>
    <w:rsid w:val="00424E22"/>
    <w:rsid w:val="00424EB6"/>
    <w:rsid w:val="00424EFD"/>
    <w:rsid w:val="00424F44"/>
    <w:rsid w:val="00424F68"/>
    <w:rsid w:val="00424FDB"/>
    <w:rsid w:val="0042503C"/>
    <w:rsid w:val="0042504F"/>
    <w:rsid w:val="00425091"/>
    <w:rsid w:val="004250C4"/>
    <w:rsid w:val="004250D8"/>
    <w:rsid w:val="004250E4"/>
    <w:rsid w:val="00425120"/>
    <w:rsid w:val="0042517E"/>
    <w:rsid w:val="004251BF"/>
    <w:rsid w:val="004251D0"/>
    <w:rsid w:val="004251D5"/>
    <w:rsid w:val="004252FD"/>
    <w:rsid w:val="00425302"/>
    <w:rsid w:val="00425306"/>
    <w:rsid w:val="00425336"/>
    <w:rsid w:val="00425427"/>
    <w:rsid w:val="00425440"/>
    <w:rsid w:val="0042546D"/>
    <w:rsid w:val="00425477"/>
    <w:rsid w:val="00425486"/>
    <w:rsid w:val="00425519"/>
    <w:rsid w:val="00425524"/>
    <w:rsid w:val="00425539"/>
    <w:rsid w:val="0042554D"/>
    <w:rsid w:val="004255B7"/>
    <w:rsid w:val="00425630"/>
    <w:rsid w:val="00425631"/>
    <w:rsid w:val="0042566B"/>
    <w:rsid w:val="004256D1"/>
    <w:rsid w:val="004256D9"/>
    <w:rsid w:val="00425717"/>
    <w:rsid w:val="004257A4"/>
    <w:rsid w:val="004257E0"/>
    <w:rsid w:val="004257ED"/>
    <w:rsid w:val="00425815"/>
    <w:rsid w:val="00425829"/>
    <w:rsid w:val="00425831"/>
    <w:rsid w:val="004258B5"/>
    <w:rsid w:val="004258BE"/>
    <w:rsid w:val="004259D5"/>
    <w:rsid w:val="004259EA"/>
    <w:rsid w:val="00425A0E"/>
    <w:rsid w:val="00425A77"/>
    <w:rsid w:val="00425A7F"/>
    <w:rsid w:val="00425B22"/>
    <w:rsid w:val="00425B2E"/>
    <w:rsid w:val="00425B9D"/>
    <w:rsid w:val="00425BF0"/>
    <w:rsid w:val="00425C13"/>
    <w:rsid w:val="00425C1F"/>
    <w:rsid w:val="00425C59"/>
    <w:rsid w:val="00425C88"/>
    <w:rsid w:val="00425C9A"/>
    <w:rsid w:val="00425CF7"/>
    <w:rsid w:val="00425D5B"/>
    <w:rsid w:val="00425D67"/>
    <w:rsid w:val="00425E37"/>
    <w:rsid w:val="00425EA0"/>
    <w:rsid w:val="00425EBF"/>
    <w:rsid w:val="00425EC5"/>
    <w:rsid w:val="00425EC9"/>
    <w:rsid w:val="00425F1E"/>
    <w:rsid w:val="00425F42"/>
    <w:rsid w:val="00425FAD"/>
    <w:rsid w:val="00425FB0"/>
    <w:rsid w:val="00426027"/>
    <w:rsid w:val="004260CC"/>
    <w:rsid w:val="004260FB"/>
    <w:rsid w:val="00426180"/>
    <w:rsid w:val="00426245"/>
    <w:rsid w:val="0042624C"/>
    <w:rsid w:val="00426296"/>
    <w:rsid w:val="004262FE"/>
    <w:rsid w:val="0042634E"/>
    <w:rsid w:val="004263BD"/>
    <w:rsid w:val="004263D5"/>
    <w:rsid w:val="00426510"/>
    <w:rsid w:val="00426520"/>
    <w:rsid w:val="00426589"/>
    <w:rsid w:val="0042658F"/>
    <w:rsid w:val="0042659C"/>
    <w:rsid w:val="004265A7"/>
    <w:rsid w:val="00426649"/>
    <w:rsid w:val="00426664"/>
    <w:rsid w:val="0042667D"/>
    <w:rsid w:val="004266DD"/>
    <w:rsid w:val="004266DE"/>
    <w:rsid w:val="00426713"/>
    <w:rsid w:val="00426753"/>
    <w:rsid w:val="004267F1"/>
    <w:rsid w:val="00426823"/>
    <w:rsid w:val="0042684E"/>
    <w:rsid w:val="004268AC"/>
    <w:rsid w:val="00426954"/>
    <w:rsid w:val="00426A3F"/>
    <w:rsid w:val="00426A7B"/>
    <w:rsid w:val="00426AA6"/>
    <w:rsid w:val="00426AAE"/>
    <w:rsid w:val="00426AD4"/>
    <w:rsid w:val="00426B30"/>
    <w:rsid w:val="00426B36"/>
    <w:rsid w:val="00426B80"/>
    <w:rsid w:val="00426B93"/>
    <w:rsid w:val="00426B9D"/>
    <w:rsid w:val="00426BA8"/>
    <w:rsid w:val="00426BC6"/>
    <w:rsid w:val="00426BD9"/>
    <w:rsid w:val="00426C34"/>
    <w:rsid w:val="00426CB1"/>
    <w:rsid w:val="00426CDC"/>
    <w:rsid w:val="00426D0D"/>
    <w:rsid w:val="00426E14"/>
    <w:rsid w:val="00426E4D"/>
    <w:rsid w:val="00426E79"/>
    <w:rsid w:val="00426EAF"/>
    <w:rsid w:val="00426F4A"/>
    <w:rsid w:val="00426F97"/>
    <w:rsid w:val="00426FA3"/>
    <w:rsid w:val="00426FBC"/>
    <w:rsid w:val="00427006"/>
    <w:rsid w:val="00427011"/>
    <w:rsid w:val="0042704F"/>
    <w:rsid w:val="004270AE"/>
    <w:rsid w:val="004270C1"/>
    <w:rsid w:val="004270E5"/>
    <w:rsid w:val="004270F8"/>
    <w:rsid w:val="0042718F"/>
    <w:rsid w:val="00427192"/>
    <w:rsid w:val="004271B1"/>
    <w:rsid w:val="004271BE"/>
    <w:rsid w:val="00427232"/>
    <w:rsid w:val="00427259"/>
    <w:rsid w:val="004272BC"/>
    <w:rsid w:val="004272F0"/>
    <w:rsid w:val="00427314"/>
    <w:rsid w:val="0042731F"/>
    <w:rsid w:val="00427321"/>
    <w:rsid w:val="0042748C"/>
    <w:rsid w:val="00427498"/>
    <w:rsid w:val="00427512"/>
    <w:rsid w:val="0042758C"/>
    <w:rsid w:val="00427607"/>
    <w:rsid w:val="0042761F"/>
    <w:rsid w:val="0042764E"/>
    <w:rsid w:val="00427661"/>
    <w:rsid w:val="00427664"/>
    <w:rsid w:val="00427686"/>
    <w:rsid w:val="00427691"/>
    <w:rsid w:val="004276A4"/>
    <w:rsid w:val="0042770B"/>
    <w:rsid w:val="0042772E"/>
    <w:rsid w:val="00427777"/>
    <w:rsid w:val="004277E5"/>
    <w:rsid w:val="004277E6"/>
    <w:rsid w:val="004277FF"/>
    <w:rsid w:val="00427811"/>
    <w:rsid w:val="00427862"/>
    <w:rsid w:val="00427942"/>
    <w:rsid w:val="00427A26"/>
    <w:rsid w:val="00427A77"/>
    <w:rsid w:val="00427B0A"/>
    <w:rsid w:val="00427B36"/>
    <w:rsid w:val="00427B3A"/>
    <w:rsid w:val="00427B60"/>
    <w:rsid w:val="00427C38"/>
    <w:rsid w:val="00427C6A"/>
    <w:rsid w:val="00427CAD"/>
    <w:rsid w:val="00427CCD"/>
    <w:rsid w:val="00427D47"/>
    <w:rsid w:val="00427D61"/>
    <w:rsid w:val="00427D85"/>
    <w:rsid w:val="00427E03"/>
    <w:rsid w:val="00427E0D"/>
    <w:rsid w:val="00427E32"/>
    <w:rsid w:val="00427E48"/>
    <w:rsid w:val="00427E66"/>
    <w:rsid w:val="00427E9A"/>
    <w:rsid w:val="00427EEA"/>
    <w:rsid w:val="00427F2B"/>
    <w:rsid w:val="00427F35"/>
    <w:rsid w:val="00427F4C"/>
    <w:rsid w:val="00427F7E"/>
    <w:rsid w:val="00427FB6"/>
    <w:rsid w:val="0042C28A"/>
    <w:rsid w:val="00430078"/>
    <w:rsid w:val="004300EE"/>
    <w:rsid w:val="00430119"/>
    <w:rsid w:val="00430132"/>
    <w:rsid w:val="00430133"/>
    <w:rsid w:val="00430144"/>
    <w:rsid w:val="004301C6"/>
    <w:rsid w:val="004301C9"/>
    <w:rsid w:val="004301D4"/>
    <w:rsid w:val="00430219"/>
    <w:rsid w:val="00430220"/>
    <w:rsid w:val="0043024D"/>
    <w:rsid w:val="00430268"/>
    <w:rsid w:val="00430286"/>
    <w:rsid w:val="00430289"/>
    <w:rsid w:val="00430317"/>
    <w:rsid w:val="00430322"/>
    <w:rsid w:val="004303DC"/>
    <w:rsid w:val="0043042E"/>
    <w:rsid w:val="00430476"/>
    <w:rsid w:val="0043050C"/>
    <w:rsid w:val="0043051B"/>
    <w:rsid w:val="0043051C"/>
    <w:rsid w:val="00430521"/>
    <w:rsid w:val="0043054D"/>
    <w:rsid w:val="004305E1"/>
    <w:rsid w:val="00430612"/>
    <w:rsid w:val="0043066D"/>
    <w:rsid w:val="004306AB"/>
    <w:rsid w:val="004306DF"/>
    <w:rsid w:val="00430702"/>
    <w:rsid w:val="0043071B"/>
    <w:rsid w:val="0043072F"/>
    <w:rsid w:val="004307D1"/>
    <w:rsid w:val="004308BF"/>
    <w:rsid w:val="00430936"/>
    <w:rsid w:val="004309FA"/>
    <w:rsid w:val="00430A26"/>
    <w:rsid w:val="00430AD2"/>
    <w:rsid w:val="00430B29"/>
    <w:rsid w:val="00430B4E"/>
    <w:rsid w:val="00430B71"/>
    <w:rsid w:val="00430C92"/>
    <w:rsid w:val="00430C97"/>
    <w:rsid w:val="00430CE3"/>
    <w:rsid w:val="00430D1B"/>
    <w:rsid w:val="00430D5A"/>
    <w:rsid w:val="00430DB0"/>
    <w:rsid w:val="00430DEB"/>
    <w:rsid w:val="00430E25"/>
    <w:rsid w:val="00430E3B"/>
    <w:rsid w:val="00430E8C"/>
    <w:rsid w:val="00430EA8"/>
    <w:rsid w:val="00430F14"/>
    <w:rsid w:val="00430F3A"/>
    <w:rsid w:val="00430F48"/>
    <w:rsid w:val="00430F99"/>
    <w:rsid w:val="00430FE2"/>
    <w:rsid w:val="00431049"/>
    <w:rsid w:val="0043108F"/>
    <w:rsid w:val="004310B7"/>
    <w:rsid w:val="004310DD"/>
    <w:rsid w:val="0043113F"/>
    <w:rsid w:val="00431141"/>
    <w:rsid w:val="00431156"/>
    <w:rsid w:val="00431161"/>
    <w:rsid w:val="004311DE"/>
    <w:rsid w:val="004311E0"/>
    <w:rsid w:val="004311F0"/>
    <w:rsid w:val="004311F7"/>
    <w:rsid w:val="0043125F"/>
    <w:rsid w:val="0043129F"/>
    <w:rsid w:val="004312B0"/>
    <w:rsid w:val="004312B2"/>
    <w:rsid w:val="0043131A"/>
    <w:rsid w:val="0043136D"/>
    <w:rsid w:val="0043137F"/>
    <w:rsid w:val="004313A4"/>
    <w:rsid w:val="004313BA"/>
    <w:rsid w:val="0043143E"/>
    <w:rsid w:val="004314CE"/>
    <w:rsid w:val="004314F9"/>
    <w:rsid w:val="0043153D"/>
    <w:rsid w:val="00431604"/>
    <w:rsid w:val="00431642"/>
    <w:rsid w:val="0043167B"/>
    <w:rsid w:val="0043179C"/>
    <w:rsid w:val="004317E3"/>
    <w:rsid w:val="0043180F"/>
    <w:rsid w:val="00431878"/>
    <w:rsid w:val="00431911"/>
    <w:rsid w:val="00431929"/>
    <w:rsid w:val="00431A7A"/>
    <w:rsid w:val="00431A96"/>
    <w:rsid w:val="00431A9A"/>
    <w:rsid w:val="00431A9B"/>
    <w:rsid w:val="00431ADD"/>
    <w:rsid w:val="00431ADF"/>
    <w:rsid w:val="00431B8C"/>
    <w:rsid w:val="00431C22"/>
    <w:rsid w:val="00431C26"/>
    <w:rsid w:val="00431CAF"/>
    <w:rsid w:val="00431D34"/>
    <w:rsid w:val="00431D83"/>
    <w:rsid w:val="00431D97"/>
    <w:rsid w:val="00431DE3"/>
    <w:rsid w:val="00431E09"/>
    <w:rsid w:val="00431E3B"/>
    <w:rsid w:val="00431E45"/>
    <w:rsid w:val="00431E49"/>
    <w:rsid w:val="00431F26"/>
    <w:rsid w:val="00431F3D"/>
    <w:rsid w:val="00431F7F"/>
    <w:rsid w:val="00431FC9"/>
    <w:rsid w:val="00432015"/>
    <w:rsid w:val="00432033"/>
    <w:rsid w:val="004320B0"/>
    <w:rsid w:val="0043227B"/>
    <w:rsid w:val="00432330"/>
    <w:rsid w:val="00432348"/>
    <w:rsid w:val="00432361"/>
    <w:rsid w:val="004323D7"/>
    <w:rsid w:val="004323FB"/>
    <w:rsid w:val="00432405"/>
    <w:rsid w:val="00432406"/>
    <w:rsid w:val="00432424"/>
    <w:rsid w:val="004324A4"/>
    <w:rsid w:val="004324B8"/>
    <w:rsid w:val="004324C2"/>
    <w:rsid w:val="0043252F"/>
    <w:rsid w:val="004325A2"/>
    <w:rsid w:val="004325F6"/>
    <w:rsid w:val="0043260C"/>
    <w:rsid w:val="0043269D"/>
    <w:rsid w:val="004326A1"/>
    <w:rsid w:val="004326C9"/>
    <w:rsid w:val="00432717"/>
    <w:rsid w:val="00432726"/>
    <w:rsid w:val="0043272A"/>
    <w:rsid w:val="0043273B"/>
    <w:rsid w:val="00432757"/>
    <w:rsid w:val="00432794"/>
    <w:rsid w:val="004327A6"/>
    <w:rsid w:val="00432821"/>
    <w:rsid w:val="0043283C"/>
    <w:rsid w:val="004328B0"/>
    <w:rsid w:val="00432933"/>
    <w:rsid w:val="00432957"/>
    <w:rsid w:val="004329EE"/>
    <w:rsid w:val="00432AC5"/>
    <w:rsid w:val="00432B0C"/>
    <w:rsid w:val="00432B28"/>
    <w:rsid w:val="00432B2D"/>
    <w:rsid w:val="00432BAE"/>
    <w:rsid w:val="00432CD6"/>
    <w:rsid w:val="00432D2F"/>
    <w:rsid w:val="00432D41"/>
    <w:rsid w:val="00432D72"/>
    <w:rsid w:val="00432DA0"/>
    <w:rsid w:val="00432DA7"/>
    <w:rsid w:val="00432DC6"/>
    <w:rsid w:val="00432E7B"/>
    <w:rsid w:val="00432ED9"/>
    <w:rsid w:val="00432F1E"/>
    <w:rsid w:val="00432F4F"/>
    <w:rsid w:val="00433032"/>
    <w:rsid w:val="0043305C"/>
    <w:rsid w:val="004330C5"/>
    <w:rsid w:val="0043310B"/>
    <w:rsid w:val="00433158"/>
    <w:rsid w:val="0043319D"/>
    <w:rsid w:val="004331AE"/>
    <w:rsid w:val="004331C6"/>
    <w:rsid w:val="004331FA"/>
    <w:rsid w:val="00433207"/>
    <w:rsid w:val="0043320B"/>
    <w:rsid w:val="00433259"/>
    <w:rsid w:val="00433260"/>
    <w:rsid w:val="00433262"/>
    <w:rsid w:val="0043326D"/>
    <w:rsid w:val="004332CE"/>
    <w:rsid w:val="004332D4"/>
    <w:rsid w:val="00433345"/>
    <w:rsid w:val="004333EB"/>
    <w:rsid w:val="00433433"/>
    <w:rsid w:val="0043343C"/>
    <w:rsid w:val="00433457"/>
    <w:rsid w:val="004334C2"/>
    <w:rsid w:val="004334D3"/>
    <w:rsid w:val="004334EB"/>
    <w:rsid w:val="004334F8"/>
    <w:rsid w:val="00433504"/>
    <w:rsid w:val="00433523"/>
    <w:rsid w:val="00433550"/>
    <w:rsid w:val="0043355E"/>
    <w:rsid w:val="004335A1"/>
    <w:rsid w:val="004335B4"/>
    <w:rsid w:val="004335FF"/>
    <w:rsid w:val="00433631"/>
    <w:rsid w:val="0043363E"/>
    <w:rsid w:val="00433660"/>
    <w:rsid w:val="00433691"/>
    <w:rsid w:val="00433750"/>
    <w:rsid w:val="004337D4"/>
    <w:rsid w:val="004337DF"/>
    <w:rsid w:val="004337EC"/>
    <w:rsid w:val="0043388C"/>
    <w:rsid w:val="0043395F"/>
    <w:rsid w:val="004339A1"/>
    <w:rsid w:val="004339AD"/>
    <w:rsid w:val="004339E9"/>
    <w:rsid w:val="004339F6"/>
    <w:rsid w:val="00433A47"/>
    <w:rsid w:val="00433A60"/>
    <w:rsid w:val="00433A67"/>
    <w:rsid w:val="00433AEE"/>
    <w:rsid w:val="00433B6F"/>
    <w:rsid w:val="00433B76"/>
    <w:rsid w:val="00433B7F"/>
    <w:rsid w:val="00433BCB"/>
    <w:rsid w:val="00433C02"/>
    <w:rsid w:val="00433C7A"/>
    <w:rsid w:val="00433CC0"/>
    <w:rsid w:val="00433D08"/>
    <w:rsid w:val="00433D0B"/>
    <w:rsid w:val="00433D16"/>
    <w:rsid w:val="00433D8C"/>
    <w:rsid w:val="00433DBC"/>
    <w:rsid w:val="00433DBD"/>
    <w:rsid w:val="00433DC4"/>
    <w:rsid w:val="00433DD0"/>
    <w:rsid w:val="00433E66"/>
    <w:rsid w:val="00433E6A"/>
    <w:rsid w:val="00433E82"/>
    <w:rsid w:val="00433EA1"/>
    <w:rsid w:val="00433EAB"/>
    <w:rsid w:val="00433EB6"/>
    <w:rsid w:val="00433EC7"/>
    <w:rsid w:val="00433EE7"/>
    <w:rsid w:val="00433F20"/>
    <w:rsid w:val="00433F51"/>
    <w:rsid w:val="00433FC1"/>
    <w:rsid w:val="00433FF2"/>
    <w:rsid w:val="0043400A"/>
    <w:rsid w:val="0043401C"/>
    <w:rsid w:val="0043402C"/>
    <w:rsid w:val="00434052"/>
    <w:rsid w:val="00434079"/>
    <w:rsid w:val="00434095"/>
    <w:rsid w:val="0043413D"/>
    <w:rsid w:val="004341D1"/>
    <w:rsid w:val="004341F4"/>
    <w:rsid w:val="0043420F"/>
    <w:rsid w:val="0043424D"/>
    <w:rsid w:val="0043428F"/>
    <w:rsid w:val="00434300"/>
    <w:rsid w:val="00434336"/>
    <w:rsid w:val="0043433B"/>
    <w:rsid w:val="00434347"/>
    <w:rsid w:val="0043437D"/>
    <w:rsid w:val="00434386"/>
    <w:rsid w:val="004343E3"/>
    <w:rsid w:val="00434417"/>
    <w:rsid w:val="004344A0"/>
    <w:rsid w:val="004344C2"/>
    <w:rsid w:val="0043450A"/>
    <w:rsid w:val="0043450B"/>
    <w:rsid w:val="0043456F"/>
    <w:rsid w:val="00434586"/>
    <w:rsid w:val="0043459D"/>
    <w:rsid w:val="004345E4"/>
    <w:rsid w:val="004346CB"/>
    <w:rsid w:val="004347D0"/>
    <w:rsid w:val="004347D9"/>
    <w:rsid w:val="0043483E"/>
    <w:rsid w:val="00434846"/>
    <w:rsid w:val="0043489E"/>
    <w:rsid w:val="004348E4"/>
    <w:rsid w:val="00434903"/>
    <w:rsid w:val="00434927"/>
    <w:rsid w:val="0043494A"/>
    <w:rsid w:val="004349DF"/>
    <w:rsid w:val="00434A85"/>
    <w:rsid w:val="00434AC6"/>
    <w:rsid w:val="00434AEA"/>
    <w:rsid w:val="00434B09"/>
    <w:rsid w:val="00434B14"/>
    <w:rsid w:val="00434BC3"/>
    <w:rsid w:val="00434BD7"/>
    <w:rsid w:val="00434C2F"/>
    <w:rsid w:val="00434C72"/>
    <w:rsid w:val="00434C80"/>
    <w:rsid w:val="00434C9D"/>
    <w:rsid w:val="00434CBE"/>
    <w:rsid w:val="00434CC1"/>
    <w:rsid w:val="00434D05"/>
    <w:rsid w:val="00434D07"/>
    <w:rsid w:val="00434DA3"/>
    <w:rsid w:val="00434DD6"/>
    <w:rsid w:val="00434DE6"/>
    <w:rsid w:val="00434E0F"/>
    <w:rsid w:val="00434EB0"/>
    <w:rsid w:val="00434F43"/>
    <w:rsid w:val="00434F55"/>
    <w:rsid w:val="00434F5B"/>
    <w:rsid w:val="00434FD5"/>
    <w:rsid w:val="0043508C"/>
    <w:rsid w:val="0043509B"/>
    <w:rsid w:val="004350A5"/>
    <w:rsid w:val="0043513F"/>
    <w:rsid w:val="00435172"/>
    <w:rsid w:val="00435176"/>
    <w:rsid w:val="00435191"/>
    <w:rsid w:val="004351F7"/>
    <w:rsid w:val="004351FE"/>
    <w:rsid w:val="0043527B"/>
    <w:rsid w:val="00435293"/>
    <w:rsid w:val="004352A8"/>
    <w:rsid w:val="004352F2"/>
    <w:rsid w:val="00435334"/>
    <w:rsid w:val="0043534B"/>
    <w:rsid w:val="004353B6"/>
    <w:rsid w:val="00435417"/>
    <w:rsid w:val="0043543B"/>
    <w:rsid w:val="0043547D"/>
    <w:rsid w:val="004354C2"/>
    <w:rsid w:val="004354F5"/>
    <w:rsid w:val="0043555B"/>
    <w:rsid w:val="00435566"/>
    <w:rsid w:val="0043558B"/>
    <w:rsid w:val="00435599"/>
    <w:rsid w:val="004355CC"/>
    <w:rsid w:val="0043560F"/>
    <w:rsid w:val="00435627"/>
    <w:rsid w:val="00435678"/>
    <w:rsid w:val="00435753"/>
    <w:rsid w:val="0043579F"/>
    <w:rsid w:val="004357AD"/>
    <w:rsid w:val="004357FE"/>
    <w:rsid w:val="00435810"/>
    <w:rsid w:val="00435829"/>
    <w:rsid w:val="00435852"/>
    <w:rsid w:val="00435888"/>
    <w:rsid w:val="0043589C"/>
    <w:rsid w:val="004358F6"/>
    <w:rsid w:val="00435912"/>
    <w:rsid w:val="00435975"/>
    <w:rsid w:val="004359AC"/>
    <w:rsid w:val="004359ED"/>
    <w:rsid w:val="00435A08"/>
    <w:rsid w:val="00435A0A"/>
    <w:rsid w:val="00435A10"/>
    <w:rsid w:val="00435A6E"/>
    <w:rsid w:val="00435AB6"/>
    <w:rsid w:val="00435AEF"/>
    <w:rsid w:val="00435AFA"/>
    <w:rsid w:val="00435B3D"/>
    <w:rsid w:val="00435B3F"/>
    <w:rsid w:val="00435C17"/>
    <w:rsid w:val="00435C34"/>
    <w:rsid w:val="00435CC1"/>
    <w:rsid w:val="00435CCF"/>
    <w:rsid w:val="00435CEC"/>
    <w:rsid w:val="00435D02"/>
    <w:rsid w:val="00435D05"/>
    <w:rsid w:val="00435D20"/>
    <w:rsid w:val="00435D75"/>
    <w:rsid w:val="00435DC3"/>
    <w:rsid w:val="00435E29"/>
    <w:rsid w:val="00435E69"/>
    <w:rsid w:val="00435E94"/>
    <w:rsid w:val="00435E96"/>
    <w:rsid w:val="00435EB5"/>
    <w:rsid w:val="00435ECD"/>
    <w:rsid w:val="00435EE5"/>
    <w:rsid w:val="00435EE9"/>
    <w:rsid w:val="00435EFF"/>
    <w:rsid w:val="00435F77"/>
    <w:rsid w:val="0043602E"/>
    <w:rsid w:val="00436053"/>
    <w:rsid w:val="00436054"/>
    <w:rsid w:val="00436069"/>
    <w:rsid w:val="00436074"/>
    <w:rsid w:val="00436098"/>
    <w:rsid w:val="004360EC"/>
    <w:rsid w:val="00436143"/>
    <w:rsid w:val="00436203"/>
    <w:rsid w:val="0043621F"/>
    <w:rsid w:val="0043624A"/>
    <w:rsid w:val="004362AC"/>
    <w:rsid w:val="004362B6"/>
    <w:rsid w:val="00436315"/>
    <w:rsid w:val="00436367"/>
    <w:rsid w:val="0043647D"/>
    <w:rsid w:val="004364FC"/>
    <w:rsid w:val="0043650E"/>
    <w:rsid w:val="00436542"/>
    <w:rsid w:val="0043656D"/>
    <w:rsid w:val="00436584"/>
    <w:rsid w:val="004365E1"/>
    <w:rsid w:val="004365F9"/>
    <w:rsid w:val="00436613"/>
    <w:rsid w:val="0043664C"/>
    <w:rsid w:val="0043669A"/>
    <w:rsid w:val="004366FE"/>
    <w:rsid w:val="00436768"/>
    <w:rsid w:val="004367F9"/>
    <w:rsid w:val="00436837"/>
    <w:rsid w:val="0043687A"/>
    <w:rsid w:val="004368D4"/>
    <w:rsid w:val="00436927"/>
    <w:rsid w:val="00436928"/>
    <w:rsid w:val="0043693B"/>
    <w:rsid w:val="004369A2"/>
    <w:rsid w:val="00436A1F"/>
    <w:rsid w:val="00436AA3"/>
    <w:rsid w:val="00436B2A"/>
    <w:rsid w:val="00436B4A"/>
    <w:rsid w:val="00436B63"/>
    <w:rsid w:val="00436B90"/>
    <w:rsid w:val="00436BA3"/>
    <w:rsid w:val="00436BAB"/>
    <w:rsid w:val="00436C14"/>
    <w:rsid w:val="00436C3F"/>
    <w:rsid w:val="00436C54"/>
    <w:rsid w:val="00436CC4"/>
    <w:rsid w:val="00436CCD"/>
    <w:rsid w:val="00436D20"/>
    <w:rsid w:val="00436D29"/>
    <w:rsid w:val="00436DE4"/>
    <w:rsid w:val="00436DE5"/>
    <w:rsid w:val="00436E06"/>
    <w:rsid w:val="00436E6E"/>
    <w:rsid w:val="00436EF5"/>
    <w:rsid w:val="00436F9A"/>
    <w:rsid w:val="00437004"/>
    <w:rsid w:val="00437041"/>
    <w:rsid w:val="00437061"/>
    <w:rsid w:val="00437072"/>
    <w:rsid w:val="00437119"/>
    <w:rsid w:val="0043716C"/>
    <w:rsid w:val="004371D0"/>
    <w:rsid w:val="004371FC"/>
    <w:rsid w:val="00437234"/>
    <w:rsid w:val="0043723D"/>
    <w:rsid w:val="00437255"/>
    <w:rsid w:val="0043728E"/>
    <w:rsid w:val="004372B9"/>
    <w:rsid w:val="00437340"/>
    <w:rsid w:val="0043734F"/>
    <w:rsid w:val="00437378"/>
    <w:rsid w:val="00437385"/>
    <w:rsid w:val="004373BC"/>
    <w:rsid w:val="004373F3"/>
    <w:rsid w:val="00437439"/>
    <w:rsid w:val="00437451"/>
    <w:rsid w:val="00437490"/>
    <w:rsid w:val="004374D7"/>
    <w:rsid w:val="004374F3"/>
    <w:rsid w:val="004374FB"/>
    <w:rsid w:val="00437530"/>
    <w:rsid w:val="00437546"/>
    <w:rsid w:val="00437556"/>
    <w:rsid w:val="0043759F"/>
    <w:rsid w:val="004375B6"/>
    <w:rsid w:val="004376A2"/>
    <w:rsid w:val="004376AE"/>
    <w:rsid w:val="004376CF"/>
    <w:rsid w:val="00437722"/>
    <w:rsid w:val="0043774F"/>
    <w:rsid w:val="00437771"/>
    <w:rsid w:val="004377A0"/>
    <w:rsid w:val="004377CD"/>
    <w:rsid w:val="004377D2"/>
    <w:rsid w:val="0043783C"/>
    <w:rsid w:val="00437849"/>
    <w:rsid w:val="00437870"/>
    <w:rsid w:val="004378B9"/>
    <w:rsid w:val="004378D8"/>
    <w:rsid w:val="004378FD"/>
    <w:rsid w:val="00437985"/>
    <w:rsid w:val="0043799D"/>
    <w:rsid w:val="00437A6F"/>
    <w:rsid w:val="00437A76"/>
    <w:rsid w:val="00437B2B"/>
    <w:rsid w:val="00437B3A"/>
    <w:rsid w:val="00437B43"/>
    <w:rsid w:val="00437B7B"/>
    <w:rsid w:val="00437B95"/>
    <w:rsid w:val="00437BA6"/>
    <w:rsid w:val="00437BED"/>
    <w:rsid w:val="00437C1A"/>
    <w:rsid w:val="00437C4F"/>
    <w:rsid w:val="00437C86"/>
    <w:rsid w:val="00437CC3"/>
    <w:rsid w:val="00437CE7"/>
    <w:rsid w:val="00437CFF"/>
    <w:rsid w:val="00437D54"/>
    <w:rsid w:val="00437D56"/>
    <w:rsid w:val="00437D66"/>
    <w:rsid w:val="00437DCE"/>
    <w:rsid w:val="00437DE4"/>
    <w:rsid w:val="00437DEE"/>
    <w:rsid w:val="00437E15"/>
    <w:rsid w:val="00437E63"/>
    <w:rsid w:val="00437F0F"/>
    <w:rsid w:val="00437F14"/>
    <w:rsid w:val="00437F42"/>
    <w:rsid w:val="004400B8"/>
    <w:rsid w:val="004400CE"/>
    <w:rsid w:val="0044011B"/>
    <w:rsid w:val="00440147"/>
    <w:rsid w:val="00440157"/>
    <w:rsid w:val="0044019F"/>
    <w:rsid w:val="004401AD"/>
    <w:rsid w:val="004401AE"/>
    <w:rsid w:val="004401E6"/>
    <w:rsid w:val="00440270"/>
    <w:rsid w:val="00440271"/>
    <w:rsid w:val="00440277"/>
    <w:rsid w:val="0044028C"/>
    <w:rsid w:val="004402A6"/>
    <w:rsid w:val="004402B4"/>
    <w:rsid w:val="004402B7"/>
    <w:rsid w:val="004402BC"/>
    <w:rsid w:val="004402D9"/>
    <w:rsid w:val="004402F9"/>
    <w:rsid w:val="00440302"/>
    <w:rsid w:val="00440324"/>
    <w:rsid w:val="004403B5"/>
    <w:rsid w:val="00440425"/>
    <w:rsid w:val="004404D9"/>
    <w:rsid w:val="00440533"/>
    <w:rsid w:val="0044053A"/>
    <w:rsid w:val="00440597"/>
    <w:rsid w:val="004405C8"/>
    <w:rsid w:val="00440622"/>
    <w:rsid w:val="004406A1"/>
    <w:rsid w:val="0044074C"/>
    <w:rsid w:val="0044075B"/>
    <w:rsid w:val="0044077D"/>
    <w:rsid w:val="004407AC"/>
    <w:rsid w:val="00440808"/>
    <w:rsid w:val="00440826"/>
    <w:rsid w:val="00440851"/>
    <w:rsid w:val="0044085C"/>
    <w:rsid w:val="0044086C"/>
    <w:rsid w:val="00440896"/>
    <w:rsid w:val="004408DC"/>
    <w:rsid w:val="004408E8"/>
    <w:rsid w:val="004409A8"/>
    <w:rsid w:val="004409E4"/>
    <w:rsid w:val="00440A85"/>
    <w:rsid w:val="00440AB1"/>
    <w:rsid w:val="00440B31"/>
    <w:rsid w:val="00440B46"/>
    <w:rsid w:val="00440BDF"/>
    <w:rsid w:val="00440BF5"/>
    <w:rsid w:val="00440C01"/>
    <w:rsid w:val="00440C05"/>
    <w:rsid w:val="00440C87"/>
    <w:rsid w:val="00440CA3"/>
    <w:rsid w:val="00440D45"/>
    <w:rsid w:val="00440D76"/>
    <w:rsid w:val="00440D82"/>
    <w:rsid w:val="00440DDF"/>
    <w:rsid w:val="00440E19"/>
    <w:rsid w:val="00440E48"/>
    <w:rsid w:val="00440E4C"/>
    <w:rsid w:val="00440E8D"/>
    <w:rsid w:val="00440EB9"/>
    <w:rsid w:val="00440EF1"/>
    <w:rsid w:val="00440F03"/>
    <w:rsid w:val="00440FB8"/>
    <w:rsid w:val="00440FF1"/>
    <w:rsid w:val="00440FF3"/>
    <w:rsid w:val="00441024"/>
    <w:rsid w:val="0044106E"/>
    <w:rsid w:val="0044106F"/>
    <w:rsid w:val="00441194"/>
    <w:rsid w:val="004411E3"/>
    <w:rsid w:val="004411EF"/>
    <w:rsid w:val="00441210"/>
    <w:rsid w:val="00441257"/>
    <w:rsid w:val="00441258"/>
    <w:rsid w:val="00441292"/>
    <w:rsid w:val="004412A7"/>
    <w:rsid w:val="004412C3"/>
    <w:rsid w:val="004412C8"/>
    <w:rsid w:val="004412F8"/>
    <w:rsid w:val="00441305"/>
    <w:rsid w:val="00441316"/>
    <w:rsid w:val="00441317"/>
    <w:rsid w:val="0044134A"/>
    <w:rsid w:val="0044138E"/>
    <w:rsid w:val="004413CD"/>
    <w:rsid w:val="004413E5"/>
    <w:rsid w:val="004413E6"/>
    <w:rsid w:val="00441461"/>
    <w:rsid w:val="00441545"/>
    <w:rsid w:val="00441553"/>
    <w:rsid w:val="0044156F"/>
    <w:rsid w:val="004415CE"/>
    <w:rsid w:val="004415EF"/>
    <w:rsid w:val="0044160A"/>
    <w:rsid w:val="0044162E"/>
    <w:rsid w:val="00441668"/>
    <w:rsid w:val="00441699"/>
    <w:rsid w:val="0044170A"/>
    <w:rsid w:val="0044173C"/>
    <w:rsid w:val="00441745"/>
    <w:rsid w:val="00441753"/>
    <w:rsid w:val="00441799"/>
    <w:rsid w:val="004417BE"/>
    <w:rsid w:val="004417DA"/>
    <w:rsid w:val="0044181D"/>
    <w:rsid w:val="0044187F"/>
    <w:rsid w:val="004418D1"/>
    <w:rsid w:val="00441911"/>
    <w:rsid w:val="00441961"/>
    <w:rsid w:val="004419C4"/>
    <w:rsid w:val="004419CD"/>
    <w:rsid w:val="004419DD"/>
    <w:rsid w:val="004419F3"/>
    <w:rsid w:val="00441A49"/>
    <w:rsid w:val="00441A4A"/>
    <w:rsid w:val="00441A8D"/>
    <w:rsid w:val="00441AAA"/>
    <w:rsid w:val="00441B04"/>
    <w:rsid w:val="00441B12"/>
    <w:rsid w:val="00441B18"/>
    <w:rsid w:val="00441B3E"/>
    <w:rsid w:val="00441BA3"/>
    <w:rsid w:val="00441BA5"/>
    <w:rsid w:val="00441BB5"/>
    <w:rsid w:val="00441C70"/>
    <w:rsid w:val="00441CD1"/>
    <w:rsid w:val="00441CDE"/>
    <w:rsid w:val="00441CF0"/>
    <w:rsid w:val="00441D09"/>
    <w:rsid w:val="00441D26"/>
    <w:rsid w:val="00441D2C"/>
    <w:rsid w:val="00441D44"/>
    <w:rsid w:val="00441D59"/>
    <w:rsid w:val="00441D6A"/>
    <w:rsid w:val="00441D8F"/>
    <w:rsid w:val="00441DA1"/>
    <w:rsid w:val="00441DAC"/>
    <w:rsid w:val="00441DBB"/>
    <w:rsid w:val="00441DC0"/>
    <w:rsid w:val="00441DDA"/>
    <w:rsid w:val="00441DE3"/>
    <w:rsid w:val="00441E1C"/>
    <w:rsid w:val="00441E5B"/>
    <w:rsid w:val="00441E7B"/>
    <w:rsid w:val="00441ECE"/>
    <w:rsid w:val="00441F67"/>
    <w:rsid w:val="00441F92"/>
    <w:rsid w:val="00441FBE"/>
    <w:rsid w:val="00441FFE"/>
    <w:rsid w:val="00442008"/>
    <w:rsid w:val="00442010"/>
    <w:rsid w:val="004420B1"/>
    <w:rsid w:val="004420F0"/>
    <w:rsid w:val="00442149"/>
    <w:rsid w:val="0044214F"/>
    <w:rsid w:val="00442166"/>
    <w:rsid w:val="0044223B"/>
    <w:rsid w:val="00442254"/>
    <w:rsid w:val="004422C2"/>
    <w:rsid w:val="004422E0"/>
    <w:rsid w:val="004422E3"/>
    <w:rsid w:val="004422F3"/>
    <w:rsid w:val="00442325"/>
    <w:rsid w:val="00442350"/>
    <w:rsid w:val="00442356"/>
    <w:rsid w:val="004423CF"/>
    <w:rsid w:val="00442429"/>
    <w:rsid w:val="00442443"/>
    <w:rsid w:val="004424AA"/>
    <w:rsid w:val="00442524"/>
    <w:rsid w:val="00442565"/>
    <w:rsid w:val="00442593"/>
    <w:rsid w:val="004425C9"/>
    <w:rsid w:val="004425CD"/>
    <w:rsid w:val="00442612"/>
    <w:rsid w:val="0044261C"/>
    <w:rsid w:val="0044262B"/>
    <w:rsid w:val="00442637"/>
    <w:rsid w:val="0044263C"/>
    <w:rsid w:val="00442654"/>
    <w:rsid w:val="004426AD"/>
    <w:rsid w:val="004426D1"/>
    <w:rsid w:val="004426FB"/>
    <w:rsid w:val="004426FC"/>
    <w:rsid w:val="00442717"/>
    <w:rsid w:val="00442736"/>
    <w:rsid w:val="00442746"/>
    <w:rsid w:val="00442749"/>
    <w:rsid w:val="0044277B"/>
    <w:rsid w:val="00442794"/>
    <w:rsid w:val="004427B9"/>
    <w:rsid w:val="004427CB"/>
    <w:rsid w:val="004427ED"/>
    <w:rsid w:val="00442805"/>
    <w:rsid w:val="00442856"/>
    <w:rsid w:val="004428A3"/>
    <w:rsid w:val="004428B8"/>
    <w:rsid w:val="004428CA"/>
    <w:rsid w:val="004428D3"/>
    <w:rsid w:val="004428EE"/>
    <w:rsid w:val="00442994"/>
    <w:rsid w:val="004429B5"/>
    <w:rsid w:val="004429C1"/>
    <w:rsid w:val="004429D6"/>
    <w:rsid w:val="00442A23"/>
    <w:rsid w:val="00442A45"/>
    <w:rsid w:val="00442ADB"/>
    <w:rsid w:val="00442AE6"/>
    <w:rsid w:val="00442B89"/>
    <w:rsid w:val="00442BAA"/>
    <w:rsid w:val="00442BC3"/>
    <w:rsid w:val="00442BD6"/>
    <w:rsid w:val="00442C27"/>
    <w:rsid w:val="00442C64"/>
    <w:rsid w:val="00442C8B"/>
    <w:rsid w:val="00442CFA"/>
    <w:rsid w:val="00442D1A"/>
    <w:rsid w:val="00442D39"/>
    <w:rsid w:val="00442DA8"/>
    <w:rsid w:val="00442DF2"/>
    <w:rsid w:val="00442E10"/>
    <w:rsid w:val="00442E2E"/>
    <w:rsid w:val="00442E67"/>
    <w:rsid w:val="00442E9E"/>
    <w:rsid w:val="00442EE2"/>
    <w:rsid w:val="00442EEA"/>
    <w:rsid w:val="00442F0B"/>
    <w:rsid w:val="00442F0E"/>
    <w:rsid w:val="00442F2F"/>
    <w:rsid w:val="00442F96"/>
    <w:rsid w:val="00442FCC"/>
    <w:rsid w:val="00442FD3"/>
    <w:rsid w:val="00442FE9"/>
    <w:rsid w:val="00443004"/>
    <w:rsid w:val="00443007"/>
    <w:rsid w:val="00443025"/>
    <w:rsid w:val="004430C0"/>
    <w:rsid w:val="004430F2"/>
    <w:rsid w:val="004430F3"/>
    <w:rsid w:val="00443104"/>
    <w:rsid w:val="00443174"/>
    <w:rsid w:val="004431AB"/>
    <w:rsid w:val="004431F2"/>
    <w:rsid w:val="00443218"/>
    <w:rsid w:val="0044322B"/>
    <w:rsid w:val="00443270"/>
    <w:rsid w:val="00443290"/>
    <w:rsid w:val="00443322"/>
    <w:rsid w:val="00443356"/>
    <w:rsid w:val="004433A9"/>
    <w:rsid w:val="004433C3"/>
    <w:rsid w:val="004434E3"/>
    <w:rsid w:val="00443561"/>
    <w:rsid w:val="00443590"/>
    <w:rsid w:val="00443594"/>
    <w:rsid w:val="00443610"/>
    <w:rsid w:val="00443646"/>
    <w:rsid w:val="00443693"/>
    <w:rsid w:val="004436A8"/>
    <w:rsid w:val="004436AD"/>
    <w:rsid w:val="0044374B"/>
    <w:rsid w:val="0044374D"/>
    <w:rsid w:val="0044377B"/>
    <w:rsid w:val="004437D9"/>
    <w:rsid w:val="00443816"/>
    <w:rsid w:val="0044388C"/>
    <w:rsid w:val="00443896"/>
    <w:rsid w:val="0044393B"/>
    <w:rsid w:val="00443959"/>
    <w:rsid w:val="00443976"/>
    <w:rsid w:val="00443990"/>
    <w:rsid w:val="00443A06"/>
    <w:rsid w:val="00443A58"/>
    <w:rsid w:val="00443AC7"/>
    <w:rsid w:val="00443AF9"/>
    <w:rsid w:val="00443B24"/>
    <w:rsid w:val="00443B59"/>
    <w:rsid w:val="00443BAB"/>
    <w:rsid w:val="00443C1D"/>
    <w:rsid w:val="00443C42"/>
    <w:rsid w:val="00443C97"/>
    <w:rsid w:val="00443CAE"/>
    <w:rsid w:val="00443CDE"/>
    <w:rsid w:val="00443CE4"/>
    <w:rsid w:val="00443D53"/>
    <w:rsid w:val="00443D6A"/>
    <w:rsid w:val="00443D7D"/>
    <w:rsid w:val="00443DBF"/>
    <w:rsid w:val="00443DE0"/>
    <w:rsid w:val="00443E7A"/>
    <w:rsid w:val="00443EA8"/>
    <w:rsid w:val="00443ECD"/>
    <w:rsid w:val="00443F1C"/>
    <w:rsid w:val="00443F73"/>
    <w:rsid w:val="00443FAA"/>
    <w:rsid w:val="00443FAE"/>
    <w:rsid w:val="00443FBF"/>
    <w:rsid w:val="00443FD7"/>
    <w:rsid w:val="00443FE8"/>
    <w:rsid w:val="00444008"/>
    <w:rsid w:val="0044401F"/>
    <w:rsid w:val="004440A5"/>
    <w:rsid w:val="004440BE"/>
    <w:rsid w:val="004440C1"/>
    <w:rsid w:val="004440F6"/>
    <w:rsid w:val="0044415B"/>
    <w:rsid w:val="00444170"/>
    <w:rsid w:val="004441A3"/>
    <w:rsid w:val="0044422C"/>
    <w:rsid w:val="0044423D"/>
    <w:rsid w:val="00444270"/>
    <w:rsid w:val="00444286"/>
    <w:rsid w:val="00444289"/>
    <w:rsid w:val="0044428E"/>
    <w:rsid w:val="00444295"/>
    <w:rsid w:val="004442ED"/>
    <w:rsid w:val="00444348"/>
    <w:rsid w:val="004443C0"/>
    <w:rsid w:val="0044445E"/>
    <w:rsid w:val="00444463"/>
    <w:rsid w:val="00444474"/>
    <w:rsid w:val="0044448B"/>
    <w:rsid w:val="004444E2"/>
    <w:rsid w:val="00444509"/>
    <w:rsid w:val="0044450A"/>
    <w:rsid w:val="004445CD"/>
    <w:rsid w:val="004445E2"/>
    <w:rsid w:val="004445EC"/>
    <w:rsid w:val="0044460C"/>
    <w:rsid w:val="00444631"/>
    <w:rsid w:val="0044465F"/>
    <w:rsid w:val="00444661"/>
    <w:rsid w:val="00444675"/>
    <w:rsid w:val="00444678"/>
    <w:rsid w:val="0044468E"/>
    <w:rsid w:val="004446AA"/>
    <w:rsid w:val="0044472C"/>
    <w:rsid w:val="0044476D"/>
    <w:rsid w:val="00444771"/>
    <w:rsid w:val="004447AF"/>
    <w:rsid w:val="004447B0"/>
    <w:rsid w:val="00444845"/>
    <w:rsid w:val="00444869"/>
    <w:rsid w:val="004448CF"/>
    <w:rsid w:val="004448D8"/>
    <w:rsid w:val="004448FF"/>
    <w:rsid w:val="0044493B"/>
    <w:rsid w:val="004449A3"/>
    <w:rsid w:val="00444A57"/>
    <w:rsid w:val="00444A96"/>
    <w:rsid w:val="00444ACF"/>
    <w:rsid w:val="00444AEB"/>
    <w:rsid w:val="00444AFF"/>
    <w:rsid w:val="00444B28"/>
    <w:rsid w:val="00444B34"/>
    <w:rsid w:val="00444B59"/>
    <w:rsid w:val="00444B6E"/>
    <w:rsid w:val="00444B9A"/>
    <w:rsid w:val="00444C05"/>
    <w:rsid w:val="00444C07"/>
    <w:rsid w:val="00444C1B"/>
    <w:rsid w:val="00444C24"/>
    <w:rsid w:val="00444C73"/>
    <w:rsid w:val="00444C77"/>
    <w:rsid w:val="00444D02"/>
    <w:rsid w:val="00444D62"/>
    <w:rsid w:val="00444DBF"/>
    <w:rsid w:val="00444E3A"/>
    <w:rsid w:val="00444E6E"/>
    <w:rsid w:val="00444EC9"/>
    <w:rsid w:val="00444FC6"/>
    <w:rsid w:val="0044501E"/>
    <w:rsid w:val="00445031"/>
    <w:rsid w:val="00445046"/>
    <w:rsid w:val="0044507A"/>
    <w:rsid w:val="004450CD"/>
    <w:rsid w:val="004450E1"/>
    <w:rsid w:val="00445105"/>
    <w:rsid w:val="00445165"/>
    <w:rsid w:val="0044516F"/>
    <w:rsid w:val="00445249"/>
    <w:rsid w:val="004452C4"/>
    <w:rsid w:val="00445349"/>
    <w:rsid w:val="0044538D"/>
    <w:rsid w:val="004453A5"/>
    <w:rsid w:val="00445474"/>
    <w:rsid w:val="004454C9"/>
    <w:rsid w:val="004454D8"/>
    <w:rsid w:val="0044550D"/>
    <w:rsid w:val="00445550"/>
    <w:rsid w:val="00445558"/>
    <w:rsid w:val="00445596"/>
    <w:rsid w:val="00445624"/>
    <w:rsid w:val="00445629"/>
    <w:rsid w:val="0044562C"/>
    <w:rsid w:val="00445645"/>
    <w:rsid w:val="00445654"/>
    <w:rsid w:val="0044566C"/>
    <w:rsid w:val="004456DF"/>
    <w:rsid w:val="0044576E"/>
    <w:rsid w:val="004457C8"/>
    <w:rsid w:val="004457D5"/>
    <w:rsid w:val="00445816"/>
    <w:rsid w:val="00445854"/>
    <w:rsid w:val="0044586A"/>
    <w:rsid w:val="004458CD"/>
    <w:rsid w:val="004458E9"/>
    <w:rsid w:val="00445900"/>
    <w:rsid w:val="00445960"/>
    <w:rsid w:val="004459A5"/>
    <w:rsid w:val="004459BD"/>
    <w:rsid w:val="004459E4"/>
    <w:rsid w:val="004459F2"/>
    <w:rsid w:val="00445A0B"/>
    <w:rsid w:val="00445A54"/>
    <w:rsid w:val="00445A56"/>
    <w:rsid w:val="00445AC8"/>
    <w:rsid w:val="00445ACF"/>
    <w:rsid w:val="00445AF5"/>
    <w:rsid w:val="00445B78"/>
    <w:rsid w:val="00445B8B"/>
    <w:rsid w:val="00445BB8"/>
    <w:rsid w:val="00445BF3"/>
    <w:rsid w:val="00445C2B"/>
    <w:rsid w:val="00445C66"/>
    <w:rsid w:val="00445C89"/>
    <w:rsid w:val="00445CA1"/>
    <w:rsid w:val="00445CAD"/>
    <w:rsid w:val="00445CF8"/>
    <w:rsid w:val="00445D41"/>
    <w:rsid w:val="00445D5A"/>
    <w:rsid w:val="00445E97"/>
    <w:rsid w:val="00445EF5"/>
    <w:rsid w:val="00445F7D"/>
    <w:rsid w:val="00446030"/>
    <w:rsid w:val="00446044"/>
    <w:rsid w:val="00446051"/>
    <w:rsid w:val="0044606F"/>
    <w:rsid w:val="00446072"/>
    <w:rsid w:val="004460B3"/>
    <w:rsid w:val="004460E5"/>
    <w:rsid w:val="004460ED"/>
    <w:rsid w:val="0044612D"/>
    <w:rsid w:val="0044613A"/>
    <w:rsid w:val="00446154"/>
    <w:rsid w:val="004461BE"/>
    <w:rsid w:val="004461D6"/>
    <w:rsid w:val="004461FD"/>
    <w:rsid w:val="00446225"/>
    <w:rsid w:val="0044627C"/>
    <w:rsid w:val="00446333"/>
    <w:rsid w:val="004463CE"/>
    <w:rsid w:val="0044646C"/>
    <w:rsid w:val="0044648A"/>
    <w:rsid w:val="0044649E"/>
    <w:rsid w:val="0044650F"/>
    <w:rsid w:val="00446589"/>
    <w:rsid w:val="0044658C"/>
    <w:rsid w:val="004465B8"/>
    <w:rsid w:val="00446600"/>
    <w:rsid w:val="00446603"/>
    <w:rsid w:val="004466E3"/>
    <w:rsid w:val="004466F0"/>
    <w:rsid w:val="004466F4"/>
    <w:rsid w:val="0044670F"/>
    <w:rsid w:val="00446711"/>
    <w:rsid w:val="0044673E"/>
    <w:rsid w:val="0044673F"/>
    <w:rsid w:val="004467B4"/>
    <w:rsid w:val="0044680D"/>
    <w:rsid w:val="004468A7"/>
    <w:rsid w:val="004468CE"/>
    <w:rsid w:val="004469D1"/>
    <w:rsid w:val="00446A28"/>
    <w:rsid w:val="00446A34"/>
    <w:rsid w:val="00446AE8"/>
    <w:rsid w:val="00446B2E"/>
    <w:rsid w:val="00446BB6"/>
    <w:rsid w:val="00446BCD"/>
    <w:rsid w:val="00446BD8"/>
    <w:rsid w:val="00446BF2"/>
    <w:rsid w:val="00446C8C"/>
    <w:rsid w:val="00446C93"/>
    <w:rsid w:val="00446CEE"/>
    <w:rsid w:val="00446D6D"/>
    <w:rsid w:val="00446E24"/>
    <w:rsid w:val="00446E35"/>
    <w:rsid w:val="00446E49"/>
    <w:rsid w:val="00446EA0"/>
    <w:rsid w:val="00446EF7"/>
    <w:rsid w:val="00446F2C"/>
    <w:rsid w:val="00446F6C"/>
    <w:rsid w:val="00446FA0"/>
    <w:rsid w:val="00446FA9"/>
    <w:rsid w:val="00446FC3"/>
    <w:rsid w:val="00446FF0"/>
    <w:rsid w:val="00447092"/>
    <w:rsid w:val="0044709D"/>
    <w:rsid w:val="004470A1"/>
    <w:rsid w:val="00447117"/>
    <w:rsid w:val="0044711D"/>
    <w:rsid w:val="0044713E"/>
    <w:rsid w:val="0044716B"/>
    <w:rsid w:val="004471AC"/>
    <w:rsid w:val="00447212"/>
    <w:rsid w:val="00447342"/>
    <w:rsid w:val="0044734C"/>
    <w:rsid w:val="00447448"/>
    <w:rsid w:val="0044747D"/>
    <w:rsid w:val="0044768C"/>
    <w:rsid w:val="004476B6"/>
    <w:rsid w:val="00447708"/>
    <w:rsid w:val="00447737"/>
    <w:rsid w:val="0044778B"/>
    <w:rsid w:val="004477AE"/>
    <w:rsid w:val="004477BB"/>
    <w:rsid w:val="004477DD"/>
    <w:rsid w:val="004477E6"/>
    <w:rsid w:val="0044783B"/>
    <w:rsid w:val="004478E5"/>
    <w:rsid w:val="00447920"/>
    <w:rsid w:val="00447957"/>
    <w:rsid w:val="00447977"/>
    <w:rsid w:val="004479A9"/>
    <w:rsid w:val="004479BD"/>
    <w:rsid w:val="00447A7B"/>
    <w:rsid w:val="00447A96"/>
    <w:rsid w:val="00447AC5"/>
    <w:rsid w:val="00447AE0"/>
    <w:rsid w:val="00447AF3"/>
    <w:rsid w:val="00447B2F"/>
    <w:rsid w:val="00447B81"/>
    <w:rsid w:val="00447BDD"/>
    <w:rsid w:val="00447C3D"/>
    <w:rsid w:val="00447C53"/>
    <w:rsid w:val="00447CB1"/>
    <w:rsid w:val="00447CC0"/>
    <w:rsid w:val="00447D8B"/>
    <w:rsid w:val="00447DC8"/>
    <w:rsid w:val="00447E2C"/>
    <w:rsid w:val="00447E93"/>
    <w:rsid w:val="00447EBD"/>
    <w:rsid w:val="00447FC3"/>
    <w:rsid w:val="0044F85D"/>
    <w:rsid w:val="00450021"/>
    <w:rsid w:val="0045008F"/>
    <w:rsid w:val="004500C1"/>
    <w:rsid w:val="00450118"/>
    <w:rsid w:val="0045017A"/>
    <w:rsid w:val="004501C7"/>
    <w:rsid w:val="00450222"/>
    <w:rsid w:val="00450239"/>
    <w:rsid w:val="00450246"/>
    <w:rsid w:val="004502B0"/>
    <w:rsid w:val="004502B8"/>
    <w:rsid w:val="0045033C"/>
    <w:rsid w:val="00450355"/>
    <w:rsid w:val="004503E9"/>
    <w:rsid w:val="00450461"/>
    <w:rsid w:val="00450509"/>
    <w:rsid w:val="0045050A"/>
    <w:rsid w:val="00450513"/>
    <w:rsid w:val="00450588"/>
    <w:rsid w:val="00450591"/>
    <w:rsid w:val="00450598"/>
    <w:rsid w:val="0045059C"/>
    <w:rsid w:val="004505CB"/>
    <w:rsid w:val="004505D3"/>
    <w:rsid w:val="00450622"/>
    <w:rsid w:val="0045064D"/>
    <w:rsid w:val="004506AB"/>
    <w:rsid w:val="004506CC"/>
    <w:rsid w:val="004506F8"/>
    <w:rsid w:val="0045071D"/>
    <w:rsid w:val="00450748"/>
    <w:rsid w:val="004507A3"/>
    <w:rsid w:val="0045085D"/>
    <w:rsid w:val="00450863"/>
    <w:rsid w:val="0045089D"/>
    <w:rsid w:val="004508BF"/>
    <w:rsid w:val="004508F6"/>
    <w:rsid w:val="004509B3"/>
    <w:rsid w:val="00450A2F"/>
    <w:rsid w:val="00450A8B"/>
    <w:rsid w:val="00450A93"/>
    <w:rsid w:val="00450B26"/>
    <w:rsid w:val="00450B4C"/>
    <w:rsid w:val="00450BB3"/>
    <w:rsid w:val="00450BC3"/>
    <w:rsid w:val="00450BCA"/>
    <w:rsid w:val="00450C75"/>
    <w:rsid w:val="00450CFC"/>
    <w:rsid w:val="00450CFF"/>
    <w:rsid w:val="00450D3D"/>
    <w:rsid w:val="00450D43"/>
    <w:rsid w:val="00450D5B"/>
    <w:rsid w:val="00450D69"/>
    <w:rsid w:val="00450DE6"/>
    <w:rsid w:val="00450E03"/>
    <w:rsid w:val="00450E0B"/>
    <w:rsid w:val="00450E14"/>
    <w:rsid w:val="00450E4A"/>
    <w:rsid w:val="00450F7B"/>
    <w:rsid w:val="00450FDC"/>
    <w:rsid w:val="0045100B"/>
    <w:rsid w:val="00451044"/>
    <w:rsid w:val="00451049"/>
    <w:rsid w:val="00451065"/>
    <w:rsid w:val="0045106D"/>
    <w:rsid w:val="0045113B"/>
    <w:rsid w:val="0045117A"/>
    <w:rsid w:val="00451203"/>
    <w:rsid w:val="0045124E"/>
    <w:rsid w:val="00451254"/>
    <w:rsid w:val="00451263"/>
    <w:rsid w:val="0045126C"/>
    <w:rsid w:val="0045127D"/>
    <w:rsid w:val="004512BB"/>
    <w:rsid w:val="004512F8"/>
    <w:rsid w:val="00451370"/>
    <w:rsid w:val="0045140D"/>
    <w:rsid w:val="00451454"/>
    <w:rsid w:val="004514CD"/>
    <w:rsid w:val="004514CE"/>
    <w:rsid w:val="00451518"/>
    <w:rsid w:val="00451560"/>
    <w:rsid w:val="004515B8"/>
    <w:rsid w:val="004515DC"/>
    <w:rsid w:val="0045169C"/>
    <w:rsid w:val="004516C2"/>
    <w:rsid w:val="004516C7"/>
    <w:rsid w:val="004516F7"/>
    <w:rsid w:val="0045170C"/>
    <w:rsid w:val="00451723"/>
    <w:rsid w:val="00451735"/>
    <w:rsid w:val="00451745"/>
    <w:rsid w:val="004517B1"/>
    <w:rsid w:val="004517C4"/>
    <w:rsid w:val="0045180A"/>
    <w:rsid w:val="00451928"/>
    <w:rsid w:val="004519B5"/>
    <w:rsid w:val="004519BF"/>
    <w:rsid w:val="004519CE"/>
    <w:rsid w:val="004519D0"/>
    <w:rsid w:val="00451A45"/>
    <w:rsid w:val="00451A49"/>
    <w:rsid w:val="00451AE8"/>
    <w:rsid w:val="00451B04"/>
    <w:rsid w:val="00451B37"/>
    <w:rsid w:val="00451B65"/>
    <w:rsid w:val="00451BA6"/>
    <w:rsid w:val="00451BE3"/>
    <w:rsid w:val="00451C32"/>
    <w:rsid w:val="00451C81"/>
    <w:rsid w:val="00451CB5"/>
    <w:rsid w:val="00451CDA"/>
    <w:rsid w:val="00451CEB"/>
    <w:rsid w:val="00451D17"/>
    <w:rsid w:val="00451D79"/>
    <w:rsid w:val="00451D95"/>
    <w:rsid w:val="00451E12"/>
    <w:rsid w:val="00451E34"/>
    <w:rsid w:val="00451E35"/>
    <w:rsid w:val="00451EBB"/>
    <w:rsid w:val="00451EE7"/>
    <w:rsid w:val="00451EFA"/>
    <w:rsid w:val="00451F1D"/>
    <w:rsid w:val="00451F5A"/>
    <w:rsid w:val="00451F86"/>
    <w:rsid w:val="00451FC5"/>
    <w:rsid w:val="00451FC6"/>
    <w:rsid w:val="0045200F"/>
    <w:rsid w:val="00452033"/>
    <w:rsid w:val="0045203F"/>
    <w:rsid w:val="00452050"/>
    <w:rsid w:val="00452078"/>
    <w:rsid w:val="0045209E"/>
    <w:rsid w:val="004520C4"/>
    <w:rsid w:val="004520ED"/>
    <w:rsid w:val="00452139"/>
    <w:rsid w:val="00452264"/>
    <w:rsid w:val="00452289"/>
    <w:rsid w:val="004522E6"/>
    <w:rsid w:val="004522F1"/>
    <w:rsid w:val="00452305"/>
    <w:rsid w:val="004523C4"/>
    <w:rsid w:val="004523DD"/>
    <w:rsid w:val="00452405"/>
    <w:rsid w:val="0045243E"/>
    <w:rsid w:val="0045244C"/>
    <w:rsid w:val="00452456"/>
    <w:rsid w:val="0045246E"/>
    <w:rsid w:val="0045249E"/>
    <w:rsid w:val="004524C4"/>
    <w:rsid w:val="004524C6"/>
    <w:rsid w:val="004524CB"/>
    <w:rsid w:val="004524E5"/>
    <w:rsid w:val="004524E8"/>
    <w:rsid w:val="0045253A"/>
    <w:rsid w:val="0045255E"/>
    <w:rsid w:val="00452594"/>
    <w:rsid w:val="00452597"/>
    <w:rsid w:val="004525A2"/>
    <w:rsid w:val="004525B2"/>
    <w:rsid w:val="00452602"/>
    <w:rsid w:val="0045260E"/>
    <w:rsid w:val="00452610"/>
    <w:rsid w:val="0045261C"/>
    <w:rsid w:val="00452702"/>
    <w:rsid w:val="0045277F"/>
    <w:rsid w:val="00452782"/>
    <w:rsid w:val="0045278A"/>
    <w:rsid w:val="004527AF"/>
    <w:rsid w:val="004527EF"/>
    <w:rsid w:val="00452886"/>
    <w:rsid w:val="00452901"/>
    <w:rsid w:val="00452931"/>
    <w:rsid w:val="00452A68"/>
    <w:rsid w:val="00452AA4"/>
    <w:rsid w:val="00452AFE"/>
    <w:rsid w:val="00452B0E"/>
    <w:rsid w:val="00452B1F"/>
    <w:rsid w:val="00452B24"/>
    <w:rsid w:val="00452B4E"/>
    <w:rsid w:val="00452B60"/>
    <w:rsid w:val="00452B63"/>
    <w:rsid w:val="00452B81"/>
    <w:rsid w:val="00452BB0"/>
    <w:rsid w:val="00452C21"/>
    <w:rsid w:val="00452C31"/>
    <w:rsid w:val="00452CC7"/>
    <w:rsid w:val="00452D62"/>
    <w:rsid w:val="00452D75"/>
    <w:rsid w:val="00452DAC"/>
    <w:rsid w:val="00452DD4"/>
    <w:rsid w:val="00452EBE"/>
    <w:rsid w:val="00452F17"/>
    <w:rsid w:val="00452F5F"/>
    <w:rsid w:val="00453006"/>
    <w:rsid w:val="00453090"/>
    <w:rsid w:val="00453091"/>
    <w:rsid w:val="004530C7"/>
    <w:rsid w:val="004530D1"/>
    <w:rsid w:val="004530EA"/>
    <w:rsid w:val="00453108"/>
    <w:rsid w:val="00453134"/>
    <w:rsid w:val="0045313F"/>
    <w:rsid w:val="00453148"/>
    <w:rsid w:val="004531C2"/>
    <w:rsid w:val="004531CC"/>
    <w:rsid w:val="004531E1"/>
    <w:rsid w:val="00453233"/>
    <w:rsid w:val="0045323E"/>
    <w:rsid w:val="00453249"/>
    <w:rsid w:val="00453299"/>
    <w:rsid w:val="004532AA"/>
    <w:rsid w:val="004532AD"/>
    <w:rsid w:val="004532C2"/>
    <w:rsid w:val="0045337A"/>
    <w:rsid w:val="00453395"/>
    <w:rsid w:val="004533BE"/>
    <w:rsid w:val="004533C8"/>
    <w:rsid w:val="00453491"/>
    <w:rsid w:val="00453497"/>
    <w:rsid w:val="00453559"/>
    <w:rsid w:val="004535B8"/>
    <w:rsid w:val="00453658"/>
    <w:rsid w:val="0045373D"/>
    <w:rsid w:val="004537A3"/>
    <w:rsid w:val="004537F1"/>
    <w:rsid w:val="004538A9"/>
    <w:rsid w:val="004538B5"/>
    <w:rsid w:val="004538DC"/>
    <w:rsid w:val="0045391C"/>
    <w:rsid w:val="0045392D"/>
    <w:rsid w:val="0045395C"/>
    <w:rsid w:val="004539ED"/>
    <w:rsid w:val="00453A3C"/>
    <w:rsid w:val="00453AA3"/>
    <w:rsid w:val="00453AC2"/>
    <w:rsid w:val="00453B17"/>
    <w:rsid w:val="00453B2F"/>
    <w:rsid w:val="00453B47"/>
    <w:rsid w:val="00453B5E"/>
    <w:rsid w:val="00453B91"/>
    <w:rsid w:val="00453B9A"/>
    <w:rsid w:val="00453BDF"/>
    <w:rsid w:val="00453C19"/>
    <w:rsid w:val="00453C1E"/>
    <w:rsid w:val="00453C49"/>
    <w:rsid w:val="00453C61"/>
    <w:rsid w:val="00453C7C"/>
    <w:rsid w:val="00453D8B"/>
    <w:rsid w:val="00453E07"/>
    <w:rsid w:val="00453E33"/>
    <w:rsid w:val="00453E97"/>
    <w:rsid w:val="00453E9A"/>
    <w:rsid w:val="00453F15"/>
    <w:rsid w:val="00453F2A"/>
    <w:rsid w:val="00453F63"/>
    <w:rsid w:val="00453F83"/>
    <w:rsid w:val="00453FA0"/>
    <w:rsid w:val="00453FC6"/>
    <w:rsid w:val="0045400C"/>
    <w:rsid w:val="00454023"/>
    <w:rsid w:val="00454057"/>
    <w:rsid w:val="00454144"/>
    <w:rsid w:val="0045414E"/>
    <w:rsid w:val="0045417D"/>
    <w:rsid w:val="004541A3"/>
    <w:rsid w:val="00454321"/>
    <w:rsid w:val="00454360"/>
    <w:rsid w:val="0045439A"/>
    <w:rsid w:val="004543C5"/>
    <w:rsid w:val="004543E8"/>
    <w:rsid w:val="00454492"/>
    <w:rsid w:val="004544C1"/>
    <w:rsid w:val="004544E2"/>
    <w:rsid w:val="004544EC"/>
    <w:rsid w:val="00454538"/>
    <w:rsid w:val="00454582"/>
    <w:rsid w:val="00454605"/>
    <w:rsid w:val="00454609"/>
    <w:rsid w:val="0045469A"/>
    <w:rsid w:val="0045472B"/>
    <w:rsid w:val="0045474C"/>
    <w:rsid w:val="0045475E"/>
    <w:rsid w:val="00454767"/>
    <w:rsid w:val="00454778"/>
    <w:rsid w:val="004547DC"/>
    <w:rsid w:val="0045491A"/>
    <w:rsid w:val="00454932"/>
    <w:rsid w:val="00454974"/>
    <w:rsid w:val="0045497D"/>
    <w:rsid w:val="00454989"/>
    <w:rsid w:val="0045498C"/>
    <w:rsid w:val="00454A29"/>
    <w:rsid w:val="00454A3C"/>
    <w:rsid w:val="00454ACE"/>
    <w:rsid w:val="00454AEB"/>
    <w:rsid w:val="00454AEC"/>
    <w:rsid w:val="00454AF0"/>
    <w:rsid w:val="00454B01"/>
    <w:rsid w:val="00454B87"/>
    <w:rsid w:val="00454BB1"/>
    <w:rsid w:val="00454BB9"/>
    <w:rsid w:val="00454BDC"/>
    <w:rsid w:val="00454CBE"/>
    <w:rsid w:val="00454CE7"/>
    <w:rsid w:val="00454CEA"/>
    <w:rsid w:val="00454D15"/>
    <w:rsid w:val="00454D2B"/>
    <w:rsid w:val="00454D4A"/>
    <w:rsid w:val="00454DE5"/>
    <w:rsid w:val="00454E77"/>
    <w:rsid w:val="00454EBE"/>
    <w:rsid w:val="00454ECF"/>
    <w:rsid w:val="00455014"/>
    <w:rsid w:val="00455016"/>
    <w:rsid w:val="0045506D"/>
    <w:rsid w:val="00455126"/>
    <w:rsid w:val="004551C5"/>
    <w:rsid w:val="0045526D"/>
    <w:rsid w:val="00455291"/>
    <w:rsid w:val="004552A8"/>
    <w:rsid w:val="00455318"/>
    <w:rsid w:val="00455343"/>
    <w:rsid w:val="0045542F"/>
    <w:rsid w:val="00455449"/>
    <w:rsid w:val="00455488"/>
    <w:rsid w:val="0045549C"/>
    <w:rsid w:val="004554A0"/>
    <w:rsid w:val="004554B3"/>
    <w:rsid w:val="00455530"/>
    <w:rsid w:val="0045554A"/>
    <w:rsid w:val="00455581"/>
    <w:rsid w:val="004555C1"/>
    <w:rsid w:val="00455630"/>
    <w:rsid w:val="00455649"/>
    <w:rsid w:val="00455653"/>
    <w:rsid w:val="0045565C"/>
    <w:rsid w:val="004556AF"/>
    <w:rsid w:val="004556C8"/>
    <w:rsid w:val="004556F3"/>
    <w:rsid w:val="00455739"/>
    <w:rsid w:val="00455786"/>
    <w:rsid w:val="004557A7"/>
    <w:rsid w:val="004557E0"/>
    <w:rsid w:val="00455843"/>
    <w:rsid w:val="00455861"/>
    <w:rsid w:val="0045586D"/>
    <w:rsid w:val="004558BF"/>
    <w:rsid w:val="004558FE"/>
    <w:rsid w:val="00455957"/>
    <w:rsid w:val="0045599D"/>
    <w:rsid w:val="004559E0"/>
    <w:rsid w:val="004559F6"/>
    <w:rsid w:val="00455A25"/>
    <w:rsid w:val="00455A4C"/>
    <w:rsid w:val="00455AC3"/>
    <w:rsid w:val="00455AFA"/>
    <w:rsid w:val="00455B05"/>
    <w:rsid w:val="00455B85"/>
    <w:rsid w:val="00455B99"/>
    <w:rsid w:val="00455BDA"/>
    <w:rsid w:val="00455BDE"/>
    <w:rsid w:val="00455C12"/>
    <w:rsid w:val="00455C14"/>
    <w:rsid w:val="00455C44"/>
    <w:rsid w:val="00455C58"/>
    <w:rsid w:val="00455C94"/>
    <w:rsid w:val="00455D1D"/>
    <w:rsid w:val="00455D2A"/>
    <w:rsid w:val="00455D44"/>
    <w:rsid w:val="00455D79"/>
    <w:rsid w:val="00455DC4"/>
    <w:rsid w:val="00455E14"/>
    <w:rsid w:val="00455E4D"/>
    <w:rsid w:val="00455E5B"/>
    <w:rsid w:val="00455F3D"/>
    <w:rsid w:val="00455F49"/>
    <w:rsid w:val="00456054"/>
    <w:rsid w:val="00456089"/>
    <w:rsid w:val="004560C1"/>
    <w:rsid w:val="004560CF"/>
    <w:rsid w:val="004560D7"/>
    <w:rsid w:val="0045611B"/>
    <w:rsid w:val="0045611E"/>
    <w:rsid w:val="0045611F"/>
    <w:rsid w:val="00456164"/>
    <w:rsid w:val="00456189"/>
    <w:rsid w:val="0045619C"/>
    <w:rsid w:val="004561B3"/>
    <w:rsid w:val="004561E1"/>
    <w:rsid w:val="0045623A"/>
    <w:rsid w:val="00456272"/>
    <w:rsid w:val="004562D6"/>
    <w:rsid w:val="00456300"/>
    <w:rsid w:val="00456309"/>
    <w:rsid w:val="00456324"/>
    <w:rsid w:val="00456342"/>
    <w:rsid w:val="0045636D"/>
    <w:rsid w:val="004563C5"/>
    <w:rsid w:val="004563DC"/>
    <w:rsid w:val="004563F4"/>
    <w:rsid w:val="00456405"/>
    <w:rsid w:val="0045645A"/>
    <w:rsid w:val="0045645C"/>
    <w:rsid w:val="0045647F"/>
    <w:rsid w:val="004564B7"/>
    <w:rsid w:val="004564BA"/>
    <w:rsid w:val="004564BE"/>
    <w:rsid w:val="004564FE"/>
    <w:rsid w:val="00456506"/>
    <w:rsid w:val="00456523"/>
    <w:rsid w:val="0045653B"/>
    <w:rsid w:val="0045655B"/>
    <w:rsid w:val="0045663B"/>
    <w:rsid w:val="00456646"/>
    <w:rsid w:val="0045665D"/>
    <w:rsid w:val="0045667F"/>
    <w:rsid w:val="004566D0"/>
    <w:rsid w:val="00456700"/>
    <w:rsid w:val="0045676E"/>
    <w:rsid w:val="0045678E"/>
    <w:rsid w:val="00456880"/>
    <w:rsid w:val="0045689A"/>
    <w:rsid w:val="004568B7"/>
    <w:rsid w:val="004568D8"/>
    <w:rsid w:val="0045690A"/>
    <w:rsid w:val="0045692B"/>
    <w:rsid w:val="0045695D"/>
    <w:rsid w:val="00456A12"/>
    <w:rsid w:val="00456A6C"/>
    <w:rsid w:val="00456A80"/>
    <w:rsid w:val="00456B01"/>
    <w:rsid w:val="00456B8D"/>
    <w:rsid w:val="00456B96"/>
    <w:rsid w:val="00456BEC"/>
    <w:rsid w:val="00456C8D"/>
    <w:rsid w:val="00456CE8"/>
    <w:rsid w:val="00456CEF"/>
    <w:rsid w:val="00456D28"/>
    <w:rsid w:val="00456D57"/>
    <w:rsid w:val="00456D69"/>
    <w:rsid w:val="00456D9E"/>
    <w:rsid w:val="00456DB1"/>
    <w:rsid w:val="00456DCA"/>
    <w:rsid w:val="00456E9B"/>
    <w:rsid w:val="00456F1A"/>
    <w:rsid w:val="00456F8C"/>
    <w:rsid w:val="00456F8D"/>
    <w:rsid w:val="00456FEA"/>
    <w:rsid w:val="00457000"/>
    <w:rsid w:val="00457079"/>
    <w:rsid w:val="004570DF"/>
    <w:rsid w:val="00457101"/>
    <w:rsid w:val="0045711C"/>
    <w:rsid w:val="00457144"/>
    <w:rsid w:val="00457148"/>
    <w:rsid w:val="0045714A"/>
    <w:rsid w:val="004571CB"/>
    <w:rsid w:val="004571F2"/>
    <w:rsid w:val="004571FA"/>
    <w:rsid w:val="00457259"/>
    <w:rsid w:val="004572CC"/>
    <w:rsid w:val="004572F4"/>
    <w:rsid w:val="004573B3"/>
    <w:rsid w:val="00457405"/>
    <w:rsid w:val="00457452"/>
    <w:rsid w:val="00457511"/>
    <w:rsid w:val="0045751F"/>
    <w:rsid w:val="00457685"/>
    <w:rsid w:val="004576E6"/>
    <w:rsid w:val="00457710"/>
    <w:rsid w:val="00457764"/>
    <w:rsid w:val="00457791"/>
    <w:rsid w:val="004577B0"/>
    <w:rsid w:val="0045780D"/>
    <w:rsid w:val="00457841"/>
    <w:rsid w:val="0045784D"/>
    <w:rsid w:val="0045786B"/>
    <w:rsid w:val="004578D5"/>
    <w:rsid w:val="00457973"/>
    <w:rsid w:val="0045799F"/>
    <w:rsid w:val="004579D3"/>
    <w:rsid w:val="004579EB"/>
    <w:rsid w:val="00457A28"/>
    <w:rsid w:val="00457AD1"/>
    <w:rsid w:val="00457ADC"/>
    <w:rsid w:val="00457AFF"/>
    <w:rsid w:val="00457B0A"/>
    <w:rsid w:val="00457B1B"/>
    <w:rsid w:val="00457B6A"/>
    <w:rsid w:val="00457BA3"/>
    <w:rsid w:val="00457BCA"/>
    <w:rsid w:val="00457C1C"/>
    <w:rsid w:val="00457CAD"/>
    <w:rsid w:val="00457CBE"/>
    <w:rsid w:val="00457CE6"/>
    <w:rsid w:val="00457CED"/>
    <w:rsid w:val="00457D04"/>
    <w:rsid w:val="00457D42"/>
    <w:rsid w:val="00457D74"/>
    <w:rsid w:val="00457D84"/>
    <w:rsid w:val="00457D88"/>
    <w:rsid w:val="00457E8D"/>
    <w:rsid w:val="00457E91"/>
    <w:rsid w:val="00457EC3"/>
    <w:rsid w:val="00457EF6"/>
    <w:rsid w:val="00457F68"/>
    <w:rsid w:val="00457FA5"/>
    <w:rsid w:val="00457FE4"/>
    <w:rsid w:val="0046002C"/>
    <w:rsid w:val="00460034"/>
    <w:rsid w:val="0046003C"/>
    <w:rsid w:val="004600A0"/>
    <w:rsid w:val="004600C6"/>
    <w:rsid w:val="004600FA"/>
    <w:rsid w:val="00460123"/>
    <w:rsid w:val="0046014D"/>
    <w:rsid w:val="00460163"/>
    <w:rsid w:val="004601BF"/>
    <w:rsid w:val="00460213"/>
    <w:rsid w:val="0046023C"/>
    <w:rsid w:val="0046024D"/>
    <w:rsid w:val="0046027B"/>
    <w:rsid w:val="004602D6"/>
    <w:rsid w:val="004602FA"/>
    <w:rsid w:val="004603A8"/>
    <w:rsid w:val="004603F8"/>
    <w:rsid w:val="00460439"/>
    <w:rsid w:val="0046045E"/>
    <w:rsid w:val="00460485"/>
    <w:rsid w:val="00460489"/>
    <w:rsid w:val="00460516"/>
    <w:rsid w:val="0046056B"/>
    <w:rsid w:val="0046056C"/>
    <w:rsid w:val="00460572"/>
    <w:rsid w:val="00460592"/>
    <w:rsid w:val="004605DC"/>
    <w:rsid w:val="00460619"/>
    <w:rsid w:val="00460638"/>
    <w:rsid w:val="0046063A"/>
    <w:rsid w:val="00460682"/>
    <w:rsid w:val="0046068A"/>
    <w:rsid w:val="004606CB"/>
    <w:rsid w:val="00460719"/>
    <w:rsid w:val="004607BD"/>
    <w:rsid w:val="00460846"/>
    <w:rsid w:val="00460850"/>
    <w:rsid w:val="00460907"/>
    <w:rsid w:val="0046091F"/>
    <w:rsid w:val="00460956"/>
    <w:rsid w:val="00460969"/>
    <w:rsid w:val="0046096E"/>
    <w:rsid w:val="004609E2"/>
    <w:rsid w:val="00460A02"/>
    <w:rsid w:val="00460A66"/>
    <w:rsid w:val="00460A8B"/>
    <w:rsid w:val="00460A8E"/>
    <w:rsid w:val="00460AC7"/>
    <w:rsid w:val="00460AFB"/>
    <w:rsid w:val="00460B03"/>
    <w:rsid w:val="00460BB8"/>
    <w:rsid w:val="00460BC1"/>
    <w:rsid w:val="00460C10"/>
    <w:rsid w:val="00460D4C"/>
    <w:rsid w:val="00460D56"/>
    <w:rsid w:val="00460D80"/>
    <w:rsid w:val="00460DB7"/>
    <w:rsid w:val="00460DBA"/>
    <w:rsid w:val="00460E3E"/>
    <w:rsid w:val="00460E9A"/>
    <w:rsid w:val="00460EB0"/>
    <w:rsid w:val="00460F0B"/>
    <w:rsid w:val="00460FC0"/>
    <w:rsid w:val="00461083"/>
    <w:rsid w:val="0046108A"/>
    <w:rsid w:val="0046109A"/>
    <w:rsid w:val="00461135"/>
    <w:rsid w:val="00461144"/>
    <w:rsid w:val="004611B9"/>
    <w:rsid w:val="004611D3"/>
    <w:rsid w:val="004611D7"/>
    <w:rsid w:val="0046121B"/>
    <w:rsid w:val="00461258"/>
    <w:rsid w:val="004612EB"/>
    <w:rsid w:val="00461318"/>
    <w:rsid w:val="00461347"/>
    <w:rsid w:val="00461363"/>
    <w:rsid w:val="004613D6"/>
    <w:rsid w:val="004613DB"/>
    <w:rsid w:val="00461421"/>
    <w:rsid w:val="0046145F"/>
    <w:rsid w:val="0046149B"/>
    <w:rsid w:val="0046159C"/>
    <w:rsid w:val="0046162D"/>
    <w:rsid w:val="0046164F"/>
    <w:rsid w:val="00461674"/>
    <w:rsid w:val="0046168E"/>
    <w:rsid w:val="004616B8"/>
    <w:rsid w:val="0046175A"/>
    <w:rsid w:val="0046175E"/>
    <w:rsid w:val="0046179B"/>
    <w:rsid w:val="004617C0"/>
    <w:rsid w:val="004617E9"/>
    <w:rsid w:val="00461872"/>
    <w:rsid w:val="00461895"/>
    <w:rsid w:val="004618B1"/>
    <w:rsid w:val="004618BC"/>
    <w:rsid w:val="004618E1"/>
    <w:rsid w:val="00461976"/>
    <w:rsid w:val="004619B6"/>
    <w:rsid w:val="004619B7"/>
    <w:rsid w:val="00461A00"/>
    <w:rsid w:val="00461AF8"/>
    <w:rsid w:val="00461AFE"/>
    <w:rsid w:val="00461B57"/>
    <w:rsid w:val="00461BA9"/>
    <w:rsid w:val="00461BD7"/>
    <w:rsid w:val="00461C10"/>
    <w:rsid w:val="00461C5E"/>
    <w:rsid w:val="00461CA4"/>
    <w:rsid w:val="00461CC7"/>
    <w:rsid w:val="00461D19"/>
    <w:rsid w:val="00461DAF"/>
    <w:rsid w:val="00461DB0"/>
    <w:rsid w:val="00461E16"/>
    <w:rsid w:val="00461E41"/>
    <w:rsid w:val="00461E52"/>
    <w:rsid w:val="00461E6C"/>
    <w:rsid w:val="00461EFE"/>
    <w:rsid w:val="00461F2B"/>
    <w:rsid w:val="00461F8E"/>
    <w:rsid w:val="00461F9C"/>
    <w:rsid w:val="00461FBA"/>
    <w:rsid w:val="00461FD4"/>
    <w:rsid w:val="00462018"/>
    <w:rsid w:val="0046201E"/>
    <w:rsid w:val="00462069"/>
    <w:rsid w:val="0046208A"/>
    <w:rsid w:val="004620A1"/>
    <w:rsid w:val="00462162"/>
    <w:rsid w:val="00462181"/>
    <w:rsid w:val="004621AD"/>
    <w:rsid w:val="004621D8"/>
    <w:rsid w:val="004621DA"/>
    <w:rsid w:val="004621F5"/>
    <w:rsid w:val="004621FF"/>
    <w:rsid w:val="00462215"/>
    <w:rsid w:val="004622AF"/>
    <w:rsid w:val="00462314"/>
    <w:rsid w:val="0046232D"/>
    <w:rsid w:val="00462340"/>
    <w:rsid w:val="0046236C"/>
    <w:rsid w:val="00462371"/>
    <w:rsid w:val="00462372"/>
    <w:rsid w:val="00462391"/>
    <w:rsid w:val="00462406"/>
    <w:rsid w:val="004624A2"/>
    <w:rsid w:val="0046252C"/>
    <w:rsid w:val="00462538"/>
    <w:rsid w:val="0046254E"/>
    <w:rsid w:val="004625E5"/>
    <w:rsid w:val="00462643"/>
    <w:rsid w:val="00462672"/>
    <w:rsid w:val="004626DF"/>
    <w:rsid w:val="004626FE"/>
    <w:rsid w:val="00462730"/>
    <w:rsid w:val="00462848"/>
    <w:rsid w:val="00462860"/>
    <w:rsid w:val="004628C3"/>
    <w:rsid w:val="00462944"/>
    <w:rsid w:val="00462972"/>
    <w:rsid w:val="0046297E"/>
    <w:rsid w:val="004629A1"/>
    <w:rsid w:val="004629F6"/>
    <w:rsid w:val="00462A8C"/>
    <w:rsid w:val="00462A8D"/>
    <w:rsid w:val="00462AAE"/>
    <w:rsid w:val="00462AD1"/>
    <w:rsid w:val="00462AF4"/>
    <w:rsid w:val="00462B01"/>
    <w:rsid w:val="00462B2E"/>
    <w:rsid w:val="00462B4D"/>
    <w:rsid w:val="00462B84"/>
    <w:rsid w:val="00462BA4"/>
    <w:rsid w:val="00462BBD"/>
    <w:rsid w:val="00462BD3"/>
    <w:rsid w:val="00462BDE"/>
    <w:rsid w:val="00462C6B"/>
    <w:rsid w:val="00462CB1"/>
    <w:rsid w:val="00462CBF"/>
    <w:rsid w:val="00462CCE"/>
    <w:rsid w:val="00462CDF"/>
    <w:rsid w:val="00462D0E"/>
    <w:rsid w:val="00462D58"/>
    <w:rsid w:val="00462D72"/>
    <w:rsid w:val="00462E10"/>
    <w:rsid w:val="00462E1B"/>
    <w:rsid w:val="00462E3D"/>
    <w:rsid w:val="00462E63"/>
    <w:rsid w:val="00462E82"/>
    <w:rsid w:val="00462EAE"/>
    <w:rsid w:val="00462EEC"/>
    <w:rsid w:val="00462F4D"/>
    <w:rsid w:val="00462F83"/>
    <w:rsid w:val="00463013"/>
    <w:rsid w:val="0046301A"/>
    <w:rsid w:val="00463025"/>
    <w:rsid w:val="00463084"/>
    <w:rsid w:val="00463119"/>
    <w:rsid w:val="00463123"/>
    <w:rsid w:val="0046314C"/>
    <w:rsid w:val="00463161"/>
    <w:rsid w:val="00463179"/>
    <w:rsid w:val="004631BB"/>
    <w:rsid w:val="004631F6"/>
    <w:rsid w:val="0046320D"/>
    <w:rsid w:val="0046322C"/>
    <w:rsid w:val="00463238"/>
    <w:rsid w:val="0046330C"/>
    <w:rsid w:val="00463318"/>
    <w:rsid w:val="00463345"/>
    <w:rsid w:val="00463367"/>
    <w:rsid w:val="00463392"/>
    <w:rsid w:val="004633AF"/>
    <w:rsid w:val="004633C2"/>
    <w:rsid w:val="004633E8"/>
    <w:rsid w:val="004633E9"/>
    <w:rsid w:val="00463411"/>
    <w:rsid w:val="004634E6"/>
    <w:rsid w:val="004634EC"/>
    <w:rsid w:val="004634F8"/>
    <w:rsid w:val="00463531"/>
    <w:rsid w:val="0046356B"/>
    <w:rsid w:val="004635D1"/>
    <w:rsid w:val="0046367F"/>
    <w:rsid w:val="00463695"/>
    <w:rsid w:val="00463700"/>
    <w:rsid w:val="00463726"/>
    <w:rsid w:val="00463784"/>
    <w:rsid w:val="00463793"/>
    <w:rsid w:val="004637D0"/>
    <w:rsid w:val="004637EC"/>
    <w:rsid w:val="0046382D"/>
    <w:rsid w:val="00463857"/>
    <w:rsid w:val="0046385D"/>
    <w:rsid w:val="0046386E"/>
    <w:rsid w:val="0046387F"/>
    <w:rsid w:val="00463894"/>
    <w:rsid w:val="00463898"/>
    <w:rsid w:val="004638CF"/>
    <w:rsid w:val="004638E2"/>
    <w:rsid w:val="004638E5"/>
    <w:rsid w:val="00463947"/>
    <w:rsid w:val="00463973"/>
    <w:rsid w:val="004639AB"/>
    <w:rsid w:val="00463A5A"/>
    <w:rsid w:val="00463A64"/>
    <w:rsid w:val="00463A7F"/>
    <w:rsid w:val="00463A94"/>
    <w:rsid w:val="00463B1C"/>
    <w:rsid w:val="00463B6E"/>
    <w:rsid w:val="00463BC2"/>
    <w:rsid w:val="00463BD0"/>
    <w:rsid w:val="00463C6E"/>
    <w:rsid w:val="00463CEF"/>
    <w:rsid w:val="00463D1B"/>
    <w:rsid w:val="00463DD3"/>
    <w:rsid w:val="00463DDF"/>
    <w:rsid w:val="00463E03"/>
    <w:rsid w:val="00463E32"/>
    <w:rsid w:val="00463EA6"/>
    <w:rsid w:val="00463EE5"/>
    <w:rsid w:val="00463F35"/>
    <w:rsid w:val="00463F68"/>
    <w:rsid w:val="00463F7B"/>
    <w:rsid w:val="00463FD1"/>
    <w:rsid w:val="00463FD4"/>
    <w:rsid w:val="0046400F"/>
    <w:rsid w:val="0046401C"/>
    <w:rsid w:val="00464042"/>
    <w:rsid w:val="0046407C"/>
    <w:rsid w:val="004640D0"/>
    <w:rsid w:val="00464173"/>
    <w:rsid w:val="004641B3"/>
    <w:rsid w:val="004641C8"/>
    <w:rsid w:val="0046421E"/>
    <w:rsid w:val="0046422E"/>
    <w:rsid w:val="004642F2"/>
    <w:rsid w:val="00464305"/>
    <w:rsid w:val="00464322"/>
    <w:rsid w:val="00464331"/>
    <w:rsid w:val="00464336"/>
    <w:rsid w:val="00464354"/>
    <w:rsid w:val="00464384"/>
    <w:rsid w:val="004643A4"/>
    <w:rsid w:val="004643C1"/>
    <w:rsid w:val="004643FC"/>
    <w:rsid w:val="00464406"/>
    <w:rsid w:val="0046444A"/>
    <w:rsid w:val="0046446A"/>
    <w:rsid w:val="004644A8"/>
    <w:rsid w:val="0046453C"/>
    <w:rsid w:val="0046456E"/>
    <w:rsid w:val="00464570"/>
    <w:rsid w:val="004645C1"/>
    <w:rsid w:val="0046466D"/>
    <w:rsid w:val="004646D0"/>
    <w:rsid w:val="004646FB"/>
    <w:rsid w:val="0046483F"/>
    <w:rsid w:val="00464865"/>
    <w:rsid w:val="00464879"/>
    <w:rsid w:val="004648A7"/>
    <w:rsid w:val="004648BC"/>
    <w:rsid w:val="004648CB"/>
    <w:rsid w:val="0046495D"/>
    <w:rsid w:val="00464979"/>
    <w:rsid w:val="00464990"/>
    <w:rsid w:val="004649AF"/>
    <w:rsid w:val="004649C1"/>
    <w:rsid w:val="004649D4"/>
    <w:rsid w:val="004649EF"/>
    <w:rsid w:val="00464A01"/>
    <w:rsid w:val="00464A13"/>
    <w:rsid w:val="00464A32"/>
    <w:rsid w:val="00464B08"/>
    <w:rsid w:val="00464B44"/>
    <w:rsid w:val="00464B4E"/>
    <w:rsid w:val="00464B60"/>
    <w:rsid w:val="00464B63"/>
    <w:rsid w:val="00464B7C"/>
    <w:rsid w:val="00464BDD"/>
    <w:rsid w:val="00464BFA"/>
    <w:rsid w:val="00464C0D"/>
    <w:rsid w:val="00464C25"/>
    <w:rsid w:val="00464CEB"/>
    <w:rsid w:val="00464CED"/>
    <w:rsid w:val="00464D46"/>
    <w:rsid w:val="00464D47"/>
    <w:rsid w:val="00464D9E"/>
    <w:rsid w:val="00464DA1"/>
    <w:rsid w:val="00464DEA"/>
    <w:rsid w:val="00464E37"/>
    <w:rsid w:val="00464E52"/>
    <w:rsid w:val="00464E5A"/>
    <w:rsid w:val="00464ED9"/>
    <w:rsid w:val="00464F0A"/>
    <w:rsid w:val="00464F0E"/>
    <w:rsid w:val="00464F41"/>
    <w:rsid w:val="00464F55"/>
    <w:rsid w:val="00464FD1"/>
    <w:rsid w:val="00464FF7"/>
    <w:rsid w:val="00464FF8"/>
    <w:rsid w:val="00465044"/>
    <w:rsid w:val="00465173"/>
    <w:rsid w:val="004651AD"/>
    <w:rsid w:val="004651EB"/>
    <w:rsid w:val="0046520E"/>
    <w:rsid w:val="00465219"/>
    <w:rsid w:val="0046521A"/>
    <w:rsid w:val="0046522C"/>
    <w:rsid w:val="0046522D"/>
    <w:rsid w:val="0046523C"/>
    <w:rsid w:val="004652B8"/>
    <w:rsid w:val="00465369"/>
    <w:rsid w:val="00465372"/>
    <w:rsid w:val="004653CF"/>
    <w:rsid w:val="004653D6"/>
    <w:rsid w:val="0046540D"/>
    <w:rsid w:val="0046547B"/>
    <w:rsid w:val="00465491"/>
    <w:rsid w:val="004654AF"/>
    <w:rsid w:val="004655A0"/>
    <w:rsid w:val="004655E1"/>
    <w:rsid w:val="004655E5"/>
    <w:rsid w:val="004655E6"/>
    <w:rsid w:val="004655E8"/>
    <w:rsid w:val="004655F4"/>
    <w:rsid w:val="00465613"/>
    <w:rsid w:val="0046563A"/>
    <w:rsid w:val="00465658"/>
    <w:rsid w:val="004656A4"/>
    <w:rsid w:val="00465728"/>
    <w:rsid w:val="00465749"/>
    <w:rsid w:val="004657BB"/>
    <w:rsid w:val="004657BF"/>
    <w:rsid w:val="004657F8"/>
    <w:rsid w:val="00465846"/>
    <w:rsid w:val="00465969"/>
    <w:rsid w:val="0046597F"/>
    <w:rsid w:val="004659BD"/>
    <w:rsid w:val="00465A9C"/>
    <w:rsid w:val="00465AB3"/>
    <w:rsid w:val="00465B6D"/>
    <w:rsid w:val="00465BB9"/>
    <w:rsid w:val="00465BBC"/>
    <w:rsid w:val="00465BCF"/>
    <w:rsid w:val="00465BDC"/>
    <w:rsid w:val="00465BFB"/>
    <w:rsid w:val="00465C22"/>
    <w:rsid w:val="00465C55"/>
    <w:rsid w:val="00465C78"/>
    <w:rsid w:val="00465C95"/>
    <w:rsid w:val="00465C99"/>
    <w:rsid w:val="00465CD0"/>
    <w:rsid w:val="00465D5D"/>
    <w:rsid w:val="00465D8D"/>
    <w:rsid w:val="00465E29"/>
    <w:rsid w:val="00465F16"/>
    <w:rsid w:val="00465F36"/>
    <w:rsid w:val="00465FC7"/>
    <w:rsid w:val="00465FF0"/>
    <w:rsid w:val="00466001"/>
    <w:rsid w:val="00466003"/>
    <w:rsid w:val="0046600B"/>
    <w:rsid w:val="0046601D"/>
    <w:rsid w:val="00466050"/>
    <w:rsid w:val="0046609B"/>
    <w:rsid w:val="004660CC"/>
    <w:rsid w:val="004660FA"/>
    <w:rsid w:val="00466229"/>
    <w:rsid w:val="00466295"/>
    <w:rsid w:val="0046631A"/>
    <w:rsid w:val="0046637A"/>
    <w:rsid w:val="004663B6"/>
    <w:rsid w:val="004663D3"/>
    <w:rsid w:val="0046641D"/>
    <w:rsid w:val="0046646D"/>
    <w:rsid w:val="0046647E"/>
    <w:rsid w:val="00466489"/>
    <w:rsid w:val="0046648A"/>
    <w:rsid w:val="00466495"/>
    <w:rsid w:val="004664D1"/>
    <w:rsid w:val="00466543"/>
    <w:rsid w:val="00466567"/>
    <w:rsid w:val="004665AF"/>
    <w:rsid w:val="004665D7"/>
    <w:rsid w:val="004665E4"/>
    <w:rsid w:val="004665E6"/>
    <w:rsid w:val="00466623"/>
    <w:rsid w:val="004666C7"/>
    <w:rsid w:val="00466706"/>
    <w:rsid w:val="0046671B"/>
    <w:rsid w:val="0046678B"/>
    <w:rsid w:val="00466866"/>
    <w:rsid w:val="0046686F"/>
    <w:rsid w:val="00466888"/>
    <w:rsid w:val="0046689F"/>
    <w:rsid w:val="004668E6"/>
    <w:rsid w:val="00466978"/>
    <w:rsid w:val="004669B3"/>
    <w:rsid w:val="004669B4"/>
    <w:rsid w:val="004669C4"/>
    <w:rsid w:val="004669D9"/>
    <w:rsid w:val="00466A09"/>
    <w:rsid w:val="00466A24"/>
    <w:rsid w:val="00466A40"/>
    <w:rsid w:val="00466ABD"/>
    <w:rsid w:val="00466AD2"/>
    <w:rsid w:val="00466C14"/>
    <w:rsid w:val="00466C61"/>
    <w:rsid w:val="00466CE3"/>
    <w:rsid w:val="00466CFB"/>
    <w:rsid w:val="00466D07"/>
    <w:rsid w:val="00466D1A"/>
    <w:rsid w:val="00466D24"/>
    <w:rsid w:val="00466D37"/>
    <w:rsid w:val="00466D7E"/>
    <w:rsid w:val="00466DC5"/>
    <w:rsid w:val="00466DCB"/>
    <w:rsid w:val="00466DD0"/>
    <w:rsid w:val="00466DEC"/>
    <w:rsid w:val="00466E5F"/>
    <w:rsid w:val="00466E66"/>
    <w:rsid w:val="00466F60"/>
    <w:rsid w:val="00467004"/>
    <w:rsid w:val="004670EF"/>
    <w:rsid w:val="0046718D"/>
    <w:rsid w:val="004671EF"/>
    <w:rsid w:val="0046720F"/>
    <w:rsid w:val="0046722E"/>
    <w:rsid w:val="00467277"/>
    <w:rsid w:val="00467367"/>
    <w:rsid w:val="0046737A"/>
    <w:rsid w:val="004673AA"/>
    <w:rsid w:val="004673DF"/>
    <w:rsid w:val="0046746E"/>
    <w:rsid w:val="0046747E"/>
    <w:rsid w:val="004674BE"/>
    <w:rsid w:val="004674CE"/>
    <w:rsid w:val="00467582"/>
    <w:rsid w:val="00467597"/>
    <w:rsid w:val="004675DE"/>
    <w:rsid w:val="004675F4"/>
    <w:rsid w:val="004676A8"/>
    <w:rsid w:val="00467720"/>
    <w:rsid w:val="00467727"/>
    <w:rsid w:val="00467731"/>
    <w:rsid w:val="00467765"/>
    <w:rsid w:val="00467777"/>
    <w:rsid w:val="004677F7"/>
    <w:rsid w:val="00467801"/>
    <w:rsid w:val="00467845"/>
    <w:rsid w:val="00467874"/>
    <w:rsid w:val="0046787B"/>
    <w:rsid w:val="00467894"/>
    <w:rsid w:val="004678D1"/>
    <w:rsid w:val="0046793B"/>
    <w:rsid w:val="0046795A"/>
    <w:rsid w:val="00467995"/>
    <w:rsid w:val="004679B4"/>
    <w:rsid w:val="004679CE"/>
    <w:rsid w:val="00467A74"/>
    <w:rsid w:val="00467A8F"/>
    <w:rsid w:val="00467AB6"/>
    <w:rsid w:val="00467AF0"/>
    <w:rsid w:val="00467B18"/>
    <w:rsid w:val="00467B33"/>
    <w:rsid w:val="00467B4B"/>
    <w:rsid w:val="00467B4E"/>
    <w:rsid w:val="00467BA6"/>
    <w:rsid w:val="00467C15"/>
    <w:rsid w:val="00467C69"/>
    <w:rsid w:val="00467C6D"/>
    <w:rsid w:val="00467C71"/>
    <w:rsid w:val="00467CEA"/>
    <w:rsid w:val="00467CFF"/>
    <w:rsid w:val="00467D24"/>
    <w:rsid w:val="00467D86"/>
    <w:rsid w:val="00467D98"/>
    <w:rsid w:val="00467DB3"/>
    <w:rsid w:val="00467DF8"/>
    <w:rsid w:val="00467E49"/>
    <w:rsid w:val="00467E81"/>
    <w:rsid w:val="00467EB2"/>
    <w:rsid w:val="00467EC5"/>
    <w:rsid w:val="00467F55"/>
    <w:rsid w:val="00467FD5"/>
    <w:rsid w:val="00467FDE"/>
    <w:rsid w:val="00467FF7"/>
    <w:rsid w:val="00467FF9"/>
    <w:rsid w:val="0046DC8F"/>
    <w:rsid w:val="00470014"/>
    <w:rsid w:val="00470096"/>
    <w:rsid w:val="0047009F"/>
    <w:rsid w:val="004700E2"/>
    <w:rsid w:val="0047013B"/>
    <w:rsid w:val="00470148"/>
    <w:rsid w:val="0047014C"/>
    <w:rsid w:val="00470167"/>
    <w:rsid w:val="00470173"/>
    <w:rsid w:val="004701E8"/>
    <w:rsid w:val="004701ED"/>
    <w:rsid w:val="0047025F"/>
    <w:rsid w:val="00470265"/>
    <w:rsid w:val="0047030D"/>
    <w:rsid w:val="00470324"/>
    <w:rsid w:val="0047035F"/>
    <w:rsid w:val="004703A4"/>
    <w:rsid w:val="004703A6"/>
    <w:rsid w:val="004703AA"/>
    <w:rsid w:val="004703F0"/>
    <w:rsid w:val="00470469"/>
    <w:rsid w:val="0047046D"/>
    <w:rsid w:val="00470490"/>
    <w:rsid w:val="004704E7"/>
    <w:rsid w:val="0047055D"/>
    <w:rsid w:val="00470577"/>
    <w:rsid w:val="004705A9"/>
    <w:rsid w:val="004705CF"/>
    <w:rsid w:val="004705D9"/>
    <w:rsid w:val="00470625"/>
    <w:rsid w:val="00470653"/>
    <w:rsid w:val="0047066D"/>
    <w:rsid w:val="0047067E"/>
    <w:rsid w:val="00470783"/>
    <w:rsid w:val="004707CD"/>
    <w:rsid w:val="00470848"/>
    <w:rsid w:val="00470898"/>
    <w:rsid w:val="004708B6"/>
    <w:rsid w:val="004708D6"/>
    <w:rsid w:val="00470952"/>
    <w:rsid w:val="0047096E"/>
    <w:rsid w:val="0047097A"/>
    <w:rsid w:val="00470988"/>
    <w:rsid w:val="00470A05"/>
    <w:rsid w:val="00470AEB"/>
    <w:rsid w:val="00470B4F"/>
    <w:rsid w:val="00470B8D"/>
    <w:rsid w:val="00470B9E"/>
    <w:rsid w:val="00470BB8"/>
    <w:rsid w:val="00470BD0"/>
    <w:rsid w:val="00470CAC"/>
    <w:rsid w:val="00470CE0"/>
    <w:rsid w:val="00470CF1"/>
    <w:rsid w:val="00470D08"/>
    <w:rsid w:val="00470DA0"/>
    <w:rsid w:val="00470DCB"/>
    <w:rsid w:val="00470DCE"/>
    <w:rsid w:val="00470E16"/>
    <w:rsid w:val="00470E1D"/>
    <w:rsid w:val="00470EA1"/>
    <w:rsid w:val="00470EC3"/>
    <w:rsid w:val="00470ED7"/>
    <w:rsid w:val="00470F42"/>
    <w:rsid w:val="00470F58"/>
    <w:rsid w:val="00470F6D"/>
    <w:rsid w:val="0047100E"/>
    <w:rsid w:val="00471014"/>
    <w:rsid w:val="00471091"/>
    <w:rsid w:val="004710C7"/>
    <w:rsid w:val="004710D2"/>
    <w:rsid w:val="004710EA"/>
    <w:rsid w:val="0047117F"/>
    <w:rsid w:val="00471185"/>
    <w:rsid w:val="00471194"/>
    <w:rsid w:val="00471199"/>
    <w:rsid w:val="004711DF"/>
    <w:rsid w:val="00471200"/>
    <w:rsid w:val="004712D8"/>
    <w:rsid w:val="004713DE"/>
    <w:rsid w:val="004713E3"/>
    <w:rsid w:val="00471410"/>
    <w:rsid w:val="004714C6"/>
    <w:rsid w:val="004714E6"/>
    <w:rsid w:val="00471536"/>
    <w:rsid w:val="00471581"/>
    <w:rsid w:val="00471618"/>
    <w:rsid w:val="0047161A"/>
    <w:rsid w:val="004716BD"/>
    <w:rsid w:val="0047173E"/>
    <w:rsid w:val="00471813"/>
    <w:rsid w:val="00471825"/>
    <w:rsid w:val="0047184B"/>
    <w:rsid w:val="004718F3"/>
    <w:rsid w:val="00471913"/>
    <w:rsid w:val="00471951"/>
    <w:rsid w:val="0047195C"/>
    <w:rsid w:val="0047198C"/>
    <w:rsid w:val="00471A5F"/>
    <w:rsid w:val="00471A7D"/>
    <w:rsid w:val="00471A8E"/>
    <w:rsid w:val="00471AC9"/>
    <w:rsid w:val="00471B25"/>
    <w:rsid w:val="00471B40"/>
    <w:rsid w:val="00471B50"/>
    <w:rsid w:val="00471BA7"/>
    <w:rsid w:val="00471BC1"/>
    <w:rsid w:val="00471C03"/>
    <w:rsid w:val="00471C2D"/>
    <w:rsid w:val="00471C48"/>
    <w:rsid w:val="00471C4E"/>
    <w:rsid w:val="00471CDE"/>
    <w:rsid w:val="00471D04"/>
    <w:rsid w:val="00471D63"/>
    <w:rsid w:val="00471DEC"/>
    <w:rsid w:val="00471E00"/>
    <w:rsid w:val="00471E07"/>
    <w:rsid w:val="00471E0A"/>
    <w:rsid w:val="00471E80"/>
    <w:rsid w:val="00471ED5"/>
    <w:rsid w:val="00471EF4"/>
    <w:rsid w:val="00471F02"/>
    <w:rsid w:val="00471F73"/>
    <w:rsid w:val="00471FAD"/>
    <w:rsid w:val="00471FC8"/>
    <w:rsid w:val="00472064"/>
    <w:rsid w:val="0047207C"/>
    <w:rsid w:val="0047209D"/>
    <w:rsid w:val="0047212C"/>
    <w:rsid w:val="00472155"/>
    <w:rsid w:val="0047219D"/>
    <w:rsid w:val="004721B5"/>
    <w:rsid w:val="004721BE"/>
    <w:rsid w:val="0047221A"/>
    <w:rsid w:val="0047221F"/>
    <w:rsid w:val="00472221"/>
    <w:rsid w:val="00472226"/>
    <w:rsid w:val="0047223C"/>
    <w:rsid w:val="004722C6"/>
    <w:rsid w:val="00472310"/>
    <w:rsid w:val="0047231F"/>
    <w:rsid w:val="00472338"/>
    <w:rsid w:val="0047234B"/>
    <w:rsid w:val="00472373"/>
    <w:rsid w:val="0047239D"/>
    <w:rsid w:val="004723A3"/>
    <w:rsid w:val="004723B6"/>
    <w:rsid w:val="004723BF"/>
    <w:rsid w:val="004723E5"/>
    <w:rsid w:val="004723FE"/>
    <w:rsid w:val="00472412"/>
    <w:rsid w:val="00472420"/>
    <w:rsid w:val="00472435"/>
    <w:rsid w:val="00472439"/>
    <w:rsid w:val="0047244E"/>
    <w:rsid w:val="0047245E"/>
    <w:rsid w:val="0047246F"/>
    <w:rsid w:val="00472485"/>
    <w:rsid w:val="004724F7"/>
    <w:rsid w:val="00472543"/>
    <w:rsid w:val="00472572"/>
    <w:rsid w:val="004725A2"/>
    <w:rsid w:val="004725E5"/>
    <w:rsid w:val="00472624"/>
    <w:rsid w:val="00472625"/>
    <w:rsid w:val="00472629"/>
    <w:rsid w:val="00472667"/>
    <w:rsid w:val="00472678"/>
    <w:rsid w:val="00472722"/>
    <w:rsid w:val="00472759"/>
    <w:rsid w:val="00472767"/>
    <w:rsid w:val="00472777"/>
    <w:rsid w:val="004727E6"/>
    <w:rsid w:val="00472831"/>
    <w:rsid w:val="0047285E"/>
    <w:rsid w:val="0047288E"/>
    <w:rsid w:val="004728A0"/>
    <w:rsid w:val="004728CA"/>
    <w:rsid w:val="00472938"/>
    <w:rsid w:val="00472952"/>
    <w:rsid w:val="0047298B"/>
    <w:rsid w:val="004729AC"/>
    <w:rsid w:val="004729DC"/>
    <w:rsid w:val="004729F9"/>
    <w:rsid w:val="00472B01"/>
    <w:rsid w:val="00472BB6"/>
    <w:rsid w:val="00472BCB"/>
    <w:rsid w:val="00472C16"/>
    <w:rsid w:val="00472C32"/>
    <w:rsid w:val="00472C42"/>
    <w:rsid w:val="00472C44"/>
    <w:rsid w:val="00472C93"/>
    <w:rsid w:val="00472CEA"/>
    <w:rsid w:val="00472CFE"/>
    <w:rsid w:val="00472D34"/>
    <w:rsid w:val="00472E9B"/>
    <w:rsid w:val="00472ECE"/>
    <w:rsid w:val="00472F0F"/>
    <w:rsid w:val="00472F21"/>
    <w:rsid w:val="00472F6B"/>
    <w:rsid w:val="00472F6E"/>
    <w:rsid w:val="00472F8F"/>
    <w:rsid w:val="00472F9E"/>
    <w:rsid w:val="00472FCD"/>
    <w:rsid w:val="00472FFD"/>
    <w:rsid w:val="004730AF"/>
    <w:rsid w:val="004730C4"/>
    <w:rsid w:val="004730F8"/>
    <w:rsid w:val="00473136"/>
    <w:rsid w:val="00473170"/>
    <w:rsid w:val="004731AE"/>
    <w:rsid w:val="004731E5"/>
    <w:rsid w:val="004731E6"/>
    <w:rsid w:val="0047320A"/>
    <w:rsid w:val="0047326E"/>
    <w:rsid w:val="004732A2"/>
    <w:rsid w:val="004732E9"/>
    <w:rsid w:val="0047333F"/>
    <w:rsid w:val="00473380"/>
    <w:rsid w:val="004733CB"/>
    <w:rsid w:val="00473424"/>
    <w:rsid w:val="00473472"/>
    <w:rsid w:val="0047349D"/>
    <w:rsid w:val="004734C4"/>
    <w:rsid w:val="004734DF"/>
    <w:rsid w:val="00473518"/>
    <w:rsid w:val="00473525"/>
    <w:rsid w:val="0047358E"/>
    <w:rsid w:val="00473607"/>
    <w:rsid w:val="00473616"/>
    <w:rsid w:val="0047363A"/>
    <w:rsid w:val="0047364C"/>
    <w:rsid w:val="00473690"/>
    <w:rsid w:val="00473694"/>
    <w:rsid w:val="004736BD"/>
    <w:rsid w:val="0047372B"/>
    <w:rsid w:val="00473758"/>
    <w:rsid w:val="0047384E"/>
    <w:rsid w:val="00473898"/>
    <w:rsid w:val="004738DA"/>
    <w:rsid w:val="00473928"/>
    <w:rsid w:val="00473944"/>
    <w:rsid w:val="00473952"/>
    <w:rsid w:val="0047396A"/>
    <w:rsid w:val="004739AE"/>
    <w:rsid w:val="004739C7"/>
    <w:rsid w:val="00473A17"/>
    <w:rsid w:val="00473A9F"/>
    <w:rsid w:val="00473ADB"/>
    <w:rsid w:val="00473ADD"/>
    <w:rsid w:val="00473AEF"/>
    <w:rsid w:val="00473AF1"/>
    <w:rsid w:val="00473BE0"/>
    <w:rsid w:val="00473BE9"/>
    <w:rsid w:val="00473C36"/>
    <w:rsid w:val="00473C4D"/>
    <w:rsid w:val="00473CA6"/>
    <w:rsid w:val="00473CAD"/>
    <w:rsid w:val="00473D0D"/>
    <w:rsid w:val="00473D1F"/>
    <w:rsid w:val="00473D26"/>
    <w:rsid w:val="00473D49"/>
    <w:rsid w:val="00473DA7"/>
    <w:rsid w:val="00473E0D"/>
    <w:rsid w:val="00473E2A"/>
    <w:rsid w:val="00473E44"/>
    <w:rsid w:val="00473E6B"/>
    <w:rsid w:val="00473EE4"/>
    <w:rsid w:val="00473EE8"/>
    <w:rsid w:val="00473F34"/>
    <w:rsid w:val="00473F59"/>
    <w:rsid w:val="00473F7B"/>
    <w:rsid w:val="00473FFF"/>
    <w:rsid w:val="00474080"/>
    <w:rsid w:val="00474099"/>
    <w:rsid w:val="004740AC"/>
    <w:rsid w:val="004740CB"/>
    <w:rsid w:val="004740EA"/>
    <w:rsid w:val="004740EF"/>
    <w:rsid w:val="004740F8"/>
    <w:rsid w:val="00474173"/>
    <w:rsid w:val="004741DD"/>
    <w:rsid w:val="004741E1"/>
    <w:rsid w:val="004741FF"/>
    <w:rsid w:val="0047438D"/>
    <w:rsid w:val="00474399"/>
    <w:rsid w:val="0047439E"/>
    <w:rsid w:val="004743BA"/>
    <w:rsid w:val="0047441A"/>
    <w:rsid w:val="0047446B"/>
    <w:rsid w:val="00474490"/>
    <w:rsid w:val="004744AF"/>
    <w:rsid w:val="004744B2"/>
    <w:rsid w:val="004744F0"/>
    <w:rsid w:val="00474552"/>
    <w:rsid w:val="00474566"/>
    <w:rsid w:val="0047457F"/>
    <w:rsid w:val="00474585"/>
    <w:rsid w:val="004745CD"/>
    <w:rsid w:val="004745F5"/>
    <w:rsid w:val="00474612"/>
    <w:rsid w:val="0047462E"/>
    <w:rsid w:val="004746BD"/>
    <w:rsid w:val="00474711"/>
    <w:rsid w:val="0047477C"/>
    <w:rsid w:val="00474788"/>
    <w:rsid w:val="004747A4"/>
    <w:rsid w:val="004747EF"/>
    <w:rsid w:val="0047484D"/>
    <w:rsid w:val="004748E3"/>
    <w:rsid w:val="004748E6"/>
    <w:rsid w:val="00474948"/>
    <w:rsid w:val="004749BC"/>
    <w:rsid w:val="00474A73"/>
    <w:rsid w:val="00474B38"/>
    <w:rsid w:val="00474BA9"/>
    <w:rsid w:val="00474BAC"/>
    <w:rsid w:val="00474E0E"/>
    <w:rsid w:val="00474E33"/>
    <w:rsid w:val="00474E9A"/>
    <w:rsid w:val="00474EEA"/>
    <w:rsid w:val="00474FBE"/>
    <w:rsid w:val="00474FC5"/>
    <w:rsid w:val="0047501A"/>
    <w:rsid w:val="00475027"/>
    <w:rsid w:val="00475032"/>
    <w:rsid w:val="00475049"/>
    <w:rsid w:val="0047505C"/>
    <w:rsid w:val="0047508F"/>
    <w:rsid w:val="00475110"/>
    <w:rsid w:val="0047513F"/>
    <w:rsid w:val="0047514A"/>
    <w:rsid w:val="00475161"/>
    <w:rsid w:val="004751A7"/>
    <w:rsid w:val="004751AC"/>
    <w:rsid w:val="004751B4"/>
    <w:rsid w:val="004751BA"/>
    <w:rsid w:val="0047525F"/>
    <w:rsid w:val="004752D4"/>
    <w:rsid w:val="00475308"/>
    <w:rsid w:val="0047535F"/>
    <w:rsid w:val="004753B9"/>
    <w:rsid w:val="004753E3"/>
    <w:rsid w:val="00475417"/>
    <w:rsid w:val="00475449"/>
    <w:rsid w:val="00475497"/>
    <w:rsid w:val="004754B1"/>
    <w:rsid w:val="0047551B"/>
    <w:rsid w:val="00475667"/>
    <w:rsid w:val="0047571D"/>
    <w:rsid w:val="00475731"/>
    <w:rsid w:val="00475788"/>
    <w:rsid w:val="004757BC"/>
    <w:rsid w:val="00475840"/>
    <w:rsid w:val="004758AE"/>
    <w:rsid w:val="004758D9"/>
    <w:rsid w:val="004759AC"/>
    <w:rsid w:val="004759CC"/>
    <w:rsid w:val="00475BD4"/>
    <w:rsid w:val="00475C1F"/>
    <w:rsid w:val="00475CD9"/>
    <w:rsid w:val="00475D0B"/>
    <w:rsid w:val="00475D32"/>
    <w:rsid w:val="00475D73"/>
    <w:rsid w:val="00475DF3"/>
    <w:rsid w:val="00475E68"/>
    <w:rsid w:val="00475EB0"/>
    <w:rsid w:val="00475EFB"/>
    <w:rsid w:val="00475FCD"/>
    <w:rsid w:val="00476012"/>
    <w:rsid w:val="00476018"/>
    <w:rsid w:val="00476019"/>
    <w:rsid w:val="00476029"/>
    <w:rsid w:val="004760BE"/>
    <w:rsid w:val="004760F9"/>
    <w:rsid w:val="0047616B"/>
    <w:rsid w:val="004761D5"/>
    <w:rsid w:val="00476297"/>
    <w:rsid w:val="004762B9"/>
    <w:rsid w:val="004762C5"/>
    <w:rsid w:val="004762CF"/>
    <w:rsid w:val="0047634F"/>
    <w:rsid w:val="00476382"/>
    <w:rsid w:val="004763A2"/>
    <w:rsid w:val="004763B8"/>
    <w:rsid w:val="004763D2"/>
    <w:rsid w:val="004764CA"/>
    <w:rsid w:val="004764F2"/>
    <w:rsid w:val="00476535"/>
    <w:rsid w:val="004765D3"/>
    <w:rsid w:val="004765D5"/>
    <w:rsid w:val="00476646"/>
    <w:rsid w:val="00476660"/>
    <w:rsid w:val="0047668D"/>
    <w:rsid w:val="004767BC"/>
    <w:rsid w:val="004767D6"/>
    <w:rsid w:val="004767E9"/>
    <w:rsid w:val="004767FE"/>
    <w:rsid w:val="0047681C"/>
    <w:rsid w:val="00476826"/>
    <w:rsid w:val="00476861"/>
    <w:rsid w:val="00476890"/>
    <w:rsid w:val="0047691E"/>
    <w:rsid w:val="0047693E"/>
    <w:rsid w:val="004769B6"/>
    <w:rsid w:val="004769BF"/>
    <w:rsid w:val="004769EB"/>
    <w:rsid w:val="004769FB"/>
    <w:rsid w:val="00476A1B"/>
    <w:rsid w:val="00476A69"/>
    <w:rsid w:val="00476A6F"/>
    <w:rsid w:val="00476AA3"/>
    <w:rsid w:val="00476AF0"/>
    <w:rsid w:val="00476B03"/>
    <w:rsid w:val="00476B0B"/>
    <w:rsid w:val="00476B52"/>
    <w:rsid w:val="00476BC9"/>
    <w:rsid w:val="00476C04"/>
    <w:rsid w:val="00476C43"/>
    <w:rsid w:val="00476C50"/>
    <w:rsid w:val="00476C7F"/>
    <w:rsid w:val="00476C81"/>
    <w:rsid w:val="00476CA9"/>
    <w:rsid w:val="00476D39"/>
    <w:rsid w:val="00476DBB"/>
    <w:rsid w:val="00476DD4"/>
    <w:rsid w:val="00476E0E"/>
    <w:rsid w:val="00476E2E"/>
    <w:rsid w:val="00476E86"/>
    <w:rsid w:val="00476ECA"/>
    <w:rsid w:val="00476ED7"/>
    <w:rsid w:val="00476F21"/>
    <w:rsid w:val="00476F56"/>
    <w:rsid w:val="00476F7C"/>
    <w:rsid w:val="00476FE1"/>
    <w:rsid w:val="00477001"/>
    <w:rsid w:val="00477190"/>
    <w:rsid w:val="00477194"/>
    <w:rsid w:val="004771F7"/>
    <w:rsid w:val="0047720E"/>
    <w:rsid w:val="00477267"/>
    <w:rsid w:val="0047728B"/>
    <w:rsid w:val="004772C0"/>
    <w:rsid w:val="00477364"/>
    <w:rsid w:val="00477365"/>
    <w:rsid w:val="00477376"/>
    <w:rsid w:val="00477387"/>
    <w:rsid w:val="004773C0"/>
    <w:rsid w:val="004773CC"/>
    <w:rsid w:val="0047740A"/>
    <w:rsid w:val="0047741A"/>
    <w:rsid w:val="00477427"/>
    <w:rsid w:val="00477451"/>
    <w:rsid w:val="00477466"/>
    <w:rsid w:val="00477467"/>
    <w:rsid w:val="00477480"/>
    <w:rsid w:val="0047749B"/>
    <w:rsid w:val="004774C7"/>
    <w:rsid w:val="0047750B"/>
    <w:rsid w:val="00477556"/>
    <w:rsid w:val="004775E8"/>
    <w:rsid w:val="004775F4"/>
    <w:rsid w:val="00477622"/>
    <w:rsid w:val="0047763D"/>
    <w:rsid w:val="0047765D"/>
    <w:rsid w:val="0047766F"/>
    <w:rsid w:val="004776A0"/>
    <w:rsid w:val="004776C0"/>
    <w:rsid w:val="004776FE"/>
    <w:rsid w:val="00477701"/>
    <w:rsid w:val="00477703"/>
    <w:rsid w:val="0047775F"/>
    <w:rsid w:val="00477773"/>
    <w:rsid w:val="004777A9"/>
    <w:rsid w:val="004777C2"/>
    <w:rsid w:val="0047780D"/>
    <w:rsid w:val="00477831"/>
    <w:rsid w:val="0047784E"/>
    <w:rsid w:val="004778C3"/>
    <w:rsid w:val="0047793C"/>
    <w:rsid w:val="00477992"/>
    <w:rsid w:val="004779CB"/>
    <w:rsid w:val="00477A2E"/>
    <w:rsid w:val="00477A53"/>
    <w:rsid w:val="00477A90"/>
    <w:rsid w:val="00477A95"/>
    <w:rsid w:val="00477AB0"/>
    <w:rsid w:val="00477AD0"/>
    <w:rsid w:val="00477AE3"/>
    <w:rsid w:val="00477AF7"/>
    <w:rsid w:val="00477B5E"/>
    <w:rsid w:val="00477BBD"/>
    <w:rsid w:val="00477BE0"/>
    <w:rsid w:val="00477BE8"/>
    <w:rsid w:val="00477BEC"/>
    <w:rsid w:val="00477C0C"/>
    <w:rsid w:val="00477C1A"/>
    <w:rsid w:val="00477C49"/>
    <w:rsid w:val="00477C58"/>
    <w:rsid w:val="00477CD7"/>
    <w:rsid w:val="00477D0D"/>
    <w:rsid w:val="00477D2D"/>
    <w:rsid w:val="00477D69"/>
    <w:rsid w:val="00477D99"/>
    <w:rsid w:val="00477DCA"/>
    <w:rsid w:val="00477E8F"/>
    <w:rsid w:val="00477E93"/>
    <w:rsid w:val="00477ED1"/>
    <w:rsid w:val="00477F5B"/>
    <w:rsid w:val="0047E664"/>
    <w:rsid w:val="00480045"/>
    <w:rsid w:val="0048004E"/>
    <w:rsid w:val="00480058"/>
    <w:rsid w:val="00480061"/>
    <w:rsid w:val="004800A5"/>
    <w:rsid w:val="004800B6"/>
    <w:rsid w:val="004800C3"/>
    <w:rsid w:val="004800FD"/>
    <w:rsid w:val="0048019A"/>
    <w:rsid w:val="004801D9"/>
    <w:rsid w:val="004801E3"/>
    <w:rsid w:val="004801FB"/>
    <w:rsid w:val="00480332"/>
    <w:rsid w:val="00480337"/>
    <w:rsid w:val="0048033C"/>
    <w:rsid w:val="0048035A"/>
    <w:rsid w:val="004803A4"/>
    <w:rsid w:val="00480477"/>
    <w:rsid w:val="0048049D"/>
    <w:rsid w:val="004804B9"/>
    <w:rsid w:val="004804EC"/>
    <w:rsid w:val="004804FC"/>
    <w:rsid w:val="004804FD"/>
    <w:rsid w:val="00480585"/>
    <w:rsid w:val="0048058C"/>
    <w:rsid w:val="004805A8"/>
    <w:rsid w:val="00480611"/>
    <w:rsid w:val="0048063C"/>
    <w:rsid w:val="0048066A"/>
    <w:rsid w:val="004806F4"/>
    <w:rsid w:val="0048079F"/>
    <w:rsid w:val="004807B6"/>
    <w:rsid w:val="004807BC"/>
    <w:rsid w:val="004807D4"/>
    <w:rsid w:val="004807F1"/>
    <w:rsid w:val="0048084D"/>
    <w:rsid w:val="004808B2"/>
    <w:rsid w:val="004808B5"/>
    <w:rsid w:val="004808F9"/>
    <w:rsid w:val="00480909"/>
    <w:rsid w:val="00480915"/>
    <w:rsid w:val="0048099B"/>
    <w:rsid w:val="004809DE"/>
    <w:rsid w:val="004809E7"/>
    <w:rsid w:val="00480A59"/>
    <w:rsid w:val="00480AD4"/>
    <w:rsid w:val="00480AE1"/>
    <w:rsid w:val="00480B0E"/>
    <w:rsid w:val="00480B51"/>
    <w:rsid w:val="00480C2E"/>
    <w:rsid w:val="00480CE0"/>
    <w:rsid w:val="00480CEB"/>
    <w:rsid w:val="00480D3F"/>
    <w:rsid w:val="00480D4C"/>
    <w:rsid w:val="00480D7D"/>
    <w:rsid w:val="00480DD2"/>
    <w:rsid w:val="00480E3A"/>
    <w:rsid w:val="00480EB0"/>
    <w:rsid w:val="00480F57"/>
    <w:rsid w:val="00481033"/>
    <w:rsid w:val="0048104D"/>
    <w:rsid w:val="00481068"/>
    <w:rsid w:val="004810FB"/>
    <w:rsid w:val="0048110D"/>
    <w:rsid w:val="00481132"/>
    <w:rsid w:val="0048117A"/>
    <w:rsid w:val="004811AE"/>
    <w:rsid w:val="00481211"/>
    <w:rsid w:val="00481254"/>
    <w:rsid w:val="004812D2"/>
    <w:rsid w:val="00481321"/>
    <w:rsid w:val="00481376"/>
    <w:rsid w:val="00481395"/>
    <w:rsid w:val="004813F8"/>
    <w:rsid w:val="0048144A"/>
    <w:rsid w:val="0048145D"/>
    <w:rsid w:val="00481519"/>
    <w:rsid w:val="0048156D"/>
    <w:rsid w:val="00481625"/>
    <w:rsid w:val="004816AC"/>
    <w:rsid w:val="004816AF"/>
    <w:rsid w:val="004816E4"/>
    <w:rsid w:val="004816ED"/>
    <w:rsid w:val="0048172B"/>
    <w:rsid w:val="00481746"/>
    <w:rsid w:val="00481784"/>
    <w:rsid w:val="004817AA"/>
    <w:rsid w:val="004817BA"/>
    <w:rsid w:val="00481834"/>
    <w:rsid w:val="0048183F"/>
    <w:rsid w:val="0048188C"/>
    <w:rsid w:val="004818B7"/>
    <w:rsid w:val="004818F7"/>
    <w:rsid w:val="00481913"/>
    <w:rsid w:val="00481937"/>
    <w:rsid w:val="0048196D"/>
    <w:rsid w:val="004819B6"/>
    <w:rsid w:val="004819EA"/>
    <w:rsid w:val="00481A5D"/>
    <w:rsid w:val="00481A89"/>
    <w:rsid w:val="00481A8D"/>
    <w:rsid w:val="00481A96"/>
    <w:rsid w:val="00481ABD"/>
    <w:rsid w:val="00481AD5"/>
    <w:rsid w:val="00481B01"/>
    <w:rsid w:val="00481B02"/>
    <w:rsid w:val="00481BFD"/>
    <w:rsid w:val="00481BFF"/>
    <w:rsid w:val="00481C32"/>
    <w:rsid w:val="00481C54"/>
    <w:rsid w:val="00481C72"/>
    <w:rsid w:val="00481C96"/>
    <w:rsid w:val="00481CA4"/>
    <w:rsid w:val="00481CF9"/>
    <w:rsid w:val="00481D31"/>
    <w:rsid w:val="00481D33"/>
    <w:rsid w:val="00481DED"/>
    <w:rsid w:val="00481DF6"/>
    <w:rsid w:val="00481E49"/>
    <w:rsid w:val="00481E57"/>
    <w:rsid w:val="00481E68"/>
    <w:rsid w:val="00481E85"/>
    <w:rsid w:val="00481EE3"/>
    <w:rsid w:val="00481F15"/>
    <w:rsid w:val="00481F2E"/>
    <w:rsid w:val="00481F3F"/>
    <w:rsid w:val="0048201C"/>
    <w:rsid w:val="0048202E"/>
    <w:rsid w:val="0048204A"/>
    <w:rsid w:val="00482054"/>
    <w:rsid w:val="00482071"/>
    <w:rsid w:val="00482095"/>
    <w:rsid w:val="004820B4"/>
    <w:rsid w:val="004820B9"/>
    <w:rsid w:val="004820BF"/>
    <w:rsid w:val="004820F1"/>
    <w:rsid w:val="00482108"/>
    <w:rsid w:val="00482129"/>
    <w:rsid w:val="00482153"/>
    <w:rsid w:val="00482157"/>
    <w:rsid w:val="0048215A"/>
    <w:rsid w:val="00482179"/>
    <w:rsid w:val="00482185"/>
    <w:rsid w:val="004821A8"/>
    <w:rsid w:val="00482269"/>
    <w:rsid w:val="0048227E"/>
    <w:rsid w:val="004822D3"/>
    <w:rsid w:val="00482338"/>
    <w:rsid w:val="004823A1"/>
    <w:rsid w:val="004823C0"/>
    <w:rsid w:val="004823DC"/>
    <w:rsid w:val="004823E6"/>
    <w:rsid w:val="004823E7"/>
    <w:rsid w:val="004824FE"/>
    <w:rsid w:val="00482526"/>
    <w:rsid w:val="00482527"/>
    <w:rsid w:val="00482533"/>
    <w:rsid w:val="00482540"/>
    <w:rsid w:val="004825DD"/>
    <w:rsid w:val="004825DE"/>
    <w:rsid w:val="004825EB"/>
    <w:rsid w:val="00482635"/>
    <w:rsid w:val="00482664"/>
    <w:rsid w:val="0048269B"/>
    <w:rsid w:val="00482709"/>
    <w:rsid w:val="00482729"/>
    <w:rsid w:val="004827A4"/>
    <w:rsid w:val="004827E6"/>
    <w:rsid w:val="004827EF"/>
    <w:rsid w:val="0048282B"/>
    <w:rsid w:val="00482844"/>
    <w:rsid w:val="004828A2"/>
    <w:rsid w:val="0048290F"/>
    <w:rsid w:val="00482945"/>
    <w:rsid w:val="0048294A"/>
    <w:rsid w:val="0048294B"/>
    <w:rsid w:val="0048296D"/>
    <w:rsid w:val="0048299B"/>
    <w:rsid w:val="004829C8"/>
    <w:rsid w:val="004829D9"/>
    <w:rsid w:val="00482A77"/>
    <w:rsid w:val="00482ABE"/>
    <w:rsid w:val="00482AC8"/>
    <w:rsid w:val="00482B58"/>
    <w:rsid w:val="00482B61"/>
    <w:rsid w:val="00482B63"/>
    <w:rsid w:val="00482B7E"/>
    <w:rsid w:val="00482BA1"/>
    <w:rsid w:val="00482BC0"/>
    <w:rsid w:val="00482BEA"/>
    <w:rsid w:val="00482C12"/>
    <w:rsid w:val="00482C2F"/>
    <w:rsid w:val="00482C41"/>
    <w:rsid w:val="00482C94"/>
    <w:rsid w:val="00482D12"/>
    <w:rsid w:val="00482D35"/>
    <w:rsid w:val="00482D79"/>
    <w:rsid w:val="00482D97"/>
    <w:rsid w:val="00482E25"/>
    <w:rsid w:val="00482E61"/>
    <w:rsid w:val="00482E6A"/>
    <w:rsid w:val="00482EA7"/>
    <w:rsid w:val="00482F09"/>
    <w:rsid w:val="00482F37"/>
    <w:rsid w:val="00482FAC"/>
    <w:rsid w:val="00482FBE"/>
    <w:rsid w:val="00482FD7"/>
    <w:rsid w:val="00482FF0"/>
    <w:rsid w:val="00482FF4"/>
    <w:rsid w:val="0048301F"/>
    <w:rsid w:val="0048304A"/>
    <w:rsid w:val="0048306A"/>
    <w:rsid w:val="00483078"/>
    <w:rsid w:val="004830F6"/>
    <w:rsid w:val="004830F7"/>
    <w:rsid w:val="00483143"/>
    <w:rsid w:val="0048316B"/>
    <w:rsid w:val="00483175"/>
    <w:rsid w:val="004831E6"/>
    <w:rsid w:val="0048321A"/>
    <w:rsid w:val="00483227"/>
    <w:rsid w:val="0048322A"/>
    <w:rsid w:val="00483297"/>
    <w:rsid w:val="0048329D"/>
    <w:rsid w:val="004832BF"/>
    <w:rsid w:val="004832D1"/>
    <w:rsid w:val="004832EC"/>
    <w:rsid w:val="00483305"/>
    <w:rsid w:val="0048337D"/>
    <w:rsid w:val="004833C1"/>
    <w:rsid w:val="00483410"/>
    <w:rsid w:val="00483445"/>
    <w:rsid w:val="00483516"/>
    <w:rsid w:val="00483545"/>
    <w:rsid w:val="0048355B"/>
    <w:rsid w:val="0048356D"/>
    <w:rsid w:val="0048357B"/>
    <w:rsid w:val="0048359C"/>
    <w:rsid w:val="004835CD"/>
    <w:rsid w:val="004835ED"/>
    <w:rsid w:val="0048369E"/>
    <w:rsid w:val="004836AB"/>
    <w:rsid w:val="00483723"/>
    <w:rsid w:val="00483790"/>
    <w:rsid w:val="004837AB"/>
    <w:rsid w:val="004837DC"/>
    <w:rsid w:val="004837F2"/>
    <w:rsid w:val="00483838"/>
    <w:rsid w:val="00483842"/>
    <w:rsid w:val="0048384F"/>
    <w:rsid w:val="00483863"/>
    <w:rsid w:val="00483880"/>
    <w:rsid w:val="004838D0"/>
    <w:rsid w:val="004838E9"/>
    <w:rsid w:val="00483977"/>
    <w:rsid w:val="0048399A"/>
    <w:rsid w:val="004839A4"/>
    <w:rsid w:val="004839C1"/>
    <w:rsid w:val="004839D2"/>
    <w:rsid w:val="004839F3"/>
    <w:rsid w:val="00483A41"/>
    <w:rsid w:val="00483A8F"/>
    <w:rsid w:val="00483A92"/>
    <w:rsid w:val="00483AA3"/>
    <w:rsid w:val="00483AC3"/>
    <w:rsid w:val="00483AF6"/>
    <w:rsid w:val="00483B3C"/>
    <w:rsid w:val="00483B72"/>
    <w:rsid w:val="00483B91"/>
    <w:rsid w:val="00483BB9"/>
    <w:rsid w:val="00483BBD"/>
    <w:rsid w:val="00483C24"/>
    <w:rsid w:val="00483CE3"/>
    <w:rsid w:val="00483D15"/>
    <w:rsid w:val="00483D6A"/>
    <w:rsid w:val="00483DF5"/>
    <w:rsid w:val="00483E13"/>
    <w:rsid w:val="00483E3A"/>
    <w:rsid w:val="00483E55"/>
    <w:rsid w:val="00483E90"/>
    <w:rsid w:val="00483EBB"/>
    <w:rsid w:val="00483EDD"/>
    <w:rsid w:val="00483EE5"/>
    <w:rsid w:val="00483F57"/>
    <w:rsid w:val="00483F86"/>
    <w:rsid w:val="00483FF1"/>
    <w:rsid w:val="0048409B"/>
    <w:rsid w:val="00484157"/>
    <w:rsid w:val="004841A9"/>
    <w:rsid w:val="004841B8"/>
    <w:rsid w:val="004841BD"/>
    <w:rsid w:val="004841C0"/>
    <w:rsid w:val="004841CC"/>
    <w:rsid w:val="004841D0"/>
    <w:rsid w:val="00484200"/>
    <w:rsid w:val="0048420B"/>
    <w:rsid w:val="00484243"/>
    <w:rsid w:val="00484272"/>
    <w:rsid w:val="004842BB"/>
    <w:rsid w:val="004842D9"/>
    <w:rsid w:val="00484384"/>
    <w:rsid w:val="0048439D"/>
    <w:rsid w:val="004843BB"/>
    <w:rsid w:val="00484446"/>
    <w:rsid w:val="004844EF"/>
    <w:rsid w:val="004844FE"/>
    <w:rsid w:val="00484501"/>
    <w:rsid w:val="00484528"/>
    <w:rsid w:val="004845CD"/>
    <w:rsid w:val="004845D8"/>
    <w:rsid w:val="004845DE"/>
    <w:rsid w:val="00484606"/>
    <w:rsid w:val="0048465D"/>
    <w:rsid w:val="004846A4"/>
    <w:rsid w:val="004846BC"/>
    <w:rsid w:val="004846D3"/>
    <w:rsid w:val="004846D7"/>
    <w:rsid w:val="00484774"/>
    <w:rsid w:val="004847E8"/>
    <w:rsid w:val="00484832"/>
    <w:rsid w:val="00484862"/>
    <w:rsid w:val="00484950"/>
    <w:rsid w:val="00484968"/>
    <w:rsid w:val="004849CF"/>
    <w:rsid w:val="00484A4A"/>
    <w:rsid w:val="00484A7A"/>
    <w:rsid w:val="00484AA5"/>
    <w:rsid w:val="00484AAA"/>
    <w:rsid w:val="00484ADD"/>
    <w:rsid w:val="00484B09"/>
    <w:rsid w:val="00484B83"/>
    <w:rsid w:val="00484BA9"/>
    <w:rsid w:val="00484BF6"/>
    <w:rsid w:val="00484BF9"/>
    <w:rsid w:val="00484C23"/>
    <w:rsid w:val="00484C49"/>
    <w:rsid w:val="00484CA3"/>
    <w:rsid w:val="00484CC5"/>
    <w:rsid w:val="00484D0A"/>
    <w:rsid w:val="00484D16"/>
    <w:rsid w:val="00484D43"/>
    <w:rsid w:val="00484D95"/>
    <w:rsid w:val="00484E2C"/>
    <w:rsid w:val="00484E6F"/>
    <w:rsid w:val="00484EF8"/>
    <w:rsid w:val="00484F06"/>
    <w:rsid w:val="00484F1D"/>
    <w:rsid w:val="00484F23"/>
    <w:rsid w:val="00484F2B"/>
    <w:rsid w:val="00484F64"/>
    <w:rsid w:val="00484F70"/>
    <w:rsid w:val="00484F9C"/>
    <w:rsid w:val="00484FC2"/>
    <w:rsid w:val="00485010"/>
    <w:rsid w:val="00485014"/>
    <w:rsid w:val="0048509E"/>
    <w:rsid w:val="004850B1"/>
    <w:rsid w:val="00485104"/>
    <w:rsid w:val="00485109"/>
    <w:rsid w:val="00485115"/>
    <w:rsid w:val="0048514A"/>
    <w:rsid w:val="00485178"/>
    <w:rsid w:val="0048518A"/>
    <w:rsid w:val="004851A6"/>
    <w:rsid w:val="00485232"/>
    <w:rsid w:val="004852AB"/>
    <w:rsid w:val="004852AF"/>
    <w:rsid w:val="004852DA"/>
    <w:rsid w:val="004852EF"/>
    <w:rsid w:val="00485319"/>
    <w:rsid w:val="0048532A"/>
    <w:rsid w:val="0048532F"/>
    <w:rsid w:val="0048536B"/>
    <w:rsid w:val="00485399"/>
    <w:rsid w:val="004853B2"/>
    <w:rsid w:val="00485401"/>
    <w:rsid w:val="00485478"/>
    <w:rsid w:val="00485521"/>
    <w:rsid w:val="00485538"/>
    <w:rsid w:val="00485545"/>
    <w:rsid w:val="00485582"/>
    <w:rsid w:val="00485589"/>
    <w:rsid w:val="004855C1"/>
    <w:rsid w:val="004855D4"/>
    <w:rsid w:val="00485619"/>
    <w:rsid w:val="00485670"/>
    <w:rsid w:val="00485674"/>
    <w:rsid w:val="0048575B"/>
    <w:rsid w:val="00485762"/>
    <w:rsid w:val="00485782"/>
    <w:rsid w:val="004857E7"/>
    <w:rsid w:val="004858DF"/>
    <w:rsid w:val="0048594C"/>
    <w:rsid w:val="00485975"/>
    <w:rsid w:val="00485994"/>
    <w:rsid w:val="0048599E"/>
    <w:rsid w:val="00485A00"/>
    <w:rsid w:val="00485A31"/>
    <w:rsid w:val="00485A41"/>
    <w:rsid w:val="00485AA5"/>
    <w:rsid w:val="00485AAA"/>
    <w:rsid w:val="00485B1B"/>
    <w:rsid w:val="00485B56"/>
    <w:rsid w:val="00485B5C"/>
    <w:rsid w:val="00485B8C"/>
    <w:rsid w:val="00485C8F"/>
    <w:rsid w:val="00485CB3"/>
    <w:rsid w:val="00485CEA"/>
    <w:rsid w:val="00485D84"/>
    <w:rsid w:val="00485D8E"/>
    <w:rsid w:val="00485DC2"/>
    <w:rsid w:val="00485DCB"/>
    <w:rsid w:val="00485DD6"/>
    <w:rsid w:val="00485DDC"/>
    <w:rsid w:val="00485DF6"/>
    <w:rsid w:val="00485DF8"/>
    <w:rsid w:val="00485E6F"/>
    <w:rsid w:val="00485EC9"/>
    <w:rsid w:val="00485EDD"/>
    <w:rsid w:val="00485EF5"/>
    <w:rsid w:val="00485F03"/>
    <w:rsid w:val="00485FC8"/>
    <w:rsid w:val="00485FDA"/>
    <w:rsid w:val="00486021"/>
    <w:rsid w:val="00486031"/>
    <w:rsid w:val="004860A4"/>
    <w:rsid w:val="004860B5"/>
    <w:rsid w:val="004860FB"/>
    <w:rsid w:val="00486174"/>
    <w:rsid w:val="00486194"/>
    <w:rsid w:val="004861FB"/>
    <w:rsid w:val="00486224"/>
    <w:rsid w:val="00486281"/>
    <w:rsid w:val="004862CE"/>
    <w:rsid w:val="004862D2"/>
    <w:rsid w:val="004862DE"/>
    <w:rsid w:val="004862E9"/>
    <w:rsid w:val="004863A4"/>
    <w:rsid w:val="004863B8"/>
    <w:rsid w:val="004863F1"/>
    <w:rsid w:val="00486458"/>
    <w:rsid w:val="0048654B"/>
    <w:rsid w:val="00486555"/>
    <w:rsid w:val="00486560"/>
    <w:rsid w:val="00486588"/>
    <w:rsid w:val="004865CE"/>
    <w:rsid w:val="0048660B"/>
    <w:rsid w:val="00486641"/>
    <w:rsid w:val="00486666"/>
    <w:rsid w:val="004866AC"/>
    <w:rsid w:val="00486804"/>
    <w:rsid w:val="0048687E"/>
    <w:rsid w:val="004868A7"/>
    <w:rsid w:val="004868C2"/>
    <w:rsid w:val="004868C3"/>
    <w:rsid w:val="004868C6"/>
    <w:rsid w:val="004868E4"/>
    <w:rsid w:val="004868EA"/>
    <w:rsid w:val="004868EE"/>
    <w:rsid w:val="00486961"/>
    <w:rsid w:val="0048698A"/>
    <w:rsid w:val="004869BC"/>
    <w:rsid w:val="00486A6E"/>
    <w:rsid w:val="00486AB2"/>
    <w:rsid w:val="00486AE5"/>
    <w:rsid w:val="00486B1A"/>
    <w:rsid w:val="00486B2B"/>
    <w:rsid w:val="00486BB7"/>
    <w:rsid w:val="00486BD7"/>
    <w:rsid w:val="00486C05"/>
    <w:rsid w:val="00486C50"/>
    <w:rsid w:val="00486C83"/>
    <w:rsid w:val="00486C86"/>
    <w:rsid w:val="00486CAC"/>
    <w:rsid w:val="00486D01"/>
    <w:rsid w:val="00486D02"/>
    <w:rsid w:val="00486D36"/>
    <w:rsid w:val="00486DFB"/>
    <w:rsid w:val="00486E07"/>
    <w:rsid w:val="00486E16"/>
    <w:rsid w:val="00486E17"/>
    <w:rsid w:val="00486E1C"/>
    <w:rsid w:val="00486E33"/>
    <w:rsid w:val="00486E60"/>
    <w:rsid w:val="00486EFC"/>
    <w:rsid w:val="00486F11"/>
    <w:rsid w:val="00486F6C"/>
    <w:rsid w:val="00486FAE"/>
    <w:rsid w:val="00486FCD"/>
    <w:rsid w:val="00487018"/>
    <w:rsid w:val="004870CD"/>
    <w:rsid w:val="004870D7"/>
    <w:rsid w:val="00487109"/>
    <w:rsid w:val="00487249"/>
    <w:rsid w:val="00487312"/>
    <w:rsid w:val="00487327"/>
    <w:rsid w:val="004873A1"/>
    <w:rsid w:val="004873C0"/>
    <w:rsid w:val="004874AB"/>
    <w:rsid w:val="004874AD"/>
    <w:rsid w:val="004874C7"/>
    <w:rsid w:val="004874DC"/>
    <w:rsid w:val="004874EF"/>
    <w:rsid w:val="0048754A"/>
    <w:rsid w:val="00487588"/>
    <w:rsid w:val="004875BE"/>
    <w:rsid w:val="004875CC"/>
    <w:rsid w:val="004875DD"/>
    <w:rsid w:val="00487620"/>
    <w:rsid w:val="00487621"/>
    <w:rsid w:val="004876C2"/>
    <w:rsid w:val="004876E0"/>
    <w:rsid w:val="0048770A"/>
    <w:rsid w:val="00487766"/>
    <w:rsid w:val="004877AA"/>
    <w:rsid w:val="0048780C"/>
    <w:rsid w:val="0048780E"/>
    <w:rsid w:val="004878DD"/>
    <w:rsid w:val="004878E0"/>
    <w:rsid w:val="004878E1"/>
    <w:rsid w:val="004878E4"/>
    <w:rsid w:val="004878F1"/>
    <w:rsid w:val="004878F6"/>
    <w:rsid w:val="00487954"/>
    <w:rsid w:val="0048795E"/>
    <w:rsid w:val="004879A9"/>
    <w:rsid w:val="004879C0"/>
    <w:rsid w:val="004879CA"/>
    <w:rsid w:val="004879F4"/>
    <w:rsid w:val="00487A2E"/>
    <w:rsid w:val="00487AAC"/>
    <w:rsid w:val="00487AC4"/>
    <w:rsid w:val="00487B2B"/>
    <w:rsid w:val="00487B42"/>
    <w:rsid w:val="00487B8A"/>
    <w:rsid w:val="00487B9D"/>
    <w:rsid w:val="00487BD0"/>
    <w:rsid w:val="00487BEC"/>
    <w:rsid w:val="00487BEE"/>
    <w:rsid w:val="00487C48"/>
    <w:rsid w:val="00487C98"/>
    <w:rsid w:val="00487CE2"/>
    <w:rsid w:val="00487CE7"/>
    <w:rsid w:val="00487CE8"/>
    <w:rsid w:val="00487D03"/>
    <w:rsid w:val="00487D67"/>
    <w:rsid w:val="00487DAE"/>
    <w:rsid w:val="00487DB8"/>
    <w:rsid w:val="00487DF1"/>
    <w:rsid w:val="00487E8D"/>
    <w:rsid w:val="00487FD4"/>
    <w:rsid w:val="0049003F"/>
    <w:rsid w:val="00490074"/>
    <w:rsid w:val="00490076"/>
    <w:rsid w:val="00490148"/>
    <w:rsid w:val="00490160"/>
    <w:rsid w:val="004901EF"/>
    <w:rsid w:val="004902B8"/>
    <w:rsid w:val="00490309"/>
    <w:rsid w:val="004903B3"/>
    <w:rsid w:val="004903C9"/>
    <w:rsid w:val="00490437"/>
    <w:rsid w:val="00490442"/>
    <w:rsid w:val="0049048E"/>
    <w:rsid w:val="00490496"/>
    <w:rsid w:val="004904B5"/>
    <w:rsid w:val="00490527"/>
    <w:rsid w:val="0049053C"/>
    <w:rsid w:val="004905AF"/>
    <w:rsid w:val="004905DA"/>
    <w:rsid w:val="00490600"/>
    <w:rsid w:val="0049064E"/>
    <w:rsid w:val="004906AA"/>
    <w:rsid w:val="00490733"/>
    <w:rsid w:val="004907C0"/>
    <w:rsid w:val="004907EB"/>
    <w:rsid w:val="00490841"/>
    <w:rsid w:val="0049084D"/>
    <w:rsid w:val="00490859"/>
    <w:rsid w:val="00490866"/>
    <w:rsid w:val="004908C6"/>
    <w:rsid w:val="004908FB"/>
    <w:rsid w:val="00490934"/>
    <w:rsid w:val="00490A65"/>
    <w:rsid w:val="00490A69"/>
    <w:rsid w:val="00490A9F"/>
    <w:rsid w:val="00490ABC"/>
    <w:rsid w:val="00490ABF"/>
    <w:rsid w:val="00490B85"/>
    <w:rsid w:val="00490BD0"/>
    <w:rsid w:val="00490C09"/>
    <w:rsid w:val="00490C61"/>
    <w:rsid w:val="00490C6F"/>
    <w:rsid w:val="00490D20"/>
    <w:rsid w:val="00490D40"/>
    <w:rsid w:val="00490D77"/>
    <w:rsid w:val="00490E0B"/>
    <w:rsid w:val="00490E4E"/>
    <w:rsid w:val="00490E92"/>
    <w:rsid w:val="00490EA7"/>
    <w:rsid w:val="00490EDB"/>
    <w:rsid w:val="00490EE2"/>
    <w:rsid w:val="00490EF8"/>
    <w:rsid w:val="00490F1E"/>
    <w:rsid w:val="00490F20"/>
    <w:rsid w:val="00490FC3"/>
    <w:rsid w:val="00490FCD"/>
    <w:rsid w:val="00490FD5"/>
    <w:rsid w:val="00490FE2"/>
    <w:rsid w:val="0049100D"/>
    <w:rsid w:val="00491012"/>
    <w:rsid w:val="00491068"/>
    <w:rsid w:val="0049107D"/>
    <w:rsid w:val="00491113"/>
    <w:rsid w:val="00491150"/>
    <w:rsid w:val="0049116A"/>
    <w:rsid w:val="00491170"/>
    <w:rsid w:val="0049118E"/>
    <w:rsid w:val="0049120E"/>
    <w:rsid w:val="004912E8"/>
    <w:rsid w:val="00491313"/>
    <w:rsid w:val="0049132A"/>
    <w:rsid w:val="0049132D"/>
    <w:rsid w:val="0049135A"/>
    <w:rsid w:val="004913A5"/>
    <w:rsid w:val="004913A9"/>
    <w:rsid w:val="0049140B"/>
    <w:rsid w:val="0049144A"/>
    <w:rsid w:val="00491471"/>
    <w:rsid w:val="00491472"/>
    <w:rsid w:val="0049151C"/>
    <w:rsid w:val="0049155C"/>
    <w:rsid w:val="00491578"/>
    <w:rsid w:val="004915D7"/>
    <w:rsid w:val="004916AF"/>
    <w:rsid w:val="00491729"/>
    <w:rsid w:val="004917FB"/>
    <w:rsid w:val="0049182F"/>
    <w:rsid w:val="0049185C"/>
    <w:rsid w:val="0049186E"/>
    <w:rsid w:val="004918AD"/>
    <w:rsid w:val="004918C9"/>
    <w:rsid w:val="004918DF"/>
    <w:rsid w:val="0049190B"/>
    <w:rsid w:val="00491910"/>
    <w:rsid w:val="00491928"/>
    <w:rsid w:val="00491934"/>
    <w:rsid w:val="004919C6"/>
    <w:rsid w:val="00491A67"/>
    <w:rsid w:val="00491B4A"/>
    <w:rsid w:val="00491BE4"/>
    <w:rsid w:val="00491BF7"/>
    <w:rsid w:val="00491C02"/>
    <w:rsid w:val="00491C08"/>
    <w:rsid w:val="00491C62"/>
    <w:rsid w:val="00491D4B"/>
    <w:rsid w:val="00491D86"/>
    <w:rsid w:val="00491E1D"/>
    <w:rsid w:val="00491E3C"/>
    <w:rsid w:val="00491E8A"/>
    <w:rsid w:val="00491E8C"/>
    <w:rsid w:val="00491EA0"/>
    <w:rsid w:val="00491EAF"/>
    <w:rsid w:val="00491F29"/>
    <w:rsid w:val="00491F69"/>
    <w:rsid w:val="00491F9A"/>
    <w:rsid w:val="00491FCB"/>
    <w:rsid w:val="00491FDB"/>
    <w:rsid w:val="004920C6"/>
    <w:rsid w:val="004920C8"/>
    <w:rsid w:val="004920EC"/>
    <w:rsid w:val="0049214F"/>
    <w:rsid w:val="004922A5"/>
    <w:rsid w:val="00492309"/>
    <w:rsid w:val="0049232D"/>
    <w:rsid w:val="004923A1"/>
    <w:rsid w:val="004923CD"/>
    <w:rsid w:val="004923E6"/>
    <w:rsid w:val="004923ED"/>
    <w:rsid w:val="00492454"/>
    <w:rsid w:val="0049245C"/>
    <w:rsid w:val="0049246F"/>
    <w:rsid w:val="004924B8"/>
    <w:rsid w:val="004924BE"/>
    <w:rsid w:val="004924DE"/>
    <w:rsid w:val="00492514"/>
    <w:rsid w:val="00492545"/>
    <w:rsid w:val="0049257F"/>
    <w:rsid w:val="0049259F"/>
    <w:rsid w:val="004925D0"/>
    <w:rsid w:val="004925EB"/>
    <w:rsid w:val="004926C4"/>
    <w:rsid w:val="004926CA"/>
    <w:rsid w:val="004926D8"/>
    <w:rsid w:val="004926DA"/>
    <w:rsid w:val="004926E3"/>
    <w:rsid w:val="00492749"/>
    <w:rsid w:val="00492808"/>
    <w:rsid w:val="00492839"/>
    <w:rsid w:val="004928C2"/>
    <w:rsid w:val="004928EF"/>
    <w:rsid w:val="00492913"/>
    <w:rsid w:val="0049293E"/>
    <w:rsid w:val="0049297E"/>
    <w:rsid w:val="004929E2"/>
    <w:rsid w:val="004929FB"/>
    <w:rsid w:val="00492A0D"/>
    <w:rsid w:val="00492A0F"/>
    <w:rsid w:val="00492A28"/>
    <w:rsid w:val="00492A39"/>
    <w:rsid w:val="00492A7B"/>
    <w:rsid w:val="00492AC9"/>
    <w:rsid w:val="00492AE9"/>
    <w:rsid w:val="00492B4B"/>
    <w:rsid w:val="00492B50"/>
    <w:rsid w:val="00492BB3"/>
    <w:rsid w:val="00492BCD"/>
    <w:rsid w:val="00492C02"/>
    <w:rsid w:val="00492C21"/>
    <w:rsid w:val="00492C42"/>
    <w:rsid w:val="00492C5A"/>
    <w:rsid w:val="00492CCE"/>
    <w:rsid w:val="00492CD5"/>
    <w:rsid w:val="00492D11"/>
    <w:rsid w:val="00492D89"/>
    <w:rsid w:val="00492DAA"/>
    <w:rsid w:val="00492E0D"/>
    <w:rsid w:val="00492E5C"/>
    <w:rsid w:val="00492F53"/>
    <w:rsid w:val="00492F7A"/>
    <w:rsid w:val="00492F8C"/>
    <w:rsid w:val="00492F8E"/>
    <w:rsid w:val="00492F96"/>
    <w:rsid w:val="00492FEB"/>
    <w:rsid w:val="00492FEE"/>
    <w:rsid w:val="00493004"/>
    <w:rsid w:val="004930A0"/>
    <w:rsid w:val="004930CB"/>
    <w:rsid w:val="00493122"/>
    <w:rsid w:val="0049312D"/>
    <w:rsid w:val="004931B6"/>
    <w:rsid w:val="004931EE"/>
    <w:rsid w:val="004931F6"/>
    <w:rsid w:val="004931FF"/>
    <w:rsid w:val="004932CF"/>
    <w:rsid w:val="0049335D"/>
    <w:rsid w:val="004933C6"/>
    <w:rsid w:val="0049340F"/>
    <w:rsid w:val="004934EB"/>
    <w:rsid w:val="00493585"/>
    <w:rsid w:val="004935D2"/>
    <w:rsid w:val="00493643"/>
    <w:rsid w:val="0049366B"/>
    <w:rsid w:val="00493695"/>
    <w:rsid w:val="004936BC"/>
    <w:rsid w:val="00493763"/>
    <w:rsid w:val="0049379A"/>
    <w:rsid w:val="004937AD"/>
    <w:rsid w:val="004937C8"/>
    <w:rsid w:val="004937DE"/>
    <w:rsid w:val="00493822"/>
    <w:rsid w:val="00493832"/>
    <w:rsid w:val="0049386A"/>
    <w:rsid w:val="004938A1"/>
    <w:rsid w:val="004938B3"/>
    <w:rsid w:val="004938BE"/>
    <w:rsid w:val="004939ED"/>
    <w:rsid w:val="004939F2"/>
    <w:rsid w:val="00493A2B"/>
    <w:rsid w:val="00493A57"/>
    <w:rsid w:val="00493B8E"/>
    <w:rsid w:val="00493BAD"/>
    <w:rsid w:val="00493BC7"/>
    <w:rsid w:val="00493BC8"/>
    <w:rsid w:val="00493C09"/>
    <w:rsid w:val="00493C67"/>
    <w:rsid w:val="00493CBE"/>
    <w:rsid w:val="00493CE7"/>
    <w:rsid w:val="00493D01"/>
    <w:rsid w:val="00493D41"/>
    <w:rsid w:val="00493D5F"/>
    <w:rsid w:val="00493D66"/>
    <w:rsid w:val="00493D69"/>
    <w:rsid w:val="00493D84"/>
    <w:rsid w:val="00493DA4"/>
    <w:rsid w:val="00493DBB"/>
    <w:rsid w:val="00493DC4"/>
    <w:rsid w:val="00493DF7"/>
    <w:rsid w:val="00493E3A"/>
    <w:rsid w:val="00493E43"/>
    <w:rsid w:val="00493E8F"/>
    <w:rsid w:val="00493F0B"/>
    <w:rsid w:val="00493F6E"/>
    <w:rsid w:val="00493FC0"/>
    <w:rsid w:val="00494068"/>
    <w:rsid w:val="0049407A"/>
    <w:rsid w:val="004940FA"/>
    <w:rsid w:val="00494150"/>
    <w:rsid w:val="004941B1"/>
    <w:rsid w:val="00494236"/>
    <w:rsid w:val="0049424A"/>
    <w:rsid w:val="0049425B"/>
    <w:rsid w:val="00494265"/>
    <w:rsid w:val="00494266"/>
    <w:rsid w:val="00494277"/>
    <w:rsid w:val="00494294"/>
    <w:rsid w:val="00494306"/>
    <w:rsid w:val="00494339"/>
    <w:rsid w:val="004943D8"/>
    <w:rsid w:val="004943FA"/>
    <w:rsid w:val="0049443C"/>
    <w:rsid w:val="0049445A"/>
    <w:rsid w:val="00494482"/>
    <w:rsid w:val="004944AD"/>
    <w:rsid w:val="0049452D"/>
    <w:rsid w:val="004945DD"/>
    <w:rsid w:val="004945E3"/>
    <w:rsid w:val="004945EC"/>
    <w:rsid w:val="0049465E"/>
    <w:rsid w:val="00494683"/>
    <w:rsid w:val="00494728"/>
    <w:rsid w:val="00494759"/>
    <w:rsid w:val="00494783"/>
    <w:rsid w:val="00494792"/>
    <w:rsid w:val="004947B0"/>
    <w:rsid w:val="004947E4"/>
    <w:rsid w:val="0049483B"/>
    <w:rsid w:val="00494873"/>
    <w:rsid w:val="0049488D"/>
    <w:rsid w:val="00494915"/>
    <w:rsid w:val="00494953"/>
    <w:rsid w:val="00494954"/>
    <w:rsid w:val="004949BC"/>
    <w:rsid w:val="004949D1"/>
    <w:rsid w:val="00494A30"/>
    <w:rsid w:val="00494A3C"/>
    <w:rsid w:val="00494AD5"/>
    <w:rsid w:val="00494B0C"/>
    <w:rsid w:val="00494B11"/>
    <w:rsid w:val="00494B8D"/>
    <w:rsid w:val="00494B9B"/>
    <w:rsid w:val="00494BAB"/>
    <w:rsid w:val="00494BF6"/>
    <w:rsid w:val="00494C00"/>
    <w:rsid w:val="00494C64"/>
    <w:rsid w:val="00494C69"/>
    <w:rsid w:val="00494C99"/>
    <w:rsid w:val="00494CF0"/>
    <w:rsid w:val="00494D3E"/>
    <w:rsid w:val="00494D65"/>
    <w:rsid w:val="00494DFC"/>
    <w:rsid w:val="00494E49"/>
    <w:rsid w:val="00494E58"/>
    <w:rsid w:val="00494E84"/>
    <w:rsid w:val="00494E8A"/>
    <w:rsid w:val="00494EC4"/>
    <w:rsid w:val="00494EF1"/>
    <w:rsid w:val="00494F44"/>
    <w:rsid w:val="00494F6C"/>
    <w:rsid w:val="00494F89"/>
    <w:rsid w:val="00494F9F"/>
    <w:rsid w:val="00494FEA"/>
    <w:rsid w:val="00495068"/>
    <w:rsid w:val="004950B7"/>
    <w:rsid w:val="004950F1"/>
    <w:rsid w:val="0049511E"/>
    <w:rsid w:val="00495148"/>
    <w:rsid w:val="004951A9"/>
    <w:rsid w:val="00495212"/>
    <w:rsid w:val="0049523A"/>
    <w:rsid w:val="00495241"/>
    <w:rsid w:val="00495254"/>
    <w:rsid w:val="0049531B"/>
    <w:rsid w:val="00495351"/>
    <w:rsid w:val="0049535F"/>
    <w:rsid w:val="00495365"/>
    <w:rsid w:val="00495379"/>
    <w:rsid w:val="00495422"/>
    <w:rsid w:val="00495457"/>
    <w:rsid w:val="00495480"/>
    <w:rsid w:val="00495494"/>
    <w:rsid w:val="004954B4"/>
    <w:rsid w:val="004954DF"/>
    <w:rsid w:val="00495505"/>
    <w:rsid w:val="0049552E"/>
    <w:rsid w:val="00495538"/>
    <w:rsid w:val="0049557B"/>
    <w:rsid w:val="00495702"/>
    <w:rsid w:val="0049576A"/>
    <w:rsid w:val="0049578F"/>
    <w:rsid w:val="004957A5"/>
    <w:rsid w:val="004957E0"/>
    <w:rsid w:val="004957EE"/>
    <w:rsid w:val="004957F4"/>
    <w:rsid w:val="00495826"/>
    <w:rsid w:val="0049582B"/>
    <w:rsid w:val="004958D3"/>
    <w:rsid w:val="00495927"/>
    <w:rsid w:val="00495946"/>
    <w:rsid w:val="004959AE"/>
    <w:rsid w:val="004959DB"/>
    <w:rsid w:val="004959E2"/>
    <w:rsid w:val="004959E6"/>
    <w:rsid w:val="00495A11"/>
    <w:rsid w:val="00495A1D"/>
    <w:rsid w:val="00495A3C"/>
    <w:rsid w:val="00495A58"/>
    <w:rsid w:val="00495A6F"/>
    <w:rsid w:val="00495AB4"/>
    <w:rsid w:val="00495AC9"/>
    <w:rsid w:val="00495AF6"/>
    <w:rsid w:val="00495B16"/>
    <w:rsid w:val="00495B5F"/>
    <w:rsid w:val="00495BBB"/>
    <w:rsid w:val="00495BBE"/>
    <w:rsid w:val="00495C8A"/>
    <w:rsid w:val="00495D0F"/>
    <w:rsid w:val="00495D3D"/>
    <w:rsid w:val="00495D83"/>
    <w:rsid w:val="00495DD3"/>
    <w:rsid w:val="00495E0E"/>
    <w:rsid w:val="00495E72"/>
    <w:rsid w:val="00495E82"/>
    <w:rsid w:val="00495EC3"/>
    <w:rsid w:val="00495F89"/>
    <w:rsid w:val="00495F9A"/>
    <w:rsid w:val="00495FAC"/>
    <w:rsid w:val="00495FB8"/>
    <w:rsid w:val="00495FDD"/>
    <w:rsid w:val="00495FFF"/>
    <w:rsid w:val="00496019"/>
    <w:rsid w:val="004960B0"/>
    <w:rsid w:val="004960BE"/>
    <w:rsid w:val="0049612D"/>
    <w:rsid w:val="00496180"/>
    <w:rsid w:val="00496182"/>
    <w:rsid w:val="004961B8"/>
    <w:rsid w:val="004961BA"/>
    <w:rsid w:val="0049621E"/>
    <w:rsid w:val="0049629E"/>
    <w:rsid w:val="004962C8"/>
    <w:rsid w:val="0049630A"/>
    <w:rsid w:val="0049630F"/>
    <w:rsid w:val="00496313"/>
    <w:rsid w:val="00496368"/>
    <w:rsid w:val="00496380"/>
    <w:rsid w:val="004963AD"/>
    <w:rsid w:val="004963D6"/>
    <w:rsid w:val="004963E6"/>
    <w:rsid w:val="00496421"/>
    <w:rsid w:val="00496444"/>
    <w:rsid w:val="0049645B"/>
    <w:rsid w:val="00496476"/>
    <w:rsid w:val="0049649A"/>
    <w:rsid w:val="004964C4"/>
    <w:rsid w:val="00496687"/>
    <w:rsid w:val="004966BB"/>
    <w:rsid w:val="0049671D"/>
    <w:rsid w:val="00496757"/>
    <w:rsid w:val="004967C0"/>
    <w:rsid w:val="004967FD"/>
    <w:rsid w:val="00496801"/>
    <w:rsid w:val="00496810"/>
    <w:rsid w:val="004968C2"/>
    <w:rsid w:val="004968FA"/>
    <w:rsid w:val="00496937"/>
    <w:rsid w:val="00496941"/>
    <w:rsid w:val="00496949"/>
    <w:rsid w:val="00496983"/>
    <w:rsid w:val="004969A2"/>
    <w:rsid w:val="004969C3"/>
    <w:rsid w:val="004969FF"/>
    <w:rsid w:val="00496A1B"/>
    <w:rsid w:val="00496A2D"/>
    <w:rsid w:val="00496A52"/>
    <w:rsid w:val="00496A79"/>
    <w:rsid w:val="00496AAD"/>
    <w:rsid w:val="00496AF0"/>
    <w:rsid w:val="00496BFA"/>
    <w:rsid w:val="00496C18"/>
    <w:rsid w:val="00496C45"/>
    <w:rsid w:val="00496C84"/>
    <w:rsid w:val="00496CAC"/>
    <w:rsid w:val="00496CD2"/>
    <w:rsid w:val="00496CF2"/>
    <w:rsid w:val="00496CF8"/>
    <w:rsid w:val="00496CFC"/>
    <w:rsid w:val="00496D08"/>
    <w:rsid w:val="00496D9F"/>
    <w:rsid w:val="00496DA1"/>
    <w:rsid w:val="00496DC0"/>
    <w:rsid w:val="00496DEB"/>
    <w:rsid w:val="00496E16"/>
    <w:rsid w:val="00496E23"/>
    <w:rsid w:val="00496E28"/>
    <w:rsid w:val="00496E75"/>
    <w:rsid w:val="00496E77"/>
    <w:rsid w:val="00496E9F"/>
    <w:rsid w:val="00496FB5"/>
    <w:rsid w:val="00496FBF"/>
    <w:rsid w:val="00496FD7"/>
    <w:rsid w:val="0049701A"/>
    <w:rsid w:val="0049701C"/>
    <w:rsid w:val="0049702F"/>
    <w:rsid w:val="00497035"/>
    <w:rsid w:val="00497036"/>
    <w:rsid w:val="00497061"/>
    <w:rsid w:val="0049706B"/>
    <w:rsid w:val="0049706E"/>
    <w:rsid w:val="00497083"/>
    <w:rsid w:val="004970D5"/>
    <w:rsid w:val="00497187"/>
    <w:rsid w:val="0049718B"/>
    <w:rsid w:val="004971AC"/>
    <w:rsid w:val="004971CF"/>
    <w:rsid w:val="004971EB"/>
    <w:rsid w:val="0049722C"/>
    <w:rsid w:val="004972CE"/>
    <w:rsid w:val="0049730A"/>
    <w:rsid w:val="00497312"/>
    <w:rsid w:val="004973AE"/>
    <w:rsid w:val="00497566"/>
    <w:rsid w:val="00497575"/>
    <w:rsid w:val="004975A0"/>
    <w:rsid w:val="004975DE"/>
    <w:rsid w:val="0049764B"/>
    <w:rsid w:val="0049766A"/>
    <w:rsid w:val="00497702"/>
    <w:rsid w:val="0049772D"/>
    <w:rsid w:val="004977CE"/>
    <w:rsid w:val="004977CF"/>
    <w:rsid w:val="004977F2"/>
    <w:rsid w:val="0049780A"/>
    <w:rsid w:val="00497849"/>
    <w:rsid w:val="0049785F"/>
    <w:rsid w:val="004978A4"/>
    <w:rsid w:val="004978E7"/>
    <w:rsid w:val="00497919"/>
    <w:rsid w:val="00497962"/>
    <w:rsid w:val="00497985"/>
    <w:rsid w:val="00497AC9"/>
    <w:rsid w:val="00497B09"/>
    <w:rsid w:val="00497B13"/>
    <w:rsid w:val="00497B34"/>
    <w:rsid w:val="00497CB5"/>
    <w:rsid w:val="00497CE0"/>
    <w:rsid w:val="00497D1A"/>
    <w:rsid w:val="00497D28"/>
    <w:rsid w:val="00497D2E"/>
    <w:rsid w:val="00497D57"/>
    <w:rsid w:val="00497D98"/>
    <w:rsid w:val="00497DCA"/>
    <w:rsid w:val="00497DD8"/>
    <w:rsid w:val="00497DE9"/>
    <w:rsid w:val="00497DFC"/>
    <w:rsid w:val="00497E1D"/>
    <w:rsid w:val="00497E22"/>
    <w:rsid w:val="00497ECB"/>
    <w:rsid w:val="00497EEF"/>
    <w:rsid w:val="00497EF1"/>
    <w:rsid w:val="00497F13"/>
    <w:rsid w:val="00497F1E"/>
    <w:rsid w:val="00497F2F"/>
    <w:rsid w:val="00497F38"/>
    <w:rsid w:val="00497F43"/>
    <w:rsid w:val="00497F4A"/>
    <w:rsid w:val="00497F81"/>
    <w:rsid w:val="00497F8A"/>
    <w:rsid w:val="00497FDF"/>
    <w:rsid w:val="004A0011"/>
    <w:rsid w:val="004A0036"/>
    <w:rsid w:val="004A0043"/>
    <w:rsid w:val="004A004F"/>
    <w:rsid w:val="004A005F"/>
    <w:rsid w:val="004A0087"/>
    <w:rsid w:val="004A0105"/>
    <w:rsid w:val="004A0126"/>
    <w:rsid w:val="004A016E"/>
    <w:rsid w:val="004A0199"/>
    <w:rsid w:val="004A0276"/>
    <w:rsid w:val="004A02A3"/>
    <w:rsid w:val="004A0310"/>
    <w:rsid w:val="004A039B"/>
    <w:rsid w:val="004A03E3"/>
    <w:rsid w:val="004A03E7"/>
    <w:rsid w:val="004A03E8"/>
    <w:rsid w:val="004A040D"/>
    <w:rsid w:val="004A041D"/>
    <w:rsid w:val="004A0456"/>
    <w:rsid w:val="004A04C0"/>
    <w:rsid w:val="004A04FF"/>
    <w:rsid w:val="004A05B1"/>
    <w:rsid w:val="004A06A1"/>
    <w:rsid w:val="004A06A5"/>
    <w:rsid w:val="004A06CD"/>
    <w:rsid w:val="004A073F"/>
    <w:rsid w:val="004A076E"/>
    <w:rsid w:val="004A077C"/>
    <w:rsid w:val="004A07D8"/>
    <w:rsid w:val="004A083D"/>
    <w:rsid w:val="004A0844"/>
    <w:rsid w:val="004A085F"/>
    <w:rsid w:val="004A086D"/>
    <w:rsid w:val="004A087F"/>
    <w:rsid w:val="004A08B8"/>
    <w:rsid w:val="004A090E"/>
    <w:rsid w:val="004A0930"/>
    <w:rsid w:val="004A0953"/>
    <w:rsid w:val="004A09B5"/>
    <w:rsid w:val="004A09C1"/>
    <w:rsid w:val="004A09C7"/>
    <w:rsid w:val="004A09E1"/>
    <w:rsid w:val="004A0A49"/>
    <w:rsid w:val="004A0A4B"/>
    <w:rsid w:val="004A0A50"/>
    <w:rsid w:val="004A0A63"/>
    <w:rsid w:val="004A0A6E"/>
    <w:rsid w:val="004A0AC5"/>
    <w:rsid w:val="004A0B1F"/>
    <w:rsid w:val="004A0B53"/>
    <w:rsid w:val="004A0B77"/>
    <w:rsid w:val="004A0BB9"/>
    <w:rsid w:val="004A0C49"/>
    <w:rsid w:val="004A0CBB"/>
    <w:rsid w:val="004A0CFF"/>
    <w:rsid w:val="004A0D11"/>
    <w:rsid w:val="004A0D37"/>
    <w:rsid w:val="004A0D5F"/>
    <w:rsid w:val="004A0DCC"/>
    <w:rsid w:val="004A0EB2"/>
    <w:rsid w:val="004A0F18"/>
    <w:rsid w:val="004A0F5B"/>
    <w:rsid w:val="004A0FC5"/>
    <w:rsid w:val="004A1068"/>
    <w:rsid w:val="004A108D"/>
    <w:rsid w:val="004A10A1"/>
    <w:rsid w:val="004A10D6"/>
    <w:rsid w:val="004A10E8"/>
    <w:rsid w:val="004A111B"/>
    <w:rsid w:val="004A113C"/>
    <w:rsid w:val="004A1176"/>
    <w:rsid w:val="004A11D2"/>
    <w:rsid w:val="004A11D3"/>
    <w:rsid w:val="004A11DC"/>
    <w:rsid w:val="004A1205"/>
    <w:rsid w:val="004A1223"/>
    <w:rsid w:val="004A1228"/>
    <w:rsid w:val="004A130A"/>
    <w:rsid w:val="004A1342"/>
    <w:rsid w:val="004A137C"/>
    <w:rsid w:val="004A13D9"/>
    <w:rsid w:val="004A13F7"/>
    <w:rsid w:val="004A13FB"/>
    <w:rsid w:val="004A1413"/>
    <w:rsid w:val="004A148D"/>
    <w:rsid w:val="004A14F9"/>
    <w:rsid w:val="004A154A"/>
    <w:rsid w:val="004A15B9"/>
    <w:rsid w:val="004A15F2"/>
    <w:rsid w:val="004A1627"/>
    <w:rsid w:val="004A16CA"/>
    <w:rsid w:val="004A1711"/>
    <w:rsid w:val="004A17AE"/>
    <w:rsid w:val="004A17D2"/>
    <w:rsid w:val="004A1819"/>
    <w:rsid w:val="004A185D"/>
    <w:rsid w:val="004A187B"/>
    <w:rsid w:val="004A18AA"/>
    <w:rsid w:val="004A18CB"/>
    <w:rsid w:val="004A1919"/>
    <w:rsid w:val="004A1950"/>
    <w:rsid w:val="004A1975"/>
    <w:rsid w:val="004A1990"/>
    <w:rsid w:val="004A19A6"/>
    <w:rsid w:val="004A19CE"/>
    <w:rsid w:val="004A19D4"/>
    <w:rsid w:val="004A19D5"/>
    <w:rsid w:val="004A19DD"/>
    <w:rsid w:val="004A19EA"/>
    <w:rsid w:val="004A1A62"/>
    <w:rsid w:val="004A1A6C"/>
    <w:rsid w:val="004A1ACB"/>
    <w:rsid w:val="004A1B1C"/>
    <w:rsid w:val="004A1B23"/>
    <w:rsid w:val="004A1B7D"/>
    <w:rsid w:val="004A1B9A"/>
    <w:rsid w:val="004A1BA5"/>
    <w:rsid w:val="004A1BC5"/>
    <w:rsid w:val="004A1BDF"/>
    <w:rsid w:val="004A1C0E"/>
    <w:rsid w:val="004A1C19"/>
    <w:rsid w:val="004A1CB0"/>
    <w:rsid w:val="004A1D49"/>
    <w:rsid w:val="004A1D71"/>
    <w:rsid w:val="004A1D84"/>
    <w:rsid w:val="004A1D9B"/>
    <w:rsid w:val="004A1F63"/>
    <w:rsid w:val="004A1F73"/>
    <w:rsid w:val="004A1F89"/>
    <w:rsid w:val="004A1FA1"/>
    <w:rsid w:val="004A1FE3"/>
    <w:rsid w:val="004A1FE6"/>
    <w:rsid w:val="004A1FE8"/>
    <w:rsid w:val="004A2028"/>
    <w:rsid w:val="004A2043"/>
    <w:rsid w:val="004A20B3"/>
    <w:rsid w:val="004A2138"/>
    <w:rsid w:val="004A215C"/>
    <w:rsid w:val="004A217F"/>
    <w:rsid w:val="004A21A1"/>
    <w:rsid w:val="004A21CD"/>
    <w:rsid w:val="004A21E0"/>
    <w:rsid w:val="004A21F9"/>
    <w:rsid w:val="004A2200"/>
    <w:rsid w:val="004A220F"/>
    <w:rsid w:val="004A2253"/>
    <w:rsid w:val="004A2256"/>
    <w:rsid w:val="004A22B7"/>
    <w:rsid w:val="004A22E3"/>
    <w:rsid w:val="004A2332"/>
    <w:rsid w:val="004A2362"/>
    <w:rsid w:val="004A2368"/>
    <w:rsid w:val="004A238F"/>
    <w:rsid w:val="004A23D0"/>
    <w:rsid w:val="004A2421"/>
    <w:rsid w:val="004A245E"/>
    <w:rsid w:val="004A2474"/>
    <w:rsid w:val="004A2566"/>
    <w:rsid w:val="004A2567"/>
    <w:rsid w:val="004A25F3"/>
    <w:rsid w:val="004A26C7"/>
    <w:rsid w:val="004A26F5"/>
    <w:rsid w:val="004A26FE"/>
    <w:rsid w:val="004A2704"/>
    <w:rsid w:val="004A2731"/>
    <w:rsid w:val="004A2767"/>
    <w:rsid w:val="004A2790"/>
    <w:rsid w:val="004A27D4"/>
    <w:rsid w:val="004A28B7"/>
    <w:rsid w:val="004A28BD"/>
    <w:rsid w:val="004A298A"/>
    <w:rsid w:val="004A2A57"/>
    <w:rsid w:val="004A2AB1"/>
    <w:rsid w:val="004A2ADF"/>
    <w:rsid w:val="004A2AE8"/>
    <w:rsid w:val="004A2B08"/>
    <w:rsid w:val="004A2B1E"/>
    <w:rsid w:val="004A2B3F"/>
    <w:rsid w:val="004A2B8A"/>
    <w:rsid w:val="004A2BDB"/>
    <w:rsid w:val="004A2C8A"/>
    <w:rsid w:val="004A2D0F"/>
    <w:rsid w:val="004A2D4E"/>
    <w:rsid w:val="004A2DA9"/>
    <w:rsid w:val="004A2DAC"/>
    <w:rsid w:val="004A2E15"/>
    <w:rsid w:val="004A2EBF"/>
    <w:rsid w:val="004A2EC4"/>
    <w:rsid w:val="004A2EF8"/>
    <w:rsid w:val="004A2F10"/>
    <w:rsid w:val="004A2FA3"/>
    <w:rsid w:val="004A2FAD"/>
    <w:rsid w:val="004A2FC1"/>
    <w:rsid w:val="004A3074"/>
    <w:rsid w:val="004A309A"/>
    <w:rsid w:val="004A30A6"/>
    <w:rsid w:val="004A30E2"/>
    <w:rsid w:val="004A3122"/>
    <w:rsid w:val="004A3124"/>
    <w:rsid w:val="004A31A7"/>
    <w:rsid w:val="004A31B6"/>
    <w:rsid w:val="004A31CF"/>
    <w:rsid w:val="004A31F4"/>
    <w:rsid w:val="004A3275"/>
    <w:rsid w:val="004A32A4"/>
    <w:rsid w:val="004A32D3"/>
    <w:rsid w:val="004A3300"/>
    <w:rsid w:val="004A3308"/>
    <w:rsid w:val="004A3384"/>
    <w:rsid w:val="004A339B"/>
    <w:rsid w:val="004A33B4"/>
    <w:rsid w:val="004A340A"/>
    <w:rsid w:val="004A341A"/>
    <w:rsid w:val="004A3430"/>
    <w:rsid w:val="004A3458"/>
    <w:rsid w:val="004A34A3"/>
    <w:rsid w:val="004A34BC"/>
    <w:rsid w:val="004A354C"/>
    <w:rsid w:val="004A3587"/>
    <w:rsid w:val="004A35D4"/>
    <w:rsid w:val="004A35F4"/>
    <w:rsid w:val="004A3615"/>
    <w:rsid w:val="004A36AB"/>
    <w:rsid w:val="004A36B6"/>
    <w:rsid w:val="004A36D3"/>
    <w:rsid w:val="004A3761"/>
    <w:rsid w:val="004A3767"/>
    <w:rsid w:val="004A379C"/>
    <w:rsid w:val="004A37C5"/>
    <w:rsid w:val="004A37DE"/>
    <w:rsid w:val="004A37E4"/>
    <w:rsid w:val="004A37F9"/>
    <w:rsid w:val="004A3837"/>
    <w:rsid w:val="004A384A"/>
    <w:rsid w:val="004A38F0"/>
    <w:rsid w:val="004A38F2"/>
    <w:rsid w:val="004A3938"/>
    <w:rsid w:val="004A3940"/>
    <w:rsid w:val="004A394C"/>
    <w:rsid w:val="004A3950"/>
    <w:rsid w:val="004A395E"/>
    <w:rsid w:val="004A396B"/>
    <w:rsid w:val="004A3985"/>
    <w:rsid w:val="004A3994"/>
    <w:rsid w:val="004A39E0"/>
    <w:rsid w:val="004A39EC"/>
    <w:rsid w:val="004A39FA"/>
    <w:rsid w:val="004A3A2B"/>
    <w:rsid w:val="004A3A2E"/>
    <w:rsid w:val="004A3A58"/>
    <w:rsid w:val="004A3ADA"/>
    <w:rsid w:val="004A3AEA"/>
    <w:rsid w:val="004A3B0B"/>
    <w:rsid w:val="004A3B29"/>
    <w:rsid w:val="004A3B4C"/>
    <w:rsid w:val="004A3B58"/>
    <w:rsid w:val="004A3B5F"/>
    <w:rsid w:val="004A3B62"/>
    <w:rsid w:val="004A3BF4"/>
    <w:rsid w:val="004A3CA5"/>
    <w:rsid w:val="004A3CF6"/>
    <w:rsid w:val="004A3D20"/>
    <w:rsid w:val="004A3D37"/>
    <w:rsid w:val="004A3D69"/>
    <w:rsid w:val="004A3D6C"/>
    <w:rsid w:val="004A3DD1"/>
    <w:rsid w:val="004A3E99"/>
    <w:rsid w:val="004A3EB7"/>
    <w:rsid w:val="004A3EF3"/>
    <w:rsid w:val="004A3F1A"/>
    <w:rsid w:val="004A3FB4"/>
    <w:rsid w:val="004A4011"/>
    <w:rsid w:val="004A401A"/>
    <w:rsid w:val="004A4035"/>
    <w:rsid w:val="004A4087"/>
    <w:rsid w:val="004A408E"/>
    <w:rsid w:val="004A4093"/>
    <w:rsid w:val="004A4162"/>
    <w:rsid w:val="004A4169"/>
    <w:rsid w:val="004A420A"/>
    <w:rsid w:val="004A4243"/>
    <w:rsid w:val="004A4245"/>
    <w:rsid w:val="004A425A"/>
    <w:rsid w:val="004A4296"/>
    <w:rsid w:val="004A42A2"/>
    <w:rsid w:val="004A42A4"/>
    <w:rsid w:val="004A439B"/>
    <w:rsid w:val="004A43A1"/>
    <w:rsid w:val="004A43EA"/>
    <w:rsid w:val="004A4433"/>
    <w:rsid w:val="004A448A"/>
    <w:rsid w:val="004A4521"/>
    <w:rsid w:val="004A453F"/>
    <w:rsid w:val="004A4551"/>
    <w:rsid w:val="004A4584"/>
    <w:rsid w:val="004A4595"/>
    <w:rsid w:val="004A466E"/>
    <w:rsid w:val="004A46B7"/>
    <w:rsid w:val="004A46F9"/>
    <w:rsid w:val="004A479B"/>
    <w:rsid w:val="004A47CD"/>
    <w:rsid w:val="004A48AA"/>
    <w:rsid w:val="004A491C"/>
    <w:rsid w:val="004A491F"/>
    <w:rsid w:val="004A492F"/>
    <w:rsid w:val="004A49E1"/>
    <w:rsid w:val="004A49F2"/>
    <w:rsid w:val="004A4A1E"/>
    <w:rsid w:val="004A4AD3"/>
    <w:rsid w:val="004A4AE0"/>
    <w:rsid w:val="004A4B88"/>
    <w:rsid w:val="004A4BC9"/>
    <w:rsid w:val="004A4C0A"/>
    <w:rsid w:val="004A4C0F"/>
    <w:rsid w:val="004A4C23"/>
    <w:rsid w:val="004A4C29"/>
    <w:rsid w:val="004A4CAB"/>
    <w:rsid w:val="004A4CC4"/>
    <w:rsid w:val="004A4D44"/>
    <w:rsid w:val="004A4D50"/>
    <w:rsid w:val="004A4D93"/>
    <w:rsid w:val="004A4DEE"/>
    <w:rsid w:val="004A4EC1"/>
    <w:rsid w:val="004A4F0A"/>
    <w:rsid w:val="004A4F4A"/>
    <w:rsid w:val="004A4F7A"/>
    <w:rsid w:val="004A4FA4"/>
    <w:rsid w:val="004A4FBA"/>
    <w:rsid w:val="004A4FEB"/>
    <w:rsid w:val="004A5037"/>
    <w:rsid w:val="004A503A"/>
    <w:rsid w:val="004A50C9"/>
    <w:rsid w:val="004A510F"/>
    <w:rsid w:val="004A513F"/>
    <w:rsid w:val="004A5228"/>
    <w:rsid w:val="004A522F"/>
    <w:rsid w:val="004A5238"/>
    <w:rsid w:val="004A52B8"/>
    <w:rsid w:val="004A5315"/>
    <w:rsid w:val="004A53C4"/>
    <w:rsid w:val="004A541D"/>
    <w:rsid w:val="004A5473"/>
    <w:rsid w:val="004A54B8"/>
    <w:rsid w:val="004A54DB"/>
    <w:rsid w:val="004A5506"/>
    <w:rsid w:val="004A5539"/>
    <w:rsid w:val="004A553E"/>
    <w:rsid w:val="004A5551"/>
    <w:rsid w:val="004A55A5"/>
    <w:rsid w:val="004A55C9"/>
    <w:rsid w:val="004A5643"/>
    <w:rsid w:val="004A565C"/>
    <w:rsid w:val="004A56DB"/>
    <w:rsid w:val="004A571F"/>
    <w:rsid w:val="004A5730"/>
    <w:rsid w:val="004A5783"/>
    <w:rsid w:val="004A5798"/>
    <w:rsid w:val="004A57BB"/>
    <w:rsid w:val="004A586C"/>
    <w:rsid w:val="004A5882"/>
    <w:rsid w:val="004A5A18"/>
    <w:rsid w:val="004A5A19"/>
    <w:rsid w:val="004A5A46"/>
    <w:rsid w:val="004A5A51"/>
    <w:rsid w:val="004A5AAB"/>
    <w:rsid w:val="004A5AAF"/>
    <w:rsid w:val="004A5AEB"/>
    <w:rsid w:val="004A5AEC"/>
    <w:rsid w:val="004A5B6C"/>
    <w:rsid w:val="004A5B7B"/>
    <w:rsid w:val="004A5BA5"/>
    <w:rsid w:val="004A5BEA"/>
    <w:rsid w:val="004A5BF3"/>
    <w:rsid w:val="004A5BFB"/>
    <w:rsid w:val="004A5C22"/>
    <w:rsid w:val="004A5C6D"/>
    <w:rsid w:val="004A5CA4"/>
    <w:rsid w:val="004A5CC7"/>
    <w:rsid w:val="004A5D2B"/>
    <w:rsid w:val="004A5E6D"/>
    <w:rsid w:val="004A5ECA"/>
    <w:rsid w:val="004A5F2B"/>
    <w:rsid w:val="004A5F63"/>
    <w:rsid w:val="004A5FBA"/>
    <w:rsid w:val="004A5FC5"/>
    <w:rsid w:val="004A5FCC"/>
    <w:rsid w:val="004A6004"/>
    <w:rsid w:val="004A6011"/>
    <w:rsid w:val="004A6061"/>
    <w:rsid w:val="004A607F"/>
    <w:rsid w:val="004A60BC"/>
    <w:rsid w:val="004A611D"/>
    <w:rsid w:val="004A61A4"/>
    <w:rsid w:val="004A61A9"/>
    <w:rsid w:val="004A61B4"/>
    <w:rsid w:val="004A622B"/>
    <w:rsid w:val="004A622E"/>
    <w:rsid w:val="004A6264"/>
    <w:rsid w:val="004A6295"/>
    <w:rsid w:val="004A62CF"/>
    <w:rsid w:val="004A630A"/>
    <w:rsid w:val="004A63A7"/>
    <w:rsid w:val="004A63F4"/>
    <w:rsid w:val="004A642E"/>
    <w:rsid w:val="004A64AB"/>
    <w:rsid w:val="004A64E2"/>
    <w:rsid w:val="004A64E6"/>
    <w:rsid w:val="004A650D"/>
    <w:rsid w:val="004A6518"/>
    <w:rsid w:val="004A6575"/>
    <w:rsid w:val="004A6590"/>
    <w:rsid w:val="004A65A3"/>
    <w:rsid w:val="004A660D"/>
    <w:rsid w:val="004A6622"/>
    <w:rsid w:val="004A666B"/>
    <w:rsid w:val="004A6681"/>
    <w:rsid w:val="004A669C"/>
    <w:rsid w:val="004A66B6"/>
    <w:rsid w:val="004A677D"/>
    <w:rsid w:val="004A678F"/>
    <w:rsid w:val="004A679F"/>
    <w:rsid w:val="004A67C9"/>
    <w:rsid w:val="004A6863"/>
    <w:rsid w:val="004A688F"/>
    <w:rsid w:val="004A698E"/>
    <w:rsid w:val="004A69A5"/>
    <w:rsid w:val="004A69BA"/>
    <w:rsid w:val="004A6A18"/>
    <w:rsid w:val="004A6A73"/>
    <w:rsid w:val="004A6AE3"/>
    <w:rsid w:val="004A6B01"/>
    <w:rsid w:val="004A6B28"/>
    <w:rsid w:val="004A6B2C"/>
    <w:rsid w:val="004A6B45"/>
    <w:rsid w:val="004A6B68"/>
    <w:rsid w:val="004A6C76"/>
    <w:rsid w:val="004A6C7C"/>
    <w:rsid w:val="004A6C96"/>
    <w:rsid w:val="004A6C9B"/>
    <w:rsid w:val="004A6CCE"/>
    <w:rsid w:val="004A6D57"/>
    <w:rsid w:val="004A6D76"/>
    <w:rsid w:val="004A6DF5"/>
    <w:rsid w:val="004A6E27"/>
    <w:rsid w:val="004A6E29"/>
    <w:rsid w:val="004A6E51"/>
    <w:rsid w:val="004A6E7D"/>
    <w:rsid w:val="004A6E85"/>
    <w:rsid w:val="004A6E92"/>
    <w:rsid w:val="004A6ECE"/>
    <w:rsid w:val="004A6F1F"/>
    <w:rsid w:val="004A6F52"/>
    <w:rsid w:val="004A7015"/>
    <w:rsid w:val="004A7029"/>
    <w:rsid w:val="004A710E"/>
    <w:rsid w:val="004A712C"/>
    <w:rsid w:val="004A71A8"/>
    <w:rsid w:val="004A71FF"/>
    <w:rsid w:val="004A721F"/>
    <w:rsid w:val="004A722E"/>
    <w:rsid w:val="004A72AA"/>
    <w:rsid w:val="004A72AE"/>
    <w:rsid w:val="004A72B7"/>
    <w:rsid w:val="004A7366"/>
    <w:rsid w:val="004A73AB"/>
    <w:rsid w:val="004A73C5"/>
    <w:rsid w:val="004A73CD"/>
    <w:rsid w:val="004A73D3"/>
    <w:rsid w:val="004A73DC"/>
    <w:rsid w:val="004A741F"/>
    <w:rsid w:val="004A7427"/>
    <w:rsid w:val="004A74D0"/>
    <w:rsid w:val="004A7539"/>
    <w:rsid w:val="004A7580"/>
    <w:rsid w:val="004A7592"/>
    <w:rsid w:val="004A75EE"/>
    <w:rsid w:val="004A7639"/>
    <w:rsid w:val="004A7685"/>
    <w:rsid w:val="004A768A"/>
    <w:rsid w:val="004A76B6"/>
    <w:rsid w:val="004A76E7"/>
    <w:rsid w:val="004A76FA"/>
    <w:rsid w:val="004A773A"/>
    <w:rsid w:val="004A774A"/>
    <w:rsid w:val="004A7770"/>
    <w:rsid w:val="004A7777"/>
    <w:rsid w:val="004A779B"/>
    <w:rsid w:val="004A77A3"/>
    <w:rsid w:val="004A77CF"/>
    <w:rsid w:val="004A7834"/>
    <w:rsid w:val="004A7970"/>
    <w:rsid w:val="004A7984"/>
    <w:rsid w:val="004A79E3"/>
    <w:rsid w:val="004A79F5"/>
    <w:rsid w:val="004A7A1F"/>
    <w:rsid w:val="004A7AC4"/>
    <w:rsid w:val="004A7AF9"/>
    <w:rsid w:val="004A7B47"/>
    <w:rsid w:val="004A7B53"/>
    <w:rsid w:val="004A7BBC"/>
    <w:rsid w:val="004A7BCD"/>
    <w:rsid w:val="004A7BD2"/>
    <w:rsid w:val="004A7C1B"/>
    <w:rsid w:val="004A7CC4"/>
    <w:rsid w:val="004A7CF0"/>
    <w:rsid w:val="004A7CFA"/>
    <w:rsid w:val="004A7D0A"/>
    <w:rsid w:val="004A7D3D"/>
    <w:rsid w:val="004A7D45"/>
    <w:rsid w:val="004A7DC8"/>
    <w:rsid w:val="004A7DDA"/>
    <w:rsid w:val="004A7DE0"/>
    <w:rsid w:val="004A7EF7"/>
    <w:rsid w:val="004A7F43"/>
    <w:rsid w:val="004A7F62"/>
    <w:rsid w:val="004A7FE8"/>
    <w:rsid w:val="004B002D"/>
    <w:rsid w:val="004B0048"/>
    <w:rsid w:val="004B0057"/>
    <w:rsid w:val="004B00A5"/>
    <w:rsid w:val="004B0128"/>
    <w:rsid w:val="004B013C"/>
    <w:rsid w:val="004B0161"/>
    <w:rsid w:val="004B0168"/>
    <w:rsid w:val="004B01AB"/>
    <w:rsid w:val="004B01CE"/>
    <w:rsid w:val="004B01FA"/>
    <w:rsid w:val="004B0229"/>
    <w:rsid w:val="004B0232"/>
    <w:rsid w:val="004B0257"/>
    <w:rsid w:val="004B027B"/>
    <w:rsid w:val="004B02D1"/>
    <w:rsid w:val="004B02DE"/>
    <w:rsid w:val="004B02F3"/>
    <w:rsid w:val="004B033A"/>
    <w:rsid w:val="004B0342"/>
    <w:rsid w:val="004B0366"/>
    <w:rsid w:val="004B039F"/>
    <w:rsid w:val="004B03A1"/>
    <w:rsid w:val="004B03C2"/>
    <w:rsid w:val="004B047F"/>
    <w:rsid w:val="004B055B"/>
    <w:rsid w:val="004B0574"/>
    <w:rsid w:val="004B05D6"/>
    <w:rsid w:val="004B05F2"/>
    <w:rsid w:val="004B0689"/>
    <w:rsid w:val="004B0699"/>
    <w:rsid w:val="004B06C2"/>
    <w:rsid w:val="004B06D1"/>
    <w:rsid w:val="004B06E8"/>
    <w:rsid w:val="004B0757"/>
    <w:rsid w:val="004B0784"/>
    <w:rsid w:val="004B07C7"/>
    <w:rsid w:val="004B0849"/>
    <w:rsid w:val="004B085F"/>
    <w:rsid w:val="004B08EC"/>
    <w:rsid w:val="004B0957"/>
    <w:rsid w:val="004B097C"/>
    <w:rsid w:val="004B09AD"/>
    <w:rsid w:val="004B09DF"/>
    <w:rsid w:val="004B0A50"/>
    <w:rsid w:val="004B0A97"/>
    <w:rsid w:val="004B0B1E"/>
    <w:rsid w:val="004B0B53"/>
    <w:rsid w:val="004B0BF8"/>
    <w:rsid w:val="004B0C32"/>
    <w:rsid w:val="004B0C3C"/>
    <w:rsid w:val="004B0CC1"/>
    <w:rsid w:val="004B0CD0"/>
    <w:rsid w:val="004B0D00"/>
    <w:rsid w:val="004B0D29"/>
    <w:rsid w:val="004B0D57"/>
    <w:rsid w:val="004B0D5E"/>
    <w:rsid w:val="004B0D6F"/>
    <w:rsid w:val="004B0DC9"/>
    <w:rsid w:val="004B0DEB"/>
    <w:rsid w:val="004B0DF1"/>
    <w:rsid w:val="004B0E41"/>
    <w:rsid w:val="004B0EB7"/>
    <w:rsid w:val="004B0EF3"/>
    <w:rsid w:val="004B0EFC"/>
    <w:rsid w:val="004B0F0E"/>
    <w:rsid w:val="004B0F13"/>
    <w:rsid w:val="004B0F76"/>
    <w:rsid w:val="004B0F82"/>
    <w:rsid w:val="004B1025"/>
    <w:rsid w:val="004B104F"/>
    <w:rsid w:val="004B10C6"/>
    <w:rsid w:val="004B1110"/>
    <w:rsid w:val="004B1169"/>
    <w:rsid w:val="004B11B1"/>
    <w:rsid w:val="004B11B5"/>
    <w:rsid w:val="004B1201"/>
    <w:rsid w:val="004B1285"/>
    <w:rsid w:val="004B12DD"/>
    <w:rsid w:val="004B12FC"/>
    <w:rsid w:val="004B12FE"/>
    <w:rsid w:val="004B1328"/>
    <w:rsid w:val="004B135B"/>
    <w:rsid w:val="004B1373"/>
    <w:rsid w:val="004B13A3"/>
    <w:rsid w:val="004B144F"/>
    <w:rsid w:val="004B14AB"/>
    <w:rsid w:val="004B1548"/>
    <w:rsid w:val="004B154D"/>
    <w:rsid w:val="004B1551"/>
    <w:rsid w:val="004B1557"/>
    <w:rsid w:val="004B155F"/>
    <w:rsid w:val="004B1582"/>
    <w:rsid w:val="004B15EC"/>
    <w:rsid w:val="004B15F9"/>
    <w:rsid w:val="004B1619"/>
    <w:rsid w:val="004B161A"/>
    <w:rsid w:val="004B1659"/>
    <w:rsid w:val="004B16EB"/>
    <w:rsid w:val="004B1790"/>
    <w:rsid w:val="004B1799"/>
    <w:rsid w:val="004B17FA"/>
    <w:rsid w:val="004B1806"/>
    <w:rsid w:val="004B188C"/>
    <w:rsid w:val="004B18AD"/>
    <w:rsid w:val="004B18B0"/>
    <w:rsid w:val="004B18B3"/>
    <w:rsid w:val="004B18F2"/>
    <w:rsid w:val="004B1966"/>
    <w:rsid w:val="004B197C"/>
    <w:rsid w:val="004B1991"/>
    <w:rsid w:val="004B1996"/>
    <w:rsid w:val="004B1A11"/>
    <w:rsid w:val="004B1A39"/>
    <w:rsid w:val="004B1A5D"/>
    <w:rsid w:val="004B1B57"/>
    <w:rsid w:val="004B1B66"/>
    <w:rsid w:val="004B1B89"/>
    <w:rsid w:val="004B1BC6"/>
    <w:rsid w:val="004B1C11"/>
    <w:rsid w:val="004B1C73"/>
    <w:rsid w:val="004B1C9B"/>
    <w:rsid w:val="004B1CBD"/>
    <w:rsid w:val="004B1D61"/>
    <w:rsid w:val="004B1DA9"/>
    <w:rsid w:val="004B1DFE"/>
    <w:rsid w:val="004B1E98"/>
    <w:rsid w:val="004B1E9A"/>
    <w:rsid w:val="004B1ED0"/>
    <w:rsid w:val="004B1ED7"/>
    <w:rsid w:val="004B1F56"/>
    <w:rsid w:val="004B1F74"/>
    <w:rsid w:val="004B1FAA"/>
    <w:rsid w:val="004B2010"/>
    <w:rsid w:val="004B2036"/>
    <w:rsid w:val="004B2060"/>
    <w:rsid w:val="004B2080"/>
    <w:rsid w:val="004B20B7"/>
    <w:rsid w:val="004B20BB"/>
    <w:rsid w:val="004B20FE"/>
    <w:rsid w:val="004B211D"/>
    <w:rsid w:val="004B213A"/>
    <w:rsid w:val="004B213D"/>
    <w:rsid w:val="004B2143"/>
    <w:rsid w:val="004B2164"/>
    <w:rsid w:val="004B2166"/>
    <w:rsid w:val="004B2168"/>
    <w:rsid w:val="004B2184"/>
    <w:rsid w:val="004B21ED"/>
    <w:rsid w:val="004B21F8"/>
    <w:rsid w:val="004B2284"/>
    <w:rsid w:val="004B22DC"/>
    <w:rsid w:val="004B2310"/>
    <w:rsid w:val="004B237F"/>
    <w:rsid w:val="004B2492"/>
    <w:rsid w:val="004B24A2"/>
    <w:rsid w:val="004B24C2"/>
    <w:rsid w:val="004B24CE"/>
    <w:rsid w:val="004B24DF"/>
    <w:rsid w:val="004B256D"/>
    <w:rsid w:val="004B258B"/>
    <w:rsid w:val="004B2592"/>
    <w:rsid w:val="004B2596"/>
    <w:rsid w:val="004B25B6"/>
    <w:rsid w:val="004B25EC"/>
    <w:rsid w:val="004B25FD"/>
    <w:rsid w:val="004B262D"/>
    <w:rsid w:val="004B26D1"/>
    <w:rsid w:val="004B26E7"/>
    <w:rsid w:val="004B26F0"/>
    <w:rsid w:val="004B2720"/>
    <w:rsid w:val="004B2733"/>
    <w:rsid w:val="004B2789"/>
    <w:rsid w:val="004B2890"/>
    <w:rsid w:val="004B28FF"/>
    <w:rsid w:val="004B2970"/>
    <w:rsid w:val="004B2981"/>
    <w:rsid w:val="004B2A4E"/>
    <w:rsid w:val="004B2A5B"/>
    <w:rsid w:val="004B2AF6"/>
    <w:rsid w:val="004B2B10"/>
    <w:rsid w:val="004B2B5A"/>
    <w:rsid w:val="004B2B75"/>
    <w:rsid w:val="004B2B86"/>
    <w:rsid w:val="004B2B9A"/>
    <w:rsid w:val="004B2BB9"/>
    <w:rsid w:val="004B2BF8"/>
    <w:rsid w:val="004B2C56"/>
    <w:rsid w:val="004B2CB2"/>
    <w:rsid w:val="004B2D56"/>
    <w:rsid w:val="004B2D5D"/>
    <w:rsid w:val="004B2DA9"/>
    <w:rsid w:val="004B2EA6"/>
    <w:rsid w:val="004B2ECB"/>
    <w:rsid w:val="004B2FED"/>
    <w:rsid w:val="004B3003"/>
    <w:rsid w:val="004B3021"/>
    <w:rsid w:val="004B3056"/>
    <w:rsid w:val="004B305B"/>
    <w:rsid w:val="004B306C"/>
    <w:rsid w:val="004B30DA"/>
    <w:rsid w:val="004B3111"/>
    <w:rsid w:val="004B312F"/>
    <w:rsid w:val="004B3174"/>
    <w:rsid w:val="004B3175"/>
    <w:rsid w:val="004B3179"/>
    <w:rsid w:val="004B31BA"/>
    <w:rsid w:val="004B3214"/>
    <w:rsid w:val="004B3224"/>
    <w:rsid w:val="004B32EA"/>
    <w:rsid w:val="004B3307"/>
    <w:rsid w:val="004B33AD"/>
    <w:rsid w:val="004B33F4"/>
    <w:rsid w:val="004B34B2"/>
    <w:rsid w:val="004B34FB"/>
    <w:rsid w:val="004B357F"/>
    <w:rsid w:val="004B35AD"/>
    <w:rsid w:val="004B35F3"/>
    <w:rsid w:val="004B3621"/>
    <w:rsid w:val="004B3653"/>
    <w:rsid w:val="004B365E"/>
    <w:rsid w:val="004B36DE"/>
    <w:rsid w:val="004B36FF"/>
    <w:rsid w:val="004B37A1"/>
    <w:rsid w:val="004B37E8"/>
    <w:rsid w:val="004B3818"/>
    <w:rsid w:val="004B38CE"/>
    <w:rsid w:val="004B38E0"/>
    <w:rsid w:val="004B38F6"/>
    <w:rsid w:val="004B398E"/>
    <w:rsid w:val="004B3998"/>
    <w:rsid w:val="004B39C6"/>
    <w:rsid w:val="004B39D1"/>
    <w:rsid w:val="004B3A0F"/>
    <w:rsid w:val="004B3A24"/>
    <w:rsid w:val="004B3A25"/>
    <w:rsid w:val="004B3A8C"/>
    <w:rsid w:val="004B3B24"/>
    <w:rsid w:val="004B3B93"/>
    <w:rsid w:val="004B3BBA"/>
    <w:rsid w:val="004B3C52"/>
    <w:rsid w:val="004B3C61"/>
    <w:rsid w:val="004B3CA6"/>
    <w:rsid w:val="004B3CED"/>
    <w:rsid w:val="004B3CFB"/>
    <w:rsid w:val="004B3D49"/>
    <w:rsid w:val="004B3DD3"/>
    <w:rsid w:val="004B3E11"/>
    <w:rsid w:val="004B3E5E"/>
    <w:rsid w:val="004B3E71"/>
    <w:rsid w:val="004B3ED2"/>
    <w:rsid w:val="004B3F18"/>
    <w:rsid w:val="004B3F2D"/>
    <w:rsid w:val="004B3FA0"/>
    <w:rsid w:val="004B3FE7"/>
    <w:rsid w:val="004B3FEF"/>
    <w:rsid w:val="004B400C"/>
    <w:rsid w:val="004B4036"/>
    <w:rsid w:val="004B4046"/>
    <w:rsid w:val="004B40A5"/>
    <w:rsid w:val="004B40E8"/>
    <w:rsid w:val="004B4170"/>
    <w:rsid w:val="004B41A8"/>
    <w:rsid w:val="004B41D7"/>
    <w:rsid w:val="004B41D9"/>
    <w:rsid w:val="004B4211"/>
    <w:rsid w:val="004B421E"/>
    <w:rsid w:val="004B4232"/>
    <w:rsid w:val="004B42A5"/>
    <w:rsid w:val="004B42D7"/>
    <w:rsid w:val="004B431A"/>
    <w:rsid w:val="004B4352"/>
    <w:rsid w:val="004B436C"/>
    <w:rsid w:val="004B4381"/>
    <w:rsid w:val="004B43EF"/>
    <w:rsid w:val="004B440A"/>
    <w:rsid w:val="004B442A"/>
    <w:rsid w:val="004B44EB"/>
    <w:rsid w:val="004B450D"/>
    <w:rsid w:val="004B454D"/>
    <w:rsid w:val="004B457E"/>
    <w:rsid w:val="004B45B6"/>
    <w:rsid w:val="004B45BB"/>
    <w:rsid w:val="004B45D4"/>
    <w:rsid w:val="004B45F2"/>
    <w:rsid w:val="004B4641"/>
    <w:rsid w:val="004B46D8"/>
    <w:rsid w:val="004B474B"/>
    <w:rsid w:val="004B4756"/>
    <w:rsid w:val="004B477C"/>
    <w:rsid w:val="004B47BF"/>
    <w:rsid w:val="004B48D6"/>
    <w:rsid w:val="004B48F1"/>
    <w:rsid w:val="004B491A"/>
    <w:rsid w:val="004B4926"/>
    <w:rsid w:val="004B4928"/>
    <w:rsid w:val="004B4968"/>
    <w:rsid w:val="004B4984"/>
    <w:rsid w:val="004B49A0"/>
    <w:rsid w:val="004B4A88"/>
    <w:rsid w:val="004B4A9B"/>
    <w:rsid w:val="004B4B25"/>
    <w:rsid w:val="004B4B8C"/>
    <w:rsid w:val="004B4BA1"/>
    <w:rsid w:val="004B4BA3"/>
    <w:rsid w:val="004B4BC6"/>
    <w:rsid w:val="004B4C5E"/>
    <w:rsid w:val="004B4CA2"/>
    <w:rsid w:val="004B4CEE"/>
    <w:rsid w:val="004B4D01"/>
    <w:rsid w:val="004B4D13"/>
    <w:rsid w:val="004B4D16"/>
    <w:rsid w:val="004B4D20"/>
    <w:rsid w:val="004B4DBA"/>
    <w:rsid w:val="004B4DD3"/>
    <w:rsid w:val="004B4E98"/>
    <w:rsid w:val="004B4EE7"/>
    <w:rsid w:val="004B4EEC"/>
    <w:rsid w:val="004B4F08"/>
    <w:rsid w:val="004B4F1E"/>
    <w:rsid w:val="004B4F31"/>
    <w:rsid w:val="004B4F3D"/>
    <w:rsid w:val="004B4F61"/>
    <w:rsid w:val="004B4FE3"/>
    <w:rsid w:val="004B5039"/>
    <w:rsid w:val="004B50CF"/>
    <w:rsid w:val="004B50D4"/>
    <w:rsid w:val="004B50EB"/>
    <w:rsid w:val="004B50EF"/>
    <w:rsid w:val="004B516E"/>
    <w:rsid w:val="004B51A8"/>
    <w:rsid w:val="004B51D1"/>
    <w:rsid w:val="004B5266"/>
    <w:rsid w:val="004B5276"/>
    <w:rsid w:val="004B52B8"/>
    <w:rsid w:val="004B537B"/>
    <w:rsid w:val="004B53B1"/>
    <w:rsid w:val="004B53BB"/>
    <w:rsid w:val="004B53D0"/>
    <w:rsid w:val="004B5438"/>
    <w:rsid w:val="004B543A"/>
    <w:rsid w:val="004B5474"/>
    <w:rsid w:val="004B5504"/>
    <w:rsid w:val="004B5512"/>
    <w:rsid w:val="004B5552"/>
    <w:rsid w:val="004B5553"/>
    <w:rsid w:val="004B557C"/>
    <w:rsid w:val="004B558C"/>
    <w:rsid w:val="004B565A"/>
    <w:rsid w:val="004B566E"/>
    <w:rsid w:val="004B56EB"/>
    <w:rsid w:val="004B56F9"/>
    <w:rsid w:val="004B571B"/>
    <w:rsid w:val="004B57A8"/>
    <w:rsid w:val="004B5815"/>
    <w:rsid w:val="004B588C"/>
    <w:rsid w:val="004B58AB"/>
    <w:rsid w:val="004B58E4"/>
    <w:rsid w:val="004B5959"/>
    <w:rsid w:val="004B59AD"/>
    <w:rsid w:val="004B59EB"/>
    <w:rsid w:val="004B5A5B"/>
    <w:rsid w:val="004B5A8A"/>
    <w:rsid w:val="004B5AC8"/>
    <w:rsid w:val="004B5AEF"/>
    <w:rsid w:val="004B5BB1"/>
    <w:rsid w:val="004B5C2E"/>
    <w:rsid w:val="004B5C41"/>
    <w:rsid w:val="004B5C50"/>
    <w:rsid w:val="004B5C51"/>
    <w:rsid w:val="004B5CF4"/>
    <w:rsid w:val="004B5D0A"/>
    <w:rsid w:val="004B5D96"/>
    <w:rsid w:val="004B5DCD"/>
    <w:rsid w:val="004B5DF1"/>
    <w:rsid w:val="004B5DF2"/>
    <w:rsid w:val="004B5E15"/>
    <w:rsid w:val="004B5E2D"/>
    <w:rsid w:val="004B5E55"/>
    <w:rsid w:val="004B5E5E"/>
    <w:rsid w:val="004B5EA1"/>
    <w:rsid w:val="004B5ECB"/>
    <w:rsid w:val="004B5EEF"/>
    <w:rsid w:val="004B5F3F"/>
    <w:rsid w:val="004B5F8A"/>
    <w:rsid w:val="004B6079"/>
    <w:rsid w:val="004B6085"/>
    <w:rsid w:val="004B60C2"/>
    <w:rsid w:val="004B6144"/>
    <w:rsid w:val="004B6167"/>
    <w:rsid w:val="004B618D"/>
    <w:rsid w:val="004B61C3"/>
    <w:rsid w:val="004B61CD"/>
    <w:rsid w:val="004B61D5"/>
    <w:rsid w:val="004B61E0"/>
    <w:rsid w:val="004B62AA"/>
    <w:rsid w:val="004B62E6"/>
    <w:rsid w:val="004B62FE"/>
    <w:rsid w:val="004B632D"/>
    <w:rsid w:val="004B6383"/>
    <w:rsid w:val="004B63BB"/>
    <w:rsid w:val="004B63F7"/>
    <w:rsid w:val="004B64F1"/>
    <w:rsid w:val="004B64FE"/>
    <w:rsid w:val="004B6525"/>
    <w:rsid w:val="004B6536"/>
    <w:rsid w:val="004B658A"/>
    <w:rsid w:val="004B65E6"/>
    <w:rsid w:val="004B661C"/>
    <w:rsid w:val="004B662C"/>
    <w:rsid w:val="004B6659"/>
    <w:rsid w:val="004B66C4"/>
    <w:rsid w:val="004B66FB"/>
    <w:rsid w:val="004B6707"/>
    <w:rsid w:val="004B6728"/>
    <w:rsid w:val="004B672D"/>
    <w:rsid w:val="004B6730"/>
    <w:rsid w:val="004B6779"/>
    <w:rsid w:val="004B68C4"/>
    <w:rsid w:val="004B68C9"/>
    <w:rsid w:val="004B6939"/>
    <w:rsid w:val="004B69A6"/>
    <w:rsid w:val="004B69DE"/>
    <w:rsid w:val="004B69F5"/>
    <w:rsid w:val="004B6A07"/>
    <w:rsid w:val="004B6A45"/>
    <w:rsid w:val="004B6AFC"/>
    <w:rsid w:val="004B6B34"/>
    <w:rsid w:val="004B6B66"/>
    <w:rsid w:val="004B6B71"/>
    <w:rsid w:val="004B6B7E"/>
    <w:rsid w:val="004B6B80"/>
    <w:rsid w:val="004B6B9A"/>
    <w:rsid w:val="004B6C37"/>
    <w:rsid w:val="004B6D28"/>
    <w:rsid w:val="004B6D7F"/>
    <w:rsid w:val="004B6D92"/>
    <w:rsid w:val="004B6D9D"/>
    <w:rsid w:val="004B6DDD"/>
    <w:rsid w:val="004B6DFE"/>
    <w:rsid w:val="004B6E1D"/>
    <w:rsid w:val="004B6E4C"/>
    <w:rsid w:val="004B6EDF"/>
    <w:rsid w:val="004B6F15"/>
    <w:rsid w:val="004B6FA9"/>
    <w:rsid w:val="004B6FB3"/>
    <w:rsid w:val="004B6FD3"/>
    <w:rsid w:val="004B6FD4"/>
    <w:rsid w:val="004B6FE8"/>
    <w:rsid w:val="004B701A"/>
    <w:rsid w:val="004B7063"/>
    <w:rsid w:val="004B70B6"/>
    <w:rsid w:val="004B70B7"/>
    <w:rsid w:val="004B7104"/>
    <w:rsid w:val="004B711A"/>
    <w:rsid w:val="004B7146"/>
    <w:rsid w:val="004B718D"/>
    <w:rsid w:val="004B71B4"/>
    <w:rsid w:val="004B71BF"/>
    <w:rsid w:val="004B7202"/>
    <w:rsid w:val="004B7215"/>
    <w:rsid w:val="004B7227"/>
    <w:rsid w:val="004B7239"/>
    <w:rsid w:val="004B727A"/>
    <w:rsid w:val="004B733D"/>
    <w:rsid w:val="004B73BE"/>
    <w:rsid w:val="004B7467"/>
    <w:rsid w:val="004B746D"/>
    <w:rsid w:val="004B7482"/>
    <w:rsid w:val="004B74A4"/>
    <w:rsid w:val="004B74F8"/>
    <w:rsid w:val="004B75BD"/>
    <w:rsid w:val="004B764B"/>
    <w:rsid w:val="004B764D"/>
    <w:rsid w:val="004B767D"/>
    <w:rsid w:val="004B76DA"/>
    <w:rsid w:val="004B76FA"/>
    <w:rsid w:val="004B7749"/>
    <w:rsid w:val="004B7777"/>
    <w:rsid w:val="004B779A"/>
    <w:rsid w:val="004B77D6"/>
    <w:rsid w:val="004B77F9"/>
    <w:rsid w:val="004B7815"/>
    <w:rsid w:val="004B7819"/>
    <w:rsid w:val="004B783D"/>
    <w:rsid w:val="004B7861"/>
    <w:rsid w:val="004B787D"/>
    <w:rsid w:val="004B78AD"/>
    <w:rsid w:val="004B78B8"/>
    <w:rsid w:val="004B78DD"/>
    <w:rsid w:val="004B7916"/>
    <w:rsid w:val="004B7964"/>
    <w:rsid w:val="004B79A0"/>
    <w:rsid w:val="004B79E0"/>
    <w:rsid w:val="004B79E9"/>
    <w:rsid w:val="004B79ED"/>
    <w:rsid w:val="004B79F7"/>
    <w:rsid w:val="004B7A08"/>
    <w:rsid w:val="004B7A0C"/>
    <w:rsid w:val="004B7A7A"/>
    <w:rsid w:val="004B7A9C"/>
    <w:rsid w:val="004B7AA1"/>
    <w:rsid w:val="004B7ABD"/>
    <w:rsid w:val="004B7AF7"/>
    <w:rsid w:val="004B7B15"/>
    <w:rsid w:val="004B7BC8"/>
    <w:rsid w:val="004B7D21"/>
    <w:rsid w:val="004B7D24"/>
    <w:rsid w:val="004B7D76"/>
    <w:rsid w:val="004B7DCB"/>
    <w:rsid w:val="004B7E24"/>
    <w:rsid w:val="004B7E4D"/>
    <w:rsid w:val="004B7E6A"/>
    <w:rsid w:val="004B7E97"/>
    <w:rsid w:val="004B7EBD"/>
    <w:rsid w:val="004B7EEF"/>
    <w:rsid w:val="004B7F42"/>
    <w:rsid w:val="004B7F45"/>
    <w:rsid w:val="004B7F79"/>
    <w:rsid w:val="004B7F8C"/>
    <w:rsid w:val="004B7FFE"/>
    <w:rsid w:val="004C006E"/>
    <w:rsid w:val="004C0086"/>
    <w:rsid w:val="004C00AA"/>
    <w:rsid w:val="004C00B6"/>
    <w:rsid w:val="004C00BD"/>
    <w:rsid w:val="004C00C9"/>
    <w:rsid w:val="004C0263"/>
    <w:rsid w:val="004C026D"/>
    <w:rsid w:val="004C02D8"/>
    <w:rsid w:val="004C030E"/>
    <w:rsid w:val="004C0310"/>
    <w:rsid w:val="004C034A"/>
    <w:rsid w:val="004C0389"/>
    <w:rsid w:val="004C0458"/>
    <w:rsid w:val="004C045E"/>
    <w:rsid w:val="004C0482"/>
    <w:rsid w:val="004C051E"/>
    <w:rsid w:val="004C0589"/>
    <w:rsid w:val="004C059D"/>
    <w:rsid w:val="004C05EC"/>
    <w:rsid w:val="004C06B2"/>
    <w:rsid w:val="004C06B9"/>
    <w:rsid w:val="004C06EF"/>
    <w:rsid w:val="004C0707"/>
    <w:rsid w:val="004C0754"/>
    <w:rsid w:val="004C0783"/>
    <w:rsid w:val="004C07CA"/>
    <w:rsid w:val="004C0847"/>
    <w:rsid w:val="004C0882"/>
    <w:rsid w:val="004C0890"/>
    <w:rsid w:val="004C08BC"/>
    <w:rsid w:val="004C08BF"/>
    <w:rsid w:val="004C08F3"/>
    <w:rsid w:val="004C08FC"/>
    <w:rsid w:val="004C0973"/>
    <w:rsid w:val="004C0A00"/>
    <w:rsid w:val="004C0A09"/>
    <w:rsid w:val="004C0A57"/>
    <w:rsid w:val="004C0A6F"/>
    <w:rsid w:val="004C0ADC"/>
    <w:rsid w:val="004C0AF5"/>
    <w:rsid w:val="004C0B00"/>
    <w:rsid w:val="004C0BC4"/>
    <w:rsid w:val="004C0C2B"/>
    <w:rsid w:val="004C0C35"/>
    <w:rsid w:val="004C0C70"/>
    <w:rsid w:val="004C0CDA"/>
    <w:rsid w:val="004C0D28"/>
    <w:rsid w:val="004C0D2A"/>
    <w:rsid w:val="004C0D41"/>
    <w:rsid w:val="004C0D83"/>
    <w:rsid w:val="004C0D86"/>
    <w:rsid w:val="004C0D89"/>
    <w:rsid w:val="004C0D91"/>
    <w:rsid w:val="004C0DDE"/>
    <w:rsid w:val="004C0DED"/>
    <w:rsid w:val="004C0DF4"/>
    <w:rsid w:val="004C0E30"/>
    <w:rsid w:val="004C0E60"/>
    <w:rsid w:val="004C0EB1"/>
    <w:rsid w:val="004C0F3D"/>
    <w:rsid w:val="004C0F6E"/>
    <w:rsid w:val="004C108D"/>
    <w:rsid w:val="004C10DA"/>
    <w:rsid w:val="004C10F5"/>
    <w:rsid w:val="004C1130"/>
    <w:rsid w:val="004C117A"/>
    <w:rsid w:val="004C11B0"/>
    <w:rsid w:val="004C11BD"/>
    <w:rsid w:val="004C11F2"/>
    <w:rsid w:val="004C11FB"/>
    <w:rsid w:val="004C120B"/>
    <w:rsid w:val="004C120C"/>
    <w:rsid w:val="004C1245"/>
    <w:rsid w:val="004C1297"/>
    <w:rsid w:val="004C12CB"/>
    <w:rsid w:val="004C12FB"/>
    <w:rsid w:val="004C133F"/>
    <w:rsid w:val="004C139B"/>
    <w:rsid w:val="004C13D5"/>
    <w:rsid w:val="004C149C"/>
    <w:rsid w:val="004C14AD"/>
    <w:rsid w:val="004C14EC"/>
    <w:rsid w:val="004C15F9"/>
    <w:rsid w:val="004C1629"/>
    <w:rsid w:val="004C169C"/>
    <w:rsid w:val="004C174B"/>
    <w:rsid w:val="004C17AA"/>
    <w:rsid w:val="004C17AD"/>
    <w:rsid w:val="004C17C7"/>
    <w:rsid w:val="004C187D"/>
    <w:rsid w:val="004C18AF"/>
    <w:rsid w:val="004C18C8"/>
    <w:rsid w:val="004C1996"/>
    <w:rsid w:val="004C19D2"/>
    <w:rsid w:val="004C19EB"/>
    <w:rsid w:val="004C1A15"/>
    <w:rsid w:val="004C1B2B"/>
    <w:rsid w:val="004C1B5E"/>
    <w:rsid w:val="004C1B7F"/>
    <w:rsid w:val="004C1BA6"/>
    <w:rsid w:val="004C1C13"/>
    <w:rsid w:val="004C1CC4"/>
    <w:rsid w:val="004C1D14"/>
    <w:rsid w:val="004C1D62"/>
    <w:rsid w:val="004C1E28"/>
    <w:rsid w:val="004C1E3B"/>
    <w:rsid w:val="004C1E41"/>
    <w:rsid w:val="004C1ED5"/>
    <w:rsid w:val="004C1EE8"/>
    <w:rsid w:val="004C1F27"/>
    <w:rsid w:val="004C1F78"/>
    <w:rsid w:val="004C1F8B"/>
    <w:rsid w:val="004C1FC9"/>
    <w:rsid w:val="004C1FD0"/>
    <w:rsid w:val="004C1FD9"/>
    <w:rsid w:val="004C202E"/>
    <w:rsid w:val="004C203B"/>
    <w:rsid w:val="004C204D"/>
    <w:rsid w:val="004C2050"/>
    <w:rsid w:val="004C2059"/>
    <w:rsid w:val="004C209D"/>
    <w:rsid w:val="004C210A"/>
    <w:rsid w:val="004C2136"/>
    <w:rsid w:val="004C2176"/>
    <w:rsid w:val="004C2195"/>
    <w:rsid w:val="004C21B4"/>
    <w:rsid w:val="004C222C"/>
    <w:rsid w:val="004C2230"/>
    <w:rsid w:val="004C2235"/>
    <w:rsid w:val="004C2237"/>
    <w:rsid w:val="004C2262"/>
    <w:rsid w:val="004C22AF"/>
    <w:rsid w:val="004C22EE"/>
    <w:rsid w:val="004C234F"/>
    <w:rsid w:val="004C2373"/>
    <w:rsid w:val="004C2381"/>
    <w:rsid w:val="004C23CC"/>
    <w:rsid w:val="004C23DD"/>
    <w:rsid w:val="004C23FE"/>
    <w:rsid w:val="004C240B"/>
    <w:rsid w:val="004C241A"/>
    <w:rsid w:val="004C2472"/>
    <w:rsid w:val="004C247A"/>
    <w:rsid w:val="004C249F"/>
    <w:rsid w:val="004C24C6"/>
    <w:rsid w:val="004C2543"/>
    <w:rsid w:val="004C2556"/>
    <w:rsid w:val="004C2576"/>
    <w:rsid w:val="004C259B"/>
    <w:rsid w:val="004C2694"/>
    <w:rsid w:val="004C26A4"/>
    <w:rsid w:val="004C26A7"/>
    <w:rsid w:val="004C26B1"/>
    <w:rsid w:val="004C26E2"/>
    <w:rsid w:val="004C2731"/>
    <w:rsid w:val="004C2738"/>
    <w:rsid w:val="004C2742"/>
    <w:rsid w:val="004C275A"/>
    <w:rsid w:val="004C2812"/>
    <w:rsid w:val="004C283C"/>
    <w:rsid w:val="004C2855"/>
    <w:rsid w:val="004C287E"/>
    <w:rsid w:val="004C28D3"/>
    <w:rsid w:val="004C29C1"/>
    <w:rsid w:val="004C29C6"/>
    <w:rsid w:val="004C2A06"/>
    <w:rsid w:val="004C2A13"/>
    <w:rsid w:val="004C2A30"/>
    <w:rsid w:val="004C2A86"/>
    <w:rsid w:val="004C2AD2"/>
    <w:rsid w:val="004C2AE2"/>
    <w:rsid w:val="004C2AE7"/>
    <w:rsid w:val="004C2BB0"/>
    <w:rsid w:val="004C2C0C"/>
    <w:rsid w:val="004C2C46"/>
    <w:rsid w:val="004C2C56"/>
    <w:rsid w:val="004C2CA0"/>
    <w:rsid w:val="004C2DD7"/>
    <w:rsid w:val="004C2DF9"/>
    <w:rsid w:val="004C2E4E"/>
    <w:rsid w:val="004C2E54"/>
    <w:rsid w:val="004C2F24"/>
    <w:rsid w:val="004C2F5A"/>
    <w:rsid w:val="004C2F68"/>
    <w:rsid w:val="004C2F9D"/>
    <w:rsid w:val="004C2FB8"/>
    <w:rsid w:val="004C306C"/>
    <w:rsid w:val="004C30B9"/>
    <w:rsid w:val="004C3119"/>
    <w:rsid w:val="004C3158"/>
    <w:rsid w:val="004C3172"/>
    <w:rsid w:val="004C3214"/>
    <w:rsid w:val="004C3236"/>
    <w:rsid w:val="004C3252"/>
    <w:rsid w:val="004C32B6"/>
    <w:rsid w:val="004C334B"/>
    <w:rsid w:val="004C334E"/>
    <w:rsid w:val="004C3374"/>
    <w:rsid w:val="004C3384"/>
    <w:rsid w:val="004C33E8"/>
    <w:rsid w:val="004C3406"/>
    <w:rsid w:val="004C341B"/>
    <w:rsid w:val="004C3497"/>
    <w:rsid w:val="004C34AF"/>
    <w:rsid w:val="004C351C"/>
    <w:rsid w:val="004C3570"/>
    <w:rsid w:val="004C35D7"/>
    <w:rsid w:val="004C363B"/>
    <w:rsid w:val="004C36AE"/>
    <w:rsid w:val="004C36D7"/>
    <w:rsid w:val="004C3729"/>
    <w:rsid w:val="004C375F"/>
    <w:rsid w:val="004C3786"/>
    <w:rsid w:val="004C379C"/>
    <w:rsid w:val="004C37A8"/>
    <w:rsid w:val="004C37D4"/>
    <w:rsid w:val="004C3815"/>
    <w:rsid w:val="004C3885"/>
    <w:rsid w:val="004C3899"/>
    <w:rsid w:val="004C3918"/>
    <w:rsid w:val="004C3944"/>
    <w:rsid w:val="004C3956"/>
    <w:rsid w:val="004C396B"/>
    <w:rsid w:val="004C3978"/>
    <w:rsid w:val="004C39A3"/>
    <w:rsid w:val="004C39B4"/>
    <w:rsid w:val="004C3A1F"/>
    <w:rsid w:val="004C3A38"/>
    <w:rsid w:val="004C3A6C"/>
    <w:rsid w:val="004C3AB9"/>
    <w:rsid w:val="004C3AC1"/>
    <w:rsid w:val="004C3AF4"/>
    <w:rsid w:val="004C3AF7"/>
    <w:rsid w:val="004C3B77"/>
    <w:rsid w:val="004C3B9A"/>
    <w:rsid w:val="004C3BF8"/>
    <w:rsid w:val="004C3C32"/>
    <w:rsid w:val="004C3C56"/>
    <w:rsid w:val="004C3C59"/>
    <w:rsid w:val="004C3C60"/>
    <w:rsid w:val="004C3C7E"/>
    <w:rsid w:val="004C3CD8"/>
    <w:rsid w:val="004C3CDB"/>
    <w:rsid w:val="004C3CE7"/>
    <w:rsid w:val="004C3D1D"/>
    <w:rsid w:val="004C3D25"/>
    <w:rsid w:val="004C3D53"/>
    <w:rsid w:val="004C3DA3"/>
    <w:rsid w:val="004C3E2A"/>
    <w:rsid w:val="004C3F1C"/>
    <w:rsid w:val="004C3F8D"/>
    <w:rsid w:val="004C3F9E"/>
    <w:rsid w:val="004C3FCB"/>
    <w:rsid w:val="004C4189"/>
    <w:rsid w:val="004C41B4"/>
    <w:rsid w:val="004C41D6"/>
    <w:rsid w:val="004C425F"/>
    <w:rsid w:val="004C4268"/>
    <w:rsid w:val="004C426D"/>
    <w:rsid w:val="004C42BC"/>
    <w:rsid w:val="004C433A"/>
    <w:rsid w:val="004C4367"/>
    <w:rsid w:val="004C43DE"/>
    <w:rsid w:val="004C43F9"/>
    <w:rsid w:val="004C43FA"/>
    <w:rsid w:val="004C4427"/>
    <w:rsid w:val="004C443D"/>
    <w:rsid w:val="004C4446"/>
    <w:rsid w:val="004C4456"/>
    <w:rsid w:val="004C4468"/>
    <w:rsid w:val="004C44AB"/>
    <w:rsid w:val="004C44F3"/>
    <w:rsid w:val="004C4507"/>
    <w:rsid w:val="004C4528"/>
    <w:rsid w:val="004C454E"/>
    <w:rsid w:val="004C4579"/>
    <w:rsid w:val="004C458F"/>
    <w:rsid w:val="004C459A"/>
    <w:rsid w:val="004C4611"/>
    <w:rsid w:val="004C46B2"/>
    <w:rsid w:val="004C4710"/>
    <w:rsid w:val="004C4718"/>
    <w:rsid w:val="004C477D"/>
    <w:rsid w:val="004C4790"/>
    <w:rsid w:val="004C4863"/>
    <w:rsid w:val="004C48A7"/>
    <w:rsid w:val="004C491F"/>
    <w:rsid w:val="004C4938"/>
    <w:rsid w:val="004C49C1"/>
    <w:rsid w:val="004C49D3"/>
    <w:rsid w:val="004C4A55"/>
    <w:rsid w:val="004C4ABD"/>
    <w:rsid w:val="004C4B19"/>
    <w:rsid w:val="004C4B20"/>
    <w:rsid w:val="004C4B6E"/>
    <w:rsid w:val="004C4C5A"/>
    <w:rsid w:val="004C4C95"/>
    <w:rsid w:val="004C4D38"/>
    <w:rsid w:val="004C4D68"/>
    <w:rsid w:val="004C4D6B"/>
    <w:rsid w:val="004C4D72"/>
    <w:rsid w:val="004C4D8E"/>
    <w:rsid w:val="004C4D95"/>
    <w:rsid w:val="004C4DC7"/>
    <w:rsid w:val="004C4E45"/>
    <w:rsid w:val="004C4E80"/>
    <w:rsid w:val="004C4EA5"/>
    <w:rsid w:val="004C4EB4"/>
    <w:rsid w:val="004C4FA5"/>
    <w:rsid w:val="004C4FAA"/>
    <w:rsid w:val="004C4FBB"/>
    <w:rsid w:val="004C4FD3"/>
    <w:rsid w:val="004C4FE6"/>
    <w:rsid w:val="004C5017"/>
    <w:rsid w:val="004C5048"/>
    <w:rsid w:val="004C5067"/>
    <w:rsid w:val="004C5085"/>
    <w:rsid w:val="004C50CA"/>
    <w:rsid w:val="004C50F9"/>
    <w:rsid w:val="004C517A"/>
    <w:rsid w:val="004C5198"/>
    <w:rsid w:val="004C51D7"/>
    <w:rsid w:val="004C51DE"/>
    <w:rsid w:val="004C51E8"/>
    <w:rsid w:val="004C524C"/>
    <w:rsid w:val="004C52DD"/>
    <w:rsid w:val="004C52FB"/>
    <w:rsid w:val="004C5351"/>
    <w:rsid w:val="004C5382"/>
    <w:rsid w:val="004C5406"/>
    <w:rsid w:val="004C543A"/>
    <w:rsid w:val="004C549F"/>
    <w:rsid w:val="004C54C9"/>
    <w:rsid w:val="004C54F7"/>
    <w:rsid w:val="004C5528"/>
    <w:rsid w:val="004C55DD"/>
    <w:rsid w:val="004C55E8"/>
    <w:rsid w:val="004C5650"/>
    <w:rsid w:val="004C5674"/>
    <w:rsid w:val="004C56A9"/>
    <w:rsid w:val="004C5799"/>
    <w:rsid w:val="004C5825"/>
    <w:rsid w:val="004C5839"/>
    <w:rsid w:val="004C586E"/>
    <w:rsid w:val="004C5888"/>
    <w:rsid w:val="004C588B"/>
    <w:rsid w:val="004C58A8"/>
    <w:rsid w:val="004C58DD"/>
    <w:rsid w:val="004C58EA"/>
    <w:rsid w:val="004C58F6"/>
    <w:rsid w:val="004C593C"/>
    <w:rsid w:val="004C59CB"/>
    <w:rsid w:val="004C59D9"/>
    <w:rsid w:val="004C59EF"/>
    <w:rsid w:val="004C59FC"/>
    <w:rsid w:val="004C5A03"/>
    <w:rsid w:val="004C5A99"/>
    <w:rsid w:val="004C5AAD"/>
    <w:rsid w:val="004C5ACC"/>
    <w:rsid w:val="004C5AE1"/>
    <w:rsid w:val="004C5B0F"/>
    <w:rsid w:val="004C5B1E"/>
    <w:rsid w:val="004C5BEB"/>
    <w:rsid w:val="004C5C17"/>
    <w:rsid w:val="004C5C20"/>
    <w:rsid w:val="004C5C50"/>
    <w:rsid w:val="004C5C7E"/>
    <w:rsid w:val="004C5CE4"/>
    <w:rsid w:val="004C5D2E"/>
    <w:rsid w:val="004C5D57"/>
    <w:rsid w:val="004C5DCE"/>
    <w:rsid w:val="004C5E1F"/>
    <w:rsid w:val="004C5E43"/>
    <w:rsid w:val="004C5E74"/>
    <w:rsid w:val="004C5ECE"/>
    <w:rsid w:val="004C5ED7"/>
    <w:rsid w:val="004C5EFA"/>
    <w:rsid w:val="004C5F09"/>
    <w:rsid w:val="004C5F37"/>
    <w:rsid w:val="004C5F64"/>
    <w:rsid w:val="004C5F67"/>
    <w:rsid w:val="004C5FF3"/>
    <w:rsid w:val="004C60CF"/>
    <w:rsid w:val="004C60EE"/>
    <w:rsid w:val="004C6148"/>
    <w:rsid w:val="004C6174"/>
    <w:rsid w:val="004C618A"/>
    <w:rsid w:val="004C6198"/>
    <w:rsid w:val="004C61A3"/>
    <w:rsid w:val="004C61A9"/>
    <w:rsid w:val="004C61BB"/>
    <w:rsid w:val="004C61BD"/>
    <w:rsid w:val="004C6235"/>
    <w:rsid w:val="004C6248"/>
    <w:rsid w:val="004C6295"/>
    <w:rsid w:val="004C62DC"/>
    <w:rsid w:val="004C640C"/>
    <w:rsid w:val="004C6441"/>
    <w:rsid w:val="004C6450"/>
    <w:rsid w:val="004C6480"/>
    <w:rsid w:val="004C64AB"/>
    <w:rsid w:val="004C64C6"/>
    <w:rsid w:val="004C64FB"/>
    <w:rsid w:val="004C6608"/>
    <w:rsid w:val="004C6643"/>
    <w:rsid w:val="004C6686"/>
    <w:rsid w:val="004C66C9"/>
    <w:rsid w:val="004C66CE"/>
    <w:rsid w:val="004C671A"/>
    <w:rsid w:val="004C6802"/>
    <w:rsid w:val="004C6840"/>
    <w:rsid w:val="004C68BF"/>
    <w:rsid w:val="004C68CB"/>
    <w:rsid w:val="004C68D7"/>
    <w:rsid w:val="004C691A"/>
    <w:rsid w:val="004C6955"/>
    <w:rsid w:val="004C6965"/>
    <w:rsid w:val="004C6969"/>
    <w:rsid w:val="004C6995"/>
    <w:rsid w:val="004C6A79"/>
    <w:rsid w:val="004C6A91"/>
    <w:rsid w:val="004C6B36"/>
    <w:rsid w:val="004C6B5F"/>
    <w:rsid w:val="004C6B93"/>
    <w:rsid w:val="004C6BC7"/>
    <w:rsid w:val="004C6BE6"/>
    <w:rsid w:val="004C6C02"/>
    <w:rsid w:val="004C6C3F"/>
    <w:rsid w:val="004C6C4D"/>
    <w:rsid w:val="004C6C51"/>
    <w:rsid w:val="004C6C65"/>
    <w:rsid w:val="004C6C96"/>
    <w:rsid w:val="004C6CA1"/>
    <w:rsid w:val="004C6CB3"/>
    <w:rsid w:val="004C6CE3"/>
    <w:rsid w:val="004C6D11"/>
    <w:rsid w:val="004C6D55"/>
    <w:rsid w:val="004C6D7A"/>
    <w:rsid w:val="004C6DBD"/>
    <w:rsid w:val="004C6DCE"/>
    <w:rsid w:val="004C6E53"/>
    <w:rsid w:val="004C6E7C"/>
    <w:rsid w:val="004C6E90"/>
    <w:rsid w:val="004C6E97"/>
    <w:rsid w:val="004C6EEB"/>
    <w:rsid w:val="004C6F39"/>
    <w:rsid w:val="004C6F46"/>
    <w:rsid w:val="004C6F64"/>
    <w:rsid w:val="004C6F74"/>
    <w:rsid w:val="004C6FDD"/>
    <w:rsid w:val="004C704C"/>
    <w:rsid w:val="004C7065"/>
    <w:rsid w:val="004C70B3"/>
    <w:rsid w:val="004C70C5"/>
    <w:rsid w:val="004C70D5"/>
    <w:rsid w:val="004C7108"/>
    <w:rsid w:val="004C71F5"/>
    <w:rsid w:val="004C7290"/>
    <w:rsid w:val="004C732E"/>
    <w:rsid w:val="004C735A"/>
    <w:rsid w:val="004C735C"/>
    <w:rsid w:val="004C73AC"/>
    <w:rsid w:val="004C73BA"/>
    <w:rsid w:val="004C73CB"/>
    <w:rsid w:val="004C7436"/>
    <w:rsid w:val="004C7466"/>
    <w:rsid w:val="004C74AA"/>
    <w:rsid w:val="004C74B0"/>
    <w:rsid w:val="004C74BB"/>
    <w:rsid w:val="004C74CC"/>
    <w:rsid w:val="004C7505"/>
    <w:rsid w:val="004C7527"/>
    <w:rsid w:val="004C7539"/>
    <w:rsid w:val="004C7566"/>
    <w:rsid w:val="004C7580"/>
    <w:rsid w:val="004C758A"/>
    <w:rsid w:val="004C75D8"/>
    <w:rsid w:val="004C7637"/>
    <w:rsid w:val="004C7675"/>
    <w:rsid w:val="004C7681"/>
    <w:rsid w:val="004C7683"/>
    <w:rsid w:val="004C7684"/>
    <w:rsid w:val="004C76FB"/>
    <w:rsid w:val="004C7799"/>
    <w:rsid w:val="004C783F"/>
    <w:rsid w:val="004C7845"/>
    <w:rsid w:val="004C7849"/>
    <w:rsid w:val="004C784C"/>
    <w:rsid w:val="004C788B"/>
    <w:rsid w:val="004C78D7"/>
    <w:rsid w:val="004C78F4"/>
    <w:rsid w:val="004C7921"/>
    <w:rsid w:val="004C793E"/>
    <w:rsid w:val="004C7959"/>
    <w:rsid w:val="004C7983"/>
    <w:rsid w:val="004C79AF"/>
    <w:rsid w:val="004C79F4"/>
    <w:rsid w:val="004C79F9"/>
    <w:rsid w:val="004C7A44"/>
    <w:rsid w:val="004C7A5B"/>
    <w:rsid w:val="004C7A64"/>
    <w:rsid w:val="004C7AAD"/>
    <w:rsid w:val="004C7AC7"/>
    <w:rsid w:val="004C7AEB"/>
    <w:rsid w:val="004C7AF2"/>
    <w:rsid w:val="004C7AF6"/>
    <w:rsid w:val="004C7AF8"/>
    <w:rsid w:val="004C7AFD"/>
    <w:rsid w:val="004C7B35"/>
    <w:rsid w:val="004C7B6A"/>
    <w:rsid w:val="004C7B74"/>
    <w:rsid w:val="004C7B87"/>
    <w:rsid w:val="004C7BBB"/>
    <w:rsid w:val="004C7BC0"/>
    <w:rsid w:val="004C7C09"/>
    <w:rsid w:val="004C7C68"/>
    <w:rsid w:val="004C7D49"/>
    <w:rsid w:val="004C7D70"/>
    <w:rsid w:val="004C7D88"/>
    <w:rsid w:val="004C7D89"/>
    <w:rsid w:val="004C7DFF"/>
    <w:rsid w:val="004C7E02"/>
    <w:rsid w:val="004C7E3B"/>
    <w:rsid w:val="004C7E87"/>
    <w:rsid w:val="004C7EAC"/>
    <w:rsid w:val="004C7EB3"/>
    <w:rsid w:val="004C7EDB"/>
    <w:rsid w:val="004C7EDC"/>
    <w:rsid w:val="004C7F16"/>
    <w:rsid w:val="004C7F1C"/>
    <w:rsid w:val="004C7F2A"/>
    <w:rsid w:val="004C7F72"/>
    <w:rsid w:val="004C7F8F"/>
    <w:rsid w:val="004D002A"/>
    <w:rsid w:val="004D0075"/>
    <w:rsid w:val="004D0130"/>
    <w:rsid w:val="004D0180"/>
    <w:rsid w:val="004D01D8"/>
    <w:rsid w:val="004D01DB"/>
    <w:rsid w:val="004D01E7"/>
    <w:rsid w:val="004D01EE"/>
    <w:rsid w:val="004D0215"/>
    <w:rsid w:val="004D02B8"/>
    <w:rsid w:val="004D02CA"/>
    <w:rsid w:val="004D032D"/>
    <w:rsid w:val="004D0349"/>
    <w:rsid w:val="004D036D"/>
    <w:rsid w:val="004D0485"/>
    <w:rsid w:val="004D0492"/>
    <w:rsid w:val="004D0540"/>
    <w:rsid w:val="004D0582"/>
    <w:rsid w:val="004D058D"/>
    <w:rsid w:val="004D05F2"/>
    <w:rsid w:val="004D0603"/>
    <w:rsid w:val="004D0628"/>
    <w:rsid w:val="004D062A"/>
    <w:rsid w:val="004D0658"/>
    <w:rsid w:val="004D06B8"/>
    <w:rsid w:val="004D06BC"/>
    <w:rsid w:val="004D06E4"/>
    <w:rsid w:val="004D071A"/>
    <w:rsid w:val="004D0760"/>
    <w:rsid w:val="004D0785"/>
    <w:rsid w:val="004D083B"/>
    <w:rsid w:val="004D08F3"/>
    <w:rsid w:val="004D09C1"/>
    <w:rsid w:val="004D09F5"/>
    <w:rsid w:val="004D0A49"/>
    <w:rsid w:val="004D0A53"/>
    <w:rsid w:val="004D0A88"/>
    <w:rsid w:val="004D0A95"/>
    <w:rsid w:val="004D0B00"/>
    <w:rsid w:val="004D0B02"/>
    <w:rsid w:val="004D0B20"/>
    <w:rsid w:val="004D0B6B"/>
    <w:rsid w:val="004D0B7A"/>
    <w:rsid w:val="004D0BA7"/>
    <w:rsid w:val="004D0BDC"/>
    <w:rsid w:val="004D0BE5"/>
    <w:rsid w:val="004D0C00"/>
    <w:rsid w:val="004D0C18"/>
    <w:rsid w:val="004D0C3A"/>
    <w:rsid w:val="004D0C5A"/>
    <w:rsid w:val="004D0C66"/>
    <w:rsid w:val="004D0C74"/>
    <w:rsid w:val="004D0CD3"/>
    <w:rsid w:val="004D0CE7"/>
    <w:rsid w:val="004D0CF0"/>
    <w:rsid w:val="004D0D06"/>
    <w:rsid w:val="004D0D09"/>
    <w:rsid w:val="004D0D23"/>
    <w:rsid w:val="004D0D37"/>
    <w:rsid w:val="004D0D5E"/>
    <w:rsid w:val="004D0D94"/>
    <w:rsid w:val="004D0D95"/>
    <w:rsid w:val="004D0DDF"/>
    <w:rsid w:val="004D0DED"/>
    <w:rsid w:val="004D0DEE"/>
    <w:rsid w:val="004D0E2B"/>
    <w:rsid w:val="004D0E7C"/>
    <w:rsid w:val="004D0EB5"/>
    <w:rsid w:val="004D0EF7"/>
    <w:rsid w:val="004D0F45"/>
    <w:rsid w:val="004D0FC8"/>
    <w:rsid w:val="004D0FDA"/>
    <w:rsid w:val="004D0FFC"/>
    <w:rsid w:val="004D1007"/>
    <w:rsid w:val="004D100A"/>
    <w:rsid w:val="004D1035"/>
    <w:rsid w:val="004D103C"/>
    <w:rsid w:val="004D1065"/>
    <w:rsid w:val="004D1089"/>
    <w:rsid w:val="004D10DB"/>
    <w:rsid w:val="004D1123"/>
    <w:rsid w:val="004D114F"/>
    <w:rsid w:val="004D1167"/>
    <w:rsid w:val="004D11D1"/>
    <w:rsid w:val="004D122E"/>
    <w:rsid w:val="004D12CD"/>
    <w:rsid w:val="004D1320"/>
    <w:rsid w:val="004D138E"/>
    <w:rsid w:val="004D13B0"/>
    <w:rsid w:val="004D1520"/>
    <w:rsid w:val="004D1566"/>
    <w:rsid w:val="004D15A8"/>
    <w:rsid w:val="004D15B9"/>
    <w:rsid w:val="004D15D5"/>
    <w:rsid w:val="004D15F4"/>
    <w:rsid w:val="004D161A"/>
    <w:rsid w:val="004D161B"/>
    <w:rsid w:val="004D1635"/>
    <w:rsid w:val="004D168F"/>
    <w:rsid w:val="004D1694"/>
    <w:rsid w:val="004D1696"/>
    <w:rsid w:val="004D16C1"/>
    <w:rsid w:val="004D1757"/>
    <w:rsid w:val="004D176E"/>
    <w:rsid w:val="004D17C9"/>
    <w:rsid w:val="004D188B"/>
    <w:rsid w:val="004D18D5"/>
    <w:rsid w:val="004D1910"/>
    <w:rsid w:val="004D1946"/>
    <w:rsid w:val="004D1993"/>
    <w:rsid w:val="004D1A1D"/>
    <w:rsid w:val="004D1A43"/>
    <w:rsid w:val="004D1A82"/>
    <w:rsid w:val="004D1AB3"/>
    <w:rsid w:val="004D1AE4"/>
    <w:rsid w:val="004D1B0F"/>
    <w:rsid w:val="004D1B19"/>
    <w:rsid w:val="004D1B77"/>
    <w:rsid w:val="004D1B86"/>
    <w:rsid w:val="004D1B8E"/>
    <w:rsid w:val="004D1BB9"/>
    <w:rsid w:val="004D1BE7"/>
    <w:rsid w:val="004D1C8A"/>
    <w:rsid w:val="004D1CC2"/>
    <w:rsid w:val="004D1CE1"/>
    <w:rsid w:val="004D1CE6"/>
    <w:rsid w:val="004D1D01"/>
    <w:rsid w:val="004D1D9D"/>
    <w:rsid w:val="004D1E12"/>
    <w:rsid w:val="004D1E28"/>
    <w:rsid w:val="004D1E32"/>
    <w:rsid w:val="004D1E49"/>
    <w:rsid w:val="004D1EEA"/>
    <w:rsid w:val="004D1EEC"/>
    <w:rsid w:val="004D1FB9"/>
    <w:rsid w:val="004D203D"/>
    <w:rsid w:val="004D2040"/>
    <w:rsid w:val="004D210F"/>
    <w:rsid w:val="004D21B5"/>
    <w:rsid w:val="004D21CA"/>
    <w:rsid w:val="004D2223"/>
    <w:rsid w:val="004D2251"/>
    <w:rsid w:val="004D22BE"/>
    <w:rsid w:val="004D230D"/>
    <w:rsid w:val="004D23E5"/>
    <w:rsid w:val="004D23EB"/>
    <w:rsid w:val="004D23EC"/>
    <w:rsid w:val="004D2467"/>
    <w:rsid w:val="004D2469"/>
    <w:rsid w:val="004D24D5"/>
    <w:rsid w:val="004D252A"/>
    <w:rsid w:val="004D2558"/>
    <w:rsid w:val="004D2593"/>
    <w:rsid w:val="004D2603"/>
    <w:rsid w:val="004D2626"/>
    <w:rsid w:val="004D2693"/>
    <w:rsid w:val="004D26A2"/>
    <w:rsid w:val="004D26F6"/>
    <w:rsid w:val="004D276B"/>
    <w:rsid w:val="004D27CA"/>
    <w:rsid w:val="004D281D"/>
    <w:rsid w:val="004D2834"/>
    <w:rsid w:val="004D285D"/>
    <w:rsid w:val="004D288C"/>
    <w:rsid w:val="004D28BC"/>
    <w:rsid w:val="004D291F"/>
    <w:rsid w:val="004D29DA"/>
    <w:rsid w:val="004D2AE9"/>
    <w:rsid w:val="004D2B29"/>
    <w:rsid w:val="004D2B5F"/>
    <w:rsid w:val="004D2B64"/>
    <w:rsid w:val="004D2BA7"/>
    <w:rsid w:val="004D2BFD"/>
    <w:rsid w:val="004D2BFF"/>
    <w:rsid w:val="004D2C58"/>
    <w:rsid w:val="004D2CE1"/>
    <w:rsid w:val="004D2CF1"/>
    <w:rsid w:val="004D2CFF"/>
    <w:rsid w:val="004D2D2A"/>
    <w:rsid w:val="004D2D62"/>
    <w:rsid w:val="004D2D89"/>
    <w:rsid w:val="004D2DB7"/>
    <w:rsid w:val="004D2E36"/>
    <w:rsid w:val="004D2E39"/>
    <w:rsid w:val="004D2E78"/>
    <w:rsid w:val="004D2EF3"/>
    <w:rsid w:val="004D2F4A"/>
    <w:rsid w:val="004D3001"/>
    <w:rsid w:val="004D310F"/>
    <w:rsid w:val="004D3110"/>
    <w:rsid w:val="004D31B1"/>
    <w:rsid w:val="004D31B2"/>
    <w:rsid w:val="004D31D1"/>
    <w:rsid w:val="004D322D"/>
    <w:rsid w:val="004D3230"/>
    <w:rsid w:val="004D3263"/>
    <w:rsid w:val="004D326C"/>
    <w:rsid w:val="004D32A0"/>
    <w:rsid w:val="004D331B"/>
    <w:rsid w:val="004D3381"/>
    <w:rsid w:val="004D3389"/>
    <w:rsid w:val="004D3392"/>
    <w:rsid w:val="004D33B7"/>
    <w:rsid w:val="004D345A"/>
    <w:rsid w:val="004D345C"/>
    <w:rsid w:val="004D3463"/>
    <w:rsid w:val="004D3464"/>
    <w:rsid w:val="004D346C"/>
    <w:rsid w:val="004D349B"/>
    <w:rsid w:val="004D34AE"/>
    <w:rsid w:val="004D34B6"/>
    <w:rsid w:val="004D3534"/>
    <w:rsid w:val="004D3542"/>
    <w:rsid w:val="004D358F"/>
    <w:rsid w:val="004D35CC"/>
    <w:rsid w:val="004D35D1"/>
    <w:rsid w:val="004D35D4"/>
    <w:rsid w:val="004D3616"/>
    <w:rsid w:val="004D3698"/>
    <w:rsid w:val="004D36C6"/>
    <w:rsid w:val="004D36CB"/>
    <w:rsid w:val="004D374B"/>
    <w:rsid w:val="004D374C"/>
    <w:rsid w:val="004D3759"/>
    <w:rsid w:val="004D376F"/>
    <w:rsid w:val="004D37A0"/>
    <w:rsid w:val="004D37A5"/>
    <w:rsid w:val="004D37AC"/>
    <w:rsid w:val="004D37CF"/>
    <w:rsid w:val="004D37DE"/>
    <w:rsid w:val="004D37EC"/>
    <w:rsid w:val="004D37F9"/>
    <w:rsid w:val="004D3804"/>
    <w:rsid w:val="004D381B"/>
    <w:rsid w:val="004D381E"/>
    <w:rsid w:val="004D3874"/>
    <w:rsid w:val="004D387D"/>
    <w:rsid w:val="004D3894"/>
    <w:rsid w:val="004D38B5"/>
    <w:rsid w:val="004D3931"/>
    <w:rsid w:val="004D3942"/>
    <w:rsid w:val="004D3948"/>
    <w:rsid w:val="004D3949"/>
    <w:rsid w:val="004D394B"/>
    <w:rsid w:val="004D3951"/>
    <w:rsid w:val="004D3981"/>
    <w:rsid w:val="004D3990"/>
    <w:rsid w:val="004D39D0"/>
    <w:rsid w:val="004D3A01"/>
    <w:rsid w:val="004D3A40"/>
    <w:rsid w:val="004D3B03"/>
    <w:rsid w:val="004D3B35"/>
    <w:rsid w:val="004D3B59"/>
    <w:rsid w:val="004D3B75"/>
    <w:rsid w:val="004D3B78"/>
    <w:rsid w:val="004D3B7E"/>
    <w:rsid w:val="004D3BD4"/>
    <w:rsid w:val="004D3C05"/>
    <w:rsid w:val="004D3C61"/>
    <w:rsid w:val="004D3C91"/>
    <w:rsid w:val="004D3CB7"/>
    <w:rsid w:val="004D3CBE"/>
    <w:rsid w:val="004D3D54"/>
    <w:rsid w:val="004D3D8D"/>
    <w:rsid w:val="004D3DAD"/>
    <w:rsid w:val="004D3DBB"/>
    <w:rsid w:val="004D3E20"/>
    <w:rsid w:val="004D3E24"/>
    <w:rsid w:val="004D3E5D"/>
    <w:rsid w:val="004D3EA8"/>
    <w:rsid w:val="004D3EAB"/>
    <w:rsid w:val="004D3EFD"/>
    <w:rsid w:val="004D3F10"/>
    <w:rsid w:val="004D3F7F"/>
    <w:rsid w:val="004D3FAA"/>
    <w:rsid w:val="004D3FE7"/>
    <w:rsid w:val="004D3FF0"/>
    <w:rsid w:val="004D4096"/>
    <w:rsid w:val="004D40D6"/>
    <w:rsid w:val="004D40F4"/>
    <w:rsid w:val="004D4109"/>
    <w:rsid w:val="004D4138"/>
    <w:rsid w:val="004D4167"/>
    <w:rsid w:val="004D4186"/>
    <w:rsid w:val="004D4195"/>
    <w:rsid w:val="004D41A6"/>
    <w:rsid w:val="004D41BE"/>
    <w:rsid w:val="004D41D5"/>
    <w:rsid w:val="004D41F0"/>
    <w:rsid w:val="004D420E"/>
    <w:rsid w:val="004D4283"/>
    <w:rsid w:val="004D42F5"/>
    <w:rsid w:val="004D4356"/>
    <w:rsid w:val="004D4368"/>
    <w:rsid w:val="004D43BC"/>
    <w:rsid w:val="004D43EF"/>
    <w:rsid w:val="004D44F4"/>
    <w:rsid w:val="004D451B"/>
    <w:rsid w:val="004D451C"/>
    <w:rsid w:val="004D455B"/>
    <w:rsid w:val="004D4564"/>
    <w:rsid w:val="004D4577"/>
    <w:rsid w:val="004D45A4"/>
    <w:rsid w:val="004D464D"/>
    <w:rsid w:val="004D464F"/>
    <w:rsid w:val="004D4713"/>
    <w:rsid w:val="004D476C"/>
    <w:rsid w:val="004D47D9"/>
    <w:rsid w:val="004D480B"/>
    <w:rsid w:val="004D48C3"/>
    <w:rsid w:val="004D493F"/>
    <w:rsid w:val="004D4962"/>
    <w:rsid w:val="004D4A1D"/>
    <w:rsid w:val="004D4A48"/>
    <w:rsid w:val="004D4A54"/>
    <w:rsid w:val="004D4A78"/>
    <w:rsid w:val="004D4AC7"/>
    <w:rsid w:val="004D4AFF"/>
    <w:rsid w:val="004D4B71"/>
    <w:rsid w:val="004D4B89"/>
    <w:rsid w:val="004D4C12"/>
    <w:rsid w:val="004D4C15"/>
    <w:rsid w:val="004D4C50"/>
    <w:rsid w:val="004D4C7C"/>
    <w:rsid w:val="004D4CBA"/>
    <w:rsid w:val="004D4CC8"/>
    <w:rsid w:val="004D4CFA"/>
    <w:rsid w:val="004D4D15"/>
    <w:rsid w:val="004D4D3F"/>
    <w:rsid w:val="004D4D88"/>
    <w:rsid w:val="004D4DA2"/>
    <w:rsid w:val="004D4DC7"/>
    <w:rsid w:val="004D4E1D"/>
    <w:rsid w:val="004D4EB7"/>
    <w:rsid w:val="004D4F27"/>
    <w:rsid w:val="004D4F34"/>
    <w:rsid w:val="004D4F61"/>
    <w:rsid w:val="004D4F9D"/>
    <w:rsid w:val="004D5068"/>
    <w:rsid w:val="004D5069"/>
    <w:rsid w:val="004D50DA"/>
    <w:rsid w:val="004D5146"/>
    <w:rsid w:val="004D5157"/>
    <w:rsid w:val="004D5193"/>
    <w:rsid w:val="004D51D0"/>
    <w:rsid w:val="004D5202"/>
    <w:rsid w:val="004D5239"/>
    <w:rsid w:val="004D52A4"/>
    <w:rsid w:val="004D52CE"/>
    <w:rsid w:val="004D5338"/>
    <w:rsid w:val="004D53F4"/>
    <w:rsid w:val="004D5421"/>
    <w:rsid w:val="004D5506"/>
    <w:rsid w:val="004D5527"/>
    <w:rsid w:val="004D5533"/>
    <w:rsid w:val="004D5538"/>
    <w:rsid w:val="004D5557"/>
    <w:rsid w:val="004D5565"/>
    <w:rsid w:val="004D557E"/>
    <w:rsid w:val="004D55BA"/>
    <w:rsid w:val="004D55F1"/>
    <w:rsid w:val="004D55FA"/>
    <w:rsid w:val="004D5611"/>
    <w:rsid w:val="004D56BE"/>
    <w:rsid w:val="004D56E5"/>
    <w:rsid w:val="004D57F0"/>
    <w:rsid w:val="004D5831"/>
    <w:rsid w:val="004D58F1"/>
    <w:rsid w:val="004D5908"/>
    <w:rsid w:val="004D591C"/>
    <w:rsid w:val="004D598F"/>
    <w:rsid w:val="004D59A5"/>
    <w:rsid w:val="004D59C5"/>
    <w:rsid w:val="004D59F2"/>
    <w:rsid w:val="004D59FF"/>
    <w:rsid w:val="004D5A2B"/>
    <w:rsid w:val="004D5A6D"/>
    <w:rsid w:val="004D5AB1"/>
    <w:rsid w:val="004D5AB2"/>
    <w:rsid w:val="004D5BEE"/>
    <w:rsid w:val="004D5C26"/>
    <w:rsid w:val="004D5C80"/>
    <w:rsid w:val="004D5D24"/>
    <w:rsid w:val="004D5D89"/>
    <w:rsid w:val="004D5E31"/>
    <w:rsid w:val="004D5E3A"/>
    <w:rsid w:val="004D5E4A"/>
    <w:rsid w:val="004D5E69"/>
    <w:rsid w:val="004D5E6F"/>
    <w:rsid w:val="004D5EE4"/>
    <w:rsid w:val="004D5F84"/>
    <w:rsid w:val="004D5F8F"/>
    <w:rsid w:val="004D5FE9"/>
    <w:rsid w:val="004D601A"/>
    <w:rsid w:val="004D601C"/>
    <w:rsid w:val="004D602B"/>
    <w:rsid w:val="004D6036"/>
    <w:rsid w:val="004D603E"/>
    <w:rsid w:val="004D604C"/>
    <w:rsid w:val="004D60BE"/>
    <w:rsid w:val="004D6111"/>
    <w:rsid w:val="004D611B"/>
    <w:rsid w:val="004D61E4"/>
    <w:rsid w:val="004D62E0"/>
    <w:rsid w:val="004D634B"/>
    <w:rsid w:val="004D63B0"/>
    <w:rsid w:val="004D63E8"/>
    <w:rsid w:val="004D6412"/>
    <w:rsid w:val="004D6486"/>
    <w:rsid w:val="004D649F"/>
    <w:rsid w:val="004D64F8"/>
    <w:rsid w:val="004D650F"/>
    <w:rsid w:val="004D656E"/>
    <w:rsid w:val="004D657B"/>
    <w:rsid w:val="004D658C"/>
    <w:rsid w:val="004D658E"/>
    <w:rsid w:val="004D6591"/>
    <w:rsid w:val="004D6599"/>
    <w:rsid w:val="004D6629"/>
    <w:rsid w:val="004D675E"/>
    <w:rsid w:val="004D67C9"/>
    <w:rsid w:val="004D67E6"/>
    <w:rsid w:val="004D67F1"/>
    <w:rsid w:val="004D6811"/>
    <w:rsid w:val="004D6873"/>
    <w:rsid w:val="004D689A"/>
    <w:rsid w:val="004D68A8"/>
    <w:rsid w:val="004D692C"/>
    <w:rsid w:val="004D6958"/>
    <w:rsid w:val="004D695E"/>
    <w:rsid w:val="004D6974"/>
    <w:rsid w:val="004D698F"/>
    <w:rsid w:val="004D69B3"/>
    <w:rsid w:val="004D6A24"/>
    <w:rsid w:val="004D6A9A"/>
    <w:rsid w:val="004D6AC8"/>
    <w:rsid w:val="004D6B26"/>
    <w:rsid w:val="004D6B5E"/>
    <w:rsid w:val="004D6BD4"/>
    <w:rsid w:val="004D6BD8"/>
    <w:rsid w:val="004D6C86"/>
    <w:rsid w:val="004D6C95"/>
    <w:rsid w:val="004D6CB6"/>
    <w:rsid w:val="004D6D54"/>
    <w:rsid w:val="004D6DE9"/>
    <w:rsid w:val="004D6DFB"/>
    <w:rsid w:val="004D6ECE"/>
    <w:rsid w:val="004D6F12"/>
    <w:rsid w:val="004D6F2A"/>
    <w:rsid w:val="004D6F2C"/>
    <w:rsid w:val="004D6F4D"/>
    <w:rsid w:val="004D6F66"/>
    <w:rsid w:val="004D6FB6"/>
    <w:rsid w:val="004D6FC0"/>
    <w:rsid w:val="004D700C"/>
    <w:rsid w:val="004D7127"/>
    <w:rsid w:val="004D712A"/>
    <w:rsid w:val="004D7135"/>
    <w:rsid w:val="004D716A"/>
    <w:rsid w:val="004D7178"/>
    <w:rsid w:val="004D71AD"/>
    <w:rsid w:val="004D71C5"/>
    <w:rsid w:val="004D71CF"/>
    <w:rsid w:val="004D7216"/>
    <w:rsid w:val="004D7237"/>
    <w:rsid w:val="004D7243"/>
    <w:rsid w:val="004D724F"/>
    <w:rsid w:val="004D7259"/>
    <w:rsid w:val="004D730D"/>
    <w:rsid w:val="004D7373"/>
    <w:rsid w:val="004D73CF"/>
    <w:rsid w:val="004D7476"/>
    <w:rsid w:val="004D749A"/>
    <w:rsid w:val="004D7509"/>
    <w:rsid w:val="004D7521"/>
    <w:rsid w:val="004D755D"/>
    <w:rsid w:val="004D7599"/>
    <w:rsid w:val="004D75C6"/>
    <w:rsid w:val="004D762C"/>
    <w:rsid w:val="004D767A"/>
    <w:rsid w:val="004D76F9"/>
    <w:rsid w:val="004D771C"/>
    <w:rsid w:val="004D77AD"/>
    <w:rsid w:val="004D77B4"/>
    <w:rsid w:val="004D77B5"/>
    <w:rsid w:val="004D77C9"/>
    <w:rsid w:val="004D77D5"/>
    <w:rsid w:val="004D784A"/>
    <w:rsid w:val="004D784E"/>
    <w:rsid w:val="004D787D"/>
    <w:rsid w:val="004D7886"/>
    <w:rsid w:val="004D78B7"/>
    <w:rsid w:val="004D78D1"/>
    <w:rsid w:val="004D790B"/>
    <w:rsid w:val="004D7933"/>
    <w:rsid w:val="004D79D5"/>
    <w:rsid w:val="004D79DA"/>
    <w:rsid w:val="004D7A3D"/>
    <w:rsid w:val="004D7A4B"/>
    <w:rsid w:val="004D7A89"/>
    <w:rsid w:val="004D7B00"/>
    <w:rsid w:val="004D7B84"/>
    <w:rsid w:val="004D7C11"/>
    <w:rsid w:val="004D7C43"/>
    <w:rsid w:val="004D7C87"/>
    <w:rsid w:val="004D7C92"/>
    <w:rsid w:val="004D7CD7"/>
    <w:rsid w:val="004D7D10"/>
    <w:rsid w:val="004D7D71"/>
    <w:rsid w:val="004D7DC3"/>
    <w:rsid w:val="004D7E27"/>
    <w:rsid w:val="004D7E34"/>
    <w:rsid w:val="004D7E51"/>
    <w:rsid w:val="004D7E79"/>
    <w:rsid w:val="004D7F1B"/>
    <w:rsid w:val="004D7F2E"/>
    <w:rsid w:val="004D7F4B"/>
    <w:rsid w:val="004D7FFE"/>
    <w:rsid w:val="004E0023"/>
    <w:rsid w:val="004E00EE"/>
    <w:rsid w:val="004E0113"/>
    <w:rsid w:val="004E0165"/>
    <w:rsid w:val="004E0183"/>
    <w:rsid w:val="004E018E"/>
    <w:rsid w:val="004E01BB"/>
    <w:rsid w:val="004E01E4"/>
    <w:rsid w:val="004E01EB"/>
    <w:rsid w:val="004E026F"/>
    <w:rsid w:val="004E02B6"/>
    <w:rsid w:val="004E02C0"/>
    <w:rsid w:val="004E02C3"/>
    <w:rsid w:val="004E0302"/>
    <w:rsid w:val="004E0370"/>
    <w:rsid w:val="004E03DA"/>
    <w:rsid w:val="004E048F"/>
    <w:rsid w:val="004E04AB"/>
    <w:rsid w:val="004E04DE"/>
    <w:rsid w:val="004E0568"/>
    <w:rsid w:val="004E056B"/>
    <w:rsid w:val="004E05CD"/>
    <w:rsid w:val="004E05DE"/>
    <w:rsid w:val="004E05E8"/>
    <w:rsid w:val="004E0694"/>
    <w:rsid w:val="004E06DD"/>
    <w:rsid w:val="004E06E5"/>
    <w:rsid w:val="004E06FD"/>
    <w:rsid w:val="004E0703"/>
    <w:rsid w:val="004E0786"/>
    <w:rsid w:val="004E0792"/>
    <w:rsid w:val="004E07A6"/>
    <w:rsid w:val="004E0802"/>
    <w:rsid w:val="004E08E4"/>
    <w:rsid w:val="004E092B"/>
    <w:rsid w:val="004E096C"/>
    <w:rsid w:val="004E0A05"/>
    <w:rsid w:val="004E0A62"/>
    <w:rsid w:val="004E0B14"/>
    <w:rsid w:val="004E0B76"/>
    <w:rsid w:val="004E0B83"/>
    <w:rsid w:val="004E0BDE"/>
    <w:rsid w:val="004E0BED"/>
    <w:rsid w:val="004E0C15"/>
    <w:rsid w:val="004E0C44"/>
    <w:rsid w:val="004E0C59"/>
    <w:rsid w:val="004E0CF2"/>
    <w:rsid w:val="004E0D15"/>
    <w:rsid w:val="004E0D1E"/>
    <w:rsid w:val="004E0D28"/>
    <w:rsid w:val="004E0D78"/>
    <w:rsid w:val="004E0D8B"/>
    <w:rsid w:val="004E0DA8"/>
    <w:rsid w:val="004E0DC3"/>
    <w:rsid w:val="004E0E62"/>
    <w:rsid w:val="004E0EF4"/>
    <w:rsid w:val="004E0F73"/>
    <w:rsid w:val="004E0F92"/>
    <w:rsid w:val="004E0F9C"/>
    <w:rsid w:val="004E0FE0"/>
    <w:rsid w:val="004E1067"/>
    <w:rsid w:val="004E107D"/>
    <w:rsid w:val="004E108A"/>
    <w:rsid w:val="004E1124"/>
    <w:rsid w:val="004E112B"/>
    <w:rsid w:val="004E1163"/>
    <w:rsid w:val="004E11F2"/>
    <w:rsid w:val="004E1238"/>
    <w:rsid w:val="004E1291"/>
    <w:rsid w:val="004E129E"/>
    <w:rsid w:val="004E12E9"/>
    <w:rsid w:val="004E130A"/>
    <w:rsid w:val="004E1362"/>
    <w:rsid w:val="004E136E"/>
    <w:rsid w:val="004E13A1"/>
    <w:rsid w:val="004E13B7"/>
    <w:rsid w:val="004E13C1"/>
    <w:rsid w:val="004E13C4"/>
    <w:rsid w:val="004E13DB"/>
    <w:rsid w:val="004E151A"/>
    <w:rsid w:val="004E1570"/>
    <w:rsid w:val="004E1571"/>
    <w:rsid w:val="004E15A2"/>
    <w:rsid w:val="004E15A7"/>
    <w:rsid w:val="004E1668"/>
    <w:rsid w:val="004E1671"/>
    <w:rsid w:val="004E1689"/>
    <w:rsid w:val="004E1691"/>
    <w:rsid w:val="004E16A1"/>
    <w:rsid w:val="004E16C0"/>
    <w:rsid w:val="004E170B"/>
    <w:rsid w:val="004E184B"/>
    <w:rsid w:val="004E1874"/>
    <w:rsid w:val="004E18B7"/>
    <w:rsid w:val="004E18E4"/>
    <w:rsid w:val="004E1928"/>
    <w:rsid w:val="004E1958"/>
    <w:rsid w:val="004E199B"/>
    <w:rsid w:val="004E199C"/>
    <w:rsid w:val="004E19DE"/>
    <w:rsid w:val="004E1A2D"/>
    <w:rsid w:val="004E1B3E"/>
    <w:rsid w:val="004E1B95"/>
    <w:rsid w:val="004E1B96"/>
    <w:rsid w:val="004E1BAF"/>
    <w:rsid w:val="004E1C3B"/>
    <w:rsid w:val="004E1C6E"/>
    <w:rsid w:val="004E1C83"/>
    <w:rsid w:val="004E1C89"/>
    <w:rsid w:val="004E1CC5"/>
    <w:rsid w:val="004E1CC6"/>
    <w:rsid w:val="004E1CE8"/>
    <w:rsid w:val="004E1DC0"/>
    <w:rsid w:val="004E1DDE"/>
    <w:rsid w:val="004E1DFC"/>
    <w:rsid w:val="004E1E05"/>
    <w:rsid w:val="004E1E14"/>
    <w:rsid w:val="004E1E61"/>
    <w:rsid w:val="004E1E98"/>
    <w:rsid w:val="004E1E9E"/>
    <w:rsid w:val="004E1EB9"/>
    <w:rsid w:val="004E1EC8"/>
    <w:rsid w:val="004E1F14"/>
    <w:rsid w:val="004E1F2B"/>
    <w:rsid w:val="004E1F86"/>
    <w:rsid w:val="004E1F95"/>
    <w:rsid w:val="004E1FB7"/>
    <w:rsid w:val="004E2040"/>
    <w:rsid w:val="004E2076"/>
    <w:rsid w:val="004E2176"/>
    <w:rsid w:val="004E21EB"/>
    <w:rsid w:val="004E2217"/>
    <w:rsid w:val="004E2252"/>
    <w:rsid w:val="004E22A7"/>
    <w:rsid w:val="004E22C0"/>
    <w:rsid w:val="004E22C5"/>
    <w:rsid w:val="004E22DD"/>
    <w:rsid w:val="004E22E7"/>
    <w:rsid w:val="004E2352"/>
    <w:rsid w:val="004E2365"/>
    <w:rsid w:val="004E23C7"/>
    <w:rsid w:val="004E240F"/>
    <w:rsid w:val="004E251C"/>
    <w:rsid w:val="004E254D"/>
    <w:rsid w:val="004E25C0"/>
    <w:rsid w:val="004E25DE"/>
    <w:rsid w:val="004E25E7"/>
    <w:rsid w:val="004E25F3"/>
    <w:rsid w:val="004E2622"/>
    <w:rsid w:val="004E2626"/>
    <w:rsid w:val="004E263D"/>
    <w:rsid w:val="004E2650"/>
    <w:rsid w:val="004E2667"/>
    <w:rsid w:val="004E26C1"/>
    <w:rsid w:val="004E26C9"/>
    <w:rsid w:val="004E271E"/>
    <w:rsid w:val="004E2726"/>
    <w:rsid w:val="004E27B0"/>
    <w:rsid w:val="004E27E2"/>
    <w:rsid w:val="004E280E"/>
    <w:rsid w:val="004E288E"/>
    <w:rsid w:val="004E288F"/>
    <w:rsid w:val="004E289A"/>
    <w:rsid w:val="004E289D"/>
    <w:rsid w:val="004E2903"/>
    <w:rsid w:val="004E292B"/>
    <w:rsid w:val="004E292F"/>
    <w:rsid w:val="004E29AB"/>
    <w:rsid w:val="004E29B6"/>
    <w:rsid w:val="004E29E3"/>
    <w:rsid w:val="004E2A07"/>
    <w:rsid w:val="004E2A35"/>
    <w:rsid w:val="004E2A6E"/>
    <w:rsid w:val="004E2A83"/>
    <w:rsid w:val="004E2A85"/>
    <w:rsid w:val="004E2ADA"/>
    <w:rsid w:val="004E2AE6"/>
    <w:rsid w:val="004E2AF5"/>
    <w:rsid w:val="004E2AF9"/>
    <w:rsid w:val="004E2B0B"/>
    <w:rsid w:val="004E2B7B"/>
    <w:rsid w:val="004E2B99"/>
    <w:rsid w:val="004E2BB6"/>
    <w:rsid w:val="004E2C5F"/>
    <w:rsid w:val="004E2C78"/>
    <w:rsid w:val="004E2C80"/>
    <w:rsid w:val="004E2D24"/>
    <w:rsid w:val="004E2D43"/>
    <w:rsid w:val="004E2D9B"/>
    <w:rsid w:val="004E2DE3"/>
    <w:rsid w:val="004E2DE8"/>
    <w:rsid w:val="004E2E0B"/>
    <w:rsid w:val="004E2E42"/>
    <w:rsid w:val="004E2E4E"/>
    <w:rsid w:val="004E2E51"/>
    <w:rsid w:val="004E2E5F"/>
    <w:rsid w:val="004E2E8C"/>
    <w:rsid w:val="004E2E9B"/>
    <w:rsid w:val="004E2ECD"/>
    <w:rsid w:val="004E2EE4"/>
    <w:rsid w:val="004E3002"/>
    <w:rsid w:val="004E3076"/>
    <w:rsid w:val="004E30D8"/>
    <w:rsid w:val="004E310D"/>
    <w:rsid w:val="004E313A"/>
    <w:rsid w:val="004E315F"/>
    <w:rsid w:val="004E318A"/>
    <w:rsid w:val="004E31B2"/>
    <w:rsid w:val="004E31E1"/>
    <w:rsid w:val="004E31E4"/>
    <w:rsid w:val="004E320A"/>
    <w:rsid w:val="004E3213"/>
    <w:rsid w:val="004E3235"/>
    <w:rsid w:val="004E323A"/>
    <w:rsid w:val="004E3251"/>
    <w:rsid w:val="004E326C"/>
    <w:rsid w:val="004E327A"/>
    <w:rsid w:val="004E32D9"/>
    <w:rsid w:val="004E32E9"/>
    <w:rsid w:val="004E32F7"/>
    <w:rsid w:val="004E336D"/>
    <w:rsid w:val="004E33BB"/>
    <w:rsid w:val="004E33C0"/>
    <w:rsid w:val="004E33E2"/>
    <w:rsid w:val="004E341A"/>
    <w:rsid w:val="004E3436"/>
    <w:rsid w:val="004E3459"/>
    <w:rsid w:val="004E346A"/>
    <w:rsid w:val="004E34A9"/>
    <w:rsid w:val="004E353D"/>
    <w:rsid w:val="004E35C0"/>
    <w:rsid w:val="004E35EA"/>
    <w:rsid w:val="004E365D"/>
    <w:rsid w:val="004E3663"/>
    <w:rsid w:val="004E3682"/>
    <w:rsid w:val="004E36B3"/>
    <w:rsid w:val="004E36DA"/>
    <w:rsid w:val="004E3704"/>
    <w:rsid w:val="004E370E"/>
    <w:rsid w:val="004E37F9"/>
    <w:rsid w:val="004E3886"/>
    <w:rsid w:val="004E38BB"/>
    <w:rsid w:val="004E38C8"/>
    <w:rsid w:val="004E38DA"/>
    <w:rsid w:val="004E393E"/>
    <w:rsid w:val="004E393F"/>
    <w:rsid w:val="004E3943"/>
    <w:rsid w:val="004E397F"/>
    <w:rsid w:val="004E3984"/>
    <w:rsid w:val="004E398F"/>
    <w:rsid w:val="004E39EF"/>
    <w:rsid w:val="004E3A3A"/>
    <w:rsid w:val="004E3A51"/>
    <w:rsid w:val="004E3B33"/>
    <w:rsid w:val="004E3B37"/>
    <w:rsid w:val="004E3BC9"/>
    <w:rsid w:val="004E3BEC"/>
    <w:rsid w:val="004E3C2B"/>
    <w:rsid w:val="004E3C5B"/>
    <w:rsid w:val="004E3CFC"/>
    <w:rsid w:val="004E3D42"/>
    <w:rsid w:val="004E3D77"/>
    <w:rsid w:val="004E3E56"/>
    <w:rsid w:val="004E3E5C"/>
    <w:rsid w:val="004E3F1A"/>
    <w:rsid w:val="004E3F67"/>
    <w:rsid w:val="004E3F88"/>
    <w:rsid w:val="004E4041"/>
    <w:rsid w:val="004E4089"/>
    <w:rsid w:val="004E40BE"/>
    <w:rsid w:val="004E4185"/>
    <w:rsid w:val="004E418F"/>
    <w:rsid w:val="004E41CE"/>
    <w:rsid w:val="004E41D0"/>
    <w:rsid w:val="004E41F0"/>
    <w:rsid w:val="004E4241"/>
    <w:rsid w:val="004E432F"/>
    <w:rsid w:val="004E4359"/>
    <w:rsid w:val="004E43AE"/>
    <w:rsid w:val="004E43DD"/>
    <w:rsid w:val="004E43DE"/>
    <w:rsid w:val="004E43F6"/>
    <w:rsid w:val="004E4407"/>
    <w:rsid w:val="004E4413"/>
    <w:rsid w:val="004E447F"/>
    <w:rsid w:val="004E44D6"/>
    <w:rsid w:val="004E44F0"/>
    <w:rsid w:val="004E450B"/>
    <w:rsid w:val="004E457A"/>
    <w:rsid w:val="004E457F"/>
    <w:rsid w:val="004E4594"/>
    <w:rsid w:val="004E45AA"/>
    <w:rsid w:val="004E462A"/>
    <w:rsid w:val="004E467C"/>
    <w:rsid w:val="004E4718"/>
    <w:rsid w:val="004E484A"/>
    <w:rsid w:val="004E489D"/>
    <w:rsid w:val="004E48A9"/>
    <w:rsid w:val="004E4999"/>
    <w:rsid w:val="004E49EF"/>
    <w:rsid w:val="004E4A03"/>
    <w:rsid w:val="004E4A19"/>
    <w:rsid w:val="004E4A2C"/>
    <w:rsid w:val="004E4A93"/>
    <w:rsid w:val="004E4AF0"/>
    <w:rsid w:val="004E4B2A"/>
    <w:rsid w:val="004E4B2E"/>
    <w:rsid w:val="004E4B32"/>
    <w:rsid w:val="004E4B36"/>
    <w:rsid w:val="004E4B67"/>
    <w:rsid w:val="004E4B75"/>
    <w:rsid w:val="004E4BB9"/>
    <w:rsid w:val="004E4C17"/>
    <w:rsid w:val="004E4C51"/>
    <w:rsid w:val="004E4CDE"/>
    <w:rsid w:val="004E4D00"/>
    <w:rsid w:val="004E4D57"/>
    <w:rsid w:val="004E4D8B"/>
    <w:rsid w:val="004E4DF1"/>
    <w:rsid w:val="004E4E01"/>
    <w:rsid w:val="004E4E1A"/>
    <w:rsid w:val="004E4E88"/>
    <w:rsid w:val="004E4EAC"/>
    <w:rsid w:val="004E4EC6"/>
    <w:rsid w:val="004E4ED9"/>
    <w:rsid w:val="004E4F55"/>
    <w:rsid w:val="004E4F8B"/>
    <w:rsid w:val="004E4F8C"/>
    <w:rsid w:val="004E4FC6"/>
    <w:rsid w:val="004E5046"/>
    <w:rsid w:val="004E508E"/>
    <w:rsid w:val="004E50FB"/>
    <w:rsid w:val="004E5103"/>
    <w:rsid w:val="004E5115"/>
    <w:rsid w:val="004E51A6"/>
    <w:rsid w:val="004E51F7"/>
    <w:rsid w:val="004E5201"/>
    <w:rsid w:val="004E5220"/>
    <w:rsid w:val="004E523F"/>
    <w:rsid w:val="004E524A"/>
    <w:rsid w:val="004E5259"/>
    <w:rsid w:val="004E52C1"/>
    <w:rsid w:val="004E52FD"/>
    <w:rsid w:val="004E5334"/>
    <w:rsid w:val="004E5337"/>
    <w:rsid w:val="004E537B"/>
    <w:rsid w:val="004E539B"/>
    <w:rsid w:val="004E53BA"/>
    <w:rsid w:val="004E543D"/>
    <w:rsid w:val="004E545A"/>
    <w:rsid w:val="004E546E"/>
    <w:rsid w:val="004E54ED"/>
    <w:rsid w:val="004E55C0"/>
    <w:rsid w:val="004E5662"/>
    <w:rsid w:val="004E566A"/>
    <w:rsid w:val="004E568C"/>
    <w:rsid w:val="004E56DF"/>
    <w:rsid w:val="004E56E5"/>
    <w:rsid w:val="004E5732"/>
    <w:rsid w:val="004E578B"/>
    <w:rsid w:val="004E5861"/>
    <w:rsid w:val="004E586C"/>
    <w:rsid w:val="004E5870"/>
    <w:rsid w:val="004E587F"/>
    <w:rsid w:val="004E58A4"/>
    <w:rsid w:val="004E58D1"/>
    <w:rsid w:val="004E5948"/>
    <w:rsid w:val="004E59CF"/>
    <w:rsid w:val="004E5AD5"/>
    <w:rsid w:val="004E5AE2"/>
    <w:rsid w:val="004E5AF5"/>
    <w:rsid w:val="004E5B38"/>
    <w:rsid w:val="004E5B4B"/>
    <w:rsid w:val="004E5B79"/>
    <w:rsid w:val="004E5B93"/>
    <w:rsid w:val="004E5BFE"/>
    <w:rsid w:val="004E5CE8"/>
    <w:rsid w:val="004E5D20"/>
    <w:rsid w:val="004E5DC2"/>
    <w:rsid w:val="004E5EC1"/>
    <w:rsid w:val="004E5FBA"/>
    <w:rsid w:val="004E6025"/>
    <w:rsid w:val="004E6091"/>
    <w:rsid w:val="004E60DD"/>
    <w:rsid w:val="004E6136"/>
    <w:rsid w:val="004E6154"/>
    <w:rsid w:val="004E6178"/>
    <w:rsid w:val="004E61D0"/>
    <w:rsid w:val="004E61FC"/>
    <w:rsid w:val="004E6231"/>
    <w:rsid w:val="004E628B"/>
    <w:rsid w:val="004E62AB"/>
    <w:rsid w:val="004E62BA"/>
    <w:rsid w:val="004E62D7"/>
    <w:rsid w:val="004E6342"/>
    <w:rsid w:val="004E6357"/>
    <w:rsid w:val="004E6482"/>
    <w:rsid w:val="004E64D8"/>
    <w:rsid w:val="004E6551"/>
    <w:rsid w:val="004E6614"/>
    <w:rsid w:val="004E662A"/>
    <w:rsid w:val="004E6632"/>
    <w:rsid w:val="004E6711"/>
    <w:rsid w:val="004E6747"/>
    <w:rsid w:val="004E67EB"/>
    <w:rsid w:val="004E680C"/>
    <w:rsid w:val="004E6817"/>
    <w:rsid w:val="004E6881"/>
    <w:rsid w:val="004E689E"/>
    <w:rsid w:val="004E68F5"/>
    <w:rsid w:val="004E68F6"/>
    <w:rsid w:val="004E6949"/>
    <w:rsid w:val="004E69E4"/>
    <w:rsid w:val="004E6AAE"/>
    <w:rsid w:val="004E6ACD"/>
    <w:rsid w:val="004E6B46"/>
    <w:rsid w:val="004E6B77"/>
    <w:rsid w:val="004E6BB1"/>
    <w:rsid w:val="004E6BD6"/>
    <w:rsid w:val="004E6CBD"/>
    <w:rsid w:val="004E6CFF"/>
    <w:rsid w:val="004E6D8D"/>
    <w:rsid w:val="004E6D95"/>
    <w:rsid w:val="004E6DC9"/>
    <w:rsid w:val="004E6DD6"/>
    <w:rsid w:val="004E6DDF"/>
    <w:rsid w:val="004E6E74"/>
    <w:rsid w:val="004E6E78"/>
    <w:rsid w:val="004E6EB8"/>
    <w:rsid w:val="004E6ECC"/>
    <w:rsid w:val="004E6F07"/>
    <w:rsid w:val="004E6F32"/>
    <w:rsid w:val="004E6F53"/>
    <w:rsid w:val="004E6F57"/>
    <w:rsid w:val="004E6F8B"/>
    <w:rsid w:val="004E7022"/>
    <w:rsid w:val="004E7065"/>
    <w:rsid w:val="004E7067"/>
    <w:rsid w:val="004E706E"/>
    <w:rsid w:val="004E70D7"/>
    <w:rsid w:val="004E70E3"/>
    <w:rsid w:val="004E7200"/>
    <w:rsid w:val="004E722A"/>
    <w:rsid w:val="004E7286"/>
    <w:rsid w:val="004E72C0"/>
    <w:rsid w:val="004E72DE"/>
    <w:rsid w:val="004E731C"/>
    <w:rsid w:val="004E73D5"/>
    <w:rsid w:val="004E73F5"/>
    <w:rsid w:val="004E743D"/>
    <w:rsid w:val="004E7450"/>
    <w:rsid w:val="004E745D"/>
    <w:rsid w:val="004E74C1"/>
    <w:rsid w:val="004E74CD"/>
    <w:rsid w:val="004E7510"/>
    <w:rsid w:val="004E7533"/>
    <w:rsid w:val="004E75B1"/>
    <w:rsid w:val="004E75E3"/>
    <w:rsid w:val="004E7613"/>
    <w:rsid w:val="004E7614"/>
    <w:rsid w:val="004E7626"/>
    <w:rsid w:val="004E763E"/>
    <w:rsid w:val="004E76DD"/>
    <w:rsid w:val="004E770A"/>
    <w:rsid w:val="004E7711"/>
    <w:rsid w:val="004E7776"/>
    <w:rsid w:val="004E777C"/>
    <w:rsid w:val="004E77B1"/>
    <w:rsid w:val="004E780F"/>
    <w:rsid w:val="004E7878"/>
    <w:rsid w:val="004E787E"/>
    <w:rsid w:val="004E78E6"/>
    <w:rsid w:val="004E7993"/>
    <w:rsid w:val="004E799A"/>
    <w:rsid w:val="004E7A09"/>
    <w:rsid w:val="004E7A11"/>
    <w:rsid w:val="004E7A30"/>
    <w:rsid w:val="004E7A73"/>
    <w:rsid w:val="004E7A98"/>
    <w:rsid w:val="004E7C44"/>
    <w:rsid w:val="004E7CD3"/>
    <w:rsid w:val="004E7D31"/>
    <w:rsid w:val="004E7D3D"/>
    <w:rsid w:val="004E7D69"/>
    <w:rsid w:val="004E7D86"/>
    <w:rsid w:val="004E7DAB"/>
    <w:rsid w:val="004E7DC8"/>
    <w:rsid w:val="004E7F26"/>
    <w:rsid w:val="004E7FA4"/>
    <w:rsid w:val="004E7FAE"/>
    <w:rsid w:val="004E7FB9"/>
    <w:rsid w:val="004E7FCD"/>
    <w:rsid w:val="004F007A"/>
    <w:rsid w:val="004F00A5"/>
    <w:rsid w:val="004F00F3"/>
    <w:rsid w:val="004F00F5"/>
    <w:rsid w:val="004F012B"/>
    <w:rsid w:val="004F0152"/>
    <w:rsid w:val="004F01B9"/>
    <w:rsid w:val="004F01EB"/>
    <w:rsid w:val="004F021F"/>
    <w:rsid w:val="004F02A1"/>
    <w:rsid w:val="004F02B0"/>
    <w:rsid w:val="004F02D7"/>
    <w:rsid w:val="004F03A8"/>
    <w:rsid w:val="004F03E7"/>
    <w:rsid w:val="004F03F5"/>
    <w:rsid w:val="004F048D"/>
    <w:rsid w:val="004F04F7"/>
    <w:rsid w:val="004F0583"/>
    <w:rsid w:val="004F0588"/>
    <w:rsid w:val="004F05E1"/>
    <w:rsid w:val="004F05E2"/>
    <w:rsid w:val="004F065C"/>
    <w:rsid w:val="004F069F"/>
    <w:rsid w:val="004F06CB"/>
    <w:rsid w:val="004F06F9"/>
    <w:rsid w:val="004F0717"/>
    <w:rsid w:val="004F0755"/>
    <w:rsid w:val="004F0793"/>
    <w:rsid w:val="004F07E6"/>
    <w:rsid w:val="004F07FB"/>
    <w:rsid w:val="004F0842"/>
    <w:rsid w:val="004F0847"/>
    <w:rsid w:val="004F0868"/>
    <w:rsid w:val="004F092A"/>
    <w:rsid w:val="004F095F"/>
    <w:rsid w:val="004F0969"/>
    <w:rsid w:val="004F096C"/>
    <w:rsid w:val="004F09B4"/>
    <w:rsid w:val="004F09BD"/>
    <w:rsid w:val="004F0A1E"/>
    <w:rsid w:val="004F0A7B"/>
    <w:rsid w:val="004F0A88"/>
    <w:rsid w:val="004F0AF0"/>
    <w:rsid w:val="004F0B0F"/>
    <w:rsid w:val="004F0B52"/>
    <w:rsid w:val="004F0B59"/>
    <w:rsid w:val="004F0B7F"/>
    <w:rsid w:val="004F0BB5"/>
    <w:rsid w:val="004F0BD4"/>
    <w:rsid w:val="004F0BE8"/>
    <w:rsid w:val="004F0C29"/>
    <w:rsid w:val="004F0CBC"/>
    <w:rsid w:val="004F0CCA"/>
    <w:rsid w:val="004F0D85"/>
    <w:rsid w:val="004F0D86"/>
    <w:rsid w:val="004F0DF0"/>
    <w:rsid w:val="004F0E2B"/>
    <w:rsid w:val="004F0E7E"/>
    <w:rsid w:val="004F0E8D"/>
    <w:rsid w:val="004F0EA9"/>
    <w:rsid w:val="004F0EB9"/>
    <w:rsid w:val="004F0EC1"/>
    <w:rsid w:val="004F0EFB"/>
    <w:rsid w:val="004F0EFD"/>
    <w:rsid w:val="004F0F02"/>
    <w:rsid w:val="004F0F04"/>
    <w:rsid w:val="004F0F14"/>
    <w:rsid w:val="004F0FF7"/>
    <w:rsid w:val="004F1016"/>
    <w:rsid w:val="004F101A"/>
    <w:rsid w:val="004F1023"/>
    <w:rsid w:val="004F1087"/>
    <w:rsid w:val="004F10DD"/>
    <w:rsid w:val="004F1170"/>
    <w:rsid w:val="004F1194"/>
    <w:rsid w:val="004F1196"/>
    <w:rsid w:val="004F11A5"/>
    <w:rsid w:val="004F11E1"/>
    <w:rsid w:val="004F11E8"/>
    <w:rsid w:val="004F1233"/>
    <w:rsid w:val="004F129B"/>
    <w:rsid w:val="004F12BF"/>
    <w:rsid w:val="004F12DB"/>
    <w:rsid w:val="004F1342"/>
    <w:rsid w:val="004F134E"/>
    <w:rsid w:val="004F1359"/>
    <w:rsid w:val="004F13AF"/>
    <w:rsid w:val="004F13B8"/>
    <w:rsid w:val="004F13BD"/>
    <w:rsid w:val="004F13D1"/>
    <w:rsid w:val="004F13D2"/>
    <w:rsid w:val="004F13E4"/>
    <w:rsid w:val="004F14BD"/>
    <w:rsid w:val="004F150A"/>
    <w:rsid w:val="004F1529"/>
    <w:rsid w:val="004F15AC"/>
    <w:rsid w:val="004F15B8"/>
    <w:rsid w:val="004F1632"/>
    <w:rsid w:val="004F163B"/>
    <w:rsid w:val="004F1648"/>
    <w:rsid w:val="004F1678"/>
    <w:rsid w:val="004F16A7"/>
    <w:rsid w:val="004F16CB"/>
    <w:rsid w:val="004F172A"/>
    <w:rsid w:val="004F1730"/>
    <w:rsid w:val="004F174A"/>
    <w:rsid w:val="004F1778"/>
    <w:rsid w:val="004F18E4"/>
    <w:rsid w:val="004F192D"/>
    <w:rsid w:val="004F1953"/>
    <w:rsid w:val="004F1978"/>
    <w:rsid w:val="004F1A0C"/>
    <w:rsid w:val="004F1A12"/>
    <w:rsid w:val="004F1A61"/>
    <w:rsid w:val="004F1A71"/>
    <w:rsid w:val="004F1B7C"/>
    <w:rsid w:val="004F1BC3"/>
    <w:rsid w:val="004F1C09"/>
    <w:rsid w:val="004F1C48"/>
    <w:rsid w:val="004F1C85"/>
    <w:rsid w:val="004F1C87"/>
    <w:rsid w:val="004F1CB3"/>
    <w:rsid w:val="004F1CCA"/>
    <w:rsid w:val="004F1D24"/>
    <w:rsid w:val="004F1DC5"/>
    <w:rsid w:val="004F1DC6"/>
    <w:rsid w:val="004F1DE4"/>
    <w:rsid w:val="004F1E03"/>
    <w:rsid w:val="004F1E44"/>
    <w:rsid w:val="004F1E45"/>
    <w:rsid w:val="004F1E66"/>
    <w:rsid w:val="004F1EE7"/>
    <w:rsid w:val="004F1EEA"/>
    <w:rsid w:val="004F1EFD"/>
    <w:rsid w:val="004F1F2E"/>
    <w:rsid w:val="004F1F43"/>
    <w:rsid w:val="004F1F66"/>
    <w:rsid w:val="004F1F9E"/>
    <w:rsid w:val="004F2024"/>
    <w:rsid w:val="004F2034"/>
    <w:rsid w:val="004F20C3"/>
    <w:rsid w:val="004F20E2"/>
    <w:rsid w:val="004F214E"/>
    <w:rsid w:val="004F2155"/>
    <w:rsid w:val="004F2168"/>
    <w:rsid w:val="004F2181"/>
    <w:rsid w:val="004F21C8"/>
    <w:rsid w:val="004F2236"/>
    <w:rsid w:val="004F2256"/>
    <w:rsid w:val="004F22B1"/>
    <w:rsid w:val="004F22DF"/>
    <w:rsid w:val="004F234B"/>
    <w:rsid w:val="004F234E"/>
    <w:rsid w:val="004F2360"/>
    <w:rsid w:val="004F2369"/>
    <w:rsid w:val="004F2375"/>
    <w:rsid w:val="004F238C"/>
    <w:rsid w:val="004F239A"/>
    <w:rsid w:val="004F23AA"/>
    <w:rsid w:val="004F23C2"/>
    <w:rsid w:val="004F2423"/>
    <w:rsid w:val="004F2433"/>
    <w:rsid w:val="004F2477"/>
    <w:rsid w:val="004F2481"/>
    <w:rsid w:val="004F2498"/>
    <w:rsid w:val="004F24D4"/>
    <w:rsid w:val="004F24EC"/>
    <w:rsid w:val="004F250D"/>
    <w:rsid w:val="004F2580"/>
    <w:rsid w:val="004F25E4"/>
    <w:rsid w:val="004F25FB"/>
    <w:rsid w:val="004F2618"/>
    <w:rsid w:val="004F2623"/>
    <w:rsid w:val="004F2690"/>
    <w:rsid w:val="004F26CC"/>
    <w:rsid w:val="004F2720"/>
    <w:rsid w:val="004F2741"/>
    <w:rsid w:val="004F276C"/>
    <w:rsid w:val="004F27C7"/>
    <w:rsid w:val="004F27CF"/>
    <w:rsid w:val="004F27EB"/>
    <w:rsid w:val="004F2891"/>
    <w:rsid w:val="004F291D"/>
    <w:rsid w:val="004F2964"/>
    <w:rsid w:val="004F2970"/>
    <w:rsid w:val="004F29D8"/>
    <w:rsid w:val="004F2A39"/>
    <w:rsid w:val="004F2B40"/>
    <w:rsid w:val="004F2B5E"/>
    <w:rsid w:val="004F2B63"/>
    <w:rsid w:val="004F2BB4"/>
    <w:rsid w:val="004F2BD8"/>
    <w:rsid w:val="004F2BFE"/>
    <w:rsid w:val="004F2C49"/>
    <w:rsid w:val="004F2CA7"/>
    <w:rsid w:val="004F2CAE"/>
    <w:rsid w:val="004F2CC5"/>
    <w:rsid w:val="004F2CC6"/>
    <w:rsid w:val="004F2D3F"/>
    <w:rsid w:val="004F2D70"/>
    <w:rsid w:val="004F2D9D"/>
    <w:rsid w:val="004F2DAB"/>
    <w:rsid w:val="004F2DD0"/>
    <w:rsid w:val="004F2DDB"/>
    <w:rsid w:val="004F2E3E"/>
    <w:rsid w:val="004F2ECF"/>
    <w:rsid w:val="004F2EF4"/>
    <w:rsid w:val="004F2F37"/>
    <w:rsid w:val="004F2F40"/>
    <w:rsid w:val="004F2F5D"/>
    <w:rsid w:val="004F2F71"/>
    <w:rsid w:val="004F2FBA"/>
    <w:rsid w:val="004F2FC5"/>
    <w:rsid w:val="004F2FF5"/>
    <w:rsid w:val="004F304B"/>
    <w:rsid w:val="004F3059"/>
    <w:rsid w:val="004F307F"/>
    <w:rsid w:val="004F3084"/>
    <w:rsid w:val="004F3090"/>
    <w:rsid w:val="004F30C1"/>
    <w:rsid w:val="004F30CE"/>
    <w:rsid w:val="004F30E9"/>
    <w:rsid w:val="004F321B"/>
    <w:rsid w:val="004F3277"/>
    <w:rsid w:val="004F3289"/>
    <w:rsid w:val="004F32DE"/>
    <w:rsid w:val="004F32EA"/>
    <w:rsid w:val="004F3305"/>
    <w:rsid w:val="004F3317"/>
    <w:rsid w:val="004F33B2"/>
    <w:rsid w:val="004F33C1"/>
    <w:rsid w:val="004F3430"/>
    <w:rsid w:val="004F34B9"/>
    <w:rsid w:val="004F34C1"/>
    <w:rsid w:val="004F3545"/>
    <w:rsid w:val="004F3577"/>
    <w:rsid w:val="004F362F"/>
    <w:rsid w:val="004F3663"/>
    <w:rsid w:val="004F36AB"/>
    <w:rsid w:val="004F36E6"/>
    <w:rsid w:val="004F3768"/>
    <w:rsid w:val="004F3771"/>
    <w:rsid w:val="004F3777"/>
    <w:rsid w:val="004F37DD"/>
    <w:rsid w:val="004F3818"/>
    <w:rsid w:val="004F384A"/>
    <w:rsid w:val="004F3944"/>
    <w:rsid w:val="004F3963"/>
    <w:rsid w:val="004F3997"/>
    <w:rsid w:val="004F3A08"/>
    <w:rsid w:val="004F3A62"/>
    <w:rsid w:val="004F3A7F"/>
    <w:rsid w:val="004F3B09"/>
    <w:rsid w:val="004F3B33"/>
    <w:rsid w:val="004F3B67"/>
    <w:rsid w:val="004F3B6B"/>
    <w:rsid w:val="004F3BA9"/>
    <w:rsid w:val="004F3BC4"/>
    <w:rsid w:val="004F3C27"/>
    <w:rsid w:val="004F3C2D"/>
    <w:rsid w:val="004F3C47"/>
    <w:rsid w:val="004F3CA9"/>
    <w:rsid w:val="004F3CB5"/>
    <w:rsid w:val="004F3CD6"/>
    <w:rsid w:val="004F3CF8"/>
    <w:rsid w:val="004F3D37"/>
    <w:rsid w:val="004F3D3D"/>
    <w:rsid w:val="004F3D77"/>
    <w:rsid w:val="004F3E48"/>
    <w:rsid w:val="004F3E4A"/>
    <w:rsid w:val="004F3E6A"/>
    <w:rsid w:val="004F3EE6"/>
    <w:rsid w:val="004F3F03"/>
    <w:rsid w:val="004F3F0B"/>
    <w:rsid w:val="004F3F85"/>
    <w:rsid w:val="004F4020"/>
    <w:rsid w:val="004F4038"/>
    <w:rsid w:val="004F4041"/>
    <w:rsid w:val="004F405D"/>
    <w:rsid w:val="004F40C5"/>
    <w:rsid w:val="004F40D6"/>
    <w:rsid w:val="004F40F4"/>
    <w:rsid w:val="004F4111"/>
    <w:rsid w:val="004F4115"/>
    <w:rsid w:val="004F41A6"/>
    <w:rsid w:val="004F4281"/>
    <w:rsid w:val="004F42DE"/>
    <w:rsid w:val="004F4304"/>
    <w:rsid w:val="004F4364"/>
    <w:rsid w:val="004F43AB"/>
    <w:rsid w:val="004F4404"/>
    <w:rsid w:val="004F4413"/>
    <w:rsid w:val="004F4415"/>
    <w:rsid w:val="004F4428"/>
    <w:rsid w:val="004F44BE"/>
    <w:rsid w:val="004F4514"/>
    <w:rsid w:val="004F4596"/>
    <w:rsid w:val="004F45EE"/>
    <w:rsid w:val="004F462C"/>
    <w:rsid w:val="004F4639"/>
    <w:rsid w:val="004F4668"/>
    <w:rsid w:val="004F467D"/>
    <w:rsid w:val="004F46C8"/>
    <w:rsid w:val="004F46FA"/>
    <w:rsid w:val="004F4704"/>
    <w:rsid w:val="004F4730"/>
    <w:rsid w:val="004F47C2"/>
    <w:rsid w:val="004F4833"/>
    <w:rsid w:val="004F486C"/>
    <w:rsid w:val="004F4885"/>
    <w:rsid w:val="004F48B3"/>
    <w:rsid w:val="004F48EF"/>
    <w:rsid w:val="004F48F2"/>
    <w:rsid w:val="004F4901"/>
    <w:rsid w:val="004F4912"/>
    <w:rsid w:val="004F4921"/>
    <w:rsid w:val="004F4927"/>
    <w:rsid w:val="004F497C"/>
    <w:rsid w:val="004F4981"/>
    <w:rsid w:val="004F49E1"/>
    <w:rsid w:val="004F4A45"/>
    <w:rsid w:val="004F4A70"/>
    <w:rsid w:val="004F4A83"/>
    <w:rsid w:val="004F4ADD"/>
    <w:rsid w:val="004F4AE4"/>
    <w:rsid w:val="004F4AF5"/>
    <w:rsid w:val="004F4B33"/>
    <w:rsid w:val="004F4B95"/>
    <w:rsid w:val="004F4BB7"/>
    <w:rsid w:val="004F4C17"/>
    <w:rsid w:val="004F4C2D"/>
    <w:rsid w:val="004F4C72"/>
    <w:rsid w:val="004F4CE0"/>
    <w:rsid w:val="004F4CE2"/>
    <w:rsid w:val="004F4CF0"/>
    <w:rsid w:val="004F4CFB"/>
    <w:rsid w:val="004F4D11"/>
    <w:rsid w:val="004F4D19"/>
    <w:rsid w:val="004F4D38"/>
    <w:rsid w:val="004F4D3B"/>
    <w:rsid w:val="004F4D49"/>
    <w:rsid w:val="004F4DB0"/>
    <w:rsid w:val="004F4DE9"/>
    <w:rsid w:val="004F4E0F"/>
    <w:rsid w:val="004F4E7E"/>
    <w:rsid w:val="004F4F30"/>
    <w:rsid w:val="004F4F71"/>
    <w:rsid w:val="004F4F8D"/>
    <w:rsid w:val="004F4FA5"/>
    <w:rsid w:val="004F5013"/>
    <w:rsid w:val="004F5103"/>
    <w:rsid w:val="004F5155"/>
    <w:rsid w:val="004F5163"/>
    <w:rsid w:val="004F520B"/>
    <w:rsid w:val="004F5228"/>
    <w:rsid w:val="004F5232"/>
    <w:rsid w:val="004F5238"/>
    <w:rsid w:val="004F52A0"/>
    <w:rsid w:val="004F52EE"/>
    <w:rsid w:val="004F532D"/>
    <w:rsid w:val="004F5334"/>
    <w:rsid w:val="004F538B"/>
    <w:rsid w:val="004F53A7"/>
    <w:rsid w:val="004F53DB"/>
    <w:rsid w:val="004F53EA"/>
    <w:rsid w:val="004F53F6"/>
    <w:rsid w:val="004F5484"/>
    <w:rsid w:val="004F54E3"/>
    <w:rsid w:val="004F5509"/>
    <w:rsid w:val="004F5516"/>
    <w:rsid w:val="004F554D"/>
    <w:rsid w:val="004F557F"/>
    <w:rsid w:val="004F55E8"/>
    <w:rsid w:val="004F55EA"/>
    <w:rsid w:val="004F5694"/>
    <w:rsid w:val="004F56AD"/>
    <w:rsid w:val="004F56BF"/>
    <w:rsid w:val="004F56C0"/>
    <w:rsid w:val="004F56C1"/>
    <w:rsid w:val="004F5731"/>
    <w:rsid w:val="004F5770"/>
    <w:rsid w:val="004F5774"/>
    <w:rsid w:val="004F57AD"/>
    <w:rsid w:val="004F57D6"/>
    <w:rsid w:val="004F57EF"/>
    <w:rsid w:val="004F57FA"/>
    <w:rsid w:val="004F5818"/>
    <w:rsid w:val="004F583D"/>
    <w:rsid w:val="004F583E"/>
    <w:rsid w:val="004F5879"/>
    <w:rsid w:val="004F59BE"/>
    <w:rsid w:val="004F5A10"/>
    <w:rsid w:val="004F5A6D"/>
    <w:rsid w:val="004F5A75"/>
    <w:rsid w:val="004F5B75"/>
    <w:rsid w:val="004F5B7D"/>
    <w:rsid w:val="004F5B8F"/>
    <w:rsid w:val="004F5BAC"/>
    <w:rsid w:val="004F5C25"/>
    <w:rsid w:val="004F5C2F"/>
    <w:rsid w:val="004F5C4B"/>
    <w:rsid w:val="004F5C51"/>
    <w:rsid w:val="004F5C8B"/>
    <w:rsid w:val="004F5C8E"/>
    <w:rsid w:val="004F5D56"/>
    <w:rsid w:val="004F5D5D"/>
    <w:rsid w:val="004F5D60"/>
    <w:rsid w:val="004F5D7D"/>
    <w:rsid w:val="004F5DA6"/>
    <w:rsid w:val="004F5DD9"/>
    <w:rsid w:val="004F5E05"/>
    <w:rsid w:val="004F5E3E"/>
    <w:rsid w:val="004F5E47"/>
    <w:rsid w:val="004F5E50"/>
    <w:rsid w:val="004F5F2D"/>
    <w:rsid w:val="004F5FA7"/>
    <w:rsid w:val="004F5FB3"/>
    <w:rsid w:val="004F6061"/>
    <w:rsid w:val="004F6084"/>
    <w:rsid w:val="004F60C0"/>
    <w:rsid w:val="004F6130"/>
    <w:rsid w:val="004F6151"/>
    <w:rsid w:val="004F6167"/>
    <w:rsid w:val="004F6172"/>
    <w:rsid w:val="004F61FF"/>
    <w:rsid w:val="004F621C"/>
    <w:rsid w:val="004F625E"/>
    <w:rsid w:val="004F6284"/>
    <w:rsid w:val="004F62AE"/>
    <w:rsid w:val="004F62DD"/>
    <w:rsid w:val="004F62F8"/>
    <w:rsid w:val="004F6315"/>
    <w:rsid w:val="004F6320"/>
    <w:rsid w:val="004F6329"/>
    <w:rsid w:val="004F63A0"/>
    <w:rsid w:val="004F63AF"/>
    <w:rsid w:val="004F63BF"/>
    <w:rsid w:val="004F63E1"/>
    <w:rsid w:val="004F6478"/>
    <w:rsid w:val="004F6493"/>
    <w:rsid w:val="004F64DB"/>
    <w:rsid w:val="004F64E9"/>
    <w:rsid w:val="004F650A"/>
    <w:rsid w:val="004F6524"/>
    <w:rsid w:val="004F6581"/>
    <w:rsid w:val="004F65B9"/>
    <w:rsid w:val="004F65EC"/>
    <w:rsid w:val="004F6678"/>
    <w:rsid w:val="004F66D9"/>
    <w:rsid w:val="004F677C"/>
    <w:rsid w:val="004F6803"/>
    <w:rsid w:val="004F6883"/>
    <w:rsid w:val="004F68A6"/>
    <w:rsid w:val="004F68D0"/>
    <w:rsid w:val="004F6908"/>
    <w:rsid w:val="004F6932"/>
    <w:rsid w:val="004F6957"/>
    <w:rsid w:val="004F69B4"/>
    <w:rsid w:val="004F6A33"/>
    <w:rsid w:val="004F6A6E"/>
    <w:rsid w:val="004F6AB0"/>
    <w:rsid w:val="004F6AF3"/>
    <w:rsid w:val="004F6B36"/>
    <w:rsid w:val="004F6B3E"/>
    <w:rsid w:val="004F6B4F"/>
    <w:rsid w:val="004F6B71"/>
    <w:rsid w:val="004F6BCF"/>
    <w:rsid w:val="004F6C65"/>
    <w:rsid w:val="004F6C76"/>
    <w:rsid w:val="004F6C89"/>
    <w:rsid w:val="004F6CB3"/>
    <w:rsid w:val="004F6CC2"/>
    <w:rsid w:val="004F6D30"/>
    <w:rsid w:val="004F6D54"/>
    <w:rsid w:val="004F6DC5"/>
    <w:rsid w:val="004F6E0D"/>
    <w:rsid w:val="004F6E3C"/>
    <w:rsid w:val="004F6EFE"/>
    <w:rsid w:val="004F6F30"/>
    <w:rsid w:val="004F6F3A"/>
    <w:rsid w:val="004F6F98"/>
    <w:rsid w:val="004F6FBF"/>
    <w:rsid w:val="004F7004"/>
    <w:rsid w:val="004F70ED"/>
    <w:rsid w:val="004F713E"/>
    <w:rsid w:val="004F718E"/>
    <w:rsid w:val="004F71BB"/>
    <w:rsid w:val="004F71C8"/>
    <w:rsid w:val="004F71D2"/>
    <w:rsid w:val="004F71DA"/>
    <w:rsid w:val="004F7264"/>
    <w:rsid w:val="004F72C2"/>
    <w:rsid w:val="004F72C8"/>
    <w:rsid w:val="004F72E3"/>
    <w:rsid w:val="004F72EB"/>
    <w:rsid w:val="004F7350"/>
    <w:rsid w:val="004F738F"/>
    <w:rsid w:val="004F739C"/>
    <w:rsid w:val="004F739E"/>
    <w:rsid w:val="004F73AC"/>
    <w:rsid w:val="004F73D0"/>
    <w:rsid w:val="004F73F5"/>
    <w:rsid w:val="004F743A"/>
    <w:rsid w:val="004F744F"/>
    <w:rsid w:val="004F74A9"/>
    <w:rsid w:val="004F74D7"/>
    <w:rsid w:val="004F7515"/>
    <w:rsid w:val="004F7529"/>
    <w:rsid w:val="004F754C"/>
    <w:rsid w:val="004F7568"/>
    <w:rsid w:val="004F7570"/>
    <w:rsid w:val="004F75A5"/>
    <w:rsid w:val="004F761F"/>
    <w:rsid w:val="004F76AF"/>
    <w:rsid w:val="004F76D4"/>
    <w:rsid w:val="004F76F2"/>
    <w:rsid w:val="004F7736"/>
    <w:rsid w:val="004F7789"/>
    <w:rsid w:val="004F77B7"/>
    <w:rsid w:val="004F77C6"/>
    <w:rsid w:val="004F7821"/>
    <w:rsid w:val="004F7859"/>
    <w:rsid w:val="004F785D"/>
    <w:rsid w:val="004F78B7"/>
    <w:rsid w:val="004F796E"/>
    <w:rsid w:val="004F79BC"/>
    <w:rsid w:val="004F7A73"/>
    <w:rsid w:val="004F7A98"/>
    <w:rsid w:val="004F7A9B"/>
    <w:rsid w:val="004F7B0E"/>
    <w:rsid w:val="004F7B42"/>
    <w:rsid w:val="004F7B63"/>
    <w:rsid w:val="004F7B90"/>
    <w:rsid w:val="004F7B98"/>
    <w:rsid w:val="004F7BE8"/>
    <w:rsid w:val="004F7C2D"/>
    <w:rsid w:val="004F7C84"/>
    <w:rsid w:val="004F7D39"/>
    <w:rsid w:val="004F7DCB"/>
    <w:rsid w:val="004F7DCD"/>
    <w:rsid w:val="004F7DD9"/>
    <w:rsid w:val="004F7DF5"/>
    <w:rsid w:val="004F7E7D"/>
    <w:rsid w:val="004F7F0C"/>
    <w:rsid w:val="004F7F6B"/>
    <w:rsid w:val="004F7F7B"/>
    <w:rsid w:val="004F7F82"/>
    <w:rsid w:val="004F7F99"/>
    <w:rsid w:val="004F7F9B"/>
    <w:rsid w:val="004F7FC2"/>
    <w:rsid w:val="004F7FC6"/>
    <w:rsid w:val="004F7FD5"/>
    <w:rsid w:val="00500049"/>
    <w:rsid w:val="00500097"/>
    <w:rsid w:val="005000E6"/>
    <w:rsid w:val="0050013D"/>
    <w:rsid w:val="00500182"/>
    <w:rsid w:val="005001E4"/>
    <w:rsid w:val="005001F0"/>
    <w:rsid w:val="00500254"/>
    <w:rsid w:val="005002AA"/>
    <w:rsid w:val="005002AB"/>
    <w:rsid w:val="0050030C"/>
    <w:rsid w:val="00500383"/>
    <w:rsid w:val="005003C2"/>
    <w:rsid w:val="005004CE"/>
    <w:rsid w:val="005004D2"/>
    <w:rsid w:val="005004DA"/>
    <w:rsid w:val="00500520"/>
    <w:rsid w:val="00500542"/>
    <w:rsid w:val="00500624"/>
    <w:rsid w:val="0050064E"/>
    <w:rsid w:val="0050068F"/>
    <w:rsid w:val="005006B4"/>
    <w:rsid w:val="0050071D"/>
    <w:rsid w:val="0050074E"/>
    <w:rsid w:val="005007C0"/>
    <w:rsid w:val="0050081C"/>
    <w:rsid w:val="00500833"/>
    <w:rsid w:val="00500854"/>
    <w:rsid w:val="0050089A"/>
    <w:rsid w:val="005008BF"/>
    <w:rsid w:val="005008E6"/>
    <w:rsid w:val="00500927"/>
    <w:rsid w:val="0050093B"/>
    <w:rsid w:val="00500A21"/>
    <w:rsid w:val="00500A4F"/>
    <w:rsid w:val="00500A9C"/>
    <w:rsid w:val="00500AE9"/>
    <w:rsid w:val="00500AFB"/>
    <w:rsid w:val="00500B56"/>
    <w:rsid w:val="00500B78"/>
    <w:rsid w:val="00500B8A"/>
    <w:rsid w:val="00500BCB"/>
    <w:rsid w:val="00500C21"/>
    <w:rsid w:val="00500C46"/>
    <w:rsid w:val="00500CC6"/>
    <w:rsid w:val="00500D40"/>
    <w:rsid w:val="00500D7C"/>
    <w:rsid w:val="00500DD6"/>
    <w:rsid w:val="00500DDF"/>
    <w:rsid w:val="00500DF1"/>
    <w:rsid w:val="00500E62"/>
    <w:rsid w:val="00500EA6"/>
    <w:rsid w:val="00500EF2"/>
    <w:rsid w:val="00500F4F"/>
    <w:rsid w:val="00500F7C"/>
    <w:rsid w:val="00500F92"/>
    <w:rsid w:val="00500FA2"/>
    <w:rsid w:val="00500FBD"/>
    <w:rsid w:val="00500FD2"/>
    <w:rsid w:val="005010E2"/>
    <w:rsid w:val="0050112F"/>
    <w:rsid w:val="0050117D"/>
    <w:rsid w:val="005011E0"/>
    <w:rsid w:val="00501255"/>
    <w:rsid w:val="00501293"/>
    <w:rsid w:val="0050132B"/>
    <w:rsid w:val="005013C0"/>
    <w:rsid w:val="005013C4"/>
    <w:rsid w:val="005013F1"/>
    <w:rsid w:val="00501405"/>
    <w:rsid w:val="00501424"/>
    <w:rsid w:val="00501426"/>
    <w:rsid w:val="0050144F"/>
    <w:rsid w:val="005014B0"/>
    <w:rsid w:val="005014BC"/>
    <w:rsid w:val="0050150C"/>
    <w:rsid w:val="0050154F"/>
    <w:rsid w:val="0050157C"/>
    <w:rsid w:val="005015EE"/>
    <w:rsid w:val="00501607"/>
    <w:rsid w:val="00501622"/>
    <w:rsid w:val="00501668"/>
    <w:rsid w:val="005016A3"/>
    <w:rsid w:val="005017C5"/>
    <w:rsid w:val="005017DD"/>
    <w:rsid w:val="0050181B"/>
    <w:rsid w:val="00501858"/>
    <w:rsid w:val="005018BA"/>
    <w:rsid w:val="005018CE"/>
    <w:rsid w:val="005018D6"/>
    <w:rsid w:val="0050192F"/>
    <w:rsid w:val="00501986"/>
    <w:rsid w:val="005019D0"/>
    <w:rsid w:val="00501A6B"/>
    <w:rsid w:val="00501A8F"/>
    <w:rsid w:val="00501AEF"/>
    <w:rsid w:val="00501B19"/>
    <w:rsid w:val="00501B7A"/>
    <w:rsid w:val="00501BA2"/>
    <w:rsid w:val="00501BB5"/>
    <w:rsid w:val="00501C0B"/>
    <w:rsid w:val="00501C25"/>
    <w:rsid w:val="00501C45"/>
    <w:rsid w:val="00501CAC"/>
    <w:rsid w:val="00501D3D"/>
    <w:rsid w:val="00501DA7"/>
    <w:rsid w:val="00501DF4"/>
    <w:rsid w:val="00501EA9"/>
    <w:rsid w:val="00501EBE"/>
    <w:rsid w:val="00501ED7"/>
    <w:rsid w:val="00501F8B"/>
    <w:rsid w:val="00501FAE"/>
    <w:rsid w:val="00501FAF"/>
    <w:rsid w:val="00501FF0"/>
    <w:rsid w:val="00501FFC"/>
    <w:rsid w:val="0050202D"/>
    <w:rsid w:val="005020CD"/>
    <w:rsid w:val="00502140"/>
    <w:rsid w:val="0050218B"/>
    <w:rsid w:val="005021AA"/>
    <w:rsid w:val="005021ED"/>
    <w:rsid w:val="0050223E"/>
    <w:rsid w:val="0050228F"/>
    <w:rsid w:val="005022B8"/>
    <w:rsid w:val="0050238D"/>
    <w:rsid w:val="005023A9"/>
    <w:rsid w:val="00502409"/>
    <w:rsid w:val="0050245A"/>
    <w:rsid w:val="00502517"/>
    <w:rsid w:val="00502548"/>
    <w:rsid w:val="00502649"/>
    <w:rsid w:val="005026CD"/>
    <w:rsid w:val="005026DC"/>
    <w:rsid w:val="005026EC"/>
    <w:rsid w:val="0050272C"/>
    <w:rsid w:val="00502748"/>
    <w:rsid w:val="0050275E"/>
    <w:rsid w:val="005027B6"/>
    <w:rsid w:val="005027FB"/>
    <w:rsid w:val="00502875"/>
    <w:rsid w:val="005028A4"/>
    <w:rsid w:val="005028B1"/>
    <w:rsid w:val="005028EA"/>
    <w:rsid w:val="00502948"/>
    <w:rsid w:val="005029DB"/>
    <w:rsid w:val="005029E0"/>
    <w:rsid w:val="00502A7E"/>
    <w:rsid w:val="00502B2E"/>
    <w:rsid w:val="00502B4B"/>
    <w:rsid w:val="00502B52"/>
    <w:rsid w:val="00502B71"/>
    <w:rsid w:val="00502BB3"/>
    <w:rsid w:val="00502BFD"/>
    <w:rsid w:val="00502C20"/>
    <w:rsid w:val="00502C96"/>
    <w:rsid w:val="00502CB7"/>
    <w:rsid w:val="00502CCA"/>
    <w:rsid w:val="00502D1C"/>
    <w:rsid w:val="00502D63"/>
    <w:rsid w:val="00502D76"/>
    <w:rsid w:val="00502DA6"/>
    <w:rsid w:val="00502DD8"/>
    <w:rsid w:val="00502DDF"/>
    <w:rsid w:val="00502DF6"/>
    <w:rsid w:val="00502E10"/>
    <w:rsid w:val="00502E18"/>
    <w:rsid w:val="00502E66"/>
    <w:rsid w:val="00502F17"/>
    <w:rsid w:val="00502F4D"/>
    <w:rsid w:val="00502F50"/>
    <w:rsid w:val="00502FAB"/>
    <w:rsid w:val="00502FBF"/>
    <w:rsid w:val="00502FD3"/>
    <w:rsid w:val="0050309A"/>
    <w:rsid w:val="005030CB"/>
    <w:rsid w:val="005030E9"/>
    <w:rsid w:val="005030F8"/>
    <w:rsid w:val="00503165"/>
    <w:rsid w:val="00503196"/>
    <w:rsid w:val="005031AA"/>
    <w:rsid w:val="005031E1"/>
    <w:rsid w:val="005031EA"/>
    <w:rsid w:val="005032B0"/>
    <w:rsid w:val="005032E8"/>
    <w:rsid w:val="00503300"/>
    <w:rsid w:val="0050331A"/>
    <w:rsid w:val="00503330"/>
    <w:rsid w:val="0050336D"/>
    <w:rsid w:val="00503375"/>
    <w:rsid w:val="005033C2"/>
    <w:rsid w:val="005033F0"/>
    <w:rsid w:val="0050350E"/>
    <w:rsid w:val="00503526"/>
    <w:rsid w:val="0050357F"/>
    <w:rsid w:val="005035B8"/>
    <w:rsid w:val="00503627"/>
    <w:rsid w:val="00503656"/>
    <w:rsid w:val="00503672"/>
    <w:rsid w:val="005036BC"/>
    <w:rsid w:val="005036C1"/>
    <w:rsid w:val="00503785"/>
    <w:rsid w:val="00503792"/>
    <w:rsid w:val="0050379C"/>
    <w:rsid w:val="005037C1"/>
    <w:rsid w:val="005037C3"/>
    <w:rsid w:val="005037D4"/>
    <w:rsid w:val="005037F5"/>
    <w:rsid w:val="00503846"/>
    <w:rsid w:val="005038A9"/>
    <w:rsid w:val="005038EC"/>
    <w:rsid w:val="0050390E"/>
    <w:rsid w:val="00503921"/>
    <w:rsid w:val="0050392A"/>
    <w:rsid w:val="005039E1"/>
    <w:rsid w:val="00503A07"/>
    <w:rsid w:val="00503A17"/>
    <w:rsid w:val="00503A44"/>
    <w:rsid w:val="00503AD7"/>
    <w:rsid w:val="00503AFD"/>
    <w:rsid w:val="00503B0F"/>
    <w:rsid w:val="00503B62"/>
    <w:rsid w:val="00503B6C"/>
    <w:rsid w:val="00503B6F"/>
    <w:rsid w:val="00503B88"/>
    <w:rsid w:val="00503B9C"/>
    <w:rsid w:val="00503BB9"/>
    <w:rsid w:val="00503CAA"/>
    <w:rsid w:val="00503CE1"/>
    <w:rsid w:val="00503D28"/>
    <w:rsid w:val="00503D2D"/>
    <w:rsid w:val="00503E3C"/>
    <w:rsid w:val="00503E4C"/>
    <w:rsid w:val="00503EFD"/>
    <w:rsid w:val="00503FB6"/>
    <w:rsid w:val="00504009"/>
    <w:rsid w:val="0050400C"/>
    <w:rsid w:val="00504010"/>
    <w:rsid w:val="0050405A"/>
    <w:rsid w:val="00504169"/>
    <w:rsid w:val="00504187"/>
    <w:rsid w:val="005041A1"/>
    <w:rsid w:val="005041A4"/>
    <w:rsid w:val="005041D8"/>
    <w:rsid w:val="00504203"/>
    <w:rsid w:val="00504295"/>
    <w:rsid w:val="005042A0"/>
    <w:rsid w:val="005042F9"/>
    <w:rsid w:val="005042FE"/>
    <w:rsid w:val="00504330"/>
    <w:rsid w:val="0050439D"/>
    <w:rsid w:val="005043BA"/>
    <w:rsid w:val="005043EA"/>
    <w:rsid w:val="0050446C"/>
    <w:rsid w:val="005044C0"/>
    <w:rsid w:val="0050457F"/>
    <w:rsid w:val="00504581"/>
    <w:rsid w:val="00504613"/>
    <w:rsid w:val="0050472D"/>
    <w:rsid w:val="0050475F"/>
    <w:rsid w:val="00504766"/>
    <w:rsid w:val="0050476E"/>
    <w:rsid w:val="005047AB"/>
    <w:rsid w:val="005047D5"/>
    <w:rsid w:val="00504863"/>
    <w:rsid w:val="00504876"/>
    <w:rsid w:val="0050488B"/>
    <w:rsid w:val="0050488F"/>
    <w:rsid w:val="005048A2"/>
    <w:rsid w:val="005048D4"/>
    <w:rsid w:val="005048EE"/>
    <w:rsid w:val="0050494D"/>
    <w:rsid w:val="0050495E"/>
    <w:rsid w:val="0050496C"/>
    <w:rsid w:val="00504987"/>
    <w:rsid w:val="00504A67"/>
    <w:rsid w:val="00504A6F"/>
    <w:rsid w:val="00504A75"/>
    <w:rsid w:val="00504A98"/>
    <w:rsid w:val="00504AA8"/>
    <w:rsid w:val="00504AB6"/>
    <w:rsid w:val="00504AF9"/>
    <w:rsid w:val="00504AFB"/>
    <w:rsid w:val="00504B05"/>
    <w:rsid w:val="00504B18"/>
    <w:rsid w:val="00504B55"/>
    <w:rsid w:val="00504B90"/>
    <w:rsid w:val="00504C1B"/>
    <w:rsid w:val="00504C52"/>
    <w:rsid w:val="00504C7B"/>
    <w:rsid w:val="00504DB0"/>
    <w:rsid w:val="00504E9C"/>
    <w:rsid w:val="00504EA7"/>
    <w:rsid w:val="00504ECB"/>
    <w:rsid w:val="00504EE5"/>
    <w:rsid w:val="00504F17"/>
    <w:rsid w:val="00504F19"/>
    <w:rsid w:val="00504F54"/>
    <w:rsid w:val="00504FC5"/>
    <w:rsid w:val="00504FED"/>
    <w:rsid w:val="00505009"/>
    <w:rsid w:val="005050C1"/>
    <w:rsid w:val="005050E0"/>
    <w:rsid w:val="00505116"/>
    <w:rsid w:val="00505149"/>
    <w:rsid w:val="0050527B"/>
    <w:rsid w:val="00505295"/>
    <w:rsid w:val="005052D6"/>
    <w:rsid w:val="00505311"/>
    <w:rsid w:val="00505312"/>
    <w:rsid w:val="0050534E"/>
    <w:rsid w:val="0050538B"/>
    <w:rsid w:val="00505395"/>
    <w:rsid w:val="005053B4"/>
    <w:rsid w:val="005053D1"/>
    <w:rsid w:val="005053F8"/>
    <w:rsid w:val="00505450"/>
    <w:rsid w:val="00505485"/>
    <w:rsid w:val="005054EA"/>
    <w:rsid w:val="005054F0"/>
    <w:rsid w:val="00505525"/>
    <w:rsid w:val="0050552A"/>
    <w:rsid w:val="00505551"/>
    <w:rsid w:val="005055B9"/>
    <w:rsid w:val="005055FB"/>
    <w:rsid w:val="005055FC"/>
    <w:rsid w:val="00505606"/>
    <w:rsid w:val="00505608"/>
    <w:rsid w:val="00505610"/>
    <w:rsid w:val="00505622"/>
    <w:rsid w:val="00505632"/>
    <w:rsid w:val="0050568B"/>
    <w:rsid w:val="005056FD"/>
    <w:rsid w:val="0050572E"/>
    <w:rsid w:val="00505798"/>
    <w:rsid w:val="005057CE"/>
    <w:rsid w:val="005057FE"/>
    <w:rsid w:val="00505836"/>
    <w:rsid w:val="00505853"/>
    <w:rsid w:val="005058C5"/>
    <w:rsid w:val="0050595E"/>
    <w:rsid w:val="005059AE"/>
    <w:rsid w:val="005059CD"/>
    <w:rsid w:val="005059F3"/>
    <w:rsid w:val="00505A25"/>
    <w:rsid w:val="00505A5C"/>
    <w:rsid w:val="00505ACF"/>
    <w:rsid w:val="00505AEE"/>
    <w:rsid w:val="00505AFC"/>
    <w:rsid w:val="00505AFE"/>
    <w:rsid w:val="00505B81"/>
    <w:rsid w:val="00505B89"/>
    <w:rsid w:val="00505BEC"/>
    <w:rsid w:val="00505BFC"/>
    <w:rsid w:val="00505C38"/>
    <w:rsid w:val="00505C64"/>
    <w:rsid w:val="00505CBE"/>
    <w:rsid w:val="00505CF7"/>
    <w:rsid w:val="00505D5E"/>
    <w:rsid w:val="00505D65"/>
    <w:rsid w:val="00505D7E"/>
    <w:rsid w:val="00505D8E"/>
    <w:rsid w:val="00505DAA"/>
    <w:rsid w:val="00505DB1"/>
    <w:rsid w:val="00505DBB"/>
    <w:rsid w:val="00505E06"/>
    <w:rsid w:val="00505E10"/>
    <w:rsid w:val="00505E9B"/>
    <w:rsid w:val="00505EDD"/>
    <w:rsid w:val="00505EF7"/>
    <w:rsid w:val="00505F1D"/>
    <w:rsid w:val="00505F2A"/>
    <w:rsid w:val="00505F84"/>
    <w:rsid w:val="00505F8F"/>
    <w:rsid w:val="00505F96"/>
    <w:rsid w:val="00505FA9"/>
    <w:rsid w:val="00505FC9"/>
    <w:rsid w:val="00506090"/>
    <w:rsid w:val="00506091"/>
    <w:rsid w:val="005060A6"/>
    <w:rsid w:val="005060BF"/>
    <w:rsid w:val="0050612C"/>
    <w:rsid w:val="00506150"/>
    <w:rsid w:val="00506171"/>
    <w:rsid w:val="00506195"/>
    <w:rsid w:val="005061B9"/>
    <w:rsid w:val="005061BD"/>
    <w:rsid w:val="0050621B"/>
    <w:rsid w:val="00506240"/>
    <w:rsid w:val="00506266"/>
    <w:rsid w:val="00506333"/>
    <w:rsid w:val="00506347"/>
    <w:rsid w:val="00506365"/>
    <w:rsid w:val="00506368"/>
    <w:rsid w:val="0050637D"/>
    <w:rsid w:val="005063B2"/>
    <w:rsid w:val="00506490"/>
    <w:rsid w:val="005064E4"/>
    <w:rsid w:val="00506506"/>
    <w:rsid w:val="00506520"/>
    <w:rsid w:val="00506555"/>
    <w:rsid w:val="00506568"/>
    <w:rsid w:val="00506599"/>
    <w:rsid w:val="005065AA"/>
    <w:rsid w:val="00506674"/>
    <w:rsid w:val="00506695"/>
    <w:rsid w:val="00506715"/>
    <w:rsid w:val="0050679F"/>
    <w:rsid w:val="005067C1"/>
    <w:rsid w:val="00506801"/>
    <w:rsid w:val="005068A9"/>
    <w:rsid w:val="005069A1"/>
    <w:rsid w:val="005069DA"/>
    <w:rsid w:val="005069E0"/>
    <w:rsid w:val="00506A1B"/>
    <w:rsid w:val="00506B0C"/>
    <w:rsid w:val="00506B4B"/>
    <w:rsid w:val="00506B73"/>
    <w:rsid w:val="00506BF4"/>
    <w:rsid w:val="00506C3C"/>
    <w:rsid w:val="00506C81"/>
    <w:rsid w:val="00506C85"/>
    <w:rsid w:val="00506C9E"/>
    <w:rsid w:val="00506CA2"/>
    <w:rsid w:val="00506CD4"/>
    <w:rsid w:val="00506E1B"/>
    <w:rsid w:val="00506E34"/>
    <w:rsid w:val="00506E44"/>
    <w:rsid w:val="00506E94"/>
    <w:rsid w:val="00506EE1"/>
    <w:rsid w:val="00506F41"/>
    <w:rsid w:val="00507022"/>
    <w:rsid w:val="00507034"/>
    <w:rsid w:val="0050703A"/>
    <w:rsid w:val="00507064"/>
    <w:rsid w:val="0050714F"/>
    <w:rsid w:val="00507153"/>
    <w:rsid w:val="005071A8"/>
    <w:rsid w:val="005071E0"/>
    <w:rsid w:val="00507268"/>
    <w:rsid w:val="005072D2"/>
    <w:rsid w:val="00507340"/>
    <w:rsid w:val="00507379"/>
    <w:rsid w:val="005073B1"/>
    <w:rsid w:val="005073DC"/>
    <w:rsid w:val="005073FE"/>
    <w:rsid w:val="0050740D"/>
    <w:rsid w:val="00507426"/>
    <w:rsid w:val="00507498"/>
    <w:rsid w:val="005074C9"/>
    <w:rsid w:val="00507614"/>
    <w:rsid w:val="00507676"/>
    <w:rsid w:val="00507689"/>
    <w:rsid w:val="00507751"/>
    <w:rsid w:val="00507786"/>
    <w:rsid w:val="005077BB"/>
    <w:rsid w:val="005077E9"/>
    <w:rsid w:val="00507803"/>
    <w:rsid w:val="00507834"/>
    <w:rsid w:val="00507851"/>
    <w:rsid w:val="0050786D"/>
    <w:rsid w:val="005078EC"/>
    <w:rsid w:val="00507A9B"/>
    <w:rsid w:val="00507B15"/>
    <w:rsid w:val="00507B28"/>
    <w:rsid w:val="00507B7E"/>
    <w:rsid w:val="00507B90"/>
    <w:rsid w:val="00507BC8"/>
    <w:rsid w:val="00507C04"/>
    <w:rsid w:val="00507C55"/>
    <w:rsid w:val="00507C98"/>
    <w:rsid w:val="00507CCD"/>
    <w:rsid w:val="00507D08"/>
    <w:rsid w:val="00507D0B"/>
    <w:rsid w:val="00507D12"/>
    <w:rsid w:val="00507DCB"/>
    <w:rsid w:val="00507E2D"/>
    <w:rsid w:val="00507E36"/>
    <w:rsid w:val="00507E41"/>
    <w:rsid w:val="00507E6D"/>
    <w:rsid w:val="00507EA0"/>
    <w:rsid w:val="00507F1A"/>
    <w:rsid w:val="00507F7D"/>
    <w:rsid w:val="00507FBB"/>
    <w:rsid w:val="00507FC6"/>
    <w:rsid w:val="00507FCE"/>
    <w:rsid w:val="00507FF9"/>
    <w:rsid w:val="0050DF27"/>
    <w:rsid w:val="00510065"/>
    <w:rsid w:val="00510090"/>
    <w:rsid w:val="0051009B"/>
    <w:rsid w:val="005100AD"/>
    <w:rsid w:val="005100E2"/>
    <w:rsid w:val="00510108"/>
    <w:rsid w:val="00510181"/>
    <w:rsid w:val="005101F5"/>
    <w:rsid w:val="0051022C"/>
    <w:rsid w:val="00510298"/>
    <w:rsid w:val="0051030E"/>
    <w:rsid w:val="0051034F"/>
    <w:rsid w:val="0051040C"/>
    <w:rsid w:val="0051048D"/>
    <w:rsid w:val="005104A0"/>
    <w:rsid w:val="005104E1"/>
    <w:rsid w:val="00510530"/>
    <w:rsid w:val="005105B3"/>
    <w:rsid w:val="00510651"/>
    <w:rsid w:val="005106A2"/>
    <w:rsid w:val="005106C9"/>
    <w:rsid w:val="005106F9"/>
    <w:rsid w:val="00510705"/>
    <w:rsid w:val="00510712"/>
    <w:rsid w:val="00510719"/>
    <w:rsid w:val="0051073E"/>
    <w:rsid w:val="0051076F"/>
    <w:rsid w:val="00510782"/>
    <w:rsid w:val="00510783"/>
    <w:rsid w:val="005107FB"/>
    <w:rsid w:val="0051082C"/>
    <w:rsid w:val="0051082E"/>
    <w:rsid w:val="00510858"/>
    <w:rsid w:val="005108B7"/>
    <w:rsid w:val="005108B8"/>
    <w:rsid w:val="005108CF"/>
    <w:rsid w:val="00510901"/>
    <w:rsid w:val="00510933"/>
    <w:rsid w:val="0051094F"/>
    <w:rsid w:val="005109B0"/>
    <w:rsid w:val="005109C6"/>
    <w:rsid w:val="005109EC"/>
    <w:rsid w:val="00510A03"/>
    <w:rsid w:val="00510A41"/>
    <w:rsid w:val="00510A90"/>
    <w:rsid w:val="00510ACD"/>
    <w:rsid w:val="00510B44"/>
    <w:rsid w:val="00510B6D"/>
    <w:rsid w:val="00510B74"/>
    <w:rsid w:val="00510B9A"/>
    <w:rsid w:val="00510BBC"/>
    <w:rsid w:val="00510BBD"/>
    <w:rsid w:val="00510BD8"/>
    <w:rsid w:val="00510BEA"/>
    <w:rsid w:val="00510C03"/>
    <w:rsid w:val="00510C1F"/>
    <w:rsid w:val="00510C2F"/>
    <w:rsid w:val="00510C41"/>
    <w:rsid w:val="00510C4F"/>
    <w:rsid w:val="00510C60"/>
    <w:rsid w:val="00510CB7"/>
    <w:rsid w:val="00510CD2"/>
    <w:rsid w:val="00510CE9"/>
    <w:rsid w:val="00510D37"/>
    <w:rsid w:val="00510D5B"/>
    <w:rsid w:val="00510D62"/>
    <w:rsid w:val="00510DA7"/>
    <w:rsid w:val="00510E17"/>
    <w:rsid w:val="00510ECA"/>
    <w:rsid w:val="00510ECB"/>
    <w:rsid w:val="00510F48"/>
    <w:rsid w:val="00510F71"/>
    <w:rsid w:val="00510F90"/>
    <w:rsid w:val="00510F96"/>
    <w:rsid w:val="00510F9A"/>
    <w:rsid w:val="00510FD0"/>
    <w:rsid w:val="00511017"/>
    <w:rsid w:val="00511035"/>
    <w:rsid w:val="0051104A"/>
    <w:rsid w:val="00511053"/>
    <w:rsid w:val="005110A0"/>
    <w:rsid w:val="005110C2"/>
    <w:rsid w:val="005110CD"/>
    <w:rsid w:val="00511127"/>
    <w:rsid w:val="00511140"/>
    <w:rsid w:val="005111FF"/>
    <w:rsid w:val="0051120E"/>
    <w:rsid w:val="00511224"/>
    <w:rsid w:val="0051122D"/>
    <w:rsid w:val="00511293"/>
    <w:rsid w:val="0051130D"/>
    <w:rsid w:val="0051136E"/>
    <w:rsid w:val="005113FC"/>
    <w:rsid w:val="00511417"/>
    <w:rsid w:val="0051147F"/>
    <w:rsid w:val="00511485"/>
    <w:rsid w:val="005114BF"/>
    <w:rsid w:val="005114E1"/>
    <w:rsid w:val="0051152B"/>
    <w:rsid w:val="0051163F"/>
    <w:rsid w:val="0051164F"/>
    <w:rsid w:val="005116E1"/>
    <w:rsid w:val="0051171E"/>
    <w:rsid w:val="0051175A"/>
    <w:rsid w:val="005117B1"/>
    <w:rsid w:val="005117E6"/>
    <w:rsid w:val="005117F5"/>
    <w:rsid w:val="00511851"/>
    <w:rsid w:val="00511857"/>
    <w:rsid w:val="00511861"/>
    <w:rsid w:val="0051189E"/>
    <w:rsid w:val="005118B9"/>
    <w:rsid w:val="005118CC"/>
    <w:rsid w:val="005118F5"/>
    <w:rsid w:val="00511924"/>
    <w:rsid w:val="0051193B"/>
    <w:rsid w:val="00511A5F"/>
    <w:rsid w:val="00511AB2"/>
    <w:rsid w:val="00511ACA"/>
    <w:rsid w:val="00511AD9"/>
    <w:rsid w:val="00511ADC"/>
    <w:rsid w:val="00511AEA"/>
    <w:rsid w:val="00511B03"/>
    <w:rsid w:val="00511B28"/>
    <w:rsid w:val="00511B2A"/>
    <w:rsid w:val="00511B7E"/>
    <w:rsid w:val="00511BD8"/>
    <w:rsid w:val="00511C6F"/>
    <w:rsid w:val="00511C97"/>
    <w:rsid w:val="00511CC9"/>
    <w:rsid w:val="00511CE7"/>
    <w:rsid w:val="00511D52"/>
    <w:rsid w:val="00511DFB"/>
    <w:rsid w:val="00511EA3"/>
    <w:rsid w:val="00511EB1"/>
    <w:rsid w:val="00511F7D"/>
    <w:rsid w:val="00511F81"/>
    <w:rsid w:val="00511FA5"/>
    <w:rsid w:val="00511FB9"/>
    <w:rsid w:val="0051201B"/>
    <w:rsid w:val="00512028"/>
    <w:rsid w:val="0051205D"/>
    <w:rsid w:val="00512060"/>
    <w:rsid w:val="00512066"/>
    <w:rsid w:val="00512093"/>
    <w:rsid w:val="00512097"/>
    <w:rsid w:val="005120D5"/>
    <w:rsid w:val="005120D8"/>
    <w:rsid w:val="00512103"/>
    <w:rsid w:val="00512117"/>
    <w:rsid w:val="0051218C"/>
    <w:rsid w:val="00512249"/>
    <w:rsid w:val="0051224C"/>
    <w:rsid w:val="00512258"/>
    <w:rsid w:val="005122DA"/>
    <w:rsid w:val="00512304"/>
    <w:rsid w:val="00512347"/>
    <w:rsid w:val="00512358"/>
    <w:rsid w:val="005123AC"/>
    <w:rsid w:val="005123ED"/>
    <w:rsid w:val="0051243C"/>
    <w:rsid w:val="00512455"/>
    <w:rsid w:val="005124B5"/>
    <w:rsid w:val="005124B6"/>
    <w:rsid w:val="005124F0"/>
    <w:rsid w:val="00512576"/>
    <w:rsid w:val="005125DF"/>
    <w:rsid w:val="005125EF"/>
    <w:rsid w:val="00512602"/>
    <w:rsid w:val="00512637"/>
    <w:rsid w:val="0051263A"/>
    <w:rsid w:val="005126A5"/>
    <w:rsid w:val="00512724"/>
    <w:rsid w:val="0051272F"/>
    <w:rsid w:val="00512733"/>
    <w:rsid w:val="00512752"/>
    <w:rsid w:val="00512753"/>
    <w:rsid w:val="0051285D"/>
    <w:rsid w:val="0051286D"/>
    <w:rsid w:val="0051287B"/>
    <w:rsid w:val="005128DD"/>
    <w:rsid w:val="00512979"/>
    <w:rsid w:val="00512990"/>
    <w:rsid w:val="00512993"/>
    <w:rsid w:val="005129BA"/>
    <w:rsid w:val="005129DB"/>
    <w:rsid w:val="00512A57"/>
    <w:rsid w:val="00512A65"/>
    <w:rsid w:val="00512A77"/>
    <w:rsid w:val="00512A8A"/>
    <w:rsid w:val="00512AF6"/>
    <w:rsid w:val="00512B88"/>
    <w:rsid w:val="00512B8F"/>
    <w:rsid w:val="00512BA7"/>
    <w:rsid w:val="00512BF8"/>
    <w:rsid w:val="00512C00"/>
    <w:rsid w:val="00512C6C"/>
    <w:rsid w:val="00512CC7"/>
    <w:rsid w:val="00512CC9"/>
    <w:rsid w:val="00512CEA"/>
    <w:rsid w:val="00512D0E"/>
    <w:rsid w:val="00512E30"/>
    <w:rsid w:val="00512E4B"/>
    <w:rsid w:val="00512EC9"/>
    <w:rsid w:val="00512EDF"/>
    <w:rsid w:val="00512EE1"/>
    <w:rsid w:val="00512F23"/>
    <w:rsid w:val="00512F39"/>
    <w:rsid w:val="00512F59"/>
    <w:rsid w:val="00512F5D"/>
    <w:rsid w:val="00512FA8"/>
    <w:rsid w:val="00512FD8"/>
    <w:rsid w:val="00513034"/>
    <w:rsid w:val="00513039"/>
    <w:rsid w:val="00513043"/>
    <w:rsid w:val="005130B1"/>
    <w:rsid w:val="005130EB"/>
    <w:rsid w:val="00513136"/>
    <w:rsid w:val="00513194"/>
    <w:rsid w:val="0051326E"/>
    <w:rsid w:val="00513270"/>
    <w:rsid w:val="005132B4"/>
    <w:rsid w:val="005132C4"/>
    <w:rsid w:val="005132CC"/>
    <w:rsid w:val="00513367"/>
    <w:rsid w:val="0051341A"/>
    <w:rsid w:val="0051347C"/>
    <w:rsid w:val="005134A2"/>
    <w:rsid w:val="005134BD"/>
    <w:rsid w:val="005134E4"/>
    <w:rsid w:val="00513508"/>
    <w:rsid w:val="00513555"/>
    <w:rsid w:val="0051355D"/>
    <w:rsid w:val="00513562"/>
    <w:rsid w:val="00513593"/>
    <w:rsid w:val="00513639"/>
    <w:rsid w:val="00513673"/>
    <w:rsid w:val="005136B0"/>
    <w:rsid w:val="005136DF"/>
    <w:rsid w:val="00513774"/>
    <w:rsid w:val="0051377B"/>
    <w:rsid w:val="005137B2"/>
    <w:rsid w:val="0051380B"/>
    <w:rsid w:val="0051382C"/>
    <w:rsid w:val="0051385A"/>
    <w:rsid w:val="0051386D"/>
    <w:rsid w:val="00513880"/>
    <w:rsid w:val="00513887"/>
    <w:rsid w:val="00513904"/>
    <w:rsid w:val="0051390A"/>
    <w:rsid w:val="005139BA"/>
    <w:rsid w:val="005139D2"/>
    <w:rsid w:val="00513A04"/>
    <w:rsid w:val="00513A24"/>
    <w:rsid w:val="00513A40"/>
    <w:rsid w:val="00513A4F"/>
    <w:rsid w:val="00513ABC"/>
    <w:rsid w:val="00513ADE"/>
    <w:rsid w:val="00513B0D"/>
    <w:rsid w:val="00513C52"/>
    <w:rsid w:val="00513C6D"/>
    <w:rsid w:val="00513D4B"/>
    <w:rsid w:val="00513D93"/>
    <w:rsid w:val="00513E3C"/>
    <w:rsid w:val="00513E93"/>
    <w:rsid w:val="00513F27"/>
    <w:rsid w:val="00513F63"/>
    <w:rsid w:val="0051400A"/>
    <w:rsid w:val="0051402A"/>
    <w:rsid w:val="00514091"/>
    <w:rsid w:val="00514096"/>
    <w:rsid w:val="0051412A"/>
    <w:rsid w:val="0051415B"/>
    <w:rsid w:val="00514196"/>
    <w:rsid w:val="005141E9"/>
    <w:rsid w:val="0051420A"/>
    <w:rsid w:val="0051422F"/>
    <w:rsid w:val="005142C2"/>
    <w:rsid w:val="005142C9"/>
    <w:rsid w:val="005142E8"/>
    <w:rsid w:val="0051435B"/>
    <w:rsid w:val="0051436A"/>
    <w:rsid w:val="00514383"/>
    <w:rsid w:val="00514386"/>
    <w:rsid w:val="005143AE"/>
    <w:rsid w:val="005143E6"/>
    <w:rsid w:val="005143FE"/>
    <w:rsid w:val="00514428"/>
    <w:rsid w:val="00514430"/>
    <w:rsid w:val="00514446"/>
    <w:rsid w:val="00514468"/>
    <w:rsid w:val="00514470"/>
    <w:rsid w:val="005144B4"/>
    <w:rsid w:val="005144C1"/>
    <w:rsid w:val="0051451D"/>
    <w:rsid w:val="00514547"/>
    <w:rsid w:val="00514561"/>
    <w:rsid w:val="005145E8"/>
    <w:rsid w:val="005145EA"/>
    <w:rsid w:val="00514601"/>
    <w:rsid w:val="00514634"/>
    <w:rsid w:val="00514645"/>
    <w:rsid w:val="005146F8"/>
    <w:rsid w:val="0051476A"/>
    <w:rsid w:val="00514784"/>
    <w:rsid w:val="00514797"/>
    <w:rsid w:val="0051483F"/>
    <w:rsid w:val="00514873"/>
    <w:rsid w:val="00514883"/>
    <w:rsid w:val="00514932"/>
    <w:rsid w:val="00514A39"/>
    <w:rsid w:val="00514A53"/>
    <w:rsid w:val="00514A95"/>
    <w:rsid w:val="00514AD0"/>
    <w:rsid w:val="00514B31"/>
    <w:rsid w:val="00514B47"/>
    <w:rsid w:val="00514B4A"/>
    <w:rsid w:val="00514B6E"/>
    <w:rsid w:val="00514B79"/>
    <w:rsid w:val="00514BE6"/>
    <w:rsid w:val="00514BF8"/>
    <w:rsid w:val="00514BFC"/>
    <w:rsid w:val="00514C20"/>
    <w:rsid w:val="00514CAD"/>
    <w:rsid w:val="00514CBD"/>
    <w:rsid w:val="00514CCA"/>
    <w:rsid w:val="00514CEB"/>
    <w:rsid w:val="00514D26"/>
    <w:rsid w:val="00514D57"/>
    <w:rsid w:val="00514EAC"/>
    <w:rsid w:val="00514EB7"/>
    <w:rsid w:val="00514ED6"/>
    <w:rsid w:val="00514ED7"/>
    <w:rsid w:val="00514F33"/>
    <w:rsid w:val="00514F55"/>
    <w:rsid w:val="00514F7E"/>
    <w:rsid w:val="00514FBC"/>
    <w:rsid w:val="00514FD7"/>
    <w:rsid w:val="00514FE4"/>
    <w:rsid w:val="00514FF4"/>
    <w:rsid w:val="00515001"/>
    <w:rsid w:val="00515016"/>
    <w:rsid w:val="0051504C"/>
    <w:rsid w:val="005150A8"/>
    <w:rsid w:val="005150DC"/>
    <w:rsid w:val="005151B8"/>
    <w:rsid w:val="005151EB"/>
    <w:rsid w:val="005151F4"/>
    <w:rsid w:val="00515200"/>
    <w:rsid w:val="0051529A"/>
    <w:rsid w:val="005152B3"/>
    <w:rsid w:val="005152EA"/>
    <w:rsid w:val="005153EF"/>
    <w:rsid w:val="00515419"/>
    <w:rsid w:val="0051544B"/>
    <w:rsid w:val="0051544D"/>
    <w:rsid w:val="005154B9"/>
    <w:rsid w:val="005154DC"/>
    <w:rsid w:val="005154EC"/>
    <w:rsid w:val="005154FC"/>
    <w:rsid w:val="0051550F"/>
    <w:rsid w:val="0051551E"/>
    <w:rsid w:val="00515563"/>
    <w:rsid w:val="005155A5"/>
    <w:rsid w:val="005155DB"/>
    <w:rsid w:val="00515620"/>
    <w:rsid w:val="005156A5"/>
    <w:rsid w:val="005156BE"/>
    <w:rsid w:val="005156E6"/>
    <w:rsid w:val="005156FD"/>
    <w:rsid w:val="00515709"/>
    <w:rsid w:val="0051572F"/>
    <w:rsid w:val="0051585C"/>
    <w:rsid w:val="00515872"/>
    <w:rsid w:val="005158F4"/>
    <w:rsid w:val="00515945"/>
    <w:rsid w:val="00515A70"/>
    <w:rsid w:val="00515AAE"/>
    <w:rsid w:val="00515AB2"/>
    <w:rsid w:val="00515AE4"/>
    <w:rsid w:val="00515AE8"/>
    <w:rsid w:val="00515CBD"/>
    <w:rsid w:val="00515CDF"/>
    <w:rsid w:val="00515D1B"/>
    <w:rsid w:val="00515DC4"/>
    <w:rsid w:val="00515DD1"/>
    <w:rsid w:val="00515DFD"/>
    <w:rsid w:val="00515E19"/>
    <w:rsid w:val="00515E5B"/>
    <w:rsid w:val="00515E8F"/>
    <w:rsid w:val="00515EB1"/>
    <w:rsid w:val="00515F02"/>
    <w:rsid w:val="00515F07"/>
    <w:rsid w:val="00515F6B"/>
    <w:rsid w:val="00515FCF"/>
    <w:rsid w:val="00516015"/>
    <w:rsid w:val="00516023"/>
    <w:rsid w:val="00516070"/>
    <w:rsid w:val="00516074"/>
    <w:rsid w:val="005160BA"/>
    <w:rsid w:val="005160E6"/>
    <w:rsid w:val="0051612C"/>
    <w:rsid w:val="00516197"/>
    <w:rsid w:val="0051619D"/>
    <w:rsid w:val="005161D4"/>
    <w:rsid w:val="00516203"/>
    <w:rsid w:val="00516215"/>
    <w:rsid w:val="0051625D"/>
    <w:rsid w:val="00516262"/>
    <w:rsid w:val="005162C9"/>
    <w:rsid w:val="005162E7"/>
    <w:rsid w:val="005163A1"/>
    <w:rsid w:val="0051647B"/>
    <w:rsid w:val="00516496"/>
    <w:rsid w:val="005164A4"/>
    <w:rsid w:val="005164C0"/>
    <w:rsid w:val="00516509"/>
    <w:rsid w:val="00516539"/>
    <w:rsid w:val="00516547"/>
    <w:rsid w:val="00516597"/>
    <w:rsid w:val="005165E4"/>
    <w:rsid w:val="0051660D"/>
    <w:rsid w:val="00516670"/>
    <w:rsid w:val="005166EB"/>
    <w:rsid w:val="0051670D"/>
    <w:rsid w:val="00516711"/>
    <w:rsid w:val="0051673D"/>
    <w:rsid w:val="00516743"/>
    <w:rsid w:val="00516809"/>
    <w:rsid w:val="00516852"/>
    <w:rsid w:val="0051686F"/>
    <w:rsid w:val="005168CF"/>
    <w:rsid w:val="005169F7"/>
    <w:rsid w:val="00516A00"/>
    <w:rsid w:val="00516A43"/>
    <w:rsid w:val="00516A57"/>
    <w:rsid w:val="00516B66"/>
    <w:rsid w:val="00516B7F"/>
    <w:rsid w:val="00516B81"/>
    <w:rsid w:val="00516BC0"/>
    <w:rsid w:val="00516BF9"/>
    <w:rsid w:val="00516C7B"/>
    <w:rsid w:val="00516CD2"/>
    <w:rsid w:val="00516CEC"/>
    <w:rsid w:val="00516D78"/>
    <w:rsid w:val="00516D89"/>
    <w:rsid w:val="00516E76"/>
    <w:rsid w:val="00516EDE"/>
    <w:rsid w:val="00516F3F"/>
    <w:rsid w:val="00516F6D"/>
    <w:rsid w:val="00516FAF"/>
    <w:rsid w:val="00517001"/>
    <w:rsid w:val="00517099"/>
    <w:rsid w:val="00517138"/>
    <w:rsid w:val="00517170"/>
    <w:rsid w:val="005171B3"/>
    <w:rsid w:val="005171B7"/>
    <w:rsid w:val="00517201"/>
    <w:rsid w:val="0051723A"/>
    <w:rsid w:val="00517243"/>
    <w:rsid w:val="00517286"/>
    <w:rsid w:val="005172AA"/>
    <w:rsid w:val="00517304"/>
    <w:rsid w:val="00517339"/>
    <w:rsid w:val="00517342"/>
    <w:rsid w:val="00517360"/>
    <w:rsid w:val="00517367"/>
    <w:rsid w:val="00517369"/>
    <w:rsid w:val="00517384"/>
    <w:rsid w:val="005173FA"/>
    <w:rsid w:val="005173FD"/>
    <w:rsid w:val="005174D5"/>
    <w:rsid w:val="005174DE"/>
    <w:rsid w:val="0051752B"/>
    <w:rsid w:val="005175D8"/>
    <w:rsid w:val="00517627"/>
    <w:rsid w:val="00517634"/>
    <w:rsid w:val="00517737"/>
    <w:rsid w:val="0051773B"/>
    <w:rsid w:val="00517752"/>
    <w:rsid w:val="005177DE"/>
    <w:rsid w:val="00517806"/>
    <w:rsid w:val="00517835"/>
    <w:rsid w:val="0051785A"/>
    <w:rsid w:val="005178B8"/>
    <w:rsid w:val="005178D0"/>
    <w:rsid w:val="005178F6"/>
    <w:rsid w:val="00517A17"/>
    <w:rsid w:val="00517A2B"/>
    <w:rsid w:val="00517A9E"/>
    <w:rsid w:val="00517AA7"/>
    <w:rsid w:val="00517CD3"/>
    <w:rsid w:val="00517CF3"/>
    <w:rsid w:val="00517D9F"/>
    <w:rsid w:val="00517DB3"/>
    <w:rsid w:val="00517DE6"/>
    <w:rsid w:val="00517E10"/>
    <w:rsid w:val="00517E12"/>
    <w:rsid w:val="00517E2C"/>
    <w:rsid w:val="00517EBD"/>
    <w:rsid w:val="00517ED9"/>
    <w:rsid w:val="00517F16"/>
    <w:rsid w:val="00517F35"/>
    <w:rsid w:val="00517F80"/>
    <w:rsid w:val="00517F96"/>
    <w:rsid w:val="00517FBD"/>
    <w:rsid w:val="0052004C"/>
    <w:rsid w:val="0052004D"/>
    <w:rsid w:val="00520071"/>
    <w:rsid w:val="0052010A"/>
    <w:rsid w:val="00520124"/>
    <w:rsid w:val="005201F1"/>
    <w:rsid w:val="00520232"/>
    <w:rsid w:val="00520239"/>
    <w:rsid w:val="0052028D"/>
    <w:rsid w:val="005202A8"/>
    <w:rsid w:val="00520349"/>
    <w:rsid w:val="0052036B"/>
    <w:rsid w:val="0052038B"/>
    <w:rsid w:val="005203D9"/>
    <w:rsid w:val="005203E8"/>
    <w:rsid w:val="005203FD"/>
    <w:rsid w:val="0052040F"/>
    <w:rsid w:val="00520424"/>
    <w:rsid w:val="0052046E"/>
    <w:rsid w:val="005204C3"/>
    <w:rsid w:val="00520516"/>
    <w:rsid w:val="0052055F"/>
    <w:rsid w:val="005205FD"/>
    <w:rsid w:val="0052065F"/>
    <w:rsid w:val="005206DD"/>
    <w:rsid w:val="00520705"/>
    <w:rsid w:val="005207C8"/>
    <w:rsid w:val="0052082D"/>
    <w:rsid w:val="00520843"/>
    <w:rsid w:val="00520888"/>
    <w:rsid w:val="00520896"/>
    <w:rsid w:val="005208D1"/>
    <w:rsid w:val="00520940"/>
    <w:rsid w:val="0052095A"/>
    <w:rsid w:val="005209A8"/>
    <w:rsid w:val="00520A0A"/>
    <w:rsid w:val="00520A67"/>
    <w:rsid w:val="00520A81"/>
    <w:rsid w:val="00520A9D"/>
    <w:rsid w:val="00520AEF"/>
    <w:rsid w:val="00520B70"/>
    <w:rsid w:val="00520B76"/>
    <w:rsid w:val="00520BAE"/>
    <w:rsid w:val="00520BE3"/>
    <w:rsid w:val="00520C6F"/>
    <w:rsid w:val="00520C71"/>
    <w:rsid w:val="00520C97"/>
    <w:rsid w:val="00520CF9"/>
    <w:rsid w:val="00520D1F"/>
    <w:rsid w:val="00520D33"/>
    <w:rsid w:val="00520DB2"/>
    <w:rsid w:val="00520E0E"/>
    <w:rsid w:val="00520E1C"/>
    <w:rsid w:val="00520E26"/>
    <w:rsid w:val="00520E2E"/>
    <w:rsid w:val="00520E36"/>
    <w:rsid w:val="00520E86"/>
    <w:rsid w:val="00520E96"/>
    <w:rsid w:val="00520EB0"/>
    <w:rsid w:val="00520EB7"/>
    <w:rsid w:val="00520F13"/>
    <w:rsid w:val="00520F70"/>
    <w:rsid w:val="00520F8F"/>
    <w:rsid w:val="00520FA9"/>
    <w:rsid w:val="00521025"/>
    <w:rsid w:val="00521033"/>
    <w:rsid w:val="0052103B"/>
    <w:rsid w:val="005210AF"/>
    <w:rsid w:val="005210C6"/>
    <w:rsid w:val="00521105"/>
    <w:rsid w:val="0052110E"/>
    <w:rsid w:val="00521151"/>
    <w:rsid w:val="0052116F"/>
    <w:rsid w:val="00521190"/>
    <w:rsid w:val="005211B6"/>
    <w:rsid w:val="005211D4"/>
    <w:rsid w:val="005211F8"/>
    <w:rsid w:val="00521269"/>
    <w:rsid w:val="005212D5"/>
    <w:rsid w:val="005212F9"/>
    <w:rsid w:val="00521381"/>
    <w:rsid w:val="005213FE"/>
    <w:rsid w:val="00521405"/>
    <w:rsid w:val="00521427"/>
    <w:rsid w:val="00521437"/>
    <w:rsid w:val="0052144D"/>
    <w:rsid w:val="005214B0"/>
    <w:rsid w:val="005214B6"/>
    <w:rsid w:val="0052152B"/>
    <w:rsid w:val="0052153F"/>
    <w:rsid w:val="0052154D"/>
    <w:rsid w:val="005215CB"/>
    <w:rsid w:val="005215F1"/>
    <w:rsid w:val="00521601"/>
    <w:rsid w:val="0052160D"/>
    <w:rsid w:val="00521610"/>
    <w:rsid w:val="0052162B"/>
    <w:rsid w:val="0052166F"/>
    <w:rsid w:val="00521676"/>
    <w:rsid w:val="005216A2"/>
    <w:rsid w:val="005216B7"/>
    <w:rsid w:val="005216E9"/>
    <w:rsid w:val="00521712"/>
    <w:rsid w:val="005217C7"/>
    <w:rsid w:val="005217E7"/>
    <w:rsid w:val="0052180A"/>
    <w:rsid w:val="00521813"/>
    <w:rsid w:val="00521835"/>
    <w:rsid w:val="0052184A"/>
    <w:rsid w:val="00521869"/>
    <w:rsid w:val="00521889"/>
    <w:rsid w:val="00521908"/>
    <w:rsid w:val="0052195B"/>
    <w:rsid w:val="00521968"/>
    <w:rsid w:val="00521969"/>
    <w:rsid w:val="0052196C"/>
    <w:rsid w:val="0052196E"/>
    <w:rsid w:val="00521990"/>
    <w:rsid w:val="00521993"/>
    <w:rsid w:val="005219A6"/>
    <w:rsid w:val="005219F9"/>
    <w:rsid w:val="00521A0E"/>
    <w:rsid w:val="00521A36"/>
    <w:rsid w:val="00521AAC"/>
    <w:rsid w:val="00521B16"/>
    <w:rsid w:val="00521B1D"/>
    <w:rsid w:val="00521B2D"/>
    <w:rsid w:val="00521B7D"/>
    <w:rsid w:val="00521B87"/>
    <w:rsid w:val="00521BA5"/>
    <w:rsid w:val="00521BD9"/>
    <w:rsid w:val="00521C0A"/>
    <w:rsid w:val="00521C27"/>
    <w:rsid w:val="00521C6A"/>
    <w:rsid w:val="00521C7C"/>
    <w:rsid w:val="00521CC8"/>
    <w:rsid w:val="00521CEC"/>
    <w:rsid w:val="00521CF0"/>
    <w:rsid w:val="00521D86"/>
    <w:rsid w:val="00521DAA"/>
    <w:rsid w:val="00521E2F"/>
    <w:rsid w:val="00521E34"/>
    <w:rsid w:val="00521E3B"/>
    <w:rsid w:val="00521E78"/>
    <w:rsid w:val="00521E84"/>
    <w:rsid w:val="00521EFD"/>
    <w:rsid w:val="00521F55"/>
    <w:rsid w:val="00521FE4"/>
    <w:rsid w:val="00521FF7"/>
    <w:rsid w:val="00522087"/>
    <w:rsid w:val="00522121"/>
    <w:rsid w:val="00522213"/>
    <w:rsid w:val="00522234"/>
    <w:rsid w:val="005222BD"/>
    <w:rsid w:val="005222C0"/>
    <w:rsid w:val="005222D4"/>
    <w:rsid w:val="00522324"/>
    <w:rsid w:val="00522365"/>
    <w:rsid w:val="005223CF"/>
    <w:rsid w:val="0052242D"/>
    <w:rsid w:val="00522480"/>
    <w:rsid w:val="0052249A"/>
    <w:rsid w:val="0052249D"/>
    <w:rsid w:val="005224A0"/>
    <w:rsid w:val="005224C6"/>
    <w:rsid w:val="005224D4"/>
    <w:rsid w:val="005224EC"/>
    <w:rsid w:val="005224F0"/>
    <w:rsid w:val="005225A3"/>
    <w:rsid w:val="005225A9"/>
    <w:rsid w:val="005225C5"/>
    <w:rsid w:val="005225E8"/>
    <w:rsid w:val="005225FB"/>
    <w:rsid w:val="0052260D"/>
    <w:rsid w:val="0052261C"/>
    <w:rsid w:val="00522628"/>
    <w:rsid w:val="0052262A"/>
    <w:rsid w:val="0052267D"/>
    <w:rsid w:val="0052272C"/>
    <w:rsid w:val="0052278E"/>
    <w:rsid w:val="00522809"/>
    <w:rsid w:val="0052283D"/>
    <w:rsid w:val="00522897"/>
    <w:rsid w:val="005228B0"/>
    <w:rsid w:val="0052290F"/>
    <w:rsid w:val="0052296F"/>
    <w:rsid w:val="00522AC0"/>
    <w:rsid w:val="00522AD9"/>
    <w:rsid w:val="00522AEE"/>
    <w:rsid w:val="00522B4B"/>
    <w:rsid w:val="00522B87"/>
    <w:rsid w:val="00522BF0"/>
    <w:rsid w:val="00522C08"/>
    <w:rsid w:val="00522C18"/>
    <w:rsid w:val="00522C5C"/>
    <w:rsid w:val="00522CB0"/>
    <w:rsid w:val="00522CBD"/>
    <w:rsid w:val="00522CE4"/>
    <w:rsid w:val="00522CEB"/>
    <w:rsid w:val="00522D08"/>
    <w:rsid w:val="00522D30"/>
    <w:rsid w:val="00522D3A"/>
    <w:rsid w:val="00522D7C"/>
    <w:rsid w:val="00522DE7"/>
    <w:rsid w:val="00522E1F"/>
    <w:rsid w:val="00522E8C"/>
    <w:rsid w:val="00522E95"/>
    <w:rsid w:val="00522E9C"/>
    <w:rsid w:val="00522EA4"/>
    <w:rsid w:val="00522EB3"/>
    <w:rsid w:val="00522EBC"/>
    <w:rsid w:val="00522EF9"/>
    <w:rsid w:val="00522F18"/>
    <w:rsid w:val="00522F1F"/>
    <w:rsid w:val="00522F2C"/>
    <w:rsid w:val="00522F39"/>
    <w:rsid w:val="00523013"/>
    <w:rsid w:val="005230FD"/>
    <w:rsid w:val="0052312C"/>
    <w:rsid w:val="005231F0"/>
    <w:rsid w:val="00523233"/>
    <w:rsid w:val="005232AD"/>
    <w:rsid w:val="005232C7"/>
    <w:rsid w:val="005232D4"/>
    <w:rsid w:val="005232DA"/>
    <w:rsid w:val="005232E1"/>
    <w:rsid w:val="00523347"/>
    <w:rsid w:val="005233DC"/>
    <w:rsid w:val="005233E8"/>
    <w:rsid w:val="00523459"/>
    <w:rsid w:val="00523478"/>
    <w:rsid w:val="005234A4"/>
    <w:rsid w:val="005234B1"/>
    <w:rsid w:val="005234C1"/>
    <w:rsid w:val="00523532"/>
    <w:rsid w:val="00523557"/>
    <w:rsid w:val="0052356A"/>
    <w:rsid w:val="005235AD"/>
    <w:rsid w:val="00523675"/>
    <w:rsid w:val="005236EA"/>
    <w:rsid w:val="0052370A"/>
    <w:rsid w:val="00523741"/>
    <w:rsid w:val="0052375F"/>
    <w:rsid w:val="005237EE"/>
    <w:rsid w:val="005237F1"/>
    <w:rsid w:val="00523848"/>
    <w:rsid w:val="0052391C"/>
    <w:rsid w:val="00523927"/>
    <w:rsid w:val="0052395F"/>
    <w:rsid w:val="00523994"/>
    <w:rsid w:val="00523A51"/>
    <w:rsid w:val="00523AC8"/>
    <w:rsid w:val="00523B02"/>
    <w:rsid w:val="00523B31"/>
    <w:rsid w:val="00523B9F"/>
    <w:rsid w:val="00523BC0"/>
    <w:rsid w:val="00523BCF"/>
    <w:rsid w:val="00523BD9"/>
    <w:rsid w:val="00523BEC"/>
    <w:rsid w:val="00523BF3"/>
    <w:rsid w:val="00523C65"/>
    <w:rsid w:val="00523C9E"/>
    <w:rsid w:val="00523CBB"/>
    <w:rsid w:val="00523CCE"/>
    <w:rsid w:val="00523D1A"/>
    <w:rsid w:val="00523DB5"/>
    <w:rsid w:val="00523E01"/>
    <w:rsid w:val="00523E0B"/>
    <w:rsid w:val="00523E6E"/>
    <w:rsid w:val="00523E8B"/>
    <w:rsid w:val="00523E8F"/>
    <w:rsid w:val="00523EB2"/>
    <w:rsid w:val="00523F84"/>
    <w:rsid w:val="00524076"/>
    <w:rsid w:val="005240A9"/>
    <w:rsid w:val="005240B1"/>
    <w:rsid w:val="0052410D"/>
    <w:rsid w:val="005241AF"/>
    <w:rsid w:val="005241D6"/>
    <w:rsid w:val="005241ED"/>
    <w:rsid w:val="00524230"/>
    <w:rsid w:val="00524241"/>
    <w:rsid w:val="0052426F"/>
    <w:rsid w:val="00524293"/>
    <w:rsid w:val="005242D2"/>
    <w:rsid w:val="00524346"/>
    <w:rsid w:val="00524376"/>
    <w:rsid w:val="00524389"/>
    <w:rsid w:val="00524398"/>
    <w:rsid w:val="005243E3"/>
    <w:rsid w:val="0052441C"/>
    <w:rsid w:val="0052442A"/>
    <w:rsid w:val="0052442E"/>
    <w:rsid w:val="005244B6"/>
    <w:rsid w:val="005244BA"/>
    <w:rsid w:val="005244F7"/>
    <w:rsid w:val="00524511"/>
    <w:rsid w:val="0052451A"/>
    <w:rsid w:val="00524521"/>
    <w:rsid w:val="0052452D"/>
    <w:rsid w:val="005245B0"/>
    <w:rsid w:val="00524676"/>
    <w:rsid w:val="0052467B"/>
    <w:rsid w:val="00524707"/>
    <w:rsid w:val="0052475F"/>
    <w:rsid w:val="0052478A"/>
    <w:rsid w:val="0052478C"/>
    <w:rsid w:val="005247A0"/>
    <w:rsid w:val="005247BE"/>
    <w:rsid w:val="00524853"/>
    <w:rsid w:val="005248B1"/>
    <w:rsid w:val="005248B8"/>
    <w:rsid w:val="00524933"/>
    <w:rsid w:val="0052495B"/>
    <w:rsid w:val="00524965"/>
    <w:rsid w:val="00524974"/>
    <w:rsid w:val="005249F6"/>
    <w:rsid w:val="005249FB"/>
    <w:rsid w:val="00524A09"/>
    <w:rsid w:val="00524A3B"/>
    <w:rsid w:val="00524ADF"/>
    <w:rsid w:val="00524B8B"/>
    <w:rsid w:val="00524C30"/>
    <w:rsid w:val="00524D07"/>
    <w:rsid w:val="00524D1F"/>
    <w:rsid w:val="00524D6C"/>
    <w:rsid w:val="00524D72"/>
    <w:rsid w:val="00524DA6"/>
    <w:rsid w:val="00524DC6"/>
    <w:rsid w:val="00524E2F"/>
    <w:rsid w:val="00524E4B"/>
    <w:rsid w:val="00524E55"/>
    <w:rsid w:val="00524EBD"/>
    <w:rsid w:val="00524EEE"/>
    <w:rsid w:val="00524EF8"/>
    <w:rsid w:val="00524F57"/>
    <w:rsid w:val="00524F95"/>
    <w:rsid w:val="00524FB8"/>
    <w:rsid w:val="00524FC1"/>
    <w:rsid w:val="00525062"/>
    <w:rsid w:val="00525079"/>
    <w:rsid w:val="0052509C"/>
    <w:rsid w:val="00525143"/>
    <w:rsid w:val="00525162"/>
    <w:rsid w:val="00525192"/>
    <w:rsid w:val="005251BF"/>
    <w:rsid w:val="0052527D"/>
    <w:rsid w:val="005252BD"/>
    <w:rsid w:val="0052534F"/>
    <w:rsid w:val="00525354"/>
    <w:rsid w:val="005253B3"/>
    <w:rsid w:val="005253D8"/>
    <w:rsid w:val="00525423"/>
    <w:rsid w:val="00525482"/>
    <w:rsid w:val="00525483"/>
    <w:rsid w:val="00525508"/>
    <w:rsid w:val="0052550A"/>
    <w:rsid w:val="005255F3"/>
    <w:rsid w:val="00525604"/>
    <w:rsid w:val="00525632"/>
    <w:rsid w:val="005256C8"/>
    <w:rsid w:val="00525716"/>
    <w:rsid w:val="00525743"/>
    <w:rsid w:val="005257F9"/>
    <w:rsid w:val="00525824"/>
    <w:rsid w:val="00525832"/>
    <w:rsid w:val="0052584E"/>
    <w:rsid w:val="005258A1"/>
    <w:rsid w:val="005258D4"/>
    <w:rsid w:val="00525939"/>
    <w:rsid w:val="0052595B"/>
    <w:rsid w:val="005259C6"/>
    <w:rsid w:val="00525A0A"/>
    <w:rsid w:val="00525A3B"/>
    <w:rsid w:val="00525A58"/>
    <w:rsid w:val="00525A88"/>
    <w:rsid w:val="00525B74"/>
    <w:rsid w:val="00525B7E"/>
    <w:rsid w:val="00525BFF"/>
    <w:rsid w:val="00525C18"/>
    <w:rsid w:val="00525C52"/>
    <w:rsid w:val="00525C58"/>
    <w:rsid w:val="00525C7E"/>
    <w:rsid w:val="00525C9C"/>
    <w:rsid w:val="00525CB1"/>
    <w:rsid w:val="00525CBD"/>
    <w:rsid w:val="00525CBE"/>
    <w:rsid w:val="00525D61"/>
    <w:rsid w:val="00525D97"/>
    <w:rsid w:val="00525DE4"/>
    <w:rsid w:val="00525E61"/>
    <w:rsid w:val="00525E7F"/>
    <w:rsid w:val="00525E84"/>
    <w:rsid w:val="00525EEF"/>
    <w:rsid w:val="00525EF4"/>
    <w:rsid w:val="00525EF6"/>
    <w:rsid w:val="00525EFF"/>
    <w:rsid w:val="00525F0F"/>
    <w:rsid w:val="00525F97"/>
    <w:rsid w:val="00525FD9"/>
    <w:rsid w:val="00525FDD"/>
    <w:rsid w:val="00525FE1"/>
    <w:rsid w:val="00526003"/>
    <w:rsid w:val="00526035"/>
    <w:rsid w:val="00526082"/>
    <w:rsid w:val="00526085"/>
    <w:rsid w:val="005260AF"/>
    <w:rsid w:val="005260F9"/>
    <w:rsid w:val="00526104"/>
    <w:rsid w:val="005261C0"/>
    <w:rsid w:val="005261C2"/>
    <w:rsid w:val="005261D2"/>
    <w:rsid w:val="00526262"/>
    <w:rsid w:val="0052628B"/>
    <w:rsid w:val="00526293"/>
    <w:rsid w:val="005262A0"/>
    <w:rsid w:val="005262A2"/>
    <w:rsid w:val="00526338"/>
    <w:rsid w:val="0052634B"/>
    <w:rsid w:val="005263BA"/>
    <w:rsid w:val="005263CB"/>
    <w:rsid w:val="005263E1"/>
    <w:rsid w:val="0052648E"/>
    <w:rsid w:val="005264C0"/>
    <w:rsid w:val="005264C9"/>
    <w:rsid w:val="005264E6"/>
    <w:rsid w:val="00526537"/>
    <w:rsid w:val="0052653B"/>
    <w:rsid w:val="0052656C"/>
    <w:rsid w:val="005265C7"/>
    <w:rsid w:val="005265F3"/>
    <w:rsid w:val="00526638"/>
    <w:rsid w:val="00526666"/>
    <w:rsid w:val="0052679D"/>
    <w:rsid w:val="00526807"/>
    <w:rsid w:val="00526826"/>
    <w:rsid w:val="0052685E"/>
    <w:rsid w:val="00526865"/>
    <w:rsid w:val="00526894"/>
    <w:rsid w:val="0052689D"/>
    <w:rsid w:val="005268CB"/>
    <w:rsid w:val="005268EF"/>
    <w:rsid w:val="005268F3"/>
    <w:rsid w:val="0052693F"/>
    <w:rsid w:val="00526949"/>
    <w:rsid w:val="0052696E"/>
    <w:rsid w:val="005269A2"/>
    <w:rsid w:val="005269B1"/>
    <w:rsid w:val="00526A3C"/>
    <w:rsid w:val="00526A44"/>
    <w:rsid w:val="00526A55"/>
    <w:rsid w:val="00526A96"/>
    <w:rsid w:val="00526AEC"/>
    <w:rsid w:val="00526B1F"/>
    <w:rsid w:val="00526B89"/>
    <w:rsid w:val="00526BD1"/>
    <w:rsid w:val="00526BE4"/>
    <w:rsid w:val="00526C1D"/>
    <w:rsid w:val="00526C47"/>
    <w:rsid w:val="00526C4D"/>
    <w:rsid w:val="00526C50"/>
    <w:rsid w:val="00526C82"/>
    <w:rsid w:val="00526CB5"/>
    <w:rsid w:val="00526CBD"/>
    <w:rsid w:val="00526CCB"/>
    <w:rsid w:val="00526CD4"/>
    <w:rsid w:val="00526D1C"/>
    <w:rsid w:val="00526D45"/>
    <w:rsid w:val="00526D8C"/>
    <w:rsid w:val="00526FDD"/>
    <w:rsid w:val="00527029"/>
    <w:rsid w:val="0052709A"/>
    <w:rsid w:val="005270E2"/>
    <w:rsid w:val="0052712D"/>
    <w:rsid w:val="005271B8"/>
    <w:rsid w:val="00527202"/>
    <w:rsid w:val="00527203"/>
    <w:rsid w:val="0052720B"/>
    <w:rsid w:val="0052728C"/>
    <w:rsid w:val="005272A9"/>
    <w:rsid w:val="005272B4"/>
    <w:rsid w:val="005272EA"/>
    <w:rsid w:val="00527329"/>
    <w:rsid w:val="00527333"/>
    <w:rsid w:val="00527407"/>
    <w:rsid w:val="0052743B"/>
    <w:rsid w:val="00527482"/>
    <w:rsid w:val="00527502"/>
    <w:rsid w:val="005275E2"/>
    <w:rsid w:val="005275E5"/>
    <w:rsid w:val="005276BA"/>
    <w:rsid w:val="005276E2"/>
    <w:rsid w:val="00527700"/>
    <w:rsid w:val="00527726"/>
    <w:rsid w:val="005277C8"/>
    <w:rsid w:val="0052787B"/>
    <w:rsid w:val="00527924"/>
    <w:rsid w:val="00527928"/>
    <w:rsid w:val="0052795F"/>
    <w:rsid w:val="005279AE"/>
    <w:rsid w:val="005279B7"/>
    <w:rsid w:val="005279B9"/>
    <w:rsid w:val="00527A00"/>
    <w:rsid w:val="00527A3F"/>
    <w:rsid w:val="00527A67"/>
    <w:rsid w:val="00527AC8"/>
    <w:rsid w:val="00527B7E"/>
    <w:rsid w:val="00527BFD"/>
    <w:rsid w:val="00527C1E"/>
    <w:rsid w:val="00527CA1"/>
    <w:rsid w:val="00527CC0"/>
    <w:rsid w:val="00527CE2"/>
    <w:rsid w:val="00527CED"/>
    <w:rsid w:val="00527DAC"/>
    <w:rsid w:val="00527DB2"/>
    <w:rsid w:val="00527E23"/>
    <w:rsid w:val="00527E25"/>
    <w:rsid w:val="00527E27"/>
    <w:rsid w:val="00527E59"/>
    <w:rsid w:val="00527E7D"/>
    <w:rsid w:val="00527F13"/>
    <w:rsid w:val="00527F33"/>
    <w:rsid w:val="00527F34"/>
    <w:rsid w:val="00527F65"/>
    <w:rsid w:val="00527FF6"/>
    <w:rsid w:val="0053000C"/>
    <w:rsid w:val="00530036"/>
    <w:rsid w:val="00530074"/>
    <w:rsid w:val="005300C2"/>
    <w:rsid w:val="00530178"/>
    <w:rsid w:val="005301B3"/>
    <w:rsid w:val="005301BA"/>
    <w:rsid w:val="00530226"/>
    <w:rsid w:val="005302A5"/>
    <w:rsid w:val="005302CA"/>
    <w:rsid w:val="005302F5"/>
    <w:rsid w:val="00530350"/>
    <w:rsid w:val="00530376"/>
    <w:rsid w:val="0053037B"/>
    <w:rsid w:val="005303CB"/>
    <w:rsid w:val="005303D5"/>
    <w:rsid w:val="005303E5"/>
    <w:rsid w:val="005303F8"/>
    <w:rsid w:val="00530435"/>
    <w:rsid w:val="005304CF"/>
    <w:rsid w:val="00530517"/>
    <w:rsid w:val="00530546"/>
    <w:rsid w:val="00530556"/>
    <w:rsid w:val="00530596"/>
    <w:rsid w:val="005305BF"/>
    <w:rsid w:val="005305CF"/>
    <w:rsid w:val="00530672"/>
    <w:rsid w:val="005306CC"/>
    <w:rsid w:val="00530708"/>
    <w:rsid w:val="0053074E"/>
    <w:rsid w:val="00530779"/>
    <w:rsid w:val="0053085D"/>
    <w:rsid w:val="0053086D"/>
    <w:rsid w:val="005308A2"/>
    <w:rsid w:val="00530902"/>
    <w:rsid w:val="0053094E"/>
    <w:rsid w:val="0053095C"/>
    <w:rsid w:val="0053097C"/>
    <w:rsid w:val="00530999"/>
    <w:rsid w:val="005309A5"/>
    <w:rsid w:val="005309DE"/>
    <w:rsid w:val="00530A54"/>
    <w:rsid w:val="00530A5B"/>
    <w:rsid w:val="00530AA7"/>
    <w:rsid w:val="00530B00"/>
    <w:rsid w:val="00530B0F"/>
    <w:rsid w:val="00530B7C"/>
    <w:rsid w:val="00530B89"/>
    <w:rsid w:val="00530BFD"/>
    <w:rsid w:val="00530C3C"/>
    <w:rsid w:val="00530C49"/>
    <w:rsid w:val="00530C9B"/>
    <w:rsid w:val="00530DA7"/>
    <w:rsid w:val="00530E06"/>
    <w:rsid w:val="00530E59"/>
    <w:rsid w:val="00530EBA"/>
    <w:rsid w:val="00530F02"/>
    <w:rsid w:val="00530F38"/>
    <w:rsid w:val="00530F48"/>
    <w:rsid w:val="00530FA7"/>
    <w:rsid w:val="00530FD0"/>
    <w:rsid w:val="00531007"/>
    <w:rsid w:val="00531074"/>
    <w:rsid w:val="005310E0"/>
    <w:rsid w:val="005310FF"/>
    <w:rsid w:val="0053114F"/>
    <w:rsid w:val="0053119C"/>
    <w:rsid w:val="005311C0"/>
    <w:rsid w:val="005312C0"/>
    <w:rsid w:val="00531377"/>
    <w:rsid w:val="00531381"/>
    <w:rsid w:val="005313A2"/>
    <w:rsid w:val="0053146D"/>
    <w:rsid w:val="00531476"/>
    <w:rsid w:val="00531494"/>
    <w:rsid w:val="0053149E"/>
    <w:rsid w:val="0053152A"/>
    <w:rsid w:val="005315B7"/>
    <w:rsid w:val="005315D3"/>
    <w:rsid w:val="00531603"/>
    <w:rsid w:val="00531628"/>
    <w:rsid w:val="00531647"/>
    <w:rsid w:val="00531678"/>
    <w:rsid w:val="005316CF"/>
    <w:rsid w:val="005316E7"/>
    <w:rsid w:val="0053176D"/>
    <w:rsid w:val="005317A5"/>
    <w:rsid w:val="00531864"/>
    <w:rsid w:val="00531924"/>
    <w:rsid w:val="0053194B"/>
    <w:rsid w:val="005319A0"/>
    <w:rsid w:val="005319B8"/>
    <w:rsid w:val="00531A31"/>
    <w:rsid w:val="00531A3D"/>
    <w:rsid w:val="00531A41"/>
    <w:rsid w:val="00531A5B"/>
    <w:rsid w:val="00531A5C"/>
    <w:rsid w:val="00531AAF"/>
    <w:rsid w:val="00531B43"/>
    <w:rsid w:val="00531B98"/>
    <w:rsid w:val="00531BEE"/>
    <w:rsid w:val="00531C7D"/>
    <w:rsid w:val="00531CC1"/>
    <w:rsid w:val="00531D03"/>
    <w:rsid w:val="00531D29"/>
    <w:rsid w:val="00531D2B"/>
    <w:rsid w:val="00531E2C"/>
    <w:rsid w:val="00531E7F"/>
    <w:rsid w:val="00531E9A"/>
    <w:rsid w:val="00531ED8"/>
    <w:rsid w:val="00531EDF"/>
    <w:rsid w:val="00531F1D"/>
    <w:rsid w:val="00531F1F"/>
    <w:rsid w:val="00531F69"/>
    <w:rsid w:val="00531F87"/>
    <w:rsid w:val="00531FCD"/>
    <w:rsid w:val="00531FE5"/>
    <w:rsid w:val="00531FFD"/>
    <w:rsid w:val="0053206E"/>
    <w:rsid w:val="00532158"/>
    <w:rsid w:val="005321BB"/>
    <w:rsid w:val="00532265"/>
    <w:rsid w:val="005322A3"/>
    <w:rsid w:val="0053235D"/>
    <w:rsid w:val="00532388"/>
    <w:rsid w:val="00532394"/>
    <w:rsid w:val="005323D7"/>
    <w:rsid w:val="0053241D"/>
    <w:rsid w:val="00532455"/>
    <w:rsid w:val="00532459"/>
    <w:rsid w:val="00532476"/>
    <w:rsid w:val="00532488"/>
    <w:rsid w:val="005324CD"/>
    <w:rsid w:val="005324D5"/>
    <w:rsid w:val="005324D6"/>
    <w:rsid w:val="005324E4"/>
    <w:rsid w:val="00532523"/>
    <w:rsid w:val="0053257B"/>
    <w:rsid w:val="00532652"/>
    <w:rsid w:val="005326F4"/>
    <w:rsid w:val="0053270A"/>
    <w:rsid w:val="00532740"/>
    <w:rsid w:val="00532775"/>
    <w:rsid w:val="005327D7"/>
    <w:rsid w:val="00532846"/>
    <w:rsid w:val="0053285B"/>
    <w:rsid w:val="00532895"/>
    <w:rsid w:val="005328A7"/>
    <w:rsid w:val="0053292A"/>
    <w:rsid w:val="00532976"/>
    <w:rsid w:val="00532982"/>
    <w:rsid w:val="00532984"/>
    <w:rsid w:val="005329BB"/>
    <w:rsid w:val="005329DB"/>
    <w:rsid w:val="005329E0"/>
    <w:rsid w:val="00532A45"/>
    <w:rsid w:val="00532A54"/>
    <w:rsid w:val="00532A71"/>
    <w:rsid w:val="00532AA5"/>
    <w:rsid w:val="00532AB6"/>
    <w:rsid w:val="00532AB9"/>
    <w:rsid w:val="00532B0A"/>
    <w:rsid w:val="00532B36"/>
    <w:rsid w:val="00532C5C"/>
    <w:rsid w:val="00532D04"/>
    <w:rsid w:val="00532D0C"/>
    <w:rsid w:val="00532D15"/>
    <w:rsid w:val="00532D25"/>
    <w:rsid w:val="00532DB2"/>
    <w:rsid w:val="00532DBF"/>
    <w:rsid w:val="00532DCA"/>
    <w:rsid w:val="00532DF0"/>
    <w:rsid w:val="00532E63"/>
    <w:rsid w:val="00532E82"/>
    <w:rsid w:val="00532EB3"/>
    <w:rsid w:val="00532EBC"/>
    <w:rsid w:val="00532F41"/>
    <w:rsid w:val="00532F70"/>
    <w:rsid w:val="00532FA6"/>
    <w:rsid w:val="00532FB4"/>
    <w:rsid w:val="00532FD1"/>
    <w:rsid w:val="00533008"/>
    <w:rsid w:val="005330BE"/>
    <w:rsid w:val="005330FD"/>
    <w:rsid w:val="0053311A"/>
    <w:rsid w:val="0053312D"/>
    <w:rsid w:val="0053314E"/>
    <w:rsid w:val="0053315F"/>
    <w:rsid w:val="0053317A"/>
    <w:rsid w:val="0053317D"/>
    <w:rsid w:val="005331FF"/>
    <w:rsid w:val="00533279"/>
    <w:rsid w:val="0053327E"/>
    <w:rsid w:val="005332E3"/>
    <w:rsid w:val="00533405"/>
    <w:rsid w:val="00533427"/>
    <w:rsid w:val="00533477"/>
    <w:rsid w:val="005334C8"/>
    <w:rsid w:val="00533596"/>
    <w:rsid w:val="005335C6"/>
    <w:rsid w:val="00533642"/>
    <w:rsid w:val="0053365D"/>
    <w:rsid w:val="00533692"/>
    <w:rsid w:val="005336C0"/>
    <w:rsid w:val="005336F3"/>
    <w:rsid w:val="00533773"/>
    <w:rsid w:val="005337A6"/>
    <w:rsid w:val="005337AD"/>
    <w:rsid w:val="005337BD"/>
    <w:rsid w:val="005337C5"/>
    <w:rsid w:val="00533802"/>
    <w:rsid w:val="0053382A"/>
    <w:rsid w:val="005338CF"/>
    <w:rsid w:val="005338E2"/>
    <w:rsid w:val="0053399A"/>
    <w:rsid w:val="00533A2F"/>
    <w:rsid w:val="00533A84"/>
    <w:rsid w:val="00533A9C"/>
    <w:rsid w:val="00533AD7"/>
    <w:rsid w:val="00533AF2"/>
    <w:rsid w:val="00533B08"/>
    <w:rsid w:val="00533B31"/>
    <w:rsid w:val="00533B89"/>
    <w:rsid w:val="00533B8B"/>
    <w:rsid w:val="00533C00"/>
    <w:rsid w:val="00533C03"/>
    <w:rsid w:val="00533C1A"/>
    <w:rsid w:val="00533C29"/>
    <w:rsid w:val="00533C38"/>
    <w:rsid w:val="00533C4D"/>
    <w:rsid w:val="00533C74"/>
    <w:rsid w:val="00533CB2"/>
    <w:rsid w:val="00533D17"/>
    <w:rsid w:val="00533D8F"/>
    <w:rsid w:val="00533DC1"/>
    <w:rsid w:val="00533DC2"/>
    <w:rsid w:val="00533DCF"/>
    <w:rsid w:val="00533DE5"/>
    <w:rsid w:val="00533E23"/>
    <w:rsid w:val="00533E2D"/>
    <w:rsid w:val="00533E43"/>
    <w:rsid w:val="00533EDA"/>
    <w:rsid w:val="00533EE4"/>
    <w:rsid w:val="00533F0D"/>
    <w:rsid w:val="00533F4F"/>
    <w:rsid w:val="00533FC0"/>
    <w:rsid w:val="00533FC2"/>
    <w:rsid w:val="00533FC9"/>
    <w:rsid w:val="00533FE6"/>
    <w:rsid w:val="00533FE8"/>
    <w:rsid w:val="00534040"/>
    <w:rsid w:val="00534127"/>
    <w:rsid w:val="0053417D"/>
    <w:rsid w:val="005341CB"/>
    <w:rsid w:val="0053420D"/>
    <w:rsid w:val="0053421D"/>
    <w:rsid w:val="005342CC"/>
    <w:rsid w:val="0053430B"/>
    <w:rsid w:val="00534344"/>
    <w:rsid w:val="00534368"/>
    <w:rsid w:val="005343BC"/>
    <w:rsid w:val="005343E7"/>
    <w:rsid w:val="005343FE"/>
    <w:rsid w:val="0053441F"/>
    <w:rsid w:val="00534446"/>
    <w:rsid w:val="00534448"/>
    <w:rsid w:val="0053447D"/>
    <w:rsid w:val="00534492"/>
    <w:rsid w:val="005344BA"/>
    <w:rsid w:val="005344E0"/>
    <w:rsid w:val="00534537"/>
    <w:rsid w:val="00534596"/>
    <w:rsid w:val="005345CD"/>
    <w:rsid w:val="005345FC"/>
    <w:rsid w:val="00534626"/>
    <w:rsid w:val="00534793"/>
    <w:rsid w:val="0053479E"/>
    <w:rsid w:val="00534831"/>
    <w:rsid w:val="0053483E"/>
    <w:rsid w:val="005348AC"/>
    <w:rsid w:val="005348C2"/>
    <w:rsid w:val="005348C8"/>
    <w:rsid w:val="00534900"/>
    <w:rsid w:val="0053492A"/>
    <w:rsid w:val="0053494E"/>
    <w:rsid w:val="005349A1"/>
    <w:rsid w:val="005349A5"/>
    <w:rsid w:val="00534A04"/>
    <w:rsid w:val="00534A50"/>
    <w:rsid w:val="00534A66"/>
    <w:rsid w:val="00534ABD"/>
    <w:rsid w:val="00534AC0"/>
    <w:rsid w:val="00534B33"/>
    <w:rsid w:val="00534B8F"/>
    <w:rsid w:val="00534B98"/>
    <w:rsid w:val="00534BD6"/>
    <w:rsid w:val="00534BFE"/>
    <w:rsid w:val="00534C68"/>
    <w:rsid w:val="00534CE5"/>
    <w:rsid w:val="00534D80"/>
    <w:rsid w:val="00534DB7"/>
    <w:rsid w:val="00534DF0"/>
    <w:rsid w:val="00534E33"/>
    <w:rsid w:val="00534E43"/>
    <w:rsid w:val="00534E4F"/>
    <w:rsid w:val="00534E77"/>
    <w:rsid w:val="00534E80"/>
    <w:rsid w:val="00534EEE"/>
    <w:rsid w:val="00534F14"/>
    <w:rsid w:val="00534F40"/>
    <w:rsid w:val="00534F4C"/>
    <w:rsid w:val="0053509C"/>
    <w:rsid w:val="005350A0"/>
    <w:rsid w:val="00535151"/>
    <w:rsid w:val="0053523D"/>
    <w:rsid w:val="0053525D"/>
    <w:rsid w:val="005352BA"/>
    <w:rsid w:val="0053532F"/>
    <w:rsid w:val="00535333"/>
    <w:rsid w:val="0053538B"/>
    <w:rsid w:val="005353E4"/>
    <w:rsid w:val="005354E1"/>
    <w:rsid w:val="005354E3"/>
    <w:rsid w:val="005354F4"/>
    <w:rsid w:val="0053552E"/>
    <w:rsid w:val="00535580"/>
    <w:rsid w:val="0053560F"/>
    <w:rsid w:val="00535631"/>
    <w:rsid w:val="00535632"/>
    <w:rsid w:val="00535639"/>
    <w:rsid w:val="0053566F"/>
    <w:rsid w:val="005356EA"/>
    <w:rsid w:val="00535738"/>
    <w:rsid w:val="005357B1"/>
    <w:rsid w:val="005357BA"/>
    <w:rsid w:val="005357C0"/>
    <w:rsid w:val="00535872"/>
    <w:rsid w:val="005358A6"/>
    <w:rsid w:val="005358C6"/>
    <w:rsid w:val="005358CF"/>
    <w:rsid w:val="005358E1"/>
    <w:rsid w:val="00535955"/>
    <w:rsid w:val="0053595A"/>
    <w:rsid w:val="0053595B"/>
    <w:rsid w:val="00535972"/>
    <w:rsid w:val="00535991"/>
    <w:rsid w:val="0053599E"/>
    <w:rsid w:val="005359E6"/>
    <w:rsid w:val="005359F0"/>
    <w:rsid w:val="00535A27"/>
    <w:rsid w:val="00535A45"/>
    <w:rsid w:val="00535A47"/>
    <w:rsid w:val="00535A6B"/>
    <w:rsid w:val="00535AAB"/>
    <w:rsid w:val="00535B30"/>
    <w:rsid w:val="00535B4B"/>
    <w:rsid w:val="00535BB9"/>
    <w:rsid w:val="00535BC6"/>
    <w:rsid w:val="00535BE2"/>
    <w:rsid w:val="00535BFA"/>
    <w:rsid w:val="00535C3C"/>
    <w:rsid w:val="00535C4B"/>
    <w:rsid w:val="00535C92"/>
    <w:rsid w:val="00535D08"/>
    <w:rsid w:val="00535D3A"/>
    <w:rsid w:val="00535D4F"/>
    <w:rsid w:val="00535D53"/>
    <w:rsid w:val="00535D55"/>
    <w:rsid w:val="00535DA5"/>
    <w:rsid w:val="00535DCA"/>
    <w:rsid w:val="00535DEC"/>
    <w:rsid w:val="00535DEE"/>
    <w:rsid w:val="00535E0D"/>
    <w:rsid w:val="00535E4B"/>
    <w:rsid w:val="00535E6A"/>
    <w:rsid w:val="00535E89"/>
    <w:rsid w:val="00535EA7"/>
    <w:rsid w:val="00535EBC"/>
    <w:rsid w:val="00535ECE"/>
    <w:rsid w:val="00535ED0"/>
    <w:rsid w:val="00535EDB"/>
    <w:rsid w:val="00535EDD"/>
    <w:rsid w:val="00535EE5"/>
    <w:rsid w:val="00535F59"/>
    <w:rsid w:val="00535F62"/>
    <w:rsid w:val="00535FA8"/>
    <w:rsid w:val="00535FDA"/>
    <w:rsid w:val="00536020"/>
    <w:rsid w:val="0053603B"/>
    <w:rsid w:val="0053603C"/>
    <w:rsid w:val="0053604B"/>
    <w:rsid w:val="00536134"/>
    <w:rsid w:val="0053616D"/>
    <w:rsid w:val="0053617D"/>
    <w:rsid w:val="005361B5"/>
    <w:rsid w:val="005361E0"/>
    <w:rsid w:val="00536274"/>
    <w:rsid w:val="005362E5"/>
    <w:rsid w:val="00536334"/>
    <w:rsid w:val="0053638B"/>
    <w:rsid w:val="005363BD"/>
    <w:rsid w:val="005363F3"/>
    <w:rsid w:val="00536412"/>
    <w:rsid w:val="00536419"/>
    <w:rsid w:val="00536434"/>
    <w:rsid w:val="005364F9"/>
    <w:rsid w:val="00536571"/>
    <w:rsid w:val="005365CC"/>
    <w:rsid w:val="005365F5"/>
    <w:rsid w:val="00536632"/>
    <w:rsid w:val="0053665A"/>
    <w:rsid w:val="00536670"/>
    <w:rsid w:val="005366A8"/>
    <w:rsid w:val="005367C6"/>
    <w:rsid w:val="00536880"/>
    <w:rsid w:val="00536882"/>
    <w:rsid w:val="00536896"/>
    <w:rsid w:val="0053689E"/>
    <w:rsid w:val="005368FB"/>
    <w:rsid w:val="00536920"/>
    <w:rsid w:val="00536957"/>
    <w:rsid w:val="00536A1E"/>
    <w:rsid w:val="00536A22"/>
    <w:rsid w:val="00536A50"/>
    <w:rsid w:val="00536A97"/>
    <w:rsid w:val="00536ABA"/>
    <w:rsid w:val="00536ABD"/>
    <w:rsid w:val="00536AF9"/>
    <w:rsid w:val="00536B80"/>
    <w:rsid w:val="00536B8D"/>
    <w:rsid w:val="00536B9D"/>
    <w:rsid w:val="00536BBE"/>
    <w:rsid w:val="00536C09"/>
    <w:rsid w:val="00536C29"/>
    <w:rsid w:val="00536C52"/>
    <w:rsid w:val="00536C84"/>
    <w:rsid w:val="00536C97"/>
    <w:rsid w:val="00536D46"/>
    <w:rsid w:val="00536D52"/>
    <w:rsid w:val="00536D5E"/>
    <w:rsid w:val="00536D78"/>
    <w:rsid w:val="00536D7C"/>
    <w:rsid w:val="00536D84"/>
    <w:rsid w:val="00536E37"/>
    <w:rsid w:val="00536E43"/>
    <w:rsid w:val="00536E48"/>
    <w:rsid w:val="00536E70"/>
    <w:rsid w:val="00536F57"/>
    <w:rsid w:val="00536F77"/>
    <w:rsid w:val="00536F95"/>
    <w:rsid w:val="00536FE1"/>
    <w:rsid w:val="0053701A"/>
    <w:rsid w:val="00537041"/>
    <w:rsid w:val="0053705E"/>
    <w:rsid w:val="00537096"/>
    <w:rsid w:val="005370D8"/>
    <w:rsid w:val="0053726D"/>
    <w:rsid w:val="005372BF"/>
    <w:rsid w:val="00537303"/>
    <w:rsid w:val="005373B7"/>
    <w:rsid w:val="005373D7"/>
    <w:rsid w:val="005373DE"/>
    <w:rsid w:val="00537455"/>
    <w:rsid w:val="00537462"/>
    <w:rsid w:val="00537480"/>
    <w:rsid w:val="0053753B"/>
    <w:rsid w:val="00537603"/>
    <w:rsid w:val="005376C3"/>
    <w:rsid w:val="005376DD"/>
    <w:rsid w:val="005377A7"/>
    <w:rsid w:val="005377B9"/>
    <w:rsid w:val="005377F1"/>
    <w:rsid w:val="0053784F"/>
    <w:rsid w:val="00537873"/>
    <w:rsid w:val="0053789F"/>
    <w:rsid w:val="005378C1"/>
    <w:rsid w:val="005378E1"/>
    <w:rsid w:val="005378E8"/>
    <w:rsid w:val="0053796C"/>
    <w:rsid w:val="005379BC"/>
    <w:rsid w:val="005379BE"/>
    <w:rsid w:val="005379D9"/>
    <w:rsid w:val="00537A3D"/>
    <w:rsid w:val="00537A5D"/>
    <w:rsid w:val="00537A79"/>
    <w:rsid w:val="00537BA0"/>
    <w:rsid w:val="00537C10"/>
    <w:rsid w:val="00537C50"/>
    <w:rsid w:val="00537C80"/>
    <w:rsid w:val="00537CCD"/>
    <w:rsid w:val="00537CEC"/>
    <w:rsid w:val="00537CFB"/>
    <w:rsid w:val="00537D13"/>
    <w:rsid w:val="00537D4C"/>
    <w:rsid w:val="00537D55"/>
    <w:rsid w:val="00537DA9"/>
    <w:rsid w:val="00537DC3"/>
    <w:rsid w:val="00537DDA"/>
    <w:rsid w:val="00537E25"/>
    <w:rsid w:val="00537E29"/>
    <w:rsid w:val="00537EC7"/>
    <w:rsid w:val="00537EDD"/>
    <w:rsid w:val="00537F16"/>
    <w:rsid w:val="00537F33"/>
    <w:rsid w:val="00537F3B"/>
    <w:rsid w:val="00537F82"/>
    <w:rsid w:val="00537F99"/>
    <w:rsid w:val="00537F9B"/>
    <w:rsid w:val="00537FB1"/>
    <w:rsid w:val="00537FCA"/>
    <w:rsid w:val="00537FCE"/>
    <w:rsid w:val="00540042"/>
    <w:rsid w:val="00540053"/>
    <w:rsid w:val="00540098"/>
    <w:rsid w:val="005400BE"/>
    <w:rsid w:val="005400DF"/>
    <w:rsid w:val="00540110"/>
    <w:rsid w:val="005401E9"/>
    <w:rsid w:val="0054021A"/>
    <w:rsid w:val="00540239"/>
    <w:rsid w:val="00540240"/>
    <w:rsid w:val="00540259"/>
    <w:rsid w:val="0054027E"/>
    <w:rsid w:val="00540287"/>
    <w:rsid w:val="005402A0"/>
    <w:rsid w:val="00540305"/>
    <w:rsid w:val="0054038B"/>
    <w:rsid w:val="0054038D"/>
    <w:rsid w:val="005403E8"/>
    <w:rsid w:val="005403F7"/>
    <w:rsid w:val="00540424"/>
    <w:rsid w:val="0054051A"/>
    <w:rsid w:val="00540554"/>
    <w:rsid w:val="005405DA"/>
    <w:rsid w:val="00540611"/>
    <w:rsid w:val="0054075C"/>
    <w:rsid w:val="00540798"/>
    <w:rsid w:val="005407C9"/>
    <w:rsid w:val="005407EE"/>
    <w:rsid w:val="00540858"/>
    <w:rsid w:val="005408E1"/>
    <w:rsid w:val="005408E3"/>
    <w:rsid w:val="005408EC"/>
    <w:rsid w:val="005408F6"/>
    <w:rsid w:val="00540901"/>
    <w:rsid w:val="00540909"/>
    <w:rsid w:val="0054091A"/>
    <w:rsid w:val="00540934"/>
    <w:rsid w:val="00540968"/>
    <w:rsid w:val="00540A4F"/>
    <w:rsid w:val="00540AC3"/>
    <w:rsid w:val="00540AE1"/>
    <w:rsid w:val="00540B3C"/>
    <w:rsid w:val="00540B60"/>
    <w:rsid w:val="00540B76"/>
    <w:rsid w:val="00540BAE"/>
    <w:rsid w:val="00540BCF"/>
    <w:rsid w:val="00540BD4"/>
    <w:rsid w:val="00540BD5"/>
    <w:rsid w:val="00540BE6"/>
    <w:rsid w:val="00540C13"/>
    <w:rsid w:val="00540C17"/>
    <w:rsid w:val="00540C4B"/>
    <w:rsid w:val="00540CB3"/>
    <w:rsid w:val="00540CC4"/>
    <w:rsid w:val="00540D5E"/>
    <w:rsid w:val="00540D8C"/>
    <w:rsid w:val="00540DDA"/>
    <w:rsid w:val="00540DFC"/>
    <w:rsid w:val="00540E24"/>
    <w:rsid w:val="00540E28"/>
    <w:rsid w:val="00540E7F"/>
    <w:rsid w:val="00540E96"/>
    <w:rsid w:val="00540E99"/>
    <w:rsid w:val="00540EA8"/>
    <w:rsid w:val="00540FC8"/>
    <w:rsid w:val="00540FE2"/>
    <w:rsid w:val="00541035"/>
    <w:rsid w:val="00541036"/>
    <w:rsid w:val="00541063"/>
    <w:rsid w:val="0054107C"/>
    <w:rsid w:val="00541094"/>
    <w:rsid w:val="005410AC"/>
    <w:rsid w:val="005410AE"/>
    <w:rsid w:val="005410B8"/>
    <w:rsid w:val="005410BE"/>
    <w:rsid w:val="0054110A"/>
    <w:rsid w:val="0054110F"/>
    <w:rsid w:val="00541128"/>
    <w:rsid w:val="00541164"/>
    <w:rsid w:val="0054117D"/>
    <w:rsid w:val="00541196"/>
    <w:rsid w:val="005411C3"/>
    <w:rsid w:val="005411F4"/>
    <w:rsid w:val="0054123F"/>
    <w:rsid w:val="00541249"/>
    <w:rsid w:val="00541255"/>
    <w:rsid w:val="00541257"/>
    <w:rsid w:val="00541283"/>
    <w:rsid w:val="005412D9"/>
    <w:rsid w:val="005412DA"/>
    <w:rsid w:val="00541308"/>
    <w:rsid w:val="00541312"/>
    <w:rsid w:val="00541346"/>
    <w:rsid w:val="00541384"/>
    <w:rsid w:val="0054138A"/>
    <w:rsid w:val="005413F8"/>
    <w:rsid w:val="0054140E"/>
    <w:rsid w:val="0054146E"/>
    <w:rsid w:val="00541472"/>
    <w:rsid w:val="00541488"/>
    <w:rsid w:val="0054149D"/>
    <w:rsid w:val="005414EB"/>
    <w:rsid w:val="0054151F"/>
    <w:rsid w:val="0054158A"/>
    <w:rsid w:val="0054158E"/>
    <w:rsid w:val="005415A8"/>
    <w:rsid w:val="005415CB"/>
    <w:rsid w:val="00541622"/>
    <w:rsid w:val="00541677"/>
    <w:rsid w:val="00541701"/>
    <w:rsid w:val="0054170A"/>
    <w:rsid w:val="0054171B"/>
    <w:rsid w:val="00541733"/>
    <w:rsid w:val="00541756"/>
    <w:rsid w:val="005417AD"/>
    <w:rsid w:val="005418B9"/>
    <w:rsid w:val="005418CA"/>
    <w:rsid w:val="00541913"/>
    <w:rsid w:val="0054193C"/>
    <w:rsid w:val="005419AF"/>
    <w:rsid w:val="005419DE"/>
    <w:rsid w:val="00541A68"/>
    <w:rsid w:val="00541AD7"/>
    <w:rsid w:val="00541AF1"/>
    <w:rsid w:val="00541B40"/>
    <w:rsid w:val="00541B65"/>
    <w:rsid w:val="00541B8B"/>
    <w:rsid w:val="00541BA5"/>
    <w:rsid w:val="00541BAD"/>
    <w:rsid w:val="00541BB3"/>
    <w:rsid w:val="00541BE7"/>
    <w:rsid w:val="00541C37"/>
    <w:rsid w:val="00541C44"/>
    <w:rsid w:val="00541C46"/>
    <w:rsid w:val="00541C50"/>
    <w:rsid w:val="00541CB4"/>
    <w:rsid w:val="00541CD7"/>
    <w:rsid w:val="00541D5B"/>
    <w:rsid w:val="00541D90"/>
    <w:rsid w:val="00541DC1"/>
    <w:rsid w:val="00541E0F"/>
    <w:rsid w:val="00541E15"/>
    <w:rsid w:val="00541E5D"/>
    <w:rsid w:val="00541EC9"/>
    <w:rsid w:val="00541EE9"/>
    <w:rsid w:val="00541F75"/>
    <w:rsid w:val="00541F91"/>
    <w:rsid w:val="00541FF7"/>
    <w:rsid w:val="00542016"/>
    <w:rsid w:val="00542033"/>
    <w:rsid w:val="005420E3"/>
    <w:rsid w:val="005420F4"/>
    <w:rsid w:val="005420F7"/>
    <w:rsid w:val="00542105"/>
    <w:rsid w:val="00542148"/>
    <w:rsid w:val="0054226D"/>
    <w:rsid w:val="0054227E"/>
    <w:rsid w:val="00542284"/>
    <w:rsid w:val="0054234A"/>
    <w:rsid w:val="00542385"/>
    <w:rsid w:val="00542386"/>
    <w:rsid w:val="005423D8"/>
    <w:rsid w:val="0054241C"/>
    <w:rsid w:val="00542425"/>
    <w:rsid w:val="00542426"/>
    <w:rsid w:val="005424DC"/>
    <w:rsid w:val="005424E1"/>
    <w:rsid w:val="0054252F"/>
    <w:rsid w:val="0054254D"/>
    <w:rsid w:val="00542565"/>
    <w:rsid w:val="00542569"/>
    <w:rsid w:val="005425EA"/>
    <w:rsid w:val="005425FE"/>
    <w:rsid w:val="00542616"/>
    <w:rsid w:val="0054263B"/>
    <w:rsid w:val="00542699"/>
    <w:rsid w:val="005426AD"/>
    <w:rsid w:val="005426BD"/>
    <w:rsid w:val="005426F5"/>
    <w:rsid w:val="00542738"/>
    <w:rsid w:val="005427EA"/>
    <w:rsid w:val="00542815"/>
    <w:rsid w:val="0054282B"/>
    <w:rsid w:val="0054286D"/>
    <w:rsid w:val="00542871"/>
    <w:rsid w:val="00542879"/>
    <w:rsid w:val="005428C9"/>
    <w:rsid w:val="005428D0"/>
    <w:rsid w:val="00542963"/>
    <w:rsid w:val="00542964"/>
    <w:rsid w:val="005429C3"/>
    <w:rsid w:val="00542A25"/>
    <w:rsid w:val="00542A84"/>
    <w:rsid w:val="00542AA0"/>
    <w:rsid w:val="00542AD7"/>
    <w:rsid w:val="00542ADB"/>
    <w:rsid w:val="00542B54"/>
    <w:rsid w:val="00542C5A"/>
    <w:rsid w:val="00542C79"/>
    <w:rsid w:val="00542C8D"/>
    <w:rsid w:val="00542D14"/>
    <w:rsid w:val="00542D30"/>
    <w:rsid w:val="00542D45"/>
    <w:rsid w:val="00542D5A"/>
    <w:rsid w:val="00542DC5"/>
    <w:rsid w:val="00542E22"/>
    <w:rsid w:val="00542E42"/>
    <w:rsid w:val="00542E8C"/>
    <w:rsid w:val="00542E94"/>
    <w:rsid w:val="00542EA6"/>
    <w:rsid w:val="00542EE8"/>
    <w:rsid w:val="00542F19"/>
    <w:rsid w:val="00542F8B"/>
    <w:rsid w:val="00542FD0"/>
    <w:rsid w:val="00542FDE"/>
    <w:rsid w:val="00543008"/>
    <w:rsid w:val="00543074"/>
    <w:rsid w:val="005430A4"/>
    <w:rsid w:val="005430C4"/>
    <w:rsid w:val="005430D5"/>
    <w:rsid w:val="00543129"/>
    <w:rsid w:val="0054319F"/>
    <w:rsid w:val="005431C1"/>
    <w:rsid w:val="005431CF"/>
    <w:rsid w:val="005431E3"/>
    <w:rsid w:val="00543219"/>
    <w:rsid w:val="00543285"/>
    <w:rsid w:val="0054332F"/>
    <w:rsid w:val="0054334E"/>
    <w:rsid w:val="00543365"/>
    <w:rsid w:val="005433F3"/>
    <w:rsid w:val="005434D7"/>
    <w:rsid w:val="00543525"/>
    <w:rsid w:val="00543599"/>
    <w:rsid w:val="005435D8"/>
    <w:rsid w:val="00543618"/>
    <w:rsid w:val="0054365C"/>
    <w:rsid w:val="00543672"/>
    <w:rsid w:val="005436D2"/>
    <w:rsid w:val="005436EC"/>
    <w:rsid w:val="0054371D"/>
    <w:rsid w:val="00543735"/>
    <w:rsid w:val="0054373E"/>
    <w:rsid w:val="00543808"/>
    <w:rsid w:val="00543877"/>
    <w:rsid w:val="00543879"/>
    <w:rsid w:val="00543908"/>
    <w:rsid w:val="00543928"/>
    <w:rsid w:val="0054393F"/>
    <w:rsid w:val="00543946"/>
    <w:rsid w:val="0054396A"/>
    <w:rsid w:val="0054396D"/>
    <w:rsid w:val="0054397E"/>
    <w:rsid w:val="005439BB"/>
    <w:rsid w:val="00543A3F"/>
    <w:rsid w:val="00543A5E"/>
    <w:rsid w:val="00543A9B"/>
    <w:rsid w:val="00543AB6"/>
    <w:rsid w:val="00543AF1"/>
    <w:rsid w:val="00543AF7"/>
    <w:rsid w:val="00543B12"/>
    <w:rsid w:val="00543B3A"/>
    <w:rsid w:val="00543B9B"/>
    <w:rsid w:val="00543BA1"/>
    <w:rsid w:val="00543C0E"/>
    <w:rsid w:val="00543C57"/>
    <w:rsid w:val="00543C79"/>
    <w:rsid w:val="00543CBA"/>
    <w:rsid w:val="00543DA7"/>
    <w:rsid w:val="00543DCC"/>
    <w:rsid w:val="00543E03"/>
    <w:rsid w:val="00543E9C"/>
    <w:rsid w:val="00543EF3"/>
    <w:rsid w:val="00543F48"/>
    <w:rsid w:val="00543F63"/>
    <w:rsid w:val="00543F69"/>
    <w:rsid w:val="00543F99"/>
    <w:rsid w:val="00543FBB"/>
    <w:rsid w:val="00543FDE"/>
    <w:rsid w:val="00543FF7"/>
    <w:rsid w:val="0054407E"/>
    <w:rsid w:val="0054414D"/>
    <w:rsid w:val="00544188"/>
    <w:rsid w:val="005441EF"/>
    <w:rsid w:val="0054424D"/>
    <w:rsid w:val="0054425D"/>
    <w:rsid w:val="00544267"/>
    <w:rsid w:val="0054427B"/>
    <w:rsid w:val="00544283"/>
    <w:rsid w:val="005442AC"/>
    <w:rsid w:val="005442E3"/>
    <w:rsid w:val="0054433D"/>
    <w:rsid w:val="00544367"/>
    <w:rsid w:val="005443B0"/>
    <w:rsid w:val="00544402"/>
    <w:rsid w:val="00544428"/>
    <w:rsid w:val="0054448D"/>
    <w:rsid w:val="005444F2"/>
    <w:rsid w:val="005444FD"/>
    <w:rsid w:val="005445DF"/>
    <w:rsid w:val="005445F6"/>
    <w:rsid w:val="00544671"/>
    <w:rsid w:val="005446C3"/>
    <w:rsid w:val="0054476A"/>
    <w:rsid w:val="005447B3"/>
    <w:rsid w:val="005447D4"/>
    <w:rsid w:val="005447E4"/>
    <w:rsid w:val="005447F0"/>
    <w:rsid w:val="005447F4"/>
    <w:rsid w:val="005447F9"/>
    <w:rsid w:val="00544806"/>
    <w:rsid w:val="0054480B"/>
    <w:rsid w:val="00544845"/>
    <w:rsid w:val="00544867"/>
    <w:rsid w:val="00544903"/>
    <w:rsid w:val="00544974"/>
    <w:rsid w:val="00544989"/>
    <w:rsid w:val="00544A12"/>
    <w:rsid w:val="00544A43"/>
    <w:rsid w:val="00544A54"/>
    <w:rsid w:val="00544A63"/>
    <w:rsid w:val="00544ABD"/>
    <w:rsid w:val="00544B46"/>
    <w:rsid w:val="00544B6A"/>
    <w:rsid w:val="00544BF9"/>
    <w:rsid w:val="00544CA2"/>
    <w:rsid w:val="00544CA9"/>
    <w:rsid w:val="00544CAF"/>
    <w:rsid w:val="00544CCB"/>
    <w:rsid w:val="00544CFC"/>
    <w:rsid w:val="00544CFF"/>
    <w:rsid w:val="00544D46"/>
    <w:rsid w:val="00544D4D"/>
    <w:rsid w:val="00544D6C"/>
    <w:rsid w:val="00544EDD"/>
    <w:rsid w:val="00544EF7"/>
    <w:rsid w:val="00544F12"/>
    <w:rsid w:val="00544F21"/>
    <w:rsid w:val="00544F43"/>
    <w:rsid w:val="00544F65"/>
    <w:rsid w:val="00544F6F"/>
    <w:rsid w:val="00544FA8"/>
    <w:rsid w:val="0054500B"/>
    <w:rsid w:val="00545016"/>
    <w:rsid w:val="0054503F"/>
    <w:rsid w:val="005450A2"/>
    <w:rsid w:val="005450A6"/>
    <w:rsid w:val="005450BF"/>
    <w:rsid w:val="005450F1"/>
    <w:rsid w:val="0054511F"/>
    <w:rsid w:val="005451F0"/>
    <w:rsid w:val="00545218"/>
    <w:rsid w:val="00545255"/>
    <w:rsid w:val="005452D0"/>
    <w:rsid w:val="005452DC"/>
    <w:rsid w:val="005452F1"/>
    <w:rsid w:val="005452F5"/>
    <w:rsid w:val="0054539A"/>
    <w:rsid w:val="005453B5"/>
    <w:rsid w:val="005453B8"/>
    <w:rsid w:val="005453C2"/>
    <w:rsid w:val="005453E3"/>
    <w:rsid w:val="0054544D"/>
    <w:rsid w:val="00545452"/>
    <w:rsid w:val="00545467"/>
    <w:rsid w:val="005454C4"/>
    <w:rsid w:val="0054556A"/>
    <w:rsid w:val="005455B1"/>
    <w:rsid w:val="005455EF"/>
    <w:rsid w:val="0054563A"/>
    <w:rsid w:val="0054565C"/>
    <w:rsid w:val="005456DF"/>
    <w:rsid w:val="0054570C"/>
    <w:rsid w:val="0054571B"/>
    <w:rsid w:val="0054575C"/>
    <w:rsid w:val="00545787"/>
    <w:rsid w:val="005457B8"/>
    <w:rsid w:val="005457BA"/>
    <w:rsid w:val="00545812"/>
    <w:rsid w:val="00545858"/>
    <w:rsid w:val="0054586C"/>
    <w:rsid w:val="005458FF"/>
    <w:rsid w:val="00545906"/>
    <w:rsid w:val="0054590C"/>
    <w:rsid w:val="0054592D"/>
    <w:rsid w:val="00545984"/>
    <w:rsid w:val="00545993"/>
    <w:rsid w:val="00545997"/>
    <w:rsid w:val="005459BB"/>
    <w:rsid w:val="00545A05"/>
    <w:rsid w:val="00545A06"/>
    <w:rsid w:val="00545A71"/>
    <w:rsid w:val="00545AB5"/>
    <w:rsid w:val="00545B1A"/>
    <w:rsid w:val="00545B1E"/>
    <w:rsid w:val="00545B7E"/>
    <w:rsid w:val="00545BB9"/>
    <w:rsid w:val="00545BEA"/>
    <w:rsid w:val="00545BFC"/>
    <w:rsid w:val="00545BFE"/>
    <w:rsid w:val="00545CCB"/>
    <w:rsid w:val="00545D5B"/>
    <w:rsid w:val="00545D84"/>
    <w:rsid w:val="00545D8C"/>
    <w:rsid w:val="00545DDE"/>
    <w:rsid w:val="00545DF2"/>
    <w:rsid w:val="00545DFA"/>
    <w:rsid w:val="00545E19"/>
    <w:rsid w:val="00545E30"/>
    <w:rsid w:val="00545E41"/>
    <w:rsid w:val="00545E7D"/>
    <w:rsid w:val="00545F01"/>
    <w:rsid w:val="00545FBD"/>
    <w:rsid w:val="00545FBE"/>
    <w:rsid w:val="0054605C"/>
    <w:rsid w:val="005460E2"/>
    <w:rsid w:val="00546137"/>
    <w:rsid w:val="005461AF"/>
    <w:rsid w:val="005461B2"/>
    <w:rsid w:val="00546218"/>
    <w:rsid w:val="00546260"/>
    <w:rsid w:val="0054626C"/>
    <w:rsid w:val="0054628F"/>
    <w:rsid w:val="00546298"/>
    <w:rsid w:val="0054630E"/>
    <w:rsid w:val="0054631D"/>
    <w:rsid w:val="0054633C"/>
    <w:rsid w:val="0054635A"/>
    <w:rsid w:val="0054635F"/>
    <w:rsid w:val="0054637B"/>
    <w:rsid w:val="00546394"/>
    <w:rsid w:val="00546397"/>
    <w:rsid w:val="0054639B"/>
    <w:rsid w:val="005463A4"/>
    <w:rsid w:val="005463BB"/>
    <w:rsid w:val="005463DC"/>
    <w:rsid w:val="005463E8"/>
    <w:rsid w:val="005463EF"/>
    <w:rsid w:val="005463FA"/>
    <w:rsid w:val="0054640E"/>
    <w:rsid w:val="00546461"/>
    <w:rsid w:val="00546464"/>
    <w:rsid w:val="005464BA"/>
    <w:rsid w:val="005464E0"/>
    <w:rsid w:val="005464F2"/>
    <w:rsid w:val="0054650B"/>
    <w:rsid w:val="0054652C"/>
    <w:rsid w:val="0054652D"/>
    <w:rsid w:val="0054659F"/>
    <w:rsid w:val="005465A4"/>
    <w:rsid w:val="0054662E"/>
    <w:rsid w:val="0054664B"/>
    <w:rsid w:val="0054665C"/>
    <w:rsid w:val="0054666F"/>
    <w:rsid w:val="005466EA"/>
    <w:rsid w:val="005467E6"/>
    <w:rsid w:val="00546814"/>
    <w:rsid w:val="0054685B"/>
    <w:rsid w:val="00546887"/>
    <w:rsid w:val="0054691A"/>
    <w:rsid w:val="0054693A"/>
    <w:rsid w:val="00546952"/>
    <w:rsid w:val="005469E5"/>
    <w:rsid w:val="00546A48"/>
    <w:rsid w:val="00546B0C"/>
    <w:rsid w:val="00546B99"/>
    <w:rsid w:val="00546C8F"/>
    <w:rsid w:val="00546C96"/>
    <w:rsid w:val="00546CC5"/>
    <w:rsid w:val="00546CE3"/>
    <w:rsid w:val="00546CF3"/>
    <w:rsid w:val="00546D16"/>
    <w:rsid w:val="00546D28"/>
    <w:rsid w:val="00546D2E"/>
    <w:rsid w:val="00546D5A"/>
    <w:rsid w:val="00546D5D"/>
    <w:rsid w:val="00546D64"/>
    <w:rsid w:val="00546D9C"/>
    <w:rsid w:val="00546D9D"/>
    <w:rsid w:val="00546E55"/>
    <w:rsid w:val="00546ECD"/>
    <w:rsid w:val="00546F12"/>
    <w:rsid w:val="00546F3D"/>
    <w:rsid w:val="00546F68"/>
    <w:rsid w:val="00546FC6"/>
    <w:rsid w:val="00547030"/>
    <w:rsid w:val="00547079"/>
    <w:rsid w:val="0054707E"/>
    <w:rsid w:val="005470AA"/>
    <w:rsid w:val="0054711C"/>
    <w:rsid w:val="0054716E"/>
    <w:rsid w:val="00547185"/>
    <w:rsid w:val="00547187"/>
    <w:rsid w:val="0054719C"/>
    <w:rsid w:val="005471B3"/>
    <w:rsid w:val="005471CD"/>
    <w:rsid w:val="00547207"/>
    <w:rsid w:val="00547260"/>
    <w:rsid w:val="0054727E"/>
    <w:rsid w:val="00547280"/>
    <w:rsid w:val="00547293"/>
    <w:rsid w:val="005472CB"/>
    <w:rsid w:val="005472D6"/>
    <w:rsid w:val="00547313"/>
    <w:rsid w:val="00547322"/>
    <w:rsid w:val="0054732C"/>
    <w:rsid w:val="005473AD"/>
    <w:rsid w:val="005473C4"/>
    <w:rsid w:val="005473F9"/>
    <w:rsid w:val="0054740E"/>
    <w:rsid w:val="00547410"/>
    <w:rsid w:val="00547430"/>
    <w:rsid w:val="005474ED"/>
    <w:rsid w:val="00547508"/>
    <w:rsid w:val="005475E6"/>
    <w:rsid w:val="00547653"/>
    <w:rsid w:val="00547667"/>
    <w:rsid w:val="00547672"/>
    <w:rsid w:val="005476AC"/>
    <w:rsid w:val="005476BE"/>
    <w:rsid w:val="0054775D"/>
    <w:rsid w:val="00547774"/>
    <w:rsid w:val="0054779B"/>
    <w:rsid w:val="005477EE"/>
    <w:rsid w:val="00547809"/>
    <w:rsid w:val="00547810"/>
    <w:rsid w:val="0054781D"/>
    <w:rsid w:val="0054782A"/>
    <w:rsid w:val="0054784A"/>
    <w:rsid w:val="0054789C"/>
    <w:rsid w:val="005478ED"/>
    <w:rsid w:val="005478F5"/>
    <w:rsid w:val="0054792E"/>
    <w:rsid w:val="00547988"/>
    <w:rsid w:val="005479DE"/>
    <w:rsid w:val="00547ADC"/>
    <w:rsid w:val="00547B81"/>
    <w:rsid w:val="00547C86"/>
    <w:rsid w:val="00547C8B"/>
    <w:rsid w:val="00547CD0"/>
    <w:rsid w:val="00547CD9"/>
    <w:rsid w:val="00547D78"/>
    <w:rsid w:val="00547DBE"/>
    <w:rsid w:val="00547E22"/>
    <w:rsid w:val="00547E28"/>
    <w:rsid w:val="00547E85"/>
    <w:rsid w:val="00547EA9"/>
    <w:rsid w:val="00547EC5"/>
    <w:rsid w:val="00550010"/>
    <w:rsid w:val="0055002C"/>
    <w:rsid w:val="0055005E"/>
    <w:rsid w:val="00550093"/>
    <w:rsid w:val="005500EB"/>
    <w:rsid w:val="005500FA"/>
    <w:rsid w:val="005500FD"/>
    <w:rsid w:val="0055011A"/>
    <w:rsid w:val="00550133"/>
    <w:rsid w:val="0055016D"/>
    <w:rsid w:val="00550189"/>
    <w:rsid w:val="0055019A"/>
    <w:rsid w:val="005501C9"/>
    <w:rsid w:val="005501ED"/>
    <w:rsid w:val="00550273"/>
    <w:rsid w:val="005502F0"/>
    <w:rsid w:val="005502F3"/>
    <w:rsid w:val="0055035D"/>
    <w:rsid w:val="005503D3"/>
    <w:rsid w:val="005503EF"/>
    <w:rsid w:val="00550472"/>
    <w:rsid w:val="00550476"/>
    <w:rsid w:val="00550480"/>
    <w:rsid w:val="005504D6"/>
    <w:rsid w:val="005504F9"/>
    <w:rsid w:val="0055052E"/>
    <w:rsid w:val="0055054E"/>
    <w:rsid w:val="00550556"/>
    <w:rsid w:val="00550597"/>
    <w:rsid w:val="00550609"/>
    <w:rsid w:val="00550676"/>
    <w:rsid w:val="00550679"/>
    <w:rsid w:val="0055069F"/>
    <w:rsid w:val="0055078A"/>
    <w:rsid w:val="005507EC"/>
    <w:rsid w:val="0055080D"/>
    <w:rsid w:val="0055082D"/>
    <w:rsid w:val="00550871"/>
    <w:rsid w:val="0055089A"/>
    <w:rsid w:val="005509E8"/>
    <w:rsid w:val="00550A0F"/>
    <w:rsid w:val="00550A24"/>
    <w:rsid w:val="00550A2F"/>
    <w:rsid w:val="00550A4F"/>
    <w:rsid w:val="00550A6F"/>
    <w:rsid w:val="00550AA9"/>
    <w:rsid w:val="00550ACD"/>
    <w:rsid w:val="00550AFC"/>
    <w:rsid w:val="00550B1C"/>
    <w:rsid w:val="00550B38"/>
    <w:rsid w:val="00550BDA"/>
    <w:rsid w:val="00550C39"/>
    <w:rsid w:val="00550C99"/>
    <w:rsid w:val="00550CAA"/>
    <w:rsid w:val="00550CB1"/>
    <w:rsid w:val="00550CEB"/>
    <w:rsid w:val="00550D4F"/>
    <w:rsid w:val="00550D5A"/>
    <w:rsid w:val="00550E09"/>
    <w:rsid w:val="00550E11"/>
    <w:rsid w:val="00550E7C"/>
    <w:rsid w:val="00550ECD"/>
    <w:rsid w:val="00550F12"/>
    <w:rsid w:val="00550F3C"/>
    <w:rsid w:val="00550F58"/>
    <w:rsid w:val="00551029"/>
    <w:rsid w:val="00551045"/>
    <w:rsid w:val="0055109B"/>
    <w:rsid w:val="0055110F"/>
    <w:rsid w:val="00551158"/>
    <w:rsid w:val="00551181"/>
    <w:rsid w:val="0055118F"/>
    <w:rsid w:val="005511EA"/>
    <w:rsid w:val="00551200"/>
    <w:rsid w:val="00551298"/>
    <w:rsid w:val="00551315"/>
    <w:rsid w:val="00551432"/>
    <w:rsid w:val="00551441"/>
    <w:rsid w:val="00551458"/>
    <w:rsid w:val="0055146D"/>
    <w:rsid w:val="005514C9"/>
    <w:rsid w:val="0055154E"/>
    <w:rsid w:val="005515F3"/>
    <w:rsid w:val="00551603"/>
    <w:rsid w:val="0055160E"/>
    <w:rsid w:val="0055164E"/>
    <w:rsid w:val="005516EF"/>
    <w:rsid w:val="00551725"/>
    <w:rsid w:val="00551760"/>
    <w:rsid w:val="00551824"/>
    <w:rsid w:val="00551840"/>
    <w:rsid w:val="00551871"/>
    <w:rsid w:val="005518A5"/>
    <w:rsid w:val="005518AB"/>
    <w:rsid w:val="005518AD"/>
    <w:rsid w:val="00551930"/>
    <w:rsid w:val="00551A12"/>
    <w:rsid w:val="00551A34"/>
    <w:rsid w:val="00551A95"/>
    <w:rsid w:val="00551A99"/>
    <w:rsid w:val="00551AFA"/>
    <w:rsid w:val="00551B4F"/>
    <w:rsid w:val="00551BAB"/>
    <w:rsid w:val="00551BC1"/>
    <w:rsid w:val="00551BCC"/>
    <w:rsid w:val="00551C9B"/>
    <w:rsid w:val="00551CD1"/>
    <w:rsid w:val="00551CDE"/>
    <w:rsid w:val="00551DCD"/>
    <w:rsid w:val="00551E3B"/>
    <w:rsid w:val="00551EEA"/>
    <w:rsid w:val="00551F48"/>
    <w:rsid w:val="00551F92"/>
    <w:rsid w:val="00551F9F"/>
    <w:rsid w:val="00551FB2"/>
    <w:rsid w:val="00551FBD"/>
    <w:rsid w:val="00551FDE"/>
    <w:rsid w:val="00552001"/>
    <w:rsid w:val="0055203A"/>
    <w:rsid w:val="00552092"/>
    <w:rsid w:val="00552110"/>
    <w:rsid w:val="00552112"/>
    <w:rsid w:val="00552139"/>
    <w:rsid w:val="0055215B"/>
    <w:rsid w:val="00552180"/>
    <w:rsid w:val="00552196"/>
    <w:rsid w:val="00552198"/>
    <w:rsid w:val="005521A1"/>
    <w:rsid w:val="005521A6"/>
    <w:rsid w:val="00552244"/>
    <w:rsid w:val="00552249"/>
    <w:rsid w:val="00552306"/>
    <w:rsid w:val="00552320"/>
    <w:rsid w:val="00552370"/>
    <w:rsid w:val="0055238D"/>
    <w:rsid w:val="00552393"/>
    <w:rsid w:val="005523DF"/>
    <w:rsid w:val="00552402"/>
    <w:rsid w:val="0055245E"/>
    <w:rsid w:val="005524B3"/>
    <w:rsid w:val="005524F1"/>
    <w:rsid w:val="005524F2"/>
    <w:rsid w:val="0055252D"/>
    <w:rsid w:val="00552532"/>
    <w:rsid w:val="00552544"/>
    <w:rsid w:val="00552579"/>
    <w:rsid w:val="0055257C"/>
    <w:rsid w:val="0055258A"/>
    <w:rsid w:val="0055259F"/>
    <w:rsid w:val="005525A9"/>
    <w:rsid w:val="00552618"/>
    <w:rsid w:val="005526A2"/>
    <w:rsid w:val="005526CC"/>
    <w:rsid w:val="0055275B"/>
    <w:rsid w:val="005527B3"/>
    <w:rsid w:val="00552814"/>
    <w:rsid w:val="0055285B"/>
    <w:rsid w:val="005528AE"/>
    <w:rsid w:val="005528B9"/>
    <w:rsid w:val="00552911"/>
    <w:rsid w:val="0055296B"/>
    <w:rsid w:val="005529C3"/>
    <w:rsid w:val="005529E4"/>
    <w:rsid w:val="00552A1A"/>
    <w:rsid w:val="00552A44"/>
    <w:rsid w:val="00552A6E"/>
    <w:rsid w:val="00552A79"/>
    <w:rsid w:val="00552A91"/>
    <w:rsid w:val="00552A9F"/>
    <w:rsid w:val="00552AA7"/>
    <w:rsid w:val="00552B38"/>
    <w:rsid w:val="00552BBF"/>
    <w:rsid w:val="00552C0F"/>
    <w:rsid w:val="00552C1B"/>
    <w:rsid w:val="00552C50"/>
    <w:rsid w:val="00552CAB"/>
    <w:rsid w:val="00552CB5"/>
    <w:rsid w:val="00552CC4"/>
    <w:rsid w:val="00552D1D"/>
    <w:rsid w:val="00552D1E"/>
    <w:rsid w:val="00552D2A"/>
    <w:rsid w:val="00552D45"/>
    <w:rsid w:val="00552D58"/>
    <w:rsid w:val="00552D7F"/>
    <w:rsid w:val="00552D93"/>
    <w:rsid w:val="00552DDD"/>
    <w:rsid w:val="00552DF1"/>
    <w:rsid w:val="00552E21"/>
    <w:rsid w:val="00552E3F"/>
    <w:rsid w:val="00552E8B"/>
    <w:rsid w:val="00552F0F"/>
    <w:rsid w:val="00552F11"/>
    <w:rsid w:val="00552F1D"/>
    <w:rsid w:val="00552F77"/>
    <w:rsid w:val="00552FE0"/>
    <w:rsid w:val="00553006"/>
    <w:rsid w:val="0055306C"/>
    <w:rsid w:val="00553088"/>
    <w:rsid w:val="00553102"/>
    <w:rsid w:val="00553141"/>
    <w:rsid w:val="00553143"/>
    <w:rsid w:val="00553233"/>
    <w:rsid w:val="00553236"/>
    <w:rsid w:val="00553255"/>
    <w:rsid w:val="00553275"/>
    <w:rsid w:val="00553277"/>
    <w:rsid w:val="0055333E"/>
    <w:rsid w:val="00553356"/>
    <w:rsid w:val="00553381"/>
    <w:rsid w:val="0055341B"/>
    <w:rsid w:val="0055344C"/>
    <w:rsid w:val="0055346E"/>
    <w:rsid w:val="005534A5"/>
    <w:rsid w:val="005534F6"/>
    <w:rsid w:val="00553538"/>
    <w:rsid w:val="00553571"/>
    <w:rsid w:val="00553573"/>
    <w:rsid w:val="005535DC"/>
    <w:rsid w:val="00553629"/>
    <w:rsid w:val="0055366C"/>
    <w:rsid w:val="00553744"/>
    <w:rsid w:val="00553767"/>
    <w:rsid w:val="005537A9"/>
    <w:rsid w:val="005537BB"/>
    <w:rsid w:val="005537DE"/>
    <w:rsid w:val="005537F2"/>
    <w:rsid w:val="00553807"/>
    <w:rsid w:val="0055382C"/>
    <w:rsid w:val="0055383A"/>
    <w:rsid w:val="005538A1"/>
    <w:rsid w:val="005538C2"/>
    <w:rsid w:val="005538EB"/>
    <w:rsid w:val="0055391F"/>
    <w:rsid w:val="00553931"/>
    <w:rsid w:val="0055395D"/>
    <w:rsid w:val="005539AD"/>
    <w:rsid w:val="005539FB"/>
    <w:rsid w:val="00553A0E"/>
    <w:rsid w:val="00553ABA"/>
    <w:rsid w:val="00553B42"/>
    <w:rsid w:val="00553BC2"/>
    <w:rsid w:val="00553BC8"/>
    <w:rsid w:val="00553CA0"/>
    <w:rsid w:val="00553CE1"/>
    <w:rsid w:val="00553D00"/>
    <w:rsid w:val="00553D1F"/>
    <w:rsid w:val="00553D7F"/>
    <w:rsid w:val="00553E1F"/>
    <w:rsid w:val="00553E86"/>
    <w:rsid w:val="00553E99"/>
    <w:rsid w:val="00553EC7"/>
    <w:rsid w:val="00553ECE"/>
    <w:rsid w:val="00553EF5"/>
    <w:rsid w:val="00553EF8"/>
    <w:rsid w:val="00553F24"/>
    <w:rsid w:val="00553F84"/>
    <w:rsid w:val="00553FD3"/>
    <w:rsid w:val="00554048"/>
    <w:rsid w:val="005540B7"/>
    <w:rsid w:val="005540C6"/>
    <w:rsid w:val="005540D6"/>
    <w:rsid w:val="00554129"/>
    <w:rsid w:val="00554143"/>
    <w:rsid w:val="00554149"/>
    <w:rsid w:val="00554168"/>
    <w:rsid w:val="0055425A"/>
    <w:rsid w:val="005542C3"/>
    <w:rsid w:val="00554301"/>
    <w:rsid w:val="00554316"/>
    <w:rsid w:val="0055431E"/>
    <w:rsid w:val="00554397"/>
    <w:rsid w:val="005544AA"/>
    <w:rsid w:val="005544BF"/>
    <w:rsid w:val="00554503"/>
    <w:rsid w:val="0055450C"/>
    <w:rsid w:val="0055459B"/>
    <w:rsid w:val="005545DC"/>
    <w:rsid w:val="005545F1"/>
    <w:rsid w:val="00554676"/>
    <w:rsid w:val="005546B8"/>
    <w:rsid w:val="005546E0"/>
    <w:rsid w:val="00554712"/>
    <w:rsid w:val="0055473B"/>
    <w:rsid w:val="0055479E"/>
    <w:rsid w:val="005547CC"/>
    <w:rsid w:val="0055482F"/>
    <w:rsid w:val="00554844"/>
    <w:rsid w:val="00554879"/>
    <w:rsid w:val="005548D0"/>
    <w:rsid w:val="0055493F"/>
    <w:rsid w:val="00554991"/>
    <w:rsid w:val="00554A15"/>
    <w:rsid w:val="00554A22"/>
    <w:rsid w:val="00554A79"/>
    <w:rsid w:val="00554B67"/>
    <w:rsid w:val="00554B9E"/>
    <w:rsid w:val="00554BAE"/>
    <w:rsid w:val="00554C35"/>
    <w:rsid w:val="00554C36"/>
    <w:rsid w:val="00554C3C"/>
    <w:rsid w:val="00554C68"/>
    <w:rsid w:val="00554C88"/>
    <w:rsid w:val="00554C9D"/>
    <w:rsid w:val="00554CA0"/>
    <w:rsid w:val="00554CB0"/>
    <w:rsid w:val="00554CB8"/>
    <w:rsid w:val="00554CBF"/>
    <w:rsid w:val="00554CE8"/>
    <w:rsid w:val="00554CF0"/>
    <w:rsid w:val="00554D0E"/>
    <w:rsid w:val="00554D1B"/>
    <w:rsid w:val="00554D57"/>
    <w:rsid w:val="00554D61"/>
    <w:rsid w:val="00554D62"/>
    <w:rsid w:val="00554D98"/>
    <w:rsid w:val="00554DD5"/>
    <w:rsid w:val="00554DFB"/>
    <w:rsid w:val="00554E08"/>
    <w:rsid w:val="00554E47"/>
    <w:rsid w:val="00554E64"/>
    <w:rsid w:val="00554EE2"/>
    <w:rsid w:val="00554F20"/>
    <w:rsid w:val="00554F2E"/>
    <w:rsid w:val="00554F8A"/>
    <w:rsid w:val="00554FD0"/>
    <w:rsid w:val="00555020"/>
    <w:rsid w:val="00555025"/>
    <w:rsid w:val="005550F1"/>
    <w:rsid w:val="0055516B"/>
    <w:rsid w:val="005551B0"/>
    <w:rsid w:val="005551D4"/>
    <w:rsid w:val="0055520B"/>
    <w:rsid w:val="0055522B"/>
    <w:rsid w:val="00555240"/>
    <w:rsid w:val="00555263"/>
    <w:rsid w:val="0055526C"/>
    <w:rsid w:val="005552BD"/>
    <w:rsid w:val="0055537D"/>
    <w:rsid w:val="00555384"/>
    <w:rsid w:val="0055539A"/>
    <w:rsid w:val="005553AE"/>
    <w:rsid w:val="005553E5"/>
    <w:rsid w:val="005554DB"/>
    <w:rsid w:val="00555515"/>
    <w:rsid w:val="0055553D"/>
    <w:rsid w:val="00555570"/>
    <w:rsid w:val="005555B0"/>
    <w:rsid w:val="005555CE"/>
    <w:rsid w:val="0055561B"/>
    <w:rsid w:val="005556B7"/>
    <w:rsid w:val="005556F9"/>
    <w:rsid w:val="0055570F"/>
    <w:rsid w:val="00555711"/>
    <w:rsid w:val="00555726"/>
    <w:rsid w:val="005557A7"/>
    <w:rsid w:val="005557AC"/>
    <w:rsid w:val="005557E8"/>
    <w:rsid w:val="0055586B"/>
    <w:rsid w:val="005558C3"/>
    <w:rsid w:val="005558E5"/>
    <w:rsid w:val="00555928"/>
    <w:rsid w:val="00555945"/>
    <w:rsid w:val="00555987"/>
    <w:rsid w:val="0055598E"/>
    <w:rsid w:val="005559E6"/>
    <w:rsid w:val="00555A0F"/>
    <w:rsid w:val="00555A19"/>
    <w:rsid w:val="00555A1B"/>
    <w:rsid w:val="00555A2D"/>
    <w:rsid w:val="00555A43"/>
    <w:rsid w:val="00555A81"/>
    <w:rsid w:val="00555AA0"/>
    <w:rsid w:val="00555AD3"/>
    <w:rsid w:val="00555AE4"/>
    <w:rsid w:val="00555AF4"/>
    <w:rsid w:val="00555AFA"/>
    <w:rsid w:val="00555BFB"/>
    <w:rsid w:val="00555C24"/>
    <w:rsid w:val="00555C3C"/>
    <w:rsid w:val="00555CC9"/>
    <w:rsid w:val="00555D1E"/>
    <w:rsid w:val="00555D89"/>
    <w:rsid w:val="00555DA8"/>
    <w:rsid w:val="00555DAB"/>
    <w:rsid w:val="00555DC7"/>
    <w:rsid w:val="00555DCB"/>
    <w:rsid w:val="00555DD7"/>
    <w:rsid w:val="00555E57"/>
    <w:rsid w:val="00555E5F"/>
    <w:rsid w:val="00555EBD"/>
    <w:rsid w:val="00555F05"/>
    <w:rsid w:val="00555FED"/>
    <w:rsid w:val="00556011"/>
    <w:rsid w:val="00556056"/>
    <w:rsid w:val="00556059"/>
    <w:rsid w:val="00556087"/>
    <w:rsid w:val="005560E6"/>
    <w:rsid w:val="0055610E"/>
    <w:rsid w:val="0055618B"/>
    <w:rsid w:val="005561D6"/>
    <w:rsid w:val="005561FC"/>
    <w:rsid w:val="00556206"/>
    <w:rsid w:val="00556247"/>
    <w:rsid w:val="00556258"/>
    <w:rsid w:val="00556299"/>
    <w:rsid w:val="00556344"/>
    <w:rsid w:val="0055635F"/>
    <w:rsid w:val="00556398"/>
    <w:rsid w:val="005563B0"/>
    <w:rsid w:val="005563C6"/>
    <w:rsid w:val="00556488"/>
    <w:rsid w:val="0055648E"/>
    <w:rsid w:val="00556572"/>
    <w:rsid w:val="005565A4"/>
    <w:rsid w:val="005565D1"/>
    <w:rsid w:val="005565F7"/>
    <w:rsid w:val="00556609"/>
    <w:rsid w:val="0055661E"/>
    <w:rsid w:val="00556671"/>
    <w:rsid w:val="005566A2"/>
    <w:rsid w:val="00556721"/>
    <w:rsid w:val="00556726"/>
    <w:rsid w:val="00556749"/>
    <w:rsid w:val="00556759"/>
    <w:rsid w:val="00556763"/>
    <w:rsid w:val="00556776"/>
    <w:rsid w:val="0055683F"/>
    <w:rsid w:val="005568A4"/>
    <w:rsid w:val="005568A6"/>
    <w:rsid w:val="005568E0"/>
    <w:rsid w:val="0055691F"/>
    <w:rsid w:val="00556935"/>
    <w:rsid w:val="005569A5"/>
    <w:rsid w:val="005569BC"/>
    <w:rsid w:val="005569C8"/>
    <w:rsid w:val="005569DE"/>
    <w:rsid w:val="005569F2"/>
    <w:rsid w:val="00556A84"/>
    <w:rsid w:val="00556A91"/>
    <w:rsid w:val="00556AC4"/>
    <w:rsid w:val="00556AD5"/>
    <w:rsid w:val="00556B67"/>
    <w:rsid w:val="00556B91"/>
    <w:rsid w:val="00556BD5"/>
    <w:rsid w:val="00556C30"/>
    <w:rsid w:val="00556C82"/>
    <w:rsid w:val="00556D0F"/>
    <w:rsid w:val="00556D7A"/>
    <w:rsid w:val="00556DF1"/>
    <w:rsid w:val="00556E06"/>
    <w:rsid w:val="00556E34"/>
    <w:rsid w:val="00556E4D"/>
    <w:rsid w:val="00556E7D"/>
    <w:rsid w:val="00556ED4"/>
    <w:rsid w:val="00556EE1"/>
    <w:rsid w:val="00556F52"/>
    <w:rsid w:val="00556F73"/>
    <w:rsid w:val="005570CF"/>
    <w:rsid w:val="00557106"/>
    <w:rsid w:val="00557148"/>
    <w:rsid w:val="00557159"/>
    <w:rsid w:val="005571CF"/>
    <w:rsid w:val="005571F5"/>
    <w:rsid w:val="00557265"/>
    <w:rsid w:val="0055726A"/>
    <w:rsid w:val="00557277"/>
    <w:rsid w:val="00557332"/>
    <w:rsid w:val="00557339"/>
    <w:rsid w:val="00557350"/>
    <w:rsid w:val="00557355"/>
    <w:rsid w:val="0055736D"/>
    <w:rsid w:val="00557395"/>
    <w:rsid w:val="005573B8"/>
    <w:rsid w:val="005573D8"/>
    <w:rsid w:val="005573E7"/>
    <w:rsid w:val="005573E9"/>
    <w:rsid w:val="00557459"/>
    <w:rsid w:val="00557466"/>
    <w:rsid w:val="0055746F"/>
    <w:rsid w:val="00557488"/>
    <w:rsid w:val="0055748A"/>
    <w:rsid w:val="005574EF"/>
    <w:rsid w:val="0055758B"/>
    <w:rsid w:val="005575B4"/>
    <w:rsid w:val="00557609"/>
    <w:rsid w:val="00557668"/>
    <w:rsid w:val="0055766D"/>
    <w:rsid w:val="00557676"/>
    <w:rsid w:val="0055772C"/>
    <w:rsid w:val="0055774A"/>
    <w:rsid w:val="00557785"/>
    <w:rsid w:val="0055778C"/>
    <w:rsid w:val="005577A8"/>
    <w:rsid w:val="005577B8"/>
    <w:rsid w:val="005577FB"/>
    <w:rsid w:val="00557808"/>
    <w:rsid w:val="0055780E"/>
    <w:rsid w:val="00557825"/>
    <w:rsid w:val="00557842"/>
    <w:rsid w:val="0055799E"/>
    <w:rsid w:val="005579E2"/>
    <w:rsid w:val="00557ADD"/>
    <w:rsid w:val="00557AEF"/>
    <w:rsid w:val="00557B7D"/>
    <w:rsid w:val="00557BDD"/>
    <w:rsid w:val="00557BE1"/>
    <w:rsid w:val="00557C19"/>
    <w:rsid w:val="00557CB1"/>
    <w:rsid w:val="00557CEF"/>
    <w:rsid w:val="00557CFB"/>
    <w:rsid w:val="00557D06"/>
    <w:rsid w:val="00557D3E"/>
    <w:rsid w:val="00557D72"/>
    <w:rsid w:val="00557D8E"/>
    <w:rsid w:val="00557DAD"/>
    <w:rsid w:val="00557DC2"/>
    <w:rsid w:val="00557DCE"/>
    <w:rsid w:val="00557DEE"/>
    <w:rsid w:val="00557DFA"/>
    <w:rsid w:val="00557E5E"/>
    <w:rsid w:val="00557E70"/>
    <w:rsid w:val="00557E91"/>
    <w:rsid w:val="00557F11"/>
    <w:rsid w:val="00557F24"/>
    <w:rsid w:val="00557FCE"/>
    <w:rsid w:val="00557FD6"/>
    <w:rsid w:val="0055F4DC"/>
    <w:rsid w:val="0056005D"/>
    <w:rsid w:val="005600A7"/>
    <w:rsid w:val="005601E8"/>
    <w:rsid w:val="00560208"/>
    <w:rsid w:val="00560223"/>
    <w:rsid w:val="00560244"/>
    <w:rsid w:val="00560255"/>
    <w:rsid w:val="005602AB"/>
    <w:rsid w:val="00560302"/>
    <w:rsid w:val="005603A2"/>
    <w:rsid w:val="005603BA"/>
    <w:rsid w:val="005603FA"/>
    <w:rsid w:val="005604DB"/>
    <w:rsid w:val="005604EB"/>
    <w:rsid w:val="00560550"/>
    <w:rsid w:val="005606AE"/>
    <w:rsid w:val="005606DB"/>
    <w:rsid w:val="005606E6"/>
    <w:rsid w:val="00560712"/>
    <w:rsid w:val="00560721"/>
    <w:rsid w:val="00560762"/>
    <w:rsid w:val="005607B9"/>
    <w:rsid w:val="005607BA"/>
    <w:rsid w:val="005607EE"/>
    <w:rsid w:val="00560818"/>
    <w:rsid w:val="00560880"/>
    <w:rsid w:val="00560889"/>
    <w:rsid w:val="005608A4"/>
    <w:rsid w:val="005608B8"/>
    <w:rsid w:val="005608D8"/>
    <w:rsid w:val="00560917"/>
    <w:rsid w:val="00560976"/>
    <w:rsid w:val="0056099A"/>
    <w:rsid w:val="005609DA"/>
    <w:rsid w:val="005609E8"/>
    <w:rsid w:val="00560A31"/>
    <w:rsid w:val="00560A66"/>
    <w:rsid w:val="00560A6E"/>
    <w:rsid w:val="00560A7F"/>
    <w:rsid w:val="00560B3C"/>
    <w:rsid w:val="00560B6E"/>
    <w:rsid w:val="00560BC8"/>
    <w:rsid w:val="00560BCB"/>
    <w:rsid w:val="00560BDF"/>
    <w:rsid w:val="00560BFE"/>
    <w:rsid w:val="00560C53"/>
    <w:rsid w:val="00560C86"/>
    <w:rsid w:val="00560CA8"/>
    <w:rsid w:val="00560CFE"/>
    <w:rsid w:val="00560DBC"/>
    <w:rsid w:val="00560E0C"/>
    <w:rsid w:val="00560E4B"/>
    <w:rsid w:val="00560ECD"/>
    <w:rsid w:val="00560ED1"/>
    <w:rsid w:val="00560EDB"/>
    <w:rsid w:val="00560EEB"/>
    <w:rsid w:val="00560EF1"/>
    <w:rsid w:val="00560EF6"/>
    <w:rsid w:val="00560F5E"/>
    <w:rsid w:val="00560FE1"/>
    <w:rsid w:val="005610FC"/>
    <w:rsid w:val="00561170"/>
    <w:rsid w:val="005611B4"/>
    <w:rsid w:val="00561218"/>
    <w:rsid w:val="0056121C"/>
    <w:rsid w:val="00561223"/>
    <w:rsid w:val="00561261"/>
    <w:rsid w:val="00561284"/>
    <w:rsid w:val="0056130C"/>
    <w:rsid w:val="0056134D"/>
    <w:rsid w:val="00561398"/>
    <w:rsid w:val="0056141E"/>
    <w:rsid w:val="005614FF"/>
    <w:rsid w:val="005615B5"/>
    <w:rsid w:val="005615C3"/>
    <w:rsid w:val="00561644"/>
    <w:rsid w:val="005616AB"/>
    <w:rsid w:val="00561730"/>
    <w:rsid w:val="0056175A"/>
    <w:rsid w:val="0056176A"/>
    <w:rsid w:val="00561783"/>
    <w:rsid w:val="00561794"/>
    <w:rsid w:val="005617D6"/>
    <w:rsid w:val="005617DD"/>
    <w:rsid w:val="005617E8"/>
    <w:rsid w:val="0056185F"/>
    <w:rsid w:val="005618C6"/>
    <w:rsid w:val="005618D6"/>
    <w:rsid w:val="005618E0"/>
    <w:rsid w:val="005618F1"/>
    <w:rsid w:val="0056190E"/>
    <w:rsid w:val="0056192D"/>
    <w:rsid w:val="00561966"/>
    <w:rsid w:val="00561989"/>
    <w:rsid w:val="00561993"/>
    <w:rsid w:val="005619BD"/>
    <w:rsid w:val="00561A06"/>
    <w:rsid w:val="00561A1C"/>
    <w:rsid w:val="00561A5A"/>
    <w:rsid w:val="00561A74"/>
    <w:rsid w:val="00561AB3"/>
    <w:rsid w:val="00561B9D"/>
    <w:rsid w:val="00561BFC"/>
    <w:rsid w:val="00561C1E"/>
    <w:rsid w:val="00561C64"/>
    <w:rsid w:val="00561CD8"/>
    <w:rsid w:val="00561CDF"/>
    <w:rsid w:val="00561D69"/>
    <w:rsid w:val="00561DC2"/>
    <w:rsid w:val="00561E11"/>
    <w:rsid w:val="00561E14"/>
    <w:rsid w:val="00561E1C"/>
    <w:rsid w:val="00561E4D"/>
    <w:rsid w:val="00561E55"/>
    <w:rsid w:val="00561E6B"/>
    <w:rsid w:val="00561E8D"/>
    <w:rsid w:val="00561EF0"/>
    <w:rsid w:val="00561EFF"/>
    <w:rsid w:val="00561F9F"/>
    <w:rsid w:val="00561FCC"/>
    <w:rsid w:val="00561FDA"/>
    <w:rsid w:val="00561FDD"/>
    <w:rsid w:val="00561FED"/>
    <w:rsid w:val="00562011"/>
    <w:rsid w:val="0056206C"/>
    <w:rsid w:val="00562073"/>
    <w:rsid w:val="005620A7"/>
    <w:rsid w:val="005620BC"/>
    <w:rsid w:val="005620D9"/>
    <w:rsid w:val="005620E0"/>
    <w:rsid w:val="005620EC"/>
    <w:rsid w:val="005620FF"/>
    <w:rsid w:val="005621BA"/>
    <w:rsid w:val="005621D3"/>
    <w:rsid w:val="005622AA"/>
    <w:rsid w:val="005622B3"/>
    <w:rsid w:val="005622DC"/>
    <w:rsid w:val="005622E3"/>
    <w:rsid w:val="005622F8"/>
    <w:rsid w:val="005622F9"/>
    <w:rsid w:val="00562359"/>
    <w:rsid w:val="0056236B"/>
    <w:rsid w:val="005623BC"/>
    <w:rsid w:val="005623D2"/>
    <w:rsid w:val="005624B2"/>
    <w:rsid w:val="005624F8"/>
    <w:rsid w:val="0056250F"/>
    <w:rsid w:val="00562533"/>
    <w:rsid w:val="0056253D"/>
    <w:rsid w:val="00562568"/>
    <w:rsid w:val="0056257F"/>
    <w:rsid w:val="005625C0"/>
    <w:rsid w:val="00562659"/>
    <w:rsid w:val="005626D9"/>
    <w:rsid w:val="0056271D"/>
    <w:rsid w:val="005627B5"/>
    <w:rsid w:val="005627E9"/>
    <w:rsid w:val="0056285D"/>
    <w:rsid w:val="005628D0"/>
    <w:rsid w:val="00562909"/>
    <w:rsid w:val="00562910"/>
    <w:rsid w:val="00562934"/>
    <w:rsid w:val="0056293D"/>
    <w:rsid w:val="005629A7"/>
    <w:rsid w:val="005629CE"/>
    <w:rsid w:val="005629D3"/>
    <w:rsid w:val="00562B18"/>
    <w:rsid w:val="00562B20"/>
    <w:rsid w:val="00562B65"/>
    <w:rsid w:val="00562BD9"/>
    <w:rsid w:val="00562BF2"/>
    <w:rsid w:val="00562C8E"/>
    <w:rsid w:val="00562CB3"/>
    <w:rsid w:val="00562CBA"/>
    <w:rsid w:val="00562CC2"/>
    <w:rsid w:val="00562CD2"/>
    <w:rsid w:val="00562CE4"/>
    <w:rsid w:val="00562D06"/>
    <w:rsid w:val="00562D8A"/>
    <w:rsid w:val="00562DB0"/>
    <w:rsid w:val="00562E7A"/>
    <w:rsid w:val="00562EC9"/>
    <w:rsid w:val="00562EE1"/>
    <w:rsid w:val="00562EFD"/>
    <w:rsid w:val="00562FA1"/>
    <w:rsid w:val="00562FF8"/>
    <w:rsid w:val="00563012"/>
    <w:rsid w:val="00563039"/>
    <w:rsid w:val="00563048"/>
    <w:rsid w:val="0056307C"/>
    <w:rsid w:val="005630AA"/>
    <w:rsid w:val="005630F0"/>
    <w:rsid w:val="0056314F"/>
    <w:rsid w:val="00563186"/>
    <w:rsid w:val="005631FD"/>
    <w:rsid w:val="00563205"/>
    <w:rsid w:val="00563230"/>
    <w:rsid w:val="00563249"/>
    <w:rsid w:val="005632AB"/>
    <w:rsid w:val="005632D9"/>
    <w:rsid w:val="00563309"/>
    <w:rsid w:val="00563319"/>
    <w:rsid w:val="00563336"/>
    <w:rsid w:val="005633C0"/>
    <w:rsid w:val="005633C7"/>
    <w:rsid w:val="005633F0"/>
    <w:rsid w:val="0056341D"/>
    <w:rsid w:val="0056345B"/>
    <w:rsid w:val="005634AB"/>
    <w:rsid w:val="005634CF"/>
    <w:rsid w:val="005634EB"/>
    <w:rsid w:val="0056356A"/>
    <w:rsid w:val="0056356F"/>
    <w:rsid w:val="0056357A"/>
    <w:rsid w:val="005635CA"/>
    <w:rsid w:val="005635D3"/>
    <w:rsid w:val="005635F3"/>
    <w:rsid w:val="00563652"/>
    <w:rsid w:val="00563697"/>
    <w:rsid w:val="005636E5"/>
    <w:rsid w:val="00563724"/>
    <w:rsid w:val="0056377D"/>
    <w:rsid w:val="005637A1"/>
    <w:rsid w:val="005637CB"/>
    <w:rsid w:val="00563829"/>
    <w:rsid w:val="00563880"/>
    <w:rsid w:val="005638A0"/>
    <w:rsid w:val="005638C0"/>
    <w:rsid w:val="00563928"/>
    <w:rsid w:val="00563960"/>
    <w:rsid w:val="0056397D"/>
    <w:rsid w:val="005639CD"/>
    <w:rsid w:val="005639E2"/>
    <w:rsid w:val="005639E8"/>
    <w:rsid w:val="00563A04"/>
    <w:rsid w:val="00563A2E"/>
    <w:rsid w:val="00563A72"/>
    <w:rsid w:val="00563A92"/>
    <w:rsid w:val="00563AE8"/>
    <w:rsid w:val="00563B5A"/>
    <w:rsid w:val="00563B5C"/>
    <w:rsid w:val="00563B8A"/>
    <w:rsid w:val="00563BC5"/>
    <w:rsid w:val="00563BEA"/>
    <w:rsid w:val="00563C11"/>
    <w:rsid w:val="00563C46"/>
    <w:rsid w:val="00563CCE"/>
    <w:rsid w:val="00563D8A"/>
    <w:rsid w:val="00563D9F"/>
    <w:rsid w:val="00563DAA"/>
    <w:rsid w:val="00563DE4"/>
    <w:rsid w:val="00563E64"/>
    <w:rsid w:val="00563E83"/>
    <w:rsid w:val="00563EF3"/>
    <w:rsid w:val="00563F1B"/>
    <w:rsid w:val="00563F25"/>
    <w:rsid w:val="00563F72"/>
    <w:rsid w:val="00563F73"/>
    <w:rsid w:val="00563F8D"/>
    <w:rsid w:val="00563F94"/>
    <w:rsid w:val="00563FB9"/>
    <w:rsid w:val="00563FC3"/>
    <w:rsid w:val="00563FEF"/>
    <w:rsid w:val="00564044"/>
    <w:rsid w:val="005640D9"/>
    <w:rsid w:val="005640F1"/>
    <w:rsid w:val="00564167"/>
    <w:rsid w:val="00564168"/>
    <w:rsid w:val="0056421E"/>
    <w:rsid w:val="0056423F"/>
    <w:rsid w:val="00564306"/>
    <w:rsid w:val="00564366"/>
    <w:rsid w:val="005643B9"/>
    <w:rsid w:val="0056444D"/>
    <w:rsid w:val="00564454"/>
    <w:rsid w:val="005644AB"/>
    <w:rsid w:val="005644E7"/>
    <w:rsid w:val="00564517"/>
    <w:rsid w:val="00564569"/>
    <w:rsid w:val="00564580"/>
    <w:rsid w:val="00564584"/>
    <w:rsid w:val="005645B7"/>
    <w:rsid w:val="005645D5"/>
    <w:rsid w:val="00564622"/>
    <w:rsid w:val="00564729"/>
    <w:rsid w:val="00564744"/>
    <w:rsid w:val="00564752"/>
    <w:rsid w:val="0056476A"/>
    <w:rsid w:val="005647AD"/>
    <w:rsid w:val="00564850"/>
    <w:rsid w:val="0056488A"/>
    <w:rsid w:val="005648B4"/>
    <w:rsid w:val="00564909"/>
    <w:rsid w:val="00564918"/>
    <w:rsid w:val="00564986"/>
    <w:rsid w:val="005649CF"/>
    <w:rsid w:val="005649DB"/>
    <w:rsid w:val="005649E0"/>
    <w:rsid w:val="00564A25"/>
    <w:rsid w:val="00564A30"/>
    <w:rsid w:val="00564A4C"/>
    <w:rsid w:val="00564AA3"/>
    <w:rsid w:val="00564ABC"/>
    <w:rsid w:val="00564B08"/>
    <w:rsid w:val="00564B59"/>
    <w:rsid w:val="00564BCC"/>
    <w:rsid w:val="00564CC1"/>
    <w:rsid w:val="00564D1A"/>
    <w:rsid w:val="00564D5F"/>
    <w:rsid w:val="00564D7B"/>
    <w:rsid w:val="00564DC6"/>
    <w:rsid w:val="00564DCC"/>
    <w:rsid w:val="00564E31"/>
    <w:rsid w:val="00564E3F"/>
    <w:rsid w:val="00564E5C"/>
    <w:rsid w:val="00564E66"/>
    <w:rsid w:val="00564E6E"/>
    <w:rsid w:val="00564E75"/>
    <w:rsid w:val="00564EA2"/>
    <w:rsid w:val="00564F21"/>
    <w:rsid w:val="00564F3C"/>
    <w:rsid w:val="00564FB2"/>
    <w:rsid w:val="00564FB6"/>
    <w:rsid w:val="00564FB8"/>
    <w:rsid w:val="0056504F"/>
    <w:rsid w:val="00565069"/>
    <w:rsid w:val="0056509C"/>
    <w:rsid w:val="005650D9"/>
    <w:rsid w:val="00565117"/>
    <w:rsid w:val="0056513D"/>
    <w:rsid w:val="0056518D"/>
    <w:rsid w:val="0056519A"/>
    <w:rsid w:val="00565214"/>
    <w:rsid w:val="00565227"/>
    <w:rsid w:val="00565246"/>
    <w:rsid w:val="00565269"/>
    <w:rsid w:val="00565383"/>
    <w:rsid w:val="0056538C"/>
    <w:rsid w:val="005653C9"/>
    <w:rsid w:val="00565427"/>
    <w:rsid w:val="0056547B"/>
    <w:rsid w:val="00565529"/>
    <w:rsid w:val="005655C4"/>
    <w:rsid w:val="00565731"/>
    <w:rsid w:val="005657A3"/>
    <w:rsid w:val="005657AB"/>
    <w:rsid w:val="005657BB"/>
    <w:rsid w:val="00565866"/>
    <w:rsid w:val="005658B6"/>
    <w:rsid w:val="005658E0"/>
    <w:rsid w:val="00565925"/>
    <w:rsid w:val="0056593C"/>
    <w:rsid w:val="00565942"/>
    <w:rsid w:val="005659B0"/>
    <w:rsid w:val="005659DB"/>
    <w:rsid w:val="005659F5"/>
    <w:rsid w:val="00565A59"/>
    <w:rsid w:val="00565AA8"/>
    <w:rsid w:val="00565AEC"/>
    <w:rsid w:val="00565B3F"/>
    <w:rsid w:val="00565BC9"/>
    <w:rsid w:val="00565BDA"/>
    <w:rsid w:val="00565BE6"/>
    <w:rsid w:val="00565CA0"/>
    <w:rsid w:val="00565CB4"/>
    <w:rsid w:val="00565CB5"/>
    <w:rsid w:val="00565CF8"/>
    <w:rsid w:val="00565D0E"/>
    <w:rsid w:val="00565D92"/>
    <w:rsid w:val="00565DFE"/>
    <w:rsid w:val="00565E13"/>
    <w:rsid w:val="00565E59"/>
    <w:rsid w:val="00565E60"/>
    <w:rsid w:val="00565EA2"/>
    <w:rsid w:val="00565EA5"/>
    <w:rsid w:val="00565EC0"/>
    <w:rsid w:val="00565F0F"/>
    <w:rsid w:val="00565F3A"/>
    <w:rsid w:val="00565FAE"/>
    <w:rsid w:val="00565FD9"/>
    <w:rsid w:val="00566033"/>
    <w:rsid w:val="00566056"/>
    <w:rsid w:val="00566062"/>
    <w:rsid w:val="005660F1"/>
    <w:rsid w:val="0056610C"/>
    <w:rsid w:val="0056613B"/>
    <w:rsid w:val="00566147"/>
    <w:rsid w:val="0056614D"/>
    <w:rsid w:val="005661BB"/>
    <w:rsid w:val="0056621A"/>
    <w:rsid w:val="0056625D"/>
    <w:rsid w:val="00566288"/>
    <w:rsid w:val="00566309"/>
    <w:rsid w:val="00566316"/>
    <w:rsid w:val="0056631F"/>
    <w:rsid w:val="00566326"/>
    <w:rsid w:val="00566351"/>
    <w:rsid w:val="005663DD"/>
    <w:rsid w:val="0056640D"/>
    <w:rsid w:val="00566425"/>
    <w:rsid w:val="00566435"/>
    <w:rsid w:val="0056649A"/>
    <w:rsid w:val="005664A4"/>
    <w:rsid w:val="005664C0"/>
    <w:rsid w:val="005664C7"/>
    <w:rsid w:val="005664DE"/>
    <w:rsid w:val="00566515"/>
    <w:rsid w:val="00566587"/>
    <w:rsid w:val="00566596"/>
    <w:rsid w:val="00566605"/>
    <w:rsid w:val="00566697"/>
    <w:rsid w:val="005666AE"/>
    <w:rsid w:val="0056672E"/>
    <w:rsid w:val="005667A0"/>
    <w:rsid w:val="005667D5"/>
    <w:rsid w:val="00566924"/>
    <w:rsid w:val="00566929"/>
    <w:rsid w:val="00566980"/>
    <w:rsid w:val="005669A4"/>
    <w:rsid w:val="005669B6"/>
    <w:rsid w:val="00566A11"/>
    <w:rsid w:val="00566A6C"/>
    <w:rsid w:val="00566A6D"/>
    <w:rsid w:val="00566A6F"/>
    <w:rsid w:val="00566AD9"/>
    <w:rsid w:val="00566AF6"/>
    <w:rsid w:val="00566B6F"/>
    <w:rsid w:val="00566B82"/>
    <w:rsid w:val="00566BCC"/>
    <w:rsid w:val="00566C11"/>
    <w:rsid w:val="00566C23"/>
    <w:rsid w:val="00566C40"/>
    <w:rsid w:val="00566CB8"/>
    <w:rsid w:val="00566CE1"/>
    <w:rsid w:val="00566D0B"/>
    <w:rsid w:val="00566D33"/>
    <w:rsid w:val="00566D56"/>
    <w:rsid w:val="00566D8B"/>
    <w:rsid w:val="00566D9E"/>
    <w:rsid w:val="00566DA6"/>
    <w:rsid w:val="00566DAF"/>
    <w:rsid w:val="00566DB9"/>
    <w:rsid w:val="00566DE3"/>
    <w:rsid w:val="00566DF3"/>
    <w:rsid w:val="00566E6B"/>
    <w:rsid w:val="00566E98"/>
    <w:rsid w:val="00566E9D"/>
    <w:rsid w:val="00566EB1"/>
    <w:rsid w:val="00566ECC"/>
    <w:rsid w:val="00566EF3"/>
    <w:rsid w:val="00566F8D"/>
    <w:rsid w:val="00566FC8"/>
    <w:rsid w:val="00566FC9"/>
    <w:rsid w:val="00566FF3"/>
    <w:rsid w:val="0056705D"/>
    <w:rsid w:val="00567093"/>
    <w:rsid w:val="005670A3"/>
    <w:rsid w:val="005670D0"/>
    <w:rsid w:val="00567154"/>
    <w:rsid w:val="005671BE"/>
    <w:rsid w:val="005671DD"/>
    <w:rsid w:val="00567220"/>
    <w:rsid w:val="00567227"/>
    <w:rsid w:val="0056724D"/>
    <w:rsid w:val="00567270"/>
    <w:rsid w:val="0056729D"/>
    <w:rsid w:val="005672AF"/>
    <w:rsid w:val="005672B8"/>
    <w:rsid w:val="00567374"/>
    <w:rsid w:val="005673C4"/>
    <w:rsid w:val="005673EB"/>
    <w:rsid w:val="00567402"/>
    <w:rsid w:val="00567406"/>
    <w:rsid w:val="00567499"/>
    <w:rsid w:val="005674B8"/>
    <w:rsid w:val="005674E9"/>
    <w:rsid w:val="0056757B"/>
    <w:rsid w:val="0056759B"/>
    <w:rsid w:val="005675AC"/>
    <w:rsid w:val="005675AD"/>
    <w:rsid w:val="005675E9"/>
    <w:rsid w:val="005675EA"/>
    <w:rsid w:val="00567618"/>
    <w:rsid w:val="00567630"/>
    <w:rsid w:val="00567662"/>
    <w:rsid w:val="005676C3"/>
    <w:rsid w:val="00567722"/>
    <w:rsid w:val="0056772E"/>
    <w:rsid w:val="0056774D"/>
    <w:rsid w:val="0056776E"/>
    <w:rsid w:val="005677CC"/>
    <w:rsid w:val="00567858"/>
    <w:rsid w:val="00567903"/>
    <w:rsid w:val="00567904"/>
    <w:rsid w:val="00567982"/>
    <w:rsid w:val="00567985"/>
    <w:rsid w:val="00567996"/>
    <w:rsid w:val="00567A2B"/>
    <w:rsid w:val="00567A4F"/>
    <w:rsid w:val="00567ABE"/>
    <w:rsid w:val="00567ACA"/>
    <w:rsid w:val="00567ADF"/>
    <w:rsid w:val="00567B0C"/>
    <w:rsid w:val="00567B0E"/>
    <w:rsid w:val="00567B70"/>
    <w:rsid w:val="00567B7F"/>
    <w:rsid w:val="00567B83"/>
    <w:rsid w:val="00567C1D"/>
    <w:rsid w:val="00567C2E"/>
    <w:rsid w:val="00567C37"/>
    <w:rsid w:val="00567C91"/>
    <w:rsid w:val="00567CA8"/>
    <w:rsid w:val="00567CAE"/>
    <w:rsid w:val="00567D2D"/>
    <w:rsid w:val="00567D6D"/>
    <w:rsid w:val="00567D8B"/>
    <w:rsid w:val="00567E3F"/>
    <w:rsid w:val="00567E97"/>
    <w:rsid w:val="00567EA8"/>
    <w:rsid w:val="00567EB6"/>
    <w:rsid w:val="00567EE5"/>
    <w:rsid w:val="00567EF9"/>
    <w:rsid w:val="00567EFE"/>
    <w:rsid w:val="00567F6B"/>
    <w:rsid w:val="00567F76"/>
    <w:rsid w:val="00567FF3"/>
    <w:rsid w:val="00570070"/>
    <w:rsid w:val="00570142"/>
    <w:rsid w:val="00570164"/>
    <w:rsid w:val="005701F4"/>
    <w:rsid w:val="005702B8"/>
    <w:rsid w:val="005702E2"/>
    <w:rsid w:val="0057032E"/>
    <w:rsid w:val="0057035E"/>
    <w:rsid w:val="0057036F"/>
    <w:rsid w:val="0057039D"/>
    <w:rsid w:val="005703BF"/>
    <w:rsid w:val="005703D1"/>
    <w:rsid w:val="005704BA"/>
    <w:rsid w:val="005704C3"/>
    <w:rsid w:val="005704C6"/>
    <w:rsid w:val="005705A0"/>
    <w:rsid w:val="005705BE"/>
    <w:rsid w:val="0057061A"/>
    <w:rsid w:val="00570637"/>
    <w:rsid w:val="00570656"/>
    <w:rsid w:val="0057069D"/>
    <w:rsid w:val="005706B2"/>
    <w:rsid w:val="005706B8"/>
    <w:rsid w:val="005706F8"/>
    <w:rsid w:val="00570707"/>
    <w:rsid w:val="0057071A"/>
    <w:rsid w:val="0057073B"/>
    <w:rsid w:val="005707D7"/>
    <w:rsid w:val="005707E1"/>
    <w:rsid w:val="0057089F"/>
    <w:rsid w:val="005708DD"/>
    <w:rsid w:val="00570903"/>
    <w:rsid w:val="00570929"/>
    <w:rsid w:val="00570935"/>
    <w:rsid w:val="00570981"/>
    <w:rsid w:val="005709BC"/>
    <w:rsid w:val="005709F7"/>
    <w:rsid w:val="00570A54"/>
    <w:rsid w:val="00570B51"/>
    <w:rsid w:val="00570BB8"/>
    <w:rsid w:val="00570BB9"/>
    <w:rsid w:val="00570BCB"/>
    <w:rsid w:val="00570C27"/>
    <w:rsid w:val="00570C41"/>
    <w:rsid w:val="00570C68"/>
    <w:rsid w:val="00570C75"/>
    <w:rsid w:val="00570C7A"/>
    <w:rsid w:val="00570CA4"/>
    <w:rsid w:val="00570D20"/>
    <w:rsid w:val="00570D26"/>
    <w:rsid w:val="00570D3A"/>
    <w:rsid w:val="00570D85"/>
    <w:rsid w:val="00570E3D"/>
    <w:rsid w:val="00570E58"/>
    <w:rsid w:val="00570E5E"/>
    <w:rsid w:val="00570E64"/>
    <w:rsid w:val="00570EA4"/>
    <w:rsid w:val="00570EC0"/>
    <w:rsid w:val="00570EF6"/>
    <w:rsid w:val="00570F0A"/>
    <w:rsid w:val="00570F48"/>
    <w:rsid w:val="00570F55"/>
    <w:rsid w:val="00570F59"/>
    <w:rsid w:val="00570F88"/>
    <w:rsid w:val="00570FE3"/>
    <w:rsid w:val="00570FFE"/>
    <w:rsid w:val="00571010"/>
    <w:rsid w:val="00571043"/>
    <w:rsid w:val="00571096"/>
    <w:rsid w:val="0057113E"/>
    <w:rsid w:val="005711CB"/>
    <w:rsid w:val="00571224"/>
    <w:rsid w:val="0057126C"/>
    <w:rsid w:val="005712A3"/>
    <w:rsid w:val="005712DB"/>
    <w:rsid w:val="00571309"/>
    <w:rsid w:val="0057135A"/>
    <w:rsid w:val="00571374"/>
    <w:rsid w:val="005713DA"/>
    <w:rsid w:val="0057144F"/>
    <w:rsid w:val="00571482"/>
    <w:rsid w:val="005714AC"/>
    <w:rsid w:val="005714AD"/>
    <w:rsid w:val="005714B0"/>
    <w:rsid w:val="005714B7"/>
    <w:rsid w:val="0057151B"/>
    <w:rsid w:val="0057153B"/>
    <w:rsid w:val="00571572"/>
    <w:rsid w:val="005715BC"/>
    <w:rsid w:val="005715EB"/>
    <w:rsid w:val="00571656"/>
    <w:rsid w:val="00571695"/>
    <w:rsid w:val="00571712"/>
    <w:rsid w:val="0057179D"/>
    <w:rsid w:val="005717AD"/>
    <w:rsid w:val="005717B2"/>
    <w:rsid w:val="005717CF"/>
    <w:rsid w:val="005717D5"/>
    <w:rsid w:val="005717F1"/>
    <w:rsid w:val="00571840"/>
    <w:rsid w:val="0057185D"/>
    <w:rsid w:val="005718A1"/>
    <w:rsid w:val="005718B4"/>
    <w:rsid w:val="005718CD"/>
    <w:rsid w:val="00571937"/>
    <w:rsid w:val="0057198B"/>
    <w:rsid w:val="00571A13"/>
    <w:rsid w:val="00571A53"/>
    <w:rsid w:val="00571A63"/>
    <w:rsid w:val="00571A77"/>
    <w:rsid w:val="00571A7E"/>
    <w:rsid w:val="00571AD2"/>
    <w:rsid w:val="00571B08"/>
    <w:rsid w:val="00571B09"/>
    <w:rsid w:val="00571B8B"/>
    <w:rsid w:val="00571BB0"/>
    <w:rsid w:val="00571D2A"/>
    <w:rsid w:val="00571D50"/>
    <w:rsid w:val="00571D93"/>
    <w:rsid w:val="00571DB1"/>
    <w:rsid w:val="00571DBF"/>
    <w:rsid w:val="00571EA9"/>
    <w:rsid w:val="00571ED1"/>
    <w:rsid w:val="00571F99"/>
    <w:rsid w:val="00571FA8"/>
    <w:rsid w:val="00571FD6"/>
    <w:rsid w:val="005720CE"/>
    <w:rsid w:val="005720D7"/>
    <w:rsid w:val="005721C8"/>
    <w:rsid w:val="005721F6"/>
    <w:rsid w:val="00572204"/>
    <w:rsid w:val="0057226C"/>
    <w:rsid w:val="00572298"/>
    <w:rsid w:val="00572320"/>
    <w:rsid w:val="005723B7"/>
    <w:rsid w:val="005723C3"/>
    <w:rsid w:val="005723D2"/>
    <w:rsid w:val="005723E2"/>
    <w:rsid w:val="005723E4"/>
    <w:rsid w:val="00572409"/>
    <w:rsid w:val="0057242D"/>
    <w:rsid w:val="00572430"/>
    <w:rsid w:val="0057246B"/>
    <w:rsid w:val="0057247E"/>
    <w:rsid w:val="0057248B"/>
    <w:rsid w:val="005724E0"/>
    <w:rsid w:val="00572502"/>
    <w:rsid w:val="00572520"/>
    <w:rsid w:val="00572565"/>
    <w:rsid w:val="00572585"/>
    <w:rsid w:val="00572587"/>
    <w:rsid w:val="00572604"/>
    <w:rsid w:val="0057261A"/>
    <w:rsid w:val="00572639"/>
    <w:rsid w:val="00572685"/>
    <w:rsid w:val="0057269E"/>
    <w:rsid w:val="005727F0"/>
    <w:rsid w:val="0057282B"/>
    <w:rsid w:val="0057286E"/>
    <w:rsid w:val="00572918"/>
    <w:rsid w:val="00572986"/>
    <w:rsid w:val="005729A2"/>
    <w:rsid w:val="005729BA"/>
    <w:rsid w:val="005729D9"/>
    <w:rsid w:val="00572A29"/>
    <w:rsid w:val="00572B2C"/>
    <w:rsid w:val="00572BA1"/>
    <w:rsid w:val="00572BB9"/>
    <w:rsid w:val="00572C50"/>
    <w:rsid w:val="00572C81"/>
    <w:rsid w:val="00572C99"/>
    <w:rsid w:val="00572C9B"/>
    <w:rsid w:val="00572D1B"/>
    <w:rsid w:val="00572D4A"/>
    <w:rsid w:val="00572D51"/>
    <w:rsid w:val="00572D62"/>
    <w:rsid w:val="00572D85"/>
    <w:rsid w:val="00572D8D"/>
    <w:rsid w:val="00572DA2"/>
    <w:rsid w:val="00572F05"/>
    <w:rsid w:val="00572F0F"/>
    <w:rsid w:val="00572F34"/>
    <w:rsid w:val="00572F44"/>
    <w:rsid w:val="00572FAD"/>
    <w:rsid w:val="0057305B"/>
    <w:rsid w:val="005730E7"/>
    <w:rsid w:val="005731D1"/>
    <w:rsid w:val="0057322E"/>
    <w:rsid w:val="00573269"/>
    <w:rsid w:val="00573273"/>
    <w:rsid w:val="005732D5"/>
    <w:rsid w:val="00573324"/>
    <w:rsid w:val="00573338"/>
    <w:rsid w:val="00573346"/>
    <w:rsid w:val="00573347"/>
    <w:rsid w:val="00573384"/>
    <w:rsid w:val="00573399"/>
    <w:rsid w:val="00573417"/>
    <w:rsid w:val="00573455"/>
    <w:rsid w:val="00573604"/>
    <w:rsid w:val="0057361C"/>
    <w:rsid w:val="00573627"/>
    <w:rsid w:val="0057366F"/>
    <w:rsid w:val="0057367A"/>
    <w:rsid w:val="00573682"/>
    <w:rsid w:val="00573694"/>
    <w:rsid w:val="005737B1"/>
    <w:rsid w:val="00573870"/>
    <w:rsid w:val="00573879"/>
    <w:rsid w:val="00573885"/>
    <w:rsid w:val="0057392D"/>
    <w:rsid w:val="0057393A"/>
    <w:rsid w:val="00573941"/>
    <w:rsid w:val="00573985"/>
    <w:rsid w:val="005739DF"/>
    <w:rsid w:val="00573A7C"/>
    <w:rsid w:val="00573ACA"/>
    <w:rsid w:val="00573B11"/>
    <w:rsid w:val="00573B43"/>
    <w:rsid w:val="00573B5F"/>
    <w:rsid w:val="00573B73"/>
    <w:rsid w:val="00573B7D"/>
    <w:rsid w:val="00573BBB"/>
    <w:rsid w:val="00573BCB"/>
    <w:rsid w:val="00573C15"/>
    <w:rsid w:val="00573C47"/>
    <w:rsid w:val="00573C64"/>
    <w:rsid w:val="00573C93"/>
    <w:rsid w:val="00573D3B"/>
    <w:rsid w:val="00573D87"/>
    <w:rsid w:val="00573E6A"/>
    <w:rsid w:val="00573EA1"/>
    <w:rsid w:val="00573EF7"/>
    <w:rsid w:val="00573F07"/>
    <w:rsid w:val="00573F12"/>
    <w:rsid w:val="00573F3E"/>
    <w:rsid w:val="00573FB6"/>
    <w:rsid w:val="00573FFD"/>
    <w:rsid w:val="00574190"/>
    <w:rsid w:val="005741C5"/>
    <w:rsid w:val="00574239"/>
    <w:rsid w:val="00574256"/>
    <w:rsid w:val="00574266"/>
    <w:rsid w:val="0057430D"/>
    <w:rsid w:val="0057431D"/>
    <w:rsid w:val="00574355"/>
    <w:rsid w:val="00574371"/>
    <w:rsid w:val="00574392"/>
    <w:rsid w:val="00574495"/>
    <w:rsid w:val="005744FE"/>
    <w:rsid w:val="00574513"/>
    <w:rsid w:val="00574537"/>
    <w:rsid w:val="00574593"/>
    <w:rsid w:val="0057465B"/>
    <w:rsid w:val="0057465C"/>
    <w:rsid w:val="0057465E"/>
    <w:rsid w:val="0057466E"/>
    <w:rsid w:val="00574685"/>
    <w:rsid w:val="00574702"/>
    <w:rsid w:val="0057470A"/>
    <w:rsid w:val="0057470C"/>
    <w:rsid w:val="00574721"/>
    <w:rsid w:val="0057475F"/>
    <w:rsid w:val="005747F9"/>
    <w:rsid w:val="0057480E"/>
    <w:rsid w:val="00574838"/>
    <w:rsid w:val="00574864"/>
    <w:rsid w:val="00574884"/>
    <w:rsid w:val="00574885"/>
    <w:rsid w:val="005748FD"/>
    <w:rsid w:val="005749FE"/>
    <w:rsid w:val="00574A1D"/>
    <w:rsid w:val="00574A1E"/>
    <w:rsid w:val="00574A9D"/>
    <w:rsid w:val="00574B17"/>
    <w:rsid w:val="00574B46"/>
    <w:rsid w:val="00574B5F"/>
    <w:rsid w:val="00574BF1"/>
    <w:rsid w:val="00574C2F"/>
    <w:rsid w:val="00574C7B"/>
    <w:rsid w:val="00574C84"/>
    <w:rsid w:val="00574CAC"/>
    <w:rsid w:val="00574CED"/>
    <w:rsid w:val="00574D09"/>
    <w:rsid w:val="00574D13"/>
    <w:rsid w:val="00574D1F"/>
    <w:rsid w:val="00574DD4"/>
    <w:rsid w:val="00574E01"/>
    <w:rsid w:val="00574E8A"/>
    <w:rsid w:val="00574E8E"/>
    <w:rsid w:val="00574EEE"/>
    <w:rsid w:val="00574EFB"/>
    <w:rsid w:val="00574F1B"/>
    <w:rsid w:val="00574F2C"/>
    <w:rsid w:val="00574F57"/>
    <w:rsid w:val="00574F6E"/>
    <w:rsid w:val="00574F86"/>
    <w:rsid w:val="00574FAD"/>
    <w:rsid w:val="00574FB9"/>
    <w:rsid w:val="00574FC3"/>
    <w:rsid w:val="00574FE6"/>
    <w:rsid w:val="0057503C"/>
    <w:rsid w:val="0057511D"/>
    <w:rsid w:val="0057518F"/>
    <w:rsid w:val="005751A8"/>
    <w:rsid w:val="00575219"/>
    <w:rsid w:val="00575223"/>
    <w:rsid w:val="00575232"/>
    <w:rsid w:val="0057523E"/>
    <w:rsid w:val="0057524D"/>
    <w:rsid w:val="0057537D"/>
    <w:rsid w:val="00575388"/>
    <w:rsid w:val="005753C0"/>
    <w:rsid w:val="005753DB"/>
    <w:rsid w:val="00575414"/>
    <w:rsid w:val="00575449"/>
    <w:rsid w:val="0057545B"/>
    <w:rsid w:val="005754A2"/>
    <w:rsid w:val="00575511"/>
    <w:rsid w:val="00575529"/>
    <w:rsid w:val="0057554E"/>
    <w:rsid w:val="005755BE"/>
    <w:rsid w:val="005755C1"/>
    <w:rsid w:val="005756CF"/>
    <w:rsid w:val="0057572D"/>
    <w:rsid w:val="00575756"/>
    <w:rsid w:val="0057577D"/>
    <w:rsid w:val="005757AE"/>
    <w:rsid w:val="005757D4"/>
    <w:rsid w:val="005757EC"/>
    <w:rsid w:val="005757F6"/>
    <w:rsid w:val="005757FE"/>
    <w:rsid w:val="005758A5"/>
    <w:rsid w:val="005758B3"/>
    <w:rsid w:val="0057599A"/>
    <w:rsid w:val="005759CE"/>
    <w:rsid w:val="00575A2C"/>
    <w:rsid w:val="00575A61"/>
    <w:rsid w:val="00575A84"/>
    <w:rsid w:val="00575AB0"/>
    <w:rsid w:val="00575AD4"/>
    <w:rsid w:val="00575AE4"/>
    <w:rsid w:val="00575B76"/>
    <w:rsid w:val="00575B80"/>
    <w:rsid w:val="00575BD1"/>
    <w:rsid w:val="00575C6E"/>
    <w:rsid w:val="00575D09"/>
    <w:rsid w:val="00575D76"/>
    <w:rsid w:val="00575DB2"/>
    <w:rsid w:val="00575E3A"/>
    <w:rsid w:val="00575E74"/>
    <w:rsid w:val="00575EB7"/>
    <w:rsid w:val="00575EF9"/>
    <w:rsid w:val="00575F32"/>
    <w:rsid w:val="0057605B"/>
    <w:rsid w:val="005760F5"/>
    <w:rsid w:val="0057612A"/>
    <w:rsid w:val="005761F7"/>
    <w:rsid w:val="0057624C"/>
    <w:rsid w:val="005762B1"/>
    <w:rsid w:val="005762C3"/>
    <w:rsid w:val="00576318"/>
    <w:rsid w:val="00576456"/>
    <w:rsid w:val="005764A3"/>
    <w:rsid w:val="0057651A"/>
    <w:rsid w:val="0057656E"/>
    <w:rsid w:val="005765B2"/>
    <w:rsid w:val="005765BD"/>
    <w:rsid w:val="005766DB"/>
    <w:rsid w:val="005766E6"/>
    <w:rsid w:val="00576749"/>
    <w:rsid w:val="0057674B"/>
    <w:rsid w:val="00576780"/>
    <w:rsid w:val="00576798"/>
    <w:rsid w:val="005767B4"/>
    <w:rsid w:val="005767BD"/>
    <w:rsid w:val="00576813"/>
    <w:rsid w:val="005768A1"/>
    <w:rsid w:val="005768D5"/>
    <w:rsid w:val="00576980"/>
    <w:rsid w:val="005769B4"/>
    <w:rsid w:val="005769C0"/>
    <w:rsid w:val="005769DB"/>
    <w:rsid w:val="005769F4"/>
    <w:rsid w:val="00576A04"/>
    <w:rsid w:val="00576AAF"/>
    <w:rsid w:val="00576ABA"/>
    <w:rsid w:val="00576AD4"/>
    <w:rsid w:val="00576ADD"/>
    <w:rsid w:val="00576B26"/>
    <w:rsid w:val="00576B39"/>
    <w:rsid w:val="00576B60"/>
    <w:rsid w:val="00576B6B"/>
    <w:rsid w:val="00576B7A"/>
    <w:rsid w:val="00576B91"/>
    <w:rsid w:val="00576BD7"/>
    <w:rsid w:val="00576C0C"/>
    <w:rsid w:val="00576C0F"/>
    <w:rsid w:val="00576C17"/>
    <w:rsid w:val="00576C64"/>
    <w:rsid w:val="00576C71"/>
    <w:rsid w:val="00576C9C"/>
    <w:rsid w:val="00576CE5"/>
    <w:rsid w:val="00576D18"/>
    <w:rsid w:val="00576D59"/>
    <w:rsid w:val="00576DEF"/>
    <w:rsid w:val="00576E04"/>
    <w:rsid w:val="00576E3A"/>
    <w:rsid w:val="00576E98"/>
    <w:rsid w:val="00576EC3"/>
    <w:rsid w:val="00576ED8"/>
    <w:rsid w:val="00576EE1"/>
    <w:rsid w:val="00576F60"/>
    <w:rsid w:val="00576F6D"/>
    <w:rsid w:val="00576FAE"/>
    <w:rsid w:val="0057702D"/>
    <w:rsid w:val="00577105"/>
    <w:rsid w:val="00577119"/>
    <w:rsid w:val="0057716B"/>
    <w:rsid w:val="0057717F"/>
    <w:rsid w:val="005771C3"/>
    <w:rsid w:val="00577234"/>
    <w:rsid w:val="0057724B"/>
    <w:rsid w:val="00577276"/>
    <w:rsid w:val="0057736C"/>
    <w:rsid w:val="00577397"/>
    <w:rsid w:val="005773AF"/>
    <w:rsid w:val="005773B6"/>
    <w:rsid w:val="005773FA"/>
    <w:rsid w:val="0057741A"/>
    <w:rsid w:val="0057742B"/>
    <w:rsid w:val="0057742F"/>
    <w:rsid w:val="0057747C"/>
    <w:rsid w:val="00577500"/>
    <w:rsid w:val="0057759F"/>
    <w:rsid w:val="005775AB"/>
    <w:rsid w:val="005775E1"/>
    <w:rsid w:val="00577614"/>
    <w:rsid w:val="0057768C"/>
    <w:rsid w:val="005776A6"/>
    <w:rsid w:val="005776E4"/>
    <w:rsid w:val="00577721"/>
    <w:rsid w:val="0057772B"/>
    <w:rsid w:val="005777CD"/>
    <w:rsid w:val="005777DD"/>
    <w:rsid w:val="00577813"/>
    <w:rsid w:val="00577830"/>
    <w:rsid w:val="0057783F"/>
    <w:rsid w:val="00577875"/>
    <w:rsid w:val="0057787F"/>
    <w:rsid w:val="00577882"/>
    <w:rsid w:val="005778A2"/>
    <w:rsid w:val="005778F0"/>
    <w:rsid w:val="00577907"/>
    <w:rsid w:val="00577951"/>
    <w:rsid w:val="00577956"/>
    <w:rsid w:val="00577972"/>
    <w:rsid w:val="005779E4"/>
    <w:rsid w:val="005779F1"/>
    <w:rsid w:val="00577A2F"/>
    <w:rsid w:val="00577A81"/>
    <w:rsid w:val="00577A82"/>
    <w:rsid w:val="00577A94"/>
    <w:rsid w:val="00577ABF"/>
    <w:rsid w:val="00577AC3"/>
    <w:rsid w:val="00577B47"/>
    <w:rsid w:val="00577B52"/>
    <w:rsid w:val="00577B58"/>
    <w:rsid w:val="00577B5F"/>
    <w:rsid w:val="00577B8F"/>
    <w:rsid w:val="00577BAB"/>
    <w:rsid w:val="00577BFC"/>
    <w:rsid w:val="00577BFE"/>
    <w:rsid w:val="00577C9E"/>
    <w:rsid w:val="00577D2F"/>
    <w:rsid w:val="00577D3E"/>
    <w:rsid w:val="00577D68"/>
    <w:rsid w:val="00577DF5"/>
    <w:rsid w:val="00577EC0"/>
    <w:rsid w:val="00577EF8"/>
    <w:rsid w:val="00577F0B"/>
    <w:rsid w:val="00577F49"/>
    <w:rsid w:val="00577FB5"/>
    <w:rsid w:val="00577FF0"/>
    <w:rsid w:val="00580017"/>
    <w:rsid w:val="00580037"/>
    <w:rsid w:val="00580057"/>
    <w:rsid w:val="005800A3"/>
    <w:rsid w:val="005800DD"/>
    <w:rsid w:val="005800DE"/>
    <w:rsid w:val="0058010C"/>
    <w:rsid w:val="0058011D"/>
    <w:rsid w:val="0058014A"/>
    <w:rsid w:val="005801A9"/>
    <w:rsid w:val="005801CF"/>
    <w:rsid w:val="00580298"/>
    <w:rsid w:val="005802F6"/>
    <w:rsid w:val="0058031F"/>
    <w:rsid w:val="00580325"/>
    <w:rsid w:val="0058039A"/>
    <w:rsid w:val="005803A8"/>
    <w:rsid w:val="005803D2"/>
    <w:rsid w:val="00580437"/>
    <w:rsid w:val="005804AB"/>
    <w:rsid w:val="005804EE"/>
    <w:rsid w:val="005804F7"/>
    <w:rsid w:val="00580500"/>
    <w:rsid w:val="00580527"/>
    <w:rsid w:val="00580640"/>
    <w:rsid w:val="00580642"/>
    <w:rsid w:val="005806A0"/>
    <w:rsid w:val="0058074E"/>
    <w:rsid w:val="005807B0"/>
    <w:rsid w:val="005807CC"/>
    <w:rsid w:val="0058080A"/>
    <w:rsid w:val="0058087F"/>
    <w:rsid w:val="005808DB"/>
    <w:rsid w:val="00580945"/>
    <w:rsid w:val="005809F8"/>
    <w:rsid w:val="00580A9A"/>
    <w:rsid w:val="00580B3A"/>
    <w:rsid w:val="00580BC0"/>
    <w:rsid w:val="00580BD5"/>
    <w:rsid w:val="00580C28"/>
    <w:rsid w:val="00580C2B"/>
    <w:rsid w:val="00580C4B"/>
    <w:rsid w:val="00580C6E"/>
    <w:rsid w:val="00580D1C"/>
    <w:rsid w:val="00580DB6"/>
    <w:rsid w:val="00580DD8"/>
    <w:rsid w:val="00580E88"/>
    <w:rsid w:val="00580EAA"/>
    <w:rsid w:val="00580EAF"/>
    <w:rsid w:val="00580EDE"/>
    <w:rsid w:val="00580EF5"/>
    <w:rsid w:val="00580F56"/>
    <w:rsid w:val="00580F7F"/>
    <w:rsid w:val="00580F8D"/>
    <w:rsid w:val="00580FA9"/>
    <w:rsid w:val="00580FCB"/>
    <w:rsid w:val="00581059"/>
    <w:rsid w:val="0058106B"/>
    <w:rsid w:val="00581094"/>
    <w:rsid w:val="005810B8"/>
    <w:rsid w:val="005810E8"/>
    <w:rsid w:val="005811B5"/>
    <w:rsid w:val="005811C8"/>
    <w:rsid w:val="005811ED"/>
    <w:rsid w:val="0058120E"/>
    <w:rsid w:val="00581228"/>
    <w:rsid w:val="0058124C"/>
    <w:rsid w:val="0058127B"/>
    <w:rsid w:val="005812A5"/>
    <w:rsid w:val="005812DF"/>
    <w:rsid w:val="0058132F"/>
    <w:rsid w:val="00581338"/>
    <w:rsid w:val="00581351"/>
    <w:rsid w:val="00581370"/>
    <w:rsid w:val="0058137D"/>
    <w:rsid w:val="005813E4"/>
    <w:rsid w:val="005814E5"/>
    <w:rsid w:val="005814FB"/>
    <w:rsid w:val="0058150A"/>
    <w:rsid w:val="0058150D"/>
    <w:rsid w:val="00581554"/>
    <w:rsid w:val="00581612"/>
    <w:rsid w:val="00581621"/>
    <w:rsid w:val="0058163B"/>
    <w:rsid w:val="0058164E"/>
    <w:rsid w:val="0058164F"/>
    <w:rsid w:val="0058166A"/>
    <w:rsid w:val="00581686"/>
    <w:rsid w:val="0058169A"/>
    <w:rsid w:val="005816DE"/>
    <w:rsid w:val="00581745"/>
    <w:rsid w:val="00581762"/>
    <w:rsid w:val="00581786"/>
    <w:rsid w:val="00581792"/>
    <w:rsid w:val="005817D3"/>
    <w:rsid w:val="005817EF"/>
    <w:rsid w:val="0058189D"/>
    <w:rsid w:val="005818D9"/>
    <w:rsid w:val="0058193D"/>
    <w:rsid w:val="0058194E"/>
    <w:rsid w:val="00581965"/>
    <w:rsid w:val="00581A5F"/>
    <w:rsid w:val="00581A7A"/>
    <w:rsid w:val="00581A82"/>
    <w:rsid w:val="00581AB2"/>
    <w:rsid w:val="00581ACC"/>
    <w:rsid w:val="00581B13"/>
    <w:rsid w:val="00581B6E"/>
    <w:rsid w:val="00581BCF"/>
    <w:rsid w:val="00581BF4"/>
    <w:rsid w:val="00581BFF"/>
    <w:rsid w:val="00581C86"/>
    <w:rsid w:val="00581C87"/>
    <w:rsid w:val="00581CCD"/>
    <w:rsid w:val="00581D08"/>
    <w:rsid w:val="00581D22"/>
    <w:rsid w:val="00581D6A"/>
    <w:rsid w:val="00581DD0"/>
    <w:rsid w:val="00581E3A"/>
    <w:rsid w:val="00581E87"/>
    <w:rsid w:val="00581EE0"/>
    <w:rsid w:val="00581EFA"/>
    <w:rsid w:val="00581F3D"/>
    <w:rsid w:val="00581F96"/>
    <w:rsid w:val="0058203B"/>
    <w:rsid w:val="00582064"/>
    <w:rsid w:val="00582078"/>
    <w:rsid w:val="005820D7"/>
    <w:rsid w:val="005820F3"/>
    <w:rsid w:val="005820FA"/>
    <w:rsid w:val="00582100"/>
    <w:rsid w:val="00582132"/>
    <w:rsid w:val="0058214F"/>
    <w:rsid w:val="00582180"/>
    <w:rsid w:val="00582286"/>
    <w:rsid w:val="0058229C"/>
    <w:rsid w:val="00582343"/>
    <w:rsid w:val="00582374"/>
    <w:rsid w:val="005823DD"/>
    <w:rsid w:val="005823EE"/>
    <w:rsid w:val="0058246E"/>
    <w:rsid w:val="00582476"/>
    <w:rsid w:val="00582486"/>
    <w:rsid w:val="005824A9"/>
    <w:rsid w:val="00582549"/>
    <w:rsid w:val="00582596"/>
    <w:rsid w:val="0058259A"/>
    <w:rsid w:val="00582656"/>
    <w:rsid w:val="0058269A"/>
    <w:rsid w:val="005826F0"/>
    <w:rsid w:val="00582722"/>
    <w:rsid w:val="00582755"/>
    <w:rsid w:val="0058276F"/>
    <w:rsid w:val="00582778"/>
    <w:rsid w:val="005827CF"/>
    <w:rsid w:val="00582831"/>
    <w:rsid w:val="0058284E"/>
    <w:rsid w:val="0058286D"/>
    <w:rsid w:val="005828A0"/>
    <w:rsid w:val="005828F0"/>
    <w:rsid w:val="00582940"/>
    <w:rsid w:val="0058294F"/>
    <w:rsid w:val="0058296A"/>
    <w:rsid w:val="00582970"/>
    <w:rsid w:val="005829D9"/>
    <w:rsid w:val="005829DC"/>
    <w:rsid w:val="00582A1A"/>
    <w:rsid w:val="00582A8B"/>
    <w:rsid w:val="00582AB0"/>
    <w:rsid w:val="00582B11"/>
    <w:rsid w:val="00582B34"/>
    <w:rsid w:val="00582B4B"/>
    <w:rsid w:val="00582B52"/>
    <w:rsid w:val="00582B98"/>
    <w:rsid w:val="00582BC8"/>
    <w:rsid w:val="00582BFC"/>
    <w:rsid w:val="00582C25"/>
    <w:rsid w:val="00582C2D"/>
    <w:rsid w:val="00582C83"/>
    <w:rsid w:val="00582D1D"/>
    <w:rsid w:val="00582D7E"/>
    <w:rsid w:val="00582D86"/>
    <w:rsid w:val="00582DA8"/>
    <w:rsid w:val="00582DAB"/>
    <w:rsid w:val="00582DB9"/>
    <w:rsid w:val="00582E07"/>
    <w:rsid w:val="00582E43"/>
    <w:rsid w:val="00582E7A"/>
    <w:rsid w:val="00582E81"/>
    <w:rsid w:val="00582EA4"/>
    <w:rsid w:val="00582EB4"/>
    <w:rsid w:val="00582F31"/>
    <w:rsid w:val="00582F5E"/>
    <w:rsid w:val="00582F67"/>
    <w:rsid w:val="00582F79"/>
    <w:rsid w:val="00582F83"/>
    <w:rsid w:val="00582F97"/>
    <w:rsid w:val="00582FAE"/>
    <w:rsid w:val="00582FE3"/>
    <w:rsid w:val="00583005"/>
    <w:rsid w:val="00583073"/>
    <w:rsid w:val="005830B0"/>
    <w:rsid w:val="005830E2"/>
    <w:rsid w:val="00583166"/>
    <w:rsid w:val="00583175"/>
    <w:rsid w:val="00583188"/>
    <w:rsid w:val="005831B4"/>
    <w:rsid w:val="005831BA"/>
    <w:rsid w:val="005831C2"/>
    <w:rsid w:val="005831FB"/>
    <w:rsid w:val="005831FE"/>
    <w:rsid w:val="00583207"/>
    <w:rsid w:val="00583223"/>
    <w:rsid w:val="00583266"/>
    <w:rsid w:val="0058326F"/>
    <w:rsid w:val="00583271"/>
    <w:rsid w:val="005832AE"/>
    <w:rsid w:val="005832BF"/>
    <w:rsid w:val="005832D5"/>
    <w:rsid w:val="005832DA"/>
    <w:rsid w:val="00583360"/>
    <w:rsid w:val="0058338F"/>
    <w:rsid w:val="0058339F"/>
    <w:rsid w:val="005833F0"/>
    <w:rsid w:val="00583453"/>
    <w:rsid w:val="00583483"/>
    <w:rsid w:val="005834A0"/>
    <w:rsid w:val="005834A1"/>
    <w:rsid w:val="005834A9"/>
    <w:rsid w:val="005834AE"/>
    <w:rsid w:val="005834B2"/>
    <w:rsid w:val="005834E8"/>
    <w:rsid w:val="0058352F"/>
    <w:rsid w:val="0058358E"/>
    <w:rsid w:val="005835B4"/>
    <w:rsid w:val="0058366C"/>
    <w:rsid w:val="005836A5"/>
    <w:rsid w:val="005836C1"/>
    <w:rsid w:val="005836DB"/>
    <w:rsid w:val="005837AB"/>
    <w:rsid w:val="005837DB"/>
    <w:rsid w:val="0058380F"/>
    <w:rsid w:val="0058385B"/>
    <w:rsid w:val="00583895"/>
    <w:rsid w:val="005838B2"/>
    <w:rsid w:val="005838C7"/>
    <w:rsid w:val="005838F9"/>
    <w:rsid w:val="00583908"/>
    <w:rsid w:val="0058390B"/>
    <w:rsid w:val="00583914"/>
    <w:rsid w:val="005839B5"/>
    <w:rsid w:val="005839C6"/>
    <w:rsid w:val="005839D2"/>
    <w:rsid w:val="005839E4"/>
    <w:rsid w:val="00583A16"/>
    <w:rsid w:val="00583A79"/>
    <w:rsid w:val="00583AD7"/>
    <w:rsid w:val="00583BB8"/>
    <w:rsid w:val="00583C5C"/>
    <w:rsid w:val="00583CE6"/>
    <w:rsid w:val="00583CED"/>
    <w:rsid w:val="00583D56"/>
    <w:rsid w:val="00583DAC"/>
    <w:rsid w:val="00583DB5"/>
    <w:rsid w:val="00583E48"/>
    <w:rsid w:val="00583E54"/>
    <w:rsid w:val="00583E9F"/>
    <w:rsid w:val="00583EEA"/>
    <w:rsid w:val="00583F2F"/>
    <w:rsid w:val="00583F47"/>
    <w:rsid w:val="00583FC3"/>
    <w:rsid w:val="00583FDF"/>
    <w:rsid w:val="00584020"/>
    <w:rsid w:val="0058403D"/>
    <w:rsid w:val="0058404A"/>
    <w:rsid w:val="005840A7"/>
    <w:rsid w:val="00584126"/>
    <w:rsid w:val="0058413A"/>
    <w:rsid w:val="005841C7"/>
    <w:rsid w:val="005841EF"/>
    <w:rsid w:val="00584206"/>
    <w:rsid w:val="00584262"/>
    <w:rsid w:val="00584263"/>
    <w:rsid w:val="00584305"/>
    <w:rsid w:val="00584367"/>
    <w:rsid w:val="005843C4"/>
    <w:rsid w:val="00584412"/>
    <w:rsid w:val="00584420"/>
    <w:rsid w:val="005844C9"/>
    <w:rsid w:val="0058456E"/>
    <w:rsid w:val="005845DF"/>
    <w:rsid w:val="005845F0"/>
    <w:rsid w:val="00584627"/>
    <w:rsid w:val="005846A6"/>
    <w:rsid w:val="005846C8"/>
    <w:rsid w:val="005846DE"/>
    <w:rsid w:val="005846E4"/>
    <w:rsid w:val="00584715"/>
    <w:rsid w:val="00584757"/>
    <w:rsid w:val="00584770"/>
    <w:rsid w:val="00584832"/>
    <w:rsid w:val="00584842"/>
    <w:rsid w:val="00584885"/>
    <w:rsid w:val="00584892"/>
    <w:rsid w:val="00584897"/>
    <w:rsid w:val="005848E7"/>
    <w:rsid w:val="0058492B"/>
    <w:rsid w:val="00584970"/>
    <w:rsid w:val="00584995"/>
    <w:rsid w:val="005849A9"/>
    <w:rsid w:val="005849B9"/>
    <w:rsid w:val="005849E4"/>
    <w:rsid w:val="005849F2"/>
    <w:rsid w:val="00584A3F"/>
    <w:rsid w:val="00584B53"/>
    <w:rsid w:val="00584B69"/>
    <w:rsid w:val="00584BA4"/>
    <w:rsid w:val="00584BE3"/>
    <w:rsid w:val="00584C33"/>
    <w:rsid w:val="00584C74"/>
    <w:rsid w:val="00584C9B"/>
    <w:rsid w:val="00584CAE"/>
    <w:rsid w:val="00584D0B"/>
    <w:rsid w:val="00584D42"/>
    <w:rsid w:val="00584D43"/>
    <w:rsid w:val="00584D48"/>
    <w:rsid w:val="00584DBD"/>
    <w:rsid w:val="00584DD6"/>
    <w:rsid w:val="00584DFF"/>
    <w:rsid w:val="00584E01"/>
    <w:rsid w:val="00584E3A"/>
    <w:rsid w:val="00584E59"/>
    <w:rsid w:val="00584E5B"/>
    <w:rsid w:val="00584E5D"/>
    <w:rsid w:val="00584E73"/>
    <w:rsid w:val="00584EDB"/>
    <w:rsid w:val="00584F3B"/>
    <w:rsid w:val="00584F8C"/>
    <w:rsid w:val="00585038"/>
    <w:rsid w:val="0058503D"/>
    <w:rsid w:val="00585072"/>
    <w:rsid w:val="005850AC"/>
    <w:rsid w:val="005850C2"/>
    <w:rsid w:val="005850CE"/>
    <w:rsid w:val="005850EF"/>
    <w:rsid w:val="0058513D"/>
    <w:rsid w:val="005851A4"/>
    <w:rsid w:val="00585286"/>
    <w:rsid w:val="005852A3"/>
    <w:rsid w:val="005852CC"/>
    <w:rsid w:val="005852D6"/>
    <w:rsid w:val="005852D9"/>
    <w:rsid w:val="005852F4"/>
    <w:rsid w:val="005852F8"/>
    <w:rsid w:val="0058532A"/>
    <w:rsid w:val="0058534E"/>
    <w:rsid w:val="00585376"/>
    <w:rsid w:val="005853BC"/>
    <w:rsid w:val="005853BD"/>
    <w:rsid w:val="005853C1"/>
    <w:rsid w:val="0058541D"/>
    <w:rsid w:val="0058541E"/>
    <w:rsid w:val="005854C3"/>
    <w:rsid w:val="005854FA"/>
    <w:rsid w:val="0058550D"/>
    <w:rsid w:val="0058550F"/>
    <w:rsid w:val="00585512"/>
    <w:rsid w:val="0058555B"/>
    <w:rsid w:val="0058558C"/>
    <w:rsid w:val="00585597"/>
    <w:rsid w:val="005855DC"/>
    <w:rsid w:val="005855EB"/>
    <w:rsid w:val="00585602"/>
    <w:rsid w:val="00585621"/>
    <w:rsid w:val="00585624"/>
    <w:rsid w:val="0058562B"/>
    <w:rsid w:val="00585663"/>
    <w:rsid w:val="005856A6"/>
    <w:rsid w:val="005856CE"/>
    <w:rsid w:val="00585717"/>
    <w:rsid w:val="0058571C"/>
    <w:rsid w:val="00585720"/>
    <w:rsid w:val="00585745"/>
    <w:rsid w:val="00585787"/>
    <w:rsid w:val="005857C3"/>
    <w:rsid w:val="005857DA"/>
    <w:rsid w:val="00585814"/>
    <w:rsid w:val="00585824"/>
    <w:rsid w:val="0058582D"/>
    <w:rsid w:val="00585871"/>
    <w:rsid w:val="005858AA"/>
    <w:rsid w:val="005858C8"/>
    <w:rsid w:val="00585964"/>
    <w:rsid w:val="0058599A"/>
    <w:rsid w:val="00585A38"/>
    <w:rsid w:val="00585A3E"/>
    <w:rsid w:val="00585A9E"/>
    <w:rsid w:val="00585ABD"/>
    <w:rsid w:val="00585AFF"/>
    <w:rsid w:val="00585B47"/>
    <w:rsid w:val="00585B84"/>
    <w:rsid w:val="00585BD7"/>
    <w:rsid w:val="00585BF8"/>
    <w:rsid w:val="00585C68"/>
    <w:rsid w:val="00585C78"/>
    <w:rsid w:val="00585C8E"/>
    <w:rsid w:val="00585C97"/>
    <w:rsid w:val="00585CA7"/>
    <w:rsid w:val="00585CAA"/>
    <w:rsid w:val="00585CCE"/>
    <w:rsid w:val="00585E31"/>
    <w:rsid w:val="00585E36"/>
    <w:rsid w:val="00585F67"/>
    <w:rsid w:val="00585F94"/>
    <w:rsid w:val="00586008"/>
    <w:rsid w:val="0058616D"/>
    <w:rsid w:val="005861B9"/>
    <w:rsid w:val="0058621A"/>
    <w:rsid w:val="00586221"/>
    <w:rsid w:val="00586229"/>
    <w:rsid w:val="0058623A"/>
    <w:rsid w:val="00586284"/>
    <w:rsid w:val="00586294"/>
    <w:rsid w:val="005862A8"/>
    <w:rsid w:val="00586306"/>
    <w:rsid w:val="00586357"/>
    <w:rsid w:val="005863D6"/>
    <w:rsid w:val="0058640B"/>
    <w:rsid w:val="00586477"/>
    <w:rsid w:val="0058647D"/>
    <w:rsid w:val="00586482"/>
    <w:rsid w:val="0058649E"/>
    <w:rsid w:val="005865A7"/>
    <w:rsid w:val="005865C2"/>
    <w:rsid w:val="005865EA"/>
    <w:rsid w:val="0058660E"/>
    <w:rsid w:val="00586630"/>
    <w:rsid w:val="00586644"/>
    <w:rsid w:val="00586660"/>
    <w:rsid w:val="005866CE"/>
    <w:rsid w:val="005866D7"/>
    <w:rsid w:val="005866F5"/>
    <w:rsid w:val="0058672E"/>
    <w:rsid w:val="00586763"/>
    <w:rsid w:val="005867BC"/>
    <w:rsid w:val="00586852"/>
    <w:rsid w:val="0058685C"/>
    <w:rsid w:val="00586882"/>
    <w:rsid w:val="0058689B"/>
    <w:rsid w:val="0058689E"/>
    <w:rsid w:val="005868AD"/>
    <w:rsid w:val="005868EA"/>
    <w:rsid w:val="00586908"/>
    <w:rsid w:val="0058693E"/>
    <w:rsid w:val="00586943"/>
    <w:rsid w:val="0058699F"/>
    <w:rsid w:val="005869C2"/>
    <w:rsid w:val="005869DA"/>
    <w:rsid w:val="00586A19"/>
    <w:rsid w:val="00586A9D"/>
    <w:rsid w:val="00586AB6"/>
    <w:rsid w:val="00586B8E"/>
    <w:rsid w:val="00586BC4"/>
    <w:rsid w:val="00586C32"/>
    <w:rsid w:val="00586C4A"/>
    <w:rsid w:val="00586C4D"/>
    <w:rsid w:val="00586CBC"/>
    <w:rsid w:val="00586CCD"/>
    <w:rsid w:val="00586DD0"/>
    <w:rsid w:val="00586E31"/>
    <w:rsid w:val="00586E3C"/>
    <w:rsid w:val="00586EE2"/>
    <w:rsid w:val="00586F0D"/>
    <w:rsid w:val="00586F48"/>
    <w:rsid w:val="00586F76"/>
    <w:rsid w:val="00586F7E"/>
    <w:rsid w:val="00586FCA"/>
    <w:rsid w:val="00587001"/>
    <w:rsid w:val="0058708D"/>
    <w:rsid w:val="005870B6"/>
    <w:rsid w:val="005870C8"/>
    <w:rsid w:val="005870D2"/>
    <w:rsid w:val="00587123"/>
    <w:rsid w:val="0058713B"/>
    <w:rsid w:val="00587149"/>
    <w:rsid w:val="0058719B"/>
    <w:rsid w:val="005871D7"/>
    <w:rsid w:val="005872D0"/>
    <w:rsid w:val="005872F4"/>
    <w:rsid w:val="0058731D"/>
    <w:rsid w:val="00587337"/>
    <w:rsid w:val="005873DF"/>
    <w:rsid w:val="00587425"/>
    <w:rsid w:val="0058744F"/>
    <w:rsid w:val="00587450"/>
    <w:rsid w:val="00587468"/>
    <w:rsid w:val="00587481"/>
    <w:rsid w:val="005874CC"/>
    <w:rsid w:val="005874ED"/>
    <w:rsid w:val="00587529"/>
    <w:rsid w:val="00587560"/>
    <w:rsid w:val="00587615"/>
    <w:rsid w:val="00587650"/>
    <w:rsid w:val="0058766C"/>
    <w:rsid w:val="005876BD"/>
    <w:rsid w:val="005876C7"/>
    <w:rsid w:val="00587770"/>
    <w:rsid w:val="00587771"/>
    <w:rsid w:val="005877AF"/>
    <w:rsid w:val="005877B2"/>
    <w:rsid w:val="005877BF"/>
    <w:rsid w:val="005878EC"/>
    <w:rsid w:val="005879AB"/>
    <w:rsid w:val="00587A07"/>
    <w:rsid w:val="00587A0C"/>
    <w:rsid w:val="00587A41"/>
    <w:rsid w:val="00587A6D"/>
    <w:rsid w:val="00587AB4"/>
    <w:rsid w:val="00587B04"/>
    <w:rsid w:val="00587B75"/>
    <w:rsid w:val="00587C42"/>
    <w:rsid w:val="00587C4D"/>
    <w:rsid w:val="00587C79"/>
    <w:rsid w:val="00587C7D"/>
    <w:rsid w:val="00587CA6"/>
    <w:rsid w:val="00587CB0"/>
    <w:rsid w:val="00587CC2"/>
    <w:rsid w:val="00587CC5"/>
    <w:rsid w:val="00587D1E"/>
    <w:rsid w:val="00587D21"/>
    <w:rsid w:val="00587D48"/>
    <w:rsid w:val="00587D70"/>
    <w:rsid w:val="00587DB8"/>
    <w:rsid w:val="00587DC0"/>
    <w:rsid w:val="00587E3A"/>
    <w:rsid w:val="00587E98"/>
    <w:rsid w:val="00587EDA"/>
    <w:rsid w:val="00587EE9"/>
    <w:rsid w:val="00587EEB"/>
    <w:rsid w:val="00587EFF"/>
    <w:rsid w:val="00587F40"/>
    <w:rsid w:val="00587F5E"/>
    <w:rsid w:val="00587F70"/>
    <w:rsid w:val="00587F72"/>
    <w:rsid w:val="00587FBC"/>
    <w:rsid w:val="0058BC1C"/>
    <w:rsid w:val="0059001C"/>
    <w:rsid w:val="0059001F"/>
    <w:rsid w:val="00590036"/>
    <w:rsid w:val="00590053"/>
    <w:rsid w:val="005900CC"/>
    <w:rsid w:val="00590135"/>
    <w:rsid w:val="00590153"/>
    <w:rsid w:val="0059017B"/>
    <w:rsid w:val="00590197"/>
    <w:rsid w:val="005901B4"/>
    <w:rsid w:val="00590214"/>
    <w:rsid w:val="0059023B"/>
    <w:rsid w:val="00590254"/>
    <w:rsid w:val="0059025D"/>
    <w:rsid w:val="005902D5"/>
    <w:rsid w:val="00590343"/>
    <w:rsid w:val="005903FB"/>
    <w:rsid w:val="0059041C"/>
    <w:rsid w:val="00590429"/>
    <w:rsid w:val="0059042D"/>
    <w:rsid w:val="00590452"/>
    <w:rsid w:val="00590453"/>
    <w:rsid w:val="0059045D"/>
    <w:rsid w:val="005904A7"/>
    <w:rsid w:val="005904BF"/>
    <w:rsid w:val="0059054A"/>
    <w:rsid w:val="00590563"/>
    <w:rsid w:val="0059057D"/>
    <w:rsid w:val="0059057F"/>
    <w:rsid w:val="005905D0"/>
    <w:rsid w:val="005905F4"/>
    <w:rsid w:val="00590627"/>
    <w:rsid w:val="005907F9"/>
    <w:rsid w:val="00590801"/>
    <w:rsid w:val="00590855"/>
    <w:rsid w:val="00590870"/>
    <w:rsid w:val="00590874"/>
    <w:rsid w:val="00590893"/>
    <w:rsid w:val="00590935"/>
    <w:rsid w:val="005909A0"/>
    <w:rsid w:val="005909AE"/>
    <w:rsid w:val="005909C2"/>
    <w:rsid w:val="005909ED"/>
    <w:rsid w:val="005909F1"/>
    <w:rsid w:val="00590A0A"/>
    <w:rsid w:val="00590A19"/>
    <w:rsid w:val="00590A1D"/>
    <w:rsid w:val="00590A33"/>
    <w:rsid w:val="00590A46"/>
    <w:rsid w:val="00590A49"/>
    <w:rsid w:val="00590A58"/>
    <w:rsid w:val="00590ACA"/>
    <w:rsid w:val="00590B2F"/>
    <w:rsid w:val="00590B88"/>
    <w:rsid w:val="00590C03"/>
    <w:rsid w:val="00590C2C"/>
    <w:rsid w:val="00590C35"/>
    <w:rsid w:val="00590CF7"/>
    <w:rsid w:val="00590D19"/>
    <w:rsid w:val="00590D1B"/>
    <w:rsid w:val="00590D37"/>
    <w:rsid w:val="00590D74"/>
    <w:rsid w:val="00590DCD"/>
    <w:rsid w:val="00590E40"/>
    <w:rsid w:val="00590FC3"/>
    <w:rsid w:val="00590FF6"/>
    <w:rsid w:val="0059101B"/>
    <w:rsid w:val="00591092"/>
    <w:rsid w:val="005910A0"/>
    <w:rsid w:val="0059112E"/>
    <w:rsid w:val="00591161"/>
    <w:rsid w:val="00591199"/>
    <w:rsid w:val="005911CF"/>
    <w:rsid w:val="005911EE"/>
    <w:rsid w:val="00591250"/>
    <w:rsid w:val="0059127B"/>
    <w:rsid w:val="00591309"/>
    <w:rsid w:val="0059133A"/>
    <w:rsid w:val="00591344"/>
    <w:rsid w:val="00591366"/>
    <w:rsid w:val="005913AC"/>
    <w:rsid w:val="005913CE"/>
    <w:rsid w:val="005913E6"/>
    <w:rsid w:val="00591405"/>
    <w:rsid w:val="00591423"/>
    <w:rsid w:val="00591460"/>
    <w:rsid w:val="0059147D"/>
    <w:rsid w:val="0059154D"/>
    <w:rsid w:val="00591564"/>
    <w:rsid w:val="005915A8"/>
    <w:rsid w:val="005915BE"/>
    <w:rsid w:val="00591619"/>
    <w:rsid w:val="0059161D"/>
    <w:rsid w:val="0059164B"/>
    <w:rsid w:val="00591698"/>
    <w:rsid w:val="00591720"/>
    <w:rsid w:val="00591743"/>
    <w:rsid w:val="0059180F"/>
    <w:rsid w:val="0059181A"/>
    <w:rsid w:val="0059182F"/>
    <w:rsid w:val="00591832"/>
    <w:rsid w:val="0059197C"/>
    <w:rsid w:val="00591A34"/>
    <w:rsid w:val="00591A82"/>
    <w:rsid w:val="00591AAD"/>
    <w:rsid w:val="00591AD7"/>
    <w:rsid w:val="00591B8C"/>
    <w:rsid w:val="00591BBF"/>
    <w:rsid w:val="00591BD7"/>
    <w:rsid w:val="00591C04"/>
    <w:rsid w:val="00591C29"/>
    <w:rsid w:val="00591CD1"/>
    <w:rsid w:val="00591D6D"/>
    <w:rsid w:val="00591E63"/>
    <w:rsid w:val="00591EA5"/>
    <w:rsid w:val="00591F04"/>
    <w:rsid w:val="00591F44"/>
    <w:rsid w:val="00591F86"/>
    <w:rsid w:val="00592017"/>
    <w:rsid w:val="00592024"/>
    <w:rsid w:val="00592082"/>
    <w:rsid w:val="005920A7"/>
    <w:rsid w:val="005920F7"/>
    <w:rsid w:val="00592138"/>
    <w:rsid w:val="0059219E"/>
    <w:rsid w:val="005921D0"/>
    <w:rsid w:val="005921DB"/>
    <w:rsid w:val="0059220B"/>
    <w:rsid w:val="00592214"/>
    <w:rsid w:val="00592240"/>
    <w:rsid w:val="00592258"/>
    <w:rsid w:val="0059226E"/>
    <w:rsid w:val="005922CE"/>
    <w:rsid w:val="0059238A"/>
    <w:rsid w:val="005923F6"/>
    <w:rsid w:val="00592400"/>
    <w:rsid w:val="00592434"/>
    <w:rsid w:val="00592491"/>
    <w:rsid w:val="005924D9"/>
    <w:rsid w:val="00592502"/>
    <w:rsid w:val="00592506"/>
    <w:rsid w:val="0059250F"/>
    <w:rsid w:val="00592517"/>
    <w:rsid w:val="005925EE"/>
    <w:rsid w:val="005925EF"/>
    <w:rsid w:val="00592633"/>
    <w:rsid w:val="00592635"/>
    <w:rsid w:val="0059268D"/>
    <w:rsid w:val="005926CC"/>
    <w:rsid w:val="005927AC"/>
    <w:rsid w:val="00592809"/>
    <w:rsid w:val="00592814"/>
    <w:rsid w:val="0059285C"/>
    <w:rsid w:val="00592863"/>
    <w:rsid w:val="00592880"/>
    <w:rsid w:val="00592885"/>
    <w:rsid w:val="005928A0"/>
    <w:rsid w:val="0059292F"/>
    <w:rsid w:val="00592965"/>
    <w:rsid w:val="005929A0"/>
    <w:rsid w:val="00592A54"/>
    <w:rsid w:val="00592A6E"/>
    <w:rsid w:val="00592A71"/>
    <w:rsid w:val="00592A74"/>
    <w:rsid w:val="00592A77"/>
    <w:rsid w:val="00592A80"/>
    <w:rsid w:val="00592A88"/>
    <w:rsid w:val="00592A95"/>
    <w:rsid w:val="00592AE2"/>
    <w:rsid w:val="00592B05"/>
    <w:rsid w:val="00592B60"/>
    <w:rsid w:val="00592B63"/>
    <w:rsid w:val="00592B74"/>
    <w:rsid w:val="00592BAF"/>
    <w:rsid w:val="00592BBA"/>
    <w:rsid w:val="00592BD5"/>
    <w:rsid w:val="00592BF1"/>
    <w:rsid w:val="00592C13"/>
    <w:rsid w:val="00592C23"/>
    <w:rsid w:val="00592C9E"/>
    <w:rsid w:val="00592CC8"/>
    <w:rsid w:val="00592D34"/>
    <w:rsid w:val="00592D39"/>
    <w:rsid w:val="00592D9E"/>
    <w:rsid w:val="00592DDC"/>
    <w:rsid w:val="00592E09"/>
    <w:rsid w:val="00592E3F"/>
    <w:rsid w:val="00592E6E"/>
    <w:rsid w:val="00592E72"/>
    <w:rsid w:val="00592F00"/>
    <w:rsid w:val="00592F37"/>
    <w:rsid w:val="00592F5F"/>
    <w:rsid w:val="00592FA8"/>
    <w:rsid w:val="00592FD6"/>
    <w:rsid w:val="0059301F"/>
    <w:rsid w:val="00593075"/>
    <w:rsid w:val="0059307B"/>
    <w:rsid w:val="005930C5"/>
    <w:rsid w:val="005930DA"/>
    <w:rsid w:val="005930E4"/>
    <w:rsid w:val="005930F5"/>
    <w:rsid w:val="00593158"/>
    <w:rsid w:val="005931A3"/>
    <w:rsid w:val="005931A8"/>
    <w:rsid w:val="0059326E"/>
    <w:rsid w:val="0059329B"/>
    <w:rsid w:val="005932D2"/>
    <w:rsid w:val="005932F4"/>
    <w:rsid w:val="00593336"/>
    <w:rsid w:val="00593347"/>
    <w:rsid w:val="00593363"/>
    <w:rsid w:val="005933B9"/>
    <w:rsid w:val="005933D5"/>
    <w:rsid w:val="005933FB"/>
    <w:rsid w:val="0059342B"/>
    <w:rsid w:val="00593432"/>
    <w:rsid w:val="0059345C"/>
    <w:rsid w:val="00593484"/>
    <w:rsid w:val="005934A1"/>
    <w:rsid w:val="0059350C"/>
    <w:rsid w:val="00593515"/>
    <w:rsid w:val="00593553"/>
    <w:rsid w:val="00593601"/>
    <w:rsid w:val="00593618"/>
    <w:rsid w:val="0059362B"/>
    <w:rsid w:val="0059369A"/>
    <w:rsid w:val="005936B8"/>
    <w:rsid w:val="00593722"/>
    <w:rsid w:val="005937C6"/>
    <w:rsid w:val="005937D1"/>
    <w:rsid w:val="005937F3"/>
    <w:rsid w:val="0059386C"/>
    <w:rsid w:val="0059387C"/>
    <w:rsid w:val="005938AA"/>
    <w:rsid w:val="005938E4"/>
    <w:rsid w:val="0059390E"/>
    <w:rsid w:val="00593971"/>
    <w:rsid w:val="00593983"/>
    <w:rsid w:val="005939B8"/>
    <w:rsid w:val="00593A3F"/>
    <w:rsid w:val="00593A46"/>
    <w:rsid w:val="00593A6D"/>
    <w:rsid w:val="00593A76"/>
    <w:rsid w:val="00593A81"/>
    <w:rsid w:val="00593AD0"/>
    <w:rsid w:val="00593ADC"/>
    <w:rsid w:val="00593B32"/>
    <w:rsid w:val="00593B73"/>
    <w:rsid w:val="00593B92"/>
    <w:rsid w:val="00593B93"/>
    <w:rsid w:val="00593B9C"/>
    <w:rsid w:val="00593BF2"/>
    <w:rsid w:val="00593C3D"/>
    <w:rsid w:val="00593CAC"/>
    <w:rsid w:val="00593D50"/>
    <w:rsid w:val="00593D67"/>
    <w:rsid w:val="00593D7A"/>
    <w:rsid w:val="00593DAF"/>
    <w:rsid w:val="00593DFB"/>
    <w:rsid w:val="00593E3A"/>
    <w:rsid w:val="00593ED9"/>
    <w:rsid w:val="00593F2C"/>
    <w:rsid w:val="00593F3D"/>
    <w:rsid w:val="00593F46"/>
    <w:rsid w:val="00593F63"/>
    <w:rsid w:val="00593F87"/>
    <w:rsid w:val="00593F90"/>
    <w:rsid w:val="00594032"/>
    <w:rsid w:val="00594066"/>
    <w:rsid w:val="0059407F"/>
    <w:rsid w:val="00594081"/>
    <w:rsid w:val="0059409E"/>
    <w:rsid w:val="00594108"/>
    <w:rsid w:val="00594148"/>
    <w:rsid w:val="00594192"/>
    <w:rsid w:val="005941B0"/>
    <w:rsid w:val="005941C4"/>
    <w:rsid w:val="005941EF"/>
    <w:rsid w:val="00594236"/>
    <w:rsid w:val="0059423C"/>
    <w:rsid w:val="00594253"/>
    <w:rsid w:val="005942AD"/>
    <w:rsid w:val="005942DD"/>
    <w:rsid w:val="005942DF"/>
    <w:rsid w:val="005942F2"/>
    <w:rsid w:val="00594303"/>
    <w:rsid w:val="0059439B"/>
    <w:rsid w:val="005943B6"/>
    <w:rsid w:val="0059442F"/>
    <w:rsid w:val="00594468"/>
    <w:rsid w:val="00594499"/>
    <w:rsid w:val="005944CF"/>
    <w:rsid w:val="005944FB"/>
    <w:rsid w:val="0059456B"/>
    <w:rsid w:val="005945AD"/>
    <w:rsid w:val="005945F6"/>
    <w:rsid w:val="00594629"/>
    <w:rsid w:val="00594631"/>
    <w:rsid w:val="00594644"/>
    <w:rsid w:val="0059469F"/>
    <w:rsid w:val="0059475E"/>
    <w:rsid w:val="00594779"/>
    <w:rsid w:val="00594794"/>
    <w:rsid w:val="005947AF"/>
    <w:rsid w:val="005947B1"/>
    <w:rsid w:val="00594811"/>
    <w:rsid w:val="00594843"/>
    <w:rsid w:val="0059487C"/>
    <w:rsid w:val="00594882"/>
    <w:rsid w:val="00594898"/>
    <w:rsid w:val="00594963"/>
    <w:rsid w:val="00594982"/>
    <w:rsid w:val="00594998"/>
    <w:rsid w:val="005949A3"/>
    <w:rsid w:val="005949AF"/>
    <w:rsid w:val="005949D2"/>
    <w:rsid w:val="005949F6"/>
    <w:rsid w:val="005949FE"/>
    <w:rsid w:val="00594A41"/>
    <w:rsid w:val="00594A82"/>
    <w:rsid w:val="00594A85"/>
    <w:rsid w:val="00594AFC"/>
    <w:rsid w:val="00594B16"/>
    <w:rsid w:val="00594B8B"/>
    <w:rsid w:val="00594BBE"/>
    <w:rsid w:val="00594C68"/>
    <w:rsid w:val="00594C71"/>
    <w:rsid w:val="00594CA7"/>
    <w:rsid w:val="00594CAA"/>
    <w:rsid w:val="00594D4F"/>
    <w:rsid w:val="00594D75"/>
    <w:rsid w:val="00594D9D"/>
    <w:rsid w:val="00594DE6"/>
    <w:rsid w:val="00594E11"/>
    <w:rsid w:val="00594E39"/>
    <w:rsid w:val="00594E7B"/>
    <w:rsid w:val="00594EDA"/>
    <w:rsid w:val="00594EE4"/>
    <w:rsid w:val="00594F6D"/>
    <w:rsid w:val="00594FB9"/>
    <w:rsid w:val="00594FF5"/>
    <w:rsid w:val="0059500E"/>
    <w:rsid w:val="00595063"/>
    <w:rsid w:val="005950DA"/>
    <w:rsid w:val="00595120"/>
    <w:rsid w:val="0059516B"/>
    <w:rsid w:val="00595180"/>
    <w:rsid w:val="005951B5"/>
    <w:rsid w:val="0059529F"/>
    <w:rsid w:val="005952A0"/>
    <w:rsid w:val="005952B8"/>
    <w:rsid w:val="00595317"/>
    <w:rsid w:val="0059533A"/>
    <w:rsid w:val="00595344"/>
    <w:rsid w:val="005953B0"/>
    <w:rsid w:val="005953B7"/>
    <w:rsid w:val="0059540F"/>
    <w:rsid w:val="0059544F"/>
    <w:rsid w:val="00595460"/>
    <w:rsid w:val="00595479"/>
    <w:rsid w:val="005954A0"/>
    <w:rsid w:val="005954CA"/>
    <w:rsid w:val="0059557A"/>
    <w:rsid w:val="005955FD"/>
    <w:rsid w:val="0059563C"/>
    <w:rsid w:val="00595653"/>
    <w:rsid w:val="005956CF"/>
    <w:rsid w:val="005956E7"/>
    <w:rsid w:val="00595716"/>
    <w:rsid w:val="005957B6"/>
    <w:rsid w:val="00595844"/>
    <w:rsid w:val="0059586F"/>
    <w:rsid w:val="0059587F"/>
    <w:rsid w:val="005958C5"/>
    <w:rsid w:val="00595904"/>
    <w:rsid w:val="005959A2"/>
    <w:rsid w:val="00595A3E"/>
    <w:rsid w:val="00595A53"/>
    <w:rsid w:val="00595B0C"/>
    <w:rsid w:val="00595B2E"/>
    <w:rsid w:val="00595B83"/>
    <w:rsid w:val="00595BAC"/>
    <w:rsid w:val="00595BF3"/>
    <w:rsid w:val="00595C31"/>
    <w:rsid w:val="00595C88"/>
    <w:rsid w:val="00595C9E"/>
    <w:rsid w:val="00595CC8"/>
    <w:rsid w:val="00595CE9"/>
    <w:rsid w:val="00595D0B"/>
    <w:rsid w:val="00595DD9"/>
    <w:rsid w:val="00595DEE"/>
    <w:rsid w:val="00595DF7"/>
    <w:rsid w:val="00595E49"/>
    <w:rsid w:val="00595E5D"/>
    <w:rsid w:val="00595E73"/>
    <w:rsid w:val="00595EC7"/>
    <w:rsid w:val="00595EDE"/>
    <w:rsid w:val="00595F10"/>
    <w:rsid w:val="00595F1A"/>
    <w:rsid w:val="00595F1B"/>
    <w:rsid w:val="00595F56"/>
    <w:rsid w:val="00595F68"/>
    <w:rsid w:val="00595F99"/>
    <w:rsid w:val="00595FF4"/>
    <w:rsid w:val="005960AF"/>
    <w:rsid w:val="005960BA"/>
    <w:rsid w:val="005960DA"/>
    <w:rsid w:val="0059611B"/>
    <w:rsid w:val="00596144"/>
    <w:rsid w:val="0059615E"/>
    <w:rsid w:val="00596160"/>
    <w:rsid w:val="005961E2"/>
    <w:rsid w:val="005962AB"/>
    <w:rsid w:val="005962BE"/>
    <w:rsid w:val="005962E1"/>
    <w:rsid w:val="005962E9"/>
    <w:rsid w:val="00596324"/>
    <w:rsid w:val="0059633E"/>
    <w:rsid w:val="005963E1"/>
    <w:rsid w:val="00596422"/>
    <w:rsid w:val="00596460"/>
    <w:rsid w:val="00596475"/>
    <w:rsid w:val="00596496"/>
    <w:rsid w:val="005964B9"/>
    <w:rsid w:val="005965CA"/>
    <w:rsid w:val="005965D9"/>
    <w:rsid w:val="005965E7"/>
    <w:rsid w:val="00596613"/>
    <w:rsid w:val="00596697"/>
    <w:rsid w:val="0059669D"/>
    <w:rsid w:val="005966AA"/>
    <w:rsid w:val="00596766"/>
    <w:rsid w:val="00596799"/>
    <w:rsid w:val="005967D0"/>
    <w:rsid w:val="0059687F"/>
    <w:rsid w:val="005968B6"/>
    <w:rsid w:val="0059699E"/>
    <w:rsid w:val="005969F1"/>
    <w:rsid w:val="00596A3B"/>
    <w:rsid w:val="00596AB2"/>
    <w:rsid w:val="00596AC0"/>
    <w:rsid w:val="00596AF5"/>
    <w:rsid w:val="00596AF6"/>
    <w:rsid w:val="00596B71"/>
    <w:rsid w:val="00596B89"/>
    <w:rsid w:val="00596BA6"/>
    <w:rsid w:val="00596BDC"/>
    <w:rsid w:val="00596C8A"/>
    <w:rsid w:val="00596CA4"/>
    <w:rsid w:val="00596CAE"/>
    <w:rsid w:val="00596CCE"/>
    <w:rsid w:val="00596CED"/>
    <w:rsid w:val="00596D1A"/>
    <w:rsid w:val="00596D36"/>
    <w:rsid w:val="00596DFE"/>
    <w:rsid w:val="00596E3A"/>
    <w:rsid w:val="00596E59"/>
    <w:rsid w:val="00596E73"/>
    <w:rsid w:val="00596EF9"/>
    <w:rsid w:val="00596F16"/>
    <w:rsid w:val="00596F18"/>
    <w:rsid w:val="00596FA8"/>
    <w:rsid w:val="00596FFC"/>
    <w:rsid w:val="0059700E"/>
    <w:rsid w:val="00597016"/>
    <w:rsid w:val="005970ED"/>
    <w:rsid w:val="00597129"/>
    <w:rsid w:val="0059712C"/>
    <w:rsid w:val="0059715A"/>
    <w:rsid w:val="00597224"/>
    <w:rsid w:val="005972D0"/>
    <w:rsid w:val="00597399"/>
    <w:rsid w:val="005973E8"/>
    <w:rsid w:val="0059743F"/>
    <w:rsid w:val="0059745C"/>
    <w:rsid w:val="005974E8"/>
    <w:rsid w:val="0059757D"/>
    <w:rsid w:val="005975D4"/>
    <w:rsid w:val="005975F3"/>
    <w:rsid w:val="00597601"/>
    <w:rsid w:val="0059767A"/>
    <w:rsid w:val="00597682"/>
    <w:rsid w:val="00597688"/>
    <w:rsid w:val="005976AE"/>
    <w:rsid w:val="0059770E"/>
    <w:rsid w:val="005978A6"/>
    <w:rsid w:val="005978B4"/>
    <w:rsid w:val="005978B7"/>
    <w:rsid w:val="005978C3"/>
    <w:rsid w:val="0059794C"/>
    <w:rsid w:val="00597951"/>
    <w:rsid w:val="005979D2"/>
    <w:rsid w:val="005979EA"/>
    <w:rsid w:val="00597A5F"/>
    <w:rsid w:val="00597AB3"/>
    <w:rsid w:val="00597B12"/>
    <w:rsid w:val="00597B62"/>
    <w:rsid w:val="00597B74"/>
    <w:rsid w:val="00597B97"/>
    <w:rsid w:val="00597BF5"/>
    <w:rsid w:val="00597C27"/>
    <w:rsid w:val="00597C2C"/>
    <w:rsid w:val="00597C3C"/>
    <w:rsid w:val="00597CB5"/>
    <w:rsid w:val="00597CDF"/>
    <w:rsid w:val="00597CE1"/>
    <w:rsid w:val="00597CFB"/>
    <w:rsid w:val="00597D13"/>
    <w:rsid w:val="00597D5B"/>
    <w:rsid w:val="00597D60"/>
    <w:rsid w:val="00597D73"/>
    <w:rsid w:val="00597E15"/>
    <w:rsid w:val="00597E75"/>
    <w:rsid w:val="00597EBC"/>
    <w:rsid w:val="00597EC8"/>
    <w:rsid w:val="00597EF5"/>
    <w:rsid w:val="00597F2E"/>
    <w:rsid w:val="00597F62"/>
    <w:rsid w:val="00597F68"/>
    <w:rsid w:val="00597F88"/>
    <w:rsid w:val="00597FA0"/>
    <w:rsid w:val="00597FA7"/>
    <w:rsid w:val="00597FB7"/>
    <w:rsid w:val="00597FBE"/>
    <w:rsid w:val="00597FCD"/>
    <w:rsid w:val="005A000D"/>
    <w:rsid w:val="005A0015"/>
    <w:rsid w:val="005A0027"/>
    <w:rsid w:val="005A008D"/>
    <w:rsid w:val="005A00D0"/>
    <w:rsid w:val="005A0102"/>
    <w:rsid w:val="005A0110"/>
    <w:rsid w:val="005A0139"/>
    <w:rsid w:val="005A014E"/>
    <w:rsid w:val="005A0153"/>
    <w:rsid w:val="005A0175"/>
    <w:rsid w:val="005A01E7"/>
    <w:rsid w:val="005A0206"/>
    <w:rsid w:val="005A0212"/>
    <w:rsid w:val="005A0219"/>
    <w:rsid w:val="005A0273"/>
    <w:rsid w:val="005A02E1"/>
    <w:rsid w:val="005A02EF"/>
    <w:rsid w:val="005A0356"/>
    <w:rsid w:val="005A035D"/>
    <w:rsid w:val="005A036D"/>
    <w:rsid w:val="005A038D"/>
    <w:rsid w:val="005A0499"/>
    <w:rsid w:val="005A04D2"/>
    <w:rsid w:val="005A0523"/>
    <w:rsid w:val="005A055A"/>
    <w:rsid w:val="005A057C"/>
    <w:rsid w:val="005A060B"/>
    <w:rsid w:val="005A0616"/>
    <w:rsid w:val="005A0656"/>
    <w:rsid w:val="005A06B2"/>
    <w:rsid w:val="005A06C2"/>
    <w:rsid w:val="005A06FE"/>
    <w:rsid w:val="005A0710"/>
    <w:rsid w:val="005A0731"/>
    <w:rsid w:val="005A073C"/>
    <w:rsid w:val="005A0754"/>
    <w:rsid w:val="005A077E"/>
    <w:rsid w:val="005A0841"/>
    <w:rsid w:val="005A085D"/>
    <w:rsid w:val="005A08E4"/>
    <w:rsid w:val="005A08FD"/>
    <w:rsid w:val="005A0941"/>
    <w:rsid w:val="005A0946"/>
    <w:rsid w:val="005A0993"/>
    <w:rsid w:val="005A09BA"/>
    <w:rsid w:val="005A09D9"/>
    <w:rsid w:val="005A09E3"/>
    <w:rsid w:val="005A0A01"/>
    <w:rsid w:val="005A0A02"/>
    <w:rsid w:val="005A0A5E"/>
    <w:rsid w:val="005A0AEA"/>
    <w:rsid w:val="005A0AFA"/>
    <w:rsid w:val="005A0B91"/>
    <w:rsid w:val="005A0BE0"/>
    <w:rsid w:val="005A0C22"/>
    <w:rsid w:val="005A0C3A"/>
    <w:rsid w:val="005A0C55"/>
    <w:rsid w:val="005A0CA9"/>
    <w:rsid w:val="005A0CAD"/>
    <w:rsid w:val="005A0D1D"/>
    <w:rsid w:val="005A0D5E"/>
    <w:rsid w:val="005A0DAD"/>
    <w:rsid w:val="005A0DDB"/>
    <w:rsid w:val="005A0DF7"/>
    <w:rsid w:val="005A0DF8"/>
    <w:rsid w:val="005A0E23"/>
    <w:rsid w:val="005A0EC1"/>
    <w:rsid w:val="005A0EC2"/>
    <w:rsid w:val="005A0EEE"/>
    <w:rsid w:val="005A0F7E"/>
    <w:rsid w:val="005A0F83"/>
    <w:rsid w:val="005A0F8E"/>
    <w:rsid w:val="005A0F9A"/>
    <w:rsid w:val="005A0FC0"/>
    <w:rsid w:val="005A0FE1"/>
    <w:rsid w:val="005A103B"/>
    <w:rsid w:val="005A108A"/>
    <w:rsid w:val="005A10B3"/>
    <w:rsid w:val="005A112B"/>
    <w:rsid w:val="005A1175"/>
    <w:rsid w:val="005A117E"/>
    <w:rsid w:val="005A118D"/>
    <w:rsid w:val="005A11B4"/>
    <w:rsid w:val="005A11DF"/>
    <w:rsid w:val="005A121B"/>
    <w:rsid w:val="005A124C"/>
    <w:rsid w:val="005A1261"/>
    <w:rsid w:val="005A12A7"/>
    <w:rsid w:val="005A12D3"/>
    <w:rsid w:val="005A12FA"/>
    <w:rsid w:val="005A1303"/>
    <w:rsid w:val="005A132B"/>
    <w:rsid w:val="005A13AD"/>
    <w:rsid w:val="005A13B2"/>
    <w:rsid w:val="005A13D6"/>
    <w:rsid w:val="005A13F1"/>
    <w:rsid w:val="005A147E"/>
    <w:rsid w:val="005A14CF"/>
    <w:rsid w:val="005A14E2"/>
    <w:rsid w:val="005A158D"/>
    <w:rsid w:val="005A159C"/>
    <w:rsid w:val="005A15AD"/>
    <w:rsid w:val="005A15F6"/>
    <w:rsid w:val="005A1637"/>
    <w:rsid w:val="005A1691"/>
    <w:rsid w:val="005A173E"/>
    <w:rsid w:val="005A1793"/>
    <w:rsid w:val="005A17BB"/>
    <w:rsid w:val="005A1853"/>
    <w:rsid w:val="005A1868"/>
    <w:rsid w:val="005A1883"/>
    <w:rsid w:val="005A18BB"/>
    <w:rsid w:val="005A18C1"/>
    <w:rsid w:val="005A18C4"/>
    <w:rsid w:val="005A18EE"/>
    <w:rsid w:val="005A18F2"/>
    <w:rsid w:val="005A1950"/>
    <w:rsid w:val="005A19D8"/>
    <w:rsid w:val="005A19EB"/>
    <w:rsid w:val="005A1A0D"/>
    <w:rsid w:val="005A1A1F"/>
    <w:rsid w:val="005A1A39"/>
    <w:rsid w:val="005A1A83"/>
    <w:rsid w:val="005A1A9E"/>
    <w:rsid w:val="005A1AB5"/>
    <w:rsid w:val="005A1AE5"/>
    <w:rsid w:val="005A1B99"/>
    <w:rsid w:val="005A1BB2"/>
    <w:rsid w:val="005A1C1A"/>
    <w:rsid w:val="005A1C36"/>
    <w:rsid w:val="005A1C73"/>
    <w:rsid w:val="005A1C93"/>
    <w:rsid w:val="005A1CA3"/>
    <w:rsid w:val="005A1CB3"/>
    <w:rsid w:val="005A1CD2"/>
    <w:rsid w:val="005A1CE2"/>
    <w:rsid w:val="005A1D05"/>
    <w:rsid w:val="005A1D23"/>
    <w:rsid w:val="005A1DC9"/>
    <w:rsid w:val="005A1E07"/>
    <w:rsid w:val="005A1E30"/>
    <w:rsid w:val="005A1E3C"/>
    <w:rsid w:val="005A1E74"/>
    <w:rsid w:val="005A1E81"/>
    <w:rsid w:val="005A1E85"/>
    <w:rsid w:val="005A1E8D"/>
    <w:rsid w:val="005A1F36"/>
    <w:rsid w:val="005A1FBD"/>
    <w:rsid w:val="005A1FFE"/>
    <w:rsid w:val="005A2065"/>
    <w:rsid w:val="005A20A0"/>
    <w:rsid w:val="005A20B6"/>
    <w:rsid w:val="005A20CE"/>
    <w:rsid w:val="005A2101"/>
    <w:rsid w:val="005A218E"/>
    <w:rsid w:val="005A219F"/>
    <w:rsid w:val="005A220C"/>
    <w:rsid w:val="005A2223"/>
    <w:rsid w:val="005A2301"/>
    <w:rsid w:val="005A2302"/>
    <w:rsid w:val="005A232D"/>
    <w:rsid w:val="005A238C"/>
    <w:rsid w:val="005A23B6"/>
    <w:rsid w:val="005A2455"/>
    <w:rsid w:val="005A2472"/>
    <w:rsid w:val="005A2475"/>
    <w:rsid w:val="005A250E"/>
    <w:rsid w:val="005A259F"/>
    <w:rsid w:val="005A267E"/>
    <w:rsid w:val="005A26A6"/>
    <w:rsid w:val="005A26AD"/>
    <w:rsid w:val="005A26C9"/>
    <w:rsid w:val="005A26DF"/>
    <w:rsid w:val="005A271C"/>
    <w:rsid w:val="005A2724"/>
    <w:rsid w:val="005A2763"/>
    <w:rsid w:val="005A277A"/>
    <w:rsid w:val="005A27A9"/>
    <w:rsid w:val="005A2873"/>
    <w:rsid w:val="005A2898"/>
    <w:rsid w:val="005A28D2"/>
    <w:rsid w:val="005A291E"/>
    <w:rsid w:val="005A293E"/>
    <w:rsid w:val="005A294E"/>
    <w:rsid w:val="005A297A"/>
    <w:rsid w:val="005A299C"/>
    <w:rsid w:val="005A29A8"/>
    <w:rsid w:val="005A29EA"/>
    <w:rsid w:val="005A2A16"/>
    <w:rsid w:val="005A2A68"/>
    <w:rsid w:val="005A2A94"/>
    <w:rsid w:val="005A2AAA"/>
    <w:rsid w:val="005A2ABF"/>
    <w:rsid w:val="005A2B31"/>
    <w:rsid w:val="005A2B42"/>
    <w:rsid w:val="005A2B4D"/>
    <w:rsid w:val="005A2B8B"/>
    <w:rsid w:val="005A2BB0"/>
    <w:rsid w:val="005A2C3B"/>
    <w:rsid w:val="005A2C82"/>
    <w:rsid w:val="005A2CC2"/>
    <w:rsid w:val="005A2CCC"/>
    <w:rsid w:val="005A2D32"/>
    <w:rsid w:val="005A2D4B"/>
    <w:rsid w:val="005A2D62"/>
    <w:rsid w:val="005A2DCA"/>
    <w:rsid w:val="005A2E6A"/>
    <w:rsid w:val="005A2EF5"/>
    <w:rsid w:val="005A2EFE"/>
    <w:rsid w:val="005A2FA1"/>
    <w:rsid w:val="005A2FA2"/>
    <w:rsid w:val="005A2FB7"/>
    <w:rsid w:val="005A2FD6"/>
    <w:rsid w:val="005A303C"/>
    <w:rsid w:val="005A30B2"/>
    <w:rsid w:val="005A30B5"/>
    <w:rsid w:val="005A30C2"/>
    <w:rsid w:val="005A30D1"/>
    <w:rsid w:val="005A3105"/>
    <w:rsid w:val="005A31A2"/>
    <w:rsid w:val="005A322A"/>
    <w:rsid w:val="005A322B"/>
    <w:rsid w:val="005A3282"/>
    <w:rsid w:val="005A3298"/>
    <w:rsid w:val="005A3326"/>
    <w:rsid w:val="005A3357"/>
    <w:rsid w:val="005A335D"/>
    <w:rsid w:val="005A33F7"/>
    <w:rsid w:val="005A340C"/>
    <w:rsid w:val="005A344D"/>
    <w:rsid w:val="005A3481"/>
    <w:rsid w:val="005A3488"/>
    <w:rsid w:val="005A3517"/>
    <w:rsid w:val="005A3521"/>
    <w:rsid w:val="005A3561"/>
    <w:rsid w:val="005A358C"/>
    <w:rsid w:val="005A35A5"/>
    <w:rsid w:val="005A35E0"/>
    <w:rsid w:val="005A360B"/>
    <w:rsid w:val="005A3617"/>
    <w:rsid w:val="005A364C"/>
    <w:rsid w:val="005A372C"/>
    <w:rsid w:val="005A37FF"/>
    <w:rsid w:val="005A38F0"/>
    <w:rsid w:val="005A3925"/>
    <w:rsid w:val="005A39AE"/>
    <w:rsid w:val="005A39B6"/>
    <w:rsid w:val="005A39BB"/>
    <w:rsid w:val="005A3A50"/>
    <w:rsid w:val="005A3A8D"/>
    <w:rsid w:val="005A3AAC"/>
    <w:rsid w:val="005A3AD7"/>
    <w:rsid w:val="005A3B04"/>
    <w:rsid w:val="005A3B65"/>
    <w:rsid w:val="005A3B91"/>
    <w:rsid w:val="005A3C09"/>
    <w:rsid w:val="005A3C41"/>
    <w:rsid w:val="005A3CA0"/>
    <w:rsid w:val="005A3CC9"/>
    <w:rsid w:val="005A3DB2"/>
    <w:rsid w:val="005A3E35"/>
    <w:rsid w:val="005A3E4C"/>
    <w:rsid w:val="005A3E8F"/>
    <w:rsid w:val="005A3EB1"/>
    <w:rsid w:val="005A3EB8"/>
    <w:rsid w:val="005A3EFF"/>
    <w:rsid w:val="005A3F60"/>
    <w:rsid w:val="005A3FBA"/>
    <w:rsid w:val="005A406C"/>
    <w:rsid w:val="005A40C8"/>
    <w:rsid w:val="005A411D"/>
    <w:rsid w:val="005A4151"/>
    <w:rsid w:val="005A415B"/>
    <w:rsid w:val="005A41A8"/>
    <w:rsid w:val="005A41B9"/>
    <w:rsid w:val="005A41C4"/>
    <w:rsid w:val="005A41D2"/>
    <w:rsid w:val="005A420D"/>
    <w:rsid w:val="005A4213"/>
    <w:rsid w:val="005A421A"/>
    <w:rsid w:val="005A421F"/>
    <w:rsid w:val="005A4238"/>
    <w:rsid w:val="005A4273"/>
    <w:rsid w:val="005A42C0"/>
    <w:rsid w:val="005A42E1"/>
    <w:rsid w:val="005A4332"/>
    <w:rsid w:val="005A438E"/>
    <w:rsid w:val="005A439E"/>
    <w:rsid w:val="005A43A1"/>
    <w:rsid w:val="005A43EC"/>
    <w:rsid w:val="005A43F2"/>
    <w:rsid w:val="005A4416"/>
    <w:rsid w:val="005A4431"/>
    <w:rsid w:val="005A4437"/>
    <w:rsid w:val="005A4478"/>
    <w:rsid w:val="005A44D2"/>
    <w:rsid w:val="005A4503"/>
    <w:rsid w:val="005A450C"/>
    <w:rsid w:val="005A453B"/>
    <w:rsid w:val="005A4620"/>
    <w:rsid w:val="005A4638"/>
    <w:rsid w:val="005A4696"/>
    <w:rsid w:val="005A4770"/>
    <w:rsid w:val="005A47D2"/>
    <w:rsid w:val="005A47D4"/>
    <w:rsid w:val="005A488E"/>
    <w:rsid w:val="005A48AF"/>
    <w:rsid w:val="005A48E3"/>
    <w:rsid w:val="005A490C"/>
    <w:rsid w:val="005A4916"/>
    <w:rsid w:val="005A4989"/>
    <w:rsid w:val="005A49AE"/>
    <w:rsid w:val="005A49EE"/>
    <w:rsid w:val="005A4A9E"/>
    <w:rsid w:val="005A4AB0"/>
    <w:rsid w:val="005A4B26"/>
    <w:rsid w:val="005A4B61"/>
    <w:rsid w:val="005A4B7F"/>
    <w:rsid w:val="005A4BCB"/>
    <w:rsid w:val="005A4C14"/>
    <w:rsid w:val="005A4C54"/>
    <w:rsid w:val="005A4C88"/>
    <w:rsid w:val="005A4C8A"/>
    <w:rsid w:val="005A4CAA"/>
    <w:rsid w:val="005A4CAB"/>
    <w:rsid w:val="005A4CBF"/>
    <w:rsid w:val="005A4CCE"/>
    <w:rsid w:val="005A4D2A"/>
    <w:rsid w:val="005A4D69"/>
    <w:rsid w:val="005A4DA7"/>
    <w:rsid w:val="005A4DC2"/>
    <w:rsid w:val="005A4DEC"/>
    <w:rsid w:val="005A4E06"/>
    <w:rsid w:val="005A4E86"/>
    <w:rsid w:val="005A4EAF"/>
    <w:rsid w:val="005A4EDE"/>
    <w:rsid w:val="005A4F17"/>
    <w:rsid w:val="005A4F36"/>
    <w:rsid w:val="005A4F64"/>
    <w:rsid w:val="005A5029"/>
    <w:rsid w:val="005A507C"/>
    <w:rsid w:val="005A5091"/>
    <w:rsid w:val="005A5206"/>
    <w:rsid w:val="005A521A"/>
    <w:rsid w:val="005A5221"/>
    <w:rsid w:val="005A5222"/>
    <w:rsid w:val="005A524F"/>
    <w:rsid w:val="005A527A"/>
    <w:rsid w:val="005A5283"/>
    <w:rsid w:val="005A5331"/>
    <w:rsid w:val="005A5345"/>
    <w:rsid w:val="005A535E"/>
    <w:rsid w:val="005A536C"/>
    <w:rsid w:val="005A539A"/>
    <w:rsid w:val="005A539E"/>
    <w:rsid w:val="005A53EB"/>
    <w:rsid w:val="005A5400"/>
    <w:rsid w:val="005A5448"/>
    <w:rsid w:val="005A54F3"/>
    <w:rsid w:val="005A54F6"/>
    <w:rsid w:val="005A5504"/>
    <w:rsid w:val="005A5534"/>
    <w:rsid w:val="005A556C"/>
    <w:rsid w:val="005A557C"/>
    <w:rsid w:val="005A55EF"/>
    <w:rsid w:val="005A55F9"/>
    <w:rsid w:val="005A562F"/>
    <w:rsid w:val="005A564D"/>
    <w:rsid w:val="005A566F"/>
    <w:rsid w:val="005A5744"/>
    <w:rsid w:val="005A574B"/>
    <w:rsid w:val="005A575A"/>
    <w:rsid w:val="005A575E"/>
    <w:rsid w:val="005A5766"/>
    <w:rsid w:val="005A57D3"/>
    <w:rsid w:val="005A5813"/>
    <w:rsid w:val="005A581F"/>
    <w:rsid w:val="005A58D1"/>
    <w:rsid w:val="005A58DB"/>
    <w:rsid w:val="005A593B"/>
    <w:rsid w:val="005A5944"/>
    <w:rsid w:val="005A5A2A"/>
    <w:rsid w:val="005A5AA1"/>
    <w:rsid w:val="005A5B1D"/>
    <w:rsid w:val="005A5B3E"/>
    <w:rsid w:val="005A5B75"/>
    <w:rsid w:val="005A5BBD"/>
    <w:rsid w:val="005A5BE4"/>
    <w:rsid w:val="005A5C26"/>
    <w:rsid w:val="005A5C78"/>
    <w:rsid w:val="005A5CAA"/>
    <w:rsid w:val="005A5D23"/>
    <w:rsid w:val="005A5D4B"/>
    <w:rsid w:val="005A5D6A"/>
    <w:rsid w:val="005A5D84"/>
    <w:rsid w:val="005A5DA8"/>
    <w:rsid w:val="005A5F17"/>
    <w:rsid w:val="005A5F4F"/>
    <w:rsid w:val="005A5F50"/>
    <w:rsid w:val="005A5F73"/>
    <w:rsid w:val="005A5F75"/>
    <w:rsid w:val="005A5FD2"/>
    <w:rsid w:val="005A5FDC"/>
    <w:rsid w:val="005A604F"/>
    <w:rsid w:val="005A6064"/>
    <w:rsid w:val="005A60F0"/>
    <w:rsid w:val="005A6118"/>
    <w:rsid w:val="005A616A"/>
    <w:rsid w:val="005A6176"/>
    <w:rsid w:val="005A6185"/>
    <w:rsid w:val="005A6199"/>
    <w:rsid w:val="005A6272"/>
    <w:rsid w:val="005A62B8"/>
    <w:rsid w:val="005A62BB"/>
    <w:rsid w:val="005A62C2"/>
    <w:rsid w:val="005A638D"/>
    <w:rsid w:val="005A6458"/>
    <w:rsid w:val="005A6469"/>
    <w:rsid w:val="005A647E"/>
    <w:rsid w:val="005A6496"/>
    <w:rsid w:val="005A64A5"/>
    <w:rsid w:val="005A64C0"/>
    <w:rsid w:val="005A64D0"/>
    <w:rsid w:val="005A64DE"/>
    <w:rsid w:val="005A6509"/>
    <w:rsid w:val="005A656F"/>
    <w:rsid w:val="005A65FA"/>
    <w:rsid w:val="005A6609"/>
    <w:rsid w:val="005A660F"/>
    <w:rsid w:val="005A66F7"/>
    <w:rsid w:val="005A6741"/>
    <w:rsid w:val="005A678A"/>
    <w:rsid w:val="005A67A3"/>
    <w:rsid w:val="005A67C4"/>
    <w:rsid w:val="005A67D2"/>
    <w:rsid w:val="005A67DF"/>
    <w:rsid w:val="005A67EE"/>
    <w:rsid w:val="005A680B"/>
    <w:rsid w:val="005A681C"/>
    <w:rsid w:val="005A6892"/>
    <w:rsid w:val="005A68AB"/>
    <w:rsid w:val="005A6957"/>
    <w:rsid w:val="005A695E"/>
    <w:rsid w:val="005A696A"/>
    <w:rsid w:val="005A69A8"/>
    <w:rsid w:val="005A69CC"/>
    <w:rsid w:val="005A69E4"/>
    <w:rsid w:val="005A6A03"/>
    <w:rsid w:val="005A6A36"/>
    <w:rsid w:val="005A6A6A"/>
    <w:rsid w:val="005A6A94"/>
    <w:rsid w:val="005A6AD4"/>
    <w:rsid w:val="005A6AF8"/>
    <w:rsid w:val="005A6B70"/>
    <w:rsid w:val="005A6B81"/>
    <w:rsid w:val="005A6B82"/>
    <w:rsid w:val="005A6BC5"/>
    <w:rsid w:val="005A6C15"/>
    <w:rsid w:val="005A6C66"/>
    <w:rsid w:val="005A6CC9"/>
    <w:rsid w:val="005A6D0D"/>
    <w:rsid w:val="005A6D3C"/>
    <w:rsid w:val="005A6E18"/>
    <w:rsid w:val="005A6E1F"/>
    <w:rsid w:val="005A6E51"/>
    <w:rsid w:val="005A6E81"/>
    <w:rsid w:val="005A6E87"/>
    <w:rsid w:val="005A6F1C"/>
    <w:rsid w:val="005A6F4C"/>
    <w:rsid w:val="005A6F5E"/>
    <w:rsid w:val="005A6F8F"/>
    <w:rsid w:val="005A6FFD"/>
    <w:rsid w:val="005A7012"/>
    <w:rsid w:val="005A7063"/>
    <w:rsid w:val="005A70BA"/>
    <w:rsid w:val="005A7256"/>
    <w:rsid w:val="005A728C"/>
    <w:rsid w:val="005A72A2"/>
    <w:rsid w:val="005A7315"/>
    <w:rsid w:val="005A7323"/>
    <w:rsid w:val="005A7347"/>
    <w:rsid w:val="005A7383"/>
    <w:rsid w:val="005A73AA"/>
    <w:rsid w:val="005A7407"/>
    <w:rsid w:val="005A7427"/>
    <w:rsid w:val="005A742F"/>
    <w:rsid w:val="005A74B7"/>
    <w:rsid w:val="005A74CB"/>
    <w:rsid w:val="005A74E3"/>
    <w:rsid w:val="005A750D"/>
    <w:rsid w:val="005A7517"/>
    <w:rsid w:val="005A7541"/>
    <w:rsid w:val="005A755D"/>
    <w:rsid w:val="005A758A"/>
    <w:rsid w:val="005A7682"/>
    <w:rsid w:val="005A769C"/>
    <w:rsid w:val="005A76A1"/>
    <w:rsid w:val="005A76B3"/>
    <w:rsid w:val="005A770C"/>
    <w:rsid w:val="005A774D"/>
    <w:rsid w:val="005A7786"/>
    <w:rsid w:val="005A77B6"/>
    <w:rsid w:val="005A77F6"/>
    <w:rsid w:val="005A7815"/>
    <w:rsid w:val="005A786F"/>
    <w:rsid w:val="005A789C"/>
    <w:rsid w:val="005A790C"/>
    <w:rsid w:val="005A793B"/>
    <w:rsid w:val="005A795F"/>
    <w:rsid w:val="005A79C7"/>
    <w:rsid w:val="005A7A8C"/>
    <w:rsid w:val="005A7AB8"/>
    <w:rsid w:val="005A7AE3"/>
    <w:rsid w:val="005A7B65"/>
    <w:rsid w:val="005A7BC9"/>
    <w:rsid w:val="005A7C67"/>
    <w:rsid w:val="005A7CC2"/>
    <w:rsid w:val="005A7CDE"/>
    <w:rsid w:val="005A7D54"/>
    <w:rsid w:val="005A7D9E"/>
    <w:rsid w:val="005A7DC3"/>
    <w:rsid w:val="005A7DF4"/>
    <w:rsid w:val="005A7E29"/>
    <w:rsid w:val="005A7E3B"/>
    <w:rsid w:val="005A7E81"/>
    <w:rsid w:val="005A7E87"/>
    <w:rsid w:val="005A7EA6"/>
    <w:rsid w:val="005A7F7A"/>
    <w:rsid w:val="005A7F84"/>
    <w:rsid w:val="005A7FA8"/>
    <w:rsid w:val="005A7FF2"/>
    <w:rsid w:val="005ABDAC"/>
    <w:rsid w:val="005B0012"/>
    <w:rsid w:val="005B004E"/>
    <w:rsid w:val="005B0055"/>
    <w:rsid w:val="005B011E"/>
    <w:rsid w:val="005B0127"/>
    <w:rsid w:val="005B01A1"/>
    <w:rsid w:val="005B01CA"/>
    <w:rsid w:val="005B0212"/>
    <w:rsid w:val="005B0245"/>
    <w:rsid w:val="005B024C"/>
    <w:rsid w:val="005B024D"/>
    <w:rsid w:val="005B0265"/>
    <w:rsid w:val="005B028C"/>
    <w:rsid w:val="005B029C"/>
    <w:rsid w:val="005B02AF"/>
    <w:rsid w:val="005B02C9"/>
    <w:rsid w:val="005B02FA"/>
    <w:rsid w:val="005B0301"/>
    <w:rsid w:val="005B0304"/>
    <w:rsid w:val="005B0350"/>
    <w:rsid w:val="005B0406"/>
    <w:rsid w:val="005B042C"/>
    <w:rsid w:val="005B044A"/>
    <w:rsid w:val="005B0480"/>
    <w:rsid w:val="005B04D5"/>
    <w:rsid w:val="005B055E"/>
    <w:rsid w:val="005B0572"/>
    <w:rsid w:val="005B0580"/>
    <w:rsid w:val="005B05E1"/>
    <w:rsid w:val="005B0612"/>
    <w:rsid w:val="005B0632"/>
    <w:rsid w:val="005B067E"/>
    <w:rsid w:val="005B06D3"/>
    <w:rsid w:val="005B06F8"/>
    <w:rsid w:val="005B070E"/>
    <w:rsid w:val="005B07A8"/>
    <w:rsid w:val="005B07B5"/>
    <w:rsid w:val="005B07B8"/>
    <w:rsid w:val="005B07F4"/>
    <w:rsid w:val="005B0866"/>
    <w:rsid w:val="005B0977"/>
    <w:rsid w:val="005B09E6"/>
    <w:rsid w:val="005B0A35"/>
    <w:rsid w:val="005B0A6D"/>
    <w:rsid w:val="005B0A89"/>
    <w:rsid w:val="005B0AF4"/>
    <w:rsid w:val="005B0AFC"/>
    <w:rsid w:val="005B0BDC"/>
    <w:rsid w:val="005B0BEA"/>
    <w:rsid w:val="005B0C1F"/>
    <w:rsid w:val="005B0C47"/>
    <w:rsid w:val="005B0C95"/>
    <w:rsid w:val="005B0CC0"/>
    <w:rsid w:val="005B0CFA"/>
    <w:rsid w:val="005B0D67"/>
    <w:rsid w:val="005B0D9D"/>
    <w:rsid w:val="005B0DC7"/>
    <w:rsid w:val="005B0DCD"/>
    <w:rsid w:val="005B0E12"/>
    <w:rsid w:val="005B0E40"/>
    <w:rsid w:val="005B0E95"/>
    <w:rsid w:val="005B0EA5"/>
    <w:rsid w:val="005B0EAF"/>
    <w:rsid w:val="005B0EC2"/>
    <w:rsid w:val="005B0ECC"/>
    <w:rsid w:val="005B0F01"/>
    <w:rsid w:val="005B0F22"/>
    <w:rsid w:val="005B0F95"/>
    <w:rsid w:val="005B0FDB"/>
    <w:rsid w:val="005B0FE7"/>
    <w:rsid w:val="005B0FFE"/>
    <w:rsid w:val="005B107A"/>
    <w:rsid w:val="005B10BF"/>
    <w:rsid w:val="005B1109"/>
    <w:rsid w:val="005B1189"/>
    <w:rsid w:val="005B1265"/>
    <w:rsid w:val="005B12A6"/>
    <w:rsid w:val="005B12BD"/>
    <w:rsid w:val="005B1385"/>
    <w:rsid w:val="005B13A1"/>
    <w:rsid w:val="005B143C"/>
    <w:rsid w:val="005B14DB"/>
    <w:rsid w:val="005B150D"/>
    <w:rsid w:val="005B1523"/>
    <w:rsid w:val="005B1591"/>
    <w:rsid w:val="005B15AF"/>
    <w:rsid w:val="005B15B9"/>
    <w:rsid w:val="005B1601"/>
    <w:rsid w:val="005B160B"/>
    <w:rsid w:val="005B162B"/>
    <w:rsid w:val="005B1649"/>
    <w:rsid w:val="005B166E"/>
    <w:rsid w:val="005B168E"/>
    <w:rsid w:val="005B1696"/>
    <w:rsid w:val="005B16A1"/>
    <w:rsid w:val="005B16D3"/>
    <w:rsid w:val="005B1748"/>
    <w:rsid w:val="005B175E"/>
    <w:rsid w:val="005B1796"/>
    <w:rsid w:val="005B17BF"/>
    <w:rsid w:val="005B17E1"/>
    <w:rsid w:val="005B17EE"/>
    <w:rsid w:val="005B17F8"/>
    <w:rsid w:val="005B1851"/>
    <w:rsid w:val="005B1858"/>
    <w:rsid w:val="005B1878"/>
    <w:rsid w:val="005B187D"/>
    <w:rsid w:val="005B1884"/>
    <w:rsid w:val="005B18CC"/>
    <w:rsid w:val="005B1954"/>
    <w:rsid w:val="005B1993"/>
    <w:rsid w:val="005B19E3"/>
    <w:rsid w:val="005B1A3A"/>
    <w:rsid w:val="005B1A3C"/>
    <w:rsid w:val="005B1A6B"/>
    <w:rsid w:val="005B1A7E"/>
    <w:rsid w:val="005B1A95"/>
    <w:rsid w:val="005B1B04"/>
    <w:rsid w:val="005B1B4D"/>
    <w:rsid w:val="005B1B7A"/>
    <w:rsid w:val="005B1BD7"/>
    <w:rsid w:val="005B1C72"/>
    <w:rsid w:val="005B1D01"/>
    <w:rsid w:val="005B1D29"/>
    <w:rsid w:val="005B1D3A"/>
    <w:rsid w:val="005B1DA9"/>
    <w:rsid w:val="005B1DAF"/>
    <w:rsid w:val="005B1E00"/>
    <w:rsid w:val="005B1E0E"/>
    <w:rsid w:val="005B1E66"/>
    <w:rsid w:val="005B1E80"/>
    <w:rsid w:val="005B1EAB"/>
    <w:rsid w:val="005B1EAC"/>
    <w:rsid w:val="005B1EB3"/>
    <w:rsid w:val="005B1EB4"/>
    <w:rsid w:val="005B1EC2"/>
    <w:rsid w:val="005B1EE1"/>
    <w:rsid w:val="005B1F09"/>
    <w:rsid w:val="005B1F14"/>
    <w:rsid w:val="005B1F1C"/>
    <w:rsid w:val="005B1FAF"/>
    <w:rsid w:val="005B2018"/>
    <w:rsid w:val="005B2048"/>
    <w:rsid w:val="005B20DD"/>
    <w:rsid w:val="005B2122"/>
    <w:rsid w:val="005B2153"/>
    <w:rsid w:val="005B2195"/>
    <w:rsid w:val="005B21BF"/>
    <w:rsid w:val="005B224C"/>
    <w:rsid w:val="005B227D"/>
    <w:rsid w:val="005B22C5"/>
    <w:rsid w:val="005B22DD"/>
    <w:rsid w:val="005B22FB"/>
    <w:rsid w:val="005B230C"/>
    <w:rsid w:val="005B2334"/>
    <w:rsid w:val="005B234C"/>
    <w:rsid w:val="005B2353"/>
    <w:rsid w:val="005B235F"/>
    <w:rsid w:val="005B238F"/>
    <w:rsid w:val="005B23D6"/>
    <w:rsid w:val="005B23F7"/>
    <w:rsid w:val="005B2403"/>
    <w:rsid w:val="005B248A"/>
    <w:rsid w:val="005B2544"/>
    <w:rsid w:val="005B258D"/>
    <w:rsid w:val="005B2592"/>
    <w:rsid w:val="005B25C2"/>
    <w:rsid w:val="005B26CA"/>
    <w:rsid w:val="005B270B"/>
    <w:rsid w:val="005B2710"/>
    <w:rsid w:val="005B2716"/>
    <w:rsid w:val="005B2786"/>
    <w:rsid w:val="005B2795"/>
    <w:rsid w:val="005B27BF"/>
    <w:rsid w:val="005B2868"/>
    <w:rsid w:val="005B28B1"/>
    <w:rsid w:val="005B2921"/>
    <w:rsid w:val="005B2957"/>
    <w:rsid w:val="005B2963"/>
    <w:rsid w:val="005B2A3F"/>
    <w:rsid w:val="005B2A53"/>
    <w:rsid w:val="005B2ABC"/>
    <w:rsid w:val="005B2AC5"/>
    <w:rsid w:val="005B2B0B"/>
    <w:rsid w:val="005B2B21"/>
    <w:rsid w:val="005B2B37"/>
    <w:rsid w:val="005B2B50"/>
    <w:rsid w:val="005B2D2A"/>
    <w:rsid w:val="005B2D2F"/>
    <w:rsid w:val="005B2DC8"/>
    <w:rsid w:val="005B2DE1"/>
    <w:rsid w:val="005B2DEE"/>
    <w:rsid w:val="005B2DFB"/>
    <w:rsid w:val="005B2E8A"/>
    <w:rsid w:val="005B2EB3"/>
    <w:rsid w:val="005B2EE1"/>
    <w:rsid w:val="005B2EF6"/>
    <w:rsid w:val="005B2F2A"/>
    <w:rsid w:val="005B2F64"/>
    <w:rsid w:val="005B2F7B"/>
    <w:rsid w:val="005B2FB2"/>
    <w:rsid w:val="005B2FD0"/>
    <w:rsid w:val="005B2FDC"/>
    <w:rsid w:val="005B2FE3"/>
    <w:rsid w:val="005B303B"/>
    <w:rsid w:val="005B3065"/>
    <w:rsid w:val="005B3071"/>
    <w:rsid w:val="005B3076"/>
    <w:rsid w:val="005B30A8"/>
    <w:rsid w:val="005B30B6"/>
    <w:rsid w:val="005B31D3"/>
    <w:rsid w:val="005B3279"/>
    <w:rsid w:val="005B32A4"/>
    <w:rsid w:val="005B32C2"/>
    <w:rsid w:val="005B32CD"/>
    <w:rsid w:val="005B32F1"/>
    <w:rsid w:val="005B331E"/>
    <w:rsid w:val="005B339F"/>
    <w:rsid w:val="005B33DE"/>
    <w:rsid w:val="005B3422"/>
    <w:rsid w:val="005B346D"/>
    <w:rsid w:val="005B34C5"/>
    <w:rsid w:val="005B3529"/>
    <w:rsid w:val="005B35BD"/>
    <w:rsid w:val="005B361D"/>
    <w:rsid w:val="005B36CB"/>
    <w:rsid w:val="005B375E"/>
    <w:rsid w:val="005B37FC"/>
    <w:rsid w:val="005B383C"/>
    <w:rsid w:val="005B38C3"/>
    <w:rsid w:val="005B38E2"/>
    <w:rsid w:val="005B38EE"/>
    <w:rsid w:val="005B3930"/>
    <w:rsid w:val="005B3933"/>
    <w:rsid w:val="005B396C"/>
    <w:rsid w:val="005B39A8"/>
    <w:rsid w:val="005B3A16"/>
    <w:rsid w:val="005B3A28"/>
    <w:rsid w:val="005B3A7B"/>
    <w:rsid w:val="005B3A7C"/>
    <w:rsid w:val="005B3A9E"/>
    <w:rsid w:val="005B3AEC"/>
    <w:rsid w:val="005B3B46"/>
    <w:rsid w:val="005B3B76"/>
    <w:rsid w:val="005B3BA2"/>
    <w:rsid w:val="005B3C2A"/>
    <w:rsid w:val="005B3C4A"/>
    <w:rsid w:val="005B3C8E"/>
    <w:rsid w:val="005B3C8F"/>
    <w:rsid w:val="005B3CC4"/>
    <w:rsid w:val="005B3CF3"/>
    <w:rsid w:val="005B3D49"/>
    <w:rsid w:val="005B3D5C"/>
    <w:rsid w:val="005B3D8B"/>
    <w:rsid w:val="005B3DDC"/>
    <w:rsid w:val="005B3E1B"/>
    <w:rsid w:val="005B3E21"/>
    <w:rsid w:val="005B3E36"/>
    <w:rsid w:val="005B3E60"/>
    <w:rsid w:val="005B3EA1"/>
    <w:rsid w:val="005B3F5C"/>
    <w:rsid w:val="005B3F87"/>
    <w:rsid w:val="005B3F8C"/>
    <w:rsid w:val="005B3FD5"/>
    <w:rsid w:val="005B4016"/>
    <w:rsid w:val="005B404F"/>
    <w:rsid w:val="005B4053"/>
    <w:rsid w:val="005B4082"/>
    <w:rsid w:val="005B4091"/>
    <w:rsid w:val="005B40E9"/>
    <w:rsid w:val="005B411F"/>
    <w:rsid w:val="005B4141"/>
    <w:rsid w:val="005B41D8"/>
    <w:rsid w:val="005B41F1"/>
    <w:rsid w:val="005B41F7"/>
    <w:rsid w:val="005B4201"/>
    <w:rsid w:val="005B4229"/>
    <w:rsid w:val="005B4245"/>
    <w:rsid w:val="005B425D"/>
    <w:rsid w:val="005B4287"/>
    <w:rsid w:val="005B4309"/>
    <w:rsid w:val="005B4342"/>
    <w:rsid w:val="005B43A4"/>
    <w:rsid w:val="005B43A8"/>
    <w:rsid w:val="005B43B1"/>
    <w:rsid w:val="005B43C4"/>
    <w:rsid w:val="005B43D5"/>
    <w:rsid w:val="005B43DB"/>
    <w:rsid w:val="005B43EF"/>
    <w:rsid w:val="005B4426"/>
    <w:rsid w:val="005B4462"/>
    <w:rsid w:val="005B44CD"/>
    <w:rsid w:val="005B44D2"/>
    <w:rsid w:val="005B459A"/>
    <w:rsid w:val="005B462F"/>
    <w:rsid w:val="005B464A"/>
    <w:rsid w:val="005B4692"/>
    <w:rsid w:val="005B46A5"/>
    <w:rsid w:val="005B46B1"/>
    <w:rsid w:val="005B46FC"/>
    <w:rsid w:val="005B4743"/>
    <w:rsid w:val="005B47B3"/>
    <w:rsid w:val="005B47C5"/>
    <w:rsid w:val="005B48B3"/>
    <w:rsid w:val="005B48E3"/>
    <w:rsid w:val="005B4964"/>
    <w:rsid w:val="005B4B4C"/>
    <w:rsid w:val="005B4B71"/>
    <w:rsid w:val="005B4B75"/>
    <w:rsid w:val="005B4B95"/>
    <w:rsid w:val="005B4C28"/>
    <w:rsid w:val="005B4C45"/>
    <w:rsid w:val="005B4C48"/>
    <w:rsid w:val="005B4C7C"/>
    <w:rsid w:val="005B4C86"/>
    <w:rsid w:val="005B4CC4"/>
    <w:rsid w:val="005B4CFD"/>
    <w:rsid w:val="005B4D30"/>
    <w:rsid w:val="005B4D48"/>
    <w:rsid w:val="005B4DB5"/>
    <w:rsid w:val="005B4DC8"/>
    <w:rsid w:val="005B4DC9"/>
    <w:rsid w:val="005B4DD4"/>
    <w:rsid w:val="005B4E3B"/>
    <w:rsid w:val="005B4EBA"/>
    <w:rsid w:val="005B4EC1"/>
    <w:rsid w:val="005B4EF8"/>
    <w:rsid w:val="005B4F3F"/>
    <w:rsid w:val="005B4F52"/>
    <w:rsid w:val="005B4F65"/>
    <w:rsid w:val="005B4F6F"/>
    <w:rsid w:val="005B4FE5"/>
    <w:rsid w:val="005B504A"/>
    <w:rsid w:val="005B50B8"/>
    <w:rsid w:val="005B50CB"/>
    <w:rsid w:val="005B50E3"/>
    <w:rsid w:val="005B5111"/>
    <w:rsid w:val="005B5188"/>
    <w:rsid w:val="005B519D"/>
    <w:rsid w:val="005B52B6"/>
    <w:rsid w:val="005B52C7"/>
    <w:rsid w:val="005B53B5"/>
    <w:rsid w:val="005B53D7"/>
    <w:rsid w:val="005B53DB"/>
    <w:rsid w:val="005B5456"/>
    <w:rsid w:val="005B54E3"/>
    <w:rsid w:val="005B5651"/>
    <w:rsid w:val="005B5668"/>
    <w:rsid w:val="005B566B"/>
    <w:rsid w:val="005B5670"/>
    <w:rsid w:val="005B56E4"/>
    <w:rsid w:val="005B56FA"/>
    <w:rsid w:val="005B57A5"/>
    <w:rsid w:val="005B57A7"/>
    <w:rsid w:val="005B57CF"/>
    <w:rsid w:val="005B57D9"/>
    <w:rsid w:val="005B57F7"/>
    <w:rsid w:val="005B587B"/>
    <w:rsid w:val="005B588F"/>
    <w:rsid w:val="005B5897"/>
    <w:rsid w:val="005B58C4"/>
    <w:rsid w:val="005B58E9"/>
    <w:rsid w:val="005B590E"/>
    <w:rsid w:val="005B591B"/>
    <w:rsid w:val="005B593A"/>
    <w:rsid w:val="005B595B"/>
    <w:rsid w:val="005B595D"/>
    <w:rsid w:val="005B598E"/>
    <w:rsid w:val="005B5A4C"/>
    <w:rsid w:val="005B5B16"/>
    <w:rsid w:val="005B5B3E"/>
    <w:rsid w:val="005B5B75"/>
    <w:rsid w:val="005B5BC1"/>
    <w:rsid w:val="005B5C2C"/>
    <w:rsid w:val="005B5C3C"/>
    <w:rsid w:val="005B5CAD"/>
    <w:rsid w:val="005B5CD2"/>
    <w:rsid w:val="005B5D16"/>
    <w:rsid w:val="005B5D99"/>
    <w:rsid w:val="005B5DBF"/>
    <w:rsid w:val="005B5E68"/>
    <w:rsid w:val="005B5E86"/>
    <w:rsid w:val="005B5E99"/>
    <w:rsid w:val="005B5F95"/>
    <w:rsid w:val="005B5FD2"/>
    <w:rsid w:val="005B608F"/>
    <w:rsid w:val="005B60CA"/>
    <w:rsid w:val="005B60D0"/>
    <w:rsid w:val="005B611D"/>
    <w:rsid w:val="005B613B"/>
    <w:rsid w:val="005B624F"/>
    <w:rsid w:val="005B626D"/>
    <w:rsid w:val="005B6286"/>
    <w:rsid w:val="005B62BF"/>
    <w:rsid w:val="005B6307"/>
    <w:rsid w:val="005B6315"/>
    <w:rsid w:val="005B631D"/>
    <w:rsid w:val="005B6326"/>
    <w:rsid w:val="005B6334"/>
    <w:rsid w:val="005B63AF"/>
    <w:rsid w:val="005B63C2"/>
    <w:rsid w:val="005B63FC"/>
    <w:rsid w:val="005B643A"/>
    <w:rsid w:val="005B646F"/>
    <w:rsid w:val="005B6511"/>
    <w:rsid w:val="005B651C"/>
    <w:rsid w:val="005B65C5"/>
    <w:rsid w:val="005B65FF"/>
    <w:rsid w:val="005B6640"/>
    <w:rsid w:val="005B66F7"/>
    <w:rsid w:val="005B66F8"/>
    <w:rsid w:val="005B6718"/>
    <w:rsid w:val="005B675D"/>
    <w:rsid w:val="005B6784"/>
    <w:rsid w:val="005B678D"/>
    <w:rsid w:val="005B67ED"/>
    <w:rsid w:val="005B6816"/>
    <w:rsid w:val="005B6822"/>
    <w:rsid w:val="005B6826"/>
    <w:rsid w:val="005B6840"/>
    <w:rsid w:val="005B690A"/>
    <w:rsid w:val="005B690C"/>
    <w:rsid w:val="005B6944"/>
    <w:rsid w:val="005B6953"/>
    <w:rsid w:val="005B697E"/>
    <w:rsid w:val="005B698A"/>
    <w:rsid w:val="005B69FB"/>
    <w:rsid w:val="005B6A56"/>
    <w:rsid w:val="005B6A90"/>
    <w:rsid w:val="005B6AC8"/>
    <w:rsid w:val="005B6AEA"/>
    <w:rsid w:val="005B6B0B"/>
    <w:rsid w:val="005B6B61"/>
    <w:rsid w:val="005B6B86"/>
    <w:rsid w:val="005B6B93"/>
    <w:rsid w:val="005B6BC0"/>
    <w:rsid w:val="005B6BD7"/>
    <w:rsid w:val="005B6C5D"/>
    <w:rsid w:val="005B6C67"/>
    <w:rsid w:val="005B6CDD"/>
    <w:rsid w:val="005B6D58"/>
    <w:rsid w:val="005B6DDC"/>
    <w:rsid w:val="005B6DF9"/>
    <w:rsid w:val="005B6E5C"/>
    <w:rsid w:val="005B6E95"/>
    <w:rsid w:val="005B6EAA"/>
    <w:rsid w:val="005B6EC5"/>
    <w:rsid w:val="005B6EC6"/>
    <w:rsid w:val="005B6EC9"/>
    <w:rsid w:val="005B6ECD"/>
    <w:rsid w:val="005B6F6C"/>
    <w:rsid w:val="005B6F7B"/>
    <w:rsid w:val="005B6F90"/>
    <w:rsid w:val="005B6F93"/>
    <w:rsid w:val="005B6FA4"/>
    <w:rsid w:val="005B6FA6"/>
    <w:rsid w:val="005B7002"/>
    <w:rsid w:val="005B7103"/>
    <w:rsid w:val="005B7112"/>
    <w:rsid w:val="005B712B"/>
    <w:rsid w:val="005B718C"/>
    <w:rsid w:val="005B718D"/>
    <w:rsid w:val="005B71A1"/>
    <w:rsid w:val="005B71EA"/>
    <w:rsid w:val="005B7220"/>
    <w:rsid w:val="005B72F5"/>
    <w:rsid w:val="005B7309"/>
    <w:rsid w:val="005B731E"/>
    <w:rsid w:val="005B7358"/>
    <w:rsid w:val="005B73D8"/>
    <w:rsid w:val="005B73E6"/>
    <w:rsid w:val="005B7492"/>
    <w:rsid w:val="005B76B6"/>
    <w:rsid w:val="005B76D7"/>
    <w:rsid w:val="005B773C"/>
    <w:rsid w:val="005B773F"/>
    <w:rsid w:val="005B7750"/>
    <w:rsid w:val="005B7781"/>
    <w:rsid w:val="005B77FA"/>
    <w:rsid w:val="005B7860"/>
    <w:rsid w:val="005B787A"/>
    <w:rsid w:val="005B787E"/>
    <w:rsid w:val="005B7893"/>
    <w:rsid w:val="005B790D"/>
    <w:rsid w:val="005B7935"/>
    <w:rsid w:val="005B79B1"/>
    <w:rsid w:val="005B79B8"/>
    <w:rsid w:val="005B79BB"/>
    <w:rsid w:val="005B79E2"/>
    <w:rsid w:val="005B79E5"/>
    <w:rsid w:val="005B7A59"/>
    <w:rsid w:val="005B7B3E"/>
    <w:rsid w:val="005B7BA2"/>
    <w:rsid w:val="005B7CA7"/>
    <w:rsid w:val="005B7CDC"/>
    <w:rsid w:val="005B7CEE"/>
    <w:rsid w:val="005B7D25"/>
    <w:rsid w:val="005B7D51"/>
    <w:rsid w:val="005B7E15"/>
    <w:rsid w:val="005B7E53"/>
    <w:rsid w:val="005B7E98"/>
    <w:rsid w:val="005B7E99"/>
    <w:rsid w:val="005B7F58"/>
    <w:rsid w:val="005B7FB4"/>
    <w:rsid w:val="005C0033"/>
    <w:rsid w:val="005C005A"/>
    <w:rsid w:val="005C008E"/>
    <w:rsid w:val="005C00AB"/>
    <w:rsid w:val="005C0100"/>
    <w:rsid w:val="005C0111"/>
    <w:rsid w:val="005C0163"/>
    <w:rsid w:val="005C0188"/>
    <w:rsid w:val="005C0202"/>
    <w:rsid w:val="005C0206"/>
    <w:rsid w:val="005C020D"/>
    <w:rsid w:val="005C0235"/>
    <w:rsid w:val="005C0238"/>
    <w:rsid w:val="005C0253"/>
    <w:rsid w:val="005C0261"/>
    <w:rsid w:val="005C026B"/>
    <w:rsid w:val="005C026E"/>
    <w:rsid w:val="005C02D1"/>
    <w:rsid w:val="005C02D7"/>
    <w:rsid w:val="005C0385"/>
    <w:rsid w:val="005C03A6"/>
    <w:rsid w:val="005C03D6"/>
    <w:rsid w:val="005C041D"/>
    <w:rsid w:val="005C0435"/>
    <w:rsid w:val="005C044E"/>
    <w:rsid w:val="005C0457"/>
    <w:rsid w:val="005C04A3"/>
    <w:rsid w:val="005C04C7"/>
    <w:rsid w:val="005C04E4"/>
    <w:rsid w:val="005C052A"/>
    <w:rsid w:val="005C0544"/>
    <w:rsid w:val="005C0549"/>
    <w:rsid w:val="005C0574"/>
    <w:rsid w:val="005C0577"/>
    <w:rsid w:val="005C05A3"/>
    <w:rsid w:val="005C05C5"/>
    <w:rsid w:val="005C05D5"/>
    <w:rsid w:val="005C060C"/>
    <w:rsid w:val="005C06A6"/>
    <w:rsid w:val="005C078C"/>
    <w:rsid w:val="005C07B6"/>
    <w:rsid w:val="005C08C8"/>
    <w:rsid w:val="005C08EF"/>
    <w:rsid w:val="005C08F2"/>
    <w:rsid w:val="005C0933"/>
    <w:rsid w:val="005C09BC"/>
    <w:rsid w:val="005C0A3D"/>
    <w:rsid w:val="005C0A45"/>
    <w:rsid w:val="005C0A60"/>
    <w:rsid w:val="005C0A6C"/>
    <w:rsid w:val="005C0A7A"/>
    <w:rsid w:val="005C0A87"/>
    <w:rsid w:val="005C0A89"/>
    <w:rsid w:val="005C0AA9"/>
    <w:rsid w:val="005C0AB8"/>
    <w:rsid w:val="005C0ACE"/>
    <w:rsid w:val="005C0AD7"/>
    <w:rsid w:val="005C0AF7"/>
    <w:rsid w:val="005C0B43"/>
    <w:rsid w:val="005C0B83"/>
    <w:rsid w:val="005C0B97"/>
    <w:rsid w:val="005C0C21"/>
    <w:rsid w:val="005C0C59"/>
    <w:rsid w:val="005C0C6E"/>
    <w:rsid w:val="005C0C78"/>
    <w:rsid w:val="005C0CC4"/>
    <w:rsid w:val="005C0CDC"/>
    <w:rsid w:val="005C0D16"/>
    <w:rsid w:val="005C0D35"/>
    <w:rsid w:val="005C0D38"/>
    <w:rsid w:val="005C0D43"/>
    <w:rsid w:val="005C0D89"/>
    <w:rsid w:val="005C0E37"/>
    <w:rsid w:val="005C0E5D"/>
    <w:rsid w:val="005C0EB6"/>
    <w:rsid w:val="005C0F14"/>
    <w:rsid w:val="005C0F1E"/>
    <w:rsid w:val="005C0F52"/>
    <w:rsid w:val="005C0F61"/>
    <w:rsid w:val="005C0F62"/>
    <w:rsid w:val="005C0F86"/>
    <w:rsid w:val="005C0F8D"/>
    <w:rsid w:val="005C0FE6"/>
    <w:rsid w:val="005C0FEF"/>
    <w:rsid w:val="005C103F"/>
    <w:rsid w:val="005C1047"/>
    <w:rsid w:val="005C109F"/>
    <w:rsid w:val="005C10BD"/>
    <w:rsid w:val="005C10E1"/>
    <w:rsid w:val="005C10EB"/>
    <w:rsid w:val="005C10FF"/>
    <w:rsid w:val="005C1107"/>
    <w:rsid w:val="005C1114"/>
    <w:rsid w:val="005C118A"/>
    <w:rsid w:val="005C1191"/>
    <w:rsid w:val="005C11AF"/>
    <w:rsid w:val="005C1205"/>
    <w:rsid w:val="005C1259"/>
    <w:rsid w:val="005C127B"/>
    <w:rsid w:val="005C12B4"/>
    <w:rsid w:val="005C12DC"/>
    <w:rsid w:val="005C12EE"/>
    <w:rsid w:val="005C1347"/>
    <w:rsid w:val="005C136D"/>
    <w:rsid w:val="005C13E6"/>
    <w:rsid w:val="005C144E"/>
    <w:rsid w:val="005C1464"/>
    <w:rsid w:val="005C14E6"/>
    <w:rsid w:val="005C155A"/>
    <w:rsid w:val="005C1561"/>
    <w:rsid w:val="005C1565"/>
    <w:rsid w:val="005C1579"/>
    <w:rsid w:val="005C1622"/>
    <w:rsid w:val="005C1629"/>
    <w:rsid w:val="005C166A"/>
    <w:rsid w:val="005C16E6"/>
    <w:rsid w:val="005C16F9"/>
    <w:rsid w:val="005C172F"/>
    <w:rsid w:val="005C17CC"/>
    <w:rsid w:val="005C1887"/>
    <w:rsid w:val="005C1897"/>
    <w:rsid w:val="005C18B1"/>
    <w:rsid w:val="005C18C1"/>
    <w:rsid w:val="005C18F2"/>
    <w:rsid w:val="005C191B"/>
    <w:rsid w:val="005C1953"/>
    <w:rsid w:val="005C195C"/>
    <w:rsid w:val="005C1981"/>
    <w:rsid w:val="005C19EE"/>
    <w:rsid w:val="005C1A21"/>
    <w:rsid w:val="005C1A41"/>
    <w:rsid w:val="005C1A9F"/>
    <w:rsid w:val="005C1AE5"/>
    <w:rsid w:val="005C1B1C"/>
    <w:rsid w:val="005C1B81"/>
    <w:rsid w:val="005C1BB4"/>
    <w:rsid w:val="005C1BB5"/>
    <w:rsid w:val="005C1BCC"/>
    <w:rsid w:val="005C1C4B"/>
    <w:rsid w:val="005C1C66"/>
    <w:rsid w:val="005C1C7C"/>
    <w:rsid w:val="005C1C80"/>
    <w:rsid w:val="005C1C85"/>
    <w:rsid w:val="005C1D21"/>
    <w:rsid w:val="005C1D2D"/>
    <w:rsid w:val="005C1D35"/>
    <w:rsid w:val="005C1D3A"/>
    <w:rsid w:val="005C1D40"/>
    <w:rsid w:val="005C1D62"/>
    <w:rsid w:val="005C1DAC"/>
    <w:rsid w:val="005C1DC4"/>
    <w:rsid w:val="005C1DC8"/>
    <w:rsid w:val="005C1E0F"/>
    <w:rsid w:val="005C1E24"/>
    <w:rsid w:val="005C1E6A"/>
    <w:rsid w:val="005C1E6D"/>
    <w:rsid w:val="005C1E74"/>
    <w:rsid w:val="005C1E9D"/>
    <w:rsid w:val="005C1EDB"/>
    <w:rsid w:val="005C1F77"/>
    <w:rsid w:val="005C1FF4"/>
    <w:rsid w:val="005C2008"/>
    <w:rsid w:val="005C203A"/>
    <w:rsid w:val="005C205C"/>
    <w:rsid w:val="005C20CB"/>
    <w:rsid w:val="005C20DA"/>
    <w:rsid w:val="005C20F1"/>
    <w:rsid w:val="005C215E"/>
    <w:rsid w:val="005C219D"/>
    <w:rsid w:val="005C21AC"/>
    <w:rsid w:val="005C21EC"/>
    <w:rsid w:val="005C2218"/>
    <w:rsid w:val="005C225A"/>
    <w:rsid w:val="005C22A4"/>
    <w:rsid w:val="005C22C7"/>
    <w:rsid w:val="005C22E4"/>
    <w:rsid w:val="005C235B"/>
    <w:rsid w:val="005C23A2"/>
    <w:rsid w:val="005C23B3"/>
    <w:rsid w:val="005C23C2"/>
    <w:rsid w:val="005C248C"/>
    <w:rsid w:val="005C2490"/>
    <w:rsid w:val="005C24A8"/>
    <w:rsid w:val="005C24D9"/>
    <w:rsid w:val="005C24F0"/>
    <w:rsid w:val="005C2559"/>
    <w:rsid w:val="005C258C"/>
    <w:rsid w:val="005C25B3"/>
    <w:rsid w:val="005C25CC"/>
    <w:rsid w:val="005C2601"/>
    <w:rsid w:val="005C2624"/>
    <w:rsid w:val="005C263F"/>
    <w:rsid w:val="005C26EA"/>
    <w:rsid w:val="005C2721"/>
    <w:rsid w:val="005C2736"/>
    <w:rsid w:val="005C273A"/>
    <w:rsid w:val="005C2740"/>
    <w:rsid w:val="005C2794"/>
    <w:rsid w:val="005C27B7"/>
    <w:rsid w:val="005C27D0"/>
    <w:rsid w:val="005C280A"/>
    <w:rsid w:val="005C282E"/>
    <w:rsid w:val="005C286F"/>
    <w:rsid w:val="005C2900"/>
    <w:rsid w:val="005C2905"/>
    <w:rsid w:val="005C2928"/>
    <w:rsid w:val="005C29E4"/>
    <w:rsid w:val="005C2A14"/>
    <w:rsid w:val="005C2ABB"/>
    <w:rsid w:val="005C2AE7"/>
    <w:rsid w:val="005C2AF3"/>
    <w:rsid w:val="005C2BAB"/>
    <w:rsid w:val="005C2BCB"/>
    <w:rsid w:val="005C2C07"/>
    <w:rsid w:val="005C2C31"/>
    <w:rsid w:val="005C2C49"/>
    <w:rsid w:val="005C2C5D"/>
    <w:rsid w:val="005C2C7C"/>
    <w:rsid w:val="005C2C8D"/>
    <w:rsid w:val="005C2CD5"/>
    <w:rsid w:val="005C2D18"/>
    <w:rsid w:val="005C2D27"/>
    <w:rsid w:val="005C2D38"/>
    <w:rsid w:val="005C2D63"/>
    <w:rsid w:val="005C2D70"/>
    <w:rsid w:val="005C2DB6"/>
    <w:rsid w:val="005C2DB9"/>
    <w:rsid w:val="005C2EA0"/>
    <w:rsid w:val="005C2F7D"/>
    <w:rsid w:val="005C2FA9"/>
    <w:rsid w:val="005C2FF9"/>
    <w:rsid w:val="005C301F"/>
    <w:rsid w:val="005C30AF"/>
    <w:rsid w:val="005C31B6"/>
    <w:rsid w:val="005C31BF"/>
    <w:rsid w:val="005C31F6"/>
    <w:rsid w:val="005C3256"/>
    <w:rsid w:val="005C3263"/>
    <w:rsid w:val="005C328B"/>
    <w:rsid w:val="005C32B9"/>
    <w:rsid w:val="005C32CA"/>
    <w:rsid w:val="005C32D7"/>
    <w:rsid w:val="005C32E5"/>
    <w:rsid w:val="005C332C"/>
    <w:rsid w:val="005C333C"/>
    <w:rsid w:val="005C3353"/>
    <w:rsid w:val="005C33BA"/>
    <w:rsid w:val="005C33EB"/>
    <w:rsid w:val="005C340D"/>
    <w:rsid w:val="005C3459"/>
    <w:rsid w:val="005C3488"/>
    <w:rsid w:val="005C34E6"/>
    <w:rsid w:val="005C3547"/>
    <w:rsid w:val="005C355D"/>
    <w:rsid w:val="005C35B8"/>
    <w:rsid w:val="005C368D"/>
    <w:rsid w:val="005C36C4"/>
    <w:rsid w:val="005C36DE"/>
    <w:rsid w:val="005C3778"/>
    <w:rsid w:val="005C377A"/>
    <w:rsid w:val="005C37CF"/>
    <w:rsid w:val="005C387B"/>
    <w:rsid w:val="005C388D"/>
    <w:rsid w:val="005C38CA"/>
    <w:rsid w:val="005C38D9"/>
    <w:rsid w:val="005C38FE"/>
    <w:rsid w:val="005C395B"/>
    <w:rsid w:val="005C3986"/>
    <w:rsid w:val="005C398C"/>
    <w:rsid w:val="005C39D8"/>
    <w:rsid w:val="005C3A0C"/>
    <w:rsid w:val="005C3A22"/>
    <w:rsid w:val="005C3A33"/>
    <w:rsid w:val="005C3A3A"/>
    <w:rsid w:val="005C3A40"/>
    <w:rsid w:val="005C3A51"/>
    <w:rsid w:val="005C3A86"/>
    <w:rsid w:val="005C3ACE"/>
    <w:rsid w:val="005C3ADB"/>
    <w:rsid w:val="005C3B14"/>
    <w:rsid w:val="005C3B20"/>
    <w:rsid w:val="005C3B58"/>
    <w:rsid w:val="005C3B91"/>
    <w:rsid w:val="005C3BB6"/>
    <w:rsid w:val="005C3C0A"/>
    <w:rsid w:val="005C3C0D"/>
    <w:rsid w:val="005C3C98"/>
    <w:rsid w:val="005C3CD0"/>
    <w:rsid w:val="005C3CE1"/>
    <w:rsid w:val="005C3D45"/>
    <w:rsid w:val="005C3D92"/>
    <w:rsid w:val="005C3DDF"/>
    <w:rsid w:val="005C3E42"/>
    <w:rsid w:val="005C3E5B"/>
    <w:rsid w:val="005C3E89"/>
    <w:rsid w:val="005C3F08"/>
    <w:rsid w:val="005C3F8E"/>
    <w:rsid w:val="005C3F98"/>
    <w:rsid w:val="005C4082"/>
    <w:rsid w:val="005C40D6"/>
    <w:rsid w:val="005C4101"/>
    <w:rsid w:val="005C410D"/>
    <w:rsid w:val="005C410E"/>
    <w:rsid w:val="005C4156"/>
    <w:rsid w:val="005C4166"/>
    <w:rsid w:val="005C41EE"/>
    <w:rsid w:val="005C4203"/>
    <w:rsid w:val="005C4227"/>
    <w:rsid w:val="005C4270"/>
    <w:rsid w:val="005C428F"/>
    <w:rsid w:val="005C42B4"/>
    <w:rsid w:val="005C42BC"/>
    <w:rsid w:val="005C42C7"/>
    <w:rsid w:val="005C42E2"/>
    <w:rsid w:val="005C4331"/>
    <w:rsid w:val="005C433E"/>
    <w:rsid w:val="005C4348"/>
    <w:rsid w:val="005C43D8"/>
    <w:rsid w:val="005C43E0"/>
    <w:rsid w:val="005C43E7"/>
    <w:rsid w:val="005C43E9"/>
    <w:rsid w:val="005C43F0"/>
    <w:rsid w:val="005C442A"/>
    <w:rsid w:val="005C44B6"/>
    <w:rsid w:val="005C44BF"/>
    <w:rsid w:val="005C44FB"/>
    <w:rsid w:val="005C452E"/>
    <w:rsid w:val="005C4533"/>
    <w:rsid w:val="005C4587"/>
    <w:rsid w:val="005C4592"/>
    <w:rsid w:val="005C45E0"/>
    <w:rsid w:val="005C45ED"/>
    <w:rsid w:val="005C462F"/>
    <w:rsid w:val="005C4630"/>
    <w:rsid w:val="005C46F6"/>
    <w:rsid w:val="005C4715"/>
    <w:rsid w:val="005C4756"/>
    <w:rsid w:val="005C4785"/>
    <w:rsid w:val="005C47E5"/>
    <w:rsid w:val="005C4860"/>
    <w:rsid w:val="005C48C1"/>
    <w:rsid w:val="005C48D4"/>
    <w:rsid w:val="005C490E"/>
    <w:rsid w:val="005C492C"/>
    <w:rsid w:val="005C4988"/>
    <w:rsid w:val="005C49BD"/>
    <w:rsid w:val="005C4A22"/>
    <w:rsid w:val="005C4A6E"/>
    <w:rsid w:val="005C4A8B"/>
    <w:rsid w:val="005C4AC9"/>
    <w:rsid w:val="005C4B36"/>
    <w:rsid w:val="005C4B4F"/>
    <w:rsid w:val="005C4B6D"/>
    <w:rsid w:val="005C4BA8"/>
    <w:rsid w:val="005C4BB2"/>
    <w:rsid w:val="005C4CBE"/>
    <w:rsid w:val="005C4DDE"/>
    <w:rsid w:val="005C4DE3"/>
    <w:rsid w:val="005C4E41"/>
    <w:rsid w:val="005C4E68"/>
    <w:rsid w:val="005C4E84"/>
    <w:rsid w:val="005C4E9A"/>
    <w:rsid w:val="005C4EAE"/>
    <w:rsid w:val="005C4EBD"/>
    <w:rsid w:val="005C4F53"/>
    <w:rsid w:val="005C5035"/>
    <w:rsid w:val="005C503B"/>
    <w:rsid w:val="005C504C"/>
    <w:rsid w:val="005C5069"/>
    <w:rsid w:val="005C50BB"/>
    <w:rsid w:val="005C515E"/>
    <w:rsid w:val="005C51DF"/>
    <w:rsid w:val="005C521F"/>
    <w:rsid w:val="005C5239"/>
    <w:rsid w:val="005C525E"/>
    <w:rsid w:val="005C5283"/>
    <w:rsid w:val="005C52EF"/>
    <w:rsid w:val="005C5348"/>
    <w:rsid w:val="005C543B"/>
    <w:rsid w:val="005C5495"/>
    <w:rsid w:val="005C5592"/>
    <w:rsid w:val="005C55AB"/>
    <w:rsid w:val="005C55D2"/>
    <w:rsid w:val="005C568D"/>
    <w:rsid w:val="005C5699"/>
    <w:rsid w:val="005C5731"/>
    <w:rsid w:val="005C5736"/>
    <w:rsid w:val="005C573B"/>
    <w:rsid w:val="005C573F"/>
    <w:rsid w:val="005C574D"/>
    <w:rsid w:val="005C576E"/>
    <w:rsid w:val="005C5782"/>
    <w:rsid w:val="005C57D2"/>
    <w:rsid w:val="005C5816"/>
    <w:rsid w:val="005C5819"/>
    <w:rsid w:val="005C584A"/>
    <w:rsid w:val="005C5883"/>
    <w:rsid w:val="005C58A3"/>
    <w:rsid w:val="005C58E7"/>
    <w:rsid w:val="005C58F6"/>
    <w:rsid w:val="005C5954"/>
    <w:rsid w:val="005C5997"/>
    <w:rsid w:val="005C59A1"/>
    <w:rsid w:val="005C5A9F"/>
    <w:rsid w:val="005C5ABA"/>
    <w:rsid w:val="005C5AE5"/>
    <w:rsid w:val="005C5B07"/>
    <w:rsid w:val="005C5B80"/>
    <w:rsid w:val="005C5B8E"/>
    <w:rsid w:val="005C5BB1"/>
    <w:rsid w:val="005C5BC7"/>
    <w:rsid w:val="005C5BDF"/>
    <w:rsid w:val="005C5C2F"/>
    <w:rsid w:val="005C5C71"/>
    <w:rsid w:val="005C5C90"/>
    <w:rsid w:val="005C5D8C"/>
    <w:rsid w:val="005C5DA4"/>
    <w:rsid w:val="005C5E1F"/>
    <w:rsid w:val="005C5E23"/>
    <w:rsid w:val="005C5E2A"/>
    <w:rsid w:val="005C5EA4"/>
    <w:rsid w:val="005C5F0C"/>
    <w:rsid w:val="005C5F23"/>
    <w:rsid w:val="005C5F6B"/>
    <w:rsid w:val="005C5F9E"/>
    <w:rsid w:val="005C5FC9"/>
    <w:rsid w:val="005C6022"/>
    <w:rsid w:val="005C6051"/>
    <w:rsid w:val="005C60FD"/>
    <w:rsid w:val="005C613E"/>
    <w:rsid w:val="005C614A"/>
    <w:rsid w:val="005C6169"/>
    <w:rsid w:val="005C617A"/>
    <w:rsid w:val="005C6182"/>
    <w:rsid w:val="005C619D"/>
    <w:rsid w:val="005C61AC"/>
    <w:rsid w:val="005C6203"/>
    <w:rsid w:val="005C624A"/>
    <w:rsid w:val="005C624B"/>
    <w:rsid w:val="005C624D"/>
    <w:rsid w:val="005C628A"/>
    <w:rsid w:val="005C62AD"/>
    <w:rsid w:val="005C6334"/>
    <w:rsid w:val="005C635C"/>
    <w:rsid w:val="005C637B"/>
    <w:rsid w:val="005C63E9"/>
    <w:rsid w:val="005C6404"/>
    <w:rsid w:val="005C6414"/>
    <w:rsid w:val="005C64BE"/>
    <w:rsid w:val="005C651B"/>
    <w:rsid w:val="005C6549"/>
    <w:rsid w:val="005C6558"/>
    <w:rsid w:val="005C65B5"/>
    <w:rsid w:val="005C65D0"/>
    <w:rsid w:val="005C65D7"/>
    <w:rsid w:val="005C65FD"/>
    <w:rsid w:val="005C6617"/>
    <w:rsid w:val="005C665D"/>
    <w:rsid w:val="005C6668"/>
    <w:rsid w:val="005C66C4"/>
    <w:rsid w:val="005C66E2"/>
    <w:rsid w:val="005C670E"/>
    <w:rsid w:val="005C6725"/>
    <w:rsid w:val="005C6727"/>
    <w:rsid w:val="005C673D"/>
    <w:rsid w:val="005C6770"/>
    <w:rsid w:val="005C67B7"/>
    <w:rsid w:val="005C6839"/>
    <w:rsid w:val="005C684E"/>
    <w:rsid w:val="005C6864"/>
    <w:rsid w:val="005C6869"/>
    <w:rsid w:val="005C68D7"/>
    <w:rsid w:val="005C698A"/>
    <w:rsid w:val="005C69BA"/>
    <w:rsid w:val="005C69BB"/>
    <w:rsid w:val="005C6A26"/>
    <w:rsid w:val="005C6A7A"/>
    <w:rsid w:val="005C6AC4"/>
    <w:rsid w:val="005C6AC6"/>
    <w:rsid w:val="005C6AE3"/>
    <w:rsid w:val="005C6AF3"/>
    <w:rsid w:val="005C6B12"/>
    <w:rsid w:val="005C6B5A"/>
    <w:rsid w:val="005C6B7E"/>
    <w:rsid w:val="005C6BB7"/>
    <w:rsid w:val="005C6BE0"/>
    <w:rsid w:val="005C6C05"/>
    <w:rsid w:val="005C6C0A"/>
    <w:rsid w:val="005C6C2C"/>
    <w:rsid w:val="005C6C7C"/>
    <w:rsid w:val="005C6D09"/>
    <w:rsid w:val="005C6D2B"/>
    <w:rsid w:val="005C6D7F"/>
    <w:rsid w:val="005C6D95"/>
    <w:rsid w:val="005C6DAB"/>
    <w:rsid w:val="005C6DC7"/>
    <w:rsid w:val="005C6E07"/>
    <w:rsid w:val="005C6E10"/>
    <w:rsid w:val="005C6E33"/>
    <w:rsid w:val="005C6E47"/>
    <w:rsid w:val="005C6E58"/>
    <w:rsid w:val="005C6E69"/>
    <w:rsid w:val="005C6EE2"/>
    <w:rsid w:val="005C6EF6"/>
    <w:rsid w:val="005C6F09"/>
    <w:rsid w:val="005C6FAD"/>
    <w:rsid w:val="005C6FDC"/>
    <w:rsid w:val="005C6FE5"/>
    <w:rsid w:val="005C7000"/>
    <w:rsid w:val="005C707B"/>
    <w:rsid w:val="005C7089"/>
    <w:rsid w:val="005C70BB"/>
    <w:rsid w:val="005C70EF"/>
    <w:rsid w:val="005C7119"/>
    <w:rsid w:val="005C711F"/>
    <w:rsid w:val="005C7135"/>
    <w:rsid w:val="005C71D2"/>
    <w:rsid w:val="005C71DA"/>
    <w:rsid w:val="005C72F0"/>
    <w:rsid w:val="005C7300"/>
    <w:rsid w:val="005C730A"/>
    <w:rsid w:val="005C7314"/>
    <w:rsid w:val="005C736A"/>
    <w:rsid w:val="005C738F"/>
    <w:rsid w:val="005C73A4"/>
    <w:rsid w:val="005C73BD"/>
    <w:rsid w:val="005C73C5"/>
    <w:rsid w:val="005C743A"/>
    <w:rsid w:val="005C743E"/>
    <w:rsid w:val="005C7473"/>
    <w:rsid w:val="005C7482"/>
    <w:rsid w:val="005C74CF"/>
    <w:rsid w:val="005C74D1"/>
    <w:rsid w:val="005C7503"/>
    <w:rsid w:val="005C7513"/>
    <w:rsid w:val="005C758B"/>
    <w:rsid w:val="005C759C"/>
    <w:rsid w:val="005C759F"/>
    <w:rsid w:val="005C75F0"/>
    <w:rsid w:val="005C7628"/>
    <w:rsid w:val="005C76B1"/>
    <w:rsid w:val="005C76EB"/>
    <w:rsid w:val="005C7710"/>
    <w:rsid w:val="005C77D1"/>
    <w:rsid w:val="005C77DF"/>
    <w:rsid w:val="005C77EB"/>
    <w:rsid w:val="005C7811"/>
    <w:rsid w:val="005C784C"/>
    <w:rsid w:val="005C785C"/>
    <w:rsid w:val="005C7872"/>
    <w:rsid w:val="005C78AF"/>
    <w:rsid w:val="005C78BD"/>
    <w:rsid w:val="005C78D0"/>
    <w:rsid w:val="005C79B3"/>
    <w:rsid w:val="005C79E8"/>
    <w:rsid w:val="005C7AB8"/>
    <w:rsid w:val="005C7AC7"/>
    <w:rsid w:val="005C7B2D"/>
    <w:rsid w:val="005C7B64"/>
    <w:rsid w:val="005C7B9A"/>
    <w:rsid w:val="005C7BC6"/>
    <w:rsid w:val="005C7C4B"/>
    <w:rsid w:val="005C7CD9"/>
    <w:rsid w:val="005C7CDB"/>
    <w:rsid w:val="005C7CDF"/>
    <w:rsid w:val="005C7D57"/>
    <w:rsid w:val="005C7D90"/>
    <w:rsid w:val="005C7D92"/>
    <w:rsid w:val="005C7E1A"/>
    <w:rsid w:val="005C7E68"/>
    <w:rsid w:val="005C7EA5"/>
    <w:rsid w:val="005C7ED7"/>
    <w:rsid w:val="005C7EFF"/>
    <w:rsid w:val="005C7F27"/>
    <w:rsid w:val="005C7F47"/>
    <w:rsid w:val="005C7FA2"/>
    <w:rsid w:val="005C7FAF"/>
    <w:rsid w:val="005C7FEC"/>
    <w:rsid w:val="005D0003"/>
    <w:rsid w:val="005D00BA"/>
    <w:rsid w:val="005D0221"/>
    <w:rsid w:val="005D02D4"/>
    <w:rsid w:val="005D02E7"/>
    <w:rsid w:val="005D0329"/>
    <w:rsid w:val="005D0391"/>
    <w:rsid w:val="005D039B"/>
    <w:rsid w:val="005D03E2"/>
    <w:rsid w:val="005D043F"/>
    <w:rsid w:val="005D0445"/>
    <w:rsid w:val="005D0448"/>
    <w:rsid w:val="005D045C"/>
    <w:rsid w:val="005D04C0"/>
    <w:rsid w:val="005D04E0"/>
    <w:rsid w:val="005D04F2"/>
    <w:rsid w:val="005D0512"/>
    <w:rsid w:val="005D0520"/>
    <w:rsid w:val="005D0552"/>
    <w:rsid w:val="005D0596"/>
    <w:rsid w:val="005D0609"/>
    <w:rsid w:val="005D0649"/>
    <w:rsid w:val="005D06D6"/>
    <w:rsid w:val="005D06E8"/>
    <w:rsid w:val="005D0719"/>
    <w:rsid w:val="005D072B"/>
    <w:rsid w:val="005D073B"/>
    <w:rsid w:val="005D0798"/>
    <w:rsid w:val="005D07B9"/>
    <w:rsid w:val="005D07E4"/>
    <w:rsid w:val="005D07F7"/>
    <w:rsid w:val="005D0804"/>
    <w:rsid w:val="005D0823"/>
    <w:rsid w:val="005D0839"/>
    <w:rsid w:val="005D0939"/>
    <w:rsid w:val="005D0957"/>
    <w:rsid w:val="005D09E2"/>
    <w:rsid w:val="005D0A53"/>
    <w:rsid w:val="005D0A7A"/>
    <w:rsid w:val="005D0A7E"/>
    <w:rsid w:val="005D0ABA"/>
    <w:rsid w:val="005D0ACB"/>
    <w:rsid w:val="005D0AE1"/>
    <w:rsid w:val="005D0B8A"/>
    <w:rsid w:val="005D0C5E"/>
    <w:rsid w:val="005D0CC6"/>
    <w:rsid w:val="005D0D52"/>
    <w:rsid w:val="005D0D69"/>
    <w:rsid w:val="005D0D83"/>
    <w:rsid w:val="005D0D8E"/>
    <w:rsid w:val="005D0D98"/>
    <w:rsid w:val="005D0E02"/>
    <w:rsid w:val="005D0E5E"/>
    <w:rsid w:val="005D0E7C"/>
    <w:rsid w:val="005D0EAC"/>
    <w:rsid w:val="005D0F01"/>
    <w:rsid w:val="005D0F2D"/>
    <w:rsid w:val="005D0F31"/>
    <w:rsid w:val="005D0F43"/>
    <w:rsid w:val="005D0F55"/>
    <w:rsid w:val="005D0F56"/>
    <w:rsid w:val="005D0FAC"/>
    <w:rsid w:val="005D0FCF"/>
    <w:rsid w:val="005D0FD6"/>
    <w:rsid w:val="005D0FEE"/>
    <w:rsid w:val="005D0FF5"/>
    <w:rsid w:val="005D1004"/>
    <w:rsid w:val="005D100E"/>
    <w:rsid w:val="005D100F"/>
    <w:rsid w:val="005D101E"/>
    <w:rsid w:val="005D1053"/>
    <w:rsid w:val="005D10C0"/>
    <w:rsid w:val="005D11B2"/>
    <w:rsid w:val="005D11D5"/>
    <w:rsid w:val="005D11D7"/>
    <w:rsid w:val="005D11D9"/>
    <w:rsid w:val="005D11E0"/>
    <w:rsid w:val="005D121C"/>
    <w:rsid w:val="005D128F"/>
    <w:rsid w:val="005D12DA"/>
    <w:rsid w:val="005D130A"/>
    <w:rsid w:val="005D1342"/>
    <w:rsid w:val="005D13B8"/>
    <w:rsid w:val="005D13BD"/>
    <w:rsid w:val="005D13CF"/>
    <w:rsid w:val="005D1402"/>
    <w:rsid w:val="005D141D"/>
    <w:rsid w:val="005D1457"/>
    <w:rsid w:val="005D145D"/>
    <w:rsid w:val="005D1497"/>
    <w:rsid w:val="005D14F4"/>
    <w:rsid w:val="005D1509"/>
    <w:rsid w:val="005D1561"/>
    <w:rsid w:val="005D1583"/>
    <w:rsid w:val="005D15E9"/>
    <w:rsid w:val="005D1607"/>
    <w:rsid w:val="005D16E4"/>
    <w:rsid w:val="005D16EC"/>
    <w:rsid w:val="005D16FC"/>
    <w:rsid w:val="005D1707"/>
    <w:rsid w:val="005D174E"/>
    <w:rsid w:val="005D1767"/>
    <w:rsid w:val="005D1787"/>
    <w:rsid w:val="005D17E6"/>
    <w:rsid w:val="005D17FF"/>
    <w:rsid w:val="005D1831"/>
    <w:rsid w:val="005D1840"/>
    <w:rsid w:val="005D1856"/>
    <w:rsid w:val="005D187F"/>
    <w:rsid w:val="005D18A5"/>
    <w:rsid w:val="005D18F7"/>
    <w:rsid w:val="005D1910"/>
    <w:rsid w:val="005D1917"/>
    <w:rsid w:val="005D191F"/>
    <w:rsid w:val="005D1977"/>
    <w:rsid w:val="005D19E8"/>
    <w:rsid w:val="005D1A1C"/>
    <w:rsid w:val="005D1A5A"/>
    <w:rsid w:val="005D1A82"/>
    <w:rsid w:val="005D1A9F"/>
    <w:rsid w:val="005D1B85"/>
    <w:rsid w:val="005D1BA5"/>
    <w:rsid w:val="005D1BF9"/>
    <w:rsid w:val="005D1C06"/>
    <w:rsid w:val="005D1C07"/>
    <w:rsid w:val="005D1C0D"/>
    <w:rsid w:val="005D1C2A"/>
    <w:rsid w:val="005D1C68"/>
    <w:rsid w:val="005D1C93"/>
    <w:rsid w:val="005D1CA6"/>
    <w:rsid w:val="005D1CBE"/>
    <w:rsid w:val="005D1D14"/>
    <w:rsid w:val="005D1D2A"/>
    <w:rsid w:val="005D1D7A"/>
    <w:rsid w:val="005D1DBB"/>
    <w:rsid w:val="005D1DD7"/>
    <w:rsid w:val="005D1DF1"/>
    <w:rsid w:val="005D1EDC"/>
    <w:rsid w:val="005D1F6D"/>
    <w:rsid w:val="005D1FD9"/>
    <w:rsid w:val="005D1FEC"/>
    <w:rsid w:val="005D1FF9"/>
    <w:rsid w:val="005D202F"/>
    <w:rsid w:val="005D2032"/>
    <w:rsid w:val="005D2040"/>
    <w:rsid w:val="005D204C"/>
    <w:rsid w:val="005D2074"/>
    <w:rsid w:val="005D207E"/>
    <w:rsid w:val="005D20AE"/>
    <w:rsid w:val="005D20B8"/>
    <w:rsid w:val="005D20FF"/>
    <w:rsid w:val="005D212A"/>
    <w:rsid w:val="005D2139"/>
    <w:rsid w:val="005D2160"/>
    <w:rsid w:val="005D21DD"/>
    <w:rsid w:val="005D21EB"/>
    <w:rsid w:val="005D222D"/>
    <w:rsid w:val="005D2262"/>
    <w:rsid w:val="005D22FD"/>
    <w:rsid w:val="005D2324"/>
    <w:rsid w:val="005D2350"/>
    <w:rsid w:val="005D2365"/>
    <w:rsid w:val="005D23BC"/>
    <w:rsid w:val="005D23D9"/>
    <w:rsid w:val="005D245A"/>
    <w:rsid w:val="005D2460"/>
    <w:rsid w:val="005D248A"/>
    <w:rsid w:val="005D24AB"/>
    <w:rsid w:val="005D24DF"/>
    <w:rsid w:val="005D253B"/>
    <w:rsid w:val="005D2576"/>
    <w:rsid w:val="005D2699"/>
    <w:rsid w:val="005D26D2"/>
    <w:rsid w:val="005D27BD"/>
    <w:rsid w:val="005D27C3"/>
    <w:rsid w:val="005D27D6"/>
    <w:rsid w:val="005D283E"/>
    <w:rsid w:val="005D2895"/>
    <w:rsid w:val="005D28AC"/>
    <w:rsid w:val="005D2905"/>
    <w:rsid w:val="005D293C"/>
    <w:rsid w:val="005D293F"/>
    <w:rsid w:val="005D2954"/>
    <w:rsid w:val="005D29E5"/>
    <w:rsid w:val="005D2A31"/>
    <w:rsid w:val="005D2A3B"/>
    <w:rsid w:val="005D2AFC"/>
    <w:rsid w:val="005D2B1A"/>
    <w:rsid w:val="005D2B27"/>
    <w:rsid w:val="005D2B28"/>
    <w:rsid w:val="005D2B80"/>
    <w:rsid w:val="005D2B9B"/>
    <w:rsid w:val="005D2BA1"/>
    <w:rsid w:val="005D2BA3"/>
    <w:rsid w:val="005D2BD2"/>
    <w:rsid w:val="005D2BDB"/>
    <w:rsid w:val="005D2C74"/>
    <w:rsid w:val="005D2C80"/>
    <w:rsid w:val="005D2C8B"/>
    <w:rsid w:val="005D2CAB"/>
    <w:rsid w:val="005D2D0A"/>
    <w:rsid w:val="005D2D60"/>
    <w:rsid w:val="005D2D9B"/>
    <w:rsid w:val="005D2DC1"/>
    <w:rsid w:val="005D2E14"/>
    <w:rsid w:val="005D2EBB"/>
    <w:rsid w:val="005D2EC2"/>
    <w:rsid w:val="005D2F0C"/>
    <w:rsid w:val="005D2F1E"/>
    <w:rsid w:val="005D2F5E"/>
    <w:rsid w:val="005D2F66"/>
    <w:rsid w:val="005D2F85"/>
    <w:rsid w:val="005D2FA0"/>
    <w:rsid w:val="005D2FB0"/>
    <w:rsid w:val="005D2FCF"/>
    <w:rsid w:val="005D3003"/>
    <w:rsid w:val="005D3048"/>
    <w:rsid w:val="005D305B"/>
    <w:rsid w:val="005D3072"/>
    <w:rsid w:val="005D309E"/>
    <w:rsid w:val="005D310E"/>
    <w:rsid w:val="005D3124"/>
    <w:rsid w:val="005D319D"/>
    <w:rsid w:val="005D31AF"/>
    <w:rsid w:val="005D31B8"/>
    <w:rsid w:val="005D31FD"/>
    <w:rsid w:val="005D3209"/>
    <w:rsid w:val="005D3227"/>
    <w:rsid w:val="005D3247"/>
    <w:rsid w:val="005D32D2"/>
    <w:rsid w:val="005D32E8"/>
    <w:rsid w:val="005D3315"/>
    <w:rsid w:val="005D334E"/>
    <w:rsid w:val="005D3350"/>
    <w:rsid w:val="005D3378"/>
    <w:rsid w:val="005D3398"/>
    <w:rsid w:val="005D33EE"/>
    <w:rsid w:val="005D34BF"/>
    <w:rsid w:val="005D34CF"/>
    <w:rsid w:val="005D350A"/>
    <w:rsid w:val="005D3518"/>
    <w:rsid w:val="005D351E"/>
    <w:rsid w:val="005D3600"/>
    <w:rsid w:val="005D3672"/>
    <w:rsid w:val="005D367D"/>
    <w:rsid w:val="005D373A"/>
    <w:rsid w:val="005D373F"/>
    <w:rsid w:val="005D3775"/>
    <w:rsid w:val="005D3792"/>
    <w:rsid w:val="005D37E6"/>
    <w:rsid w:val="005D37FD"/>
    <w:rsid w:val="005D3803"/>
    <w:rsid w:val="005D3807"/>
    <w:rsid w:val="005D3849"/>
    <w:rsid w:val="005D3867"/>
    <w:rsid w:val="005D3868"/>
    <w:rsid w:val="005D38AA"/>
    <w:rsid w:val="005D38C0"/>
    <w:rsid w:val="005D38D2"/>
    <w:rsid w:val="005D3923"/>
    <w:rsid w:val="005D39BD"/>
    <w:rsid w:val="005D39DA"/>
    <w:rsid w:val="005D39EC"/>
    <w:rsid w:val="005D39F5"/>
    <w:rsid w:val="005D3A0B"/>
    <w:rsid w:val="005D3A5C"/>
    <w:rsid w:val="005D3A79"/>
    <w:rsid w:val="005D3AC5"/>
    <w:rsid w:val="005D3AC9"/>
    <w:rsid w:val="005D3AE9"/>
    <w:rsid w:val="005D3B5C"/>
    <w:rsid w:val="005D3BC3"/>
    <w:rsid w:val="005D3BED"/>
    <w:rsid w:val="005D3BFA"/>
    <w:rsid w:val="005D3C3A"/>
    <w:rsid w:val="005D3C4F"/>
    <w:rsid w:val="005D3CA6"/>
    <w:rsid w:val="005D3CC4"/>
    <w:rsid w:val="005D3CDF"/>
    <w:rsid w:val="005D3CE1"/>
    <w:rsid w:val="005D3D21"/>
    <w:rsid w:val="005D3D30"/>
    <w:rsid w:val="005D3D75"/>
    <w:rsid w:val="005D3D96"/>
    <w:rsid w:val="005D3DD4"/>
    <w:rsid w:val="005D3E01"/>
    <w:rsid w:val="005D3E2B"/>
    <w:rsid w:val="005D3E82"/>
    <w:rsid w:val="005D3F00"/>
    <w:rsid w:val="005D3FB7"/>
    <w:rsid w:val="005D3FC1"/>
    <w:rsid w:val="005D3FCB"/>
    <w:rsid w:val="005D3FD0"/>
    <w:rsid w:val="005D400C"/>
    <w:rsid w:val="005D401D"/>
    <w:rsid w:val="005D409A"/>
    <w:rsid w:val="005D40B0"/>
    <w:rsid w:val="005D40CE"/>
    <w:rsid w:val="005D40DC"/>
    <w:rsid w:val="005D40F6"/>
    <w:rsid w:val="005D412A"/>
    <w:rsid w:val="005D4140"/>
    <w:rsid w:val="005D4153"/>
    <w:rsid w:val="005D4170"/>
    <w:rsid w:val="005D41B6"/>
    <w:rsid w:val="005D41ED"/>
    <w:rsid w:val="005D4213"/>
    <w:rsid w:val="005D4252"/>
    <w:rsid w:val="005D42E1"/>
    <w:rsid w:val="005D435C"/>
    <w:rsid w:val="005D440A"/>
    <w:rsid w:val="005D4412"/>
    <w:rsid w:val="005D4483"/>
    <w:rsid w:val="005D448F"/>
    <w:rsid w:val="005D457E"/>
    <w:rsid w:val="005D45D9"/>
    <w:rsid w:val="005D4625"/>
    <w:rsid w:val="005D4645"/>
    <w:rsid w:val="005D46C0"/>
    <w:rsid w:val="005D46D8"/>
    <w:rsid w:val="005D4735"/>
    <w:rsid w:val="005D4743"/>
    <w:rsid w:val="005D474B"/>
    <w:rsid w:val="005D482D"/>
    <w:rsid w:val="005D48C9"/>
    <w:rsid w:val="005D48D6"/>
    <w:rsid w:val="005D48DD"/>
    <w:rsid w:val="005D494B"/>
    <w:rsid w:val="005D49A4"/>
    <w:rsid w:val="005D49D0"/>
    <w:rsid w:val="005D49FB"/>
    <w:rsid w:val="005D4A17"/>
    <w:rsid w:val="005D4AB9"/>
    <w:rsid w:val="005D4AC9"/>
    <w:rsid w:val="005D4BC6"/>
    <w:rsid w:val="005D4C24"/>
    <w:rsid w:val="005D4CCF"/>
    <w:rsid w:val="005D4CE3"/>
    <w:rsid w:val="005D4CEF"/>
    <w:rsid w:val="005D4D07"/>
    <w:rsid w:val="005D4DAA"/>
    <w:rsid w:val="005D4DD0"/>
    <w:rsid w:val="005D4DF2"/>
    <w:rsid w:val="005D4E43"/>
    <w:rsid w:val="005D4EAB"/>
    <w:rsid w:val="005D4EE5"/>
    <w:rsid w:val="005D4EFA"/>
    <w:rsid w:val="005D4F5E"/>
    <w:rsid w:val="005D4F81"/>
    <w:rsid w:val="005D4F93"/>
    <w:rsid w:val="005D4FA6"/>
    <w:rsid w:val="005D5036"/>
    <w:rsid w:val="005D510D"/>
    <w:rsid w:val="005D5110"/>
    <w:rsid w:val="005D5113"/>
    <w:rsid w:val="005D51C6"/>
    <w:rsid w:val="005D51F2"/>
    <w:rsid w:val="005D51F4"/>
    <w:rsid w:val="005D52AF"/>
    <w:rsid w:val="005D52F7"/>
    <w:rsid w:val="005D5304"/>
    <w:rsid w:val="005D533D"/>
    <w:rsid w:val="005D535C"/>
    <w:rsid w:val="005D536C"/>
    <w:rsid w:val="005D53F3"/>
    <w:rsid w:val="005D540C"/>
    <w:rsid w:val="005D5446"/>
    <w:rsid w:val="005D5468"/>
    <w:rsid w:val="005D54AE"/>
    <w:rsid w:val="005D54B7"/>
    <w:rsid w:val="005D54CC"/>
    <w:rsid w:val="005D5513"/>
    <w:rsid w:val="005D5529"/>
    <w:rsid w:val="005D5543"/>
    <w:rsid w:val="005D559D"/>
    <w:rsid w:val="005D55D3"/>
    <w:rsid w:val="005D5603"/>
    <w:rsid w:val="005D561D"/>
    <w:rsid w:val="005D5666"/>
    <w:rsid w:val="005D56E0"/>
    <w:rsid w:val="005D571D"/>
    <w:rsid w:val="005D573F"/>
    <w:rsid w:val="005D5750"/>
    <w:rsid w:val="005D57A6"/>
    <w:rsid w:val="005D57FB"/>
    <w:rsid w:val="005D5814"/>
    <w:rsid w:val="005D5821"/>
    <w:rsid w:val="005D584F"/>
    <w:rsid w:val="005D5853"/>
    <w:rsid w:val="005D5871"/>
    <w:rsid w:val="005D5872"/>
    <w:rsid w:val="005D5876"/>
    <w:rsid w:val="005D58C2"/>
    <w:rsid w:val="005D590E"/>
    <w:rsid w:val="005D5947"/>
    <w:rsid w:val="005D597C"/>
    <w:rsid w:val="005D5989"/>
    <w:rsid w:val="005D598D"/>
    <w:rsid w:val="005D59ED"/>
    <w:rsid w:val="005D5A8A"/>
    <w:rsid w:val="005D5AFD"/>
    <w:rsid w:val="005D5B11"/>
    <w:rsid w:val="005D5B35"/>
    <w:rsid w:val="005D5B61"/>
    <w:rsid w:val="005D5B80"/>
    <w:rsid w:val="005D5B97"/>
    <w:rsid w:val="005D5C31"/>
    <w:rsid w:val="005D5C6D"/>
    <w:rsid w:val="005D5C77"/>
    <w:rsid w:val="005D5C9C"/>
    <w:rsid w:val="005D5D06"/>
    <w:rsid w:val="005D5D38"/>
    <w:rsid w:val="005D5D7A"/>
    <w:rsid w:val="005D5D7F"/>
    <w:rsid w:val="005D5DC3"/>
    <w:rsid w:val="005D5DE1"/>
    <w:rsid w:val="005D5E2A"/>
    <w:rsid w:val="005D5E3E"/>
    <w:rsid w:val="005D5E71"/>
    <w:rsid w:val="005D5EAD"/>
    <w:rsid w:val="005D5EC8"/>
    <w:rsid w:val="005D5EC9"/>
    <w:rsid w:val="005D5F08"/>
    <w:rsid w:val="005D5F1C"/>
    <w:rsid w:val="005D5F7D"/>
    <w:rsid w:val="005D603E"/>
    <w:rsid w:val="005D606F"/>
    <w:rsid w:val="005D6079"/>
    <w:rsid w:val="005D60B0"/>
    <w:rsid w:val="005D60BE"/>
    <w:rsid w:val="005D60ED"/>
    <w:rsid w:val="005D60EF"/>
    <w:rsid w:val="005D6149"/>
    <w:rsid w:val="005D61F5"/>
    <w:rsid w:val="005D6219"/>
    <w:rsid w:val="005D6236"/>
    <w:rsid w:val="005D623A"/>
    <w:rsid w:val="005D6249"/>
    <w:rsid w:val="005D62D4"/>
    <w:rsid w:val="005D62FA"/>
    <w:rsid w:val="005D6366"/>
    <w:rsid w:val="005D63B7"/>
    <w:rsid w:val="005D63BE"/>
    <w:rsid w:val="005D6488"/>
    <w:rsid w:val="005D64DD"/>
    <w:rsid w:val="005D6514"/>
    <w:rsid w:val="005D6526"/>
    <w:rsid w:val="005D6543"/>
    <w:rsid w:val="005D6550"/>
    <w:rsid w:val="005D65E5"/>
    <w:rsid w:val="005D66A7"/>
    <w:rsid w:val="005D66D6"/>
    <w:rsid w:val="005D6714"/>
    <w:rsid w:val="005D6729"/>
    <w:rsid w:val="005D6742"/>
    <w:rsid w:val="005D6762"/>
    <w:rsid w:val="005D6812"/>
    <w:rsid w:val="005D6827"/>
    <w:rsid w:val="005D6882"/>
    <w:rsid w:val="005D6887"/>
    <w:rsid w:val="005D689C"/>
    <w:rsid w:val="005D6922"/>
    <w:rsid w:val="005D6978"/>
    <w:rsid w:val="005D6A48"/>
    <w:rsid w:val="005D6AD8"/>
    <w:rsid w:val="005D6B08"/>
    <w:rsid w:val="005D6BEA"/>
    <w:rsid w:val="005D6C0A"/>
    <w:rsid w:val="005D6C0B"/>
    <w:rsid w:val="005D6C7B"/>
    <w:rsid w:val="005D6D65"/>
    <w:rsid w:val="005D6DC5"/>
    <w:rsid w:val="005D6DCA"/>
    <w:rsid w:val="005D6E0C"/>
    <w:rsid w:val="005D6E66"/>
    <w:rsid w:val="005D6E83"/>
    <w:rsid w:val="005D6F2D"/>
    <w:rsid w:val="005D6F50"/>
    <w:rsid w:val="005D6FA6"/>
    <w:rsid w:val="005D6FDB"/>
    <w:rsid w:val="005D701A"/>
    <w:rsid w:val="005D70A9"/>
    <w:rsid w:val="005D70CD"/>
    <w:rsid w:val="005D70E7"/>
    <w:rsid w:val="005D70FC"/>
    <w:rsid w:val="005D717A"/>
    <w:rsid w:val="005D71FD"/>
    <w:rsid w:val="005D720E"/>
    <w:rsid w:val="005D7272"/>
    <w:rsid w:val="005D72EE"/>
    <w:rsid w:val="005D7318"/>
    <w:rsid w:val="005D7338"/>
    <w:rsid w:val="005D733B"/>
    <w:rsid w:val="005D742E"/>
    <w:rsid w:val="005D74B9"/>
    <w:rsid w:val="005D7522"/>
    <w:rsid w:val="005D7548"/>
    <w:rsid w:val="005D7588"/>
    <w:rsid w:val="005D761C"/>
    <w:rsid w:val="005D763B"/>
    <w:rsid w:val="005D7684"/>
    <w:rsid w:val="005D76A2"/>
    <w:rsid w:val="005D774C"/>
    <w:rsid w:val="005D77DD"/>
    <w:rsid w:val="005D7826"/>
    <w:rsid w:val="005D784C"/>
    <w:rsid w:val="005D7890"/>
    <w:rsid w:val="005D7928"/>
    <w:rsid w:val="005D79AF"/>
    <w:rsid w:val="005D7A3F"/>
    <w:rsid w:val="005D7A8A"/>
    <w:rsid w:val="005D7AAA"/>
    <w:rsid w:val="005D7AC9"/>
    <w:rsid w:val="005D7ACE"/>
    <w:rsid w:val="005D7B1D"/>
    <w:rsid w:val="005D7B4B"/>
    <w:rsid w:val="005D7BA7"/>
    <w:rsid w:val="005D7BDB"/>
    <w:rsid w:val="005D7BE8"/>
    <w:rsid w:val="005D7C06"/>
    <w:rsid w:val="005D7C77"/>
    <w:rsid w:val="005D7CAD"/>
    <w:rsid w:val="005D7D0A"/>
    <w:rsid w:val="005D7D8E"/>
    <w:rsid w:val="005D7D9B"/>
    <w:rsid w:val="005D7DD6"/>
    <w:rsid w:val="005D7E04"/>
    <w:rsid w:val="005D7E19"/>
    <w:rsid w:val="005D7E8B"/>
    <w:rsid w:val="005D7EE6"/>
    <w:rsid w:val="005D7F09"/>
    <w:rsid w:val="005D7FA5"/>
    <w:rsid w:val="005D7FB9"/>
    <w:rsid w:val="005D7FDA"/>
    <w:rsid w:val="005E0004"/>
    <w:rsid w:val="005E0010"/>
    <w:rsid w:val="005E0070"/>
    <w:rsid w:val="005E0086"/>
    <w:rsid w:val="005E00CA"/>
    <w:rsid w:val="005E00DF"/>
    <w:rsid w:val="005E0194"/>
    <w:rsid w:val="005E0213"/>
    <w:rsid w:val="005E026C"/>
    <w:rsid w:val="005E029E"/>
    <w:rsid w:val="005E02EB"/>
    <w:rsid w:val="005E02F1"/>
    <w:rsid w:val="005E02F5"/>
    <w:rsid w:val="005E034D"/>
    <w:rsid w:val="005E03DC"/>
    <w:rsid w:val="005E03EE"/>
    <w:rsid w:val="005E0479"/>
    <w:rsid w:val="005E048E"/>
    <w:rsid w:val="005E04DE"/>
    <w:rsid w:val="005E0561"/>
    <w:rsid w:val="005E0592"/>
    <w:rsid w:val="005E05CE"/>
    <w:rsid w:val="005E05D9"/>
    <w:rsid w:val="005E05E5"/>
    <w:rsid w:val="005E05E9"/>
    <w:rsid w:val="005E05F0"/>
    <w:rsid w:val="005E05FD"/>
    <w:rsid w:val="005E0616"/>
    <w:rsid w:val="005E06CA"/>
    <w:rsid w:val="005E071D"/>
    <w:rsid w:val="005E0772"/>
    <w:rsid w:val="005E0775"/>
    <w:rsid w:val="005E07B0"/>
    <w:rsid w:val="005E07FA"/>
    <w:rsid w:val="005E0800"/>
    <w:rsid w:val="005E08DD"/>
    <w:rsid w:val="005E0907"/>
    <w:rsid w:val="005E0925"/>
    <w:rsid w:val="005E0978"/>
    <w:rsid w:val="005E09B8"/>
    <w:rsid w:val="005E0A22"/>
    <w:rsid w:val="005E0A53"/>
    <w:rsid w:val="005E0A62"/>
    <w:rsid w:val="005E0A63"/>
    <w:rsid w:val="005E0B27"/>
    <w:rsid w:val="005E0B2B"/>
    <w:rsid w:val="005E0B6B"/>
    <w:rsid w:val="005E0C20"/>
    <w:rsid w:val="005E0C31"/>
    <w:rsid w:val="005E0C64"/>
    <w:rsid w:val="005E0C85"/>
    <w:rsid w:val="005E0CA1"/>
    <w:rsid w:val="005E0CEE"/>
    <w:rsid w:val="005E0D33"/>
    <w:rsid w:val="005E0D71"/>
    <w:rsid w:val="005E0DE5"/>
    <w:rsid w:val="005E0DEC"/>
    <w:rsid w:val="005E0E4A"/>
    <w:rsid w:val="005E0E54"/>
    <w:rsid w:val="005E0EAA"/>
    <w:rsid w:val="005E0EB2"/>
    <w:rsid w:val="005E0EB7"/>
    <w:rsid w:val="005E0EDC"/>
    <w:rsid w:val="005E0F62"/>
    <w:rsid w:val="005E0F6D"/>
    <w:rsid w:val="005E1024"/>
    <w:rsid w:val="005E1054"/>
    <w:rsid w:val="005E1071"/>
    <w:rsid w:val="005E1080"/>
    <w:rsid w:val="005E109F"/>
    <w:rsid w:val="005E1181"/>
    <w:rsid w:val="005E11C0"/>
    <w:rsid w:val="005E120D"/>
    <w:rsid w:val="005E12F8"/>
    <w:rsid w:val="005E13B2"/>
    <w:rsid w:val="005E13C7"/>
    <w:rsid w:val="005E13D5"/>
    <w:rsid w:val="005E140A"/>
    <w:rsid w:val="005E1412"/>
    <w:rsid w:val="005E14DA"/>
    <w:rsid w:val="005E15AF"/>
    <w:rsid w:val="005E1622"/>
    <w:rsid w:val="005E163B"/>
    <w:rsid w:val="005E1673"/>
    <w:rsid w:val="005E167E"/>
    <w:rsid w:val="005E1685"/>
    <w:rsid w:val="005E168D"/>
    <w:rsid w:val="005E16EF"/>
    <w:rsid w:val="005E1720"/>
    <w:rsid w:val="005E173A"/>
    <w:rsid w:val="005E174E"/>
    <w:rsid w:val="005E17F5"/>
    <w:rsid w:val="005E182C"/>
    <w:rsid w:val="005E1838"/>
    <w:rsid w:val="005E183E"/>
    <w:rsid w:val="005E1850"/>
    <w:rsid w:val="005E186D"/>
    <w:rsid w:val="005E18C2"/>
    <w:rsid w:val="005E18C5"/>
    <w:rsid w:val="005E192A"/>
    <w:rsid w:val="005E1951"/>
    <w:rsid w:val="005E1961"/>
    <w:rsid w:val="005E1A07"/>
    <w:rsid w:val="005E1A18"/>
    <w:rsid w:val="005E1A6A"/>
    <w:rsid w:val="005E1ABE"/>
    <w:rsid w:val="005E1ACD"/>
    <w:rsid w:val="005E1AFC"/>
    <w:rsid w:val="005E1B08"/>
    <w:rsid w:val="005E1B1B"/>
    <w:rsid w:val="005E1B70"/>
    <w:rsid w:val="005E1B98"/>
    <w:rsid w:val="005E1BA7"/>
    <w:rsid w:val="005E1BB7"/>
    <w:rsid w:val="005E1BEE"/>
    <w:rsid w:val="005E1BF1"/>
    <w:rsid w:val="005E1BF8"/>
    <w:rsid w:val="005E1C98"/>
    <w:rsid w:val="005E1CA8"/>
    <w:rsid w:val="005E1CC2"/>
    <w:rsid w:val="005E1CC9"/>
    <w:rsid w:val="005E1D1C"/>
    <w:rsid w:val="005E1D3E"/>
    <w:rsid w:val="005E1D5A"/>
    <w:rsid w:val="005E1D6A"/>
    <w:rsid w:val="005E1D95"/>
    <w:rsid w:val="005E1DDC"/>
    <w:rsid w:val="005E1E6A"/>
    <w:rsid w:val="005E1E6D"/>
    <w:rsid w:val="005E1E9F"/>
    <w:rsid w:val="005E1EEA"/>
    <w:rsid w:val="005E1EEB"/>
    <w:rsid w:val="005E1F1C"/>
    <w:rsid w:val="005E1F1E"/>
    <w:rsid w:val="005E1F21"/>
    <w:rsid w:val="005E1F5A"/>
    <w:rsid w:val="005E1FB6"/>
    <w:rsid w:val="005E2054"/>
    <w:rsid w:val="005E20BD"/>
    <w:rsid w:val="005E2106"/>
    <w:rsid w:val="005E2125"/>
    <w:rsid w:val="005E2144"/>
    <w:rsid w:val="005E222B"/>
    <w:rsid w:val="005E225A"/>
    <w:rsid w:val="005E22B8"/>
    <w:rsid w:val="005E22C3"/>
    <w:rsid w:val="005E2319"/>
    <w:rsid w:val="005E2327"/>
    <w:rsid w:val="005E2329"/>
    <w:rsid w:val="005E23BF"/>
    <w:rsid w:val="005E23CA"/>
    <w:rsid w:val="005E249B"/>
    <w:rsid w:val="005E251D"/>
    <w:rsid w:val="005E25B7"/>
    <w:rsid w:val="005E25BD"/>
    <w:rsid w:val="005E25F3"/>
    <w:rsid w:val="005E261B"/>
    <w:rsid w:val="005E265C"/>
    <w:rsid w:val="005E2667"/>
    <w:rsid w:val="005E2671"/>
    <w:rsid w:val="005E26B3"/>
    <w:rsid w:val="005E2700"/>
    <w:rsid w:val="005E270C"/>
    <w:rsid w:val="005E2742"/>
    <w:rsid w:val="005E2787"/>
    <w:rsid w:val="005E278E"/>
    <w:rsid w:val="005E27DA"/>
    <w:rsid w:val="005E27E8"/>
    <w:rsid w:val="005E2854"/>
    <w:rsid w:val="005E285F"/>
    <w:rsid w:val="005E28BD"/>
    <w:rsid w:val="005E28C2"/>
    <w:rsid w:val="005E28D9"/>
    <w:rsid w:val="005E2926"/>
    <w:rsid w:val="005E2951"/>
    <w:rsid w:val="005E2956"/>
    <w:rsid w:val="005E2976"/>
    <w:rsid w:val="005E298D"/>
    <w:rsid w:val="005E2995"/>
    <w:rsid w:val="005E29CB"/>
    <w:rsid w:val="005E2B24"/>
    <w:rsid w:val="005E2C09"/>
    <w:rsid w:val="005E2C0F"/>
    <w:rsid w:val="005E2C4E"/>
    <w:rsid w:val="005E2C81"/>
    <w:rsid w:val="005E2C9F"/>
    <w:rsid w:val="005E2CAE"/>
    <w:rsid w:val="005E2D37"/>
    <w:rsid w:val="005E2D78"/>
    <w:rsid w:val="005E2DAA"/>
    <w:rsid w:val="005E2DB1"/>
    <w:rsid w:val="005E2DC9"/>
    <w:rsid w:val="005E2E52"/>
    <w:rsid w:val="005E2F21"/>
    <w:rsid w:val="005E2F46"/>
    <w:rsid w:val="005E2F65"/>
    <w:rsid w:val="005E3026"/>
    <w:rsid w:val="005E3099"/>
    <w:rsid w:val="005E312F"/>
    <w:rsid w:val="005E3153"/>
    <w:rsid w:val="005E315A"/>
    <w:rsid w:val="005E319D"/>
    <w:rsid w:val="005E31A1"/>
    <w:rsid w:val="005E3217"/>
    <w:rsid w:val="005E3284"/>
    <w:rsid w:val="005E32A2"/>
    <w:rsid w:val="005E32E1"/>
    <w:rsid w:val="005E32E2"/>
    <w:rsid w:val="005E3323"/>
    <w:rsid w:val="005E334F"/>
    <w:rsid w:val="005E341E"/>
    <w:rsid w:val="005E3432"/>
    <w:rsid w:val="005E346F"/>
    <w:rsid w:val="005E3478"/>
    <w:rsid w:val="005E34B4"/>
    <w:rsid w:val="005E3519"/>
    <w:rsid w:val="005E354D"/>
    <w:rsid w:val="005E3582"/>
    <w:rsid w:val="005E360F"/>
    <w:rsid w:val="005E366C"/>
    <w:rsid w:val="005E36E6"/>
    <w:rsid w:val="005E36FB"/>
    <w:rsid w:val="005E3742"/>
    <w:rsid w:val="005E382E"/>
    <w:rsid w:val="005E38A7"/>
    <w:rsid w:val="005E38A8"/>
    <w:rsid w:val="005E38D5"/>
    <w:rsid w:val="005E38DC"/>
    <w:rsid w:val="005E396C"/>
    <w:rsid w:val="005E39A7"/>
    <w:rsid w:val="005E39B8"/>
    <w:rsid w:val="005E39CB"/>
    <w:rsid w:val="005E3A29"/>
    <w:rsid w:val="005E3A2D"/>
    <w:rsid w:val="005E3A5C"/>
    <w:rsid w:val="005E3A86"/>
    <w:rsid w:val="005E3ACB"/>
    <w:rsid w:val="005E3B24"/>
    <w:rsid w:val="005E3B79"/>
    <w:rsid w:val="005E3B89"/>
    <w:rsid w:val="005E3BA3"/>
    <w:rsid w:val="005E3DB0"/>
    <w:rsid w:val="005E3DBB"/>
    <w:rsid w:val="005E3E23"/>
    <w:rsid w:val="005E3E2F"/>
    <w:rsid w:val="005E3E62"/>
    <w:rsid w:val="005E3EEE"/>
    <w:rsid w:val="005E3F2D"/>
    <w:rsid w:val="005E3F71"/>
    <w:rsid w:val="005E3FB5"/>
    <w:rsid w:val="005E3FB7"/>
    <w:rsid w:val="005E3FBD"/>
    <w:rsid w:val="005E4003"/>
    <w:rsid w:val="005E4065"/>
    <w:rsid w:val="005E407F"/>
    <w:rsid w:val="005E40A4"/>
    <w:rsid w:val="005E40C3"/>
    <w:rsid w:val="005E40E6"/>
    <w:rsid w:val="005E40EE"/>
    <w:rsid w:val="005E423D"/>
    <w:rsid w:val="005E4278"/>
    <w:rsid w:val="005E42CE"/>
    <w:rsid w:val="005E4348"/>
    <w:rsid w:val="005E43A5"/>
    <w:rsid w:val="005E43B3"/>
    <w:rsid w:val="005E43C0"/>
    <w:rsid w:val="005E441B"/>
    <w:rsid w:val="005E442B"/>
    <w:rsid w:val="005E44E2"/>
    <w:rsid w:val="005E452B"/>
    <w:rsid w:val="005E4552"/>
    <w:rsid w:val="005E4627"/>
    <w:rsid w:val="005E468C"/>
    <w:rsid w:val="005E4712"/>
    <w:rsid w:val="005E4716"/>
    <w:rsid w:val="005E471D"/>
    <w:rsid w:val="005E47AF"/>
    <w:rsid w:val="005E4808"/>
    <w:rsid w:val="005E481C"/>
    <w:rsid w:val="005E4848"/>
    <w:rsid w:val="005E4888"/>
    <w:rsid w:val="005E48D3"/>
    <w:rsid w:val="005E4933"/>
    <w:rsid w:val="005E495E"/>
    <w:rsid w:val="005E49DC"/>
    <w:rsid w:val="005E4A1B"/>
    <w:rsid w:val="005E4A72"/>
    <w:rsid w:val="005E4A8B"/>
    <w:rsid w:val="005E4AA0"/>
    <w:rsid w:val="005E4AD2"/>
    <w:rsid w:val="005E4ADD"/>
    <w:rsid w:val="005E4AF0"/>
    <w:rsid w:val="005E4B11"/>
    <w:rsid w:val="005E4B1E"/>
    <w:rsid w:val="005E4B22"/>
    <w:rsid w:val="005E4B42"/>
    <w:rsid w:val="005E4B69"/>
    <w:rsid w:val="005E4BCC"/>
    <w:rsid w:val="005E4BEB"/>
    <w:rsid w:val="005E4C0B"/>
    <w:rsid w:val="005E4C0F"/>
    <w:rsid w:val="005E4C61"/>
    <w:rsid w:val="005E4C82"/>
    <w:rsid w:val="005E4D14"/>
    <w:rsid w:val="005E4D5B"/>
    <w:rsid w:val="005E4D76"/>
    <w:rsid w:val="005E4D8A"/>
    <w:rsid w:val="005E4D94"/>
    <w:rsid w:val="005E4D96"/>
    <w:rsid w:val="005E4DAB"/>
    <w:rsid w:val="005E4E86"/>
    <w:rsid w:val="005E4EB3"/>
    <w:rsid w:val="005E4F2E"/>
    <w:rsid w:val="005E4F6E"/>
    <w:rsid w:val="005E4F83"/>
    <w:rsid w:val="005E4FD9"/>
    <w:rsid w:val="005E4FDE"/>
    <w:rsid w:val="005E5049"/>
    <w:rsid w:val="005E5064"/>
    <w:rsid w:val="005E5114"/>
    <w:rsid w:val="005E513A"/>
    <w:rsid w:val="005E5161"/>
    <w:rsid w:val="005E5171"/>
    <w:rsid w:val="005E518A"/>
    <w:rsid w:val="005E51E7"/>
    <w:rsid w:val="005E524C"/>
    <w:rsid w:val="005E5287"/>
    <w:rsid w:val="005E52A8"/>
    <w:rsid w:val="005E52DD"/>
    <w:rsid w:val="005E52F5"/>
    <w:rsid w:val="005E52F9"/>
    <w:rsid w:val="005E530D"/>
    <w:rsid w:val="005E5311"/>
    <w:rsid w:val="005E5386"/>
    <w:rsid w:val="005E5387"/>
    <w:rsid w:val="005E53D8"/>
    <w:rsid w:val="005E541E"/>
    <w:rsid w:val="005E5443"/>
    <w:rsid w:val="005E5446"/>
    <w:rsid w:val="005E5455"/>
    <w:rsid w:val="005E547E"/>
    <w:rsid w:val="005E5480"/>
    <w:rsid w:val="005E548D"/>
    <w:rsid w:val="005E54CD"/>
    <w:rsid w:val="005E54E2"/>
    <w:rsid w:val="005E55A4"/>
    <w:rsid w:val="005E5641"/>
    <w:rsid w:val="005E565A"/>
    <w:rsid w:val="005E566A"/>
    <w:rsid w:val="005E56C5"/>
    <w:rsid w:val="005E57A1"/>
    <w:rsid w:val="005E57BB"/>
    <w:rsid w:val="005E57BD"/>
    <w:rsid w:val="005E580A"/>
    <w:rsid w:val="005E580D"/>
    <w:rsid w:val="005E5843"/>
    <w:rsid w:val="005E5885"/>
    <w:rsid w:val="005E58C3"/>
    <w:rsid w:val="005E5905"/>
    <w:rsid w:val="005E593A"/>
    <w:rsid w:val="005E596F"/>
    <w:rsid w:val="005E5979"/>
    <w:rsid w:val="005E5987"/>
    <w:rsid w:val="005E59A3"/>
    <w:rsid w:val="005E59E6"/>
    <w:rsid w:val="005E59FC"/>
    <w:rsid w:val="005E5A14"/>
    <w:rsid w:val="005E5A1B"/>
    <w:rsid w:val="005E5A59"/>
    <w:rsid w:val="005E5A7C"/>
    <w:rsid w:val="005E5A7E"/>
    <w:rsid w:val="005E5ACD"/>
    <w:rsid w:val="005E5B08"/>
    <w:rsid w:val="005E5BA9"/>
    <w:rsid w:val="005E5BFB"/>
    <w:rsid w:val="005E5C47"/>
    <w:rsid w:val="005E5D0B"/>
    <w:rsid w:val="005E5D0F"/>
    <w:rsid w:val="005E5D6C"/>
    <w:rsid w:val="005E5D76"/>
    <w:rsid w:val="005E5DBE"/>
    <w:rsid w:val="005E5DC3"/>
    <w:rsid w:val="005E5DC8"/>
    <w:rsid w:val="005E5DF3"/>
    <w:rsid w:val="005E5E37"/>
    <w:rsid w:val="005E5E59"/>
    <w:rsid w:val="005E5E8F"/>
    <w:rsid w:val="005E5EAA"/>
    <w:rsid w:val="005E5F2E"/>
    <w:rsid w:val="005E5F57"/>
    <w:rsid w:val="005E5F60"/>
    <w:rsid w:val="005E5F94"/>
    <w:rsid w:val="005E5FEA"/>
    <w:rsid w:val="005E602C"/>
    <w:rsid w:val="005E6055"/>
    <w:rsid w:val="005E60C7"/>
    <w:rsid w:val="005E610E"/>
    <w:rsid w:val="005E618E"/>
    <w:rsid w:val="005E61A6"/>
    <w:rsid w:val="005E623A"/>
    <w:rsid w:val="005E6293"/>
    <w:rsid w:val="005E62DD"/>
    <w:rsid w:val="005E631E"/>
    <w:rsid w:val="005E6399"/>
    <w:rsid w:val="005E63CA"/>
    <w:rsid w:val="005E63D2"/>
    <w:rsid w:val="005E63DD"/>
    <w:rsid w:val="005E63F9"/>
    <w:rsid w:val="005E6550"/>
    <w:rsid w:val="005E6557"/>
    <w:rsid w:val="005E65D2"/>
    <w:rsid w:val="005E65E2"/>
    <w:rsid w:val="005E6622"/>
    <w:rsid w:val="005E6639"/>
    <w:rsid w:val="005E663C"/>
    <w:rsid w:val="005E6684"/>
    <w:rsid w:val="005E66A3"/>
    <w:rsid w:val="005E66B4"/>
    <w:rsid w:val="005E66FB"/>
    <w:rsid w:val="005E6720"/>
    <w:rsid w:val="005E6728"/>
    <w:rsid w:val="005E672F"/>
    <w:rsid w:val="005E6757"/>
    <w:rsid w:val="005E6772"/>
    <w:rsid w:val="005E679A"/>
    <w:rsid w:val="005E681B"/>
    <w:rsid w:val="005E682A"/>
    <w:rsid w:val="005E68C1"/>
    <w:rsid w:val="005E6954"/>
    <w:rsid w:val="005E69A2"/>
    <w:rsid w:val="005E69DC"/>
    <w:rsid w:val="005E6A2D"/>
    <w:rsid w:val="005E6A79"/>
    <w:rsid w:val="005E6A92"/>
    <w:rsid w:val="005E6AF1"/>
    <w:rsid w:val="005E6B33"/>
    <w:rsid w:val="005E6BB7"/>
    <w:rsid w:val="005E6BF4"/>
    <w:rsid w:val="005E6BFC"/>
    <w:rsid w:val="005E6C2C"/>
    <w:rsid w:val="005E6C3D"/>
    <w:rsid w:val="005E6C4C"/>
    <w:rsid w:val="005E6C89"/>
    <w:rsid w:val="005E6CCA"/>
    <w:rsid w:val="005E6D10"/>
    <w:rsid w:val="005E6D1E"/>
    <w:rsid w:val="005E6D2F"/>
    <w:rsid w:val="005E6DCB"/>
    <w:rsid w:val="005E6DD7"/>
    <w:rsid w:val="005E6DDE"/>
    <w:rsid w:val="005E6DEA"/>
    <w:rsid w:val="005E6E3A"/>
    <w:rsid w:val="005E6E6A"/>
    <w:rsid w:val="005E6E99"/>
    <w:rsid w:val="005E6F04"/>
    <w:rsid w:val="005E6F36"/>
    <w:rsid w:val="005E6F44"/>
    <w:rsid w:val="005E6F54"/>
    <w:rsid w:val="005E6F66"/>
    <w:rsid w:val="005E6F70"/>
    <w:rsid w:val="005E6FD1"/>
    <w:rsid w:val="005E7072"/>
    <w:rsid w:val="005E709F"/>
    <w:rsid w:val="005E70E0"/>
    <w:rsid w:val="005E70E3"/>
    <w:rsid w:val="005E7143"/>
    <w:rsid w:val="005E7181"/>
    <w:rsid w:val="005E71B9"/>
    <w:rsid w:val="005E71FF"/>
    <w:rsid w:val="005E7252"/>
    <w:rsid w:val="005E7257"/>
    <w:rsid w:val="005E7289"/>
    <w:rsid w:val="005E728F"/>
    <w:rsid w:val="005E7294"/>
    <w:rsid w:val="005E72AA"/>
    <w:rsid w:val="005E7329"/>
    <w:rsid w:val="005E73B3"/>
    <w:rsid w:val="005E73F9"/>
    <w:rsid w:val="005E742D"/>
    <w:rsid w:val="005E7456"/>
    <w:rsid w:val="005E74BF"/>
    <w:rsid w:val="005E74CE"/>
    <w:rsid w:val="005E75A9"/>
    <w:rsid w:val="005E75CE"/>
    <w:rsid w:val="005E75F9"/>
    <w:rsid w:val="005E760B"/>
    <w:rsid w:val="005E762D"/>
    <w:rsid w:val="005E76DC"/>
    <w:rsid w:val="005E774B"/>
    <w:rsid w:val="005E7795"/>
    <w:rsid w:val="005E779F"/>
    <w:rsid w:val="005E7817"/>
    <w:rsid w:val="005E7828"/>
    <w:rsid w:val="005E7838"/>
    <w:rsid w:val="005E7896"/>
    <w:rsid w:val="005E796F"/>
    <w:rsid w:val="005E7A0F"/>
    <w:rsid w:val="005E7A18"/>
    <w:rsid w:val="005E7A1A"/>
    <w:rsid w:val="005E7A1B"/>
    <w:rsid w:val="005E7A96"/>
    <w:rsid w:val="005E7AE7"/>
    <w:rsid w:val="005E7B05"/>
    <w:rsid w:val="005E7B28"/>
    <w:rsid w:val="005E7BCA"/>
    <w:rsid w:val="005E7BD3"/>
    <w:rsid w:val="005E7C44"/>
    <w:rsid w:val="005E7C4F"/>
    <w:rsid w:val="005E7C82"/>
    <w:rsid w:val="005E7DAE"/>
    <w:rsid w:val="005E7DFD"/>
    <w:rsid w:val="005E7E2D"/>
    <w:rsid w:val="005E7E32"/>
    <w:rsid w:val="005E7E77"/>
    <w:rsid w:val="005E7E7D"/>
    <w:rsid w:val="005E7E7F"/>
    <w:rsid w:val="005E7F16"/>
    <w:rsid w:val="005E7F89"/>
    <w:rsid w:val="005E7FAA"/>
    <w:rsid w:val="005E7FAF"/>
    <w:rsid w:val="005E7FF0"/>
    <w:rsid w:val="005E9FC7"/>
    <w:rsid w:val="005F0027"/>
    <w:rsid w:val="005F0118"/>
    <w:rsid w:val="005F0137"/>
    <w:rsid w:val="005F013F"/>
    <w:rsid w:val="005F01A1"/>
    <w:rsid w:val="005F01BF"/>
    <w:rsid w:val="005F01D3"/>
    <w:rsid w:val="005F0220"/>
    <w:rsid w:val="005F0224"/>
    <w:rsid w:val="005F022D"/>
    <w:rsid w:val="005F0268"/>
    <w:rsid w:val="005F0280"/>
    <w:rsid w:val="005F0281"/>
    <w:rsid w:val="005F02C7"/>
    <w:rsid w:val="005F02E3"/>
    <w:rsid w:val="005F0363"/>
    <w:rsid w:val="005F03CD"/>
    <w:rsid w:val="005F03E1"/>
    <w:rsid w:val="005F049F"/>
    <w:rsid w:val="005F04B7"/>
    <w:rsid w:val="005F0553"/>
    <w:rsid w:val="005F056C"/>
    <w:rsid w:val="005F05A7"/>
    <w:rsid w:val="005F060A"/>
    <w:rsid w:val="005F0626"/>
    <w:rsid w:val="005F0695"/>
    <w:rsid w:val="005F06BE"/>
    <w:rsid w:val="005F0716"/>
    <w:rsid w:val="005F077C"/>
    <w:rsid w:val="005F07B9"/>
    <w:rsid w:val="005F07FD"/>
    <w:rsid w:val="005F0842"/>
    <w:rsid w:val="005F08AD"/>
    <w:rsid w:val="005F08DA"/>
    <w:rsid w:val="005F0980"/>
    <w:rsid w:val="005F09A2"/>
    <w:rsid w:val="005F09CA"/>
    <w:rsid w:val="005F09D9"/>
    <w:rsid w:val="005F09E1"/>
    <w:rsid w:val="005F0A1E"/>
    <w:rsid w:val="005F0A59"/>
    <w:rsid w:val="005F0A6A"/>
    <w:rsid w:val="005F0A94"/>
    <w:rsid w:val="005F0AF6"/>
    <w:rsid w:val="005F0B4A"/>
    <w:rsid w:val="005F0BAF"/>
    <w:rsid w:val="005F0BD4"/>
    <w:rsid w:val="005F0BD8"/>
    <w:rsid w:val="005F0BE7"/>
    <w:rsid w:val="005F0BF8"/>
    <w:rsid w:val="005F0C05"/>
    <w:rsid w:val="005F0C11"/>
    <w:rsid w:val="005F0CC7"/>
    <w:rsid w:val="005F0D12"/>
    <w:rsid w:val="005F0D21"/>
    <w:rsid w:val="005F0D80"/>
    <w:rsid w:val="005F0D89"/>
    <w:rsid w:val="005F0DD5"/>
    <w:rsid w:val="005F0E26"/>
    <w:rsid w:val="005F0E60"/>
    <w:rsid w:val="005F0E7B"/>
    <w:rsid w:val="005F0EA6"/>
    <w:rsid w:val="005F0EDD"/>
    <w:rsid w:val="005F0EE1"/>
    <w:rsid w:val="005F0F48"/>
    <w:rsid w:val="005F0F64"/>
    <w:rsid w:val="005F0FA4"/>
    <w:rsid w:val="005F0FB8"/>
    <w:rsid w:val="005F100F"/>
    <w:rsid w:val="005F1064"/>
    <w:rsid w:val="005F10BC"/>
    <w:rsid w:val="005F10D9"/>
    <w:rsid w:val="005F1110"/>
    <w:rsid w:val="005F119C"/>
    <w:rsid w:val="005F11AA"/>
    <w:rsid w:val="005F128B"/>
    <w:rsid w:val="005F12B6"/>
    <w:rsid w:val="005F12D2"/>
    <w:rsid w:val="005F12E3"/>
    <w:rsid w:val="005F138B"/>
    <w:rsid w:val="005F13EA"/>
    <w:rsid w:val="005F1460"/>
    <w:rsid w:val="005F1486"/>
    <w:rsid w:val="005F14A7"/>
    <w:rsid w:val="005F1567"/>
    <w:rsid w:val="005F159B"/>
    <w:rsid w:val="005F15ED"/>
    <w:rsid w:val="005F15EF"/>
    <w:rsid w:val="005F1613"/>
    <w:rsid w:val="005F161E"/>
    <w:rsid w:val="005F1631"/>
    <w:rsid w:val="005F164E"/>
    <w:rsid w:val="005F1669"/>
    <w:rsid w:val="005F168C"/>
    <w:rsid w:val="005F16A8"/>
    <w:rsid w:val="005F1703"/>
    <w:rsid w:val="005F177D"/>
    <w:rsid w:val="005F17A1"/>
    <w:rsid w:val="005F17C5"/>
    <w:rsid w:val="005F17F0"/>
    <w:rsid w:val="005F1836"/>
    <w:rsid w:val="005F185D"/>
    <w:rsid w:val="005F1877"/>
    <w:rsid w:val="005F18A3"/>
    <w:rsid w:val="005F18C4"/>
    <w:rsid w:val="005F18F2"/>
    <w:rsid w:val="005F1922"/>
    <w:rsid w:val="005F1943"/>
    <w:rsid w:val="005F1967"/>
    <w:rsid w:val="005F19A7"/>
    <w:rsid w:val="005F19D2"/>
    <w:rsid w:val="005F1A05"/>
    <w:rsid w:val="005F1A86"/>
    <w:rsid w:val="005F1A9A"/>
    <w:rsid w:val="005F1A9C"/>
    <w:rsid w:val="005F1AB3"/>
    <w:rsid w:val="005F1B36"/>
    <w:rsid w:val="005F1B46"/>
    <w:rsid w:val="005F1BE7"/>
    <w:rsid w:val="005F1C3C"/>
    <w:rsid w:val="005F1CE2"/>
    <w:rsid w:val="005F1E19"/>
    <w:rsid w:val="005F1E38"/>
    <w:rsid w:val="005F1E3D"/>
    <w:rsid w:val="005F1E40"/>
    <w:rsid w:val="005F1E6D"/>
    <w:rsid w:val="005F1EC6"/>
    <w:rsid w:val="005F1F03"/>
    <w:rsid w:val="005F1F50"/>
    <w:rsid w:val="005F1F56"/>
    <w:rsid w:val="005F1F62"/>
    <w:rsid w:val="005F1FD5"/>
    <w:rsid w:val="005F2075"/>
    <w:rsid w:val="005F20D0"/>
    <w:rsid w:val="005F2103"/>
    <w:rsid w:val="005F2105"/>
    <w:rsid w:val="005F2172"/>
    <w:rsid w:val="005F218A"/>
    <w:rsid w:val="005F2201"/>
    <w:rsid w:val="005F22B4"/>
    <w:rsid w:val="005F22DE"/>
    <w:rsid w:val="005F22E4"/>
    <w:rsid w:val="005F22E6"/>
    <w:rsid w:val="005F22ED"/>
    <w:rsid w:val="005F234B"/>
    <w:rsid w:val="005F23AC"/>
    <w:rsid w:val="005F2405"/>
    <w:rsid w:val="005F2416"/>
    <w:rsid w:val="005F243D"/>
    <w:rsid w:val="005F243F"/>
    <w:rsid w:val="005F2441"/>
    <w:rsid w:val="005F2475"/>
    <w:rsid w:val="005F24CF"/>
    <w:rsid w:val="005F2548"/>
    <w:rsid w:val="005F2552"/>
    <w:rsid w:val="005F25A5"/>
    <w:rsid w:val="005F25A9"/>
    <w:rsid w:val="005F25F1"/>
    <w:rsid w:val="005F25F6"/>
    <w:rsid w:val="005F2641"/>
    <w:rsid w:val="005F273B"/>
    <w:rsid w:val="005F2764"/>
    <w:rsid w:val="005F27DD"/>
    <w:rsid w:val="005F27E2"/>
    <w:rsid w:val="005F27EF"/>
    <w:rsid w:val="005F2874"/>
    <w:rsid w:val="005F28A3"/>
    <w:rsid w:val="005F28A5"/>
    <w:rsid w:val="005F28AB"/>
    <w:rsid w:val="005F28D8"/>
    <w:rsid w:val="005F28E3"/>
    <w:rsid w:val="005F297C"/>
    <w:rsid w:val="005F2983"/>
    <w:rsid w:val="005F29AC"/>
    <w:rsid w:val="005F29AD"/>
    <w:rsid w:val="005F29DC"/>
    <w:rsid w:val="005F29EA"/>
    <w:rsid w:val="005F2A02"/>
    <w:rsid w:val="005F2AB5"/>
    <w:rsid w:val="005F2B20"/>
    <w:rsid w:val="005F2B39"/>
    <w:rsid w:val="005F2B70"/>
    <w:rsid w:val="005F2B85"/>
    <w:rsid w:val="005F2C01"/>
    <w:rsid w:val="005F2C41"/>
    <w:rsid w:val="005F2C73"/>
    <w:rsid w:val="005F2CB8"/>
    <w:rsid w:val="005F2CB9"/>
    <w:rsid w:val="005F2D40"/>
    <w:rsid w:val="005F2D49"/>
    <w:rsid w:val="005F2D64"/>
    <w:rsid w:val="005F2DB7"/>
    <w:rsid w:val="005F2DBE"/>
    <w:rsid w:val="005F2DF5"/>
    <w:rsid w:val="005F2E63"/>
    <w:rsid w:val="005F2EAD"/>
    <w:rsid w:val="005F2ED2"/>
    <w:rsid w:val="005F2EE5"/>
    <w:rsid w:val="005F2F49"/>
    <w:rsid w:val="005F2F54"/>
    <w:rsid w:val="005F302D"/>
    <w:rsid w:val="005F3070"/>
    <w:rsid w:val="005F3093"/>
    <w:rsid w:val="005F30AA"/>
    <w:rsid w:val="005F30B0"/>
    <w:rsid w:val="005F30F9"/>
    <w:rsid w:val="005F3100"/>
    <w:rsid w:val="005F310E"/>
    <w:rsid w:val="005F3156"/>
    <w:rsid w:val="005F3159"/>
    <w:rsid w:val="005F3174"/>
    <w:rsid w:val="005F3184"/>
    <w:rsid w:val="005F3204"/>
    <w:rsid w:val="005F324A"/>
    <w:rsid w:val="005F3262"/>
    <w:rsid w:val="005F329A"/>
    <w:rsid w:val="005F3331"/>
    <w:rsid w:val="005F333A"/>
    <w:rsid w:val="005F338A"/>
    <w:rsid w:val="005F3392"/>
    <w:rsid w:val="005F339F"/>
    <w:rsid w:val="005F33A0"/>
    <w:rsid w:val="005F33CF"/>
    <w:rsid w:val="005F33D5"/>
    <w:rsid w:val="005F3439"/>
    <w:rsid w:val="005F3459"/>
    <w:rsid w:val="005F346F"/>
    <w:rsid w:val="005F34A1"/>
    <w:rsid w:val="005F3535"/>
    <w:rsid w:val="005F3556"/>
    <w:rsid w:val="005F3562"/>
    <w:rsid w:val="005F35B6"/>
    <w:rsid w:val="005F35D4"/>
    <w:rsid w:val="005F35DE"/>
    <w:rsid w:val="005F3616"/>
    <w:rsid w:val="005F365A"/>
    <w:rsid w:val="005F3685"/>
    <w:rsid w:val="005F36A0"/>
    <w:rsid w:val="005F37A7"/>
    <w:rsid w:val="005F37B4"/>
    <w:rsid w:val="005F37E1"/>
    <w:rsid w:val="005F37FD"/>
    <w:rsid w:val="005F3800"/>
    <w:rsid w:val="005F386A"/>
    <w:rsid w:val="005F3877"/>
    <w:rsid w:val="005F389D"/>
    <w:rsid w:val="005F3958"/>
    <w:rsid w:val="005F39C7"/>
    <w:rsid w:val="005F3ADC"/>
    <w:rsid w:val="005F3B28"/>
    <w:rsid w:val="005F3B55"/>
    <w:rsid w:val="005F3B9D"/>
    <w:rsid w:val="005F3C76"/>
    <w:rsid w:val="005F3C84"/>
    <w:rsid w:val="005F3C9B"/>
    <w:rsid w:val="005F3CC6"/>
    <w:rsid w:val="005F3CF0"/>
    <w:rsid w:val="005F3D28"/>
    <w:rsid w:val="005F3DDC"/>
    <w:rsid w:val="005F3DF3"/>
    <w:rsid w:val="005F3E26"/>
    <w:rsid w:val="005F3E33"/>
    <w:rsid w:val="005F3EED"/>
    <w:rsid w:val="005F3EF6"/>
    <w:rsid w:val="005F3F1F"/>
    <w:rsid w:val="005F3F3D"/>
    <w:rsid w:val="005F3FAB"/>
    <w:rsid w:val="005F3FB5"/>
    <w:rsid w:val="005F3FD2"/>
    <w:rsid w:val="005F40D8"/>
    <w:rsid w:val="005F4138"/>
    <w:rsid w:val="005F4144"/>
    <w:rsid w:val="005F416F"/>
    <w:rsid w:val="005F4238"/>
    <w:rsid w:val="005F4290"/>
    <w:rsid w:val="005F43B4"/>
    <w:rsid w:val="005F43DC"/>
    <w:rsid w:val="005F447D"/>
    <w:rsid w:val="005F44AC"/>
    <w:rsid w:val="005F45A0"/>
    <w:rsid w:val="005F45EB"/>
    <w:rsid w:val="005F45FD"/>
    <w:rsid w:val="005F461E"/>
    <w:rsid w:val="005F468E"/>
    <w:rsid w:val="005F46C2"/>
    <w:rsid w:val="005F46D8"/>
    <w:rsid w:val="005F4710"/>
    <w:rsid w:val="005F4790"/>
    <w:rsid w:val="005F4797"/>
    <w:rsid w:val="005F47B0"/>
    <w:rsid w:val="005F482B"/>
    <w:rsid w:val="005F483D"/>
    <w:rsid w:val="005F4845"/>
    <w:rsid w:val="005F489D"/>
    <w:rsid w:val="005F490D"/>
    <w:rsid w:val="005F4959"/>
    <w:rsid w:val="005F4960"/>
    <w:rsid w:val="005F4ABB"/>
    <w:rsid w:val="005F4B82"/>
    <w:rsid w:val="005F4BCE"/>
    <w:rsid w:val="005F4BF6"/>
    <w:rsid w:val="005F4BFE"/>
    <w:rsid w:val="005F4C34"/>
    <w:rsid w:val="005F4C53"/>
    <w:rsid w:val="005F4C5C"/>
    <w:rsid w:val="005F4CA0"/>
    <w:rsid w:val="005F4D48"/>
    <w:rsid w:val="005F4D4C"/>
    <w:rsid w:val="005F4D73"/>
    <w:rsid w:val="005F4DC9"/>
    <w:rsid w:val="005F4DE8"/>
    <w:rsid w:val="005F4DFF"/>
    <w:rsid w:val="005F4E21"/>
    <w:rsid w:val="005F4E45"/>
    <w:rsid w:val="005F4E50"/>
    <w:rsid w:val="005F4E82"/>
    <w:rsid w:val="005F4EC6"/>
    <w:rsid w:val="005F4F1A"/>
    <w:rsid w:val="005F4F2D"/>
    <w:rsid w:val="005F4F32"/>
    <w:rsid w:val="005F4FA4"/>
    <w:rsid w:val="005F4FC6"/>
    <w:rsid w:val="005F5001"/>
    <w:rsid w:val="005F502E"/>
    <w:rsid w:val="005F5074"/>
    <w:rsid w:val="005F5079"/>
    <w:rsid w:val="005F5083"/>
    <w:rsid w:val="005F50BD"/>
    <w:rsid w:val="005F50C3"/>
    <w:rsid w:val="005F512A"/>
    <w:rsid w:val="005F5144"/>
    <w:rsid w:val="005F5153"/>
    <w:rsid w:val="005F51AB"/>
    <w:rsid w:val="005F524F"/>
    <w:rsid w:val="005F52A3"/>
    <w:rsid w:val="005F52E8"/>
    <w:rsid w:val="005F5319"/>
    <w:rsid w:val="005F5341"/>
    <w:rsid w:val="005F5344"/>
    <w:rsid w:val="005F5361"/>
    <w:rsid w:val="005F5378"/>
    <w:rsid w:val="005F53F4"/>
    <w:rsid w:val="005F5460"/>
    <w:rsid w:val="005F5541"/>
    <w:rsid w:val="005F5548"/>
    <w:rsid w:val="005F5559"/>
    <w:rsid w:val="005F5613"/>
    <w:rsid w:val="005F5664"/>
    <w:rsid w:val="005F5669"/>
    <w:rsid w:val="005F56BB"/>
    <w:rsid w:val="005F56C6"/>
    <w:rsid w:val="005F5757"/>
    <w:rsid w:val="005F5799"/>
    <w:rsid w:val="005F57A9"/>
    <w:rsid w:val="005F57FD"/>
    <w:rsid w:val="005F5839"/>
    <w:rsid w:val="005F58A4"/>
    <w:rsid w:val="005F58B4"/>
    <w:rsid w:val="005F58ED"/>
    <w:rsid w:val="005F58F0"/>
    <w:rsid w:val="005F590A"/>
    <w:rsid w:val="005F5919"/>
    <w:rsid w:val="005F5941"/>
    <w:rsid w:val="005F5994"/>
    <w:rsid w:val="005F59F9"/>
    <w:rsid w:val="005F5A0B"/>
    <w:rsid w:val="005F5AC3"/>
    <w:rsid w:val="005F5ACC"/>
    <w:rsid w:val="005F5AD0"/>
    <w:rsid w:val="005F5AF8"/>
    <w:rsid w:val="005F5B11"/>
    <w:rsid w:val="005F5B2C"/>
    <w:rsid w:val="005F5B50"/>
    <w:rsid w:val="005F5B87"/>
    <w:rsid w:val="005F5B8A"/>
    <w:rsid w:val="005F5BDF"/>
    <w:rsid w:val="005F5C05"/>
    <w:rsid w:val="005F5C52"/>
    <w:rsid w:val="005F5D5C"/>
    <w:rsid w:val="005F5DB9"/>
    <w:rsid w:val="005F5DD9"/>
    <w:rsid w:val="005F5DEA"/>
    <w:rsid w:val="005F5E97"/>
    <w:rsid w:val="005F5E9F"/>
    <w:rsid w:val="005F5F25"/>
    <w:rsid w:val="005F5F27"/>
    <w:rsid w:val="005F5F30"/>
    <w:rsid w:val="005F5F48"/>
    <w:rsid w:val="005F5F6A"/>
    <w:rsid w:val="005F5FAB"/>
    <w:rsid w:val="005F5FAD"/>
    <w:rsid w:val="005F5FB6"/>
    <w:rsid w:val="005F5FC6"/>
    <w:rsid w:val="005F5FE7"/>
    <w:rsid w:val="005F5FF9"/>
    <w:rsid w:val="005F6005"/>
    <w:rsid w:val="005F60B6"/>
    <w:rsid w:val="005F6154"/>
    <w:rsid w:val="005F616F"/>
    <w:rsid w:val="005F617C"/>
    <w:rsid w:val="005F61B3"/>
    <w:rsid w:val="005F61DC"/>
    <w:rsid w:val="005F6208"/>
    <w:rsid w:val="005F620A"/>
    <w:rsid w:val="005F6228"/>
    <w:rsid w:val="005F622B"/>
    <w:rsid w:val="005F624D"/>
    <w:rsid w:val="005F624F"/>
    <w:rsid w:val="005F62C7"/>
    <w:rsid w:val="005F62DE"/>
    <w:rsid w:val="005F62FD"/>
    <w:rsid w:val="005F6333"/>
    <w:rsid w:val="005F6351"/>
    <w:rsid w:val="005F63B9"/>
    <w:rsid w:val="005F63BA"/>
    <w:rsid w:val="005F63E3"/>
    <w:rsid w:val="005F640F"/>
    <w:rsid w:val="005F6480"/>
    <w:rsid w:val="005F649C"/>
    <w:rsid w:val="005F6546"/>
    <w:rsid w:val="005F65A9"/>
    <w:rsid w:val="005F65C5"/>
    <w:rsid w:val="005F65DC"/>
    <w:rsid w:val="005F6633"/>
    <w:rsid w:val="005F6659"/>
    <w:rsid w:val="005F6663"/>
    <w:rsid w:val="005F66F8"/>
    <w:rsid w:val="005F6719"/>
    <w:rsid w:val="005F677C"/>
    <w:rsid w:val="005F679D"/>
    <w:rsid w:val="005F67BE"/>
    <w:rsid w:val="005F67EF"/>
    <w:rsid w:val="005F6800"/>
    <w:rsid w:val="005F685F"/>
    <w:rsid w:val="005F6875"/>
    <w:rsid w:val="005F6891"/>
    <w:rsid w:val="005F6902"/>
    <w:rsid w:val="005F6976"/>
    <w:rsid w:val="005F698B"/>
    <w:rsid w:val="005F69DA"/>
    <w:rsid w:val="005F69FE"/>
    <w:rsid w:val="005F6AC3"/>
    <w:rsid w:val="005F6AC5"/>
    <w:rsid w:val="005F6ADC"/>
    <w:rsid w:val="005F6AF6"/>
    <w:rsid w:val="005F6B1A"/>
    <w:rsid w:val="005F6B35"/>
    <w:rsid w:val="005F6C3D"/>
    <w:rsid w:val="005F6C44"/>
    <w:rsid w:val="005F6C4D"/>
    <w:rsid w:val="005F6C59"/>
    <w:rsid w:val="005F6DD3"/>
    <w:rsid w:val="005F6DFE"/>
    <w:rsid w:val="005F6E07"/>
    <w:rsid w:val="005F6E36"/>
    <w:rsid w:val="005F6E48"/>
    <w:rsid w:val="005F6E90"/>
    <w:rsid w:val="005F6EED"/>
    <w:rsid w:val="005F6F1D"/>
    <w:rsid w:val="005F6F3D"/>
    <w:rsid w:val="005F6F84"/>
    <w:rsid w:val="005F703F"/>
    <w:rsid w:val="005F7089"/>
    <w:rsid w:val="005F70E1"/>
    <w:rsid w:val="005F7136"/>
    <w:rsid w:val="005F720F"/>
    <w:rsid w:val="005F725A"/>
    <w:rsid w:val="005F725E"/>
    <w:rsid w:val="005F7274"/>
    <w:rsid w:val="005F7281"/>
    <w:rsid w:val="005F7296"/>
    <w:rsid w:val="005F72A3"/>
    <w:rsid w:val="005F72CD"/>
    <w:rsid w:val="005F7338"/>
    <w:rsid w:val="005F7352"/>
    <w:rsid w:val="005F7353"/>
    <w:rsid w:val="005F7374"/>
    <w:rsid w:val="005F73E9"/>
    <w:rsid w:val="005F7432"/>
    <w:rsid w:val="005F7445"/>
    <w:rsid w:val="005F74C0"/>
    <w:rsid w:val="005F74E4"/>
    <w:rsid w:val="005F74E6"/>
    <w:rsid w:val="005F7510"/>
    <w:rsid w:val="005F7511"/>
    <w:rsid w:val="005F7541"/>
    <w:rsid w:val="005F758B"/>
    <w:rsid w:val="005F75CC"/>
    <w:rsid w:val="005F761E"/>
    <w:rsid w:val="005F768A"/>
    <w:rsid w:val="005F768B"/>
    <w:rsid w:val="005F76F6"/>
    <w:rsid w:val="005F771A"/>
    <w:rsid w:val="005F7721"/>
    <w:rsid w:val="005F773C"/>
    <w:rsid w:val="005F7747"/>
    <w:rsid w:val="005F7753"/>
    <w:rsid w:val="005F7778"/>
    <w:rsid w:val="005F778A"/>
    <w:rsid w:val="005F77AA"/>
    <w:rsid w:val="005F77B4"/>
    <w:rsid w:val="005F7848"/>
    <w:rsid w:val="005F785F"/>
    <w:rsid w:val="005F787C"/>
    <w:rsid w:val="005F7885"/>
    <w:rsid w:val="005F78A4"/>
    <w:rsid w:val="005F78B8"/>
    <w:rsid w:val="005F78E3"/>
    <w:rsid w:val="005F7902"/>
    <w:rsid w:val="005F7915"/>
    <w:rsid w:val="005F792E"/>
    <w:rsid w:val="005F7965"/>
    <w:rsid w:val="005F7990"/>
    <w:rsid w:val="005F79DF"/>
    <w:rsid w:val="005F7A3E"/>
    <w:rsid w:val="005F7A7E"/>
    <w:rsid w:val="005F7AAD"/>
    <w:rsid w:val="005F7B11"/>
    <w:rsid w:val="005F7B35"/>
    <w:rsid w:val="005F7BC9"/>
    <w:rsid w:val="005F7CB6"/>
    <w:rsid w:val="005F7CF4"/>
    <w:rsid w:val="005F7D45"/>
    <w:rsid w:val="005F7D70"/>
    <w:rsid w:val="005F7DF8"/>
    <w:rsid w:val="005F7E48"/>
    <w:rsid w:val="005F7E5E"/>
    <w:rsid w:val="005F7E5F"/>
    <w:rsid w:val="005F7E92"/>
    <w:rsid w:val="005F7EDB"/>
    <w:rsid w:val="005F7EDF"/>
    <w:rsid w:val="005F7EEA"/>
    <w:rsid w:val="005F7F03"/>
    <w:rsid w:val="005F7F2D"/>
    <w:rsid w:val="005F7FAB"/>
    <w:rsid w:val="005F7FBE"/>
    <w:rsid w:val="005F7FD9"/>
    <w:rsid w:val="005F7FEF"/>
    <w:rsid w:val="006000F7"/>
    <w:rsid w:val="00600151"/>
    <w:rsid w:val="00600173"/>
    <w:rsid w:val="00600183"/>
    <w:rsid w:val="006001A3"/>
    <w:rsid w:val="0060020B"/>
    <w:rsid w:val="00600290"/>
    <w:rsid w:val="006002CD"/>
    <w:rsid w:val="006002FC"/>
    <w:rsid w:val="00600306"/>
    <w:rsid w:val="00600341"/>
    <w:rsid w:val="006003EC"/>
    <w:rsid w:val="006003F0"/>
    <w:rsid w:val="00600403"/>
    <w:rsid w:val="00600418"/>
    <w:rsid w:val="00600473"/>
    <w:rsid w:val="006004EC"/>
    <w:rsid w:val="00600514"/>
    <w:rsid w:val="0060051E"/>
    <w:rsid w:val="00600525"/>
    <w:rsid w:val="00600544"/>
    <w:rsid w:val="0060055A"/>
    <w:rsid w:val="0060058B"/>
    <w:rsid w:val="006005DD"/>
    <w:rsid w:val="006005E5"/>
    <w:rsid w:val="00600612"/>
    <w:rsid w:val="00600617"/>
    <w:rsid w:val="0060064F"/>
    <w:rsid w:val="00600682"/>
    <w:rsid w:val="006006A8"/>
    <w:rsid w:val="006006DF"/>
    <w:rsid w:val="006006E3"/>
    <w:rsid w:val="006007BB"/>
    <w:rsid w:val="006007EF"/>
    <w:rsid w:val="0060085E"/>
    <w:rsid w:val="0060092C"/>
    <w:rsid w:val="006009BE"/>
    <w:rsid w:val="006009F2"/>
    <w:rsid w:val="00600A14"/>
    <w:rsid w:val="00600A42"/>
    <w:rsid w:val="00600A73"/>
    <w:rsid w:val="00600A7D"/>
    <w:rsid w:val="00600A9B"/>
    <w:rsid w:val="00600AC2"/>
    <w:rsid w:val="00600ACC"/>
    <w:rsid w:val="00600AE7"/>
    <w:rsid w:val="00600AE8"/>
    <w:rsid w:val="00600B18"/>
    <w:rsid w:val="00600B41"/>
    <w:rsid w:val="00600BD1"/>
    <w:rsid w:val="00600BFA"/>
    <w:rsid w:val="00600BFD"/>
    <w:rsid w:val="00600C44"/>
    <w:rsid w:val="00600C63"/>
    <w:rsid w:val="00600CDE"/>
    <w:rsid w:val="00600D58"/>
    <w:rsid w:val="00600D87"/>
    <w:rsid w:val="00600DCC"/>
    <w:rsid w:val="00600DCD"/>
    <w:rsid w:val="00600E0A"/>
    <w:rsid w:val="00600E3C"/>
    <w:rsid w:val="00600E3D"/>
    <w:rsid w:val="00600E7D"/>
    <w:rsid w:val="00600ED2"/>
    <w:rsid w:val="00600ED3"/>
    <w:rsid w:val="00600FD2"/>
    <w:rsid w:val="00600FE6"/>
    <w:rsid w:val="0060102E"/>
    <w:rsid w:val="00601039"/>
    <w:rsid w:val="006010B9"/>
    <w:rsid w:val="006010C1"/>
    <w:rsid w:val="00601105"/>
    <w:rsid w:val="00601152"/>
    <w:rsid w:val="00601164"/>
    <w:rsid w:val="0060116E"/>
    <w:rsid w:val="00601170"/>
    <w:rsid w:val="00601177"/>
    <w:rsid w:val="006011C4"/>
    <w:rsid w:val="006011C8"/>
    <w:rsid w:val="006011D7"/>
    <w:rsid w:val="0060126E"/>
    <w:rsid w:val="00601270"/>
    <w:rsid w:val="006012D5"/>
    <w:rsid w:val="006012EF"/>
    <w:rsid w:val="0060133C"/>
    <w:rsid w:val="0060136E"/>
    <w:rsid w:val="006013C8"/>
    <w:rsid w:val="00601525"/>
    <w:rsid w:val="00601533"/>
    <w:rsid w:val="006015E9"/>
    <w:rsid w:val="00601607"/>
    <w:rsid w:val="00601731"/>
    <w:rsid w:val="00601788"/>
    <w:rsid w:val="0060184B"/>
    <w:rsid w:val="00601881"/>
    <w:rsid w:val="006018D2"/>
    <w:rsid w:val="006018F3"/>
    <w:rsid w:val="00601959"/>
    <w:rsid w:val="0060197A"/>
    <w:rsid w:val="006019BA"/>
    <w:rsid w:val="006019CB"/>
    <w:rsid w:val="00601A6C"/>
    <w:rsid w:val="00601A87"/>
    <w:rsid w:val="00601AC4"/>
    <w:rsid w:val="00601B1A"/>
    <w:rsid w:val="00601BC0"/>
    <w:rsid w:val="00601BF9"/>
    <w:rsid w:val="00601BFF"/>
    <w:rsid w:val="00601C09"/>
    <w:rsid w:val="00601CB2"/>
    <w:rsid w:val="00601CC2"/>
    <w:rsid w:val="00601D16"/>
    <w:rsid w:val="00601D4C"/>
    <w:rsid w:val="00601D70"/>
    <w:rsid w:val="00601D9C"/>
    <w:rsid w:val="00601DAA"/>
    <w:rsid w:val="00601DB2"/>
    <w:rsid w:val="00601DB6"/>
    <w:rsid w:val="00601DBD"/>
    <w:rsid w:val="00601DC6"/>
    <w:rsid w:val="00601DF6"/>
    <w:rsid w:val="00601E08"/>
    <w:rsid w:val="00601E3D"/>
    <w:rsid w:val="00601EAA"/>
    <w:rsid w:val="00601EB5"/>
    <w:rsid w:val="00601F3A"/>
    <w:rsid w:val="00602001"/>
    <w:rsid w:val="0060200C"/>
    <w:rsid w:val="00602027"/>
    <w:rsid w:val="00602143"/>
    <w:rsid w:val="00602145"/>
    <w:rsid w:val="00602172"/>
    <w:rsid w:val="00602177"/>
    <w:rsid w:val="00602186"/>
    <w:rsid w:val="0060219B"/>
    <w:rsid w:val="00602214"/>
    <w:rsid w:val="00602264"/>
    <w:rsid w:val="0060226D"/>
    <w:rsid w:val="006022D9"/>
    <w:rsid w:val="006022FC"/>
    <w:rsid w:val="00602310"/>
    <w:rsid w:val="00602322"/>
    <w:rsid w:val="0060234E"/>
    <w:rsid w:val="0060235E"/>
    <w:rsid w:val="006023C6"/>
    <w:rsid w:val="006023EB"/>
    <w:rsid w:val="00602550"/>
    <w:rsid w:val="0060256D"/>
    <w:rsid w:val="0060257C"/>
    <w:rsid w:val="006025B0"/>
    <w:rsid w:val="0060262F"/>
    <w:rsid w:val="00602647"/>
    <w:rsid w:val="00602678"/>
    <w:rsid w:val="006026A4"/>
    <w:rsid w:val="006026B0"/>
    <w:rsid w:val="00602720"/>
    <w:rsid w:val="00602747"/>
    <w:rsid w:val="00602774"/>
    <w:rsid w:val="00602794"/>
    <w:rsid w:val="006027A7"/>
    <w:rsid w:val="00602825"/>
    <w:rsid w:val="00602833"/>
    <w:rsid w:val="00602837"/>
    <w:rsid w:val="006028AC"/>
    <w:rsid w:val="00602993"/>
    <w:rsid w:val="006029A8"/>
    <w:rsid w:val="006029AE"/>
    <w:rsid w:val="006029E8"/>
    <w:rsid w:val="00602A39"/>
    <w:rsid w:val="00602A9A"/>
    <w:rsid w:val="00602AAB"/>
    <w:rsid w:val="00602ABD"/>
    <w:rsid w:val="00602ACE"/>
    <w:rsid w:val="00602AFA"/>
    <w:rsid w:val="00602B0D"/>
    <w:rsid w:val="00602B17"/>
    <w:rsid w:val="00602B66"/>
    <w:rsid w:val="00602B83"/>
    <w:rsid w:val="00602B9B"/>
    <w:rsid w:val="00602BA4"/>
    <w:rsid w:val="00602C23"/>
    <w:rsid w:val="00602C48"/>
    <w:rsid w:val="00602CAD"/>
    <w:rsid w:val="00602CC8"/>
    <w:rsid w:val="00602CD0"/>
    <w:rsid w:val="00602D1F"/>
    <w:rsid w:val="00602D28"/>
    <w:rsid w:val="00602D4A"/>
    <w:rsid w:val="00602D50"/>
    <w:rsid w:val="00602D66"/>
    <w:rsid w:val="00602DD8"/>
    <w:rsid w:val="00602E6F"/>
    <w:rsid w:val="00602EB4"/>
    <w:rsid w:val="00602ED4"/>
    <w:rsid w:val="00602EDB"/>
    <w:rsid w:val="00602EE3"/>
    <w:rsid w:val="00602EE4"/>
    <w:rsid w:val="00602F43"/>
    <w:rsid w:val="00602F5A"/>
    <w:rsid w:val="00602F63"/>
    <w:rsid w:val="00602FA2"/>
    <w:rsid w:val="0060301D"/>
    <w:rsid w:val="00603079"/>
    <w:rsid w:val="006030B6"/>
    <w:rsid w:val="006030E2"/>
    <w:rsid w:val="00603208"/>
    <w:rsid w:val="0060320E"/>
    <w:rsid w:val="00603237"/>
    <w:rsid w:val="00603244"/>
    <w:rsid w:val="0060328B"/>
    <w:rsid w:val="006032AA"/>
    <w:rsid w:val="006032CA"/>
    <w:rsid w:val="006032FC"/>
    <w:rsid w:val="0060331B"/>
    <w:rsid w:val="00603393"/>
    <w:rsid w:val="006033AB"/>
    <w:rsid w:val="006033AD"/>
    <w:rsid w:val="006033B8"/>
    <w:rsid w:val="006033DD"/>
    <w:rsid w:val="00603410"/>
    <w:rsid w:val="00603456"/>
    <w:rsid w:val="006034FB"/>
    <w:rsid w:val="00603519"/>
    <w:rsid w:val="00603602"/>
    <w:rsid w:val="00603619"/>
    <w:rsid w:val="00603620"/>
    <w:rsid w:val="0060368C"/>
    <w:rsid w:val="006036CA"/>
    <w:rsid w:val="006036CF"/>
    <w:rsid w:val="006036EE"/>
    <w:rsid w:val="006036FB"/>
    <w:rsid w:val="00603748"/>
    <w:rsid w:val="006037A3"/>
    <w:rsid w:val="006037BC"/>
    <w:rsid w:val="00603801"/>
    <w:rsid w:val="0060385D"/>
    <w:rsid w:val="0060386C"/>
    <w:rsid w:val="0060389E"/>
    <w:rsid w:val="006038CE"/>
    <w:rsid w:val="006038F9"/>
    <w:rsid w:val="00603905"/>
    <w:rsid w:val="006039B7"/>
    <w:rsid w:val="006039D2"/>
    <w:rsid w:val="006039EF"/>
    <w:rsid w:val="00603A21"/>
    <w:rsid w:val="00603A2A"/>
    <w:rsid w:val="00603A3E"/>
    <w:rsid w:val="00603A64"/>
    <w:rsid w:val="00603A78"/>
    <w:rsid w:val="00603AA1"/>
    <w:rsid w:val="00603AA9"/>
    <w:rsid w:val="00603AC5"/>
    <w:rsid w:val="00603B07"/>
    <w:rsid w:val="00603B72"/>
    <w:rsid w:val="00603B73"/>
    <w:rsid w:val="00603B78"/>
    <w:rsid w:val="00603B92"/>
    <w:rsid w:val="00603BF4"/>
    <w:rsid w:val="00603C1E"/>
    <w:rsid w:val="00603C2D"/>
    <w:rsid w:val="00603C3D"/>
    <w:rsid w:val="00603C6C"/>
    <w:rsid w:val="00603C9B"/>
    <w:rsid w:val="00603CB6"/>
    <w:rsid w:val="00603CB9"/>
    <w:rsid w:val="00603CED"/>
    <w:rsid w:val="00603CF9"/>
    <w:rsid w:val="00603D52"/>
    <w:rsid w:val="00603D8D"/>
    <w:rsid w:val="00603DB9"/>
    <w:rsid w:val="00603E4A"/>
    <w:rsid w:val="00603E56"/>
    <w:rsid w:val="00603E67"/>
    <w:rsid w:val="00603E87"/>
    <w:rsid w:val="00603E9E"/>
    <w:rsid w:val="00603EBE"/>
    <w:rsid w:val="00603ED3"/>
    <w:rsid w:val="00603EF0"/>
    <w:rsid w:val="00603F40"/>
    <w:rsid w:val="00603FF4"/>
    <w:rsid w:val="00603FFA"/>
    <w:rsid w:val="006040AE"/>
    <w:rsid w:val="006040F1"/>
    <w:rsid w:val="006040FF"/>
    <w:rsid w:val="00604126"/>
    <w:rsid w:val="006041B1"/>
    <w:rsid w:val="00604235"/>
    <w:rsid w:val="00604255"/>
    <w:rsid w:val="00604348"/>
    <w:rsid w:val="00604373"/>
    <w:rsid w:val="0060438A"/>
    <w:rsid w:val="006043A4"/>
    <w:rsid w:val="006043F5"/>
    <w:rsid w:val="0060442D"/>
    <w:rsid w:val="00604450"/>
    <w:rsid w:val="006044BA"/>
    <w:rsid w:val="00604523"/>
    <w:rsid w:val="00604537"/>
    <w:rsid w:val="00604561"/>
    <w:rsid w:val="006045C4"/>
    <w:rsid w:val="006045CC"/>
    <w:rsid w:val="00604623"/>
    <w:rsid w:val="0060464A"/>
    <w:rsid w:val="00604684"/>
    <w:rsid w:val="00604693"/>
    <w:rsid w:val="0060477C"/>
    <w:rsid w:val="00604780"/>
    <w:rsid w:val="006047F2"/>
    <w:rsid w:val="00604875"/>
    <w:rsid w:val="00604891"/>
    <w:rsid w:val="006048A6"/>
    <w:rsid w:val="006048C1"/>
    <w:rsid w:val="006048C4"/>
    <w:rsid w:val="0060492F"/>
    <w:rsid w:val="00604952"/>
    <w:rsid w:val="006049C7"/>
    <w:rsid w:val="006049C9"/>
    <w:rsid w:val="00604A16"/>
    <w:rsid w:val="00604A37"/>
    <w:rsid w:val="00604A50"/>
    <w:rsid w:val="00604A79"/>
    <w:rsid w:val="00604A96"/>
    <w:rsid w:val="00604AE9"/>
    <w:rsid w:val="00604AEA"/>
    <w:rsid w:val="00604AF5"/>
    <w:rsid w:val="00604AFC"/>
    <w:rsid w:val="00604B18"/>
    <w:rsid w:val="00604B28"/>
    <w:rsid w:val="00604B29"/>
    <w:rsid w:val="00604B71"/>
    <w:rsid w:val="00604BDE"/>
    <w:rsid w:val="00604BFC"/>
    <w:rsid w:val="00604CD6"/>
    <w:rsid w:val="00604CE8"/>
    <w:rsid w:val="00604D20"/>
    <w:rsid w:val="00604DAB"/>
    <w:rsid w:val="00604E07"/>
    <w:rsid w:val="00604E5F"/>
    <w:rsid w:val="00604E6D"/>
    <w:rsid w:val="00604F15"/>
    <w:rsid w:val="00604F2C"/>
    <w:rsid w:val="00604F49"/>
    <w:rsid w:val="00604F4F"/>
    <w:rsid w:val="00604F7E"/>
    <w:rsid w:val="00604FF6"/>
    <w:rsid w:val="00605008"/>
    <w:rsid w:val="006050C4"/>
    <w:rsid w:val="006050ED"/>
    <w:rsid w:val="006050EE"/>
    <w:rsid w:val="006050FB"/>
    <w:rsid w:val="006051E6"/>
    <w:rsid w:val="0060522A"/>
    <w:rsid w:val="0060526C"/>
    <w:rsid w:val="00605277"/>
    <w:rsid w:val="0060527E"/>
    <w:rsid w:val="00605299"/>
    <w:rsid w:val="006052C9"/>
    <w:rsid w:val="006052E9"/>
    <w:rsid w:val="00605359"/>
    <w:rsid w:val="0060535E"/>
    <w:rsid w:val="00605387"/>
    <w:rsid w:val="006053C0"/>
    <w:rsid w:val="00605403"/>
    <w:rsid w:val="0060543B"/>
    <w:rsid w:val="0060554D"/>
    <w:rsid w:val="00605563"/>
    <w:rsid w:val="0060557F"/>
    <w:rsid w:val="00605591"/>
    <w:rsid w:val="0060560F"/>
    <w:rsid w:val="00605650"/>
    <w:rsid w:val="0060569D"/>
    <w:rsid w:val="00605718"/>
    <w:rsid w:val="00605733"/>
    <w:rsid w:val="00605753"/>
    <w:rsid w:val="0060576B"/>
    <w:rsid w:val="006057BE"/>
    <w:rsid w:val="0060582F"/>
    <w:rsid w:val="0060586C"/>
    <w:rsid w:val="0060589B"/>
    <w:rsid w:val="006059B7"/>
    <w:rsid w:val="00605A2A"/>
    <w:rsid w:val="00605AA6"/>
    <w:rsid w:val="00605AA8"/>
    <w:rsid w:val="00605AC3"/>
    <w:rsid w:val="00605AE1"/>
    <w:rsid w:val="00605AF7"/>
    <w:rsid w:val="00605B77"/>
    <w:rsid w:val="00605B85"/>
    <w:rsid w:val="00605BDE"/>
    <w:rsid w:val="00605C71"/>
    <w:rsid w:val="00605DA9"/>
    <w:rsid w:val="00605E0A"/>
    <w:rsid w:val="00605E5F"/>
    <w:rsid w:val="00605E6D"/>
    <w:rsid w:val="00605EFE"/>
    <w:rsid w:val="00605F4D"/>
    <w:rsid w:val="00605FC1"/>
    <w:rsid w:val="00605FF2"/>
    <w:rsid w:val="00606039"/>
    <w:rsid w:val="006060C6"/>
    <w:rsid w:val="006060F7"/>
    <w:rsid w:val="0060610F"/>
    <w:rsid w:val="0060623E"/>
    <w:rsid w:val="006062FA"/>
    <w:rsid w:val="0060632B"/>
    <w:rsid w:val="0060632E"/>
    <w:rsid w:val="00606330"/>
    <w:rsid w:val="00606360"/>
    <w:rsid w:val="00606371"/>
    <w:rsid w:val="006063A7"/>
    <w:rsid w:val="006063DD"/>
    <w:rsid w:val="00606424"/>
    <w:rsid w:val="00606432"/>
    <w:rsid w:val="006064A8"/>
    <w:rsid w:val="006064D4"/>
    <w:rsid w:val="0060653A"/>
    <w:rsid w:val="0060653F"/>
    <w:rsid w:val="0060658B"/>
    <w:rsid w:val="006065AD"/>
    <w:rsid w:val="006065CD"/>
    <w:rsid w:val="006065E4"/>
    <w:rsid w:val="006065E5"/>
    <w:rsid w:val="0060667A"/>
    <w:rsid w:val="00606698"/>
    <w:rsid w:val="006066FD"/>
    <w:rsid w:val="00606949"/>
    <w:rsid w:val="00606972"/>
    <w:rsid w:val="00606978"/>
    <w:rsid w:val="00606994"/>
    <w:rsid w:val="006069AA"/>
    <w:rsid w:val="006069E8"/>
    <w:rsid w:val="00606A4F"/>
    <w:rsid w:val="00606B16"/>
    <w:rsid w:val="00606B1C"/>
    <w:rsid w:val="00606B23"/>
    <w:rsid w:val="00606B3B"/>
    <w:rsid w:val="00606C08"/>
    <w:rsid w:val="00606C28"/>
    <w:rsid w:val="00606CBF"/>
    <w:rsid w:val="00606CE7"/>
    <w:rsid w:val="00606CF3"/>
    <w:rsid w:val="00606D6A"/>
    <w:rsid w:val="00606D9F"/>
    <w:rsid w:val="00606DAF"/>
    <w:rsid w:val="00606DB8"/>
    <w:rsid w:val="00606DCE"/>
    <w:rsid w:val="00606DD0"/>
    <w:rsid w:val="00606DD8"/>
    <w:rsid w:val="00606DE0"/>
    <w:rsid w:val="00606E49"/>
    <w:rsid w:val="00606E5E"/>
    <w:rsid w:val="00606E66"/>
    <w:rsid w:val="00606E92"/>
    <w:rsid w:val="00606EB5"/>
    <w:rsid w:val="00606F09"/>
    <w:rsid w:val="00606F79"/>
    <w:rsid w:val="00606F8D"/>
    <w:rsid w:val="00606F94"/>
    <w:rsid w:val="00606FA6"/>
    <w:rsid w:val="00606FAF"/>
    <w:rsid w:val="00606FBE"/>
    <w:rsid w:val="0060702D"/>
    <w:rsid w:val="00607035"/>
    <w:rsid w:val="006070A3"/>
    <w:rsid w:val="006070C3"/>
    <w:rsid w:val="006070F9"/>
    <w:rsid w:val="0060711C"/>
    <w:rsid w:val="0060717C"/>
    <w:rsid w:val="006071B7"/>
    <w:rsid w:val="006071DC"/>
    <w:rsid w:val="00607226"/>
    <w:rsid w:val="0060722C"/>
    <w:rsid w:val="006072B7"/>
    <w:rsid w:val="00607336"/>
    <w:rsid w:val="0060736D"/>
    <w:rsid w:val="00607391"/>
    <w:rsid w:val="006073EC"/>
    <w:rsid w:val="006073FB"/>
    <w:rsid w:val="00607408"/>
    <w:rsid w:val="00607460"/>
    <w:rsid w:val="00607499"/>
    <w:rsid w:val="006074FB"/>
    <w:rsid w:val="0060758C"/>
    <w:rsid w:val="006075B2"/>
    <w:rsid w:val="006075BB"/>
    <w:rsid w:val="006075D1"/>
    <w:rsid w:val="006075DF"/>
    <w:rsid w:val="006075F7"/>
    <w:rsid w:val="0060768F"/>
    <w:rsid w:val="00607714"/>
    <w:rsid w:val="0060777B"/>
    <w:rsid w:val="0060778C"/>
    <w:rsid w:val="006077C8"/>
    <w:rsid w:val="006077DD"/>
    <w:rsid w:val="0060784F"/>
    <w:rsid w:val="00607872"/>
    <w:rsid w:val="0060788B"/>
    <w:rsid w:val="00607950"/>
    <w:rsid w:val="00607955"/>
    <w:rsid w:val="0060795F"/>
    <w:rsid w:val="00607983"/>
    <w:rsid w:val="00607A07"/>
    <w:rsid w:val="00607A52"/>
    <w:rsid w:val="00607A58"/>
    <w:rsid w:val="00607A7B"/>
    <w:rsid w:val="00607A87"/>
    <w:rsid w:val="00607AE0"/>
    <w:rsid w:val="00607AEC"/>
    <w:rsid w:val="00607B99"/>
    <w:rsid w:val="00607BD1"/>
    <w:rsid w:val="00607BEA"/>
    <w:rsid w:val="00607C01"/>
    <w:rsid w:val="00607C63"/>
    <w:rsid w:val="00607C8D"/>
    <w:rsid w:val="00607CB1"/>
    <w:rsid w:val="00607CC1"/>
    <w:rsid w:val="00607CE1"/>
    <w:rsid w:val="00607CFA"/>
    <w:rsid w:val="00607D00"/>
    <w:rsid w:val="00607D50"/>
    <w:rsid w:val="00607D9B"/>
    <w:rsid w:val="00607DDE"/>
    <w:rsid w:val="00607E2D"/>
    <w:rsid w:val="00607E54"/>
    <w:rsid w:val="00607E8A"/>
    <w:rsid w:val="00607E9B"/>
    <w:rsid w:val="00607F24"/>
    <w:rsid w:val="00607F39"/>
    <w:rsid w:val="00607F72"/>
    <w:rsid w:val="00607F8E"/>
    <w:rsid w:val="00607FFD"/>
    <w:rsid w:val="0061004D"/>
    <w:rsid w:val="0061012A"/>
    <w:rsid w:val="00610145"/>
    <w:rsid w:val="00610146"/>
    <w:rsid w:val="006101B3"/>
    <w:rsid w:val="006101C8"/>
    <w:rsid w:val="006101D2"/>
    <w:rsid w:val="006101DA"/>
    <w:rsid w:val="00610232"/>
    <w:rsid w:val="00610251"/>
    <w:rsid w:val="00610284"/>
    <w:rsid w:val="006102FC"/>
    <w:rsid w:val="0061030F"/>
    <w:rsid w:val="0061033E"/>
    <w:rsid w:val="0061034B"/>
    <w:rsid w:val="00610378"/>
    <w:rsid w:val="00610388"/>
    <w:rsid w:val="006103A2"/>
    <w:rsid w:val="00610479"/>
    <w:rsid w:val="00610481"/>
    <w:rsid w:val="006104D9"/>
    <w:rsid w:val="006104EF"/>
    <w:rsid w:val="006104FE"/>
    <w:rsid w:val="00610509"/>
    <w:rsid w:val="00610516"/>
    <w:rsid w:val="00610527"/>
    <w:rsid w:val="00610586"/>
    <w:rsid w:val="00610590"/>
    <w:rsid w:val="00610596"/>
    <w:rsid w:val="006105BB"/>
    <w:rsid w:val="0061060C"/>
    <w:rsid w:val="00610620"/>
    <w:rsid w:val="00610710"/>
    <w:rsid w:val="00610728"/>
    <w:rsid w:val="00610770"/>
    <w:rsid w:val="00610793"/>
    <w:rsid w:val="006107F0"/>
    <w:rsid w:val="006107F1"/>
    <w:rsid w:val="00610816"/>
    <w:rsid w:val="00610827"/>
    <w:rsid w:val="0061083B"/>
    <w:rsid w:val="00610872"/>
    <w:rsid w:val="006108C0"/>
    <w:rsid w:val="0061098C"/>
    <w:rsid w:val="006109D2"/>
    <w:rsid w:val="006109D4"/>
    <w:rsid w:val="006109DD"/>
    <w:rsid w:val="00610A40"/>
    <w:rsid w:val="00610A56"/>
    <w:rsid w:val="00610A8D"/>
    <w:rsid w:val="00610AA7"/>
    <w:rsid w:val="00610ADF"/>
    <w:rsid w:val="00610B1C"/>
    <w:rsid w:val="00610B44"/>
    <w:rsid w:val="00610B60"/>
    <w:rsid w:val="00610C10"/>
    <w:rsid w:val="00610C20"/>
    <w:rsid w:val="00610C28"/>
    <w:rsid w:val="00610C2A"/>
    <w:rsid w:val="00610C38"/>
    <w:rsid w:val="00610C6B"/>
    <w:rsid w:val="00610CB7"/>
    <w:rsid w:val="00610CE1"/>
    <w:rsid w:val="00610CE2"/>
    <w:rsid w:val="00610D0B"/>
    <w:rsid w:val="00610D34"/>
    <w:rsid w:val="00610DF2"/>
    <w:rsid w:val="00610E05"/>
    <w:rsid w:val="00610E09"/>
    <w:rsid w:val="00610E3B"/>
    <w:rsid w:val="00610E4B"/>
    <w:rsid w:val="00610E84"/>
    <w:rsid w:val="00610ECC"/>
    <w:rsid w:val="00610ED3"/>
    <w:rsid w:val="00610F15"/>
    <w:rsid w:val="00610FC5"/>
    <w:rsid w:val="00610FC6"/>
    <w:rsid w:val="00610FFA"/>
    <w:rsid w:val="00611013"/>
    <w:rsid w:val="0061108E"/>
    <w:rsid w:val="006110F0"/>
    <w:rsid w:val="006110F2"/>
    <w:rsid w:val="006110FD"/>
    <w:rsid w:val="0061117A"/>
    <w:rsid w:val="0061117F"/>
    <w:rsid w:val="006111BF"/>
    <w:rsid w:val="006111E3"/>
    <w:rsid w:val="00611247"/>
    <w:rsid w:val="006112D5"/>
    <w:rsid w:val="006112EC"/>
    <w:rsid w:val="0061130E"/>
    <w:rsid w:val="0061130F"/>
    <w:rsid w:val="0061133B"/>
    <w:rsid w:val="006113D3"/>
    <w:rsid w:val="006114C0"/>
    <w:rsid w:val="006114DA"/>
    <w:rsid w:val="0061156E"/>
    <w:rsid w:val="00611572"/>
    <w:rsid w:val="006115DE"/>
    <w:rsid w:val="00611626"/>
    <w:rsid w:val="0061167D"/>
    <w:rsid w:val="00611696"/>
    <w:rsid w:val="006116B9"/>
    <w:rsid w:val="006116D5"/>
    <w:rsid w:val="006116D8"/>
    <w:rsid w:val="006116FA"/>
    <w:rsid w:val="0061171F"/>
    <w:rsid w:val="00611746"/>
    <w:rsid w:val="0061174C"/>
    <w:rsid w:val="00611757"/>
    <w:rsid w:val="00611790"/>
    <w:rsid w:val="006118A6"/>
    <w:rsid w:val="006118C2"/>
    <w:rsid w:val="006118F2"/>
    <w:rsid w:val="00611928"/>
    <w:rsid w:val="00611962"/>
    <w:rsid w:val="0061197D"/>
    <w:rsid w:val="006119C5"/>
    <w:rsid w:val="006119DE"/>
    <w:rsid w:val="00611A2D"/>
    <w:rsid w:val="00611A46"/>
    <w:rsid w:val="00611A97"/>
    <w:rsid w:val="00611B1E"/>
    <w:rsid w:val="00611B3D"/>
    <w:rsid w:val="00611B76"/>
    <w:rsid w:val="00611B83"/>
    <w:rsid w:val="00611CB4"/>
    <w:rsid w:val="00611CCD"/>
    <w:rsid w:val="00611D03"/>
    <w:rsid w:val="00611D12"/>
    <w:rsid w:val="00611D3B"/>
    <w:rsid w:val="00611D66"/>
    <w:rsid w:val="00611D69"/>
    <w:rsid w:val="00611D90"/>
    <w:rsid w:val="00611DB4"/>
    <w:rsid w:val="00611DC3"/>
    <w:rsid w:val="00611DD2"/>
    <w:rsid w:val="00611DF3"/>
    <w:rsid w:val="00611E17"/>
    <w:rsid w:val="00611E60"/>
    <w:rsid w:val="00611EC3"/>
    <w:rsid w:val="00611EE3"/>
    <w:rsid w:val="00611F3B"/>
    <w:rsid w:val="00611F3C"/>
    <w:rsid w:val="00611FCB"/>
    <w:rsid w:val="00611FE2"/>
    <w:rsid w:val="0061203D"/>
    <w:rsid w:val="0061204A"/>
    <w:rsid w:val="006120A6"/>
    <w:rsid w:val="006120DE"/>
    <w:rsid w:val="006120E5"/>
    <w:rsid w:val="006121A0"/>
    <w:rsid w:val="006121BD"/>
    <w:rsid w:val="006121FA"/>
    <w:rsid w:val="00612226"/>
    <w:rsid w:val="00612239"/>
    <w:rsid w:val="0061223F"/>
    <w:rsid w:val="00612264"/>
    <w:rsid w:val="006122AB"/>
    <w:rsid w:val="0061231D"/>
    <w:rsid w:val="0061232F"/>
    <w:rsid w:val="00612395"/>
    <w:rsid w:val="006123AB"/>
    <w:rsid w:val="006123C2"/>
    <w:rsid w:val="006123E6"/>
    <w:rsid w:val="006124B0"/>
    <w:rsid w:val="00612529"/>
    <w:rsid w:val="00612574"/>
    <w:rsid w:val="006125B9"/>
    <w:rsid w:val="00612672"/>
    <w:rsid w:val="0061269E"/>
    <w:rsid w:val="00612708"/>
    <w:rsid w:val="0061271F"/>
    <w:rsid w:val="00612728"/>
    <w:rsid w:val="0061274F"/>
    <w:rsid w:val="006127F5"/>
    <w:rsid w:val="0061286F"/>
    <w:rsid w:val="00612898"/>
    <w:rsid w:val="00612949"/>
    <w:rsid w:val="00612A05"/>
    <w:rsid w:val="00612A0A"/>
    <w:rsid w:val="00612A38"/>
    <w:rsid w:val="00612A61"/>
    <w:rsid w:val="00612AB8"/>
    <w:rsid w:val="00612B14"/>
    <w:rsid w:val="00612B58"/>
    <w:rsid w:val="00612BAC"/>
    <w:rsid w:val="00612BB3"/>
    <w:rsid w:val="00612BF3"/>
    <w:rsid w:val="00612BF9"/>
    <w:rsid w:val="00612C13"/>
    <w:rsid w:val="00612C59"/>
    <w:rsid w:val="00612CAD"/>
    <w:rsid w:val="00612CE5"/>
    <w:rsid w:val="00612D4B"/>
    <w:rsid w:val="00612DCC"/>
    <w:rsid w:val="00612EC7"/>
    <w:rsid w:val="00612EE5"/>
    <w:rsid w:val="00612EFF"/>
    <w:rsid w:val="00612F40"/>
    <w:rsid w:val="00612F66"/>
    <w:rsid w:val="00613099"/>
    <w:rsid w:val="006130A3"/>
    <w:rsid w:val="006130AA"/>
    <w:rsid w:val="006130CE"/>
    <w:rsid w:val="006130F2"/>
    <w:rsid w:val="00613100"/>
    <w:rsid w:val="00613128"/>
    <w:rsid w:val="0061313B"/>
    <w:rsid w:val="00613143"/>
    <w:rsid w:val="00613169"/>
    <w:rsid w:val="006131B3"/>
    <w:rsid w:val="006131B5"/>
    <w:rsid w:val="006131EA"/>
    <w:rsid w:val="006131F2"/>
    <w:rsid w:val="0061320E"/>
    <w:rsid w:val="00613296"/>
    <w:rsid w:val="006132A7"/>
    <w:rsid w:val="006132CD"/>
    <w:rsid w:val="00613312"/>
    <w:rsid w:val="00613340"/>
    <w:rsid w:val="00613384"/>
    <w:rsid w:val="00613394"/>
    <w:rsid w:val="0061339E"/>
    <w:rsid w:val="006133E0"/>
    <w:rsid w:val="006133EC"/>
    <w:rsid w:val="00613472"/>
    <w:rsid w:val="006134C2"/>
    <w:rsid w:val="006134D0"/>
    <w:rsid w:val="00613573"/>
    <w:rsid w:val="006135C5"/>
    <w:rsid w:val="00613609"/>
    <w:rsid w:val="006136CF"/>
    <w:rsid w:val="006136E6"/>
    <w:rsid w:val="0061379C"/>
    <w:rsid w:val="006137A5"/>
    <w:rsid w:val="006137A8"/>
    <w:rsid w:val="006137DC"/>
    <w:rsid w:val="00613809"/>
    <w:rsid w:val="0061384E"/>
    <w:rsid w:val="00613870"/>
    <w:rsid w:val="0061389B"/>
    <w:rsid w:val="006138B0"/>
    <w:rsid w:val="006138D6"/>
    <w:rsid w:val="006138E6"/>
    <w:rsid w:val="006138F2"/>
    <w:rsid w:val="0061394C"/>
    <w:rsid w:val="006139A2"/>
    <w:rsid w:val="006139BA"/>
    <w:rsid w:val="00613A78"/>
    <w:rsid w:val="00613A8F"/>
    <w:rsid w:val="00613AC0"/>
    <w:rsid w:val="00613AE1"/>
    <w:rsid w:val="00613B47"/>
    <w:rsid w:val="00613B67"/>
    <w:rsid w:val="00613B68"/>
    <w:rsid w:val="00613BDA"/>
    <w:rsid w:val="00613C35"/>
    <w:rsid w:val="00613C3D"/>
    <w:rsid w:val="00613D73"/>
    <w:rsid w:val="00613DA1"/>
    <w:rsid w:val="00613E3F"/>
    <w:rsid w:val="00613E4C"/>
    <w:rsid w:val="00613E68"/>
    <w:rsid w:val="00613E72"/>
    <w:rsid w:val="00613F12"/>
    <w:rsid w:val="00613FC3"/>
    <w:rsid w:val="00613FC8"/>
    <w:rsid w:val="00613FDD"/>
    <w:rsid w:val="00613FE0"/>
    <w:rsid w:val="00613FF5"/>
    <w:rsid w:val="00614001"/>
    <w:rsid w:val="00614005"/>
    <w:rsid w:val="006140A4"/>
    <w:rsid w:val="006140C7"/>
    <w:rsid w:val="006140E2"/>
    <w:rsid w:val="00614213"/>
    <w:rsid w:val="00614238"/>
    <w:rsid w:val="00614274"/>
    <w:rsid w:val="00614296"/>
    <w:rsid w:val="006142F1"/>
    <w:rsid w:val="00614337"/>
    <w:rsid w:val="00614345"/>
    <w:rsid w:val="0061434C"/>
    <w:rsid w:val="00614365"/>
    <w:rsid w:val="0061438B"/>
    <w:rsid w:val="00614421"/>
    <w:rsid w:val="0061442F"/>
    <w:rsid w:val="00614498"/>
    <w:rsid w:val="006144A9"/>
    <w:rsid w:val="00614513"/>
    <w:rsid w:val="006145C1"/>
    <w:rsid w:val="006145FE"/>
    <w:rsid w:val="0061463E"/>
    <w:rsid w:val="00614663"/>
    <w:rsid w:val="00614676"/>
    <w:rsid w:val="00614689"/>
    <w:rsid w:val="0061469A"/>
    <w:rsid w:val="006146B7"/>
    <w:rsid w:val="006146C9"/>
    <w:rsid w:val="00614707"/>
    <w:rsid w:val="00614834"/>
    <w:rsid w:val="00614839"/>
    <w:rsid w:val="00614858"/>
    <w:rsid w:val="006148A9"/>
    <w:rsid w:val="006148C1"/>
    <w:rsid w:val="00614924"/>
    <w:rsid w:val="0061492E"/>
    <w:rsid w:val="0061493F"/>
    <w:rsid w:val="0061494A"/>
    <w:rsid w:val="00614951"/>
    <w:rsid w:val="00614A35"/>
    <w:rsid w:val="00614A3E"/>
    <w:rsid w:val="00614A65"/>
    <w:rsid w:val="00614AF4"/>
    <w:rsid w:val="00614B0D"/>
    <w:rsid w:val="00614B7F"/>
    <w:rsid w:val="00614B9F"/>
    <w:rsid w:val="00614C3E"/>
    <w:rsid w:val="00614C3F"/>
    <w:rsid w:val="00614D1E"/>
    <w:rsid w:val="00614D5E"/>
    <w:rsid w:val="00614DC4"/>
    <w:rsid w:val="00614E07"/>
    <w:rsid w:val="00614E13"/>
    <w:rsid w:val="00614E26"/>
    <w:rsid w:val="00614E2C"/>
    <w:rsid w:val="00614E6B"/>
    <w:rsid w:val="00614E94"/>
    <w:rsid w:val="00614F10"/>
    <w:rsid w:val="00614F13"/>
    <w:rsid w:val="00614F18"/>
    <w:rsid w:val="00614F26"/>
    <w:rsid w:val="00614F41"/>
    <w:rsid w:val="00614F42"/>
    <w:rsid w:val="00614FA8"/>
    <w:rsid w:val="00614FF3"/>
    <w:rsid w:val="00615042"/>
    <w:rsid w:val="00615091"/>
    <w:rsid w:val="006150C0"/>
    <w:rsid w:val="00615150"/>
    <w:rsid w:val="00615163"/>
    <w:rsid w:val="0061517F"/>
    <w:rsid w:val="006151B7"/>
    <w:rsid w:val="006151C2"/>
    <w:rsid w:val="006152E6"/>
    <w:rsid w:val="00615329"/>
    <w:rsid w:val="006153E6"/>
    <w:rsid w:val="006153E9"/>
    <w:rsid w:val="006153EA"/>
    <w:rsid w:val="00615463"/>
    <w:rsid w:val="0061546A"/>
    <w:rsid w:val="006154EE"/>
    <w:rsid w:val="00615547"/>
    <w:rsid w:val="00615572"/>
    <w:rsid w:val="006155DC"/>
    <w:rsid w:val="00615626"/>
    <w:rsid w:val="0061562A"/>
    <w:rsid w:val="00615633"/>
    <w:rsid w:val="006156EC"/>
    <w:rsid w:val="00615756"/>
    <w:rsid w:val="00615770"/>
    <w:rsid w:val="006157D7"/>
    <w:rsid w:val="006157E7"/>
    <w:rsid w:val="00615839"/>
    <w:rsid w:val="00615878"/>
    <w:rsid w:val="00615881"/>
    <w:rsid w:val="006158F3"/>
    <w:rsid w:val="00615900"/>
    <w:rsid w:val="00615941"/>
    <w:rsid w:val="0061594C"/>
    <w:rsid w:val="00615977"/>
    <w:rsid w:val="0061597C"/>
    <w:rsid w:val="00615A0C"/>
    <w:rsid w:val="00615A25"/>
    <w:rsid w:val="00615A98"/>
    <w:rsid w:val="00615B21"/>
    <w:rsid w:val="00615BBB"/>
    <w:rsid w:val="00615BC3"/>
    <w:rsid w:val="00615BC7"/>
    <w:rsid w:val="00615C09"/>
    <w:rsid w:val="00615C25"/>
    <w:rsid w:val="00615C2B"/>
    <w:rsid w:val="00615CB6"/>
    <w:rsid w:val="00615CCB"/>
    <w:rsid w:val="00615CCD"/>
    <w:rsid w:val="00615CD5"/>
    <w:rsid w:val="00615CEA"/>
    <w:rsid w:val="00615D1F"/>
    <w:rsid w:val="00615D36"/>
    <w:rsid w:val="00615DB6"/>
    <w:rsid w:val="00615DC0"/>
    <w:rsid w:val="00615E39"/>
    <w:rsid w:val="00615E3F"/>
    <w:rsid w:val="00615E5D"/>
    <w:rsid w:val="00615EA4"/>
    <w:rsid w:val="00615EB8"/>
    <w:rsid w:val="00615EC3"/>
    <w:rsid w:val="00615EF2"/>
    <w:rsid w:val="00615FB4"/>
    <w:rsid w:val="00615FC5"/>
    <w:rsid w:val="00616016"/>
    <w:rsid w:val="0061601A"/>
    <w:rsid w:val="0061602B"/>
    <w:rsid w:val="00616052"/>
    <w:rsid w:val="00616060"/>
    <w:rsid w:val="00616069"/>
    <w:rsid w:val="00616089"/>
    <w:rsid w:val="006160B7"/>
    <w:rsid w:val="00616156"/>
    <w:rsid w:val="00616188"/>
    <w:rsid w:val="00616191"/>
    <w:rsid w:val="006161A0"/>
    <w:rsid w:val="006161C5"/>
    <w:rsid w:val="006163F6"/>
    <w:rsid w:val="006163FE"/>
    <w:rsid w:val="0061644D"/>
    <w:rsid w:val="006164C2"/>
    <w:rsid w:val="006164D4"/>
    <w:rsid w:val="006164F8"/>
    <w:rsid w:val="0061654D"/>
    <w:rsid w:val="00616591"/>
    <w:rsid w:val="006165ED"/>
    <w:rsid w:val="0061660E"/>
    <w:rsid w:val="0061663C"/>
    <w:rsid w:val="0061666D"/>
    <w:rsid w:val="006166E5"/>
    <w:rsid w:val="00616733"/>
    <w:rsid w:val="00616771"/>
    <w:rsid w:val="00616790"/>
    <w:rsid w:val="006167CD"/>
    <w:rsid w:val="006167E4"/>
    <w:rsid w:val="0061681F"/>
    <w:rsid w:val="00616895"/>
    <w:rsid w:val="006168B6"/>
    <w:rsid w:val="00616903"/>
    <w:rsid w:val="0061694B"/>
    <w:rsid w:val="0061696B"/>
    <w:rsid w:val="006169F7"/>
    <w:rsid w:val="00616A33"/>
    <w:rsid w:val="00616AA7"/>
    <w:rsid w:val="00616B40"/>
    <w:rsid w:val="00616B5A"/>
    <w:rsid w:val="00616CAD"/>
    <w:rsid w:val="00616CB6"/>
    <w:rsid w:val="00616CCE"/>
    <w:rsid w:val="00616CF9"/>
    <w:rsid w:val="00616D42"/>
    <w:rsid w:val="00616D61"/>
    <w:rsid w:val="00616D73"/>
    <w:rsid w:val="00616E10"/>
    <w:rsid w:val="00616E54"/>
    <w:rsid w:val="00616E81"/>
    <w:rsid w:val="00616EB8"/>
    <w:rsid w:val="00616EE2"/>
    <w:rsid w:val="00616F06"/>
    <w:rsid w:val="00616F2B"/>
    <w:rsid w:val="00616F5F"/>
    <w:rsid w:val="00616FDB"/>
    <w:rsid w:val="00617006"/>
    <w:rsid w:val="006170B8"/>
    <w:rsid w:val="006170B9"/>
    <w:rsid w:val="006170BC"/>
    <w:rsid w:val="006170EC"/>
    <w:rsid w:val="00617148"/>
    <w:rsid w:val="006171B0"/>
    <w:rsid w:val="00617224"/>
    <w:rsid w:val="0061723D"/>
    <w:rsid w:val="00617243"/>
    <w:rsid w:val="006172FA"/>
    <w:rsid w:val="00617329"/>
    <w:rsid w:val="0061735C"/>
    <w:rsid w:val="0061736B"/>
    <w:rsid w:val="0061738A"/>
    <w:rsid w:val="00617391"/>
    <w:rsid w:val="006173C4"/>
    <w:rsid w:val="006173DB"/>
    <w:rsid w:val="0061743F"/>
    <w:rsid w:val="0061745D"/>
    <w:rsid w:val="0061747D"/>
    <w:rsid w:val="00617482"/>
    <w:rsid w:val="0061749C"/>
    <w:rsid w:val="0061749E"/>
    <w:rsid w:val="006174DA"/>
    <w:rsid w:val="006174FF"/>
    <w:rsid w:val="00617525"/>
    <w:rsid w:val="0061757C"/>
    <w:rsid w:val="00617591"/>
    <w:rsid w:val="006175C1"/>
    <w:rsid w:val="006175D3"/>
    <w:rsid w:val="00617607"/>
    <w:rsid w:val="00617640"/>
    <w:rsid w:val="0061764D"/>
    <w:rsid w:val="00617695"/>
    <w:rsid w:val="006176A8"/>
    <w:rsid w:val="006176B1"/>
    <w:rsid w:val="006176D1"/>
    <w:rsid w:val="0061771D"/>
    <w:rsid w:val="00617736"/>
    <w:rsid w:val="0061778A"/>
    <w:rsid w:val="006177E8"/>
    <w:rsid w:val="00617808"/>
    <w:rsid w:val="00617829"/>
    <w:rsid w:val="0061785E"/>
    <w:rsid w:val="006178BA"/>
    <w:rsid w:val="006178FE"/>
    <w:rsid w:val="00617958"/>
    <w:rsid w:val="0061797C"/>
    <w:rsid w:val="0061799A"/>
    <w:rsid w:val="006179AC"/>
    <w:rsid w:val="006179EA"/>
    <w:rsid w:val="00617A3E"/>
    <w:rsid w:val="00617AA4"/>
    <w:rsid w:val="00617B15"/>
    <w:rsid w:val="00617B16"/>
    <w:rsid w:val="00617B73"/>
    <w:rsid w:val="00617BD0"/>
    <w:rsid w:val="00617BEB"/>
    <w:rsid w:val="00617C17"/>
    <w:rsid w:val="00617C22"/>
    <w:rsid w:val="00617CB6"/>
    <w:rsid w:val="00617CD5"/>
    <w:rsid w:val="00617CFD"/>
    <w:rsid w:val="00617D0A"/>
    <w:rsid w:val="00617D2F"/>
    <w:rsid w:val="00617E80"/>
    <w:rsid w:val="00617EEC"/>
    <w:rsid w:val="00617F9A"/>
    <w:rsid w:val="00617F9F"/>
    <w:rsid w:val="00617FD7"/>
    <w:rsid w:val="00620001"/>
    <w:rsid w:val="006200E2"/>
    <w:rsid w:val="0062011A"/>
    <w:rsid w:val="0062012D"/>
    <w:rsid w:val="00620206"/>
    <w:rsid w:val="00620215"/>
    <w:rsid w:val="0062021A"/>
    <w:rsid w:val="00620298"/>
    <w:rsid w:val="006202C4"/>
    <w:rsid w:val="006202EB"/>
    <w:rsid w:val="006203CF"/>
    <w:rsid w:val="0062040B"/>
    <w:rsid w:val="00620462"/>
    <w:rsid w:val="00620478"/>
    <w:rsid w:val="006204A7"/>
    <w:rsid w:val="006204DC"/>
    <w:rsid w:val="006204F2"/>
    <w:rsid w:val="00620576"/>
    <w:rsid w:val="0062059E"/>
    <w:rsid w:val="0062061C"/>
    <w:rsid w:val="00620644"/>
    <w:rsid w:val="00620680"/>
    <w:rsid w:val="00620707"/>
    <w:rsid w:val="0062070E"/>
    <w:rsid w:val="0062071A"/>
    <w:rsid w:val="0062074C"/>
    <w:rsid w:val="006207D7"/>
    <w:rsid w:val="006207FE"/>
    <w:rsid w:val="00620808"/>
    <w:rsid w:val="00620852"/>
    <w:rsid w:val="00620952"/>
    <w:rsid w:val="006209E2"/>
    <w:rsid w:val="00620A06"/>
    <w:rsid w:val="00620A0D"/>
    <w:rsid w:val="00620A2D"/>
    <w:rsid w:val="00620A5F"/>
    <w:rsid w:val="00620A66"/>
    <w:rsid w:val="00620A95"/>
    <w:rsid w:val="00620ADC"/>
    <w:rsid w:val="00620B1F"/>
    <w:rsid w:val="00620B2A"/>
    <w:rsid w:val="00620B4A"/>
    <w:rsid w:val="00620BAA"/>
    <w:rsid w:val="00620C30"/>
    <w:rsid w:val="00620C3A"/>
    <w:rsid w:val="00620C85"/>
    <w:rsid w:val="00620CCE"/>
    <w:rsid w:val="00620CE3"/>
    <w:rsid w:val="00620D3F"/>
    <w:rsid w:val="00620D50"/>
    <w:rsid w:val="00620FC5"/>
    <w:rsid w:val="00620FE2"/>
    <w:rsid w:val="00621012"/>
    <w:rsid w:val="00621014"/>
    <w:rsid w:val="00621038"/>
    <w:rsid w:val="0062104C"/>
    <w:rsid w:val="00621085"/>
    <w:rsid w:val="00621154"/>
    <w:rsid w:val="006211B3"/>
    <w:rsid w:val="006211C0"/>
    <w:rsid w:val="006211E8"/>
    <w:rsid w:val="006211E9"/>
    <w:rsid w:val="006211F8"/>
    <w:rsid w:val="006211FB"/>
    <w:rsid w:val="00621200"/>
    <w:rsid w:val="00621217"/>
    <w:rsid w:val="0062121D"/>
    <w:rsid w:val="0062123C"/>
    <w:rsid w:val="0062125B"/>
    <w:rsid w:val="0062128C"/>
    <w:rsid w:val="006212F0"/>
    <w:rsid w:val="00621333"/>
    <w:rsid w:val="006213A6"/>
    <w:rsid w:val="00621416"/>
    <w:rsid w:val="00621429"/>
    <w:rsid w:val="00621432"/>
    <w:rsid w:val="00621438"/>
    <w:rsid w:val="00621489"/>
    <w:rsid w:val="006214A6"/>
    <w:rsid w:val="006214E3"/>
    <w:rsid w:val="00621504"/>
    <w:rsid w:val="00621509"/>
    <w:rsid w:val="00621527"/>
    <w:rsid w:val="00621533"/>
    <w:rsid w:val="006215BB"/>
    <w:rsid w:val="0062163C"/>
    <w:rsid w:val="00621654"/>
    <w:rsid w:val="0062166A"/>
    <w:rsid w:val="006216CB"/>
    <w:rsid w:val="006216E0"/>
    <w:rsid w:val="00621732"/>
    <w:rsid w:val="0062174C"/>
    <w:rsid w:val="00621796"/>
    <w:rsid w:val="0062179F"/>
    <w:rsid w:val="006217B2"/>
    <w:rsid w:val="006217C3"/>
    <w:rsid w:val="006217E8"/>
    <w:rsid w:val="0062180E"/>
    <w:rsid w:val="0062183B"/>
    <w:rsid w:val="00621843"/>
    <w:rsid w:val="0062185B"/>
    <w:rsid w:val="006218BC"/>
    <w:rsid w:val="006218EB"/>
    <w:rsid w:val="00621B46"/>
    <w:rsid w:val="00621B58"/>
    <w:rsid w:val="00621C70"/>
    <w:rsid w:val="00621C7C"/>
    <w:rsid w:val="00621CA4"/>
    <w:rsid w:val="00621CA9"/>
    <w:rsid w:val="00621CB2"/>
    <w:rsid w:val="00621CB7"/>
    <w:rsid w:val="00621CCB"/>
    <w:rsid w:val="00621CE3"/>
    <w:rsid w:val="00621CFD"/>
    <w:rsid w:val="00621D57"/>
    <w:rsid w:val="00621D65"/>
    <w:rsid w:val="00621DD9"/>
    <w:rsid w:val="00621DE9"/>
    <w:rsid w:val="00621DEB"/>
    <w:rsid w:val="00621E03"/>
    <w:rsid w:val="00621F29"/>
    <w:rsid w:val="00621F3D"/>
    <w:rsid w:val="00621F6C"/>
    <w:rsid w:val="00621F9A"/>
    <w:rsid w:val="00621FA0"/>
    <w:rsid w:val="00621FCF"/>
    <w:rsid w:val="00622005"/>
    <w:rsid w:val="00622012"/>
    <w:rsid w:val="00622053"/>
    <w:rsid w:val="006220A7"/>
    <w:rsid w:val="006220E9"/>
    <w:rsid w:val="006220FC"/>
    <w:rsid w:val="0062216B"/>
    <w:rsid w:val="00622173"/>
    <w:rsid w:val="00622179"/>
    <w:rsid w:val="0062217D"/>
    <w:rsid w:val="006221E3"/>
    <w:rsid w:val="00622201"/>
    <w:rsid w:val="00622239"/>
    <w:rsid w:val="006222D4"/>
    <w:rsid w:val="006222F7"/>
    <w:rsid w:val="0062230B"/>
    <w:rsid w:val="00622338"/>
    <w:rsid w:val="006223AA"/>
    <w:rsid w:val="006223C8"/>
    <w:rsid w:val="00622455"/>
    <w:rsid w:val="0062245F"/>
    <w:rsid w:val="006224E4"/>
    <w:rsid w:val="00622523"/>
    <w:rsid w:val="006225B0"/>
    <w:rsid w:val="006225B7"/>
    <w:rsid w:val="00622607"/>
    <w:rsid w:val="0062263E"/>
    <w:rsid w:val="00622791"/>
    <w:rsid w:val="006227A4"/>
    <w:rsid w:val="00622803"/>
    <w:rsid w:val="00622818"/>
    <w:rsid w:val="0062283B"/>
    <w:rsid w:val="00622870"/>
    <w:rsid w:val="00622895"/>
    <w:rsid w:val="006228C4"/>
    <w:rsid w:val="006228EE"/>
    <w:rsid w:val="0062291B"/>
    <w:rsid w:val="00622995"/>
    <w:rsid w:val="006229D3"/>
    <w:rsid w:val="006229D7"/>
    <w:rsid w:val="00622A09"/>
    <w:rsid w:val="00622A3C"/>
    <w:rsid w:val="00622A56"/>
    <w:rsid w:val="00622A58"/>
    <w:rsid w:val="00622AAF"/>
    <w:rsid w:val="00622B1C"/>
    <w:rsid w:val="00622B4A"/>
    <w:rsid w:val="00622B53"/>
    <w:rsid w:val="00622B61"/>
    <w:rsid w:val="00622B81"/>
    <w:rsid w:val="00622BA8"/>
    <w:rsid w:val="00622BB4"/>
    <w:rsid w:val="00622BCC"/>
    <w:rsid w:val="00622C0A"/>
    <w:rsid w:val="00622C51"/>
    <w:rsid w:val="00622C83"/>
    <w:rsid w:val="00622CFB"/>
    <w:rsid w:val="00622DA5"/>
    <w:rsid w:val="00622DE4"/>
    <w:rsid w:val="00622DF6"/>
    <w:rsid w:val="00622E5A"/>
    <w:rsid w:val="00622E98"/>
    <w:rsid w:val="00622EAD"/>
    <w:rsid w:val="00622EEF"/>
    <w:rsid w:val="00622F14"/>
    <w:rsid w:val="00622F33"/>
    <w:rsid w:val="00622FB9"/>
    <w:rsid w:val="0062301F"/>
    <w:rsid w:val="0062303A"/>
    <w:rsid w:val="00623069"/>
    <w:rsid w:val="006230EE"/>
    <w:rsid w:val="00623111"/>
    <w:rsid w:val="0062312D"/>
    <w:rsid w:val="00623161"/>
    <w:rsid w:val="0062327B"/>
    <w:rsid w:val="0062327C"/>
    <w:rsid w:val="006232C0"/>
    <w:rsid w:val="00623309"/>
    <w:rsid w:val="00623317"/>
    <w:rsid w:val="0062333B"/>
    <w:rsid w:val="00623348"/>
    <w:rsid w:val="0062337A"/>
    <w:rsid w:val="00623398"/>
    <w:rsid w:val="006233A7"/>
    <w:rsid w:val="006233D6"/>
    <w:rsid w:val="006233E6"/>
    <w:rsid w:val="00623460"/>
    <w:rsid w:val="006234A2"/>
    <w:rsid w:val="006234CE"/>
    <w:rsid w:val="0062353F"/>
    <w:rsid w:val="0062355C"/>
    <w:rsid w:val="00623591"/>
    <w:rsid w:val="006235AC"/>
    <w:rsid w:val="0062366A"/>
    <w:rsid w:val="0062367C"/>
    <w:rsid w:val="0062369D"/>
    <w:rsid w:val="006236E5"/>
    <w:rsid w:val="0062377F"/>
    <w:rsid w:val="00623797"/>
    <w:rsid w:val="006237AA"/>
    <w:rsid w:val="006237DE"/>
    <w:rsid w:val="00623814"/>
    <w:rsid w:val="0062386B"/>
    <w:rsid w:val="00623878"/>
    <w:rsid w:val="006238FF"/>
    <w:rsid w:val="00623928"/>
    <w:rsid w:val="00623969"/>
    <w:rsid w:val="00623985"/>
    <w:rsid w:val="0062398C"/>
    <w:rsid w:val="00623997"/>
    <w:rsid w:val="006239D4"/>
    <w:rsid w:val="006239DB"/>
    <w:rsid w:val="006239EE"/>
    <w:rsid w:val="00623A19"/>
    <w:rsid w:val="00623A6C"/>
    <w:rsid w:val="00623A6D"/>
    <w:rsid w:val="00623AB2"/>
    <w:rsid w:val="00623AD9"/>
    <w:rsid w:val="00623B25"/>
    <w:rsid w:val="00623C16"/>
    <w:rsid w:val="00623CAD"/>
    <w:rsid w:val="00623CE4"/>
    <w:rsid w:val="00623D28"/>
    <w:rsid w:val="00623D5D"/>
    <w:rsid w:val="00623D8E"/>
    <w:rsid w:val="00623DE2"/>
    <w:rsid w:val="00623DED"/>
    <w:rsid w:val="00623E01"/>
    <w:rsid w:val="00623E5C"/>
    <w:rsid w:val="00623F08"/>
    <w:rsid w:val="00623FAB"/>
    <w:rsid w:val="00623FC8"/>
    <w:rsid w:val="00623FCF"/>
    <w:rsid w:val="00624073"/>
    <w:rsid w:val="006240AC"/>
    <w:rsid w:val="006240D4"/>
    <w:rsid w:val="006240F6"/>
    <w:rsid w:val="00624135"/>
    <w:rsid w:val="00624149"/>
    <w:rsid w:val="00624155"/>
    <w:rsid w:val="00624175"/>
    <w:rsid w:val="00624242"/>
    <w:rsid w:val="006242D1"/>
    <w:rsid w:val="006242D9"/>
    <w:rsid w:val="0062430E"/>
    <w:rsid w:val="0062433D"/>
    <w:rsid w:val="0062442E"/>
    <w:rsid w:val="0062445A"/>
    <w:rsid w:val="00624461"/>
    <w:rsid w:val="00624484"/>
    <w:rsid w:val="006244EA"/>
    <w:rsid w:val="00624549"/>
    <w:rsid w:val="0062454F"/>
    <w:rsid w:val="00624596"/>
    <w:rsid w:val="006245AB"/>
    <w:rsid w:val="006245B2"/>
    <w:rsid w:val="006245C8"/>
    <w:rsid w:val="006245C9"/>
    <w:rsid w:val="0062468B"/>
    <w:rsid w:val="006246D2"/>
    <w:rsid w:val="00624718"/>
    <w:rsid w:val="00624742"/>
    <w:rsid w:val="00624786"/>
    <w:rsid w:val="0062481F"/>
    <w:rsid w:val="00624864"/>
    <w:rsid w:val="0062488E"/>
    <w:rsid w:val="006248CA"/>
    <w:rsid w:val="006248EB"/>
    <w:rsid w:val="0062490C"/>
    <w:rsid w:val="00624955"/>
    <w:rsid w:val="006249E0"/>
    <w:rsid w:val="00624AC1"/>
    <w:rsid w:val="00624B17"/>
    <w:rsid w:val="00624B34"/>
    <w:rsid w:val="00624B67"/>
    <w:rsid w:val="00624BAA"/>
    <w:rsid w:val="00624BB3"/>
    <w:rsid w:val="00624BD2"/>
    <w:rsid w:val="00624C51"/>
    <w:rsid w:val="00624CDB"/>
    <w:rsid w:val="00624CF4"/>
    <w:rsid w:val="00624CFE"/>
    <w:rsid w:val="00624D17"/>
    <w:rsid w:val="00624D6D"/>
    <w:rsid w:val="00624D80"/>
    <w:rsid w:val="00624D93"/>
    <w:rsid w:val="00624DDF"/>
    <w:rsid w:val="00624DF0"/>
    <w:rsid w:val="00624E03"/>
    <w:rsid w:val="00624E33"/>
    <w:rsid w:val="00624ECF"/>
    <w:rsid w:val="00624EE1"/>
    <w:rsid w:val="00624F0D"/>
    <w:rsid w:val="00624F10"/>
    <w:rsid w:val="00624F25"/>
    <w:rsid w:val="00624F35"/>
    <w:rsid w:val="00624F5D"/>
    <w:rsid w:val="006250A7"/>
    <w:rsid w:val="006250CA"/>
    <w:rsid w:val="006250E4"/>
    <w:rsid w:val="0062515C"/>
    <w:rsid w:val="00625167"/>
    <w:rsid w:val="006251C0"/>
    <w:rsid w:val="006251EF"/>
    <w:rsid w:val="006251F7"/>
    <w:rsid w:val="00625254"/>
    <w:rsid w:val="0062525E"/>
    <w:rsid w:val="00625278"/>
    <w:rsid w:val="006252A3"/>
    <w:rsid w:val="006252CA"/>
    <w:rsid w:val="0062530B"/>
    <w:rsid w:val="0062534F"/>
    <w:rsid w:val="0062537A"/>
    <w:rsid w:val="00625406"/>
    <w:rsid w:val="00625422"/>
    <w:rsid w:val="0062542A"/>
    <w:rsid w:val="00625445"/>
    <w:rsid w:val="00625449"/>
    <w:rsid w:val="0062546B"/>
    <w:rsid w:val="00625494"/>
    <w:rsid w:val="006254E6"/>
    <w:rsid w:val="006255D3"/>
    <w:rsid w:val="0062561D"/>
    <w:rsid w:val="00625631"/>
    <w:rsid w:val="00625775"/>
    <w:rsid w:val="0062578A"/>
    <w:rsid w:val="00625814"/>
    <w:rsid w:val="00625887"/>
    <w:rsid w:val="006258B5"/>
    <w:rsid w:val="006258DC"/>
    <w:rsid w:val="0062590B"/>
    <w:rsid w:val="00625985"/>
    <w:rsid w:val="0062598E"/>
    <w:rsid w:val="006259B3"/>
    <w:rsid w:val="00625A42"/>
    <w:rsid w:val="00625ADF"/>
    <w:rsid w:val="00625B09"/>
    <w:rsid w:val="00625B86"/>
    <w:rsid w:val="00625BF4"/>
    <w:rsid w:val="00625BFE"/>
    <w:rsid w:val="00625C25"/>
    <w:rsid w:val="00625C54"/>
    <w:rsid w:val="00625C9D"/>
    <w:rsid w:val="00625CDC"/>
    <w:rsid w:val="00625CE4"/>
    <w:rsid w:val="00625D08"/>
    <w:rsid w:val="00625DEA"/>
    <w:rsid w:val="00625DF2"/>
    <w:rsid w:val="00625E24"/>
    <w:rsid w:val="00625E45"/>
    <w:rsid w:val="00625E69"/>
    <w:rsid w:val="00625E84"/>
    <w:rsid w:val="00625E8D"/>
    <w:rsid w:val="00625EAD"/>
    <w:rsid w:val="00625EC3"/>
    <w:rsid w:val="00625EFF"/>
    <w:rsid w:val="00625F35"/>
    <w:rsid w:val="00625FEA"/>
    <w:rsid w:val="00625FF1"/>
    <w:rsid w:val="00625FFB"/>
    <w:rsid w:val="00626000"/>
    <w:rsid w:val="00626001"/>
    <w:rsid w:val="0062604B"/>
    <w:rsid w:val="00626053"/>
    <w:rsid w:val="0062607C"/>
    <w:rsid w:val="0062608D"/>
    <w:rsid w:val="006260E3"/>
    <w:rsid w:val="006260EF"/>
    <w:rsid w:val="00626110"/>
    <w:rsid w:val="00626178"/>
    <w:rsid w:val="006261AB"/>
    <w:rsid w:val="006261C3"/>
    <w:rsid w:val="00626284"/>
    <w:rsid w:val="006262A6"/>
    <w:rsid w:val="006262B9"/>
    <w:rsid w:val="00626305"/>
    <w:rsid w:val="006263AA"/>
    <w:rsid w:val="006263AC"/>
    <w:rsid w:val="006263C0"/>
    <w:rsid w:val="0062645D"/>
    <w:rsid w:val="006264E2"/>
    <w:rsid w:val="0062658F"/>
    <w:rsid w:val="006265E9"/>
    <w:rsid w:val="006265FE"/>
    <w:rsid w:val="00626631"/>
    <w:rsid w:val="00626644"/>
    <w:rsid w:val="0062668C"/>
    <w:rsid w:val="006266D4"/>
    <w:rsid w:val="006266E2"/>
    <w:rsid w:val="0062672C"/>
    <w:rsid w:val="00626760"/>
    <w:rsid w:val="0062679D"/>
    <w:rsid w:val="006267D3"/>
    <w:rsid w:val="006267DA"/>
    <w:rsid w:val="0062684C"/>
    <w:rsid w:val="0062685B"/>
    <w:rsid w:val="006268A1"/>
    <w:rsid w:val="006268AA"/>
    <w:rsid w:val="006268B2"/>
    <w:rsid w:val="0062693D"/>
    <w:rsid w:val="006269BF"/>
    <w:rsid w:val="00626A07"/>
    <w:rsid w:val="00626A3D"/>
    <w:rsid w:val="00626B55"/>
    <w:rsid w:val="00626B75"/>
    <w:rsid w:val="00626B90"/>
    <w:rsid w:val="00626CAB"/>
    <w:rsid w:val="00626DB0"/>
    <w:rsid w:val="00626DC0"/>
    <w:rsid w:val="00626E5A"/>
    <w:rsid w:val="00626EAE"/>
    <w:rsid w:val="00626F15"/>
    <w:rsid w:val="00626F62"/>
    <w:rsid w:val="00626F64"/>
    <w:rsid w:val="00626FB0"/>
    <w:rsid w:val="00627029"/>
    <w:rsid w:val="00627035"/>
    <w:rsid w:val="00627049"/>
    <w:rsid w:val="00627095"/>
    <w:rsid w:val="0062709F"/>
    <w:rsid w:val="00627109"/>
    <w:rsid w:val="00627138"/>
    <w:rsid w:val="00627168"/>
    <w:rsid w:val="006271F4"/>
    <w:rsid w:val="006271FD"/>
    <w:rsid w:val="00627225"/>
    <w:rsid w:val="006272D6"/>
    <w:rsid w:val="006272E3"/>
    <w:rsid w:val="0062733C"/>
    <w:rsid w:val="00627391"/>
    <w:rsid w:val="0062739E"/>
    <w:rsid w:val="0062747E"/>
    <w:rsid w:val="00627517"/>
    <w:rsid w:val="0062754A"/>
    <w:rsid w:val="00627561"/>
    <w:rsid w:val="006275BC"/>
    <w:rsid w:val="006275C7"/>
    <w:rsid w:val="006275D4"/>
    <w:rsid w:val="00627614"/>
    <w:rsid w:val="0062768D"/>
    <w:rsid w:val="00627693"/>
    <w:rsid w:val="006276B5"/>
    <w:rsid w:val="006276F1"/>
    <w:rsid w:val="00627716"/>
    <w:rsid w:val="006277BF"/>
    <w:rsid w:val="006277D9"/>
    <w:rsid w:val="00627804"/>
    <w:rsid w:val="0062782F"/>
    <w:rsid w:val="00627845"/>
    <w:rsid w:val="006278DD"/>
    <w:rsid w:val="006278F1"/>
    <w:rsid w:val="00627915"/>
    <w:rsid w:val="0062791D"/>
    <w:rsid w:val="00627989"/>
    <w:rsid w:val="00627998"/>
    <w:rsid w:val="006279B4"/>
    <w:rsid w:val="006279B6"/>
    <w:rsid w:val="006279E6"/>
    <w:rsid w:val="006279FB"/>
    <w:rsid w:val="00627B40"/>
    <w:rsid w:val="00627B8D"/>
    <w:rsid w:val="00627C2E"/>
    <w:rsid w:val="00627C57"/>
    <w:rsid w:val="00627C92"/>
    <w:rsid w:val="00627CA3"/>
    <w:rsid w:val="00627CC5"/>
    <w:rsid w:val="00627D4B"/>
    <w:rsid w:val="00627D85"/>
    <w:rsid w:val="00627D9B"/>
    <w:rsid w:val="00627E07"/>
    <w:rsid w:val="00627ECA"/>
    <w:rsid w:val="00627EEF"/>
    <w:rsid w:val="00627F11"/>
    <w:rsid w:val="00627F47"/>
    <w:rsid w:val="00627F48"/>
    <w:rsid w:val="00627F4E"/>
    <w:rsid w:val="00627F57"/>
    <w:rsid w:val="00627F61"/>
    <w:rsid w:val="00627FBC"/>
    <w:rsid w:val="00630038"/>
    <w:rsid w:val="0063003A"/>
    <w:rsid w:val="00630043"/>
    <w:rsid w:val="00630063"/>
    <w:rsid w:val="006300D0"/>
    <w:rsid w:val="006300D8"/>
    <w:rsid w:val="006300EE"/>
    <w:rsid w:val="0063010F"/>
    <w:rsid w:val="00630124"/>
    <w:rsid w:val="00630177"/>
    <w:rsid w:val="0063017C"/>
    <w:rsid w:val="0063018A"/>
    <w:rsid w:val="0063020A"/>
    <w:rsid w:val="00630279"/>
    <w:rsid w:val="00630297"/>
    <w:rsid w:val="006302AE"/>
    <w:rsid w:val="0063030E"/>
    <w:rsid w:val="00630326"/>
    <w:rsid w:val="00630345"/>
    <w:rsid w:val="00630349"/>
    <w:rsid w:val="0063036D"/>
    <w:rsid w:val="0063037A"/>
    <w:rsid w:val="006303AE"/>
    <w:rsid w:val="00630493"/>
    <w:rsid w:val="006304BD"/>
    <w:rsid w:val="006304CD"/>
    <w:rsid w:val="006304DC"/>
    <w:rsid w:val="0063056A"/>
    <w:rsid w:val="006305B9"/>
    <w:rsid w:val="006305D8"/>
    <w:rsid w:val="006305F5"/>
    <w:rsid w:val="00630701"/>
    <w:rsid w:val="0063070F"/>
    <w:rsid w:val="00630713"/>
    <w:rsid w:val="00630722"/>
    <w:rsid w:val="0063075E"/>
    <w:rsid w:val="006307BD"/>
    <w:rsid w:val="00630825"/>
    <w:rsid w:val="0063082B"/>
    <w:rsid w:val="0063084B"/>
    <w:rsid w:val="00630880"/>
    <w:rsid w:val="0063088E"/>
    <w:rsid w:val="00630904"/>
    <w:rsid w:val="006309C0"/>
    <w:rsid w:val="006309C5"/>
    <w:rsid w:val="00630A25"/>
    <w:rsid w:val="00630A6B"/>
    <w:rsid w:val="00630A90"/>
    <w:rsid w:val="00630B73"/>
    <w:rsid w:val="00630B99"/>
    <w:rsid w:val="00630BAB"/>
    <w:rsid w:val="00630BBA"/>
    <w:rsid w:val="00630BFB"/>
    <w:rsid w:val="00630C01"/>
    <w:rsid w:val="00630C42"/>
    <w:rsid w:val="00630CD2"/>
    <w:rsid w:val="00630D49"/>
    <w:rsid w:val="00630D4B"/>
    <w:rsid w:val="00630E07"/>
    <w:rsid w:val="00630E65"/>
    <w:rsid w:val="00630F18"/>
    <w:rsid w:val="00630F3A"/>
    <w:rsid w:val="00630F5C"/>
    <w:rsid w:val="00630F92"/>
    <w:rsid w:val="00630FBC"/>
    <w:rsid w:val="00630FF5"/>
    <w:rsid w:val="00631037"/>
    <w:rsid w:val="00631039"/>
    <w:rsid w:val="006310C1"/>
    <w:rsid w:val="00631142"/>
    <w:rsid w:val="0063116B"/>
    <w:rsid w:val="00631190"/>
    <w:rsid w:val="006311FA"/>
    <w:rsid w:val="0063120A"/>
    <w:rsid w:val="0063127C"/>
    <w:rsid w:val="0063128B"/>
    <w:rsid w:val="006312C0"/>
    <w:rsid w:val="00631327"/>
    <w:rsid w:val="006313BA"/>
    <w:rsid w:val="00631442"/>
    <w:rsid w:val="0063144B"/>
    <w:rsid w:val="00631490"/>
    <w:rsid w:val="00631497"/>
    <w:rsid w:val="006314C9"/>
    <w:rsid w:val="006314F6"/>
    <w:rsid w:val="0063150B"/>
    <w:rsid w:val="0063152F"/>
    <w:rsid w:val="00631534"/>
    <w:rsid w:val="00631568"/>
    <w:rsid w:val="00631581"/>
    <w:rsid w:val="0063158E"/>
    <w:rsid w:val="006315D5"/>
    <w:rsid w:val="0063164C"/>
    <w:rsid w:val="00631671"/>
    <w:rsid w:val="00631683"/>
    <w:rsid w:val="006316AD"/>
    <w:rsid w:val="006316E0"/>
    <w:rsid w:val="0063170D"/>
    <w:rsid w:val="00631737"/>
    <w:rsid w:val="00631774"/>
    <w:rsid w:val="00631786"/>
    <w:rsid w:val="00631827"/>
    <w:rsid w:val="006318A3"/>
    <w:rsid w:val="006319BF"/>
    <w:rsid w:val="006319E3"/>
    <w:rsid w:val="00631AE7"/>
    <w:rsid w:val="00631B1D"/>
    <w:rsid w:val="00631B72"/>
    <w:rsid w:val="00631B7B"/>
    <w:rsid w:val="00631BB4"/>
    <w:rsid w:val="00631BC0"/>
    <w:rsid w:val="00631BE4"/>
    <w:rsid w:val="00631CCE"/>
    <w:rsid w:val="00631CFC"/>
    <w:rsid w:val="00631D04"/>
    <w:rsid w:val="00631DC5"/>
    <w:rsid w:val="00631DDD"/>
    <w:rsid w:val="00631E25"/>
    <w:rsid w:val="00631E76"/>
    <w:rsid w:val="00631EBE"/>
    <w:rsid w:val="00631F39"/>
    <w:rsid w:val="00631F56"/>
    <w:rsid w:val="00631F69"/>
    <w:rsid w:val="00631F7C"/>
    <w:rsid w:val="00631FD1"/>
    <w:rsid w:val="00631FD2"/>
    <w:rsid w:val="00631FF0"/>
    <w:rsid w:val="00632072"/>
    <w:rsid w:val="006320B0"/>
    <w:rsid w:val="006320C9"/>
    <w:rsid w:val="006320FC"/>
    <w:rsid w:val="0063210E"/>
    <w:rsid w:val="00632135"/>
    <w:rsid w:val="00632140"/>
    <w:rsid w:val="00632159"/>
    <w:rsid w:val="00632166"/>
    <w:rsid w:val="006321A9"/>
    <w:rsid w:val="006321EB"/>
    <w:rsid w:val="00632210"/>
    <w:rsid w:val="00632215"/>
    <w:rsid w:val="00632239"/>
    <w:rsid w:val="0063223F"/>
    <w:rsid w:val="0063229D"/>
    <w:rsid w:val="00632304"/>
    <w:rsid w:val="0063234D"/>
    <w:rsid w:val="00632392"/>
    <w:rsid w:val="006323C1"/>
    <w:rsid w:val="006323F3"/>
    <w:rsid w:val="006323FC"/>
    <w:rsid w:val="00632418"/>
    <w:rsid w:val="00632458"/>
    <w:rsid w:val="0063245D"/>
    <w:rsid w:val="006324AD"/>
    <w:rsid w:val="0063254E"/>
    <w:rsid w:val="00632550"/>
    <w:rsid w:val="006325AE"/>
    <w:rsid w:val="006325D0"/>
    <w:rsid w:val="00632633"/>
    <w:rsid w:val="0063264B"/>
    <w:rsid w:val="006326A1"/>
    <w:rsid w:val="006326FA"/>
    <w:rsid w:val="00632796"/>
    <w:rsid w:val="006327DE"/>
    <w:rsid w:val="006328B1"/>
    <w:rsid w:val="006328D2"/>
    <w:rsid w:val="00632918"/>
    <w:rsid w:val="00632921"/>
    <w:rsid w:val="00632926"/>
    <w:rsid w:val="0063292B"/>
    <w:rsid w:val="0063296F"/>
    <w:rsid w:val="006329DE"/>
    <w:rsid w:val="00632A31"/>
    <w:rsid w:val="00632A70"/>
    <w:rsid w:val="00632A77"/>
    <w:rsid w:val="00632AD8"/>
    <w:rsid w:val="00632B59"/>
    <w:rsid w:val="00632C0E"/>
    <w:rsid w:val="00632C1E"/>
    <w:rsid w:val="00632CA1"/>
    <w:rsid w:val="00632CA5"/>
    <w:rsid w:val="00632CA9"/>
    <w:rsid w:val="00632CDB"/>
    <w:rsid w:val="00632D11"/>
    <w:rsid w:val="00632D41"/>
    <w:rsid w:val="00632D85"/>
    <w:rsid w:val="00632DB1"/>
    <w:rsid w:val="00632DD3"/>
    <w:rsid w:val="00632DD7"/>
    <w:rsid w:val="00632DD8"/>
    <w:rsid w:val="00632DEB"/>
    <w:rsid w:val="00632E02"/>
    <w:rsid w:val="00632E18"/>
    <w:rsid w:val="00632E94"/>
    <w:rsid w:val="00632EF0"/>
    <w:rsid w:val="00632F34"/>
    <w:rsid w:val="00632F86"/>
    <w:rsid w:val="00632F98"/>
    <w:rsid w:val="00633050"/>
    <w:rsid w:val="00633075"/>
    <w:rsid w:val="00633078"/>
    <w:rsid w:val="006330DA"/>
    <w:rsid w:val="006330F2"/>
    <w:rsid w:val="00633123"/>
    <w:rsid w:val="00633160"/>
    <w:rsid w:val="0063317A"/>
    <w:rsid w:val="00633184"/>
    <w:rsid w:val="0063318D"/>
    <w:rsid w:val="00633197"/>
    <w:rsid w:val="0063324B"/>
    <w:rsid w:val="0063328B"/>
    <w:rsid w:val="006332E9"/>
    <w:rsid w:val="0063331E"/>
    <w:rsid w:val="00633328"/>
    <w:rsid w:val="00633358"/>
    <w:rsid w:val="006333B0"/>
    <w:rsid w:val="006333F4"/>
    <w:rsid w:val="00633409"/>
    <w:rsid w:val="00633415"/>
    <w:rsid w:val="00633425"/>
    <w:rsid w:val="0063342D"/>
    <w:rsid w:val="00633449"/>
    <w:rsid w:val="00633466"/>
    <w:rsid w:val="006334BA"/>
    <w:rsid w:val="00633507"/>
    <w:rsid w:val="00633577"/>
    <w:rsid w:val="0063359A"/>
    <w:rsid w:val="006335B5"/>
    <w:rsid w:val="006335E9"/>
    <w:rsid w:val="00633641"/>
    <w:rsid w:val="00633739"/>
    <w:rsid w:val="00633756"/>
    <w:rsid w:val="006337AA"/>
    <w:rsid w:val="006337DE"/>
    <w:rsid w:val="0063380E"/>
    <w:rsid w:val="00633822"/>
    <w:rsid w:val="00633853"/>
    <w:rsid w:val="00633860"/>
    <w:rsid w:val="006338A9"/>
    <w:rsid w:val="00633948"/>
    <w:rsid w:val="0063395B"/>
    <w:rsid w:val="006339C3"/>
    <w:rsid w:val="00633A0C"/>
    <w:rsid w:val="00633A15"/>
    <w:rsid w:val="00633A80"/>
    <w:rsid w:val="00633A85"/>
    <w:rsid w:val="00633ABD"/>
    <w:rsid w:val="00633AED"/>
    <w:rsid w:val="00633B35"/>
    <w:rsid w:val="00633B45"/>
    <w:rsid w:val="00633B75"/>
    <w:rsid w:val="00633B76"/>
    <w:rsid w:val="00633B9A"/>
    <w:rsid w:val="00633B9D"/>
    <w:rsid w:val="00633BCE"/>
    <w:rsid w:val="00633C28"/>
    <w:rsid w:val="00633C5C"/>
    <w:rsid w:val="00633C60"/>
    <w:rsid w:val="00633C6B"/>
    <w:rsid w:val="00633CE6"/>
    <w:rsid w:val="00633CF5"/>
    <w:rsid w:val="00633D4B"/>
    <w:rsid w:val="00633DA0"/>
    <w:rsid w:val="00633DCE"/>
    <w:rsid w:val="00633DEC"/>
    <w:rsid w:val="00633E32"/>
    <w:rsid w:val="00633E51"/>
    <w:rsid w:val="00633E52"/>
    <w:rsid w:val="00633EB9"/>
    <w:rsid w:val="00633EF1"/>
    <w:rsid w:val="00633EF2"/>
    <w:rsid w:val="00633F31"/>
    <w:rsid w:val="00633F44"/>
    <w:rsid w:val="00633F8F"/>
    <w:rsid w:val="00633FAC"/>
    <w:rsid w:val="0063400F"/>
    <w:rsid w:val="00634093"/>
    <w:rsid w:val="006340A8"/>
    <w:rsid w:val="006340D2"/>
    <w:rsid w:val="00634137"/>
    <w:rsid w:val="00634173"/>
    <w:rsid w:val="00634196"/>
    <w:rsid w:val="006341A3"/>
    <w:rsid w:val="006341A7"/>
    <w:rsid w:val="006341B1"/>
    <w:rsid w:val="006341D3"/>
    <w:rsid w:val="006341E8"/>
    <w:rsid w:val="006341F8"/>
    <w:rsid w:val="0063421D"/>
    <w:rsid w:val="00634270"/>
    <w:rsid w:val="006342D8"/>
    <w:rsid w:val="006343D5"/>
    <w:rsid w:val="00634457"/>
    <w:rsid w:val="006344BC"/>
    <w:rsid w:val="006344BD"/>
    <w:rsid w:val="00634549"/>
    <w:rsid w:val="00634587"/>
    <w:rsid w:val="00634595"/>
    <w:rsid w:val="006345CB"/>
    <w:rsid w:val="0063461E"/>
    <w:rsid w:val="00634628"/>
    <w:rsid w:val="00634630"/>
    <w:rsid w:val="00634668"/>
    <w:rsid w:val="006346E1"/>
    <w:rsid w:val="00634710"/>
    <w:rsid w:val="0063471B"/>
    <w:rsid w:val="00634743"/>
    <w:rsid w:val="00634791"/>
    <w:rsid w:val="00634793"/>
    <w:rsid w:val="006347D1"/>
    <w:rsid w:val="006347E1"/>
    <w:rsid w:val="006347E3"/>
    <w:rsid w:val="0063480F"/>
    <w:rsid w:val="0063481A"/>
    <w:rsid w:val="0063483F"/>
    <w:rsid w:val="00634849"/>
    <w:rsid w:val="0063489B"/>
    <w:rsid w:val="006348A1"/>
    <w:rsid w:val="006348C6"/>
    <w:rsid w:val="006348EA"/>
    <w:rsid w:val="00634932"/>
    <w:rsid w:val="00634939"/>
    <w:rsid w:val="0063493B"/>
    <w:rsid w:val="006349E4"/>
    <w:rsid w:val="00634A47"/>
    <w:rsid w:val="00634A5F"/>
    <w:rsid w:val="00634BEA"/>
    <w:rsid w:val="00634C0D"/>
    <w:rsid w:val="00634C63"/>
    <w:rsid w:val="00634C7C"/>
    <w:rsid w:val="00634C80"/>
    <w:rsid w:val="00634C8B"/>
    <w:rsid w:val="00634CD6"/>
    <w:rsid w:val="00634D74"/>
    <w:rsid w:val="00634DB6"/>
    <w:rsid w:val="00634E0A"/>
    <w:rsid w:val="00634E63"/>
    <w:rsid w:val="00634E77"/>
    <w:rsid w:val="00634EA9"/>
    <w:rsid w:val="00634EC1"/>
    <w:rsid w:val="00634EFF"/>
    <w:rsid w:val="00634F7A"/>
    <w:rsid w:val="00634F7B"/>
    <w:rsid w:val="00634FB1"/>
    <w:rsid w:val="0063501C"/>
    <w:rsid w:val="00635049"/>
    <w:rsid w:val="0063505B"/>
    <w:rsid w:val="0063506C"/>
    <w:rsid w:val="0063508D"/>
    <w:rsid w:val="0063508E"/>
    <w:rsid w:val="0063516E"/>
    <w:rsid w:val="006351C5"/>
    <w:rsid w:val="00635200"/>
    <w:rsid w:val="0063528E"/>
    <w:rsid w:val="006352C6"/>
    <w:rsid w:val="006352E2"/>
    <w:rsid w:val="006352E7"/>
    <w:rsid w:val="006352E9"/>
    <w:rsid w:val="006352F0"/>
    <w:rsid w:val="006352FC"/>
    <w:rsid w:val="00635321"/>
    <w:rsid w:val="00635333"/>
    <w:rsid w:val="0063538E"/>
    <w:rsid w:val="0063539A"/>
    <w:rsid w:val="006353AA"/>
    <w:rsid w:val="006353D7"/>
    <w:rsid w:val="00635418"/>
    <w:rsid w:val="00635475"/>
    <w:rsid w:val="006354C4"/>
    <w:rsid w:val="006354F5"/>
    <w:rsid w:val="0063552E"/>
    <w:rsid w:val="006355AB"/>
    <w:rsid w:val="006355EC"/>
    <w:rsid w:val="00635612"/>
    <w:rsid w:val="0063567B"/>
    <w:rsid w:val="0063567E"/>
    <w:rsid w:val="006356EA"/>
    <w:rsid w:val="00635713"/>
    <w:rsid w:val="0063576B"/>
    <w:rsid w:val="00635823"/>
    <w:rsid w:val="0063582A"/>
    <w:rsid w:val="00635856"/>
    <w:rsid w:val="00635886"/>
    <w:rsid w:val="006358DC"/>
    <w:rsid w:val="00635A0D"/>
    <w:rsid w:val="00635A39"/>
    <w:rsid w:val="00635A7B"/>
    <w:rsid w:val="00635AC8"/>
    <w:rsid w:val="00635B05"/>
    <w:rsid w:val="00635B06"/>
    <w:rsid w:val="00635B1C"/>
    <w:rsid w:val="00635B73"/>
    <w:rsid w:val="00635B7D"/>
    <w:rsid w:val="00635BAA"/>
    <w:rsid w:val="00635C75"/>
    <w:rsid w:val="00635D02"/>
    <w:rsid w:val="00635D11"/>
    <w:rsid w:val="00635DA2"/>
    <w:rsid w:val="00635DAB"/>
    <w:rsid w:val="00635DC6"/>
    <w:rsid w:val="00635E9B"/>
    <w:rsid w:val="00635EC5"/>
    <w:rsid w:val="00635EC6"/>
    <w:rsid w:val="00635F3E"/>
    <w:rsid w:val="00635FAD"/>
    <w:rsid w:val="00635FE6"/>
    <w:rsid w:val="00635FEA"/>
    <w:rsid w:val="00636023"/>
    <w:rsid w:val="0063609A"/>
    <w:rsid w:val="006360FA"/>
    <w:rsid w:val="0063613B"/>
    <w:rsid w:val="00636193"/>
    <w:rsid w:val="006361AD"/>
    <w:rsid w:val="006361F7"/>
    <w:rsid w:val="0063627A"/>
    <w:rsid w:val="00636292"/>
    <w:rsid w:val="006362B6"/>
    <w:rsid w:val="0063634A"/>
    <w:rsid w:val="00636391"/>
    <w:rsid w:val="006363DD"/>
    <w:rsid w:val="006363F1"/>
    <w:rsid w:val="00636420"/>
    <w:rsid w:val="00636482"/>
    <w:rsid w:val="00636520"/>
    <w:rsid w:val="00636555"/>
    <w:rsid w:val="006365A9"/>
    <w:rsid w:val="00636600"/>
    <w:rsid w:val="0063666B"/>
    <w:rsid w:val="006366BA"/>
    <w:rsid w:val="006366D8"/>
    <w:rsid w:val="006366D9"/>
    <w:rsid w:val="006367D0"/>
    <w:rsid w:val="006367D9"/>
    <w:rsid w:val="00636861"/>
    <w:rsid w:val="00636873"/>
    <w:rsid w:val="00636875"/>
    <w:rsid w:val="00636878"/>
    <w:rsid w:val="00636883"/>
    <w:rsid w:val="00636884"/>
    <w:rsid w:val="006368E9"/>
    <w:rsid w:val="00636909"/>
    <w:rsid w:val="00636915"/>
    <w:rsid w:val="00636954"/>
    <w:rsid w:val="006369D0"/>
    <w:rsid w:val="00636A34"/>
    <w:rsid w:val="00636A8D"/>
    <w:rsid w:val="00636ABF"/>
    <w:rsid w:val="00636B26"/>
    <w:rsid w:val="00636BDB"/>
    <w:rsid w:val="00636BF8"/>
    <w:rsid w:val="00636C42"/>
    <w:rsid w:val="00636C59"/>
    <w:rsid w:val="00636CB8"/>
    <w:rsid w:val="00636D0B"/>
    <w:rsid w:val="00636D7D"/>
    <w:rsid w:val="00636DB9"/>
    <w:rsid w:val="00636DC7"/>
    <w:rsid w:val="00636E21"/>
    <w:rsid w:val="00636E23"/>
    <w:rsid w:val="00636E25"/>
    <w:rsid w:val="00636E69"/>
    <w:rsid w:val="00636EBA"/>
    <w:rsid w:val="00636EC5"/>
    <w:rsid w:val="00636EF8"/>
    <w:rsid w:val="00636F16"/>
    <w:rsid w:val="00636F45"/>
    <w:rsid w:val="00636F6C"/>
    <w:rsid w:val="00636F71"/>
    <w:rsid w:val="00636FB0"/>
    <w:rsid w:val="00636FDF"/>
    <w:rsid w:val="00637051"/>
    <w:rsid w:val="0063705B"/>
    <w:rsid w:val="0063707C"/>
    <w:rsid w:val="0063707E"/>
    <w:rsid w:val="006370DC"/>
    <w:rsid w:val="006370F0"/>
    <w:rsid w:val="0063711E"/>
    <w:rsid w:val="00637146"/>
    <w:rsid w:val="0063718E"/>
    <w:rsid w:val="00637266"/>
    <w:rsid w:val="00637293"/>
    <w:rsid w:val="006372EC"/>
    <w:rsid w:val="006372F9"/>
    <w:rsid w:val="00637303"/>
    <w:rsid w:val="00637367"/>
    <w:rsid w:val="00637370"/>
    <w:rsid w:val="00637372"/>
    <w:rsid w:val="00637399"/>
    <w:rsid w:val="00637431"/>
    <w:rsid w:val="00637444"/>
    <w:rsid w:val="00637470"/>
    <w:rsid w:val="00637482"/>
    <w:rsid w:val="006374A5"/>
    <w:rsid w:val="006374B0"/>
    <w:rsid w:val="006374DD"/>
    <w:rsid w:val="00637509"/>
    <w:rsid w:val="0063756A"/>
    <w:rsid w:val="00637572"/>
    <w:rsid w:val="00637581"/>
    <w:rsid w:val="006375A2"/>
    <w:rsid w:val="006375EE"/>
    <w:rsid w:val="0063763A"/>
    <w:rsid w:val="00637664"/>
    <w:rsid w:val="006376C2"/>
    <w:rsid w:val="006376CA"/>
    <w:rsid w:val="0063770A"/>
    <w:rsid w:val="00637785"/>
    <w:rsid w:val="0063779E"/>
    <w:rsid w:val="006377A0"/>
    <w:rsid w:val="006377B9"/>
    <w:rsid w:val="006377D4"/>
    <w:rsid w:val="006377D5"/>
    <w:rsid w:val="006377DF"/>
    <w:rsid w:val="00637825"/>
    <w:rsid w:val="00637836"/>
    <w:rsid w:val="00637886"/>
    <w:rsid w:val="006378A1"/>
    <w:rsid w:val="006378D3"/>
    <w:rsid w:val="006379BD"/>
    <w:rsid w:val="006379E9"/>
    <w:rsid w:val="00637A1D"/>
    <w:rsid w:val="00637A34"/>
    <w:rsid w:val="00637A69"/>
    <w:rsid w:val="00637A7B"/>
    <w:rsid w:val="00637A83"/>
    <w:rsid w:val="00637ACC"/>
    <w:rsid w:val="00637B63"/>
    <w:rsid w:val="00637B7F"/>
    <w:rsid w:val="00637BD6"/>
    <w:rsid w:val="00637BDD"/>
    <w:rsid w:val="00637C18"/>
    <w:rsid w:val="00637C27"/>
    <w:rsid w:val="00637C38"/>
    <w:rsid w:val="00637C4E"/>
    <w:rsid w:val="00637D6F"/>
    <w:rsid w:val="00637D70"/>
    <w:rsid w:val="00637D8A"/>
    <w:rsid w:val="00637DC5"/>
    <w:rsid w:val="00637DE6"/>
    <w:rsid w:val="00637E00"/>
    <w:rsid w:val="00637E1C"/>
    <w:rsid w:val="00637E37"/>
    <w:rsid w:val="00637E63"/>
    <w:rsid w:val="00637E64"/>
    <w:rsid w:val="00637F03"/>
    <w:rsid w:val="00637F1F"/>
    <w:rsid w:val="00637F26"/>
    <w:rsid w:val="00637F60"/>
    <w:rsid w:val="00637FB6"/>
    <w:rsid w:val="00640032"/>
    <w:rsid w:val="0064004B"/>
    <w:rsid w:val="0064009A"/>
    <w:rsid w:val="006400B5"/>
    <w:rsid w:val="006400BC"/>
    <w:rsid w:val="006400E7"/>
    <w:rsid w:val="0064015F"/>
    <w:rsid w:val="006401A0"/>
    <w:rsid w:val="006401C7"/>
    <w:rsid w:val="006401CA"/>
    <w:rsid w:val="006401E1"/>
    <w:rsid w:val="00640247"/>
    <w:rsid w:val="006402A6"/>
    <w:rsid w:val="006402DE"/>
    <w:rsid w:val="006402F2"/>
    <w:rsid w:val="006402F7"/>
    <w:rsid w:val="006402FB"/>
    <w:rsid w:val="00640325"/>
    <w:rsid w:val="00640345"/>
    <w:rsid w:val="00640350"/>
    <w:rsid w:val="00640361"/>
    <w:rsid w:val="0064038B"/>
    <w:rsid w:val="006403B3"/>
    <w:rsid w:val="006403E3"/>
    <w:rsid w:val="00640422"/>
    <w:rsid w:val="0064042F"/>
    <w:rsid w:val="00640430"/>
    <w:rsid w:val="0064046C"/>
    <w:rsid w:val="0064052A"/>
    <w:rsid w:val="00640579"/>
    <w:rsid w:val="006405E3"/>
    <w:rsid w:val="00640605"/>
    <w:rsid w:val="00640636"/>
    <w:rsid w:val="0064067A"/>
    <w:rsid w:val="0064071F"/>
    <w:rsid w:val="006407D4"/>
    <w:rsid w:val="006407FA"/>
    <w:rsid w:val="006408CE"/>
    <w:rsid w:val="006408F7"/>
    <w:rsid w:val="00640900"/>
    <w:rsid w:val="00640955"/>
    <w:rsid w:val="0064097A"/>
    <w:rsid w:val="006409B4"/>
    <w:rsid w:val="006409B5"/>
    <w:rsid w:val="006409DD"/>
    <w:rsid w:val="006409E7"/>
    <w:rsid w:val="00640A16"/>
    <w:rsid w:val="00640A1E"/>
    <w:rsid w:val="00640A4C"/>
    <w:rsid w:val="00640AFD"/>
    <w:rsid w:val="00640B38"/>
    <w:rsid w:val="00640B5C"/>
    <w:rsid w:val="00640B5D"/>
    <w:rsid w:val="00640B78"/>
    <w:rsid w:val="00640BA9"/>
    <w:rsid w:val="00640BBF"/>
    <w:rsid w:val="00640C0C"/>
    <w:rsid w:val="00640C85"/>
    <w:rsid w:val="00640CD6"/>
    <w:rsid w:val="00640D20"/>
    <w:rsid w:val="00640DD9"/>
    <w:rsid w:val="00640DDF"/>
    <w:rsid w:val="00640E34"/>
    <w:rsid w:val="00640E68"/>
    <w:rsid w:val="00640E9F"/>
    <w:rsid w:val="00640F16"/>
    <w:rsid w:val="00640F64"/>
    <w:rsid w:val="00640F87"/>
    <w:rsid w:val="00640FB4"/>
    <w:rsid w:val="00640FDA"/>
    <w:rsid w:val="00640FEE"/>
    <w:rsid w:val="006410DA"/>
    <w:rsid w:val="00641113"/>
    <w:rsid w:val="0064114F"/>
    <w:rsid w:val="00641168"/>
    <w:rsid w:val="006411C4"/>
    <w:rsid w:val="00641233"/>
    <w:rsid w:val="0064124E"/>
    <w:rsid w:val="0064127E"/>
    <w:rsid w:val="006412E1"/>
    <w:rsid w:val="006412F2"/>
    <w:rsid w:val="00641385"/>
    <w:rsid w:val="00641397"/>
    <w:rsid w:val="006413A7"/>
    <w:rsid w:val="00641406"/>
    <w:rsid w:val="00641456"/>
    <w:rsid w:val="00641474"/>
    <w:rsid w:val="00641483"/>
    <w:rsid w:val="006414CB"/>
    <w:rsid w:val="006414F7"/>
    <w:rsid w:val="00641527"/>
    <w:rsid w:val="006415A2"/>
    <w:rsid w:val="00641607"/>
    <w:rsid w:val="00641644"/>
    <w:rsid w:val="0064166A"/>
    <w:rsid w:val="006416A6"/>
    <w:rsid w:val="006416C6"/>
    <w:rsid w:val="0064172F"/>
    <w:rsid w:val="0064177F"/>
    <w:rsid w:val="00641798"/>
    <w:rsid w:val="006417D9"/>
    <w:rsid w:val="00641822"/>
    <w:rsid w:val="00641872"/>
    <w:rsid w:val="006418AB"/>
    <w:rsid w:val="006418B8"/>
    <w:rsid w:val="006418DB"/>
    <w:rsid w:val="0064196A"/>
    <w:rsid w:val="00641A36"/>
    <w:rsid w:val="00641A59"/>
    <w:rsid w:val="00641AC7"/>
    <w:rsid w:val="00641AD2"/>
    <w:rsid w:val="00641ADB"/>
    <w:rsid w:val="00641B07"/>
    <w:rsid w:val="00641B28"/>
    <w:rsid w:val="00641B62"/>
    <w:rsid w:val="00641BB6"/>
    <w:rsid w:val="00641CD0"/>
    <w:rsid w:val="00641CEB"/>
    <w:rsid w:val="00641D13"/>
    <w:rsid w:val="00641D25"/>
    <w:rsid w:val="00641D63"/>
    <w:rsid w:val="00641DBE"/>
    <w:rsid w:val="00641DD2"/>
    <w:rsid w:val="00641DD4"/>
    <w:rsid w:val="00641E0A"/>
    <w:rsid w:val="00641E0F"/>
    <w:rsid w:val="00641E14"/>
    <w:rsid w:val="00641E2F"/>
    <w:rsid w:val="00641E75"/>
    <w:rsid w:val="00641E92"/>
    <w:rsid w:val="00641ED6"/>
    <w:rsid w:val="00641F17"/>
    <w:rsid w:val="00641F4F"/>
    <w:rsid w:val="00641FBE"/>
    <w:rsid w:val="00642056"/>
    <w:rsid w:val="00642064"/>
    <w:rsid w:val="006420A0"/>
    <w:rsid w:val="006420E0"/>
    <w:rsid w:val="006420FB"/>
    <w:rsid w:val="00642105"/>
    <w:rsid w:val="00642114"/>
    <w:rsid w:val="00642134"/>
    <w:rsid w:val="006421DB"/>
    <w:rsid w:val="006421DE"/>
    <w:rsid w:val="006422D8"/>
    <w:rsid w:val="006422DD"/>
    <w:rsid w:val="006422DF"/>
    <w:rsid w:val="0064238A"/>
    <w:rsid w:val="00642401"/>
    <w:rsid w:val="006424F6"/>
    <w:rsid w:val="006424FC"/>
    <w:rsid w:val="006425DB"/>
    <w:rsid w:val="006425EF"/>
    <w:rsid w:val="0064260D"/>
    <w:rsid w:val="00642642"/>
    <w:rsid w:val="00642643"/>
    <w:rsid w:val="0064266E"/>
    <w:rsid w:val="006426EE"/>
    <w:rsid w:val="0064270A"/>
    <w:rsid w:val="00642710"/>
    <w:rsid w:val="0064275F"/>
    <w:rsid w:val="00642784"/>
    <w:rsid w:val="00642891"/>
    <w:rsid w:val="006428B0"/>
    <w:rsid w:val="006428C2"/>
    <w:rsid w:val="006428EF"/>
    <w:rsid w:val="0064290D"/>
    <w:rsid w:val="00642934"/>
    <w:rsid w:val="00642939"/>
    <w:rsid w:val="00642948"/>
    <w:rsid w:val="006429F1"/>
    <w:rsid w:val="00642A63"/>
    <w:rsid w:val="00642A7F"/>
    <w:rsid w:val="00642A85"/>
    <w:rsid w:val="00642AE2"/>
    <w:rsid w:val="00642AF6"/>
    <w:rsid w:val="00642B45"/>
    <w:rsid w:val="00642B7B"/>
    <w:rsid w:val="00642B83"/>
    <w:rsid w:val="00642B9F"/>
    <w:rsid w:val="00642BB9"/>
    <w:rsid w:val="00642C24"/>
    <w:rsid w:val="00642C2C"/>
    <w:rsid w:val="00642C55"/>
    <w:rsid w:val="00642C66"/>
    <w:rsid w:val="00642C9D"/>
    <w:rsid w:val="00642D0C"/>
    <w:rsid w:val="00642D2A"/>
    <w:rsid w:val="00642D90"/>
    <w:rsid w:val="00642E10"/>
    <w:rsid w:val="00642E84"/>
    <w:rsid w:val="00642EBB"/>
    <w:rsid w:val="00642F6C"/>
    <w:rsid w:val="00642F70"/>
    <w:rsid w:val="00642FA0"/>
    <w:rsid w:val="00642FA7"/>
    <w:rsid w:val="0064303F"/>
    <w:rsid w:val="0064304D"/>
    <w:rsid w:val="00643056"/>
    <w:rsid w:val="00643070"/>
    <w:rsid w:val="006430C3"/>
    <w:rsid w:val="006430CA"/>
    <w:rsid w:val="00643139"/>
    <w:rsid w:val="0064314D"/>
    <w:rsid w:val="00643198"/>
    <w:rsid w:val="00643206"/>
    <w:rsid w:val="00643212"/>
    <w:rsid w:val="0064321C"/>
    <w:rsid w:val="0064326A"/>
    <w:rsid w:val="0064327F"/>
    <w:rsid w:val="0064329D"/>
    <w:rsid w:val="006432AC"/>
    <w:rsid w:val="006432EA"/>
    <w:rsid w:val="0064331C"/>
    <w:rsid w:val="00643358"/>
    <w:rsid w:val="00643387"/>
    <w:rsid w:val="006433C7"/>
    <w:rsid w:val="00643406"/>
    <w:rsid w:val="00643430"/>
    <w:rsid w:val="00643456"/>
    <w:rsid w:val="0064350E"/>
    <w:rsid w:val="00643522"/>
    <w:rsid w:val="0064359A"/>
    <w:rsid w:val="0064361D"/>
    <w:rsid w:val="0064370E"/>
    <w:rsid w:val="00643761"/>
    <w:rsid w:val="0064379A"/>
    <w:rsid w:val="006437DB"/>
    <w:rsid w:val="0064382A"/>
    <w:rsid w:val="0064383F"/>
    <w:rsid w:val="0064384D"/>
    <w:rsid w:val="00643894"/>
    <w:rsid w:val="006438B5"/>
    <w:rsid w:val="006438D5"/>
    <w:rsid w:val="00643931"/>
    <w:rsid w:val="0064393D"/>
    <w:rsid w:val="00643942"/>
    <w:rsid w:val="0064397E"/>
    <w:rsid w:val="006439C7"/>
    <w:rsid w:val="006439D2"/>
    <w:rsid w:val="00643A5C"/>
    <w:rsid w:val="00643AB7"/>
    <w:rsid w:val="00643B1D"/>
    <w:rsid w:val="00643B7A"/>
    <w:rsid w:val="00643BBC"/>
    <w:rsid w:val="00643BFA"/>
    <w:rsid w:val="00643C30"/>
    <w:rsid w:val="00643C5D"/>
    <w:rsid w:val="00643C66"/>
    <w:rsid w:val="00643CAE"/>
    <w:rsid w:val="00643CBC"/>
    <w:rsid w:val="00643CE1"/>
    <w:rsid w:val="00643CF1"/>
    <w:rsid w:val="00643D07"/>
    <w:rsid w:val="00643D2B"/>
    <w:rsid w:val="00643DBD"/>
    <w:rsid w:val="00643DD7"/>
    <w:rsid w:val="00643DE0"/>
    <w:rsid w:val="00643E39"/>
    <w:rsid w:val="00643EBD"/>
    <w:rsid w:val="00643EEB"/>
    <w:rsid w:val="00643F22"/>
    <w:rsid w:val="00643F3C"/>
    <w:rsid w:val="00643F3E"/>
    <w:rsid w:val="00643F65"/>
    <w:rsid w:val="00643FA6"/>
    <w:rsid w:val="00644054"/>
    <w:rsid w:val="00644108"/>
    <w:rsid w:val="00644131"/>
    <w:rsid w:val="006441C8"/>
    <w:rsid w:val="006441E7"/>
    <w:rsid w:val="00644232"/>
    <w:rsid w:val="00644238"/>
    <w:rsid w:val="0064425F"/>
    <w:rsid w:val="00644290"/>
    <w:rsid w:val="006442B2"/>
    <w:rsid w:val="006442F2"/>
    <w:rsid w:val="006442F4"/>
    <w:rsid w:val="006443C9"/>
    <w:rsid w:val="006443CD"/>
    <w:rsid w:val="00644402"/>
    <w:rsid w:val="00644408"/>
    <w:rsid w:val="00644428"/>
    <w:rsid w:val="00644484"/>
    <w:rsid w:val="0064448A"/>
    <w:rsid w:val="006444C3"/>
    <w:rsid w:val="006444C8"/>
    <w:rsid w:val="00644569"/>
    <w:rsid w:val="00644581"/>
    <w:rsid w:val="00644613"/>
    <w:rsid w:val="0064461F"/>
    <w:rsid w:val="006446B6"/>
    <w:rsid w:val="006446D6"/>
    <w:rsid w:val="00644727"/>
    <w:rsid w:val="00644778"/>
    <w:rsid w:val="006447D5"/>
    <w:rsid w:val="0064483C"/>
    <w:rsid w:val="006448DD"/>
    <w:rsid w:val="0064494D"/>
    <w:rsid w:val="006449DE"/>
    <w:rsid w:val="006449EA"/>
    <w:rsid w:val="00644A77"/>
    <w:rsid w:val="00644A79"/>
    <w:rsid w:val="00644A8E"/>
    <w:rsid w:val="00644AA0"/>
    <w:rsid w:val="00644AA7"/>
    <w:rsid w:val="00644AB9"/>
    <w:rsid w:val="00644B80"/>
    <w:rsid w:val="00644B83"/>
    <w:rsid w:val="00644BEA"/>
    <w:rsid w:val="00644BFD"/>
    <w:rsid w:val="00644C4C"/>
    <w:rsid w:val="00644C52"/>
    <w:rsid w:val="00644C6E"/>
    <w:rsid w:val="00644C7F"/>
    <w:rsid w:val="00644CBB"/>
    <w:rsid w:val="00644CCC"/>
    <w:rsid w:val="00644D90"/>
    <w:rsid w:val="00644DBE"/>
    <w:rsid w:val="00644E0A"/>
    <w:rsid w:val="00644E21"/>
    <w:rsid w:val="00644EAB"/>
    <w:rsid w:val="00644EE1"/>
    <w:rsid w:val="00644F73"/>
    <w:rsid w:val="00644FBC"/>
    <w:rsid w:val="00645065"/>
    <w:rsid w:val="0064513E"/>
    <w:rsid w:val="00645165"/>
    <w:rsid w:val="006451B3"/>
    <w:rsid w:val="00645215"/>
    <w:rsid w:val="0064524A"/>
    <w:rsid w:val="00645251"/>
    <w:rsid w:val="00645269"/>
    <w:rsid w:val="0064527E"/>
    <w:rsid w:val="006452A6"/>
    <w:rsid w:val="006452E3"/>
    <w:rsid w:val="0064532D"/>
    <w:rsid w:val="006453C8"/>
    <w:rsid w:val="006453D1"/>
    <w:rsid w:val="00645426"/>
    <w:rsid w:val="0064542F"/>
    <w:rsid w:val="0064548B"/>
    <w:rsid w:val="0064549B"/>
    <w:rsid w:val="00645513"/>
    <w:rsid w:val="00645540"/>
    <w:rsid w:val="00645579"/>
    <w:rsid w:val="006455F3"/>
    <w:rsid w:val="006455F6"/>
    <w:rsid w:val="00645616"/>
    <w:rsid w:val="00645659"/>
    <w:rsid w:val="0064568A"/>
    <w:rsid w:val="006456CA"/>
    <w:rsid w:val="0064570C"/>
    <w:rsid w:val="00645754"/>
    <w:rsid w:val="0064578E"/>
    <w:rsid w:val="006457A6"/>
    <w:rsid w:val="006457A9"/>
    <w:rsid w:val="006457E4"/>
    <w:rsid w:val="006457E9"/>
    <w:rsid w:val="0064583D"/>
    <w:rsid w:val="0064584D"/>
    <w:rsid w:val="0064588A"/>
    <w:rsid w:val="0064590C"/>
    <w:rsid w:val="00645A09"/>
    <w:rsid w:val="00645A23"/>
    <w:rsid w:val="00645A5E"/>
    <w:rsid w:val="00645AC6"/>
    <w:rsid w:val="00645B3F"/>
    <w:rsid w:val="00645B63"/>
    <w:rsid w:val="00645BCD"/>
    <w:rsid w:val="00645C68"/>
    <w:rsid w:val="00645CA0"/>
    <w:rsid w:val="00645CC3"/>
    <w:rsid w:val="00645D1D"/>
    <w:rsid w:val="00645E33"/>
    <w:rsid w:val="00645E54"/>
    <w:rsid w:val="00645E9B"/>
    <w:rsid w:val="00645EA4"/>
    <w:rsid w:val="00645EEE"/>
    <w:rsid w:val="00645F17"/>
    <w:rsid w:val="00645F4F"/>
    <w:rsid w:val="00645F50"/>
    <w:rsid w:val="00645F77"/>
    <w:rsid w:val="00645FA4"/>
    <w:rsid w:val="0064610D"/>
    <w:rsid w:val="00646114"/>
    <w:rsid w:val="0064611F"/>
    <w:rsid w:val="00646155"/>
    <w:rsid w:val="006461C8"/>
    <w:rsid w:val="006461CF"/>
    <w:rsid w:val="006461E9"/>
    <w:rsid w:val="006462D7"/>
    <w:rsid w:val="006462E9"/>
    <w:rsid w:val="006462FB"/>
    <w:rsid w:val="00646319"/>
    <w:rsid w:val="00646358"/>
    <w:rsid w:val="006463C5"/>
    <w:rsid w:val="006463E7"/>
    <w:rsid w:val="006463FA"/>
    <w:rsid w:val="00646480"/>
    <w:rsid w:val="0064651A"/>
    <w:rsid w:val="00646561"/>
    <w:rsid w:val="00646566"/>
    <w:rsid w:val="0064656A"/>
    <w:rsid w:val="00646592"/>
    <w:rsid w:val="006465AE"/>
    <w:rsid w:val="006465BB"/>
    <w:rsid w:val="006465DE"/>
    <w:rsid w:val="006465E6"/>
    <w:rsid w:val="00646626"/>
    <w:rsid w:val="00646697"/>
    <w:rsid w:val="006466E3"/>
    <w:rsid w:val="0064672A"/>
    <w:rsid w:val="00646799"/>
    <w:rsid w:val="0064679A"/>
    <w:rsid w:val="006467AB"/>
    <w:rsid w:val="006467E7"/>
    <w:rsid w:val="00646847"/>
    <w:rsid w:val="0064684B"/>
    <w:rsid w:val="00646858"/>
    <w:rsid w:val="00646936"/>
    <w:rsid w:val="0064698A"/>
    <w:rsid w:val="00646993"/>
    <w:rsid w:val="006469BF"/>
    <w:rsid w:val="00646A67"/>
    <w:rsid w:val="00646AFA"/>
    <w:rsid w:val="00646C57"/>
    <w:rsid w:val="00646C64"/>
    <w:rsid w:val="00646D5B"/>
    <w:rsid w:val="00646D6D"/>
    <w:rsid w:val="00646DFE"/>
    <w:rsid w:val="00646E29"/>
    <w:rsid w:val="00646EB5"/>
    <w:rsid w:val="00646EDB"/>
    <w:rsid w:val="00646EF5"/>
    <w:rsid w:val="00646F57"/>
    <w:rsid w:val="00646F69"/>
    <w:rsid w:val="00646FCC"/>
    <w:rsid w:val="00647020"/>
    <w:rsid w:val="006470A7"/>
    <w:rsid w:val="00647131"/>
    <w:rsid w:val="006471B0"/>
    <w:rsid w:val="006471D2"/>
    <w:rsid w:val="006471D6"/>
    <w:rsid w:val="0064720A"/>
    <w:rsid w:val="00647212"/>
    <w:rsid w:val="0064722C"/>
    <w:rsid w:val="0064728D"/>
    <w:rsid w:val="006472F2"/>
    <w:rsid w:val="006472FB"/>
    <w:rsid w:val="0064744D"/>
    <w:rsid w:val="00647460"/>
    <w:rsid w:val="00647468"/>
    <w:rsid w:val="006474CC"/>
    <w:rsid w:val="006474D8"/>
    <w:rsid w:val="0064750E"/>
    <w:rsid w:val="00647561"/>
    <w:rsid w:val="00647573"/>
    <w:rsid w:val="00647586"/>
    <w:rsid w:val="00647598"/>
    <w:rsid w:val="006476EB"/>
    <w:rsid w:val="006477F8"/>
    <w:rsid w:val="0064781C"/>
    <w:rsid w:val="006478DB"/>
    <w:rsid w:val="006478F4"/>
    <w:rsid w:val="00647986"/>
    <w:rsid w:val="0064798A"/>
    <w:rsid w:val="00647996"/>
    <w:rsid w:val="0064799F"/>
    <w:rsid w:val="006479C7"/>
    <w:rsid w:val="006479E6"/>
    <w:rsid w:val="00647A0F"/>
    <w:rsid w:val="00647A17"/>
    <w:rsid w:val="00647A38"/>
    <w:rsid w:val="00647A72"/>
    <w:rsid w:val="00647A85"/>
    <w:rsid w:val="00647AB1"/>
    <w:rsid w:val="00647AE4"/>
    <w:rsid w:val="00647B50"/>
    <w:rsid w:val="00647B5F"/>
    <w:rsid w:val="00647B9D"/>
    <w:rsid w:val="00647BBA"/>
    <w:rsid w:val="00647BCC"/>
    <w:rsid w:val="00647BF2"/>
    <w:rsid w:val="00647BF7"/>
    <w:rsid w:val="00647C50"/>
    <w:rsid w:val="00647CC9"/>
    <w:rsid w:val="00647D6D"/>
    <w:rsid w:val="00647E1D"/>
    <w:rsid w:val="00647E84"/>
    <w:rsid w:val="00647EEB"/>
    <w:rsid w:val="00647EED"/>
    <w:rsid w:val="00647EF1"/>
    <w:rsid w:val="00647EF3"/>
    <w:rsid w:val="00647F3A"/>
    <w:rsid w:val="00650050"/>
    <w:rsid w:val="00650052"/>
    <w:rsid w:val="00650055"/>
    <w:rsid w:val="0065006C"/>
    <w:rsid w:val="006500AD"/>
    <w:rsid w:val="006500D3"/>
    <w:rsid w:val="006500F0"/>
    <w:rsid w:val="0065011A"/>
    <w:rsid w:val="0065011F"/>
    <w:rsid w:val="00650157"/>
    <w:rsid w:val="00650167"/>
    <w:rsid w:val="0065019C"/>
    <w:rsid w:val="006501A9"/>
    <w:rsid w:val="00650217"/>
    <w:rsid w:val="0065038D"/>
    <w:rsid w:val="00650440"/>
    <w:rsid w:val="00650495"/>
    <w:rsid w:val="006504A6"/>
    <w:rsid w:val="006504B9"/>
    <w:rsid w:val="006504DE"/>
    <w:rsid w:val="0065050E"/>
    <w:rsid w:val="00650544"/>
    <w:rsid w:val="0065057E"/>
    <w:rsid w:val="006505EF"/>
    <w:rsid w:val="00650606"/>
    <w:rsid w:val="00650638"/>
    <w:rsid w:val="0065063A"/>
    <w:rsid w:val="0065063D"/>
    <w:rsid w:val="00650644"/>
    <w:rsid w:val="0065065A"/>
    <w:rsid w:val="006506A2"/>
    <w:rsid w:val="00650703"/>
    <w:rsid w:val="00650721"/>
    <w:rsid w:val="00650753"/>
    <w:rsid w:val="00650763"/>
    <w:rsid w:val="006507A7"/>
    <w:rsid w:val="006507E2"/>
    <w:rsid w:val="006507FD"/>
    <w:rsid w:val="006508B2"/>
    <w:rsid w:val="006508CF"/>
    <w:rsid w:val="006508F0"/>
    <w:rsid w:val="006508F8"/>
    <w:rsid w:val="0065095D"/>
    <w:rsid w:val="006509B9"/>
    <w:rsid w:val="006509E3"/>
    <w:rsid w:val="006509E5"/>
    <w:rsid w:val="00650A29"/>
    <w:rsid w:val="00650A2C"/>
    <w:rsid w:val="00650A34"/>
    <w:rsid w:val="00650A54"/>
    <w:rsid w:val="00650A57"/>
    <w:rsid w:val="00650A7C"/>
    <w:rsid w:val="00650A9F"/>
    <w:rsid w:val="00650B1C"/>
    <w:rsid w:val="00650BB8"/>
    <w:rsid w:val="00650BFD"/>
    <w:rsid w:val="00650C47"/>
    <w:rsid w:val="00650C5F"/>
    <w:rsid w:val="00650CED"/>
    <w:rsid w:val="00650D6D"/>
    <w:rsid w:val="00650D70"/>
    <w:rsid w:val="00650DA0"/>
    <w:rsid w:val="00650DD3"/>
    <w:rsid w:val="00650E26"/>
    <w:rsid w:val="00650E3B"/>
    <w:rsid w:val="00650E6E"/>
    <w:rsid w:val="00650E72"/>
    <w:rsid w:val="00650EE2"/>
    <w:rsid w:val="00650EE5"/>
    <w:rsid w:val="00650F59"/>
    <w:rsid w:val="00650F66"/>
    <w:rsid w:val="00650F83"/>
    <w:rsid w:val="00651011"/>
    <w:rsid w:val="00651027"/>
    <w:rsid w:val="0065105F"/>
    <w:rsid w:val="00651071"/>
    <w:rsid w:val="006510D0"/>
    <w:rsid w:val="006510D3"/>
    <w:rsid w:val="0065117D"/>
    <w:rsid w:val="006511B7"/>
    <w:rsid w:val="006511BC"/>
    <w:rsid w:val="00651203"/>
    <w:rsid w:val="0065123D"/>
    <w:rsid w:val="0065124D"/>
    <w:rsid w:val="0065127F"/>
    <w:rsid w:val="00651287"/>
    <w:rsid w:val="00651368"/>
    <w:rsid w:val="00651370"/>
    <w:rsid w:val="006513AE"/>
    <w:rsid w:val="006513E3"/>
    <w:rsid w:val="0065145C"/>
    <w:rsid w:val="00651461"/>
    <w:rsid w:val="006514B1"/>
    <w:rsid w:val="006514D4"/>
    <w:rsid w:val="006514DC"/>
    <w:rsid w:val="006515E5"/>
    <w:rsid w:val="00651608"/>
    <w:rsid w:val="00651686"/>
    <w:rsid w:val="00651694"/>
    <w:rsid w:val="006516CE"/>
    <w:rsid w:val="006516D7"/>
    <w:rsid w:val="006516DC"/>
    <w:rsid w:val="006516E6"/>
    <w:rsid w:val="006516FA"/>
    <w:rsid w:val="0065175F"/>
    <w:rsid w:val="006517A3"/>
    <w:rsid w:val="006518B2"/>
    <w:rsid w:val="00651917"/>
    <w:rsid w:val="0065192E"/>
    <w:rsid w:val="00651954"/>
    <w:rsid w:val="0065197D"/>
    <w:rsid w:val="00651A2E"/>
    <w:rsid w:val="00651A85"/>
    <w:rsid w:val="00651A9B"/>
    <w:rsid w:val="00651ABA"/>
    <w:rsid w:val="00651AC7"/>
    <w:rsid w:val="00651AD4"/>
    <w:rsid w:val="00651AD6"/>
    <w:rsid w:val="00651B8E"/>
    <w:rsid w:val="00651B9D"/>
    <w:rsid w:val="00651BA6"/>
    <w:rsid w:val="00651BC1"/>
    <w:rsid w:val="00651BE4"/>
    <w:rsid w:val="00651C1B"/>
    <w:rsid w:val="00651C30"/>
    <w:rsid w:val="00651CCE"/>
    <w:rsid w:val="00651D97"/>
    <w:rsid w:val="00651DE4"/>
    <w:rsid w:val="00651EA4"/>
    <w:rsid w:val="00651EBE"/>
    <w:rsid w:val="00651EEB"/>
    <w:rsid w:val="00651F9B"/>
    <w:rsid w:val="00652027"/>
    <w:rsid w:val="00652040"/>
    <w:rsid w:val="006520BE"/>
    <w:rsid w:val="00652104"/>
    <w:rsid w:val="0065210A"/>
    <w:rsid w:val="0065215A"/>
    <w:rsid w:val="00652174"/>
    <w:rsid w:val="0065218A"/>
    <w:rsid w:val="006521A8"/>
    <w:rsid w:val="006521E7"/>
    <w:rsid w:val="006521F6"/>
    <w:rsid w:val="006521FC"/>
    <w:rsid w:val="00652240"/>
    <w:rsid w:val="00652243"/>
    <w:rsid w:val="0065224F"/>
    <w:rsid w:val="006522C2"/>
    <w:rsid w:val="006522D6"/>
    <w:rsid w:val="006522E9"/>
    <w:rsid w:val="00652367"/>
    <w:rsid w:val="00652377"/>
    <w:rsid w:val="006523B1"/>
    <w:rsid w:val="006523D7"/>
    <w:rsid w:val="006523FE"/>
    <w:rsid w:val="0065245E"/>
    <w:rsid w:val="006524B0"/>
    <w:rsid w:val="006524FF"/>
    <w:rsid w:val="0065257B"/>
    <w:rsid w:val="006525FD"/>
    <w:rsid w:val="00652603"/>
    <w:rsid w:val="006526BB"/>
    <w:rsid w:val="006526D3"/>
    <w:rsid w:val="00652706"/>
    <w:rsid w:val="00652725"/>
    <w:rsid w:val="0065283B"/>
    <w:rsid w:val="00652874"/>
    <w:rsid w:val="006528D1"/>
    <w:rsid w:val="00652908"/>
    <w:rsid w:val="0065296C"/>
    <w:rsid w:val="006529A4"/>
    <w:rsid w:val="006529C1"/>
    <w:rsid w:val="006529FF"/>
    <w:rsid w:val="00652A1E"/>
    <w:rsid w:val="00652A5B"/>
    <w:rsid w:val="00652A70"/>
    <w:rsid w:val="00652A99"/>
    <w:rsid w:val="00652ABE"/>
    <w:rsid w:val="00652B5D"/>
    <w:rsid w:val="00652BD9"/>
    <w:rsid w:val="00652BED"/>
    <w:rsid w:val="00652C74"/>
    <w:rsid w:val="00652CE8"/>
    <w:rsid w:val="00652D63"/>
    <w:rsid w:val="00652D6E"/>
    <w:rsid w:val="00652D78"/>
    <w:rsid w:val="00652DD5"/>
    <w:rsid w:val="00652DDC"/>
    <w:rsid w:val="00652E9D"/>
    <w:rsid w:val="00652F97"/>
    <w:rsid w:val="00652FB0"/>
    <w:rsid w:val="00652FEA"/>
    <w:rsid w:val="00652FFD"/>
    <w:rsid w:val="0065303A"/>
    <w:rsid w:val="006530B1"/>
    <w:rsid w:val="006530CA"/>
    <w:rsid w:val="00653102"/>
    <w:rsid w:val="00653146"/>
    <w:rsid w:val="00653164"/>
    <w:rsid w:val="0065321E"/>
    <w:rsid w:val="0065322F"/>
    <w:rsid w:val="00653233"/>
    <w:rsid w:val="0065323A"/>
    <w:rsid w:val="0065323D"/>
    <w:rsid w:val="0065325D"/>
    <w:rsid w:val="00653288"/>
    <w:rsid w:val="00653291"/>
    <w:rsid w:val="0065329A"/>
    <w:rsid w:val="006532B7"/>
    <w:rsid w:val="006532E2"/>
    <w:rsid w:val="00653324"/>
    <w:rsid w:val="0065339B"/>
    <w:rsid w:val="006533E8"/>
    <w:rsid w:val="006533EF"/>
    <w:rsid w:val="00653433"/>
    <w:rsid w:val="00653448"/>
    <w:rsid w:val="00653451"/>
    <w:rsid w:val="00653460"/>
    <w:rsid w:val="0065347A"/>
    <w:rsid w:val="0065349B"/>
    <w:rsid w:val="00653587"/>
    <w:rsid w:val="00653589"/>
    <w:rsid w:val="0065358C"/>
    <w:rsid w:val="00653632"/>
    <w:rsid w:val="0065365B"/>
    <w:rsid w:val="006536C1"/>
    <w:rsid w:val="0065382D"/>
    <w:rsid w:val="00653869"/>
    <w:rsid w:val="006538BB"/>
    <w:rsid w:val="0065394F"/>
    <w:rsid w:val="006539E9"/>
    <w:rsid w:val="00653A74"/>
    <w:rsid w:val="00653A8A"/>
    <w:rsid w:val="00653B38"/>
    <w:rsid w:val="00653B94"/>
    <w:rsid w:val="00653BBF"/>
    <w:rsid w:val="00653D01"/>
    <w:rsid w:val="00653D13"/>
    <w:rsid w:val="00653E94"/>
    <w:rsid w:val="00653E96"/>
    <w:rsid w:val="00653F39"/>
    <w:rsid w:val="00653F41"/>
    <w:rsid w:val="00653FBB"/>
    <w:rsid w:val="00654021"/>
    <w:rsid w:val="00654052"/>
    <w:rsid w:val="0065407C"/>
    <w:rsid w:val="00654096"/>
    <w:rsid w:val="0065409C"/>
    <w:rsid w:val="006540AA"/>
    <w:rsid w:val="006540AD"/>
    <w:rsid w:val="006540C8"/>
    <w:rsid w:val="006540CD"/>
    <w:rsid w:val="006540EE"/>
    <w:rsid w:val="00654114"/>
    <w:rsid w:val="00654150"/>
    <w:rsid w:val="006541AC"/>
    <w:rsid w:val="0065425E"/>
    <w:rsid w:val="0065430B"/>
    <w:rsid w:val="00654362"/>
    <w:rsid w:val="0065439D"/>
    <w:rsid w:val="0065440A"/>
    <w:rsid w:val="00654410"/>
    <w:rsid w:val="00654423"/>
    <w:rsid w:val="00654433"/>
    <w:rsid w:val="00654448"/>
    <w:rsid w:val="00654474"/>
    <w:rsid w:val="006544DC"/>
    <w:rsid w:val="006545A3"/>
    <w:rsid w:val="006545CC"/>
    <w:rsid w:val="006545D8"/>
    <w:rsid w:val="0065461F"/>
    <w:rsid w:val="0065469C"/>
    <w:rsid w:val="006546C0"/>
    <w:rsid w:val="00654784"/>
    <w:rsid w:val="00654790"/>
    <w:rsid w:val="00654797"/>
    <w:rsid w:val="0065479A"/>
    <w:rsid w:val="006547D5"/>
    <w:rsid w:val="0065482A"/>
    <w:rsid w:val="00654848"/>
    <w:rsid w:val="00654851"/>
    <w:rsid w:val="00654874"/>
    <w:rsid w:val="0065487A"/>
    <w:rsid w:val="0065487C"/>
    <w:rsid w:val="006548BF"/>
    <w:rsid w:val="006548C0"/>
    <w:rsid w:val="00654978"/>
    <w:rsid w:val="00654989"/>
    <w:rsid w:val="006549EA"/>
    <w:rsid w:val="00654A53"/>
    <w:rsid w:val="00654A5B"/>
    <w:rsid w:val="00654AC1"/>
    <w:rsid w:val="00654AE4"/>
    <w:rsid w:val="00654B36"/>
    <w:rsid w:val="00654C06"/>
    <w:rsid w:val="00654C2F"/>
    <w:rsid w:val="00654CA5"/>
    <w:rsid w:val="00654CE8"/>
    <w:rsid w:val="00654CFE"/>
    <w:rsid w:val="00654D6C"/>
    <w:rsid w:val="00654E4E"/>
    <w:rsid w:val="00654F4F"/>
    <w:rsid w:val="00654F5C"/>
    <w:rsid w:val="00654F6F"/>
    <w:rsid w:val="00654FBB"/>
    <w:rsid w:val="00655006"/>
    <w:rsid w:val="00655055"/>
    <w:rsid w:val="00655076"/>
    <w:rsid w:val="006550D6"/>
    <w:rsid w:val="006550DF"/>
    <w:rsid w:val="006550F7"/>
    <w:rsid w:val="00655132"/>
    <w:rsid w:val="0065515D"/>
    <w:rsid w:val="00655172"/>
    <w:rsid w:val="006551AE"/>
    <w:rsid w:val="00655222"/>
    <w:rsid w:val="00655283"/>
    <w:rsid w:val="006552C7"/>
    <w:rsid w:val="00655394"/>
    <w:rsid w:val="006553F5"/>
    <w:rsid w:val="00655492"/>
    <w:rsid w:val="006554B7"/>
    <w:rsid w:val="006554FB"/>
    <w:rsid w:val="00655537"/>
    <w:rsid w:val="0065558E"/>
    <w:rsid w:val="006555AE"/>
    <w:rsid w:val="00655684"/>
    <w:rsid w:val="006556B3"/>
    <w:rsid w:val="00655709"/>
    <w:rsid w:val="0065573E"/>
    <w:rsid w:val="0065576B"/>
    <w:rsid w:val="00655778"/>
    <w:rsid w:val="006557AE"/>
    <w:rsid w:val="006557F8"/>
    <w:rsid w:val="0065586E"/>
    <w:rsid w:val="0065589B"/>
    <w:rsid w:val="00655940"/>
    <w:rsid w:val="00655967"/>
    <w:rsid w:val="0065597D"/>
    <w:rsid w:val="00655A6E"/>
    <w:rsid w:val="00655AA3"/>
    <w:rsid w:val="00655AC5"/>
    <w:rsid w:val="00655AE4"/>
    <w:rsid w:val="00655AF6"/>
    <w:rsid w:val="00655B1C"/>
    <w:rsid w:val="00655BA0"/>
    <w:rsid w:val="00655BFD"/>
    <w:rsid w:val="00655C90"/>
    <w:rsid w:val="00655CA1"/>
    <w:rsid w:val="00655CD9"/>
    <w:rsid w:val="00655CE3"/>
    <w:rsid w:val="00655CF9"/>
    <w:rsid w:val="00655D2C"/>
    <w:rsid w:val="00655D45"/>
    <w:rsid w:val="00655DFE"/>
    <w:rsid w:val="00655E05"/>
    <w:rsid w:val="00655E08"/>
    <w:rsid w:val="00655E14"/>
    <w:rsid w:val="00655E33"/>
    <w:rsid w:val="00655E38"/>
    <w:rsid w:val="00655E3C"/>
    <w:rsid w:val="00655E49"/>
    <w:rsid w:val="00655E8F"/>
    <w:rsid w:val="00655F38"/>
    <w:rsid w:val="00655F5D"/>
    <w:rsid w:val="00655FFB"/>
    <w:rsid w:val="00656022"/>
    <w:rsid w:val="0065604F"/>
    <w:rsid w:val="00656058"/>
    <w:rsid w:val="006560C0"/>
    <w:rsid w:val="0065611D"/>
    <w:rsid w:val="00656148"/>
    <w:rsid w:val="00656162"/>
    <w:rsid w:val="00656175"/>
    <w:rsid w:val="006561A2"/>
    <w:rsid w:val="006561D0"/>
    <w:rsid w:val="006561D8"/>
    <w:rsid w:val="006561E6"/>
    <w:rsid w:val="0065638C"/>
    <w:rsid w:val="0065638E"/>
    <w:rsid w:val="0065639E"/>
    <w:rsid w:val="0065640F"/>
    <w:rsid w:val="006564A8"/>
    <w:rsid w:val="006564DB"/>
    <w:rsid w:val="00656520"/>
    <w:rsid w:val="0065656D"/>
    <w:rsid w:val="006565E4"/>
    <w:rsid w:val="00656604"/>
    <w:rsid w:val="00656610"/>
    <w:rsid w:val="0065661C"/>
    <w:rsid w:val="0065666D"/>
    <w:rsid w:val="006566CE"/>
    <w:rsid w:val="0065677F"/>
    <w:rsid w:val="00656796"/>
    <w:rsid w:val="006567ED"/>
    <w:rsid w:val="006568E9"/>
    <w:rsid w:val="00656904"/>
    <w:rsid w:val="0065692F"/>
    <w:rsid w:val="0065695C"/>
    <w:rsid w:val="00656A9A"/>
    <w:rsid w:val="00656B07"/>
    <w:rsid w:val="00656B7A"/>
    <w:rsid w:val="00656D1F"/>
    <w:rsid w:val="00656D8B"/>
    <w:rsid w:val="00656DA3"/>
    <w:rsid w:val="00656DAC"/>
    <w:rsid w:val="00656E0C"/>
    <w:rsid w:val="00656E25"/>
    <w:rsid w:val="00656EBD"/>
    <w:rsid w:val="00656EBE"/>
    <w:rsid w:val="00656EC5"/>
    <w:rsid w:val="00656EF6"/>
    <w:rsid w:val="00656F22"/>
    <w:rsid w:val="00656F9D"/>
    <w:rsid w:val="00656FC8"/>
    <w:rsid w:val="00657025"/>
    <w:rsid w:val="0065706B"/>
    <w:rsid w:val="006570B3"/>
    <w:rsid w:val="0065711B"/>
    <w:rsid w:val="0065712F"/>
    <w:rsid w:val="0065713B"/>
    <w:rsid w:val="006571A7"/>
    <w:rsid w:val="006571F2"/>
    <w:rsid w:val="00657247"/>
    <w:rsid w:val="00657279"/>
    <w:rsid w:val="00657346"/>
    <w:rsid w:val="0065737F"/>
    <w:rsid w:val="0065739F"/>
    <w:rsid w:val="006573B4"/>
    <w:rsid w:val="006574AE"/>
    <w:rsid w:val="006574E7"/>
    <w:rsid w:val="0065757F"/>
    <w:rsid w:val="00657580"/>
    <w:rsid w:val="006575D4"/>
    <w:rsid w:val="006575D7"/>
    <w:rsid w:val="006575E4"/>
    <w:rsid w:val="006575EC"/>
    <w:rsid w:val="006575FD"/>
    <w:rsid w:val="0065760C"/>
    <w:rsid w:val="00657634"/>
    <w:rsid w:val="0065765D"/>
    <w:rsid w:val="00657677"/>
    <w:rsid w:val="00657723"/>
    <w:rsid w:val="00657736"/>
    <w:rsid w:val="00657751"/>
    <w:rsid w:val="006577E6"/>
    <w:rsid w:val="006577E8"/>
    <w:rsid w:val="00657816"/>
    <w:rsid w:val="0065783D"/>
    <w:rsid w:val="00657872"/>
    <w:rsid w:val="006578CC"/>
    <w:rsid w:val="0065795A"/>
    <w:rsid w:val="006579AE"/>
    <w:rsid w:val="00657AAB"/>
    <w:rsid w:val="00657AAF"/>
    <w:rsid w:val="00657B12"/>
    <w:rsid w:val="00657B15"/>
    <w:rsid w:val="00657B29"/>
    <w:rsid w:val="00657BB6"/>
    <w:rsid w:val="00657C05"/>
    <w:rsid w:val="00657C1C"/>
    <w:rsid w:val="00657C38"/>
    <w:rsid w:val="00657C3B"/>
    <w:rsid w:val="00657C9D"/>
    <w:rsid w:val="00657D0D"/>
    <w:rsid w:val="00657D28"/>
    <w:rsid w:val="00657D7F"/>
    <w:rsid w:val="00657D88"/>
    <w:rsid w:val="00657D8C"/>
    <w:rsid w:val="00657DE1"/>
    <w:rsid w:val="00657F2F"/>
    <w:rsid w:val="00657F66"/>
    <w:rsid w:val="00657F94"/>
    <w:rsid w:val="00657FBD"/>
    <w:rsid w:val="00657FC1"/>
    <w:rsid w:val="00657FD3"/>
    <w:rsid w:val="00660010"/>
    <w:rsid w:val="0066005F"/>
    <w:rsid w:val="006600BA"/>
    <w:rsid w:val="006600DB"/>
    <w:rsid w:val="00660103"/>
    <w:rsid w:val="00660120"/>
    <w:rsid w:val="006601CA"/>
    <w:rsid w:val="006601F3"/>
    <w:rsid w:val="00660204"/>
    <w:rsid w:val="0066020C"/>
    <w:rsid w:val="0066024A"/>
    <w:rsid w:val="006602E8"/>
    <w:rsid w:val="0066032D"/>
    <w:rsid w:val="0066033D"/>
    <w:rsid w:val="0066034C"/>
    <w:rsid w:val="0066039C"/>
    <w:rsid w:val="006603AE"/>
    <w:rsid w:val="006603B6"/>
    <w:rsid w:val="006603D4"/>
    <w:rsid w:val="006603E8"/>
    <w:rsid w:val="006603F0"/>
    <w:rsid w:val="0066041C"/>
    <w:rsid w:val="0066043A"/>
    <w:rsid w:val="0066049F"/>
    <w:rsid w:val="006604A8"/>
    <w:rsid w:val="0066050A"/>
    <w:rsid w:val="00660511"/>
    <w:rsid w:val="00660538"/>
    <w:rsid w:val="0066054A"/>
    <w:rsid w:val="006605BF"/>
    <w:rsid w:val="006605E8"/>
    <w:rsid w:val="00660620"/>
    <w:rsid w:val="006606FA"/>
    <w:rsid w:val="00660722"/>
    <w:rsid w:val="00660733"/>
    <w:rsid w:val="00660792"/>
    <w:rsid w:val="006607C5"/>
    <w:rsid w:val="006607F5"/>
    <w:rsid w:val="00660837"/>
    <w:rsid w:val="006608AA"/>
    <w:rsid w:val="00660927"/>
    <w:rsid w:val="006609BC"/>
    <w:rsid w:val="006609C6"/>
    <w:rsid w:val="006609E0"/>
    <w:rsid w:val="006609F9"/>
    <w:rsid w:val="00660A4E"/>
    <w:rsid w:val="00660AAB"/>
    <w:rsid w:val="00660B24"/>
    <w:rsid w:val="00660B31"/>
    <w:rsid w:val="00660B3A"/>
    <w:rsid w:val="00660BA9"/>
    <w:rsid w:val="00660BCE"/>
    <w:rsid w:val="00660C52"/>
    <w:rsid w:val="00660CBB"/>
    <w:rsid w:val="00660CCD"/>
    <w:rsid w:val="00660D0C"/>
    <w:rsid w:val="00660D1C"/>
    <w:rsid w:val="00660D62"/>
    <w:rsid w:val="00660DAA"/>
    <w:rsid w:val="00660DCE"/>
    <w:rsid w:val="00660E3C"/>
    <w:rsid w:val="00660E8F"/>
    <w:rsid w:val="00660EA9"/>
    <w:rsid w:val="00660EB2"/>
    <w:rsid w:val="00660EB5"/>
    <w:rsid w:val="00660EDB"/>
    <w:rsid w:val="00660F8D"/>
    <w:rsid w:val="00660FAF"/>
    <w:rsid w:val="0066101B"/>
    <w:rsid w:val="00661098"/>
    <w:rsid w:val="006610CA"/>
    <w:rsid w:val="006610F9"/>
    <w:rsid w:val="006610FF"/>
    <w:rsid w:val="0066110E"/>
    <w:rsid w:val="0066116E"/>
    <w:rsid w:val="00661229"/>
    <w:rsid w:val="0066122F"/>
    <w:rsid w:val="00661253"/>
    <w:rsid w:val="00661308"/>
    <w:rsid w:val="0066131D"/>
    <w:rsid w:val="00661345"/>
    <w:rsid w:val="00661413"/>
    <w:rsid w:val="0066142F"/>
    <w:rsid w:val="0066149C"/>
    <w:rsid w:val="0066153B"/>
    <w:rsid w:val="00661563"/>
    <w:rsid w:val="00661585"/>
    <w:rsid w:val="006615AC"/>
    <w:rsid w:val="006615B4"/>
    <w:rsid w:val="006615CF"/>
    <w:rsid w:val="00661682"/>
    <w:rsid w:val="00661684"/>
    <w:rsid w:val="00661694"/>
    <w:rsid w:val="006616AA"/>
    <w:rsid w:val="00661723"/>
    <w:rsid w:val="00661773"/>
    <w:rsid w:val="00661779"/>
    <w:rsid w:val="0066187C"/>
    <w:rsid w:val="00661885"/>
    <w:rsid w:val="00661894"/>
    <w:rsid w:val="00661915"/>
    <w:rsid w:val="00661936"/>
    <w:rsid w:val="00661948"/>
    <w:rsid w:val="006619DF"/>
    <w:rsid w:val="00661A34"/>
    <w:rsid w:val="00661A50"/>
    <w:rsid w:val="00661A73"/>
    <w:rsid w:val="00661B21"/>
    <w:rsid w:val="00661B53"/>
    <w:rsid w:val="00661BD1"/>
    <w:rsid w:val="00661C01"/>
    <w:rsid w:val="00661C10"/>
    <w:rsid w:val="00661CC3"/>
    <w:rsid w:val="00661CD6"/>
    <w:rsid w:val="00661E69"/>
    <w:rsid w:val="00661F00"/>
    <w:rsid w:val="00661F03"/>
    <w:rsid w:val="00661F1D"/>
    <w:rsid w:val="00661F21"/>
    <w:rsid w:val="00661FDB"/>
    <w:rsid w:val="00661FF4"/>
    <w:rsid w:val="00662028"/>
    <w:rsid w:val="0066208C"/>
    <w:rsid w:val="00662108"/>
    <w:rsid w:val="0066211A"/>
    <w:rsid w:val="00662156"/>
    <w:rsid w:val="0066215D"/>
    <w:rsid w:val="0066217B"/>
    <w:rsid w:val="006621A2"/>
    <w:rsid w:val="006621BC"/>
    <w:rsid w:val="006621D4"/>
    <w:rsid w:val="006621DE"/>
    <w:rsid w:val="006621EB"/>
    <w:rsid w:val="00662268"/>
    <w:rsid w:val="006622CC"/>
    <w:rsid w:val="006622D9"/>
    <w:rsid w:val="0066232E"/>
    <w:rsid w:val="00662381"/>
    <w:rsid w:val="006623B6"/>
    <w:rsid w:val="00662417"/>
    <w:rsid w:val="00662450"/>
    <w:rsid w:val="006624E4"/>
    <w:rsid w:val="006624E9"/>
    <w:rsid w:val="0066251A"/>
    <w:rsid w:val="0066252A"/>
    <w:rsid w:val="0066259E"/>
    <w:rsid w:val="006625B3"/>
    <w:rsid w:val="006625F3"/>
    <w:rsid w:val="0066263C"/>
    <w:rsid w:val="00662655"/>
    <w:rsid w:val="00662656"/>
    <w:rsid w:val="0066265C"/>
    <w:rsid w:val="00662671"/>
    <w:rsid w:val="00662682"/>
    <w:rsid w:val="00662689"/>
    <w:rsid w:val="00662749"/>
    <w:rsid w:val="0066276D"/>
    <w:rsid w:val="0066278F"/>
    <w:rsid w:val="0066281B"/>
    <w:rsid w:val="00662856"/>
    <w:rsid w:val="0066286A"/>
    <w:rsid w:val="006628A1"/>
    <w:rsid w:val="00662923"/>
    <w:rsid w:val="00662988"/>
    <w:rsid w:val="0066299E"/>
    <w:rsid w:val="006629BC"/>
    <w:rsid w:val="006629E3"/>
    <w:rsid w:val="00662A4E"/>
    <w:rsid w:val="00662A5C"/>
    <w:rsid w:val="00662A73"/>
    <w:rsid w:val="00662A81"/>
    <w:rsid w:val="00662A93"/>
    <w:rsid w:val="00662ACF"/>
    <w:rsid w:val="00662B2E"/>
    <w:rsid w:val="00662B3B"/>
    <w:rsid w:val="00662B63"/>
    <w:rsid w:val="00662B86"/>
    <w:rsid w:val="00662BB2"/>
    <w:rsid w:val="00662C20"/>
    <w:rsid w:val="00662C44"/>
    <w:rsid w:val="00662C68"/>
    <w:rsid w:val="00662C79"/>
    <w:rsid w:val="00662C80"/>
    <w:rsid w:val="00662CCD"/>
    <w:rsid w:val="00662CF4"/>
    <w:rsid w:val="00662D2B"/>
    <w:rsid w:val="00662D42"/>
    <w:rsid w:val="00662D68"/>
    <w:rsid w:val="00662DA9"/>
    <w:rsid w:val="00662DB1"/>
    <w:rsid w:val="00662E1D"/>
    <w:rsid w:val="00662E85"/>
    <w:rsid w:val="00662EC2"/>
    <w:rsid w:val="00662F07"/>
    <w:rsid w:val="00662F5E"/>
    <w:rsid w:val="00662FBB"/>
    <w:rsid w:val="006630A5"/>
    <w:rsid w:val="006630B4"/>
    <w:rsid w:val="006630F4"/>
    <w:rsid w:val="006630F8"/>
    <w:rsid w:val="00663221"/>
    <w:rsid w:val="0066326C"/>
    <w:rsid w:val="006632B0"/>
    <w:rsid w:val="006632DD"/>
    <w:rsid w:val="00663373"/>
    <w:rsid w:val="00663394"/>
    <w:rsid w:val="006633C0"/>
    <w:rsid w:val="006633C5"/>
    <w:rsid w:val="006633DF"/>
    <w:rsid w:val="006634CE"/>
    <w:rsid w:val="006634EB"/>
    <w:rsid w:val="00663603"/>
    <w:rsid w:val="00663665"/>
    <w:rsid w:val="00663685"/>
    <w:rsid w:val="006636A4"/>
    <w:rsid w:val="006636B7"/>
    <w:rsid w:val="006636BD"/>
    <w:rsid w:val="0066370B"/>
    <w:rsid w:val="00663730"/>
    <w:rsid w:val="00663731"/>
    <w:rsid w:val="00663747"/>
    <w:rsid w:val="00663755"/>
    <w:rsid w:val="00663778"/>
    <w:rsid w:val="00663880"/>
    <w:rsid w:val="00663896"/>
    <w:rsid w:val="006638B8"/>
    <w:rsid w:val="006638DA"/>
    <w:rsid w:val="00663965"/>
    <w:rsid w:val="00663983"/>
    <w:rsid w:val="00663986"/>
    <w:rsid w:val="006639DD"/>
    <w:rsid w:val="006639FF"/>
    <w:rsid w:val="00663A19"/>
    <w:rsid w:val="00663A29"/>
    <w:rsid w:val="00663A3A"/>
    <w:rsid w:val="00663A41"/>
    <w:rsid w:val="00663A4A"/>
    <w:rsid w:val="00663A7A"/>
    <w:rsid w:val="00663A9C"/>
    <w:rsid w:val="00663AAB"/>
    <w:rsid w:val="00663AFB"/>
    <w:rsid w:val="00663B0A"/>
    <w:rsid w:val="00663B18"/>
    <w:rsid w:val="00663B3B"/>
    <w:rsid w:val="00663BEC"/>
    <w:rsid w:val="00663D2D"/>
    <w:rsid w:val="00663D4B"/>
    <w:rsid w:val="00663D8C"/>
    <w:rsid w:val="00663DDF"/>
    <w:rsid w:val="00663DE7"/>
    <w:rsid w:val="00663E2D"/>
    <w:rsid w:val="00663E49"/>
    <w:rsid w:val="00663EB7"/>
    <w:rsid w:val="00663F01"/>
    <w:rsid w:val="00663F64"/>
    <w:rsid w:val="00663FB1"/>
    <w:rsid w:val="00663FB8"/>
    <w:rsid w:val="00663FE9"/>
    <w:rsid w:val="00664005"/>
    <w:rsid w:val="00664034"/>
    <w:rsid w:val="00664058"/>
    <w:rsid w:val="0066407F"/>
    <w:rsid w:val="00664082"/>
    <w:rsid w:val="006640A1"/>
    <w:rsid w:val="006640E0"/>
    <w:rsid w:val="00664104"/>
    <w:rsid w:val="0066415B"/>
    <w:rsid w:val="006641DB"/>
    <w:rsid w:val="00664200"/>
    <w:rsid w:val="00664205"/>
    <w:rsid w:val="0066424E"/>
    <w:rsid w:val="00664286"/>
    <w:rsid w:val="0066428E"/>
    <w:rsid w:val="006642FC"/>
    <w:rsid w:val="00664321"/>
    <w:rsid w:val="00664336"/>
    <w:rsid w:val="006643F8"/>
    <w:rsid w:val="00664458"/>
    <w:rsid w:val="0066445D"/>
    <w:rsid w:val="006644DF"/>
    <w:rsid w:val="00664526"/>
    <w:rsid w:val="00664584"/>
    <w:rsid w:val="0066459C"/>
    <w:rsid w:val="006645AB"/>
    <w:rsid w:val="006645C9"/>
    <w:rsid w:val="006645CE"/>
    <w:rsid w:val="006645D7"/>
    <w:rsid w:val="00664648"/>
    <w:rsid w:val="00664667"/>
    <w:rsid w:val="00664671"/>
    <w:rsid w:val="0066468D"/>
    <w:rsid w:val="00664699"/>
    <w:rsid w:val="0066473C"/>
    <w:rsid w:val="00664786"/>
    <w:rsid w:val="0066478D"/>
    <w:rsid w:val="006647DD"/>
    <w:rsid w:val="00664805"/>
    <w:rsid w:val="0066480D"/>
    <w:rsid w:val="0066480E"/>
    <w:rsid w:val="00664816"/>
    <w:rsid w:val="00664855"/>
    <w:rsid w:val="00664913"/>
    <w:rsid w:val="00664914"/>
    <w:rsid w:val="0066492E"/>
    <w:rsid w:val="006649B1"/>
    <w:rsid w:val="006649C5"/>
    <w:rsid w:val="006649D7"/>
    <w:rsid w:val="006649D8"/>
    <w:rsid w:val="00664A3F"/>
    <w:rsid w:val="00664AA8"/>
    <w:rsid w:val="00664B47"/>
    <w:rsid w:val="00664B51"/>
    <w:rsid w:val="00664B52"/>
    <w:rsid w:val="00664B55"/>
    <w:rsid w:val="00664B8F"/>
    <w:rsid w:val="00664BCF"/>
    <w:rsid w:val="00664BD8"/>
    <w:rsid w:val="00664C19"/>
    <w:rsid w:val="00664C51"/>
    <w:rsid w:val="00664C8D"/>
    <w:rsid w:val="00664C98"/>
    <w:rsid w:val="00664C9B"/>
    <w:rsid w:val="00664CA1"/>
    <w:rsid w:val="00664D7F"/>
    <w:rsid w:val="00664E02"/>
    <w:rsid w:val="00664E04"/>
    <w:rsid w:val="00664E42"/>
    <w:rsid w:val="00664E91"/>
    <w:rsid w:val="00664ED5"/>
    <w:rsid w:val="00664F6E"/>
    <w:rsid w:val="00664FB9"/>
    <w:rsid w:val="00664FBE"/>
    <w:rsid w:val="00664FF2"/>
    <w:rsid w:val="00664FF8"/>
    <w:rsid w:val="00664FFB"/>
    <w:rsid w:val="00665011"/>
    <w:rsid w:val="00665053"/>
    <w:rsid w:val="00665090"/>
    <w:rsid w:val="006650DF"/>
    <w:rsid w:val="006650F0"/>
    <w:rsid w:val="0066510E"/>
    <w:rsid w:val="0066511B"/>
    <w:rsid w:val="0066511F"/>
    <w:rsid w:val="00665126"/>
    <w:rsid w:val="006651E4"/>
    <w:rsid w:val="006651ED"/>
    <w:rsid w:val="0066523E"/>
    <w:rsid w:val="006652EC"/>
    <w:rsid w:val="00665303"/>
    <w:rsid w:val="0066534A"/>
    <w:rsid w:val="0066537A"/>
    <w:rsid w:val="006653BD"/>
    <w:rsid w:val="006653FD"/>
    <w:rsid w:val="00665449"/>
    <w:rsid w:val="00665468"/>
    <w:rsid w:val="0066547E"/>
    <w:rsid w:val="006654C3"/>
    <w:rsid w:val="00665550"/>
    <w:rsid w:val="00665579"/>
    <w:rsid w:val="00665589"/>
    <w:rsid w:val="006655AA"/>
    <w:rsid w:val="006655C3"/>
    <w:rsid w:val="006655CF"/>
    <w:rsid w:val="006655F4"/>
    <w:rsid w:val="00665621"/>
    <w:rsid w:val="0066562A"/>
    <w:rsid w:val="00665652"/>
    <w:rsid w:val="0066565C"/>
    <w:rsid w:val="006656BB"/>
    <w:rsid w:val="0066573F"/>
    <w:rsid w:val="00665778"/>
    <w:rsid w:val="00665782"/>
    <w:rsid w:val="00665791"/>
    <w:rsid w:val="0066579C"/>
    <w:rsid w:val="006657A2"/>
    <w:rsid w:val="006657CF"/>
    <w:rsid w:val="0066581B"/>
    <w:rsid w:val="00665839"/>
    <w:rsid w:val="0066583D"/>
    <w:rsid w:val="0066584B"/>
    <w:rsid w:val="00665869"/>
    <w:rsid w:val="00665916"/>
    <w:rsid w:val="00665976"/>
    <w:rsid w:val="00665996"/>
    <w:rsid w:val="006659A6"/>
    <w:rsid w:val="00665A3D"/>
    <w:rsid w:val="00665A9A"/>
    <w:rsid w:val="00665AC6"/>
    <w:rsid w:val="00665AE2"/>
    <w:rsid w:val="00665B03"/>
    <w:rsid w:val="00665B42"/>
    <w:rsid w:val="00665B4D"/>
    <w:rsid w:val="00665B93"/>
    <w:rsid w:val="00665C8A"/>
    <w:rsid w:val="00665CD8"/>
    <w:rsid w:val="00665D48"/>
    <w:rsid w:val="00665D81"/>
    <w:rsid w:val="00665DA1"/>
    <w:rsid w:val="00665DAD"/>
    <w:rsid w:val="00665DDE"/>
    <w:rsid w:val="00665E11"/>
    <w:rsid w:val="00665E12"/>
    <w:rsid w:val="00665E19"/>
    <w:rsid w:val="00665E1B"/>
    <w:rsid w:val="00665E32"/>
    <w:rsid w:val="00665E3B"/>
    <w:rsid w:val="00665E46"/>
    <w:rsid w:val="00665F0A"/>
    <w:rsid w:val="00665F1F"/>
    <w:rsid w:val="00665FAD"/>
    <w:rsid w:val="00665FBD"/>
    <w:rsid w:val="00665FD0"/>
    <w:rsid w:val="00665FE3"/>
    <w:rsid w:val="0066602C"/>
    <w:rsid w:val="006660E8"/>
    <w:rsid w:val="00666102"/>
    <w:rsid w:val="0066611B"/>
    <w:rsid w:val="0066614C"/>
    <w:rsid w:val="00666154"/>
    <w:rsid w:val="0066619B"/>
    <w:rsid w:val="006661FF"/>
    <w:rsid w:val="0066620C"/>
    <w:rsid w:val="0066624E"/>
    <w:rsid w:val="0066629D"/>
    <w:rsid w:val="0066629F"/>
    <w:rsid w:val="0066636D"/>
    <w:rsid w:val="00666396"/>
    <w:rsid w:val="006663D4"/>
    <w:rsid w:val="00666443"/>
    <w:rsid w:val="0066644C"/>
    <w:rsid w:val="00666450"/>
    <w:rsid w:val="0066649E"/>
    <w:rsid w:val="006664D8"/>
    <w:rsid w:val="006664E7"/>
    <w:rsid w:val="0066655C"/>
    <w:rsid w:val="0066659D"/>
    <w:rsid w:val="006665C6"/>
    <w:rsid w:val="006665D9"/>
    <w:rsid w:val="0066663C"/>
    <w:rsid w:val="00666661"/>
    <w:rsid w:val="00666667"/>
    <w:rsid w:val="00666684"/>
    <w:rsid w:val="0066668A"/>
    <w:rsid w:val="0066669B"/>
    <w:rsid w:val="0066670A"/>
    <w:rsid w:val="0066672E"/>
    <w:rsid w:val="0066673D"/>
    <w:rsid w:val="00666762"/>
    <w:rsid w:val="0066677B"/>
    <w:rsid w:val="00666784"/>
    <w:rsid w:val="006667AA"/>
    <w:rsid w:val="006667DD"/>
    <w:rsid w:val="0066684F"/>
    <w:rsid w:val="0066689D"/>
    <w:rsid w:val="006668EC"/>
    <w:rsid w:val="00666937"/>
    <w:rsid w:val="0066693C"/>
    <w:rsid w:val="0066696B"/>
    <w:rsid w:val="00666970"/>
    <w:rsid w:val="00666A61"/>
    <w:rsid w:val="00666A68"/>
    <w:rsid w:val="00666ADB"/>
    <w:rsid w:val="00666B87"/>
    <w:rsid w:val="00666BA2"/>
    <w:rsid w:val="00666BC9"/>
    <w:rsid w:val="00666C44"/>
    <w:rsid w:val="00666C62"/>
    <w:rsid w:val="00666C9C"/>
    <w:rsid w:val="00666D31"/>
    <w:rsid w:val="00666D91"/>
    <w:rsid w:val="00666DD0"/>
    <w:rsid w:val="00666DDE"/>
    <w:rsid w:val="00666DE5"/>
    <w:rsid w:val="00666EB0"/>
    <w:rsid w:val="00666ED2"/>
    <w:rsid w:val="00666F53"/>
    <w:rsid w:val="00666F76"/>
    <w:rsid w:val="00666FA3"/>
    <w:rsid w:val="00666FBF"/>
    <w:rsid w:val="00666FCB"/>
    <w:rsid w:val="00666FD6"/>
    <w:rsid w:val="00667149"/>
    <w:rsid w:val="006671AF"/>
    <w:rsid w:val="006671BE"/>
    <w:rsid w:val="006671C9"/>
    <w:rsid w:val="006671D7"/>
    <w:rsid w:val="006671E5"/>
    <w:rsid w:val="00667268"/>
    <w:rsid w:val="00667285"/>
    <w:rsid w:val="00667345"/>
    <w:rsid w:val="0066734F"/>
    <w:rsid w:val="0066735A"/>
    <w:rsid w:val="00667395"/>
    <w:rsid w:val="0066741C"/>
    <w:rsid w:val="006674FF"/>
    <w:rsid w:val="0066750F"/>
    <w:rsid w:val="00667535"/>
    <w:rsid w:val="00667536"/>
    <w:rsid w:val="00667614"/>
    <w:rsid w:val="006676A3"/>
    <w:rsid w:val="006676A4"/>
    <w:rsid w:val="006676D5"/>
    <w:rsid w:val="00667716"/>
    <w:rsid w:val="0066772C"/>
    <w:rsid w:val="006677C1"/>
    <w:rsid w:val="006677CD"/>
    <w:rsid w:val="006677D8"/>
    <w:rsid w:val="00667808"/>
    <w:rsid w:val="0066783E"/>
    <w:rsid w:val="006678D7"/>
    <w:rsid w:val="006678EA"/>
    <w:rsid w:val="006678F5"/>
    <w:rsid w:val="00667921"/>
    <w:rsid w:val="0066796F"/>
    <w:rsid w:val="00667976"/>
    <w:rsid w:val="0066797F"/>
    <w:rsid w:val="006679DA"/>
    <w:rsid w:val="006679F7"/>
    <w:rsid w:val="00667A17"/>
    <w:rsid w:val="00667A2D"/>
    <w:rsid w:val="00667A7C"/>
    <w:rsid w:val="00667AC9"/>
    <w:rsid w:val="00667AD9"/>
    <w:rsid w:val="00667B05"/>
    <w:rsid w:val="00667B15"/>
    <w:rsid w:val="00667B6D"/>
    <w:rsid w:val="00667BFC"/>
    <w:rsid w:val="00667C01"/>
    <w:rsid w:val="00667C4D"/>
    <w:rsid w:val="00667CB5"/>
    <w:rsid w:val="00667CB9"/>
    <w:rsid w:val="00667CC9"/>
    <w:rsid w:val="00667D47"/>
    <w:rsid w:val="00667D72"/>
    <w:rsid w:val="00667D87"/>
    <w:rsid w:val="00667DE0"/>
    <w:rsid w:val="00667DEE"/>
    <w:rsid w:val="00667E6F"/>
    <w:rsid w:val="00667E78"/>
    <w:rsid w:val="00667EB6"/>
    <w:rsid w:val="00667ECA"/>
    <w:rsid w:val="00667F3C"/>
    <w:rsid w:val="00667F6F"/>
    <w:rsid w:val="00667F73"/>
    <w:rsid w:val="0066F1B8"/>
    <w:rsid w:val="00670000"/>
    <w:rsid w:val="00670047"/>
    <w:rsid w:val="006700B8"/>
    <w:rsid w:val="006700C4"/>
    <w:rsid w:val="00670131"/>
    <w:rsid w:val="00670182"/>
    <w:rsid w:val="006701AF"/>
    <w:rsid w:val="006701DE"/>
    <w:rsid w:val="00670211"/>
    <w:rsid w:val="0067022F"/>
    <w:rsid w:val="00670265"/>
    <w:rsid w:val="00670310"/>
    <w:rsid w:val="00670347"/>
    <w:rsid w:val="0067037B"/>
    <w:rsid w:val="006703A1"/>
    <w:rsid w:val="006703AC"/>
    <w:rsid w:val="00670406"/>
    <w:rsid w:val="00670436"/>
    <w:rsid w:val="006704A9"/>
    <w:rsid w:val="006704D1"/>
    <w:rsid w:val="0067051B"/>
    <w:rsid w:val="0067067F"/>
    <w:rsid w:val="006706C0"/>
    <w:rsid w:val="006706E7"/>
    <w:rsid w:val="00670704"/>
    <w:rsid w:val="00670747"/>
    <w:rsid w:val="006707A3"/>
    <w:rsid w:val="0067081D"/>
    <w:rsid w:val="00670838"/>
    <w:rsid w:val="00670872"/>
    <w:rsid w:val="0067087D"/>
    <w:rsid w:val="006708A6"/>
    <w:rsid w:val="00670905"/>
    <w:rsid w:val="0067098C"/>
    <w:rsid w:val="00670991"/>
    <w:rsid w:val="006709F6"/>
    <w:rsid w:val="00670A95"/>
    <w:rsid w:val="00670A9C"/>
    <w:rsid w:val="00670AD6"/>
    <w:rsid w:val="00670B40"/>
    <w:rsid w:val="00670B75"/>
    <w:rsid w:val="00670BAC"/>
    <w:rsid w:val="00670BC4"/>
    <w:rsid w:val="00670BCC"/>
    <w:rsid w:val="00670C96"/>
    <w:rsid w:val="00670CAA"/>
    <w:rsid w:val="00670CB2"/>
    <w:rsid w:val="00670CE4"/>
    <w:rsid w:val="00670CE6"/>
    <w:rsid w:val="00670D2B"/>
    <w:rsid w:val="00670D64"/>
    <w:rsid w:val="00670D99"/>
    <w:rsid w:val="00670DA0"/>
    <w:rsid w:val="00670DCA"/>
    <w:rsid w:val="00670DEA"/>
    <w:rsid w:val="00670E7A"/>
    <w:rsid w:val="00670E99"/>
    <w:rsid w:val="00670EED"/>
    <w:rsid w:val="00670F21"/>
    <w:rsid w:val="00670F39"/>
    <w:rsid w:val="00670F62"/>
    <w:rsid w:val="00670F63"/>
    <w:rsid w:val="00670FD4"/>
    <w:rsid w:val="0067102D"/>
    <w:rsid w:val="0067102F"/>
    <w:rsid w:val="006710D6"/>
    <w:rsid w:val="006710FE"/>
    <w:rsid w:val="00671100"/>
    <w:rsid w:val="00671189"/>
    <w:rsid w:val="006711A7"/>
    <w:rsid w:val="006711CB"/>
    <w:rsid w:val="006711CF"/>
    <w:rsid w:val="006711F3"/>
    <w:rsid w:val="0067123E"/>
    <w:rsid w:val="00671248"/>
    <w:rsid w:val="00671273"/>
    <w:rsid w:val="006712DA"/>
    <w:rsid w:val="00671313"/>
    <w:rsid w:val="0067132A"/>
    <w:rsid w:val="00671336"/>
    <w:rsid w:val="00671341"/>
    <w:rsid w:val="0067134E"/>
    <w:rsid w:val="00671357"/>
    <w:rsid w:val="006713C1"/>
    <w:rsid w:val="006713D9"/>
    <w:rsid w:val="00671427"/>
    <w:rsid w:val="00671454"/>
    <w:rsid w:val="006714AA"/>
    <w:rsid w:val="006714BD"/>
    <w:rsid w:val="00671519"/>
    <w:rsid w:val="0067158D"/>
    <w:rsid w:val="006715C1"/>
    <w:rsid w:val="006715D0"/>
    <w:rsid w:val="006715D8"/>
    <w:rsid w:val="006715D9"/>
    <w:rsid w:val="006715E4"/>
    <w:rsid w:val="00671687"/>
    <w:rsid w:val="00671699"/>
    <w:rsid w:val="006716A9"/>
    <w:rsid w:val="006716B8"/>
    <w:rsid w:val="006716BC"/>
    <w:rsid w:val="0067174A"/>
    <w:rsid w:val="0067178F"/>
    <w:rsid w:val="006717C3"/>
    <w:rsid w:val="006717C6"/>
    <w:rsid w:val="006717D5"/>
    <w:rsid w:val="00671821"/>
    <w:rsid w:val="00671832"/>
    <w:rsid w:val="00671846"/>
    <w:rsid w:val="00671897"/>
    <w:rsid w:val="00671926"/>
    <w:rsid w:val="00671953"/>
    <w:rsid w:val="0067196F"/>
    <w:rsid w:val="006719BF"/>
    <w:rsid w:val="00671A0E"/>
    <w:rsid w:val="00671A11"/>
    <w:rsid w:val="00671A1B"/>
    <w:rsid w:val="00671A4C"/>
    <w:rsid w:val="00671AD6"/>
    <w:rsid w:val="00671B0F"/>
    <w:rsid w:val="00671B2E"/>
    <w:rsid w:val="00671C2F"/>
    <w:rsid w:val="00671C76"/>
    <w:rsid w:val="00671C7C"/>
    <w:rsid w:val="00671CB2"/>
    <w:rsid w:val="00671CBB"/>
    <w:rsid w:val="00671CE7"/>
    <w:rsid w:val="00671D26"/>
    <w:rsid w:val="00671D7A"/>
    <w:rsid w:val="00671DA6"/>
    <w:rsid w:val="00671DB6"/>
    <w:rsid w:val="00671E12"/>
    <w:rsid w:val="00671E26"/>
    <w:rsid w:val="00671E55"/>
    <w:rsid w:val="00671E97"/>
    <w:rsid w:val="00671ECF"/>
    <w:rsid w:val="00671EFA"/>
    <w:rsid w:val="00671F6A"/>
    <w:rsid w:val="00671FA6"/>
    <w:rsid w:val="00671FAA"/>
    <w:rsid w:val="00671FE5"/>
    <w:rsid w:val="00671FFE"/>
    <w:rsid w:val="0067204D"/>
    <w:rsid w:val="00672076"/>
    <w:rsid w:val="00672131"/>
    <w:rsid w:val="00672156"/>
    <w:rsid w:val="006721C9"/>
    <w:rsid w:val="00672284"/>
    <w:rsid w:val="0067229A"/>
    <w:rsid w:val="006722A5"/>
    <w:rsid w:val="006722C7"/>
    <w:rsid w:val="00672350"/>
    <w:rsid w:val="0067236E"/>
    <w:rsid w:val="0067237A"/>
    <w:rsid w:val="006723D8"/>
    <w:rsid w:val="006723DA"/>
    <w:rsid w:val="006723DF"/>
    <w:rsid w:val="006723E9"/>
    <w:rsid w:val="00672448"/>
    <w:rsid w:val="0067245E"/>
    <w:rsid w:val="0067245F"/>
    <w:rsid w:val="0067248E"/>
    <w:rsid w:val="00672498"/>
    <w:rsid w:val="00672499"/>
    <w:rsid w:val="0067249D"/>
    <w:rsid w:val="00672561"/>
    <w:rsid w:val="00672567"/>
    <w:rsid w:val="006725E6"/>
    <w:rsid w:val="00672652"/>
    <w:rsid w:val="0067269B"/>
    <w:rsid w:val="006726DB"/>
    <w:rsid w:val="006726E5"/>
    <w:rsid w:val="006726F6"/>
    <w:rsid w:val="0067273D"/>
    <w:rsid w:val="006727EC"/>
    <w:rsid w:val="006727F4"/>
    <w:rsid w:val="00672802"/>
    <w:rsid w:val="0067282F"/>
    <w:rsid w:val="0067285E"/>
    <w:rsid w:val="00672881"/>
    <w:rsid w:val="0067288B"/>
    <w:rsid w:val="006728F6"/>
    <w:rsid w:val="00672905"/>
    <w:rsid w:val="00672954"/>
    <w:rsid w:val="00672956"/>
    <w:rsid w:val="006729E9"/>
    <w:rsid w:val="006729FD"/>
    <w:rsid w:val="00672A09"/>
    <w:rsid w:val="00672A58"/>
    <w:rsid w:val="00672A5B"/>
    <w:rsid w:val="00672B43"/>
    <w:rsid w:val="00672B71"/>
    <w:rsid w:val="00672B95"/>
    <w:rsid w:val="00672BED"/>
    <w:rsid w:val="00672BEE"/>
    <w:rsid w:val="00672C3E"/>
    <w:rsid w:val="00672C83"/>
    <w:rsid w:val="00672CA2"/>
    <w:rsid w:val="00672CB8"/>
    <w:rsid w:val="00672CD0"/>
    <w:rsid w:val="00672D7E"/>
    <w:rsid w:val="00672DB8"/>
    <w:rsid w:val="00672E48"/>
    <w:rsid w:val="00672E4C"/>
    <w:rsid w:val="00672E56"/>
    <w:rsid w:val="00672EDE"/>
    <w:rsid w:val="00672F2C"/>
    <w:rsid w:val="00672F4D"/>
    <w:rsid w:val="00672F6D"/>
    <w:rsid w:val="00672F9F"/>
    <w:rsid w:val="00672FA3"/>
    <w:rsid w:val="0067309B"/>
    <w:rsid w:val="006730B5"/>
    <w:rsid w:val="006730C9"/>
    <w:rsid w:val="006730D6"/>
    <w:rsid w:val="006731A3"/>
    <w:rsid w:val="006731E3"/>
    <w:rsid w:val="00673273"/>
    <w:rsid w:val="006732A9"/>
    <w:rsid w:val="00673310"/>
    <w:rsid w:val="00673319"/>
    <w:rsid w:val="00673326"/>
    <w:rsid w:val="00673345"/>
    <w:rsid w:val="006733B9"/>
    <w:rsid w:val="00673482"/>
    <w:rsid w:val="00673539"/>
    <w:rsid w:val="0067358E"/>
    <w:rsid w:val="0067359F"/>
    <w:rsid w:val="006735C5"/>
    <w:rsid w:val="00673669"/>
    <w:rsid w:val="00673704"/>
    <w:rsid w:val="0067371B"/>
    <w:rsid w:val="006737ED"/>
    <w:rsid w:val="0067388C"/>
    <w:rsid w:val="006738F2"/>
    <w:rsid w:val="00673919"/>
    <w:rsid w:val="0067392B"/>
    <w:rsid w:val="006739AF"/>
    <w:rsid w:val="006739C7"/>
    <w:rsid w:val="006739D9"/>
    <w:rsid w:val="006739E9"/>
    <w:rsid w:val="006739FB"/>
    <w:rsid w:val="00673A88"/>
    <w:rsid w:val="00673AD2"/>
    <w:rsid w:val="00673B29"/>
    <w:rsid w:val="00673B52"/>
    <w:rsid w:val="00673B7E"/>
    <w:rsid w:val="00673B88"/>
    <w:rsid w:val="00673BE1"/>
    <w:rsid w:val="00673C67"/>
    <w:rsid w:val="00673CB4"/>
    <w:rsid w:val="00673D2D"/>
    <w:rsid w:val="00673D9A"/>
    <w:rsid w:val="00673DA8"/>
    <w:rsid w:val="00673DBB"/>
    <w:rsid w:val="00673DEE"/>
    <w:rsid w:val="00673E2D"/>
    <w:rsid w:val="00673E32"/>
    <w:rsid w:val="00673F4F"/>
    <w:rsid w:val="00673F64"/>
    <w:rsid w:val="00673FF6"/>
    <w:rsid w:val="0067409A"/>
    <w:rsid w:val="006740C0"/>
    <w:rsid w:val="006740C3"/>
    <w:rsid w:val="00674134"/>
    <w:rsid w:val="00674157"/>
    <w:rsid w:val="00674158"/>
    <w:rsid w:val="006741B4"/>
    <w:rsid w:val="006741DF"/>
    <w:rsid w:val="00674205"/>
    <w:rsid w:val="00674222"/>
    <w:rsid w:val="006742B7"/>
    <w:rsid w:val="00674308"/>
    <w:rsid w:val="00674387"/>
    <w:rsid w:val="006743EB"/>
    <w:rsid w:val="00674427"/>
    <w:rsid w:val="00674478"/>
    <w:rsid w:val="006744C8"/>
    <w:rsid w:val="006744E1"/>
    <w:rsid w:val="006744F1"/>
    <w:rsid w:val="006744F9"/>
    <w:rsid w:val="006744FA"/>
    <w:rsid w:val="00674539"/>
    <w:rsid w:val="0067457E"/>
    <w:rsid w:val="00674663"/>
    <w:rsid w:val="00674693"/>
    <w:rsid w:val="006746A6"/>
    <w:rsid w:val="006746D3"/>
    <w:rsid w:val="006746E0"/>
    <w:rsid w:val="00674712"/>
    <w:rsid w:val="00674750"/>
    <w:rsid w:val="00674816"/>
    <w:rsid w:val="00674818"/>
    <w:rsid w:val="00674821"/>
    <w:rsid w:val="00674870"/>
    <w:rsid w:val="006748A1"/>
    <w:rsid w:val="006748AC"/>
    <w:rsid w:val="006748C1"/>
    <w:rsid w:val="006748C2"/>
    <w:rsid w:val="006748CF"/>
    <w:rsid w:val="006748F4"/>
    <w:rsid w:val="006748F9"/>
    <w:rsid w:val="00674901"/>
    <w:rsid w:val="00674948"/>
    <w:rsid w:val="0067497B"/>
    <w:rsid w:val="006749F1"/>
    <w:rsid w:val="00674A3B"/>
    <w:rsid w:val="00674A8A"/>
    <w:rsid w:val="00674AE2"/>
    <w:rsid w:val="00674AF0"/>
    <w:rsid w:val="00674B80"/>
    <w:rsid w:val="00674B8D"/>
    <w:rsid w:val="00674BB6"/>
    <w:rsid w:val="00674BE7"/>
    <w:rsid w:val="00674CB6"/>
    <w:rsid w:val="00674D77"/>
    <w:rsid w:val="00674DF0"/>
    <w:rsid w:val="00674E3F"/>
    <w:rsid w:val="00674E63"/>
    <w:rsid w:val="00674F1B"/>
    <w:rsid w:val="00674F20"/>
    <w:rsid w:val="00674F2F"/>
    <w:rsid w:val="00674F5C"/>
    <w:rsid w:val="00674F6B"/>
    <w:rsid w:val="00674F9C"/>
    <w:rsid w:val="00674F9F"/>
    <w:rsid w:val="00674FC0"/>
    <w:rsid w:val="00674FD1"/>
    <w:rsid w:val="00674FE5"/>
    <w:rsid w:val="006750D1"/>
    <w:rsid w:val="006750EE"/>
    <w:rsid w:val="0067513D"/>
    <w:rsid w:val="0067514C"/>
    <w:rsid w:val="00675175"/>
    <w:rsid w:val="006751CC"/>
    <w:rsid w:val="006751DF"/>
    <w:rsid w:val="006751FF"/>
    <w:rsid w:val="00675247"/>
    <w:rsid w:val="0067527E"/>
    <w:rsid w:val="006753AA"/>
    <w:rsid w:val="006753F7"/>
    <w:rsid w:val="0067546E"/>
    <w:rsid w:val="0067550E"/>
    <w:rsid w:val="0067563A"/>
    <w:rsid w:val="0067568A"/>
    <w:rsid w:val="00675691"/>
    <w:rsid w:val="00675698"/>
    <w:rsid w:val="006756BC"/>
    <w:rsid w:val="006756C6"/>
    <w:rsid w:val="006756F8"/>
    <w:rsid w:val="0067570E"/>
    <w:rsid w:val="00675732"/>
    <w:rsid w:val="00675767"/>
    <w:rsid w:val="006757A6"/>
    <w:rsid w:val="006757CD"/>
    <w:rsid w:val="00675836"/>
    <w:rsid w:val="0067583A"/>
    <w:rsid w:val="0067583E"/>
    <w:rsid w:val="00675856"/>
    <w:rsid w:val="0067585E"/>
    <w:rsid w:val="006758C3"/>
    <w:rsid w:val="0067595F"/>
    <w:rsid w:val="00675982"/>
    <w:rsid w:val="006759E2"/>
    <w:rsid w:val="00675A1F"/>
    <w:rsid w:val="00675A23"/>
    <w:rsid w:val="00675A6C"/>
    <w:rsid w:val="00675AA4"/>
    <w:rsid w:val="00675ACF"/>
    <w:rsid w:val="00675B47"/>
    <w:rsid w:val="00675B93"/>
    <w:rsid w:val="00675BA8"/>
    <w:rsid w:val="00675BBA"/>
    <w:rsid w:val="00675C21"/>
    <w:rsid w:val="00675C42"/>
    <w:rsid w:val="00675C8C"/>
    <w:rsid w:val="00675C97"/>
    <w:rsid w:val="00675C9C"/>
    <w:rsid w:val="00675CB0"/>
    <w:rsid w:val="00675CBE"/>
    <w:rsid w:val="00675CBF"/>
    <w:rsid w:val="00675CCF"/>
    <w:rsid w:val="00675CDF"/>
    <w:rsid w:val="00675CF0"/>
    <w:rsid w:val="00675CF8"/>
    <w:rsid w:val="00675CFC"/>
    <w:rsid w:val="00675D63"/>
    <w:rsid w:val="00675D8C"/>
    <w:rsid w:val="00675DD0"/>
    <w:rsid w:val="00675E4A"/>
    <w:rsid w:val="00675F12"/>
    <w:rsid w:val="00675F2F"/>
    <w:rsid w:val="00675FED"/>
    <w:rsid w:val="00676026"/>
    <w:rsid w:val="00676088"/>
    <w:rsid w:val="00676092"/>
    <w:rsid w:val="006760A7"/>
    <w:rsid w:val="006760C3"/>
    <w:rsid w:val="006760C9"/>
    <w:rsid w:val="006760FB"/>
    <w:rsid w:val="00676171"/>
    <w:rsid w:val="0067618E"/>
    <w:rsid w:val="006761A7"/>
    <w:rsid w:val="006761FF"/>
    <w:rsid w:val="00676210"/>
    <w:rsid w:val="00676251"/>
    <w:rsid w:val="00676252"/>
    <w:rsid w:val="00676279"/>
    <w:rsid w:val="0067629E"/>
    <w:rsid w:val="006762A1"/>
    <w:rsid w:val="00676303"/>
    <w:rsid w:val="00676333"/>
    <w:rsid w:val="00676338"/>
    <w:rsid w:val="00676363"/>
    <w:rsid w:val="00676383"/>
    <w:rsid w:val="006763A2"/>
    <w:rsid w:val="006763CE"/>
    <w:rsid w:val="0067650C"/>
    <w:rsid w:val="00676535"/>
    <w:rsid w:val="00676554"/>
    <w:rsid w:val="00676577"/>
    <w:rsid w:val="006765C5"/>
    <w:rsid w:val="00676609"/>
    <w:rsid w:val="00676670"/>
    <w:rsid w:val="0067671B"/>
    <w:rsid w:val="00676723"/>
    <w:rsid w:val="0067675B"/>
    <w:rsid w:val="0067677C"/>
    <w:rsid w:val="006767D6"/>
    <w:rsid w:val="0067681C"/>
    <w:rsid w:val="006768CD"/>
    <w:rsid w:val="00676952"/>
    <w:rsid w:val="00676963"/>
    <w:rsid w:val="00676982"/>
    <w:rsid w:val="006769B4"/>
    <w:rsid w:val="006769BF"/>
    <w:rsid w:val="006769D5"/>
    <w:rsid w:val="006769EC"/>
    <w:rsid w:val="006769F1"/>
    <w:rsid w:val="00676A9E"/>
    <w:rsid w:val="00676ADE"/>
    <w:rsid w:val="00676AF6"/>
    <w:rsid w:val="00676B4E"/>
    <w:rsid w:val="00676B65"/>
    <w:rsid w:val="00676BB9"/>
    <w:rsid w:val="00676BE5"/>
    <w:rsid w:val="00676C9A"/>
    <w:rsid w:val="00676CE9"/>
    <w:rsid w:val="00676D05"/>
    <w:rsid w:val="00676D46"/>
    <w:rsid w:val="00676D49"/>
    <w:rsid w:val="00676D51"/>
    <w:rsid w:val="00676DBA"/>
    <w:rsid w:val="00676DDF"/>
    <w:rsid w:val="00676E42"/>
    <w:rsid w:val="00676E46"/>
    <w:rsid w:val="00676E5C"/>
    <w:rsid w:val="00676E70"/>
    <w:rsid w:val="00676E7C"/>
    <w:rsid w:val="00676EA2"/>
    <w:rsid w:val="00676EB8"/>
    <w:rsid w:val="00676EEE"/>
    <w:rsid w:val="00676EF8"/>
    <w:rsid w:val="00676EFF"/>
    <w:rsid w:val="00676F46"/>
    <w:rsid w:val="00676F70"/>
    <w:rsid w:val="00676FBE"/>
    <w:rsid w:val="00676FE8"/>
    <w:rsid w:val="00676FF1"/>
    <w:rsid w:val="0067701A"/>
    <w:rsid w:val="00677059"/>
    <w:rsid w:val="0067710B"/>
    <w:rsid w:val="006771E3"/>
    <w:rsid w:val="006771E8"/>
    <w:rsid w:val="00677203"/>
    <w:rsid w:val="0067722D"/>
    <w:rsid w:val="00677234"/>
    <w:rsid w:val="00677350"/>
    <w:rsid w:val="00677355"/>
    <w:rsid w:val="0067735D"/>
    <w:rsid w:val="00677392"/>
    <w:rsid w:val="006773D5"/>
    <w:rsid w:val="00677461"/>
    <w:rsid w:val="00677497"/>
    <w:rsid w:val="006774DA"/>
    <w:rsid w:val="006774F0"/>
    <w:rsid w:val="00677546"/>
    <w:rsid w:val="00677588"/>
    <w:rsid w:val="006775D3"/>
    <w:rsid w:val="0067766A"/>
    <w:rsid w:val="00677670"/>
    <w:rsid w:val="006776A6"/>
    <w:rsid w:val="006776BE"/>
    <w:rsid w:val="006776CF"/>
    <w:rsid w:val="00677728"/>
    <w:rsid w:val="0067773B"/>
    <w:rsid w:val="0067776B"/>
    <w:rsid w:val="0067778C"/>
    <w:rsid w:val="006777CF"/>
    <w:rsid w:val="0067781B"/>
    <w:rsid w:val="00677825"/>
    <w:rsid w:val="006778D4"/>
    <w:rsid w:val="006778DC"/>
    <w:rsid w:val="00677912"/>
    <w:rsid w:val="0067791C"/>
    <w:rsid w:val="006779A7"/>
    <w:rsid w:val="006779C1"/>
    <w:rsid w:val="006779C7"/>
    <w:rsid w:val="00677A1E"/>
    <w:rsid w:val="00677AE6"/>
    <w:rsid w:val="00677B1E"/>
    <w:rsid w:val="00677B6C"/>
    <w:rsid w:val="00677BDB"/>
    <w:rsid w:val="00677BFA"/>
    <w:rsid w:val="00677C27"/>
    <w:rsid w:val="00677C55"/>
    <w:rsid w:val="00677C72"/>
    <w:rsid w:val="00677CAF"/>
    <w:rsid w:val="00677CE7"/>
    <w:rsid w:val="00677CE8"/>
    <w:rsid w:val="00677CEA"/>
    <w:rsid w:val="00677D38"/>
    <w:rsid w:val="00677D69"/>
    <w:rsid w:val="00677D7F"/>
    <w:rsid w:val="00677D8F"/>
    <w:rsid w:val="00677D94"/>
    <w:rsid w:val="00677DD5"/>
    <w:rsid w:val="00677E03"/>
    <w:rsid w:val="00677E93"/>
    <w:rsid w:val="00677EA0"/>
    <w:rsid w:val="00677EFF"/>
    <w:rsid w:val="00677F1F"/>
    <w:rsid w:val="00677F9A"/>
    <w:rsid w:val="00677FDA"/>
    <w:rsid w:val="0068003A"/>
    <w:rsid w:val="00680084"/>
    <w:rsid w:val="006800A4"/>
    <w:rsid w:val="006800B2"/>
    <w:rsid w:val="006800FC"/>
    <w:rsid w:val="0068013E"/>
    <w:rsid w:val="00680197"/>
    <w:rsid w:val="006801CE"/>
    <w:rsid w:val="00680217"/>
    <w:rsid w:val="006802D9"/>
    <w:rsid w:val="006802DD"/>
    <w:rsid w:val="006802EC"/>
    <w:rsid w:val="00680334"/>
    <w:rsid w:val="006803DC"/>
    <w:rsid w:val="00680406"/>
    <w:rsid w:val="0068041C"/>
    <w:rsid w:val="0068044C"/>
    <w:rsid w:val="006804BE"/>
    <w:rsid w:val="006804DB"/>
    <w:rsid w:val="006804DE"/>
    <w:rsid w:val="0068051E"/>
    <w:rsid w:val="0068057C"/>
    <w:rsid w:val="006805E2"/>
    <w:rsid w:val="006805E5"/>
    <w:rsid w:val="006805EB"/>
    <w:rsid w:val="006805FE"/>
    <w:rsid w:val="00680638"/>
    <w:rsid w:val="00680699"/>
    <w:rsid w:val="006806C5"/>
    <w:rsid w:val="00680727"/>
    <w:rsid w:val="00680755"/>
    <w:rsid w:val="0068075B"/>
    <w:rsid w:val="00680771"/>
    <w:rsid w:val="006807B7"/>
    <w:rsid w:val="006807C0"/>
    <w:rsid w:val="0068088A"/>
    <w:rsid w:val="006808DA"/>
    <w:rsid w:val="0068098D"/>
    <w:rsid w:val="006809B4"/>
    <w:rsid w:val="006809FE"/>
    <w:rsid w:val="00680A1D"/>
    <w:rsid w:val="00680A4F"/>
    <w:rsid w:val="00680A58"/>
    <w:rsid w:val="00680A83"/>
    <w:rsid w:val="00680A88"/>
    <w:rsid w:val="00680ACD"/>
    <w:rsid w:val="00680ADF"/>
    <w:rsid w:val="00680B17"/>
    <w:rsid w:val="00680B3D"/>
    <w:rsid w:val="00680B80"/>
    <w:rsid w:val="00680B8F"/>
    <w:rsid w:val="00680BA1"/>
    <w:rsid w:val="00680BCB"/>
    <w:rsid w:val="00680C1E"/>
    <w:rsid w:val="00680C86"/>
    <w:rsid w:val="00680CC4"/>
    <w:rsid w:val="00680CF6"/>
    <w:rsid w:val="00680D03"/>
    <w:rsid w:val="00680E17"/>
    <w:rsid w:val="00680E3A"/>
    <w:rsid w:val="00680E54"/>
    <w:rsid w:val="00680EC1"/>
    <w:rsid w:val="00680EE0"/>
    <w:rsid w:val="00680F3C"/>
    <w:rsid w:val="00680F58"/>
    <w:rsid w:val="00680F7B"/>
    <w:rsid w:val="006810D2"/>
    <w:rsid w:val="00681133"/>
    <w:rsid w:val="00681178"/>
    <w:rsid w:val="006811C4"/>
    <w:rsid w:val="006811D6"/>
    <w:rsid w:val="00681200"/>
    <w:rsid w:val="00681258"/>
    <w:rsid w:val="00681299"/>
    <w:rsid w:val="0068129B"/>
    <w:rsid w:val="006812A8"/>
    <w:rsid w:val="006812B7"/>
    <w:rsid w:val="00681338"/>
    <w:rsid w:val="0068133C"/>
    <w:rsid w:val="006813D4"/>
    <w:rsid w:val="006813DA"/>
    <w:rsid w:val="0068141C"/>
    <w:rsid w:val="006814FC"/>
    <w:rsid w:val="00681513"/>
    <w:rsid w:val="00681514"/>
    <w:rsid w:val="00681590"/>
    <w:rsid w:val="006815E2"/>
    <w:rsid w:val="00681609"/>
    <w:rsid w:val="0068162E"/>
    <w:rsid w:val="00681656"/>
    <w:rsid w:val="0068166E"/>
    <w:rsid w:val="00681677"/>
    <w:rsid w:val="00681689"/>
    <w:rsid w:val="0068176B"/>
    <w:rsid w:val="0068176C"/>
    <w:rsid w:val="00681774"/>
    <w:rsid w:val="006817CB"/>
    <w:rsid w:val="006817E5"/>
    <w:rsid w:val="00681829"/>
    <w:rsid w:val="0068185A"/>
    <w:rsid w:val="00681880"/>
    <w:rsid w:val="006818EE"/>
    <w:rsid w:val="00681904"/>
    <w:rsid w:val="00681913"/>
    <w:rsid w:val="0068195E"/>
    <w:rsid w:val="0068196E"/>
    <w:rsid w:val="00681A1E"/>
    <w:rsid w:val="00681A21"/>
    <w:rsid w:val="00681A4B"/>
    <w:rsid w:val="00681A6E"/>
    <w:rsid w:val="00681AF5"/>
    <w:rsid w:val="00681B45"/>
    <w:rsid w:val="00681B92"/>
    <w:rsid w:val="00681CA8"/>
    <w:rsid w:val="00681D56"/>
    <w:rsid w:val="00681D95"/>
    <w:rsid w:val="00681DF3"/>
    <w:rsid w:val="00681E03"/>
    <w:rsid w:val="00681E07"/>
    <w:rsid w:val="00681E93"/>
    <w:rsid w:val="00681F15"/>
    <w:rsid w:val="0068200D"/>
    <w:rsid w:val="00682018"/>
    <w:rsid w:val="0068204B"/>
    <w:rsid w:val="00682088"/>
    <w:rsid w:val="006820C7"/>
    <w:rsid w:val="006820EC"/>
    <w:rsid w:val="006820F2"/>
    <w:rsid w:val="0068212F"/>
    <w:rsid w:val="006821C8"/>
    <w:rsid w:val="0068221F"/>
    <w:rsid w:val="0068227F"/>
    <w:rsid w:val="00682345"/>
    <w:rsid w:val="0068239A"/>
    <w:rsid w:val="006823DB"/>
    <w:rsid w:val="00682460"/>
    <w:rsid w:val="006824B0"/>
    <w:rsid w:val="0068250E"/>
    <w:rsid w:val="0068254A"/>
    <w:rsid w:val="006825B1"/>
    <w:rsid w:val="006825F0"/>
    <w:rsid w:val="0068260B"/>
    <w:rsid w:val="006826B3"/>
    <w:rsid w:val="006826D1"/>
    <w:rsid w:val="006826DB"/>
    <w:rsid w:val="00682747"/>
    <w:rsid w:val="00682757"/>
    <w:rsid w:val="0068277D"/>
    <w:rsid w:val="0068278D"/>
    <w:rsid w:val="006827D5"/>
    <w:rsid w:val="00682808"/>
    <w:rsid w:val="0068281A"/>
    <w:rsid w:val="00682828"/>
    <w:rsid w:val="0068286A"/>
    <w:rsid w:val="006828A9"/>
    <w:rsid w:val="0068291F"/>
    <w:rsid w:val="00682987"/>
    <w:rsid w:val="006829D8"/>
    <w:rsid w:val="006829E0"/>
    <w:rsid w:val="00682A2D"/>
    <w:rsid w:val="00682AB9"/>
    <w:rsid w:val="00682AD6"/>
    <w:rsid w:val="00682B40"/>
    <w:rsid w:val="00682B75"/>
    <w:rsid w:val="00682BF5"/>
    <w:rsid w:val="00682C00"/>
    <w:rsid w:val="00682C1C"/>
    <w:rsid w:val="00682C21"/>
    <w:rsid w:val="00682C3E"/>
    <w:rsid w:val="00682C8B"/>
    <w:rsid w:val="00682C99"/>
    <w:rsid w:val="00682CBC"/>
    <w:rsid w:val="00682CE5"/>
    <w:rsid w:val="00682D69"/>
    <w:rsid w:val="00682D71"/>
    <w:rsid w:val="00682DB9"/>
    <w:rsid w:val="00682DBE"/>
    <w:rsid w:val="00682DD6"/>
    <w:rsid w:val="00682DFF"/>
    <w:rsid w:val="00682EA6"/>
    <w:rsid w:val="00682F1F"/>
    <w:rsid w:val="00682F48"/>
    <w:rsid w:val="00682F7B"/>
    <w:rsid w:val="00682FB8"/>
    <w:rsid w:val="00682FE5"/>
    <w:rsid w:val="00683031"/>
    <w:rsid w:val="00683090"/>
    <w:rsid w:val="006830F6"/>
    <w:rsid w:val="00683153"/>
    <w:rsid w:val="00683155"/>
    <w:rsid w:val="0068318F"/>
    <w:rsid w:val="006831A9"/>
    <w:rsid w:val="006831EC"/>
    <w:rsid w:val="00683218"/>
    <w:rsid w:val="0068324B"/>
    <w:rsid w:val="0068325E"/>
    <w:rsid w:val="006832A8"/>
    <w:rsid w:val="006832DC"/>
    <w:rsid w:val="006832E8"/>
    <w:rsid w:val="00683327"/>
    <w:rsid w:val="00683336"/>
    <w:rsid w:val="0068338D"/>
    <w:rsid w:val="0068339A"/>
    <w:rsid w:val="006833C1"/>
    <w:rsid w:val="0068340B"/>
    <w:rsid w:val="006834B0"/>
    <w:rsid w:val="0068352F"/>
    <w:rsid w:val="00683537"/>
    <w:rsid w:val="00683542"/>
    <w:rsid w:val="0068355C"/>
    <w:rsid w:val="006835C0"/>
    <w:rsid w:val="006836FB"/>
    <w:rsid w:val="0068371B"/>
    <w:rsid w:val="0068371C"/>
    <w:rsid w:val="00683748"/>
    <w:rsid w:val="0068377B"/>
    <w:rsid w:val="0068382B"/>
    <w:rsid w:val="00683880"/>
    <w:rsid w:val="00683889"/>
    <w:rsid w:val="006838D2"/>
    <w:rsid w:val="0068391E"/>
    <w:rsid w:val="00683929"/>
    <w:rsid w:val="00683954"/>
    <w:rsid w:val="0068399A"/>
    <w:rsid w:val="006839F7"/>
    <w:rsid w:val="00683A03"/>
    <w:rsid w:val="00683AE3"/>
    <w:rsid w:val="00683B2A"/>
    <w:rsid w:val="00683B61"/>
    <w:rsid w:val="00683B97"/>
    <w:rsid w:val="00683BBD"/>
    <w:rsid w:val="00683BE0"/>
    <w:rsid w:val="00683C07"/>
    <w:rsid w:val="00683C17"/>
    <w:rsid w:val="00683C42"/>
    <w:rsid w:val="00683C49"/>
    <w:rsid w:val="00683C92"/>
    <w:rsid w:val="00683CB0"/>
    <w:rsid w:val="00683CDD"/>
    <w:rsid w:val="00683CFD"/>
    <w:rsid w:val="00683D70"/>
    <w:rsid w:val="00683D72"/>
    <w:rsid w:val="00683D87"/>
    <w:rsid w:val="00683DBF"/>
    <w:rsid w:val="00683E09"/>
    <w:rsid w:val="00683EBD"/>
    <w:rsid w:val="00683ED4"/>
    <w:rsid w:val="00683EDA"/>
    <w:rsid w:val="00683EE7"/>
    <w:rsid w:val="00683F01"/>
    <w:rsid w:val="00683F03"/>
    <w:rsid w:val="00683F16"/>
    <w:rsid w:val="00683F33"/>
    <w:rsid w:val="0068400E"/>
    <w:rsid w:val="0068404D"/>
    <w:rsid w:val="00684051"/>
    <w:rsid w:val="00684052"/>
    <w:rsid w:val="0068405D"/>
    <w:rsid w:val="006840F8"/>
    <w:rsid w:val="00684116"/>
    <w:rsid w:val="00684136"/>
    <w:rsid w:val="00684140"/>
    <w:rsid w:val="00684172"/>
    <w:rsid w:val="0068422E"/>
    <w:rsid w:val="00684254"/>
    <w:rsid w:val="0068426A"/>
    <w:rsid w:val="006842CE"/>
    <w:rsid w:val="0068434D"/>
    <w:rsid w:val="00684390"/>
    <w:rsid w:val="00684410"/>
    <w:rsid w:val="0068447C"/>
    <w:rsid w:val="006844DF"/>
    <w:rsid w:val="00684526"/>
    <w:rsid w:val="00684575"/>
    <w:rsid w:val="006845FD"/>
    <w:rsid w:val="00684601"/>
    <w:rsid w:val="00684666"/>
    <w:rsid w:val="006846D1"/>
    <w:rsid w:val="00684728"/>
    <w:rsid w:val="006847D0"/>
    <w:rsid w:val="006847EF"/>
    <w:rsid w:val="0068481F"/>
    <w:rsid w:val="00684820"/>
    <w:rsid w:val="00684865"/>
    <w:rsid w:val="006848BF"/>
    <w:rsid w:val="006848DA"/>
    <w:rsid w:val="006848DF"/>
    <w:rsid w:val="006849C3"/>
    <w:rsid w:val="00684A31"/>
    <w:rsid w:val="00684A55"/>
    <w:rsid w:val="00684A95"/>
    <w:rsid w:val="00684B4C"/>
    <w:rsid w:val="00684BA8"/>
    <w:rsid w:val="00684BB3"/>
    <w:rsid w:val="00684BCD"/>
    <w:rsid w:val="00684BEC"/>
    <w:rsid w:val="00684BF9"/>
    <w:rsid w:val="00684C10"/>
    <w:rsid w:val="00684C2F"/>
    <w:rsid w:val="00684C89"/>
    <w:rsid w:val="00684CC8"/>
    <w:rsid w:val="00684D7C"/>
    <w:rsid w:val="00684D9E"/>
    <w:rsid w:val="00684DEC"/>
    <w:rsid w:val="00684E6D"/>
    <w:rsid w:val="00684EDA"/>
    <w:rsid w:val="00684EE4"/>
    <w:rsid w:val="00684F9C"/>
    <w:rsid w:val="00684FC2"/>
    <w:rsid w:val="0068500A"/>
    <w:rsid w:val="00685010"/>
    <w:rsid w:val="00685057"/>
    <w:rsid w:val="006850B2"/>
    <w:rsid w:val="006850B3"/>
    <w:rsid w:val="006850BC"/>
    <w:rsid w:val="006850FF"/>
    <w:rsid w:val="0068511F"/>
    <w:rsid w:val="00685123"/>
    <w:rsid w:val="006851B8"/>
    <w:rsid w:val="006851FF"/>
    <w:rsid w:val="00685201"/>
    <w:rsid w:val="00685205"/>
    <w:rsid w:val="0068524E"/>
    <w:rsid w:val="00685254"/>
    <w:rsid w:val="006852D7"/>
    <w:rsid w:val="006852D9"/>
    <w:rsid w:val="00685330"/>
    <w:rsid w:val="0068534A"/>
    <w:rsid w:val="00685356"/>
    <w:rsid w:val="0068536C"/>
    <w:rsid w:val="00685373"/>
    <w:rsid w:val="006853AE"/>
    <w:rsid w:val="00685417"/>
    <w:rsid w:val="0068543A"/>
    <w:rsid w:val="006854F5"/>
    <w:rsid w:val="0068550E"/>
    <w:rsid w:val="00685516"/>
    <w:rsid w:val="00685528"/>
    <w:rsid w:val="00685633"/>
    <w:rsid w:val="0068567C"/>
    <w:rsid w:val="006856A2"/>
    <w:rsid w:val="00685703"/>
    <w:rsid w:val="006857DC"/>
    <w:rsid w:val="00685839"/>
    <w:rsid w:val="0068585F"/>
    <w:rsid w:val="0068597A"/>
    <w:rsid w:val="0068598D"/>
    <w:rsid w:val="006859B9"/>
    <w:rsid w:val="006859DA"/>
    <w:rsid w:val="006859F9"/>
    <w:rsid w:val="00685A46"/>
    <w:rsid w:val="00685A52"/>
    <w:rsid w:val="00685AB9"/>
    <w:rsid w:val="00685AE1"/>
    <w:rsid w:val="00685AE6"/>
    <w:rsid w:val="00685B2F"/>
    <w:rsid w:val="00685CD5"/>
    <w:rsid w:val="00685CD9"/>
    <w:rsid w:val="00685CF0"/>
    <w:rsid w:val="00685D47"/>
    <w:rsid w:val="00685D78"/>
    <w:rsid w:val="00685D79"/>
    <w:rsid w:val="00685DCE"/>
    <w:rsid w:val="00685E00"/>
    <w:rsid w:val="00685E01"/>
    <w:rsid w:val="00685E4D"/>
    <w:rsid w:val="00685E85"/>
    <w:rsid w:val="00685E8B"/>
    <w:rsid w:val="00685E9F"/>
    <w:rsid w:val="00685EDE"/>
    <w:rsid w:val="00685F1A"/>
    <w:rsid w:val="00685F24"/>
    <w:rsid w:val="00685F96"/>
    <w:rsid w:val="00685FBD"/>
    <w:rsid w:val="00685FE6"/>
    <w:rsid w:val="00685FEA"/>
    <w:rsid w:val="00686020"/>
    <w:rsid w:val="0068603B"/>
    <w:rsid w:val="006860A3"/>
    <w:rsid w:val="006860BB"/>
    <w:rsid w:val="006860C7"/>
    <w:rsid w:val="006860D4"/>
    <w:rsid w:val="006860E5"/>
    <w:rsid w:val="0068611D"/>
    <w:rsid w:val="006861AF"/>
    <w:rsid w:val="006861F9"/>
    <w:rsid w:val="00686202"/>
    <w:rsid w:val="00686210"/>
    <w:rsid w:val="00686217"/>
    <w:rsid w:val="0068626E"/>
    <w:rsid w:val="0068628A"/>
    <w:rsid w:val="006862B9"/>
    <w:rsid w:val="006862FB"/>
    <w:rsid w:val="00686313"/>
    <w:rsid w:val="006863C6"/>
    <w:rsid w:val="006863C7"/>
    <w:rsid w:val="006863CA"/>
    <w:rsid w:val="006863D7"/>
    <w:rsid w:val="00686460"/>
    <w:rsid w:val="006864CE"/>
    <w:rsid w:val="006865DD"/>
    <w:rsid w:val="006866C2"/>
    <w:rsid w:val="006866E0"/>
    <w:rsid w:val="006866E9"/>
    <w:rsid w:val="006866F3"/>
    <w:rsid w:val="00686731"/>
    <w:rsid w:val="006867BD"/>
    <w:rsid w:val="0068680B"/>
    <w:rsid w:val="0068681D"/>
    <w:rsid w:val="00686859"/>
    <w:rsid w:val="006868AB"/>
    <w:rsid w:val="006868E8"/>
    <w:rsid w:val="00686963"/>
    <w:rsid w:val="00686971"/>
    <w:rsid w:val="006869B8"/>
    <w:rsid w:val="00686A9C"/>
    <w:rsid w:val="00686AFB"/>
    <w:rsid w:val="00686B0A"/>
    <w:rsid w:val="00686B59"/>
    <w:rsid w:val="00686BAD"/>
    <w:rsid w:val="00686BDD"/>
    <w:rsid w:val="00686BE3"/>
    <w:rsid w:val="00686BE7"/>
    <w:rsid w:val="00686C0D"/>
    <w:rsid w:val="00686C49"/>
    <w:rsid w:val="00686C56"/>
    <w:rsid w:val="00686C63"/>
    <w:rsid w:val="00686C72"/>
    <w:rsid w:val="00686D05"/>
    <w:rsid w:val="00686D3F"/>
    <w:rsid w:val="00686DA5"/>
    <w:rsid w:val="00686DAB"/>
    <w:rsid w:val="00686DE9"/>
    <w:rsid w:val="00686E0A"/>
    <w:rsid w:val="00686E13"/>
    <w:rsid w:val="00686E1D"/>
    <w:rsid w:val="00686E6B"/>
    <w:rsid w:val="00686ED8"/>
    <w:rsid w:val="00686EEF"/>
    <w:rsid w:val="00686F74"/>
    <w:rsid w:val="00686FF0"/>
    <w:rsid w:val="0068700D"/>
    <w:rsid w:val="0068702F"/>
    <w:rsid w:val="006870D2"/>
    <w:rsid w:val="006870E2"/>
    <w:rsid w:val="00687160"/>
    <w:rsid w:val="00687165"/>
    <w:rsid w:val="0068716C"/>
    <w:rsid w:val="00687184"/>
    <w:rsid w:val="00687192"/>
    <w:rsid w:val="006871A3"/>
    <w:rsid w:val="006871A7"/>
    <w:rsid w:val="006871E0"/>
    <w:rsid w:val="006872C2"/>
    <w:rsid w:val="006872C6"/>
    <w:rsid w:val="006872DF"/>
    <w:rsid w:val="00687314"/>
    <w:rsid w:val="00687322"/>
    <w:rsid w:val="006873D0"/>
    <w:rsid w:val="0068740F"/>
    <w:rsid w:val="0068741A"/>
    <w:rsid w:val="00687484"/>
    <w:rsid w:val="006874B8"/>
    <w:rsid w:val="006874DD"/>
    <w:rsid w:val="0068758F"/>
    <w:rsid w:val="006875CC"/>
    <w:rsid w:val="00687667"/>
    <w:rsid w:val="00687675"/>
    <w:rsid w:val="00687716"/>
    <w:rsid w:val="00687748"/>
    <w:rsid w:val="0068775A"/>
    <w:rsid w:val="0068781B"/>
    <w:rsid w:val="00687849"/>
    <w:rsid w:val="00687855"/>
    <w:rsid w:val="00687870"/>
    <w:rsid w:val="0068789F"/>
    <w:rsid w:val="006878D7"/>
    <w:rsid w:val="00687906"/>
    <w:rsid w:val="00687A54"/>
    <w:rsid w:val="00687A68"/>
    <w:rsid w:val="00687A9C"/>
    <w:rsid w:val="00687ADD"/>
    <w:rsid w:val="00687B22"/>
    <w:rsid w:val="00687B74"/>
    <w:rsid w:val="00687BEC"/>
    <w:rsid w:val="00687C12"/>
    <w:rsid w:val="00687C28"/>
    <w:rsid w:val="00687C35"/>
    <w:rsid w:val="00687CC3"/>
    <w:rsid w:val="00687D41"/>
    <w:rsid w:val="00687DA5"/>
    <w:rsid w:val="00687DCB"/>
    <w:rsid w:val="00687DCC"/>
    <w:rsid w:val="00687DD1"/>
    <w:rsid w:val="00687DE6"/>
    <w:rsid w:val="00687DFD"/>
    <w:rsid w:val="00687E1D"/>
    <w:rsid w:val="00687E6B"/>
    <w:rsid w:val="00687E9D"/>
    <w:rsid w:val="00687EA3"/>
    <w:rsid w:val="00687EF9"/>
    <w:rsid w:val="00687F08"/>
    <w:rsid w:val="00687F10"/>
    <w:rsid w:val="00687FC7"/>
    <w:rsid w:val="00687FEE"/>
    <w:rsid w:val="0068C66A"/>
    <w:rsid w:val="00690086"/>
    <w:rsid w:val="006900EA"/>
    <w:rsid w:val="006900EC"/>
    <w:rsid w:val="006901AB"/>
    <w:rsid w:val="0069026E"/>
    <w:rsid w:val="006902A5"/>
    <w:rsid w:val="006902F0"/>
    <w:rsid w:val="00690306"/>
    <w:rsid w:val="00690324"/>
    <w:rsid w:val="00690328"/>
    <w:rsid w:val="006903AB"/>
    <w:rsid w:val="00690425"/>
    <w:rsid w:val="006904FA"/>
    <w:rsid w:val="0069050D"/>
    <w:rsid w:val="0069051A"/>
    <w:rsid w:val="0069052A"/>
    <w:rsid w:val="006905A7"/>
    <w:rsid w:val="006905C2"/>
    <w:rsid w:val="0069063B"/>
    <w:rsid w:val="00690669"/>
    <w:rsid w:val="0069068C"/>
    <w:rsid w:val="00690716"/>
    <w:rsid w:val="0069072E"/>
    <w:rsid w:val="00690754"/>
    <w:rsid w:val="00690781"/>
    <w:rsid w:val="006907C9"/>
    <w:rsid w:val="006907EF"/>
    <w:rsid w:val="00690815"/>
    <w:rsid w:val="0069081B"/>
    <w:rsid w:val="0069087F"/>
    <w:rsid w:val="00690923"/>
    <w:rsid w:val="00690967"/>
    <w:rsid w:val="0069096D"/>
    <w:rsid w:val="006909D3"/>
    <w:rsid w:val="00690A2F"/>
    <w:rsid w:val="00690A34"/>
    <w:rsid w:val="00690A57"/>
    <w:rsid w:val="00690A6D"/>
    <w:rsid w:val="00690AF0"/>
    <w:rsid w:val="00690B73"/>
    <w:rsid w:val="00690BB1"/>
    <w:rsid w:val="00690BC2"/>
    <w:rsid w:val="00690BD1"/>
    <w:rsid w:val="00690BE9"/>
    <w:rsid w:val="00690C22"/>
    <w:rsid w:val="00690C6B"/>
    <w:rsid w:val="00690D18"/>
    <w:rsid w:val="00690D4C"/>
    <w:rsid w:val="00690D4D"/>
    <w:rsid w:val="00690D7B"/>
    <w:rsid w:val="00690D9C"/>
    <w:rsid w:val="00690DE4"/>
    <w:rsid w:val="00690E02"/>
    <w:rsid w:val="00690EC2"/>
    <w:rsid w:val="00690F0C"/>
    <w:rsid w:val="00690F1B"/>
    <w:rsid w:val="00690F4C"/>
    <w:rsid w:val="00690F57"/>
    <w:rsid w:val="00690F7C"/>
    <w:rsid w:val="00690F8E"/>
    <w:rsid w:val="00690FFE"/>
    <w:rsid w:val="00691018"/>
    <w:rsid w:val="006910AA"/>
    <w:rsid w:val="006910CE"/>
    <w:rsid w:val="006910D0"/>
    <w:rsid w:val="00691122"/>
    <w:rsid w:val="00691123"/>
    <w:rsid w:val="00691145"/>
    <w:rsid w:val="00691149"/>
    <w:rsid w:val="00691153"/>
    <w:rsid w:val="0069116C"/>
    <w:rsid w:val="00691171"/>
    <w:rsid w:val="00691197"/>
    <w:rsid w:val="006911C3"/>
    <w:rsid w:val="006911CE"/>
    <w:rsid w:val="0069122F"/>
    <w:rsid w:val="00691233"/>
    <w:rsid w:val="0069127A"/>
    <w:rsid w:val="00691288"/>
    <w:rsid w:val="006912D4"/>
    <w:rsid w:val="0069131A"/>
    <w:rsid w:val="00691380"/>
    <w:rsid w:val="006913BA"/>
    <w:rsid w:val="006913F9"/>
    <w:rsid w:val="0069146B"/>
    <w:rsid w:val="006914F9"/>
    <w:rsid w:val="0069154F"/>
    <w:rsid w:val="00691575"/>
    <w:rsid w:val="0069159C"/>
    <w:rsid w:val="006915B9"/>
    <w:rsid w:val="006915DD"/>
    <w:rsid w:val="006915E7"/>
    <w:rsid w:val="00691606"/>
    <w:rsid w:val="006916EE"/>
    <w:rsid w:val="0069170F"/>
    <w:rsid w:val="0069172D"/>
    <w:rsid w:val="00691738"/>
    <w:rsid w:val="0069177C"/>
    <w:rsid w:val="00691791"/>
    <w:rsid w:val="0069185E"/>
    <w:rsid w:val="006918FB"/>
    <w:rsid w:val="0069191F"/>
    <w:rsid w:val="00691976"/>
    <w:rsid w:val="0069198C"/>
    <w:rsid w:val="006919FD"/>
    <w:rsid w:val="00691A0A"/>
    <w:rsid w:val="00691A0C"/>
    <w:rsid w:val="00691A13"/>
    <w:rsid w:val="00691AB4"/>
    <w:rsid w:val="00691BF6"/>
    <w:rsid w:val="00691BFA"/>
    <w:rsid w:val="00691C00"/>
    <w:rsid w:val="00691C08"/>
    <w:rsid w:val="00691CA2"/>
    <w:rsid w:val="00691D36"/>
    <w:rsid w:val="00691D5A"/>
    <w:rsid w:val="00691D72"/>
    <w:rsid w:val="00691D81"/>
    <w:rsid w:val="00691DCE"/>
    <w:rsid w:val="00691E07"/>
    <w:rsid w:val="00691E49"/>
    <w:rsid w:val="00691E8D"/>
    <w:rsid w:val="00691F09"/>
    <w:rsid w:val="00691F41"/>
    <w:rsid w:val="00691F43"/>
    <w:rsid w:val="00691F5E"/>
    <w:rsid w:val="00691FBF"/>
    <w:rsid w:val="00691FF7"/>
    <w:rsid w:val="00692013"/>
    <w:rsid w:val="00692034"/>
    <w:rsid w:val="0069204C"/>
    <w:rsid w:val="0069205D"/>
    <w:rsid w:val="0069206D"/>
    <w:rsid w:val="0069206E"/>
    <w:rsid w:val="00692090"/>
    <w:rsid w:val="006920BF"/>
    <w:rsid w:val="006920D3"/>
    <w:rsid w:val="006920E6"/>
    <w:rsid w:val="00692180"/>
    <w:rsid w:val="006921D0"/>
    <w:rsid w:val="00692202"/>
    <w:rsid w:val="00692211"/>
    <w:rsid w:val="0069221B"/>
    <w:rsid w:val="00692225"/>
    <w:rsid w:val="006922AD"/>
    <w:rsid w:val="00692317"/>
    <w:rsid w:val="00692450"/>
    <w:rsid w:val="0069247B"/>
    <w:rsid w:val="006924B2"/>
    <w:rsid w:val="006924CC"/>
    <w:rsid w:val="006924D4"/>
    <w:rsid w:val="006924EA"/>
    <w:rsid w:val="00692586"/>
    <w:rsid w:val="006925BF"/>
    <w:rsid w:val="006925C2"/>
    <w:rsid w:val="006926E9"/>
    <w:rsid w:val="00692735"/>
    <w:rsid w:val="0069275C"/>
    <w:rsid w:val="006927A0"/>
    <w:rsid w:val="006927B0"/>
    <w:rsid w:val="00692806"/>
    <w:rsid w:val="00692822"/>
    <w:rsid w:val="00692841"/>
    <w:rsid w:val="00692855"/>
    <w:rsid w:val="00692856"/>
    <w:rsid w:val="00692908"/>
    <w:rsid w:val="00692909"/>
    <w:rsid w:val="0069290F"/>
    <w:rsid w:val="00692916"/>
    <w:rsid w:val="00692932"/>
    <w:rsid w:val="00692939"/>
    <w:rsid w:val="00692946"/>
    <w:rsid w:val="00692AD8"/>
    <w:rsid w:val="00692B0B"/>
    <w:rsid w:val="00692B30"/>
    <w:rsid w:val="00692B4F"/>
    <w:rsid w:val="00692BD9"/>
    <w:rsid w:val="00692BF6"/>
    <w:rsid w:val="00692C5A"/>
    <w:rsid w:val="00692CB9"/>
    <w:rsid w:val="00692CD9"/>
    <w:rsid w:val="00692D36"/>
    <w:rsid w:val="00692D5C"/>
    <w:rsid w:val="00692D91"/>
    <w:rsid w:val="00692E47"/>
    <w:rsid w:val="00692E91"/>
    <w:rsid w:val="00692E9F"/>
    <w:rsid w:val="00692EDA"/>
    <w:rsid w:val="00692EDF"/>
    <w:rsid w:val="00692F05"/>
    <w:rsid w:val="00692F2F"/>
    <w:rsid w:val="00692F89"/>
    <w:rsid w:val="00692FA0"/>
    <w:rsid w:val="00692FDB"/>
    <w:rsid w:val="0069305C"/>
    <w:rsid w:val="006930BC"/>
    <w:rsid w:val="006930F9"/>
    <w:rsid w:val="0069313A"/>
    <w:rsid w:val="00693161"/>
    <w:rsid w:val="006931A9"/>
    <w:rsid w:val="006931B8"/>
    <w:rsid w:val="006931EF"/>
    <w:rsid w:val="00693229"/>
    <w:rsid w:val="006932E2"/>
    <w:rsid w:val="006932EB"/>
    <w:rsid w:val="00693301"/>
    <w:rsid w:val="0069332B"/>
    <w:rsid w:val="00693332"/>
    <w:rsid w:val="006933CA"/>
    <w:rsid w:val="00693435"/>
    <w:rsid w:val="00693439"/>
    <w:rsid w:val="00693467"/>
    <w:rsid w:val="006934CF"/>
    <w:rsid w:val="00693523"/>
    <w:rsid w:val="00693531"/>
    <w:rsid w:val="00693552"/>
    <w:rsid w:val="00693588"/>
    <w:rsid w:val="0069358B"/>
    <w:rsid w:val="0069361D"/>
    <w:rsid w:val="00693646"/>
    <w:rsid w:val="00693647"/>
    <w:rsid w:val="0069366F"/>
    <w:rsid w:val="00693686"/>
    <w:rsid w:val="006936AC"/>
    <w:rsid w:val="006936CE"/>
    <w:rsid w:val="006936FE"/>
    <w:rsid w:val="0069373F"/>
    <w:rsid w:val="00693753"/>
    <w:rsid w:val="00693757"/>
    <w:rsid w:val="006937A0"/>
    <w:rsid w:val="006937CC"/>
    <w:rsid w:val="00693821"/>
    <w:rsid w:val="00693866"/>
    <w:rsid w:val="006939EF"/>
    <w:rsid w:val="00693A12"/>
    <w:rsid w:val="00693A27"/>
    <w:rsid w:val="00693A56"/>
    <w:rsid w:val="00693A68"/>
    <w:rsid w:val="00693AD5"/>
    <w:rsid w:val="00693B5C"/>
    <w:rsid w:val="00693B8D"/>
    <w:rsid w:val="00693BDD"/>
    <w:rsid w:val="00693BF5"/>
    <w:rsid w:val="00693C04"/>
    <w:rsid w:val="00693C40"/>
    <w:rsid w:val="00693CD1"/>
    <w:rsid w:val="00693D0E"/>
    <w:rsid w:val="00693D38"/>
    <w:rsid w:val="00693D3C"/>
    <w:rsid w:val="00693E14"/>
    <w:rsid w:val="00693E3B"/>
    <w:rsid w:val="00693ED0"/>
    <w:rsid w:val="00693FE4"/>
    <w:rsid w:val="00694054"/>
    <w:rsid w:val="00694077"/>
    <w:rsid w:val="006940D0"/>
    <w:rsid w:val="006940F0"/>
    <w:rsid w:val="00694186"/>
    <w:rsid w:val="006941A3"/>
    <w:rsid w:val="006941C8"/>
    <w:rsid w:val="0069428F"/>
    <w:rsid w:val="006942BD"/>
    <w:rsid w:val="006942DA"/>
    <w:rsid w:val="006942E5"/>
    <w:rsid w:val="00694319"/>
    <w:rsid w:val="006943A9"/>
    <w:rsid w:val="006943E5"/>
    <w:rsid w:val="006943F8"/>
    <w:rsid w:val="00694472"/>
    <w:rsid w:val="00694497"/>
    <w:rsid w:val="0069449F"/>
    <w:rsid w:val="006944B7"/>
    <w:rsid w:val="0069453F"/>
    <w:rsid w:val="00694558"/>
    <w:rsid w:val="006945DE"/>
    <w:rsid w:val="006945E3"/>
    <w:rsid w:val="006945E8"/>
    <w:rsid w:val="006945F2"/>
    <w:rsid w:val="00694605"/>
    <w:rsid w:val="00694662"/>
    <w:rsid w:val="0069468A"/>
    <w:rsid w:val="00694725"/>
    <w:rsid w:val="00694760"/>
    <w:rsid w:val="0069477B"/>
    <w:rsid w:val="006947E3"/>
    <w:rsid w:val="0069480F"/>
    <w:rsid w:val="0069485F"/>
    <w:rsid w:val="00694885"/>
    <w:rsid w:val="006948D6"/>
    <w:rsid w:val="00694969"/>
    <w:rsid w:val="0069499F"/>
    <w:rsid w:val="00694A16"/>
    <w:rsid w:val="00694A5C"/>
    <w:rsid w:val="00694B3B"/>
    <w:rsid w:val="00694B73"/>
    <w:rsid w:val="00694C3C"/>
    <w:rsid w:val="00694CBB"/>
    <w:rsid w:val="00694CC1"/>
    <w:rsid w:val="00694CF2"/>
    <w:rsid w:val="00694CF7"/>
    <w:rsid w:val="00694CF9"/>
    <w:rsid w:val="00694D36"/>
    <w:rsid w:val="00694D77"/>
    <w:rsid w:val="00694E0A"/>
    <w:rsid w:val="00694E39"/>
    <w:rsid w:val="00694EAF"/>
    <w:rsid w:val="00694F03"/>
    <w:rsid w:val="00694F46"/>
    <w:rsid w:val="00694F4C"/>
    <w:rsid w:val="00695004"/>
    <w:rsid w:val="00695065"/>
    <w:rsid w:val="006950A1"/>
    <w:rsid w:val="006950DE"/>
    <w:rsid w:val="006950FA"/>
    <w:rsid w:val="00695149"/>
    <w:rsid w:val="0069514F"/>
    <w:rsid w:val="00695187"/>
    <w:rsid w:val="006951BD"/>
    <w:rsid w:val="00695240"/>
    <w:rsid w:val="00695248"/>
    <w:rsid w:val="0069527C"/>
    <w:rsid w:val="006952DA"/>
    <w:rsid w:val="00695363"/>
    <w:rsid w:val="00695365"/>
    <w:rsid w:val="006953AC"/>
    <w:rsid w:val="006953CF"/>
    <w:rsid w:val="0069540C"/>
    <w:rsid w:val="00695440"/>
    <w:rsid w:val="0069544A"/>
    <w:rsid w:val="00695457"/>
    <w:rsid w:val="006954B0"/>
    <w:rsid w:val="0069554D"/>
    <w:rsid w:val="00695577"/>
    <w:rsid w:val="0069558A"/>
    <w:rsid w:val="006955B2"/>
    <w:rsid w:val="006955C0"/>
    <w:rsid w:val="006955D6"/>
    <w:rsid w:val="006955E2"/>
    <w:rsid w:val="006955F5"/>
    <w:rsid w:val="0069560B"/>
    <w:rsid w:val="00695653"/>
    <w:rsid w:val="00695660"/>
    <w:rsid w:val="0069566A"/>
    <w:rsid w:val="0069570F"/>
    <w:rsid w:val="0069576A"/>
    <w:rsid w:val="006957F9"/>
    <w:rsid w:val="00695868"/>
    <w:rsid w:val="0069589B"/>
    <w:rsid w:val="006958D3"/>
    <w:rsid w:val="006958EB"/>
    <w:rsid w:val="00695916"/>
    <w:rsid w:val="00695920"/>
    <w:rsid w:val="00695921"/>
    <w:rsid w:val="00695942"/>
    <w:rsid w:val="00695981"/>
    <w:rsid w:val="00695982"/>
    <w:rsid w:val="006959A2"/>
    <w:rsid w:val="00695A92"/>
    <w:rsid w:val="00695AA3"/>
    <w:rsid w:val="00695AEA"/>
    <w:rsid w:val="00695B33"/>
    <w:rsid w:val="00695B3C"/>
    <w:rsid w:val="00695B5D"/>
    <w:rsid w:val="00695B71"/>
    <w:rsid w:val="00695B9D"/>
    <w:rsid w:val="00695BAF"/>
    <w:rsid w:val="00695BFB"/>
    <w:rsid w:val="00695C9F"/>
    <w:rsid w:val="00695CF0"/>
    <w:rsid w:val="00695D7A"/>
    <w:rsid w:val="00695D8B"/>
    <w:rsid w:val="00695DDA"/>
    <w:rsid w:val="00695E14"/>
    <w:rsid w:val="00695E67"/>
    <w:rsid w:val="00695E68"/>
    <w:rsid w:val="00695EDB"/>
    <w:rsid w:val="00695F05"/>
    <w:rsid w:val="00695F39"/>
    <w:rsid w:val="00695F62"/>
    <w:rsid w:val="00695F69"/>
    <w:rsid w:val="00695F71"/>
    <w:rsid w:val="00695F76"/>
    <w:rsid w:val="00695F9A"/>
    <w:rsid w:val="00695FA9"/>
    <w:rsid w:val="00695FF1"/>
    <w:rsid w:val="0069604F"/>
    <w:rsid w:val="0069607B"/>
    <w:rsid w:val="0069608C"/>
    <w:rsid w:val="006960AD"/>
    <w:rsid w:val="006960C9"/>
    <w:rsid w:val="006960DD"/>
    <w:rsid w:val="006960DF"/>
    <w:rsid w:val="00696134"/>
    <w:rsid w:val="00696139"/>
    <w:rsid w:val="006961DF"/>
    <w:rsid w:val="006961F2"/>
    <w:rsid w:val="00696205"/>
    <w:rsid w:val="006962B7"/>
    <w:rsid w:val="006962C4"/>
    <w:rsid w:val="006962EB"/>
    <w:rsid w:val="0069630D"/>
    <w:rsid w:val="0069635E"/>
    <w:rsid w:val="0069636F"/>
    <w:rsid w:val="006963BB"/>
    <w:rsid w:val="006963C0"/>
    <w:rsid w:val="00696426"/>
    <w:rsid w:val="00696434"/>
    <w:rsid w:val="00696465"/>
    <w:rsid w:val="00696482"/>
    <w:rsid w:val="006964F7"/>
    <w:rsid w:val="0069650F"/>
    <w:rsid w:val="00696521"/>
    <w:rsid w:val="00696566"/>
    <w:rsid w:val="006965BE"/>
    <w:rsid w:val="006966C7"/>
    <w:rsid w:val="006966F6"/>
    <w:rsid w:val="00696798"/>
    <w:rsid w:val="006967A1"/>
    <w:rsid w:val="0069681D"/>
    <w:rsid w:val="00696846"/>
    <w:rsid w:val="0069685E"/>
    <w:rsid w:val="00696879"/>
    <w:rsid w:val="00696911"/>
    <w:rsid w:val="0069694F"/>
    <w:rsid w:val="006969AD"/>
    <w:rsid w:val="006969B7"/>
    <w:rsid w:val="006969CC"/>
    <w:rsid w:val="00696A2C"/>
    <w:rsid w:val="00696A3A"/>
    <w:rsid w:val="00696A6B"/>
    <w:rsid w:val="00696ABA"/>
    <w:rsid w:val="00696B4F"/>
    <w:rsid w:val="00696B77"/>
    <w:rsid w:val="00696BB7"/>
    <w:rsid w:val="00696BC6"/>
    <w:rsid w:val="00696C0E"/>
    <w:rsid w:val="00696C14"/>
    <w:rsid w:val="00696C39"/>
    <w:rsid w:val="00696C87"/>
    <w:rsid w:val="00696CCC"/>
    <w:rsid w:val="00696CF5"/>
    <w:rsid w:val="00696D04"/>
    <w:rsid w:val="00696D24"/>
    <w:rsid w:val="00696D3B"/>
    <w:rsid w:val="00696D56"/>
    <w:rsid w:val="00696D84"/>
    <w:rsid w:val="00696DB2"/>
    <w:rsid w:val="00696DC7"/>
    <w:rsid w:val="00696E3E"/>
    <w:rsid w:val="00696E44"/>
    <w:rsid w:val="00696E5D"/>
    <w:rsid w:val="00696EAD"/>
    <w:rsid w:val="0069701A"/>
    <w:rsid w:val="006970CC"/>
    <w:rsid w:val="006970E3"/>
    <w:rsid w:val="006970FB"/>
    <w:rsid w:val="0069712D"/>
    <w:rsid w:val="00697136"/>
    <w:rsid w:val="006971CB"/>
    <w:rsid w:val="00697244"/>
    <w:rsid w:val="006972E3"/>
    <w:rsid w:val="0069734F"/>
    <w:rsid w:val="00697352"/>
    <w:rsid w:val="00697368"/>
    <w:rsid w:val="006973CB"/>
    <w:rsid w:val="00697432"/>
    <w:rsid w:val="00697453"/>
    <w:rsid w:val="00697473"/>
    <w:rsid w:val="00697494"/>
    <w:rsid w:val="006974CD"/>
    <w:rsid w:val="006974F5"/>
    <w:rsid w:val="00697504"/>
    <w:rsid w:val="00697545"/>
    <w:rsid w:val="0069756C"/>
    <w:rsid w:val="0069757E"/>
    <w:rsid w:val="006975C0"/>
    <w:rsid w:val="006975C2"/>
    <w:rsid w:val="0069760B"/>
    <w:rsid w:val="00697634"/>
    <w:rsid w:val="00697637"/>
    <w:rsid w:val="00697664"/>
    <w:rsid w:val="0069769C"/>
    <w:rsid w:val="006976B2"/>
    <w:rsid w:val="006976E1"/>
    <w:rsid w:val="00697717"/>
    <w:rsid w:val="0069779F"/>
    <w:rsid w:val="006977A5"/>
    <w:rsid w:val="006977C7"/>
    <w:rsid w:val="00697829"/>
    <w:rsid w:val="00697861"/>
    <w:rsid w:val="0069788B"/>
    <w:rsid w:val="00697894"/>
    <w:rsid w:val="006978FC"/>
    <w:rsid w:val="006978FE"/>
    <w:rsid w:val="0069790E"/>
    <w:rsid w:val="00697918"/>
    <w:rsid w:val="0069799B"/>
    <w:rsid w:val="006979A5"/>
    <w:rsid w:val="006979B6"/>
    <w:rsid w:val="006979D5"/>
    <w:rsid w:val="006979F1"/>
    <w:rsid w:val="00697A57"/>
    <w:rsid w:val="00697B1F"/>
    <w:rsid w:val="00697B7E"/>
    <w:rsid w:val="00697BF2"/>
    <w:rsid w:val="00697BF6"/>
    <w:rsid w:val="00697C16"/>
    <w:rsid w:val="00697C45"/>
    <w:rsid w:val="00697C6A"/>
    <w:rsid w:val="00697C9C"/>
    <w:rsid w:val="00697CD5"/>
    <w:rsid w:val="00697CE4"/>
    <w:rsid w:val="00697D22"/>
    <w:rsid w:val="00697D59"/>
    <w:rsid w:val="00697D63"/>
    <w:rsid w:val="00697D6C"/>
    <w:rsid w:val="00697D7A"/>
    <w:rsid w:val="00697DFE"/>
    <w:rsid w:val="00697E01"/>
    <w:rsid w:val="00697E3F"/>
    <w:rsid w:val="00697E4B"/>
    <w:rsid w:val="00697E5E"/>
    <w:rsid w:val="00697E6A"/>
    <w:rsid w:val="00697E73"/>
    <w:rsid w:val="00697FDC"/>
    <w:rsid w:val="006A006A"/>
    <w:rsid w:val="006A0098"/>
    <w:rsid w:val="006A009F"/>
    <w:rsid w:val="006A0119"/>
    <w:rsid w:val="006A01A4"/>
    <w:rsid w:val="006A0201"/>
    <w:rsid w:val="006A0242"/>
    <w:rsid w:val="006A0258"/>
    <w:rsid w:val="006A0289"/>
    <w:rsid w:val="006A02F9"/>
    <w:rsid w:val="006A0326"/>
    <w:rsid w:val="006A0380"/>
    <w:rsid w:val="006A038E"/>
    <w:rsid w:val="006A03E7"/>
    <w:rsid w:val="006A03FA"/>
    <w:rsid w:val="006A0448"/>
    <w:rsid w:val="006A04BB"/>
    <w:rsid w:val="006A04F1"/>
    <w:rsid w:val="006A050E"/>
    <w:rsid w:val="006A054B"/>
    <w:rsid w:val="006A057B"/>
    <w:rsid w:val="006A059E"/>
    <w:rsid w:val="006A05EA"/>
    <w:rsid w:val="006A05EE"/>
    <w:rsid w:val="006A061C"/>
    <w:rsid w:val="006A0639"/>
    <w:rsid w:val="006A0664"/>
    <w:rsid w:val="006A068C"/>
    <w:rsid w:val="006A068F"/>
    <w:rsid w:val="006A06E5"/>
    <w:rsid w:val="006A076F"/>
    <w:rsid w:val="006A077B"/>
    <w:rsid w:val="006A07D4"/>
    <w:rsid w:val="006A07E8"/>
    <w:rsid w:val="006A0806"/>
    <w:rsid w:val="006A0858"/>
    <w:rsid w:val="006A085C"/>
    <w:rsid w:val="006A08F3"/>
    <w:rsid w:val="006A093F"/>
    <w:rsid w:val="006A095D"/>
    <w:rsid w:val="006A09D4"/>
    <w:rsid w:val="006A09EF"/>
    <w:rsid w:val="006A09F7"/>
    <w:rsid w:val="006A0A1E"/>
    <w:rsid w:val="006A0A2D"/>
    <w:rsid w:val="006A0AA0"/>
    <w:rsid w:val="006A0ADD"/>
    <w:rsid w:val="006A0BDF"/>
    <w:rsid w:val="006A0BE5"/>
    <w:rsid w:val="006A0C1B"/>
    <w:rsid w:val="006A0C68"/>
    <w:rsid w:val="006A0C88"/>
    <w:rsid w:val="006A0CF0"/>
    <w:rsid w:val="006A0CF6"/>
    <w:rsid w:val="006A0D0D"/>
    <w:rsid w:val="006A0DB9"/>
    <w:rsid w:val="006A0DEA"/>
    <w:rsid w:val="006A0E0F"/>
    <w:rsid w:val="006A0E38"/>
    <w:rsid w:val="006A0EB0"/>
    <w:rsid w:val="006A0F31"/>
    <w:rsid w:val="006A0F4F"/>
    <w:rsid w:val="006A0F70"/>
    <w:rsid w:val="006A0FFE"/>
    <w:rsid w:val="006A100E"/>
    <w:rsid w:val="006A1018"/>
    <w:rsid w:val="006A1022"/>
    <w:rsid w:val="006A104E"/>
    <w:rsid w:val="006A10D4"/>
    <w:rsid w:val="006A110A"/>
    <w:rsid w:val="006A1124"/>
    <w:rsid w:val="006A113F"/>
    <w:rsid w:val="006A11A1"/>
    <w:rsid w:val="006A11B3"/>
    <w:rsid w:val="006A11F3"/>
    <w:rsid w:val="006A1221"/>
    <w:rsid w:val="006A124E"/>
    <w:rsid w:val="006A12C8"/>
    <w:rsid w:val="006A12CB"/>
    <w:rsid w:val="006A1328"/>
    <w:rsid w:val="006A133E"/>
    <w:rsid w:val="006A1363"/>
    <w:rsid w:val="006A1379"/>
    <w:rsid w:val="006A1407"/>
    <w:rsid w:val="006A1447"/>
    <w:rsid w:val="006A1492"/>
    <w:rsid w:val="006A1541"/>
    <w:rsid w:val="006A1549"/>
    <w:rsid w:val="006A1582"/>
    <w:rsid w:val="006A15D2"/>
    <w:rsid w:val="006A15D5"/>
    <w:rsid w:val="006A1664"/>
    <w:rsid w:val="006A16DE"/>
    <w:rsid w:val="006A16EF"/>
    <w:rsid w:val="006A1704"/>
    <w:rsid w:val="006A171E"/>
    <w:rsid w:val="006A1738"/>
    <w:rsid w:val="006A173E"/>
    <w:rsid w:val="006A1771"/>
    <w:rsid w:val="006A17D5"/>
    <w:rsid w:val="006A1892"/>
    <w:rsid w:val="006A191F"/>
    <w:rsid w:val="006A1993"/>
    <w:rsid w:val="006A19D5"/>
    <w:rsid w:val="006A19F0"/>
    <w:rsid w:val="006A1A24"/>
    <w:rsid w:val="006A1A4B"/>
    <w:rsid w:val="006A1AAD"/>
    <w:rsid w:val="006A1AC5"/>
    <w:rsid w:val="006A1AD8"/>
    <w:rsid w:val="006A1AF5"/>
    <w:rsid w:val="006A1B19"/>
    <w:rsid w:val="006A1B6F"/>
    <w:rsid w:val="006A1B7D"/>
    <w:rsid w:val="006A1B8D"/>
    <w:rsid w:val="006A1B9A"/>
    <w:rsid w:val="006A1C03"/>
    <w:rsid w:val="006A1C3C"/>
    <w:rsid w:val="006A1C98"/>
    <w:rsid w:val="006A1CC9"/>
    <w:rsid w:val="006A1DEA"/>
    <w:rsid w:val="006A1E0B"/>
    <w:rsid w:val="006A1E28"/>
    <w:rsid w:val="006A1E4E"/>
    <w:rsid w:val="006A1E7B"/>
    <w:rsid w:val="006A1ECC"/>
    <w:rsid w:val="006A1ED1"/>
    <w:rsid w:val="006A1EEA"/>
    <w:rsid w:val="006A1EEC"/>
    <w:rsid w:val="006A1F4E"/>
    <w:rsid w:val="006A1F7B"/>
    <w:rsid w:val="006A1FCE"/>
    <w:rsid w:val="006A1FD1"/>
    <w:rsid w:val="006A1FE5"/>
    <w:rsid w:val="006A2091"/>
    <w:rsid w:val="006A20A4"/>
    <w:rsid w:val="006A20C6"/>
    <w:rsid w:val="006A20D9"/>
    <w:rsid w:val="006A20E7"/>
    <w:rsid w:val="006A210B"/>
    <w:rsid w:val="006A216D"/>
    <w:rsid w:val="006A2196"/>
    <w:rsid w:val="006A21B5"/>
    <w:rsid w:val="006A2206"/>
    <w:rsid w:val="006A2215"/>
    <w:rsid w:val="006A224F"/>
    <w:rsid w:val="006A229F"/>
    <w:rsid w:val="006A231F"/>
    <w:rsid w:val="006A232A"/>
    <w:rsid w:val="006A2364"/>
    <w:rsid w:val="006A242C"/>
    <w:rsid w:val="006A24AC"/>
    <w:rsid w:val="006A251C"/>
    <w:rsid w:val="006A254A"/>
    <w:rsid w:val="006A2556"/>
    <w:rsid w:val="006A25D8"/>
    <w:rsid w:val="006A25F1"/>
    <w:rsid w:val="006A261A"/>
    <w:rsid w:val="006A263A"/>
    <w:rsid w:val="006A27CC"/>
    <w:rsid w:val="006A2888"/>
    <w:rsid w:val="006A288A"/>
    <w:rsid w:val="006A2897"/>
    <w:rsid w:val="006A28B1"/>
    <w:rsid w:val="006A296B"/>
    <w:rsid w:val="006A297D"/>
    <w:rsid w:val="006A29A4"/>
    <w:rsid w:val="006A29F3"/>
    <w:rsid w:val="006A2A31"/>
    <w:rsid w:val="006A2A47"/>
    <w:rsid w:val="006A2A93"/>
    <w:rsid w:val="006A2AE6"/>
    <w:rsid w:val="006A2B12"/>
    <w:rsid w:val="006A2BD2"/>
    <w:rsid w:val="006A2BD6"/>
    <w:rsid w:val="006A2BD8"/>
    <w:rsid w:val="006A2BF3"/>
    <w:rsid w:val="006A2BF5"/>
    <w:rsid w:val="006A2C4C"/>
    <w:rsid w:val="006A2CE2"/>
    <w:rsid w:val="006A2CE5"/>
    <w:rsid w:val="006A2D34"/>
    <w:rsid w:val="006A2D36"/>
    <w:rsid w:val="006A2D5F"/>
    <w:rsid w:val="006A2D61"/>
    <w:rsid w:val="006A2DDC"/>
    <w:rsid w:val="006A2DF8"/>
    <w:rsid w:val="006A2E0E"/>
    <w:rsid w:val="006A2E2F"/>
    <w:rsid w:val="006A2E5F"/>
    <w:rsid w:val="006A2FC1"/>
    <w:rsid w:val="006A2FCE"/>
    <w:rsid w:val="006A2FF7"/>
    <w:rsid w:val="006A2FFF"/>
    <w:rsid w:val="006A3005"/>
    <w:rsid w:val="006A303B"/>
    <w:rsid w:val="006A304B"/>
    <w:rsid w:val="006A3060"/>
    <w:rsid w:val="006A3088"/>
    <w:rsid w:val="006A308F"/>
    <w:rsid w:val="006A30E5"/>
    <w:rsid w:val="006A312D"/>
    <w:rsid w:val="006A31C6"/>
    <w:rsid w:val="006A3217"/>
    <w:rsid w:val="006A3285"/>
    <w:rsid w:val="006A3295"/>
    <w:rsid w:val="006A3307"/>
    <w:rsid w:val="006A332D"/>
    <w:rsid w:val="006A3341"/>
    <w:rsid w:val="006A3353"/>
    <w:rsid w:val="006A3357"/>
    <w:rsid w:val="006A336B"/>
    <w:rsid w:val="006A33D0"/>
    <w:rsid w:val="006A344D"/>
    <w:rsid w:val="006A3455"/>
    <w:rsid w:val="006A345B"/>
    <w:rsid w:val="006A346A"/>
    <w:rsid w:val="006A346D"/>
    <w:rsid w:val="006A34D8"/>
    <w:rsid w:val="006A34FF"/>
    <w:rsid w:val="006A3535"/>
    <w:rsid w:val="006A3590"/>
    <w:rsid w:val="006A35F8"/>
    <w:rsid w:val="006A35FA"/>
    <w:rsid w:val="006A3608"/>
    <w:rsid w:val="006A366E"/>
    <w:rsid w:val="006A369C"/>
    <w:rsid w:val="006A369F"/>
    <w:rsid w:val="006A36A0"/>
    <w:rsid w:val="006A36D9"/>
    <w:rsid w:val="006A3773"/>
    <w:rsid w:val="006A3780"/>
    <w:rsid w:val="006A37CF"/>
    <w:rsid w:val="006A37EF"/>
    <w:rsid w:val="006A384A"/>
    <w:rsid w:val="006A38C0"/>
    <w:rsid w:val="006A38F0"/>
    <w:rsid w:val="006A397A"/>
    <w:rsid w:val="006A39B5"/>
    <w:rsid w:val="006A39C1"/>
    <w:rsid w:val="006A39D4"/>
    <w:rsid w:val="006A39DC"/>
    <w:rsid w:val="006A3A27"/>
    <w:rsid w:val="006A3A5C"/>
    <w:rsid w:val="006A3A6E"/>
    <w:rsid w:val="006A3A72"/>
    <w:rsid w:val="006A3A7E"/>
    <w:rsid w:val="006A3AA6"/>
    <w:rsid w:val="006A3AAE"/>
    <w:rsid w:val="006A3AB7"/>
    <w:rsid w:val="006A3B61"/>
    <w:rsid w:val="006A3B6F"/>
    <w:rsid w:val="006A3BF2"/>
    <w:rsid w:val="006A3BF5"/>
    <w:rsid w:val="006A3C3C"/>
    <w:rsid w:val="006A3C66"/>
    <w:rsid w:val="006A3CB2"/>
    <w:rsid w:val="006A3CDE"/>
    <w:rsid w:val="006A3D26"/>
    <w:rsid w:val="006A3D90"/>
    <w:rsid w:val="006A3D93"/>
    <w:rsid w:val="006A3DC0"/>
    <w:rsid w:val="006A3DD3"/>
    <w:rsid w:val="006A3DE7"/>
    <w:rsid w:val="006A3DF3"/>
    <w:rsid w:val="006A3E56"/>
    <w:rsid w:val="006A3E5E"/>
    <w:rsid w:val="006A3EA7"/>
    <w:rsid w:val="006A3EA9"/>
    <w:rsid w:val="006A3F01"/>
    <w:rsid w:val="006A3F3B"/>
    <w:rsid w:val="006A3F93"/>
    <w:rsid w:val="006A4060"/>
    <w:rsid w:val="006A4083"/>
    <w:rsid w:val="006A4090"/>
    <w:rsid w:val="006A409A"/>
    <w:rsid w:val="006A40A3"/>
    <w:rsid w:val="006A4137"/>
    <w:rsid w:val="006A415E"/>
    <w:rsid w:val="006A4236"/>
    <w:rsid w:val="006A4280"/>
    <w:rsid w:val="006A429C"/>
    <w:rsid w:val="006A42E1"/>
    <w:rsid w:val="006A42EB"/>
    <w:rsid w:val="006A42EE"/>
    <w:rsid w:val="006A42F5"/>
    <w:rsid w:val="006A4324"/>
    <w:rsid w:val="006A43C2"/>
    <w:rsid w:val="006A43E6"/>
    <w:rsid w:val="006A4400"/>
    <w:rsid w:val="006A4435"/>
    <w:rsid w:val="006A444C"/>
    <w:rsid w:val="006A4477"/>
    <w:rsid w:val="006A44C5"/>
    <w:rsid w:val="006A4593"/>
    <w:rsid w:val="006A45E0"/>
    <w:rsid w:val="006A4638"/>
    <w:rsid w:val="006A4647"/>
    <w:rsid w:val="006A468F"/>
    <w:rsid w:val="006A46A2"/>
    <w:rsid w:val="006A46CE"/>
    <w:rsid w:val="006A46E6"/>
    <w:rsid w:val="006A4734"/>
    <w:rsid w:val="006A474C"/>
    <w:rsid w:val="006A47D0"/>
    <w:rsid w:val="006A482D"/>
    <w:rsid w:val="006A4884"/>
    <w:rsid w:val="006A488E"/>
    <w:rsid w:val="006A4891"/>
    <w:rsid w:val="006A4895"/>
    <w:rsid w:val="006A48A7"/>
    <w:rsid w:val="006A48CE"/>
    <w:rsid w:val="006A49B7"/>
    <w:rsid w:val="006A49F3"/>
    <w:rsid w:val="006A49FD"/>
    <w:rsid w:val="006A4A67"/>
    <w:rsid w:val="006A4A74"/>
    <w:rsid w:val="006A4BA0"/>
    <w:rsid w:val="006A4BD2"/>
    <w:rsid w:val="006A4BE6"/>
    <w:rsid w:val="006A4C04"/>
    <w:rsid w:val="006A4C4C"/>
    <w:rsid w:val="006A4C52"/>
    <w:rsid w:val="006A4C65"/>
    <w:rsid w:val="006A4D0A"/>
    <w:rsid w:val="006A4D26"/>
    <w:rsid w:val="006A4DBC"/>
    <w:rsid w:val="006A4DC4"/>
    <w:rsid w:val="006A4DEA"/>
    <w:rsid w:val="006A4E36"/>
    <w:rsid w:val="006A4EAB"/>
    <w:rsid w:val="006A4EFB"/>
    <w:rsid w:val="006A4F03"/>
    <w:rsid w:val="006A4FA8"/>
    <w:rsid w:val="006A5033"/>
    <w:rsid w:val="006A5042"/>
    <w:rsid w:val="006A5044"/>
    <w:rsid w:val="006A5075"/>
    <w:rsid w:val="006A5077"/>
    <w:rsid w:val="006A50F1"/>
    <w:rsid w:val="006A512A"/>
    <w:rsid w:val="006A5143"/>
    <w:rsid w:val="006A515C"/>
    <w:rsid w:val="006A516A"/>
    <w:rsid w:val="006A51DC"/>
    <w:rsid w:val="006A526B"/>
    <w:rsid w:val="006A5299"/>
    <w:rsid w:val="006A52B9"/>
    <w:rsid w:val="006A53BD"/>
    <w:rsid w:val="006A53C5"/>
    <w:rsid w:val="006A53E6"/>
    <w:rsid w:val="006A5463"/>
    <w:rsid w:val="006A5476"/>
    <w:rsid w:val="006A54BE"/>
    <w:rsid w:val="006A54CE"/>
    <w:rsid w:val="006A54F9"/>
    <w:rsid w:val="006A55B0"/>
    <w:rsid w:val="006A55C0"/>
    <w:rsid w:val="006A55D9"/>
    <w:rsid w:val="006A5624"/>
    <w:rsid w:val="006A5634"/>
    <w:rsid w:val="006A5657"/>
    <w:rsid w:val="006A568A"/>
    <w:rsid w:val="006A56CD"/>
    <w:rsid w:val="006A56D3"/>
    <w:rsid w:val="006A56FC"/>
    <w:rsid w:val="006A5715"/>
    <w:rsid w:val="006A5741"/>
    <w:rsid w:val="006A5759"/>
    <w:rsid w:val="006A5760"/>
    <w:rsid w:val="006A57AF"/>
    <w:rsid w:val="006A57CE"/>
    <w:rsid w:val="006A57D6"/>
    <w:rsid w:val="006A5825"/>
    <w:rsid w:val="006A5831"/>
    <w:rsid w:val="006A584D"/>
    <w:rsid w:val="006A5850"/>
    <w:rsid w:val="006A58A9"/>
    <w:rsid w:val="006A58AF"/>
    <w:rsid w:val="006A58BC"/>
    <w:rsid w:val="006A58C8"/>
    <w:rsid w:val="006A58D1"/>
    <w:rsid w:val="006A59C6"/>
    <w:rsid w:val="006A5A0B"/>
    <w:rsid w:val="006A5A32"/>
    <w:rsid w:val="006A5A82"/>
    <w:rsid w:val="006A5AAD"/>
    <w:rsid w:val="006A5AE7"/>
    <w:rsid w:val="006A5AFC"/>
    <w:rsid w:val="006A5B22"/>
    <w:rsid w:val="006A5B2C"/>
    <w:rsid w:val="006A5B52"/>
    <w:rsid w:val="006A5B5B"/>
    <w:rsid w:val="006A5BA5"/>
    <w:rsid w:val="006A5C5F"/>
    <w:rsid w:val="006A5C7C"/>
    <w:rsid w:val="006A5D54"/>
    <w:rsid w:val="006A5ED3"/>
    <w:rsid w:val="006A5EE6"/>
    <w:rsid w:val="006A5F32"/>
    <w:rsid w:val="006A5F68"/>
    <w:rsid w:val="006A5FC0"/>
    <w:rsid w:val="006A5FC4"/>
    <w:rsid w:val="006A5FFF"/>
    <w:rsid w:val="006A603C"/>
    <w:rsid w:val="006A604F"/>
    <w:rsid w:val="006A60A2"/>
    <w:rsid w:val="006A611E"/>
    <w:rsid w:val="006A6139"/>
    <w:rsid w:val="006A6191"/>
    <w:rsid w:val="006A61FF"/>
    <w:rsid w:val="006A621F"/>
    <w:rsid w:val="006A6225"/>
    <w:rsid w:val="006A6243"/>
    <w:rsid w:val="006A6338"/>
    <w:rsid w:val="006A633E"/>
    <w:rsid w:val="006A6346"/>
    <w:rsid w:val="006A6361"/>
    <w:rsid w:val="006A63EF"/>
    <w:rsid w:val="006A64AE"/>
    <w:rsid w:val="006A6537"/>
    <w:rsid w:val="006A6564"/>
    <w:rsid w:val="006A6565"/>
    <w:rsid w:val="006A65AC"/>
    <w:rsid w:val="006A65B0"/>
    <w:rsid w:val="006A6608"/>
    <w:rsid w:val="006A66D6"/>
    <w:rsid w:val="006A673C"/>
    <w:rsid w:val="006A6782"/>
    <w:rsid w:val="006A6785"/>
    <w:rsid w:val="006A679C"/>
    <w:rsid w:val="006A67F9"/>
    <w:rsid w:val="006A6828"/>
    <w:rsid w:val="006A6831"/>
    <w:rsid w:val="006A6852"/>
    <w:rsid w:val="006A68A9"/>
    <w:rsid w:val="006A68B3"/>
    <w:rsid w:val="006A6982"/>
    <w:rsid w:val="006A6A0A"/>
    <w:rsid w:val="006A6A1D"/>
    <w:rsid w:val="006A6AAB"/>
    <w:rsid w:val="006A6AE5"/>
    <w:rsid w:val="006A6AF5"/>
    <w:rsid w:val="006A6AF8"/>
    <w:rsid w:val="006A6B0E"/>
    <w:rsid w:val="006A6B7E"/>
    <w:rsid w:val="006A6B99"/>
    <w:rsid w:val="006A6BCA"/>
    <w:rsid w:val="006A6BDD"/>
    <w:rsid w:val="006A6C13"/>
    <w:rsid w:val="006A6C26"/>
    <w:rsid w:val="006A6C27"/>
    <w:rsid w:val="006A6C3E"/>
    <w:rsid w:val="006A6C5B"/>
    <w:rsid w:val="006A6C83"/>
    <w:rsid w:val="006A6CC3"/>
    <w:rsid w:val="006A6CCB"/>
    <w:rsid w:val="006A6CE5"/>
    <w:rsid w:val="006A6D08"/>
    <w:rsid w:val="006A6D22"/>
    <w:rsid w:val="006A6D4C"/>
    <w:rsid w:val="006A6D82"/>
    <w:rsid w:val="006A6D8E"/>
    <w:rsid w:val="006A6DA2"/>
    <w:rsid w:val="006A6DD7"/>
    <w:rsid w:val="006A6E7C"/>
    <w:rsid w:val="006A6EA5"/>
    <w:rsid w:val="006A6ED2"/>
    <w:rsid w:val="006A6EE2"/>
    <w:rsid w:val="006A6F1C"/>
    <w:rsid w:val="006A6F34"/>
    <w:rsid w:val="006A6F53"/>
    <w:rsid w:val="006A6F62"/>
    <w:rsid w:val="006A6FAD"/>
    <w:rsid w:val="006A7009"/>
    <w:rsid w:val="006A703C"/>
    <w:rsid w:val="006A708E"/>
    <w:rsid w:val="006A709D"/>
    <w:rsid w:val="006A70AE"/>
    <w:rsid w:val="006A70CE"/>
    <w:rsid w:val="006A7108"/>
    <w:rsid w:val="006A7131"/>
    <w:rsid w:val="006A7171"/>
    <w:rsid w:val="006A71A7"/>
    <w:rsid w:val="006A7200"/>
    <w:rsid w:val="006A7233"/>
    <w:rsid w:val="006A7340"/>
    <w:rsid w:val="006A7341"/>
    <w:rsid w:val="006A734A"/>
    <w:rsid w:val="006A7395"/>
    <w:rsid w:val="006A739F"/>
    <w:rsid w:val="006A7408"/>
    <w:rsid w:val="006A743A"/>
    <w:rsid w:val="006A74A3"/>
    <w:rsid w:val="006A74EB"/>
    <w:rsid w:val="006A7542"/>
    <w:rsid w:val="006A7560"/>
    <w:rsid w:val="006A7577"/>
    <w:rsid w:val="006A75F6"/>
    <w:rsid w:val="006A760C"/>
    <w:rsid w:val="006A7639"/>
    <w:rsid w:val="006A7647"/>
    <w:rsid w:val="006A76D0"/>
    <w:rsid w:val="006A772E"/>
    <w:rsid w:val="006A774C"/>
    <w:rsid w:val="006A783C"/>
    <w:rsid w:val="006A78AA"/>
    <w:rsid w:val="006A78C3"/>
    <w:rsid w:val="006A7941"/>
    <w:rsid w:val="006A7986"/>
    <w:rsid w:val="006A79A9"/>
    <w:rsid w:val="006A79EA"/>
    <w:rsid w:val="006A7A42"/>
    <w:rsid w:val="006A7B41"/>
    <w:rsid w:val="006A7B4C"/>
    <w:rsid w:val="006A7BAE"/>
    <w:rsid w:val="006A7BAF"/>
    <w:rsid w:val="006A7BF0"/>
    <w:rsid w:val="006A7CA0"/>
    <w:rsid w:val="006A7CB5"/>
    <w:rsid w:val="006A7CD2"/>
    <w:rsid w:val="006A7D6E"/>
    <w:rsid w:val="006A7D78"/>
    <w:rsid w:val="006A7D97"/>
    <w:rsid w:val="006A7E0C"/>
    <w:rsid w:val="006A7E10"/>
    <w:rsid w:val="006A7E93"/>
    <w:rsid w:val="006A7EC0"/>
    <w:rsid w:val="006A7EF0"/>
    <w:rsid w:val="006A7EF1"/>
    <w:rsid w:val="006A7F18"/>
    <w:rsid w:val="006A7F53"/>
    <w:rsid w:val="006A7F74"/>
    <w:rsid w:val="006A7F84"/>
    <w:rsid w:val="006A7FC8"/>
    <w:rsid w:val="006B0010"/>
    <w:rsid w:val="006B002F"/>
    <w:rsid w:val="006B0068"/>
    <w:rsid w:val="006B00FE"/>
    <w:rsid w:val="006B0104"/>
    <w:rsid w:val="006B01B6"/>
    <w:rsid w:val="006B01B8"/>
    <w:rsid w:val="006B01DA"/>
    <w:rsid w:val="006B01F6"/>
    <w:rsid w:val="006B020C"/>
    <w:rsid w:val="006B0233"/>
    <w:rsid w:val="006B0276"/>
    <w:rsid w:val="006B0322"/>
    <w:rsid w:val="006B03B6"/>
    <w:rsid w:val="006B0430"/>
    <w:rsid w:val="006B04A8"/>
    <w:rsid w:val="006B04B9"/>
    <w:rsid w:val="006B0599"/>
    <w:rsid w:val="006B05B8"/>
    <w:rsid w:val="006B05BE"/>
    <w:rsid w:val="006B05CF"/>
    <w:rsid w:val="006B05DF"/>
    <w:rsid w:val="006B05F5"/>
    <w:rsid w:val="006B0604"/>
    <w:rsid w:val="006B061D"/>
    <w:rsid w:val="006B066C"/>
    <w:rsid w:val="006B0698"/>
    <w:rsid w:val="006B0705"/>
    <w:rsid w:val="006B072B"/>
    <w:rsid w:val="006B0765"/>
    <w:rsid w:val="006B077D"/>
    <w:rsid w:val="006B0802"/>
    <w:rsid w:val="006B0831"/>
    <w:rsid w:val="006B0859"/>
    <w:rsid w:val="006B088B"/>
    <w:rsid w:val="006B0898"/>
    <w:rsid w:val="006B08A3"/>
    <w:rsid w:val="006B0923"/>
    <w:rsid w:val="006B0962"/>
    <w:rsid w:val="006B0968"/>
    <w:rsid w:val="006B0996"/>
    <w:rsid w:val="006B09A1"/>
    <w:rsid w:val="006B09E7"/>
    <w:rsid w:val="006B0A99"/>
    <w:rsid w:val="006B0AA6"/>
    <w:rsid w:val="006B0AB4"/>
    <w:rsid w:val="006B0AC4"/>
    <w:rsid w:val="006B0AD4"/>
    <w:rsid w:val="006B0AF1"/>
    <w:rsid w:val="006B0B3B"/>
    <w:rsid w:val="006B0B45"/>
    <w:rsid w:val="006B0BC7"/>
    <w:rsid w:val="006B0BDB"/>
    <w:rsid w:val="006B0BDE"/>
    <w:rsid w:val="006B0C5D"/>
    <w:rsid w:val="006B0CB1"/>
    <w:rsid w:val="006B0D6D"/>
    <w:rsid w:val="006B0DE7"/>
    <w:rsid w:val="006B0DEC"/>
    <w:rsid w:val="006B0E3E"/>
    <w:rsid w:val="006B0E53"/>
    <w:rsid w:val="006B0F7F"/>
    <w:rsid w:val="006B0F9D"/>
    <w:rsid w:val="006B0FB7"/>
    <w:rsid w:val="006B0FD0"/>
    <w:rsid w:val="006B108F"/>
    <w:rsid w:val="006B10BF"/>
    <w:rsid w:val="006B10CD"/>
    <w:rsid w:val="006B116D"/>
    <w:rsid w:val="006B11B3"/>
    <w:rsid w:val="006B11E3"/>
    <w:rsid w:val="006B11E4"/>
    <w:rsid w:val="006B1203"/>
    <w:rsid w:val="006B1245"/>
    <w:rsid w:val="006B12A8"/>
    <w:rsid w:val="006B12AA"/>
    <w:rsid w:val="006B12DB"/>
    <w:rsid w:val="006B12ED"/>
    <w:rsid w:val="006B1301"/>
    <w:rsid w:val="006B1302"/>
    <w:rsid w:val="006B130E"/>
    <w:rsid w:val="006B1338"/>
    <w:rsid w:val="006B1374"/>
    <w:rsid w:val="006B137D"/>
    <w:rsid w:val="006B1392"/>
    <w:rsid w:val="006B13A0"/>
    <w:rsid w:val="006B13BB"/>
    <w:rsid w:val="006B145F"/>
    <w:rsid w:val="006B1479"/>
    <w:rsid w:val="006B14B2"/>
    <w:rsid w:val="006B152D"/>
    <w:rsid w:val="006B153F"/>
    <w:rsid w:val="006B157E"/>
    <w:rsid w:val="006B158D"/>
    <w:rsid w:val="006B1617"/>
    <w:rsid w:val="006B162C"/>
    <w:rsid w:val="006B166C"/>
    <w:rsid w:val="006B167B"/>
    <w:rsid w:val="006B1692"/>
    <w:rsid w:val="006B16AD"/>
    <w:rsid w:val="006B16DA"/>
    <w:rsid w:val="006B16E2"/>
    <w:rsid w:val="006B1792"/>
    <w:rsid w:val="006B179A"/>
    <w:rsid w:val="006B17BE"/>
    <w:rsid w:val="006B1862"/>
    <w:rsid w:val="006B186B"/>
    <w:rsid w:val="006B1884"/>
    <w:rsid w:val="006B190B"/>
    <w:rsid w:val="006B194D"/>
    <w:rsid w:val="006B1968"/>
    <w:rsid w:val="006B1AB5"/>
    <w:rsid w:val="006B1ABD"/>
    <w:rsid w:val="006B1AC2"/>
    <w:rsid w:val="006B1BB1"/>
    <w:rsid w:val="006B1BEF"/>
    <w:rsid w:val="006B1BF5"/>
    <w:rsid w:val="006B1C31"/>
    <w:rsid w:val="006B1C35"/>
    <w:rsid w:val="006B1CB4"/>
    <w:rsid w:val="006B1CF2"/>
    <w:rsid w:val="006B1D10"/>
    <w:rsid w:val="006B1D59"/>
    <w:rsid w:val="006B1E2C"/>
    <w:rsid w:val="006B1E4A"/>
    <w:rsid w:val="006B1EEF"/>
    <w:rsid w:val="006B1F08"/>
    <w:rsid w:val="006B1F1D"/>
    <w:rsid w:val="006B1F25"/>
    <w:rsid w:val="006B1F5E"/>
    <w:rsid w:val="006B1F9F"/>
    <w:rsid w:val="006B1FB4"/>
    <w:rsid w:val="006B2036"/>
    <w:rsid w:val="006B208E"/>
    <w:rsid w:val="006B20A8"/>
    <w:rsid w:val="006B20CC"/>
    <w:rsid w:val="006B2101"/>
    <w:rsid w:val="006B213F"/>
    <w:rsid w:val="006B2142"/>
    <w:rsid w:val="006B2163"/>
    <w:rsid w:val="006B2223"/>
    <w:rsid w:val="006B2229"/>
    <w:rsid w:val="006B2248"/>
    <w:rsid w:val="006B2281"/>
    <w:rsid w:val="006B228F"/>
    <w:rsid w:val="006B230B"/>
    <w:rsid w:val="006B2361"/>
    <w:rsid w:val="006B237E"/>
    <w:rsid w:val="006B245C"/>
    <w:rsid w:val="006B2514"/>
    <w:rsid w:val="006B2517"/>
    <w:rsid w:val="006B25C8"/>
    <w:rsid w:val="006B27C2"/>
    <w:rsid w:val="006B27C7"/>
    <w:rsid w:val="006B283F"/>
    <w:rsid w:val="006B2893"/>
    <w:rsid w:val="006B28A6"/>
    <w:rsid w:val="006B2931"/>
    <w:rsid w:val="006B2950"/>
    <w:rsid w:val="006B29DB"/>
    <w:rsid w:val="006B29E0"/>
    <w:rsid w:val="006B2A1C"/>
    <w:rsid w:val="006B2AB5"/>
    <w:rsid w:val="006B2AF4"/>
    <w:rsid w:val="006B2C2B"/>
    <w:rsid w:val="006B2CB5"/>
    <w:rsid w:val="006B2CC7"/>
    <w:rsid w:val="006B2D55"/>
    <w:rsid w:val="006B2E05"/>
    <w:rsid w:val="006B2E26"/>
    <w:rsid w:val="006B2E85"/>
    <w:rsid w:val="006B2EBF"/>
    <w:rsid w:val="006B2EEE"/>
    <w:rsid w:val="006B2F4A"/>
    <w:rsid w:val="006B2F8E"/>
    <w:rsid w:val="006B2FA7"/>
    <w:rsid w:val="006B3045"/>
    <w:rsid w:val="006B30E5"/>
    <w:rsid w:val="006B3112"/>
    <w:rsid w:val="006B315D"/>
    <w:rsid w:val="006B317A"/>
    <w:rsid w:val="006B3184"/>
    <w:rsid w:val="006B31BE"/>
    <w:rsid w:val="006B3264"/>
    <w:rsid w:val="006B3268"/>
    <w:rsid w:val="006B3283"/>
    <w:rsid w:val="006B32B1"/>
    <w:rsid w:val="006B32D6"/>
    <w:rsid w:val="006B337B"/>
    <w:rsid w:val="006B33D5"/>
    <w:rsid w:val="006B33EC"/>
    <w:rsid w:val="006B3411"/>
    <w:rsid w:val="006B342F"/>
    <w:rsid w:val="006B34DE"/>
    <w:rsid w:val="006B3512"/>
    <w:rsid w:val="006B353F"/>
    <w:rsid w:val="006B3635"/>
    <w:rsid w:val="006B3673"/>
    <w:rsid w:val="006B3682"/>
    <w:rsid w:val="006B3685"/>
    <w:rsid w:val="006B3691"/>
    <w:rsid w:val="006B36E9"/>
    <w:rsid w:val="006B3735"/>
    <w:rsid w:val="006B373B"/>
    <w:rsid w:val="006B376A"/>
    <w:rsid w:val="006B3778"/>
    <w:rsid w:val="006B37C8"/>
    <w:rsid w:val="006B37E3"/>
    <w:rsid w:val="006B389E"/>
    <w:rsid w:val="006B38A9"/>
    <w:rsid w:val="006B38CE"/>
    <w:rsid w:val="006B38D9"/>
    <w:rsid w:val="006B3979"/>
    <w:rsid w:val="006B39A9"/>
    <w:rsid w:val="006B3A29"/>
    <w:rsid w:val="006B3A2B"/>
    <w:rsid w:val="006B3A6F"/>
    <w:rsid w:val="006B3AAE"/>
    <w:rsid w:val="006B3B76"/>
    <w:rsid w:val="006B3B93"/>
    <w:rsid w:val="006B3B94"/>
    <w:rsid w:val="006B3BF5"/>
    <w:rsid w:val="006B3CDD"/>
    <w:rsid w:val="006B3CE1"/>
    <w:rsid w:val="006B3D1D"/>
    <w:rsid w:val="006B3D49"/>
    <w:rsid w:val="006B3D63"/>
    <w:rsid w:val="006B3DF9"/>
    <w:rsid w:val="006B3E22"/>
    <w:rsid w:val="006B3E8A"/>
    <w:rsid w:val="006B3E97"/>
    <w:rsid w:val="006B3ED8"/>
    <w:rsid w:val="006B3EDC"/>
    <w:rsid w:val="006B3EFF"/>
    <w:rsid w:val="006B3F15"/>
    <w:rsid w:val="006B3F67"/>
    <w:rsid w:val="006B3F6A"/>
    <w:rsid w:val="006B3F7D"/>
    <w:rsid w:val="006B3FCF"/>
    <w:rsid w:val="006B403D"/>
    <w:rsid w:val="006B40BB"/>
    <w:rsid w:val="006B40FA"/>
    <w:rsid w:val="006B415B"/>
    <w:rsid w:val="006B41C0"/>
    <w:rsid w:val="006B4228"/>
    <w:rsid w:val="006B4260"/>
    <w:rsid w:val="006B4283"/>
    <w:rsid w:val="006B42E0"/>
    <w:rsid w:val="006B4335"/>
    <w:rsid w:val="006B43A0"/>
    <w:rsid w:val="006B4464"/>
    <w:rsid w:val="006B452A"/>
    <w:rsid w:val="006B4564"/>
    <w:rsid w:val="006B4581"/>
    <w:rsid w:val="006B458C"/>
    <w:rsid w:val="006B45EA"/>
    <w:rsid w:val="006B4633"/>
    <w:rsid w:val="006B4674"/>
    <w:rsid w:val="006B4678"/>
    <w:rsid w:val="006B46B2"/>
    <w:rsid w:val="006B46C0"/>
    <w:rsid w:val="006B4716"/>
    <w:rsid w:val="006B4739"/>
    <w:rsid w:val="006B4777"/>
    <w:rsid w:val="006B47D5"/>
    <w:rsid w:val="006B488B"/>
    <w:rsid w:val="006B48C8"/>
    <w:rsid w:val="006B48DE"/>
    <w:rsid w:val="006B48F1"/>
    <w:rsid w:val="006B492F"/>
    <w:rsid w:val="006B4941"/>
    <w:rsid w:val="006B495A"/>
    <w:rsid w:val="006B49CD"/>
    <w:rsid w:val="006B49F5"/>
    <w:rsid w:val="006B4A18"/>
    <w:rsid w:val="006B4A41"/>
    <w:rsid w:val="006B4A60"/>
    <w:rsid w:val="006B4A61"/>
    <w:rsid w:val="006B4A69"/>
    <w:rsid w:val="006B4A83"/>
    <w:rsid w:val="006B4AD6"/>
    <w:rsid w:val="006B4B35"/>
    <w:rsid w:val="006B4BDA"/>
    <w:rsid w:val="006B4BE1"/>
    <w:rsid w:val="006B4C03"/>
    <w:rsid w:val="006B4C2D"/>
    <w:rsid w:val="006B4C4D"/>
    <w:rsid w:val="006B4C68"/>
    <w:rsid w:val="006B4CBE"/>
    <w:rsid w:val="006B4D3D"/>
    <w:rsid w:val="006B4D8C"/>
    <w:rsid w:val="006B4D93"/>
    <w:rsid w:val="006B4DA4"/>
    <w:rsid w:val="006B4DCE"/>
    <w:rsid w:val="006B4E8A"/>
    <w:rsid w:val="006B4EDD"/>
    <w:rsid w:val="006B4EEB"/>
    <w:rsid w:val="006B4F00"/>
    <w:rsid w:val="006B4F12"/>
    <w:rsid w:val="006B4FF0"/>
    <w:rsid w:val="006B5057"/>
    <w:rsid w:val="006B5071"/>
    <w:rsid w:val="006B5076"/>
    <w:rsid w:val="006B5158"/>
    <w:rsid w:val="006B5197"/>
    <w:rsid w:val="006B526D"/>
    <w:rsid w:val="006B5270"/>
    <w:rsid w:val="006B527B"/>
    <w:rsid w:val="006B52A7"/>
    <w:rsid w:val="006B52AC"/>
    <w:rsid w:val="006B52BE"/>
    <w:rsid w:val="006B5338"/>
    <w:rsid w:val="006B534D"/>
    <w:rsid w:val="006B5383"/>
    <w:rsid w:val="006B539A"/>
    <w:rsid w:val="006B53A5"/>
    <w:rsid w:val="006B53A6"/>
    <w:rsid w:val="006B53C9"/>
    <w:rsid w:val="006B53D1"/>
    <w:rsid w:val="006B53FE"/>
    <w:rsid w:val="006B5419"/>
    <w:rsid w:val="006B5444"/>
    <w:rsid w:val="006B545E"/>
    <w:rsid w:val="006B546D"/>
    <w:rsid w:val="006B54A6"/>
    <w:rsid w:val="006B5504"/>
    <w:rsid w:val="006B5536"/>
    <w:rsid w:val="006B556F"/>
    <w:rsid w:val="006B558A"/>
    <w:rsid w:val="006B55A3"/>
    <w:rsid w:val="006B55F8"/>
    <w:rsid w:val="006B5611"/>
    <w:rsid w:val="006B566B"/>
    <w:rsid w:val="006B5708"/>
    <w:rsid w:val="006B575A"/>
    <w:rsid w:val="006B57B6"/>
    <w:rsid w:val="006B5819"/>
    <w:rsid w:val="006B5848"/>
    <w:rsid w:val="006B586B"/>
    <w:rsid w:val="006B58DA"/>
    <w:rsid w:val="006B58F6"/>
    <w:rsid w:val="006B5941"/>
    <w:rsid w:val="006B594A"/>
    <w:rsid w:val="006B59A3"/>
    <w:rsid w:val="006B59DA"/>
    <w:rsid w:val="006B5A43"/>
    <w:rsid w:val="006B5A57"/>
    <w:rsid w:val="006B5A9F"/>
    <w:rsid w:val="006B5C42"/>
    <w:rsid w:val="006B5C45"/>
    <w:rsid w:val="006B5C53"/>
    <w:rsid w:val="006B5C9E"/>
    <w:rsid w:val="006B5CCF"/>
    <w:rsid w:val="006B5D17"/>
    <w:rsid w:val="006B5D27"/>
    <w:rsid w:val="006B5D2C"/>
    <w:rsid w:val="006B5E07"/>
    <w:rsid w:val="006B5E1A"/>
    <w:rsid w:val="006B5E35"/>
    <w:rsid w:val="006B5E6A"/>
    <w:rsid w:val="006B5E76"/>
    <w:rsid w:val="006B5F01"/>
    <w:rsid w:val="006B5F1F"/>
    <w:rsid w:val="006B5F42"/>
    <w:rsid w:val="006B5F63"/>
    <w:rsid w:val="006B5F68"/>
    <w:rsid w:val="006B5F7C"/>
    <w:rsid w:val="006B5FA9"/>
    <w:rsid w:val="006B5FB8"/>
    <w:rsid w:val="006B5FD2"/>
    <w:rsid w:val="006B5FD7"/>
    <w:rsid w:val="006B5FF8"/>
    <w:rsid w:val="006B6027"/>
    <w:rsid w:val="006B6040"/>
    <w:rsid w:val="006B6060"/>
    <w:rsid w:val="006B6081"/>
    <w:rsid w:val="006B6082"/>
    <w:rsid w:val="006B6095"/>
    <w:rsid w:val="006B60C2"/>
    <w:rsid w:val="006B60D3"/>
    <w:rsid w:val="006B60EE"/>
    <w:rsid w:val="006B6118"/>
    <w:rsid w:val="006B6132"/>
    <w:rsid w:val="006B61AB"/>
    <w:rsid w:val="006B61DD"/>
    <w:rsid w:val="006B621B"/>
    <w:rsid w:val="006B6238"/>
    <w:rsid w:val="006B628D"/>
    <w:rsid w:val="006B62A4"/>
    <w:rsid w:val="006B62FC"/>
    <w:rsid w:val="006B6325"/>
    <w:rsid w:val="006B6336"/>
    <w:rsid w:val="006B63E8"/>
    <w:rsid w:val="006B63EA"/>
    <w:rsid w:val="006B643F"/>
    <w:rsid w:val="006B64AA"/>
    <w:rsid w:val="006B64E0"/>
    <w:rsid w:val="006B65A3"/>
    <w:rsid w:val="006B65CD"/>
    <w:rsid w:val="006B65DA"/>
    <w:rsid w:val="006B65E6"/>
    <w:rsid w:val="006B661F"/>
    <w:rsid w:val="006B66AD"/>
    <w:rsid w:val="006B66C3"/>
    <w:rsid w:val="006B66C8"/>
    <w:rsid w:val="006B66D0"/>
    <w:rsid w:val="006B672F"/>
    <w:rsid w:val="006B6761"/>
    <w:rsid w:val="006B67B1"/>
    <w:rsid w:val="006B67CF"/>
    <w:rsid w:val="006B67D1"/>
    <w:rsid w:val="006B67E7"/>
    <w:rsid w:val="006B683B"/>
    <w:rsid w:val="006B68C4"/>
    <w:rsid w:val="006B68C8"/>
    <w:rsid w:val="006B692E"/>
    <w:rsid w:val="006B6962"/>
    <w:rsid w:val="006B6969"/>
    <w:rsid w:val="006B699C"/>
    <w:rsid w:val="006B69B1"/>
    <w:rsid w:val="006B69D6"/>
    <w:rsid w:val="006B6A52"/>
    <w:rsid w:val="006B6A53"/>
    <w:rsid w:val="006B6ABB"/>
    <w:rsid w:val="006B6AC8"/>
    <w:rsid w:val="006B6B27"/>
    <w:rsid w:val="006B6B5B"/>
    <w:rsid w:val="006B6BB0"/>
    <w:rsid w:val="006B6BB6"/>
    <w:rsid w:val="006B6BC1"/>
    <w:rsid w:val="006B6C25"/>
    <w:rsid w:val="006B6CA2"/>
    <w:rsid w:val="006B6CAE"/>
    <w:rsid w:val="006B6CFC"/>
    <w:rsid w:val="006B6D0A"/>
    <w:rsid w:val="006B6DB6"/>
    <w:rsid w:val="006B6E1B"/>
    <w:rsid w:val="006B6E29"/>
    <w:rsid w:val="006B6E31"/>
    <w:rsid w:val="006B6E61"/>
    <w:rsid w:val="006B6E84"/>
    <w:rsid w:val="006B6E9A"/>
    <w:rsid w:val="006B6F36"/>
    <w:rsid w:val="006B6FAC"/>
    <w:rsid w:val="006B6FBB"/>
    <w:rsid w:val="006B6FD7"/>
    <w:rsid w:val="006B6FDA"/>
    <w:rsid w:val="006B6FE1"/>
    <w:rsid w:val="006B6FE2"/>
    <w:rsid w:val="006B709E"/>
    <w:rsid w:val="006B70A1"/>
    <w:rsid w:val="006B70E5"/>
    <w:rsid w:val="006B7132"/>
    <w:rsid w:val="006B719B"/>
    <w:rsid w:val="006B71A2"/>
    <w:rsid w:val="006B71B2"/>
    <w:rsid w:val="006B71C2"/>
    <w:rsid w:val="006B71F3"/>
    <w:rsid w:val="006B7222"/>
    <w:rsid w:val="006B723E"/>
    <w:rsid w:val="006B7309"/>
    <w:rsid w:val="006B7341"/>
    <w:rsid w:val="006B739A"/>
    <w:rsid w:val="006B73AE"/>
    <w:rsid w:val="006B7429"/>
    <w:rsid w:val="006B7465"/>
    <w:rsid w:val="006B74ED"/>
    <w:rsid w:val="006B74F1"/>
    <w:rsid w:val="006B754B"/>
    <w:rsid w:val="006B7562"/>
    <w:rsid w:val="006B7586"/>
    <w:rsid w:val="006B7591"/>
    <w:rsid w:val="006B75B3"/>
    <w:rsid w:val="006B7662"/>
    <w:rsid w:val="006B7679"/>
    <w:rsid w:val="006B7681"/>
    <w:rsid w:val="006B77AF"/>
    <w:rsid w:val="006B77B6"/>
    <w:rsid w:val="006B77B8"/>
    <w:rsid w:val="006B77CE"/>
    <w:rsid w:val="006B77E4"/>
    <w:rsid w:val="006B781B"/>
    <w:rsid w:val="006B7827"/>
    <w:rsid w:val="006B7886"/>
    <w:rsid w:val="006B7908"/>
    <w:rsid w:val="006B7950"/>
    <w:rsid w:val="006B796F"/>
    <w:rsid w:val="006B798D"/>
    <w:rsid w:val="006B7A4A"/>
    <w:rsid w:val="006B7A73"/>
    <w:rsid w:val="006B7AD7"/>
    <w:rsid w:val="006B7B23"/>
    <w:rsid w:val="006B7BC6"/>
    <w:rsid w:val="006B7BCB"/>
    <w:rsid w:val="006B7BD6"/>
    <w:rsid w:val="006B7BF5"/>
    <w:rsid w:val="006B7C5C"/>
    <w:rsid w:val="006B7C97"/>
    <w:rsid w:val="006B7CC2"/>
    <w:rsid w:val="006B7D1F"/>
    <w:rsid w:val="006B7D25"/>
    <w:rsid w:val="006B7D48"/>
    <w:rsid w:val="006B7D67"/>
    <w:rsid w:val="006B7D75"/>
    <w:rsid w:val="006B7E15"/>
    <w:rsid w:val="006B7E34"/>
    <w:rsid w:val="006B7F47"/>
    <w:rsid w:val="006B7F56"/>
    <w:rsid w:val="006C0069"/>
    <w:rsid w:val="006C008F"/>
    <w:rsid w:val="006C016E"/>
    <w:rsid w:val="006C0240"/>
    <w:rsid w:val="006C0247"/>
    <w:rsid w:val="006C026B"/>
    <w:rsid w:val="006C0295"/>
    <w:rsid w:val="006C0342"/>
    <w:rsid w:val="006C03A6"/>
    <w:rsid w:val="006C0423"/>
    <w:rsid w:val="006C0458"/>
    <w:rsid w:val="006C04C1"/>
    <w:rsid w:val="006C04C8"/>
    <w:rsid w:val="006C051C"/>
    <w:rsid w:val="006C05D1"/>
    <w:rsid w:val="006C0632"/>
    <w:rsid w:val="006C0657"/>
    <w:rsid w:val="006C066B"/>
    <w:rsid w:val="006C0698"/>
    <w:rsid w:val="006C06AF"/>
    <w:rsid w:val="006C06B6"/>
    <w:rsid w:val="006C06F4"/>
    <w:rsid w:val="006C078B"/>
    <w:rsid w:val="006C07F4"/>
    <w:rsid w:val="006C0810"/>
    <w:rsid w:val="006C0815"/>
    <w:rsid w:val="006C0895"/>
    <w:rsid w:val="006C0939"/>
    <w:rsid w:val="006C0974"/>
    <w:rsid w:val="006C0993"/>
    <w:rsid w:val="006C09D3"/>
    <w:rsid w:val="006C0A4D"/>
    <w:rsid w:val="006C0A72"/>
    <w:rsid w:val="006C0AA7"/>
    <w:rsid w:val="006C0AF5"/>
    <w:rsid w:val="006C0B99"/>
    <w:rsid w:val="006C0BA9"/>
    <w:rsid w:val="006C0BF0"/>
    <w:rsid w:val="006C0C81"/>
    <w:rsid w:val="006C0D24"/>
    <w:rsid w:val="006C0D39"/>
    <w:rsid w:val="006C0D3E"/>
    <w:rsid w:val="006C0E30"/>
    <w:rsid w:val="006C0F11"/>
    <w:rsid w:val="006C0F93"/>
    <w:rsid w:val="006C0FB9"/>
    <w:rsid w:val="006C0FFC"/>
    <w:rsid w:val="006C112E"/>
    <w:rsid w:val="006C119F"/>
    <w:rsid w:val="006C121D"/>
    <w:rsid w:val="006C12E3"/>
    <w:rsid w:val="006C131D"/>
    <w:rsid w:val="006C1332"/>
    <w:rsid w:val="006C133F"/>
    <w:rsid w:val="006C134B"/>
    <w:rsid w:val="006C1359"/>
    <w:rsid w:val="006C137D"/>
    <w:rsid w:val="006C1387"/>
    <w:rsid w:val="006C1396"/>
    <w:rsid w:val="006C13AF"/>
    <w:rsid w:val="006C147B"/>
    <w:rsid w:val="006C14C5"/>
    <w:rsid w:val="006C14FF"/>
    <w:rsid w:val="006C1520"/>
    <w:rsid w:val="006C1545"/>
    <w:rsid w:val="006C162E"/>
    <w:rsid w:val="006C1679"/>
    <w:rsid w:val="006C167E"/>
    <w:rsid w:val="006C16CA"/>
    <w:rsid w:val="006C16D5"/>
    <w:rsid w:val="006C16D6"/>
    <w:rsid w:val="006C1704"/>
    <w:rsid w:val="006C172F"/>
    <w:rsid w:val="006C1742"/>
    <w:rsid w:val="006C1765"/>
    <w:rsid w:val="006C1779"/>
    <w:rsid w:val="006C17C3"/>
    <w:rsid w:val="006C17C4"/>
    <w:rsid w:val="006C17ED"/>
    <w:rsid w:val="006C17F8"/>
    <w:rsid w:val="006C1806"/>
    <w:rsid w:val="006C1821"/>
    <w:rsid w:val="006C1861"/>
    <w:rsid w:val="006C18A9"/>
    <w:rsid w:val="006C18B2"/>
    <w:rsid w:val="006C190A"/>
    <w:rsid w:val="006C1943"/>
    <w:rsid w:val="006C198A"/>
    <w:rsid w:val="006C1A7A"/>
    <w:rsid w:val="006C1AA5"/>
    <w:rsid w:val="006C1AE7"/>
    <w:rsid w:val="006C1B31"/>
    <w:rsid w:val="006C1B85"/>
    <w:rsid w:val="006C1BB7"/>
    <w:rsid w:val="006C1BD5"/>
    <w:rsid w:val="006C1C83"/>
    <w:rsid w:val="006C1D50"/>
    <w:rsid w:val="006C1D92"/>
    <w:rsid w:val="006C1D9A"/>
    <w:rsid w:val="006C1DAC"/>
    <w:rsid w:val="006C1DEC"/>
    <w:rsid w:val="006C1EBF"/>
    <w:rsid w:val="006C1F4C"/>
    <w:rsid w:val="006C1F82"/>
    <w:rsid w:val="006C1FDD"/>
    <w:rsid w:val="006C200E"/>
    <w:rsid w:val="006C2015"/>
    <w:rsid w:val="006C2019"/>
    <w:rsid w:val="006C209D"/>
    <w:rsid w:val="006C20E8"/>
    <w:rsid w:val="006C211B"/>
    <w:rsid w:val="006C213F"/>
    <w:rsid w:val="006C215C"/>
    <w:rsid w:val="006C2210"/>
    <w:rsid w:val="006C2228"/>
    <w:rsid w:val="006C2242"/>
    <w:rsid w:val="006C224A"/>
    <w:rsid w:val="006C2276"/>
    <w:rsid w:val="006C2280"/>
    <w:rsid w:val="006C22EC"/>
    <w:rsid w:val="006C22F5"/>
    <w:rsid w:val="006C22FA"/>
    <w:rsid w:val="006C231B"/>
    <w:rsid w:val="006C2329"/>
    <w:rsid w:val="006C235A"/>
    <w:rsid w:val="006C23C6"/>
    <w:rsid w:val="006C23E4"/>
    <w:rsid w:val="006C23FA"/>
    <w:rsid w:val="006C2404"/>
    <w:rsid w:val="006C241E"/>
    <w:rsid w:val="006C2426"/>
    <w:rsid w:val="006C242A"/>
    <w:rsid w:val="006C245C"/>
    <w:rsid w:val="006C249B"/>
    <w:rsid w:val="006C24C2"/>
    <w:rsid w:val="006C24DF"/>
    <w:rsid w:val="006C24F0"/>
    <w:rsid w:val="006C24FA"/>
    <w:rsid w:val="006C2539"/>
    <w:rsid w:val="006C258D"/>
    <w:rsid w:val="006C25DD"/>
    <w:rsid w:val="006C25E1"/>
    <w:rsid w:val="006C25E4"/>
    <w:rsid w:val="006C2605"/>
    <w:rsid w:val="006C269C"/>
    <w:rsid w:val="006C26B5"/>
    <w:rsid w:val="006C26C3"/>
    <w:rsid w:val="006C2714"/>
    <w:rsid w:val="006C272D"/>
    <w:rsid w:val="006C27AD"/>
    <w:rsid w:val="006C27D8"/>
    <w:rsid w:val="006C27ED"/>
    <w:rsid w:val="006C281C"/>
    <w:rsid w:val="006C283D"/>
    <w:rsid w:val="006C2874"/>
    <w:rsid w:val="006C28EB"/>
    <w:rsid w:val="006C2927"/>
    <w:rsid w:val="006C2938"/>
    <w:rsid w:val="006C2978"/>
    <w:rsid w:val="006C297A"/>
    <w:rsid w:val="006C299C"/>
    <w:rsid w:val="006C29A9"/>
    <w:rsid w:val="006C29B9"/>
    <w:rsid w:val="006C29E4"/>
    <w:rsid w:val="006C2A61"/>
    <w:rsid w:val="006C2B15"/>
    <w:rsid w:val="006C2B59"/>
    <w:rsid w:val="006C2B93"/>
    <w:rsid w:val="006C2BA9"/>
    <w:rsid w:val="006C2BC9"/>
    <w:rsid w:val="006C2C19"/>
    <w:rsid w:val="006C2C69"/>
    <w:rsid w:val="006C2C86"/>
    <w:rsid w:val="006C2CB1"/>
    <w:rsid w:val="006C2CC0"/>
    <w:rsid w:val="006C2CC9"/>
    <w:rsid w:val="006C2CF4"/>
    <w:rsid w:val="006C2D02"/>
    <w:rsid w:val="006C2D55"/>
    <w:rsid w:val="006C2D93"/>
    <w:rsid w:val="006C2D9C"/>
    <w:rsid w:val="006C2DC5"/>
    <w:rsid w:val="006C2DF7"/>
    <w:rsid w:val="006C2E84"/>
    <w:rsid w:val="006C2ED0"/>
    <w:rsid w:val="006C2F24"/>
    <w:rsid w:val="006C306B"/>
    <w:rsid w:val="006C308C"/>
    <w:rsid w:val="006C30A5"/>
    <w:rsid w:val="006C30A9"/>
    <w:rsid w:val="006C310A"/>
    <w:rsid w:val="006C314F"/>
    <w:rsid w:val="006C315B"/>
    <w:rsid w:val="006C3201"/>
    <w:rsid w:val="006C3255"/>
    <w:rsid w:val="006C32B1"/>
    <w:rsid w:val="006C32D0"/>
    <w:rsid w:val="006C331C"/>
    <w:rsid w:val="006C332B"/>
    <w:rsid w:val="006C3335"/>
    <w:rsid w:val="006C3345"/>
    <w:rsid w:val="006C339E"/>
    <w:rsid w:val="006C340E"/>
    <w:rsid w:val="006C3488"/>
    <w:rsid w:val="006C348E"/>
    <w:rsid w:val="006C34DA"/>
    <w:rsid w:val="006C3549"/>
    <w:rsid w:val="006C3595"/>
    <w:rsid w:val="006C35E5"/>
    <w:rsid w:val="006C3613"/>
    <w:rsid w:val="006C368E"/>
    <w:rsid w:val="006C36BA"/>
    <w:rsid w:val="006C36CE"/>
    <w:rsid w:val="006C36D4"/>
    <w:rsid w:val="006C3773"/>
    <w:rsid w:val="006C378E"/>
    <w:rsid w:val="006C379A"/>
    <w:rsid w:val="006C37C5"/>
    <w:rsid w:val="006C37E6"/>
    <w:rsid w:val="006C37F7"/>
    <w:rsid w:val="006C382A"/>
    <w:rsid w:val="006C3841"/>
    <w:rsid w:val="006C38D4"/>
    <w:rsid w:val="006C391B"/>
    <w:rsid w:val="006C3967"/>
    <w:rsid w:val="006C3986"/>
    <w:rsid w:val="006C39B5"/>
    <w:rsid w:val="006C39B9"/>
    <w:rsid w:val="006C39FF"/>
    <w:rsid w:val="006C3A05"/>
    <w:rsid w:val="006C3A89"/>
    <w:rsid w:val="006C3AB4"/>
    <w:rsid w:val="006C3AD1"/>
    <w:rsid w:val="006C3BCA"/>
    <w:rsid w:val="006C3BE0"/>
    <w:rsid w:val="006C3C08"/>
    <w:rsid w:val="006C3C18"/>
    <w:rsid w:val="006C3C45"/>
    <w:rsid w:val="006C3C7D"/>
    <w:rsid w:val="006C3CC1"/>
    <w:rsid w:val="006C3D2D"/>
    <w:rsid w:val="006C3D97"/>
    <w:rsid w:val="006C3DCB"/>
    <w:rsid w:val="006C3E0A"/>
    <w:rsid w:val="006C3E54"/>
    <w:rsid w:val="006C3E82"/>
    <w:rsid w:val="006C3E94"/>
    <w:rsid w:val="006C3ED1"/>
    <w:rsid w:val="006C3EE0"/>
    <w:rsid w:val="006C3F09"/>
    <w:rsid w:val="006C3F42"/>
    <w:rsid w:val="006C3F65"/>
    <w:rsid w:val="006C3F6E"/>
    <w:rsid w:val="006C3F9C"/>
    <w:rsid w:val="006C3FA8"/>
    <w:rsid w:val="006C4005"/>
    <w:rsid w:val="006C4067"/>
    <w:rsid w:val="006C4073"/>
    <w:rsid w:val="006C4128"/>
    <w:rsid w:val="006C4189"/>
    <w:rsid w:val="006C41F8"/>
    <w:rsid w:val="006C4228"/>
    <w:rsid w:val="006C4247"/>
    <w:rsid w:val="006C4276"/>
    <w:rsid w:val="006C42BA"/>
    <w:rsid w:val="006C4334"/>
    <w:rsid w:val="006C4350"/>
    <w:rsid w:val="006C43E6"/>
    <w:rsid w:val="006C4468"/>
    <w:rsid w:val="006C4485"/>
    <w:rsid w:val="006C4499"/>
    <w:rsid w:val="006C44A3"/>
    <w:rsid w:val="006C451C"/>
    <w:rsid w:val="006C452A"/>
    <w:rsid w:val="006C4560"/>
    <w:rsid w:val="006C4569"/>
    <w:rsid w:val="006C459B"/>
    <w:rsid w:val="006C459D"/>
    <w:rsid w:val="006C467A"/>
    <w:rsid w:val="006C469C"/>
    <w:rsid w:val="006C46B5"/>
    <w:rsid w:val="006C46CA"/>
    <w:rsid w:val="006C46CE"/>
    <w:rsid w:val="006C4740"/>
    <w:rsid w:val="006C475B"/>
    <w:rsid w:val="006C4853"/>
    <w:rsid w:val="006C4887"/>
    <w:rsid w:val="006C4888"/>
    <w:rsid w:val="006C489E"/>
    <w:rsid w:val="006C48AD"/>
    <w:rsid w:val="006C490B"/>
    <w:rsid w:val="006C4960"/>
    <w:rsid w:val="006C498D"/>
    <w:rsid w:val="006C49FE"/>
    <w:rsid w:val="006C4A04"/>
    <w:rsid w:val="006C4A8D"/>
    <w:rsid w:val="006C4B07"/>
    <w:rsid w:val="006C4B97"/>
    <w:rsid w:val="006C4BE4"/>
    <w:rsid w:val="006C4C32"/>
    <w:rsid w:val="006C4C39"/>
    <w:rsid w:val="006C4C5A"/>
    <w:rsid w:val="006C4C5C"/>
    <w:rsid w:val="006C4CC6"/>
    <w:rsid w:val="006C4CE4"/>
    <w:rsid w:val="006C4CEE"/>
    <w:rsid w:val="006C4CF4"/>
    <w:rsid w:val="006C4D0D"/>
    <w:rsid w:val="006C4D45"/>
    <w:rsid w:val="006C4DD3"/>
    <w:rsid w:val="006C4E17"/>
    <w:rsid w:val="006C4E1A"/>
    <w:rsid w:val="006C4E2C"/>
    <w:rsid w:val="006C4EA1"/>
    <w:rsid w:val="006C4EE8"/>
    <w:rsid w:val="006C4EEB"/>
    <w:rsid w:val="006C4F26"/>
    <w:rsid w:val="006C4F56"/>
    <w:rsid w:val="006C4FA9"/>
    <w:rsid w:val="006C4FEF"/>
    <w:rsid w:val="006C5063"/>
    <w:rsid w:val="006C5080"/>
    <w:rsid w:val="006C509D"/>
    <w:rsid w:val="006C50C5"/>
    <w:rsid w:val="006C50FC"/>
    <w:rsid w:val="006C5166"/>
    <w:rsid w:val="006C5285"/>
    <w:rsid w:val="006C5295"/>
    <w:rsid w:val="006C52A8"/>
    <w:rsid w:val="006C5318"/>
    <w:rsid w:val="006C534D"/>
    <w:rsid w:val="006C5376"/>
    <w:rsid w:val="006C5380"/>
    <w:rsid w:val="006C539F"/>
    <w:rsid w:val="006C53A7"/>
    <w:rsid w:val="006C53B6"/>
    <w:rsid w:val="006C53D9"/>
    <w:rsid w:val="006C53FB"/>
    <w:rsid w:val="006C5403"/>
    <w:rsid w:val="006C5439"/>
    <w:rsid w:val="006C54F5"/>
    <w:rsid w:val="006C5516"/>
    <w:rsid w:val="006C5542"/>
    <w:rsid w:val="006C555C"/>
    <w:rsid w:val="006C5588"/>
    <w:rsid w:val="006C55A2"/>
    <w:rsid w:val="006C55CE"/>
    <w:rsid w:val="006C5606"/>
    <w:rsid w:val="006C5634"/>
    <w:rsid w:val="006C5647"/>
    <w:rsid w:val="006C56DB"/>
    <w:rsid w:val="006C570A"/>
    <w:rsid w:val="006C5714"/>
    <w:rsid w:val="006C571C"/>
    <w:rsid w:val="006C5729"/>
    <w:rsid w:val="006C572C"/>
    <w:rsid w:val="006C573D"/>
    <w:rsid w:val="006C5794"/>
    <w:rsid w:val="006C57A3"/>
    <w:rsid w:val="006C57E4"/>
    <w:rsid w:val="006C5828"/>
    <w:rsid w:val="006C5831"/>
    <w:rsid w:val="006C585D"/>
    <w:rsid w:val="006C5860"/>
    <w:rsid w:val="006C5868"/>
    <w:rsid w:val="006C58BA"/>
    <w:rsid w:val="006C58EA"/>
    <w:rsid w:val="006C5939"/>
    <w:rsid w:val="006C594B"/>
    <w:rsid w:val="006C5968"/>
    <w:rsid w:val="006C5989"/>
    <w:rsid w:val="006C5B01"/>
    <w:rsid w:val="006C5B83"/>
    <w:rsid w:val="006C5BAF"/>
    <w:rsid w:val="006C5BB2"/>
    <w:rsid w:val="006C5BD5"/>
    <w:rsid w:val="006C5BF3"/>
    <w:rsid w:val="006C5C54"/>
    <w:rsid w:val="006C5D0A"/>
    <w:rsid w:val="006C5D1D"/>
    <w:rsid w:val="006C5D33"/>
    <w:rsid w:val="006C5D43"/>
    <w:rsid w:val="006C5D61"/>
    <w:rsid w:val="006C5D67"/>
    <w:rsid w:val="006C5DDB"/>
    <w:rsid w:val="006C5DEE"/>
    <w:rsid w:val="006C5DFE"/>
    <w:rsid w:val="006C5E43"/>
    <w:rsid w:val="006C5EB4"/>
    <w:rsid w:val="006C5EDB"/>
    <w:rsid w:val="006C5F26"/>
    <w:rsid w:val="006C5FAB"/>
    <w:rsid w:val="006C5FF2"/>
    <w:rsid w:val="006C5FFC"/>
    <w:rsid w:val="006C6026"/>
    <w:rsid w:val="006C60E3"/>
    <w:rsid w:val="006C60E4"/>
    <w:rsid w:val="006C60E6"/>
    <w:rsid w:val="006C6113"/>
    <w:rsid w:val="006C6141"/>
    <w:rsid w:val="006C616B"/>
    <w:rsid w:val="006C61DD"/>
    <w:rsid w:val="006C61E8"/>
    <w:rsid w:val="006C6203"/>
    <w:rsid w:val="006C6212"/>
    <w:rsid w:val="006C6346"/>
    <w:rsid w:val="006C6365"/>
    <w:rsid w:val="006C63A4"/>
    <w:rsid w:val="006C63B0"/>
    <w:rsid w:val="006C63B1"/>
    <w:rsid w:val="006C6467"/>
    <w:rsid w:val="006C6485"/>
    <w:rsid w:val="006C6495"/>
    <w:rsid w:val="006C64B6"/>
    <w:rsid w:val="006C64DF"/>
    <w:rsid w:val="006C656A"/>
    <w:rsid w:val="006C65AC"/>
    <w:rsid w:val="006C65BA"/>
    <w:rsid w:val="006C65C1"/>
    <w:rsid w:val="006C65CD"/>
    <w:rsid w:val="006C65EA"/>
    <w:rsid w:val="006C6615"/>
    <w:rsid w:val="006C662C"/>
    <w:rsid w:val="006C666B"/>
    <w:rsid w:val="006C6693"/>
    <w:rsid w:val="006C6767"/>
    <w:rsid w:val="006C677C"/>
    <w:rsid w:val="006C678F"/>
    <w:rsid w:val="006C679B"/>
    <w:rsid w:val="006C67B3"/>
    <w:rsid w:val="006C67E2"/>
    <w:rsid w:val="006C67F0"/>
    <w:rsid w:val="006C682E"/>
    <w:rsid w:val="006C6860"/>
    <w:rsid w:val="006C6871"/>
    <w:rsid w:val="006C68C4"/>
    <w:rsid w:val="006C68C7"/>
    <w:rsid w:val="006C6900"/>
    <w:rsid w:val="006C6956"/>
    <w:rsid w:val="006C69CB"/>
    <w:rsid w:val="006C6A40"/>
    <w:rsid w:val="006C6A8C"/>
    <w:rsid w:val="006C6A9B"/>
    <w:rsid w:val="006C6AD4"/>
    <w:rsid w:val="006C6AFF"/>
    <w:rsid w:val="006C6B40"/>
    <w:rsid w:val="006C6B70"/>
    <w:rsid w:val="006C6BBF"/>
    <w:rsid w:val="006C6BC2"/>
    <w:rsid w:val="006C6D06"/>
    <w:rsid w:val="006C6D0F"/>
    <w:rsid w:val="006C6D32"/>
    <w:rsid w:val="006C6D55"/>
    <w:rsid w:val="006C6D81"/>
    <w:rsid w:val="006C6D8B"/>
    <w:rsid w:val="006C6D95"/>
    <w:rsid w:val="006C6D99"/>
    <w:rsid w:val="006C6DD3"/>
    <w:rsid w:val="006C6E26"/>
    <w:rsid w:val="006C6E7C"/>
    <w:rsid w:val="006C6E8B"/>
    <w:rsid w:val="006C6EDA"/>
    <w:rsid w:val="006C6EE7"/>
    <w:rsid w:val="006C6FF1"/>
    <w:rsid w:val="006C7020"/>
    <w:rsid w:val="006C7077"/>
    <w:rsid w:val="006C7088"/>
    <w:rsid w:val="006C7094"/>
    <w:rsid w:val="006C70D4"/>
    <w:rsid w:val="006C70D9"/>
    <w:rsid w:val="006C70F6"/>
    <w:rsid w:val="006C7135"/>
    <w:rsid w:val="006C7141"/>
    <w:rsid w:val="006C71C5"/>
    <w:rsid w:val="006C71E8"/>
    <w:rsid w:val="006C7212"/>
    <w:rsid w:val="006C7283"/>
    <w:rsid w:val="006C7296"/>
    <w:rsid w:val="006C72DA"/>
    <w:rsid w:val="006C7315"/>
    <w:rsid w:val="006C7328"/>
    <w:rsid w:val="006C7335"/>
    <w:rsid w:val="006C73A1"/>
    <w:rsid w:val="006C7456"/>
    <w:rsid w:val="006C7539"/>
    <w:rsid w:val="006C7542"/>
    <w:rsid w:val="006C75B4"/>
    <w:rsid w:val="006C75D6"/>
    <w:rsid w:val="006C7601"/>
    <w:rsid w:val="006C7660"/>
    <w:rsid w:val="006C7678"/>
    <w:rsid w:val="006C76AA"/>
    <w:rsid w:val="006C76CF"/>
    <w:rsid w:val="006C76DD"/>
    <w:rsid w:val="006C76DF"/>
    <w:rsid w:val="006C7751"/>
    <w:rsid w:val="006C7774"/>
    <w:rsid w:val="006C7792"/>
    <w:rsid w:val="006C77AB"/>
    <w:rsid w:val="006C77CD"/>
    <w:rsid w:val="006C7822"/>
    <w:rsid w:val="006C784F"/>
    <w:rsid w:val="006C785F"/>
    <w:rsid w:val="006C7860"/>
    <w:rsid w:val="006C787B"/>
    <w:rsid w:val="006C78BA"/>
    <w:rsid w:val="006C78E1"/>
    <w:rsid w:val="006C78F6"/>
    <w:rsid w:val="006C79C1"/>
    <w:rsid w:val="006C79D7"/>
    <w:rsid w:val="006C79E2"/>
    <w:rsid w:val="006C7A1C"/>
    <w:rsid w:val="006C7A33"/>
    <w:rsid w:val="006C7A9B"/>
    <w:rsid w:val="006C7AAE"/>
    <w:rsid w:val="006C7B12"/>
    <w:rsid w:val="006C7B4E"/>
    <w:rsid w:val="006C7B67"/>
    <w:rsid w:val="006C7BC7"/>
    <w:rsid w:val="006C7BDF"/>
    <w:rsid w:val="006C7C0B"/>
    <w:rsid w:val="006C7C14"/>
    <w:rsid w:val="006C7C1F"/>
    <w:rsid w:val="006C7C95"/>
    <w:rsid w:val="006C7CCF"/>
    <w:rsid w:val="006C7D0D"/>
    <w:rsid w:val="006C7D2C"/>
    <w:rsid w:val="006C7D99"/>
    <w:rsid w:val="006C7D9D"/>
    <w:rsid w:val="006C7DA7"/>
    <w:rsid w:val="006C7DB2"/>
    <w:rsid w:val="006C7DBC"/>
    <w:rsid w:val="006C7DD6"/>
    <w:rsid w:val="006C7E02"/>
    <w:rsid w:val="006C7E0D"/>
    <w:rsid w:val="006C7E0E"/>
    <w:rsid w:val="006C7E59"/>
    <w:rsid w:val="006C7E9B"/>
    <w:rsid w:val="006C7ED7"/>
    <w:rsid w:val="006C7F6D"/>
    <w:rsid w:val="006C7F7F"/>
    <w:rsid w:val="006C7F89"/>
    <w:rsid w:val="006C7FA6"/>
    <w:rsid w:val="006C7FE5"/>
    <w:rsid w:val="006D0003"/>
    <w:rsid w:val="006D0029"/>
    <w:rsid w:val="006D0053"/>
    <w:rsid w:val="006D005E"/>
    <w:rsid w:val="006D009F"/>
    <w:rsid w:val="006D00B7"/>
    <w:rsid w:val="006D00BC"/>
    <w:rsid w:val="006D0129"/>
    <w:rsid w:val="006D0170"/>
    <w:rsid w:val="006D01CC"/>
    <w:rsid w:val="006D0215"/>
    <w:rsid w:val="006D022C"/>
    <w:rsid w:val="006D02B0"/>
    <w:rsid w:val="006D02BD"/>
    <w:rsid w:val="006D02E9"/>
    <w:rsid w:val="006D02F8"/>
    <w:rsid w:val="006D0348"/>
    <w:rsid w:val="006D034A"/>
    <w:rsid w:val="006D038D"/>
    <w:rsid w:val="006D03BA"/>
    <w:rsid w:val="006D03D9"/>
    <w:rsid w:val="006D03F4"/>
    <w:rsid w:val="006D0429"/>
    <w:rsid w:val="006D0457"/>
    <w:rsid w:val="006D047B"/>
    <w:rsid w:val="006D0499"/>
    <w:rsid w:val="006D04E3"/>
    <w:rsid w:val="006D04FD"/>
    <w:rsid w:val="006D056E"/>
    <w:rsid w:val="006D05A2"/>
    <w:rsid w:val="006D061D"/>
    <w:rsid w:val="006D063F"/>
    <w:rsid w:val="006D065A"/>
    <w:rsid w:val="006D0681"/>
    <w:rsid w:val="006D077E"/>
    <w:rsid w:val="006D07D8"/>
    <w:rsid w:val="006D07EA"/>
    <w:rsid w:val="006D08FA"/>
    <w:rsid w:val="006D091B"/>
    <w:rsid w:val="006D093C"/>
    <w:rsid w:val="006D0947"/>
    <w:rsid w:val="006D0A1D"/>
    <w:rsid w:val="006D0A94"/>
    <w:rsid w:val="006D0AA4"/>
    <w:rsid w:val="006D0AFE"/>
    <w:rsid w:val="006D0B39"/>
    <w:rsid w:val="006D0B53"/>
    <w:rsid w:val="006D0B56"/>
    <w:rsid w:val="006D0BBC"/>
    <w:rsid w:val="006D0BBE"/>
    <w:rsid w:val="006D0BDB"/>
    <w:rsid w:val="006D0C31"/>
    <w:rsid w:val="006D0C45"/>
    <w:rsid w:val="006D0C5C"/>
    <w:rsid w:val="006D0C5D"/>
    <w:rsid w:val="006D0CCB"/>
    <w:rsid w:val="006D0D3A"/>
    <w:rsid w:val="006D0D41"/>
    <w:rsid w:val="006D0DBC"/>
    <w:rsid w:val="006D0DCD"/>
    <w:rsid w:val="006D0DE9"/>
    <w:rsid w:val="006D0E58"/>
    <w:rsid w:val="006D0E5B"/>
    <w:rsid w:val="006D0EA4"/>
    <w:rsid w:val="006D0EC0"/>
    <w:rsid w:val="006D0ED6"/>
    <w:rsid w:val="006D0F1D"/>
    <w:rsid w:val="006D0F5E"/>
    <w:rsid w:val="006D0F74"/>
    <w:rsid w:val="006D0F77"/>
    <w:rsid w:val="006D0FB9"/>
    <w:rsid w:val="006D0FF8"/>
    <w:rsid w:val="006D1020"/>
    <w:rsid w:val="006D1026"/>
    <w:rsid w:val="006D1033"/>
    <w:rsid w:val="006D10C2"/>
    <w:rsid w:val="006D10D0"/>
    <w:rsid w:val="006D10E2"/>
    <w:rsid w:val="006D10E7"/>
    <w:rsid w:val="006D1100"/>
    <w:rsid w:val="006D1130"/>
    <w:rsid w:val="006D117F"/>
    <w:rsid w:val="006D11B5"/>
    <w:rsid w:val="006D1210"/>
    <w:rsid w:val="006D1246"/>
    <w:rsid w:val="006D124C"/>
    <w:rsid w:val="006D12A9"/>
    <w:rsid w:val="006D1305"/>
    <w:rsid w:val="006D134B"/>
    <w:rsid w:val="006D137A"/>
    <w:rsid w:val="006D137C"/>
    <w:rsid w:val="006D1380"/>
    <w:rsid w:val="006D1398"/>
    <w:rsid w:val="006D13E6"/>
    <w:rsid w:val="006D13EF"/>
    <w:rsid w:val="006D1415"/>
    <w:rsid w:val="006D1439"/>
    <w:rsid w:val="006D1446"/>
    <w:rsid w:val="006D1479"/>
    <w:rsid w:val="006D147A"/>
    <w:rsid w:val="006D149F"/>
    <w:rsid w:val="006D14BE"/>
    <w:rsid w:val="006D14D4"/>
    <w:rsid w:val="006D14D7"/>
    <w:rsid w:val="006D151E"/>
    <w:rsid w:val="006D15A5"/>
    <w:rsid w:val="006D15BB"/>
    <w:rsid w:val="006D1660"/>
    <w:rsid w:val="006D1678"/>
    <w:rsid w:val="006D16BC"/>
    <w:rsid w:val="006D16F3"/>
    <w:rsid w:val="006D171B"/>
    <w:rsid w:val="006D1747"/>
    <w:rsid w:val="006D1766"/>
    <w:rsid w:val="006D1836"/>
    <w:rsid w:val="006D1856"/>
    <w:rsid w:val="006D185E"/>
    <w:rsid w:val="006D189B"/>
    <w:rsid w:val="006D18CE"/>
    <w:rsid w:val="006D18D6"/>
    <w:rsid w:val="006D195F"/>
    <w:rsid w:val="006D199F"/>
    <w:rsid w:val="006D19DB"/>
    <w:rsid w:val="006D19F8"/>
    <w:rsid w:val="006D1A08"/>
    <w:rsid w:val="006D1A2A"/>
    <w:rsid w:val="006D1A60"/>
    <w:rsid w:val="006D1AB4"/>
    <w:rsid w:val="006D1ABC"/>
    <w:rsid w:val="006D1B2B"/>
    <w:rsid w:val="006D1B37"/>
    <w:rsid w:val="006D1B75"/>
    <w:rsid w:val="006D1B7B"/>
    <w:rsid w:val="006D1B8A"/>
    <w:rsid w:val="006D1BAD"/>
    <w:rsid w:val="006D1BDB"/>
    <w:rsid w:val="006D1BE1"/>
    <w:rsid w:val="006D1C51"/>
    <w:rsid w:val="006D1C79"/>
    <w:rsid w:val="006D1CE4"/>
    <w:rsid w:val="006D1D0E"/>
    <w:rsid w:val="006D1D2E"/>
    <w:rsid w:val="006D1E1D"/>
    <w:rsid w:val="006D1E4B"/>
    <w:rsid w:val="006D1E58"/>
    <w:rsid w:val="006D1E95"/>
    <w:rsid w:val="006D1EAB"/>
    <w:rsid w:val="006D1EB5"/>
    <w:rsid w:val="006D1F25"/>
    <w:rsid w:val="006D1F3F"/>
    <w:rsid w:val="006D1F45"/>
    <w:rsid w:val="006D1F75"/>
    <w:rsid w:val="006D208F"/>
    <w:rsid w:val="006D20AB"/>
    <w:rsid w:val="006D2128"/>
    <w:rsid w:val="006D212D"/>
    <w:rsid w:val="006D2184"/>
    <w:rsid w:val="006D2190"/>
    <w:rsid w:val="006D21CB"/>
    <w:rsid w:val="006D21DE"/>
    <w:rsid w:val="006D21F5"/>
    <w:rsid w:val="006D2218"/>
    <w:rsid w:val="006D2276"/>
    <w:rsid w:val="006D228D"/>
    <w:rsid w:val="006D22CD"/>
    <w:rsid w:val="006D2374"/>
    <w:rsid w:val="006D23A1"/>
    <w:rsid w:val="006D23A4"/>
    <w:rsid w:val="006D23C9"/>
    <w:rsid w:val="006D247E"/>
    <w:rsid w:val="006D2483"/>
    <w:rsid w:val="006D2517"/>
    <w:rsid w:val="006D252F"/>
    <w:rsid w:val="006D2565"/>
    <w:rsid w:val="006D2596"/>
    <w:rsid w:val="006D261D"/>
    <w:rsid w:val="006D2663"/>
    <w:rsid w:val="006D2689"/>
    <w:rsid w:val="006D276D"/>
    <w:rsid w:val="006D277F"/>
    <w:rsid w:val="006D27D7"/>
    <w:rsid w:val="006D27DF"/>
    <w:rsid w:val="006D2816"/>
    <w:rsid w:val="006D282C"/>
    <w:rsid w:val="006D2844"/>
    <w:rsid w:val="006D2887"/>
    <w:rsid w:val="006D28CA"/>
    <w:rsid w:val="006D28CF"/>
    <w:rsid w:val="006D2911"/>
    <w:rsid w:val="006D291B"/>
    <w:rsid w:val="006D2983"/>
    <w:rsid w:val="006D2989"/>
    <w:rsid w:val="006D29B3"/>
    <w:rsid w:val="006D29CF"/>
    <w:rsid w:val="006D2B1F"/>
    <w:rsid w:val="006D2B32"/>
    <w:rsid w:val="006D2B43"/>
    <w:rsid w:val="006D2B57"/>
    <w:rsid w:val="006D2B8F"/>
    <w:rsid w:val="006D2BC6"/>
    <w:rsid w:val="006D2BC8"/>
    <w:rsid w:val="006D2BC9"/>
    <w:rsid w:val="006D2C2E"/>
    <w:rsid w:val="006D2C50"/>
    <w:rsid w:val="006D2C57"/>
    <w:rsid w:val="006D2C70"/>
    <w:rsid w:val="006D2CA6"/>
    <w:rsid w:val="006D2CC6"/>
    <w:rsid w:val="006D2D00"/>
    <w:rsid w:val="006D2D3C"/>
    <w:rsid w:val="006D2D6F"/>
    <w:rsid w:val="006D2E16"/>
    <w:rsid w:val="006D2E34"/>
    <w:rsid w:val="006D2E43"/>
    <w:rsid w:val="006D2E58"/>
    <w:rsid w:val="006D2E78"/>
    <w:rsid w:val="006D2E85"/>
    <w:rsid w:val="006D2EBD"/>
    <w:rsid w:val="006D2EBF"/>
    <w:rsid w:val="006D2EC8"/>
    <w:rsid w:val="006D2F2F"/>
    <w:rsid w:val="006D2F9E"/>
    <w:rsid w:val="006D2FD7"/>
    <w:rsid w:val="006D3030"/>
    <w:rsid w:val="006D30B8"/>
    <w:rsid w:val="006D30C8"/>
    <w:rsid w:val="006D30CA"/>
    <w:rsid w:val="006D30D8"/>
    <w:rsid w:val="006D30F0"/>
    <w:rsid w:val="006D3183"/>
    <w:rsid w:val="006D3193"/>
    <w:rsid w:val="006D31A5"/>
    <w:rsid w:val="006D3231"/>
    <w:rsid w:val="006D3260"/>
    <w:rsid w:val="006D3274"/>
    <w:rsid w:val="006D32AA"/>
    <w:rsid w:val="006D32D9"/>
    <w:rsid w:val="006D331B"/>
    <w:rsid w:val="006D3324"/>
    <w:rsid w:val="006D335C"/>
    <w:rsid w:val="006D3395"/>
    <w:rsid w:val="006D33CC"/>
    <w:rsid w:val="006D33D7"/>
    <w:rsid w:val="006D33D8"/>
    <w:rsid w:val="006D3436"/>
    <w:rsid w:val="006D3443"/>
    <w:rsid w:val="006D3485"/>
    <w:rsid w:val="006D3489"/>
    <w:rsid w:val="006D34A3"/>
    <w:rsid w:val="006D34AC"/>
    <w:rsid w:val="006D3506"/>
    <w:rsid w:val="006D354D"/>
    <w:rsid w:val="006D35D6"/>
    <w:rsid w:val="006D360C"/>
    <w:rsid w:val="006D36A3"/>
    <w:rsid w:val="006D36EB"/>
    <w:rsid w:val="006D3704"/>
    <w:rsid w:val="006D371C"/>
    <w:rsid w:val="006D3756"/>
    <w:rsid w:val="006D375D"/>
    <w:rsid w:val="006D376A"/>
    <w:rsid w:val="006D37A5"/>
    <w:rsid w:val="006D37F3"/>
    <w:rsid w:val="006D3807"/>
    <w:rsid w:val="006D3866"/>
    <w:rsid w:val="006D389E"/>
    <w:rsid w:val="006D38CC"/>
    <w:rsid w:val="006D3925"/>
    <w:rsid w:val="006D3935"/>
    <w:rsid w:val="006D39EC"/>
    <w:rsid w:val="006D3A50"/>
    <w:rsid w:val="006D3A57"/>
    <w:rsid w:val="006D3A58"/>
    <w:rsid w:val="006D3A71"/>
    <w:rsid w:val="006D3B4D"/>
    <w:rsid w:val="006D3BC9"/>
    <w:rsid w:val="006D3BD9"/>
    <w:rsid w:val="006D3C70"/>
    <w:rsid w:val="006D3CE6"/>
    <w:rsid w:val="006D3D27"/>
    <w:rsid w:val="006D3D31"/>
    <w:rsid w:val="006D3D50"/>
    <w:rsid w:val="006D3D77"/>
    <w:rsid w:val="006D3D84"/>
    <w:rsid w:val="006D3DE2"/>
    <w:rsid w:val="006D3DF3"/>
    <w:rsid w:val="006D3EA7"/>
    <w:rsid w:val="006D3F17"/>
    <w:rsid w:val="006D3F1E"/>
    <w:rsid w:val="006D3F26"/>
    <w:rsid w:val="006D3FA9"/>
    <w:rsid w:val="006D3FD2"/>
    <w:rsid w:val="006D404C"/>
    <w:rsid w:val="006D4061"/>
    <w:rsid w:val="006D408A"/>
    <w:rsid w:val="006D4093"/>
    <w:rsid w:val="006D40F5"/>
    <w:rsid w:val="006D4109"/>
    <w:rsid w:val="006D4122"/>
    <w:rsid w:val="006D4148"/>
    <w:rsid w:val="006D4165"/>
    <w:rsid w:val="006D41B7"/>
    <w:rsid w:val="006D41BE"/>
    <w:rsid w:val="006D4246"/>
    <w:rsid w:val="006D424D"/>
    <w:rsid w:val="006D4258"/>
    <w:rsid w:val="006D42D4"/>
    <w:rsid w:val="006D42D9"/>
    <w:rsid w:val="006D42E7"/>
    <w:rsid w:val="006D433B"/>
    <w:rsid w:val="006D4447"/>
    <w:rsid w:val="006D449F"/>
    <w:rsid w:val="006D44B5"/>
    <w:rsid w:val="006D44F4"/>
    <w:rsid w:val="006D4510"/>
    <w:rsid w:val="006D4536"/>
    <w:rsid w:val="006D459E"/>
    <w:rsid w:val="006D459F"/>
    <w:rsid w:val="006D45A6"/>
    <w:rsid w:val="006D45E2"/>
    <w:rsid w:val="006D4620"/>
    <w:rsid w:val="006D4696"/>
    <w:rsid w:val="006D46DF"/>
    <w:rsid w:val="006D4711"/>
    <w:rsid w:val="006D4733"/>
    <w:rsid w:val="006D475C"/>
    <w:rsid w:val="006D47AC"/>
    <w:rsid w:val="006D47C9"/>
    <w:rsid w:val="006D480C"/>
    <w:rsid w:val="006D4815"/>
    <w:rsid w:val="006D48C3"/>
    <w:rsid w:val="006D4914"/>
    <w:rsid w:val="006D497E"/>
    <w:rsid w:val="006D49AA"/>
    <w:rsid w:val="006D49B7"/>
    <w:rsid w:val="006D49EE"/>
    <w:rsid w:val="006D4A28"/>
    <w:rsid w:val="006D4A2B"/>
    <w:rsid w:val="006D4A99"/>
    <w:rsid w:val="006D4AE3"/>
    <w:rsid w:val="006D4AFC"/>
    <w:rsid w:val="006D4B09"/>
    <w:rsid w:val="006D4B3D"/>
    <w:rsid w:val="006D4B6A"/>
    <w:rsid w:val="006D4BA0"/>
    <w:rsid w:val="006D4BC2"/>
    <w:rsid w:val="006D4BD0"/>
    <w:rsid w:val="006D4BF5"/>
    <w:rsid w:val="006D4CAC"/>
    <w:rsid w:val="006D4CFE"/>
    <w:rsid w:val="006D4D23"/>
    <w:rsid w:val="006D4D63"/>
    <w:rsid w:val="006D4DFD"/>
    <w:rsid w:val="006D4E00"/>
    <w:rsid w:val="006D4E30"/>
    <w:rsid w:val="006D4E57"/>
    <w:rsid w:val="006D4EE9"/>
    <w:rsid w:val="006D4F2F"/>
    <w:rsid w:val="006D4F5F"/>
    <w:rsid w:val="006D4FD2"/>
    <w:rsid w:val="006D5000"/>
    <w:rsid w:val="006D502B"/>
    <w:rsid w:val="006D502E"/>
    <w:rsid w:val="006D5071"/>
    <w:rsid w:val="006D50A0"/>
    <w:rsid w:val="006D50C2"/>
    <w:rsid w:val="006D5132"/>
    <w:rsid w:val="006D513C"/>
    <w:rsid w:val="006D5174"/>
    <w:rsid w:val="006D5176"/>
    <w:rsid w:val="006D51B4"/>
    <w:rsid w:val="006D51E5"/>
    <w:rsid w:val="006D5213"/>
    <w:rsid w:val="006D521C"/>
    <w:rsid w:val="006D5250"/>
    <w:rsid w:val="006D5261"/>
    <w:rsid w:val="006D52B5"/>
    <w:rsid w:val="006D52C7"/>
    <w:rsid w:val="006D52E4"/>
    <w:rsid w:val="006D5345"/>
    <w:rsid w:val="006D5358"/>
    <w:rsid w:val="006D539C"/>
    <w:rsid w:val="006D53DB"/>
    <w:rsid w:val="006D53DD"/>
    <w:rsid w:val="006D53EB"/>
    <w:rsid w:val="006D5447"/>
    <w:rsid w:val="006D54A7"/>
    <w:rsid w:val="006D54C6"/>
    <w:rsid w:val="006D54DE"/>
    <w:rsid w:val="006D54F8"/>
    <w:rsid w:val="006D5525"/>
    <w:rsid w:val="006D5548"/>
    <w:rsid w:val="006D55B8"/>
    <w:rsid w:val="006D55E5"/>
    <w:rsid w:val="006D566C"/>
    <w:rsid w:val="006D568C"/>
    <w:rsid w:val="006D573F"/>
    <w:rsid w:val="006D5756"/>
    <w:rsid w:val="006D5778"/>
    <w:rsid w:val="006D57A6"/>
    <w:rsid w:val="006D583E"/>
    <w:rsid w:val="006D5901"/>
    <w:rsid w:val="006D590C"/>
    <w:rsid w:val="006D5939"/>
    <w:rsid w:val="006D594E"/>
    <w:rsid w:val="006D598B"/>
    <w:rsid w:val="006D5999"/>
    <w:rsid w:val="006D59FC"/>
    <w:rsid w:val="006D5A27"/>
    <w:rsid w:val="006D5A36"/>
    <w:rsid w:val="006D5AA8"/>
    <w:rsid w:val="006D5ADB"/>
    <w:rsid w:val="006D5B33"/>
    <w:rsid w:val="006D5B5C"/>
    <w:rsid w:val="006D5B65"/>
    <w:rsid w:val="006D5B75"/>
    <w:rsid w:val="006D5C17"/>
    <w:rsid w:val="006D5C86"/>
    <w:rsid w:val="006D5D2D"/>
    <w:rsid w:val="006D5D81"/>
    <w:rsid w:val="006D5E03"/>
    <w:rsid w:val="006D5E1F"/>
    <w:rsid w:val="006D5E71"/>
    <w:rsid w:val="006D5ECB"/>
    <w:rsid w:val="006D5F04"/>
    <w:rsid w:val="006D5F1E"/>
    <w:rsid w:val="006D5FA9"/>
    <w:rsid w:val="006D5FBA"/>
    <w:rsid w:val="006D5FBC"/>
    <w:rsid w:val="006D5FDF"/>
    <w:rsid w:val="006D6069"/>
    <w:rsid w:val="006D60C6"/>
    <w:rsid w:val="006D6103"/>
    <w:rsid w:val="006D610A"/>
    <w:rsid w:val="006D6143"/>
    <w:rsid w:val="006D615C"/>
    <w:rsid w:val="006D6180"/>
    <w:rsid w:val="006D6187"/>
    <w:rsid w:val="006D618F"/>
    <w:rsid w:val="006D61E6"/>
    <w:rsid w:val="006D61F7"/>
    <w:rsid w:val="006D627D"/>
    <w:rsid w:val="006D62EB"/>
    <w:rsid w:val="006D6345"/>
    <w:rsid w:val="006D6359"/>
    <w:rsid w:val="006D6379"/>
    <w:rsid w:val="006D63F9"/>
    <w:rsid w:val="006D641D"/>
    <w:rsid w:val="006D6436"/>
    <w:rsid w:val="006D647D"/>
    <w:rsid w:val="006D648F"/>
    <w:rsid w:val="006D64B4"/>
    <w:rsid w:val="006D64C8"/>
    <w:rsid w:val="006D64E7"/>
    <w:rsid w:val="006D651F"/>
    <w:rsid w:val="006D6594"/>
    <w:rsid w:val="006D65E5"/>
    <w:rsid w:val="006D6682"/>
    <w:rsid w:val="006D6685"/>
    <w:rsid w:val="006D66AE"/>
    <w:rsid w:val="006D66B4"/>
    <w:rsid w:val="006D66CC"/>
    <w:rsid w:val="006D66EA"/>
    <w:rsid w:val="006D6761"/>
    <w:rsid w:val="006D67A3"/>
    <w:rsid w:val="006D67C8"/>
    <w:rsid w:val="006D6833"/>
    <w:rsid w:val="006D688B"/>
    <w:rsid w:val="006D68E3"/>
    <w:rsid w:val="006D68FC"/>
    <w:rsid w:val="006D6970"/>
    <w:rsid w:val="006D69E3"/>
    <w:rsid w:val="006D6A17"/>
    <w:rsid w:val="006D6A44"/>
    <w:rsid w:val="006D6AAE"/>
    <w:rsid w:val="006D6B60"/>
    <w:rsid w:val="006D6B86"/>
    <w:rsid w:val="006D6B90"/>
    <w:rsid w:val="006D6C04"/>
    <w:rsid w:val="006D6C1A"/>
    <w:rsid w:val="006D6C94"/>
    <w:rsid w:val="006D6CC9"/>
    <w:rsid w:val="006D6D51"/>
    <w:rsid w:val="006D6DD6"/>
    <w:rsid w:val="006D6E12"/>
    <w:rsid w:val="006D6E1B"/>
    <w:rsid w:val="006D6E6E"/>
    <w:rsid w:val="006D6E77"/>
    <w:rsid w:val="006D6EF4"/>
    <w:rsid w:val="006D6F3D"/>
    <w:rsid w:val="006D6F55"/>
    <w:rsid w:val="006D6F95"/>
    <w:rsid w:val="006D6FA9"/>
    <w:rsid w:val="006D6FE8"/>
    <w:rsid w:val="006D7037"/>
    <w:rsid w:val="006D7042"/>
    <w:rsid w:val="006D7081"/>
    <w:rsid w:val="006D7084"/>
    <w:rsid w:val="006D7097"/>
    <w:rsid w:val="006D7099"/>
    <w:rsid w:val="006D70CF"/>
    <w:rsid w:val="006D70E5"/>
    <w:rsid w:val="006D70FC"/>
    <w:rsid w:val="006D7104"/>
    <w:rsid w:val="006D711D"/>
    <w:rsid w:val="006D717C"/>
    <w:rsid w:val="006D7261"/>
    <w:rsid w:val="006D7265"/>
    <w:rsid w:val="006D72B2"/>
    <w:rsid w:val="006D72BA"/>
    <w:rsid w:val="006D72D4"/>
    <w:rsid w:val="006D72E2"/>
    <w:rsid w:val="006D7312"/>
    <w:rsid w:val="006D7393"/>
    <w:rsid w:val="006D744F"/>
    <w:rsid w:val="006D7456"/>
    <w:rsid w:val="006D749F"/>
    <w:rsid w:val="006D74A3"/>
    <w:rsid w:val="006D74CE"/>
    <w:rsid w:val="006D74D2"/>
    <w:rsid w:val="006D750F"/>
    <w:rsid w:val="006D75A2"/>
    <w:rsid w:val="006D75FB"/>
    <w:rsid w:val="006D7600"/>
    <w:rsid w:val="006D760F"/>
    <w:rsid w:val="006D764B"/>
    <w:rsid w:val="006D765C"/>
    <w:rsid w:val="006D765F"/>
    <w:rsid w:val="006D7678"/>
    <w:rsid w:val="006D767A"/>
    <w:rsid w:val="006D7696"/>
    <w:rsid w:val="006D774F"/>
    <w:rsid w:val="006D777E"/>
    <w:rsid w:val="006D77DA"/>
    <w:rsid w:val="006D7829"/>
    <w:rsid w:val="006D7832"/>
    <w:rsid w:val="006D78E7"/>
    <w:rsid w:val="006D7920"/>
    <w:rsid w:val="006D7969"/>
    <w:rsid w:val="006D79CF"/>
    <w:rsid w:val="006D79E2"/>
    <w:rsid w:val="006D7A3B"/>
    <w:rsid w:val="006D7A5F"/>
    <w:rsid w:val="006D7AB2"/>
    <w:rsid w:val="006D7ACA"/>
    <w:rsid w:val="006D7B4D"/>
    <w:rsid w:val="006D7B6E"/>
    <w:rsid w:val="006D7B7C"/>
    <w:rsid w:val="006D7BE7"/>
    <w:rsid w:val="006D7C29"/>
    <w:rsid w:val="006D7C5D"/>
    <w:rsid w:val="006D7C75"/>
    <w:rsid w:val="006D7C79"/>
    <w:rsid w:val="006D7CAB"/>
    <w:rsid w:val="006D7D25"/>
    <w:rsid w:val="006D7D6C"/>
    <w:rsid w:val="006D7DB7"/>
    <w:rsid w:val="006D7DEF"/>
    <w:rsid w:val="006D7E09"/>
    <w:rsid w:val="006D7E3B"/>
    <w:rsid w:val="006D7EF3"/>
    <w:rsid w:val="006D7F0E"/>
    <w:rsid w:val="006D7F17"/>
    <w:rsid w:val="006D7F3C"/>
    <w:rsid w:val="006D7F73"/>
    <w:rsid w:val="006E0009"/>
    <w:rsid w:val="006E000C"/>
    <w:rsid w:val="006E0043"/>
    <w:rsid w:val="006E0100"/>
    <w:rsid w:val="006E0161"/>
    <w:rsid w:val="006E0172"/>
    <w:rsid w:val="006E01AE"/>
    <w:rsid w:val="006E01E4"/>
    <w:rsid w:val="006E0217"/>
    <w:rsid w:val="006E032D"/>
    <w:rsid w:val="006E0378"/>
    <w:rsid w:val="006E0381"/>
    <w:rsid w:val="006E0397"/>
    <w:rsid w:val="006E03CA"/>
    <w:rsid w:val="006E03ED"/>
    <w:rsid w:val="006E0439"/>
    <w:rsid w:val="006E0443"/>
    <w:rsid w:val="006E048A"/>
    <w:rsid w:val="006E04FE"/>
    <w:rsid w:val="006E0509"/>
    <w:rsid w:val="006E052E"/>
    <w:rsid w:val="006E057B"/>
    <w:rsid w:val="006E058F"/>
    <w:rsid w:val="006E05D2"/>
    <w:rsid w:val="006E05DF"/>
    <w:rsid w:val="006E05E0"/>
    <w:rsid w:val="006E0638"/>
    <w:rsid w:val="006E063C"/>
    <w:rsid w:val="006E06A0"/>
    <w:rsid w:val="006E06D3"/>
    <w:rsid w:val="006E0713"/>
    <w:rsid w:val="006E0765"/>
    <w:rsid w:val="006E0775"/>
    <w:rsid w:val="006E07FD"/>
    <w:rsid w:val="006E081C"/>
    <w:rsid w:val="006E0832"/>
    <w:rsid w:val="006E085D"/>
    <w:rsid w:val="006E0868"/>
    <w:rsid w:val="006E0888"/>
    <w:rsid w:val="006E08EB"/>
    <w:rsid w:val="006E0912"/>
    <w:rsid w:val="006E0937"/>
    <w:rsid w:val="006E0A2B"/>
    <w:rsid w:val="006E0A62"/>
    <w:rsid w:val="006E0A6C"/>
    <w:rsid w:val="006E0A97"/>
    <w:rsid w:val="006E0B00"/>
    <w:rsid w:val="006E0B0D"/>
    <w:rsid w:val="006E0B0F"/>
    <w:rsid w:val="006E0B95"/>
    <w:rsid w:val="006E0B98"/>
    <w:rsid w:val="006E0BA4"/>
    <w:rsid w:val="006E0C2E"/>
    <w:rsid w:val="006E0C97"/>
    <w:rsid w:val="006E0CA4"/>
    <w:rsid w:val="006E0CD3"/>
    <w:rsid w:val="006E0D00"/>
    <w:rsid w:val="006E0D14"/>
    <w:rsid w:val="006E0D25"/>
    <w:rsid w:val="006E0D7B"/>
    <w:rsid w:val="006E0DCA"/>
    <w:rsid w:val="006E0DDC"/>
    <w:rsid w:val="006E0DFD"/>
    <w:rsid w:val="006E0ED5"/>
    <w:rsid w:val="006E0FA7"/>
    <w:rsid w:val="006E101D"/>
    <w:rsid w:val="006E1056"/>
    <w:rsid w:val="006E10A8"/>
    <w:rsid w:val="006E10AF"/>
    <w:rsid w:val="006E110A"/>
    <w:rsid w:val="006E11C5"/>
    <w:rsid w:val="006E11E5"/>
    <w:rsid w:val="006E1222"/>
    <w:rsid w:val="006E123F"/>
    <w:rsid w:val="006E12E3"/>
    <w:rsid w:val="006E12E5"/>
    <w:rsid w:val="006E1334"/>
    <w:rsid w:val="006E1361"/>
    <w:rsid w:val="006E13CD"/>
    <w:rsid w:val="006E13E7"/>
    <w:rsid w:val="006E13F5"/>
    <w:rsid w:val="006E1407"/>
    <w:rsid w:val="006E14E0"/>
    <w:rsid w:val="006E157D"/>
    <w:rsid w:val="006E1588"/>
    <w:rsid w:val="006E15BD"/>
    <w:rsid w:val="006E15E2"/>
    <w:rsid w:val="006E1658"/>
    <w:rsid w:val="006E1660"/>
    <w:rsid w:val="006E16E3"/>
    <w:rsid w:val="006E16E6"/>
    <w:rsid w:val="006E16F2"/>
    <w:rsid w:val="006E180A"/>
    <w:rsid w:val="006E1828"/>
    <w:rsid w:val="006E1877"/>
    <w:rsid w:val="006E1934"/>
    <w:rsid w:val="006E1954"/>
    <w:rsid w:val="006E1A45"/>
    <w:rsid w:val="006E1A89"/>
    <w:rsid w:val="006E1AD0"/>
    <w:rsid w:val="006E1B09"/>
    <w:rsid w:val="006E1B40"/>
    <w:rsid w:val="006E1BD8"/>
    <w:rsid w:val="006E1BFE"/>
    <w:rsid w:val="006E1C3E"/>
    <w:rsid w:val="006E1D0F"/>
    <w:rsid w:val="006E1D7E"/>
    <w:rsid w:val="006E1D8A"/>
    <w:rsid w:val="006E1DC3"/>
    <w:rsid w:val="006E1DD6"/>
    <w:rsid w:val="006E1E15"/>
    <w:rsid w:val="006E1E21"/>
    <w:rsid w:val="006E1E31"/>
    <w:rsid w:val="006E1EBA"/>
    <w:rsid w:val="006E1ECC"/>
    <w:rsid w:val="006E1F0D"/>
    <w:rsid w:val="006E1F56"/>
    <w:rsid w:val="006E1F9C"/>
    <w:rsid w:val="006E1FBB"/>
    <w:rsid w:val="006E1FCA"/>
    <w:rsid w:val="006E1FF1"/>
    <w:rsid w:val="006E1FFF"/>
    <w:rsid w:val="006E2017"/>
    <w:rsid w:val="006E20C3"/>
    <w:rsid w:val="006E20D6"/>
    <w:rsid w:val="006E20F3"/>
    <w:rsid w:val="006E213F"/>
    <w:rsid w:val="006E2144"/>
    <w:rsid w:val="006E217A"/>
    <w:rsid w:val="006E217B"/>
    <w:rsid w:val="006E21F8"/>
    <w:rsid w:val="006E2207"/>
    <w:rsid w:val="006E220F"/>
    <w:rsid w:val="006E2261"/>
    <w:rsid w:val="006E22F1"/>
    <w:rsid w:val="006E2366"/>
    <w:rsid w:val="006E23BC"/>
    <w:rsid w:val="006E23C9"/>
    <w:rsid w:val="006E23E5"/>
    <w:rsid w:val="006E23FC"/>
    <w:rsid w:val="006E243C"/>
    <w:rsid w:val="006E244C"/>
    <w:rsid w:val="006E2493"/>
    <w:rsid w:val="006E2567"/>
    <w:rsid w:val="006E25E6"/>
    <w:rsid w:val="006E2604"/>
    <w:rsid w:val="006E261A"/>
    <w:rsid w:val="006E2639"/>
    <w:rsid w:val="006E2644"/>
    <w:rsid w:val="006E266C"/>
    <w:rsid w:val="006E274D"/>
    <w:rsid w:val="006E27DB"/>
    <w:rsid w:val="006E2853"/>
    <w:rsid w:val="006E2859"/>
    <w:rsid w:val="006E2891"/>
    <w:rsid w:val="006E28F9"/>
    <w:rsid w:val="006E2912"/>
    <w:rsid w:val="006E292F"/>
    <w:rsid w:val="006E293B"/>
    <w:rsid w:val="006E2959"/>
    <w:rsid w:val="006E29A3"/>
    <w:rsid w:val="006E29FF"/>
    <w:rsid w:val="006E2A01"/>
    <w:rsid w:val="006E2A16"/>
    <w:rsid w:val="006E2A34"/>
    <w:rsid w:val="006E2A52"/>
    <w:rsid w:val="006E2AE2"/>
    <w:rsid w:val="006E2AE6"/>
    <w:rsid w:val="006E2AE7"/>
    <w:rsid w:val="006E2B3D"/>
    <w:rsid w:val="006E2B6E"/>
    <w:rsid w:val="006E2C0E"/>
    <w:rsid w:val="006E2C2B"/>
    <w:rsid w:val="006E2CB0"/>
    <w:rsid w:val="006E2D6C"/>
    <w:rsid w:val="006E2DAD"/>
    <w:rsid w:val="006E2DCD"/>
    <w:rsid w:val="006E2E01"/>
    <w:rsid w:val="006E2EAA"/>
    <w:rsid w:val="006E2EBD"/>
    <w:rsid w:val="006E2EC1"/>
    <w:rsid w:val="006E2ED9"/>
    <w:rsid w:val="006E2F08"/>
    <w:rsid w:val="006E2F65"/>
    <w:rsid w:val="006E2FAE"/>
    <w:rsid w:val="006E2FDC"/>
    <w:rsid w:val="006E3090"/>
    <w:rsid w:val="006E30EA"/>
    <w:rsid w:val="006E3136"/>
    <w:rsid w:val="006E3149"/>
    <w:rsid w:val="006E315D"/>
    <w:rsid w:val="006E31AF"/>
    <w:rsid w:val="006E31B8"/>
    <w:rsid w:val="006E31D8"/>
    <w:rsid w:val="006E324C"/>
    <w:rsid w:val="006E3277"/>
    <w:rsid w:val="006E3295"/>
    <w:rsid w:val="006E32A3"/>
    <w:rsid w:val="006E32AA"/>
    <w:rsid w:val="006E3335"/>
    <w:rsid w:val="006E3339"/>
    <w:rsid w:val="006E3359"/>
    <w:rsid w:val="006E336D"/>
    <w:rsid w:val="006E3372"/>
    <w:rsid w:val="006E3382"/>
    <w:rsid w:val="006E3428"/>
    <w:rsid w:val="006E3485"/>
    <w:rsid w:val="006E34B2"/>
    <w:rsid w:val="006E3540"/>
    <w:rsid w:val="006E3563"/>
    <w:rsid w:val="006E3577"/>
    <w:rsid w:val="006E361D"/>
    <w:rsid w:val="006E3628"/>
    <w:rsid w:val="006E3647"/>
    <w:rsid w:val="006E36B1"/>
    <w:rsid w:val="006E3710"/>
    <w:rsid w:val="006E3737"/>
    <w:rsid w:val="006E37AF"/>
    <w:rsid w:val="006E3852"/>
    <w:rsid w:val="006E3869"/>
    <w:rsid w:val="006E38EA"/>
    <w:rsid w:val="006E3901"/>
    <w:rsid w:val="006E3923"/>
    <w:rsid w:val="006E392C"/>
    <w:rsid w:val="006E39C7"/>
    <w:rsid w:val="006E39D5"/>
    <w:rsid w:val="006E3A26"/>
    <w:rsid w:val="006E3A58"/>
    <w:rsid w:val="006E3A66"/>
    <w:rsid w:val="006E3A6B"/>
    <w:rsid w:val="006E3B95"/>
    <w:rsid w:val="006E3B97"/>
    <w:rsid w:val="006E3BB3"/>
    <w:rsid w:val="006E3BE2"/>
    <w:rsid w:val="006E3C5C"/>
    <w:rsid w:val="006E3CAF"/>
    <w:rsid w:val="006E3E26"/>
    <w:rsid w:val="006E3E7F"/>
    <w:rsid w:val="006E3ED4"/>
    <w:rsid w:val="006E3F2B"/>
    <w:rsid w:val="006E3F40"/>
    <w:rsid w:val="006E3F77"/>
    <w:rsid w:val="006E3F81"/>
    <w:rsid w:val="006E3F85"/>
    <w:rsid w:val="006E3F90"/>
    <w:rsid w:val="006E3FA1"/>
    <w:rsid w:val="006E3FEC"/>
    <w:rsid w:val="006E3FF2"/>
    <w:rsid w:val="006E402E"/>
    <w:rsid w:val="006E4046"/>
    <w:rsid w:val="006E40DF"/>
    <w:rsid w:val="006E410B"/>
    <w:rsid w:val="006E4118"/>
    <w:rsid w:val="006E41B2"/>
    <w:rsid w:val="006E41E3"/>
    <w:rsid w:val="006E4285"/>
    <w:rsid w:val="006E4291"/>
    <w:rsid w:val="006E42B7"/>
    <w:rsid w:val="006E42E3"/>
    <w:rsid w:val="006E432B"/>
    <w:rsid w:val="006E4381"/>
    <w:rsid w:val="006E43C0"/>
    <w:rsid w:val="006E4408"/>
    <w:rsid w:val="006E440C"/>
    <w:rsid w:val="006E4457"/>
    <w:rsid w:val="006E4496"/>
    <w:rsid w:val="006E44D6"/>
    <w:rsid w:val="006E4511"/>
    <w:rsid w:val="006E4570"/>
    <w:rsid w:val="006E457B"/>
    <w:rsid w:val="006E4587"/>
    <w:rsid w:val="006E458F"/>
    <w:rsid w:val="006E4648"/>
    <w:rsid w:val="006E465B"/>
    <w:rsid w:val="006E469D"/>
    <w:rsid w:val="006E46A7"/>
    <w:rsid w:val="006E46BC"/>
    <w:rsid w:val="006E46CA"/>
    <w:rsid w:val="006E4719"/>
    <w:rsid w:val="006E4722"/>
    <w:rsid w:val="006E4730"/>
    <w:rsid w:val="006E47B0"/>
    <w:rsid w:val="006E4818"/>
    <w:rsid w:val="006E48BF"/>
    <w:rsid w:val="006E48D1"/>
    <w:rsid w:val="006E491C"/>
    <w:rsid w:val="006E4927"/>
    <w:rsid w:val="006E4999"/>
    <w:rsid w:val="006E49D6"/>
    <w:rsid w:val="006E4A06"/>
    <w:rsid w:val="006E4AB2"/>
    <w:rsid w:val="006E4AFC"/>
    <w:rsid w:val="006E4BA4"/>
    <w:rsid w:val="006E4BDB"/>
    <w:rsid w:val="006E4BF5"/>
    <w:rsid w:val="006E4BF7"/>
    <w:rsid w:val="006E4BFF"/>
    <w:rsid w:val="006E4C49"/>
    <w:rsid w:val="006E4C70"/>
    <w:rsid w:val="006E4C7D"/>
    <w:rsid w:val="006E4CB6"/>
    <w:rsid w:val="006E4CFE"/>
    <w:rsid w:val="006E4D06"/>
    <w:rsid w:val="006E4D12"/>
    <w:rsid w:val="006E4D19"/>
    <w:rsid w:val="006E4D2E"/>
    <w:rsid w:val="006E4D42"/>
    <w:rsid w:val="006E4D66"/>
    <w:rsid w:val="006E4D99"/>
    <w:rsid w:val="006E4DDE"/>
    <w:rsid w:val="006E4DF1"/>
    <w:rsid w:val="006E4E2E"/>
    <w:rsid w:val="006E4EA0"/>
    <w:rsid w:val="006E4EE1"/>
    <w:rsid w:val="006E4F61"/>
    <w:rsid w:val="006E4F74"/>
    <w:rsid w:val="006E4FC4"/>
    <w:rsid w:val="006E4FE0"/>
    <w:rsid w:val="006E503A"/>
    <w:rsid w:val="006E5064"/>
    <w:rsid w:val="006E507D"/>
    <w:rsid w:val="006E50A5"/>
    <w:rsid w:val="006E50AA"/>
    <w:rsid w:val="006E50BC"/>
    <w:rsid w:val="006E50EE"/>
    <w:rsid w:val="006E5113"/>
    <w:rsid w:val="006E5120"/>
    <w:rsid w:val="006E51A0"/>
    <w:rsid w:val="006E51D1"/>
    <w:rsid w:val="006E5201"/>
    <w:rsid w:val="006E5234"/>
    <w:rsid w:val="006E5245"/>
    <w:rsid w:val="006E536D"/>
    <w:rsid w:val="006E5390"/>
    <w:rsid w:val="006E53C1"/>
    <w:rsid w:val="006E53F5"/>
    <w:rsid w:val="006E540C"/>
    <w:rsid w:val="006E543A"/>
    <w:rsid w:val="006E5451"/>
    <w:rsid w:val="006E54A7"/>
    <w:rsid w:val="006E5507"/>
    <w:rsid w:val="006E554A"/>
    <w:rsid w:val="006E555D"/>
    <w:rsid w:val="006E5568"/>
    <w:rsid w:val="006E5572"/>
    <w:rsid w:val="006E5574"/>
    <w:rsid w:val="006E55DC"/>
    <w:rsid w:val="006E560A"/>
    <w:rsid w:val="006E5630"/>
    <w:rsid w:val="006E563A"/>
    <w:rsid w:val="006E565F"/>
    <w:rsid w:val="006E5668"/>
    <w:rsid w:val="006E567C"/>
    <w:rsid w:val="006E5685"/>
    <w:rsid w:val="006E56AE"/>
    <w:rsid w:val="006E56CD"/>
    <w:rsid w:val="006E577F"/>
    <w:rsid w:val="006E5783"/>
    <w:rsid w:val="006E57C3"/>
    <w:rsid w:val="006E57C7"/>
    <w:rsid w:val="006E587B"/>
    <w:rsid w:val="006E5896"/>
    <w:rsid w:val="006E5908"/>
    <w:rsid w:val="006E59B6"/>
    <w:rsid w:val="006E59BD"/>
    <w:rsid w:val="006E59C1"/>
    <w:rsid w:val="006E5A10"/>
    <w:rsid w:val="006E5A14"/>
    <w:rsid w:val="006E5A2A"/>
    <w:rsid w:val="006E5A2D"/>
    <w:rsid w:val="006E5A38"/>
    <w:rsid w:val="006E5A41"/>
    <w:rsid w:val="006E5A50"/>
    <w:rsid w:val="006E5A55"/>
    <w:rsid w:val="006E5A70"/>
    <w:rsid w:val="006E5A80"/>
    <w:rsid w:val="006E5AC1"/>
    <w:rsid w:val="006E5B03"/>
    <w:rsid w:val="006E5B30"/>
    <w:rsid w:val="006E5B41"/>
    <w:rsid w:val="006E5BCC"/>
    <w:rsid w:val="006E5BCF"/>
    <w:rsid w:val="006E5BFE"/>
    <w:rsid w:val="006E5C5C"/>
    <w:rsid w:val="006E5C5D"/>
    <w:rsid w:val="006E5C7E"/>
    <w:rsid w:val="006E5CE4"/>
    <w:rsid w:val="006E5D57"/>
    <w:rsid w:val="006E5D85"/>
    <w:rsid w:val="006E5D8B"/>
    <w:rsid w:val="006E5D8D"/>
    <w:rsid w:val="006E5D9A"/>
    <w:rsid w:val="006E5D9B"/>
    <w:rsid w:val="006E5E00"/>
    <w:rsid w:val="006E5E44"/>
    <w:rsid w:val="006E5EF5"/>
    <w:rsid w:val="006E5F49"/>
    <w:rsid w:val="006E5F91"/>
    <w:rsid w:val="006E5FD1"/>
    <w:rsid w:val="006E5FD7"/>
    <w:rsid w:val="006E6003"/>
    <w:rsid w:val="006E60BF"/>
    <w:rsid w:val="006E612E"/>
    <w:rsid w:val="006E6141"/>
    <w:rsid w:val="006E6184"/>
    <w:rsid w:val="006E618D"/>
    <w:rsid w:val="006E618F"/>
    <w:rsid w:val="006E61BA"/>
    <w:rsid w:val="006E61E8"/>
    <w:rsid w:val="006E6282"/>
    <w:rsid w:val="006E62E9"/>
    <w:rsid w:val="006E6307"/>
    <w:rsid w:val="006E6368"/>
    <w:rsid w:val="006E63E4"/>
    <w:rsid w:val="006E6426"/>
    <w:rsid w:val="006E6481"/>
    <w:rsid w:val="006E64A3"/>
    <w:rsid w:val="006E64AE"/>
    <w:rsid w:val="006E64EA"/>
    <w:rsid w:val="006E6541"/>
    <w:rsid w:val="006E6595"/>
    <w:rsid w:val="006E6692"/>
    <w:rsid w:val="006E66C4"/>
    <w:rsid w:val="006E66FE"/>
    <w:rsid w:val="006E671E"/>
    <w:rsid w:val="006E6768"/>
    <w:rsid w:val="006E6776"/>
    <w:rsid w:val="006E67AD"/>
    <w:rsid w:val="006E6808"/>
    <w:rsid w:val="006E6837"/>
    <w:rsid w:val="006E6851"/>
    <w:rsid w:val="006E687E"/>
    <w:rsid w:val="006E68BE"/>
    <w:rsid w:val="006E68D7"/>
    <w:rsid w:val="006E68DF"/>
    <w:rsid w:val="006E6911"/>
    <w:rsid w:val="006E692B"/>
    <w:rsid w:val="006E6949"/>
    <w:rsid w:val="006E6993"/>
    <w:rsid w:val="006E69D2"/>
    <w:rsid w:val="006E69F2"/>
    <w:rsid w:val="006E6A5B"/>
    <w:rsid w:val="006E6A60"/>
    <w:rsid w:val="006E6A7C"/>
    <w:rsid w:val="006E6AAB"/>
    <w:rsid w:val="006E6B44"/>
    <w:rsid w:val="006E6B4D"/>
    <w:rsid w:val="006E6B85"/>
    <w:rsid w:val="006E6BB4"/>
    <w:rsid w:val="006E6BB9"/>
    <w:rsid w:val="006E6BEE"/>
    <w:rsid w:val="006E6C18"/>
    <w:rsid w:val="006E6C7C"/>
    <w:rsid w:val="006E6C87"/>
    <w:rsid w:val="006E6C8D"/>
    <w:rsid w:val="006E6CC0"/>
    <w:rsid w:val="006E6CCB"/>
    <w:rsid w:val="006E6D33"/>
    <w:rsid w:val="006E6D4B"/>
    <w:rsid w:val="006E6D4F"/>
    <w:rsid w:val="006E6D7D"/>
    <w:rsid w:val="006E6D9D"/>
    <w:rsid w:val="006E6DEA"/>
    <w:rsid w:val="006E6E05"/>
    <w:rsid w:val="006E6E71"/>
    <w:rsid w:val="006E6EFE"/>
    <w:rsid w:val="006E6F49"/>
    <w:rsid w:val="006E6F59"/>
    <w:rsid w:val="006E6F73"/>
    <w:rsid w:val="006E6FA5"/>
    <w:rsid w:val="006E6FBF"/>
    <w:rsid w:val="006E6FDB"/>
    <w:rsid w:val="006E6FF0"/>
    <w:rsid w:val="006E70BC"/>
    <w:rsid w:val="006E70EF"/>
    <w:rsid w:val="006E7108"/>
    <w:rsid w:val="006E71CF"/>
    <w:rsid w:val="006E7249"/>
    <w:rsid w:val="006E725C"/>
    <w:rsid w:val="006E72DD"/>
    <w:rsid w:val="006E7302"/>
    <w:rsid w:val="006E732A"/>
    <w:rsid w:val="006E737F"/>
    <w:rsid w:val="006E73BC"/>
    <w:rsid w:val="006E73F6"/>
    <w:rsid w:val="006E743B"/>
    <w:rsid w:val="006E7447"/>
    <w:rsid w:val="006E7474"/>
    <w:rsid w:val="006E75FB"/>
    <w:rsid w:val="006E7667"/>
    <w:rsid w:val="006E769E"/>
    <w:rsid w:val="006E76DF"/>
    <w:rsid w:val="006E7707"/>
    <w:rsid w:val="006E7718"/>
    <w:rsid w:val="006E7729"/>
    <w:rsid w:val="006E77A5"/>
    <w:rsid w:val="006E77B1"/>
    <w:rsid w:val="006E77FD"/>
    <w:rsid w:val="006E7822"/>
    <w:rsid w:val="006E7847"/>
    <w:rsid w:val="006E78F9"/>
    <w:rsid w:val="006E7975"/>
    <w:rsid w:val="006E7980"/>
    <w:rsid w:val="006E79F3"/>
    <w:rsid w:val="006E7A23"/>
    <w:rsid w:val="006E7A25"/>
    <w:rsid w:val="006E7A5A"/>
    <w:rsid w:val="006E7A60"/>
    <w:rsid w:val="006E7A98"/>
    <w:rsid w:val="006E7A9B"/>
    <w:rsid w:val="006E7AC2"/>
    <w:rsid w:val="006E7AF7"/>
    <w:rsid w:val="006E7BC8"/>
    <w:rsid w:val="006E7BD9"/>
    <w:rsid w:val="006E7C0F"/>
    <w:rsid w:val="006E7C43"/>
    <w:rsid w:val="006E7C45"/>
    <w:rsid w:val="006E7C8F"/>
    <w:rsid w:val="006E7C99"/>
    <w:rsid w:val="006E7C9A"/>
    <w:rsid w:val="006E7E1E"/>
    <w:rsid w:val="006E7E2B"/>
    <w:rsid w:val="006E7E44"/>
    <w:rsid w:val="006E7E51"/>
    <w:rsid w:val="006E7E52"/>
    <w:rsid w:val="006E7E5F"/>
    <w:rsid w:val="006E7E90"/>
    <w:rsid w:val="006E7F97"/>
    <w:rsid w:val="006E7FEE"/>
    <w:rsid w:val="006F0021"/>
    <w:rsid w:val="006F0044"/>
    <w:rsid w:val="006F0076"/>
    <w:rsid w:val="006F0173"/>
    <w:rsid w:val="006F01A8"/>
    <w:rsid w:val="006F01F4"/>
    <w:rsid w:val="006F01FD"/>
    <w:rsid w:val="006F0216"/>
    <w:rsid w:val="006F022D"/>
    <w:rsid w:val="006F02E1"/>
    <w:rsid w:val="006F02F6"/>
    <w:rsid w:val="006F030E"/>
    <w:rsid w:val="006F0420"/>
    <w:rsid w:val="006F051B"/>
    <w:rsid w:val="006F0577"/>
    <w:rsid w:val="006F05B2"/>
    <w:rsid w:val="006F05F0"/>
    <w:rsid w:val="006F067A"/>
    <w:rsid w:val="006F06B3"/>
    <w:rsid w:val="006F070B"/>
    <w:rsid w:val="006F072D"/>
    <w:rsid w:val="006F0780"/>
    <w:rsid w:val="006F0824"/>
    <w:rsid w:val="006F0828"/>
    <w:rsid w:val="006F082D"/>
    <w:rsid w:val="006F0883"/>
    <w:rsid w:val="006F08A8"/>
    <w:rsid w:val="006F0923"/>
    <w:rsid w:val="006F0933"/>
    <w:rsid w:val="006F096B"/>
    <w:rsid w:val="006F0973"/>
    <w:rsid w:val="006F097E"/>
    <w:rsid w:val="006F09A0"/>
    <w:rsid w:val="006F09B8"/>
    <w:rsid w:val="006F09BB"/>
    <w:rsid w:val="006F0A68"/>
    <w:rsid w:val="006F0B3D"/>
    <w:rsid w:val="006F0B3E"/>
    <w:rsid w:val="006F0B5E"/>
    <w:rsid w:val="006F0B65"/>
    <w:rsid w:val="006F0B74"/>
    <w:rsid w:val="006F0B9B"/>
    <w:rsid w:val="006F0BB5"/>
    <w:rsid w:val="006F0BBA"/>
    <w:rsid w:val="006F0BD1"/>
    <w:rsid w:val="006F0BE8"/>
    <w:rsid w:val="006F0BF7"/>
    <w:rsid w:val="006F0BF9"/>
    <w:rsid w:val="006F0C0E"/>
    <w:rsid w:val="006F0C25"/>
    <w:rsid w:val="006F0CC3"/>
    <w:rsid w:val="006F0D22"/>
    <w:rsid w:val="006F0D40"/>
    <w:rsid w:val="006F0D53"/>
    <w:rsid w:val="006F0DB2"/>
    <w:rsid w:val="006F0DEB"/>
    <w:rsid w:val="006F0E46"/>
    <w:rsid w:val="006F0EB3"/>
    <w:rsid w:val="006F0EDB"/>
    <w:rsid w:val="006F0EF8"/>
    <w:rsid w:val="006F0F2A"/>
    <w:rsid w:val="006F1001"/>
    <w:rsid w:val="006F107B"/>
    <w:rsid w:val="006F1095"/>
    <w:rsid w:val="006F1102"/>
    <w:rsid w:val="006F1178"/>
    <w:rsid w:val="006F11E5"/>
    <w:rsid w:val="006F11F7"/>
    <w:rsid w:val="006F122E"/>
    <w:rsid w:val="006F1268"/>
    <w:rsid w:val="006F1295"/>
    <w:rsid w:val="006F129E"/>
    <w:rsid w:val="006F12A5"/>
    <w:rsid w:val="006F12AA"/>
    <w:rsid w:val="006F1338"/>
    <w:rsid w:val="006F1344"/>
    <w:rsid w:val="006F1351"/>
    <w:rsid w:val="006F13C6"/>
    <w:rsid w:val="006F13FF"/>
    <w:rsid w:val="006F143D"/>
    <w:rsid w:val="006F145A"/>
    <w:rsid w:val="006F14DF"/>
    <w:rsid w:val="006F1662"/>
    <w:rsid w:val="006F166C"/>
    <w:rsid w:val="006F1690"/>
    <w:rsid w:val="006F16B5"/>
    <w:rsid w:val="006F16B7"/>
    <w:rsid w:val="006F16EA"/>
    <w:rsid w:val="006F1746"/>
    <w:rsid w:val="006F1808"/>
    <w:rsid w:val="006F1863"/>
    <w:rsid w:val="006F18E8"/>
    <w:rsid w:val="006F18EB"/>
    <w:rsid w:val="006F1964"/>
    <w:rsid w:val="006F19D3"/>
    <w:rsid w:val="006F1A03"/>
    <w:rsid w:val="006F1A88"/>
    <w:rsid w:val="006F1A8C"/>
    <w:rsid w:val="006F1A92"/>
    <w:rsid w:val="006F1AE1"/>
    <w:rsid w:val="006F1AE2"/>
    <w:rsid w:val="006F1AE3"/>
    <w:rsid w:val="006F1BB0"/>
    <w:rsid w:val="006F1BF7"/>
    <w:rsid w:val="006F1C2A"/>
    <w:rsid w:val="006F1CC0"/>
    <w:rsid w:val="006F1CC3"/>
    <w:rsid w:val="006F1D27"/>
    <w:rsid w:val="006F1D38"/>
    <w:rsid w:val="006F1D47"/>
    <w:rsid w:val="006F1D6E"/>
    <w:rsid w:val="006F1EC1"/>
    <w:rsid w:val="006F1EDA"/>
    <w:rsid w:val="006F1EF9"/>
    <w:rsid w:val="006F1F15"/>
    <w:rsid w:val="006F1F3C"/>
    <w:rsid w:val="006F1F58"/>
    <w:rsid w:val="006F1F6B"/>
    <w:rsid w:val="006F2011"/>
    <w:rsid w:val="006F203A"/>
    <w:rsid w:val="006F2060"/>
    <w:rsid w:val="006F2092"/>
    <w:rsid w:val="006F20C3"/>
    <w:rsid w:val="006F20C7"/>
    <w:rsid w:val="006F20F8"/>
    <w:rsid w:val="006F20FC"/>
    <w:rsid w:val="006F2118"/>
    <w:rsid w:val="006F219F"/>
    <w:rsid w:val="006F21DF"/>
    <w:rsid w:val="006F2201"/>
    <w:rsid w:val="006F2222"/>
    <w:rsid w:val="006F225F"/>
    <w:rsid w:val="006F226F"/>
    <w:rsid w:val="006F2280"/>
    <w:rsid w:val="006F2322"/>
    <w:rsid w:val="006F2453"/>
    <w:rsid w:val="006F246A"/>
    <w:rsid w:val="006F246E"/>
    <w:rsid w:val="006F248E"/>
    <w:rsid w:val="006F24DA"/>
    <w:rsid w:val="006F2503"/>
    <w:rsid w:val="006F2567"/>
    <w:rsid w:val="006F261B"/>
    <w:rsid w:val="006F2630"/>
    <w:rsid w:val="006F265B"/>
    <w:rsid w:val="006F265C"/>
    <w:rsid w:val="006F26CA"/>
    <w:rsid w:val="006F271C"/>
    <w:rsid w:val="006F2726"/>
    <w:rsid w:val="006F278A"/>
    <w:rsid w:val="006F27D3"/>
    <w:rsid w:val="006F27D9"/>
    <w:rsid w:val="006F282A"/>
    <w:rsid w:val="006F28AC"/>
    <w:rsid w:val="006F28BC"/>
    <w:rsid w:val="006F28F0"/>
    <w:rsid w:val="006F29C2"/>
    <w:rsid w:val="006F29D6"/>
    <w:rsid w:val="006F2A00"/>
    <w:rsid w:val="006F2A24"/>
    <w:rsid w:val="006F2A42"/>
    <w:rsid w:val="006F2A4D"/>
    <w:rsid w:val="006F2A56"/>
    <w:rsid w:val="006F2AC4"/>
    <w:rsid w:val="006F2AF5"/>
    <w:rsid w:val="006F2AFB"/>
    <w:rsid w:val="006F2B5D"/>
    <w:rsid w:val="006F2B63"/>
    <w:rsid w:val="006F2B91"/>
    <w:rsid w:val="006F2BB1"/>
    <w:rsid w:val="006F2C5C"/>
    <w:rsid w:val="006F2CAD"/>
    <w:rsid w:val="006F2CFD"/>
    <w:rsid w:val="006F2DF3"/>
    <w:rsid w:val="006F2E2E"/>
    <w:rsid w:val="006F2E35"/>
    <w:rsid w:val="006F2E54"/>
    <w:rsid w:val="006F2E87"/>
    <w:rsid w:val="006F2E89"/>
    <w:rsid w:val="006F2E8F"/>
    <w:rsid w:val="006F2E9B"/>
    <w:rsid w:val="006F2EA7"/>
    <w:rsid w:val="006F2EC5"/>
    <w:rsid w:val="006F2F45"/>
    <w:rsid w:val="006F2FAB"/>
    <w:rsid w:val="006F2FC2"/>
    <w:rsid w:val="006F300A"/>
    <w:rsid w:val="006F3013"/>
    <w:rsid w:val="006F303D"/>
    <w:rsid w:val="006F304D"/>
    <w:rsid w:val="006F3079"/>
    <w:rsid w:val="006F309D"/>
    <w:rsid w:val="006F30BE"/>
    <w:rsid w:val="006F3111"/>
    <w:rsid w:val="006F3112"/>
    <w:rsid w:val="006F3183"/>
    <w:rsid w:val="006F31D5"/>
    <w:rsid w:val="006F31F4"/>
    <w:rsid w:val="006F324E"/>
    <w:rsid w:val="006F325E"/>
    <w:rsid w:val="006F3276"/>
    <w:rsid w:val="006F328E"/>
    <w:rsid w:val="006F3299"/>
    <w:rsid w:val="006F32C1"/>
    <w:rsid w:val="006F32C3"/>
    <w:rsid w:val="006F338A"/>
    <w:rsid w:val="006F338F"/>
    <w:rsid w:val="006F3424"/>
    <w:rsid w:val="006F3442"/>
    <w:rsid w:val="006F345C"/>
    <w:rsid w:val="006F34FF"/>
    <w:rsid w:val="006F352C"/>
    <w:rsid w:val="006F3617"/>
    <w:rsid w:val="006F3686"/>
    <w:rsid w:val="006F368D"/>
    <w:rsid w:val="006F369F"/>
    <w:rsid w:val="006F36CF"/>
    <w:rsid w:val="006F36EE"/>
    <w:rsid w:val="006F37DB"/>
    <w:rsid w:val="006F380B"/>
    <w:rsid w:val="006F3811"/>
    <w:rsid w:val="006F3826"/>
    <w:rsid w:val="006F38A1"/>
    <w:rsid w:val="006F391D"/>
    <w:rsid w:val="006F3963"/>
    <w:rsid w:val="006F39A1"/>
    <w:rsid w:val="006F3A3C"/>
    <w:rsid w:val="006F3B67"/>
    <w:rsid w:val="006F3B71"/>
    <w:rsid w:val="006F3B8B"/>
    <w:rsid w:val="006F3B92"/>
    <w:rsid w:val="006F3B9D"/>
    <w:rsid w:val="006F3BD7"/>
    <w:rsid w:val="006F3BFA"/>
    <w:rsid w:val="006F3C1D"/>
    <w:rsid w:val="006F3C36"/>
    <w:rsid w:val="006F3C3B"/>
    <w:rsid w:val="006F3C6C"/>
    <w:rsid w:val="006F3D15"/>
    <w:rsid w:val="006F3D70"/>
    <w:rsid w:val="006F3D7A"/>
    <w:rsid w:val="006F3D7D"/>
    <w:rsid w:val="006F3DA2"/>
    <w:rsid w:val="006F3DB3"/>
    <w:rsid w:val="006F3DEF"/>
    <w:rsid w:val="006F3E81"/>
    <w:rsid w:val="006F3ECA"/>
    <w:rsid w:val="006F3EF3"/>
    <w:rsid w:val="006F3EFC"/>
    <w:rsid w:val="006F3F05"/>
    <w:rsid w:val="006F3F1D"/>
    <w:rsid w:val="006F3F44"/>
    <w:rsid w:val="006F3FB5"/>
    <w:rsid w:val="006F3FCB"/>
    <w:rsid w:val="006F4028"/>
    <w:rsid w:val="006F4042"/>
    <w:rsid w:val="006F405A"/>
    <w:rsid w:val="006F4096"/>
    <w:rsid w:val="006F4097"/>
    <w:rsid w:val="006F40BE"/>
    <w:rsid w:val="006F40CD"/>
    <w:rsid w:val="006F40DD"/>
    <w:rsid w:val="006F40E0"/>
    <w:rsid w:val="006F4127"/>
    <w:rsid w:val="006F412C"/>
    <w:rsid w:val="006F415E"/>
    <w:rsid w:val="006F419C"/>
    <w:rsid w:val="006F41CC"/>
    <w:rsid w:val="006F41F9"/>
    <w:rsid w:val="006F4251"/>
    <w:rsid w:val="006F42A5"/>
    <w:rsid w:val="006F42A7"/>
    <w:rsid w:val="006F42BF"/>
    <w:rsid w:val="006F42E6"/>
    <w:rsid w:val="006F431A"/>
    <w:rsid w:val="006F432E"/>
    <w:rsid w:val="006F4398"/>
    <w:rsid w:val="006F443A"/>
    <w:rsid w:val="006F4463"/>
    <w:rsid w:val="006F446A"/>
    <w:rsid w:val="006F44ED"/>
    <w:rsid w:val="006F454D"/>
    <w:rsid w:val="006F4562"/>
    <w:rsid w:val="006F4591"/>
    <w:rsid w:val="006F45B0"/>
    <w:rsid w:val="006F45B5"/>
    <w:rsid w:val="006F4636"/>
    <w:rsid w:val="006F4639"/>
    <w:rsid w:val="006F463A"/>
    <w:rsid w:val="006F467E"/>
    <w:rsid w:val="006F4683"/>
    <w:rsid w:val="006F4687"/>
    <w:rsid w:val="006F4711"/>
    <w:rsid w:val="006F4717"/>
    <w:rsid w:val="006F471A"/>
    <w:rsid w:val="006F4726"/>
    <w:rsid w:val="006F4729"/>
    <w:rsid w:val="006F472B"/>
    <w:rsid w:val="006F4750"/>
    <w:rsid w:val="006F4770"/>
    <w:rsid w:val="006F47A9"/>
    <w:rsid w:val="006F47CA"/>
    <w:rsid w:val="006F47D6"/>
    <w:rsid w:val="006F482B"/>
    <w:rsid w:val="006F4835"/>
    <w:rsid w:val="006F4894"/>
    <w:rsid w:val="006F48BD"/>
    <w:rsid w:val="006F4953"/>
    <w:rsid w:val="006F4969"/>
    <w:rsid w:val="006F49AF"/>
    <w:rsid w:val="006F49B0"/>
    <w:rsid w:val="006F49F8"/>
    <w:rsid w:val="006F4A51"/>
    <w:rsid w:val="006F4A5A"/>
    <w:rsid w:val="006F4BB6"/>
    <w:rsid w:val="006F4BBD"/>
    <w:rsid w:val="006F4C19"/>
    <w:rsid w:val="006F4C4E"/>
    <w:rsid w:val="006F4C68"/>
    <w:rsid w:val="006F4CB6"/>
    <w:rsid w:val="006F4CC8"/>
    <w:rsid w:val="006F4CDA"/>
    <w:rsid w:val="006F4D7E"/>
    <w:rsid w:val="006F4E0E"/>
    <w:rsid w:val="006F4E2B"/>
    <w:rsid w:val="006F4EA4"/>
    <w:rsid w:val="006F4EB9"/>
    <w:rsid w:val="006F4EC8"/>
    <w:rsid w:val="006F4EE9"/>
    <w:rsid w:val="006F4F4F"/>
    <w:rsid w:val="006F4F85"/>
    <w:rsid w:val="006F4FFC"/>
    <w:rsid w:val="006F503E"/>
    <w:rsid w:val="006F504A"/>
    <w:rsid w:val="006F506B"/>
    <w:rsid w:val="006F506D"/>
    <w:rsid w:val="006F507E"/>
    <w:rsid w:val="006F50A2"/>
    <w:rsid w:val="006F50AC"/>
    <w:rsid w:val="006F510B"/>
    <w:rsid w:val="006F5116"/>
    <w:rsid w:val="006F5152"/>
    <w:rsid w:val="006F517A"/>
    <w:rsid w:val="006F51D2"/>
    <w:rsid w:val="006F51F0"/>
    <w:rsid w:val="006F51FE"/>
    <w:rsid w:val="006F521E"/>
    <w:rsid w:val="006F524B"/>
    <w:rsid w:val="006F5265"/>
    <w:rsid w:val="006F52EB"/>
    <w:rsid w:val="006F5320"/>
    <w:rsid w:val="006F5324"/>
    <w:rsid w:val="006F533C"/>
    <w:rsid w:val="006F535F"/>
    <w:rsid w:val="006F5402"/>
    <w:rsid w:val="006F5457"/>
    <w:rsid w:val="006F5487"/>
    <w:rsid w:val="006F549E"/>
    <w:rsid w:val="006F54B4"/>
    <w:rsid w:val="006F54DA"/>
    <w:rsid w:val="006F552F"/>
    <w:rsid w:val="006F5555"/>
    <w:rsid w:val="006F558F"/>
    <w:rsid w:val="006F55EA"/>
    <w:rsid w:val="006F55FF"/>
    <w:rsid w:val="006F5617"/>
    <w:rsid w:val="006F5653"/>
    <w:rsid w:val="006F566D"/>
    <w:rsid w:val="006F5671"/>
    <w:rsid w:val="006F567C"/>
    <w:rsid w:val="006F5713"/>
    <w:rsid w:val="006F5731"/>
    <w:rsid w:val="006F5733"/>
    <w:rsid w:val="006F5755"/>
    <w:rsid w:val="006F5805"/>
    <w:rsid w:val="006F5817"/>
    <w:rsid w:val="006F581C"/>
    <w:rsid w:val="006F582F"/>
    <w:rsid w:val="006F5860"/>
    <w:rsid w:val="006F587A"/>
    <w:rsid w:val="006F58E5"/>
    <w:rsid w:val="006F58EC"/>
    <w:rsid w:val="006F590B"/>
    <w:rsid w:val="006F592F"/>
    <w:rsid w:val="006F593E"/>
    <w:rsid w:val="006F5946"/>
    <w:rsid w:val="006F5951"/>
    <w:rsid w:val="006F599F"/>
    <w:rsid w:val="006F59AB"/>
    <w:rsid w:val="006F5A0C"/>
    <w:rsid w:val="006F5A50"/>
    <w:rsid w:val="006F5A6D"/>
    <w:rsid w:val="006F5A7A"/>
    <w:rsid w:val="006F5AE8"/>
    <w:rsid w:val="006F5AF3"/>
    <w:rsid w:val="006F5B26"/>
    <w:rsid w:val="006F5B8C"/>
    <w:rsid w:val="006F5C39"/>
    <w:rsid w:val="006F5C64"/>
    <w:rsid w:val="006F5C8A"/>
    <w:rsid w:val="006F5C99"/>
    <w:rsid w:val="006F5CDA"/>
    <w:rsid w:val="006F5D3D"/>
    <w:rsid w:val="006F5D49"/>
    <w:rsid w:val="006F5DD0"/>
    <w:rsid w:val="006F5DD5"/>
    <w:rsid w:val="006F5DE6"/>
    <w:rsid w:val="006F5DEF"/>
    <w:rsid w:val="006F5DFE"/>
    <w:rsid w:val="006F5E9D"/>
    <w:rsid w:val="006F5EBE"/>
    <w:rsid w:val="006F5ECA"/>
    <w:rsid w:val="006F5F14"/>
    <w:rsid w:val="006F5F3B"/>
    <w:rsid w:val="006F5F77"/>
    <w:rsid w:val="006F5F84"/>
    <w:rsid w:val="006F5F99"/>
    <w:rsid w:val="006F6004"/>
    <w:rsid w:val="006F603E"/>
    <w:rsid w:val="006F604C"/>
    <w:rsid w:val="006F607F"/>
    <w:rsid w:val="006F6180"/>
    <w:rsid w:val="006F620D"/>
    <w:rsid w:val="006F6221"/>
    <w:rsid w:val="006F6277"/>
    <w:rsid w:val="006F6304"/>
    <w:rsid w:val="006F634B"/>
    <w:rsid w:val="006F6358"/>
    <w:rsid w:val="006F636D"/>
    <w:rsid w:val="006F63C3"/>
    <w:rsid w:val="006F63DC"/>
    <w:rsid w:val="006F63EC"/>
    <w:rsid w:val="006F63EF"/>
    <w:rsid w:val="006F6466"/>
    <w:rsid w:val="006F64BB"/>
    <w:rsid w:val="006F65A2"/>
    <w:rsid w:val="006F65D7"/>
    <w:rsid w:val="006F65DB"/>
    <w:rsid w:val="006F6606"/>
    <w:rsid w:val="006F664E"/>
    <w:rsid w:val="006F6677"/>
    <w:rsid w:val="006F66C8"/>
    <w:rsid w:val="006F6712"/>
    <w:rsid w:val="006F672D"/>
    <w:rsid w:val="006F6750"/>
    <w:rsid w:val="006F677A"/>
    <w:rsid w:val="006F67FD"/>
    <w:rsid w:val="006F681A"/>
    <w:rsid w:val="006F686E"/>
    <w:rsid w:val="006F6888"/>
    <w:rsid w:val="006F68AA"/>
    <w:rsid w:val="006F68BF"/>
    <w:rsid w:val="006F68C0"/>
    <w:rsid w:val="006F691A"/>
    <w:rsid w:val="006F693B"/>
    <w:rsid w:val="006F69DF"/>
    <w:rsid w:val="006F6A56"/>
    <w:rsid w:val="006F6A93"/>
    <w:rsid w:val="006F6B40"/>
    <w:rsid w:val="006F6D53"/>
    <w:rsid w:val="006F6D61"/>
    <w:rsid w:val="006F6D71"/>
    <w:rsid w:val="006F6DF7"/>
    <w:rsid w:val="006F6E0B"/>
    <w:rsid w:val="006F6E44"/>
    <w:rsid w:val="006F6E46"/>
    <w:rsid w:val="006F6E4E"/>
    <w:rsid w:val="006F6E94"/>
    <w:rsid w:val="006F6F30"/>
    <w:rsid w:val="006F6FEB"/>
    <w:rsid w:val="006F700B"/>
    <w:rsid w:val="006F7012"/>
    <w:rsid w:val="006F7072"/>
    <w:rsid w:val="006F70B0"/>
    <w:rsid w:val="006F70B9"/>
    <w:rsid w:val="006F712B"/>
    <w:rsid w:val="006F714A"/>
    <w:rsid w:val="006F7162"/>
    <w:rsid w:val="006F71BF"/>
    <w:rsid w:val="006F71F0"/>
    <w:rsid w:val="006F7205"/>
    <w:rsid w:val="006F7212"/>
    <w:rsid w:val="006F7295"/>
    <w:rsid w:val="006F72AD"/>
    <w:rsid w:val="006F72BC"/>
    <w:rsid w:val="006F72D6"/>
    <w:rsid w:val="006F7316"/>
    <w:rsid w:val="006F7350"/>
    <w:rsid w:val="006F7357"/>
    <w:rsid w:val="006F745A"/>
    <w:rsid w:val="006F7467"/>
    <w:rsid w:val="006F7473"/>
    <w:rsid w:val="006F748E"/>
    <w:rsid w:val="006F74D1"/>
    <w:rsid w:val="006F7524"/>
    <w:rsid w:val="006F756D"/>
    <w:rsid w:val="006F759B"/>
    <w:rsid w:val="006F75CC"/>
    <w:rsid w:val="006F75E0"/>
    <w:rsid w:val="006F7665"/>
    <w:rsid w:val="006F76A1"/>
    <w:rsid w:val="006F7738"/>
    <w:rsid w:val="006F774E"/>
    <w:rsid w:val="006F776D"/>
    <w:rsid w:val="006F7776"/>
    <w:rsid w:val="006F77EE"/>
    <w:rsid w:val="006F788E"/>
    <w:rsid w:val="006F789B"/>
    <w:rsid w:val="006F792E"/>
    <w:rsid w:val="006F793F"/>
    <w:rsid w:val="006F796C"/>
    <w:rsid w:val="006F79BF"/>
    <w:rsid w:val="006F79CD"/>
    <w:rsid w:val="006F79DB"/>
    <w:rsid w:val="006F79E5"/>
    <w:rsid w:val="006F7A30"/>
    <w:rsid w:val="006F7AD2"/>
    <w:rsid w:val="006F7AF3"/>
    <w:rsid w:val="006F7AFF"/>
    <w:rsid w:val="006F7B04"/>
    <w:rsid w:val="006F7B7D"/>
    <w:rsid w:val="006F7BFA"/>
    <w:rsid w:val="006F7C56"/>
    <w:rsid w:val="006F7C98"/>
    <w:rsid w:val="006F7CAD"/>
    <w:rsid w:val="006F7CC4"/>
    <w:rsid w:val="006F7CDE"/>
    <w:rsid w:val="006F7CEB"/>
    <w:rsid w:val="006F7CEE"/>
    <w:rsid w:val="006F7D1A"/>
    <w:rsid w:val="006F7D6D"/>
    <w:rsid w:val="006F7DC6"/>
    <w:rsid w:val="006F7DC7"/>
    <w:rsid w:val="006F7DCD"/>
    <w:rsid w:val="006F7DD2"/>
    <w:rsid w:val="006F7E1A"/>
    <w:rsid w:val="006F7E50"/>
    <w:rsid w:val="006F7E71"/>
    <w:rsid w:val="006F7ED1"/>
    <w:rsid w:val="006F7F46"/>
    <w:rsid w:val="006F7FA2"/>
    <w:rsid w:val="006F7FA7"/>
    <w:rsid w:val="006F7FC6"/>
    <w:rsid w:val="006F7FF4"/>
    <w:rsid w:val="00700039"/>
    <w:rsid w:val="007000F3"/>
    <w:rsid w:val="0070016D"/>
    <w:rsid w:val="00700194"/>
    <w:rsid w:val="00700198"/>
    <w:rsid w:val="007001B7"/>
    <w:rsid w:val="00700200"/>
    <w:rsid w:val="0070027C"/>
    <w:rsid w:val="0070028D"/>
    <w:rsid w:val="007002EB"/>
    <w:rsid w:val="00700320"/>
    <w:rsid w:val="007003B4"/>
    <w:rsid w:val="007003C5"/>
    <w:rsid w:val="007003F1"/>
    <w:rsid w:val="007003F3"/>
    <w:rsid w:val="007003FC"/>
    <w:rsid w:val="00700435"/>
    <w:rsid w:val="0070049B"/>
    <w:rsid w:val="0070049D"/>
    <w:rsid w:val="0070049F"/>
    <w:rsid w:val="007004BD"/>
    <w:rsid w:val="00700555"/>
    <w:rsid w:val="00700592"/>
    <w:rsid w:val="007005A9"/>
    <w:rsid w:val="007005FC"/>
    <w:rsid w:val="0070061D"/>
    <w:rsid w:val="00700646"/>
    <w:rsid w:val="0070064A"/>
    <w:rsid w:val="00700659"/>
    <w:rsid w:val="00700684"/>
    <w:rsid w:val="00700805"/>
    <w:rsid w:val="0070081C"/>
    <w:rsid w:val="00700837"/>
    <w:rsid w:val="00700839"/>
    <w:rsid w:val="00700880"/>
    <w:rsid w:val="00700885"/>
    <w:rsid w:val="007008B4"/>
    <w:rsid w:val="007008FC"/>
    <w:rsid w:val="00700902"/>
    <w:rsid w:val="00700924"/>
    <w:rsid w:val="0070093B"/>
    <w:rsid w:val="0070094F"/>
    <w:rsid w:val="0070098B"/>
    <w:rsid w:val="007009DD"/>
    <w:rsid w:val="00700AB4"/>
    <w:rsid w:val="00700B53"/>
    <w:rsid w:val="00700B6F"/>
    <w:rsid w:val="00700B9E"/>
    <w:rsid w:val="00700BA1"/>
    <w:rsid w:val="00700BFB"/>
    <w:rsid w:val="00700C1B"/>
    <w:rsid w:val="00700C6A"/>
    <w:rsid w:val="00700C8C"/>
    <w:rsid w:val="00700CBF"/>
    <w:rsid w:val="00700CF0"/>
    <w:rsid w:val="00700D2F"/>
    <w:rsid w:val="00700D42"/>
    <w:rsid w:val="00700DA5"/>
    <w:rsid w:val="00700DDB"/>
    <w:rsid w:val="00700E56"/>
    <w:rsid w:val="00700E6F"/>
    <w:rsid w:val="00700E71"/>
    <w:rsid w:val="00700EE3"/>
    <w:rsid w:val="00700EF1"/>
    <w:rsid w:val="00700F82"/>
    <w:rsid w:val="00700F95"/>
    <w:rsid w:val="00700FBD"/>
    <w:rsid w:val="00701017"/>
    <w:rsid w:val="007010D0"/>
    <w:rsid w:val="00701114"/>
    <w:rsid w:val="007011D8"/>
    <w:rsid w:val="00701207"/>
    <w:rsid w:val="0070121E"/>
    <w:rsid w:val="007012A8"/>
    <w:rsid w:val="007012BC"/>
    <w:rsid w:val="007012D3"/>
    <w:rsid w:val="007012E2"/>
    <w:rsid w:val="007014B1"/>
    <w:rsid w:val="007014D4"/>
    <w:rsid w:val="007014EA"/>
    <w:rsid w:val="0070155E"/>
    <w:rsid w:val="0070156A"/>
    <w:rsid w:val="007015FB"/>
    <w:rsid w:val="00701664"/>
    <w:rsid w:val="00701706"/>
    <w:rsid w:val="0070172D"/>
    <w:rsid w:val="0070178D"/>
    <w:rsid w:val="007017AC"/>
    <w:rsid w:val="0070182C"/>
    <w:rsid w:val="00701839"/>
    <w:rsid w:val="00701856"/>
    <w:rsid w:val="00701875"/>
    <w:rsid w:val="0070189D"/>
    <w:rsid w:val="0070190E"/>
    <w:rsid w:val="00701955"/>
    <w:rsid w:val="00701986"/>
    <w:rsid w:val="00701A7B"/>
    <w:rsid w:val="00701AAE"/>
    <w:rsid w:val="00701AC3"/>
    <w:rsid w:val="00701AC6"/>
    <w:rsid w:val="00701B15"/>
    <w:rsid w:val="00701B20"/>
    <w:rsid w:val="00701B22"/>
    <w:rsid w:val="00701B8A"/>
    <w:rsid w:val="00701B90"/>
    <w:rsid w:val="00701BD9"/>
    <w:rsid w:val="00701BF3"/>
    <w:rsid w:val="00701C4B"/>
    <w:rsid w:val="00701C63"/>
    <w:rsid w:val="00701CB0"/>
    <w:rsid w:val="00701D1D"/>
    <w:rsid w:val="00701D42"/>
    <w:rsid w:val="00701DBE"/>
    <w:rsid w:val="00701DEF"/>
    <w:rsid w:val="00701E27"/>
    <w:rsid w:val="00701E57"/>
    <w:rsid w:val="00701EA3"/>
    <w:rsid w:val="00701EEB"/>
    <w:rsid w:val="00702001"/>
    <w:rsid w:val="00702040"/>
    <w:rsid w:val="00702072"/>
    <w:rsid w:val="007020B0"/>
    <w:rsid w:val="007020CC"/>
    <w:rsid w:val="007020FF"/>
    <w:rsid w:val="00702119"/>
    <w:rsid w:val="00702179"/>
    <w:rsid w:val="0070219C"/>
    <w:rsid w:val="0070219F"/>
    <w:rsid w:val="00702201"/>
    <w:rsid w:val="0070225E"/>
    <w:rsid w:val="00702283"/>
    <w:rsid w:val="007022BF"/>
    <w:rsid w:val="007022D8"/>
    <w:rsid w:val="0070232F"/>
    <w:rsid w:val="00702337"/>
    <w:rsid w:val="00702366"/>
    <w:rsid w:val="0070236F"/>
    <w:rsid w:val="007023A2"/>
    <w:rsid w:val="007023EA"/>
    <w:rsid w:val="00702411"/>
    <w:rsid w:val="00702467"/>
    <w:rsid w:val="00702473"/>
    <w:rsid w:val="007024E8"/>
    <w:rsid w:val="0070250B"/>
    <w:rsid w:val="00702510"/>
    <w:rsid w:val="007025D2"/>
    <w:rsid w:val="00702601"/>
    <w:rsid w:val="00702642"/>
    <w:rsid w:val="00702665"/>
    <w:rsid w:val="007026B1"/>
    <w:rsid w:val="0070271B"/>
    <w:rsid w:val="00702794"/>
    <w:rsid w:val="0070282B"/>
    <w:rsid w:val="00702881"/>
    <w:rsid w:val="00702899"/>
    <w:rsid w:val="007028A7"/>
    <w:rsid w:val="007028C5"/>
    <w:rsid w:val="007028F6"/>
    <w:rsid w:val="007028FA"/>
    <w:rsid w:val="00702915"/>
    <w:rsid w:val="00702986"/>
    <w:rsid w:val="0070299C"/>
    <w:rsid w:val="007029A0"/>
    <w:rsid w:val="007029C1"/>
    <w:rsid w:val="00702ABE"/>
    <w:rsid w:val="00702B29"/>
    <w:rsid w:val="00702B46"/>
    <w:rsid w:val="00702B5A"/>
    <w:rsid w:val="00702B5E"/>
    <w:rsid w:val="00702B9B"/>
    <w:rsid w:val="00702BBB"/>
    <w:rsid w:val="00702BD1"/>
    <w:rsid w:val="00702C09"/>
    <w:rsid w:val="00702C48"/>
    <w:rsid w:val="00702C58"/>
    <w:rsid w:val="00702C65"/>
    <w:rsid w:val="00702C98"/>
    <w:rsid w:val="00702CA0"/>
    <w:rsid w:val="00702CAA"/>
    <w:rsid w:val="00702CEF"/>
    <w:rsid w:val="00702D49"/>
    <w:rsid w:val="00702D97"/>
    <w:rsid w:val="00702DBF"/>
    <w:rsid w:val="00702DDB"/>
    <w:rsid w:val="00702E32"/>
    <w:rsid w:val="00702E36"/>
    <w:rsid w:val="00702E7C"/>
    <w:rsid w:val="00702ECD"/>
    <w:rsid w:val="00702F3D"/>
    <w:rsid w:val="00702F55"/>
    <w:rsid w:val="00702FD3"/>
    <w:rsid w:val="00702FD4"/>
    <w:rsid w:val="00702FD8"/>
    <w:rsid w:val="00703064"/>
    <w:rsid w:val="0070307A"/>
    <w:rsid w:val="007030FA"/>
    <w:rsid w:val="00703183"/>
    <w:rsid w:val="0070318F"/>
    <w:rsid w:val="00703202"/>
    <w:rsid w:val="00703219"/>
    <w:rsid w:val="007032E9"/>
    <w:rsid w:val="00703348"/>
    <w:rsid w:val="00703356"/>
    <w:rsid w:val="00703361"/>
    <w:rsid w:val="007033AD"/>
    <w:rsid w:val="007033BD"/>
    <w:rsid w:val="007033DE"/>
    <w:rsid w:val="00703421"/>
    <w:rsid w:val="00703480"/>
    <w:rsid w:val="007034B8"/>
    <w:rsid w:val="007035BA"/>
    <w:rsid w:val="007035DB"/>
    <w:rsid w:val="007037A3"/>
    <w:rsid w:val="007037D4"/>
    <w:rsid w:val="0070381A"/>
    <w:rsid w:val="00703821"/>
    <w:rsid w:val="0070382B"/>
    <w:rsid w:val="0070382E"/>
    <w:rsid w:val="0070389D"/>
    <w:rsid w:val="007038BE"/>
    <w:rsid w:val="007038C2"/>
    <w:rsid w:val="0070391C"/>
    <w:rsid w:val="00703937"/>
    <w:rsid w:val="0070396F"/>
    <w:rsid w:val="00703975"/>
    <w:rsid w:val="0070398B"/>
    <w:rsid w:val="007039F9"/>
    <w:rsid w:val="00703A12"/>
    <w:rsid w:val="00703A16"/>
    <w:rsid w:val="00703A1B"/>
    <w:rsid w:val="00703A20"/>
    <w:rsid w:val="00703A54"/>
    <w:rsid w:val="00703A5B"/>
    <w:rsid w:val="00703A84"/>
    <w:rsid w:val="00703B7D"/>
    <w:rsid w:val="00703BBF"/>
    <w:rsid w:val="00703BED"/>
    <w:rsid w:val="00703BEF"/>
    <w:rsid w:val="00703C02"/>
    <w:rsid w:val="00703C21"/>
    <w:rsid w:val="00703C24"/>
    <w:rsid w:val="00703C5D"/>
    <w:rsid w:val="00703C9F"/>
    <w:rsid w:val="00703CEF"/>
    <w:rsid w:val="00703CFD"/>
    <w:rsid w:val="00703D37"/>
    <w:rsid w:val="00703DE6"/>
    <w:rsid w:val="00703DFE"/>
    <w:rsid w:val="00703E02"/>
    <w:rsid w:val="00703E57"/>
    <w:rsid w:val="00703E76"/>
    <w:rsid w:val="00703E93"/>
    <w:rsid w:val="00703EC6"/>
    <w:rsid w:val="00703ED1"/>
    <w:rsid w:val="00703F21"/>
    <w:rsid w:val="00703F59"/>
    <w:rsid w:val="00703F76"/>
    <w:rsid w:val="00703FAB"/>
    <w:rsid w:val="00703FB3"/>
    <w:rsid w:val="00703FEC"/>
    <w:rsid w:val="00703FFD"/>
    <w:rsid w:val="0070403D"/>
    <w:rsid w:val="0070405E"/>
    <w:rsid w:val="00704103"/>
    <w:rsid w:val="00704118"/>
    <w:rsid w:val="007041DA"/>
    <w:rsid w:val="00704205"/>
    <w:rsid w:val="00704223"/>
    <w:rsid w:val="00704246"/>
    <w:rsid w:val="0070424D"/>
    <w:rsid w:val="00704264"/>
    <w:rsid w:val="00704275"/>
    <w:rsid w:val="00704276"/>
    <w:rsid w:val="007042DD"/>
    <w:rsid w:val="00704329"/>
    <w:rsid w:val="007043B1"/>
    <w:rsid w:val="007043F7"/>
    <w:rsid w:val="0070449C"/>
    <w:rsid w:val="00704508"/>
    <w:rsid w:val="0070454A"/>
    <w:rsid w:val="0070459E"/>
    <w:rsid w:val="007045A3"/>
    <w:rsid w:val="007045D2"/>
    <w:rsid w:val="00704641"/>
    <w:rsid w:val="007046B6"/>
    <w:rsid w:val="007046FD"/>
    <w:rsid w:val="00704747"/>
    <w:rsid w:val="00704773"/>
    <w:rsid w:val="007047BF"/>
    <w:rsid w:val="00704828"/>
    <w:rsid w:val="007048B7"/>
    <w:rsid w:val="007048E0"/>
    <w:rsid w:val="00704995"/>
    <w:rsid w:val="0070499B"/>
    <w:rsid w:val="007049A9"/>
    <w:rsid w:val="007049AC"/>
    <w:rsid w:val="007049E5"/>
    <w:rsid w:val="007049FF"/>
    <w:rsid w:val="00704AC7"/>
    <w:rsid w:val="00704AE3"/>
    <w:rsid w:val="00704B4B"/>
    <w:rsid w:val="00704BD4"/>
    <w:rsid w:val="00704BE7"/>
    <w:rsid w:val="00704BFD"/>
    <w:rsid w:val="00704C06"/>
    <w:rsid w:val="00704C8D"/>
    <w:rsid w:val="00704CB6"/>
    <w:rsid w:val="00704D06"/>
    <w:rsid w:val="00704D07"/>
    <w:rsid w:val="00704D87"/>
    <w:rsid w:val="00704E34"/>
    <w:rsid w:val="00704E4B"/>
    <w:rsid w:val="00704E75"/>
    <w:rsid w:val="00704EAC"/>
    <w:rsid w:val="00704EC0"/>
    <w:rsid w:val="00704F01"/>
    <w:rsid w:val="00704F09"/>
    <w:rsid w:val="00704F62"/>
    <w:rsid w:val="00704F7D"/>
    <w:rsid w:val="00704FA7"/>
    <w:rsid w:val="00704FAF"/>
    <w:rsid w:val="00704FB8"/>
    <w:rsid w:val="00705006"/>
    <w:rsid w:val="0070506D"/>
    <w:rsid w:val="007050A7"/>
    <w:rsid w:val="007050B1"/>
    <w:rsid w:val="007050DD"/>
    <w:rsid w:val="0070514E"/>
    <w:rsid w:val="007051A2"/>
    <w:rsid w:val="007051B2"/>
    <w:rsid w:val="007051DB"/>
    <w:rsid w:val="007051FD"/>
    <w:rsid w:val="00705239"/>
    <w:rsid w:val="0070528A"/>
    <w:rsid w:val="007052A5"/>
    <w:rsid w:val="007052BA"/>
    <w:rsid w:val="007052BD"/>
    <w:rsid w:val="007052C1"/>
    <w:rsid w:val="0070538D"/>
    <w:rsid w:val="007053AE"/>
    <w:rsid w:val="0070545B"/>
    <w:rsid w:val="007054D4"/>
    <w:rsid w:val="0070550E"/>
    <w:rsid w:val="0070556D"/>
    <w:rsid w:val="00705588"/>
    <w:rsid w:val="00705592"/>
    <w:rsid w:val="007056F6"/>
    <w:rsid w:val="00705701"/>
    <w:rsid w:val="00705745"/>
    <w:rsid w:val="0070574B"/>
    <w:rsid w:val="00705759"/>
    <w:rsid w:val="00705768"/>
    <w:rsid w:val="007057B2"/>
    <w:rsid w:val="007057BC"/>
    <w:rsid w:val="007057DC"/>
    <w:rsid w:val="007057E9"/>
    <w:rsid w:val="007057F6"/>
    <w:rsid w:val="00705803"/>
    <w:rsid w:val="0070580A"/>
    <w:rsid w:val="0070583F"/>
    <w:rsid w:val="00705856"/>
    <w:rsid w:val="00705877"/>
    <w:rsid w:val="0070587B"/>
    <w:rsid w:val="00705884"/>
    <w:rsid w:val="0070589F"/>
    <w:rsid w:val="007058D0"/>
    <w:rsid w:val="0070590B"/>
    <w:rsid w:val="00705922"/>
    <w:rsid w:val="00705979"/>
    <w:rsid w:val="007059C5"/>
    <w:rsid w:val="00705A22"/>
    <w:rsid w:val="00705AD6"/>
    <w:rsid w:val="00705AD7"/>
    <w:rsid w:val="00705ADB"/>
    <w:rsid w:val="00705B14"/>
    <w:rsid w:val="00705B26"/>
    <w:rsid w:val="00705B71"/>
    <w:rsid w:val="00705C9E"/>
    <w:rsid w:val="00705D33"/>
    <w:rsid w:val="00705D5B"/>
    <w:rsid w:val="00705D66"/>
    <w:rsid w:val="00705DA6"/>
    <w:rsid w:val="00705DA7"/>
    <w:rsid w:val="00705DAF"/>
    <w:rsid w:val="00705DBA"/>
    <w:rsid w:val="00705DC2"/>
    <w:rsid w:val="00705DD3"/>
    <w:rsid w:val="00705E1E"/>
    <w:rsid w:val="00705E3B"/>
    <w:rsid w:val="00705E3C"/>
    <w:rsid w:val="00705E47"/>
    <w:rsid w:val="00705F2E"/>
    <w:rsid w:val="00705F6A"/>
    <w:rsid w:val="00705FAE"/>
    <w:rsid w:val="00705FE3"/>
    <w:rsid w:val="00705FE4"/>
    <w:rsid w:val="00706052"/>
    <w:rsid w:val="007060D7"/>
    <w:rsid w:val="007061C7"/>
    <w:rsid w:val="007061C9"/>
    <w:rsid w:val="007061E7"/>
    <w:rsid w:val="0070621D"/>
    <w:rsid w:val="00706225"/>
    <w:rsid w:val="00706228"/>
    <w:rsid w:val="00706265"/>
    <w:rsid w:val="007062F5"/>
    <w:rsid w:val="0070632C"/>
    <w:rsid w:val="0070633B"/>
    <w:rsid w:val="00706398"/>
    <w:rsid w:val="007063E9"/>
    <w:rsid w:val="00706437"/>
    <w:rsid w:val="0070649B"/>
    <w:rsid w:val="007064D3"/>
    <w:rsid w:val="00706502"/>
    <w:rsid w:val="00706552"/>
    <w:rsid w:val="007065B5"/>
    <w:rsid w:val="007065DC"/>
    <w:rsid w:val="007065DE"/>
    <w:rsid w:val="00706640"/>
    <w:rsid w:val="00706719"/>
    <w:rsid w:val="00706757"/>
    <w:rsid w:val="007067A6"/>
    <w:rsid w:val="00706813"/>
    <w:rsid w:val="00706845"/>
    <w:rsid w:val="00706848"/>
    <w:rsid w:val="00706910"/>
    <w:rsid w:val="00706937"/>
    <w:rsid w:val="007069B7"/>
    <w:rsid w:val="007069CF"/>
    <w:rsid w:val="00706A7D"/>
    <w:rsid w:val="00706AD4"/>
    <w:rsid w:val="00706AE1"/>
    <w:rsid w:val="00706AE9"/>
    <w:rsid w:val="00706B47"/>
    <w:rsid w:val="00706B6E"/>
    <w:rsid w:val="00706B7A"/>
    <w:rsid w:val="00706BAB"/>
    <w:rsid w:val="00706C2F"/>
    <w:rsid w:val="00706C79"/>
    <w:rsid w:val="00706CE3"/>
    <w:rsid w:val="00706D3B"/>
    <w:rsid w:val="00706D94"/>
    <w:rsid w:val="00706DBA"/>
    <w:rsid w:val="00706DC4"/>
    <w:rsid w:val="00706E59"/>
    <w:rsid w:val="00706EB3"/>
    <w:rsid w:val="00706EB7"/>
    <w:rsid w:val="00706EC6"/>
    <w:rsid w:val="00706EE5"/>
    <w:rsid w:val="00706F13"/>
    <w:rsid w:val="00706F63"/>
    <w:rsid w:val="00707001"/>
    <w:rsid w:val="00707057"/>
    <w:rsid w:val="0070706B"/>
    <w:rsid w:val="007070AE"/>
    <w:rsid w:val="007070C4"/>
    <w:rsid w:val="00707107"/>
    <w:rsid w:val="0070713A"/>
    <w:rsid w:val="0070714D"/>
    <w:rsid w:val="00707190"/>
    <w:rsid w:val="007071E7"/>
    <w:rsid w:val="00707208"/>
    <w:rsid w:val="00707284"/>
    <w:rsid w:val="007072D0"/>
    <w:rsid w:val="007072E7"/>
    <w:rsid w:val="00707338"/>
    <w:rsid w:val="007073EE"/>
    <w:rsid w:val="007073F0"/>
    <w:rsid w:val="00707447"/>
    <w:rsid w:val="00707474"/>
    <w:rsid w:val="007074A2"/>
    <w:rsid w:val="007074C2"/>
    <w:rsid w:val="00707517"/>
    <w:rsid w:val="00707558"/>
    <w:rsid w:val="0070755E"/>
    <w:rsid w:val="0070756A"/>
    <w:rsid w:val="00707575"/>
    <w:rsid w:val="007075B2"/>
    <w:rsid w:val="007075CA"/>
    <w:rsid w:val="00707602"/>
    <w:rsid w:val="00707647"/>
    <w:rsid w:val="00707695"/>
    <w:rsid w:val="007076B4"/>
    <w:rsid w:val="0070776E"/>
    <w:rsid w:val="00707832"/>
    <w:rsid w:val="0070788A"/>
    <w:rsid w:val="007078AB"/>
    <w:rsid w:val="007078D4"/>
    <w:rsid w:val="007078FC"/>
    <w:rsid w:val="00707926"/>
    <w:rsid w:val="00707934"/>
    <w:rsid w:val="007079A4"/>
    <w:rsid w:val="007079DC"/>
    <w:rsid w:val="007079E8"/>
    <w:rsid w:val="00707A4D"/>
    <w:rsid w:val="00707A99"/>
    <w:rsid w:val="00707AE8"/>
    <w:rsid w:val="00707AF8"/>
    <w:rsid w:val="00707B08"/>
    <w:rsid w:val="00707B21"/>
    <w:rsid w:val="00707B5C"/>
    <w:rsid w:val="00707C4C"/>
    <w:rsid w:val="00707D3C"/>
    <w:rsid w:val="00707D4E"/>
    <w:rsid w:val="00707DB1"/>
    <w:rsid w:val="00707E24"/>
    <w:rsid w:val="00707F28"/>
    <w:rsid w:val="00707F77"/>
    <w:rsid w:val="00707FE4"/>
    <w:rsid w:val="00707FF1"/>
    <w:rsid w:val="00710082"/>
    <w:rsid w:val="007100D3"/>
    <w:rsid w:val="0071012D"/>
    <w:rsid w:val="0071014A"/>
    <w:rsid w:val="007101BF"/>
    <w:rsid w:val="007101D2"/>
    <w:rsid w:val="0071027C"/>
    <w:rsid w:val="00710290"/>
    <w:rsid w:val="007102B5"/>
    <w:rsid w:val="007102CC"/>
    <w:rsid w:val="0071032E"/>
    <w:rsid w:val="0071033D"/>
    <w:rsid w:val="0071043A"/>
    <w:rsid w:val="007104B8"/>
    <w:rsid w:val="007104CF"/>
    <w:rsid w:val="007104D2"/>
    <w:rsid w:val="00710505"/>
    <w:rsid w:val="00710507"/>
    <w:rsid w:val="00710583"/>
    <w:rsid w:val="007105A6"/>
    <w:rsid w:val="007105DF"/>
    <w:rsid w:val="0071060D"/>
    <w:rsid w:val="0071063D"/>
    <w:rsid w:val="0071069F"/>
    <w:rsid w:val="007106AB"/>
    <w:rsid w:val="007106C3"/>
    <w:rsid w:val="00710765"/>
    <w:rsid w:val="0071087D"/>
    <w:rsid w:val="007108A9"/>
    <w:rsid w:val="007108C5"/>
    <w:rsid w:val="007108EB"/>
    <w:rsid w:val="00710907"/>
    <w:rsid w:val="007109BA"/>
    <w:rsid w:val="007109C5"/>
    <w:rsid w:val="007109D6"/>
    <w:rsid w:val="00710A57"/>
    <w:rsid w:val="00710A86"/>
    <w:rsid w:val="00710BDE"/>
    <w:rsid w:val="00710CA6"/>
    <w:rsid w:val="00710D85"/>
    <w:rsid w:val="00710E05"/>
    <w:rsid w:val="00710E25"/>
    <w:rsid w:val="00710EAE"/>
    <w:rsid w:val="00710EE5"/>
    <w:rsid w:val="00710F51"/>
    <w:rsid w:val="0071100D"/>
    <w:rsid w:val="00711050"/>
    <w:rsid w:val="0071106E"/>
    <w:rsid w:val="00711078"/>
    <w:rsid w:val="007110B1"/>
    <w:rsid w:val="00711127"/>
    <w:rsid w:val="0071115A"/>
    <w:rsid w:val="0071118A"/>
    <w:rsid w:val="0071118E"/>
    <w:rsid w:val="00711190"/>
    <w:rsid w:val="00711206"/>
    <w:rsid w:val="00711211"/>
    <w:rsid w:val="0071124E"/>
    <w:rsid w:val="007112C6"/>
    <w:rsid w:val="00711345"/>
    <w:rsid w:val="007113A6"/>
    <w:rsid w:val="007113D3"/>
    <w:rsid w:val="0071142E"/>
    <w:rsid w:val="00711488"/>
    <w:rsid w:val="007114CE"/>
    <w:rsid w:val="007114DE"/>
    <w:rsid w:val="00711526"/>
    <w:rsid w:val="00711545"/>
    <w:rsid w:val="007115CA"/>
    <w:rsid w:val="00711665"/>
    <w:rsid w:val="00711688"/>
    <w:rsid w:val="007116CF"/>
    <w:rsid w:val="007116E3"/>
    <w:rsid w:val="00711779"/>
    <w:rsid w:val="00711796"/>
    <w:rsid w:val="007117D5"/>
    <w:rsid w:val="0071180A"/>
    <w:rsid w:val="00711860"/>
    <w:rsid w:val="007118AD"/>
    <w:rsid w:val="007118D7"/>
    <w:rsid w:val="007118FD"/>
    <w:rsid w:val="00711992"/>
    <w:rsid w:val="007119AC"/>
    <w:rsid w:val="00711A22"/>
    <w:rsid w:val="00711A43"/>
    <w:rsid w:val="00711B2A"/>
    <w:rsid w:val="00711B86"/>
    <w:rsid w:val="00711B8B"/>
    <w:rsid w:val="00711BF1"/>
    <w:rsid w:val="00711BFF"/>
    <w:rsid w:val="00711C35"/>
    <w:rsid w:val="00711C44"/>
    <w:rsid w:val="00711C9A"/>
    <w:rsid w:val="00711CD2"/>
    <w:rsid w:val="00711CD3"/>
    <w:rsid w:val="00711CDE"/>
    <w:rsid w:val="00711CDF"/>
    <w:rsid w:val="00711CE8"/>
    <w:rsid w:val="00711D0F"/>
    <w:rsid w:val="00711D45"/>
    <w:rsid w:val="00711D70"/>
    <w:rsid w:val="00711D9A"/>
    <w:rsid w:val="00711DB9"/>
    <w:rsid w:val="00711DC6"/>
    <w:rsid w:val="00711EE9"/>
    <w:rsid w:val="00711F03"/>
    <w:rsid w:val="00711F3A"/>
    <w:rsid w:val="00711F75"/>
    <w:rsid w:val="00711F83"/>
    <w:rsid w:val="00711F8E"/>
    <w:rsid w:val="00711FCD"/>
    <w:rsid w:val="00711FDF"/>
    <w:rsid w:val="00711FE6"/>
    <w:rsid w:val="00712079"/>
    <w:rsid w:val="007120B3"/>
    <w:rsid w:val="007120B9"/>
    <w:rsid w:val="007120C9"/>
    <w:rsid w:val="007120FD"/>
    <w:rsid w:val="00712162"/>
    <w:rsid w:val="007121CB"/>
    <w:rsid w:val="00712202"/>
    <w:rsid w:val="00712254"/>
    <w:rsid w:val="0071230B"/>
    <w:rsid w:val="0071231C"/>
    <w:rsid w:val="0071236A"/>
    <w:rsid w:val="00712390"/>
    <w:rsid w:val="007123A7"/>
    <w:rsid w:val="0071242C"/>
    <w:rsid w:val="00712436"/>
    <w:rsid w:val="00712509"/>
    <w:rsid w:val="00712513"/>
    <w:rsid w:val="00712516"/>
    <w:rsid w:val="00712521"/>
    <w:rsid w:val="0071253B"/>
    <w:rsid w:val="00712541"/>
    <w:rsid w:val="00712584"/>
    <w:rsid w:val="007125F3"/>
    <w:rsid w:val="00712608"/>
    <w:rsid w:val="0071265E"/>
    <w:rsid w:val="00712663"/>
    <w:rsid w:val="00712668"/>
    <w:rsid w:val="00712671"/>
    <w:rsid w:val="007126B4"/>
    <w:rsid w:val="007126BF"/>
    <w:rsid w:val="007126CF"/>
    <w:rsid w:val="007126EA"/>
    <w:rsid w:val="0071271A"/>
    <w:rsid w:val="007127C4"/>
    <w:rsid w:val="007127F0"/>
    <w:rsid w:val="0071293E"/>
    <w:rsid w:val="00712954"/>
    <w:rsid w:val="00712A0F"/>
    <w:rsid w:val="00712A41"/>
    <w:rsid w:val="00712A63"/>
    <w:rsid w:val="00712A77"/>
    <w:rsid w:val="00712A93"/>
    <w:rsid w:val="00712AFA"/>
    <w:rsid w:val="00712B09"/>
    <w:rsid w:val="00712B19"/>
    <w:rsid w:val="00712B3D"/>
    <w:rsid w:val="00712B3E"/>
    <w:rsid w:val="00712B89"/>
    <w:rsid w:val="00712BA4"/>
    <w:rsid w:val="00712BE6"/>
    <w:rsid w:val="00712BE9"/>
    <w:rsid w:val="00712C9C"/>
    <w:rsid w:val="00712CA7"/>
    <w:rsid w:val="00712D25"/>
    <w:rsid w:val="00712D46"/>
    <w:rsid w:val="00712D97"/>
    <w:rsid w:val="00712DCA"/>
    <w:rsid w:val="00712DDE"/>
    <w:rsid w:val="00712E41"/>
    <w:rsid w:val="00712E9B"/>
    <w:rsid w:val="00712EA7"/>
    <w:rsid w:val="00712F35"/>
    <w:rsid w:val="00712F7E"/>
    <w:rsid w:val="00712F81"/>
    <w:rsid w:val="00712FB6"/>
    <w:rsid w:val="00712FF2"/>
    <w:rsid w:val="00712FFB"/>
    <w:rsid w:val="00713035"/>
    <w:rsid w:val="007130A5"/>
    <w:rsid w:val="00713188"/>
    <w:rsid w:val="007131A3"/>
    <w:rsid w:val="007131AE"/>
    <w:rsid w:val="0071320E"/>
    <w:rsid w:val="00713218"/>
    <w:rsid w:val="00713237"/>
    <w:rsid w:val="0071323D"/>
    <w:rsid w:val="007132C7"/>
    <w:rsid w:val="007132DF"/>
    <w:rsid w:val="007132E2"/>
    <w:rsid w:val="007132F3"/>
    <w:rsid w:val="007132FC"/>
    <w:rsid w:val="0071331E"/>
    <w:rsid w:val="00713414"/>
    <w:rsid w:val="0071342C"/>
    <w:rsid w:val="00713438"/>
    <w:rsid w:val="0071346D"/>
    <w:rsid w:val="00713485"/>
    <w:rsid w:val="007134D3"/>
    <w:rsid w:val="007134D8"/>
    <w:rsid w:val="00713500"/>
    <w:rsid w:val="0071351E"/>
    <w:rsid w:val="00713521"/>
    <w:rsid w:val="0071352E"/>
    <w:rsid w:val="00713530"/>
    <w:rsid w:val="00713548"/>
    <w:rsid w:val="007135A1"/>
    <w:rsid w:val="007135F9"/>
    <w:rsid w:val="00713643"/>
    <w:rsid w:val="00713662"/>
    <w:rsid w:val="007136B0"/>
    <w:rsid w:val="00713789"/>
    <w:rsid w:val="00713854"/>
    <w:rsid w:val="00713864"/>
    <w:rsid w:val="00713867"/>
    <w:rsid w:val="00713937"/>
    <w:rsid w:val="0071394C"/>
    <w:rsid w:val="0071395B"/>
    <w:rsid w:val="007139D7"/>
    <w:rsid w:val="00713A7C"/>
    <w:rsid w:val="00713B2F"/>
    <w:rsid w:val="00713BA6"/>
    <w:rsid w:val="00713BC1"/>
    <w:rsid w:val="00713BD3"/>
    <w:rsid w:val="00713C17"/>
    <w:rsid w:val="00713D00"/>
    <w:rsid w:val="00713D06"/>
    <w:rsid w:val="00713D4F"/>
    <w:rsid w:val="00713D5D"/>
    <w:rsid w:val="00713D7D"/>
    <w:rsid w:val="00713E04"/>
    <w:rsid w:val="00713E3D"/>
    <w:rsid w:val="00713E4F"/>
    <w:rsid w:val="00713E5B"/>
    <w:rsid w:val="00713EE9"/>
    <w:rsid w:val="00713F26"/>
    <w:rsid w:val="00713FBF"/>
    <w:rsid w:val="00714034"/>
    <w:rsid w:val="00714038"/>
    <w:rsid w:val="00714108"/>
    <w:rsid w:val="00714165"/>
    <w:rsid w:val="007141F3"/>
    <w:rsid w:val="00714233"/>
    <w:rsid w:val="00714286"/>
    <w:rsid w:val="007142C6"/>
    <w:rsid w:val="0071430D"/>
    <w:rsid w:val="0071431A"/>
    <w:rsid w:val="00714363"/>
    <w:rsid w:val="00714382"/>
    <w:rsid w:val="007143DF"/>
    <w:rsid w:val="00714408"/>
    <w:rsid w:val="0071443D"/>
    <w:rsid w:val="0071446F"/>
    <w:rsid w:val="00714489"/>
    <w:rsid w:val="00714496"/>
    <w:rsid w:val="007144BD"/>
    <w:rsid w:val="0071455E"/>
    <w:rsid w:val="00714604"/>
    <w:rsid w:val="0071463C"/>
    <w:rsid w:val="00714659"/>
    <w:rsid w:val="00714671"/>
    <w:rsid w:val="0071470A"/>
    <w:rsid w:val="00714722"/>
    <w:rsid w:val="00714757"/>
    <w:rsid w:val="0071478F"/>
    <w:rsid w:val="007147C3"/>
    <w:rsid w:val="00714819"/>
    <w:rsid w:val="007148B1"/>
    <w:rsid w:val="00714956"/>
    <w:rsid w:val="007149E5"/>
    <w:rsid w:val="00714A16"/>
    <w:rsid w:val="00714A39"/>
    <w:rsid w:val="00714A4E"/>
    <w:rsid w:val="00714ADE"/>
    <w:rsid w:val="00714C2A"/>
    <w:rsid w:val="00714C40"/>
    <w:rsid w:val="00714C56"/>
    <w:rsid w:val="00714C77"/>
    <w:rsid w:val="00714CB1"/>
    <w:rsid w:val="00714CD6"/>
    <w:rsid w:val="00714CF2"/>
    <w:rsid w:val="00714CF5"/>
    <w:rsid w:val="00714D1E"/>
    <w:rsid w:val="00714D64"/>
    <w:rsid w:val="00714D65"/>
    <w:rsid w:val="00714D87"/>
    <w:rsid w:val="00714D97"/>
    <w:rsid w:val="00714DB8"/>
    <w:rsid w:val="00714DFE"/>
    <w:rsid w:val="00714E27"/>
    <w:rsid w:val="00714E38"/>
    <w:rsid w:val="00714EAB"/>
    <w:rsid w:val="00714ECA"/>
    <w:rsid w:val="00714ED7"/>
    <w:rsid w:val="00714F31"/>
    <w:rsid w:val="00714F52"/>
    <w:rsid w:val="00714F86"/>
    <w:rsid w:val="0071500F"/>
    <w:rsid w:val="00715017"/>
    <w:rsid w:val="00715033"/>
    <w:rsid w:val="00715047"/>
    <w:rsid w:val="007150A6"/>
    <w:rsid w:val="007150CA"/>
    <w:rsid w:val="007150FB"/>
    <w:rsid w:val="0071510C"/>
    <w:rsid w:val="0071511A"/>
    <w:rsid w:val="00715143"/>
    <w:rsid w:val="00715193"/>
    <w:rsid w:val="0071519A"/>
    <w:rsid w:val="00715213"/>
    <w:rsid w:val="00715221"/>
    <w:rsid w:val="00715244"/>
    <w:rsid w:val="00715254"/>
    <w:rsid w:val="00715293"/>
    <w:rsid w:val="007152FF"/>
    <w:rsid w:val="00715320"/>
    <w:rsid w:val="0071537A"/>
    <w:rsid w:val="0071542A"/>
    <w:rsid w:val="00715449"/>
    <w:rsid w:val="00715481"/>
    <w:rsid w:val="007154E6"/>
    <w:rsid w:val="00715501"/>
    <w:rsid w:val="00715554"/>
    <w:rsid w:val="0071555A"/>
    <w:rsid w:val="00715591"/>
    <w:rsid w:val="0071559D"/>
    <w:rsid w:val="00715604"/>
    <w:rsid w:val="0071561F"/>
    <w:rsid w:val="0071562E"/>
    <w:rsid w:val="00715667"/>
    <w:rsid w:val="007156E5"/>
    <w:rsid w:val="00715709"/>
    <w:rsid w:val="0071572C"/>
    <w:rsid w:val="00715736"/>
    <w:rsid w:val="0071574B"/>
    <w:rsid w:val="0071577F"/>
    <w:rsid w:val="007157ED"/>
    <w:rsid w:val="00715827"/>
    <w:rsid w:val="00715834"/>
    <w:rsid w:val="007158B8"/>
    <w:rsid w:val="007158C4"/>
    <w:rsid w:val="007158E5"/>
    <w:rsid w:val="00715927"/>
    <w:rsid w:val="00715947"/>
    <w:rsid w:val="007159DC"/>
    <w:rsid w:val="007159F1"/>
    <w:rsid w:val="007159F4"/>
    <w:rsid w:val="00715A11"/>
    <w:rsid w:val="00715A23"/>
    <w:rsid w:val="00715A34"/>
    <w:rsid w:val="00715AEB"/>
    <w:rsid w:val="00715B10"/>
    <w:rsid w:val="00715B5C"/>
    <w:rsid w:val="00715B6B"/>
    <w:rsid w:val="00715BDE"/>
    <w:rsid w:val="00715C59"/>
    <w:rsid w:val="00715D0B"/>
    <w:rsid w:val="00715D39"/>
    <w:rsid w:val="00715DC6"/>
    <w:rsid w:val="00715E54"/>
    <w:rsid w:val="00715E9A"/>
    <w:rsid w:val="00715EB3"/>
    <w:rsid w:val="00715EC6"/>
    <w:rsid w:val="00715ECF"/>
    <w:rsid w:val="00715EE3"/>
    <w:rsid w:val="00715F15"/>
    <w:rsid w:val="00715F3E"/>
    <w:rsid w:val="00715F70"/>
    <w:rsid w:val="00715F79"/>
    <w:rsid w:val="00715F89"/>
    <w:rsid w:val="00715FB4"/>
    <w:rsid w:val="00716011"/>
    <w:rsid w:val="00716038"/>
    <w:rsid w:val="00716141"/>
    <w:rsid w:val="00716181"/>
    <w:rsid w:val="0071618D"/>
    <w:rsid w:val="007161E2"/>
    <w:rsid w:val="0071621A"/>
    <w:rsid w:val="00716294"/>
    <w:rsid w:val="007162D4"/>
    <w:rsid w:val="007162E8"/>
    <w:rsid w:val="007162EF"/>
    <w:rsid w:val="00716367"/>
    <w:rsid w:val="00716393"/>
    <w:rsid w:val="0071643D"/>
    <w:rsid w:val="00716536"/>
    <w:rsid w:val="00716594"/>
    <w:rsid w:val="00716630"/>
    <w:rsid w:val="0071667C"/>
    <w:rsid w:val="007166EB"/>
    <w:rsid w:val="007166F9"/>
    <w:rsid w:val="00716709"/>
    <w:rsid w:val="0071670D"/>
    <w:rsid w:val="0071672A"/>
    <w:rsid w:val="00716887"/>
    <w:rsid w:val="007168C7"/>
    <w:rsid w:val="00716948"/>
    <w:rsid w:val="007169EA"/>
    <w:rsid w:val="007169EE"/>
    <w:rsid w:val="007169FF"/>
    <w:rsid w:val="00716A0A"/>
    <w:rsid w:val="00716A2E"/>
    <w:rsid w:val="00716ADB"/>
    <w:rsid w:val="00716B2F"/>
    <w:rsid w:val="00716B59"/>
    <w:rsid w:val="00716BF9"/>
    <w:rsid w:val="00716C29"/>
    <w:rsid w:val="00716C72"/>
    <w:rsid w:val="00716CAF"/>
    <w:rsid w:val="00716D0D"/>
    <w:rsid w:val="00716D1B"/>
    <w:rsid w:val="00716D5D"/>
    <w:rsid w:val="00716D68"/>
    <w:rsid w:val="00716D6C"/>
    <w:rsid w:val="00716D7B"/>
    <w:rsid w:val="00716D96"/>
    <w:rsid w:val="00716DFF"/>
    <w:rsid w:val="00716E24"/>
    <w:rsid w:val="00716E64"/>
    <w:rsid w:val="00716E7E"/>
    <w:rsid w:val="00716E84"/>
    <w:rsid w:val="00716EDE"/>
    <w:rsid w:val="00716F7E"/>
    <w:rsid w:val="00716FB9"/>
    <w:rsid w:val="00716FD6"/>
    <w:rsid w:val="00717015"/>
    <w:rsid w:val="00717065"/>
    <w:rsid w:val="00717077"/>
    <w:rsid w:val="007170A0"/>
    <w:rsid w:val="007170CA"/>
    <w:rsid w:val="007170F7"/>
    <w:rsid w:val="007170FF"/>
    <w:rsid w:val="00717132"/>
    <w:rsid w:val="007171E4"/>
    <w:rsid w:val="00717281"/>
    <w:rsid w:val="007172A1"/>
    <w:rsid w:val="007172B1"/>
    <w:rsid w:val="00717326"/>
    <w:rsid w:val="00717342"/>
    <w:rsid w:val="00717350"/>
    <w:rsid w:val="00717351"/>
    <w:rsid w:val="00717356"/>
    <w:rsid w:val="007173A6"/>
    <w:rsid w:val="0071746D"/>
    <w:rsid w:val="0071746E"/>
    <w:rsid w:val="007174C8"/>
    <w:rsid w:val="00717530"/>
    <w:rsid w:val="00717548"/>
    <w:rsid w:val="0071754B"/>
    <w:rsid w:val="00717587"/>
    <w:rsid w:val="007175A7"/>
    <w:rsid w:val="007175D6"/>
    <w:rsid w:val="007175DD"/>
    <w:rsid w:val="0071760F"/>
    <w:rsid w:val="00717618"/>
    <w:rsid w:val="00717619"/>
    <w:rsid w:val="0071761E"/>
    <w:rsid w:val="00717647"/>
    <w:rsid w:val="007176F2"/>
    <w:rsid w:val="00717794"/>
    <w:rsid w:val="007177D0"/>
    <w:rsid w:val="007178DD"/>
    <w:rsid w:val="00717928"/>
    <w:rsid w:val="0071792F"/>
    <w:rsid w:val="007179AF"/>
    <w:rsid w:val="007179D9"/>
    <w:rsid w:val="00717A33"/>
    <w:rsid w:val="00717AFF"/>
    <w:rsid w:val="00717B37"/>
    <w:rsid w:val="00717B4B"/>
    <w:rsid w:val="00717B4E"/>
    <w:rsid w:val="00717B8A"/>
    <w:rsid w:val="00717BA1"/>
    <w:rsid w:val="00717BFB"/>
    <w:rsid w:val="00717C58"/>
    <w:rsid w:val="00717D09"/>
    <w:rsid w:val="00717D14"/>
    <w:rsid w:val="00717D4A"/>
    <w:rsid w:val="00717E1E"/>
    <w:rsid w:val="00717E4F"/>
    <w:rsid w:val="00717EA4"/>
    <w:rsid w:val="00717F13"/>
    <w:rsid w:val="00717F7F"/>
    <w:rsid w:val="00717F8A"/>
    <w:rsid w:val="00717FE9"/>
    <w:rsid w:val="00720030"/>
    <w:rsid w:val="0072004E"/>
    <w:rsid w:val="0072005A"/>
    <w:rsid w:val="007200E8"/>
    <w:rsid w:val="00720134"/>
    <w:rsid w:val="00720142"/>
    <w:rsid w:val="007201B3"/>
    <w:rsid w:val="007201BC"/>
    <w:rsid w:val="007201DB"/>
    <w:rsid w:val="00720241"/>
    <w:rsid w:val="007202AD"/>
    <w:rsid w:val="007202D6"/>
    <w:rsid w:val="007202E9"/>
    <w:rsid w:val="00720351"/>
    <w:rsid w:val="0072043B"/>
    <w:rsid w:val="00720444"/>
    <w:rsid w:val="007204CA"/>
    <w:rsid w:val="00720502"/>
    <w:rsid w:val="0072055D"/>
    <w:rsid w:val="00720560"/>
    <w:rsid w:val="00720578"/>
    <w:rsid w:val="007205E5"/>
    <w:rsid w:val="0072065A"/>
    <w:rsid w:val="007206BE"/>
    <w:rsid w:val="007206D4"/>
    <w:rsid w:val="007206FD"/>
    <w:rsid w:val="0072073D"/>
    <w:rsid w:val="0072075E"/>
    <w:rsid w:val="00720776"/>
    <w:rsid w:val="00720789"/>
    <w:rsid w:val="007207A3"/>
    <w:rsid w:val="007207B1"/>
    <w:rsid w:val="00720800"/>
    <w:rsid w:val="00720804"/>
    <w:rsid w:val="00720822"/>
    <w:rsid w:val="00720826"/>
    <w:rsid w:val="0072089F"/>
    <w:rsid w:val="007208A2"/>
    <w:rsid w:val="00720919"/>
    <w:rsid w:val="00720984"/>
    <w:rsid w:val="007209DB"/>
    <w:rsid w:val="007209DE"/>
    <w:rsid w:val="00720A25"/>
    <w:rsid w:val="00720A4D"/>
    <w:rsid w:val="00720A56"/>
    <w:rsid w:val="00720A97"/>
    <w:rsid w:val="00720AF4"/>
    <w:rsid w:val="00720B0D"/>
    <w:rsid w:val="00720B18"/>
    <w:rsid w:val="00720B24"/>
    <w:rsid w:val="00720B3B"/>
    <w:rsid w:val="00720B66"/>
    <w:rsid w:val="00720BAB"/>
    <w:rsid w:val="00720BDE"/>
    <w:rsid w:val="00720C0F"/>
    <w:rsid w:val="00720C5A"/>
    <w:rsid w:val="00720CBC"/>
    <w:rsid w:val="00720D54"/>
    <w:rsid w:val="00720DB6"/>
    <w:rsid w:val="00720DEE"/>
    <w:rsid w:val="00720E2F"/>
    <w:rsid w:val="00720E91"/>
    <w:rsid w:val="00720EC7"/>
    <w:rsid w:val="00720EDE"/>
    <w:rsid w:val="00720F14"/>
    <w:rsid w:val="00720F4D"/>
    <w:rsid w:val="00720FA5"/>
    <w:rsid w:val="00720FBC"/>
    <w:rsid w:val="00720FCA"/>
    <w:rsid w:val="0072100C"/>
    <w:rsid w:val="00721059"/>
    <w:rsid w:val="007210DD"/>
    <w:rsid w:val="007210E4"/>
    <w:rsid w:val="0072116D"/>
    <w:rsid w:val="00721176"/>
    <w:rsid w:val="0072117F"/>
    <w:rsid w:val="00721189"/>
    <w:rsid w:val="0072118C"/>
    <w:rsid w:val="007211A2"/>
    <w:rsid w:val="007211D7"/>
    <w:rsid w:val="007211DE"/>
    <w:rsid w:val="007211E3"/>
    <w:rsid w:val="00721229"/>
    <w:rsid w:val="0072122E"/>
    <w:rsid w:val="00721237"/>
    <w:rsid w:val="0072123B"/>
    <w:rsid w:val="007212B8"/>
    <w:rsid w:val="007212E8"/>
    <w:rsid w:val="00721308"/>
    <w:rsid w:val="00721312"/>
    <w:rsid w:val="00721314"/>
    <w:rsid w:val="0072138D"/>
    <w:rsid w:val="007213F7"/>
    <w:rsid w:val="0072148C"/>
    <w:rsid w:val="007214E9"/>
    <w:rsid w:val="007215BC"/>
    <w:rsid w:val="00721633"/>
    <w:rsid w:val="0072163E"/>
    <w:rsid w:val="00721650"/>
    <w:rsid w:val="00721660"/>
    <w:rsid w:val="00721678"/>
    <w:rsid w:val="007216F3"/>
    <w:rsid w:val="00721725"/>
    <w:rsid w:val="00721773"/>
    <w:rsid w:val="007217BA"/>
    <w:rsid w:val="007217C0"/>
    <w:rsid w:val="0072180B"/>
    <w:rsid w:val="00721818"/>
    <w:rsid w:val="0072184F"/>
    <w:rsid w:val="007218BA"/>
    <w:rsid w:val="007218F4"/>
    <w:rsid w:val="00721953"/>
    <w:rsid w:val="007219E6"/>
    <w:rsid w:val="00721A17"/>
    <w:rsid w:val="00721A3F"/>
    <w:rsid w:val="00721A4F"/>
    <w:rsid w:val="00721A6E"/>
    <w:rsid w:val="00721A7B"/>
    <w:rsid w:val="00721AB7"/>
    <w:rsid w:val="00721AF4"/>
    <w:rsid w:val="00721B24"/>
    <w:rsid w:val="00721B2B"/>
    <w:rsid w:val="00721B71"/>
    <w:rsid w:val="00721BD7"/>
    <w:rsid w:val="00721BDD"/>
    <w:rsid w:val="00721CFB"/>
    <w:rsid w:val="00721DDD"/>
    <w:rsid w:val="00721E73"/>
    <w:rsid w:val="00721F13"/>
    <w:rsid w:val="00721F3F"/>
    <w:rsid w:val="00721F5D"/>
    <w:rsid w:val="00721FA3"/>
    <w:rsid w:val="00721FBF"/>
    <w:rsid w:val="00721FE4"/>
    <w:rsid w:val="00721FEF"/>
    <w:rsid w:val="00722035"/>
    <w:rsid w:val="0072203F"/>
    <w:rsid w:val="007220AD"/>
    <w:rsid w:val="007220CB"/>
    <w:rsid w:val="0072215C"/>
    <w:rsid w:val="007221C1"/>
    <w:rsid w:val="007221DB"/>
    <w:rsid w:val="00722230"/>
    <w:rsid w:val="00722250"/>
    <w:rsid w:val="00722295"/>
    <w:rsid w:val="007222A6"/>
    <w:rsid w:val="007222B3"/>
    <w:rsid w:val="007222F1"/>
    <w:rsid w:val="00722320"/>
    <w:rsid w:val="0072234B"/>
    <w:rsid w:val="007223C8"/>
    <w:rsid w:val="007223C9"/>
    <w:rsid w:val="0072241E"/>
    <w:rsid w:val="00722491"/>
    <w:rsid w:val="00722492"/>
    <w:rsid w:val="00722532"/>
    <w:rsid w:val="0072265C"/>
    <w:rsid w:val="0072265F"/>
    <w:rsid w:val="0072269E"/>
    <w:rsid w:val="007226CD"/>
    <w:rsid w:val="007226D9"/>
    <w:rsid w:val="00722708"/>
    <w:rsid w:val="0072275B"/>
    <w:rsid w:val="0072277A"/>
    <w:rsid w:val="0072279E"/>
    <w:rsid w:val="0072280B"/>
    <w:rsid w:val="0072281B"/>
    <w:rsid w:val="0072281D"/>
    <w:rsid w:val="0072285A"/>
    <w:rsid w:val="007228A6"/>
    <w:rsid w:val="007228B4"/>
    <w:rsid w:val="0072291D"/>
    <w:rsid w:val="00722994"/>
    <w:rsid w:val="00722A20"/>
    <w:rsid w:val="00722A3C"/>
    <w:rsid w:val="00722A8E"/>
    <w:rsid w:val="00722AC9"/>
    <w:rsid w:val="00722AEA"/>
    <w:rsid w:val="00722B19"/>
    <w:rsid w:val="00722B28"/>
    <w:rsid w:val="00722B75"/>
    <w:rsid w:val="00722B90"/>
    <w:rsid w:val="00722B92"/>
    <w:rsid w:val="00722BBC"/>
    <w:rsid w:val="00722BEB"/>
    <w:rsid w:val="00722C0C"/>
    <w:rsid w:val="00722C55"/>
    <w:rsid w:val="00722C87"/>
    <w:rsid w:val="00722C8F"/>
    <w:rsid w:val="00722D7C"/>
    <w:rsid w:val="00722DB5"/>
    <w:rsid w:val="00722DC6"/>
    <w:rsid w:val="00722DE7"/>
    <w:rsid w:val="00722E5A"/>
    <w:rsid w:val="00722E60"/>
    <w:rsid w:val="00722E91"/>
    <w:rsid w:val="00722EBC"/>
    <w:rsid w:val="00722EC5"/>
    <w:rsid w:val="00722F2B"/>
    <w:rsid w:val="00722F39"/>
    <w:rsid w:val="00722FD9"/>
    <w:rsid w:val="00722FEB"/>
    <w:rsid w:val="00723087"/>
    <w:rsid w:val="00723107"/>
    <w:rsid w:val="00723129"/>
    <w:rsid w:val="0072317B"/>
    <w:rsid w:val="007231F1"/>
    <w:rsid w:val="00723201"/>
    <w:rsid w:val="0072323D"/>
    <w:rsid w:val="00723292"/>
    <w:rsid w:val="0072330A"/>
    <w:rsid w:val="0072333F"/>
    <w:rsid w:val="00723383"/>
    <w:rsid w:val="007233F8"/>
    <w:rsid w:val="00723418"/>
    <w:rsid w:val="007234F9"/>
    <w:rsid w:val="0072353A"/>
    <w:rsid w:val="00723596"/>
    <w:rsid w:val="007235FA"/>
    <w:rsid w:val="00723630"/>
    <w:rsid w:val="007236CB"/>
    <w:rsid w:val="007236D4"/>
    <w:rsid w:val="007236F0"/>
    <w:rsid w:val="00723703"/>
    <w:rsid w:val="0072372A"/>
    <w:rsid w:val="007237AC"/>
    <w:rsid w:val="007237FD"/>
    <w:rsid w:val="00723829"/>
    <w:rsid w:val="00723832"/>
    <w:rsid w:val="00723887"/>
    <w:rsid w:val="007238D8"/>
    <w:rsid w:val="00723900"/>
    <w:rsid w:val="00723902"/>
    <w:rsid w:val="0072390B"/>
    <w:rsid w:val="00723A24"/>
    <w:rsid w:val="00723A32"/>
    <w:rsid w:val="00723A44"/>
    <w:rsid w:val="00723A52"/>
    <w:rsid w:val="00723A8B"/>
    <w:rsid w:val="00723ADF"/>
    <w:rsid w:val="00723AE3"/>
    <w:rsid w:val="00723B41"/>
    <w:rsid w:val="00723BDD"/>
    <w:rsid w:val="00723C0C"/>
    <w:rsid w:val="00723C23"/>
    <w:rsid w:val="00723C4F"/>
    <w:rsid w:val="00723C63"/>
    <w:rsid w:val="00723C6A"/>
    <w:rsid w:val="00723CA2"/>
    <w:rsid w:val="00723CA5"/>
    <w:rsid w:val="00723CF2"/>
    <w:rsid w:val="00723D14"/>
    <w:rsid w:val="00723D59"/>
    <w:rsid w:val="00723D80"/>
    <w:rsid w:val="00723DFB"/>
    <w:rsid w:val="00723E15"/>
    <w:rsid w:val="00723E20"/>
    <w:rsid w:val="00723E28"/>
    <w:rsid w:val="00723E33"/>
    <w:rsid w:val="00723E3C"/>
    <w:rsid w:val="00723E56"/>
    <w:rsid w:val="00723EDB"/>
    <w:rsid w:val="00723EE8"/>
    <w:rsid w:val="00723F75"/>
    <w:rsid w:val="00723FF4"/>
    <w:rsid w:val="0072401C"/>
    <w:rsid w:val="00724025"/>
    <w:rsid w:val="00724052"/>
    <w:rsid w:val="00724057"/>
    <w:rsid w:val="00724067"/>
    <w:rsid w:val="00724073"/>
    <w:rsid w:val="0072409E"/>
    <w:rsid w:val="007240C3"/>
    <w:rsid w:val="007240CB"/>
    <w:rsid w:val="007240ED"/>
    <w:rsid w:val="00724101"/>
    <w:rsid w:val="0072416A"/>
    <w:rsid w:val="00724187"/>
    <w:rsid w:val="00724205"/>
    <w:rsid w:val="0072420E"/>
    <w:rsid w:val="00724247"/>
    <w:rsid w:val="0072428A"/>
    <w:rsid w:val="00724294"/>
    <w:rsid w:val="007242C8"/>
    <w:rsid w:val="007242DE"/>
    <w:rsid w:val="0072430F"/>
    <w:rsid w:val="0072435B"/>
    <w:rsid w:val="00724370"/>
    <w:rsid w:val="0072438A"/>
    <w:rsid w:val="0072438B"/>
    <w:rsid w:val="0072442F"/>
    <w:rsid w:val="00724442"/>
    <w:rsid w:val="00724457"/>
    <w:rsid w:val="00724482"/>
    <w:rsid w:val="00724499"/>
    <w:rsid w:val="007244AC"/>
    <w:rsid w:val="007244DD"/>
    <w:rsid w:val="007244E5"/>
    <w:rsid w:val="00724548"/>
    <w:rsid w:val="007245D2"/>
    <w:rsid w:val="0072461C"/>
    <w:rsid w:val="00724632"/>
    <w:rsid w:val="0072464F"/>
    <w:rsid w:val="00724722"/>
    <w:rsid w:val="00724796"/>
    <w:rsid w:val="007247BF"/>
    <w:rsid w:val="00724803"/>
    <w:rsid w:val="00724828"/>
    <w:rsid w:val="007248A7"/>
    <w:rsid w:val="007248A8"/>
    <w:rsid w:val="007248C9"/>
    <w:rsid w:val="007248F3"/>
    <w:rsid w:val="00724955"/>
    <w:rsid w:val="0072497C"/>
    <w:rsid w:val="007249A5"/>
    <w:rsid w:val="00724B49"/>
    <w:rsid w:val="00724B8D"/>
    <w:rsid w:val="00724BAC"/>
    <w:rsid w:val="00724C03"/>
    <w:rsid w:val="00724D6E"/>
    <w:rsid w:val="00724D74"/>
    <w:rsid w:val="00724DB6"/>
    <w:rsid w:val="00724E97"/>
    <w:rsid w:val="00724EAF"/>
    <w:rsid w:val="00724EBB"/>
    <w:rsid w:val="00724ECD"/>
    <w:rsid w:val="00724F75"/>
    <w:rsid w:val="00724F7D"/>
    <w:rsid w:val="00724FA1"/>
    <w:rsid w:val="00724FE0"/>
    <w:rsid w:val="007250B4"/>
    <w:rsid w:val="007250B7"/>
    <w:rsid w:val="007250DC"/>
    <w:rsid w:val="00725103"/>
    <w:rsid w:val="0072510A"/>
    <w:rsid w:val="00725155"/>
    <w:rsid w:val="00725186"/>
    <w:rsid w:val="007251A8"/>
    <w:rsid w:val="007251CA"/>
    <w:rsid w:val="00725205"/>
    <w:rsid w:val="0072521B"/>
    <w:rsid w:val="0072524F"/>
    <w:rsid w:val="007252A1"/>
    <w:rsid w:val="007252B2"/>
    <w:rsid w:val="007252C8"/>
    <w:rsid w:val="00725304"/>
    <w:rsid w:val="00725350"/>
    <w:rsid w:val="0072536E"/>
    <w:rsid w:val="0072556A"/>
    <w:rsid w:val="007255D9"/>
    <w:rsid w:val="007255DC"/>
    <w:rsid w:val="007255FA"/>
    <w:rsid w:val="0072567F"/>
    <w:rsid w:val="0072569C"/>
    <w:rsid w:val="007256C4"/>
    <w:rsid w:val="00725705"/>
    <w:rsid w:val="00725707"/>
    <w:rsid w:val="0072578C"/>
    <w:rsid w:val="00725799"/>
    <w:rsid w:val="007257B3"/>
    <w:rsid w:val="007257B8"/>
    <w:rsid w:val="00725932"/>
    <w:rsid w:val="0072595F"/>
    <w:rsid w:val="0072598D"/>
    <w:rsid w:val="00725A05"/>
    <w:rsid w:val="00725A34"/>
    <w:rsid w:val="00725A60"/>
    <w:rsid w:val="00725A62"/>
    <w:rsid w:val="00725B7C"/>
    <w:rsid w:val="00725BDE"/>
    <w:rsid w:val="00725BE6"/>
    <w:rsid w:val="00725C48"/>
    <w:rsid w:val="00725C50"/>
    <w:rsid w:val="00725C8C"/>
    <w:rsid w:val="00725CB7"/>
    <w:rsid w:val="00725CE2"/>
    <w:rsid w:val="00725CEE"/>
    <w:rsid w:val="00725D18"/>
    <w:rsid w:val="00725D49"/>
    <w:rsid w:val="00725D5F"/>
    <w:rsid w:val="00725DA2"/>
    <w:rsid w:val="00725DD0"/>
    <w:rsid w:val="00725DDB"/>
    <w:rsid w:val="00725DE2"/>
    <w:rsid w:val="00725F48"/>
    <w:rsid w:val="00725F83"/>
    <w:rsid w:val="00725FC4"/>
    <w:rsid w:val="00725FD4"/>
    <w:rsid w:val="00726040"/>
    <w:rsid w:val="00726046"/>
    <w:rsid w:val="0072605E"/>
    <w:rsid w:val="00726068"/>
    <w:rsid w:val="00726083"/>
    <w:rsid w:val="007260AE"/>
    <w:rsid w:val="00726104"/>
    <w:rsid w:val="00726148"/>
    <w:rsid w:val="0072614A"/>
    <w:rsid w:val="00726156"/>
    <w:rsid w:val="0072617A"/>
    <w:rsid w:val="00726198"/>
    <w:rsid w:val="007261B3"/>
    <w:rsid w:val="007261B7"/>
    <w:rsid w:val="007261E7"/>
    <w:rsid w:val="0072624F"/>
    <w:rsid w:val="00726268"/>
    <w:rsid w:val="0072627E"/>
    <w:rsid w:val="00726282"/>
    <w:rsid w:val="0072630C"/>
    <w:rsid w:val="007263C1"/>
    <w:rsid w:val="007263D9"/>
    <w:rsid w:val="00726412"/>
    <w:rsid w:val="00726439"/>
    <w:rsid w:val="00726462"/>
    <w:rsid w:val="0072646D"/>
    <w:rsid w:val="0072647C"/>
    <w:rsid w:val="00726486"/>
    <w:rsid w:val="007264BC"/>
    <w:rsid w:val="00726529"/>
    <w:rsid w:val="00726564"/>
    <w:rsid w:val="007265B2"/>
    <w:rsid w:val="007265D2"/>
    <w:rsid w:val="007265F0"/>
    <w:rsid w:val="007265FD"/>
    <w:rsid w:val="00726608"/>
    <w:rsid w:val="0072660D"/>
    <w:rsid w:val="0072661B"/>
    <w:rsid w:val="00726620"/>
    <w:rsid w:val="00726681"/>
    <w:rsid w:val="007266A8"/>
    <w:rsid w:val="00726731"/>
    <w:rsid w:val="00726789"/>
    <w:rsid w:val="007267C7"/>
    <w:rsid w:val="00726828"/>
    <w:rsid w:val="0072684E"/>
    <w:rsid w:val="00726919"/>
    <w:rsid w:val="00726930"/>
    <w:rsid w:val="00726941"/>
    <w:rsid w:val="007269B6"/>
    <w:rsid w:val="007269ED"/>
    <w:rsid w:val="00726A3D"/>
    <w:rsid w:val="00726A6E"/>
    <w:rsid w:val="00726AD5"/>
    <w:rsid w:val="00726B70"/>
    <w:rsid w:val="00726B9C"/>
    <w:rsid w:val="00726D40"/>
    <w:rsid w:val="00726D5C"/>
    <w:rsid w:val="00726D70"/>
    <w:rsid w:val="00726D7E"/>
    <w:rsid w:val="00726D85"/>
    <w:rsid w:val="00726D8C"/>
    <w:rsid w:val="00726DD8"/>
    <w:rsid w:val="00726E14"/>
    <w:rsid w:val="00726E50"/>
    <w:rsid w:val="00726EB3"/>
    <w:rsid w:val="00726F16"/>
    <w:rsid w:val="00726F48"/>
    <w:rsid w:val="00726F92"/>
    <w:rsid w:val="00726FA6"/>
    <w:rsid w:val="00726FEC"/>
    <w:rsid w:val="0072702D"/>
    <w:rsid w:val="00727067"/>
    <w:rsid w:val="00727072"/>
    <w:rsid w:val="0072709B"/>
    <w:rsid w:val="007270F9"/>
    <w:rsid w:val="00727139"/>
    <w:rsid w:val="007271DE"/>
    <w:rsid w:val="007272E1"/>
    <w:rsid w:val="007273F7"/>
    <w:rsid w:val="00727427"/>
    <w:rsid w:val="0072745C"/>
    <w:rsid w:val="00727466"/>
    <w:rsid w:val="00727467"/>
    <w:rsid w:val="0072749A"/>
    <w:rsid w:val="007274C1"/>
    <w:rsid w:val="00727503"/>
    <w:rsid w:val="00727518"/>
    <w:rsid w:val="00727535"/>
    <w:rsid w:val="00727551"/>
    <w:rsid w:val="007275DE"/>
    <w:rsid w:val="00727634"/>
    <w:rsid w:val="0072764A"/>
    <w:rsid w:val="007276C8"/>
    <w:rsid w:val="00727744"/>
    <w:rsid w:val="00727754"/>
    <w:rsid w:val="007277AD"/>
    <w:rsid w:val="007277CF"/>
    <w:rsid w:val="0072790A"/>
    <w:rsid w:val="0072790D"/>
    <w:rsid w:val="0072794D"/>
    <w:rsid w:val="0072796D"/>
    <w:rsid w:val="00727995"/>
    <w:rsid w:val="007279A0"/>
    <w:rsid w:val="007279AF"/>
    <w:rsid w:val="00727A94"/>
    <w:rsid w:val="00727AD2"/>
    <w:rsid w:val="00727AE7"/>
    <w:rsid w:val="00727B86"/>
    <w:rsid w:val="00727BBF"/>
    <w:rsid w:val="00727C75"/>
    <w:rsid w:val="00727C8D"/>
    <w:rsid w:val="00727D25"/>
    <w:rsid w:val="00727D55"/>
    <w:rsid w:val="00727D6D"/>
    <w:rsid w:val="00727DB1"/>
    <w:rsid w:val="00727DC9"/>
    <w:rsid w:val="00727E04"/>
    <w:rsid w:val="00727E28"/>
    <w:rsid w:val="00727E2B"/>
    <w:rsid w:val="00727E45"/>
    <w:rsid w:val="00727E53"/>
    <w:rsid w:val="00727ED5"/>
    <w:rsid w:val="00727F27"/>
    <w:rsid w:val="00727F49"/>
    <w:rsid w:val="00727F81"/>
    <w:rsid w:val="00730012"/>
    <w:rsid w:val="0073007A"/>
    <w:rsid w:val="0073009F"/>
    <w:rsid w:val="007300B8"/>
    <w:rsid w:val="007301BF"/>
    <w:rsid w:val="0073021E"/>
    <w:rsid w:val="00730252"/>
    <w:rsid w:val="00730260"/>
    <w:rsid w:val="0073027F"/>
    <w:rsid w:val="0073028C"/>
    <w:rsid w:val="007302A0"/>
    <w:rsid w:val="007302AE"/>
    <w:rsid w:val="00730398"/>
    <w:rsid w:val="007303C4"/>
    <w:rsid w:val="007303DE"/>
    <w:rsid w:val="00730402"/>
    <w:rsid w:val="00730418"/>
    <w:rsid w:val="0073042D"/>
    <w:rsid w:val="00730443"/>
    <w:rsid w:val="00730468"/>
    <w:rsid w:val="0073046F"/>
    <w:rsid w:val="00730494"/>
    <w:rsid w:val="007304B5"/>
    <w:rsid w:val="0073053F"/>
    <w:rsid w:val="007305CC"/>
    <w:rsid w:val="007305CD"/>
    <w:rsid w:val="007305F5"/>
    <w:rsid w:val="00730614"/>
    <w:rsid w:val="007306D6"/>
    <w:rsid w:val="007306F8"/>
    <w:rsid w:val="0073071B"/>
    <w:rsid w:val="0073071C"/>
    <w:rsid w:val="0073072E"/>
    <w:rsid w:val="00730739"/>
    <w:rsid w:val="007307A2"/>
    <w:rsid w:val="00730803"/>
    <w:rsid w:val="00730820"/>
    <w:rsid w:val="00730862"/>
    <w:rsid w:val="00730892"/>
    <w:rsid w:val="007308B8"/>
    <w:rsid w:val="007308DB"/>
    <w:rsid w:val="0073092A"/>
    <w:rsid w:val="00730946"/>
    <w:rsid w:val="00730970"/>
    <w:rsid w:val="00730992"/>
    <w:rsid w:val="007309A7"/>
    <w:rsid w:val="007309DE"/>
    <w:rsid w:val="007309FD"/>
    <w:rsid w:val="00730A4A"/>
    <w:rsid w:val="00730A93"/>
    <w:rsid w:val="00730AB7"/>
    <w:rsid w:val="00730B0A"/>
    <w:rsid w:val="00730B0F"/>
    <w:rsid w:val="00730B25"/>
    <w:rsid w:val="00730B41"/>
    <w:rsid w:val="00730BA9"/>
    <w:rsid w:val="00730BD5"/>
    <w:rsid w:val="00730BE9"/>
    <w:rsid w:val="00730BF8"/>
    <w:rsid w:val="00730C06"/>
    <w:rsid w:val="00730C83"/>
    <w:rsid w:val="00730CA3"/>
    <w:rsid w:val="00730CCE"/>
    <w:rsid w:val="00730D17"/>
    <w:rsid w:val="00730D59"/>
    <w:rsid w:val="00730D8C"/>
    <w:rsid w:val="00730DAB"/>
    <w:rsid w:val="00730DB8"/>
    <w:rsid w:val="00730E28"/>
    <w:rsid w:val="00730E59"/>
    <w:rsid w:val="00730E5B"/>
    <w:rsid w:val="00730EAB"/>
    <w:rsid w:val="00730EDA"/>
    <w:rsid w:val="00730EF8"/>
    <w:rsid w:val="00730EFA"/>
    <w:rsid w:val="00730F11"/>
    <w:rsid w:val="00730F1A"/>
    <w:rsid w:val="0073109B"/>
    <w:rsid w:val="007310C6"/>
    <w:rsid w:val="007310D5"/>
    <w:rsid w:val="00731159"/>
    <w:rsid w:val="00731177"/>
    <w:rsid w:val="0073121C"/>
    <w:rsid w:val="0073123B"/>
    <w:rsid w:val="00731283"/>
    <w:rsid w:val="00731295"/>
    <w:rsid w:val="007312A3"/>
    <w:rsid w:val="0073130C"/>
    <w:rsid w:val="00731411"/>
    <w:rsid w:val="00731428"/>
    <w:rsid w:val="00731430"/>
    <w:rsid w:val="00731455"/>
    <w:rsid w:val="00731492"/>
    <w:rsid w:val="0073157B"/>
    <w:rsid w:val="007315CC"/>
    <w:rsid w:val="007315CE"/>
    <w:rsid w:val="007316BC"/>
    <w:rsid w:val="007316CF"/>
    <w:rsid w:val="007317B6"/>
    <w:rsid w:val="007317D6"/>
    <w:rsid w:val="007317F4"/>
    <w:rsid w:val="00731824"/>
    <w:rsid w:val="007318CB"/>
    <w:rsid w:val="007318DA"/>
    <w:rsid w:val="007318E4"/>
    <w:rsid w:val="007318F2"/>
    <w:rsid w:val="00731936"/>
    <w:rsid w:val="0073193F"/>
    <w:rsid w:val="00731973"/>
    <w:rsid w:val="0073197A"/>
    <w:rsid w:val="007319A7"/>
    <w:rsid w:val="007319C1"/>
    <w:rsid w:val="007319DA"/>
    <w:rsid w:val="007319EC"/>
    <w:rsid w:val="007319FF"/>
    <w:rsid w:val="00731A05"/>
    <w:rsid w:val="00731A6E"/>
    <w:rsid w:val="00731AA3"/>
    <w:rsid w:val="00731AED"/>
    <w:rsid w:val="00731AF8"/>
    <w:rsid w:val="00731B12"/>
    <w:rsid w:val="00731B2E"/>
    <w:rsid w:val="00731B41"/>
    <w:rsid w:val="00731B95"/>
    <w:rsid w:val="00731BA2"/>
    <w:rsid w:val="00731BDF"/>
    <w:rsid w:val="00731BEB"/>
    <w:rsid w:val="00731BFF"/>
    <w:rsid w:val="00731C0C"/>
    <w:rsid w:val="00731C25"/>
    <w:rsid w:val="00731CC5"/>
    <w:rsid w:val="00731D42"/>
    <w:rsid w:val="00731D53"/>
    <w:rsid w:val="00731DFF"/>
    <w:rsid w:val="00731E19"/>
    <w:rsid w:val="00731E58"/>
    <w:rsid w:val="00731E8B"/>
    <w:rsid w:val="00731ECA"/>
    <w:rsid w:val="00731F0F"/>
    <w:rsid w:val="00731FBE"/>
    <w:rsid w:val="00731FC4"/>
    <w:rsid w:val="00732124"/>
    <w:rsid w:val="0073212C"/>
    <w:rsid w:val="00732172"/>
    <w:rsid w:val="007321C1"/>
    <w:rsid w:val="007321CA"/>
    <w:rsid w:val="0073222D"/>
    <w:rsid w:val="00732269"/>
    <w:rsid w:val="007322AC"/>
    <w:rsid w:val="007322C8"/>
    <w:rsid w:val="007322D1"/>
    <w:rsid w:val="007322E0"/>
    <w:rsid w:val="00732383"/>
    <w:rsid w:val="007323C9"/>
    <w:rsid w:val="00732420"/>
    <w:rsid w:val="0073243F"/>
    <w:rsid w:val="0073246F"/>
    <w:rsid w:val="0073247D"/>
    <w:rsid w:val="007324FB"/>
    <w:rsid w:val="0073250F"/>
    <w:rsid w:val="0073254C"/>
    <w:rsid w:val="00732579"/>
    <w:rsid w:val="007325AC"/>
    <w:rsid w:val="007325DD"/>
    <w:rsid w:val="007325FE"/>
    <w:rsid w:val="0073261B"/>
    <w:rsid w:val="007326A0"/>
    <w:rsid w:val="007326C5"/>
    <w:rsid w:val="00732731"/>
    <w:rsid w:val="00732749"/>
    <w:rsid w:val="007327BF"/>
    <w:rsid w:val="007327F4"/>
    <w:rsid w:val="00732896"/>
    <w:rsid w:val="007328C1"/>
    <w:rsid w:val="007328E6"/>
    <w:rsid w:val="00732901"/>
    <w:rsid w:val="00732955"/>
    <w:rsid w:val="007329C1"/>
    <w:rsid w:val="007329EE"/>
    <w:rsid w:val="00732A3C"/>
    <w:rsid w:val="00732A4E"/>
    <w:rsid w:val="00732A58"/>
    <w:rsid w:val="00732A89"/>
    <w:rsid w:val="00732AEF"/>
    <w:rsid w:val="00732BAF"/>
    <w:rsid w:val="00732BDA"/>
    <w:rsid w:val="00732BE6"/>
    <w:rsid w:val="00732C54"/>
    <w:rsid w:val="00732D03"/>
    <w:rsid w:val="00732D11"/>
    <w:rsid w:val="00732D26"/>
    <w:rsid w:val="00732D54"/>
    <w:rsid w:val="00732D6B"/>
    <w:rsid w:val="00732D73"/>
    <w:rsid w:val="00732D78"/>
    <w:rsid w:val="00732D97"/>
    <w:rsid w:val="00732DAA"/>
    <w:rsid w:val="00732E28"/>
    <w:rsid w:val="00732E4D"/>
    <w:rsid w:val="00732E53"/>
    <w:rsid w:val="00732E83"/>
    <w:rsid w:val="00732E97"/>
    <w:rsid w:val="00732EC1"/>
    <w:rsid w:val="00732EEA"/>
    <w:rsid w:val="00732F29"/>
    <w:rsid w:val="00732F5F"/>
    <w:rsid w:val="00732F9D"/>
    <w:rsid w:val="0073300C"/>
    <w:rsid w:val="0073305A"/>
    <w:rsid w:val="0073305E"/>
    <w:rsid w:val="0073309E"/>
    <w:rsid w:val="007330AF"/>
    <w:rsid w:val="007330C3"/>
    <w:rsid w:val="007330CF"/>
    <w:rsid w:val="00733119"/>
    <w:rsid w:val="00733131"/>
    <w:rsid w:val="007331AB"/>
    <w:rsid w:val="0073327C"/>
    <w:rsid w:val="007332B0"/>
    <w:rsid w:val="00733305"/>
    <w:rsid w:val="0073333A"/>
    <w:rsid w:val="0073333C"/>
    <w:rsid w:val="0073333E"/>
    <w:rsid w:val="00733372"/>
    <w:rsid w:val="0073339E"/>
    <w:rsid w:val="007333F6"/>
    <w:rsid w:val="00733410"/>
    <w:rsid w:val="00733460"/>
    <w:rsid w:val="00733463"/>
    <w:rsid w:val="00733471"/>
    <w:rsid w:val="007334FE"/>
    <w:rsid w:val="00733561"/>
    <w:rsid w:val="0073356D"/>
    <w:rsid w:val="0073359F"/>
    <w:rsid w:val="007335C3"/>
    <w:rsid w:val="007335D6"/>
    <w:rsid w:val="007335E2"/>
    <w:rsid w:val="00733671"/>
    <w:rsid w:val="007336CA"/>
    <w:rsid w:val="007336E0"/>
    <w:rsid w:val="00733718"/>
    <w:rsid w:val="00733719"/>
    <w:rsid w:val="0073383D"/>
    <w:rsid w:val="007338D6"/>
    <w:rsid w:val="0073391D"/>
    <w:rsid w:val="00733967"/>
    <w:rsid w:val="007339EC"/>
    <w:rsid w:val="00733A38"/>
    <w:rsid w:val="00733A55"/>
    <w:rsid w:val="00733A9C"/>
    <w:rsid w:val="00733AD3"/>
    <w:rsid w:val="00733AEC"/>
    <w:rsid w:val="00733B3C"/>
    <w:rsid w:val="00733B5E"/>
    <w:rsid w:val="00733B90"/>
    <w:rsid w:val="00733B94"/>
    <w:rsid w:val="00733CC7"/>
    <w:rsid w:val="00733CD6"/>
    <w:rsid w:val="00733DD4"/>
    <w:rsid w:val="00733DFF"/>
    <w:rsid w:val="00733E01"/>
    <w:rsid w:val="00733E30"/>
    <w:rsid w:val="00733EBE"/>
    <w:rsid w:val="00733F68"/>
    <w:rsid w:val="0073401F"/>
    <w:rsid w:val="00734027"/>
    <w:rsid w:val="00734038"/>
    <w:rsid w:val="00734043"/>
    <w:rsid w:val="00734051"/>
    <w:rsid w:val="0073408D"/>
    <w:rsid w:val="00734092"/>
    <w:rsid w:val="0073409E"/>
    <w:rsid w:val="0073412C"/>
    <w:rsid w:val="0073416D"/>
    <w:rsid w:val="007342C3"/>
    <w:rsid w:val="007342CC"/>
    <w:rsid w:val="007342CF"/>
    <w:rsid w:val="00734305"/>
    <w:rsid w:val="007343D2"/>
    <w:rsid w:val="00734411"/>
    <w:rsid w:val="0073444B"/>
    <w:rsid w:val="00734466"/>
    <w:rsid w:val="0073447B"/>
    <w:rsid w:val="0073455C"/>
    <w:rsid w:val="0073460B"/>
    <w:rsid w:val="00734620"/>
    <w:rsid w:val="00734662"/>
    <w:rsid w:val="00734734"/>
    <w:rsid w:val="0073473F"/>
    <w:rsid w:val="00734760"/>
    <w:rsid w:val="007347DB"/>
    <w:rsid w:val="007347F8"/>
    <w:rsid w:val="007347FC"/>
    <w:rsid w:val="00734808"/>
    <w:rsid w:val="00734814"/>
    <w:rsid w:val="007348BB"/>
    <w:rsid w:val="007348C6"/>
    <w:rsid w:val="007348C9"/>
    <w:rsid w:val="007348E3"/>
    <w:rsid w:val="0073493B"/>
    <w:rsid w:val="0073493C"/>
    <w:rsid w:val="0073495B"/>
    <w:rsid w:val="00734973"/>
    <w:rsid w:val="007349F6"/>
    <w:rsid w:val="00734A0E"/>
    <w:rsid w:val="00734A26"/>
    <w:rsid w:val="00734A46"/>
    <w:rsid w:val="00734A81"/>
    <w:rsid w:val="00734A9C"/>
    <w:rsid w:val="00734B19"/>
    <w:rsid w:val="00734C5F"/>
    <w:rsid w:val="00734C82"/>
    <w:rsid w:val="00734CE1"/>
    <w:rsid w:val="00734CE3"/>
    <w:rsid w:val="00734CEF"/>
    <w:rsid w:val="00734D0E"/>
    <w:rsid w:val="00734D26"/>
    <w:rsid w:val="00734DC5"/>
    <w:rsid w:val="00734DD3"/>
    <w:rsid w:val="00734E26"/>
    <w:rsid w:val="00734E96"/>
    <w:rsid w:val="00734EB5"/>
    <w:rsid w:val="00734EC6"/>
    <w:rsid w:val="00734F9D"/>
    <w:rsid w:val="00734FFD"/>
    <w:rsid w:val="00735104"/>
    <w:rsid w:val="007351AA"/>
    <w:rsid w:val="007351CF"/>
    <w:rsid w:val="0073520F"/>
    <w:rsid w:val="0073527D"/>
    <w:rsid w:val="00735322"/>
    <w:rsid w:val="00735355"/>
    <w:rsid w:val="0073535E"/>
    <w:rsid w:val="00735376"/>
    <w:rsid w:val="007353E8"/>
    <w:rsid w:val="00735419"/>
    <w:rsid w:val="00735462"/>
    <w:rsid w:val="0073547D"/>
    <w:rsid w:val="00735481"/>
    <w:rsid w:val="007354DE"/>
    <w:rsid w:val="007354EC"/>
    <w:rsid w:val="0073550C"/>
    <w:rsid w:val="00735581"/>
    <w:rsid w:val="007355BF"/>
    <w:rsid w:val="00735608"/>
    <w:rsid w:val="007356C3"/>
    <w:rsid w:val="007356CE"/>
    <w:rsid w:val="007356E2"/>
    <w:rsid w:val="00735701"/>
    <w:rsid w:val="007357E9"/>
    <w:rsid w:val="00735826"/>
    <w:rsid w:val="0073585B"/>
    <w:rsid w:val="0073589B"/>
    <w:rsid w:val="007358CD"/>
    <w:rsid w:val="007358DC"/>
    <w:rsid w:val="007358DD"/>
    <w:rsid w:val="007358F5"/>
    <w:rsid w:val="00735963"/>
    <w:rsid w:val="00735972"/>
    <w:rsid w:val="0073598D"/>
    <w:rsid w:val="007359C8"/>
    <w:rsid w:val="00735A11"/>
    <w:rsid w:val="00735A33"/>
    <w:rsid w:val="00735AAB"/>
    <w:rsid w:val="00735AB3"/>
    <w:rsid w:val="00735AC5"/>
    <w:rsid w:val="00735B25"/>
    <w:rsid w:val="00735BE3"/>
    <w:rsid w:val="00735C10"/>
    <w:rsid w:val="00735C3E"/>
    <w:rsid w:val="00735C60"/>
    <w:rsid w:val="00735CA0"/>
    <w:rsid w:val="00735D55"/>
    <w:rsid w:val="00735D5D"/>
    <w:rsid w:val="00735DC7"/>
    <w:rsid w:val="00735DE8"/>
    <w:rsid w:val="00735DF8"/>
    <w:rsid w:val="00735E25"/>
    <w:rsid w:val="00735EED"/>
    <w:rsid w:val="00735F23"/>
    <w:rsid w:val="00735F32"/>
    <w:rsid w:val="00735F3E"/>
    <w:rsid w:val="00735F67"/>
    <w:rsid w:val="00735FDF"/>
    <w:rsid w:val="00736062"/>
    <w:rsid w:val="00736134"/>
    <w:rsid w:val="00736191"/>
    <w:rsid w:val="00736216"/>
    <w:rsid w:val="00736227"/>
    <w:rsid w:val="00736259"/>
    <w:rsid w:val="00736261"/>
    <w:rsid w:val="0073628F"/>
    <w:rsid w:val="007362E2"/>
    <w:rsid w:val="00736300"/>
    <w:rsid w:val="00736323"/>
    <w:rsid w:val="0073637D"/>
    <w:rsid w:val="0073637E"/>
    <w:rsid w:val="0073639B"/>
    <w:rsid w:val="007363A6"/>
    <w:rsid w:val="00736409"/>
    <w:rsid w:val="00736442"/>
    <w:rsid w:val="0073649F"/>
    <w:rsid w:val="007364F8"/>
    <w:rsid w:val="00736532"/>
    <w:rsid w:val="0073653C"/>
    <w:rsid w:val="00736582"/>
    <w:rsid w:val="007365B1"/>
    <w:rsid w:val="007365B6"/>
    <w:rsid w:val="007365F5"/>
    <w:rsid w:val="007365F8"/>
    <w:rsid w:val="00736633"/>
    <w:rsid w:val="00736669"/>
    <w:rsid w:val="00736695"/>
    <w:rsid w:val="0073669A"/>
    <w:rsid w:val="007366BB"/>
    <w:rsid w:val="007366EA"/>
    <w:rsid w:val="00736751"/>
    <w:rsid w:val="0073676A"/>
    <w:rsid w:val="00736785"/>
    <w:rsid w:val="007367B4"/>
    <w:rsid w:val="00736845"/>
    <w:rsid w:val="0073685D"/>
    <w:rsid w:val="007368F2"/>
    <w:rsid w:val="00736956"/>
    <w:rsid w:val="0073696A"/>
    <w:rsid w:val="007369C4"/>
    <w:rsid w:val="007369F4"/>
    <w:rsid w:val="00736A14"/>
    <w:rsid w:val="00736A52"/>
    <w:rsid w:val="00736A58"/>
    <w:rsid w:val="00736B47"/>
    <w:rsid w:val="00736B5E"/>
    <w:rsid w:val="00736B83"/>
    <w:rsid w:val="00736B95"/>
    <w:rsid w:val="00736BBB"/>
    <w:rsid w:val="00736BF3"/>
    <w:rsid w:val="00736C3F"/>
    <w:rsid w:val="00736C41"/>
    <w:rsid w:val="00736C84"/>
    <w:rsid w:val="00736C8D"/>
    <w:rsid w:val="00736D21"/>
    <w:rsid w:val="00736D4A"/>
    <w:rsid w:val="00736D69"/>
    <w:rsid w:val="00736DAD"/>
    <w:rsid w:val="00736DF2"/>
    <w:rsid w:val="00736E31"/>
    <w:rsid w:val="00736E89"/>
    <w:rsid w:val="00736E9B"/>
    <w:rsid w:val="00736EC7"/>
    <w:rsid w:val="00736EC8"/>
    <w:rsid w:val="00736F5F"/>
    <w:rsid w:val="00736F9A"/>
    <w:rsid w:val="00736FD4"/>
    <w:rsid w:val="00736FE4"/>
    <w:rsid w:val="00736FEF"/>
    <w:rsid w:val="0073702D"/>
    <w:rsid w:val="0073708D"/>
    <w:rsid w:val="007370EE"/>
    <w:rsid w:val="007370FC"/>
    <w:rsid w:val="00737131"/>
    <w:rsid w:val="00737176"/>
    <w:rsid w:val="00737208"/>
    <w:rsid w:val="0073723C"/>
    <w:rsid w:val="00737270"/>
    <w:rsid w:val="0073729C"/>
    <w:rsid w:val="007372E7"/>
    <w:rsid w:val="007372E8"/>
    <w:rsid w:val="007373C4"/>
    <w:rsid w:val="007373CE"/>
    <w:rsid w:val="007373E5"/>
    <w:rsid w:val="0073744D"/>
    <w:rsid w:val="0073746E"/>
    <w:rsid w:val="00737494"/>
    <w:rsid w:val="007374BB"/>
    <w:rsid w:val="007374D8"/>
    <w:rsid w:val="00737532"/>
    <w:rsid w:val="00737553"/>
    <w:rsid w:val="00737568"/>
    <w:rsid w:val="007375D6"/>
    <w:rsid w:val="00737611"/>
    <w:rsid w:val="0073765A"/>
    <w:rsid w:val="0073765B"/>
    <w:rsid w:val="00737662"/>
    <w:rsid w:val="007376AE"/>
    <w:rsid w:val="0073773F"/>
    <w:rsid w:val="0073775F"/>
    <w:rsid w:val="0073776B"/>
    <w:rsid w:val="00737783"/>
    <w:rsid w:val="007377A4"/>
    <w:rsid w:val="007377D9"/>
    <w:rsid w:val="007377DA"/>
    <w:rsid w:val="007377E2"/>
    <w:rsid w:val="00737800"/>
    <w:rsid w:val="0073782A"/>
    <w:rsid w:val="00737834"/>
    <w:rsid w:val="00737856"/>
    <w:rsid w:val="00737898"/>
    <w:rsid w:val="0073789A"/>
    <w:rsid w:val="007378B8"/>
    <w:rsid w:val="007378C0"/>
    <w:rsid w:val="007378E0"/>
    <w:rsid w:val="00737923"/>
    <w:rsid w:val="0073792F"/>
    <w:rsid w:val="00737967"/>
    <w:rsid w:val="00737979"/>
    <w:rsid w:val="0073797F"/>
    <w:rsid w:val="007379A7"/>
    <w:rsid w:val="007379ED"/>
    <w:rsid w:val="00737A60"/>
    <w:rsid w:val="00737A7F"/>
    <w:rsid w:val="00737A99"/>
    <w:rsid w:val="00737ACB"/>
    <w:rsid w:val="00737ACE"/>
    <w:rsid w:val="00737B4E"/>
    <w:rsid w:val="00737B70"/>
    <w:rsid w:val="00737BCC"/>
    <w:rsid w:val="00737BEE"/>
    <w:rsid w:val="00737C19"/>
    <w:rsid w:val="00737C49"/>
    <w:rsid w:val="00737D78"/>
    <w:rsid w:val="00737DE0"/>
    <w:rsid w:val="00737DE2"/>
    <w:rsid w:val="00737E70"/>
    <w:rsid w:val="00737E8C"/>
    <w:rsid w:val="00737EA7"/>
    <w:rsid w:val="00737EB5"/>
    <w:rsid w:val="00737ECA"/>
    <w:rsid w:val="00737EE9"/>
    <w:rsid w:val="00737EF5"/>
    <w:rsid w:val="00737F05"/>
    <w:rsid w:val="00737F66"/>
    <w:rsid w:val="00737FAF"/>
    <w:rsid w:val="00737FD2"/>
    <w:rsid w:val="00737FED"/>
    <w:rsid w:val="00738C88"/>
    <w:rsid w:val="00740006"/>
    <w:rsid w:val="0074002E"/>
    <w:rsid w:val="00740050"/>
    <w:rsid w:val="007400CA"/>
    <w:rsid w:val="007400DB"/>
    <w:rsid w:val="007400F0"/>
    <w:rsid w:val="007400F2"/>
    <w:rsid w:val="007401D2"/>
    <w:rsid w:val="007401E6"/>
    <w:rsid w:val="00740225"/>
    <w:rsid w:val="00740251"/>
    <w:rsid w:val="0074026F"/>
    <w:rsid w:val="00740281"/>
    <w:rsid w:val="00740283"/>
    <w:rsid w:val="00740293"/>
    <w:rsid w:val="0074035A"/>
    <w:rsid w:val="007403B3"/>
    <w:rsid w:val="007403C0"/>
    <w:rsid w:val="007403D9"/>
    <w:rsid w:val="007403F6"/>
    <w:rsid w:val="00740413"/>
    <w:rsid w:val="00740442"/>
    <w:rsid w:val="00740458"/>
    <w:rsid w:val="00740467"/>
    <w:rsid w:val="0074048B"/>
    <w:rsid w:val="00740504"/>
    <w:rsid w:val="0074050A"/>
    <w:rsid w:val="00740519"/>
    <w:rsid w:val="0074055B"/>
    <w:rsid w:val="00740587"/>
    <w:rsid w:val="007405E5"/>
    <w:rsid w:val="0074065B"/>
    <w:rsid w:val="0074066E"/>
    <w:rsid w:val="007406A8"/>
    <w:rsid w:val="00740714"/>
    <w:rsid w:val="0074072A"/>
    <w:rsid w:val="00740745"/>
    <w:rsid w:val="00740771"/>
    <w:rsid w:val="0074077A"/>
    <w:rsid w:val="007407DB"/>
    <w:rsid w:val="00740800"/>
    <w:rsid w:val="00740813"/>
    <w:rsid w:val="0074082F"/>
    <w:rsid w:val="007408D8"/>
    <w:rsid w:val="00740999"/>
    <w:rsid w:val="00740A36"/>
    <w:rsid w:val="00740A6F"/>
    <w:rsid w:val="00740A79"/>
    <w:rsid w:val="00740A96"/>
    <w:rsid w:val="00740A98"/>
    <w:rsid w:val="00740A9C"/>
    <w:rsid w:val="00740AE8"/>
    <w:rsid w:val="00740AEC"/>
    <w:rsid w:val="00740B0A"/>
    <w:rsid w:val="00740B9F"/>
    <w:rsid w:val="00740BB2"/>
    <w:rsid w:val="00740BBD"/>
    <w:rsid w:val="00740BD9"/>
    <w:rsid w:val="00740BED"/>
    <w:rsid w:val="00740C37"/>
    <w:rsid w:val="00740C4C"/>
    <w:rsid w:val="00740C7F"/>
    <w:rsid w:val="00740CBD"/>
    <w:rsid w:val="00740CD5"/>
    <w:rsid w:val="00740CE4"/>
    <w:rsid w:val="00740CFE"/>
    <w:rsid w:val="00740D0D"/>
    <w:rsid w:val="00740D47"/>
    <w:rsid w:val="00740D59"/>
    <w:rsid w:val="00740DA9"/>
    <w:rsid w:val="00740DF9"/>
    <w:rsid w:val="00740DFB"/>
    <w:rsid w:val="00740E1F"/>
    <w:rsid w:val="00740E30"/>
    <w:rsid w:val="00740F28"/>
    <w:rsid w:val="00740F91"/>
    <w:rsid w:val="00740F9E"/>
    <w:rsid w:val="00740FA1"/>
    <w:rsid w:val="00740FDC"/>
    <w:rsid w:val="00741057"/>
    <w:rsid w:val="00741071"/>
    <w:rsid w:val="007410AC"/>
    <w:rsid w:val="00741117"/>
    <w:rsid w:val="0074112F"/>
    <w:rsid w:val="00741162"/>
    <w:rsid w:val="0074119B"/>
    <w:rsid w:val="00741213"/>
    <w:rsid w:val="00741298"/>
    <w:rsid w:val="0074130C"/>
    <w:rsid w:val="00741310"/>
    <w:rsid w:val="00741313"/>
    <w:rsid w:val="00741322"/>
    <w:rsid w:val="0074136B"/>
    <w:rsid w:val="00741376"/>
    <w:rsid w:val="0074143C"/>
    <w:rsid w:val="00741455"/>
    <w:rsid w:val="0074149E"/>
    <w:rsid w:val="007414BB"/>
    <w:rsid w:val="007414CA"/>
    <w:rsid w:val="007414CC"/>
    <w:rsid w:val="00741525"/>
    <w:rsid w:val="00741617"/>
    <w:rsid w:val="0074161F"/>
    <w:rsid w:val="00741642"/>
    <w:rsid w:val="00741649"/>
    <w:rsid w:val="0074167A"/>
    <w:rsid w:val="007416B8"/>
    <w:rsid w:val="007416E6"/>
    <w:rsid w:val="00741715"/>
    <w:rsid w:val="00741760"/>
    <w:rsid w:val="007417A8"/>
    <w:rsid w:val="007417DE"/>
    <w:rsid w:val="00741855"/>
    <w:rsid w:val="00741882"/>
    <w:rsid w:val="00741889"/>
    <w:rsid w:val="007418CB"/>
    <w:rsid w:val="007418D2"/>
    <w:rsid w:val="007418F7"/>
    <w:rsid w:val="00741943"/>
    <w:rsid w:val="00741992"/>
    <w:rsid w:val="007419AA"/>
    <w:rsid w:val="007419F1"/>
    <w:rsid w:val="00741A23"/>
    <w:rsid w:val="00741A56"/>
    <w:rsid w:val="00741AF8"/>
    <w:rsid w:val="00741AFD"/>
    <w:rsid w:val="00741B1E"/>
    <w:rsid w:val="00741B95"/>
    <w:rsid w:val="00741BA5"/>
    <w:rsid w:val="00741BF1"/>
    <w:rsid w:val="00741C09"/>
    <w:rsid w:val="00741C22"/>
    <w:rsid w:val="00741CA3"/>
    <w:rsid w:val="00741CE0"/>
    <w:rsid w:val="00741D01"/>
    <w:rsid w:val="00741D13"/>
    <w:rsid w:val="00741D59"/>
    <w:rsid w:val="00741DAC"/>
    <w:rsid w:val="00741DDE"/>
    <w:rsid w:val="00741EA7"/>
    <w:rsid w:val="00741F67"/>
    <w:rsid w:val="00741FE7"/>
    <w:rsid w:val="0074201D"/>
    <w:rsid w:val="007420A8"/>
    <w:rsid w:val="007420B6"/>
    <w:rsid w:val="0074210B"/>
    <w:rsid w:val="0074216D"/>
    <w:rsid w:val="007421A4"/>
    <w:rsid w:val="007421B6"/>
    <w:rsid w:val="007421CE"/>
    <w:rsid w:val="007421EF"/>
    <w:rsid w:val="0074224E"/>
    <w:rsid w:val="007422F7"/>
    <w:rsid w:val="00742323"/>
    <w:rsid w:val="0074232A"/>
    <w:rsid w:val="00742344"/>
    <w:rsid w:val="00742427"/>
    <w:rsid w:val="0074247F"/>
    <w:rsid w:val="00742483"/>
    <w:rsid w:val="007424C4"/>
    <w:rsid w:val="00742559"/>
    <w:rsid w:val="0074255E"/>
    <w:rsid w:val="00742596"/>
    <w:rsid w:val="00742597"/>
    <w:rsid w:val="007425AE"/>
    <w:rsid w:val="007425B5"/>
    <w:rsid w:val="007425BA"/>
    <w:rsid w:val="007425CF"/>
    <w:rsid w:val="00742616"/>
    <w:rsid w:val="0074264D"/>
    <w:rsid w:val="007426B8"/>
    <w:rsid w:val="007426C4"/>
    <w:rsid w:val="007426E2"/>
    <w:rsid w:val="007426E3"/>
    <w:rsid w:val="00742715"/>
    <w:rsid w:val="007427CC"/>
    <w:rsid w:val="007427D2"/>
    <w:rsid w:val="007427D5"/>
    <w:rsid w:val="007427F1"/>
    <w:rsid w:val="00742826"/>
    <w:rsid w:val="00742830"/>
    <w:rsid w:val="00742840"/>
    <w:rsid w:val="0074289A"/>
    <w:rsid w:val="0074289D"/>
    <w:rsid w:val="007428D3"/>
    <w:rsid w:val="007429C5"/>
    <w:rsid w:val="00742A49"/>
    <w:rsid w:val="00742A99"/>
    <w:rsid w:val="00742B02"/>
    <w:rsid w:val="00742B09"/>
    <w:rsid w:val="00742B67"/>
    <w:rsid w:val="00742B76"/>
    <w:rsid w:val="00742BB1"/>
    <w:rsid w:val="00742BBF"/>
    <w:rsid w:val="00742BD5"/>
    <w:rsid w:val="00742C2B"/>
    <w:rsid w:val="00742C4F"/>
    <w:rsid w:val="00742C72"/>
    <w:rsid w:val="00742CAF"/>
    <w:rsid w:val="00742CBD"/>
    <w:rsid w:val="00742CBF"/>
    <w:rsid w:val="00742CF1"/>
    <w:rsid w:val="00742CF8"/>
    <w:rsid w:val="00742D35"/>
    <w:rsid w:val="00742D5C"/>
    <w:rsid w:val="00742DB9"/>
    <w:rsid w:val="00742DCD"/>
    <w:rsid w:val="00742DE0"/>
    <w:rsid w:val="00742E06"/>
    <w:rsid w:val="00742E3C"/>
    <w:rsid w:val="00742E48"/>
    <w:rsid w:val="00742EC3"/>
    <w:rsid w:val="00742ED4"/>
    <w:rsid w:val="00742F2F"/>
    <w:rsid w:val="00742F44"/>
    <w:rsid w:val="00742F6F"/>
    <w:rsid w:val="00742F8C"/>
    <w:rsid w:val="00742FB1"/>
    <w:rsid w:val="00743020"/>
    <w:rsid w:val="0074309E"/>
    <w:rsid w:val="00743116"/>
    <w:rsid w:val="00743139"/>
    <w:rsid w:val="00743150"/>
    <w:rsid w:val="00743180"/>
    <w:rsid w:val="007431A1"/>
    <w:rsid w:val="007431A2"/>
    <w:rsid w:val="00743338"/>
    <w:rsid w:val="007433C9"/>
    <w:rsid w:val="00743432"/>
    <w:rsid w:val="007434B8"/>
    <w:rsid w:val="007434C4"/>
    <w:rsid w:val="007434F7"/>
    <w:rsid w:val="00743507"/>
    <w:rsid w:val="00743554"/>
    <w:rsid w:val="00743610"/>
    <w:rsid w:val="0074361E"/>
    <w:rsid w:val="0074361F"/>
    <w:rsid w:val="007436DE"/>
    <w:rsid w:val="00743712"/>
    <w:rsid w:val="00743749"/>
    <w:rsid w:val="0074376E"/>
    <w:rsid w:val="007437AF"/>
    <w:rsid w:val="007437C8"/>
    <w:rsid w:val="0074386D"/>
    <w:rsid w:val="0074388B"/>
    <w:rsid w:val="007438AE"/>
    <w:rsid w:val="007438DA"/>
    <w:rsid w:val="00743A7A"/>
    <w:rsid w:val="00743AD4"/>
    <w:rsid w:val="00743AE7"/>
    <w:rsid w:val="00743B00"/>
    <w:rsid w:val="00743B89"/>
    <w:rsid w:val="00743BBB"/>
    <w:rsid w:val="00743BFB"/>
    <w:rsid w:val="00743C3B"/>
    <w:rsid w:val="00743C5E"/>
    <w:rsid w:val="00743C88"/>
    <w:rsid w:val="00743C8C"/>
    <w:rsid w:val="00743CED"/>
    <w:rsid w:val="00743CF9"/>
    <w:rsid w:val="00743D66"/>
    <w:rsid w:val="00743D74"/>
    <w:rsid w:val="00743DA1"/>
    <w:rsid w:val="00743DE2"/>
    <w:rsid w:val="00743E44"/>
    <w:rsid w:val="00743E67"/>
    <w:rsid w:val="00743E96"/>
    <w:rsid w:val="00743F25"/>
    <w:rsid w:val="00743F60"/>
    <w:rsid w:val="00743F67"/>
    <w:rsid w:val="00743F87"/>
    <w:rsid w:val="00743F98"/>
    <w:rsid w:val="00743FB3"/>
    <w:rsid w:val="00743FD3"/>
    <w:rsid w:val="00743FF2"/>
    <w:rsid w:val="00744011"/>
    <w:rsid w:val="0074403A"/>
    <w:rsid w:val="0074408E"/>
    <w:rsid w:val="007441A9"/>
    <w:rsid w:val="007441BB"/>
    <w:rsid w:val="007441E3"/>
    <w:rsid w:val="007441F1"/>
    <w:rsid w:val="00744232"/>
    <w:rsid w:val="0074424A"/>
    <w:rsid w:val="0074425A"/>
    <w:rsid w:val="00744262"/>
    <w:rsid w:val="0074429F"/>
    <w:rsid w:val="007442BE"/>
    <w:rsid w:val="007443C8"/>
    <w:rsid w:val="007443E6"/>
    <w:rsid w:val="007443EE"/>
    <w:rsid w:val="0074440A"/>
    <w:rsid w:val="0074442C"/>
    <w:rsid w:val="00744484"/>
    <w:rsid w:val="00744491"/>
    <w:rsid w:val="007444A2"/>
    <w:rsid w:val="007444B9"/>
    <w:rsid w:val="007444C6"/>
    <w:rsid w:val="007444F5"/>
    <w:rsid w:val="00744504"/>
    <w:rsid w:val="00744514"/>
    <w:rsid w:val="0074452A"/>
    <w:rsid w:val="00744567"/>
    <w:rsid w:val="00744601"/>
    <w:rsid w:val="00744615"/>
    <w:rsid w:val="0074463E"/>
    <w:rsid w:val="00744667"/>
    <w:rsid w:val="007446C6"/>
    <w:rsid w:val="0074471F"/>
    <w:rsid w:val="00744778"/>
    <w:rsid w:val="00744793"/>
    <w:rsid w:val="007447BB"/>
    <w:rsid w:val="007447D6"/>
    <w:rsid w:val="007448CC"/>
    <w:rsid w:val="00744950"/>
    <w:rsid w:val="007449B5"/>
    <w:rsid w:val="007449C0"/>
    <w:rsid w:val="007449F2"/>
    <w:rsid w:val="00744A49"/>
    <w:rsid w:val="00744A68"/>
    <w:rsid w:val="00744A7E"/>
    <w:rsid w:val="00744B4E"/>
    <w:rsid w:val="00744B78"/>
    <w:rsid w:val="00744B91"/>
    <w:rsid w:val="00744C0C"/>
    <w:rsid w:val="00744C48"/>
    <w:rsid w:val="00744C58"/>
    <w:rsid w:val="00744C66"/>
    <w:rsid w:val="00744C6C"/>
    <w:rsid w:val="00744CBB"/>
    <w:rsid w:val="00744CD7"/>
    <w:rsid w:val="00744D66"/>
    <w:rsid w:val="00744DC1"/>
    <w:rsid w:val="00744DE2"/>
    <w:rsid w:val="00744E69"/>
    <w:rsid w:val="00744EEB"/>
    <w:rsid w:val="00744F48"/>
    <w:rsid w:val="00744F62"/>
    <w:rsid w:val="00744FCF"/>
    <w:rsid w:val="00744FED"/>
    <w:rsid w:val="0074502C"/>
    <w:rsid w:val="00745032"/>
    <w:rsid w:val="00745075"/>
    <w:rsid w:val="007450A0"/>
    <w:rsid w:val="007450E6"/>
    <w:rsid w:val="007451F0"/>
    <w:rsid w:val="0074520C"/>
    <w:rsid w:val="0074523A"/>
    <w:rsid w:val="00745293"/>
    <w:rsid w:val="0074529A"/>
    <w:rsid w:val="007452B2"/>
    <w:rsid w:val="007452F2"/>
    <w:rsid w:val="0074532C"/>
    <w:rsid w:val="00745452"/>
    <w:rsid w:val="00745560"/>
    <w:rsid w:val="007455D8"/>
    <w:rsid w:val="0074565A"/>
    <w:rsid w:val="00745691"/>
    <w:rsid w:val="007456E9"/>
    <w:rsid w:val="00745706"/>
    <w:rsid w:val="00745742"/>
    <w:rsid w:val="0074575F"/>
    <w:rsid w:val="00745773"/>
    <w:rsid w:val="007457A5"/>
    <w:rsid w:val="007457CF"/>
    <w:rsid w:val="007457F9"/>
    <w:rsid w:val="00745802"/>
    <w:rsid w:val="00745841"/>
    <w:rsid w:val="00745872"/>
    <w:rsid w:val="0074587B"/>
    <w:rsid w:val="007458A4"/>
    <w:rsid w:val="007458EA"/>
    <w:rsid w:val="007458F3"/>
    <w:rsid w:val="0074593A"/>
    <w:rsid w:val="00745970"/>
    <w:rsid w:val="00745982"/>
    <w:rsid w:val="007459D2"/>
    <w:rsid w:val="007459E6"/>
    <w:rsid w:val="00745A16"/>
    <w:rsid w:val="00745A56"/>
    <w:rsid w:val="00745A78"/>
    <w:rsid w:val="00745A79"/>
    <w:rsid w:val="00745A81"/>
    <w:rsid w:val="00745A92"/>
    <w:rsid w:val="00745A97"/>
    <w:rsid w:val="00745ABD"/>
    <w:rsid w:val="00745B38"/>
    <w:rsid w:val="00745B55"/>
    <w:rsid w:val="00745B7A"/>
    <w:rsid w:val="00745BED"/>
    <w:rsid w:val="00745C6E"/>
    <w:rsid w:val="00745D3C"/>
    <w:rsid w:val="00745D72"/>
    <w:rsid w:val="00745D76"/>
    <w:rsid w:val="00745D7F"/>
    <w:rsid w:val="00745E15"/>
    <w:rsid w:val="00745E5A"/>
    <w:rsid w:val="00745E62"/>
    <w:rsid w:val="00745E7F"/>
    <w:rsid w:val="00745E9D"/>
    <w:rsid w:val="00745F2E"/>
    <w:rsid w:val="00745FAA"/>
    <w:rsid w:val="00745FFE"/>
    <w:rsid w:val="0074601B"/>
    <w:rsid w:val="0074601C"/>
    <w:rsid w:val="00746045"/>
    <w:rsid w:val="007460B5"/>
    <w:rsid w:val="00746133"/>
    <w:rsid w:val="0074619F"/>
    <w:rsid w:val="007461DE"/>
    <w:rsid w:val="007461F8"/>
    <w:rsid w:val="0074621C"/>
    <w:rsid w:val="0074624E"/>
    <w:rsid w:val="0074626C"/>
    <w:rsid w:val="0074626E"/>
    <w:rsid w:val="007462E2"/>
    <w:rsid w:val="007462F6"/>
    <w:rsid w:val="00746326"/>
    <w:rsid w:val="00746329"/>
    <w:rsid w:val="0074632E"/>
    <w:rsid w:val="0074633A"/>
    <w:rsid w:val="00746381"/>
    <w:rsid w:val="0074641E"/>
    <w:rsid w:val="00746484"/>
    <w:rsid w:val="0074648F"/>
    <w:rsid w:val="007464BC"/>
    <w:rsid w:val="007464CE"/>
    <w:rsid w:val="0074652F"/>
    <w:rsid w:val="00746531"/>
    <w:rsid w:val="00746544"/>
    <w:rsid w:val="0074658A"/>
    <w:rsid w:val="007465EA"/>
    <w:rsid w:val="007466A4"/>
    <w:rsid w:val="007466BD"/>
    <w:rsid w:val="007466ED"/>
    <w:rsid w:val="0074670E"/>
    <w:rsid w:val="00746739"/>
    <w:rsid w:val="0074674C"/>
    <w:rsid w:val="0074675C"/>
    <w:rsid w:val="00746768"/>
    <w:rsid w:val="007467DA"/>
    <w:rsid w:val="00746850"/>
    <w:rsid w:val="007468A3"/>
    <w:rsid w:val="007468A6"/>
    <w:rsid w:val="007468F7"/>
    <w:rsid w:val="007468FF"/>
    <w:rsid w:val="00746923"/>
    <w:rsid w:val="0074698D"/>
    <w:rsid w:val="00746998"/>
    <w:rsid w:val="007469CC"/>
    <w:rsid w:val="00746A7E"/>
    <w:rsid w:val="00746AB9"/>
    <w:rsid w:val="00746AF1"/>
    <w:rsid w:val="00746AF4"/>
    <w:rsid w:val="00746B3B"/>
    <w:rsid w:val="00746B72"/>
    <w:rsid w:val="00746BFD"/>
    <w:rsid w:val="00746C03"/>
    <w:rsid w:val="00746C16"/>
    <w:rsid w:val="00746C2A"/>
    <w:rsid w:val="00746C38"/>
    <w:rsid w:val="00746C6A"/>
    <w:rsid w:val="00746C6E"/>
    <w:rsid w:val="00746C7B"/>
    <w:rsid w:val="00746C84"/>
    <w:rsid w:val="00746CB2"/>
    <w:rsid w:val="00746D65"/>
    <w:rsid w:val="00746D9B"/>
    <w:rsid w:val="00746E01"/>
    <w:rsid w:val="00746E0B"/>
    <w:rsid w:val="00746E13"/>
    <w:rsid w:val="00746E67"/>
    <w:rsid w:val="00746E99"/>
    <w:rsid w:val="00746EB8"/>
    <w:rsid w:val="00746ECC"/>
    <w:rsid w:val="00746EED"/>
    <w:rsid w:val="00746F1F"/>
    <w:rsid w:val="00746F27"/>
    <w:rsid w:val="00746F65"/>
    <w:rsid w:val="00746FBD"/>
    <w:rsid w:val="00746FBF"/>
    <w:rsid w:val="00746FFF"/>
    <w:rsid w:val="00747007"/>
    <w:rsid w:val="00747043"/>
    <w:rsid w:val="007470A9"/>
    <w:rsid w:val="007470CD"/>
    <w:rsid w:val="00747243"/>
    <w:rsid w:val="0074726B"/>
    <w:rsid w:val="007472A4"/>
    <w:rsid w:val="0074732A"/>
    <w:rsid w:val="00747339"/>
    <w:rsid w:val="00747383"/>
    <w:rsid w:val="00747400"/>
    <w:rsid w:val="00747412"/>
    <w:rsid w:val="00747438"/>
    <w:rsid w:val="00747445"/>
    <w:rsid w:val="00747454"/>
    <w:rsid w:val="00747484"/>
    <w:rsid w:val="007474F7"/>
    <w:rsid w:val="00747517"/>
    <w:rsid w:val="007475B9"/>
    <w:rsid w:val="007475DC"/>
    <w:rsid w:val="00747624"/>
    <w:rsid w:val="0074762A"/>
    <w:rsid w:val="00747631"/>
    <w:rsid w:val="00747672"/>
    <w:rsid w:val="007476CB"/>
    <w:rsid w:val="007476CE"/>
    <w:rsid w:val="00747752"/>
    <w:rsid w:val="007477E4"/>
    <w:rsid w:val="0074781E"/>
    <w:rsid w:val="007478FC"/>
    <w:rsid w:val="00747905"/>
    <w:rsid w:val="00747911"/>
    <w:rsid w:val="0074793C"/>
    <w:rsid w:val="00747965"/>
    <w:rsid w:val="007479E3"/>
    <w:rsid w:val="00747A27"/>
    <w:rsid w:val="00747A37"/>
    <w:rsid w:val="00747A4F"/>
    <w:rsid w:val="00747A6D"/>
    <w:rsid w:val="00747A88"/>
    <w:rsid w:val="00747AC8"/>
    <w:rsid w:val="00747AD1"/>
    <w:rsid w:val="00747AD2"/>
    <w:rsid w:val="00747AE6"/>
    <w:rsid w:val="00747B09"/>
    <w:rsid w:val="00747BD6"/>
    <w:rsid w:val="00747BDB"/>
    <w:rsid w:val="00747BFF"/>
    <w:rsid w:val="00747C22"/>
    <w:rsid w:val="00747C31"/>
    <w:rsid w:val="00747C57"/>
    <w:rsid w:val="00747C82"/>
    <w:rsid w:val="00747CAA"/>
    <w:rsid w:val="00747CC8"/>
    <w:rsid w:val="00747CE4"/>
    <w:rsid w:val="00747DAC"/>
    <w:rsid w:val="00747DD9"/>
    <w:rsid w:val="00747DE2"/>
    <w:rsid w:val="00747DF0"/>
    <w:rsid w:val="00747DF8"/>
    <w:rsid w:val="00747DFD"/>
    <w:rsid w:val="00747E08"/>
    <w:rsid w:val="00747E29"/>
    <w:rsid w:val="00747E60"/>
    <w:rsid w:val="00747E98"/>
    <w:rsid w:val="00747EB7"/>
    <w:rsid w:val="00747EFE"/>
    <w:rsid w:val="00747F2C"/>
    <w:rsid w:val="00747F49"/>
    <w:rsid w:val="00748EE4"/>
    <w:rsid w:val="0074A8D8"/>
    <w:rsid w:val="00750058"/>
    <w:rsid w:val="00750092"/>
    <w:rsid w:val="007500C6"/>
    <w:rsid w:val="007500D8"/>
    <w:rsid w:val="007500FC"/>
    <w:rsid w:val="0075014B"/>
    <w:rsid w:val="00750151"/>
    <w:rsid w:val="0075018C"/>
    <w:rsid w:val="007501C7"/>
    <w:rsid w:val="007501D1"/>
    <w:rsid w:val="007501DC"/>
    <w:rsid w:val="00750267"/>
    <w:rsid w:val="00750296"/>
    <w:rsid w:val="0075029B"/>
    <w:rsid w:val="007502B7"/>
    <w:rsid w:val="007502D1"/>
    <w:rsid w:val="007502D2"/>
    <w:rsid w:val="007502F5"/>
    <w:rsid w:val="00750315"/>
    <w:rsid w:val="00750380"/>
    <w:rsid w:val="00750386"/>
    <w:rsid w:val="00750395"/>
    <w:rsid w:val="0075039F"/>
    <w:rsid w:val="007503A6"/>
    <w:rsid w:val="007503D4"/>
    <w:rsid w:val="0075045B"/>
    <w:rsid w:val="0075047D"/>
    <w:rsid w:val="00750494"/>
    <w:rsid w:val="0075051F"/>
    <w:rsid w:val="00750543"/>
    <w:rsid w:val="007505B5"/>
    <w:rsid w:val="007505EA"/>
    <w:rsid w:val="00750611"/>
    <w:rsid w:val="00750652"/>
    <w:rsid w:val="007506C5"/>
    <w:rsid w:val="00750760"/>
    <w:rsid w:val="0075076A"/>
    <w:rsid w:val="0075078F"/>
    <w:rsid w:val="007507A5"/>
    <w:rsid w:val="007507D3"/>
    <w:rsid w:val="007507DA"/>
    <w:rsid w:val="007507EF"/>
    <w:rsid w:val="00750846"/>
    <w:rsid w:val="0075089A"/>
    <w:rsid w:val="007508A9"/>
    <w:rsid w:val="007508BA"/>
    <w:rsid w:val="007508D4"/>
    <w:rsid w:val="007508EF"/>
    <w:rsid w:val="007509FF"/>
    <w:rsid w:val="00750A3A"/>
    <w:rsid w:val="00750A3C"/>
    <w:rsid w:val="00750ABA"/>
    <w:rsid w:val="00750B7E"/>
    <w:rsid w:val="00750C10"/>
    <w:rsid w:val="00750C2F"/>
    <w:rsid w:val="00750C40"/>
    <w:rsid w:val="00750C69"/>
    <w:rsid w:val="00750C71"/>
    <w:rsid w:val="00750CA9"/>
    <w:rsid w:val="00750CB1"/>
    <w:rsid w:val="00750CDB"/>
    <w:rsid w:val="00750E1E"/>
    <w:rsid w:val="00750E35"/>
    <w:rsid w:val="00750E36"/>
    <w:rsid w:val="00750E91"/>
    <w:rsid w:val="00750ECC"/>
    <w:rsid w:val="00750F1B"/>
    <w:rsid w:val="00750F32"/>
    <w:rsid w:val="00750F6A"/>
    <w:rsid w:val="00750FE4"/>
    <w:rsid w:val="00750FF3"/>
    <w:rsid w:val="0075101F"/>
    <w:rsid w:val="00751020"/>
    <w:rsid w:val="00751034"/>
    <w:rsid w:val="007510D6"/>
    <w:rsid w:val="007510F5"/>
    <w:rsid w:val="00751112"/>
    <w:rsid w:val="0075111F"/>
    <w:rsid w:val="00751136"/>
    <w:rsid w:val="007511C9"/>
    <w:rsid w:val="007511FC"/>
    <w:rsid w:val="0075127C"/>
    <w:rsid w:val="007513F1"/>
    <w:rsid w:val="00751400"/>
    <w:rsid w:val="0075140E"/>
    <w:rsid w:val="00751414"/>
    <w:rsid w:val="00751417"/>
    <w:rsid w:val="00751438"/>
    <w:rsid w:val="00751458"/>
    <w:rsid w:val="0075145A"/>
    <w:rsid w:val="00751465"/>
    <w:rsid w:val="00751495"/>
    <w:rsid w:val="0075149D"/>
    <w:rsid w:val="007514FD"/>
    <w:rsid w:val="00751521"/>
    <w:rsid w:val="0075158E"/>
    <w:rsid w:val="00751597"/>
    <w:rsid w:val="007515D3"/>
    <w:rsid w:val="007515F6"/>
    <w:rsid w:val="00751606"/>
    <w:rsid w:val="0075163D"/>
    <w:rsid w:val="00751643"/>
    <w:rsid w:val="0075164D"/>
    <w:rsid w:val="007516D3"/>
    <w:rsid w:val="00751795"/>
    <w:rsid w:val="007517B1"/>
    <w:rsid w:val="007517FF"/>
    <w:rsid w:val="0075187C"/>
    <w:rsid w:val="007518A7"/>
    <w:rsid w:val="007518D8"/>
    <w:rsid w:val="007518FF"/>
    <w:rsid w:val="00751956"/>
    <w:rsid w:val="00751A24"/>
    <w:rsid w:val="00751A27"/>
    <w:rsid w:val="00751A29"/>
    <w:rsid w:val="00751A40"/>
    <w:rsid w:val="00751ABD"/>
    <w:rsid w:val="00751AD8"/>
    <w:rsid w:val="00751AF5"/>
    <w:rsid w:val="00751B07"/>
    <w:rsid w:val="00751B35"/>
    <w:rsid w:val="00751BCB"/>
    <w:rsid w:val="00751C25"/>
    <w:rsid w:val="00751C5C"/>
    <w:rsid w:val="00751CD3"/>
    <w:rsid w:val="00751D7F"/>
    <w:rsid w:val="00751E28"/>
    <w:rsid w:val="00751E87"/>
    <w:rsid w:val="00751EDE"/>
    <w:rsid w:val="00751F44"/>
    <w:rsid w:val="00751FA0"/>
    <w:rsid w:val="00751FB8"/>
    <w:rsid w:val="00751FFF"/>
    <w:rsid w:val="00752014"/>
    <w:rsid w:val="00752030"/>
    <w:rsid w:val="0075204A"/>
    <w:rsid w:val="0075208A"/>
    <w:rsid w:val="00752109"/>
    <w:rsid w:val="00752148"/>
    <w:rsid w:val="0075214F"/>
    <w:rsid w:val="00752157"/>
    <w:rsid w:val="00752184"/>
    <w:rsid w:val="0075219D"/>
    <w:rsid w:val="007521D0"/>
    <w:rsid w:val="0075221C"/>
    <w:rsid w:val="007522A6"/>
    <w:rsid w:val="007522D1"/>
    <w:rsid w:val="0075232B"/>
    <w:rsid w:val="00752376"/>
    <w:rsid w:val="0075238F"/>
    <w:rsid w:val="0075239A"/>
    <w:rsid w:val="007523C3"/>
    <w:rsid w:val="007523F8"/>
    <w:rsid w:val="007523FB"/>
    <w:rsid w:val="007523FD"/>
    <w:rsid w:val="007524B8"/>
    <w:rsid w:val="0075255F"/>
    <w:rsid w:val="007525E0"/>
    <w:rsid w:val="007525EA"/>
    <w:rsid w:val="0075263D"/>
    <w:rsid w:val="0075265B"/>
    <w:rsid w:val="007526B3"/>
    <w:rsid w:val="007526D0"/>
    <w:rsid w:val="00752705"/>
    <w:rsid w:val="0075271B"/>
    <w:rsid w:val="0075277B"/>
    <w:rsid w:val="00752783"/>
    <w:rsid w:val="0075278E"/>
    <w:rsid w:val="007527AF"/>
    <w:rsid w:val="007527C5"/>
    <w:rsid w:val="007527D5"/>
    <w:rsid w:val="00752843"/>
    <w:rsid w:val="007528BA"/>
    <w:rsid w:val="007528E9"/>
    <w:rsid w:val="007528EE"/>
    <w:rsid w:val="00752971"/>
    <w:rsid w:val="00752995"/>
    <w:rsid w:val="007529C3"/>
    <w:rsid w:val="00752A2D"/>
    <w:rsid w:val="00752A35"/>
    <w:rsid w:val="00752A3D"/>
    <w:rsid w:val="00752A73"/>
    <w:rsid w:val="00752A8D"/>
    <w:rsid w:val="00752AD3"/>
    <w:rsid w:val="00752B1A"/>
    <w:rsid w:val="00752B25"/>
    <w:rsid w:val="00752B54"/>
    <w:rsid w:val="00752B6E"/>
    <w:rsid w:val="00752B9A"/>
    <w:rsid w:val="00752BAD"/>
    <w:rsid w:val="00752BC7"/>
    <w:rsid w:val="00752C27"/>
    <w:rsid w:val="00752C2C"/>
    <w:rsid w:val="00752C49"/>
    <w:rsid w:val="00752C4D"/>
    <w:rsid w:val="00752C54"/>
    <w:rsid w:val="00752C87"/>
    <w:rsid w:val="00752CB2"/>
    <w:rsid w:val="00752CC2"/>
    <w:rsid w:val="00752CE5"/>
    <w:rsid w:val="00752CE8"/>
    <w:rsid w:val="00752D0D"/>
    <w:rsid w:val="00752D31"/>
    <w:rsid w:val="00752D44"/>
    <w:rsid w:val="00752D6B"/>
    <w:rsid w:val="00752D6F"/>
    <w:rsid w:val="00752D88"/>
    <w:rsid w:val="00752D98"/>
    <w:rsid w:val="00752DAD"/>
    <w:rsid w:val="00752DDF"/>
    <w:rsid w:val="00752DE8"/>
    <w:rsid w:val="00752E0B"/>
    <w:rsid w:val="00752E13"/>
    <w:rsid w:val="00752F14"/>
    <w:rsid w:val="00752F89"/>
    <w:rsid w:val="00752F9B"/>
    <w:rsid w:val="00752FBD"/>
    <w:rsid w:val="0075300D"/>
    <w:rsid w:val="00753034"/>
    <w:rsid w:val="0075303A"/>
    <w:rsid w:val="00753063"/>
    <w:rsid w:val="007530A8"/>
    <w:rsid w:val="007530F1"/>
    <w:rsid w:val="0075310E"/>
    <w:rsid w:val="00753173"/>
    <w:rsid w:val="00753188"/>
    <w:rsid w:val="007531AC"/>
    <w:rsid w:val="007531B3"/>
    <w:rsid w:val="007531BC"/>
    <w:rsid w:val="007531C1"/>
    <w:rsid w:val="00753205"/>
    <w:rsid w:val="00753224"/>
    <w:rsid w:val="00753250"/>
    <w:rsid w:val="00753258"/>
    <w:rsid w:val="0075326D"/>
    <w:rsid w:val="00753297"/>
    <w:rsid w:val="007532A6"/>
    <w:rsid w:val="007532A9"/>
    <w:rsid w:val="007532F9"/>
    <w:rsid w:val="00753300"/>
    <w:rsid w:val="0075333C"/>
    <w:rsid w:val="00753397"/>
    <w:rsid w:val="007533B2"/>
    <w:rsid w:val="00753499"/>
    <w:rsid w:val="00753576"/>
    <w:rsid w:val="007535CA"/>
    <w:rsid w:val="00753626"/>
    <w:rsid w:val="0075365C"/>
    <w:rsid w:val="007536A6"/>
    <w:rsid w:val="007536AF"/>
    <w:rsid w:val="007536BC"/>
    <w:rsid w:val="007536C0"/>
    <w:rsid w:val="007536DB"/>
    <w:rsid w:val="00753701"/>
    <w:rsid w:val="0075370C"/>
    <w:rsid w:val="0075374E"/>
    <w:rsid w:val="00753767"/>
    <w:rsid w:val="007537C1"/>
    <w:rsid w:val="007537C2"/>
    <w:rsid w:val="00753820"/>
    <w:rsid w:val="0075385B"/>
    <w:rsid w:val="0075386E"/>
    <w:rsid w:val="00753870"/>
    <w:rsid w:val="007538BD"/>
    <w:rsid w:val="007538CA"/>
    <w:rsid w:val="0075396E"/>
    <w:rsid w:val="007539CF"/>
    <w:rsid w:val="007539EE"/>
    <w:rsid w:val="00753A18"/>
    <w:rsid w:val="00753AF7"/>
    <w:rsid w:val="00753AFD"/>
    <w:rsid w:val="00753B4E"/>
    <w:rsid w:val="00753B7E"/>
    <w:rsid w:val="00753BBD"/>
    <w:rsid w:val="00753C1D"/>
    <w:rsid w:val="00753C22"/>
    <w:rsid w:val="00753C49"/>
    <w:rsid w:val="00753C56"/>
    <w:rsid w:val="00753C7C"/>
    <w:rsid w:val="00753C7E"/>
    <w:rsid w:val="00753CA4"/>
    <w:rsid w:val="00753D0C"/>
    <w:rsid w:val="00753D66"/>
    <w:rsid w:val="00753E68"/>
    <w:rsid w:val="00753E6B"/>
    <w:rsid w:val="00753E7F"/>
    <w:rsid w:val="00753EF5"/>
    <w:rsid w:val="00753F8C"/>
    <w:rsid w:val="00753F99"/>
    <w:rsid w:val="00753FC3"/>
    <w:rsid w:val="00754033"/>
    <w:rsid w:val="00754037"/>
    <w:rsid w:val="00754042"/>
    <w:rsid w:val="007540EA"/>
    <w:rsid w:val="0075411B"/>
    <w:rsid w:val="0075415D"/>
    <w:rsid w:val="00754167"/>
    <w:rsid w:val="007541E7"/>
    <w:rsid w:val="0075420F"/>
    <w:rsid w:val="00754299"/>
    <w:rsid w:val="007542C9"/>
    <w:rsid w:val="00754332"/>
    <w:rsid w:val="00754334"/>
    <w:rsid w:val="0075436E"/>
    <w:rsid w:val="0075439D"/>
    <w:rsid w:val="007543C4"/>
    <w:rsid w:val="007543D8"/>
    <w:rsid w:val="00754402"/>
    <w:rsid w:val="00754411"/>
    <w:rsid w:val="00754434"/>
    <w:rsid w:val="00754456"/>
    <w:rsid w:val="00754483"/>
    <w:rsid w:val="007544C0"/>
    <w:rsid w:val="007544EB"/>
    <w:rsid w:val="00754558"/>
    <w:rsid w:val="007545A7"/>
    <w:rsid w:val="007545F1"/>
    <w:rsid w:val="00754667"/>
    <w:rsid w:val="00754669"/>
    <w:rsid w:val="007546A0"/>
    <w:rsid w:val="007546BE"/>
    <w:rsid w:val="007546F8"/>
    <w:rsid w:val="007546FE"/>
    <w:rsid w:val="00754794"/>
    <w:rsid w:val="007547EE"/>
    <w:rsid w:val="0075482B"/>
    <w:rsid w:val="00754838"/>
    <w:rsid w:val="00754879"/>
    <w:rsid w:val="007548D7"/>
    <w:rsid w:val="007548F1"/>
    <w:rsid w:val="0075491B"/>
    <w:rsid w:val="00754946"/>
    <w:rsid w:val="0075495A"/>
    <w:rsid w:val="0075495D"/>
    <w:rsid w:val="00754987"/>
    <w:rsid w:val="0075499C"/>
    <w:rsid w:val="00754A33"/>
    <w:rsid w:val="00754A94"/>
    <w:rsid w:val="00754AA3"/>
    <w:rsid w:val="00754AAD"/>
    <w:rsid w:val="00754ABE"/>
    <w:rsid w:val="00754AC3"/>
    <w:rsid w:val="00754AF7"/>
    <w:rsid w:val="00754B1B"/>
    <w:rsid w:val="00754B8B"/>
    <w:rsid w:val="00754BAA"/>
    <w:rsid w:val="00754C05"/>
    <w:rsid w:val="00754C6A"/>
    <w:rsid w:val="00754CD3"/>
    <w:rsid w:val="00754D2C"/>
    <w:rsid w:val="00754D2F"/>
    <w:rsid w:val="00754D81"/>
    <w:rsid w:val="00754DA9"/>
    <w:rsid w:val="00754DDA"/>
    <w:rsid w:val="00754E85"/>
    <w:rsid w:val="00754EE5"/>
    <w:rsid w:val="00754F1A"/>
    <w:rsid w:val="00754F81"/>
    <w:rsid w:val="00754F9E"/>
    <w:rsid w:val="00754FFD"/>
    <w:rsid w:val="00755009"/>
    <w:rsid w:val="00755069"/>
    <w:rsid w:val="007550A9"/>
    <w:rsid w:val="007550AA"/>
    <w:rsid w:val="007550B4"/>
    <w:rsid w:val="007550BB"/>
    <w:rsid w:val="007550CD"/>
    <w:rsid w:val="00755110"/>
    <w:rsid w:val="0075511C"/>
    <w:rsid w:val="0075511F"/>
    <w:rsid w:val="0075513B"/>
    <w:rsid w:val="00755141"/>
    <w:rsid w:val="0075519A"/>
    <w:rsid w:val="007551CB"/>
    <w:rsid w:val="00755231"/>
    <w:rsid w:val="007552DE"/>
    <w:rsid w:val="00755328"/>
    <w:rsid w:val="0075538A"/>
    <w:rsid w:val="00755396"/>
    <w:rsid w:val="007553CD"/>
    <w:rsid w:val="007553EF"/>
    <w:rsid w:val="0075542D"/>
    <w:rsid w:val="0075543D"/>
    <w:rsid w:val="0075547D"/>
    <w:rsid w:val="0075547E"/>
    <w:rsid w:val="007554BF"/>
    <w:rsid w:val="007554E5"/>
    <w:rsid w:val="00755615"/>
    <w:rsid w:val="00755669"/>
    <w:rsid w:val="00755685"/>
    <w:rsid w:val="00755692"/>
    <w:rsid w:val="007556B6"/>
    <w:rsid w:val="00755819"/>
    <w:rsid w:val="0075584D"/>
    <w:rsid w:val="0075584E"/>
    <w:rsid w:val="00755867"/>
    <w:rsid w:val="00755873"/>
    <w:rsid w:val="007558F0"/>
    <w:rsid w:val="007558F4"/>
    <w:rsid w:val="0075594F"/>
    <w:rsid w:val="0075596E"/>
    <w:rsid w:val="007559AB"/>
    <w:rsid w:val="007559CD"/>
    <w:rsid w:val="00755A0C"/>
    <w:rsid w:val="00755A15"/>
    <w:rsid w:val="00755ABA"/>
    <w:rsid w:val="00755B46"/>
    <w:rsid w:val="00755B90"/>
    <w:rsid w:val="00755BB4"/>
    <w:rsid w:val="00755BE0"/>
    <w:rsid w:val="00755CC1"/>
    <w:rsid w:val="00755CE7"/>
    <w:rsid w:val="00755E07"/>
    <w:rsid w:val="00755E43"/>
    <w:rsid w:val="00755E53"/>
    <w:rsid w:val="00755EA5"/>
    <w:rsid w:val="00755F1D"/>
    <w:rsid w:val="00755F43"/>
    <w:rsid w:val="00755F64"/>
    <w:rsid w:val="00755F8A"/>
    <w:rsid w:val="00755F9C"/>
    <w:rsid w:val="00755FD1"/>
    <w:rsid w:val="0075605E"/>
    <w:rsid w:val="0075613B"/>
    <w:rsid w:val="0075615C"/>
    <w:rsid w:val="00756182"/>
    <w:rsid w:val="007561DE"/>
    <w:rsid w:val="0075625F"/>
    <w:rsid w:val="007562C0"/>
    <w:rsid w:val="007562FD"/>
    <w:rsid w:val="0075633B"/>
    <w:rsid w:val="0075636F"/>
    <w:rsid w:val="00756372"/>
    <w:rsid w:val="00756381"/>
    <w:rsid w:val="00756390"/>
    <w:rsid w:val="00756431"/>
    <w:rsid w:val="00756481"/>
    <w:rsid w:val="00756483"/>
    <w:rsid w:val="007565A7"/>
    <w:rsid w:val="007565AF"/>
    <w:rsid w:val="007565B9"/>
    <w:rsid w:val="007565C0"/>
    <w:rsid w:val="007565DD"/>
    <w:rsid w:val="00756636"/>
    <w:rsid w:val="0075669A"/>
    <w:rsid w:val="00756707"/>
    <w:rsid w:val="00756714"/>
    <w:rsid w:val="00756727"/>
    <w:rsid w:val="007567DC"/>
    <w:rsid w:val="007567EF"/>
    <w:rsid w:val="00756844"/>
    <w:rsid w:val="007568B8"/>
    <w:rsid w:val="007568CF"/>
    <w:rsid w:val="007568FA"/>
    <w:rsid w:val="00756912"/>
    <w:rsid w:val="00756957"/>
    <w:rsid w:val="007569A5"/>
    <w:rsid w:val="007569DA"/>
    <w:rsid w:val="00756A31"/>
    <w:rsid w:val="00756A4E"/>
    <w:rsid w:val="00756A57"/>
    <w:rsid w:val="00756A68"/>
    <w:rsid w:val="00756A7A"/>
    <w:rsid w:val="00756A89"/>
    <w:rsid w:val="00756B12"/>
    <w:rsid w:val="00756B21"/>
    <w:rsid w:val="00756BC4"/>
    <w:rsid w:val="00756BD6"/>
    <w:rsid w:val="00756C0E"/>
    <w:rsid w:val="00756C53"/>
    <w:rsid w:val="00756C9B"/>
    <w:rsid w:val="00756D2A"/>
    <w:rsid w:val="00756D36"/>
    <w:rsid w:val="00756D77"/>
    <w:rsid w:val="00756D85"/>
    <w:rsid w:val="00756D99"/>
    <w:rsid w:val="00756D9F"/>
    <w:rsid w:val="00756E24"/>
    <w:rsid w:val="00756E2E"/>
    <w:rsid w:val="00756E38"/>
    <w:rsid w:val="00756E4E"/>
    <w:rsid w:val="00756E9F"/>
    <w:rsid w:val="00756EA2"/>
    <w:rsid w:val="00756F00"/>
    <w:rsid w:val="00756F7F"/>
    <w:rsid w:val="00756FFE"/>
    <w:rsid w:val="00757069"/>
    <w:rsid w:val="007570A6"/>
    <w:rsid w:val="007570CD"/>
    <w:rsid w:val="007570E1"/>
    <w:rsid w:val="007570FB"/>
    <w:rsid w:val="0075711C"/>
    <w:rsid w:val="00757176"/>
    <w:rsid w:val="007571B2"/>
    <w:rsid w:val="007571C8"/>
    <w:rsid w:val="007571CC"/>
    <w:rsid w:val="00757256"/>
    <w:rsid w:val="00757274"/>
    <w:rsid w:val="007572A2"/>
    <w:rsid w:val="007572B3"/>
    <w:rsid w:val="007572FB"/>
    <w:rsid w:val="00757315"/>
    <w:rsid w:val="00757332"/>
    <w:rsid w:val="00757334"/>
    <w:rsid w:val="0075738F"/>
    <w:rsid w:val="007573D4"/>
    <w:rsid w:val="007573F5"/>
    <w:rsid w:val="00757412"/>
    <w:rsid w:val="0075743A"/>
    <w:rsid w:val="0075749F"/>
    <w:rsid w:val="00757590"/>
    <w:rsid w:val="00757593"/>
    <w:rsid w:val="007575D4"/>
    <w:rsid w:val="007576FB"/>
    <w:rsid w:val="00757839"/>
    <w:rsid w:val="007578D4"/>
    <w:rsid w:val="007578DB"/>
    <w:rsid w:val="00757903"/>
    <w:rsid w:val="00757939"/>
    <w:rsid w:val="00757942"/>
    <w:rsid w:val="00757965"/>
    <w:rsid w:val="00757A84"/>
    <w:rsid w:val="00757AA8"/>
    <w:rsid w:val="00757AA9"/>
    <w:rsid w:val="00757ACC"/>
    <w:rsid w:val="00757AE6"/>
    <w:rsid w:val="00757AF9"/>
    <w:rsid w:val="00757B1B"/>
    <w:rsid w:val="00757BAD"/>
    <w:rsid w:val="00757C2D"/>
    <w:rsid w:val="00757CB4"/>
    <w:rsid w:val="00757CE8"/>
    <w:rsid w:val="00757D2C"/>
    <w:rsid w:val="00757D3E"/>
    <w:rsid w:val="00757D72"/>
    <w:rsid w:val="00757D76"/>
    <w:rsid w:val="00757DA0"/>
    <w:rsid w:val="00757DAE"/>
    <w:rsid w:val="00757DC0"/>
    <w:rsid w:val="00757DF8"/>
    <w:rsid w:val="00757E08"/>
    <w:rsid w:val="00757EA3"/>
    <w:rsid w:val="00757EBF"/>
    <w:rsid w:val="00757F2E"/>
    <w:rsid w:val="00757F34"/>
    <w:rsid w:val="00757F5B"/>
    <w:rsid w:val="00757F68"/>
    <w:rsid w:val="00757F9A"/>
    <w:rsid w:val="00757FE8"/>
    <w:rsid w:val="00760027"/>
    <w:rsid w:val="0076004A"/>
    <w:rsid w:val="00760092"/>
    <w:rsid w:val="007600F6"/>
    <w:rsid w:val="00760102"/>
    <w:rsid w:val="00760182"/>
    <w:rsid w:val="007601B7"/>
    <w:rsid w:val="007601C2"/>
    <w:rsid w:val="00760218"/>
    <w:rsid w:val="007602CE"/>
    <w:rsid w:val="007602FD"/>
    <w:rsid w:val="00760327"/>
    <w:rsid w:val="0076032C"/>
    <w:rsid w:val="0076039B"/>
    <w:rsid w:val="007603ED"/>
    <w:rsid w:val="00760498"/>
    <w:rsid w:val="007604BC"/>
    <w:rsid w:val="00760553"/>
    <w:rsid w:val="0076056C"/>
    <w:rsid w:val="00760574"/>
    <w:rsid w:val="007605F4"/>
    <w:rsid w:val="00760635"/>
    <w:rsid w:val="00760686"/>
    <w:rsid w:val="007606CA"/>
    <w:rsid w:val="007606F1"/>
    <w:rsid w:val="00760705"/>
    <w:rsid w:val="00760750"/>
    <w:rsid w:val="007607A2"/>
    <w:rsid w:val="007607BB"/>
    <w:rsid w:val="00760835"/>
    <w:rsid w:val="00760836"/>
    <w:rsid w:val="0076083A"/>
    <w:rsid w:val="007608B3"/>
    <w:rsid w:val="007608FC"/>
    <w:rsid w:val="00760915"/>
    <w:rsid w:val="007609F0"/>
    <w:rsid w:val="00760A15"/>
    <w:rsid w:val="00760A21"/>
    <w:rsid w:val="00760AC8"/>
    <w:rsid w:val="00760ADE"/>
    <w:rsid w:val="00760AFB"/>
    <w:rsid w:val="00760B09"/>
    <w:rsid w:val="00760B95"/>
    <w:rsid w:val="00760BB9"/>
    <w:rsid w:val="00760BBC"/>
    <w:rsid w:val="00760BBE"/>
    <w:rsid w:val="00760D6A"/>
    <w:rsid w:val="00760D7B"/>
    <w:rsid w:val="00760DB1"/>
    <w:rsid w:val="00760EDD"/>
    <w:rsid w:val="00760EF0"/>
    <w:rsid w:val="00760F73"/>
    <w:rsid w:val="00760F7F"/>
    <w:rsid w:val="00760F9E"/>
    <w:rsid w:val="00760FBE"/>
    <w:rsid w:val="00760FD1"/>
    <w:rsid w:val="00760FDE"/>
    <w:rsid w:val="00760FE3"/>
    <w:rsid w:val="00760FF1"/>
    <w:rsid w:val="0076100B"/>
    <w:rsid w:val="0076101B"/>
    <w:rsid w:val="00761020"/>
    <w:rsid w:val="0076103E"/>
    <w:rsid w:val="00761042"/>
    <w:rsid w:val="00761047"/>
    <w:rsid w:val="007610EB"/>
    <w:rsid w:val="00761114"/>
    <w:rsid w:val="00761174"/>
    <w:rsid w:val="0076118D"/>
    <w:rsid w:val="007611AA"/>
    <w:rsid w:val="007611E4"/>
    <w:rsid w:val="007612A3"/>
    <w:rsid w:val="007612E0"/>
    <w:rsid w:val="00761376"/>
    <w:rsid w:val="007613D9"/>
    <w:rsid w:val="007614E9"/>
    <w:rsid w:val="007614EA"/>
    <w:rsid w:val="0076150A"/>
    <w:rsid w:val="0076156A"/>
    <w:rsid w:val="0076160E"/>
    <w:rsid w:val="0076167B"/>
    <w:rsid w:val="00761680"/>
    <w:rsid w:val="007616D0"/>
    <w:rsid w:val="0076173B"/>
    <w:rsid w:val="007617DB"/>
    <w:rsid w:val="007617E5"/>
    <w:rsid w:val="00761828"/>
    <w:rsid w:val="007618EB"/>
    <w:rsid w:val="0076191C"/>
    <w:rsid w:val="0076192F"/>
    <w:rsid w:val="0076193E"/>
    <w:rsid w:val="0076196D"/>
    <w:rsid w:val="00761997"/>
    <w:rsid w:val="007619E8"/>
    <w:rsid w:val="00761A3B"/>
    <w:rsid w:val="00761A4F"/>
    <w:rsid w:val="00761A84"/>
    <w:rsid w:val="00761A94"/>
    <w:rsid w:val="00761B16"/>
    <w:rsid w:val="00761B76"/>
    <w:rsid w:val="00761BAF"/>
    <w:rsid w:val="00761BBD"/>
    <w:rsid w:val="00761BBF"/>
    <w:rsid w:val="00761BE9"/>
    <w:rsid w:val="00761C3E"/>
    <w:rsid w:val="00761C85"/>
    <w:rsid w:val="00761CCC"/>
    <w:rsid w:val="00761CD3"/>
    <w:rsid w:val="00761CD7"/>
    <w:rsid w:val="00761CD9"/>
    <w:rsid w:val="00761D5C"/>
    <w:rsid w:val="00761D79"/>
    <w:rsid w:val="00761DAB"/>
    <w:rsid w:val="00761DDA"/>
    <w:rsid w:val="00761DE4"/>
    <w:rsid w:val="00761E03"/>
    <w:rsid w:val="00761E74"/>
    <w:rsid w:val="00761EB9"/>
    <w:rsid w:val="00761EE2"/>
    <w:rsid w:val="00761F6B"/>
    <w:rsid w:val="00761FBB"/>
    <w:rsid w:val="0076207F"/>
    <w:rsid w:val="007620A3"/>
    <w:rsid w:val="007620EC"/>
    <w:rsid w:val="0076214B"/>
    <w:rsid w:val="007621B0"/>
    <w:rsid w:val="007622A6"/>
    <w:rsid w:val="007622B8"/>
    <w:rsid w:val="007622EF"/>
    <w:rsid w:val="00762422"/>
    <w:rsid w:val="00762429"/>
    <w:rsid w:val="0076243A"/>
    <w:rsid w:val="0076244A"/>
    <w:rsid w:val="00762487"/>
    <w:rsid w:val="0076249A"/>
    <w:rsid w:val="00762500"/>
    <w:rsid w:val="00762526"/>
    <w:rsid w:val="00762538"/>
    <w:rsid w:val="00762551"/>
    <w:rsid w:val="00762554"/>
    <w:rsid w:val="00762624"/>
    <w:rsid w:val="00762654"/>
    <w:rsid w:val="00762677"/>
    <w:rsid w:val="0076267F"/>
    <w:rsid w:val="0076268A"/>
    <w:rsid w:val="007626B0"/>
    <w:rsid w:val="007626F3"/>
    <w:rsid w:val="00762723"/>
    <w:rsid w:val="00762739"/>
    <w:rsid w:val="0076275E"/>
    <w:rsid w:val="0076277A"/>
    <w:rsid w:val="00762794"/>
    <w:rsid w:val="007627A4"/>
    <w:rsid w:val="007627F0"/>
    <w:rsid w:val="0076285F"/>
    <w:rsid w:val="00762894"/>
    <w:rsid w:val="0076289D"/>
    <w:rsid w:val="00762914"/>
    <w:rsid w:val="0076293C"/>
    <w:rsid w:val="00762941"/>
    <w:rsid w:val="00762987"/>
    <w:rsid w:val="0076299C"/>
    <w:rsid w:val="00762A82"/>
    <w:rsid w:val="00762AAD"/>
    <w:rsid w:val="00762AED"/>
    <w:rsid w:val="00762B2C"/>
    <w:rsid w:val="00762B5B"/>
    <w:rsid w:val="00762B5F"/>
    <w:rsid w:val="00762B8F"/>
    <w:rsid w:val="00762B96"/>
    <w:rsid w:val="00762BC4"/>
    <w:rsid w:val="00762BDA"/>
    <w:rsid w:val="00762BF2"/>
    <w:rsid w:val="00762C19"/>
    <w:rsid w:val="00762C83"/>
    <w:rsid w:val="00762C99"/>
    <w:rsid w:val="00762CC6"/>
    <w:rsid w:val="00762CF7"/>
    <w:rsid w:val="00762D61"/>
    <w:rsid w:val="00762DB8"/>
    <w:rsid w:val="00762E35"/>
    <w:rsid w:val="00762EC8"/>
    <w:rsid w:val="00763007"/>
    <w:rsid w:val="007630D5"/>
    <w:rsid w:val="0076315F"/>
    <w:rsid w:val="00763198"/>
    <w:rsid w:val="007631A2"/>
    <w:rsid w:val="00763204"/>
    <w:rsid w:val="00763271"/>
    <w:rsid w:val="007632E7"/>
    <w:rsid w:val="007632EF"/>
    <w:rsid w:val="007633C0"/>
    <w:rsid w:val="007633CD"/>
    <w:rsid w:val="007633CE"/>
    <w:rsid w:val="00763402"/>
    <w:rsid w:val="00763412"/>
    <w:rsid w:val="00763437"/>
    <w:rsid w:val="00763449"/>
    <w:rsid w:val="007634BB"/>
    <w:rsid w:val="00763506"/>
    <w:rsid w:val="00763601"/>
    <w:rsid w:val="00763661"/>
    <w:rsid w:val="00763666"/>
    <w:rsid w:val="007636DB"/>
    <w:rsid w:val="007636E8"/>
    <w:rsid w:val="0076372E"/>
    <w:rsid w:val="007637DA"/>
    <w:rsid w:val="00763833"/>
    <w:rsid w:val="0076383B"/>
    <w:rsid w:val="00763879"/>
    <w:rsid w:val="0076387D"/>
    <w:rsid w:val="00763957"/>
    <w:rsid w:val="007639A0"/>
    <w:rsid w:val="00763A2E"/>
    <w:rsid w:val="00763A3F"/>
    <w:rsid w:val="00763A67"/>
    <w:rsid w:val="00763AAB"/>
    <w:rsid w:val="00763AC0"/>
    <w:rsid w:val="00763ACB"/>
    <w:rsid w:val="00763B78"/>
    <w:rsid w:val="00763B97"/>
    <w:rsid w:val="00763C08"/>
    <w:rsid w:val="00763C73"/>
    <w:rsid w:val="00763C83"/>
    <w:rsid w:val="00763CA9"/>
    <w:rsid w:val="00763CB3"/>
    <w:rsid w:val="00763D68"/>
    <w:rsid w:val="00763D9C"/>
    <w:rsid w:val="00763DC3"/>
    <w:rsid w:val="00763E01"/>
    <w:rsid w:val="00763E33"/>
    <w:rsid w:val="00763E3E"/>
    <w:rsid w:val="00763E42"/>
    <w:rsid w:val="00763F31"/>
    <w:rsid w:val="00763F42"/>
    <w:rsid w:val="00763F48"/>
    <w:rsid w:val="00763F4D"/>
    <w:rsid w:val="00763F55"/>
    <w:rsid w:val="00763F82"/>
    <w:rsid w:val="00763F9D"/>
    <w:rsid w:val="00764086"/>
    <w:rsid w:val="007641F0"/>
    <w:rsid w:val="00764260"/>
    <w:rsid w:val="00764261"/>
    <w:rsid w:val="00764267"/>
    <w:rsid w:val="00764269"/>
    <w:rsid w:val="00764297"/>
    <w:rsid w:val="0076430A"/>
    <w:rsid w:val="007643DA"/>
    <w:rsid w:val="007643E7"/>
    <w:rsid w:val="00764467"/>
    <w:rsid w:val="00764477"/>
    <w:rsid w:val="007644F6"/>
    <w:rsid w:val="00764558"/>
    <w:rsid w:val="00764629"/>
    <w:rsid w:val="00764644"/>
    <w:rsid w:val="0076468E"/>
    <w:rsid w:val="0076478E"/>
    <w:rsid w:val="007648AD"/>
    <w:rsid w:val="007648E2"/>
    <w:rsid w:val="0076491F"/>
    <w:rsid w:val="00764925"/>
    <w:rsid w:val="00764956"/>
    <w:rsid w:val="007649FF"/>
    <w:rsid w:val="00764A15"/>
    <w:rsid w:val="00764A54"/>
    <w:rsid w:val="00764ABF"/>
    <w:rsid w:val="00764AE3"/>
    <w:rsid w:val="00764AEC"/>
    <w:rsid w:val="00764B1C"/>
    <w:rsid w:val="00764B4F"/>
    <w:rsid w:val="00764B9F"/>
    <w:rsid w:val="00764C34"/>
    <w:rsid w:val="00764CC5"/>
    <w:rsid w:val="00764D63"/>
    <w:rsid w:val="00764D87"/>
    <w:rsid w:val="00764D8A"/>
    <w:rsid w:val="00764E28"/>
    <w:rsid w:val="00764E30"/>
    <w:rsid w:val="00764E4E"/>
    <w:rsid w:val="00764E73"/>
    <w:rsid w:val="00764E82"/>
    <w:rsid w:val="00764E8B"/>
    <w:rsid w:val="00764EA5"/>
    <w:rsid w:val="00764F13"/>
    <w:rsid w:val="00764F2A"/>
    <w:rsid w:val="00764F4C"/>
    <w:rsid w:val="00764F64"/>
    <w:rsid w:val="00764F90"/>
    <w:rsid w:val="00764FBA"/>
    <w:rsid w:val="00764FDF"/>
    <w:rsid w:val="0076501A"/>
    <w:rsid w:val="00765040"/>
    <w:rsid w:val="00765053"/>
    <w:rsid w:val="0076508F"/>
    <w:rsid w:val="007650D0"/>
    <w:rsid w:val="0076513D"/>
    <w:rsid w:val="00765169"/>
    <w:rsid w:val="0076523F"/>
    <w:rsid w:val="00765289"/>
    <w:rsid w:val="007652C4"/>
    <w:rsid w:val="00765332"/>
    <w:rsid w:val="00765343"/>
    <w:rsid w:val="00765364"/>
    <w:rsid w:val="00765369"/>
    <w:rsid w:val="007653F8"/>
    <w:rsid w:val="00765426"/>
    <w:rsid w:val="00765464"/>
    <w:rsid w:val="00765472"/>
    <w:rsid w:val="00765490"/>
    <w:rsid w:val="007654BB"/>
    <w:rsid w:val="007654F2"/>
    <w:rsid w:val="00765536"/>
    <w:rsid w:val="007655CC"/>
    <w:rsid w:val="0076561D"/>
    <w:rsid w:val="0076566D"/>
    <w:rsid w:val="007656C5"/>
    <w:rsid w:val="007657A0"/>
    <w:rsid w:val="007657A3"/>
    <w:rsid w:val="007657CD"/>
    <w:rsid w:val="007657D7"/>
    <w:rsid w:val="007657E1"/>
    <w:rsid w:val="007657F3"/>
    <w:rsid w:val="007657F6"/>
    <w:rsid w:val="00765844"/>
    <w:rsid w:val="00765848"/>
    <w:rsid w:val="00765938"/>
    <w:rsid w:val="007659AE"/>
    <w:rsid w:val="007659BA"/>
    <w:rsid w:val="00765A4C"/>
    <w:rsid w:val="00765A9E"/>
    <w:rsid w:val="00765AF2"/>
    <w:rsid w:val="00765B72"/>
    <w:rsid w:val="00765B98"/>
    <w:rsid w:val="00765BD3"/>
    <w:rsid w:val="00765C42"/>
    <w:rsid w:val="00765C82"/>
    <w:rsid w:val="00765D1A"/>
    <w:rsid w:val="00765D4B"/>
    <w:rsid w:val="00765E25"/>
    <w:rsid w:val="00765EA8"/>
    <w:rsid w:val="00765EB6"/>
    <w:rsid w:val="00765F78"/>
    <w:rsid w:val="00765FC9"/>
    <w:rsid w:val="0076603D"/>
    <w:rsid w:val="00766087"/>
    <w:rsid w:val="007660A7"/>
    <w:rsid w:val="00766181"/>
    <w:rsid w:val="007661B0"/>
    <w:rsid w:val="00766219"/>
    <w:rsid w:val="0076624B"/>
    <w:rsid w:val="00766341"/>
    <w:rsid w:val="0076635E"/>
    <w:rsid w:val="0076638E"/>
    <w:rsid w:val="007663F0"/>
    <w:rsid w:val="00766442"/>
    <w:rsid w:val="0076645C"/>
    <w:rsid w:val="007664AD"/>
    <w:rsid w:val="007664C9"/>
    <w:rsid w:val="00766526"/>
    <w:rsid w:val="00766548"/>
    <w:rsid w:val="0076659B"/>
    <w:rsid w:val="007665A1"/>
    <w:rsid w:val="00766625"/>
    <w:rsid w:val="0076665D"/>
    <w:rsid w:val="0076667C"/>
    <w:rsid w:val="0076667E"/>
    <w:rsid w:val="0076669B"/>
    <w:rsid w:val="0076671F"/>
    <w:rsid w:val="0076674F"/>
    <w:rsid w:val="0076677F"/>
    <w:rsid w:val="007667CC"/>
    <w:rsid w:val="0076683E"/>
    <w:rsid w:val="0076685E"/>
    <w:rsid w:val="00766882"/>
    <w:rsid w:val="007668E7"/>
    <w:rsid w:val="007668F7"/>
    <w:rsid w:val="00766922"/>
    <w:rsid w:val="0076696C"/>
    <w:rsid w:val="007669B3"/>
    <w:rsid w:val="007669EA"/>
    <w:rsid w:val="00766A01"/>
    <w:rsid w:val="00766A35"/>
    <w:rsid w:val="00766A45"/>
    <w:rsid w:val="00766A77"/>
    <w:rsid w:val="00766A9D"/>
    <w:rsid w:val="00766AB4"/>
    <w:rsid w:val="00766AC4"/>
    <w:rsid w:val="00766AC5"/>
    <w:rsid w:val="00766B4D"/>
    <w:rsid w:val="00766BC2"/>
    <w:rsid w:val="00766BEA"/>
    <w:rsid w:val="00766C0E"/>
    <w:rsid w:val="00766C4A"/>
    <w:rsid w:val="00766C4E"/>
    <w:rsid w:val="00766CAB"/>
    <w:rsid w:val="00766CAF"/>
    <w:rsid w:val="00766D00"/>
    <w:rsid w:val="00766D02"/>
    <w:rsid w:val="00766D13"/>
    <w:rsid w:val="00766D39"/>
    <w:rsid w:val="00766D65"/>
    <w:rsid w:val="00766D7A"/>
    <w:rsid w:val="00766DF2"/>
    <w:rsid w:val="00766E81"/>
    <w:rsid w:val="00766F40"/>
    <w:rsid w:val="00766F65"/>
    <w:rsid w:val="00766F86"/>
    <w:rsid w:val="00766FC8"/>
    <w:rsid w:val="007670B7"/>
    <w:rsid w:val="007670B9"/>
    <w:rsid w:val="007670E0"/>
    <w:rsid w:val="007670EB"/>
    <w:rsid w:val="00767159"/>
    <w:rsid w:val="0076716B"/>
    <w:rsid w:val="007671F7"/>
    <w:rsid w:val="00767223"/>
    <w:rsid w:val="0076725B"/>
    <w:rsid w:val="007672B9"/>
    <w:rsid w:val="007672BC"/>
    <w:rsid w:val="007672CA"/>
    <w:rsid w:val="007672E5"/>
    <w:rsid w:val="00767377"/>
    <w:rsid w:val="007673B4"/>
    <w:rsid w:val="007673E3"/>
    <w:rsid w:val="007673E9"/>
    <w:rsid w:val="0076740F"/>
    <w:rsid w:val="0076744F"/>
    <w:rsid w:val="00767463"/>
    <w:rsid w:val="0076747B"/>
    <w:rsid w:val="0076755D"/>
    <w:rsid w:val="0076756F"/>
    <w:rsid w:val="007675E5"/>
    <w:rsid w:val="00767628"/>
    <w:rsid w:val="00767678"/>
    <w:rsid w:val="007676C8"/>
    <w:rsid w:val="007676E0"/>
    <w:rsid w:val="00767768"/>
    <w:rsid w:val="007677B7"/>
    <w:rsid w:val="007677D6"/>
    <w:rsid w:val="007677FF"/>
    <w:rsid w:val="00767843"/>
    <w:rsid w:val="00767878"/>
    <w:rsid w:val="00767899"/>
    <w:rsid w:val="007678C6"/>
    <w:rsid w:val="00767925"/>
    <w:rsid w:val="00767929"/>
    <w:rsid w:val="007679C5"/>
    <w:rsid w:val="007679E7"/>
    <w:rsid w:val="00767A3C"/>
    <w:rsid w:val="00767A84"/>
    <w:rsid w:val="00767AD8"/>
    <w:rsid w:val="00767B19"/>
    <w:rsid w:val="00767BA2"/>
    <w:rsid w:val="00767BC8"/>
    <w:rsid w:val="00767C01"/>
    <w:rsid w:val="00767C11"/>
    <w:rsid w:val="00767C39"/>
    <w:rsid w:val="00767C56"/>
    <w:rsid w:val="00767CD4"/>
    <w:rsid w:val="00767D22"/>
    <w:rsid w:val="00767D56"/>
    <w:rsid w:val="00767D7C"/>
    <w:rsid w:val="00767D94"/>
    <w:rsid w:val="00767DEA"/>
    <w:rsid w:val="00767E94"/>
    <w:rsid w:val="00767F03"/>
    <w:rsid w:val="00767F4B"/>
    <w:rsid w:val="00767F7E"/>
    <w:rsid w:val="00767FB2"/>
    <w:rsid w:val="00767FCC"/>
    <w:rsid w:val="0076D298"/>
    <w:rsid w:val="00770078"/>
    <w:rsid w:val="007700C6"/>
    <w:rsid w:val="007700F8"/>
    <w:rsid w:val="00770121"/>
    <w:rsid w:val="00770127"/>
    <w:rsid w:val="007701FC"/>
    <w:rsid w:val="00770265"/>
    <w:rsid w:val="00770267"/>
    <w:rsid w:val="00770292"/>
    <w:rsid w:val="007702AB"/>
    <w:rsid w:val="007702BD"/>
    <w:rsid w:val="0077030F"/>
    <w:rsid w:val="00770327"/>
    <w:rsid w:val="0077032A"/>
    <w:rsid w:val="00770331"/>
    <w:rsid w:val="00770386"/>
    <w:rsid w:val="00770395"/>
    <w:rsid w:val="007703D2"/>
    <w:rsid w:val="007703FF"/>
    <w:rsid w:val="0077043E"/>
    <w:rsid w:val="00770462"/>
    <w:rsid w:val="007704A4"/>
    <w:rsid w:val="007704B5"/>
    <w:rsid w:val="0077052A"/>
    <w:rsid w:val="00770531"/>
    <w:rsid w:val="00770576"/>
    <w:rsid w:val="007705B6"/>
    <w:rsid w:val="007705EC"/>
    <w:rsid w:val="00770647"/>
    <w:rsid w:val="0077066D"/>
    <w:rsid w:val="007706D8"/>
    <w:rsid w:val="007706FF"/>
    <w:rsid w:val="00770760"/>
    <w:rsid w:val="00770798"/>
    <w:rsid w:val="00770799"/>
    <w:rsid w:val="007707B5"/>
    <w:rsid w:val="007707CB"/>
    <w:rsid w:val="007707F3"/>
    <w:rsid w:val="0077082E"/>
    <w:rsid w:val="0077084F"/>
    <w:rsid w:val="007708B8"/>
    <w:rsid w:val="007708BD"/>
    <w:rsid w:val="00770941"/>
    <w:rsid w:val="00770958"/>
    <w:rsid w:val="0077096D"/>
    <w:rsid w:val="007709AB"/>
    <w:rsid w:val="007709D8"/>
    <w:rsid w:val="007709E3"/>
    <w:rsid w:val="00770A02"/>
    <w:rsid w:val="00770A34"/>
    <w:rsid w:val="00770A75"/>
    <w:rsid w:val="00770B03"/>
    <w:rsid w:val="00770B8A"/>
    <w:rsid w:val="00770C14"/>
    <w:rsid w:val="00770C39"/>
    <w:rsid w:val="00770CA7"/>
    <w:rsid w:val="00770CC1"/>
    <w:rsid w:val="00770D4B"/>
    <w:rsid w:val="00770D9B"/>
    <w:rsid w:val="00770E9C"/>
    <w:rsid w:val="00770F39"/>
    <w:rsid w:val="00770F77"/>
    <w:rsid w:val="00770F9C"/>
    <w:rsid w:val="00770FEE"/>
    <w:rsid w:val="00771085"/>
    <w:rsid w:val="007710D7"/>
    <w:rsid w:val="007710EA"/>
    <w:rsid w:val="00771100"/>
    <w:rsid w:val="00771145"/>
    <w:rsid w:val="00771170"/>
    <w:rsid w:val="00771178"/>
    <w:rsid w:val="007711B4"/>
    <w:rsid w:val="007711EA"/>
    <w:rsid w:val="00771205"/>
    <w:rsid w:val="00771218"/>
    <w:rsid w:val="00771245"/>
    <w:rsid w:val="0077125E"/>
    <w:rsid w:val="00771268"/>
    <w:rsid w:val="00771274"/>
    <w:rsid w:val="007712B9"/>
    <w:rsid w:val="007712E3"/>
    <w:rsid w:val="007712F4"/>
    <w:rsid w:val="00771314"/>
    <w:rsid w:val="00771343"/>
    <w:rsid w:val="00771363"/>
    <w:rsid w:val="0077138B"/>
    <w:rsid w:val="00771395"/>
    <w:rsid w:val="007713F8"/>
    <w:rsid w:val="00771412"/>
    <w:rsid w:val="00771440"/>
    <w:rsid w:val="0077145B"/>
    <w:rsid w:val="0077145F"/>
    <w:rsid w:val="00771573"/>
    <w:rsid w:val="0077167B"/>
    <w:rsid w:val="007716C0"/>
    <w:rsid w:val="00771782"/>
    <w:rsid w:val="007717F3"/>
    <w:rsid w:val="00771830"/>
    <w:rsid w:val="0077183A"/>
    <w:rsid w:val="00771862"/>
    <w:rsid w:val="00771865"/>
    <w:rsid w:val="007718D1"/>
    <w:rsid w:val="0077190A"/>
    <w:rsid w:val="0077190F"/>
    <w:rsid w:val="007719CE"/>
    <w:rsid w:val="00771A06"/>
    <w:rsid w:val="00771A1B"/>
    <w:rsid w:val="00771A1C"/>
    <w:rsid w:val="00771A20"/>
    <w:rsid w:val="00771ADE"/>
    <w:rsid w:val="00771AEE"/>
    <w:rsid w:val="00771AF5"/>
    <w:rsid w:val="00771AF9"/>
    <w:rsid w:val="00771B0C"/>
    <w:rsid w:val="00771B7C"/>
    <w:rsid w:val="00771B8E"/>
    <w:rsid w:val="00771C10"/>
    <w:rsid w:val="00771C7C"/>
    <w:rsid w:val="00771CA9"/>
    <w:rsid w:val="00771CE5"/>
    <w:rsid w:val="00771D48"/>
    <w:rsid w:val="00771D92"/>
    <w:rsid w:val="00771DE6"/>
    <w:rsid w:val="00771DEF"/>
    <w:rsid w:val="00771E16"/>
    <w:rsid w:val="00771EC1"/>
    <w:rsid w:val="00771EC2"/>
    <w:rsid w:val="00771ED6"/>
    <w:rsid w:val="00771F7D"/>
    <w:rsid w:val="00771FA3"/>
    <w:rsid w:val="00772005"/>
    <w:rsid w:val="0077202F"/>
    <w:rsid w:val="00772054"/>
    <w:rsid w:val="00772098"/>
    <w:rsid w:val="007720F3"/>
    <w:rsid w:val="00772163"/>
    <w:rsid w:val="007721E5"/>
    <w:rsid w:val="0077220F"/>
    <w:rsid w:val="007722CD"/>
    <w:rsid w:val="007722E9"/>
    <w:rsid w:val="00772388"/>
    <w:rsid w:val="007723CF"/>
    <w:rsid w:val="007724A9"/>
    <w:rsid w:val="0077252E"/>
    <w:rsid w:val="0077254B"/>
    <w:rsid w:val="00772582"/>
    <w:rsid w:val="007725E4"/>
    <w:rsid w:val="00772626"/>
    <w:rsid w:val="0077269E"/>
    <w:rsid w:val="00772744"/>
    <w:rsid w:val="0077276C"/>
    <w:rsid w:val="00772777"/>
    <w:rsid w:val="00772779"/>
    <w:rsid w:val="007727BD"/>
    <w:rsid w:val="007727EC"/>
    <w:rsid w:val="00772813"/>
    <w:rsid w:val="00772837"/>
    <w:rsid w:val="007728D8"/>
    <w:rsid w:val="00772962"/>
    <w:rsid w:val="0077296E"/>
    <w:rsid w:val="007729B8"/>
    <w:rsid w:val="00772A74"/>
    <w:rsid w:val="00772ACB"/>
    <w:rsid w:val="00772B1D"/>
    <w:rsid w:val="00772B21"/>
    <w:rsid w:val="00772B52"/>
    <w:rsid w:val="00772BED"/>
    <w:rsid w:val="00772C18"/>
    <w:rsid w:val="00772D10"/>
    <w:rsid w:val="00772D14"/>
    <w:rsid w:val="00772D3C"/>
    <w:rsid w:val="00772E79"/>
    <w:rsid w:val="00772E8B"/>
    <w:rsid w:val="00772EA8"/>
    <w:rsid w:val="00772EAB"/>
    <w:rsid w:val="00772ECB"/>
    <w:rsid w:val="00772F5F"/>
    <w:rsid w:val="00772F60"/>
    <w:rsid w:val="00772FB2"/>
    <w:rsid w:val="00772FF0"/>
    <w:rsid w:val="00772FFD"/>
    <w:rsid w:val="00773055"/>
    <w:rsid w:val="007730B2"/>
    <w:rsid w:val="0077310C"/>
    <w:rsid w:val="00773138"/>
    <w:rsid w:val="00773168"/>
    <w:rsid w:val="00773181"/>
    <w:rsid w:val="00773197"/>
    <w:rsid w:val="0077319A"/>
    <w:rsid w:val="0077319E"/>
    <w:rsid w:val="007731A5"/>
    <w:rsid w:val="007731C4"/>
    <w:rsid w:val="00773221"/>
    <w:rsid w:val="0077323C"/>
    <w:rsid w:val="0077329A"/>
    <w:rsid w:val="00773311"/>
    <w:rsid w:val="00773343"/>
    <w:rsid w:val="00773355"/>
    <w:rsid w:val="0077343E"/>
    <w:rsid w:val="00773459"/>
    <w:rsid w:val="007734C3"/>
    <w:rsid w:val="007734FB"/>
    <w:rsid w:val="0077351D"/>
    <w:rsid w:val="0077353E"/>
    <w:rsid w:val="0077358C"/>
    <w:rsid w:val="007735D6"/>
    <w:rsid w:val="007735E1"/>
    <w:rsid w:val="00773626"/>
    <w:rsid w:val="00773632"/>
    <w:rsid w:val="00773722"/>
    <w:rsid w:val="0077372C"/>
    <w:rsid w:val="00773752"/>
    <w:rsid w:val="0077376F"/>
    <w:rsid w:val="00773822"/>
    <w:rsid w:val="0077384A"/>
    <w:rsid w:val="00773861"/>
    <w:rsid w:val="0077389C"/>
    <w:rsid w:val="007738DD"/>
    <w:rsid w:val="00773930"/>
    <w:rsid w:val="00773984"/>
    <w:rsid w:val="007739B7"/>
    <w:rsid w:val="007739FD"/>
    <w:rsid w:val="00773A33"/>
    <w:rsid w:val="00773A55"/>
    <w:rsid w:val="00773A58"/>
    <w:rsid w:val="00773AA9"/>
    <w:rsid w:val="00773AED"/>
    <w:rsid w:val="00773AF6"/>
    <w:rsid w:val="00773B01"/>
    <w:rsid w:val="00773B33"/>
    <w:rsid w:val="00773B3A"/>
    <w:rsid w:val="00773B7C"/>
    <w:rsid w:val="00773B8B"/>
    <w:rsid w:val="00773BF1"/>
    <w:rsid w:val="00773C88"/>
    <w:rsid w:val="00773C9E"/>
    <w:rsid w:val="00773D05"/>
    <w:rsid w:val="00773D41"/>
    <w:rsid w:val="00773D53"/>
    <w:rsid w:val="00773D6A"/>
    <w:rsid w:val="00773D9B"/>
    <w:rsid w:val="00773E24"/>
    <w:rsid w:val="00773E2C"/>
    <w:rsid w:val="00773E7C"/>
    <w:rsid w:val="00773E8E"/>
    <w:rsid w:val="00773F19"/>
    <w:rsid w:val="00773F20"/>
    <w:rsid w:val="00773F2D"/>
    <w:rsid w:val="00773FB7"/>
    <w:rsid w:val="00773FEF"/>
    <w:rsid w:val="00773FF3"/>
    <w:rsid w:val="00774041"/>
    <w:rsid w:val="0077405A"/>
    <w:rsid w:val="0077408C"/>
    <w:rsid w:val="00774092"/>
    <w:rsid w:val="0077414B"/>
    <w:rsid w:val="00774165"/>
    <w:rsid w:val="007741BA"/>
    <w:rsid w:val="007741D5"/>
    <w:rsid w:val="007741EE"/>
    <w:rsid w:val="0077420B"/>
    <w:rsid w:val="00774266"/>
    <w:rsid w:val="0077427F"/>
    <w:rsid w:val="00774296"/>
    <w:rsid w:val="00774297"/>
    <w:rsid w:val="007742BD"/>
    <w:rsid w:val="007742FF"/>
    <w:rsid w:val="00774305"/>
    <w:rsid w:val="00774367"/>
    <w:rsid w:val="0077439A"/>
    <w:rsid w:val="007743F9"/>
    <w:rsid w:val="00774447"/>
    <w:rsid w:val="00774455"/>
    <w:rsid w:val="0077449C"/>
    <w:rsid w:val="00774545"/>
    <w:rsid w:val="0077454A"/>
    <w:rsid w:val="00774566"/>
    <w:rsid w:val="007745A5"/>
    <w:rsid w:val="00774612"/>
    <w:rsid w:val="007746EE"/>
    <w:rsid w:val="007746F0"/>
    <w:rsid w:val="00774713"/>
    <w:rsid w:val="00774750"/>
    <w:rsid w:val="00774752"/>
    <w:rsid w:val="00774787"/>
    <w:rsid w:val="007747C4"/>
    <w:rsid w:val="007747D3"/>
    <w:rsid w:val="007747DC"/>
    <w:rsid w:val="007747EE"/>
    <w:rsid w:val="00774818"/>
    <w:rsid w:val="0077482D"/>
    <w:rsid w:val="007748DB"/>
    <w:rsid w:val="00774931"/>
    <w:rsid w:val="00774A08"/>
    <w:rsid w:val="00774A3B"/>
    <w:rsid w:val="00774A61"/>
    <w:rsid w:val="00774AF0"/>
    <w:rsid w:val="00774C03"/>
    <w:rsid w:val="00774C40"/>
    <w:rsid w:val="00774C4B"/>
    <w:rsid w:val="00774C93"/>
    <w:rsid w:val="00774CB8"/>
    <w:rsid w:val="00774CCE"/>
    <w:rsid w:val="00774CD8"/>
    <w:rsid w:val="00774D5A"/>
    <w:rsid w:val="00774E18"/>
    <w:rsid w:val="00774E74"/>
    <w:rsid w:val="00774EB2"/>
    <w:rsid w:val="00774ED2"/>
    <w:rsid w:val="00774F5E"/>
    <w:rsid w:val="00774F7C"/>
    <w:rsid w:val="00775017"/>
    <w:rsid w:val="0077501A"/>
    <w:rsid w:val="0077501B"/>
    <w:rsid w:val="00775076"/>
    <w:rsid w:val="00775083"/>
    <w:rsid w:val="00775093"/>
    <w:rsid w:val="007750AD"/>
    <w:rsid w:val="007750AE"/>
    <w:rsid w:val="007750B3"/>
    <w:rsid w:val="007750BB"/>
    <w:rsid w:val="007750FD"/>
    <w:rsid w:val="0077513D"/>
    <w:rsid w:val="00775166"/>
    <w:rsid w:val="007751A6"/>
    <w:rsid w:val="00775201"/>
    <w:rsid w:val="0077521E"/>
    <w:rsid w:val="00775271"/>
    <w:rsid w:val="00775279"/>
    <w:rsid w:val="007752BF"/>
    <w:rsid w:val="00775338"/>
    <w:rsid w:val="00775357"/>
    <w:rsid w:val="0077535C"/>
    <w:rsid w:val="007753AB"/>
    <w:rsid w:val="007753C4"/>
    <w:rsid w:val="007753E6"/>
    <w:rsid w:val="007753FD"/>
    <w:rsid w:val="0077546F"/>
    <w:rsid w:val="007754B3"/>
    <w:rsid w:val="007754F7"/>
    <w:rsid w:val="00775523"/>
    <w:rsid w:val="0077552C"/>
    <w:rsid w:val="0077554B"/>
    <w:rsid w:val="0077556E"/>
    <w:rsid w:val="0077558A"/>
    <w:rsid w:val="00775618"/>
    <w:rsid w:val="00775661"/>
    <w:rsid w:val="00775698"/>
    <w:rsid w:val="007756ED"/>
    <w:rsid w:val="00775724"/>
    <w:rsid w:val="00775799"/>
    <w:rsid w:val="0077579B"/>
    <w:rsid w:val="007757D4"/>
    <w:rsid w:val="007757F3"/>
    <w:rsid w:val="007757FA"/>
    <w:rsid w:val="00775854"/>
    <w:rsid w:val="007758AF"/>
    <w:rsid w:val="007758B1"/>
    <w:rsid w:val="007758F3"/>
    <w:rsid w:val="00775946"/>
    <w:rsid w:val="0077596E"/>
    <w:rsid w:val="007759AD"/>
    <w:rsid w:val="007759C7"/>
    <w:rsid w:val="00775A1C"/>
    <w:rsid w:val="00775A1F"/>
    <w:rsid w:val="00775A33"/>
    <w:rsid w:val="00775A5A"/>
    <w:rsid w:val="00775AA6"/>
    <w:rsid w:val="00775B07"/>
    <w:rsid w:val="00775B0D"/>
    <w:rsid w:val="00775B46"/>
    <w:rsid w:val="00775B53"/>
    <w:rsid w:val="00775B80"/>
    <w:rsid w:val="00775BBA"/>
    <w:rsid w:val="00775C14"/>
    <w:rsid w:val="00775C2A"/>
    <w:rsid w:val="00775C43"/>
    <w:rsid w:val="00775D2D"/>
    <w:rsid w:val="00775D9A"/>
    <w:rsid w:val="00775DD3"/>
    <w:rsid w:val="00775DEC"/>
    <w:rsid w:val="00775E04"/>
    <w:rsid w:val="00775E80"/>
    <w:rsid w:val="00775EEC"/>
    <w:rsid w:val="00775F1B"/>
    <w:rsid w:val="00775F45"/>
    <w:rsid w:val="00775F58"/>
    <w:rsid w:val="00775F91"/>
    <w:rsid w:val="00775FF2"/>
    <w:rsid w:val="00776017"/>
    <w:rsid w:val="0077601E"/>
    <w:rsid w:val="00776057"/>
    <w:rsid w:val="007760AF"/>
    <w:rsid w:val="007760E0"/>
    <w:rsid w:val="007760EB"/>
    <w:rsid w:val="007760FB"/>
    <w:rsid w:val="00776167"/>
    <w:rsid w:val="00776172"/>
    <w:rsid w:val="0077617B"/>
    <w:rsid w:val="00776184"/>
    <w:rsid w:val="0077618E"/>
    <w:rsid w:val="007761B6"/>
    <w:rsid w:val="00776245"/>
    <w:rsid w:val="0077624A"/>
    <w:rsid w:val="00776287"/>
    <w:rsid w:val="0077628D"/>
    <w:rsid w:val="007762E8"/>
    <w:rsid w:val="007762E9"/>
    <w:rsid w:val="00776317"/>
    <w:rsid w:val="0077634A"/>
    <w:rsid w:val="007763BC"/>
    <w:rsid w:val="00776468"/>
    <w:rsid w:val="00776477"/>
    <w:rsid w:val="00776508"/>
    <w:rsid w:val="00776535"/>
    <w:rsid w:val="0077654B"/>
    <w:rsid w:val="00776564"/>
    <w:rsid w:val="0077659A"/>
    <w:rsid w:val="007765ED"/>
    <w:rsid w:val="00776668"/>
    <w:rsid w:val="00776677"/>
    <w:rsid w:val="007766B6"/>
    <w:rsid w:val="007766C1"/>
    <w:rsid w:val="00776720"/>
    <w:rsid w:val="00776728"/>
    <w:rsid w:val="00776786"/>
    <w:rsid w:val="007767B9"/>
    <w:rsid w:val="007767C3"/>
    <w:rsid w:val="007767CD"/>
    <w:rsid w:val="00776887"/>
    <w:rsid w:val="007768A0"/>
    <w:rsid w:val="007768DE"/>
    <w:rsid w:val="007768DF"/>
    <w:rsid w:val="007768E3"/>
    <w:rsid w:val="0077692A"/>
    <w:rsid w:val="00776950"/>
    <w:rsid w:val="00776986"/>
    <w:rsid w:val="007769FA"/>
    <w:rsid w:val="00776A02"/>
    <w:rsid w:val="00776A2A"/>
    <w:rsid w:val="00776A2E"/>
    <w:rsid w:val="00776A4B"/>
    <w:rsid w:val="00776A5E"/>
    <w:rsid w:val="00776AD3"/>
    <w:rsid w:val="00776AE9"/>
    <w:rsid w:val="00776AF3"/>
    <w:rsid w:val="00776AFC"/>
    <w:rsid w:val="00776BAF"/>
    <w:rsid w:val="00776BD3"/>
    <w:rsid w:val="00776BD5"/>
    <w:rsid w:val="00776C23"/>
    <w:rsid w:val="00776C6B"/>
    <w:rsid w:val="00776C8F"/>
    <w:rsid w:val="00776C98"/>
    <w:rsid w:val="00776CD1"/>
    <w:rsid w:val="00776CE5"/>
    <w:rsid w:val="00776CEB"/>
    <w:rsid w:val="00776DE0"/>
    <w:rsid w:val="00776DF3"/>
    <w:rsid w:val="00776DFD"/>
    <w:rsid w:val="00776E09"/>
    <w:rsid w:val="00776E25"/>
    <w:rsid w:val="00776E49"/>
    <w:rsid w:val="00776E6B"/>
    <w:rsid w:val="00776E85"/>
    <w:rsid w:val="00776EC2"/>
    <w:rsid w:val="00776F1E"/>
    <w:rsid w:val="00776F25"/>
    <w:rsid w:val="00776F38"/>
    <w:rsid w:val="00776F45"/>
    <w:rsid w:val="00776F64"/>
    <w:rsid w:val="00777023"/>
    <w:rsid w:val="00777029"/>
    <w:rsid w:val="00777039"/>
    <w:rsid w:val="0077704A"/>
    <w:rsid w:val="0077704D"/>
    <w:rsid w:val="00777059"/>
    <w:rsid w:val="0077706C"/>
    <w:rsid w:val="00777088"/>
    <w:rsid w:val="007770E6"/>
    <w:rsid w:val="0077710A"/>
    <w:rsid w:val="007771FB"/>
    <w:rsid w:val="00777200"/>
    <w:rsid w:val="00777220"/>
    <w:rsid w:val="00777228"/>
    <w:rsid w:val="0077739B"/>
    <w:rsid w:val="007773CF"/>
    <w:rsid w:val="0077741A"/>
    <w:rsid w:val="007774F3"/>
    <w:rsid w:val="0077756C"/>
    <w:rsid w:val="007775F7"/>
    <w:rsid w:val="0077760A"/>
    <w:rsid w:val="00777663"/>
    <w:rsid w:val="00777680"/>
    <w:rsid w:val="007776AD"/>
    <w:rsid w:val="007776B9"/>
    <w:rsid w:val="007776C1"/>
    <w:rsid w:val="00777719"/>
    <w:rsid w:val="00777756"/>
    <w:rsid w:val="00777771"/>
    <w:rsid w:val="00777785"/>
    <w:rsid w:val="00777789"/>
    <w:rsid w:val="0077781D"/>
    <w:rsid w:val="00777823"/>
    <w:rsid w:val="00777831"/>
    <w:rsid w:val="00777836"/>
    <w:rsid w:val="00777889"/>
    <w:rsid w:val="00777894"/>
    <w:rsid w:val="007778B8"/>
    <w:rsid w:val="007778DC"/>
    <w:rsid w:val="007778E0"/>
    <w:rsid w:val="00777900"/>
    <w:rsid w:val="00777905"/>
    <w:rsid w:val="0077790B"/>
    <w:rsid w:val="00777951"/>
    <w:rsid w:val="00777971"/>
    <w:rsid w:val="007779A3"/>
    <w:rsid w:val="007779CB"/>
    <w:rsid w:val="007779CF"/>
    <w:rsid w:val="00777A15"/>
    <w:rsid w:val="00777A6B"/>
    <w:rsid w:val="00777ADE"/>
    <w:rsid w:val="00777B19"/>
    <w:rsid w:val="00777B21"/>
    <w:rsid w:val="00777B51"/>
    <w:rsid w:val="00777B5E"/>
    <w:rsid w:val="00777B8C"/>
    <w:rsid w:val="00777BEB"/>
    <w:rsid w:val="00777C09"/>
    <w:rsid w:val="00777C31"/>
    <w:rsid w:val="00777C7C"/>
    <w:rsid w:val="00777CC2"/>
    <w:rsid w:val="00777CCF"/>
    <w:rsid w:val="00777D17"/>
    <w:rsid w:val="00777D7A"/>
    <w:rsid w:val="00777DA8"/>
    <w:rsid w:val="00777DD1"/>
    <w:rsid w:val="00777E49"/>
    <w:rsid w:val="00777E87"/>
    <w:rsid w:val="00777ED4"/>
    <w:rsid w:val="00777EDF"/>
    <w:rsid w:val="00777F1E"/>
    <w:rsid w:val="00777F32"/>
    <w:rsid w:val="00777F55"/>
    <w:rsid w:val="00777F57"/>
    <w:rsid w:val="00777F89"/>
    <w:rsid w:val="00777FB6"/>
    <w:rsid w:val="00777FCA"/>
    <w:rsid w:val="00777FF5"/>
    <w:rsid w:val="0077B73B"/>
    <w:rsid w:val="0078000A"/>
    <w:rsid w:val="00780020"/>
    <w:rsid w:val="0078003A"/>
    <w:rsid w:val="0078004E"/>
    <w:rsid w:val="00780056"/>
    <w:rsid w:val="0078009C"/>
    <w:rsid w:val="007800AE"/>
    <w:rsid w:val="007800C2"/>
    <w:rsid w:val="007800D5"/>
    <w:rsid w:val="0078014B"/>
    <w:rsid w:val="00780190"/>
    <w:rsid w:val="007801B3"/>
    <w:rsid w:val="007801D1"/>
    <w:rsid w:val="0078021B"/>
    <w:rsid w:val="0078022E"/>
    <w:rsid w:val="00780236"/>
    <w:rsid w:val="0078026E"/>
    <w:rsid w:val="007802CE"/>
    <w:rsid w:val="007802E5"/>
    <w:rsid w:val="007802EA"/>
    <w:rsid w:val="00780307"/>
    <w:rsid w:val="00780383"/>
    <w:rsid w:val="00780394"/>
    <w:rsid w:val="007803AD"/>
    <w:rsid w:val="007803AF"/>
    <w:rsid w:val="007803C0"/>
    <w:rsid w:val="0078040D"/>
    <w:rsid w:val="0078040E"/>
    <w:rsid w:val="007804F7"/>
    <w:rsid w:val="00780540"/>
    <w:rsid w:val="0078056B"/>
    <w:rsid w:val="007805CD"/>
    <w:rsid w:val="007805D4"/>
    <w:rsid w:val="00780649"/>
    <w:rsid w:val="00780667"/>
    <w:rsid w:val="00780764"/>
    <w:rsid w:val="0078076B"/>
    <w:rsid w:val="0078077C"/>
    <w:rsid w:val="0078078C"/>
    <w:rsid w:val="007807BB"/>
    <w:rsid w:val="007807C4"/>
    <w:rsid w:val="00780863"/>
    <w:rsid w:val="0078088C"/>
    <w:rsid w:val="007808E6"/>
    <w:rsid w:val="007808FD"/>
    <w:rsid w:val="00780940"/>
    <w:rsid w:val="00780948"/>
    <w:rsid w:val="00780958"/>
    <w:rsid w:val="00780992"/>
    <w:rsid w:val="007809B3"/>
    <w:rsid w:val="007809C6"/>
    <w:rsid w:val="007809E2"/>
    <w:rsid w:val="00780A9B"/>
    <w:rsid w:val="00780AA0"/>
    <w:rsid w:val="00780AD3"/>
    <w:rsid w:val="00780B22"/>
    <w:rsid w:val="00780BB1"/>
    <w:rsid w:val="00780BC0"/>
    <w:rsid w:val="00780BE5"/>
    <w:rsid w:val="00780BFC"/>
    <w:rsid w:val="00780C50"/>
    <w:rsid w:val="00780C85"/>
    <w:rsid w:val="00780D46"/>
    <w:rsid w:val="00780D60"/>
    <w:rsid w:val="00780D73"/>
    <w:rsid w:val="00780D79"/>
    <w:rsid w:val="00780DD5"/>
    <w:rsid w:val="00780DDA"/>
    <w:rsid w:val="00780DE2"/>
    <w:rsid w:val="00780E9C"/>
    <w:rsid w:val="00780ECF"/>
    <w:rsid w:val="00780F76"/>
    <w:rsid w:val="00780F91"/>
    <w:rsid w:val="00780FB0"/>
    <w:rsid w:val="00781031"/>
    <w:rsid w:val="00781046"/>
    <w:rsid w:val="00781061"/>
    <w:rsid w:val="00781062"/>
    <w:rsid w:val="00781069"/>
    <w:rsid w:val="00781087"/>
    <w:rsid w:val="00781088"/>
    <w:rsid w:val="007810BD"/>
    <w:rsid w:val="007810C5"/>
    <w:rsid w:val="007810CC"/>
    <w:rsid w:val="00781118"/>
    <w:rsid w:val="0078119A"/>
    <w:rsid w:val="007811E1"/>
    <w:rsid w:val="00781277"/>
    <w:rsid w:val="00781297"/>
    <w:rsid w:val="007812DC"/>
    <w:rsid w:val="0078132A"/>
    <w:rsid w:val="00781412"/>
    <w:rsid w:val="00781419"/>
    <w:rsid w:val="00781423"/>
    <w:rsid w:val="00781427"/>
    <w:rsid w:val="00781429"/>
    <w:rsid w:val="00781465"/>
    <w:rsid w:val="007814A5"/>
    <w:rsid w:val="007814A6"/>
    <w:rsid w:val="00781530"/>
    <w:rsid w:val="00781661"/>
    <w:rsid w:val="007816AC"/>
    <w:rsid w:val="007816EF"/>
    <w:rsid w:val="00781774"/>
    <w:rsid w:val="00781778"/>
    <w:rsid w:val="007817AC"/>
    <w:rsid w:val="007817DA"/>
    <w:rsid w:val="007817FA"/>
    <w:rsid w:val="0078183C"/>
    <w:rsid w:val="00781841"/>
    <w:rsid w:val="00781897"/>
    <w:rsid w:val="007818AE"/>
    <w:rsid w:val="007818FF"/>
    <w:rsid w:val="0078195C"/>
    <w:rsid w:val="0078197E"/>
    <w:rsid w:val="007819ED"/>
    <w:rsid w:val="00781A54"/>
    <w:rsid w:val="00781A65"/>
    <w:rsid w:val="00781AD9"/>
    <w:rsid w:val="00781AF9"/>
    <w:rsid w:val="00781B18"/>
    <w:rsid w:val="00781B37"/>
    <w:rsid w:val="00781B47"/>
    <w:rsid w:val="00781B50"/>
    <w:rsid w:val="00781B67"/>
    <w:rsid w:val="00781B82"/>
    <w:rsid w:val="00781B97"/>
    <w:rsid w:val="00781BB0"/>
    <w:rsid w:val="00781C42"/>
    <w:rsid w:val="00781C95"/>
    <w:rsid w:val="00781C9D"/>
    <w:rsid w:val="00781CEB"/>
    <w:rsid w:val="00781CFA"/>
    <w:rsid w:val="00781D85"/>
    <w:rsid w:val="00781DAD"/>
    <w:rsid w:val="00781DE2"/>
    <w:rsid w:val="00781DEA"/>
    <w:rsid w:val="00781ECF"/>
    <w:rsid w:val="00781EFA"/>
    <w:rsid w:val="00781F4F"/>
    <w:rsid w:val="00781F96"/>
    <w:rsid w:val="00781FA4"/>
    <w:rsid w:val="00781FC8"/>
    <w:rsid w:val="00781FD9"/>
    <w:rsid w:val="0078204B"/>
    <w:rsid w:val="00782100"/>
    <w:rsid w:val="0078210E"/>
    <w:rsid w:val="00782156"/>
    <w:rsid w:val="00782165"/>
    <w:rsid w:val="0078217C"/>
    <w:rsid w:val="0078217E"/>
    <w:rsid w:val="007821BD"/>
    <w:rsid w:val="00782236"/>
    <w:rsid w:val="0078223C"/>
    <w:rsid w:val="00782242"/>
    <w:rsid w:val="00782247"/>
    <w:rsid w:val="00782374"/>
    <w:rsid w:val="00782399"/>
    <w:rsid w:val="007823AD"/>
    <w:rsid w:val="007823E8"/>
    <w:rsid w:val="007823F8"/>
    <w:rsid w:val="00782409"/>
    <w:rsid w:val="0078241C"/>
    <w:rsid w:val="0078242C"/>
    <w:rsid w:val="007824F0"/>
    <w:rsid w:val="00782521"/>
    <w:rsid w:val="00782522"/>
    <w:rsid w:val="00782535"/>
    <w:rsid w:val="0078254E"/>
    <w:rsid w:val="007825B0"/>
    <w:rsid w:val="007825C5"/>
    <w:rsid w:val="00782603"/>
    <w:rsid w:val="0078261E"/>
    <w:rsid w:val="0078263D"/>
    <w:rsid w:val="0078268C"/>
    <w:rsid w:val="00782700"/>
    <w:rsid w:val="0078285F"/>
    <w:rsid w:val="007828A6"/>
    <w:rsid w:val="0078299F"/>
    <w:rsid w:val="007829A4"/>
    <w:rsid w:val="007829E3"/>
    <w:rsid w:val="007829F2"/>
    <w:rsid w:val="00782A01"/>
    <w:rsid w:val="00782A0C"/>
    <w:rsid w:val="00782A10"/>
    <w:rsid w:val="00782A61"/>
    <w:rsid w:val="00782AA2"/>
    <w:rsid w:val="00782AD2"/>
    <w:rsid w:val="00782AE0"/>
    <w:rsid w:val="00782AF1"/>
    <w:rsid w:val="00782B2E"/>
    <w:rsid w:val="00782B56"/>
    <w:rsid w:val="00782BEB"/>
    <w:rsid w:val="00782CE8"/>
    <w:rsid w:val="00782CEA"/>
    <w:rsid w:val="00782D0B"/>
    <w:rsid w:val="00782D3E"/>
    <w:rsid w:val="00782D74"/>
    <w:rsid w:val="00782E8D"/>
    <w:rsid w:val="00782E9C"/>
    <w:rsid w:val="00782EB5"/>
    <w:rsid w:val="00782EFE"/>
    <w:rsid w:val="00782F9D"/>
    <w:rsid w:val="00782F9E"/>
    <w:rsid w:val="00782FD5"/>
    <w:rsid w:val="00783066"/>
    <w:rsid w:val="007830BB"/>
    <w:rsid w:val="007830BC"/>
    <w:rsid w:val="007830D0"/>
    <w:rsid w:val="007830FA"/>
    <w:rsid w:val="00783163"/>
    <w:rsid w:val="00783178"/>
    <w:rsid w:val="007831BE"/>
    <w:rsid w:val="007831F6"/>
    <w:rsid w:val="007832A8"/>
    <w:rsid w:val="007832CD"/>
    <w:rsid w:val="007832FE"/>
    <w:rsid w:val="0078337A"/>
    <w:rsid w:val="0078338D"/>
    <w:rsid w:val="007833D2"/>
    <w:rsid w:val="007833EF"/>
    <w:rsid w:val="007833F8"/>
    <w:rsid w:val="0078341F"/>
    <w:rsid w:val="0078343D"/>
    <w:rsid w:val="007834BE"/>
    <w:rsid w:val="007835BC"/>
    <w:rsid w:val="007835EF"/>
    <w:rsid w:val="00783602"/>
    <w:rsid w:val="00783611"/>
    <w:rsid w:val="0078363C"/>
    <w:rsid w:val="00783692"/>
    <w:rsid w:val="00783740"/>
    <w:rsid w:val="0078381F"/>
    <w:rsid w:val="00783839"/>
    <w:rsid w:val="00783850"/>
    <w:rsid w:val="007838F5"/>
    <w:rsid w:val="007838F9"/>
    <w:rsid w:val="007838FE"/>
    <w:rsid w:val="00783923"/>
    <w:rsid w:val="00783939"/>
    <w:rsid w:val="007839CB"/>
    <w:rsid w:val="007839F2"/>
    <w:rsid w:val="00783A24"/>
    <w:rsid w:val="00783A32"/>
    <w:rsid w:val="00783A4E"/>
    <w:rsid w:val="00783A6C"/>
    <w:rsid w:val="00783A7C"/>
    <w:rsid w:val="00783A7D"/>
    <w:rsid w:val="00783A9C"/>
    <w:rsid w:val="00783AB7"/>
    <w:rsid w:val="00783ABA"/>
    <w:rsid w:val="00783ABD"/>
    <w:rsid w:val="00783AD7"/>
    <w:rsid w:val="00783AE5"/>
    <w:rsid w:val="00783B4D"/>
    <w:rsid w:val="00783B7E"/>
    <w:rsid w:val="00783B8C"/>
    <w:rsid w:val="00783BB0"/>
    <w:rsid w:val="00783BBE"/>
    <w:rsid w:val="00783C20"/>
    <w:rsid w:val="00783C58"/>
    <w:rsid w:val="00783C6C"/>
    <w:rsid w:val="00783CB1"/>
    <w:rsid w:val="00783CC6"/>
    <w:rsid w:val="00783CDF"/>
    <w:rsid w:val="00783CFD"/>
    <w:rsid w:val="00783D05"/>
    <w:rsid w:val="00783D12"/>
    <w:rsid w:val="00783D2B"/>
    <w:rsid w:val="00783D4D"/>
    <w:rsid w:val="00783DA4"/>
    <w:rsid w:val="00783E1E"/>
    <w:rsid w:val="00783E77"/>
    <w:rsid w:val="00783EC4"/>
    <w:rsid w:val="00783EEE"/>
    <w:rsid w:val="00783F13"/>
    <w:rsid w:val="00783F32"/>
    <w:rsid w:val="00783F94"/>
    <w:rsid w:val="00783FD1"/>
    <w:rsid w:val="00783FE6"/>
    <w:rsid w:val="00783FF1"/>
    <w:rsid w:val="00784007"/>
    <w:rsid w:val="0078401E"/>
    <w:rsid w:val="0078402F"/>
    <w:rsid w:val="00784039"/>
    <w:rsid w:val="00784058"/>
    <w:rsid w:val="0078405D"/>
    <w:rsid w:val="007840DE"/>
    <w:rsid w:val="00784100"/>
    <w:rsid w:val="00784199"/>
    <w:rsid w:val="007841A2"/>
    <w:rsid w:val="007841A8"/>
    <w:rsid w:val="007841F7"/>
    <w:rsid w:val="00784204"/>
    <w:rsid w:val="0078420E"/>
    <w:rsid w:val="0078423A"/>
    <w:rsid w:val="00784240"/>
    <w:rsid w:val="00784266"/>
    <w:rsid w:val="0078427D"/>
    <w:rsid w:val="007842FA"/>
    <w:rsid w:val="00784317"/>
    <w:rsid w:val="00784362"/>
    <w:rsid w:val="00784377"/>
    <w:rsid w:val="0078441C"/>
    <w:rsid w:val="00784459"/>
    <w:rsid w:val="0078445C"/>
    <w:rsid w:val="00784498"/>
    <w:rsid w:val="007844E5"/>
    <w:rsid w:val="007844E6"/>
    <w:rsid w:val="00784580"/>
    <w:rsid w:val="007845AF"/>
    <w:rsid w:val="0078465F"/>
    <w:rsid w:val="007846AA"/>
    <w:rsid w:val="007846C4"/>
    <w:rsid w:val="00784708"/>
    <w:rsid w:val="00784750"/>
    <w:rsid w:val="00784753"/>
    <w:rsid w:val="00784771"/>
    <w:rsid w:val="0078479A"/>
    <w:rsid w:val="00784815"/>
    <w:rsid w:val="0078496A"/>
    <w:rsid w:val="007849BE"/>
    <w:rsid w:val="007849CC"/>
    <w:rsid w:val="007849E2"/>
    <w:rsid w:val="00784A51"/>
    <w:rsid w:val="00784A64"/>
    <w:rsid w:val="00784A9A"/>
    <w:rsid w:val="00784ACA"/>
    <w:rsid w:val="00784B08"/>
    <w:rsid w:val="00784B8F"/>
    <w:rsid w:val="00784B97"/>
    <w:rsid w:val="00784BB5"/>
    <w:rsid w:val="00784BC6"/>
    <w:rsid w:val="00784C1A"/>
    <w:rsid w:val="00784C7E"/>
    <w:rsid w:val="00784C84"/>
    <w:rsid w:val="00784D08"/>
    <w:rsid w:val="00784DC0"/>
    <w:rsid w:val="00784E25"/>
    <w:rsid w:val="00784E2D"/>
    <w:rsid w:val="00784E3F"/>
    <w:rsid w:val="00784E75"/>
    <w:rsid w:val="00784EAC"/>
    <w:rsid w:val="00784F10"/>
    <w:rsid w:val="00784F11"/>
    <w:rsid w:val="00784F1B"/>
    <w:rsid w:val="00784F87"/>
    <w:rsid w:val="00784FB9"/>
    <w:rsid w:val="00785021"/>
    <w:rsid w:val="00785030"/>
    <w:rsid w:val="00785093"/>
    <w:rsid w:val="007850ED"/>
    <w:rsid w:val="00785128"/>
    <w:rsid w:val="007851E6"/>
    <w:rsid w:val="00785210"/>
    <w:rsid w:val="007852FE"/>
    <w:rsid w:val="0078530D"/>
    <w:rsid w:val="00785311"/>
    <w:rsid w:val="0078533A"/>
    <w:rsid w:val="0078534B"/>
    <w:rsid w:val="00785369"/>
    <w:rsid w:val="00785407"/>
    <w:rsid w:val="00785419"/>
    <w:rsid w:val="00785429"/>
    <w:rsid w:val="00785493"/>
    <w:rsid w:val="007854D6"/>
    <w:rsid w:val="0078550B"/>
    <w:rsid w:val="00785544"/>
    <w:rsid w:val="00785558"/>
    <w:rsid w:val="007855B9"/>
    <w:rsid w:val="00785650"/>
    <w:rsid w:val="00785658"/>
    <w:rsid w:val="0078568C"/>
    <w:rsid w:val="007856B1"/>
    <w:rsid w:val="007856E7"/>
    <w:rsid w:val="00785724"/>
    <w:rsid w:val="00785728"/>
    <w:rsid w:val="0078574D"/>
    <w:rsid w:val="007857AC"/>
    <w:rsid w:val="007857F6"/>
    <w:rsid w:val="00785850"/>
    <w:rsid w:val="00785866"/>
    <w:rsid w:val="00785899"/>
    <w:rsid w:val="0078589A"/>
    <w:rsid w:val="007858A1"/>
    <w:rsid w:val="007858BA"/>
    <w:rsid w:val="007858E7"/>
    <w:rsid w:val="00785900"/>
    <w:rsid w:val="0078599E"/>
    <w:rsid w:val="007859A4"/>
    <w:rsid w:val="007859EA"/>
    <w:rsid w:val="00785A0B"/>
    <w:rsid w:val="00785A4D"/>
    <w:rsid w:val="00785A66"/>
    <w:rsid w:val="00785A91"/>
    <w:rsid w:val="00785AD4"/>
    <w:rsid w:val="00785AF1"/>
    <w:rsid w:val="00785BE9"/>
    <w:rsid w:val="00785C62"/>
    <w:rsid w:val="00785C66"/>
    <w:rsid w:val="00785CC2"/>
    <w:rsid w:val="00785D06"/>
    <w:rsid w:val="00785D2D"/>
    <w:rsid w:val="00785D50"/>
    <w:rsid w:val="00785D77"/>
    <w:rsid w:val="00785DDD"/>
    <w:rsid w:val="00785DE6"/>
    <w:rsid w:val="00785E19"/>
    <w:rsid w:val="00785E6E"/>
    <w:rsid w:val="00785E88"/>
    <w:rsid w:val="00785EBF"/>
    <w:rsid w:val="00785F4E"/>
    <w:rsid w:val="00785F60"/>
    <w:rsid w:val="00785FA0"/>
    <w:rsid w:val="00786006"/>
    <w:rsid w:val="00786058"/>
    <w:rsid w:val="007860DD"/>
    <w:rsid w:val="007860FA"/>
    <w:rsid w:val="0078612C"/>
    <w:rsid w:val="007861E4"/>
    <w:rsid w:val="0078621A"/>
    <w:rsid w:val="00786223"/>
    <w:rsid w:val="00786259"/>
    <w:rsid w:val="0078626F"/>
    <w:rsid w:val="00786272"/>
    <w:rsid w:val="0078627C"/>
    <w:rsid w:val="007862A2"/>
    <w:rsid w:val="007862F7"/>
    <w:rsid w:val="00786337"/>
    <w:rsid w:val="00786373"/>
    <w:rsid w:val="0078640B"/>
    <w:rsid w:val="00786478"/>
    <w:rsid w:val="00786498"/>
    <w:rsid w:val="007864C9"/>
    <w:rsid w:val="00786597"/>
    <w:rsid w:val="007865AB"/>
    <w:rsid w:val="00786601"/>
    <w:rsid w:val="0078667C"/>
    <w:rsid w:val="007866C1"/>
    <w:rsid w:val="007866C9"/>
    <w:rsid w:val="00786724"/>
    <w:rsid w:val="00786761"/>
    <w:rsid w:val="00786766"/>
    <w:rsid w:val="0078677A"/>
    <w:rsid w:val="00786788"/>
    <w:rsid w:val="007867DE"/>
    <w:rsid w:val="007867FB"/>
    <w:rsid w:val="007868DE"/>
    <w:rsid w:val="007868FA"/>
    <w:rsid w:val="00786911"/>
    <w:rsid w:val="0078692E"/>
    <w:rsid w:val="00786946"/>
    <w:rsid w:val="00786958"/>
    <w:rsid w:val="0078699E"/>
    <w:rsid w:val="007869A4"/>
    <w:rsid w:val="00786A11"/>
    <w:rsid w:val="00786A1E"/>
    <w:rsid w:val="00786A25"/>
    <w:rsid w:val="00786AC5"/>
    <w:rsid w:val="00786B10"/>
    <w:rsid w:val="00786B70"/>
    <w:rsid w:val="00786B85"/>
    <w:rsid w:val="00786BC9"/>
    <w:rsid w:val="00786BE0"/>
    <w:rsid w:val="00786C12"/>
    <w:rsid w:val="00786C3E"/>
    <w:rsid w:val="00786C5B"/>
    <w:rsid w:val="00786C71"/>
    <w:rsid w:val="00786C99"/>
    <w:rsid w:val="00786D23"/>
    <w:rsid w:val="00786D4B"/>
    <w:rsid w:val="00786D73"/>
    <w:rsid w:val="00786D80"/>
    <w:rsid w:val="00786DBD"/>
    <w:rsid w:val="00786DBE"/>
    <w:rsid w:val="00786DE4"/>
    <w:rsid w:val="00786DEC"/>
    <w:rsid w:val="00786E18"/>
    <w:rsid w:val="00786E2A"/>
    <w:rsid w:val="00786E3F"/>
    <w:rsid w:val="00786E61"/>
    <w:rsid w:val="00786F0F"/>
    <w:rsid w:val="00786F2B"/>
    <w:rsid w:val="00786F8F"/>
    <w:rsid w:val="00787029"/>
    <w:rsid w:val="007870A0"/>
    <w:rsid w:val="007870E8"/>
    <w:rsid w:val="00787155"/>
    <w:rsid w:val="00787163"/>
    <w:rsid w:val="007871C9"/>
    <w:rsid w:val="00787222"/>
    <w:rsid w:val="00787226"/>
    <w:rsid w:val="007872B2"/>
    <w:rsid w:val="007872CD"/>
    <w:rsid w:val="00787378"/>
    <w:rsid w:val="007873F8"/>
    <w:rsid w:val="0078744C"/>
    <w:rsid w:val="0078748B"/>
    <w:rsid w:val="007874D0"/>
    <w:rsid w:val="00787553"/>
    <w:rsid w:val="0078755F"/>
    <w:rsid w:val="0078756B"/>
    <w:rsid w:val="00787571"/>
    <w:rsid w:val="00787628"/>
    <w:rsid w:val="0078766A"/>
    <w:rsid w:val="0078768F"/>
    <w:rsid w:val="007876B0"/>
    <w:rsid w:val="0078779D"/>
    <w:rsid w:val="007877C6"/>
    <w:rsid w:val="007877EE"/>
    <w:rsid w:val="0078787B"/>
    <w:rsid w:val="007878BD"/>
    <w:rsid w:val="007878CB"/>
    <w:rsid w:val="0078790A"/>
    <w:rsid w:val="00787925"/>
    <w:rsid w:val="0078793C"/>
    <w:rsid w:val="00787A1D"/>
    <w:rsid w:val="00787A2B"/>
    <w:rsid w:val="00787A31"/>
    <w:rsid w:val="00787A44"/>
    <w:rsid w:val="00787A83"/>
    <w:rsid w:val="00787A96"/>
    <w:rsid w:val="00787ACE"/>
    <w:rsid w:val="00787ADB"/>
    <w:rsid w:val="00787B5D"/>
    <w:rsid w:val="00787B63"/>
    <w:rsid w:val="00787B9D"/>
    <w:rsid w:val="00787BD7"/>
    <w:rsid w:val="00787C5B"/>
    <w:rsid w:val="00787C9F"/>
    <w:rsid w:val="00787CE4"/>
    <w:rsid w:val="00787D53"/>
    <w:rsid w:val="00787D6D"/>
    <w:rsid w:val="00787DF6"/>
    <w:rsid w:val="00787E3C"/>
    <w:rsid w:val="00787E6E"/>
    <w:rsid w:val="00787F32"/>
    <w:rsid w:val="00787F38"/>
    <w:rsid w:val="00787F39"/>
    <w:rsid w:val="00787F41"/>
    <w:rsid w:val="00787F61"/>
    <w:rsid w:val="00787FE1"/>
    <w:rsid w:val="00790008"/>
    <w:rsid w:val="00790015"/>
    <w:rsid w:val="0079002E"/>
    <w:rsid w:val="00790056"/>
    <w:rsid w:val="0079007C"/>
    <w:rsid w:val="007901A1"/>
    <w:rsid w:val="007901F5"/>
    <w:rsid w:val="00790223"/>
    <w:rsid w:val="00790239"/>
    <w:rsid w:val="0079024E"/>
    <w:rsid w:val="0079028F"/>
    <w:rsid w:val="00790308"/>
    <w:rsid w:val="00790319"/>
    <w:rsid w:val="0079033E"/>
    <w:rsid w:val="00790363"/>
    <w:rsid w:val="007903E9"/>
    <w:rsid w:val="0079041D"/>
    <w:rsid w:val="00790425"/>
    <w:rsid w:val="00790430"/>
    <w:rsid w:val="00790453"/>
    <w:rsid w:val="00790473"/>
    <w:rsid w:val="007904D3"/>
    <w:rsid w:val="00790518"/>
    <w:rsid w:val="00790583"/>
    <w:rsid w:val="007905FB"/>
    <w:rsid w:val="0079061C"/>
    <w:rsid w:val="00790633"/>
    <w:rsid w:val="00790673"/>
    <w:rsid w:val="007906DA"/>
    <w:rsid w:val="00790718"/>
    <w:rsid w:val="0079071F"/>
    <w:rsid w:val="0079074D"/>
    <w:rsid w:val="00790762"/>
    <w:rsid w:val="00790789"/>
    <w:rsid w:val="00790790"/>
    <w:rsid w:val="007907EA"/>
    <w:rsid w:val="00790822"/>
    <w:rsid w:val="0079082C"/>
    <w:rsid w:val="00790836"/>
    <w:rsid w:val="00790891"/>
    <w:rsid w:val="007908A5"/>
    <w:rsid w:val="007909D8"/>
    <w:rsid w:val="007909F9"/>
    <w:rsid w:val="00790AAB"/>
    <w:rsid w:val="00790ABC"/>
    <w:rsid w:val="00790ABE"/>
    <w:rsid w:val="00790AC5"/>
    <w:rsid w:val="00790AC9"/>
    <w:rsid w:val="00790AF5"/>
    <w:rsid w:val="00790BAC"/>
    <w:rsid w:val="00790BB3"/>
    <w:rsid w:val="00790BB8"/>
    <w:rsid w:val="00790C10"/>
    <w:rsid w:val="00790C11"/>
    <w:rsid w:val="00790CA9"/>
    <w:rsid w:val="00790CBB"/>
    <w:rsid w:val="00790CF4"/>
    <w:rsid w:val="00790D19"/>
    <w:rsid w:val="00790D55"/>
    <w:rsid w:val="00790D5E"/>
    <w:rsid w:val="00790E14"/>
    <w:rsid w:val="00790E56"/>
    <w:rsid w:val="00790EAF"/>
    <w:rsid w:val="00790ECC"/>
    <w:rsid w:val="00790F05"/>
    <w:rsid w:val="00790F0B"/>
    <w:rsid w:val="00790F1C"/>
    <w:rsid w:val="00790F24"/>
    <w:rsid w:val="00790FB9"/>
    <w:rsid w:val="00790FBE"/>
    <w:rsid w:val="00790FCF"/>
    <w:rsid w:val="007910E5"/>
    <w:rsid w:val="007910EB"/>
    <w:rsid w:val="00791106"/>
    <w:rsid w:val="007911BD"/>
    <w:rsid w:val="00791280"/>
    <w:rsid w:val="007912DA"/>
    <w:rsid w:val="00791302"/>
    <w:rsid w:val="00791303"/>
    <w:rsid w:val="0079144B"/>
    <w:rsid w:val="00791469"/>
    <w:rsid w:val="007914A3"/>
    <w:rsid w:val="007914AF"/>
    <w:rsid w:val="007914B3"/>
    <w:rsid w:val="007914FE"/>
    <w:rsid w:val="007915EE"/>
    <w:rsid w:val="00791624"/>
    <w:rsid w:val="00791645"/>
    <w:rsid w:val="0079168D"/>
    <w:rsid w:val="007916EE"/>
    <w:rsid w:val="00791775"/>
    <w:rsid w:val="00791832"/>
    <w:rsid w:val="00791905"/>
    <w:rsid w:val="00791918"/>
    <w:rsid w:val="0079191B"/>
    <w:rsid w:val="00791998"/>
    <w:rsid w:val="007919B3"/>
    <w:rsid w:val="007919D7"/>
    <w:rsid w:val="007919F7"/>
    <w:rsid w:val="00791A99"/>
    <w:rsid w:val="00791B2A"/>
    <w:rsid w:val="00791C78"/>
    <w:rsid w:val="00791CD3"/>
    <w:rsid w:val="00791D82"/>
    <w:rsid w:val="00791D85"/>
    <w:rsid w:val="00791D8D"/>
    <w:rsid w:val="00791D9D"/>
    <w:rsid w:val="00791DFE"/>
    <w:rsid w:val="00791E19"/>
    <w:rsid w:val="00791E5B"/>
    <w:rsid w:val="00791E93"/>
    <w:rsid w:val="00791F09"/>
    <w:rsid w:val="00791F56"/>
    <w:rsid w:val="00791F97"/>
    <w:rsid w:val="00791FBB"/>
    <w:rsid w:val="00791FD7"/>
    <w:rsid w:val="00791FF6"/>
    <w:rsid w:val="00792000"/>
    <w:rsid w:val="0079201E"/>
    <w:rsid w:val="00792037"/>
    <w:rsid w:val="00792060"/>
    <w:rsid w:val="007920AF"/>
    <w:rsid w:val="007920B1"/>
    <w:rsid w:val="007920CC"/>
    <w:rsid w:val="007920FF"/>
    <w:rsid w:val="0079211B"/>
    <w:rsid w:val="00792132"/>
    <w:rsid w:val="0079218F"/>
    <w:rsid w:val="00792193"/>
    <w:rsid w:val="00792240"/>
    <w:rsid w:val="007922DA"/>
    <w:rsid w:val="00792304"/>
    <w:rsid w:val="00792319"/>
    <w:rsid w:val="0079233E"/>
    <w:rsid w:val="00792359"/>
    <w:rsid w:val="0079239C"/>
    <w:rsid w:val="0079239D"/>
    <w:rsid w:val="007923BE"/>
    <w:rsid w:val="007923CC"/>
    <w:rsid w:val="007923D6"/>
    <w:rsid w:val="007924CB"/>
    <w:rsid w:val="0079250D"/>
    <w:rsid w:val="00792531"/>
    <w:rsid w:val="00792591"/>
    <w:rsid w:val="007925DB"/>
    <w:rsid w:val="007925EA"/>
    <w:rsid w:val="00792614"/>
    <w:rsid w:val="00792620"/>
    <w:rsid w:val="007926CA"/>
    <w:rsid w:val="00792704"/>
    <w:rsid w:val="00792708"/>
    <w:rsid w:val="00792739"/>
    <w:rsid w:val="0079276C"/>
    <w:rsid w:val="00792782"/>
    <w:rsid w:val="0079281A"/>
    <w:rsid w:val="00792862"/>
    <w:rsid w:val="007928E5"/>
    <w:rsid w:val="00792916"/>
    <w:rsid w:val="0079299F"/>
    <w:rsid w:val="007929B6"/>
    <w:rsid w:val="007929C5"/>
    <w:rsid w:val="007929F7"/>
    <w:rsid w:val="00792A07"/>
    <w:rsid w:val="00792A25"/>
    <w:rsid w:val="00792A59"/>
    <w:rsid w:val="00792ADE"/>
    <w:rsid w:val="00792B0A"/>
    <w:rsid w:val="00792B1D"/>
    <w:rsid w:val="00792B53"/>
    <w:rsid w:val="00792C15"/>
    <w:rsid w:val="00792C22"/>
    <w:rsid w:val="00792C2A"/>
    <w:rsid w:val="00792C48"/>
    <w:rsid w:val="00792C7B"/>
    <w:rsid w:val="00792CA2"/>
    <w:rsid w:val="00792CAD"/>
    <w:rsid w:val="00792CD3"/>
    <w:rsid w:val="00792D0E"/>
    <w:rsid w:val="00792D0F"/>
    <w:rsid w:val="00792D1E"/>
    <w:rsid w:val="00792D60"/>
    <w:rsid w:val="00792DB5"/>
    <w:rsid w:val="00792DF7"/>
    <w:rsid w:val="00792E1A"/>
    <w:rsid w:val="00792E53"/>
    <w:rsid w:val="00792E68"/>
    <w:rsid w:val="00792ED0"/>
    <w:rsid w:val="00792F15"/>
    <w:rsid w:val="00792F18"/>
    <w:rsid w:val="00792F27"/>
    <w:rsid w:val="00792F2B"/>
    <w:rsid w:val="00792F7A"/>
    <w:rsid w:val="00792FD0"/>
    <w:rsid w:val="00792FDB"/>
    <w:rsid w:val="00792FDF"/>
    <w:rsid w:val="0079301A"/>
    <w:rsid w:val="00793040"/>
    <w:rsid w:val="00793079"/>
    <w:rsid w:val="00793093"/>
    <w:rsid w:val="0079309F"/>
    <w:rsid w:val="007930CE"/>
    <w:rsid w:val="007930D3"/>
    <w:rsid w:val="00793133"/>
    <w:rsid w:val="0079316D"/>
    <w:rsid w:val="00793186"/>
    <w:rsid w:val="0079319A"/>
    <w:rsid w:val="007931A4"/>
    <w:rsid w:val="007931F2"/>
    <w:rsid w:val="00793228"/>
    <w:rsid w:val="00793299"/>
    <w:rsid w:val="007933C0"/>
    <w:rsid w:val="00793451"/>
    <w:rsid w:val="007934A7"/>
    <w:rsid w:val="007934B0"/>
    <w:rsid w:val="007934E1"/>
    <w:rsid w:val="00793525"/>
    <w:rsid w:val="0079359E"/>
    <w:rsid w:val="007935A8"/>
    <w:rsid w:val="007935CE"/>
    <w:rsid w:val="00793621"/>
    <w:rsid w:val="00793680"/>
    <w:rsid w:val="00793690"/>
    <w:rsid w:val="007936F4"/>
    <w:rsid w:val="0079375F"/>
    <w:rsid w:val="0079378A"/>
    <w:rsid w:val="0079379B"/>
    <w:rsid w:val="007938B9"/>
    <w:rsid w:val="00793962"/>
    <w:rsid w:val="00793A13"/>
    <w:rsid w:val="00793A46"/>
    <w:rsid w:val="00793A62"/>
    <w:rsid w:val="00793A64"/>
    <w:rsid w:val="00793B3E"/>
    <w:rsid w:val="00793BCF"/>
    <w:rsid w:val="00793C59"/>
    <w:rsid w:val="00793CA9"/>
    <w:rsid w:val="00793CB3"/>
    <w:rsid w:val="00793CE5"/>
    <w:rsid w:val="00793DD8"/>
    <w:rsid w:val="00793E11"/>
    <w:rsid w:val="00793E26"/>
    <w:rsid w:val="00793EF4"/>
    <w:rsid w:val="00793F10"/>
    <w:rsid w:val="00793F2E"/>
    <w:rsid w:val="00793F5F"/>
    <w:rsid w:val="00793F6B"/>
    <w:rsid w:val="00793F99"/>
    <w:rsid w:val="00793FE7"/>
    <w:rsid w:val="00793FF1"/>
    <w:rsid w:val="00794013"/>
    <w:rsid w:val="0079401F"/>
    <w:rsid w:val="00794044"/>
    <w:rsid w:val="00794045"/>
    <w:rsid w:val="00794078"/>
    <w:rsid w:val="00794095"/>
    <w:rsid w:val="007940E6"/>
    <w:rsid w:val="00794166"/>
    <w:rsid w:val="00794215"/>
    <w:rsid w:val="00794278"/>
    <w:rsid w:val="007942BA"/>
    <w:rsid w:val="007942C0"/>
    <w:rsid w:val="007942DC"/>
    <w:rsid w:val="00794327"/>
    <w:rsid w:val="00794330"/>
    <w:rsid w:val="00794478"/>
    <w:rsid w:val="0079448F"/>
    <w:rsid w:val="007944C9"/>
    <w:rsid w:val="007944E4"/>
    <w:rsid w:val="0079450E"/>
    <w:rsid w:val="00794588"/>
    <w:rsid w:val="007945D8"/>
    <w:rsid w:val="00794623"/>
    <w:rsid w:val="0079468E"/>
    <w:rsid w:val="007946A7"/>
    <w:rsid w:val="007946C6"/>
    <w:rsid w:val="007946DD"/>
    <w:rsid w:val="0079476B"/>
    <w:rsid w:val="00794773"/>
    <w:rsid w:val="00794858"/>
    <w:rsid w:val="00794891"/>
    <w:rsid w:val="007948AC"/>
    <w:rsid w:val="007948E8"/>
    <w:rsid w:val="0079499E"/>
    <w:rsid w:val="007949B7"/>
    <w:rsid w:val="00794A71"/>
    <w:rsid w:val="00794A89"/>
    <w:rsid w:val="00794AE2"/>
    <w:rsid w:val="00794B15"/>
    <w:rsid w:val="00794B48"/>
    <w:rsid w:val="00794BBD"/>
    <w:rsid w:val="00794C24"/>
    <w:rsid w:val="00794C38"/>
    <w:rsid w:val="00794C3F"/>
    <w:rsid w:val="00794C48"/>
    <w:rsid w:val="00794C84"/>
    <w:rsid w:val="00794CA7"/>
    <w:rsid w:val="00794D7C"/>
    <w:rsid w:val="00794D82"/>
    <w:rsid w:val="00794D91"/>
    <w:rsid w:val="00794DC5"/>
    <w:rsid w:val="00794E04"/>
    <w:rsid w:val="00794E5F"/>
    <w:rsid w:val="00794E65"/>
    <w:rsid w:val="00794E72"/>
    <w:rsid w:val="00794E7F"/>
    <w:rsid w:val="00794EFD"/>
    <w:rsid w:val="00794F26"/>
    <w:rsid w:val="00794F31"/>
    <w:rsid w:val="00794F79"/>
    <w:rsid w:val="00794FB1"/>
    <w:rsid w:val="00794FE3"/>
    <w:rsid w:val="00795018"/>
    <w:rsid w:val="00795062"/>
    <w:rsid w:val="007950E2"/>
    <w:rsid w:val="00795126"/>
    <w:rsid w:val="0079516F"/>
    <w:rsid w:val="0079519D"/>
    <w:rsid w:val="0079519E"/>
    <w:rsid w:val="007951B3"/>
    <w:rsid w:val="007951BA"/>
    <w:rsid w:val="00795213"/>
    <w:rsid w:val="0079524F"/>
    <w:rsid w:val="0079528E"/>
    <w:rsid w:val="007952AC"/>
    <w:rsid w:val="007952D5"/>
    <w:rsid w:val="007952DD"/>
    <w:rsid w:val="0079530F"/>
    <w:rsid w:val="00795361"/>
    <w:rsid w:val="0079538C"/>
    <w:rsid w:val="007953E3"/>
    <w:rsid w:val="00795403"/>
    <w:rsid w:val="0079547B"/>
    <w:rsid w:val="007954FE"/>
    <w:rsid w:val="00795510"/>
    <w:rsid w:val="007955BA"/>
    <w:rsid w:val="00795720"/>
    <w:rsid w:val="00795755"/>
    <w:rsid w:val="00795763"/>
    <w:rsid w:val="00795777"/>
    <w:rsid w:val="007957EF"/>
    <w:rsid w:val="0079584C"/>
    <w:rsid w:val="0079587A"/>
    <w:rsid w:val="0079587F"/>
    <w:rsid w:val="00795887"/>
    <w:rsid w:val="007958E0"/>
    <w:rsid w:val="007958E7"/>
    <w:rsid w:val="007958F3"/>
    <w:rsid w:val="00795A73"/>
    <w:rsid w:val="00795AA4"/>
    <w:rsid w:val="00795AF9"/>
    <w:rsid w:val="00795B1E"/>
    <w:rsid w:val="00795B38"/>
    <w:rsid w:val="00795B72"/>
    <w:rsid w:val="00795B8B"/>
    <w:rsid w:val="00795BC7"/>
    <w:rsid w:val="00795BC8"/>
    <w:rsid w:val="00795C4A"/>
    <w:rsid w:val="00795C85"/>
    <w:rsid w:val="00795CA2"/>
    <w:rsid w:val="00795CD3"/>
    <w:rsid w:val="00795CE2"/>
    <w:rsid w:val="00795CE6"/>
    <w:rsid w:val="00795CFC"/>
    <w:rsid w:val="00795D07"/>
    <w:rsid w:val="00795D09"/>
    <w:rsid w:val="00795DCE"/>
    <w:rsid w:val="00795DD6"/>
    <w:rsid w:val="00795DE0"/>
    <w:rsid w:val="00795DF4"/>
    <w:rsid w:val="00795E12"/>
    <w:rsid w:val="00795E79"/>
    <w:rsid w:val="00795EB9"/>
    <w:rsid w:val="00795EDE"/>
    <w:rsid w:val="00795F04"/>
    <w:rsid w:val="00795F84"/>
    <w:rsid w:val="00795FF7"/>
    <w:rsid w:val="00796006"/>
    <w:rsid w:val="0079601C"/>
    <w:rsid w:val="00796059"/>
    <w:rsid w:val="00796097"/>
    <w:rsid w:val="007960F6"/>
    <w:rsid w:val="0079612A"/>
    <w:rsid w:val="00796153"/>
    <w:rsid w:val="0079615A"/>
    <w:rsid w:val="007961C0"/>
    <w:rsid w:val="007961E0"/>
    <w:rsid w:val="0079620A"/>
    <w:rsid w:val="0079628A"/>
    <w:rsid w:val="0079629A"/>
    <w:rsid w:val="007962C2"/>
    <w:rsid w:val="0079634A"/>
    <w:rsid w:val="0079635A"/>
    <w:rsid w:val="007963D7"/>
    <w:rsid w:val="007964B0"/>
    <w:rsid w:val="00796579"/>
    <w:rsid w:val="007965E1"/>
    <w:rsid w:val="0079660D"/>
    <w:rsid w:val="0079666A"/>
    <w:rsid w:val="0079669F"/>
    <w:rsid w:val="007966AF"/>
    <w:rsid w:val="00796705"/>
    <w:rsid w:val="0079679A"/>
    <w:rsid w:val="007967C1"/>
    <w:rsid w:val="0079682D"/>
    <w:rsid w:val="00796885"/>
    <w:rsid w:val="007968B7"/>
    <w:rsid w:val="00796933"/>
    <w:rsid w:val="00796970"/>
    <w:rsid w:val="007969F5"/>
    <w:rsid w:val="00796A05"/>
    <w:rsid w:val="00796A2B"/>
    <w:rsid w:val="00796AA3"/>
    <w:rsid w:val="00796AE6"/>
    <w:rsid w:val="00796B07"/>
    <w:rsid w:val="00796B3E"/>
    <w:rsid w:val="00796B78"/>
    <w:rsid w:val="00796BD3"/>
    <w:rsid w:val="00796BD6"/>
    <w:rsid w:val="00796BDB"/>
    <w:rsid w:val="00796C52"/>
    <w:rsid w:val="00796C6E"/>
    <w:rsid w:val="00796D12"/>
    <w:rsid w:val="00796D66"/>
    <w:rsid w:val="00796E12"/>
    <w:rsid w:val="00796E74"/>
    <w:rsid w:val="00796E80"/>
    <w:rsid w:val="00796ECB"/>
    <w:rsid w:val="00796F32"/>
    <w:rsid w:val="00796F63"/>
    <w:rsid w:val="00796F7F"/>
    <w:rsid w:val="00796F8D"/>
    <w:rsid w:val="00796FFB"/>
    <w:rsid w:val="00797054"/>
    <w:rsid w:val="0079705C"/>
    <w:rsid w:val="0079705F"/>
    <w:rsid w:val="0079707A"/>
    <w:rsid w:val="00797099"/>
    <w:rsid w:val="0079711E"/>
    <w:rsid w:val="00797130"/>
    <w:rsid w:val="00797149"/>
    <w:rsid w:val="00797155"/>
    <w:rsid w:val="007971C7"/>
    <w:rsid w:val="007971CD"/>
    <w:rsid w:val="0079720C"/>
    <w:rsid w:val="0079721B"/>
    <w:rsid w:val="00797238"/>
    <w:rsid w:val="0079724E"/>
    <w:rsid w:val="0079725E"/>
    <w:rsid w:val="007972AE"/>
    <w:rsid w:val="00797338"/>
    <w:rsid w:val="00797390"/>
    <w:rsid w:val="007973C7"/>
    <w:rsid w:val="0079746A"/>
    <w:rsid w:val="0079748E"/>
    <w:rsid w:val="0079749B"/>
    <w:rsid w:val="007975B5"/>
    <w:rsid w:val="007975F9"/>
    <w:rsid w:val="0079765B"/>
    <w:rsid w:val="0079767E"/>
    <w:rsid w:val="0079768B"/>
    <w:rsid w:val="007976B6"/>
    <w:rsid w:val="007976C7"/>
    <w:rsid w:val="007976EB"/>
    <w:rsid w:val="0079770F"/>
    <w:rsid w:val="00797723"/>
    <w:rsid w:val="00797763"/>
    <w:rsid w:val="007977D1"/>
    <w:rsid w:val="0079786D"/>
    <w:rsid w:val="007978AE"/>
    <w:rsid w:val="007978CA"/>
    <w:rsid w:val="007978CC"/>
    <w:rsid w:val="0079798D"/>
    <w:rsid w:val="007979AF"/>
    <w:rsid w:val="007979FF"/>
    <w:rsid w:val="00797A1A"/>
    <w:rsid w:val="00797A8B"/>
    <w:rsid w:val="00797AB0"/>
    <w:rsid w:val="00797AE6"/>
    <w:rsid w:val="00797B93"/>
    <w:rsid w:val="00797BAE"/>
    <w:rsid w:val="00797C44"/>
    <w:rsid w:val="00797C4A"/>
    <w:rsid w:val="00797C99"/>
    <w:rsid w:val="00797CE5"/>
    <w:rsid w:val="00797E55"/>
    <w:rsid w:val="00797E56"/>
    <w:rsid w:val="00797EE6"/>
    <w:rsid w:val="00797F18"/>
    <w:rsid w:val="00797F1F"/>
    <w:rsid w:val="00797F23"/>
    <w:rsid w:val="00797F67"/>
    <w:rsid w:val="00797F6F"/>
    <w:rsid w:val="00797FC4"/>
    <w:rsid w:val="007A003A"/>
    <w:rsid w:val="007A004C"/>
    <w:rsid w:val="007A00F5"/>
    <w:rsid w:val="007A0183"/>
    <w:rsid w:val="007A01E5"/>
    <w:rsid w:val="007A02DE"/>
    <w:rsid w:val="007A02E4"/>
    <w:rsid w:val="007A0318"/>
    <w:rsid w:val="007A0327"/>
    <w:rsid w:val="007A039D"/>
    <w:rsid w:val="007A03BF"/>
    <w:rsid w:val="007A042E"/>
    <w:rsid w:val="007A04CE"/>
    <w:rsid w:val="007A04F1"/>
    <w:rsid w:val="007A0504"/>
    <w:rsid w:val="007A050F"/>
    <w:rsid w:val="007A0535"/>
    <w:rsid w:val="007A0546"/>
    <w:rsid w:val="007A0554"/>
    <w:rsid w:val="007A0569"/>
    <w:rsid w:val="007A05AC"/>
    <w:rsid w:val="007A05D6"/>
    <w:rsid w:val="007A0695"/>
    <w:rsid w:val="007A06A5"/>
    <w:rsid w:val="007A06B7"/>
    <w:rsid w:val="007A06F9"/>
    <w:rsid w:val="007A0734"/>
    <w:rsid w:val="007A07BC"/>
    <w:rsid w:val="007A0866"/>
    <w:rsid w:val="007A087F"/>
    <w:rsid w:val="007A0909"/>
    <w:rsid w:val="007A091D"/>
    <w:rsid w:val="007A0954"/>
    <w:rsid w:val="007A096F"/>
    <w:rsid w:val="007A09A8"/>
    <w:rsid w:val="007A09BA"/>
    <w:rsid w:val="007A09BC"/>
    <w:rsid w:val="007A0A2C"/>
    <w:rsid w:val="007A0ADC"/>
    <w:rsid w:val="007A0ADE"/>
    <w:rsid w:val="007A0AEA"/>
    <w:rsid w:val="007A0B68"/>
    <w:rsid w:val="007A0C00"/>
    <w:rsid w:val="007A0C40"/>
    <w:rsid w:val="007A0DE5"/>
    <w:rsid w:val="007A0DED"/>
    <w:rsid w:val="007A0E0B"/>
    <w:rsid w:val="007A0E3E"/>
    <w:rsid w:val="007A0E71"/>
    <w:rsid w:val="007A0E88"/>
    <w:rsid w:val="007A0EA3"/>
    <w:rsid w:val="007A0F1D"/>
    <w:rsid w:val="007A0F41"/>
    <w:rsid w:val="007A0F58"/>
    <w:rsid w:val="007A1010"/>
    <w:rsid w:val="007A101E"/>
    <w:rsid w:val="007A1087"/>
    <w:rsid w:val="007A10A5"/>
    <w:rsid w:val="007A10AF"/>
    <w:rsid w:val="007A10B7"/>
    <w:rsid w:val="007A10F6"/>
    <w:rsid w:val="007A1177"/>
    <w:rsid w:val="007A11DC"/>
    <w:rsid w:val="007A11F4"/>
    <w:rsid w:val="007A1291"/>
    <w:rsid w:val="007A12A4"/>
    <w:rsid w:val="007A12D5"/>
    <w:rsid w:val="007A12EC"/>
    <w:rsid w:val="007A12FA"/>
    <w:rsid w:val="007A130C"/>
    <w:rsid w:val="007A130E"/>
    <w:rsid w:val="007A1358"/>
    <w:rsid w:val="007A1387"/>
    <w:rsid w:val="007A13B3"/>
    <w:rsid w:val="007A1415"/>
    <w:rsid w:val="007A144E"/>
    <w:rsid w:val="007A1488"/>
    <w:rsid w:val="007A1509"/>
    <w:rsid w:val="007A1520"/>
    <w:rsid w:val="007A1525"/>
    <w:rsid w:val="007A1530"/>
    <w:rsid w:val="007A163E"/>
    <w:rsid w:val="007A16C3"/>
    <w:rsid w:val="007A16CF"/>
    <w:rsid w:val="007A1725"/>
    <w:rsid w:val="007A17A6"/>
    <w:rsid w:val="007A1820"/>
    <w:rsid w:val="007A1875"/>
    <w:rsid w:val="007A18AC"/>
    <w:rsid w:val="007A18E5"/>
    <w:rsid w:val="007A190E"/>
    <w:rsid w:val="007A191D"/>
    <w:rsid w:val="007A1922"/>
    <w:rsid w:val="007A1983"/>
    <w:rsid w:val="007A19EF"/>
    <w:rsid w:val="007A1B48"/>
    <w:rsid w:val="007A1B81"/>
    <w:rsid w:val="007A1B89"/>
    <w:rsid w:val="007A1BAD"/>
    <w:rsid w:val="007A1CF4"/>
    <w:rsid w:val="007A1D0C"/>
    <w:rsid w:val="007A1D25"/>
    <w:rsid w:val="007A1D9E"/>
    <w:rsid w:val="007A1E13"/>
    <w:rsid w:val="007A1E4A"/>
    <w:rsid w:val="007A1E4D"/>
    <w:rsid w:val="007A1E87"/>
    <w:rsid w:val="007A1EBF"/>
    <w:rsid w:val="007A1F4A"/>
    <w:rsid w:val="007A1F9E"/>
    <w:rsid w:val="007A1FA6"/>
    <w:rsid w:val="007A1FA7"/>
    <w:rsid w:val="007A2025"/>
    <w:rsid w:val="007A2034"/>
    <w:rsid w:val="007A2054"/>
    <w:rsid w:val="007A2067"/>
    <w:rsid w:val="007A20B8"/>
    <w:rsid w:val="007A20D7"/>
    <w:rsid w:val="007A2109"/>
    <w:rsid w:val="007A2153"/>
    <w:rsid w:val="007A2175"/>
    <w:rsid w:val="007A218F"/>
    <w:rsid w:val="007A21EA"/>
    <w:rsid w:val="007A2274"/>
    <w:rsid w:val="007A227A"/>
    <w:rsid w:val="007A2281"/>
    <w:rsid w:val="007A23A4"/>
    <w:rsid w:val="007A23A8"/>
    <w:rsid w:val="007A23CC"/>
    <w:rsid w:val="007A2422"/>
    <w:rsid w:val="007A2481"/>
    <w:rsid w:val="007A2486"/>
    <w:rsid w:val="007A24DB"/>
    <w:rsid w:val="007A24EC"/>
    <w:rsid w:val="007A2522"/>
    <w:rsid w:val="007A2539"/>
    <w:rsid w:val="007A2558"/>
    <w:rsid w:val="007A2574"/>
    <w:rsid w:val="007A25BE"/>
    <w:rsid w:val="007A25CC"/>
    <w:rsid w:val="007A25E8"/>
    <w:rsid w:val="007A25EC"/>
    <w:rsid w:val="007A25F1"/>
    <w:rsid w:val="007A265D"/>
    <w:rsid w:val="007A26CB"/>
    <w:rsid w:val="007A2717"/>
    <w:rsid w:val="007A2774"/>
    <w:rsid w:val="007A27D7"/>
    <w:rsid w:val="007A2824"/>
    <w:rsid w:val="007A2851"/>
    <w:rsid w:val="007A28EA"/>
    <w:rsid w:val="007A28F5"/>
    <w:rsid w:val="007A29C2"/>
    <w:rsid w:val="007A29D2"/>
    <w:rsid w:val="007A29DD"/>
    <w:rsid w:val="007A29F8"/>
    <w:rsid w:val="007A2A02"/>
    <w:rsid w:val="007A2A4D"/>
    <w:rsid w:val="007A2AAA"/>
    <w:rsid w:val="007A2AAE"/>
    <w:rsid w:val="007A2AE0"/>
    <w:rsid w:val="007A2B77"/>
    <w:rsid w:val="007A2B7F"/>
    <w:rsid w:val="007A2C4F"/>
    <w:rsid w:val="007A2C72"/>
    <w:rsid w:val="007A2C94"/>
    <w:rsid w:val="007A2CDA"/>
    <w:rsid w:val="007A2D7D"/>
    <w:rsid w:val="007A2DEC"/>
    <w:rsid w:val="007A2E8A"/>
    <w:rsid w:val="007A2E90"/>
    <w:rsid w:val="007A2EE7"/>
    <w:rsid w:val="007A2EF6"/>
    <w:rsid w:val="007A2F1E"/>
    <w:rsid w:val="007A2F67"/>
    <w:rsid w:val="007A2FA0"/>
    <w:rsid w:val="007A2FB9"/>
    <w:rsid w:val="007A3043"/>
    <w:rsid w:val="007A30B4"/>
    <w:rsid w:val="007A3136"/>
    <w:rsid w:val="007A3152"/>
    <w:rsid w:val="007A3168"/>
    <w:rsid w:val="007A3181"/>
    <w:rsid w:val="007A31D2"/>
    <w:rsid w:val="007A31D7"/>
    <w:rsid w:val="007A329F"/>
    <w:rsid w:val="007A32AD"/>
    <w:rsid w:val="007A331B"/>
    <w:rsid w:val="007A33A2"/>
    <w:rsid w:val="007A33BC"/>
    <w:rsid w:val="007A3404"/>
    <w:rsid w:val="007A3429"/>
    <w:rsid w:val="007A3442"/>
    <w:rsid w:val="007A3444"/>
    <w:rsid w:val="007A345D"/>
    <w:rsid w:val="007A3475"/>
    <w:rsid w:val="007A34B3"/>
    <w:rsid w:val="007A34BD"/>
    <w:rsid w:val="007A353B"/>
    <w:rsid w:val="007A354E"/>
    <w:rsid w:val="007A3561"/>
    <w:rsid w:val="007A3599"/>
    <w:rsid w:val="007A35CC"/>
    <w:rsid w:val="007A35D8"/>
    <w:rsid w:val="007A35F0"/>
    <w:rsid w:val="007A35F9"/>
    <w:rsid w:val="007A3632"/>
    <w:rsid w:val="007A3678"/>
    <w:rsid w:val="007A367C"/>
    <w:rsid w:val="007A3683"/>
    <w:rsid w:val="007A3695"/>
    <w:rsid w:val="007A3709"/>
    <w:rsid w:val="007A373F"/>
    <w:rsid w:val="007A3744"/>
    <w:rsid w:val="007A378F"/>
    <w:rsid w:val="007A37CC"/>
    <w:rsid w:val="007A37DF"/>
    <w:rsid w:val="007A38D6"/>
    <w:rsid w:val="007A3915"/>
    <w:rsid w:val="007A3978"/>
    <w:rsid w:val="007A3998"/>
    <w:rsid w:val="007A39AF"/>
    <w:rsid w:val="007A39BB"/>
    <w:rsid w:val="007A39EE"/>
    <w:rsid w:val="007A3A54"/>
    <w:rsid w:val="007A3A7C"/>
    <w:rsid w:val="007A3B30"/>
    <w:rsid w:val="007A3B37"/>
    <w:rsid w:val="007A3B6A"/>
    <w:rsid w:val="007A3B7D"/>
    <w:rsid w:val="007A3BF1"/>
    <w:rsid w:val="007A3C4F"/>
    <w:rsid w:val="007A3CA4"/>
    <w:rsid w:val="007A3CC0"/>
    <w:rsid w:val="007A3CF0"/>
    <w:rsid w:val="007A3CF4"/>
    <w:rsid w:val="007A3D6E"/>
    <w:rsid w:val="007A3DD8"/>
    <w:rsid w:val="007A3DE7"/>
    <w:rsid w:val="007A3E11"/>
    <w:rsid w:val="007A3E33"/>
    <w:rsid w:val="007A3F79"/>
    <w:rsid w:val="007A3FA7"/>
    <w:rsid w:val="007A3FBE"/>
    <w:rsid w:val="007A3FBF"/>
    <w:rsid w:val="007A40A6"/>
    <w:rsid w:val="007A40B2"/>
    <w:rsid w:val="007A4128"/>
    <w:rsid w:val="007A4129"/>
    <w:rsid w:val="007A4151"/>
    <w:rsid w:val="007A4161"/>
    <w:rsid w:val="007A41A3"/>
    <w:rsid w:val="007A41D4"/>
    <w:rsid w:val="007A422D"/>
    <w:rsid w:val="007A4232"/>
    <w:rsid w:val="007A4290"/>
    <w:rsid w:val="007A42A0"/>
    <w:rsid w:val="007A42AD"/>
    <w:rsid w:val="007A4317"/>
    <w:rsid w:val="007A4374"/>
    <w:rsid w:val="007A4472"/>
    <w:rsid w:val="007A449D"/>
    <w:rsid w:val="007A44CC"/>
    <w:rsid w:val="007A451D"/>
    <w:rsid w:val="007A4539"/>
    <w:rsid w:val="007A454A"/>
    <w:rsid w:val="007A4599"/>
    <w:rsid w:val="007A459E"/>
    <w:rsid w:val="007A45CB"/>
    <w:rsid w:val="007A4618"/>
    <w:rsid w:val="007A4689"/>
    <w:rsid w:val="007A4690"/>
    <w:rsid w:val="007A4699"/>
    <w:rsid w:val="007A46AF"/>
    <w:rsid w:val="007A46F9"/>
    <w:rsid w:val="007A4701"/>
    <w:rsid w:val="007A471F"/>
    <w:rsid w:val="007A472A"/>
    <w:rsid w:val="007A4758"/>
    <w:rsid w:val="007A4782"/>
    <w:rsid w:val="007A4859"/>
    <w:rsid w:val="007A4866"/>
    <w:rsid w:val="007A48BC"/>
    <w:rsid w:val="007A48C0"/>
    <w:rsid w:val="007A490E"/>
    <w:rsid w:val="007A4915"/>
    <w:rsid w:val="007A4921"/>
    <w:rsid w:val="007A4976"/>
    <w:rsid w:val="007A49AB"/>
    <w:rsid w:val="007A4A18"/>
    <w:rsid w:val="007A4A62"/>
    <w:rsid w:val="007A4A65"/>
    <w:rsid w:val="007A4A90"/>
    <w:rsid w:val="007A4A9C"/>
    <w:rsid w:val="007A4AC0"/>
    <w:rsid w:val="007A4B02"/>
    <w:rsid w:val="007A4B23"/>
    <w:rsid w:val="007A4B27"/>
    <w:rsid w:val="007A4B5D"/>
    <w:rsid w:val="007A4B81"/>
    <w:rsid w:val="007A4BB6"/>
    <w:rsid w:val="007A4BD3"/>
    <w:rsid w:val="007A4BF0"/>
    <w:rsid w:val="007A4C17"/>
    <w:rsid w:val="007A4C3E"/>
    <w:rsid w:val="007A4CA9"/>
    <w:rsid w:val="007A4CC5"/>
    <w:rsid w:val="007A4D2A"/>
    <w:rsid w:val="007A4D3A"/>
    <w:rsid w:val="007A4D55"/>
    <w:rsid w:val="007A4D78"/>
    <w:rsid w:val="007A4D85"/>
    <w:rsid w:val="007A4DE4"/>
    <w:rsid w:val="007A4E07"/>
    <w:rsid w:val="007A4E3C"/>
    <w:rsid w:val="007A4E5E"/>
    <w:rsid w:val="007A4E72"/>
    <w:rsid w:val="007A4ECF"/>
    <w:rsid w:val="007A4ED0"/>
    <w:rsid w:val="007A4ED2"/>
    <w:rsid w:val="007A4EDD"/>
    <w:rsid w:val="007A4F0E"/>
    <w:rsid w:val="007A4F28"/>
    <w:rsid w:val="007A4F6C"/>
    <w:rsid w:val="007A4F92"/>
    <w:rsid w:val="007A4FE6"/>
    <w:rsid w:val="007A4FF6"/>
    <w:rsid w:val="007A5040"/>
    <w:rsid w:val="007A507B"/>
    <w:rsid w:val="007A50FC"/>
    <w:rsid w:val="007A511E"/>
    <w:rsid w:val="007A514A"/>
    <w:rsid w:val="007A5165"/>
    <w:rsid w:val="007A51B1"/>
    <w:rsid w:val="007A51C6"/>
    <w:rsid w:val="007A51C9"/>
    <w:rsid w:val="007A51F4"/>
    <w:rsid w:val="007A523B"/>
    <w:rsid w:val="007A52BE"/>
    <w:rsid w:val="007A52F6"/>
    <w:rsid w:val="007A5392"/>
    <w:rsid w:val="007A53A9"/>
    <w:rsid w:val="007A53AA"/>
    <w:rsid w:val="007A53EC"/>
    <w:rsid w:val="007A5447"/>
    <w:rsid w:val="007A5482"/>
    <w:rsid w:val="007A54B7"/>
    <w:rsid w:val="007A5511"/>
    <w:rsid w:val="007A55CB"/>
    <w:rsid w:val="007A55E4"/>
    <w:rsid w:val="007A55FF"/>
    <w:rsid w:val="007A560F"/>
    <w:rsid w:val="007A568E"/>
    <w:rsid w:val="007A56EF"/>
    <w:rsid w:val="007A5714"/>
    <w:rsid w:val="007A5746"/>
    <w:rsid w:val="007A576D"/>
    <w:rsid w:val="007A576F"/>
    <w:rsid w:val="007A5772"/>
    <w:rsid w:val="007A57AB"/>
    <w:rsid w:val="007A57CC"/>
    <w:rsid w:val="007A57DF"/>
    <w:rsid w:val="007A57FF"/>
    <w:rsid w:val="007A580E"/>
    <w:rsid w:val="007A584D"/>
    <w:rsid w:val="007A585A"/>
    <w:rsid w:val="007A58A3"/>
    <w:rsid w:val="007A594F"/>
    <w:rsid w:val="007A59EB"/>
    <w:rsid w:val="007A5A39"/>
    <w:rsid w:val="007A5A58"/>
    <w:rsid w:val="007A5A78"/>
    <w:rsid w:val="007A5AA1"/>
    <w:rsid w:val="007A5ADB"/>
    <w:rsid w:val="007A5B0C"/>
    <w:rsid w:val="007A5B10"/>
    <w:rsid w:val="007A5B2A"/>
    <w:rsid w:val="007A5B4B"/>
    <w:rsid w:val="007A5B70"/>
    <w:rsid w:val="007A5B7F"/>
    <w:rsid w:val="007A5B96"/>
    <w:rsid w:val="007A5BD0"/>
    <w:rsid w:val="007A5BE0"/>
    <w:rsid w:val="007A5C5D"/>
    <w:rsid w:val="007A5D58"/>
    <w:rsid w:val="007A5D8A"/>
    <w:rsid w:val="007A5D8D"/>
    <w:rsid w:val="007A5D92"/>
    <w:rsid w:val="007A5DA9"/>
    <w:rsid w:val="007A5DC6"/>
    <w:rsid w:val="007A5E0C"/>
    <w:rsid w:val="007A5E2D"/>
    <w:rsid w:val="007A5E5E"/>
    <w:rsid w:val="007A5E6C"/>
    <w:rsid w:val="007A5E8C"/>
    <w:rsid w:val="007A5E98"/>
    <w:rsid w:val="007A5F47"/>
    <w:rsid w:val="007A5F4A"/>
    <w:rsid w:val="007A5F9F"/>
    <w:rsid w:val="007A5FC3"/>
    <w:rsid w:val="007A5FFC"/>
    <w:rsid w:val="007A6037"/>
    <w:rsid w:val="007A6046"/>
    <w:rsid w:val="007A609A"/>
    <w:rsid w:val="007A60B1"/>
    <w:rsid w:val="007A60F7"/>
    <w:rsid w:val="007A613A"/>
    <w:rsid w:val="007A61A2"/>
    <w:rsid w:val="007A61A9"/>
    <w:rsid w:val="007A6276"/>
    <w:rsid w:val="007A629C"/>
    <w:rsid w:val="007A6300"/>
    <w:rsid w:val="007A632C"/>
    <w:rsid w:val="007A6347"/>
    <w:rsid w:val="007A63A2"/>
    <w:rsid w:val="007A63F0"/>
    <w:rsid w:val="007A6410"/>
    <w:rsid w:val="007A641F"/>
    <w:rsid w:val="007A6437"/>
    <w:rsid w:val="007A643C"/>
    <w:rsid w:val="007A646F"/>
    <w:rsid w:val="007A64D7"/>
    <w:rsid w:val="007A64EB"/>
    <w:rsid w:val="007A6522"/>
    <w:rsid w:val="007A6535"/>
    <w:rsid w:val="007A656A"/>
    <w:rsid w:val="007A6570"/>
    <w:rsid w:val="007A65BB"/>
    <w:rsid w:val="007A65E0"/>
    <w:rsid w:val="007A6673"/>
    <w:rsid w:val="007A66C3"/>
    <w:rsid w:val="007A66D2"/>
    <w:rsid w:val="007A66EA"/>
    <w:rsid w:val="007A6708"/>
    <w:rsid w:val="007A671C"/>
    <w:rsid w:val="007A67B1"/>
    <w:rsid w:val="007A67B6"/>
    <w:rsid w:val="007A681D"/>
    <w:rsid w:val="007A684D"/>
    <w:rsid w:val="007A6855"/>
    <w:rsid w:val="007A68BA"/>
    <w:rsid w:val="007A68CD"/>
    <w:rsid w:val="007A68FD"/>
    <w:rsid w:val="007A6910"/>
    <w:rsid w:val="007A6919"/>
    <w:rsid w:val="007A6922"/>
    <w:rsid w:val="007A6A0A"/>
    <w:rsid w:val="007A6A31"/>
    <w:rsid w:val="007A6AAC"/>
    <w:rsid w:val="007A6B04"/>
    <w:rsid w:val="007A6B5D"/>
    <w:rsid w:val="007A6B68"/>
    <w:rsid w:val="007A6B6A"/>
    <w:rsid w:val="007A6B84"/>
    <w:rsid w:val="007A6B93"/>
    <w:rsid w:val="007A6C40"/>
    <w:rsid w:val="007A6C8E"/>
    <w:rsid w:val="007A6CB7"/>
    <w:rsid w:val="007A6CC5"/>
    <w:rsid w:val="007A6CD7"/>
    <w:rsid w:val="007A6CF4"/>
    <w:rsid w:val="007A6D88"/>
    <w:rsid w:val="007A6DC1"/>
    <w:rsid w:val="007A6DE3"/>
    <w:rsid w:val="007A6DEC"/>
    <w:rsid w:val="007A6E3B"/>
    <w:rsid w:val="007A6E67"/>
    <w:rsid w:val="007A6EC3"/>
    <w:rsid w:val="007A6ED5"/>
    <w:rsid w:val="007A6F17"/>
    <w:rsid w:val="007A6F38"/>
    <w:rsid w:val="007A70E2"/>
    <w:rsid w:val="007A7112"/>
    <w:rsid w:val="007A7115"/>
    <w:rsid w:val="007A7166"/>
    <w:rsid w:val="007A717B"/>
    <w:rsid w:val="007A71A1"/>
    <w:rsid w:val="007A71B0"/>
    <w:rsid w:val="007A71E7"/>
    <w:rsid w:val="007A71F4"/>
    <w:rsid w:val="007A71FD"/>
    <w:rsid w:val="007A72A1"/>
    <w:rsid w:val="007A72AA"/>
    <w:rsid w:val="007A7397"/>
    <w:rsid w:val="007A73A2"/>
    <w:rsid w:val="007A745E"/>
    <w:rsid w:val="007A74AC"/>
    <w:rsid w:val="007A754E"/>
    <w:rsid w:val="007A757A"/>
    <w:rsid w:val="007A7580"/>
    <w:rsid w:val="007A75E2"/>
    <w:rsid w:val="007A761F"/>
    <w:rsid w:val="007A7628"/>
    <w:rsid w:val="007A766A"/>
    <w:rsid w:val="007A76B9"/>
    <w:rsid w:val="007A76D2"/>
    <w:rsid w:val="007A7718"/>
    <w:rsid w:val="007A7741"/>
    <w:rsid w:val="007A7748"/>
    <w:rsid w:val="007A77C8"/>
    <w:rsid w:val="007A77D3"/>
    <w:rsid w:val="007A7852"/>
    <w:rsid w:val="007A78BC"/>
    <w:rsid w:val="007A790B"/>
    <w:rsid w:val="007A791C"/>
    <w:rsid w:val="007A79C4"/>
    <w:rsid w:val="007A7A19"/>
    <w:rsid w:val="007A7A20"/>
    <w:rsid w:val="007A7A65"/>
    <w:rsid w:val="007A7A8D"/>
    <w:rsid w:val="007A7A8E"/>
    <w:rsid w:val="007A7AB8"/>
    <w:rsid w:val="007A7AC2"/>
    <w:rsid w:val="007A7B0D"/>
    <w:rsid w:val="007A7B22"/>
    <w:rsid w:val="007A7C3A"/>
    <w:rsid w:val="007A7C88"/>
    <w:rsid w:val="007A7CC8"/>
    <w:rsid w:val="007A7D5A"/>
    <w:rsid w:val="007A7DA2"/>
    <w:rsid w:val="007A7DBA"/>
    <w:rsid w:val="007A7E29"/>
    <w:rsid w:val="007A7E49"/>
    <w:rsid w:val="007A7E65"/>
    <w:rsid w:val="007A7E66"/>
    <w:rsid w:val="007A7E74"/>
    <w:rsid w:val="007A7E81"/>
    <w:rsid w:val="007A7EFD"/>
    <w:rsid w:val="007A7F22"/>
    <w:rsid w:val="007A97BD"/>
    <w:rsid w:val="007B0057"/>
    <w:rsid w:val="007B0061"/>
    <w:rsid w:val="007B0087"/>
    <w:rsid w:val="007B0131"/>
    <w:rsid w:val="007B0192"/>
    <w:rsid w:val="007B01DB"/>
    <w:rsid w:val="007B020B"/>
    <w:rsid w:val="007B025E"/>
    <w:rsid w:val="007B027F"/>
    <w:rsid w:val="007B02B9"/>
    <w:rsid w:val="007B02F9"/>
    <w:rsid w:val="007B0313"/>
    <w:rsid w:val="007B035B"/>
    <w:rsid w:val="007B0370"/>
    <w:rsid w:val="007B0379"/>
    <w:rsid w:val="007B037C"/>
    <w:rsid w:val="007B03C6"/>
    <w:rsid w:val="007B0586"/>
    <w:rsid w:val="007B05F4"/>
    <w:rsid w:val="007B0601"/>
    <w:rsid w:val="007B0631"/>
    <w:rsid w:val="007B0651"/>
    <w:rsid w:val="007B06B2"/>
    <w:rsid w:val="007B06E5"/>
    <w:rsid w:val="007B073E"/>
    <w:rsid w:val="007B0752"/>
    <w:rsid w:val="007B07F0"/>
    <w:rsid w:val="007B082E"/>
    <w:rsid w:val="007B083C"/>
    <w:rsid w:val="007B0900"/>
    <w:rsid w:val="007B0927"/>
    <w:rsid w:val="007B0A42"/>
    <w:rsid w:val="007B0A48"/>
    <w:rsid w:val="007B0A4E"/>
    <w:rsid w:val="007B0A61"/>
    <w:rsid w:val="007B0A9D"/>
    <w:rsid w:val="007B0AC1"/>
    <w:rsid w:val="007B0B16"/>
    <w:rsid w:val="007B0B59"/>
    <w:rsid w:val="007B0B5E"/>
    <w:rsid w:val="007B0B7A"/>
    <w:rsid w:val="007B0B99"/>
    <w:rsid w:val="007B0BB3"/>
    <w:rsid w:val="007B0BD0"/>
    <w:rsid w:val="007B0BD2"/>
    <w:rsid w:val="007B0BE9"/>
    <w:rsid w:val="007B0C24"/>
    <w:rsid w:val="007B0C3E"/>
    <w:rsid w:val="007B0CBB"/>
    <w:rsid w:val="007B0CC3"/>
    <w:rsid w:val="007B0D76"/>
    <w:rsid w:val="007B0DA2"/>
    <w:rsid w:val="007B0E5F"/>
    <w:rsid w:val="007B0E65"/>
    <w:rsid w:val="007B0EC8"/>
    <w:rsid w:val="007B0F25"/>
    <w:rsid w:val="007B0F2B"/>
    <w:rsid w:val="007B100D"/>
    <w:rsid w:val="007B10AA"/>
    <w:rsid w:val="007B10B9"/>
    <w:rsid w:val="007B1103"/>
    <w:rsid w:val="007B1108"/>
    <w:rsid w:val="007B110B"/>
    <w:rsid w:val="007B1135"/>
    <w:rsid w:val="007B1197"/>
    <w:rsid w:val="007B126E"/>
    <w:rsid w:val="007B1280"/>
    <w:rsid w:val="007B12C9"/>
    <w:rsid w:val="007B12FA"/>
    <w:rsid w:val="007B1316"/>
    <w:rsid w:val="007B131F"/>
    <w:rsid w:val="007B135F"/>
    <w:rsid w:val="007B1427"/>
    <w:rsid w:val="007B143E"/>
    <w:rsid w:val="007B14BC"/>
    <w:rsid w:val="007B1554"/>
    <w:rsid w:val="007B1588"/>
    <w:rsid w:val="007B158C"/>
    <w:rsid w:val="007B158E"/>
    <w:rsid w:val="007B159E"/>
    <w:rsid w:val="007B1617"/>
    <w:rsid w:val="007B168D"/>
    <w:rsid w:val="007B1754"/>
    <w:rsid w:val="007B1769"/>
    <w:rsid w:val="007B17B3"/>
    <w:rsid w:val="007B17C8"/>
    <w:rsid w:val="007B181E"/>
    <w:rsid w:val="007B1865"/>
    <w:rsid w:val="007B1887"/>
    <w:rsid w:val="007B18B8"/>
    <w:rsid w:val="007B18C0"/>
    <w:rsid w:val="007B18CD"/>
    <w:rsid w:val="007B18DA"/>
    <w:rsid w:val="007B18F2"/>
    <w:rsid w:val="007B1914"/>
    <w:rsid w:val="007B1924"/>
    <w:rsid w:val="007B19E8"/>
    <w:rsid w:val="007B19FE"/>
    <w:rsid w:val="007B1A2A"/>
    <w:rsid w:val="007B1A4A"/>
    <w:rsid w:val="007B1A67"/>
    <w:rsid w:val="007B1AAC"/>
    <w:rsid w:val="007B1B15"/>
    <w:rsid w:val="007B1B19"/>
    <w:rsid w:val="007B1B44"/>
    <w:rsid w:val="007B1B57"/>
    <w:rsid w:val="007B1B7D"/>
    <w:rsid w:val="007B1BCA"/>
    <w:rsid w:val="007B1BD1"/>
    <w:rsid w:val="007B1BE9"/>
    <w:rsid w:val="007B1C2E"/>
    <w:rsid w:val="007B1C84"/>
    <w:rsid w:val="007B1CAA"/>
    <w:rsid w:val="007B1CAD"/>
    <w:rsid w:val="007B1CE5"/>
    <w:rsid w:val="007B1D2D"/>
    <w:rsid w:val="007B1D57"/>
    <w:rsid w:val="007B1D9E"/>
    <w:rsid w:val="007B1DA6"/>
    <w:rsid w:val="007B1DB0"/>
    <w:rsid w:val="007B1DCD"/>
    <w:rsid w:val="007B1EAE"/>
    <w:rsid w:val="007B1EC2"/>
    <w:rsid w:val="007B1F4E"/>
    <w:rsid w:val="007B201C"/>
    <w:rsid w:val="007B2145"/>
    <w:rsid w:val="007B2163"/>
    <w:rsid w:val="007B2197"/>
    <w:rsid w:val="007B21B6"/>
    <w:rsid w:val="007B21C1"/>
    <w:rsid w:val="007B21C5"/>
    <w:rsid w:val="007B21D3"/>
    <w:rsid w:val="007B225F"/>
    <w:rsid w:val="007B2290"/>
    <w:rsid w:val="007B2293"/>
    <w:rsid w:val="007B22EC"/>
    <w:rsid w:val="007B230E"/>
    <w:rsid w:val="007B2336"/>
    <w:rsid w:val="007B2365"/>
    <w:rsid w:val="007B2420"/>
    <w:rsid w:val="007B2429"/>
    <w:rsid w:val="007B2438"/>
    <w:rsid w:val="007B2444"/>
    <w:rsid w:val="007B2490"/>
    <w:rsid w:val="007B249B"/>
    <w:rsid w:val="007B24B2"/>
    <w:rsid w:val="007B24D5"/>
    <w:rsid w:val="007B24D7"/>
    <w:rsid w:val="007B24EA"/>
    <w:rsid w:val="007B250D"/>
    <w:rsid w:val="007B2558"/>
    <w:rsid w:val="007B259D"/>
    <w:rsid w:val="007B25AB"/>
    <w:rsid w:val="007B25B3"/>
    <w:rsid w:val="007B25DA"/>
    <w:rsid w:val="007B2607"/>
    <w:rsid w:val="007B2675"/>
    <w:rsid w:val="007B267A"/>
    <w:rsid w:val="007B26D9"/>
    <w:rsid w:val="007B26FD"/>
    <w:rsid w:val="007B272B"/>
    <w:rsid w:val="007B2781"/>
    <w:rsid w:val="007B27F5"/>
    <w:rsid w:val="007B2823"/>
    <w:rsid w:val="007B284E"/>
    <w:rsid w:val="007B285F"/>
    <w:rsid w:val="007B2873"/>
    <w:rsid w:val="007B2921"/>
    <w:rsid w:val="007B292A"/>
    <w:rsid w:val="007B2933"/>
    <w:rsid w:val="007B296C"/>
    <w:rsid w:val="007B2997"/>
    <w:rsid w:val="007B2A06"/>
    <w:rsid w:val="007B2A2F"/>
    <w:rsid w:val="007B2A57"/>
    <w:rsid w:val="007B2A89"/>
    <w:rsid w:val="007B2A9C"/>
    <w:rsid w:val="007B2B82"/>
    <w:rsid w:val="007B2BE6"/>
    <w:rsid w:val="007B2C47"/>
    <w:rsid w:val="007B2C64"/>
    <w:rsid w:val="007B2D52"/>
    <w:rsid w:val="007B2D8E"/>
    <w:rsid w:val="007B2DE9"/>
    <w:rsid w:val="007B2E01"/>
    <w:rsid w:val="007B2E1E"/>
    <w:rsid w:val="007B2E4D"/>
    <w:rsid w:val="007B2E92"/>
    <w:rsid w:val="007B2F15"/>
    <w:rsid w:val="007B2F3E"/>
    <w:rsid w:val="007B2F57"/>
    <w:rsid w:val="007B2F77"/>
    <w:rsid w:val="007B2FBC"/>
    <w:rsid w:val="007B305E"/>
    <w:rsid w:val="007B3062"/>
    <w:rsid w:val="007B30BA"/>
    <w:rsid w:val="007B30C8"/>
    <w:rsid w:val="007B30FC"/>
    <w:rsid w:val="007B3117"/>
    <w:rsid w:val="007B314B"/>
    <w:rsid w:val="007B3159"/>
    <w:rsid w:val="007B32A6"/>
    <w:rsid w:val="007B3301"/>
    <w:rsid w:val="007B3336"/>
    <w:rsid w:val="007B3391"/>
    <w:rsid w:val="007B33E7"/>
    <w:rsid w:val="007B342D"/>
    <w:rsid w:val="007B344A"/>
    <w:rsid w:val="007B345B"/>
    <w:rsid w:val="007B347C"/>
    <w:rsid w:val="007B348E"/>
    <w:rsid w:val="007B3518"/>
    <w:rsid w:val="007B354C"/>
    <w:rsid w:val="007B356D"/>
    <w:rsid w:val="007B35B0"/>
    <w:rsid w:val="007B3621"/>
    <w:rsid w:val="007B36EB"/>
    <w:rsid w:val="007B371F"/>
    <w:rsid w:val="007B3723"/>
    <w:rsid w:val="007B3732"/>
    <w:rsid w:val="007B3834"/>
    <w:rsid w:val="007B3851"/>
    <w:rsid w:val="007B3922"/>
    <w:rsid w:val="007B396B"/>
    <w:rsid w:val="007B39B1"/>
    <w:rsid w:val="007B3A13"/>
    <w:rsid w:val="007B3AD7"/>
    <w:rsid w:val="007B3B0D"/>
    <w:rsid w:val="007B3B25"/>
    <w:rsid w:val="007B3B65"/>
    <w:rsid w:val="007B3BBE"/>
    <w:rsid w:val="007B3BC0"/>
    <w:rsid w:val="007B3CB2"/>
    <w:rsid w:val="007B3CD5"/>
    <w:rsid w:val="007B3CE2"/>
    <w:rsid w:val="007B3D0A"/>
    <w:rsid w:val="007B3D9B"/>
    <w:rsid w:val="007B3DF7"/>
    <w:rsid w:val="007B3E0F"/>
    <w:rsid w:val="007B3E14"/>
    <w:rsid w:val="007B3E63"/>
    <w:rsid w:val="007B3E64"/>
    <w:rsid w:val="007B3EA4"/>
    <w:rsid w:val="007B3EED"/>
    <w:rsid w:val="007B3F58"/>
    <w:rsid w:val="007B3FE7"/>
    <w:rsid w:val="007B400E"/>
    <w:rsid w:val="007B4010"/>
    <w:rsid w:val="007B4019"/>
    <w:rsid w:val="007B4043"/>
    <w:rsid w:val="007B404E"/>
    <w:rsid w:val="007B40B6"/>
    <w:rsid w:val="007B412B"/>
    <w:rsid w:val="007B415B"/>
    <w:rsid w:val="007B4168"/>
    <w:rsid w:val="007B4195"/>
    <w:rsid w:val="007B420B"/>
    <w:rsid w:val="007B4237"/>
    <w:rsid w:val="007B427C"/>
    <w:rsid w:val="007B4376"/>
    <w:rsid w:val="007B43F1"/>
    <w:rsid w:val="007B4477"/>
    <w:rsid w:val="007B44CD"/>
    <w:rsid w:val="007B44DC"/>
    <w:rsid w:val="007B44F7"/>
    <w:rsid w:val="007B451E"/>
    <w:rsid w:val="007B4545"/>
    <w:rsid w:val="007B454C"/>
    <w:rsid w:val="007B45DD"/>
    <w:rsid w:val="007B463D"/>
    <w:rsid w:val="007B4656"/>
    <w:rsid w:val="007B469D"/>
    <w:rsid w:val="007B469F"/>
    <w:rsid w:val="007B46D8"/>
    <w:rsid w:val="007B46FE"/>
    <w:rsid w:val="007B470B"/>
    <w:rsid w:val="007B4726"/>
    <w:rsid w:val="007B4731"/>
    <w:rsid w:val="007B4744"/>
    <w:rsid w:val="007B4785"/>
    <w:rsid w:val="007B478F"/>
    <w:rsid w:val="007B4795"/>
    <w:rsid w:val="007B4798"/>
    <w:rsid w:val="007B47F3"/>
    <w:rsid w:val="007B4819"/>
    <w:rsid w:val="007B4829"/>
    <w:rsid w:val="007B4836"/>
    <w:rsid w:val="007B4886"/>
    <w:rsid w:val="007B48B3"/>
    <w:rsid w:val="007B48CD"/>
    <w:rsid w:val="007B48D3"/>
    <w:rsid w:val="007B48E3"/>
    <w:rsid w:val="007B4932"/>
    <w:rsid w:val="007B4943"/>
    <w:rsid w:val="007B49B8"/>
    <w:rsid w:val="007B49E1"/>
    <w:rsid w:val="007B49FC"/>
    <w:rsid w:val="007B4A18"/>
    <w:rsid w:val="007B4A5E"/>
    <w:rsid w:val="007B4AD1"/>
    <w:rsid w:val="007B4AD2"/>
    <w:rsid w:val="007B4B77"/>
    <w:rsid w:val="007B4BB6"/>
    <w:rsid w:val="007B4BC0"/>
    <w:rsid w:val="007B4BDB"/>
    <w:rsid w:val="007B4C1B"/>
    <w:rsid w:val="007B4C2B"/>
    <w:rsid w:val="007B4CC7"/>
    <w:rsid w:val="007B4D3E"/>
    <w:rsid w:val="007B4D4B"/>
    <w:rsid w:val="007B4DFB"/>
    <w:rsid w:val="007B4E54"/>
    <w:rsid w:val="007B4E57"/>
    <w:rsid w:val="007B4E6E"/>
    <w:rsid w:val="007B4EB7"/>
    <w:rsid w:val="007B4F4D"/>
    <w:rsid w:val="007B4F8A"/>
    <w:rsid w:val="007B4F96"/>
    <w:rsid w:val="007B4F9A"/>
    <w:rsid w:val="007B4FBE"/>
    <w:rsid w:val="007B5086"/>
    <w:rsid w:val="007B5088"/>
    <w:rsid w:val="007B50FF"/>
    <w:rsid w:val="007B5100"/>
    <w:rsid w:val="007B5173"/>
    <w:rsid w:val="007B5236"/>
    <w:rsid w:val="007B524B"/>
    <w:rsid w:val="007B5259"/>
    <w:rsid w:val="007B525D"/>
    <w:rsid w:val="007B52AE"/>
    <w:rsid w:val="007B52B9"/>
    <w:rsid w:val="007B5413"/>
    <w:rsid w:val="007B5429"/>
    <w:rsid w:val="007B543B"/>
    <w:rsid w:val="007B546E"/>
    <w:rsid w:val="007B553C"/>
    <w:rsid w:val="007B5544"/>
    <w:rsid w:val="007B554C"/>
    <w:rsid w:val="007B55CE"/>
    <w:rsid w:val="007B5600"/>
    <w:rsid w:val="007B5636"/>
    <w:rsid w:val="007B5646"/>
    <w:rsid w:val="007B5699"/>
    <w:rsid w:val="007B569A"/>
    <w:rsid w:val="007B56A7"/>
    <w:rsid w:val="007B56C5"/>
    <w:rsid w:val="007B56D4"/>
    <w:rsid w:val="007B5721"/>
    <w:rsid w:val="007B5746"/>
    <w:rsid w:val="007B5794"/>
    <w:rsid w:val="007B57CA"/>
    <w:rsid w:val="007B5843"/>
    <w:rsid w:val="007B5867"/>
    <w:rsid w:val="007B58B7"/>
    <w:rsid w:val="007B58BF"/>
    <w:rsid w:val="007B59ED"/>
    <w:rsid w:val="007B5A0E"/>
    <w:rsid w:val="007B5A23"/>
    <w:rsid w:val="007B5A4C"/>
    <w:rsid w:val="007B5ABC"/>
    <w:rsid w:val="007B5B47"/>
    <w:rsid w:val="007B5B51"/>
    <w:rsid w:val="007B5B54"/>
    <w:rsid w:val="007B5BBF"/>
    <w:rsid w:val="007B5BE3"/>
    <w:rsid w:val="007B5C32"/>
    <w:rsid w:val="007B5C89"/>
    <w:rsid w:val="007B5C94"/>
    <w:rsid w:val="007B5CA1"/>
    <w:rsid w:val="007B5D3E"/>
    <w:rsid w:val="007B5E87"/>
    <w:rsid w:val="007B5EA0"/>
    <w:rsid w:val="007B5EAE"/>
    <w:rsid w:val="007B5F79"/>
    <w:rsid w:val="007B5F7D"/>
    <w:rsid w:val="007B5FA3"/>
    <w:rsid w:val="007B6027"/>
    <w:rsid w:val="007B604F"/>
    <w:rsid w:val="007B60AA"/>
    <w:rsid w:val="007B617C"/>
    <w:rsid w:val="007B6195"/>
    <w:rsid w:val="007B61A7"/>
    <w:rsid w:val="007B61D0"/>
    <w:rsid w:val="007B6217"/>
    <w:rsid w:val="007B6253"/>
    <w:rsid w:val="007B62C1"/>
    <w:rsid w:val="007B62DA"/>
    <w:rsid w:val="007B62F0"/>
    <w:rsid w:val="007B62FB"/>
    <w:rsid w:val="007B6321"/>
    <w:rsid w:val="007B6358"/>
    <w:rsid w:val="007B639A"/>
    <w:rsid w:val="007B6417"/>
    <w:rsid w:val="007B6473"/>
    <w:rsid w:val="007B652A"/>
    <w:rsid w:val="007B6530"/>
    <w:rsid w:val="007B653B"/>
    <w:rsid w:val="007B654C"/>
    <w:rsid w:val="007B65CD"/>
    <w:rsid w:val="007B65FD"/>
    <w:rsid w:val="007B661F"/>
    <w:rsid w:val="007B6673"/>
    <w:rsid w:val="007B6691"/>
    <w:rsid w:val="007B66AA"/>
    <w:rsid w:val="007B66B4"/>
    <w:rsid w:val="007B66B9"/>
    <w:rsid w:val="007B66C4"/>
    <w:rsid w:val="007B66E3"/>
    <w:rsid w:val="007B66EA"/>
    <w:rsid w:val="007B67B4"/>
    <w:rsid w:val="007B6827"/>
    <w:rsid w:val="007B684C"/>
    <w:rsid w:val="007B686B"/>
    <w:rsid w:val="007B68BF"/>
    <w:rsid w:val="007B68E8"/>
    <w:rsid w:val="007B6953"/>
    <w:rsid w:val="007B6987"/>
    <w:rsid w:val="007B69A3"/>
    <w:rsid w:val="007B69AD"/>
    <w:rsid w:val="007B6A05"/>
    <w:rsid w:val="007B6A34"/>
    <w:rsid w:val="007B6A6B"/>
    <w:rsid w:val="007B6AC8"/>
    <w:rsid w:val="007B6ADB"/>
    <w:rsid w:val="007B6B09"/>
    <w:rsid w:val="007B6B37"/>
    <w:rsid w:val="007B6B45"/>
    <w:rsid w:val="007B6BAB"/>
    <w:rsid w:val="007B6C12"/>
    <w:rsid w:val="007B6C33"/>
    <w:rsid w:val="007B6C42"/>
    <w:rsid w:val="007B6C6C"/>
    <w:rsid w:val="007B6CAA"/>
    <w:rsid w:val="007B6D2D"/>
    <w:rsid w:val="007B6D43"/>
    <w:rsid w:val="007B6DBE"/>
    <w:rsid w:val="007B6DD2"/>
    <w:rsid w:val="007B6DE0"/>
    <w:rsid w:val="007B6E2A"/>
    <w:rsid w:val="007B6E5C"/>
    <w:rsid w:val="007B6E70"/>
    <w:rsid w:val="007B6E76"/>
    <w:rsid w:val="007B6EB8"/>
    <w:rsid w:val="007B6EC3"/>
    <w:rsid w:val="007B6EFA"/>
    <w:rsid w:val="007B6F11"/>
    <w:rsid w:val="007B6F81"/>
    <w:rsid w:val="007B6FB7"/>
    <w:rsid w:val="007B7079"/>
    <w:rsid w:val="007B70A9"/>
    <w:rsid w:val="007B7157"/>
    <w:rsid w:val="007B7164"/>
    <w:rsid w:val="007B71C9"/>
    <w:rsid w:val="007B71EC"/>
    <w:rsid w:val="007B7216"/>
    <w:rsid w:val="007B730D"/>
    <w:rsid w:val="007B730E"/>
    <w:rsid w:val="007B7386"/>
    <w:rsid w:val="007B738E"/>
    <w:rsid w:val="007B73BA"/>
    <w:rsid w:val="007B73E6"/>
    <w:rsid w:val="007B743F"/>
    <w:rsid w:val="007B7487"/>
    <w:rsid w:val="007B74CE"/>
    <w:rsid w:val="007B74DA"/>
    <w:rsid w:val="007B754F"/>
    <w:rsid w:val="007B7559"/>
    <w:rsid w:val="007B7585"/>
    <w:rsid w:val="007B75B7"/>
    <w:rsid w:val="007B75CA"/>
    <w:rsid w:val="007B763D"/>
    <w:rsid w:val="007B7685"/>
    <w:rsid w:val="007B7691"/>
    <w:rsid w:val="007B76AF"/>
    <w:rsid w:val="007B76D5"/>
    <w:rsid w:val="007B7773"/>
    <w:rsid w:val="007B7782"/>
    <w:rsid w:val="007B781B"/>
    <w:rsid w:val="007B7834"/>
    <w:rsid w:val="007B7841"/>
    <w:rsid w:val="007B784E"/>
    <w:rsid w:val="007B785D"/>
    <w:rsid w:val="007B7895"/>
    <w:rsid w:val="007B7897"/>
    <w:rsid w:val="007B78AA"/>
    <w:rsid w:val="007B78C6"/>
    <w:rsid w:val="007B78DE"/>
    <w:rsid w:val="007B792A"/>
    <w:rsid w:val="007B79DD"/>
    <w:rsid w:val="007B79FD"/>
    <w:rsid w:val="007B7A02"/>
    <w:rsid w:val="007B7A23"/>
    <w:rsid w:val="007B7A72"/>
    <w:rsid w:val="007B7A8A"/>
    <w:rsid w:val="007B7A90"/>
    <w:rsid w:val="007B7AA8"/>
    <w:rsid w:val="007B7B8C"/>
    <w:rsid w:val="007B7BE6"/>
    <w:rsid w:val="007B7C4B"/>
    <w:rsid w:val="007B7C5F"/>
    <w:rsid w:val="007B7C7E"/>
    <w:rsid w:val="007B7CD9"/>
    <w:rsid w:val="007B7CDB"/>
    <w:rsid w:val="007B7D12"/>
    <w:rsid w:val="007B7D3F"/>
    <w:rsid w:val="007B7D79"/>
    <w:rsid w:val="007B7DF3"/>
    <w:rsid w:val="007B7E02"/>
    <w:rsid w:val="007B7E0D"/>
    <w:rsid w:val="007B7E1E"/>
    <w:rsid w:val="007B7E2D"/>
    <w:rsid w:val="007B7E3A"/>
    <w:rsid w:val="007B7E71"/>
    <w:rsid w:val="007B7E75"/>
    <w:rsid w:val="007B7E7F"/>
    <w:rsid w:val="007B7EDB"/>
    <w:rsid w:val="007B7EE1"/>
    <w:rsid w:val="007B7EE5"/>
    <w:rsid w:val="007B7F2A"/>
    <w:rsid w:val="007B7F50"/>
    <w:rsid w:val="007B7FD2"/>
    <w:rsid w:val="007B93EF"/>
    <w:rsid w:val="007C0015"/>
    <w:rsid w:val="007C0021"/>
    <w:rsid w:val="007C0031"/>
    <w:rsid w:val="007C005D"/>
    <w:rsid w:val="007C00FB"/>
    <w:rsid w:val="007C0159"/>
    <w:rsid w:val="007C01B0"/>
    <w:rsid w:val="007C01E5"/>
    <w:rsid w:val="007C01F1"/>
    <w:rsid w:val="007C0212"/>
    <w:rsid w:val="007C021B"/>
    <w:rsid w:val="007C0230"/>
    <w:rsid w:val="007C0242"/>
    <w:rsid w:val="007C0267"/>
    <w:rsid w:val="007C0288"/>
    <w:rsid w:val="007C02BC"/>
    <w:rsid w:val="007C02C1"/>
    <w:rsid w:val="007C02E0"/>
    <w:rsid w:val="007C0308"/>
    <w:rsid w:val="007C0360"/>
    <w:rsid w:val="007C0388"/>
    <w:rsid w:val="007C03C7"/>
    <w:rsid w:val="007C042D"/>
    <w:rsid w:val="007C0439"/>
    <w:rsid w:val="007C04CB"/>
    <w:rsid w:val="007C04F2"/>
    <w:rsid w:val="007C052D"/>
    <w:rsid w:val="007C0592"/>
    <w:rsid w:val="007C05CC"/>
    <w:rsid w:val="007C05DB"/>
    <w:rsid w:val="007C060F"/>
    <w:rsid w:val="007C062C"/>
    <w:rsid w:val="007C066C"/>
    <w:rsid w:val="007C0681"/>
    <w:rsid w:val="007C06A2"/>
    <w:rsid w:val="007C06C0"/>
    <w:rsid w:val="007C06C7"/>
    <w:rsid w:val="007C06CB"/>
    <w:rsid w:val="007C06DD"/>
    <w:rsid w:val="007C06F1"/>
    <w:rsid w:val="007C07AC"/>
    <w:rsid w:val="007C07BF"/>
    <w:rsid w:val="007C0813"/>
    <w:rsid w:val="007C0892"/>
    <w:rsid w:val="007C08C4"/>
    <w:rsid w:val="007C090F"/>
    <w:rsid w:val="007C0927"/>
    <w:rsid w:val="007C09CA"/>
    <w:rsid w:val="007C09CC"/>
    <w:rsid w:val="007C09CD"/>
    <w:rsid w:val="007C09D8"/>
    <w:rsid w:val="007C0A16"/>
    <w:rsid w:val="007C0AD3"/>
    <w:rsid w:val="007C0BD4"/>
    <w:rsid w:val="007C0C03"/>
    <w:rsid w:val="007C0C41"/>
    <w:rsid w:val="007C0C65"/>
    <w:rsid w:val="007C0C8B"/>
    <w:rsid w:val="007C0CC3"/>
    <w:rsid w:val="007C0D0F"/>
    <w:rsid w:val="007C0D6D"/>
    <w:rsid w:val="007C0DAE"/>
    <w:rsid w:val="007C0E55"/>
    <w:rsid w:val="007C0ECF"/>
    <w:rsid w:val="007C0EDD"/>
    <w:rsid w:val="007C0F10"/>
    <w:rsid w:val="007C0FAB"/>
    <w:rsid w:val="007C106A"/>
    <w:rsid w:val="007C1094"/>
    <w:rsid w:val="007C10C4"/>
    <w:rsid w:val="007C114C"/>
    <w:rsid w:val="007C1176"/>
    <w:rsid w:val="007C117E"/>
    <w:rsid w:val="007C1202"/>
    <w:rsid w:val="007C1234"/>
    <w:rsid w:val="007C1278"/>
    <w:rsid w:val="007C1286"/>
    <w:rsid w:val="007C1394"/>
    <w:rsid w:val="007C1463"/>
    <w:rsid w:val="007C1486"/>
    <w:rsid w:val="007C1490"/>
    <w:rsid w:val="007C159C"/>
    <w:rsid w:val="007C15BF"/>
    <w:rsid w:val="007C15D3"/>
    <w:rsid w:val="007C162B"/>
    <w:rsid w:val="007C163A"/>
    <w:rsid w:val="007C165B"/>
    <w:rsid w:val="007C1689"/>
    <w:rsid w:val="007C1698"/>
    <w:rsid w:val="007C174A"/>
    <w:rsid w:val="007C1767"/>
    <w:rsid w:val="007C1817"/>
    <w:rsid w:val="007C1830"/>
    <w:rsid w:val="007C1851"/>
    <w:rsid w:val="007C1852"/>
    <w:rsid w:val="007C1882"/>
    <w:rsid w:val="007C18F0"/>
    <w:rsid w:val="007C18FD"/>
    <w:rsid w:val="007C1903"/>
    <w:rsid w:val="007C1980"/>
    <w:rsid w:val="007C1A9E"/>
    <w:rsid w:val="007C1B59"/>
    <w:rsid w:val="007C1B66"/>
    <w:rsid w:val="007C1B80"/>
    <w:rsid w:val="007C1C47"/>
    <w:rsid w:val="007C1C6B"/>
    <w:rsid w:val="007C1C8F"/>
    <w:rsid w:val="007C1CC0"/>
    <w:rsid w:val="007C1CF8"/>
    <w:rsid w:val="007C1D20"/>
    <w:rsid w:val="007C1D35"/>
    <w:rsid w:val="007C1D5E"/>
    <w:rsid w:val="007C1DBC"/>
    <w:rsid w:val="007C1DD4"/>
    <w:rsid w:val="007C1EAE"/>
    <w:rsid w:val="007C1ED5"/>
    <w:rsid w:val="007C1EE1"/>
    <w:rsid w:val="007C1F29"/>
    <w:rsid w:val="007C1FB1"/>
    <w:rsid w:val="007C1FB9"/>
    <w:rsid w:val="007C210F"/>
    <w:rsid w:val="007C2144"/>
    <w:rsid w:val="007C21ED"/>
    <w:rsid w:val="007C2200"/>
    <w:rsid w:val="007C2207"/>
    <w:rsid w:val="007C228C"/>
    <w:rsid w:val="007C22FA"/>
    <w:rsid w:val="007C2312"/>
    <w:rsid w:val="007C23C0"/>
    <w:rsid w:val="007C244E"/>
    <w:rsid w:val="007C2450"/>
    <w:rsid w:val="007C24A0"/>
    <w:rsid w:val="007C24BE"/>
    <w:rsid w:val="007C24F5"/>
    <w:rsid w:val="007C2503"/>
    <w:rsid w:val="007C2553"/>
    <w:rsid w:val="007C2668"/>
    <w:rsid w:val="007C2693"/>
    <w:rsid w:val="007C26E9"/>
    <w:rsid w:val="007C26F7"/>
    <w:rsid w:val="007C27E4"/>
    <w:rsid w:val="007C2832"/>
    <w:rsid w:val="007C285A"/>
    <w:rsid w:val="007C286F"/>
    <w:rsid w:val="007C28A1"/>
    <w:rsid w:val="007C29C4"/>
    <w:rsid w:val="007C29E6"/>
    <w:rsid w:val="007C29E9"/>
    <w:rsid w:val="007C2A0B"/>
    <w:rsid w:val="007C2A4F"/>
    <w:rsid w:val="007C2A9B"/>
    <w:rsid w:val="007C2AAD"/>
    <w:rsid w:val="007C2AB5"/>
    <w:rsid w:val="007C2AFA"/>
    <w:rsid w:val="007C2B12"/>
    <w:rsid w:val="007C2B44"/>
    <w:rsid w:val="007C2B68"/>
    <w:rsid w:val="007C2B80"/>
    <w:rsid w:val="007C2B85"/>
    <w:rsid w:val="007C2BBD"/>
    <w:rsid w:val="007C2C94"/>
    <w:rsid w:val="007C2CAF"/>
    <w:rsid w:val="007C2CE4"/>
    <w:rsid w:val="007C2CF9"/>
    <w:rsid w:val="007C2D1B"/>
    <w:rsid w:val="007C2D29"/>
    <w:rsid w:val="007C2D48"/>
    <w:rsid w:val="007C2D6C"/>
    <w:rsid w:val="007C2E01"/>
    <w:rsid w:val="007C2E14"/>
    <w:rsid w:val="007C2E1A"/>
    <w:rsid w:val="007C2E7F"/>
    <w:rsid w:val="007C2EF2"/>
    <w:rsid w:val="007C2F01"/>
    <w:rsid w:val="007C2F44"/>
    <w:rsid w:val="007C2F71"/>
    <w:rsid w:val="007C2F7E"/>
    <w:rsid w:val="007C2F90"/>
    <w:rsid w:val="007C2FB0"/>
    <w:rsid w:val="007C2FD0"/>
    <w:rsid w:val="007C3011"/>
    <w:rsid w:val="007C303F"/>
    <w:rsid w:val="007C3061"/>
    <w:rsid w:val="007C30C7"/>
    <w:rsid w:val="007C313D"/>
    <w:rsid w:val="007C315D"/>
    <w:rsid w:val="007C3183"/>
    <w:rsid w:val="007C31CE"/>
    <w:rsid w:val="007C31E0"/>
    <w:rsid w:val="007C31EB"/>
    <w:rsid w:val="007C3208"/>
    <w:rsid w:val="007C324E"/>
    <w:rsid w:val="007C327F"/>
    <w:rsid w:val="007C3291"/>
    <w:rsid w:val="007C32BA"/>
    <w:rsid w:val="007C32EE"/>
    <w:rsid w:val="007C32FC"/>
    <w:rsid w:val="007C335E"/>
    <w:rsid w:val="007C33B6"/>
    <w:rsid w:val="007C3412"/>
    <w:rsid w:val="007C3472"/>
    <w:rsid w:val="007C3480"/>
    <w:rsid w:val="007C3496"/>
    <w:rsid w:val="007C349E"/>
    <w:rsid w:val="007C34AE"/>
    <w:rsid w:val="007C34C9"/>
    <w:rsid w:val="007C34D5"/>
    <w:rsid w:val="007C3525"/>
    <w:rsid w:val="007C3584"/>
    <w:rsid w:val="007C3615"/>
    <w:rsid w:val="007C3626"/>
    <w:rsid w:val="007C367F"/>
    <w:rsid w:val="007C36A1"/>
    <w:rsid w:val="007C36B9"/>
    <w:rsid w:val="007C3720"/>
    <w:rsid w:val="007C3744"/>
    <w:rsid w:val="007C37B6"/>
    <w:rsid w:val="007C37FD"/>
    <w:rsid w:val="007C386D"/>
    <w:rsid w:val="007C3875"/>
    <w:rsid w:val="007C3886"/>
    <w:rsid w:val="007C389E"/>
    <w:rsid w:val="007C38BA"/>
    <w:rsid w:val="007C38DB"/>
    <w:rsid w:val="007C390D"/>
    <w:rsid w:val="007C3920"/>
    <w:rsid w:val="007C3934"/>
    <w:rsid w:val="007C398A"/>
    <w:rsid w:val="007C39B5"/>
    <w:rsid w:val="007C3A32"/>
    <w:rsid w:val="007C3A76"/>
    <w:rsid w:val="007C3AA1"/>
    <w:rsid w:val="007C3AF3"/>
    <w:rsid w:val="007C3AFC"/>
    <w:rsid w:val="007C3B2F"/>
    <w:rsid w:val="007C3BA6"/>
    <w:rsid w:val="007C3BFA"/>
    <w:rsid w:val="007C3C45"/>
    <w:rsid w:val="007C3C71"/>
    <w:rsid w:val="007C3C94"/>
    <w:rsid w:val="007C3CDE"/>
    <w:rsid w:val="007C3D25"/>
    <w:rsid w:val="007C3D74"/>
    <w:rsid w:val="007C3DA0"/>
    <w:rsid w:val="007C3E16"/>
    <w:rsid w:val="007C3F2B"/>
    <w:rsid w:val="007C3FC6"/>
    <w:rsid w:val="007C4014"/>
    <w:rsid w:val="007C4058"/>
    <w:rsid w:val="007C4081"/>
    <w:rsid w:val="007C416D"/>
    <w:rsid w:val="007C41D9"/>
    <w:rsid w:val="007C4218"/>
    <w:rsid w:val="007C428D"/>
    <w:rsid w:val="007C42B5"/>
    <w:rsid w:val="007C42F0"/>
    <w:rsid w:val="007C4301"/>
    <w:rsid w:val="007C4353"/>
    <w:rsid w:val="007C4376"/>
    <w:rsid w:val="007C4423"/>
    <w:rsid w:val="007C446D"/>
    <w:rsid w:val="007C4471"/>
    <w:rsid w:val="007C4535"/>
    <w:rsid w:val="007C4541"/>
    <w:rsid w:val="007C45C9"/>
    <w:rsid w:val="007C4671"/>
    <w:rsid w:val="007C46C1"/>
    <w:rsid w:val="007C46E0"/>
    <w:rsid w:val="007C46F6"/>
    <w:rsid w:val="007C4762"/>
    <w:rsid w:val="007C4766"/>
    <w:rsid w:val="007C4776"/>
    <w:rsid w:val="007C4784"/>
    <w:rsid w:val="007C47A3"/>
    <w:rsid w:val="007C47EA"/>
    <w:rsid w:val="007C47ED"/>
    <w:rsid w:val="007C484D"/>
    <w:rsid w:val="007C4885"/>
    <w:rsid w:val="007C48A0"/>
    <w:rsid w:val="007C48E5"/>
    <w:rsid w:val="007C4901"/>
    <w:rsid w:val="007C49B2"/>
    <w:rsid w:val="007C49BB"/>
    <w:rsid w:val="007C49F1"/>
    <w:rsid w:val="007C4A84"/>
    <w:rsid w:val="007C4B62"/>
    <w:rsid w:val="007C4B69"/>
    <w:rsid w:val="007C4B7A"/>
    <w:rsid w:val="007C4BB3"/>
    <w:rsid w:val="007C4C7E"/>
    <w:rsid w:val="007C4CB0"/>
    <w:rsid w:val="007C4DB6"/>
    <w:rsid w:val="007C4DB9"/>
    <w:rsid w:val="007C4DCD"/>
    <w:rsid w:val="007C4E08"/>
    <w:rsid w:val="007C4E20"/>
    <w:rsid w:val="007C4E5C"/>
    <w:rsid w:val="007C4E7B"/>
    <w:rsid w:val="007C4F76"/>
    <w:rsid w:val="007C4F79"/>
    <w:rsid w:val="007C4FB3"/>
    <w:rsid w:val="007C4FB7"/>
    <w:rsid w:val="007C5017"/>
    <w:rsid w:val="007C50BA"/>
    <w:rsid w:val="007C5145"/>
    <w:rsid w:val="007C519D"/>
    <w:rsid w:val="007C51F6"/>
    <w:rsid w:val="007C5259"/>
    <w:rsid w:val="007C5273"/>
    <w:rsid w:val="007C52F8"/>
    <w:rsid w:val="007C534C"/>
    <w:rsid w:val="007C5421"/>
    <w:rsid w:val="007C549A"/>
    <w:rsid w:val="007C54F6"/>
    <w:rsid w:val="007C5586"/>
    <w:rsid w:val="007C55A5"/>
    <w:rsid w:val="007C560D"/>
    <w:rsid w:val="007C5693"/>
    <w:rsid w:val="007C569B"/>
    <w:rsid w:val="007C5840"/>
    <w:rsid w:val="007C586C"/>
    <w:rsid w:val="007C589F"/>
    <w:rsid w:val="007C58B2"/>
    <w:rsid w:val="007C58B8"/>
    <w:rsid w:val="007C58BA"/>
    <w:rsid w:val="007C58C2"/>
    <w:rsid w:val="007C58F1"/>
    <w:rsid w:val="007C592B"/>
    <w:rsid w:val="007C5967"/>
    <w:rsid w:val="007C59D6"/>
    <w:rsid w:val="007C5A42"/>
    <w:rsid w:val="007C5A5D"/>
    <w:rsid w:val="007C5A5F"/>
    <w:rsid w:val="007C5A93"/>
    <w:rsid w:val="007C5B14"/>
    <w:rsid w:val="007C5B3B"/>
    <w:rsid w:val="007C5B59"/>
    <w:rsid w:val="007C5B8D"/>
    <w:rsid w:val="007C5B8E"/>
    <w:rsid w:val="007C5B92"/>
    <w:rsid w:val="007C5C73"/>
    <w:rsid w:val="007C5CDE"/>
    <w:rsid w:val="007C5D10"/>
    <w:rsid w:val="007C5D54"/>
    <w:rsid w:val="007C5DD2"/>
    <w:rsid w:val="007C5E7F"/>
    <w:rsid w:val="007C5F2C"/>
    <w:rsid w:val="007C5F4D"/>
    <w:rsid w:val="007C5F7F"/>
    <w:rsid w:val="007C5FC2"/>
    <w:rsid w:val="007C5FCF"/>
    <w:rsid w:val="007C6016"/>
    <w:rsid w:val="007C604B"/>
    <w:rsid w:val="007C6077"/>
    <w:rsid w:val="007C609A"/>
    <w:rsid w:val="007C60AE"/>
    <w:rsid w:val="007C60C6"/>
    <w:rsid w:val="007C60D4"/>
    <w:rsid w:val="007C60F1"/>
    <w:rsid w:val="007C6130"/>
    <w:rsid w:val="007C617D"/>
    <w:rsid w:val="007C61BC"/>
    <w:rsid w:val="007C61C5"/>
    <w:rsid w:val="007C61E9"/>
    <w:rsid w:val="007C6205"/>
    <w:rsid w:val="007C6209"/>
    <w:rsid w:val="007C6223"/>
    <w:rsid w:val="007C6255"/>
    <w:rsid w:val="007C6326"/>
    <w:rsid w:val="007C632F"/>
    <w:rsid w:val="007C6348"/>
    <w:rsid w:val="007C636C"/>
    <w:rsid w:val="007C638B"/>
    <w:rsid w:val="007C63A6"/>
    <w:rsid w:val="007C640F"/>
    <w:rsid w:val="007C647C"/>
    <w:rsid w:val="007C64A8"/>
    <w:rsid w:val="007C64A9"/>
    <w:rsid w:val="007C64DE"/>
    <w:rsid w:val="007C6507"/>
    <w:rsid w:val="007C6514"/>
    <w:rsid w:val="007C6519"/>
    <w:rsid w:val="007C6548"/>
    <w:rsid w:val="007C6564"/>
    <w:rsid w:val="007C6565"/>
    <w:rsid w:val="007C6606"/>
    <w:rsid w:val="007C662F"/>
    <w:rsid w:val="007C664B"/>
    <w:rsid w:val="007C664F"/>
    <w:rsid w:val="007C66B8"/>
    <w:rsid w:val="007C66D5"/>
    <w:rsid w:val="007C66DC"/>
    <w:rsid w:val="007C670D"/>
    <w:rsid w:val="007C6714"/>
    <w:rsid w:val="007C67A4"/>
    <w:rsid w:val="007C67BF"/>
    <w:rsid w:val="007C67C2"/>
    <w:rsid w:val="007C67FE"/>
    <w:rsid w:val="007C683E"/>
    <w:rsid w:val="007C689E"/>
    <w:rsid w:val="007C69E8"/>
    <w:rsid w:val="007C6A5D"/>
    <w:rsid w:val="007C6A6E"/>
    <w:rsid w:val="007C6A7D"/>
    <w:rsid w:val="007C6AD2"/>
    <w:rsid w:val="007C6B0A"/>
    <w:rsid w:val="007C6B21"/>
    <w:rsid w:val="007C6B29"/>
    <w:rsid w:val="007C6B3D"/>
    <w:rsid w:val="007C6B41"/>
    <w:rsid w:val="007C6B43"/>
    <w:rsid w:val="007C6B57"/>
    <w:rsid w:val="007C6BA3"/>
    <w:rsid w:val="007C6C1C"/>
    <w:rsid w:val="007C6C9C"/>
    <w:rsid w:val="007C6CBB"/>
    <w:rsid w:val="007C6CBC"/>
    <w:rsid w:val="007C6CC6"/>
    <w:rsid w:val="007C6D02"/>
    <w:rsid w:val="007C6D17"/>
    <w:rsid w:val="007C6D19"/>
    <w:rsid w:val="007C6D27"/>
    <w:rsid w:val="007C6D52"/>
    <w:rsid w:val="007C6D7E"/>
    <w:rsid w:val="007C6D94"/>
    <w:rsid w:val="007C6DAC"/>
    <w:rsid w:val="007C6DE9"/>
    <w:rsid w:val="007C6DFA"/>
    <w:rsid w:val="007C6E1C"/>
    <w:rsid w:val="007C6E79"/>
    <w:rsid w:val="007C6E87"/>
    <w:rsid w:val="007C6EA8"/>
    <w:rsid w:val="007C6EFC"/>
    <w:rsid w:val="007C6F5C"/>
    <w:rsid w:val="007C6FB0"/>
    <w:rsid w:val="007C6FB3"/>
    <w:rsid w:val="007C6FC1"/>
    <w:rsid w:val="007C6FE4"/>
    <w:rsid w:val="007C7050"/>
    <w:rsid w:val="007C7055"/>
    <w:rsid w:val="007C70CF"/>
    <w:rsid w:val="007C70D6"/>
    <w:rsid w:val="007C7145"/>
    <w:rsid w:val="007C715A"/>
    <w:rsid w:val="007C7165"/>
    <w:rsid w:val="007C7185"/>
    <w:rsid w:val="007C71DB"/>
    <w:rsid w:val="007C71E0"/>
    <w:rsid w:val="007C7203"/>
    <w:rsid w:val="007C723C"/>
    <w:rsid w:val="007C7297"/>
    <w:rsid w:val="007C729C"/>
    <w:rsid w:val="007C72E0"/>
    <w:rsid w:val="007C7319"/>
    <w:rsid w:val="007C731A"/>
    <w:rsid w:val="007C734B"/>
    <w:rsid w:val="007C7362"/>
    <w:rsid w:val="007C7412"/>
    <w:rsid w:val="007C7427"/>
    <w:rsid w:val="007C742D"/>
    <w:rsid w:val="007C74FB"/>
    <w:rsid w:val="007C757D"/>
    <w:rsid w:val="007C75DA"/>
    <w:rsid w:val="007C7607"/>
    <w:rsid w:val="007C7618"/>
    <w:rsid w:val="007C7719"/>
    <w:rsid w:val="007C7781"/>
    <w:rsid w:val="007C77C3"/>
    <w:rsid w:val="007C77E3"/>
    <w:rsid w:val="007C7800"/>
    <w:rsid w:val="007C7813"/>
    <w:rsid w:val="007C784F"/>
    <w:rsid w:val="007C7850"/>
    <w:rsid w:val="007C7865"/>
    <w:rsid w:val="007C788C"/>
    <w:rsid w:val="007C7892"/>
    <w:rsid w:val="007C78B1"/>
    <w:rsid w:val="007C78BE"/>
    <w:rsid w:val="007C78CA"/>
    <w:rsid w:val="007C78F4"/>
    <w:rsid w:val="007C791F"/>
    <w:rsid w:val="007C792D"/>
    <w:rsid w:val="007C7931"/>
    <w:rsid w:val="007C799F"/>
    <w:rsid w:val="007C79F0"/>
    <w:rsid w:val="007C7A0D"/>
    <w:rsid w:val="007C7A6F"/>
    <w:rsid w:val="007C7AA2"/>
    <w:rsid w:val="007C7AAF"/>
    <w:rsid w:val="007C7ABE"/>
    <w:rsid w:val="007C7AC7"/>
    <w:rsid w:val="007C7AE1"/>
    <w:rsid w:val="007C7AE4"/>
    <w:rsid w:val="007C7B21"/>
    <w:rsid w:val="007C7B61"/>
    <w:rsid w:val="007C7B86"/>
    <w:rsid w:val="007C7BFB"/>
    <w:rsid w:val="007C7C18"/>
    <w:rsid w:val="007C7C96"/>
    <w:rsid w:val="007C7CB7"/>
    <w:rsid w:val="007C7CD5"/>
    <w:rsid w:val="007C7D51"/>
    <w:rsid w:val="007C7D7D"/>
    <w:rsid w:val="007C7D94"/>
    <w:rsid w:val="007C7DA1"/>
    <w:rsid w:val="007C7E4C"/>
    <w:rsid w:val="007C7EB6"/>
    <w:rsid w:val="007C7ED2"/>
    <w:rsid w:val="007C7F63"/>
    <w:rsid w:val="007C7F69"/>
    <w:rsid w:val="007C7F7C"/>
    <w:rsid w:val="007C7F80"/>
    <w:rsid w:val="007D005C"/>
    <w:rsid w:val="007D006C"/>
    <w:rsid w:val="007D0079"/>
    <w:rsid w:val="007D00B5"/>
    <w:rsid w:val="007D016D"/>
    <w:rsid w:val="007D0175"/>
    <w:rsid w:val="007D02C7"/>
    <w:rsid w:val="007D02F0"/>
    <w:rsid w:val="007D0313"/>
    <w:rsid w:val="007D0359"/>
    <w:rsid w:val="007D03AC"/>
    <w:rsid w:val="007D03F6"/>
    <w:rsid w:val="007D043B"/>
    <w:rsid w:val="007D0441"/>
    <w:rsid w:val="007D04B7"/>
    <w:rsid w:val="007D04CB"/>
    <w:rsid w:val="007D0546"/>
    <w:rsid w:val="007D054C"/>
    <w:rsid w:val="007D0590"/>
    <w:rsid w:val="007D067C"/>
    <w:rsid w:val="007D071E"/>
    <w:rsid w:val="007D0722"/>
    <w:rsid w:val="007D072A"/>
    <w:rsid w:val="007D0730"/>
    <w:rsid w:val="007D0803"/>
    <w:rsid w:val="007D080F"/>
    <w:rsid w:val="007D083D"/>
    <w:rsid w:val="007D0873"/>
    <w:rsid w:val="007D087C"/>
    <w:rsid w:val="007D08BF"/>
    <w:rsid w:val="007D08C5"/>
    <w:rsid w:val="007D091E"/>
    <w:rsid w:val="007D0958"/>
    <w:rsid w:val="007D0991"/>
    <w:rsid w:val="007D099E"/>
    <w:rsid w:val="007D09D0"/>
    <w:rsid w:val="007D0A3F"/>
    <w:rsid w:val="007D0A46"/>
    <w:rsid w:val="007D0AB3"/>
    <w:rsid w:val="007D0AB6"/>
    <w:rsid w:val="007D0AD2"/>
    <w:rsid w:val="007D0B0B"/>
    <w:rsid w:val="007D0B27"/>
    <w:rsid w:val="007D0C73"/>
    <w:rsid w:val="007D0CF4"/>
    <w:rsid w:val="007D0D61"/>
    <w:rsid w:val="007D0D8C"/>
    <w:rsid w:val="007D0DA9"/>
    <w:rsid w:val="007D0DDC"/>
    <w:rsid w:val="007D0DED"/>
    <w:rsid w:val="007D0EB0"/>
    <w:rsid w:val="007D0F02"/>
    <w:rsid w:val="007D0F2F"/>
    <w:rsid w:val="007D0F90"/>
    <w:rsid w:val="007D1049"/>
    <w:rsid w:val="007D1069"/>
    <w:rsid w:val="007D1183"/>
    <w:rsid w:val="007D11E0"/>
    <w:rsid w:val="007D12D6"/>
    <w:rsid w:val="007D12FB"/>
    <w:rsid w:val="007D1301"/>
    <w:rsid w:val="007D130A"/>
    <w:rsid w:val="007D1345"/>
    <w:rsid w:val="007D1356"/>
    <w:rsid w:val="007D135F"/>
    <w:rsid w:val="007D13F1"/>
    <w:rsid w:val="007D1438"/>
    <w:rsid w:val="007D144C"/>
    <w:rsid w:val="007D1472"/>
    <w:rsid w:val="007D14B7"/>
    <w:rsid w:val="007D1574"/>
    <w:rsid w:val="007D15AC"/>
    <w:rsid w:val="007D15C6"/>
    <w:rsid w:val="007D15E3"/>
    <w:rsid w:val="007D1682"/>
    <w:rsid w:val="007D1739"/>
    <w:rsid w:val="007D175A"/>
    <w:rsid w:val="007D177A"/>
    <w:rsid w:val="007D17B9"/>
    <w:rsid w:val="007D18AC"/>
    <w:rsid w:val="007D18C7"/>
    <w:rsid w:val="007D18D4"/>
    <w:rsid w:val="007D193C"/>
    <w:rsid w:val="007D196C"/>
    <w:rsid w:val="007D19C9"/>
    <w:rsid w:val="007D19D3"/>
    <w:rsid w:val="007D19E7"/>
    <w:rsid w:val="007D1A48"/>
    <w:rsid w:val="007D1AB3"/>
    <w:rsid w:val="007D1AE7"/>
    <w:rsid w:val="007D1AFF"/>
    <w:rsid w:val="007D1B27"/>
    <w:rsid w:val="007D1B37"/>
    <w:rsid w:val="007D1B7C"/>
    <w:rsid w:val="007D1C38"/>
    <w:rsid w:val="007D1C86"/>
    <w:rsid w:val="007D1CAC"/>
    <w:rsid w:val="007D1CE7"/>
    <w:rsid w:val="007D1DAE"/>
    <w:rsid w:val="007D1DB8"/>
    <w:rsid w:val="007D1E2C"/>
    <w:rsid w:val="007D1E61"/>
    <w:rsid w:val="007D1E7B"/>
    <w:rsid w:val="007D1E8C"/>
    <w:rsid w:val="007D1EA4"/>
    <w:rsid w:val="007D1EAA"/>
    <w:rsid w:val="007D1EAB"/>
    <w:rsid w:val="007D1EC4"/>
    <w:rsid w:val="007D1EC9"/>
    <w:rsid w:val="007D1EFA"/>
    <w:rsid w:val="007D1F8C"/>
    <w:rsid w:val="007D1FC0"/>
    <w:rsid w:val="007D2021"/>
    <w:rsid w:val="007D2042"/>
    <w:rsid w:val="007D2044"/>
    <w:rsid w:val="007D206F"/>
    <w:rsid w:val="007D20A6"/>
    <w:rsid w:val="007D219B"/>
    <w:rsid w:val="007D21F5"/>
    <w:rsid w:val="007D2203"/>
    <w:rsid w:val="007D2214"/>
    <w:rsid w:val="007D2232"/>
    <w:rsid w:val="007D224D"/>
    <w:rsid w:val="007D2256"/>
    <w:rsid w:val="007D2268"/>
    <w:rsid w:val="007D22E2"/>
    <w:rsid w:val="007D22F4"/>
    <w:rsid w:val="007D2388"/>
    <w:rsid w:val="007D23C1"/>
    <w:rsid w:val="007D23DA"/>
    <w:rsid w:val="007D2449"/>
    <w:rsid w:val="007D24A0"/>
    <w:rsid w:val="007D24A2"/>
    <w:rsid w:val="007D24B8"/>
    <w:rsid w:val="007D24C7"/>
    <w:rsid w:val="007D24D8"/>
    <w:rsid w:val="007D24F1"/>
    <w:rsid w:val="007D254E"/>
    <w:rsid w:val="007D2634"/>
    <w:rsid w:val="007D267B"/>
    <w:rsid w:val="007D26D3"/>
    <w:rsid w:val="007D26DF"/>
    <w:rsid w:val="007D2758"/>
    <w:rsid w:val="007D2788"/>
    <w:rsid w:val="007D27B6"/>
    <w:rsid w:val="007D2847"/>
    <w:rsid w:val="007D28E0"/>
    <w:rsid w:val="007D2926"/>
    <w:rsid w:val="007D293E"/>
    <w:rsid w:val="007D2960"/>
    <w:rsid w:val="007D2997"/>
    <w:rsid w:val="007D29A7"/>
    <w:rsid w:val="007D2A0D"/>
    <w:rsid w:val="007D2A1F"/>
    <w:rsid w:val="007D2A5B"/>
    <w:rsid w:val="007D2A9E"/>
    <w:rsid w:val="007D2AC5"/>
    <w:rsid w:val="007D2AE9"/>
    <w:rsid w:val="007D2AFF"/>
    <w:rsid w:val="007D2B9C"/>
    <w:rsid w:val="007D2BF1"/>
    <w:rsid w:val="007D2C4D"/>
    <w:rsid w:val="007D2D01"/>
    <w:rsid w:val="007D2D38"/>
    <w:rsid w:val="007D2DE4"/>
    <w:rsid w:val="007D2E22"/>
    <w:rsid w:val="007D2E5E"/>
    <w:rsid w:val="007D2ED4"/>
    <w:rsid w:val="007D2FC8"/>
    <w:rsid w:val="007D2FE5"/>
    <w:rsid w:val="007D3005"/>
    <w:rsid w:val="007D3021"/>
    <w:rsid w:val="007D304A"/>
    <w:rsid w:val="007D3067"/>
    <w:rsid w:val="007D308F"/>
    <w:rsid w:val="007D30CB"/>
    <w:rsid w:val="007D310D"/>
    <w:rsid w:val="007D315C"/>
    <w:rsid w:val="007D315E"/>
    <w:rsid w:val="007D318B"/>
    <w:rsid w:val="007D31B1"/>
    <w:rsid w:val="007D31EE"/>
    <w:rsid w:val="007D31F6"/>
    <w:rsid w:val="007D3208"/>
    <w:rsid w:val="007D325E"/>
    <w:rsid w:val="007D327A"/>
    <w:rsid w:val="007D3324"/>
    <w:rsid w:val="007D3349"/>
    <w:rsid w:val="007D334B"/>
    <w:rsid w:val="007D334C"/>
    <w:rsid w:val="007D3359"/>
    <w:rsid w:val="007D3360"/>
    <w:rsid w:val="007D339A"/>
    <w:rsid w:val="007D345A"/>
    <w:rsid w:val="007D34BB"/>
    <w:rsid w:val="007D34DB"/>
    <w:rsid w:val="007D3533"/>
    <w:rsid w:val="007D355E"/>
    <w:rsid w:val="007D35C6"/>
    <w:rsid w:val="007D36C3"/>
    <w:rsid w:val="007D36C9"/>
    <w:rsid w:val="007D36E3"/>
    <w:rsid w:val="007D371D"/>
    <w:rsid w:val="007D3749"/>
    <w:rsid w:val="007D378E"/>
    <w:rsid w:val="007D37BE"/>
    <w:rsid w:val="007D37C4"/>
    <w:rsid w:val="007D37CA"/>
    <w:rsid w:val="007D3834"/>
    <w:rsid w:val="007D38B5"/>
    <w:rsid w:val="007D3948"/>
    <w:rsid w:val="007D396C"/>
    <w:rsid w:val="007D39AD"/>
    <w:rsid w:val="007D39B7"/>
    <w:rsid w:val="007D39E9"/>
    <w:rsid w:val="007D3A0A"/>
    <w:rsid w:val="007D3A3B"/>
    <w:rsid w:val="007D3AE7"/>
    <w:rsid w:val="007D3B28"/>
    <w:rsid w:val="007D3B3F"/>
    <w:rsid w:val="007D3B99"/>
    <w:rsid w:val="007D3BD1"/>
    <w:rsid w:val="007D3BD3"/>
    <w:rsid w:val="007D3BD7"/>
    <w:rsid w:val="007D3C3E"/>
    <w:rsid w:val="007D3D15"/>
    <w:rsid w:val="007D3D27"/>
    <w:rsid w:val="007D3D31"/>
    <w:rsid w:val="007D3D3C"/>
    <w:rsid w:val="007D3D72"/>
    <w:rsid w:val="007D3D9D"/>
    <w:rsid w:val="007D3DA3"/>
    <w:rsid w:val="007D3DB1"/>
    <w:rsid w:val="007D3DE8"/>
    <w:rsid w:val="007D3E3B"/>
    <w:rsid w:val="007D3E88"/>
    <w:rsid w:val="007D3F15"/>
    <w:rsid w:val="007D3F64"/>
    <w:rsid w:val="007D4002"/>
    <w:rsid w:val="007D407A"/>
    <w:rsid w:val="007D408C"/>
    <w:rsid w:val="007D40C4"/>
    <w:rsid w:val="007D40E5"/>
    <w:rsid w:val="007D40F7"/>
    <w:rsid w:val="007D4112"/>
    <w:rsid w:val="007D41B3"/>
    <w:rsid w:val="007D429F"/>
    <w:rsid w:val="007D42D0"/>
    <w:rsid w:val="007D4305"/>
    <w:rsid w:val="007D433F"/>
    <w:rsid w:val="007D438F"/>
    <w:rsid w:val="007D4397"/>
    <w:rsid w:val="007D43A0"/>
    <w:rsid w:val="007D43C3"/>
    <w:rsid w:val="007D43EE"/>
    <w:rsid w:val="007D4471"/>
    <w:rsid w:val="007D44C9"/>
    <w:rsid w:val="007D4584"/>
    <w:rsid w:val="007D4596"/>
    <w:rsid w:val="007D45A9"/>
    <w:rsid w:val="007D45D9"/>
    <w:rsid w:val="007D464F"/>
    <w:rsid w:val="007D4656"/>
    <w:rsid w:val="007D4680"/>
    <w:rsid w:val="007D46CB"/>
    <w:rsid w:val="007D46FB"/>
    <w:rsid w:val="007D479D"/>
    <w:rsid w:val="007D47F0"/>
    <w:rsid w:val="007D47F8"/>
    <w:rsid w:val="007D489E"/>
    <w:rsid w:val="007D48D1"/>
    <w:rsid w:val="007D48DE"/>
    <w:rsid w:val="007D48E4"/>
    <w:rsid w:val="007D48EF"/>
    <w:rsid w:val="007D4951"/>
    <w:rsid w:val="007D4958"/>
    <w:rsid w:val="007D49B7"/>
    <w:rsid w:val="007D49CE"/>
    <w:rsid w:val="007D4A39"/>
    <w:rsid w:val="007D4A3F"/>
    <w:rsid w:val="007D4A73"/>
    <w:rsid w:val="007D4A79"/>
    <w:rsid w:val="007D4B0C"/>
    <w:rsid w:val="007D4B1D"/>
    <w:rsid w:val="007D4B7D"/>
    <w:rsid w:val="007D4BC8"/>
    <w:rsid w:val="007D4BD0"/>
    <w:rsid w:val="007D4BD2"/>
    <w:rsid w:val="007D4BE6"/>
    <w:rsid w:val="007D4BF3"/>
    <w:rsid w:val="007D4CBB"/>
    <w:rsid w:val="007D4CE0"/>
    <w:rsid w:val="007D4D07"/>
    <w:rsid w:val="007D4D0E"/>
    <w:rsid w:val="007D4D24"/>
    <w:rsid w:val="007D4D84"/>
    <w:rsid w:val="007D4D8E"/>
    <w:rsid w:val="007D4D9E"/>
    <w:rsid w:val="007D4DAC"/>
    <w:rsid w:val="007D4E06"/>
    <w:rsid w:val="007D4E0F"/>
    <w:rsid w:val="007D4E41"/>
    <w:rsid w:val="007D4E4A"/>
    <w:rsid w:val="007D4E52"/>
    <w:rsid w:val="007D4E5F"/>
    <w:rsid w:val="007D4E8E"/>
    <w:rsid w:val="007D4EBF"/>
    <w:rsid w:val="007D4ECD"/>
    <w:rsid w:val="007D4EDD"/>
    <w:rsid w:val="007D4EF4"/>
    <w:rsid w:val="007D4F00"/>
    <w:rsid w:val="007D4F29"/>
    <w:rsid w:val="007D4FA5"/>
    <w:rsid w:val="007D4FC5"/>
    <w:rsid w:val="007D4FCF"/>
    <w:rsid w:val="007D4FE3"/>
    <w:rsid w:val="007D4FF8"/>
    <w:rsid w:val="007D4FFC"/>
    <w:rsid w:val="007D5032"/>
    <w:rsid w:val="007D503B"/>
    <w:rsid w:val="007D50CA"/>
    <w:rsid w:val="007D5152"/>
    <w:rsid w:val="007D5168"/>
    <w:rsid w:val="007D516C"/>
    <w:rsid w:val="007D51A2"/>
    <w:rsid w:val="007D51AB"/>
    <w:rsid w:val="007D51B0"/>
    <w:rsid w:val="007D51F2"/>
    <w:rsid w:val="007D5204"/>
    <w:rsid w:val="007D5243"/>
    <w:rsid w:val="007D528E"/>
    <w:rsid w:val="007D52E7"/>
    <w:rsid w:val="007D5351"/>
    <w:rsid w:val="007D5368"/>
    <w:rsid w:val="007D542A"/>
    <w:rsid w:val="007D544E"/>
    <w:rsid w:val="007D547C"/>
    <w:rsid w:val="007D54D6"/>
    <w:rsid w:val="007D54F4"/>
    <w:rsid w:val="007D5556"/>
    <w:rsid w:val="007D55D0"/>
    <w:rsid w:val="007D5632"/>
    <w:rsid w:val="007D5680"/>
    <w:rsid w:val="007D569A"/>
    <w:rsid w:val="007D569E"/>
    <w:rsid w:val="007D56BF"/>
    <w:rsid w:val="007D56F5"/>
    <w:rsid w:val="007D56F6"/>
    <w:rsid w:val="007D5796"/>
    <w:rsid w:val="007D585F"/>
    <w:rsid w:val="007D586E"/>
    <w:rsid w:val="007D58E4"/>
    <w:rsid w:val="007D58E8"/>
    <w:rsid w:val="007D5932"/>
    <w:rsid w:val="007D594A"/>
    <w:rsid w:val="007D5970"/>
    <w:rsid w:val="007D598D"/>
    <w:rsid w:val="007D59BF"/>
    <w:rsid w:val="007D59CD"/>
    <w:rsid w:val="007D59E4"/>
    <w:rsid w:val="007D5A26"/>
    <w:rsid w:val="007D5AB4"/>
    <w:rsid w:val="007D5AF3"/>
    <w:rsid w:val="007D5B04"/>
    <w:rsid w:val="007D5BB7"/>
    <w:rsid w:val="007D5C88"/>
    <w:rsid w:val="007D5CDB"/>
    <w:rsid w:val="007D5D26"/>
    <w:rsid w:val="007D5D29"/>
    <w:rsid w:val="007D5D4D"/>
    <w:rsid w:val="007D5D4F"/>
    <w:rsid w:val="007D5D7A"/>
    <w:rsid w:val="007D5DA5"/>
    <w:rsid w:val="007D5EBB"/>
    <w:rsid w:val="007D5F25"/>
    <w:rsid w:val="007D5F4B"/>
    <w:rsid w:val="007D5F67"/>
    <w:rsid w:val="007D5F99"/>
    <w:rsid w:val="007D5FCA"/>
    <w:rsid w:val="007D6008"/>
    <w:rsid w:val="007D6041"/>
    <w:rsid w:val="007D6084"/>
    <w:rsid w:val="007D608D"/>
    <w:rsid w:val="007D60D5"/>
    <w:rsid w:val="007D60DC"/>
    <w:rsid w:val="007D60FA"/>
    <w:rsid w:val="007D61CB"/>
    <w:rsid w:val="007D6214"/>
    <w:rsid w:val="007D6216"/>
    <w:rsid w:val="007D622D"/>
    <w:rsid w:val="007D628C"/>
    <w:rsid w:val="007D6291"/>
    <w:rsid w:val="007D632F"/>
    <w:rsid w:val="007D6336"/>
    <w:rsid w:val="007D6342"/>
    <w:rsid w:val="007D635E"/>
    <w:rsid w:val="007D6382"/>
    <w:rsid w:val="007D63D4"/>
    <w:rsid w:val="007D6442"/>
    <w:rsid w:val="007D64D4"/>
    <w:rsid w:val="007D6520"/>
    <w:rsid w:val="007D655D"/>
    <w:rsid w:val="007D65E9"/>
    <w:rsid w:val="007D65F3"/>
    <w:rsid w:val="007D662F"/>
    <w:rsid w:val="007D6676"/>
    <w:rsid w:val="007D6694"/>
    <w:rsid w:val="007D671C"/>
    <w:rsid w:val="007D672D"/>
    <w:rsid w:val="007D672F"/>
    <w:rsid w:val="007D6735"/>
    <w:rsid w:val="007D6756"/>
    <w:rsid w:val="007D676A"/>
    <w:rsid w:val="007D6781"/>
    <w:rsid w:val="007D678F"/>
    <w:rsid w:val="007D67AC"/>
    <w:rsid w:val="007D6857"/>
    <w:rsid w:val="007D688D"/>
    <w:rsid w:val="007D689F"/>
    <w:rsid w:val="007D68AA"/>
    <w:rsid w:val="007D68C4"/>
    <w:rsid w:val="007D68D9"/>
    <w:rsid w:val="007D696E"/>
    <w:rsid w:val="007D6ABB"/>
    <w:rsid w:val="007D6AD6"/>
    <w:rsid w:val="007D6AE2"/>
    <w:rsid w:val="007D6BBB"/>
    <w:rsid w:val="007D6CBD"/>
    <w:rsid w:val="007D6D19"/>
    <w:rsid w:val="007D6D3B"/>
    <w:rsid w:val="007D6D6B"/>
    <w:rsid w:val="007D6DFB"/>
    <w:rsid w:val="007D6E01"/>
    <w:rsid w:val="007D6E17"/>
    <w:rsid w:val="007D6E1F"/>
    <w:rsid w:val="007D6E46"/>
    <w:rsid w:val="007D6E69"/>
    <w:rsid w:val="007D6EA4"/>
    <w:rsid w:val="007D6EEA"/>
    <w:rsid w:val="007D6F07"/>
    <w:rsid w:val="007D6F67"/>
    <w:rsid w:val="007D6F77"/>
    <w:rsid w:val="007D6F86"/>
    <w:rsid w:val="007D6F99"/>
    <w:rsid w:val="007D6FB7"/>
    <w:rsid w:val="007D6FCA"/>
    <w:rsid w:val="007D6FD3"/>
    <w:rsid w:val="007D6FE7"/>
    <w:rsid w:val="007D6FF2"/>
    <w:rsid w:val="007D7025"/>
    <w:rsid w:val="007D7041"/>
    <w:rsid w:val="007D7087"/>
    <w:rsid w:val="007D70FA"/>
    <w:rsid w:val="007D7161"/>
    <w:rsid w:val="007D7196"/>
    <w:rsid w:val="007D7212"/>
    <w:rsid w:val="007D7243"/>
    <w:rsid w:val="007D7244"/>
    <w:rsid w:val="007D7251"/>
    <w:rsid w:val="007D7260"/>
    <w:rsid w:val="007D7294"/>
    <w:rsid w:val="007D72AF"/>
    <w:rsid w:val="007D72B3"/>
    <w:rsid w:val="007D72DC"/>
    <w:rsid w:val="007D73BB"/>
    <w:rsid w:val="007D73CD"/>
    <w:rsid w:val="007D7410"/>
    <w:rsid w:val="007D741A"/>
    <w:rsid w:val="007D7428"/>
    <w:rsid w:val="007D7470"/>
    <w:rsid w:val="007D748E"/>
    <w:rsid w:val="007D74A6"/>
    <w:rsid w:val="007D74D8"/>
    <w:rsid w:val="007D74EC"/>
    <w:rsid w:val="007D760F"/>
    <w:rsid w:val="007D7662"/>
    <w:rsid w:val="007D76EA"/>
    <w:rsid w:val="007D7740"/>
    <w:rsid w:val="007D7762"/>
    <w:rsid w:val="007D7794"/>
    <w:rsid w:val="007D77B2"/>
    <w:rsid w:val="007D786D"/>
    <w:rsid w:val="007D7894"/>
    <w:rsid w:val="007D78DB"/>
    <w:rsid w:val="007D7929"/>
    <w:rsid w:val="007D7963"/>
    <w:rsid w:val="007D7A04"/>
    <w:rsid w:val="007D7A4E"/>
    <w:rsid w:val="007D7A57"/>
    <w:rsid w:val="007D7B7D"/>
    <w:rsid w:val="007D7B88"/>
    <w:rsid w:val="007D7B91"/>
    <w:rsid w:val="007D7BCE"/>
    <w:rsid w:val="007D7C7F"/>
    <w:rsid w:val="007D7CD7"/>
    <w:rsid w:val="007D7CE2"/>
    <w:rsid w:val="007D7D2E"/>
    <w:rsid w:val="007D7D48"/>
    <w:rsid w:val="007D7D62"/>
    <w:rsid w:val="007D7D70"/>
    <w:rsid w:val="007D7D9B"/>
    <w:rsid w:val="007D7DCB"/>
    <w:rsid w:val="007D7E21"/>
    <w:rsid w:val="007D7E6A"/>
    <w:rsid w:val="007D7EC5"/>
    <w:rsid w:val="007D7ECC"/>
    <w:rsid w:val="007D7EF6"/>
    <w:rsid w:val="007D7F55"/>
    <w:rsid w:val="007D7F68"/>
    <w:rsid w:val="007D7F7B"/>
    <w:rsid w:val="007D7FD5"/>
    <w:rsid w:val="007D9C18"/>
    <w:rsid w:val="007E0005"/>
    <w:rsid w:val="007E0099"/>
    <w:rsid w:val="007E0118"/>
    <w:rsid w:val="007E011A"/>
    <w:rsid w:val="007E0149"/>
    <w:rsid w:val="007E0155"/>
    <w:rsid w:val="007E0161"/>
    <w:rsid w:val="007E01CD"/>
    <w:rsid w:val="007E0224"/>
    <w:rsid w:val="007E0230"/>
    <w:rsid w:val="007E024F"/>
    <w:rsid w:val="007E02A8"/>
    <w:rsid w:val="007E02F6"/>
    <w:rsid w:val="007E0378"/>
    <w:rsid w:val="007E03A9"/>
    <w:rsid w:val="007E03E6"/>
    <w:rsid w:val="007E03F0"/>
    <w:rsid w:val="007E03FC"/>
    <w:rsid w:val="007E040A"/>
    <w:rsid w:val="007E042D"/>
    <w:rsid w:val="007E0440"/>
    <w:rsid w:val="007E0453"/>
    <w:rsid w:val="007E048A"/>
    <w:rsid w:val="007E0521"/>
    <w:rsid w:val="007E0557"/>
    <w:rsid w:val="007E0562"/>
    <w:rsid w:val="007E0591"/>
    <w:rsid w:val="007E05C1"/>
    <w:rsid w:val="007E05C6"/>
    <w:rsid w:val="007E05E2"/>
    <w:rsid w:val="007E063F"/>
    <w:rsid w:val="007E0645"/>
    <w:rsid w:val="007E06E4"/>
    <w:rsid w:val="007E06ED"/>
    <w:rsid w:val="007E073C"/>
    <w:rsid w:val="007E0748"/>
    <w:rsid w:val="007E0796"/>
    <w:rsid w:val="007E0797"/>
    <w:rsid w:val="007E07C3"/>
    <w:rsid w:val="007E0809"/>
    <w:rsid w:val="007E0816"/>
    <w:rsid w:val="007E0839"/>
    <w:rsid w:val="007E086C"/>
    <w:rsid w:val="007E08BF"/>
    <w:rsid w:val="007E0907"/>
    <w:rsid w:val="007E0933"/>
    <w:rsid w:val="007E097C"/>
    <w:rsid w:val="007E0A2A"/>
    <w:rsid w:val="007E0A40"/>
    <w:rsid w:val="007E0A8B"/>
    <w:rsid w:val="007E0A96"/>
    <w:rsid w:val="007E0A9A"/>
    <w:rsid w:val="007E0AC1"/>
    <w:rsid w:val="007E0B62"/>
    <w:rsid w:val="007E0BCA"/>
    <w:rsid w:val="007E0C2A"/>
    <w:rsid w:val="007E0C36"/>
    <w:rsid w:val="007E0C69"/>
    <w:rsid w:val="007E0CF0"/>
    <w:rsid w:val="007E0D8B"/>
    <w:rsid w:val="007E0D9C"/>
    <w:rsid w:val="007E0DD0"/>
    <w:rsid w:val="007E0DE8"/>
    <w:rsid w:val="007E0E32"/>
    <w:rsid w:val="007E0E5C"/>
    <w:rsid w:val="007E0EDB"/>
    <w:rsid w:val="007E0F18"/>
    <w:rsid w:val="007E0F3E"/>
    <w:rsid w:val="007E0F9E"/>
    <w:rsid w:val="007E0FBB"/>
    <w:rsid w:val="007E0FFA"/>
    <w:rsid w:val="007E0FFE"/>
    <w:rsid w:val="007E1036"/>
    <w:rsid w:val="007E1045"/>
    <w:rsid w:val="007E1073"/>
    <w:rsid w:val="007E10BF"/>
    <w:rsid w:val="007E10EA"/>
    <w:rsid w:val="007E1109"/>
    <w:rsid w:val="007E113D"/>
    <w:rsid w:val="007E1144"/>
    <w:rsid w:val="007E1160"/>
    <w:rsid w:val="007E1177"/>
    <w:rsid w:val="007E117F"/>
    <w:rsid w:val="007E11BB"/>
    <w:rsid w:val="007E11E1"/>
    <w:rsid w:val="007E11E5"/>
    <w:rsid w:val="007E1200"/>
    <w:rsid w:val="007E129A"/>
    <w:rsid w:val="007E12CE"/>
    <w:rsid w:val="007E12D2"/>
    <w:rsid w:val="007E12F0"/>
    <w:rsid w:val="007E130E"/>
    <w:rsid w:val="007E137A"/>
    <w:rsid w:val="007E1493"/>
    <w:rsid w:val="007E14A6"/>
    <w:rsid w:val="007E14B7"/>
    <w:rsid w:val="007E1521"/>
    <w:rsid w:val="007E15DC"/>
    <w:rsid w:val="007E1606"/>
    <w:rsid w:val="007E16C7"/>
    <w:rsid w:val="007E16CB"/>
    <w:rsid w:val="007E1715"/>
    <w:rsid w:val="007E1726"/>
    <w:rsid w:val="007E176B"/>
    <w:rsid w:val="007E178C"/>
    <w:rsid w:val="007E17AC"/>
    <w:rsid w:val="007E17D2"/>
    <w:rsid w:val="007E17F9"/>
    <w:rsid w:val="007E189E"/>
    <w:rsid w:val="007E18AA"/>
    <w:rsid w:val="007E18FB"/>
    <w:rsid w:val="007E1920"/>
    <w:rsid w:val="007E1951"/>
    <w:rsid w:val="007E196F"/>
    <w:rsid w:val="007E19A6"/>
    <w:rsid w:val="007E1A1B"/>
    <w:rsid w:val="007E1ACC"/>
    <w:rsid w:val="007E1B79"/>
    <w:rsid w:val="007E1BFF"/>
    <w:rsid w:val="007E1C35"/>
    <w:rsid w:val="007E1C8F"/>
    <w:rsid w:val="007E1DBE"/>
    <w:rsid w:val="007E1E37"/>
    <w:rsid w:val="007E1E40"/>
    <w:rsid w:val="007E1E5B"/>
    <w:rsid w:val="007E1EBC"/>
    <w:rsid w:val="007E1EBE"/>
    <w:rsid w:val="007E1EF1"/>
    <w:rsid w:val="007E1FB1"/>
    <w:rsid w:val="007E1FC2"/>
    <w:rsid w:val="007E200D"/>
    <w:rsid w:val="007E20DA"/>
    <w:rsid w:val="007E20E7"/>
    <w:rsid w:val="007E2146"/>
    <w:rsid w:val="007E216A"/>
    <w:rsid w:val="007E218C"/>
    <w:rsid w:val="007E21F4"/>
    <w:rsid w:val="007E22AB"/>
    <w:rsid w:val="007E22B3"/>
    <w:rsid w:val="007E22CF"/>
    <w:rsid w:val="007E2312"/>
    <w:rsid w:val="007E2316"/>
    <w:rsid w:val="007E234F"/>
    <w:rsid w:val="007E23E0"/>
    <w:rsid w:val="007E2413"/>
    <w:rsid w:val="007E243E"/>
    <w:rsid w:val="007E24AC"/>
    <w:rsid w:val="007E24BF"/>
    <w:rsid w:val="007E24FC"/>
    <w:rsid w:val="007E24FE"/>
    <w:rsid w:val="007E2505"/>
    <w:rsid w:val="007E2526"/>
    <w:rsid w:val="007E2578"/>
    <w:rsid w:val="007E25CA"/>
    <w:rsid w:val="007E25D8"/>
    <w:rsid w:val="007E25ED"/>
    <w:rsid w:val="007E2612"/>
    <w:rsid w:val="007E2626"/>
    <w:rsid w:val="007E269E"/>
    <w:rsid w:val="007E273F"/>
    <w:rsid w:val="007E2742"/>
    <w:rsid w:val="007E278F"/>
    <w:rsid w:val="007E2810"/>
    <w:rsid w:val="007E2828"/>
    <w:rsid w:val="007E2829"/>
    <w:rsid w:val="007E284F"/>
    <w:rsid w:val="007E28EB"/>
    <w:rsid w:val="007E294D"/>
    <w:rsid w:val="007E2964"/>
    <w:rsid w:val="007E2985"/>
    <w:rsid w:val="007E29AB"/>
    <w:rsid w:val="007E2A8B"/>
    <w:rsid w:val="007E2ADE"/>
    <w:rsid w:val="007E2B54"/>
    <w:rsid w:val="007E2B7A"/>
    <w:rsid w:val="007E2B8C"/>
    <w:rsid w:val="007E2BAB"/>
    <w:rsid w:val="007E2BD2"/>
    <w:rsid w:val="007E2BD6"/>
    <w:rsid w:val="007E2C91"/>
    <w:rsid w:val="007E2C9E"/>
    <w:rsid w:val="007E2CCF"/>
    <w:rsid w:val="007E2D04"/>
    <w:rsid w:val="007E2D3D"/>
    <w:rsid w:val="007E2D43"/>
    <w:rsid w:val="007E2D8E"/>
    <w:rsid w:val="007E2D92"/>
    <w:rsid w:val="007E2D9A"/>
    <w:rsid w:val="007E2DAF"/>
    <w:rsid w:val="007E2DB1"/>
    <w:rsid w:val="007E2DD2"/>
    <w:rsid w:val="007E2DE4"/>
    <w:rsid w:val="007E2E34"/>
    <w:rsid w:val="007E2E40"/>
    <w:rsid w:val="007E2E61"/>
    <w:rsid w:val="007E2F0A"/>
    <w:rsid w:val="007E2FB9"/>
    <w:rsid w:val="007E2FBC"/>
    <w:rsid w:val="007E302C"/>
    <w:rsid w:val="007E304D"/>
    <w:rsid w:val="007E3074"/>
    <w:rsid w:val="007E30A9"/>
    <w:rsid w:val="007E3151"/>
    <w:rsid w:val="007E3159"/>
    <w:rsid w:val="007E3191"/>
    <w:rsid w:val="007E3196"/>
    <w:rsid w:val="007E31AE"/>
    <w:rsid w:val="007E31AF"/>
    <w:rsid w:val="007E31C3"/>
    <w:rsid w:val="007E3232"/>
    <w:rsid w:val="007E326A"/>
    <w:rsid w:val="007E32F5"/>
    <w:rsid w:val="007E3443"/>
    <w:rsid w:val="007E346F"/>
    <w:rsid w:val="007E347E"/>
    <w:rsid w:val="007E34B2"/>
    <w:rsid w:val="007E34D7"/>
    <w:rsid w:val="007E34EA"/>
    <w:rsid w:val="007E3585"/>
    <w:rsid w:val="007E35B6"/>
    <w:rsid w:val="007E35C2"/>
    <w:rsid w:val="007E3638"/>
    <w:rsid w:val="007E3655"/>
    <w:rsid w:val="007E36F1"/>
    <w:rsid w:val="007E3713"/>
    <w:rsid w:val="007E3736"/>
    <w:rsid w:val="007E3742"/>
    <w:rsid w:val="007E37FB"/>
    <w:rsid w:val="007E3803"/>
    <w:rsid w:val="007E38C7"/>
    <w:rsid w:val="007E38EC"/>
    <w:rsid w:val="007E3941"/>
    <w:rsid w:val="007E39F8"/>
    <w:rsid w:val="007E3A2F"/>
    <w:rsid w:val="007E3A76"/>
    <w:rsid w:val="007E3AB5"/>
    <w:rsid w:val="007E3AB6"/>
    <w:rsid w:val="007E3AF8"/>
    <w:rsid w:val="007E3B20"/>
    <w:rsid w:val="007E3BF6"/>
    <w:rsid w:val="007E3C15"/>
    <w:rsid w:val="007E3C62"/>
    <w:rsid w:val="007E3CF1"/>
    <w:rsid w:val="007E3D6A"/>
    <w:rsid w:val="007E3DD8"/>
    <w:rsid w:val="007E3E16"/>
    <w:rsid w:val="007E3E41"/>
    <w:rsid w:val="007E3E72"/>
    <w:rsid w:val="007E3E7B"/>
    <w:rsid w:val="007E3EAD"/>
    <w:rsid w:val="007E3F14"/>
    <w:rsid w:val="007E3F4F"/>
    <w:rsid w:val="007E3F8D"/>
    <w:rsid w:val="007E3FA1"/>
    <w:rsid w:val="007E402A"/>
    <w:rsid w:val="007E4082"/>
    <w:rsid w:val="007E40BE"/>
    <w:rsid w:val="007E40C0"/>
    <w:rsid w:val="007E40F3"/>
    <w:rsid w:val="007E40FA"/>
    <w:rsid w:val="007E4148"/>
    <w:rsid w:val="007E4150"/>
    <w:rsid w:val="007E4162"/>
    <w:rsid w:val="007E4167"/>
    <w:rsid w:val="007E4172"/>
    <w:rsid w:val="007E419C"/>
    <w:rsid w:val="007E41A1"/>
    <w:rsid w:val="007E41AC"/>
    <w:rsid w:val="007E41D4"/>
    <w:rsid w:val="007E4220"/>
    <w:rsid w:val="007E423C"/>
    <w:rsid w:val="007E4241"/>
    <w:rsid w:val="007E4290"/>
    <w:rsid w:val="007E42A6"/>
    <w:rsid w:val="007E42FB"/>
    <w:rsid w:val="007E4349"/>
    <w:rsid w:val="007E43A2"/>
    <w:rsid w:val="007E43E2"/>
    <w:rsid w:val="007E44C5"/>
    <w:rsid w:val="007E4588"/>
    <w:rsid w:val="007E458B"/>
    <w:rsid w:val="007E4601"/>
    <w:rsid w:val="007E4625"/>
    <w:rsid w:val="007E4689"/>
    <w:rsid w:val="007E46C4"/>
    <w:rsid w:val="007E476A"/>
    <w:rsid w:val="007E4782"/>
    <w:rsid w:val="007E478C"/>
    <w:rsid w:val="007E47B2"/>
    <w:rsid w:val="007E47D8"/>
    <w:rsid w:val="007E481B"/>
    <w:rsid w:val="007E484B"/>
    <w:rsid w:val="007E484F"/>
    <w:rsid w:val="007E4856"/>
    <w:rsid w:val="007E4872"/>
    <w:rsid w:val="007E4874"/>
    <w:rsid w:val="007E4894"/>
    <w:rsid w:val="007E4909"/>
    <w:rsid w:val="007E4940"/>
    <w:rsid w:val="007E4976"/>
    <w:rsid w:val="007E498E"/>
    <w:rsid w:val="007E49CA"/>
    <w:rsid w:val="007E49CC"/>
    <w:rsid w:val="007E49DA"/>
    <w:rsid w:val="007E49FA"/>
    <w:rsid w:val="007E4A08"/>
    <w:rsid w:val="007E4A69"/>
    <w:rsid w:val="007E4B34"/>
    <w:rsid w:val="007E4BCA"/>
    <w:rsid w:val="007E4BD3"/>
    <w:rsid w:val="007E4BFB"/>
    <w:rsid w:val="007E4C2D"/>
    <w:rsid w:val="007E4C3F"/>
    <w:rsid w:val="007E4C6C"/>
    <w:rsid w:val="007E4C9C"/>
    <w:rsid w:val="007E4CE7"/>
    <w:rsid w:val="007E4CED"/>
    <w:rsid w:val="007E4D2E"/>
    <w:rsid w:val="007E4DDD"/>
    <w:rsid w:val="007E4DE8"/>
    <w:rsid w:val="007E4DF7"/>
    <w:rsid w:val="007E4E61"/>
    <w:rsid w:val="007E4E65"/>
    <w:rsid w:val="007E4EB2"/>
    <w:rsid w:val="007E4EF3"/>
    <w:rsid w:val="007E4F1A"/>
    <w:rsid w:val="007E4F24"/>
    <w:rsid w:val="007E4F2F"/>
    <w:rsid w:val="007E4F62"/>
    <w:rsid w:val="007E5007"/>
    <w:rsid w:val="007E5014"/>
    <w:rsid w:val="007E504C"/>
    <w:rsid w:val="007E5079"/>
    <w:rsid w:val="007E515A"/>
    <w:rsid w:val="007E5173"/>
    <w:rsid w:val="007E5183"/>
    <w:rsid w:val="007E51AC"/>
    <w:rsid w:val="007E51F9"/>
    <w:rsid w:val="007E5207"/>
    <w:rsid w:val="007E520C"/>
    <w:rsid w:val="007E543E"/>
    <w:rsid w:val="007E547D"/>
    <w:rsid w:val="007E5484"/>
    <w:rsid w:val="007E549B"/>
    <w:rsid w:val="007E54C5"/>
    <w:rsid w:val="007E553B"/>
    <w:rsid w:val="007E5548"/>
    <w:rsid w:val="007E554D"/>
    <w:rsid w:val="007E5559"/>
    <w:rsid w:val="007E5572"/>
    <w:rsid w:val="007E55B5"/>
    <w:rsid w:val="007E55EE"/>
    <w:rsid w:val="007E563F"/>
    <w:rsid w:val="007E56C6"/>
    <w:rsid w:val="007E5730"/>
    <w:rsid w:val="007E5764"/>
    <w:rsid w:val="007E579B"/>
    <w:rsid w:val="007E57B9"/>
    <w:rsid w:val="007E5811"/>
    <w:rsid w:val="007E581B"/>
    <w:rsid w:val="007E5820"/>
    <w:rsid w:val="007E5854"/>
    <w:rsid w:val="007E586D"/>
    <w:rsid w:val="007E58B3"/>
    <w:rsid w:val="007E5921"/>
    <w:rsid w:val="007E5955"/>
    <w:rsid w:val="007E5988"/>
    <w:rsid w:val="007E5A48"/>
    <w:rsid w:val="007E5A5D"/>
    <w:rsid w:val="007E5A72"/>
    <w:rsid w:val="007E5A80"/>
    <w:rsid w:val="007E5A90"/>
    <w:rsid w:val="007E5A9C"/>
    <w:rsid w:val="007E5AD8"/>
    <w:rsid w:val="007E5B55"/>
    <w:rsid w:val="007E5B8B"/>
    <w:rsid w:val="007E5BC1"/>
    <w:rsid w:val="007E5C04"/>
    <w:rsid w:val="007E5C1D"/>
    <w:rsid w:val="007E5C5B"/>
    <w:rsid w:val="007E5CA5"/>
    <w:rsid w:val="007E5D03"/>
    <w:rsid w:val="007E5D5A"/>
    <w:rsid w:val="007E5DEA"/>
    <w:rsid w:val="007E5DF1"/>
    <w:rsid w:val="007E5E5C"/>
    <w:rsid w:val="007E5F2C"/>
    <w:rsid w:val="007E5FC3"/>
    <w:rsid w:val="007E5FD2"/>
    <w:rsid w:val="007E5FE9"/>
    <w:rsid w:val="007E602F"/>
    <w:rsid w:val="007E6031"/>
    <w:rsid w:val="007E6035"/>
    <w:rsid w:val="007E60C5"/>
    <w:rsid w:val="007E617F"/>
    <w:rsid w:val="007E61EA"/>
    <w:rsid w:val="007E621E"/>
    <w:rsid w:val="007E6266"/>
    <w:rsid w:val="007E6282"/>
    <w:rsid w:val="007E62C2"/>
    <w:rsid w:val="007E62C9"/>
    <w:rsid w:val="007E6368"/>
    <w:rsid w:val="007E638B"/>
    <w:rsid w:val="007E63BF"/>
    <w:rsid w:val="007E63EB"/>
    <w:rsid w:val="007E6401"/>
    <w:rsid w:val="007E640A"/>
    <w:rsid w:val="007E647E"/>
    <w:rsid w:val="007E6494"/>
    <w:rsid w:val="007E6497"/>
    <w:rsid w:val="007E64BF"/>
    <w:rsid w:val="007E6501"/>
    <w:rsid w:val="007E6527"/>
    <w:rsid w:val="007E654C"/>
    <w:rsid w:val="007E6552"/>
    <w:rsid w:val="007E655F"/>
    <w:rsid w:val="007E6566"/>
    <w:rsid w:val="007E659D"/>
    <w:rsid w:val="007E65CA"/>
    <w:rsid w:val="007E665C"/>
    <w:rsid w:val="007E6680"/>
    <w:rsid w:val="007E672F"/>
    <w:rsid w:val="007E6786"/>
    <w:rsid w:val="007E67E8"/>
    <w:rsid w:val="007E6812"/>
    <w:rsid w:val="007E6873"/>
    <w:rsid w:val="007E6904"/>
    <w:rsid w:val="007E691A"/>
    <w:rsid w:val="007E6999"/>
    <w:rsid w:val="007E69E5"/>
    <w:rsid w:val="007E69F7"/>
    <w:rsid w:val="007E6A2B"/>
    <w:rsid w:val="007E6A54"/>
    <w:rsid w:val="007E6A77"/>
    <w:rsid w:val="007E6A90"/>
    <w:rsid w:val="007E6AAF"/>
    <w:rsid w:val="007E6B0D"/>
    <w:rsid w:val="007E6B2A"/>
    <w:rsid w:val="007E6B31"/>
    <w:rsid w:val="007E6BA5"/>
    <w:rsid w:val="007E6BB8"/>
    <w:rsid w:val="007E6BBD"/>
    <w:rsid w:val="007E6CA5"/>
    <w:rsid w:val="007E6CB8"/>
    <w:rsid w:val="007E6CF8"/>
    <w:rsid w:val="007E6D1C"/>
    <w:rsid w:val="007E6D22"/>
    <w:rsid w:val="007E6D49"/>
    <w:rsid w:val="007E6D91"/>
    <w:rsid w:val="007E6DAF"/>
    <w:rsid w:val="007E6DBF"/>
    <w:rsid w:val="007E6DE8"/>
    <w:rsid w:val="007E6E54"/>
    <w:rsid w:val="007E6E57"/>
    <w:rsid w:val="007E6EEF"/>
    <w:rsid w:val="007E7028"/>
    <w:rsid w:val="007E703F"/>
    <w:rsid w:val="007E7055"/>
    <w:rsid w:val="007E7076"/>
    <w:rsid w:val="007E708E"/>
    <w:rsid w:val="007E709A"/>
    <w:rsid w:val="007E713B"/>
    <w:rsid w:val="007E7155"/>
    <w:rsid w:val="007E7190"/>
    <w:rsid w:val="007E71EC"/>
    <w:rsid w:val="007E720D"/>
    <w:rsid w:val="007E721E"/>
    <w:rsid w:val="007E724F"/>
    <w:rsid w:val="007E7254"/>
    <w:rsid w:val="007E732D"/>
    <w:rsid w:val="007E735C"/>
    <w:rsid w:val="007E7377"/>
    <w:rsid w:val="007E7388"/>
    <w:rsid w:val="007E73B5"/>
    <w:rsid w:val="007E7407"/>
    <w:rsid w:val="007E747C"/>
    <w:rsid w:val="007E7497"/>
    <w:rsid w:val="007E74FD"/>
    <w:rsid w:val="007E7538"/>
    <w:rsid w:val="007E754D"/>
    <w:rsid w:val="007E756C"/>
    <w:rsid w:val="007E7574"/>
    <w:rsid w:val="007E7576"/>
    <w:rsid w:val="007E7596"/>
    <w:rsid w:val="007E75AD"/>
    <w:rsid w:val="007E7617"/>
    <w:rsid w:val="007E7650"/>
    <w:rsid w:val="007E7688"/>
    <w:rsid w:val="007E7697"/>
    <w:rsid w:val="007E78DF"/>
    <w:rsid w:val="007E78EC"/>
    <w:rsid w:val="007E79A0"/>
    <w:rsid w:val="007E79A6"/>
    <w:rsid w:val="007E7A90"/>
    <w:rsid w:val="007E7AAA"/>
    <w:rsid w:val="007E7AB6"/>
    <w:rsid w:val="007E7AB9"/>
    <w:rsid w:val="007E7BD4"/>
    <w:rsid w:val="007E7BEB"/>
    <w:rsid w:val="007E7BF0"/>
    <w:rsid w:val="007E7C43"/>
    <w:rsid w:val="007E7CDB"/>
    <w:rsid w:val="007E7D4D"/>
    <w:rsid w:val="007E7D60"/>
    <w:rsid w:val="007E7E1C"/>
    <w:rsid w:val="007E7E20"/>
    <w:rsid w:val="007E7E21"/>
    <w:rsid w:val="007E7E3D"/>
    <w:rsid w:val="007E7E95"/>
    <w:rsid w:val="007E7E9A"/>
    <w:rsid w:val="007E7EC4"/>
    <w:rsid w:val="007E7ECE"/>
    <w:rsid w:val="007E7ECF"/>
    <w:rsid w:val="007E7F2B"/>
    <w:rsid w:val="007E7F34"/>
    <w:rsid w:val="007E7F8D"/>
    <w:rsid w:val="007E7FCF"/>
    <w:rsid w:val="007E7FFD"/>
    <w:rsid w:val="007F000A"/>
    <w:rsid w:val="007F002D"/>
    <w:rsid w:val="007F0036"/>
    <w:rsid w:val="007F0164"/>
    <w:rsid w:val="007F019E"/>
    <w:rsid w:val="007F01BF"/>
    <w:rsid w:val="007F01D4"/>
    <w:rsid w:val="007F0200"/>
    <w:rsid w:val="007F025D"/>
    <w:rsid w:val="007F02DD"/>
    <w:rsid w:val="007F02F4"/>
    <w:rsid w:val="007F0362"/>
    <w:rsid w:val="007F0388"/>
    <w:rsid w:val="007F0391"/>
    <w:rsid w:val="007F039F"/>
    <w:rsid w:val="007F03DC"/>
    <w:rsid w:val="007F03DF"/>
    <w:rsid w:val="007F03FC"/>
    <w:rsid w:val="007F0457"/>
    <w:rsid w:val="007F04A0"/>
    <w:rsid w:val="007F0516"/>
    <w:rsid w:val="007F0539"/>
    <w:rsid w:val="007F055A"/>
    <w:rsid w:val="007F056B"/>
    <w:rsid w:val="007F05F3"/>
    <w:rsid w:val="007F062E"/>
    <w:rsid w:val="007F0658"/>
    <w:rsid w:val="007F06B8"/>
    <w:rsid w:val="007F06CC"/>
    <w:rsid w:val="007F06D5"/>
    <w:rsid w:val="007F06ED"/>
    <w:rsid w:val="007F0736"/>
    <w:rsid w:val="007F076E"/>
    <w:rsid w:val="007F07CC"/>
    <w:rsid w:val="007F07CF"/>
    <w:rsid w:val="007F07FA"/>
    <w:rsid w:val="007F08CC"/>
    <w:rsid w:val="007F08FF"/>
    <w:rsid w:val="007F0978"/>
    <w:rsid w:val="007F09F9"/>
    <w:rsid w:val="007F0A24"/>
    <w:rsid w:val="007F0A7C"/>
    <w:rsid w:val="007F0A8E"/>
    <w:rsid w:val="007F0A9B"/>
    <w:rsid w:val="007F0AB4"/>
    <w:rsid w:val="007F0AC6"/>
    <w:rsid w:val="007F0B82"/>
    <w:rsid w:val="007F0BF3"/>
    <w:rsid w:val="007F0C0F"/>
    <w:rsid w:val="007F0C48"/>
    <w:rsid w:val="007F0CD7"/>
    <w:rsid w:val="007F0D12"/>
    <w:rsid w:val="007F0D64"/>
    <w:rsid w:val="007F0D6C"/>
    <w:rsid w:val="007F0DC4"/>
    <w:rsid w:val="007F0DE4"/>
    <w:rsid w:val="007F0DF8"/>
    <w:rsid w:val="007F0EA0"/>
    <w:rsid w:val="007F0EBB"/>
    <w:rsid w:val="007F0EDB"/>
    <w:rsid w:val="007F0EF4"/>
    <w:rsid w:val="007F0F31"/>
    <w:rsid w:val="007F0F9A"/>
    <w:rsid w:val="007F0FD0"/>
    <w:rsid w:val="007F1011"/>
    <w:rsid w:val="007F107C"/>
    <w:rsid w:val="007F10A5"/>
    <w:rsid w:val="007F10C2"/>
    <w:rsid w:val="007F10C5"/>
    <w:rsid w:val="007F10D8"/>
    <w:rsid w:val="007F1142"/>
    <w:rsid w:val="007F1149"/>
    <w:rsid w:val="007F117A"/>
    <w:rsid w:val="007F11DC"/>
    <w:rsid w:val="007F1200"/>
    <w:rsid w:val="007F1224"/>
    <w:rsid w:val="007F12E5"/>
    <w:rsid w:val="007F1337"/>
    <w:rsid w:val="007F1350"/>
    <w:rsid w:val="007F13BF"/>
    <w:rsid w:val="007F13D5"/>
    <w:rsid w:val="007F1447"/>
    <w:rsid w:val="007F1461"/>
    <w:rsid w:val="007F14D4"/>
    <w:rsid w:val="007F14F4"/>
    <w:rsid w:val="007F1517"/>
    <w:rsid w:val="007F155D"/>
    <w:rsid w:val="007F1568"/>
    <w:rsid w:val="007F15A3"/>
    <w:rsid w:val="007F1673"/>
    <w:rsid w:val="007F16BF"/>
    <w:rsid w:val="007F16E2"/>
    <w:rsid w:val="007F16E3"/>
    <w:rsid w:val="007F170D"/>
    <w:rsid w:val="007F17F2"/>
    <w:rsid w:val="007F185F"/>
    <w:rsid w:val="007F18A4"/>
    <w:rsid w:val="007F1942"/>
    <w:rsid w:val="007F1958"/>
    <w:rsid w:val="007F196F"/>
    <w:rsid w:val="007F1A03"/>
    <w:rsid w:val="007F1A3C"/>
    <w:rsid w:val="007F1A41"/>
    <w:rsid w:val="007F1A69"/>
    <w:rsid w:val="007F1A6E"/>
    <w:rsid w:val="007F1A83"/>
    <w:rsid w:val="007F1AAF"/>
    <w:rsid w:val="007F1B1A"/>
    <w:rsid w:val="007F1B49"/>
    <w:rsid w:val="007F1B4A"/>
    <w:rsid w:val="007F1B58"/>
    <w:rsid w:val="007F1B6B"/>
    <w:rsid w:val="007F1B90"/>
    <w:rsid w:val="007F1BA7"/>
    <w:rsid w:val="007F1BE4"/>
    <w:rsid w:val="007F1C14"/>
    <w:rsid w:val="007F1C19"/>
    <w:rsid w:val="007F1C4E"/>
    <w:rsid w:val="007F1D26"/>
    <w:rsid w:val="007F1D36"/>
    <w:rsid w:val="007F1D68"/>
    <w:rsid w:val="007F1D79"/>
    <w:rsid w:val="007F1D7E"/>
    <w:rsid w:val="007F1D97"/>
    <w:rsid w:val="007F1E1E"/>
    <w:rsid w:val="007F1E51"/>
    <w:rsid w:val="007F1EE3"/>
    <w:rsid w:val="007F1EF2"/>
    <w:rsid w:val="007F1F80"/>
    <w:rsid w:val="007F1FA6"/>
    <w:rsid w:val="007F1FB3"/>
    <w:rsid w:val="007F2066"/>
    <w:rsid w:val="007F20BA"/>
    <w:rsid w:val="007F20EC"/>
    <w:rsid w:val="007F2132"/>
    <w:rsid w:val="007F213E"/>
    <w:rsid w:val="007F2169"/>
    <w:rsid w:val="007F216C"/>
    <w:rsid w:val="007F2174"/>
    <w:rsid w:val="007F2180"/>
    <w:rsid w:val="007F21A7"/>
    <w:rsid w:val="007F21AF"/>
    <w:rsid w:val="007F21C5"/>
    <w:rsid w:val="007F21CE"/>
    <w:rsid w:val="007F21D6"/>
    <w:rsid w:val="007F21FF"/>
    <w:rsid w:val="007F2201"/>
    <w:rsid w:val="007F2217"/>
    <w:rsid w:val="007F22AB"/>
    <w:rsid w:val="007F22EE"/>
    <w:rsid w:val="007F236D"/>
    <w:rsid w:val="007F237F"/>
    <w:rsid w:val="007F23B1"/>
    <w:rsid w:val="007F23BC"/>
    <w:rsid w:val="007F23D8"/>
    <w:rsid w:val="007F23DB"/>
    <w:rsid w:val="007F2410"/>
    <w:rsid w:val="007F244E"/>
    <w:rsid w:val="007F2489"/>
    <w:rsid w:val="007F24A3"/>
    <w:rsid w:val="007F24DF"/>
    <w:rsid w:val="007F2517"/>
    <w:rsid w:val="007F251A"/>
    <w:rsid w:val="007F2533"/>
    <w:rsid w:val="007F260F"/>
    <w:rsid w:val="007F2687"/>
    <w:rsid w:val="007F26E5"/>
    <w:rsid w:val="007F2717"/>
    <w:rsid w:val="007F2748"/>
    <w:rsid w:val="007F2818"/>
    <w:rsid w:val="007F287B"/>
    <w:rsid w:val="007F28F7"/>
    <w:rsid w:val="007F2918"/>
    <w:rsid w:val="007F2931"/>
    <w:rsid w:val="007F2961"/>
    <w:rsid w:val="007F2AA1"/>
    <w:rsid w:val="007F2AB2"/>
    <w:rsid w:val="007F2B02"/>
    <w:rsid w:val="007F2B07"/>
    <w:rsid w:val="007F2B3F"/>
    <w:rsid w:val="007F2B7B"/>
    <w:rsid w:val="007F2BE9"/>
    <w:rsid w:val="007F2C35"/>
    <w:rsid w:val="007F2C61"/>
    <w:rsid w:val="007F2CBF"/>
    <w:rsid w:val="007F2CEC"/>
    <w:rsid w:val="007F2D03"/>
    <w:rsid w:val="007F2D1E"/>
    <w:rsid w:val="007F2D53"/>
    <w:rsid w:val="007F2DAD"/>
    <w:rsid w:val="007F2DBB"/>
    <w:rsid w:val="007F2E4D"/>
    <w:rsid w:val="007F2E89"/>
    <w:rsid w:val="007F2E8F"/>
    <w:rsid w:val="007F2EA8"/>
    <w:rsid w:val="007F2EAB"/>
    <w:rsid w:val="007F2F08"/>
    <w:rsid w:val="007F2F0D"/>
    <w:rsid w:val="007F2F5D"/>
    <w:rsid w:val="007F2F7F"/>
    <w:rsid w:val="007F310C"/>
    <w:rsid w:val="007F3157"/>
    <w:rsid w:val="007F317E"/>
    <w:rsid w:val="007F31BD"/>
    <w:rsid w:val="007F31C3"/>
    <w:rsid w:val="007F31DF"/>
    <w:rsid w:val="007F31E6"/>
    <w:rsid w:val="007F3228"/>
    <w:rsid w:val="007F3242"/>
    <w:rsid w:val="007F326F"/>
    <w:rsid w:val="007F3279"/>
    <w:rsid w:val="007F32D0"/>
    <w:rsid w:val="007F3323"/>
    <w:rsid w:val="007F3379"/>
    <w:rsid w:val="007F33D7"/>
    <w:rsid w:val="007F341D"/>
    <w:rsid w:val="007F345B"/>
    <w:rsid w:val="007F346C"/>
    <w:rsid w:val="007F34BC"/>
    <w:rsid w:val="007F34E6"/>
    <w:rsid w:val="007F34F7"/>
    <w:rsid w:val="007F3549"/>
    <w:rsid w:val="007F3599"/>
    <w:rsid w:val="007F35A9"/>
    <w:rsid w:val="007F3622"/>
    <w:rsid w:val="007F3646"/>
    <w:rsid w:val="007F367A"/>
    <w:rsid w:val="007F36CA"/>
    <w:rsid w:val="007F3729"/>
    <w:rsid w:val="007F372C"/>
    <w:rsid w:val="007F375B"/>
    <w:rsid w:val="007F37EB"/>
    <w:rsid w:val="007F37EC"/>
    <w:rsid w:val="007F3817"/>
    <w:rsid w:val="007F3836"/>
    <w:rsid w:val="007F3840"/>
    <w:rsid w:val="007F38EB"/>
    <w:rsid w:val="007F38F0"/>
    <w:rsid w:val="007F391C"/>
    <w:rsid w:val="007F3925"/>
    <w:rsid w:val="007F392F"/>
    <w:rsid w:val="007F3938"/>
    <w:rsid w:val="007F3944"/>
    <w:rsid w:val="007F39C5"/>
    <w:rsid w:val="007F3A8F"/>
    <w:rsid w:val="007F3ABA"/>
    <w:rsid w:val="007F3ADF"/>
    <w:rsid w:val="007F3AFC"/>
    <w:rsid w:val="007F3B11"/>
    <w:rsid w:val="007F3B4B"/>
    <w:rsid w:val="007F3C15"/>
    <w:rsid w:val="007F3C42"/>
    <w:rsid w:val="007F3C8E"/>
    <w:rsid w:val="007F3C9F"/>
    <w:rsid w:val="007F3D30"/>
    <w:rsid w:val="007F3D31"/>
    <w:rsid w:val="007F3D39"/>
    <w:rsid w:val="007F3E37"/>
    <w:rsid w:val="007F3EE0"/>
    <w:rsid w:val="007F3F24"/>
    <w:rsid w:val="007F3F38"/>
    <w:rsid w:val="007F3F4C"/>
    <w:rsid w:val="007F3F6B"/>
    <w:rsid w:val="007F3FD1"/>
    <w:rsid w:val="007F3FF4"/>
    <w:rsid w:val="007F4000"/>
    <w:rsid w:val="007F403F"/>
    <w:rsid w:val="007F40EB"/>
    <w:rsid w:val="007F411A"/>
    <w:rsid w:val="007F413A"/>
    <w:rsid w:val="007F41AC"/>
    <w:rsid w:val="007F41AD"/>
    <w:rsid w:val="007F4212"/>
    <w:rsid w:val="007F425A"/>
    <w:rsid w:val="007F42AE"/>
    <w:rsid w:val="007F42B9"/>
    <w:rsid w:val="007F42E0"/>
    <w:rsid w:val="007F430E"/>
    <w:rsid w:val="007F4384"/>
    <w:rsid w:val="007F440F"/>
    <w:rsid w:val="007F44D0"/>
    <w:rsid w:val="007F44EB"/>
    <w:rsid w:val="007F4516"/>
    <w:rsid w:val="007F455A"/>
    <w:rsid w:val="007F45C8"/>
    <w:rsid w:val="007F462A"/>
    <w:rsid w:val="007F4633"/>
    <w:rsid w:val="007F464A"/>
    <w:rsid w:val="007F46E4"/>
    <w:rsid w:val="007F4718"/>
    <w:rsid w:val="007F472F"/>
    <w:rsid w:val="007F474C"/>
    <w:rsid w:val="007F4774"/>
    <w:rsid w:val="007F4806"/>
    <w:rsid w:val="007F483A"/>
    <w:rsid w:val="007F4856"/>
    <w:rsid w:val="007F4859"/>
    <w:rsid w:val="007F48E5"/>
    <w:rsid w:val="007F4934"/>
    <w:rsid w:val="007F4965"/>
    <w:rsid w:val="007F4984"/>
    <w:rsid w:val="007F49FC"/>
    <w:rsid w:val="007F4A1B"/>
    <w:rsid w:val="007F4A69"/>
    <w:rsid w:val="007F4ABB"/>
    <w:rsid w:val="007F4ABF"/>
    <w:rsid w:val="007F4B2E"/>
    <w:rsid w:val="007F4B2F"/>
    <w:rsid w:val="007F4B39"/>
    <w:rsid w:val="007F4B64"/>
    <w:rsid w:val="007F4BC3"/>
    <w:rsid w:val="007F4BFA"/>
    <w:rsid w:val="007F4C14"/>
    <w:rsid w:val="007F4C9D"/>
    <w:rsid w:val="007F4D17"/>
    <w:rsid w:val="007F4D18"/>
    <w:rsid w:val="007F4D27"/>
    <w:rsid w:val="007F4D48"/>
    <w:rsid w:val="007F4D85"/>
    <w:rsid w:val="007F4DAB"/>
    <w:rsid w:val="007F4DCB"/>
    <w:rsid w:val="007F4DD5"/>
    <w:rsid w:val="007F4E21"/>
    <w:rsid w:val="007F4E4B"/>
    <w:rsid w:val="007F4E61"/>
    <w:rsid w:val="007F4E7E"/>
    <w:rsid w:val="007F4EF0"/>
    <w:rsid w:val="007F4F05"/>
    <w:rsid w:val="007F4F0B"/>
    <w:rsid w:val="007F4F41"/>
    <w:rsid w:val="007F4F9E"/>
    <w:rsid w:val="007F4FB0"/>
    <w:rsid w:val="007F4FD8"/>
    <w:rsid w:val="007F4FE1"/>
    <w:rsid w:val="007F5012"/>
    <w:rsid w:val="007F5042"/>
    <w:rsid w:val="007F509E"/>
    <w:rsid w:val="007F50BB"/>
    <w:rsid w:val="007F50BF"/>
    <w:rsid w:val="007F511E"/>
    <w:rsid w:val="007F512D"/>
    <w:rsid w:val="007F512E"/>
    <w:rsid w:val="007F5141"/>
    <w:rsid w:val="007F516B"/>
    <w:rsid w:val="007F51F1"/>
    <w:rsid w:val="007F5223"/>
    <w:rsid w:val="007F5224"/>
    <w:rsid w:val="007F5228"/>
    <w:rsid w:val="007F5231"/>
    <w:rsid w:val="007F5243"/>
    <w:rsid w:val="007F5263"/>
    <w:rsid w:val="007F529A"/>
    <w:rsid w:val="007F52EC"/>
    <w:rsid w:val="007F52EF"/>
    <w:rsid w:val="007F533F"/>
    <w:rsid w:val="007F5392"/>
    <w:rsid w:val="007F53CC"/>
    <w:rsid w:val="007F53D3"/>
    <w:rsid w:val="007F53DB"/>
    <w:rsid w:val="007F53E4"/>
    <w:rsid w:val="007F5400"/>
    <w:rsid w:val="007F542B"/>
    <w:rsid w:val="007F547C"/>
    <w:rsid w:val="007F54FB"/>
    <w:rsid w:val="007F558B"/>
    <w:rsid w:val="007F55CB"/>
    <w:rsid w:val="007F55FB"/>
    <w:rsid w:val="007F5697"/>
    <w:rsid w:val="007F56A3"/>
    <w:rsid w:val="007F56BB"/>
    <w:rsid w:val="007F5752"/>
    <w:rsid w:val="007F5753"/>
    <w:rsid w:val="007F5784"/>
    <w:rsid w:val="007F578D"/>
    <w:rsid w:val="007F586D"/>
    <w:rsid w:val="007F591F"/>
    <w:rsid w:val="007F5957"/>
    <w:rsid w:val="007F595B"/>
    <w:rsid w:val="007F59FB"/>
    <w:rsid w:val="007F5A06"/>
    <w:rsid w:val="007F5AAB"/>
    <w:rsid w:val="007F5B1F"/>
    <w:rsid w:val="007F5B26"/>
    <w:rsid w:val="007F5B40"/>
    <w:rsid w:val="007F5B95"/>
    <w:rsid w:val="007F5BAB"/>
    <w:rsid w:val="007F5BAD"/>
    <w:rsid w:val="007F5BF9"/>
    <w:rsid w:val="007F5C17"/>
    <w:rsid w:val="007F5C5C"/>
    <w:rsid w:val="007F5CEE"/>
    <w:rsid w:val="007F5DF2"/>
    <w:rsid w:val="007F5F16"/>
    <w:rsid w:val="007F5F39"/>
    <w:rsid w:val="007F5FC1"/>
    <w:rsid w:val="007F5FD0"/>
    <w:rsid w:val="007F5FD7"/>
    <w:rsid w:val="007F5FE8"/>
    <w:rsid w:val="007F5FEA"/>
    <w:rsid w:val="007F5FF0"/>
    <w:rsid w:val="007F5FF8"/>
    <w:rsid w:val="007F6013"/>
    <w:rsid w:val="007F6052"/>
    <w:rsid w:val="007F6070"/>
    <w:rsid w:val="007F6102"/>
    <w:rsid w:val="007F6139"/>
    <w:rsid w:val="007F618E"/>
    <w:rsid w:val="007F61AC"/>
    <w:rsid w:val="007F61E4"/>
    <w:rsid w:val="007F61EB"/>
    <w:rsid w:val="007F639F"/>
    <w:rsid w:val="007F63AE"/>
    <w:rsid w:val="007F63B0"/>
    <w:rsid w:val="007F63F8"/>
    <w:rsid w:val="007F6458"/>
    <w:rsid w:val="007F6470"/>
    <w:rsid w:val="007F6529"/>
    <w:rsid w:val="007F65AB"/>
    <w:rsid w:val="007F65B6"/>
    <w:rsid w:val="007F6646"/>
    <w:rsid w:val="007F6655"/>
    <w:rsid w:val="007F666A"/>
    <w:rsid w:val="007F6719"/>
    <w:rsid w:val="007F673A"/>
    <w:rsid w:val="007F6761"/>
    <w:rsid w:val="007F6763"/>
    <w:rsid w:val="007F6769"/>
    <w:rsid w:val="007F678C"/>
    <w:rsid w:val="007F67D5"/>
    <w:rsid w:val="007F67ED"/>
    <w:rsid w:val="007F6834"/>
    <w:rsid w:val="007F6855"/>
    <w:rsid w:val="007F6864"/>
    <w:rsid w:val="007F6872"/>
    <w:rsid w:val="007F68AF"/>
    <w:rsid w:val="007F691B"/>
    <w:rsid w:val="007F6940"/>
    <w:rsid w:val="007F694A"/>
    <w:rsid w:val="007F6964"/>
    <w:rsid w:val="007F699F"/>
    <w:rsid w:val="007F6A34"/>
    <w:rsid w:val="007F6ABA"/>
    <w:rsid w:val="007F6AE1"/>
    <w:rsid w:val="007F6B22"/>
    <w:rsid w:val="007F6BA4"/>
    <w:rsid w:val="007F6BC6"/>
    <w:rsid w:val="007F6CC9"/>
    <w:rsid w:val="007F6CFE"/>
    <w:rsid w:val="007F6D24"/>
    <w:rsid w:val="007F6D63"/>
    <w:rsid w:val="007F6DD4"/>
    <w:rsid w:val="007F6DD7"/>
    <w:rsid w:val="007F6DF7"/>
    <w:rsid w:val="007F6E8F"/>
    <w:rsid w:val="007F6F54"/>
    <w:rsid w:val="007F6F82"/>
    <w:rsid w:val="007F6FF3"/>
    <w:rsid w:val="007F702E"/>
    <w:rsid w:val="007F70B1"/>
    <w:rsid w:val="007F70D3"/>
    <w:rsid w:val="007F70FF"/>
    <w:rsid w:val="007F71DB"/>
    <w:rsid w:val="007F7205"/>
    <w:rsid w:val="007F7227"/>
    <w:rsid w:val="007F72D8"/>
    <w:rsid w:val="007F72DE"/>
    <w:rsid w:val="007F72EE"/>
    <w:rsid w:val="007F72F0"/>
    <w:rsid w:val="007F731F"/>
    <w:rsid w:val="007F7350"/>
    <w:rsid w:val="007F73D1"/>
    <w:rsid w:val="007F7481"/>
    <w:rsid w:val="007F74EF"/>
    <w:rsid w:val="007F7550"/>
    <w:rsid w:val="007F7598"/>
    <w:rsid w:val="007F759B"/>
    <w:rsid w:val="007F75BE"/>
    <w:rsid w:val="007F75CC"/>
    <w:rsid w:val="007F761C"/>
    <w:rsid w:val="007F7664"/>
    <w:rsid w:val="007F766A"/>
    <w:rsid w:val="007F7694"/>
    <w:rsid w:val="007F775A"/>
    <w:rsid w:val="007F7762"/>
    <w:rsid w:val="007F776A"/>
    <w:rsid w:val="007F77AE"/>
    <w:rsid w:val="007F77B8"/>
    <w:rsid w:val="007F77C0"/>
    <w:rsid w:val="007F77EC"/>
    <w:rsid w:val="007F78B8"/>
    <w:rsid w:val="007F78C8"/>
    <w:rsid w:val="007F78E8"/>
    <w:rsid w:val="007F7946"/>
    <w:rsid w:val="007F796D"/>
    <w:rsid w:val="007F797C"/>
    <w:rsid w:val="007F79AB"/>
    <w:rsid w:val="007F79F0"/>
    <w:rsid w:val="007F7A06"/>
    <w:rsid w:val="007F7A79"/>
    <w:rsid w:val="007F7A92"/>
    <w:rsid w:val="007F7A9C"/>
    <w:rsid w:val="007F7AAB"/>
    <w:rsid w:val="007F7B42"/>
    <w:rsid w:val="007F7B6F"/>
    <w:rsid w:val="007F7BAB"/>
    <w:rsid w:val="007F7BAE"/>
    <w:rsid w:val="007F7BC1"/>
    <w:rsid w:val="007F7BC6"/>
    <w:rsid w:val="007F7BCB"/>
    <w:rsid w:val="007F7BD2"/>
    <w:rsid w:val="007F7C23"/>
    <w:rsid w:val="007F7C6D"/>
    <w:rsid w:val="007F7D33"/>
    <w:rsid w:val="007F7D34"/>
    <w:rsid w:val="007F7D3B"/>
    <w:rsid w:val="007F7D97"/>
    <w:rsid w:val="007F7DCD"/>
    <w:rsid w:val="007F7DD7"/>
    <w:rsid w:val="007F7DF0"/>
    <w:rsid w:val="007F7ECE"/>
    <w:rsid w:val="007F7EF9"/>
    <w:rsid w:val="007F7F5A"/>
    <w:rsid w:val="007F7F81"/>
    <w:rsid w:val="007F7F99"/>
    <w:rsid w:val="007F7FAD"/>
    <w:rsid w:val="007F7FD3"/>
    <w:rsid w:val="007FAD3D"/>
    <w:rsid w:val="00800088"/>
    <w:rsid w:val="008000EA"/>
    <w:rsid w:val="0080018A"/>
    <w:rsid w:val="008001A9"/>
    <w:rsid w:val="008001D3"/>
    <w:rsid w:val="00800265"/>
    <w:rsid w:val="008002BE"/>
    <w:rsid w:val="0080030F"/>
    <w:rsid w:val="0080033B"/>
    <w:rsid w:val="0080037D"/>
    <w:rsid w:val="008003D1"/>
    <w:rsid w:val="00800457"/>
    <w:rsid w:val="008004DC"/>
    <w:rsid w:val="00800510"/>
    <w:rsid w:val="00800535"/>
    <w:rsid w:val="0080054D"/>
    <w:rsid w:val="00800563"/>
    <w:rsid w:val="008005AA"/>
    <w:rsid w:val="008005B5"/>
    <w:rsid w:val="008005CC"/>
    <w:rsid w:val="008005D4"/>
    <w:rsid w:val="0080063A"/>
    <w:rsid w:val="008006D2"/>
    <w:rsid w:val="008006EE"/>
    <w:rsid w:val="008006FE"/>
    <w:rsid w:val="0080079C"/>
    <w:rsid w:val="0080080E"/>
    <w:rsid w:val="008008ED"/>
    <w:rsid w:val="0080092D"/>
    <w:rsid w:val="00800956"/>
    <w:rsid w:val="0080096D"/>
    <w:rsid w:val="008009CF"/>
    <w:rsid w:val="00800A16"/>
    <w:rsid w:val="00800A40"/>
    <w:rsid w:val="00800A59"/>
    <w:rsid w:val="00800A7E"/>
    <w:rsid w:val="00800ACD"/>
    <w:rsid w:val="00800B29"/>
    <w:rsid w:val="00800B80"/>
    <w:rsid w:val="00800B83"/>
    <w:rsid w:val="00800C06"/>
    <w:rsid w:val="00800C55"/>
    <w:rsid w:val="00800CB6"/>
    <w:rsid w:val="00800CBD"/>
    <w:rsid w:val="00800CE9"/>
    <w:rsid w:val="00800D40"/>
    <w:rsid w:val="00800D68"/>
    <w:rsid w:val="00800D89"/>
    <w:rsid w:val="00800D8C"/>
    <w:rsid w:val="00800E25"/>
    <w:rsid w:val="00800E50"/>
    <w:rsid w:val="00800E51"/>
    <w:rsid w:val="00800E52"/>
    <w:rsid w:val="00800F4C"/>
    <w:rsid w:val="00800FF4"/>
    <w:rsid w:val="00800FFE"/>
    <w:rsid w:val="00801082"/>
    <w:rsid w:val="0080110A"/>
    <w:rsid w:val="00801114"/>
    <w:rsid w:val="00801127"/>
    <w:rsid w:val="00801154"/>
    <w:rsid w:val="008011C0"/>
    <w:rsid w:val="008011E4"/>
    <w:rsid w:val="00801242"/>
    <w:rsid w:val="00801245"/>
    <w:rsid w:val="0080125C"/>
    <w:rsid w:val="00801264"/>
    <w:rsid w:val="00801296"/>
    <w:rsid w:val="008012E5"/>
    <w:rsid w:val="00801313"/>
    <w:rsid w:val="00801329"/>
    <w:rsid w:val="00801358"/>
    <w:rsid w:val="008013C7"/>
    <w:rsid w:val="008013D1"/>
    <w:rsid w:val="008013DA"/>
    <w:rsid w:val="00801406"/>
    <w:rsid w:val="0080146D"/>
    <w:rsid w:val="008014CF"/>
    <w:rsid w:val="00801550"/>
    <w:rsid w:val="0080155F"/>
    <w:rsid w:val="008015B1"/>
    <w:rsid w:val="0080168E"/>
    <w:rsid w:val="008016BC"/>
    <w:rsid w:val="008016C0"/>
    <w:rsid w:val="008016D4"/>
    <w:rsid w:val="00801714"/>
    <w:rsid w:val="0080172A"/>
    <w:rsid w:val="0080173B"/>
    <w:rsid w:val="00801748"/>
    <w:rsid w:val="0080174D"/>
    <w:rsid w:val="00801769"/>
    <w:rsid w:val="0080177B"/>
    <w:rsid w:val="0080178C"/>
    <w:rsid w:val="008017C2"/>
    <w:rsid w:val="008017F9"/>
    <w:rsid w:val="00801884"/>
    <w:rsid w:val="008018A4"/>
    <w:rsid w:val="008018B9"/>
    <w:rsid w:val="008018C8"/>
    <w:rsid w:val="00801939"/>
    <w:rsid w:val="0080195C"/>
    <w:rsid w:val="0080196C"/>
    <w:rsid w:val="0080199B"/>
    <w:rsid w:val="008019C0"/>
    <w:rsid w:val="00801A05"/>
    <w:rsid w:val="00801A08"/>
    <w:rsid w:val="00801A69"/>
    <w:rsid w:val="00801A7D"/>
    <w:rsid w:val="00801A7E"/>
    <w:rsid w:val="00801A99"/>
    <w:rsid w:val="00801B0D"/>
    <w:rsid w:val="00801B52"/>
    <w:rsid w:val="00801B60"/>
    <w:rsid w:val="00801BC4"/>
    <w:rsid w:val="00801BF6"/>
    <w:rsid w:val="00801C43"/>
    <w:rsid w:val="00801C44"/>
    <w:rsid w:val="00801C59"/>
    <w:rsid w:val="00801CE4"/>
    <w:rsid w:val="00801CE7"/>
    <w:rsid w:val="00801D17"/>
    <w:rsid w:val="00801D18"/>
    <w:rsid w:val="00801D56"/>
    <w:rsid w:val="00801DA3"/>
    <w:rsid w:val="00801DDD"/>
    <w:rsid w:val="00801E15"/>
    <w:rsid w:val="00801E1D"/>
    <w:rsid w:val="00801E81"/>
    <w:rsid w:val="00801E87"/>
    <w:rsid w:val="00801ECE"/>
    <w:rsid w:val="00801EDB"/>
    <w:rsid w:val="00801EF7"/>
    <w:rsid w:val="00801F63"/>
    <w:rsid w:val="00801FA7"/>
    <w:rsid w:val="00802056"/>
    <w:rsid w:val="0080208D"/>
    <w:rsid w:val="008020D9"/>
    <w:rsid w:val="0080216B"/>
    <w:rsid w:val="0080217C"/>
    <w:rsid w:val="0080218A"/>
    <w:rsid w:val="008021D0"/>
    <w:rsid w:val="008022DD"/>
    <w:rsid w:val="008022DF"/>
    <w:rsid w:val="0080230F"/>
    <w:rsid w:val="00802344"/>
    <w:rsid w:val="0080235A"/>
    <w:rsid w:val="00802410"/>
    <w:rsid w:val="008024AC"/>
    <w:rsid w:val="008024B7"/>
    <w:rsid w:val="0080250E"/>
    <w:rsid w:val="00802556"/>
    <w:rsid w:val="00802564"/>
    <w:rsid w:val="008025A4"/>
    <w:rsid w:val="008025AC"/>
    <w:rsid w:val="008025D4"/>
    <w:rsid w:val="008025EB"/>
    <w:rsid w:val="008025F5"/>
    <w:rsid w:val="008025FF"/>
    <w:rsid w:val="00802627"/>
    <w:rsid w:val="00802632"/>
    <w:rsid w:val="00802722"/>
    <w:rsid w:val="008027D7"/>
    <w:rsid w:val="0080281B"/>
    <w:rsid w:val="0080288D"/>
    <w:rsid w:val="00802892"/>
    <w:rsid w:val="008028B6"/>
    <w:rsid w:val="008028DB"/>
    <w:rsid w:val="00802934"/>
    <w:rsid w:val="0080293F"/>
    <w:rsid w:val="008029A6"/>
    <w:rsid w:val="008029F7"/>
    <w:rsid w:val="00802A26"/>
    <w:rsid w:val="00802A28"/>
    <w:rsid w:val="00802A34"/>
    <w:rsid w:val="00802A38"/>
    <w:rsid w:val="00802ADC"/>
    <w:rsid w:val="00802B12"/>
    <w:rsid w:val="00802B6E"/>
    <w:rsid w:val="00802BC2"/>
    <w:rsid w:val="00802BDE"/>
    <w:rsid w:val="00802BE3"/>
    <w:rsid w:val="00802BFF"/>
    <w:rsid w:val="00802C08"/>
    <w:rsid w:val="00802C09"/>
    <w:rsid w:val="00802C32"/>
    <w:rsid w:val="00802C59"/>
    <w:rsid w:val="00802C9F"/>
    <w:rsid w:val="00802D0A"/>
    <w:rsid w:val="00802D7A"/>
    <w:rsid w:val="00802DBF"/>
    <w:rsid w:val="00802DC6"/>
    <w:rsid w:val="00802E26"/>
    <w:rsid w:val="00802E2B"/>
    <w:rsid w:val="00802F36"/>
    <w:rsid w:val="00802F71"/>
    <w:rsid w:val="00802F84"/>
    <w:rsid w:val="00802FEB"/>
    <w:rsid w:val="00803044"/>
    <w:rsid w:val="00803063"/>
    <w:rsid w:val="0080306B"/>
    <w:rsid w:val="008030BD"/>
    <w:rsid w:val="008030E2"/>
    <w:rsid w:val="008030EC"/>
    <w:rsid w:val="008030ED"/>
    <w:rsid w:val="0080315C"/>
    <w:rsid w:val="008031DF"/>
    <w:rsid w:val="0080321C"/>
    <w:rsid w:val="00803231"/>
    <w:rsid w:val="0080324A"/>
    <w:rsid w:val="0080328B"/>
    <w:rsid w:val="008032BB"/>
    <w:rsid w:val="00803316"/>
    <w:rsid w:val="00803324"/>
    <w:rsid w:val="00803349"/>
    <w:rsid w:val="00803354"/>
    <w:rsid w:val="008033F2"/>
    <w:rsid w:val="0080346C"/>
    <w:rsid w:val="0080350E"/>
    <w:rsid w:val="008035CB"/>
    <w:rsid w:val="00803673"/>
    <w:rsid w:val="00803698"/>
    <w:rsid w:val="008036F8"/>
    <w:rsid w:val="00803735"/>
    <w:rsid w:val="0080376E"/>
    <w:rsid w:val="008037B5"/>
    <w:rsid w:val="008037EE"/>
    <w:rsid w:val="00803830"/>
    <w:rsid w:val="00803871"/>
    <w:rsid w:val="0080389C"/>
    <w:rsid w:val="008038D9"/>
    <w:rsid w:val="00803972"/>
    <w:rsid w:val="00803A65"/>
    <w:rsid w:val="00803B0F"/>
    <w:rsid w:val="00803B1B"/>
    <w:rsid w:val="00803BAC"/>
    <w:rsid w:val="00803C24"/>
    <w:rsid w:val="00803C72"/>
    <w:rsid w:val="00803CF6"/>
    <w:rsid w:val="00803D4A"/>
    <w:rsid w:val="00803D60"/>
    <w:rsid w:val="00803D77"/>
    <w:rsid w:val="00803D7F"/>
    <w:rsid w:val="00803D94"/>
    <w:rsid w:val="00803DAD"/>
    <w:rsid w:val="00803E01"/>
    <w:rsid w:val="00803E4C"/>
    <w:rsid w:val="00803E74"/>
    <w:rsid w:val="00803E87"/>
    <w:rsid w:val="00803F33"/>
    <w:rsid w:val="00803F53"/>
    <w:rsid w:val="00803FD0"/>
    <w:rsid w:val="00804042"/>
    <w:rsid w:val="0080405A"/>
    <w:rsid w:val="00804060"/>
    <w:rsid w:val="00804089"/>
    <w:rsid w:val="00804152"/>
    <w:rsid w:val="00804192"/>
    <w:rsid w:val="008041B1"/>
    <w:rsid w:val="008041BA"/>
    <w:rsid w:val="008041D7"/>
    <w:rsid w:val="00804217"/>
    <w:rsid w:val="00804226"/>
    <w:rsid w:val="00804248"/>
    <w:rsid w:val="0080426F"/>
    <w:rsid w:val="00804281"/>
    <w:rsid w:val="00804285"/>
    <w:rsid w:val="0080429D"/>
    <w:rsid w:val="00804306"/>
    <w:rsid w:val="00804316"/>
    <w:rsid w:val="0080439A"/>
    <w:rsid w:val="00804443"/>
    <w:rsid w:val="00804456"/>
    <w:rsid w:val="008044DD"/>
    <w:rsid w:val="008045D0"/>
    <w:rsid w:val="00804602"/>
    <w:rsid w:val="00804615"/>
    <w:rsid w:val="00804629"/>
    <w:rsid w:val="0080462E"/>
    <w:rsid w:val="00804641"/>
    <w:rsid w:val="00804654"/>
    <w:rsid w:val="0080465D"/>
    <w:rsid w:val="0080466A"/>
    <w:rsid w:val="00804693"/>
    <w:rsid w:val="008046B3"/>
    <w:rsid w:val="008046DC"/>
    <w:rsid w:val="00804706"/>
    <w:rsid w:val="00804720"/>
    <w:rsid w:val="00804748"/>
    <w:rsid w:val="0080474E"/>
    <w:rsid w:val="008047B9"/>
    <w:rsid w:val="008047F3"/>
    <w:rsid w:val="00804840"/>
    <w:rsid w:val="008048E1"/>
    <w:rsid w:val="0080495A"/>
    <w:rsid w:val="0080495E"/>
    <w:rsid w:val="008049F7"/>
    <w:rsid w:val="00804A06"/>
    <w:rsid w:val="00804A15"/>
    <w:rsid w:val="00804A2A"/>
    <w:rsid w:val="00804A2F"/>
    <w:rsid w:val="00804A64"/>
    <w:rsid w:val="00804A73"/>
    <w:rsid w:val="00804A7F"/>
    <w:rsid w:val="00804AD2"/>
    <w:rsid w:val="00804AD7"/>
    <w:rsid w:val="00804B3F"/>
    <w:rsid w:val="00804B47"/>
    <w:rsid w:val="00804B68"/>
    <w:rsid w:val="00804B74"/>
    <w:rsid w:val="00804C6D"/>
    <w:rsid w:val="00804CA7"/>
    <w:rsid w:val="00804CDB"/>
    <w:rsid w:val="00804D5A"/>
    <w:rsid w:val="00804D85"/>
    <w:rsid w:val="00804E47"/>
    <w:rsid w:val="00804F21"/>
    <w:rsid w:val="00804F62"/>
    <w:rsid w:val="00804F77"/>
    <w:rsid w:val="00804F7A"/>
    <w:rsid w:val="00804FB2"/>
    <w:rsid w:val="00804FBE"/>
    <w:rsid w:val="00804FCB"/>
    <w:rsid w:val="0080507A"/>
    <w:rsid w:val="0080509E"/>
    <w:rsid w:val="008050CD"/>
    <w:rsid w:val="008050DE"/>
    <w:rsid w:val="008050E5"/>
    <w:rsid w:val="00805131"/>
    <w:rsid w:val="00805181"/>
    <w:rsid w:val="0080518B"/>
    <w:rsid w:val="008051CF"/>
    <w:rsid w:val="00805217"/>
    <w:rsid w:val="00805226"/>
    <w:rsid w:val="0080522E"/>
    <w:rsid w:val="00805247"/>
    <w:rsid w:val="0080525F"/>
    <w:rsid w:val="008052C4"/>
    <w:rsid w:val="008052D1"/>
    <w:rsid w:val="0080530E"/>
    <w:rsid w:val="00805327"/>
    <w:rsid w:val="00805338"/>
    <w:rsid w:val="0080534F"/>
    <w:rsid w:val="00805350"/>
    <w:rsid w:val="0080535B"/>
    <w:rsid w:val="0080538F"/>
    <w:rsid w:val="008053D0"/>
    <w:rsid w:val="0080541E"/>
    <w:rsid w:val="0080544F"/>
    <w:rsid w:val="0080547F"/>
    <w:rsid w:val="00805491"/>
    <w:rsid w:val="008054B7"/>
    <w:rsid w:val="008054CB"/>
    <w:rsid w:val="008054E5"/>
    <w:rsid w:val="008054F4"/>
    <w:rsid w:val="00805512"/>
    <w:rsid w:val="00805583"/>
    <w:rsid w:val="008055D1"/>
    <w:rsid w:val="008055D7"/>
    <w:rsid w:val="008055E9"/>
    <w:rsid w:val="00805619"/>
    <w:rsid w:val="0080564B"/>
    <w:rsid w:val="00805691"/>
    <w:rsid w:val="008056BF"/>
    <w:rsid w:val="008056D9"/>
    <w:rsid w:val="008056E2"/>
    <w:rsid w:val="008056EF"/>
    <w:rsid w:val="008056F6"/>
    <w:rsid w:val="0080576F"/>
    <w:rsid w:val="008057B9"/>
    <w:rsid w:val="00805846"/>
    <w:rsid w:val="008058B2"/>
    <w:rsid w:val="008058C8"/>
    <w:rsid w:val="00805931"/>
    <w:rsid w:val="008059C8"/>
    <w:rsid w:val="00805A1B"/>
    <w:rsid w:val="00805A7C"/>
    <w:rsid w:val="00805AB8"/>
    <w:rsid w:val="00805AD4"/>
    <w:rsid w:val="00805AE6"/>
    <w:rsid w:val="00805AEB"/>
    <w:rsid w:val="00805B73"/>
    <w:rsid w:val="00805BFB"/>
    <w:rsid w:val="00805C08"/>
    <w:rsid w:val="00805C2E"/>
    <w:rsid w:val="00805C53"/>
    <w:rsid w:val="00805C6D"/>
    <w:rsid w:val="00805CB0"/>
    <w:rsid w:val="00805D09"/>
    <w:rsid w:val="00805D0B"/>
    <w:rsid w:val="00805D9A"/>
    <w:rsid w:val="00805E20"/>
    <w:rsid w:val="00805E6B"/>
    <w:rsid w:val="00805E96"/>
    <w:rsid w:val="00805ED6"/>
    <w:rsid w:val="00805EE9"/>
    <w:rsid w:val="00805F84"/>
    <w:rsid w:val="00805FD9"/>
    <w:rsid w:val="00806036"/>
    <w:rsid w:val="00806051"/>
    <w:rsid w:val="008060A2"/>
    <w:rsid w:val="00806193"/>
    <w:rsid w:val="00806196"/>
    <w:rsid w:val="008061E6"/>
    <w:rsid w:val="00806202"/>
    <w:rsid w:val="00806204"/>
    <w:rsid w:val="00806234"/>
    <w:rsid w:val="0080623B"/>
    <w:rsid w:val="00806257"/>
    <w:rsid w:val="00806278"/>
    <w:rsid w:val="0080627E"/>
    <w:rsid w:val="008062D2"/>
    <w:rsid w:val="008062D8"/>
    <w:rsid w:val="008062F2"/>
    <w:rsid w:val="00806380"/>
    <w:rsid w:val="00806399"/>
    <w:rsid w:val="008063E5"/>
    <w:rsid w:val="0080646B"/>
    <w:rsid w:val="00806470"/>
    <w:rsid w:val="008064F2"/>
    <w:rsid w:val="008064F4"/>
    <w:rsid w:val="0080652F"/>
    <w:rsid w:val="00806549"/>
    <w:rsid w:val="0080655C"/>
    <w:rsid w:val="00806571"/>
    <w:rsid w:val="008065C5"/>
    <w:rsid w:val="0080661D"/>
    <w:rsid w:val="0080668B"/>
    <w:rsid w:val="008066DC"/>
    <w:rsid w:val="008066E5"/>
    <w:rsid w:val="00806716"/>
    <w:rsid w:val="0080671C"/>
    <w:rsid w:val="0080671F"/>
    <w:rsid w:val="008067AB"/>
    <w:rsid w:val="00806820"/>
    <w:rsid w:val="008068AC"/>
    <w:rsid w:val="008068B5"/>
    <w:rsid w:val="00806907"/>
    <w:rsid w:val="008069E5"/>
    <w:rsid w:val="008069F6"/>
    <w:rsid w:val="00806A53"/>
    <w:rsid w:val="00806A56"/>
    <w:rsid w:val="00806B0D"/>
    <w:rsid w:val="00806B24"/>
    <w:rsid w:val="00806B5F"/>
    <w:rsid w:val="00806B7A"/>
    <w:rsid w:val="00806BB8"/>
    <w:rsid w:val="00806C00"/>
    <w:rsid w:val="00806CFC"/>
    <w:rsid w:val="00806D0A"/>
    <w:rsid w:val="00806DA7"/>
    <w:rsid w:val="00806DDE"/>
    <w:rsid w:val="00806DE9"/>
    <w:rsid w:val="00806E21"/>
    <w:rsid w:val="00806E62"/>
    <w:rsid w:val="00806E71"/>
    <w:rsid w:val="00806EA4"/>
    <w:rsid w:val="00806EB6"/>
    <w:rsid w:val="00806ECC"/>
    <w:rsid w:val="00806F28"/>
    <w:rsid w:val="00806F2E"/>
    <w:rsid w:val="00806FCD"/>
    <w:rsid w:val="00806FEE"/>
    <w:rsid w:val="008070C4"/>
    <w:rsid w:val="00807163"/>
    <w:rsid w:val="00807199"/>
    <w:rsid w:val="0080719C"/>
    <w:rsid w:val="008071A5"/>
    <w:rsid w:val="008071B0"/>
    <w:rsid w:val="008071C5"/>
    <w:rsid w:val="00807201"/>
    <w:rsid w:val="00807267"/>
    <w:rsid w:val="0080729D"/>
    <w:rsid w:val="008072A5"/>
    <w:rsid w:val="008072A6"/>
    <w:rsid w:val="008072F2"/>
    <w:rsid w:val="0080735C"/>
    <w:rsid w:val="008074DB"/>
    <w:rsid w:val="008074F6"/>
    <w:rsid w:val="008074F7"/>
    <w:rsid w:val="008074FB"/>
    <w:rsid w:val="008074FE"/>
    <w:rsid w:val="00807520"/>
    <w:rsid w:val="00807521"/>
    <w:rsid w:val="008075AC"/>
    <w:rsid w:val="00807606"/>
    <w:rsid w:val="00807619"/>
    <w:rsid w:val="0080763F"/>
    <w:rsid w:val="00807641"/>
    <w:rsid w:val="00807652"/>
    <w:rsid w:val="00807656"/>
    <w:rsid w:val="00807713"/>
    <w:rsid w:val="00807743"/>
    <w:rsid w:val="00807769"/>
    <w:rsid w:val="008078AD"/>
    <w:rsid w:val="008078F8"/>
    <w:rsid w:val="0080793A"/>
    <w:rsid w:val="00807966"/>
    <w:rsid w:val="00807970"/>
    <w:rsid w:val="00807977"/>
    <w:rsid w:val="008079A9"/>
    <w:rsid w:val="00807A40"/>
    <w:rsid w:val="00807A44"/>
    <w:rsid w:val="00807A95"/>
    <w:rsid w:val="00807ABD"/>
    <w:rsid w:val="00807B7B"/>
    <w:rsid w:val="00807BC1"/>
    <w:rsid w:val="00807BE4"/>
    <w:rsid w:val="00807BEE"/>
    <w:rsid w:val="00807C25"/>
    <w:rsid w:val="00807C4E"/>
    <w:rsid w:val="00807C62"/>
    <w:rsid w:val="00807D5F"/>
    <w:rsid w:val="00807D9C"/>
    <w:rsid w:val="00807E02"/>
    <w:rsid w:val="00807E0B"/>
    <w:rsid w:val="00807E0C"/>
    <w:rsid w:val="00807E5F"/>
    <w:rsid w:val="00807E62"/>
    <w:rsid w:val="00807ECD"/>
    <w:rsid w:val="00807ED6"/>
    <w:rsid w:val="00807EE8"/>
    <w:rsid w:val="00807FEB"/>
    <w:rsid w:val="0080EF18"/>
    <w:rsid w:val="00810023"/>
    <w:rsid w:val="00810081"/>
    <w:rsid w:val="00810094"/>
    <w:rsid w:val="0081011E"/>
    <w:rsid w:val="0081011F"/>
    <w:rsid w:val="0081012E"/>
    <w:rsid w:val="00810159"/>
    <w:rsid w:val="0081015D"/>
    <w:rsid w:val="0081018E"/>
    <w:rsid w:val="0081021F"/>
    <w:rsid w:val="00810225"/>
    <w:rsid w:val="0081023B"/>
    <w:rsid w:val="008102C0"/>
    <w:rsid w:val="0081031A"/>
    <w:rsid w:val="008103A0"/>
    <w:rsid w:val="008103AD"/>
    <w:rsid w:val="008103B3"/>
    <w:rsid w:val="008103D6"/>
    <w:rsid w:val="00810403"/>
    <w:rsid w:val="0081046D"/>
    <w:rsid w:val="008104C2"/>
    <w:rsid w:val="008104DB"/>
    <w:rsid w:val="0081051F"/>
    <w:rsid w:val="00810542"/>
    <w:rsid w:val="0081056A"/>
    <w:rsid w:val="0081058F"/>
    <w:rsid w:val="00810636"/>
    <w:rsid w:val="0081063C"/>
    <w:rsid w:val="0081063E"/>
    <w:rsid w:val="008106FA"/>
    <w:rsid w:val="00810713"/>
    <w:rsid w:val="00810751"/>
    <w:rsid w:val="00810777"/>
    <w:rsid w:val="008107A8"/>
    <w:rsid w:val="00810828"/>
    <w:rsid w:val="0081090C"/>
    <w:rsid w:val="0081098C"/>
    <w:rsid w:val="00810998"/>
    <w:rsid w:val="008109AA"/>
    <w:rsid w:val="008109E2"/>
    <w:rsid w:val="00810A5C"/>
    <w:rsid w:val="00810A71"/>
    <w:rsid w:val="00810A77"/>
    <w:rsid w:val="00810A97"/>
    <w:rsid w:val="00810AF8"/>
    <w:rsid w:val="00810AFC"/>
    <w:rsid w:val="00810B36"/>
    <w:rsid w:val="00810B46"/>
    <w:rsid w:val="00810B96"/>
    <w:rsid w:val="00810BF7"/>
    <w:rsid w:val="00810C52"/>
    <w:rsid w:val="00810C84"/>
    <w:rsid w:val="00810C9E"/>
    <w:rsid w:val="00810CBF"/>
    <w:rsid w:val="00810D23"/>
    <w:rsid w:val="00810D2C"/>
    <w:rsid w:val="00810DF8"/>
    <w:rsid w:val="00810E0E"/>
    <w:rsid w:val="00810E14"/>
    <w:rsid w:val="00810E17"/>
    <w:rsid w:val="00810E80"/>
    <w:rsid w:val="00810E87"/>
    <w:rsid w:val="00810E8B"/>
    <w:rsid w:val="00810EB1"/>
    <w:rsid w:val="00810EE1"/>
    <w:rsid w:val="00810EF2"/>
    <w:rsid w:val="00810EFF"/>
    <w:rsid w:val="00810F17"/>
    <w:rsid w:val="00810F1E"/>
    <w:rsid w:val="00810F77"/>
    <w:rsid w:val="00810FA2"/>
    <w:rsid w:val="00810FC0"/>
    <w:rsid w:val="00810FEF"/>
    <w:rsid w:val="00811016"/>
    <w:rsid w:val="00811090"/>
    <w:rsid w:val="00811099"/>
    <w:rsid w:val="008110A0"/>
    <w:rsid w:val="008110F0"/>
    <w:rsid w:val="00811167"/>
    <w:rsid w:val="0081116C"/>
    <w:rsid w:val="008111D6"/>
    <w:rsid w:val="0081121A"/>
    <w:rsid w:val="00811244"/>
    <w:rsid w:val="0081125F"/>
    <w:rsid w:val="00811357"/>
    <w:rsid w:val="0081138C"/>
    <w:rsid w:val="008113B2"/>
    <w:rsid w:val="008113B4"/>
    <w:rsid w:val="00811473"/>
    <w:rsid w:val="00811485"/>
    <w:rsid w:val="0081152A"/>
    <w:rsid w:val="0081154B"/>
    <w:rsid w:val="00811562"/>
    <w:rsid w:val="0081157F"/>
    <w:rsid w:val="008115BF"/>
    <w:rsid w:val="008115CC"/>
    <w:rsid w:val="008115D3"/>
    <w:rsid w:val="008115D4"/>
    <w:rsid w:val="00811613"/>
    <w:rsid w:val="0081167A"/>
    <w:rsid w:val="0081169A"/>
    <w:rsid w:val="008116B1"/>
    <w:rsid w:val="008116C2"/>
    <w:rsid w:val="00811728"/>
    <w:rsid w:val="0081172D"/>
    <w:rsid w:val="00811770"/>
    <w:rsid w:val="0081179E"/>
    <w:rsid w:val="0081185F"/>
    <w:rsid w:val="00811897"/>
    <w:rsid w:val="008118CA"/>
    <w:rsid w:val="0081190E"/>
    <w:rsid w:val="00811944"/>
    <w:rsid w:val="00811966"/>
    <w:rsid w:val="00811967"/>
    <w:rsid w:val="0081196F"/>
    <w:rsid w:val="0081197E"/>
    <w:rsid w:val="008119C0"/>
    <w:rsid w:val="008119C4"/>
    <w:rsid w:val="00811A1B"/>
    <w:rsid w:val="00811ACD"/>
    <w:rsid w:val="00811AD3"/>
    <w:rsid w:val="00811B44"/>
    <w:rsid w:val="00811B66"/>
    <w:rsid w:val="00811BAD"/>
    <w:rsid w:val="00811BBB"/>
    <w:rsid w:val="00811BF0"/>
    <w:rsid w:val="00811C50"/>
    <w:rsid w:val="00811CA3"/>
    <w:rsid w:val="00811CF1"/>
    <w:rsid w:val="00811CFC"/>
    <w:rsid w:val="00811D01"/>
    <w:rsid w:val="00811D05"/>
    <w:rsid w:val="00811E03"/>
    <w:rsid w:val="00811E1F"/>
    <w:rsid w:val="00811E7C"/>
    <w:rsid w:val="00811E9F"/>
    <w:rsid w:val="00811EC5"/>
    <w:rsid w:val="00811EFE"/>
    <w:rsid w:val="00811F9E"/>
    <w:rsid w:val="00812049"/>
    <w:rsid w:val="00812074"/>
    <w:rsid w:val="008120B0"/>
    <w:rsid w:val="008120C3"/>
    <w:rsid w:val="008120C8"/>
    <w:rsid w:val="00812105"/>
    <w:rsid w:val="0081214A"/>
    <w:rsid w:val="008121BC"/>
    <w:rsid w:val="008121F6"/>
    <w:rsid w:val="008121FA"/>
    <w:rsid w:val="00812233"/>
    <w:rsid w:val="00812241"/>
    <w:rsid w:val="0081226A"/>
    <w:rsid w:val="00812280"/>
    <w:rsid w:val="008122E5"/>
    <w:rsid w:val="0081231D"/>
    <w:rsid w:val="00812337"/>
    <w:rsid w:val="0081233F"/>
    <w:rsid w:val="00812378"/>
    <w:rsid w:val="00812384"/>
    <w:rsid w:val="00812403"/>
    <w:rsid w:val="00812405"/>
    <w:rsid w:val="00812440"/>
    <w:rsid w:val="0081245D"/>
    <w:rsid w:val="0081246D"/>
    <w:rsid w:val="00812491"/>
    <w:rsid w:val="00812527"/>
    <w:rsid w:val="0081252A"/>
    <w:rsid w:val="00812530"/>
    <w:rsid w:val="0081258F"/>
    <w:rsid w:val="008125D6"/>
    <w:rsid w:val="008125E8"/>
    <w:rsid w:val="0081260C"/>
    <w:rsid w:val="008126A9"/>
    <w:rsid w:val="008126AE"/>
    <w:rsid w:val="008126C0"/>
    <w:rsid w:val="00812708"/>
    <w:rsid w:val="00812765"/>
    <w:rsid w:val="008127B8"/>
    <w:rsid w:val="008127C9"/>
    <w:rsid w:val="008127CE"/>
    <w:rsid w:val="00812884"/>
    <w:rsid w:val="00812887"/>
    <w:rsid w:val="008128BA"/>
    <w:rsid w:val="008128E7"/>
    <w:rsid w:val="00812932"/>
    <w:rsid w:val="0081294B"/>
    <w:rsid w:val="0081296A"/>
    <w:rsid w:val="0081297F"/>
    <w:rsid w:val="0081299E"/>
    <w:rsid w:val="008129A1"/>
    <w:rsid w:val="008129C4"/>
    <w:rsid w:val="008129D6"/>
    <w:rsid w:val="008129E7"/>
    <w:rsid w:val="00812A57"/>
    <w:rsid w:val="00812B04"/>
    <w:rsid w:val="00812B2B"/>
    <w:rsid w:val="00812B3D"/>
    <w:rsid w:val="00812B48"/>
    <w:rsid w:val="00812B83"/>
    <w:rsid w:val="00812B93"/>
    <w:rsid w:val="00812BBB"/>
    <w:rsid w:val="00812C26"/>
    <w:rsid w:val="00812C54"/>
    <w:rsid w:val="00812CB2"/>
    <w:rsid w:val="00812D35"/>
    <w:rsid w:val="00812DCD"/>
    <w:rsid w:val="00812DDE"/>
    <w:rsid w:val="00812DEB"/>
    <w:rsid w:val="00812E10"/>
    <w:rsid w:val="00812E2E"/>
    <w:rsid w:val="00812E38"/>
    <w:rsid w:val="00812F18"/>
    <w:rsid w:val="00812FB9"/>
    <w:rsid w:val="00812FC7"/>
    <w:rsid w:val="00812FFD"/>
    <w:rsid w:val="00812FFF"/>
    <w:rsid w:val="00813081"/>
    <w:rsid w:val="008130E1"/>
    <w:rsid w:val="008131CF"/>
    <w:rsid w:val="00813239"/>
    <w:rsid w:val="00813240"/>
    <w:rsid w:val="00813247"/>
    <w:rsid w:val="00813296"/>
    <w:rsid w:val="008132A4"/>
    <w:rsid w:val="008132BD"/>
    <w:rsid w:val="008132C1"/>
    <w:rsid w:val="00813303"/>
    <w:rsid w:val="0081330C"/>
    <w:rsid w:val="00813316"/>
    <w:rsid w:val="00813379"/>
    <w:rsid w:val="0081344E"/>
    <w:rsid w:val="00813479"/>
    <w:rsid w:val="008134A1"/>
    <w:rsid w:val="008134AE"/>
    <w:rsid w:val="008134BD"/>
    <w:rsid w:val="008134DD"/>
    <w:rsid w:val="008134F9"/>
    <w:rsid w:val="00813555"/>
    <w:rsid w:val="0081357A"/>
    <w:rsid w:val="00813584"/>
    <w:rsid w:val="008135A0"/>
    <w:rsid w:val="00813622"/>
    <w:rsid w:val="00813683"/>
    <w:rsid w:val="0081373C"/>
    <w:rsid w:val="0081377B"/>
    <w:rsid w:val="0081379E"/>
    <w:rsid w:val="008137B6"/>
    <w:rsid w:val="008137BC"/>
    <w:rsid w:val="008137C3"/>
    <w:rsid w:val="008137E2"/>
    <w:rsid w:val="00813861"/>
    <w:rsid w:val="0081387D"/>
    <w:rsid w:val="00813886"/>
    <w:rsid w:val="008138B9"/>
    <w:rsid w:val="008138D4"/>
    <w:rsid w:val="008138FF"/>
    <w:rsid w:val="00813914"/>
    <w:rsid w:val="00813935"/>
    <w:rsid w:val="00813996"/>
    <w:rsid w:val="00813A59"/>
    <w:rsid w:val="00813A5E"/>
    <w:rsid w:val="00813A86"/>
    <w:rsid w:val="00813A8F"/>
    <w:rsid w:val="00813B4C"/>
    <w:rsid w:val="00813B83"/>
    <w:rsid w:val="00813C55"/>
    <w:rsid w:val="00813CC7"/>
    <w:rsid w:val="00813D21"/>
    <w:rsid w:val="00813D42"/>
    <w:rsid w:val="00813D86"/>
    <w:rsid w:val="00813ECF"/>
    <w:rsid w:val="00813EED"/>
    <w:rsid w:val="00813EF3"/>
    <w:rsid w:val="00813F42"/>
    <w:rsid w:val="00813F60"/>
    <w:rsid w:val="00813F64"/>
    <w:rsid w:val="00813FB3"/>
    <w:rsid w:val="00813FB4"/>
    <w:rsid w:val="00813FF9"/>
    <w:rsid w:val="0081405A"/>
    <w:rsid w:val="0081405F"/>
    <w:rsid w:val="0081409C"/>
    <w:rsid w:val="008140B4"/>
    <w:rsid w:val="00814111"/>
    <w:rsid w:val="00814137"/>
    <w:rsid w:val="0081414A"/>
    <w:rsid w:val="00814197"/>
    <w:rsid w:val="008141A5"/>
    <w:rsid w:val="008141F3"/>
    <w:rsid w:val="008141FF"/>
    <w:rsid w:val="0081420E"/>
    <w:rsid w:val="00814251"/>
    <w:rsid w:val="00814284"/>
    <w:rsid w:val="00814339"/>
    <w:rsid w:val="008143A4"/>
    <w:rsid w:val="00814425"/>
    <w:rsid w:val="00814444"/>
    <w:rsid w:val="0081446C"/>
    <w:rsid w:val="008144C6"/>
    <w:rsid w:val="008144DF"/>
    <w:rsid w:val="00814588"/>
    <w:rsid w:val="0081460B"/>
    <w:rsid w:val="00814622"/>
    <w:rsid w:val="00814649"/>
    <w:rsid w:val="00814671"/>
    <w:rsid w:val="0081467B"/>
    <w:rsid w:val="0081468A"/>
    <w:rsid w:val="008146D6"/>
    <w:rsid w:val="00814705"/>
    <w:rsid w:val="00814759"/>
    <w:rsid w:val="00814785"/>
    <w:rsid w:val="008147F9"/>
    <w:rsid w:val="00814800"/>
    <w:rsid w:val="00814818"/>
    <w:rsid w:val="0081484C"/>
    <w:rsid w:val="0081484F"/>
    <w:rsid w:val="00814854"/>
    <w:rsid w:val="0081485B"/>
    <w:rsid w:val="0081486F"/>
    <w:rsid w:val="008148AC"/>
    <w:rsid w:val="008148C8"/>
    <w:rsid w:val="008148EB"/>
    <w:rsid w:val="00814930"/>
    <w:rsid w:val="0081494B"/>
    <w:rsid w:val="00814962"/>
    <w:rsid w:val="00814964"/>
    <w:rsid w:val="0081496A"/>
    <w:rsid w:val="0081498D"/>
    <w:rsid w:val="008149AC"/>
    <w:rsid w:val="008149E5"/>
    <w:rsid w:val="00814A35"/>
    <w:rsid w:val="00814A5D"/>
    <w:rsid w:val="00814AA1"/>
    <w:rsid w:val="00814AAB"/>
    <w:rsid w:val="00814AE4"/>
    <w:rsid w:val="00814AE9"/>
    <w:rsid w:val="00814AF4"/>
    <w:rsid w:val="00814B4F"/>
    <w:rsid w:val="00814B72"/>
    <w:rsid w:val="00814B7F"/>
    <w:rsid w:val="00814B82"/>
    <w:rsid w:val="00814C07"/>
    <w:rsid w:val="00814C2C"/>
    <w:rsid w:val="00814C3C"/>
    <w:rsid w:val="00814C42"/>
    <w:rsid w:val="00814C6B"/>
    <w:rsid w:val="00814C85"/>
    <w:rsid w:val="00814CAE"/>
    <w:rsid w:val="00814CC7"/>
    <w:rsid w:val="00814D39"/>
    <w:rsid w:val="00814DC5"/>
    <w:rsid w:val="00814DD5"/>
    <w:rsid w:val="00814E76"/>
    <w:rsid w:val="00814E8C"/>
    <w:rsid w:val="00814E95"/>
    <w:rsid w:val="00814EB3"/>
    <w:rsid w:val="00814EB6"/>
    <w:rsid w:val="00814EBF"/>
    <w:rsid w:val="00814F8B"/>
    <w:rsid w:val="00814FF4"/>
    <w:rsid w:val="00815038"/>
    <w:rsid w:val="00815076"/>
    <w:rsid w:val="00815081"/>
    <w:rsid w:val="008150AA"/>
    <w:rsid w:val="008150C3"/>
    <w:rsid w:val="008150F1"/>
    <w:rsid w:val="008150F6"/>
    <w:rsid w:val="00815109"/>
    <w:rsid w:val="008151C3"/>
    <w:rsid w:val="008151C4"/>
    <w:rsid w:val="0081528F"/>
    <w:rsid w:val="00815291"/>
    <w:rsid w:val="008152C1"/>
    <w:rsid w:val="008152DA"/>
    <w:rsid w:val="00815337"/>
    <w:rsid w:val="0081533E"/>
    <w:rsid w:val="0081535B"/>
    <w:rsid w:val="0081536A"/>
    <w:rsid w:val="00815391"/>
    <w:rsid w:val="008153A2"/>
    <w:rsid w:val="008153E8"/>
    <w:rsid w:val="00815428"/>
    <w:rsid w:val="00815465"/>
    <w:rsid w:val="0081547F"/>
    <w:rsid w:val="00815687"/>
    <w:rsid w:val="0081569D"/>
    <w:rsid w:val="00815713"/>
    <w:rsid w:val="0081572D"/>
    <w:rsid w:val="008157A6"/>
    <w:rsid w:val="008157B3"/>
    <w:rsid w:val="008157C2"/>
    <w:rsid w:val="0081580A"/>
    <w:rsid w:val="00815840"/>
    <w:rsid w:val="0081587C"/>
    <w:rsid w:val="0081593A"/>
    <w:rsid w:val="0081594B"/>
    <w:rsid w:val="008159AE"/>
    <w:rsid w:val="00815A01"/>
    <w:rsid w:val="00815A05"/>
    <w:rsid w:val="00815A4A"/>
    <w:rsid w:val="00815A9F"/>
    <w:rsid w:val="00815B42"/>
    <w:rsid w:val="00815B97"/>
    <w:rsid w:val="00815BEA"/>
    <w:rsid w:val="00815C56"/>
    <w:rsid w:val="00815D0E"/>
    <w:rsid w:val="00815D38"/>
    <w:rsid w:val="00815D40"/>
    <w:rsid w:val="00815D6D"/>
    <w:rsid w:val="00815DA9"/>
    <w:rsid w:val="00815DD2"/>
    <w:rsid w:val="00815DD3"/>
    <w:rsid w:val="00815DD8"/>
    <w:rsid w:val="00815E07"/>
    <w:rsid w:val="00815E38"/>
    <w:rsid w:val="00815E45"/>
    <w:rsid w:val="00815E60"/>
    <w:rsid w:val="00815EEC"/>
    <w:rsid w:val="00815F14"/>
    <w:rsid w:val="00815FA9"/>
    <w:rsid w:val="0081601B"/>
    <w:rsid w:val="00816069"/>
    <w:rsid w:val="00816094"/>
    <w:rsid w:val="0081616C"/>
    <w:rsid w:val="0081619F"/>
    <w:rsid w:val="008161D0"/>
    <w:rsid w:val="008161D7"/>
    <w:rsid w:val="00816253"/>
    <w:rsid w:val="00816273"/>
    <w:rsid w:val="00816292"/>
    <w:rsid w:val="0081637E"/>
    <w:rsid w:val="008163A7"/>
    <w:rsid w:val="00816440"/>
    <w:rsid w:val="008164D7"/>
    <w:rsid w:val="008164FC"/>
    <w:rsid w:val="0081656D"/>
    <w:rsid w:val="00816586"/>
    <w:rsid w:val="008166D7"/>
    <w:rsid w:val="008166F2"/>
    <w:rsid w:val="00816833"/>
    <w:rsid w:val="00816835"/>
    <w:rsid w:val="00816858"/>
    <w:rsid w:val="0081690D"/>
    <w:rsid w:val="0081691B"/>
    <w:rsid w:val="008169A2"/>
    <w:rsid w:val="00816A34"/>
    <w:rsid w:val="00816A39"/>
    <w:rsid w:val="00816A47"/>
    <w:rsid w:val="00816A60"/>
    <w:rsid w:val="00816A9A"/>
    <w:rsid w:val="00816ACA"/>
    <w:rsid w:val="00816B72"/>
    <w:rsid w:val="00816BAF"/>
    <w:rsid w:val="00816BBA"/>
    <w:rsid w:val="00816BD1"/>
    <w:rsid w:val="00816C79"/>
    <w:rsid w:val="00816D00"/>
    <w:rsid w:val="00816D02"/>
    <w:rsid w:val="00816D14"/>
    <w:rsid w:val="00816D3E"/>
    <w:rsid w:val="00816D91"/>
    <w:rsid w:val="00816DE6"/>
    <w:rsid w:val="00816E25"/>
    <w:rsid w:val="00816EA6"/>
    <w:rsid w:val="00816EB0"/>
    <w:rsid w:val="00816EB5"/>
    <w:rsid w:val="00816EE9"/>
    <w:rsid w:val="00816F73"/>
    <w:rsid w:val="00816FCC"/>
    <w:rsid w:val="00816FF8"/>
    <w:rsid w:val="00817045"/>
    <w:rsid w:val="00817090"/>
    <w:rsid w:val="00817093"/>
    <w:rsid w:val="008170DC"/>
    <w:rsid w:val="00817115"/>
    <w:rsid w:val="00817137"/>
    <w:rsid w:val="008171A3"/>
    <w:rsid w:val="008171B8"/>
    <w:rsid w:val="008171C3"/>
    <w:rsid w:val="008171F6"/>
    <w:rsid w:val="00817210"/>
    <w:rsid w:val="00817237"/>
    <w:rsid w:val="00817255"/>
    <w:rsid w:val="00817272"/>
    <w:rsid w:val="0081727B"/>
    <w:rsid w:val="00817326"/>
    <w:rsid w:val="00817337"/>
    <w:rsid w:val="00817338"/>
    <w:rsid w:val="00817388"/>
    <w:rsid w:val="008173A1"/>
    <w:rsid w:val="008173DD"/>
    <w:rsid w:val="0081742C"/>
    <w:rsid w:val="00817489"/>
    <w:rsid w:val="0081749A"/>
    <w:rsid w:val="008174A7"/>
    <w:rsid w:val="008174B7"/>
    <w:rsid w:val="008174C0"/>
    <w:rsid w:val="00817529"/>
    <w:rsid w:val="008175B2"/>
    <w:rsid w:val="008175CD"/>
    <w:rsid w:val="008175DC"/>
    <w:rsid w:val="0081768C"/>
    <w:rsid w:val="008176A0"/>
    <w:rsid w:val="0081775C"/>
    <w:rsid w:val="008177D8"/>
    <w:rsid w:val="008178E6"/>
    <w:rsid w:val="008178F4"/>
    <w:rsid w:val="00817934"/>
    <w:rsid w:val="00817937"/>
    <w:rsid w:val="00817963"/>
    <w:rsid w:val="00817A21"/>
    <w:rsid w:val="00817A27"/>
    <w:rsid w:val="00817A47"/>
    <w:rsid w:val="00817A56"/>
    <w:rsid w:val="00817AA9"/>
    <w:rsid w:val="00817AB5"/>
    <w:rsid w:val="00817ACA"/>
    <w:rsid w:val="00817B24"/>
    <w:rsid w:val="00817B27"/>
    <w:rsid w:val="00817B7F"/>
    <w:rsid w:val="00817BD7"/>
    <w:rsid w:val="00817BE8"/>
    <w:rsid w:val="00817C12"/>
    <w:rsid w:val="00817C7F"/>
    <w:rsid w:val="00817CDC"/>
    <w:rsid w:val="00817D15"/>
    <w:rsid w:val="00817D1C"/>
    <w:rsid w:val="00817D53"/>
    <w:rsid w:val="00817D72"/>
    <w:rsid w:val="00817E23"/>
    <w:rsid w:val="00817F10"/>
    <w:rsid w:val="00817F2E"/>
    <w:rsid w:val="00817F48"/>
    <w:rsid w:val="00817F64"/>
    <w:rsid w:val="00817F6F"/>
    <w:rsid w:val="00817F93"/>
    <w:rsid w:val="00817FC4"/>
    <w:rsid w:val="00817FCA"/>
    <w:rsid w:val="0082001F"/>
    <w:rsid w:val="0082004B"/>
    <w:rsid w:val="0082005E"/>
    <w:rsid w:val="008200A1"/>
    <w:rsid w:val="008200D4"/>
    <w:rsid w:val="00820108"/>
    <w:rsid w:val="0082012F"/>
    <w:rsid w:val="00820161"/>
    <w:rsid w:val="00820187"/>
    <w:rsid w:val="008201B3"/>
    <w:rsid w:val="008201D2"/>
    <w:rsid w:val="008201DF"/>
    <w:rsid w:val="008201FF"/>
    <w:rsid w:val="00820225"/>
    <w:rsid w:val="0082028B"/>
    <w:rsid w:val="00820299"/>
    <w:rsid w:val="008202C5"/>
    <w:rsid w:val="00820323"/>
    <w:rsid w:val="00820328"/>
    <w:rsid w:val="008203CC"/>
    <w:rsid w:val="008203DF"/>
    <w:rsid w:val="008203E2"/>
    <w:rsid w:val="008203FA"/>
    <w:rsid w:val="00820414"/>
    <w:rsid w:val="0082041A"/>
    <w:rsid w:val="00820464"/>
    <w:rsid w:val="00820473"/>
    <w:rsid w:val="0082051C"/>
    <w:rsid w:val="0082059F"/>
    <w:rsid w:val="008205C8"/>
    <w:rsid w:val="008205E1"/>
    <w:rsid w:val="008205FA"/>
    <w:rsid w:val="0082060F"/>
    <w:rsid w:val="0082066C"/>
    <w:rsid w:val="00820678"/>
    <w:rsid w:val="0082067C"/>
    <w:rsid w:val="00820699"/>
    <w:rsid w:val="008206B2"/>
    <w:rsid w:val="008206E0"/>
    <w:rsid w:val="008206FA"/>
    <w:rsid w:val="00820701"/>
    <w:rsid w:val="0082072F"/>
    <w:rsid w:val="008207AB"/>
    <w:rsid w:val="008207B8"/>
    <w:rsid w:val="008207FA"/>
    <w:rsid w:val="0082083F"/>
    <w:rsid w:val="00820854"/>
    <w:rsid w:val="00820860"/>
    <w:rsid w:val="0082087F"/>
    <w:rsid w:val="00820881"/>
    <w:rsid w:val="008208A2"/>
    <w:rsid w:val="008208CD"/>
    <w:rsid w:val="008209AD"/>
    <w:rsid w:val="008209F8"/>
    <w:rsid w:val="00820A07"/>
    <w:rsid w:val="00820A3E"/>
    <w:rsid w:val="00820A3F"/>
    <w:rsid w:val="00820A7E"/>
    <w:rsid w:val="00820AB8"/>
    <w:rsid w:val="00820B23"/>
    <w:rsid w:val="00820BDA"/>
    <w:rsid w:val="00820C57"/>
    <w:rsid w:val="00820C79"/>
    <w:rsid w:val="00820CA5"/>
    <w:rsid w:val="00820CC0"/>
    <w:rsid w:val="00820CFA"/>
    <w:rsid w:val="00820D4A"/>
    <w:rsid w:val="00820D97"/>
    <w:rsid w:val="00820DD2"/>
    <w:rsid w:val="00820DDD"/>
    <w:rsid w:val="00820E74"/>
    <w:rsid w:val="00820E80"/>
    <w:rsid w:val="00820F0C"/>
    <w:rsid w:val="00820F2A"/>
    <w:rsid w:val="00820F4F"/>
    <w:rsid w:val="00820F5F"/>
    <w:rsid w:val="00820F69"/>
    <w:rsid w:val="00820F93"/>
    <w:rsid w:val="00821031"/>
    <w:rsid w:val="00821047"/>
    <w:rsid w:val="0082106E"/>
    <w:rsid w:val="00821121"/>
    <w:rsid w:val="0082114A"/>
    <w:rsid w:val="00821192"/>
    <w:rsid w:val="008211CE"/>
    <w:rsid w:val="008212CE"/>
    <w:rsid w:val="0082137D"/>
    <w:rsid w:val="008213E7"/>
    <w:rsid w:val="008213F9"/>
    <w:rsid w:val="0082140F"/>
    <w:rsid w:val="00821482"/>
    <w:rsid w:val="00821522"/>
    <w:rsid w:val="00821529"/>
    <w:rsid w:val="00821561"/>
    <w:rsid w:val="008215B3"/>
    <w:rsid w:val="008215E3"/>
    <w:rsid w:val="008215E8"/>
    <w:rsid w:val="00821610"/>
    <w:rsid w:val="0082161A"/>
    <w:rsid w:val="0082162A"/>
    <w:rsid w:val="00821634"/>
    <w:rsid w:val="00821640"/>
    <w:rsid w:val="0082166A"/>
    <w:rsid w:val="0082166B"/>
    <w:rsid w:val="008216C7"/>
    <w:rsid w:val="008216ED"/>
    <w:rsid w:val="008216EE"/>
    <w:rsid w:val="00821702"/>
    <w:rsid w:val="00821732"/>
    <w:rsid w:val="00821768"/>
    <w:rsid w:val="00821769"/>
    <w:rsid w:val="008217C7"/>
    <w:rsid w:val="008217EC"/>
    <w:rsid w:val="008217F1"/>
    <w:rsid w:val="00821829"/>
    <w:rsid w:val="00821836"/>
    <w:rsid w:val="008218A0"/>
    <w:rsid w:val="00821928"/>
    <w:rsid w:val="0082196F"/>
    <w:rsid w:val="00821982"/>
    <w:rsid w:val="00821A76"/>
    <w:rsid w:val="00821B31"/>
    <w:rsid w:val="00821B4D"/>
    <w:rsid w:val="00821B7B"/>
    <w:rsid w:val="00821BE8"/>
    <w:rsid w:val="00821C85"/>
    <w:rsid w:val="00821C98"/>
    <w:rsid w:val="00821CC7"/>
    <w:rsid w:val="00821CEE"/>
    <w:rsid w:val="00821D09"/>
    <w:rsid w:val="00821D6F"/>
    <w:rsid w:val="00821E1F"/>
    <w:rsid w:val="00821E86"/>
    <w:rsid w:val="00821EC1"/>
    <w:rsid w:val="00821EF8"/>
    <w:rsid w:val="00821F1F"/>
    <w:rsid w:val="00821F3E"/>
    <w:rsid w:val="00821F69"/>
    <w:rsid w:val="00821F75"/>
    <w:rsid w:val="0082200A"/>
    <w:rsid w:val="00822037"/>
    <w:rsid w:val="00822094"/>
    <w:rsid w:val="00822098"/>
    <w:rsid w:val="008220F3"/>
    <w:rsid w:val="008220F9"/>
    <w:rsid w:val="00822101"/>
    <w:rsid w:val="0082210C"/>
    <w:rsid w:val="0082212E"/>
    <w:rsid w:val="0082213A"/>
    <w:rsid w:val="00822170"/>
    <w:rsid w:val="008221C7"/>
    <w:rsid w:val="00822220"/>
    <w:rsid w:val="0082224F"/>
    <w:rsid w:val="00822298"/>
    <w:rsid w:val="008222BF"/>
    <w:rsid w:val="00822305"/>
    <w:rsid w:val="00822399"/>
    <w:rsid w:val="008223C8"/>
    <w:rsid w:val="008223D8"/>
    <w:rsid w:val="008223DA"/>
    <w:rsid w:val="00822452"/>
    <w:rsid w:val="0082248F"/>
    <w:rsid w:val="008224D4"/>
    <w:rsid w:val="0082252E"/>
    <w:rsid w:val="0082253C"/>
    <w:rsid w:val="0082265C"/>
    <w:rsid w:val="00822674"/>
    <w:rsid w:val="008226BE"/>
    <w:rsid w:val="008226C1"/>
    <w:rsid w:val="008226E9"/>
    <w:rsid w:val="0082270E"/>
    <w:rsid w:val="0082271B"/>
    <w:rsid w:val="00822753"/>
    <w:rsid w:val="0082275E"/>
    <w:rsid w:val="0082277B"/>
    <w:rsid w:val="00822793"/>
    <w:rsid w:val="00822795"/>
    <w:rsid w:val="00822857"/>
    <w:rsid w:val="008228AC"/>
    <w:rsid w:val="0082293E"/>
    <w:rsid w:val="0082295E"/>
    <w:rsid w:val="00822980"/>
    <w:rsid w:val="0082298C"/>
    <w:rsid w:val="008229D4"/>
    <w:rsid w:val="008229E6"/>
    <w:rsid w:val="008229EC"/>
    <w:rsid w:val="00822A0E"/>
    <w:rsid w:val="00822A54"/>
    <w:rsid w:val="00822A7A"/>
    <w:rsid w:val="00822BC8"/>
    <w:rsid w:val="00822C3F"/>
    <w:rsid w:val="00822C63"/>
    <w:rsid w:val="00822C80"/>
    <w:rsid w:val="00822CF2"/>
    <w:rsid w:val="00822D5F"/>
    <w:rsid w:val="00822D82"/>
    <w:rsid w:val="00822D98"/>
    <w:rsid w:val="00822DBE"/>
    <w:rsid w:val="00822DF3"/>
    <w:rsid w:val="00822E11"/>
    <w:rsid w:val="00822E14"/>
    <w:rsid w:val="00822E1E"/>
    <w:rsid w:val="00822E32"/>
    <w:rsid w:val="00822E59"/>
    <w:rsid w:val="00822EAC"/>
    <w:rsid w:val="00822EC3"/>
    <w:rsid w:val="00822EE0"/>
    <w:rsid w:val="00822F4E"/>
    <w:rsid w:val="00822FB8"/>
    <w:rsid w:val="00822FCC"/>
    <w:rsid w:val="00823062"/>
    <w:rsid w:val="00823068"/>
    <w:rsid w:val="0082310E"/>
    <w:rsid w:val="00823233"/>
    <w:rsid w:val="0082326C"/>
    <w:rsid w:val="008232F2"/>
    <w:rsid w:val="00823367"/>
    <w:rsid w:val="00823376"/>
    <w:rsid w:val="00823387"/>
    <w:rsid w:val="008233D9"/>
    <w:rsid w:val="008233DE"/>
    <w:rsid w:val="0082343D"/>
    <w:rsid w:val="0082347E"/>
    <w:rsid w:val="008234E1"/>
    <w:rsid w:val="008234F6"/>
    <w:rsid w:val="0082350E"/>
    <w:rsid w:val="00823520"/>
    <w:rsid w:val="00823569"/>
    <w:rsid w:val="0082356B"/>
    <w:rsid w:val="00823574"/>
    <w:rsid w:val="00823585"/>
    <w:rsid w:val="0082358C"/>
    <w:rsid w:val="008235F3"/>
    <w:rsid w:val="0082363F"/>
    <w:rsid w:val="00823690"/>
    <w:rsid w:val="00823731"/>
    <w:rsid w:val="008237E5"/>
    <w:rsid w:val="0082386F"/>
    <w:rsid w:val="00823887"/>
    <w:rsid w:val="0082388E"/>
    <w:rsid w:val="0082389A"/>
    <w:rsid w:val="008238C7"/>
    <w:rsid w:val="008238E5"/>
    <w:rsid w:val="008238F9"/>
    <w:rsid w:val="00823940"/>
    <w:rsid w:val="00823990"/>
    <w:rsid w:val="00823A01"/>
    <w:rsid w:val="00823A0A"/>
    <w:rsid w:val="00823A7F"/>
    <w:rsid w:val="00823B48"/>
    <w:rsid w:val="00823B94"/>
    <w:rsid w:val="00823BE6"/>
    <w:rsid w:val="00823C40"/>
    <w:rsid w:val="00823C8A"/>
    <w:rsid w:val="00823D07"/>
    <w:rsid w:val="00823D36"/>
    <w:rsid w:val="00823DA9"/>
    <w:rsid w:val="00823DEC"/>
    <w:rsid w:val="00823E14"/>
    <w:rsid w:val="00823E36"/>
    <w:rsid w:val="00823E55"/>
    <w:rsid w:val="00823E7E"/>
    <w:rsid w:val="00823EA5"/>
    <w:rsid w:val="00823EC7"/>
    <w:rsid w:val="00823F45"/>
    <w:rsid w:val="00823F7F"/>
    <w:rsid w:val="00823FA9"/>
    <w:rsid w:val="00824021"/>
    <w:rsid w:val="0082403D"/>
    <w:rsid w:val="00824046"/>
    <w:rsid w:val="0082405C"/>
    <w:rsid w:val="00824072"/>
    <w:rsid w:val="00824092"/>
    <w:rsid w:val="008240F6"/>
    <w:rsid w:val="00824157"/>
    <w:rsid w:val="00824158"/>
    <w:rsid w:val="00824169"/>
    <w:rsid w:val="008241B8"/>
    <w:rsid w:val="008241BA"/>
    <w:rsid w:val="008241F2"/>
    <w:rsid w:val="00824245"/>
    <w:rsid w:val="00824298"/>
    <w:rsid w:val="00824382"/>
    <w:rsid w:val="008243DC"/>
    <w:rsid w:val="00824401"/>
    <w:rsid w:val="0082442B"/>
    <w:rsid w:val="0082443B"/>
    <w:rsid w:val="00824446"/>
    <w:rsid w:val="0082445F"/>
    <w:rsid w:val="00824464"/>
    <w:rsid w:val="00824489"/>
    <w:rsid w:val="008244E4"/>
    <w:rsid w:val="0082451B"/>
    <w:rsid w:val="0082454E"/>
    <w:rsid w:val="0082458E"/>
    <w:rsid w:val="008245B6"/>
    <w:rsid w:val="00824669"/>
    <w:rsid w:val="00824690"/>
    <w:rsid w:val="0082472C"/>
    <w:rsid w:val="0082482F"/>
    <w:rsid w:val="0082483A"/>
    <w:rsid w:val="0082483C"/>
    <w:rsid w:val="0082484C"/>
    <w:rsid w:val="00824862"/>
    <w:rsid w:val="00824896"/>
    <w:rsid w:val="008248A4"/>
    <w:rsid w:val="008248CB"/>
    <w:rsid w:val="008248E6"/>
    <w:rsid w:val="00824956"/>
    <w:rsid w:val="0082497F"/>
    <w:rsid w:val="008249DD"/>
    <w:rsid w:val="00824A66"/>
    <w:rsid w:val="00824A88"/>
    <w:rsid w:val="00824A90"/>
    <w:rsid w:val="00824AB6"/>
    <w:rsid w:val="00824B60"/>
    <w:rsid w:val="00824BF5"/>
    <w:rsid w:val="00824C06"/>
    <w:rsid w:val="00824C92"/>
    <w:rsid w:val="00824C96"/>
    <w:rsid w:val="00824D14"/>
    <w:rsid w:val="00824D22"/>
    <w:rsid w:val="00824D5C"/>
    <w:rsid w:val="00824DAB"/>
    <w:rsid w:val="00824E1C"/>
    <w:rsid w:val="00824E22"/>
    <w:rsid w:val="00824E5F"/>
    <w:rsid w:val="00824E65"/>
    <w:rsid w:val="00824EB3"/>
    <w:rsid w:val="00824F13"/>
    <w:rsid w:val="00824F1E"/>
    <w:rsid w:val="00825036"/>
    <w:rsid w:val="0082507E"/>
    <w:rsid w:val="00825092"/>
    <w:rsid w:val="008250C5"/>
    <w:rsid w:val="008250F3"/>
    <w:rsid w:val="00825128"/>
    <w:rsid w:val="0082512D"/>
    <w:rsid w:val="00825176"/>
    <w:rsid w:val="00825202"/>
    <w:rsid w:val="0082525C"/>
    <w:rsid w:val="0082526A"/>
    <w:rsid w:val="0082528B"/>
    <w:rsid w:val="008252AA"/>
    <w:rsid w:val="008253B9"/>
    <w:rsid w:val="008253D3"/>
    <w:rsid w:val="008253E4"/>
    <w:rsid w:val="008253FE"/>
    <w:rsid w:val="00825418"/>
    <w:rsid w:val="00825472"/>
    <w:rsid w:val="00825483"/>
    <w:rsid w:val="008254A8"/>
    <w:rsid w:val="008254A9"/>
    <w:rsid w:val="0082554F"/>
    <w:rsid w:val="00825558"/>
    <w:rsid w:val="00825585"/>
    <w:rsid w:val="00825591"/>
    <w:rsid w:val="008255A7"/>
    <w:rsid w:val="0082560E"/>
    <w:rsid w:val="00825612"/>
    <w:rsid w:val="00825613"/>
    <w:rsid w:val="00825635"/>
    <w:rsid w:val="0082564D"/>
    <w:rsid w:val="008256B8"/>
    <w:rsid w:val="00825722"/>
    <w:rsid w:val="0082575A"/>
    <w:rsid w:val="00825767"/>
    <w:rsid w:val="0082578C"/>
    <w:rsid w:val="008258E6"/>
    <w:rsid w:val="00825929"/>
    <w:rsid w:val="00825948"/>
    <w:rsid w:val="0082597A"/>
    <w:rsid w:val="008259E6"/>
    <w:rsid w:val="008259EE"/>
    <w:rsid w:val="00825AB3"/>
    <w:rsid w:val="00825B80"/>
    <w:rsid w:val="00825B9A"/>
    <w:rsid w:val="00825BB5"/>
    <w:rsid w:val="00825BC0"/>
    <w:rsid w:val="00825BFA"/>
    <w:rsid w:val="00825BFF"/>
    <w:rsid w:val="00825C0C"/>
    <w:rsid w:val="00825C26"/>
    <w:rsid w:val="00825D0F"/>
    <w:rsid w:val="00825D2A"/>
    <w:rsid w:val="00825D5B"/>
    <w:rsid w:val="00825D7B"/>
    <w:rsid w:val="00825D9A"/>
    <w:rsid w:val="00825D9D"/>
    <w:rsid w:val="00825DF7"/>
    <w:rsid w:val="00825E34"/>
    <w:rsid w:val="00825E3B"/>
    <w:rsid w:val="00825E5E"/>
    <w:rsid w:val="00825EFF"/>
    <w:rsid w:val="00825F14"/>
    <w:rsid w:val="00825F20"/>
    <w:rsid w:val="00825F8E"/>
    <w:rsid w:val="00826008"/>
    <w:rsid w:val="00826065"/>
    <w:rsid w:val="00826080"/>
    <w:rsid w:val="008260D1"/>
    <w:rsid w:val="00826106"/>
    <w:rsid w:val="00826125"/>
    <w:rsid w:val="008261B3"/>
    <w:rsid w:val="008261F3"/>
    <w:rsid w:val="00826212"/>
    <w:rsid w:val="00826215"/>
    <w:rsid w:val="00826239"/>
    <w:rsid w:val="0082623E"/>
    <w:rsid w:val="0082628B"/>
    <w:rsid w:val="0082631D"/>
    <w:rsid w:val="00826398"/>
    <w:rsid w:val="0082639B"/>
    <w:rsid w:val="008263A4"/>
    <w:rsid w:val="00826463"/>
    <w:rsid w:val="0082646B"/>
    <w:rsid w:val="00826478"/>
    <w:rsid w:val="008264D7"/>
    <w:rsid w:val="00826510"/>
    <w:rsid w:val="00826518"/>
    <w:rsid w:val="00826604"/>
    <w:rsid w:val="0082662E"/>
    <w:rsid w:val="008266A2"/>
    <w:rsid w:val="008266DE"/>
    <w:rsid w:val="0082670F"/>
    <w:rsid w:val="0082671E"/>
    <w:rsid w:val="008267BE"/>
    <w:rsid w:val="00826811"/>
    <w:rsid w:val="00826847"/>
    <w:rsid w:val="00826897"/>
    <w:rsid w:val="0082689E"/>
    <w:rsid w:val="008268BF"/>
    <w:rsid w:val="008268F3"/>
    <w:rsid w:val="0082693E"/>
    <w:rsid w:val="008269B7"/>
    <w:rsid w:val="00826A11"/>
    <w:rsid w:val="00826A22"/>
    <w:rsid w:val="00826A2B"/>
    <w:rsid w:val="00826A8B"/>
    <w:rsid w:val="00826AA7"/>
    <w:rsid w:val="00826AAB"/>
    <w:rsid w:val="00826ACD"/>
    <w:rsid w:val="00826ACF"/>
    <w:rsid w:val="00826B97"/>
    <w:rsid w:val="00826BD9"/>
    <w:rsid w:val="00826BF3"/>
    <w:rsid w:val="00826CB8"/>
    <w:rsid w:val="00826D42"/>
    <w:rsid w:val="00826D4F"/>
    <w:rsid w:val="00826D54"/>
    <w:rsid w:val="00826D6F"/>
    <w:rsid w:val="00826D8E"/>
    <w:rsid w:val="00826E37"/>
    <w:rsid w:val="00826E65"/>
    <w:rsid w:val="00826E82"/>
    <w:rsid w:val="00826EE4"/>
    <w:rsid w:val="00826F12"/>
    <w:rsid w:val="00826F79"/>
    <w:rsid w:val="00826F9E"/>
    <w:rsid w:val="00826FD9"/>
    <w:rsid w:val="00827026"/>
    <w:rsid w:val="00827063"/>
    <w:rsid w:val="00827089"/>
    <w:rsid w:val="0082711E"/>
    <w:rsid w:val="008271BE"/>
    <w:rsid w:val="008271BF"/>
    <w:rsid w:val="008271C3"/>
    <w:rsid w:val="00827276"/>
    <w:rsid w:val="008272C7"/>
    <w:rsid w:val="0082731E"/>
    <w:rsid w:val="00827353"/>
    <w:rsid w:val="00827399"/>
    <w:rsid w:val="008273B3"/>
    <w:rsid w:val="008273D6"/>
    <w:rsid w:val="008273DB"/>
    <w:rsid w:val="0082740C"/>
    <w:rsid w:val="0082747E"/>
    <w:rsid w:val="008274FC"/>
    <w:rsid w:val="00827540"/>
    <w:rsid w:val="0082756D"/>
    <w:rsid w:val="0082759A"/>
    <w:rsid w:val="008275AB"/>
    <w:rsid w:val="008275F1"/>
    <w:rsid w:val="0082762A"/>
    <w:rsid w:val="0082762C"/>
    <w:rsid w:val="0082764F"/>
    <w:rsid w:val="00827662"/>
    <w:rsid w:val="00827694"/>
    <w:rsid w:val="008276C2"/>
    <w:rsid w:val="008276EE"/>
    <w:rsid w:val="0082771D"/>
    <w:rsid w:val="00827783"/>
    <w:rsid w:val="0082781F"/>
    <w:rsid w:val="00827830"/>
    <w:rsid w:val="0082783D"/>
    <w:rsid w:val="00827841"/>
    <w:rsid w:val="00827843"/>
    <w:rsid w:val="0082785F"/>
    <w:rsid w:val="008278A5"/>
    <w:rsid w:val="008278BD"/>
    <w:rsid w:val="008278C1"/>
    <w:rsid w:val="008278D7"/>
    <w:rsid w:val="008278E6"/>
    <w:rsid w:val="008278EB"/>
    <w:rsid w:val="00827903"/>
    <w:rsid w:val="00827917"/>
    <w:rsid w:val="00827991"/>
    <w:rsid w:val="008279A3"/>
    <w:rsid w:val="00827A2B"/>
    <w:rsid w:val="00827A2E"/>
    <w:rsid w:val="00827A61"/>
    <w:rsid w:val="00827A9C"/>
    <w:rsid w:val="00827B08"/>
    <w:rsid w:val="00827B0E"/>
    <w:rsid w:val="00827B3F"/>
    <w:rsid w:val="00827BF3"/>
    <w:rsid w:val="00827BF5"/>
    <w:rsid w:val="00827C58"/>
    <w:rsid w:val="00827C98"/>
    <w:rsid w:val="00827CA3"/>
    <w:rsid w:val="00827D22"/>
    <w:rsid w:val="00827D56"/>
    <w:rsid w:val="00827DA9"/>
    <w:rsid w:val="00827DBD"/>
    <w:rsid w:val="00827DD3"/>
    <w:rsid w:val="00827DDF"/>
    <w:rsid w:val="00827DF7"/>
    <w:rsid w:val="00827DFA"/>
    <w:rsid w:val="00827E99"/>
    <w:rsid w:val="00827EB3"/>
    <w:rsid w:val="00827F35"/>
    <w:rsid w:val="00827FAB"/>
    <w:rsid w:val="00827FBC"/>
    <w:rsid w:val="00827FC5"/>
    <w:rsid w:val="0083000E"/>
    <w:rsid w:val="00830021"/>
    <w:rsid w:val="00830083"/>
    <w:rsid w:val="0083016A"/>
    <w:rsid w:val="0083016F"/>
    <w:rsid w:val="008301A8"/>
    <w:rsid w:val="008301B0"/>
    <w:rsid w:val="00830214"/>
    <w:rsid w:val="00830290"/>
    <w:rsid w:val="008302C8"/>
    <w:rsid w:val="008302ED"/>
    <w:rsid w:val="00830305"/>
    <w:rsid w:val="00830318"/>
    <w:rsid w:val="00830397"/>
    <w:rsid w:val="008303F1"/>
    <w:rsid w:val="00830424"/>
    <w:rsid w:val="00830433"/>
    <w:rsid w:val="00830496"/>
    <w:rsid w:val="008304E7"/>
    <w:rsid w:val="008304EA"/>
    <w:rsid w:val="00830618"/>
    <w:rsid w:val="00830663"/>
    <w:rsid w:val="0083069B"/>
    <w:rsid w:val="008306EC"/>
    <w:rsid w:val="008306F0"/>
    <w:rsid w:val="00830750"/>
    <w:rsid w:val="00830755"/>
    <w:rsid w:val="00830782"/>
    <w:rsid w:val="00830795"/>
    <w:rsid w:val="008307AC"/>
    <w:rsid w:val="008307AD"/>
    <w:rsid w:val="008307CF"/>
    <w:rsid w:val="00830889"/>
    <w:rsid w:val="00830894"/>
    <w:rsid w:val="008308C1"/>
    <w:rsid w:val="008308C3"/>
    <w:rsid w:val="008308D8"/>
    <w:rsid w:val="008309CB"/>
    <w:rsid w:val="00830A1F"/>
    <w:rsid w:val="00830A32"/>
    <w:rsid w:val="00830A73"/>
    <w:rsid w:val="00830A7A"/>
    <w:rsid w:val="00830A94"/>
    <w:rsid w:val="00830B32"/>
    <w:rsid w:val="00830B37"/>
    <w:rsid w:val="00830B7B"/>
    <w:rsid w:val="00830CC2"/>
    <w:rsid w:val="00830CC8"/>
    <w:rsid w:val="00830E39"/>
    <w:rsid w:val="00830E90"/>
    <w:rsid w:val="00830EC6"/>
    <w:rsid w:val="00830EDA"/>
    <w:rsid w:val="00830EDE"/>
    <w:rsid w:val="00830F46"/>
    <w:rsid w:val="00830FE7"/>
    <w:rsid w:val="00831027"/>
    <w:rsid w:val="00831039"/>
    <w:rsid w:val="00831066"/>
    <w:rsid w:val="00831079"/>
    <w:rsid w:val="008310C4"/>
    <w:rsid w:val="008310CB"/>
    <w:rsid w:val="0083110E"/>
    <w:rsid w:val="0083116C"/>
    <w:rsid w:val="00831203"/>
    <w:rsid w:val="00831207"/>
    <w:rsid w:val="00831213"/>
    <w:rsid w:val="0083126C"/>
    <w:rsid w:val="008312BB"/>
    <w:rsid w:val="008312C6"/>
    <w:rsid w:val="00831352"/>
    <w:rsid w:val="008313A8"/>
    <w:rsid w:val="00831471"/>
    <w:rsid w:val="008314A9"/>
    <w:rsid w:val="008314DD"/>
    <w:rsid w:val="008314EA"/>
    <w:rsid w:val="00831509"/>
    <w:rsid w:val="008315CD"/>
    <w:rsid w:val="008316A7"/>
    <w:rsid w:val="008316A9"/>
    <w:rsid w:val="008316CF"/>
    <w:rsid w:val="008316F4"/>
    <w:rsid w:val="00831731"/>
    <w:rsid w:val="008317CE"/>
    <w:rsid w:val="008317D8"/>
    <w:rsid w:val="008317F8"/>
    <w:rsid w:val="0083181A"/>
    <w:rsid w:val="00831833"/>
    <w:rsid w:val="008318BC"/>
    <w:rsid w:val="008318FD"/>
    <w:rsid w:val="00831909"/>
    <w:rsid w:val="00831966"/>
    <w:rsid w:val="008319B5"/>
    <w:rsid w:val="008319C4"/>
    <w:rsid w:val="00831A0B"/>
    <w:rsid w:val="00831A20"/>
    <w:rsid w:val="00831A22"/>
    <w:rsid w:val="00831A8A"/>
    <w:rsid w:val="00831A8B"/>
    <w:rsid w:val="00831A90"/>
    <w:rsid w:val="00831B03"/>
    <w:rsid w:val="00831B2F"/>
    <w:rsid w:val="00831B3B"/>
    <w:rsid w:val="00831B40"/>
    <w:rsid w:val="00831B4C"/>
    <w:rsid w:val="00831B80"/>
    <w:rsid w:val="00831BAA"/>
    <w:rsid w:val="00831BAC"/>
    <w:rsid w:val="00831C29"/>
    <w:rsid w:val="00831C87"/>
    <w:rsid w:val="00831C8F"/>
    <w:rsid w:val="00831D15"/>
    <w:rsid w:val="00831D3E"/>
    <w:rsid w:val="00831D50"/>
    <w:rsid w:val="00831D83"/>
    <w:rsid w:val="00831DF6"/>
    <w:rsid w:val="00831E19"/>
    <w:rsid w:val="00831E1D"/>
    <w:rsid w:val="00831E20"/>
    <w:rsid w:val="00831E27"/>
    <w:rsid w:val="00831EAA"/>
    <w:rsid w:val="00831F12"/>
    <w:rsid w:val="00831FA6"/>
    <w:rsid w:val="00832046"/>
    <w:rsid w:val="00832079"/>
    <w:rsid w:val="008320C9"/>
    <w:rsid w:val="00832104"/>
    <w:rsid w:val="008321CB"/>
    <w:rsid w:val="0083224D"/>
    <w:rsid w:val="0083229F"/>
    <w:rsid w:val="008322C9"/>
    <w:rsid w:val="008322E3"/>
    <w:rsid w:val="0083239C"/>
    <w:rsid w:val="008323CA"/>
    <w:rsid w:val="008323E0"/>
    <w:rsid w:val="00832448"/>
    <w:rsid w:val="0083244C"/>
    <w:rsid w:val="00832460"/>
    <w:rsid w:val="008324AB"/>
    <w:rsid w:val="008324E6"/>
    <w:rsid w:val="00832523"/>
    <w:rsid w:val="00832573"/>
    <w:rsid w:val="0083258E"/>
    <w:rsid w:val="0083258F"/>
    <w:rsid w:val="008325B2"/>
    <w:rsid w:val="008325E7"/>
    <w:rsid w:val="008326BD"/>
    <w:rsid w:val="008326F3"/>
    <w:rsid w:val="008326F4"/>
    <w:rsid w:val="00832705"/>
    <w:rsid w:val="00832737"/>
    <w:rsid w:val="0083275F"/>
    <w:rsid w:val="0083279A"/>
    <w:rsid w:val="0083279E"/>
    <w:rsid w:val="008327D2"/>
    <w:rsid w:val="0083281F"/>
    <w:rsid w:val="00832821"/>
    <w:rsid w:val="00832826"/>
    <w:rsid w:val="00832859"/>
    <w:rsid w:val="00832945"/>
    <w:rsid w:val="0083295A"/>
    <w:rsid w:val="00832976"/>
    <w:rsid w:val="00832986"/>
    <w:rsid w:val="0083299F"/>
    <w:rsid w:val="008329EF"/>
    <w:rsid w:val="00832A01"/>
    <w:rsid w:val="00832A3C"/>
    <w:rsid w:val="00832A5E"/>
    <w:rsid w:val="00832A85"/>
    <w:rsid w:val="00832AA7"/>
    <w:rsid w:val="00832B60"/>
    <w:rsid w:val="00832B62"/>
    <w:rsid w:val="00832B8C"/>
    <w:rsid w:val="00832C25"/>
    <w:rsid w:val="00832C28"/>
    <w:rsid w:val="00832C3D"/>
    <w:rsid w:val="00832C59"/>
    <w:rsid w:val="00832CED"/>
    <w:rsid w:val="00832CF1"/>
    <w:rsid w:val="00832D10"/>
    <w:rsid w:val="00832D91"/>
    <w:rsid w:val="00832DBE"/>
    <w:rsid w:val="00832E39"/>
    <w:rsid w:val="00832E51"/>
    <w:rsid w:val="00832ED2"/>
    <w:rsid w:val="00832F2B"/>
    <w:rsid w:val="00832F6D"/>
    <w:rsid w:val="00832F7C"/>
    <w:rsid w:val="00832F94"/>
    <w:rsid w:val="00832F9E"/>
    <w:rsid w:val="00832FA8"/>
    <w:rsid w:val="0083305B"/>
    <w:rsid w:val="00833098"/>
    <w:rsid w:val="00833122"/>
    <w:rsid w:val="0083318D"/>
    <w:rsid w:val="008331E5"/>
    <w:rsid w:val="0083321C"/>
    <w:rsid w:val="00833220"/>
    <w:rsid w:val="008332E0"/>
    <w:rsid w:val="008332F4"/>
    <w:rsid w:val="008332F7"/>
    <w:rsid w:val="00833328"/>
    <w:rsid w:val="008333B6"/>
    <w:rsid w:val="008333D3"/>
    <w:rsid w:val="008333FC"/>
    <w:rsid w:val="00833404"/>
    <w:rsid w:val="0083343F"/>
    <w:rsid w:val="00833492"/>
    <w:rsid w:val="00833493"/>
    <w:rsid w:val="0083349F"/>
    <w:rsid w:val="008334D0"/>
    <w:rsid w:val="0083350F"/>
    <w:rsid w:val="00833531"/>
    <w:rsid w:val="0083358F"/>
    <w:rsid w:val="008335B8"/>
    <w:rsid w:val="008335F6"/>
    <w:rsid w:val="00833609"/>
    <w:rsid w:val="00833612"/>
    <w:rsid w:val="00833615"/>
    <w:rsid w:val="00833617"/>
    <w:rsid w:val="00833643"/>
    <w:rsid w:val="0083364E"/>
    <w:rsid w:val="00833659"/>
    <w:rsid w:val="00833689"/>
    <w:rsid w:val="008336C1"/>
    <w:rsid w:val="00833704"/>
    <w:rsid w:val="00833725"/>
    <w:rsid w:val="008337AF"/>
    <w:rsid w:val="00833884"/>
    <w:rsid w:val="00833899"/>
    <w:rsid w:val="0083397D"/>
    <w:rsid w:val="00833993"/>
    <w:rsid w:val="008339F1"/>
    <w:rsid w:val="00833A09"/>
    <w:rsid w:val="00833A3B"/>
    <w:rsid w:val="00833A4D"/>
    <w:rsid w:val="00833A9C"/>
    <w:rsid w:val="00833AF7"/>
    <w:rsid w:val="00833AFA"/>
    <w:rsid w:val="00833B4D"/>
    <w:rsid w:val="00833B57"/>
    <w:rsid w:val="00833B72"/>
    <w:rsid w:val="00833BC5"/>
    <w:rsid w:val="00833BD8"/>
    <w:rsid w:val="00833C93"/>
    <w:rsid w:val="00833CA9"/>
    <w:rsid w:val="00833D03"/>
    <w:rsid w:val="00833DA5"/>
    <w:rsid w:val="00833DEB"/>
    <w:rsid w:val="00833E39"/>
    <w:rsid w:val="00833E42"/>
    <w:rsid w:val="00833E4F"/>
    <w:rsid w:val="00833E85"/>
    <w:rsid w:val="00833E90"/>
    <w:rsid w:val="00833E92"/>
    <w:rsid w:val="00833EFA"/>
    <w:rsid w:val="00833F26"/>
    <w:rsid w:val="00833F74"/>
    <w:rsid w:val="00833FBB"/>
    <w:rsid w:val="00833FDE"/>
    <w:rsid w:val="00833FE9"/>
    <w:rsid w:val="0083400E"/>
    <w:rsid w:val="0083407C"/>
    <w:rsid w:val="008340A7"/>
    <w:rsid w:val="008340CF"/>
    <w:rsid w:val="008340DC"/>
    <w:rsid w:val="0083412A"/>
    <w:rsid w:val="00834150"/>
    <w:rsid w:val="00834161"/>
    <w:rsid w:val="008341CE"/>
    <w:rsid w:val="00834205"/>
    <w:rsid w:val="00834212"/>
    <w:rsid w:val="0083424A"/>
    <w:rsid w:val="00834254"/>
    <w:rsid w:val="00834294"/>
    <w:rsid w:val="008342DB"/>
    <w:rsid w:val="00834306"/>
    <w:rsid w:val="00834342"/>
    <w:rsid w:val="008343B9"/>
    <w:rsid w:val="008343D1"/>
    <w:rsid w:val="008343DD"/>
    <w:rsid w:val="008343DF"/>
    <w:rsid w:val="0083444D"/>
    <w:rsid w:val="00834469"/>
    <w:rsid w:val="00834478"/>
    <w:rsid w:val="00834561"/>
    <w:rsid w:val="00834571"/>
    <w:rsid w:val="00834588"/>
    <w:rsid w:val="0083458E"/>
    <w:rsid w:val="008345E2"/>
    <w:rsid w:val="00834639"/>
    <w:rsid w:val="0083463A"/>
    <w:rsid w:val="00834651"/>
    <w:rsid w:val="00834703"/>
    <w:rsid w:val="00834751"/>
    <w:rsid w:val="008347C8"/>
    <w:rsid w:val="008347D1"/>
    <w:rsid w:val="00834820"/>
    <w:rsid w:val="00834887"/>
    <w:rsid w:val="008348B5"/>
    <w:rsid w:val="00834945"/>
    <w:rsid w:val="00834982"/>
    <w:rsid w:val="008349A7"/>
    <w:rsid w:val="00834A06"/>
    <w:rsid w:val="00834A28"/>
    <w:rsid w:val="00834A74"/>
    <w:rsid w:val="00834AC6"/>
    <w:rsid w:val="00834AF8"/>
    <w:rsid w:val="00834B5D"/>
    <w:rsid w:val="00834B79"/>
    <w:rsid w:val="00834B89"/>
    <w:rsid w:val="00834BB8"/>
    <w:rsid w:val="00834BC4"/>
    <w:rsid w:val="00834BC8"/>
    <w:rsid w:val="00834C8E"/>
    <w:rsid w:val="00834C92"/>
    <w:rsid w:val="00834C9B"/>
    <w:rsid w:val="00834CA3"/>
    <w:rsid w:val="00834CD5"/>
    <w:rsid w:val="00834D0E"/>
    <w:rsid w:val="00834D25"/>
    <w:rsid w:val="00834D94"/>
    <w:rsid w:val="00834DA3"/>
    <w:rsid w:val="00834DB3"/>
    <w:rsid w:val="00834E97"/>
    <w:rsid w:val="00834EEA"/>
    <w:rsid w:val="00834EEF"/>
    <w:rsid w:val="00834F36"/>
    <w:rsid w:val="00834F66"/>
    <w:rsid w:val="00834FC8"/>
    <w:rsid w:val="00834FC9"/>
    <w:rsid w:val="00835003"/>
    <w:rsid w:val="0083500F"/>
    <w:rsid w:val="00835010"/>
    <w:rsid w:val="008350C6"/>
    <w:rsid w:val="008350E2"/>
    <w:rsid w:val="0083514F"/>
    <w:rsid w:val="00835196"/>
    <w:rsid w:val="0083519B"/>
    <w:rsid w:val="008351D8"/>
    <w:rsid w:val="008351ED"/>
    <w:rsid w:val="008352BD"/>
    <w:rsid w:val="008352CA"/>
    <w:rsid w:val="008352D2"/>
    <w:rsid w:val="0083532B"/>
    <w:rsid w:val="00835371"/>
    <w:rsid w:val="0083538E"/>
    <w:rsid w:val="00835403"/>
    <w:rsid w:val="00835404"/>
    <w:rsid w:val="0083540E"/>
    <w:rsid w:val="0083544F"/>
    <w:rsid w:val="00835457"/>
    <w:rsid w:val="0083548E"/>
    <w:rsid w:val="008354ED"/>
    <w:rsid w:val="008354FD"/>
    <w:rsid w:val="00835501"/>
    <w:rsid w:val="00835553"/>
    <w:rsid w:val="00835557"/>
    <w:rsid w:val="0083561B"/>
    <w:rsid w:val="00835630"/>
    <w:rsid w:val="008356DF"/>
    <w:rsid w:val="008356EC"/>
    <w:rsid w:val="00835715"/>
    <w:rsid w:val="0083571E"/>
    <w:rsid w:val="008357BF"/>
    <w:rsid w:val="008357F5"/>
    <w:rsid w:val="008358A4"/>
    <w:rsid w:val="00835940"/>
    <w:rsid w:val="0083596D"/>
    <w:rsid w:val="0083598C"/>
    <w:rsid w:val="008359CB"/>
    <w:rsid w:val="00835A15"/>
    <w:rsid w:val="00835A54"/>
    <w:rsid w:val="00835ABC"/>
    <w:rsid w:val="00835ACF"/>
    <w:rsid w:val="00835AEF"/>
    <w:rsid w:val="00835B26"/>
    <w:rsid w:val="00835B98"/>
    <w:rsid w:val="00835BA6"/>
    <w:rsid w:val="00835C08"/>
    <w:rsid w:val="00835C4D"/>
    <w:rsid w:val="00835C7C"/>
    <w:rsid w:val="00835C91"/>
    <w:rsid w:val="00835CCC"/>
    <w:rsid w:val="00835CD8"/>
    <w:rsid w:val="00835CF4"/>
    <w:rsid w:val="00835D8E"/>
    <w:rsid w:val="00835EDB"/>
    <w:rsid w:val="00835F08"/>
    <w:rsid w:val="00835F48"/>
    <w:rsid w:val="00835F57"/>
    <w:rsid w:val="00835F5A"/>
    <w:rsid w:val="00835FA9"/>
    <w:rsid w:val="00836070"/>
    <w:rsid w:val="0083609E"/>
    <w:rsid w:val="008360E1"/>
    <w:rsid w:val="008360F8"/>
    <w:rsid w:val="00836103"/>
    <w:rsid w:val="00836112"/>
    <w:rsid w:val="00836124"/>
    <w:rsid w:val="00836149"/>
    <w:rsid w:val="008361D7"/>
    <w:rsid w:val="008362A1"/>
    <w:rsid w:val="008362BC"/>
    <w:rsid w:val="008362CF"/>
    <w:rsid w:val="00836354"/>
    <w:rsid w:val="008363A5"/>
    <w:rsid w:val="008363F4"/>
    <w:rsid w:val="008364EC"/>
    <w:rsid w:val="00836511"/>
    <w:rsid w:val="00836539"/>
    <w:rsid w:val="0083656A"/>
    <w:rsid w:val="0083658A"/>
    <w:rsid w:val="0083658E"/>
    <w:rsid w:val="008365B3"/>
    <w:rsid w:val="0083663E"/>
    <w:rsid w:val="00836666"/>
    <w:rsid w:val="008366B5"/>
    <w:rsid w:val="008366CD"/>
    <w:rsid w:val="008366D4"/>
    <w:rsid w:val="008366E8"/>
    <w:rsid w:val="00836730"/>
    <w:rsid w:val="00836732"/>
    <w:rsid w:val="00836758"/>
    <w:rsid w:val="00836784"/>
    <w:rsid w:val="0083679C"/>
    <w:rsid w:val="008367D3"/>
    <w:rsid w:val="008367DF"/>
    <w:rsid w:val="008367F6"/>
    <w:rsid w:val="00836825"/>
    <w:rsid w:val="008368B4"/>
    <w:rsid w:val="00836922"/>
    <w:rsid w:val="0083698C"/>
    <w:rsid w:val="00836990"/>
    <w:rsid w:val="008369F2"/>
    <w:rsid w:val="00836A5A"/>
    <w:rsid w:val="00836A84"/>
    <w:rsid w:val="00836AAD"/>
    <w:rsid w:val="00836B47"/>
    <w:rsid w:val="00836B63"/>
    <w:rsid w:val="00836BBD"/>
    <w:rsid w:val="00836BCB"/>
    <w:rsid w:val="00836BFB"/>
    <w:rsid w:val="00836C0A"/>
    <w:rsid w:val="00836C1E"/>
    <w:rsid w:val="00836C50"/>
    <w:rsid w:val="00836C58"/>
    <w:rsid w:val="00836C67"/>
    <w:rsid w:val="00836C89"/>
    <w:rsid w:val="00836CB2"/>
    <w:rsid w:val="00836CBF"/>
    <w:rsid w:val="00836D1A"/>
    <w:rsid w:val="00836D5E"/>
    <w:rsid w:val="00836D68"/>
    <w:rsid w:val="00836D7C"/>
    <w:rsid w:val="00836DA3"/>
    <w:rsid w:val="00836DD0"/>
    <w:rsid w:val="00836E72"/>
    <w:rsid w:val="00836EB6"/>
    <w:rsid w:val="00836F09"/>
    <w:rsid w:val="00836F37"/>
    <w:rsid w:val="00836FD5"/>
    <w:rsid w:val="00837113"/>
    <w:rsid w:val="00837165"/>
    <w:rsid w:val="0083719E"/>
    <w:rsid w:val="008372B0"/>
    <w:rsid w:val="00837304"/>
    <w:rsid w:val="00837314"/>
    <w:rsid w:val="00837331"/>
    <w:rsid w:val="00837369"/>
    <w:rsid w:val="00837396"/>
    <w:rsid w:val="008373C5"/>
    <w:rsid w:val="008373DF"/>
    <w:rsid w:val="008374B7"/>
    <w:rsid w:val="00837540"/>
    <w:rsid w:val="00837559"/>
    <w:rsid w:val="0083755F"/>
    <w:rsid w:val="00837588"/>
    <w:rsid w:val="008375C9"/>
    <w:rsid w:val="00837614"/>
    <w:rsid w:val="00837636"/>
    <w:rsid w:val="00837664"/>
    <w:rsid w:val="00837671"/>
    <w:rsid w:val="00837681"/>
    <w:rsid w:val="008376FC"/>
    <w:rsid w:val="0083772E"/>
    <w:rsid w:val="00837798"/>
    <w:rsid w:val="0083782B"/>
    <w:rsid w:val="00837854"/>
    <w:rsid w:val="008378A3"/>
    <w:rsid w:val="008378D2"/>
    <w:rsid w:val="00837914"/>
    <w:rsid w:val="0083792D"/>
    <w:rsid w:val="00837954"/>
    <w:rsid w:val="008379DD"/>
    <w:rsid w:val="008379F9"/>
    <w:rsid w:val="00837B57"/>
    <w:rsid w:val="00837B84"/>
    <w:rsid w:val="00837B85"/>
    <w:rsid w:val="00837C04"/>
    <w:rsid w:val="00837C66"/>
    <w:rsid w:val="00837C9F"/>
    <w:rsid w:val="00837D16"/>
    <w:rsid w:val="00837D2B"/>
    <w:rsid w:val="00837D2E"/>
    <w:rsid w:val="00837D4C"/>
    <w:rsid w:val="00837D6F"/>
    <w:rsid w:val="00837DBF"/>
    <w:rsid w:val="00837DC7"/>
    <w:rsid w:val="00837E49"/>
    <w:rsid w:val="00837E4E"/>
    <w:rsid w:val="00837E89"/>
    <w:rsid w:val="00837EEC"/>
    <w:rsid w:val="00837F2C"/>
    <w:rsid w:val="00837F2E"/>
    <w:rsid w:val="00840089"/>
    <w:rsid w:val="008400D8"/>
    <w:rsid w:val="008400DE"/>
    <w:rsid w:val="008400EA"/>
    <w:rsid w:val="0084011F"/>
    <w:rsid w:val="0084016B"/>
    <w:rsid w:val="0084018F"/>
    <w:rsid w:val="008401FC"/>
    <w:rsid w:val="0084024D"/>
    <w:rsid w:val="00840252"/>
    <w:rsid w:val="00840337"/>
    <w:rsid w:val="008403B9"/>
    <w:rsid w:val="008403CA"/>
    <w:rsid w:val="008403E6"/>
    <w:rsid w:val="00840444"/>
    <w:rsid w:val="00840511"/>
    <w:rsid w:val="00840580"/>
    <w:rsid w:val="00840584"/>
    <w:rsid w:val="00840589"/>
    <w:rsid w:val="0084058F"/>
    <w:rsid w:val="008405AA"/>
    <w:rsid w:val="00840601"/>
    <w:rsid w:val="008406C4"/>
    <w:rsid w:val="008406D5"/>
    <w:rsid w:val="008406EC"/>
    <w:rsid w:val="008406F0"/>
    <w:rsid w:val="00840789"/>
    <w:rsid w:val="008407BB"/>
    <w:rsid w:val="008407D9"/>
    <w:rsid w:val="0084081C"/>
    <w:rsid w:val="00840841"/>
    <w:rsid w:val="00840881"/>
    <w:rsid w:val="008408B4"/>
    <w:rsid w:val="008408BA"/>
    <w:rsid w:val="008408DF"/>
    <w:rsid w:val="00840904"/>
    <w:rsid w:val="0084091F"/>
    <w:rsid w:val="00840932"/>
    <w:rsid w:val="008409A9"/>
    <w:rsid w:val="008409C8"/>
    <w:rsid w:val="008409EF"/>
    <w:rsid w:val="00840A30"/>
    <w:rsid w:val="00840A5E"/>
    <w:rsid w:val="00840AA5"/>
    <w:rsid w:val="00840AC8"/>
    <w:rsid w:val="00840B28"/>
    <w:rsid w:val="00840B5A"/>
    <w:rsid w:val="00840C0F"/>
    <w:rsid w:val="00840C8A"/>
    <w:rsid w:val="00840C9D"/>
    <w:rsid w:val="00840CFC"/>
    <w:rsid w:val="00840D0F"/>
    <w:rsid w:val="00840D24"/>
    <w:rsid w:val="00840D58"/>
    <w:rsid w:val="00840D6B"/>
    <w:rsid w:val="00840D7F"/>
    <w:rsid w:val="00840DED"/>
    <w:rsid w:val="00840E0D"/>
    <w:rsid w:val="00840E45"/>
    <w:rsid w:val="00840EE7"/>
    <w:rsid w:val="00840F7F"/>
    <w:rsid w:val="00840FAF"/>
    <w:rsid w:val="00841008"/>
    <w:rsid w:val="008410C9"/>
    <w:rsid w:val="00841109"/>
    <w:rsid w:val="00841165"/>
    <w:rsid w:val="0084117E"/>
    <w:rsid w:val="008411AF"/>
    <w:rsid w:val="008411DE"/>
    <w:rsid w:val="00841214"/>
    <w:rsid w:val="00841250"/>
    <w:rsid w:val="0084128F"/>
    <w:rsid w:val="00841309"/>
    <w:rsid w:val="00841379"/>
    <w:rsid w:val="0084139C"/>
    <w:rsid w:val="0084140B"/>
    <w:rsid w:val="00841494"/>
    <w:rsid w:val="008414D3"/>
    <w:rsid w:val="008414FD"/>
    <w:rsid w:val="00841519"/>
    <w:rsid w:val="00841533"/>
    <w:rsid w:val="00841564"/>
    <w:rsid w:val="008415E2"/>
    <w:rsid w:val="00841626"/>
    <w:rsid w:val="0084166A"/>
    <w:rsid w:val="0084167B"/>
    <w:rsid w:val="00841688"/>
    <w:rsid w:val="0084168C"/>
    <w:rsid w:val="008416BC"/>
    <w:rsid w:val="008417C9"/>
    <w:rsid w:val="008417F0"/>
    <w:rsid w:val="00841804"/>
    <w:rsid w:val="00841814"/>
    <w:rsid w:val="00841818"/>
    <w:rsid w:val="0084185D"/>
    <w:rsid w:val="008418A0"/>
    <w:rsid w:val="008418E0"/>
    <w:rsid w:val="00841948"/>
    <w:rsid w:val="00841961"/>
    <w:rsid w:val="00841991"/>
    <w:rsid w:val="00841A6F"/>
    <w:rsid w:val="00841B51"/>
    <w:rsid w:val="00841BF8"/>
    <w:rsid w:val="00841C38"/>
    <w:rsid w:val="00841C8E"/>
    <w:rsid w:val="00841C90"/>
    <w:rsid w:val="00841CD5"/>
    <w:rsid w:val="00841D11"/>
    <w:rsid w:val="00841D44"/>
    <w:rsid w:val="00841DE6"/>
    <w:rsid w:val="00841E26"/>
    <w:rsid w:val="00841E37"/>
    <w:rsid w:val="00841ED1"/>
    <w:rsid w:val="00841ED3"/>
    <w:rsid w:val="00841EFE"/>
    <w:rsid w:val="00841F5D"/>
    <w:rsid w:val="00841F7C"/>
    <w:rsid w:val="00841FD0"/>
    <w:rsid w:val="0084206C"/>
    <w:rsid w:val="0084207B"/>
    <w:rsid w:val="008420FB"/>
    <w:rsid w:val="00842152"/>
    <w:rsid w:val="00842165"/>
    <w:rsid w:val="00842176"/>
    <w:rsid w:val="008421DC"/>
    <w:rsid w:val="00842209"/>
    <w:rsid w:val="00842234"/>
    <w:rsid w:val="00842273"/>
    <w:rsid w:val="00842281"/>
    <w:rsid w:val="00842287"/>
    <w:rsid w:val="008422AE"/>
    <w:rsid w:val="008422D0"/>
    <w:rsid w:val="008422ED"/>
    <w:rsid w:val="008422F1"/>
    <w:rsid w:val="00842361"/>
    <w:rsid w:val="00842386"/>
    <w:rsid w:val="008423AD"/>
    <w:rsid w:val="00842407"/>
    <w:rsid w:val="00842464"/>
    <w:rsid w:val="00842483"/>
    <w:rsid w:val="00842489"/>
    <w:rsid w:val="008424F7"/>
    <w:rsid w:val="0084253B"/>
    <w:rsid w:val="00842576"/>
    <w:rsid w:val="00842642"/>
    <w:rsid w:val="0084269A"/>
    <w:rsid w:val="008426D2"/>
    <w:rsid w:val="0084273D"/>
    <w:rsid w:val="0084275C"/>
    <w:rsid w:val="0084275D"/>
    <w:rsid w:val="008427CD"/>
    <w:rsid w:val="0084285C"/>
    <w:rsid w:val="0084285F"/>
    <w:rsid w:val="008428C1"/>
    <w:rsid w:val="008428D4"/>
    <w:rsid w:val="008428EC"/>
    <w:rsid w:val="00842985"/>
    <w:rsid w:val="0084298C"/>
    <w:rsid w:val="008429B7"/>
    <w:rsid w:val="008429F6"/>
    <w:rsid w:val="00842A28"/>
    <w:rsid w:val="00842A32"/>
    <w:rsid w:val="00842A6B"/>
    <w:rsid w:val="00842A8D"/>
    <w:rsid w:val="00842A9D"/>
    <w:rsid w:val="00842ACD"/>
    <w:rsid w:val="00842AE0"/>
    <w:rsid w:val="00842B4A"/>
    <w:rsid w:val="00842BBD"/>
    <w:rsid w:val="00842BEC"/>
    <w:rsid w:val="00842C60"/>
    <w:rsid w:val="00842C96"/>
    <w:rsid w:val="00842C98"/>
    <w:rsid w:val="00842CDD"/>
    <w:rsid w:val="00842D30"/>
    <w:rsid w:val="00842DD8"/>
    <w:rsid w:val="00842EB8"/>
    <w:rsid w:val="00842F19"/>
    <w:rsid w:val="00842F49"/>
    <w:rsid w:val="00842F50"/>
    <w:rsid w:val="00842F6B"/>
    <w:rsid w:val="00842F6F"/>
    <w:rsid w:val="00842F9A"/>
    <w:rsid w:val="00842FDD"/>
    <w:rsid w:val="00843025"/>
    <w:rsid w:val="00843099"/>
    <w:rsid w:val="008430B8"/>
    <w:rsid w:val="00843110"/>
    <w:rsid w:val="00843160"/>
    <w:rsid w:val="008431D1"/>
    <w:rsid w:val="008431D9"/>
    <w:rsid w:val="008431F0"/>
    <w:rsid w:val="00843216"/>
    <w:rsid w:val="00843275"/>
    <w:rsid w:val="008432C7"/>
    <w:rsid w:val="0084338B"/>
    <w:rsid w:val="008433EC"/>
    <w:rsid w:val="00843460"/>
    <w:rsid w:val="0084348F"/>
    <w:rsid w:val="008434A2"/>
    <w:rsid w:val="008434B5"/>
    <w:rsid w:val="008434C8"/>
    <w:rsid w:val="00843592"/>
    <w:rsid w:val="008435A3"/>
    <w:rsid w:val="008435AF"/>
    <w:rsid w:val="00843688"/>
    <w:rsid w:val="0084368E"/>
    <w:rsid w:val="00843694"/>
    <w:rsid w:val="008436DC"/>
    <w:rsid w:val="0084374F"/>
    <w:rsid w:val="008437C2"/>
    <w:rsid w:val="00843805"/>
    <w:rsid w:val="0084381C"/>
    <w:rsid w:val="00843823"/>
    <w:rsid w:val="00843850"/>
    <w:rsid w:val="00843870"/>
    <w:rsid w:val="00843945"/>
    <w:rsid w:val="00843964"/>
    <w:rsid w:val="008439B2"/>
    <w:rsid w:val="008439C8"/>
    <w:rsid w:val="008439E8"/>
    <w:rsid w:val="00843A1E"/>
    <w:rsid w:val="00843A4D"/>
    <w:rsid w:val="00843A52"/>
    <w:rsid w:val="00843A5E"/>
    <w:rsid w:val="00843A87"/>
    <w:rsid w:val="00843B03"/>
    <w:rsid w:val="00843B0E"/>
    <w:rsid w:val="00843B36"/>
    <w:rsid w:val="00843BA5"/>
    <w:rsid w:val="00843BB8"/>
    <w:rsid w:val="00843C64"/>
    <w:rsid w:val="00843C88"/>
    <w:rsid w:val="00843CAD"/>
    <w:rsid w:val="00843CB1"/>
    <w:rsid w:val="00843CE8"/>
    <w:rsid w:val="00843E39"/>
    <w:rsid w:val="00843E7E"/>
    <w:rsid w:val="00843EAC"/>
    <w:rsid w:val="00843EEB"/>
    <w:rsid w:val="00843EEE"/>
    <w:rsid w:val="00843F82"/>
    <w:rsid w:val="00843F8E"/>
    <w:rsid w:val="00843FBE"/>
    <w:rsid w:val="00843FDF"/>
    <w:rsid w:val="00844016"/>
    <w:rsid w:val="00844083"/>
    <w:rsid w:val="0084408E"/>
    <w:rsid w:val="00844195"/>
    <w:rsid w:val="008441B6"/>
    <w:rsid w:val="008441B9"/>
    <w:rsid w:val="00844214"/>
    <w:rsid w:val="0084422C"/>
    <w:rsid w:val="00844263"/>
    <w:rsid w:val="00844273"/>
    <w:rsid w:val="00844278"/>
    <w:rsid w:val="008442BC"/>
    <w:rsid w:val="008442EC"/>
    <w:rsid w:val="00844300"/>
    <w:rsid w:val="00844320"/>
    <w:rsid w:val="0084432F"/>
    <w:rsid w:val="00844355"/>
    <w:rsid w:val="00844362"/>
    <w:rsid w:val="00844374"/>
    <w:rsid w:val="0084438F"/>
    <w:rsid w:val="00844398"/>
    <w:rsid w:val="0084441B"/>
    <w:rsid w:val="0084447A"/>
    <w:rsid w:val="008444B4"/>
    <w:rsid w:val="008445EF"/>
    <w:rsid w:val="00844656"/>
    <w:rsid w:val="00844668"/>
    <w:rsid w:val="00844702"/>
    <w:rsid w:val="008447BE"/>
    <w:rsid w:val="008447E9"/>
    <w:rsid w:val="00844800"/>
    <w:rsid w:val="00844850"/>
    <w:rsid w:val="008448A9"/>
    <w:rsid w:val="008448B0"/>
    <w:rsid w:val="008448C2"/>
    <w:rsid w:val="008448E6"/>
    <w:rsid w:val="0084490C"/>
    <w:rsid w:val="00844917"/>
    <w:rsid w:val="0084492A"/>
    <w:rsid w:val="0084493C"/>
    <w:rsid w:val="008449B5"/>
    <w:rsid w:val="008449EE"/>
    <w:rsid w:val="00844A3D"/>
    <w:rsid w:val="00844A5A"/>
    <w:rsid w:val="00844A97"/>
    <w:rsid w:val="00844A9A"/>
    <w:rsid w:val="00844AB1"/>
    <w:rsid w:val="00844B9C"/>
    <w:rsid w:val="00844BC2"/>
    <w:rsid w:val="00844BD2"/>
    <w:rsid w:val="00844BF2"/>
    <w:rsid w:val="00844C31"/>
    <w:rsid w:val="00844C92"/>
    <w:rsid w:val="00844CCE"/>
    <w:rsid w:val="00844CFA"/>
    <w:rsid w:val="00844D4C"/>
    <w:rsid w:val="00844D7A"/>
    <w:rsid w:val="00844D7C"/>
    <w:rsid w:val="00844DB8"/>
    <w:rsid w:val="00844DBF"/>
    <w:rsid w:val="00844DC7"/>
    <w:rsid w:val="00844E54"/>
    <w:rsid w:val="00844E6E"/>
    <w:rsid w:val="00844EE4"/>
    <w:rsid w:val="00844EE9"/>
    <w:rsid w:val="00844EFF"/>
    <w:rsid w:val="00844F21"/>
    <w:rsid w:val="00844F2F"/>
    <w:rsid w:val="00844F48"/>
    <w:rsid w:val="00844F4B"/>
    <w:rsid w:val="00844F87"/>
    <w:rsid w:val="00844F92"/>
    <w:rsid w:val="00844FA7"/>
    <w:rsid w:val="00844FCB"/>
    <w:rsid w:val="00844FD0"/>
    <w:rsid w:val="00845010"/>
    <w:rsid w:val="0084504E"/>
    <w:rsid w:val="0084505B"/>
    <w:rsid w:val="00845106"/>
    <w:rsid w:val="00845121"/>
    <w:rsid w:val="008451A8"/>
    <w:rsid w:val="0084520C"/>
    <w:rsid w:val="0084520E"/>
    <w:rsid w:val="00845256"/>
    <w:rsid w:val="0084534B"/>
    <w:rsid w:val="0084535A"/>
    <w:rsid w:val="0084535C"/>
    <w:rsid w:val="008453AD"/>
    <w:rsid w:val="008453BC"/>
    <w:rsid w:val="008453FE"/>
    <w:rsid w:val="00845458"/>
    <w:rsid w:val="0084546F"/>
    <w:rsid w:val="00845487"/>
    <w:rsid w:val="0084548C"/>
    <w:rsid w:val="008454BF"/>
    <w:rsid w:val="008454E2"/>
    <w:rsid w:val="008454F4"/>
    <w:rsid w:val="0084551F"/>
    <w:rsid w:val="00845562"/>
    <w:rsid w:val="0084556C"/>
    <w:rsid w:val="00845613"/>
    <w:rsid w:val="0084562A"/>
    <w:rsid w:val="00845643"/>
    <w:rsid w:val="0084573E"/>
    <w:rsid w:val="0084574F"/>
    <w:rsid w:val="00845784"/>
    <w:rsid w:val="00845798"/>
    <w:rsid w:val="008457BB"/>
    <w:rsid w:val="008457C5"/>
    <w:rsid w:val="008457CF"/>
    <w:rsid w:val="008457FC"/>
    <w:rsid w:val="00845889"/>
    <w:rsid w:val="008458EB"/>
    <w:rsid w:val="0084592E"/>
    <w:rsid w:val="00845937"/>
    <w:rsid w:val="00845A05"/>
    <w:rsid w:val="00845A10"/>
    <w:rsid w:val="00845A33"/>
    <w:rsid w:val="00845AF8"/>
    <w:rsid w:val="00845B2B"/>
    <w:rsid w:val="00845BE5"/>
    <w:rsid w:val="00845BF0"/>
    <w:rsid w:val="00845C18"/>
    <w:rsid w:val="00845C1E"/>
    <w:rsid w:val="00845C4E"/>
    <w:rsid w:val="00845D0E"/>
    <w:rsid w:val="00845D59"/>
    <w:rsid w:val="00845DB8"/>
    <w:rsid w:val="00845DE1"/>
    <w:rsid w:val="00845DE8"/>
    <w:rsid w:val="00845E67"/>
    <w:rsid w:val="00845E74"/>
    <w:rsid w:val="00845EC8"/>
    <w:rsid w:val="00845F0B"/>
    <w:rsid w:val="00845F16"/>
    <w:rsid w:val="00845F93"/>
    <w:rsid w:val="00845F9B"/>
    <w:rsid w:val="00845FA2"/>
    <w:rsid w:val="00845FE0"/>
    <w:rsid w:val="00845FF4"/>
    <w:rsid w:val="0084602D"/>
    <w:rsid w:val="00846035"/>
    <w:rsid w:val="00846049"/>
    <w:rsid w:val="0084609A"/>
    <w:rsid w:val="0084611B"/>
    <w:rsid w:val="008461F1"/>
    <w:rsid w:val="0084621C"/>
    <w:rsid w:val="0084621D"/>
    <w:rsid w:val="0084631D"/>
    <w:rsid w:val="00846323"/>
    <w:rsid w:val="0084634A"/>
    <w:rsid w:val="0084639E"/>
    <w:rsid w:val="008463C2"/>
    <w:rsid w:val="008463DC"/>
    <w:rsid w:val="008464A9"/>
    <w:rsid w:val="008464B3"/>
    <w:rsid w:val="0084655C"/>
    <w:rsid w:val="00846598"/>
    <w:rsid w:val="0084659E"/>
    <w:rsid w:val="0084659F"/>
    <w:rsid w:val="008465CF"/>
    <w:rsid w:val="008465D8"/>
    <w:rsid w:val="008465E7"/>
    <w:rsid w:val="00846641"/>
    <w:rsid w:val="00846684"/>
    <w:rsid w:val="008466A4"/>
    <w:rsid w:val="008466F2"/>
    <w:rsid w:val="0084670E"/>
    <w:rsid w:val="00846761"/>
    <w:rsid w:val="00846795"/>
    <w:rsid w:val="00846806"/>
    <w:rsid w:val="0084686A"/>
    <w:rsid w:val="008468D7"/>
    <w:rsid w:val="00846956"/>
    <w:rsid w:val="008469B9"/>
    <w:rsid w:val="008469F1"/>
    <w:rsid w:val="008469FB"/>
    <w:rsid w:val="008469FC"/>
    <w:rsid w:val="00846A0A"/>
    <w:rsid w:val="00846AEB"/>
    <w:rsid w:val="00846B08"/>
    <w:rsid w:val="00846B21"/>
    <w:rsid w:val="00846B29"/>
    <w:rsid w:val="00846B34"/>
    <w:rsid w:val="00846B45"/>
    <w:rsid w:val="00846B5C"/>
    <w:rsid w:val="00846BD0"/>
    <w:rsid w:val="00846C4B"/>
    <w:rsid w:val="00846C4C"/>
    <w:rsid w:val="00846C59"/>
    <w:rsid w:val="00846C8E"/>
    <w:rsid w:val="00846C90"/>
    <w:rsid w:val="00846C9B"/>
    <w:rsid w:val="00846C9E"/>
    <w:rsid w:val="00846CA9"/>
    <w:rsid w:val="00846CCE"/>
    <w:rsid w:val="00846CEB"/>
    <w:rsid w:val="00846D09"/>
    <w:rsid w:val="00846D4A"/>
    <w:rsid w:val="00846D53"/>
    <w:rsid w:val="00846D83"/>
    <w:rsid w:val="00846DE8"/>
    <w:rsid w:val="00846E1B"/>
    <w:rsid w:val="00846E57"/>
    <w:rsid w:val="00846E68"/>
    <w:rsid w:val="00846EBB"/>
    <w:rsid w:val="00846EFC"/>
    <w:rsid w:val="00846F2A"/>
    <w:rsid w:val="00846F6F"/>
    <w:rsid w:val="00846F8D"/>
    <w:rsid w:val="00846F9A"/>
    <w:rsid w:val="00847065"/>
    <w:rsid w:val="00847069"/>
    <w:rsid w:val="00847074"/>
    <w:rsid w:val="008470D4"/>
    <w:rsid w:val="008470DB"/>
    <w:rsid w:val="008470E4"/>
    <w:rsid w:val="008472BD"/>
    <w:rsid w:val="008472E5"/>
    <w:rsid w:val="008472FB"/>
    <w:rsid w:val="008473C9"/>
    <w:rsid w:val="008473D5"/>
    <w:rsid w:val="00847472"/>
    <w:rsid w:val="008474BA"/>
    <w:rsid w:val="008474CA"/>
    <w:rsid w:val="008474DF"/>
    <w:rsid w:val="00847505"/>
    <w:rsid w:val="00847524"/>
    <w:rsid w:val="00847577"/>
    <w:rsid w:val="008475D9"/>
    <w:rsid w:val="0084763D"/>
    <w:rsid w:val="00847645"/>
    <w:rsid w:val="0084764A"/>
    <w:rsid w:val="00847697"/>
    <w:rsid w:val="008476A8"/>
    <w:rsid w:val="008476E1"/>
    <w:rsid w:val="00847764"/>
    <w:rsid w:val="008477A5"/>
    <w:rsid w:val="008477AA"/>
    <w:rsid w:val="008477FC"/>
    <w:rsid w:val="0084785F"/>
    <w:rsid w:val="00847866"/>
    <w:rsid w:val="008478BB"/>
    <w:rsid w:val="008478CB"/>
    <w:rsid w:val="0084791D"/>
    <w:rsid w:val="0084791E"/>
    <w:rsid w:val="00847943"/>
    <w:rsid w:val="00847946"/>
    <w:rsid w:val="008479D5"/>
    <w:rsid w:val="00847A10"/>
    <w:rsid w:val="00847A1D"/>
    <w:rsid w:val="00847A56"/>
    <w:rsid w:val="00847B11"/>
    <w:rsid w:val="00847B22"/>
    <w:rsid w:val="00847C5B"/>
    <w:rsid w:val="00847C79"/>
    <w:rsid w:val="00847D05"/>
    <w:rsid w:val="00847D14"/>
    <w:rsid w:val="00847D19"/>
    <w:rsid w:val="00847D54"/>
    <w:rsid w:val="00847D8C"/>
    <w:rsid w:val="00847DA2"/>
    <w:rsid w:val="00847DDC"/>
    <w:rsid w:val="00847DF3"/>
    <w:rsid w:val="00847DFB"/>
    <w:rsid w:val="00847E0C"/>
    <w:rsid w:val="00847E36"/>
    <w:rsid w:val="00847E4B"/>
    <w:rsid w:val="00847E6C"/>
    <w:rsid w:val="00847EBA"/>
    <w:rsid w:val="00847EC3"/>
    <w:rsid w:val="00847F21"/>
    <w:rsid w:val="00847F25"/>
    <w:rsid w:val="00850049"/>
    <w:rsid w:val="00850109"/>
    <w:rsid w:val="0085010E"/>
    <w:rsid w:val="00850135"/>
    <w:rsid w:val="008501CF"/>
    <w:rsid w:val="008501D7"/>
    <w:rsid w:val="008501EF"/>
    <w:rsid w:val="0085029E"/>
    <w:rsid w:val="008502B0"/>
    <w:rsid w:val="00850327"/>
    <w:rsid w:val="00850419"/>
    <w:rsid w:val="0085044C"/>
    <w:rsid w:val="008504BB"/>
    <w:rsid w:val="008504E4"/>
    <w:rsid w:val="0085053F"/>
    <w:rsid w:val="0085054C"/>
    <w:rsid w:val="0085054F"/>
    <w:rsid w:val="008505B5"/>
    <w:rsid w:val="008505C7"/>
    <w:rsid w:val="008505CE"/>
    <w:rsid w:val="008505EB"/>
    <w:rsid w:val="0085063C"/>
    <w:rsid w:val="0085064B"/>
    <w:rsid w:val="008506C1"/>
    <w:rsid w:val="008506DB"/>
    <w:rsid w:val="00850734"/>
    <w:rsid w:val="0085077E"/>
    <w:rsid w:val="0085078D"/>
    <w:rsid w:val="008507BA"/>
    <w:rsid w:val="008507C9"/>
    <w:rsid w:val="00850852"/>
    <w:rsid w:val="00850880"/>
    <w:rsid w:val="008508A5"/>
    <w:rsid w:val="008508AD"/>
    <w:rsid w:val="008508EA"/>
    <w:rsid w:val="0085091B"/>
    <w:rsid w:val="008509AF"/>
    <w:rsid w:val="008509C2"/>
    <w:rsid w:val="008509CE"/>
    <w:rsid w:val="008509D3"/>
    <w:rsid w:val="008509EE"/>
    <w:rsid w:val="00850AA1"/>
    <w:rsid w:val="00850AB3"/>
    <w:rsid w:val="00850BB3"/>
    <w:rsid w:val="00850BF4"/>
    <w:rsid w:val="00850C2E"/>
    <w:rsid w:val="00850C38"/>
    <w:rsid w:val="00850C8A"/>
    <w:rsid w:val="00850CAD"/>
    <w:rsid w:val="00850CCC"/>
    <w:rsid w:val="00850D04"/>
    <w:rsid w:val="00850E78"/>
    <w:rsid w:val="00850E97"/>
    <w:rsid w:val="00850ED6"/>
    <w:rsid w:val="00850F3D"/>
    <w:rsid w:val="00850F7A"/>
    <w:rsid w:val="00850F85"/>
    <w:rsid w:val="0085101D"/>
    <w:rsid w:val="0085105F"/>
    <w:rsid w:val="0085107A"/>
    <w:rsid w:val="0085108E"/>
    <w:rsid w:val="008510AC"/>
    <w:rsid w:val="0085117C"/>
    <w:rsid w:val="00851194"/>
    <w:rsid w:val="008511A0"/>
    <w:rsid w:val="008511A1"/>
    <w:rsid w:val="008511BF"/>
    <w:rsid w:val="008511C1"/>
    <w:rsid w:val="008511DB"/>
    <w:rsid w:val="0085125F"/>
    <w:rsid w:val="00851280"/>
    <w:rsid w:val="00851291"/>
    <w:rsid w:val="008512AF"/>
    <w:rsid w:val="008512C8"/>
    <w:rsid w:val="008512F3"/>
    <w:rsid w:val="0085133F"/>
    <w:rsid w:val="00851356"/>
    <w:rsid w:val="00851370"/>
    <w:rsid w:val="00851383"/>
    <w:rsid w:val="00851391"/>
    <w:rsid w:val="008513D8"/>
    <w:rsid w:val="008513F3"/>
    <w:rsid w:val="0085140A"/>
    <w:rsid w:val="0085141A"/>
    <w:rsid w:val="0085141F"/>
    <w:rsid w:val="0085143A"/>
    <w:rsid w:val="008514D6"/>
    <w:rsid w:val="00851550"/>
    <w:rsid w:val="00851599"/>
    <w:rsid w:val="008515AF"/>
    <w:rsid w:val="008515B6"/>
    <w:rsid w:val="008515BD"/>
    <w:rsid w:val="008515D0"/>
    <w:rsid w:val="00851628"/>
    <w:rsid w:val="00851699"/>
    <w:rsid w:val="00851711"/>
    <w:rsid w:val="00851720"/>
    <w:rsid w:val="00851752"/>
    <w:rsid w:val="0085176D"/>
    <w:rsid w:val="008517A2"/>
    <w:rsid w:val="0085184A"/>
    <w:rsid w:val="00851875"/>
    <w:rsid w:val="008518E0"/>
    <w:rsid w:val="0085193C"/>
    <w:rsid w:val="00851961"/>
    <w:rsid w:val="00851975"/>
    <w:rsid w:val="0085198F"/>
    <w:rsid w:val="008519B3"/>
    <w:rsid w:val="008519C7"/>
    <w:rsid w:val="00851A00"/>
    <w:rsid w:val="00851A2E"/>
    <w:rsid w:val="00851A81"/>
    <w:rsid w:val="00851B33"/>
    <w:rsid w:val="00851B37"/>
    <w:rsid w:val="00851B52"/>
    <w:rsid w:val="00851B93"/>
    <w:rsid w:val="00851BCC"/>
    <w:rsid w:val="00851BDA"/>
    <w:rsid w:val="00851C02"/>
    <w:rsid w:val="00851C30"/>
    <w:rsid w:val="00851C82"/>
    <w:rsid w:val="00851CC7"/>
    <w:rsid w:val="00851D01"/>
    <w:rsid w:val="00851D0E"/>
    <w:rsid w:val="00851D1E"/>
    <w:rsid w:val="00851D33"/>
    <w:rsid w:val="00851D3A"/>
    <w:rsid w:val="00851D3B"/>
    <w:rsid w:val="00851D41"/>
    <w:rsid w:val="00851D72"/>
    <w:rsid w:val="00851D78"/>
    <w:rsid w:val="00851DA4"/>
    <w:rsid w:val="00851E0A"/>
    <w:rsid w:val="00851E15"/>
    <w:rsid w:val="00851E84"/>
    <w:rsid w:val="00851EA6"/>
    <w:rsid w:val="00851EE3"/>
    <w:rsid w:val="00851EEB"/>
    <w:rsid w:val="00851F20"/>
    <w:rsid w:val="00851FBA"/>
    <w:rsid w:val="00851FBB"/>
    <w:rsid w:val="00851FC7"/>
    <w:rsid w:val="00851FFB"/>
    <w:rsid w:val="0085203D"/>
    <w:rsid w:val="00852041"/>
    <w:rsid w:val="00852074"/>
    <w:rsid w:val="00852077"/>
    <w:rsid w:val="008520BF"/>
    <w:rsid w:val="008520D2"/>
    <w:rsid w:val="008520F0"/>
    <w:rsid w:val="0085214E"/>
    <w:rsid w:val="00852228"/>
    <w:rsid w:val="00852261"/>
    <w:rsid w:val="00852279"/>
    <w:rsid w:val="008522A6"/>
    <w:rsid w:val="008522E7"/>
    <w:rsid w:val="008522F2"/>
    <w:rsid w:val="0085231B"/>
    <w:rsid w:val="00852326"/>
    <w:rsid w:val="0085234C"/>
    <w:rsid w:val="00852384"/>
    <w:rsid w:val="00852390"/>
    <w:rsid w:val="008523B8"/>
    <w:rsid w:val="00852434"/>
    <w:rsid w:val="00852448"/>
    <w:rsid w:val="0085246C"/>
    <w:rsid w:val="00852547"/>
    <w:rsid w:val="0085255E"/>
    <w:rsid w:val="00852565"/>
    <w:rsid w:val="00852572"/>
    <w:rsid w:val="008525E1"/>
    <w:rsid w:val="00852607"/>
    <w:rsid w:val="0085261D"/>
    <w:rsid w:val="00852637"/>
    <w:rsid w:val="00852644"/>
    <w:rsid w:val="0085267A"/>
    <w:rsid w:val="008526BA"/>
    <w:rsid w:val="008526D9"/>
    <w:rsid w:val="00852735"/>
    <w:rsid w:val="00852739"/>
    <w:rsid w:val="0085276E"/>
    <w:rsid w:val="00852770"/>
    <w:rsid w:val="0085278A"/>
    <w:rsid w:val="008527E7"/>
    <w:rsid w:val="00852818"/>
    <w:rsid w:val="0085283B"/>
    <w:rsid w:val="0085287F"/>
    <w:rsid w:val="0085290E"/>
    <w:rsid w:val="0085293F"/>
    <w:rsid w:val="0085297C"/>
    <w:rsid w:val="00852981"/>
    <w:rsid w:val="008529B3"/>
    <w:rsid w:val="008529C2"/>
    <w:rsid w:val="00852A4A"/>
    <w:rsid w:val="00852A9B"/>
    <w:rsid w:val="00852AA8"/>
    <w:rsid w:val="00852B1B"/>
    <w:rsid w:val="00852B31"/>
    <w:rsid w:val="00852B53"/>
    <w:rsid w:val="00852BCB"/>
    <w:rsid w:val="00852C39"/>
    <w:rsid w:val="00852C67"/>
    <w:rsid w:val="00852D58"/>
    <w:rsid w:val="00852D79"/>
    <w:rsid w:val="00852DD7"/>
    <w:rsid w:val="00852ECA"/>
    <w:rsid w:val="00852ED7"/>
    <w:rsid w:val="00852ED9"/>
    <w:rsid w:val="00852EFA"/>
    <w:rsid w:val="00852F37"/>
    <w:rsid w:val="00853017"/>
    <w:rsid w:val="00853077"/>
    <w:rsid w:val="00853080"/>
    <w:rsid w:val="008530C2"/>
    <w:rsid w:val="008530D4"/>
    <w:rsid w:val="0085313A"/>
    <w:rsid w:val="008531CB"/>
    <w:rsid w:val="008531E1"/>
    <w:rsid w:val="008531EF"/>
    <w:rsid w:val="008531F0"/>
    <w:rsid w:val="00853234"/>
    <w:rsid w:val="008532C9"/>
    <w:rsid w:val="0085330B"/>
    <w:rsid w:val="00853311"/>
    <w:rsid w:val="00853399"/>
    <w:rsid w:val="008533E1"/>
    <w:rsid w:val="008533F3"/>
    <w:rsid w:val="008534D5"/>
    <w:rsid w:val="00853632"/>
    <w:rsid w:val="008536F9"/>
    <w:rsid w:val="0085378E"/>
    <w:rsid w:val="008537DD"/>
    <w:rsid w:val="008537FD"/>
    <w:rsid w:val="0085382F"/>
    <w:rsid w:val="00853849"/>
    <w:rsid w:val="0085384F"/>
    <w:rsid w:val="00853875"/>
    <w:rsid w:val="0085387E"/>
    <w:rsid w:val="008538C1"/>
    <w:rsid w:val="00853906"/>
    <w:rsid w:val="00853911"/>
    <w:rsid w:val="00853923"/>
    <w:rsid w:val="00853984"/>
    <w:rsid w:val="008539A2"/>
    <w:rsid w:val="008539CD"/>
    <w:rsid w:val="008539D7"/>
    <w:rsid w:val="008539FE"/>
    <w:rsid w:val="00853A3C"/>
    <w:rsid w:val="00853A8C"/>
    <w:rsid w:val="00853A9B"/>
    <w:rsid w:val="00853ACC"/>
    <w:rsid w:val="00853B06"/>
    <w:rsid w:val="00853B15"/>
    <w:rsid w:val="00853B69"/>
    <w:rsid w:val="00853BAC"/>
    <w:rsid w:val="00853BB0"/>
    <w:rsid w:val="00853C29"/>
    <w:rsid w:val="00853C42"/>
    <w:rsid w:val="00853C57"/>
    <w:rsid w:val="00853D58"/>
    <w:rsid w:val="00853D7F"/>
    <w:rsid w:val="00853D8A"/>
    <w:rsid w:val="00853DE1"/>
    <w:rsid w:val="00853E0E"/>
    <w:rsid w:val="00853E38"/>
    <w:rsid w:val="00853E3B"/>
    <w:rsid w:val="00853E51"/>
    <w:rsid w:val="00853E7C"/>
    <w:rsid w:val="00853EA3"/>
    <w:rsid w:val="00853EC3"/>
    <w:rsid w:val="00853ECB"/>
    <w:rsid w:val="00853FC0"/>
    <w:rsid w:val="0085405F"/>
    <w:rsid w:val="00854064"/>
    <w:rsid w:val="008540BF"/>
    <w:rsid w:val="008540DF"/>
    <w:rsid w:val="00854108"/>
    <w:rsid w:val="0085418D"/>
    <w:rsid w:val="008541A9"/>
    <w:rsid w:val="008541AB"/>
    <w:rsid w:val="008541E0"/>
    <w:rsid w:val="008541E8"/>
    <w:rsid w:val="00854278"/>
    <w:rsid w:val="0085427B"/>
    <w:rsid w:val="0085429C"/>
    <w:rsid w:val="008542B6"/>
    <w:rsid w:val="008542D8"/>
    <w:rsid w:val="00854312"/>
    <w:rsid w:val="00854360"/>
    <w:rsid w:val="0085438B"/>
    <w:rsid w:val="008543B0"/>
    <w:rsid w:val="008544F6"/>
    <w:rsid w:val="00854544"/>
    <w:rsid w:val="00854557"/>
    <w:rsid w:val="00854583"/>
    <w:rsid w:val="008545AB"/>
    <w:rsid w:val="008545BB"/>
    <w:rsid w:val="008545D7"/>
    <w:rsid w:val="00854647"/>
    <w:rsid w:val="00854690"/>
    <w:rsid w:val="008546A2"/>
    <w:rsid w:val="008546AF"/>
    <w:rsid w:val="00854745"/>
    <w:rsid w:val="0085474A"/>
    <w:rsid w:val="008547DD"/>
    <w:rsid w:val="008547EC"/>
    <w:rsid w:val="00854845"/>
    <w:rsid w:val="00854849"/>
    <w:rsid w:val="00854865"/>
    <w:rsid w:val="00854875"/>
    <w:rsid w:val="0085487B"/>
    <w:rsid w:val="00854894"/>
    <w:rsid w:val="008548C3"/>
    <w:rsid w:val="008548D7"/>
    <w:rsid w:val="00854907"/>
    <w:rsid w:val="0085492A"/>
    <w:rsid w:val="0085494B"/>
    <w:rsid w:val="0085497D"/>
    <w:rsid w:val="008549CE"/>
    <w:rsid w:val="00854A77"/>
    <w:rsid w:val="00854A89"/>
    <w:rsid w:val="00854ACD"/>
    <w:rsid w:val="00854B0A"/>
    <w:rsid w:val="00854B7B"/>
    <w:rsid w:val="00854C33"/>
    <w:rsid w:val="00854C51"/>
    <w:rsid w:val="00854C63"/>
    <w:rsid w:val="00854CC7"/>
    <w:rsid w:val="00854D1C"/>
    <w:rsid w:val="00854DC1"/>
    <w:rsid w:val="00854DD8"/>
    <w:rsid w:val="00854DEB"/>
    <w:rsid w:val="00854EAF"/>
    <w:rsid w:val="00854ED7"/>
    <w:rsid w:val="00854F14"/>
    <w:rsid w:val="00854F1F"/>
    <w:rsid w:val="00854F54"/>
    <w:rsid w:val="00854FE8"/>
    <w:rsid w:val="00854FEC"/>
    <w:rsid w:val="00854FF0"/>
    <w:rsid w:val="00855000"/>
    <w:rsid w:val="0085502A"/>
    <w:rsid w:val="0085503D"/>
    <w:rsid w:val="008550DC"/>
    <w:rsid w:val="008550E2"/>
    <w:rsid w:val="008550F4"/>
    <w:rsid w:val="0085516A"/>
    <w:rsid w:val="008551B8"/>
    <w:rsid w:val="008551CD"/>
    <w:rsid w:val="008551D5"/>
    <w:rsid w:val="0085527F"/>
    <w:rsid w:val="008552B6"/>
    <w:rsid w:val="00855319"/>
    <w:rsid w:val="00855348"/>
    <w:rsid w:val="00855362"/>
    <w:rsid w:val="00855370"/>
    <w:rsid w:val="00855390"/>
    <w:rsid w:val="008553E2"/>
    <w:rsid w:val="008553EC"/>
    <w:rsid w:val="008553F8"/>
    <w:rsid w:val="00855436"/>
    <w:rsid w:val="00855444"/>
    <w:rsid w:val="008554D8"/>
    <w:rsid w:val="0085552E"/>
    <w:rsid w:val="0085553D"/>
    <w:rsid w:val="0085555E"/>
    <w:rsid w:val="00855595"/>
    <w:rsid w:val="00855628"/>
    <w:rsid w:val="00855684"/>
    <w:rsid w:val="008556A9"/>
    <w:rsid w:val="008556E7"/>
    <w:rsid w:val="008556F2"/>
    <w:rsid w:val="00855726"/>
    <w:rsid w:val="00855786"/>
    <w:rsid w:val="00855789"/>
    <w:rsid w:val="008557EC"/>
    <w:rsid w:val="0085586E"/>
    <w:rsid w:val="00855883"/>
    <w:rsid w:val="00855886"/>
    <w:rsid w:val="008558D6"/>
    <w:rsid w:val="00855919"/>
    <w:rsid w:val="0085598A"/>
    <w:rsid w:val="008559C0"/>
    <w:rsid w:val="008559FE"/>
    <w:rsid w:val="00855A6D"/>
    <w:rsid w:val="00855A92"/>
    <w:rsid w:val="00855AAC"/>
    <w:rsid w:val="00855AF9"/>
    <w:rsid w:val="00855B29"/>
    <w:rsid w:val="00855B48"/>
    <w:rsid w:val="00855BC0"/>
    <w:rsid w:val="00855BDC"/>
    <w:rsid w:val="00855C09"/>
    <w:rsid w:val="00855CAF"/>
    <w:rsid w:val="00855CCE"/>
    <w:rsid w:val="00855D05"/>
    <w:rsid w:val="00855D44"/>
    <w:rsid w:val="00855D7F"/>
    <w:rsid w:val="00855EF3"/>
    <w:rsid w:val="00855F77"/>
    <w:rsid w:val="00855F97"/>
    <w:rsid w:val="00855FCF"/>
    <w:rsid w:val="00855FF5"/>
    <w:rsid w:val="0085605C"/>
    <w:rsid w:val="00856078"/>
    <w:rsid w:val="0085610D"/>
    <w:rsid w:val="00856124"/>
    <w:rsid w:val="008561DC"/>
    <w:rsid w:val="008561DD"/>
    <w:rsid w:val="008562B2"/>
    <w:rsid w:val="00856336"/>
    <w:rsid w:val="008563A5"/>
    <w:rsid w:val="008563AF"/>
    <w:rsid w:val="008563E7"/>
    <w:rsid w:val="008563EB"/>
    <w:rsid w:val="00856416"/>
    <w:rsid w:val="00856453"/>
    <w:rsid w:val="0085647C"/>
    <w:rsid w:val="008564CA"/>
    <w:rsid w:val="008564E1"/>
    <w:rsid w:val="0085654E"/>
    <w:rsid w:val="008565D4"/>
    <w:rsid w:val="008565EA"/>
    <w:rsid w:val="00856603"/>
    <w:rsid w:val="00856632"/>
    <w:rsid w:val="00856637"/>
    <w:rsid w:val="00856680"/>
    <w:rsid w:val="008566C6"/>
    <w:rsid w:val="00856796"/>
    <w:rsid w:val="008567AE"/>
    <w:rsid w:val="008567C9"/>
    <w:rsid w:val="00856801"/>
    <w:rsid w:val="00856819"/>
    <w:rsid w:val="00856852"/>
    <w:rsid w:val="00856855"/>
    <w:rsid w:val="008568A7"/>
    <w:rsid w:val="008568E9"/>
    <w:rsid w:val="008568F9"/>
    <w:rsid w:val="00856918"/>
    <w:rsid w:val="0085691A"/>
    <w:rsid w:val="00856964"/>
    <w:rsid w:val="00856973"/>
    <w:rsid w:val="0085697F"/>
    <w:rsid w:val="008569A0"/>
    <w:rsid w:val="00856A57"/>
    <w:rsid w:val="00856A65"/>
    <w:rsid w:val="00856AAE"/>
    <w:rsid w:val="00856ACE"/>
    <w:rsid w:val="00856BC7"/>
    <w:rsid w:val="00856C08"/>
    <w:rsid w:val="00856C15"/>
    <w:rsid w:val="00856C2C"/>
    <w:rsid w:val="00856C5A"/>
    <w:rsid w:val="00856CC9"/>
    <w:rsid w:val="00856D4F"/>
    <w:rsid w:val="00856D58"/>
    <w:rsid w:val="00856DF3"/>
    <w:rsid w:val="00856E1E"/>
    <w:rsid w:val="00856E86"/>
    <w:rsid w:val="00856EA6"/>
    <w:rsid w:val="00856EC7"/>
    <w:rsid w:val="00856EDE"/>
    <w:rsid w:val="00856F16"/>
    <w:rsid w:val="00856F35"/>
    <w:rsid w:val="00856F65"/>
    <w:rsid w:val="00856FBD"/>
    <w:rsid w:val="00857008"/>
    <w:rsid w:val="00857083"/>
    <w:rsid w:val="0085709B"/>
    <w:rsid w:val="008570BA"/>
    <w:rsid w:val="008570D2"/>
    <w:rsid w:val="00857136"/>
    <w:rsid w:val="0085717A"/>
    <w:rsid w:val="008571A8"/>
    <w:rsid w:val="0085720A"/>
    <w:rsid w:val="00857232"/>
    <w:rsid w:val="00857246"/>
    <w:rsid w:val="0085725D"/>
    <w:rsid w:val="0085726B"/>
    <w:rsid w:val="0085727E"/>
    <w:rsid w:val="00857285"/>
    <w:rsid w:val="00857292"/>
    <w:rsid w:val="00857296"/>
    <w:rsid w:val="00857297"/>
    <w:rsid w:val="008572E0"/>
    <w:rsid w:val="00857330"/>
    <w:rsid w:val="00857364"/>
    <w:rsid w:val="0085736F"/>
    <w:rsid w:val="00857429"/>
    <w:rsid w:val="00857497"/>
    <w:rsid w:val="008574A3"/>
    <w:rsid w:val="008574A7"/>
    <w:rsid w:val="008574C7"/>
    <w:rsid w:val="008574CB"/>
    <w:rsid w:val="00857502"/>
    <w:rsid w:val="00857570"/>
    <w:rsid w:val="00857575"/>
    <w:rsid w:val="008575C4"/>
    <w:rsid w:val="008575C9"/>
    <w:rsid w:val="00857642"/>
    <w:rsid w:val="00857648"/>
    <w:rsid w:val="008576DB"/>
    <w:rsid w:val="00857703"/>
    <w:rsid w:val="00857754"/>
    <w:rsid w:val="00857773"/>
    <w:rsid w:val="008577B6"/>
    <w:rsid w:val="008577C2"/>
    <w:rsid w:val="008577D5"/>
    <w:rsid w:val="00857802"/>
    <w:rsid w:val="00857864"/>
    <w:rsid w:val="008578A9"/>
    <w:rsid w:val="008578BC"/>
    <w:rsid w:val="00857940"/>
    <w:rsid w:val="0085795F"/>
    <w:rsid w:val="0085798C"/>
    <w:rsid w:val="008579AC"/>
    <w:rsid w:val="008579CE"/>
    <w:rsid w:val="008579F9"/>
    <w:rsid w:val="00857A38"/>
    <w:rsid w:val="00857A8C"/>
    <w:rsid w:val="00857AAB"/>
    <w:rsid w:val="00857AD9"/>
    <w:rsid w:val="00857AE0"/>
    <w:rsid w:val="00857AFB"/>
    <w:rsid w:val="00857B1E"/>
    <w:rsid w:val="00857B4A"/>
    <w:rsid w:val="00857B5D"/>
    <w:rsid w:val="00857BD9"/>
    <w:rsid w:val="00857BE8"/>
    <w:rsid w:val="00857CA2"/>
    <w:rsid w:val="00857CD5"/>
    <w:rsid w:val="00857D10"/>
    <w:rsid w:val="00857D61"/>
    <w:rsid w:val="00857D78"/>
    <w:rsid w:val="00857E0C"/>
    <w:rsid w:val="00857E17"/>
    <w:rsid w:val="00857E6D"/>
    <w:rsid w:val="00857EAF"/>
    <w:rsid w:val="00857EB6"/>
    <w:rsid w:val="00857EF6"/>
    <w:rsid w:val="00857F35"/>
    <w:rsid w:val="00857F7B"/>
    <w:rsid w:val="00857FA5"/>
    <w:rsid w:val="00857FB1"/>
    <w:rsid w:val="00857FDA"/>
    <w:rsid w:val="00857FF1"/>
    <w:rsid w:val="00859C3D"/>
    <w:rsid w:val="00860023"/>
    <w:rsid w:val="00860038"/>
    <w:rsid w:val="008600C9"/>
    <w:rsid w:val="00860101"/>
    <w:rsid w:val="0086011C"/>
    <w:rsid w:val="0086018C"/>
    <w:rsid w:val="008601A6"/>
    <w:rsid w:val="008601CF"/>
    <w:rsid w:val="00860253"/>
    <w:rsid w:val="008602B0"/>
    <w:rsid w:val="008602C3"/>
    <w:rsid w:val="008602E7"/>
    <w:rsid w:val="0086036F"/>
    <w:rsid w:val="00860395"/>
    <w:rsid w:val="00860446"/>
    <w:rsid w:val="0086045B"/>
    <w:rsid w:val="008604FD"/>
    <w:rsid w:val="00860573"/>
    <w:rsid w:val="00860578"/>
    <w:rsid w:val="00860590"/>
    <w:rsid w:val="00860593"/>
    <w:rsid w:val="00860614"/>
    <w:rsid w:val="00860629"/>
    <w:rsid w:val="0086065F"/>
    <w:rsid w:val="00860688"/>
    <w:rsid w:val="0086069C"/>
    <w:rsid w:val="008606E8"/>
    <w:rsid w:val="008606ED"/>
    <w:rsid w:val="008606F6"/>
    <w:rsid w:val="0086073D"/>
    <w:rsid w:val="0086074C"/>
    <w:rsid w:val="00860763"/>
    <w:rsid w:val="008607A2"/>
    <w:rsid w:val="008607A8"/>
    <w:rsid w:val="008607EB"/>
    <w:rsid w:val="0086085F"/>
    <w:rsid w:val="008608EC"/>
    <w:rsid w:val="00860918"/>
    <w:rsid w:val="0086093F"/>
    <w:rsid w:val="0086097E"/>
    <w:rsid w:val="00860A41"/>
    <w:rsid w:val="00860A72"/>
    <w:rsid w:val="00860AB2"/>
    <w:rsid w:val="00860ABD"/>
    <w:rsid w:val="00860ABE"/>
    <w:rsid w:val="00860B0E"/>
    <w:rsid w:val="00860B1F"/>
    <w:rsid w:val="00860B57"/>
    <w:rsid w:val="00860BA9"/>
    <w:rsid w:val="00860BC9"/>
    <w:rsid w:val="00860BE4"/>
    <w:rsid w:val="00860C21"/>
    <w:rsid w:val="00860C9C"/>
    <w:rsid w:val="00860CB7"/>
    <w:rsid w:val="00860CFB"/>
    <w:rsid w:val="00860CFC"/>
    <w:rsid w:val="00860D5C"/>
    <w:rsid w:val="00860DF2"/>
    <w:rsid w:val="00860E8C"/>
    <w:rsid w:val="00860E96"/>
    <w:rsid w:val="00860F44"/>
    <w:rsid w:val="00860F63"/>
    <w:rsid w:val="00860F7F"/>
    <w:rsid w:val="00860F89"/>
    <w:rsid w:val="00860FC6"/>
    <w:rsid w:val="0086101B"/>
    <w:rsid w:val="0086106B"/>
    <w:rsid w:val="00861084"/>
    <w:rsid w:val="008610B5"/>
    <w:rsid w:val="00861119"/>
    <w:rsid w:val="00861129"/>
    <w:rsid w:val="00861196"/>
    <w:rsid w:val="008611CB"/>
    <w:rsid w:val="008611F5"/>
    <w:rsid w:val="008611FA"/>
    <w:rsid w:val="0086121D"/>
    <w:rsid w:val="0086124C"/>
    <w:rsid w:val="0086126B"/>
    <w:rsid w:val="0086127C"/>
    <w:rsid w:val="008612A3"/>
    <w:rsid w:val="008612C3"/>
    <w:rsid w:val="00861310"/>
    <w:rsid w:val="00861366"/>
    <w:rsid w:val="008613CD"/>
    <w:rsid w:val="008613E9"/>
    <w:rsid w:val="00861403"/>
    <w:rsid w:val="0086140D"/>
    <w:rsid w:val="008614FA"/>
    <w:rsid w:val="0086154F"/>
    <w:rsid w:val="008615BC"/>
    <w:rsid w:val="008615F6"/>
    <w:rsid w:val="00861675"/>
    <w:rsid w:val="0086168A"/>
    <w:rsid w:val="008616CB"/>
    <w:rsid w:val="00861721"/>
    <w:rsid w:val="00861732"/>
    <w:rsid w:val="00861784"/>
    <w:rsid w:val="00861816"/>
    <w:rsid w:val="00861818"/>
    <w:rsid w:val="00861863"/>
    <w:rsid w:val="00861875"/>
    <w:rsid w:val="0086187F"/>
    <w:rsid w:val="008618BD"/>
    <w:rsid w:val="008618DA"/>
    <w:rsid w:val="008618E0"/>
    <w:rsid w:val="0086193D"/>
    <w:rsid w:val="00861976"/>
    <w:rsid w:val="00861983"/>
    <w:rsid w:val="008619F6"/>
    <w:rsid w:val="00861A2E"/>
    <w:rsid w:val="00861AAF"/>
    <w:rsid w:val="00861ABA"/>
    <w:rsid w:val="00861B06"/>
    <w:rsid w:val="00861B29"/>
    <w:rsid w:val="00861B4C"/>
    <w:rsid w:val="00861BAB"/>
    <w:rsid w:val="00861BD1"/>
    <w:rsid w:val="00861BEF"/>
    <w:rsid w:val="00861C0E"/>
    <w:rsid w:val="00861C2F"/>
    <w:rsid w:val="00861CA0"/>
    <w:rsid w:val="00861CBB"/>
    <w:rsid w:val="00861CBD"/>
    <w:rsid w:val="00861CD3"/>
    <w:rsid w:val="00861CFE"/>
    <w:rsid w:val="00861D66"/>
    <w:rsid w:val="00861DD8"/>
    <w:rsid w:val="00861E01"/>
    <w:rsid w:val="00861E14"/>
    <w:rsid w:val="00861E1D"/>
    <w:rsid w:val="00861E30"/>
    <w:rsid w:val="00861E31"/>
    <w:rsid w:val="00861E56"/>
    <w:rsid w:val="00861EA4"/>
    <w:rsid w:val="00861EF7"/>
    <w:rsid w:val="00861F4B"/>
    <w:rsid w:val="00861F4F"/>
    <w:rsid w:val="00861F6B"/>
    <w:rsid w:val="00861F9A"/>
    <w:rsid w:val="00861FA2"/>
    <w:rsid w:val="00862004"/>
    <w:rsid w:val="00862084"/>
    <w:rsid w:val="0086209F"/>
    <w:rsid w:val="0086213F"/>
    <w:rsid w:val="008621A7"/>
    <w:rsid w:val="00862207"/>
    <w:rsid w:val="00862232"/>
    <w:rsid w:val="008622A3"/>
    <w:rsid w:val="008622E4"/>
    <w:rsid w:val="008622FA"/>
    <w:rsid w:val="008623C5"/>
    <w:rsid w:val="008623F8"/>
    <w:rsid w:val="0086247C"/>
    <w:rsid w:val="0086249C"/>
    <w:rsid w:val="008624A9"/>
    <w:rsid w:val="008624AD"/>
    <w:rsid w:val="0086252C"/>
    <w:rsid w:val="00862560"/>
    <w:rsid w:val="00862626"/>
    <w:rsid w:val="0086262B"/>
    <w:rsid w:val="00862656"/>
    <w:rsid w:val="00862659"/>
    <w:rsid w:val="0086266B"/>
    <w:rsid w:val="0086267D"/>
    <w:rsid w:val="00862692"/>
    <w:rsid w:val="0086269F"/>
    <w:rsid w:val="008626DB"/>
    <w:rsid w:val="008626E5"/>
    <w:rsid w:val="00862706"/>
    <w:rsid w:val="00862750"/>
    <w:rsid w:val="0086278B"/>
    <w:rsid w:val="0086279A"/>
    <w:rsid w:val="008627AC"/>
    <w:rsid w:val="008627BF"/>
    <w:rsid w:val="008627DD"/>
    <w:rsid w:val="008627E8"/>
    <w:rsid w:val="00862844"/>
    <w:rsid w:val="00862863"/>
    <w:rsid w:val="008628EC"/>
    <w:rsid w:val="00862942"/>
    <w:rsid w:val="00862943"/>
    <w:rsid w:val="00862951"/>
    <w:rsid w:val="0086296C"/>
    <w:rsid w:val="0086299B"/>
    <w:rsid w:val="008629A2"/>
    <w:rsid w:val="008629B6"/>
    <w:rsid w:val="008629E6"/>
    <w:rsid w:val="008629F2"/>
    <w:rsid w:val="00862A18"/>
    <w:rsid w:val="00862A23"/>
    <w:rsid w:val="00862B37"/>
    <w:rsid w:val="00862B59"/>
    <w:rsid w:val="00862BC2"/>
    <w:rsid w:val="00862BCE"/>
    <w:rsid w:val="00862BFF"/>
    <w:rsid w:val="00862C30"/>
    <w:rsid w:val="00862C67"/>
    <w:rsid w:val="00862C7F"/>
    <w:rsid w:val="00862CA5"/>
    <w:rsid w:val="00862CFB"/>
    <w:rsid w:val="00862D02"/>
    <w:rsid w:val="00862D21"/>
    <w:rsid w:val="00862D8B"/>
    <w:rsid w:val="00862D9C"/>
    <w:rsid w:val="00862DBC"/>
    <w:rsid w:val="00862DD2"/>
    <w:rsid w:val="00862E37"/>
    <w:rsid w:val="00862E7C"/>
    <w:rsid w:val="00862FA4"/>
    <w:rsid w:val="00862FBB"/>
    <w:rsid w:val="00863073"/>
    <w:rsid w:val="0086309D"/>
    <w:rsid w:val="008630F4"/>
    <w:rsid w:val="008630FB"/>
    <w:rsid w:val="0086310B"/>
    <w:rsid w:val="0086310C"/>
    <w:rsid w:val="0086311A"/>
    <w:rsid w:val="00863171"/>
    <w:rsid w:val="00863194"/>
    <w:rsid w:val="00863196"/>
    <w:rsid w:val="00863226"/>
    <w:rsid w:val="008632AE"/>
    <w:rsid w:val="008632D9"/>
    <w:rsid w:val="00863314"/>
    <w:rsid w:val="008633E9"/>
    <w:rsid w:val="0086344B"/>
    <w:rsid w:val="0086346F"/>
    <w:rsid w:val="0086347C"/>
    <w:rsid w:val="0086353B"/>
    <w:rsid w:val="0086359C"/>
    <w:rsid w:val="008635DB"/>
    <w:rsid w:val="0086365D"/>
    <w:rsid w:val="00863698"/>
    <w:rsid w:val="008637A8"/>
    <w:rsid w:val="008637BE"/>
    <w:rsid w:val="00863824"/>
    <w:rsid w:val="00863834"/>
    <w:rsid w:val="00863840"/>
    <w:rsid w:val="008638DE"/>
    <w:rsid w:val="008638F9"/>
    <w:rsid w:val="00863915"/>
    <w:rsid w:val="008639F9"/>
    <w:rsid w:val="00863A04"/>
    <w:rsid w:val="00863A53"/>
    <w:rsid w:val="00863A81"/>
    <w:rsid w:val="00863AAA"/>
    <w:rsid w:val="00863AC1"/>
    <w:rsid w:val="00863B13"/>
    <w:rsid w:val="00863B95"/>
    <w:rsid w:val="00863B9D"/>
    <w:rsid w:val="00863BC5"/>
    <w:rsid w:val="00863BE1"/>
    <w:rsid w:val="00863BFC"/>
    <w:rsid w:val="00863BFE"/>
    <w:rsid w:val="00863C5C"/>
    <w:rsid w:val="00863CCE"/>
    <w:rsid w:val="00863CD8"/>
    <w:rsid w:val="00863CE7"/>
    <w:rsid w:val="00863D03"/>
    <w:rsid w:val="00863D6D"/>
    <w:rsid w:val="00863D9B"/>
    <w:rsid w:val="00863D9C"/>
    <w:rsid w:val="00863DA2"/>
    <w:rsid w:val="00863E41"/>
    <w:rsid w:val="00863E54"/>
    <w:rsid w:val="00863E62"/>
    <w:rsid w:val="00863E77"/>
    <w:rsid w:val="00863EE0"/>
    <w:rsid w:val="00863EEB"/>
    <w:rsid w:val="00863F11"/>
    <w:rsid w:val="00863FAD"/>
    <w:rsid w:val="00863FE2"/>
    <w:rsid w:val="00863FF1"/>
    <w:rsid w:val="00863FF3"/>
    <w:rsid w:val="00863FFD"/>
    <w:rsid w:val="0086400D"/>
    <w:rsid w:val="0086401C"/>
    <w:rsid w:val="00864041"/>
    <w:rsid w:val="00864065"/>
    <w:rsid w:val="008640B7"/>
    <w:rsid w:val="008640CE"/>
    <w:rsid w:val="00864144"/>
    <w:rsid w:val="00864185"/>
    <w:rsid w:val="0086439E"/>
    <w:rsid w:val="008643A5"/>
    <w:rsid w:val="0086440A"/>
    <w:rsid w:val="00864438"/>
    <w:rsid w:val="0086443E"/>
    <w:rsid w:val="008644D3"/>
    <w:rsid w:val="00864502"/>
    <w:rsid w:val="00864551"/>
    <w:rsid w:val="00864579"/>
    <w:rsid w:val="00864594"/>
    <w:rsid w:val="0086462D"/>
    <w:rsid w:val="008646BE"/>
    <w:rsid w:val="00864718"/>
    <w:rsid w:val="0086478A"/>
    <w:rsid w:val="0086481B"/>
    <w:rsid w:val="0086484C"/>
    <w:rsid w:val="00864922"/>
    <w:rsid w:val="00864954"/>
    <w:rsid w:val="008649FA"/>
    <w:rsid w:val="00864A03"/>
    <w:rsid w:val="00864A2B"/>
    <w:rsid w:val="00864A3B"/>
    <w:rsid w:val="00864AC1"/>
    <w:rsid w:val="00864B57"/>
    <w:rsid w:val="00864B58"/>
    <w:rsid w:val="00864C3E"/>
    <w:rsid w:val="00864C73"/>
    <w:rsid w:val="00864C9F"/>
    <w:rsid w:val="00864D13"/>
    <w:rsid w:val="00864D4B"/>
    <w:rsid w:val="00864D80"/>
    <w:rsid w:val="00864D8C"/>
    <w:rsid w:val="00864DB7"/>
    <w:rsid w:val="00864DDA"/>
    <w:rsid w:val="00864DDC"/>
    <w:rsid w:val="00864DE7"/>
    <w:rsid w:val="00864DFF"/>
    <w:rsid w:val="00864E73"/>
    <w:rsid w:val="00864E86"/>
    <w:rsid w:val="00864F57"/>
    <w:rsid w:val="00864F59"/>
    <w:rsid w:val="00864F66"/>
    <w:rsid w:val="00865001"/>
    <w:rsid w:val="00865006"/>
    <w:rsid w:val="0086501A"/>
    <w:rsid w:val="00865059"/>
    <w:rsid w:val="00865063"/>
    <w:rsid w:val="00865083"/>
    <w:rsid w:val="008650C6"/>
    <w:rsid w:val="00865171"/>
    <w:rsid w:val="008651D4"/>
    <w:rsid w:val="008651E6"/>
    <w:rsid w:val="008651F5"/>
    <w:rsid w:val="00865245"/>
    <w:rsid w:val="0086527D"/>
    <w:rsid w:val="008652BC"/>
    <w:rsid w:val="0086534C"/>
    <w:rsid w:val="0086538D"/>
    <w:rsid w:val="008653D1"/>
    <w:rsid w:val="008653D7"/>
    <w:rsid w:val="008653FF"/>
    <w:rsid w:val="00865424"/>
    <w:rsid w:val="0086546B"/>
    <w:rsid w:val="00865523"/>
    <w:rsid w:val="008655C3"/>
    <w:rsid w:val="00865604"/>
    <w:rsid w:val="0086566A"/>
    <w:rsid w:val="0086566F"/>
    <w:rsid w:val="0086571F"/>
    <w:rsid w:val="00865720"/>
    <w:rsid w:val="00865727"/>
    <w:rsid w:val="008657DB"/>
    <w:rsid w:val="00865814"/>
    <w:rsid w:val="00865819"/>
    <w:rsid w:val="0086582E"/>
    <w:rsid w:val="0086588F"/>
    <w:rsid w:val="00865892"/>
    <w:rsid w:val="00865893"/>
    <w:rsid w:val="008658B3"/>
    <w:rsid w:val="00865916"/>
    <w:rsid w:val="0086591B"/>
    <w:rsid w:val="00865939"/>
    <w:rsid w:val="00865964"/>
    <w:rsid w:val="00865A1B"/>
    <w:rsid w:val="00865ADE"/>
    <w:rsid w:val="00865B55"/>
    <w:rsid w:val="00865B7B"/>
    <w:rsid w:val="00865C19"/>
    <w:rsid w:val="00865C2B"/>
    <w:rsid w:val="00865C35"/>
    <w:rsid w:val="00865CEB"/>
    <w:rsid w:val="00865D70"/>
    <w:rsid w:val="00865D80"/>
    <w:rsid w:val="00865D9A"/>
    <w:rsid w:val="00865D9B"/>
    <w:rsid w:val="00865DB8"/>
    <w:rsid w:val="00865DB9"/>
    <w:rsid w:val="00865DE5"/>
    <w:rsid w:val="00865E55"/>
    <w:rsid w:val="00865EBD"/>
    <w:rsid w:val="00865FA1"/>
    <w:rsid w:val="00865FB9"/>
    <w:rsid w:val="00865FCE"/>
    <w:rsid w:val="00865FD6"/>
    <w:rsid w:val="00866017"/>
    <w:rsid w:val="0086603E"/>
    <w:rsid w:val="0086608F"/>
    <w:rsid w:val="008660A5"/>
    <w:rsid w:val="008660FC"/>
    <w:rsid w:val="0086613A"/>
    <w:rsid w:val="008661F0"/>
    <w:rsid w:val="00866211"/>
    <w:rsid w:val="00866225"/>
    <w:rsid w:val="0086627D"/>
    <w:rsid w:val="0086628C"/>
    <w:rsid w:val="008662AD"/>
    <w:rsid w:val="008662B3"/>
    <w:rsid w:val="008662BE"/>
    <w:rsid w:val="00866308"/>
    <w:rsid w:val="00866342"/>
    <w:rsid w:val="00866353"/>
    <w:rsid w:val="0086637B"/>
    <w:rsid w:val="00866431"/>
    <w:rsid w:val="00866462"/>
    <w:rsid w:val="00866487"/>
    <w:rsid w:val="0086648B"/>
    <w:rsid w:val="00866496"/>
    <w:rsid w:val="008664EC"/>
    <w:rsid w:val="00866524"/>
    <w:rsid w:val="00866544"/>
    <w:rsid w:val="00866549"/>
    <w:rsid w:val="0086655C"/>
    <w:rsid w:val="00866566"/>
    <w:rsid w:val="0086656F"/>
    <w:rsid w:val="00866615"/>
    <w:rsid w:val="0086666B"/>
    <w:rsid w:val="008666BD"/>
    <w:rsid w:val="008666C4"/>
    <w:rsid w:val="008666D6"/>
    <w:rsid w:val="00866726"/>
    <w:rsid w:val="008667D5"/>
    <w:rsid w:val="0086682E"/>
    <w:rsid w:val="00866869"/>
    <w:rsid w:val="008668E3"/>
    <w:rsid w:val="008668F9"/>
    <w:rsid w:val="00866953"/>
    <w:rsid w:val="00866965"/>
    <w:rsid w:val="00866980"/>
    <w:rsid w:val="0086699D"/>
    <w:rsid w:val="008669AA"/>
    <w:rsid w:val="008669E8"/>
    <w:rsid w:val="00866A39"/>
    <w:rsid w:val="00866AA9"/>
    <w:rsid w:val="00866B66"/>
    <w:rsid w:val="00866BD2"/>
    <w:rsid w:val="00866BEB"/>
    <w:rsid w:val="00866BEC"/>
    <w:rsid w:val="00866BF1"/>
    <w:rsid w:val="00866BF3"/>
    <w:rsid w:val="00866BF8"/>
    <w:rsid w:val="00866C15"/>
    <w:rsid w:val="00866C1F"/>
    <w:rsid w:val="00866C3A"/>
    <w:rsid w:val="00866C43"/>
    <w:rsid w:val="00866CCA"/>
    <w:rsid w:val="00866D17"/>
    <w:rsid w:val="00866DA7"/>
    <w:rsid w:val="00866DB2"/>
    <w:rsid w:val="00866DFA"/>
    <w:rsid w:val="00866E7B"/>
    <w:rsid w:val="00866F3D"/>
    <w:rsid w:val="00866F86"/>
    <w:rsid w:val="0086701A"/>
    <w:rsid w:val="00867066"/>
    <w:rsid w:val="008670DD"/>
    <w:rsid w:val="00867114"/>
    <w:rsid w:val="00867144"/>
    <w:rsid w:val="00867147"/>
    <w:rsid w:val="0086718D"/>
    <w:rsid w:val="0086724A"/>
    <w:rsid w:val="008672A1"/>
    <w:rsid w:val="008672AF"/>
    <w:rsid w:val="008672DD"/>
    <w:rsid w:val="008672E5"/>
    <w:rsid w:val="00867307"/>
    <w:rsid w:val="0086731C"/>
    <w:rsid w:val="00867324"/>
    <w:rsid w:val="00867330"/>
    <w:rsid w:val="00867346"/>
    <w:rsid w:val="008673F4"/>
    <w:rsid w:val="00867424"/>
    <w:rsid w:val="00867429"/>
    <w:rsid w:val="00867456"/>
    <w:rsid w:val="008674A0"/>
    <w:rsid w:val="008674B7"/>
    <w:rsid w:val="008674C9"/>
    <w:rsid w:val="00867500"/>
    <w:rsid w:val="00867504"/>
    <w:rsid w:val="0086750F"/>
    <w:rsid w:val="0086754F"/>
    <w:rsid w:val="0086755F"/>
    <w:rsid w:val="00867586"/>
    <w:rsid w:val="0086765C"/>
    <w:rsid w:val="008676A4"/>
    <w:rsid w:val="0086771E"/>
    <w:rsid w:val="00867752"/>
    <w:rsid w:val="008677CF"/>
    <w:rsid w:val="0086780A"/>
    <w:rsid w:val="00867883"/>
    <w:rsid w:val="008678A7"/>
    <w:rsid w:val="008678F0"/>
    <w:rsid w:val="00867967"/>
    <w:rsid w:val="008679EC"/>
    <w:rsid w:val="00867A2E"/>
    <w:rsid w:val="00867A37"/>
    <w:rsid w:val="00867AA4"/>
    <w:rsid w:val="00867B94"/>
    <w:rsid w:val="00867BA7"/>
    <w:rsid w:val="00867BA9"/>
    <w:rsid w:val="00867BB5"/>
    <w:rsid w:val="00867C33"/>
    <w:rsid w:val="00867C6B"/>
    <w:rsid w:val="00867C85"/>
    <w:rsid w:val="00867D1D"/>
    <w:rsid w:val="00867DD6"/>
    <w:rsid w:val="00867E61"/>
    <w:rsid w:val="00867EF8"/>
    <w:rsid w:val="00867F22"/>
    <w:rsid w:val="00867FA0"/>
    <w:rsid w:val="00867FE7"/>
    <w:rsid w:val="00870038"/>
    <w:rsid w:val="00870040"/>
    <w:rsid w:val="0087004B"/>
    <w:rsid w:val="008700A4"/>
    <w:rsid w:val="008700D4"/>
    <w:rsid w:val="008700FA"/>
    <w:rsid w:val="00870134"/>
    <w:rsid w:val="0087013C"/>
    <w:rsid w:val="008701A2"/>
    <w:rsid w:val="008701C8"/>
    <w:rsid w:val="008701CE"/>
    <w:rsid w:val="00870210"/>
    <w:rsid w:val="0087024B"/>
    <w:rsid w:val="0087027B"/>
    <w:rsid w:val="008702F3"/>
    <w:rsid w:val="00870311"/>
    <w:rsid w:val="00870381"/>
    <w:rsid w:val="00870394"/>
    <w:rsid w:val="008703C2"/>
    <w:rsid w:val="00870413"/>
    <w:rsid w:val="00870479"/>
    <w:rsid w:val="00870498"/>
    <w:rsid w:val="0087050C"/>
    <w:rsid w:val="00870544"/>
    <w:rsid w:val="00870547"/>
    <w:rsid w:val="00870575"/>
    <w:rsid w:val="0087059F"/>
    <w:rsid w:val="008705B5"/>
    <w:rsid w:val="008705E6"/>
    <w:rsid w:val="00870657"/>
    <w:rsid w:val="0087066F"/>
    <w:rsid w:val="008706BD"/>
    <w:rsid w:val="008706C7"/>
    <w:rsid w:val="008706E5"/>
    <w:rsid w:val="0087071A"/>
    <w:rsid w:val="0087075D"/>
    <w:rsid w:val="0087077B"/>
    <w:rsid w:val="0087078E"/>
    <w:rsid w:val="0087079C"/>
    <w:rsid w:val="008707A2"/>
    <w:rsid w:val="008707A9"/>
    <w:rsid w:val="008707B6"/>
    <w:rsid w:val="008707BD"/>
    <w:rsid w:val="0087080D"/>
    <w:rsid w:val="008708B6"/>
    <w:rsid w:val="00870960"/>
    <w:rsid w:val="0087099F"/>
    <w:rsid w:val="008709A9"/>
    <w:rsid w:val="008709CE"/>
    <w:rsid w:val="00870A13"/>
    <w:rsid w:val="00870A71"/>
    <w:rsid w:val="00870A8C"/>
    <w:rsid w:val="00870AA1"/>
    <w:rsid w:val="00870AC6"/>
    <w:rsid w:val="00870B15"/>
    <w:rsid w:val="00870B33"/>
    <w:rsid w:val="00870BE8"/>
    <w:rsid w:val="00870C02"/>
    <w:rsid w:val="00870C26"/>
    <w:rsid w:val="00870C49"/>
    <w:rsid w:val="00870D45"/>
    <w:rsid w:val="00870DA2"/>
    <w:rsid w:val="00870DAC"/>
    <w:rsid w:val="00870F2A"/>
    <w:rsid w:val="00870F5E"/>
    <w:rsid w:val="00870FBB"/>
    <w:rsid w:val="00871039"/>
    <w:rsid w:val="00871048"/>
    <w:rsid w:val="008710E1"/>
    <w:rsid w:val="00871181"/>
    <w:rsid w:val="0087118F"/>
    <w:rsid w:val="008711A4"/>
    <w:rsid w:val="008711AB"/>
    <w:rsid w:val="008711D4"/>
    <w:rsid w:val="008711E2"/>
    <w:rsid w:val="008711F1"/>
    <w:rsid w:val="0087122A"/>
    <w:rsid w:val="00871257"/>
    <w:rsid w:val="0087129F"/>
    <w:rsid w:val="00871334"/>
    <w:rsid w:val="008713A2"/>
    <w:rsid w:val="0087144A"/>
    <w:rsid w:val="0087145C"/>
    <w:rsid w:val="0087145E"/>
    <w:rsid w:val="00871467"/>
    <w:rsid w:val="00871478"/>
    <w:rsid w:val="0087147A"/>
    <w:rsid w:val="0087148E"/>
    <w:rsid w:val="008714D8"/>
    <w:rsid w:val="008714F8"/>
    <w:rsid w:val="00871523"/>
    <w:rsid w:val="0087157A"/>
    <w:rsid w:val="008715C7"/>
    <w:rsid w:val="008715CD"/>
    <w:rsid w:val="00871611"/>
    <w:rsid w:val="0087162C"/>
    <w:rsid w:val="0087163B"/>
    <w:rsid w:val="0087164F"/>
    <w:rsid w:val="008716E4"/>
    <w:rsid w:val="008717AA"/>
    <w:rsid w:val="008717FD"/>
    <w:rsid w:val="00871816"/>
    <w:rsid w:val="008718F1"/>
    <w:rsid w:val="008718FA"/>
    <w:rsid w:val="00871927"/>
    <w:rsid w:val="0087193B"/>
    <w:rsid w:val="008719A4"/>
    <w:rsid w:val="008719C9"/>
    <w:rsid w:val="00871A04"/>
    <w:rsid w:val="00871A18"/>
    <w:rsid w:val="00871A7F"/>
    <w:rsid w:val="00871AB4"/>
    <w:rsid w:val="00871B13"/>
    <w:rsid w:val="00871B4E"/>
    <w:rsid w:val="00871BF7"/>
    <w:rsid w:val="00871C83"/>
    <w:rsid w:val="00871C8A"/>
    <w:rsid w:val="00871CA5"/>
    <w:rsid w:val="00871E10"/>
    <w:rsid w:val="00871E68"/>
    <w:rsid w:val="00871E8D"/>
    <w:rsid w:val="00871EA2"/>
    <w:rsid w:val="00871EC9"/>
    <w:rsid w:val="00871EFF"/>
    <w:rsid w:val="00871F02"/>
    <w:rsid w:val="00871F30"/>
    <w:rsid w:val="00871F52"/>
    <w:rsid w:val="00871FBC"/>
    <w:rsid w:val="0087200B"/>
    <w:rsid w:val="00872046"/>
    <w:rsid w:val="0087209C"/>
    <w:rsid w:val="008720CF"/>
    <w:rsid w:val="008720D6"/>
    <w:rsid w:val="008720EB"/>
    <w:rsid w:val="008720ED"/>
    <w:rsid w:val="00872105"/>
    <w:rsid w:val="0087213B"/>
    <w:rsid w:val="00872140"/>
    <w:rsid w:val="00872155"/>
    <w:rsid w:val="008721B8"/>
    <w:rsid w:val="0087222C"/>
    <w:rsid w:val="00872245"/>
    <w:rsid w:val="00872256"/>
    <w:rsid w:val="0087226B"/>
    <w:rsid w:val="0087227F"/>
    <w:rsid w:val="00872288"/>
    <w:rsid w:val="008722B6"/>
    <w:rsid w:val="008722E1"/>
    <w:rsid w:val="008722EA"/>
    <w:rsid w:val="008722F8"/>
    <w:rsid w:val="008724C5"/>
    <w:rsid w:val="008724C7"/>
    <w:rsid w:val="008724D5"/>
    <w:rsid w:val="008724E7"/>
    <w:rsid w:val="008725D9"/>
    <w:rsid w:val="0087266E"/>
    <w:rsid w:val="00872743"/>
    <w:rsid w:val="00872787"/>
    <w:rsid w:val="008727DC"/>
    <w:rsid w:val="008727EB"/>
    <w:rsid w:val="008727F1"/>
    <w:rsid w:val="0087284B"/>
    <w:rsid w:val="0087285E"/>
    <w:rsid w:val="00872878"/>
    <w:rsid w:val="00872890"/>
    <w:rsid w:val="008728B1"/>
    <w:rsid w:val="008728BC"/>
    <w:rsid w:val="008728DE"/>
    <w:rsid w:val="008728F6"/>
    <w:rsid w:val="008729F1"/>
    <w:rsid w:val="00872A73"/>
    <w:rsid w:val="00872ABA"/>
    <w:rsid w:val="00872ABC"/>
    <w:rsid w:val="00872B1D"/>
    <w:rsid w:val="00872B44"/>
    <w:rsid w:val="00872B70"/>
    <w:rsid w:val="00872BA0"/>
    <w:rsid w:val="00872BCC"/>
    <w:rsid w:val="00872C71"/>
    <w:rsid w:val="00872CE3"/>
    <w:rsid w:val="00872D36"/>
    <w:rsid w:val="00872D4A"/>
    <w:rsid w:val="00872D90"/>
    <w:rsid w:val="00872E18"/>
    <w:rsid w:val="00872E5D"/>
    <w:rsid w:val="00872EC5"/>
    <w:rsid w:val="00872F55"/>
    <w:rsid w:val="00872F9A"/>
    <w:rsid w:val="00873040"/>
    <w:rsid w:val="00873050"/>
    <w:rsid w:val="0087306C"/>
    <w:rsid w:val="008730DB"/>
    <w:rsid w:val="00873117"/>
    <w:rsid w:val="00873144"/>
    <w:rsid w:val="0087314E"/>
    <w:rsid w:val="00873158"/>
    <w:rsid w:val="0087319D"/>
    <w:rsid w:val="008731B8"/>
    <w:rsid w:val="0087325D"/>
    <w:rsid w:val="00873267"/>
    <w:rsid w:val="0087329B"/>
    <w:rsid w:val="008732E5"/>
    <w:rsid w:val="008732FC"/>
    <w:rsid w:val="008733E1"/>
    <w:rsid w:val="0087344A"/>
    <w:rsid w:val="00873457"/>
    <w:rsid w:val="00873466"/>
    <w:rsid w:val="00873472"/>
    <w:rsid w:val="008734CC"/>
    <w:rsid w:val="008734D7"/>
    <w:rsid w:val="008734E5"/>
    <w:rsid w:val="008735A3"/>
    <w:rsid w:val="008735BB"/>
    <w:rsid w:val="00873635"/>
    <w:rsid w:val="00873636"/>
    <w:rsid w:val="00873644"/>
    <w:rsid w:val="008736C9"/>
    <w:rsid w:val="00873712"/>
    <w:rsid w:val="0087371A"/>
    <w:rsid w:val="0087372A"/>
    <w:rsid w:val="00873779"/>
    <w:rsid w:val="008737F0"/>
    <w:rsid w:val="008737FC"/>
    <w:rsid w:val="008738EC"/>
    <w:rsid w:val="00873923"/>
    <w:rsid w:val="00873927"/>
    <w:rsid w:val="00873928"/>
    <w:rsid w:val="00873A30"/>
    <w:rsid w:val="00873A62"/>
    <w:rsid w:val="00873A85"/>
    <w:rsid w:val="00873ADB"/>
    <w:rsid w:val="00873AF8"/>
    <w:rsid w:val="00873B03"/>
    <w:rsid w:val="00873B3F"/>
    <w:rsid w:val="00873B4E"/>
    <w:rsid w:val="00873B6A"/>
    <w:rsid w:val="00873B8C"/>
    <w:rsid w:val="00873B9B"/>
    <w:rsid w:val="00873B9C"/>
    <w:rsid w:val="00873C88"/>
    <w:rsid w:val="00873CC6"/>
    <w:rsid w:val="00873CDA"/>
    <w:rsid w:val="00873CF7"/>
    <w:rsid w:val="00873E93"/>
    <w:rsid w:val="00873EB3"/>
    <w:rsid w:val="00873EF3"/>
    <w:rsid w:val="00873F13"/>
    <w:rsid w:val="00873F34"/>
    <w:rsid w:val="00873F58"/>
    <w:rsid w:val="00873F5A"/>
    <w:rsid w:val="00873F72"/>
    <w:rsid w:val="00873F7F"/>
    <w:rsid w:val="00873FCA"/>
    <w:rsid w:val="0087405E"/>
    <w:rsid w:val="0087409E"/>
    <w:rsid w:val="008740F9"/>
    <w:rsid w:val="00874125"/>
    <w:rsid w:val="008741D0"/>
    <w:rsid w:val="00874237"/>
    <w:rsid w:val="0087426F"/>
    <w:rsid w:val="008742AE"/>
    <w:rsid w:val="008743B1"/>
    <w:rsid w:val="008743E0"/>
    <w:rsid w:val="008743E1"/>
    <w:rsid w:val="008743ED"/>
    <w:rsid w:val="008743F9"/>
    <w:rsid w:val="008744CD"/>
    <w:rsid w:val="008744DB"/>
    <w:rsid w:val="0087459F"/>
    <w:rsid w:val="008745B3"/>
    <w:rsid w:val="008745C1"/>
    <w:rsid w:val="008745E1"/>
    <w:rsid w:val="00874632"/>
    <w:rsid w:val="008746A9"/>
    <w:rsid w:val="008746BE"/>
    <w:rsid w:val="008746D5"/>
    <w:rsid w:val="008746DC"/>
    <w:rsid w:val="008746EA"/>
    <w:rsid w:val="00874718"/>
    <w:rsid w:val="0087475D"/>
    <w:rsid w:val="008747EB"/>
    <w:rsid w:val="008748DD"/>
    <w:rsid w:val="0087493E"/>
    <w:rsid w:val="0087498F"/>
    <w:rsid w:val="008749A3"/>
    <w:rsid w:val="008749A7"/>
    <w:rsid w:val="008749D1"/>
    <w:rsid w:val="00874A57"/>
    <w:rsid w:val="00874A5D"/>
    <w:rsid w:val="00874A87"/>
    <w:rsid w:val="00874AE1"/>
    <w:rsid w:val="00874AE7"/>
    <w:rsid w:val="00874B13"/>
    <w:rsid w:val="00874B1B"/>
    <w:rsid w:val="00874BBE"/>
    <w:rsid w:val="00874BCA"/>
    <w:rsid w:val="00874C4D"/>
    <w:rsid w:val="00874C75"/>
    <w:rsid w:val="00874CC5"/>
    <w:rsid w:val="00874CDE"/>
    <w:rsid w:val="00874CE6"/>
    <w:rsid w:val="00874D0D"/>
    <w:rsid w:val="00874D3F"/>
    <w:rsid w:val="00874DBF"/>
    <w:rsid w:val="00874E44"/>
    <w:rsid w:val="00874E48"/>
    <w:rsid w:val="00874F15"/>
    <w:rsid w:val="00874F35"/>
    <w:rsid w:val="00874F6C"/>
    <w:rsid w:val="00874F71"/>
    <w:rsid w:val="00874F7C"/>
    <w:rsid w:val="00874F81"/>
    <w:rsid w:val="0087508A"/>
    <w:rsid w:val="008750F1"/>
    <w:rsid w:val="00875157"/>
    <w:rsid w:val="0087515F"/>
    <w:rsid w:val="00875176"/>
    <w:rsid w:val="0087519F"/>
    <w:rsid w:val="00875260"/>
    <w:rsid w:val="0087526C"/>
    <w:rsid w:val="008752D7"/>
    <w:rsid w:val="008752DF"/>
    <w:rsid w:val="0087531A"/>
    <w:rsid w:val="0087531D"/>
    <w:rsid w:val="0087535D"/>
    <w:rsid w:val="0087538A"/>
    <w:rsid w:val="008753A5"/>
    <w:rsid w:val="0087548A"/>
    <w:rsid w:val="00875493"/>
    <w:rsid w:val="00875558"/>
    <w:rsid w:val="008755F8"/>
    <w:rsid w:val="00875672"/>
    <w:rsid w:val="008756E0"/>
    <w:rsid w:val="00875711"/>
    <w:rsid w:val="00875776"/>
    <w:rsid w:val="00875784"/>
    <w:rsid w:val="008757D0"/>
    <w:rsid w:val="008757F2"/>
    <w:rsid w:val="00875834"/>
    <w:rsid w:val="00875854"/>
    <w:rsid w:val="0087586A"/>
    <w:rsid w:val="00875870"/>
    <w:rsid w:val="008758B5"/>
    <w:rsid w:val="008758CF"/>
    <w:rsid w:val="008758DC"/>
    <w:rsid w:val="008758E0"/>
    <w:rsid w:val="008758F8"/>
    <w:rsid w:val="0087591B"/>
    <w:rsid w:val="00875957"/>
    <w:rsid w:val="00875999"/>
    <w:rsid w:val="0087599C"/>
    <w:rsid w:val="0087599E"/>
    <w:rsid w:val="008759BD"/>
    <w:rsid w:val="008759D4"/>
    <w:rsid w:val="008759D8"/>
    <w:rsid w:val="008759E7"/>
    <w:rsid w:val="008759F4"/>
    <w:rsid w:val="00875A5C"/>
    <w:rsid w:val="00875A68"/>
    <w:rsid w:val="00875A7B"/>
    <w:rsid w:val="00875ACC"/>
    <w:rsid w:val="00875B24"/>
    <w:rsid w:val="00875B92"/>
    <w:rsid w:val="00875C54"/>
    <w:rsid w:val="00875C89"/>
    <w:rsid w:val="00875C90"/>
    <w:rsid w:val="00875CA1"/>
    <w:rsid w:val="00875CA2"/>
    <w:rsid w:val="00875D01"/>
    <w:rsid w:val="00875D10"/>
    <w:rsid w:val="00875D21"/>
    <w:rsid w:val="00875DB9"/>
    <w:rsid w:val="00875DD7"/>
    <w:rsid w:val="00875DEB"/>
    <w:rsid w:val="00875DEC"/>
    <w:rsid w:val="00875DF7"/>
    <w:rsid w:val="00875E1F"/>
    <w:rsid w:val="00875EA7"/>
    <w:rsid w:val="00875EAC"/>
    <w:rsid w:val="00875F15"/>
    <w:rsid w:val="00875F29"/>
    <w:rsid w:val="00876005"/>
    <w:rsid w:val="00876054"/>
    <w:rsid w:val="00876078"/>
    <w:rsid w:val="0087607D"/>
    <w:rsid w:val="008760BD"/>
    <w:rsid w:val="008760D1"/>
    <w:rsid w:val="00876119"/>
    <w:rsid w:val="0087613D"/>
    <w:rsid w:val="0087614A"/>
    <w:rsid w:val="008761A2"/>
    <w:rsid w:val="008761EE"/>
    <w:rsid w:val="00876206"/>
    <w:rsid w:val="0087622C"/>
    <w:rsid w:val="008762AD"/>
    <w:rsid w:val="008762D1"/>
    <w:rsid w:val="00876363"/>
    <w:rsid w:val="00876377"/>
    <w:rsid w:val="00876396"/>
    <w:rsid w:val="008763DD"/>
    <w:rsid w:val="0087641F"/>
    <w:rsid w:val="0087648B"/>
    <w:rsid w:val="008764AE"/>
    <w:rsid w:val="00876511"/>
    <w:rsid w:val="00876544"/>
    <w:rsid w:val="0087657B"/>
    <w:rsid w:val="00876590"/>
    <w:rsid w:val="008765C8"/>
    <w:rsid w:val="008765CE"/>
    <w:rsid w:val="008765D4"/>
    <w:rsid w:val="00876625"/>
    <w:rsid w:val="00876672"/>
    <w:rsid w:val="008766B1"/>
    <w:rsid w:val="00876749"/>
    <w:rsid w:val="0087675C"/>
    <w:rsid w:val="0087676A"/>
    <w:rsid w:val="00876777"/>
    <w:rsid w:val="008767C1"/>
    <w:rsid w:val="0087680F"/>
    <w:rsid w:val="0087682A"/>
    <w:rsid w:val="0087682C"/>
    <w:rsid w:val="00876830"/>
    <w:rsid w:val="0087683E"/>
    <w:rsid w:val="00876955"/>
    <w:rsid w:val="0087697A"/>
    <w:rsid w:val="008769B9"/>
    <w:rsid w:val="008769E5"/>
    <w:rsid w:val="008769F0"/>
    <w:rsid w:val="00876A7A"/>
    <w:rsid w:val="00876A8F"/>
    <w:rsid w:val="00876AAA"/>
    <w:rsid w:val="00876AB5"/>
    <w:rsid w:val="00876AEF"/>
    <w:rsid w:val="00876B52"/>
    <w:rsid w:val="00876B6C"/>
    <w:rsid w:val="00876BD3"/>
    <w:rsid w:val="00876C01"/>
    <w:rsid w:val="00876C19"/>
    <w:rsid w:val="00876C20"/>
    <w:rsid w:val="00876C4D"/>
    <w:rsid w:val="00876CF1"/>
    <w:rsid w:val="00876D66"/>
    <w:rsid w:val="00876D84"/>
    <w:rsid w:val="00876DA0"/>
    <w:rsid w:val="00876DEA"/>
    <w:rsid w:val="00876E04"/>
    <w:rsid w:val="00876EB6"/>
    <w:rsid w:val="00876ED5"/>
    <w:rsid w:val="00876F23"/>
    <w:rsid w:val="00876F4F"/>
    <w:rsid w:val="00876F52"/>
    <w:rsid w:val="00876F56"/>
    <w:rsid w:val="00876F5C"/>
    <w:rsid w:val="00876F76"/>
    <w:rsid w:val="00876F83"/>
    <w:rsid w:val="00876FD3"/>
    <w:rsid w:val="00876FDD"/>
    <w:rsid w:val="00877020"/>
    <w:rsid w:val="00877089"/>
    <w:rsid w:val="008770BE"/>
    <w:rsid w:val="008771C6"/>
    <w:rsid w:val="008771CC"/>
    <w:rsid w:val="0087724A"/>
    <w:rsid w:val="00877254"/>
    <w:rsid w:val="00877273"/>
    <w:rsid w:val="008772AC"/>
    <w:rsid w:val="0087738B"/>
    <w:rsid w:val="0087739D"/>
    <w:rsid w:val="008773C9"/>
    <w:rsid w:val="0087740C"/>
    <w:rsid w:val="00877414"/>
    <w:rsid w:val="00877445"/>
    <w:rsid w:val="00877466"/>
    <w:rsid w:val="008774D4"/>
    <w:rsid w:val="00877524"/>
    <w:rsid w:val="00877538"/>
    <w:rsid w:val="00877543"/>
    <w:rsid w:val="0087758F"/>
    <w:rsid w:val="008775A4"/>
    <w:rsid w:val="008775B9"/>
    <w:rsid w:val="008775D8"/>
    <w:rsid w:val="008775F9"/>
    <w:rsid w:val="00877649"/>
    <w:rsid w:val="00877707"/>
    <w:rsid w:val="0087774E"/>
    <w:rsid w:val="00877756"/>
    <w:rsid w:val="00877764"/>
    <w:rsid w:val="00877772"/>
    <w:rsid w:val="008777F2"/>
    <w:rsid w:val="00877822"/>
    <w:rsid w:val="00877879"/>
    <w:rsid w:val="0087788A"/>
    <w:rsid w:val="008778EE"/>
    <w:rsid w:val="008778FB"/>
    <w:rsid w:val="0087790D"/>
    <w:rsid w:val="00877910"/>
    <w:rsid w:val="00877924"/>
    <w:rsid w:val="00877925"/>
    <w:rsid w:val="0087794A"/>
    <w:rsid w:val="0087797F"/>
    <w:rsid w:val="008779E6"/>
    <w:rsid w:val="008779F0"/>
    <w:rsid w:val="008779F9"/>
    <w:rsid w:val="008779FF"/>
    <w:rsid w:val="00877A10"/>
    <w:rsid w:val="00877A48"/>
    <w:rsid w:val="00877AF1"/>
    <w:rsid w:val="00877B11"/>
    <w:rsid w:val="00877B31"/>
    <w:rsid w:val="00877B8F"/>
    <w:rsid w:val="00877BB3"/>
    <w:rsid w:val="00877BB5"/>
    <w:rsid w:val="00877BE4"/>
    <w:rsid w:val="00877C5B"/>
    <w:rsid w:val="00877CCE"/>
    <w:rsid w:val="00877D40"/>
    <w:rsid w:val="00877D50"/>
    <w:rsid w:val="00877D74"/>
    <w:rsid w:val="00877DAE"/>
    <w:rsid w:val="00877DC0"/>
    <w:rsid w:val="00877DE2"/>
    <w:rsid w:val="00877E14"/>
    <w:rsid w:val="00877E3F"/>
    <w:rsid w:val="00877E80"/>
    <w:rsid w:val="00877E81"/>
    <w:rsid w:val="00877E93"/>
    <w:rsid w:val="00877EFF"/>
    <w:rsid w:val="00877F2F"/>
    <w:rsid w:val="00877F6F"/>
    <w:rsid w:val="00877F70"/>
    <w:rsid w:val="00877F80"/>
    <w:rsid w:val="00877F81"/>
    <w:rsid w:val="00880015"/>
    <w:rsid w:val="00880073"/>
    <w:rsid w:val="008800A2"/>
    <w:rsid w:val="008800B6"/>
    <w:rsid w:val="008800B7"/>
    <w:rsid w:val="008800DD"/>
    <w:rsid w:val="008800DF"/>
    <w:rsid w:val="008800E6"/>
    <w:rsid w:val="008800F2"/>
    <w:rsid w:val="0088010F"/>
    <w:rsid w:val="0088015E"/>
    <w:rsid w:val="00880179"/>
    <w:rsid w:val="00880191"/>
    <w:rsid w:val="008801B8"/>
    <w:rsid w:val="00880252"/>
    <w:rsid w:val="00880268"/>
    <w:rsid w:val="0088026A"/>
    <w:rsid w:val="00880292"/>
    <w:rsid w:val="00880328"/>
    <w:rsid w:val="00880330"/>
    <w:rsid w:val="00880366"/>
    <w:rsid w:val="0088040B"/>
    <w:rsid w:val="00880430"/>
    <w:rsid w:val="00880435"/>
    <w:rsid w:val="0088043C"/>
    <w:rsid w:val="00880495"/>
    <w:rsid w:val="008804EF"/>
    <w:rsid w:val="008804F2"/>
    <w:rsid w:val="008805E3"/>
    <w:rsid w:val="008805FD"/>
    <w:rsid w:val="00880631"/>
    <w:rsid w:val="00880646"/>
    <w:rsid w:val="0088064E"/>
    <w:rsid w:val="008806A1"/>
    <w:rsid w:val="00880736"/>
    <w:rsid w:val="0088073E"/>
    <w:rsid w:val="0088074F"/>
    <w:rsid w:val="00880758"/>
    <w:rsid w:val="0088076F"/>
    <w:rsid w:val="00880789"/>
    <w:rsid w:val="00880829"/>
    <w:rsid w:val="0088083B"/>
    <w:rsid w:val="0088088E"/>
    <w:rsid w:val="0088089F"/>
    <w:rsid w:val="008808CC"/>
    <w:rsid w:val="0088090E"/>
    <w:rsid w:val="0088096F"/>
    <w:rsid w:val="00880A20"/>
    <w:rsid w:val="00880A67"/>
    <w:rsid w:val="00880A6A"/>
    <w:rsid w:val="00880AC9"/>
    <w:rsid w:val="00880AE5"/>
    <w:rsid w:val="00880AF3"/>
    <w:rsid w:val="00880B0A"/>
    <w:rsid w:val="00880B3B"/>
    <w:rsid w:val="00880B59"/>
    <w:rsid w:val="00880BFF"/>
    <w:rsid w:val="00880C1D"/>
    <w:rsid w:val="00880C5B"/>
    <w:rsid w:val="00880C8D"/>
    <w:rsid w:val="00880C92"/>
    <w:rsid w:val="00880CD4"/>
    <w:rsid w:val="00880D56"/>
    <w:rsid w:val="00880D62"/>
    <w:rsid w:val="00880DB2"/>
    <w:rsid w:val="00880DE3"/>
    <w:rsid w:val="00880DF4"/>
    <w:rsid w:val="00880E04"/>
    <w:rsid w:val="00880E1D"/>
    <w:rsid w:val="00880E67"/>
    <w:rsid w:val="00880E96"/>
    <w:rsid w:val="00880E9A"/>
    <w:rsid w:val="00880ED3"/>
    <w:rsid w:val="00880EE5"/>
    <w:rsid w:val="00880F7D"/>
    <w:rsid w:val="00880FA1"/>
    <w:rsid w:val="008810ED"/>
    <w:rsid w:val="00881162"/>
    <w:rsid w:val="0088116B"/>
    <w:rsid w:val="0088119D"/>
    <w:rsid w:val="008811D2"/>
    <w:rsid w:val="008811E2"/>
    <w:rsid w:val="008812A6"/>
    <w:rsid w:val="008812BD"/>
    <w:rsid w:val="008812C7"/>
    <w:rsid w:val="0088132C"/>
    <w:rsid w:val="00881355"/>
    <w:rsid w:val="00881388"/>
    <w:rsid w:val="0088138F"/>
    <w:rsid w:val="008813FB"/>
    <w:rsid w:val="0088140B"/>
    <w:rsid w:val="00881445"/>
    <w:rsid w:val="008814AE"/>
    <w:rsid w:val="008814FC"/>
    <w:rsid w:val="00881507"/>
    <w:rsid w:val="00881517"/>
    <w:rsid w:val="00881534"/>
    <w:rsid w:val="00881581"/>
    <w:rsid w:val="00881593"/>
    <w:rsid w:val="008815A7"/>
    <w:rsid w:val="008815DF"/>
    <w:rsid w:val="00881613"/>
    <w:rsid w:val="00881619"/>
    <w:rsid w:val="00881662"/>
    <w:rsid w:val="0088168F"/>
    <w:rsid w:val="008816EA"/>
    <w:rsid w:val="00881722"/>
    <w:rsid w:val="0088173A"/>
    <w:rsid w:val="008817A6"/>
    <w:rsid w:val="008817D9"/>
    <w:rsid w:val="008817DB"/>
    <w:rsid w:val="008818A4"/>
    <w:rsid w:val="008818AF"/>
    <w:rsid w:val="008818D0"/>
    <w:rsid w:val="00881900"/>
    <w:rsid w:val="0088191F"/>
    <w:rsid w:val="00881981"/>
    <w:rsid w:val="008819B2"/>
    <w:rsid w:val="008819D6"/>
    <w:rsid w:val="00881A42"/>
    <w:rsid w:val="00881A79"/>
    <w:rsid w:val="00881AA5"/>
    <w:rsid w:val="00881B6C"/>
    <w:rsid w:val="00881C40"/>
    <w:rsid w:val="00881C49"/>
    <w:rsid w:val="00881C6A"/>
    <w:rsid w:val="00881C87"/>
    <w:rsid w:val="00881CE4"/>
    <w:rsid w:val="00881D6F"/>
    <w:rsid w:val="00881DAB"/>
    <w:rsid w:val="00881DC5"/>
    <w:rsid w:val="00881DD2"/>
    <w:rsid w:val="00881DD6"/>
    <w:rsid w:val="00881DFD"/>
    <w:rsid w:val="00881E6C"/>
    <w:rsid w:val="00881E8C"/>
    <w:rsid w:val="00881EC8"/>
    <w:rsid w:val="00881EF0"/>
    <w:rsid w:val="00881F79"/>
    <w:rsid w:val="00881FA4"/>
    <w:rsid w:val="0088201D"/>
    <w:rsid w:val="00882032"/>
    <w:rsid w:val="00882053"/>
    <w:rsid w:val="0088206A"/>
    <w:rsid w:val="00882123"/>
    <w:rsid w:val="00882167"/>
    <w:rsid w:val="008821A5"/>
    <w:rsid w:val="008821DD"/>
    <w:rsid w:val="0088220A"/>
    <w:rsid w:val="0088224F"/>
    <w:rsid w:val="0088225A"/>
    <w:rsid w:val="00882272"/>
    <w:rsid w:val="008822AD"/>
    <w:rsid w:val="008822BD"/>
    <w:rsid w:val="0088230E"/>
    <w:rsid w:val="0088234D"/>
    <w:rsid w:val="00882388"/>
    <w:rsid w:val="008823B9"/>
    <w:rsid w:val="008823D1"/>
    <w:rsid w:val="008823E6"/>
    <w:rsid w:val="00882415"/>
    <w:rsid w:val="00882451"/>
    <w:rsid w:val="00882486"/>
    <w:rsid w:val="008824F7"/>
    <w:rsid w:val="00882572"/>
    <w:rsid w:val="008825A3"/>
    <w:rsid w:val="00882645"/>
    <w:rsid w:val="008826C1"/>
    <w:rsid w:val="008826DA"/>
    <w:rsid w:val="00882714"/>
    <w:rsid w:val="0088272B"/>
    <w:rsid w:val="00882758"/>
    <w:rsid w:val="0088278A"/>
    <w:rsid w:val="00882792"/>
    <w:rsid w:val="008827A0"/>
    <w:rsid w:val="00882818"/>
    <w:rsid w:val="00882821"/>
    <w:rsid w:val="00882847"/>
    <w:rsid w:val="0088289D"/>
    <w:rsid w:val="0088296F"/>
    <w:rsid w:val="00882979"/>
    <w:rsid w:val="008829BC"/>
    <w:rsid w:val="008829D8"/>
    <w:rsid w:val="00882A79"/>
    <w:rsid w:val="00882AAB"/>
    <w:rsid w:val="00882B00"/>
    <w:rsid w:val="00882B10"/>
    <w:rsid w:val="00882B2B"/>
    <w:rsid w:val="00882B35"/>
    <w:rsid w:val="00882B58"/>
    <w:rsid w:val="00882BEC"/>
    <w:rsid w:val="00882BFB"/>
    <w:rsid w:val="00882C7A"/>
    <w:rsid w:val="00882C8C"/>
    <w:rsid w:val="00882CC0"/>
    <w:rsid w:val="00882CEC"/>
    <w:rsid w:val="00882D08"/>
    <w:rsid w:val="00882D36"/>
    <w:rsid w:val="00882D6C"/>
    <w:rsid w:val="00882DAD"/>
    <w:rsid w:val="00882DFD"/>
    <w:rsid w:val="00882E19"/>
    <w:rsid w:val="00882E39"/>
    <w:rsid w:val="00882E7D"/>
    <w:rsid w:val="00882E84"/>
    <w:rsid w:val="00882EE1"/>
    <w:rsid w:val="00882EEB"/>
    <w:rsid w:val="00882F21"/>
    <w:rsid w:val="00882F7C"/>
    <w:rsid w:val="00882F93"/>
    <w:rsid w:val="00882FB4"/>
    <w:rsid w:val="00882FBA"/>
    <w:rsid w:val="00883020"/>
    <w:rsid w:val="00883033"/>
    <w:rsid w:val="00883061"/>
    <w:rsid w:val="0088310D"/>
    <w:rsid w:val="00883136"/>
    <w:rsid w:val="00883141"/>
    <w:rsid w:val="00883156"/>
    <w:rsid w:val="00883160"/>
    <w:rsid w:val="00883184"/>
    <w:rsid w:val="00883230"/>
    <w:rsid w:val="00883235"/>
    <w:rsid w:val="008832AB"/>
    <w:rsid w:val="008832D7"/>
    <w:rsid w:val="00883312"/>
    <w:rsid w:val="00883353"/>
    <w:rsid w:val="0088335F"/>
    <w:rsid w:val="0088337C"/>
    <w:rsid w:val="00883387"/>
    <w:rsid w:val="008833B5"/>
    <w:rsid w:val="008833C3"/>
    <w:rsid w:val="008833EC"/>
    <w:rsid w:val="0088346A"/>
    <w:rsid w:val="008834ED"/>
    <w:rsid w:val="008834F9"/>
    <w:rsid w:val="0088352A"/>
    <w:rsid w:val="0088356F"/>
    <w:rsid w:val="008835C2"/>
    <w:rsid w:val="008835F6"/>
    <w:rsid w:val="00883645"/>
    <w:rsid w:val="008836EA"/>
    <w:rsid w:val="0088372D"/>
    <w:rsid w:val="008837DB"/>
    <w:rsid w:val="008837F6"/>
    <w:rsid w:val="008838C9"/>
    <w:rsid w:val="00883935"/>
    <w:rsid w:val="00883A8D"/>
    <w:rsid w:val="00883AD5"/>
    <w:rsid w:val="00883AEF"/>
    <w:rsid w:val="00883B2A"/>
    <w:rsid w:val="00883B3C"/>
    <w:rsid w:val="00883B8C"/>
    <w:rsid w:val="00883BBD"/>
    <w:rsid w:val="00883BC6"/>
    <w:rsid w:val="00883C64"/>
    <w:rsid w:val="00883C67"/>
    <w:rsid w:val="00883C83"/>
    <w:rsid w:val="00883C95"/>
    <w:rsid w:val="00883D36"/>
    <w:rsid w:val="00883D96"/>
    <w:rsid w:val="00883D9D"/>
    <w:rsid w:val="00883DAD"/>
    <w:rsid w:val="00883E41"/>
    <w:rsid w:val="00883E4F"/>
    <w:rsid w:val="00883EB4"/>
    <w:rsid w:val="00883EC0"/>
    <w:rsid w:val="00883EF9"/>
    <w:rsid w:val="00883F05"/>
    <w:rsid w:val="00883F21"/>
    <w:rsid w:val="00883F6A"/>
    <w:rsid w:val="00883FCE"/>
    <w:rsid w:val="00884032"/>
    <w:rsid w:val="0088404B"/>
    <w:rsid w:val="00884050"/>
    <w:rsid w:val="0088405D"/>
    <w:rsid w:val="00884178"/>
    <w:rsid w:val="008841A3"/>
    <w:rsid w:val="008841DC"/>
    <w:rsid w:val="00884231"/>
    <w:rsid w:val="00884239"/>
    <w:rsid w:val="00884290"/>
    <w:rsid w:val="008842CF"/>
    <w:rsid w:val="00884318"/>
    <w:rsid w:val="00884380"/>
    <w:rsid w:val="00884383"/>
    <w:rsid w:val="008843A8"/>
    <w:rsid w:val="008843BB"/>
    <w:rsid w:val="008843C5"/>
    <w:rsid w:val="008843CC"/>
    <w:rsid w:val="008843F1"/>
    <w:rsid w:val="0088440A"/>
    <w:rsid w:val="0088440E"/>
    <w:rsid w:val="0088442F"/>
    <w:rsid w:val="00884434"/>
    <w:rsid w:val="0088444A"/>
    <w:rsid w:val="008844F0"/>
    <w:rsid w:val="00884501"/>
    <w:rsid w:val="00884510"/>
    <w:rsid w:val="008845E5"/>
    <w:rsid w:val="00884604"/>
    <w:rsid w:val="00884651"/>
    <w:rsid w:val="00884664"/>
    <w:rsid w:val="0088467F"/>
    <w:rsid w:val="008846C7"/>
    <w:rsid w:val="008846F0"/>
    <w:rsid w:val="008846FC"/>
    <w:rsid w:val="008847C3"/>
    <w:rsid w:val="00884809"/>
    <w:rsid w:val="0088484F"/>
    <w:rsid w:val="008848CC"/>
    <w:rsid w:val="008848F5"/>
    <w:rsid w:val="0088495D"/>
    <w:rsid w:val="008849C2"/>
    <w:rsid w:val="008849CB"/>
    <w:rsid w:val="008849DB"/>
    <w:rsid w:val="00884A31"/>
    <w:rsid w:val="00884A49"/>
    <w:rsid w:val="00884A54"/>
    <w:rsid w:val="00884ABB"/>
    <w:rsid w:val="00884B82"/>
    <w:rsid w:val="00884C03"/>
    <w:rsid w:val="00884C31"/>
    <w:rsid w:val="00884C96"/>
    <w:rsid w:val="00884CBD"/>
    <w:rsid w:val="00884D81"/>
    <w:rsid w:val="00884D82"/>
    <w:rsid w:val="00884DB5"/>
    <w:rsid w:val="00884DC1"/>
    <w:rsid w:val="00884DC3"/>
    <w:rsid w:val="00884E11"/>
    <w:rsid w:val="00884E78"/>
    <w:rsid w:val="00884E87"/>
    <w:rsid w:val="00884F4F"/>
    <w:rsid w:val="00885008"/>
    <w:rsid w:val="00885034"/>
    <w:rsid w:val="00885053"/>
    <w:rsid w:val="008850A0"/>
    <w:rsid w:val="008850BE"/>
    <w:rsid w:val="00885129"/>
    <w:rsid w:val="00885197"/>
    <w:rsid w:val="00885203"/>
    <w:rsid w:val="00885240"/>
    <w:rsid w:val="00885290"/>
    <w:rsid w:val="00885292"/>
    <w:rsid w:val="008852AF"/>
    <w:rsid w:val="008852B6"/>
    <w:rsid w:val="008852F3"/>
    <w:rsid w:val="008853F4"/>
    <w:rsid w:val="00885448"/>
    <w:rsid w:val="00885452"/>
    <w:rsid w:val="0088546C"/>
    <w:rsid w:val="008854A8"/>
    <w:rsid w:val="008854AA"/>
    <w:rsid w:val="008854BE"/>
    <w:rsid w:val="008854D1"/>
    <w:rsid w:val="0088555F"/>
    <w:rsid w:val="0088556C"/>
    <w:rsid w:val="0088558D"/>
    <w:rsid w:val="0088559C"/>
    <w:rsid w:val="008855A1"/>
    <w:rsid w:val="008855A8"/>
    <w:rsid w:val="008855AC"/>
    <w:rsid w:val="00885666"/>
    <w:rsid w:val="0088566A"/>
    <w:rsid w:val="0088567C"/>
    <w:rsid w:val="008856C4"/>
    <w:rsid w:val="008856CF"/>
    <w:rsid w:val="008856D3"/>
    <w:rsid w:val="008856D8"/>
    <w:rsid w:val="008856ED"/>
    <w:rsid w:val="0088577D"/>
    <w:rsid w:val="00885808"/>
    <w:rsid w:val="00885851"/>
    <w:rsid w:val="0088587E"/>
    <w:rsid w:val="008858D1"/>
    <w:rsid w:val="008858E5"/>
    <w:rsid w:val="0088597A"/>
    <w:rsid w:val="0088597C"/>
    <w:rsid w:val="0088599E"/>
    <w:rsid w:val="00885A90"/>
    <w:rsid w:val="00885AF7"/>
    <w:rsid w:val="00885B4C"/>
    <w:rsid w:val="00885B84"/>
    <w:rsid w:val="00885BC5"/>
    <w:rsid w:val="00885CA0"/>
    <w:rsid w:val="00885CB4"/>
    <w:rsid w:val="00885CCB"/>
    <w:rsid w:val="00885CEA"/>
    <w:rsid w:val="00885D13"/>
    <w:rsid w:val="00885D27"/>
    <w:rsid w:val="00885D2D"/>
    <w:rsid w:val="00885E3E"/>
    <w:rsid w:val="00885E9E"/>
    <w:rsid w:val="00885EDD"/>
    <w:rsid w:val="00885EFA"/>
    <w:rsid w:val="00885F17"/>
    <w:rsid w:val="00885FB0"/>
    <w:rsid w:val="00885FBE"/>
    <w:rsid w:val="00886009"/>
    <w:rsid w:val="00886035"/>
    <w:rsid w:val="00886050"/>
    <w:rsid w:val="0088608B"/>
    <w:rsid w:val="008860B0"/>
    <w:rsid w:val="008860C1"/>
    <w:rsid w:val="008860D1"/>
    <w:rsid w:val="00886131"/>
    <w:rsid w:val="008861F4"/>
    <w:rsid w:val="00886240"/>
    <w:rsid w:val="0088630B"/>
    <w:rsid w:val="00886383"/>
    <w:rsid w:val="00886392"/>
    <w:rsid w:val="008863C6"/>
    <w:rsid w:val="00886497"/>
    <w:rsid w:val="008864C3"/>
    <w:rsid w:val="00886547"/>
    <w:rsid w:val="00886580"/>
    <w:rsid w:val="008865B7"/>
    <w:rsid w:val="008865E4"/>
    <w:rsid w:val="008865F7"/>
    <w:rsid w:val="0088660F"/>
    <w:rsid w:val="008866A0"/>
    <w:rsid w:val="008866C1"/>
    <w:rsid w:val="008866D1"/>
    <w:rsid w:val="00886719"/>
    <w:rsid w:val="0088679F"/>
    <w:rsid w:val="00886804"/>
    <w:rsid w:val="00886806"/>
    <w:rsid w:val="0088682D"/>
    <w:rsid w:val="00886852"/>
    <w:rsid w:val="0088687A"/>
    <w:rsid w:val="00886889"/>
    <w:rsid w:val="008868E4"/>
    <w:rsid w:val="00886915"/>
    <w:rsid w:val="00886920"/>
    <w:rsid w:val="00886937"/>
    <w:rsid w:val="00886943"/>
    <w:rsid w:val="00886993"/>
    <w:rsid w:val="008869BA"/>
    <w:rsid w:val="00886A3B"/>
    <w:rsid w:val="00886A62"/>
    <w:rsid w:val="00886A75"/>
    <w:rsid w:val="00886A77"/>
    <w:rsid w:val="00886AAB"/>
    <w:rsid w:val="00886AC1"/>
    <w:rsid w:val="00886AD8"/>
    <w:rsid w:val="00886B08"/>
    <w:rsid w:val="00886B0B"/>
    <w:rsid w:val="00886B1C"/>
    <w:rsid w:val="00886B88"/>
    <w:rsid w:val="00886B8B"/>
    <w:rsid w:val="00886B9B"/>
    <w:rsid w:val="00886B9D"/>
    <w:rsid w:val="00886BA8"/>
    <w:rsid w:val="00886BC6"/>
    <w:rsid w:val="00886BF5"/>
    <w:rsid w:val="00886C21"/>
    <w:rsid w:val="00886CBE"/>
    <w:rsid w:val="00886D3B"/>
    <w:rsid w:val="00886D5F"/>
    <w:rsid w:val="00886DF8"/>
    <w:rsid w:val="00886DFD"/>
    <w:rsid w:val="00886E2F"/>
    <w:rsid w:val="00886E66"/>
    <w:rsid w:val="00886EDE"/>
    <w:rsid w:val="00886F38"/>
    <w:rsid w:val="00886F95"/>
    <w:rsid w:val="00886F9B"/>
    <w:rsid w:val="00886FE6"/>
    <w:rsid w:val="00887018"/>
    <w:rsid w:val="00887067"/>
    <w:rsid w:val="00887082"/>
    <w:rsid w:val="00887091"/>
    <w:rsid w:val="008870CB"/>
    <w:rsid w:val="008870D8"/>
    <w:rsid w:val="0088710B"/>
    <w:rsid w:val="00887118"/>
    <w:rsid w:val="0088717F"/>
    <w:rsid w:val="008871CE"/>
    <w:rsid w:val="008871D1"/>
    <w:rsid w:val="0088728A"/>
    <w:rsid w:val="00887298"/>
    <w:rsid w:val="0088733C"/>
    <w:rsid w:val="00887371"/>
    <w:rsid w:val="008873C0"/>
    <w:rsid w:val="008873CF"/>
    <w:rsid w:val="008873D6"/>
    <w:rsid w:val="008873DE"/>
    <w:rsid w:val="00887400"/>
    <w:rsid w:val="008874C8"/>
    <w:rsid w:val="00887510"/>
    <w:rsid w:val="00887574"/>
    <w:rsid w:val="00887584"/>
    <w:rsid w:val="00887598"/>
    <w:rsid w:val="0088759D"/>
    <w:rsid w:val="008875D8"/>
    <w:rsid w:val="00887672"/>
    <w:rsid w:val="008876DE"/>
    <w:rsid w:val="008876E8"/>
    <w:rsid w:val="008876E9"/>
    <w:rsid w:val="0088771B"/>
    <w:rsid w:val="0088774E"/>
    <w:rsid w:val="00887755"/>
    <w:rsid w:val="00887830"/>
    <w:rsid w:val="00887863"/>
    <w:rsid w:val="00887883"/>
    <w:rsid w:val="00887967"/>
    <w:rsid w:val="00887976"/>
    <w:rsid w:val="008879A3"/>
    <w:rsid w:val="008879E2"/>
    <w:rsid w:val="008879F2"/>
    <w:rsid w:val="00887A45"/>
    <w:rsid w:val="00887A69"/>
    <w:rsid w:val="00887AED"/>
    <w:rsid w:val="00887B3B"/>
    <w:rsid w:val="00887B3C"/>
    <w:rsid w:val="00887B64"/>
    <w:rsid w:val="00887BCC"/>
    <w:rsid w:val="00887BED"/>
    <w:rsid w:val="00887C08"/>
    <w:rsid w:val="00887C33"/>
    <w:rsid w:val="00887C55"/>
    <w:rsid w:val="00887CB1"/>
    <w:rsid w:val="00887CF0"/>
    <w:rsid w:val="00887D67"/>
    <w:rsid w:val="00887D95"/>
    <w:rsid w:val="00887DA9"/>
    <w:rsid w:val="00887E0D"/>
    <w:rsid w:val="00887E14"/>
    <w:rsid w:val="00887E3E"/>
    <w:rsid w:val="00887F00"/>
    <w:rsid w:val="00887F79"/>
    <w:rsid w:val="00887F7F"/>
    <w:rsid w:val="00887FA1"/>
    <w:rsid w:val="00887FBE"/>
    <w:rsid w:val="00887FFA"/>
    <w:rsid w:val="00887FFC"/>
    <w:rsid w:val="00890060"/>
    <w:rsid w:val="00890080"/>
    <w:rsid w:val="00890131"/>
    <w:rsid w:val="0089018A"/>
    <w:rsid w:val="0089018E"/>
    <w:rsid w:val="008901AB"/>
    <w:rsid w:val="008901F1"/>
    <w:rsid w:val="00890248"/>
    <w:rsid w:val="00890282"/>
    <w:rsid w:val="0089029E"/>
    <w:rsid w:val="008902BB"/>
    <w:rsid w:val="008902CD"/>
    <w:rsid w:val="0089031C"/>
    <w:rsid w:val="0089031D"/>
    <w:rsid w:val="0089032E"/>
    <w:rsid w:val="0089034D"/>
    <w:rsid w:val="008903B2"/>
    <w:rsid w:val="008903C0"/>
    <w:rsid w:val="008903EC"/>
    <w:rsid w:val="00890402"/>
    <w:rsid w:val="00890452"/>
    <w:rsid w:val="00890482"/>
    <w:rsid w:val="00890518"/>
    <w:rsid w:val="00890531"/>
    <w:rsid w:val="00890590"/>
    <w:rsid w:val="008905E9"/>
    <w:rsid w:val="00890656"/>
    <w:rsid w:val="008906B7"/>
    <w:rsid w:val="008906BE"/>
    <w:rsid w:val="008906CD"/>
    <w:rsid w:val="008906D4"/>
    <w:rsid w:val="008906E7"/>
    <w:rsid w:val="008906F1"/>
    <w:rsid w:val="00890701"/>
    <w:rsid w:val="0089077C"/>
    <w:rsid w:val="008907AE"/>
    <w:rsid w:val="008907C0"/>
    <w:rsid w:val="008907FE"/>
    <w:rsid w:val="00890808"/>
    <w:rsid w:val="0089094D"/>
    <w:rsid w:val="008909A7"/>
    <w:rsid w:val="008909DF"/>
    <w:rsid w:val="00890A6D"/>
    <w:rsid w:val="00890A85"/>
    <w:rsid w:val="00890AC1"/>
    <w:rsid w:val="00890AE1"/>
    <w:rsid w:val="00890AE6"/>
    <w:rsid w:val="00890B55"/>
    <w:rsid w:val="00890B94"/>
    <w:rsid w:val="00890BDE"/>
    <w:rsid w:val="00890C57"/>
    <w:rsid w:val="00890C93"/>
    <w:rsid w:val="00890D0E"/>
    <w:rsid w:val="00890D45"/>
    <w:rsid w:val="00890D82"/>
    <w:rsid w:val="00890E03"/>
    <w:rsid w:val="00890E42"/>
    <w:rsid w:val="00890E8D"/>
    <w:rsid w:val="00890EBB"/>
    <w:rsid w:val="00890EE9"/>
    <w:rsid w:val="00891009"/>
    <w:rsid w:val="00891020"/>
    <w:rsid w:val="00891065"/>
    <w:rsid w:val="008910B9"/>
    <w:rsid w:val="008910FE"/>
    <w:rsid w:val="00891113"/>
    <w:rsid w:val="0089111C"/>
    <w:rsid w:val="00891131"/>
    <w:rsid w:val="008911CF"/>
    <w:rsid w:val="00891231"/>
    <w:rsid w:val="008912AD"/>
    <w:rsid w:val="008912DE"/>
    <w:rsid w:val="008912DF"/>
    <w:rsid w:val="00891365"/>
    <w:rsid w:val="00891370"/>
    <w:rsid w:val="008913C5"/>
    <w:rsid w:val="008913FD"/>
    <w:rsid w:val="0089141E"/>
    <w:rsid w:val="0089142E"/>
    <w:rsid w:val="00891439"/>
    <w:rsid w:val="0089144D"/>
    <w:rsid w:val="0089145E"/>
    <w:rsid w:val="00891470"/>
    <w:rsid w:val="00891475"/>
    <w:rsid w:val="008914C9"/>
    <w:rsid w:val="008914FA"/>
    <w:rsid w:val="008915B0"/>
    <w:rsid w:val="00891635"/>
    <w:rsid w:val="0089172C"/>
    <w:rsid w:val="00891737"/>
    <w:rsid w:val="00891771"/>
    <w:rsid w:val="008917CB"/>
    <w:rsid w:val="008917D9"/>
    <w:rsid w:val="008917EA"/>
    <w:rsid w:val="00891816"/>
    <w:rsid w:val="00891828"/>
    <w:rsid w:val="00891845"/>
    <w:rsid w:val="00891910"/>
    <w:rsid w:val="00891945"/>
    <w:rsid w:val="0089196E"/>
    <w:rsid w:val="008919A1"/>
    <w:rsid w:val="00891A59"/>
    <w:rsid w:val="00891ACA"/>
    <w:rsid w:val="00891B11"/>
    <w:rsid w:val="00891B51"/>
    <w:rsid w:val="00891BA3"/>
    <w:rsid w:val="00891C53"/>
    <w:rsid w:val="00891C67"/>
    <w:rsid w:val="00891C80"/>
    <w:rsid w:val="00891D03"/>
    <w:rsid w:val="00891DB9"/>
    <w:rsid w:val="00891DF9"/>
    <w:rsid w:val="00891E3E"/>
    <w:rsid w:val="00891E5A"/>
    <w:rsid w:val="00891E6E"/>
    <w:rsid w:val="00891E90"/>
    <w:rsid w:val="00891EA6"/>
    <w:rsid w:val="00891EB5"/>
    <w:rsid w:val="00891EBC"/>
    <w:rsid w:val="00891EDB"/>
    <w:rsid w:val="00891F14"/>
    <w:rsid w:val="00891F33"/>
    <w:rsid w:val="00891F47"/>
    <w:rsid w:val="00891F67"/>
    <w:rsid w:val="00891F6A"/>
    <w:rsid w:val="00891F6F"/>
    <w:rsid w:val="00891F79"/>
    <w:rsid w:val="00891F93"/>
    <w:rsid w:val="00891FA0"/>
    <w:rsid w:val="00891FD1"/>
    <w:rsid w:val="00891FE0"/>
    <w:rsid w:val="00891FFB"/>
    <w:rsid w:val="00892034"/>
    <w:rsid w:val="00892090"/>
    <w:rsid w:val="008921AE"/>
    <w:rsid w:val="008921B9"/>
    <w:rsid w:val="00892207"/>
    <w:rsid w:val="0089223F"/>
    <w:rsid w:val="00892254"/>
    <w:rsid w:val="0089228A"/>
    <w:rsid w:val="0089231A"/>
    <w:rsid w:val="0089235C"/>
    <w:rsid w:val="0089236A"/>
    <w:rsid w:val="0089236F"/>
    <w:rsid w:val="00892379"/>
    <w:rsid w:val="00892382"/>
    <w:rsid w:val="008923A5"/>
    <w:rsid w:val="008923E1"/>
    <w:rsid w:val="008923F0"/>
    <w:rsid w:val="0089244A"/>
    <w:rsid w:val="0089249F"/>
    <w:rsid w:val="008924CC"/>
    <w:rsid w:val="008924F6"/>
    <w:rsid w:val="00892505"/>
    <w:rsid w:val="0089250F"/>
    <w:rsid w:val="00892612"/>
    <w:rsid w:val="00892642"/>
    <w:rsid w:val="0089266A"/>
    <w:rsid w:val="00892692"/>
    <w:rsid w:val="008926D5"/>
    <w:rsid w:val="00892703"/>
    <w:rsid w:val="00892761"/>
    <w:rsid w:val="0089277B"/>
    <w:rsid w:val="008927C0"/>
    <w:rsid w:val="00892818"/>
    <w:rsid w:val="008928D0"/>
    <w:rsid w:val="0089291F"/>
    <w:rsid w:val="0089292E"/>
    <w:rsid w:val="0089296F"/>
    <w:rsid w:val="008929BE"/>
    <w:rsid w:val="008929C6"/>
    <w:rsid w:val="008929D8"/>
    <w:rsid w:val="00892A58"/>
    <w:rsid w:val="00892A75"/>
    <w:rsid w:val="00892A9E"/>
    <w:rsid w:val="00892AA4"/>
    <w:rsid w:val="00892B4F"/>
    <w:rsid w:val="00892B56"/>
    <w:rsid w:val="00892B9D"/>
    <w:rsid w:val="00892BB6"/>
    <w:rsid w:val="00892BB9"/>
    <w:rsid w:val="00892BFE"/>
    <w:rsid w:val="00892C17"/>
    <w:rsid w:val="00892C38"/>
    <w:rsid w:val="00892C7F"/>
    <w:rsid w:val="00892C94"/>
    <w:rsid w:val="00892CF1"/>
    <w:rsid w:val="00892D44"/>
    <w:rsid w:val="00892DB8"/>
    <w:rsid w:val="00892E51"/>
    <w:rsid w:val="00892EF8"/>
    <w:rsid w:val="00892F57"/>
    <w:rsid w:val="00892F6E"/>
    <w:rsid w:val="00892F82"/>
    <w:rsid w:val="00892F84"/>
    <w:rsid w:val="00893005"/>
    <w:rsid w:val="008930B9"/>
    <w:rsid w:val="008930DD"/>
    <w:rsid w:val="0089310F"/>
    <w:rsid w:val="00893133"/>
    <w:rsid w:val="00893145"/>
    <w:rsid w:val="0089318C"/>
    <w:rsid w:val="008931BD"/>
    <w:rsid w:val="0089320D"/>
    <w:rsid w:val="00893239"/>
    <w:rsid w:val="00893264"/>
    <w:rsid w:val="0089326A"/>
    <w:rsid w:val="008932F4"/>
    <w:rsid w:val="00893320"/>
    <w:rsid w:val="008933C7"/>
    <w:rsid w:val="00893490"/>
    <w:rsid w:val="00893492"/>
    <w:rsid w:val="00893503"/>
    <w:rsid w:val="00893505"/>
    <w:rsid w:val="0089356B"/>
    <w:rsid w:val="00893590"/>
    <w:rsid w:val="008935A2"/>
    <w:rsid w:val="00893628"/>
    <w:rsid w:val="0089365F"/>
    <w:rsid w:val="0089366E"/>
    <w:rsid w:val="00893690"/>
    <w:rsid w:val="00893710"/>
    <w:rsid w:val="00893716"/>
    <w:rsid w:val="008937C2"/>
    <w:rsid w:val="008937E6"/>
    <w:rsid w:val="008937F9"/>
    <w:rsid w:val="00893802"/>
    <w:rsid w:val="00893852"/>
    <w:rsid w:val="00893884"/>
    <w:rsid w:val="008938BC"/>
    <w:rsid w:val="008938C1"/>
    <w:rsid w:val="008938E5"/>
    <w:rsid w:val="008939BA"/>
    <w:rsid w:val="00893A7A"/>
    <w:rsid w:val="00893A8C"/>
    <w:rsid w:val="00893A95"/>
    <w:rsid w:val="00893AB3"/>
    <w:rsid w:val="00893B47"/>
    <w:rsid w:val="00893BE1"/>
    <w:rsid w:val="00893BF7"/>
    <w:rsid w:val="00893CDC"/>
    <w:rsid w:val="00893CE2"/>
    <w:rsid w:val="00893D20"/>
    <w:rsid w:val="00893D4E"/>
    <w:rsid w:val="00893D62"/>
    <w:rsid w:val="00893E49"/>
    <w:rsid w:val="00893E95"/>
    <w:rsid w:val="00893ED5"/>
    <w:rsid w:val="00893ED7"/>
    <w:rsid w:val="00893FF4"/>
    <w:rsid w:val="00893FF5"/>
    <w:rsid w:val="00894018"/>
    <w:rsid w:val="00894067"/>
    <w:rsid w:val="008940A2"/>
    <w:rsid w:val="008940DD"/>
    <w:rsid w:val="008940F1"/>
    <w:rsid w:val="008941D8"/>
    <w:rsid w:val="00894210"/>
    <w:rsid w:val="0089421A"/>
    <w:rsid w:val="00894244"/>
    <w:rsid w:val="0089426E"/>
    <w:rsid w:val="008942B8"/>
    <w:rsid w:val="00894345"/>
    <w:rsid w:val="00894382"/>
    <w:rsid w:val="00894388"/>
    <w:rsid w:val="008943BA"/>
    <w:rsid w:val="008943C9"/>
    <w:rsid w:val="00894409"/>
    <w:rsid w:val="0089442C"/>
    <w:rsid w:val="00894528"/>
    <w:rsid w:val="00894563"/>
    <w:rsid w:val="008945E9"/>
    <w:rsid w:val="0089462D"/>
    <w:rsid w:val="00894639"/>
    <w:rsid w:val="0089463A"/>
    <w:rsid w:val="00894671"/>
    <w:rsid w:val="008946B6"/>
    <w:rsid w:val="008946EE"/>
    <w:rsid w:val="008947C3"/>
    <w:rsid w:val="008947DF"/>
    <w:rsid w:val="0089489F"/>
    <w:rsid w:val="008948E0"/>
    <w:rsid w:val="008948F2"/>
    <w:rsid w:val="00894911"/>
    <w:rsid w:val="0089491B"/>
    <w:rsid w:val="008949C1"/>
    <w:rsid w:val="008949E0"/>
    <w:rsid w:val="008949EB"/>
    <w:rsid w:val="008949F1"/>
    <w:rsid w:val="00894AF4"/>
    <w:rsid w:val="00894B02"/>
    <w:rsid w:val="00894B0A"/>
    <w:rsid w:val="00894B81"/>
    <w:rsid w:val="00894BA6"/>
    <w:rsid w:val="00894C12"/>
    <w:rsid w:val="00894C19"/>
    <w:rsid w:val="00894C1C"/>
    <w:rsid w:val="00894C42"/>
    <w:rsid w:val="00894C53"/>
    <w:rsid w:val="00894D43"/>
    <w:rsid w:val="00894D68"/>
    <w:rsid w:val="00894E13"/>
    <w:rsid w:val="00894E1D"/>
    <w:rsid w:val="00894E2B"/>
    <w:rsid w:val="00894E45"/>
    <w:rsid w:val="00894E57"/>
    <w:rsid w:val="00894E9F"/>
    <w:rsid w:val="00894ECA"/>
    <w:rsid w:val="00894EDB"/>
    <w:rsid w:val="00894F38"/>
    <w:rsid w:val="00894F72"/>
    <w:rsid w:val="00894FD7"/>
    <w:rsid w:val="00894FDA"/>
    <w:rsid w:val="00894FE6"/>
    <w:rsid w:val="00895062"/>
    <w:rsid w:val="008950CE"/>
    <w:rsid w:val="008950FE"/>
    <w:rsid w:val="00895242"/>
    <w:rsid w:val="0089524F"/>
    <w:rsid w:val="00895282"/>
    <w:rsid w:val="0089528F"/>
    <w:rsid w:val="008952D6"/>
    <w:rsid w:val="0089531B"/>
    <w:rsid w:val="00895350"/>
    <w:rsid w:val="00895394"/>
    <w:rsid w:val="0089539D"/>
    <w:rsid w:val="0089539F"/>
    <w:rsid w:val="00895404"/>
    <w:rsid w:val="00895412"/>
    <w:rsid w:val="00895455"/>
    <w:rsid w:val="0089547D"/>
    <w:rsid w:val="0089547F"/>
    <w:rsid w:val="008954E9"/>
    <w:rsid w:val="008955D6"/>
    <w:rsid w:val="008955DB"/>
    <w:rsid w:val="00895648"/>
    <w:rsid w:val="008956A2"/>
    <w:rsid w:val="0089570A"/>
    <w:rsid w:val="00895763"/>
    <w:rsid w:val="008957A1"/>
    <w:rsid w:val="00895831"/>
    <w:rsid w:val="00895878"/>
    <w:rsid w:val="00895895"/>
    <w:rsid w:val="008958BF"/>
    <w:rsid w:val="008958F6"/>
    <w:rsid w:val="00895914"/>
    <w:rsid w:val="00895965"/>
    <w:rsid w:val="0089598C"/>
    <w:rsid w:val="00895A58"/>
    <w:rsid w:val="00895A60"/>
    <w:rsid w:val="00895AA4"/>
    <w:rsid w:val="00895ABD"/>
    <w:rsid w:val="00895AFC"/>
    <w:rsid w:val="00895B01"/>
    <w:rsid w:val="00895B2C"/>
    <w:rsid w:val="00895B6D"/>
    <w:rsid w:val="00895B8B"/>
    <w:rsid w:val="00895C60"/>
    <w:rsid w:val="00895C7E"/>
    <w:rsid w:val="00895CF7"/>
    <w:rsid w:val="00895E4A"/>
    <w:rsid w:val="00895E4B"/>
    <w:rsid w:val="00895E60"/>
    <w:rsid w:val="00895FCB"/>
    <w:rsid w:val="00896003"/>
    <w:rsid w:val="0089600E"/>
    <w:rsid w:val="00896062"/>
    <w:rsid w:val="008960CF"/>
    <w:rsid w:val="008960D0"/>
    <w:rsid w:val="008960D1"/>
    <w:rsid w:val="00896102"/>
    <w:rsid w:val="00896106"/>
    <w:rsid w:val="00896129"/>
    <w:rsid w:val="008961CB"/>
    <w:rsid w:val="0089620F"/>
    <w:rsid w:val="00896220"/>
    <w:rsid w:val="0089622F"/>
    <w:rsid w:val="008962BC"/>
    <w:rsid w:val="008962FC"/>
    <w:rsid w:val="0089630A"/>
    <w:rsid w:val="00896361"/>
    <w:rsid w:val="0089637B"/>
    <w:rsid w:val="0089639F"/>
    <w:rsid w:val="008963EB"/>
    <w:rsid w:val="00896474"/>
    <w:rsid w:val="0089647E"/>
    <w:rsid w:val="0089648A"/>
    <w:rsid w:val="008964AB"/>
    <w:rsid w:val="008964D3"/>
    <w:rsid w:val="008964D6"/>
    <w:rsid w:val="008964EB"/>
    <w:rsid w:val="00896514"/>
    <w:rsid w:val="00896554"/>
    <w:rsid w:val="008965B9"/>
    <w:rsid w:val="008965F0"/>
    <w:rsid w:val="0089663C"/>
    <w:rsid w:val="0089663F"/>
    <w:rsid w:val="0089665F"/>
    <w:rsid w:val="008966D3"/>
    <w:rsid w:val="0089673F"/>
    <w:rsid w:val="00896747"/>
    <w:rsid w:val="00896755"/>
    <w:rsid w:val="00896777"/>
    <w:rsid w:val="0089678A"/>
    <w:rsid w:val="008967A8"/>
    <w:rsid w:val="008967B5"/>
    <w:rsid w:val="008967F4"/>
    <w:rsid w:val="00896809"/>
    <w:rsid w:val="00896870"/>
    <w:rsid w:val="008968FF"/>
    <w:rsid w:val="00896960"/>
    <w:rsid w:val="00896A05"/>
    <w:rsid w:val="00896A08"/>
    <w:rsid w:val="00896A21"/>
    <w:rsid w:val="00896A68"/>
    <w:rsid w:val="00896A85"/>
    <w:rsid w:val="00896AA5"/>
    <w:rsid w:val="00896AC7"/>
    <w:rsid w:val="00896ACA"/>
    <w:rsid w:val="00896AF6"/>
    <w:rsid w:val="00896B20"/>
    <w:rsid w:val="00896B5E"/>
    <w:rsid w:val="00896B79"/>
    <w:rsid w:val="00896BA9"/>
    <w:rsid w:val="00896BB5"/>
    <w:rsid w:val="00896BBB"/>
    <w:rsid w:val="00896BDA"/>
    <w:rsid w:val="00896BF9"/>
    <w:rsid w:val="00896C60"/>
    <w:rsid w:val="00896C9B"/>
    <w:rsid w:val="00896CCD"/>
    <w:rsid w:val="00896D08"/>
    <w:rsid w:val="00896DCB"/>
    <w:rsid w:val="00896DF9"/>
    <w:rsid w:val="00896E0E"/>
    <w:rsid w:val="00896E91"/>
    <w:rsid w:val="00896EAA"/>
    <w:rsid w:val="00896EBE"/>
    <w:rsid w:val="00896EF4"/>
    <w:rsid w:val="00896EFD"/>
    <w:rsid w:val="00896F2E"/>
    <w:rsid w:val="00896F66"/>
    <w:rsid w:val="00896FC2"/>
    <w:rsid w:val="00897036"/>
    <w:rsid w:val="0089709B"/>
    <w:rsid w:val="008970C4"/>
    <w:rsid w:val="0089710A"/>
    <w:rsid w:val="0089711A"/>
    <w:rsid w:val="00897144"/>
    <w:rsid w:val="00897167"/>
    <w:rsid w:val="008971CD"/>
    <w:rsid w:val="0089724C"/>
    <w:rsid w:val="00897367"/>
    <w:rsid w:val="00897377"/>
    <w:rsid w:val="008973CD"/>
    <w:rsid w:val="008973DE"/>
    <w:rsid w:val="00897442"/>
    <w:rsid w:val="00897482"/>
    <w:rsid w:val="008974CC"/>
    <w:rsid w:val="008975C6"/>
    <w:rsid w:val="008975D8"/>
    <w:rsid w:val="00897601"/>
    <w:rsid w:val="00897643"/>
    <w:rsid w:val="00897663"/>
    <w:rsid w:val="00897669"/>
    <w:rsid w:val="0089768E"/>
    <w:rsid w:val="0089769E"/>
    <w:rsid w:val="008976C2"/>
    <w:rsid w:val="008976F0"/>
    <w:rsid w:val="00897707"/>
    <w:rsid w:val="00897716"/>
    <w:rsid w:val="00897731"/>
    <w:rsid w:val="0089774E"/>
    <w:rsid w:val="00897753"/>
    <w:rsid w:val="0089777D"/>
    <w:rsid w:val="008977C2"/>
    <w:rsid w:val="0089780C"/>
    <w:rsid w:val="00897863"/>
    <w:rsid w:val="00897868"/>
    <w:rsid w:val="00897876"/>
    <w:rsid w:val="008978A4"/>
    <w:rsid w:val="008978C2"/>
    <w:rsid w:val="008978D9"/>
    <w:rsid w:val="0089796A"/>
    <w:rsid w:val="00897987"/>
    <w:rsid w:val="008979E8"/>
    <w:rsid w:val="00897A1E"/>
    <w:rsid w:val="00897A33"/>
    <w:rsid w:val="00897A76"/>
    <w:rsid w:val="00897A99"/>
    <w:rsid w:val="00897B57"/>
    <w:rsid w:val="00897B6D"/>
    <w:rsid w:val="00897B75"/>
    <w:rsid w:val="00897B97"/>
    <w:rsid w:val="00897BDC"/>
    <w:rsid w:val="00897C02"/>
    <w:rsid w:val="00897C0B"/>
    <w:rsid w:val="00897C9E"/>
    <w:rsid w:val="00897D69"/>
    <w:rsid w:val="00897DA9"/>
    <w:rsid w:val="00897DB9"/>
    <w:rsid w:val="00897DCE"/>
    <w:rsid w:val="00897E1C"/>
    <w:rsid w:val="00897E52"/>
    <w:rsid w:val="00897ED6"/>
    <w:rsid w:val="00897F02"/>
    <w:rsid w:val="00897F1C"/>
    <w:rsid w:val="00897FA3"/>
    <w:rsid w:val="00897FDF"/>
    <w:rsid w:val="00897FF3"/>
    <w:rsid w:val="008A0046"/>
    <w:rsid w:val="008A007A"/>
    <w:rsid w:val="008A0163"/>
    <w:rsid w:val="008A0177"/>
    <w:rsid w:val="008A01AC"/>
    <w:rsid w:val="008A01AD"/>
    <w:rsid w:val="008A01BF"/>
    <w:rsid w:val="008A01C0"/>
    <w:rsid w:val="008A01C9"/>
    <w:rsid w:val="008A01E8"/>
    <w:rsid w:val="008A0272"/>
    <w:rsid w:val="008A02BF"/>
    <w:rsid w:val="008A034C"/>
    <w:rsid w:val="008A0397"/>
    <w:rsid w:val="008A039B"/>
    <w:rsid w:val="008A039D"/>
    <w:rsid w:val="008A03BD"/>
    <w:rsid w:val="008A03C7"/>
    <w:rsid w:val="008A03F6"/>
    <w:rsid w:val="008A0420"/>
    <w:rsid w:val="008A042D"/>
    <w:rsid w:val="008A0463"/>
    <w:rsid w:val="008A0467"/>
    <w:rsid w:val="008A04D0"/>
    <w:rsid w:val="008A04F1"/>
    <w:rsid w:val="008A0561"/>
    <w:rsid w:val="008A058B"/>
    <w:rsid w:val="008A05A5"/>
    <w:rsid w:val="008A05A6"/>
    <w:rsid w:val="008A05B2"/>
    <w:rsid w:val="008A064B"/>
    <w:rsid w:val="008A0671"/>
    <w:rsid w:val="008A0675"/>
    <w:rsid w:val="008A06A2"/>
    <w:rsid w:val="008A06AB"/>
    <w:rsid w:val="008A075B"/>
    <w:rsid w:val="008A076B"/>
    <w:rsid w:val="008A081B"/>
    <w:rsid w:val="008A0891"/>
    <w:rsid w:val="008A08EC"/>
    <w:rsid w:val="008A095D"/>
    <w:rsid w:val="008A096C"/>
    <w:rsid w:val="008A09A2"/>
    <w:rsid w:val="008A09BA"/>
    <w:rsid w:val="008A09C6"/>
    <w:rsid w:val="008A09DA"/>
    <w:rsid w:val="008A0A3B"/>
    <w:rsid w:val="008A0A8F"/>
    <w:rsid w:val="008A0A98"/>
    <w:rsid w:val="008A0AAE"/>
    <w:rsid w:val="008A0ABA"/>
    <w:rsid w:val="008A0B22"/>
    <w:rsid w:val="008A0B59"/>
    <w:rsid w:val="008A0B97"/>
    <w:rsid w:val="008A0BB8"/>
    <w:rsid w:val="008A0BD6"/>
    <w:rsid w:val="008A0BF7"/>
    <w:rsid w:val="008A0C05"/>
    <w:rsid w:val="008A0C5D"/>
    <w:rsid w:val="008A0CA2"/>
    <w:rsid w:val="008A0D49"/>
    <w:rsid w:val="008A0D4A"/>
    <w:rsid w:val="008A0D75"/>
    <w:rsid w:val="008A0E4F"/>
    <w:rsid w:val="008A0E80"/>
    <w:rsid w:val="008A0EB1"/>
    <w:rsid w:val="008A0F25"/>
    <w:rsid w:val="008A0F4D"/>
    <w:rsid w:val="008A0F77"/>
    <w:rsid w:val="008A0F8B"/>
    <w:rsid w:val="008A1011"/>
    <w:rsid w:val="008A101C"/>
    <w:rsid w:val="008A1048"/>
    <w:rsid w:val="008A1049"/>
    <w:rsid w:val="008A108E"/>
    <w:rsid w:val="008A1099"/>
    <w:rsid w:val="008A10AC"/>
    <w:rsid w:val="008A1105"/>
    <w:rsid w:val="008A110C"/>
    <w:rsid w:val="008A1165"/>
    <w:rsid w:val="008A117E"/>
    <w:rsid w:val="008A11C3"/>
    <w:rsid w:val="008A11F9"/>
    <w:rsid w:val="008A1217"/>
    <w:rsid w:val="008A1283"/>
    <w:rsid w:val="008A1297"/>
    <w:rsid w:val="008A12B8"/>
    <w:rsid w:val="008A12BA"/>
    <w:rsid w:val="008A12E8"/>
    <w:rsid w:val="008A13BD"/>
    <w:rsid w:val="008A140E"/>
    <w:rsid w:val="008A1461"/>
    <w:rsid w:val="008A14B1"/>
    <w:rsid w:val="008A14D5"/>
    <w:rsid w:val="008A14E3"/>
    <w:rsid w:val="008A1511"/>
    <w:rsid w:val="008A1556"/>
    <w:rsid w:val="008A15BA"/>
    <w:rsid w:val="008A15D6"/>
    <w:rsid w:val="008A162A"/>
    <w:rsid w:val="008A162E"/>
    <w:rsid w:val="008A1631"/>
    <w:rsid w:val="008A16AD"/>
    <w:rsid w:val="008A16C7"/>
    <w:rsid w:val="008A1723"/>
    <w:rsid w:val="008A1768"/>
    <w:rsid w:val="008A1788"/>
    <w:rsid w:val="008A1791"/>
    <w:rsid w:val="008A17CA"/>
    <w:rsid w:val="008A17EF"/>
    <w:rsid w:val="008A18C7"/>
    <w:rsid w:val="008A18FA"/>
    <w:rsid w:val="008A1900"/>
    <w:rsid w:val="008A194C"/>
    <w:rsid w:val="008A1994"/>
    <w:rsid w:val="008A199C"/>
    <w:rsid w:val="008A19D1"/>
    <w:rsid w:val="008A1A03"/>
    <w:rsid w:val="008A1A62"/>
    <w:rsid w:val="008A1A64"/>
    <w:rsid w:val="008A1A7E"/>
    <w:rsid w:val="008A1AD5"/>
    <w:rsid w:val="008A1AE4"/>
    <w:rsid w:val="008A1B57"/>
    <w:rsid w:val="008A1B5A"/>
    <w:rsid w:val="008A1C2D"/>
    <w:rsid w:val="008A1C56"/>
    <w:rsid w:val="008A1CB2"/>
    <w:rsid w:val="008A1CCA"/>
    <w:rsid w:val="008A1CE2"/>
    <w:rsid w:val="008A1CFF"/>
    <w:rsid w:val="008A1D91"/>
    <w:rsid w:val="008A1DF8"/>
    <w:rsid w:val="008A1E55"/>
    <w:rsid w:val="008A1EAF"/>
    <w:rsid w:val="008A1EBB"/>
    <w:rsid w:val="008A1EE0"/>
    <w:rsid w:val="008A1F08"/>
    <w:rsid w:val="008A1F23"/>
    <w:rsid w:val="008A1F24"/>
    <w:rsid w:val="008A1F28"/>
    <w:rsid w:val="008A1F69"/>
    <w:rsid w:val="008A1FA3"/>
    <w:rsid w:val="008A1FBF"/>
    <w:rsid w:val="008A1FF6"/>
    <w:rsid w:val="008A2002"/>
    <w:rsid w:val="008A202E"/>
    <w:rsid w:val="008A2062"/>
    <w:rsid w:val="008A2070"/>
    <w:rsid w:val="008A20A3"/>
    <w:rsid w:val="008A20FE"/>
    <w:rsid w:val="008A2154"/>
    <w:rsid w:val="008A215D"/>
    <w:rsid w:val="008A217B"/>
    <w:rsid w:val="008A21D5"/>
    <w:rsid w:val="008A2243"/>
    <w:rsid w:val="008A224D"/>
    <w:rsid w:val="008A2274"/>
    <w:rsid w:val="008A2285"/>
    <w:rsid w:val="008A228E"/>
    <w:rsid w:val="008A2306"/>
    <w:rsid w:val="008A2308"/>
    <w:rsid w:val="008A2324"/>
    <w:rsid w:val="008A2326"/>
    <w:rsid w:val="008A233B"/>
    <w:rsid w:val="008A235A"/>
    <w:rsid w:val="008A236B"/>
    <w:rsid w:val="008A23CC"/>
    <w:rsid w:val="008A23CF"/>
    <w:rsid w:val="008A2423"/>
    <w:rsid w:val="008A2428"/>
    <w:rsid w:val="008A2449"/>
    <w:rsid w:val="008A24BA"/>
    <w:rsid w:val="008A24D7"/>
    <w:rsid w:val="008A24FE"/>
    <w:rsid w:val="008A2545"/>
    <w:rsid w:val="008A2588"/>
    <w:rsid w:val="008A2636"/>
    <w:rsid w:val="008A2648"/>
    <w:rsid w:val="008A264F"/>
    <w:rsid w:val="008A2664"/>
    <w:rsid w:val="008A2669"/>
    <w:rsid w:val="008A268E"/>
    <w:rsid w:val="008A2698"/>
    <w:rsid w:val="008A26CD"/>
    <w:rsid w:val="008A26D9"/>
    <w:rsid w:val="008A273B"/>
    <w:rsid w:val="008A2741"/>
    <w:rsid w:val="008A2743"/>
    <w:rsid w:val="008A2745"/>
    <w:rsid w:val="008A2761"/>
    <w:rsid w:val="008A27EE"/>
    <w:rsid w:val="008A288F"/>
    <w:rsid w:val="008A28EB"/>
    <w:rsid w:val="008A2903"/>
    <w:rsid w:val="008A2940"/>
    <w:rsid w:val="008A294D"/>
    <w:rsid w:val="008A2969"/>
    <w:rsid w:val="008A29E9"/>
    <w:rsid w:val="008A2A18"/>
    <w:rsid w:val="008A2A56"/>
    <w:rsid w:val="008A2A72"/>
    <w:rsid w:val="008A2A78"/>
    <w:rsid w:val="008A2A8B"/>
    <w:rsid w:val="008A2A8E"/>
    <w:rsid w:val="008A2B2A"/>
    <w:rsid w:val="008A2B31"/>
    <w:rsid w:val="008A2B60"/>
    <w:rsid w:val="008A2B87"/>
    <w:rsid w:val="008A2C57"/>
    <w:rsid w:val="008A2C6C"/>
    <w:rsid w:val="008A2C9C"/>
    <w:rsid w:val="008A2CA1"/>
    <w:rsid w:val="008A2CA6"/>
    <w:rsid w:val="008A2D01"/>
    <w:rsid w:val="008A2D18"/>
    <w:rsid w:val="008A2D29"/>
    <w:rsid w:val="008A2D8C"/>
    <w:rsid w:val="008A2DA0"/>
    <w:rsid w:val="008A2DA8"/>
    <w:rsid w:val="008A2E58"/>
    <w:rsid w:val="008A2EC4"/>
    <w:rsid w:val="008A2F8F"/>
    <w:rsid w:val="008A2FDB"/>
    <w:rsid w:val="008A2FFF"/>
    <w:rsid w:val="008A304F"/>
    <w:rsid w:val="008A30B2"/>
    <w:rsid w:val="008A30CB"/>
    <w:rsid w:val="008A3179"/>
    <w:rsid w:val="008A318C"/>
    <w:rsid w:val="008A31E2"/>
    <w:rsid w:val="008A3204"/>
    <w:rsid w:val="008A3206"/>
    <w:rsid w:val="008A3254"/>
    <w:rsid w:val="008A32E8"/>
    <w:rsid w:val="008A32EF"/>
    <w:rsid w:val="008A330B"/>
    <w:rsid w:val="008A332A"/>
    <w:rsid w:val="008A335A"/>
    <w:rsid w:val="008A335C"/>
    <w:rsid w:val="008A3360"/>
    <w:rsid w:val="008A341D"/>
    <w:rsid w:val="008A3435"/>
    <w:rsid w:val="008A34DF"/>
    <w:rsid w:val="008A3571"/>
    <w:rsid w:val="008A35AE"/>
    <w:rsid w:val="008A35C1"/>
    <w:rsid w:val="008A35F0"/>
    <w:rsid w:val="008A364C"/>
    <w:rsid w:val="008A36AE"/>
    <w:rsid w:val="008A36C4"/>
    <w:rsid w:val="008A3716"/>
    <w:rsid w:val="008A372D"/>
    <w:rsid w:val="008A3731"/>
    <w:rsid w:val="008A377B"/>
    <w:rsid w:val="008A37E3"/>
    <w:rsid w:val="008A3821"/>
    <w:rsid w:val="008A3831"/>
    <w:rsid w:val="008A3993"/>
    <w:rsid w:val="008A3A14"/>
    <w:rsid w:val="008A3A1F"/>
    <w:rsid w:val="008A3A4E"/>
    <w:rsid w:val="008A3A55"/>
    <w:rsid w:val="008A3AB2"/>
    <w:rsid w:val="008A3ACD"/>
    <w:rsid w:val="008A3B03"/>
    <w:rsid w:val="008A3B40"/>
    <w:rsid w:val="008A3B57"/>
    <w:rsid w:val="008A3B9F"/>
    <w:rsid w:val="008A3BD9"/>
    <w:rsid w:val="008A3C28"/>
    <w:rsid w:val="008A3C69"/>
    <w:rsid w:val="008A3C8A"/>
    <w:rsid w:val="008A3CA7"/>
    <w:rsid w:val="008A3CE4"/>
    <w:rsid w:val="008A3CED"/>
    <w:rsid w:val="008A3D2F"/>
    <w:rsid w:val="008A3DB9"/>
    <w:rsid w:val="008A3E02"/>
    <w:rsid w:val="008A3E95"/>
    <w:rsid w:val="008A3FD7"/>
    <w:rsid w:val="008A3FFA"/>
    <w:rsid w:val="008A405E"/>
    <w:rsid w:val="008A41AA"/>
    <w:rsid w:val="008A4271"/>
    <w:rsid w:val="008A42B0"/>
    <w:rsid w:val="008A42BA"/>
    <w:rsid w:val="008A42D1"/>
    <w:rsid w:val="008A4373"/>
    <w:rsid w:val="008A439C"/>
    <w:rsid w:val="008A43DF"/>
    <w:rsid w:val="008A443B"/>
    <w:rsid w:val="008A448C"/>
    <w:rsid w:val="008A44AE"/>
    <w:rsid w:val="008A44F5"/>
    <w:rsid w:val="008A4509"/>
    <w:rsid w:val="008A4572"/>
    <w:rsid w:val="008A457B"/>
    <w:rsid w:val="008A458B"/>
    <w:rsid w:val="008A45D3"/>
    <w:rsid w:val="008A45DE"/>
    <w:rsid w:val="008A45E1"/>
    <w:rsid w:val="008A45E5"/>
    <w:rsid w:val="008A45F8"/>
    <w:rsid w:val="008A4622"/>
    <w:rsid w:val="008A462F"/>
    <w:rsid w:val="008A4636"/>
    <w:rsid w:val="008A467C"/>
    <w:rsid w:val="008A467F"/>
    <w:rsid w:val="008A46BD"/>
    <w:rsid w:val="008A46CC"/>
    <w:rsid w:val="008A46CF"/>
    <w:rsid w:val="008A472F"/>
    <w:rsid w:val="008A4736"/>
    <w:rsid w:val="008A4770"/>
    <w:rsid w:val="008A47AB"/>
    <w:rsid w:val="008A47B8"/>
    <w:rsid w:val="008A4821"/>
    <w:rsid w:val="008A4836"/>
    <w:rsid w:val="008A4862"/>
    <w:rsid w:val="008A48A0"/>
    <w:rsid w:val="008A48D8"/>
    <w:rsid w:val="008A48E0"/>
    <w:rsid w:val="008A48F5"/>
    <w:rsid w:val="008A48FC"/>
    <w:rsid w:val="008A492A"/>
    <w:rsid w:val="008A49D0"/>
    <w:rsid w:val="008A49F8"/>
    <w:rsid w:val="008A4A54"/>
    <w:rsid w:val="008A4AE5"/>
    <w:rsid w:val="008A4AF5"/>
    <w:rsid w:val="008A4AFA"/>
    <w:rsid w:val="008A4B42"/>
    <w:rsid w:val="008A4B45"/>
    <w:rsid w:val="008A4B7C"/>
    <w:rsid w:val="008A4B80"/>
    <w:rsid w:val="008A4B85"/>
    <w:rsid w:val="008A4B90"/>
    <w:rsid w:val="008A4BDC"/>
    <w:rsid w:val="008A4C01"/>
    <w:rsid w:val="008A4C2C"/>
    <w:rsid w:val="008A4C55"/>
    <w:rsid w:val="008A4C99"/>
    <w:rsid w:val="008A4C9B"/>
    <w:rsid w:val="008A4C9E"/>
    <w:rsid w:val="008A4CAD"/>
    <w:rsid w:val="008A4CB1"/>
    <w:rsid w:val="008A4CDB"/>
    <w:rsid w:val="008A4D14"/>
    <w:rsid w:val="008A4D15"/>
    <w:rsid w:val="008A4D71"/>
    <w:rsid w:val="008A4D87"/>
    <w:rsid w:val="008A4DA8"/>
    <w:rsid w:val="008A4E5F"/>
    <w:rsid w:val="008A4EFA"/>
    <w:rsid w:val="008A4F06"/>
    <w:rsid w:val="008A4F29"/>
    <w:rsid w:val="008A4F73"/>
    <w:rsid w:val="008A4F92"/>
    <w:rsid w:val="008A5006"/>
    <w:rsid w:val="008A513B"/>
    <w:rsid w:val="008A5166"/>
    <w:rsid w:val="008A51A1"/>
    <w:rsid w:val="008A51CE"/>
    <w:rsid w:val="008A51DD"/>
    <w:rsid w:val="008A51F7"/>
    <w:rsid w:val="008A524A"/>
    <w:rsid w:val="008A5266"/>
    <w:rsid w:val="008A52FB"/>
    <w:rsid w:val="008A52FD"/>
    <w:rsid w:val="008A5364"/>
    <w:rsid w:val="008A53B5"/>
    <w:rsid w:val="008A53CD"/>
    <w:rsid w:val="008A53CF"/>
    <w:rsid w:val="008A53D5"/>
    <w:rsid w:val="008A53F2"/>
    <w:rsid w:val="008A5456"/>
    <w:rsid w:val="008A545A"/>
    <w:rsid w:val="008A5460"/>
    <w:rsid w:val="008A54EF"/>
    <w:rsid w:val="008A550A"/>
    <w:rsid w:val="008A55DD"/>
    <w:rsid w:val="008A5662"/>
    <w:rsid w:val="008A5685"/>
    <w:rsid w:val="008A568A"/>
    <w:rsid w:val="008A569B"/>
    <w:rsid w:val="008A56AE"/>
    <w:rsid w:val="008A5714"/>
    <w:rsid w:val="008A5720"/>
    <w:rsid w:val="008A5721"/>
    <w:rsid w:val="008A57BF"/>
    <w:rsid w:val="008A57C1"/>
    <w:rsid w:val="008A5832"/>
    <w:rsid w:val="008A5855"/>
    <w:rsid w:val="008A5868"/>
    <w:rsid w:val="008A5878"/>
    <w:rsid w:val="008A58BD"/>
    <w:rsid w:val="008A58FF"/>
    <w:rsid w:val="008A5900"/>
    <w:rsid w:val="008A5974"/>
    <w:rsid w:val="008A59AD"/>
    <w:rsid w:val="008A59D4"/>
    <w:rsid w:val="008A59FE"/>
    <w:rsid w:val="008A5A16"/>
    <w:rsid w:val="008A5A7E"/>
    <w:rsid w:val="008A5AED"/>
    <w:rsid w:val="008A5BA4"/>
    <w:rsid w:val="008A5BB4"/>
    <w:rsid w:val="008A5BFA"/>
    <w:rsid w:val="008A5C38"/>
    <w:rsid w:val="008A5D0D"/>
    <w:rsid w:val="008A5DB7"/>
    <w:rsid w:val="008A5DC5"/>
    <w:rsid w:val="008A5E76"/>
    <w:rsid w:val="008A5E93"/>
    <w:rsid w:val="008A5E9B"/>
    <w:rsid w:val="008A5E9D"/>
    <w:rsid w:val="008A5ED4"/>
    <w:rsid w:val="008A5EEC"/>
    <w:rsid w:val="008A5F2A"/>
    <w:rsid w:val="008A5F4F"/>
    <w:rsid w:val="008A5FFA"/>
    <w:rsid w:val="008A6037"/>
    <w:rsid w:val="008A61A5"/>
    <w:rsid w:val="008A622E"/>
    <w:rsid w:val="008A623B"/>
    <w:rsid w:val="008A62CB"/>
    <w:rsid w:val="008A6341"/>
    <w:rsid w:val="008A63C4"/>
    <w:rsid w:val="008A63FB"/>
    <w:rsid w:val="008A64C6"/>
    <w:rsid w:val="008A64E2"/>
    <w:rsid w:val="008A64FB"/>
    <w:rsid w:val="008A6515"/>
    <w:rsid w:val="008A657B"/>
    <w:rsid w:val="008A65D0"/>
    <w:rsid w:val="008A65E4"/>
    <w:rsid w:val="008A65EB"/>
    <w:rsid w:val="008A660E"/>
    <w:rsid w:val="008A6630"/>
    <w:rsid w:val="008A6661"/>
    <w:rsid w:val="008A6675"/>
    <w:rsid w:val="008A6689"/>
    <w:rsid w:val="008A66C5"/>
    <w:rsid w:val="008A66DE"/>
    <w:rsid w:val="008A67B0"/>
    <w:rsid w:val="008A67C2"/>
    <w:rsid w:val="008A67EA"/>
    <w:rsid w:val="008A68B0"/>
    <w:rsid w:val="008A68C6"/>
    <w:rsid w:val="008A68CC"/>
    <w:rsid w:val="008A68FF"/>
    <w:rsid w:val="008A6A35"/>
    <w:rsid w:val="008A6AC1"/>
    <w:rsid w:val="008A6B08"/>
    <w:rsid w:val="008A6B66"/>
    <w:rsid w:val="008A6B76"/>
    <w:rsid w:val="008A6C21"/>
    <w:rsid w:val="008A6C31"/>
    <w:rsid w:val="008A6C37"/>
    <w:rsid w:val="008A6C68"/>
    <w:rsid w:val="008A6C91"/>
    <w:rsid w:val="008A6CDE"/>
    <w:rsid w:val="008A6D19"/>
    <w:rsid w:val="008A6DC6"/>
    <w:rsid w:val="008A6E03"/>
    <w:rsid w:val="008A6E46"/>
    <w:rsid w:val="008A6E70"/>
    <w:rsid w:val="008A6E80"/>
    <w:rsid w:val="008A6EA0"/>
    <w:rsid w:val="008A6EAD"/>
    <w:rsid w:val="008A6EDF"/>
    <w:rsid w:val="008A6F16"/>
    <w:rsid w:val="008A6F40"/>
    <w:rsid w:val="008A6F42"/>
    <w:rsid w:val="008A6F78"/>
    <w:rsid w:val="008A6FB0"/>
    <w:rsid w:val="008A7006"/>
    <w:rsid w:val="008A702C"/>
    <w:rsid w:val="008A7037"/>
    <w:rsid w:val="008A7087"/>
    <w:rsid w:val="008A70CE"/>
    <w:rsid w:val="008A70EC"/>
    <w:rsid w:val="008A7195"/>
    <w:rsid w:val="008A71E7"/>
    <w:rsid w:val="008A724C"/>
    <w:rsid w:val="008A734D"/>
    <w:rsid w:val="008A7365"/>
    <w:rsid w:val="008A73A2"/>
    <w:rsid w:val="008A73B4"/>
    <w:rsid w:val="008A7441"/>
    <w:rsid w:val="008A745E"/>
    <w:rsid w:val="008A74EF"/>
    <w:rsid w:val="008A757C"/>
    <w:rsid w:val="008A7638"/>
    <w:rsid w:val="008A76E5"/>
    <w:rsid w:val="008A76F0"/>
    <w:rsid w:val="008A7711"/>
    <w:rsid w:val="008A7792"/>
    <w:rsid w:val="008A77F5"/>
    <w:rsid w:val="008A7800"/>
    <w:rsid w:val="008A7827"/>
    <w:rsid w:val="008A7851"/>
    <w:rsid w:val="008A7865"/>
    <w:rsid w:val="008A7887"/>
    <w:rsid w:val="008A7976"/>
    <w:rsid w:val="008A79DF"/>
    <w:rsid w:val="008A7A17"/>
    <w:rsid w:val="008A7A22"/>
    <w:rsid w:val="008A7A3A"/>
    <w:rsid w:val="008A7A82"/>
    <w:rsid w:val="008A7AF8"/>
    <w:rsid w:val="008A7AFA"/>
    <w:rsid w:val="008A7AFD"/>
    <w:rsid w:val="008A7B03"/>
    <w:rsid w:val="008A7B12"/>
    <w:rsid w:val="008A7B19"/>
    <w:rsid w:val="008A7B1C"/>
    <w:rsid w:val="008A7B2B"/>
    <w:rsid w:val="008A7B4A"/>
    <w:rsid w:val="008A7B62"/>
    <w:rsid w:val="008A7B6D"/>
    <w:rsid w:val="008A7B95"/>
    <w:rsid w:val="008A7BED"/>
    <w:rsid w:val="008A7BF9"/>
    <w:rsid w:val="008A7C1C"/>
    <w:rsid w:val="008A7CA0"/>
    <w:rsid w:val="008A7CB1"/>
    <w:rsid w:val="008A7CCF"/>
    <w:rsid w:val="008A7CE2"/>
    <w:rsid w:val="008A7D36"/>
    <w:rsid w:val="008A7D71"/>
    <w:rsid w:val="008A7D78"/>
    <w:rsid w:val="008A7DA1"/>
    <w:rsid w:val="008A7DA4"/>
    <w:rsid w:val="008A7DB2"/>
    <w:rsid w:val="008A7DC4"/>
    <w:rsid w:val="008A7E1C"/>
    <w:rsid w:val="008A7E35"/>
    <w:rsid w:val="008A7E4C"/>
    <w:rsid w:val="008A7EFB"/>
    <w:rsid w:val="008A7F27"/>
    <w:rsid w:val="008A7F3B"/>
    <w:rsid w:val="008B0019"/>
    <w:rsid w:val="008B0027"/>
    <w:rsid w:val="008B004D"/>
    <w:rsid w:val="008B00AA"/>
    <w:rsid w:val="008B00C3"/>
    <w:rsid w:val="008B00C8"/>
    <w:rsid w:val="008B0121"/>
    <w:rsid w:val="008B01C0"/>
    <w:rsid w:val="008B01CC"/>
    <w:rsid w:val="008B0211"/>
    <w:rsid w:val="008B029A"/>
    <w:rsid w:val="008B02A1"/>
    <w:rsid w:val="008B02A3"/>
    <w:rsid w:val="008B02A9"/>
    <w:rsid w:val="008B02C8"/>
    <w:rsid w:val="008B02E3"/>
    <w:rsid w:val="008B02EE"/>
    <w:rsid w:val="008B0340"/>
    <w:rsid w:val="008B0370"/>
    <w:rsid w:val="008B0371"/>
    <w:rsid w:val="008B03E0"/>
    <w:rsid w:val="008B0430"/>
    <w:rsid w:val="008B0435"/>
    <w:rsid w:val="008B048E"/>
    <w:rsid w:val="008B04A7"/>
    <w:rsid w:val="008B04D6"/>
    <w:rsid w:val="008B04DE"/>
    <w:rsid w:val="008B04FF"/>
    <w:rsid w:val="008B055C"/>
    <w:rsid w:val="008B0582"/>
    <w:rsid w:val="008B059C"/>
    <w:rsid w:val="008B05C5"/>
    <w:rsid w:val="008B0636"/>
    <w:rsid w:val="008B0659"/>
    <w:rsid w:val="008B0689"/>
    <w:rsid w:val="008B06A0"/>
    <w:rsid w:val="008B06BC"/>
    <w:rsid w:val="008B070F"/>
    <w:rsid w:val="008B0724"/>
    <w:rsid w:val="008B076A"/>
    <w:rsid w:val="008B0781"/>
    <w:rsid w:val="008B07A9"/>
    <w:rsid w:val="008B07DA"/>
    <w:rsid w:val="008B0845"/>
    <w:rsid w:val="008B08F2"/>
    <w:rsid w:val="008B08F9"/>
    <w:rsid w:val="008B097E"/>
    <w:rsid w:val="008B09B1"/>
    <w:rsid w:val="008B0A25"/>
    <w:rsid w:val="008B0A27"/>
    <w:rsid w:val="008B0A3C"/>
    <w:rsid w:val="008B0A8D"/>
    <w:rsid w:val="008B0AA6"/>
    <w:rsid w:val="008B0AAF"/>
    <w:rsid w:val="008B0B0C"/>
    <w:rsid w:val="008B0B7D"/>
    <w:rsid w:val="008B0B91"/>
    <w:rsid w:val="008B0BAE"/>
    <w:rsid w:val="008B0BC6"/>
    <w:rsid w:val="008B0BF5"/>
    <w:rsid w:val="008B0C10"/>
    <w:rsid w:val="008B0C3B"/>
    <w:rsid w:val="008B0C82"/>
    <w:rsid w:val="008B0CAF"/>
    <w:rsid w:val="008B0D74"/>
    <w:rsid w:val="008B0D84"/>
    <w:rsid w:val="008B0DF2"/>
    <w:rsid w:val="008B0E4C"/>
    <w:rsid w:val="008B0E7B"/>
    <w:rsid w:val="008B0EBE"/>
    <w:rsid w:val="008B0F19"/>
    <w:rsid w:val="008B0F6B"/>
    <w:rsid w:val="008B0F90"/>
    <w:rsid w:val="008B0FB8"/>
    <w:rsid w:val="008B0FBE"/>
    <w:rsid w:val="008B0FBF"/>
    <w:rsid w:val="008B0FD1"/>
    <w:rsid w:val="008B0FE2"/>
    <w:rsid w:val="008B0FED"/>
    <w:rsid w:val="008B100E"/>
    <w:rsid w:val="008B1046"/>
    <w:rsid w:val="008B10CE"/>
    <w:rsid w:val="008B10DA"/>
    <w:rsid w:val="008B11D6"/>
    <w:rsid w:val="008B11F8"/>
    <w:rsid w:val="008B124D"/>
    <w:rsid w:val="008B126C"/>
    <w:rsid w:val="008B1270"/>
    <w:rsid w:val="008B12A6"/>
    <w:rsid w:val="008B12F7"/>
    <w:rsid w:val="008B134E"/>
    <w:rsid w:val="008B1364"/>
    <w:rsid w:val="008B136E"/>
    <w:rsid w:val="008B1379"/>
    <w:rsid w:val="008B137B"/>
    <w:rsid w:val="008B139A"/>
    <w:rsid w:val="008B139C"/>
    <w:rsid w:val="008B13F7"/>
    <w:rsid w:val="008B1427"/>
    <w:rsid w:val="008B142D"/>
    <w:rsid w:val="008B1430"/>
    <w:rsid w:val="008B1439"/>
    <w:rsid w:val="008B1581"/>
    <w:rsid w:val="008B15AA"/>
    <w:rsid w:val="008B15D6"/>
    <w:rsid w:val="008B15EB"/>
    <w:rsid w:val="008B1648"/>
    <w:rsid w:val="008B165D"/>
    <w:rsid w:val="008B1668"/>
    <w:rsid w:val="008B1687"/>
    <w:rsid w:val="008B1690"/>
    <w:rsid w:val="008B1700"/>
    <w:rsid w:val="008B170B"/>
    <w:rsid w:val="008B1736"/>
    <w:rsid w:val="008B1738"/>
    <w:rsid w:val="008B1766"/>
    <w:rsid w:val="008B17EA"/>
    <w:rsid w:val="008B1861"/>
    <w:rsid w:val="008B188F"/>
    <w:rsid w:val="008B18AC"/>
    <w:rsid w:val="008B18C7"/>
    <w:rsid w:val="008B18F0"/>
    <w:rsid w:val="008B18FA"/>
    <w:rsid w:val="008B1A3B"/>
    <w:rsid w:val="008B1A44"/>
    <w:rsid w:val="008B1B24"/>
    <w:rsid w:val="008B1B5D"/>
    <w:rsid w:val="008B1B60"/>
    <w:rsid w:val="008B1B7A"/>
    <w:rsid w:val="008B1C6A"/>
    <w:rsid w:val="008B1C6E"/>
    <w:rsid w:val="008B1C99"/>
    <w:rsid w:val="008B1CC4"/>
    <w:rsid w:val="008B1CD7"/>
    <w:rsid w:val="008B1CE6"/>
    <w:rsid w:val="008B1CFA"/>
    <w:rsid w:val="008B1D6C"/>
    <w:rsid w:val="008B1E32"/>
    <w:rsid w:val="008B1EFC"/>
    <w:rsid w:val="008B1F09"/>
    <w:rsid w:val="008B1F72"/>
    <w:rsid w:val="008B1F9D"/>
    <w:rsid w:val="008B1FAE"/>
    <w:rsid w:val="008B1FCB"/>
    <w:rsid w:val="008B1FCF"/>
    <w:rsid w:val="008B1FE3"/>
    <w:rsid w:val="008B2015"/>
    <w:rsid w:val="008B201A"/>
    <w:rsid w:val="008B2045"/>
    <w:rsid w:val="008B20D3"/>
    <w:rsid w:val="008B2111"/>
    <w:rsid w:val="008B2123"/>
    <w:rsid w:val="008B213B"/>
    <w:rsid w:val="008B2154"/>
    <w:rsid w:val="008B2166"/>
    <w:rsid w:val="008B2196"/>
    <w:rsid w:val="008B21B1"/>
    <w:rsid w:val="008B2224"/>
    <w:rsid w:val="008B22AC"/>
    <w:rsid w:val="008B2329"/>
    <w:rsid w:val="008B233E"/>
    <w:rsid w:val="008B236F"/>
    <w:rsid w:val="008B23F7"/>
    <w:rsid w:val="008B2413"/>
    <w:rsid w:val="008B2484"/>
    <w:rsid w:val="008B248F"/>
    <w:rsid w:val="008B2499"/>
    <w:rsid w:val="008B249F"/>
    <w:rsid w:val="008B252C"/>
    <w:rsid w:val="008B25B4"/>
    <w:rsid w:val="008B2610"/>
    <w:rsid w:val="008B263B"/>
    <w:rsid w:val="008B2678"/>
    <w:rsid w:val="008B2686"/>
    <w:rsid w:val="008B270E"/>
    <w:rsid w:val="008B2720"/>
    <w:rsid w:val="008B2728"/>
    <w:rsid w:val="008B272A"/>
    <w:rsid w:val="008B277D"/>
    <w:rsid w:val="008B279C"/>
    <w:rsid w:val="008B27BB"/>
    <w:rsid w:val="008B27D4"/>
    <w:rsid w:val="008B27D7"/>
    <w:rsid w:val="008B27E2"/>
    <w:rsid w:val="008B2862"/>
    <w:rsid w:val="008B286F"/>
    <w:rsid w:val="008B289B"/>
    <w:rsid w:val="008B28B8"/>
    <w:rsid w:val="008B2938"/>
    <w:rsid w:val="008B294A"/>
    <w:rsid w:val="008B296F"/>
    <w:rsid w:val="008B29C7"/>
    <w:rsid w:val="008B2A26"/>
    <w:rsid w:val="008B2A36"/>
    <w:rsid w:val="008B2AC2"/>
    <w:rsid w:val="008B2AFE"/>
    <w:rsid w:val="008B2B43"/>
    <w:rsid w:val="008B2B46"/>
    <w:rsid w:val="008B2B6B"/>
    <w:rsid w:val="008B2BCE"/>
    <w:rsid w:val="008B2BF7"/>
    <w:rsid w:val="008B2CAD"/>
    <w:rsid w:val="008B2CCB"/>
    <w:rsid w:val="008B2CCF"/>
    <w:rsid w:val="008B2CD4"/>
    <w:rsid w:val="008B2CDA"/>
    <w:rsid w:val="008B2DA4"/>
    <w:rsid w:val="008B2DDC"/>
    <w:rsid w:val="008B2DDD"/>
    <w:rsid w:val="008B2DE7"/>
    <w:rsid w:val="008B2E49"/>
    <w:rsid w:val="008B2E6E"/>
    <w:rsid w:val="008B2E6F"/>
    <w:rsid w:val="008B2E7E"/>
    <w:rsid w:val="008B2EAB"/>
    <w:rsid w:val="008B2EFF"/>
    <w:rsid w:val="008B2F47"/>
    <w:rsid w:val="008B2F4F"/>
    <w:rsid w:val="008B3060"/>
    <w:rsid w:val="008B3076"/>
    <w:rsid w:val="008B3078"/>
    <w:rsid w:val="008B30C4"/>
    <w:rsid w:val="008B30C5"/>
    <w:rsid w:val="008B30CA"/>
    <w:rsid w:val="008B316A"/>
    <w:rsid w:val="008B31C8"/>
    <w:rsid w:val="008B31E6"/>
    <w:rsid w:val="008B31F2"/>
    <w:rsid w:val="008B3216"/>
    <w:rsid w:val="008B3261"/>
    <w:rsid w:val="008B3272"/>
    <w:rsid w:val="008B3319"/>
    <w:rsid w:val="008B336F"/>
    <w:rsid w:val="008B33C7"/>
    <w:rsid w:val="008B33CC"/>
    <w:rsid w:val="008B3412"/>
    <w:rsid w:val="008B3457"/>
    <w:rsid w:val="008B347C"/>
    <w:rsid w:val="008B34DA"/>
    <w:rsid w:val="008B3555"/>
    <w:rsid w:val="008B35DE"/>
    <w:rsid w:val="008B3646"/>
    <w:rsid w:val="008B3655"/>
    <w:rsid w:val="008B368C"/>
    <w:rsid w:val="008B372E"/>
    <w:rsid w:val="008B3784"/>
    <w:rsid w:val="008B37D6"/>
    <w:rsid w:val="008B382B"/>
    <w:rsid w:val="008B383E"/>
    <w:rsid w:val="008B385D"/>
    <w:rsid w:val="008B3874"/>
    <w:rsid w:val="008B387D"/>
    <w:rsid w:val="008B3934"/>
    <w:rsid w:val="008B3955"/>
    <w:rsid w:val="008B3988"/>
    <w:rsid w:val="008B39A7"/>
    <w:rsid w:val="008B39E1"/>
    <w:rsid w:val="008B3A3A"/>
    <w:rsid w:val="008B3A40"/>
    <w:rsid w:val="008B3A45"/>
    <w:rsid w:val="008B3A72"/>
    <w:rsid w:val="008B3A84"/>
    <w:rsid w:val="008B3AB3"/>
    <w:rsid w:val="008B3B07"/>
    <w:rsid w:val="008B3B11"/>
    <w:rsid w:val="008B3B50"/>
    <w:rsid w:val="008B3BA8"/>
    <w:rsid w:val="008B3BF5"/>
    <w:rsid w:val="008B3BFA"/>
    <w:rsid w:val="008B3C4D"/>
    <w:rsid w:val="008B3CDB"/>
    <w:rsid w:val="008B3E13"/>
    <w:rsid w:val="008B3E18"/>
    <w:rsid w:val="008B3E23"/>
    <w:rsid w:val="008B3E48"/>
    <w:rsid w:val="008B3E77"/>
    <w:rsid w:val="008B3E82"/>
    <w:rsid w:val="008B3ED1"/>
    <w:rsid w:val="008B3F46"/>
    <w:rsid w:val="008B3F52"/>
    <w:rsid w:val="008B3FCF"/>
    <w:rsid w:val="008B4020"/>
    <w:rsid w:val="008B4097"/>
    <w:rsid w:val="008B40C9"/>
    <w:rsid w:val="008B4115"/>
    <w:rsid w:val="008B4141"/>
    <w:rsid w:val="008B414A"/>
    <w:rsid w:val="008B4156"/>
    <w:rsid w:val="008B4182"/>
    <w:rsid w:val="008B41D5"/>
    <w:rsid w:val="008B42CA"/>
    <w:rsid w:val="008B42CE"/>
    <w:rsid w:val="008B42E7"/>
    <w:rsid w:val="008B4304"/>
    <w:rsid w:val="008B433D"/>
    <w:rsid w:val="008B4393"/>
    <w:rsid w:val="008B43AD"/>
    <w:rsid w:val="008B43CA"/>
    <w:rsid w:val="008B4418"/>
    <w:rsid w:val="008B4427"/>
    <w:rsid w:val="008B442F"/>
    <w:rsid w:val="008B4434"/>
    <w:rsid w:val="008B4465"/>
    <w:rsid w:val="008B44C6"/>
    <w:rsid w:val="008B44DC"/>
    <w:rsid w:val="008B44E2"/>
    <w:rsid w:val="008B44E9"/>
    <w:rsid w:val="008B44F0"/>
    <w:rsid w:val="008B44FB"/>
    <w:rsid w:val="008B45BF"/>
    <w:rsid w:val="008B467E"/>
    <w:rsid w:val="008B470E"/>
    <w:rsid w:val="008B4772"/>
    <w:rsid w:val="008B47D0"/>
    <w:rsid w:val="008B485F"/>
    <w:rsid w:val="008B4865"/>
    <w:rsid w:val="008B48DE"/>
    <w:rsid w:val="008B48FC"/>
    <w:rsid w:val="008B491F"/>
    <w:rsid w:val="008B4935"/>
    <w:rsid w:val="008B498A"/>
    <w:rsid w:val="008B49DF"/>
    <w:rsid w:val="008B4A4A"/>
    <w:rsid w:val="008B4A4B"/>
    <w:rsid w:val="008B4A4F"/>
    <w:rsid w:val="008B4AA3"/>
    <w:rsid w:val="008B4AC8"/>
    <w:rsid w:val="008B4B4B"/>
    <w:rsid w:val="008B4BB3"/>
    <w:rsid w:val="008B4C68"/>
    <w:rsid w:val="008B4C81"/>
    <w:rsid w:val="008B4C83"/>
    <w:rsid w:val="008B4CBC"/>
    <w:rsid w:val="008B4DAF"/>
    <w:rsid w:val="008B4DE7"/>
    <w:rsid w:val="008B4DE9"/>
    <w:rsid w:val="008B4E00"/>
    <w:rsid w:val="008B4E42"/>
    <w:rsid w:val="008B4E50"/>
    <w:rsid w:val="008B4E68"/>
    <w:rsid w:val="008B4EC2"/>
    <w:rsid w:val="008B4EE6"/>
    <w:rsid w:val="008B4EF2"/>
    <w:rsid w:val="008B4F04"/>
    <w:rsid w:val="008B4F0C"/>
    <w:rsid w:val="008B4F1F"/>
    <w:rsid w:val="008B4F2C"/>
    <w:rsid w:val="008B4F2F"/>
    <w:rsid w:val="008B4F5A"/>
    <w:rsid w:val="008B4F80"/>
    <w:rsid w:val="008B4FCC"/>
    <w:rsid w:val="008B4FDF"/>
    <w:rsid w:val="008B5069"/>
    <w:rsid w:val="008B5084"/>
    <w:rsid w:val="008B5090"/>
    <w:rsid w:val="008B509C"/>
    <w:rsid w:val="008B50E5"/>
    <w:rsid w:val="008B5112"/>
    <w:rsid w:val="008B5153"/>
    <w:rsid w:val="008B51A1"/>
    <w:rsid w:val="008B51E2"/>
    <w:rsid w:val="008B51E8"/>
    <w:rsid w:val="008B5205"/>
    <w:rsid w:val="008B5267"/>
    <w:rsid w:val="008B526D"/>
    <w:rsid w:val="008B52A9"/>
    <w:rsid w:val="008B52D5"/>
    <w:rsid w:val="008B5370"/>
    <w:rsid w:val="008B5371"/>
    <w:rsid w:val="008B53EF"/>
    <w:rsid w:val="008B5443"/>
    <w:rsid w:val="008B544E"/>
    <w:rsid w:val="008B545A"/>
    <w:rsid w:val="008B551B"/>
    <w:rsid w:val="008B5588"/>
    <w:rsid w:val="008B56A9"/>
    <w:rsid w:val="008B56E7"/>
    <w:rsid w:val="008B5703"/>
    <w:rsid w:val="008B570C"/>
    <w:rsid w:val="008B5722"/>
    <w:rsid w:val="008B5751"/>
    <w:rsid w:val="008B5793"/>
    <w:rsid w:val="008B57D6"/>
    <w:rsid w:val="008B57F1"/>
    <w:rsid w:val="008B57FB"/>
    <w:rsid w:val="008B584F"/>
    <w:rsid w:val="008B5882"/>
    <w:rsid w:val="008B58CB"/>
    <w:rsid w:val="008B58F5"/>
    <w:rsid w:val="008B5965"/>
    <w:rsid w:val="008B597C"/>
    <w:rsid w:val="008B59DC"/>
    <w:rsid w:val="008B59DE"/>
    <w:rsid w:val="008B59F3"/>
    <w:rsid w:val="008B5A87"/>
    <w:rsid w:val="008B5ACF"/>
    <w:rsid w:val="008B5B0D"/>
    <w:rsid w:val="008B5B67"/>
    <w:rsid w:val="008B5BD3"/>
    <w:rsid w:val="008B5BE2"/>
    <w:rsid w:val="008B5C0E"/>
    <w:rsid w:val="008B5C37"/>
    <w:rsid w:val="008B5C40"/>
    <w:rsid w:val="008B5C5B"/>
    <w:rsid w:val="008B5D83"/>
    <w:rsid w:val="008B5DBB"/>
    <w:rsid w:val="008B5EF8"/>
    <w:rsid w:val="008B5F0E"/>
    <w:rsid w:val="008B5F73"/>
    <w:rsid w:val="008B5F9D"/>
    <w:rsid w:val="008B5FFB"/>
    <w:rsid w:val="008B6077"/>
    <w:rsid w:val="008B6090"/>
    <w:rsid w:val="008B60AD"/>
    <w:rsid w:val="008B618E"/>
    <w:rsid w:val="008B61F4"/>
    <w:rsid w:val="008B61FB"/>
    <w:rsid w:val="008B6209"/>
    <w:rsid w:val="008B621B"/>
    <w:rsid w:val="008B626C"/>
    <w:rsid w:val="008B6280"/>
    <w:rsid w:val="008B6297"/>
    <w:rsid w:val="008B62F6"/>
    <w:rsid w:val="008B6316"/>
    <w:rsid w:val="008B6340"/>
    <w:rsid w:val="008B6378"/>
    <w:rsid w:val="008B6398"/>
    <w:rsid w:val="008B639E"/>
    <w:rsid w:val="008B63A8"/>
    <w:rsid w:val="008B647A"/>
    <w:rsid w:val="008B6504"/>
    <w:rsid w:val="008B653C"/>
    <w:rsid w:val="008B654D"/>
    <w:rsid w:val="008B6580"/>
    <w:rsid w:val="008B658D"/>
    <w:rsid w:val="008B65A6"/>
    <w:rsid w:val="008B65FE"/>
    <w:rsid w:val="008B6600"/>
    <w:rsid w:val="008B6608"/>
    <w:rsid w:val="008B6641"/>
    <w:rsid w:val="008B6646"/>
    <w:rsid w:val="008B66BB"/>
    <w:rsid w:val="008B66C8"/>
    <w:rsid w:val="008B66E7"/>
    <w:rsid w:val="008B6712"/>
    <w:rsid w:val="008B6726"/>
    <w:rsid w:val="008B6758"/>
    <w:rsid w:val="008B67B4"/>
    <w:rsid w:val="008B680E"/>
    <w:rsid w:val="008B6837"/>
    <w:rsid w:val="008B685F"/>
    <w:rsid w:val="008B688A"/>
    <w:rsid w:val="008B6895"/>
    <w:rsid w:val="008B68C7"/>
    <w:rsid w:val="008B6924"/>
    <w:rsid w:val="008B693E"/>
    <w:rsid w:val="008B6990"/>
    <w:rsid w:val="008B69BB"/>
    <w:rsid w:val="008B69D7"/>
    <w:rsid w:val="008B6A04"/>
    <w:rsid w:val="008B6ADD"/>
    <w:rsid w:val="008B6AED"/>
    <w:rsid w:val="008B6B18"/>
    <w:rsid w:val="008B6B51"/>
    <w:rsid w:val="008B6B68"/>
    <w:rsid w:val="008B6BF4"/>
    <w:rsid w:val="008B6C9F"/>
    <w:rsid w:val="008B6CCF"/>
    <w:rsid w:val="008B6CD7"/>
    <w:rsid w:val="008B6D30"/>
    <w:rsid w:val="008B6D36"/>
    <w:rsid w:val="008B6E44"/>
    <w:rsid w:val="008B6E77"/>
    <w:rsid w:val="008B6EC4"/>
    <w:rsid w:val="008B6EC6"/>
    <w:rsid w:val="008B6ED7"/>
    <w:rsid w:val="008B6F08"/>
    <w:rsid w:val="008B6F2B"/>
    <w:rsid w:val="008B6F64"/>
    <w:rsid w:val="008B6F7C"/>
    <w:rsid w:val="008B6FA2"/>
    <w:rsid w:val="008B6FD9"/>
    <w:rsid w:val="008B6FDD"/>
    <w:rsid w:val="008B702A"/>
    <w:rsid w:val="008B7053"/>
    <w:rsid w:val="008B706B"/>
    <w:rsid w:val="008B70A4"/>
    <w:rsid w:val="008B70FE"/>
    <w:rsid w:val="008B7105"/>
    <w:rsid w:val="008B7123"/>
    <w:rsid w:val="008B7149"/>
    <w:rsid w:val="008B7209"/>
    <w:rsid w:val="008B72BF"/>
    <w:rsid w:val="008B72C3"/>
    <w:rsid w:val="008B72D6"/>
    <w:rsid w:val="008B736A"/>
    <w:rsid w:val="008B7395"/>
    <w:rsid w:val="008B7447"/>
    <w:rsid w:val="008B74EA"/>
    <w:rsid w:val="008B74EC"/>
    <w:rsid w:val="008B753C"/>
    <w:rsid w:val="008B757F"/>
    <w:rsid w:val="008B75BE"/>
    <w:rsid w:val="008B7658"/>
    <w:rsid w:val="008B767F"/>
    <w:rsid w:val="008B7699"/>
    <w:rsid w:val="008B76EA"/>
    <w:rsid w:val="008B7707"/>
    <w:rsid w:val="008B772F"/>
    <w:rsid w:val="008B77DA"/>
    <w:rsid w:val="008B77F5"/>
    <w:rsid w:val="008B784C"/>
    <w:rsid w:val="008B7884"/>
    <w:rsid w:val="008B7891"/>
    <w:rsid w:val="008B7894"/>
    <w:rsid w:val="008B7895"/>
    <w:rsid w:val="008B7992"/>
    <w:rsid w:val="008B79B4"/>
    <w:rsid w:val="008B79BD"/>
    <w:rsid w:val="008B79E2"/>
    <w:rsid w:val="008B79FA"/>
    <w:rsid w:val="008B7A2E"/>
    <w:rsid w:val="008B7A52"/>
    <w:rsid w:val="008B7A8C"/>
    <w:rsid w:val="008B7AD5"/>
    <w:rsid w:val="008B7AE4"/>
    <w:rsid w:val="008B7B0E"/>
    <w:rsid w:val="008B7B29"/>
    <w:rsid w:val="008B7B3E"/>
    <w:rsid w:val="008B7B57"/>
    <w:rsid w:val="008B7B7A"/>
    <w:rsid w:val="008B7C22"/>
    <w:rsid w:val="008B7C82"/>
    <w:rsid w:val="008B7C83"/>
    <w:rsid w:val="008B7CCD"/>
    <w:rsid w:val="008B7CFC"/>
    <w:rsid w:val="008B7E37"/>
    <w:rsid w:val="008B7E8F"/>
    <w:rsid w:val="008B7EAA"/>
    <w:rsid w:val="008B7ED2"/>
    <w:rsid w:val="008B7F0E"/>
    <w:rsid w:val="008B7FA6"/>
    <w:rsid w:val="008B7FC9"/>
    <w:rsid w:val="008B7FDC"/>
    <w:rsid w:val="008B7FDE"/>
    <w:rsid w:val="008B7FE4"/>
    <w:rsid w:val="008C0005"/>
    <w:rsid w:val="008C0080"/>
    <w:rsid w:val="008C00AA"/>
    <w:rsid w:val="008C00DC"/>
    <w:rsid w:val="008C00F3"/>
    <w:rsid w:val="008C0151"/>
    <w:rsid w:val="008C01B2"/>
    <w:rsid w:val="008C01C2"/>
    <w:rsid w:val="008C01EF"/>
    <w:rsid w:val="008C0230"/>
    <w:rsid w:val="008C023A"/>
    <w:rsid w:val="008C025B"/>
    <w:rsid w:val="008C02B3"/>
    <w:rsid w:val="008C0320"/>
    <w:rsid w:val="008C0367"/>
    <w:rsid w:val="008C0380"/>
    <w:rsid w:val="008C039A"/>
    <w:rsid w:val="008C03D1"/>
    <w:rsid w:val="008C03FC"/>
    <w:rsid w:val="008C0448"/>
    <w:rsid w:val="008C044E"/>
    <w:rsid w:val="008C046F"/>
    <w:rsid w:val="008C04BC"/>
    <w:rsid w:val="008C04D2"/>
    <w:rsid w:val="008C04F7"/>
    <w:rsid w:val="008C04FE"/>
    <w:rsid w:val="008C05A5"/>
    <w:rsid w:val="008C05D1"/>
    <w:rsid w:val="008C05EC"/>
    <w:rsid w:val="008C0625"/>
    <w:rsid w:val="008C06E6"/>
    <w:rsid w:val="008C06E8"/>
    <w:rsid w:val="008C0746"/>
    <w:rsid w:val="008C075A"/>
    <w:rsid w:val="008C07C7"/>
    <w:rsid w:val="008C07CA"/>
    <w:rsid w:val="008C07CB"/>
    <w:rsid w:val="008C07FF"/>
    <w:rsid w:val="008C0820"/>
    <w:rsid w:val="008C0823"/>
    <w:rsid w:val="008C084A"/>
    <w:rsid w:val="008C088A"/>
    <w:rsid w:val="008C08A9"/>
    <w:rsid w:val="008C08DC"/>
    <w:rsid w:val="008C0909"/>
    <w:rsid w:val="008C0915"/>
    <w:rsid w:val="008C0982"/>
    <w:rsid w:val="008C09A7"/>
    <w:rsid w:val="008C09CC"/>
    <w:rsid w:val="008C0A44"/>
    <w:rsid w:val="008C0A4C"/>
    <w:rsid w:val="008C0A82"/>
    <w:rsid w:val="008C0AE1"/>
    <w:rsid w:val="008C0B0F"/>
    <w:rsid w:val="008C0BA9"/>
    <w:rsid w:val="008C0BBC"/>
    <w:rsid w:val="008C0BCA"/>
    <w:rsid w:val="008C0BF4"/>
    <w:rsid w:val="008C0C01"/>
    <w:rsid w:val="008C0C4D"/>
    <w:rsid w:val="008C0C72"/>
    <w:rsid w:val="008C0CBD"/>
    <w:rsid w:val="008C0CC6"/>
    <w:rsid w:val="008C0CC8"/>
    <w:rsid w:val="008C0CE7"/>
    <w:rsid w:val="008C0D21"/>
    <w:rsid w:val="008C0D22"/>
    <w:rsid w:val="008C0D2F"/>
    <w:rsid w:val="008C0D3C"/>
    <w:rsid w:val="008C0DA6"/>
    <w:rsid w:val="008C0DBA"/>
    <w:rsid w:val="008C0DC2"/>
    <w:rsid w:val="008C0E0B"/>
    <w:rsid w:val="008C0E2D"/>
    <w:rsid w:val="008C0E33"/>
    <w:rsid w:val="008C0E66"/>
    <w:rsid w:val="008C0E68"/>
    <w:rsid w:val="008C0EAA"/>
    <w:rsid w:val="008C0EB3"/>
    <w:rsid w:val="008C0EEC"/>
    <w:rsid w:val="008C0F14"/>
    <w:rsid w:val="008C0F1A"/>
    <w:rsid w:val="008C0FA7"/>
    <w:rsid w:val="008C104E"/>
    <w:rsid w:val="008C1060"/>
    <w:rsid w:val="008C1099"/>
    <w:rsid w:val="008C10B3"/>
    <w:rsid w:val="008C10E7"/>
    <w:rsid w:val="008C10F5"/>
    <w:rsid w:val="008C111F"/>
    <w:rsid w:val="008C113D"/>
    <w:rsid w:val="008C115D"/>
    <w:rsid w:val="008C120B"/>
    <w:rsid w:val="008C122C"/>
    <w:rsid w:val="008C1255"/>
    <w:rsid w:val="008C1297"/>
    <w:rsid w:val="008C12A4"/>
    <w:rsid w:val="008C1302"/>
    <w:rsid w:val="008C132E"/>
    <w:rsid w:val="008C1341"/>
    <w:rsid w:val="008C1354"/>
    <w:rsid w:val="008C13F2"/>
    <w:rsid w:val="008C1478"/>
    <w:rsid w:val="008C148E"/>
    <w:rsid w:val="008C148F"/>
    <w:rsid w:val="008C159E"/>
    <w:rsid w:val="008C15F4"/>
    <w:rsid w:val="008C1600"/>
    <w:rsid w:val="008C1624"/>
    <w:rsid w:val="008C162D"/>
    <w:rsid w:val="008C1653"/>
    <w:rsid w:val="008C1663"/>
    <w:rsid w:val="008C1666"/>
    <w:rsid w:val="008C1680"/>
    <w:rsid w:val="008C16C9"/>
    <w:rsid w:val="008C16D2"/>
    <w:rsid w:val="008C16E4"/>
    <w:rsid w:val="008C1734"/>
    <w:rsid w:val="008C1772"/>
    <w:rsid w:val="008C17B9"/>
    <w:rsid w:val="008C17D4"/>
    <w:rsid w:val="008C17E8"/>
    <w:rsid w:val="008C17EE"/>
    <w:rsid w:val="008C1852"/>
    <w:rsid w:val="008C1869"/>
    <w:rsid w:val="008C18A4"/>
    <w:rsid w:val="008C18EB"/>
    <w:rsid w:val="008C18EC"/>
    <w:rsid w:val="008C1931"/>
    <w:rsid w:val="008C1A31"/>
    <w:rsid w:val="008C1A5D"/>
    <w:rsid w:val="008C1AB9"/>
    <w:rsid w:val="008C1B39"/>
    <w:rsid w:val="008C1B75"/>
    <w:rsid w:val="008C1BDE"/>
    <w:rsid w:val="008C1C0A"/>
    <w:rsid w:val="008C1CB5"/>
    <w:rsid w:val="008C1CE2"/>
    <w:rsid w:val="008C1CF2"/>
    <w:rsid w:val="008C1CF3"/>
    <w:rsid w:val="008C1D26"/>
    <w:rsid w:val="008C1D5B"/>
    <w:rsid w:val="008C1DC5"/>
    <w:rsid w:val="008C1DEE"/>
    <w:rsid w:val="008C1E01"/>
    <w:rsid w:val="008C1E05"/>
    <w:rsid w:val="008C1EA6"/>
    <w:rsid w:val="008C1EC5"/>
    <w:rsid w:val="008C1F21"/>
    <w:rsid w:val="008C1F2C"/>
    <w:rsid w:val="008C1F3E"/>
    <w:rsid w:val="008C1FBD"/>
    <w:rsid w:val="008C1FCC"/>
    <w:rsid w:val="008C206C"/>
    <w:rsid w:val="008C208B"/>
    <w:rsid w:val="008C20D1"/>
    <w:rsid w:val="008C2145"/>
    <w:rsid w:val="008C214E"/>
    <w:rsid w:val="008C2153"/>
    <w:rsid w:val="008C2160"/>
    <w:rsid w:val="008C2172"/>
    <w:rsid w:val="008C21C8"/>
    <w:rsid w:val="008C2200"/>
    <w:rsid w:val="008C2215"/>
    <w:rsid w:val="008C222F"/>
    <w:rsid w:val="008C2234"/>
    <w:rsid w:val="008C223D"/>
    <w:rsid w:val="008C228D"/>
    <w:rsid w:val="008C22CC"/>
    <w:rsid w:val="008C232F"/>
    <w:rsid w:val="008C236C"/>
    <w:rsid w:val="008C2370"/>
    <w:rsid w:val="008C23E5"/>
    <w:rsid w:val="008C23E9"/>
    <w:rsid w:val="008C2403"/>
    <w:rsid w:val="008C2420"/>
    <w:rsid w:val="008C2503"/>
    <w:rsid w:val="008C2597"/>
    <w:rsid w:val="008C25A3"/>
    <w:rsid w:val="008C25BF"/>
    <w:rsid w:val="008C25CA"/>
    <w:rsid w:val="008C2625"/>
    <w:rsid w:val="008C2645"/>
    <w:rsid w:val="008C2689"/>
    <w:rsid w:val="008C269D"/>
    <w:rsid w:val="008C2756"/>
    <w:rsid w:val="008C275D"/>
    <w:rsid w:val="008C2783"/>
    <w:rsid w:val="008C27E5"/>
    <w:rsid w:val="008C281B"/>
    <w:rsid w:val="008C2894"/>
    <w:rsid w:val="008C28EF"/>
    <w:rsid w:val="008C2998"/>
    <w:rsid w:val="008C29BF"/>
    <w:rsid w:val="008C2A24"/>
    <w:rsid w:val="008C2A6A"/>
    <w:rsid w:val="008C2A80"/>
    <w:rsid w:val="008C2B8C"/>
    <w:rsid w:val="008C2C3D"/>
    <w:rsid w:val="008C2C57"/>
    <w:rsid w:val="008C2D78"/>
    <w:rsid w:val="008C2D9D"/>
    <w:rsid w:val="008C2DF3"/>
    <w:rsid w:val="008C2E33"/>
    <w:rsid w:val="008C2E83"/>
    <w:rsid w:val="008C2ECC"/>
    <w:rsid w:val="008C2F50"/>
    <w:rsid w:val="008C2FE5"/>
    <w:rsid w:val="008C2FF8"/>
    <w:rsid w:val="008C3000"/>
    <w:rsid w:val="008C302A"/>
    <w:rsid w:val="008C304F"/>
    <w:rsid w:val="008C309C"/>
    <w:rsid w:val="008C30B4"/>
    <w:rsid w:val="008C3168"/>
    <w:rsid w:val="008C3181"/>
    <w:rsid w:val="008C3184"/>
    <w:rsid w:val="008C31E0"/>
    <w:rsid w:val="008C31ED"/>
    <w:rsid w:val="008C3233"/>
    <w:rsid w:val="008C32D9"/>
    <w:rsid w:val="008C3305"/>
    <w:rsid w:val="008C3314"/>
    <w:rsid w:val="008C343F"/>
    <w:rsid w:val="008C34F2"/>
    <w:rsid w:val="008C3517"/>
    <w:rsid w:val="008C357B"/>
    <w:rsid w:val="008C358F"/>
    <w:rsid w:val="008C35C9"/>
    <w:rsid w:val="008C35E3"/>
    <w:rsid w:val="008C35F9"/>
    <w:rsid w:val="008C36E9"/>
    <w:rsid w:val="008C3747"/>
    <w:rsid w:val="008C377A"/>
    <w:rsid w:val="008C3785"/>
    <w:rsid w:val="008C37B8"/>
    <w:rsid w:val="008C37E3"/>
    <w:rsid w:val="008C3801"/>
    <w:rsid w:val="008C383B"/>
    <w:rsid w:val="008C386F"/>
    <w:rsid w:val="008C389D"/>
    <w:rsid w:val="008C38CB"/>
    <w:rsid w:val="008C3950"/>
    <w:rsid w:val="008C3985"/>
    <w:rsid w:val="008C3996"/>
    <w:rsid w:val="008C39E0"/>
    <w:rsid w:val="008C3B3B"/>
    <w:rsid w:val="008C3B49"/>
    <w:rsid w:val="008C3B57"/>
    <w:rsid w:val="008C3B73"/>
    <w:rsid w:val="008C3BA3"/>
    <w:rsid w:val="008C3C16"/>
    <w:rsid w:val="008C3C3F"/>
    <w:rsid w:val="008C3C4C"/>
    <w:rsid w:val="008C3C95"/>
    <w:rsid w:val="008C3CB9"/>
    <w:rsid w:val="008C3CC9"/>
    <w:rsid w:val="008C3D1E"/>
    <w:rsid w:val="008C3D57"/>
    <w:rsid w:val="008C3D63"/>
    <w:rsid w:val="008C3D8C"/>
    <w:rsid w:val="008C3DD5"/>
    <w:rsid w:val="008C3DF6"/>
    <w:rsid w:val="008C3E60"/>
    <w:rsid w:val="008C3EBD"/>
    <w:rsid w:val="008C3ED8"/>
    <w:rsid w:val="008C3FA5"/>
    <w:rsid w:val="008C3FA9"/>
    <w:rsid w:val="008C3FAF"/>
    <w:rsid w:val="008C400C"/>
    <w:rsid w:val="008C400D"/>
    <w:rsid w:val="008C4098"/>
    <w:rsid w:val="008C4114"/>
    <w:rsid w:val="008C41BD"/>
    <w:rsid w:val="008C4246"/>
    <w:rsid w:val="008C42A6"/>
    <w:rsid w:val="008C434C"/>
    <w:rsid w:val="008C43DA"/>
    <w:rsid w:val="008C43E8"/>
    <w:rsid w:val="008C4434"/>
    <w:rsid w:val="008C443A"/>
    <w:rsid w:val="008C4484"/>
    <w:rsid w:val="008C44AD"/>
    <w:rsid w:val="008C4519"/>
    <w:rsid w:val="008C4535"/>
    <w:rsid w:val="008C45DF"/>
    <w:rsid w:val="008C463C"/>
    <w:rsid w:val="008C4689"/>
    <w:rsid w:val="008C46A5"/>
    <w:rsid w:val="008C46E2"/>
    <w:rsid w:val="008C475B"/>
    <w:rsid w:val="008C4772"/>
    <w:rsid w:val="008C47F4"/>
    <w:rsid w:val="008C47FA"/>
    <w:rsid w:val="008C47FD"/>
    <w:rsid w:val="008C483B"/>
    <w:rsid w:val="008C4864"/>
    <w:rsid w:val="008C487C"/>
    <w:rsid w:val="008C4931"/>
    <w:rsid w:val="008C4950"/>
    <w:rsid w:val="008C4968"/>
    <w:rsid w:val="008C49AB"/>
    <w:rsid w:val="008C49B8"/>
    <w:rsid w:val="008C49BD"/>
    <w:rsid w:val="008C49C7"/>
    <w:rsid w:val="008C49C8"/>
    <w:rsid w:val="008C49EF"/>
    <w:rsid w:val="008C4A11"/>
    <w:rsid w:val="008C4AEF"/>
    <w:rsid w:val="008C4AF2"/>
    <w:rsid w:val="008C4AF6"/>
    <w:rsid w:val="008C4B19"/>
    <w:rsid w:val="008C4B5E"/>
    <w:rsid w:val="008C4BCC"/>
    <w:rsid w:val="008C4C4D"/>
    <w:rsid w:val="008C4D2A"/>
    <w:rsid w:val="008C4DB9"/>
    <w:rsid w:val="008C4E1D"/>
    <w:rsid w:val="008C4E27"/>
    <w:rsid w:val="008C4F1E"/>
    <w:rsid w:val="008C4F5D"/>
    <w:rsid w:val="008C4F69"/>
    <w:rsid w:val="008C4F72"/>
    <w:rsid w:val="008C4FB0"/>
    <w:rsid w:val="008C4FC3"/>
    <w:rsid w:val="008C4FC7"/>
    <w:rsid w:val="008C4FEB"/>
    <w:rsid w:val="008C4FF8"/>
    <w:rsid w:val="008C5001"/>
    <w:rsid w:val="008C5012"/>
    <w:rsid w:val="008C50B5"/>
    <w:rsid w:val="008C5105"/>
    <w:rsid w:val="008C511C"/>
    <w:rsid w:val="008C516F"/>
    <w:rsid w:val="008C520E"/>
    <w:rsid w:val="008C5210"/>
    <w:rsid w:val="008C521D"/>
    <w:rsid w:val="008C524B"/>
    <w:rsid w:val="008C5260"/>
    <w:rsid w:val="008C5262"/>
    <w:rsid w:val="008C5269"/>
    <w:rsid w:val="008C5292"/>
    <w:rsid w:val="008C537D"/>
    <w:rsid w:val="008C5385"/>
    <w:rsid w:val="008C53D3"/>
    <w:rsid w:val="008C53E0"/>
    <w:rsid w:val="008C5422"/>
    <w:rsid w:val="008C546A"/>
    <w:rsid w:val="008C549A"/>
    <w:rsid w:val="008C54B1"/>
    <w:rsid w:val="008C54D9"/>
    <w:rsid w:val="008C54ED"/>
    <w:rsid w:val="008C54F7"/>
    <w:rsid w:val="008C5551"/>
    <w:rsid w:val="008C5560"/>
    <w:rsid w:val="008C55A7"/>
    <w:rsid w:val="008C5623"/>
    <w:rsid w:val="008C5650"/>
    <w:rsid w:val="008C5654"/>
    <w:rsid w:val="008C5692"/>
    <w:rsid w:val="008C56AC"/>
    <w:rsid w:val="008C5747"/>
    <w:rsid w:val="008C58F1"/>
    <w:rsid w:val="008C5A12"/>
    <w:rsid w:val="008C5A3A"/>
    <w:rsid w:val="008C5A41"/>
    <w:rsid w:val="008C5A50"/>
    <w:rsid w:val="008C5AA3"/>
    <w:rsid w:val="008C5B0F"/>
    <w:rsid w:val="008C5B22"/>
    <w:rsid w:val="008C5BA6"/>
    <w:rsid w:val="008C5BAB"/>
    <w:rsid w:val="008C5BCD"/>
    <w:rsid w:val="008C5BFC"/>
    <w:rsid w:val="008C5C0D"/>
    <w:rsid w:val="008C5CA3"/>
    <w:rsid w:val="008C5D31"/>
    <w:rsid w:val="008C5DAB"/>
    <w:rsid w:val="008C5DD5"/>
    <w:rsid w:val="008C5E76"/>
    <w:rsid w:val="008C5E80"/>
    <w:rsid w:val="008C5E82"/>
    <w:rsid w:val="008C5EC0"/>
    <w:rsid w:val="008C5F82"/>
    <w:rsid w:val="008C5F83"/>
    <w:rsid w:val="008C5FB8"/>
    <w:rsid w:val="008C5FDB"/>
    <w:rsid w:val="008C6037"/>
    <w:rsid w:val="008C605E"/>
    <w:rsid w:val="008C606A"/>
    <w:rsid w:val="008C6076"/>
    <w:rsid w:val="008C6080"/>
    <w:rsid w:val="008C60BB"/>
    <w:rsid w:val="008C60FA"/>
    <w:rsid w:val="008C611A"/>
    <w:rsid w:val="008C6142"/>
    <w:rsid w:val="008C6155"/>
    <w:rsid w:val="008C616A"/>
    <w:rsid w:val="008C6215"/>
    <w:rsid w:val="008C629C"/>
    <w:rsid w:val="008C634D"/>
    <w:rsid w:val="008C6368"/>
    <w:rsid w:val="008C6390"/>
    <w:rsid w:val="008C639B"/>
    <w:rsid w:val="008C63CD"/>
    <w:rsid w:val="008C6412"/>
    <w:rsid w:val="008C6484"/>
    <w:rsid w:val="008C6489"/>
    <w:rsid w:val="008C64A3"/>
    <w:rsid w:val="008C64B3"/>
    <w:rsid w:val="008C64B7"/>
    <w:rsid w:val="008C64BD"/>
    <w:rsid w:val="008C64E8"/>
    <w:rsid w:val="008C64FC"/>
    <w:rsid w:val="008C6502"/>
    <w:rsid w:val="008C6510"/>
    <w:rsid w:val="008C6547"/>
    <w:rsid w:val="008C65DF"/>
    <w:rsid w:val="008C65E6"/>
    <w:rsid w:val="008C6661"/>
    <w:rsid w:val="008C6685"/>
    <w:rsid w:val="008C6712"/>
    <w:rsid w:val="008C67A3"/>
    <w:rsid w:val="008C67EC"/>
    <w:rsid w:val="008C681D"/>
    <w:rsid w:val="008C68B4"/>
    <w:rsid w:val="008C68DB"/>
    <w:rsid w:val="008C68E0"/>
    <w:rsid w:val="008C68FC"/>
    <w:rsid w:val="008C6970"/>
    <w:rsid w:val="008C69A5"/>
    <w:rsid w:val="008C6A06"/>
    <w:rsid w:val="008C6A11"/>
    <w:rsid w:val="008C6A25"/>
    <w:rsid w:val="008C6A47"/>
    <w:rsid w:val="008C6A4A"/>
    <w:rsid w:val="008C6A89"/>
    <w:rsid w:val="008C6AB1"/>
    <w:rsid w:val="008C6ACE"/>
    <w:rsid w:val="008C6AD7"/>
    <w:rsid w:val="008C6B07"/>
    <w:rsid w:val="008C6B46"/>
    <w:rsid w:val="008C6B57"/>
    <w:rsid w:val="008C6B68"/>
    <w:rsid w:val="008C6B81"/>
    <w:rsid w:val="008C6BE5"/>
    <w:rsid w:val="008C6C9A"/>
    <w:rsid w:val="008C6C9F"/>
    <w:rsid w:val="008C6DC3"/>
    <w:rsid w:val="008C6E23"/>
    <w:rsid w:val="008C6E7F"/>
    <w:rsid w:val="008C6EA2"/>
    <w:rsid w:val="008C6EEC"/>
    <w:rsid w:val="008C6F01"/>
    <w:rsid w:val="008C6F25"/>
    <w:rsid w:val="008C6F69"/>
    <w:rsid w:val="008C6F6E"/>
    <w:rsid w:val="008C6FA9"/>
    <w:rsid w:val="008C6FC5"/>
    <w:rsid w:val="008C6FE2"/>
    <w:rsid w:val="008C6FF1"/>
    <w:rsid w:val="008C70A6"/>
    <w:rsid w:val="008C70BE"/>
    <w:rsid w:val="008C70C5"/>
    <w:rsid w:val="008C7141"/>
    <w:rsid w:val="008C714A"/>
    <w:rsid w:val="008C7152"/>
    <w:rsid w:val="008C717F"/>
    <w:rsid w:val="008C720B"/>
    <w:rsid w:val="008C7211"/>
    <w:rsid w:val="008C724D"/>
    <w:rsid w:val="008C7294"/>
    <w:rsid w:val="008C72CB"/>
    <w:rsid w:val="008C72DF"/>
    <w:rsid w:val="008C7302"/>
    <w:rsid w:val="008C7316"/>
    <w:rsid w:val="008C7323"/>
    <w:rsid w:val="008C7365"/>
    <w:rsid w:val="008C7372"/>
    <w:rsid w:val="008C7403"/>
    <w:rsid w:val="008C742E"/>
    <w:rsid w:val="008C748E"/>
    <w:rsid w:val="008C749C"/>
    <w:rsid w:val="008C750C"/>
    <w:rsid w:val="008C752A"/>
    <w:rsid w:val="008C7534"/>
    <w:rsid w:val="008C75A3"/>
    <w:rsid w:val="008C75BA"/>
    <w:rsid w:val="008C75E3"/>
    <w:rsid w:val="008C7645"/>
    <w:rsid w:val="008C7656"/>
    <w:rsid w:val="008C767D"/>
    <w:rsid w:val="008C76AE"/>
    <w:rsid w:val="008C76C7"/>
    <w:rsid w:val="008C76F6"/>
    <w:rsid w:val="008C7708"/>
    <w:rsid w:val="008C773B"/>
    <w:rsid w:val="008C779A"/>
    <w:rsid w:val="008C77FE"/>
    <w:rsid w:val="008C7818"/>
    <w:rsid w:val="008C784C"/>
    <w:rsid w:val="008C784E"/>
    <w:rsid w:val="008C7868"/>
    <w:rsid w:val="008C788A"/>
    <w:rsid w:val="008C7961"/>
    <w:rsid w:val="008C79D5"/>
    <w:rsid w:val="008C7A54"/>
    <w:rsid w:val="008C7A5C"/>
    <w:rsid w:val="008C7AB7"/>
    <w:rsid w:val="008C7B11"/>
    <w:rsid w:val="008C7B7A"/>
    <w:rsid w:val="008C7B82"/>
    <w:rsid w:val="008C7B98"/>
    <w:rsid w:val="008C7B9B"/>
    <w:rsid w:val="008C7C30"/>
    <w:rsid w:val="008C7C57"/>
    <w:rsid w:val="008C7CBE"/>
    <w:rsid w:val="008C7CD4"/>
    <w:rsid w:val="008C7D08"/>
    <w:rsid w:val="008C7D09"/>
    <w:rsid w:val="008C7D95"/>
    <w:rsid w:val="008C7DBA"/>
    <w:rsid w:val="008C7DBD"/>
    <w:rsid w:val="008C7DE3"/>
    <w:rsid w:val="008C7E8E"/>
    <w:rsid w:val="008C7E8F"/>
    <w:rsid w:val="008C7F0E"/>
    <w:rsid w:val="008C7F0F"/>
    <w:rsid w:val="008C7F3E"/>
    <w:rsid w:val="008C7F60"/>
    <w:rsid w:val="008C7FB6"/>
    <w:rsid w:val="008C7FBB"/>
    <w:rsid w:val="008C7FFC"/>
    <w:rsid w:val="008C8BC7"/>
    <w:rsid w:val="008CB1E3"/>
    <w:rsid w:val="008CD587"/>
    <w:rsid w:val="008D001C"/>
    <w:rsid w:val="008D0091"/>
    <w:rsid w:val="008D00CC"/>
    <w:rsid w:val="008D00D5"/>
    <w:rsid w:val="008D0115"/>
    <w:rsid w:val="008D014B"/>
    <w:rsid w:val="008D016A"/>
    <w:rsid w:val="008D01D1"/>
    <w:rsid w:val="008D0206"/>
    <w:rsid w:val="008D0229"/>
    <w:rsid w:val="008D0260"/>
    <w:rsid w:val="008D02DC"/>
    <w:rsid w:val="008D02F3"/>
    <w:rsid w:val="008D0311"/>
    <w:rsid w:val="008D0328"/>
    <w:rsid w:val="008D038C"/>
    <w:rsid w:val="008D03A2"/>
    <w:rsid w:val="008D0438"/>
    <w:rsid w:val="008D04AD"/>
    <w:rsid w:val="008D04FA"/>
    <w:rsid w:val="008D050D"/>
    <w:rsid w:val="008D052E"/>
    <w:rsid w:val="008D053C"/>
    <w:rsid w:val="008D0576"/>
    <w:rsid w:val="008D05D0"/>
    <w:rsid w:val="008D065F"/>
    <w:rsid w:val="008D06C9"/>
    <w:rsid w:val="008D07D7"/>
    <w:rsid w:val="008D0813"/>
    <w:rsid w:val="008D0814"/>
    <w:rsid w:val="008D0817"/>
    <w:rsid w:val="008D081E"/>
    <w:rsid w:val="008D088A"/>
    <w:rsid w:val="008D0896"/>
    <w:rsid w:val="008D0899"/>
    <w:rsid w:val="008D08CB"/>
    <w:rsid w:val="008D091D"/>
    <w:rsid w:val="008D091F"/>
    <w:rsid w:val="008D096A"/>
    <w:rsid w:val="008D0992"/>
    <w:rsid w:val="008D09C6"/>
    <w:rsid w:val="008D09DF"/>
    <w:rsid w:val="008D09EE"/>
    <w:rsid w:val="008D0A14"/>
    <w:rsid w:val="008D0AA0"/>
    <w:rsid w:val="008D0AB8"/>
    <w:rsid w:val="008D0AC0"/>
    <w:rsid w:val="008D0AD8"/>
    <w:rsid w:val="008D0AD9"/>
    <w:rsid w:val="008D0ADE"/>
    <w:rsid w:val="008D0AEE"/>
    <w:rsid w:val="008D0B02"/>
    <w:rsid w:val="008D0B0C"/>
    <w:rsid w:val="008D0B3F"/>
    <w:rsid w:val="008D0B50"/>
    <w:rsid w:val="008D0B5A"/>
    <w:rsid w:val="008D0BDD"/>
    <w:rsid w:val="008D0BE5"/>
    <w:rsid w:val="008D0BF0"/>
    <w:rsid w:val="008D0C4A"/>
    <w:rsid w:val="008D0CA3"/>
    <w:rsid w:val="008D0D9C"/>
    <w:rsid w:val="008D0DC1"/>
    <w:rsid w:val="008D0DD7"/>
    <w:rsid w:val="008D0E3F"/>
    <w:rsid w:val="008D0E48"/>
    <w:rsid w:val="008D0EC7"/>
    <w:rsid w:val="008D0EE6"/>
    <w:rsid w:val="008D0EFC"/>
    <w:rsid w:val="008D0F2C"/>
    <w:rsid w:val="008D0F3A"/>
    <w:rsid w:val="008D0F95"/>
    <w:rsid w:val="008D0FC5"/>
    <w:rsid w:val="008D10CE"/>
    <w:rsid w:val="008D110D"/>
    <w:rsid w:val="008D1140"/>
    <w:rsid w:val="008D11CE"/>
    <w:rsid w:val="008D11F6"/>
    <w:rsid w:val="008D11FD"/>
    <w:rsid w:val="008D11FE"/>
    <w:rsid w:val="008D122C"/>
    <w:rsid w:val="008D127D"/>
    <w:rsid w:val="008D132E"/>
    <w:rsid w:val="008D134D"/>
    <w:rsid w:val="008D140D"/>
    <w:rsid w:val="008D1488"/>
    <w:rsid w:val="008D14E8"/>
    <w:rsid w:val="008D157F"/>
    <w:rsid w:val="008D1580"/>
    <w:rsid w:val="008D1586"/>
    <w:rsid w:val="008D15B8"/>
    <w:rsid w:val="008D15C9"/>
    <w:rsid w:val="008D15E6"/>
    <w:rsid w:val="008D1612"/>
    <w:rsid w:val="008D16F1"/>
    <w:rsid w:val="008D1722"/>
    <w:rsid w:val="008D1724"/>
    <w:rsid w:val="008D172A"/>
    <w:rsid w:val="008D1756"/>
    <w:rsid w:val="008D17A0"/>
    <w:rsid w:val="008D17AC"/>
    <w:rsid w:val="008D17D6"/>
    <w:rsid w:val="008D17E7"/>
    <w:rsid w:val="008D1823"/>
    <w:rsid w:val="008D183D"/>
    <w:rsid w:val="008D1890"/>
    <w:rsid w:val="008D18A7"/>
    <w:rsid w:val="008D18CA"/>
    <w:rsid w:val="008D18FE"/>
    <w:rsid w:val="008D1988"/>
    <w:rsid w:val="008D19EF"/>
    <w:rsid w:val="008D19FA"/>
    <w:rsid w:val="008D1A14"/>
    <w:rsid w:val="008D1A21"/>
    <w:rsid w:val="008D1A75"/>
    <w:rsid w:val="008D1ABF"/>
    <w:rsid w:val="008D1B38"/>
    <w:rsid w:val="008D1B47"/>
    <w:rsid w:val="008D1B54"/>
    <w:rsid w:val="008D1B76"/>
    <w:rsid w:val="008D1BC3"/>
    <w:rsid w:val="008D1C41"/>
    <w:rsid w:val="008D1D10"/>
    <w:rsid w:val="008D1D36"/>
    <w:rsid w:val="008D1D3D"/>
    <w:rsid w:val="008D1D71"/>
    <w:rsid w:val="008D1D9F"/>
    <w:rsid w:val="008D1DB9"/>
    <w:rsid w:val="008D1F08"/>
    <w:rsid w:val="008D1F16"/>
    <w:rsid w:val="008D1F7B"/>
    <w:rsid w:val="008D1F92"/>
    <w:rsid w:val="008D1FAF"/>
    <w:rsid w:val="008D1FD3"/>
    <w:rsid w:val="008D2011"/>
    <w:rsid w:val="008D2018"/>
    <w:rsid w:val="008D204F"/>
    <w:rsid w:val="008D20CE"/>
    <w:rsid w:val="008D20DD"/>
    <w:rsid w:val="008D2170"/>
    <w:rsid w:val="008D21EA"/>
    <w:rsid w:val="008D225D"/>
    <w:rsid w:val="008D22A2"/>
    <w:rsid w:val="008D22D5"/>
    <w:rsid w:val="008D22F0"/>
    <w:rsid w:val="008D2306"/>
    <w:rsid w:val="008D2312"/>
    <w:rsid w:val="008D234A"/>
    <w:rsid w:val="008D2373"/>
    <w:rsid w:val="008D23B8"/>
    <w:rsid w:val="008D23BB"/>
    <w:rsid w:val="008D23C0"/>
    <w:rsid w:val="008D2402"/>
    <w:rsid w:val="008D2419"/>
    <w:rsid w:val="008D2444"/>
    <w:rsid w:val="008D2458"/>
    <w:rsid w:val="008D249E"/>
    <w:rsid w:val="008D24B4"/>
    <w:rsid w:val="008D24E4"/>
    <w:rsid w:val="008D2558"/>
    <w:rsid w:val="008D25A8"/>
    <w:rsid w:val="008D25AF"/>
    <w:rsid w:val="008D25C4"/>
    <w:rsid w:val="008D25EA"/>
    <w:rsid w:val="008D2603"/>
    <w:rsid w:val="008D2615"/>
    <w:rsid w:val="008D2637"/>
    <w:rsid w:val="008D26B5"/>
    <w:rsid w:val="008D275B"/>
    <w:rsid w:val="008D2762"/>
    <w:rsid w:val="008D280A"/>
    <w:rsid w:val="008D283D"/>
    <w:rsid w:val="008D2863"/>
    <w:rsid w:val="008D287A"/>
    <w:rsid w:val="008D28B0"/>
    <w:rsid w:val="008D2966"/>
    <w:rsid w:val="008D2987"/>
    <w:rsid w:val="008D2989"/>
    <w:rsid w:val="008D29A3"/>
    <w:rsid w:val="008D29CF"/>
    <w:rsid w:val="008D29F6"/>
    <w:rsid w:val="008D2A03"/>
    <w:rsid w:val="008D2A37"/>
    <w:rsid w:val="008D2A3E"/>
    <w:rsid w:val="008D2A58"/>
    <w:rsid w:val="008D2B00"/>
    <w:rsid w:val="008D2B5A"/>
    <w:rsid w:val="008D2B6C"/>
    <w:rsid w:val="008D2BB6"/>
    <w:rsid w:val="008D2BD1"/>
    <w:rsid w:val="008D2BE2"/>
    <w:rsid w:val="008D2C6A"/>
    <w:rsid w:val="008D2CB1"/>
    <w:rsid w:val="008D2CBA"/>
    <w:rsid w:val="008D2CC9"/>
    <w:rsid w:val="008D2D0A"/>
    <w:rsid w:val="008D2D26"/>
    <w:rsid w:val="008D2D55"/>
    <w:rsid w:val="008D2DF7"/>
    <w:rsid w:val="008D2E33"/>
    <w:rsid w:val="008D2E62"/>
    <w:rsid w:val="008D2E6D"/>
    <w:rsid w:val="008D2F3D"/>
    <w:rsid w:val="008D2F58"/>
    <w:rsid w:val="008D2F65"/>
    <w:rsid w:val="008D2F75"/>
    <w:rsid w:val="008D2FB9"/>
    <w:rsid w:val="008D2FDF"/>
    <w:rsid w:val="008D2FE0"/>
    <w:rsid w:val="008D3000"/>
    <w:rsid w:val="008D3011"/>
    <w:rsid w:val="008D3023"/>
    <w:rsid w:val="008D3058"/>
    <w:rsid w:val="008D30EC"/>
    <w:rsid w:val="008D30F5"/>
    <w:rsid w:val="008D30FF"/>
    <w:rsid w:val="008D314C"/>
    <w:rsid w:val="008D3156"/>
    <w:rsid w:val="008D3177"/>
    <w:rsid w:val="008D31A8"/>
    <w:rsid w:val="008D31AE"/>
    <w:rsid w:val="008D31B5"/>
    <w:rsid w:val="008D31F9"/>
    <w:rsid w:val="008D3270"/>
    <w:rsid w:val="008D3345"/>
    <w:rsid w:val="008D3383"/>
    <w:rsid w:val="008D33A8"/>
    <w:rsid w:val="008D33B0"/>
    <w:rsid w:val="008D33D5"/>
    <w:rsid w:val="008D3429"/>
    <w:rsid w:val="008D3435"/>
    <w:rsid w:val="008D344A"/>
    <w:rsid w:val="008D34E5"/>
    <w:rsid w:val="008D352C"/>
    <w:rsid w:val="008D353C"/>
    <w:rsid w:val="008D357D"/>
    <w:rsid w:val="008D359E"/>
    <w:rsid w:val="008D35E5"/>
    <w:rsid w:val="008D35E9"/>
    <w:rsid w:val="008D360E"/>
    <w:rsid w:val="008D3634"/>
    <w:rsid w:val="008D364B"/>
    <w:rsid w:val="008D366E"/>
    <w:rsid w:val="008D3685"/>
    <w:rsid w:val="008D3690"/>
    <w:rsid w:val="008D3697"/>
    <w:rsid w:val="008D37EC"/>
    <w:rsid w:val="008D37EE"/>
    <w:rsid w:val="008D380D"/>
    <w:rsid w:val="008D381A"/>
    <w:rsid w:val="008D385D"/>
    <w:rsid w:val="008D3889"/>
    <w:rsid w:val="008D38B2"/>
    <w:rsid w:val="008D38B7"/>
    <w:rsid w:val="008D38C2"/>
    <w:rsid w:val="008D38F2"/>
    <w:rsid w:val="008D38F4"/>
    <w:rsid w:val="008D3913"/>
    <w:rsid w:val="008D3978"/>
    <w:rsid w:val="008D39C8"/>
    <w:rsid w:val="008D3A58"/>
    <w:rsid w:val="008D3A80"/>
    <w:rsid w:val="008D3AF7"/>
    <w:rsid w:val="008D3B30"/>
    <w:rsid w:val="008D3B5A"/>
    <w:rsid w:val="008D3B93"/>
    <w:rsid w:val="008D3B99"/>
    <w:rsid w:val="008D3C1F"/>
    <w:rsid w:val="008D3D28"/>
    <w:rsid w:val="008D3D66"/>
    <w:rsid w:val="008D3D87"/>
    <w:rsid w:val="008D3D92"/>
    <w:rsid w:val="008D3D9E"/>
    <w:rsid w:val="008D3DB3"/>
    <w:rsid w:val="008D3E06"/>
    <w:rsid w:val="008D3E7F"/>
    <w:rsid w:val="008D3EAC"/>
    <w:rsid w:val="008D3F3C"/>
    <w:rsid w:val="008D3F3E"/>
    <w:rsid w:val="008D3F44"/>
    <w:rsid w:val="008D3F4F"/>
    <w:rsid w:val="008D3F66"/>
    <w:rsid w:val="008D3F8E"/>
    <w:rsid w:val="008D3FE2"/>
    <w:rsid w:val="008D3FED"/>
    <w:rsid w:val="008D404F"/>
    <w:rsid w:val="008D40C0"/>
    <w:rsid w:val="008D4116"/>
    <w:rsid w:val="008D411F"/>
    <w:rsid w:val="008D413A"/>
    <w:rsid w:val="008D4148"/>
    <w:rsid w:val="008D4151"/>
    <w:rsid w:val="008D416A"/>
    <w:rsid w:val="008D41A6"/>
    <w:rsid w:val="008D4235"/>
    <w:rsid w:val="008D4262"/>
    <w:rsid w:val="008D42CA"/>
    <w:rsid w:val="008D4357"/>
    <w:rsid w:val="008D43BF"/>
    <w:rsid w:val="008D4418"/>
    <w:rsid w:val="008D441E"/>
    <w:rsid w:val="008D4420"/>
    <w:rsid w:val="008D4437"/>
    <w:rsid w:val="008D445B"/>
    <w:rsid w:val="008D44B3"/>
    <w:rsid w:val="008D44D2"/>
    <w:rsid w:val="008D4551"/>
    <w:rsid w:val="008D4574"/>
    <w:rsid w:val="008D458C"/>
    <w:rsid w:val="008D45E9"/>
    <w:rsid w:val="008D466E"/>
    <w:rsid w:val="008D4675"/>
    <w:rsid w:val="008D4692"/>
    <w:rsid w:val="008D4696"/>
    <w:rsid w:val="008D46B2"/>
    <w:rsid w:val="008D46B9"/>
    <w:rsid w:val="008D46D6"/>
    <w:rsid w:val="008D46FF"/>
    <w:rsid w:val="008D4714"/>
    <w:rsid w:val="008D472B"/>
    <w:rsid w:val="008D47A5"/>
    <w:rsid w:val="008D47C4"/>
    <w:rsid w:val="008D47DA"/>
    <w:rsid w:val="008D47DF"/>
    <w:rsid w:val="008D47E8"/>
    <w:rsid w:val="008D4805"/>
    <w:rsid w:val="008D4829"/>
    <w:rsid w:val="008D486D"/>
    <w:rsid w:val="008D48AF"/>
    <w:rsid w:val="008D494E"/>
    <w:rsid w:val="008D49A6"/>
    <w:rsid w:val="008D49B8"/>
    <w:rsid w:val="008D49FE"/>
    <w:rsid w:val="008D4A02"/>
    <w:rsid w:val="008D4A04"/>
    <w:rsid w:val="008D4A27"/>
    <w:rsid w:val="008D4A2B"/>
    <w:rsid w:val="008D4A38"/>
    <w:rsid w:val="008D4A81"/>
    <w:rsid w:val="008D4AEB"/>
    <w:rsid w:val="008D4B52"/>
    <w:rsid w:val="008D4BE7"/>
    <w:rsid w:val="008D4BF5"/>
    <w:rsid w:val="008D4C02"/>
    <w:rsid w:val="008D4C31"/>
    <w:rsid w:val="008D4CAC"/>
    <w:rsid w:val="008D4D19"/>
    <w:rsid w:val="008D4D61"/>
    <w:rsid w:val="008D4D6D"/>
    <w:rsid w:val="008D4DA6"/>
    <w:rsid w:val="008D4DB8"/>
    <w:rsid w:val="008D4DD6"/>
    <w:rsid w:val="008D4DDE"/>
    <w:rsid w:val="008D4DDF"/>
    <w:rsid w:val="008D4DEE"/>
    <w:rsid w:val="008D4E3C"/>
    <w:rsid w:val="008D4E5F"/>
    <w:rsid w:val="008D4E8C"/>
    <w:rsid w:val="008D4EC6"/>
    <w:rsid w:val="008D4F45"/>
    <w:rsid w:val="008D4F6B"/>
    <w:rsid w:val="008D4F95"/>
    <w:rsid w:val="008D501D"/>
    <w:rsid w:val="008D504F"/>
    <w:rsid w:val="008D5059"/>
    <w:rsid w:val="008D505C"/>
    <w:rsid w:val="008D510B"/>
    <w:rsid w:val="008D5169"/>
    <w:rsid w:val="008D51B6"/>
    <w:rsid w:val="008D51E2"/>
    <w:rsid w:val="008D51E6"/>
    <w:rsid w:val="008D51EF"/>
    <w:rsid w:val="008D523D"/>
    <w:rsid w:val="008D526F"/>
    <w:rsid w:val="008D5291"/>
    <w:rsid w:val="008D52B8"/>
    <w:rsid w:val="008D52CB"/>
    <w:rsid w:val="008D5328"/>
    <w:rsid w:val="008D532D"/>
    <w:rsid w:val="008D5332"/>
    <w:rsid w:val="008D5346"/>
    <w:rsid w:val="008D5347"/>
    <w:rsid w:val="008D535B"/>
    <w:rsid w:val="008D5364"/>
    <w:rsid w:val="008D53AF"/>
    <w:rsid w:val="008D53BC"/>
    <w:rsid w:val="008D53ED"/>
    <w:rsid w:val="008D5444"/>
    <w:rsid w:val="008D5452"/>
    <w:rsid w:val="008D5475"/>
    <w:rsid w:val="008D54E3"/>
    <w:rsid w:val="008D5500"/>
    <w:rsid w:val="008D5526"/>
    <w:rsid w:val="008D5529"/>
    <w:rsid w:val="008D554B"/>
    <w:rsid w:val="008D5553"/>
    <w:rsid w:val="008D555B"/>
    <w:rsid w:val="008D557F"/>
    <w:rsid w:val="008D5596"/>
    <w:rsid w:val="008D55A8"/>
    <w:rsid w:val="008D55D3"/>
    <w:rsid w:val="008D562D"/>
    <w:rsid w:val="008D5637"/>
    <w:rsid w:val="008D5682"/>
    <w:rsid w:val="008D568F"/>
    <w:rsid w:val="008D56DC"/>
    <w:rsid w:val="008D570A"/>
    <w:rsid w:val="008D5716"/>
    <w:rsid w:val="008D5726"/>
    <w:rsid w:val="008D573C"/>
    <w:rsid w:val="008D57CA"/>
    <w:rsid w:val="008D57DE"/>
    <w:rsid w:val="008D5995"/>
    <w:rsid w:val="008D59C7"/>
    <w:rsid w:val="008D59DD"/>
    <w:rsid w:val="008D59FB"/>
    <w:rsid w:val="008D5A01"/>
    <w:rsid w:val="008D5A55"/>
    <w:rsid w:val="008D5A64"/>
    <w:rsid w:val="008D5A7F"/>
    <w:rsid w:val="008D5AD6"/>
    <w:rsid w:val="008D5AEF"/>
    <w:rsid w:val="008D5B5B"/>
    <w:rsid w:val="008D5B7C"/>
    <w:rsid w:val="008D5BE0"/>
    <w:rsid w:val="008D5C69"/>
    <w:rsid w:val="008D5C8B"/>
    <w:rsid w:val="008D5CF7"/>
    <w:rsid w:val="008D5D6C"/>
    <w:rsid w:val="008D5D8E"/>
    <w:rsid w:val="008D5E52"/>
    <w:rsid w:val="008D5E7C"/>
    <w:rsid w:val="008D5EC3"/>
    <w:rsid w:val="008D5EC7"/>
    <w:rsid w:val="008D5EDD"/>
    <w:rsid w:val="008D5EE5"/>
    <w:rsid w:val="008D5EF0"/>
    <w:rsid w:val="008D5F17"/>
    <w:rsid w:val="008D5F20"/>
    <w:rsid w:val="008D5F3B"/>
    <w:rsid w:val="008D5FE0"/>
    <w:rsid w:val="008D60D9"/>
    <w:rsid w:val="008D60E4"/>
    <w:rsid w:val="008D60F0"/>
    <w:rsid w:val="008D6145"/>
    <w:rsid w:val="008D6155"/>
    <w:rsid w:val="008D622E"/>
    <w:rsid w:val="008D624A"/>
    <w:rsid w:val="008D6252"/>
    <w:rsid w:val="008D6269"/>
    <w:rsid w:val="008D6298"/>
    <w:rsid w:val="008D62D1"/>
    <w:rsid w:val="008D62DA"/>
    <w:rsid w:val="008D634B"/>
    <w:rsid w:val="008D6363"/>
    <w:rsid w:val="008D6377"/>
    <w:rsid w:val="008D6399"/>
    <w:rsid w:val="008D63D6"/>
    <w:rsid w:val="008D63D8"/>
    <w:rsid w:val="008D63EC"/>
    <w:rsid w:val="008D645D"/>
    <w:rsid w:val="008D64A4"/>
    <w:rsid w:val="008D6511"/>
    <w:rsid w:val="008D6561"/>
    <w:rsid w:val="008D656C"/>
    <w:rsid w:val="008D6581"/>
    <w:rsid w:val="008D65CD"/>
    <w:rsid w:val="008D662B"/>
    <w:rsid w:val="008D6648"/>
    <w:rsid w:val="008D66DC"/>
    <w:rsid w:val="008D66DD"/>
    <w:rsid w:val="008D6717"/>
    <w:rsid w:val="008D6750"/>
    <w:rsid w:val="008D675E"/>
    <w:rsid w:val="008D6799"/>
    <w:rsid w:val="008D67E7"/>
    <w:rsid w:val="008D6801"/>
    <w:rsid w:val="008D682F"/>
    <w:rsid w:val="008D684B"/>
    <w:rsid w:val="008D6870"/>
    <w:rsid w:val="008D6895"/>
    <w:rsid w:val="008D68CC"/>
    <w:rsid w:val="008D68D7"/>
    <w:rsid w:val="008D68DD"/>
    <w:rsid w:val="008D690C"/>
    <w:rsid w:val="008D6921"/>
    <w:rsid w:val="008D694B"/>
    <w:rsid w:val="008D695E"/>
    <w:rsid w:val="008D69B0"/>
    <w:rsid w:val="008D69C2"/>
    <w:rsid w:val="008D6A07"/>
    <w:rsid w:val="008D6A0C"/>
    <w:rsid w:val="008D6A19"/>
    <w:rsid w:val="008D6A4F"/>
    <w:rsid w:val="008D6A51"/>
    <w:rsid w:val="008D6A71"/>
    <w:rsid w:val="008D6AE6"/>
    <w:rsid w:val="008D6B03"/>
    <w:rsid w:val="008D6B28"/>
    <w:rsid w:val="008D6B8B"/>
    <w:rsid w:val="008D6B8C"/>
    <w:rsid w:val="008D6C95"/>
    <w:rsid w:val="008D6CB8"/>
    <w:rsid w:val="008D6D03"/>
    <w:rsid w:val="008D6D4D"/>
    <w:rsid w:val="008D6EA0"/>
    <w:rsid w:val="008D6F01"/>
    <w:rsid w:val="008D6F1C"/>
    <w:rsid w:val="008D6F5B"/>
    <w:rsid w:val="008D6F78"/>
    <w:rsid w:val="008D6F8B"/>
    <w:rsid w:val="008D6FB1"/>
    <w:rsid w:val="008D7011"/>
    <w:rsid w:val="008D7017"/>
    <w:rsid w:val="008D70C2"/>
    <w:rsid w:val="008D70FC"/>
    <w:rsid w:val="008D7195"/>
    <w:rsid w:val="008D719A"/>
    <w:rsid w:val="008D71A5"/>
    <w:rsid w:val="008D71C4"/>
    <w:rsid w:val="008D7299"/>
    <w:rsid w:val="008D736B"/>
    <w:rsid w:val="008D74A7"/>
    <w:rsid w:val="008D74C1"/>
    <w:rsid w:val="008D74C5"/>
    <w:rsid w:val="008D74CC"/>
    <w:rsid w:val="008D7531"/>
    <w:rsid w:val="008D754A"/>
    <w:rsid w:val="008D7586"/>
    <w:rsid w:val="008D7593"/>
    <w:rsid w:val="008D75B2"/>
    <w:rsid w:val="008D75DD"/>
    <w:rsid w:val="008D7649"/>
    <w:rsid w:val="008D76FD"/>
    <w:rsid w:val="008D7762"/>
    <w:rsid w:val="008D77B3"/>
    <w:rsid w:val="008D77DB"/>
    <w:rsid w:val="008D77EF"/>
    <w:rsid w:val="008D7818"/>
    <w:rsid w:val="008D7826"/>
    <w:rsid w:val="008D786B"/>
    <w:rsid w:val="008D7871"/>
    <w:rsid w:val="008D7873"/>
    <w:rsid w:val="008D7882"/>
    <w:rsid w:val="008D78AA"/>
    <w:rsid w:val="008D7911"/>
    <w:rsid w:val="008D7912"/>
    <w:rsid w:val="008D791A"/>
    <w:rsid w:val="008D7923"/>
    <w:rsid w:val="008D793B"/>
    <w:rsid w:val="008D7960"/>
    <w:rsid w:val="008D7972"/>
    <w:rsid w:val="008D7996"/>
    <w:rsid w:val="008D79E5"/>
    <w:rsid w:val="008D7A69"/>
    <w:rsid w:val="008D7A91"/>
    <w:rsid w:val="008D7ADA"/>
    <w:rsid w:val="008D7AFA"/>
    <w:rsid w:val="008D7B38"/>
    <w:rsid w:val="008D7B56"/>
    <w:rsid w:val="008D7C87"/>
    <w:rsid w:val="008D7C9A"/>
    <w:rsid w:val="008D7D02"/>
    <w:rsid w:val="008D7D21"/>
    <w:rsid w:val="008D7D51"/>
    <w:rsid w:val="008D7D60"/>
    <w:rsid w:val="008D7D87"/>
    <w:rsid w:val="008D7DAA"/>
    <w:rsid w:val="008D7E73"/>
    <w:rsid w:val="008D7E94"/>
    <w:rsid w:val="008D7EB1"/>
    <w:rsid w:val="008D7EBE"/>
    <w:rsid w:val="008D7F23"/>
    <w:rsid w:val="008D7F28"/>
    <w:rsid w:val="008D7F49"/>
    <w:rsid w:val="008D7F6B"/>
    <w:rsid w:val="008D7FA5"/>
    <w:rsid w:val="008DFBF5"/>
    <w:rsid w:val="008E0051"/>
    <w:rsid w:val="008E007E"/>
    <w:rsid w:val="008E009D"/>
    <w:rsid w:val="008E00FB"/>
    <w:rsid w:val="008E019F"/>
    <w:rsid w:val="008E01FD"/>
    <w:rsid w:val="008E0243"/>
    <w:rsid w:val="008E027F"/>
    <w:rsid w:val="008E0294"/>
    <w:rsid w:val="008E02FD"/>
    <w:rsid w:val="008E0390"/>
    <w:rsid w:val="008E0394"/>
    <w:rsid w:val="008E0491"/>
    <w:rsid w:val="008E04C0"/>
    <w:rsid w:val="008E04EC"/>
    <w:rsid w:val="008E0518"/>
    <w:rsid w:val="008E0554"/>
    <w:rsid w:val="008E058E"/>
    <w:rsid w:val="008E05A0"/>
    <w:rsid w:val="008E05A3"/>
    <w:rsid w:val="008E05B9"/>
    <w:rsid w:val="008E05DC"/>
    <w:rsid w:val="008E0612"/>
    <w:rsid w:val="008E0613"/>
    <w:rsid w:val="008E0632"/>
    <w:rsid w:val="008E063D"/>
    <w:rsid w:val="008E0670"/>
    <w:rsid w:val="008E06B8"/>
    <w:rsid w:val="008E071B"/>
    <w:rsid w:val="008E072D"/>
    <w:rsid w:val="008E073C"/>
    <w:rsid w:val="008E0748"/>
    <w:rsid w:val="008E07B7"/>
    <w:rsid w:val="008E07C3"/>
    <w:rsid w:val="008E07FF"/>
    <w:rsid w:val="008E0808"/>
    <w:rsid w:val="008E087C"/>
    <w:rsid w:val="008E0891"/>
    <w:rsid w:val="008E08BB"/>
    <w:rsid w:val="008E08E3"/>
    <w:rsid w:val="008E0916"/>
    <w:rsid w:val="008E09B4"/>
    <w:rsid w:val="008E0A77"/>
    <w:rsid w:val="008E0AEE"/>
    <w:rsid w:val="008E0B12"/>
    <w:rsid w:val="008E0B6F"/>
    <w:rsid w:val="008E0B95"/>
    <w:rsid w:val="008E0BFB"/>
    <w:rsid w:val="008E0C1E"/>
    <w:rsid w:val="008E0C31"/>
    <w:rsid w:val="008E0C86"/>
    <w:rsid w:val="008E0CCA"/>
    <w:rsid w:val="008E0CCD"/>
    <w:rsid w:val="008E0CEF"/>
    <w:rsid w:val="008E0CF1"/>
    <w:rsid w:val="008E0E65"/>
    <w:rsid w:val="008E0EEC"/>
    <w:rsid w:val="008E0F23"/>
    <w:rsid w:val="008E0F37"/>
    <w:rsid w:val="008E0F59"/>
    <w:rsid w:val="008E0FE4"/>
    <w:rsid w:val="008E0FEB"/>
    <w:rsid w:val="008E1000"/>
    <w:rsid w:val="008E1026"/>
    <w:rsid w:val="008E10DD"/>
    <w:rsid w:val="008E1112"/>
    <w:rsid w:val="008E111A"/>
    <w:rsid w:val="008E11CA"/>
    <w:rsid w:val="008E127C"/>
    <w:rsid w:val="008E129C"/>
    <w:rsid w:val="008E12A8"/>
    <w:rsid w:val="008E12BD"/>
    <w:rsid w:val="008E12D9"/>
    <w:rsid w:val="008E12EB"/>
    <w:rsid w:val="008E131A"/>
    <w:rsid w:val="008E135F"/>
    <w:rsid w:val="008E1388"/>
    <w:rsid w:val="008E138F"/>
    <w:rsid w:val="008E13AA"/>
    <w:rsid w:val="008E13C7"/>
    <w:rsid w:val="008E1435"/>
    <w:rsid w:val="008E1473"/>
    <w:rsid w:val="008E14A3"/>
    <w:rsid w:val="008E14BD"/>
    <w:rsid w:val="008E14D2"/>
    <w:rsid w:val="008E14EC"/>
    <w:rsid w:val="008E150D"/>
    <w:rsid w:val="008E1515"/>
    <w:rsid w:val="008E1537"/>
    <w:rsid w:val="008E15F6"/>
    <w:rsid w:val="008E1604"/>
    <w:rsid w:val="008E160B"/>
    <w:rsid w:val="008E1627"/>
    <w:rsid w:val="008E162F"/>
    <w:rsid w:val="008E1659"/>
    <w:rsid w:val="008E1664"/>
    <w:rsid w:val="008E1686"/>
    <w:rsid w:val="008E1696"/>
    <w:rsid w:val="008E16B0"/>
    <w:rsid w:val="008E16BF"/>
    <w:rsid w:val="008E16D2"/>
    <w:rsid w:val="008E176E"/>
    <w:rsid w:val="008E1783"/>
    <w:rsid w:val="008E17D8"/>
    <w:rsid w:val="008E17F0"/>
    <w:rsid w:val="008E1813"/>
    <w:rsid w:val="008E1817"/>
    <w:rsid w:val="008E183A"/>
    <w:rsid w:val="008E185E"/>
    <w:rsid w:val="008E187D"/>
    <w:rsid w:val="008E1981"/>
    <w:rsid w:val="008E1983"/>
    <w:rsid w:val="008E1ACA"/>
    <w:rsid w:val="008E1B0E"/>
    <w:rsid w:val="008E1B21"/>
    <w:rsid w:val="008E1B93"/>
    <w:rsid w:val="008E1B95"/>
    <w:rsid w:val="008E1BC4"/>
    <w:rsid w:val="008E1BCC"/>
    <w:rsid w:val="008E1BFA"/>
    <w:rsid w:val="008E1BFF"/>
    <w:rsid w:val="008E1C11"/>
    <w:rsid w:val="008E1C1E"/>
    <w:rsid w:val="008E1C43"/>
    <w:rsid w:val="008E1C47"/>
    <w:rsid w:val="008E1C63"/>
    <w:rsid w:val="008E1CB5"/>
    <w:rsid w:val="008E1CE2"/>
    <w:rsid w:val="008E1D8C"/>
    <w:rsid w:val="008E1D8F"/>
    <w:rsid w:val="008E1DBA"/>
    <w:rsid w:val="008E1DC0"/>
    <w:rsid w:val="008E1E27"/>
    <w:rsid w:val="008E1E34"/>
    <w:rsid w:val="008E1E35"/>
    <w:rsid w:val="008E1E9F"/>
    <w:rsid w:val="008E1EB2"/>
    <w:rsid w:val="008E1F12"/>
    <w:rsid w:val="008E1F42"/>
    <w:rsid w:val="008E1F7D"/>
    <w:rsid w:val="008E1FD8"/>
    <w:rsid w:val="008E2019"/>
    <w:rsid w:val="008E2090"/>
    <w:rsid w:val="008E2187"/>
    <w:rsid w:val="008E21FE"/>
    <w:rsid w:val="008E2235"/>
    <w:rsid w:val="008E2271"/>
    <w:rsid w:val="008E227A"/>
    <w:rsid w:val="008E22B3"/>
    <w:rsid w:val="008E22E9"/>
    <w:rsid w:val="008E234B"/>
    <w:rsid w:val="008E23F0"/>
    <w:rsid w:val="008E2450"/>
    <w:rsid w:val="008E2471"/>
    <w:rsid w:val="008E24B7"/>
    <w:rsid w:val="008E258D"/>
    <w:rsid w:val="008E2669"/>
    <w:rsid w:val="008E2714"/>
    <w:rsid w:val="008E274D"/>
    <w:rsid w:val="008E2788"/>
    <w:rsid w:val="008E278B"/>
    <w:rsid w:val="008E2833"/>
    <w:rsid w:val="008E283A"/>
    <w:rsid w:val="008E2919"/>
    <w:rsid w:val="008E2947"/>
    <w:rsid w:val="008E296F"/>
    <w:rsid w:val="008E29EB"/>
    <w:rsid w:val="008E2A3F"/>
    <w:rsid w:val="008E2A7B"/>
    <w:rsid w:val="008E2ACC"/>
    <w:rsid w:val="008E2B0F"/>
    <w:rsid w:val="008E2B5A"/>
    <w:rsid w:val="008E2B7A"/>
    <w:rsid w:val="008E2BBF"/>
    <w:rsid w:val="008E2BDF"/>
    <w:rsid w:val="008E2CC2"/>
    <w:rsid w:val="008E2CC5"/>
    <w:rsid w:val="008E2D10"/>
    <w:rsid w:val="008E2D39"/>
    <w:rsid w:val="008E2D88"/>
    <w:rsid w:val="008E2D9B"/>
    <w:rsid w:val="008E2DF9"/>
    <w:rsid w:val="008E2E4D"/>
    <w:rsid w:val="008E2EB5"/>
    <w:rsid w:val="008E2EC2"/>
    <w:rsid w:val="008E2ECC"/>
    <w:rsid w:val="008E2EE8"/>
    <w:rsid w:val="008E2F3E"/>
    <w:rsid w:val="008E2F51"/>
    <w:rsid w:val="008E2F72"/>
    <w:rsid w:val="008E2FA8"/>
    <w:rsid w:val="008E2FF1"/>
    <w:rsid w:val="008E2FF2"/>
    <w:rsid w:val="008E308E"/>
    <w:rsid w:val="008E30D8"/>
    <w:rsid w:val="008E30E2"/>
    <w:rsid w:val="008E30E7"/>
    <w:rsid w:val="008E311C"/>
    <w:rsid w:val="008E3178"/>
    <w:rsid w:val="008E31EE"/>
    <w:rsid w:val="008E3271"/>
    <w:rsid w:val="008E3292"/>
    <w:rsid w:val="008E329C"/>
    <w:rsid w:val="008E333D"/>
    <w:rsid w:val="008E3349"/>
    <w:rsid w:val="008E3384"/>
    <w:rsid w:val="008E3446"/>
    <w:rsid w:val="008E3469"/>
    <w:rsid w:val="008E3493"/>
    <w:rsid w:val="008E34E3"/>
    <w:rsid w:val="008E350B"/>
    <w:rsid w:val="008E357B"/>
    <w:rsid w:val="008E35F9"/>
    <w:rsid w:val="008E3670"/>
    <w:rsid w:val="008E367A"/>
    <w:rsid w:val="008E3697"/>
    <w:rsid w:val="008E36A8"/>
    <w:rsid w:val="008E36AF"/>
    <w:rsid w:val="008E36B5"/>
    <w:rsid w:val="008E3755"/>
    <w:rsid w:val="008E3790"/>
    <w:rsid w:val="008E37B2"/>
    <w:rsid w:val="008E3851"/>
    <w:rsid w:val="008E3875"/>
    <w:rsid w:val="008E3899"/>
    <w:rsid w:val="008E3922"/>
    <w:rsid w:val="008E39E5"/>
    <w:rsid w:val="008E39EB"/>
    <w:rsid w:val="008E3A35"/>
    <w:rsid w:val="008E3A36"/>
    <w:rsid w:val="008E3A5F"/>
    <w:rsid w:val="008E3A62"/>
    <w:rsid w:val="008E3A9C"/>
    <w:rsid w:val="008E3AB4"/>
    <w:rsid w:val="008E3AC0"/>
    <w:rsid w:val="008E3AE7"/>
    <w:rsid w:val="008E3AEC"/>
    <w:rsid w:val="008E3BE5"/>
    <w:rsid w:val="008E3BEF"/>
    <w:rsid w:val="008E3BF8"/>
    <w:rsid w:val="008E3C33"/>
    <w:rsid w:val="008E3C53"/>
    <w:rsid w:val="008E3C84"/>
    <w:rsid w:val="008E3C9D"/>
    <w:rsid w:val="008E3CD4"/>
    <w:rsid w:val="008E3CF0"/>
    <w:rsid w:val="008E3D08"/>
    <w:rsid w:val="008E3DB3"/>
    <w:rsid w:val="008E3DB9"/>
    <w:rsid w:val="008E3E6E"/>
    <w:rsid w:val="008E3EE8"/>
    <w:rsid w:val="008E3F1F"/>
    <w:rsid w:val="008E3F67"/>
    <w:rsid w:val="008E3FCC"/>
    <w:rsid w:val="008E4009"/>
    <w:rsid w:val="008E4076"/>
    <w:rsid w:val="008E4094"/>
    <w:rsid w:val="008E4096"/>
    <w:rsid w:val="008E40C5"/>
    <w:rsid w:val="008E40CC"/>
    <w:rsid w:val="008E414C"/>
    <w:rsid w:val="008E4161"/>
    <w:rsid w:val="008E41A7"/>
    <w:rsid w:val="008E41C2"/>
    <w:rsid w:val="008E421A"/>
    <w:rsid w:val="008E4226"/>
    <w:rsid w:val="008E4268"/>
    <w:rsid w:val="008E426A"/>
    <w:rsid w:val="008E4287"/>
    <w:rsid w:val="008E42A6"/>
    <w:rsid w:val="008E4309"/>
    <w:rsid w:val="008E4324"/>
    <w:rsid w:val="008E432A"/>
    <w:rsid w:val="008E43AD"/>
    <w:rsid w:val="008E4407"/>
    <w:rsid w:val="008E4413"/>
    <w:rsid w:val="008E4484"/>
    <w:rsid w:val="008E44A4"/>
    <w:rsid w:val="008E44DD"/>
    <w:rsid w:val="008E4540"/>
    <w:rsid w:val="008E4557"/>
    <w:rsid w:val="008E4560"/>
    <w:rsid w:val="008E4595"/>
    <w:rsid w:val="008E45D1"/>
    <w:rsid w:val="008E462C"/>
    <w:rsid w:val="008E465D"/>
    <w:rsid w:val="008E4685"/>
    <w:rsid w:val="008E46D9"/>
    <w:rsid w:val="008E4710"/>
    <w:rsid w:val="008E4731"/>
    <w:rsid w:val="008E4788"/>
    <w:rsid w:val="008E47A8"/>
    <w:rsid w:val="008E47DF"/>
    <w:rsid w:val="008E47F8"/>
    <w:rsid w:val="008E48C0"/>
    <w:rsid w:val="008E4942"/>
    <w:rsid w:val="008E4996"/>
    <w:rsid w:val="008E49CA"/>
    <w:rsid w:val="008E49F1"/>
    <w:rsid w:val="008E49F6"/>
    <w:rsid w:val="008E4A3F"/>
    <w:rsid w:val="008E4A60"/>
    <w:rsid w:val="008E4AD1"/>
    <w:rsid w:val="008E4AEE"/>
    <w:rsid w:val="008E4AF0"/>
    <w:rsid w:val="008E4C00"/>
    <w:rsid w:val="008E4C06"/>
    <w:rsid w:val="008E4C15"/>
    <w:rsid w:val="008E4C32"/>
    <w:rsid w:val="008E4C45"/>
    <w:rsid w:val="008E4CF9"/>
    <w:rsid w:val="008E4D13"/>
    <w:rsid w:val="008E4D56"/>
    <w:rsid w:val="008E4D5E"/>
    <w:rsid w:val="008E4D71"/>
    <w:rsid w:val="008E4DA9"/>
    <w:rsid w:val="008E4E0F"/>
    <w:rsid w:val="008E4E53"/>
    <w:rsid w:val="008E4EAB"/>
    <w:rsid w:val="008E4F15"/>
    <w:rsid w:val="008E5019"/>
    <w:rsid w:val="008E5030"/>
    <w:rsid w:val="008E50F8"/>
    <w:rsid w:val="008E50FC"/>
    <w:rsid w:val="008E51B3"/>
    <w:rsid w:val="008E5294"/>
    <w:rsid w:val="008E5297"/>
    <w:rsid w:val="008E52B9"/>
    <w:rsid w:val="008E52C2"/>
    <w:rsid w:val="008E53FF"/>
    <w:rsid w:val="008E542C"/>
    <w:rsid w:val="008E54B7"/>
    <w:rsid w:val="008E5522"/>
    <w:rsid w:val="008E5560"/>
    <w:rsid w:val="008E5578"/>
    <w:rsid w:val="008E558B"/>
    <w:rsid w:val="008E55BA"/>
    <w:rsid w:val="008E560A"/>
    <w:rsid w:val="008E5644"/>
    <w:rsid w:val="008E568B"/>
    <w:rsid w:val="008E569C"/>
    <w:rsid w:val="008E56C3"/>
    <w:rsid w:val="008E572B"/>
    <w:rsid w:val="008E578B"/>
    <w:rsid w:val="008E578E"/>
    <w:rsid w:val="008E57F2"/>
    <w:rsid w:val="008E5822"/>
    <w:rsid w:val="008E586C"/>
    <w:rsid w:val="008E58CB"/>
    <w:rsid w:val="008E58D0"/>
    <w:rsid w:val="008E58F2"/>
    <w:rsid w:val="008E595D"/>
    <w:rsid w:val="008E5A11"/>
    <w:rsid w:val="008E5A2E"/>
    <w:rsid w:val="008E5A9A"/>
    <w:rsid w:val="008E5AB7"/>
    <w:rsid w:val="008E5ABF"/>
    <w:rsid w:val="008E5AC8"/>
    <w:rsid w:val="008E5B30"/>
    <w:rsid w:val="008E5B6E"/>
    <w:rsid w:val="008E5B7A"/>
    <w:rsid w:val="008E5B81"/>
    <w:rsid w:val="008E5B97"/>
    <w:rsid w:val="008E5BDD"/>
    <w:rsid w:val="008E5BEA"/>
    <w:rsid w:val="008E5C09"/>
    <w:rsid w:val="008E5C2C"/>
    <w:rsid w:val="008E5CAA"/>
    <w:rsid w:val="008E5CCF"/>
    <w:rsid w:val="008E5D66"/>
    <w:rsid w:val="008E5D6B"/>
    <w:rsid w:val="008E5E17"/>
    <w:rsid w:val="008E5E72"/>
    <w:rsid w:val="008E5E7E"/>
    <w:rsid w:val="008E5EBB"/>
    <w:rsid w:val="008E5EEC"/>
    <w:rsid w:val="008E6001"/>
    <w:rsid w:val="008E60CE"/>
    <w:rsid w:val="008E6119"/>
    <w:rsid w:val="008E6143"/>
    <w:rsid w:val="008E61F8"/>
    <w:rsid w:val="008E61FE"/>
    <w:rsid w:val="008E62D3"/>
    <w:rsid w:val="008E62EE"/>
    <w:rsid w:val="008E6387"/>
    <w:rsid w:val="008E63C1"/>
    <w:rsid w:val="008E6400"/>
    <w:rsid w:val="008E6404"/>
    <w:rsid w:val="008E6429"/>
    <w:rsid w:val="008E6450"/>
    <w:rsid w:val="008E648D"/>
    <w:rsid w:val="008E64A8"/>
    <w:rsid w:val="008E650A"/>
    <w:rsid w:val="008E65BF"/>
    <w:rsid w:val="008E662A"/>
    <w:rsid w:val="008E6662"/>
    <w:rsid w:val="008E66CC"/>
    <w:rsid w:val="008E6709"/>
    <w:rsid w:val="008E6720"/>
    <w:rsid w:val="008E6727"/>
    <w:rsid w:val="008E6736"/>
    <w:rsid w:val="008E6742"/>
    <w:rsid w:val="008E67EB"/>
    <w:rsid w:val="008E6880"/>
    <w:rsid w:val="008E6943"/>
    <w:rsid w:val="008E6955"/>
    <w:rsid w:val="008E6983"/>
    <w:rsid w:val="008E69B4"/>
    <w:rsid w:val="008E6A04"/>
    <w:rsid w:val="008E6A5B"/>
    <w:rsid w:val="008E6ACE"/>
    <w:rsid w:val="008E6AD8"/>
    <w:rsid w:val="008E6B40"/>
    <w:rsid w:val="008E6B93"/>
    <w:rsid w:val="008E6BB0"/>
    <w:rsid w:val="008E6BB9"/>
    <w:rsid w:val="008E6BBD"/>
    <w:rsid w:val="008E6C5A"/>
    <w:rsid w:val="008E6CE8"/>
    <w:rsid w:val="008E6D27"/>
    <w:rsid w:val="008E6D7A"/>
    <w:rsid w:val="008E6DE8"/>
    <w:rsid w:val="008E6DE9"/>
    <w:rsid w:val="008E6ED7"/>
    <w:rsid w:val="008E6EF1"/>
    <w:rsid w:val="008E6FB5"/>
    <w:rsid w:val="008E6FEB"/>
    <w:rsid w:val="008E7069"/>
    <w:rsid w:val="008E709B"/>
    <w:rsid w:val="008E70C0"/>
    <w:rsid w:val="008E7152"/>
    <w:rsid w:val="008E71B7"/>
    <w:rsid w:val="008E72A7"/>
    <w:rsid w:val="008E72BB"/>
    <w:rsid w:val="008E72EB"/>
    <w:rsid w:val="008E72FE"/>
    <w:rsid w:val="008E73A8"/>
    <w:rsid w:val="008E7418"/>
    <w:rsid w:val="008E742F"/>
    <w:rsid w:val="008E743C"/>
    <w:rsid w:val="008E7472"/>
    <w:rsid w:val="008E747C"/>
    <w:rsid w:val="008E74E2"/>
    <w:rsid w:val="008E7536"/>
    <w:rsid w:val="008E755D"/>
    <w:rsid w:val="008E756D"/>
    <w:rsid w:val="008E75E8"/>
    <w:rsid w:val="008E762C"/>
    <w:rsid w:val="008E7645"/>
    <w:rsid w:val="008E76CB"/>
    <w:rsid w:val="008E772B"/>
    <w:rsid w:val="008E7782"/>
    <w:rsid w:val="008E786C"/>
    <w:rsid w:val="008E787B"/>
    <w:rsid w:val="008E78B9"/>
    <w:rsid w:val="008E78FE"/>
    <w:rsid w:val="008E79C9"/>
    <w:rsid w:val="008E7A19"/>
    <w:rsid w:val="008E7A2C"/>
    <w:rsid w:val="008E7A62"/>
    <w:rsid w:val="008E7A75"/>
    <w:rsid w:val="008E7AAF"/>
    <w:rsid w:val="008E7AC3"/>
    <w:rsid w:val="008E7AE5"/>
    <w:rsid w:val="008E7AF1"/>
    <w:rsid w:val="008E7B3E"/>
    <w:rsid w:val="008E7B44"/>
    <w:rsid w:val="008E7B51"/>
    <w:rsid w:val="008E7BCB"/>
    <w:rsid w:val="008E7C17"/>
    <w:rsid w:val="008E7CAB"/>
    <w:rsid w:val="008E7D08"/>
    <w:rsid w:val="008E7D1E"/>
    <w:rsid w:val="008E7D37"/>
    <w:rsid w:val="008E7D6E"/>
    <w:rsid w:val="008E7E9E"/>
    <w:rsid w:val="008E7EB4"/>
    <w:rsid w:val="008E7F28"/>
    <w:rsid w:val="008E7F64"/>
    <w:rsid w:val="008E7F74"/>
    <w:rsid w:val="008E7F75"/>
    <w:rsid w:val="008E7FE0"/>
    <w:rsid w:val="008F0005"/>
    <w:rsid w:val="008F0093"/>
    <w:rsid w:val="008F0113"/>
    <w:rsid w:val="008F0136"/>
    <w:rsid w:val="008F01C2"/>
    <w:rsid w:val="008F0218"/>
    <w:rsid w:val="008F0280"/>
    <w:rsid w:val="008F0299"/>
    <w:rsid w:val="008F02AF"/>
    <w:rsid w:val="008F031E"/>
    <w:rsid w:val="008F03C2"/>
    <w:rsid w:val="008F0437"/>
    <w:rsid w:val="008F046E"/>
    <w:rsid w:val="008F0491"/>
    <w:rsid w:val="008F04F2"/>
    <w:rsid w:val="008F054C"/>
    <w:rsid w:val="008F0556"/>
    <w:rsid w:val="008F0575"/>
    <w:rsid w:val="008F0663"/>
    <w:rsid w:val="008F06EB"/>
    <w:rsid w:val="008F0707"/>
    <w:rsid w:val="008F0750"/>
    <w:rsid w:val="008F0767"/>
    <w:rsid w:val="008F0793"/>
    <w:rsid w:val="008F07C5"/>
    <w:rsid w:val="008F07D9"/>
    <w:rsid w:val="008F081A"/>
    <w:rsid w:val="008F0822"/>
    <w:rsid w:val="008F0937"/>
    <w:rsid w:val="008F096A"/>
    <w:rsid w:val="008F0990"/>
    <w:rsid w:val="008F09F4"/>
    <w:rsid w:val="008F0A0C"/>
    <w:rsid w:val="008F0AD4"/>
    <w:rsid w:val="008F0AE5"/>
    <w:rsid w:val="008F0B3C"/>
    <w:rsid w:val="008F0B7F"/>
    <w:rsid w:val="008F0BDF"/>
    <w:rsid w:val="008F0C86"/>
    <w:rsid w:val="008F0D25"/>
    <w:rsid w:val="008F0D8D"/>
    <w:rsid w:val="008F0DA3"/>
    <w:rsid w:val="008F0DCB"/>
    <w:rsid w:val="008F0E27"/>
    <w:rsid w:val="008F0E3D"/>
    <w:rsid w:val="008F0E4E"/>
    <w:rsid w:val="008F0E93"/>
    <w:rsid w:val="008F0EE3"/>
    <w:rsid w:val="008F0F8F"/>
    <w:rsid w:val="008F0FEC"/>
    <w:rsid w:val="008F0FF4"/>
    <w:rsid w:val="008F100C"/>
    <w:rsid w:val="008F101A"/>
    <w:rsid w:val="008F108F"/>
    <w:rsid w:val="008F10E8"/>
    <w:rsid w:val="008F10FF"/>
    <w:rsid w:val="008F1113"/>
    <w:rsid w:val="008F1130"/>
    <w:rsid w:val="008F11BC"/>
    <w:rsid w:val="008F11D7"/>
    <w:rsid w:val="008F127D"/>
    <w:rsid w:val="008F12BA"/>
    <w:rsid w:val="008F12D2"/>
    <w:rsid w:val="008F1319"/>
    <w:rsid w:val="008F1436"/>
    <w:rsid w:val="008F144B"/>
    <w:rsid w:val="008F147E"/>
    <w:rsid w:val="008F14D4"/>
    <w:rsid w:val="008F14E4"/>
    <w:rsid w:val="008F150F"/>
    <w:rsid w:val="008F15AA"/>
    <w:rsid w:val="008F15C4"/>
    <w:rsid w:val="008F1640"/>
    <w:rsid w:val="008F169B"/>
    <w:rsid w:val="008F174F"/>
    <w:rsid w:val="008F1792"/>
    <w:rsid w:val="008F1814"/>
    <w:rsid w:val="008F1831"/>
    <w:rsid w:val="008F1851"/>
    <w:rsid w:val="008F1867"/>
    <w:rsid w:val="008F1883"/>
    <w:rsid w:val="008F18D7"/>
    <w:rsid w:val="008F190B"/>
    <w:rsid w:val="008F1940"/>
    <w:rsid w:val="008F1942"/>
    <w:rsid w:val="008F1987"/>
    <w:rsid w:val="008F19A2"/>
    <w:rsid w:val="008F19B3"/>
    <w:rsid w:val="008F19CD"/>
    <w:rsid w:val="008F19DA"/>
    <w:rsid w:val="008F19E8"/>
    <w:rsid w:val="008F1A48"/>
    <w:rsid w:val="008F1A5B"/>
    <w:rsid w:val="008F1ABA"/>
    <w:rsid w:val="008F1B08"/>
    <w:rsid w:val="008F1B0D"/>
    <w:rsid w:val="008F1B1C"/>
    <w:rsid w:val="008F1B44"/>
    <w:rsid w:val="008F1B96"/>
    <w:rsid w:val="008F1BB9"/>
    <w:rsid w:val="008F1BCD"/>
    <w:rsid w:val="008F1C7B"/>
    <w:rsid w:val="008F1CA2"/>
    <w:rsid w:val="008F1CDC"/>
    <w:rsid w:val="008F1D11"/>
    <w:rsid w:val="008F1D81"/>
    <w:rsid w:val="008F1DB1"/>
    <w:rsid w:val="008F1E02"/>
    <w:rsid w:val="008F1E45"/>
    <w:rsid w:val="008F1E72"/>
    <w:rsid w:val="008F1E85"/>
    <w:rsid w:val="008F1EAC"/>
    <w:rsid w:val="008F1ED6"/>
    <w:rsid w:val="008F1EF3"/>
    <w:rsid w:val="008F1EF7"/>
    <w:rsid w:val="008F1F01"/>
    <w:rsid w:val="008F1F42"/>
    <w:rsid w:val="008F1F4D"/>
    <w:rsid w:val="008F1F6B"/>
    <w:rsid w:val="008F1F82"/>
    <w:rsid w:val="008F1F89"/>
    <w:rsid w:val="008F1F95"/>
    <w:rsid w:val="008F1FFC"/>
    <w:rsid w:val="008F2002"/>
    <w:rsid w:val="008F202E"/>
    <w:rsid w:val="008F20B0"/>
    <w:rsid w:val="008F20C2"/>
    <w:rsid w:val="008F20D6"/>
    <w:rsid w:val="008F20FA"/>
    <w:rsid w:val="008F2102"/>
    <w:rsid w:val="008F216F"/>
    <w:rsid w:val="008F2184"/>
    <w:rsid w:val="008F21D7"/>
    <w:rsid w:val="008F21DA"/>
    <w:rsid w:val="008F228B"/>
    <w:rsid w:val="008F22D5"/>
    <w:rsid w:val="008F2359"/>
    <w:rsid w:val="008F2371"/>
    <w:rsid w:val="008F23EE"/>
    <w:rsid w:val="008F243F"/>
    <w:rsid w:val="008F2453"/>
    <w:rsid w:val="008F247C"/>
    <w:rsid w:val="008F24A0"/>
    <w:rsid w:val="008F24FF"/>
    <w:rsid w:val="008F2592"/>
    <w:rsid w:val="008F25CB"/>
    <w:rsid w:val="008F2720"/>
    <w:rsid w:val="008F273B"/>
    <w:rsid w:val="008F274E"/>
    <w:rsid w:val="008F2778"/>
    <w:rsid w:val="008F27B3"/>
    <w:rsid w:val="008F27C7"/>
    <w:rsid w:val="008F27ED"/>
    <w:rsid w:val="008F27F2"/>
    <w:rsid w:val="008F2816"/>
    <w:rsid w:val="008F2828"/>
    <w:rsid w:val="008F283C"/>
    <w:rsid w:val="008F283E"/>
    <w:rsid w:val="008F2846"/>
    <w:rsid w:val="008F28DC"/>
    <w:rsid w:val="008F28EA"/>
    <w:rsid w:val="008F2962"/>
    <w:rsid w:val="008F29E5"/>
    <w:rsid w:val="008F29FD"/>
    <w:rsid w:val="008F2A3C"/>
    <w:rsid w:val="008F2AD1"/>
    <w:rsid w:val="008F2B32"/>
    <w:rsid w:val="008F2B7C"/>
    <w:rsid w:val="008F2D50"/>
    <w:rsid w:val="008F2D9E"/>
    <w:rsid w:val="008F2DA0"/>
    <w:rsid w:val="008F2DC8"/>
    <w:rsid w:val="008F2E0F"/>
    <w:rsid w:val="008F2F13"/>
    <w:rsid w:val="008F2F30"/>
    <w:rsid w:val="008F2F56"/>
    <w:rsid w:val="008F2FC2"/>
    <w:rsid w:val="008F2FC4"/>
    <w:rsid w:val="008F2FEB"/>
    <w:rsid w:val="008F2FF7"/>
    <w:rsid w:val="008F301D"/>
    <w:rsid w:val="008F3027"/>
    <w:rsid w:val="008F3049"/>
    <w:rsid w:val="008F30B1"/>
    <w:rsid w:val="008F30B6"/>
    <w:rsid w:val="008F30D2"/>
    <w:rsid w:val="008F30D3"/>
    <w:rsid w:val="008F30DD"/>
    <w:rsid w:val="008F311F"/>
    <w:rsid w:val="008F3158"/>
    <w:rsid w:val="008F318D"/>
    <w:rsid w:val="008F3194"/>
    <w:rsid w:val="008F31AC"/>
    <w:rsid w:val="008F31CA"/>
    <w:rsid w:val="008F31D2"/>
    <w:rsid w:val="008F322C"/>
    <w:rsid w:val="008F323B"/>
    <w:rsid w:val="008F3257"/>
    <w:rsid w:val="008F32E1"/>
    <w:rsid w:val="008F33DE"/>
    <w:rsid w:val="008F33FA"/>
    <w:rsid w:val="008F347B"/>
    <w:rsid w:val="008F34A0"/>
    <w:rsid w:val="008F34C6"/>
    <w:rsid w:val="008F34F3"/>
    <w:rsid w:val="008F34FA"/>
    <w:rsid w:val="008F34FF"/>
    <w:rsid w:val="008F354F"/>
    <w:rsid w:val="008F35B1"/>
    <w:rsid w:val="008F35D4"/>
    <w:rsid w:val="008F361F"/>
    <w:rsid w:val="008F3634"/>
    <w:rsid w:val="008F3683"/>
    <w:rsid w:val="008F36A4"/>
    <w:rsid w:val="008F36CE"/>
    <w:rsid w:val="008F36D9"/>
    <w:rsid w:val="008F3725"/>
    <w:rsid w:val="008F3726"/>
    <w:rsid w:val="008F3729"/>
    <w:rsid w:val="008F37A1"/>
    <w:rsid w:val="008F37B6"/>
    <w:rsid w:val="008F3818"/>
    <w:rsid w:val="008F38AA"/>
    <w:rsid w:val="008F38C1"/>
    <w:rsid w:val="008F38EF"/>
    <w:rsid w:val="008F3913"/>
    <w:rsid w:val="008F3917"/>
    <w:rsid w:val="008F3928"/>
    <w:rsid w:val="008F3949"/>
    <w:rsid w:val="008F3969"/>
    <w:rsid w:val="008F3988"/>
    <w:rsid w:val="008F39C1"/>
    <w:rsid w:val="008F39FA"/>
    <w:rsid w:val="008F3A67"/>
    <w:rsid w:val="008F3A75"/>
    <w:rsid w:val="008F3AE4"/>
    <w:rsid w:val="008F3AF4"/>
    <w:rsid w:val="008F3AFC"/>
    <w:rsid w:val="008F3B85"/>
    <w:rsid w:val="008F3B8D"/>
    <w:rsid w:val="008F3BC4"/>
    <w:rsid w:val="008F3C23"/>
    <w:rsid w:val="008F3CBE"/>
    <w:rsid w:val="008F3CC5"/>
    <w:rsid w:val="008F3CD5"/>
    <w:rsid w:val="008F3D57"/>
    <w:rsid w:val="008F3D6A"/>
    <w:rsid w:val="008F3DB2"/>
    <w:rsid w:val="008F3E6C"/>
    <w:rsid w:val="008F3E89"/>
    <w:rsid w:val="008F3EB3"/>
    <w:rsid w:val="008F3F24"/>
    <w:rsid w:val="008F3F76"/>
    <w:rsid w:val="008F3FC3"/>
    <w:rsid w:val="008F404B"/>
    <w:rsid w:val="008F407F"/>
    <w:rsid w:val="008F4085"/>
    <w:rsid w:val="008F40AC"/>
    <w:rsid w:val="008F40AF"/>
    <w:rsid w:val="008F40D8"/>
    <w:rsid w:val="008F4112"/>
    <w:rsid w:val="008F4121"/>
    <w:rsid w:val="008F418F"/>
    <w:rsid w:val="008F4199"/>
    <w:rsid w:val="008F420D"/>
    <w:rsid w:val="008F4227"/>
    <w:rsid w:val="008F4240"/>
    <w:rsid w:val="008F4242"/>
    <w:rsid w:val="008F426F"/>
    <w:rsid w:val="008F4285"/>
    <w:rsid w:val="008F429D"/>
    <w:rsid w:val="008F42E1"/>
    <w:rsid w:val="008F4324"/>
    <w:rsid w:val="008F43AA"/>
    <w:rsid w:val="008F4463"/>
    <w:rsid w:val="008F4487"/>
    <w:rsid w:val="008F44B8"/>
    <w:rsid w:val="008F44D6"/>
    <w:rsid w:val="008F44E1"/>
    <w:rsid w:val="008F44F2"/>
    <w:rsid w:val="008F4518"/>
    <w:rsid w:val="008F45AD"/>
    <w:rsid w:val="008F45B1"/>
    <w:rsid w:val="008F4623"/>
    <w:rsid w:val="008F4685"/>
    <w:rsid w:val="008F46A0"/>
    <w:rsid w:val="008F46C2"/>
    <w:rsid w:val="008F46E6"/>
    <w:rsid w:val="008F46EF"/>
    <w:rsid w:val="008F4797"/>
    <w:rsid w:val="008F479B"/>
    <w:rsid w:val="008F47CE"/>
    <w:rsid w:val="008F47FA"/>
    <w:rsid w:val="008F488D"/>
    <w:rsid w:val="008F48AE"/>
    <w:rsid w:val="008F49A2"/>
    <w:rsid w:val="008F49C5"/>
    <w:rsid w:val="008F49F0"/>
    <w:rsid w:val="008F49F2"/>
    <w:rsid w:val="008F4A0A"/>
    <w:rsid w:val="008F4A33"/>
    <w:rsid w:val="008F4A55"/>
    <w:rsid w:val="008F4A5A"/>
    <w:rsid w:val="008F4AC2"/>
    <w:rsid w:val="008F4AEC"/>
    <w:rsid w:val="008F4B1A"/>
    <w:rsid w:val="008F4BA0"/>
    <w:rsid w:val="008F4BDD"/>
    <w:rsid w:val="008F4BF7"/>
    <w:rsid w:val="008F4C0E"/>
    <w:rsid w:val="008F4C68"/>
    <w:rsid w:val="008F4C77"/>
    <w:rsid w:val="008F4C82"/>
    <w:rsid w:val="008F4CC9"/>
    <w:rsid w:val="008F4CD6"/>
    <w:rsid w:val="008F4CEC"/>
    <w:rsid w:val="008F4D0F"/>
    <w:rsid w:val="008F4D99"/>
    <w:rsid w:val="008F4E5E"/>
    <w:rsid w:val="008F4E98"/>
    <w:rsid w:val="008F4E9C"/>
    <w:rsid w:val="008F4EDA"/>
    <w:rsid w:val="008F4F01"/>
    <w:rsid w:val="008F4F74"/>
    <w:rsid w:val="008F4FA4"/>
    <w:rsid w:val="008F4FC4"/>
    <w:rsid w:val="008F5027"/>
    <w:rsid w:val="008F507F"/>
    <w:rsid w:val="008F5083"/>
    <w:rsid w:val="008F509A"/>
    <w:rsid w:val="008F5118"/>
    <w:rsid w:val="008F5126"/>
    <w:rsid w:val="008F5179"/>
    <w:rsid w:val="008F5181"/>
    <w:rsid w:val="008F51AC"/>
    <w:rsid w:val="008F51BA"/>
    <w:rsid w:val="008F5283"/>
    <w:rsid w:val="008F52D5"/>
    <w:rsid w:val="008F52F8"/>
    <w:rsid w:val="008F52F9"/>
    <w:rsid w:val="008F534E"/>
    <w:rsid w:val="008F536F"/>
    <w:rsid w:val="008F5401"/>
    <w:rsid w:val="008F54C3"/>
    <w:rsid w:val="008F5503"/>
    <w:rsid w:val="008F5504"/>
    <w:rsid w:val="008F5513"/>
    <w:rsid w:val="008F551A"/>
    <w:rsid w:val="008F554D"/>
    <w:rsid w:val="008F5563"/>
    <w:rsid w:val="008F55C4"/>
    <w:rsid w:val="008F5644"/>
    <w:rsid w:val="008F5646"/>
    <w:rsid w:val="008F5669"/>
    <w:rsid w:val="008F5674"/>
    <w:rsid w:val="008F5675"/>
    <w:rsid w:val="008F5693"/>
    <w:rsid w:val="008F56C2"/>
    <w:rsid w:val="008F575D"/>
    <w:rsid w:val="008F5774"/>
    <w:rsid w:val="008F57D0"/>
    <w:rsid w:val="008F5839"/>
    <w:rsid w:val="008F583C"/>
    <w:rsid w:val="008F5863"/>
    <w:rsid w:val="008F58B0"/>
    <w:rsid w:val="008F58F4"/>
    <w:rsid w:val="008F5907"/>
    <w:rsid w:val="008F5959"/>
    <w:rsid w:val="008F5961"/>
    <w:rsid w:val="008F59B6"/>
    <w:rsid w:val="008F59CE"/>
    <w:rsid w:val="008F59F2"/>
    <w:rsid w:val="008F5A67"/>
    <w:rsid w:val="008F5B0D"/>
    <w:rsid w:val="008F5B1D"/>
    <w:rsid w:val="008F5B25"/>
    <w:rsid w:val="008F5BC3"/>
    <w:rsid w:val="008F5BD8"/>
    <w:rsid w:val="008F5C10"/>
    <w:rsid w:val="008F5C12"/>
    <w:rsid w:val="008F5C50"/>
    <w:rsid w:val="008F5C55"/>
    <w:rsid w:val="008F5CB3"/>
    <w:rsid w:val="008F5CB7"/>
    <w:rsid w:val="008F5D60"/>
    <w:rsid w:val="008F5EA1"/>
    <w:rsid w:val="008F5EA2"/>
    <w:rsid w:val="008F5EDA"/>
    <w:rsid w:val="008F5F17"/>
    <w:rsid w:val="008F5F23"/>
    <w:rsid w:val="008F5F26"/>
    <w:rsid w:val="008F5F30"/>
    <w:rsid w:val="008F5F5E"/>
    <w:rsid w:val="008F5F68"/>
    <w:rsid w:val="008F5F9C"/>
    <w:rsid w:val="008F5FA8"/>
    <w:rsid w:val="008F5FCE"/>
    <w:rsid w:val="008F5FD8"/>
    <w:rsid w:val="008F600D"/>
    <w:rsid w:val="008F6028"/>
    <w:rsid w:val="008F60BC"/>
    <w:rsid w:val="008F60F8"/>
    <w:rsid w:val="008F60FA"/>
    <w:rsid w:val="008F6124"/>
    <w:rsid w:val="008F6147"/>
    <w:rsid w:val="008F616A"/>
    <w:rsid w:val="008F6190"/>
    <w:rsid w:val="008F61BE"/>
    <w:rsid w:val="008F621E"/>
    <w:rsid w:val="008F623E"/>
    <w:rsid w:val="008F62B4"/>
    <w:rsid w:val="008F6345"/>
    <w:rsid w:val="008F6360"/>
    <w:rsid w:val="008F63C9"/>
    <w:rsid w:val="008F63F6"/>
    <w:rsid w:val="008F642F"/>
    <w:rsid w:val="008F6437"/>
    <w:rsid w:val="008F6444"/>
    <w:rsid w:val="008F6472"/>
    <w:rsid w:val="008F6494"/>
    <w:rsid w:val="008F64AE"/>
    <w:rsid w:val="008F650D"/>
    <w:rsid w:val="008F658A"/>
    <w:rsid w:val="008F6608"/>
    <w:rsid w:val="008F6613"/>
    <w:rsid w:val="008F6637"/>
    <w:rsid w:val="008F6700"/>
    <w:rsid w:val="008F6736"/>
    <w:rsid w:val="008F67EA"/>
    <w:rsid w:val="008F683E"/>
    <w:rsid w:val="008F6879"/>
    <w:rsid w:val="008F68AB"/>
    <w:rsid w:val="008F6949"/>
    <w:rsid w:val="008F6980"/>
    <w:rsid w:val="008F69DA"/>
    <w:rsid w:val="008F69F7"/>
    <w:rsid w:val="008F6AC7"/>
    <w:rsid w:val="008F6B42"/>
    <w:rsid w:val="008F6CF1"/>
    <w:rsid w:val="008F6D19"/>
    <w:rsid w:val="008F6D62"/>
    <w:rsid w:val="008F6DC4"/>
    <w:rsid w:val="008F6E29"/>
    <w:rsid w:val="008F6E3B"/>
    <w:rsid w:val="008F6E40"/>
    <w:rsid w:val="008F6E5E"/>
    <w:rsid w:val="008F6E82"/>
    <w:rsid w:val="008F6E85"/>
    <w:rsid w:val="008F6EB2"/>
    <w:rsid w:val="008F6EE1"/>
    <w:rsid w:val="008F6F41"/>
    <w:rsid w:val="008F6F5A"/>
    <w:rsid w:val="008F6F64"/>
    <w:rsid w:val="008F6FA3"/>
    <w:rsid w:val="008F6FF2"/>
    <w:rsid w:val="008F700C"/>
    <w:rsid w:val="008F7062"/>
    <w:rsid w:val="008F7094"/>
    <w:rsid w:val="008F70E8"/>
    <w:rsid w:val="008F71C2"/>
    <w:rsid w:val="008F71EF"/>
    <w:rsid w:val="008F720A"/>
    <w:rsid w:val="008F7213"/>
    <w:rsid w:val="008F7220"/>
    <w:rsid w:val="008F7239"/>
    <w:rsid w:val="008F724D"/>
    <w:rsid w:val="008F7272"/>
    <w:rsid w:val="008F7313"/>
    <w:rsid w:val="008F739D"/>
    <w:rsid w:val="008F73BF"/>
    <w:rsid w:val="008F73EB"/>
    <w:rsid w:val="008F742F"/>
    <w:rsid w:val="008F7439"/>
    <w:rsid w:val="008F7458"/>
    <w:rsid w:val="008F74AF"/>
    <w:rsid w:val="008F74DB"/>
    <w:rsid w:val="008F750D"/>
    <w:rsid w:val="008F7538"/>
    <w:rsid w:val="008F7605"/>
    <w:rsid w:val="008F76BC"/>
    <w:rsid w:val="008F76DA"/>
    <w:rsid w:val="008F7724"/>
    <w:rsid w:val="008F774E"/>
    <w:rsid w:val="008F77FF"/>
    <w:rsid w:val="008F780B"/>
    <w:rsid w:val="008F7898"/>
    <w:rsid w:val="008F78AA"/>
    <w:rsid w:val="008F78D0"/>
    <w:rsid w:val="008F7900"/>
    <w:rsid w:val="008F7A3B"/>
    <w:rsid w:val="008F7A51"/>
    <w:rsid w:val="008F7A85"/>
    <w:rsid w:val="008F7A9F"/>
    <w:rsid w:val="008F7ADD"/>
    <w:rsid w:val="008F7AE8"/>
    <w:rsid w:val="008F7B61"/>
    <w:rsid w:val="008F7B67"/>
    <w:rsid w:val="008F7B6E"/>
    <w:rsid w:val="008F7B71"/>
    <w:rsid w:val="008F7BD2"/>
    <w:rsid w:val="008F7BD8"/>
    <w:rsid w:val="008F7BE1"/>
    <w:rsid w:val="008F7C77"/>
    <w:rsid w:val="008F7C84"/>
    <w:rsid w:val="008F7D58"/>
    <w:rsid w:val="008F7D59"/>
    <w:rsid w:val="008F7D82"/>
    <w:rsid w:val="008F7E00"/>
    <w:rsid w:val="008F7E0B"/>
    <w:rsid w:val="008F7E2F"/>
    <w:rsid w:val="008F7E5F"/>
    <w:rsid w:val="008F7EB2"/>
    <w:rsid w:val="008F7EBA"/>
    <w:rsid w:val="008F7ED1"/>
    <w:rsid w:val="008F7ED9"/>
    <w:rsid w:val="008F7EF9"/>
    <w:rsid w:val="008F7F10"/>
    <w:rsid w:val="008F7F4F"/>
    <w:rsid w:val="008F7F79"/>
    <w:rsid w:val="008F7F85"/>
    <w:rsid w:val="008F7FD2"/>
    <w:rsid w:val="008F7FDF"/>
    <w:rsid w:val="00900000"/>
    <w:rsid w:val="009000B7"/>
    <w:rsid w:val="0090011F"/>
    <w:rsid w:val="0090012F"/>
    <w:rsid w:val="009001D2"/>
    <w:rsid w:val="00900240"/>
    <w:rsid w:val="0090026B"/>
    <w:rsid w:val="00900284"/>
    <w:rsid w:val="00900291"/>
    <w:rsid w:val="009003BD"/>
    <w:rsid w:val="009004F4"/>
    <w:rsid w:val="00900508"/>
    <w:rsid w:val="009005A6"/>
    <w:rsid w:val="009005BB"/>
    <w:rsid w:val="00900627"/>
    <w:rsid w:val="0090067D"/>
    <w:rsid w:val="00900703"/>
    <w:rsid w:val="00900705"/>
    <w:rsid w:val="0090073F"/>
    <w:rsid w:val="00900743"/>
    <w:rsid w:val="00900749"/>
    <w:rsid w:val="0090076A"/>
    <w:rsid w:val="009007A0"/>
    <w:rsid w:val="009007C1"/>
    <w:rsid w:val="00900875"/>
    <w:rsid w:val="0090089E"/>
    <w:rsid w:val="009008F3"/>
    <w:rsid w:val="00900929"/>
    <w:rsid w:val="00900934"/>
    <w:rsid w:val="0090093E"/>
    <w:rsid w:val="00900984"/>
    <w:rsid w:val="00900A0C"/>
    <w:rsid w:val="00900A43"/>
    <w:rsid w:val="00900A45"/>
    <w:rsid w:val="00900AEE"/>
    <w:rsid w:val="00900B13"/>
    <w:rsid w:val="00900B17"/>
    <w:rsid w:val="00900B6C"/>
    <w:rsid w:val="00900B72"/>
    <w:rsid w:val="00900BD1"/>
    <w:rsid w:val="00900BEC"/>
    <w:rsid w:val="00900C09"/>
    <w:rsid w:val="00900C0A"/>
    <w:rsid w:val="00900C26"/>
    <w:rsid w:val="00900C2D"/>
    <w:rsid w:val="00900C5F"/>
    <w:rsid w:val="00900C93"/>
    <w:rsid w:val="00900CBD"/>
    <w:rsid w:val="00900D70"/>
    <w:rsid w:val="00900D89"/>
    <w:rsid w:val="00900DD0"/>
    <w:rsid w:val="00900DFD"/>
    <w:rsid w:val="00900E15"/>
    <w:rsid w:val="00900ECF"/>
    <w:rsid w:val="00900F13"/>
    <w:rsid w:val="00900F26"/>
    <w:rsid w:val="00900F5D"/>
    <w:rsid w:val="00900F6E"/>
    <w:rsid w:val="00900FAC"/>
    <w:rsid w:val="0090100C"/>
    <w:rsid w:val="00901015"/>
    <w:rsid w:val="0090103B"/>
    <w:rsid w:val="0090105F"/>
    <w:rsid w:val="009010A6"/>
    <w:rsid w:val="009010B1"/>
    <w:rsid w:val="00901173"/>
    <w:rsid w:val="0090119F"/>
    <w:rsid w:val="009011AF"/>
    <w:rsid w:val="00901247"/>
    <w:rsid w:val="0090124D"/>
    <w:rsid w:val="00901257"/>
    <w:rsid w:val="00901276"/>
    <w:rsid w:val="0090129D"/>
    <w:rsid w:val="0090132B"/>
    <w:rsid w:val="0090135C"/>
    <w:rsid w:val="00901378"/>
    <w:rsid w:val="00901399"/>
    <w:rsid w:val="009013BB"/>
    <w:rsid w:val="009013FD"/>
    <w:rsid w:val="0090141A"/>
    <w:rsid w:val="00901467"/>
    <w:rsid w:val="009014CE"/>
    <w:rsid w:val="0090151A"/>
    <w:rsid w:val="00901562"/>
    <w:rsid w:val="009015BA"/>
    <w:rsid w:val="009015F2"/>
    <w:rsid w:val="009015F9"/>
    <w:rsid w:val="0090162E"/>
    <w:rsid w:val="00901675"/>
    <w:rsid w:val="00901689"/>
    <w:rsid w:val="009016C3"/>
    <w:rsid w:val="009016D3"/>
    <w:rsid w:val="009016F7"/>
    <w:rsid w:val="0090170C"/>
    <w:rsid w:val="00901775"/>
    <w:rsid w:val="0090177C"/>
    <w:rsid w:val="009017AE"/>
    <w:rsid w:val="009017B3"/>
    <w:rsid w:val="00901807"/>
    <w:rsid w:val="009018DB"/>
    <w:rsid w:val="00901915"/>
    <w:rsid w:val="00901A1C"/>
    <w:rsid w:val="00901A42"/>
    <w:rsid w:val="00901A5A"/>
    <w:rsid w:val="00901AA5"/>
    <w:rsid w:val="00901AB1"/>
    <w:rsid w:val="00901B46"/>
    <w:rsid w:val="00901B77"/>
    <w:rsid w:val="00901B7F"/>
    <w:rsid w:val="00901BC9"/>
    <w:rsid w:val="00901C44"/>
    <w:rsid w:val="00901C5A"/>
    <w:rsid w:val="00901C6C"/>
    <w:rsid w:val="00901C75"/>
    <w:rsid w:val="00901C7B"/>
    <w:rsid w:val="00901C9F"/>
    <w:rsid w:val="00901CBE"/>
    <w:rsid w:val="00901CEF"/>
    <w:rsid w:val="00901DBB"/>
    <w:rsid w:val="00901E20"/>
    <w:rsid w:val="00901E9A"/>
    <w:rsid w:val="00901EEF"/>
    <w:rsid w:val="00901EF6"/>
    <w:rsid w:val="00901F36"/>
    <w:rsid w:val="00901F63"/>
    <w:rsid w:val="00901F64"/>
    <w:rsid w:val="00901F69"/>
    <w:rsid w:val="00901F9B"/>
    <w:rsid w:val="00901FBF"/>
    <w:rsid w:val="00902011"/>
    <w:rsid w:val="00902014"/>
    <w:rsid w:val="00902025"/>
    <w:rsid w:val="0090204D"/>
    <w:rsid w:val="00902067"/>
    <w:rsid w:val="0090206C"/>
    <w:rsid w:val="009020E1"/>
    <w:rsid w:val="0090213B"/>
    <w:rsid w:val="0090215F"/>
    <w:rsid w:val="009021B9"/>
    <w:rsid w:val="009021DE"/>
    <w:rsid w:val="00902241"/>
    <w:rsid w:val="0090230D"/>
    <w:rsid w:val="009023F0"/>
    <w:rsid w:val="009024D4"/>
    <w:rsid w:val="009024D7"/>
    <w:rsid w:val="00902501"/>
    <w:rsid w:val="00902528"/>
    <w:rsid w:val="0090254A"/>
    <w:rsid w:val="0090257E"/>
    <w:rsid w:val="009025A0"/>
    <w:rsid w:val="009025AA"/>
    <w:rsid w:val="0090264E"/>
    <w:rsid w:val="00902696"/>
    <w:rsid w:val="00902698"/>
    <w:rsid w:val="009026A6"/>
    <w:rsid w:val="009026D9"/>
    <w:rsid w:val="0090278B"/>
    <w:rsid w:val="00902831"/>
    <w:rsid w:val="00902854"/>
    <w:rsid w:val="00902860"/>
    <w:rsid w:val="00902942"/>
    <w:rsid w:val="0090299A"/>
    <w:rsid w:val="009029A2"/>
    <w:rsid w:val="009029D0"/>
    <w:rsid w:val="009029EF"/>
    <w:rsid w:val="00902A0B"/>
    <w:rsid w:val="00902A2E"/>
    <w:rsid w:val="00902AAC"/>
    <w:rsid w:val="00902BA4"/>
    <w:rsid w:val="00902C6D"/>
    <w:rsid w:val="00902C74"/>
    <w:rsid w:val="00902C9B"/>
    <w:rsid w:val="00902C9C"/>
    <w:rsid w:val="00902CAB"/>
    <w:rsid w:val="00902D0D"/>
    <w:rsid w:val="00902D49"/>
    <w:rsid w:val="00902D84"/>
    <w:rsid w:val="00902E3D"/>
    <w:rsid w:val="00902E53"/>
    <w:rsid w:val="00902EED"/>
    <w:rsid w:val="00902EF2"/>
    <w:rsid w:val="00902EFF"/>
    <w:rsid w:val="00902FAA"/>
    <w:rsid w:val="00902FAE"/>
    <w:rsid w:val="00902FC9"/>
    <w:rsid w:val="00902FFC"/>
    <w:rsid w:val="00902FFD"/>
    <w:rsid w:val="0090309A"/>
    <w:rsid w:val="009030D5"/>
    <w:rsid w:val="009030E7"/>
    <w:rsid w:val="00903116"/>
    <w:rsid w:val="00903178"/>
    <w:rsid w:val="00903235"/>
    <w:rsid w:val="009032B1"/>
    <w:rsid w:val="00903317"/>
    <w:rsid w:val="00903378"/>
    <w:rsid w:val="00903384"/>
    <w:rsid w:val="009033A8"/>
    <w:rsid w:val="009033C9"/>
    <w:rsid w:val="009033FD"/>
    <w:rsid w:val="0090342F"/>
    <w:rsid w:val="0090347F"/>
    <w:rsid w:val="00903497"/>
    <w:rsid w:val="009034C9"/>
    <w:rsid w:val="0090357D"/>
    <w:rsid w:val="009035B8"/>
    <w:rsid w:val="009035BD"/>
    <w:rsid w:val="009035DF"/>
    <w:rsid w:val="009035F7"/>
    <w:rsid w:val="00903601"/>
    <w:rsid w:val="0090360B"/>
    <w:rsid w:val="00903618"/>
    <w:rsid w:val="00903630"/>
    <w:rsid w:val="00903668"/>
    <w:rsid w:val="00903722"/>
    <w:rsid w:val="00903725"/>
    <w:rsid w:val="00903760"/>
    <w:rsid w:val="00903798"/>
    <w:rsid w:val="009037EE"/>
    <w:rsid w:val="00903842"/>
    <w:rsid w:val="0090385E"/>
    <w:rsid w:val="00903895"/>
    <w:rsid w:val="009038A7"/>
    <w:rsid w:val="00903916"/>
    <w:rsid w:val="00903951"/>
    <w:rsid w:val="00903978"/>
    <w:rsid w:val="00903986"/>
    <w:rsid w:val="009039A0"/>
    <w:rsid w:val="009039A5"/>
    <w:rsid w:val="009039D5"/>
    <w:rsid w:val="009039F9"/>
    <w:rsid w:val="00903A15"/>
    <w:rsid w:val="00903A2F"/>
    <w:rsid w:val="00903A53"/>
    <w:rsid w:val="00903A5F"/>
    <w:rsid w:val="00903AA5"/>
    <w:rsid w:val="00903ACA"/>
    <w:rsid w:val="00903AF8"/>
    <w:rsid w:val="00903B26"/>
    <w:rsid w:val="00903B29"/>
    <w:rsid w:val="00903B35"/>
    <w:rsid w:val="00903B5C"/>
    <w:rsid w:val="00903C29"/>
    <w:rsid w:val="00903C32"/>
    <w:rsid w:val="00903C3D"/>
    <w:rsid w:val="00903C9A"/>
    <w:rsid w:val="00903D06"/>
    <w:rsid w:val="00903D38"/>
    <w:rsid w:val="00903D8B"/>
    <w:rsid w:val="00903DC4"/>
    <w:rsid w:val="00903E86"/>
    <w:rsid w:val="00903ED1"/>
    <w:rsid w:val="00903EDB"/>
    <w:rsid w:val="00903F49"/>
    <w:rsid w:val="00903F9F"/>
    <w:rsid w:val="00904007"/>
    <w:rsid w:val="00904013"/>
    <w:rsid w:val="00904046"/>
    <w:rsid w:val="009040A7"/>
    <w:rsid w:val="00904123"/>
    <w:rsid w:val="00904124"/>
    <w:rsid w:val="0090413A"/>
    <w:rsid w:val="00904155"/>
    <w:rsid w:val="00904176"/>
    <w:rsid w:val="009041B1"/>
    <w:rsid w:val="009041FA"/>
    <w:rsid w:val="00904236"/>
    <w:rsid w:val="0090426D"/>
    <w:rsid w:val="00904287"/>
    <w:rsid w:val="0090434B"/>
    <w:rsid w:val="00904352"/>
    <w:rsid w:val="00904389"/>
    <w:rsid w:val="0090438B"/>
    <w:rsid w:val="00904416"/>
    <w:rsid w:val="0090447B"/>
    <w:rsid w:val="0090447F"/>
    <w:rsid w:val="00904490"/>
    <w:rsid w:val="009044AE"/>
    <w:rsid w:val="009044AF"/>
    <w:rsid w:val="009044BF"/>
    <w:rsid w:val="009044C0"/>
    <w:rsid w:val="00904550"/>
    <w:rsid w:val="0090456F"/>
    <w:rsid w:val="009045A0"/>
    <w:rsid w:val="009045B2"/>
    <w:rsid w:val="00904610"/>
    <w:rsid w:val="00904692"/>
    <w:rsid w:val="009046D4"/>
    <w:rsid w:val="009046F4"/>
    <w:rsid w:val="00904712"/>
    <w:rsid w:val="0090471A"/>
    <w:rsid w:val="00904757"/>
    <w:rsid w:val="00904791"/>
    <w:rsid w:val="00904811"/>
    <w:rsid w:val="00904840"/>
    <w:rsid w:val="0090484D"/>
    <w:rsid w:val="0090485B"/>
    <w:rsid w:val="00904886"/>
    <w:rsid w:val="0090491B"/>
    <w:rsid w:val="0090495A"/>
    <w:rsid w:val="009049F4"/>
    <w:rsid w:val="009049F8"/>
    <w:rsid w:val="00904A01"/>
    <w:rsid w:val="00904A11"/>
    <w:rsid w:val="00904A5E"/>
    <w:rsid w:val="00904AA6"/>
    <w:rsid w:val="00904AC1"/>
    <w:rsid w:val="00904AE1"/>
    <w:rsid w:val="00904B19"/>
    <w:rsid w:val="00904B95"/>
    <w:rsid w:val="00904B97"/>
    <w:rsid w:val="00904BDA"/>
    <w:rsid w:val="00904BF3"/>
    <w:rsid w:val="00904C06"/>
    <w:rsid w:val="00904C15"/>
    <w:rsid w:val="00904C1A"/>
    <w:rsid w:val="00904C20"/>
    <w:rsid w:val="00904C58"/>
    <w:rsid w:val="00904D66"/>
    <w:rsid w:val="00904D79"/>
    <w:rsid w:val="00904D81"/>
    <w:rsid w:val="00904D91"/>
    <w:rsid w:val="00904E1D"/>
    <w:rsid w:val="00904E67"/>
    <w:rsid w:val="00904E90"/>
    <w:rsid w:val="00904EAB"/>
    <w:rsid w:val="00904EB4"/>
    <w:rsid w:val="00904F05"/>
    <w:rsid w:val="00904F7B"/>
    <w:rsid w:val="00904F80"/>
    <w:rsid w:val="00905028"/>
    <w:rsid w:val="0090503E"/>
    <w:rsid w:val="00905064"/>
    <w:rsid w:val="009050AB"/>
    <w:rsid w:val="009050EE"/>
    <w:rsid w:val="009050F3"/>
    <w:rsid w:val="00905143"/>
    <w:rsid w:val="00905147"/>
    <w:rsid w:val="0090516C"/>
    <w:rsid w:val="009051A4"/>
    <w:rsid w:val="009051C9"/>
    <w:rsid w:val="009051FE"/>
    <w:rsid w:val="00905237"/>
    <w:rsid w:val="0090523C"/>
    <w:rsid w:val="00905246"/>
    <w:rsid w:val="009052C4"/>
    <w:rsid w:val="009052CD"/>
    <w:rsid w:val="009052FA"/>
    <w:rsid w:val="0090530C"/>
    <w:rsid w:val="00905334"/>
    <w:rsid w:val="00905369"/>
    <w:rsid w:val="00905386"/>
    <w:rsid w:val="009053A2"/>
    <w:rsid w:val="009053FD"/>
    <w:rsid w:val="009054B3"/>
    <w:rsid w:val="0090555A"/>
    <w:rsid w:val="00905573"/>
    <w:rsid w:val="00905592"/>
    <w:rsid w:val="009055C5"/>
    <w:rsid w:val="009055E9"/>
    <w:rsid w:val="009055F6"/>
    <w:rsid w:val="0090565A"/>
    <w:rsid w:val="00905697"/>
    <w:rsid w:val="0090569B"/>
    <w:rsid w:val="009056E1"/>
    <w:rsid w:val="0090576B"/>
    <w:rsid w:val="0090577F"/>
    <w:rsid w:val="009057E4"/>
    <w:rsid w:val="009057F0"/>
    <w:rsid w:val="00905801"/>
    <w:rsid w:val="00905835"/>
    <w:rsid w:val="0090583B"/>
    <w:rsid w:val="00905869"/>
    <w:rsid w:val="00905877"/>
    <w:rsid w:val="0090587A"/>
    <w:rsid w:val="009058AB"/>
    <w:rsid w:val="009058AF"/>
    <w:rsid w:val="00905952"/>
    <w:rsid w:val="009059BB"/>
    <w:rsid w:val="009059F3"/>
    <w:rsid w:val="00905A46"/>
    <w:rsid w:val="00905A68"/>
    <w:rsid w:val="00905B25"/>
    <w:rsid w:val="00905B3A"/>
    <w:rsid w:val="00905B3D"/>
    <w:rsid w:val="00905B60"/>
    <w:rsid w:val="00905C13"/>
    <w:rsid w:val="00905D97"/>
    <w:rsid w:val="00905DB1"/>
    <w:rsid w:val="00905DE3"/>
    <w:rsid w:val="00905DEF"/>
    <w:rsid w:val="00905E50"/>
    <w:rsid w:val="00905ED0"/>
    <w:rsid w:val="00905F1F"/>
    <w:rsid w:val="00905F4D"/>
    <w:rsid w:val="00905FC9"/>
    <w:rsid w:val="00905FFB"/>
    <w:rsid w:val="0090603C"/>
    <w:rsid w:val="009060A1"/>
    <w:rsid w:val="009060EA"/>
    <w:rsid w:val="0090610E"/>
    <w:rsid w:val="00906133"/>
    <w:rsid w:val="0090614A"/>
    <w:rsid w:val="00906196"/>
    <w:rsid w:val="009061BF"/>
    <w:rsid w:val="0090628F"/>
    <w:rsid w:val="0090629C"/>
    <w:rsid w:val="009062BF"/>
    <w:rsid w:val="009062CA"/>
    <w:rsid w:val="009062E9"/>
    <w:rsid w:val="009062FB"/>
    <w:rsid w:val="00906302"/>
    <w:rsid w:val="0090633C"/>
    <w:rsid w:val="0090640F"/>
    <w:rsid w:val="0090646A"/>
    <w:rsid w:val="00906474"/>
    <w:rsid w:val="00906491"/>
    <w:rsid w:val="009064C7"/>
    <w:rsid w:val="009064CF"/>
    <w:rsid w:val="00906512"/>
    <w:rsid w:val="00906514"/>
    <w:rsid w:val="00906523"/>
    <w:rsid w:val="0090653E"/>
    <w:rsid w:val="00906546"/>
    <w:rsid w:val="0090655C"/>
    <w:rsid w:val="00906593"/>
    <w:rsid w:val="009065A9"/>
    <w:rsid w:val="009065B1"/>
    <w:rsid w:val="009065D6"/>
    <w:rsid w:val="00906681"/>
    <w:rsid w:val="00906697"/>
    <w:rsid w:val="009066AD"/>
    <w:rsid w:val="009066E2"/>
    <w:rsid w:val="009066F2"/>
    <w:rsid w:val="00906705"/>
    <w:rsid w:val="0090676E"/>
    <w:rsid w:val="0090678B"/>
    <w:rsid w:val="0090678C"/>
    <w:rsid w:val="009067A5"/>
    <w:rsid w:val="009067D6"/>
    <w:rsid w:val="0090684A"/>
    <w:rsid w:val="0090689C"/>
    <w:rsid w:val="009068CC"/>
    <w:rsid w:val="009068FB"/>
    <w:rsid w:val="00906920"/>
    <w:rsid w:val="009069B2"/>
    <w:rsid w:val="009069BC"/>
    <w:rsid w:val="009069F7"/>
    <w:rsid w:val="00906A2F"/>
    <w:rsid w:val="00906A9C"/>
    <w:rsid w:val="00906AF2"/>
    <w:rsid w:val="00906AFD"/>
    <w:rsid w:val="00906B80"/>
    <w:rsid w:val="00906BA5"/>
    <w:rsid w:val="00906BAF"/>
    <w:rsid w:val="00906BB8"/>
    <w:rsid w:val="00906BCA"/>
    <w:rsid w:val="00906BCE"/>
    <w:rsid w:val="00906BE9"/>
    <w:rsid w:val="00906BF6"/>
    <w:rsid w:val="00906C26"/>
    <w:rsid w:val="00906CB5"/>
    <w:rsid w:val="00906CCB"/>
    <w:rsid w:val="00906CED"/>
    <w:rsid w:val="00906D13"/>
    <w:rsid w:val="00906D51"/>
    <w:rsid w:val="00906DC3"/>
    <w:rsid w:val="00906DF5"/>
    <w:rsid w:val="00906EA4"/>
    <w:rsid w:val="00906EB4"/>
    <w:rsid w:val="00906EDC"/>
    <w:rsid w:val="00906EDD"/>
    <w:rsid w:val="00906F31"/>
    <w:rsid w:val="00906F39"/>
    <w:rsid w:val="00906F3A"/>
    <w:rsid w:val="00906F6E"/>
    <w:rsid w:val="00906F73"/>
    <w:rsid w:val="00906FAE"/>
    <w:rsid w:val="00906FB4"/>
    <w:rsid w:val="0090708A"/>
    <w:rsid w:val="009070D3"/>
    <w:rsid w:val="009070F5"/>
    <w:rsid w:val="00907111"/>
    <w:rsid w:val="0090713E"/>
    <w:rsid w:val="00907146"/>
    <w:rsid w:val="00907169"/>
    <w:rsid w:val="00907178"/>
    <w:rsid w:val="00907264"/>
    <w:rsid w:val="009072B3"/>
    <w:rsid w:val="00907313"/>
    <w:rsid w:val="00907318"/>
    <w:rsid w:val="00907338"/>
    <w:rsid w:val="00907353"/>
    <w:rsid w:val="0090743F"/>
    <w:rsid w:val="00907444"/>
    <w:rsid w:val="0090744B"/>
    <w:rsid w:val="009074A2"/>
    <w:rsid w:val="009074C8"/>
    <w:rsid w:val="0090754E"/>
    <w:rsid w:val="0090757A"/>
    <w:rsid w:val="009075CB"/>
    <w:rsid w:val="009075F2"/>
    <w:rsid w:val="009075F8"/>
    <w:rsid w:val="0090760E"/>
    <w:rsid w:val="0090760F"/>
    <w:rsid w:val="00907631"/>
    <w:rsid w:val="0090768F"/>
    <w:rsid w:val="00907763"/>
    <w:rsid w:val="009077E0"/>
    <w:rsid w:val="00907841"/>
    <w:rsid w:val="0090787C"/>
    <w:rsid w:val="0090788C"/>
    <w:rsid w:val="0090788E"/>
    <w:rsid w:val="009078A9"/>
    <w:rsid w:val="009078D5"/>
    <w:rsid w:val="009078D6"/>
    <w:rsid w:val="0090792D"/>
    <w:rsid w:val="009079B8"/>
    <w:rsid w:val="009079BC"/>
    <w:rsid w:val="009079F5"/>
    <w:rsid w:val="009079FC"/>
    <w:rsid w:val="00907A1C"/>
    <w:rsid w:val="00907A55"/>
    <w:rsid w:val="00907A6F"/>
    <w:rsid w:val="00907A79"/>
    <w:rsid w:val="00907AFA"/>
    <w:rsid w:val="00907AFC"/>
    <w:rsid w:val="00907B06"/>
    <w:rsid w:val="00907B6B"/>
    <w:rsid w:val="00907B75"/>
    <w:rsid w:val="00907B7A"/>
    <w:rsid w:val="00907C44"/>
    <w:rsid w:val="00907C79"/>
    <w:rsid w:val="00907D30"/>
    <w:rsid w:val="00907D83"/>
    <w:rsid w:val="00907D8E"/>
    <w:rsid w:val="00907D98"/>
    <w:rsid w:val="00907E2C"/>
    <w:rsid w:val="00907E80"/>
    <w:rsid w:val="00907EA6"/>
    <w:rsid w:val="00907EA7"/>
    <w:rsid w:val="00907EC0"/>
    <w:rsid w:val="00907F32"/>
    <w:rsid w:val="00907FAD"/>
    <w:rsid w:val="00907FCE"/>
    <w:rsid w:val="00907FF5"/>
    <w:rsid w:val="0091000B"/>
    <w:rsid w:val="0091007E"/>
    <w:rsid w:val="009100AA"/>
    <w:rsid w:val="009100D5"/>
    <w:rsid w:val="009100E0"/>
    <w:rsid w:val="009100FA"/>
    <w:rsid w:val="00910114"/>
    <w:rsid w:val="00910170"/>
    <w:rsid w:val="00910193"/>
    <w:rsid w:val="0091019A"/>
    <w:rsid w:val="009101C8"/>
    <w:rsid w:val="009101F8"/>
    <w:rsid w:val="0091020F"/>
    <w:rsid w:val="00910216"/>
    <w:rsid w:val="00910251"/>
    <w:rsid w:val="0091026B"/>
    <w:rsid w:val="009102DB"/>
    <w:rsid w:val="00910355"/>
    <w:rsid w:val="0091035C"/>
    <w:rsid w:val="00910367"/>
    <w:rsid w:val="0091036F"/>
    <w:rsid w:val="0091038D"/>
    <w:rsid w:val="009103B2"/>
    <w:rsid w:val="009103C7"/>
    <w:rsid w:val="009103EA"/>
    <w:rsid w:val="00910411"/>
    <w:rsid w:val="009104A8"/>
    <w:rsid w:val="009104C1"/>
    <w:rsid w:val="009104CB"/>
    <w:rsid w:val="009105A8"/>
    <w:rsid w:val="009105DA"/>
    <w:rsid w:val="009105EB"/>
    <w:rsid w:val="0091064C"/>
    <w:rsid w:val="00910652"/>
    <w:rsid w:val="0091065F"/>
    <w:rsid w:val="00910679"/>
    <w:rsid w:val="009106DF"/>
    <w:rsid w:val="009107AC"/>
    <w:rsid w:val="00910800"/>
    <w:rsid w:val="0091081E"/>
    <w:rsid w:val="0091081F"/>
    <w:rsid w:val="00910833"/>
    <w:rsid w:val="009108C6"/>
    <w:rsid w:val="009108CA"/>
    <w:rsid w:val="0091090C"/>
    <w:rsid w:val="00910917"/>
    <w:rsid w:val="00910939"/>
    <w:rsid w:val="0091093C"/>
    <w:rsid w:val="00910972"/>
    <w:rsid w:val="009109A9"/>
    <w:rsid w:val="009109D4"/>
    <w:rsid w:val="009109E1"/>
    <w:rsid w:val="009109E8"/>
    <w:rsid w:val="00910A21"/>
    <w:rsid w:val="00910A29"/>
    <w:rsid w:val="00910A56"/>
    <w:rsid w:val="00910A9B"/>
    <w:rsid w:val="00910B2C"/>
    <w:rsid w:val="00910B4B"/>
    <w:rsid w:val="00910C6C"/>
    <w:rsid w:val="00910C91"/>
    <w:rsid w:val="00910D11"/>
    <w:rsid w:val="00910DA5"/>
    <w:rsid w:val="00910DF4"/>
    <w:rsid w:val="00910DFB"/>
    <w:rsid w:val="00910E0E"/>
    <w:rsid w:val="00910E2D"/>
    <w:rsid w:val="00910E88"/>
    <w:rsid w:val="00910E97"/>
    <w:rsid w:val="00910ECD"/>
    <w:rsid w:val="00910ED0"/>
    <w:rsid w:val="00910FB3"/>
    <w:rsid w:val="00910FED"/>
    <w:rsid w:val="0091104E"/>
    <w:rsid w:val="009110AB"/>
    <w:rsid w:val="009110E4"/>
    <w:rsid w:val="00911101"/>
    <w:rsid w:val="00911185"/>
    <w:rsid w:val="009111B7"/>
    <w:rsid w:val="0091120C"/>
    <w:rsid w:val="00911225"/>
    <w:rsid w:val="0091124F"/>
    <w:rsid w:val="0091126C"/>
    <w:rsid w:val="009112A8"/>
    <w:rsid w:val="0091130B"/>
    <w:rsid w:val="00911331"/>
    <w:rsid w:val="00911340"/>
    <w:rsid w:val="00911349"/>
    <w:rsid w:val="00911361"/>
    <w:rsid w:val="00911451"/>
    <w:rsid w:val="009114FB"/>
    <w:rsid w:val="0091150A"/>
    <w:rsid w:val="0091154E"/>
    <w:rsid w:val="00911553"/>
    <w:rsid w:val="00911604"/>
    <w:rsid w:val="0091165F"/>
    <w:rsid w:val="00911693"/>
    <w:rsid w:val="00911709"/>
    <w:rsid w:val="0091170F"/>
    <w:rsid w:val="0091179B"/>
    <w:rsid w:val="009117F0"/>
    <w:rsid w:val="0091182A"/>
    <w:rsid w:val="00911954"/>
    <w:rsid w:val="0091197C"/>
    <w:rsid w:val="009119F2"/>
    <w:rsid w:val="00911A11"/>
    <w:rsid w:val="00911A16"/>
    <w:rsid w:val="00911A27"/>
    <w:rsid w:val="00911A60"/>
    <w:rsid w:val="00911A80"/>
    <w:rsid w:val="00911A9F"/>
    <w:rsid w:val="00911ABA"/>
    <w:rsid w:val="00911AE7"/>
    <w:rsid w:val="00911BA7"/>
    <w:rsid w:val="00911BCD"/>
    <w:rsid w:val="00911C0C"/>
    <w:rsid w:val="00911C2F"/>
    <w:rsid w:val="00911DF7"/>
    <w:rsid w:val="00911E07"/>
    <w:rsid w:val="00911E44"/>
    <w:rsid w:val="00911E54"/>
    <w:rsid w:val="00911E94"/>
    <w:rsid w:val="00911EB9"/>
    <w:rsid w:val="00911EBD"/>
    <w:rsid w:val="00911ECB"/>
    <w:rsid w:val="00911ED9"/>
    <w:rsid w:val="00911F19"/>
    <w:rsid w:val="00911F5F"/>
    <w:rsid w:val="00911F89"/>
    <w:rsid w:val="00911FA8"/>
    <w:rsid w:val="00911FBD"/>
    <w:rsid w:val="00912037"/>
    <w:rsid w:val="009120B4"/>
    <w:rsid w:val="009120CD"/>
    <w:rsid w:val="00912106"/>
    <w:rsid w:val="00912133"/>
    <w:rsid w:val="00912138"/>
    <w:rsid w:val="0091213B"/>
    <w:rsid w:val="00912194"/>
    <w:rsid w:val="009121C8"/>
    <w:rsid w:val="009121D9"/>
    <w:rsid w:val="009121E6"/>
    <w:rsid w:val="00912214"/>
    <w:rsid w:val="00912279"/>
    <w:rsid w:val="0091237A"/>
    <w:rsid w:val="009124DD"/>
    <w:rsid w:val="00912557"/>
    <w:rsid w:val="00912562"/>
    <w:rsid w:val="00912588"/>
    <w:rsid w:val="009125BB"/>
    <w:rsid w:val="00912616"/>
    <w:rsid w:val="00912642"/>
    <w:rsid w:val="00912645"/>
    <w:rsid w:val="00912691"/>
    <w:rsid w:val="009126C8"/>
    <w:rsid w:val="009126FC"/>
    <w:rsid w:val="0091275A"/>
    <w:rsid w:val="0091276B"/>
    <w:rsid w:val="00912797"/>
    <w:rsid w:val="009127B6"/>
    <w:rsid w:val="00912804"/>
    <w:rsid w:val="00912811"/>
    <w:rsid w:val="0091283B"/>
    <w:rsid w:val="00912853"/>
    <w:rsid w:val="009128C4"/>
    <w:rsid w:val="0091290E"/>
    <w:rsid w:val="00912978"/>
    <w:rsid w:val="009129BF"/>
    <w:rsid w:val="00912A07"/>
    <w:rsid w:val="00912A0D"/>
    <w:rsid w:val="00912B1F"/>
    <w:rsid w:val="00912B2D"/>
    <w:rsid w:val="00912B5B"/>
    <w:rsid w:val="00912B5D"/>
    <w:rsid w:val="00912B60"/>
    <w:rsid w:val="00912D83"/>
    <w:rsid w:val="00912DF9"/>
    <w:rsid w:val="00912E18"/>
    <w:rsid w:val="00912E5D"/>
    <w:rsid w:val="00912E61"/>
    <w:rsid w:val="00912EA5"/>
    <w:rsid w:val="00912EC7"/>
    <w:rsid w:val="00912EEE"/>
    <w:rsid w:val="00912F23"/>
    <w:rsid w:val="00912F55"/>
    <w:rsid w:val="00912FA1"/>
    <w:rsid w:val="00912FC8"/>
    <w:rsid w:val="00912FF3"/>
    <w:rsid w:val="0091305F"/>
    <w:rsid w:val="0091309F"/>
    <w:rsid w:val="009130C3"/>
    <w:rsid w:val="009130CF"/>
    <w:rsid w:val="00913117"/>
    <w:rsid w:val="00913119"/>
    <w:rsid w:val="00913140"/>
    <w:rsid w:val="0091314C"/>
    <w:rsid w:val="0091314F"/>
    <w:rsid w:val="009131B9"/>
    <w:rsid w:val="009131C1"/>
    <w:rsid w:val="009131C3"/>
    <w:rsid w:val="009131D1"/>
    <w:rsid w:val="00913217"/>
    <w:rsid w:val="0091321E"/>
    <w:rsid w:val="00913232"/>
    <w:rsid w:val="0091329B"/>
    <w:rsid w:val="009132D8"/>
    <w:rsid w:val="0091333A"/>
    <w:rsid w:val="00913343"/>
    <w:rsid w:val="0091338C"/>
    <w:rsid w:val="009133B7"/>
    <w:rsid w:val="009133F4"/>
    <w:rsid w:val="009133FD"/>
    <w:rsid w:val="00913415"/>
    <w:rsid w:val="00913420"/>
    <w:rsid w:val="00913457"/>
    <w:rsid w:val="0091347A"/>
    <w:rsid w:val="0091348C"/>
    <w:rsid w:val="00913497"/>
    <w:rsid w:val="009134AD"/>
    <w:rsid w:val="009134D7"/>
    <w:rsid w:val="00913539"/>
    <w:rsid w:val="00913545"/>
    <w:rsid w:val="00913558"/>
    <w:rsid w:val="0091355A"/>
    <w:rsid w:val="00913571"/>
    <w:rsid w:val="009135AF"/>
    <w:rsid w:val="009135DF"/>
    <w:rsid w:val="009135E2"/>
    <w:rsid w:val="0091361C"/>
    <w:rsid w:val="0091363E"/>
    <w:rsid w:val="0091364A"/>
    <w:rsid w:val="0091367D"/>
    <w:rsid w:val="009136FE"/>
    <w:rsid w:val="00913731"/>
    <w:rsid w:val="00913736"/>
    <w:rsid w:val="00913756"/>
    <w:rsid w:val="0091375D"/>
    <w:rsid w:val="009137C5"/>
    <w:rsid w:val="00913825"/>
    <w:rsid w:val="0091386A"/>
    <w:rsid w:val="0091386E"/>
    <w:rsid w:val="00913892"/>
    <w:rsid w:val="0091389E"/>
    <w:rsid w:val="00913902"/>
    <w:rsid w:val="00913929"/>
    <w:rsid w:val="009139B2"/>
    <w:rsid w:val="00913A1F"/>
    <w:rsid w:val="00913A24"/>
    <w:rsid w:val="00913B47"/>
    <w:rsid w:val="00913B4F"/>
    <w:rsid w:val="00913B75"/>
    <w:rsid w:val="00913B8E"/>
    <w:rsid w:val="00913BA6"/>
    <w:rsid w:val="00913BA7"/>
    <w:rsid w:val="00913BB0"/>
    <w:rsid w:val="00913C0E"/>
    <w:rsid w:val="00913C5E"/>
    <w:rsid w:val="00913CCD"/>
    <w:rsid w:val="00913CE4"/>
    <w:rsid w:val="00913CE6"/>
    <w:rsid w:val="00913D04"/>
    <w:rsid w:val="00913D07"/>
    <w:rsid w:val="00913DCC"/>
    <w:rsid w:val="00913E43"/>
    <w:rsid w:val="00913E4B"/>
    <w:rsid w:val="00913E61"/>
    <w:rsid w:val="00913E68"/>
    <w:rsid w:val="00913EBF"/>
    <w:rsid w:val="00913ECB"/>
    <w:rsid w:val="00913F95"/>
    <w:rsid w:val="00914016"/>
    <w:rsid w:val="00914081"/>
    <w:rsid w:val="009140A0"/>
    <w:rsid w:val="009140B9"/>
    <w:rsid w:val="009140E2"/>
    <w:rsid w:val="0091410C"/>
    <w:rsid w:val="009141D7"/>
    <w:rsid w:val="009141DC"/>
    <w:rsid w:val="00914210"/>
    <w:rsid w:val="0091423C"/>
    <w:rsid w:val="00914272"/>
    <w:rsid w:val="009142B0"/>
    <w:rsid w:val="009142E8"/>
    <w:rsid w:val="009142EE"/>
    <w:rsid w:val="009142F3"/>
    <w:rsid w:val="00914407"/>
    <w:rsid w:val="00914431"/>
    <w:rsid w:val="0091443E"/>
    <w:rsid w:val="0091444D"/>
    <w:rsid w:val="0091445F"/>
    <w:rsid w:val="00914514"/>
    <w:rsid w:val="00914543"/>
    <w:rsid w:val="00914592"/>
    <w:rsid w:val="009145A6"/>
    <w:rsid w:val="009145E3"/>
    <w:rsid w:val="0091465D"/>
    <w:rsid w:val="00914675"/>
    <w:rsid w:val="00914775"/>
    <w:rsid w:val="009147BC"/>
    <w:rsid w:val="009147E7"/>
    <w:rsid w:val="0091488F"/>
    <w:rsid w:val="0091490E"/>
    <w:rsid w:val="0091493A"/>
    <w:rsid w:val="00914947"/>
    <w:rsid w:val="0091494D"/>
    <w:rsid w:val="00914967"/>
    <w:rsid w:val="00914973"/>
    <w:rsid w:val="009149C1"/>
    <w:rsid w:val="009149E2"/>
    <w:rsid w:val="00914A1D"/>
    <w:rsid w:val="00914A96"/>
    <w:rsid w:val="00914AD4"/>
    <w:rsid w:val="00914B2A"/>
    <w:rsid w:val="00914B72"/>
    <w:rsid w:val="00914B88"/>
    <w:rsid w:val="00914BC5"/>
    <w:rsid w:val="00914BE1"/>
    <w:rsid w:val="00914C0A"/>
    <w:rsid w:val="00914C13"/>
    <w:rsid w:val="00914C66"/>
    <w:rsid w:val="00914C9E"/>
    <w:rsid w:val="00914CBA"/>
    <w:rsid w:val="00914CC6"/>
    <w:rsid w:val="00914EB3"/>
    <w:rsid w:val="00914F4B"/>
    <w:rsid w:val="00914F75"/>
    <w:rsid w:val="00914F94"/>
    <w:rsid w:val="00915001"/>
    <w:rsid w:val="00915025"/>
    <w:rsid w:val="00915039"/>
    <w:rsid w:val="0091504B"/>
    <w:rsid w:val="00915075"/>
    <w:rsid w:val="009150A8"/>
    <w:rsid w:val="009150E8"/>
    <w:rsid w:val="009150FE"/>
    <w:rsid w:val="00915149"/>
    <w:rsid w:val="0091517B"/>
    <w:rsid w:val="009151A5"/>
    <w:rsid w:val="009151F6"/>
    <w:rsid w:val="0091527A"/>
    <w:rsid w:val="009152E0"/>
    <w:rsid w:val="009152FD"/>
    <w:rsid w:val="00915326"/>
    <w:rsid w:val="00915494"/>
    <w:rsid w:val="00915547"/>
    <w:rsid w:val="00915552"/>
    <w:rsid w:val="00915597"/>
    <w:rsid w:val="009155D0"/>
    <w:rsid w:val="00915645"/>
    <w:rsid w:val="00915650"/>
    <w:rsid w:val="0091565B"/>
    <w:rsid w:val="00915693"/>
    <w:rsid w:val="0091569B"/>
    <w:rsid w:val="009156AB"/>
    <w:rsid w:val="009156DA"/>
    <w:rsid w:val="009156FC"/>
    <w:rsid w:val="00915750"/>
    <w:rsid w:val="009157DA"/>
    <w:rsid w:val="00915848"/>
    <w:rsid w:val="0091587F"/>
    <w:rsid w:val="009158AA"/>
    <w:rsid w:val="009158EB"/>
    <w:rsid w:val="00915973"/>
    <w:rsid w:val="00915998"/>
    <w:rsid w:val="009159FC"/>
    <w:rsid w:val="00915A04"/>
    <w:rsid w:val="00915AA3"/>
    <w:rsid w:val="00915AA7"/>
    <w:rsid w:val="00915AE9"/>
    <w:rsid w:val="00915B08"/>
    <w:rsid w:val="00915B98"/>
    <w:rsid w:val="00915BA9"/>
    <w:rsid w:val="00915BF5"/>
    <w:rsid w:val="00915C0B"/>
    <w:rsid w:val="00915C68"/>
    <w:rsid w:val="00915C8F"/>
    <w:rsid w:val="00915CB1"/>
    <w:rsid w:val="00915CDC"/>
    <w:rsid w:val="00915CEC"/>
    <w:rsid w:val="00915E02"/>
    <w:rsid w:val="00915E05"/>
    <w:rsid w:val="00915E46"/>
    <w:rsid w:val="00915E71"/>
    <w:rsid w:val="00915E8A"/>
    <w:rsid w:val="00915F41"/>
    <w:rsid w:val="00915F4F"/>
    <w:rsid w:val="00915FDC"/>
    <w:rsid w:val="00916056"/>
    <w:rsid w:val="0091605F"/>
    <w:rsid w:val="009160AA"/>
    <w:rsid w:val="00916145"/>
    <w:rsid w:val="0091615B"/>
    <w:rsid w:val="0091623A"/>
    <w:rsid w:val="00916274"/>
    <w:rsid w:val="00916377"/>
    <w:rsid w:val="0091645A"/>
    <w:rsid w:val="00916461"/>
    <w:rsid w:val="009164B2"/>
    <w:rsid w:val="009164C1"/>
    <w:rsid w:val="009164E0"/>
    <w:rsid w:val="0091651E"/>
    <w:rsid w:val="00916530"/>
    <w:rsid w:val="0091655F"/>
    <w:rsid w:val="00916595"/>
    <w:rsid w:val="009165C6"/>
    <w:rsid w:val="009165E3"/>
    <w:rsid w:val="009165EE"/>
    <w:rsid w:val="009165F3"/>
    <w:rsid w:val="00916600"/>
    <w:rsid w:val="0091667C"/>
    <w:rsid w:val="00916689"/>
    <w:rsid w:val="0091668B"/>
    <w:rsid w:val="009166C5"/>
    <w:rsid w:val="00916706"/>
    <w:rsid w:val="00916716"/>
    <w:rsid w:val="00916798"/>
    <w:rsid w:val="009167C3"/>
    <w:rsid w:val="00916829"/>
    <w:rsid w:val="00916879"/>
    <w:rsid w:val="009168C6"/>
    <w:rsid w:val="009168D9"/>
    <w:rsid w:val="0091692D"/>
    <w:rsid w:val="00916948"/>
    <w:rsid w:val="0091695F"/>
    <w:rsid w:val="009169A4"/>
    <w:rsid w:val="009169D4"/>
    <w:rsid w:val="009169FA"/>
    <w:rsid w:val="00916A62"/>
    <w:rsid w:val="00916A6E"/>
    <w:rsid w:val="00916A71"/>
    <w:rsid w:val="00916B0E"/>
    <w:rsid w:val="00916B22"/>
    <w:rsid w:val="00916B68"/>
    <w:rsid w:val="00916C76"/>
    <w:rsid w:val="00916C80"/>
    <w:rsid w:val="00916CE1"/>
    <w:rsid w:val="00916CE3"/>
    <w:rsid w:val="00916D29"/>
    <w:rsid w:val="00916DE6"/>
    <w:rsid w:val="00916E20"/>
    <w:rsid w:val="00916EA2"/>
    <w:rsid w:val="00916F00"/>
    <w:rsid w:val="00916F24"/>
    <w:rsid w:val="00916F26"/>
    <w:rsid w:val="00916FBE"/>
    <w:rsid w:val="00916FCC"/>
    <w:rsid w:val="00917055"/>
    <w:rsid w:val="0091705D"/>
    <w:rsid w:val="0091708B"/>
    <w:rsid w:val="009170E8"/>
    <w:rsid w:val="00917146"/>
    <w:rsid w:val="0091715C"/>
    <w:rsid w:val="0091718E"/>
    <w:rsid w:val="009171DA"/>
    <w:rsid w:val="009172C6"/>
    <w:rsid w:val="009172E9"/>
    <w:rsid w:val="009172EC"/>
    <w:rsid w:val="00917301"/>
    <w:rsid w:val="0091733F"/>
    <w:rsid w:val="009173A4"/>
    <w:rsid w:val="00917400"/>
    <w:rsid w:val="00917417"/>
    <w:rsid w:val="00917422"/>
    <w:rsid w:val="00917459"/>
    <w:rsid w:val="009174DC"/>
    <w:rsid w:val="009174E1"/>
    <w:rsid w:val="00917534"/>
    <w:rsid w:val="009175DE"/>
    <w:rsid w:val="009175EE"/>
    <w:rsid w:val="00917692"/>
    <w:rsid w:val="0091770A"/>
    <w:rsid w:val="00917738"/>
    <w:rsid w:val="00917739"/>
    <w:rsid w:val="0091773D"/>
    <w:rsid w:val="009177BF"/>
    <w:rsid w:val="009177D4"/>
    <w:rsid w:val="00917835"/>
    <w:rsid w:val="0091783C"/>
    <w:rsid w:val="009178A4"/>
    <w:rsid w:val="009178BC"/>
    <w:rsid w:val="0091791D"/>
    <w:rsid w:val="00917953"/>
    <w:rsid w:val="0091799E"/>
    <w:rsid w:val="00917A0D"/>
    <w:rsid w:val="00917A50"/>
    <w:rsid w:val="00917AF4"/>
    <w:rsid w:val="00917AF9"/>
    <w:rsid w:val="00917B13"/>
    <w:rsid w:val="00917B33"/>
    <w:rsid w:val="00917B41"/>
    <w:rsid w:val="00917B52"/>
    <w:rsid w:val="00917B77"/>
    <w:rsid w:val="00917B88"/>
    <w:rsid w:val="00917BA6"/>
    <w:rsid w:val="00917BB2"/>
    <w:rsid w:val="00917BBB"/>
    <w:rsid w:val="00917BE1"/>
    <w:rsid w:val="00917BF5"/>
    <w:rsid w:val="00917C66"/>
    <w:rsid w:val="00917C93"/>
    <w:rsid w:val="00917CE6"/>
    <w:rsid w:val="00917CE8"/>
    <w:rsid w:val="00917D51"/>
    <w:rsid w:val="00917D62"/>
    <w:rsid w:val="00917D84"/>
    <w:rsid w:val="00917DF6"/>
    <w:rsid w:val="00917EB8"/>
    <w:rsid w:val="00917EC7"/>
    <w:rsid w:val="00917EE8"/>
    <w:rsid w:val="00917F05"/>
    <w:rsid w:val="00917F14"/>
    <w:rsid w:val="00917FB8"/>
    <w:rsid w:val="00917FF2"/>
    <w:rsid w:val="00917FF6"/>
    <w:rsid w:val="00920007"/>
    <w:rsid w:val="00920012"/>
    <w:rsid w:val="0092003A"/>
    <w:rsid w:val="009200AC"/>
    <w:rsid w:val="009201C1"/>
    <w:rsid w:val="0092026F"/>
    <w:rsid w:val="00920305"/>
    <w:rsid w:val="0092031E"/>
    <w:rsid w:val="00920338"/>
    <w:rsid w:val="0092033C"/>
    <w:rsid w:val="00920347"/>
    <w:rsid w:val="0092035E"/>
    <w:rsid w:val="009203EC"/>
    <w:rsid w:val="00920415"/>
    <w:rsid w:val="0092041B"/>
    <w:rsid w:val="00920426"/>
    <w:rsid w:val="0092048F"/>
    <w:rsid w:val="0092049E"/>
    <w:rsid w:val="009204C9"/>
    <w:rsid w:val="009204F1"/>
    <w:rsid w:val="009204F8"/>
    <w:rsid w:val="0092053E"/>
    <w:rsid w:val="0092057B"/>
    <w:rsid w:val="00920588"/>
    <w:rsid w:val="009205DE"/>
    <w:rsid w:val="00920695"/>
    <w:rsid w:val="0092069B"/>
    <w:rsid w:val="00920726"/>
    <w:rsid w:val="0092072D"/>
    <w:rsid w:val="00920737"/>
    <w:rsid w:val="0092074F"/>
    <w:rsid w:val="0092077E"/>
    <w:rsid w:val="009207A3"/>
    <w:rsid w:val="0092083C"/>
    <w:rsid w:val="00920890"/>
    <w:rsid w:val="009208E3"/>
    <w:rsid w:val="009208F5"/>
    <w:rsid w:val="00920A15"/>
    <w:rsid w:val="00920B0C"/>
    <w:rsid w:val="00920B15"/>
    <w:rsid w:val="00920B1C"/>
    <w:rsid w:val="00920BF1"/>
    <w:rsid w:val="00920BF9"/>
    <w:rsid w:val="00920C86"/>
    <w:rsid w:val="00920CD4"/>
    <w:rsid w:val="00920D4D"/>
    <w:rsid w:val="00920D54"/>
    <w:rsid w:val="00920D73"/>
    <w:rsid w:val="00920DB7"/>
    <w:rsid w:val="00920E11"/>
    <w:rsid w:val="00920FA3"/>
    <w:rsid w:val="00921040"/>
    <w:rsid w:val="0092107E"/>
    <w:rsid w:val="00921098"/>
    <w:rsid w:val="0092109E"/>
    <w:rsid w:val="009210B2"/>
    <w:rsid w:val="009210D6"/>
    <w:rsid w:val="009210D7"/>
    <w:rsid w:val="009210FE"/>
    <w:rsid w:val="0092110A"/>
    <w:rsid w:val="00921126"/>
    <w:rsid w:val="00921145"/>
    <w:rsid w:val="009211EA"/>
    <w:rsid w:val="00921204"/>
    <w:rsid w:val="009212FC"/>
    <w:rsid w:val="00921304"/>
    <w:rsid w:val="0092135E"/>
    <w:rsid w:val="00921372"/>
    <w:rsid w:val="00921384"/>
    <w:rsid w:val="009213B9"/>
    <w:rsid w:val="009213F7"/>
    <w:rsid w:val="0092141C"/>
    <w:rsid w:val="0092142D"/>
    <w:rsid w:val="0092143D"/>
    <w:rsid w:val="009214C3"/>
    <w:rsid w:val="009214CA"/>
    <w:rsid w:val="0092152B"/>
    <w:rsid w:val="0092153C"/>
    <w:rsid w:val="00921546"/>
    <w:rsid w:val="0092154D"/>
    <w:rsid w:val="00921589"/>
    <w:rsid w:val="009215AA"/>
    <w:rsid w:val="009215D2"/>
    <w:rsid w:val="009215E4"/>
    <w:rsid w:val="009216AB"/>
    <w:rsid w:val="00921711"/>
    <w:rsid w:val="00921715"/>
    <w:rsid w:val="00921716"/>
    <w:rsid w:val="00921743"/>
    <w:rsid w:val="00921763"/>
    <w:rsid w:val="0092176E"/>
    <w:rsid w:val="00921779"/>
    <w:rsid w:val="0092177E"/>
    <w:rsid w:val="009217A0"/>
    <w:rsid w:val="009217A1"/>
    <w:rsid w:val="009217BA"/>
    <w:rsid w:val="009217D4"/>
    <w:rsid w:val="009217E4"/>
    <w:rsid w:val="00921812"/>
    <w:rsid w:val="00921819"/>
    <w:rsid w:val="0092182E"/>
    <w:rsid w:val="0092183F"/>
    <w:rsid w:val="00921848"/>
    <w:rsid w:val="00921876"/>
    <w:rsid w:val="00921884"/>
    <w:rsid w:val="00921890"/>
    <w:rsid w:val="009218A6"/>
    <w:rsid w:val="009218B1"/>
    <w:rsid w:val="009218B9"/>
    <w:rsid w:val="00921904"/>
    <w:rsid w:val="00921969"/>
    <w:rsid w:val="00921977"/>
    <w:rsid w:val="00921988"/>
    <w:rsid w:val="009219E9"/>
    <w:rsid w:val="00921A51"/>
    <w:rsid w:val="00921A5E"/>
    <w:rsid w:val="00921A6D"/>
    <w:rsid w:val="00921AB1"/>
    <w:rsid w:val="00921AB7"/>
    <w:rsid w:val="00921ACA"/>
    <w:rsid w:val="00921B69"/>
    <w:rsid w:val="00921B7E"/>
    <w:rsid w:val="00921BB0"/>
    <w:rsid w:val="00921C00"/>
    <w:rsid w:val="00921C01"/>
    <w:rsid w:val="00921C08"/>
    <w:rsid w:val="00921D2A"/>
    <w:rsid w:val="00921DB0"/>
    <w:rsid w:val="00921DB4"/>
    <w:rsid w:val="00921DF2"/>
    <w:rsid w:val="00921E06"/>
    <w:rsid w:val="00921E39"/>
    <w:rsid w:val="00921E4F"/>
    <w:rsid w:val="00921E7A"/>
    <w:rsid w:val="00921E99"/>
    <w:rsid w:val="00921F02"/>
    <w:rsid w:val="00921F2A"/>
    <w:rsid w:val="00921F50"/>
    <w:rsid w:val="00921F6C"/>
    <w:rsid w:val="00921F86"/>
    <w:rsid w:val="00921FB2"/>
    <w:rsid w:val="00922036"/>
    <w:rsid w:val="00922096"/>
    <w:rsid w:val="0092212D"/>
    <w:rsid w:val="00922132"/>
    <w:rsid w:val="00922189"/>
    <w:rsid w:val="009221AB"/>
    <w:rsid w:val="00922201"/>
    <w:rsid w:val="00922229"/>
    <w:rsid w:val="009222B3"/>
    <w:rsid w:val="009222E6"/>
    <w:rsid w:val="00922305"/>
    <w:rsid w:val="0092233A"/>
    <w:rsid w:val="0092233C"/>
    <w:rsid w:val="009223D5"/>
    <w:rsid w:val="009223F0"/>
    <w:rsid w:val="0092243C"/>
    <w:rsid w:val="0092249D"/>
    <w:rsid w:val="009224A5"/>
    <w:rsid w:val="009224CF"/>
    <w:rsid w:val="00922507"/>
    <w:rsid w:val="0092255E"/>
    <w:rsid w:val="0092256F"/>
    <w:rsid w:val="009225A8"/>
    <w:rsid w:val="009225C6"/>
    <w:rsid w:val="00922613"/>
    <w:rsid w:val="0092263C"/>
    <w:rsid w:val="009226F7"/>
    <w:rsid w:val="009226F8"/>
    <w:rsid w:val="00922799"/>
    <w:rsid w:val="0092279F"/>
    <w:rsid w:val="009227A0"/>
    <w:rsid w:val="009227E2"/>
    <w:rsid w:val="0092282F"/>
    <w:rsid w:val="00922841"/>
    <w:rsid w:val="0092285B"/>
    <w:rsid w:val="009228CD"/>
    <w:rsid w:val="009228EE"/>
    <w:rsid w:val="0092294D"/>
    <w:rsid w:val="00922999"/>
    <w:rsid w:val="009229B4"/>
    <w:rsid w:val="009229B5"/>
    <w:rsid w:val="00922A6A"/>
    <w:rsid w:val="00922A6F"/>
    <w:rsid w:val="00922B09"/>
    <w:rsid w:val="00922B75"/>
    <w:rsid w:val="00922BEF"/>
    <w:rsid w:val="00922C1A"/>
    <w:rsid w:val="00922C1E"/>
    <w:rsid w:val="00922C49"/>
    <w:rsid w:val="00922C77"/>
    <w:rsid w:val="00922CA4"/>
    <w:rsid w:val="00922CCD"/>
    <w:rsid w:val="00922CCE"/>
    <w:rsid w:val="00922D2E"/>
    <w:rsid w:val="00922D31"/>
    <w:rsid w:val="00922E48"/>
    <w:rsid w:val="00922EE9"/>
    <w:rsid w:val="00922F08"/>
    <w:rsid w:val="00922F36"/>
    <w:rsid w:val="00922F3B"/>
    <w:rsid w:val="00922F3D"/>
    <w:rsid w:val="00923004"/>
    <w:rsid w:val="00923010"/>
    <w:rsid w:val="00923028"/>
    <w:rsid w:val="009230F5"/>
    <w:rsid w:val="00923100"/>
    <w:rsid w:val="0092318D"/>
    <w:rsid w:val="009231AF"/>
    <w:rsid w:val="00923226"/>
    <w:rsid w:val="0092324C"/>
    <w:rsid w:val="0092325F"/>
    <w:rsid w:val="009232D8"/>
    <w:rsid w:val="0092330F"/>
    <w:rsid w:val="00923328"/>
    <w:rsid w:val="00923376"/>
    <w:rsid w:val="009233A2"/>
    <w:rsid w:val="009233C7"/>
    <w:rsid w:val="0092341A"/>
    <w:rsid w:val="00923422"/>
    <w:rsid w:val="0092343B"/>
    <w:rsid w:val="00923499"/>
    <w:rsid w:val="00923555"/>
    <w:rsid w:val="00923578"/>
    <w:rsid w:val="009235B6"/>
    <w:rsid w:val="0092360C"/>
    <w:rsid w:val="0092360F"/>
    <w:rsid w:val="0092361E"/>
    <w:rsid w:val="0092362D"/>
    <w:rsid w:val="00923664"/>
    <w:rsid w:val="00923665"/>
    <w:rsid w:val="009236D7"/>
    <w:rsid w:val="0092373E"/>
    <w:rsid w:val="00923755"/>
    <w:rsid w:val="00923773"/>
    <w:rsid w:val="00923799"/>
    <w:rsid w:val="009237FF"/>
    <w:rsid w:val="00923814"/>
    <w:rsid w:val="0092384F"/>
    <w:rsid w:val="0092387D"/>
    <w:rsid w:val="00923888"/>
    <w:rsid w:val="009238CE"/>
    <w:rsid w:val="0092390C"/>
    <w:rsid w:val="00923927"/>
    <w:rsid w:val="0092393F"/>
    <w:rsid w:val="0092398F"/>
    <w:rsid w:val="009239C6"/>
    <w:rsid w:val="009239D1"/>
    <w:rsid w:val="009239F7"/>
    <w:rsid w:val="00923A56"/>
    <w:rsid w:val="00923A5F"/>
    <w:rsid w:val="00923A75"/>
    <w:rsid w:val="00923A89"/>
    <w:rsid w:val="00923A8D"/>
    <w:rsid w:val="00923A9E"/>
    <w:rsid w:val="00923AC3"/>
    <w:rsid w:val="00923B1E"/>
    <w:rsid w:val="00923B25"/>
    <w:rsid w:val="00923B33"/>
    <w:rsid w:val="00923B34"/>
    <w:rsid w:val="00923BB8"/>
    <w:rsid w:val="00923C42"/>
    <w:rsid w:val="00923D24"/>
    <w:rsid w:val="00923D62"/>
    <w:rsid w:val="00923DD4"/>
    <w:rsid w:val="00923DF6"/>
    <w:rsid w:val="00923E69"/>
    <w:rsid w:val="00923F01"/>
    <w:rsid w:val="00923F8C"/>
    <w:rsid w:val="00923F9D"/>
    <w:rsid w:val="00923FB8"/>
    <w:rsid w:val="0092400C"/>
    <w:rsid w:val="0092403A"/>
    <w:rsid w:val="0092409B"/>
    <w:rsid w:val="0092409E"/>
    <w:rsid w:val="0092412F"/>
    <w:rsid w:val="0092413E"/>
    <w:rsid w:val="0092416A"/>
    <w:rsid w:val="009241A2"/>
    <w:rsid w:val="009241AE"/>
    <w:rsid w:val="009241C1"/>
    <w:rsid w:val="009241C7"/>
    <w:rsid w:val="009241D3"/>
    <w:rsid w:val="0092429C"/>
    <w:rsid w:val="009242FB"/>
    <w:rsid w:val="0092433F"/>
    <w:rsid w:val="009243AF"/>
    <w:rsid w:val="009243C7"/>
    <w:rsid w:val="0092441A"/>
    <w:rsid w:val="0092445C"/>
    <w:rsid w:val="00924468"/>
    <w:rsid w:val="009244A1"/>
    <w:rsid w:val="009244DA"/>
    <w:rsid w:val="009244E2"/>
    <w:rsid w:val="009244F9"/>
    <w:rsid w:val="0092454B"/>
    <w:rsid w:val="009245C5"/>
    <w:rsid w:val="009245D8"/>
    <w:rsid w:val="009245ED"/>
    <w:rsid w:val="00924620"/>
    <w:rsid w:val="009246AB"/>
    <w:rsid w:val="009246E0"/>
    <w:rsid w:val="00924793"/>
    <w:rsid w:val="009247AF"/>
    <w:rsid w:val="009247C0"/>
    <w:rsid w:val="00924850"/>
    <w:rsid w:val="009248B0"/>
    <w:rsid w:val="009248DF"/>
    <w:rsid w:val="00924967"/>
    <w:rsid w:val="009249F1"/>
    <w:rsid w:val="00924A22"/>
    <w:rsid w:val="00924A2D"/>
    <w:rsid w:val="00924A40"/>
    <w:rsid w:val="00924A53"/>
    <w:rsid w:val="00924A5A"/>
    <w:rsid w:val="00924AB3"/>
    <w:rsid w:val="00924B29"/>
    <w:rsid w:val="00924B39"/>
    <w:rsid w:val="00924B48"/>
    <w:rsid w:val="00924B7E"/>
    <w:rsid w:val="00924BB7"/>
    <w:rsid w:val="00924BBF"/>
    <w:rsid w:val="00924BFC"/>
    <w:rsid w:val="00924C1F"/>
    <w:rsid w:val="00924C2C"/>
    <w:rsid w:val="00924CA3"/>
    <w:rsid w:val="00924CCE"/>
    <w:rsid w:val="00924CE6"/>
    <w:rsid w:val="00924D5B"/>
    <w:rsid w:val="00924D5C"/>
    <w:rsid w:val="00924D87"/>
    <w:rsid w:val="00924DC7"/>
    <w:rsid w:val="00924E18"/>
    <w:rsid w:val="00924E33"/>
    <w:rsid w:val="00924E74"/>
    <w:rsid w:val="00924E85"/>
    <w:rsid w:val="00924ED7"/>
    <w:rsid w:val="00924F12"/>
    <w:rsid w:val="00924F7A"/>
    <w:rsid w:val="00924FC2"/>
    <w:rsid w:val="00924FFA"/>
    <w:rsid w:val="00924FFC"/>
    <w:rsid w:val="00925002"/>
    <w:rsid w:val="0092500F"/>
    <w:rsid w:val="0092504C"/>
    <w:rsid w:val="009250D4"/>
    <w:rsid w:val="009250E4"/>
    <w:rsid w:val="00925115"/>
    <w:rsid w:val="00925187"/>
    <w:rsid w:val="009251C5"/>
    <w:rsid w:val="009251E7"/>
    <w:rsid w:val="0092521C"/>
    <w:rsid w:val="00925241"/>
    <w:rsid w:val="00925267"/>
    <w:rsid w:val="00925274"/>
    <w:rsid w:val="0092528A"/>
    <w:rsid w:val="009252FE"/>
    <w:rsid w:val="00925343"/>
    <w:rsid w:val="00925368"/>
    <w:rsid w:val="00925419"/>
    <w:rsid w:val="0092541F"/>
    <w:rsid w:val="0092546C"/>
    <w:rsid w:val="00925480"/>
    <w:rsid w:val="0092549B"/>
    <w:rsid w:val="009254B1"/>
    <w:rsid w:val="009254B9"/>
    <w:rsid w:val="009254C8"/>
    <w:rsid w:val="009254D0"/>
    <w:rsid w:val="0092554A"/>
    <w:rsid w:val="00925567"/>
    <w:rsid w:val="00925589"/>
    <w:rsid w:val="009255C2"/>
    <w:rsid w:val="009255E3"/>
    <w:rsid w:val="009255FD"/>
    <w:rsid w:val="009256A3"/>
    <w:rsid w:val="009256E6"/>
    <w:rsid w:val="00925745"/>
    <w:rsid w:val="0092576E"/>
    <w:rsid w:val="009257A2"/>
    <w:rsid w:val="009257AC"/>
    <w:rsid w:val="00925844"/>
    <w:rsid w:val="0092585A"/>
    <w:rsid w:val="009258A2"/>
    <w:rsid w:val="009258EC"/>
    <w:rsid w:val="00925969"/>
    <w:rsid w:val="009259A2"/>
    <w:rsid w:val="009259FA"/>
    <w:rsid w:val="00925A1B"/>
    <w:rsid w:val="00925AAA"/>
    <w:rsid w:val="00925AD9"/>
    <w:rsid w:val="00925AEE"/>
    <w:rsid w:val="00925AF9"/>
    <w:rsid w:val="00925B1C"/>
    <w:rsid w:val="00925B4F"/>
    <w:rsid w:val="00925BB7"/>
    <w:rsid w:val="00925BD5"/>
    <w:rsid w:val="00925C77"/>
    <w:rsid w:val="00925CFB"/>
    <w:rsid w:val="00925D02"/>
    <w:rsid w:val="00925D34"/>
    <w:rsid w:val="00925D43"/>
    <w:rsid w:val="00925D80"/>
    <w:rsid w:val="00925E4C"/>
    <w:rsid w:val="00925E9E"/>
    <w:rsid w:val="00925EB6"/>
    <w:rsid w:val="00925EF0"/>
    <w:rsid w:val="00925F2A"/>
    <w:rsid w:val="00925F54"/>
    <w:rsid w:val="00925FB6"/>
    <w:rsid w:val="00926007"/>
    <w:rsid w:val="0092601F"/>
    <w:rsid w:val="00926053"/>
    <w:rsid w:val="0092606F"/>
    <w:rsid w:val="009260A9"/>
    <w:rsid w:val="009260BF"/>
    <w:rsid w:val="009260D3"/>
    <w:rsid w:val="009260EA"/>
    <w:rsid w:val="009261D9"/>
    <w:rsid w:val="00926217"/>
    <w:rsid w:val="0092621B"/>
    <w:rsid w:val="0092622C"/>
    <w:rsid w:val="0092629E"/>
    <w:rsid w:val="00926345"/>
    <w:rsid w:val="00926383"/>
    <w:rsid w:val="00926429"/>
    <w:rsid w:val="00926434"/>
    <w:rsid w:val="0092644D"/>
    <w:rsid w:val="0092645E"/>
    <w:rsid w:val="009264EC"/>
    <w:rsid w:val="00926519"/>
    <w:rsid w:val="009265AE"/>
    <w:rsid w:val="009265BD"/>
    <w:rsid w:val="009265E6"/>
    <w:rsid w:val="009265EE"/>
    <w:rsid w:val="0092662C"/>
    <w:rsid w:val="0092665D"/>
    <w:rsid w:val="0092667A"/>
    <w:rsid w:val="009266A6"/>
    <w:rsid w:val="009266EF"/>
    <w:rsid w:val="0092670B"/>
    <w:rsid w:val="0092678A"/>
    <w:rsid w:val="0092679F"/>
    <w:rsid w:val="009267A3"/>
    <w:rsid w:val="009267B8"/>
    <w:rsid w:val="009267C3"/>
    <w:rsid w:val="009267DF"/>
    <w:rsid w:val="009267E1"/>
    <w:rsid w:val="00926822"/>
    <w:rsid w:val="009268AE"/>
    <w:rsid w:val="009268D9"/>
    <w:rsid w:val="00926987"/>
    <w:rsid w:val="0092698B"/>
    <w:rsid w:val="00926998"/>
    <w:rsid w:val="0092699A"/>
    <w:rsid w:val="009269FC"/>
    <w:rsid w:val="00926A1F"/>
    <w:rsid w:val="00926A99"/>
    <w:rsid w:val="00926AAE"/>
    <w:rsid w:val="00926AE1"/>
    <w:rsid w:val="00926AE4"/>
    <w:rsid w:val="00926AE5"/>
    <w:rsid w:val="00926B63"/>
    <w:rsid w:val="00926B71"/>
    <w:rsid w:val="00926BFC"/>
    <w:rsid w:val="00926C72"/>
    <w:rsid w:val="00926CA8"/>
    <w:rsid w:val="00926CC5"/>
    <w:rsid w:val="00926D3C"/>
    <w:rsid w:val="00926D6B"/>
    <w:rsid w:val="00926D9B"/>
    <w:rsid w:val="00926DAE"/>
    <w:rsid w:val="00926DB1"/>
    <w:rsid w:val="00926E18"/>
    <w:rsid w:val="00926E4B"/>
    <w:rsid w:val="00926E64"/>
    <w:rsid w:val="00926E94"/>
    <w:rsid w:val="00926EF2"/>
    <w:rsid w:val="00926EF4"/>
    <w:rsid w:val="00926F0F"/>
    <w:rsid w:val="00926F13"/>
    <w:rsid w:val="00926F27"/>
    <w:rsid w:val="00927009"/>
    <w:rsid w:val="00927015"/>
    <w:rsid w:val="00927072"/>
    <w:rsid w:val="009270E6"/>
    <w:rsid w:val="009270F6"/>
    <w:rsid w:val="0092715B"/>
    <w:rsid w:val="0092716A"/>
    <w:rsid w:val="009271BE"/>
    <w:rsid w:val="009271F5"/>
    <w:rsid w:val="00927211"/>
    <w:rsid w:val="0092721A"/>
    <w:rsid w:val="0092723C"/>
    <w:rsid w:val="00927275"/>
    <w:rsid w:val="00927280"/>
    <w:rsid w:val="00927290"/>
    <w:rsid w:val="009272BC"/>
    <w:rsid w:val="009272BD"/>
    <w:rsid w:val="0092734E"/>
    <w:rsid w:val="00927381"/>
    <w:rsid w:val="00927396"/>
    <w:rsid w:val="009273B5"/>
    <w:rsid w:val="009274C8"/>
    <w:rsid w:val="009274D1"/>
    <w:rsid w:val="00927509"/>
    <w:rsid w:val="0092758D"/>
    <w:rsid w:val="0092758E"/>
    <w:rsid w:val="00927596"/>
    <w:rsid w:val="0092765C"/>
    <w:rsid w:val="00927692"/>
    <w:rsid w:val="0092770A"/>
    <w:rsid w:val="0092772F"/>
    <w:rsid w:val="00927743"/>
    <w:rsid w:val="00927757"/>
    <w:rsid w:val="0092775E"/>
    <w:rsid w:val="009277EE"/>
    <w:rsid w:val="009278B2"/>
    <w:rsid w:val="00927931"/>
    <w:rsid w:val="00927934"/>
    <w:rsid w:val="00927944"/>
    <w:rsid w:val="0092798C"/>
    <w:rsid w:val="0092798E"/>
    <w:rsid w:val="00927999"/>
    <w:rsid w:val="009279E2"/>
    <w:rsid w:val="00927A4E"/>
    <w:rsid w:val="00927A55"/>
    <w:rsid w:val="00927A5E"/>
    <w:rsid w:val="00927A5F"/>
    <w:rsid w:val="00927AC5"/>
    <w:rsid w:val="00927ACD"/>
    <w:rsid w:val="00927B54"/>
    <w:rsid w:val="00927B55"/>
    <w:rsid w:val="00927BA1"/>
    <w:rsid w:val="00927BEC"/>
    <w:rsid w:val="00927BF4"/>
    <w:rsid w:val="00927C15"/>
    <w:rsid w:val="00927C57"/>
    <w:rsid w:val="00927C84"/>
    <w:rsid w:val="00927CEF"/>
    <w:rsid w:val="00927CF1"/>
    <w:rsid w:val="00927DA4"/>
    <w:rsid w:val="00927DA5"/>
    <w:rsid w:val="00927DD1"/>
    <w:rsid w:val="00927E1D"/>
    <w:rsid w:val="00927E2F"/>
    <w:rsid w:val="00927E4D"/>
    <w:rsid w:val="00927E6B"/>
    <w:rsid w:val="00927E79"/>
    <w:rsid w:val="00927E96"/>
    <w:rsid w:val="00927E98"/>
    <w:rsid w:val="00927EEE"/>
    <w:rsid w:val="00927EF7"/>
    <w:rsid w:val="00927EFC"/>
    <w:rsid w:val="00927F81"/>
    <w:rsid w:val="00927F9B"/>
    <w:rsid w:val="00927FC0"/>
    <w:rsid w:val="00927FF7"/>
    <w:rsid w:val="0092BD79"/>
    <w:rsid w:val="0092FC4C"/>
    <w:rsid w:val="0093002C"/>
    <w:rsid w:val="00930039"/>
    <w:rsid w:val="0093005D"/>
    <w:rsid w:val="00930064"/>
    <w:rsid w:val="009300F4"/>
    <w:rsid w:val="00930146"/>
    <w:rsid w:val="0093018A"/>
    <w:rsid w:val="009301EC"/>
    <w:rsid w:val="009301F0"/>
    <w:rsid w:val="0093026A"/>
    <w:rsid w:val="00930274"/>
    <w:rsid w:val="00930280"/>
    <w:rsid w:val="00930314"/>
    <w:rsid w:val="0093035B"/>
    <w:rsid w:val="009303A3"/>
    <w:rsid w:val="009303E6"/>
    <w:rsid w:val="0093047D"/>
    <w:rsid w:val="00930484"/>
    <w:rsid w:val="009304AA"/>
    <w:rsid w:val="00930587"/>
    <w:rsid w:val="009305AF"/>
    <w:rsid w:val="009305B3"/>
    <w:rsid w:val="00930655"/>
    <w:rsid w:val="0093069B"/>
    <w:rsid w:val="009306EA"/>
    <w:rsid w:val="009306F3"/>
    <w:rsid w:val="00930760"/>
    <w:rsid w:val="009307B7"/>
    <w:rsid w:val="009307DA"/>
    <w:rsid w:val="009308CE"/>
    <w:rsid w:val="0093097B"/>
    <w:rsid w:val="00930996"/>
    <w:rsid w:val="00930A0E"/>
    <w:rsid w:val="00930A14"/>
    <w:rsid w:val="00930A7C"/>
    <w:rsid w:val="00930A7F"/>
    <w:rsid w:val="00930A9E"/>
    <w:rsid w:val="00930ACF"/>
    <w:rsid w:val="00930B47"/>
    <w:rsid w:val="00930B86"/>
    <w:rsid w:val="00930C21"/>
    <w:rsid w:val="00930C68"/>
    <w:rsid w:val="00930D34"/>
    <w:rsid w:val="00930DE0"/>
    <w:rsid w:val="00930E32"/>
    <w:rsid w:val="00930E68"/>
    <w:rsid w:val="00930E73"/>
    <w:rsid w:val="00930EB6"/>
    <w:rsid w:val="00930EED"/>
    <w:rsid w:val="00930F22"/>
    <w:rsid w:val="00930F3C"/>
    <w:rsid w:val="00930F43"/>
    <w:rsid w:val="00930F5A"/>
    <w:rsid w:val="00930F5B"/>
    <w:rsid w:val="00930F6D"/>
    <w:rsid w:val="00930F9D"/>
    <w:rsid w:val="00930FA3"/>
    <w:rsid w:val="00930FC3"/>
    <w:rsid w:val="00931082"/>
    <w:rsid w:val="00931093"/>
    <w:rsid w:val="009310B0"/>
    <w:rsid w:val="0093113B"/>
    <w:rsid w:val="0093115F"/>
    <w:rsid w:val="00931162"/>
    <w:rsid w:val="00931166"/>
    <w:rsid w:val="009311B0"/>
    <w:rsid w:val="009311BF"/>
    <w:rsid w:val="009311D6"/>
    <w:rsid w:val="00931224"/>
    <w:rsid w:val="009312E1"/>
    <w:rsid w:val="0093133C"/>
    <w:rsid w:val="0093138C"/>
    <w:rsid w:val="009313A0"/>
    <w:rsid w:val="009314A8"/>
    <w:rsid w:val="00931551"/>
    <w:rsid w:val="009315E4"/>
    <w:rsid w:val="009315E8"/>
    <w:rsid w:val="009315F7"/>
    <w:rsid w:val="00931602"/>
    <w:rsid w:val="0093169F"/>
    <w:rsid w:val="009316F4"/>
    <w:rsid w:val="0093175F"/>
    <w:rsid w:val="00931776"/>
    <w:rsid w:val="00931788"/>
    <w:rsid w:val="00931801"/>
    <w:rsid w:val="00931803"/>
    <w:rsid w:val="00931810"/>
    <w:rsid w:val="00931875"/>
    <w:rsid w:val="00931876"/>
    <w:rsid w:val="00931879"/>
    <w:rsid w:val="00931880"/>
    <w:rsid w:val="0093188C"/>
    <w:rsid w:val="0093188E"/>
    <w:rsid w:val="0093189B"/>
    <w:rsid w:val="009318E9"/>
    <w:rsid w:val="00931AE9"/>
    <w:rsid w:val="00931AF3"/>
    <w:rsid w:val="00931B0B"/>
    <w:rsid w:val="00931B16"/>
    <w:rsid w:val="00931B19"/>
    <w:rsid w:val="00931B87"/>
    <w:rsid w:val="00931B8B"/>
    <w:rsid w:val="00931BB4"/>
    <w:rsid w:val="00931C0B"/>
    <w:rsid w:val="00931C2D"/>
    <w:rsid w:val="00931CC9"/>
    <w:rsid w:val="00931D2A"/>
    <w:rsid w:val="00931D8F"/>
    <w:rsid w:val="00931E37"/>
    <w:rsid w:val="00931E5A"/>
    <w:rsid w:val="00931E7B"/>
    <w:rsid w:val="00931F4C"/>
    <w:rsid w:val="00931F56"/>
    <w:rsid w:val="00931FAF"/>
    <w:rsid w:val="00931FB9"/>
    <w:rsid w:val="0093203A"/>
    <w:rsid w:val="0093209C"/>
    <w:rsid w:val="0093211A"/>
    <w:rsid w:val="0093211C"/>
    <w:rsid w:val="00932125"/>
    <w:rsid w:val="0093217F"/>
    <w:rsid w:val="00932190"/>
    <w:rsid w:val="009321E7"/>
    <w:rsid w:val="0093220A"/>
    <w:rsid w:val="0093226A"/>
    <w:rsid w:val="00932280"/>
    <w:rsid w:val="00932293"/>
    <w:rsid w:val="009322E9"/>
    <w:rsid w:val="0093232E"/>
    <w:rsid w:val="009323D7"/>
    <w:rsid w:val="009323D8"/>
    <w:rsid w:val="009323F4"/>
    <w:rsid w:val="0093245E"/>
    <w:rsid w:val="00932473"/>
    <w:rsid w:val="00932478"/>
    <w:rsid w:val="009324B8"/>
    <w:rsid w:val="009324D8"/>
    <w:rsid w:val="00932501"/>
    <w:rsid w:val="0093256C"/>
    <w:rsid w:val="00932571"/>
    <w:rsid w:val="009325A1"/>
    <w:rsid w:val="009325AD"/>
    <w:rsid w:val="009325D5"/>
    <w:rsid w:val="009325ED"/>
    <w:rsid w:val="0093263B"/>
    <w:rsid w:val="009326C5"/>
    <w:rsid w:val="00932724"/>
    <w:rsid w:val="0093273C"/>
    <w:rsid w:val="0093273E"/>
    <w:rsid w:val="009327AB"/>
    <w:rsid w:val="0093281E"/>
    <w:rsid w:val="0093285B"/>
    <w:rsid w:val="0093286D"/>
    <w:rsid w:val="009328AB"/>
    <w:rsid w:val="009328AD"/>
    <w:rsid w:val="009328B4"/>
    <w:rsid w:val="009328C7"/>
    <w:rsid w:val="009329B4"/>
    <w:rsid w:val="009329D6"/>
    <w:rsid w:val="00932A1B"/>
    <w:rsid w:val="00932A4D"/>
    <w:rsid w:val="00932A57"/>
    <w:rsid w:val="00932AED"/>
    <w:rsid w:val="00932B79"/>
    <w:rsid w:val="00932BE1"/>
    <w:rsid w:val="00932C0D"/>
    <w:rsid w:val="00932C41"/>
    <w:rsid w:val="00932C81"/>
    <w:rsid w:val="00932CA2"/>
    <w:rsid w:val="00932CF6"/>
    <w:rsid w:val="00932D4D"/>
    <w:rsid w:val="00932D67"/>
    <w:rsid w:val="00932D69"/>
    <w:rsid w:val="00932DA6"/>
    <w:rsid w:val="00932DD9"/>
    <w:rsid w:val="00932E39"/>
    <w:rsid w:val="00932E3B"/>
    <w:rsid w:val="00932E7D"/>
    <w:rsid w:val="00932ED8"/>
    <w:rsid w:val="00932F6E"/>
    <w:rsid w:val="00933062"/>
    <w:rsid w:val="0093308B"/>
    <w:rsid w:val="0093309B"/>
    <w:rsid w:val="0093311D"/>
    <w:rsid w:val="0093314B"/>
    <w:rsid w:val="0093314D"/>
    <w:rsid w:val="00933166"/>
    <w:rsid w:val="00933227"/>
    <w:rsid w:val="00933258"/>
    <w:rsid w:val="009332B9"/>
    <w:rsid w:val="00933309"/>
    <w:rsid w:val="00933318"/>
    <w:rsid w:val="0093335D"/>
    <w:rsid w:val="009333A2"/>
    <w:rsid w:val="009333AA"/>
    <w:rsid w:val="009333BA"/>
    <w:rsid w:val="00933452"/>
    <w:rsid w:val="00933454"/>
    <w:rsid w:val="00933498"/>
    <w:rsid w:val="009334EB"/>
    <w:rsid w:val="0093356E"/>
    <w:rsid w:val="009335A8"/>
    <w:rsid w:val="009335B0"/>
    <w:rsid w:val="009335C3"/>
    <w:rsid w:val="009335DB"/>
    <w:rsid w:val="009335F4"/>
    <w:rsid w:val="009335F5"/>
    <w:rsid w:val="00933629"/>
    <w:rsid w:val="00933687"/>
    <w:rsid w:val="009336C3"/>
    <w:rsid w:val="00933709"/>
    <w:rsid w:val="00933762"/>
    <w:rsid w:val="009337A0"/>
    <w:rsid w:val="009337BC"/>
    <w:rsid w:val="0093380E"/>
    <w:rsid w:val="00933852"/>
    <w:rsid w:val="0093387D"/>
    <w:rsid w:val="0093389B"/>
    <w:rsid w:val="009339D3"/>
    <w:rsid w:val="00933A03"/>
    <w:rsid w:val="00933A8D"/>
    <w:rsid w:val="00933B5C"/>
    <w:rsid w:val="00933BDD"/>
    <w:rsid w:val="00933C2F"/>
    <w:rsid w:val="00933C46"/>
    <w:rsid w:val="00933C72"/>
    <w:rsid w:val="00933C89"/>
    <w:rsid w:val="00933D15"/>
    <w:rsid w:val="00933D44"/>
    <w:rsid w:val="00933D74"/>
    <w:rsid w:val="00933DB1"/>
    <w:rsid w:val="00933DE6"/>
    <w:rsid w:val="00933DF9"/>
    <w:rsid w:val="00933EBC"/>
    <w:rsid w:val="00933F9B"/>
    <w:rsid w:val="00933FC8"/>
    <w:rsid w:val="009340CF"/>
    <w:rsid w:val="009340D5"/>
    <w:rsid w:val="009340F4"/>
    <w:rsid w:val="0093410A"/>
    <w:rsid w:val="00934150"/>
    <w:rsid w:val="00934162"/>
    <w:rsid w:val="00934173"/>
    <w:rsid w:val="00934191"/>
    <w:rsid w:val="009341D1"/>
    <w:rsid w:val="009341D7"/>
    <w:rsid w:val="009341D8"/>
    <w:rsid w:val="009341E1"/>
    <w:rsid w:val="009341E5"/>
    <w:rsid w:val="00934208"/>
    <w:rsid w:val="00934210"/>
    <w:rsid w:val="00934232"/>
    <w:rsid w:val="00934258"/>
    <w:rsid w:val="0093425F"/>
    <w:rsid w:val="009342B0"/>
    <w:rsid w:val="009342B5"/>
    <w:rsid w:val="0093434E"/>
    <w:rsid w:val="00934394"/>
    <w:rsid w:val="009343A2"/>
    <w:rsid w:val="009343AF"/>
    <w:rsid w:val="009343C8"/>
    <w:rsid w:val="0093440B"/>
    <w:rsid w:val="009344D7"/>
    <w:rsid w:val="00934518"/>
    <w:rsid w:val="00934546"/>
    <w:rsid w:val="00934568"/>
    <w:rsid w:val="0093456B"/>
    <w:rsid w:val="009345A6"/>
    <w:rsid w:val="009345AD"/>
    <w:rsid w:val="009345B3"/>
    <w:rsid w:val="00934637"/>
    <w:rsid w:val="0093463E"/>
    <w:rsid w:val="0093466B"/>
    <w:rsid w:val="0093466D"/>
    <w:rsid w:val="0093467B"/>
    <w:rsid w:val="00934684"/>
    <w:rsid w:val="009346F8"/>
    <w:rsid w:val="009347F4"/>
    <w:rsid w:val="00934817"/>
    <w:rsid w:val="00934829"/>
    <w:rsid w:val="00934839"/>
    <w:rsid w:val="0093485C"/>
    <w:rsid w:val="00934884"/>
    <w:rsid w:val="009348C8"/>
    <w:rsid w:val="00934989"/>
    <w:rsid w:val="00934A2E"/>
    <w:rsid w:val="00934A59"/>
    <w:rsid w:val="00934A92"/>
    <w:rsid w:val="00934B0E"/>
    <w:rsid w:val="00934B90"/>
    <w:rsid w:val="00934B98"/>
    <w:rsid w:val="00934BCE"/>
    <w:rsid w:val="00934C0E"/>
    <w:rsid w:val="00934C65"/>
    <w:rsid w:val="00934D48"/>
    <w:rsid w:val="00934D7E"/>
    <w:rsid w:val="00934D87"/>
    <w:rsid w:val="00934D8E"/>
    <w:rsid w:val="00934DFC"/>
    <w:rsid w:val="00934E41"/>
    <w:rsid w:val="00934EA7"/>
    <w:rsid w:val="00934EE5"/>
    <w:rsid w:val="00934F38"/>
    <w:rsid w:val="00934FBC"/>
    <w:rsid w:val="00934FF3"/>
    <w:rsid w:val="0093508F"/>
    <w:rsid w:val="009350C0"/>
    <w:rsid w:val="009350D3"/>
    <w:rsid w:val="00935125"/>
    <w:rsid w:val="00935128"/>
    <w:rsid w:val="00935168"/>
    <w:rsid w:val="009352A9"/>
    <w:rsid w:val="00935334"/>
    <w:rsid w:val="0093533E"/>
    <w:rsid w:val="00935354"/>
    <w:rsid w:val="00935376"/>
    <w:rsid w:val="00935386"/>
    <w:rsid w:val="0093538A"/>
    <w:rsid w:val="00935401"/>
    <w:rsid w:val="009354DA"/>
    <w:rsid w:val="009355ED"/>
    <w:rsid w:val="009355F4"/>
    <w:rsid w:val="0093562C"/>
    <w:rsid w:val="0093564C"/>
    <w:rsid w:val="0093571F"/>
    <w:rsid w:val="0093579C"/>
    <w:rsid w:val="00935826"/>
    <w:rsid w:val="00935848"/>
    <w:rsid w:val="009358AE"/>
    <w:rsid w:val="009358DA"/>
    <w:rsid w:val="009358ED"/>
    <w:rsid w:val="0093590A"/>
    <w:rsid w:val="00935981"/>
    <w:rsid w:val="0093598B"/>
    <w:rsid w:val="00935A75"/>
    <w:rsid w:val="00935AD1"/>
    <w:rsid w:val="00935AF7"/>
    <w:rsid w:val="00935AFD"/>
    <w:rsid w:val="00935B11"/>
    <w:rsid w:val="00935B25"/>
    <w:rsid w:val="00935B55"/>
    <w:rsid w:val="00935B86"/>
    <w:rsid w:val="00935BE4"/>
    <w:rsid w:val="00935BE9"/>
    <w:rsid w:val="00935BF5"/>
    <w:rsid w:val="00935C72"/>
    <w:rsid w:val="00935CB9"/>
    <w:rsid w:val="00935CC4"/>
    <w:rsid w:val="00935CE0"/>
    <w:rsid w:val="00935D39"/>
    <w:rsid w:val="00935E8E"/>
    <w:rsid w:val="00935EDD"/>
    <w:rsid w:val="00935EF9"/>
    <w:rsid w:val="00935F7D"/>
    <w:rsid w:val="00935F9C"/>
    <w:rsid w:val="00935FEE"/>
    <w:rsid w:val="0093604E"/>
    <w:rsid w:val="0093605A"/>
    <w:rsid w:val="00936090"/>
    <w:rsid w:val="009360E1"/>
    <w:rsid w:val="00936101"/>
    <w:rsid w:val="00936112"/>
    <w:rsid w:val="00936160"/>
    <w:rsid w:val="00936164"/>
    <w:rsid w:val="009361D1"/>
    <w:rsid w:val="009361EB"/>
    <w:rsid w:val="009361F7"/>
    <w:rsid w:val="009361F8"/>
    <w:rsid w:val="00936220"/>
    <w:rsid w:val="0093624A"/>
    <w:rsid w:val="00936284"/>
    <w:rsid w:val="009362C3"/>
    <w:rsid w:val="009362D5"/>
    <w:rsid w:val="009362F3"/>
    <w:rsid w:val="00936330"/>
    <w:rsid w:val="009363B8"/>
    <w:rsid w:val="00936464"/>
    <w:rsid w:val="0093649D"/>
    <w:rsid w:val="009364AC"/>
    <w:rsid w:val="009364BA"/>
    <w:rsid w:val="009364BC"/>
    <w:rsid w:val="00936562"/>
    <w:rsid w:val="009365A9"/>
    <w:rsid w:val="009365BF"/>
    <w:rsid w:val="00936714"/>
    <w:rsid w:val="0093678E"/>
    <w:rsid w:val="009367E5"/>
    <w:rsid w:val="00936838"/>
    <w:rsid w:val="009368DD"/>
    <w:rsid w:val="00936914"/>
    <w:rsid w:val="0093691C"/>
    <w:rsid w:val="00936930"/>
    <w:rsid w:val="009369CE"/>
    <w:rsid w:val="009369DE"/>
    <w:rsid w:val="009369E3"/>
    <w:rsid w:val="009369EC"/>
    <w:rsid w:val="00936A72"/>
    <w:rsid w:val="00936AC6"/>
    <w:rsid w:val="00936ACF"/>
    <w:rsid w:val="00936AEB"/>
    <w:rsid w:val="00936AF8"/>
    <w:rsid w:val="00936B5D"/>
    <w:rsid w:val="00936C0C"/>
    <w:rsid w:val="00936CE3"/>
    <w:rsid w:val="00936CE9"/>
    <w:rsid w:val="00936CF6"/>
    <w:rsid w:val="00936D03"/>
    <w:rsid w:val="00936D19"/>
    <w:rsid w:val="00936D1E"/>
    <w:rsid w:val="00936D7A"/>
    <w:rsid w:val="00936DF1"/>
    <w:rsid w:val="00936E90"/>
    <w:rsid w:val="00936EBE"/>
    <w:rsid w:val="00936F03"/>
    <w:rsid w:val="00936F09"/>
    <w:rsid w:val="00936F96"/>
    <w:rsid w:val="00936FB6"/>
    <w:rsid w:val="00936FE1"/>
    <w:rsid w:val="00937011"/>
    <w:rsid w:val="00937060"/>
    <w:rsid w:val="0093706B"/>
    <w:rsid w:val="00937083"/>
    <w:rsid w:val="00937096"/>
    <w:rsid w:val="00937154"/>
    <w:rsid w:val="0093719C"/>
    <w:rsid w:val="0093728E"/>
    <w:rsid w:val="009372B3"/>
    <w:rsid w:val="009372B6"/>
    <w:rsid w:val="009372DA"/>
    <w:rsid w:val="009372E3"/>
    <w:rsid w:val="00937319"/>
    <w:rsid w:val="0093734C"/>
    <w:rsid w:val="0093737D"/>
    <w:rsid w:val="009373AA"/>
    <w:rsid w:val="009373D3"/>
    <w:rsid w:val="0093741F"/>
    <w:rsid w:val="00937420"/>
    <w:rsid w:val="00937435"/>
    <w:rsid w:val="0093745E"/>
    <w:rsid w:val="009374BA"/>
    <w:rsid w:val="009374C4"/>
    <w:rsid w:val="009374DF"/>
    <w:rsid w:val="00937578"/>
    <w:rsid w:val="009375A3"/>
    <w:rsid w:val="009375D8"/>
    <w:rsid w:val="00937663"/>
    <w:rsid w:val="009376A7"/>
    <w:rsid w:val="0093770B"/>
    <w:rsid w:val="0093772A"/>
    <w:rsid w:val="00937758"/>
    <w:rsid w:val="00937774"/>
    <w:rsid w:val="00937775"/>
    <w:rsid w:val="009377B2"/>
    <w:rsid w:val="009377DC"/>
    <w:rsid w:val="00937829"/>
    <w:rsid w:val="0093782F"/>
    <w:rsid w:val="00937852"/>
    <w:rsid w:val="0093787C"/>
    <w:rsid w:val="009378EB"/>
    <w:rsid w:val="009378EF"/>
    <w:rsid w:val="0093794A"/>
    <w:rsid w:val="00937965"/>
    <w:rsid w:val="0093796C"/>
    <w:rsid w:val="00937985"/>
    <w:rsid w:val="00937997"/>
    <w:rsid w:val="009379D3"/>
    <w:rsid w:val="009379F0"/>
    <w:rsid w:val="00937A56"/>
    <w:rsid w:val="00937ABB"/>
    <w:rsid w:val="00937ABF"/>
    <w:rsid w:val="00937AC1"/>
    <w:rsid w:val="00937AD7"/>
    <w:rsid w:val="00937ADD"/>
    <w:rsid w:val="00937B34"/>
    <w:rsid w:val="00937B50"/>
    <w:rsid w:val="00937B51"/>
    <w:rsid w:val="00937B73"/>
    <w:rsid w:val="00937C5B"/>
    <w:rsid w:val="00937CA5"/>
    <w:rsid w:val="00937CAB"/>
    <w:rsid w:val="00937CD3"/>
    <w:rsid w:val="00937D5F"/>
    <w:rsid w:val="00937DBD"/>
    <w:rsid w:val="00937DE1"/>
    <w:rsid w:val="00937E2A"/>
    <w:rsid w:val="00937E40"/>
    <w:rsid w:val="00937E89"/>
    <w:rsid w:val="00937E8A"/>
    <w:rsid w:val="00937EBC"/>
    <w:rsid w:val="00937F00"/>
    <w:rsid w:val="00937F4D"/>
    <w:rsid w:val="00937F96"/>
    <w:rsid w:val="00937FB6"/>
    <w:rsid w:val="00937FE1"/>
    <w:rsid w:val="00940015"/>
    <w:rsid w:val="00940088"/>
    <w:rsid w:val="0094009B"/>
    <w:rsid w:val="00940145"/>
    <w:rsid w:val="00940183"/>
    <w:rsid w:val="009401DE"/>
    <w:rsid w:val="009401E3"/>
    <w:rsid w:val="009401E8"/>
    <w:rsid w:val="0094021B"/>
    <w:rsid w:val="00940280"/>
    <w:rsid w:val="009402A2"/>
    <w:rsid w:val="009402A5"/>
    <w:rsid w:val="00940344"/>
    <w:rsid w:val="0094038B"/>
    <w:rsid w:val="009403DF"/>
    <w:rsid w:val="0094044A"/>
    <w:rsid w:val="00940495"/>
    <w:rsid w:val="00940505"/>
    <w:rsid w:val="00940545"/>
    <w:rsid w:val="009405D2"/>
    <w:rsid w:val="009405F3"/>
    <w:rsid w:val="00940620"/>
    <w:rsid w:val="0094062F"/>
    <w:rsid w:val="00940669"/>
    <w:rsid w:val="00940694"/>
    <w:rsid w:val="009406D6"/>
    <w:rsid w:val="00940704"/>
    <w:rsid w:val="00940729"/>
    <w:rsid w:val="00940732"/>
    <w:rsid w:val="0094075F"/>
    <w:rsid w:val="0094078A"/>
    <w:rsid w:val="009407A4"/>
    <w:rsid w:val="0094080F"/>
    <w:rsid w:val="00940836"/>
    <w:rsid w:val="00940847"/>
    <w:rsid w:val="009408A4"/>
    <w:rsid w:val="00940918"/>
    <w:rsid w:val="00940922"/>
    <w:rsid w:val="009409AF"/>
    <w:rsid w:val="009409B3"/>
    <w:rsid w:val="009409C2"/>
    <w:rsid w:val="009409CA"/>
    <w:rsid w:val="009409FF"/>
    <w:rsid w:val="00940AB3"/>
    <w:rsid w:val="00940AB6"/>
    <w:rsid w:val="00940AC8"/>
    <w:rsid w:val="00940B1F"/>
    <w:rsid w:val="00940B56"/>
    <w:rsid w:val="00940C04"/>
    <w:rsid w:val="00940C2A"/>
    <w:rsid w:val="00940C3D"/>
    <w:rsid w:val="00940CB6"/>
    <w:rsid w:val="00940CEF"/>
    <w:rsid w:val="00940D39"/>
    <w:rsid w:val="00940DDA"/>
    <w:rsid w:val="00940DEC"/>
    <w:rsid w:val="00940EAB"/>
    <w:rsid w:val="00940F24"/>
    <w:rsid w:val="00940F54"/>
    <w:rsid w:val="00940F59"/>
    <w:rsid w:val="00940FA4"/>
    <w:rsid w:val="00940FC0"/>
    <w:rsid w:val="0094101B"/>
    <w:rsid w:val="009410C5"/>
    <w:rsid w:val="0094115F"/>
    <w:rsid w:val="009411B4"/>
    <w:rsid w:val="009411BB"/>
    <w:rsid w:val="009411DC"/>
    <w:rsid w:val="00941275"/>
    <w:rsid w:val="00941279"/>
    <w:rsid w:val="00941286"/>
    <w:rsid w:val="009412CB"/>
    <w:rsid w:val="009412CC"/>
    <w:rsid w:val="00941387"/>
    <w:rsid w:val="00941388"/>
    <w:rsid w:val="009413E2"/>
    <w:rsid w:val="00941407"/>
    <w:rsid w:val="00941454"/>
    <w:rsid w:val="009414D6"/>
    <w:rsid w:val="009414E7"/>
    <w:rsid w:val="0094153D"/>
    <w:rsid w:val="0094156F"/>
    <w:rsid w:val="00941574"/>
    <w:rsid w:val="00941593"/>
    <w:rsid w:val="009415D9"/>
    <w:rsid w:val="009415EA"/>
    <w:rsid w:val="009415FC"/>
    <w:rsid w:val="0094164F"/>
    <w:rsid w:val="00941668"/>
    <w:rsid w:val="00941677"/>
    <w:rsid w:val="0094167F"/>
    <w:rsid w:val="00941709"/>
    <w:rsid w:val="00941792"/>
    <w:rsid w:val="009417A3"/>
    <w:rsid w:val="009417CA"/>
    <w:rsid w:val="009417DF"/>
    <w:rsid w:val="009417EE"/>
    <w:rsid w:val="00941822"/>
    <w:rsid w:val="00941875"/>
    <w:rsid w:val="0094188B"/>
    <w:rsid w:val="0094189B"/>
    <w:rsid w:val="009418D2"/>
    <w:rsid w:val="009418D3"/>
    <w:rsid w:val="00941909"/>
    <w:rsid w:val="00941A32"/>
    <w:rsid w:val="00941AAA"/>
    <w:rsid w:val="00941AB9"/>
    <w:rsid w:val="00941ACA"/>
    <w:rsid w:val="00941AE0"/>
    <w:rsid w:val="00941AFD"/>
    <w:rsid w:val="00941B1E"/>
    <w:rsid w:val="00941B2A"/>
    <w:rsid w:val="00941B53"/>
    <w:rsid w:val="00941BC1"/>
    <w:rsid w:val="00941BD5"/>
    <w:rsid w:val="00941C5B"/>
    <w:rsid w:val="00941C92"/>
    <w:rsid w:val="00941C9D"/>
    <w:rsid w:val="00941D36"/>
    <w:rsid w:val="00941D4A"/>
    <w:rsid w:val="00941D52"/>
    <w:rsid w:val="00941D96"/>
    <w:rsid w:val="00941DFE"/>
    <w:rsid w:val="00941E2C"/>
    <w:rsid w:val="00941EBE"/>
    <w:rsid w:val="00941F11"/>
    <w:rsid w:val="00941F2C"/>
    <w:rsid w:val="00941F70"/>
    <w:rsid w:val="00942042"/>
    <w:rsid w:val="009420A1"/>
    <w:rsid w:val="009420DC"/>
    <w:rsid w:val="009420FB"/>
    <w:rsid w:val="00942116"/>
    <w:rsid w:val="00942186"/>
    <w:rsid w:val="0094219D"/>
    <w:rsid w:val="009421B0"/>
    <w:rsid w:val="009421CB"/>
    <w:rsid w:val="009421D1"/>
    <w:rsid w:val="009421D6"/>
    <w:rsid w:val="0094220A"/>
    <w:rsid w:val="00942227"/>
    <w:rsid w:val="0094225A"/>
    <w:rsid w:val="00942281"/>
    <w:rsid w:val="009422B5"/>
    <w:rsid w:val="009422FD"/>
    <w:rsid w:val="0094231D"/>
    <w:rsid w:val="0094237E"/>
    <w:rsid w:val="009423A7"/>
    <w:rsid w:val="009423E4"/>
    <w:rsid w:val="009423E6"/>
    <w:rsid w:val="00942492"/>
    <w:rsid w:val="0094254D"/>
    <w:rsid w:val="00942567"/>
    <w:rsid w:val="00942580"/>
    <w:rsid w:val="00942584"/>
    <w:rsid w:val="009425E9"/>
    <w:rsid w:val="009425FA"/>
    <w:rsid w:val="00942606"/>
    <w:rsid w:val="00942607"/>
    <w:rsid w:val="00942648"/>
    <w:rsid w:val="00942654"/>
    <w:rsid w:val="0094265B"/>
    <w:rsid w:val="009426D6"/>
    <w:rsid w:val="009426FF"/>
    <w:rsid w:val="00942768"/>
    <w:rsid w:val="00942784"/>
    <w:rsid w:val="00942796"/>
    <w:rsid w:val="009427B7"/>
    <w:rsid w:val="009427DC"/>
    <w:rsid w:val="0094284B"/>
    <w:rsid w:val="0094284D"/>
    <w:rsid w:val="00942850"/>
    <w:rsid w:val="0094285F"/>
    <w:rsid w:val="0094286D"/>
    <w:rsid w:val="00942882"/>
    <w:rsid w:val="00942923"/>
    <w:rsid w:val="00942A17"/>
    <w:rsid w:val="00942A22"/>
    <w:rsid w:val="00942A7E"/>
    <w:rsid w:val="00942AC4"/>
    <w:rsid w:val="00942B59"/>
    <w:rsid w:val="00942BBE"/>
    <w:rsid w:val="00942BF5"/>
    <w:rsid w:val="00942C2A"/>
    <w:rsid w:val="00942C88"/>
    <w:rsid w:val="00942C9C"/>
    <w:rsid w:val="00942D0D"/>
    <w:rsid w:val="00942D74"/>
    <w:rsid w:val="00942D7F"/>
    <w:rsid w:val="00942DD7"/>
    <w:rsid w:val="00942E0A"/>
    <w:rsid w:val="00942E6E"/>
    <w:rsid w:val="00942EA0"/>
    <w:rsid w:val="00942EA3"/>
    <w:rsid w:val="00942EA6"/>
    <w:rsid w:val="00942EB6"/>
    <w:rsid w:val="00942EED"/>
    <w:rsid w:val="00942EFE"/>
    <w:rsid w:val="00942F40"/>
    <w:rsid w:val="00943013"/>
    <w:rsid w:val="00943027"/>
    <w:rsid w:val="00943036"/>
    <w:rsid w:val="00943072"/>
    <w:rsid w:val="00943082"/>
    <w:rsid w:val="0094310F"/>
    <w:rsid w:val="0094314C"/>
    <w:rsid w:val="00943187"/>
    <w:rsid w:val="009431BC"/>
    <w:rsid w:val="009431C9"/>
    <w:rsid w:val="00943237"/>
    <w:rsid w:val="00943276"/>
    <w:rsid w:val="009432C4"/>
    <w:rsid w:val="009432E5"/>
    <w:rsid w:val="009432FC"/>
    <w:rsid w:val="00943323"/>
    <w:rsid w:val="00943351"/>
    <w:rsid w:val="0094337F"/>
    <w:rsid w:val="009433FD"/>
    <w:rsid w:val="009433FE"/>
    <w:rsid w:val="0094342D"/>
    <w:rsid w:val="0094343A"/>
    <w:rsid w:val="0094344E"/>
    <w:rsid w:val="00943530"/>
    <w:rsid w:val="00943577"/>
    <w:rsid w:val="009435AB"/>
    <w:rsid w:val="00943607"/>
    <w:rsid w:val="00943613"/>
    <w:rsid w:val="0094369A"/>
    <w:rsid w:val="009436C6"/>
    <w:rsid w:val="0094370B"/>
    <w:rsid w:val="00943711"/>
    <w:rsid w:val="00943724"/>
    <w:rsid w:val="0094372A"/>
    <w:rsid w:val="00943739"/>
    <w:rsid w:val="00943846"/>
    <w:rsid w:val="00943847"/>
    <w:rsid w:val="009438A8"/>
    <w:rsid w:val="009438DF"/>
    <w:rsid w:val="009438F9"/>
    <w:rsid w:val="00943972"/>
    <w:rsid w:val="00943989"/>
    <w:rsid w:val="00943995"/>
    <w:rsid w:val="009439FB"/>
    <w:rsid w:val="00943A06"/>
    <w:rsid w:val="00943A12"/>
    <w:rsid w:val="00943A2A"/>
    <w:rsid w:val="00943A5B"/>
    <w:rsid w:val="00943AD1"/>
    <w:rsid w:val="00943AE7"/>
    <w:rsid w:val="00943B21"/>
    <w:rsid w:val="00943B22"/>
    <w:rsid w:val="00943B24"/>
    <w:rsid w:val="00943B38"/>
    <w:rsid w:val="00943B5E"/>
    <w:rsid w:val="00943B74"/>
    <w:rsid w:val="00943B8D"/>
    <w:rsid w:val="00943B9B"/>
    <w:rsid w:val="00943BA2"/>
    <w:rsid w:val="00943BD8"/>
    <w:rsid w:val="00943BE8"/>
    <w:rsid w:val="00943CC9"/>
    <w:rsid w:val="00943CF5"/>
    <w:rsid w:val="00943D64"/>
    <w:rsid w:val="00943E37"/>
    <w:rsid w:val="00943E5C"/>
    <w:rsid w:val="00943EEE"/>
    <w:rsid w:val="00943F0E"/>
    <w:rsid w:val="00943F3F"/>
    <w:rsid w:val="00943FCE"/>
    <w:rsid w:val="00943FF0"/>
    <w:rsid w:val="00944030"/>
    <w:rsid w:val="0094403B"/>
    <w:rsid w:val="00944066"/>
    <w:rsid w:val="009440B5"/>
    <w:rsid w:val="009440C6"/>
    <w:rsid w:val="0094419E"/>
    <w:rsid w:val="00944210"/>
    <w:rsid w:val="0094422C"/>
    <w:rsid w:val="00944233"/>
    <w:rsid w:val="00944238"/>
    <w:rsid w:val="0094426F"/>
    <w:rsid w:val="0094428C"/>
    <w:rsid w:val="009442AF"/>
    <w:rsid w:val="00944301"/>
    <w:rsid w:val="0094435D"/>
    <w:rsid w:val="0094437A"/>
    <w:rsid w:val="009443D3"/>
    <w:rsid w:val="00944427"/>
    <w:rsid w:val="009444BA"/>
    <w:rsid w:val="009444E2"/>
    <w:rsid w:val="0094453D"/>
    <w:rsid w:val="00944551"/>
    <w:rsid w:val="0094458C"/>
    <w:rsid w:val="009445BC"/>
    <w:rsid w:val="00944683"/>
    <w:rsid w:val="0094476D"/>
    <w:rsid w:val="009447A4"/>
    <w:rsid w:val="009447CC"/>
    <w:rsid w:val="009447D0"/>
    <w:rsid w:val="00944834"/>
    <w:rsid w:val="00944843"/>
    <w:rsid w:val="00944874"/>
    <w:rsid w:val="009448AE"/>
    <w:rsid w:val="009448FF"/>
    <w:rsid w:val="00944912"/>
    <w:rsid w:val="00944940"/>
    <w:rsid w:val="0094494B"/>
    <w:rsid w:val="00944969"/>
    <w:rsid w:val="009449A4"/>
    <w:rsid w:val="009449F4"/>
    <w:rsid w:val="00944A73"/>
    <w:rsid w:val="00944ADB"/>
    <w:rsid w:val="00944AEA"/>
    <w:rsid w:val="00944B73"/>
    <w:rsid w:val="00944B9E"/>
    <w:rsid w:val="00944BA8"/>
    <w:rsid w:val="00944C3C"/>
    <w:rsid w:val="00944C95"/>
    <w:rsid w:val="00944D12"/>
    <w:rsid w:val="00944D3B"/>
    <w:rsid w:val="00944D3F"/>
    <w:rsid w:val="00944D97"/>
    <w:rsid w:val="00944DA4"/>
    <w:rsid w:val="00944E8A"/>
    <w:rsid w:val="00944EA0"/>
    <w:rsid w:val="00944ED9"/>
    <w:rsid w:val="00944F35"/>
    <w:rsid w:val="00944F5F"/>
    <w:rsid w:val="00944F68"/>
    <w:rsid w:val="00944F74"/>
    <w:rsid w:val="00945021"/>
    <w:rsid w:val="00945059"/>
    <w:rsid w:val="00945094"/>
    <w:rsid w:val="00945165"/>
    <w:rsid w:val="0094517D"/>
    <w:rsid w:val="0094518C"/>
    <w:rsid w:val="009451B6"/>
    <w:rsid w:val="009451DA"/>
    <w:rsid w:val="0094523F"/>
    <w:rsid w:val="009452D6"/>
    <w:rsid w:val="009452FA"/>
    <w:rsid w:val="0094530E"/>
    <w:rsid w:val="00945325"/>
    <w:rsid w:val="00945361"/>
    <w:rsid w:val="00945387"/>
    <w:rsid w:val="009453C7"/>
    <w:rsid w:val="00945413"/>
    <w:rsid w:val="00945431"/>
    <w:rsid w:val="0094546A"/>
    <w:rsid w:val="0094548C"/>
    <w:rsid w:val="009454A5"/>
    <w:rsid w:val="009454E1"/>
    <w:rsid w:val="00945500"/>
    <w:rsid w:val="00945544"/>
    <w:rsid w:val="0094554C"/>
    <w:rsid w:val="00945558"/>
    <w:rsid w:val="0094557B"/>
    <w:rsid w:val="0094559A"/>
    <w:rsid w:val="009455AB"/>
    <w:rsid w:val="009455CF"/>
    <w:rsid w:val="009455D2"/>
    <w:rsid w:val="009455FB"/>
    <w:rsid w:val="0094563C"/>
    <w:rsid w:val="00945647"/>
    <w:rsid w:val="00945690"/>
    <w:rsid w:val="0094569A"/>
    <w:rsid w:val="009456EF"/>
    <w:rsid w:val="0094573C"/>
    <w:rsid w:val="00945779"/>
    <w:rsid w:val="00945792"/>
    <w:rsid w:val="00945797"/>
    <w:rsid w:val="00945809"/>
    <w:rsid w:val="0094582C"/>
    <w:rsid w:val="00945872"/>
    <w:rsid w:val="0094588F"/>
    <w:rsid w:val="0094594D"/>
    <w:rsid w:val="00945982"/>
    <w:rsid w:val="009459C7"/>
    <w:rsid w:val="009459E2"/>
    <w:rsid w:val="00945A36"/>
    <w:rsid w:val="00945A75"/>
    <w:rsid w:val="00945AA0"/>
    <w:rsid w:val="00945AAA"/>
    <w:rsid w:val="00945ACA"/>
    <w:rsid w:val="00945ACE"/>
    <w:rsid w:val="00945B36"/>
    <w:rsid w:val="00945B69"/>
    <w:rsid w:val="00945B7E"/>
    <w:rsid w:val="00945C0F"/>
    <w:rsid w:val="00945C3C"/>
    <w:rsid w:val="00945C80"/>
    <w:rsid w:val="00945C8D"/>
    <w:rsid w:val="00945D3B"/>
    <w:rsid w:val="00945D61"/>
    <w:rsid w:val="00945D7B"/>
    <w:rsid w:val="00945DA3"/>
    <w:rsid w:val="00945DF6"/>
    <w:rsid w:val="00945E80"/>
    <w:rsid w:val="00945EA4"/>
    <w:rsid w:val="00945ED0"/>
    <w:rsid w:val="00945F6F"/>
    <w:rsid w:val="00945F71"/>
    <w:rsid w:val="00945FA1"/>
    <w:rsid w:val="00945FB2"/>
    <w:rsid w:val="00945FE6"/>
    <w:rsid w:val="0094601E"/>
    <w:rsid w:val="00946079"/>
    <w:rsid w:val="009460E1"/>
    <w:rsid w:val="0094613A"/>
    <w:rsid w:val="0094614C"/>
    <w:rsid w:val="0094615C"/>
    <w:rsid w:val="00946188"/>
    <w:rsid w:val="0094618B"/>
    <w:rsid w:val="009461D9"/>
    <w:rsid w:val="0094625E"/>
    <w:rsid w:val="00946262"/>
    <w:rsid w:val="0094626C"/>
    <w:rsid w:val="0094626E"/>
    <w:rsid w:val="009462BF"/>
    <w:rsid w:val="009462C6"/>
    <w:rsid w:val="00946308"/>
    <w:rsid w:val="00946328"/>
    <w:rsid w:val="00946339"/>
    <w:rsid w:val="00946395"/>
    <w:rsid w:val="009463C7"/>
    <w:rsid w:val="009463CA"/>
    <w:rsid w:val="009463EF"/>
    <w:rsid w:val="00946410"/>
    <w:rsid w:val="009464BB"/>
    <w:rsid w:val="00946539"/>
    <w:rsid w:val="00946554"/>
    <w:rsid w:val="0094657F"/>
    <w:rsid w:val="0094658A"/>
    <w:rsid w:val="00946633"/>
    <w:rsid w:val="00946686"/>
    <w:rsid w:val="009466A9"/>
    <w:rsid w:val="009466E8"/>
    <w:rsid w:val="009466F5"/>
    <w:rsid w:val="0094671A"/>
    <w:rsid w:val="00946769"/>
    <w:rsid w:val="0094677A"/>
    <w:rsid w:val="009467A1"/>
    <w:rsid w:val="00946838"/>
    <w:rsid w:val="0094683E"/>
    <w:rsid w:val="00946888"/>
    <w:rsid w:val="00946921"/>
    <w:rsid w:val="00946948"/>
    <w:rsid w:val="00946965"/>
    <w:rsid w:val="0094697D"/>
    <w:rsid w:val="009469A7"/>
    <w:rsid w:val="00946A01"/>
    <w:rsid w:val="00946A02"/>
    <w:rsid w:val="00946A47"/>
    <w:rsid w:val="00946A4F"/>
    <w:rsid w:val="00946A74"/>
    <w:rsid w:val="00946A7F"/>
    <w:rsid w:val="00946ACB"/>
    <w:rsid w:val="00946AD8"/>
    <w:rsid w:val="00946AFF"/>
    <w:rsid w:val="00946B11"/>
    <w:rsid w:val="00946B5B"/>
    <w:rsid w:val="00946B68"/>
    <w:rsid w:val="00946B8C"/>
    <w:rsid w:val="00946BA0"/>
    <w:rsid w:val="00946C19"/>
    <w:rsid w:val="00946C3B"/>
    <w:rsid w:val="00946CD5"/>
    <w:rsid w:val="00946CF9"/>
    <w:rsid w:val="00946D58"/>
    <w:rsid w:val="00946D85"/>
    <w:rsid w:val="00946DAE"/>
    <w:rsid w:val="00946DBE"/>
    <w:rsid w:val="00946DF1"/>
    <w:rsid w:val="00946E1B"/>
    <w:rsid w:val="00946E1C"/>
    <w:rsid w:val="00946E50"/>
    <w:rsid w:val="00946E93"/>
    <w:rsid w:val="00946EAC"/>
    <w:rsid w:val="00946ED3"/>
    <w:rsid w:val="00946F59"/>
    <w:rsid w:val="00946F9B"/>
    <w:rsid w:val="00946FEA"/>
    <w:rsid w:val="00946FEB"/>
    <w:rsid w:val="00947011"/>
    <w:rsid w:val="009470D6"/>
    <w:rsid w:val="009470EF"/>
    <w:rsid w:val="00947105"/>
    <w:rsid w:val="0094710F"/>
    <w:rsid w:val="00947117"/>
    <w:rsid w:val="00947142"/>
    <w:rsid w:val="00947224"/>
    <w:rsid w:val="0094722B"/>
    <w:rsid w:val="00947257"/>
    <w:rsid w:val="009472EA"/>
    <w:rsid w:val="00947312"/>
    <w:rsid w:val="00947314"/>
    <w:rsid w:val="00947340"/>
    <w:rsid w:val="00947364"/>
    <w:rsid w:val="00947366"/>
    <w:rsid w:val="0094737F"/>
    <w:rsid w:val="009473DB"/>
    <w:rsid w:val="00947405"/>
    <w:rsid w:val="0094740F"/>
    <w:rsid w:val="0094748A"/>
    <w:rsid w:val="009474B3"/>
    <w:rsid w:val="009474BC"/>
    <w:rsid w:val="009474BF"/>
    <w:rsid w:val="00947515"/>
    <w:rsid w:val="0094754D"/>
    <w:rsid w:val="009475CC"/>
    <w:rsid w:val="0094765A"/>
    <w:rsid w:val="00947678"/>
    <w:rsid w:val="009476AD"/>
    <w:rsid w:val="009477C8"/>
    <w:rsid w:val="009477C9"/>
    <w:rsid w:val="0094786B"/>
    <w:rsid w:val="009478CC"/>
    <w:rsid w:val="009478FB"/>
    <w:rsid w:val="0094792F"/>
    <w:rsid w:val="00947935"/>
    <w:rsid w:val="0094794A"/>
    <w:rsid w:val="00947987"/>
    <w:rsid w:val="0094798C"/>
    <w:rsid w:val="0094798E"/>
    <w:rsid w:val="00947A0E"/>
    <w:rsid w:val="00947A53"/>
    <w:rsid w:val="00947A56"/>
    <w:rsid w:val="00947AE6"/>
    <w:rsid w:val="00947B5D"/>
    <w:rsid w:val="00947B76"/>
    <w:rsid w:val="00947BA7"/>
    <w:rsid w:val="00947C0E"/>
    <w:rsid w:val="00947C47"/>
    <w:rsid w:val="00947CC2"/>
    <w:rsid w:val="00947CEE"/>
    <w:rsid w:val="00947D6C"/>
    <w:rsid w:val="00947D89"/>
    <w:rsid w:val="00947D8C"/>
    <w:rsid w:val="00947D98"/>
    <w:rsid w:val="00947E31"/>
    <w:rsid w:val="00947E88"/>
    <w:rsid w:val="00947EA0"/>
    <w:rsid w:val="00947EF2"/>
    <w:rsid w:val="00947FAB"/>
    <w:rsid w:val="00947FD2"/>
    <w:rsid w:val="00947FF3"/>
    <w:rsid w:val="00950001"/>
    <w:rsid w:val="009500B3"/>
    <w:rsid w:val="009500D9"/>
    <w:rsid w:val="009500EF"/>
    <w:rsid w:val="009500F3"/>
    <w:rsid w:val="00950101"/>
    <w:rsid w:val="00950133"/>
    <w:rsid w:val="009501A2"/>
    <w:rsid w:val="009501B8"/>
    <w:rsid w:val="00950234"/>
    <w:rsid w:val="0095024B"/>
    <w:rsid w:val="00950282"/>
    <w:rsid w:val="009502AF"/>
    <w:rsid w:val="009502B4"/>
    <w:rsid w:val="00950327"/>
    <w:rsid w:val="00950355"/>
    <w:rsid w:val="0095037D"/>
    <w:rsid w:val="009503B0"/>
    <w:rsid w:val="00950409"/>
    <w:rsid w:val="00950449"/>
    <w:rsid w:val="0095046A"/>
    <w:rsid w:val="009504B1"/>
    <w:rsid w:val="009504E0"/>
    <w:rsid w:val="00950546"/>
    <w:rsid w:val="00950563"/>
    <w:rsid w:val="0095056B"/>
    <w:rsid w:val="009505D8"/>
    <w:rsid w:val="00950623"/>
    <w:rsid w:val="00950649"/>
    <w:rsid w:val="00950655"/>
    <w:rsid w:val="00950665"/>
    <w:rsid w:val="00950749"/>
    <w:rsid w:val="00950752"/>
    <w:rsid w:val="00950763"/>
    <w:rsid w:val="009507A9"/>
    <w:rsid w:val="00950801"/>
    <w:rsid w:val="0095082F"/>
    <w:rsid w:val="00950898"/>
    <w:rsid w:val="009508B0"/>
    <w:rsid w:val="009508B9"/>
    <w:rsid w:val="00950915"/>
    <w:rsid w:val="00950A15"/>
    <w:rsid w:val="00950A1D"/>
    <w:rsid w:val="00950A3B"/>
    <w:rsid w:val="00950AA0"/>
    <w:rsid w:val="00950ABB"/>
    <w:rsid w:val="00950B1D"/>
    <w:rsid w:val="00950B3A"/>
    <w:rsid w:val="00950B4F"/>
    <w:rsid w:val="00950B91"/>
    <w:rsid w:val="00950C17"/>
    <w:rsid w:val="00950C75"/>
    <w:rsid w:val="00950C85"/>
    <w:rsid w:val="00950C86"/>
    <w:rsid w:val="00950D81"/>
    <w:rsid w:val="00950DB7"/>
    <w:rsid w:val="00950DE9"/>
    <w:rsid w:val="00950E7B"/>
    <w:rsid w:val="00950EDE"/>
    <w:rsid w:val="00950EF6"/>
    <w:rsid w:val="00950F2E"/>
    <w:rsid w:val="00950F6E"/>
    <w:rsid w:val="00950F8A"/>
    <w:rsid w:val="00951023"/>
    <w:rsid w:val="00951044"/>
    <w:rsid w:val="0095104B"/>
    <w:rsid w:val="00951062"/>
    <w:rsid w:val="0095106B"/>
    <w:rsid w:val="00951080"/>
    <w:rsid w:val="009510A5"/>
    <w:rsid w:val="009510B1"/>
    <w:rsid w:val="009510BD"/>
    <w:rsid w:val="009510F2"/>
    <w:rsid w:val="00951101"/>
    <w:rsid w:val="00951177"/>
    <w:rsid w:val="0095117C"/>
    <w:rsid w:val="00951193"/>
    <w:rsid w:val="009511D4"/>
    <w:rsid w:val="009511ED"/>
    <w:rsid w:val="0095121C"/>
    <w:rsid w:val="0095122C"/>
    <w:rsid w:val="009512E6"/>
    <w:rsid w:val="009512FA"/>
    <w:rsid w:val="00951314"/>
    <w:rsid w:val="009513B2"/>
    <w:rsid w:val="009513C7"/>
    <w:rsid w:val="009513CC"/>
    <w:rsid w:val="0095145A"/>
    <w:rsid w:val="009514BE"/>
    <w:rsid w:val="0095154D"/>
    <w:rsid w:val="0095154E"/>
    <w:rsid w:val="009515A0"/>
    <w:rsid w:val="009515EF"/>
    <w:rsid w:val="009515FB"/>
    <w:rsid w:val="00951645"/>
    <w:rsid w:val="0095168D"/>
    <w:rsid w:val="009516F3"/>
    <w:rsid w:val="0095171F"/>
    <w:rsid w:val="0095173F"/>
    <w:rsid w:val="0095176A"/>
    <w:rsid w:val="00951789"/>
    <w:rsid w:val="00951829"/>
    <w:rsid w:val="00951854"/>
    <w:rsid w:val="009518C3"/>
    <w:rsid w:val="00951901"/>
    <w:rsid w:val="0095190C"/>
    <w:rsid w:val="00951912"/>
    <w:rsid w:val="0095193B"/>
    <w:rsid w:val="00951965"/>
    <w:rsid w:val="0095197A"/>
    <w:rsid w:val="009519D9"/>
    <w:rsid w:val="009519E4"/>
    <w:rsid w:val="00951A04"/>
    <w:rsid w:val="00951A40"/>
    <w:rsid w:val="00951A45"/>
    <w:rsid w:val="00951A50"/>
    <w:rsid w:val="00951A68"/>
    <w:rsid w:val="00951AA8"/>
    <w:rsid w:val="00951B2D"/>
    <w:rsid w:val="00951B56"/>
    <w:rsid w:val="00951BD4"/>
    <w:rsid w:val="00951BF2"/>
    <w:rsid w:val="00951C79"/>
    <w:rsid w:val="00951CB9"/>
    <w:rsid w:val="00951CE3"/>
    <w:rsid w:val="00951D1E"/>
    <w:rsid w:val="00951D43"/>
    <w:rsid w:val="00951E7D"/>
    <w:rsid w:val="00951E83"/>
    <w:rsid w:val="00951EC6"/>
    <w:rsid w:val="00951EEC"/>
    <w:rsid w:val="00951F69"/>
    <w:rsid w:val="00951FAA"/>
    <w:rsid w:val="00951FD3"/>
    <w:rsid w:val="00951FFC"/>
    <w:rsid w:val="0095201C"/>
    <w:rsid w:val="00952027"/>
    <w:rsid w:val="00952057"/>
    <w:rsid w:val="009520DA"/>
    <w:rsid w:val="009520E7"/>
    <w:rsid w:val="009520F9"/>
    <w:rsid w:val="009520FB"/>
    <w:rsid w:val="0095212F"/>
    <w:rsid w:val="00952197"/>
    <w:rsid w:val="009521DC"/>
    <w:rsid w:val="00952225"/>
    <w:rsid w:val="0095224D"/>
    <w:rsid w:val="00952269"/>
    <w:rsid w:val="009522A7"/>
    <w:rsid w:val="009522B9"/>
    <w:rsid w:val="00952321"/>
    <w:rsid w:val="00952392"/>
    <w:rsid w:val="00952431"/>
    <w:rsid w:val="00952443"/>
    <w:rsid w:val="009524A8"/>
    <w:rsid w:val="009524F8"/>
    <w:rsid w:val="0095253F"/>
    <w:rsid w:val="009525B1"/>
    <w:rsid w:val="009525D4"/>
    <w:rsid w:val="009525DB"/>
    <w:rsid w:val="00952649"/>
    <w:rsid w:val="00952657"/>
    <w:rsid w:val="00952663"/>
    <w:rsid w:val="0095267D"/>
    <w:rsid w:val="0095268D"/>
    <w:rsid w:val="009526A5"/>
    <w:rsid w:val="009526FA"/>
    <w:rsid w:val="0095273F"/>
    <w:rsid w:val="0095275E"/>
    <w:rsid w:val="00952770"/>
    <w:rsid w:val="0095277D"/>
    <w:rsid w:val="00952780"/>
    <w:rsid w:val="009527B0"/>
    <w:rsid w:val="009527E0"/>
    <w:rsid w:val="009527E2"/>
    <w:rsid w:val="00952812"/>
    <w:rsid w:val="00952824"/>
    <w:rsid w:val="0095282F"/>
    <w:rsid w:val="0095284E"/>
    <w:rsid w:val="009528BF"/>
    <w:rsid w:val="009528D8"/>
    <w:rsid w:val="0095292C"/>
    <w:rsid w:val="00952939"/>
    <w:rsid w:val="00952965"/>
    <w:rsid w:val="0095296B"/>
    <w:rsid w:val="009529A1"/>
    <w:rsid w:val="009529B9"/>
    <w:rsid w:val="009529BB"/>
    <w:rsid w:val="00952A63"/>
    <w:rsid w:val="00952A6D"/>
    <w:rsid w:val="00952A6F"/>
    <w:rsid w:val="00952A98"/>
    <w:rsid w:val="00952AAF"/>
    <w:rsid w:val="00952B6A"/>
    <w:rsid w:val="00952B88"/>
    <w:rsid w:val="00952C14"/>
    <w:rsid w:val="00952C6D"/>
    <w:rsid w:val="00952CBF"/>
    <w:rsid w:val="00952D15"/>
    <w:rsid w:val="00952D1E"/>
    <w:rsid w:val="00952D33"/>
    <w:rsid w:val="00952D60"/>
    <w:rsid w:val="00952DDD"/>
    <w:rsid w:val="00952DEB"/>
    <w:rsid w:val="00952E41"/>
    <w:rsid w:val="00952E77"/>
    <w:rsid w:val="00952E86"/>
    <w:rsid w:val="00952E9F"/>
    <w:rsid w:val="00952EA8"/>
    <w:rsid w:val="00952F70"/>
    <w:rsid w:val="00952FFE"/>
    <w:rsid w:val="0095304E"/>
    <w:rsid w:val="0095305C"/>
    <w:rsid w:val="0095307B"/>
    <w:rsid w:val="009530B6"/>
    <w:rsid w:val="009531F4"/>
    <w:rsid w:val="009531F5"/>
    <w:rsid w:val="0095324C"/>
    <w:rsid w:val="0095327B"/>
    <w:rsid w:val="0095339A"/>
    <w:rsid w:val="009533D8"/>
    <w:rsid w:val="009533E9"/>
    <w:rsid w:val="0095344A"/>
    <w:rsid w:val="00953461"/>
    <w:rsid w:val="00953465"/>
    <w:rsid w:val="009534A0"/>
    <w:rsid w:val="009534AA"/>
    <w:rsid w:val="009534BD"/>
    <w:rsid w:val="009534FE"/>
    <w:rsid w:val="00953513"/>
    <w:rsid w:val="009535E6"/>
    <w:rsid w:val="009536AD"/>
    <w:rsid w:val="009536B1"/>
    <w:rsid w:val="0095370A"/>
    <w:rsid w:val="00953713"/>
    <w:rsid w:val="0095371A"/>
    <w:rsid w:val="0095373C"/>
    <w:rsid w:val="00953775"/>
    <w:rsid w:val="0095377D"/>
    <w:rsid w:val="00953796"/>
    <w:rsid w:val="009537A4"/>
    <w:rsid w:val="009537F0"/>
    <w:rsid w:val="009537FB"/>
    <w:rsid w:val="00953811"/>
    <w:rsid w:val="00953897"/>
    <w:rsid w:val="009538C2"/>
    <w:rsid w:val="009538C4"/>
    <w:rsid w:val="009538D6"/>
    <w:rsid w:val="00953948"/>
    <w:rsid w:val="0095398D"/>
    <w:rsid w:val="00953A70"/>
    <w:rsid w:val="00953A7A"/>
    <w:rsid w:val="00953A8B"/>
    <w:rsid w:val="00953A95"/>
    <w:rsid w:val="00953AAB"/>
    <w:rsid w:val="00953AD6"/>
    <w:rsid w:val="00953B16"/>
    <w:rsid w:val="00953BDE"/>
    <w:rsid w:val="00953BEC"/>
    <w:rsid w:val="00953C41"/>
    <w:rsid w:val="00953CA5"/>
    <w:rsid w:val="00953CDE"/>
    <w:rsid w:val="00953DC5"/>
    <w:rsid w:val="00953DE2"/>
    <w:rsid w:val="00953DEF"/>
    <w:rsid w:val="00953DFD"/>
    <w:rsid w:val="00953E20"/>
    <w:rsid w:val="00953E98"/>
    <w:rsid w:val="00953F39"/>
    <w:rsid w:val="00953F3D"/>
    <w:rsid w:val="00953F3F"/>
    <w:rsid w:val="00953FB4"/>
    <w:rsid w:val="00953FCF"/>
    <w:rsid w:val="00953FF7"/>
    <w:rsid w:val="00954000"/>
    <w:rsid w:val="00954004"/>
    <w:rsid w:val="00954020"/>
    <w:rsid w:val="0095402B"/>
    <w:rsid w:val="0095407F"/>
    <w:rsid w:val="00954089"/>
    <w:rsid w:val="00954093"/>
    <w:rsid w:val="009540B3"/>
    <w:rsid w:val="009540B5"/>
    <w:rsid w:val="009540E1"/>
    <w:rsid w:val="00954112"/>
    <w:rsid w:val="0095414A"/>
    <w:rsid w:val="0095419F"/>
    <w:rsid w:val="009541E4"/>
    <w:rsid w:val="009542A8"/>
    <w:rsid w:val="009542BC"/>
    <w:rsid w:val="009542BD"/>
    <w:rsid w:val="009542D9"/>
    <w:rsid w:val="0095431F"/>
    <w:rsid w:val="00954328"/>
    <w:rsid w:val="00954389"/>
    <w:rsid w:val="009543AC"/>
    <w:rsid w:val="009543D4"/>
    <w:rsid w:val="009543E3"/>
    <w:rsid w:val="009543EA"/>
    <w:rsid w:val="0095442B"/>
    <w:rsid w:val="009544D4"/>
    <w:rsid w:val="00954545"/>
    <w:rsid w:val="009545BE"/>
    <w:rsid w:val="0095462A"/>
    <w:rsid w:val="00954696"/>
    <w:rsid w:val="009546A8"/>
    <w:rsid w:val="009546E7"/>
    <w:rsid w:val="0095475F"/>
    <w:rsid w:val="00954768"/>
    <w:rsid w:val="009547CA"/>
    <w:rsid w:val="009547F3"/>
    <w:rsid w:val="00954806"/>
    <w:rsid w:val="00954856"/>
    <w:rsid w:val="009548B7"/>
    <w:rsid w:val="00954928"/>
    <w:rsid w:val="00954974"/>
    <w:rsid w:val="009549A9"/>
    <w:rsid w:val="009549E5"/>
    <w:rsid w:val="00954A9E"/>
    <w:rsid w:val="00954B11"/>
    <w:rsid w:val="00954B34"/>
    <w:rsid w:val="00954B4A"/>
    <w:rsid w:val="00954B4B"/>
    <w:rsid w:val="00954BFE"/>
    <w:rsid w:val="00954C4A"/>
    <w:rsid w:val="00954CBE"/>
    <w:rsid w:val="00954CDE"/>
    <w:rsid w:val="00954CF0"/>
    <w:rsid w:val="00954D00"/>
    <w:rsid w:val="00954D3E"/>
    <w:rsid w:val="00954D56"/>
    <w:rsid w:val="00954DA5"/>
    <w:rsid w:val="00954DEA"/>
    <w:rsid w:val="00954DF5"/>
    <w:rsid w:val="00954E1D"/>
    <w:rsid w:val="00954E30"/>
    <w:rsid w:val="00954E41"/>
    <w:rsid w:val="00954E51"/>
    <w:rsid w:val="00954EB2"/>
    <w:rsid w:val="00954EBA"/>
    <w:rsid w:val="00954ECC"/>
    <w:rsid w:val="00954F1D"/>
    <w:rsid w:val="00954F2D"/>
    <w:rsid w:val="00954F89"/>
    <w:rsid w:val="00954FFD"/>
    <w:rsid w:val="00955046"/>
    <w:rsid w:val="0095505B"/>
    <w:rsid w:val="009550D7"/>
    <w:rsid w:val="009550E3"/>
    <w:rsid w:val="00955112"/>
    <w:rsid w:val="00955165"/>
    <w:rsid w:val="009551C4"/>
    <w:rsid w:val="009551F5"/>
    <w:rsid w:val="00955288"/>
    <w:rsid w:val="0095529C"/>
    <w:rsid w:val="009552B1"/>
    <w:rsid w:val="009552C6"/>
    <w:rsid w:val="009552D1"/>
    <w:rsid w:val="00955308"/>
    <w:rsid w:val="00955337"/>
    <w:rsid w:val="0095533C"/>
    <w:rsid w:val="009553E6"/>
    <w:rsid w:val="009554E4"/>
    <w:rsid w:val="0095550F"/>
    <w:rsid w:val="0095555B"/>
    <w:rsid w:val="00955576"/>
    <w:rsid w:val="009555B0"/>
    <w:rsid w:val="00955607"/>
    <w:rsid w:val="0095561A"/>
    <w:rsid w:val="0095563B"/>
    <w:rsid w:val="00955653"/>
    <w:rsid w:val="0095566C"/>
    <w:rsid w:val="0095571A"/>
    <w:rsid w:val="00955721"/>
    <w:rsid w:val="009558AA"/>
    <w:rsid w:val="00955909"/>
    <w:rsid w:val="00955989"/>
    <w:rsid w:val="0095598B"/>
    <w:rsid w:val="009559B8"/>
    <w:rsid w:val="00955A22"/>
    <w:rsid w:val="00955A59"/>
    <w:rsid w:val="00955AAA"/>
    <w:rsid w:val="00955B07"/>
    <w:rsid w:val="00955B6C"/>
    <w:rsid w:val="00955B7A"/>
    <w:rsid w:val="00955C1F"/>
    <w:rsid w:val="00955C9E"/>
    <w:rsid w:val="00955CA1"/>
    <w:rsid w:val="00955CE8"/>
    <w:rsid w:val="00955D13"/>
    <w:rsid w:val="00955D1D"/>
    <w:rsid w:val="00955D3A"/>
    <w:rsid w:val="00955D60"/>
    <w:rsid w:val="00955DA9"/>
    <w:rsid w:val="00955DD9"/>
    <w:rsid w:val="00955E29"/>
    <w:rsid w:val="00955E61"/>
    <w:rsid w:val="00955E6F"/>
    <w:rsid w:val="00955E97"/>
    <w:rsid w:val="00955EA3"/>
    <w:rsid w:val="00955EA4"/>
    <w:rsid w:val="00955EB7"/>
    <w:rsid w:val="00955EBD"/>
    <w:rsid w:val="00955FA1"/>
    <w:rsid w:val="00955FEA"/>
    <w:rsid w:val="00956023"/>
    <w:rsid w:val="0095607C"/>
    <w:rsid w:val="009560A9"/>
    <w:rsid w:val="009560E9"/>
    <w:rsid w:val="009561AC"/>
    <w:rsid w:val="009561C0"/>
    <w:rsid w:val="00956215"/>
    <w:rsid w:val="00956241"/>
    <w:rsid w:val="0095624F"/>
    <w:rsid w:val="00956299"/>
    <w:rsid w:val="00956305"/>
    <w:rsid w:val="00956341"/>
    <w:rsid w:val="0095637D"/>
    <w:rsid w:val="009563C4"/>
    <w:rsid w:val="009563CA"/>
    <w:rsid w:val="009563E5"/>
    <w:rsid w:val="009563EC"/>
    <w:rsid w:val="009563FD"/>
    <w:rsid w:val="00956437"/>
    <w:rsid w:val="0095646B"/>
    <w:rsid w:val="009564AC"/>
    <w:rsid w:val="009564BF"/>
    <w:rsid w:val="009564C1"/>
    <w:rsid w:val="00956587"/>
    <w:rsid w:val="009565A8"/>
    <w:rsid w:val="009565E1"/>
    <w:rsid w:val="00956627"/>
    <w:rsid w:val="00956655"/>
    <w:rsid w:val="00956731"/>
    <w:rsid w:val="009567C5"/>
    <w:rsid w:val="009567E5"/>
    <w:rsid w:val="00956851"/>
    <w:rsid w:val="00956855"/>
    <w:rsid w:val="0095689D"/>
    <w:rsid w:val="009568CB"/>
    <w:rsid w:val="00956924"/>
    <w:rsid w:val="00956980"/>
    <w:rsid w:val="0095698F"/>
    <w:rsid w:val="009569B8"/>
    <w:rsid w:val="009569D9"/>
    <w:rsid w:val="00956A00"/>
    <w:rsid w:val="00956A30"/>
    <w:rsid w:val="00956AAD"/>
    <w:rsid w:val="00956AB3"/>
    <w:rsid w:val="00956B0E"/>
    <w:rsid w:val="00956B12"/>
    <w:rsid w:val="00956B92"/>
    <w:rsid w:val="00956C6B"/>
    <w:rsid w:val="00956C7B"/>
    <w:rsid w:val="00956CD4"/>
    <w:rsid w:val="00956D53"/>
    <w:rsid w:val="00956D95"/>
    <w:rsid w:val="00956D99"/>
    <w:rsid w:val="00956DAC"/>
    <w:rsid w:val="00956DEF"/>
    <w:rsid w:val="00956E55"/>
    <w:rsid w:val="00956EBA"/>
    <w:rsid w:val="00956EFA"/>
    <w:rsid w:val="00956F1A"/>
    <w:rsid w:val="00956F54"/>
    <w:rsid w:val="00956F77"/>
    <w:rsid w:val="00957014"/>
    <w:rsid w:val="00957019"/>
    <w:rsid w:val="00957031"/>
    <w:rsid w:val="00957042"/>
    <w:rsid w:val="00957072"/>
    <w:rsid w:val="009570D6"/>
    <w:rsid w:val="00957151"/>
    <w:rsid w:val="0095719C"/>
    <w:rsid w:val="009571FD"/>
    <w:rsid w:val="00957296"/>
    <w:rsid w:val="009572A0"/>
    <w:rsid w:val="009572C1"/>
    <w:rsid w:val="009572D7"/>
    <w:rsid w:val="009572EF"/>
    <w:rsid w:val="00957368"/>
    <w:rsid w:val="00957372"/>
    <w:rsid w:val="00957376"/>
    <w:rsid w:val="00957418"/>
    <w:rsid w:val="00957427"/>
    <w:rsid w:val="0095742A"/>
    <w:rsid w:val="00957504"/>
    <w:rsid w:val="0095755B"/>
    <w:rsid w:val="0095755D"/>
    <w:rsid w:val="00957563"/>
    <w:rsid w:val="009575CD"/>
    <w:rsid w:val="009575EB"/>
    <w:rsid w:val="0095760B"/>
    <w:rsid w:val="0095762C"/>
    <w:rsid w:val="00957691"/>
    <w:rsid w:val="009576C5"/>
    <w:rsid w:val="009577D8"/>
    <w:rsid w:val="009577F3"/>
    <w:rsid w:val="00957810"/>
    <w:rsid w:val="00957813"/>
    <w:rsid w:val="00957878"/>
    <w:rsid w:val="0095788A"/>
    <w:rsid w:val="009578D3"/>
    <w:rsid w:val="009578E1"/>
    <w:rsid w:val="00957914"/>
    <w:rsid w:val="0095792D"/>
    <w:rsid w:val="0095796B"/>
    <w:rsid w:val="00957992"/>
    <w:rsid w:val="00957996"/>
    <w:rsid w:val="00957A10"/>
    <w:rsid w:val="00957A53"/>
    <w:rsid w:val="00957A7D"/>
    <w:rsid w:val="00957A9E"/>
    <w:rsid w:val="00957AAF"/>
    <w:rsid w:val="00957AE8"/>
    <w:rsid w:val="00957AEF"/>
    <w:rsid w:val="00957B6E"/>
    <w:rsid w:val="00957C0A"/>
    <w:rsid w:val="00957C43"/>
    <w:rsid w:val="00957C6B"/>
    <w:rsid w:val="00957CAA"/>
    <w:rsid w:val="00957CAD"/>
    <w:rsid w:val="00957D60"/>
    <w:rsid w:val="00957D96"/>
    <w:rsid w:val="00957E5C"/>
    <w:rsid w:val="00957E99"/>
    <w:rsid w:val="00957F7F"/>
    <w:rsid w:val="0096003E"/>
    <w:rsid w:val="00960073"/>
    <w:rsid w:val="0096007A"/>
    <w:rsid w:val="009600B0"/>
    <w:rsid w:val="009600C9"/>
    <w:rsid w:val="00960102"/>
    <w:rsid w:val="00960125"/>
    <w:rsid w:val="00960168"/>
    <w:rsid w:val="00960227"/>
    <w:rsid w:val="00960233"/>
    <w:rsid w:val="00960270"/>
    <w:rsid w:val="00960297"/>
    <w:rsid w:val="0096032B"/>
    <w:rsid w:val="00960374"/>
    <w:rsid w:val="009603FC"/>
    <w:rsid w:val="0096041A"/>
    <w:rsid w:val="00960446"/>
    <w:rsid w:val="0096046E"/>
    <w:rsid w:val="009604AD"/>
    <w:rsid w:val="009604F9"/>
    <w:rsid w:val="00960503"/>
    <w:rsid w:val="00960565"/>
    <w:rsid w:val="009605AA"/>
    <w:rsid w:val="009606D5"/>
    <w:rsid w:val="009606E2"/>
    <w:rsid w:val="00960767"/>
    <w:rsid w:val="009607C2"/>
    <w:rsid w:val="00960804"/>
    <w:rsid w:val="00960827"/>
    <w:rsid w:val="00960868"/>
    <w:rsid w:val="0096086D"/>
    <w:rsid w:val="009608C0"/>
    <w:rsid w:val="0096093A"/>
    <w:rsid w:val="0096093D"/>
    <w:rsid w:val="0096097F"/>
    <w:rsid w:val="00960A1B"/>
    <w:rsid w:val="00960A7A"/>
    <w:rsid w:val="00960AB2"/>
    <w:rsid w:val="00960ADE"/>
    <w:rsid w:val="00960B03"/>
    <w:rsid w:val="00960B31"/>
    <w:rsid w:val="00960B5D"/>
    <w:rsid w:val="00960B60"/>
    <w:rsid w:val="00960B64"/>
    <w:rsid w:val="00960B87"/>
    <w:rsid w:val="00960BA3"/>
    <w:rsid w:val="00960BB5"/>
    <w:rsid w:val="00960C38"/>
    <w:rsid w:val="00960CAA"/>
    <w:rsid w:val="00960CB5"/>
    <w:rsid w:val="00960CF1"/>
    <w:rsid w:val="00960CF5"/>
    <w:rsid w:val="00960CF8"/>
    <w:rsid w:val="00960D02"/>
    <w:rsid w:val="00960D05"/>
    <w:rsid w:val="00960DF0"/>
    <w:rsid w:val="00960E40"/>
    <w:rsid w:val="00960EA8"/>
    <w:rsid w:val="00960EB1"/>
    <w:rsid w:val="00960ECB"/>
    <w:rsid w:val="00960EE6"/>
    <w:rsid w:val="00960EF5"/>
    <w:rsid w:val="00960F3B"/>
    <w:rsid w:val="00960F43"/>
    <w:rsid w:val="00960F75"/>
    <w:rsid w:val="00960FA8"/>
    <w:rsid w:val="00960FAC"/>
    <w:rsid w:val="00960FC3"/>
    <w:rsid w:val="00960FD4"/>
    <w:rsid w:val="00960FEE"/>
    <w:rsid w:val="00961012"/>
    <w:rsid w:val="00961013"/>
    <w:rsid w:val="0096102E"/>
    <w:rsid w:val="0096108C"/>
    <w:rsid w:val="009610AA"/>
    <w:rsid w:val="009610CE"/>
    <w:rsid w:val="0096110C"/>
    <w:rsid w:val="00961139"/>
    <w:rsid w:val="0096113A"/>
    <w:rsid w:val="00961160"/>
    <w:rsid w:val="0096119B"/>
    <w:rsid w:val="00961219"/>
    <w:rsid w:val="00961238"/>
    <w:rsid w:val="0096126F"/>
    <w:rsid w:val="0096128A"/>
    <w:rsid w:val="009612A1"/>
    <w:rsid w:val="009612B1"/>
    <w:rsid w:val="00961312"/>
    <w:rsid w:val="00961343"/>
    <w:rsid w:val="0096135D"/>
    <w:rsid w:val="0096138F"/>
    <w:rsid w:val="009613A4"/>
    <w:rsid w:val="009613C5"/>
    <w:rsid w:val="0096149A"/>
    <w:rsid w:val="00961534"/>
    <w:rsid w:val="0096154F"/>
    <w:rsid w:val="0096157B"/>
    <w:rsid w:val="009615DE"/>
    <w:rsid w:val="0096160E"/>
    <w:rsid w:val="0096166F"/>
    <w:rsid w:val="009616B5"/>
    <w:rsid w:val="009616C1"/>
    <w:rsid w:val="0096173E"/>
    <w:rsid w:val="009617E3"/>
    <w:rsid w:val="00961819"/>
    <w:rsid w:val="009618AA"/>
    <w:rsid w:val="009618E0"/>
    <w:rsid w:val="009618FB"/>
    <w:rsid w:val="0096192E"/>
    <w:rsid w:val="009619A6"/>
    <w:rsid w:val="009619B0"/>
    <w:rsid w:val="00961A5A"/>
    <w:rsid w:val="00961A76"/>
    <w:rsid w:val="00961AB5"/>
    <w:rsid w:val="00961B90"/>
    <w:rsid w:val="00961BCF"/>
    <w:rsid w:val="00961C1E"/>
    <w:rsid w:val="00961C25"/>
    <w:rsid w:val="00961C55"/>
    <w:rsid w:val="00961C68"/>
    <w:rsid w:val="00961C80"/>
    <w:rsid w:val="00961D57"/>
    <w:rsid w:val="00961DAD"/>
    <w:rsid w:val="00961DE1"/>
    <w:rsid w:val="00961E7E"/>
    <w:rsid w:val="00961ED1"/>
    <w:rsid w:val="00961EEB"/>
    <w:rsid w:val="00961F2A"/>
    <w:rsid w:val="00961FAC"/>
    <w:rsid w:val="0096209A"/>
    <w:rsid w:val="009620B2"/>
    <w:rsid w:val="009620C7"/>
    <w:rsid w:val="00962177"/>
    <w:rsid w:val="009621CC"/>
    <w:rsid w:val="00962213"/>
    <w:rsid w:val="009622A6"/>
    <w:rsid w:val="009622AB"/>
    <w:rsid w:val="00962308"/>
    <w:rsid w:val="00962342"/>
    <w:rsid w:val="00962343"/>
    <w:rsid w:val="0096236A"/>
    <w:rsid w:val="0096236C"/>
    <w:rsid w:val="00962399"/>
    <w:rsid w:val="00962426"/>
    <w:rsid w:val="0096242F"/>
    <w:rsid w:val="009624BC"/>
    <w:rsid w:val="009624C5"/>
    <w:rsid w:val="00962555"/>
    <w:rsid w:val="0096256B"/>
    <w:rsid w:val="009625F6"/>
    <w:rsid w:val="00962659"/>
    <w:rsid w:val="009626E7"/>
    <w:rsid w:val="00962728"/>
    <w:rsid w:val="009627B0"/>
    <w:rsid w:val="009627B8"/>
    <w:rsid w:val="009627BD"/>
    <w:rsid w:val="009627D0"/>
    <w:rsid w:val="009627E8"/>
    <w:rsid w:val="00962805"/>
    <w:rsid w:val="0096280E"/>
    <w:rsid w:val="00962812"/>
    <w:rsid w:val="00962824"/>
    <w:rsid w:val="00962838"/>
    <w:rsid w:val="0096285B"/>
    <w:rsid w:val="009628BC"/>
    <w:rsid w:val="009628BD"/>
    <w:rsid w:val="009628DA"/>
    <w:rsid w:val="00962911"/>
    <w:rsid w:val="0096291A"/>
    <w:rsid w:val="00962934"/>
    <w:rsid w:val="00962959"/>
    <w:rsid w:val="009629BB"/>
    <w:rsid w:val="00962A67"/>
    <w:rsid w:val="00962B3B"/>
    <w:rsid w:val="00962B4A"/>
    <w:rsid w:val="00962B61"/>
    <w:rsid w:val="00962B97"/>
    <w:rsid w:val="00962BF9"/>
    <w:rsid w:val="00962BFB"/>
    <w:rsid w:val="00962C5C"/>
    <w:rsid w:val="00962D69"/>
    <w:rsid w:val="00962DB0"/>
    <w:rsid w:val="00962DE0"/>
    <w:rsid w:val="00962E02"/>
    <w:rsid w:val="00962E70"/>
    <w:rsid w:val="00962FAD"/>
    <w:rsid w:val="00962FDD"/>
    <w:rsid w:val="00963008"/>
    <w:rsid w:val="00963023"/>
    <w:rsid w:val="00963096"/>
    <w:rsid w:val="00963099"/>
    <w:rsid w:val="009630D0"/>
    <w:rsid w:val="00963116"/>
    <w:rsid w:val="00963135"/>
    <w:rsid w:val="00963149"/>
    <w:rsid w:val="0096318E"/>
    <w:rsid w:val="009631DA"/>
    <w:rsid w:val="009631DC"/>
    <w:rsid w:val="009631E1"/>
    <w:rsid w:val="00963259"/>
    <w:rsid w:val="00963282"/>
    <w:rsid w:val="00963287"/>
    <w:rsid w:val="0096329D"/>
    <w:rsid w:val="0096330A"/>
    <w:rsid w:val="0096334A"/>
    <w:rsid w:val="00963360"/>
    <w:rsid w:val="009633D5"/>
    <w:rsid w:val="0096340E"/>
    <w:rsid w:val="00963413"/>
    <w:rsid w:val="00963415"/>
    <w:rsid w:val="0096341D"/>
    <w:rsid w:val="00963429"/>
    <w:rsid w:val="00963433"/>
    <w:rsid w:val="00963446"/>
    <w:rsid w:val="0096348F"/>
    <w:rsid w:val="009634C3"/>
    <w:rsid w:val="00963514"/>
    <w:rsid w:val="00963533"/>
    <w:rsid w:val="00963537"/>
    <w:rsid w:val="00963597"/>
    <w:rsid w:val="009635A3"/>
    <w:rsid w:val="009635BA"/>
    <w:rsid w:val="00963604"/>
    <w:rsid w:val="0096363D"/>
    <w:rsid w:val="0096365E"/>
    <w:rsid w:val="0096369C"/>
    <w:rsid w:val="00963712"/>
    <w:rsid w:val="00963738"/>
    <w:rsid w:val="0096375E"/>
    <w:rsid w:val="009637B7"/>
    <w:rsid w:val="00963821"/>
    <w:rsid w:val="009638AE"/>
    <w:rsid w:val="009638D0"/>
    <w:rsid w:val="00963949"/>
    <w:rsid w:val="009639D2"/>
    <w:rsid w:val="00963A0D"/>
    <w:rsid w:val="00963A90"/>
    <w:rsid w:val="00963AA8"/>
    <w:rsid w:val="00963AD1"/>
    <w:rsid w:val="00963B0E"/>
    <w:rsid w:val="00963B79"/>
    <w:rsid w:val="00963B80"/>
    <w:rsid w:val="00963B9F"/>
    <w:rsid w:val="00963BDC"/>
    <w:rsid w:val="00963BEB"/>
    <w:rsid w:val="00963C5A"/>
    <w:rsid w:val="00963D92"/>
    <w:rsid w:val="00963DB1"/>
    <w:rsid w:val="00963DF8"/>
    <w:rsid w:val="00963E28"/>
    <w:rsid w:val="00963E5B"/>
    <w:rsid w:val="00963E82"/>
    <w:rsid w:val="00963EB8"/>
    <w:rsid w:val="00963EF7"/>
    <w:rsid w:val="00963F08"/>
    <w:rsid w:val="00963F67"/>
    <w:rsid w:val="00963FA7"/>
    <w:rsid w:val="00963FD3"/>
    <w:rsid w:val="0096402A"/>
    <w:rsid w:val="0096404E"/>
    <w:rsid w:val="00964089"/>
    <w:rsid w:val="00964105"/>
    <w:rsid w:val="00964108"/>
    <w:rsid w:val="00964131"/>
    <w:rsid w:val="0096416D"/>
    <w:rsid w:val="00964179"/>
    <w:rsid w:val="0096417D"/>
    <w:rsid w:val="0096418E"/>
    <w:rsid w:val="009641D5"/>
    <w:rsid w:val="00964209"/>
    <w:rsid w:val="00964210"/>
    <w:rsid w:val="00964232"/>
    <w:rsid w:val="0096425F"/>
    <w:rsid w:val="0096426D"/>
    <w:rsid w:val="0096427E"/>
    <w:rsid w:val="009642A7"/>
    <w:rsid w:val="0096436E"/>
    <w:rsid w:val="009643AC"/>
    <w:rsid w:val="009643CB"/>
    <w:rsid w:val="00964419"/>
    <w:rsid w:val="00964427"/>
    <w:rsid w:val="00964458"/>
    <w:rsid w:val="00964487"/>
    <w:rsid w:val="00964495"/>
    <w:rsid w:val="009644D5"/>
    <w:rsid w:val="009644F5"/>
    <w:rsid w:val="0096450B"/>
    <w:rsid w:val="00964539"/>
    <w:rsid w:val="00964566"/>
    <w:rsid w:val="009645A5"/>
    <w:rsid w:val="009645D1"/>
    <w:rsid w:val="0096460E"/>
    <w:rsid w:val="00964611"/>
    <w:rsid w:val="00964635"/>
    <w:rsid w:val="00964658"/>
    <w:rsid w:val="00964666"/>
    <w:rsid w:val="009646C1"/>
    <w:rsid w:val="009646D4"/>
    <w:rsid w:val="009646D9"/>
    <w:rsid w:val="009646E9"/>
    <w:rsid w:val="009646F6"/>
    <w:rsid w:val="00964776"/>
    <w:rsid w:val="00964806"/>
    <w:rsid w:val="00964863"/>
    <w:rsid w:val="009648D6"/>
    <w:rsid w:val="00964907"/>
    <w:rsid w:val="0096498F"/>
    <w:rsid w:val="00964A8B"/>
    <w:rsid w:val="00964AD2"/>
    <w:rsid w:val="00964AE3"/>
    <w:rsid w:val="00964AF5"/>
    <w:rsid w:val="00964AFC"/>
    <w:rsid w:val="00964B17"/>
    <w:rsid w:val="00964BB7"/>
    <w:rsid w:val="00964C01"/>
    <w:rsid w:val="00964C28"/>
    <w:rsid w:val="00964C94"/>
    <w:rsid w:val="00964D15"/>
    <w:rsid w:val="00964D2B"/>
    <w:rsid w:val="00964D38"/>
    <w:rsid w:val="00964D5F"/>
    <w:rsid w:val="00964DC1"/>
    <w:rsid w:val="00964E4E"/>
    <w:rsid w:val="00964E69"/>
    <w:rsid w:val="00964E8A"/>
    <w:rsid w:val="00964E9D"/>
    <w:rsid w:val="00964F20"/>
    <w:rsid w:val="00964F66"/>
    <w:rsid w:val="00964FF3"/>
    <w:rsid w:val="0096503D"/>
    <w:rsid w:val="009650A8"/>
    <w:rsid w:val="009650CB"/>
    <w:rsid w:val="009650CF"/>
    <w:rsid w:val="009650DA"/>
    <w:rsid w:val="0096519E"/>
    <w:rsid w:val="009651A2"/>
    <w:rsid w:val="00965213"/>
    <w:rsid w:val="0096521F"/>
    <w:rsid w:val="0096524C"/>
    <w:rsid w:val="009652A3"/>
    <w:rsid w:val="009652AF"/>
    <w:rsid w:val="009652B6"/>
    <w:rsid w:val="009652BA"/>
    <w:rsid w:val="009652C2"/>
    <w:rsid w:val="009652D5"/>
    <w:rsid w:val="00965383"/>
    <w:rsid w:val="009653B8"/>
    <w:rsid w:val="009653DF"/>
    <w:rsid w:val="009653E5"/>
    <w:rsid w:val="009653E6"/>
    <w:rsid w:val="00965410"/>
    <w:rsid w:val="00965420"/>
    <w:rsid w:val="00965422"/>
    <w:rsid w:val="0096542A"/>
    <w:rsid w:val="00965461"/>
    <w:rsid w:val="009654B0"/>
    <w:rsid w:val="009654B3"/>
    <w:rsid w:val="00965601"/>
    <w:rsid w:val="0096560E"/>
    <w:rsid w:val="009656B6"/>
    <w:rsid w:val="0096573D"/>
    <w:rsid w:val="00965743"/>
    <w:rsid w:val="009657E3"/>
    <w:rsid w:val="00965823"/>
    <w:rsid w:val="0096583F"/>
    <w:rsid w:val="0096587D"/>
    <w:rsid w:val="009658A3"/>
    <w:rsid w:val="009658D6"/>
    <w:rsid w:val="009658E7"/>
    <w:rsid w:val="00965932"/>
    <w:rsid w:val="009659AC"/>
    <w:rsid w:val="00965A2C"/>
    <w:rsid w:val="00965A47"/>
    <w:rsid w:val="00965ABF"/>
    <w:rsid w:val="00965AD6"/>
    <w:rsid w:val="00965AF6"/>
    <w:rsid w:val="00965B20"/>
    <w:rsid w:val="00965BB6"/>
    <w:rsid w:val="00965C16"/>
    <w:rsid w:val="00965C29"/>
    <w:rsid w:val="00965C8A"/>
    <w:rsid w:val="00965C95"/>
    <w:rsid w:val="00965D0F"/>
    <w:rsid w:val="00965D63"/>
    <w:rsid w:val="00965D7D"/>
    <w:rsid w:val="00965DA4"/>
    <w:rsid w:val="00965DB0"/>
    <w:rsid w:val="00965E64"/>
    <w:rsid w:val="00965EF6"/>
    <w:rsid w:val="00965F25"/>
    <w:rsid w:val="00965F4C"/>
    <w:rsid w:val="00965F8E"/>
    <w:rsid w:val="0096601C"/>
    <w:rsid w:val="00966085"/>
    <w:rsid w:val="009660A1"/>
    <w:rsid w:val="0096614F"/>
    <w:rsid w:val="00966159"/>
    <w:rsid w:val="00966170"/>
    <w:rsid w:val="009661C5"/>
    <w:rsid w:val="009661CC"/>
    <w:rsid w:val="00966262"/>
    <w:rsid w:val="00966276"/>
    <w:rsid w:val="009662FE"/>
    <w:rsid w:val="00966300"/>
    <w:rsid w:val="00966353"/>
    <w:rsid w:val="00966395"/>
    <w:rsid w:val="009663F6"/>
    <w:rsid w:val="0096642C"/>
    <w:rsid w:val="0096644B"/>
    <w:rsid w:val="0096644F"/>
    <w:rsid w:val="00966495"/>
    <w:rsid w:val="0096649A"/>
    <w:rsid w:val="009664ED"/>
    <w:rsid w:val="00966502"/>
    <w:rsid w:val="00966550"/>
    <w:rsid w:val="0096660B"/>
    <w:rsid w:val="009666B5"/>
    <w:rsid w:val="009666BC"/>
    <w:rsid w:val="00966701"/>
    <w:rsid w:val="0096670E"/>
    <w:rsid w:val="009667C1"/>
    <w:rsid w:val="009667CB"/>
    <w:rsid w:val="009667CC"/>
    <w:rsid w:val="009667E8"/>
    <w:rsid w:val="009667F6"/>
    <w:rsid w:val="009667FF"/>
    <w:rsid w:val="0096682C"/>
    <w:rsid w:val="009668A6"/>
    <w:rsid w:val="009668DB"/>
    <w:rsid w:val="0096699C"/>
    <w:rsid w:val="009669EC"/>
    <w:rsid w:val="009669FA"/>
    <w:rsid w:val="00966A00"/>
    <w:rsid w:val="00966A0F"/>
    <w:rsid w:val="00966A10"/>
    <w:rsid w:val="00966A2C"/>
    <w:rsid w:val="00966A34"/>
    <w:rsid w:val="00966A84"/>
    <w:rsid w:val="00966AA2"/>
    <w:rsid w:val="00966AB4"/>
    <w:rsid w:val="00966B17"/>
    <w:rsid w:val="00966B65"/>
    <w:rsid w:val="00966B78"/>
    <w:rsid w:val="00966B7D"/>
    <w:rsid w:val="00966B7E"/>
    <w:rsid w:val="00966BB1"/>
    <w:rsid w:val="00966BE7"/>
    <w:rsid w:val="00966BF5"/>
    <w:rsid w:val="00966C26"/>
    <w:rsid w:val="00966C40"/>
    <w:rsid w:val="00966CBB"/>
    <w:rsid w:val="00966CC6"/>
    <w:rsid w:val="00966CE3"/>
    <w:rsid w:val="00966CF5"/>
    <w:rsid w:val="00966D0E"/>
    <w:rsid w:val="00966D26"/>
    <w:rsid w:val="00966D32"/>
    <w:rsid w:val="00966DB7"/>
    <w:rsid w:val="00966DB9"/>
    <w:rsid w:val="00966DDA"/>
    <w:rsid w:val="00966DF3"/>
    <w:rsid w:val="00966E61"/>
    <w:rsid w:val="00966E7D"/>
    <w:rsid w:val="00966EA1"/>
    <w:rsid w:val="00966FD3"/>
    <w:rsid w:val="0096706E"/>
    <w:rsid w:val="00967081"/>
    <w:rsid w:val="00967094"/>
    <w:rsid w:val="009670DD"/>
    <w:rsid w:val="009670E6"/>
    <w:rsid w:val="00967134"/>
    <w:rsid w:val="0096714D"/>
    <w:rsid w:val="0096718B"/>
    <w:rsid w:val="0096721A"/>
    <w:rsid w:val="00967221"/>
    <w:rsid w:val="0096722B"/>
    <w:rsid w:val="0096726D"/>
    <w:rsid w:val="009672FB"/>
    <w:rsid w:val="0096734B"/>
    <w:rsid w:val="00967368"/>
    <w:rsid w:val="00967395"/>
    <w:rsid w:val="009673A1"/>
    <w:rsid w:val="0096742C"/>
    <w:rsid w:val="00967487"/>
    <w:rsid w:val="00967496"/>
    <w:rsid w:val="0096749D"/>
    <w:rsid w:val="00967529"/>
    <w:rsid w:val="00967553"/>
    <w:rsid w:val="00967557"/>
    <w:rsid w:val="009675E2"/>
    <w:rsid w:val="009675E7"/>
    <w:rsid w:val="009675F6"/>
    <w:rsid w:val="0096762D"/>
    <w:rsid w:val="0096767A"/>
    <w:rsid w:val="009676FC"/>
    <w:rsid w:val="0096770F"/>
    <w:rsid w:val="00967744"/>
    <w:rsid w:val="00967772"/>
    <w:rsid w:val="0096778C"/>
    <w:rsid w:val="009677C9"/>
    <w:rsid w:val="009677D0"/>
    <w:rsid w:val="009677F1"/>
    <w:rsid w:val="00967813"/>
    <w:rsid w:val="0096782E"/>
    <w:rsid w:val="00967875"/>
    <w:rsid w:val="0096789A"/>
    <w:rsid w:val="009678A5"/>
    <w:rsid w:val="009678E3"/>
    <w:rsid w:val="00967A0B"/>
    <w:rsid w:val="00967A60"/>
    <w:rsid w:val="00967AEE"/>
    <w:rsid w:val="00967B1B"/>
    <w:rsid w:val="00967B5F"/>
    <w:rsid w:val="00967B7F"/>
    <w:rsid w:val="00967BA5"/>
    <w:rsid w:val="00967BD7"/>
    <w:rsid w:val="00967BFA"/>
    <w:rsid w:val="00967C60"/>
    <w:rsid w:val="00967C92"/>
    <w:rsid w:val="00967C93"/>
    <w:rsid w:val="00967CB2"/>
    <w:rsid w:val="00967D24"/>
    <w:rsid w:val="00967D2C"/>
    <w:rsid w:val="00967D2F"/>
    <w:rsid w:val="00967E00"/>
    <w:rsid w:val="00967EC8"/>
    <w:rsid w:val="00967ED7"/>
    <w:rsid w:val="00967EE1"/>
    <w:rsid w:val="00967F62"/>
    <w:rsid w:val="00967FA6"/>
    <w:rsid w:val="00967FB5"/>
    <w:rsid w:val="0097001C"/>
    <w:rsid w:val="0097004B"/>
    <w:rsid w:val="009700EB"/>
    <w:rsid w:val="00970154"/>
    <w:rsid w:val="009701EE"/>
    <w:rsid w:val="00970210"/>
    <w:rsid w:val="0097021C"/>
    <w:rsid w:val="00970245"/>
    <w:rsid w:val="00970327"/>
    <w:rsid w:val="00970333"/>
    <w:rsid w:val="00970343"/>
    <w:rsid w:val="00970346"/>
    <w:rsid w:val="0097034C"/>
    <w:rsid w:val="0097034D"/>
    <w:rsid w:val="0097035D"/>
    <w:rsid w:val="0097036E"/>
    <w:rsid w:val="0097039F"/>
    <w:rsid w:val="009703A0"/>
    <w:rsid w:val="009703AB"/>
    <w:rsid w:val="009703F4"/>
    <w:rsid w:val="00970423"/>
    <w:rsid w:val="00970444"/>
    <w:rsid w:val="00970459"/>
    <w:rsid w:val="0097049D"/>
    <w:rsid w:val="009704DF"/>
    <w:rsid w:val="00970530"/>
    <w:rsid w:val="00970540"/>
    <w:rsid w:val="0097058A"/>
    <w:rsid w:val="00970624"/>
    <w:rsid w:val="009706D4"/>
    <w:rsid w:val="009706D6"/>
    <w:rsid w:val="00970764"/>
    <w:rsid w:val="009707C1"/>
    <w:rsid w:val="009707D0"/>
    <w:rsid w:val="00970805"/>
    <w:rsid w:val="00970836"/>
    <w:rsid w:val="0097085D"/>
    <w:rsid w:val="00970863"/>
    <w:rsid w:val="00970920"/>
    <w:rsid w:val="0097095C"/>
    <w:rsid w:val="009709B0"/>
    <w:rsid w:val="00970A8A"/>
    <w:rsid w:val="00970ACE"/>
    <w:rsid w:val="00970B3E"/>
    <w:rsid w:val="00970B68"/>
    <w:rsid w:val="00970BBF"/>
    <w:rsid w:val="00970BD2"/>
    <w:rsid w:val="00970BE6"/>
    <w:rsid w:val="00970BEB"/>
    <w:rsid w:val="00970BEC"/>
    <w:rsid w:val="00970C3A"/>
    <w:rsid w:val="00970C43"/>
    <w:rsid w:val="00970C89"/>
    <w:rsid w:val="00970CED"/>
    <w:rsid w:val="00970D65"/>
    <w:rsid w:val="00970D6C"/>
    <w:rsid w:val="00970DAB"/>
    <w:rsid w:val="00970DE3"/>
    <w:rsid w:val="00970E84"/>
    <w:rsid w:val="00970E88"/>
    <w:rsid w:val="00970EBD"/>
    <w:rsid w:val="00970EFC"/>
    <w:rsid w:val="00970F07"/>
    <w:rsid w:val="00970F1E"/>
    <w:rsid w:val="00970F5D"/>
    <w:rsid w:val="00970F70"/>
    <w:rsid w:val="00970F76"/>
    <w:rsid w:val="00971067"/>
    <w:rsid w:val="009710BB"/>
    <w:rsid w:val="009710F9"/>
    <w:rsid w:val="0097110D"/>
    <w:rsid w:val="00971137"/>
    <w:rsid w:val="0097115A"/>
    <w:rsid w:val="00971177"/>
    <w:rsid w:val="009711B2"/>
    <w:rsid w:val="009711F6"/>
    <w:rsid w:val="00971260"/>
    <w:rsid w:val="00971271"/>
    <w:rsid w:val="009713DF"/>
    <w:rsid w:val="009713EB"/>
    <w:rsid w:val="00971424"/>
    <w:rsid w:val="0097155A"/>
    <w:rsid w:val="00971572"/>
    <w:rsid w:val="00971575"/>
    <w:rsid w:val="009715DA"/>
    <w:rsid w:val="009715EC"/>
    <w:rsid w:val="009715ED"/>
    <w:rsid w:val="0097162A"/>
    <w:rsid w:val="00971642"/>
    <w:rsid w:val="00971667"/>
    <w:rsid w:val="009716B6"/>
    <w:rsid w:val="0097172D"/>
    <w:rsid w:val="0097173D"/>
    <w:rsid w:val="00971791"/>
    <w:rsid w:val="009717EE"/>
    <w:rsid w:val="00971829"/>
    <w:rsid w:val="00971848"/>
    <w:rsid w:val="00971875"/>
    <w:rsid w:val="0097188D"/>
    <w:rsid w:val="009718AA"/>
    <w:rsid w:val="00971903"/>
    <w:rsid w:val="00971909"/>
    <w:rsid w:val="00971932"/>
    <w:rsid w:val="0097194F"/>
    <w:rsid w:val="00971951"/>
    <w:rsid w:val="0097199A"/>
    <w:rsid w:val="009719E2"/>
    <w:rsid w:val="00971A02"/>
    <w:rsid w:val="00971A07"/>
    <w:rsid w:val="00971A8B"/>
    <w:rsid w:val="00971A8C"/>
    <w:rsid w:val="00971AA8"/>
    <w:rsid w:val="00971AF8"/>
    <w:rsid w:val="00971B1C"/>
    <w:rsid w:val="00971B99"/>
    <w:rsid w:val="00971BBE"/>
    <w:rsid w:val="00971BC3"/>
    <w:rsid w:val="00971BD0"/>
    <w:rsid w:val="00971C68"/>
    <w:rsid w:val="00971C78"/>
    <w:rsid w:val="00971C9D"/>
    <w:rsid w:val="00971CBF"/>
    <w:rsid w:val="00971CCC"/>
    <w:rsid w:val="00971CD6"/>
    <w:rsid w:val="00971CEC"/>
    <w:rsid w:val="00971CF8"/>
    <w:rsid w:val="00971D28"/>
    <w:rsid w:val="00971D43"/>
    <w:rsid w:val="00971D4B"/>
    <w:rsid w:val="00971D6E"/>
    <w:rsid w:val="00971DED"/>
    <w:rsid w:val="00971E0D"/>
    <w:rsid w:val="00971E2A"/>
    <w:rsid w:val="00971E2E"/>
    <w:rsid w:val="00971E41"/>
    <w:rsid w:val="00971E5F"/>
    <w:rsid w:val="00971E7E"/>
    <w:rsid w:val="00971EFA"/>
    <w:rsid w:val="00971F27"/>
    <w:rsid w:val="00971F39"/>
    <w:rsid w:val="00971F45"/>
    <w:rsid w:val="00971F59"/>
    <w:rsid w:val="00971F81"/>
    <w:rsid w:val="00972024"/>
    <w:rsid w:val="0097203B"/>
    <w:rsid w:val="00972095"/>
    <w:rsid w:val="009720C8"/>
    <w:rsid w:val="009720C9"/>
    <w:rsid w:val="009720CE"/>
    <w:rsid w:val="009720EE"/>
    <w:rsid w:val="0097212D"/>
    <w:rsid w:val="0097214B"/>
    <w:rsid w:val="00972154"/>
    <w:rsid w:val="009721B9"/>
    <w:rsid w:val="009721CB"/>
    <w:rsid w:val="009721D7"/>
    <w:rsid w:val="009721FE"/>
    <w:rsid w:val="0097223B"/>
    <w:rsid w:val="00972259"/>
    <w:rsid w:val="0097225F"/>
    <w:rsid w:val="009722F1"/>
    <w:rsid w:val="00972300"/>
    <w:rsid w:val="00972318"/>
    <w:rsid w:val="00972328"/>
    <w:rsid w:val="00972360"/>
    <w:rsid w:val="0097242E"/>
    <w:rsid w:val="00972435"/>
    <w:rsid w:val="0097243B"/>
    <w:rsid w:val="00972461"/>
    <w:rsid w:val="009724B0"/>
    <w:rsid w:val="009724C7"/>
    <w:rsid w:val="009724F7"/>
    <w:rsid w:val="00972538"/>
    <w:rsid w:val="0097253D"/>
    <w:rsid w:val="009725E8"/>
    <w:rsid w:val="00972601"/>
    <w:rsid w:val="0097260C"/>
    <w:rsid w:val="00972660"/>
    <w:rsid w:val="009726EE"/>
    <w:rsid w:val="0097273E"/>
    <w:rsid w:val="00972744"/>
    <w:rsid w:val="009727ED"/>
    <w:rsid w:val="009727F8"/>
    <w:rsid w:val="009727FD"/>
    <w:rsid w:val="00972839"/>
    <w:rsid w:val="00972843"/>
    <w:rsid w:val="00972861"/>
    <w:rsid w:val="009728ED"/>
    <w:rsid w:val="00972910"/>
    <w:rsid w:val="0097291E"/>
    <w:rsid w:val="00972942"/>
    <w:rsid w:val="00972978"/>
    <w:rsid w:val="00972A0C"/>
    <w:rsid w:val="00972A23"/>
    <w:rsid w:val="00972AC6"/>
    <w:rsid w:val="00972AD7"/>
    <w:rsid w:val="00972AEE"/>
    <w:rsid w:val="00972B48"/>
    <w:rsid w:val="00972BDA"/>
    <w:rsid w:val="00972BFE"/>
    <w:rsid w:val="00972C20"/>
    <w:rsid w:val="00972C40"/>
    <w:rsid w:val="00972C69"/>
    <w:rsid w:val="00972C84"/>
    <w:rsid w:val="00972CFA"/>
    <w:rsid w:val="00972D23"/>
    <w:rsid w:val="00972D2B"/>
    <w:rsid w:val="00972D34"/>
    <w:rsid w:val="00972D36"/>
    <w:rsid w:val="00972D5D"/>
    <w:rsid w:val="00972D84"/>
    <w:rsid w:val="00972E4D"/>
    <w:rsid w:val="00972E95"/>
    <w:rsid w:val="00972EAD"/>
    <w:rsid w:val="00972EDE"/>
    <w:rsid w:val="00972F0A"/>
    <w:rsid w:val="00972F64"/>
    <w:rsid w:val="00972F7A"/>
    <w:rsid w:val="00972FEB"/>
    <w:rsid w:val="0097300E"/>
    <w:rsid w:val="0097305B"/>
    <w:rsid w:val="00973081"/>
    <w:rsid w:val="009730A2"/>
    <w:rsid w:val="009730A4"/>
    <w:rsid w:val="009730AC"/>
    <w:rsid w:val="0097318B"/>
    <w:rsid w:val="009731C0"/>
    <w:rsid w:val="009731F9"/>
    <w:rsid w:val="00973240"/>
    <w:rsid w:val="00973285"/>
    <w:rsid w:val="00973287"/>
    <w:rsid w:val="0097328D"/>
    <w:rsid w:val="00973327"/>
    <w:rsid w:val="0097332B"/>
    <w:rsid w:val="00973335"/>
    <w:rsid w:val="00973337"/>
    <w:rsid w:val="0097333B"/>
    <w:rsid w:val="0097335C"/>
    <w:rsid w:val="009733F1"/>
    <w:rsid w:val="009733F6"/>
    <w:rsid w:val="0097340F"/>
    <w:rsid w:val="0097341C"/>
    <w:rsid w:val="0097356C"/>
    <w:rsid w:val="00973635"/>
    <w:rsid w:val="00973685"/>
    <w:rsid w:val="00973694"/>
    <w:rsid w:val="009736A0"/>
    <w:rsid w:val="009736CA"/>
    <w:rsid w:val="009736F5"/>
    <w:rsid w:val="0097372F"/>
    <w:rsid w:val="0097377F"/>
    <w:rsid w:val="0097379C"/>
    <w:rsid w:val="009737B8"/>
    <w:rsid w:val="009737DB"/>
    <w:rsid w:val="00973815"/>
    <w:rsid w:val="0097382A"/>
    <w:rsid w:val="0097383B"/>
    <w:rsid w:val="0097387D"/>
    <w:rsid w:val="00973898"/>
    <w:rsid w:val="009738B0"/>
    <w:rsid w:val="009738F3"/>
    <w:rsid w:val="009738FA"/>
    <w:rsid w:val="009739A1"/>
    <w:rsid w:val="009739BA"/>
    <w:rsid w:val="00973A07"/>
    <w:rsid w:val="00973A3B"/>
    <w:rsid w:val="00973A44"/>
    <w:rsid w:val="00973A56"/>
    <w:rsid w:val="00973A6E"/>
    <w:rsid w:val="00973AB3"/>
    <w:rsid w:val="00973ABE"/>
    <w:rsid w:val="00973AC3"/>
    <w:rsid w:val="00973AF8"/>
    <w:rsid w:val="00973B01"/>
    <w:rsid w:val="00973B1A"/>
    <w:rsid w:val="00973BC6"/>
    <w:rsid w:val="00973CCA"/>
    <w:rsid w:val="00973D25"/>
    <w:rsid w:val="00973D53"/>
    <w:rsid w:val="00973DBC"/>
    <w:rsid w:val="00973E1B"/>
    <w:rsid w:val="00973E26"/>
    <w:rsid w:val="00973EA2"/>
    <w:rsid w:val="00973F14"/>
    <w:rsid w:val="00973F67"/>
    <w:rsid w:val="00973F6A"/>
    <w:rsid w:val="00973FA2"/>
    <w:rsid w:val="00973FD3"/>
    <w:rsid w:val="00973FE4"/>
    <w:rsid w:val="009740A5"/>
    <w:rsid w:val="009740CA"/>
    <w:rsid w:val="009740CE"/>
    <w:rsid w:val="0097411E"/>
    <w:rsid w:val="0097418C"/>
    <w:rsid w:val="00974196"/>
    <w:rsid w:val="009741B7"/>
    <w:rsid w:val="009741C5"/>
    <w:rsid w:val="00974227"/>
    <w:rsid w:val="00974250"/>
    <w:rsid w:val="00974254"/>
    <w:rsid w:val="00974259"/>
    <w:rsid w:val="00974278"/>
    <w:rsid w:val="0097429D"/>
    <w:rsid w:val="009742D0"/>
    <w:rsid w:val="009742F2"/>
    <w:rsid w:val="009742F5"/>
    <w:rsid w:val="00974323"/>
    <w:rsid w:val="009743AF"/>
    <w:rsid w:val="009743D1"/>
    <w:rsid w:val="009743E2"/>
    <w:rsid w:val="00974414"/>
    <w:rsid w:val="00974438"/>
    <w:rsid w:val="0097443B"/>
    <w:rsid w:val="00974476"/>
    <w:rsid w:val="00974558"/>
    <w:rsid w:val="00974585"/>
    <w:rsid w:val="00974593"/>
    <w:rsid w:val="0097459B"/>
    <w:rsid w:val="009745A8"/>
    <w:rsid w:val="009745AE"/>
    <w:rsid w:val="00974703"/>
    <w:rsid w:val="00974739"/>
    <w:rsid w:val="009747D3"/>
    <w:rsid w:val="00974839"/>
    <w:rsid w:val="00974854"/>
    <w:rsid w:val="00974892"/>
    <w:rsid w:val="009748BC"/>
    <w:rsid w:val="00974948"/>
    <w:rsid w:val="00974954"/>
    <w:rsid w:val="00974A1C"/>
    <w:rsid w:val="00974A36"/>
    <w:rsid w:val="00974A65"/>
    <w:rsid w:val="00974ABF"/>
    <w:rsid w:val="00974AF5"/>
    <w:rsid w:val="00974BA2"/>
    <w:rsid w:val="00974BBE"/>
    <w:rsid w:val="00974CB0"/>
    <w:rsid w:val="00974CE9"/>
    <w:rsid w:val="00974CF7"/>
    <w:rsid w:val="00974D80"/>
    <w:rsid w:val="00974D94"/>
    <w:rsid w:val="00974DA1"/>
    <w:rsid w:val="00974DC9"/>
    <w:rsid w:val="00974DD5"/>
    <w:rsid w:val="00974DDB"/>
    <w:rsid w:val="00974DE4"/>
    <w:rsid w:val="00974E4F"/>
    <w:rsid w:val="00974E55"/>
    <w:rsid w:val="00974E57"/>
    <w:rsid w:val="00974E7D"/>
    <w:rsid w:val="00974EFA"/>
    <w:rsid w:val="00974F27"/>
    <w:rsid w:val="00974F2A"/>
    <w:rsid w:val="00974FC3"/>
    <w:rsid w:val="00975001"/>
    <w:rsid w:val="009750ED"/>
    <w:rsid w:val="009750EE"/>
    <w:rsid w:val="009750F6"/>
    <w:rsid w:val="00975105"/>
    <w:rsid w:val="0097516B"/>
    <w:rsid w:val="009751D6"/>
    <w:rsid w:val="00975256"/>
    <w:rsid w:val="00975290"/>
    <w:rsid w:val="009752A0"/>
    <w:rsid w:val="009752DD"/>
    <w:rsid w:val="00975305"/>
    <w:rsid w:val="00975375"/>
    <w:rsid w:val="009753AA"/>
    <w:rsid w:val="009753B0"/>
    <w:rsid w:val="009753E2"/>
    <w:rsid w:val="009753E9"/>
    <w:rsid w:val="0097540E"/>
    <w:rsid w:val="00975503"/>
    <w:rsid w:val="00975507"/>
    <w:rsid w:val="00975512"/>
    <w:rsid w:val="00975519"/>
    <w:rsid w:val="0097551E"/>
    <w:rsid w:val="00975527"/>
    <w:rsid w:val="0097562D"/>
    <w:rsid w:val="00975645"/>
    <w:rsid w:val="0097565E"/>
    <w:rsid w:val="0097569A"/>
    <w:rsid w:val="009756AE"/>
    <w:rsid w:val="00975700"/>
    <w:rsid w:val="0097579E"/>
    <w:rsid w:val="009757DE"/>
    <w:rsid w:val="00975816"/>
    <w:rsid w:val="0097581A"/>
    <w:rsid w:val="009758CE"/>
    <w:rsid w:val="009758CF"/>
    <w:rsid w:val="0097590D"/>
    <w:rsid w:val="0097593D"/>
    <w:rsid w:val="00975A84"/>
    <w:rsid w:val="00975A9E"/>
    <w:rsid w:val="00975ABE"/>
    <w:rsid w:val="00975AFE"/>
    <w:rsid w:val="00975B28"/>
    <w:rsid w:val="00975B48"/>
    <w:rsid w:val="00975BDD"/>
    <w:rsid w:val="00975BDE"/>
    <w:rsid w:val="00975C1A"/>
    <w:rsid w:val="00975CD9"/>
    <w:rsid w:val="00975D24"/>
    <w:rsid w:val="00975D2F"/>
    <w:rsid w:val="00975D45"/>
    <w:rsid w:val="00975D55"/>
    <w:rsid w:val="00975D67"/>
    <w:rsid w:val="00975D77"/>
    <w:rsid w:val="00975D9D"/>
    <w:rsid w:val="00975E18"/>
    <w:rsid w:val="00975E63"/>
    <w:rsid w:val="00975E90"/>
    <w:rsid w:val="00975E99"/>
    <w:rsid w:val="00975EB3"/>
    <w:rsid w:val="00975EB4"/>
    <w:rsid w:val="00975F36"/>
    <w:rsid w:val="00975F90"/>
    <w:rsid w:val="00975FDA"/>
    <w:rsid w:val="0097602E"/>
    <w:rsid w:val="0097605F"/>
    <w:rsid w:val="0097609B"/>
    <w:rsid w:val="009760B8"/>
    <w:rsid w:val="009760C8"/>
    <w:rsid w:val="0097618B"/>
    <w:rsid w:val="00976198"/>
    <w:rsid w:val="009761A3"/>
    <w:rsid w:val="00976217"/>
    <w:rsid w:val="009762FE"/>
    <w:rsid w:val="00976308"/>
    <w:rsid w:val="00976386"/>
    <w:rsid w:val="00976392"/>
    <w:rsid w:val="009763AA"/>
    <w:rsid w:val="009763BF"/>
    <w:rsid w:val="009763D1"/>
    <w:rsid w:val="00976407"/>
    <w:rsid w:val="0097645B"/>
    <w:rsid w:val="0097648D"/>
    <w:rsid w:val="009764AC"/>
    <w:rsid w:val="00976524"/>
    <w:rsid w:val="00976583"/>
    <w:rsid w:val="0097661D"/>
    <w:rsid w:val="00976647"/>
    <w:rsid w:val="0097669D"/>
    <w:rsid w:val="009766E1"/>
    <w:rsid w:val="00976713"/>
    <w:rsid w:val="0097676C"/>
    <w:rsid w:val="00976775"/>
    <w:rsid w:val="0097678D"/>
    <w:rsid w:val="009767D0"/>
    <w:rsid w:val="009767F0"/>
    <w:rsid w:val="009767F6"/>
    <w:rsid w:val="009767FE"/>
    <w:rsid w:val="00976851"/>
    <w:rsid w:val="00976858"/>
    <w:rsid w:val="00976864"/>
    <w:rsid w:val="009769A2"/>
    <w:rsid w:val="009769CC"/>
    <w:rsid w:val="009769FF"/>
    <w:rsid w:val="00976B14"/>
    <w:rsid w:val="00976B49"/>
    <w:rsid w:val="00976BD2"/>
    <w:rsid w:val="00976BE7"/>
    <w:rsid w:val="00976BEF"/>
    <w:rsid w:val="00976BF9"/>
    <w:rsid w:val="00976C12"/>
    <w:rsid w:val="00976C45"/>
    <w:rsid w:val="00976C86"/>
    <w:rsid w:val="00976C8F"/>
    <w:rsid w:val="00976D2A"/>
    <w:rsid w:val="00976D54"/>
    <w:rsid w:val="00976D58"/>
    <w:rsid w:val="00976D82"/>
    <w:rsid w:val="00976D93"/>
    <w:rsid w:val="00976DF0"/>
    <w:rsid w:val="00976E62"/>
    <w:rsid w:val="00976EAA"/>
    <w:rsid w:val="00976F17"/>
    <w:rsid w:val="00976F24"/>
    <w:rsid w:val="00976F2C"/>
    <w:rsid w:val="00976F6E"/>
    <w:rsid w:val="00976F9B"/>
    <w:rsid w:val="00976FEE"/>
    <w:rsid w:val="00976FF1"/>
    <w:rsid w:val="0097702E"/>
    <w:rsid w:val="00977047"/>
    <w:rsid w:val="00977075"/>
    <w:rsid w:val="009770EF"/>
    <w:rsid w:val="0097710D"/>
    <w:rsid w:val="009771E9"/>
    <w:rsid w:val="009771EE"/>
    <w:rsid w:val="009771FE"/>
    <w:rsid w:val="0097722B"/>
    <w:rsid w:val="00977248"/>
    <w:rsid w:val="0097725A"/>
    <w:rsid w:val="009772D1"/>
    <w:rsid w:val="009772EC"/>
    <w:rsid w:val="0097738C"/>
    <w:rsid w:val="00977401"/>
    <w:rsid w:val="00977421"/>
    <w:rsid w:val="00977455"/>
    <w:rsid w:val="009774BA"/>
    <w:rsid w:val="009774C8"/>
    <w:rsid w:val="009774CE"/>
    <w:rsid w:val="0097753D"/>
    <w:rsid w:val="00977541"/>
    <w:rsid w:val="00977552"/>
    <w:rsid w:val="009775BC"/>
    <w:rsid w:val="00977617"/>
    <w:rsid w:val="00977630"/>
    <w:rsid w:val="00977716"/>
    <w:rsid w:val="00977743"/>
    <w:rsid w:val="0097774B"/>
    <w:rsid w:val="00977789"/>
    <w:rsid w:val="009777D2"/>
    <w:rsid w:val="009777E0"/>
    <w:rsid w:val="00977854"/>
    <w:rsid w:val="00977874"/>
    <w:rsid w:val="0097787E"/>
    <w:rsid w:val="009778A8"/>
    <w:rsid w:val="009778EC"/>
    <w:rsid w:val="009778F8"/>
    <w:rsid w:val="0097796B"/>
    <w:rsid w:val="009779DE"/>
    <w:rsid w:val="009779F5"/>
    <w:rsid w:val="00977A5A"/>
    <w:rsid w:val="00977A67"/>
    <w:rsid w:val="00977A76"/>
    <w:rsid w:val="00977A9A"/>
    <w:rsid w:val="00977AB7"/>
    <w:rsid w:val="00977AC6"/>
    <w:rsid w:val="00977AD8"/>
    <w:rsid w:val="00977AE6"/>
    <w:rsid w:val="00977B21"/>
    <w:rsid w:val="00977B40"/>
    <w:rsid w:val="00977B64"/>
    <w:rsid w:val="00977B92"/>
    <w:rsid w:val="00977BE6"/>
    <w:rsid w:val="00977C70"/>
    <w:rsid w:val="00977CA3"/>
    <w:rsid w:val="00977CCB"/>
    <w:rsid w:val="00977D25"/>
    <w:rsid w:val="00977DC1"/>
    <w:rsid w:val="00977DC8"/>
    <w:rsid w:val="00977DDA"/>
    <w:rsid w:val="00977DE6"/>
    <w:rsid w:val="00977F04"/>
    <w:rsid w:val="00977F2E"/>
    <w:rsid w:val="00977FA3"/>
    <w:rsid w:val="0098000E"/>
    <w:rsid w:val="00980068"/>
    <w:rsid w:val="00980092"/>
    <w:rsid w:val="009800A8"/>
    <w:rsid w:val="0098020E"/>
    <w:rsid w:val="00980212"/>
    <w:rsid w:val="0098023A"/>
    <w:rsid w:val="00980256"/>
    <w:rsid w:val="0098026F"/>
    <w:rsid w:val="0098028F"/>
    <w:rsid w:val="00980291"/>
    <w:rsid w:val="009802B4"/>
    <w:rsid w:val="009802BB"/>
    <w:rsid w:val="009802F9"/>
    <w:rsid w:val="00980337"/>
    <w:rsid w:val="00980353"/>
    <w:rsid w:val="00980365"/>
    <w:rsid w:val="00980373"/>
    <w:rsid w:val="0098038B"/>
    <w:rsid w:val="0098042A"/>
    <w:rsid w:val="009804FB"/>
    <w:rsid w:val="0098052C"/>
    <w:rsid w:val="00980591"/>
    <w:rsid w:val="0098059A"/>
    <w:rsid w:val="009805A1"/>
    <w:rsid w:val="009805E8"/>
    <w:rsid w:val="00980606"/>
    <w:rsid w:val="00980658"/>
    <w:rsid w:val="009806CE"/>
    <w:rsid w:val="009806DF"/>
    <w:rsid w:val="009806F3"/>
    <w:rsid w:val="0098070A"/>
    <w:rsid w:val="00980736"/>
    <w:rsid w:val="0098075B"/>
    <w:rsid w:val="0098076F"/>
    <w:rsid w:val="00980770"/>
    <w:rsid w:val="00980795"/>
    <w:rsid w:val="009807F9"/>
    <w:rsid w:val="00980802"/>
    <w:rsid w:val="00980865"/>
    <w:rsid w:val="0098088A"/>
    <w:rsid w:val="00980892"/>
    <w:rsid w:val="009808DA"/>
    <w:rsid w:val="0098092C"/>
    <w:rsid w:val="0098096E"/>
    <w:rsid w:val="009809BE"/>
    <w:rsid w:val="009809DB"/>
    <w:rsid w:val="009809F1"/>
    <w:rsid w:val="009809FB"/>
    <w:rsid w:val="009809FF"/>
    <w:rsid w:val="00980A1E"/>
    <w:rsid w:val="00980A85"/>
    <w:rsid w:val="00980B1B"/>
    <w:rsid w:val="00980B4B"/>
    <w:rsid w:val="00980B72"/>
    <w:rsid w:val="00980BB6"/>
    <w:rsid w:val="00980BC2"/>
    <w:rsid w:val="00980BE8"/>
    <w:rsid w:val="00980C08"/>
    <w:rsid w:val="00980C13"/>
    <w:rsid w:val="00980CBA"/>
    <w:rsid w:val="00980CD0"/>
    <w:rsid w:val="00980D0F"/>
    <w:rsid w:val="00980D21"/>
    <w:rsid w:val="00980D4D"/>
    <w:rsid w:val="00980D77"/>
    <w:rsid w:val="00980D9D"/>
    <w:rsid w:val="00980DEC"/>
    <w:rsid w:val="00980E8F"/>
    <w:rsid w:val="00980ECE"/>
    <w:rsid w:val="00980EF2"/>
    <w:rsid w:val="00980F1C"/>
    <w:rsid w:val="00980F1E"/>
    <w:rsid w:val="00980F38"/>
    <w:rsid w:val="00980F45"/>
    <w:rsid w:val="00980F63"/>
    <w:rsid w:val="00980F84"/>
    <w:rsid w:val="00980F92"/>
    <w:rsid w:val="00980FD2"/>
    <w:rsid w:val="00980FF6"/>
    <w:rsid w:val="009810A6"/>
    <w:rsid w:val="0098115D"/>
    <w:rsid w:val="00981188"/>
    <w:rsid w:val="009811D2"/>
    <w:rsid w:val="009811D3"/>
    <w:rsid w:val="0098123A"/>
    <w:rsid w:val="00981243"/>
    <w:rsid w:val="00981319"/>
    <w:rsid w:val="0098137E"/>
    <w:rsid w:val="009813AD"/>
    <w:rsid w:val="009813BB"/>
    <w:rsid w:val="00981474"/>
    <w:rsid w:val="009814BD"/>
    <w:rsid w:val="009814C5"/>
    <w:rsid w:val="00981501"/>
    <w:rsid w:val="0098152A"/>
    <w:rsid w:val="00981550"/>
    <w:rsid w:val="00981585"/>
    <w:rsid w:val="009815A3"/>
    <w:rsid w:val="009815AB"/>
    <w:rsid w:val="00981614"/>
    <w:rsid w:val="00981642"/>
    <w:rsid w:val="00981698"/>
    <w:rsid w:val="009816BA"/>
    <w:rsid w:val="009816BE"/>
    <w:rsid w:val="009816E8"/>
    <w:rsid w:val="00981736"/>
    <w:rsid w:val="00981782"/>
    <w:rsid w:val="009817AF"/>
    <w:rsid w:val="009817D9"/>
    <w:rsid w:val="00981819"/>
    <w:rsid w:val="00981836"/>
    <w:rsid w:val="00981838"/>
    <w:rsid w:val="0098183D"/>
    <w:rsid w:val="0098189A"/>
    <w:rsid w:val="009818DD"/>
    <w:rsid w:val="009818E9"/>
    <w:rsid w:val="00981913"/>
    <w:rsid w:val="00981925"/>
    <w:rsid w:val="00981997"/>
    <w:rsid w:val="00981A1A"/>
    <w:rsid w:val="00981A7B"/>
    <w:rsid w:val="00981AC1"/>
    <w:rsid w:val="00981B17"/>
    <w:rsid w:val="00981B4B"/>
    <w:rsid w:val="00981BB4"/>
    <w:rsid w:val="00981C05"/>
    <w:rsid w:val="00981C2A"/>
    <w:rsid w:val="00981C70"/>
    <w:rsid w:val="00981C72"/>
    <w:rsid w:val="00981C8E"/>
    <w:rsid w:val="00981C9F"/>
    <w:rsid w:val="00981CD5"/>
    <w:rsid w:val="00981CE5"/>
    <w:rsid w:val="00981D05"/>
    <w:rsid w:val="00981D25"/>
    <w:rsid w:val="00981D7D"/>
    <w:rsid w:val="00981DEF"/>
    <w:rsid w:val="00981E3B"/>
    <w:rsid w:val="00981EB1"/>
    <w:rsid w:val="00981EBE"/>
    <w:rsid w:val="00981ECA"/>
    <w:rsid w:val="00981F7E"/>
    <w:rsid w:val="00981FD6"/>
    <w:rsid w:val="0098200C"/>
    <w:rsid w:val="00982083"/>
    <w:rsid w:val="0098209B"/>
    <w:rsid w:val="0098209C"/>
    <w:rsid w:val="009820D1"/>
    <w:rsid w:val="00982118"/>
    <w:rsid w:val="00982132"/>
    <w:rsid w:val="00982140"/>
    <w:rsid w:val="00982147"/>
    <w:rsid w:val="00982165"/>
    <w:rsid w:val="009821D0"/>
    <w:rsid w:val="009822A4"/>
    <w:rsid w:val="009822E0"/>
    <w:rsid w:val="009823A0"/>
    <w:rsid w:val="0098241B"/>
    <w:rsid w:val="00982460"/>
    <w:rsid w:val="009824D5"/>
    <w:rsid w:val="009824E9"/>
    <w:rsid w:val="009824F0"/>
    <w:rsid w:val="00982518"/>
    <w:rsid w:val="0098251A"/>
    <w:rsid w:val="009825A3"/>
    <w:rsid w:val="009825E6"/>
    <w:rsid w:val="009826E4"/>
    <w:rsid w:val="009826F4"/>
    <w:rsid w:val="009826FD"/>
    <w:rsid w:val="00982701"/>
    <w:rsid w:val="0098272D"/>
    <w:rsid w:val="00982790"/>
    <w:rsid w:val="009827C3"/>
    <w:rsid w:val="00982804"/>
    <w:rsid w:val="00982815"/>
    <w:rsid w:val="0098281F"/>
    <w:rsid w:val="0098283D"/>
    <w:rsid w:val="0098284E"/>
    <w:rsid w:val="00982857"/>
    <w:rsid w:val="009828B3"/>
    <w:rsid w:val="00982909"/>
    <w:rsid w:val="0098293C"/>
    <w:rsid w:val="0098299F"/>
    <w:rsid w:val="00982A20"/>
    <w:rsid w:val="00982A47"/>
    <w:rsid w:val="00982B24"/>
    <w:rsid w:val="00982B34"/>
    <w:rsid w:val="00982B9E"/>
    <w:rsid w:val="00982BCB"/>
    <w:rsid w:val="00982BD0"/>
    <w:rsid w:val="00982BE9"/>
    <w:rsid w:val="00982CD0"/>
    <w:rsid w:val="00982D17"/>
    <w:rsid w:val="00982D1F"/>
    <w:rsid w:val="00982DC7"/>
    <w:rsid w:val="00982DCC"/>
    <w:rsid w:val="00982E14"/>
    <w:rsid w:val="00982E1E"/>
    <w:rsid w:val="00982E47"/>
    <w:rsid w:val="00982E67"/>
    <w:rsid w:val="00982E6B"/>
    <w:rsid w:val="00982E82"/>
    <w:rsid w:val="00982E8C"/>
    <w:rsid w:val="00982EAE"/>
    <w:rsid w:val="00982EC0"/>
    <w:rsid w:val="00982F39"/>
    <w:rsid w:val="00982F68"/>
    <w:rsid w:val="00982FA3"/>
    <w:rsid w:val="00982FFD"/>
    <w:rsid w:val="0098301A"/>
    <w:rsid w:val="00983063"/>
    <w:rsid w:val="00983067"/>
    <w:rsid w:val="009830E4"/>
    <w:rsid w:val="00983110"/>
    <w:rsid w:val="00983339"/>
    <w:rsid w:val="0098333A"/>
    <w:rsid w:val="00983347"/>
    <w:rsid w:val="00983371"/>
    <w:rsid w:val="009833B0"/>
    <w:rsid w:val="00983412"/>
    <w:rsid w:val="00983441"/>
    <w:rsid w:val="00983449"/>
    <w:rsid w:val="00983460"/>
    <w:rsid w:val="00983476"/>
    <w:rsid w:val="009834C5"/>
    <w:rsid w:val="009834E0"/>
    <w:rsid w:val="0098351F"/>
    <w:rsid w:val="00983554"/>
    <w:rsid w:val="00983557"/>
    <w:rsid w:val="0098357E"/>
    <w:rsid w:val="009835BA"/>
    <w:rsid w:val="009835BE"/>
    <w:rsid w:val="0098360D"/>
    <w:rsid w:val="0098363B"/>
    <w:rsid w:val="009836D7"/>
    <w:rsid w:val="009836E5"/>
    <w:rsid w:val="009836EA"/>
    <w:rsid w:val="00983773"/>
    <w:rsid w:val="009837AC"/>
    <w:rsid w:val="009837B8"/>
    <w:rsid w:val="009837D9"/>
    <w:rsid w:val="009837F4"/>
    <w:rsid w:val="00983823"/>
    <w:rsid w:val="009838C4"/>
    <w:rsid w:val="009838DB"/>
    <w:rsid w:val="009838E9"/>
    <w:rsid w:val="009839BD"/>
    <w:rsid w:val="009839C1"/>
    <w:rsid w:val="00983A48"/>
    <w:rsid w:val="00983A71"/>
    <w:rsid w:val="00983AA1"/>
    <w:rsid w:val="00983B05"/>
    <w:rsid w:val="00983B30"/>
    <w:rsid w:val="00983B6D"/>
    <w:rsid w:val="00983BC4"/>
    <w:rsid w:val="00983BC5"/>
    <w:rsid w:val="00983BF0"/>
    <w:rsid w:val="00983C56"/>
    <w:rsid w:val="00983C7B"/>
    <w:rsid w:val="00983C9E"/>
    <w:rsid w:val="00983C9F"/>
    <w:rsid w:val="00983CDB"/>
    <w:rsid w:val="00983D33"/>
    <w:rsid w:val="00983D72"/>
    <w:rsid w:val="00983DE8"/>
    <w:rsid w:val="00983E40"/>
    <w:rsid w:val="00983E59"/>
    <w:rsid w:val="00983EA7"/>
    <w:rsid w:val="00983EEA"/>
    <w:rsid w:val="00983F84"/>
    <w:rsid w:val="00983F94"/>
    <w:rsid w:val="00983FC1"/>
    <w:rsid w:val="00983FCE"/>
    <w:rsid w:val="00984009"/>
    <w:rsid w:val="00984034"/>
    <w:rsid w:val="00984053"/>
    <w:rsid w:val="0098406A"/>
    <w:rsid w:val="00984080"/>
    <w:rsid w:val="0098412B"/>
    <w:rsid w:val="00984130"/>
    <w:rsid w:val="0098415B"/>
    <w:rsid w:val="009841C1"/>
    <w:rsid w:val="009841C2"/>
    <w:rsid w:val="009841F5"/>
    <w:rsid w:val="0098420F"/>
    <w:rsid w:val="00984216"/>
    <w:rsid w:val="00984229"/>
    <w:rsid w:val="009842AC"/>
    <w:rsid w:val="00984304"/>
    <w:rsid w:val="00984329"/>
    <w:rsid w:val="00984350"/>
    <w:rsid w:val="00984355"/>
    <w:rsid w:val="0098436B"/>
    <w:rsid w:val="009843A4"/>
    <w:rsid w:val="009843A9"/>
    <w:rsid w:val="0098442A"/>
    <w:rsid w:val="00984435"/>
    <w:rsid w:val="00984446"/>
    <w:rsid w:val="0098446D"/>
    <w:rsid w:val="009844E8"/>
    <w:rsid w:val="00984512"/>
    <w:rsid w:val="0098453E"/>
    <w:rsid w:val="00984562"/>
    <w:rsid w:val="0098456E"/>
    <w:rsid w:val="00984571"/>
    <w:rsid w:val="00984594"/>
    <w:rsid w:val="009845FF"/>
    <w:rsid w:val="0098460F"/>
    <w:rsid w:val="00984673"/>
    <w:rsid w:val="00984690"/>
    <w:rsid w:val="0098472A"/>
    <w:rsid w:val="009847B7"/>
    <w:rsid w:val="009847F2"/>
    <w:rsid w:val="00984809"/>
    <w:rsid w:val="00984817"/>
    <w:rsid w:val="00984819"/>
    <w:rsid w:val="00984861"/>
    <w:rsid w:val="00984868"/>
    <w:rsid w:val="009848CC"/>
    <w:rsid w:val="00984918"/>
    <w:rsid w:val="00984952"/>
    <w:rsid w:val="009849A0"/>
    <w:rsid w:val="009849C0"/>
    <w:rsid w:val="009849CE"/>
    <w:rsid w:val="009849EF"/>
    <w:rsid w:val="009849F7"/>
    <w:rsid w:val="00984A15"/>
    <w:rsid w:val="00984A28"/>
    <w:rsid w:val="00984A2E"/>
    <w:rsid w:val="00984A42"/>
    <w:rsid w:val="00984ABC"/>
    <w:rsid w:val="00984AD9"/>
    <w:rsid w:val="00984B3C"/>
    <w:rsid w:val="00984BC2"/>
    <w:rsid w:val="00984BF4"/>
    <w:rsid w:val="00984C36"/>
    <w:rsid w:val="00984C75"/>
    <w:rsid w:val="00984CE3"/>
    <w:rsid w:val="00984D03"/>
    <w:rsid w:val="00984D19"/>
    <w:rsid w:val="00984D25"/>
    <w:rsid w:val="00984D41"/>
    <w:rsid w:val="00984D63"/>
    <w:rsid w:val="00984D64"/>
    <w:rsid w:val="00984D7D"/>
    <w:rsid w:val="00984D87"/>
    <w:rsid w:val="00984D9E"/>
    <w:rsid w:val="00984DDA"/>
    <w:rsid w:val="00984E0B"/>
    <w:rsid w:val="00984E22"/>
    <w:rsid w:val="00984E26"/>
    <w:rsid w:val="00984E53"/>
    <w:rsid w:val="00984E64"/>
    <w:rsid w:val="00984E6A"/>
    <w:rsid w:val="00984E95"/>
    <w:rsid w:val="00984EC9"/>
    <w:rsid w:val="00984F08"/>
    <w:rsid w:val="00984FCB"/>
    <w:rsid w:val="00984FF6"/>
    <w:rsid w:val="0098501B"/>
    <w:rsid w:val="00985034"/>
    <w:rsid w:val="009850DF"/>
    <w:rsid w:val="009850E2"/>
    <w:rsid w:val="009850EB"/>
    <w:rsid w:val="00985119"/>
    <w:rsid w:val="0098514C"/>
    <w:rsid w:val="0098515A"/>
    <w:rsid w:val="00985201"/>
    <w:rsid w:val="00985215"/>
    <w:rsid w:val="0098522E"/>
    <w:rsid w:val="00985292"/>
    <w:rsid w:val="009852B1"/>
    <w:rsid w:val="00985330"/>
    <w:rsid w:val="00985349"/>
    <w:rsid w:val="009853BF"/>
    <w:rsid w:val="00985422"/>
    <w:rsid w:val="00985494"/>
    <w:rsid w:val="0098549B"/>
    <w:rsid w:val="009854B5"/>
    <w:rsid w:val="0098550D"/>
    <w:rsid w:val="00985514"/>
    <w:rsid w:val="00985540"/>
    <w:rsid w:val="00985541"/>
    <w:rsid w:val="009855B2"/>
    <w:rsid w:val="009855C1"/>
    <w:rsid w:val="00985658"/>
    <w:rsid w:val="00985667"/>
    <w:rsid w:val="0098571C"/>
    <w:rsid w:val="0098572F"/>
    <w:rsid w:val="009857AA"/>
    <w:rsid w:val="009857D4"/>
    <w:rsid w:val="009857EF"/>
    <w:rsid w:val="009857F9"/>
    <w:rsid w:val="00985815"/>
    <w:rsid w:val="00985857"/>
    <w:rsid w:val="00985890"/>
    <w:rsid w:val="009858D8"/>
    <w:rsid w:val="009858E9"/>
    <w:rsid w:val="00985996"/>
    <w:rsid w:val="00985A65"/>
    <w:rsid w:val="00985AB9"/>
    <w:rsid w:val="00985ADA"/>
    <w:rsid w:val="00985B25"/>
    <w:rsid w:val="00985B26"/>
    <w:rsid w:val="00985B63"/>
    <w:rsid w:val="00985B97"/>
    <w:rsid w:val="00985BA4"/>
    <w:rsid w:val="00985BA8"/>
    <w:rsid w:val="00985BDA"/>
    <w:rsid w:val="00985C3D"/>
    <w:rsid w:val="00985C97"/>
    <w:rsid w:val="00985D06"/>
    <w:rsid w:val="00985D46"/>
    <w:rsid w:val="00985D9B"/>
    <w:rsid w:val="00985DBB"/>
    <w:rsid w:val="00985E2F"/>
    <w:rsid w:val="00985E3C"/>
    <w:rsid w:val="00985EBC"/>
    <w:rsid w:val="00985F72"/>
    <w:rsid w:val="00985FA4"/>
    <w:rsid w:val="00985FE1"/>
    <w:rsid w:val="00985FEA"/>
    <w:rsid w:val="00986094"/>
    <w:rsid w:val="009860A8"/>
    <w:rsid w:val="009860F0"/>
    <w:rsid w:val="00986120"/>
    <w:rsid w:val="0098613E"/>
    <w:rsid w:val="00986143"/>
    <w:rsid w:val="00986163"/>
    <w:rsid w:val="00986179"/>
    <w:rsid w:val="009861E6"/>
    <w:rsid w:val="009861EE"/>
    <w:rsid w:val="00986219"/>
    <w:rsid w:val="00986221"/>
    <w:rsid w:val="0098624D"/>
    <w:rsid w:val="0098629B"/>
    <w:rsid w:val="009862C7"/>
    <w:rsid w:val="009862E9"/>
    <w:rsid w:val="009862F5"/>
    <w:rsid w:val="0098633C"/>
    <w:rsid w:val="0098643B"/>
    <w:rsid w:val="00986477"/>
    <w:rsid w:val="00986498"/>
    <w:rsid w:val="009864E4"/>
    <w:rsid w:val="00986502"/>
    <w:rsid w:val="00986520"/>
    <w:rsid w:val="00986547"/>
    <w:rsid w:val="0098658F"/>
    <w:rsid w:val="009865A4"/>
    <w:rsid w:val="009865F9"/>
    <w:rsid w:val="00986615"/>
    <w:rsid w:val="009866B7"/>
    <w:rsid w:val="00986742"/>
    <w:rsid w:val="009867E4"/>
    <w:rsid w:val="0098689D"/>
    <w:rsid w:val="009868FD"/>
    <w:rsid w:val="0098693C"/>
    <w:rsid w:val="00986994"/>
    <w:rsid w:val="009869B3"/>
    <w:rsid w:val="00986A47"/>
    <w:rsid w:val="00986A66"/>
    <w:rsid w:val="00986C14"/>
    <w:rsid w:val="00986C50"/>
    <w:rsid w:val="00986C78"/>
    <w:rsid w:val="00986C9D"/>
    <w:rsid w:val="00986D65"/>
    <w:rsid w:val="00986DA1"/>
    <w:rsid w:val="00986E93"/>
    <w:rsid w:val="00986EC9"/>
    <w:rsid w:val="00986F05"/>
    <w:rsid w:val="00986F59"/>
    <w:rsid w:val="00986F62"/>
    <w:rsid w:val="00986F78"/>
    <w:rsid w:val="00986F9C"/>
    <w:rsid w:val="00986FF2"/>
    <w:rsid w:val="00987025"/>
    <w:rsid w:val="00987078"/>
    <w:rsid w:val="009870BB"/>
    <w:rsid w:val="009870DB"/>
    <w:rsid w:val="009870F8"/>
    <w:rsid w:val="00987191"/>
    <w:rsid w:val="009871E8"/>
    <w:rsid w:val="009871F4"/>
    <w:rsid w:val="00987219"/>
    <w:rsid w:val="00987243"/>
    <w:rsid w:val="009872A7"/>
    <w:rsid w:val="009872A8"/>
    <w:rsid w:val="009872AF"/>
    <w:rsid w:val="0098731A"/>
    <w:rsid w:val="00987328"/>
    <w:rsid w:val="00987362"/>
    <w:rsid w:val="00987411"/>
    <w:rsid w:val="0098743A"/>
    <w:rsid w:val="00987455"/>
    <w:rsid w:val="0098748B"/>
    <w:rsid w:val="00987494"/>
    <w:rsid w:val="009874B0"/>
    <w:rsid w:val="009874BF"/>
    <w:rsid w:val="009874C3"/>
    <w:rsid w:val="009874FB"/>
    <w:rsid w:val="009874FC"/>
    <w:rsid w:val="0098751F"/>
    <w:rsid w:val="00987559"/>
    <w:rsid w:val="00987591"/>
    <w:rsid w:val="00987599"/>
    <w:rsid w:val="009876A4"/>
    <w:rsid w:val="00987705"/>
    <w:rsid w:val="00987715"/>
    <w:rsid w:val="00987733"/>
    <w:rsid w:val="0098778C"/>
    <w:rsid w:val="00987808"/>
    <w:rsid w:val="00987843"/>
    <w:rsid w:val="00987891"/>
    <w:rsid w:val="009878B0"/>
    <w:rsid w:val="009878C9"/>
    <w:rsid w:val="00987953"/>
    <w:rsid w:val="00987990"/>
    <w:rsid w:val="00987993"/>
    <w:rsid w:val="009879B3"/>
    <w:rsid w:val="009879DD"/>
    <w:rsid w:val="009879EF"/>
    <w:rsid w:val="00987A0D"/>
    <w:rsid w:val="00987A42"/>
    <w:rsid w:val="00987A55"/>
    <w:rsid w:val="00987A58"/>
    <w:rsid w:val="00987A88"/>
    <w:rsid w:val="00987AA9"/>
    <w:rsid w:val="00987AF9"/>
    <w:rsid w:val="00987B18"/>
    <w:rsid w:val="00987B22"/>
    <w:rsid w:val="00987B7A"/>
    <w:rsid w:val="00987B9E"/>
    <w:rsid w:val="00987BAD"/>
    <w:rsid w:val="00987BD4"/>
    <w:rsid w:val="00987C2C"/>
    <w:rsid w:val="00987C2E"/>
    <w:rsid w:val="00987C50"/>
    <w:rsid w:val="00987C95"/>
    <w:rsid w:val="00987CB1"/>
    <w:rsid w:val="00987CCD"/>
    <w:rsid w:val="00987CCE"/>
    <w:rsid w:val="00987CDA"/>
    <w:rsid w:val="00987CE5"/>
    <w:rsid w:val="00987D01"/>
    <w:rsid w:val="00987D05"/>
    <w:rsid w:val="00987D9A"/>
    <w:rsid w:val="00987DBC"/>
    <w:rsid w:val="00987DCE"/>
    <w:rsid w:val="00987E18"/>
    <w:rsid w:val="00987E3E"/>
    <w:rsid w:val="00987EA5"/>
    <w:rsid w:val="00987F37"/>
    <w:rsid w:val="00987F6C"/>
    <w:rsid w:val="00987FB8"/>
    <w:rsid w:val="00987FFA"/>
    <w:rsid w:val="00987FFC"/>
    <w:rsid w:val="0098CCD7"/>
    <w:rsid w:val="00990054"/>
    <w:rsid w:val="009900AF"/>
    <w:rsid w:val="009900E5"/>
    <w:rsid w:val="009900EC"/>
    <w:rsid w:val="00990135"/>
    <w:rsid w:val="0099014D"/>
    <w:rsid w:val="0099017E"/>
    <w:rsid w:val="0099017F"/>
    <w:rsid w:val="009901B5"/>
    <w:rsid w:val="00990237"/>
    <w:rsid w:val="0099025A"/>
    <w:rsid w:val="0099025D"/>
    <w:rsid w:val="009902BB"/>
    <w:rsid w:val="009902BC"/>
    <w:rsid w:val="009902E0"/>
    <w:rsid w:val="009902F6"/>
    <w:rsid w:val="00990303"/>
    <w:rsid w:val="0099030D"/>
    <w:rsid w:val="0099031B"/>
    <w:rsid w:val="0099031E"/>
    <w:rsid w:val="0099035D"/>
    <w:rsid w:val="00990369"/>
    <w:rsid w:val="0099039C"/>
    <w:rsid w:val="009903AD"/>
    <w:rsid w:val="009903D5"/>
    <w:rsid w:val="0099040F"/>
    <w:rsid w:val="00990469"/>
    <w:rsid w:val="0099047F"/>
    <w:rsid w:val="009904DB"/>
    <w:rsid w:val="00990507"/>
    <w:rsid w:val="00990538"/>
    <w:rsid w:val="00990657"/>
    <w:rsid w:val="00990681"/>
    <w:rsid w:val="009906C7"/>
    <w:rsid w:val="009906F1"/>
    <w:rsid w:val="009906F2"/>
    <w:rsid w:val="0099076B"/>
    <w:rsid w:val="009907BF"/>
    <w:rsid w:val="00990806"/>
    <w:rsid w:val="0099087C"/>
    <w:rsid w:val="00990884"/>
    <w:rsid w:val="009908C9"/>
    <w:rsid w:val="00990948"/>
    <w:rsid w:val="00990961"/>
    <w:rsid w:val="00990977"/>
    <w:rsid w:val="00990995"/>
    <w:rsid w:val="0099099F"/>
    <w:rsid w:val="009909A6"/>
    <w:rsid w:val="00990A5F"/>
    <w:rsid w:val="00990A6A"/>
    <w:rsid w:val="00990A8B"/>
    <w:rsid w:val="00990A9B"/>
    <w:rsid w:val="00990AA0"/>
    <w:rsid w:val="00990B28"/>
    <w:rsid w:val="00990B5A"/>
    <w:rsid w:val="00990BD2"/>
    <w:rsid w:val="00990BEE"/>
    <w:rsid w:val="00990C11"/>
    <w:rsid w:val="00990C3C"/>
    <w:rsid w:val="00990C90"/>
    <w:rsid w:val="00990CC9"/>
    <w:rsid w:val="00990D53"/>
    <w:rsid w:val="00990D59"/>
    <w:rsid w:val="00990D62"/>
    <w:rsid w:val="00990E2F"/>
    <w:rsid w:val="00990E6C"/>
    <w:rsid w:val="00990EA4"/>
    <w:rsid w:val="00990F66"/>
    <w:rsid w:val="00990FB9"/>
    <w:rsid w:val="00990FF9"/>
    <w:rsid w:val="00991026"/>
    <w:rsid w:val="00991061"/>
    <w:rsid w:val="009910AA"/>
    <w:rsid w:val="0099110A"/>
    <w:rsid w:val="00991152"/>
    <w:rsid w:val="00991193"/>
    <w:rsid w:val="00991195"/>
    <w:rsid w:val="009911B3"/>
    <w:rsid w:val="009911BE"/>
    <w:rsid w:val="009911D6"/>
    <w:rsid w:val="00991202"/>
    <w:rsid w:val="00991215"/>
    <w:rsid w:val="0099122F"/>
    <w:rsid w:val="009912ED"/>
    <w:rsid w:val="0099131C"/>
    <w:rsid w:val="009913A6"/>
    <w:rsid w:val="009913CE"/>
    <w:rsid w:val="009913D1"/>
    <w:rsid w:val="009913DE"/>
    <w:rsid w:val="00991448"/>
    <w:rsid w:val="00991467"/>
    <w:rsid w:val="009914B3"/>
    <w:rsid w:val="009914B8"/>
    <w:rsid w:val="0099155C"/>
    <w:rsid w:val="00991563"/>
    <w:rsid w:val="009915A5"/>
    <w:rsid w:val="009915B7"/>
    <w:rsid w:val="009915BA"/>
    <w:rsid w:val="00991664"/>
    <w:rsid w:val="0099167A"/>
    <w:rsid w:val="00991699"/>
    <w:rsid w:val="0099169F"/>
    <w:rsid w:val="009916D4"/>
    <w:rsid w:val="00991713"/>
    <w:rsid w:val="0099175B"/>
    <w:rsid w:val="00991798"/>
    <w:rsid w:val="009917DA"/>
    <w:rsid w:val="00991802"/>
    <w:rsid w:val="00991839"/>
    <w:rsid w:val="0099191F"/>
    <w:rsid w:val="0099195B"/>
    <w:rsid w:val="00991978"/>
    <w:rsid w:val="00991988"/>
    <w:rsid w:val="009919F7"/>
    <w:rsid w:val="00991A3B"/>
    <w:rsid w:val="00991A3C"/>
    <w:rsid w:val="00991A5E"/>
    <w:rsid w:val="00991A93"/>
    <w:rsid w:val="00991AC7"/>
    <w:rsid w:val="00991AD2"/>
    <w:rsid w:val="00991AEA"/>
    <w:rsid w:val="00991B46"/>
    <w:rsid w:val="00991C08"/>
    <w:rsid w:val="00991C61"/>
    <w:rsid w:val="00991CFD"/>
    <w:rsid w:val="00991D01"/>
    <w:rsid w:val="00991D0F"/>
    <w:rsid w:val="00991D1F"/>
    <w:rsid w:val="00991D2C"/>
    <w:rsid w:val="00991D7F"/>
    <w:rsid w:val="00991DC2"/>
    <w:rsid w:val="00991DFD"/>
    <w:rsid w:val="00991E2C"/>
    <w:rsid w:val="00991E70"/>
    <w:rsid w:val="00991E81"/>
    <w:rsid w:val="00991EC4"/>
    <w:rsid w:val="00991F02"/>
    <w:rsid w:val="00991F21"/>
    <w:rsid w:val="00991F31"/>
    <w:rsid w:val="00991F42"/>
    <w:rsid w:val="00991F70"/>
    <w:rsid w:val="00991F8F"/>
    <w:rsid w:val="00991FAA"/>
    <w:rsid w:val="00991FC6"/>
    <w:rsid w:val="0099200A"/>
    <w:rsid w:val="00992014"/>
    <w:rsid w:val="0099201B"/>
    <w:rsid w:val="0099202C"/>
    <w:rsid w:val="0099216A"/>
    <w:rsid w:val="00992195"/>
    <w:rsid w:val="0099219B"/>
    <w:rsid w:val="0099228E"/>
    <w:rsid w:val="009922B1"/>
    <w:rsid w:val="009922B2"/>
    <w:rsid w:val="009922D2"/>
    <w:rsid w:val="00992302"/>
    <w:rsid w:val="009923B6"/>
    <w:rsid w:val="00992426"/>
    <w:rsid w:val="0099243B"/>
    <w:rsid w:val="00992477"/>
    <w:rsid w:val="009925A9"/>
    <w:rsid w:val="009925AA"/>
    <w:rsid w:val="009925D3"/>
    <w:rsid w:val="0099261F"/>
    <w:rsid w:val="0099266A"/>
    <w:rsid w:val="009926A3"/>
    <w:rsid w:val="0099271B"/>
    <w:rsid w:val="00992761"/>
    <w:rsid w:val="009927E6"/>
    <w:rsid w:val="00992847"/>
    <w:rsid w:val="00992861"/>
    <w:rsid w:val="009928A2"/>
    <w:rsid w:val="0099290A"/>
    <w:rsid w:val="0099290B"/>
    <w:rsid w:val="00992985"/>
    <w:rsid w:val="009929C1"/>
    <w:rsid w:val="009929F8"/>
    <w:rsid w:val="00992A9F"/>
    <w:rsid w:val="00992AAB"/>
    <w:rsid w:val="00992AF2"/>
    <w:rsid w:val="00992B42"/>
    <w:rsid w:val="00992BFE"/>
    <w:rsid w:val="00992C06"/>
    <w:rsid w:val="00992C5F"/>
    <w:rsid w:val="00992CA8"/>
    <w:rsid w:val="00992CB8"/>
    <w:rsid w:val="00992EC9"/>
    <w:rsid w:val="00992ED6"/>
    <w:rsid w:val="00992EF5"/>
    <w:rsid w:val="00992F1E"/>
    <w:rsid w:val="00992F4B"/>
    <w:rsid w:val="00993034"/>
    <w:rsid w:val="00993037"/>
    <w:rsid w:val="0099304D"/>
    <w:rsid w:val="00993053"/>
    <w:rsid w:val="0099310C"/>
    <w:rsid w:val="00993128"/>
    <w:rsid w:val="00993133"/>
    <w:rsid w:val="0099316C"/>
    <w:rsid w:val="009931A7"/>
    <w:rsid w:val="009931CA"/>
    <w:rsid w:val="009931CE"/>
    <w:rsid w:val="0099320A"/>
    <w:rsid w:val="00993229"/>
    <w:rsid w:val="009932A0"/>
    <w:rsid w:val="009932C1"/>
    <w:rsid w:val="009932D4"/>
    <w:rsid w:val="00993334"/>
    <w:rsid w:val="0099334A"/>
    <w:rsid w:val="0099339A"/>
    <w:rsid w:val="009933A1"/>
    <w:rsid w:val="009933B5"/>
    <w:rsid w:val="009933D9"/>
    <w:rsid w:val="009934B0"/>
    <w:rsid w:val="009934B1"/>
    <w:rsid w:val="009934CD"/>
    <w:rsid w:val="00993526"/>
    <w:rsid w:val="0099353E"/>
    <w:rsid w:val="00993542"/>
    <w:rsid w:val="00993544"/>
    <w:rsid w:val="009935CE"/>
    <w:rsid w:val="009935E1"/>
    <w:rsid w:val="00993626"/>
    <w:rsid w:val="0099364E"/>
    <w:rsid w:val="00993658"/>
    <w:rsid w:val="009936AE"/>
    <w:rsid w:val="009936B0"/>
    <w:rsid w:val="009936F6"/>
    <w:rsid w:val="00993720"/>
    <w:rsid w:val="00993830"/>
    <w:rsid w:val="0099391A"/>
    <w:rsid w:val="00993980"/>
    <w:rsid w:val="00993990"/>
    <w:rsid w:val="009939FB"/>
    <w:rsid w:val="00993A07"/>
    <w:rsid w:val="00993A77"/>
    <w:rsid w:val="00993A92"/>
    <w:rsid w:val="00993B28"/>
    <w:rsid w:val="00993BA7"/>
    <w:rsid w:val="00993BAB"/>
    <w:rsid w:val="00993BB2"/>
    <w:rsid w:val="00993C3C"/>
    <w:rsid w:val="00993C68"/>
    <w:rsid w:val="00993C77"/>
    <w:rsid w:val="00993C85"/>
    <w:rsid w:val="00993D63"/>
    <w:rsid w:val="00993D6A"/>
    <w:rsid w:val="00993D6C"/>
    <w:rsid w:val="00993D85"/>
    <w:rsid w:val="00993DAE"/>
    <w:rsid w:val="00993DB9"/>
    <w:rsid w:val="00993DDE"/>
    <w:rsid w:val="00993DE2"/>
    <w:rsid w:val="00993E40"/>
    <w:rsid w:val="00993E8B"/>
    <w:rsid w:val="00993EDB"/>
    <w:rsid w:val="00993F1D"/>
    <w:rsid w:val="00993F36"/>
    <w:rsid w:val="00993F4B"/>
    <w:rsid w:val="00993F95"/>
    <w:rsid w:val="00993FA0"/>
    <w:rsid w:val="00993FA1"/>
    <w:rsid w:val="00993FCC"/>
    <w:rsid w:val="00993FD1"/>
    <w:rsid w:val="00994018"/>
    <w:rsid w:val="0099408D"/>
    <w:rsid w:val="00994163"/>
    <w:rsid w:val="00994171"/>
    <w:rsid w:val="0099419E"/>
    <w:rsid w:val="009941A5"/>
    <w:rsid w:val="00994228"/>
    <w:rsid w:val="0099426B"/>
    <w:rsid w:val="0099429F"/>
    <w:rsid w:val="009942B8"/>
    <w:rsid w:val="009942FD"/>
    <w:rsid w:val="0099436B"/>
    <w:rsid w:val="0099436F"/>
    <w:rsid w:val="00994398"/>
    <w:rsid w:val="00994455"/>
    <w:rsid w:val="0099445A"/>
    <w:rsid w:val="0099449B"/>
    <w:rsid w:val="009944A3"/>
    <w:rsid w:val="009944FE"/>
    <w:rsid w:val="00994508"/>
    <w:rsid w:val="0099450D"/>
    <w:rsid w:val="00994518"/>
    <w:rsid w:val="00994540"/>
    <w:rsid w:val="00994543"/>
    <w:rsid w:val="0099454F"/>
    <w:rsid w:val="00994555"/>
    <w:rsid w:val="00994569"/>
    <w:rsid w:val="00994592"/>
    <w:rsid w:val="00994598"/>
    <w:rsid w:val="009945CB"/>
    <w:rsid w:val="00994673"/>
    <w:rsid w:val="009946C8"/>
    <w:rsid w:val="009946DB"/>
    <w:rsid w:val="00994727"/>
    <w:rsid w:val="00994729"/>
    <w:rsid w:val="009947D8"/>
    <w:rsid w:val="009947F3"/>
    <w:rsid w:val="0099489F"/>
    <w:rsid w:val="009948B3"/>
    <w:rsid w:val="00994902"/>
    <w:rsid w:val="00994910"/>
    <w:rsid w:val="00994927"/>
    <w:rsid w:val="0099494F"/>
    <w:rsid w:val="0099498B"/>
    <w:rsid w:val="009949E4"/>
    <w:rsid w:val="009949F0"/>
    <w:rsid w:val="00994A99"/>
    <w:rsid w:val="00994AAF"/>
    <w:rsid w:val="00994AE9"/>
    <w:rsid w:val="00994B05"/>
    <w:rsid w:val="00994B68"/>
    <w:rsid w:val="00994B69"/>
    <w:rsid w:val="00994B89"/>
    <w:rsid w:val="00994B8E"/>
    <w:rsid w:val="00994BDA"/>
    <w:rsid w:val="00994C31"/>
    <w:rsid w:val="00994C4E"/>
    <w:rsid w:val="00994C5C"/>
    <w:rsid w:val="00994C7B"/>
    <w:rsid w:val="00994C8E"/>
    <w:rsid w:val="00994CC2"/>
    <w:rsid w:val="00994CC6"/>
    <w:rsid w:val="00994CC7"/>
    <w:rsid w:val="00994DA5"/>
    <w:rsid w:val="00994DA9"/>
    <w:rsid w:val="00994E2D"/>
    <w:rsid w:val="00994E86"/>
    <w:rsid w:val="00994ED1"/>
    <w:rsid w:val="00994F18"/>
    <w:rsid w:val="00994F30"/>
    <w:rsid w:val="00994F41"/>
    <w:rsid w:val="00994F6D"/>
    <w:rsid w:val="00994FAE"/>
    <w:rsid w:val="00994FC9"/>
    <w:rsid w:val="00994FF0"/>
    <w:rsid w:val="00995021"/>
    <w:rsid w:val="0099509F"/>
    <w:rsid w:val="009950A3"/>
    <w:rsid w:val="009950C2"/>
    <w:rsid w:val="009950C6"/>
    <w:rsid w:val="009950D6"/>
    <w:rsid w:val="009950F1"/>
    <w:rsid w:val="00995125"/>
    <w:rsid w:val="00995158"/>
    <w:rsid w:val="00995186"/>
    <w:rsid w:val="0099519D"/>
    <w:rsid w:val="009951A5"/>
    <w:rsid w:val="009951F9"/>
    <w:rsid w:val="009951FA"/>
    <w:rsid w:val="00995220"/>
    <w:rsid w:val="009952D5"/>
    <w:rsid w:val="009952EC"/>
    <w:rsid w:val="009952F9"/>
    <w:rsid w:val="0099531A"/>
    <w:rsid w:val="00995332"/>
    <w:rsid w:val="00995340"/>
    <w:rsid w:val="00995370"/>
    <w:rsid w:val="00995378"/>
    <w:rsid w:val="009953A4"/>
    <w:rsid w:val="009953B9"/>
    <w:rsid w:val="009953D0"/>
    <w:rsid w:val="009953ED"/>
    <w:rsid w:val="009953F2"/>
    <w:rsid w:val="00995445"/>
    <w:rsid w:val="00995499"/>
    <w:rsid w:val="009954E4"/>
    <w:rsid w:val="009954E5"/>
    <w:rsid w:val="009954EA"/>
    <w:rsid w:val="00995505"/>
    <w:rsid w:val="0099551E"/>
    <w:rsid w:val="00995534"/>
    <w:rsid w:val="00995535"/>
    <w:rsid w:val="009955AC"/>
    <w:rsid w:val="009955AE"/>
    <w:rsid w:val="0099560D"/>
    <w:rsid w:val="00995613"/>
    <w:rsid w:val="0099561D"/>
    <w:rsid w:val="00995660"/>
    <w:rsid w:val="009956FE"/>
    <w:rsid w:val="0099571E"/>
    <w:rsid w:val="00995737"/>
    <w:rsid w:val="0099574E"/>
    <w:rsid w:val="009957B0"/>
    <w:rsid w:val="00995839"/>
    <w:rsid w:val="00995847"/>
    <w:rsid w:val="009958B6"/>
    <w:rsid w:val="00995959"/>
    <w:rsid w:val="0099596B"/>
    <w:rsid w:val="00995976"/>
    <w:rsid w:val="009959D1"/>
    <w:rsid w:val="009959D7"/>
    <w:rsid w:val="009959F5"/>
    <w:rsid w:val="009959F6"/>
    <w:rsid w:val="00995A30"/>
    <w:rsid w:val="00995A32"/>
    <w:rsid w:val="00995A9D"/>
    <w:rsid w:val="00995AB7"/>
    <w:rsid w:val="00995AE6"/>
    <w:rsid w:val="00995B04"/>
    <w:rsid w:val="00995B23"/>
    <w:rsid w:val="00995B49"/>
    <w:rsid w:val="00995CA1"/>
    <w:rsid w:val="00995D03"/>
    <w:rsid w:val="00995D2C"/>
    <w:rsid w:val="00995D3F"/>
    <w:rsid w:val="00995D5A"/>
    <w:rsid w:val="00995D5E"/>
    <w:rsid w:val="00995D73"/>
    <w:rsid w:val="00995D78"/>
    <w:rsid w:val="00995DAF"/>
    <w:rsid w:val="00995DC2"/>
    <w:rsid w:val="00995DCE"/>
    <w:rsid w:val="00995E1E"/>
    <w:rsid w:val="00995E2C"/>
    <w:rsid w:val="00995E30"/>
    <w:rsid w:val="00995EE6"/>
    <w:rsid w:val="00995EE8"/>
    <w:rsid w:val="00995EED"/>
    <w:rsid w:val="00995F5E"/>
    <w:rsid w:val="00996005"/>
    <w:rsid w:val="00996067"/>
    <w:rsid w:val="009960B8"/>
    <w:rsid w:val="00996147"/>
    <w:rsid w:val="0099616A"/>
    <w:rsid w:val="0099617A"/>
    <w:rsid w:val="0099617B"/>
    <w:rsid w:val="009961CE"/>
    <w:rsid w:val="00996214"/>
    <w:rsid w:val="0099624E"/>
    <w:rsid w:val="00996274"/>
    <w:rsid w:val="009962C8"/>
    <w:rsid w:val="0099637C"/>
    <w:rsid w:val="009963C4"/>
    <w:rsid w:val="00996496"/>
    <w:rsid w:val="009964AC"/>
    <w:rsid w:val="009965CB"/>
    <w:rsid w:val="00996632"/>
    <w:rsid w:val="00996683"/>
    <w:rsid w:val="00996702"/>
    <w:rsid w:val="00996705"/>
    <w:rsid w:val="0099670F"/>
    <w:rsid w:val="00996744"/>
    <w:rsid w:val="00996752"/>
    <w:rsid w:val="0099677E"/>
    <w:rsid w:val="009967A6"/>
    <w:rsid w:val="009967D0"/>
    <w:rsid w:val="009967DF"/>
    <w:rsid w:val="0099684D"/>
    <w:rsid w:val="00996854"/>
    <w:rsid w:val="00996872"/>
    <w:rsid w:val="009968B8"/>
    <w:rsid w:val="009968F6"/>
    <w:rsid w:val="009968F8"/>
    <w:rsid w:val="009968FA"/>
    <w:rsid w:val="009968FC"/>
    <w:rsid w:val="00996958"/>
    <w:rsid w:val="009969C9"/>
    <w:rsid w:val="009969E1"/>
    <w:rsid w:val="00996A55"/>
    <w:rsid w:val="00996A56"/>
    <w:rsid w:val="00996A75"/>
    <w:rsid w:val="00996AA9"/>
    <w:rsid w:val="00996AAB"/>
    <w:rsid w:val="00996AF1"/>
    <w:rsid w:val="00996B40"/>
    <w:rsid w:val="00996B51"/>
    <w:rsid w:val="00996B54"/>
    <w:rsid w:val="00996B8D"/>
    <w:rsid w:val="00996C8B"/>
    <w:rsid w:val="00996C98"/>
    <w:rsid w:val="00996CA3"/>
    <w:rsid w:val="00996D2B"/>
    <w:rsid w:val="00996D37"/>
    <w:rsid w:val="00996D85"/>
    <w:rsid w:val="00996D89"/>
    <w:rsid w:val="00996DA1"/>
    <w:rsid w:val="00996DE0"/>
    <w:rsid w:val="00996E48"/>
    <w:rsid w:val="00996E57"/>
    <w:rsid w:val="00996E59"/>
    <w:rsid w:val="00996EAD"/>
    <w:rsid w:val="00996F03"/>
    <w:rsid w:val="00996F15"/>
    <w:rsid w:val="00996F23"/>
    <w:rsid w:val="00996F5C"/>
    <w:rsid w:val="00996F87"/>
    <w:rsid w:val="00996F99"/>
    <w:rsid w:val="00996FFF"/>
    <w:rsid w:val="00997021"/>
    <w:rsid w:val="00997028"/>
    <w:rsid w:val="0099705E"/>
    <w:rsid w:val="009970F5"/>
    <w:rsid w:val="00997120"/>
    <w:rsid w:val="009971C5"/>
    <w:rsid w:val="009971F4"/>
    <w:rsid w:val="00997252"/>
    <w:rsid w:val="009972BD"/>
    <w:rsid w:val="009972FD"/>
    <w:rsid w:val="0099733A"/>
    <w:rsid w:val="0099738A"/>
    <w:rsid w:val="0099739B"/>
    <w:rsid w:val="009973B1"/>
    <w:rsid w:val="00997434"/>
    <w:rsid w:val="0099747C"/>
    <w:rsid w:val="00997484"/>
    <w:rsid w:val="009974F1"/>
    <w:rsid w:val="00997505"/>
    <w:rsid w:val="0099753E"/>
    <w:rsid w:val="009975CB"/>
    <w:rsid w:val="009975D7"/>
    <w:rsid w:val="00997603"/>
    <w:rsid w:val="00997673"/>
    <w:rsid w:val="009976F8"/>
    <w:rsid w:val="00997705"/>
    <w:rsid w:val="0099771E"/>
    <w:rsid w:val="0099771F"/>
    <w:rsid w:val="0099772A"/>
    <w:rsid w:val="00997739"/>
    <w:rsid w:val="00997783"/>
    <w:rsid w:val="00997799"/>
    <w:rsid w:val="009977E1"/>
    <w:rsid w:val="00997890"/>
    <w:rsid w:val="00997898"/>
    <w:rsid w:val="009978BE"/>
    <w:rsid w:val="009978EB"/>
    <w:rsid w:val="009978EE"/>
    <w:rsid w:val="009978F1"/>
    <w:rsid w:val="0099790E"/>
    <w:rsid w:val="00997936"/>
    <w:rsid w:val="00997944"/>
    <w:rsid w:val="00997968"/>
    <w:rsid w:val="009979D4"/>
    <w:rsid w:val="00997A47"/>
    <w:rsid w:val="00997A86"/>
    <w:rsid w:val="00997A8C"/>
    <w:rsid w:val="00997A9C"/>
    <w:rsid w:val="00997AAC"/>
    <w:rsid w:val="00997B2B"/>
    <w:rsid w:val="00997B40"/>
    <w:rsid w:val="00997B51"/>
    <w:rsid w:val="00997B62"/>
    <w:rsid w:val="00997B93"/>
    <w:rsid w:val="00997C2E"/>
    <w:rsid w:val="00997C3C"/>
    <w:rsid w:val="00997C43"/>
    <w:rsid w:val="00997C4D"/>
    <w:rsid w:val="00997C72"/>
    <w:rsid w:val="00997CF6"/>
    <w:rsid w:val="00997D22"/>
    <w:rsid w:val="00997D26"/>
    <w:rsid w:val="00997D3C"/>
    <w:rsid w:val="00997D5D"/>
    <w:rsid w:val="00997D8E"/>
    <w:rsid w:val="00997DFE"/>
    <w:rsid w:val="00997E09"/>
    <w:rsid w:val="00997E37"/>
    <w:rsid w:val="00997E47"/>
    <w:rsid w:val="00997E74"/>
    <w:rsid w:val="00997EC1"/>
    <w:rsid w:val="00997EEB"/>
    <w:rsid w:val="00997EF1"/>
    <w:rsid w:val="00997F7A"/>
    <w:rsid w:val="00997FBA"/>
    <w:rsid w:val="009A0003"/>
    <w:rsid w:val="009A0061"/>
    <w:rsid w:val="009A00FF"/>
    <w:rsid w:val="009A0206"/>
    <w:rsid w:val="009A023F"/>
    <w:rsid w:val="009A028C"/>
    <w:rsid w:val="009A0298"/>
    <w:rsid w:val="009A02A1"/>
    <w:rsid w:val="009A02A3"/>
    <w:rsid w:val="009A02A9"/>
    <w:rsid w:val="009A02AE"/>
    <w:rsid w:val="009A02CC"/>
    <w:rsid w:val="009A02FE"/>
    <w:rsid w:val="009A030C"/>
    <w:rsid w:val="009A03E9"/>
    <w:rsid w:val="009A0412"/>
    <w:rsid w:val="009A0418"/>
    <w:rsid w:val="009A042B"/>
    <w:rsid w:val="009A04CC"/>
    <w:rsid w:val="009A04E6"/>
    <w:rsid w:val="009A04F4"/>
    <w:rsid w:val="009A051A"/>
    <w:rsid w:val="009A0525"/>
    <w:rsid w:val="009A057C"/>
    <w:rsid w:val="009A058D"/>
    <w:rsid w:val="009A05A0"/>
    <w:rsid w:val="009A05FF"/>
    <w:rsid w:val="009A0626"/>
    <w:rsid w:val="009A066B"/>
    <w:rsid w:val="009A0691"/>
    <w:rsid w:val="009A0693"/>
    <w:rsid w:val="009A0697"/>
    <w:rsid w:val="009A06E6"/>
    <w:rsid w:val="009A0716"/>
    <w:rsid w:val="009A0745"/>
    <w:rsid w:val="009A074F"/>
    <w:rsid w:val="009A075D"/>
    <w:rsid w:val="009A0768"/>
    <w:rsid w:val="009A0798"/>
    <w:rsid w:val="009A07C5"/>
    <w:rsid w:val="009A07C6"/>
    <w:rsid w:val="009A07D2"/>
    <w:rsid w:val="009A0886"/>
    <w:rsid w:val="009A08DA"/>
    <w:rsid w:val="009A093B"/>
    <w:rsid w:val="009A09C3"/>
    <w:rsid w:val="009A0A0B"/>
    <w:rsid w:val="009A0A2A"/>
    <w:rsid w:val="009A0A42"/>
    <w:rsid w:val="009A0A46"/>
    <w:rsid w:val="009A0AA8"/>
    <w:rsid w:val="009A0ACB"/>
    <w:rsid w:val="009A0B76"/>
    <w:rsid w:val="009A0B89"/>
    <w:rsid w:val="009A0B8F"/>
    <w:rsid w:val="009A0BAF"/>
    <w:rsid w:val="009A0BBE"/>
    <w:rsid w:val="009A0C28"/>
    <w:rsid w:val="009A0C2B"/>
    <w:rsid w:val="009A0C6F"/>
    <w:rsid w:val="009A0C8A"/>
    <w:rsid w:val="009A0CB1"/>
    <w:rsid w:val="009A0CBB"/>
    <w:rsid w:val="009A0D04"/>
    <w:rsid w:val="009A0D11"/>
    <w:rsid w:val="009A0D15"/>
    <w:rsid w:val="009A0D44"/>
    <w:rsid w:val="009A0D76"/>
    <w:rsid w:val="009A0DE3"/>
    <w:rsid w:val="009A0E0D"/>
    <w:rsid w:val="009A0E34"/>
    <w:rsid w:val="009A0E7E"/>
    <w:rsid w:val="009A0EC7"/>
    <w:rsid w:val="009A0EF8"/>
    <w:rsid w:val="009A0F13"/>
    <w:rsid w:val="009A0F8E"/>
    <w:rsid w:val="009A0FDC"/>
    <w:rsid w:val="009A0FF1"/>
    <w:rsid w:val="009A0FFB"/>
    <w:rsid w:val="009A1053"/>
    <w:rsid w:val="009A1067"/>
    <w:rsid w:val="009A10A2"/>
    <w:rsid w:val="009A113A"/>
    <w:rsid w:val="009A1144"/>
    <w:rsid w:val="009A11B9"/>
    <w:rsid w:val="009A1214"/>
    <w:rsid w:val="009A123B"/>
    <w:rsid w:val="009A1279"/>
    <w:rsid w:val="009A12A7"/>
    <w:rsid w:val="009A12BD"/>
    <w:rsid w:val="009A12D8"/>
    <w:rsid w:val="009A12F9"/>
    <w:rsid w:val="009A12FF"/>
    <w:rsid w:val="009A131D"/>
    <w:rsid w:val="009A1325"/>
    <w:rsid w:val="009A139E"/>
    <w:rsid w:val="009A141B"/>
    <w:rsid w:val="009A141D"/>
    <w:rsid w:val="009A142D"/>
    <w:rsid w:val="009A1431"/>
    <w:rsid w:val="009A1438"/>
    <w:rsid w:val="009A144A"/>
    <w:rsid w:val="009A146C"/>
    <w:rsid w:val="009A1496"/>
    <w:rsid w:val="009A151B"/>
    <w:rsid w:val="009A154D"/>
    <w:rsid w:val="009A15A7"/>
    <w:rsid w:val="009A15C0"/>
    <w:rsid w:val="009A15FD"/>
    <w:rsid w:val="009A1603"/>
    <w:rsid w:val="009A1635"/>
    <w:rsid w:val="009A1694"/>
    <w:rsid w:val="009A1695"/>
    <w:rsid w:val="009A1778"/>
    <w:rsid w:val="009A17BE"/>
    <w:rsid w:val="009A17C5"/>
    <w:rsid w:val="009A17CF"/>
    <w:rsid w:val="009A181E"/>
    <w:rsid w:val="009A182E"/>
    <w:rsid w:val="009A18A5"/>
    <w:rsid w:val="009A18AD"/>
    <w:rsid w:val="009A18CB"/>
    <w:rsid w:val="009A1914"/>
    <w:rsid w:val="009A19FF"/>
    <w:rsid w:val="009A1AEF"/>
    <w:rsid w:val="009A1B92"/>
    <w:rsid w:val="009A1BBA"/>
    <w:rsid w:val="009A1BBF"/>
    <w:rsid w:val="009A1C56"/>
    <w:rsid w:val="009A1C77"/>
    <w:rsid w:val="009A1C94"/>
    <w:rsid w:val="009A1D55"/>
    <w:rsid w:val="009A1DB3"/>
    <w:rsid w:val="009A1E42"/>
    <w:rsid w:val="009A1E45"/>
    <w:rsid w:val="009A1E64"/>
    <w:rsid w:val="009A1E91"/>
    <w:rsid w:val="009A1EFD"/>
    <w:rsid w:val="009A1F0F"/>
    <w:rsid w:val="009A1F99"/>
    <w:rsid w:val="009A1FB2"/>
    <w:rsid w:val="009A1FC3"/>
    <w:rsid w:val="009A1FF7"/>
    <w:rsid w:val="009A2012"/>
    <w:rsid w:val="009A2037"/>
    <w:rsid w:val="009A206F"/>
    <w:rsid w:val="009A209E"/>
    <w:rsid w:val="009A20C9"/>
    <w:rsid w:val="009A2117"/>
    <w:rsid w:val="009A215E"/>
    <w:rsid w:val="009A2188"/>
    <w:rsid w:val="009A21DF"/>
    <w:rsid w:val="009A220C"/>
    <w:rsid w:val="009A2256"/>
    <w:rsid w:val="009A2285"/>
    <w:rsid w:val="009A229D"/>
    <w:rsid w:val="009A22C5"/>
    <w:rsid w:val="009A2394"/>
    <w:rsid w:val="009A2426"/>
    <w:rsid w:val="009A24C3"/>
    <w:rsid w:val="009A2544"/>
    <w:rsid w:val="009A255A"/>
    <w:rsid w:val="009A25A7"/>
    <w:rsid w:val="009A25C6"/>
    <w:rsid w:val="009A25DE"/>
    <w:rsid w:val="009A25E9"/>
    <w:rsid w:val="009A2672"/>
    <w:rsid w:val="009A26A4"/>
    <w:rsid w:val="009A26BD"/>
    <w:rsid w:val="009A26C0"/>
    <w:rsid w:val="009A26E9"/>
    <w:rsid w:val="009A26F0"/>
    <w:rsid w:val="009A270D"/>
    <w:rsid w:val="009A2714"/>
    <w:rsid w:val="009A27C5"/>
    <w:rsid w:val="009A27C7"/>
    <w:rsid w:val="009A27CF"/>
    <w:rsid w:val="009A2880"/>
    <w:rsid w:val="009A28A4"/>
    <w:rsid w:val="009A29B6"/>
    <w:rsid w:val="009A29BF"/>
    <w:rsid w:val="009A2A2A"/>
    <w:rsid w:val="009A2A49"/>
    <w:rsid w:val="009A2AAC"/>
    <w:rsid w:val="009A2ACE"/>
    <w:rsid w:val="009A2B16"/>
    <w:rsid w:val="009A2B19"/>
    <w:rsid w:val="009A2B2A"/>
    <w:rsid w:val="009A2B68"/>
    <w:rsid w:val="009A2B9C"/>
    <w:rsid w:val="009A2C04"/>
    <w:rsid w:val="009A2C0D"/>
    <w:rsid w:val="009A2C18"/>
    <w:rsid w:val="009A2C51"/>
    <w:rsid w:val="009A2C92"/>
    <w:rsid w:val="009A2CF5"/>
    <w:rsid w:val="009A2D1C"/>
    <w:rsid w:val="009A2D5B"/>
    <w:rsid w:val="009A2D5F"/>
    <w:rsid w:val="009A2DF9"/>
    <w:rsid w:val="009A2E5A"/>
    <w:rsid w:val="009A2EA2"/>
    <w:rsid w:val="009A2EA5"/>
    <w:rsid w:val="009A2EC7"/>
    <w:rsid w:val="009A2F38"/>
    <w:rsid w:val="009A2FCB"/>
    <w:rsid w:val="009A3020"/>
    <w:rsid w:val="009A3025"/>
    <w:rsid w:val="009A3081"/>
    <w:rsid w:val="009A3094"/>
    <w:rsid w:val="009A3151"/>
    <w:rsid w:val="009A3171"/>
    <w:rsid w:val="009A31D1"/>
    <w:rsid w:val="009A31D5"/>
    <w:rsid w:val="009A3203"/>
    <w:rsid w:val="009A3227"/>
    <w:rsid w:val="009A322A"/>
    <w:rsid w:val="009A322C"/>
    <w:rsid w:val="009A3283"/>
    <w:rsid w:val="009A333D"/>
    <w:rsid w:val="009A3349"/>
    <w:rsid w:val="009A334E"/>
    <w:rsid w:val="009A33A8"/>
    <w:rsid w:val="009A33E3"/>
    <w:rsid w:val="009A343E"/>
    <w:rsid w:val="009A34B7"/>
    <w:rsid w:val="009A354B"/>
    <w:rsid w:val="009A359A"/>
    <w:rsid w:val="009A35D6"/>
    <w:rsid w:val="009A3650"/>
    <w:rsid w:val="009A36A6"/>
    <w:rsid w:val="009A36D1"/>
    <w:rsid w:val="009A3766"/>
    <w:rsid w:val="009A3773"/>
    <w:rsid w:val="009A37A0"/>
    <w:rsid w:val="009A37B4"/>
    <w:rsid w:val="009A3833"/>
    <w:rsid w:val="009A3851"/>
    <w:rsid w:val="009A3866"/>
    <w:rsid w:val="009A386C"/>
    <w:rsid w:val="009A3873"/>
    <w:rsid w:val="009A38B7"/>
    <w:rsid w:val="009A38BD"/>
    <w:rsid w:val="009A3977"/>
    <w:rsid w:val="009A399C"/>
    <w:rsid w:val="009A39A5"/>
    <w:rsid w:val="009A39DA"/>
    <w:rsid w:val="009A39E8"/>
    <w:rsid w:val="009A39F3"/>
    <w:rsid w:val="009A3A16"/>
    <w:rsid w:val="009A3A3B"/>
    <w:rsid w:val="009A3A50"/>
    <w:rsid w:val="009A3A88"/>
    <w:rsid w:val="009A3ABB"/>
    <w:rsid w:val="009A3B20"/>
    <w:rsid w:val="009A3B78"/>
    <w:rsid w:val="009A3BB3"/>
    <w:rsid w:val="009A3C21"/>
    <w:rsid w:val="009A3D09"/>
    <w:rsid w:val="009A3D39"/>
    <w:rsid w:val="009A3DBA"/>
    <w:rsid w:val="009A3E3C"/>
    <w:rsid w:val="009A3E56"/>
    <w:rsid w:val="009A3EA2"/>
    <w:rsid w:val="009A3F1B"/>
    <w:rsid w:val="009A3F4B"/>
    <w:rsid w:val="009A3F69"/>
    <w:rsid w:val="009A3F6B"/>
    <w:rsid w:val="009A3FA1"/>
    <w:rsid w:val="009A3FEE"/>
    <w:rsid w:val="009A404E"/>
    <w:rsid w:val="009A408D"/>
    <w:rsid w:val="009A4112"/>
    <w:rsid w:val="009A4156"/>
    <w:rsid w:val="009A41C2"/>
    <w:rsid w:val="009A41F7"/>
    <w:rsid w:val="009A4222"/>
    <w:rsid w:val="009A427F"/>
    <w:rsid w:val="009A42D0"/>
    <w:rsid w:val="009A42F7"/>
    <w:rsid w:val="009A4308"/>
    <w:rsid w:val="009A4448"/>
    <w:rsid w:val="009A4517"/>
    <w:rsid w:val="009A4549"/>
    <w:rsid w:val="009A459C"/>
    <w:rsid w:val="009A45A3"/>
    <w:rsid w:val="009A4680"/>
    <w:rsid w:val="009A46B9"/>
    <w:rsid w:val="009A4729"/>
    <w:rsid w:val="009A474B"/>
    <w:rsid w:val="009A4769"/>
    <w:rsid w:val="009A4774"/>
    <w:rsid w:val="009A47B9"/>
    <w:rsid w:val="009A47CE"/>
    <w:rsid w:val="009A48A2"/>
    <w:rsid w:val="009A48F5"/>
    <w:rsid w:val="009A49C3"/>
    <w:rsid w:val="009A4A33"/>
    <w:rsid w:val="009A4A8A"/>
    <w:rsid w:val="009A4AEE"/>
    <w:rsid w:val="009A4AEF"/>
    <w:rsid w:val="009A4B41"/>
    <w:rsid w:val="009A4BF3"/>
    <w:rsid w:val="009A4BF6"/>
    <w:rsid w:val="009A4C12"/>
    <w:rsid w:val="009A4D4F"/>
    <w:rsid w:val="009A4D58"/>
    <w:rsid w:val="009A4D6F"/>
    <w:rsid w:val="009A4D93"/>
    <w:rsid w:val="009A4DB3"/>
    <w:rsid w:val="009A4DB5"/>
    <w:rsid w:val="009A4DD5"/>
    <w:rsid w:val="009A4DFC"/>
    <w:rsid w:val="009A4E5B"/>
    <w:rsid w:val="009A4E6D"/>
    <w:rsid w:val="009A4F0D"/>
    <w:rsid w:val="009A4F14"/>
    <w:rsid w:val="009A4F2E"/>
    <w:rsid w:val="009A4F36"/>
    <w:rsid w:val="009A4F71"/>
    <w:rsid w:val="009A4F92"/>
    <w:rsid w:val="009A5007"/>
    <w:rsid w:val="009A5026"/>
    <w:rsid w:val="009A515C"/>
    <w:rsid w:val="009A516E"/>
    <w:rsid w:val="009A51E8"/>
    <w:rsid w:val="009A52BB"/>
    <w:rsid w:val="009A52CC"/>
    <w:rsid w:val="009A52E0"/>
    <w:rsid w:val="009A5309"/>
    <w:rsid w:val="009A5366"/>
    <w:rsid w:val="009A541E"/>
    <w:rsid w:val="009A542E"/>
    <w:rsid w:val="009A54AF"/>
    <w:rsid w:val="009A54B8"/>
    <w:rsid w:val="009A5500"/>
    <w:rsid w:val="009A55C0"/>
    <w:rsid w:val="009A55CC"/>
    <w:rsid w:val="009A5604"/>
    <w:rsid w:val="009A5665"/>
    <w:rsid w:val="009A56DB"/>
    <w:rsid w:val="009A571C"/>
    <w:rsid w:val="009A573F"/>
    <w:rsid w:val="009A579B"/>
    <w:rsid w:val="009A57AA"/>
    <w:rsid w:val="009A57BF"/>
    <w:rsid w:val="009A57C3"/>
    <w:rsid w:val="009A57D7"/>
    <w:rsid w:val="009A57F4"/>
    <w:rsid w:val="009A5816"/>
    <w:rsid w:val="009A5840"/>
    <w:rsid w:val="009A587B"/>
    <w:rsid w:val="009A58D6"/>
    <w:rsid w:val="009A5967"/>
    <w:rsid w:val="009A5969"/>
    <w:rsid w:val="009A5AAE"/>
    <w:rsid w:val="009A5AB0"/>
    <w:rsid w:val="009A5AE3"/>
    <w:rsid w:val="009A5B0A"/>
    <w:rsid w:val="009A5B0F"/>
    <w:rsid w:val="009A5B1C"/>
    <w:rsid w:val="009A5B24"/>
    <w:rsid w:val="009A5B3E"/>
    <w:rsid w:val="009A5B45"/>
    <w:rsid w:val="009A5B7B"/>
    <w:rsid w:val="009A5B94"/>
    <w:rsid w:val="009A5BDB"/>
    <w:rsid w:val="009A5BDC"/>
    <w:rsid w:val="009A5C00"/>
    <w:rsid w:val="009A5D0A"/>
    <w:rsid w:val="009A5D3D"/>
    <w:rsid w:val="009A5D51"/>
    <w:rsid w:val="009A5D8F"/>
    <w:rsid w:val="009A5DFB"/>
    <w:rsid w:val="009A5E20"/>
    <w:rsid w:val="009A5E3F"/>
    <w:rsid w:val="009A5E5D"/>
    <w:rsid w:val="009A5E82"/>
    <w:rsid w:val="009A5E8B"/>
    <w:rsid w:val="009A5EB7"/>
    <w:rsid w:val="009A5F29"/>
    <w:rsid w:val="009A5F8E"/>
    <w:rsid w:val="009A5F92"/>
    <w:rsid w:val="009A5F9D"/>
    <w:rsid w:val="009A6094"/>
    <w:rsid w:val="009A60C7"/>
    <w:rsid w:val="009A60F1"/>
    <w:rsid w:val="009A61B1"/>
    <w:rsid w:val="009A6203"/>
    <w:rsid w:val="009A623C"/>
    <w:rsid w:val="009A624D"/>
    <w:rsid w:val="009A628C"/>
    <w:rsid w:val="009A629E"/>
    <w:rsid w:val="009A62D5"/>
    <w:rsid w:val="009A62DB"/>
    <w:rsid w:val="009A6311"/>
    <w:rsid w:val="009A633B"/>
    <w:rsid w:val="009A6342"/>
    <w:rsid w:val="009A634D"/>
    <w:rsid w:val="009A6393"/>
    <w:rsid w:val="009A640A"/>
    <w:rsid w:val="009A6465"/>
    <w:rsid w:val="009A64AB"/>
    <w:rsid w:val="009A64DE"/>
    <w:rsid w:val="009A65FE"/>
    <w:rsid w:val="009A6618"/>
    <w:rsid w:val="009A6621"/>
    <w:rsid w:val="009A6654"/>
    <w:rsid w:val="009A6667"/>
    <w:rsid w:val="009A666B"/>
    <w:rsid w:val="009A666D"/>
    <w:rsid w:val="009A66AA"/>
    <w:rsid w:val="009A66DE"/>
    <w:rsid w:val="009A66E5"/>
    <w:rsid w:val="009A66E8"/>
    <w:rsid w:val="009A66E9"/>
    <w:rsid w:val="009A66EE"/>
    <w:rsid w:val="009A66FD"/>
    <w:rsid w:val="009A6763"/>
    <w:rsid w:val="009A681E"/>
    <w:rsid w:val="009A6834"/>
    <w:rsid w:val="009A685C"/>
    <w:rsid w:val="009A6907"/>
    <w:rsid w:val="009A6933"/>
    <w:rsid w:val="009A6935"/>
    <w:rsid w:val="009A6946"/>
    <w:rsid w:val="009A6957"/>
    <w:rsid w:val="009A6977"/>
    <w:rsid w:val="009A698B"/>
    <w:rsid w:val="009A69A4"/>
    <w:rsid w:val="009A6A0B"/>
    <w:rsid w:val="009A6A92"/>
    <w:rsid w:val="009A6AB3"/>
    <w:rsid w:val="009A6AB6"/>
    <w:rsid w:val="009A6AFD"/>
    <w:rsid w:val="009A6B23"/>
    <w:rsid w:val="009A6B27"/>
    <w:rsid w:val="009A6B32"/>
    <w:rsid w:val="009A6C06"/>
    <w:rsid w:val="009A6C1D"/>
    <w:rsid w:val="009A6C75"/>
    <w:rsid w:val="009A6C9B"/>
    <w:rsid w:val="009A6CC5"/>
    <w:rsid w:val="009A6CFA"/>
    <w:rsid w:val="009A6DA1"/>
    <w:rsid w:val="009A6DF2"/>
    <w:rsid w:val="009A6E7D"/>
    <w:rsid w:val="009A6ED1"/>
    <w:rsid w:val="009A6EDA"/>
    <w:rsid w:val="009A6EE5"/>
    <w:rsid w:val="009A6EFD"/>
    <w:rsid w:val="009A6F21"/>
    <w:rsid w:val="009A6F54"/>
    <w:rsid w:val="009A6F97"/>
    <w:rsid w:val="009A6FB7"/>
    <w:rsid w:val="009A7042"/>
    <w:rsid w:val="009A706A"/>
    <w:rsid w:val="009A7074"/>
    <w:rsid w:val="009A70AB"/>
    <w:rsid w:val="009A70E5"/>
    <w:rsid w:val="009A711A"/>
    <w:rsid w:val="009A711C"/>
    <w:rsid w:val="009A713A"/>
    <w:rsid w:val="009A713C"/>
    <w:rsid w:val="009A7150"/>
    <w:rsid w:val="009A7179"/>
    <w:rsid w:val="009A718E"/>
    <w:rsid w:val="009A71EE"/>
    <w:rsid w:val="009A722E"/>
    <w:rsid w:val="009A7277"/>
    <w:rsid w:val="009A72B8"/>
    <w:rsid w:val="009A7304"/>
    <w:rsid w:val="009A733E"/>
    <w:rsid w:val="009A738D"/>
    <w:rsid w:val="009A739D"/>
    <w:rsid w:val="009A73D4"/>
    <w:rsid w:val="009A73E0"/>
    <w:rsid w:val="009A73F2"/>
    <w:rsid w:val="009A7405"/>
    <w:rsid w:val="009A7429"/>
    <w:rsid w:val="009A74DD"/>
    <w:rsid w:val="009A7513"/>
    <w:rsid w:val="009A7526"/>
    <w:rsid w:val="009A753C"/>
    <w:rsid w:val="009A75A0"/>
    <w:rsid w:val="009A75E9"/>
    <w:rsid w:val="009A7607"/>
    <w:rsid w:val="009A7673"/>
    <w:rsid w:val="009A7689"/>
    <w:rsid w:val="009A76B2"/>
    <w:rsid w:val="009A76BB"/>
    <w:rsid w:val="009A77B6"/>
    <w:rsid w:val="009A786A"/>
    <w:rsid w:val="009A78D5"/>
    <w:rsid w:val="009A7938"/>
    <w:rsid w:val="009A799D"/>
    <w:rsid w:val="009A79F8"/>
    <w:rsid w:val="009A7A32"/>
    <w:rsid w:val="009A7A62"/>
    <w:rsid w:val="009A7A84"/>
    <w:rsid w:val="009A7B0E"/>
    <w:rsid w:val="009A7B56"/>
    <w:rsid w:val="009A7BAF"/>
    <w:rsid w:val="009A7BB9"/>
    <w:rsid w:val="009A7C2D"/>
    <w:rsid w:val="009A7C63"/>
    <w:rsid w:val="009A7C95"/>
    <w:rsid w:val="009A7D38"/>
    <w:rsid w:val="009A7D50"/>
    <w:rsid w:val="009A7D6A"/>
    <w:rsid w:val="009A7D7F"/>
    <w:rsid w:val="009A7DE6"/>
    <w:rsid w:val="009A7E0A"/>
    <w:rsid w:val="009A7E34"/>
    <w:rsid w:val="009A7ECE"/>
    <w:rsid w:val="009A7EEC"/>
    <w:rsid w:val="009A7F25"/>
    <w:rsid w:val="009A7F91"/>
    <w:rsid w:val="009A7FC3"/>
    <w:rsid w:val="009A7FF2"/>
    <w:rsid w:val="009A7FF5"/>
    <w:rsid w:val="009AC9AC"/>
    <w:rsid w:val="009B0022"/>
    <w:rsid w:val="009B0034"/>
    <w:rsid w:val="009B0044"/>
    <w:rsid w:val="009B0056"/>
    <w:rsid w:val="009B006D"/>
    <w:rsid w:val="009B0077"/>
    <w:rsid w:val="009B00A8"/>
    <w:rsid w:val="009B01A1"/>
    <w:rsid w:val="009B01AF"/>
    <w:rsid w:val="009B01C1"/>
    <w:rsid w:val="009B0232"/>
    <w:rsid w:val="009B025D"/>
    <w:rsid w:val="009B02AA"/>
    <w:rsid w:val="009B0341"/>
    <w:rsid w:val="009B0351"/>
    <w:rsid w:val="009B035E"/>
    <w:rsid w:val="009B03BA"/>
    <w:rsid w:val="009B03D4"/>
    <w:rsid w:val="009B03D9"/>
    <w:rsid w:val="009B043C"/>
    <w:rsid w:val="009B044B"/>
    <w:rsid w:val="009B0488"/>
    <w:rsid w:val="009B04B2"/>
    <w:rsid w:val="009B04D7"/>
    <w:rsid w:val="009B050D"/>
    <w:rsid w:val="009B054E"/>
    <w:rsid w:val="009B0559"/>
    <w:rsid w:val="009B05EC"/>
    <w:rsid w:val="009B0671"/>
    <w:rsid w:val="009B068B"/>
    <w:rsid w:val="009B06FA"/>
    <w:rsid w:val="009B0710"/>
    <w:rsid w:val="009B0715"/>
    <w:rsid w:val="009B074B"/>
    <w:rsid w:val="009B078C"/>
    <w:rsid w:val="009B079E"/>
    <w:rsid w:val="009B07D9"/>
    <w:rsid w:val="009B080B"/>
    <w:rsid w:val="009B0854"/>
    <w:rsid w:val="009B0890"/>
    <w:rsid w:val="009B08DF"/>
    <w:rsid w:val="009B0901"/>
    <w:rsid w:val="009B090A"/>
    <w:rsid w:val="009B09A0"/>
    <w:rsid w:val="009B0A09"/>
    <w:rsid w:val="009B0A43"/>
    <w:rsid w:val="009B0A56"/>
    <w:rsid w:val="009B0A92"/>
    <w:rsid w:val="009B0ADE"/>
    <w:rsid w:val="009B0B1A"/>
    <w:rsid w:val="009B0BD7"/>
    <w:rsid w:val="009B0BDE"/>
    <w:rsid w:val="009B0C2A"/>
    <w:rsid w:val="009B0C41"/>
    <w:rsid w:val="009B0C57"/>
    <w:rsid w:val="009B0C6A"/>
    <w:rsid w:val="009B0C89"/>
    <w:rsid w:val="009B0C93"/>
    <w:rsid w:val="009B0CDC"/>
    <w:rsid w:val="009B0CE5"/>
    <w:rsid w:val="009B0CF1"/>
    <w:rsid w:val="009B0D47"/>
    <w:rsid w:val="009B0D86"/>
    <w:rsid w:val="009B0DB3"/>
    <w:rsid w:val="009B0E29"/>
    <w:rsid w:val="009B0EBD"/>
    <w:rsid w:val="009B0ED5"/>
    <w:rsid w:val="009B0F34"/>
    <w:rsid w:val="009B0F59"/>
    <w:rsid w:val="009B0FA0"/>
    <w:rsid w:val="009B0FC6"/>
    <w:rsid w:val="009B1015"/>
    <w:rsid w:val="009B1020"/>
    <w:rsid w:val="009B1081"/>
    <w:rsid w:val="009B1087"/>
    <w:rsid w:val="009B10BD"/>
    <w:rsid w:val="009B10F7"/>
    <w:rsid w:val="009B1188"/>
    <w:rsid w:val="009B11C0"/>
    <w:rsid w:val="009B1223"/>
    <w:rsid w:val="009B125B"/>
    <w:rsid w:val="009B1265"/>
    <w:rsid w:val="009B1272"/>
    <w:rsid w:val="009B1298"/>
    <w:rsid w:val="009B12BF"/>
    <w:rsid w:val="009B132F"/>
    <w:rsid w:val="009B1353"/>
    <w:rsid w:val="009B1374"/>
    <w:rsid w:val="009B1380"/>
    <w:rsid w:val="009B1438"/>
    <w:rsid w:val="009B144F"/>
    <w:rsid w:val="009B1460"/>
    <w:rsid w:val="009B1464"/>
    <w:rsid w:val="009B14B3"/>
    <w:rsid w:val="009B14D5"/>
    <w:rsid w:val="009B14DE"/>
    <w:rsid w:val="009B1549"/>
    <w:rsid w:val="009B15A4"/>
    <w:rsid w:val="009B1641"/>
    <w:rsid w:val="009B16A8"/>
    <w:rsid w:val="009B16F8"/>
    <w:rsid w:val="009B17C1"/>
    <w:rsid w:val="009B17E0"/>
    <w:rsid w:val="009B1823"/>
    <w:rsid w:val="009B1845"/>
    <w:rsid w:val="009B18D1"/>
    <w:rsid w:val="009B18E4"/>
    <w:rsid w:val="009B18E8"/>
    <w:rsid w:val="009B18FA"/>
    <w:rsid w:val="009B1905"/>
    <w:rsid w:val="009B191A"/>
    <w:rsid w:val="009B1925"/>
    <w:rsid w:val="009B19B8"/>
    <w:rsid w:val="009B19C7"/>
    <w:rsid w:val="009B1A3A"/>
    <w:rsid w:val="009B1A95"/>
    <w:rsid w:val="009B1A9D"/>
    <w:rsid w:val="009B1ACF"/>
    <w:rsid w:val="009B1B0D"/>
    <w:rsid w:val="009B1B0F"/>
    <w:rsid w:val="009B1B11"/>
    <w:rsid w:val="009B1B79"/>
    <w:rsid w:val="009B1BB9"/>
    <w:rsid w:val="009B1BCB"/>
    <w:rsid w:val="009B1BD8"/>
    <w:rsid w:val="009B1BF1"/>
    <w:rsid w:val="009B1C3F"/>
    <w:rsid w:val="009B1C5B"/>
    <w:rsid w:val="009B1C67"/>
    <w:rsid w:val="009B1C94"/>
    <w:rsid w:val="009B1CA4"/>
    <w:rsid w:val="009B1CE0"/>
    <w:rsid w:val="009B1D18"/>
    <w:rsid w:val="009B1D22"/>
    <w:rsid w:val="009B1D63"/>
    <w:rsid w:val="009B1DC4"/>
    <w:rsid w:val="009B1E03"/>
    <w:rsid w:val="009B1E37"/>
    <w:rsid w:val="009B1F0A"/>
    <w:rsid w:val="009B1F3B"/>
    <w:rsid w:val="009B1F90"/>
    <w:rsid w:val="009B1FB0"/>
    <w:rsid w:val="009B1FD3"/>
    <w:rsid w:val="009B1FD7"/>
    <w:rsid w:val="009B201A"/>
    <w:rsid w:val="009B2103"/>
    <w:rsid w:val="009B211E"/>
    <w:rsid w:val="009B214D"/>
    <w:rsid w:val="009B2168"/>
    <w:rsid w:val="009B2176"/>
    <w:rsid w:val="009B21C3"/>
    <w:rsid w:val="009B21E0"/>
    <w:rsid w:val="009B21E5"/>
    <w:rsid w:val="009B21E9"/>
    <w:rsid w:val="009B2205"/>
    <w:rsid w:val="009B220F"/>
    <w:rsid w:val="009B222A"/>
    <w:rsid w:val="009B2240"/>
    <w:rsid w:val="009B22BC"/>
    <w:rsid w:val="009B22FA"/>
    <w:rsid w:val="009B232E"/>
    <w:rsid w:val="009B2365"/>
    <w:rsid w:val="009B239B"/>
    <w:rsid w:val="009B23A1"/>
    <w:rsid w:val="009B2429"/>
    <w:rsid w:val="009B2435"/>
    <w:rsid w:val="009B245F"/>
    <w:rsid w:val="009B2530"/>
    <w:rsid w:val="009B2546"/>
    <w:rsid w:val="009B254C"/>
    <w:rsid w:val="009B25E4"/>
    <w:rsid w:val="009B2676"/>
    <w:rsid w:val="009B26B2"/>
    <w:rsid w:val="009B26EA"/>
    <w:rsid w:val="009B2739"/>
    <w:rsid w:val="009B27B6"/>
    <w:rsid w:val="009B2825"/>
    <w:rsid w:val="009B28EC"/>
    <w:rsid w:val="009B28FF"/>
    <w:rsid w:val="009B2963"/>
    <w:rsid w:val="009B2975"/>
    <w:rsid w:val="009B2986"/>
    <w:rsid w:val="009B29DE"/>
    <w:rsid w:val="009B2A42"/>
    <w:rsid w:val="009B2A6F"/>
    <w:rsid w:val="009B2AA6"/>
    <w:rsid w:val="009B2AD1"/>
    <w:rsid w:val="009B2AFE"/>
    <w:rsid w:val="009B2B31"/>
    <w:rsid w:val="009B2B37"/>
    <w:rsid w:val="009B2B84"/>
    <w:rsid w:val="009B2BAD"/>
    <w:rsid w:val="009B2BC3"/>
    <w:rsid w:val="009B2C37"/>
    <w:rsid w:val="009B2E02"/>
    <w:rsid w:val="009B2E72"/>
    <w:rsid w:val="009B2F05"/>
    <w:rsid w:val="009B2F15"/>
    <w:rsid w:val="009B2F1C"/>
    <w:rsid w:val="009B2F2C"/>
    <w:rsid w:val="009B2F59"/>
    <w:rsid w:val="009B2F68"/>
    <w:rsid w:val="009B2F82"/>
    <w:rsid w:val="009B2F9D"/>
    <w:rsid w:val="009B2FB2"/>
    <w:rsid w:val="009B305B"/>
    <w:rsid w:val="009B3098"/>
    <w:rsid w:val="009B30BC"/>
    <w:rsid w:val="009B30C5"/>
    <w:rsid w:val="009B30E8"/>
    <w:rsid w:val="009B30EA"/>
    <w:rsid w:val="009B30EC"/>
    <w:rsid w:val="009B3118"/>
    <w:rsid w:val="009B318C"/>
    <w:rsid w:val="009B31A9"/>
    <w:rsid w:val="009B3243"/>
    <w:rsid w:val="009B3278"/>
    <w:rsid w:val="009B327E"/>
    <w:rsid w:val="009B329D"/>
    <w:rsid w:val="009B32B8"/>
    <w:rsid w:val="009B32BC"/>
    <w:rsid w:val="009B3311"/>
    <w:rsid w:val="009B335B"/>
    <w:rsid w:val="009B3379"/>
    <w:rsid w:val="009B33D1"/>
    <w:rsid w:val="009B3404"/>
    <w:rsid w:val="009B3438"/>
    <w:rsid w:val="009B3447"/>
    <w:rsid w:val="009B345C"/>
    <w:rsid w:val="009B3467"/>
    <w:rsid w:val="009B3477"/>
    <w:rsid w:val="009B34B8"/>
    <w:rsid w:val="009B34F9"/>
    <w:rsid w:val="009B3510"/>
    <w:rsid w:val="009B356B"/>
    <w:rsid w:val="009B35AE"/>
    <w:rsid w:val="009B35FA"/>
    <w:rsid w:val="009B35FF"/>
    <w:rsid w:val="009B3627"/>
    <w:rsid w:val="009B3639"/>
    <w:rsid w:val="009B368F"/>
    <w:rsid w:val="009B369F"/>
    <w:rsid w:val="009B36DB"/>
    <w:rsid w:val="009B3712"/>
    <w:rsid w:val="009B375E"/>
    <w:rsid w:val="009B37A7"/>
    <w:rsid w:val="009B37C7"/>
    <w:rsid w:val="009B37CF"/>
    <w:rsid w:val="009B3830"/>
    <w:rsid w:val="009B3850"/>
    <w:rsid w:val="009B3857"/>
    <w:rsid w:val="009B3887"/>
    <w:rsid w:val="009B395E"/>
    <w:rsid w:val="009B395F"/>
    <w:rsid w:val="009B3977"/>
    <w:rsid w:val="009B3980"/>
    <w:rsid w:val="009B3982"/>
    <w:rsid w:val="009B39CA"/>
    <w:rsid w:val="009B3A1F"/>
    <w:rsid w:val="009B3A35"/>
    <w:rsid w:val="009B3A8D"/>
    <w:rsid w:val="009B3B09"/>
    <w:rsid w:val="009B3B19"/>
    <w:rsid w:val="009B3B4A"/>
    <w:rsid w:val="009B3B71"/>
    <w:rsid w:val="009B3BA0"/>
    <w:rsid w:val="009B3BA2"/>
    <w:rsid w:val="009B3BA6"/>
    <w:rsid w:val="009B3BAE"/>
    <w:rsid w:val="009B3BDA"/>
    <w:rsid w:val="009B3BFD"/>
    <w:rsid w:val="009B3C05"/>
    <w:rsid w:val="009B3C31"/>
    <w:rsid w:val="009B3C62"/>
    <w:rsid w:val="009B3CAB"/>
    <w:rsid w:val="009B3CE3"/>
    <w:rsid w:val="009B3DDB"/>
    <w:rsid w:val="009B3E25"/>
    <w:rsid w:val="009B3E70"/>
    <w:rsid w:val="009B3E77"/>
    <w:rsid w:val="009B3E7C"/>
    <w:rsid w:val="009B3EFA"/>
    <w:rsid w:val="009B3F37"/>
    <w:rsid w:val="009B3F4B"/>
    <w:rsid w:val="009B3F60"/>
    <w:rsid w:val="009B401D"/>
    <w:rsid w:val="009B404B"/>
    <w:rsid w:val="009B4061"/>
    <w:rsid w:val="009B406B"/>
    <w:rsid w:val="009B40BB"/>
    <w:rsid w:val="009B4112"/>
    <w:rsid w:val="009B4192"/>
    <w:rsid w:val="009B41C7"/>
    <w:rsid w:val="009B41C8"/>
    <w:rsid w:val="009B422A"/>
    <w:rsid w:val="009B425B"/>
    <w:rsid w:val="009B4269"/>
    <w:rsid w:val="009B4288"/>
    <w:rsid w:val="009B42DA"/>
    <w:rsid w:val="009B4416"/>
    <w:rsid w:val="009B4448"/>
    <w:rsid w:val="009B445C"/>
    <w:rsid w:val="009B4495"/>
    <w:rsid w:val="009B44C3"/>
    <w:rsid w:val="009B44DE"/>
    <w:rsid w:val="009B452A"/>
    <w:rsid w:val="009B4546"/>
    <w:rsid w:val="009B4608"/>
    <w:rsid w:val="009B4666"/>
    <w:rsid w:val="009B469E"/>
    <w:rsid w:val="009B46DE"/>
    <w:rsid w:val="009B4704"/>
    <w:rsid w:val="009B470D"/>
    <w:rsid w:val="009B47C2"/>
    <w:rsid w:val="009B4840"/>
    <w:rsid w:val="009B484A"/>
    <w:rsid w:val="009B4865"/>
    <w:rsid w:val="009B488F"/>
    <w:rsid w:val="009B48D7"/>
    <w:rsid w:val="009B493D"/>
    <w:rsid w:val="009B49B0"/>
    <w:rsid w:val="009B49C5"/>
    <w:rsid w:val="009B49CF"/>
    <w:rsid w:val="009B49D8"/>
    <w:rsid w:val="009B4A33"/>
    <w:rsid w:val="009B4A56"/>
    <w:rsid w:val="009B4A84"/>
    <w:rsid w:val="009B4A87"/>
    <w:rsid w:val="009B4AB7"/>
    <w:rsid w:val="009B4ADE"/>
    <w:rsid w:val="009B4AE0"/>
    <w:rsid w:val="009B4BCD"/>
    <w:rsid w:val="009B4C8D"/>
    <w:rsid w:val="009B4CB6"/>
    <w:rsid w:val="009B4CC8"/>
    <w:rsid w:val="009B4CF4"/>
    <w:rsid w:val="009B4CF5"/>
    <w:rsid w:val="009B4D0A"/>
    <w:rsid w:val="009B4D98"/>
    <w:rsid w:val="009B4DA8"/>
    <w:rsid w:val="009B4DF9"/>
    <w:rsid w:val="009B4E2A"/>
    <w:rsid w:val="009B4E3A"/>
    <w:rsid w:val="009B4F32"/>
    <w:rsid w:val="009B4F33"/>
    <w:rsid w:val="009B4F54"/>
    <w:rsid w:val="009B4FA0"/>
    <w:rsid w:val="009B504B"/>
    <w:rsid w:val="009B5063"/>
    <w:rsid w:val="009B5080"/>
    <w:rsid w:val="009B50AA"/>
    <w:rsid w:val="009B50CD"/>
    <w:rsid w:val="009B50DE"/>
    <w:rsid w:val="009B5120"/>
    <w:rsid w:val="009B5164"/>
    <w:rsid w:val="009B516C"/>
    <w:rsid w:val="009B5177"/>
    <w:rsid w:val="009B5199"/>
    <w:rsid w:val="009B51C7"/>
    <w:rsid w:val="009B51DC"/>
    <w:rsid w:val="009B51F1"/>
    <w:rsid w:val="009B51FD"/>
    <w:rsid w:val="009B5230"/>
    <w:rsid w:val="009B527C"/>
    <w:rsid w:val="009B5287"/>
    <w:rsid w:val="009B52A4"/>
    <w:rsid w:val="009B52FE"/>
    <w:rsid w:val="009B5303"/>
    <w:rsid w:val="009B5317"/>
    <w:rsid w:val="009B53EE"/>
    <w:rsid w:val="009B53FA"/>
    <w:rsid w:val="009B542F"/>
    <w:rsid w:val="009B5495"/>
    <w:rsid w:val="009B54D5"/>
    <w:rsid w:val="009B54E3"/>
    <w:rsid w:val="009B55CD"/>
    <w:rsid w:val="009B5630"/>
    <w:rsid w:val="009B569B"/>
    <w:rsid w:val="009B56F5"/>
    <w:rsid w:val="009B56F8"/>
    <w:rsid w:val="009B5704"/>
    <w:rsid w:val="009B573D"/>
    <w:rsid w:val="009B57AE"/>
    <w:rsid w:val="009B57BA"/>
    <w:rsid w:val="009B57BF"/>
    <w:rsid w:val="009B5812"/>
    <w:rsid w:val="009B5904"/>
    <w:rsid w:val="009B5975"/>
    <w:rsid w:val="009B59B5"/>
    <w:rsid w:val="009B59C6"/>
    <w:rsid w:val="009B59EC"/>
    <w:rsid w:val="009B5A10"/>
    <w:rsid w:val="009B5AA9"/>
    <w:rsid w:val="009B5AB7"/>
    <w:rsid w:val="009B5AD1"/>
    <w:rsid w:val="009B5ADC"/>
    <w:rsid w:val="009B5AF9"/>
    <w:rsid w:val="009B5B03"/>
    <w:rsid w:val="009B5B58"/>
    <w:rsid w:val="009B5BA1"/>
    <w:rsid w:val="009B5BB0"/>
    <w:rsid w:val="009B5C1E"/>
    <w:rsid w:val="009B5C55"/>
    <w:rsid w:val="009B5C5A"/>
    <w:rsid w:val="009B5CB8"/>
    <w:rsid w:val="009B5CE2"/>
    <w:rsid w:val="009B5D0C"/>
    <w:rsid w:val="009B5D33"/>
    <w:rsid w:val="009B5D49"/>
    <w:rsid w:val="009B5DD0"/>
    <w:rsid w:val="009B5DDB"/>
    <w:rsid w:val="009B5DF7"/>
    <w:rsid w:val="009B5E28"/>
    <w:rsid w:val="009B5E3C"/>
    <w:rsid w:val="009B5E92"/>
    <w:rsid w:val="009B5ECA"/>
    <w:rsid w:val="009B5EFB"/>
    <w:rsid w:val="009B5F07"/>
    <w:rsid w:val="009B5F6A"/>
    <w:rsid w:val="009B5FA3"/>
    <w:rsid w:val="009B5FDA"/>
    <w:rsid w:val="009B600F"/>
    <w:rsid w:val="009B6020"/>
    <w:rsid w:val="009B6079"/>
    <w:rsid w:val="009B60BD"/>
    <w:rsid w:val="009B60FA"/>
    <w:rsid w:val="009B6137"/>
    <w:rsid w:val="009B6138"/>
    <w:rsid w:val="009B61DE"/>
    <w:rsid w:val="009B61EF"/>
    <w:rsid w:val="009B6202"/>
    <w:rsid w:val="009B620D"/>
    <w:rsid w:val="009B6228"/>
    <w:rsid w:val="009B6237"/>
    <w:rsid w:val="009B6240"/>
    <w:rsid w:val="009B6256"/>
    <w:rsid w:val="009B62DF"/>
    <w:rsid w:val="009B63A3"/>
    <w:rsid w:val="009B63B5"/>
    <w:rsid w:val="009B6451"/>
    <w:rsid w:val="009B6481"/>
    <w:rsid w:val="009B653B"/>
    <w:rsid w:val="009B65A0"/>
    <w:rsid w:val="009B65AE"/>
    <w:rsid w:val="009B6656"/>
    <w:rsid w:val="009B669D"/>
    <w:rsid w:val="009B66C4"/>
    <w:rsid w:val="009B6707"/>
    <w:rsid w:val="009B670F"/>
    <w:rsid w:val="009B6740"/>
    <w:rsid w:val="009B6833"/>
    <w:rsid w:val="009B6894"/>
    <w:rsid w:val="009B69A5"/>
    <w:rsid w:val="009B69D9"/>
    <w:rsid w:val="009B69E8"/>
    <w:rsid w:val="009B6A32"/>
    <w:rsid w:val="009B6A86"/>
    <w:rsid w:val="009B6AAE"/>
    <w:rsid w:val="009B6B11"/>
    <w:rsid w:val="009B6B1D"/>
    <w:rsid w:val="009B6B5A"/>
    <w:rsid w:val="009B6B7C"/>
    <w:rsid w:val="009B6B7E"/>
    <w:rsid w:val="009B6B92"/>
    <w:rsid w:val="009B6BC9"/>
    <w:rsid w:val="009B6BCA"/>
    <w:rsid w:val="009B6C0B"/>
    <w:rsid w:val="009B6CA8"/>
    <w:rsid w:val="009B6DB7"/>
    <w:rsid w:val="009B6DCF"/>
    <w:rsid w:val="009B6DDF"/>
    <w:rsid w:val="009B6E05"/>
    <w:rsid w:val="009B6E20"/>
    <w:rsid w:val="009B6E61"/>
    <w:rsid w:val="009B6E89"/>
    <w:rsid w:val="009B6E95"/>
    <w:rsid w:val="009B6EA1"/>
    <w:rsid w:val="009B6EBE"/>
    <w:rsid w:val="009B6F3D"/>
    <w:rsid w:val="009B6F96"/>
    <w:rsid w:val="009B6FBA"/>
    <w:rsid w:val="009B6FCD"/>
    <w:rsid w:val="009B6FE2"/>
    <w:rsid w:val="009B7004"/>
    <w:rsid w:val="009B7022"/>
    <w:rsid w:val="009B7095"/>
    <w:rsid w:val="009B70C9"/>
    <w:rsid w:val="009B70E8"/>
    <w:rsid w:val="009B7113"/>
    <w:rsid w:val="009B7119"/>
    <w:rsid w:val="009B7177"/>
    <w:rsid w:val="009B7180"/>
    <w:rsid w:val="009B7187"/>
    <w:rsid w:val="009B719B"/>
    <w:rsid w:val="009B71B8"/>
    <w:rsid w:val="009B71D2"/>
    <w:rsid w:val="009B7214"/>
    <w:rsid w:val="009B7289"/>
    <w:rsid w:val="009B7306"/>
    <w:rsid w:val="009B737D"/>
    <w:rsid w:val="009B739F"/>
    <w:rsid w:val="009B73B0"/>
    <w:rsid w:val="009B73DA"/>
    <w:rsid w:val="009B7452"/>
    <w:rsid w:val="009B74C8"/>
    <w:rsid w:val="009B7538"/>
    <w:rsid w:val="009B753C"/>
    <w:rsid w:val="009B7578"/>
    <w:rsid w:val="009B75D9"/>
    <w:rsid w:val="009B7673"/>
    <w:rsid w:val="009B769C"/>
    <w:rsid w:val="009B76A3"/>
    <w:rsid w:val="009B76B7"/>
    <w:rsid w:val="009B76D4"/>
    <w:rsid w:val="009B77C2"/>
    <w:rsid w:val="009B781A"/>
    <w:rsid w:val="009B784A"/>
    <w:rsid w:val="009B7886"/>
    <w:rsid w:val="009B7957"/>
    <w:rsid w:val="009B7969"/>
    <w:rsid w:val="009B796E"/>
    <w:rsid w:val="009B79BB"/>
    <w:rsid w:val="009B79DD"/>
    <w:rsid w:val="009B7A15"/>
    <w:rsid w:val="009B7A5A"/>
    <w:rsid w:val="009B7A7E"/>
    <w:rsid w:val="009B7AC9"/>
    <w:rsid w:val="009B7AF7"/>
    <w:rsid w:val="009B7B40"/>
    <w:rsid w:val="009B7B71"/>
    <w:rsid w:val="009B7BE4"/>
    <w:rsid w:val="009B7C62"/>
    <w:rsid w:val="009B7C7E"/>
    <w:rsid w:val="009B7CD3"/>
    <w:rsid w:val="009B7D47"/>
    <w:rsid w:val="009B7DB6"/>
    <w:rsid w:val="009B7DEA"/>
    <w:rsid w:val="009B7E44"/>
    <w:rsid w:val="009B7E68"/>
    <w:rsid w:val="009B7E97"/>
    <w:rsid w:val="009B7EB9"/>
    <w:rsid w:val="009B7EC4"/>
    <w:rsid w:val="009B7FA0"/>
    <w:rsid w:val="009B7FBA"/>
    <w:rsid w:val="009B7FD2"/>
    <w:rsid w:val="009B7FF6"/>
    <w:rsid w:val="009C000B"/>
    <w:rsid w:val="009C0085"/>
    <w:rsid w:val="009C008C"/>
    <w:rsid w:val="009C009A"/>
    <w:rsid w:val="009C00C7"/>
    <w:rsid w:val="009C013A"/>
    <w:rsid w:val="009C0155"/>
    <w:rsid w:val="009C015D"/>
    <w:rsid w:val="009C0185"/>
    <w:rsid w:val="009C022C"/>
    <w:rsid w:val="009C0244"/>
    <w:rsid w:val="009C0271"/>
    <w:rsid w:val="009C029F"/>
    <w:rsid w:val="009C02B3"/>
    <w:rsid w:val="009C02CC"/>
    <w:rsid w:val="009C0324"/>
    <w:rsid w:val="009C03A6"/>
    <w:rsid w:val="009C0418"/>
    <w:rsid w:val="009C045F"/>
    <w:rsid w:val="009C04AB"/>
    <w:rsid w:val="009C04E5"/>
    <w:rsid w:val="009C0549"/>
    <w:rsid w:val="009C0560"/>
    <w:rsid w:val="009C0583"/>
    <w:rsid w:val="009C05A4"/>
    <w:rsid w:val="009C060C"/>
    <w:rsid w:val="009C060E"/>
    <w:rsid w:val="009C0610"/>
    <w:rsid w:val="009C0635"/>
    <w:rsid w:val="009C066E"/>
    <w:rsid w:val="009C06CD"/>
    <w:rsid w:val="009C07ED"/>
    <w:rsid w:val="009C0810"/>
    <w:rsid w:val="009C0895"/>
    <w:rsid w:val="009C08B1"/>
    <w:rsid w:val="009C091C"/>
    <w:rsid w:val="009C0933"/>
    <w:rsid w:val="009C0951"/>
    <w:rsid w:val="009C0969"/>
    <w:rsid w:val="009C096B"/>
    <w:rsid w:val="009C0978"/>
    <w:rsid w:val="009C0981"/>
    <w:rsid w:val="009C0999"/>
    <w:rsid w:val="009C09D9"/>
    <w:rsid w:val="009C09DF"/>
    <w:rsid w:val="009C0A02"/>
    <w:rsid w:val="009C0A64"/>
    <w:rsid w:val="009C0A66"/>
    <w:rsid w:val="009C0A95"/>
    <w:rsid w:val="009C0AC0"/>
    <w:rsid w:val="009C0B76"/>
    <w:rsid w:val="009C0B7A"/>
    <w:rsid w:val="009C0B7D"/>
    <w:rsid w:val="009C0B99"/>
    <w:rsid w:val="009C0BA4"/>
    <w:rsid w:val="009C0BC5"/>
    <w:rsid w:val="009C0BCD"/>
    <w:rsid w:val="009C0C21"/>
    <w:rsid w:val="009C0C40"/>
    <w:rsid w:val="009C0C96"/>
    <w:rsid w:val="009C0D49"/>
    <w:rsid w:val="009C0DD6"/>
    <w:rsid w:val="009C0E2D"/>
    <w:rsid w:val="009C0E3A"/>
    <w:rsid w:val="009C0E61"/>
    <w:rsid w:val="009C0E88"/>
    <w:rsid w:val="009C0EAB"/>
    <w:rsid w:val="009C0ECD"/>
    <w:rsid w:val="009C0F3A"/>
    <w:rsid w:val="009C0F4A"/>
    <w:rsid w:val="009C0F8A"/>
    <w:rsid w:val="009C0F9F"/>
    <w:rsid w:val="009C0FB2"/>
    <w:rsid w:val="009C1007"/>
    <w:rsid w:val="009C1015"/>
    <w:rsid w:val="009C101D"/>
    <w:rsid w:val="009C1056"/>
    <w:rsid w:val="009C1062"/>
    <w:rsid w:val="009C1075"/>
    <w:rsid w:val="009C107C"/>
    <w:rsid w:val="009C10B6"/>
    <w:rsid w:val="009C10E9"/>
    <w:rsid w:val="009C1195"/>
    <w:rsid w:val="009C11CC"/>
    <w:rsid w:val="009C11E9"/>
    <w:rsid w:val="009C1234"/>
    <w:rsid w:val="009C12C3"/>
    <w:rsid w:val="009C1318"/>
    <w:rsid w:val="009C1384"/>
    <w:rsid w:val="009C13A3"/>
    <w:rsid w:val="009C13A9"/>
    <w:rsid w:val="009C13C4"/>
    <w:rsid w:val="009C13D7"/>
    <w:rsid w:val="009C1438"/>
    <w:rsid w:val="009C1494"/>
    <w:rsid w:val="009C1499"/>
    <w:rsid w:val="009C14AA"/>
    <w:rsid w:val="009C14E1"/>
    <w:rsid w:val="009C1528"/>
    <w:rsid w:val="009C1539"/>
    <w:rsid w:val="009C15E3"/>
    <w:rsid w:val="009C1649"/>
    <w:rsid w:val="009C1652"/>
    <w:rsid w:val="009C168B"/>
    <w:rsid w:val="009C16DF"/>
    <w:rsid w:val="009C16ED"/>
    <w:rsid w:val="009C1719"/>
    <w:rsid w:val="009C1752"/>
    <w:rsid w:val="009C177E"/>
    <w:rsid w:val="009C17DB"/>
    <w:rsid w:val="009C1824"/>
    <w:rsid w:val="009C18B3"/>
    <w:rsid w:val="009C18D2"/>
    <w:rsid w:val="009C19D3"/>
    <w:rsid w:val="009C1A05"/>
    <w:rsid w:val="009C1A24"/>
    <w:rsid w:val="009C1A3D"/>
    <w:rsid w:val="009C1A4B"/>
    <w:rsid w:val="009C1AB4"/>
    <w:rsid w:val="009C1ADE"/>
    <w:rsid w:val="009C1B2A"/>
    <w:rsid w:val="009C1B8A"/>
    <w:rsid w:val="009C1BAA"/>
    <w:rsid w:val="009C1BC9"/>
    <w:rsid w:val="009C1BCD"/>
    <w:rsid w:val="009C1BD4"/>
    <w:rsid w:val="009C1C73"/>
    <w:rsid w:val="009C1CEA"/>
    <w:rsid w:val="009C1D8B"/>
    <w:rsid w:val="009C1DAC"/>
    <w:rsid w:val="009C1DD3"/>
    <w:rsid w:val="009C1DDA"/>
    <w:rsid w:val="009C1DFB"/>
    <w:rsid w:val="009C1E1F"/>
    <w:rsid w:val="009C1E44"/>
    <w:rsid w:val="009C1E50"/>
    <w:rsid w:val="009C1EB4"/>
    <w:rsid w:val="009C1EC8"/>
    <w:rsid w:val="009C1EEF"/>
    <w:rsid w:val="009C1EF6"/>
    <w:rsid w:val="009C1F36"/>
    <w:rsid w:val="009C1F5D"/>
    <w:rsid w:val="009C1F95"/>
    <w:rsid w:val="009C2009"/>
    <w:rsid w:val="009C2083"/>
    <w:rsid w:val="009C2096"/>
    <w:rsid w:val="009C20F2"/>
    <w:rsid w:val="009C2171"/>
    <w:rsid w:val="009C2193"/>
    <w:rsid w:val="009C21A6"/>
    <w:rsid w:val="009C21C9"/>
    <w:rsid w:val="009C21CA"/>
    <w:rsid w:val="009C21F6"/>
    <w:rsid w:val="009C2201"/>
    <w:rsid w:val="009C222A"/>
    <w:rsid w:val="009C227C"/>
    <w:rsid w:val="009C22EF"/>
    <w:rsid w:val="009C2305"/>
    <w:rsid w:val="009C230E"/>
    <w:rsid w:val="009C233B"/>
    <w:rsid w:val="009C245C"/>
    <w:rsid w:val="009C2473"/>
    <w:rsid w:val="009C2489"/>
    <w:rsid w:val="009C24E4"/>
    <w:rsid w:val="009C24ED"/>
    <w:rsid w:val="009C252E"/>
    <w:rsid w:val="009C2532"/>
    <w:rsid w:val="009C257A"/>
    <w:rsid w:val="009C2611"/>
    <w:rsid w:val="009C2623"/>
    <w:rsid w:val="009C270C"/>
    <w:rsid w:val="009C271D"/>
    <w:rsid w:val="009C2769"/>
    <w:rsid w:val="009C27C6"/>
    <w:rsid w:val="009C2812"/>
    <w:rsid w:val="009C2880"/>
    <w:rsid w:val="009C28A3"/>
    <w:rsid w:val="009C28C9"/>
    <w:rsid w:val="009C2987"/>
    <w:rsid w:val="009C2AF3"/>
    <w:rsid w:val="009C2B17"/>
    <w:rsid w:val="009C2B4B"/>
    <w:rsid w:val="009C2B99"/>
    <w:rsid w:val="009C2C49"/>
    <w:rsid w:val="009C2C68"/>
    <w:rsid w:val="009C2D7D"/>
    <w:rsid w:val="009C2D99"/>
    <w:rsid w:val="009C2DDA"/>
    <w:rsid w:val="009C2E2B"/>
    <w:rsid w:val="009C2E54"/>
    <w:rsid w:val="009C2E8E"/>
    <w:rsid w:val="009C2ED0"/>
    <w:rsid w:val="009C2EE8"/>
    <w:rsid w:val="009C2EED"/>
    <w:rsid w:val="009C2F16"/>
    <w:rsid w:val="009C2FD6"/>
    <w:rsid w:val="009C2FDE"/>
    <w:rsid w:val="009C2FE5"/>
    <w:rsid w:val="009C3024"/>
    <w:rsid w:val="009C3044"/>
    <w:rsid w:val="009C3105"/>
    <w:rsid w:val="009C3108"/>
    <w:rsid w:val="009C3125"/>
    <w:rsid w:val="009C316C"/>
    <w:rsid w:val="009C3175"/>
    <w:rsid w:val="009C3180"/>
    <w:rsid w:val="009C3196"/>
    <w:rsid w:val="009C323C"/>
    <w:rsid w:val="009C3281"/>
    <w:rsid w:val="009C32BF"/>
    <w:rsid w:val="009C330E"/>
    <w:rsid w:val="009C331B"/>
    <w:rsid w:val="009C3346"/>
    <w:rsid w:val="009C3366"/>
    <w:rsid w:val="009C336C"/>
    <w:rsid w:val="009C342A"/>
    <w:rsid w:val="009C3441"/>
    <w:rsid w:val="009C3465"/>
    <w:rsid w:val="009C3474"/>
    <w:rsid w:val="009C34CC"/>
    <w:rsid w:val="009C34E6"/>
    <w:rsid w:val="009C3549"/>
    <w:rsid w:val="009C3569"/>
    <w:rsid w:val="009C356F"/>
    <w:rsid w:val="009C357A"/>
    <w:rsid w:val="009C35F7"/>
    <w:rsid w:val="009C35FE"/>
    <w:rsid w:val="009C3608"/>
    <w:rsid w:val="009C3698"/>
    <w:rsid w:val="009C36E7"/>
    <w:rsid w:val="009C371B"/>
    <w:rsid w:val="009C3721"/>
    <w:rsid w:val="009C3783"/>
    <w:rsid w:val="009C379D"/>
    <w:rsid w:val="009C37A3"/>
    <w:rsid w:val="009C37F4"/>
    <w:rsid w:val="009C3803"/>
    <w:rsid w:val="009C380C"/>
    <w:rsid w:val="009C388B"/>
    <w:rsid w:val="009C388C"/>
    <w:rsid w:val="009C38A6"/>
    <w:rsid w:val="009C38CA"/>
    <w:rsid w:val="009C38D0"/>
    <w:rsid w:val="009C38D8"/>
    <w:rsid w:val="009C38F1"/>
    <w:rsid w:val="009C38FA"/>
    <w:rsid w:val="009C3908"/>
    <w:rsid w:val="009C392C"/>
    <w:rsid w:val="009C39E3"/>
    <w:rsid w:val="009C3A18"/>
    <w:rsid w:val="009C3A99"/>
    <w:rsid w:val="009C3AA6"/>
    <w:rsid w:val="009C3ACD"/>
    <w:rsid w:val="009C3AD0"/>
    <w:rsid w:val="009C3AF6"/>
    <w:rsid w:val="009C3BD8"/>
    <w:rsid w:val="009C3BF8"/>
    <w:rsid w:val="009C3C27"/>
    <w:rsid w:val="009C3C66"/>
    <w:rsid w:val="009C3C90"/>
    <w:rsid w:val="009C3C9C"/>
    <w:rsid w:val="009C3D55"/>
    <w:rsid w:val="009C3D5C"/>
    <w:rsid w:val="009C3E09"/>
    <w:rsid w:val="009C3E10"/>
    <w:rsid w:val="009C3E13"/>
    <w:rsid w:val="009C3E1C"/>
    <w:rsid w:val="009C3EB0"/>
    <w:rsid w:val="009C3EB1"/>
    <w:rsid w:val="009C3ED2"/>
    <w:rsid w:val="009C3EEA"/>
    <w:rsid w:val="009C3F5B"/>
    <w:rsid w:val="009C3F68"/>
    <w:rsid w:val="009C3FC1"/>
    <w:rsid w:val="009C400E"/>
    <w:rsid w:val="009C402C"/>
    <w:rsid w:val="009C40B3"/>
    <w:rsid w:val="009C4163"/>
    <w:rsid w:val="009C4183"/>
    <w:rsid w:val="009C418C"/>
    <w:rsid w:val="009C4194"/>
    <w:rsid w:val="009C420B"/>
    <w:rsid w:val="009C422A"/>
    <w:rsid w:val="009C42FE"/>
    <w:rsid w:val="009C4319"/>
    <w:rsid w:val="009C431F"/>
    <w:rsid w:val="009C437D"/>
    <w:rsid w:val="009C43AF"/>
    <w:rsid w:val="009C43CF"/>
    <w:rsid w:val="009C4402"/>
    <w:rsid w:val="009C4439"/>
    <w:rsid w:val="009C447E"/>
    <w:rsid w:val="009C44E4"/>
    <w:rsid w:val="009C4573"/>
    <w:rsid w:val="009C45C9"/>
    <w:rsid w:val="009C4636"/>
    <w:rsid w:val="009C463A"/>
    <w:rsid w:val="009C46AB"/>
    <w:rsid w:val="009C46C2"/>
    <w:rsid w:val="009C470B"/>
    <w:rsid w:val="009C47BF"/>
    <w:rsid w:val="009C47D4"/>
    <w:rsid w:val="009C4813"/>
    <w:rsid w:val="009C482A"/>
    <w:rsid w:val="009C484D"/>
    <w:rsid w:val="009C4853"/>
    <w:rsid w:val="009C488F"/>
    <w:rsid w:val="009C4891"/>
    <w:rsid w:val="009C491C"/>
    <w:rsid w:val="009C499A"/>
    <w:rsid w:val="009C49FF"/>
    <w:rsid w:val="009C4A02"/>
    <w:rsid w:val="009C4ABC"/>
    <w:rsid w:val="009C4B6C"/>
    <w:rsid w:val="009C4B71"/>
    <w:rsid w:val="009C4B7A"/>
    <w:rsid w:val="009C4B82"/>
    <w:rsid w:val="009C4B9B"/>
    <w:rsid w:val="009C4BD1"/>
    <w:rsid w:val="009C4C33"/>
    <w:rsid w:val="009C4C7C"/>
    <w:rsid w:val="009C4D45"/>
    <w:rsid w:val="009C4DC5"/>
    <w:rsid w:val="009C4E29"/>
    <w:rsid w:val="009C4E2D"/>
    <w:rsid w:val="009C4E5F"/>
    <w:rsid w:val="009C4E78"/>
    <w:rsid w:val="009C4F0F"/>
    <w:rsid w:val="009C4F32"/>
    <w:rsid w:val="009C4F4F"/>
    <w:rsid w:val="009C4FBB"/>
    <w:rsid w:val="009C502B"/>
    <w:rsid w:val="009C50D6"/>
    <w:rsid w:val="009C5125"/>
    <w:rsid w:val="009C5139"/>
    <w:rsid w:val="009C51B9"/>
    <w:rsid w:val="009C51CE"/>
    <w:rsid w:val="009C5219"/>
    <w:rsid w:val="009C5227"/>
    <w:rsid w:val="009C5231"/>
    <w:rsid w:val="009C5243"/>
    <w:rsid w:val="009C5273"/>
    <w:rsid w:val="009C527D"/>
    <w:rsid w:val="009C52D5"/>
    <w:rsid w:val="009C53F9"/>
    <w:rsid w:val="009C540D"/>
    <w:rsid w:val="009C5443"/>
    <w:rsid w:val="009C5497"/>
    <w:rsid w:val="009C54DF"/>
    <w:rsid w:val="009C554C"/>
    <w:rsid w:val="009C55CB"/>
    <w:rsid w:val="009C5639"/>
    <w:rsid w:val="009C56CA"/>
    <w:rsid w:val="009C56E6"/>
    <w:rsid w:val="009C573D"/>
    <w:rsid w:val="009C57E3"/>
    <w:rsid w:val="009C5801"/>
    <w:rsid w:val="009C5809"/>
    <w:rsid w:val="009C5871"/>
    <w:rsid w:val="009C58E5"/>
    <w:rsid w:val="009C5939"/>
    <w:rsid w:val="009C5965"/>
    <w:rsid w:val="009C5971"/>
    <w:rsid w:val="009C5986"/>
    <w:rsid w:val="009C59AA"/>
    <w:rsid w:val="009C59B9"/>
    <w:rsid w:val="009C59C0"/>
    <w:rsid w:val="009C5A45"/>
    <w:rsid w:val="009C5A86"/>
    <w:rsid w:val="009C5AAB"/>
    <w:rsid w:val="009C5AB9"/>
    <w:rsid w:val="009C5AC2"/>
    <w:rsid w:val="009C5AED"/>
    <w:rsid w:val="009C5B03"/>
    <w:rsid w:val="009C5B67"/>
    <w:rsid w:val="009C5BF8"/>
    <w:rsid w:val="009C5C05"/>
    <w:rsid w:val="009C5C09"/>
    <w:rsid w:val="009C5C54"/>
    <w:rsid w:val="009C5C82"/>
    <w:rsid w:val="009C5C83"/>
    <w:rsid w:val="009C5C92"/>
    <w:rsid w:val="009C5CEF"/>
    <w:rsid w:val="009C5D70"/>
    <w:rsid w:val="009C5D9E"/>
    <w:rsid w:val="009C5DA3"/>
    <w:rsid w:val="009C5DBD"/>
    <w:rsid w:val="009C5DF9"/>
    <w:rsid w:val="009C5DFA"/>
    <w:rsid w:val="009C5E9F"/>
    <w:rsid w:val="009C5EE3"/>
    <w:rsid w:val="009C5F0A"/>
    <w:rsid w:val="009C5F7D"/>
    <w:rsid w:val="009C5F9C"/>
    <w:rsid w:val="009C6050"/>
    <w:rsid w:val="009C6072"/>
    <w:rsid w:val="009C6077"/>
    <w:rsid w:val="009C6097"/>
    <w:rsid w:val="009C60E4"/>
    <w:rsid w:val="009C614E"/>
    <w:rsid w:val="009C615A"/>
    <w:rsid w:val="009C6175"/>
    <w:rsid w:val="009C61D7"/>
    <w:rsid w:val="009C625D"/>
    <w:rsid w:val="009C6288"/>
    <w:rsid w:val="009C629B"/>
    <w:rsid w:val="009C630E"/>
    <w:rsid w:val="009C6320"/>
    <w:rsid w:val="009C633B"/>
    <w:rsid w:val="009C6415"/>
    <w:rsid w:val="009C6430"/>
    <w:rsid w:val="009C644E"/>
    <w:rsid w:val="009C64CC"/>
    <w:rsid w:val="009C6516"/>
    <w:rsid w:val="009C663A"/>
    <w:rsid w:val="009C666D"/>
    <w:rsid w:val="009C667F"/>
    <w:rsid w:val="009C673C"/>
    <w:rsid w:val="009C6744"/>
    <w:rsid w:val="009C6758"/>
    <w:rsid w:val="009C6800"/>
    <w:rsid w:val="009C6877"/>
    <w:rsid w:val="009C68BF"/>
    <w:rsid w:val="009C68D7"/>
    <w:rsid w:val="009C6934"/>
    <w:rsid w:val="009C6959"/>
    <w:rsid w:val="009C6A1F"/>
    <w:rsid w:val="009C6A20"/>
    <w:rsid w:val="009C6A89"/>
    <w:rsid w:val="009C6AAA"/>
    <w:rsid w:val="009C6AB3"/>
    <w:rsid w:val="009C6B0C"/>
    <w:rsid w:val="009C6B30"/>
    <w:rsid w:val="009C6B5A"/>
    <w:rsid w:val="009C6C24"/>
    <w:rsid w:val="009C6C3B"/>
    <w:rsid w:val="009C6C84"/>
    <w:rsid w:val="009C6C9A"/>
    <w:rsid w:val="009C6CC0"/>
    <w:rsid w:val="009C6D04"/>
    <w:rsid w:val="009C6D15"/>
    <w:rsid w:val="009C6D71"/>
    <w:rsid w:val="009C6D9A"/>
    <w:rsid w:val="009C6E06"/>
    <w:rsid w:val="009C6E08"/>
    <w:rsid w:val="009C6E7A"/>
    <w:rsid w:val="009C6ECF"/>
    <w:rsid w:val="009C6F03"/>
    <w:rsid w:val="009C6F05"/>
    <w:rsid w:val="009C6F2B"/>
    <w:rsid w:val="009C6F5E"/>
    <w:rsid w:val="009C6FD5"/>
    <w:rsid w:val="009C701A"/>
    <w:rsid w:val="009C7098"/>
    <w:rsid w:val="009C7100"/>
    <w:rsid w:val="009C7124"/>
    <w:rsid w:val="009C71DD"/>
    <w:rsid w:val="009C725A"/>
    <w:rsid w:val="009C72A4"/>
    <w:rsid w:val="009C7314"/>
    <w:rsid w:val="009C731C"/>
    <w:rsid w:val="009C7329"/>
    <w:rsid w:val="009C733B"/>
    <w:rsid w:val="009C733D"/>
    <w:rsid w:val="009C7349"/>
    <w:rsid w:val="009C736D"/>
    <w:rsid w:val="009C73CF"/>
    <w:rsid w:val="009C73D4"/>
    <w:rsid w:val="009C73FA"/>
    <w:rsid w:val="009C7469"/>
    <w:rsid w:val="009C74A0"/>
    <w:rsid w:val="009C74B2"/>
    <w:rsid w:val="009C74B8"/>
    <w:rsid w:val="009C74BF"/>
    <w:rsid w:val="009C754E"/>
    <w:rsid w:val="009C7618"/>
    <w:rsid w:val="009C7697"/>
    <w:rsid w:val="009C76B2"/>
    <w:rsid w:val="009C776E"/>
    <w:rsid w:val="009C77E4"/>
    <w:rsid w:val="009C783A"/>
    <w:rsid w:val="009C786A"/>
    <w:rsid w:val="009C7932"/>
    <w:rsid w:val="009C795B"/>
    <w:rsid w:val="009C796B"/>
    <w:rsid w:val="009C79C0"/>
    <w:rsid w:val="009C7AC9"/>
    <w:rsid w:val="009C7AF7"/>
    <w:rsid w:val="009C7B09"/>
    <w:rsid w:val="009C7B53"/>
    <w:rsid w:val="009C7B93"/>
    <w:rsid w:val="009C7BA4"/>
    <w:rsid w:val="009C7C44"/>
    <w:rsid w:val="009C7C58"/>
    <w:rsid w:val="009C7C94"/>
    <w:rsid w:val="009C7CA8"/>
    <w:rsid w:val="009C7CE5"/>
    <w:rsid w:val="009C7D0B"/>
    <w:rsid w:val="009C7D27"/>
    <w:rsid w:val="009C7D59"/>
    <w:rsid w:val="009C7D71"/>
    <w:rsid w:val="009C7DA9"/>
    <w:rsid w:val="009C7DBD"/>
    <w:rsid w:val="009C7DC9"/>
    <w:rsid w:val="009C7E54"/>
    <w:rsid w:val="009C7E5E"/>
    <w:rsid w:val="009C7E62"/>
    <w:rsid w:val="009C7EA8"/>
    <w:rsid w:val="009C7EDA"/>
    <w:rsid w:val="009C7F67"/>
    <w:rsid w:val="009C7FC5"/>
    <w:rsid w:val="009CDEE2"/>
    <w:rsid w:val="009CF218"/>
    <w:rsid w:val="009D006F"/>
    <w:rsid w:val="009D00B6"/>
    <w:rsid w:val="009D0179"/>
    <w:rsid w:val="009D0184"/>
    <w:rsid w:val="009D01A9"/>
    <w:rsid w:val="009D01C2"/>
    <w:rsid w:val="009D01EF"/>
    <w:rsid w:val="009D020F"/>
    <w:rsid w:val="009D021C"/>
    <w:rsid w:val="009D0276"/>
    <w:rsid w:val="009D02AA"/>
    <w:rsid w:val="009D02AC"/>
    <w:rsid w:val="009D037C"/>
    <w:rsid w:val="009D03A9"/>
    <w:rsid w:val="009D03C0"/>
    <w:rsid w:val="009D03C8"/>
    <w:rsid w:val="009D0437"/>
    <w:rsid w:val="009D043F"/>
    <w:rsid w:val="009D0493"/>
    <w:rsid w:val="009D049A"/>
    <w:rsid w:val="009D04E8"/>
    <w:rsid w:val="009D04EC"/>
    <w:rsid w:val="009D058D"/>
    <w:rsid w:val="009D05C0"/>
    <w:rsid w:val="009D067C"/>
    <w:rsid w:val="009D0687"/>
    <w:rsid w:val="009D06D6"/>
    <w:rsid w:val="009D0738"/>
    <w:rsid w:val="009D079A"/>
    <w:rsid w:val="009D0813"/>
    <w:rsid w:val="009D08B1"/>
    <w:rsid w:val="009D08FE"/>
    <w:rsid w:val="009D0942"/>
    <w:rsid w:val="009D094F"/>
    <w:rsid w:val="009D09CA"/>
    <w:rsid w:val="009D09D3"/>
    <w:rsid w:val="009D09DD"/>
    <w:rsid w:val="009D0A15"/>
    <w:rsid w:val="009D0AD0"/>
    <w:rsid w:val="009D0B1B"/>
    <w:rsid w:val="009D0B5D"/>
    <w:rsid w:val="009D0BA6"/>
    <w:rsid w:val="009D0C94"/>
    <w:rsid w:val="009D0C9C"/>
    <w:rsid w:val="009D0D2B"/>
    <w:rsid w:val="009D0D3B"/>
    <w:rsid w:val="009D0D4E"/>
    <w:rsid w:val="009D0D5E"/>
    <w:rsid w:val="009D0DD3"/>
    <w:rsid w:val="009D0DF1"/>
    <w:rsid w:val="009D0E2A"/>
    <w:rsid w:val="009D0F34"/>
    <w:rsid w:val="009D0F8F"/>
    <w:rsid w:val="009D0FBA"/>
    <w:rsid w:val="009D1004"/>
    <w:rsid w:val="009D10EE"/>
    <w:rsid w:val="009D1167"/>
    <w:rsid w:val="009D1185"/>
    <w:rsid w:val="009D1202"/>
    <w:rsid w:val="009D120A"/>
    <w:rsid w:val="009D1230"/>
    <w:rsid w:val="009D124B"/>
    <w:rsid w:val="009D1296"/>
    <w:rsid w:val="009D1321"/>
    <w:rsid w:val="009D1350"/>
    <w:rsid w:val="009D13AD"/>
    <w:rsid w:val="009D13BA"/>
    <w:rsid w:val="009D13C3"/>
    <w:rsid w:val="009D13D7"/>
    <w:rsid w:val="009D147E"/>
    <w:rsid w:val="009D151F"/>
    <w:rsid w:val="009D154C"/>
    <w:rsid w:val="009D1565"/>
    <w:rsid w:val="009D1572"/>
    <w:rsid w:val="009D159C"/>
    <w:rsid w:val="009D160A"/>
    <w:rsid w:val="009D160F"/>
    <w:rsid w:val="009D1644"/>
    <w:rsid w:val="009D16B7"/>
    <w:rsid w:val="009D170A"/>
    <w:rsid w:val="009D1720"/>
    <w:rsid w:val="009D1784"/>
    <w:rsid w:val="009D184D"/>
    <w:rsid w:val="009D196D"/>
    <w:rsid w:val="009D1976"/>
    <w:rsid w:val="009D197A"/>
    <w:rsid w:val="009D19BF"/>
    <w:rsid w:val="009D19C4"/>
    <w:rsid w:val="009D19D4"/>
    <w:rsid w:val="009D19EA"/>
    <w:rsid w:val="009D1A04"/>
    <w:rsid w:val="009D1A0C"/>
    <w:rsid w:val="009D1A4C"/>
    <w:rsid w:val="009D1A89"/>
    <w:rsid w:val="009D1AA4"/>
    <w:rsid w:val="009D1C1D"/>
    <w:rsid w:val="009D1C23"/>
    <w:rsid w:val="009D1C5E"/>
    <w:rsid w:val="009D1CE6"/>
    <w:rsid w:val="009D1D01"/>
    <w:rsid w:val="009D1D07"/>
    <w:rsid w:val="009D1D94"/>
    <w:rsid w:val="009D1DBC"/>
    <w:rsid w:val="009D1F0E"/>
    <w:rsid w:val="009D1F70"/>
    <w:rsid w:val="009D1F8E"/>
    <w:rsid w:val="009D1FCD"/>
    <w:rsid w:val="009D201D"/>
    <w:rsid w:val="009D2040"/>
    <w:rsid w:val="009D2073"/>
    <w:rsid w:val="009D208C"/>
    <w:rsid w:val="009D20C6"/>
    <w:rsid w:val="009D20D8"/>
    <w:rsid w:val="009D20F3"/>
    <w:rsid w:val="009D212D"/>
    <w:rsid w:val="009D218A"/>
    <w:rsid w:val="009D218B"/>
    <w:rsid w:val="009D2198"/>
    <w:rsid w:val="009D2199"/>
    <w:rsid w:val="009D220A"/>
    <w:rsid w:val="009D220B"/>
    <w:rsid w:val="009D224D"/>
    <w:rsid w:val="009D226C"/>
    <w:rsid w:val="009D228E"/>
    <w:rsid w:val="009D2340"/>
    <w:rsid w:val="009D2391"/>
    <w:rsid w:val="009D23AC"/>
    <w:rsid w:val="009D2405"/>
    <w:rsid w:val="009D240C"/>
    <w:rsid w:val="009D2418"/>
    <w:rsid w:val="009D2420"/>
    <w:rsid w:val="009D2460"/>
    <w:rsid w:val="009D246F"/>
    <w:rsid w:val="009D2472"/>
    <w:rsid w:val="009D2529"/>
    <w:rsid w:val="009D2544"/>
    <w:rsid w:val="009D25E6"/>
    <w:rsid w:val="009D2628"/>
    <w:rsid w:val="009D263E"/>
    <w:rsid w:val="009D26A0"/>
    <w:rsid w:val="009D26ED"/>
    <w:rsid w:val="009D26F4"/>
    <w:rsid w:val="009D2707"/>
    <w:rsid w:val="009D27A7"/>
    <w:rsid w:val="009D27BA"/>
    <w:rsid w:val="009D27DA"/>
    <w:rsid w:val="009D27EF"/>
    <w:rsid w:val="009D28D4"/>
    <w:rsid w:val="009D2923"/>
    <w:rsid w:val="009D2942"/>
    <w:rsid w:val="009D2969"/>
    <w:rsid w:val="009D2976"/>
    <w:rsid w:val="009D298D"/>
    <w:rsid w:val="009D2992"/>
    <w:rsid w:val="009D29AF"/>
    <w:rsid w:val="009D2A45"/>
    <w:rsid w:val="009D2A4F"/>
    <w:rsid w:val="009D2AB7"/>
    <w:rsid w:val="009D2B80"/>
    <w:rsid w:val="009D2BA2"/>
    <w:rsid w:val="009D2BF0"/>
    <w:rsid w:val="009D2C65"/>
    <w:rsid w:val="009D2C8B"/>
    <w:rsid w:val="009D2CD3"/>
    <w:rsid w:val="009D2CDC"/>
    <w:rsid w:val="009D2CF1"/>
    <w:rsid w:val="009D2D4B"/>
    <w:rsid w:val="009D2DB1"/>
    <w:rsid w:val="009D2DD1"/>
    <w:rsid w:val="009D2DFF"/>
    <w:rsid w:val="009D2E16"/>
    <w:rsid w:val="009D2E2D"/>
    <w:rsid w:val="009D2E45"/>
    <w:rsid w:val="009D2E47"/>
    <w:rsid w:val="009D2E66"/>
    <w:rsid w:val="009D2E9A"/>
    <w:rsid w:val="009D2EA3"/>
    <w:rsid w:val="009D2ED9"/>
    <w:rsid w:val="009D2EE4"/>
    <w:rsid w:val="009D2F2F"/>
    <w:rsid w:val="009D2F83"/>
    <w:rsid w:val="009D2FAA"/>
    <w:rsid w:val="009D2FDA"/>
    <w:rsid w:val="009D2FFA"/>
    <w:rsid w:val="009D300A"/>
    <w:rsid w:val="009D3066"/>
    <w:rsid w:val="009D3111"/>
    <w:rsid w:val="009D3126"/>
    <w:rsid w:val="009D3185"/>
    <w:rsid w:val="009D31C5"/>
    <w:rsid w:val="009D31D8"/>
    <w:rsid w:val="009D31F1"/>
    <w:rsid w:val="009D3204"/>
    <w:rsid w:val="009D320C"/>
    <w:rsid w:val="009D3276"/>
    <w:rsid w:val="009D32B8"/>
    <w:rsid w:val="009D32DF"/>
    <w:rsid w:val="009D3343"/>
    <w:rsid w:val="009D334E"/>
    <w:rsid w:val="009D3398"/>
    <w:rsid w:val="009D33DD"/>
    <w:rsid w:val="009D3403"/>
    <w:rsid w:val="009D3422"/>
    <w:rsid w:val="009D3445"/>
    <w:rsid w:val="009D347D"/>
    <w:rsid w:val="009D3496"/>
    <w:rsid w:val="009D349A"/>
    <w:rsid w:val="009D34B3"/>
    <w:rsid w:val="009D34C3"/>
    <w:rsid w:val="009D3563"/>
    <w:rsid w:val="009D35B5"/>
    <w:rsid w:val="009D35E6"/>
    <w:rsid w:val="009D3646"/>
    <w:rsid w:val="009D364D"/>
    <w:rsid w:val="009D3671"/>
    <w:rsid w:val="009D3701"/>
    <w:rsid w:val="009D3811"/>
    <w:rsid w:val="009D385F"/>
    <w:rsid w:val="009D3907"/>
    <w:rsid w:val="009D391A"/>
    <w:rsid w:val="009D3921"/>
    <w:rsid w:val="009D39B8"/>
    <w:rsid w:val="009D3AE3"/>
    <w:rsid w:val="009D3B48"/>
    <w:rsid w:val="009D3B86"/>
    <w:rsid w:val="009D3BA5"/>
    <w:rsid w:val="009D3BA8"/>
    <w:rsid w:val="009D3BAD"/>
    <w:rsid w:val="009D3BBD"/>
    <w:rsid w:val="009D3BBF"/>
    <w:rsid w:val="009D3BDA"/>
    <w:rsid w:val="009D3BFB"/>
    <w:rsid w:val="009D3BFD"/>
    <w:rsid w:val="009D3C51"/>
    <w:rsid w:val="009D3C97"/>
    <w:rsid w:val="009D3CAC"/>
    <w:rsid w:val="009D3D05"/>
    <w:rsid w:val="009D3D23"/>
    <w:rsid w:val="009D3D30"/>
    <w:rsid w:val="009D3D4A"/>
    <w:rsid w:val="009D3D5C"/>
    <w:rsid w:val="009D3D73"/>
    <w:rsid w:val="009D3DAE"/>
    <w:rsid w:val="009D3DDD"/>
    <w:rsid w:val="009D3DEF"/>
    <w:rsid w:val="009D3DF7"/>
    <w:rsid w:val="009D3E5B"/>
    <w:rsid w:val="009D3F0E"/>
    <w:rsid w:val="009D40A3"/>
    <w:rsid w:val="009D4102"/>
    <w:rsid w:val="009D4118"/>
    <w:rsid w:val="009D4136"/>
    <w:rsid w:val="009D4166"/>
    <w:rsid w:val="009D416B"/>
    <w:rsid w:val="009D4186"/>
    <w:rsid w:val="009D41DC"/>
    <w:rsid w:val="009D422F"/>
    <w:rsid w:val="009D427E"/>
    <w:rsid w:val="009D4302"/>
    <w:rsid w:val="009D4359"/>
    <w:rsid w:val="009D4375"/>
    <w:rsid w:val="009D437D"/>
    <w:rsid w:val="009D4387"/>
    <w:rsid w:val="009D438E"/>
    <w:rsid w:val="009D440C"/>
    <w:rsid w:val="009D442A"/>
    <w:rsid w:val="009D44B4"/>
    <w:rsid w:val="009D44D6"/>
    <w:rsid w:val="009D457F"/>
    <w:rsid w:val="009D4593"/>
    <w:rsid w:val="009D4605"/>
    <w:rsid w:val="009D46E0"/>
    <w:rsid w:val="009D470A"/>
    <w:rsid w:val="009D470C"/>
    <w:rsid w:val="009D4721"/>
    <w:rsid w:val="009D4801"/>
    <w:rsid w:val="009D481B"/>
    <w:rsid w:val="009D4836"/>
    <w:rsid w:val="009D484F"/>
    <w:rsid w:val="009D4858"/>
    <w:rsid w:val="009D48B3"/>
    <w:rsid w:val="009D490E"/>
    <w:rsid w:val="009D4934"/>
    <w:rsid w:val="009D493E"/>
    <w:rsid w:val="009D494E"/>
    <w:rsid w:val="009D4988"/>
    <w:rsid w:val="009D4A58"/>
    <w:rsid w:val="009D4AA3"/>
    <w:rsid w:val="009D4AE1"/>
    <w:rsid w:val="009D4AF3"/>
    <w:rsid w:val="009D4AFB"/>
    <w:rsid w:val="009D4B22"/>
    <w:rsid w:val="009D4B55"/>
    <w:rsid w:val="009D4B62"/>
    <w:rsid w:val="009D4B78"/>
    <w:rsid w:val="009D4BA7"/>
    <w:rsid w:val="009D4BD6"/>
    <w:rsid w:val="009D4C52"/>
    <w:rsid w:val="009D4C7F"/>
    <w:rsid w:val="009D4C9E"/>
    <w:rsid w:val="009D4CA7"/>
    <w:rsid w:val="009D4CCF"/>
    <w:rsid w:val="009D4D0F"/>
    <w:rsid w:val="009D4D37"/>
    <w:rsid w:val="009D4D44"/>
    <w:rsid w:val="009D4D77"/>
    <w:rsid w:val="009D4DB3"/>
    <w:rsid w:val="009D4DB7"/>
    <w:rsid w:val="009D4DBC"/>
    <w:rsid w:val="009D4E61"/>
    <w:rsid w:val="009D4E69"/>
    <w:rsid w:val="009D4ECA"/>
    <w:rsid w:val="009D4ED1"/>
    <w:rsid w:val="009D4F14"/>
    <w:rsid w:val="009D5002"/>
    <w:rsid w:val="009D5008"/>
    <w:rsid w:val="009D5028"/>
    <w:rsid w:val="009D5049"/>
    <w:rsid w:val="009D50DA"/>
    <w:rsid w:val="009D5117"/>
    <w:rsid w:val="009D5140"/>
    <w:rsid w:val="009D5156"/>
    <w:rsid w:val="009D5170"/>
    <w:rsid w:val="009D51FC"/>
    <w:rsid w:val="009D5229"/>
    <w:rsid w:val="009D524F"/>
    <w:rsid w:val="009D52A5"/>
    <w:rsid w:val="009D52DB"/>
    <w:rsid w:val="009D52EE"/>
    <w:rsid w:val="009D52F4"/>
    <w:rsid w:val="009D5369"/>
    <w:rsid w:val="009D538B"/>
    <w:rsid w:val="009D539B"/>
    <w:rsid w:val="009D53CD"/>
    <w:rsid w:val="009D53D8"/>
    <w:rsid w:val="009D5431"/>
    <w:rsid w:val="009D548E"/>
    <w:rsid w:val="009D54C7"/>
    <w:rsid w:val="009D54FB"/>
    <w:rsid w:val="009D5543"/>
    <w:rsid w:val="009D5555"/>
    <w:rsid w:val="009D5571"/>
    <w:rsid w:val="009D5579"/>
    <w:rsid w:val="009D55CE"/>
    <w:rsid w:val="009D55D5"/>
    <w:rsid w:val="009D55FB"/>
    <w:rsid w:val="009D56AA"/>
    <w:rsid w:val="009D571D"/>
    <w:rsid w:val="009D5724"/>
    <w:rsid w:val="009D573B"/>
    <w:rsid w:val="009D575D"/>
    <w:rsid w:val="009D5861"/>
    <w:rsid w:val="009D5872"/>
    <w:rsid w:val="009D587D"/>
    <w:rsid w:val="009D58AE"/>
    <w:rsid w:val="009D58CB"/>
    <w:rsid w:val="009D5916"/>
    <w:rsid w:val="009D5970"/>
    <w:rsid w:val="009D5972"/>
    <w:rsid w:val="009D5A30"/>
    <w:rsid w:val="009D5A9F"/>
    <w:rsid w:val="009D5AA5"/>
    <w:rsid w:val="009D5AA9"/>
    <w:rsid w:val="009D5AC7"/>
    <w:rsid w:val="009D5B0C"/>
    <w:rsid w:val="009D5BA9"/>
    <w:rsid w:val="009D5BCB"/>
    <w:rsid w:val="009D5C52"/>
    <w:rsid w:val="009D5CEB"/>
    <w:rsid w:val="009D5D71"/>
    <w:rsid w:val="009D5D72"/>
    <w:rsid w:val="009D5D9E"/>
    <w:rsid w:val="009D5DB3"/>
    <w:rsid w:val="009D5E2B"/>
    <w:rsid w:val="009D5E66"/>
    <w:rsid w:val="009D5EF8"/>
    <w:rsid w:val="009D5F72"/>
    <w:rsid w:val="009D5FC3"/>
    <w:rsid w:val="009D5FE2"/>
    <w:rsid w:val="009D5FFE"/>
    <w:rsid w:val="009D6054"/>
    <w:rsid w:val="009D606A"/>
    <w:rsid w:val="009D60B2"/>
    <w:rsid w:val="009D60B4"/>
    <w:rsid w:val="009D60D1"/>
    <w:rsid w:val="009D610B"/>
    <w:rsid w:val="009D6177"/>
    <w:rsid w:val="009D61A7"/>
    <w:rsid w:val="009D61B1"/>
    <w:rsid w:val="009D6211"/>
    <w:rsid w:val="009D6251"/>
    <w:rsid w:val="009D6280"/>
    <w:rsid w:val="009D6298"/>
    <w:rsid w:val="009D62AF"/>
    <w:rsid w:val="009D62C8"/>
    <w:rsid w:val="009D637D"/>
    <w:rsid w:val="009D63AD"/>
    <w:rsid w:val="009D63BB"/>
    <w:rsid w:val="009D63C5"/>
    <w:rsid w:val="009D63DF"/>
    <w:rsid w:val="009D63E8"/>
    <w:rsid w:val="009D649A"/>
    <w:rsid w:val="009D64CF"/>
    <w:rsid w:val="009D64E2"/>
    <w:rsid w:val="009D6507"/>
    <w:rsid w:val="009D652C"/>
    <w:rsid w:val="009D65CC"/>
    <w:rsid w:val="009D65D8"/>
    <w:rsid w:val="009D65FA"/>
    <w:rsid w:val="009D6601"/>
    <w:rsid w:val="009D6621"/>
    <w:rsid w:val="009D6659"/>
    <w:rsid w:val="009D66C1"/>
    <w:rsid w:val="009D66F5"/>
    <w:rsid w:val="009D6793"/>
    <w:rsid w:val="009D6837"/>
    <w:rsid w:val="009D6890"/>
    <w:rsid w:val="009D6899"/>
    <w:rsid w:val="009D68C1"/>
    <w:rsid w:val="009D694F"/>
    <w:rsid w:val="009D6953"/>
    <w:rsid w:val="009D6991"/>
    <w:rsid w:val="009D6993"/>
    <w:rsid w:val="009D69A0"/>
    <w:rsid w:val="009D69A4"/>
    <w:rsid w:val="009D69DB"/>
    <w:rsid w:val="009D69FA"/>
    <w:rsid w:val="009D6A03"/>
    <w:rsid w:val="009D6A16"/>
    <w:rsid w:val="009D6A5F"/>
    <w:rsid w:val="009D6A80"/>
    <w:rsid w:val="009D6A9C"/>
    <w:rsid w:val="009D6B2C"/>
    <w:rsid w:val="009D6BAB"/>
    <w:rsid w:val="009D6BCF"/>
    <w:rsid w:val="009D6BD2"/>
    <w:rsid w:val="009D6DCB"/>
    <w:rsid w:val="009D6E26"/>
    <w:rsid w:val="009D6E92"/>
    <w:rsid w:val="009D6F1E"/>
    <w:rsid w:val="009D6F2C"/>
    <w:rsid w:val="009D6F31"/>
    <w:rsid w:val="009D6F75"/>
    <w:rsid w:val="009D6F99"/>
    <w:rsid w:val="009D6FE2"/>
    <w:rsid w:val="009D6FFA"/>
    <w:rsid w:val="009D7026"/>
    <w:rsid w:val="009D7054"/>
    <w:rsid w:val="009D7094"/>
    <w:rsid w:val="009D718F"/>
    <w:rsid w:val="009D71AB"/>
    <w:rsid w:val="009D71BE"/>
    <w:rsid w:val="009D72D7"/>
    <w:rsid w:val="009D732B"/>
    <w:rsid w:val="009D7361"/>
    <w:rsid w:val="009D7393"/>
    <w:rsid w:val="009D73DC"/>
    <w:rsid w:val="009D74E6"/>
    <w:rsid w:val="009D7530"/>
    <w:rsid w:val="009D7606"/>
    <w:rsid w:val="009D7608"/>
    <w:rsid w:val="009D7613"/>
    <w:rsid w:val="009D765B"/>
    <w:rsid w:val="009D76A5"/>
    <w:rsid w:val="009D76E9"/>
    <w:rsid w:val="009D7713"/>
    <w:rsid w:val="009D7721"/>
    <w:rsid w:val="009D773E"/>
    <w:rsid w:val="009D774A"/>
    <w:rsid w:val="009D77E3"/>
    <w:rsid w:val="009D77F0"/>
    <w:rsid w:val="009D7818"/>
    <w:rsid w:val="009D78C3"/>
    <w:rsid w:val="009D78CA"/>
    <w:rsid w:val="009D78DC"/>
    <w:rsid w:val="009D78FF"/>
    <w:rsid w:val="009D7927"/>
    <w:rsid w:val="009D7996"/>
    <w:rsid w:val="009D79C9"/>
    <w:rsid w:val="009D7A41"/>
    <w:rsid w:val="009D7A6F"/>
    <w:rsid w:val="009D7A7C"/>
    <w:rsid w:val="009D7A8A"/>
    <w:rsid w:val="009D7B44"/>
    <w:rsid w:val="009D7B79"/>
    <w:rsid w:val="009D7BA2"/>
    <w:rsid w:val="009D7BEA"/>
    <w:rsid w:val="009D7BFC"/>
    <w:rsid w:val="009D7C14"/>
    <w:rsid w:val="009D7C8F"/>
    <w:rsid w:val="009D7D1A"/>
    <w:rsid w:val="009D7D63"/>
    <w:rsid w:val="009D7DA2"/>
    <w:rsid w:val="009D7DAC"/>
    <w:rsid w:val="009D7DB0"/>
    <w:rsid w:val="009D7DE5"/>
    <w:rsid w:val="009D7E21"/>
    <w:rsid w:val="009D7E28"/>
    <w:rsid w:val="009D7EDC"/>
    <w:rsid w:val="009D7F07"/>
    <w:rsid w:val="009D7F97"/>
    <w:rsid w:val="009E0010"/>
    <w:rsid w:val="009E0054"/>
    <w:rsid w:val="009E0056"/>
    <w:rsid w:val="009E0078"/>
    <w:rsid w:val="009E008E"/>
    <w:rsid w:val="009E00C1"/>
    <w:rsid w:val="009E00E9"/>
    <w:rsid w:val="009E00FF"/>
    <w:rsid w:val="009E0198"/>
    <w:rsid w:val="009E0252"/>
    <w:rsid w:val="009E027A"/>
    <w:rsid w:val="009E029E"/>
    <w:rsid w:val="009E02E6"/>
    <w:rsid w:val="009E02FB"/>
    <w:rsid w:val="009E02FE"/>
    <w:rsid w:val="009E035E"/>
    <w:rsid w:val="009E040B"/>
    <w:rsid w:val="009E041D"/>
    <w:rsid w:val="009E0438"/>
    <w:rsid w:val="009E043D"/>
    <w:rsid w:val="009E045D"/>
    <w:rsid w:val="009E0461"/>
    <w:rsid w:val="009E0498"/>
    <w:rsid w:val="009E04A1"/>
    <w:rsid w:val="009E052F"/>
    <w:rsid w:val="009E053E"/>
    <w:rsid w:val="009E055B"/>
    <w:rsid w:val="009E058A"/>
    <w:rsid w:val="009E05A5"/>
    <w:rsid w:val="009E06BC"/>
    <w:rsid w:val="009E06F3"/>
    <w:rsid w:val="009E0731"/>
    <w:rsid w:val="009E0747"/>
    <w:rsid w:val="009E076D"/>
    <w:rsid w:val="009E07B8"/>
    <w:rsid w:val="009E07C5"/>
    <w:rsid w:val="009E07CC"/>
    <w:rsid w:val="009E07E3"/>
    <w:rsid w:val="009E08B1"/>
    <w:rsid w:val="009E08B5"/>
    <w:rsid w:val="009E095E"/>
    <w:rsid w:val="009E0A4B"/>
    <w:rsid w:val="009E0A7B"/>
    <w:rsid w:val="009E0AA7"/>
    <w:rsid w:val="009E0AAA"/>
    <w:rsid w:val="009E0AAF"/>
    <w:rsid w:val="009E0AF8"/>
    <w:rsid w:val="009E0B34"/>
    <w:rsid w:val="009E0B39"/>
    <w:rsid w:val="009E0B3C"/>
    <w:rsid w:val="009E0B9F"/>
    <w:rsid w:val="009E0BC1"/>
    <w:rsid w:val="009E0C19"/>
    <w:rsid w:val="009E0C21"/>
    <w:rsid w:val="009E0C4A"/>
    <w:rsid w:val="009E0CD0"/>
    <w:rsid w:val="009E0CDD"/>
    <w:rsid w:val="009E0D09"/>
    <w:rsid w:val="009E0D53"/>
    <w:rsid w:val="009E0D68"/>
    <w:rsid w:val="009E0D9B"/>
    <w:rsid w:val="009E0DD1"/>
    <w:rsid w:val="009E0E0F"/>
    <w:rsid w:val="009E0E1C"/>
    <w:rsid w:val="009E0E3E"/>
    <w:rsid w:val="009E0ED8"/>
    <w:rsid w:val="009E0EE0"/>
    <w:rsid w:val="009E0F4A"/>
    <w:rsid w:val="009E0F5C"/>
    <w:rsid w:val="009E0F6C"/>
    <w:rsid w:val="009E0F77"/>
    <w:rsid w:val="009E0F93"/>
    <w:rsid w:val="009E0F9E"/>
    <w:rsid w:val="009E0FBE"/>
    <w:rsid w:val="009E101E"/>
    <w:rsid w:val="009E1030"/>
    <w:rsid w:val="009E1055"/>
    <w:rsid w:val="009E1057"/>
    <w:rsid w:val="009E1097"/>
    <w:rsid w:val="009E1115"/>
    <w:rsid w:val="009E1136"/>
    <w:rsid w:val="009E117D"/>
    <w:rsid w:val="009E11BA"/>
    <w:rsid w:val="009E1210"/>
    <w:rsid w:val="009E1225"/>
    <w:rsid w:val="009E12F0"/>
    <w:rsid w:val="009E1340"/>
    <w:rsid w:val="009E13D5"/>
    <w:rsid w:val="009E1420"/>
    <w:rsid w:val="009E1490"/>
    <w:rsid w:val="009E14A7"/>
    <w:rsid w:val="009E14CD"/>
    <w:rsid w:val="009E14DF"/>
    <w:rsid w:val="009E1552"/>
    <w:rsid w:val="009E1558"/>
    <w:rsid w:val="009E155B"/>
    <w:rsid w:val="009E15CA"/>
    <w:rsid w:val="009E162C"/>
    <w:rsid w:val="009E163A"/>
    <w:rsid w:val="009E163C"/>
    <w:rsid w:val="009E164B"/>
    <w:rsid w:val="009E1693"/>
    <w:rsid w:val="009E1732"/>
    <w:rsid w:val="009E181A"/>
    <w:rsid w:val="009E1824"/>
    <w:rsid w:val="009E183D"/>
    <w:rsid w:val="009E18A3"/>
    <w:rsid w:val="009E18B1"/>
    <w:rsid w:val="009E18CA"/>
    <w:rsid w:val="009E18D7"/>
    <w:rsid w:val="009E18D9"/>
    <w:rsid w:val="009E18E8"/>
    <w:rsid w:val="009E195F"/>
    <w:rsid w:val="009E1975"/>
    <w:rsid w:val="009E1989"/>
    <w:rsid w:val="009E19C5"/>
    <w:rsid w:val="009E1A58"/>
    <w:rsid w:val="009E1ABC"/>
    <w:rsid w:val="009E1ABF"/>
    <w:rsid w:val="009E1B0C"/>
    <w:rsid w:val="009E1B12"/>
    <w:rsid w:val="009E1B26"/>
    <w:rsid w:val="009E1B32"/>
    <w:rsid w:val="009E1B3F"/>
    <w:rsid w:val="009E1B64"/>
    <w:rsid w:val="009E1B95"/>
    <w:rsid w:val="009E1BC7"/>
    <w:rsid w:val="009E1C0F"/>
    <w:rsid w:val="009E1C4A"/>
    <w:rsid w:val="009E1C89"/>
    <w:rsid w:val="009E1C91"/>
    <w:rsid w:val="009E1CAC"/>
    <w:rsid w:val="009E1CB4"/>
    <w:rsid w:val="009E1CF1"/>
    <w:rsid w:val="009E1D06"/>
    <w:rsid w:val="009E1D08"/>
    <w:rsid w:val="009E1D51"/>
    <w:rsid w:val="009E1D58"/>
    <w:rsid w:val="009E1D5B"/>
    <w:rsid w:val="009E1D6D"/>
    <w:rsid w:val="009E1DE0"/>
    <w:rsid w:val="009E1E06"/>
    <w:rsid w:val="009E1E43"/>
    <w:rsid w:val="009E1EBA"/>
    <w:rsid w:val="009E1EF0"/>
    <w:rsid w:val="009E1EF9"/>
    <w:rsid w:val="009E1F02"/>
    <w:rsid w:val="009E1F8B"/>
    <w:rsid w:val="009E1FA6"/>
    <w:rsid w:val="009E1FE2"/>
    <w:rsid w:val="009E1FE7"/>
    <w:rsid w:val="009E1FFB"/>
    <w:rsid w:val="009E201C"/>
    <w:rsid w:val="009E202B"/>
    <w:rsid w:val="009E2092"/>
    <w:rsid w:val="009E2106"/>
    <w:rsid w:val="009E2109"/>
    <w:rsid w:val="009E2171"/>
    <w:rsid w:val="009E2179"/>
    <w:rsid w:val="009E21EB"/>
    <w:rsid w:val="009E2223"/>
    <w:rsid w:val="009E222E"/>
    <w:rsid w:val="009E2295"/>
    <w:rsid w:val="009E22BB"/>
    <w:rsid w:val="009E22FC"/>
    <w:rsid w:val="009E2307"/>
    <w:rsid w:val="009E231B"/>
    <w:rsid w:val="009E2376"/>
    <w:rsid w:val="009E23BB"/>
    <w:rsid w:val="009E23CA"/>
    <w:rsid w:val="009E2473"/>
    <w:rsid w:val="009E24BD"/>
    <w:rsid w:val="009E251F"/>
    <w:rsid w:val="009E2555"/>
    <w:rsid w:val="009E25B8"/>
    <w:rsid w:val="009E2603"/>
    <w:rsid w:val="009E262D"/>
    <w:rsid w:val="009E2648"/>
    <w:rsid w:val="009E26BE"/>
    <w:rsid w:val="009E272F"/>
    <w:rsid w:val="009E274C"/>
    <w:rsid w:val="009E2752"/>
    <w:rsid w:val="009E2764"/>
    <w:rsid w:val="009E27DC"/>
    <w:rsid w:val="009E2814"/>
    <w:rsid w:val="009E282F"/>
    <w:rsid w:val="009E28A3"/>
    <w:rsid w:val="009E28B4"/>
    <w:rsid w:val="009E293A"/>
    <w:rsid w:val="009E2997"/>
    <w:rsid w:val="009E29B1"/>
    <w:rsid w:val="009E2A66"/>
    <w:rsid w:val="009E2A86"/>
    <w:rsid w:val="009E2AAD"/>
    <w:rsid w:val="009E2ABF"/>
    <w:rsid w:val="009E2AF2"/>
    <w:rsid w:val="009E2B02"/>
    <w:rsid w:val="009E2B08"/>
    <w:rsid w:val="009E2B98"/>
    <w:rsid w:val="009E2BAB"/>
    <w:rsid w:val="009E2C01"/>
    <w:rsid w:val="009E2C07"/>
    <w:rsid w:val="009E2C24"/>
    <w:rsid w:val="009E2CA4"/>
    <w:rsid w:val="009E2D09"/>
    <w:rsid w:val="009E2D89"/>
    <w:rsid w:val="009E2DE0"/>
    <w:rsid w:val="009E2DE3"/>
    <w:rsid w:val="009E2E65"/>
    <w:rsid w:val="009E2EB0"/>
    <w:rsid w:val="009E2EF7"/>
    <w:rsid w:val="009E2F9B"/>
    <w:rsid w:val="009E2FCD"/>
    <w:rsid w:val="009E2FF4"/>
    <w:rsid w:val="009E308E"/>
    <w:rsid w:val="009E30BA"/>
    <w:rsid w:val="009E311C"/>
    <w:rsid w:val="009E3129"/>
    <w:rsid w:val="009E3135"/>
    <w:rsid w:val="009E3149"/>
    <w:rsid w:val="009E317E"/>
    <w:rsid w:val="009E31B0"/>
    <w:rsid w:val="009E31F0"/>
    <w:rsid w:val="009E31F9"/>
    <w:rsid w:val="009E3209"/>
    <w:rsid w:val="009E322F"/>
    <w:rsid w:val="009E3257"/>
    <w:rsid w:val="009E327F"/>
    <w:rsid w:val="009E32AD"/>
    <w:rsid w:val="009E32B7"/>
    <w:rsid w:val="009E3332"/>
    <w:rsid w:val="009E3350"/>
    <w:rsid w:val="009E3441"/>
    <w:rsid w:val="009E347A"/>
    <w:rsid w:val="009E352D"/>
    <w:rsid w:val="009E3548"/>
    <w:rsid w:val="009E355B"/>
    <w:rsid w:val="009E3575"/>
    <w:rsid w:val="009E3597"/>
    <w:rsid w:val="009E3599"/>
    <w:rsid w:val="009E35B1"/>
    <w:rsid w:val="009E35BD"/>
    <w:rsid w:val="009E35FC"/>
    <w:rsid w:val="009E361F"/>
    <w:rsid w:val="009E366A"/>
    <w:rsid w:val="009E36A6"/>
    <w:rsid w:val="009E36CF"/>
    <w:rsid w:val="009E36D1"/>
    <w:rsid w:val="009E36F2"/>
    <w:rsid w:val="009E3721"/>
    <w:rsid w:val="009E3760"/>
    <w:rsid w:val="009E376B"/>
    <w:rsid w:val="009E37F0"/>
    <w:rsid w:val="009E3822"/>
    <w:rsid w:val="009E383F"/>
    <w:rsid w:val="009E3863"/>
    <w:rsid w:val="009E3892"/>
    <w:rsid w:val="009E38BE"/>
    <w:rsid w:val="009E38C9"/>
    <w:rsid w:val="009E38E2"/>
    <w:rsid w:val="009E390B"/>
    <w:rsid w:val="009E3953"/>
    <w:rsid w:val="009E3966"/>
    <w:rsid w:val="009E396A"/>
    <w:rsid w:val="009E3984"/>
    <w:rsid w:val="009E399E"/>
    <w:rsid w:val="009E39A8"/>
    <w:rsid w:val="009E39C4"/>
    <w:rsid w:val="009E39D6"/>
    <w:rsid w:val="009E39E3"/>
    <w:rsid w:val="009E39F3"/>
    <w:rsid w:val="009E3A3D"/>
    <w:rsid w:val="009E3A77"/>
    <w:rsid w:val="009E3A7F"/>
    <w:rsid w:val="009E3ACE"/>
    <w:rsid w:val="009E3B04"/>
    <w:rsid w:val="009E3B2E"/>
    <w:rsid w:val="009E3B3D"/>
    <w:rsid w:val="009E3BAC"/>
    <w:rsid w:val="009E3BBC"/>
    <w:rsid w:val="009E3BCA"/>
    <w:rsid w:val="009E3C11"/>
    <w:rsid w:val="009E3C12"/>
    <w:rsid w:val="009E3C72"/>
    <w:rsid w:val="009E3C99"/>
    <w:rsid w:val="009E3CD2"/>
    <w:rsid w:val="009E3CE6"/>
    <w:rsid w:val="009E3D1C"/>
    <w:rsid w:val="009E3D46"/>
    <w:rsid w:val="009E3D55"/>
    <w:rsid w:val="009E3D6B"/>
    <w:rsid w:val="009E3D98"/>
    <w:rsid w:val="009E3DC4"/>
    <w:rsid w:val="009E3DD5"/>
    <w:rsid w:val="009E3E72"/>
    <w:rsid w:val="009E3EA3"/>
    <w:rsid w:val="009E3EB1"/>
    <w:rsid w:val="009E3F6F"/>
    <w:rsid w:val="009E3F70"/>
    <w:rsid w:val="009E3FE5"/>
    <w:rsid w:val="009E3FFD"/>
    <w:rsid w:val="009E4028"/>
    <w:rsid w:val="009E402B"/>
    <w:rsid w:val="009E405E"/>
    <w:rsid w:val="009E406B"/>
    <w:rsid w:val="009E4079"/>
    <w:rsid w:val="009E4096"/>
    <w:rsid w:val="009E412A"/>
    <w:rsid w:val="009E4138"/>
    <w:rsid w:val="009E4150"/>
    <w:rsid w:val="009E4151"/>
    <w:rsid w:val="009E4167"/>
    <w:rsid w:val="009E4186"/>
    <w:rsid w:val="009E4194"/>
    <w:rsid w:val="009E41A7"/>
    <w:rsid w:val="009E4288"/>
    <w:rsid w:val="009E42C8"/>
    <w:rsid w:val="009E42FE"/>
    <w:rsid w:val="009E4307"/>
    <w:rsid w:val="009E4345"/>
    <w:rsid w:val="009E43DE"/>
    <w:rsid w:val="009E43E8"/>
    <w:rsid w:val="009E442E"/>
    <w:rsid w:val="009E4448"/>
    <w:rsid w:val="009E4464"/>
    <w:rsid w:val="009E446A"/>
    <w:rsid w:val="009E4486"/>
    <w:rsid w:val="009E4499"/>
    <w:rsid w:val="009E44C4"/>
    <w:rsid w:val="009E44DA"/>
    <w:rsid w:val="009E44FC"/>
    <w:rsid w:val="009E4509"/>
    <w:rsid w:val="009E452B"/>
    <w:rsid w:val="009E4537"/>
    <w:rsid w:val="009E455F"/>
    <w:rsid w:val="009E4567"/>
    <w:rsid w:val="009E460D"/>
    <w:rsid w:val="009E4694"/>
    <w:rsid w:val="009E46CD"/>
    <w:rsid w:val="009E46E3"/>
    <w:rsid w:val="009E46EB"/>
    <w:rsid w:val="009E4756"/>
    <w:rsid w:val="009E477E"/>
    <w:rsid w:val="009E481D"/>
    <w:rsid w:val="009E4828"/>
    <w:rsid w:val="009E486D"/>
    <w:rsid w:val="009E4876"/>
    <w:rsid w:val="009E489F"/>
    <w:rsid w:val="009E48E7"/>
    <w:rsid w:val="009E494A"/>
    <w:rsid w:val="009E49FE"/>
    <w:rsid w:val="009E4A70"/>
    <w:rsid w:val="009E4AC2"/>
    <w:rsid w:val="009E4AF6"/>
    <w:rsid w:val="009E4B17"/>
    <w:rsid w:val="009E4B1E"/>
    <w:rsid w:val="009E4B2C"/>
    <w:rsid w:val="009E4B41"/>
    <w:rsid w:val="009E4B4C"/>
    <w:rsid w:val="009E4B83"/>
    <w:rsid w:val="009E4C55"/>
    <w:rsid w:val="009E4D21"/>
    <w:rsid w:val="009E4D4E"/>
    <w:rsid w:val="009E4DB0"/>
    <w:rsid w:val="009E4EB1"/>
    <w:rsid w:val="009E4EB9"/>
    <w:rsid w:val="009E4F0F"/>
    <w:rsid w:val="009E4F51"/>
    <w:rsid w:val="009E4F90"/>
    <w:rsid w:val="009E4FB9"/>
    <w:rsid w:val="009E4FDB"/>
    <w:rsid w:val="009E5057"/>
    <w:rsid w:val="009E5083"/>
    <w:rsid w:val="009E50DE"/>
    <w:rsid w:val="009E511A"/>
    <w:rsid w:val="009E5143"/>
    <w:rsid w:val="009E51A3"/>
    <w:rsid w:val="009E51AA"/>
    <w:rsid w:val="009E51B3"/>
    <w:rsid w:val="009E51D0"/>
    <w:rsid w:val="009E522E"/>
    <w:rsid w:val="009E523D"/>
    <w:rsid w:val="009E528B"/>
    <w:rsid w:val="009E52AA"/>
    <w:rsid w:val="009E52E9"/>
    <w:rsid w:val="009E52F4"/>
    <w:rsid w:val="009E5366"/>
    <w:rsid w:val="009E53C2"/>
    <w:rsid w:val="009E540F"/>
    <w:rsid w:val="009E5424"/>
    <w:rsid w:val="009E5455"/>
    <w:rsid w:val="009E5456"/>
    <w:rsid w:val="009E5492"/>
    <w:rsid w:val="009E54A0"/>
    <w:rsid w:val="009E54E7"/>
    <w:rsid w:val="009E5529"/>
    <w:rsid w:val="009E5542"/>
    <w:rsid w:val="009E5556"/>
    <w:rsid w:val="009E5566"/>
    <w:rsid w:val="009E5569"/>
    <w:rsid w:val="009E55CF"/>
    <w:rsid w:val="009E5660"/>
    <w:rsid w:val="009E5672"/>
    <w:rsid w:val="009E568E"/>
    <w:rsid w:val="009E56BB"/>
    <w:rsid w:val="009E56BE"/>
    <w:rsid w:val="009E56C6"/>
    <w:rsid w:val="009E56CC"/>
    <w:rsid w:val="009E56DB"/>
    <w:rsid w:val="009E56FA"/>
    <w:rsid w:val="009E570A"/>
    <w:rsid w:val="009E570B"/>
    <w:rsid w:val="009E57BF"/>
    <w:rsid w:val="009E57E9"/>
    <w:rsid w:val="009E5895"/>
    <w:rsid w:val="009E58AC"/>
    <w:rsid w:val="009E58C2"/>
    <w:rsid w:val="009E58D4"/>
    <w:rsid w:val="009E58F4"/>
    <w:rsid w:val="009E590E"/>
    <w:rsid w:val="009E5911"/>
    <w:rsid w:val="009E5917"/>
    <w:rsid w:val="009E5971"/>
    <w:rsid w:val="009E5A0A"/>
    <w:rsid w:val="009E5A0F"/>
    <w:rsid w:val="009E5A1B"/>
    <w:rsid w:val="009E5A67"/>
    <w:rsid w:val="009E5A87"/>
    <w:rsid w:val="009E5AB7"/>
    <w:rsid w:val="009E5AEB"/>
    <w:rsid w:val="009E5AF7"/>
    <w:rsid w:val="009E5B31"/>
    <w:rsid w:val="009E5B4B"/>
    <w:rsid w:val="009E5B6E"/>
    <w:rsid w:val="009E5B91"/>
    <w:rsid w:val="009E5C14"/>
    <w:rsid w:val="009E5C70"/>
    <w:rsid w:val="009E5CF0"/>
    <w:rsid w:val="009E5CF2"/>
    <w:rsid w:val="009E5D19"/>
    <w:rsid w:val="009E5DCD"/>
    <w:rsid w:val="009E5E49"/>
    <w:rsid w:val="009E5E5F"/>
    <w:rsid w:val="009E5EB1"/>
    <w:rsid w:val="009E5EF7"/>
    <w:rsid w:val="009E5F34"/>
    <w:rsid w:val="009E5F3D"/>
    <w:rsid w:val="009E5F5E"/>
    <w:rsid w:val="009E5F81"/>
    <w:rsid w:val="009E5FBB"/>
    <w:rsid w:val="009E5FC4"/>
    <w:rsid w:val="009E5FC6"/>
    <w:rsid w:val="009E5FF4"/>
    <w:rsid w:val="009E6070"/>
    <w:rsid w:val="009E60C2"/>
    <w:rsid w:val="009E6113"/>
    <w:rsid w:val="009E6139"/>
    <w:rsid w:val="009E6170"/>
    <w:rsid w:val="009E6189"/>
    <w:rsid w:val="009E61BA"/>
    <w:rsid w:val="009E61DC"/>
    <w:rsid w:val="009E623E"/>
    <w:rsid w:val="009E6251"/>
    <w:rsid w:val="009E629C"/>
    <w:rsid w:val="009E62EF"/>
    <w:rsid w:val="009E6301"/>
    <w:rsid w:val="009E630E"/>
    <w:rsid w:val="009E6351"/>
    <w:rsid w:val="009E63D1"/>
    <w:rsid w:val="009E63E1"/>
    <w:rsid w:val="009E63F4"/>
    <w:rsid w:val="009E6448"/>
    <w:rsid w:val="009E6493"/>
    <w:rsid w:val="009E64A1"/>
    <w:rsid w:val="009E64E0"/>
    <w:rsid w:val="009E654E"/>
    <w:rsid w:val="009E6554"/>
    <w:rsid w:val="009E6567"/>
    <w:rsid w:val="009E6640"/>
    <w:rsid w:val="009E6663"/>
    <w:rsid w:val="009E66DF"/>
    <w:rsid w:val="009E66F3"/>
    <w:rsid w:val="009E66F5"/>
    <w:rsid w:val="009E672D"/>
    <w:rsid w:val="009E673A"/>
    <w:rsid w:val="009E6762"/>
    <w:rsid w:val="009E6789"/>
    <w:rsid w:val="009E6797"/>
    <w:rsid w:val="009E67A9"/>
    <w:rsid w:val="009E67AB"/>
    <w:rsid w:val="009E67B1"/>
    <w:rsid w:val="009E67BA"/>
    <w:rsid w:val="009E67CD"/>
    <w:rsid w:val="009E67E6"/>
    <w:rsid w:val="009E67FA"/>
    <w:rsid w:val="009E687A"/>
    <w:rsid w:val="009E6893"/>
    <w:rsid w:val="009E689B"/>
    <w:rsid w:val="009E68C5"/>
    <w:rsid w:val="009E68FF"/>
    <w:rsid w:val="009E695E"/>
    <w:rsid w:val="009E6A0E"/>
    <w:rsid w:val="009E6A24"/>
    <w:rsid w:val="009E6A67"/>
    <w:rsid w:val="009E6AA6"/>
    <w:rsid w:val="009E6B4B"/>
    <w:rsid w:val="009E6B52"/>
    <w:rsid w:val="009E6B90"/>
    <w:rsid w:val="009E6C33"/>
    <w:rsid w:val="009E6C3E"/>
    <w:rsid w:val="009E6C6F"/>
    <w:rsid w:val="009E6D09"/>
    <w:rsid w:val="009E6D89"/>
    <w:rsid w:val="009E6DAB"/>
    <w:rsid w:val="009E6DBA"/>
    <w:rsid w:val="009E6DD7"/>
    <w:rsid w:val="009E6DE5"/>
    <w:rsid w:val="009E6E07"/>
    <w:rsid w:val="009E6E3F"/>
    <w:rsid w:val="009E6E6C"/>
    <w:rsid w:val="009E6EF8"/>
    <w:rsid w:val="009E6F29"/>
    <w:rsid w:val="009E6F3E"/>
    <w:rsid w:val="009E6F46"/>
    <w:rsid w:val="009E6FDF"/>
    <w:rsid w:val="009E7071"/>
    <w:rsid w:val="009E7093"/>
    <w:rsid w:val="009E70B3"/>
    <w:rsid w:val="009E70FD"/>
    <w:rsid w:val="009E718C"/>
    <w:rsid w:val="009E7198"/>
    <w:rsid w:val="009E71C0"/>
    <w:rsid w:val="009E71DA"/>
    <w:rsid w:val="009E71E1"/>
    <w:rsid w:val="009E71ED"/>
    <w:rsid w:val="009E7262"/>
    <w:rsid w:val="009E72D6"/>
    <w:rsid w:val="009E7306"/>
    <w:rsid w:val="009E7345"/>
    <w:rsid w:val="009E73A7"/>
    <w:rsid w:val="009E7404"/>
    <w:rsid w:val="009E7406"/>
    <w:rsid w:val="009E7423"/>
    <w:rsid w:val="009E746D"/>
    <w:rsid w:val="009E7474"/>
    <w:rsid w:val="009E7487"/>
    <w:rsid w:val="009E748B"/>
    <w:rsid w:val="009E74FB"/>
    <w:rsid w:val="009E7546"/>
    <w:rsid w:val="009E7557"/>
    <w:rsid w:val="009E7568"/>
    <w:rsid w:val="009E75C7"/>
    <w:rsid w:val="009E764B"/>
    <w:rsid w:val="009E7686"/>
    <w:rsid w:val="009E7690"/>
    <w:rsid w:val="009E77FF"/>
    <w:rsid w:val="009E7861"/>
    <w:rsid w:val="009E78A7"/>
    <w:rsid w:val="009E78DE"/>
    <w:rsid w:val="009E78EA"/>
    <w:rsid w:val="009E7922"/>
    <w:rsid w:val="009E796C"/>
    <w:rsid w:val="009E7970"/>
    <w:rsid w:val="009E7A11"/>
    <w:rsid w:val="009E7A1F"/>
    <w:rsid w:val="009E7A66"/>
    <w:rsid w:val="009E7AB6"/>
    <w:rsid w:val="009E7AD0"/>
    <w:rsid w:val="009E7B08"/>
    <w:rsid w:val="009E7B6F"/>
    <w:rsid w:val="009E7B85"/>
    <w:rsid w:val="009E7BEF"/>
    <w:rsid w:val="009E7BF1"/>
    <w:rsid w:val="009E7BF9"/>
    <w:rsid w:val="009E7C11"/>
    <w:rsid w:val="009E7C13"/>
    <w:rsid w:val="009E7C38"/>
    <w:rsid w:val="009E7C4E"/>
    <w:rsid w:val="009E7C6F"/>
    <w:rsid w:val="009E7C8B"/>
    <w:rsid w:val="009E7C8F"/>
    <w:rsid w:val="009E7D0E"/>
    <w:rsid w:val="009E7D2C"/>
    <w:rsid w:val="009E7DD1"/>
    <w:rsid w:val="009E7E03"/>
    <w:rsid w:val="009E7E2F"/>
    <w:rsid w:val="009E7E30"/>
    <w:rsid w:val="009E7E31"/>
    <w:rsid w:val="009E7E40"/>
    <w:rsid w:val="009E7E7A"/>
    <w:rsid w:val="009E7EAC"/>
    <w:rsid w:val="009E7EB1"/>
    <w:rsid w:val="009E7F78"/>
    <w:rsid w:val="009E7F7F"/>
    <w:rsid w:val="009E7FA2"/>
    <w:rsid w:val="009EDAE7"/>
    <w:rsid w:val="009F0033"/>
    <w:rsid w:val="009F0070"/>
    <w:rsid w:val="009F0089"/>
    <w:rsid w:val="009F00FF"/>
    <w:rsid w:val="009F018F"/>
    <w:rsid w:val="009F0228"/>
    <w:rsid w:val="009F0254"/>
    <w:rsid w:val="009F0260"/>
    <w:rsid w:val="009F0281"/>
    <w:rsid w:val="009F02DA"/>
    <w:rsid w:val="009F02ED"/>
    <w:rsid w:val="009F030A"/>
    <w:rsid w:val="009F0336"/>
    <w:rsid w:val="009F036B"/>
    <w:rsid w:val="009F0389"/>
    <w:rsid w:val="009F039E"/>
    <w:rsid w:val="009F03BC"/>
    <w:rsid w:val="009F03DF"/>
    <w:rsid w:val="009F04BC"/>
    <w:rsid w:val="009F05E7"/>
    <w:rsid w:val="009F071A"/>
    <w:rsid w:val="009F073A"/>
    <w:rsid w:val="009F0750"/>
    <w:rsid w:val="009F07F1"/>
    <w:rsid w:val="009F0805"/>
    <w:rsid w:val="009F0874"/>
    <w:rsid w:val="009F087D"/>
    <w:rsid w:val="009F0899"/>
    <w:rsid w:val="009F08AA"/>
    <w:rsid w:val="009F08DB"/>
    <w:rsid w:val="009F08E4"/>
    <w:rsid w:val="009F0950"/>
    <w:rsid w:val="009F0960"/>
    <w:rsid w:val="009F0976"/>
    <w:rsid w:val="009F09D9"/>
    <w:rsid w:val="009F09E6"/>
    <w:rsid w:val="009F0A01"/>
    <w:rsid w:val="009F0A6C"/>
    <w:rsid w:val="009F0A70"/>
    <w:rsid w:val="009F0A93"/>
    <w:rsid w:val="009F0B10"/>
    <w:rsid w:val="009F0B4D"/>
    <w:rsid w:val="009F0BCD"/>
    <w:rsid w:val="009F0C61"/>
    <w:rsid w:val="009F0CB3"/>
    <w:rsid w:val="009F0E54"/>
    <w:rsid w:val="009F0E5F"/>
    <w:rsid w:val="009F0E71"/>
    <w:rsid w:val="009F0F0A"/>
    <w:rsid w:val="009F0F1C"/>
    <w:rsid w:val="009F0F30"/>
    <w:rsid w:val="009F0F4D"/>
    <w:rsid w:val="009F0F89"/>
    <w:rsid w:val="009F0F9E"/>
    <w:rsid w:val="009F0FC8"/>
    <w:rsid w:val="009F0FF8"/>
    <w:rsid w:val="009F1054"/>
    <w:rsid w:val="009F106A"/>
    <w:rsid w:val="009F107A"/>
    <w:rsid w:val="009F107E"/>
    <w:rsid w:val="009F10A2"/>
    <w:rsid w:val="009F10F2"/>
    <w:rsid w:val="009F10FB"/>
    <w:rsid w:val="009F112A"/>
    <w:rsid w:val="009F113B"/>
    <w:rsid w:val="009F1144"/>
    <w:rsid w:val="009F114E"/>
    <w:rsid w:val="009F1161"/>
    <w:rsid w:val="009F1172"/>
    <w:rsid w:val="009F1188"/>
    <w:rsid w:val="009F1253"/>
    <w:rsid w:val="009F12AE"/>
    <w:rsid w:val="009F12C9"/>
    <w:rsid w:val="009F130D"/>
    <w:rsid w:val="009F1351"/>
    <w:rsid w:val="009F1356"/>
    <w:rsid w:val="009F13AE"/>
    <w:rsid w:val="009F13B8"/>
    <w:rsid w:val="009F1471"/>
    <w:rsid w:val="009F150F"/>
    <w:rsid w:val="009F156C"/>
    <w:rsid w:val="009F157F"/>
    <w:rsid w:val="009F15AB"/>
    <w:rsid w:val="009F1693"/>
    <w:rsid w:val="009F169A"/>
    <w:rsid w:val="009F16AB"/>
    <w:rsid w:val="009F1765"/>
    <w:rsid w:val="009F1807"/>
    <w:rsid w:val="009F1835"/>
    <w:rsid w:val="009F18B5"/>
    <w:rsid w:val="009F1910"/>
    <w:rsid w:val="009F1924"/>
    <w:rsid w:val="009F194C"/>
    <w:rsid w:val="009F1950"/>
    <w:rsid w:val="009F19CA"/>
    <w:rsid w:val="009F1A1C"/>
    <w:rsid w:val="009F1A60"/>
    <w:rsid w:val="009F1A76"/>
    <w:rsid w:val="009F1A82"/>
    <w:rsid w:val="009F1A9D"/>
    <w:rsid w:val="009F1AC7"/>
    <w:rsid w:val="009F1B87"/>
    <w:rsid w:val="009F1BA4"/>
    <w:rsid w:val="009F1BFC"/>
    <w:rsid w:val="009F1D1B"/>
    <w:rsid w:val="009F1D45"/>
    <w:rsid w:val="009F1D54"/>
    <w:rsid w:val="009F1D86"/>
    <w:rsid w:val="009F1DB8"/>
    <w:rsid w:val="009F1DCB"/>
    <w:rsid w:val="009F1E3E"/>
    <w:rsid w:val="009F1EE2"/>
    <w:rsid w:val="009F1EFD"/>
    <w:rsid w:val="009F1F81"/>
    <w:rsid w:val="009F1FCD"/>
    <w:rsid w:val="009F2006"/>
    <w:rsid w:val="009F201B"/>
    <w:rsid w:val="009F2028"/>
    <w:rsid w:val="009F20E2"/>
    <w:rsid w:val="009F2130"/>
    <w:rsid w:val="009F2142"/>
    <w:rsid w:val="009F2171"/>
    <w:rsid w:val="009F21C1"/>
    <w:rsid w:val="009F21C3"/>
    <w:rsid w:val="009F21CB"/>
    <w:rsid w:val="009F21DE"/>
    <w:rsid w:val="009F21E9"/>
    <w:rsid w:val="009F2201"/>
    <w:rsid w:val="009F2207"/>
    <w:rsid w:val="009F221C"/>
    <w:rsid w:val="009F221D"/>
    <w:rsid w:val="009F223D"/>
    <w:rsid w:val="009F224C"/>
    <w:rsid w:val="009F22F5"/>
    <w:rsid w:val="009F2372"/>
    <w:rsid w:val="009F23DD"/>
    <w:rsid w:val="009F23E1"/>
    <w:rsid w:val="009F23FA"/>
    <w:rsid w:val="009F245A"/>
    <w:rsid w:val="009F245F"/>
    <w:rsid w:val="009F246F"/>
    <w:rsid w:val="009F248D"/>
    <w:rsid w:val="009F24B4"/>
    <w:rsid w:val="009F2503"/>
    <w:rsid w:val="009F250F"/>
    <w:rsid w:val="009F252B"/>
    <w:rsid w:val="009F255D"/>
    <w:rsid w:val="009F257A"/>
    <w:rsid w:val="009F25C8"/>
    <w:rsid w:val="009F2604"/>
    <w:rsid w:val="009F264E"/>
    <w:rsid w:val="009F264F"/>
    <w:rsid w:val="009F26E3"/>
    <w:rsid w:val="009F26E5"/>
    <w:rsid w:val="009F2755"/>
    <w:rsid w:val="009F278D"/>
    <w:rsid w:val="009F27DD"/>
    <w:rsid w:val="009F27E0"/>
    <w:rsid w:val="009F2811"/>
    <w:rsid w:val="009F2812"/>
    <w:rsid w:val="009F2856"/>
    <w:rsid w:val="009F2879"/>
    <w:rsid w:val="009F2884"/>
    <w:rsid w:val="009F28A6"/>
    <w:rsid w:val="009F291E"/>
    <w:rsid w:val="009F2939"/>
    <w:rsid w:val="009F293B"/>
    <w:rsid w:val="009F298E"/>
    <w:rsid w:val="009F29D4"/>
    <w:rsid w:val="009F2A46"/>
    <w:rsid w:val="009F2A6B"/>
    <w:rsid w:val="009F2A77"/>
    <w:rsid w:val="009F2A8C"/>
    <w:rsid w:val="009F2A9E"/>
    <w:rsid w:val="009F2B96"/>
    <w:rsid w:val="009F2B9E"/>
    <w:rsid w:val="009F2C1B"/>
    <w:rsid w:val="009F2C53"/>
    <w:rsid w:val="009F2C7D"/>
    <w:rsid w:val="009F2C90"/>
    <w:rsid w:val="009F2CC4"/>
    <w:rsid w:val="009F2CED"/>
    <w:rsid w:val="009F2D07"/>
    <w:rsid w:val="009F2D3F"/>
    <w:rsid w:val="009F2D71"/>
    <w:rsid w:val="009F2DB5"/>
    <w:rsid w:val="009F2DB8"/>
    <w:rsid w:val="009F2DD8"/>
    <w:rsid w:val="009F2DF8"/>
    <w:rsid w:val="009F2E37"/>
    <w:rsid w:val="009F2E7C"/>
    <w:rsid w:val="009F2E98"/>
    <w:rsid w:val="009F2E9D"/>
    <w:rsid w:val="009F2EB1"/>
    <w:rsid w:val="009F2EDD"/>
    <w:rsid w:val="009F2EEC"/>
    <w:rsid w:val="009F2F5F"/>
    <w:rsid w:val="009F2F71"/>
    <w:rsid w:val="009F2FB6"/>
    <w:rsid w:val="009F2FCC"/>
    <w:rsid w:val="009F2FCE"/>
    <w:rsid w:val="009F2FD6"/>
    <w:rsid w:val="009F2FD8"/>
    <w:rsid w:val="009F3005"/>
    <w:rsid w:val="009F304C"/>
    <w:rsid w:val="009F304E"/>
    <w:rsid w:val="009F307B"/>
    <w:rsid w:val="009F307F"/>
    <w:rsid w:val="009F30A6"/>
    <w:rsid w:val="009F3139"/>
    <w:rsid w:val="009F3144"/>
    <w:rsid w:val="009F31AD"/>
    <w:rsid w:val="009F31DC"/>
    <w:rsid w:val="009F3233"/>
    <w:rsid w:val="009F3337"/>
    <w:rsid w:val="009F336E"/>
    <w:rsid w:val="009F3376"/>
    <w:rsid w:val="009F33CE"/>
    <w:rsid w:val="009F33D0"/>
    <w:rsid w:val="009F345F"/>
    <w:rsid w:val="009F3470"/>
    <w:rsid w:val="009F34AC"/>
    <w:rsid w:val="009F34C8"/>
    <w:rsid w:val="009F354B"/>
    <w:rsid w:val="009F35C9"/>
    <w:rsid w:val="009F35D0"/>
    <w:rsid w:val="009F366B"/>
    <w:rsid w:val="009F3681"/>
    <w:rsid w:val="009F36A7"/>
    <w:rsid w:val="009F36AC"/>
    <w:rsid w:val="009F36AE"/>
    <w:rsid w:val="009F36F6"/>
    <w:rsid w:val="009F37B6"/>
    <w:rsid w:val="009F3820"/>
    <w:rsid w:val="009F3851"/>
    <w:rsid w:val="009F3859"/>
    <w:rsid w:val="009F38DF"/>
    <w:rsid w:val="009F3924"/>
    <w:rsid w:val="009F3930"/>
    <w:rsid w:val="009F3952"/>
    <w:rsid w:val="009F395E"/>
    <w:rsid w:val="009F39BC"/>
    <w:rsid w:val="009F39C2"/>
    <w:rsid w:val="009F3A2D"/>
    <w:rsid w:val="009F3A5C"/>
    <w:rsid w:val="009F3A75"/>
    <w:rsid w:val="009F3AEE"/>
    <w:rsid w:val="009F3AFB"/>
    <w:rsid w:val="009F3B6D"/>
    <w:rsid w:val="009F3B7F"/>
    <w:rsid w:val="009F3BF5"/>
    <w:rsid w:val="009F3C15"/>
    <w:rsid w:val="009F3D77"/>
    <w:rsid w:val="009F3DC1"/>
    <w:rsid w:val="009F3E3F"/>
    <w:rsid w:val="009F3E46"/>
    <w:rsid w:val="009F3E62"/>
    <w:rsid w:val="009F3E68"/>
    <w:rsid w:val="009F3E73"/>
    <w:rsid w:val="009F3E7B"/>
    <w:rsid w:val="009F3E7E"/>
    <w:rsid w:val="009F3E7F"/>
    <w:rsid w:val="009F3EAC"/>
    <w:rsid w:val="009F3ED3"/>
    <w:rsid w:val="009F3EE2"/>
    <w:rsid w:val="009F3F15"/>
    <w:rsid w:val="009F3F6E"/>
    <w:rsid w:val="009F3FA2"/>
    <w:rsid w:val="009F4026"/>
    <w:rsid w:val="009F4046"/>
    <w:rsid w:val="009F408B"/>
    <w:rsid w:val="009F40CD"/>
    <w:rsid w:val="009F40CE"/>
    <w:rsid w:val="009F4104"/>
    <w:rsid w:val="009F412B"/>
    <w:rsid w:val="009F4188"/>
    <w:rsid w:val="009F41CF"/>
    <w:rsid w:val="009F41F5"/>
    <w:rsid w:val="009F4229"/>
    <w:rsid w:val="009F42C4"/>
    <w:rsid w:val="009F42E0"/>
    <w:rsid w:val="009F42E7"/>
    <w:rsid w:val="009F4303"/>
    <w:rsid w:val="009F4328"/>
    <w:rsid w:val="009F432C"/>
    <w:rsid w:val="009F436A"/>
    <w:rsid w:val="009F43A6"/>
    <w:rsid w:val="009F43AF"/>
    <w:rsid w:val="009F43D8"/>
    <w:rsid w:val="009F43ED"/>
    <w:rsid w:val="009F4462"/>
    <w:rsid w:val="009F44B5"/>
    <w:rsid w:val="009F45B3"/>
    <w:rsid w:val="009F4604"/>
    <w:rsid w:val="009F4615"/>
    <w:rsid w:val="009F4693"/>
    <w:rsid w:val="009F4721"/>
    <w:rsid w:val="009F4725"/>
    <w:rsid w:val="009F4727"/>
    <w:rsid w:val="009F47A0"/>
    <w:rsid w:val="009F47C1"/>
    <w:rsid w:val="009F47FF"/>
    <w:rsid w:val="009F493C"/>
    <w:rsid w:val="009F49BA"/>
    <w:rsid w:val="009F49CE"/>
    <w:rsid w:val="009F49D7"/>
    <w:rsid w:val="009F4A3B"/>
    <w:rsid w:val="009F4A63"/>
    <w:rsid w:val="009F4ABB"/>
    <w:rsid w:val="009F4AF5"/>
    <w:rsid w:val="009F4B0A"/>
    <w:rsid w:val="009F4B1A"/>
    <w:rsid w:val="009F4B52"/>
    <w:rsid w:val="009F4BED"/>
    <w:rsid w:val="009F4C2A"/>
    <w:rsid w:val="009F4C89"/>
    <w:rsid w:val="009F4CAA"/>
    <w:rsid w:val="009F4CCC"/>
    <w:rsid w:val="009F4CE3"/>
    <w:rsid w:val="009F4DBE"/>
    <w:rsid w:val="009F4DEA"/>
    <w:rsid w:val="009F4DEF"/>
    <w:rsid w:val="009F4DF5"/>
    <w:rsid w:val="009F4E7C"/>
    <w:rsid w:val="009F4E8B"/>
    <w:rsid w:val="009F4EF0"/>
    <w:rsid w:val="009F4F01"/>
    <w:rsid w:val="009F4F23"/>
    <w:rsid w:val="009F4F77"/>
    <w:rsid w:val="009F5005"/>
    <w:rsid w:val="009F501B"/>
    <w:rsid w:val="009F5031"/>
    <w:rsid w:val="009F5047"/>
    <w:rsid w:val="009F50B2"/>
    <w:rsid w:val="009F5130"/>
    <w:rsid w:val="009F51A2"/>
    <w:rsid w:val="009F51D2"/>
    <w:rsid w:val="009F5237"/>
    <w:rsid w:val="009F5249"/>
    <w:rsid w:val="009F52A7"/>
    <w:rsid w:val="009F52AF"/>
    <w:rsid w:val="009F52FB"/>
    <w:rsid w:val="009F5322"/>
    <w:rsid w:val="009F538F"/>
    <w:rsid w:val="009F53C7"/>
    <w:rsid w:val="009F53F8"/>
    <w:rsid w:val="009F5482"/>
    <w:rsid w:val="009F54AA"/>
    <w:rsid w:val="009F5514"/>
    <w:rsid w:val="009F5526"/>
    <w:rsid w:val="009F553A"/>
    <w:rsid w:val="009F55F2"/>
    <w:rsid w:val="009F5632"/>
    <w:rsid w:val="009F564D"/>
    <w:rsid w:val="009F56D4"/>
    <w:rsid w:val="009F5744"/>
    <w:rsid w:val="009F5763"/>
    <w:rsid w:val="009F578C"/>
    <w:rsid w:val="009F5850"/>
    <w:rsid w:val="009F58C3"/>
    <w:rsid w:val="009F58FF"/>
    <w:rsid w:val="009F597C"/>
    <w:rsid w:val="009F597E"/>
    <w:rsid w:val="009F59A0"/>
    <w:rsid w:val="009F59AC"/>
    <w:rsid w:val="009F5A0B"/>
    <w:rsid w:val="009F5A33"/>
    <w:rsid w:val="009F5AA0"/>
    <w:rsid w:val="009F5ACA"/>
    <w:rsid w:val="009F5AD4"/>
    <w:rsid w:val="009F5B3B"/>
    <w:rsid w:val="009F5B3F"/>
    <w:rsid w:val="009F5B75"/>
    <w:rsid w:val="009F5B90"/>
    <w:rsid w:val="009F5BE7"/>
    <w:rsid w:val="009F5C21"/>
    <w:rsid w:val="009F5C48"/>
    <w:rsid w:val="009F5C81"/>
    <w:rsid w:val="009F5CFF"/>
    <w:rsid w:val="009F5D2D"/>
    <w:rsid w:val="009F5DB0"/>
    <w:rsid w:val="009F5E05"/>
    <w:rsid w:val="009F5E31"/>
    <w:rsid w:val="009F5EBF"/>
    <w:rsid w:val="009F5EE9"/>
    <w:rsid w:val="009F5F9B"/>
    <w:rsid w:val="009F5FB7"/>
    <w:rsid w:val="009F600F"/>
    <w:rsid w:val="009F60BB"/>
    <w:rsid w:val="009F60FA"/>
    <w:rsid w:val="009F611D"/>
    <w:rsid w:val="009F623A"/>
    <w:rsid w:val="009F6280"/>
    <w:rsid w:val="009F629B"/>
    <w:rsid w:val="009F62D8"/>
    <w:rsid w:val="009F631B"/>
    <w:rsid w:val="009F6332"/>
    <w:rsid w:val="009F6364"/>
    <w:rsid w:val="009F63CC"/>
    <w:rsid w:val="009F648E"/>
    <w:rsid w:val="009F64A6"/>
    <w:rsid w:val="009F64B0"/>
    <w:rsid w:val="009F64C5"/>
    <w:rsid w:val="009F64CE"/>
    <w:rsid w:val="009F64FB"/>
    <w:rsid w:val="009F654F"/>
    <w:rsid w:val="009F6557"/>
    <w:rsid w:val="009F655F"/>
    <w:rsid w:val="009F661D"/>
    <w:rsid w:val="009F667F"/>
    <w:rsid w:val="009F668C"/>
    <w:rsid w:val="009F669C"/>
    <w:rsid w:val="009F66AD"/>
    <w:rsid w:val="009F66DC"/>
    <w:rsid w:val="009F670C"/>
    <w:rsid w:val="009F67AB"/>
    <w:rsid w:val="009F67C0"/>
    <w:rsid w:val="009F6805"/>
    <w:rsid w:val="009F6821"/>
    <w:rsid w:val="009F68E3"/>
    <w:rsid w:val="009F6948"/>
    <w:rsid w:val="009F6953"/>
    <w:rsid w:val="009F6991"/>
    <w:rsid w:val="009F69C4"/>
    <w:rsid w:val="009F69E1"/>
    <w:rsid w:val="009F6A01"/>
    <w:rsid w:val="009F6A24"/>
    <w:rsid w:val="009F6A28"/>
    <w:rsid w:val="009F6A7C"/>
    <w:rsid w:val="009F6A7F"/>
    <w:rsid w:val="009F6AA1"/>
    <w:rsid w:val="009F6AC3"/>
    <w:rsid w:val="009F6AF1"/>
    <w:rsid w:val="009F6B55"/>
    <w:rsid w:val="009F6B8E"/>
    <w:rsid w:val="009F6BFF"/>
    <w:rsid w:val="009F6C20"/>
    <w:rsid w:val="009F6C98"/>
    <w:rsid w:val="009F6CEA"/>
    <w:rsid w:val="009F6CF7"/>
    <w:rsid w:val="009F6D0C"/>
    <w:rsid w:val="009F6D17"/>
    <w:rsid w:val="009F6D25"/>
    <w:rsid w:val="009F6D46"/>
    <w:rsid w:val="009F6D5C"/>
    <w:rsid w:val="009F6DB6"/>
    <w:rsid w:val="009F6DE2"/>
    <w:rsid w:val="009F6DED"/>
    <w:rsid w:val="009F6E16"/>
    <w:rsid w:val="009F6E34"/>
    <w:rsid w:val="009F6E91"/>
    <w:rsid w:val="009F6EA7"/>
    <w:rsid w:val="009F6F34"/>
    <w:rsid w:val="009F6F9B"/>
    <w:rsid w:val="009F6FCE"/>
    <w:rsid w:val="009F7010"/>
    <w:rsid w:val="009F7035"/>
    <w:rsid w:val="009F7166"/>
    <w:rsid w:val="009F7168"/>
    <w:rsid w:val="009F71AB"/>
    <w:rsid w:val="009F71CC"/>
    <w:rsid w:val="009F71D7"/>
    <w:rsid w:val="009F7219"/>
    <w:rsid w:val="009F7287"/>
    <w:rsid w:val="009F72B1"/>
    <w:rsid w:val="009F72CF"/>
    <w:rsid w:val="009F7348"/>
    <w:rsid w:val="009F7371"/>
    <w:rsid w:val="009F738B"/>
    <w:rsid w:val="009F73A8"/>
    <w:rsid w:val="009F74BB"/>
    <w:rsid w:val="009F7509"/>
    <w:rsid w:val="009F750E"/>
    <w:rsid w:val="009F7524"/>
    <w:rsid w:val="009F7534"/>
    <w:rsid w:val="009F75B2"/>
    <w:rsid w:val="009F760E"/>
    <w:rsid w:val="009F7627"/>
    <w:rsid w:val="009F766C"/>
    <w:rsid w:val="009F7717"/>
    <w:rsid w:val="009F7776"/>
    <w:rsid w:val="009F779B"/>
    <w:rsid w:val="009F779F"/>
    <w:rsid w:val="009F77B9"/>
    <w:rsid w:val="009F77CC"/>
    <w:rsid w:val="009F77D6"/>
    <w:rsid w:val="009F7812"/>
    <w:rsid w:val="009F7828"/>
    <w:rsid w:val="009F7864"/>
    <w:rsid w:val="009F7898"/>
    <w:rsid w:val="009F78AC"/>
    <w:rsid w:val="009F7945"/>
    <w:rsid w:val="009F79EF"/>
    <w:rsid w:val="009F79FB"/>
    <w:rsid w:val="009F7A2B"/>
    <w:rsid w:val="009F7A44"/>
    <w:rsid w:val="009F7A49"/>
    <w:rsid w:val="009F7A75"/>
    <w:rsid w:val="009F7B16"/>
    <w:rsid w:val="009F7B4B"/>
    <w:rsid w:val="009F7B5E"/>
    <w:rsid w:val="009F7BAA"/>
    <w:rsid w:val="009F7CD8"/>
    <w:rsid w:val="009F7D17"/>
    <w:rsid w:val="009F7D46"/>
    <w:rsid w:val="009F7D9D"/>
    <w:rsid w:val="009F7DD4"/>
    <w:rsid w:val="009F7DF6"/>
    <w:rsid w:val="009F7E27"/>
    <w:rsid w:val="009F7E43"/>
    <w:rsid w:val="009F7E68"/>
    <w:rsid w:val="009F7EDA"/>
    <w:rsid w:val="009F7F02"/>
    <w:rsid w:val="009F7F64"/>
    <w:rsid w:val="009F7F88"/>
    <w:rsid w:val="009F7FB0"/>
    <w:rsid w:val="009F7FB9"/>
    <w:rsid w:val="009F7FE1"/>
    <w:rsid w:val="00A0002A"/>
    <w:rsid w:val="00A00048"/>
    <w:rsid w:val="00A0004B"/>
    <w:rsid w:val="00A0007E"/>
    <w:rsid w:val="00A000DD"/>
    <w:rsid w:val="00A0013C"/>
    <w:rsid w:val="00A0014F"/>
    <w:rsid w:val="00A00166"/>
    <w:rsid w:val="00A00171"/>
    <w:rsid w:val="00A001C3"/>
    <w:rsid w:val="00A0029F"/>
    <w:rsid w:val="00A00307"/>
    <w:rsid w:val="00A003DA"/>
    <w:rsid w:val="00A0040B"/>
    <w:rsid w:val="00A00492"/>
    <w:rsid w:val="00A004C0"/>
    <w:rsid w:val="00A004C2"/>
    <w:rsid w:val="00A00523"/>
    <w:rsid w:val="00A00536"/>
    <w:rsid w:val="00A005E2"/>
    <w:rsid w:val="00A0060D"/>
    <w:rsid w:val="00A0067C"/>
    <w:rsid w:val="00A006A1"/>
    <w:rsid w:val="00A006AD"/>
    <w:rsid w:val="00A0076B"/>
    <w:rsid w:val="00A0077E"/>
    <w:rsid w:val="00A00795"/>
    <w:rsid w:val="00A00805"/>
    <w:rsid w:val="00A0083A"/>
    <w:rsid w:val="00A0083F"/>
    <w:rsid w:val="00A00861"/>
    <w:rsid w:val="00A008F7"/>
    <w:rsid w:val="00A00927"/>
    <w:rsid w:val="00A00946"/>
    <w:rsid w:val="00A009A9"/>
    <w:rsid w:val="00A009AE"/>
    <w:rsid w:val="00A009B4"/>
    <w:rsid w:val="00A009BA"/>
    <w:rsid w:val="00A009F6"/>
    <w:rsid w:val="00A00A45"/>
    <w:rsid w:val="00A00A62"/>
    <w:rsid w:val="00A00A73"/>
    <w:rsid w:val="00A00AA9"/>
    <w:rsid w:val="00A00B36"/>
    <w:rsid w:val="00A00B4D"/>
    <w:rsid w:val="00A00B67"/>
    <w:rsid w:val="00A00B90"/>
    <w:rsid w:val="00A00C05"/>
    <w:rsid w:val="00A00C9F"/>
    <w:rsid w:val="00A00CA9"/>
    <w:rsid w:val="00A00D13"/>
    <w:rsid w:val="00A00D47"/>
    <w:rsid w:val="00A00D86"/>
    <w:rsid w:val="00A00DC4"/>
    <w:rsid w:val="00A00E0D"/>
    <w:rsid w:val="00A00EB1"/>
    <w:rsid w:val="00A00EC9"/>
    <w:rsid w:val="00A00F13"/>
    <w:rsid w:val="00A00F6D"/>
    <w:rsid w:val="00A00F70"/>
    <w:rsid w:val="00A00F7F"/>
    <w:rsid w:val="00A0102E"/>
    <w:rsid w:val="00A01049"/>
    <w:rsid w:val="00A011CF"/>
    <w:rsid w:val="00A01222"/>
    <w:rsid w:val="00A01271"/>
    <w:rsid w:val="00A0127B"/>
    <w:rsid w:val="00A01282"/>
    <w:rsid w:val="00A01296"/>
    <w:rsid w:val="00A012A5"/>
    <w:rsid w:val="00A012C6"/>
    <w:rsid w:val="00A01307"/>
    <w:rsid w:val="00A01346"/>
    <w:rsid w:val="00A01352"/>
    <w:rsid w:val="00A01357"/>
    <w:rsid w:val="00A013FB"/>
    <w:rsid w:val="00A0142F"/>
    <w:rsid w:val="00A01432"/>
    <w:rsid w:val="00A01453"/>
    <w:rsid w:val="00A01460"/>
    <w:rsid w:val="00A0147A"/>
    <w:rsid w:val="00A014B2"/>
    <w:rsid w:val="00A014CC"/>
    <w:rsid w:val="00A014CD"/>
    <w:rsid w:val="00A015B5"/>
    <w:rsid w:val="00A015FF"/>
    <w:rsid w:val="00A0164A"/>
    <w:rsid w:val="00A01670"/>
    <w:rsid w:val="00A016B9"/>
    <w:rsid w:val="00A016C0"/>
    <w:rsid w:val="00A016F4"/>
    <w:rsid w:val="00A017CA"/>
    <w:rsid w:val="00A01841"/>
    <w:rsid w:val="00A0189B"/>
    <w:rsid w:val="00A018AF"/>
    <w:rsid w:val="00A0190F"/>
    <w:rsid w:val="00A01910"/>
    <w:rsid w:val="00A01912"/>
    <w:rsid w:val="00A0197F"/>
    <w:rsid w:val="00A01982"/>
    <w:rsid w:val="00A019D8"/>
    <w:rsid w:val="00A019F4"/>
    <w:rsid w:val="00A01A08"/>
    <w:rsid w:val="00A01A1E"/>
    <w:rsid w:val="00A01A82"/>
    <w:rsid w:val="00A01A90"/>
    <w:rsid w:val="00A01AB1"/>
    <w:rsid w:val="00A01B53"/>
    <w:rsid w:val="00A01C1A"/>
    <w:rsid w:val="00A01C4E"/>
    <w:rsid w:val="00A01C75"/>
    <w:rsid w:val="00A01CAA"/>
    <w:rsid w:val="00A01CB8"/>
    <w:rsid w:val="00A01CD1"/>
    <w:rsid w:val="00A01D80"/>
    <w:rsid w:val="00A01D9B"/>
    <w:rsid w:val="00A01DCF"/>
    <w:rsid w:val="00A01DD2"/>
    <w:rsid w:val="00A01E7F"/>
    <w:rsid w:val="00A01E9A"/>
    <w:rsid w:val="00A01EDD"/>
    <w:rsid w:val="00A01EF1"/>
    <w:rsid w:val="00A01F56"/>
    <w:rsid w:val="00A01FE7"/>
    <w:rsid w:val="00A02035"/>
    <w:rsid w:val="00A0207B"/>
    <w:rsid w:val="00A0207F"/>
    <w:rsid w:val="00A020EB"/>
    <w:rsid w:val="00A02171"/>
    <w:rsid w:val="00A021B2"/>
    <w:rsid w:val="00A021DB"/>
    <w:rsid w:val="00A02207"/>
    <w:rsid w:val="00A02281"/>
    <w:rsid w:val="00A0229A"/>
    <w:rsid w:val="00A022DE"/>
    <w:rsid w:val="00A02378"/>
    <w:rsid w:val="00A02413"/>
    <w:rsid w:val="00A02423"/>
    <w:rsid w:val="00A0242D"/>
    <w:rsid w:val="00A02493"/>
    <w:rsid w:val="00A02494"/>
    <w:rsid w:val="00A024A1"/>
    <w:rsid w:val="00A024AD"/>
    <w:rsid w:val="00A02605"/>
    <w:rsid w:val="00A02679"/>
    <w:rsid w:val="00A0267C"/>
    <w:rsid w:val="00A0267F"/>
    <w:rsid w:val="00A026B0"/>
    <w:rsid w:val="00A026B3"/>
    <w:rsid w:val="00A026BF"/>
    <w:rsid w:val="00A02727"/>
    <w:rsid w:val="00A02732"/>
    <w:rsid w:val="00A0276A"/>
    <w:rsid w:val="00A027D6"/>
    <w:rsid w:val="00A02843"/>
    <w:rsid w:val="00A0293A"/>
    <w:rsid w:val="00A0296D"/>
    <w:rsid w:val="00A02993"/>
    <w:rsid w:val="00A02996"/>
    <w:rsid w:val="00A029B8"/>
    <w:rsid w:val="00A029CD"/>
    <w:rsid w:val="00A02A43"/>
    <w:rsid w:val="00A02A59"/>
    <w:rsid w:val="00A02AEC"/>
    <w:rsid w:val="00A02B47"/>
    <w:rsid w:val="00A02B7B"/>
    <w:rsid w:val="00A02BC0"/>
    <w:rsid w:val="00A02BCD"/>
    <w:rsid w:val="00A02BF6"/>
    <w:rsid w:val="00A02BF9"/>
    <w:rsid w:val="00A02C2B"/>
    <w:rsid w:val="00A02C4B"/>
    <w:rsid w:val="00A02CCE"/>
    <w:rsid w:val="00A02D08"/>
    <w:rsid w:val="00A02D61"/>
    <w:rsid w:val="00A02D8A"/>
    <w:rsid w:val="00A02E09"/>
    <w:rsid w:val="00A02E56"/>
    <w:rsid w:val="00A02E74"/>
    <w:rsid w:val="00A02EA9"/>
    <w:rsid w:val="00A02EDF"/>
    <w:rsid w:val="00A02EE3"/>
    <w:rsid w:val="00A02F0D"/>
    <w:rsid w:val="00A02F16"/>
    <w:rsid w:val="00A02F29"/>
    <w:rsid w:val="00A02F5C"/>
    <w:rsid w:val="00A02F83"/>
    <w:rsid w:val="00A02F86"/>
    <w:rsid w:val="00A02FA3"/>
    <w:rsid w:val="00A02FD5"/>
    <w:rsid w:val="00A0301B"/>
    <w:rsid w:val="00A030A4"/>
    <w:rsid w:val="00A030A7"/>
    <w:rsid w:val="00A0311C"/>
    <w:rsid w:val="00A0312E"/>
    <w:rsid w:val="00A0314C"/>
    <w:rsid w:val="00A03191"/>
    <w:rsid w:val="00A031C0"/>
    <w:rsid w:val="00A03219"/>
    <w:rsid w:val="00A03221"/>
    <w:rsid w:val="00A0322F"/>
    <w:rsid w:val="00A03239"/>
    <w:rsid w:val="00A0323B"/>
    <w:rsid w:val="00A0329E"/>
    <w:rsid w:val="00A032C7"/>
    <w:rsid w:val="00A032E5"/>
    <w:rsid w:val="00A0336F"/>
    <w:rsid w:val="00A0337B"/>
    <w:rsid w:val="00A033DE"/>
    <w:rsid w:val="00A0341B"/>
    <w:rsid w:val="00A034CD"/>
    <w:rsid w:val="00A034D5"/>
    <w:rsid w:val="00A034FA"/>
    <w:rsid w:val="00A0357F"/>
    <w:rsid w:val="00A0358E"/>
    <w:rsid w:val="00A03666"/>
    <w:rsid w:val="00A0366B"/>
    <w:rsid w:val="00A036A1"/>
    <w:rsid w:val="00A036D8"/>
    <w:rsid w:val="00A03780"/>
    <w:rsid w:val="00A037EF"/>
    <w:rsid w:val="00A037F5"/>
    <w:rsid w:val="00A03831"/>
    <w:rsid w:val="00A0388B"/>
    <w:rsid w:val="00A038D4"/>
    <w:rsid w:val="00A0391E"/>
    <w:rsid w:val="00A0393D"/>
    <w:rsid w:val="00A03AC1"/>
    <w:rsid w:val="00A03AC3"/>
    <w:rsid w:val="00A03ADB"/>
    <w:rsid w:val="00A03AEB"/>
    <w:rsid w:val="00A03AF4"/>
    <w:rsid w:val="00A03BD0"/>
    <w:rsid w:val="00A03BE5"/>
    <w:rsid w:val="00A03BF3"/>
    <w:rsid w:val="00A03C08"/>
    <w:rsid w:val="00A03C93"/>
    <w:rsid w:val="00A03C98"/>
    <w:rsid w:val="00A03CF8"/>
    <w:rsid w:val="00A03D4F"/>
    <w:rsid w:val="00A03DCC"/>
    <w:rsid w:val="00A03DDB"/>
    <w:rsid w:val="00A03E13"/>
    <w:rsid w:val="00A03EB4"/>
    <w:rsid w:val="00A03F55"/>
    <w:rsid w:val="00A03F7E"/>
    <w:rsid w:val="00A03FF7"/>
    <w:rsid w:val="00A04045"/>
    <w:rsid w:val="00A040B1"/>
    <w:rsid w:val="00A040C8"/>
    <w:rsid w:val="00A040D4"/>
    <w:rsid w:val="00A04162"/>
    <w:rsid w:val="00A0418A"/>
    <w:rsid w:val="00A041A8"/>
    <w:rsid w:val="00A041BA"/>
    <w:rsid w:val="00A04249"/>
    <w:rsid w:val="00A0425A"/>
    <w:rsid w:val="00A04285"/>
    <w:rsid w:val="00A04420"/>
    <w:rsid w:val="00A04491"/>
    <w:rsid w:val="00A044B6"/>
    <w:rsid w:val="00A045BC"/>
    <w:rsid w:val="00A045C2"/>
    <w:rsid w:val="00A045CA"/>
    <w:rsid w:val="00A045F2"/>
    <w:rsid w:val="00A04633"/>
    <w:rsid w:val="00A04640"/>
    <w:rsid w:val="00A04654"/>
    <w:rsid w:val="00A046A7"/>
    <w:rsid w:val="00A046CC"/>
    <w:rsid w:val="00A046F4"/>
    <w:rsid w:val="00A046FD"/>
    <w:rsid w:val="00A046FE"/>
    <w:rsid w:val="00A0475D"/>
    <w:rsid w:val="00A047B6"/>
    <w:rsid w:val="00A047EA"/>
    <w:rsid w:val="00A04828"/>
    <w:rsid w:val="00A04834"/>
    <w:rsid w:val="00A04840"/>
    <w:rsid w:val="00A04878"/>
    <w:rsid w:val="00A048B4"/>
    <w:rsid w:val="00A048C2"/>
    <w:rsid w:val="00A048C9"/>
    <w:rsid w:val="00A04906"/>
    <w:rsid w:val="00A04920"/>
    <w:rsid w:val="00A04967"/>
    <w:rsid w:val="00A049E8"/>
    <w:rsid w:val="00A04A03"/>
    <w:rsid w:val="00A04A1B"/>
    <w:rsid w:val="00A04ADB"/>
    <w:rsid w:val="00A04AF3"/>
    <w:rsid w:val="00A04B5D"/>
    <w:rsid w:val="00A04B93"/>
    <w:rsid w:val="00A04BCE"/>
    <w:rsid w:val="00A04C1D"/>
    <w:rsid w:val="00A04C5C"/>
    <w:rsid w:val="00A04C75"/>
    <w:rsid w:val="00A04CCF"/>
    <w:rsid w:val="00A04CD2"/>
    <w:rsid w:val="00A04D0D"/>
    <w:rsid w:val="00A04D6D"/>
    <w:rsid w:val="00A04DA2"/>
    <w:rsid w:val="00A04E22"/>
    <w:rsid w:val="00A04EB5"/>
    <w:rsid w:val="00A04EC2"/>
    <w:rsid w:val="00A04F6F"/>
    <w:rsid w:val="00A04F74"/>
    <w:rsid w:val="00A04F79"/>
    <w:rsid w:val="00A04FE3"/>
    <w:rsid w:val="00A04FFF"/>
    <w:rsid w:val="00A05025"/>
    <w:rsid w:val="00A050B4"/>
    <w:rsid w:val="00A050C4"/>
    <w:rsid w:val="00A05113"/>
    <w:rsid w:val="00A05150"/>
    <w:rsid w:val="00A051D7"/>
    <w:rsid w:val="00A0523A"/>
    <w:rsid w:val="00A05247"/>
    <w:rsid w:val="00A052C6"/>
    <w:rsid w:val="00A052EB"/>
    <w:rsid w:val="00A0532C"/>
    <w:rsid w:val="00A05338"/>
    <w:rsid w:val="00A05394"/>
    <w:rsid w:val="00A053AA"/>
    <w:rsid w:val="00A053F8"/>
    <w:rsid w:val="00A0540D"/>
    <w:rsid w:val="00A05413"/>
    <w:rsid w:val="00A05438"/>
    <w:rsid w:val="00A0544F"/>
    <w:rsid w:val="00A05509"/>
    <w:rsid w:val="00A05533"/>
    <w:rsid w:val="00A0554A"/>
    <w:rsid w:val="00A055CE"/>
    <w:rsid w:val="00A05759"/>
    <w:rsid w:val="00A05771"/>
    <w:rsid w:val="00A0578D"/>
    <w:rsid w:val="00A05826"/>
    <w:rsid w:val="00A05850"/>
    <w:rsid w:val="00A05894"/>
    <w:rsid w:val="00A05899"/>
    <w:rsid w:val="00A058B6"/>
    <w:rsid w:val="00A0590D"/>
    <w:rsid w:val="00A0593B"/>
    <w:rsid w:val="00A05947"/>
    <w:rsid w:val="00A0595F"/>
    <w:rsid w:val="00A059E0"/>
    <w:rsid w:val="00A05A59"/>
    <w:rsid w:val="00A05B0F"/>
    <w:rsid w:val="00A05B6C"/>
    <w:rsid w:val="00A05B93"/>
    <w:rsid w:val="00A05BAC"/>
    <w:rsid w:val="00A05BD5"/>
    <w:rsid w:val="00A05BE8"/>
    <w:rsid w:val="00A05BF7"/>
    <w:rsid w:val="00A05CC4"/>
    <w:rsid w:val="00A05CFB"/>
    <w:rsid w:val="00A05D4F"/>
    <w:rsid w:val="00A05D52"/>
    <w:rsid w:val="00A05E01"/>
    <w:rsid w:val="00A05E92"/>
    <w:rsid w:val="00A05EDB"/>
    <w:rsid w:val="00A05F05"/>
    <w:rsid w:val="00A05F58"/>
    <w:rsid w:val="00A05FB0"/>
    <w:rsid w:val="00A05FEC"/>
    <w:rsid w:val="00A06013"/>
    <w:rsid w:val="00A06069"/>
    <w:rsid w:val="00A06081"/>
    <w:rsid w:val="00A060B8"/>
    <w:rsid w:val="00A060D5"/>
    <w:rsid w:val="00A061CD"/>
    <w:rsid w:val="00A061D4"/>
    <w:rsid w:val="00A0627E"/>
    <w:rsid w:val="00A06318"/>
    <w:rsid w:val="00A0632C"/>
    <w:rsid w:val="00A06332"/>
    <w:rsid w:val="00A06346"/>
    <w:rsid w:val="00A0638A"/>
    <w:rsid w:val="00A063BD"/>
    <w:rsid w:val="00A063E7"/>
    <w:rsid w:val="00A063ED"/>
    <w:rsid w:val="00A0640E"/>
    <w:rsid w:val="00A0642E"/>
    <w:rsid w:val="00A064B9"/>
    <w:rsid w:val="00A064D0"/>
    <w:rsid w:val="00A06512"/>
    <w:rsid w:val="00A0652A"/>
    <w:rsid w:val="00A0654E"/>
    <w:rsid w:val="00A0659E"/>
    <w:rsid w:val="00A065B2"/>
    <w:rsid w:val="00A065FC"/>
    <w:rsid w:val="00A06623"/>
    <w:rsid w:val="00A06669"/>
    <w:rsid w:val="00A066A5"/>
    <w:rsid w:val="00A066C0"/>
    <w:rsid w:val="00A06702"/>
    <w:rsid w:val="00A06728"/>
    <w:rsid w:val="00A067E4"/>
    <w:rsid w:val="00A06843"/>
    <w:rsid w:val="00A0688C"/>
    <w:rsid w:val="00A068BB"/>
    <w:rsid w:val="00A06923"/>
    <w:rsid w:val="00A06931"/>
    <w:rsid w:val="00A0695E"/>
    <w:rsid w:val="00A0698A"/>
    <w:rsid w:val="00A069F2"/>
    <w:rsid w:val="00A06A39"/>
    <w:rsid w:val="00A06A52"/>
    <w:rsid w:val="00A06A64"/>
    <w:rsid w:val="00A06B0B"/>
    <w:rsid w:val="00A06B91"/>
    <w:rsid w:val="00A06C11"/>
    <w:rsid w:val="00A06C2A"/>
    <w:rsid w:val="00A06C40"/>
    <w:rsid w:val="00A06CC7"/>
    <w:rsid w:val="00A06CD5"/>
    <w:rsid w:val="00A06CEE"/>
    <w:rsid w:val="00A06DE2"/>
    <w:rsid w:val="00A06E2E"/>
    <w:rsid w:val="00A06E57"/>
    <w:rsid w:val="00A06E8E"/>
    <w:rsid w:val="00A06F50"/>
    <w:rsid w:val="00A07016"/>
    <w:rsid w:val="00A07029"/>
    <w:rsid w:val="00A070BF"/>
    <w:rsid w:val="00A07121"/>
    <w:rsid w:val="00A0713B"/>
    <w:rsid w:val="00A0717A"/>
    <w:rsid w:val="00A071FE"/>
    <w:rsid w:val="00A07243"/>
    <w:rsid w:val="00A0724A"/>
    <w:rsid w:val="00A07271"/>
    <w:rsid w:val="00A07285"/>
    <w:rsid w:val="00A072A8"/>
    <w:rsid w:val="00A072FB"/>
    <w:rsid w:val="00A07345"/>
    <w:rsid w:val="00A0734F"/>
    <w:rsid w:val="00A073A8"/>
    <w:rsid w:val="00A073A9"/>
    <w:rsid w:val="00A073AA"/>
    <w:rsid w:val="00A07401"/>
    <w:rsid w:val="00A0743B"/>
    <w:rsid w:val="00A074A9"/>
    <w:rsid w:val="00A0757A"/>
    <w:rsid w:val="00A07589"/>
    <w:rsid w:val="00A07590"/>
    <w:rsid w:val="00A075BB"/>
    <w:rsid w:val="00A076C8"/>
    <w:rsid w:val="00A076D8"/>
    <w:rsid w:val="00A07714"/>
    <w:rsid w:val="00A07717"/>
    <w:rsid w:val="00A07729"/>
    <w:rsid w:val="00A0774C"/>
    <w:rsid w:val="00A0777F"/>
    <w:rsid w:val="00A077C7"/>
    <w:rsid w:val="00A07832"/>
    <w:rsid w:val="00A07884"/>
    <w:rsid w:val="00A078A7"/>
    <w:rsid w:val="00A078C2"/>
    <w:rsid w:val="00A078C3"/>
    <w:rsid w:val="00A07908"/>
    <w:rsid w:val="00A07970"/>
    <w:rsid w:val="00A0799C"/>
    <w:rsid w:val="00A079B3"/>
    <w:rsid w:val="00A079F7"/>
    <w:rsid w:val="00A07A09"/>
    <w:rsid w:val="00A07A1E"/>
    <w:rsid w:val="00A07A65"/>
    <w:rsid w:val="00A07A67"/>
    <w:rsid w:val="00A07B12"/>
    <w:rsid w:val="00A07B7D"/>
    <w:rsid w:val="00A07C4A"/>
    <w:rsid w:val="00A07C6C"/>
    <w:rsid w:val="00A07C86"/>
    <w:rsid w:val="00A07C9D"/>
    <w:rsid w:val="00A07CC6"/>
    <w:rsid w:val="00A07CE1"/>
    <w:rsid w:val="00A07D1E"/>
    <w:rsid w:val="00A07D66"/>
    <w:rsid w:val="00A07D69"/>
    <w:rsid w:val="00A07D7F"/>
    <w:rsid w:val="00A07D93"/>
    <w:rsid w:val="00A07DD1"/>
    <w:rsid w:val="00A07DF9"/>
    <w:rsid w:val="00A07DFE"/>
    <w:rsid w:val="00A07E4D"/>
    <w:rsid w:val="00A07E57"/>
    <w:rsid w:val="00A07E6A"/>
    <w:rsid w:val="00A07F28"/>
    <w:rsid w:val="00A07F2D"/>
    <w:rsid w:val="00A07F5C"/>
    <w:rsid w:val="00A07F81"/>
    <w:rsid w:val="00A0A595"/>
    <w:rsid w:val="00A0BE5C"/>
    <w:rsid w:val="00A10040"/>
    <w:rsid w:val="00A1007A"/>
    <w:rsid w:val="00A1009A"/>
    <w:rsid w:val="00A100BE"/>
    <w:rsid w:val="00A10128"/>
    <w:rsid w:val="00A10160"/>
    <w:rsid w:val="00A10180"/>
    <w:rsid w:val="00A101A2"/>
    <w:rsid w:val="00A101C9"/>
    <w:rsid w:val="00A101FD"/>
    <w:rsid w:val="00A10232"/>
    <w:rsid w:val="00A1027D"/>
    <w:rsid w:val="00A102BA"/>
    <w:rsid w:val="00A102F5"/>
    <w:rsid w:val="00A1031F"/>
    <w:rsid w:val="00A10358"/>
    <w:rsid w:val="00A103AE"/>
    <w:rsid w:val="00A103D1"/>
    <w:rsid w:val="00A103F4"/>
    <w:rsid w:val="00A1044F"/>
    <w:rsid w:val="00A10462"/>
    <w:rsid w:val="00A1046A"/>
    <w:rsid w:val="00A1046C"/>
    <w:rsid w:val="00A104CB"/>
    <w:rsid w:val="00A10542"/>
    <w:rsid w:val="00A10555"/>
    <w:rsid w:val="00A10566"/>
    <w:rsid w:val="00A10585"/>
    <w:rsid w:val="00A105F3"/>
    <w:rsid w:val="00A10656"/>
    <w:rsid w:val="00A10687"/>
    <w:rsid w:val="00A10690"/>
    <w:rsid w:val="00A1075B"/>
    <w:rsid w:val="00A1078E"/>
    <w:rsid w:val="00A1079D"/>
    <w:rsid w:val="00A107D9"/>
    <w:rsid w:val="00A107F6"/>
    <w:rsid w:val="00A107FE"/>
    <w:rsid w:val="00A1081F"/>
    <w:rsid w:val="00A10902"/>
    <w:rsid w:val="00A10941"/>
    <w:rsid w:val="00A10A77"/>
    <w:rsid w:val="00A10A86"/>
    <w:rsid w:val="00A10AA9"/>
    <w:rsid w:val="00A10ACC"/>
    <w:rsid w:val="00A10B44"/>
    <w:rsid w:val="00A10B4B"/>
    <w:rsid w:val="00A10BDC"/>
    <w:rsid w:val="00A10C45"/>
    <w:rsid w:val="00A10C5C"/>
    <w:rsid w:val="00A10C74"/>
    <w:rsid w:val="00A10CBC"/>
    <w:rsid w:val="00A10CEA"/>
    <w:rsid w:val="00A10D08"/>
    <w:rsid w:val="00A10D1C"/>
    <w:rsid w:val="00A10D39"/>
    <w:rsid w:val="00A10D5A"/>
    <w:rsid w:val="00A10D69"/>
    <w:rsid w:val="00A10D90"/>
    <w:rsid w:val="00A10DAB"/>
    <w:rsid w:val="00A10E68"/>
    <w:rsid w:val="00A10E7D"/>
    <w:rsid w:val="00A10EC7"/>
    <w:rsid w:val="00A10EDF"/>
    <w:rsid w:val="00A10F0D"/>
    <w:rsid w:val="00A10F31"/>
    <w:rsid w:val="00A10F5B"/>
    <w:rsid w:val="00A10F9B"/>
    <w:rsid w:val="00A10FAF"/>
    <w:rsid w:val="00A11010"/>
    <w:rsid w:val="00A11056"/>
    <w:rsid w:val="00A110AA"/>
    <w:rsid w:val="00A11178"/>
    <w:rsid w:val="00A111B6"/>
    <w:rsid w:val="00A112F7"/>
    <w:rsid w:val="00A11377"/>
    <w:rsid w:val="00A113A6"/>
    <w:rsid w:val="00A113D3"/>
    <w:rsid w:val="00A113E2"/>
    <w:rsid w:val="00A1140D"/>
    <w:rsid w:val="00A1140F"/>
    <w:rsid w:val="00A11411"/>
    <w:rsid w:val="00A114CA"/>
    <w:rsid w:val="00A114D3"/>
    <w:rsid w:val="00A11512"/>
    <w:rsid w:val="00A1160C"/>
    <w:rsid w:val="00A11612"/>
    <w:rsid w:val="00A11650"/>
    <w:rsid w:val="00A116AA"/>
    <w:rsid w:val="00A116DB"/>
    <w:rsid w:val="00A116F4"/>
    <w:rsid w:val="00A11713"/>
    <w:rsid w:val="00A11795"/>
    <w:rsid w:val="00A11883"/>
    <w:rsid w:val="00A118D6"/>
    <w:rsid w:val="00A118DC"/>
    <w:rsid w:val="00A11947"/>
    <w:rsid w:val="00A1194D"/>
    <w:rsid w:val="00A11ABF"/>
    <w:rsid w:val="00A11ACC"/>
    <w:rsid w:val="00A11B37"/>
    <w:rsid w:val="00A11B3D"/>
    <w:rsid w:val="00A11B81"/>
    <w:rsid w:val="00A11BC7"/>
    <w:rsid w:val="00A11BCB"/>
    <w:rsid w:val="00A11C85"/>
    <w:rsid w:val="00A11C94"/>
    <w:rsid w:val="00A11CC1"/>
    <w:rsid w:val="00A11CFB"/>
    <w:rsid w:val="00A11D23"/>
    <w:rsid w:val="00A11DA7"/>
    <w:rsid w:val="00A11DD2"/>
    <w:rsid w:val="00A11DF1"/>
    <w:rsid w:val="00A11DFC"/>
    <w:rsid w:val="00A11EA4"/>
    <w:rsid w:val="00A11EC8"/>
    <w:rsid w:val="00A11EEC"/>
    <w:rsid w:val="00A11F3E"/>
    <w:rsid w:val="00A11F8C"/>
    <w:rsid w:val="00A11F97"/>
    <w:rsid w:val="00A1203C"/>
    <w:rsid w:val="00A1204A"/>
    <w:rsid w:val="00A12077"/>
    <w:rsid w:val="00A12082"/>
    <w:rsid w:val="00A12106"/>
    <w:rsid w:val="00A12113"/>
    <w:rsid w:val="00A1213A"/>
    <w:rsid w:val="00A12172"/>
    <w:rsid w:val="00A121ED"/>
    <w:rsid w:val="00A12214"/>
    <w:rsid w:val="00A122B9"/>
    <w:rsid w:val="00A122C0"/>
    <w:rsid w:val="00A122D5"/>
    <w:rsid w:val="00A122FB"/>
    <w:rsid w:val="00A12418"/>
    <w:rsid w:val="00A12486"/>
    <w:rsid w:val="00A1253E"/>
    <w:rsid w:val="00A12556"/>
    <w:rsid w:val="00A12557"/>
    <w:rsid w:val="00A125F0"/>
    <w:rsid w:val="00A125F5"/>
    <w:rsid w:val="00A12657"/>
    <w:rsid w:val="00A126AF"/>
    <w:rsid w:val="00A126C6"/>
    <w:rsid w:val="00A12712"/>
    <w:rsid w:val="00A1278F"/>
    <w:rsid w:val="00A127C4"/>
    <w:rsid w:val="00A12806"/>
    <w:rsid w:val="00A12859"/>
    <w:rsid w:val="00A1288C"/>
    <w:rsid w:val="00A128A1"/>
    <w:rsid w:val="00A128AF"/>
    <w:rsid w:val="00A128C7"/>
    <w:rsid w:val="00A128D4"/>
    <w:rsid w:val="00A12937"/>
    <w:rsid w:val="00A12972"/>
    <w:rsid w:val="00A12980"/>
    <w:rsid w:val="00A12A10"/>
    <w:rsid w:val="00A12A2F"/>
    <w:rsid w:val="00A12A47"/>
    <w:rsid w:val="00A12A4A"/>
    <w:rsid w:val="00A12A5B"/>
    <w:rsid w:val="00A12A5F"/>
    <w:rsid w:val="00A12A9B"/>
    <w:rsid w:val="00A12AC2"/>
    <w:rsid w:val="00A12AEA"/>
    <w:rsid w:val="00A12AEE"/>
    <w:rsid w:val="00A12AFB"/>
    <w:rsid w:val="00A12BF9"/>
    <w:rsid w:val="00A12C21"/>
    <w:rsid w:val="00A12C4D"/>
    <w:rsid w:val="00A12C8A"/>
    <w:rsid w:val="00A12CCC"/>
    <w:rsid w:val="00A12CD7"/>
    <w:rsid w:val="00A12D1C"/>
    <w:rsid w:val="00A12D45"/>
    <w:rsid w:val="00A12D52"/>
    <w:rsid w:val="00A12D70"/>
    <w:rsid w:val="00A12D73"/>
    <w:rsid w:val="00A12DBF"/>
    <w:rsid w:val="00A12DD1"/>
    <w:rsid w:val="00A12E42"/>
    <w:rsid w:val="00A12EA1"/>
    <w:rsid w:val="00A12EA4"/>
    <w:rsid w:val="00A12F18"/>
    <w:rsid w:val="00A12F2E"/>
    <w:rsid w:val="00A12F37"/>
    <w:rsid w:val="00A13017"/>
    <w:rsid w:val="00A13039"/>
    <w:rsid w:val="00A13086"/>
    <w:rsid w:val="00A1313A"/>
    <w:rsid w:val="00A13149"/>
    <w:rsid w:val="00A1317D"/>
    <w:rsid w:val="00A131AE"/>
    <w:rsid w:val="00A131D4"/>
    <w:rsid w:val="00A13288"/>
    <w:rsid w:val="00A132FE"/>
    <w:rsid w:val="00A13337"/>
    <w:rsid w:val="00A1333A"/>
    <w:rsid w:val="00A1334C"/>
    <w:rsid w:val="00A133A1"/>
    <w:rsid w:val="00A133C0"/>
    <w:rsid w:val="00A133CB"/>
    <w:rsid w:val="00A133EB"/>
    <w:rsid w:val="00A13421"/>
    <w:rsid w:val="00A13439"/>
    <w:rsid w:val="00A13441"/>
    <w:rsid w:val="00A13495"/>
    <w:rsid w:val="00A134D7"/>
    <w:rsid w:val="00A134FE"/>
    <w:rsid w:val="00A13506"/>
    <w:rsid w:val="00A135CF"/>
    <w:rsid w:val="00A1363E"/>
    <w:rsid w:val="00A13649"/>
    <w:rsid w:val="00A1372F"/>
    <w:rsid w:val="00A1373A"/>
    <w:rsid w:val="00A137AD"/>
    <w:rsid w:val="00A1389C"/>
    <w:rsid w:val="00A138C8"/>
    <w:rsid w:val="00A138CC"/>
    <w:rsid w:val="00A13907"/>
    <w:rsid w:val="00A13909"/>
    <w:rsid w:val="00A1391E"/>
    <w:rsid w:val="00A13975"/>
    <w:rsid w:val="00A1399C"/>
    <w:rsid w:val="00A139C6"/>
    <w:rsid w:val="00A139DE"/>
    <w:rsid w:val="00A13A07"/>
    <w:rsid w:val="00A13A78"/>
    <w:rsid w:val="00A13A7F"/>
    <w:rsid w:val="00A13A85"/>
    <w:rsid w:val="00A13A9F"/>
    <w:rsid w:val="00A13AA8"/>
    <w:rsid w:val="00A13AE0"/>
    <w:rsid w:val="00A13AF5"/>
    <w:rsid w:val="00A13AFC"/>
    <w:rsid w:val="00A13B63"/>
    <w:rsid w:val="00A13B8B"/>
    <w:rsid w:val="00A13BAE"/>
    <w:rsid w:val="00A13C18"/>
    <w:rsid w:val="00A13D06"/>
    <w:rsid w:val="00A13D89"/>
    <w:rsid w:val="00A13D8E"/>
    <w:rsid w:val="00A13DA6"/>
    <w:rsid w:val="00A13DE4"/>
    <w:rsid w:val="00A13E26"/>
    <w:rsid w:val="00A13F13"/>
    <w:rsid w:val="00A13F67"/>
    <w:rsid w:val="00A13F6E"/>
    <w:rsid w:val="00A13F88"/>
    <w:rsid w:val="00A13FBD"/>
    <w:rsid w:val="00A14013"/>
    <w:rsid w:val="00A14069"/>
    <w:rsid w:val="00A1413E"/>
    <w:rsid w:val="00A14141"/>
    <w:rsid w:val="00A14183"/>
    <w:rsid w:val="00A141FA"/>
    <w:rsid w:val="00A14208"/>
    <w:rsid w:val="00A1425F"/>
    <w:rsid w:val="00A14268"/>
    <w:rsid w:val="00A142B4"/>
    <w:rsid w:val="00A142C6"/>
    <w:rsid w:val="00A1430A"/>
    <w:rsid w:val="00A1431E"/>
    <w:rsid w:val="00A14356"/>
    <w:rsid w:val="00A14391"/>
    <w:rsid w:val="00A14396"/>
    <w:rsid w:val="00A1440B"/>
    <w:rsid w:val="00A14413"/>
    <w:rsid w:val="00A14422"/>
    <w:rsid w:val="00A14461"/>
    <w:rsid w:val="00A14467"/>
    <w:rsid w:val="00A14475"/>
    <w:rsid w:val="00A14495"/>
    <w:rsid w:val="00A14496"/>
    <w:rsid w:val="00A144AD"/>
    <w:rsid w:val="00A144C9"/>
    <w:rsid w:val="00A14552"/>
    <w:rsid w:val="00A1455F"/>
    <w:rsid w:val="00A1458A"/>
    <w:rsid w:val="00A14596"/>
    <w:rsid w:val="00A14654"/>
    <w:rsid w:val="00A14669"/>
    <w:rsid w:val="00A14692"/>
    <w:rsid w:val="00A146EC"/>
    <w:rsid w:val="00A1471B"/>
    <w:rsid w:val="00A14734"/>
    <w:rsid w:val="00A14738"/>
    <w:rsid w:val="00A14752"/>
    <w:rsid w:val="00A1478F"/>
    <w:rsid w:val="00A14847"/>
    <w:rsid w:val="00A1487E"/>
    <w:rsid w:val="00A148B7"/>
    <w:rsid w:val="00A148BD"/>
    <w:rsid w:val="00A149A2"/>
    <w:rsid w:val="00A149A7"/>
    <w:rsid w:val="00A149E6"/>
    <w:rsid w:val="00A14A29"/>
    <w:rsid w:val="00A14A60"/>
    <w:rsid w:val="00A14A97"/>
    <w:rsid w:val="00A14A9E"/>
    <w:rsid w:val="00A14AD8"/>
    <w:rsid w:val="00A14B05"/>
    <w:rsid w:val="00A14B34"/>
    <w:rsid w:val="00A14BA9"/>
    <w:rsid w:val="00A14BC4"/>
    <w:rsid w:val="00A14BC9"/>
    <w:rsid w:val="00A14BEB"/>
    <w:rsid w:val="00A14C05"/>
    <w:rsid w:val="00A14C0B"/>
    <w:rsid w:val="00A14C5C"/>
    <w:rsid w:val="00A14C7C"/>
    <w:rsid w:val="00A14C83"/>
    <w:rsid w:val="00A14C9F"/>
    <w:rsid w:val="00A14CF5"/>
    <w:rsid w:val="00A14D1D"/>
    <w:rsid w:val="00A14D2A"/>
    <w:rsid w:val="00A14D33"/>
    <w:rsid w:val="00A14DA5"/>
    <w:rsid w:val="00A14DAB"/>
    <w:rsid w:val="00A14DB8"/>
    <w:rsid w:val="00A14DD8"/>
    <w:rsid w:val="00A14E32"/>
    <w:rsid w:val="00A14F10"/>
    <w:rsid w:val="00A14F6F"/>
    <w:rsid w:val="00A14F72"/>
    <w:rsid w:val="00A14F81"/>
    <w:rsid w:val="00A1501F"/>
    <w:rsid w:val="00A15030"/>
    <w:rsid w:val="00A15051"/>
    <w:rsid w:val="00A150AC"/>
    <w:rsid w:val="00A15156"/>
    <w:rsid w:val="00A15181"/>
    <w:rsid w:val="00A151B7"/>
    <w:rsid w:val="00A151DE"/>
    <w:rsid w:val="00A151FD"/>
    <w:rsid w:val="00A15339"/>
    <w:rsid w:val="00A1535E"/>
    <w:rsid w:val="00A1538B"/>
    <w:rsid w:val="00A1538E"/>
    <w:rsid w:val="00A153B4"/>
    <w:rsid w:val="00A1545D"/>
    <w:rsid w:val="00A15461"/>
    <w:rsid w:val="00A154EF"/>
    <w:rsid w:val="00A154FB"/>
    <w:rsid w:val="00A1551F"/>
    <w:rsid w:val="00A1556D"/>
    <w:rsid w:val="00A1558C"/>
    <w:rsid w:val="00A155C2"/>
    <w:rsid w:val="00A155F0"/>
    <w:rsid w:val="00A15641"/>
    <w:rsid w:val="00A15655"/>
    <w:rsid w:val="00A15695"/>
    <w:rsid w:val="00A156A5"/>
    <w:rsid w:val="00A156F6"/>
    <w:rsid w:val="00A156F9"/>
    <w:rsid w:val="00A15728"/>
    <w:rsid w:val="00A15729"/>
    <w:rsid w:val="00A157A3"/>
    <w:rsid w:val="00A157A8"/>
    <w:rsid w:val="00A15843"/>
    <w:rsid w:val="00A15862"/>
    <w:rsid w:val="00A158A5"/>
    <w:rsid w:val="00A158B7"/>
    <w:rsid w:val="00A158CC"/>
    <w:rsid w:val="00A15924"/>
    <w:rsid w:val="00A1595B"/>
    <w:rsid w:val="00A15997"/>
    <w:rsid w:val="00A159BE"/>
    <w:rsid w:val="00A159CA"/>
    <w:rsid w:val="00A15A14"/>
    <w:rsid w:val="00A15A30"/>
    <w:rsid w:val="00A15A43"/>
    <w:rsid w:val="00A15A49"/>
    <w:rsid w:val="00A15A56"/>
    <w:rsid w:val="00A15AB3"/>
    <w:rsid w:val="00A15AC9"/>
    <w:rsid w:val="00A15AF7"/>
    <w:rsid w:val="00A15B38"/>
    <w:rsid w:val="00A15B6B"/>
    <w:rsid w:val="00A15B70"/>
    <w:rsid w:val="00A15B97"/>
    <w:rsid w:val="00A15BDE"/>
    <w:rsid w:val="00A15C05"/>
    <w:rsid w:val="00A15C49"/>
    <w:rsid w:val="00A15C53"/>
    <w:rsid w:val="00A15C61"/>
    <w:rsid w:val="00A15DC0"/>
    <w:rsid w:val="00A15E02"/>
    <w:rsid w:val="00A15E05"/>
    <w:rsid w:val="00A15E2D"/>
    <w:rsid w:val="00A15E7A"/>
    <w:rsid w:val="00A15E83"/>
    <w:rsid w:val="00A15ED6"/>
    <w:rsid w:val="00A15F56"/>
    <w:rsid w:val="00A15F6D"/>
    <w:rsid w:val="00A15F7E"/>
    <w:rsid w:val="00A15FBA"/>
    <w:rsid w:val="00A15FE1"/>
    <w:rsid w:val="00A1605E"/>
    <w:rsid w:val="00A160D5"/>
    <w:rsid w:val="00A16104"/>
    <w:rsid w:val="00A16157"/>
    <w:rsid w:val="00A161BB"/>
    <w:rsid w:val="00A161C1"/>
    <w:rsid w:val="00A161CD"/>
    <w:rsid w:val="00A161D3"/>
    <w:rsid w:val="00A161E6"/>
    <w:rsid w:val="00A16234"/>
    <w:rsid w:val="00A1628F"/>
    <w:rsid w:val="00A16300"/>
    <w:rsid w:val="00A16308"/>
    <w:rsid w:val="00A16323"/>
    <w:rsid w:val="00A16357"/>
    <w:rsid w:val="00A163BD"/>
    <w:rsid w:val="00A163F2"/>
    <w:rsid w:val="00A16424"/>
    <w:rsid w:val="00A16441"/>
    <w:rsid w:val="00A16443"/>
    <w:rsid w:val="00A1649B"/>
    <w:rsid w:val="00A164A8"/>
    <w:rsid w:val="00A164B9"/>
    <w:rsid w:val="00A164F9"/>
    <w:rsid w:val="00A16548"/>
    <w:rsid w:val="00A1655E"/>
    <w:rsid w:val="00A16566"/>
    <w:rsid w:val="00A16574"/>
    <w:rsid w:val="00A165AF"/>
    <w:rsid w:val="00A165EA"/>
    <w:rsid w:val="00A1664A"/>
    <w:rsid w:val="00A16651"/>
    <w:rsid w:val="00A1668B"/>
    <w:rsid w:val="00A166A8"/>
    <w:rsid w:val="00A166FF"/>
    <w:rsid w:val="00A16723"/>
    <w:rsid w:val="00A16769"/>
    <w:rsid w:val="00A167B6"/>
    <w:rsid w:val="00A167EF"/>
    <w:rsid w:val="00A167F1"/>
    <w:rsid w:val="00A16868"/>
    <w:rsid w:val="00A16883"/>
    <w:rsid w:val="00A16892"/>
    <w:rsid w:val="00A168B6"/>
    <w:rsid w:val="00A168C3"/>
    <w:rsid w:val="00A16922"/>
    <w:rsid w:val="00A16930"/>
    <w:rsid w:val="00A1697B"/>
    <w:rsid w:val="00A169B3"/>
    <w:rsid w:val="00A169CD"/>
    <w:rsid w:val="00A169E3"/>
    <w:rsid w:val="00A16A71"/>
    <w:rsid w:val="00A16AAD"/>
    <w:rsid w:val="00A16AC0"/>
    <w:rsid w:val="00A16AFD"/>
    <w:rsid w:val="00A16B0C"/>
    <w:rsid w:val="00A16B26"/>
    <w:rsid w:val="00A16C31"/>
    <w:rsid w:val="00A16C73"/>
    <w:rsid w:val="00A16D42"/>
    <w:rsid w:val="00A16D5A"/>
    <w:rsid w:val="00A16DE5"/>
    <w:rsid w:val="00A16E01"/>
    <w:rsid w:val="00A16E35"/>
    <w:rsid w:val="00A16E85"/>
    <w:rsid w:val="00A16EE7"/>
    <w:rsid w:val="00A16F36"/>
    <w:rsid w:val="00A16FAA"/>
    <w:rsid w:val="00A16FFC"/>
    <w:rsid w:val="00A1701F"/>
    <w:rsid w:val="00A17021"/>
    <w:rsid w:val="00A17044"/>
    <w:rsid w:val="00A170A7"/>
    <w:rsid w:val="00A170E6"/>
    <w:rsid w:val="00A171C6"/>
    <w:rsid w:val="00A171E1"/>
    <w:rsid w:val="00A171E4"/>
    <w:rsid w:val="00A17207"/>
    <w:rsid w:val="00A172A8"/>
    <w:rsid w:val="00A172BF"/>
    <w:rsid w:val="00A172CF"/>
    <w:rsid w:val="00A172D4"/>
    <w:rsid w:val="00A172D5"/>
    <w:rsid w:val="00A17343"/>
    <w:rsid w:val="00A1735B"/>
    <w:rsid w:val="00A17404"/>
    <w:rsid w:val="00A17414"/>
    <w:rsid w:val="00A174B0"/>
    <w:rsid w:val="00A174C2"/>
    <w:rsid w:val="00A1757E"/>
    <w:rsid w:val="00A1758E"/>
    <w:rsid w:val="00A175D7"/>
    <w:rsid w:val="00A175FB"/>
    <w:rsid w:val="00A1760A"/>
    <w:rsid w:val="00A1766D"/>
    <w:rsid w:val="00A176D8"/>
    <w:rsid w:val="00A17794"/>
    <w:rsid w:val="00A17797"/>
    <w:rsid w:val="00A177C8"/>
    <w:rsid w:val="00A1784C"/>
    <w:rsid w:val="00A178B9"/>
    <w:rsid w:val="00A178DA"/>
    <w:rsid w:val="00A17955"/>
    <w:rsid w:val="00A1795D"/>
    <w:rsid w:val="00A1799D"/>
    <w:rsid w:val="00A179C4"/>
    <w:rsid w:val="00A179E6"/>
    <w:rsid w:val="00A179F6"/>
    <w:rsid w:val="00A17A1A"/>
    <w:rsid w:val="00A17A20"/>
    <w:rsid w:val="00A17AA9"/>
    <w:rsid w:val="00A17B81"/>
    <w:rsid w:val="00A17B96"/>
    <w:rsid w:val="00A17BC9"/>
    <w:rsid w:val="00A17BD1"/>
    <w:rsid w:val="00A17BE8"/>
    <w:rsid w:val="00A17C06"/>
    <w:rsid w:val="00A17C41"/>
    <w:rsid w:val="00A17C42"/>
    <w:rsid w:val="00A17C62"/>
    <w:rsid w:val="00A17C78"/>
    <w:rsid w:val="00A17C86"/>
    <w:rsid w:val="00A17CF3"/>
    <w:rsid w:val="00A17CFA"/>
    <w:rsid w:val="00A17D72"/>
    <w:rsid w:val="00A17E56"/>
    <w:rsid w:val="00A17E58"/>
    <w:rsid w:val="00A17E91"/>
    <w:rsid w:val="00A17EBA"/>
    <w:rsid w:val="00A17EF2"/>
    <w:rsid w:val="00A17F1B"/>
    <w:rsid w:val="00A17F5A"/>
    <w:rsid w:val="00A17F6C"/>
    <w:rsid w:val="00A17F80"/>
    <w:rsid w:val="00A17FB0"/>
    <w:rsid w:val="00A17FBB"/>
    <w:rsid w:val="00A17FC1"/>
    <w:rsid w:val="00A2004F"/>
    <w:rsid w:val="00A200BA"/>
    <w:rsid w:val="00A2010C"/>
    <w:rsid w:val="00A20119"/>
    <w:rsid w:val="00A20179"/>
    <w:rsid w:val="00A20195"/>
    <w:rsid w:val="00A201E9"/>
    <w:rsid w:val="00A2020D"/>
    <w:rsid w:val="00A2021E"/>
    <w:rsid w:val="00A2027E"/>
    <w:rsid w:val="00A202B2"/>
    <w:rsid w:val="00A20326"/>
    <w:rsid w:val="00A20356"/>
    <w:rsid w:val="00A2035F"/>
    <w:rsid w:val="00A2037C"/>
    <w:rsid w:val="00A203C4"/>
    <w:rsid w:val="00A20414"/>
    <w:rsid w:val="00A20416"/>
    <w:rsid w:val="00A2044C"/>
    <w:rsid w:val="00A20451"/>
    <w:rsid w:val="00A204B9"/>
    <w:rsid w:val="00A204D5"/>
    <w:rsid w:val="00A20501"/>
    <w:rsid w:val="00A2055D"/>
    <w:rsid w:val="00A2058C"/>
    <w:rsid w:val="00A205DA"/>
    <w:rsid w:val="00A205F1"/>
    <w:rsid w:val="00A205FA"/>
    <w:rsid w:val="00A20642"/>
    <w:rsid w:val="00A2064A"/>
    <w:rsid w:val="00A20658"/>
    <w:rsid w:val="00A2065A"/>
    <w:rsid w:val="00A206E8"/>
    <w:rsid w:val="00A20710"/>
    <w:rsid w:val="00A20798"/>
    <w:rsid w:val="00A207BB"/>
    <w:rsid w:val="00A207BE"/>
    <w:rsid w:val="00A207DE"/>
    <w:rsid w:val="00A20885"/>
    <w:rsid w:val="00A208B3"/>
    <w:rsid w:val="00A20976"/>
    <w:rsid w:val="00A20A83"/>
    <w:rsid w:val="00A20B98"/>
    <w:rsid w:val="00A20CC2"/>
    <w:rsid w:val="00A20D03"/>
    <w:rsid w:val="00A20D67"/>
    <w:rsid w:val="00A20DCF"/>
    <w:rsid w:val="00A20E0A"/>
    <w:rsid w:val="00A20E3D"/>
    <w:rsid w:val="00A20E4D"/>
    <w:rsid w:val="00A20E63"/>
    <w:rsid w:val="00A20E72"/>
    <w:rsid w:val="00A20EDE"/>
    <w:rsid w:val="00A20EF3"/>
    <w:rsid w:val="00A20F29"/>
    <w:rsid w:val="00A20F41"/>
    <w:rsid w:val="00A20F5C"/>
    <w:rsid w:val="00A20F6E"/>
    <w:rsid w:val="00A20FED"/>
    <w:rsid w:val="00A210DE"/>
    <w:rsid w:val="00A210FE"/>
    <w:rsid w:val="00A2111B"/>
    <w:rsid w:val="00A21140"/>
    <w:rsid w:val="00A21145"/>
    <w:rsid w:val="00A21150"/>
    <w:rsid w:val="00A21158"/>
    <w:rsid w:val="00A211FF"/>
    <w:rsid w:val="00A21274"/>
    <w:rsid w:val="00A2129C"/>
    <w:rsid w:val="00A212B8"/>
    <w:rsid w:val="00A212D9"/>
    <w:rsid w:val="00A212DE"/>
    <w:rsid w:val="00A21310"/>
    <w:rsid w:val="00A21332"/>
    <w:rsid w:val="00A21386"/>
    <w:rsid w:val="00A21404"/>
    <w:rsid w:val="00A2141B"/>
    <w:rsid w:val="00A21424"/>
    <w:rsid w:val="00A21432"/>
    <w:rsid w:val="00A21436"/>
    <w:rsid w:val="00A214CF"/>
    <w:rsid w:val="00A21524"/>
    <w:rsid w:val="00A2155A"/>
    <w:rsid w:val="00A21581"/>
    <w:rsid w:val="00A21693"/>
    <w:rsid w:val="00A216C3"/>
    <w:rsid w:val="00A216D2"/>
    <w:rsid w:val="00A2175C"/>
    <w:rsid w:val="00A21790"/>
    <w:rsid w:val="00A21796"/>
    <w:rsid w:val="00A217A5"/>
    <w:rsid w:val="00A217C2"/>
    <w:rsid w:val="00A21830"/>
    <w:rsid w:val="00A2184F"/>
    <w:rsid w:val="00A21857"/>
    <w:rsid w:val="00A21876"/>
    <w:rsid w:val="00A2188B"/>
    <w:rsid w:val="00A218A7"/>
    <w:rsid w:val="00A218E4"/>
    <w:rsid w:val="00A218F9"/>
    <w:rsid w:val="00A21938"/>
    <w:rsid w:val="00A2195A"/>
    <w:rsid w:val="00A219BA"/>
    <w:rsid w:val="00A21A31"/>
    <w:rsid w:val="00A21B28"/>
    <w:rsid w:val="00A21BB3"/>
    <w:rsid w:val="00A21BE5"/>
    <w:rsid w:val="00A21C16"/>
    <w:rsid w:val="00A21C7C"/>
    <w:rsid w:val="00A21CA9"/>
    <w:rsid w:val="00A21CC0"/>
    <w:rsid w:val="00A21CC6"/>
    <w:rsid w:val="00A21CCB"/>
    <w:rsid w:val="00A21CE8"/>
    <w:rsid w:val="00A21D02"/>
    <w:rsid w:val="00A21DDF"/>
    <w:rsid w:val="00A21E13"/>
    <w:rsid w:val="00A21E28"/>
    <w:rsid w:val="00A21E3D"/>
    <w:rsid w:val="00A21F1B"/>
    <w:rsid w:val="00A21F5A"/>
    <w:rsid w:val="00A21F62"/>
    <w:rsid w:val="00A21FC7"/>
    <w:rsid w:val="00A21FCE"/>
    <w:rsid w:val="00A21FDE"/>
    <w:rsid w:val="00A22013"/>
    <w:rsid w:val="00A22034"/>
    <w:rsid w:val="00A2204B"/>
    <w:rsid w:val="00A22069"/>
    <w:rsid w:val="00A22070"/>
    <w:rsid w:val="00A220EA"/>
    <w:rsid w:val="00A2211B"/>
    <w:rsid w:val="00A22125"/>
    <w:rsid w:val="00A221BD"/>
    <w:rsid w:val="00A22243"/>
    <w:rsid w:val="00A22246"/>
    <w:rsid w:val="00A22259"/>
    <w:rsid w:val="00A222CF"/>
    <w:rsid w:val="00A222E8"/>
    <w:rsid w:val="00A222FA"/>
    <w:rsid w:val="00A2235F"/>
    <w:rsid w:val="00A2236E"/>
    <w:rsid w:val="00A223B2"/>
    <w:rsid w:val="00A2242D"/>
    <w:rsid w:val="00A2248D"/>
    <w:rsid w:val="00A224A2"/>
    <w:rsid w:val="00A2256F"/>
    <w:rsid w:val="00A225AE"/>
    <w:rsid w:val="00A22659"/>
    <w:rsid w:val="00A22705"/>
    <w:rsid w:val="00A22715"/>
    <w:rsid w:val="00A22759"/>
    <w:rsid w:val="00A227CA"/>
    <w:rsid w:val="00A2285A"/>
    <w:rsid w:val="00A228B0"/>
    <w:rsid w:val="00A228E7"/>
    <w:rsid w:val="00A22914"/>
    <w:rsid w:val="00A2291D"/>
    <w:rsid w:val="00A22980"/>
    <w:rsid w:val="00A22985"/>
    <w:rsid w:val="00A229FA"/>
    <w:rsid w:val="00A22AA4"/>
    <w:rsid w:val="00A22AA6"/>
    <w:rsid w:val="00A22ABA"/>
    <w:rsid w:val="00A22B5F"/>
    <w:rsid w:val="00A22B77"/>
    <w:rsid w:val="00A22BDD"/>
    <w:rsid w:val="00A22C12"/>
    <w:rsid w:val="00A22C1C"/>
    <w:rsid w:val="00A22C30"/>
    <w:rsid w:val="00A22C48"/>
    <w:rsid w:val="00A22CA0"/>
    <w:rsid w:val="00A22CCE"/>
    <w:rsid w:val="00A22CEA"/>
    <w:rsid w:val="00A22D20"/>
    <w:rsid w:val="00A22D23"/>
    <w:rsid w:val="00A22D27"/>
    <w:rsid w:val="00A22D9E"/>
    <w:rsid w:val="00A22E4B"/>
    <w:rsid w:val="00A22E80"/>
    <w:rsid w:val="00A22F10"/>
    <w:rsid w:val="00A22F5C"/>
    <w:rsid w:val="00A22F70"/>
    <w:rsid w:val="00A22FCD"/>
    <w:rsid w:val="00A22FDF"/>
    <w:rsid w:val="00A23002"/>
    <w:rsid w:val="00A23083"/>
    <w:rsid w:val="00A2308F"/>
    <w:rsid w:val="00A230C9"/>
    <w:rsid w:val="00A23152"/>
    <w:rsid w:val="00A23175"/>
    <w:rsid w:val="00A231CA"/>
    <w:rsid w:val="00A23210"/>
    <w:rsid w:val="00A23231"/>
    <w:rsid w:val="00A2323D"/>
    <w:rsid w:val="00A23392"/>
    <w:rsid w:val="00A233A5"/>
    <w:rsid w:val="00A233D5"/>
    <w:rsid w:val="00A2347F"/>
    <w:rsid w:val="00A23480"/>
    <w:rsid w:val="00A23534"/>
    <w:rsid w:val="00A2354C"/>
    <w:rsid w:val="00A236B3"/>
    <w:rsid w:val="00A236C9"/>
    <w:rsid w:val="00A237C2"/>
    <w:rsid w:val="00A2381D"/>
    <w:rsid w:val="00A23832"/>
    <w:rsid w:val="00A23837"/>
    <w:rsid w:val="00A23848"/>
    <w:rsid w:val="00A23889"/>
    <w:rsid w:val="00A2389E"/>
    <w:rsid w:val="00A23907"/>
    <w:rsid w:val="00A23960"/>
    <w:rsid w:val="00A23986"/>
    <w:rsid w:val="00A23A1D"/>
    <w:rsid w:val="00A23A2A"/>
    <w:rsid w:val="00A23A65"/>
    <w:rsid w:val="00A23B71"/>
    <w:rsid w:val="00A23BA1"/>
    <w:rsid w:val="00A23BB9"/>
    <w:rsid w:val="00A23BDA"/>
    <w:rsid w:val="00A23C8B"/>
    <w:rsid w:val="00A23C8F"/>
    <w:rsid w:val="00A23CAD"/>
    <w:rsid w:val="00A23CB2"/>
    <w:rsid w:val="00A23CE2"/>
    <w:rsid w:val="00A23CFC"/>
    <w:rsid w:val="00A23DE5"/>
    <w:rsid w:val="00A23DED"/>
    <w:rsid w:val="00A23EB8"/>
    <w:rsid w:val="00A23ED3"/>
    <w:rsid w:val="00A23EEA"/>
    <w:rsid w:val="00A23F36"/>
    <w:rsid w:val="00A23FDB"/>
    <w:rsid w:val="00A24018"/>
    <w:rsid w:val="00A2401D"/>
    <w:rsid w:val="00A24026"/>
    <w:rsid w:val="00A24034"/>
    <w:rsid w:val="00A240CB"/>
    <w:rsid w:val="00A24161"/>
    <w:rsid w:val="00A24201"/>
    <w:rsid w:val="00A24281"/>
    <w:rsid w:val="00A242D3"/>
    <w:rsid w:val="00A2430A"/>
    <w:rsid w:val="00A24311"/>
    <w:rsid w:val="00A2437D"/>
    <w:rsid w:val="00A24393"/>
    <w:rsid w:val="00A243EC"/>
    <w:rsid w:val="00A24410"/>
    <w:rsid w:val="00A24426"/>
    <w:rsid w:val="00A24488"/>
    <w:rsid w:val="00A244C5"/>
    <w:rsid w:val="00A244D0"/>
    <w:rsid w:val="00A2453C"/>
    <w:rsid w:val="00A24561"/>
    <w:rsid w:val="00A2456F"/>
    <w:rsid w:val="00A2457D"/>
    <w:rsid w:val="00A245FF"/>
    <w:rsid w:val="00A24685"/>
    <w:rsid w:val="00A2468D"/>
    <w:rsid w:val="00A246CC"/>
    <w:rsid w:val="00A24835"/>
    <w:rsid w:val="00A2483E"/>
    <w:rsid w:val="00A24886"/>
    <w:rsid w:val="00A2488E"/>
    <w:rsid w:val="00A248D1"/>
    <w:rsid w:val="00A24967"/>
    <w:rsid w:val="00A2498E"/>
    <w:rsid w:val="00A249AB"/>
    <w:rsid w:val="00A249DE"/>
    <w:rsid w:val="00A249FD"/>
    <w:rsid w:val="00A24A23"/>
    <w:rsid w:val="00A24A46"/>
    <w:rsid w:val="00A24AAF"/>
    <w:rsid w:val="00A24AB8"/>
    <w:rsid w:val="00A24B44"/>
    <w:rsid w:val="00A24B52"/>
    <w:rsid w:val="00A24B97"/>
    <w:rsid w:val="00A24BED"/>
    <w:rsid w:val="00A24CB7"/>
    <w:rsid w:val="00A24CC4"/>
    <w:rsid w:val="00A24CF5"/>
    <w:rsid w:val="00A24D4D"/>
    <w:rsid w:val="00A24D9E"/>
    <w:rsid w:val="00A24DD5"/>
    <w:rsid w:val="00A24E0A"/>
    <w:rsid w:val="00A24E23"/>
    <w:rsid w:val="00A24E57"/>
    <w:rsid w:val="00A24E7D"/>
    <w:rsid w:val="00A24ED3"/>
    <w:rsid w:val="00A24F3C"/>
    <w:rsid w:val="00A24F9F"/>
    <w:rsid w:val="00A24FA6"/>
    <w:rsid w:val="00A24FAA"/>
    <w:rsid w:val="00A24FC7"/>
    <w:rsid w:val="00A25008"/>
    <w:rsid w:val="00A2503E"/>
    <w:rsid w:val="00A25040"/>
    <w:rsid w:val="00A2505D"/>
    <w:rsid w:val="00A250AD"/>
    <w:rsid w:val="00A250BE"/>
    <w:rsid w:val="00A25113"/>
    <w:rsid w:val="00A25116"/>
    <w:rsid w:val="00A25122"/>
    <w:rsid w:val="00A25160"/>
    <w:rsid w:val="00A251A7"/>
    <w:rsid w:val="00A251CF"/>
    <w:rsid w:val="00A2523E"/>
    <w:rsid w:val="00A25292"/>
    <w:rsid w:val="00A2529B"/>
    <w:rsid w:val="00A252D5"/>
    <w:rsid w:val="00A25323"/>
    <w:rsid w:val="00A2537B"/>
    <w:rsid w:val="00A253C4"/>
    <w:rsid w:val="00A253E4"/>
    <w:rsid w:val="00A2546A"/>
    <w:rsid w:val="00A254AA"/>
    <w:rsid w:val="00A254AC"/>
    <w:rsid w:val="00A254B5"/>
    <w:rsid w:val="00A254BA"/>
    <w:rsid w:val="00A254D5"/>
    <w:rsid w:val="00A25502"/>
    <w:rsid w:val="00A25543"/>
    <w:rsid w:val="00A25570"/>
    <w:rsid w:val="00A25572"/>
    <w:rsid w:val="00A25585"/>
    <w:rsid w:val="00A25595"/>
    <w:rsid w:val="00A2559A"/>
    <w:rsid w:val="00A255C0"/>
    <w:rsid w:val="00A25631"/>
    <w:rsid w:val="00A2567D"/>
    <w:rsid w:val="00A256EE"/>
    <w:rsid w:val="00A2574F"/>
    <w:rsid w:val="00A25778"/>
    <w:rsid w:val="00A257A0"/>
    <w:rsid w:val="00A2584A"/>
    <w:rsid w:val="00A25875"/>
    <w:rsid w:val="00A25893"/>
    <w:rsid w:val="00A258AE"/>
    <w:rsid w:val="00A258D8"/>
    <w:rsid w:val="00A258E7"/>
    <w:rsid w:val="00A2591A"/>
    <w:rsid w:val="00A2593C"/>
    <w:rsid w:val="00A2594C"/>
    <w:rsid w:val="00A25961"/>
    <w:rsid w:val="00A259D5"/>
    <w:rsid w:val="00A25A2B"/>
    <w:rsid w:val="00A25A71"/>
    <w:rsid w:val="00A25AC5"/>
    <w:rsid w:val="00A25B07"/>
    <w:rsid w:val="00A25B3C"/>
    <w:rsid w:val="00A25B77"/>
    <w:rsid w:val="00A25B84"/>
    <w:rsid w:val="00A25BA9"/>
    <w:rsid w:val="00A25BC7"/>
    <w:rsid w:val="00A25BD7"/>
    <w:rsid w:val="00A25C0B"/>
    <w:rsid w:val="00A25C5D"/>
    <w:rsid w:val="00A25C8B"/>
    <w:rsid w:val="00A25C92"/>
    <w:rsid w:val="00A25D20"/>
    <w:rsid w:val="00A25D59"/>
    <w:rsid w:val="00A25D82"/>
    <w:rsid w:val="00A25DC5"/>
    <w:rsid w:val="00A25E06"/>
    <w:rsid w:val="00A25E3F"/>
    <w:rsid w:val="00A25ED8"/>
    <w:rsid w:val="00A25F17"/>
    <w:rsid w:val="00A25FB3"/>
    <w:rsid w:val="00A25FB9"/>
    <w:rsid w:val="00A2605D"/>
    <w:rsid w:val="00A260AC"/>
    <w:rsid w:val="00A26120"/>
    <w:rsid w:val="00A26126"/>
    <w:rsid w:val="00A2612C"/>
    <w:rsid w:val="00A26170"/>
    <w:rsid w:val="00A261B8"/>
    <w:rsid w:val="00A26211"/>
    <w:rsid w:val="00A26250"/>
    <w:rsid w:val="00A26332"/>
    <w:rsid w:val="00A26357"/>
    <w:rsid w:val="00A2636B"/>
    <w:rsid w:val="00A2637D"/>
    <w:rsid w:val="00A263F4"/>
    <w:rsid w:val="00A26432"/>
    <w:rsid w:val="00A26454"/>
    <w:rsid w:val="00A264DA"/>
    <w:rsid w:val="00A264E8"/>
    <w:rsid w:val="00A26508"/>
    <w:rsid w:val="00A2653A"/>
    <w:rsid w:val="00A26570"/>
    <w:rsid w:val="00A265A5"/>
    <w:rsid w:val="00A265CE"/>
    <w:rsid w:val="00A26626"/>
    <w:rsid w:val="00A2663D"/>
    <w:rsid w:val="00A2665F"/>
    <w:rsid w:val="00A2666E"/>
    <w:rsid w:val="00A26683"/>
    <w:rsid w:val="00A26690"/>
    <w:rsid w:val="00A266C2"/>
    <w:rsid w:val="00A26749"/>
    <w:rsid w:val="00A26772"/>
    <w:rsid w:val="00A267F3"/>
    <w:rsid w:val="00A26803"/>
    <w:rsid w:val="00A26850"/>
    <w:rsid w:val="00A26899"/>
    <w:rsid w:val="00A26965"/>
    <w:rsid w:val="00A2698F"/>
    <w:rsid w:val="00A2699E"/>
    <w:rsid w:val="00A26A09"/>
    <w:rsid w:val="00A26AF0"/>
    <w:rsid w:val="00A26BDC"/>
    <w:rsid w:val="00A26C29"/>
    <w:rsid w:val="00A26C7B"/>
    <w:rsid w:val="00A26CC5"/>
    <w:rsid w:val="00A26CF0"/>
    <w:rsid w:val="00A26D21"/>
    <w:rsid w:val="00A26D27"/>
    <w:rsid w:val="00A26D2B"/>
    <w:rsid w:val="00A26E31"/>
    <w:rsid w:val="00A26E93"/>
    <w:rsid w:val="00A26F0C"/>
    <w:rsid w:val="00A26F24"/>
    <w:rsid w:val="00A26F2D"/>
    <w:rsid w:val="00A27055"/>
    <w:rsid w:val="00A270BE"/>
    <w:rsid w:val="00A27122"/>
    <w:rsid w:val="00A2717C"/>
    <w:rsid w:val="00A2718A"/>
    <w:rsid w:val="00A271C0"/>
    <w:rsid w:val="00A271D4"/>
    <w:rsid w:val="00A2726C"/>
    <w:rsid w:val="00A272B5"/>
    <w:rsid w:val="00A272B9"/>
    <w:rsid w:val="00A272D9"/>
    <w:rsid w:val="00A272F1"/>
    <w:rsid w:val="00A27360"/>
    <w:rsid w:val="00A273C5"/>
    <w:rsid w:val="00A2740C"/>
    <w:rsid w:val="00A27427"/>
    <w:rsid w:val="00A2743E"/>
    <w:rsid w:val="00A27448"/>
    <w:rsid w:val="00A27460"/>
    <w:rsid w:val="00A274E6"/>
    <w:rsid w:val="00A27539"/>
    <w:rsid w:val="00A275C9"/>
    <w:rsid w:val="00A27606"/>
    <w:rsid w:val="00A2767F"/>
    <w:rsid w:val="00A276FE"/>
    <w:rsid w:val="00A27774"/>
    <w:rsid w:val="00A27831"/>
    <w:rsid w:val="00A2787C"/>
    <w:rsid w:val="00A278BA"/>
    <w:rsid w:val="00A278DB"/>
    <w:rsid w:val="00A278F1"/>
    <w:rsid w:val="00A27964"/>
    <w:rsid w:val="00A279B3"/>
    <w:rsid w:val="00A27A2C"/>
    <w:rsid w:val="00A27A79"/>
    <w:rsid w:val="00A27B18"/>
    <w:rsid w:val="00A27C1B"/>
    <w:rsid w:val="00A27C25"/>
    <w:rsid w:val="00A27C2A"/>
    <w:rsid w:val="00A27C5A"/>
    <w:rsid w:val="00A27C6C"/>
    <w:rsid w:val="00A27CB7"/>
    <w:rsid w:val="00A27D34"/>
    <w:rsid w:val="00A27D45"/>
    <w:rsid w:val="00A27D7B"/>
    <w:rsid w:val="00A27D7C"/>
    <w:rsid w:val="00A27DA1"/>
    <w:rsid w:val="00A27DAE"/>
    <w:rsid w:val="00A27E3C"/>
    <w:rsid w:val="00A27E40"/>
    <w:rsid w:val="00A27EBB"/>
    <w:rsid w:val="00A27ECC"/>
    <w:rsid w:val="00A27F18"/>
    <w:rsid w:val="00A27F26"/>
    <w:rsid w:val="00A27F43"/>
    <w:rsid w:val="00A27F5B"/>
    <w:rsid w:val="00A27FB4"/>
    <w:rsid w:val="00A3007F"/>
    <w:rsid w:val="00A3008E"/>
    <w:rsid w:val="00A300B5"/>
    <w:rsid w:val="00A3010A"/>
    <w:rsid w:val="00A3014D"/>
    <w:rsid w:val="00A301B5"/>
    <w:rsid w:val="00A3025C"/>
    <w:rsid w:val="00A3030B"/>
    <w:rsid w:val="00A30333"/>
    <w:rsid w:val="00A30337"/>
    <w:rsid w:val="00A30373"/>
    <w:rsid w:val="00A30394"/>
    <w:rsid w:val="00A303A8"/>
    <w:rsid w:val="00A303C5"/>
    <w:rsid w:val="00A3040F"/>
    <w:rsid w:val="00A304F2"/>
    <w:rsid w:val="00A30515"/>
    <w:rsid w:val="00A305B4"/>
    <w:rsid w:val="00A305F9"/>
    <w:rsid w:val="00A3060F"/>
    <w:rsid w:val="00A30637"/>
    <w:rsid w:val="00A3064B"/>
    <w:rsid w:val="00A30693"/>
    <w:rsid w:val="00A30822"/>
    <w:rsid w:val="00A30824"/>
    <w:rsid w:val="00A3088D"/>
    <w:rsid w:val="00A3089D"/>
    <w:rsid w:val="00A308D9"/>
    <w:rsid w:val="00A3094B"/>
    <w:rsid w:val="00A30A42"/>
    <w:rsid w:val="00A30A76"/>
    <w:rsid w:val="00A30AED"/>
    <w:rsid w:val="00A30B23"/>
    <w:rsid w:val="00A30B37"/>
    <w:rsid w:val="00A30B9D"/>
    <w:rsid w:val="00A30BC0"/>
    <w:rsid w:val="00A30C15"/>
    <w:rsid w:val="00A30C2D"/>
    <w:rsid w:val="00A30C71"/>
    <w:rsid w:val="00A30CB5"/>
    <w:rsid w:val="00A30CC5"/>
    <w:rsid w:val="00A30D17"/>
    <w:rsid w:val="00A30D3E"/>
    <w:rsid w:val="00A30D94"/>
    <w:rsid w:val="00A30D95"/>
    <w:rsid w:val="00A30DD7"/>
    <w:rsid w:val="00A30E1F"/>
    <w:rsid w:val="00A30E2A"/>
    <w:rsid w:val="00A30EFE"/>
    <w:rsid w:val="00A30F00"/>
    <w:rsid w:val="00A30F0E"/>
    <w:rsid w:val="00A30F1E"/>
    <w:rsid w:val="00A30F20"/>
    <w:rsid w:val="00A30F43"/>
    <w:rsid w:val="00A30F60"/>
    <w:rsid w:val="00A30F6C"/>
    <w:rsid w:val="00A30F79"/>
    <w:rsid w:val="00A30F87"/>
    <w:rsid w:val="00A30FC8"/>
    <w:rsid w:val="00A30FE6"/>
    <w:rsid w:val="00A31026"/>
    <w:rsid w:val="00A3102B"/>
    <w:rsid w:val="00A31040"/>
    <w:rsid w:val="00A310D4"/>
    <w:rsid w:val="00A31145"/>
    <w:rsid w:val="00A31160"/>
    <w:rsid w:val="00A311BC"/>
    <w:rsid w:val="00A311DB"/>
    <w:rsid w:val="00A311FE"/>
    <w:rsid w:val="00A31268"/>
    <w:rsid w:val="00A31339"/>
    <w:rsid w:val="00A31403"/>
    <w:rsid w:val="00A3147B"/>
    <w:rsid w:val="00A31490"/>
    <w:rsid w:val="00A314BD"/>
    <w:rsid w:val="00A314CC"/>
    <w:rsid w:val="00A31529"/>
    <w:rsid w:val="00A31623"/>
    <w:rsid w:val="00A31667"/>
    <w:rsid w:val="00A31676"/>
    <w:rsid w:val="00A316CE"/>
    <w:rsid w:val="00A3170C"/>
    <w:rsid w:val="00A3177D"/>
    <w:rsid w:val="00A3178B"/>
    <w:rsid w:val="00A317D3"/>
    <w:rsid w:val="00A317FF"/>
    <w:rsid w:val="00A31877"/>
    <w:rsid w:val="00A31889"/>
    <w:rsid w:val="00A318A4"/>
    <w:rsid w:val="00A318B2"/>
    <w:rsid w:val="00A318EB"/>
    <w:rsid w:val="00A3196D"/>
    <w:rsid w:val="00A31974"/>
    <w:rsid w:val="00A3198D"/>
    <w:rsid w:val="00A319A1"/>
    <w:rsid w:val="00A319EB"/>
    <w:rsid w:val="00A31A5F"/>
    <w:rsid w:val="00A31AA3"/>
    <w:rsid w:val="00A31AA4"/>
    <w:rsid w:val="00A31AAF"/>
    <w:rsid w:val="00A31ACF"/>
    <w:rsid w:val="00A31B41"/>
    <w:rsid w:val="00A31B78"/>
    <w:rsid w:val="00A31C05"/>
    <w:rsid w:val="00A31C0D"/>
    <w:rsid w:val="00A31C88"/>
    <w:rsid w:val="00A31D4B"/>
    <w:rsid w:val="00A31D81"/>
    <w:rsid w:val="00A31D84"/>
    <w:rsid w:val="00A31DE9"/>
    <w:rsid w:val="00A31F3A"/>
    <w:rsid w:val="00A31F55"/>
    <w:rsid w:val="00A31FBD"/>
    <w:rsid w:val="00A31FCB"/>
    <w:rsid w:val="00A31FCD"/>
    <w:rsid w:val="00A31FE1"/>
    <w:rsid w:val="00A31FE4"/>
    <w:rsid w:val="00A32024"/>
    <w:rsid w:val="00A3203E"/>
    <w:rsid w:val="00A32097"/>
    <w:rsid w:val="00A320F0"/>
    <w:rsid w:val="00A32100"/>
    <w:rsid w:val="00A32147"/>
    <w:rsid w:val="00A321BC"/>
    <w:rsid w:val="00A32260"/>
    <w:rsid w:val="00A322C8"/>
    <w:rsid w:val="00A322F2"/>
    <w:rsid w:val="00A32313"/>
    <w:rsid w:val="00A32318"/>
    <w:rsid w:val="00A32368"/>
    <w:rsid w:val="00A32395"/>
    <w:rsid w:val="00A323C0"/>
    <w:rsid w:val="00A323DA"/>
    <w:rsid w:val="00A32408"/>
    <w:rsid w:val="00A32462"/>
    <w:rsid w:val="00A3247E"/>
    <w:rsid w:val="00A32496"/>
    <w:rsid w:val="00A3258F"/>
    <w:rsid w:val="00A325A3"/>
    <w:rsid w:val="00A325D9"/>
    <w:rsid w:val="00A325DD"/>
    <w:rsid w:val="00A32612"/>
    <w:rsid w:val="00A32618"/>
    <w:rsid w:val="00A3269D"/>
    <w:rsid w:val="00A326AE"/>
    <w:rsid w:val="00A32766"/>
    <w:rsid w:val="00A327B6"/>
    <w:rsid w:val="00A327F3"/>
    <w:rsid w:val="00A3287A"/>
    <w:rsid w:val="00A32880"/>
    <w:rsid w:val="00A3289B"/>
    <w:rsid w:val="00A32906"/>
    <w:rsid w:val="00A32924"/>
    <w:rsid w:val="00A32963"/>
    <w:rsid w:val="00A329BD"/>
    <w:rsid w:val="00A329CC"/>
    <w:rsid w:val="00A32A26"/>
    <w:rsid w:val="00A32A93"/>
    <w:rsid w:val="00A32A9B"/>
    <w:rsid w:val="00A32AEA"/>
    <w:rsid w:val="00A32AF1"/>
    <w:rsid w:val="00A32B3A"/>
    <w:rsid w:val="00A32BB0"/>
    <w:rsid w:val="00A32BBA"/>
    <w:rsid w:val="00A32BDA"/>
    <w:rsid w:val="00A32BDE"/>
    <w:rsid w:val="00A32BFD"/>
    <w:rsid w:val="00A32C59"/>
    <w:rsid w:val="00A32CC0"/>
    <w:rsid w:val="00A32CE3"/>
    <w:rsid w:val="00A32D36"/>
    <w:rsid w:val="00A32D46"/>
    <w:rsid w:val="00A32E16"/>
    <w:rsid w:val="00A32E34"/>
    <w:rsid w:val="00A32F06"/>
    <w:rsid w:val="00A32F18"/>
    <w:rsid w:val="00A32F37"/>
    <w:rsid w:val="00A32FA9"/>
    <w:rsid w:val="00A32FE2"/>
    <w:rsid w:val="00A3305A"/>
    <w:rsid w:val="00A3305F"/>
    <w:rsid w:val="00A3308A"/>
    <w:rsid w:val="00A33094"/>
    <w:rsid w:val="00A330A7"/>
    <w:rsid w:val="00A330B9"/>
    <w:rsid w:val="00A3314C"/>
    <w:rsid w:val="00A3318A"/>
    <w:rsid w:val="00A331F5"/>
    <w:rsid w:val="00A3321E"/>
    <w:rsid w:val="00A3328D"/>
    <w:rsid w:val="00A332AC"/>
    <w:rsid w:val="00A332AD"/>
    <w:rsid w:val="00A332E4"/>
    <w:rsid w:val="00A33314"/>
    <w:rsid w:val="00A33341"/>
    <w:rsid w:val="00A33353"/>
    <w:rsid w:val="00A33387"/>
    <w:rsid w:val="00A333A8"/>
    <w:rsid w:val="00A333DE"/>
    <w:rsid w:val="00A33457"/>
    <w:rsid w:val="00A33478"/>
    <w:rsid w:val="00A334FE"/>
    <w:rsid w:val="00A3351F"/>
    <w:rsid w:val="00A3358E"/>
    <w:rsid w:val="00A335E0"/>
    <w:rsid w:val="00A335E2"/>
    <w:rsid w:val="00A33633"/>
    <w:rsid w:val="00A3363F"/>
    <w:rsid w:val="00A33686"/>
    <w:rsid w:val="00A33757"/>
    <w:rsid w:val="00A3375B"/>
    <w:rsid w:val="00A3378D"/>
    <w:rsid w:val="00A33799"/>
    <w:rsid w:val="00A33836"/>
    <w:rsid w:val="00A33838"/>
    <w:rsid w:val="00A33868"/>
    <w:rsid w:val="00A338AB"/>
    <w:rsid w:val="00A338D3"/>
    <w:rsid w:val="00A338F6"/>
    <w:rsid w:val="00A3390C"/>
    <w:rsid w:val="00A33929"/>
    <w:rsid w:val="00A33954"/>
    <w:rsid w:val="00A33971"/>
    <w:rsid w:val="00A339A3"/>
    <w:rsid w:val="00A339BF"/>
    <w:rsid w:val="00A339DF"/>
    <w:rsid w:val="00A339E8"/>
    <w:rsid w:val="00A33A95"/>
    <w:rsid w:val="00A33AD4"/>
    <w:rsid w:val="00A33B8D"/>
    <w:rsid w:val="00A33B9A"/>
    <w:rsid w:val="00A33BD6"/>
    <w:rsid w:val="00A33C13"/>
    <w:rsid w:val="00A33C66"/>
    <w:rsid w:val="00A33C8A"/>
    <w:rsid w:val="00A33C98"/>
    <w:rsid w:val="00A33CA6"/>
    <w:rsid w:val="00A33CA8"/>
    <w:rsid w:val="00A33CCD"/>
    <w:rsid w:val="00A33D3A"/>
    <w:rsid w:val="00A33E07"/>
    <w:rsid w:val="00A33E3E"/>
    <w:rsid w:val="00A33E8F"/>
    <w:rsid w:val="00A33ED6"/>
    <w:rsid w:val="00A33F7F"/>
    <w:rsid w:val="00A33FBF"/>
    <w:rsid w:val="00A33FE2"/>
    <w:rsid w:val="00A34075"/>
    <w:rsid w:val="00A340AB"/>
    <w:rsid w:val="00A34102"/>
    <w:rsid w:val="00A34207"/>
    <w:rsid w:val="00A34230"/>
    <w:rsid w:val="00A3427F"/>
    <w:rsid w:val="00A3429B"/>
    <w:rsid w:val="00A3429E"/>
    <w:rsid w:val="00A342B5"/>
    <w:rsid w:val="00A3431A"/>
    <w:rsid w:val="00A34358"/>
    <w:rsid w:val="00A34366"/>
    <w:rsid w:val="00A3436B"/>
    <w:rsid w:val="00A3439C"/>
    <w:rsid w:val="00A343A8"/>
    <w:rsid w:val="00A343E7"/>
    <w:rsid w:val="00A3444D"/>
    <w:rsid w:val="00A34456"/>
    <w:rsid w:val="00A344A9"/>
    <w:rsid w:val="00A344B1"/>
    <w:rsid w:val="00A344C2"/>
    <w:rsid w:val="00A345A8"/>
    <w:rsid w:val="00A345BC"/>
    <w:rsid w:val="00A345C1"/>
    <w:rsid w:val="00A345D7"/>
    <w:rsid w:val="00A3460E"/>
    <w:rsid w:val="00A34676"/>
    <w:rsid w:val="00A346D4"/>
    <w:rsid w:val="00A3470D"/>
    <w:rsid w:val="00A34802"/>
    <w:rsid w:val="00A34823"/>
    <w:rsid w:val="00A34828"/>
    <w:rsid w:val="00A34874"/>
    <w:rsid w:val="00A34892"/>
    <w:rsid w:val="00A348A2"/>
    <w:rsid w:val="00A348E3"/>
    <w:rsid w:val="00A34944"/>
    <w:rsid w:val="00A34A9B"/>
    <w:rsid w:val="00A34AE2"/>
    <w:rsid w:val="00A34B3A"/>
    <w:rsid w:val="00A34BD2"/>
    <w:rsid w:val="00A34C07"/>
    <w:rsid w:val="00A34CA0"/>
    <w:rsid w:val="00A34D06"/>
    <w:rsid w:val="00A34D43"/>
    <w:rsid w:val="00A34D47"/>
    <w:rsid w:val="00A34D66"/>
    <w:rsid w:val="00A34E09"/>
    <w:rsid w:val="00A34E39"/>
    <w:rsid w:val="00A34EB0"/>
    <w:rsid w:val="00A34EE7"/>
    <w:rsid w:val="00A34FCF"/>
    <w:rsid w:val="00A34FDA"/>
    <w:rsid w:val="00A34FF1"/>
    <w:rsid w:val="00A3503F"/>
    <w:rsid w:val="00A3506F"/>
    <w:rsid w:val="00A35094"/>
    <w:rsid w:val="00A350A1"/>
    <w:rsid w:val="00A35106"/>
    <w:rsid w:val="00A35150"/>
    <w:rsid w:val="00A3518C"/>
    <w:rsid w:val="00A351A6"/>
    <w:rsid w:val="00A35227"/>
    <w:rsid w:val="00A35243"/>
    <w:rsid w:val="00A3524A"/>
    <w:rsid w:val="00A35253"/>
    <w:rsid w:val="00A352B8"/>
    <w:rsid w:val="00A352B9"/>
    <w:rsid w:val="00A352D6"/>
    <w:rsid w:val="00A352F8"/>
    <w:rsid w:val="00A35303"/>
    <w:rsid w:val="00A3530B"/>
    <w:rsid w:val="00A35319"/>
    <w:rsid w:val="00A3531C"/>
    <w:rsid w:val="00A35333"/>
    <w:rsid w:val="00A3536C"/>
    <w:rsid w:val="00A3537C"/>
    <w:rsid w:val="00A3537F"/>
    <w:rsid w:val="00A3541B"/>
    <w:rsid w:val="00A35478"/>
    <w:rsid w:val="00A35499"/>
    <w:rsid w:val="00A354EB"/>
    <w:rsid w:val="00A35530"/>
    <w:rsid w:val="00A35552"/>
    <w:rsid w:val="00A35564"/>
    <w:rsid w:val="00A35658"/>
    <w:rsid w:val="00A35667"/>
    <w:rsid w:val="00A35669"/>
    <w:rsid w:val="00A356AA"/>
    <w:rsid w:val="00A356B2"/>
    <w:rsid w:val="00A356C2"/>
    <w:rsid w:val="00A356F9"/>
    <w:rsid w:val="00A3577F"/>
    <w:rsid w:val="00A357B0"/>
    <w:rsid w:val="00A357B8"/>
    <w:rsid w:val="00A358C2"/>
    <w:rsid w:val="00A358EC"/>
    <w:rsid w:val="00A35957"/>
    <w:rsid w:val="00A35975"/>
    <w:rsid w:val="00A359A7"/>
    <w:rsid w:val="00A359E0"/>
    <w:rsid w:val="00A35A61"/>
    <w:rsid w:val="00A35AD1"/>
    <w:rsid w:val="00A35AE7"/>
    <w:rsid w:val="00A35B1E"/>
    <w:rsid w:val="00A35B4D"/>
    <w:rsid w:val="00A35B63"/>
    <w:rsid w:val="00A35BBA"/>
    <w:rsid w:val="00A35BDD"/>
    <w:rsid w:val="00A35C30"/>
    <w:rsid w:val="00A35C3E"/>
    <w:rsid w:val="00A35CBF"/>
    <w:rsid w:val="00A35CDF"/>
    <w:rsid w:val="00A35D48"/>
    <w:rsid w:val="00A35D71"/>
    <w:rsid w:val="00A35D88"/>
    <w:rsid w:val="00A35D92"/>
    <w:rsid w:val="00A35DA7"/>
    <w:rsid w:val="00A35DB7"/>
    <w:rsid w:val="00A35DC0"/>
    <w:rsid w:val="00A35DD0"/>
    <w:rsid w:val="00A35E1A"/>
    <w:rsid w:val="00A35E59"/>
    <w:rsid w:val="00A35EC1"/>
    <w:rsid w:val="00A35F0B"/>
    <w:rsid w:val="00A35F9A"/>
    <w:rsid w:val="00A35FC8"/>
    <w:rsid w:val="00A35FEF"/>
    <w:rsid w:val="00A36021"/>
    <w:rsid w:val="00A36047"/>
    <w:rsid w:val="00A36079"/>
    <w:rsid w:val="00A360CC"/>
    <w:rsid w:val="00A360E2"/>
    <w:rsid w:val="00A3610C"/>
    <w:rsid w:val="00A36144"/>
    <w:rsid w:val="00A36196"/>
    <w:rsid w:val="00A361D3"/>
    <w:rsid w:val="00A3620D"/>
    <w:rsid w:val="00A36223"/>
    <w:rsid w:val="00A3626B"/>
    <w:rsid w:val="00A362D1"/>
    <w:rsid w:val="00A362D6"/>
    <w:rsid w:val="00A362FB"/>
    <w:rsid w:val="00A3630D"/>
    <w:rsid w:val="00A36318"/>
    <w:rsid w:val="00A3638F"/>
    <w:rsid w:val="00A36392"/>
    <w:rsid w:val="00A3639D"/>
    <w:rsid w:val="00A36402"/>
    <w:rsid w:val="00A3641F"/>
    <w:rsid w:val="00A36425"/>
    <w:rsid w:val="00A36442"/>
    <w:rsid w:val="00A3644C"/>
    <w:rsid w:val="00A3646C"/>
    <w:rsid w:val="00A3647F"/>
    <w:rsid w:val="00A36515"/>
    <w:rsid w:val="00A36550"/>
    <w:rsid w:val="00A36577"/>
    <w:rsid w:val="00A365AD"/>
    <w:rsid w:val="00A365B1"/>
    <w:rsid w:val="00A365C8"/>
    <w:rsid w:val="00A365E8"/>
    <w:rsid w:val="00A36668"/>
    <w:rsid w:val="00A36705"/>
    <w:rsid w:val="00A3673C"/>
    <w:rsid w:val="00A367A4"/>
    <w:rsid w:val="00A367F4"/>
    <w:rsid w:val="00A36820"/>
    <w:rsid w:val="00A36825"/>
    <w:rsid w:val="00A3683E"/>
    <w:rsid w:val="00A36852"/>
    <w:rsid w:val="00A36884"/>
    <w:rsid w:val="00A3693C"/>
    <w:rsid w:val="00A3693D"/>
    <w:rsid w:val="00A36994"/>
    <w:rsid w:val="00A36A1A"/>
    <w:rsid w:val="00A36AA3"/>
    <w:rsid w:val="00A36AD8"/>
    <w:rsid w:val="00A36B66"/>
    <w:rsid w:val="00A36B8F"/>
    <w:rsid w:val="00A36B92"/>
    <w:rsid w:val="00A36B9A"/>
    <w:rsid w:val="00A36BD0"/>
    <w:rsid w:val="00A36BD5"/>
    <w:rsid w:val="00A36C00"/>
    <w:rsid w:val="00A36C43"/>
    <w:rsid w:val="00A36C9B"/>
    <w:rsid w:val="00A36D1E"/>
    <w:rsid w:val="00A36DAE"/>
    <w:rsid w:val="00A36DF0"/>
    <w:rsid w:val="00A36E08"/>
    <w:rsid w:val="00A36E1E"/>
    <w:rsid w:val="00A36E8D"/>
    <w:rsid w:val="00A36E98"/>
    <w:rsid w:val="00A36EA7"/>
    <w:rsid w:val="00A37034"/>
    <w:rsid w:val="00A37038"/>
    <w:rsid w:val="00A37079"/>
    <w:rsid w:val="00A37095"/>
    <w:rsid w:val="00A370B8"/>
    <w:rsid w:val="00A370D6"/>
    <w:rsid w:val="00A370FE"/>
    <w:rsid w:val="00A371BF"/>
    <w:rsid w:val="00A37202"/>
    <w:rsid w:val="00A3720F"/>
    <w:rsid w:val="00A3722A"/>
    <w:rsid w:val="00A372AE"/>
    <w:rsid w:val="00A372B6"/>
    <w:rsid w:val="00A372C1"/>
    <w:rsid w:val="00A372EA"/>
    <w:rsid w:val="00A37349"/>
    <w:rsid w:val="00A373A9"/>
    <w:rsid w:val="00A373E1"/>
    <w:rsid w:val="00A37438"/>
    <w:rsid w:val="00A374C8"/>
    <w:rsid w:val="00A374FF"/>
    <w:rsid w:val="00A37512"/>
    <w:rsid w:val="00A3755B"/>
    <w:rsid w:val="00A3757D"/>
    <w:rsid w:val="00A37692"/>
    <w:rsid w:val="00A37721"/>
    <w:rsid w:val="00A37756"/>
    <w:rsid w:val="00A37773"/>
    <w:rsid w:val="00A377D6"/>
    <w:rsid w:val="00A377D8"/>
    <w:rsid w:val="00A378A8"/>
    <w:rsid w:val="00A3790D"/>
    <w:rsid w:val="00A3794F"/>
    <w:rsid w:val="00A3796D"/>
    <w:rsid w:val="00A3797F"/>
    <w:rsid w:val="00A37999"/>
    <w:rsid w:val="00A379CE"/>
    <w:rsid w:val="00A379F5"/>
    <w:rsid w:val="00A37A24"/>
    <w:rsid w:val="00A37A42"/>
    <w:rsid w:val="00A37A64"/>
    <w:rsid w:val="00A37A8A"/>
    <w:rsid w:val="00A37AD2"/>
    <w:rsid w:val="00A37AEE"/>
    <w:rsid w:val="00A37B3E"/>
    <w:rsid w:val="00A37BA1"/>
    <w:rsid w:val="00A37BD2"/>
    <w:rsid w:val="00A37BFC"/>
    <w:rsid w:val="00A37C45"/>
    <w:rsid w:val="00A37C8A"/>
    <w:rsid w:val="00A37D42"/>
    <w:rsid w:val="00A37D5E"/>
    <w:rsid w:val="00A37DB2"/>
    <w:rsid w:val="00A37DEA"/>
    <w:rsid w:val="00A37E0D"/>
    <w:rsid w:val="00A37EC8"/>
    <w:rsid w:val="00A37EEF"/>
    <w:rsid w:val="00A37F02"/>
    <w:rsid w:val="00A37F89"/>
    <w:rsid w:val="00A37F8E"/>
    <w:rsid w:val="00A37FC1"/>
    <w:rsid w:val="00A37FDA"/>
    <w:rsid w:val="00A40024"/>
    <w:rsid w:val="00A4003D"/>
    <w:rsid w:val="00A40072"/>
    <w:rsid w:val="00A40075"/>
    <w:rsid w:val="00A4010E"/>
    <w:rsid w:val="00A40113"/>
    <w:rsid w:val="00A40144"/>
    <w:rsid w:val="00A40148"/>
    <w:rsid w:val="00A40224"/>
    <w:rsid w:val="00A40292"/>
    <w:rsid w:val="00A402AD"/>
    <w:rsid w:val="00A402C8"/>
    <w:rsid w:val="00A40301"/>
    <w:rsid w:val="00A40363"/>
    <w:rsid w:val="00A40399"/>
    <w:rsid w:val="00A403BF"/>
    <w:rsid w:val="00A403D1"/>
    <w:rsid w:val="00A40406"/>
    <w:rsid w:val="00A404AB"/>
    <w:rsid w:val="00A404C0"/>
    <w:rsid w:val="00A404D8"/>
    <w:rsid w:val="00A40533"/>
    <w:rsid w:val="00A4054F"/>
    <w:rsid w:val="00A405E5"/>
    <w:rsid w:val="00A4061F"/>
    <w:rsid w:val="00A40668"/>
    <w:rsid w:val="00A40699"/>
    <w:rsid w:val="00A406C0"/>
    <w:rsid w:val="00A406EF"/>
    <w:rsid w:val="00A4077D"/>
    <w:rsid w:val="00A407AE"/>
    <w:rsid w:val="00A407B8"/>
    <w:rsid w:val="00A407D5"/>
    <w:rsid w:val="00A407E2"/>
    <w:rsid w:val="00A4081D"/>
    <w:rsid w:val="00A40835"/>
    <w:rsid w:val="00A40841"/>
    <w:rsid w:val="00A40857"/>
    <w:rsid w:val="00A40872"/>
    <w:rsid w:val="00A40897"/>
    <w:rsid w:val="00A40898"/>
    <w:rsid w:val="00A408B0"/>
    <w:rsid w:val="00A408CC"/>
    <w:rsid w:val="00A408D3"/>
    <w:rsid w:val="00A40992"/>
    <w:rsid w:val="00A409FA"/>
    <w:rsid w:val="00A40A02"/>
    <w:rsid w:val="00A40AB0"/>
    <w:rsid w:val="00A40AF3"/>
    <w:rsid w:val="00A40AF9"/>
    <w:rsid w:val="00A40B15"/>
    <w:rsid w:val="00A40BBC"/>
    <w:rsid w:val="00A40C88"/>
    <w:rsid w:val="00A40CC7"/>
    <w:rsid w:val="00A40D05"/>
    <w:rsid w:val="00A40D1E"/>
    <w:rsid w:val="00A40D6D"/>
    <w:rsid w:val="00A40DA0"/>
    <w:rsid w:val="00A40DA4"/>
    <w:rsid w:val="00A40EE5"/>
    <w:rsid w:val="00A40F5A"/>
    <w:rsid w:val="00A40F70"/>
    <w:rsid w:val="00A40FB8"/>
    <w:rsid w:val="00A40FB9"/>
    <w:rsid w:val="00A4101A"/>
    <w:rsid w:val="00A41031"/>
    <w:rsid w:val="00A4104B"/>
    <w:rsid w:val="00A4105A"/>
    <w:rsid w:val="00A410A5"/>
    <w:rsid w:val="00A4111D"/>
    <w:rsid w:val="00A4115B"/>
    <w:rsid w:val="00A411DB"/>
    <w:rsid w:val="00A411DD"/>
    <w:rsid w:val="00A411F4"/>
    <w:rsid w:val="00A411F7"/>
    <w:rsid w:val="00A412F7"/>
    <w:rsid w:val="00A41306"/>
    <w:rsid w:val="00A41364"/>
    <w:rsid w:val="00A413BE"/>
    <w:rsid w:val="00A413D7"/>
    <w:rsid w:val="00A413E2"/>
    <w:rsid w:val="00A414D2"/>
    <w:rsid w:val="00A414EA"/>
    <w:rsid w:val="00A41549"/>
    <w:rsid w:val="00A4155B"/>
    <w:rsid w:val="00A41581"/>
    <w:rsid w:val="00A4159D"/>
    <w:rsid w:val="00A415E2"/>
    <w:rsid w:val="00A415EA"/>
    <w:rsid w:val="00A4163E"/>
    <w:rsid w:val="00A41673"/>
    <w:rsid w:val="00A4168D"/>
    <w:rsid w:val="00A41696"/>
    <w:rsid w:val="00A416B6"/>
    <w:rsid w:val="00A4179A"/>
    <w:rsid w:val="00A417FD"/>
    <w:rsid w:val="00A4182F"/>
    <w:rsid w:val="00A41887"/>
    <w:rsid w:val="00A418B5"/>
    <w:rsid w:val="00A41921"/>
    <w:rsid w:val="00A4199D"/>
    <w:rsid w:val="00A419C6"/>
    <w:rsid w:val="00A419E6"/>
    <w:rsid w:val="00A419FF"/>
    <w:rsid w:val="00A41A0D"/>
    <w:rsid w:val="00A41A50"/>
    <w:rsid w:val="00A41A9A"/>
    <w:rsid w:val="00A41ACA"/>
    <w:rsid w:val="00A41ADF"/>
    <w:rsid w:val="00A41AF6"/>
    <w:rsid w:val="00A41B40"/>
    <w:rsid w:val="00A41B76"/>
    <w:rsid w:val="00A41B7C"/>
    <w:rsid w:val="00A41B89"/>
    <w:rsid w:val="00A41B91"/>
    <w:rsid w:val="00A41BB1"/>
    <w:rsid w:val="00A41BCF"/>
    <w:rsid w:val="00A41BDC"/>
    <w:rsid w:val="00A41BE8"/>
    <w:rsid w:val="00A41C64"/>
    <w:rsid w:val="00A41C66"/>
    <w:rsid w:val="00A41CA5"/>
    <w:rsid w:val="00A41CAE"/>
    <w:rsid w:val="00A41CBE"/>
    <w:rsid w:val="00A41D0C"/>
    <w:rsid w:val="00A41D36"/>
    <w:rsid w:val="00A41D48"/>
    <w:rsid w:val="00A41DD2"/>
    <w:rsid w:val="00A41DDE"/>
    <w:rsid w:val="00A41DFC"/>
    <w:rsid w:val="00A41E43"/>
    <w:rsid w:val="00A41E5D"/>
    <w:rsid w:val="00A41E7C"/>
    <w:rsid w:val="00A41EDF"/>
    <w:rsid w:val="00A41F39"/>
    <w:rsid w:val="00A41F5F"/>
    <w:rsid w:val="00A41FA6"/>
    <w:rsid w:val="00A41FEA"/>
    <w:rsid w:val="00A4201D"/>
    <w:rsid w:val="00A42023"/>
    <w:rsid w:val="00A4203E"/>
    <w:rsid w:val="00A420A8"/>
    <w:rsid w:val="00A4214B"/>
    <w:rsid w:val="00A4216D"/>
    <w:rsid w:val="00A42195"/>
    <w:rsid w:val="00A4219C"/>
    <w:rsid w:val="00A421B8"/>
    <w:rsid w:val="00A42201"/>
    <w:rsid w:val="00A42214"/>
    <w:rsid w:val="00A4223C"/>
    <w:rsid w:val="00A42292"/>
    <w:rsid w:val="00A422A2"/>
    <w:rsid w:val="00A422D6"/>
    <w:rsid w:val="00A423AE"/>
    <w:rsid w:val="00A423C9"/>
    <w:rsid w:val="00A423D8"/>
    <w:rsid w:val="00A4244A"/>
    <w:rsid w:val="00A424B9"/>
    <w:rsid w:val="00A42521"/>
    <w:rsid w:val="00A42559"/>
    <w:rsid w:val="00A425B1"/>
    <w:rsid w:val="00A425B6"/>
    <w:rsid w:val="00A425DF"/>
    <w:rsid w:val="00A425F1"/>
    <w:rsid w:val="00A42619"/>
    <w:rsid w:val="00A42673"/>
    <w:rsid w:val="00A426CA"/>
    <w:rsid w:val="00A42710"/>
    <w:rsid w:val="00A4273D"/>
    <w:rsid w:val="00A42755"/>
    <w:rsid w:val="00A42763"/>
    <w:rsid w:val="00A427AD"/>
    <w:rsid w:val="00A42813"/>
    <w:rsid w:val="00A4288C"/>
    <w:rsid w:val="00A428A3"/>
    <w:rsid w:val="00A42906"/>
    <w:rsid w:val="00A42931"/>
    <w:rsid w:val="00A42A38"/>
    <w:rsid w:val="00A42A8E"/>
    <w:rsid w:val="00A42A90"/>
    <w:rsid w:val="00A42A9C"/>
    <w:rsid w:val="00A42AA6"/>
    <w:rsid w:val="00A42ACE"/>
    <w:rsid w:val="00A42AE4"/>
    <w:rsid w:val="00A42B2C"/>
    <w:rsid w:val="00A42B30"/>
    <w:rsid w:val="00A42B3E"/>
    <w:rsid w:val="00A42B80"/>
    <w:rsid w:val="00A42BC3"/>
    <w:rsid w:val="00A42C29"/>
    <w:rsid w:val="00A42C80"/>
    <w:rsid w:val="00A42CC6"/>
    <w:rsid w:val="00A42CD6"/>
    <w:rsid w:val="00A42CEB"/>
    <w:rsid w:val="00A42D83"/>
    <w:rsid w:val="00A42DAA"/>
    <w:rsid w:val="00A42DE6"/>
    <w:rsid w:val="00A42F81"/>
    <w:rsid w:val="00A42F8B"/>
    <w:rsid w:val="00A43007"/>
    <w:rsid w:val="00A4307A"/>
    <w:rsid w:val="00A430CC"/>
    <w:rsid w:val="00A43102"/>
    <w:rsid w:val="00A43155"/>
    <w:rsid w:val="00A431F7"/>
    <w:rsid w:val="00A431FE"/>
    <w:rsid w:val="00A43208"/>
    <w:rsid w:val="00A4323A"/>
    <w:rsid w:val="00A43257"/>
    <w:rsid w:val="00A43268"/>
    <w:rsid w:val="00A432E9"/>
    <w:rsid w:val="00A4330D"/>
    <w:rsid w:val="00A4336B"/>
    <w:rsid w:val="00A43382"/>
    <w:rsid w:val="00A433F3"/>
    <w:rsid w:val="00A43413"/>
    <w:rsid w:val="00A43478"/>
    <w:rsid w:val="00A434C4"/>
    <w:rsid w:val="00A434E9"/>
    <w:rsid w:val="00A43569"/>
    <w:rsid w:val="00A4356C"/>
    <w:rsid w:val="00A435A5"/>
    <w:rsid w:val="00A4365D"/>
    <w:rsid w:val="00A4368B"/>
    <w:rsid w:val="00A436DA"/>
    <w:rsid w:val="00A43736"/>
    <w:rsid w:val="00A43851"/>
    <w:rsid w:val="00A43989"/>
    <w:rsid w:val="00A43A39"/>
    <w:rsid w:val="00A43AAE"/>
    <w:rsid w:val="00A43AD2"/>
    <w:rsid w:val="00A43AE7"/>
    <w:rsid w:val="00A43B86"/>
    <w:rsid w:val="00A43BA4"/>
    <w:rsid w:val="00A43C2B"/>
    <w:rsid w:val="00A43C32"/>
    <w:rsid w:val="00A43CD8"/>
    <w:rsid w:val="00A43CE5"/>
    <w:rsid w:val="00A43D07"/>
    <w:rsid w:val="00A43D1E"/>
    <w:rsid w:val="00A43D4E"/>
    <w:rsid w:val="00A43D6D"/>
    <w:rsid w:val="00A43E39"/>
    <w:rsid w:val="00A43E70"/>
    <w:rsid w:val="00A43E8F"/>
    <w:rsid w:val="00A43EE2"/>
    <w:rsid w:val="00A43EE3"/>
    <w:rsid w:val="00A43F21"/>
    <w:rsid w:val="00A43F36"/>
    <w:rsid w:val="00A43FA0"/>
    <w:rsid w:val="00A43FA1"/>
    <w:rsid w:val="00A43FB1"/>
    <w:rsid w:val="00A43FC7"/>
    <w:rsid w:val="00A43FF2"/>
    <w:rsid w:val="00A4403F"/>
    <w:rsid w:val="00A4409F"/>
    <w:rsid w:val="00A440BE"/>
    <w:rsid w:val="00A440E4"/>
    <w:rsid w:val="00A44123"/>
    <w:rsid w:val="00A441DD"/>
    <w:rsid w:val="00A441E9"/>
    <w:rsid w:val="00A44217"/>
    <w:rsid w:val="00A4422F"/>
    <w:rsid w:val="00A44272"/>
    <w:rsid w:val="00A442F8"/>
    <w:rsid w:val="00A44306"/>
    <w:rsid w:val="00A44349"/>
    <w:rsid w:val="00A4436D"/>
    <w:rsid w:val="00A4439A"/>
    <w:rsid w:val="00A443D3"/>
    <w:rsid w:val="00A443F2"/>
    <w:rsid w:val="00A4441D"/>
    <w:rsid w:val="00A4442F"/>
    <w:rsid w:val="00A44433"/>
    <w:rsid w:val="00A44482"/>
    <w:rsid w:val="00A44490"/>
    <w:rsid w:val="00A444C1"/>
    <w:rsid w:val="00A444ED"/>
    <w:rsid w:val="00A44507"/>
    <w:rsid w:val="00A4453C"/>
    <w:rsid w:val="00A445BD"/>
    <w:rsid w:val="00A445E7"/>
    <w:rsid w:val="00A445F4"/>
    <w:rsid w:val="00A4461F"/>
    <w:rsid w:val="00A44659"/>
    <w:rsid w:val="00A4467A"/>
    <w:rsid w:val="00A4467E"/>
    <w:rsid w:val="00A446B4"/>
    <w:rsid w:val="00A4473B"/>
    <w:rsid w:val="00A447AD"/>
    <w:rsid w:val="00A447B4"/>
    <w:rsid w:val="00A447DD"/>
    <w:rsid w:val="00A447EB"/>
    <w:rsid w:val="00A448BC"/>
    <w:rsid w:val="00A448BE"/>
    <w:rsid w:val="00A448C2"/>
    <w:rsid w:val="00A448E9"/>
    <w:rsid w:val="00A448FC"/>
    <w:rsid w:val="00A44A20"/>
    <w:rsid w:val="00A44A34"/>
    <w:rsid w:val="00A44A35"/>
    <w:rsid w:val="00A44A89"/>
    <w:rsid w:val="00A44AAE"/>
    <w:rsid w:val="00A44ADF"/>
    <w:rsid w:val="00A44B28"/>
    <w:rsid w:val="00A44B68"/>
    <w:rsid w:val="00A44B6D"/>
    <w:rsid w:val="00A44BBA"/>
    <w:rsid w:val="00A44C3B"/>
    <w:rsid w:val="00A44C8C"/>
    <w:rsid w:val="00A44CDE"/>
    <w:rsid w:val="00A44D84"/>
    <w:rsid w:val="00A44DCD"/>
    <w:rsid w:val="00A44DD0"/>
    <w:rsid w:val="00A44E88"/>
    <w:rsid w:val="00A44E93"/>
    <w:rsid w:val="00A44ED2"/>
    <w:rsid w:val="00A44F0C"/>
    <w:rsid w:val="00A44F51"/>
    <w:rsid w:val="00A44FB5"/>
    <w:rsid w:val="00A44FED"/>
    <w:rsid w:val="00A45042"/>
    <w:rsid w:val="00A45074"/>
    <w:rsid w:val="00A4509B"/>
    <w:rsid w:val="00A450AB"/>
    <w:rsid w:val="00A4511B"/>
    <w:rsid w:val="00A4511E"/>
    <w:rsid w:val="00A451A9"/>
    <w:rsid w:val="00A451BF"/>
    <w:rsid w:val="00A4521D"/>
    <w:rsid w:val="00A4526E"/>
    <w:rsid w:val="00A452D9"/>
    <w:rsid w:val="00A45314"/>
    <w:rsid w:val="00A45371"/>
    <w:rsid w:val="00A45390"/>
    <w:rsid w:val="00A453A0"/>
    <w:rsid w:val="00A45416"/>
    <w:rsid w:val="00A4544F"/>
    <w:rsid w:val="00A454AC"/>
    <w:rsid w:val="00A454B7"/>
    <w:rsid w:val="00A454EB"/>
    <w:rsid w:val="00A45588"/>
    <w:rsid w:val="00A45619"/>
    <w:rsid w:val="00A45641"/>
    <w:rsid w:val="00A456AF"/>
    <w:rsid w:val="00A456B1"/>
    <w:rsid w:val="00A45708"/>
    <w:rsid w:val="00A457AE"/>
    <w:rsid w:val="00A457D7"/>
    <w:rsid w:val="00A457E5"/>
    <w:rsid w:val="00A4584F"/>
    <w:rsid w:val="00A4588F"/>
    <w:rsid w:val="00A45895"/>
    <w:rsid w:val="00A458F6"/>
    <w:rsid w:val="00A45926"/>
    <w:rsid w:val="00A4593F"/>
    <w:rsid w:val="00A459B2"/>
    <w:rsid w:val="00A459DA"/>
    <w:rsid w:val="00A459FE"/>
    <w:rsid w:val="00A45A3E"/>
    <w:rsid w:val="00A45A9A"/>
    <w:rsid w:val="00A45B0E"/>
    <w:rsid w:val="00A45B51"/>
    <w:rsid w:val="00A45B7C"/>
    <w:rsid w:val="00A45BF0"/>
    <w:rsid w:val="00A45C09"/>
    <w:rsid w:val="00A45C23"/>
    <w:rsid w:val="00A45C32"/>
    <w:rsid w:val="00A45D2A"/>
    <w:rsid w:val="00A45D7C"/>
    <w:rsid w:val="00A45DC8"/>
    <w:rsid w:val="00A45DE8"/>
    <w:rsid w:val="00A45E8B"/>
    <w:rsid w:val="00A45EA1"/>
    <w:rsid w:val="00A45EA6"/>
    <w:rsid w:val="00A45EDD"/>
    <w:rsid w:val="00A45EEE"/>
    <w:rsid w:val="00A45F04"/>
    <w:rsid w:val="00A45F3F"/>
    <w:rsid w:val="00A45FCA"/>
    <w:rsid w:val="00A45FE8"/>
    <w:rsid w:val="00A46020"/>
    <w:rsid w:val="00A4604A"/>
    <w:rsid w:val="00A460BD"/>
    <w:rsid w:val="00A460F4"/>
    <w:rsid w:val="00A460F6"/>
    <w:rsid w:val="00A4610E"/>
    <w:rsid w:val="00A46182"/>
    <w:rsid w:val="00A461AE"/>
    <w:rsid w:val="00A461CF"/>
    <w:rsid w:val="00A461D0"/>
    <w:rsid w:val="00A46289"/>
    <w:rsid w:val="00A4628D"/>
    <w:rsid w:val="00A462BE"/>
    <w:rsid w:val="00A462C9"/>
    <w:rsid w:val="00A46322"/>
    <w:rsid w:val="00A463A4"/>
    <w:rsid w:val="00A463D3"/>
    <w:rsid w:val="00A46418"/>
    <w:rsid w:val="00A46419"/>
    <w:rsid w:val="00A46452"/>
    <w:rsid w:val="00A46454"/>
    <w:rsid w:val="00A46471"/>
    <w:rsid w:val="00A464AB"/>
    <w:rsid w:val="00A46508"/>
    <w:rsid w:val="00A4650A"/>
    <w:rsid w:val="00A46568"/>
    <w:rsid w:val="00A46600"/>
    <w:rsid w:val="00A46642"/>
    <w:rsid w:val="00A46655"/>
    <w:rsid w:val="00A466CB"/>
    <w:rsid w:val="00A46700"/>
    <w:rsid w:val="00A46705"/>
    <w:rsid w:val="00A4673C"/>
    <w:rsid w:val="00A46779"/>
    <w:rsid w:val="00A46784"/>
    <w:rsid w:val="00A467AF"/>
    <w:rsid w:val="00A467DA"/>
    <w:rsid w:val="00A4687C"/>
    <w:rsid w:val="00A46888"/>
    <w:rsid w:val="00A468ED"/>
    <w:rsid w:val="00A46917"/>
    <w:rsid w:val="00A4692E"/>
    <w:rsid w:val="00A46946"/>
    <w:rsid w:val="00A469B1"/>
    <w:rsid w:val="00A469D5"/>
    <w:rsid w:val="00A469E2"/>
    <w:rsid w:val="00A46A26"/>
    <w:rsid w:val="00A46A3B"/>
    <w:rsid w:val="00A46A3F"/>
    <w:rsid w:val="00A46A78"/>
    <w:rsid w:val="00A46B0B"/>
    <w:rsid w:val="00A46B15"/>
    <w:rsid w:val="00A46B5D"/>
    <w:rsid w:val="00A46B6B"/>
    <w:rsid w:val="00A46B8A"/>
    <w:rsid w:val="00A46B91"/>
    <w:rsid w:val="00A46BB0"/>
    <w:rsid w:val="00A46BD6"/>
    <w:rsid w:val="00A46BE1"/>
    <w:rsid w:val="00A46C13"/>
    <w:rsid w:val="00A46C9D"/>
    <w:rsid w:val="00A46CAB"/>
    <w:rsid w:val="00A46D31"/>
    <w:rsid w:val="00A46D5F"/>
    <w:rsid w:val="00A46D67"/>
    <w:rsid w:val="00A46E45"/>
    <w:rsid w:val="00A46E64"/>
    <w:rsid w:val="00A46E82"/>
    <w:rsid w:val="00A46E86"/>
    <w:rsid w:val="00A46F19"/>
    <w:rsid w:val="00A46F9D"/>
    <w:rsid w:val="00A46FBC"/>
    <w:rsid w:val="00A4700B"/>
    <w:rsid w:val="00A4700E"/>
    <w:rsid w:val="00A470DD"/>
    <w:rsid w:val="00A470FF"/>
    <w:rsid w:val="00A471CB"/>
    <w:rsid w:val="00A471D4"/>
    <w:rsid w:val="00A47280"/>
    <w:rsid w:val="00A47297"/>
    <w:rsid w:val="00A472E8"/>
    <w:rsid w:val="00A472ED"/>
    <w:rsid w:val="00A472F0"/>
    <w:rsid w:val="00A47309"/>
    <w:rsid w:val="00A4732B"/>
    <w:rsid w:val="00A47363"/>
    <w:rsid w:val="00A47369"/>
    <w:rsid w:val="00A473B3"/>
    <w:rsid w:val="00A47436"/>
    <w:rsid w:val="00A47448"/>
    <w:rsid w:val="00A47493"/>
    <w:rsid w:val="00A474E3"/>
    <w:rsid w:val="00A474FF"/>
    <w:rsid w:val="00A475EE"/>
    <w:rsid w:val="00A475F0"/>
    <w:rsid w:val="00A4761C"/>
    <w:rsid w:val="00A4767F"/>
    <w:rsid w:val="00A47748"/>
    <w:rsid w:val="00A47784"/>
    <w:rsid w:val="00A47785"/>
    <w:rsid w:val="00A477B9"/>
    <w:rsid w:val="00A47816"/>
    <w:rsid w:val="00A4783D"/>
    <w:rsid w:val="00A4786D"/>
    <w:rsid w:val="00A478EC"/>
    <w:rsid w:val="00A47938"/>
    <w:rsid w:val="00A479D5"/>
    <w:rsid w:val="00A479EF"/>
    <w:rsid w:val="00A479FB"/>
    <w:rsid w:val="00A47A0B"/>
    <w:rsid w:val="00A47A90"/>
    <w:rsid w:val="00A47B0A"/>
    <w:rsid w:val="00A47B59"/>
    <w:rsid w:val="00A47B86"/>
    <w:rsid w:val="00A47B97"/>
    <w:rsid w:val="00A47BB7"/>
    <w:rsid w:val="00A47CA0"/>
    <w:rsid w:val="00A47CB8"/>
    <w:rsid w:val="00A47CCA"/>
    <w:rsid w:val="00A47CE3"/>
    <w:rsid w:val="00A47CFE"/>
    <w:rsid w:val="00A47D5B"/>
    <w:rsid w:val="00A47D79"/>
    <w:rsid w:val="00A47D7E"/>
    <w:rsid w:val="00A47D95"/>
    <w:rsid w:val="00A47DB5"/>
    <w:rsid w:val="00A47DD5"/>
    <w:rsid w:val="00A47DFB"/>
    <w:rsid w:val="00A47E4A"/>
    <w:rsid w:val="00A47ED7"/>
    <w:rsid w:val="00A47F0D"/>
    <w:rsid w:val="00A47F6D"/>
    <w:rsid w:val="00A47F95"/>
    <w:rsid w:val="00A47FB8"/>
    <w:rsid w:val="00A47FF9"/>
    <w:rsid w:val="00A50007"/>
    <w:rsid w:val="00A50029"/>
    <w:rsid w:val="00A50067"/>
    <w:rsid w:val="00A5008D"/>
    <w:rsid w:val="00A500B3"/>
    <w:rsid w:val="00A500EE"/>
    <w:rsid w:val="00A501E8"/>
    <w:rsid w:val="00A5024D"/>
    <w:rsid w:val="00A50285"/>
    <w:rsid w:val="00A502B3"/>
    <w:rsid w:val="00A502DA"/>
    <w:rsid w:val="00A50318"/>
    <w:rsid w:val="00A5033B"/>
    <w:rsid w:val="00A50355"/>
    <w:rsid w:val="00A50371"/>
    <w:rsid w:val="00A503B8"/>
    <w:rsid w:val="00A503BE"/>
    <w:rsid w:val="00A50428"/>
    <w:rsid w:val="00A50429"/>
    <w:rsid w:val="00A50442"/>
    <w:rsid w:val="00A5045D"/>
    <w:rsid w:val="00A50461"/>
    <w:rsid w:val="00A504CF"/>
    <w:rsid w:val="00A504FF"/>
    <w:rsid w:val="00A5056A"/>
    <w:rsid w:val="00A50576"/>
    <w:rsid w:val="00A50578"/>
    <w:rsid w:val="00A50590"/>
    <w:rsid w:val="00A505BE"/>
    <w:rsid w:val="00A505D3"/>
    <w:rsid w:val="00A50723"/>
    <w:rsid w:val="00A5072B"/>
    <w:rsid w:val="00A50761"/>
    <w:rsid w:val="00A507C9"/>
    <w:rsid w:val="00A507D7"/>
    <w:rsid w:val="00A507E8"/>
    <w:rsid w:val="00A507F1"/>
    <w:rsid w:val="00A507FB"/>
    <w:rsid w:val="00A50850"/>
    <w:rsid w:val="00A50862"/>
    <w:rsid w:val="00A50866"/>
    <w:rsid w:val="00A508DB"/>
    <w:rsid w:val="00A508FB"/>
    <w:rsid w:val="00A508FC"/>
    <w:rsid w:val="00A5090F"/>
    <w:rsid w:val="00A50995"/>
    <w:rsid w:val="00A509EC"/>
    <w:rsid w:val="00A50ABD"/>
    <w:rsid w:val="00A50B52"/>
    <w:rsid w:val="00A50B60"/>
    <w:rsid w:val="00A50B77"/>
    <w:rsid w:val="00A50BFC"/>
    <w:rsid w:val="00A50C0E"/>
    <w:rsid w:val="00A50C17"/>
    <w:rsid w:val="00A50CBB"/>
    <w:rsid w:val="00A50CD7"/>
    <w:rsid w:val="00A50CE0"/>
    <w:rsid w:val="00A50CF5"/>
    <w:rsid w:val="00A50D22"/>
    <w:rsid w:val="00A50D64"/>
    <w:rsid w:val="00A50D91"/>
    <w:rsid w:val="00A50D93"/>
    <w:rsid w:val="00A50D9C"/>
    <w:rsid w:val="00A50DBA"/>
    <w:rsid w:val="00A50E0E"/>
    <w:rsid w:val="00A50E1F"/>
    <w:rsid w:val="00A50E34"/>
    <w:rsid w:val="00A50E51"/>
    <w:rsid w:val="00A50EA7"/>
    <w:rsid w:val="00A50EDE"/>
    <w:rsid w:val="00A50F24"/>
    <w:rsid w:val="00A50F28"/>
    <w:rsid w:val="00A50F63"/>
    <w:rsid w:val="00A50F6A"/>
    <w:rsid w:val="00A50F7E"/>
    <w:rsid w:val="00A50F9E"/>
    <w:rsid w:val="00A51055"/>
    <w:rsid w:val="00A51081"/>
    <w:rsid w:val="00A510B9"/>
    <w:rsid w:val="00A5115F"/>
    <w:rsid w:val="00A5117A"/>
    <w:rsid w:val="00A5118C"/>
    <w:rsid w:val="00A51242"/>
    <w:rsid w:val="00A51305"/>
    <w:rsid w:val="00A5134E"/>
    <w:rsid w:val="00A513D7"/>
    <w:rsid w:val="00A513EF"/>
    <w:rsid w:val="00A513F5"/>
    <w:rsid w:val="00A51409"/>
    <w:rsid w:val="00A5141C"/>
    <w:rsid w:val="00A51437"/>
    <w:rsid w:val="00A5145A"/>
    <w:rsid w:val="00A514F2"/>
    <w:rsid w:val="00A5150D"/>
    <w:rsid w:val="00A5151C"/>
    <w:rsid w:val="00A5151E"/>
    <w:rsid w:val="00A51538"/>
    <w:rsid w:val="00A5158F"/>
    <w:rsid w:val="00A515E2"/>
    <w:rsid w:val="00A51611"/>
    <w:rsid w:val="00A516CF"/>
    <w:rsid w:val="00A5172A"/>
    <w:rsid w:val="00A517AF"/>
    <w:rsid w:val="00A5183D"/>
    <w:rsid w:val="00A51862"/>
    <w:rsid w:val="00A5186A"/>
    <w:rsid w:val="00A5186D"/>
    <w:rsid w:val="00A518AE"/>
    <w:rsid w:val="00A518D8"/>
    <w:rsid w:val="00A51934"/>
    <w:rsid w:val="00A51970"/>
    <w:rsid w:val="00A519CA"/>
    <w:rsid w:val="00A519EC"/>
    <w:rsid w:val="00A51A00"/>
    <w:rsid w:val="00A51A13"/>
    <w:rsid w:val="00A51A16"/>
    <w:rsid w:val="00A51B50"/>
    <w:rsid w:val="00A51B7E"/>
    <w:rsid w:val="00A51B96"/>
    <w:rsid w:val="00A51BAC"/>
    <w:rsid w:val="00A51BFE"/>
    <w:rsid w:val="00A51C2C"/>
    <w:rsid w:val="00A51C41"/>
    <w:rsid w:val="00A51C54"/>
    <w:rsid w:val="00A51CC5"/>
    <w:rsid w:val="00A51CE1"/>
    <w:rsid w:val="00A51D1C"/>
    <w:rsid w:val="00A51D75"/>
    <w:rsid w:val="00A51D99"/>
    <w:rsid w:val="00A51DAC"/>
    <w:rsid w:val="00A51DCD"/>
    <w:rsid w:val="00A51E29"/>
    <w:rsid w:val="00A51ECD"/>
    <w:rsid w:val="00A51EF9"/>
    <w:rsid w:val="00A51F31"/>
    <w:rsid w:val="00A51F3B"/>
    <w:rsid w:val="00A51F41"/>
    <w:rsid w:val="00A51FFB"/>
    <w:rsid w:val="00A5202F"/>
    <w:rsid w:val="00A52041"/>
    <w:rsid w:val="00A52065"/>
    <w:rsid w:val="00A5206E"/>
    <w:rsid w:val="00A5208F"/>
    <w:rsid w:val="00A5209F"/>
    <w:rsid w:val="00A520F0"/>
    <w:rsid w:val="00A520FA"/>
    <w:rsid w:val="00A520FD"/>
    <w:rsid w:val="00A52162"/>
    <w:rsid w:val="00A52166"/>
    <w:rsid w:val="00A521DE"/>
    <w:rsid w:val="00A5220A"/>
    <w:rsid w:val="00A52210"/>
    <w:rsid w:val="00A5224B"/>
    <w:rsid w:val="00A522BB"/>
    <w:rsid w:val="00A522FB"/>
    <w:rsid w:val="00A523A1"/>
    <w:rsid w:val="00A523E8"/>
    <w:rsid w:val="00A523E9"/>
    <w:rsid w:val="00A5240C"/>
    <w:rsid w:val="00A5241A"/>
    <w:rsid w:val="00A52479"/>
    <w:rsid w:val="00A5249D"/>
    <w:rsid w:val="00A524FA"/>
    <w:rsid w:val="00A5256B"/>
    <w:rsid w:val="00A525D6"/>
    <w:rsid w:val="00A525E1"/>
    <w:rsid w:val="00A525EA"/>
    <w:rsid w:val="00A5261E"/>
    <w:rsid w:val="00A52646"/>
    <w:rsid w:val="00A52657"/>
    <w:rsid w:val="00A5268B"/>
    <w:rsid w:val="00A526E3"/>
    <w:rsid w:val="00A526E7"/>
    <w:rsid w:val="00A526F6"/>
    <w:rsid w:val="00A526FB"/>
    <w:rsid w:val="00A52703"/>
    <w:rsid w:val="00A52758"/>
    <w:rsid w:val="00A5278C"/>
    <w:rsid w:val="00A527D7"/>
    <w:rsid w:val="00A52826"/>
    <w:rsid w:val="00A52889"/>
    <w:rsid w:val="00A528B4"/>
    <w:rsid w:val="00A52919"/>
    <w:rsid w:val="00A52931"/>
    <w:rsid w:val="00A52937"/>
    <w:rsid w:val="00A5296E"/>
    <w:rsid w:val="00A52A4B"/>
    <w:rsid w:val="00A52AA6"/>
    <w:rsid w:val="00A52AA8"/>
    <w:rsid w:val="00A52AB5"/>
    <w:rsid w:val="00A52B16"/>
    <w:rsid w:val="00A52B6E"/>
    <w:rsid w:val="00A52BED"/>
    <w:rsid w:val="00A52BEE"/>
    <w:rsid w:val="00A52D01"/>
    <w:rsid w:val="00A52D09"/>
    <w:rsid w:val="00A52D11"/>
    <w:rsid w:val="00A52D5A"/>
    <w:rsid w:val="00A52D5E"/>
    <w:rsid w:val="00A52D9D"/>
    <w:rsid w:val="00A52DAA"/>
    <w:rsid w:val="00A52DBB"/>
    <w:rsid w:val="00A52DCF"/>
    <w:rsid w:val="00A52DFD"/>
    <w:rsid w:val="00A52E24"/>
    <w:rsid w:val="00A52E50"/>
    <w:rsid w:val="00A52E78"/>
    <w:rsid w:val="00A52E7C"/>
    <w:rsid w:val="00A52F0E"/>
    <w:rsid w:val="00A52FCE"/>
    <w:rsid w:val="00A52FE2"/>
    <w:rsid w:val="00A52FFF"/>
    <w:rsid w:val="00A53016"/>
    <w:rsid w:val="00A5302D"/>
    <w:rsid w:val="00A530B6"/>
    <w:rsid w:val="00A53141"/>
    <w:rsid w:val="00A53147"/>
    <w:rsid w:val="00A53160"/>
    <w:rsid w:val="00A53164"/>
    <w:rsid w:val="00A5316A"/>
    <w:rsid w:val="00A531CF"/>
    <w:rsid w:val="00A53211"/>
    <w:rsid w:val="00A532A0"/>
    <w:rsid w:val="00A532D5"/>
    <w:rsid w:val="00A5334A"/>
    <w:rsid w:val="00A533A9"/>
    <w:rsid w:val="00A5341B"/>
    <w:rsid w:val="00A53424"/>
    <w:rsid w:val="00A534A9"/>
    <w:rsid w:val="00A534C8"/>
    <w:rsid w:val="00A534D5"/>
    <w:rsid w:val="00A5351B"/>
    <w:rsid w:val="00A53522"/>
    <w:rsid w:val="00A53543"/>
    <w:rsid w:val="00A53558"/>
    <w:rsid w:val="00A5356D"/>
    <w:rsid w:val="00A5358A"/>
    <w:rsid w:val="00A535A2"/>
    <w:rsid w:val="00A535C6"/>
    <w:rsid w:val="00A535E8"/>
    <w:rsid w:val="00A5364D"/>
    <w:rsid w:val="00A53671"/>
    <w:rsid w:val="00A53681"/>
    <w:rsid w:val="00A53686"/>
    <w:rsid w:val="00A53725"/>
    <w:rsid w:val="00A53797"/>
    <w:rsid w:val="00A537A2"/>
    <w:rsid w:val="00A53835"/>
    <w:rsid w:val="00A53880"/>
    <w:rsid w:val="00A538E8"/>
    <w:rsid w:val="00A53956"/>
    <w:rsid w:val="00A5396C"/>
    <w:rsid w:val="00A539E5"/>
    <w:rsid w:val="00A539E9"/>
    <w:rsid w:val="00A53A01"/>
    <w:rsid w:val="00A53A30"/>
    <w:rsid w:val="00A53A44"/>
    <w:rsid w:val="00A53A48"/>
    <w:rsid w:val="00A53A79"/>
    <w:rsid w:val="00A53A82"/>
    <w:rsid w:val="00A53AC7"/>
    <w:rsid w:val="00A53AD0"/>
    <w:rsid w:val="00A53B29"/>
    <w:rsid w:val="00A53B9B"/>
    <w:rsid w:val="00A53BCF"/>
    <w:rsid w:val="00A53BDA"/>
    <w:rsid w:val="00A53C22"/>
    <w:rsid w:val="00A53C54"/>
    <w:rsid w:val="00A53C5B"/>
    <w:rsid w:val="00A53C81"/>
    <w:rsid w:val="00A53C82"/>
    <w:rsid w:val="00A53D22"/>
    <w:rsid w:val="00A53D7A"/>
    <w:rsid w:val="00A53E18"/>
    <w:rsid w:val="00A53E27"/>
    <w:rsid w:val="00A53E81"/>
    <w:rsid w:val="00A53E9C"/>
    <w:rsid w:val="00A53ED5"/>
    <w:rsid w:val="00A53ED6"/>
    <w:rsid w:val="00A53F2D"/>
    <w:rsid w:val="00A53F64"/>
    <w:rsid w:val="00A54048"/>
    <w:rsid w:val="00A54050"/>
    <w:rsid w:val="00A54054"/>
    <w:rsid w:val="00A54060"/>
    <w:rsid w:val="00A540C4"/>
    <w:rsid w:val="00A540F5"/>
    <w:rsid w:val="00A54151"/>
    <w:rsid w:val="00A5419C"/>
    <w:rsid w:val="00A541A0"/>
    <w:rsid w:val="00A541A6"/>
    <w:rsid w:val="00A541C9"/>
    <w:rsid w:val="00A541E0"/>
    <w:rsid w:val="00A542AC"/>
    <w:rsid w:val="00A54499"/>
    <w:rsid w:val="00A5449A"/>
    <w:rsid w:val="00A544AA"/>
    <w:rsid w:val="00A544B7"/>
    <w:rsid w:val="00A5451B"/>
    <w:rsid w:val="00A545B9"/>
    <w:rsid w:val="00A5463C"/>
    <w:rsid w:val="00A5467D"/>
    <w:rsid w:val="00A546B8"/>
    <w:rsid w:val="00A546F1"/>
    <w:rsid w:val="00A54712"/>
    <w:rsid w:val="00A5473F"/>
    <w:rsid w:val="00A54814"/>
    <w:rsid w:val="00A5483B"/>
    <w:rsid w:val="00A54868"/>
    <w:rsid w:val="00A54881"/>
    <w:rsid w:val="00A548F0"/>
    <w:rsid w:val="00A54901"/>
    <w:rsid w:val="00A54952"/>
    <w:rsid w:val="00A549C5"/>
    <w:rsid w:val="00A549E5"/>
    <w:rsid w:val="00A54A0E"/>
    <w:rsid w:val="00A54A12"/>
    <w:rsid w:val="00A54A1A"/>
    <w:rsid w:val="00A54A35"/>
    <w:rsid w:val="00A54A5C"/>
    <w:rsid w:val="00A54AA1"/>
    <w:rsid w:val="00A54AAB"/>
    <w:rsid w:val="00A54ABA"/>
    <w:rsid w:val="00A54AF0"/>
    <w:rsid w:val="00A54B4B"/>
    <w:rsid w:val="00A54BD1"/>
    <w:rsid w:val="00A54C48"/>
    <w:rsid w:val="00A54C6C"/>
    <w:rsid w:val="00A54C83"/>
    <w:rsid w:val="00A54C87"/>
    <w:rsid w:val="00A54C88"/>
    <w:rsid w:val="00A54CAA"/>
    <w:rsid w:val="00A54D06"/>
    <w:rsid w:val="00A54D22"/>
    <w:rsid w:val="00A54D69"/>
    <w:rsid w:val="00A54D82"/>
    <w:rsid w:val="00A54DD6"/>
    <w:rsid w:val="00A54E00"/>
    <w:rsid w:val="00A54E51"/>
    <w:rsid w:val="00A54E77"/>
    <w:rsid w:val="00A54ED2"/>
    <w:rsid w:val="00A54F50"/>
    <w:rsid w:val="00A54FBE"/>
    <w:rsid w:val="00A55024"/>
    <w:rsid w:val="00A5506A"/>
    <w:rsid w:val="00A5507B"/>
    <w:rsid w:val="00A5512F"/>
    <w:rsid w:val="00A551E4"/>
    <w:rsid w:val="00A55240"/>
    <w:rsid w:val="00A55267"/>
    <w:rsid w:val="00A552AF"/>
    <w:rsid w:val="00A55391"/>
    <w:rsid w:val="00A553C5"/>
    <w:rsid w:val="00A553DB"/>
    <w:rsid w:val="00A5543E"/>
    <w:rsid w:val="00A55481"/>
    <w:rsid w:val="00A55554"/>
    <w:rsid w:val="00A55562"/>
    <w:rsid w:val="00A55573"/>
    <w:rsid w:val="00A5558C"/>
    <w:rsid w:val="00A555D7"/>
    <w:rsid w:val="00A55605"/>
    <w:rsid w:val="00A55654"/>
    <w:rsid w:val="00A5566D"/>
    <w:rsid w:val="00A556B3"/>
    <w:rsid w:val="00A55703"/>
    <w:rsid w:val="00A5570A"/>
    <w:rsid w:val="00A557D2"/>
    <w:rsid w:val="00A557D6"/>
    <w:rsid w:val="00A557F3"/>
    <w:rsid w:val="00A5580A"/>
    <w:rsid w:val="00A558F4"/>
    <w:rsid w:val="00A55949"/>
    <w:rsid w:val="00A55981"/>
    <w:rsid w:val="00A559D0"/>
    <w:rsid w:val="00A55A11"/>
    <w:rsid w:val="00A55A6D"/>
    <w:rsid w:val="00A55B4A"/>
    <w:rsid w:val="00A55B8D"/>
    <w:rsid w:val="00A55BA9"/>
    <w:rsid w:val="00A55BC7"/>
    <w:rsid w:val="00A55BE5"/>
    <w:rsid w:val="00A55BF5"/>
    <w:rsid w:val="00A55C0D"/>
    <w:rsid w:val="00A55C19"/>
    <w:rsid w:val="00A55C32"/>
    <w:rsid w:val="00A55C35"/>
    <w:rsid w:val="00A55CD6"/>
    <w:rsid w:val="00A55CD7"/>
    <w:rsid w:val="00A55D38"/>
    <w:rsid w:val="00A55D5B"/>
    <w:rsid w:val="00A55D6E"/>
    <w:rsid w:val="00A55D76"/>
    <w:rsid w:val="00A55DCA"/>
    <w:rsid w:val="00A55DF3"/>
    <w:rsid w:val="00A55E12"/>
    <w:rsid w:val="00A55E26"/>
    <w:rsid w:val="00A55E2E"/>
    <w:rsid w:val="00A55EC1"/>
    <w:rsid w:val="00A55EDB"/>
    <w:rsid w:val="00A55F28"/>
    <w:rsid w:val="00A55F47"/>
    <w:rsid w:val="00A55F89"/>
    <w:rsid w:val="00A55F99"/>
    <w:rsid w:val="00A55FCD"/>
    <w:rsid w:val="00A55FD2"/>
    <w:rsid w:val="00A56010"/>
    <w:rsid w:val="00A56016"/>
    <w:rsid w:val="00A56024"/>
    <w:rsid w:val="00A56095"/>
    <w:rsid w:val="00A560BD"/>
    <w:rsid w:val="00A560D6"/>
    <w:rsid w:val="00A560EA"/>
    <w:rsid w:val="00A56111"/>
    <w:rsid w:val="00A56126"/>
    <w:rsid w:val="00A5618B"/>
    <w:rsid w:val="00A56190"/>
    <w:rsid w:val="00A56223"/>
    <w:rsid w:val="00A5626A"/>
    <w:rsid w:val="00A56283"/>
    <w:rsid w:val="00A562F5"/>
    <w:rsid w:val="00A562FA"/>
    <w:rsid w:val="00A5632E"/>
    <w:rsid w:val="00A56345"/>
    <w:rsid w:val="00A5635F"/>
    <w:rsid w:val="00A56396"/>
    <w:rsid w:val="00A5639F"/>
    <w:rsid w:val="00A563B2"/>
    <w:rsid w:val="00A5641E"/>
    <w:rsid w:val="00A56464"/>
    <w:rsid w:val="00A564A3"/>
    <w:rsid w:val="00A564B8"/>
    <w:rsid w:val="00A56513"/>
    <w:rsid w:val="00A5652D"/>
    <w:rsid w:val="00A56565"/>
    <w:rsid w:val="00A56602"/>
    <w:rsid w:val="00A566E7"/>
    <w:rsid w:val="00A56748"/>
    <w:rsid w:val="00A56771"/>
    <w:rsid w:val="00A567AE"/>
    <w:rsid w:val="00A567C9"/>
    <w:rsid w:val="00A5680A"/>
    <w:rsid w:val="00A56826"/>
    <w:rsid w:val="00A5683B"/>
    <w:rsid w:val="00A568CD"/>
    <w:rsid w:val="00A568CF"/>
    <w:rsid w:val="00A569D4"/>
    <w:rsid w:val="00A56A6B"/>
    <w:rsid w:val="00A56A74"/>
    <w:rsid w:val="00A56A7A"/>
    <w:rsid w:val="00A56A80"/>
    <w:rsid w:val="00A56A9B"/>
    <w:rsid w:val="00A56ADD"/>
    <w:rsid w:val="00A56AFE"/>
    <w:rsid w:val="00A56B04"/>
    <w:rsid w:val="00A56B23"/>
    <w:rsid w:val="00A56B33"/>
    <w:rsid w:val="00A56B55"/>
    <w:rsid w:val="00A56BDE"/>
    <w:rsid w:val="00A56C6C"/>
    <w:rsid w:val="00A56C97"/>
    <w:rsid w:val="00A56CF1"/>
    <w:rsid w:val="00A56D41"/>
    <w:rsid w:val="00A56D88"/>
    <w:rsid w:val="00A56DBD"/>
    <w:rsid w:val="00A56E6F"/>
    <w:rsid w:val="00A56E73"/>
    <w:rsid w:val="00A56E9F"/>
    <w:rsid w:val="00A56EC2"/>
    <w:rsid w:val="00A56EF3"/>
    <w:rsid w:val="00A56FAA"/>
    <w:rsid w:val="00A56FB5"/>
    <w:rsid w:val="00A56FE9"/>
    <w:rsid w:val="00A57010"/>
    <w:rsid w:val="00A57027"/>
    <w:rsid w:val="00A570A4"/>
    <w:rsid w:val="00A570DD"/>
    <w:rsid w:val="00A57108"/>
    <w:rsid w:val="00A5710C"/>
    <w:rsid w:val="00A57186"/>
    <w:rsid w:val="00A5721B"/>
    <w:rsid w:val="00A572C4"/>
    <w:rsid w:val="00A572D9"/>
    <w:rsid w:val="00A57315"/>
    <w:rsid w:val="00A57367"/>
    <w:rsid w:val="00A57389"/>
    <w:rsid w:val="00A573ED"/>
    <w:rsid w:val="00A573F0"/>
    <w:rsid w:val="00A574B5"/>
    <w:rsid w:val="00A574D8"/>
    <w:rsid w:val="00A574E9"/>
    <w:rsid w:val="00A574EB"/>
    <w:rsid w:val="00A5751F"/>
    <w:rsid w:val="00A5752A"/>
    <w:rsid w:val="00A57533"/>
    <w:rsid w:val="00A5754B"/>
    <w:rsid w:val="00A57560"/>
    <w:rsid w:val="00A5757B"/>
    <w:rsid w:val="00A575E5"/>
    <w:rsid w:val="00A575E8"/>
    <w:rsid w:val="00A5762F"/>
    <w:rsid w:val="00A5768B"/>
    <w:rsid w:val="00A57691"/>
    <w:rsid w:val="00A576BB"/>
    <w:rsid w:val="00A5771E"/>
    <w:rsid w:val="00A57722"/>
    <w:rsid w:val="00A57733"/>
    <w:rsid w:val="00A57788"/>
    <w:rsid w:val="00A577BF"/>
    <w:rsid w:val="00A577EC"/>
    <w:rsid w:val="00A57869"/>
    <w:rsid w:val="00A57891"/>
    <w:rsid w:val="00A579CF"/>
    <w:rsid w:val="00A579D3"/>
    <w:rsid w:val="00A57A75"/>
    <w:rsid w:val="00A57A7B"/>
    <w:rsid w:val="00A57A9D"/>
    <w:rsid w:val="00A57AF1"/>
    <w:rsid w:val="00A57B2C"/>
    <w:rsid w:val="00A57B8D"/>
    <w:rsid w:val="00A57BB1"/>
    <w:rsid w:val="00A57BE0"/>
    <w:rsid w:val="00A57C0E"/>
    <w:rsid w:val="00A57C93"/>
    <w:rsid w:val="00A57CBE"/>
    <w:rsid w:val="00A57D31"/>
    <w:rsid w:val="00A57D37"/>
    <w:rsid w:val="00A57D84"/>
    <w:rsid w:val="00A57E2F"/>
    <w:rsid w:val="00A57E7B"/>
    <w:rsid w:val="00A57ED4"/>
    <w:rsid w:val="00A57EDC"/>
    <w:rsid w:val="00A57EDD"/>
    <w:rsid w:val="00A57F3F"/>
    <w:rsid w:val="00A57F7F"/>
    <w:rsid w:val="00A57FFA"/>
    <w:rsid w:val="00A6003C"/>
    <w:rsid w:val="00A601A6"/>
    <w:rsid w:val="00A6027C"/>
    <w:rsid w:val="00A602D4"/>
    <w:rsid w:val="00A602D9"/>
    <w:rsid w:val="00A60310"/>
    <w:rsid w:val="00A6031C"/>
    <w:rsid w:val="00A6032A"/>
    <w:rsid w:val="00A6036B"/>
    <w:rsid w:val="00A6036C"/>
    <w:rsid w:val="00A6036E"/>
    <w:rsid w:val="00A603DF"/>
    <w:rsid w:val="00A603F9"/>
    <w:rsid w:val="00A6042E"/>
    <w:rsid w:val="00A6042F"/>
    <w:rsid w:val="00A6047D"/>
    <w:rsid w:val="00A6049D"/>
    <w:rsid w:val="00A604B5"/>
    <w:rsid w:val="00A604B8"/>
    <w:rsid w:val="00A606A4"/>
    <w:rsid w:val="00A6071B"/>
    <w:rsid w:val="00A6073F"/>
    <w:rsid w:val="00A60753"/>
    <w:rsid w:val="00A607E6"/>
    <w:rsid w:val="00A60825"/>
    <w:rsid w:val="00A60868"/>
    <w:rsid w:val="00A60869"/>
    <w:rsid w:val="00A6086B"/>
    <w:rsid w:val="00A60870"/>
    <w:rsid w:val="00A60882"/>
    <w:rsid w:val="00A60956"/>
    <w:rsid w:val="00A609DE"/>
    <w:rsid w:val="00A60A12"/>
    <w:rsid w:val="00A60A4B"/>
    <w:rsid w:val="00A60A63"/>
    <w:rsid w:val="00A60A6E"/>
    <w:rsid w:val="00A60B31"/>
    <w:rsid w:val="00A60B8F"/>
    <w:rsid w:val="00A60BC4"/>
    <w:rsid w:val="00A60BF0"/>
    <w:rsid w:val="00A60BF8"/>
    <w:rsid w:val="00A60C30"/>
    <w:rsid w:val="00A60C39"/>
    <w:rsid w:val="00A60C68"/>
    <w:rsid w:val="00A60CF9"/>
    <w:rsid w:val="00A60D3A"/>
    <w:rsid w:val="00A60DC7"/>
    <w:rsid w:val="00A60DDC"/>
    <w:rsid w:val="00A60DEE"/>
    <w:rsid w:val="00A60E87"/>
    <w:rsid w:val="00A60EC0"/>
    <w:rsid w:val="00A60F1B"/>
    <w:rsid w:val="00A60FF1"/>
    <w:rsid w:val="00A6104E"/>
    <w:rsid w:val="00A61056"/>
    <w:rsid w:val="00A6107F"/>
    <w:rsid w:val="00A61097"/>
    <w:rsid w:val="00A610C0"/>
    <w:rsid w:val="00A611ED"/>
    <w:rsid w:val="00A611F2"/>
    <w:rsid w:val="00A611F8"/>
    <w:rsid w:val="00A61205"/>
    <w:rsid w:val="00A6122A"/>
    <w:rsid w:val="00A61246"/>
    <w:rsid w:val="00A61282"/>
    <w:rsid w:val="00A612A3"/>
    <w:rsid w:val="00A61375"/>
    <w:rsid w:val="00A6137E"/>
    <w:rsid w:val="00A613BF"/>
    <w:rsid w:val="00A613D7"/>
    <w:rsid w:val="00A613F5"/>
    <w:rsid w:val="00A614B8"/>
    <w:rsid w:val="00A614BC"/>
    <w:rsid w:val="00A614CA"/>
    <w:rsid w:val="00A614D6"/>
    <w:rsid w:val="00A614F6"/>
    <w:rsid w:val="00A61516"/>
    <w:rsid w:val="00A6153E"/>
    <w:rsid w:val="00A615A5"/>
    <w:rsid w:val="00A615AC"/>
    <w:rsid w:val="00A615B2"/>
    <w:rsid w:val="00A615EB"/>
    <w:rsid w:val="00A61633"/>
    <w:rsid w:val="00A61686"/>
    <w:rsid w:val="00A6168E"/>
    <w:rsid w:val="00A61690"/>
    <w:rsid w:val="00A61697"/>
    <w:rsid w:val="00A61761"/>
    <w:rsid w:val="00A61770"/>
    <w:rsid w:val="00A61773"/>
    <w:rsid w:val="00A6178F"/>
    <w:rsid w:val="00A617D3"/>
    <w:rsid w:val="00A617DA"/>
    <w:rsid w:val="00A61809"/>
    <w:rsid w:val="00A6184B"/>
    <w:rsid w:val="00A61967"/>
    <w:rsid w:val="00A619E9"/>
    <w:rsid w:val="00A619FF"/>
    <w:rsid w:val="00A61A3A"/>
    <w:rsid w:val="00A61A52"/>
    <w:rsid w:val="00A61A8B"/>
    <w:rsid w:val="00A61B6E"/>
    <w:rsid w:val="00A61BC2"/>
    <w:rsid w:val="00A61BCD"/>
    <w:rsid w:val="00A61C0B"/>
    <w:rsid w:val="00A61C20"/>
    <w:rsid w:val="00A61C52"/>
    <w:rsid w:val="00A61C73"/>
    <w:rsid w:val="00A61C85"/>
    <w:rsid w:val="00A61D94"/>
    <w:rsid w:val="00A61DCE"/>
    <w:rsid w:val="00A61DD7"/>
    <w:rsid w:val="00A61DEF"/>
    <w:rsid w:val="00A61E27"/>
    <w:rsid w:val="00A61E5A"/>
    <w:rsid w:val="00A61EA9"/>
    <w:rsid w:val="00A61F35"/>
    <w:rsid w:val="00A61FC7"/>
    <w:rsid w:val="00A61FE5"/>
    <w:rsid w:val="00A62054"/>
    <w:rsid w:val="00A62094"/>
    <w:rsid w:val="00A620B3"/>
    <w:rsid w:val="00A620FA"/>
    <w:rsid w:val="00A6214E"/>
    <w:rsid w:val="00A621A3"/>
    <w:rsid w:val="00A62294"/>
    <w:rsid w:val="00A622DD"/>
    <w:rsid w:val="00A622E0"/>
    <w:rsid w:val="00A622E4"/>
    <w:rsid w:val="00A622EE"/>
    <w:rsid w:val="00A6235B"/>
    <w:rsid w:val="00A623A9"/>
    <w:rsid w:val="00A62442"/>
    <w:rsid w:val="00A6250F"/>
    <w:rsid w:val="00A62590"/>
    <w:rsid w:val="00A625D3"/>
    <w:rsid w:val="00A625FB"/>
    <w:rsid w:val="00A625FD"/>
    <w:rsid w:val="00A6262B"/>
    <w:rsid w:val="00A62654"/>
    <w:rsid w:val="00A62671"/>
    <w:rsid w:val="00A626D4"/>
    <w:rsid w:val="00A626D7"/>
    <w:rsid w:val="00A626EA"/>
    <w:rsid w:val="00A626F9"/>
    <w:rsid w:val="00A627C9"/>
    <w:rsid w:val="00A627DC"/>
    <w:rsid w:val="00A6282A"/>
    <w:rsid w:val="00A62853"/>
    <w:rsid w:val="00A628CF"/>
    <w:rsid w:val="00A629B9"/>
    <w:rsid w:val="00A629CC"/>
    <w:rsid w:val="00A62A55"/>
    <w:rsid w:val="00A62A8F"/>
    <w:rsid w:val="00A62ABD"/>
    <w:rsid w:val="00A62AE0"/>
    <w:rsid w:val="00A62AE1"/>
    <w:rsid w:val="00A62B72"/>
    <w:rsid w:val="00A62B78"/>
    <w:rsid w:val="00A62B88"/>
    <w:rsid w:val="00A62B9F"/>
    <w:rsid w:val="00A62C09"/>
    <w:rsid w:val="00A62C22"/>
    <w:rsid w:val="00A62C92"/>
    <w:rsid w:val="00A62C98"/>
    <w:rsid w:val="00A62D00"/>
    <w:rsid w:val="00A62D9E"/>
    <w:rsid w:val="00A62DCD"/>
    <w:rsid w:val="00A62E0A"/>
    <w:rsid w:val="00A62E0D"/>
    <w:rsid w:val="00A62E3C"/>
    <w:rsid w:val="00A62E6E"/>
    <w:rsid w:val="00A62E84"/>
    <w:rsid w:val="00A62E9B"/>
    <w:rsid w:val="00A62F31"/>
    <w:rsid w:val="00A62F6E"/>
    <w:rsid w:val="00A62FA7"/>
    <w:rsid w:val="00A63046"/>
    <w:rsid w:val="00A6305C"/>
    <w:rsid w:val="00A6306F"/>
    <w:rsid w:val="00A63082"/>
    <w:rsid w:val="00A630E7"/>
    <w:rsid w:val="00A6312B"/>
    <w:rsid w:val="00A6312C"/>
    <w:rsid w:val="00A63160"/>
    <w:rsid w:val="00A6323C"/>
    <w:rsid w:val="00A63241"/>
    <w:rsid w:val="00A6325E"/>
    <w:rsid w:val="00A63267"/>
    <w:rsid w:val="00A6326C"/>
    <w:rsid w:val="00A6329B"/>
    <w:rsid w:val="00A632EE"/>
    <w:rsid w:val="00A63309"/>
    <w:rsid w:val="00A63333"/>
    <w:rsid w:val="00A6333B"/>
    <w:rsid w:val="00A63372"/>
    <w:rsid w:val="00A633A1"/>
    <w:rsid w:val="00A633F0"/>
    <w:rsid w:val="00A63453"/>
    <w:rsid w:val="00A63485"/>
    <w:rsid w:val="00A634A4"/>
    <w:rsid w:val="00A634A6"/>
    <w:rsid w:val="00A63530"/>
    <w:rsid w:val="00A63592"/>
    <w:rsid w:val="00A635C7"/>
    <w:rsid w:val="00A6368E"/>
    <w:rsid w:val="00A636E0"/>
    <w:rsid w:val="00A63711"/>
    <w:rsid w:val="00A63725"/>
    <w:rsid w:val="00A63754"/>
    <w:rsid w:val="00A6376F"/>
    <w:rsid w:val="00A637E7"/>
    <w:rsid w:val="00A63823"/>
    <w:rsid w:val="00A638D7"/>
    <w:rsid w:val="00A638EF"/>
    <w:rsid w:val="00A63931"/>
    <w:rsid w:val="00A6394E"/>
    <w:rsid w:val="00A63954"/>
    <w:rsid w:val="00A63961"/>
    <w:rsid w:val="00A6399E"/>
    <w:rsid w:val="00A639BE"/>
    <w:rsid w:val="00A639C2"/>
    <w:rsid w:val="00A639D7"/>
    <w:rsid w:val="00A639E0"/>
    <w:rsid w:val="00A63A06"/>
    <w:rsid w:val="00A63A17"/>
    <w:rsid w:val="00A63B6F"/>
    <w:rsid w:val="00A63B95"/>
    <w:rsid w:val="00A63BB8"/>
    <w:rsid w:val="00A63CA8"/>
    <w:rsid w:val="00A63CBA"/>
    <w:rsid w:val="00A63D1C"/>
    <w:rsid w:val="00A63D3B"/>
    <w:rsid w:val="00A63D61"/>
    <w:rsid w:val="00A63E04"/>
    <w:rsid w:val="00A63E8E"/>
    <w:rsid w:val="00A63F1B"/>
    <w:rsid w:val="00A63F3F"/>
    <w:rsid w:val="00A63F60"/>
    <w:rsid w:val="00A63F7A"/>
    <w:rsid w:val="00A64065"/>
    <w:rsid w:val="00A6408C"/>
    <w:rsid w:val="00A640B4"/>
    <w:rsid w:val="00A64116"/>
    <w:rsid w:val="00A64136"/>
    <w:rsid w:val="00A6413E"/>
    <w:rsid w:val="00A6414B"/>
    <w:rsid w:val="00A64176"/>
    <w:rsid w:val="00A641CD"/>
    <w:rsid w:val="00A6420B"/>
    <w:rsid w:val="00A64263"/>
    <w:rsid w:val="00A64266"/>
    <w:rsid w:val="00A64283"/>
    <w:rsid w:val="00A642AB"/>
    <w:rsid w:val="00A642D5"/>
    <w:rsid w:val="00A64310"/>
    <w:rsid w:val="00A64363"/>
    <w:rsid w:val="00A643A3"/>
    <w:rsid w:val="00A643A7"/>
    <w:rsid w:val="00A643A8"/>
    <w:rsid w:val="00A64401"/>
    <w:rsid w:val="00A64408"/>
    <w:rsid w:val="00A6442D"/>
    <w:rsid w:val="00A64468"/>
    <w:rsid w:val="00A644E6"/>
    <w:rsid w:val="00A644FA"/>
    <w:rsid w:val="00A6451E"/>
    <w:rsid w:val="00A64594"/>
    <w:rsid w:val="00A645C8"/>
    <w:rsid w:val="00A645D1"/>
    <w:rsid w:val="00A645D5"/>
    <w:rsid w:val="00A645DD"/>
    <w:rsid w:val="00A6463D"/>
    <w:rsid w:val="00A64641"/>
    <w:rsid w:val="00A64669"/>
    <w:rsid w:val="00A6466D"/>
    <w:rsid w:val="00A646BF"/>
    <w:rsid w:val="00A646DC"/>
    <w:rsid w:val="00A6470F"/>
    <w:rsid w:val="00A64757"/>
    <w:rsid w:val="00A64800"/>
    <w:rsid w:val="00A64852"/>
    <w:rsid w:val="00A6487C"/>
    <w:rsid w:val="00A64896"/>
    <w:rsid w:val="00A64930"/>
    <w:rsid w:val="00A6493B"/>
    <w:rsid w:val="00A6499F"/>
    <w:rsid w:val="00A64A00"/>
    <w:rsid w:val="00A64A12"/>
    <w:rsid w:val="00A64A83"/>
    <w:rsid w:val="00A64ABD"/>
    <w:rsid w:val="00A64B0E"/>
    <w:rsid w:val="00A64B47"/>
    <w:rsid w:val="00A64B5E"/>
    <w:rsid w:val="00A64B60"/>
    <w:rsid w:val="00A64B6D"/>
    <w:rsid w:val="00A64BCC"/>
    <w:rsid w:val="00A64BD5"/>
    <w:rsid w:val="00A64BE5"/>
    <w:rsid w:val="00A64BF6"/>
    <w:rsid w:val="00A64C1F"/>
    <w:rsid w:val="00A64C22"/>
    <w:rsid w:val="00A64C49"/>
    <w:rsid w:val="00A64C7D"/>
    <w:rsid w:val="00A64C8B"/>
    <w:rsid w:val="00A64C97"/>
    <w:rsid w:val="00A64C9F"/>
    <w:rsid w:val="00A64CB4"/>
    <w:rsid w:val="00A64CBA"/>
    <w:rsid w:val="00A64CFE"/>
    <w:rsid w:val="00A64D02"/>
    <w:rsid w:val="00A64D48"/>
    <w:rsid w:val="00A64D6E"/>
    <w:rsid w:val="00A64D71"/>
    <w:rsid w:val="00A64D9C"/>
    <w:rsid w:val="00A64E0A"/>
    <w:rsid w:val="00A64E11"/>
    <w:rsid w:val="00A64E32"/>
    <w:rsid w:val="00A64E3A"/>
    <w:rsid w:val="00A64EE0"/>
    <w:rsid w:val="00A64F42"/>
    <w:rsid w:val="00A64F43"/>
    <w:rsid w:val="00A64F59"/>
    <w:rsid w:val="00A64F68"/>
    <w:rsid w:val="00A64FDB"/>
    <w:rsid w:val="00A64FF4"/>
    <w:rsid w:val="00A65001"/>
    <w:rsid w:val="00A65006"/>
    <w:rsid w:val="00A65026"/>
    <w:rsid w:val="00A65043"/>
    <w:rsid w:val="00A650C3"/>
    <w:rsid w:val="00A65116"/>
    <w:rsid w:val="00A6518E"/>
    <w:rsid w:val="00A651DE"/>
    <w:rsid w:val="00A65217"/>
    <w:rsid w:val="00A65239"/>
    <w:rsid w:val="00A6524B"/>
    <w:rsid w:val="00A65252"/>
    <w:rsid w:val="00A65279"/>
    <w:rsid w:val="00A65284"/>
    <w:rsid w:val="00A652A1"/>
    <w:rsid w:val="00A652C7"/>
    <w:rsid w:val="00A652CD"/>
    <w:rsid w:val="00A652DE"/>
    <w:rsid w:val="00A65352"/>
    <w:rsid w:val="00A653A3"/>
    <w:rsid w:val="00A653F0"/>
    <w:rsid w:val="00A6544A"/>
    <w:rsid w:val="00A6545B"/>
    <w:rsid w:val="00A65470"/>
    <w:rsid w:val="00A65482"/>
    <w:rsid w:val="00A65489"/>
    <w:rsid w:val="00A65497"/>
    <w:rsid w:val="00A6555B"/>
    <w:rsid w:val="00A655DF"/>
    <w:rsid w:val="00A655E5"/>
    <w:rsid w:val="00A655EA"/>
    <w:rsid w:val="00A6560B"/>
    <w:rsid w:val="00A65668"/>
    <w:rsid w:val="00A65688"/>
    <w:rsid w:val="00A6568C"/>
    <w:rsid w:val="00A656B6"/>
    <w:rsid w:val="00A6574B"/>
    <w:rsid w:val="00A65798"/>
    <w:rsid w:val="00A657CC"/>
    <w:rsid w:val="00A65869"/>
    <w:rsid w:val="00A65879"/>
    <w:rsid w:val="00A6590D"/>
    <w:rsid w:val="00A65957"/>
    <w:rsid w:val="00A659AF"/>
    <w:rsid w:val="00A659BE"/>
    <w:rsid w:val="00A65A02"/>
    <w:rsid w:val="00A65A12"/>
    <w:rsid w:val="00A65A22"/>
    <w:rsid w:val="00A65A26"/>
    <w:rsid w:val="00A65AA8"/>
    <w:rsid w:val="00A65AD7"/>
    <w:rsid w:val="00A65BA2"/>
    <w:rsid w:val="00A65BC6"/>
    <w:rsid w:val="00A65C30"/>
    <w:rsid w:val="00A65C36"/>
    <w:rsid w:val="00A65C3B"/>
    <w:rsid w:val="00A65C64"/>
    <w:rsid w:val="00A65C83"/>
    <w:rsid w:val="00A65CDD"/>
    <w:rsid w:val="00A65D08"/>
    <w:rsid w:val="00A65D14"/>
    <w:rsid w:val="00A65D15"/>
    <w:rsid w:val="00A65D24"/>
    <w:rsid w:val="00A65D3E"/>
    <w:rsid w:val="00A65D52"/>
    <w:rsid w:val="00A65D56"/>
    <w:rsid w:val="00A65DFE"/>
    <w:rsid w:val="00A65E56"/>
    <w:rsid w:val="00A65E8B"/>
    <w:rsid w:val="00A65EC4"/>
    <w:rsid w:val="00A65EE3"/>
    <w:rsid w:val="00A65F10"/>
    <w:rsid w:val="00A65F1B"/>
    <w:rsid w:val="00A65F26"/>
    <w:rsid w:val="00A65F61"/>
    <w:rsid w:val="00A65F64"/>
    <w:rsid w:val="00A65FA3"/>
    <w:rsid w:val="00A6602A"/>
    <w:rsid w:val="00A6606E"/>
    <w:rsid w:val="00A66080"/>
    <w:rsid w:val="00A660AD"/>
    <w:rsid w:val="00A660EA"/>
    <w:rsid w:val="00A66166"/>
    <w:rsid w:val="00A661B5"/>
    <w:rsid w:val="00A66337"/>
    <w:rsid w:val="00A6638A"/>
    <w:rsid w:val="00A663C2"/>
    <w:rsid w:val="00A663F5"/>
    <w:rsid w:val="00A66403"/>
    <w:rsid w:val="00A6643F"/>
    <w:rsid w:val="00A66445"/>
    <w:rsid w:val="00A66591"/>
    <w:rsid w:val="00A665A3"/>
    <w:rsid w:val="00A665C9"/>
    <w:rsid w:val="00A665D0"/>
    <w:rsid w:val="00A66658"/>
    <w:rsid w:val="00A66667"/>
    <w:rsid w:val="00A666F4"/>
    <w:rsid w:val="00A666FF"/>
    <w:rsid w:val="00A66714"/>
    <w:rsid w:val="00A6673F"/>
    <w:rsid w:val="00A667DE"/>
    <w:rsid w:val="00A668AD"/>
    <w:rsid w:val="00A668EB"/>
    <w:rsid w:val="00A66908"/>
    <w:rsid w:val="00A66926"/>
    <w:rsid w:val="00A6694C"/>
    <w:rsid w:val="00A6695D"/>
    <w:rsid w:val="00A669AE"/>
    <w:rsid w:val="00A669E9"/>
    <w:rsid w:val="00A66A80"/>
    <w:rsid w:val="00A66A8A"/>
    <w:rsid w:val="00A66B35"/>
    <w:rsid w:val="00A66BC6"/>
    <w:rsid w:val="00A66BE0"/>
    <w:rsid w:val="00A66BE7"/>
    <w:rsid w:val="00A66C12"/>
    <w:rsid w:val="00A66C44"/>
    <w:rsid w:val="00A66C48"/>
    <w:rsid w:val="00A66C81"/>
    <w:rsid w:val="00A66C96"/>
    <w:rsid w:val="00A66CCE"/>
    <w:rsid w:val="00A66D42"/>
    <w:rsid w:val="00A66D9E"/>
    <w:rsid w:val="00A66DAA"/>
    <w:rsid w:val="00A66DBA"/>
    <w:rsid w:val="00A66DE7"/>
    <w:rsid w:val="00A66DF7"/>
    <w:rsid w:val="00A66E1D"/>
    <w:rsid w:val="00A66E70"/>
    <w:rsid w:val="00A66E96"/>
    <w:rsid w:val="00A66EA4"/>
    <w:rsid w:val="00A66EA5"/>
    <w:rsid w:val="00A66F28"/>
    <w:rsid w:val="00A66F7E"/>
    <w:rsid w:val="00A66F80"/>
    <w:rsid w:val="00A66FA0"/>
    <w:rsid w:val="00A66FC9"/>
    <w:rsid w:val="00A66FEF"/>
    <w:rsid w:val="00A66FF3"/>
    <w:rsid w:val="00A67095"/>
    <w:rsid w:val="00A670AC"/>
    <w:rsid w:val="00A671CD"/>
    <w:rsid w:val="00A6723B"/>
    <w:rsid w:val="00A6724E"/>
    <w:rsid w:val="00A67264"/>
    <w:rsid w:val="00A67274"/>
    <w:rsid w:val="00A672B1"/>
    <w:rsid w:val="00A672D6"/>
    <w:rsid w:val="00A6730A"/>
    <w:rsid w:val="00A67354"/>
    <w:rsid w:val="00A6738D"/>
    <w:rsid w:val="00A673A0"/>
    <w:rsid w:val="00A673A8"/>
    <w:rsid w:val="00A673C4"/>
    <w:rsid w:val="00A673D3"/>
    <w:rsid w:val="00A673E1"/>
    <w:rsid w:val="00A67406"/>
    <w:rsid w:val="00A67491"/>
    <w:rsid w:val="00A674C1"/>
    <w:rsid w:val="00A675A5"/>
    <w:rsid w:val="00A675D9"/>
    <w:rsid w:val="00A67777"/>
    <w:rsid w:val="00A67783"/>
    <w:rsid w:val="00A6779E"/>
    <w:rsid w:val="00A677A2"/>
    <w:rsid w:val="00A677B5"/>
    <w:rsid w:val="00A677BE"/>
    <w:rsid w:val="00A677E8"/>
    <w:rsid w:val="00A67871"/>
    <w:rsid w:val="00A67873"/>
    <w:rsid w:val="00A678E6"/>
    <w:rsid w:val="00A67912"/>
    <w:rsid w:val="00A67931"/>
    <w:rsid w:val="00A67952"/>
    <w:rsid w:val="00A67996"/>
    <w:rsid w:val="00A679F8"/>
    <w:rsid w:val="00A67A08"/>
    <w:rsid w:val="00A67A15"/>
    <w:rsid w:val="00A67AD9"/>
    <w:rsid w:val="00A67B45"/>
    <w:rsid w:val="00A67B78"/>
    <w:rsid w:val="00A67BA3"/>
    <w:rsid w:val="00A67BD1"/>
    <w:rsid w:val="00A67BF1"/>
    <w:rsid w:val="00A67BF8"/>
    <w:rsid w:val="00A67C02"/>
    <w:rsid w:val="00A67C8D"/>
    <w:rsid w:val="00A67C99"/>
    <w:rsid w:val="00A67D05"/>
    <w:rsid w:val="00A67D15"/>
    <w:rsid w:val="00A67D1F"/>
    <w:rsid w:val="00A67D24"/>
    <w:rsid w:val="00A67D2F"/>
    <w:rsid w:val="00A67D4A"/>
    <w:rsid w:val="00A67D8A"/>
    <w:rsid w:val="00A67DB8"/>
    <w:rsid w:val="00A67DE6"/>
    <w:rsid w:val="00A67E12"/>
    <w:rsid w:val="00A67E97"/>
    <w:rsid w:val="00A67FC0"/>
    <w:rsid w:val="00A7007E"/>
    <w:rsid w:val="00A700BB"/>
    <w:rsid w:val="00A700DF"/>
    <w:rsid w:val="00A70118"/>
    <w:rsid w:val="00A70139"/>
    <w:rsid w:val="00A7016A"/>
    <w:rsid w:val="00A70218"/>
    <w:rsid w:val="00A70222"/>
    <w:rsid w:val="00A70230"/>
    <w:rsid w:val="00A70294"/>
    <w:rsid w:val="00A70298"/>
    <w:rsid w:val="00A702A2"/>
    <w:rsid w:val="00A702C1"/>
    <w:rsid w:val="00A702CE"/>
    <w:rsid w:val="00A7039D"/>
    <w:rsid w:val="00A703C9"/>
    <w:rsid w:val="00A7043C"/>
    <w:rsid w:val="00A70447"/>
    <w:rsid w:val="00A70471"/>
    <w:rsid w:val="00A70474"/>
    <w:rsid w:val="00A704FF"/>
    <w:rsid w:val="00A70506"/>
    <w:rsid w:val="00A7051B"/>
    <w:rsid w:val="00A7058F"/>
    <w:rsid w:val="00A705A1"/>
    <w:rsid w:val="00A7064D"/>
    <w:rsid w:val="00A70659"/>
    <w:rsid w:val="00A70716"/>
    <w:rsid w:val="00A7078D"/>
    <w:rsid w:val="00A707A1"/>
    <w:rsid w:val="00A70816"/>
    <w:rsid w:val="00A70892"/>
    <w:rsid w:val="00A708D7"/>
    <w:rsid w:val="00A708F4"/>
    <w:rsid w:val="00A70918"/>
    <w:rsid w:val="00A70969"/>
    <w:rsid w:val="00A7096C"/>
    <w:rsid w:val="00A709F3"/>
    <w:rsid w:val="00A709F9"/>
    <w:rsid w:val="00A70A8D"/>
    <w:rsid w:val="00A70AA0"/>
    <w:rsid w:val="00A70AA3"/>
    <w:rsid w:val="00A70B0C"/>
    <w:rsid w:val="00A70B2E"/>
    <w:rsid w:val="00A70B6B"/>
    <w:rsid w:val="00A70B89"/>
    <w:rsid w:val="00A70BD8"/>
    <w:rsid w:val="00A70BEF"/>
    <w:rsid w:val="00A70C0A"/>
    <w:rsid w:val="00A70C44"/>
    <w:rsid w:val="00A70C99"/>
    <w:rsid w:val="00A70CBC"/>
    <w:rsid w:val="00A70CF4"/>
    <w:rsid w:val="00A70D16"/>
    <w:rsid w:val="00A70D7A"/>
    <w:rsid w:val="00A70D89"/>
    <w:rsid w:val="00A70DF3"/>
    <w:rsid w:val="00A70E35"/>
    <w:rsid w:val="00A70E4C"/>
    <w:rsid w:val="00A70E55"/>
    <w:rsid w:val="00A70E77"/>
    <w:rsid w:val="00A70E84"/>
    <w:rsid w:val="00A70E89"/>
    <w:rsid w:val="00A70E9D"/>
    <w:rsid w:val="00A70EE2"/>
    <w:rsid w:val="00A70EED"/>
    <w:rsid w:val="00A70F2C"/>
    <w:rsid w:val="00A70F44"/>
    <w:rsid w:val="00A70FA8"/>
    <w:rsid w:val="00A70FE0"/>
    <w:rsid w:val="00A71058"/>
    <w:rsid w:val="00A710F1"/>
    <w:rsid w:val="00A71152"/>
    <w:rsid w:val="00A7117A"/>
    <w:rsid w:val="00A711B3"/>
    <w:rsid w:val="00A711C0"/>
    <w:rsid w:val="00A711D6"/>
    <w:rsid w:val="00A711EC"/>
    <w:rsid w:val="00A711F8"/>
    <w:rsid w:val="00A71249"/>
    <w:rsid w:val="00A71256"/>
    <w:rsid w:val="00A7126C"/>
    <w:rsid w:val="00A71291"/>
    <w:rsid w:val="00A712AD"/>
    <w:rsid w:val="00A712BB"/>
    <w:rsid w:val="00A712D5"/>
    <w:rsid w:val="00A71309"/>
    <w:rsid w:val="00A7150F"/>
    <w:rsid w:val="00A71591"/>
    <w:rsid w:val="00A71663"/>
    <w:rsid w:val="00A7169C"/>
    <w:rsid w:val="00A716A6"/>
    <w:rsid w:val="00A716BE"/>
    <w:rsid w:val="00A716CC"/>
    <w:rsid w:val="00A716D4"/>
    <w:rsid w:val="00A71714"/>
    <w:rsid w:val="00A71728"/>
    <w:rsid w:val="00A71774"/>
    <w:rsid w:val="00A71779"/>
    <w:rsid w:val="00A717F4"/>
    <w:rsid w:val="00A71809"/>
    <w:rsid w:val="00A71826"/>
    <w:rsid w:val="00A71838"/>
    <w:rsid w:val="00A718AE"/>
    <w:rsid w:val="00A718CB"/>
    <w:rsid w:val="00A71974"/>
    <w:rsid w:val="00A719B1"/>
    <w:rsid w:val="00A719B9"/>
    <w:rsid w:val="00A719BC"/>
    <w:rsid w:val="00A719E7"/>
    <w:rsid w:val="00A71A3A"/>
    <w:rsid w:val="00A71A41"/>
    <w:rsid w:val="00A71ABE"/>
    <w:rsid w:val="00A71ABF"/>
    <w:rsid w:val="00A71AC2"/>
    <w:rsid w:val="00A71AD6"/>
    <w:rsid w:val="00A71AE2"/>
    <w:rsid w:val="00A71B38"/>
    <w:rsid w:val="00A71B5D"/>
    <w:rsid w:val="00A71BBA"/>
    <w:rsid w:val="00A71C5B"/>
    <w:rsid w:val="00A71C83"/>
    <w:rsid w:val="00A71D14"/>
    <w:rsid w:val="00A71D1B"/>
    <w:rsid w:val="00A71D20"/>
    <w:rsid w:val="00A71D28"/>
    <w:rsid w:val="00A71D40"/>
    <w:rsid w:val="00A71D66"/>
    <w:rsid w:val="00A71DE7"/>
    <w:rsid w:val="00A71DF0"/>
    <w:rsid w:val="00A71E0E"/>
    <w:rsid w:val="00A71E3E"/>
    <w:rsid w:val="00A71E45"/>
    <w:rsid w:val="00A71EBA"/>
    <w:rsid w:val="00A71EE0"/>
    <w:rsid w:val="00A71F12"/>
    <w:rsid w:val="00A71F9A"/>
    <w:rsid w:val="00A71FAA"/>
    <w:rsid w:val="00A71FB4"/>
    <w:rsid w:val="00A71FB9"/>
    <w:rsid w:val="00A71FBB"/>
    <w:rsid w:val="00A72069"/>
    <w:rsid w:val="00A72080"/>
    <w:rsid w:val="00A72099"/>
    <w:rsid w:val="00A720B6"/>
    <w:rsid w:val="00A720CF"/>
    <w:rsid w:val="00A72101"/>
    <w:rsid w:val="00A72169"/>
    <w:rsid w:val="00A721A4"/>
    <w:rsid w:val="00A721FE"/>
    <w:rsid w:val="00A72248"/>
    <w:rsid w:val="00A72280"/>
    <w:rsid w:val="00A723AC"/>
    <w:rsid w:val="00A723DA"/>
    <w:rsid w:val="00A72465"/>
    <w:rsid w:val="00A72472"/>
    <w:rsid w:val="00A72489"/>
    <w:rsid w:val="00A7251D"/>
    <w:rsid w:val="00A7254E"/>
    <w:rsid w:val="00A7256A"/>
    <w:rsid w:val="00A72573"/>
    <w:rsid w:val="00A72593"/>
    <w:rsid w:val="00A725A8"/>
    <w:rsid w:val="00A725E1"/>
    <w:rsid w:val="00A72669"/>
    <w:rsid w:val="00A726B9"/>
    <w:rsid w:val="00A726D6"/>
    <w:rsid w:val="00A72703"/>
    <w:rsid w:val="00A72724"/>
    <w:rsid w:val="00A72745"/>
    <w:rsid w:val="00A7277B"/>
    <w:rsid w:val="00A72783"/>
    <w:rsid w:val="00A72786"/>
    <w:rsid w:val="00A727BC"/>
    <w:rsid w:val="00A72840"/>
    <w:rsid w:val="00A7289A"/>
    <w:rsid w:val="00A728B1"/>
    <w:rsid w:val="00A72951"/>
    <w:rsid w:val="00A729EA"/>
    <w:rsid w:val="00A72A15"/>
    <w:rsid w:val="00A72A86"/>
    <w:rsid w:val="00A72A97"/>
    <w:rsid w:val="00A72ABA"/>
    <w:rsid w:val="00A72ABF"/>
    <w:rsid w:val="00A72AC1"/>
    <w:rsid w:val="00A72BC4"/>
    <w:rsid w:val="00A72C21"/>
    <w:rsid w:val="00A72C71"/>
    <w:rsid w:val="00A72D62"/>
    <w:rsid w:val="00A72D68"/>
    <w:rsid w:val="00A72D6D"/>
    <w:rsid w:val="00A72DB6"/>
    <w:rsid w:val="00A72DE5"/>
    <w:rsid w:val="00A72E0A"/>
    <w:rsid w:val="00A72E3D"/>
    <w:rsid w:val="00A72E41"/>
    <w:rsid w:val="00A72E42"/>
    <w:rsid w:val="00A72E62"/>
    <w:rsid w:val="00A72E65"/>
    <w:rsid w:val="00A72EEC"/>
    <w:rsid w:val="00A72F03"/>
    <w:rsid w:val="00A72F12"/>
    <w:rsid w:val="00A72F39"/>
    <w:rsid w:val="00A72F76"/>
    <w:rsid w:val="00A72FA4"/>
    <w:rsid w:val="00A72FC0"/>
    <w:rsid w:val="00A7301C"/>
    <w:rsid w:val="00A73055"/>
    <w:rsid w:val="00A7309B"/>
    <w:rsid w:val="00A730D5"/>
    <w:rsid w:val="00A7318F"/>
    <w:rsid w:val="00A7319C"/>
    <w:rsid w:val="00A7328A"/>
    <w:rsid w:val="00A732CC"/>
    <w:rsid w:val="00A73301"/>
    <w:rsid w:val="00A73328"/>
    <w:rsid w:val="00A73354"/>
    <w:rsid w:val="00A73383"/>
    <w:rsid w:val="00A733B6"/>
    <w:rsid w:val="00A73457"/>
    <w:rsid w:val="00A734D7"/>
    <w:rsid w:val="00A734DC"/>
    <w:rsid w:val="00A73563"/>
    <w:rsid w:val="00A735D5"/>
    <w:rsid w:val="00A735FC"/>
    <w:rsid w:val="00A73633"/>
    <w:rsid w:val="00A73670"/>
    <w:rsid w:val="00A7367C"/>
    <w:rsid w:val="00A736D5"/>
    <w:rsid w:val="00A73708"/>
    <w:rsid w:val="00A7373C"/>
    <w:rsid w:val="00A737F1"/>
    <w:rsid w:val="00A73808"/>
    <w:rsid w:val="00A73818"/>
    <w:rsid w:val="00A7388D"/>
    <w:rsid w:val="00A738A8"/>
    <w:rsid w:val="00A738CD"/>
    <w:rsid w:val="00A738D6"/>
    <w:rsid w:val="00A738EF"/>
    <w:rsid w:val="00A7397F"/>
    <w:rsid w:val="00A73981"/>
    <w:rsid w:val="00A739EA"/>
    <w:rsid w:val="00A73A0B"/>
    <w:rsid w:val="00A73A17"/>
    <w:rsid w:val="00A73ACB"/>
    <w:rsid w:val="00A73B08"/>
    <w:rsid w:val="00A73B3B"/>
    <w:rsid w:val="00A73BE6"/>
    <w:rsid w:val="00A73C00"/>
    <w:rsid w:val="00A73C58"/>
    <w:rsid w:val="00A73CEC"/>
    <w:rsid w:val="00A73CF0"/>
    <w:rsid w:val="00A73CFE"/>
    <w:rsid w:val="00A73D26"/>
    <w:rsid w:val="00A73D54"/>
    <w:rsid w:val="00A73D69"/>
    <w:rsid w:val="00A73DBB"/>
    <w:rsid w:val="00A73DC8"/>
    <w:rsid w:val="00A73DCD"/>
    <w:rsid w:val="00A73DD9"/>
    <w:rsid w:val="00A73F00"/>
    <w:rsid w:val="00A73F17"/>
    <w:rsid w:val="00A73F54"/>
    <w:rsid w:val="00A73F65"/>
    <w:rsid w:val="00A73F95"/>
    <w:rsid w:val="00A73FBA"/>
    <w:rsid w:val="00A73FE1"/>
    <w:rsid w:val="00A73FEF"/>
    <w:rsid w:val="00A74026"/>
    <w:rsid w:val="00A740C9"/>
    <w:rsid w:val="00A74140"/>
    <w:rsid w:val="00A74154"/>
    <w:rsid w:val="00A741B7"/>
    <w:rsid w:val="00A741CF"/>
    <w:rsid w:val="00A74263"/>
    <w:rsid w:val="00A74271"/>
    <w:rsid w:val="00A74279"/>
    <w:rsid w:val="00A74283"/>
    <w:rsid w:val="00A7428E"/>
    <w:rsid w:val="00A7431F"/>
    <w:rsid w:val="00A7437A"/>
    <w:rsid w:val="00A743BC"/>
    <w:rsid w:val="00A743CC"/>
    <w:rsid w:val="00A743CE"/>
    <w:rsid w:val="00A74405"/>
    <w:rsid w:val="00A7444E"/>
    <w:rsid w:val="00A74453"/>
    <w:rsid w:val="00A744CE"/>
    <w:rsid w:val="00A744F1"/>
    <w:rsid w:val="00A7459B"/>
    <w:rsid w:val="00A745B2"/>
    <w:rsid w:val="00A745C5"/>
    <w:rsid w:val="00A7462E"/>
    <w:rsid w:val="00A7465B"/>
    <w:rsid w:val="00A7468B"/>
    <w:rsid w:val="00A746B6"/>
    <w:rsid w:val="00A746E0"/>
    <w:rsid w:val="00A746EA"/>
    <w:rsid w:val="00A74708"/>
    <w:rsid w:val="00A7475B"/>
    <w:rsid w:val="00A747BC"/>
    <w:rsid w:val="00A74834"/>
    <w:rsid w:val="00A74843"/>
    <w:rsid w:val="00A74866"/>
    <w:rsid w:val="00A748EB"/>
    <w:rsid w:val="00A748EF"/>
    <w:rsid w:val="00A74916"/>
    <w:rsid w:val="00A7492E"/>
    <w:rsid w:val="00A74957"/>
    <w:rsid w:val="00A7495F"/>
    <w:rsid w:val="00A74984"/>
    <w:rsid w:val="00A74A12"/>
    <w:rsid w:val="00A74A5C"/>
    <w:rsid w:val="00A74A83"/>
    <w:rsid w:val="00A74AB4"/>
    <w:rsid w:val="00A74AF7"/>
    <w:rsid w:val="00A74B0B"/>
    <w:rsid w:val="00A74B15"/>
    <w:rsid w:val="00A74B4E"/>
    <w:rsid w:val="00A74B6E"/>
    <w:rsid w:val="00A74B81"/>
    <w:rsid w:val="00A74BF2"/>
    <w:rsid w:val="00A74C7C"/>
    <w:rsid w:val="00A74C88"/>
    <w:rsid w:val="00A74C99"/>
    <w:rsid w:val="00A74C9B"/>
    <w:rsid w:val="00A74CB9"/>
    <w:rsid w:val="00A74CBD"/>
    <w:rsid w:val="00A74CEB"/>
    <w:rsid w:val="00A74D18"/>
    <w:rsid w:val="00A74D1A"/>
    <w:rsid w:val="00A74D1B"/>
    <w:rsid w:val="00A74D74"/>
    <w:rsid w:val="00A74DBD"/>
    <w:rsid w:val="00A74DC6"/>
    <w:rsid w:val="00A74E00"/>
    <w:rsid w:val="00A74E1E"/>
    <w:rsid w:val="00A74E60"/>
    <w:rsid w:val="00A74E9A"/>
    <w:rsid w:val="00A74EA6"/>
    <w:rsid w:val="00A74F18"/>
    <w:rsid w:val="00A74F43"/>
    <w:rsid w:val="00A74F46"/>
    <w:rsid w:val="00A74F4F"/>
    <w:rsid w:val="00A74FC6"/>
    <w:rsid w:val="00A74FFB"/>
    <w:rsid w:val="00A75034"/>
    <w:rsid w:val="00A750AD"/>
    <w:rsid w:val="00A750D1"/>
    <w:rsid w:val="00A750F8"/>
    <w:rsid w:val="00A750FF"/>
    <w:rsid w:val="00A75108"/>
    <w:rsid w:val="00A75118"/>
    <w:rsid w:val="00A7513A"/>
    <w:rsid w:val="00A751A2"/>
    <w:rsid w:val="00A751BB"/>
    <w:rsid w:val="00A751C0"/>
    <w:rsid w:val="00A751D2"/>
    <w:rsid w:val="00A751DB"/>
    <w:rsid w:val="00A751F5"/>
    <w:rsid w:val="00A7520C"/>
    <w:rsid w:val="00A753D4"/>
    <w:rsid w:val="00A753E5"/>
    <w:rsid w:val="00A75544"/>
    <w:rsid w:val="00A75597"/>
    <w:rsid w:val="00A755CE"/>
    <w:rsid w:val="00A756CC"/>
    <w:rsid w:val="00A75701"/>
    <w:rsid w:val="00A75743"/>
    <w:rsid w:val="00A7575A"/>
    <w:rsid w:val="00A75761"/>
    <w:rsid w:val="00A757B3"/>
    <w:rsid w:val="00A757BA"/>
    <w:rsid w:val="00A757E2"/>
    <w:rsid w:val="00A759EE"/>
    <w:rsid w:val="00A75A00"/>
    <w:rsid w:val="00A75B38"/>
    <w:rsid w:val="00A75B67"/>
    <w:rsid w:val="00A75BD7"/>
    <w:rsid w:val="00A75C24"/>
    <w:rsid w:val="00A75C4D"/>
    <w:rsid w:val="00A75CD1"/>
    <w:rsid w:val="00A75D03"/>
    <w:rsid w:val="00A75D34"/>
    <w:rsid w:val="00A75D3E"/>
    <w:rsid w:val="00A75DAE"/>
    <w:rsid w:val="00A75E39"/>
    <w:rsid w:val="00A75E67"/>
    <w:rsid w:val="00A75F40"/>
    <w:rsid w:val="00A76009"/>
    <w:rsid w:val="00A760A6"/>
    <w:rsid w:val="00A76153"/>
    <w:rsid w:val="00A761B6"/>
    <w:rsid w:val="00A76238"/>
    <w:rsid w:val="00A7624B"/>
    <w:rsid w:val="00A76259"/>
    <w:rsid w:val="00A76286"/>
    <w:rsid w:val="00A762BD"/>
    <w:rsid w:val="00A76309"/>
    <w:rsid w:val="00A76325"/>
    <w:rsid w:val="00A7638D"/>
    <w:rsid w:val="00A763CF"/>
    <w:rsid w:val="00A7642D"/>
    <w:rsid w:val="00A76434"/>
    <w:rsid w:val="00A76460"/>
    <w:rsid w:val="00A76523"/>
    <w:rsid w:val="00A7653A"/>
    <w:rsid w:val="00A76542"/>
    <w:rsid w:val="00A765B5"/>
    <w:rsid w:val="00A765DB"/>
    <w:rsid w:val="00A765F3"/>
    <w:rsid w:val="00A76661"/>
    <w:rsid w:val="00A766ED"/>
    <w:rsid w:val="00A76779"/>
    <w:rsid w:val="00A76780"/>
    <w:rsid w:val="00A767B4"/>
    <w:rsid w:val="00A7680A"/>
    <w:rsid w:val="00A7680D"/>
    <w:rsid w:val="00A7682E"/>
    <w:rsid w:val="00A76864"/>
    <w:rsid w:val="00A768A7"/>
    <w:rsid w:val="00A768F5"/>
    <w:rsid w:val="00A76928"/>
    <w:rsid w:val="00A7692A"/>
    <w:rsid w:val="00A7693A"/>
    <w:rsid w:val="00A76950"/>
    <w:rsid w:val="00A7695E"/>
    <w:rsid w:val="00A7698E"/>
    <w:rsid w:val="00A7699A"/>
    <w:rsid w:val="00A76A67"/>
    <w:rsid w:val="00A76A99"/>
    <w:rsid w:val="00A76AAF"/>
    <w:rsid w:val="00A76ACF"/>
    <w:rsid w:val="00A76B53"/>
    <w:rsid w:val="00A76B6B"/>
    <w:rsid w:val="00A76C4F"/>
    <w:rsid w:val="00A76C55"/>
    <w:rsid w:val="00A76CC2"/>
    <w:rsid w:val="00A76D6B"/>
    <w:rsid w:val="00A76E04"/>
    <w:rsid w:val="00A76E1B"/>
    <w:rsid w:val="00A76EB7"/>
    <w:rsid w:val="00A76EBB"/>
    <w:rsid w:val="00A76F45"/>
    <w:rsid w:val="00A76F52"/>
    <w:rsid w:val="00A76F8F"/>
    <w:rsid w:val="00A76FE7"/>
    <w:rsid w:val="00A77009"/>
    <w:rsid w:val="00A7701D"/>
    <w:rsid w:val="00A77036"/>
    <w:rsid w:val="00A77039"/>
    <w:rsid w:val="00A77046"/>
    <w:rsid w:val="00A77095"/>
    <w:rsid w:val="00A770EE"/>
    <w:rsid w:val="00A770F9"/>
    <w:rsid w:val="00A770FF"/>
    <w:rsid w:val="00A77177"/>
    <w:rsid w:val="00A77195"/>
    <w:rsid w:val="00A771D8"/>
    <w:rsid w:val="00A771F4"/>
    <w:rsid w:val="00A77204"/>
    <w:rsid w:val="00A772D1"/>
    <w:rsid w:val="00A77311"/>
    <w:rsid w:val="00A77370"/>
    <w:rsid w:val="00A7737F"/>
    <w:rsid w:val="00A773C7"/>
    <w:rsid w:val="00A77418"/>
    <w:rsid w:val="00A77447"/>
    <w:rsid w:val="00A7744F"/>
    <w:rsid w:val="00A7748A"/>
    <w:rsid w:val="00A774B4"/>
    <w:rsid w:val="00A77513"/>
    <w:rsid w:val="00A775DD"/>
    <w:rsid w:val="00A775EF"/>
    <w:rsid w:val="00A7762D"/>
    <w:rsid w:val="00A7769C"/>
    <w:rsid w:val="00A776B9"/>
    <w:rsid w:val="00A776E2"/>
    <w:rsid w:val="00A77749"/>
    <w:rsid w:val="00A77790"/>
    <w:rsid w:val="00A77792"/>
    <w:rsid w:val="00A777F0"/>
    <w:rsid w:val="00A7790D"/>
    <w:rsid w:val="00A77947"/>
    <w:rsid w:val="00A7798A"/>
    <w:rsid w:val="00A77994"/>
    <w:rsid w:val="00A779B5"/>
    <w:rsid w:val="00A779FC"/>
    <w:rsid w:val="00A77A0E"/>
    <w:rsid w:val="00A77A25"/>
    <w:rsid w:val="00A77A68"/>
    <w:rsid w:val="00A77A9F"/>
    <w:rsid w:val="00A77AC2"/>
    <w:rsid w:val="00A77B13"/>
    <w:rsid w:val="00A77B6E"/>
    <w:rsid w:val="00A77B78"/>
    <w:rsid w:val="00A77B89"/>
    <w:rsid w:val="00A77BBB"/>
    <w:rsid w:val="00A77BD6"/>
    <w:rsid w:val="00A77BF3"/>
    <w:rsid w:val="00A77C0B"/>
    <w:rsid w:val="00A77C35"/>
    <w:rsid w:val="00A77C78"/>
    <w:rsid w:val="00A77C8D"/>
    <w:rsid w:val="00A77C92"/>
    <w:rsid w:val="00A77D14"/>
    <w:rsid w:val="00A77D62"/>
    <w:rsid w:val="00A77D9F"/>
    <w:rsid w:val="00A77DCF"/>
    <w:rsid w:val="00A77E7F"/>
    <w:rsid w:val="00A77EAD"/>
    <w:rsid w:val="00A77EB4"/>
    <w:rsid w:val="00A77EBB"/>
    <w:rsid w:val="00A77EDB"/>
    <w:rsid w:val="00A77F20"/>
    <w:rsid w:val="00A77F3E"/>
    <w:rsid w:val="00A77F96"/>
    <w:rsid w:val="00A77FB3"/>
    <w:rsid w:val="00A80089"/>
    <w:rsid w:val="00A800FF"/>
    <w:rsid w:val="00A8011B"/>
    <w:rsid w:val="00A8011F"/>
    <w:rsid w:val="00A8014E"/>
    <w:rsid w:val="00A801A0"/>
    <w:rsid w:val="00A801A8"/>
    <w:rsid w:val="00A8022C"/>
    <w:rsid w:val="00A80246"/>
    <w:rsid w:val="00A80259"/>
    <w:rsid w:val="00A8025A"/>
    <w:rsid w:val="00A80283"/>
    <w:rsid w:val="00A802AC"/>
    <w:rsid w:val="00A802C5"/>
    <w:rsid w:val="00A803B6"/>
    <w:rsid w:val="00A803D9"/>
    <w:rsid w:val="00A803F2"/>
    <w:rsid w:val="00A8040F"/>
    <w:rsid w:val="00A8042C"/>
    <w:rsid w:val="00A80466"/>
    <w:rsid w:val="00A8048C"/>
    <w:rsid w:val="00A804AA"/>
    <w:rsid w:val="00A804D2"/>
    <w:rsid w:val="00A804E5"/>
    <w:rsid w:val="00A804F5"/>
    <w:rsid w:val="00A80520"/>
    <w:rsid w:val="00A80559"/>
    <w:rsid w:val="00A80587"/>
    <w:rsid w:val="00A805DC"/>
    <w:rsid w:val="00A80660"/>
    <w:rsid w:val="00A80672"/>
    <w:rsid w:val="00A806E4"/>
    <w:rsid w:val="00A80772"/>
    <w:rsid w:val="00A8079E"/>
    <w:rsid w:val="00A807B1"/>
    <w:rsid w:val="00A80816"/>
    <w:rsid w:val="00A80821"/>
    <w:rsid w:val="00A808A7"/>
    <w:rsid w:val="00A808C6"/>
    <w:rsid w:val="00A80902"/>
    <w:rsid w:val="00A80908"/>
    <w:rsid w:val="00A8093A"/>
    <w:rsid w:val="00A809A2"/>
    <w:rsid w:val="00A809EA"/>
    <w:rsid w:val="00A80A2C"/>
    <w:rsid w:val="00A80BBA"/>
    <w:rsid w:val="00A80BCB"/>
    <w:rsid w:val="00A80BD5"/>
    <w:rsid w:val="00A80C77"/>
    <w:rsid w:val="00A80C7D"/>
    <w:rsid w:val="00A80CEE"/>
    <w:rsid w:val="00A80D03"/>
    <w:rsid w:val="00A80D26"/>
    <w:rsid w:val="00A80DB2"/>
    <w:rsid w:val="00A80DF0"/>
    <w:rsid w:val="00A80E00"/>
    <w:rsid w:val="00A80E74"/>
    <w:rsid w:val="00A80E79"/>
    <w:rsid w:val="00A80E90"/>
    <w:rsid w:val="00A80F76"/>
    <w:rsid w:val="00A80FB5"/>
    <w:rsid w:val="00A80FD7"/>
    <w:rsid w:val="00A81021"/>
    <w:rsid w:val="00A81092"/>
    <w:rsid w:val="00A810B6"/>
    <w:rsid w:val="00A81135"/>
    <w:rsid w:val="00A8114C"/>
    <w:rsid w:val="00A81156"/>
    <w:rsid w:val="00A81181"/>
    <w:rsid w:val="00A811C3"/>
    <w:rsid w:val="00A81259"/>
    <w:rsid w:val="00A8129E"/>
    <w:rsid w:val="00A81319"/>
    <w:rsid w:val="00A81332"/>
    <w:rsid w:val="00A8136A"/>
    <w:rsid w:val="00A8137B"/>
    <w:rsid w:val="00A813C1"/>
    <w:rsid w:val="00A8141D"/>
    <w:rsid w:val="00A8141F"/>
    <w:rsid w:val="00A81430"/>
    <w:rsid w:val="00A814E4"/>
    <w:rsid w:val="00A814F4"/>
    <w:rsid w:val="00A81502"/>
    <w:rsid w:val="00A815D5"/>
    <w:rsid w:val="00A81614"/>
    <w:rsid w:val="00A81710"/>
    <w:rsid w:val="00A8177F"/>
    <w:rsid w:val="00A8179E"/>
    <w:rsid w:val="00A817CD"/>
    <w:rsid w:val="00A81891"/>
    <w:rsid w:val="00A818A8"/>
    <w:rsid w:val="00A8190E"/>
    <w:rsid w:val="00A81969"/>
    <w:rsid w:val="00A81A8B"/>
    <w:rsid w:val="00A81AAA"/>
    <w:rsid w:val="00A81BDE"/>
    <w:rsid w:val="00A81BE2"/>
    <w:rsid w:val="00A81BEE"/>
    <w:rsid w:val="00A81BFE"/>
    <w:rsid w:val="00A81C34"/>
    <w:rsid w:val="00A81CAE"/>
    <w:rsid w:val="00A81D2C"/>
    <w:rsid w:val="00A81D68"/>
    <w:rsid w:val="00A81D73"/>
    <w:rsid w:val="00A81D80"/>
    <w:rsid w:val="00A81DE7"/>
    <w:rsid w:val="00A81DF2"/>
    <w:rsid w:val="00A81E0E"/>
    <w:rsid w:val="00A81E46"/>
    <w:rsid w:val="00A81E9E"/>
    <w:rsid w:val="00A81EB7"/>
    <w:rsid w:val="00A81EC0"/>
    <w:rsid w:val="00A81EDC"/>
    <w:rsid w:val="00A81EDF"/>
    <w:rsid w:val="00A81EE3"/>
    <w:rsid w:val="00A81EE6"/>
    <w:rsid w:val="00A81F65"/>
    <w:rsid w:val="00A81F87"/>
    <w:rsid w:val="00A81F9C"/>
    <w:rsid w:val="00A82024"/>
    <w:rsid w:val="00A8203B"/>
    <w:rsid w:val="00A82117"/>
    <w:rsid w:val="00A8211D"/>
    <w:rsid w:val="00A8214F"/>
    <w:rsid w:val="00A82267"/>
    <w:rsid w:val="00A82268"/>
    <w:rsid w:val="00A82287"/>
    <w:rsid w:val="00A82294"/>
    <w:rsid w:val="00A82377"/>
    <w:rsid w:val="00A82387"/>
    <w:rsid w:val="00A823DD"/>
    <w:rsid w:val="00A82452"/>
    <w:rsid w:val="00A824C8"/>
    <w:rsid w:val="00A82501"/>
    <w:rsid w:val="00A8250A"/>
    <w:rsid w:val="00A82534"/>
    <w:rsid w:val="00A82535"/>
    <w:rsid w:val="00A82537"/>
    <w:rsid w:val="00A825F1"/>
    <w:rsid w:val="00A82603"/>
    <w:rsid w:val="00A826C4"/>
    <w:rsid w:val="00A826FE"/>
    <w:rsid w:val="00A82702"/>
    <w:rsid w:val="00A82727"/>
    <w:rsid w:val="00A82743"/>
    <w:rsid w:val="00A8277B"/>
    <w:rsid w:val="00A827D7"/>
    <w:rsid w:val="00A82820"/>
    <w:rsid w:val="00A82844"/>
    <w:rsid w:val="00A828C0"/>
    <w:rsid w:val="00A828CC"/>
    <w:rsid w:val="00A82909"/>
    <w:rsid w:val="00A8296B"/>
    <w:rsid w:val="00A82996"/>
    <w:rsid w:val="00A8299F"/>
    <w:rsid w:val="00A829A4"/>
    <w:rsid w:val="00A82A58"/>
    <w:rsid w:val="00A82A97"/>
    <w:rsid w:val="00A82A9B"/>
    <w:rsid w:val="00A82AFE"/>
    <w:rsid w:val="00A82B02"/>
    <w:rsid w:val="00A82B12"/>
    <w:rsid w:val="00A82B98"/>
    <w:rsid w:val="00A82BAB"/>
    <w:rsid w:val="00A82C1F"/>
    <w:rsid w:val="00A82C52"/>
    <w:rsid w:val="00A82C59"/>
    <w:rsid w:val="00A82C5A"/>
    <w:rsid w:val="00A82CAB"/>
    <w:rsid w:val="00A82CB3"/>
    <w:rsid w:val="00A82CC5"/>
    <w:rsid w:val="00A82D44"/>
    <w:rsid w:val="00A82D4D"/>
    <w:rsid w:val="00A82D6B"/>
    <w:rsid w:val="00A82E64"/>
    <w:rsid w:val="00A82F02"/>
    <w:rsid w:val="00A82FBF"/>
    <w:rsid w:val="00A82FC9"/>
    <w:rsid w:val="00A830FD"/>
    <w:rsid w:val="00A83108"/>
    <w:rsid w:val="00A8320F"/>
    <w:rsid w:val="00A83274"/>
    <w:rsid w:val="00A832BF"/>
    <w:rsid w:val="00A832D2"/>
    <w:rsid w:val="00A8331E"/>
    <w:rsid w:val="00A83332"/>
    <w:rsid w:val="00A83339"/>
    <w:rsid w:val="00A8337F"/>
    <w:rsid w:val="00A8339F"/>
    <w:rsid w:val="00A833C5"/>
    <w:rsid w:val="00A833D5"/>
    <w:rsid w:val="00A8344E"/>
    <w:rsid w:val="00A8347A"/>
    <w:rsid w:val="00A83494"/>
    <w:rsid w:val="00A834D8"/>
    <w:rsid w:val="00A834F6"/>
    <w:rsid w:val="00A834F7"/>
    <w:rsid w:val="00A83500"/>
    <w:rsid w:val="00A83537"/>
    <w:rsid w:val="00A83617"/>
    <w:rsid w:val="00A83642"/>
    <w:rsid w:val="00A83696"/>
    <w:rsid w:val="00A8369B"/>
    <w:rsid w:val="00A8369C"/>
    <w:rsid w:val="00A836A0"/>
    <w:rsid w:val="00A836C9"/>
    <w:rsid w:val="00A83718"/>
    <w:rsid w:val="00A8371E"/>
    <w:rsid w:val="00A8373A"/>
    <w:rsid w:val="00A83774"/>
    <w:rsid w:val="00A83775"/>
    <w:rsid w:val="00A837BC"/>
    <w:rsid w:val="00A83837"/>
    <w:rsid w:val="00A83874"/>
    <w:rsid w:val="00A83879"/>
    <w:rsid w:val="00A838A0"/>
    <w:rsid w:val="00A838D2"/>
    <w:rsid w:val="00A83922"/>
    <w:rsid w:val="00A8399D"/>
    <w:rsid w:val="00A839C1"/>
    <w:rsid w:val="00A839CB"/>
    <w:rsid w:val="00A839FE"/>
    <w:rsid w:val="00A83A42"/>
    <w:rsid w:val="00A83A4E"/>
    <w:rsid w:val="00A83A6D"/>
    <w:rsid w:val="00A83AC4"/>
    <w:rsid w:val="00A83B2B"/>
    <w:rsid w:val="00A83B5D"/>
    <w:rsid w:val="00A83C6D"/>
    <w:rsid w:val="00A83C85"/>
    <w:rsid w:val="00A83D2F"/>
    <w:rsid w:val="00A83DA2"/>
    <w:rsid w:val="00A83E08"/>
    <w:rsid w:val="00A83E12"/>
    <w:rsid w:val="00A83E56"/>
    <w:rsid w:val="00A83EAB"/>
    <w:rsid w:val="00A83F1A"/>
    <w:rsid w:val="00A83F7D"/>
    <w:rsid w:val="00A83FFA"/>
    <w:rsid w:val="00A84000"/>
    <w:rsid w:val="00A8400F"/>
    <w:rsid w:val="00A8401F"/>
    <w:rsid w:val="00A84058"/>
    <w:rsid w:val="00A84099"/>
    <w:rsid w:val="00A840C8"/>
    <w:rsid w:val="00A840DD"/>
    <w:rsid w:val="00A84168"/>
    <w:rsid w:val="00A8416A"/>
    <w:rsid w:val="00A84220"/>
    <w:rsid w:val="00A842C1"/>
    <w:rsid w:val="00A8431E"/>
    <w:rsid w:val="00A84342"/>
    <w:rsid w:val="00A843CE"/>
    <w:rsid w:val="00A84463"/>
    <w:rsid w:val="00A8447D"/>
    <w:rsid w:val="00A84487"/>
    <w:rsid w:val="00A844C0"/>
    <w:rsid w:val="00A8453F"/>
    <w:rsid w:val="00A84556"/>
    <w:rsid w:val="00A845B8"/>
    <w:rsid w:val="00A845C7"/>
    <w:rsid w:val="00A845D2"/>
    <w:rsid w:val="00A8462A"/>
    <w:rsid w:val="00A8464B"/>
    <w:rsid w:val="00A846C2"/>
    <w:rsid w:val="00A846E7"/>
    <w:rsid w:val="00A846ED"/>
    <w:rsid w:val="00A846F3"/>
    <w:rsid w:val="00A84715"/>
    <w:rsid w:val="00A84735"/>
    <w:rsid w:val="00A8474D"/>
    <w:rsid w:val="00A847E4"/>
    <w:rsid w:val="00A847F0"/>
    <w:rsid w:val="00A847F8"/>
    <w:rsid w:val="00A8482D"/>
    <w:rsid w:val="00A8483E"/>
    <w:rsid w:val="00A84877"/>
    <w:rsid w:val="00A848ED"/>
    <w:rsid w:val="00A8493A"/>
    <w:rsid w:val="00A84951"/>
    <w:rsid w:val="00A84968"/>
    <w:rsid w:val="00A84974"/>
    <w:rsid w:val="00A849BF"/>
    <w:rsid w:val="00A849D9"/>
    <w:rsid w:val="00A849DC"/>
    <w:rsid w:val="00A84A1E"/>
    <w:rsid w:val="00A84A42"/>
    <w:rsid w:val="00A84AE1"/>
    <w:rsid w:val="00A84AE7"/>
    <w:rsid w:val="00A84B3E"/>
    <w:rsid w:val="00A84B47"/>
    <w:rsid w:val="00A84B72"/>
    <w:rsid w:val="00A84B89"/>
    <w:rsid w:val="00A84B9A"/>
    <w:rsid w:val="00A84C0F"/>
    <w:rsid w:val="00A84D55"/>
    <w:rsid w:val="00A84D5B"/>
    <w:rsid w:val="00A84D8F"/>
    <w:rsid w:val="00A84DD7"/>
    <w:rsid w:val="00A84F3A"/>
    <w:rsid w:val="00A84F4F"/>
    <w:rsid w:val="00A84F78"/>
    <w:rsid w:val="00A84F7C"/>
    <w:rsid w:val="00A84F90"/>
    <w:rsid w:val="00A84F9D"/>
    <w:rsid w:val="00A84FC2"/>
    <w:rsid w:val="00A84FD7"/>
    <w:rsid w:val="00A84FD8"/>
    <w:rsid w:val="00A8507E"/>
    <w:rsid w:val="00A850B9"/>
    <w:rsid w:val="00A8510E"/>
    <w:rsid w:val="00A85123"/>
    <w:rsid w:val="00A8515D"/>
    <w:rsid w:val="00A851AF"/>
    <w:rsid w:val="00A851DF"/>
    <w:rsid w:val="00A8520E"/>
    <w:rsid w:val="00A85214"/>
    <w:rsid w:val="00A85215"/>
    <w:rsid w:val="00A8521C"/>
    <w:rsid w:val="00A85298"/>
    <w:rsid w:val="00A8538B"/>
    <w:rsid w:val="00A853C4"/>
    <w:rsid w:val="00A853FE"/>
    <w:rsid w:val="00A8541B"/>
    <w:rsid w:val="00A85462"/>
    <w:rsid w:val="00A85474"/>
    <w:rsid w:val="00A8547D"/>
    <w:rsid w:val="00A854A0"/>
    <w:rsid w:val="00A8555C"/>
    <w:rsid w:val="00A85584"/>
    <w:rsid w:val="00A85592"/>
    <w:rsid w:val="00A8559D"/>
    <w:rsid w:val="00A855D4"/>
    <w:rsid w:val="00A85609"/>
    <w:rsid w:val="00A85642"/>
    <w:rsid w:val="00A8569F"/>
    <w:rsid w:val="00A856B6"/>
    <w:rsid w:val="00A85734"/>
    <w:rsid w:val="00A85769"/>
    <w:rsid w:val="00A857C7"/>
    <w:rsid w:val="00A858A9"/>
    <w:rsid w:val="00A858CA"/>
    <w:rsid w:val="00A858F8"/>
    <w:rsid w:val="00A85921"/>
    <w:rsid w:val="00A859EB"/>
    <w:rsid w:val="00A85A71"/>
    <w:rsid w:val="00A85ADD"/>
    <w:rsid w:val="00A85AF4"/>
    <w:rsid w:val="00A85B2E"/>
    <w:rsid w:val="00A85B75"/>
    <w:rsid w:val="00A85C41"/>
    <w:rsid w:val="00A85C63"/>
    <w:rsid w:val="00A85C68"/>
    <w:rsid w:val="00A85C8A"/>
    <w:rsid w:val="00A85DB3"/>
    <w:rsid w:val="00A85DB8"/>
    <w:rsid w:val="00A85DE6"/>
    <w:rsid w:val="00A85DEB"/>
    <w:rsid w:val="00A85E0E"/>
    <w:rsid w:val="00A85E5F"/>
    <w:rsid w:val="00A85E7D"/>
    <w:rsid w:val="00A85EAE"/>
    <w:rsid w:val="00A85EB9"/>
    <w:rsid w:val="00A85ED1"/>
    <w:rsid w:val="00A85EEE"/>
    <w:rsid w:val="00A85F30"/>
    <w:rsid w:val="00A85F98"/>
    <w:rsid w:val="00A85FDA"/>
    <w:rsid w:val="00A85FDB"/>
    <w:rsid w:val="00A8605B"/>
    <w:rsid w:val="00A86068"/>
    <w:rsid w:val="00A8609D"/>
    <w:rsid w:val="00A860B4"/>
    <w:rsid w:val="00A860F5"/>
    <w:rsid w:val="00A8612A"/>
    <w:rsid w:val="00A861D1"/>
    <w:rsid w:val="00A861D7"/>
    <w:rsid w:val="00A861FE"/>
    <w:rsid w:val="00A86227"/>
    <w:rsid w:val="00A8622B"/>
    <w:rsid w:val="00A8628D"/>
    <w:rsid w:val="00A8629A"/>
    <w:rsid w:val="00A862C1"/>
    <w:rsid w:val="00A862C6"/>
    <w:rsid w:val="00A86336"/>
    <w:rsid w:val="00A8635A"/>
    <w:rsid w:val="00A863DE"/>
    <w:rsid w:val="00A86415"/>
    <w:rsid w:val="00A86444"/>
    <w:rsid w:val="00A8646F"/>
    <w:rsid w:val="00A8649A"/>
    <w:rsid w:val="00A86583"/>
    <w:rsid w:val="00A865E4"/>
    <w:rsid w:val="00A86610"/>
    <w:rsid w:val="00A8663A"/>
    <w:rsid w:val="00A86645"/>
    <w:rsid w:val="00A8666F"/>
    <w:rsid w:val="00A866C6"/>
    <w:rsid w:val="00A8670E"/>
    <w:rsid w:val="00A867CE"/>
    <w:rsid w:val="00A8681F"/>
    <w:rsid w:val="00A868F7"/>
    <w:rsid w:val="00A86949"/>
    <w:rsid w:val="00A869F3"/>
    <w:rsid w:val="00A86AAC"/>
    <w:rsid w:val="00A86ADF"/>
    <w:rsid w:val="00A86BFC"/>
    <w:rsid w:val="00A86C0C"/>
    <w:rsid w:val="00A86C4A"/>
    <w:rsid w:val="00A86CAA"/>
    <w:rsid w:val="00A86CAD"/>
    <w:rsid w:val="00A86CB2"/>
    <w:rsid w:val="00A86CDA"/>
    <w:rsid w:val="00A86D10"/>
    <w:rsid w:val="00A86D13"/>
    <w:rsid w:val="00A86D2C"/>
    <w:rsid w:val="00A86D78"/>
    <w:rsid w:val="00A86E5D"/>
    <w:rsid w:val="00A86E80"/>
    <w:rsid w:val="00A86EBC"/>
    <w:rsid w:val="00A86F46"/>
    <w:rsid w:val="00A87113"/>
    <w:rsid w:val="00A87183"/>
    <w:rsid w:val="00A87187"/>
    <w:rsid w:val="00A871A3"/>
    <w:rsid w:val="00A871A9"/>
    <w:rsid w:val="00A871AF"/>
    <w:rsid w:val="00A871B1"/>
    <w:rsid w:val="00A871EE"/>
    <w:rsid w:val="00A871F7"/>
    <w:rsid w:val="00A8726A"/>
    <w:rsid w:val="00A872B8"/>
    <w:rsid w:val="00A872EB"/>
    <w:rsid w:val="00A872FA"/>
    <w:rsid w:val="00A87331"/>
    <w:rsid w:val="00A873F3"/>
    <w:rsid w:val="00A87432"/>
    <w:rsid w:val="00A87470"/>
    <w:rsid w:val="00A874DD"/>
    <w:rsid w:val="00A8750B"/>
    <w:rsid w:val="00A87542"/>
    <w:rsid w:val="00A87553"/>
    <w:rsid w:val="00A87565"/>
    <w:rsid w:val="00A87665"/>
    <w:rsid w:val="00A87673"/>
    <w:rsid w:val="00A87708"/>
    <w:rsid w:val="00A8778B"/>
    <w:rsid w:val="00A8780F"/>
    <w:rsid w:val="00A8797B"/>
    <w:rsid w:val="00A87995"/>
    <w:rsid w:val="00A879A2"/>
    <w:rsid w:val="00A879C6"/>
    <w:rsid w:val="00A879E5"/>
    <w:rsid w:val="00A87A0A"/>
    <w:rsid w:val="00A87A16"/>
    <w:rsid w:val="00A87A88"/>
    <w:rsid w:val="00A87B0B"/>
    <w:rsid w:val="00A87B4F"/>
    <w:rsid w:val="00A87C5D"/>
    <w:rsid w:val="00A87C68"/>
    <w:rsid w:val="00A87C8D"/>
    <w:rsid w:val="00A87CEB"/>
    <w:rsid w:val="00A87CFA"/>
    <w:rsid w:val="00A87D3C"/>
    <w:rsid w:val="00A87D49"/>
    <w:rsid w:val="00A87DA8"/>
    <w:rsid w:val="00A87DAE"/>
    <w:rsid w:val="00A87DD0"/>
    <w:rsid w:val="00A87DFA"/>
    <w:rsid w:val="00A87E42"/>
    <w:rsid w:val="00A87EA6"/>
    <w:rsid w:val="00A87ECB"/>
    <w:rsid w:val="00A87EDA"/>
    <w:rsid w:val="00A87EDC"/>
    <w:rsid w:val="00A87FC0"/>
    <w:rsid w:val="00A8D951"/>
    <w:rsid w:val="00A8DB77"/>
    <w:rsid w:val="00A90001"/>
    <w:rsid w:val="00A90040"/>
    <w:rsid w:val="00A90088"/>
    <w:rsid w:val="00A9008C"/>
    <w:rsid w:val="00A900D0"/>
    <w:rsid w:val="00A9012F"/>
    <w:rsid w:val="00A90187"/>
    <w:rsid w:val="00A9018C"/>
    <w:rsid w:val="00A901CF"/>
    <w:rsid w:val="00A901EA"/>
    <w:rsid w:val="00A902B5"/>
    <w:rsid w:val="00A90322"/>
    <w:rsid w:val="00A90444"/>
    <w:rsid w:val="00A90445"/>
    <w:rsid w:val="00A90478"/>
    <w:rsid w:val="00A904EA"/>
    <w:rsid w:val="00A904F7"/>
    <w:rsid w:val="00A90519"/>
    <w:rsid w:val="00A90529"/>
    <w:rsid w:val="00A9052E"/>
    <w:rsid w:val="00A905E0"/>
    <w:rsid w:val="00A90671"/>
    <w:rsid w:val="00A90674"/>
    <w:rsid w:val="00A90689"/>
    <w:rsid w:val="00A90697"/>
    <w:rsid w:val="00A906C0"/>
    <w:rsid w:val="00A906E8"/>
    <w:rsid w:val="00A90711"/>
    <w:rsid w:val="00A907A8"/>
    <w:rsid w:val="00A907AE"/>
    <w:rsid w:val="00A90824"/>
    <w:rsid w:val="00A90825"/>
    <w:rsid w:val="00A90856"/>
    <w:rsid w:val="00A90859"/>
    <w:rsid w:val="00A908FE"/>
    <w:rsid w:val="00A90922"/>
    <w:rsid w:val="00A9095F"/>
    <w:rsid w:val="00A90963"/>
    <w:rsid w:val="00A90974"/>
    <w:rsid w:val="00A909C4"/>
    <w:rsid w:val="00A909FA"/>
    <w:rsid w:val="00A90A3A"/>
    <w:rsid w:val="00A90A69"/>
    <w:rsid w:val="00A90A80"/>
    <w:rsid w:val="00A90AB8"/>
    <w:rsid w:val="00A90ABA"/>
    <w:rsid w:val="00A90AED"/>
    <w:rsid w:val="00A90B78"/>
    <w:rsid w:val="00A90B7B"/>
    <w:rsid w:val="00A90BAD"/>
    <w:rsid w:val="00A90BBE"/>
    <w:rsid w:val="00A90BDD"/>
    <w:rsid w:val="00A90BF4"/>
    <w:rsid w:val="00A90C2B"/>
    <w:rsid w:val="00A90C35"/>
    <w:rsid w:val="00A90CB5"/>
    <w:rsid w:val="00A90CDD"/>
    <w:rsid w:val="00A90D1A"/>
    <w:rsid w:val="00A90DDF"/>
    <w:rsid w:val="00A90E4A"/>
    <w:rsid w:val="00A90EA7"/>
    <w:rsid w:val="00A91017"/>
    <w:rsid w:val="00A9108E"/>
    <w:rsid w:val="00A910BC"/>
    <w:rsid w:val="00A910F3"/>
    <w:rsid w:val="00A9112C"/>
    <w:rsid w:val="00A91130"/>
    <w:rsid w:val="00A9116F"/>
    <w:rsid w:val="00A911AA"/>
    <w:rsid w:val="00A911EC"/>
    <w:rsid w:val="00A9122E"/>
    <w:rsid w:val="00A91248"/>
    <w:rsid w:val="00A91262"/>
    <w:rsid w:val="00A91266"/>
    <w:rsid w:val="00A9126C"/>
    <w:rsid w:val="00A912AD"/>
    <w:rsid w:val="00A912CC"/>
    <w:rsid w:val="00A9131C"/>
    <w:rsid w:val="00A9133B"/>
    <w:rsid w:val="00A9134C"/>
    <w:rsid w:val="00A913C0"/>
    <w:rsid w:val="00A913FD"/>
    <w:rsid w:val="00A91415"/>
    <w:rsid w:val="00A91442"/>
    <w:rsid w:val="00A914E2"/>
    <w:rsid w:val="00A914E4"/>
    <w:rsid w:val="00A91520"/>
    <w:rsid w:val="00A9156D"/>
    <w:rsid w:val="00A91624"/>
    <w:rsid w:val="00A91643"/>
    <w:rsid w:val="00A9165D"/>
    <w:rsid w:val="00A91697"/>
    <w:rsid w:val="00A9173E"/>
    <w:rsid w:val="00A91781"/>
    <w:rsid w:val="00A91794"/>
    <w:rsid w:val="00A917EB"/>
    <w:rsid w:val="00A918C7"/>
    <w:rsid w:val="00A918E2"/>
    <w:rsid w:val="00A918FE"/>
    <w:rsid w:val="00A91930"/>
    <w:rsid w:val="00A91A23"/>
    <w:rsid w:val="00A91AD0"/>
    <w:rsid w:val="00A91AF5"/>
    <w:rsid w:val="00A91B23"/>
    <w:rsid w:val="00A91B2D"/>
    <w:rsid w:val="00A91B4D"/>
    <w:rsid w:val="00A91BD9"/>
    <w:rsid w:val="00A91C10"/>
    <w:rsid w:val="00A91C43"/>
    <w:rsid w:val="00A91C85"/>
    <w:rsid w:val="00A91CCD"/>
    <w:rsid w:val="00A91D93"/>
    <w:rsid w:val="00A91D96"/>
    <w:rsid w:val="00A91DEC"/>
    <w:rsid w:val="00A91DF4"/>
    <w:rsid w:val="00A91E1F"/>
    <w:rsid w:val="00A91E26"/>
    <w:rsid w:val="00A91E44"/>
    <w:rsid w:val="00A91E55"/>
    <w:rsid w:val="00A91E64"/>
    <w:rsid w:val="00A91E79"/>
    <w:rsid w:val="00A91EB9"/>
    <w:rsid w:val="00A91F37"/>
    <w:rsid w:val="00A91F94"/>
    <w:rsid w:val="00A91FB2"/>
    <w:rsid w:val="00A9204C"/>
    <w:rsid w:val="00A9205C"/>
    <w:rsid w:val="00A92095"/>
    <w:rsid w:val="00A9210A"/>
    <w:rsid w:val="00A92113"/>
    <w:rsid w:val="00A92131"/>
    <w:rsid w:val="00A92137"/>
    <w:rsid w:val="00A92170"/>
    <w:rsid w:val="00A921D4"/>
    <w:rsid w:val="00A921EF"/>
    <w:rsid w:val="00A92201"/>
    <w:rsid w:val="00A9224E"/>
    <w:rsid w:val="00A922F1"/>
    <w:rsid w:val="00A92302"/>
    <w:rsid w:val="00A92337"/>
    <w:rsid w:val="00A92370"/>
    <w:rsid w:val="00A923B5"/>
    <w:rsid w:val="00A92425"/>
    <w:rsid w:val="00A92485"/>
    <w:rsid w:val="00A9253E"/>
    <w:rsid w:val="00A92595"/>
    <w:rsid w:val="00A925D9"/>
    <w:rsid w:val="00A92665"/>
    <w:rsid w:val="00A92695"/>
    <w:rsid w:val="00A9270F"/>
    <w:rsid w:val="00A9274C"/>
    <w:rsid w:val="00A927C6"/>
    <w:rsid w:val="00A9285F"/>
    <w:rsid w:val="00A9287B"/>
    <w:rsid w:val="00A9287D"/>
    <w:rsid w:val="00A92922"/>
    <w:rsid w:val="00A929AD"/>
    <w:rsid w:val="00A92A0F"/>
    <w:rsid w:val="00A92AA6"/>
    <w:rsid w:val="00A92AAB"/>
    <w:rsid w:val="00A92AB7"/>
    <w:rsid w:val="00A92B36"/>
    <w:rsid w:val="00A92B46"/>
    <w:rsid w:val="00A92B55"/>
    <w:rsid w:val="00A92BB7"/>
    <w:rsid w:val="00A92BEF"/>
    <w:rsid w:val="00A92BF8"/>
    <w:rsid w:val="00A92C12"/>
    <w:rsid w:val="00A92C97"/>
    <w:rsid w:val="00A92CF2"/>
    <w:rsid w:val="00A92DCC"/>
    <w:rsid w:val="00A92E6A"/>
    <w:rsid w:val="00A92E7B"/>
    <w:rsid w:val="00A92EB6"/>
    <w:rsid w:val="00A92EC9"/>
    <w:rsid w:val="00A92EDF"/>
    <w:rsid w:val="00A92EEF"/>
    <w:rsid w:val="00A92F65"/>
    <w:rsid w:val="00A92F81"/>
    <w:rsid w:val="00A93097"/>
    <w:rsid w:val="00A930C6"/>
    <w:rsid w:val="00A93100"/>
    <w:rsid w:val="00A9310B"/>
    <w:rsid w:val="00A93126"/>
    <w:rsid w:val="00A9315E"/>
    <w:rsid w:val="00A931AD"/>
    <w:rsid w:val="00A931C5"/>
    <w:rsid w:val="00A93203"/>
    <w:rsid w:val="00A932D9"/>
    <w:rsid w:val="00A932F6"/>
    <w:rsid w:val="00A93319"/>
    <w:rsid w:val="00A93326"/>
    <w:rsid w:val="00A9335D"/>
    <w:rsid w:val="00A93366"/>
    <w:rsid w:val="00A9339E"/>
    <w:rsid w:val="00A9341B"/>
    <w:rsid w:val="00A9344A"/>
    <w:rsid w:val="00A9345C"/>
    <w:rsid w:val="00A9354B"/>
    <w:rsid w:val="00A93551"/>
    <w:rsid w:val="00A93564"/>
    <w:rsid w:val="00A93568"/>
    <w:rsid w:val="00A93580"/>
    <w:rsid w:val="00A9361D"/>
    <w:rsid w:val="00A9362D"/>
    <w:rsid w:val="00A93657"/>
    <w:rsid w:val="00A936A8"/>
    <w:rsid w:val="00A9380C"/>
    <w:rsid w:val="00A93858"/>
    <w:rsid w:val="00A938FC"/>
    <w:rsid w:val="00A939D5"/>
    <w:rsid w:val="00A93A12"/>
    <w:rsid w:val="00A93A37"/>
    <w:rsid w:val="00A93A6E"/>
    <w:rsid w:val="00A93A9D"/>
    <w:rsid w:val="00A93AD1"/>
    <w:rsid w:val="00A93AE8"/>
    <w:rsid w:val="00A93B38"/>
    <w:rsid w:val="00A93B52"/>
    <w:rsid w:val="00A93B5E"/>
    <w:rsid w:val="00A93BC9"/>
    <w:rsid w:val="00A93BDD"/>
    <w:rsid w:val="00A93BEC"/>
    <w:rsid w:val="00A93C07"/>
    <w:rsid w:val="00A93CA6"/>
    <w:rsid w:val="00A93CF4"/>
    <w:rsid w:val="00A93D52"/>
    <w:rsid w:val="00A93E55"/>
    <w:rsid w:val="00A93E5E"/>
    <w:rsid w:val="00A93E83"/>
    <w:rsid w:val="00A93EA7"/>
    <w:rsid w:val="00A93EB0"/>
    <w:rsid w:val="00A93F02"/>
    <w:rsid w:val="00A93F0D"/>
    <w:rsid w:val="00A93F26"/>
    <w:rsid w:val="00A93F28"/>
    <w:rsid w:val="00A93FAB"/>
    <w:rsid w:val="00A93FB1"/>
    <w:rsid w:val="00A93FB4"/>
    <w:rsid w:val="00A93FD4"/>
    <w:rsid w:val="00A94002"/>
    <w:rsid w:val="00A94052"/>
    <w:rsid w:val="00A94078"/>
    <w:rsid w:val="00A940CF"/>
    <w:rsid w:val="00A940E3"/>
    <w:rsid w:val="00A94264"/>
    <w:rsid w:val="00A942A8"/>
    <w:rsid w:val="00A942AA"/>
    <w:rsid w:val="00A942E8"/>
    <w:rsid w:val="00A9434A"/>
    <w:rsid w:val="00A9437E"/>
    <w:rsid w:val="00A94395"/>
    <w:rsid w:val="00A943A1"/>
    <w:rsid w:val="00A943DF"/>
    <w:rsid w:val="00A9442F"/>
    <w:rsid w:val="00A94473"/>
    <w:rsid w:val="00A944D0"/>
    <w:rsid w:val="00A944D4"/>
    <w:rsid w:val="00A9453D"/>
    <w:rsid w:val="00A94553"/>
    <w:rsid w:val="00A94590"/>
    <w:rsid w:val="00A945C8"/>
    <w:rsid w:val="00A945E2"/>
    <w:rsid w:val="00A94640"/>
    <w:rsid w:val="00A94665"/>
    <w:rsid w:val="00A94689"/>
    <w:rsid w:val="00A946C1"/>
    <w:rsid w:val="00A9471A"/>
    <w:rsid w:val="00A9474B"/>
    <w:rsid w:val="00A94769"/>
    <w:rsid w:val="00A94784"/>
    <w:rsid w:val="00A9479A"/>
    <w:rsid w:val="00A9481E"/>
    <w:rsid w:val="00A9482A"/>
    <w:rsid w:val="00A94837"/>
    <w:rsid w:val="00A94844"/>
    <w:rsid w:val="00A9485B"/>
    <w:rsid w:val="00A948EE"/>
    <w:rsid w:val="00A94905"/>
    <w:rsid w:val="00A94953"/>
    <w:rsid w:val="00A949BF"/>
    <w:rsid w:val="00A949E2"/>
    <w:rsid w:val="00A949E9"/>
    <w:rsid w:val="00A949F4"/>
    <w:rsid w:val="00A94B19"/>
    <w:rsid w:val="00A94B4A"/>
    <w:rsid w:val="00A94B52"/>
    <w:rsid w:val="00A94B60"/>
    <w:rsid w:val="00A94B8A"/>
    <w:rsid w:val="00A94BB9"/>
    <w:rsid w:val="00A94BE1"/>
    <w:rsid w:val="00A94BF7"/>
    <w:rsid w:val="00A94C11"/>
    <w:rsid w:val="00A94C2C"/>
    <w:rsid w:val="00A94C6D"/>
    <w:rsid w:val="00A94C74"/>
    <w:rsid w:val="00A94C7D"/>
    <w:rsid w:val="00A94CC5"/>
    <w:rsid w:val="00A94CC8"/>
    <w:rsid w:val="00A94CD2"/>
    <w:rsid w:val="00A94D23"/>
    <w:rsid w:val="00A94D28"/>
    <w:rsid w:val="00A94D4E"/>
    <w:rsid w:val="00A94D7E"/>
    <w:rsid w:val="00A94D88"/>
    <w:rsid w:val="00A94DB2"/>
    <w:rsid w:val="00A94DD2"/>
    <w:rsid w:val="00A94DFA"/>
    <w:rsid w:val="00A94EEB"/>
    <w:rsid w:val="00A94F16"/>
    <w:rsid w:val="00A94F25"/>
    <w:rsid w:val="00A94F4A"/>
    <w:rsid w:val="00A94F6C"/>
    <w:rsid w:val="00A94FB9"/>
    <w:rsid w:val="00A95014"/>
    <w:rsid w:val="00A95027"/>
    <w:rsid w:val="00A95043"/>
    <w:rsid w:val="00A9506B"/>
    <w:rsid w:val="00A9510B"/>
    <w:rsid w:val="00A95152"/>
    <w:rsid w:val="00A95201"/>
    <w:rsid w:val="00A9520F"/>
    <w:rsid w:val="00A9524E"/>
    <w:rsid w:val="00A95251"/>
    <w:rsid w:val="00A952E2"/>
    <w:rsid w:val="00A952EC"/>
    <w:rsid w:val="00A95364"/>
    <w:rsid w:val="00A95366"/>
    <w:rsid w:val="00A95396"/>
    <w:rsid w:val="00A9539E"/>
    <w:rsid w:val="00A953C7"/>
    <w:rsid w:val="00A953F5"/>
    <w:rsid w:val="00A95418"/>
    <w:rsid w:val="00A954C0"/>
    <w:rsid w:val="00A954E7"/>
    <w:rsid w:val="00A954F6"/>
    <w:rsid w:val="00A955A6"/>
    <w:rsid w:val="00A9561A"/>
    <w:rsid w:val="00A9569D"/>
    <w:rsid w:val="00A956AB"/>
    <w:rsid w:val="00A956D3"/>
    <w:rsid w:val="00A956F8"/>
    <w:rsid w:val="00A9570B"/>
    <w:rsid w:val="00A957A6"/>
    <w:rsid w:val="00A957E4"/>
    <w:rsid w:val="00A95861"/>
    <w:rsid w:val="00A9589C"/>
    <w:rsid w:val="00A95940"/>
    <w:rsid w:val="00A95946"/>
    <w:rsid w:val="00A959B2"/>
    <w:rsid w:val="00A95A3A"/>
    <w:rsid w:val="00A95A49"/>
    <w:rsid w:val="00A95A69"/>
    <w:rsid w:val="00A95A80"/>
    <w:rsid w:val="00A95AAF"/>
    <w:rsid w:val="00A95B30"/>
    <w:rsid w:val="00A95B81"/>
    <w:rsid w:val="00A95BCF"/>
    <w:rsid w:val="00A95C1B"/>
    <w:rsid w:val="00A95CF9"/>
    <w:rsid w:val="00A95D3E"/>
    <w:rsid w:val="00A95D45"/>
    <w:rsid w:val="00A95D4C"/>
    <w:rsid w:val="00A95D53"/>
    <w:rsid w:val="00A95DA5"/>
    <w:rsid w:val="00A95DD7"/>
    <w:rsid w:val="00A95E8A"/>
    <w:rsid w:val="00A95EEB"/>
    <w:rsid w:val="00A95F35"/>
    <w:rsid w:val="00A95F99"/>
    <w:rsid w:val="00A95FBA"/>
    <w:rsid w:val="00A96059"/>
    <w:rsid w:val="00A9605B"/>
    <w:rsid w:val="00A96078"/>
    <w:rsid w:val="00A96109"/>
    <w:rsid w:val="00A96176"/>
    <w:rsid w:val="00A96248"/>
    <w:rsid w:val="00A9624B"/>
    <w:rsid w:val="00A9625C"/>
    <w:rsid w:val="00A9627C"/>
    <w:rsid w:val="00A9628A"/>
    <w:rsid w:val="00A962CC"/>
    <w:rsid w:val="00A963FB"/>
    <w:rsid w:val="00A9645E"/>
    <w:rsid w:val="00A96540"/>
    <w:rsid w:val="00A9658C"/>
    <w:rsid w:val="00A965A6"/>
    <w:rsid w:val="00A96675"/>
    <w:rsid w:val="00A9669C"/>
    <w:rsid w:val="00A966AE"/>
    <w:rsid w:val="00A966F0"/>
    <w:rsid w:val="00A966FC"/>
    <w:rsid w:val="00A96758"/>
    <w:rsid w:val="00A96786"/>
    <w:rsid w:val="00A96794"/>
    <w:rsid w:val="00A96798"/>
    <w:rsid w:val="00A967F6"/>
    <w:rsid w:val="00A96805"/>
    <w:rsid w:val="00A9681F"/>
    <w:rsid w:val="00A968AB"/>
    <w:rsid w:val="00A968CA"/>
    <w:rsid w:val="00A968F3"/>
    <w:rsid w:val="00A96902"/>
    <w:rsid w:val="00A96966"/>
    <w:rsid w:val="00A9697E"/>
    <w:rsid w:val="00A96990"/>
    <w:rsid w:val="00A9699A"/>
    <w:rsid w:val="00A969B1"/>
    <w:rsid w:val="00A969EE"/>
    <w:rsid w:val="00A969F0"/>
    <w:rsid w:val="00A969FE"/>
    <w:rsid w:val="00A96A10"/>
    <w:rsid w:val="00A96A17"/>
    <w:rsid w:val="00A96A25"/>
    <w:rsid w:val="00A96A34"/>
    <w:rsid w:val="00A96A90"/>
    <w:rsid w:val="00A96AFF"/>
    <w:rsid w:val="00A96B66"/>
    <w:rsid w:val="00A96B93"/>
    <w:rsid w:val="00A96B9D"/>
    <w:rsid w:val="00A96BB3"/>
    <w:rsid w:val="00A96C63"/>
    <w:rsid w:val="00A96C6F"/>
    <w:rsid w:val="00A96C8B"/>
    <w:rsid w:val="00A96DE6"/>
    <w:rsid w:val="00A96EA1"/>
    <w:rsid w:val="00A96EEA"/>
    <w:rsid w:val="00A96F89"/>
    <w:rsid w:val="00A96FD9"/>
    <w:rsid w:val="00A9703C"/>
    <w:rsid w:val="00A97072"/>
    <w:rsid w:val="00A9709F"/>
    <w:rsid w:val="00A970A8"/>
    <w:rsid w:val="00A970EB"/>
    <w:rsid w:val="00A9712F"/>
    <w:rsid w:val="00A97141"/>
    <w:rsid w:val="00A971B8"/>
    <w:rsid w:val="00A971EF"/>
    <w:rsid w:val="00A9724F"/>
    <w:rsid w:val="00A97313"/>
    <w:rsid w:val="00A97359"/>
    <w:rsid w:val="00A9737A"/>
    <w:rsid w:val="00A97411"/>
    <w:rsid w:val="00A974EC"/>
    <w:rsid w:val="00A97565"/>
    <w:rsid w:val="00A97629"/>
    <w:rsid w:val="00A9769A"/>
    <w:rsid w:val="00A976F0"/>
    <w:rsid w:val="00A97739"/>
    <w:rsid w:val="00A97779"/>
    <w:rsid w:val="00A9777C"/>
    <w:rsid w:val="00A97793"/>
    <w:rsid w:val="00A977AB"/>
    <w:rsid w:val="00A97812"/>
    <w:rsid w:val="00A97855"/>
    <w:rsid w:val="00A9786E"/>
    <w:rsid w:val="00A97886"/>
    <w:rsid w:val="00A978BB"/>
    <w:rsid w:val="00A978BD"/>
    <w:rsid w:val="00A979B1"/>
    <w:rsid w:val="00A97A13"/>
    <w:rsid w:val="00A97A23"/>
    <w:rsid w:val="00A97A30"/>
    <w:rsid w:val="00A97A7C"/>
    <w:rsid w:val="00A97B0C"/>
    <w:rsid w:val="00A97B29"/>
    <w:rsid w:val="00A97B96"/>
    <w:rsid w:val="00A97BD0"/>
    <w:rsid w:val="00A97BFB"/>
    <w:rsid w:val="00A97BFF"/>
    <w:rsid w:val="00A97C43"/>
    <w:rsid w:val="00A97C71"/>
    <w:rsid w:val="00A97C8E"/>
    <w:rsid w:val="00A97C93"/>
    <w:rsid w:val="00A97CE2"/>
    <w:rsid w:val="00A97D57"/>
    <w:rsid w:val="00A97D69"/>
    <w:rsid w:val="00A97DD8"/>
    <w:rsid w:val="00A97E2C"/>
    <w:rsid w:val="00A97E4C"/>
    <w:rsid w:val="00A97E5D"/>
    <w:rsid w:val="00A97E60"/>
    <w:rsid w:val="00A97F10"/>
    <w:rsid w:val="00A97F1B"/>
    <w:rsid w:val="00A97F2E"/>
    <w:rsid w:val="00A97F66"/>
    <w:rsid w:val="00A97F67"/>
    <w:rsid w:val="00A97FBB"/>
    <w:rsid w:val="00A97FBF"/>
    <w:rsid w:val="00A9FA04"/>
    <w:rsid w:val="00AA00D2"/>
    <w:rsid w:val="00AA00F1"/>
    <w:rsid w:val="00AA0103"/>
    <w:rsid w:val="00AA0154"/>
    <w:rsid w:val="00AA01E0"/>
    <w:rsid w:val="00AA0266"/>
    <w:rsid w:val="00AA02A6"/>
    <w:rsid w:val="00AA02AB"/>
    <w:rsid w:val="00AA0356"/>
    <w:rsid w:val="00AA036A"/>
    <w:rsid w:val="00AA03D1"/>
    <w:rsid w:val="00AA03E3"/>
    <w:rsid w:val="00AA0430"/>
    <w:rsid w:val="00AA04C9"/>
    <w:rsid w:val="00AA050C"/>
    <w:rsid w:val="00AA0524"/>
    <w:rsid w:val="00AA058A"/>
    <w:rsid w:val="00AA05BC"/>
    <w:rsid w:val="00AA05F9"/>
    <w:rsid w:val="00AA0636"/>
    <w:rsid w:val="00AA0693"/>
    <w:rsid w:val="00AA06A2"/>
    <w:rsid w:val="00AA070D"/>
    <w:rsid w:val="00AA0748"/>
    <w:rsid w:val="00AA0750"/>
    <w:rsid w:val="00AA076C"/>
    <w:rsid w:val="00AA0770"/>
    <w:rsid w:val="00AA0776"/>
    <w:rsid w:val="00AA0786"/>
    <w:rsid w:val="00AA0862"/>
    <w:rsid w:val="00AA08D6"/>
    <w:rsid w:val="00AA0908"/>
    <w:rsid w:val="00AA0940"/>
    <w:rsid w:val="00AA0992"/>
    <w:rsid w:val="00AA09E0"/>
    <w:rsid w:val="00AA09F1"/>
    <w:rsid w:val="00AA09F3"/>
    <w:rsid w:val="00AA0A14"/>
    <w:rsid w:val="00AA0A63"/>
    <w:rsid w:val="00AA0AA1"/>
    <w:rsid w:val="00AA0AAB"/>
    <w:rsid w:val="00AA0AE1"/>
    <w:rsid w:val="00AA0B0A"/>
    <w:rsid w:val="00AA0B6E"/>
    <w:rsid w:val="00AA0B7C"/>
    <w:rsid w:val="00AA0B83"/>
    <w:rsid w:val="00AA0BA6"/>
    <w:rsid w:val="00AA0C0F"/>
    <w:rsid w:val="00AA0C3D"/>
    <w:rsid w:val="00AA0CBD"/>
    <w:rsid w:val="00AA0CC8"/>
    <w:rsid w:val="00AA0CE9"/>
    <w:rsid w:val="00AA0D1D"/>
    <w:rsid w:val="00AA0D71"/>
    <w:rsid w:val="00AA0D7B"/>
    <w:rsid w:val="00AA0DAE"/>
    <w:rsid w:val="00AA0DEE"/>
    <w:rsid w:val="00AA0E83"/>
    <w:rsid w:val="00AA0E8F"/>
    <w:rsid w:val="00AA0EAF"/>
    <w:rsid w:val="00AA0EBC"/>
    <w:rsid w:val="00AA0F20"/>
    <w:rsid w:val="00AA0F27"/>
    <w:rsid w:val="00AA0F77"/>
    <w:rsid w:val="00AA0F95"/>
    <w:rsid w:val="00AA0FA3"/>
    <w:rsid w:val="00AA0FB5"/>
    <w:rsid w:val="00AA0FBB"/>
    <w:rsid w:val="00AA0FC4"/>
    <w:rsid w:val="00AA0FC6"/>
    <w:rsid w:val="00AA1007"/>
    <w:rsid w:val="00AA101A"/>
    <w:rsid w:val="00AA1057"/>
    <w:rsid w:val="00AA105D"/>
    <w:rsid w:val="00AA10FA"/>
    <w:rsid w:val="00AA1151"/>
    <w:rsid w:val="00AA11A1"/>
    <w:rsid w:val="00AA11E4"/>
    <w:rsid w:val="00AA1292"/>
    <w:rsid w:val="00AA12E9"/>
    <w:rsid w:val="00AA13E0"/>
    <w:rsid w:val="00AA1403"/>
    <w:rsid w:val="00AA1477"/>
    <w:rsid w:val="00AA148F"/>
    <w:rsid w:val="00AA149E"/>
    <w:rsid w:val="00AA1532"/>
    <w:rsid w:val="00AA153C"/>
    <w:rsid w:val="00AA15A2"/>
    <w:rsid w:val="00AA15C8"/>
    <w:rsid w:val="00AA15EB"/>
    <w:rsid w:val="00AA1737"/>
    <w:rsid w:val="00AA177E"/>
    <w:rsid w:val="00AA17C5"/>
    <w:rsid w:val="00AA17E5"/>
    <w:rsid w:val="00AA189C"/>
    <w:rsid w:val="00AA189E"/>
    <w:rsid w:val="00AA18A5"/>
    <w:rsid w:val="00AA1953"/>
    <w:rsid w:val="00AA19C3"/>
    <w:rsid w:val="00AA1A14"/>
    <w:rsid w:val="00AA1A3A"/>
    <w:rsid w:val="00AA1B04"/>
    <w:rsid w:val="00AA1B99"/>
    <w:rsid w:val="00AA1BDB"/>
    <w:rsid w:val="00AA1BEB"/>
    <w:rsid w:val="00AA1CA6"/>
    <w:rsid w:val="00AA1CD0"/>
    <w:rsid w:val="00AA1D8E"/>
    <w:rsid w:val="00AA1E1F"/>
    <w:rsid w:val="00AA1EFD"/>
    <w:rsid w:val="00AA1EFE"/>
    <w:rsid w:val="00AA1F09"/>
    <w:rsid w:val="00AA1F21"/>
    <w:rsid w:val="00AA1F37"/>
    <w:rsid w:val="00AA1F59"/>
    <w:rsid w:val="00AA1FA9"/>
    <w:rsid w:val="00AA2037"/>
    <w:rsid w:val="00AA206E"/>
    <w:rsid w:val="00AA20E6"/>
    <w:rsid w:val="00AA21ED"/>
    <w:rsid w:val="00AA225F"/>
    <w:rsid w:val="00AA22E8"/>
    <w:rsid w:val="00AA235F"/>
    <w:rsid w:val="00AA23AD"/>
    <w:rsid w:val="00AA2427"/>
    <w:rsid w:val="00AA2484"/>
    <w:rsid w:val="00AA24CB"/>
    <w:rsid w:val="00AA24EE"/>
    <w:rsid w:val="00AA2506"/>
    <w:rsid w:val="00AA2571"/>
    <w:rsid w:val="00AA262F"/>
    <w:rsid w:val="00AA26E8"/>
    <w:rsid w:val="00AA2703"/>
    <w:rsid w:val="00AA270C"/>
    <w:rsid w:val="00AA27DA"/>
    <w:rsid w:val="00AA281E"/>
    <w:rsid w:val="00AA2835"/>
    <w:rsid w:val="00AA2836"/>
    <w:rsid w:val="00AA2875"/>
    <w:rsid w:val="00AA2894"/>
    <w:rsid w:val="00AA2934"/>
    <w:rsid w:val="00AA29AA"/>
    <w:rsid w:val="00AA2A2B"/>
    <w:rsid w:val="00AA2A38"/>
    <w:rsid w:val="00AA2A4B"/>
    <w:rsid w:val="00AA2A9F"/>
    <w:rsid w:val="00AA2AC3"/>
    <w:rsid w:val="00AA2AF3"/>
    <w:rsid w:val="00AA2B1F"/>
    <w:rsid w:val="00AA2B25"/>
    <w:rsid w:val="00AA2BC4"/>
    <w:rsid w:val="00AA2BD6"/>
    <w:rsid w:val="00AA2BE6"/>
    <w:rsid w:val="00AA2C6A"/>
    <w:rsid w:val="00AA2C9E"/>
    <w:rsid w:val="00AA2CBE"/>
    <w:rsid w:val="00AA2D15"/>
    <w:rsid w:val="00AA2D2E"/>
    <w:rsid w:val="00AA2D4D"/>
    <w:rsid w:val="00AA2D77"/>
    <w:rsid w:val="00AA2D78"/>
    <w:rsid w:val="00AA2D80"/>
    <w:rsid w:val="00AA2DF6"/>
    <w:rsid w:val="00AA2E01"/>
    <w:rsid w:val="00AA2E45"/>
    <w:rsid w:val="00AA2E4F"/>
    <w:rsid w:val="00AA2EC6"/>
    <w:rsid w:val="00AA2EEB"/>
    <w:rsid w:val="00AA2F30"/>
    <w:rsid w:val="00AA2F31"/>
    <w:rsid w:val="00AA2F61"/>
    <w:rsid w:val="00AA2F90"/>
    <w:rsid w:val="00AA2FC6"/>
    <w:rsid w:val="00AA2FCA"/>
    <w:rsid w:val="00AA2FDA"/>
    <w:rsid w:val="00AA3005"/>
    <w:rsid w:val="00AA301A"/>
    <w:rsid w:val="00AA3029"/>
    <w:rsid w:val="00AA305B"/>
    <w:rsid w:val="00AA30E4"/>
    <w:rsid w:val="00AA310D"/>
    <w:rsid w:val="00AA31F2"/>
    <w:rsid w:val="00AA320F"/>
    <w:rsid w:val="00AA3224"/>
    <w:rsid w:val="00AA3252"/>
    <w:rsid w:val="00AA3296"/>
    <w:rsid w:val="00AA32D0"/>
    <w:rsid w:val="00AA3327"/>
    <w:rsid w:val="00AA3355"/>
    <w:rsid w:val="00AA336F"/>
    <w:rsid w:val="00AA337E"/>
    <w:rsid w:val="00AA33B3"/>
    <w:rsid w:val="00AA33D9"/>
    <w:rsid w:val="00AA33FD"/>
    <w:rsid w:val="00AA3458"/>
    <w:rsid w:val="00AA34A3"/>
    <w:rsid w:val="00AA3506"/>
    <w:rsid w:val="00AA351D"/>
    <w:rsid w:val="00AA3581"/>
    <w:rsid w:val="00AA3592"/>
    <w:rsid w:val="00AA35BD"/>
    <w:rsid w:val="00AA35FC"/>
    <w:rsid w:val="00AA35FE"/>
    <w:rsid w:val="00AA3617"/>
    <w:rsid w:val="00AA3646"/>
    <w:rsid w:val="00AA3660"/>
    <w:rsid w:val="00AA3694"/>
    <w:rsid w:val="00AA36DD"/>
    <w:rsid w:val="00AA36E2"/>
    <w:rsid w:val="00AA3701"/>
    <w:rsid w:val="00AA372D"/>
    <w:rsid w:val="00AA373B"/>
    <w:rsid w:val="00AA3768"/>
    <w:rsid w:val="00AA377B"/>
    <w:rsid w:val="00AA3798"/>
    <w:rsid w:val="00AA37B7"/>
    <w:rsid w:val="00AA37F0"/>
    <w:rsid w:val="00AA38C0"/>
    <w:rsid w:val="00AA38D6"/>
    <w:rsid w:val="00AA38F8"/>
    <w:rsid w:val="00AA3903"/>
    <w:rsid w:val="00AA39A8"/>
    <w:rsid w:val="00AA3A79"/>
    <w:rsid w:val="00AA3AB7"/>
    <w:rsid w:val="00AA3B09"/>
    <w:rsid w:val="00AA3B3D"/>
    <w:rsid w:val="00AA3B57"/>
    <w:rsid w:val="00AA3BD7"/>
    <w:rsid w:val="00AA3C01"/>
    <w:rsid w:val="00AA3C22"/>
    <w:rsid w:val="00AA3C4A"/>
    <w:rsid w:val="00AA3C6F"/>
    <w:rsid w:val="00AA3CE8"/>
    <w:rsid w:val="00AA3CE9"/>
    <w:rsid w:val="00AA3CFF"/>
    <w:rsid w:val="00AA3D68"/>
    <w:rsid w:val="00AA3D82"/>
    <w:rsid w:val="00AA3D87"/>
    <w:rsid w:val="00AA3E3A"/>
    <w:rsid w:val="00AA3E68"/>
    <w:rsid w:val="00AA3EA4"/>
    <w:rsid w:val="00AA3EB3"/>
    <w:rsid w:val="00AA3EBA"/>
    <w:rsid w:val="00AA3ECA"/>
    <w:rsid w:val="00AA3FAF"/>
    <w:rsid w:val="00AA40D8"/>
    <w:rsid w:val="00AA40DA"/>
    <w:rsid w:val="00AA40E8"/>
    <w:rsid w:val="00AA4237"/>
    <w:rsid w:val="00AA4256"/>
    <w:rsid w:val="00AA42BA"/>
    <w:rsid w:val="00AA432C"/>
    <w:rsid w:val="00AA4350"/>
    <w:rsid w:val="00AA4383"/>
    <w:rsid w:val="00AA4385"/>
    <w:rsid w:val="00AA4396"/>
    <w:rsid w:val="00AA4500"/>
    <w:rsid w:val="00AA4589"/>
    <w:rsid w:val="00AA45D8"/>
    <w:rsid w:val="00AA45E1"/>
    <w:rsid w:val="00AA466E"/>
    <w:rsid w:val="00AA46C9"/>
    <w:rsid w:val="00AA4730"/>
    <w:rsid w:val="00AA4733"/>
    <w:rsid w:val="00AA475E"/>
    <w:rsid w:val="00AA47EB"/>
    <w:rsid w:val="00AA4813"/>
    <w:rsid w:val="00AA4843"/>
    <w:rsid w:val="00AA4878"/>
    <w:rsid w:val="00AA48A8"/>
    <w:rsid w:val="00AA48B2"/>
    <w:rsid w:val="00AA48BE"/>
    <w:rsid w:val="00AA48F3"/>
    <w:rsid w:val="00AA497C"/>
    <w:rsid w:val="00AA4986"/>
    <w:rsid w:val="00AA4991"/>
    <w:rsid w:val="00AA49C5"/>
    <w:rsid w:val="00AA4A1D"/>
    <w:rsid w:val="00AA4A32"/>
    <w:rsid w:val="00AA4AA9"/>
    <w:rsid w:val="00AA4AB0"/>
    <w:rsid w:val="00AA4B5E"/>
    <w:rsid w:val="00AA4B99"/>
    <w:rsid w:val="00AA4BB0"/>
    <w:rsid w:val="00AA4BE3"/>
    <w:rsid w:val="00AA4C1A"/>
    <w:rsid w:val="00AA4CC4"/>
    <w:rsid w:val="00AA4D23"/>
    <w:rsid w:val="00AA4E82"/>
    <w:rsid w:val="00AA4ECB"/>
    <w:rsid w:val="00AA4F91"/>
    <w:rsid w:val="00AA4F92"/>
    <w:rsid w:val="00AA5003"/>
    <w:rsid w:val="00AA5042"/>
    <w:rsid w:val="00AA5054"/>
    <w:rsid w:val="00AA50CD"/>
    <w:rsid w:val="00AA50EA"/>
    <w:rsid w:val="00AA51F4"/>
    <w:rsid w:val="00AA526D"/>
    <w:rsid w:val="00AA5288"/>
    <w:rsid w:val="00AA5291"/>
    <w:rsid w:val="00AA5326"/>
    <w:rsid w:val="00AA53F5"/>
    <w:rsid w:val="00AA5456"/>
    <w:rsid w:val="00AA54BB"/>
    <w:rsid w:val="00AA5512"/>
    <w:rsid w:val="00AA5554"/>
    <w:rsid w:val="00AA55E1"/>
    <w:rsid w:val="00AA5639"/>
    <w:rsid w:val="00AA566E"/>
    <w:rsid w:val="00AA5670"/>
    <w:rsid w:val="00AA568D"/>
    <w:rsid w:val="00AA56EA"/>
    <w:rsid w:val="00AA5774"/>
    <w:rsid w:val="00AA57DD"/>
    <w:rsid w:val="00AA584A"/>
    <w:rsid w:val="00AA5909"/>
    <w:rsid w:val="00AA5962"/>
    <w:rsid w:val="00AA59CD"/>
    <w:rsid w:val="00AA59EA"/>
    <w:rsid w:val="00AA5A6D"/>
    <w:rsid w:val="00AA5ADF"/>
    <w:rsid w:val="00AA5B2B"/>
    <w:rsid w:val="00AA5B36"/>
    <w:rsid w:val="00AA5B76"/>
    <w:rsid w:val="00AA5C12"/>
    <w:rsid w:val="00AA5C17"/>
    <w:rsid w:val="00AA5C43"/>
    <w:rsid w:val="00AA5C52"/>
    <w:rsid w:val="00AA5D19"/>
    <w:rsid w:val="00AA5D9C"/>
    <w:rsid w:val="00AA5DD1"/>
    <w:rsid w:val="00AA5DD9"/>
    <w:rsid w:val="00AA5DF8"/>
    <w:rsid w:val="00AA5DFA"/>
    <w:rsid w:val="00AA5E4E"/>
    <w:rsid w:val="00AA5E6D"/>
    <w:rsid w:val="00AA5E8F"/>
    <w:rsid w:val="00AA5EF1"/>
    <w:rsid w:val="00AA5F13"/>
    <w:rsid w:val="00AA5F44"/>
    <w:rsid w:val="00AA5F5D"/>
    <w:rsid w:val="00AA5F6F"/>
    <w:rsid w:val="00AA5FD7"/>
    <w:rsid w:val="00AA5FEB"/>
    <w:rsid w:val="00AA607F"/>
    <w:rsid w:val="00AA60A1"/>
    <w:rsid w:val="00AA60FF"/>
    <w:rsid w:val="00AA612F"/>
    <w:rsid w:val="00AA619D"/>
    <w:rsid w:val="00AA61F9"/>
    <w:rsid w:val="00AA6255"/>
    <w:rsid w:val="00AA625E"/>
    <w:rsid w:val="00AA62A1"/>
    <w:rsid w:val="00AA62DB"/>
    <w:rsid w:val="00AA62EB"/>
    <w:rsid w:val="00AA6351"/>
    <w:rsid w:val="00AA63A9"/>
    <w:rsid w:val="00AA63D2"/>
    <w:rsid w:val="00AA640A"/>
    <w:rsid w:val="00AA6423"/>
    <w:rsid w:val="00AA6470"/>
    <w:rsid w:val="00AA648B"/>
    <w:rsid w:val="00AA64A9"/>
    <w:rsid w:val="00AA64FB"/>
    <w:rsid w:val="00AA6513"/>
    <w:rsid w:val="00AA652B"/>
    <w:rsid w:val="00AA6550"/>
    <w:rsid w:val="00AA65D4"/>
    <w:rsid w:val="00AA65DA"/>
    <w:rsid w:val="00AA65DC"/>
    <w:rsid w:val="00AA6709"/>
    <w:rsid w:val="00AA6760"/>
    <w:rsid w:val="00AA67F4"/>
    <w:rsid w:val="00AA6859"/>
    <w:rsid w:val="00AA686F"/>
    <w:rsid w:val="00AA6896"/>
    <w:rsid w:val="00AA68A0"/>
    <w:rsid w:val="00AA68C7"/>
    <w:rsid w:val="00AA68EB"/>
    <w:rsid w:val="00AA695D"/>
    <w:rsid w:val="00AA6980"/>
    <w:rsid w:val="00AA69A3"/>
    <w:rsid w:val="00AA6A26"/>
    <w:rsid w:val="00AA6A2C"/>
    <w:rsid w:val="00AA6A5B"/>
    <w:rsid w:val="00AA6A6E"/>
    <w:rsid w:val="00AA6ADF"/>
    <w:rsid w:val="00AA6AE9"/>
    <w:rsid w:val="00AA6AFA"/>
    <w:rsid w:val="00AA6B48"/>
    <w:rsid w:val="00AA6B95"/>
    <w:rsid w:val="00AA6B97"/>
    <w:rsid w:val="00AA6C76"/>
    <w:rsid w:val="00AA6CCB"/>
    <w:rsid w:val="00AA6D2C"/>
    <w:rsid w:val="00AA6D49"/>
    <w:rsid w:val="00AA6D5E"/>
    <w:rsid w:val="00AA6D68"/>
    <w:rsid w:val="00AA6D6C"/>
    <w:rsid w:val="00AA6D90"/>
    <w:rsid w:val="00AA6DA7"/>
    <w:rsid w:val="00AA6DC4"/>
    <w:rsid w:val="00AA6EE2"/>
    <w:rsid w:val="00AA6FA9"/>
    <w:rsid w:val="00AA6FAF"/>
    <w:rsid w:val="00AA6FE8"/>
    <w:rsid w:val="00AA7012"/>
    <w:rsid w:val="00AA70A7"/>
    <w:rsid w:val="00AA70BD"/>
    <w:rsid w:val="00AA7180"/>
    <w:rsid w:val="00AA7192"/>
    <w:rsid w:val="00AA7283"/>
    <w:rsid w:val="00AA72EA"/>
    <w:rsid w:val="00AA7318"/>
    <w:rsid w:val="00AA7346"/>
    <w:rsid w:val="00AA73DA"/>
    <w:rsid w:val="00AA74D0"/>
    <w:rsid w:val="00AA7503"/>
    <w:rsid w:val="00AA7512"/>
    <w:rsid w:val="00AA7526"/>
    <w:rsid w:val="00AA75C4"/>
    <w:rsid w:val="00AA7604"/>
    <w:rsid w:val="00AA7627"/>
    <w:rsid w:val="00AA771D"/>
    <w:rsid w:val="00AA7727"/>
    <w:rsid w:val="00AA7747"/>
    <w:rsid w:val="00AA77B9"/>
    <w:rsid w:val="00AA7801"/>
    <w:rsid w:val="00AA780E"/>
    <w:rsid w:val="00AA781F"/>
    <w:rsid w:val="00AA7830"/>
    <w:rsid w:val="00AA78A1"/>
    <w:rsid w:val="00AA7908"/>
    <w:rsid w:val="00AA7A07"/>
    <w:rsid w:val="00AA7AFB"/>
    <w:rsid w:val="00AA7B01"/>
    <w:rsid w:val="00AA7B16"/>
    <w:rsid w:val="00AA7BA5"/>
    <w:rsid w:val="00AA7BD2"/>
    <w:rsid w:val="00AA7BDC"/>
    <w:rsid w:val="00AA7BEF"/>
    <w:rsid w:val="00AA7C2B"/>
    <w:rsid w:val="00AA7C3A"/>
    <w:rsid w:val="00AA7C3E"/>
    <w:rsid w:val="00AA7CDB"/>
    <w:rsid w:val="00AA7D01"/>
    <w:rsid w:val="00AA7D17"/>
    <w:rsid w:val="00AA7D21"/>
    <w:rsid w:val="00AA7D46"/>
    <w:rsid w:val="00AA7DA9"/>
    <w:rsid w:val="00AA7DB3"/>
    <w:rsid w:val="00AA7DBD"/>
    <w:rsid w:val="00AA7E00"/>
    <w:rsid w:val="00AA7E44"/>
    <w:rsid w:val="00AA7E77"/>
    <w:rsid w:val="00AA7ED0"/>
    <w:rsid w:val="00AA7EDD"/>
    <w:rsid w:val="00AA7F52"/>
    <w:rsid w:val="00AA7F7A"/>
    <w:rsid w:val="00AA7F7C"/>
    <w:rsid w:val="00AA7FA3"/>
    <w:rsid w:val="00AA7FFD"/>
    <w:rsid w:val="00AB004D"/>
    <w:rsid w:val="00AB004F"/>
    <w:rsid w:val="00AB0099"/>
    <w:rsid w:val="00AB00A7"/>
    <w:rsid w:val="00AB00E9"/>
    <w:rsid w:val="00AB016D"/>
    <w:rsid w:val="00AB019F"/>
    <w:rsid w:val="00AB01BB"/>
    <w:rsid w:val="00AB01EF"/>
    <w:rsid w:val="00AB0225"/>
    <w:rsid w:val="00AB027E"/>
    <w:rsid w:val="00AB0299"/>
    <w:rsid w:val="00AB02D1"/>
    <w:rsid w:val="00AB032C"/>
    <w:rsid w:val="00AB035D"/>
    <w:rsid w:val="00AB0364"/>
    <w:rsid w:val="00AB037D"/>
    <w:rsid w:val="00AB03CD"/>
    <w:rsid w:val="00AB04CF"/>
    <w:rsid w:val="00AB04E1"/>
    <w:rsid w:val="00AB050C"/>
    <w:rsid w:val="00AB0512"/>
    <w:rsid w:val="00AB0539"/>
    <w:rsid w:val="00AB0557"/>
    <w:rsid w:val="00AB0579"/>
    <w:rsid w:val="00AB0598"/>
    <w:rsid w:val="00AB05A3"/>
    <w:rsid w:val="00AB05DF"/>
    <w:rsid w:val="00AB05E8"/>
    <w:rsid w:val="00AB0615"/>
    <w:rsid w:val="00AB0633"/>
    <w:rsid w:val="00AB06AA"/>
    <w:rsid w:val="00AB06B4"/>
    <w:rsid w:val="00AB06FC"/>
    <w:rsid w:val="00AB0718"/>
    <w:rsid w:val="00AB0737"/>
    <w:rsid w:val="00AB0780"/>
    <w:rsid w:val="00AB07A6"/>
    <w:rsid w:val="00AB07C9"/>
    <w:rsid w:val="00AB07DB"/>
    <w:rsid w:val="00AB07FE"/>
    <w:rsid w:val="00AB0816"/>
    <w:rsid w:val="00AB0874"/>
    <w:rsid w:val="00AB08A7"/>
    <w:rsid w:val="00AB08C9"/>
    <w:rsid w:val="00AB091C"/>
    <w:rsid w:val="00AB091D"/>
    <w:rsid w:val="00AB09E7"/>
    <w:rsid w:val="00AB09FB"/>
    <w:rsid w:val="00AB0A48"/>
    <w:rsid w:val="00AB0AB5"/>
    <w:rsid w:val="00AB0ACF"/>
    <w:rsid w:val="00AB0AED"/>
    <w:rsid w:val="00AB0B4C"/>
    <w:rsid w:val="00AB0B99"/>
    <w:rsid w:val="00AB0BA1"/>
    <w:rsid w:val="00AB0BFB"/>
    <w:rsid w:val="00AB0C75"/>
    <w:rsid w:val="00AB0C7E"/>
    <w:rsid w:val="00AB0CF6"/>
    <w:rsid w:val="00AB0D48"/>
    <w:rsid w:val="00AB0D56"/>
    <w:rsid w:val="00AB0D58"/>
    <w:rsid w:val="00AB0D66"/>
    <w:rsid w:val="00AB0D77"/>
    <w:rsid w:val="00AB0D91"/>
    <w:rsid w:val="00AB0E05"/>
    <w:rsid w:val="00AB0F41"/>
    <w:rsid w:val="00AB0FE8"/>
    <w:rsid w:val="00AB0FF2"/>
    <w:rsid w:val="00AB1071"/>
    <w:rsid w:val="00AB108E"/>
    <w:rsid w:val="00AB11B1"/>
    <w:rsid w:val="00AB11CF"/>
    <w:rsid w:val="00AB11E6"/>
    <w:rsid w:val="00AB11F1"/>
    <w:rsid w:val="00AB11FA"/>
    <w:rsid w:val="00AB1205"/>
    <w:rsid w:val="00AB1237"/>
    <w:rsid w:val="00AB1343"/>
    <w:rsid w:val="00AB13B2"/>
    <w:rsid w:val="00AB1410"/>
    <w:rsid w:val="00AB1435"/>
    <w:rsid w:val="00AB14CE"/>
    <w:rsid w:val="00AB154B"/>
    <w:rsid w:val="00AB1551"/>
    <w:rsid w:val="00AB157E"/>
    <w:rsid w:val="00AB15C8"/>
    <w:rsid w:val="00AB164B"/>
    <w:rsid w:val="00AB1656"/>
    <w:rsid w:val="00AB16BC"/>
    <w:rsid w:val="00AB171A"/>
    <w:rsid w:val="00AB17C5"/>
    <w:rsid w:val="00AB17E3"/>
    <w:rsid w:val="00AB184E"/>
    <w:rsid w:val="00AB1863"/>
    <w:rsid w:val="00AB1876"/>
    <w:rsid w:val="00AB18E0"/>
    <w:rsid w:val="00AB18F5"/>
    <w:rsid w:val="00AB1931"/>
    <w:rsid w:val="00AB1978"/>
    <w:rsid w:val="00AB1AF0"/>
    <w:rsid w:val="00AB1B39"/>
    <w:rsid w:val="00AB1B4C"/>
    <w:rsid w:val="00AB1B5F"/>
    <w:rsid w:val="00AB1B6F"/>
    <w:rsid w:val="00AB1B8A"/>
    <w:rsid w:val="00AB1BB9"/>
    <w:rsid w:val="00AB1BC6"/>
    <w:rsid w:val="00AB1C25"/>
    <w:rsid w:val="00AB1C3A"/>
    <w:rsid w:val="00AB1C3B"/>
    <w:rsid w:val="00AB1CAD"/>
    <w:rsid w:val="00AB1CF3"/>
    <w:rsid w:val="00AB1CF4"/>
    <w:rsid w:val="00AB1CFA"/>
    <w:rsid w:val="00AB1D27"/>
    <w:rsid w:val="00AB1D70"/>
    <w:rsid w:val="00AB1DC9"/>
    <w:rsid w:val="00AB1E0C"/>
    <w:rsid w:val="00AB1E2F"/>
    <w:rsid w:val="00AB1E51"/>
    <w:rsid w:val="00AB1E53"/>
    <w:rsid w:val="00AB1E98"/>
    <w:rsid w:val="00AB1ED7"/>
    <w:rsid w:val="00AB1F37"/>
    <w:rsid w:val="00AB1F62"/>
    <w:rsid w:val="00AB1F7F"/>
    <w:rsid w:val="00AB2029"/>
    <w:rsid w:val="00AB20AE"/>
    <w:rsid w:val="00AB2114"/>
    <w:rsid w:val="00AB212E"/>
    <w:rsid w:val="00AB21A9"/>
    <w:rsid w:val="00AB21D3"/>
    <w:rsid w:val="00AB21F1"/>
    <w:rsid w:val="00AB2209"/>
    <w:rsid w:val="00AB224C"/>
    <w:rsid w:val="00AB2281"/>
    <w:rsid w:val="00AB2291"/>
    <w:rsid w:val="00AB22A5"/>
    <w:rsid w:val="00AB22C2"/>
    <w:rsid w:val="00AB22DF"/>
    <w:rsid w:val="00AB2329"/>
    <w:rsid w:val="00AB23E9"/>
    <w:rsid w:val="00AB2493"/>
    <w:rsid w:val="00AB24B7"/>
    <w:rsid w:val="00AB2505"/>
    <w:rsid w:val="00AB2515"/>
    <w:rsid w:val="00AB2543"/>
    <w:rsid w:val="00AB25E0"/>
    <w:rsid w:val="00AB25F3"/>
    <w:rsid w:val="00AB26CA"/>
    <w:rsid w:val="00AB26DA"/>
    <w:rsid w:val="00AB2723"/>
    <w:rsid w:val="00AB2752"/>
    <w:rsid w:val="00AB275D"/>
    <w:rsid w:val="00AB2777"/>
    <w:rsid w:val="00AB27CF"/>
    <w:rsid w:val="00AB27EA"/>
    <w:rsid w:val="00AB2848"/>
    <w:rsid w:val="00AB2860"/>
    <w:rsid w:val="00AB2901"/>
    <w:rsid w:val="00AB290D"/>
    <w:rsid w:val="00AB2A70"/>
    <w:rsid w:val="00AB2AD6"/>
    <w:rsid w:val="00AB2AF9"/>
    <w:rsid w:val="00AB2B1C"/>
    <w:rsid w:val="00AB2B2A"/>
    <w:rsid w:val="00AB2B46"/>
    <w:rsid w:val="00AB2B6A"/>
    <w:rsid w:val="00AB2B77"/>
    <w:rsid w:val="00AB2B89"/>
    <w:rsid w:val="00AB2BC6"/>
    <w:rsid w:val="00AB2C03"/>
    <w:rsid w:val="00AB2C13"/>
    <w:rsid w:val="00AB2C7B"/>
    <w:rsid w:val="00AB2C9A"/>
    <w:rsid w:val="00AB2CD9"/>
    <w:rsid w:val="00AB2CDB"/>
    <w:rsid w:val="00AB2CF1"/>
    <w:rsid w:val="00AB2D19"/>
    <w:rsid w:val="00AB2D1D"/>
    <w:rsid w:val="00AB2D3E"/>
    <w:rsid w:val="00AB2D64"/>
    <w:rsid w:val="00AB2D97"/>
    <w:rsid w:val="00AB2DA0"/>
    <w:rsid w:val="00AB2E6B"/>
    <w:rsid w:val="00AB2F46"/>
    <w:rsid w:val="00AB2F71"/>
    <w:rsid w:val="00AB2F77"/>
    <w:rsid w:val="00AB2F8A"/>
    <w:rsid w:val="00AB2FC6"/>
    <w:rsid w:val="00AB3029"/>
    <w:rsid w:val="00AB3061"/>
    <w:rsid w:val="00AB30B0"/>
    <w:rsid w:val="00AB30E2"/>
    <w:rsid w:val="00AB3118"/>
    <w:rsid w:val="00AB3123"/>
    <w:rsid w:val="00AB312F"/>
    <w:rsid w:val="00AB3143"/>
    <w:rsid w:val="00AB3166"/>
    <w:rsid w:val="00AB3185"/>
    <w:rsid w:val="00AB31DB"/>
    <w:rsid w:val="00AB32AF"/>
    <w:rsid w:val="00AB32FD"/>
    <w:rsid w:val="00AB339C"/>
    <w:rsid w:val="00AB33AE"/>
    <w:rsid w:val="00AB33D0"/>
    <w:rsid w:val="00AB33D5"/>
    <w:rsid w:val="00AB33F4"/>
    <w:rsid w:val="00AB3511"/>
    <w:rsid w:val="00AB3514"/>
    <w:rsid w:val="00AB3585"/>
    <w:rsid w:val="00AB3638"/>
    <w:rsid w:val="00AB3722"/>
    <w:rsid w:val="00AB376E"/>
    <w:rsid w:val="00AB37AA"/>
    <w:rsid w:val="00AB37FE"/>
    <w:rsid w:val="00AB3801"/>
    <w:rsid w:val="00AB3880"/>
    <w:rsid w:val="00AB388C"/>
    <w:rsid w:val="00AB392C"/>
    <w:rsid w:val="00AB397A"/>
    <w:rsid w:val="00AB3983"/>
    <w:rsid w:val="00AB399E"/>
    <w:rsid w:val="00AB39CD"/>
    <w:rsid w:val="00AB3A01"/>
    <w:rsid w:val="00AB3A4F"/>
    <w:rsid w:val="00AB3ACE"/>
    <w:rsid w:val="00AB3B23"/>
    <w:rsid w:val="00AB3B93"/>
    <w:rsid w:val="00AB3BA0"/>
    <w:rsid w:val="00AB3BAA"/>
    <w:rsid w:val="00AB3BFA"/>
    <w:rsid w:val="00AB3C03"/>
    <w:rsid w:val="00AB3C25"/>
    <w:rsid w:val="00AB3C27"/>
    <w:rsid w:val="00AB3C44"/>
    <w:rsid w:val="00AB3C96"/>
    <w:rsid w:val="00AB3CDC"/>
    <w:rsid w:val="00AB3D09"/>
    <w:rsid w:val="00AB3D61"/>
    <w:rsid w:val="00AB3D95"/>
    <w:rsid w:val="00AB3E12"/>
    <w:rsid w:val="00AB3E4F"/>
    <w:rsid w:val="00AB3EBD"/>
    <w:rsid w:val="00AB3F45"/>
    <w:rsid w:val="00AB3F64"/>
    <w:rsid w:val="00AB3F7D"/>
    <w:rsid w:val="00AB4058"/>
    <w:rsid w:val="00AB40DF"/>
    <w:rsid w:val="00AB40F8"/>
    <w:rsid w:val="00AB4185"/>
    <w:rsid w:val="00AB41B3"/>
    <w:rsid w:val="00AB41D0"/>
    <w:rsid w:val="00AB41D4"/>
    <w:rsid w:val="00AB4236"/>
    <w:rsid w:val="00AB4248"/>
    <w:rsid w:val="00AB425D"/>
    <w:rsid w:val="00AB42BF"/>
    <w:rsid w:val="00AB4390"/>
    <w:rsid w:val="00AB43D8"/>
    <w:rsid w:val="00AB43FC"/>
    <w:rsid w:val="00AB4413"/>
    <w:rsid w:val="00AB446E"/>
    <w:rsid w:val="00AB4484"/>
    <w:rsid w:val="00AB4493"/>
    <w:rsid w:val="00AB44F3"/>
    <w:rsid w:val="00AB4551"/>
    <w:rsid w:val="00AB4581"/>
    <w:rsid w:val="00AB458C"/>
    <w:rsid w:val="00AB45C9"/>
    <w:rsid w:val="00AB45D6"/>
    <w:rsid w:val="00AB4638"/>
    <w:rsid w:val="00AB4647"/>
    <w:rsid w:val="00AB46A6"/>
    <w:rsid w:val="00AB46F8"/>
    <w:rsid w:val="00AB4710"/>
    <w:rsid w:val="00AB4776"/>
    <w:rsid w:val="00AB47BD"/>
    <w:rsid w:val="00AB47C1"/>
    <w:rsid w:val="00AB47D8"/>
    <w:rsid w:val="00AB47E5"/>
    <w:rsid w:val="00AB47F5"/>
    <w:rsid w:val="00AB4861"/>
    <w:rsid w:val="00AB4884"/>
    <w:rsid w:val="00AB48E1"/>
    <w:rsid w:val="00AB493E"/>
    <w:rsid w:val="00AB4965"/>
    <w:rsid w:val="00AB49E9"/>
    <w:rsid w:val="00AB49F0"/>
    <w:rsid w:val="00AB4A95"/>
    <w:rsid w:val="00AB4B21"/>
    <w:rsid w:val="00AB4B47"/>
    <w:rsid w:val="00AB4B4C"/>
    <w:rsid w:val="00AB4B52"/>
    <w:rsid w:val="00AB4B9C"/>
    <w:rsid w:val="00AB4C02"/>
    <w:rsid w:val="00AB4C16"/>
    <w:rsid w:val="00AB4C4B"/>
    <w:rsid w:val="00AB4C63"/>
    <w:rsid w:val="00AB4C7E"/>
    <w:rsid w:val="00AB4D15"/>
    <w:rsid w:val="00AB4DD3"/>
    <w:rsid w:val="00AB4E30"/>
    <w:rsid w:val="00AB4E5B"/>
    <w:rsid w:val="00AB4E7F"/>
    <w:rsid w:val="00AB4E8E"/>
    <w:rsid w:val="00AB4EA6"/>
    <w:rsid w:val="00AB4F0F"/>
    <w:rsid w:val="00AB4F70"/>
    <w:rsid w:val="00AB4F8B"/>
    <w:rsid w:val="00AB4F99"/>
    <w:rsid w:val="00AB4FC9"/>
    <w:rsid w:val="00AB4FDD"/>
    <w:rsid w:val="00AB501C"/>
    <w:rsid w:val="00AB5026"/>
    <w:rsid w:val="00AB5052"/>
    <w:rsid w:val="00AB5053"/>
    <w:rsid w:val="00AB505F"/>
    <w:rsid w:val="00AB50AD"/>
    <w:rsid w:val="00AB50F5"/>
    <w:rsid w:val="00AB513A"/>
    <w:rsid w:val="00AB5196"/>
    <w:rsid w:val="00AB51C5"/>
    <w:rsid w:val="00AB5267"/>
    <w:rsid w:val="00AB5269"/>
    <w:rsid w:val="00AB52A1"/>
    <w:rsid w:val="00AB52BD"/>
    <w:rsid w:val="00AB52C9"/>
    <w:rsid w:val="00AB530E"/>
    <w:rsid w:val="00AB5324"/>
    <w:rsid w:val="00AB540A"/>
    <w:rsid w:val="00AB5420"/>
    <w:rsid w:val="00AB547C"/>
    <w:rsid w:val="00AB547D"/>
    <w:rsid w:val="00AB551B"/>
    <w:rsid w:val="00AB55E3"/>
    <w:rsid w:val="00AB5618"/>
    <w:rsid w:val="00AB567B"/>
    <w:rsid w:val="00AB56FC"/>
    <w:rsid w:val="00AB5714"/>
    <w:rsid w:val="00AB574B"/>
    <w:rsid w:val="00AB5750"/>
    <w:rsid w:val="00AB5797"/>
    <w:rsid w:val="00AB57AF"/>
    <w:rsid w:val="00AB5856"/>
    <w:rsid w:val="00AB589C"/>
    <w:rsid w:val="00AB58B4"/>
    <w:rsid w:val="00AB58B7"/>
    <w:rsid w:val="00AB58C7"/>
    <w:rsid w:val="00AB5935"/>
    <w:rsid w:val="00AB59E0"/>
    <w:rsid w:val="00AB59EC"/>
    <w:rsid w:val="00AB5A25"/>
    <w:rsid w:val="00AB5A38"/>
    <w:rsid w:val="00AB5A80"/>
    <w:rsid w:val="00AB5AC1"/>
    <w:rsid w:val="00AB5ACE"/>
    <w:rsid w:val="00AB5AED"/>
    <w:rsid w:val="00AB5AFA"/>
    <w:rsid w:val="00AB5B7C"/>
    <w:rsid w:val="00AB5C2E"/>
    <w:rsid w:val="00AB5C4C"/>
    <w:rsid w:val="00AB5CFA"/>
    <w:rsid w:val="00AB5D15"/>
    <w:rsid w:val="00AB5D94"/>
    <w:rsid w:val="00AB5E06"/>
    <w:rsid w:val="00AB5E0B"/>
    <w:rsid w:val="00AB5E65"/>
    <w:rsid w:val="00AB5E73"/>
    <w:rsid w:val="00AB5E8D"/>
    <w:rsid w:val="00AB5EB5"/>
    <w:rsid w:val="00AB5EDB"/>
    <w:rsid w:val="00AB5EF8"/>
    <w:rsid w:val="00AB5EFB"/>
    <w:rsid w:val="00AB5F2D"/>
    <w:rsid w:val="00AB5FD9"/>
    <w:rsid w:val="00AB6018"/>
    <w:rsid w:val="00AB61DF"/>
    <w:rsid w:val="00AB61E0"/>
    <w:rsid w:val="00AB61F3"/>
    <w:rsid w:val="00AB6232"/>
    <w:rsid w:val="00AB62E3"/>
    <w:rsid w:val="00AB62FE"/>
    <w:rsid w:val="00AB6304"/>
    <w:rsid w:val="00AB634B"/>
    <w:rsid w:val="00AB6374"/>
    <w:rsid w:val="00AB63DA"/>
    <w:rsid w:val="00AB63FB"/>
    <w:rsid w:val="00AB64DB"/>
    <w:rsid w:val="00AB651A"/>
    <w:rsid w:val="00AB65AF"/>
    <w:rsid w:val="00AB65B3"/>
    <w:rsid w:val="00AB65B6"/>
    <w:rsid w:val="00AB6614"/>
    <w:rsid w:val="00AB662E"/>
    <w:rsid w:val="00AB6699"/>
    <w:rsid w:val="00AB66C6"/>
    <w:rsid w:val="00AB66E5"/>
    <w:rsid w:val="00AB6755"/>
    <w:rsid w:val="00AB676C"/>
    <w:rsid w:val="00AB6773"/>
    <w:rsid w:val="00AB6784"/>
    <w:rsid w:val="00AB6830"/>
    <w:rsid w:val="00AB6867"/>
    <w:rsid w:val="00AB6904"/>
    <w:rsid w:val="00AB692D"/>
    <w:rsid w:val="00AB69AA"/>
    <w:rsid w:val="00AB69C5"/>
    <w:rsid w:val="00AB6A4B"/>
    <w:rsid w:val="00AB6B4E"/>
    <w:rsid w:val="00AB6B86"/>
    <w:rsid w:val="00AB6B96"/>
    <w:rsid w:val="00AB6C29"/>
    <w:rsid w:val="00AB6C84"/>
    <w:rsid w:val="00AB6CE9"/>
    <w:rsid w:val="00AB6CF3"/>
    <w:rsid w:val="00AB6D18"/>
    <w:rsid w:val="00AB6D1A"/>
    <w:rsid w:val="00AB6D4B"/>
    <w:rsid w:val="00AB6DBF"/>
    <w:rsid w:val="00AB6DDE"/>
    <w:rsid w:val="00AB6E04"/>
    <w:rsid w:val="00AB6E3E"/>
    <w:rsid w:val="00AB6EAF"/>
    <w:rsid w:val="00AB6EB2"/>
    <w:rsid w:val="00AB6EEF"/>
    <w:rsid w:val="00AB6F3B"/>
    <w:rsid w:val="00AB6F48"/>
    <w:rsid w:val="00AB6F79"/>
    <w:rsid w:val="00AB6F7C"/>
    <w:rsid w:val="00AB7029"/>
    <w:rsid w:val="00AB702D"/>
    <w:rsid w:val="00AB706A"/>
    <w:rsid w:val="00AB70B0"/>
    <w:rsid w:val="00AB70FF"/>
    <w:rsid w:val="00AB7101"/>
    <w:rsid w:val="00AB7109"/>
    <w:rsid w:val="00AB7159"/>
    <w:rsid w:val="00AB71E2"/>
    <w:rsid w:val="00AB7261"/>
    <w:rsid w:val="00AB7262"/>
    <w:rsid w:val="00AB72B5"/>
    <w:rsid w:val="00AB72DD"/>
    <w:rsid w:val="00AB7359"/>
    <w:rsid w:val="00AB7390"/>
    <w:rsid w:val="00AB73BD"/>
    <w:rsid w:val="00AB7402"/>
    <w:rsid w:val="00AB7431"/>
    <w:rsid w:val="00AB743A"/>
    <w:rsid w:val="00AB74A5"/>
    <w:rsid w:val="00AB7526"/>
    <w:rsid w:val="00AB7550"/>
    <w:rsid w:val="00AB75E4"/>
    <w:rsid w:val="00AB762C"/>
    <w:rsid w:val="00AB771D"/>
    <w:rsid w:val="00AB772F"/>
    <w:rsid w:val="00AB7754"/>
    <w:rsid w:val="00AB7819"/>
    <w:rsid w:val="00AB7848"/>
    <w:rsid w:val="00AB788C"/>
    <w:rsid w:val="00AB78D5"/>
    <w:rsid w:val="00AB78DC"/>
    <w:rsid w:val="00AB7916"/>
    <w:rsid w:val="00AB79B9"/>
    <w:rsid w:val="00AB7A1E"/>
    <w:rsid w:val="00AB7A8D"/>
    <w:rsid w:val="00AB7A94"/>
    <w:rsid w:val="00AB7A9F"/>
    <w:rsid w:val="00AB7B19"/>
    <w:rsid w:val="00AB7B7D"/>
    <w:rsid w:val="00AB7BDD"/>
    <w:rsid w:val="00AB7C18"/>
    <w:rsid w:val="00AB7C28"/>
    <w:rsid w:val="00AB7D0F"/>
    <w:rsid w:val="00AB7D97"/>
    <w:rsid w:val="00AB7DB6"/>
    <w:rsid w:val="00AB7DCD"/>
    <w:rsid w:val="00AB7DE2"/>
    <w:rsid w:val="00AB7DE5"/>
    <w:rsid w:val="00AB7E0E"/>
    <w:rsid w:val="00AB7E89"/>
    <w:rsid w:val="00AB7EA2"/>
    <w:rsid w:val="00AB7EDB"/>
    <w:rsid w:val="00AB7F3B"/>
    <w:rsid w:val="00AB7F49"/>
    <w:rsid w:val="00AB7F52"/>
    <w:rsid w:val="00AB7F89"/>
    <w:rsid w:val="00AB7FAF"/>
    <w:rsid w:val="00AB7FB4"/>
    <w:rsid w:val="00AB7FBC"/>
    <w:rsid w:val="00AB7FEB"/>
    <w:rsid w:val="00AC0004"/>
    <w:rsid w:val="00AC006C"/>
    <w:rsid w:val="00AC0081"/>
    <w:rsid w:val="00AC00C7"/>
    <w:rsid w:val="00AC0176"/>
    <w:rsid w:val="00AC018A"/>
    <w:rsid w:val="00AC023F"/>
    <w:rsid w:val="00AC0269"/>
    <w:rsid w:val="00AC02A5"/>
    <w:rsid w:val="00AC02B0"/>
    <w:rsid w:val="00AC02CC"/>
    <w:rsid w:val="00AC02F7"/>
    <w:rsid w:val="00AC030E"/>
    <w:rsid w:val="00AC036D"/>
    <w:rsid w:val="00AC0378"/>
    <w:rsid w:val="00AC0382"/>
    <w:rsid w:val="00AC03FE"/>
    <w:rsid w:val="00AC0495"/>
    <w:rsid w:val="00AC04A8"/>
    <w:rsid w:val="00AC04D7"/>
    <w:rsid w:val="00AC04E0"/>
    <w:rsid w:val="00AC0584"/>
    <w:rsid w:val="00AC05B6"/>
    <w:rsid w:val="00AC05F8"/>
    <w:rsid w:val="00AC05F9"/>
    <w:rsid w:val="00AC060C"/>
    <w:rsid w:val="00AC0695"/>
    <w:rsid w:val="00AC06EB"/>
    <w:rsid w:val="00AC0774"/>
    <w:rsid w:val="00AC078D"/>
    <w:rsid w:val="00AC07AD"/>
    <w:rsid w:val="00AC0834"/>
    <w:rsid w:val="00AC087D"/>
    <w:rsid w:val="00AC08B2"/>
    <w:rsid w:val="00AC08E5"/>
    <w:rsid w:val="00AC08FB"/>
    <w:rsid w:val="00AC08FC"/>
    <w:rsid w:val="00AC090A"/>
    <w:rsid w:val="00AC091A"/>
    <w:rsid w:val="00AC095F"/>
    <w:rsid w:val="00AC0994"/>
    <w:rsid w:val="00AC09E1"/>
    <w:rsid w:val="00AC0A33"/>
    <w:rsid w:val="00AC0B28"/>
    <w:rsid w:val="00AC0B56"/>
    <w:rsid w:val="00AC0B9F"/>
    <w:rsid w:val="00AC0BA8"/>
    <w:rsid w:val="00AC0BC3"/>
    <w:rsid w:val="00AC0BDD"/>
    <w:rsid w:val="00AC0C0A"/>
    <w:rsid w:val="00AC0CAA"/>
    <w:rsid w:val="00AC0CDC"/>
    <w:rsid w:val="00AC0CE8"/>
    <w:rsid w:val="00AC0D36"/>
    <w:rsid w:val="00AC0D78"/>
    <w:rsid w:val="00AC0D8A"/>
    <w:rsid w:val="00AC0DA9"/>
    <w:rsid w:val="00AC0DAE"/>
    <w:rsid w:val="00AC0DB5"/>
    <w:rsid w:val="00AC0DD6"/>
    <w:rsid w:val="00AC0DDC"/>
    <w:rsid w:val="00AC0DE8"/>
    <w:rsid w:val="00AC0E83"/>
    <w:rsid w:val="00AC0EA5"/>
    <w:rsid w:val="00AC0ED2"/>
    <w:rsid w:val="00AC0F2B"/>
    <w:rsid w:val="00AC0F5B"/>
    <w:rsid w:val="00AC0F60"/>
    <w:rsid w:val="00AC0FAB"/>
    <w:rsid w:val="00AC0FE7"/>
    <w:rsid w:val="00AC0FFD"/>
    <w:rsid w:val="00AC1004"/>
    <w:rsid w:val="00AC103F"/>
    <w:rsid w:val="00AC108C"/>
    <w:rsid w:val="00AC110B"/>
    <w:rsid w:val="00AC112C"/>
    <w:rsid w:val="00AC118B"/>
    <w:rsid w:val="00AC11C6"/>
    <w:rsid w:val="00AC11CC"/>
    <w:rsid w:val="00AC11D7"/>
    <w:rsid w:val="00AC1246"/>
    <w:rsid w:val="00AC12EB"/>
    <w:rsid w:val="00AC1323"/>
    <w:rsid w:val="00AC1352"/>
    <w:rsid w:val="00AC1368"/>
    <w:rsid w:val="00AC13C6"/>
    <w:rsid w:val="00AC13FE"/>
    <w:rsid w:val="00AC1438"/>
    <w:rsid w:val="00AC1451"/>
    <w:rsid w:val="00AC1460"/>
    <w:rsid w:val="00AC14A6"/>
    <w:rsid w:val="00AC14C8"/>
    <w:rsid w:val="00AC14D5"/>
    <w:rsid w:val="00AC14F2"/>
    <w:rsid w:val="00AC14FC"/>
    <w:rsid w:val="00AC1543"/>
    <w:rsid w:val="00AC1555"/>
    <w:rsid w:val="00AC156A"/>
    <w:rsid w:val="00AC15D1"/>
    <w:rsid w:val="00AC165D"/>
    <w:rsid w:val="00AC16AA"/>
    <w:rsid w:val="00AC17B0"/>
    <w:rsid w:val="00AC17E5"/>
    <w:rsid w:val="00AC17FB"/>
    <w:rsid w:val="00AC17FC"/>
    <w:rsid w:val="00AC182A"/>
    <w:rsid w:val="00AC1848"/>
    <w:rsid w:val="00AC184F"/>
    <w:rsid w:val="00AC1937"/>
    <w:rsid w:val="00AC19A8"/>
    <w:rsid w:val="00AC1AA5"/>
    <w:rsid w:val="00AC1B23"/>
    <w:rsid w:val="00AC1C9B"/>
    <w:rsid w:val="00AC1CDC"/>
    <w:rsid w:val="00AC1D53"/>
    <w:rsid w:val="00AC1D6D"/>
    <w:rsid w:val="00AC1D84"/>
    <w:rsid w:val="00AC1D8E"/>
    <w:rsid w:val="00AC1D96"/>
    <w:rsid w:val="00AC1DDB"/>
    <w:rsid w:val="00AC1E2A"/>
    <w:rsid w:val="00AC1E45"/>
    <w:rsid w:val="00AC1EA4"/>
    <w:rsid w:val="00AC1EE3"/>
    <w:rsid w:val="00AC1F53"/>
    <w:rsid w:val="00AC1F8D"/>
    <w:rsid w:val="00AC1FC6"/>
    <w:rsid w:val="00AC201D"/>
    <w:rsid w:val="00AC207E"/>
    <w:rsid w:val="00AC2092"/>
    <w:rsid w:val="00AC209A"/>
    <w:rsid w:val="00AC2134"/>
    <w:rsid w:val="00AC21A9"/>
    <w:rsid w:val="00AC21ED"/>
    <w:rsid w:val="00AC2240"/>
    <w:rsid w:val="00AC227B"/>
    <w:rsid w:val="00AC2298"/>
    <w:rsid w:val="00AC229E"/>
    <w:rsid w:val="00AC22C1"/>
    <w:rsid w:val="00AC22C9"/>
    <w:rsid w:val="00AC22DF"/>
    <w:rsid w:val="00AC231B"/>
    <w:rsid w:val="00AC247A"/>
    <w:rsid w:val="00AC2587"/>
    <w:rsid w:val="00AC2611"/>
    <w:rsid w:val="00AC263F"/>
    <w:rsid w:val="00AC265D"/>
    <w:rsid w:val="00AC2670"/>
    <w:rsid w:val="00AC268D"/>
    <w:rsid w:val="00AC27A5"/>
    <w:rsid w:val="00AC2811"/>
    <w:rsid w:val="00AC2835"/>
    <w:rsid w:val="00AC287C"/>
    <w:rsid w:val="00AC28C5"/>
    <w:rsid w:val="00AC28EA"/>
    <w:rsid w:val="00AC2957"/>
    <w:rsid w:val="00AC298B"/>
    <w:rsid w:val="00AC2992"/>
    <w:rsid w:val="00AC299B"/>
    <w:rsid w:val="00AC29CB"/>
    <w:rsid w:val="00AC2A16"/>
    <w:rsid w:val="00AC2A49"/>
    <w:rsid w:val="00AC2A56"/>
    <w:rsid w:val="00AC2A59"/>
    <w:rsid w:val="00AC2A60"/>
    <w:rsid w:val="00AC2A91"/>
    <w:rsid w:val="00AC2B43"/>
    <w:rsid w:val="00AC2B51"/>
    <w:rsid w:val="00AC2B77"/>
    <w:rsid w:val="00AC2BD3"/>
    <w:rsid w:val="00AC2BEF"/>
    <w:rsid w:val="00AC2C42"/>
    <w:rsid w:val="00AC2C71"/>
    <w:rsid w:val="00AC2C9F"/>
    <w:rsid w:val="00AC2CB3"/>
    <w:rsid w:val="00AC2D5A"/>
    <w:rsid w:val="00AC2D77"/>
    <w:rsid w:val="00AC2D85"/>
    <w:rsid w:val="00AC2E1D"/>
    <w:rsid w:val="00AC2E68"/>
    <w:rsid w:val="00AC2E7B"/>
    <w:rsid w:val="00AC2F5E"/>
    <w:rsid w:val="00AC2FA7"/>
    <w:rsid w:val="00AC2FE1"/>
    <w:rsid w:val="00AC3005"/>
    <w:rsid w:val="00AC300D"/>
    <w:rsid w:val="00AC314D"/>
    <w:rsid w:val="00AC31DB"/>
    <w:rsid w:val="00AC31EF"/>
    <w:rsid w:val="00AC3265"/>
    <w:rsid w:val="00AC32D6"/>
    <w:rsid w:val="00AC330B"/>
    <w:rsid w:val="00AC331B"/>
    <w:rsid w:val="00AC339E"/>
    <w:rsid w:val="00AC33B1"/>
    <w:rsid w:val="00AC346B"/>
    <w:rsid w:val="00AC34A4"/>
    <w:rsid w:val="00AC34F3"/>
    <w:rsid w:val="00AC3502"/>
    <w:rsid w:val="00AC356D"/>
    <w:rsid w:val="00AC35B7"/>
    <w:rsid w:val="00AC35C7"/>
    <w:rsid w:val="00AC35DC"/>
    <w:rsid w:val="00AC35DE"/>
    <w:rsid w:val="00AC360B"/>
    <w:rsid w:val="00AC362B"/>
    <w:rsid w:val="00AC36C3"/>
    <w:rsid w:val="00AC371D"/>
    <w:rsid w:val="00AC3784"/>
    <w:rsid w:val="00AC37B5"/>
    <w:rsid w:val="00AC3826"/>
    <w:rsid w:val="00AC3833"/>
    <w:rsid w:val="00AC3840"/>
    <w:rsid w:val="00AC3856"/>
    <w:rsid w:val="00AC3876"/>
    <w:rsid w:val="00AC3ACA"/>
    <w:rsid w:val="00AC3B78"/>
    <w:rsid w:val="00AC3B9D"/>
    <w:rsid w:val="00AC3BF9"/>
    <w:rsid w:val="00AC3C4C"/>
    <w:rsid w:val="00AC3C53"/>
    <w:rsid w:val="00AC3CE6"/>
    <w:rsid w:val="00AC3D0F"/>
    <w:rsid w:val="00AC3D4C"/>
    <w:rsid w:val="00AC3D6C"/>
    <w:rsid w:val="00AC3D75"/>
    <w:rsid w:val="00AC3D76"/>
    <w:rsid w:val="00AC3DA8"/>
    <w:rsid w:val="00AC3E80"/>
    <w:rsid w:val="00AC3F41"/>
    <w:rsid w:val="00AC3F4D"/>
    <w:rsid w:val="00AC3F53"/>
    <w:rsid w:val="00AC3F9A"/>
    <w:rsid w:val="00AC3FA8"/>
    <w:rsid w:val="00AC3FB5"/>
    <w:rsid w:val="00AC3FCB"/>
    <w:rsid w:val="00AC4007"/>
    <w:rsid w:val="00AC4024"/>
    <w:rsid w:val="00AC4048"/>
    <w:rsid w:val="00AC407B"/>
    <w:rsid w:val="00AC40C5"/>
    <w:rsid w:val="00AC413E"/>
    <w:rsid w:val="00AC4179"/>
    <w:rsid w:val="00AC41D5"/>
    <w:rsid w:val="00AC421F"/>
    <w:rsid w:val="00AC4290"/>
    <w:rsid w:val="00AC42E0"/>
    <w:rsid w:val="00AC4301"/>
    <w:rsid w:val="00AC4350"/>
    <w:rsid w:val="00AC43CA"/>
    <w:rsid w:val="00AC44E4"/>
    <w:rsid w:val="00AC454B"/>
    <w:rsid w:val="00AC4578"/>
    <w:rsid w:val="00AC45E5"/>
    <w:rsid w:val="00AC4681"/>
    <w:rsid w:val="00AC46D3"/>
    <w:rsid w:val="00AC4707"/>
    <w:rsid w:val="00AC4719"/>
    <w:rsid w:val="00AC4786"/>
    <w:rsid w:val="00AC4804"/>
    <w:rsid w:val="00AC480A"/>
    <w:rsid w:val="00AC481D"/>
    <w:rsid w:val="00AC4845"/>
    <w:rsid w:val="00AC488C"/>
    <w:rsid w:val="00AC48C9"/>
    <w:rsid w:val="00AC48F8"/>
    <w:rsid w:val="00AC4907"/>
    <w:rsid w:val="00AC49C0"/>
    <w:rsid w:val="00AC49ED"/>
    <w:rsid w:val="00AC4A5B"/>
    <w:rsid w:val="00AC4AAE"/>
    <w:rsid w:val="00AC4B11"/>
    <w:rsid w:val="00AC4B17"/>
    <w:rsid w:val="00AC4C1C"/>
    <w:rsid w:val="00AC4C2E"/>
    <w:rsid w:val="00AC4C43"/>
    <w:rsid w:val="00AC4C5D"/>
    <w:rsid w:val="00AC4CBA"/>
    <w:rsid w:val="00AC4D2A"/>
    <w:rsid w:val="00AC4D9B"/>
    <w:rsid w:val="00AC4DF9"/>
    <w:rsid w:val="00AC4E28"/>
    <w:rsid w:val="00AC4E40"/>
    <w:rsid w:val="00AC4E46"/>
    <w:rsid w:val="00AC4E6C"/>
    <w:rsid w:val="00AC4E86"/>
    <w:rsid w:val="00AC4EA8"/>
    <w:rsid w:val="00AC4F03"/>
    <w:rsid w:val="00AC4F25"/>
    <w:rsid w:val="00AC4FA0"/>
    <w:rsid w:val="00AC4FDC"/>
    <w:rsid w:val="00AC4FF5"/>
    <w:rsid w:val="00AC4FFA"/>
    <w:rsid w:val="00AC5013"/>
    <w:rsid w:val="00AC5019"/>
    <w:rsid w:val="00AC5043"/>
    <w:rsid w:val="00AC504B"/>
    <w:rsid w:val="00AC50A2"/>
    <w:rsid w:val="00AC50C8"/>
    <w:rsid w:val="00AC5126"/>
    <w:rsid w:val="00AC5141"/>
    <w:rsid w:val="00AC517C"/>
    <w:rsid w:val="00AC51A3"/>
    <w:rsid w:val="00AC51CF"/>
    <w:rsid w:val="00AC5215"/>
    <w:rsid w:val="00AC5217"/>
    <w:rsid w:val="00AC525D"/>
    <w:rsid w:val="00AC527C"/>
    <w:rsid w:val="00AC5322"/>
    <w:rsid w:val="00AC5352"/>
    <w:rsid w:val="00AC5380"/>
    <w:rsid w:val="00AC546C"/>
    <w:rsid w:val="00AC5473"/>
    <w:rsid w:val="00AC54CD"/>
    <w:rsid w:val="00AC5575"/>
    <w:rsid w:val="00AC557B"/>
    <w:rsid w:val="00AC559A"/>
    <w:rsid w:val="00AC55AF"/>
    <w:rsid w:val="00AC55DD"/>
    <w:rsid w:val="00AC55EC"/>
    <w:rsid w:val="00AC569F"/>
    <w:rsid w:val="00AC56C1"/>
    <w:rsid w:val="00AC5738"/>
    <w:rsid w:val="00AC589C"/>
    <w:rsid w:val="00AC58AB"/>
    <w:rsid w:val="00AC5937"/>
    <w:rsid w:val="00AC59A0"/>
    <w:rsid w:val="00AC59AC"/>
    <w:rsid w:val="00AC59D0"/>
    <w:rsid w:val="00AC59F5"/>
    <w:rsid w:val="00AC59FE"/>
    <w:rsid w:val="00AC5A5F"/>
    <w:rsid w:val="00AC5AF0"/>
    <w:rsid w:val="00AC5AF8"/>
    <w:rsid w:val="00AC5BD6"/>
    <w:rsid w:val="00AC5BE6"/>
    <w:rsid w:val="00AC5C44"/>
    <w:rsid w:val="00AC5CA6"/>
    <w:rsid w:val="00AC5CDF"/>
    <w:rsid w:val="00AC5CFF"/>
    <w:rsid w:val="00AC5D29"/>
    <w:rsid w:val="00AC5D2B"/>
    <w:rsid w:val="00AC5D6F"/>
    <w:rsid w:val="00AC5D77"/>
    <w:rsid w:val="00AC5D7C"/>
    <w:rsid w:val="00AC5DAF"/>
    <w:rsid w:val="00AC5E43"/>
    <w:rsid w:val="00AC5E9C"/>
    <w:rsid w:val="00AC5F44"/>
    <w:rsid w:val="00AC5F4A"/>
    <w:rsid w:val="00AC5FA2"/>
    <w:rsid w:val="00AC5FA7"/>
    <w:rsid w:val="00AC5FED"/>
    <w:rsid w:val="00AC6084"/>
    <w:rsid w:val="00AC6085"/>
    <w:rsid w:val="00AC60A2"/>
    <w:rsid w:val="00AC6141"/>
    <w:rsid w:val="00AC6151"/>
    <w:rsid w:val="00AC6152"/>
    <w:rsid w:val="00AC618C"/>
    <w:rsid w:val="00AC6196"/>
    <w:rsid w:val="00AC61E6"/>
    <w:rsid w:val="00AC6217"/>
    <w:rsid w:val="00AC621C"/>
    <w:rsid w:val="00AC6247"/>
    <w:rsid w:val="00AC627B"/>
    <w:rsid w:val="00AC6290"/>
    <w:rsid w:val="00AC62BF"/>
    <w:rsid w:val="00AC62C0"/>
    <w:rsid w:val="00AC62EB"/>
    <w:rsid w:val="00AC631A"/>
    <w:rsid w:val="00AC631F"/>
    <w:rsid w:val="00AC63BC"/>
    <w:rsid w:val="00AC6445"/>
    <w:rsid w:val="00AC647D"/>
    <w:rsid w:val="00AC64AD"/>
    <w:rsid w:val="00AC64D8"/>
    <w:rsid w:val="00AC64F4"/>
    <w:rsid w:val="00AC6583"/>
    <w:rsid w:val="00AC6589"/>
    <w:rsid w:val="00AC6618"/>
    <w:rsid w:val="00AC661F"/>
    <w:rsid w:val="00AC665C"/>
    <w:rsid w:val="00AC6664"/>
    <w:rsid w:val="00AC6685"/>
    <w:rsid w:val="00AC669E"/>
    <w:rsid w:val="00AC66A1"/>
    <w:rsid w:val="00AC66DF"/>
    <w:rsid w:val="00AC66F0"/>
    <w:rsid w:val="00AC6771"/>
    <w:rsid w:val="00AC67AD"/>
    <w:rsid w:val="00AC67D2"/>
    <w:rsid w:val="00AC67EA"/>
    <w:rsid w:val="00AC67EB"/>
    <w:rsid w:val="00AC6821"/>
    <w:rsid w:val="00AC6852"/>
    <w:rsid w:val="00AC6897"/>
    <w:rsid w:val="00AC68A1"/>
    <w:rsid w:val="00AC68B2"/>
    <w:rsid w:val="00AC68F9"/>
    <w:rsid w:val="00AC68FA"/>
    <w:rsid w:val="00AC6957"/>
    <w:rsid w:val="00AC695E"/>
    <w:rsid w:val="00AC696E"/>
    <w:rsid w:val="00AC69A1"/>
    <w:rsid w:val="00AC6AA4"/>
    <w:rsid w:val="00AC6AE9"/>
    <w:rsid w:val="00AC6B35"/>
    <w:rsid w:val="00AC6B5B"/>
    <w:rsid w:val="00AC6B9A"/>
    <w:rsid w:val="00AC6BD9"/>
    <w:rsid w:val="00AC6C2D"/>
    <w:rsid w:val="00AC6C35"/>
    <w:rsid w:val="00AC6C36"/>
    <w:rsid w:val="00AC6C3C"/>
    <w:rsid w:val="00AC6C7E"/>
    <w:rsid w:val="00AC6D06"/>
    <w:rsid w:val="00AC6D0E"/>
    <w:rsid w:val="00AC6D47"/>
    <w:rsid w:val="00AC6DB3"/>
    <w:rsid w:val="00AC6E03"/>
    <w:rsid w:val="00AC6E36"/>
    <w:rsid w:val="00AC6EB8"/>
    <w:rsid w:val="00AC6F58"/>
    <w:rsid w:val="00AC6F64"/>
    <w:rsid w:val="00AC6F9E"/>
    <w:rsid w:val="00AC7099"/>
    <w:rsid w:val="00AC7113"/>
    <w:rsid w:val="00AC7122"/>
    <w:rsid w:val="00AC7138"/>
    <w:rsid w:val="00AC7164"/>
    <w:rsid w:val="00AC7171"/>
    <w:rsid w:val="00AC7257"/>
    <w:rsid w:val="00AC725D"/>
    <w:rsid w:val="00AC731D"/>
    <w:rsid w:val="00AC732A"/>
    <w:rsid w:val="00AC73B0"/>
    <w:rsid w:val="00AC73D5"/>
    <w:rsid w:val="00AC742C"/>
    <w:rsid w:val="00AC743C"/>
    <w:rsid w:val="00AC74F1"/>
    <w:rsid w:val="00AC7592"/>
    <w:rsid w:val="00AC75B3"/>
    <w:rsid w:val="00AC75D9"/>
    <w:rsid w:val="00AC75DF"/>
    <w:rsid w:val="00AC7632"/>
    <w:rsid w:val="00AC7654"/>
    <w:rsid w:val="00AC7665"/>
    <w:rsid w:val="00AC76A9"/>
    <w:rsid w:val="00AC76C3"/>
    <w:rsid w:val="00AC76D4"/>
    <w:rsid w:val="00AC7707"/>
    <w:rsid w:val="00AC7719"/>
    <w:rsid w:val="00AC775E"/>
    <w:rsid w:val="00AC777E"/>
    <w:rsid w:val="00AC77CB"/>
    <w:rsid w:val="00AC77EB"/>
    <w:rsid w:val="00AC781A"/>
    <w:rsid w:val="00AC7855"/>
    <w:rsid w:val="00AC7884"/>
    <w:rsid w:val="00AC78BF"/>
    <w:rsid w:val="00AC78DB"/>
    <w:rsid w:val="00AC78FA"/>
    <w:rsid w:val="00AC796C"/>
    <w:rsid w:val="00AC79C5"/>
    <w:rsid w:val="00AC79C7"/>
    <w:rsid w:val="00AC7A21"/>
    <w:rsid w:val="00AC7A55"/>
    <w:rsid w:val="00AC7A66"/>
    <w:rsid w:val="00AC7A77"/>
    <w:rsid w:val="00AC7AB7"/>
    <w:rsid w:val="00AC7B0B"/>
    <w:rsid w:val="00AC7B1B"/>
    <w:rsid w:val="00AC7C22"/>
    <w:rsid w:val="00AC7C46"/>
    <w:rsid w:val="00AC7C4B"/>
    <w:rsid w:val="00AC7C72"/>
    <w:rsid w:val="00AC7C7C"/>
    <w:rsid w:val="00AC7C82"/>
    <w:rsid w:val="00AC7C9B"/>
    <w:rsid w:val="00AC7CD0"/>
    <w:rsid w:val="00AC7CD4"/>
    <w:rsid w:val="00AC7D5E"/>
    <w:rsid w:val="00AC7D61"/>
    <w:rsid w:val="00AC7D8A"/>
    <w:rsid w:val="00AC7DFE"/>
    <w:rsid w:val="00AC7E4C"/>
    <w:rsid w:val="00AC7F46"/>
    <w:rsid w:val="00AC7F4C"/>
    <w:rsid w:val="00AC7F4D"/>
    <w:rsid w:val="00AC7F7A"/>
    <w:rsid w:val="00AC7F7D"/>
    <w:rsid w:val="00AC7FBB"/>
    <w:rsid w:val="00AC7FCF"/>
    <w:rsid w:val="00AD0073"/>
    <w:rsid w:val="00AD009D"/>
    <w:rsid w:val="00AD00DA"/>
    <w:rsid w:val="00AD010B"/>
    <w:rsid w:val="00AD0125"/>
    <w:rsid w:val="00AD012A"/>
    <w:rsid w:val="00AD0153"/>
    <w:rsid w:val="00AD01AB"/>
    <w:rsid w:val="00AD0225"/>
    <w:rsid w:val="00AD0288"/>
    <w:rsid w:val="00AD0291"/>
    <w:rsid w:val="00AD02AD"/>
    <w:rsid w:val="00AD02D1"/>
    <w:rsid w:val="00AD02E5"/>
    <w:rsid w:val="00AD0319"/>
    <w:rsid w:val="00AD03F4"/>
    <w:rsid w:val="00AD0487"/>
    <w:rsid w:val="00AD048A"/>
    <w:rsid w:val="00AD0517"/>
    <w:rsid w:val="00AD0527"/>
    <w:rsid w:val="00AD053A"/>
    <w:rsid w:val="00AD06DE"/>
    <w:rsid w:val="00AD06E1"/>
    <w:rsid w:val="00AD070D"/>
    <w:rsid w:val="00AD07D5"/>
    <w:rsid w:val="00AD07EE"/>
    <w:rsid w:val="00AD0803"/>
    <w:rsid w:val="00AD085C"/>
    <w:rsid w:val="00AD08C2"/>
    <w:rsid w:val="00AD094B"/>
    <w:rsid w:val="00AD09B3"/>
    <w:rsid w:val="00AD09FC"/>
    <w:rsid w:val="00AD0A0D"/>
    <w:rsid w:val="00AD0A19"/>
    <w:rsid w:val="00AD0A8B"/>
    <w:rsid w:val="00AD0B13"/>
    <w:rsid w:val="00AD0B7D"/>
    <w:rsid w:val="00AD0BC5"/>
    <w:rsid w:val="00AD0BE5"/>
    <w:rsid w:val="00AD0BFF"/>
    <w:rsid w:val="00AD0C7D"/>
    <w:rsid w:val="00AD0D3D"/>
    <w:rsid w:val="00AD0DA5"/>
    <w:rsid w:val="00AD0DBC"/>
    <w:rsid w:val="00AD0E0D"/>
    <w:rsid w:val="00AD0E57"/>
    <w:rsid w:val="00AD0F2A"/>
    <w:rsid w:val="00AD0F51"/>
    <w:rsid w:val="00AD0F69"/>
    <w:rsid w:val="00AD0FA6"/>
    <w:rsid w:val="00AD0FB7"/>
    <w:rsid w:val="00AD0FCD"/>
    <w:rsid w:val="00AD1025"/>
    <w:rsid w:val="00AD102D"/>
    <w:rsid w:val="00AD1055"/>
    <w:rsid w:val="00AD1071"/>
    <w:rsid w:val="00AD10EB"/>
    <w:rsid w:val="00AD114A"/>
    <w:rsid w:val="00AD11F7"/>
    <w:rsid w:val="00AD122E"/>
    <w:rsid w:val="00AD12AA"/>
    <w:rsid w:val="00AD12B6"/>
    <w:rsid w:val="00AD12CC"/>
    <w:rsid w:val="00AD1337"/>
    <w:rsid w:val="00AD136D"/>
    <w:rsid w:val="00AD142D"/>
    <w:rsid w:val="00AD14D3"/>
    <w:rsid w:val="00AD1576"/>
    <w:rsid w:val="00AD158B"/>
    <w:rsid w:val="00AD159D"/>
    <w:rsid w:val="00AD15B7"/>
    <w:rsid w:val="00AD1650"/>
    <w:rsid w:val="00AD166B"/>
    <w:rsid w:val="00AD1687"/>
    <w:rsid w:val="00AD16CD"/>
    <w:rsid w:val="00AD16EF"/>
    <w:rsid w:val="00AD16FC"/>
    <w:rsid w:val="00AD1720"/>
    <w:rsid w:val="00AD1740"/>
    <w:rsid w:val="00AD1777"/>
    <w:rsid w:val="00AD17F5"/>
    <w:rsid w:val="00AD1929"/>
    <w:rsid w:val="00AD19A5"/>
    <w:rsid w:val="00AD1A3C"/>
    <w:rsid w:val="00AD1A45"/>
    <w:rsid w:val="00AD1A4F"/>
    <w:rsid w:val="00AD1A7F"/>
    <w:rsid w:val="00AD1ADE"/>
    <w:rsid w:val="00AD1AE0"/>
    <w:rsid w:val="00AD1AEB"/>
    <w:rsid w:val="00AD1B2B"/>
    <w:rsid w:val="00AD1B61"/>
    <w:rsid w:val="00AD1B97"/>
    <w:rsid w:val="00AD1C60"/>
    <w:rsid w:val="00AD1C79"/>
    <w:rsid w:val="00AD1C9C"/>
    <w:rsid w:val="00AD1D13"/>
    <w:rsid w:val="00AD1D54"/>
    <w:rsid w:val="00AD1D78"/>
    <w:rsid w:val="00AD1D7E"/>
    <w:rsid w:val="00AD1D9B"/>
    <w:rsid w:val="00AD1DA5"/>
    <w:rsid w:val="00AD1E21"/>
    <w:rsid w:val="00AD1E28"/>
    <w:rsid w:val="00AD1E8C"/>
    <w:rsid w:val="00AD1E8E"/>
    <w:rsid w:val="00AD1EAD"/>
    <w:rsid w:val="00AD1F66"/>
    <w:rsid w:val="00AD1F8A"/>
    <w:rsid w:val="00AD1FC7"/>
    <w:rsid w:val="00AD2017"/>
    <w:rsid w:val="00AD20BF"/>
    <w:rsid w:val="00AD2135"/>
    <w:rsid w:val="00AD2157"/>
    <w:rsid w:val="00AD217E"/>
    <w:rsid w:val="00AD21D6"/>
    <w:rsid w:val="00AD21DC"/>
    <w:rsid w:val="00AD21E6"/>
    <w:rsid w:val="00AD2255"/>
    <w:rsid w:val="00AD226F"/>
    <w:rsid w:val="00AD229C"/>
    <w:rsid w:val="00AD22A0"/>
    <w:rsid w:val="00AD22B9"/>
    <w:rsid w:val="00AD22D4"/>
    <w:rsid w:val="00AD22E2"/>
    <w:rsid w:val="00AD232C"/>
    <w:rsid w:val="00AD2343"/>
    <w:rsid w:val="00AD2351"/>
    <w:rsid w:val="00AD240A"/>
    <w:rsid w:val="00AD240C"/>
    <w:rsid w:val="00AD2463"/>
    <w:rsid w:val="00AD24E0"/>
    <w:rsid w:val="00AD2523"/>
    <w:rsid w:val="00AD263A"/>
    <w:rsid w:val="00AD2644"/>
    <w:rsid w:val="00AD267C"/>
    <w:rsid w:val="00AD26C3"/>
    <w:rsid w:val="00AD26F4"/>
    <w:rsid w:val="00AD2735"/>
    <w:rsid w:val="00AD2752"/>
    <w:rsid w:val="00AD2762"/>
    <w:rsid w:val="00AD2776"/>
    <w:rsid w:val="00AD27C7"/>
    <w:rsid w:val="00AD27D2"/>
    <w:rsid w:val="00AD282E"/>
    <w:rsid w:val="00AD2835"/>
    <w:rsid w:val="00AD2852"/>
    <w:rsid w:val="00AD2856"/>
    <w:rsid w:val="00AD28C2"/>
    <w:rsid w:val="00AD28C8"/>
    <w:rsid w:val="00AD28CA"/>
    <w:rsid w:val="00AD2918"/>
    <w:rsid w:val="00AD2924"/>
    <w:rsid w:val="00AD2934"/>
    <w:rsid w:val="00AD2953"/>
    <w:rsid w:val="00AD29C9"/>
    <w:rsid w:val="00AD2A15"/>
    <w:rsid w:val="00AD2ACD"/>
    <w:rsid w:val="00AD2AED"/>
    <w:rsid w:val="00AD2B20"/>
    <w:rsid w:val="00AD2B89"/>
    <w:rsid w:val="00AD2BA3"/>
    <w:rsid w:val="00AD2BA8"/>
    <w:rsid w:val="00AD2BDA"/>
    <w:rsid w:val="00AD2C92"/>
    <w:rsid w:val="00AD2CA2"/>
    <w:rsid w:val="00AD2CC3"/>
    <w:rsid w:val="00AD2CF0"/>
    <w:rsid w:val="00AD2CFB"/>
    <w:rsid w:val="00AD2CFD"/>
    <w:rsid w:val="00AD2D0C"/>
    <w:rsid w:val="00AD2D1F"/>
    <w:rsid w:val="00AD2D5F"/>
    <w:rsid w:val="00AD2D7F"/>
    <w:rsid w:val="00AD2D9B"/>
    <w:rsid w:val="00AD2DA2"/>
    <w:rsid w:val="00AD2DC2"/>
    <w:rsid w:val="00AD2E08"/>
    <w:rsid w:val="00AD2E33"/>
    <w:rsid w:val="00AD2E6F"/>
    <w:rsid w:val="00AD2F5B"/>
    <w:rsid w:val="00AD2F71"/>
    <w:rsid w:val="00AD2FA9"/>
    <w:rsid w:val="00AD2FB3"/>
    <w:rsid w:val="00AD3069"/>
    <w:rsid w:val="00AD30AF"/>
    <w:rsid w:val="00AD313B"/>
    <w:rsid w:val="00AD3154"/>
    <w:rsid w:val="00AD31C9"/>
    <w:rsid w:val="00AD31DD"/>
    <w:rsid w:val="00AD31EF"/>
    <w:rsid w:val="00AD3396"/>
    <w:rsid w:val="00AD33A3"/>
    <w:rsid w:val="00AD33BB"/>
    <w:rsid w:val="00AD3417"/>
    <w:rsid w:val="00AD3422"/>
    <w:rsid w:val="00AD34C3"/>
    <w:rsid w:val="00AD36FA"/>
    <w:rsid w:val="00AD36FD"/>
    <w:rsid w:val="00AD3752"/>
    <w:rsid w:val="00AD3794"/>
    <w:rsid w:val="00AD37B4"/>
    <w:rsid w:val="00AD37F8"/>
    <w:rsid w:val="00AD381E"/>
    <w:rsid w:val="00AD384D"/>
    <w:rsid w:val="00AD3853"/>
    <w:rsid w:val="00AD38B3"/>
    <w:rsid w:val="00AD38BF"/>
    <w:rsid w:val="00AD38D1"/>
    <w:rsid w:val="00AD38E5"/>
    <w:rsid w:val="00AD3943"/>
    <w:rsid w:val="00AD394B"/>
    <w:rsid w:val="00AD398F"/>
    <w:rsid w:val="00AD39AD"/>
    <w:rsid w:val="00AD3A0A"/>
    <w:rsid w:val="00AD3A3E"/>
    <w:rsid w:val="00AD3AF8"/>
    <w:rsid w:val="00AD3B04"/>
    <w:rsid w:val="00AD3B22"/>
    <w:rsid w:val="00AD3B69"/>
    <w:rsid w:val="00AD3B74"/>
    <w:rsid w:val="00AD3BAC"/>
    <w:rsid w:val="00AD3BD9"/>
    <w:rsid w:val="00AD3C82"/>
    <w:rsid w:val="00AD3C85"/>
    <w:rsid w:val="00AD3C90"/>
    <w:rsid w:val="00AD3CA8"/>
    <w:rsid w:val="00AD3D03"/>
    <w:rsid w:val="00AD3D41"/>
    <w:rsid w:val="00AD3D44"/>
    <w:rsid w:val="00AD3D88"/>
    <w:rsid w:val="00AD3DC9"/>
    <w:rsid w:val="00AD3E35"/>
    <w:rsid w:val="00AD3E89"/>
    <w:rsid w:val="00AD3EC3"/>
    <w:rsid w:val="00AD3EDE"/>
    <w:rsid w:val="00AD3EFF"/>
    <w:rsid w:val="00AD3F1B"/>
    <w:rsid w:val="00AD3F5D"/>
    <w:rsid w:val="00AD3FB0"/>
    <w:rsid w:val="00AD4029"/>
    <w:rsid w:val="00AD405A"/>
    <w:rsid w:val="00AD4072"/>
    <w:rsid w:val="00AD40A7"/>
    <w:rsid w:val="00AD4103"/>
    <w:rsid w:val="00AD4156"/>
    <w:rsid w:val="00AD41AA"/>
    <w:rsid w:val="00AD420F"/>
    <w:rsid w:val="00AD421F"/>
    <w:rsid w:val="00AD423D"/>
    <w:rsid w:val="00AD4256"/>
    <w:rsid w:val="00AD42B7"/>
    <w:rsid w:val="00AD42DD"/>
    <w:rsid w:val="00AD430E"/>
    <w:rsid w:val="00AD4324"/>
    <w:rsid w:val="00AD433E"/>
    <w:rsid w:val="00AD440A"/>
    <w:rsid w:val="00AD441E"/>
    <w:rsid w:val="00AD44B0"/>
    <w:rsid w:val="00AD452B"/>
    <w:rsid w:val="00AD453B"/>
    <w:rsid w:val="00AD453D"/>
    <w:rsid w:val="00AD4580"/>
    <w:rsid w:val="00AD45B6"/>
    <w:rsid w:val="00AD464B"/>
    <w:rsid w:val="00AD4693"/>
    <w:rsid w:val="00AD471C"/>
    <w:rsid w:val="00AD475B"/>
    <w:rsid w:val="00AD4765"/>
    <w:rsid w:val="00AD47B8"/>
    <w:rsid w:val="00AD4854"/>
    <w:rsid w:val="00AD488B"/>
    <w:rsid w:val="00AD4917"/>
    <w:rsid w:val="00AD4976"/>
    <w:rsid w:val="00AD497E"/>
    <w:rsid w:val="00AD4A61"/>
    <w:rsid w:val="00AD4A7B"/>
    <w:rsid w:val="00AD4A96"/>
    <w:rsid w:val="00AD4ADF"/>
    <w:rsid w:val="00AD4B21"/>
    <w:rsid w:val="00AD4B8C"/>
    <w:rsid w:val="00AD4BA8"/>
    <w:rsid w:val="00AD4BB3"/>
    <w:rsid w:val="00AD4BE7"/>
    <w:rsid w:val="00AD4C08"/>
    <w:rsid w:val="00AD4C78"/>
    <w:rsid w:val="00AD4CE9"/>
    <w:rsid w:val="00AD4D19"/>
    <w:rsid w:val="00AD4D1B"/>
    <w:rsid w:val="00AD4D2C"/>
    <w:rsid w:val="00AD4D55"/>
    <w:rsid w:val="00AD4D73"/>
    <w:rsid w:val="00AD4D85"/>
    <w:rsid w:val="00AD4DC0"/>
    <w:rsid w:val="00AD4E08"/>
    <w:rsid w:val="00AD4EBC"/>
    <w:rsid w:val="00AD4EDC"/>
    <w:rsid w:val="00AD4FCD"/>
    <w:rsid w:val="00AD4FDB"/>
    <w:rsid w:val="00AD5040"/>
    <w:rsid w:val="00AD50B3"/>
    <w:rsid w:val="00AD5103"/>
    <w:rsid w:val="00AD51A2"/>
    <w:rsid w:val="00AD51A4"/>
    <w:rsid w:val="00AD51B9"/>
    <w:rsid w:val="00AD5224"/>
    <w:rsid w:val="00AD5319"/>
    <w:rsid w:val="00AD53A0"/>
    <w:rsid w:val="00AD53CF"/>
    <w:rsid w:val="00AD53F6"/>
    <w:rsid w:val="00AD546C"/>
    <w:rsid w:val="00AD5490"/>
    <w:rsid w:val="00AD5494"/>
    <w:rsid w:val="00AD5589"/>
    <w:rsid w:val="00AD55BE"/>
    <w:rsid w:val="00AD5655"/>
    <w:rsid w:val="00AD56AF"/>
    <w:rsid w:val="00AD56B7"/>
    <w:rsid w:val="00AD56D4"/>
    <w:rsid w:val="00AD56DD"/>
    <w:rsid w:val="00AD5741"/>
    <w:rsid w:val="00AD578B"/>
    <w:rsid w:val="00AD579D"/>
    <w:rsid w:val="00AD57F6"/>
    <w:rsid w:val="00AD57FD"/>
    <w:rsid w:val="00AD584B"/>
    <w:rsid w:val="00AD5856"/>
    <w:rsid w:val="00AD58B0"/>
    <w:rsid w:val="00AD58F0"/>
    <w:rsid w:val="00AD599E"/>
    <w:rsid w:val="00AD59A2"/>
    <w:rsid w:val="00AD59BB"/>
    <w:rsid w:val="00AD59CB"/>
    <w:rsid w:val="00AD5A0A"/>
    <w:rsid w:val="00AD5A38"/>
    <w:rsid w:val="00AD5AC1"/>
    <w:rsid w:val="00AD5B49"/>
    <w:rsid w:val="00AD5B91"/>
    <w:rsid w:val="00AD5BCB"/>
    <w:rsid w:val="00AD5C30"/>
    <w:rsid w:val="00AD5C61"/>
    <w:rsid w:val="00AD5C86"/>
    <w:rsid w:val="00AD5C98"/>
    <w:rsid w:val="00AD5C9E"/>
    <w:rsid w:val="00AD5CA2"/>
    <w:rsid w:val="00AD5D46"/>
    <w:rsid w:val="00AD5D94"/>
    <w:rsid w:val="00AD5DD4"/>
    <w:rsid w:val="00AD5E9C"/>
    <w:rsid w:val="00AD5EAD"/>
    <w:rsid w:val="00AD5EFE"/>
    <w:rsid w:val="00AD5F11"/>
    <w:rsid w:val="00AD5F3B"/>
    <w:rsid w:val="00AD5F4E"/>
    <w:rsid w:val="00AD5F6D"/>
    <w:rsid w:val="00AD5F71"/>
    <w:rsid w:val="00AD5FA0"/>
    <w:rsid w:val="00AD5FB5"/>
    <w:rsid w:val="00AD5FF7"/>
    <w:rsid w:val="00AD6009"/>
    <w:rsid w:val="00AD6030"/>
    <w:rsid w:val="00AD60CA"/>
    <w:rsid w:val="00AD60FB"/>
    <w:rsid w:val="00AD6140"/>
    <w:rsid w:val="00AD6195"/>
    <w:rsid w:val="00AD6196"/>
    <w:rsid w:val="00AD61B4"/>
    <w:rsid w:val="00AD61E0"/>
    <w:rsid w:val="00AD6255"/>
    <w:rsid w:val="00AD628C"/>
    <w:rsid w:val="00AD629C"/>
    <w:rsid w:val="00AD62A2"/>
    <w:rsid w:val="00AD62D9"/>
    <w:rsid w:val="00AD62F5"/>
    <w:rsid w:val="00AD62F9"/>
    <w:rsid w:val="00AD632D"/>
    <w:rsid w:val="00AD63D4"/>
    <w:rsid w:val="00AD63F3"/>
    <w:rsid w:val="00AD6408"/>
    <w:rsid w:val="00AD6494"/>
    <w:rsid w:val="00AD649B"/>
    <w:rsid w:val="00AD649C"/>
    <w:rsid w:val="00AD64C3"/>
    <w:rsid w:val="00AD6541"/>
    <w:rsid w:val="00AD6546"/>
    <w:rsid w:val="00AD6556"/>
    <w:rsid w:val="00AD6590"/>
    <w:rsid w:val="00AD65B0"/>
    <w:rsid w:val="00AD65BC"/>
    <w:rsid w:val="00AD65EE"/>
    <w:rsid w:val="00AD6638"/>
    <w:rsid w:val="00AD665F"/>
    <w:rsid w:val="00AD677B"/>
    <w:rsid w:val="00AD6798"/>
    <w:rsid w:val="00AD67D8"/>
    <w:rsid w:val="00AD67FC"/>
    <w:rsid w:val="00AD686C"/>
    <w:rsid w:val="00AD68BE"/>
    <w:rsid w:val="00AD6916"/>
    <w:rsid w:val="00AD696C"/>
    <w:rsid w:val="00AD698C"/>
    <w:rsid w:val="00AD6995"/>
    <w:rsid w:val="00AD6999"/>
    <w:rsid w:val="00AD6B3D"/>
    <w:rsid w:val="00AD6C0C"/>
    <w:rsid w:val="00AD6C30"/>
    <w:rsid w:val="00AD6C85"/>
    <w:rsid w:val="00AD6CB3"/>
    <w:rsid w:val="00AD6CD0"/>
    <w:rsid w:val="00AD6D03"/>
    <w:rsid w:val="00AD6D16"/>
    <w:rsid w:val="00AD6DA4"/>
    <w:rsid w:val="00AD6DCB"/>
    <w:rsid w:val="00AD6DE5"/>
    <w:rsid w:val="00AD6DFA"/>
    <w:rsid w:val="00AD6E55"/>
    <w:rsid w:val="00AD6E9B"/>
    <w:rsid w:val="00AD6EE9"/>
    <w:rsid w:val="00AD6F39"/>
    <w:rsid w:val="00AD6FBD"/>
    <w:rsid w:val="00AD6FCD"/>
    <w:rsid w:val="00AD6FF3"/>
    <w:rsid w:val="00AD7024"/>
    <w:rsid w:val="00AD709E"/>
    <w:rsid w:val="00AD70B5"/>
    <w:rsid w:val="00AD71DB"/>
    <w:rsid w:val="00AD71DC"/>
    <w:rsid w:val="00AD71DD"/>
    <w:rsid w:val="00AD722E"/>
    <w:rsid w:val="00AD7261"/>
    <w:rsid w:val="00AD7294"/>
    <w:rsid w:val="00AD72F0"/>
    <w:rsid w:val="00AD732C"/>
    <w:rsid w:val="00AD7379"/>
    <w:rsid w:val="00AD73A0"/>
    <w:rsid w:val="00AD73BA"/>
    <w:rsid w:val="00AD744B"/>
    <w:rsid w:val="00AD7470"/>
    <w:rsid w:val="00AD74B1"/>
    <w:rsid w:val="00AD74CF"/>
    <w:rsid w:val="00AD7547"/>
    <w:rsid w:val="00AD7563"/>
    <w:rsid w:val="00AD75C3"/>
    <w:rsid w:val="00AD75CF"/>
    <w:rsid w:val="00AD7637"/>
    <w:rsid w:val="00AD7666"/>
    <w:rsid w:val="00AD7679"/>
    <w:rsid w:val="00AD76E9"/>
    <w:rsid w:val="00AD771E"/>
    <w:rsid w:val="00AD780D"/>
    <w:rsid w:val="00AD7832"/>
    <w:rsid w:val="00AD7888"/>
    <w:rsid w:val="00AD78AB"/>
    <w:rsid w:val="00AD78C1"/>
    <w:rsid w:val="00AD791C"/>
    <w:rsid w:val="00AD7928"/>
    <w:rsid w:val="00AD79EC"/>
    <w:rsid w:val="00AD79F0"/>
    <w:rsid w:val="00AD7A59"/>
    <w:rsid w:val="00AD7A86"/>
    <w:rsid w:val="00AD7AC2"/>
    <w:rsid w:val="00AD7AE0"/>
    <w:rsid w:val="00AD7AF2"/>
    <w:rsid w:val="00AD7B4A"/>
    <w:rsid w:val="00AD7B8B"/>
    <w:rsid w:val="00AD7B9F"/>
    <w:rsid w:val="00AD7BE6"/>
    <w:rsid w:val="00AD7C0D"/>
    <w:rsid w:val="00AD7C1B"/>
    <w:rsid w:val="00AD7C1C"/>
    <w:rsid w:val="00AD7C1F"/>
    <w:rsid w:val="00AD7C38"/>
    <w:rsid w:val="00AD7C68"/>
    <w:rsid w:val="00AD7C88"/>
    <w:rsid w:val="00AD7C90"/>
    <w:rsid w:val="00AD7C93"/>
    <w:rsid w:val="00AD7CB4"/>
    <w:rsid w:val="00AD7D4E"/>
    <w:rsid w:val="00AD7DD3"/>
    <w:rsid w:val="00AD7DEE"/>
    <w:rsid w:val="00AD7E00"/>
    <w:rsid w:val="00AD7E18"/>
    <w:rsid w:val="00AD7E24"/>
    <w:rsid w:val="00AD7E5E"/>
    <w:rsid w:val="00AD7E81"/>
    <w:rsid w:val="00AD7F3E"/>
    <w:rsid w:val="00AD7F50"/>
    <w:rsid w:val="00AD7F54"/>
    <w:rsid w:val="00AD7FC1"/>
    <w:rsid w:val="00AE000C"/>
    <w:rsid w:val="00AE0029"/>
    <w:rsid w:val="00AE0034"/>
    <w:rsid w:val="00AE0059"/>
    <w:rsid w:val="00AE0061"/>
    <w:rsid w:val="00AE0069"/>
    <w:rsid w:val="00AE0074"/>
    <w:rsid w:val="00AE007C"/>
    <w:rsid w:val="00AE0089"/>
    <w:rsid w:val="00AE00FC"/>
    <w:rsid w:val="00AE0131"/>
    <w:rsid w:val="00AE0148"/>
    <w:rsid w:val="00AE0181"/>
    <w:rsid w:val="00AE0196"/>
    <w:rsid w:val="00AE0198"/>
    <w:rsid w:val="00AE01A1"/>
    <w:rsid w:val="00AE01AF"/>
    <w:rsid w:val="00AE01B7"/>
    <w:rsid w:val="00AE022B"/>
    <w:rsid w:val="00AE0251"/>
    <w:rsid w:val="00AE0262"/>
    <w:rsid w:val="00AE0327"/>
    <w:rsid w:val="00AE040E"/>
    <w:rsid w:val="00AE048C"/>
    <w:rsid w:val="00AE0505"/>
    <w:rsid w:val="00AE053D"/>
    <w:rsid w:val="00AE057D"/>
    <w:rsid w:val="00AE058F"/>
    <w:rsid w:val="00AE05F8"/>
    <w:rsid w:val="00AE06B0"/>
    <w:rsid w:val="00AE06E1"/>
    <w:rsid w:val="00AE06F7"/>
    <w:rsid w:val="00AE074A"/>
    <w:rsid w:val="00AE0760"/>
    <w:rsid w:val="00AE076B"/>
    <w:rsid w:val="00AE0791"/>
    <w:rsid w:val="00AE07C6"/>
    <w:rsid w:val="00AE07E0"/>
    <w:rsid w:val="00AE07ED"/>
    <w:rsid w:val="00AE08CE"/>
    <w:rsid w:val="00AE090F"/>
    <w:rsid w:val="00AE091C"/>
    <w:rsid w:val="00AE091E"/>
    <w:rsid w:val="00AE0994"/>
    <w:rsid w:val="00AE099B"/>
    <w:rsid w:val="00AE09BA"/>
    <w:rsid w:val="00AE0A0A"/>
    <w:rsid w:val="00AE0A12"/>
    <w:rsid w:val="00AE0A41"/>
    <w:rsid w:val="00AE0A6A"/>
    <w:rsid w:val="00AE0B25"/>
    <w:rsid w:val="00AE0B3F"/>
    <w:rsid w:val="00AE0B92"/>
    <w:rsid w:val="00AE0BA2"/>
    <w:rsid w:val="00AE0BBA"/>
    <w:rsid w:val="00AE0C3B"/>
    <w:rsid w:val="00AE0CE0"/>
    <w:rsid w:val="00AE0D68"/>
    <w:rsid w:val="00AE0DD8"/>
    <w:rsid w:val="00AE0DDD"/>
    <w:rsid w:val="00AE0E17"/>
    <w:rsid w:val="00AE0E3B"/>
    <w:rsid w:val="00AE0E6D"/>
    <w:rsid w:val="00AE0EB6"/>
    <w:rsid w:val="00AE0EC9"/>
    <w:rsid w:val="00AE0EF1"/>
    <w:rsid w:val="00AE0F1E"/>
    <w:rsid w:val="00AE0F9B"/>
    <w:rsid w:val="00AE0FBD"/>
    <w:rsid w:val="00AE0FE5"/>
    <w:rsid w:val="00AE104B"/>
    <w:rsid w:val="00AE1094"/>
    <w:rsid w:val="00AE10C7"/>
    <w:rsid w:val="00AE1140"/>
    <w:rsid w:val="00AE11B4"/>
    <w:rsid w:val="00AE11E8"/>
    <w:rsid w:val="00AE120C"/>
    <w:rsid w:val="00AE1295"/>
    <w:rsid w:val="00AE133E"/>
    <w:rsid w:val="00AE1395"/>
    <w:rsid w:val="00AE139D"/>
    <w:rsid w:val="00AE13ED"/>
    <w:rsid w:val="00AE1438"/>
    <w:rsid w:val="00AE1457"/>
    <w:rsid w:val="00AE14D2"/>
    <w:rsid w:val="00AE1511"/>
    <w:rsid w:val="00AE154B"/>
    <w:rsid w:val="00AE1584"/>
    <w:rsid w:val="00AE163A"/>
    <w:rsid w:val="00AE1692"/>
    <w:rsid w:val="00AE16E4"/>
    <w:rsid w:val="00AE170E"/>
    <w:rsid w:val="00AE176B"/>
    <w:rsid w:val="00AE182C"/>
    <w:rsid w:val="00AE186A"/>
    <w:rsid w:val="00AE1910"/>
    <w:rsid w:val="00AE1966"/>
    <w:rsid w:val="00AE19BF"/>
    <w:rsid w:val="00AE19C0"/>
    <w:rsid w:val="00AE19E9"/>
    <w:rsid w:val="00AE19FF"/>
    <w:rsid w:val="00AE1A17"/>
    <w:rsid w:val="00AE1A69"/>
    <w:rsid w:val="00AE1A80"/>
    <w:rsid w:val="00AE1A97"/>
    <w:rsid w:val="00AE1A9C"/>
    <w:rsid w:val="00AE1B26"/>
    <w:rsid w:val="00AE1B47"/>
    <w:rsid w:val="00AE1B4A"/>
    <w:rsid w:val="00AE1B90"/>
    <w:rsid w:val="00AE1BB6"/>
    <w:rsid w:val="00AE1BF1"/>
    <w:rsid w:val="00AE1C16"/>
    <w:rsid w:val="00AE1C8D"/>
    <w:rsid w:val="00AE1CFA"/>
    <w:rsid w:val="00AE1D3D"/>
    <w:rsid w:val="00AE1D74"/>
    <w:rsid w:val="00AE1D91"/>
    <w:rsid w:val="00AE1DA2"/>
    <w:rsid w:val="00AE1DF9"/>
    <w:rsid w:val="00AE1E29"/>
    <w:rsid w:val="00AE1E30"/>
    <w:rsid w:val="00AE1ED2"/>
    <w:rsid w:val="00AE1EF7"/>
    <w:rsid w:val="00AE1F3E"/>
    <w:rsid w:val="00AE1F6A"/>
    <w:rsid w:val="00AE1F87"/>
    <w:rsid w:val="00AE1FC4"/>
    <w:rsid w:val="00AE1FE3"/>
    <w:rsid w:val="00AE1FE5"/>
    <w:rsid w:val="00AE1FF2"/>
    <w:rsid w:val="00AE1FFE"/>
    <w:rsid w:val="00AE2063"/>
    <w:rsid w:val="00AE2078"/>
    <w:rsid w:val="00AE20A6"/>
    <w:rsid w:val="00AE2133"/>
    <w:rsid w:val="00AE21A4"/>
    <w:rsid w:val="00AE21F0"/>
    <w:rsid w:val="00AE220D"/>
    <w:rsid w:val="00AE2234"/>
    <w:rsid w:val="00AE2282"/>
    <w:rsid w:val="00AE22A0"/>
    <w:rsid w:val="00AE22A2"/>
    <w:rsid w:val="00AE22D3"/>
    <w:rsid w:val="00AE22D4"/>
    <w:rsid w:val="00AE23D6"/>
    <w:rsid w:val="00AE23E9"/>
    <w:rsid w:val="00AE250A"/>
    <w:rsid w:val="00AE2513"/>
    <w:rsid w:val="00AE25B2"/>
    <w:rsid w:val="00AE25F5"/>
    <w:rsid w:val="00AE2661"/>
    <w:rsid w:val="00AE26A8"/>
    <w:rsid w:val="00AE26BB"/>
    <w:rsid w:val="00AE26DF"/>
    <w:rsid w:val="00AE2709"/>
    <w:rsid w:val="00AE2716"/>
    <w:rsid w:val="00AE27BE"/>
    <w:rsid w:val="00AE27E8"/>
    <w:rsid w:val="00AE2830"/>
    <w:rsid w:val="00AE2847"/>
    <w:rsid w:val="00AE2862"/>
    <w:rsid w:val="00AE28D3"/>
    <w:rsid w:val="00AE28EF"/>
    <w:rsid w:val="00AE2990"/>
    <w:rsid w:val="00AE29AB"/>
    <w:rsid w:val="00AE2A14"/>
    <w:rsid w:val="00AE2A6A"/>
    <w:rsid w:val="00AE2A71"/>
    <w:rsid w:val="00AE2A91"/>
    <w:rsid w:val="00AE2AAF"/>
    <w:rsid w:val="00AE2B34"/>
    <w:rsid w:val="00AE2BFE"/>
    <w:rsid w:val="00AE2C59"/>
    <w:rsid w:val="00AE2C76"/>
    <w:rsid w:val="00AE2CD9"/>
    <w:rsid w:val="00AE2D3A"/>
    <w:rsid w:val="00AE2DA3"/>
    <w:rsid w:val="00AE2DE3"/>
    <w:rsid w:val="00AE2E34"/>
    <w:rsid w:val="00AE2E59"/>
    <w:rsid w:val="00AE2EC1"/>
    <w:rsid w:val="00AE2F2D"/>
    <w:rsid w:val="00AE2F46"/>
    <w:rsid w:val="00AE2F74"/>
    <w:rsid w:val="00AE2F93"/>
    <w:rsid w:val="00AE2FA8"/>
    <w:rsid w:val="00AE300F"/>
    <w:rsid w:val="00AE3016"/>
    <w:rsid w:val="00AE3083"/>
    <w:rsid w:val="00AE3094"/>
    <w:rsid w:val="00AE309E"/>
    <w:rsid w:val="00AE30CF"/>
    <w:rsid w:val="00AE31A1"/>
    <w:rsid w:val="00AE31DC"/>
    <w:rsid w:val="00AE31E0"/>
    <w:rsid w:val="00AE3232"/>
    <w:rsid w:val="00AE3236"/>
    <w:rsid w:val="00AE3256"/>
    <w:rsid w:val="00AE329B"/>
    <w:rsid w:val="00AE329D"/>
    <w:rsid w:val="00AE3348"/>
    <w:rsid w:val="00AE3353"/>
    <w:rsid w:val="00AE3358"/>
    <w:rsid w:val="00AE3387"/>
    <w:rsid w:val="00AE33D5"/>
    <w:rsid w:val="00AE33E9"/>
    <w:rsid w:val="00AE3428"/>
    <w:rsid w:val="00AE3453"/>
    <w:rsid w:val="00AE3476"/>
    <w:rsid w:val="00AE34D0"/>
    <w:rsid w:val="00AE34D8"/>
    <w:rsid w:val="00AE34F7"/>
    <w:rsid w:val="00AE34FE"/>
    <w:rsid w:val="00AE35CC"/>
    <w:rsid w:val="00AE36DB"/>
    <w:rsid w:val="00AE3707"/>
    <w:rsid w:val="00AE3769"/>
    <w:rsid w:val="00AE3770"/>
    <w:rsid w:val="00AE37AA"/>
    <w:rsid w:val="00AE37EE"/>
    <w:rsid w:val="00AE3807"/>
    <w:rsid w:val="00AE382E"/>
    <w:rsid w:val="00AE383E"/>
    <w:rsid w:val="00AE3857"/>
    <w:rsid w:val="00AE385F"/>
    <w:rsid w:val="00AE3882"/>
    <w:rsid w:val="00AE389A"/>
    <w:rsid w:val="00AE38B1"/>
    <w:rsid w:val="00AE3971"/>
    <w:rsid w:val="00AE3997"/>
    <w:rsid w:val="00AE39CB"/>
    <w:rsid w:val="00AE39D8"/>
    <w:rsid w:val="00AE3A79"/>
    <w:rsid w:val="00AE3AB6"/>
    <w:rsid w:val="00AE3B03"/>
    <w:rsid w:val="00AE3B44"/>
    <w:rsid w:val="00AE3B53"/>
    <w:rsid w:val="00AE3BBD"/>
    <w:rsid w:val="00AE3BDC"/>
    <w:rsid w:val="00AE3BEA"/>
    <w:rsid w:val="00AE3BF9"/>
    <w:rsid w:val="00AE3C0E"/>
    <w:rsid w:val="00AE3C11"/>
    <w:rsid w:val="00AE3C41"/>
    <w:rsid w:val="00AE3C98"/>
    <w:rsid w:val="00AE3D1E"/>
    <w:rsid w:val="00AE3D54"/>
    <w:rsid w:val="00AE3D5F"/>
    <w:rsid w:val="00AE3D7C"/>
    <w:rsid w:val="00AE3D94"/>
    <w:rsid w:val="00AE3DA9"/>
    <w:rsid w:val="00AE3E30"/>
    <w:rsid w:val="00AE3E64"/>
    <w:rsid w:val="00AE3E7F"/>
    <w:rsid w:val="00AE3E88"/>
    <w:rsid w:val="00AE3E9F"/>
    <w:rsid w:val="00AE3F2B"/>
    <w:rsid w:val="00AE3F80"/>
    <w:rsid w:val="00AE403D"/>
    <w:rsid w:val="00AE4094"/>
    <w:rsid w:val="00AE40A0"/>
    <w:rsid w:val="00AE40CD"/>
    <w:rsid w:val="00AE40E6"/>
    <w:rsid w:val="00AE40E8"/>
    <w:rsid w:val="00AE4149"/>
    <w:rsid w:val="00AE422C"/>
    <w:rsid w:val="00AE4270"/>
    <w:rsid w:val="00AE42BA"/>
    <w:rsid w:val="00AE42D3"/>
    <w:rsid w:val="00AE42D8"/>
    <w:rsid w:val="00AE436C"/>
    <w:rsid w:val="00AE4377"/>
    <w:rsid w:val="00AE43A1"/>
    <w:rsid w:val="00AE43CA"/>
    <w:rsid w:val="00AE43F8"/>
    <w:rsid w:val="00AE4403"/>
    <w:rsid w:val="00AE44A1"/>
    <w:rsid w:val="00AE44AB"/>
    <w:rsid w:val="00AE44D7"/>
    <w:rsid w:val="00AE44D9"/>
    <w:rsid w:val="00AE44EC"/>
    <w:rsid w:val="00AE44FB"/>
    <w:rsid w:val="00AE450A"/>
    <w:rsid w:val="00AE4545"/>
    <w:rsid w:val="00AE4556"/>
    <w:rsid w:val="00AE455F"/>
    <w:rsid w:val="00AE457A"/>
    <w:rsid w:val="00AE4584"/>
    <w:rsid w:val="00AE4599"/>
    <w:rsid w:val="00AE45E9"/>
    <w:rsid w:val="00AE45FA"/>
    <w:rsid w:val="00AE4644"/>
    <w:rsid w:val="00AE471B"/>
    <w:rsid w:val="00AE4720"/>
    <w:rsid w:val="00AE479F"/>
    <w:rsid w:val="00AE47B6"/>
    <w:rsid w:val="00AE47CA"/>
    <w:rsid w:val="00AE483B"/>
    <w:rsid w:val="00AE4865"/>
    <w:rsid w:val="00AE4943"/>
    <w:rsid w:val="00AE4963"/>
    <w:rsid w:val="00AE496B"/>
    <w:rsid w:val="00AE4976"/>
    <w:rsid w:val="00AE49AB"/>
    <w:rsid w:val="00AE4AA5"/>
    <w:rsid w:val="00AE4AF5"/>
    <w:rsid w:val="00AE4B01"/>
    <w:rsid w:val="00AE4B29"/>
    <w:rsid w:val="00AE4B3C"/>
    <w:rsid w:val="00AE4B5A"/>
    <w:rsid w:val="00AE4B96"/>
    <w:rsid w:val="00AE4BFD"/>
    <w:rsid w:val="00AE4C07"/>
    <w:rsid w:val="00AE4C17"/>
    <w:rsid w:val="00AE4C18"/>
    <w:rsid w:val="00AE4C73"/>
    <w:rsid w:val="00AE4D51"/>
    <w:rsid w:val="00AE4D70"/>
    <w:rsid w:val="00AE4D91"/>
    <w:rsid w:val="00AE4DAD"/>
    <w:rsid w:val="00AE4E12"/>
    <w:rsid w:val="00AE4F3B"/>
    <w:rsid w:val="00AE4F63"/>
    <w:rsid w:val="00AE4FE5"/>
    <w:rsid w:val="00AE4FF3"/>
    <w:rsid w:val="00AE5003"/>
    <w:rsid w:val="00AE5021"/>
    <w:rsid w:val="00AE5045"/>
    <w:rsid w:val="00AE5077"/>
    <w:rsid w:val="00AE507F"/>
    <w:rsid w:val="00AE509D"/>
    <w:rsid w:val="00AE50B6"/>
    <w:rsid w:val="00AE50C0"/>
    <w:rsid w:val="00AE5109"/>
    <w:rsid w:val="00AE5133"/>
    <w:rsid w:val="00AE5213"/>
    <w:rsid w:val="00AE5219"/>
    <w:rsid w:val="00AE5222"/>
    <w:rsid w:val="00AE5242"/>
    <w:rsid w:val="00AE5251"/>
    <w:rsid w:val="00AE526B"/>
    <w:rsid w:val="00AE5274"/>
    <w:rsid w:val="00AE52B5"/>
    <w:rsid w:val="00AE52D6"/>
    <w:rsid w:val="00AE53AC"/>
    <w:rsid w:val="00AE53B3"/>
    <w:rsid w:val="00AE5495"/>
    <w:rsid w:val="00AE54C8"/>
    <w:rsid w:val="00AE5527"/>
    <w:rsid w:val="00AE5533"/>
    <w:rsid w:val="00AE5591"/>
    <w:rsid w:val="00AE562C"/>
    <w:rsid w:val="00AE5684"/>
    <w:rsid w:val="00AE5692"/>
    <w:rsid w:val="00AE5717"/>
    <w:rsid w:val="00AE572A"/>
    <w:rsid w:val="00AE57A0"/>
    <w:rsid w:val="00AE57C7"/>
    <w:rsid w:val="00AE5814"/>
    <w:rsid w:val="00AE5815"/>
    <w:rsid w:val="00AE589F"/>
    <w:rsid w:val="00AE591B"/>
    <w:rsid w:val="00AE59A9"/>
    <w:rsid w:val="00AE59DC"/>
    <w:rsid w:val="00AE59FF"/>
    <w:rsid w:val="00AE5A88"/>
    <w:rsid w:val="00AE5AF8"/>
    <w:rsid w:val="00AE5B04"/>
    <w:rsid w:val="00AE5B15"/>
    <w:rsid w:val="00AE5B17"/>
    <w:rsid w:val="00AE5B72"/>
    <w:rsid w:val="00AE5C1C"/>
    <w:rsid w:val="00AE5C38"/>
    <w:rsid w:val="00AE5C77"/>
    <w:rsid w:val="00AE5D17"/>
    <w:rsid w:val="00AE5D46"/>
    <w:rsid w:val="00AE5D78"/>
    <w:rsid w:val="00AE5DD9"/>
    <w:rsid w:val="00AE5DE3"/>
    <w:rsid w:val="00AE5DEA"/>
    <w:rsid w:val="00AE5DF7"/>
    <w:rsid w:val="00AE5E56"/>
    <w:rsid w:val="00AE5E5B"/>
    <w:rsid w:val="00AE5E7B"/>
    <w:rsid w:val="00AE5EA0"/>
    <w:rsid w:val="00AE5EBF"/>
    <w:rsid w:val="00AE5F19"/>
    <w:rsid w:val="00AE5F2E"/>
    <w:rsid w:val="00AE5F54"/>
    <w:rsid w:val="00AE5F6A"/>
    <w:rsid w:val="00AE6010"/>
    <w:rsid w:val="00AE602A"/>
    <w:rsid w:val="00AE605C"/>
    <w:rsid w:val="00AE60E0"/>
    <w:rsid w:val="00AE60F4"/>
    <w:rsid w:val="00AE6125"/>
    <w:rsid w:val="00AE61D3"/>
    <w:rsid w:val="00AE6272"/>
    <w:rsid w:val="00AE62C4"/>
    <w:rsid w:val="00AE632F"/>
    <w:rsid w:val="00AE636E"/>
    <w:rsid w:val="00AE6389"/>
    <w:rsid w:val="00AE63C3"/>
    <w:rsid w:val="00AE63DE"/>
    <w:rsid w:val="00AE63E7"/>
    <w:rsid w:val="00AE6416"/>
    <w:rsid w:val="00AE6417"/>
    <w:rsid w:val="00AE6443"/>
    <w:rsid w:val="00AE6488"/>
    <w:rsid w:val="00AE64A2"/>
    <w:rsid w:val="00AE64B1"/>
    <w:rsid w:val="00AE64C3"/>
    <w:rsid w:val="00AE650C"/>
    <w:rsid w:val="00AE6561"/>
    <w:rsid w:val="00AE65A0"/>
    <w:rsid w:val="00AE65AB"/>
    <w:rsid w:val="00AE6601"/>
    <w:rsid w:val="00AE6688"/>
    <w:rsid w:val="00AE66DC"/>
    <w:rsid w:val="00AE6707"/>
    <w:rsid w:val="00AE671D"/>
    <w:rsid w:val="00AE671F"/>
    <w:rsid w:val="00AE67AA"/>
    <w:rsid w:val="00AE67AD"/>
    <w:rsid w:val="00AE67FA"/>
    <w:rsid w:val="00AE683B"/>
    <w:rsid w:val="00AE6904"/>
    <w:rsid w:val="00AE690A"/>
    <w:rsid w:val="00AE696C"/>
    <w:rsid w:val="00AE69C5"/>
    <w:rsid w:val="00AE6A36"/>
    <w:rsid w:val="00AE6A72"/>
    <w:rsid w:val="00AE6AB3"/>
    <w:rsid w:val="00AE6B06"/>
    <w:rsid w:val="00AE6B53"/>
    <w:rsid w:val="00AE6BBF"/>
    <w:rsid w:val="00AE6C54"/>
    <w:rsid w:val="00AE6CBD"/>
    <w:rsid w:val="00AE6D7D"/>
    <w:rsid w:val="00AE6D82"/>
    <w:rsid w:val="00AE6D98"/>
    <w:rsid w:val="00AE6DF2"/>
    <w:rsid w:val="00AE6E70"/>
    <w:rsid w:val="00AE6EA5"/>
    <w:rsid w:val="00AE6ECF"/>
    <w:rsid w:val="00AE6EE7"/>
    <w:rsid w:val="00AE6F29"/>
    <w:rsid w:val="00AE6F49"/>
    <w:rsid w:val="00AE6F96"/>
    <w:rsid w:val="00AE6FA7"/>
    <w:rsid w:val="00AE707D"/>
    <w:rsid w:val="00AE70EE"/>
    <w:rsid w:val="00AE710C"/>
    <w:rsid w:val="00AE7139"/>
    <w:rsid w:val="00AE71D5"/>
    <w:rsid w:val="00AE72A4"/>
    <w:rsid w:val="00AE72AF"/>
    <w:rsid w:val="00AE72CB"/>
    <w:rsid w:val="00AE72E8"/>
    <w:rsid w:val="00AE7320"/>
    <w:rsid w:val="00AE7335"/>
    <w:rsid w:val="00AE73C2"/>
    <w:rsid w:val="00AE745F"/>
    <w:rsid w:val="00AE7492"/>
    <w:rsid w:val="00AE7499"/>
    <w:rsid w:val="00AE74B5"/>
    <w:rsid w:val="00AE7507"/>
    <w:rsid w:val="00AE7512"/>
    <w:rsid w:val="00AE7547"/>
    <w:rsid w:val="00AE7567"/>
    <w:rsid w:val="00AE763D"/>
    <w:rsid w:val="00AE7715"/>
    <w:rsid w:val="00AE7742"/>
    <w:rsid w:val="00AE774F"/>
    <w:rsid w:val="00AE776A"/>
    <w:rsid w:val="00AE7771"/>
    <w:rsid w:val="00AE777C"/>
    <w:rsid w:val="00AE77C8"/>
    <w:rsid w:val="00AE77DC"/>
    <w:rsid w:val="00AE77F4"/>
    <w:rsid w:val="00AE7833"/>
    <w:rsid w:val="00AE783E"/>
    <w:rsid w:val="00AE7841"/>
    <w:rsid w:val="00AE786D"/>
    <w:rsid w:val="00AE7886"/>
    <w:rsid w:val="00AE78BF"/>
    <w:rsid w:val="00AE7904"/>
    <w:rsid w:val="00AE794E"/>
    <w:rsid w:val="00AE7959"/>
    <w:rsid w:val="00AE7998"/>
    <w:rsid w:val="00AE79A2"/>
    <w:rsid w:val="00AE7A1F"/>
    <w:rsid w:val="00AE7A8A"/>
    <w:rsid w:val="00AE7A9C"/>
    <w:rsid w:val="00AE7AB2"/>
    <w:rsid w:val="00AE7AD1"/>
    <w:rsid w:val="00AE7B52"/>
    <w:rsid w:val="00AE7B8A"/>
    <w:rsid w:val="00AE7B97"/>
    <w:rsid w:val="00AE7CA9"/>
    <w:rsid w:val="00AE7CDC"/>
    <w:rsid w:val="00AE7CEB"/>
    <w:rsid w:val="00AE7DD8"/>
    <w:rsid w:val="00AE7E06"/>
    <w:rsid w:val="00AE7E9F"/>
    <w:rsid w:val="00AE7EBC"/>
    <w:rsid w:val="00AE7F0F"/>
    <w:rsid w:val="00AE7F48"/>
    <w:rsid w:val="00AE7F4E"/>
    <w:rsid w:val="00AE7F68"/>
    <w:rsid w:val="00AE7F9E"/>
    <w:rsid w:val="00AE7FC1"/>
    <w:rsid w:val="00AE7FD0"/>
    <w:rsid w:val="00AF00D4"/>
    <w:rsid w:val="00AF00E0"/>
    <w:rsid w:val="00AF00ED"/>
    <w:rsid w:val="00AF0166"/>
    <w:rsid w:val="00AF019C"/>
    <w:rsid w:val="00AF01BA"/>
    <w:rsid w:val="00AF0206"/>
    <w:rsid w:val="00AF0227"/>
    <w:rsid w:val="00AF022E"/>
    <w:rsid w:val="00AF0235"/>
    <w:rsid w:val="00AF0240"/>
    <w:rsid w:val="00AF025D"/>
    <w:rsid w:val="00AF02A6"/>
    <w:rsid w:val="00AF02D5"/>
    <w:rsid w:val="00AF0300"/>
    <w:rsid w:val="00AF03F5"/>
    <w:rsid w:val="00AF03FB"/>
    <w:rsid w:val="00AF0447"/>
    <w:rsid w:val="00AF056E"/>
    <w:rsid w:val="00AF05CF"/>
    <w:rsid w:val="00AF05FC"/>
    <w:rsid w:val="00AF0625"/>
    <w:rsid w:val="00AF06CD"/>
    <w:rsid w:val="00AF06D5"/>
    <w:rsid w:val="00AF06DE"/>
    <w:rsid w:val="00AF06F5"/>
    <w:rsid w:val="00AF0795"/>
    <w:rsid w:val="00AF07FC"/>
    <w:rsid w:val="00AF0885"/>
    <w:rsid w:val="00AF08C2"/>
    <w:rsid w:val="00AF091F"/>
    <w:rsid w:val="00AF095C"/>
    <w:rsid w:val="00AF09A1"/>
    <w:rsid w:val="00AF09C1"/>
    <w:rsid w:val="00AF09C6"/>
    <w:rsid w:val="00AF0A2B"/>
    <w:rsid w:val="00AF0A3C"/>
    <w:rsid w:val="00AF0A8A"/>
    <w:rsid w:val="00AF0A8D"/>
    <w:rsid w:val="00AF0A96"/>
    <w:rsid w:val="00AF0AAD"/>
    <w:rsid w:val="00AF0ABA"/>
    <w:rsid w:val="00AF0AD9"/>
    <w:rsid w:val="00AF0B4E"/>
    <w:rsid w:val="00AF0B4F"/>
    <w:rsid w:val="00AF0B91"/>
    <w:rsid w:val="00AF0BB9"/>
    <w:rsid w:val="00AF0C09"/>
    <w:rsid w:val="00AF0C3C"/>
    <w:rsid w:val="00AF0C89"/>
    <w:rsid w:val="00AF0D29"/>
    <w:rsid w:val="00AF0D9B"/>
    <w:rsid w:val="00AF0E5C"/>
    <w:rsid w:val="00AF0F44"/>
    <w:rsid w:val="00AF0F7D"/>
    <w:rsid w:val="00AF0FB2"/>
    <w:rsid w:val="00AF0FD0"/>
    <w:rsid w:val="00AF0FF1"/>
    <w:rsid w:val="00AF104D"/>
    <w:rsid w:val="00AF1053"/>
    <w:rsid w:val="00AF10F0"/>
    <w:rsid w:val="00AF10F4"/>
    <w:rsid w:val="00AF1101"/>
    <w:rsid w:val="00AF112C"/>
    <w:rsid w:val="00AF1141"/>
    <w:rsid w:val="00AF1155"/>
    <w:rsid w:val="00AF1176"/>
    <w:rsid w:val="00AF11CF"/>
    <w:rsid w:val="00AF11FF"/>
    <w:rsid w:val="00AF123A"/>
    <w:rsid w:val="00AF1259"/>
    <w:rsid w:val="00AF12C4"/>
    <w:rsid w:val="00AF12F0"/>
    <w:rsid w:val="00AF12F4"/>
    <w:rsid w:val="00AF13C6"/>
    <w:rsid w:val="00AF1411"/>
    <w:rsid w:val="00AF1450"/>
    <w:rsid w:val="00AF1468"/>
    <w:rsid w:val="00AF14B1"/>
    <w:rsid w:val="00AF14CB"/>
    <w:rsid w:val="00AF154C"/>
    <w:rsid w:val="00AF15F8"/>
    <w:rsid w:val="00AF1607"/>
    <w:rsid w:val="00AF161C"/>
    <w:rsid w:val="00AF164A"/>
    <w:rsid w:val="00AF166F"/>
    <w:rsid w:val="00AF1683"/>
    <w:rsid w:val="00AF16C5"/>
    <w:rsid w:val="00AF16CA"/>
    <w:rsid w:val="00AF1772"/>
    <w:rsid w:val="00AF17CA"/>
    <w:rsid w:val="00AF1845"/>
    <w:rsid w:val="00AF187A"/>
    <w:rsid w:val="00AF1887"/>
    <w:rsid w:val="00AF18DF"/>
    <w:rsid w:val="00AF1963"/>
    <w:rsid w:val="00AF19A7"/>
    <w:rsid w:val="00AF1A39"/>
    <w:rsid w:val="00AF1AB0"/>
    <w:rsid w:val="00AF1AE4"/>
    <w:rsid w:val="00AF1AFB"/>
    <w:rsid w:val="00AF1B07"/>
    <w:rsid w:val="00AF1B7E"/>
    <w:rsid w:val="00AF1BCC"/>
    <w:rsid w:val="00AF1BE6"/>
    <w:rsid w:val="00AF1BE9"/>
    <w:rsid w:val="00AF1C2A"/>
    <w:rsid w:val="00AF1C3C"/>
    <w:rsid w:val="00AF1CBE"/>
    <w:rsid w:val="00AF1CBF"/>
    <w:rsid w:val="00AF1CF0"/>
    <w:rsid w:val="00AF1D0C"/>
    <w:rsid w:val="00AF1D2D"/>
    <w:rsid w:val="00AF1DEE"/>
    <w:rsid w:val="00AF1E1B"/>
    <w:rsid w:val="00AF1E3B"/>
    <w:rsid w:val="00AF1E58"/>
    <w:rsid w:val="00AF1E71"/>
    <w:rsid w:val="00AF1E72"/>
    <w:rsid w:val="00AF1EFE"/>
    <w:rsid w:val="00AF1FB5"/>
    <w:rsid w:val="00AF2011"/>
    <w:rsid w:val="00AF20A4"/>
    <w:rsid w:val="00AF20D5"/>
    <w:rsid w:val="00AF20F6"/>
    <w:rsid w:val="00AF214F"/>
    <w:rsid w:val="00AF220D"/>
    <w:rsid w:val="00AF2239"/>
    <w:rsid w:val="00AF22B4"/>
    <w:rsid w:val="00AF22F5"/>
    <w:rsid w:val="00AF233F"/>
    <w:rsid w:val="00AF2352"/>
    <w:rsid w:val="00AF237E"/>
    <w:rsid w:val="00AF23A1"/>
    <w:rsid w:val="00AF23A8"/>
    <w:rsid w:val="00AF23D9"/>
    <w:rsid w:val="00AF23F0"/>
    <w:rsid w:val="00AF24AA"/>
    <w:rsid w:val="00AF254D"/>
    <w:rsid w:val="00AF254E"/>
    <w:rsid w:val="00AF2558"/>
    <w:rsid w:val="00AF256C"/>
    <w:rsid w:val="00AF25A5"/>
    <w:rsid w:val="00AF2604"/>
    <w:rsid w:val="00AF263A"/>
    <w:rsid w:val="00AF267E"/>
    <w:rsid w:val="00AF2706"/>
    <w:rsid w:val="00AF2726"/>
    <w:rsid w:val="00AF2732"/>
    <w:rsid w:val="00AF27F9"/>
    <w:rsid w:val="00AF283E"/>
    <w:rsid w:val="00AF285E"/>
    <w:rsid w:val="00AF2867"/>
    <w:rsid w:val="00AF288B"/>
    <w:rsid w:val="00AF2908"/>
    <w:rsid w:val="00AF295A"/>
    <w:rsid w:val="00AF2994"/>
    <w:rsid w:val="00AF29C5"/>
    <w:rsid w:val="00AF2A5D"/>
    <w:rsid w:val="00AF2A5F"/>
    <w:rsid w:val="00AF2A7E"/>
    <w:rsid w:val="00AF2B4D"/>
    <w:rsid w:val="00AF2B4E"/>
    <w:rsid w:val="00AF2BC9"/>
    <w:rsid w:val="00AF2C34"/>
    <w:rsid w:val="00AF2C45"/>
    <w:rsid w:val="00AF2C7B"/>
    <w:rsid w:val="00AF2CAE"/>
    <w:rsid w:val="00AF2CC1"/>
    <w:rsid w:val="00AF2CC2"/>
    <w:rsid w:val="00AF2CE9"/>
    <w:rsid w:val="00AF2CEB"/>
    <w:rsid w:val="00AF2D4F"/>
    <w:rsid w:val="00AF2D9F"/>
    <w:rsid w:val="00AF2DD1"/>
    <w:rsid w:val="00AF2E0A"/>
    <w:rsid w:val="00AF2E0F"/>
    <w:rsid w:val="00AF2E19"/>
    <w:rsid w:val="00AF2E2C"/>
    <w:rsid w:val="00AF2EA7"/>
    <w:rsid w:val="00AF2EF7"/>
    <w:rsid w:val="00AF2F31"/>
    <w:rsid w:val="00AF2FA5"/>
    <w:rsid w:val="00AF2FB8"/>
    <w:rsid w:val="00AF2FBF"/>
    <w:rsid w:val="00AF3004"/>
    <w:rsid w:val="00AF3045"/>
    <w:rsid w:val="00AF3093"/>
    <w:rsid w:val="00AF31B6"/>
    <w:rsid w:val="00AF31C1"/>
    <w:rsid w:val="00AF31C9"/>
    <w:rsid w:val="00AF3231"/>
    <w:rsid w:val="00AF324D"/>
    <w:rsid w:val="00AF3251"/>
    <w:rsid w:val="00AF32F9"/>
    <w:rsid w:val="00AF3347"/>
    <w:rsid w:val="00AF334D"/>
    <w:rsid w:val="00AF33CB"/>
    <w:rsid w:val="00AF3408"/>
    <w:rsid w:val="00AF3430"/>
    <w:rsid w:val="00AF34B6"/>
    <w:rsid w:val="00AF34BA"/>
    <w:rsid w:val="00AF3508"/>
    <w:rsid w:val="00AF3520"/>
    <w:rsid w:val="00AF354B"/>
    <w:rsid w:val="00AF354C"/>
    <w:rsid w:val="00AF35FF"/>
    <w:rsid w:val="00AF360F"/>
    <w:rsid w:val="00AF3642"/>
    <w:rsid w:val="00AF36E6"/>
    <w:rsid w:val="00AF3714"/>
    <w:rsid w:val="00AF372A"/>
    <w:rsid w:val="00AF3735"/>
    <w:rsid w:val="00AF3740"/>
    <w:rsid w:val="00AF3747"/>
    <w:rsid w:val="00AF37BB"/>
    <w:rsid w:val="00AF37C0"/>
    <w:rsid w:val="00AF37C5"/>
    <w:rsid w:val="00AF37D9"/>
    <w:rsid w:val="00AF3870"/>
    <w:rsid w:val="00AF38BF"/>
    <w:rsid w:val="00AF38D7"/>
    <w:rsid w:val="00AF38DA"/>
    <w:rsid w:val="00AF38DE"/>
    <w:rsid w:val="00AF397D"/>
    <w:rsid w:val="00AF3990"/>
    <w:rsid w:val="00AF39BD"/>
    <w:rsid w:val="00AF39EB"/>
    <w:rsid w:val="00AF39F9"/>
    <w:rsid w:val="00AF3A4A"/>
    <w:rsid w:val="00AF3AF2"/>
    <w:rsid w:val="00AF3B1C"/>
    <w:rsid w:val="00AF3B5A"/>
    <w:rsid w:val="00AF3BBB"/>
    <w:rsid w:val="00AF3BCF"/>
    <w:rsid w:val="00AF3C0E"/>
    <w:rsid w:val="00AF3C6F"/>
    <w:rsid w:val="00AF3CA8"/>
    <w:rsid w:val="00AF3CD7"/>
    <w:rsid w:val="00AF3CF8"/>
    <w:rsid w:val="00AF3D1C"/>
    <w:rsid w:val="00AF3D88"/>
    <w:rsid w:val="00AF3D89"/>
    <w:rsid w:val="00AF3D9C"/>
    <w:rsid w:val="00AF3DAE"/>
    <w:rsid w:val="00AF3DE9"/>
    <w:rsid w:val="00AF3E1B"/>
    <w:rsid w:val="00AF3E23"/>
    <w:rsid w:val="00AF3E78"/>
    <w:rsid w:val="00AF3E8A"/>
    <w:rsid w:val="00AF3F9F"/>
    <w:rsid w:val="00AF404E"/>
    <w:rsid w:val="00AF415B"/>
    <w:rsid w:val="00AF4165"/>
    <w:rsid w:val="00AF4177"/>
    <w:rsid w:val="00AF419A"/>
    <w:rsid w:val="00AF41A1"/>
    <w:rsid w:val="00AF41A2"/>
    <w:rsid w:val="00AF41B6"/>
    <w:rsid w:val="00AF41CB"/>
    <w:rsid w:val="00AF41DD"/>
    <w:rsid w:val="00AF422E"/>
    <w:rsid w:val="00AF4252"/>
    <w:rsid w:val="00AF4277"/>
    <w:rsid w:val="00AF4281"/>
    <w:rsid w:val="00AF4291"/>
    <w:rsid w:val="00AF42B9"/>
    <w:rsid w:val="00AF4300"/>
    <w:rsid w:val="00AF430A"/>
    <w:rsid w:val="00AF4320"/>
    <w:rsid w:val="00AF4357"/>
    <w:rsid w:val="00AF43BE"/>
    <w:rsid w:val="00AF43C8"/>
    <w:rsid w:val="00AF43FB"/>
    <w:rsid w:val="00AF445B"/>
    <w:rsid w:val="00AF4519"/>
    <w:rsid w:val="00AF4542"/>
    <w:rsid w:val="00AF45E8"/>
    <w:rsid w:val="00AF4607"/>
    <w:rsid w:val="00AF465C"/>
    <w:rsid w:val="00AF466E"/>
    <w:rsid w:val="00AF467F"/>
    <w:rsid w:val="00AF469F"/>
    <w:rsid w:val="00AF46E3"/>
    <w:rsid w:val="00AF46F9"/>
    <w:rsid w:val="00AF4721"/>
    <w:rsid w:val="00AF472C"/>
    <w:rsid w:val="00AF47BE"/>
    <w:rsid w:val="00AF48A7"/>
    <w:rsid w:val="00AF48AA"/>
    <w:rsid w:val="00AF48C1"/>
    <w:rsid w:val="00AF49C0"/>
    <w:rsid w:val="00AF49C8"/>
    <w:rsid w:val="00AF49D6"/>
    <w:rsid w:val="00AF4A7A"/>
    <w:rsid w:val="00AF4A94"/>
    <w:rsid w:val="00AF4A9F"/>
    <w:rsid w:val="00AF4AA5"/>
    <w:rsid w:val="00AF4B1B"/>
    <w:rsid w:val="00AF4B29"/>
    <w:rsid w:val="00AF4B71"/>
    <w:rsid w:val="00AF4C07"/>
    <w:rsid w:val="00AF4C27"/>
    <w:rsid w:val="00AF4C2D"/>
    <w:rsid w:val="00AF4C77"/>
    <w:rsid w:val="00AF4C83"/>
    <w:rsid w:val="00AF4C8F"/>
    <w:rsid w:val="00AF4CDF"/>
    <w:rsid w:val="00AF4D05"/>
    <w:rsid w:val="00AF4D53"/>
    <w:rsid w:val="00AF4D7A"/>
    <w:rsid w:val="00AF4DB5"/>
    <w:rsid w:val="00AF4DEB"/>
    <w:rsid w:val="00AF4DF1"/>
    <w:rsid w:val="00AF4E77"/>
    <w:rsid w:val="00AF4E92"/>
    <w:rsid w:val="00AF4ECA"/>
    <w:rsid w:val="00AF4EFC"/>
    <w:rsid w:val="00AF4F0F"/>
    <w:rsid w:val="00AF4F52"/>
    <w:rsid w:val="00AF4F7B"/>
    <w:rsid w:val="00AF4F83"/>
    <w:rsid w:val="00AF4FCD"/>
    <w:rsid w:val="00AF502E"/>
    <w:rsid w:val="00AF5057"/>
    <w:rsid w:val="00AF5102"/>
    <w:rsid w:val="00AF510D"/>
    <w:rsid w:val="00AF5122"/>
    <w:rsid w:val="00AF5178"/>
    <w:rsid w:val="00AF5194"/>
    <w:rsid w:val="00AF51F8"/>
    <w:rsid w:val="00AF521B"/>
    <w:rsid w:val="00AF522B"/>
    <w:rsid w:val="00AF5234"/>
    <w:rsid w:val="00AF5276"/>
    <w:rsid w:val="00AF5289"/>
    <w:rsid w:val="00AF528C"/>
    <w:rsid w:val="00AF530A"/>
    <w:rsid w:val="00AF5310"/>
    <w:rsid w:val="00AF53CC"/>
    <w:rsid w:val="00AF5463"/>
    <w:rsid w:val="00AF5539"/>
    <w:rsid w:val="00AF55B9"/>
    <w:rsid w:val="00AF55C9"/>
    <w:rsid w:val="00AF560C"/>
    <w:rsid w:val="00AF5641"/>
    <w:rsid w:val="00AF5647"/>
    <w:rsid w:val="00AF568D"/>
    <w:rsid w:val="00AF56DE"/>
    <w:rsid w:val="00AF5724"/>
    <w:rsid w:val="00AF574A"/>
    <w:rsid w:val="00AF5752"/>
    <w:rsid w:val="00AF57C6"/>
    <w:rsid w:val="00AF5858"/>
    <w:rsid w:val="00AF58C3"/>
    <w:rsid w:val="00AF58D3"/>
    <w:rsid w:val="00AF5A04"/>
    <w:rsid w:val="00AF5AF4"/>
    <w:rsid w:val="00AF5B10"/>
    <w:rsid w:val="00AF5B6C"/>
    <w:rsid w:val="00AF5BC0"/>
    <w:rsid w:val="00AF5C23"/>
    <w:rsid w:val="00AF5C3E"/>
    <w:rsid w:val="00AF5C63"/>
    <w:rsid w:val="00AF5C86"/>
    <w:rsid w:val="00AF5CE5"/>
    <w:rsid w:val="00AF5DAB"/>
    <w:rsid w:val="00AF5E3E"/>
    <w:rsid w:val="00AF5E40"/>
    <w:rsid w:val="00AF5E46"/>
    <w:rsid w:val="00AF5E64"/>
    <w:rsid w:val="00AF5E6A"/>
    <w:rsid w:val="00AF5E80"/>
    <w:rsid w:val="00AF5EAA"/>
    <w:rsid w:val="00AF5EBF"/>
    <w:rsid w:val="00AF5EF1"/>
    <w:rsid w:val="00AF5F4B"/>
    <w:rsid w:val="00AF5FCF"/>
    <w:rsid w:val="00AF5FE5"/>
    <w:rsid w:val="00AF60CC"/>
    <w:rsid w:val="00AF60EF"/>
    <w:rsid w:val="00AF611B"/>
    <w:rsid w:val="00AF614E"/>
    <w:rsid w:val="00AF616C"/>
    <w:rsid w:val="00AF6185"/>
    <w:rsid w:val="00AF6199"/>
    <w:rsid w:val="00AF61D1"/>
    <w:rsid w:val="00AF61D2"/>
    <w:rsid w:val="00AF61E5"/>
    <w:rsid w:val="00AF6209"/>
    <w:rsid w:val="00AF624C"/>
    <w:rsid w:val="00AF626C"/>
    <w:rsid w:val="00AF6311"/>
    <w:rsid w:val="00AF637B"/>
    <w:rsid w:val="00AF63C0"/>
    <w:rsid w:val="00AF63D8"/>
    <w:rsid w:val="00AF63D9"/>
    <w:rsid w:val="00AF63F9"/>
    <w:rsid w:val="00AF63FE"/>
    <w:rsid w:val="00AF6467"/>
    <w:rsid w:val="00AF64EB"/>
    <w:rsid w:val="00AF655B"/>
    <w:rsid w:val="00AF6567"/>
    <w:rsid w:val="00AF656B"/>
    <w:rsid w:val="00AF6578"/>
    <w:rsid w:val="00AF6581"/>
    <w:rsid w:val="00AF6587"/>
    <w:rsid w:val="00AF65F8"/>
    <w:rsid w:val="00AF6626"/>
    <w:rsid w:val="00AF6653"/>
    <w:rsid w:val="00AF6667"/>
    <w:rsid w:val="00AF6699"/>
    <w:rsid w:val="00AF66B1"/>
    <w:rsid w:val="00AF66BB"/>
    <w:rsid w:val="00AF6766"/>
    <w:rsid w:val="00AF676F"/>
    <w:rsid w:val="00AF67BF"/>
    <w:rsid w:val="00AF68BD"/>
    <w:rsid w:val="00AF693F"/>
    <w:rsid w:val="00AF69FA"/>
    <w:rsid w:val="00AF6A35"/>
    <w:rsid w:val="00AF6A3E"/>
    <w:rsid w:val="00AF6A61"/>
    <w:rsid w:val="00AF6A77"/>
    <w:rsid w:val="00AF6A9D"/>
    <w:rsid w:val="00AF6AAC"/>
    <w:rsid w:val="00AF6AC1"/>
    <w:rsid w:val="00AF6AC2"/>
    <w:rsid w:val="00AF6AEE"/>
    <w:rsid w:val="00AF6AF7"/>
    <w:rsid w:val="00AF6B3F"/>
    <w:rsid w:val="00AF6B5B"/>
    <w:rsid w:val="00AF6B6A"/>
    <w:rsid w:val="00AF6B9E"/>
    <w:rsid w:val="00AF6BB1"/>
    <w:rsid w:val="00AF6BD2"/>
    <w:rsid w:val="00AF6BE5"/>
    <w:rsid w:val="00AF6CD5"/>
    <w:rsid w:val="00AF6CF9"/>
    <w:rsid w:val="00AF6D41"/>
    <w:rsid w:val="00AF6DE0"/>
    <w:rsid w:val="00AF6DF7"/>
    <w:rsid w:val="00AF6DFA"/>
    <w:rsid w:val="00AF6E31"/>
    <w:rsid w:val="00AF6EC4"/>
    <w:rsid w:val="00AF6ECE"/>
    <w:rsid w:val="00AF6F05"/>
    <w:rsid w:val="00AF6F7C"/>
    <w:rsid w:val="00AF6FA2"/>
    <w:rsid w:val="00AF6FBE"/>
    <w:rsid w:val="00AF6FDC"/>
    <w:rsid w:val="00AF701F"/>
    <w:rsid w:val="00AF7038"/>
    <w:rsid w:val="00AF7067"/>
    <w:rsid w:val="00AF708A"/>
    <w:rsid w:val="00AF7098"/>
    <w:rsid w:val="00AF70A9"/>
    <w:rsid w:val="00AF70DD"/>
    <w:rsid w:val="00AF70E6"/>
    <w:rsid w:val="00AF7148"/>
    <w:rsid w:val="00AF7158"/>
    <w:rsid w:val="00AF71C4"/>
    <w:rsid w:val="00AF7220"/>
    <w:rsid w:val="00AF7261"/>
    <w:rsid w:val="00AF72D8"/>
    <w:rsid w:val="00AF7377"/>
    <w:rsid w:val="00AF73A8"/>
    <w:rsid w:val="00AF748E"/>
    <w:rsid w:val="00AF74CA"/>
    <w:rsid w:val="00AF74D9"/>
    <w:rsid w:val="00AF75DE"/>
    <w:rsid w:val="00AF762F"/>
    <w:rsid w:val="00AF76F1"/>
    <w:rsid w:val="00AF77A4"/>
    <w:rsid w:val="00AF77EF"/>
    <w:rsid w:val="00AF7821"/>
    <w:rsid w:val="00AF784C"/>
    <w:rsid w:val="00AF7862"/>
    <w:rsid w:val="00AF7863"/>
    <w:rsid w:val="00AF786F"/>
    <w:rsid w:val="00AF789C"/>
    <w:rsid w:val="00AF789F"/>
    <w:rsid w:val="00AF78CA"/>
    <w:rsid w:val="00AF7903"/>
    <w:rsid w:val="00AF79A2"/>
    <w:rsid w:val="00AF79BC"/>
    <w:rsid w:val="00AF7A6D"/>
    <w:rsid w:val="00AF7AB1"/>
    <w:rsid w:val="00AF7ADF"/>
    <w:rsid w:val="00AF7B57"/>
    <w:rsid w:val="00AF7B82"/>
    <w:rsid w:val="00AF7BB8"/>
    <w:rsid w:val="00AF7CF0"/>
    <w:rsid w:val="00AF7D5A"/>
    <w:rsid w:val="00AF7DA9"/>
    <w:rsid w:val="00AF7DEA"/>
    <w:rsid w:val="00AF7E62"/>
    <w:rsid w:val="00AF7EB8"/>
    <w:rsid w:val="00AF7EF9"/>
    <w:rsid w:val="00AF7F7B"/>
    <w:rsid w:val="00AF7F8A"/>
    <w:rsid w:val="00AF7FB3"/>
    <w:rsid w:val="00AF7FCF"/>
    <w:rsid w:val="00B00030"/>
    <w:rsid w:val="00B00093"/>
    <w:rsid w:val="00B000F8"/>
    <w:rsid w:val="00B00102"/>
    <w:rsid w:val="00B0013A"/>
    <w:rsid w:val="00B00162"/>
    <w:rsid w:val="00B001ED"/>
    <w:rsid w:val="00B0041F"/>
    <w:rsid w:val="00B00429"/>
    <w:rsid w:val="00B00482"/>
    <w:rsid w:val="00B0048F"/>
    <w:rsid w:val="00B004A0"/>
    <w:rsid w:val="00B004B4"/>
    <w:rsid w:val="00B0055B"/>
    <w:rsid w:val="00B0060E"/>
    <w:rsid w:val="00B00696"/>
    <w:rsid w:val="00B0069C"/>
    <w:rsid w:val="00B00718"/>
    <w:rsid w:val="00B00732"/>
    <w:rsid w:val="00B00753"/>
    <w:rsid w:val="00B0077F"/>
    <w:rsid w:val="00B00780"/>
    <w:rsid w:val="00B0078D"/>
    <w:rsid w:val="00B007D3"/>
    <w:rsid w:val="00B00874"/>
    <w:rsid w:val="00B0089D"/>
    <w:rsid w:val="00B008BC"/>
    <w:rsid w:val="00B008C4"/>
    <w:rsid w:val="00B00915"/>
    <w:rsid w:val="00B009D5"/>
    <w:rsid w:val="00B00A02"/>
    <w:rsid w:val="00B00A2A"/>
    <w:rsid w:val="00B00A62"/>
    <w:rsid w:val="00B00A9E"/>
    <w:rsid w:val="00B00ADD"/>
    <w:rsid w:val="00B00B2A"/>
    <w:rsid w:val="00B00B5C"/>
    <w:rsid w:val="00B00B6A"/>
    <w:rsid w:val="00B00B89"/>
    <w:rsid w:val="00B00BD2"/>
    <w:rsid w:val="00B00C10"/>
    <w:rsid w:val="00B00C20"/>
    <w:rsid w:val="00B00C4E"/>
    <w:rsid w:val="00B00C6E"/>
    <w:rsid w:val="00B00CAB"/>
    <w:rsid w:val="00B00CEE"/>
    <w:rsid w:val="00B00D63"/>
    <w:rsid w:val="00B00DB4"/>
    <w:rsid w:val="00B00DFF"/>
    <w:rsid w:val="00B00E0C"/>
    <w:rsid w:val="00B00E60"/>
    <w:rsid w:val="00B00E64"/>
    <w:rsid w:val="00B00E8B"/>
    <w:rsid w:val="00B00EC3"/>
    <w:rsid w:val="00B00ECE"/>
    <w:rsid w:val="00B00F4F"/>
    <w:rsid w:val="00B00F69"/>
    <w:rsid w:val="00B00F6B"/>
    <w:rsid w:val="00B00F81"/>
    <w:rsid w:val="00B0103B"/>
    <w:rsid w:val="00B0109E"/>
    <w:rsid w:val="00B010C5"/>
    <w:rsid w:val="00B0114A"/>
    <w:rsid w:val="00B01171"/>
    <w:rsid w:val="00B011DE"/>
    <w:rsid w:val="00B011E8"/>
    <w:rsid w:val="00B011EA"/>
    <w:rsid w:val="00B011EC"/>
    <w:rsid w:val="00B0120D"/>
    <w:rsid w:val="00B01270"/>
    <w:rsid w:val="00B012D4"/>
    <w:rsid w:val="00B012F8"/>
    <w:rsid w:val="00B01319"/>
    <w:rsid w:val="00B01329"/>
    <w:rsid w:val="00B0132B"/>
    <w:rsid w:val="00B01345"/>
    <w:rsid w:val="00B013A8"/>
    <w:rsid w:val="00B013DC"/>
    <w:rsid w:val="00B013EF"/>
    <w:rsid w:val="00B01476"/>
    <w:rsid w:val="00B014B1"/>
    <w:rsid w:val="00B0153A"/>
    <w:rsid w:val="00B01544"/>
    <w:rsid w:val="00B01576"/>
    <w:rsid w:val="00B015D7"/>
    <w:rsid w:val="00B0163E"/>
    <w:rsid w:val="00B01666"/>
    <w:rsid w:val="00B0167F"/>
    <w:rsid w:val="00B016D1"/>
    <w:rsid w:val="00B016F7"/>
    <w:rsid w:val="00B01745"/>
    <w:rsid w:val="00B01773"/>
    <w:rsid w:val="00B017B2"/>
    <w:rsid w:val="00B017F5"/>
    <w:rsid w:val="00B017F7"/>
    <w:rsid w:val="00B01801"/>
    <w:rsid w:val="00B0182A"/>
    <w:rsid w:val="00B0183F"/>
    <w:rsid w:val="00B0185D"/>
    <w:rsid w:val="00B0186D"/>
    <w:rsid w:val="00B0188B"/>
    <w:rsid w:val="00B018DF"/>
    <w:rsid w:val="00B018F0"/>
    <w:rsid w:val="00B01913"/>
    <w:rsid w:val="00B01946"/>
    <w:rsid w:val="00B01949"/>
    <w:rsid w:val="00B01973"/>
    <w:rsid w:val="00B01998"/>
    <w:rsid w:val="00B019B1"/>
    <w:rsid w:val="00B019D7"/>
    <w:rsid w:val="00B01A79"/>
    <w:rsid w:val="00B01AA4"/>
    <w:rsid w:val="00B01AAD"/>
    <w:rsid w:val="00B01B35"/>
    <w:rsid w:val="00B01B4D"/>
    <w:rsid w:val="00B01B81"/>
    <w:rsid w:val="00B01BC7"/>
    <w:rsid w:val="00B01C08"/>
    <w:rsid w:val="00B01C72"/>
    <w:rsid w:val="00B01C9C"/>
    <w:rsid w:val="00B01CD3"/>
    <w:rsid w:val="00B01DAE"/>
    <w:rsid w:val="00B01DB4"/>
    <w:rsid w:val="00B01E56"/>
    <w:rsid w:val="00B01E5B"/>
    <w:rsid w:val="00B01E83"/>
    <w:rsid w:val="00B01ED9"/>
    <w:rsid w:val="00B01EEA"/>
    <w:rsid w:val="00B01F02"/>
    <w:rsid w:val="00B01F62"/>
    <w:rsid w:val="00B01F74"/>
    <w:rsid w:val="00B01F91"/>
    <w:rsid w:val="00B01FCE"/>
    <w:rsid w:val="00B01FD1"/>
    <w:rsid w:val="00B02042"/>
    <w:rsid w:val="00B02058"/>
    <w:rsid w:val="00B02091"/>
    <w:rsid w:val="00B02099"/>
    <w:rsid w:val="00B020DD"/>
    <w:rsid w:val="00B02101"/>
    <w:rsid w:val="00B02178"/>
    <w:rsid w:val="00B021E1"/>
    <w:rsid w:val="00B021FC"/>
    <w:rsid w:val="00B022C3"/>
    <w:rsid w:val="00B022C6"/>
    <w:rsid w:val="00B02301"/>
    <w:rsid w:val="00B02304"/>
    <w:rsid w:val="00B02335"/>
    <w:rsid w:val="00B0238D"/>
    <w:rsid w:val="00B023AB"/>
    <w:rsid w:val="00B023BC"/>
    <w:rsid w:val="00B023EE"/>
    <w:rsid w:val="00B023FB"/>
    <w:rsid w:val="00B02428"/>
    <w:rsid w:val="00B024C4"/>
    <w:rsid w:val="00B02559"/>
    <w:rsid w:val="00B02588"/>
    <w:rsid w:val="00B025CA"/>
    <w:rsid w:val="00B02610"/>
    <w:rsid w:val="00B0261B"/>
    <w:rsid w:val="00B02642"/>
    <w:rsid w:val="00B02719"/>
    <w:rsid w:val="00B0272D"/>
    <w:rsid w:val="00B027B6"/>
    <w:rsid w:val="00B027D7"/>
    <w:rsid w:val="00B027EF"/>
    <w:rsid w:val="00B027F1"/>
    <w:rsid w:val="00B028F2"/>
    <w:rsid w:val="00B028FA"/>
    <w:rsid w:val="00B02917"/>
    <w:rsid w:val="00B0299E"/>
    <w:rsid w:val="00B029F3"/>
    <w:rsid w:val="00B02A2C"/>
    <w:rsid w:val="00B02B0A"/>
    <w:rsid w:val="00B02BD5"/>
    <w:rsid w:val="00B02C1A"/>
    <w:rsid w:val="00B02C27"/>
    <w:rsid w:val="00B02C38"/>
    <w:rsid w:val="00B02C56"/>
    <w:rsid w:val="00B02CCC"/>
    <w:rsid w:val="00B02CEE"/>
    <w:rsid w:val="00B02D45"/>
    <w:rsid w:val="00B02DF8"/>
    <w:rsid w:val="00B02E60"/>
    <w:rsid w:val="00B02EA5"/>
    <w:rsid w:val="00B02F16"/>
    <w:rsid w:val="00B02F70"/>
    <w:rsid w:val="00B02F7B"/>
    <w:rsid w:val="00B02F8A"/>
    <w:rsid w:val="00B02FC4"/>
    <w:rsid w:val="00B030A7"/>
    <w:rsid w:val="00B0310B"/>
    <w:rsid w:val="00B03151"/>
    <w:rsid w:val="00B03248"/>
    <w:rsid w:val="00B03259"/>
    <w:rsid w:val="00B032E4"/>
    <w:rsid w:val="00B03310"/>
    <w:rsid w:val="00B03386"/>
    <w:rsid w:val="00B03390"/>
    <w:rsid w:val="00B033BE"/>
    <w:rsid w:val="00B033E5"/>
    <w:rsid w:val="00B03458"/>
    <w:rsid w:val="00B03525"/>
    <w:rsid w:val="00B035BB"/>
    <w:rsid w:val="00B035D7"/>
    <w:rsid w:val="00B035EA"/>
    <w:rsid w:val="00B03625"/>
    <w:rsid w:val="00B0363B"/>
    <w:rsid w:val="00B0364D"/>
    <w:rsid w:val="00B0370D"/>
    <w:rsid w:val="00B0373E"/>
    <w:rsid w:val="00B0386C"/>
    <w:rsid w:val="00B0387C"/>
    <w:rsid w:val="00B0392B"/>
    <w:rsid w:val="00B03945"/>
    <w:rsid w:val="00B03960"/>
    <w:rsid w:val="00B039B1"/>
    <w:rsid w:val="00B039B8"/>
    <w:rsid w:val="00B039C8"/>
    <w:rsid w:val="00B039DC"/>
    <w:rsid w:val="00B03A16"/>
    <w:rsid w:val="00B03A1B"/>
    <w:rsid w:val="00B03A6D"/>
    <w:rsid w:val="00B03A82"/>
    <w:rsid w:val="00B03AC0"/>
    <w:rsid w:val="00B03B51"/>
    <w:rsid w:val="00B03B7B"/>
    <w:rsid w:val="00B03B7D"/>
    <w:rsid w:val="00B03B8A"/>
    <w:rsid w:val="00B03B91"/>
    <w:rsid w:val="00B03BAE"/>
    <w:rsid w:val="00B03C16"/>
    <w:rsid w:val="00B03C8D"/>
    <w:rsid w:val="00B03CAF"/>
    <w:rsid w:val="00B03CE9"/>
    <w:rsid w:val="00B03CFF"/>
    <w:rsid w:val="00B03D1D"/>
    <w:rsid w:val="00B03D53"/>
    <w:rsid w:val="00B03D61"/>
    <w:rsid w:val="00B03D99"/>
    <w:rsid w:val="00B03DA6"/>
    <w:rsid w:val="00B03DC4"/>
    <w:rsid w:val="00B03DD4"/>
    <w:rsid w:val="00B03E43"/>
    <w:rsid w:val="00B03E50"/>
    <w:rsid w:val="00B03E54"/>
    <w:rsid w:val="00B03E76"/>
    <w:rsid w:val="00B03E9C"/>
    <w:rsid w:val="00B03EBC"/>
    <w:rsid w:val="00B03EC1"/>
    <w:rsid w:val="00B03ECC"/>
    <w:rsid w:val="00B03ECD"/>
    <w:rsid w:val="00B03ED7"/>
    <w:rsid w:val="00B03F62"/>
    <w:rsid w:val="00B03F72"/>
    <w:rsid w:val="00B04001"/>
    <w:rsid w:val="00B04005"/>
    <w:rsid w:val="00B0400D"/>
    <w:rsid w:val="00B04043"/>
    <w:rsid w:val="00B0404B"/>
    <w:rsid w:val="00B0409C"/>
    <w:rsid w:val="00B040C8"/>
    <w:rsid w:val="00B040DE"/>
    <w:rsid w:val="00B0412A"/>
    <w:rsid w:val="00B041AE"/>
    <w:rsid w:val="00B04203"/>
    <w:rsid w:val="00B0421C"/>
    <w:rsid w:val="00B0425E"/>
    <w:rsid w:val="00B042B3"/>
    <w:rsid w:val="00B042CA"/>
    <w:rsid w:val="00B042D5"/>
    <w:rsid w:val="00B04303"/>
    <w:rsid w:val="00B0436B"/>
    <w:rsid w:val="00B04375"/>
    <w:rsid w:val="00B0448A"/>
    <w:rsid w:val="00B044BE"/>
    <w:rsid w:val="00B0450C"/>
    <w:rsid w:val="00B04522"/>
    <w:rsid w:val="00B04560"/>
    <w:rsid w:val="00B045CE"/>
    <w:rsid w:val="00B045F3"/>
    <w:rsid w:val="00B0460A"/>
    <w:rsid w:val="00B0463F"/>
    <w:rsid w:val="00B046E7"/>
    <w:rsid w:val="00B046ED"/>
    <w:rsid w:val="00B0475C"/>
    <w:rsid w:val="00B0479C"/>
    <w:rsid w:val="00B047AA"/>
    <w:rsid w:val="00B047B5"/>
    <w:rsid w:val="00B047E6"/>
    <w:rsid w:val="00B047EE"/>
    <w:rsid w:val="00B04815"/>
    <w:rsid w:val="00B04818"/>
    <w:rsid w:val="00B04846"/>
    <w:rsid w:val="00B04885"/>
    <w:rsid w:val="00B048DF"/>
    <w:rsid w:val="00B04906"/>
    <w:rsid w:val="00B0492E"/>
    <w:rsid w:val="00B0494D"/>
    <w:rsid w:val="00B04967"/>
    <w:rsid w:val="00B04978"/>
    <w:rsid w:val="00B049B4"/>
    <w:rsid w:val="00B049CD"/>
    <w:rsid w:val="00B04A21"/>
    <w:rsid w:val="00B04A30"/>
    <w:rsid w:val="00B04A34"/>
    <w:rsid w:val="00B04A66"/>
    <w:rsid w:val="00B04A8B"/>
    <w:rsid w:val="00B04B28"/>
    <w:rsid w:val="00B04B4D"/>
    <w:rsid w:val="00B04B67"/>
    <w:rsid w:val="00B04B7B"/>
    <w:rsid w:val="00B04B91"/>
    <w:rsid w:val="00B04BBF"/>
    <w:rsid w:val="00B04BCC"/>
    <w:rsid w:val="00B04C29"/>
    <w:rsid w:val="00B04CCA"/>
    <w:rsid w:val="00B04D10"/>
    <w:rsid w:val="00B04D1D"/>
    <w:rsid w:val="00B04D2C"/>
    <w:rsid w:val="00B04E36"/>
    <w:rsid w:val="00B04E58"/>
    <w:rsid w:val="00B04ECF"/>
    <w:rsid w:val="00B04F53"/>
    <w:rsid w:val="00B04F6E"/>
    <w:rsid w:val="00B04F84"/>
    <w:rsid w:val="00B04FB3"/>
    <w:rsid w:val="00B04FEC"/>
    <w:rsid w:val="00B0503C"/>
    <w:rsid w:val="00B0504C"/>
    <w:rsid w:val="00B05093"/>
    <w:rsid w:val="00B050AA"/>
    <w:rsid w:val="00B050AE"/>
    <w:rsid w:val="00B050BF"/>
    <w:rsid w:val="00B05145"/>
    <w:rsid w:val="00B0514C"/>
    <w:rsid w:val="00B05152"/>
    <w:rsid w:val="00B051CD"/>
    <w:rsid w:val="00B0523A"/>
    <w:rsid w:val="00B05247"/>
    <w:rsid w:val="00B05294"/>
    <w:rsid w:val="00B052A7"/>
    <w:rsid w:val="00B052A8"/>
    <w:rsid w:val="00B052BA"/>
    <w:rsid w:val="00B052E4"/>
    <w:rsid w:val="00B05327"/>
    <w:rsid w:val="00B05355"/>
    <w:rsid w:val="00B05362"/>
    <w:rsid w:val="00B053AF"/>
    <w:rsid w:val="00B053F7"/>
    <w:rsid w:val="00B05426"/>
    <w:rsid w:val="00B05446"/>
    <w:rsid w:val="00B054A1"/>
    <w:rsid w:val="00B054B1"/>
    <w:rsid w:val="00B054FC"/>
    <w:rsid w:val="00B0551A"/>
    <w:rsid w:val="00B05534"/>
    <w:rsid w:val="00B05553"/>
    <w:rsid w:val="00B05573"/>
    <w:rsid w:val="00B0557B"/>
    <w:rsid w:val="00B055C0"/>
    <w:rsid w:val="00B05691"/>
    <w:rsid w:val="00B056A5"/>
    <w:rsid w:val="00B056B3"/>
    <w:rsid w:val="00B05726"/>
    <w:rsid w:val="00B05737"/>
    <w:rsid w:val="00B057B2"/>
    <w:rsid w:val="00B057CD"/>
    <w:rsid w:val="00B05809"/>
    <w:rsid w:val="00B0586C"/>
    <w:rsid w:val="00B0587D"/>
    <w:rsid w:val="00B058AE"/>
    <w:rsid w:val="00B058C6"/>
    <w:rsid w:val="00B058F8"/>
    <w:rsid w:val="00B05912"/>
    <w:rsid w:val="00B0591A"/>
    <w:rsid w:val="00B05980"/>
    <w:rsid w:val="00B05A54"/>
    <w:rsid w:val="00B05A74"/>
    <w:rsid w:val="00B05A7E"/>
    <w:rsid w:val="00B05AAE"/>
    <w:rsid w:val="00B05AC7"/>
    <w:rsid w:val="00B05ADC"/>
    <w:rsid w:val="00B05B55"/>
    <w:rsid w:val="00B05BEC"/>
    <w:rsid w:val="00B05C1F"/>
    <w:rsid w:val="00B05C20"/>
    <w:rsid w:val="00B05D32"/>
    <w:rsid w:val="00B05D3F"/>
    <w:rsid w:val="00B05D6A"/>
    <w:rsid w:val="00B05E58"/>
    <w:rsid w:val="00B05E63"/>
    <w:rsid w:val="00B05E65"/>
    <w:rsid w:val="00B05ED0"/>
    <w:rsid w:val="00B05ED4"/>
    <w:rsid w:val="00B05EDF"/>
    <w:rsid w:val="00B05F11"/>
    <w:rsid w:val="00B05F66"/>
    <w:rsid w:val="00B0600F"/>
    <w:rsid w:val="00B06026"/>
    <w:rsid w:val="00B0602C"/>
    <w:rsid w:val="00B0604C"/>
    <w:rsid w:val="00B06076"/>
    <w:rsid w:val="00B06083"/>
    <w:rsid w:val="00B0614F"/>
    <w:rsid w:val="00B06185"/>
    <w:rsid w:val="00B06186"/>
    <w:rsid w:val="00B06193"/>
    <w:rsid w:val="00B06216"/>
    <w:rsid w:val="00B06332"/>
    <w:rsid w:val="00B0637A"/>
    <w:rsid w:val="00B063B8"/>
    <w:rsid w:val="00B063B9"/>
    <w:rsid w:val="00B063D2"/>
    <w:rsid w:val="00B063D5"/>
    <w:rsid w:val="00B0646A"/>
    <w:rsid w:val="00B06477"/>
    <w:rsid w:val="00B06496"/>
    <w:rsid w:val="00B064A8"/>
    <w:rsid w:val="00B064D3"/>
    <w:rsid w:val="00B064DB"/>
    <w:rsid w:val="00B064FE"/>
    <w:rsid w:val="00B06527"/>
    <w:rsid w:val="00B06531"/>
    <w:rsid w:val="00B06565"/>
    <w:rsid w:val="00B0657E"/>
    <w:rsid w:val="00B065C7"/>
    <w:rsid w:val="00B065C9"/>
    <w:rsid w:val="00B065ED"/>
    <w:rsid w:val="00B06686"/>
    <w:rsid w:val="00B066EF"/>
    <w:rsid w:val="00B066F2"/>
    <w:rsid w:val="00B06777"/>
    <w:rsid w:val="00B0677D"/>
    <w:rsid w:val="00B06788"/>
    <w:rsid w:val="00B06850"/>
    <w:rsid w:val="00B068D4"/>
    <w:rsid w:val="00B068E5"/>
    <w:rsid w:val="00B068E8"/>
    <w:rsid w:val="00B068FB"/>
    <w:rsid w:val="00B06917"/>
    <w:rsid w:val="00B06943"/>
    <w:rsid w:val="00B069C7"/>
    <w:rsid w:val="00B069CA"/>
    <w:rsid w:val="00B069D0"/>
    <w:rsid w:val="00B069D6"/>
    <w:rsid w:val="00B06A02"/>
    <w:rsid w:val="00B06A18"/>
    <w:rsid w:val="00B06AA5"/>
    <w:rsid w:val="00B06AE1"/>
    <w:rsid w:val="00B06B47"/>
    <w:rsid w:val="00B06B54"/>
    <w:rsid w:val="00B06BBF"/>
    <w:rsid w:val="00B06BC8"/>
    <w:rsid w:val="00B06C41"/>
    <w:rsid w:val="00B06C61"/>
    <w:rsid w:val="00B06C63"/>
    <w:rsid w:val="00B06CAB"/>
    <w:rsid w:val="00B06CC2"/>
    <w:rsid w:val="00B06CEC"/>
    <w:rsid w:val="00B06D4A"/>
    <w:rsid w:val="00B06D59"/>
    <w:rsid w:val="00B06D5A"/>
    <w:rsid w:val="00B06D5C"/>
    <w:rsid w:val="00B06DBF"/>
    <w:rsid w:val="00B06DD5"/>
    <w:rsid w:val="00B06E28"/>
    <w:rsid w:val="00B06E52"/>
    <w:rsid w:val="00B06EA8"/>
    <w:rsid w:val="00B06FB7"/>
    <w:rsid w:val="00B07004"/>
    <w:rsid w:val="00B070CD"/>
    <w:rsid w:val="00B070CF"/>
    <w:rsid w:val="00B070D7"/>
    <w:rsid w:val="00B0711E"/>
    <w:rsid w:val="00B07120"/>
    <w:rsid w:val="00B071BF"/>
    <w:rsid w:val="00B071D2"/>
    <w:rsid w:val="00B07218"/>
    <w:rsid w:val="00B0725E"/>
    <w:rsid w:val="00B0728C"/>
    <w:rsid w:val="00B072B0"/>
    <w:rsid w:val="00B072C1"/>
    <w:rsid w:val="00B072CA"/>
    <w:rsid w:val="00B072DC"/>
    <w:rsid w:val="00B073CC"/>
    <w:rsid w:val="00B0741F"/>
    <w:rsid w:val="00B07445"/>
    <w:rsid w:val="00B0744D"/>
    <w:rsid w:val="00B074EC"/>
    <w:rsid w:val="00B0755D"/>
    <w:rsid w:val="00B075A2"/>
    <w:rsid w:val="00B075A3"/>
    <w:rsid w:val="00B075A7"/>
    <w:rsid w:val="00B075FB"/>
    <w:rsid w:val="00B0762B"/>
    <w:rsid w:val="00B07646"/>
    <w:rsid w:val="00B0765A"/>
    <w:rsid w:val="00B07676"/>
    <w:rsid w:val="00B07687"/>
    <w:rsid w:val="00B0768C"/>
    <w:rsid w:val="00B0769E"/>
    <w:rsid w:val="00B076FC"/>
    <w:rsid w:val="00B07782"/>
    <w:rsid w:val="00B077D7"/>
    <w:rsid w:val="00B077EE"/>
    <w:rsid w:val="00B07856"/>
    <w:rsid w:val="00B078EE"/>
    <w:rsid w:val="00B079E1"/>
    <w:rsid w:val="00B07A69"/>
    <w:rsid w:val="00B07AA3"/>
    <w:rsid w:val="00B07AE0"/>
    <w:rsid w:val="00B07AF4"/>
    <w:rsid w:val="00B07B4B"/>
    <w:rsid w:val="00B07BC4"/>
    <w:rsid w:val="00B07BD5"/>
    <w:rsid w:val="00B07C6A"/>
    <w:rsid w:val="00B07C7A"/>
    <w:rsid w:val="00B07CCE"/>
    <w:rsid w:val="00B07CDF"/>
    <w:rsid w:val="00B07D5D"/>
    <w:rsid w:val="00B07D5E"/>
    <w:rsid w:val="00B07D7F"/>
    <w:rsid w:val="00B07DAD"/>
    <w:rsid w:val="00B07DB9"/>
    <w:rsid w:val="00B07DD7"/>
    <w:rsid w:val="00B07DD9"/>
    <w:rsid w:val="00B07E0C"/>
    <w:rsid w:val="00B07E19"/>
    <w:rsid w:val="00B07E35"/>
    <w:rsid w:val="00B07E4C"/>
    <w:rsid w:val="00B07E89"/>
    <w:rsid w:val="00B07EA8"/>
    <w:rsid w:val="00B07FF9"/>
    <w:rsid w:val="00B10007"/>
    <w:rsid w:val="00B100CB"/>
    <w:rsid w:val="00B1015F"/>
    <w:rsid w:val="00B10172"/>
    <w:rsid w:val="00B10179"/>
    <w:rsid w:val="00B101DB"/>
    <w:rsid w:val="00B10204"/>
    <w:rsid w:val="00B1022E"/>
    <w:rsid w:val="00B10252"/>
    <w:rsid w:val="00B10266"/>
    <w:rsid w:val="00B102C7"/>
    <w:rsid w:val="00B102F0"/>
    <w:rsid w:val="00B10335"/>
    <w:rsid w:val="00B10384"/>
    <w:rsid w:val="00B103AF"/>
    <w:rsid w:val="00B1044B"/>
    <w:rsid w:val="00B104D6"/>
    <w:rsid w:val="00B10519"/>
    <w:rsid w:val="00B10528"/>
    <w:rsid w:val="00B1058B"/>
    <w:rsid w:val="00B105A1"/>
    <w:rsid w:val="00B105B8"/>
    <w:rsid w:val="00B105E4"/>
    <w:rsid w:val="00B105F4"/>
    <w:rsid w:val="00B1064D"/>
    <w:rsid w:val="00B10664"/>
    <w:rsid w:val="00B10693"/>
    <w:rsid w:val="00B10696"/>
    <w:rsid w:val="00B1069E"/>
    <w:rsid w:val="00B106A4"/>
    <w:rsid w:val="00B106BE"/>
    <w:rsid w:val="00B106D8"/>
    <w:rsid w:val="00B106E6"/>
    <w:rsid w:val="00B1072B"/>
    <w:rsid w:val="00B107E2"/>
    <w:rsid w:val="00B10835"/>
    <w:rsid w:val="00B10911"/>
    <w:rsid w:val="00B10916"/>
    <w:rsid w:val="00B10918"/>
    <w:rsid w:val="00B1092E"/>
    <w:rsid w:val="00B1092F"/>
    <w:rsid w:val="00B10938"/>
    <w:rsid w:val="00B10940"/>
    <w:rsid w:val="00B10969"/>
    <w:rsid w:val="00B109B6"/>
    <w:rsid w:val="00B109E4"/>
    <w:rsid w:val="00B10A30"/>
    <w:rsid w:val="00B10A4A"/>
    <w:rsid w:val="00B10A68"/>
    <w:rsid w:val="00B10B2A"/>
    <w:rsid w:val="00B10BE3"/>
    <w:rsid w:val="00B10C60"/>
    <w:rsid w:val="00B10CF2"/>
    <w:rsid w:val="00B10D41"/>
    <w:rsid w:val="00B10DA3"/>
    <w:rsid w:val="00B10E74"/>
    <w:rsid w:val="00B10E7E"/>
    <w:rsid w:val="00B10EDD"/>
    <w:rsid w:val="00B10EF1"/>
    <w:rsid w:val="00B10F12"/>
    <w:rsid w:val="00B10F3D"/>
    <w:rsid w:val="00B10F78"/>
    <w:rsid w:val="00B10F81"/>
    <w:rsid w:val="00B1105A"/>
    <w:rsid w:val="00B110DD"/>
    <w:rsid w:val="00B1111E"/>
    <w:rsid w:val="00B1112E"/>
    <w:rsid w:val="00B1118B"/>
    <w:rsid w:val="00B111C9"/>
    <w:rsid w:val="00B111CC"/>
    <w:rsid w:val="00B111E1"/>
    <w:rsid w:val="00B1120D"/>
    <w:rsid w:val="00B1122A"/>
    <w:rsid w:val="00B11271"/>
    <w:rsid w:val="00B112F8"/>
    <w:rsid w:val="00B112FA"/>
    <w:rsid w:val="00B1133C"/>
    <w:rsid w:val="00B11345"/>
    <w:rsid w:val="00B113B0"/>
    <w:rsid w:val="00B113B1"/>
    <w:rsid w:val="00B113E7"/>
    <w:rsid w:val="00B11424"/>
    <w:rsid w:val="00B1149C"/>
    <w:rsid w:val="00B114F2"/>
    <w:rsid w:val="00B11501"/>
    <w:rsid w:val="00B11532"/>
    <w:rsid w:val="00B1153E"/>
    <w:rsid w:val="00B11544"/>
    <w:rsid w:val="00B11565"/>
    <w:rsid w:val="00B11582"/>
    <w:rsid w:val="00B11583"/>
    <w:rsid w:val="00B115C2"/>
    <w:rsid w:val="00B115DA"/>
    <w:rsid w:val="00B11646"/>
    <w:rsid w:val="00B11672"/>
    <w:rsid w:val="00B117A5"/>
    <w:rsid w:val="00B117B2"/>
    <w:rsid w:val="00B117B4"/>
    <w:rsid w:val="00B117C0"/>
    <w:rsid w:val="00B117F4"/>
    <w:rsid w:val="00B1180E"/>
    <w:rsid w:val="00B11815"/>
    <w:rsid w:val="00B1186F"/>
    <w:rsid w:val="00B118A5"/>
    <w:rsid w:val="00B118CA"/>
    <w:rsid w:val="00B118DE"/>
    <w:rsid w:val="00B11999"/>
    <w:rsid w:val="00B11A0A"/>
    <w:rsid w:val="00B11A52"/>
    <w:rsid w:val="00B11AA4"/>
    <w:rsid w:val="00B11AC1"/>
    <w:rsid w:val="00B11AC3"/>
    <w:rsid w:val="00B11B0D"/>
    <w:rsid w:val="00B11B8A"/>
    <w:rsid w:val="00B11B96"/>
    <w:rsid w:val="00B11BDA"/>
    <w:rsid w:val="00B11BF3"/>
    <w:rsid w:val="00B11CB6"/>
    <w:rsid w:val="00B11D22"/>
    <w:rsid w:val="00B11D53"/>
    <w:rsid w:val="00B11DBF"/>
    <w:rsid w:val="00B11DE8"/>
    <w:rsid w:val="00B11DE9"/>
    <w:rsid w:val="00B11E19"/>
    <w:rsid w:val="00B11E66"/>
    <w:rsid w:val="00B11EA3"/>
    <w:rsid w:val="00B11F1E"/>
    <w:rsid w:val="00B11F43"/>
    <w:rsid w:val="00B11F56"/>
    <w:rsid w:val="00B11F73"/>
    <w:rsid w:val="00B11F76"/>
    <w:rsid w:val="00B11F91"/>
    <w:rsid w:val="00B11FC3"/>
    <w:rsid w:val="00B11FD9"/>
    <w:rsid w:val="00B12018"/>
    <w:rsid w:val="00B1203F"/>
    <w:rsid w:val="00B12084"/>
    <w:rsid w:val="00B1208E"/>
    <w:rsid w:val="00B120B4"/>
    <w:rsid w:val="00B120FA"/>
    <w:rsid w:val="00B12114"/>
    <w:rsid w:val="00B12155"/>
    <w:rsid w:val="00B12194"/>
    <w:rsid w:val="00B121B0"/>
    <w:rsid w:val="00B121C2"/>
    <w:rsid w:val="00B121EF"/>
    <w:rsid w:val="00B12242"/>
    <w:rsid w:val="00B122C0"/>
    <w:rsid w:val="00B122C9"/>
    <w:rsid w:val="00B12389"/>
    <w:rsid w:val="00B123C4"/>
    <w:rsid w:val="00B123FE"/>
    <w:rsid w:val="00B1243A"/>
    <w:rsid w:val="00B1243F"/>
    <w:rsid w:val="00B12471"/>
    <w:rsid w:val="00B12566"/>
    <w:rsid w:val="00B12610"/>
    <w:rsid w:val="00B12680"/>
    <w:rsid w:val="00B12695"/>
    <w:rsid w:val="00B126A0"/>
    <w:rsid w:val="00B12743"/>
    <w:rsid w:val="00B1276E"/>
    <w:rsid w:val="00B127D8"/>
    <w:rsid w:val="00B1280A"/>
    <w:rsid w:val="00B12820"/>
    <w:rsid w:val="00B12846"/>
    <w:rsid w:val="00B128AB"/>
    <w:rsid w:val="00B128B4"/>
    <w:rsid w:val="00B12934"/>
    <w:rsid w:val="00B12A3A"/>
    <w:rsid w:val="00B12A49"/>
    <w:rsid w:val="00B12A56"/>
    <w:rsid w:val="00B12AEA"/>
    <w:rsid w:val="00B12B7F"/>
    <w:rsid w:val="00B12BCF"/>
    <w:rsid w:val="00B12C01"/>
    <w:rsid w:val="00B12C27"/>
    <w:rsid w:val="00B12C32"/>
    <w:rsid w:val="00B12C51"/>
    <w:rsid w:val="00B12C74"/>
    <w:rsid w:val="00B12C8C"/>
    <w:rsid w:val="00B12C9C"/>
    <w:rsid w:val="00B12CB8"/>
    <w:rsid w:val="00B12CB9"/>
    <w:rsid w:val="00B12D6C"/>
    <w:rsid w:val="00B12D7E"/>
    <w:rsid w:val="00B12DC5"/>
    <w:rsid w:val="00B12DCB"/>
    <w:rsid w:val="00B12DD0"/>
    <w:rsid w:val="00B12DFC"/>
    <w:rsid w:val="00B12E1F"/>
    <w:rsid w:val="00B12E59"/>
    <w:rsid w:val="00B12E61"/>
    <w:rsid w:val="00B12E6B"/>
    <w:rsid w:val="00B12E6D"/>
    <w:rsid w:val="00B12E6F"/>
    <w:rsid w:val="00B12EA8"/>
    <w:rsid w:val="00B12EB6"/>
    <w:rsid w:val="00B12ECC"/>
    <w:rsid w:val="00B12F5A"/>
    <w:rsid w:val="00B12FCB"/>
    <w:rsid w:val="00B12FDC"/>
    <w:rsid w:val="00B13004"/>
    <w:rsid w:val="00B13073"/>
    <w:rsid w:val="00B13085"/>
    <w:rsid w:val="00B130C2"/>
    <w:rsid w:val="00B13124"/>
    <w:rsid w:val="00B13152"/>
    <w:rsid w:val="00B1316C"/>
    <w:rsid w:val="00B1317E"/>
    <w:rsid w:val="00B1321B"/>
    <w:rsid w:val="00B13226"/>
    <w:rsid w:val="00B13258"/>
    <w:rsid w:val="00B13267"/>
    <w:rsid w:val="00B13277"/>
    <w:rsid w:val="00B1327A"/>
    <w:rsid w:val="00B13327"/>
    <w:rsid w:val="00B13372"/>
    <w:rsid w:val="00B13449"/>
    <w:rsid w:val="00B13460"/>
    <w:rsid w:val="00B1348D"/>
    <w:rsid w:val="00B134C8"/>
    <w:rsid w:val="00B13563"/>
    <w:rsid w:val="00B1359A"/>
    <w:rsid w:val="00B135DF"/>
    <w:rsid w:val="00B135FF"/>
    <w:rsid w:val="00B136C5"/>
    <w:rsid w:val="00B13730"/>
    <w:rsid w:val="00B13755"/>
    <w:rsid w:val="00B13777"/>
    <w:rsid w:val="00B137AA"/>
    <w:rsid w:val="00B137C2"/>
    <w:rsid w:val="00B137F9"/>
    <w:rsid w:val="00B1389D"/>
    <w:rsid w:val="00B138DA"/>
    <w:rsid w:val="00B1395A"/>
    <w:rsid w:val="00B1397E"/>
    <w:rsid w:val="00B139A3"/>
    <w:rsid w:val="00B139B8"/>
    <w:rsid w:val="00B139D8"/>
    <w:rsid w:val="00B139F6"/>
    <w:rsid w:val="00B13A15"/>
    <w:rsid w:val="00B13A66"/>
    <w:rsid w:val="00B13A93"/>
    <w:rsid w:val="00B13AAC"/>
    <w:rsid w:val="00B13AB1"/>
    <w:rsid w:val="00B13AC5"/>
    <w:rsid w:val="00B13B69"/>
    <w:rsid w:val="00B13BB1"/>
    <w:rsid w:val="00B13BC2"/>
    <w:rsid w:val="00B13BF6"/>
    <w:rsid w:val="00B13BF7"/>
    <w:rsid w:val="00B13C21"/>
    <w:rsid w:val="00B13C36"/>
    <w:rsid w:val="00B13C52"/>
    <w:rsid w:val="00B13C63"/>
    <w:rsid w:val="00B13CE2"/>
    <w:rsid w:val="00B13DA2"/>
    <w:rsid w:val="00B13DC5"/>
    <w:rsid w:val="00B13DFB"/>
    <w:rsid w:val="00B13EC3"/>
    <w:rsid w:val="00B13ED5"/>
    <w:rsid w:val="00B13F37"/>
    <w:rsid w:val="00B13FFA"/>
    <w:rsid w:val="00B14052"/>
    <w:rsid w:val="00B1405D"/>
    <w:rsid w:val="00B140C8"/>
    <w:rsid w:val="00B140D3"/>
    <w:rsid w:val="00B140DD"/>
    <w:rsid w:val="00B140F6"/>
    <w:rsid w:val="00B14128"/>
    <w:rsid w:val="00B1416B"/>
    <w:rsid w:val="00B1417A"/>
    <w:rsid w:val="00B14193"/>
    <w:rsid w:val="00B14226"/>
    <w:rsid w:val="00B1423C"/>
    <w:rsid w:val="00B142B5"/>
    <w:rsid w:val="00B142FA"/>
    <w:rsid w:val="00B14309"/>
    <w:rsid w:val="00B14377"/>
    <w:rsid w:val="00B143EE"/>
    <w:rsid w:val="00B14413"/>
    <w:rsid w:val="00B1441F"/>
    <w:rsid w:val="00B14480"/>
    <w:rsid w:val="00B144C3"/>
    <w:rsid w:val="00B144DE"/>
    <w:rsid w:val="00B1451D"/>
    <w:rsid w:val="00B1456B"/>
    <w:rsid w:val="00B1457C"/>
    <w:rsid w:val="00B145B2"/>
    <w:rsid w:val="00B145F9"/>
    <w:rsid w:val="00B145FC"/>
    <w:rsid w:val="00B14625"/>
    <w:rsid w:val="00B14637"/>
    <w:rsid w:val="00B1463B"/>
    <w:rsid w:val="00B1469E"/>
    <w:rsid w:val="00B146AF"/>
    <w:rsid w:val="00B1473E"/>
    <w:rsid w:val="00B14788"/>
    <w:rsid w:val="00B1481A"/>
    <w:rsid w:val="00B1482F"/>
    <w:rsid w:val="00B14867"/>
    <w:rsid w:val="00B1487A"/>
    <w:rsid w:val="00B14898"/>
    <w:rsid w:val="00B149E6"/>
    <w:rsid w:val="00B14A84"/>
    <w:rsid w:val="00B14A8A"/>
    <w:rsid w:val="00B14A90"/>
    <w:rsid w:val="00B14AF0"/>
    <w:rsid w:val="00B14B54"/>
    <w:rsid w:val="00B14B8F"/>
    <w:rsid w:val="00B14B9A"/>
    <w:rsid w:val="00B14B9E"/>
    <w:rsid w:val="00B14C07"/>
    <w:rsid w:val="00B14C42"/>
    <w:rsid w:val="00B14C66"/>
    <w:rsid w:val="00B14D1E"/>
    <w:rsid w:val="00B14D78"/>
    <w:rsid w:val="00B14DB7"/>
    <w:rsid w:val="00B14DE4"/>
    <w:rsid w:val="00B14E27"/>
    <w:rsid w:val="00B14E2C"/>
    <w:rsid w:val="00B14E7C"/>
    <w:rsid w:val="00B14ED3"/>
    <w:rsid w:val="00B14F3F"/>
    <w:rsid w:val="00B14F4D"/>
    <w:rsid w:val="00B14F7D"/>
    <w:rsid w:val="00B15012"/>
    <w:rsid w:val="00B15034"/>
    <w:rsid w:val="00B15096"/>
    <w:rsid w:val="00B150D3"/>
    <w:rsid w:val="00B15172"/>
    <w:rsid w:val="00B151F7"/>
    <w:rsid w:val="00B15265"/>
    <w:rsid w:val="00B15273"/>
    <w:rsid w:val="00B1528F"/>
    <w:rsid w:val="00B152CB"/>
    <w:rsid w:val="00B152D7"/>
    <w:rsid w:val="00B15315"/>
    <w:rsid w:val="00B1535A"/>
    <w:rsid w:val="00B153B8"/>
    <w:rsid w:val="00B153EA"/>
    <w:rsid w:val="00B153F9"/>
    <w:rsid w:val="00B1541D"/>
    <w:rsid w:val="00B15494"/>
    <w:rsid w:val="00B15495"/>
    <w:rsid w:val="00B154B8"/>
    <w:rsid w:val="00B1552B"/>
    <w:rsid w:val="00B1556F"/>
    <w:rsid w:val="00B15587"/>
    <w:rsid w:val="00B1558F"/>
    <w:rsid w:val="00B155E1"/>
    <w:rsid w:val="00B15669"/>
    <w:rsid w:val="00B15707"/>
    <w:rsid w:val="00B157FA"/>
    <w:rsid w:val="00B15818"/>
    <w:rsid w:val="00B15822"/>
    <w:rsid w:val="00B15871"/>
    <w:rsid w:val="00B158AC"/>
    <w:rsid w:val="00B158E2"/>
    <w:rsid w:val="00B158FA"/>
    <w:rsid w:val="00B1597F"/>
    <w:rsid w:val="00B159B8"/>
    <w:rsid w:val="00B15A08"/>
    <w:rsid w:val="00B15A9F"/>
    <w:rsid w:val="00B15C0D"/>
    <w:rsid w:val="00B15C58"/>
    <w:rsid w:val="00B15C89"/>
    <w:rsid w:val="00B15CEB"/>
    <w:rsid w:val="00B15D66"/>
    <w:rsid w:val="00B15DB8"/>
    <w:rsid w:val="00B15E1F"/>
    <w:rsid w:val="00B15E60"/>
    <w:rsid w:val="00B15E78"/>
    <w:rsid w:val="00B15ED9"/>
    <w:rsid w:val="00B15F1F"/>
    <w:rsid w:val="00B15F2F"/>
    <w:rsid w:val="00B15F7F"/>
    <w:rsid w:val="00B15F8A"/>
    <w:rsid w:val="00B16000"/>
    <w:rsid w:val="00B160FF"/>
    <w:rsid w:val="00B16116"/>
    <w:rsid w:val="00B16120"/>
    <w:rsid w:val="00B161A5"/>
    <w:rsid w:val="00B161FD"/>
    <w:rsid w:val="00B16239"/>
    <w:rsid w:val="00B16271"/>
    <w:rsid w:val="00B1627A"/>
    <w:rsid w:val="00B16288"/>
    <w:rsid w:val="00B1634C"/>
    <w:rsid w:val="00B163B8"/>
    <w:rsid w:val="00B16411"/>
    <w:rsid w:val="00B1642A"/>
    <w:rsid w:val="00B164B9"/>
    <w:rsid w:val="00B164BD"/>
    <w:rsid w:val="00B164EC"/>
    <w:rsid w:val="00B1652B"/>
    <w:rsid w:val="00B1654D"/>
    <w:rsid w:val="00B16568"/>
    <w:rsid w:val="00B16623"/>
    <w:rsid w:val="00B16650"/>
    <w:rsid w:val="00B16690"/>
    <w:rsid w:val="00B1669E"/>
    <w:rsid w:val="00B166B5"/>
    <w:rsid w:val="00B166D5"/>
    <w:rsid w:val="00B1675D"/>
    <w:rsid w:val="00B167EF"/>
    <w:rsid w:val="00B16808"/>
    <w:rsid w:val="00B16871"/>
    <w:rsid w:val="00B168A2"/>
    <w:rsid w:val="00B168A9"/>
    <w:rsid w:val="00B168EE"/>
    <w:rsid w:val="00B168F3"/>
    <w:rsid w:val="00B168FF"/>
    <w:rsid w:val="00B1694B"/>
    <w:rsid w:val="00B1694F"/>
    <w:rsid w:val="00B16976"/>
    <w:rsid w:val="00B169E1"/>
    <w:rsid w:val="00B16A4E"/>
    <w:rsid w:val="00B16A58"/>
    <w:rsid w:val="00B16A91"/>
    <w:rsid w:val="00B16ABE"/>
    <w:rsid w:val="00B16AD6"/>
    <w:rsid w:val="00B16B16"/>
    <w:rsid w:val="00B16B4F"/>
    <w:rsid w:val="00B16B90"/>
    <w:rsid w:val="00B16BA4"/>
    <w:rsid w:val="00B16BB8"/>
    <w:rsid w:val="00B16BC0"/>
    <w:rsid w:val="00B16BD8"/>
    <w:rsid w:val="00B16BD9"/>
    <w:rsid w:val="00B16C83"/>
    <w:rsid w:val="00B16CD8"/>
    <w:rsid w:val="00B16D34"/>
    <w:rsid w:val="00B16D4D"/>
    <w:rsid w:val="00B16D4F"/>
    <w:rsid w:val="00B16DAF"/>
    <w:rsid w:val="00B16DB5"/>
    <w:rsid w:val="00B16DC4"/>
    <w:rsid w:val="00B16E03"/>
    <w:rsid w:val="00B16E54"/>
    <w:rsid w:val="00B16EA4"/>
    <w:rsid w:val="00B16EB2"/>
    <w:rsid w:val="00B16EB3"/>
    <w:rsid w:val="00B16EBA"/>
    <w:rsid w:val="00B16EC0"/>
    <w:rsid w:val="00B16ECC"/>
    <w:rsid w:val="00B16ED9"/>
    <w:rsid w:val="00B16F08"/>
    <w:rsid w:val="00B16F4B"/>
    <w:rsid w:val="00B16F5A"/>
    <w:rsid w:val="00B16FA6"/>
    <w:rsid w:val="00B17051"/>
    <w:rsid w:val="00B170E3"/>
    <w:rsid w:val="00B17102"/>
    <w:rsid w:val="00B17133"/>
    <w:rsid w:val="00B17157"/>
    <w:rsid w:val="00B17161"/>
    <w:rsid w:val="00B1720E"/>
    <w:rsid w:val="00B17213"/>
    <w:rsid w:val="00B17255"/>
    <w:rsid w:val="00B17292"/>
    <w:rsid w:val="00B172D0"/>
    <w:rsid w:val="00B17337"/>
    <w:rsid w:val="00B173A1"/>
    <w:rsid w:val="00B173A5"/>
    <w:rsid w:val="00B173B1"/>
    <w:rsid w:val="00B17400"/>
    <w:rsid w:val="00B1742A"/>
    <w:rsid w:val="00B17475"/>
    <w:rsid w:val="00B17482"/>
    <w:rsid w:val="00B17497"/>
    <w:rsid w:val="00B174A9"/>
    <w:rsid w:val="00B1754F"/>
    <w:rsid w:val="00B175F0"/>
    <w:rsid w:val="00B175F6"/>
    <w:rsid w:val="00B176E8"/>
    <w:rsid w:val="00B17728"/>
    <w:rsid w:val="00B17738"/>
    <w:rsid w:val="00B17767"/>
    <w:rsid w:val="00B17776"/>
    <w:rsid w:val="00B1777E"/>
    <w:rsid w:val="00B177B3"/>
    <w:rsid w:val="00B17824"/>
    <w:rsid w:val="00B17846"/>
    <w:rsid w:val="00B1785B"/>
    <w:rsid w:val="00B1786A"/>
    <w:rsid w:val="00B17870"/>
    <w:rsid w:val="00B178D4"/>
    <w:rsid w:val="00B17953"/>
    <w:rsid w:val="00B17955"/>
    <w:rsid w:val="00B17969"/>
    <w:rsid w:val="00B17983"/>
    <w:rsid w:val="00B179A4"/>
    <w:rsid w:val="00B17A05"/>
    <w:rsid w:val="00B17A7F"/>
    <w:rsid w:val="00B17AA9"/>
    <w:rsid w:val="00B17AC9"/>
    <w:rsid w:val="00B17B1C"/>
    <w:rsid w:val="00B17B26"/>
    <w:rsid w:val="00B17B55"/>
    <w:rsid w:val="00B17BC4"/>
    <w:rsid w:val="00B17BD5"/>
    <w:rsid w:val="00B17BEC"/>
    <w:rsid w:val="00B17C4A"/>
    <w:rsid w:val="00B17CD3"/>
    <w:rsid w:val="00B17CED"/>
    <w:rsid w:val="00B17D4B"/>
    <w:rsid w:val="00B17D8F"/>
    <w:rsid w:val="00B17DA7"/>
    <w:rsid w:val="00B17E60"/>
    <w:rsid w:val="00B17ED8"/>
    <w:rsid w:val="00B17F2F"/>
    <w:rsid w:val="00B17F64"/>
    <w:rsid w:val="00B17FB3"/>
    <w:rsid w:val="00B17FBD"/>
    <w:rsid w:val="00B17FEA"/>
    <w:rsid w:val="00B1CA40"/>
    <w:rsid w:val="00B2002B"/>
    <w:rsid w:val="00B2007A"/>
    <w:rsid w:val="00B20084"/>
    <w:rsid w:val="00B20091"/>
    <w:rsid w:val="00B20092"/>
    <w:rsid w:val="00B20114"/>
    <w:rsid w:val="00B2013A"/>
    <w:rsid w:val="00B20165"/>
    <w:rsid w:val="00B20184"/>
    <w:rsid w:val="00B201CC"/>
    <w:rsid w:val="00B201D9"/>
    <w:rsid w:val="00B202C5"/>
    <w:rsid w:val="00B202CA"/>
    <w:rsid w:val="00B202EE"/>
    <w:rsid w:val="00B2032A"/>
    <w:rsid w:val="00B20346"/>
    <w:rsid w:val="00B2034C"/>
    <w:rsid w:val="00B203AB"/>
    <w:rsid w:val="00B2040D"/>
    <w:rsid w:val="00B20498"/>
    <w:rsid w:val="00B204BE"/>
    <w:rsid w:val="00B20572"/>
    <w:rsid w:val="00B20591"/>
    <w:rsid w:val="00B205E2"/>
    <w:rsid w:val="00B20614"/>
    <w:rsid w:val="00B2062A"/>
    <w:rsid w:val="00B20685"/>
    <w:rsid w:val="00B2068E"/>
    <w:rsid w:val="00B20714"/>
    <w:rsid w:val="00B20771"/>
    <w:rsid w:val="00B2078D"/>
    <w:rsid w:val="00B207DB"/>
    <w:rsid w:val="00B207F8"/>
    <w:rsid w:val="00B20813"/>
    <w:rsid w:val="00B20849"/>
    <w:rsid w:val="00B20863"/>
    <w:rsid w:val="00B20888"/>
    <w:rsid w:val="00B208DB"/>
    <w:rsid w:val="00B2092C"/>
    <w:rsid w:val="00B20937"/>
    <w:rsid w:val="00B20973"/>
    <w:rsid w:val="00B2097B"/>
    <w:rsid w:val="00B209B9"/>
    <w:rsid w:val="00B209FE"/>
    <w:rsid w:val="00B20A1B"/>
    <w:rsid w:val="00B20A2A"/>
    <w:rsid w:val="00B20A40"/>
    <w:rsid w:val="00B20A70"/>
    <w:rsid w:val="00B20AE1"/>
    <w:rsid w:val="00B20AE3"/>
    <w:rsid w:val="00B20AEF"/>
    <w:rsid w:val="00B20B02"/>
    <w:rsid w:val="00B20B98"/>
    <w:rsid w:val="00B20BA3"/>
    <w:rsid w:val="00B20BC9"/>
    <w:rsid w:val="00B20BFD"/>
    <w:rsid w:val="00B20C1A"/>
    <w:rsid w:val="00B20C60"/>
    <w:rsid w:val="00B20C71"/>
    <w:rsid w:val="00B20C83"/>
    <w:rsid w:val="00B20D44"/>
    <w:rsid w:val="00B20DFF"/>
    <w:rsid w:val="00B20E25"/>
    <w:rsid w:val="00B20EC0"/>
    <w:rsid w:val="00B20F51"/>
    <w:rsid w:val="00B20FA1"/>
    <w:rsid w:val="00B20FC0"/>
    <w:rsid w:val="00B21006"/>
    <w:rsid w:val="00B2103A"/>
    <w:rsid w:val="00B21078"/>
    <w:rsid w:val="00B210EA"/>
    <w:rsid w:val="00B21119"/>
    <w:rsid w:val="00B21195"/>
    <w:rsid w:val="00B21197"/>
    <w:rsid w:val="00B211A1"/>
    <w:rsid w:val="00B211AB"/>
    <w:rsid w:val="00B211DB"/>
    <w:rsid w:val="00B21229"/>
    <w:rsid w:val="00B212CF"/>
    <w:rsid w:val="00B21343"/>
    <w:rsid w:val="00B2137F"/>
    <w:rsid w:val="00B2138E"/>
    <w:rsid w:val="00B2139A"/>
    <w:rsid w:val="00B2139B"/>
    <w:rsid w:val="00B21405"/>
    <w:rsid w:val="00B21448"/>
    <w:rsid w:val="00B2144E"/>
    <w:rsid w:val="00B215BE"/>
    <w:rsid w:val="00B215BF"/>
    <w:rsid w:val="00B215C4"/>
    <w:rsid w:val="00B2162C"/>
    <w:rsid w:val="00B21657"/>
    <w:rsid w:val="00B2170C"/>
    <w:rsid w:val="00B2174D"/>
    <w:rsid w:val="00B21751"/>
    <w:rsid w:val="00B217DB"/>
    <w:rsid w:val="00B217FF"/>
    <w:rsid w:val="00B21813"/>
    <w:rsid w:val="00B218EA"/>
    <w:rsid w:val="00B21910"/>
    <w:rsid w:val="00B2198C"/>
    <w:rsid w:val="00B21A00"/>
    <w:rsid w:val="00B21A1D"/>
    <w:rsid w:val="00B21A3C"/>
    <w:rsid w:val="00B21AC7"/>
    <w:rsid w:val="00B21AC9"/>
    <w:rsid w:val="00B21AF9"/>
    <w:rsid w:val="00B21AFD"/>
    <w:rsid w:val="00B21B05"/>
    <w:rsid w:val="00B21B08"/>
    <w:rsid w:val="00B21B19"/>
    <w:rsid w:val="00B21BA9"/>
    <w:rsid w:val="00B21C56"/>
    <w:rsid w:val="00B21C61"/>
    <w:rsid w:val="00B21CAF"/>
    <w:rsid w:val="00B21CD1"/>
    <w:rsid w:val="00B21E47"/>
    <w:rsid w:val="00B21E7A"/>
    <w:rsid w:val="00B21EB8"/>
    <w:rsid w:val="00B21EEA"/>
    <w:rsid w:val="00B21F0F"/>
    <w:rsid w:val="00B21F68"/>
    <w:rsid w:val="00B21FDF"/>
    <w:rsid w:val="00B2200D"/>
    <w:rsid w:val="00B220A7"/>
    <w:rsid w:val="00B2216B"/>
    <w:rsid w:val="00B221B6"/>
    <w:rsid w:val="00B221D5"/>
    <w:rsid w:val="00B221FF"/>
    <w:rsid w:val="00B2220D"/>
    <w:rsid w:val="00B2229F"/>
    <w:rsid w:val="00B222D9"/>
    <w:rsid w:val="00B222F6"/>
    <w:rsid w:val="00B22306"/>
    <w:rsid w:val="00B22328"/>
    <w:rsid w:val="00B223F5"/>
    <w:rsid w:val="00B2240B"/>
    <w:rsid w:val="00B22433"/>
    <w:rsid w:val="00B224D0"/>
    <w:rsid w:val="00B22515"/>
    <w:rsid w:val="00B2251E"/>
    <w:rsid w:val="00B2253F"/>
    <w:rsid w:val="00B22549"/>
    <w:rsid w:val="00B2255A"/>
    <w:rsid w:val="00B2256D"/>
    <w:rsid w:val="00B22590"/>
    <w:rsid w:val="00B2263F"/>
    <w:rsid w:val="00B226C5"/>
    <w:rsid w:val="00B22701"/>
    <w:rsid w:val="00B22727"/>
    <w:rsid w:val="00B22788"/>
    <w:rsid w:val="00B2278A"/>
    <w:rsid w:val="00B2279B"/>
    <w:rsid w:val="00B227A3"/>
    <w:rsid w:val="00B2281B"/>
    <w:rsid w:val="00B22827"/>
    <w:rsid w:val="00B2289E"/>
    <w:rsid w:val="00B228A7"/>
    <w:rsid w:val="00B228AE"/>
    <w:rsid w:val="00B228B5"/>
    <w:rsid w:val="00B228C0"/>
    <w:rsid w:val="00B229E9"/>
    <w:rsid w:val="00B229FA"/>
    <w:rsid w:val="00B22A4C"/>
    <w:rsid w:val="00B22A88"/>
    <w:rsid w:val="00B22A95"/>
    <w:rsid w:val="00B22AC4"/>
    <w:rsid w:val="00B22AF1"/>
    <w:rsid w:val="00B22B32"/>
    <w:rsid w:val="00B22B56"/>
    <w:rsid w:val="00B22B6E"/>
    <w:rsid w:val="00B22B89"/>
    <w:rsid w:val="00B22B8F"/>
    <w:rsid w:val="00B22C6A"/>
    <w:rsid w:val="00B22C6F"/>
    <w:rsid w:val="00B22C80"/>
    <w:rsid w:val="00B22CAD"/>
    <w:rsid w:val="00B22CE6"/>
    <w:rsid w:val="00B22CEF"/>
    <w:rsid w:val="00B22D19"/>
    <w:rsid w:val="00B22D2B"/>
    <w:rsid w:val="00B22D44"/>
    <w:rsid w:val="00B22D55"/>
    <w:rsid w:val="00B22D5B"/>
    <w:rsid w:val="00B22DA4"/>
    <w:rsid w:val="00B22E84"/>
    <w:rsid w:val="00B22E86"/>
    <w:rsid w:val="00B22F09"/>
    <w:rsid w:val="00B22F41"/>
    <w:rsid w:val="00B22F88"/>
    <w:rsid w:val="00B22FC0"/>
    <w:rsid w:val="00B22FFB"/>
    <w:rsid w:val="00B2305D"/>
    <w:rsid w:val="00B2307F"/>
    <w:rsid w:val="00B23096"/>
    <w:rsid w:val="00B230E1"/>
    <w:rsid w:val="00B230E6"/>
    <w:rsid w:val="00B23143"/>
    <w:rsid w:val="00B23154"/>
    <w:rsid w:val="00B23178"/>
    <w:rsid w:val="00B231AD"/>
    <w:rsid w:val="00B2322C"/>
    <w:rsid w:val="00B23275"/>
    <w:rsid w:val="00B2328A"/>
    <w:rsid w:val="00B232D8"/>
    <w:rsid w:val="00B232E9"/>
    <w:rsid w:val="00B23334"/>
    <w:rsid w:val="00B233FF"/>
    <w:rsid w:val="00B23427"/>
    <w:rsid w:val="00B23445"/>
    <w:rsid w:val="00B2345A"/>
    <w:rsid w:val="00B23485"/>
    <w:rsid w:val="00B23571"/>
    <w:rsid w:val="00B235FB"/>
    <w:rsid w:val="00B2363E"/>
    <w:rsid w:val="00B2366D"/>
    <w:rsid w:val="00B23683"/>
    <w:rsid w:val="00B236DC"/>
    <w:rsid w:val="00B236F1"/>
    <w:rsid w:val="00B237F2"/>
    <w:rsid w:val="00B23803"/>
    <w:rsid w:val="00B2381B"/>
    <w:rsid w:val="00B23839"/>
    <w:rsid w:val="00B23882"/>
    <w:rsid w:val="00B238AC"/>
    <w:rsid w:val="00B238B1"/>
    <w:rsid w:val="00B238DA"/>
    <w:rsid w:val="00B238DE"/>
    <w:rsid w:val="00B238F9"/>
    <w:rsid w:val="00B23960"/>
    <w:rsid w:val="00B23980"/>
    <w:rsid w:val="00B23990"/>
    <w:rsid w:val="00B239AA"/>
    <w:rsid w:val="00B23A41"/>
    <w:rsid w:val="00B23A53"/>
    <w:rsid w:val="00B23A75"/>
    <w:rsid w:val="00B23A92"/>
    <w:rsid w:val="00B23A9D"/>
    <w:rsid w:val="00B23AB6"/>
    <w:rsid w:val="00B23B48"/>
    <w:rsid w:val="00B23B60"/>
    <w:rsid w:val="00B23B6A"/>
    <w:rsid w:val="00B23B82"/>
    <w:rsid w:val="00B23B83"/>
    <w:rsid w:val="00B23BAF"/>
    <w:rsid w:val="00B23BB1"/>
    <w:rsid w:val="00B23BCF"/>
    <w:rsid w:val="00B23BEC"/>
    <w:rsid w:val="00B23C21"/>
    <w:rsid w:val="00B23C74"/>
    <w:rsid w:val="00B23C7F"/>
    <w:rsid w:val="00B23CBF"/>
    <w:rsid w:val="00B23D3A"/>
    <w:rsid w:val="00B23D3E"/>
    <w:rsid w:val="00B23D6A"/>
    <w:rsid w:val="00B23D8A"/>
    <w:rsid w:val="00B23D8B"/>
    <w:rsid w:val="00B23DE2"/>
    <w:rsid w:val="00B23DFB"/>
    <w:rsid w:val="00B23E01"/>
    <w:rsid w:val="00B23E20"/>
    <w:rsid w:val="00B23E47"/>
    <w:rsid w:val="00B23E5A"/>
    <w:rsid w:val="00B23E63"/>
    <w:rsid w:val="00B23E84"/>
    <w:rsid w:val="00B23EA8"/>
    <w:rsid w:val="00B23EFB"/>
    <w:rsid w:val="00B23F1B"/>
    <w:rsid w:val="00B23F2F"/>
    <w:rsid w:val="00B23F5A"/>
    <w:rsid w:val="00B23FB4"/>
    <w:rsid w:val="00B23FD2"/>
    <w:rsid w:val="00B23FE7"/>
    <w:rsid w:val="00B24001"/>
    <w:rsid w:val="00B24057"/>
    <w:rsid w:val="00B24061"/>
    <w:rsid w:val="00B2407B"/>
    <w:rsid w:val="00B240EA"/>
    <w:rsid w:val="00B2411C"/>
    <w:rsid w:val="00B24147"/>
    <w:rsid w:val="00B241F7"/>
    <w:rsid w:val="00B2420C"/>
    <w:rsid w:val="00B24219"/>
    <w:rsid w:val="00B24279"/>
    <w:rsid w:val="00B2439C"/>
    <w:rsid w:val="00B243C9"/>
    <w:rsid w:val="00B243D0"/>
    <w:rsid w:val="00B24449"/>
    <w:rsid w:val="00B244BB"/>
    <w:rsid w:val="00B2454D"/>
    <w:rsid w:val="00B24564"/>
    <w:rsid w:val="00B245F1"/>
    <w:rsid w:val="00B245F4"/>
    <w:rsid w:val="00B24655"/>
    <w:rsid w:val="00B2467C"/>
    <w:rsid w:val="00B24686"/>
    <w:rsid w:val="00B246AB"/>
    <w:rsid w:val="00B246CC"/>
    <w:rsid w:val="00B246E3"/>
    <w:rsid w:val="00B24779"/>
    <w:rsid w:val="00B24783"/>
    <w:rsid w:val="00B2478D"/>
    <w:rsid w:val="00B24877"/>
    <w:rsid w:val="00B248DC"/>
    <w:rsid w:val="00B248EF"/>
    <w:rsid w:val="00B248FD"/>
    <w:rsid w:val="00B2494C"/>
    <w:rsid w:val="00B24951"/>
    <w:rsid w:val="00B24962"/>
    <w:rsid w:val="00B249A2"/>
    <w:rsid w:val="00B249FA"/>
    <w:rsid w:val="00B24A34"/>
    <w:rsid w:val="00B24A4D"/>
    <w:rsid w:val="00B24A7A"/>
    <w:rsid w:val="00B24A86"/>
    <w:rsid w:val="00B24A92"/>
    <w:rsid w:val="00B24B30"/>
    <w:rsid w:val="00B24B3A"/>
    <w:rsid w:val="00B24C44"/>
    <w:rsid w:val="00B24C7A"/>
    <w:rsid w:val="00B24C9C"/>
    <w:rsid w:val="00B24CBF"/>
    <w:rsid w:val="00B24CF1"/>
    <w:rsid w:val="00B24D49"/>
    <w:rsid w:val="00B24D5E"/>
    <w:rsid w:val="00B24DA1"/>
    <w:rsid w:val="00B24DA7"/>
    <w:rsid w:val="00B24DD7"/>
    <w:rsid w:val="00B24E29"/>
    <w:rsid w:val="00B24E82"/>
    <w:rsid w:val="00B24E9D"/>
    <w:rsid w:val="00B24EAF"/>
    <w:rsid w:val="00B24EB0"/>
    <w:rsid w:val="00B25038"/>
    <w:rsid w:val="00B25163"/>
    <w:rsid w:val="00B251B5"/>
    <w:rsid w:val="00B251EA"/>
    <w:rsid w:val="00B251F3"/>
    <w:rsid w:val="00B251FE"/>
    <w:rsid w:val="00B25254"/>
    <w:rsid w:val="00B25290"/>
    <w:rsid w:val="00B252FD"/>
    <w:rsid w:val="00B25387"/>
    <w:rsid w:val="00B253A5"/>
    <w:rsid w:val="00B253D3"/>
    <w:rsid w:val="00B253D5"/>
    <w:rsid w:val="00B25434"/>
    <w:rsid w:val="00B25485"/>
    <w:rsid w:val="00B2555B"/>
    <w:rsid w:val="00B25594"/>
    <w:rsid w:val="00B25667"/>
    <w:rsid w:val="00B256BC"/>
    <w:rsid w:val="00B25734"/>
    <w:rsid w:val="00B2573E"/>
    <w:rsid w:val="00B2575A"/>
    <w:rsid w:val="00B25786"/>
    <w:rsid w:val="00B2578C"/>
    <w:rsid w:val="00B25797"/>
    <w:rsid w:val="00B257AF"/>
    <w:rsid w:val="00B257C2"/>
    <w:rsid w:val="00B258B1"/>
    <w:rsid w:val="00B258DD"/>
    <w:rsid w:val="00B2592C"/>
    <w:rsid w:val="00B259D5"/>
    <w:rsid w:val="00B25A0E"/>
    <w:rsid w:val="00B25A6F"/>
    <w:rsid w:val="00B25BED"/>
    <w:rsid w:val="00B25C19"/>
    <w:rsid w:val="00B25C87"/>
    <w:rsid w:val="00B25C98"/>
    <w:rsid w:val="00B25CC6"/>
    <w:rsid w:val="00B25CFF"/>
    <w:rsid w:val="00B25D2B"/>
    <w:rsid w:val="00B25D4A"/>
    <w:rsid w:val="00B25D87"/>
    <w:rsid w:val="00B25DA3"/>
    <w:rsid w:val="00B25E3F"/>
    <w:rsid w:val="00B25E5A"/>
    <w:rsid w:val="00B25E76"/>
    <w:rsid w:val="00B25EA4"/>
    <w:rsid w:val="00B25EBE"/>
    <w:rsid w:val="00B25EC5"/>
    <w:rsid w:val="00B25F57"/>
    <w:rsid w:val="00B25F6D"/>
    <w:rsid w:val="00B25F85"/>
    <w:rsid w:val="00B25FB3"/>
    <w:rsid w:val="00B25FC3"/>
    <w:rsid w:val="00B25FC6"/>
    <w:rsid w:val="00B2603C"/>
    <w:rsid w:val="00B260BA"/>
    <w:rsid w:val="00B260DB"/>
    <w:rsid w:val="00B26118"/>
    <w:rsid w:val="00B2614A"/>
    <w:rsid w:val="00B26150"/>
    <w:rsid w:val="00B26176"/>
    <w:rsid w:val="00B26181"/>
    <w:rsid w:val="00B261F1"/>
    <w:rsid w:val="00B2625F"/>
    <w:rsid w:val="00B26297"/>
    <w:rsid w:val="00B262C4"/>
    <w:rsid w:val="00B262E7"/>
    <w:rsid w:val="00B262ED"/>
    <w:rsid w:val="00B26315"/>
    <w:rsid w:val="00B26348"/>
    <w:rsid w:val="00B26390"/>
    <w:rsid w:val="00B26472"/>
    <w:rsid w:val="00B264E3"/>
    <w:rsid w:val="00B264EB"/>
    <w:rsid w:val="00B26538"/>
    <w:rsid w:val="00B2654D"/>
    <w:rsid w:val="00B26633"/>
    <w:rsid w:val="00B26634"/>
    <w:rsid w:val="00B2669D"/>
    <w:rsid w:val="00B266A6"/>
    <w:rsid w:val="00B266C8"/>
    <w:rsid w:val="00B26700"/>
    <w:rsid w:val="00B2670C"/>
    <w:rsid w:val="00B2671F"/>
    <w:rsid w:val="00B26747"/>
    <w:rsid w:val="00B2683F"/>
    <w:rsid w:val="00B26899"/>
    <w:rsid w:val="00B268A4"/>
    <w:rsid w:val="00B268D0"/>
    <w:rsid w:val="00B268E0"/>
    <w:rsid w:val="00B26938"/>
    <w:rsid w:val="00B2693E"/>
    <w:rsid w:val="00B26967"/>
    <w:rsid w:val="00B26A16"/>
    <w:rsid w:val="00B26A64"/>
    <w:rsid w:val="00B26A75"/>
    <w:rsid w:val="00B26AF9"/>
    <w:rsid w:val="00B26B20"/>
    <w:rsid w:val="00B26B39"/>
    <w:rsid w:val="00B26B55"/>
    <w:rsid w:val="00B26B81"/>
    <w:rsid w:val="00B26B8C"/>
    <w:rsid w:val="00B26B92"/>
    <w:rsid w:val="00B26C73"/>
    <w:rsid w:val="00B26C91"/>
    <w:rsid w:val="00B26CCC"/>
    <w:rsid w:val="00B26D12"/>
    <w:rsid w:val="00B26D2D"/>
    <w:rsid w:val="00B26D31"/>
    <w:rsid w:val="00B26D51"/>
    <w:rsid w:val="00B26DB5"/>
    <w:rsid w:val="00B26DC1"/>
    <w:rsid w:val="00B26DDC"/>
    <w:rsid w:val="00B26E13"/>
    <w:rsid w:val="00B26E1E"/>
    <w:rsid w:val="00B26E3A"/>
    <w:rsid w:val="00B26E98"/>
    <w:rsid w:val="00B26E9C"/>
    <w:rsid w:val="00B26EE0"/>
    <w:rsid w:val="00B26EE3"/>
    <w:rsid w:val="00B26F2C"/>
    <w:rsid w:val="00B26F7C"/>
    <w:rsid w:val="00B26FDF"/>
    <w:rsid w:val="00B26FFA"/>
    <w:rsid w:val="00B27066"/>
    <w:rsid w:val="00B27149"/>
    <w:rsid w:val="00B27199"/>
    <w:rsid w:val="00B271DB"/>
    <w:rsid w:val="00B271FC"/>
    <w:rsid w:val="00B2721D"/>
    <w:rsid w:val="00B2722F"/>
    <w:rsid w:val="00B2729A"/>
    <w:rsid w:val="00B272C9"/>
    <w:rsid w:val="00B272D8"/>
    <w:rsid w:val="00B272E5"/>
    <w:rsid w:val="00B273D9"/>
    <w:rsid w:val="00B27409"/>
    <w:rsid w:val="00B2742C"/>
    <w:rsid w:val="00B2746E"/>
    <w:rsid w:val="00B2747D"/>
    <w:rsid w:val="00B27560"/>
    <w:rsid w:val="00B275B1"/>
    <w:rsid w:val="00B2767F"/>
    <w:rsid w:val="00B27698"/>
    <w:rsid w:val="00B276B4"/>
    <w:rsid w:val="00B276BC"/>
    <w:rsid w:val="00B276D2"/>
    <w:rsid w:val="00B276F6"/>
    <w:rsid w:val="00B27711"/>
    <w:rsid w:val="00B27719"/>
    <w:rsid w:val="00B277A9"/>
    <w:rsid w:val="00B27808"/>
    <w:rsid w:val="00B27843"/>
    <w:rsid w:val="00B27868"/>
    <w:rsid w:val="00B27927"/>
    <w:rsid w:val="00B27957"/>
    <w:rsid w:val="00B279E1"/>
    <w:rsid w:val="00B27A2B"/>
    <w:rsid w:val="00B27A32"/>
    <w:rsid w:val="00B27A67"/>
    <w:rsid w:val="00B27A85"/>
    <w:rsid w:val="00B27BBA"/>
    <w:rsid w:val="00B27BBC"/>
    <w:rsid w:val="00B27BF3"/>
    <w:rsid w:val="00B27C44"/>
    <w:rsid w:val="00B27C58"/>
    <w:rsid w:val="00B27C78"/>
    <w:rsid w:val="00B27C82"/>
    <w:rsid w:val="00B27CA2"/>
    <w:rsid w:val="00B27CB1"/>
    <w:rsid w:val="00B27CC5"/>
    <w:rsid w:val="00B27D06"/>
    <w:rsid w:val="00B27D20"/>
    <w:rsid w:val="00B27D3E"/>
    <w:rsid w:val="00B27D6B"/>
    <w:rsid w:val="00B27E26"/>
    <w:rsid w:val="00B27E63"/>
    <w:rsid w:val="00B27E7E"/>
    <w:rsid w:val="00B27EA6"/>
    <w:rsid w:val="00B27EDA"/>
    <w:rsid w:val="00B27F74"/>
    <w:rsid w:val="00B27FAB"/>
    <w:rsid w:val="00B27FCD"/>
    <w:rsid w:val="00B27FE8"/>
    <w:rsid w:val="00B3005A"/>
    <w:rsid w:val="00B30068"/>
    <w:rsid w:val="00B300B4"/>
    <w:rsid w:val="00B30122"/>
    <w:rsid w:val="00B30124"/>
    <w:rsid w:val="00B3012D"/>
    <w:rsid w:val="00B30190"/>
    <w:rsid w:val="00B3019B"/>
    <w:rsid w:val="00B3019E"/>
    <w:rsid w:val="00B301D2"/>
    <w:rsid w:val="00B301E8"/>
    <w:rsid w:val="00B302E3"/>
    <w:rsid w:val="00B30316"/>
    <w:rsid w:val="00B3033A"/>
    <w:rsid w:val="00B30346"/>
    <w:rsid w:val="00B3037E"/>
    <w:rsid w:val="00B30397"/>
    <w:rsid w:val="00B303B9"/>
    <w:rsid w:val="00B303EF"/>
    <w:rsid w:val="00B3044C"/>
    <w:rsid w:val="00B30459"/>
    <w:rsid w:val="00B3049D"/>
    <w:rsid w:val="00B305DC"/>
    <w:rsid w:val="00B3062A"/>
    <w:rsid w:val="00B30650"/>
    <w:rsid w:val="00B30675"/>
    <w:rsid w:val="00B30694"/>
    <w:rsid w:val="00B30697"/>
    <w:rsid w:val="00B306B4"/>
    <w:rsid w:val="00B306C2"/>
    <w:rsid w:val="00B306F5"/>
    <w:rsid w:val="00B3073D"/>
    <w:rsid w:val="00B307D6"/>
    <w:rsid w:val="00B307EE"/>
    <w:rsid w:val="00B30846"/>
    <w:rsid w:val="00B30871"/>
    <w:rsid w:val="00B30872"/>
    <w:rsid w:val="00B30879"/>
    <w:rsid w:val="00B30885"/>
    <w:rsid w:val="00B3088E"/>
    <w:rsid w:val="00B308AB"/>
    <w:rsid w:val="00B30958"/>
    <w:rsid w:val="00B30981"/>
    <w:rsid w:val="00B3098C"/>
    <w:rsid w:val="00B30990"/>
    <w:rsid w:val="00B3099B"/>
    <w:rsid w:val="00B30A02"/>
    <w:rsid w:val="00B30A2E"/>
    <w:rsid w:val="00B30A4E"/>
    <w:rsid w:val="00B30A67"/>
    <w:rsid w:val="00B30A6D"/>
    <w:rsid w:val="00B30AB5"/>
    <w:rsid w:val="00B30B24"/>
    <w:rsid w:val="00B30B4F"/>
    <w:rsid w:val="00B30B5E"/>
    <w:rsid w:val="00B30B65"/>
    <w:rsid w:val="00B30C0E"/>
    <w:rsid w:val="00B30C1F"/>
    <w:rsid w:val="00B30C4A"/>
    <w:rsid w:val="00B30C79"/>
    <w:rsid w:val="00B30C97"/>
    <w:rsid w:val="00B30CFA"/>
    <w:rsid w:val="00B30DD0"/>
    <w:rsid w:val="00B30E1C"/>
    <w:rsid w:val="00B30E62"/>
    <w:rsid w:val="00B30EA7"/>
    <w:rsid w:val="00B30F23"/>
    <w:rsid w:val="00B30F3E"/>
    <w:rsid w:val="00B30FAC"/>
    <w:rsid w:val="00B30FAF"/>
    <w:rsid w:val="00B30FC7"/>
    <w:rsid w:val="00B30FD4"/>
    <w:rsid w:val="00B30FE6"/>
    <w:rsid w:val="00B31079"/>
    <w:rsid w:val="00B3107A"/>
    <w:rsid w:val="00B310EB"/>
    <w:rsid w:val="00B3113E"/>
    <w:rsid w:val="00B311C0"/>
    <w:rsid w:val="00B311DD"/>
    <w:rsid w:val="00B311EF"/>
    <w:rsid w:val="00B311F5"/>
    <w:rsid w:val="00B31222"/>
    <w:rsid w:val="00B3124D"/>
    <w:rsid w:val="00B31275"/>
    <w:rsid w:val="00B31297"/>
    <w:rsid w:val="00B312AD"/>
    <w:rsid w:val="00B312C4"/>
    <w:rsid w:val="00B312EF"/>
    <w:rsid w:val="00B312F1"/>
    <w:rsid w:val="00B3131C"/>
    <w:rsid w:val="00B31322"/>
    <w:rsid w:val="00B313BA"/>
    <w:rsid w:val="00B313BB"/>
    <w:rsid w:val="00B313CE"/>
    <w:rsid w:val="00B3145D"/>
    <w:rsid w:val="00B31465"/>
    <w:rsid w:val="00B31495"/>
    <w:rsid w:val="00B314D0"/>
    <w:rsid w:val="00B314EC"/>
    <w:rsid w:val="00B31511"/>
    <w:rsid w:val="00B31601"/>
    <w:rsid w:val="00B316C4"/>
    <w:rsid w:val="00B31781"/>
    <w:rsid w:val="00B3178F"/>
    <w:rsid w:val="00B317CA"/>
    <w:rsid w:val="00B317EE"/>
    <w:rsid w:val="00B3182D"/>
    <w:rsid w:val="00B3182F"/>
    <w:rsid w:val="00B31890"/>
    <w:rsid w:val="00B318B5"/>
    <w:rsid w:val="00B318F9"/>
    <w:rsid w:val="00B31925"/>
    <w:rsid w:val="00B3199D"/>
    <w:rsid w:val="00B319DE"/>
    <w:rsid w:val="00B319F7"/>
    <w:rsid w:val="00B319FF"/>
    <w:rsid w:val="00B31A14"/>
    <w:rsid w:val="00B31A46"/>
    <w:rsid w:val="00B31AE6"/>
    <w:rsid w:val="00B31B0C"/>
    <w:rsid w:val="00B31B34"/>
    <w:rsid w:val="00B31B7C"/>
    <w:rsid w:val="00B31B98"/>
    <w:rsid w:val="00B31BD3"/>
    <w:rsid w:val="00B31BFD"/>
    <w:rsid w:val="00B31C28"/>
    <w:rsid w:val="00B31C35"/>
    <w:rsid w:val="00B31C78"/>
    <w:rsid w:val="00B31C98"/>
    <w:rsid w:val="00B31CB8"/>
    <w:rsid w:val="00B31CEB"/>
    <w:rsid w:val="00B31D1A"/>
    <w:rsid w:val="00B31D34"/>
    <w:rsid w:val="00B31D53"/>
    <w:rsid w:val="00B31DC1"/>
    <w:rsid w:val="00B31DE4"/>
    <w:rsid w:val="00B31DF2"/>
    <w:rsid w:val="00B31E01"/>
    <w:rsid w:val="00B31E09"/>
    <w:rsid w:val="00B31E0E"/>
    <w:rsid w:val="00B31E3A"/>
    <w:rsid w:val="00B31E7E"/>
    <w:rsid w:val="00B31E8C"/>
    <w:rsid w:val="00B31EDA"/>
    <w:rsid w:val="00B31EE5"/>
    <w:rsid w:val="00B31EE8"/>
    <w:rsid w:val="00B31F2C"/>
    <w:rsid w:val="00B31F59"/>
    <w:rsid w:val="00B31F9E"/>
    <w:rsid w:val="00B31FAE"/>
    <w:rsid w:val="00B31FE5"/>
    <w:rsid w:val="00B31FEA"/>
    <w:rsid w:val="00B32098"/>
    <w:rsid w:val="00B320E6"/>
    <w:rsid w:val="00B3212F"/>
    <w:rsid w:val="00B32153"/>
    <w:rsid w:val="00B3218C"/>
    <w:rsid w:val="00B3220B"/>
    <w:rsid w:val="00B322B0"/>
    <w:rsid w:val="00B322CC"/>
    <w:rsid w:val="00B322EC"/>
    <w:rsid w:val="00B32311"/>
    <w:rsid w:val="00B32319"/>
    <w:rsid w:val="00B32330"/>
    <w:rsid w:val="00B3235E"/>
    <w:rsid w:val="00B32372"/>
    <w:rsid w:val="00B323BD"/>
    <w:rsid w:val="00B32449"/>
    <w:rsid w:val="00B324EB"/>
    <w:rsid w:val="00B3254C"/>
    <w:rsid w:val="00B32552"/>
    <w:rsid w:val="00B32591"/>
    <w:rsid w:val="00B325A0"/>
    <w:rsid w:val="00B325DE"/>
    <w:rsid w:val="00B325F1"/>
    <w:rsid w:val="00B32609"/>
    <w:rsid w:val="00B3262E"/>
    <w:rsid w:val="00B32631"/>
    <w:rsid w:val="00B326D4"/>
    <w:rsid w:val="00B32716"/>
    <w:rsid w:val="00B3271B"/>
    <w:rsid w:val="00B327B9"/>
    <w:rsid w:val="00B327CE"/>
    <w:rsid w:val="00B3280F"/>
    <w:rsid w:val="00B32833"/>
    <w:rsid w:val="00B32842"/>
    <w:rsid w:val="00B32913"/>
    <w:rsid w:val="00B32997"/>
    <w:rsid w:val="00B329B4"/>
    <w:rsid w:val="00B329BF"/>
    <w:rsid w:val="00B32A05"/>
    <w:rsid w:val="00B32A29"/>
    <w:rsid w:val="00B32A31"/>
    <w:rsid w:val="00B32A58"/>
    <w:rsid w:val="00B32A82"/>
    <w:rsid w:val="00B32A91"/>
    <w:rsid w:val="00B32B01"/>
    <w:rsid w:val="00B32B18"/>
    <w:rsid w:val="00B32B44"/>
    <w:rsid w:val="00B32B62"/>
    <w:rsid w:val="00B32B67"/>
    <w:rsid w:val="00B32BC7"/>
    <w:rsid w:val="00B32BE4"/>
    <w:rsid w:val="00B32C1B"/>
    <w:rsid w:val="00B32C1E"/>
    <w:rsid w:val="00B32C29"/>
    <w:rsid w:val="00B32C51"/>
    <w:rsid w:val="00B32CB9"/>
    <w:rsid w:val="00B32CBB"/>
    <w:rsid w:val="00B32D29"/>
    <w:rsid w:val="00B32D32"/>
    <w:rsid w:val="00B32D76"/>
    <w:rsid w:val="00B32DB6"/>
    <w:rsid w:val="00B32DE0"/>
    <w:rsid w:val="00B32DEE"/>
    <w:rsid w:val="00B32DF2"/>
    <w:rsid w:val="00B32EAB"/>
    <w:rsid w:val="00B32EC5"/>
    <w:rsid w:val="00B32EDA"/>
    <w:rsid w:val="00B32F0A"/>
    <w:rsid w:val="00B32F39"/>
    <w:rsid w:val="00B32F5D"/>
    <w:rsid w:val="00B32FB1"/>
    <w:rsid w:val="00B32FE8"/>
    <w:rsid w:val="00B33027"/>
    <w:rsid w:val="00B33085"/>
    <w:rsid w:val="00B330B8"/>
    <w:rsid w:val="00B3311C"/>
    <w:rsid w:val="00B33209"/>
    <w:rsid w:val="00B33234"/>
    <w:rsid w:val="00B332BF"/>
    <w:rsid w:val="00B332D4"/>
    <w:rsid w:val="00B332E5"/>
    <w:rsid w:val="00B3330F"/>
    <w:rsid w:val="00B3334F"/>
    <w:rsid w:val="00B33356"/>
    <w:rsid w:val="00B33366"/>
    <w:rsid w:val="00B333A2"/>
    <w:rsid w:val="00B333A9"/>
    <w:rsid w:val="00B333D2"/>
    <w:rsid w:val="00B333E9"/>
    <w:rsid w:val="00B33406"/>
    <w:rsid w:val="00B33424"/>
    <w:rsid w:val="00B3342D"/>
    <w:rsid w:val="00B3360E"/>
    <w:rsid w:val="00B33654"/>
    <w:rsid w:val="00B33668"/>
    <w:rsid w:val="00B3367A"/>
    <w:rsid w:val="00B336A3"/>
    <w:rsid w:val="00B336D6"/>
    <w:rsid w:val="00B33719"/>
    <w:rsid w:val="00B3372A"/>
    <w:rsid w:val="00B33730"/>
    <w:rsid w:val="00B3376E"/>
    <w:rsid w:val="00B337C5"/>
    <w:rsid w:val="00B337F5"/>
    <w:rsid w:val="00B33800"/>
    <w:rsid w:val="00B33824"/>
    <w:rsid w:val="00B33834"/>
    <w:rsid w:val="00B3383F"/>
    <w:rsid w:val="00B3388F"/>
    <w:rsid w:val="00B338C6"/>
    <w:rsid w:val="00B338E5"/>
    <w:rsid w:val="00B338F4"/>
    <w:rsid w:val="00B339AA"/>
    <w:rsid w:val="00B339C2"/>
    <w:rsid w:val="00B33A2A"/>
    <w:rsid w:val="00B33A3A"/>
    <w:rsid w:val="00B33AAD"/>
    <w:rsid w:val="00B33ACD"/>
    <w:rsid w:val="00B33B07"/>
    <w:rsid w:val="00B33B17"/>
    <w:rsid w:val="00B33B31"/>
    <w:rsid w:val="00B33B66"/>
    <w:rsid w:val="00B33B6E"/>
    <w:rsid w:val="00B33B8B"/>
    <w:rsid w:val="00B33C13"/>
    <w:rsid w:val="00B33C32"/>
    <w:rsid w:val="00B33CA7"/>
    <w:rsid w:val="00B33CD8"/>
    <w:rsid w:val="00B33CDD"/>
    <w:rsid w:val="00B33CF9"/>
    <w:rsid w:val="00B33D13"/>
    <w:rsid w:val="00B33D15"/>
    <w:rsid w:val="00B33D54"/>
    <w:rsid w:val="00B33D60"/>
    <w:rsid w:val="00B33E9B"/>
    <w:rsid w:val="00B33EE4"/>
    <w:rsid w:val="00B33F0D"/>
    <w:rsid w:val="00B33F10"/>
    <w:rsid w:val="00B33F1F"/>
    <w:rsid w:val="00B33F4A"/>
    <w:rsid w:val="00B33FAB"/>
    <w:rsid w:val="00B33FBA"/>
    <w:rsid w:val="00B33FD0"/>
    <w:rsid w:val="00B34031"/>
    <w:rsid w:val="00B3404D"/>
    <w:rsid w:val="00B34093"/>
    <w:rsid w:val="00B340BC"/>
    <w:rsid w:val="00B340C0"/>
    <w:rsid w:val="00B340E4"/>
    <w:rsid w:val="00B340F9"/>
    <w:rsid w:val="00B3410C"/>
    <w:rsid w:val="00B34150"/>
    <w:rsid w:val="00B341A7"/>
    <w:rsid w:val="00B34209"/>
    <w:rsid w:val="00B34228"/>
    <w:rsid w:val="00B34341"/>
    <w:rsid w:val="00B34349"/>
    <w:rsid w:val="00B34351"/>
    <w:rsid w:val="00B3436A"/>
    <w:rsid w:val="00B34378"/>
    <w:rsid w:val="00B343CB"/>
    <w:rsid w:val="00B34418"/>
    <w:rsid w:val="00B34434"/>
    <w:rsid w:val="00B3443F"/>
    <w:rsid w:val="00B34456"/>
    <w:rsid w:val="00B34458"/>
    <w:rsid w:val="00B344D9"/>
    <w:rsid w:val="00B344F2"/>
    <w:rsid w:val="00B3454D"/>
    <w:rsid w:val="00B34579"/>
    <w:rsid w:val="00B345AA"/>
    <w:rsid w:val="00B345AC"/>
    <w:rsid w:val="00B345D3"/>
    <w:rsid w:val="00B3462C"/>
    <w:rsid w:val="00B3465C"/>
    <w:rsid w:val="00B34682"/>
    <w:rsid w:val="00B346EC"/>
    <w:rsid w:val="00B3471D"/>
    <w:rsid w:val="00B347EF"/>
    <w:rsid w:val="00B348BE"/>
    <w:rsid w:val="00B348EC"/>
    <w:rsid w:val="00B3490B"/>
    <w:rsid w:val="00B34917"/>
    <w:rsid w:val="00B3491D"/>
    <w:rsid w:val="00B34962"/>
    <w:rsid w:val="00B34A59"/>
    <w:rsid w:val="00B34A6A"/>
    <w:rsid w:val="00B34A91"/>
    <w:rsid w:val="00B34AA4"/>
    <w:rsid w:val="00B34AC6"/>
    <w:rsid w:val="00B34AEC"/>
    <w:rsid w:val="00B34AFB"/>
    <w:rsid w:val="00B34BF7"/>
    <w:rsid w:val="00B34C10"/>
    <w:rsid w:val="00B34C4A"/>
    <w:rsid w:val="00B34C65"/>
    <w:rsid w:val="00B34CAC"/>
    <w:rsid w:val="00B34CD9"/>
    <w:rsid w:val="00B34DC9"/>
    <w:rsid w:val="00B34E00"/>
    <w:rsid w:val="00B34E08"/>
    <w:rsid w:val="00B34E2F"/>
    <w:rsid w:val="00B34E33"/>
    <w:rsid w:val="00B34E5C"/>
    <w:rsid w:val="00B34E73"/>
    <w:rsid w:val="00B34F40"/>
    <w:rsid w:val="00B34F86"/>
    <w:rsid w:val="00B34FD3"/>
    <w:rsid w:val="00B34FE9"/>
    <w:rsid w:val="00B3500E"/>
    <w:rsid w:val="00B35103"/>
    <w:rsid w:val="00B3515E"/>
    <w:rsid w:val="00B3516C"/>
    <w:rsid w:val="00B35193"/>
    <w:rsid w:val="00B351C5"/>
    <w:rsid w:val="00B351E9"/>
    <w:rsid w:val="00B3528A"/>
    <w:rsid w:val="00B35298"/>
    <w:rsid w:val="00B35349"/>
    <w:rsid w:val="00B35382"/>
    <w:rsid w:val="00B3539E"/>
    <w:rsid w:val="00B35400"/>
    <w:rsid w:val="00B3546D"/>
    <w:rsid w:val="00B3554A"/>
    <w:rsid w:val="00B3557C"/>
    <w:rsid w:val="00B355AC"/>
    <w:rsid w:val="00B3561B"/>
    <w:rsid w:val="00B3564D"/>
    <w:rsid w:val="00B35682"/>
    <w:rsid w:val="00B3569B"/>
    <w:rsid w:val="00B356B7"/>
    <w:rsid w:val="00B356D8"/>
    <w:rsid w:val="00B356ED"/>
    <w:rsid w:val="00B356F3"/>
    <w:rsid w:val="00B356F4"/>
    <w:rsid w:val="00B356FF"/>
    <w:rsid w:val="00B3575E"/>
    <w:rsid w:val="00B35779"/>
    <w:rsid w:val="00B35786"/>
    <w:rsid w:val="00B357D4"/>
    <w:rsid w:val="00B357DF"/>
    <w:rsid w:val="00B35870"/>
    <w:rsid w:val="00B3588D"/>
    <w:rsid w:val="00B3588E"/>
    <w:rsid w:val="00B358DE"/>
    <w:rsid w:val="00B358E6"/>
    <w:rsid w:val="00B35914"/>
    <w:rsid w:val="00B35915"/>
    <w:rsid w:val="00B35943"/>
    <w:rsid w:val="00B35945"/>
    <w:rsid w:val="00B35977"/>
    <w:rsid w:val="00B359B6"/>
    <w:rsid w:val="00B359EB"/>
    <w:rsid w:val="00B359FE"/>
    <w:rsid w:val="00B35A49"/>
    <w:rsid w:val="00B35A4F"/>
    <w:rsid w:val="00B35A94"/>
    <w:rsid w:val="00B35A98"/>
    <w:rsid w:val="00B35B04"/>
    <w:rsid w:val="00B35B08"/>
    <w:rsid w:val="00B35B0D"/>
    <w:rsid w:val="00B35B3C"/>
    <w:rsid w:val="00B35BC2"/>
    <w:rsid w:val="00B35C23"/>
    <w:rsid w:val="00B35C4B"/>
    <w:rsid w:val="00B35C78"/>
    <w:rsid w:val="00B35C86"/>
    <w:rsid w:val="00B35CC8"/>
    <w:rsid w:val="00B35CD3"/>
    <w:rsid w:val="00B35D0B"/>
    <w:rsid w:val="00B35D0E"/>
    <w:rsid w:val="00B35D66"/>
    <w:rsid w:val="00B35DA4"/>
    <w:rsid w:val="00B35DAB"/>
    <w:rsid w:val="00B35DCC"/>
    <w:rsid w:val="00B35DDF"/>
    <w:rsid w:val="00B35DFA"/>
    <w:rsid w:val="00B35E03"/>
    <w:rsid w:val="00B35E17"/>
    <w:rsid w:val="00B35E7E"/>
    <w:rsid w:val="00B35EB6"/>
    <w:rsid w:val="00B35F7C"/>
    <w:rsid w:val="00B35F94"/>
    <w:rsid w:val="00B35FF1"/>
    <w:rsid w:val="00B3607C"/>
    <w:rsid w:val="00B36082"/>
    <w:rsid w:val="00B36096"/>
    <w:rsid w:val="00B360A8"/>
    <w:rsid w:val="00B360BD"/>
    <w:rsid w:val="00B36104"/>
    <w:rsid w:val="00B36105"/>
    <w:rsid w:val="00B36114"/>
    <w:rsid w:val="00B36126"/>
    <w:rsid w:val="00B36173"/>
    <w:rsid w:val="00B36215"/>
    <w:rsid w:val="00B3624A"/>
    <w:rsid w:val="00B3628D"/>
    <w:rsid w:val="00B363D6"/>
    <w:rsid w:val="00B3642B"/>
    <w:rsid w:val="00B3658F"/>
    <w:rsid w:val="00B365A5"/>
    <w:rsid w:val="00B365E0"/>
    <w:rsid w:val="00B36601"/>
    <w:rsid w:val="00B36638"/>
    <w:rsid w:val="00B366F3"/>
    <w:rsid w:val="00B36718"/>
    <w:rsid w:val="00B36723"/>
    <w:rsid w:val="00B3676D"/>
    <w:rsid w:val="00B367F0"/>
    <w:rsid w:val="00B36892"/>
    <w:rsid w:val="00B368E8"/>
    <w:rsid w:val="00B368FA"/>
    <w:rsid w:val="00B36902"/>
    <w:rsid w:val="00B36907"/>
    <w:rsid w:val="00B36941"/>
    <w:rsid w:val="00B36980"/>
    <w:rsid w:val="00B369F7"/>
    <w:rsid w:val="00B36A25"/>
    <w:rsid w:val="00B36A36"/>
    <w:rsid w:val="00B36A61"/>
    <w:rsid w:val="00B36A86"/>
    <w:rsid w:val="00B36AA3"/>
    <w:rsid w:val="00B36AAD"/>
    <w:rsid w:val="00B36ADB"/>
    <w:rsid w:val="00B36ADD"/>
    <w:rsid w:val="00B36B30"/>
    <w:rsid w:val="00B36B48"/>
    <w:rsid w:val="00B36BA0"/>
    <w:rsid w:val="00B36BF0"/>
    <w:rsid w:val="00B36C31"/>
    <w:rsid w:val="00B36CBF"/>
    <w:rsid w:val="00B36D2F"/>
    <w:rsid w:val="00B36E0A"/>
    <w:rsid w:val="00B36E2F"/>
    <w:rsid w:val="00B36E34"/>
    <w:rsid w:val="00B36E46"/>
    <w:rsid w:val="00B36E77"/>
    <w:rsid w:val="00B36EA3"/>
    <w:rsid w:val="00B36F67"/>
    <w:rsid w:val="00B36FC5"/>
    <w:rsid w:val="00B3705F"/>
    <w:rsid w:val="00B3708A"/>
    <w:rsid w:val="00B370E7"/>
    <w:rsid w:val="00B3725E"/>
    <w:rsid w:val="00B372A8"/>
    <w:rsid w:val="00B37369"/>
    <w:rsid w:val="00B373A3"/>
    <w:rsid w:val="00B373F9"/>
    <w:rsid w:val="00B37400"/>
    <w:rsid w:val="00B3740D"/>
    <w:rsid w:val="00B3742C"/>
    <w:rsid w:val="00B374EF"/>
    <w:rsid w:val="00B3750B"/>
    <w:rsid w:val="00B37521"/>
    <w:rsid w:val="00B3756D"/>
    <w:rsid w:val="00B3758A"/>
    <w:rsid w:val="00B375D1"/>
    <w:rsid w:val="00B37638"/>
    <w:rsid w:val="00B3764E"/>
    <w:rsid w:val="00B37676"/>
    <w:rsid w:val="00B376AB"/>
    <w:rsid w:val="00B376C3"/>
    <w:rsid w:val="00B376EF"/>
    <w:rsid w:val="00B37700"/>
    <w:rsid w:val="00B37718"/>
    <w:rsid w:val="00B37720"/>
    <w:rsid w:val="00B37722"/>
    <w:rsid w:val="00B37726"/>
    <w:rsid w:val="00B37739"/>
    <w:rsid w:val="00B37744"/>
    <w:rsid w:val="00B37749"/>
    <w:rsid w:val="00B3778A"/>
    <w:rsid w:val="00B3791F"/>
    <w:rsid w:val="00B37982"/>
    <w:rsid w:val="00B379D1"/>
    <w:rsid w:val="00B37A94"/>
    <w:rsid w:val="00B37AB8"/>
    <w:rsid w:val="00B37ADF"/>
    <w:rsid w:val="00B37B9E"/>
    <w:rsid w:val="00B37BB2"/>
    <w:rsid w:val="00B37BF1"/>
    <w:rsid w:val="00B37C1F"/>
    <w:rsid w:val="00B37C38"/>
    <w:rsid w:val="00B37C4D"/>
    <w:rsid w:val="00B37C5E"/>
    <w:rsid w:val="00B37D28"/>
    <w:rsid w:val="00B37D3B"/>
    <w:rsid w:val="00B37DAB"/>
    <w:rsid w:val="00B37DAD"/>
    <w:rsid w:val="00B37DBB"/>
    <w:rsid w:val="00B37E1F"/>
    <w:rsid w:val="00B37E98"/>
    <w:rsid w:val="00B37EBA"/>
    <w:rsid w:val="00B37ECB"/>
    <w:rsid w:val="00B37EE2"/>
    <w:rsid w:val="00B37EEC"/>
    <w:rsid w:val="00B37F23"/>
    <w:rsid w:val="00B3EB05"/>
    <w:rsid w:val="00B40015"/>
    <w:rsid w:val="00B40028"/>
    <w:rsid w:val="00B4003A"/>
    <w:rsid w:val="00B400C3"/>
    <w:rsid w:val="00B40126"/>
    <w:rsid w:val="00B4018C"/>
    <w:rsid w:val="00B40198"/>
    <w:rsid w:val="00B4021D"/>
    <w:rsid w:val="00B40231"/>
    <w:rsid w:val="00B40318"/>
    <w:rsid w:val="00B40325"/>
    <w:rsid w:val="00B4035E"/>
    <w:rsid w:val="00B403DD"/>
    <w:rsid w:val="00B40460"/>
    <w:rsid w:val="00B40462"/>
    <w:rsid w:val="00B40469"/>
    <w:rsid w:val="00B4047A"/>
    <w:rsid w:val="00B404A1"/>
    <w:rsid w:val="00B404AD"/>
    <w:rsid w:val="00B404BA"/>
    <w:rsid w:val="00B404FC"/>
    <w:rsid w:val="00B40550"/>
    <w:rsid w:val="00B40583"/>
    <w:rsid w:val="00B405B1"/>
    <w:rsid w:val="00B405C3"/>
    <w:rsid w:val="00B405F8"/>
    <w:rsid w:val="00B4067F"/>
    <w:rsid w:val="00B40718"/>
    <w:rsid w:val="00B40745"/>
    <w:rsid w:val="00B407E0"/>
    <w:rsid w:val="00B407F4"/>
    <w:rsid w:val="00B40837"/>
    <w:rsid w:val="00B40877"/>
    <w:rsid w:val="00B4087C"/>
    <w:rsid w:val="00B408A1"/>
    <w:rsid w:val="00B4090B"/>
    <w:rsid w:val="00B4091C"/>
    <w:rsid w:val="00B4092E"/>
    <w:rsid w:val="00B40972"/>
    <w:rsid w:val="00B409AF"/>
    <w:rsid w:val="00B40A5B"/>
    <w:rsid w:val="00B40A7C"/>
    <w:rsid w:val="00B40AC8"/>
    <w:rsid w:val="00B40B2F"/>
    <w:rsid w:val="00B40C35"/>
    <w:rsid w:val="00B40C50"/>
    <w:rsid w:val="00B40C85"/>
    <w:rsid w:val="00B40C9B"/>
    <w:rsid w:val="00B40CA0"/>
    <w:rsid w:val="00B40CA1"/>
    <w:rsid w:val="00B40CA6"/>
    <w:rsid w:val="00B40DB8"/>
    <w:rsid w:val="00B40DE7"/>
    <w:rsid w:val="00B40DF9"/>
    <w:rsid w:val="00B40E79"/>
    <w:rsid w:val="00B40E90"/>
    <w:rsid w:val="00B40E9D"/>
    <w:rsid w:val="00B40E9E"/>
    <w:rsid w:val="00B40EBB"/>
    <w:rsid w:val="00B40EC1"/>
    <w:rsid w:val="00B40ECD"/>
    <w:rsid w:val="00B40EE2"/>
    <w:rsid w:val="00B40EE8"/>
    <w:rsid w:val="00B40F38"/>
    <w:rsid w:val="00B40FA3"/>
    <w:rsid w:val="00B40FAE"/>
    <w:rsid w:val="00B40FBA"/>
    <w:rsid w:val="00B40FF4"/>
    <w:rsid w:val="00B41033"/>
    <w:rsid w:val="00B41086"/>
    <w:rsid w:val="00B4108C"/>
    <w:rsid w:val="00B410AC"/>
    <w:rsid w:val="00B410AE"/>
    <w:rsid w:val="00B410BF"/>
    <w:rsid w:val="00B41245"/>
    <w:rsid w:val="00B4128A"/>
    <w:rsid w:val="00B4128C"/>
    <w:rsid w:val="00B412F5"/>
    <w:rsid w:val="00B41336"/>
    <w:rsid w:val="00B4134D"/>
    <w:rsid w:val="00B4137D"/>
    <w:rsid w:val="00B413C2"/>
    <w:rsid w:val="00B41411"/>
    <w:rsid w:val="00B41490"/>
    <w:rsid w:val="00B4149E"/>
    <w:rsid w:val="00B414A4"/>
    <w:rsid w:val="00B41501"/>
    <w:rsid w:val="00B41504"/>
    <w:rsid w:val="00B415ED"/>
    <w:rsid w:val="00B41613"/>
    <w:rsid w:val="00B4166D"/>
    <w:rsid w:val="00B4166F"/>
    <w:rsid w:val="00B416BC"/>
    <w:rsid w:val="00B416F8"/>
    <w:rsid w:val="00B4181C"/>
    <w:rsid w:val="00B418C9"/>
    <w:rsid w:val="00B418E5"/>
    <w:rsid w:val="00B4190A"/>
    <w:rsid w:val="00B419A7"/>
    <w:rsid w:val="00B41A9E"/>
    <w:rsid w:val="00B41AB8"/>
    <w:rsid w:val="00B41AC6"/>
    <w:rsid w:val="00B41AD5"/>
    <w:rsid w:val="00B41AD6"/>
    <w:rsid w:val="00B41B10"/>
    <w:rsid w:val="00B41B88"/>
    <w:rsid w:val="00B41BA4"/>
    <w:rsid w:val="00B41BCA"/>
    <w:rsid w:val="00B41BF2"/>
    <w:rsid w:val="00B41C55"/>
    <w:rsid w:val="00B41CC7"/>
    <w:rsid w:val="00B41DA1"/>
    <w:rsid w:val="00B41DE1"/>
    <w:rsid w:val="00B41DF3"/>
    <w:rsid w:val="00B41E48"/>
    <w:rsid w:val="00B41E6D"/>
    <w:rsid w:val="00B41F20"/>
    <w:rsid w:val="00B41F40"/>
    <w:rsid w:val="00B41F4A"/>
    <w:rsid w:val="00B41FB4"/>
    <w:rsid w:val="00B42041"/>
    <w:rsid w:val="00B420A1"/>
    <w:rsid w:val="00B420C0"/>
    <w:rsid w:val="00B420C2"/>
    <w:rsid w:val="00B420DB"/>
    <w:rsid w:val="00B42108"/>
    <w:rsid w:val="00B4212F"/>
    <w:rsid w:val="00B42148"/>
    <w:rsid w:val="00B42198"/>
    <w:rsid w:val="00B4219E"/>
    <w:rsid w:val="00B421C3"/>
    <w:rsid w:val="00B421F7"/>
    <w:rsid w:val="00B42211"/>
    <w:rsid w:val="00B42263"/>
    <w:rsid w:val="00B42293"/>
    <w:rsid w:val="00B42298"/>
    <w:rsid w:val="00B422E1"/>
    <w:rsid w:val="00B422EB"/>
    <w:rsid w:val="00B42320"/>
    <w:rsid w:val="00B42326"/>
    <w:rsid w:val="00B42329"/>
    <w:rsid w:val="00B4232B"/>
    <w:rsid w:val="00B4237C"/>
    <w:rsid w:val="00B4237E"/>
    <w:rsid w:val="00B423EB"/>
    <w:rsid w:val="00B4242D"/>
    <w:rsid w:val="00B4243E"/>
    <w:rsid w:val="00B424AE"/>
    <w:rsid w:val="00B424DF"/>
    <w:rsid w:val="00B42589"/>
    <w:rsid w:val="00B42596"/>
    <w:rsid w:val="00B425E5"/>
    <w:rsid w:val="00B426D4"/>
    <w:rsid w:val="00B42757"/>
    <w:rsid w:val="00B4278C"/>
    <w:rsid w:val="00B427F4"/>
    <w:rsid w:val="00B428C1"/>
    <w:rsid w:val="00B42955"/>
    <w:rsid w:val="00B42968"/>
    <w:rsid w:val="00B42982"/>
    <w:rsid w:val="00B429A5"/>
    <w:rsid w:val="00B429CB"/>
    <w:rsid w:val="00B429DC"/>
    <w:rsid w:val="00B429F1"/>
    <w:rsid w:val="00B42A12"/>
    <w:rsid w:val="00B42A2D"/>
    <w:rsid w:val="00B42A7A"/>
    <w:rsid w:val="00B42ACD"/>
    <w:rsid w:val="00B42C49"/>
    <w:rsid w:val="00B42CD7"/>
    <w:rsid w:val="00B42CFA"/>
    <w:rsid w:val="00B42D31"/>
    <w:rsid w:val="00B42D82"/>
    <w:rsid w:val="00B42DBE"/>
    <w:rsid w:val="00B42DC9"/>
    <w:rsid w:val="00B42E09"/>
    <w:rsid w:val="00B42E21"/>
    <w:rsid w:val="00B42E4F"/>
    <w:rsid w:val="00B42E9C"/>
    <w:rsid w:val="00B42EE6"/>
    <w:rsid w:val="00B42F3A"/>
    <w:rsid w:val="00B42F6C"/>
    <w:rsid w:val="00B42F7E"/>
    <w:rsid w:val="00B4300F"/>
    <w:rsid w:val="00B43072"/>
    <w:rsid w:val="00B43079"/>
    <w:rsid w:val="00B4309B"/>
    <w:rsid w:val="00B430F9"/>
    <w:rsid w:val="00B43117"/>
    <w:rsid w:val="00B43120"/>
    <w:rsid w:val="00B43192"/>
    <w:rsid w:val="00B43194"/>
    <w:rsid w:val="00B4319B"/>
    <w:rsid w:val="00B431FC"/>
    <w:rsid w:val="00B43201"/>
    <w:rsid w:val="00B4322D"/>
    <w:rsid w:val="00B432BD"/>
    <w:rsid w:val="00B432BF"/>
    <w:rsid w:val="00B432E9"/>
    <w:rsid w:val="00B43327"/>
    <w:rsid w:val="00B43439"/>
    <w:rsid w:val="00B434AA"/>
    <w:rsid w:val="00B434CE"/>
    <w:rsid w:val="00B434DD"/>
    <w:rsid w:val="00B4357B"/>
    <w:rsid w:val="00B435D3"/>
    <w:rsid w:val="00B4361B"/>
    <w:rsid w:val="00B43624"/>
    <w:rsid w:val="00B43630"/>
    <w:rsid w:val="00B4366D"/>
    <w:rsid w:val="00B43708"/>
    <w:rsid w:val="00B43709"/>
    <w:rsid w:val="00B4372C"/>
    <w:rsid w:val="00B437B0"/>
    <w:rsid w:val="00B437EA"/>
    <w:rsid w:val="00B43832"/>
    <w:rsid w:val="00B43842"/>
    <w:rsid w:val="00B4388B"/>
    <w:rsid w:val="00B438B9"/>
    <w:rsid w:val="00B438F0"/>
    <w:rsid w:val="00B43904"/>
    <w:rsid w:val="00B43914"/>
    <w:rsid w:val="00B4393C"/>
    <w:rsid w:val="00B4394F"/>
    <w:rsid w:val="00B439BF"/>
    <w:rsid w:val="00B43A1A"/>
    <w:rsid w:val="00B43A65"/>
    <w:rsid w:val="00B43A78"/>
    <w:rsid w:val="00B43A7E"/>
    <w:rsid w:val="00B43ACA"/>
    <w:rsid w:val="00B43AF1"/>
    <w:rsid w:val="00B43B0B"/>
    <w:rsid w:val="00B43BD4"/>
    <w:rsid w:val="00B43BFD"/>
    <w:rsid w:val="00B43C76"/>
    <w:rsid w:val="00B43C7E"/>
    <w:rsid w:val="00B43CB1"/>
    <w:rsid w:val="00B43CB5"/>
    <w:rsid w:val="00B43CE4"/>
    <w:rsid w:val="00B43D15"/>
    <w:rsid w:val="00B43DFA"/>
    <w:rsid w:val="00B43E7C"/>
    <w:rsid w:val="00B43E80"/>
    <w:rsid w:val="00B43EF5"/>
    <w:rsid w:val="00B43F59"/>
    <w:rsid w:val="00B43FD0"/>
    <w:rsid w:val="00B43FDD"/>
    <w:rsid w:val="00B43FE1"/>
    <w:rsid w:val="00B44019"/>
    <w:rsid w:val="00B44080"/>
    <w:rsid w:val="00B4412C"/>
    <w:rsid w:val="00B4416F"/>
    <w:rsid w:val="00B441AB"/>
    <w:rsid w:val="00B441C0"/>
    <w:rsid w:val="00B441F8"/>
    <w:rsid w:val="00B4420E"/>
    <w:rsid w:val="00B44269"/>
    <w:rsid w:val="00B442A5"/>
    <w:rsid w:val="00B442CB"/>
    <w:rsid w:val="00B442F0"/>
    <w:rsid w:val="00B4431B"/>
    <w:rsid w:val="00B443C7"/>
    <w:rsid w:val="00B443E6"/>
    <w:rsid w:val="00B443FC"/>
    <w:rsid w:val="00B443FE"/>
    <w:rsid w:val="00B44419"/>
    <w:rsid w:val="00B44468"/>
    <w:rsid w:val="00B444B7"/>
    <w:rsid w:val="00B444E2"/>
    <w:rsid w:val="00B444F4"/>
    <w:rsid w:val="00B4455C"/>
    <w:rsid w:val="00B44567"/>
    <w:rsid w:val="00B44588"/>
    <w:rsid w:val="00B4458F"/>
    <w:rsid w:val="00B445AB"/>
    <w:rsid w:val="00B4460B"/>
    <w:rsid w:val="00B44624"/>
    <w:rsid w:val="00B4467F"/>
    <w:rsid w:val="00B44684"/>
    <w:rsid w:val="00B4469D"/>
    <w:rsid w:val="00B446D8"/>
    <w:rsid w:val="00B44703"/>
    <w:rsid w:val="00B44779"/>
    <w:rsid w:val="00B4479E"/>
    <w:rsid w:val="00B447E0"/>
    <w:rsid w:val="00B447F8"/>
    <w:rsid w:val="00B44811"/>
    <w:rsid w:val="00B44879"/>
    <w:rsid w:val="00B448C5"/>
    <w:rsid w:val="00B44909"/>
    <w:rsid w:val="00B44914"/>
    <w:rsid w:val="00B44926"/>
    <w:rsid w:val="00B44A11"/>
    <w:rsid w:val="00B44A95"/>
    <w:rsid w:val="00B44B49"/>
    <w:rsid w:val="00B44B4D"/>
    <w:rsid w:val="00B44B9E"/>
    <w:rsid w:val="00B44BB5"/>
    <w:rsid w:val="00B44C0C"/>
    <w:rsid w:val="00B44C2C"/>
    <w:rsid w:val="00B44CB9"/>
    <w:rsid w:val="00B44CDE"/>
    <w:rsid w:val="00B44D35"/>
    <w:rsid w:val="00B44D3E"/>
    <w:rsid w:val="00B44D53"/>
    <w:rsid w:val="00B44D6E"/>
    <w:rsid w:val="00B44D9D"/>
    <w:rsid w:val="00B44E21"/>
    <w:rsid w:val="00B44E2B"/>
    <w:rsid w:val="00B44E60"/>
    <w:rsid w:val="00B44E78"/>
    <w:rsid w:val="00B44E82"/>
    <w:rsid w:val="00B44E9E"/>
    <w:rsid w:val="00B44F29"/>
    <w:rsid w:val="00B44FA2"/>
    <w:rsid w:val="00B44FB0"/>
    <w:rsid w:val="00B44FE5"/>
    <w:rsid w:val="00B45014"/>
    <w:rsid w:val="00B4506A"/>
    <w:rsid w:val="00B45100"/>
    <w:rsid w:val="00B45167"/>
    <w:rsid w:val="00B4526D"/>
    <w:rsid w:val="00B45276"/>
    <w:rsid w:val="00B45288"/>
    <w:rsid w:val="00B452AA"/>
    <w:rsid w:val="00B452C2"/>
    <w:rsid w:val="00B452D7"/>
    <w:rsid w:val="00B452F0"/>
    <w:rsid w:val="00B4531C"/>
    <w:rsid w:val="00B45340"/>
    <w:rsid w:val="00B45378"/>
    <w:rsid w:val="00B45381"/>
    <w:rsid w:val="00B45383"/>
    <w:rsid w:val="00B45387"/>
    <w:rsid w:val="00B453AA"/>
    <w:rsid w:val="00B453B7"/>
    <w:rsid w:val="00B453D5"/>
    <w:rsid w:val="00B45421"/>
    <w:rsid w:val="00B4543E"/>
    <w:rsid w:val="00B45453"/>
    <w:rsid w:val="00B4545B"/>
    <w:rsid w:val="00B4546C"/>
    <w:rsid w:val="00B4549C"/>
    <w:rsid w:val="00B4549E"/>
    <w:rsid w:val="00B454D1"/>
    <w:rsid w:val="00B45515"/>
    <w:rsid w:val="00B4551F"/>
    <w:rsid w:val="00B45543"/>
    <w:rsid w:val="00B4555E"/>
    <w:rsid w:val="00B45606"/>
    <w:rsid w:val="00B45610"/>
    <w:rsid w:val="00B4563C"/>
    <w:rsid w:val="00B4567A"/>
    <w:rsid w:val="00B45772"/>
    <w:rsid w:val="00B45878"/>
    <w:rsid w:val="00B4588C"/>
    <w:rsid w:val="00B458A0"/>
    <w:rsid w:val="00B458A4"/>
    <w:rsid w:val="00B458BF"/>
    <w:rsid w:val="00B45904"/>
    <w:rsid w:val="00B45910"/>
    <w:rsid w:val="00B45922"/>
    <w:rsid w:val="00B4592D"/>
    <w:rsid w:val="00B45959"/>
    <w:rsid w:val="00B459A3"/>
    <w:rsid w:val="00B459E7"/>
    <w:rsid w:val="00B459FE"/>
    <w:rsid w:val="00B45A08"/>
    <w:rsid w:val="00B45A6F"/>
    <w:rsid w:val="00B45A90"/>
    <w:rsid w:val="00B45B45"/>
    <w:rsid w:val="00B45B5B"/>
    <w:rsid w:val="00B45B87"/>
    <w:rsid w:val="00B45BA8"/>
    <w:rsid w:val="00B45BD3"/>
    <w:rsid w:val="00B45BE3"/>
    <w:rsid w:val="00B45C11"/>
    <w:rsid w:val="00B45C42"/>
    <w:rsid w:val="00B45C93"/>
    <w:rsid w:val="00B45C9A"/>
    <w:rsid w:val="00B45C9C"/>
    <w:rsid w:val="00B45CB0"/>
    <w:rsid w:val="00B45D0B"/>
    <w:rsid w:val="00B45D29"/>
    <w:rsid w:val="00B45D80"/>
    <w:rsid w:val="00B45D82"/>
    <w:rsid w:val="00B45D98"/>
    <w:rsid w:val="00B45DA7"/>
    <w:rsid w:val="00B45DC3"/>
    <w:rsid w:val="00B45DD7"/>
    <w:rsid w:val="00B45DDD"/>
    <w:rsid w:val="00B45E0B"/>
    <w:rsid w:val="00B45E70"/>
    <w:rsid w:val="00B45E77"/>
    <w:rsid w:val="00B45E92"/>
    <w:rsid w:val="00B45EA3"/>
    <w:rsid w:val="00B45EB3"/>
    <w:rsid w:val="00B45EC0"/>
    <w:rsid w:val="00B45EC7"/>
    <w:rsid w:val="00B45F07"/>
    <w:rsid w:val="00B45F37"/>
    <w:rsid w:val="00B45FBD"/>
    <w:rsid w:val="00B45FD3"/>
    <w:rsid w:val="00B45FE1"/>
    <w:rsid w:val="00B46019"/>
    <w:rsid w:val="00B46091"/>
    <w:rsid w:val="00B46099"/>
    <w:rsid w:val="00B46124"/>
    <w:rsid w:val="00B4617A"/>
    <w:rsid w:val="00B46180"/>
    <w:rsid w:val="00B461A5"/>
    <w:rsid w:val="00B461C1"/>
    <w:rsid w:val="00B46287"/>
    <w:rsid w:val="00B462D0"/>
    <w:rsid w:val="00B4632F"/>
    <w:rsid w:val="00B463D8"/>
    <w:rsid w:val="00B463FA"/>
    <w:rsid w:val="00B46403"/>
    <w:rsid w:val="00B4640A"/>
    <w:rsid w:val="00B4649C"/>
    <w:rsid w:val="00B464A0"/>
    <w:rsid w:val="00B465A7"/>
    <w:rsid w:val="00B46638"/>
    <w:rsid w:val="00B4665C"/>
    <w:rsid w:val="00B46676"/>
    <w:rsid w:val="00B46678"/>
    <w:rsid w:val="00B4669D"/>
    <w:rsid w:val="00B466B7"/>
    <w:rsid w:val="00B466DD"/>
    <w:rsid w:val="00B46702"/>
    <w:rsid w:val="00B46717"/>
    <w:rsid w:val="00B4672A"/>
    <w:rsid w:val="00B4673E"/>
    <w:rsid w:val="00B46751"/>
    <w:rsid w:val="00B46781"/>
    <w:rsid w:val="00B4679D"/>
    <w:rsid w:val="00B4680D"/>
    <w:rsid w:val="00B46829"/>
    <w:rsid w:val="00B468A2"/>
    <w:rsid w:val="00B46935"/>
    <w:rsid w:val="00B4697C"/>
    <w:rsid w:val="00B46A64"/>
    <w:rsid w:val="00B46A66"/>
    <w:rsid w:val="00B46A81"/>
    <w:rsid w:val="00B46A8C"/>
    <w:rsid w:val="00B46AEF"/>
    <w:rsid w:val="00B46B2E"/>
    <w:rsid w:val="00B46B2F"/>
    <w:rsid w:val="00B46B30"/>
    <w:rsid w:val="00B46B36"/>
    <w:rsid w:val="00B46B43"/>
    <w:rsid w:val="00B46B8D"/>
    <w:rsid w:val="00B46BFB"/>
    <w:rsid w:val="00B46C0E"/>
    <w:rsid w:val="00B46C2E"/>
    <w:rsid w:val="00B46C35"/>
    <w:rsid w:val="00B46C44"/>
    <w:rsid w:val="00B46DE2"/>
    <w:rsid w:val="00B46FC0"/>
    <w:rsid w:val="00B4702A"/>
    <w:rsid w:val="00B4707B"/>
    <w:rsid w:val="00B470C8"/>
    <w:rsid w:val="00B471A7"/>
    <w:rsid w:val="00B471C0"/>
    <w:rsid w:val="00B47256"/>
    <w:rsid w:val="00B4729D"/>
    <w:rsid w:val="00B472A5"/>
    <w:rsid w:val="00B472CE"/>
    <w:rsid w:val="00B4731D"/>
    <w:rsid w:val="00B47357"/>
    <w:rsid w:val="00B473BD"/>
    <w:rsid w:val="00B4741C"/>
    <w:rsid w:val="00B4745D"/>
    <w:rsid w:val="00B4747E"/>
    <w:rsid w:val="00B474B3"/>
    <w:rsid w:val="00B4750A"/>
    <w:rsid w:val="00B47545"/>
    <w:rsid w:val="00B4756D"/>
    <w:rsid w:val="00B4759A"/>
    <w:rsid w:val="00B475B1"/>
    <w:rsid w:val="00B475B2"/>
    <w:rsid w:val="00B47658"/>
    <w:rsid w:val="00B47661"/>
    <w:rsid w:val="00B47778"/>
    <w:rsid w:val="00B4777B"/>
    <w:rsid w:val="00B477A0"/>
    <w:rsid w:val="00B477B2"/>
    <w:rsid w:val="00B477B7"/>
    <w:rsid w:val="00B47828"/>
    <w:rsid w:val="00B47842"/>
    <w:rsid w:val="00B47864"/>
    <w:rsid w:val="00B47882"/>
    <w:rsid w:val="00B47896"/>
    <w:rsid w:val="00B478B9"/>
    <w:rsid w:val="00B478DF"/>
    <w:rsid w:val="00B47916"/>
    <w:rsid w:val="00B4795A"/>
    <w:rsid w:val="00B479BD"/>
    <w:rsid w:val="00B479DC"/>
    <w:rsid w:val="00B47A8F"/>
    <w:rsid w:val="00B47A9F"/>
    <w:rsid w:val="00B47AEE"/>
    <w:rsid w:val="00B47B3F"/>
    <w:rsid w:val="00B47B90"/>
    <w:rsid w:val="00B47BDB"/>
    <w:rsid w:val="00B47C20"/>
    <w:rsid w:val="00B47C36"/>
    <w:rsid w:val="00B47D13"/>
    <w:rsid w:val="00B47E1D"/>
    <w:rsid w:val="00B47E71"/>
    <w:rsid w:val="00B47EB1"/>
    <w:rsid w:val="00B47EB8"/>
    <w:rsid w:val="00B47EBD"/>
    <w:rsid w:val="00B47F60"/>
    <w:rsid w:val="00B47FC9"/>
    <w:rsid w:val="00B47FED"/>
    <w:rsid w:val="00B47FF4"/>
    <w:rsid w:val="00B50043"/>
    <w:rsid w:val="00B5005A"/>
    <w:rsid w:val="00B50157"/>
    <w:rsid w:val="00B5019A"/>
    <w:rsid w:val="00B501BA"/>
    <w:rsid w:val="00B501CE"/>
    <w:rsid w:val="00B502A0"/>
    <w:rsid w:val="00B50312"/>
    <w:rsid w:val="00B50319"/>
    <w:rsid w:val="00B50345"/>
    <w:rsid w:val="00B50358"/>
    <w:rsid w:val="00B5039F"/>
    <w:rsid w:val="00B503CB"/>
    <w:rsid w:val="00B503E5"/>
    <w:rsid w:val="00B503FE"/>
    <w:rsid w:val="00B50428"/>
    <w:rsid w:val="00B504E8"/>
    <w:rsid w:val="00B504EF"/>
    <w:rsid w:val="00B50587"/>
    <w:rsid w:val="00B5058B"/>
    <w:rsid w:val="00B505D6"/>
    <w:rsid w:val="00B50623"/>
    <w:rsid w:val="00B5062F"/>
    <w:rsid w:val="00B506CE"/>
    <w:rsid w:val="00B506DB"/>
    <w:rsid w:val="00B50757"/>
    <w:rsid w:val="00B5076B"/>
    <w:rsid w:val="00B50775"/>
    <w:rsid w:val="00B5080B"/>
    <w:rsid w:val="00B5082D"/>
    <w:rsid w:val="00B50866"/>
    <w:rsid w:val="00B5087E"/>
    <w:rsid w:val="00B508F9"/>
    <w:rsid w:val="00B50940"/>
    <w:rsid w:val="00B5098A"/>
    <w:rsid w:val="00B509E5"/>
    <w:rsid w:val="00B50A37"/>
    <w:rsid w:val="00B50A78"/>
    <w:rsid w:val="00B50AA8"/>
    <w:rsid w:val="00B50AB6"/>
    <w:rsid w:val="00B50B1C"/>
    <w:rsid w:val="00B50B54"/>
    <w:rsid w:val="00B50B8A"/>
    <w:rsid w:val="00B50B9B"/>
    <w:rsid w:val="00B50BE4"/>
    <w:rsid w:val="00B50BED"/>
    <w:rsid w:val="00B50C73"/>
    <w:rsid w:val="00B50C8A"/>
    <w:rsid w:val="00B50C9C"/>
    <w:rsid w:val="00B50CE0"/>
    <w:rsid w:val="00B50D26"/>
    <w:rsid w:val="00B50D6E"/>
    <w:rsid w:val="00B50D7A"/>
    <w:rsid w:val="00B50DC6"/>
    <w:rsid w:val="00B50DE4"/>
    <w:rsid w:val="00B50E05"/>
    <w:rsid w:val="00B50E33"/>
    <w:rsid w:val="00B50E67"/>
    <w:rsid w:val="00B50F10"/>
    <w:rsid w:val="00B50F7A"/>
    <w:rsid w:val="00B50F95"/>
    <w:rsid w:val="00B50F9D"/>
    <w:rsid w:val="00B50FA6"/>
    <w:rsid w:val="00B50FB4"/>
    <w:rsid w:val="00B50FD8"/>
    <w:rsid w:val="00B5100D"/>
    <w:rsid w:val="00B5106B"/>
    <w:rsid w:val="00B5106D"/>
    <w:rsid w:val="00B510B0"/>
    <w:rsid w:val="00B510D3"/>
    <w:rsid w:val="00B5113E"/>
    <w:rsid w:val="00B51178"/>
    <w:rsid w:val="00B511B2"/>
    <w:rsid w:val="00B511C5"/>
    <w:rsid w:val="00B51241"/>
    <w:rsid w:val="00B5124B"/>
    <w:rsid w:val="00B51304"/>
    <w:rsid w:val="00B51329"/>
    <w:rsid w:val="00B5139F"/>
    <w:rsid w:val="00B513B9"/>
    <w:rsid w:val="00B513F2"/>
    <w:rsid w:val="00B5143E"/>
    <w:rsid w:val="00B5145D"/>
    <w:rsid w:val="00B514B5"/>
    <w:rsid w:val="00B51544"/>
    <w:rsid w:val="00B515D0"/>
    <w:rsid w:val="00B515EF"/>
    <w:rsid w:val="00B51607"/>
    <w:rsid w:val="00B51608"/>
    <w:rsid w:val="00B5160B"/>
    <w:rsid w:val="00B5170F"/>
    <w:rsid w:val="00B51711"/>
    <w:rsid w:val="00B51713"/>
    <w:rsid w:val="00B5172D"/>
    <w:rsid w:val="00B51732"/>
    <w:rsid w:val="00B5173A"/>
    <w:rsid w:val="00B5175A"/>
    <w:rsid w:val="00B5175E"/>
    <w:rsid w:val="00B517C4"/>
    <w:rsid w:val="00B517D5"/>
    <w:rsid w:val="00B5184D"/>
    <w:rsid w:val="00B5186A"/>
    <w:rsid w:val="00B51899"/>
    <w:rsid w:val="00B518C1"/>
    <w:rsid w:val="00B518D1"/>
    <w:rsid w:val="00B5191C"/>
    <w:rsid w:val="00B51931"/>
    <w:rsid w:val="00B51955"/>
    <w:rsid w:val="00B51966"/>
    <w:rsid w:val="00B51A10"/>
    <w:rsid w:val="00B51B2B"/>
    <w:rsid w:val="00B51BAE"/>
    <w:rsid w:val="00B51C0C"/>
    <w:rsid w:val="00B51C21"/>
    <w:rsid w:val="00B51C78"/>
    <w:rsid w:val="00B51CE7"/>
    <w:rsid w:val="00B51CF2"/>
    <w:rsid w:val="00B51D34"/>
    <w:rsid w:val="00B51D5D"/>
    <w:rsid w:val="00B51D65"/>
    <w:rsid w:val="00B51D8B"/>
    <w:rsid w:val="00B51E19"/>
    <w:rsid w:val="00B51E5F"/>
    <w:rsid w:val="00B51E9C"/>
    <w:rsid w:val="00B51EC1"/>
    <w:rsid w:val="00B51ECB"/>
    <w:rsid w:val="00B51EDA"/>
    <w:rsid w:val="00B51F25"/>
    <w:rsid w:val="00B51F2B"/>
    <w:rsid w:val="00B51F61"/>
    <w:rsid w:val="00B51F8F"/>
    <w:rsid w:val="00B52071"/>
    <w:rsid w:val="00B5208D"/>
    <w:rsid w:val="00B520FC"/>
    <w:rsid w:val="00B52137"/>
    <w:rsid w:val="00B52171"/>
    <w:rsid w:val="00B52187"/>
    <w:rsid w:val="00B521B8"/>
    <w:rsid w:val="00B5221B"/>
    <w:rsid w:val="00B52250"/>
    <w:rsid w:val="00B52252"/>
    <w:rsid w:val="00B5227D"/>
    <w:rsid w:val="00B52292"/>
    <w:rsid w:val="00B522EC"/>
    <w:rsid w:val="00B522ED"/>
    <w:rsid w:val="00B522EF"/>
    <w:rsid w:val="00B5231E"/>
    <w:rsid w:val="00B52341"/>
    <w:rsid w:val="00B52360"/>
    <w:rsid w:val="00B523C0"/>
    <w:rsid w:val="00B5242D"/>
    <w:rsid w:val="00B52446"/>
    <w:rsid w:val="00B52449"/>
    <w:rsid w:val="00B524B2"/>
    <w:rsid w:val="00B52549"/>
    <w:rsid w:val="00B52571"/>
    <w:rsid w:val="00B52582"/>
    <w:rsid w:val="00B52590"/>
    <w:rsid w:val="00B525CD"/>
    <w:rsid w:val="00B52613"/>
    <w:rsid w:val="00B5265F"/>
    <w:rsid w:val="00B52696"/>
    <w:rsid w:val="00B52704"/>
    <w:rsid w:val="00B52706"/>
    <w:rsid w:val="00B5277C"/>
    <w:rsid w:val="00B52788"/>
    <w:rsid w:val="00B5278D"/>
    <w:rsid w:val="00B527AE"/>
    <w:rsid w:val="00B527C4"/>
    <w:rsid w:val="00B5285C"/>
    <w:rsid w:val="00B52868"/>
    <w:rsid w:val="00B528B3"/>
    <w:rsid w:val="00B528E8"/>
    <w:rsid w:val="00B528F4"/>
    <w:rsid w:val="00B52937"/>
    <w:rsid w:val="00B52946"/>
    <w:rsid w:val="00B529FB"/>
    <w:rsid w:val="00B52A5C"/>
    <w:rsid w:val="00B52A6D"/>
    <w:rsid w:val="00B52A99"/>
    <w:rsid w:val="00B52B05"/>
    <w:rsid w:val="00B52B15"/>
    <w:rsid w:val="00B52B25"/>
    <w:rsid w:val="00B52B48"/>
    <w:rsid w:val="00B52B51"/>
    <w:rsid w:val="00B52B6E"/>
    <w:rsid w:val="00B52BE7"/>
    <w:rsid w:val="00B52C37"/>
    <w:rsid w:val="00B52CC8"/>
    <w:rsid w:val="00B52CCF"/>
    <w:rsid w:val="00B52D07"/>
    <w:rsid w:val="00B52D43"/>
    <w:rsid w:val="00B52D68"/>
    <w:rsid w:val="00B52DA2"/>
    <w:rsid w:val="00B52E86"/>
    <w:rsid w:val="00B52EC0"/>
    <w:rsid w:val="00B52EC8"/>
    <w:rsid w:val="00B52F03"/>
    <w:rsid w:val="00B52F10"/>
    <w:rsid w:val="00B52F31"/>
    <w:rsid w:val="00B52F5A"/>
    <w:rsid w:val="00B52F7D"/>
    <w:rsid w:val="00B52FA6"/>
    <w:rsid w:val="00B52FA7"/>
    <w:rsid w:val="00B52FB4"/>
    <w:rsid w:val="00B52FB9"/>
    <w:rsid w:val="00B52FE5"/>
    <w:rsid w:val="00B53028"/>
    <w:rsid w:val="00B53029"/>
    <w:rsid w:val="00B5303C"/>
    <w:rsid w:val="00B53042"/>
    <w:rsid w:val="00B53050"/>
    <w:rsid w:val="00B530B9"/>
    <w:rsid w:val="00B530D2"/>
    <w:rsid w:val="00B5311F"/>
    <w:rsid w:val="00B53153"/>
    <w:rsid w:val="00B5324A"/>
    <w:rsid w:val="00B532E4"/>
    <w:rsid w:val="00B53344"/>
    <w:rsid w:val="00B5334E"/>
    <w:rsid w:val="00B533B4"/>
    <w:rsid w:val="00B53403"/>
    <w:rsid w:val="00B53416"/>
    <w:rsid w:val="00B53471"/>
    <w:rsid w:val="00B53478"/>
    <w:rsid w:val="00B534D0"/>
    <w:rsid w:val="00B53538"/>
    <w:rsid w:val="00B5358E"/>
    <w:rsid w:val="00B53687"/>
    <w:rsid w:val="00B536C8"/>
    <w:rsid w:val="00B536D6"/>
    <w:rsid w:val="00B537E8"/>
    <w:rsid w:val="00B537F5"/>
    <w:rsid w:val="00B53837"/>
    <w:rsid w:val="00B53863"/>
    <w:rsid w:val="00B538CC"/>
    <w:rsid w:val="00B538D4"/>
    <w:rsid w:val="00B538DC"/>
    <w:rsid w:val="00B5392C"/>
    <w:rsid w:val="00B5392F"/>
    <w:rsid w:val="00B53992"/>
    <w:rsid w:val="00B539E3"/>
    <w:rsid w:val="00B539FE"/>
    <w:rsid w:val="00B53A0E"/>
    <w:rsid w:val="00B53A8A"/>
    <w:rsid w:val="00B53A8C"/>
    <w:rsid w:val="00B53A9E"/>
    <w:rsid w:val="00B53AA5"/>
    <w:rsid w:val="00B53AB5"/>
    <w:rsid w:val="00B53AB9"/>
    <w:rsid w:val="00B53BA5"/>
    <w:rsid w:val="00B53BB5"/>
    <w:rsid w:val="00B53C2F"/>
    <w:rsid w:val="00B53C51"/>
    <w:rsid w:val="00B53C8F"/>
    <w:rsid w:val="00B53CB3"/>
    <w:rsid w:val="00B53CD9"/>
    <w:rsid w:val="00B53D02"/>
    <w:rsid w:val="00B53D32"/>
    <w:rsid w:val="00B53D40"/>
    <w:rsid w:val="00B53DFC"/>
    <w:rsid w:val="00B53DFD"/>
    <w:rsid w:val="00B53E10"/>
    <w:rsid w:val="00B53E2D"/>
    <w:rsid w:val="00B53E3D"/>
    <w:rsid w:val="00B53E67"/>
    <w:rsid w:val="00B53EA2"/>
    <w:rsid w:val="00B53EC5"/>
    <w:rsid w:val="00B53F2C"/>
    <w:rsid w:val="00B53F48"/>
    <w:rsid w:val="00B53F81"/>
    <w:rsid w:val="00B53F90"/>
    <w:rsid w:val="00B5401F"/>
    <w:rsid w:val="00B54053"/>
    <w:rsid w:val="00B5406F"/>
    <w:rsid w:val="00B54090"/>
    <w:rsid w:val="00B540B5"/>
    <w:rsid w:val="00B541EC"/>
    <w:rsid w:val="00B5426D"/>
    <w:rsid w:val="00B54270"/>
    <w:rsid w:val="00B5429D"/>
    <w:rsid w:val="00B542F6"/>
    <w:rsid w:val="00B54336"/>
    <w:rsid w:val="00B5433C"/>
    <w:rsid w:val="00B54359"/>
    <w:rsid w:val="00B543C4"/>
    <w:rsid w:val="00B543D6"/>
    <w:rsid w:val="00B54403"/>
    <w:rsid w:val="00B544F1"/>
    <w:rsid w:val="00B54505"/>
    <w:rsid w:val="00B54516"/>
    <w:rsid w:val="00B54536"/>
    <w:rsid w:val="00B54572"/>
    <w:rsid w:val="00B54592"/>
    <w:rsid w:val="00B545DC"/>
    <w:rsid w:val="00B545DD"/>
    <w:rsid w:val="00B54673"/>
    <w:rsid w:val="00B5468D"/>
    <w:rsid w:val="00B546A0"/>
    <w:rsid w:val="00B546B5"/>
    <w:rsid w:val="00B546C1"/>
    <w:rsid w:val="00B546C5"/>
    <w:rsid w:val="00B54729"/>
    <w:rsid w:val="00B54796"/>
    <w:rsid w:val="00B547B5"/>
    <w:rsid w:val="00B547BC"/>
    <w:rsid w:val="00B547C4"/>
    <w:rsid w:val="00B547EB"/>
    <w:rsid w:val="00B54819"/>
    <w:rsid w:val="00B5487C"/>
    <w:rsid w:val="00B54892"/>
    <w:rsid w:val="00B548B5"/>
    <w:rsid w:val="00B548DC"/>
    <w:rsid w:val="00B54901"/>
    <w:rsid w:val="00B54929"/>
    <w:rsid w:val="00B5496C"/>
    <w:rsid w:val="00B549A3"/>
    <w:rsid w:val="00B549AF"/>
    <w:rsid w:val="00B549DB"/>
    <w:rsid w:val="00B54AE9"/>
    <w:rsid w:val="00B54AFC"/>
    <w:rsid w:val="00B54B14"/>
    <w:rsid w:val="00B54B28"/>
    <w:rsid w:val="00B54BD1"/>
    <w:rsid w:val="00B54C83"/>
    <w:rsid w:val="00B54CA1"/>
    <w:rsid w:val="00B54CCD"/>
    <w:rsid w:val="00B54D3B"/>
    <w:rsid w:val="00B54D7B"/>
    <w:rsid w:val="00B54DF6"/>
    <w:rsid w:val="00B54E0D"/>
    <w:rsid w:val="00B54E3A"/>
    <w:rsid w:val="00B54EF0"/>
    <w:rsid w:val="00B54F05"/>
    <w:rsid w:val="00B54F26"/>
    <w:rsid w:val="00B54F3F"/>
    <w:rsid w:val="00B54F40"/>
    <w:rsid w:val="00B54F7D"/>
    <w:rsid w:val="00B54FFE"/>
    <w:rsid w:val="00B5501D"/>
    <w:rsid w:val="00B55028"/>
    <w:rsid w:val="00B5520C"/>
    <w:rsid w:val="00B5529A"/>
    <w:rsid w:val="00B552FA"/>
    <w:rsid w:val="00B5532B"/>
    <w:rsid w:val="00B55353"/>
    <w:rsid w:val="00B55392"/>
    <w:rsid w:val="00B553BA"/>
    <w:rsid w:val="00B553F5"/>
    <w:rsid w:val="00B55416"/>
    <w:rsid w:val="00B554C0"/>
    <w:rsid w:val="00B554E5"/>
    <w:rsid w:val="00B55516"/>
    <w:rsid w:val="00B55530"/>
    <w:rsid w:val="00B555A8"/>
    <w:rsid w:val="00B555E6"/>
    <w:rsid w:val="00B556D0"/>
    <w:rsid w:val="00B556DC"/>
    <w:rsid w:val="00B55720"/>
    <w:rsid w:val="00B55725"/>
    <w:rsid w:val="00B55734"/>
    <w:rsid w:val="00B55738"/>
    <w:rsid w:val="00B55742"/>
    <w:rsid w:val="00B557AE"/>
    <w:rsid w:val="00B557EE"/>
    <w:rsid w:val="00B55800"/>
    <w:rsid w:val="00B55813"/>
    <w:rsid w:val="00B55837"/>
    <w:rsid w:val="00B558A5"/>
    <w:rsid w:val="00B558AB"/>
    <w:rsid w:val="00B55917"/>
    <w:rsid w:val="00B5595A"/>
    <w:rsid w:val="00B559D7"/>
    <w:rsid w:val="00B559E8"/>
    <w:rsid w:val="00B55A1F"/>
    <w:rsid w:val="00B55A34"/>
    <w:rsid w:val="00B55A8E"/>
    <w:rsid w:val="00B55AD5"/>
    <w:rsid w:val="00B55B12"/>
    <w:rsid w:val="00B55B3A"/>
    <w:rsid w:val="00B55C00"/>
    <w:rsid w:val="00B55C08"/>
    <w:rsid w:val="00B55C7A"/>
    <w:rsid w:val="00B55CC7"/>
    <w:rsid w:val="00B55CDE"/>
    <w:rsid w:val="00B55CFB"/>
    <w:rsid w:val="00B55D0B"/>
    <w:rsid w:val="00B55D0D"/>
    <w:rsid w:val="00B55D72"/>
    <w:rsid w:val="00B55DAB"/>
    <w:rsid w:val="00B55DC2"/>
    <w:rsid w:val="00B55E02"/>
    <w:rsid w:val="00B55EB7"/>
    <w:rsid w:val="00B55ECC"/>
    <w:rsid w:val="00B55EF0"/>
    <w:rsid w:val="00B55F1C"/>
    <w:rsid w:val="00B55F42"/>
    <w:rsid w:val="00B55F6F"/>
    <w:rsid w:val="00B55F74"/>
    <w:rsid w:val="00B55F87"/>
    <w:rsid w:val="00B55F9B"/>
    <w:rsid w:val="00B55FE8"/>
    <w:rsid w:val="00B56027"/>
    <w:rsid w:val="00B5604B"/>
    <w:rsid w:val="00B56072"/>
    <w:rsid w:val="00B560B1"/>
    <w:rsid w:val="00B560CF"/>
    <w:rsid w:val="00B56174"/>
    <w:rsid w:val="00B56194"/>
    <w:rsid w:val="00B561B3"/>
    <w:rsid w:val="00B561DA"/>
    <w:rsid w:val="00B561E4"/>
    <w:rsid w:val="00B561F4"/>
    <w:rsid w:val="00B56207"/>
    <w:rsid w:val="00B56250"/>
    <w:rsid w:val="00B5625D"/>
    <w:rsid w:val="00B56262"/>
    <w:rsid w:val="00B562DF"/>
    <w:rsid w:val="00B5636C"/>
    <w:rsid w:val="00B56378"/>
    <w:rsid w:val="00B563DC"/>
    <w:rsid w:val="00B56480"/>
    <w:rsid w:val="00B56587"/>
    <w:rsid w:val="00B565A6"/>
    <w:rsid w:val="00B565B2"/>
    <w:rsid w:val="00B565F9"/>
    <w:rsid w:val="00B56632"/>
    <w:rsid w:val="00B566AC"/>
    <w:rsid w:val="00B56735"/>
    <w:rsid w:val="00B5675D"/>
    <w:rsid w:val="00B56785"/>
    <w:rsid w:val="00B567B6"/>
    <w:rsid w:val="00B56854"/>
    <w:rsid w:val="00B56866"/>
    <w:rsid w:val="00B56868"/>
    <w:rsid w:val="00B5688F"/>
    <w:rsid w:val="00B568D2"/>
    <w:rsid w:val="00B568F0"/>
    <w:rsid w:val="00B5693E"/>
    <w:rsid w:val="00B56970"/>
    <w:rsid w:val="00B569C5"/>
    <w:rsid w:val="00B569DA"/>
    <w:rsid w:val="00B56A30"/>
    <w:rsid w:val="00B56AE4"/>
    <w:rsid w:val="00B56B10"/>
    <w:rsid w:val="00B56B28"/>
    <w:rsid w:val="00B56B58"/>
    <w:rsid w:val="00B56B73"/>
    <w:rsid w:val="00B56BCB"/>
    <w:rsid w:val="00B56BD2"/>
    <w:rsid w:val="00B56BF5"/>
    <w:rsid w:val="00B56C55"/>
    <w:rsid w:val="00B56C63"/>
    <w:rsid w:val="00B56CB3"/>
    <w:rsid w:val="00B56D1C"/>
    <w:rsid w:val="00B56D2C"/>
    <w:rsid w:val="00B56D36"/>
    <w:rsid w:val="00B56D44"/>
    <w:rsid w:val="00B56D7F"/>
    <w:rsid w:val="00B56D84"/>
    <w:rsid w:val="00B56DC7"/>
    <w:rsid w:val="00B56DCF"/>
    <w:rsid w:val="00B56E44"/>
    <w:rsid w:val="00B56E7D"/>
    <w:rsid w:val="00B56EA1"/>
    <w:rsid w:val="00B56F1C"/>
    <w:rsid w:val="00B56F5C"/>
    <w:rsid w:val="00B56FF4"/>
    <w:rsid w:val="00B57020"/>
    <w:rsid w:val="00B57053"/>
    <w:rsid w:val="00B570D7"/>
    <w:rsid w:val="00B5716F"/>
    <w:rsid w:val="00B571FC"/>
    <w:rsid w:val="00B57264"/>
    <w:rsid w:val="00B57302"/>
    <w:rsid w:val="00B5731A"/>
    <w:rsid w:val="00B57345"/>
    <w:rsid w:val="00B57412"/>
    <w:rsid w:val="00B574E0"/>
    <w:rsid w:val="00B57536"/>
    <w:rsid w:val="00B5754E"/>
    <w:rsid w:val="00B57558"/>
    <w:rsid w:val="00B57563"/>
    <w:rsid w:val="00B5757F"/>
    <w:rsid w:val="00B5759B"/>
    <w:rsid w:val="00B5759F"/>
    <w:rsid w:val="00B575AE"/>
    <w:rsid w:val="00B575C7"/>
    <w:rsid w:val="00B575D3"/>
    <w:rsid w:val="00B5761A"/>
    <w:rsid w:val="00B576D2"/>
    <w:rsid w:val="00B5779A"/>
    <w:rsid w:val="00B577FE"/>
    <w:rsid w:val="00B57806"/>
    <w:rsid w:val="00B57894"/>
    <w:rsid w:val="00B57898"/>
    <w:rsid w:val="00B578AD"/>
    <w:rsid w:val="00B5791B"/>
    <w:rsid w:val="00B57927"/>
    <w:rsid w:val="00B5792E"/>
    <w:rsid w:val="00B57966"/>
    <w:rsid w:val="00B5798A"/>
    <w:rsid w:val="00B579F0"/>
    <w:rsid w:val="00B57A09"/>
    <w:rsid w:val="00B57A5E"/>
    <w:rsid w:val="00B57AA9"/>
    <w:rsid w:val="00B57B99"/>
    <w:rsid w:val="00B57BCB"/>
    <w:rsid w:val="00B57CBB"/>
    <w:rsid w:val="00B57D09"/>
    <w:rsid w:val="00B57D90"/>
    <w:rsid w:val="00B57DA8"/>
    <w:rsid w:val="00B57E4C"/>
    <w:rsid w:val="00B57F28"/>
    <w:rsid w:val="00B57F96"/>
    <w:rsid w:val="00B57FA6"/>
    <w:rsid w:val="00B57FC2"/>
    <w:rsid w:val="00B57FC9"/>
    <w:rsid w:val="00B5B44F"/>
    <w:rsid w:val="00B60020"/>
    <w:rsid w:val="00B60036"/>
    <w:rsid w:val="00B60076"/>
    <w:rsid w:val="00B600DB"/>
    <w:rsid w:val="00B60142"/>
    <w:rsid w:val="00B601AA"/>
    <w:rsid w:val="00B601E6"/>
    <w:rsid w:val="00B6020A"/>
    <w:rsid w:val="00B60210"/>
    <w:rsid w:val="00B60296"/>
    <w:rsid w:val="00B602A9"/>
    <w:rsid w:val="00B602BD"/>
    <w:rsid w:val="00B602D8"/>
    <w:rsid w:val="00B602DA"/>
    <w:rsid w:val="00B60345"/>
    <w:rsid w:val="00B60375"/>
    <w:rsid w:val="00B604C3"/>
    <w:rsid w:val="00B604C4"/>
    <w:rsid w:val="00B604E4"/>
    <w:rsid w:val="00B60551"/>
    <w:rsid w:val="00B605D9"/>
    <w:rsid w:val="00B605E0"/>
    <w:rsid w:val="00B60613"/>
    <w:rsid w:val="00B6062D"/>
    <w:rsid w:val="00B60667"/>
    <w:rsid w:val="00B6068D"/>
    <w:rsid w:val="00B606F1"/>
    <w:rsid w:val="00B6070B"/>
    <w:rsid w:val="00B6070F"/>
    <w:rsid w:val="00B6071E"/>
    <w:rsid w:val="00B60724"/>
    <w:rsid w:val="00B6074E"/>
    <w:rsid w:val="00B6075D"/>
    <w:rsid w:val="00B607A7"/>
    <w:rsid w:val="00B608DE"/>
    <w:rsid w:val="00B60904"/>
    <w:rsid w:val="00B6093B"/>
    <w:rsid w:val="00B6093E"/>
    <w:rsid w:val="00B60941"/>
    <w:rsid w:val="00B609A1"/>
    <w:rsid w:val="00B609A3"/>
    <w:rsid w:val="00B60A02"/>
    <w:rsid w:val="00B60A6B"/>
    <w:rsid w:val="00B60A75"/>
    <w:rsid w:val="00B60ADE"/>
    <w:rsid w:val="00B60B0A"/>
    <w:rsid w:val="00B60BBA"/>
    <w:rsid w:val="00B60C49"/>
    <w:rsid w:val="00B60C72"/>
    <w:rsid w:val="00B60CA6"/>
    <w:rsid w:val="00B60D01"/>
    <w:rsid w:val="00B60D02"/>
    <w:rsid w:val="00B60D68"/>
    <w:rsid w:val="00B60D71"/>
    <w:rsid w:val="00B60DC1"/>
    <w:rsid w:val="00B60DE4"/>
    <w:rsid w:val="00B60EB0"/>
    <w:rsid w:val="00B60F0F"/>
    <w:rsid w:val="00B60F24"/>
    <w:rsid w:val="00B60F57"/>
    <w:rsid w:val="00B60F7D"/>
    <w:rsid w:val="00B61006"/>
    <w:rsid w:val="00B6104E"/>
    <w:rsid w:val="00B61056"/>
    <w:rsid w:val="00B6106A"/>
    <w:rsid w:val="00B61194"/>
    <w:rsid w:val="00B611BF"/>
    <w:rsid w:val="00B611DD"/>
    <w:rsid w:val="00B612E0"/>
    <w:rsid w:val="00B6131F"/>
    <w:rsid w:val="00B61382"/>
    <w:rsid w:val="00B61389"/>
    <w:rsid w:val="00B6138E"/>
    <w:rsid w:val="00B613A1"/>
    <w:rsid w:val="00B613C8"/>
    <w:rsid w:val="00B613CB"/>
    <w:rsid w:val="00B613D4"/>
    <w:rsid w:val="00B613DC"/>
    <w:rsid w:val="00B61401"/>
    <w:rsid w:val="00B6141D"/>
    <w:rsid w:val="00B61434"/>
    <w:rsid w:val="00B6143B"/>
    <w:rsid w:val="00B61481"/>
    <w:rsid w:val="00B614B0"/>
    <w:rsid w:val="00B6150C"/>
    <w:rsid w:val="00B61513"/>
    <w:rsid w:val="00B6151A"/>
    <w:rsid w:val="00B615FC"/>
    <w:rsid w:val="00B61659"/>
    <w:rsid w:val="00B61686"/>
    <w:rsid w:val="00B616CC"/>
    <w:rsid w:val="00B616F4"/>
    <w:rsid w:val="00B61718"/>
    <w:rsid w:val="00B617DE"/>
    <w:rsid w:val="00B617EC"/>
    <w:rsid w:val="00B6181C"/>
    <w:rsid w:val="00B61890"/>
    <w:rsid w:val="00B6189D"/>
    <w:rsid w:val="00B618C0"/>
    <w:rsid w:val="00B618C7"/>
    <w:rsid w:val="00B6190B"/>
    <w:rsid w:val="00B61978"/>
    <w:rsid w:val="00B619AD"/>
    <w:rsid w:val="00B619CB"/>
    <w:rsid w:val="00B61A24"/>
    <w:rsid w:val="00B61A51"/>
    <w:rsid w:val="00B61AB5"/>
    <w:rsid w:val="00B61B9C"/>
    <w:rsid w:val="00B61BC4"/>
    <w:rsid w:val="00B61BF4"/>
    <w:rsid w:val="00B61C5E"/>
    <w:rsid w:val="00B61C99"/>
    <w:rsid w:val="00B61CAD"/>
    <w:rsid w:val="00B61CB2"/>
    <w:rsid w:val="00B61CDF"/>
    <w:rsid w:val="00B61CE3"/>
    <w:rsid w:val="00B61D0C"/>
    <w:rsid w:val="00B61D0E"/>
    <w:rsid w:val="00B61D0F"/>
    <w:rsid w:val="00B61D42"/>
    <w:rsid w:val="00B61D73"/>
    <w:rsid w:val="00B61D85"/>
    <w:rsid w:val="00B61DB7"/>
    <w:rsid w:val="00B61DF1"/>
    <w:rsid w:val="00B61E08"/>
    <w:rsid w:val="00B61E0F"/>
    <w:rsid w:val="00B61EB4"/>
    <w:rsid w:val="00B61F2B"/>
    <w:rsid w:val="00B61F30"/>
    <w:rsid w:val="00B61F94"/>
    <w:rsid w:val="00B61F98"/>
    <w:rsid w:val="00B6200C"/>
    <w:rsid w:val="00B6213B"/>
    <w:rsid w:val="00B62173"/>
    <w:rsid w:val="00B621FF"/>
    <w:rsid w:val="00B6223D"/>
    <w:rsid w:val="00B62241"/>
    <w:rsid w:val="00B62256"/>
    <w:rsid w:val="00B623F6"/>
    <w:rsid w:val="00B62413"/>
    <w:rsid w:val="00B6246C"/>
    <w:rsid w:val="00B6248F"/>
    <w:rsid w:val="00B62493"/>
    <w:rsid w:val="00B6249D"/>
    <w:rsid w:val="00B624E0"/>
    <w:rsid w:val="00B62539"/>
    <w:rsid w:val="00B62556"/>
    <w:rsid w:val="00B62597"/>
    <w:rsid w:val="00B625B4"/>
    <w:rsid w:val="00B625F6"/>
    <w:rsid w:val="00B62605"/>
    <w:rsid w:val="00B6261C"/>
    <w:rsid w:val="00B62673"/>
    <w:rsid w:val="00B62681"/>
    <w:rsid w:val="00B62697"/>
    <w:rsid w:val="00B6269E"/>
    <w:rsid w:val="00B626A1"/>
    <w:rsid w:val="00B626C2"/>
    <w:rsid w:val="00B626D2"/>
    <w:rsid w:val="00B626E4"/>
    <w:rsid w:val="00B626E6"/>
    <w:rsid w:val="00B6270A"/>
    <w:rsid w:val="00B6270E"/>
    <w:rsid w:val="00B627C6"/>
    <w:rsid w:val="00B62828"/>
    <w:rsid w:val="00B6295F"/>
    <w:rsid w:val="00B62A2F"/>
    <w:rsid w:val="00B62A90"/>
    <w:rsid w:val="00B62AE6"/>
    <w:rsid w:val="00B62B2A"/>
    <w:rsid w:val="00B62B4C"/>
    <w:rsid w:val="00B62B9C"/>
    <w:rsid w:val="00B62BA8"/>
    <w:rsid w:val="00B62BB3"/>
    <w:rsid w:val="00B62C3F"/>
    <w:rsid w:val="00B62C5C"/>
    <w:rsid w:val="00B62C6A"/>
    <w:rsid w:val="00B62C85"/>
    <w:rsid w:val="00B62D2A"/>
    <w:rsid w:val="00B62D3D"/>
    <w:rsid w:val="00B62DCE"/>
    <w:rsid w:val="00B62E1F"/>
    <w:rsid w:val="00B62E3A"/>
    <w:rsid w:val="00B62E67"/>
    <w:rsid w:val="00B62EBD"/>
    <w:rsid w:val="00B62ED8"/>
    <w:rsid w:val="00B62EDD"/>
    <w:rsid w:val="00B62EF3"/>
    <w:rsid w:val="00B62F01"/>
    <w:rsid w:val="00B62F11"/>
    <w:rsid w:val="00B62F26"/>
    <w:rsid w:val="00B62F61"/>
    <w:rsid w:val="00B62F75"/>
    <w:rsid w:val="00B6300C"/>
    <w:rsid w:val="00B63025"/>
    <w:rsid w:val="00B6302A"/>
    <w:rsid w:val="00B63089"/>
    <w:rsid w:val="00B630ED"/>
    <w:rsid w:val="00B6311B"/>
    <w:rsid w:val="00B6315D"/>
    <w:rsid w:val="00B63177"/>
    <w:rsid w:val="00B631DE"/>
    <w:rsid w:val="00B631F7"/>
    <w:rsid w:val="00B63249"/>
    <w:rsid w:val="00B63257"/>
    <w:rsid w:val="00B6325D"/>
    <w:rsid w:val="00B63268"/>
    <w:rsid w:val="00B63287"/>
    <w:rsid w:val="00B632EC"/>
    <w:rsid w:val="00B63311"/>
    <w:rsid w:val="00B63316"/>
    <w:rsid w:val="00B63350"/>
    <w:rsid w:val="00B63357"/>
    <w:rsid w:val="00B6336E"/>
    <w:rsid w:val="00B6339C"/>
    <w:rsid w:val="00B633C3"/>
    <w:rsid w:val="00B633C8"/>
    <w:rsid w:val="00B633CA"/>
    <w:rsid w:val="00B63405"/>
    <w:rsid w:val="00B63479"/>
    <w:rsid w:val="00B63495"/>
    <w:rsid w:val="00B634FF"/>
    <w:rsid w:val="00B6355F"/>
    <w:rsid w:val="00B63589"/>
    <w:rsid w:val="00B6359C"/>
    <w:rsid w:val="00B635C5"/>
    <w:rsid w:val="00B635CE"/>
    <w:rsid w:val="00B635E5"/>
    <w:rsid w:val="00B635F8"/>
    <w:rsid w:val="00B63633"/>
    <w:rsid w:val="00B63651"/>
    <w:rsid w:val="00B63712"/>
    <w:rsid w:val="00B63730"/>
    <w:rsid w:val="00B63774"/>
    <w:rsid w:val="00B637B3"/>
    <w:rsid w:val="00B637BD"/>
    <w:rsid w:val="00B6383E"/>
    <w:rsid w:val="00B638CB"/>
    <w:rsid w:val="00B638CF"/>
    <w:rsid w:val="00B63905"/>
    <w:rsid w:val="00B63926"/>
    <w:rsid w:val="00B6397B"/>
    <w:rsid w:val="00B6398B"/>
    <w:rsid w:val="00B6399C"/>
    <w:rsid w:val="00B63A94"/>
    <w:rsid w:val="00B63AB2"/>
    <w:rsid w:val="00B63BE5"/>
    <w:rsid w:val="00B63BEF"/>
    <w:rsid w:val="00B63C07"/>
    <w:rsid w:val="00B63C67"/>
    <w:rsid w:val="00B63CBB"/>
    <w:rsid w:val="00B63CF9"/>
    <w:rsid w:val="00B63D48"/>
    <w:rsid w:val="00B63E7D"/>
    <w:rsid w:val="00B63EAC"/>
    <w:rsid w:val="00B63F33"/>
    <w:rsid w:val="00B63F93"/>
    <w:rsid w:val="00B63FDC"/>
    <w:rsid w:val="00B6401F"/>
    <w:rsid w:val="00B6407A"/>
    <w:rsid w:val="00B64109"/>
    <w:rsid w:val="00B64138"/>
    <w:rsid w:val="00B6416F"/>
    <w:rsid w:val="00B64170"/>
    <w:rsid w:val="00B641C8"/>
    <w:rsid w:val="00B641CF"/>
    <w:rsid w:val="00B6428D"/>
    <w:rsid w:val="00B643A7"/>
    <w:rsid w:val="00B643A9"/>
    <w:rsid w:val="00B643FE"/>
    <w:rsid w:val="00B6444B"/>
    <w:rsid w:val="00B64451"/>
    <w:rsid w:val="00B6446C"/>
    <w:rsid w:val="00B644EF"/>
    <w:rsid w:val="00B644FB"/>
    <w:rsid w:val="00B64560"/>
    <w:rsid w:val="00B6456F"/>
    <w:rsid w:val="00B64573"/>
    <w:rsid w:val="00B64589"/>
    <w:rsid w:val="00B6459E"/>
    <w:rsid w:val="00B645EB"/>
    <w:rsid w:val="00B64663"/>
    <w:rsid w:val="00B64676"/>
    <w:rsid w:val="00B647AA"/>
    <w:rsid w:val="00B647CD"/>
    <w:rsid w:val="00B647F2"/>
    <w:rsid w:val="00B6481B"/>
    <w:rsid w:val="00B64845"/>
    <w:rsid w:val="00B6485C"/>
    <w:rsid w:val="00B6487E"/>
    <w:rsid w:val="00B648C6"/>
    <w:rsid w:val="00B648F0"/>
    <w:rsid w:val="00B64917"/>
    <w:rsid w:val="00B6493A"/>
    <w:rsid w:val="00B64967"/>
    <w:rsid w:val="00B64975"/>
    <w:rsid w:val="00B64982"/>
    <w:rsid w:val="00B64988"/>
    <w:rsid w:val="00B649F2"/>
    <w:rsid w:val="00B64A3B"/>
    <w:rsid w:val="00B64A8E"/>
    <w:rsid w:val="00B64AE8"/>
    <w:rsid w:val="00B64B52"/>
    <w:rsid w:val="00B64BCC"/>
    <w:rsid w:val="00B64BDE"/>
    <w:rsid w:val="00B64C2A"/>
    <w:rsid w:val="00B64C4C"/>
    <w:rsid w:val="00B64C55"/>
    <w:rsid w:val="00B64CB9"/>
    <w:rsid w:val="00B64D3E"/>
    <w:rsid w:val="00B64D79"/>
    <w:rsid w:val="00B64E5C"/>
    <w:rsid w:val="00B64E7D"/>
    <w:rsid w:val="00B64E8C"/>
    <w:rsid w:val="00B64EDC"/>
    <w:rsid w:val="00B64EED"/>
    <w:rsid w:val="00B64F16"/>
    <w:rsid w:val="00B64F3D"/>
    <w:rsid w:val="00B64F61"/>
    <w:rsid w:val="00B64FBB"/>
    <w:rsid w:val="00B65007"/>
    <w:rsid w:val="00B65052"/>
    <w:rsid w:val="00B650EF"/>
    <w:rsid w:val="00B65108"/>
    <w:rsid w:val="00B6518E"/>
    <w:rsid w:val="00B651AF"/>
    <w:rsid w:val="00B651C3"/>
    <w:rsid w:val="00B65207"/>
    <w:rsid w:val="00B6521D"/>
    <w:rsid w:val="00B6528B"/>
    <w:rsid w:val="00B652B5"/>
    <w:rsid w:val="00B652ED"/>
    <w:rsid w:val="00B65355"/>
    <w:rsid w:val="00B6535E"/>
    <w:rsid w:val="00B65369"/>
    <w:rsid w:val="00B65375"/>
    <w:rsid w:val="00B6538B"/>
    <w:rsid w:val="00B653BE"/>
    <w:rsid w:val="00B653D9"/>
    <w:rsid w:val="00B654A1"/>
    <w:rsid w:val="00B654D6"/>
    <w:rsid w:val="00B65525"/>
    <w:rsid w:val="00B655B4"/>
    <w:rsid w:val="00B6560C"/>
    <w:rsid w:val="00B65623"/>
    <w:rsid w:val="00B6567E"/>
    <w:rsid w:val="00B656F0"/>
    <w:rsid w:val="00B65744"/>
    <w:rsid w:val="00B657B9"/>
    <w:rsid w:val="00B657E3"/>
    <w:rsid w:val="00B657E5"/>
    <w:rsid w:val="00B65818"/>
    <w:rsid w:val="00B65858"/>
    <w:rsid w:val="00B65874"/>
    <w:rsid w:val="00B65878"/>
    <w:rsid w:val="00B6589C"/>
    <w:rsid w:val="00B6590A"/>
    <w:rsid w:val="00B65927"/>
    <w:rsid w:val="00B659A0"/>
    <w:rsid w:val="00B659A9"/>
    <w:rsid w:val="00B659CD"/>
    <w:rsid w:val="00B65A00"/>
    <w:rsid w:val="00B65A1E"/>
    <w:rsid w:val="00B65A55"/>
    <w:rsid w:val="00B65A86"/>
    <w:rsid w:val="00B65AAE"/>
    <w:rsid w:val="00B65AD2"/>
    <w:rsid w:val="00B65ADE"/>
    <w:rsid w:val="00B65B4C"/>
    <w:rsid w:val="00B65BB7"/>
    <w:rsid w:val="00B65BE7"/>
    <w:rsid w:val="00B65C37"/>
    <w:rsid w:val="00B65C44"/>
    <w:rsid w:val="00B65C5C"/>
    <w:rsid w:val="00B65C7B"/>
    <w:rsid w:val="00B65C86"/>
    <w:rsid w:val="00B65CA8"/>
    <w:rsid w:val="00B65CCB"/>
    <w:rsid w:val="00B65CCC"/>
    <w:rsid w:val="00B65CDF"/>
    <w:rsid w:val="00B65D27"/>
    <w:rsid w:val="00B65D29"/>
    <w:rsid w:val="00B65D4C"/>
    <w:rsid w:val="00B65D82"/>
    <w:rsid w:val="00B65D90"/>
    <w:rsid w:val="00B65DA7"/>
    <w:rsid w:val="00B65DD0"/>
    <w:rsid w:val="00B65DFC"/>
    <w:rsid w:val="00B65E03"/>
    <w:rsid w:val="00B65E4B"/>
    <w:rsid w:val="00B65F01"/>
    <w:rsid w:val="00B65F02"/>
    <w:rsid w:val="00B65F08"/>
    <w:rsid w:val="00B65F7F"/>
    <w:rsid w:val="00B66071"/>
    <w:rsid w:val="00B6608F"/>
    <w:rsid w:val="00B66127"/>
    <w:rsid w:val="00B66129"/>
    <w:rsid w:val="00B661BB"/>
    <w:rsid w:val="00B66259"/>
    <w:rsid w:val="00B6625E"/>
    <w:rsid w:val="00B6627C"/>
    <w:rsid w:val="00B662B3"/>
    <w:rsid w:val="00B662C9"/>
    <w:rsid w:val="00B662ED"/>
    <w:rsid w:val="00B662EF"/>
    <w:rsid w:val="00B6630A"/>
    <w:rsid w:val="00B663D8"/>
    <w:rsid w:val="00B663F6"/>
    <w:rsid w:val="00B66441"/>
    <w:rsid w:val="00B66482"/>
    <w:rsid w:val="00B6656B"/>
    <w:rsid w:val="00B66588"/>
    <w:rsid w:val="00B66631"/>
    <w:rsid w:val="00B66664"/>
    <w:rsid w:val="00B666B9"/>
    <w:rsid w:val="00B666C8"/>
    <w:rsid w:val="00B66744"/>
    <w:rsid w:val="00B66749"/>
    <w:rsid w:val="00B6674B"/>
    <w:rsid w:val="00B6676D"/>
    <w:rsid w:val="00B66793"/>
    <w:rsid w:val="00B6679A"/>
    <w:rsid w:val="00B667D1"/>
    <w:rsid w:val="00B667F3"/>
    <w:rsid w:val="00B6686D"/>
    <w:rsid w:val="00B66880"/>
    <w:rsid w:val="00B668AF"/>
    <w:rsid w:val="00B668DC"/>
    <w:rsid w:val="00B6690F"/>
    <w:rsid w:val="00B66914"/>
    <w:rsid w:val="00B6695A"/>
    <w:rsid w:val="00B66977"/>
    <w:rsid w:val="00B66996"/>
    <w:rsid w:val="00B669AA"/>
    <w:rsid w:val="00B66A00"/>
    <w:rsid w:val="00B66A78"/>
    <w:rsid w:val="00B66B77"/>
    <w:rsid w:val="00B66B9B"/>
    <w:rsid w:val="00B66BA8"/>
    <w:rsid w:val="00B66BC9"/>
    <w:rsid w:val="00B66C2B"/>
    <w:rsid w:val="00B66C2C"/>
    <w:rsid w:val="00B66C40"/>
    <w:rsid w:val="00B66C4C"/>
    <w:rsid w:val="00B66CC2"/>
    <w:rsid w:val="00B66CD1"/>
    <w:rsid w:val="00B66D18"/>
    <w:rsid w:val="00B66D71"/>
    <w:rsid w:val="00B66E09"/>
    <w:rsid w:val="00B66E2B"/>
    <w:rsid w:val="00B66E2C"/>
    <w:rsid w:val="00B66E59"/>
    <w:rsid w:val="00B66EBD"/>
    <w:rsid w:val="00B66EFF"/>
    <w:rsid w:val="00B66F19"/>
    <w:rsid w:val="00B67000"/>
    <w:rsid w:val="00B67046"/>
    <w:rsid w:val="00B6704A"/>
    <w:rsid w:val="00B67066"/>
    <w:rsid w:val="00B67092"/>
    <w:rsid w:val="00B670B1"/>
    <w:rsid w:val="00B67112"/>
    <w:rsid w:val="00B67185"/>
    <w:rsid w:val="00B6718F"/>
    <w:rsid w:val="00B671E2"/>
    <w:rsid w:val="00B671EA"/>
    <w:rsid w:val="00B67205"/>
    <w:rsid w:val="00B67221"/>
    <w:rsid w:val="00B67233"/>
    <w:rsid w:val="00B67296"/>
    <w:rsid w:val="00B673B8"/>
    <w:rsid w:val="00B673BD"/>
    <w:rsid w:val="00B673D0"/>
    <w:rsid w:val="00B673DA"/>
    <w:rsid w:val="00B6747A"/>
    <w:rsid w:val="00B6747F"/>
    <w:rsid w:val="00B674DF"/>
    <w:rsid w:val="00B6753E"/>
    <w:rsid w:val="00B6755B"/>
    <w:rsid w:val="00B67625"/>
    <w:rsid w:val="00B676CC"/>
    <w:rsid w:val="00B67704"/>
    <w:rsid w:val="00B677AE"/>
    <w:rsid w:val="00B677C1"/>
    <w:rsid w:val="00B677DA"/>
    <w:rsid w:val="00B677E6"/>
    <w:rsid w:val="00B677FD"/>
    <w:rsid w:val="00B67813"/>
    <w:rsid w:val="00B67870"/>
    <w:rsid w:val="00B67882"/>
    <w:rsid w:val="00B6789A"/>
    <w:rsid w:val="00B678BE"/>
    <w:rsid w:val="00B678D5"/>
    <w:rsid w:val="00B6790E"/>
    <w:rsid w:val="00B67959"/>
    <w:rsid w:val="00B67965"/>
    <w:rsid w:val="00B679C8"/>
    <w:rsid w:val="00B679EA"/>
    <w:rsid w:val="00B67ABE"/>
    <w:rsid w:val="00B67BB1"/>
    <w:rsid w:val="00B67C1A"/>
    <w:rsid w:val="00B67C32"/>
    <w:rsid w:val="00B67C56"/>
    <w:rsid w:val="00B67C8A"/>
    <w:rsid w:val="00B67CDD"/>
    <w:rsid w:val="00B67D71"/>
    <w:rsid w:val="00B67D72"/>
    <w:rsid w:val="00B67D87"/>
    <w:rsid w:val="00B67DB4"/>
    <w:rsid w:val="00B67E0E"/>
    <w:rsid w:val="00B67E10"/>
    <w:rsid w:val="00B67E8F"/>
    <w:rsid w:val="00B67F59"/>
    <w:rsid w:val="00B67F5F"/>
    <w:rsid w:val="00B67F6C"/>
    <w:rsid w:val="00B67FC1"/>
    <w:rsid w:val="00B67FCE"/>
    <w:rsid w:val="00B67FE0"/>
    <w:rsid w:val="00B6A247"/>
    <w:rsid w:val="00B6CA2A"/>
    <w:rsid w:val="00B7001D"/>
    <w:rsid w:val="00B70034"/>
    <w:rsid w:val="00B7003D"/>
    <w:rsid w:val="00B70056"/>
    <w:rsid w:val="00B70068"/>
    <w:rsid w:val="00B700FE"/>
    <w:rsid w:val="00B7017E"/>
    <w:rsid w:val="00B701BA"/>
    <w:rsid w:val="00B70281"/>
    <w:rsid w:val="00B70344"/>
    <w:rsid w:val="00B7035A"/>
    <w:rsid w:val="00B70363"/>
    <w:rsid w:val="00B703DF"/>
    <w:rsid w:val="00B703FF"/>
    <w:rsid w:val="00B70406"/>
    <w:rsid w:val="00B7043D"/>
    <w:rsid w:val="00B7045F"/>
    <w:rsid w:val="00B70468"/>
    <w:rsid w:val="00B704A5"/>
    <w:rsid w:val="00B704B9"/>
    <w:rsid w:val="00B704C9"/>
    <w:rsid w:val="00B7051F"/>
    <w:rsid w:val="00B705F9"/>
    <w:rsid w:val="00B706C7"/>
    <w:rsid w:val="00B70718"/>
    <w:rsid w:val="00B70730"/>
    <w:rsid w:val="00B7074E"/>
    <w:rsid w:val="00B70766"/>
    <w:rsid w:val="00B7078A"/>
    <w:rsid w:val="00B7078D"/>
    <w:rsid w:val="00B7079E"/>
    <w:rsid w:val="00B707D9"/>
    <w:rsid w:val="00B7082D"/>
    <w:rsid w:val="00B7088E"/>
    <w:rsid w:val="00B708C9"/>
    <w:rsid w:val="00B70915"/>
    <w:rsid w:val="00B70A33"/>
    <w:rsid w:val="00B70A51"/>
    <w:rsid w:val="00B70B7A"/>
    <w:rsid w:val="00B70C06"/>
    <w:rsid w:val="00B70D1F"/>
    <w:rsid w:val="00B70D27"/>
    <w:rsid w:val="00B70D2B"/>
    <w:rsid w:val="00B70D3A"/>
    <w:rsid w:val="00B70D4A"/>
    <w:rsid w:val="00B70D5F"/>
    <w:rsid w:val="00B70D7F"/>
    <w:rsid w:val="00B70DF5"/>
    <w:rsid w:val="00B70DF6"/>
    <w:rsid w:val="00B70E86"/>
    <w:rsid w:val="00B70F05"/>
    <w:rsid w:val="00B70FFA"/>
    <w:rsid w:val="00B71008"/>
    <w:rsid w:val="00B710B5"/>
    <w:rsid w:val="00B71109"/>
    <w:rsid w:val="00B71132"/>
    <w:rsid w:val="00B7117D"/>
    <w:rsid w:val="00B711A7"/>
    <w:rsid w:val="00B711FD"/>
    <w:rsid w:val="00B7120F"/>
    <w:rsid w:val="00B7127E"/>
    <w:rsid w:val="00B71299"/>
    <w:rsid w:val="00B7133E"/>
    <w:rsid w:val="00B71354"/>
    <w:rsid w:val="00B71355"/>
    <w:rsid w:val="00B7135A"/>
    <w:rsid w:val="00B713CC"/>
    <w:rsid w:val="00B713CE"/>
    <w:rsid w:val="00B713E4"/>
    <w:rsid w:val="00B7142D"/>
    <w:rsid w:val="00B71454"/>
    <w:rsid w:val="00B71490"/>
    <w:rsid w:val="00B714AC"/>
    <w:rsid w:val="00B714C2"/>
    <w:rsid w:val="00B71507"/>
    <w:rsid w:val="00B7152E"/>
    <w:rsid w:val="00B7154D"/>
    <w:rsid w:val="00B7159E"/>
    <w:rsid w:val="00B715A9"/>
    <w:rsid w:val="00B71610"/>
    <w:rsid w:val="00B716D0"/>
    <w:rsid w:val="00B71750"/>
    <w:rsid w:val="00B71765"/>
    <w:rsid w:val="00B717A3"/>
    <w:rsid w:val="00B717DB"/>
    <w:rsid w:val="00B717E1"/>
    <w:rsid w:val="00B7184F"/>
    <w:rsid w:val="00B718BB"/>
    <w:rsid w:val="00B718F5"/>
    <w:rsid w:val="00B71918"/>
    <w:rsid w:val="00B7197C"/>
    <w:rsid w:val="00B719C3"/>
    <w:rsid w:val="00B719E7"/>
    <w:rsid w:val="00B71AB0"/>
    <w:rsid w:val="00B71B38"/>
    <w:rsid w:val="00B71BA9"/>
    <w:rsid w:val="00B71BD3"/>
    <w:rsid w:val="00B71BFE"/>
    <w:rsid w:val="00B71C02"/>
    <w:rsid w:val="00B71C35"/>
    <w:rsid w:val="00B71C41"/>
    <w:rsid w:val="00B71D95"/>
    <w:rsid w:val="00B71E15"/>
    <w:rsid w:val="00B71E9B"/>
    <w:rsid w:val="00B71F20"/>
    <w:rsid w:val="00B71F25"/>
    <w:rsid w:val="00B71F5A"/>
    <w:rsid w:val="00B71F8E"/>
    <w:rsid w:val="00B71F9C"/>
    <w:rsid w:val="00B71FAE"/>
    <w:rsid w:val="00B71FC2"/>
    <w:rsid w:val="00B72079"/>
    <w:rsid w:val="00B7211C"/>
    <w:rsid w:val="00B7219C"/>
    <w:rsid w:val="00B7219D"/>
    <w:rsid w:val="00B721BF"/>
    <w:rsid w:val="00B721CF"/>
    <w:rsid w:val="00B72255"/>
    <w:rsid w:val="00B72275"/>
    <w:rsid w:val="00B7232F"/>
    <w:rsid w:val="00B7233E"/>
    <w:rsid w:val="00B72365"/>
    <w:rsid w:val="00B7236E"/>
    <w:rsid w:val="00B7239B"/>
    <w:rsid w:val="00B72405"/>
    <w:rsid w:val="00B7244C"/>
    <w:rsid w:val="00B7252E"/>
    <w:rsid w:val="00B72566"/>
    <w:rsid w:val="00B725A1"/>
    <w:rsid w:val="00B725A4"/>
    <w:rsid w:val="00B725CF"/>
    <w:rsid w:val="00B725D3"/>
    <w:rsid w:val="00B725FD"/>
    <w:rsid w:val="00B72618"/>
    <w:rsid w:val="00B726B8"/>
    <w:rsid w:val="00B726C0"/>
    <w:rsid w:val="00B726D7"/>
    <w:rsid w:val="00B7272A"/>
    <w:rsid w:val="00B7272E"/>
    <w:rsid w:val="00B727DB"/>
    <w:rsid w:val="00B727EA"/>
    <w:rsid w:val="00B727EB"/>
    <w:rsid w:val="00B72817"/>
    <w:rsid w:val="00B72872"/>
    <w:rsid w:val="00B728FE"/>
    <w:rsid w:val="00B729CD"/>
    <w:rsid w:val="00B72A4F"/>
    <w:rsid w:val="00B72B05"/>
    <w:rsid w:val="00B72B53"/>
    <w:rsid w:val="00B72B6C"/>
    <w:rsid w:val="00B72B8D"/>
    <w:rsid w:val="00B72BD4"/>
    <w:rsid w:val="00B72C5C"/>
    <w:rsid w:val="00B72C72"/>
    <w:rsid w:val="00B72C97"/>
    <w:rsid w:val="00B72D4B"/>
    <w:rsid w:val="00B72D5C"/>
    <w:rsid w:val="00B72DD0"/>
    <w:rsid w:val="00B72DE2"/>
    <w:rsid w:val="00B72E3A"/>
    <w:rsid w:val="00B72EB3"/>
    <w:rsid w:val="00B72EB5"/>
    <w:rsid w:val="00B72EE1"/>
    <w:rsid w:val="00B72F31"/>
    <w:rsid w:val="00B72FAC"/>
    <w:rsid w:val="00B73064"/>
    <w:rsid w:val="00B73065"/>
    <w:rsid w:val="00B7306A"/>
    <w:rsid w:val="00B7310E"/>
    <w:rsid w:val="00B73175"/>
    <w:rsid w:val="00B731CB"/>
    <w:rsid w:val="00B731ED"/>
    <w:rsid w:val="00B73227"/>
    <w:rsid w:val="00B7326C"/>
    <w:rsid w:val="00B7327E"/>
    <w:rsid w:val="00B73299"/>
    <w:rsid w:val="00B732A9"/>
    <w:rsid w:val="00B7332F"/>
    <w:rsid w:val="00B733B6"/>
    <w:rsid w:val="00B7340F"/>
    <w:rsid w:val="00B7341C"/>
    <w:rsid w:val="00B734C8"/>
    <w:rsid w:val="00B734CA"/>
    <w:rsid w:val="00B73549"/>
    <w:rsid w:val="00B7356E"/>
    <w:rsid w:val="00B73590"/>
    <w:rsid w:val="00B7364E"/>
    <w:rsid w:val="00B736DF"/>
    <w:rsid w:val="00B73723"/>
    <w:rsid w:val="00B73738"/>
    <w:rsid w:val="00B7374D"/>
    <w:rsid w:val="00B737E1"/>
    <w:rsid w:val="00B737EA"/>
    <w:rsid w:val="00B73830"/>
    <w:rsid w:val="00B7385D"/>
    <w:rsid w:val="00B73886"/>
    <w:rsid w:val="00B738F7"/>
    <w:rsid w:val="00B7392E"/>
    <w:rsid w:val="00B739E8"/>
    <w:rsid w:val="00B73AA0"/>
    <w:rsid w:val="00B73AA6"/>
    <w:rsid w:val="00B73AE1"/>
    <w:rsid w:val="00B73B65"/>
    <w:rsid w:val="00B73BCA"/>
    <w:rsid w:val="00B73BD8"/>
    <w:rsid w:val="00B73BF7"/>
    <w:rsid w:val="00B73C50"/>
    <w:rsid w:val="00B73C83"/>
    <w:rsid w:val="00B73CA5"/>
    <w:rsid w:val="00B73D0F"/>
    <w:rsid w:val="00B73D13"/>
    <w:rsid w:val="00B73D29"/>
    <w:rsid w:val="00B73D3C"/>
    <w:rsid w:val="00B73D40"/>
    <w:rsid w:val="00B73D77"/>
    <w:rsid w:val="00B73DC1"/>
    <w:rsid w:val="00B73E2A"/>
    <w:rsid w:val="00B73E60"/>
    <w:rsid w:val="00B73E7E"/>
    <w:rsid w:val="00B73FAF"/>
    <w:rsid w:val="00B7402A"/>
    <w:rsid w:val="00B7402F"/>
    <w:rsid w:val="00B74034"/>
    <w:rsid w:val="00B740BF"/>
    <w:rsid w:val="00B740C9"/>
    <w:rsid w:val="00B7414C"/>
    <w:rsid w:val="00B741BC"/>
    <w:rsid w:val="00B741BD"/>
    <w:rsid w:val="00B741FB"/>
    <w:rsid w:val="00B74234"/>
    <w:rsid w:val="00B74279"/>
    <w:rsid w:val="00B742C8"/>
    <w:rsid w:val="00B742D1"/>
    <w:rsid w:val="00B742EE"/>
    <w:rsid w:val="00B742EF"/>
    <w:rsid w:val="00B742FD"/>
    <w:rsid w:val="00B74301"/>
    <w:rsid w:val="00B7433D"/>
    <w:rsid w:val="00B74343"/>
    <w:rsid w:val="00B7436A"/>
    <w:rsid w:val="00B743B2"/>
    <w:rsid w:val="00B74426"/>
    <w:rsid w:val="00B74440"/>
    <w:rsid w:val="00B74466"/>
    <w:rsid w:val="00B74479"/>
    <w:rsid w:val="00B745A6"/>
    <w:rsid w:val="00B74635"/>
    <w:rsid w:val="00B74667"/>
    <w:rsid w:val="00B746F6"/>
    <w:rsid w:val="00B746F9"/>
    <w:rsid w:val="00B746FD"/>
    <w:rsid w:val="00B74782"/>
    <w:rsid w:val="00B7479F"/>
    <w:rsid w:val="00B74822"/>
    <w:rsid w:val="00B7488F"/>
    <w:rsid w:val="00B748A7"/>
    <w:rsid w:val="00B748C4"/>
    <w:rsid w:val="00B749AA"/>
    <w:rsid w:val="00B749AF"/>
    <w:rsid w:val="00B749B4"/>
    <w:rsid w:val="00B749D5"/>
    <w:rsid w:val="00B749EF"/>
    <w:rsid w:val="00B74A04"/>
    <w:rsid w:val="00B74AA9"/>
    <w:rsid w:val="00B74ABE"/>
    <w:rsid w:val="00B74B65"/>
    <w:rsid w:val="00B74B7F"/>
    <w:rsid w:val="00B74B84"/>
    <w:rsid w:val="00B74B85"/>
    <w:rsid w:val="00B74B99"/>
    <w:rsid w:val="00B74BB7"/>
    <w:rsid w:val="00B74BB8"/>
    <w:rsid w:val="00B74BE2"/>
    <w:rsid w:val="00B74C0C"/>
    <w:rsid w:val="00B74C15"/>
    <w:rsid w:val="00B74C37"/>
    <w:rsid w:val="00B74C9B"/>
    <w:rsid w:val="00B74CC3"/>
    <w:rsid w:val="00B74D10"/>
    <w:rsid w:val="00B74D67"/>
    <w:rsid w:val="00B74DAA"/>
    <w:rsid w:val="00B74E20"/>
    <w:rsid w:val="00B74E6E"/>
    <w:rsid w:val="00B74E98"/>
    <w:rsid w:val="00B74EE9"/>
    <w:rsid w:val="00B74F11"/>
    <w:rsid w:val="00B74F21"/>
    <w:rsid w:val="00B74FC6"/>
    <w:rsid w:val="00B74FE9"/>
    <w:rsid w:val="00B74FEA"/>
    <w:rsid w:val="00B75064"/>
    <w:rsid w:val="00B75074"/>
    <w:rsid w:val="00B75096"/>
    <w:rsid w:val="00B750B0"/>
    <w:rsid w:val="00B750BE"/>
    <w:rsid w:val="00B750D3"/>
    <w:rsid w:val="00B7511F"/>
    <w:rsid w:val="00B75181"/>
    <w:rsid w:val="00B75198"/>
    <w:rsid w:val="00B751AB"/>
    <w:rsid w:val="00B7521A"/>
    <w:rsid w:val="00B75286"/>
    <w:rsid w:val="00B752C3"/>
    <w:rsid w:val="00B75317"/>
    <w:rsid w:val="00B75368"/>
    <w:rsid w:val="00B753C3"/>
    <w:rsid w:val="00B753CF"/>
    <w:rsid w:val="00B75409"/>
    <w:rsid w:val="00B7540B"/>
    <w:rsid w:val="00B7540D"/>
    <w:rsid w:val="00B75412"/>
    <w:rsid w:val="00B7546C"/>
    <w:rsid w:val="00B7549F"/>
    <w:rsid w:val="00B754A6"/>
    <w:rsid w:val="00B7550E"/>
    <w:rsid w:val="00B75576"/>
    <w:rsid w:val="00B755A2"/>
    <w:rsid w:val="00B755E4"/>
    <w:rsid w:val="00B755FE"/>
    <w:rsid w:val="00B75615"/>
    <w:rsid w:val="00B756C4"/>
    <w:rsid w:val="00B7574F"/>
    <w:rsid w:val="00B757E0"/>
    <w:rsid w:val="00B75854"/>
    <w:rsid w:val="00B75862"/>
    <w:rsid w:val="00B758BE"/>
    <w:rsid w:val="00B75914"/>
    <w:rsid w:val="00B7595E"/>
    <w:rsid w:val="00B759B9"/>
    <w:rsid w:val="00B759E8"/>
    <w:rsid w:val="00B75A17"/>
    <w:rsid w:val="00B75A22"/>
    <w:rsid w:val="00B75A37"/>
    <w:rsid w:val="00B75A3F"/>
    <w:rsid w:val="00B75A96"/>
    <w:rsid w:val="00B75AAB"/>
    <w:rsid w:val="00B75ABB"/>
    <w:rsid w:val="00B75B0D"/>
    <w:rsid w:val="00B75B96"/>
    <w:rsid w:val="00B75BE3"/>
    <w:rsid w:val="00B75C7D"/>
    <w:rsid w:val="00B75C90"/>
    <w:rsid w:val="00B75D14"/>
    <w:rsid w:val="00B75D20"/>
    <w:rsid w:val="00B75DCA"/>
    <w:rsid w:val="00B75DF6"/>
    <w:rsid w:val="00B75E5E"/>
    <w:rsid w:val="00B75E60"/>
    <w:rsid w:val="00B75E8B"/>
    <w:rsid w:val="00B75EE6"/>
    <w:rsid w:val="00B75F4E"/>
    <w:rsid w:val="00B75F6F"/>
    <w:rsid w:val="00B75F82"/>
    <w:rsid w:val="00B75F88"/>
    <w:rsid w:val="00B75F98"/>
    <w:rsid w:val="00B76070"/>
    <w:rsid w:val="00B76083"/>
    <w:rsid w:val="00B760C4"/>
    <w:rsid w:val="00B760F3"/>
    <w:rsid w:val="00B760FB"/>
    <w:rsid w:val="00B76102"/>
    <w:rsid w:val="00B76116"/>
    <w:rsid w:val="00B7617B"/>
    <w:rsid w:val="00B76214"/>
    <w:rsid w:val="00B76235"/>
    <w:rsid w:val="00B76256"/>
    <w:rsid w:val="00B76312"/>
    <w:rsid w:val="00B763E5"/>
    <w:rsid w:val="00B76418"/>
    <w:rsid w:val="00B76441"/>
    <w:rsid w:val="00B7647E"/>
    <w:rsid w:val="00B764C5"/>
    <w:rsid w:val="00B764D2"/>
    <w:rsid w:val="00B76505"/>
    <w:rsid w:val="00B76506"/>
    <w:rsid w:val="00B7654D"/>
    <w:rsid w:val="00B76579"/>
    <w:rsid w:val="00B76599"/>
    <w:rsid w:val="00B765AE"/>
    <w:rsid w:val="00B76657"/>
    <w:rsid w:val="00B7668A"/>
    <w:rsid w:val="00B766A7"/>
    <w:rsid w:val="00B766F9"/>
    <w:rsid w:val="00B76710"/>
    <w:rsid w:val="00B767A1"/>
    <w:rsid w:val="00B767E1"/>
    <w:rsid w:val="00B76811"/>
    <w:rsid w:val="00B768F7"/>
    <w:rsid w:val="00B768F9"/>
    <w:rsid w:val="00B76986"/>
    <w:rsid w:val="00B76A3C"/>
    <w:rsid w:val="00B76A6B"/>
    <w:rsid w:val="00B76A6C"/>
    <w:rsid w:val="00B76A6F"/>
    <w:rsid w:val="00B76AA7"/>
    <w:rsid w:val="00B76B61"/>
    <w:rsid w:val="00B76B92"/>
    <w:rsid w:val="00B76BB2"/>
    <w:rsid w:val="00B76BBD"/>
    <w:rsid w:val="00B76BEE"/>
    <w:rsid w:val="00B76C2C"/>
    <w:rsid w:val="00B76C33"/>
    <w:rsid w:val="00B76C4A"/>
    <w:rsid w:val="00B76CC4"/>
    <w:rsid w:val="00B76CCD"/>
    <w:rsid w:val="00B76D0D"/>
    <w:rsid w:val="00B76D42"/>
    <w:rsid w:val="00B76DAD"/>
    <w:rsid w:val="00B76E82"/>
    <w:rsid w:val="00B76EB0"/>
    <w:rsid w:val="00B76EDB"/>
    <w:rsid w:val="00B76F0D"/>
    <w:rsid w:val="00B76F0F"/>
    <w:rsid w:val="00B76F10"/>
    <w:rsid w:val="00B76F38"/>
    <w:rsid w:val="00B76FF7"/>
    <w:rsid w:val="00B77065"/>
    <w:rsid w:val="00B7707F"/>
    <w:rsid w:val="00B770AE"/>
    <w:rsid w:val="00B770B6"/>
    <w:rsid w:val="00B770E6"/>
    <w:rsid w:val="00B770EA"/>
    <w:rsid w:val="00B77124"/>
    <w:rsid w:val="00B77125"/>
    <w:rsid w:val="00B7713A"/>
    <w:rsid w:val="00B77166"/>
    <w:rsid w:val="00B771C3"/>
    <w:rsid w:val="00B7723D"/>
    <w:rsid w:val="00B77266"/>
    <w:rsid w:val="00B772C3"/>
    <w:rsid w:val="00B772DA"/>
    <w:rsid w:val="00B772E0"/>
    <w:rsid w:val="00B772FC"/>
    <w:rsid w:val="00B77304"/>
    <w:rsid w:val="00B77338"/>
    <w:rsid w:val="00B77352"/>
    <w:rsid w:val="00B77395"/>
    <w:rsid w:val="00B773ED"/>
    <w:rsid w:val="00B7746D"/>
    <w:rsid w:val="00B77479"/>
    <w:rsid w:val="00B774A3"/>
    <w:rsid w:val="00B77508"/>
    <w:rsid w:val="00B77511"/>
    <w:rsid w:val="00B77520"/>
    <w:rsid w:val="00B77562"/>
    <w:rsid w:val="00B775A5"/>
    <w:rsid w:val="00B775AE"/>
    <w:rsid w:val="00B77706"/>
    <w:rsid w:val="00B77720"/>
    <w:rsid w:val="00B77746"/>
    <w:rsid w:val="00B7776D"/>
    <w:rsid w:val="00B777CC"/>
    <w:rsid w:val="00B77866"/>
    <w:rsid w:val="00B778C0"/>
    <w:rsid w:val="00B778EE"/>
    <w:rsid w:val="00B77944"/>
    <w:rsid w:val="00B77999"/>
    <w:rsid w:val="00B779FB"/>
    <w:rsid w:val="00B77A25"/>
    <w:rsid w:val="00B77A7D"/>
    <w:rsid w:val="00B77A99"/>
    <w:rsid w:val="00B77ADA"/>
    <w:rsid w:val="00B77AE3"/>
    <w:rsid w:val="00B77AF1"/>
    <w:rsid w:val="00B77B29"/>
    <w:rsid w:val="00B77B52"/>
    <w:rsid w:val="00B77B56"/>
    <w:rsid w:val="00B77B5E"/>
    <w:rsid w:val="00B77B7A"/>
    <w:rsid w:val="00B77BDA"/>
    <w:rsid w:val="00B77C38"/>
    <w:rsid w:val="00B77C47"/>
    <w:rsid w:val="00B77C5D"/>
    <w:rsid w:val="00B77CD0"/>
    <w:rsid w:val="00B77CF0"/>
    <w:rsid w:val="00B77D3B"/>
    <w:rsid w:val="00B77D79"/>
    <w:rsid w:val="00B77D97"/>
    <w:rsid w:val="00B77DAD"/>
    <w:rsid w:val="00B77DD8"/>
    <w:rsid w:val="00B77DFB"/>
    <w:rsid w:val="00B77E45"/>
    <w:rsid w:val="00B77EEF"/>
    <w:rsid w:val="00B77F31"/>
    <w:rsid w:val="00B77FC6"/>
    <w:rsid w:val="00B77FC8"/>
    <w:rsid w:val="00B7A918"/>
    <w:rsid w:val="00B80038"/>
    <w:rsid w:val="00B800B2"/>
    <w:rsid w:val="00B800E2"/>
    <w:rsid w:val="00B80121"/>
    <w:rsid w:val="00B801A3"/>
    <w:rsid w:val="00B801D4"/>
    <w:rsid w:val="00B801E6"/>
    <w:rsid w:val="00B80210"/>
    <w:rsid w:val="00B8028E"/>
    <w:rsid w:val="00B802D7"/>
    <w:rsid w:val="00B8033B"/>
    <w:rsid w:val="00B803B7"/>
    <w:rsid w:val="00B803C4"/>
    <w:rsid w:val="00B80410"/>
    <w:rsid w:val="00B80446"/>
    <w:rsid w:val="00B80469"/>
    <w:rsid w:val="00B8046E"/>
    <w:rsid w:val="00B8047E"/>
    <w:rsid w:val="00B8049A"/>
    <w:rsid w:val="00B804CA"/>
    <w:rsid w:val="00B804EA"/>
    <w:rsid w:val="00B80503"/>
    <w:rsid w:val="00B80507"/>
    <w:rsid w:val="00B8051F"/>
    <w:rsid w:val="00B805C3"/>
    <w:rsid w:val="00B80625"/>
    <w:rsid w:val="00B8062E"/>
    <w:rsid w:val="00B80633"/>
    <w:rsid w:val="00B80714"/>
    <w:rsid w:val="00B80739"/>
    <w:rsid w:val="00B80757"/>
    <w:rsid w:val="00B8075A"/>
    <w:rsid w:val="00B8079C"/>
    <w:rsid w:val="00B807A0"/>
    <w:rsid w:val="00B807D5"/>
    <w:rsid w:val="00B807DD"/>
    <w:rsid w:val="00B807ED"/>
    <w:rsid w:val="00B808CB"/>
    <w:rsid w:val="00B80916"/>
    <w:rsid w:val="00B8096F"/>
    <w:rsid w:val="00B80981"/>
    <w:rsid w:val="00B8099C"/>
    <w:rsid w:val="00B80B10"/>
    <w:rsid w:val="00B80B33"/>
    <w:rsid w:val="00B80B73"/>
    <w:rsid w:val="00B80B7A"/>
    <w:rsid w:val="00B80B98"/>
    <w:rsid w:val="00B80BF7"/>
    <w:rsid w:val="00B80C3D"/>
    <w:rsid w:val="00B80C6A"/>
    <w:rsid w:val="00B80C98"/>
    <w:rsid w:val="00B80CC0"/>
    <w:rsid w:val="00B80CED"/>
    <w:rsid w:val="00B80D97"/>
    <w:rsid w:val="00B80E25"/>
    <w:rsid w:val="00B80E38"/>
    <w:rsid w:val="00B80E39"/>
    <w:rsid w:val="00B81029"/>
    <w:rsid w:val="00B81039"/>
    <w:rsid w:val="00B8103F"/>
    <w:rsid w:val="00B81051"/>
    <w:rsid w:val="00B810B8"/>
    <w:rsid w:val="00B810F0"/>
    <w:rsid w:val="00B810F6"/>
    <w:rsid w:val="00B81107"/>
    <w:rsid w:val="00B81109"/>
    <w:rsid w:val="00B8119E"/>
    <w:rsid w:val="00B811E0"/>
    <w:rsid w:val="00B8125D"/>
    <w:rsid w:val="00B812AB"/>
    <w:rsid w:val="00B812D2"/>
    <w:rsid w:val="00B81327"/>
    <w:rsid w:val="00B8133A"/>
    <w:rsid w:val="00B81362"/>
    <w:rsid w:val="00B8136D"/>
    <w:rsid w:val="00B81390"/>
    <w:rsid w:val="00B81424"/>
    <w:rsid w:val="00B8147D"/>
    <w:rsid w:val="00B814C4"/>
    <w:rsid w:val="00B8153F"/>
    <w:rsid w:val="00B81591"/>
    <w:rsid w:val="00B8161D"/>
    <w:rsid w:val="00B8162E"/>
    <w:rsid w:val="00B8164F"/>
    <w:rsid w:val="00B816E5"/>
    <w:rsid w:val="00B8173F"/>
    <w:rsid w:val="00B81755"/>
    <w:rsid w:val="00B81805"/>
    <w:rsid w:val="00B81846"/>
    <w:rsid w:val="00B81870"/>
    <w:rsid w:val="00B81922"/>
    <w:rsid w:val="00B819A0"/>
    <w:rsid w:val="00B819CB"/>
    <w:rsid w:val="00B819D8"/>
    <w:rsid w:val="00B819FB"/>
    <w:rsid w:val="00B81A3C"/>
    <w:rsid w:val="00B81A89"/>
    <w:rsid w:val="00B81A8C"/>
    <w:rsid w:val="00B81AAE"/>
    <w:rsid w:val="00B81AE4"/>
    <w:rsid w:val="00B81AF3"/>
    <w:rsid w:val="00B81B07"/>
    <w:rsid w:val="00B81B5D"/>
    <w:rsid w:val="00B81BAF"/>
    <w:rsid w:val="00B81BEA"/>
    <w:rsid w:val="00B81BF1"/>
    <w:rsid w:val="00B81C17"/>
    <w:rsid w:val="00B81C51"/>
    <w:rsid w:val="00B81D15"/>
    <w:rsid w:val="00B81D1A"/>
    <w:rsid w:val="00B81DE9"/>
    <w:rsid w:val="00B81E05"/>
    <w:rsid w:val="00B81E07"/>
    <w:rsid w:val="00B81E25"/>
    <w:rsid w:val="00B81E27"/>
    <w:rsid w:val="00B81E34"/>
    <w:rsid w:val="00B81ED4"/>
    <w:rsid w:val="00B81EE6"/>
    <w:rsid w:val="00B81F94"/>
    <w:rsid w:val="00B81FB4"/>
    <w:rsid w:val="00B81FF7"/>
    <w:rsid w:val="00B82053"/>
    <w:rsid w:val="00B8208F"/>
    <w:rsid w:val="00B820A7"/>
    <w:rsid w:val="00B820FC"/>
    <w:rsid w:val="00B8211C"/>
    <w:rsid w:val="00B82165"/>
    <w:rsid w:val="00B82171"/>
    <w:rsid w:val="00B82186"/>
    <w:rsid w:val="00B82192"/>
    <w:rsid w:val="00B821C7"/>
    <w:rsid w:val="00B821D7"/>
    <w:rsid w:val="00B8223D"/>
    <w:rsid w:val="00B8224C"/>
    <w:rsid w:val="00B82275"/>
    <w:rsid w:val="00B82297"/>
    <w:rsid w:val="00B822D6"/>
    <w:rsid w:val="00B822E9"/>
    <w:rsid w:val="00B822F8"/>
    <w:rsid w:val="00B82322"/>
    <w:rsid w:val="00B8236B"/>
    <w:rsid w:val="00B823DE"/>
    <w:rsid w:val="00B82454"/>
    <w:rsid w:val="00B82464"/>
    <w:rsid w:val="00B82475"/>
    <w:rsid w:val="00B82498"/>
    <w:rsid w:val="00B8249D"/>
    <w:rsid w:val="00B824AB"/>
    <w:rsid w:val="00B824F9"/>
    <w:rsid w:val="00B82559"/>
    <w:rsid w:val="00B8255D"/>
    <w:rsid w:val="00B82578"/>
    <w:rsid w:val="00B825E6"/>
    <w:rsid w:val="00B82637"/>
    <w:rsid w:val="00B82677"/>
    <w:rsid w:val="00B8267B"/>
    <w:rsid w:val="00B826A2"/>
    <w:rsid w:val="00B826A3"/>
    <w:rsid w:val="00B826BF"/>
    <w:rsid w:val="00B826E0"/>
    <w:rsid w:val="00B826FA"/>
    <w:rsid w:val="00B827CB"/>
    <w:rsid w:val="00B827EE"/>
    <w:rsid w:val="00B827F7"/>
    <w:rsid w:val="00B82869"/>
    <w:rsid w:val="00B828D2"/>
    <w:rsid w:val="00B828E8"/>
    <w:rsid w:val="00B828FC"/>
    <w:rsid w:val="00B828FE"/>
    <w:rsid w:val="00B82971"/>
    <w:rsid w:val="00B829A6"/>
    <w:rsid w:val="00B829ED"/>
    <w:rsid w:val="00B82A49"/>
    <w:rsid w:val="00B82A93"/>
    <w:rsid w:val="00B82AF6"/>
    <w:rsid w:val="00B82BEA"/>
    <w:rsid w:val="00B82BEF"/>
    <w:rsid w:val="00B82C53"/>
    <w:rsid w:val="00B82CDA"/>
    <w:rsid w:val="00B82CF3"/>
    <w:rsid w:val="00B82D1A"/>
    <w:rsid w:val="00B82D48"/>
    <w:rsid w:val="00B82DA8"/>
    <w:rsid w:val="00B82E5C"/>
    <w:rsid w:val="00B82E67"/>
    <w:rsid w:val="00B82E87"/>
    <w:rsid w:val="00B82E93"/>
    <w:rsid w:val="00B82ED2"/>
    <w:rsid w:val="00B82EE2"/>
    <w:rsid w:val="00B82EE9"/>
    <w:rsid w:val="00B82FA3"/>
    <w:rsid w:val="00B82FAF"/>
    <w:rsid w:val="00B82FDE"/>
    <w:rsid w:val="00B82FFB"/>
    <w:rsid w:val="00B8305D"/>
    <w:rsid w:val="00B83077"/>
    <w:rsid w:val="00B8307A"/>
    <w:rsid w:val="00B83084"/>
    <w:rsid w:val="00B8308D"/>
    <w:rsid w:val="00B830D2"/>
    <w:rsid w:val="00B830D9"/>
    <w:rsid w:val="00B830DB"/>
    <w:rsid w:val="00B830E9"/>
    <w:rsid w:val="00B83162"/>
    <w:rsid w:val="00B8319D"/>
    <w:rsid w:val="00B831D3"/>
    <w:rsid w:val="00B8322E"/>
    <w:rsid w:val="00B8326F"/>
    <w:rsid w:val="00B832A4"/>
    <w:rsid w:val="00B832BD"/>
    <w:rsid w:val="00B832D6"/>
    <w:rsid w:val="00B832DB"/>
    <w:rsid w:val="00B832DE"/>
    <w:rsid w:val="00B832E0"/>
    <w:rsid w:val="00B83387"/>
    <w:rsid w:val="00B833C5"/>
    <w:rsid w:val="00B833EC"/>
    <w:rsid w:val="00B83449"/>
    <w:rsid w:val="00B8348F"/>
    <w:rsid w:val="00B834CC"/>
    <w:rsid w:val="00B834EC"/>
    <w:rsid w:val="00B83507"/>
    <w:rsid w:val="00B835A8"/>
    <w:rsid w:val="00B8362F"/>
    <w:rsid w:val="00B83636"/>
    <w:rsid w:val="00B836D0"/>
    <w:rsid w:val="00B836D7"/>
    <w:rsid w:val="00B836DC"/>
    <w:rsid w:val="00B836EE"/>
    <w:rsid w:val="00B83700"/>
    <w:rsid w:val="00B8370C"/>
    <w:rsid w:val="00B8375D"/>
    <w:rsid w:val="00B8375F"/>
    <w:rsid w:val="00B837FB"/>
    <w:rsid w:val="00B8385F"/>
    <w:rsid w:val="00B838A9"/>
    <w:rsid w:val="00B838AC"/>
    <w:rsid w:val="00B838CF"/>
    <w:rsid w:val="00B83943"/>
    <w:rsid w:val="00B83968"/>
    <w:rsid w:val="00B83A5B"/>
    <w:rsid w:val="00B83A87"/>
    <w:rsid w:val="00B83AEC"/>
    <w:rsid w:val="00B83B2B"/>
    <w:rsid w:val="00B83B81"/>
    <w:rsid w:val="00B83B99"/>
    <w:rsid w:val="00B83BF6"/>
    <w:rsid w:val="00B83C09"/>
    <w:rsid w:val="00B83C29"/>
    <w:rsid w:val="00B83C2C"/>
    <w:rsid w:val="00B83C73"/>
    <w:rsid w:val="00B83C84"/>
    <w:rsid w:val="00B83CD4"/>
    <w:rsid w:val="00B83D37"/>
    <w:rsid w:val="00B83DCD"/>
    <w:rsid w:val="00B83DFD"/>
    <w:rsid w:val="00B83E10"/>
    <w:rsid w:val="00B83E60"/>
    <w:rsid w:val="00B83E70"/>
    <w:rsid w:val="00B83ECE"/>
    <w:rsid w:val="00B83EEB"/>
    <w:rsid w:val="00B83F22"/>
    <w:rsid w:val="00B83FCC"/>
    <w:rsid w:val="00B83FD9"/>
    <w:rsid w:val="00B83FF7"/>
    <w:rsid w:val="00B84015"/>
    <w:rsid w:val="00B8407F"/>
    <w:rsid w:val="00B8409C"/>
    <w:rsid w:val="00B840E7"/>
    <w:rsid w:val="00B8410A"/>
    <w:rsid w:val="00B8413E"/>
    <w:rsid w:val="00B84150"/>
    <w:rsid w:val="00B84151"/>
    <w:rsid w:val="00B84188"/>
    <w:rsid w:val="00B841A9"/>
    <w:rsid w:val="00B841F0"/>
    <w:rsid w:val="00B8420F"/>
    <w:rsid w:val="00B84215"/>
    <w:rsid w:val="00B84250"/>
    <w:rsid w:val="00B84275"/>
    <w:rsid w:val="00B842A5"/>
    <w:rsid w:val="00B842B1"/>
    <w:rsid w:val="00B84312"/>
    <w:rsid w:val="00B8431F"/>
    <w:rsid w:val="00B84378"/>
    <w:rsid w:val="00B843C9"/>
    <w:rsid w:val="00B84409"/>
    <w:rsid w:val="00B8446B"/>
    <w:rsid w:val="00B844A6"/>
    <w:rsid w:val="00B844AB"/>
    <w:rsid w:val="00B84513"/>
    <w:rsid w:val="00B84535"/>
    <w:rsid w:val="00B84569"/>
    <w:rsid w:val="00B8458D"/>
    <w:rsid w:val="00B8458F"/>
    <w:rsid w:val="00B845A5"/>
    <w:rsid w:val="00B845E4"/>
    <w:rsid w:val="00B845F8"/>
    <w:rsid w:val="00B84630"/>
    <w:rsid w:val="00B84673"/>
    <w:rsid w:val="00B846ED"/>
    <w:rsid w:val="00B84714"/>
    <w:rsid w:val="00B84717"/>
    <w:rsid w:val="00B84785"/>
    <w:rsid w:val="00B847C2"/>
    <w:rsid w:val="00B84822"/>
    <w:rsid w:val="00B84846"/>
    <w:rsid w:val="00B8488B"/>
    <w:rsid w:val="00B84917"/>
    <w:rsid w:val="00B8492D"/>
    <w:rsid w:val="00B84940"/>
    <w:rsid w:val="00B8497D"/>
    <w:rsid w:val="00B849F4"/>
    <w:rsid w:val="00B84A60"/>
    <w:rsid w:val="00B84AB8"/>
    <w:rsid w:val="00B84ABB"/>
    <w:rsid w:val="00B84B34"/>
    <w:rsid w:val="00B84B7A"/>
    <w:rsid w:val="00B84B7B"/>
    <w:rsid w:val="00B84B8E"/>
    <w:rsid w:val="00B84C57"/>
    <w:rsid w:val="00B84CC3"/>
    <w:rsid w:val="00B84CD0"/>
    <w:rsid w:val="00B84D42"/>
    <w:rsid w:val="00B84D64"/>
    <w:rsid w:val="00B84D90"/>
    <w:rsid w:val="00B84DED"/>
    <w:rsid w:val="00B84E7E"/>
    <w:rsid w:val="00B84EB3"/>
    <w:rsid w:val="00B84EB7"/>
    <w:rsid w:val="00B84ECB"/>
    <w:rsid w:val="00B84F90"/>
    <w:rsid w:val="00B84F93"/>
    <w:rsid w:val="00B84FE8"/>
    <w:rsid w:val="00B85007"/>
    <w:rsid w:val="00B85086"/>
    <w:rsid w:val="00B85111"/>
    <w:rsid w:val="00B8513A"/>
    <w:rsid w:val="00B8515F"/>
    <w:rsid w:val="00B85162"/>
    <w:rsid w:val="00B85183"/>
    <w:rsid w:val="00B851A7"/>
    <w:rsid w:val="00B851C7"/>
    <w:rsid w:val="00B851F7"/>
    <w:rsid w:val="00B8523A"/>
    <w:rsid w:val="00B85246"/>
    <w:rsid w:val="00B85251"/>
    <w:rsid w:val="00B85275"/>
    <w:rsid w:val="00B852EA"/>
    <w:rsid w:val="00B85384"/>
    <w:rsid w:val="00B853B8"/>
    <w:rsid w:val="00B853DA"/>
    <w:rsid w:val="00B853F1"/>
    <w:rsid w:val="00B85442"/>
    <w:rsid w:val="00B85450"/>
    <w:rsid w:val="00B8548F"/>
    <w:rsid w:val="00B85494"/>
    <w:rsid w:val="00B854F1"/>
    <w:rsid w:val="00B85544"/>
    <w:rsid w:val="00B85569"/>
    <w:rsid w:val="00B855CE"/>
    <w:rsid w:val="00B855E8"/>
    <w:rsid w:val="00B8564A"/>
    <w:rsid w:val="00B8565E"/>
    <w:rsid w:val="00B856AC"/>
    <w:rsid w:val="00B856AF"/>
    <w:rsid w:val="00B856C7"/>
    <w:rsid w:val="00B85737"/>
    <w:rsid w:val="00B85753"/>
    <w:rsid w:val="00B85925"/>
    <w:rsid w:val="00B85A09"/>
    <w:rsid w:val="00B85A55"/>
    <w:rsid w:val="00B85B2C"/>
    <w:rsid w:val="00B85BA2"/>
    <w:rsid w:val="00B85BBE"/>
    <w:rsid w:val="00B85C02"/>
    <w:rsid w:val="00B85C22"/>
    <w:rsid w:val="00B85C80"/>
    <w:rsid w:val="00B85CDE"/>
    <w:rsid w:val="00B85D2C"/>
    <w:rsid w:val="00B85D80"/>
    <w:rsid w:val="00B85D9B"/>
    <w:rsid w:val="00B85E09"/>
    <w:rsid w:val="00B85E1C"/>
    <w:rsid w:val="00B85EA1"/>
    <w:rsid w:val="00B85EF4"/>
    <w:rsid w:val="00B85F5E"/>
    <w:rsid w:val="00B85FA2"/>
    <w:rsid w:val="00B85FB9"/>
    <w:rsid w:val="00B85FBC"/>
    <w:rsid w:val="00B85FC6"/>
    <w:rsid w:val="00B85FDB"/>
    <w:rsid w:val="00B86055"/>
    <w:rsid w:val="00B8605A"/>
    <w:rsid w:val="00B86067"/>
    <w:rsid w:val="00B8606A"/>
    <w:rsid w:val="00B8606E"/>
    <w:rsid w:val="00B860EB"/>
    <w:rsid w:val="00B860F1"/>
    <w:rsid w:val="00B86110"/>
    <w:rsid w:val="00B8611E"/>
    <w:rsid w:val="00B8612D"/>
    <w:rsid w:val="00B86173"/>
    <w:rsid w:val="00B861BA"/>
    <w:rsid w:val="00B861E8"/>
    <w:rsid w:val="00B861FE"/>
    <w:rsid w:val="00B862AE"/>
    <w:rsid w:val="00B862D6"/>
    <w:rsid w:val="00B862ED"/>
    <w:rsid w:val="00B86304"/>
    <w:rsid w:val="00B8638A"/>
    <w:rsid w:val="00B863A8"/>
    <w:rsid w:val="00B864C1"/>
    <w:rsid w:val="00B864D6"/>
    <w:rsid w:val="00B86508"/>
    <w:rsid w:val="00B86563"/>
    <w:rsid w:val="00B86641"/>
    <w:rsid w:val="00B86655"/>
    <w:rsid w:val="00B86763"/>
    <w:rsid w:val="00B86776"/>
    <w:rsid w:val="00B867EA"/>
    <w:rsid w:val="00B86893"/>
    <w:rsid w:val="00B868CF"/>
    <w:rsid w:val="00B86926"/>
    <w:rsid w:val="00B86944"/>
    <w:rsid w:val="00B8695A"/>
    <w:rsid w:val="00B86971"/>
    <w:rsid w:val="00B8699B"/>
    <w:rsid w:val="00B869DE"/>
    <w:rsid w:val="00B86A12"/>
    <w:rsid w:val="00B86A15"/>
    <w:rsid w:val="00B86AB4"/>
    <w:rsid w:val="00B86B0A"/>
    <w:rsid w:val="00B86B57"/>
    <w:rsid w:val="00B86B5F"/>
    <w:rsid w:val="00B86B75"/>
    <w:rsid w:val="00B86BEC"/>
    <w:rsid w:val="00B86C7E"/>
    <w:rsid w:val="00B86C8A"/>
    <w:rsid w:val="00B86CBF"/>
    <w:rsid w:val="00B86CC8"/>
    <w:rsid w:val="00B86CE2"/>
    <w:rsid w:val="00B86D35"/>
    <w:rsid w:val="00B86D70"/>
    <w:rsid w:val="00B86DBD"/>
    <w:rsid w:val="00B86E15"/>
    <w:rsid w:val="00B86E1C"/>
    <w:rsid w:val="00B86EB0"/>
    <w:rsid w:val="00B86EB1"/>
    <w:rsid w:val="00B86EFD"/>
    <w:rsid w:val="00B86F2B"/>
    <w:rsid w:val="00B86F34"/>
    <w:rsid w:val="00B86F50"/>
    <w:rsid w:val="00B86FA8"/>
    <w:rsid w:val="00B87032"/>
    <w:rsid w:val="00B8704D"/>
    <w:rsid w:val="00B8705A"/>
    <w:rsid w:val="00B8707E"/>
    <w:rsid w:val="00B870A5"/>
    <w:rsid w:val="00B87107"/>
    <w:rsid w:val="00B8718C"/>
    <w:rsid w:val="00B871A4"/>
    <w:rsid w:val="00B871BC"/>
    <w:rsid w:val="00B871D4"/>
    <w:rsid w:val="00B8720C"/>
    <w:rsid w:val="00B87267"/>
    <w:rsid w:val="00B872C8"/>
    <w:rsid w:val="00B872E6"/>
    <w:rsid w:val="00B87300"/>
    <w:rsid w:val="00B87324"/>
    <w:rsid w:val="00B87373"/>
    <w:rsid w:val="00B87378"/>
    <w:rsid w:val="00B87380"/>
    <w:rsid w:val="00B873E8"/>
    <w:rsid w:val="00B87448"/>
    <w:rsid w:val="00B87453"/>
    <w:rsid w:val="00B87484"/>
    <w:rsid w:val="00B874AB"/>
    <w:rsid w:val="00B87659"/>
    <w:rsid w:val="00B8768F"/>
    <w:rsid w:val="00B876B6"/>
    <w:rsid w:val="00B876C8"/>
    <w:rsid w:val="00B876DF"/>
    <w:rsid w:val="00B876E6"/>
    <w:rsid w:val="00B8775C"/>
    <w:rsid w:val="00B877F9"/>
    <w:rsid w:val="00B87905"/>
    <w:rsid w:val="00B8795A"/>
    <w:rsid w:val="00B879A4"/>
    <w:rsid w:val="00B87A62"/>
    <w:rsid w:val="00B87A73"/>
    <w:rsid w:val="00B87B03"/>
    <w:rsid w:val="00B87B33"/>
    <w:rsid w:val="00B87B43"/>
    <w:rsid w:val="00B87B61"/>
    <w:rsid w:val="00B87C2F"/>
    <w:rsid w:val="00B87C5A"/>
    <w:rsid w:val="00B87C93"/>
    <w:rsid w:val="00B87CB6"/>
    <w:rsid w:val="00B87CE9"/>
    <w:rsid w:val="00B87D1B"/>
    <w:rsid w:val="00B87DF2"/>
    <w:rsid w:val="00B87E1B"/>
    <w:rsid w:val="00B87E26"/>
    <w:rsid w:val="00B87E8A"/>
    <w:rsid w:val="00B87EB2"/>
    <w:rsid w:val="00B87F61"/>
    <w:rsid w:val="00B87FBA"/>
    <w:rsid w:val="00B87FC7"/>
    <w:rsid w:val="00B87FE7"/>
    <w:rsid w:val="00B90014"/>
    <w:rsid w:val="00B90018"/>
    <w:rsid w:val="00B90022"/>
    <w:rsid w:val="00B90053"/>
    <w:rsid w:val="00B9009A"/>
    <w:rsid w:val="00B900D8"/>
    <w:rsid w:val="00B900E0"/>
    <w:rsid w:val="00B900E3"/>
    <w:rsid w:val="00B900EB"/>
    <w:rsid w:val="00B90121"/>
    <w:rsid w:val="00B9016A"/>
    <w:rsid w:val="00B90185"/>
    <w:rsid w:val="00B901CB"/>
    <w:rsid w:val="00B90291"/>
    <w:rsid w:val="00B90310"/>
    <w:rsid w:val="00B90322"/>
    <w:rsid w:val="00B9036A"/>
    <w:rsid w:val="00B903C0"/>
    <w:rsid w:val="00B90434"/>
    <w:rsid w:val="00B90490"/>
    <w:rsid w:val="00B904BE"/>
    <w:rsid w:val="00B904C9"/>
    <w:rsid w:val="00B90529"/>
    <w:rsid w:val="00B9057B"/>
    <w:rsid w:val="00B905AD"/>
    <w:rsid w:val="00B905D1"/>
    <w:rsid w:val="00B905EF"/>
    <w:rsid w:val="00B905F5"/>
    <w:rsid w:val="00B9060D"/>
    <w:rsid w:val="00B9064D"/>
    <w:rsid w:val="00B906D0"/>
    <w:rsid w:val="00B906EA"/>
    <w:rsid w:val="00B907F2"/>
    <w:rsid w:val="00B90854"/>
    <w:rsid w:val="00B908B2"/>
    <w:rsid w:val="00B908D4"/>
    <w:rsid w:val="00B9090F"/>
    <w:rsid w:val="00B90959"/>
    <w:rsid w:val="00B90974"/>
    <w:rsid w:val="00B909D1"/>
    <w:rsid w:val="00B90A23"/>
    <w:rsid w:val="00B90A6F"/>
    <w:rsid w:val="00B90A74"/>
    <w:rsid w:val="00B90A78"/>
    <w:rsid w:val="00B90AB6"/>
    <w:rsid w:val="00B90B11"/>
    <w:rsid w:val="00B90B13"/>
    <w:rsid w:val="00B90BA3"/>
    <w:rsid w:val="00B90BFD"/>
    <w:rsid w:val="00B90C1B"/>
    <w:rsid w:val="00B90C20"/>
    <w:rsid w:val="00B90C51"/>
    <w:rsid w:val="00B90C75"/>
    <w:rsid w:val="00B90C85"/>
    <w:rsid w:val="00B90D0C"/>
    <w:rsid w:val="00B90D23"/>
    <w:rsid w:val="00B90D48"/>
    <w:rsid w:val="00B90D51"/>
    <w:rsid w:val="00B90DDB"/>
    <w:rsid w:val="00B90E12"/>
    <w:rsid w:val="00B90E15"/>
    <w:rsid w:val="00B90E73"/>
    <w:rsid w:val="00B90EA1"/>
    <w:rsid w:val="00B90EBF"/>
    <w:rsid w:val="00B90EE0"/>
    <w:rsid w:val="00B90F35"/>
    <w:rsid w:val="00B90F69"/>
    <w:rsid w:val="00B90FA9"/>
    <w:rsid w:val="00B90FC0"/>
    <w:rsid w:val="00B9100D"/>
    <w:rsid w:val="00B9104C"/>
    <w:rsid w:val="00B91060"/>
    <w:rsid w:val="00B910C7"/>
    <w:rsid w:val="00B910D8"/>
    <w:rsid w:val="00B9113B"/>
    <w:rsid w:val="00B91152"/>
    <w:rsid w:val="00B91191"/>
    <w:rsid w:val="00B911DF"/>
    <w:rsid w:val="00B911EF"/>
    <w:rsid w:val="00B911F5"/>
    <w:rsid w:val="00B91216"/>
    <w:rsid w:val="00B91234"/>
    <w:rsid w:val="00B9125F"/>
    <w:rsid w:val="00B9127F"/>
    <w:rsid w:val="00B912E1"/>
    <w:rsid w:val="00B91311"/>
    <w:rsid w:val="00B9133D"/>
    <w:rsid w:val="00B913BD"/>
    <w:rsid w:val="00B9143B"/>
    <w:rsid w:val="00B914C0"/>
    <w:rsid w:val="00B914C5"/>
    <w:rsid w:val="00B91580"/>
    <w:rsid w:val="00B9158B"/>
    <w:rsid w:val="00B915AF"/>
    <w:rsid w:val="00B915D3"/>
    <w:rsid w:val="00B91606"/>
    <w:rsid w:val="00B916C2"/>
    <w:rsid w:val="00B916DA"/>
    <w:rsid w:val="00B916F8"/>
    <w:rsid w:val="00B91719"/>
    <w:rsid w:val="00B9172C"/>
    <w:rsid w:val="00B91736"/>
    <w:rsid w:val="00B9174A"/>
    <w:rsid w:val="00B9177A"/>
    <w:rsid w:val="00B91824"/>
    <w:rsid w:val="00B91829"/>
    <w:rsid w:val="00B91846"/>
    <w:rsid w:val="00B9186F"/>
    <w:rsid w:val="00B918F8"/>
    <w:rsid w:val="00B9196B"/>
    <w:rsid w:val="00B919D1"/>
    <w:rsid w:val="00B919DE"/>
    <w:rsid w:val="00B91AAF"/>
    <w:rsid w:val="00B91AE5"/>
    <w:rsid w:val="00B91B2E"/>
    <w:rsid w:val="00B91B46"/>
    <w:rsid w:val="00B91B5C"/>
    <w:rsid w:val="00B91BA7"/>
    <w:rsid w:val="00B91BA8"/>
    <w:rsid w:val="00B91BB4"/>
    <w:rsid w:val="00B91C14"/>
    <w:rsid w:val="00B91C1D"/>
    <w:rsid w:val="00B91C2D"/>
    <w:rsid w:val="00B91C43"/>
    <w:rsid w:val="00B91C59"/>
    <w:rsid w:val="00B91CA4"/>
    <w:rsid w:val="00B91CD8"/>
    <w:rsid w:val="00B91CFE"/>
    <w:rsid w:val="00B91D18"/>
    <w:rsid w:val="00B91D4C"/>
    <w:rsid w:val="00B91D67"/>
    <w:rsid w:val="00B91E1D"/>
    <w:rsid w:val="00B91E46"/>
    <w:rsid w:val="00B91EAD"/>
    <w:rsid w:val="00B91ECD"/>
    <w:rsid w:val="00B91ED4"/>
    <w:rsid w:val="00B91EF7"/>
    <w:rsid w:val="00B91F3B"/>
    <w:rsid w:val="00B91F8D"/>
    <w:rsid w:val="00B91F9D"/>
    <w:rsid w:val="00B91FAB"/>
    <w:rsid w:val="00B91FB7"/>
    <w:rsid w:val="00B91FC6"/>
    <w:rsid w:val="00B91FDA"/>
    <w:rsid w:val="00B91FF4"/>
    <w:rsid w:val="00B91FFC"/>
    <w:rsid w:val="00B92026"/>
    <w:rsid w:val="00B92072"/>
    <w:rsid w:val="00B920A7"/>
    <w:rsid w:val="00B920E1"/>
    <w:rsid w:val="00B920F8"/>
    <w:rsid w:val="00B92109"/>
    <w:rsid w:val="00B92137"/>
    <w:rsid w:val="00B92144"/>
    <w:rsid w:val="00B9217D"/>
    <w:rsid w:val="00B92191"/>
    <w:rsid w:val="00B921D0"/>
    <w:rsid w:val="00B921D2"/>
    <w:rsid w:val="00B92236"/>
    <w:rsid w:val="00B92237"/>
    <w:rsid w:val="00B9227D"/>
    <w:rsid w:val="00B9229E"/>
    <w:rsid w:val="00B92387"/>
    <w:rsid w:val="00B92391"/>
    <w:rsid w:val="00B92426"/>
    <w:rsid w:val="00B92437"/>
    <w:rsid w:val="00B924A8"/>
    <w:rsid w:val="00B924AC"/>
    <w:rsid w:val="00B924B8"/>
    <w:rsid w:val="00B924EA"/>
    <w:rsid w:val="00B92507"/>
    <w:rsid w:val="00B9250F"/>
    <w:rsid w:val="00B92563"/>
    <w:rsid w:val="00B92564"/>
    <w:rsid w:val="00B9256C"/>
    <w:rsid w:val="00B925EA"/>
    <w:rsid w:val="00B9262F"/>
    <w:rsid w:val="00B9265B"/>
    <w:rsid w:val="00B926A2"/>
    <w:rsid w:val="00B92794"/>
    <w:rsid w:val="00B927CC"/>
    <w:rsid w:val="00B92801"/>
    <w:rsid w:val="00B9280E"/>
    <w:rsid w:val="00B92824"/>
    <w:rsid w:val="00B92837"/>
    <w:rsid w:val="00B92848"/>
    <w:rsid w:val="00B92877"/>
    <w:rsid w:val="00B928F4"/>
    <w:rsid w:val="00B92914"/>
    <w:rsid w:val="00B929A5"/>
    <w:rsid w:val="00B929C0"/>
    <w:rsid w:val="00B929D7"/>
    <w:rsid w:val="00B92A0D"/>
    <w:rsid w:val="00B92A20"/>
    <w:rsid w:val="00B92A28"/>
    <w:rsid w:val="00B92A77"/>
    <w:rsid w:val="00B92AA1"/>
    <w:rsid w:val="00B92ADE"/>
    <w:rsid w:val="00B92B3B"/>
    <w:rsid w:val="00B92BA8"/>
    <w:rsid w:val="00B92BB2"/>
    <w:rsid w:val="00B92BE3"/>
    <w:rsid w:val="00B92BF3"/>
    <w:rsid w:val="00B92BF4"/>
    <w:rsid w:val="00B92C0A"/>
    <w:rsid w:val="00B92C10"/>
    <w:rsid w:val="00B92C11"/>
    <w:rsid w:val="00B92C33"/>
    <w:rsid w:val="00B92C6F"/>
    <w:rsid w:val="00B92D1B"/>
    <w:rsid w:val="00B92D62"/>
    <w:rsid w:val="00B92DA7"/>
    <w:rsid w:val="00B92DB2"/>
    <w:rsid w:val="00B92E3C"/>
    <w:rsid w:val="00B92E43"/>
    <w:rsid w:val="00B92E73"/>
    <w:rsid w:val="00B92E82"/>
    <w:rsid w:val="00B92F2F"/>
    <w:rsid w:val="00B92F3C"/>
    <w:rsid w:val="00B92F7B"/>
    <w:rsid w:val="00B92F94"/>
    <w:rsid w:val="00B92FBD"/>
    <w:rsid w:val="00B92FC4"/>
    <w:rsid w:val="00B92FE3"/>
    <w:rsid w:val="00B92FF0"/>
    <w:rsid w:val="00B93084"/>
    <w:rsid w:val="00B9310A"/>
    <w:rsid w:val="00B9311D"/>
    <w:rsid w:val="00B9317B"/>
    <w:rsid w:val="00B931AB"/>
    <w:rsid w:val="00B931C5"/>
    <w:rsid w:val="00B931E1"/>
    <w:rsid w:val="00B93242"/>
    <w:rsid w:val="00B9325A"/>
    <w:rsid w:val="00B932D6"/>
    <w:rsid w:val="00B932EF"/>
    <w:rsid w:val="00B9331B"/>
    <w:rsid w:val="00B93353"/>
    <w:rsid w:val="00B93383"/>
    <w:rsid w:val="00B93408"/>
    <w:rsid w:val="00B9342C"/>
    <w:rsid w:val="00B93446"/>
    <w:rsid w:val="00B934E8"/>
    <w:rsid w:val="00B9355E"/>
    <w:rsid w:val="00B9358E"/>
    <w:rsid w:val="00B93592"/>
    <w:rsid w:val="00B935B5"/>
    <w:rsid w:val="00B935BE"/>
    <w:rsid w:val="00B935E0"/>
    <w:rsid w:val="00B93618"/>
    <w:rsid w:val="00B936D0"/>
    <w:rsid w:val="00B936E1"/>
    <w:rsid w:val="00B936F3"/>
    <w:rsid w:val="00B9370F"/>
    <w:rsid w:val="00B93755"/>
    <w:rsid w:val="00B93765"/>
    <w:rsid w:val="00B93784"/>
    <w:rsid w:val="00B937CB"/>
    <w:rsid w:val="00B9384A"/>
    <w:rsid w:val="00B9384E"/>
    <w:rsid w:val="00B93869"/>
    <w:rsid w:val="00B9386C"/>
    <w:rsid w:val="00B9387C"/>
    <w:rsid w:val="00B93882"/>
    <w:rsid w:val="00B9389A"/>
    <w:rsid w:val="00B938B5"/>
    <w:rsid w:val="00B938FF"/>
    <w:rsid w:val="00B9394E"/>
    <w:rsid w:val="00B93976"/>
    <w:rsid w:val="00B93981"/>
    <w:rsid w:val="00B93997"/>
    <w:rsid w:val="00B939A6"/>
    <w:rsid w:val="00B939AC"/>
    <w:rsid w:val="00B93A02"/>
    <w:rsid w:val="00B93A13"/>
    <w:rsid w:val="00B93A91"/>
    <w:rsid w:val="00B93B27"/>
    <w:rsid w:val="00B93B42"/>
    <w:rsid w:val="00B93B45"/>
    <w:rsid w:val="00B93B7A"/>
    <w:rsid w:val="00B93C07"/>
    <w:rsid w:val="00B93C54"/>
    <w:rsid w:val="00B93C74"/>
    <w:rsid w:val="00B93CAB"/>
    <w:rsid w:val="00B93CC4"/>
    <w:rsid w:val="00B93CD3"/>
    <w:rsid w:val="00B93D5E"/>
    <w:rsid w:val="00B93DB6"/>
    <w:rsid w:val="00B93DBB"/>
    <w:rsid w:val="00B93EA6"/>
    <w:rsid w:val="00B93EB8"/>
    <w:rsid w:val="00B93F5E"/>
    <w:rsid w:val="00B93F79"/>
    <w:rsid w:val="00B93FD4"/>
    <w:rsid w:val="00B93FE6"/>
    <w:rsid w:val="00B93FFF"/>
    <w:rsid w:val="00B94011"/>
    <w:rsid w:val="00B9407B"/>
    <w:rsid w:val="00B940B4"/>
    <w:rsid w:val="00B940DD"/>
    <w:rsid w:val="00B9412C"/>
    <w:rsid w:val="00B941E2"/>
    <w:rsid w:val="00B94230"/>
    <w:rsid w:val="00B9424B"/>
    <w:rsid w:val="00B94252"/>
    <w:rsid w:val="00B94279"/>
    <w:rsid w:val="00B9428B"/>
    <w:rsid w:val="00B94297"/>
    <w:rsid w:val="00B942B4"/>
    <w:rsid w:val="00B942F1"/>
    <w:rsid w:val="00B94306"/>
    <w:rsid w:val="00B94359"/>
    <w:rsid w:val="00B9438A"/>
    <w:rsid w:val="00B943B4"/>
    <w:rsid w:val="00B94417"/>
    <w:rsid w:val="00B94455"/>
    <w:rsid w:val="00B9448A"/>
    <w:rsid w:val="00B9452C"/>
    <w:rsid w:val="00B9453C"/>
    <w:rsid w:val="00B94567"/>
    <w:rsid w:val="00B945F3"/>
    <w:rsid w:val="00B94659"/>
    <w:rsid w:val="00B946FC"/>
    <w:rsid w:val="00B94709"/>
    <w:rsid w:val="00B94789"/>
    <w:rsid w:val="00B947B9"/>
    <w:rsid w:val="00B94816"/>
    <w:rsid w:val="00B9482E"/>
    <w:rsid w:val="00B94857"/>
    <w:rsid w:val="00B94904"/>
    <w:rsid w:val="00B9491D"/>
    <w:rsid w:val="00B9495A"/>
    <w:rsid w:val="00B9499B"/>
    <w:rsid w:val="00B949B7"/>
    <w:rsid w:val="00B949DF"/>
    <w:rsid w:val="00B94A25"/>
    <w:rsid w:val="00B94A5E"/>
    <w:rsid w:val="00B94A67"/>
    <w:rsid w:val="00B94B7A"/>
    <w:rsid w:val="00B94B9B"/>
    <w:rsid w:val="00B94BC5"/>
    <w:rsid w:val="00B94BD3"/>
    <w:rsid w:val="00B94C26"/>
    <w:rsid w:val="00B94C37"/>
    <w:rsid w:val="00B94C4F"/>
    <w:rsid w:val="00B94C6C"/>
    <w:rsid w:val="00B94C7F"/>
    <w:rsid w:val="00B94CE6"/>
    <w:rsid w:val="00B94CF8"/>
    <w:rsid w:val="00B94D11"/>
    <w:rsid w:val="00B94D13"/>
    <w:rsid w:val="00B94D17"/>
    <w:rsid w:val="00B94D22"/>
    <w:rsid w:val="00B94E12"/>
    <w:rsid w:val="00B94EA0"/>
    <w:rsid w:val="00B94EB3"/>
    <w:rsid w:val="00B94EC0"/>
    <w:rsid w:val="00B94F76"/>
    <w:rsid w:val="00B94F7C"/>
    <w:rsid w:val="00B94FB6"/>
    <w:rsid w:val="00B94FEE"/>
    <w:rsid w:val="00B95020"/>
    <w:rsid w:val="00B950DC"/>
    <w:rsid w:val="00B950E8"/>
    <w:rsid w:val="00B95109"/>
    <w:rsid w:val="00B95172"/>
    <w:rsid w:val="00B951B2"/>
    <w:rsid w:val="00B951C8"/>
    <w:rsid w:val="00B95214"/>
    <w:rsid w:val="00B9523B"/>
    <w:rsid w:val="00B95256"/>
    <w:rsid w:val="00B95270"/>
    <w:rsid w:val="00B952E6"/>
    <w:rsid w:val="00B9536D"/>
    <w:rsid w:val="00B953AF"/>
    <w:rsid w:val="00B953DD"/>
    <w:rsid w:val="00B95413"/>
    <w:rsid w:val="00B9542E"/>
    <w:rsid w:val="00B95441"/>
    <w:rsid w:val="00B954A8"/>
    <w:rsid w:val="00B954BA"/>
    <w:rsid w:val="00B9555D"/>
    <w:rsid w:val="00B955D2"/>
    <w:rsid w:val="00B955FE"/>
    <w:rsid w:val="00B95619"/>
    <w:rsid w:val="00B95692"/>
    <w:rsid w:val="00B95764"/>
    <w:rsid w:val="00B9578D"/>
    <w:rsid w:val="00B957ED"/>
    <w:rsid w:val="00B957FC"/>
    <w:rsid w:val="00B95828"/>
    <w:rsid w:val="00B95888"/>
    <w:rsid w:val="00B95892"/>
    <w:rsid w:val="00B95939"/>
    <w:rsid w:val="00B9596B"/>
    <w:rsid w:val="00B9599B"/>
    <w:rsid w:val="00B9599D"/>
    <w:rsid w:val="00B959C9"/>
    <w:rsid w:val="00B959CA"/>
    <w:rsid w:val="00B95AF7"/>
    <w:rsid w:val="00B95B07"/>
    <w:rsid w:val="00B95B61"/>
    <w:rsid w:val="00B95B83"/>
    <w:rsid w:val="00B95BA7"/>
    <w:rsid w:val="00B95BB2"/>
    <w:rsid w:val="00B95BC6"/>
    <w:rsid w:val="00B95BCE"/>
    <w:rsid w:val="00B95C48"/>
    <w:rsid w:val="00B95D2C"/>
    <w:rsid w:val="00B95D50"/>
    <w:rsid w:val="00B95D54"/>
    <w:rsid w:val="00B95D8C"/>
    <w:rsid w:val="00B95D8F"/>
    <w:rsid w:val="00B95E34"/>
    <w:rsid w:val="00B95E67"/>
    <w:rsid w:val="00B95EAE"/>
    <w:rsid w:val="00B95EC4"/>
    <w:rsid w:val="00B95EFA"/>
    <w:rsid w:val="00B95F12"/>
    <w:rsid w:val="00B95F1E"/>
    <w:rsid w:val="00B95F22"/>
    <w:rsid w:val="00B95F2E"/>
    <w:rsid w:val="00B95FA2"/>
    <w:rsid w:val="00B9600C"/>
    <w:rsid w:val="00B9600D"/>
    <w:rsid w:val="00B96085"/>
    <w:rsid w:val="00B96091"/>
    <w:rsid w:val="00B960AD"/>
    <w:rsid w:val="00B960D1"/>
    <w:rsid w:val="00B9611D"/>
    <w:rsid w:val="00B96184"/>
    <w:rsid w:val="00B961A2"/>
    <w:rsid w:val="00B9626E"/>
    <w:rsid w:val="00B96283"/>
    <w:rsid w:val="00B96287"/>
    <w:rsid w:val="00B962A0"/>
    <w:rsid w:val="00B96301"/>
    <w:rsid w:val="00B9633F"/>
    <w:rsid w:val="00B96345"/>
    <w:rsid w:val="00B96367"/>
    <w:rsid w:val="00B9636D"/>
    <w:rsid w:val="00B96404"/>
    <w:rsid w:val="00B9643A"/>
    <w:rsid w:val="00B9649C"/>
    <w:rsid w:val="00B96507"/>
    <w:rsid w:val="00B96596"/>
    <w:rsid w:val="00B96657"/>
    <w:rsid w:val="00B96670"/>
    <w:rsid w:val="00B966CB"/>
    <w:rsid w:val="00B966D0"/>
    <w:rsid w:val="00B966D4"/>
    <w:rsid w:val="00B966D6"/>
    <w:rsid w:val="00B9672E"/>
    <w:rsid w:val="00B967D0"/>
    <w:rsid w:val="00B968AF"/>
    <w:rsid w:val="00B968B2"/>
    <w:rsid w:val="00B968DA"/>
    <w:rsid w:val="00B96929"/>
    <w:rsid w:val="00B96979"/>
    <w:rsid w:val="00B96983"/>
    <w:rsid w:val="00B969A1"/>
    <w:rsid w:val="00B96ACF"/>
    <w:rsid w:val="00B96AD9"/>
    <w:rsid w:val="00B96B17"/>
    <w:rsid w:val="00B96BF8"/>
    <w:rsid w:val="00B96C53"/>
    <w:rsid w:val="00B96CAC"/>
    <w:rsid w:val="00B96CBD"/>
    <w:rsid w:val="00B96D20"/>
    <w:rsid w:val="00B96D24"/>
    <w:rsid w:val="00B96D48"/>
    <w:rsid w:val="00B96D51"/>
    <w:rsid w:val="00B96D60"/>
    <w:rsid w:val="00B96DBA"/>
    <w:rsid w:val="00B96DCE"/>
    <w:rsid w:val="00B96DE6"/>
    <w:rsid w:val="00B96DFA"/>
    <w:rsid w:val="00B96DFE"/>
    <w:rsid w:val="00B96E12"/>
    <w:rsid w:val="00B96E30"/>
    <w:rsid w:val="00B96E3A"/>
    <w:rsid w:val="00B96E6A"/>
    <w:rsid w:val="00B96EBE"/>
    <w:rsid w:val="00B96EC4"/>
    <w:rsid w:val="00B96F59"/>
    <w:rsid w:val="00B96FC0"/>
    <w:rsid w:val="00B96FF9"/>
    <w:rsid w:val="00B9703A"/>
    <w:rsid w:val="00B97076"/>
    <w:rsid w:val="00B970D7"/>
    <w:rsid w:val="00B97130"/>
    <w:rsid w:val="00B9713A"/>
    <w:rsid w:val="00B97186"/>
    <w:rsid w:val="00B971C5"/>
    <w:rsid w:val="00B971F6"/>
    <w:rsid w:val="00B97208"/>
    <w:rsid w:val="00B9720A"/>
    <w:rsid w:val="00B9721B"/>
    <w:rsid w:val="00B9722C"/>
    <w:rsid w:val="00B9727C"/>
    <w:rsid w:val="00B972FA"/>
    <w:rsid w:val="00B97366"/>
    <w:rsid w:val="00B97377"/>
    <w:rsid w:val="00B974A2"/>
    <w:rsid w:val="00B974B6"/>
    <w:rsid w:val="00B9753A"/>
    <w:rsid w:val="00B97558"/>
    <w:rsid w:val="00B9756A"/>
    <w:rsid w:val="00B975E7"/>
    <w:rsid w:val="00B975F0"/>
    <w:rsid w:val="00B9765C"/>
    <w:rsid w:val="00B97672"/>
    <w:rsid w:val="00B9768B"/>
    <w:rsid w:val="00B97758"/>
    <w:rsid w:val="00B977F1"/>
    <w:rsid w:val="00B97807"/>
    <w:rsid w:val="00B97810"/>
    <w:rsid w:val="00B978B5"/>
    <w:rsid w:val="00B97913"/>
    <w:rsid w:val="00B97996"/>
    <w:rsid w:val="00B97999"/>
    <w:rsid w:val="00B979AD"/>
    <w:rsid w:val="00B979DA"/>
    <w:rsid w:val="00B97A14"/>
    <w:rsid w:val="00B97AA2"/>
    <w:rsid w:val="00B97ADF"/>
    <w:rsid w:val="00B97AE6"/>
    <w:rsid w:val="00B97AF0"/>
    <w:rsid w:val="00B97B5B"/>
    <w:rsid w:val="00B97B6D"/>
    <w:rsid w:val="00B97B84"/>
    <w:rsid w:val="00B97B8A"/>
    <w:rsid w:val="00B97BDC"/>
    <w:rsid w:val="00B97C1E"/>
    <w:rsid w:val="00B97C7F"/>
    <w:rsid w:val="00B97DB7"/>
    <w:rsid w:val="00B97E06"/>
    <w:rsid w:val="00B97E28"/>
    <w:rsid w:val="00B97E8A"/>
    <w:rsid w:val="00B97EBE"/>
    <w:rsid w:val="00B97F26"/>
    <w:rsid w:val="00B97F28"/>
    <w:rsid w:val="00B97F34"/>
    <w:rsid w:val="00B97F47"/>
    <w:rsid w:val="00B97F68"/>
    <w:rsid w:val="00B97FA9"/>
    <w:rsid w:val="00B97FB2"/>
    <w:rsid w:val="00B97FC4"/>
    <w:rsid w:val="00BA0006"/>
    <w:rsid w:val="00BA0044"/>
    <w:rsid w:val="00BA014F"/>
    <w:rsid w:val="00BA015B"/>
    <w:rsid w:val="00BA0171"/>
    <w:rsid w:val="00BA0185"/>
    <w:rsid w:val="00BA0193"/>
    <w:rsid w:val="00BA01A5"/>
    <w:rsid w:val="00BA01B5"/>
    <w:rsid w:val="00BA01BF"/>
    <w:rsid w:val="00BA0234"/>
    <w:rsid w:val="00BA0281"/>
    <w:rsid w:val="00BA0284"/>
    <w:rsid w:val="00BA0287"/>
    <w:rsid w:val="00BA0295"/>
    <w:rsid w:val="00BA0305"/>
    <w:rsid w:val="00BA0328"/>
    <w:rsid w:val="00BA035C"/>
    <w:rsid w:val="00BA0371"/>
    <w:rsid w:val="00BA03AF"/>
    <w:rsid w:val="00BA0450"/>
    <w:rsid w:val="00BA0494"/>
    <w:rsid w:val="00BA050C"/>
    <w:rsid w:val="00BA0570"/>
    <w:rsid w:val="00BA0604"/>
    <w:rsid w:val="00BA063A"/>
    <w:rsid w:val="00BA0696"/>
    <w:rsid w:val="00BA07B9"/>
    <w:rsid w:val="00BA07E4"/>
    <w:rsid w:val="00BA07F4"/>
    <w:rsid w:val="00BA07FB"/>
    <w:rsid w:val="00BA0830"/>
    <w:rsid w:val="00BA083A"/>
    <w:rsid w:val="00BA0864"/>
    <w:rsid w:val="00BA088B"/>
    <w:rsid w:val="00BA08A8"/>
    <w:rsid w:val="00BA08BF"/>
    <w:rsid w:val="00BA0944"/>
    <w:rsid w:val="00BA0961"/>
    <w:rsid w:val="00BA0980"/>
    <w:rsid w:val="00BA09C1"/>
    <w:rsid w:val="00BA09CB"/>
    <w:rsid w:val="00BA09F1"/>
    <w:rsid w:val="00BA0A18"/>
    <w:rsid w:val="00BA0A59"/>
    <w:rsid w:val="00BA0B47"/>
    <w:rsid w:val="00BA0B5E"/>
    <w:rsid w:val="00BA0BA3"/>
    <w:rsid w:val="00BA0BBE"/>
    <w:rsid w:val="00BA0CC8"/>
    <w:rsid w:val="00BA0CF2"/>
    <w:rsid w:val="00BA0D50"/>
    <w:rsid w:val="00BA0DC4"/>
    <w:rsid w:val="00BA0E25"/>
    <w:rsid w:val="00BA0E3B"/>
    <w:rsid w:val="00BA0E45"/>
    <w:rsid w:val="00BA0E4E"/>
    <w:rsid w:val="00BA0E57"/>
    <w:rsid w:val="00BA0EA4"/>
    <w:rsid w:val="00BA0EED"/>
    <w:rsid w:val="00BA0EFA"/>
    <w:rsid w:val="00BA0F1E"/>
    <w:rsid w:val="00BA0F23"/>
    <w:rsid w:val="00BA0F2B"/>
    <w:rsid w:val="00BA0F4E"/>
    <w:rsid w:val="00BA0F62"/>
    <w:rsid w:val="00BA0F6D"/>
    <w:rsid w:val="00BA0FA8"/>
    <w:rsid w:val="00BA1017"/>
    <w:rsid w:val="00BA1026"/>
    <w:rsid w:val="00BA106E"/>
    <w:rsid w:val="00BA107B"/>
    <w:rsid w:val="00BA10A1"/>
    <w:rsid w:val="00BA10D0"/>
    <w:rsid w:val="00BA10FE"/>
    <w:rsid w:val="00BA1108"/>
    <w:rsid w:val="00BA113A"/>
    <w:rsid w:val="00BA1179"/>
    <w:rsid w:val="00BA11A7"/>
    <w:rsid w:val="00BA124B"/>
    <w:rsid w:val="00BA127D"/>
    <w:rsid w:val="00BA1291"/>
    <w:rsid w:val="00BA129C"/>
    <w:rsid w:val="00BA12CE"/>
    <w:rsid w:val="00BA1371"/>
    <w:rsid w:val="00BA137E"/>
    <w:rsid w:val="00BA13B9"/>
    <w:rsid w:val="00BA13BC"/>
    <w:rsid w:val="00BA13C7"/>
    <w:rsid w:val="00BA13CC"/>
    <w:rsid w:val="00BA13E1"/>
    <w:rsid w:val="00BA14C1"/>
    <w:rsid w:val="00BA14DD"/>
    <w:rsid w:val="00BA14E4"/>
    <w:rsid w:val="00BA14EC"/>
    <w:rsid w:val="00BA1593"/>
    <w:rsid w:val="00BA1687"/>
    <w:rsid w:val="00BA16B3"/>
    <w:rsid w:val="00BA16DA"/>
    <w:rsid w:val="00BA1704"/>
    <w:rsid w:val="00BA1706"/>
    <w:rsid w:val="00BA172C"/>
    <w:rsid w:val="00BA17A7"/>
    <w:rsid w:val="00BA18ED"/>
    <w:rsid w:val="00BA192B"/>
    <w:rsid w:val="00BA1A04"/>
    <w:rsid w:val="00BA1A32"/>
    <w:rsid w:val="00BA1A64"/>
    <w:rsid w:val="00BA1B28"/>
    <w:rsid w:val="00BA1B3D"/>
    <w:rsid w:val="00BA1B42"/>
    <w:rsid w:val="00BA1BEE"/>
    <w:rsid w:val="00BA1C43"/>
    <w:rsid w:val="00BA1CAD"/>
    <w:rsid w:val="00BA1CDD"/>
    <w:rsid w:val="00BA1D33"/>
    <w:rsid w:val="00BA1D95"/>
    <w:rsid w:val="00BA1DAF"/>
    <w:rsid w:val="00BA1DDD"/>
    <w:rsid w:val="00BA1E2B"/>
    <w:rsid w:val="00BA1E2E"/>
    <w:rsid w:val="00BA1E96"/>
    <w:rsid w:val="00BA1EFA"/>
    <w:rsid w:val="00BA1FFC"/>
    <w:rsid w:val="00BA1FFF"/>
    <w:rsid w:val="00BA2011"/>
    <w:rsid w:val="00BA2039"/>
    <w:rsid w:val="00BA20F9"/>
    <w:rsid w:val="00BA210B"/>
    <w:rsid w:val="00BA21A1"/>
    <w:rsid w:val="00BA21A7"/>
    <w:rsid w:val="00BA21C9"/>
    <w:rsid w:val="00BA21F3"/>
    <w:rsid w:val="00BA224D"/>
    <w:rsid w:val="00BA226B"/>
    <w:rsid w:val="00BA2285"/>
    <w:rsid w:val="00BA228F"/>
    <w:rsid w:val="00BA22A7"/>
    <w:rsid w:val="00BA22A9"/>
    <w:rsid w:val="00BA22C3"/>
    <w:rsid w:val="00BA22D6"/>
    <w:rsid w:val="00BA22DC"/>
    <w:rsid w:val="00BA22E3"/>
    <w:rsid w:val="00BA22E7"/>
    <w:rsid w:val="00BA2395"/>
    <w:rsid w:val="00BA2438"/>
    <w:rsid w:val="00BA245C"/>
    <w:rsid w:val="00BA2464"/>
    <w:rsid w:val="00BA25A6"/>
    <w:rsid w:val="00BA25A9"/>
    <w:rsid w:val="00BA25B3"/>
    <w:rsid w:val="00BA25BD"/>
    <w:rsid w:val="00BA25C9"/>
    <w:rsid w:val="00BA2663"/>
    <w:rsid w:val="00BA26F0"/>
    <w:rsid w:val="00BA27CE"/>
    <w:rsid w:val="00BA27EE"/>
    <w:rsid w:val="00BA281E"/>
    <w:rsid w:val="00BA282B"/>
    <w:rsid w:val="00BA284F"/>
    <w:rsid w:val="00BA2853"/>
    <w:rsid w:val="00BA285E"/>
    <w:rsid w:val="00BA2863"/>
    <w:rsid w:val="00BA2869"/>
    <w:rsid w:val="00BA289C"/>
    <w:rsid w:val="00BA28CC"/>
    <w:rsid w:val="00BA28F7"/>
    <w:rsid w:val="00BA2916"/>
    <w:rsid w:val="00BA2938"/>
    <w:rsid w:val="00BA2951"/>
    <w:rsid w:val="00BA2974"/>
    <w:rsid w:val="00BA2994"/>
    <w:rsid w:val="00BA29BD"/>
    <w:rsid w:val="00BA29CC"/>
    <w:rsid w:val="00BA2A5A"/>
    <w:rsid w:val="00BA2A6B"/>
    <w:rsid w:val="00BA2A87"/>
    <w:rsid w:val="00BA2AD2"/>
    <w:rsid w:val="00BA2B07"/>
    <w:rsid w:val="00BA2B0B"/>
    <w:rsid w:val="00BA2BB9"/>
    <w:rsid w:val="00BA2C01"/>
    <w:rsid w:val="00BA2C2C"/>
    <w:rsid w:val="00BA2C52"/>
    <w:rsid w:val="00BA2C65"/>
    <w:rsid w:val="00BA2C81"/>
    <w:rsid w:val="00BA2CA7"/>
    <w:rsid w:val="00BA2CB6"/>
    <w:rsid w:val="00BA2CD9"/>
    <w:rsid w:val="00BA2CE3"/>
    <w:rsid w:val="00BA2D19"/>
    <w:rsid w:val="00BA2D1C"/>
    <w:rsid w:val="00BA2D63"/>
    <w:rsid w:val="00BA2D65"/>
    <w:rsid w:val="00BA2D67"/>
    <w:rsid w:val="00BA2D83"/>
    <w:rsid w:val="00BA2E7B"/>
    <w:rsid w:val="00BA2F37"/>
    <w:rsid w:val="00BA2F52"/>
    <w:rsid w:val="00BA2F7B"/>
    <w:rsid w:val="00BA2F9E"/>
    <w:rsid w:val="00BA2FFC"/>
    <w:rsid w:val="00BA3075"/>
    <w:rsid w:val="00BA307F"/>
    <w:rsid w:val="00BA30A4"/>
    <w:rsid w:val="00BA30B5"/>
    <w:rsid w:val="00BA30CF"/>
    <w:rsid w:val="00BA3177"/>
    <w:rsid w:val="00BA3242"/>
    <w:rsid w:val="00BA3283"/>
    <w:rsid w:val="00BA32BE"/>
    <w:rsid w:val="00BA3305"/>
    <w:rsid w:val="00BA33BD"/>
    <w:rsid w:val="00BA33D9"/>
    <w:rsid w:val="00BA340F"/>
    <w:rsid w:val="00BA3429"/>
    <w:rsid w:val="00BA342D"/>
    <w:rsid w:val="00BA345A"/>
    <w:rsid w:val="00BA34B7"/>
    <w:rsid w:val="00BA34C5"/>
    <w:rsid w:val="00BA3507"/>
    <w:rsid w:val="00BA3534"/>
    <w:rsid w:val="00BA354C"/>
    <w:rsid w:val="00BA3567"/>
    <w:rsid w:val="00BA357E"/>
    <w:rsid w:val="00BA35C1"/>
    <w:rsid w:val="00BA35F4"/>
    <w:rsid w:val="00BA3605"/>
    <w:rsid w:val="00BA3656"/>
    <w:rsid w:val="00BA373C"/>
    <w:rsid w:val="00BA3798"/>
    <w:rsid w:val="00BA3823"/>
    <w:rsid w:val="00BA383E"/>
    <w:rsid w:val="00BA3876"/>
    <w:rsid w:val="00BA3892"/>
    <w:rsid w:val="00BA3896"/>
    <w:rsid w:val="00BA396A"/>
    <w:rsid w:val="00BA39B0"/>
    <w:rsid w:val="00BA39C2"/>
    <w:rsid w:val="00BA39E7"/>
    <w:rsid w:val="00BA3ACB"/>
    <w:rsid w:val="00BA3B00"/>
    <w:rsid w:val="00BA3B48"/>
    <w:rsid w:val="00BA3BE8"/>
    <w:rsid w:val="00BA3C28"/>
    <w:rsid w:val="00BA3C2B"/>
    <w:rsid w:val="00BA3C3F"/>
    <w:rsid w:val="00BA3C44"/>
    <w:rsid w:val="00BA3C4D"/>
    <w:rsid w:val="00BA3C5E"/>
    <w:rsid w:val="00BA3CC8"/>
    <w:rsid w:val="00BA3CE5"/>
    <w:rsid w:val="00BA3DF3"/>
    <w:rsid w:val="00BA3E78"/>
    <w:rsid w:val="00BA3ECB"/>
    <w:rsid w:val="00BA3F68"/>
    <w:rsid w:val="00BA3FD4"/>
    <w:rsid w:val="00BA3FEB"/>
    <w:rsid w:val="00BA40D9"/>
    <w:rsid w:val="00BA40EB"/>
    <w:rsid w:val="00BA40F4"/>
    <w:rsid w:val="00BA4141"/>
    <w:rsid w:val="00BA4199"/>
    <w:rsid w:val="00BA41B2"/>
    <w:rsid w:val="00BA41C2"/>
    <w:rsid w:val="00BA41C7"/>
    <w:rsid w:val="00BA41E6"/>
    <w:rsid w:val="00BA4268"/>
    <w:rsid w:val="00BA426E"/>
    <w:rsid w:val="00BA428D"/>
    <w:rsid w:val="00BA428E"/>
    <w:rsid w:val="00BA42AB"/>
    <w:rsid w:val="00BA43F8"/>
    <w:rsid w:val="00BA4479"/>
    <w:rsid w:val="00BA44F0"/>
    <w:rsid w:val="00BA4533"/>
    <w:rsid w:val="00BA45B6"/>
    <w:rsid w:val="00BA45E1"/>
    <w:rsid w:val="00BA45F2"/>
    <w:rsid w:val="00BA45FD"/>
    <w:rsid w:val="00BA4680"/>
    <w:rsid w:val="00BA471A"/>
    <w:rsid w:val="00BA4720"/>
    <w:rsid w:val="00BA472B"/>
    <w:rsid w:val="00BA474D"/>
    <w:rsid w:val="00BA474F"/>
    <w:rsid w:val="00BA47DA"/>
    <w:rsid w:val="00BA482A"/>
    <w:rsid w:val="00BA4847"/>
    <w:rsid w:val="00BA48C6"/>
    <w:rsid w:val="00BA48CC"/>
    <w:rsid w:val="00BA4914"/>
    <w:rsid w:val="00BA497D"/>
    <w:rsid w:val="00BA49F5"/>
    <w:rsid w:val="00BA4A54"/>
    <w:rsid w:val="00BA4A7B"/>
    <w:rsid w:val="00BA4A92"/>
    <w:rsid w:val="00BA4A98"/>
    <w:rsid w:val="00BA4AE2"/>
    <w:rsid w:val="00BA4AF3"/>
    <w:rsid w:val="00BA4B1D"/>
    <w:rsid w:val="00BA4B8A"/>
    <w:rsid w:val="00BA4BD8"/>
    <w:rsid w:val="00BA4C08"/>
    <w:rsid w:val="00BA4C0A"/>
    <w:rsid w:val="00BA4C26"/>
    <w:rsid w:val="00BA4CEB"/>
    <w:rsid w:val="00BA4D40"/>
    <w:rsid w:val="00BA4D61"/>
    <w:rsid w:val="00BA4E40"/>
    <w:rsid w:val="00BA4E41"/>
    <w:rsid w:val="00BA4E66"/>
    <w:rsid w:val="00BA4EE0"/>
    <w:rsid w:val="00BA4F07"/>
    <w:rsid w:val="00BA4F3A"/>
    <w:rsid w:val="00BA4F5D"/>
    <w:rsid w:val="00BA4F5F"/>
    <w:rsid w:val="00BA4F66"/>
    <w:rsid w:val="00BA4F7B"/>
    <w:rsid w:val="00BA502E"/>
    <w:rsid w:val="00BA5093"/>
    <w:rsid w:val="00BA50A7"/>
    <w:rsid w:val="00BA50C1"/>
    <w:rsid w:val="00BA50F8"/>
    <w:rsid w:val="00BA50FB"/>
    <w:rsid w:val="00BA5156"/>
    <w:rsid w:val="00BA51C0"/>
    <w:rsid w:val="00BA51C8"/>
    <w:rsid w:val="00BA5249"/>
    <w:rsid w:val="00BA528E"/>
    <w:rsid w:val="00BA533C"/>
    <w:rsid w:val="00BA534B"/>
    <w:rsid w:val="00BA5385"/>
    <w:rsid w:val="00BA5399"/>
    <w:rsid w:val="00BA53AD"/>
    <w:rsid w:val="00BA53B3"/>
    <w:rsid w:val="00BA53E5"/>
    <w:rsid w:val="00BA53EB"/>
    <w:rsid w:val="00BA5414"/>
    <w:rsid w:val="00BA5421"/>
    <w:rsid w:val="00BA543D"/>
    <w:rsid w:val="00BA5443"/>
    <w:rsid w:val="00BA5477"/>
    <w:rsid w:val="00BA5494"/>
    <w:rsid w:val="00BA54CD"/>
    <w:rsid w:val="00BA54E3"/>
    <w:rsid w:val="00BA54EC"/>
    <w:rsid w:val="00BA5506"/>
    <w:rsid w:val="00BA550F"/>
    <w:rsid w:val="00BA551D"/>
    <w:rsid w:val="00BA5527"/>
    <w:rsid w:val="00BA5531"/>
    <w:rsid w:val="00BA555A"/>
    <w:rsid w:val="00BA555F"/>
    <w:rsid w:val="00BA55DE"/>
    <w:rsid w:val="00BA5629"/>
    <w:rsid w:val="00BA5686"/>
    <w:rsid w:val="00BA569C"/>
    <w:rsid w:val="00BA56CA"/>
    <w:rsid w:val="00BA56ED"/>
    <w:rsid w:val="00BA5717"/>
    <w:rsid w:val="00BA5725"/>
    <w:rsid w:val="00BA57B6"/>
    <w:rsid w:val="00BA5851"/>
    <w:rsid w:val="00BA5852"/>
    <w:rsid w:val="00BA585D"/>
    <w:rsid w:val="00BA5865"/>
    <w:rsid w:val="00BA587C"/>
    <w:rsid w:val="00BA58CD"/>
    <w:rsid w:val="00BA5A21"/>
    <w:rsid w:val="00BA5A4A"/>
    <w:rsid w:val="00BA5AF0"/>
    <w:rsid w:val="00BA5B24"/>
    <w:rsid w:val="00BA5B81"/>
    <w:rsid w:val="00BA5BD5"/>
    <w:rsid w:val="00BA5C0C"/>
    <w:rsid w:val="00BA5C2F"/>
    <w:rsid w:val="00BA5CBD"/>
    <w:rsid w:val="00BA5CCF"/>
    <w:rsid w:val="00BA5D63"/>
    <w:rsid w:val="00BA5D6E"/>
    <w:rsid w:val="00BA5D84"/>
    <w:rsid w:val="00BA5D9F"/>
    <w:rsid w:val="00BA5DBC"/>
    <w:rsid w:val="00BA5DEF"/>
    <w:rsid w:val="00BA5DFE"/>
    <w:rsid w:val="00BA5E1F"/>
    <w:rsid w:val="00BA5ECA"/>
    <w:rsid w:val="00BA5F2D"/>
    <w:rsid w:val="00BA5F49"/>
    <w:rsid w:val="00BA5F62"/>
    <w:rsid w:val="00BA5FB6"/>
    <w:rsid w:val="00BA5FDE"/>
    <w:rsid w:val="00BA6018"/>
    <w:rsid w:val="00BA6042"/>
    <w:rsid w:val="00BA6086"/>
    <w:rsid w:val="00BA60DD"/>
    <w:rsid w:val="00BA610D"/>
    <w:rsid w:val="00BA6173"/>
    <w:rsid w:val="00BA6180"/>
    <w:rsid w:val="00BA61A7"/>
    <w:rsid w:val="00BA61F1"/>
    <w:rsid w:val="00BA6210"/>
    <w:rsid w:val="00BA6256"/>
    <w:rsid w:val="00BA6276"/>
    <w:rsid w:val="00BA6298"/>
    <w:rsid w:val="00BA630B"/>
    <w:rsid w:val="00BA636E"/>
    <w:rsid w:val="00BA63F4"/>
    <w:rsid w:val="00BA640A"/>
    <w:rsid w:val="00BA646B"/>
    <w:rsid w:val="00BA65F8"/>
    <w:rsid w:val="00BA6650"/>
    <w:rsid w:val="00BA668E"/>
    <w:rsid w:val="00BA67B0"/>
    <w:rsid w:val="00BA67DB"/>
    <w:rsid w:val="00BA6810"/>
    <w:rsid w:val="00BA6842"/>
    <w:rsid w:val="00BA6890"/>
    <w:rsid w:val="00BA693F"/>
    <w:rsid w:val="00BA6945"/>
    <w:rsid w:val="00BA697E"/>
    <w:rsid w:val="00BA69B2"/>
    <w:rsid w:val="00BA69D3"/>
    <w:rsid w:val="00BA6A4B"/>
    <w:rsid w:val="00BA6A92"/>
    <w:rsid w:val="00BA6A98"/>
    <w:rsid w:val="00BA6AE8"/>
    <w:rsid w:val="00BA6B03"/>
    <w:rsid w:val="00BA6B15"/>
    <w:rsid w:val="00BA6B1C"/>
    <w:rsid w:val="00BA6B35"/>
    <w:rsid w:val="00BA6B3E"/>
    <w:rsid w:val="00BA6B99"/>
    <w:rsid w:val="00BA6BAC"/>
    <w:rsid w:val="00BA6C4C"/>
    <w:rsid w:val="00BA6C51"/>
    <w:rsid w:val="00BA6D01"/>
    <w:rsid w:val="00BA6D4C"/>
    <w:rsid w:val="00BA6D8A"/>
    <w:rsid w:val="00BA6DC5"/>
    <w:rsid w:val="00BA6DE3"/>
    <w:rsid w:val="00BA6DFD"/>
    <w:rsid w:val="00BA6E15"/>
    <w:rsid w:val="00BA6E19"/>
    <w:rsid w:val="00BA6EBE"/>
    <w:rsid w:val="00BA6FAC"/>
    <w:rsid w:val="00BA6FB1"/>
    <w:rsid w:val="00BA7044"/>
    <w:rsid w:val="00BA707E"/>
    <w:rsid w:val="00BA70B3"/>
    <w:rsid w:val="00BA717B"/>
    <w:rsid w:val="00BA7196"/>
    <w:rsid w:val="00BA719D"/>
    <w:rsid w:val="00BA71E8"/>
    <w:rsid w:val="00BA71F7"/>
    <w:rsid w:val="00BA72A0"/>
    <w:rsid w:val="00BA72C7"/>
    <w:rsid w:val="00BA74FA"/>
    <w:rsid w:val="00BA756B"/>
    <w:rsid w:val="00BA75E5"/>
    <w:rsid w:val="00BA7616"/>
    <w:rsid w:val="00BA7626"/>
    <w:rsid w:val="00BA76D6"/>
    <w:rsid w:val="00BA779A"/>
    <w:rsid w:val="00BA77A5"/>
    <w:rsid w:val="00BA77F4"/>
    <w:rsid w:val="00BA7825"/>
    <w:rsid w:val="00BA785C"/>
    <w:rsid w:val="00BA78D7"/>
    <w:rsid w:val="00BA78F6"/>
    <w:rsid w:val="00BA7908"/>
    <w:rsid w:val="00BA7931"/>
    <w:rsid w:val="00BA794B"/>
    <w:rsid w:val="00BA7965"/>
    <w:rsid w:val="00BA7970"/>
    <w:rsid w:val="00BA79BC"/>
    <w:rsid w:val="00BA79FC"/>
    <w:rsid w:val="00BA7A10"/>
    <w:rsid w:val="00BA7A19"/>
    <w:rsid w:val="00BA7A1A"/>
    <w:rsid w:val="00BA7A52"/>
    <w:rsid w:val="00BA7AAA"/>
    <w:rsid w:val="00BA7AB3"/>
    <w:rsid w:val="00BA7ABA"/>
    <w:rsid w:val="00BA7AD8"/>
    <w:rsid w:val="00BA7AE1"/>
    <w:rsid w:val="00BA7AFB"/>
    <w:rsid w:val="00BA7BE8"/>
    <w:rsid w:val="00BA7C50"/>
    <w:rsid w:val="00BA7C59"/>
    <w:rsid w:val="00BA7C87"/>
    <w:rsid w:val="00BA7CC8"/>
    <w:rsid w:val="00BA7D04"/>
    <w:rsid w:val="00BA7D0D"/>
    <w:rsid w:val="00BA7D46"/>
    <w:rsid w:val="00BA7D66"/>
    <w:rsid w:val="00BA7DBF"/>
    <w:rsid w:val="00BA7DD7"/>
    <w:rsid w:val="00BA7E50"/>
    <w:rsid w:val="00BA7E79"/>
    <w:rsid w:val="00BA7E7D"/>
    <w:rsid w:val="00BA7EE6"/>
    <w:rsid w:val="00BA7EFF"/>
    <w:rsid w:val="00BA7F0F"/>
    <w:rsid w:val="00BA7FA5"/>
    <w:rsid w:val="00BA7FBF"/>
    <w:rsid w:val="00BAA9A3"/>
    <w:rsid w:val="00BB0005"/>
    <w:rsid w:val="00BB00AA"/>
    <w:rsid w:val="00BB0158"/>
    <w:rsid w:val="00BB017F"/>
    <w:rsid w:val="00BB01AD"/>
    <w:rsid w:val="00BB0200"/>
    <w:rsid w:val="00BB021D"/>
    <w:rsid w:val="00BB0224"/>
    <w:rsid w:val="00BB0226"/>
    <w:rsid w:val="00BB0248"/>
    <w:rsid w:val="00BB026C"/>
    <w:rsid w:val="00BB0272"/>
    <w:rsid w:val="00BB0313"/>
    <w:rsid w:val="00BB0357"/>
    <w:rsid w:val="00BB038F"/>
    <w:rsid w:val="00BB03B1"/>
    <w:rsid w:val="00BB03DE"/>
    <w:rsid w:val="00BB040E"/>
    <w:rsid w:val="00BB0419"/>
    <w:rsid w:val="00BB041C"/>
    <w:rsid w:val="00BB044B"/>
    <w:rsid w:val="00BB0489"/>
    <w:rsid w:val="00BB0492"/>
    <w:rsid w:val="00BB04AD"/>
    <w:rsid w:val="00BB04B1"/>
    <w:rsid w:val="00BB04ED"/>
    <w:rsid w:val="00BB05D1"/>
    <w:rsid w:val="00BB05DA"/>
    <w:rsid w:val="00BB05EB"/>
    <w:rsid w:val="00BB063F"/>
    <w:rsid w:val="00BB066B"/>
    <w:rsid w:val="00BB0689"/>
    <w:rsid w:val="00BB06AA"/>
    <w:rsid w:val="00BB06AE"/>
    <w:rsid w:val="00BB06CA"/>
    <w:rsid w:val="00BB0702"/>
    <w:rsid w:val="00BB0707"/>
    <w:rsid w:val="00BB071F"/>
    <w:rsid w:val="00BB0739"/>
    <w:rsid w:val="00BB075C"/>
    <w:rsid w:val="00BB077B"/>
    <w:rsid w:val="00BB078B"/>
    <w:rsid w:val="00BB078F"/>
    <w:rsid w:val="00BB0798"/>
    <w:rsid w:val="00BB0799"/>
    <w:rsid w:val="00BB079C"/>
    <w:rsid w:val="00BB087A"/>
    <w:rsid w:val="00BB0888"/>
    <w:rsid w:val="00BB08F8"/>
    <w:rsid w:val="00BB092C"/>
    <w:rsid w:val="00BB0939"/>
    <w:rsid w:val="00BB09A0"/>
    <w:rsid w:val="00BB09C2"/>
    <w:rsid w:val="00BB0A0C"/>
    <w:rsid w:val="00BB0AC5"/>
    <w:rsid w:val="00BB0B1E"/>
    <w:rsid w:val="00BB0B6F"/>
    <w:rsid w:val="00BB0C27"/>
    <w:rsid w:val="00BB0C37"/>
    <w:rsid w:val="00BB0C3E"/>
    <w:rsid w:val="00BB0CAE"/>
    <w:rsid w:val="00BB0CB1"/>
    <w:rsid w:val="00BB0CF1"/>
    <w:rsid w:val="00BB0DA0"/>
    <w:rsid w:val="00BB0DB8"/>
    <w:rsid w:val="00BB0E7F"/>
    <w:rsid w:val="00BB0EC8"/>
    <w:rsid w:val="00BB0F17"/>
    <w:rsid w:val="00BB0F23"/>
    <w:rsid w:val="00BB0F39"/>
    <w:rsid w:val="00BB0F43"/>
    <w:rsid w:val="00BB0F4C"/>
    <w:rsid w:val="00BB0F56"/>
    <w:rsid w:val="00BB0F75"/>
    <w:rsid w:val="00BB0F7E"/>
    <w:rsid w:val="00BB0F85"/>
    <w:rsid w:val="00BB100D"/>
    <w:rsid w:val="00BB1010"/>
    <w:rsid w:val="00BB1027"/>
    <w:rsid w:val="00BB1058"/>
    <w:rsid w:val="00BB1067"/>
    <w:rsid w:val="00BB10EB"/>
    <w:rsid w:val="00BB111F"/>
    <w:rsid w:val="00BB112E"/>
    <w:rsid w:val="00BB114D"/>
    <w:rsid w:val="00BB115E"/>
    <w:rsid w:val="00BB1166"/>
    <w:rsid w:val="00BB1187"/>
    <w:rsid w:val="00BB11D2"/>
    <w:rsid w:val="00BB11ED"/>
    <w:rsid w:val="00BB11F4"/>
    <w:rsid w:val="00BB1208"/>
    <w:rsid w:val="00BB1270"/>
    <w:rsid w:val="00BB1293"/>
    <w:rsid w:val="00BB12D9"/>
    <w:rsid w:val="00BB12F1"/>
    <w:rsid w:val="00BB1316"/>
    <w:rsid w:val="00BB138C"/>
    <w:rsid w:val="00BB13ED"/>
    <w:rsid w:val="00BB1444"/>
    <w:rsid w:val="00BB1451"/>
    <w:rsid w:val="00BB1460"/>
    <w:rsid w:val="00BB1472"/>
    <w:rsid w:val="00BB14AF"/>
    <w:rsid w:val="00BB150E"/>
    <w:rsid w:val="00BB151C"/>
    <w:rsid w:val="00BB156D"/>
    <w:rsid w:val="00BB159D"/>
    <w:rsid w:val="00BB159F"/>
    <w:rsid w:val="00BB15DC"/>
    <w:rsid w:val="00BB1621"/>
    <w:rsid w:val="00BB16BF"/>
    <w:rsid w:val="00BB16CF"/>
    <w:rsid w:val="00BB16D9"/>
    <w:rsid w:val="00BB176B"/>
    <w:rsid w:val="00BB178B"/>
    <w:rsid w:val="00BB1871"/>
    <w:rsid w:val="00BB18C8"/>
    <w:rsid w:val="00BB18D5"/>
    <w:rsid w:val="00BB196F"/>
    <w:rsid w:val="00BB199B"/>
    <w:rsid w:val="00BB19C8"/>
    <w:rsid w:val="00BB19E3"/>
    <w:rsid w:val="00BB1A19"/>
    <w:rsid w:val="00BB1A53"/>
    <w:rsid w:val="00BB1A9A"/>
    <w:rsid w:val="00BB1AC8"/>
    <w:rsid w:val="00BB1B16"/>
    <w:rsid w:val="00BB1B32"/>
    <w:rsid w:val="00BB1BBA"/>
    <w:rsid w:val="00BB1C17"/>
    <w:rsid w:val="00BB1C4B"/>
    <w:rsid w:val="00BB1CAE"/>
    <w:rsid w:val="00BB1CD4"/>
    <w:rsid w:val="00BB1D20"/>
    <w:rsid w:val="00BB1D52"/>
    <w:rsid w:val="00BB1D60"/>
    <w:rsid w:val="00BB1DE6"/>
    <w:rsid w:val="00BB1E09"/>
    <w:rsid w:val="00BB1E33"/>
    <w:rsid w:val="00BB1E80"/>
    <w:rsid w:val="00BB1E94"/>
    <w:rsid w:val="00BB1EC3"/>
    <w:rsid w:val="00BB1ED7"/>
    <w:rsid w:val="00BB1F50"/>
    <w:rsid w:val="00BB1F6E"/>
    <w:rsid w:val="00BB1F97"/>
    <w:rsid w:val="00BB1F9D"/>
    <w:rsid w:val="00BB1FCD"/>
    <w:rsid w:val="00BB1FE4"/>
    <w:rsid w:val="00BB1FFC"/>
    <w:rsid w:val="00BB205A"/>
    <w:rsid w:val="00BB2065"/>
    <w:rsid w:val="00BB20D7"/>
    <w:rsid w:val="00BB20F2"/>
    <w:rsid w:val="00BB2137"/>
    <w:rsid w:val="00BB2150"/>
    <w:rsid w:val="00BB215C"/>
    <w:rsid w:val="00BB2181"/>
    <w:rsid w:val="00BB21C2"/>
    <w:rsid w:val="00BB21E3"/>
    <w:rsid w:val="00BB21E7"/>
    <w:rsid w:val="00BB2215"/>
    <w:rsid w:val="00BB227C"/>
    <w:rsid w:val="00BB2281"/>
    <w:rsid w:val="00BB2288"/>
    <w:rsid w:val="00BB22F3"/>
    <w:rsid w:val="00BB232F"/>
    <w:rsid w:val="00BB2337"/>
    <w:rsid w:val="00BB2381"/>
    <w:rsid w:val="00BB238A"/>
    <w:rsid w:val="00BB2396"/>
    <w:rsid w:val="00BB23F7"/>
    <w:rsid w:val="00BB244C"/>
    <w:rsid w:val="00BB2478"/>
    <w:rsid w:val="00BB24F0"/>
    <w:rsid w:val="00BB2538"/>
    <w:rsid w:val="00BB259C"/>
    <w:rsid w:val="00BB25AD"/>
    <w:rsid w:val="00BB25BA"/>
    <w:rsid w:val="00BB25C9"/>
    <w:rsid w:val="00BB25E9"/>
    <w:rsid w:val="00BB25F7"/>
    <w:rsid w:val="00BB2644"/>
    <w:rsid w:val="00BB2646"/>
    <w:rsid w:val="00BB265C"/>
    <w:rsid w:val="00BB2719"/>
    <w:rsid w:val="00BB277A"/>
    <w:rsid w:val="00BB283E"/>
    <w:rsid w:val="00BB287B"/>
    <w:rsid w:val="00BB2897"/>
    <w:rsid w:val="00BB28B7"/>
    <w:rsid w:val="00BB2901"/>
    <w:rsid w:val="00BB290A"/>
    <w:rsid w:val="00BB291E"/>
    <w:rsid w:val="00BB2942"/>
    <w:rsid w:val="00BB29E8"/>
    <w:rsid w:val="00BB2A10"/>
    <w:rsid w:val="00BB2A96"/>
    <w:rsid w:val="00BB2BE2"/>
    <w:rsid w:val="00BB2C37"/>
    <w:rsid w:val="00BB2D3D"/>
    <w:rsid w:val="00BB2D4F"/>
    <w:rsid w:val="00BB2D60"/>
    <w:rsid w:val="00BB2D64"/>
    <w:rsid w:val="00BB2DFC"/>
    <w:rsid w:val="00BB2E04"/>
    <w:rsid w:val="00BB2E10"/>
    <w:rsid w:val="00BB2E33"/>
    <w:rsid w:val="00BB2E57"/>
    <w:rsid w:val="00BB2E76"/>
    <w:rsid w:val="00BB2E82"/>
    <w:rsid w:val="00BB2ED0"/>
    <w:rsid w:val="00BB2EFB"/>
    <w:rsid w:val="00BB2F11"/>
    <w:rsid w:val="00BB2F30"/>
    <w:rsid w:val="00BB2F88"/>
    <w:rsid w:val="00BB2F9D"/>
    <w:rsid w:val="00BB2FAD"/>
    <w:rsid w:val="00BB2FBE"/>
    <w:rsid w:val="00BB2FC1"/>
    <w:rsid w:val="00BB3021"/>
    <w:rsid w:val="00BB3023"/>
    <w:rsid w:val="00BB3028"/>
    <w:rsid w:val="00BB3097"/>
    <w:rsid w:val="00BB30DA"/>
    <w:rsid w:val="00BB310F"/>
    <w:rsid w:val="00BB3188"/>
    <w:rsid w:val="00BB31E2"/>
    <w:rsid w:val="00BB31F3"/>
    <w:rsid w:val="00BB324A"/>
    <w:rsid w:val="00BB3258"/>
    <w:rsid w:val="00BB327D"/>
    <w:rsid w:val="00BB3296"/>
    <w:rsid w:val="00BB32A9"/>
    <w:rsid w:val="00BB32FD"/>
    <w:rsid w:val="00BB332C"/>
    <w:rsid w:val="00BB3342"/>
    <w:rsid w:val="00BB3357"/>
    <w:rsid w:val="00BB33B2"/>
    <w:rsid w:val="00BB340F"/>
    <w:rsid w:val="00BB342F"/>
    <w:rsid w:val="00BB3433"/>
    <w:rsid w:val="00BB3464"/>
    <w:rsid w:val="00BB349B"/>
    <w:rsid w:val="00BB3509"/>
    <w:rsid w:val="00BB350F"/>
    <w:rsid w:val="00BB3569"/>
    <w:rsid w:val="00BB35BA"/>
    <w:rsid w:val="00BB35E8"/>
    <w:rsid w:val="00BB3606"/>
    <w:rsid w:val="00BB363A"/>
    <w:rsid w:val="00BB3641"/>
    <w:rsid w:val="00BB364E"/>
    <w:rsid w:val="00BB366A"/>
    <w:rsid w:val="00BB366F"/>
    <w:rsid w:val="00BB36C1"/>
    <w:rsid w:val="00BB36CB"/>
    <w:rsid w:val="00BB36F1"/>
    <w:rsid w:val="00BB36F9"/>
    <w:rsid w:val="00BB3734"/>
    <w:rsid w:val="00BB379E"/>
    <w:rsid w:val="00BB37A3"/>
    <w:rsid w:val="00BB37A7"/>
    <w:rsid w:val="00BB3816"/>
    <w:rsid w:val="00BB3849"/>
    <w:rsid w:val="00BB3872"/>
    <w:rsid w:val="00BB38B8"/>
    <w:rsid w:val="00BB399C"/>
    <w:rsid w:val="00BB39D5"/>
    <w:rsid w:val="00BB3A26"/>
    <w:rsid w:val="00BB3A6B"/>
    <w:rsid w:val="00BB3A96"/>
    <w:rsid w:val="00BB3A98"/>
    <w:rsid w:val="00BB3AC2"/>
    <w:rsid w:val="00BB3AD3"/>
    <w:rsid w:val="00BB3AE2"/>
    <w:rsid w:val="00BB3B44"/>
    <w:rsid w:val="00BB3B91"/>
    <w:rsid w:val="00BB3BEB"/>
    <w:rsid w:val="00BB3C06"/>
    <w:rsid w:val="00BB3C3C"/>
    <w:rsid w:val="00BB3C44"/>
    <w:rsid w:val="00BB3CE7"/>
    <w:rsid w:val="00BB3D06"/>
    <w:rsid w:val="00BB3D7F"/>
    <w:rsid w:val="00BB3D86"/>
    <w:rsid w:val="00BB3DE0"/>
    <w:rsid w:val="00BB3DEB"/>
    <w:rsid w:val="00BB3E0D"/>
    <w:rsid w:val="00BB3E25"/>
    <w:rsid w:val="00BB3E7B"/>
    <w:rsid w:val="00BB3EF2"/>
    <w:rsid w:val="00BB3F0D"/>
    <w:rsid w:val="00BB3F3D"/>
    <w:rsid w:val="00BB3F52"/>
    <w:rsid w:val="00BB3F9D"/>
    <w:rsid w:val="00BB3FD2"/>
    <w:rsid w:val="00BB3FDC"/>
    <w:rsid w:val="00BB4009"/>
    <w:rsid w:val="00BB404D"/>
    <w:rsid w:val="00BB4054"/>
    <w:rsid w:val="00BB4090"/>
    <w:rsid w:val="00BB40A9"/>
    <w:rsid w:val="00BB40C6"/>
    <w:rsid w:val="00BB41B3"/>
    <w:rsid w:val="00BB4217"/>
    <w:rsid w:val="00BB4267"/>
    <w:rsid w:val="00BB42BC"/>
    <w:rsid w:val="00BB42FC"/>
    <w:rsid w:val="00BB4304"/>
    <w:rsid w:val="00BB43CF"/>
    <w:rsid w:val="00BB43EF"/>
    <w:rsid w:val="00BB43F8"/>
    <w:rsid w:val="00BB4446"/>
    <w:rsid w:val="00BB4468"/>
    <w:rsid w:val="00BB4470"/>
    <w:rsid w:val="00BB44C2"/>
    <w:rsid w:val="00BB44C6"/>
    <w:rsid w:val="00BB4554"/>
    <w:rsid w:val="00BB458A"/>
    <w:rsid w:val="00BB45B3"/>
    <w:rsid w:val="00BB4650"/>
    <w:rsid w:val="00BB46AA"/>
    <w:rsid w:val="00BB46CA"/>
    <w:rsid w:val="00BB46F7"/>
    <w:rsid w:val="00BB48AB"/>
    <w:rsid w:val="00BB4905"/>
    <w:rsid w:val="00BB492C"/>
    <w:rsid w:val="00BB4961"/>
    <w:rsid w:val="00BB497D"/>
    <w:rsid w:val="00BB49A0"/>
    <w:rsid w:val="00BB49A3"/>
    <w:rsid w:val="00BB49C1"/>
    <w:rsid w:val="00BB49EB"/>
    <w:rsid w:val="00BB4A12"/>
    <w:rsid w:val="00BB4A1B"/>
    <w:rsid w:val="00BB4A23"/>
    <w:rsid w:val="00BB4A5E"/>
    <w:rsid w:val="00BB4B41"/>
    <w:rsid w:val="00BB4B72"/>
    <w:rsid w:val="00BB4B7C"/>
    <w:rsid w:val="00BB4B8B"/>
    <w:rsid w:val="00BB4C33"/>
    <w:rsid w:val="00BB4C37"/>
    <w:rsid w:val="00BB4C3C"/>
    <w:rsid w:val="00BB4C50"/>
    <w:rsid w:val="00BB4C91"/>
    <w:rsid w:val="00BB4CD4"/>
    <w:rsid w:val="00BB4D21"/>
    <w:rsid w:val="00BB4D3C"/>
    <w:rsid w:val="00BB4D62"/>
    <w:rsid w:val="00BB4D78"/>
    <w:rsid w:val="00BB4DFD"/>
    <w:rsid w:val="00BB4E69"/>
    <w:rsid w:val="00BB4EA1"/>
    <w:rsid w:val="00BB4F69"/>
    <w:rsid w:val="00BB4F89"/>
    <w:rsid w:val="00BB4FC5"/>
    <w:rsid w:val="00BB4FDD"/>
    <w:rsid w:val="00BB506B"/>
    <w:rsid w:val="00BB50B1"/>
    <w:rsid w:val="00BB51A6"/>
    <w:rsid w:val="00BB51B9"/>
    <w:rsid w:val="00BB51C2"/>
    <w:rsid w:val="00BB5228"/>
    <w:rsid w:val="00BB5232"/>
    <w:rsid w:val="00BB523B"/>
    <w:rsid w:val="00BB5291"/>
    <w:rsid w:val="00BB52D2"/>
    <w:rsid w:val="00BB5309"/>
    <w:rsid w:val="00BB532B"/>
    <w:rsid w:val="00BB5382"/>
    <w:rsid w:val="00BB538E"/>
    <w:rsid w:val="00BB5390"/>
    <w:rsid w:val="00BB540E"/>
    <w:rsid w:val="00BB54D4"/>
    <w:rsid w:val="00BB555D"/>
    <w:rsid w:val="00BB5588"/>
    <w:rsid w:val="00BB5592"/>
    <w:rsid w:val="00BB55C2"/>
    <w:rsid w:val="00BB55CA"/>
    <w:rsid w:val="00BB5612"/>
    <w:rsid w:val="00BB5698"/>
    <w:rsid w:val="00BB56B4"/>
    <w:rsid w:val="00BB574D"/>
    <w:rsid w:val="00BB57A0"/>
    <w:rsid w:val="00BB5819"/>
    <w:rsid w:val="00BB582E"/>
    <w:rsid w:val="00BB5845"/>
    <w:rsid w:val="00BB5866"/>
    <w:rsid w:val="00BB5886"/>
    <w:rsid w:val="00BB5908"/>
    <w:rsid w:val="00BB5928"/>
    <w:rsid w:val="00BB5940"/>
    <w:rsid w:val="00BB596B"/>
    <w:rsid w:val="00BB5A3F"/>
    <w:rsid w:val="00BB5AE0"/>
    <w:rsid w:val="00BB5AE1"/>
    <w:rsid w:val="00BB5B3F"/>
    <w:rsid w:val="00BB5BCE"/>
    <w:rsid w:val="00BB5BDB"/>
    <w:rsid w:val="00BB5BDE"/>
    <w:rsid w:val="00BB5C28"/>
    <w:rsid w:val="00BB5C33"/>
    <w:rsid w:val="00BB5CA2"/>
    <w:rsid w:val="00BB5CD1"/>
    <w:rsid w:val="00BB5D02"/>
    <w:rsid w:val="00BB5D19"/>
    <w:rsid w:val="00BB5DA5"/>
    <w:rsid w:val="00BB5DD1"/>
    <w:rsid w:val="00BB5DE1"/>
    <w:rsid w:val="00BB5E0F"/>
    <w:rsid w:val="00BB5E1F"/>
    <w:rsid w:val="00BB5E3A"/>
    <w:rsid w:val="00BB5EE8"/>
    <w:rsid w:val="00BB5EFC"/>
    <w:rsid w:val="00BB5F37"/>
    <w:rsid w:val="00BB5FCD"/>
    <w:rsid w:val="00BB5FEE"/>
    <w:rsid w:val="00BB6038"/>
    <w:rsid w:val="00BB603C"/>
    <w:rsid w:val="00BB6076"/>
    <w:rsid w:val="00BB60D5"/>
    <w:rsid w:val="00BB610C"/>
    <w:rsid w:val="00BB6142"/>
    <w:rsid w:val="00BB616E"/>
    <w:rsid w:val="00BB6170"/>
    <w:rsid w:val="00BB61C5"/>
    <w:rsid w:val="00BB61CC"/>
    <w:rsid w:val="00BB6213"/>
    <w:rsid w:val="00BB624F"/>
    <w:rsid w:val="00BB62BB"/>
    <w:rsid w:val="00BB6318"/>
    <w:rsid w:val="00BB6324"/>
    <w:rsid w:val="00BB634A"/>
    <w:rsid w:val="00BB634F"/>
    <w:rsid w:val="00BB6350"/>
    <w:rsid w:val="00BB6355"/>
    <w:rsid w:val="00BB63F6"/>
    <w:rsid w:val="00BB6425"/>
    <w:rsid w:val="00BB6462"/>
    <w:rsid w:val="00BB648A"/>
    <w:rsid w:val="00BB64DE"/>
    <w:rsid w:val="00BB6507"/>
    <w:rsid w:val="00BB6508"/>
    <w:rsid w:val="00BB651B"/>
    <w:rsid w:val="00BB6588"/>
    <w:rsid w:val="00BB65B6"/>
    <w:rsid w:val="00BB65E9"/>
    <w:rsid w:val="00BB667D"/>
    <w:rsid w:val="00BB668A"/>
    <w:rsid w:val="00BB66CF"/>
    <w:rsid w:val="00BB6712"/>
    <w:rsid w:val="00BB6748"/>
    <w:rsid w:val="00BB6749"/>
    <w:rsid w:val="00BB6757"/>
    <w:rsid w:val="00BB6764"/>
    <w:rsid w:val="00BB6781"/>
    <w:rsid w:val="00BB6794"/>
    <w:rsid w:val="00BB67F7"/>
    <w:rsid w:val="00BB68B3"/>
    <w:rsid w:val="00BB68CD"/>
    <w:rsid w:val="00BB68DA"/>
    <w:rsid w:val="00BB68E2"/>
    <w:rsid w:val="00BB691A"/>
    <w:rsid w:val="00BB694D"/>
    <w:rsid w:val="00BB6A09"/>
    <w:rsid w:val="00BB6A15"/>
    <w:rsid w:val="00BB6A41"/>
    <w:rsid w:val="00BB6A50"/>
    <w:rsid w:val="00BB6A72"/>
    <w:rsid w:val="00BB6ABF"/>
    <w:rsid w:val="00BB6AC5"/>
    <w:rsid w:val="00BB6AF2"/>
    <w:rsid w:val="00BB6B35"/>
    <w:rsid w:val="00BB6C1C"/>
    <w:rsid w:val="00BB6C50"/>
    <w:rsid w:val="00BB6C72"/>
    <w:rsid w:val="00BB6CBB"/>
    <w:rsid w:val="00BB6CE3"/>
    <w:rsid w:val="00BB6E2E"/>
    <w:rsid w:val="00BB6E66"/>
    <w:rsid w:val="00BB6E7D"/>
    <w:rsid w:val="00BB6E83"/>
    <w:rsid w:val="00BB6F5B"/>
    <w:rsid w:val="00BB6F71"/>
    <w:rsid w:val="00BB7009"/>
    <w:rsid w:val="00BB70E6"/>
    <w:rsid w:val="00BB7118"/>
    <w:rsid w:val="00BB714D"/>
    <w:rsid w:val="00BB7157"/>
    <w:rsid w:val="00BB71C6"/>
    <w:rsid w:val="00BB71D2"/>
    <w:rsid w:val="00BB71D9"/>
    <w:rsid w:val="00BB727D"/>
    <w:rsid w:val="00BB7280"/>
    <w:rsid w:val="00BB72B7"/>
    <w:rsid w:val="00BB72F7"/>
    <w:rsid w:val="00BB7311"/>
    <w:rsid w:val="00BB731F"/>
    <w:rsid w:val="00BB7361"/>
    <w:rsid w:val="00BB73C9"/>
    <w:rsid w:val="00BB73FF"/>
    <w:rsid w:val="00BB74BF"/>
    <w:rsid w:val="00BB7576"/>
    <w:rsid w:val="00BB7650"/>
    <w:rsid w:val="00BB769B"/>
    <w:rsid w:val="00BB76D3"/>
    <w:rsid w:val="00BB7712"/>
    <w:rsid w:val="00BB773D"/>
    <w:rsid w:val="00BB77AA"/>
    <w:rsid w:val="00BB78BE"/>
    <w:rsid w:val="00BB78F1"/>
    <w:rsid w:val="00BB7904"/>
    <w:rsid w:val="00BB798F"/>
    <w:rsid w:val="00BB7A3E"/>
    <w:rsid w:val="00BB7A5A"/>
    <w:rsid w:val="00BB7A94"/>
    <w:rsid w:val="00BB7A97"/>
    <w:rsid w:val="00BB7AAE"/>
    <w:rsid w:val="00BB7AEF"/>
    <w:rsid w:val="00BB7B1F"/>
    <w:rsid w:val="00BB7B93"/>
    <w:rsid w:val="00BB7BB0"/>
    <w:rsid w:val="00BB7C17"/>
    <w:rsid w:val="00BB7C52"/>
    <w:rsid w:val="00BB7C78"/>
    <w:rsid w:val="00BB7D54"/>
    <w:rsid w:val="00BB7DF3"/>
    <w:rsid w:val="00BB7E3F"/>
    <w:rsid w:val="00BB7E7B"/>
    <w:rsid w:val="00BB7E7C"/>
    <w:rsid w:val="00BB7ED0"/>
    <w:rsid w:val="00BB7EF4"/>
    <w:rsid w:val="00BB7F0B"/>
    <w:rsid w:val="00BB7F92"/>
    <w:rsid w:val="00BB7FD5"/>
    <w:rsid w:val="00BB7FFA"/>
    <w:rsid w:val="00BC0035"/>
    <w:rsid w:val="00BC003C"/>
    <w:rsid w:val="00BC0084"/>
    <w:rsid w:val="00BC00BD"/>
    <w:rsid w:val="00BC0140"/>
    <w:rsid w:val="00BC0199"/>
    <w:rsid w:val="00BC01B6"/>
    <w:rsid w:val="00BC021E"/>
    <w:rsid w:val="00BC0273"/>
    <w:rsid w:val="00BC0286"/>
    <w:rsid w:val="00BC033B"/>
    <w:rsid w:val="00BC0345"/>
    <w:rsid w:val="00BC034C"/>
    <w:rsid w:val="00BC0397"/>
    <w:rsid w:val="00BC03AA"/>
    <w:rsid w:val="00BC03B6"/>
    <w:rsid w:val="00BC03E2"/>
    <w:rsid w:val="00BC040A"/>
    <w:rsid w:val="00BC0469"/>
    <w:rsid w:val="00BC04A2"/>
    <w:rsid w:val="00BC04F5"/>
    <w:rsid w:val="00BC04F7"/>
    <w:rsid w:val="00BC050B"/>
    <w:rsid w:val="00BC051F"/>
    <w:rsid w:val="00BC056E"/>
    <w:rsid w:val="00BC0582"/>
    <w:rsid w:val="00BC0595"/>
    <w:rsid w:val="00BC059A"/>
    <w:rsid w:val="00BC05BE"/>
    <w:rsid w:val="00BC05F9"/>
    <w:rsid w:val="00BC0602"/>
    <w:rsid w:val="00BC065A"/>
    <w:rsid w:val="00BC0691"/>
    <w:rsid w:val="00BC06D9"/>
    <w:rsid w:val="00BC071A"/>
    <w:rsid w:val="00BC07D9"/>
    <w:rsid w:val="00BC07EF"/>
    <w:rsid w:val="00BC0843"/>
    <w:rsid w:val="00BC08A6"/>
    <w:rsid w:val="00BC08BD"/>
    <w:rsid w:val="00BC08F0"/>
    <w:rsid w:val="00BC08F7"/>
    <w:rsid w:val="00BC0906"/>
    <w:rsid w:val="00BC090A"/>
    <w:rsid w:val="00BC0940"/>
    <w:rsid w:val="00BC097E"/>
    <w:rsid w:val="00BC099A"/>
    <w:rsid w:val="00BC0A46"/>
    <w:rsid w:val="00BC0A65"/>
    <w:rsid w:val="00BC0B07"/>
    <w:rsid w:val="00BC0B81"/>
    <w:rsid w:val="00BC0C19"/>
    <w:rsid w:val="00BC0C2E"/>
    <w:rsid w:val="00BC0C65"/>
    <w:rsid w:val="00BC0CB9"/>
    <w:rsid w:val="00BC0CEE"/>
    <w:rsid w:val="00BC0D23"/>
    <w:rsid w:val="00BC0D45"/>
    <w:rsid w:val="00BC0D93"/>
    <w:rsid w:val="00BC0E12"/>
    <w:rsid w:val="00BC0E16"/>
    <w:rsid w:val="00BC0E96"/>
    <w:rsid w:val="00BC0EA6"/>
    <w:rsid w:val="00BC0EBB"/>
    <w:rsid w:val="00BC0ED5"/>
    <w:rsid w:val="00BC0F0F"/>
    <w:rsid w:val="00BC0F19"/>
    <w:rsid w:val="00BC0F65"/>
    <w:rsid w:val="00BC0F81"/>
    <w:rsid w:val="00BC0F84"/>
    <w:rsid w:val="00BC0FE4"/>
    <w:rsid w:val="00BC0FED"/>
    <w:rsid w:val="00BC0FF7"/>
    <w:rsid w:val="00BC101A"/>
    <w:rsid w:val="00BC103B"/>
    <w:rsid w:val="00BC1047"/>
    <w:rsid w:val="00BC10FA"/>
    <w:rsid w:val="00BC111D"/>
    <w:rsid w:val="00BC11CE"/>
    <w:rsid w:val="00BC1226"/>
    <w:rsid w:val="00BC1230"/>
    <w:rsid w:val="00BC1245"/>
    <w:rsid w:val="00BC1270"/>
    <w:rsid w:val="00BC1278"/>
    <w:rsid w:val="00BC12A5"/>
    <w:rsid w:val="00BC12CD"/>
    <w:rsid w:val="00BC1335"/>
    <w:rsid w:val="00BC1350"/>
    <w:rsid w:val="00BC1354"/>
    <w:rsid w:val="00BC1434"/>
    <w:rsid w:val="00BC1436"/>
    <w:rsid w:val="00BC14CE"/>
    <w:rsid w:val="00BC14D2"/>
    <w:rsid w:val="00BC14D6"/>
    <w:rsid w:val="00BC15A9"/>
    <w:rsid w:val="00BC15BD"/>
    <w:rsid w:val="00BC15CA"/>
    <w:rsid w:val="00BC15F8"/>
    <w:rsid w:val="00BC162E"/>
    <w:rsid w:val="00BC168D"/>
    <w:rsid w:val="00BC172B"/>
    <w:rsid w:val="00BC1765"/>
    <w:rsid w:val="00BC1785"/>
    <w:rsid w:val="00BC17A8"/>
    <w:rsid w:val="00BC17B0"/>
    <w:rsid w:val="00BC17E5"/>
    <w:rsid w:val="00BC1822"/>
    <w:rsid w:val="00BC1847"/>
    <w:rsid w:val="00BC18F3"/>
    <w:rsid w:val="00BC1962"/>
    <w:rsid w:val="00BC1964"/>
    <w:rsid w:val="00BC1989"/>
    <w:rsid w:val="00BC199C"/>
    <w:rsid w:val="00BC1A72"/>
    <w:rsid w:val="00BC1A73"/>
    <w:rsid w:val="00BC1AAC"/>
    <w:rsid w:val="00BC1B99"/>
    <w:rsid w:val="00BC1BF2"/>
    <w:rsid w:val="00BC1BFE"/>
    <w:rsid w:val="00BC1C36"/>
    <w:rsid w:val="00BC1C4D"/>
    <w:rsid w:val="00BC1C56"/>
    <w:rsid w:val="00BC1C5D"/>
    <w:rsid w:val="00BC1C82"/>
    <w:rsid w:val="00BC1CB5"/>
    <w:rsid w:val="00BC1CD8"/>
    <w:rsid w:val="00BC1D42"/>
    <w:rsid w:val="00BC1D7D"/>
    <w:rsid w:val="00BC1D9E"/>
    <w:rsid w:val="00BC1DB5"/>
    <w:rsid w:val="00BC1DC2"/>
    <w:rsid w:val="00BC1E4A"/>
    <w:rsid w:val="00BC1EBB"/>
    <w:rsid w:val="00BC1F09"/>
    <w:rsid w:val="00BC1F3C"/>
    <w:rsid w:val="00BC1F4B"/>
    <w:rsid w:val="00BC1F6E"/>
    <w:rsid w:val="00BC1F72"/>
    <w:rsid w:val="00BC1FB1"/>
    <w:rsid w:val="00BC1FC0"/>
    <w:rsid w:val="00BC1FDA"/>
    <w:rsid w:val="00BC201A"/>
    <w:rsid w:val="00BC2098"/>
    <w:rsid w:val="00BC20A8"/>
    <w:rsid w:val="00BC2153"/>
    <w:rsid w:val="00BC21D4"/>
    <w:rsid w:val="00BC2213"/>
    <w:rsid w:val="00BC223D"/>
    <w:rsid w:val="00BC2241"/>
    <w:rsid w:val="00BC2249"/>
    <w:rsid w:val="00BC22A4"/>
    <w:rsid w:val="00BC22A6"/>
    <w:rsid w:val="00BC22B6"/>
    <w:rsid w:val="00BC22CC"/>
    <w:rsid w:val="00BC2300"/>
    <w:rsid w:val="00BC231F"/>
    <w:rsid w:val="00BC234B"/>
    <w:rsid w:val="00BC237C"/>
    <w:rsid w:val="00BC23C0"/>
    <w:rsid w:val="00BC24A6"/>
    <w:rsid w:val="00BC2504"/>
    <w:rsid w:val="00BC253A"/>
    <w:rsid w:val="00BC2589"/>
    <w:rsid w:val="00BC258D"/>
    <w:rsid w:val="00BC25D6"/>
    <w:rsid w:val="00BC2649"/>
    <w:rsid w:val="00BC269F"/>
    <w:rsid w:val="00BC26B7"/>
    <w:rsid w:val="00BC26FA"/>
    <w:rsid w:val="00BC276A"/>
    <w:rsid w:val="00BC2770"/>
    <w:rsid w:val="00BC27A5"/>
    <w:rsid w:val="00BC27F3"/>
    <w:rsid w:val="00BC2856"/>
    <w:rsid w:val="00BC287A"/>
    <w:rsid w:val="00BC287B"/>
    <w:rsid w:val="00BC2886"/>
    <w:rsid w:val="00BC28B4"/>
    <w:rsid w:val="00BC2918"/>
    <w:rsid w:val="00BC295A"/>
    <w:rsid w:val="00BC295F"/>
    <w:rsid w:val="00BC29F2"/>
    <w:rsid w:val="00BC29F3"/>
    <w:rsid w:val="00BC2A49"/>
    <w:rsid w:val="00BC2A82"/>
    <w:rsid w:val="00BC2A9A"/>
    <w:rsid w:val="00BC2B00"/>
    <w:rsid w:val="00BC2B60"/>
    <w:rsid w:val="00BC2BC6"/>
    <w:rsid w:val="00BC2BE5"/>
    <w:rsid w:val="00BC2C19"/>
    <w:rsid w:val="00BC2C3C"/>
    <w:rsid w:val="00BC2C83"/>
    <w:rsid w:val="00BC2C8D"/>
    <w:rsid w:val="00BC2CE0"/>
    <w:rsid w:val="00BC2D13"/>
    <w:rsid w:val="00BC2D66"/>
    <w:rsid w:val="00BC2DB6"/>
    <w:rsid w:val="00BC2E27"/>
    <w:rsid w:val="00BC2E30"/>
    <w:rsid w:val="00BC2EB4"/>
    <w:rsid w:val="00BC2EC8"/>
    <w:rsid w:val="00BC2F34"/>
    <w:rsid w:val="00BC2F35"/>
    <w:rsid w:val="00BC2F47"/>
    <w:rsid w:val="00BC2F49"/>
    <w:rsid w:val="00BC2F5C"/>
    <w:rsid w:val="00BC2F61"/>
    <w:rsid w:val="00BC2F7F"/>
    <w:rsid w:val="00BC2FC4"/>
    <w:rsid w:val="00BC2FF2"/>
    <w:rsid w:val="00BC3003"/>
    <w:rsid w:val="00BC30AC"/>
    <w:rsid w:val="00BC3133"/>
    <w:rsid w:val="00BC315B"/>
    <w:rsid w:val="00BC3194"/>
    <w:rsid w:val="00BC31BF"/>
    <w:rsid w:val="00BC3202"/>
    <w:rsid w:val="00BC323D"/>
    <w:rsid w:val="00BC326F"/>
    <w:rsid w:val="00BC3271"/>
    <w:rsid w:val="00BC329F"/>
    <w:rsid w:val="00BC32C6"/>
    <w:rsid w:val="00BC331D"/>
    <w:rsid w:val="00BC335A"/>
    <w:rsid w:val="00BC3367"/>
    <w:rsid w:val="00BC336C"/>
    <w:rsid w:val="00BC3399"/>
    <w:rsid w:val="00BC33EE"/>
    <w:rsid w:val="00BC340E"/>
    <w:rsid w:val="00BC3437"/>
    <w:rsid w:val="00BC3454"/>
    <w:rsid w:val="00BC3490"/>
    <w:rsid w:val="00BC3497"/>
    <w:rsid w:val="00BC349B"/>
    <w:rsid w:val="00BC34FC"/>
    <w:rsid w:val="00BC3510"/>
    <w:rsid w:val="00BC3525"/>
    <w:rsid w:val="00BC352F"/>
    <w:rsid w:val="00BC356A"/>
    <w:rsid w:val="00BC3619"/>
    <w:rsid w:val="00BC36C2"/>
    <w:rsid w:val="00BC3740"/>
    <w:rsid w:val="00BC378B"/>
    <w:rsid w:val="00BC37CC"/>
    <w:rsid w:val="00BC3811"/>
    <w:rsid w:val="00BC3862"/>
    <w:rsid w:val="00BC3867"/>
    <w:rsid w:val="00BC386C"/>
    <w:rsid w:val="00BC38DD"/>
    <w:rsid w:val="00BC38FC"/>
    <w:rsid w:val="00BC3912"/>
    <w:rsid w:val="00BC3923"/>
    <w:rsid w:val="00BC39AF"/>
    <w:rsid w:val="00BC39C2"/>
    <w:rsid w:val="00BC39C3"/>
    <w:rsid w:val="00BC3A0D"/>
    <w:rsid w:val="00BC3AEE"/>
    <w:rsid w:val="00BC3AF7"/>
    <w:rsid w:val="00BC3BA1"/>
    <w:rsid w:val="00BC3BF2"/>
    <w:rsid w:val="00BC3BFF"/>
    <w:rsid w:val="00BC3C15"/>
    <w:rsid w:val="00BC3C4F"/>
    <w:rsid w:val="00BC3C90"/>
    <w:rsid w:val="00BC3CC3"/>
    <w:rsid w:val="00BC3CFC"/>
    <w:rsid w:val="00BC3D99"/>
    <w:rsid w:val="00BC3DAD"/>
    <w:rsid w:val="00BC3E66"/>
    <w:rsid w:val="00BC3E9C"/>
    <w:rsid w:val="00BC3EBA"/>
    <w:rsid w:val="00BC3EDA"/>
    <w:rsid w:val="00BC3F7F"/>
    <w:rsid w:val="00BC3F93"/>
    <w:rsid w:val="00BC3FFA"/>
    <w:rsid w:val="00BC4028"/>
    <w:rsid w:val="00BC409F"/>
    <w:rsid w:val="00BC40BE"/>
    <w:rsid w:val="00BC40E9"/>
    <w:rsid w:val="00BC4100"/>
    <w:rsid w:val="00BC414F"/>
    <w:rsid w:val="00BC4184"/>
    <w:rsid w:val="00BC418C"/>
    <w:rsid w:val="00BC4197"/>
    <w:rsid w:val="00BC41B9"/>
    <w:rsid w:val="00BC4220"/>
    <w:rsid w:val="00BC42D5"/>
    <w:rsid w:val="00BC445D"/>
    <w:rsid w:val="00BC453D"/>
    <w:rsid w:val="00BC45F5"/>
    <w:rsid w:val="00BC46D7"/>
    <w:rsid w:val="00BC4724"/>
    <w:rsid w:val="00BC472D"/>
    <w:rsid w:val="00BC47AD"/>
    <w:rsid w:val="00BC47F2"/>
    <w:rsid w:val="00BC4809"/>
    <w:rsid w:val="00BC4890"/>
    <w:rsid w:val="00BC48CF"/>
    <w:rsid w:val="00BC48DB"/>
    <w:rsid w:val="00BC48F3"/>
    <w:rsid w:val="00BC490E"/>
    <w:rsid w:val="00BC491A"/>
    <w:rsid w:val="00BC4950"/>
    <w:rsid w:val="00BC4974"/>
    <w:rsid w:val="00BC498B"/>
    <w:rsid w:val="00BC4B69"/>
    <w:rsid w:val="00BC4B95"/>
    <w:rsid w:val="00BC4C93"/>
    <w:rsid w:val="00BC4D05"/>
    <w:rsid w:val="00BC4E16"/>
    <w:rsid w:val="00BC4E1E"/>
    <w:rsid w:val="00BC4E33"/>
    <w:rsid w:val="00BC4E39"/>
    <w:rsid w:val="00BC4EFB"/>
    <w:rsid w:val="00BC4F62"/>
    <w:rsid w:val="00BC4F92"/>
    <w:rsid w:val="00BC4FE1"/>
    <w:rsid w:val="00BC502E"/>
    <w:rsid w:val="00BC5035"/>
    <w:rsid w:val="00BC5078"/>
    <w:rsid w:val="00BC509B"/>
    <w:rsid w:val="00BC50CD"/>
    <w:rsid w:val="00BC50D1"/>
    <w:rsid w:val="00BC5109"/>
    <w:rsid w:val="00BC5120"/>
    <w:rsid w:val="00BC5123"/>
    <w:rsid w:val="00BC518F"/>
    <w:rsid w:val="00BC51C3"/>
    <w:rsid w:val="00BC521A"/>
    <w:rsid w:val="00BC5244"/>
    <w:rsid w:val="00BC5247"/>
    <w:rsid w:val="00BC5252"/>
    <w:rsid w:val="00BC5292"/>
    <w:rsid w:val="00BC52D7"/>
    <w:rsid w:val="00BC52DD"/>
    <w:rsid w:val="00BC52EA"/>
    <w:rsid w:val="00BC52F9"/>
    <w:rsid w:val="00BC5320"/>
    <w:rsid w:val="00BC5325"/>
    <w:rsid w:val="00BC5332"/>
    <w:rsid w:val="00BC5360"/>
    <w:rsid w:val="00BC5391"/>
    <w:rsid w:val="00BC539A"/>
    <w:rsid w:val="00BC53C7"/>
    <w:rsid w:val="00BC5415"/>
    <w:rsid w:val="00BC544C"/>
    <w:rsid w:val="00BC544F"/>
    <w:rsid w:val="00BC548A"/>
    <w:rsid w:val="00BC54CC"/>
    <w:rsid w:val="00BC54F6"/>
    <w:rsid w:val="00BC550E"/>
    <w:rsid w:val="00BC5540"/>
    <w:rsid w:val="00BC5563"/>
    <w:rsid w:val="00BC5578"/>
    <w:rsid w:val="00BC5586"/>
    <w:rsid w:val="00BC55CA"/>
    <w:rsid w:val="00BC561A"/>
    <w:rsid w:val="00BC567F"/>
    <w:rsid w:val="00BC5698"/>
    <w:rsid w:val="00BC56C7"/>
    <w:rsid w:val="00BC56C8"/>
    <w:rsid w:val="00BC56C9"/>
    <w:rsid w:val="00BC56F4"/>
    <w:rsid w:val="00BC5709"/>
    <w:rsid w:val="00BC5738"/>
    <w:rsid w:val="00BC5794"/>
    <w:rsid w:val="00BC582B"/>
    <w:rsid w:val="00BC5856"/>
    <w:rsid w:val="00BC588B"/>
    <w:rsid w:val="00BC58EF"/>
    <w:rsid w:val="00BC58FC"/>
    <w:rsid w:val="00BC5927"/>
    <w:rsid w:val="00BC596A"/>
    <w:rsid w:val="00BC59B2"/>
    <w:rsid w:val="00BC59EA"/>
    <w:rsid w:val="00BC5A6E"/>
    <w:rsid w:val="00BC5A9C"/>
    <w:rsid w:val="00BC5B32"/>
    <w:rsid w:val="00BC5B68"/>
    <w:rsid w:val="00BC5B6F"/>
    <w:rsid w:val="00BC5BD5"/>
    <w:rsid w:val="00BC5C23"/>
    <w:rsid w:val="00BC5CC2"/>
    <w:rsid w:val="00BC5CD7"/>
    <w:rsid w:val="00BC5CEF"/>
    <w:rsid w:val="00BC5D0E"/>
    <w:rsid w:val="00BC5D3D"/>
    <w:rsid w:val="00BC5D80"/>
    <w:rsid w:val="00BC5DA6"/>
    <w:rsid w:val="00BC5E03"/>
    <w:rsid w:val="00BC5E30"/>
    <w:rsid w:val="00BC5E4A"/>
    <w:rsid w:val="00BC5E50"/>
    <w:rsid w:val="00BC5E97"/>
    <w:rsid w:val="00BC5EA2"/>
    <w:rsid w:val="00BC5F35"/>
    <w:rsid w:val="00BC5FAE"/>
    <w:rsid w:val="00BC6008"/>
    <w:rsid w:val="00BC60E9"/>
    <w:rsid w:val="00BC6104"/>
    <w:rsid w:val="00BC61EA"/>
    <w:rsid w:val="00BC6213"/>
    <w:rsid w:val="00BC621F"/>
    <w:rsid w:val="00BC6264"/>
    <w:rsid w:val="00BC6266"/>
    <w:rsid w:val="00BC6312"/>
    <w:rsid w:val="00BC633E"/>
    <w:rsid w:val="00BC6342"/>
    <w:rsid w:val="00BC6346"/>
    <w:rsid w:val="00BC636D"/>
    <w:rsid w:val="00BC63ED"/>
    <w:rsid w:val="00BC6434"/>
    <w:rsid w:val="00BC6474"/>
    <w:rsid w:val="00BC647F"/>
    <w:rsid w:val="00BC6480"/>
    <w:rsid w:val="00BC648C"/>
    <w:rsid w:val="00BC64A0"/>
    <w:rsid w:val="00BC652E"/>
    <w:rsid w:val="00BC655D"/>
    <w:rsid w:val="00BC656D"/>
    <w:rsid w:val="00BC6585"/>
    <w:rsid w:val="00BC65B2"/>
    <w:rsid w:val="00BC65D2"/>
    <w:rsid w:val="00BC65D3"/>
    <w:rsid w:val="00BC6605"/>
    <w:rsid w:val="00BC661D"/>
    <w:rsid w:val="00BC664C"/>
    <w:rsid w:val="00BC665E"/>
    <w:rsid w:val="00BC6679"/>
    <w:rsid w:val="00BC668A"/>
    <w:rsid w:val="00BC6749"/>
    <w:rsid w:val="00BC679A"/>
    <w:rsid w:val="00BC67A8"/>
    <w:rsid w:val="00BC67AE"/>
    <w:rsid w:val="00BC67BD"/>
    <w:rsid w:val="00BC67CC"/>
    <w:rsid w:val="00BC67E7"/>
    <w:rsid w:val="00BC685A"/>
    <w:rsid w:val="00BC6860"/>
    <w:rsid w:val="00BC689E"/>
    <w:rsid w:val="00BC68BF"/>
    <w:rsid w:val="00BC6932"/>
    <w:rsid w:val="00BC6951"/>
    <w:rsid w:val="00BC6A0D"/>
    <w:rsid w:val="00BC6A74"/>
    <w:rsid w:val="00BC6AFC"/>
    <w:rsid w:val="00BC6B9C"/>
    <w:rsid w:val="00BC6BB8"/>
    <w:rsid w:val="00BC6C33"/>
    <w:rsid w:val="00BC6C5C"/>
    <w:rsid w:val="00BC6D0D"/>
    <w:rsid w:val="00BC6D9C"/>
    <w:rsid w:val="00BC6DB8"/>
    <w:rsid w:val="00BC6E35"/>
    <w:rsid w:val="00BC6E60"/>
    <w:rsid w:val="00BC6ECB"/>
    <w:rsid w:val="00BC6F5B"/>
    <w:rsid w:val="00BC6F5D"/>
    <w:rsid w:val="00BC6FA6"/>
    <w:rsid w:val="00BC6FFA"/>
    <w:rsid w:val="00BC7002"/>
    <w:rsid w:val="00BC7068"/>
    <w:rsid w:val="00BC7148"/>
    <w:rsid w:val="00BC71BA"/>
    <w:rsid w:val="00BC7207"/>
    <w:rsid w:val="00BC7252"/>
    <w:rsid w:val="00BC7260"/>
    <w:rsid w:val="00BC7271"/>
    <w:rsid w:val="00BC7276"/>
    <w:rsid w:val="00BC7289"/>
    <w:rsid w:val="00BC72B6"/>
    <w:rsid w:val="00BC72C0"/>
    <w:rsid w:val="00BC7331"/>
    <w:rsid w:val="00BC7337"/>
    <w:rsid w:val="00BC73B8"/>
    <w:rsid w:val="00BC7413"/>
    <w:rsid w:val="00BC7448"/>
    <w:rsid w:val="00BC744E"/>
    <w:rsid w:val="00BC74DC"/>
    <w:rsid w:val="00BC7511"/>
    <w:rsid w:val="00BC752E"/>
    <w:rsid w:val="00BC754A"/>
    <w:rsid w:val="00BC7561"/>
    <w:rsid w:val="00BC7574"/>
    <w:rsid w:val="00BC75A0"/>
    <w:rsid w:val="00BC75A9"/>
    <w:rsid w:val="00BC75D7"/>
    <w:rsid w:val="00BC75E9"/>
    <w:rsid w:val="00BC760B"/>
    <w:rsid w:val="00BC7672"/>
    <w:rsid w:val="00BC777F"/>
    <w:rsid w:val="00BC7785"/>
    <w:rsid w:val="00BC77CC"/>
    <w:rsid w:val="00BC7869"/>
    <w:rsid w:val="00BC78C4"/>
    <w:rsid w:val="00BC7914"/>
    <w:rsid w:val="00BC7955"/>
    <w:rsid w:val="00BC7993"/>
    <w:rsid w:val="00BC79A3"/>
    <w:rsid w:val="00BC79AE"/>
    <w:rsid w:val="00BC79E5"/>
    <w:rsid w:val="00BC7A5B"/>
    <w:rsid w:val="00BC7A6D"/>
    <w:rsid w:val="00BC7B01"/>
    <w:rsid w:val="00BC7B26"/>
    <w:rsid w:val="00BC7B36"/>
    <w:rsid w:val="00BC7B3F"/>
    <w:rsid w:val="00BC7BCB"/>
    <w:rsid w:val="00BC7BE8"/>
    <w:rsid w:val="00BC7CBE"/>
    <w:rsid w:val="00BC7D10"/>
    <w:rsid w:val="00BC7D16"/>
    <w:rsid w:val="00BC7D23"/>
    <w:rsid w:val="00BC7DB8"/>
    <w:rsid w:val="00BC7E01"/>
    <w:rsid w:val="00BC7E0D"/>
    <w:rsid w:val="00BC7E3A"/>
    <w:rsid w:val="00BC7E86"/>
    <w:rsid w:val="00BC7EBC"/>
    <w:rsid w:val="00BC7EFE"/>
    <w:rsid w:val="00BC7F35"/>
    <w:rsid w:val="00BC7F42"/>
    <w:rsid w:val="00BC7F6E"/>
    <w:rsid w:val="00BC7F78"/>
    <w:rsid w:val="00BC7FBD"/>
    <w:rsid w:val="00BD007A"/>
    <w:rsid w:val="00BD0086"/>
    <w:rsid w:val="00BD00D9"/>
    <w:rsid w:val="00BD0105"/>
    <w:rsid w:val="00BD0109"/>
    <w:rsid w:val="00BD0148"/>
    <w:rsid w:val="00BD016B"/>
    <w:rsid w:val="00BD0176"/>
    <w:rsid w:val="00BD01D0"/>
    <w:rsid w:val="00BD01DF"/>
    <w:rsid w:val="00BD01E3"/>
    <w:rsid w:val="00BD01EE"/>
    <w:rsid w:val="00BD0292"/>
    <w:rsid w:val="00BD02B2"/>
    <w:rsid w:val="00BD02E9"/>
    <w:rsid w:val="00BD038E"/>
    <w:rsid w:val="00BD03AA"/>
    <w:rsid w:val="00BD03DE"/>
    <w:rsid w:val="00BD0409"/>
    <w:rsid w:val="00BD0429"/>
    <w:rsid w:val="00BD046D"/>
    <w:rsid w:val="00BD0489"/>
    <w:rsid w:val="00BD0493"/>
    <w:rsid w:val="00BD04A2"/>
    <w:rsid w:val="00BD04AE"/>
    <w:rsid w:val="00BD0519"/>
    <w:rsid w:val="00BD0525"/>
    <w:rsid w:val="00BD0541"/>
    <w:rsid w:val="00BD0557"/>
    <w:rsid w:val="00BD0561"/>
    <w:rsid w:val="00BD05D1"/>
    <w:rsid w:val="00BD0640"/>
    <w:rsid w:val="00BD0641"/>
    <w:rsid w:val="00BD066F"/>
    <w:rsid w:val="00BD0673"/>
    <w:rsid w:val="00BD06AB"/>
    <w:rsid w:val="00BD0744"/>
    <w:rsid w:val="00BD0792"/>
    <w:rsid w:val="00BD079D"/>
    <w:rsid w:val="00BD07A4"/>
    <w:rsid w:val="00BD07B9"/>
    <w:rsid w:val="00BD07E9"/>
    <w:rsid w:val="00BD0847"/>
    <w:rsid w:val="00BD08D2"/>
    <w:rsid w:val="00BD08FB"/>
    <w:rsid w:val="00BD0982"/>
    <w:rsid w:val="00BD0993"/>
    <w:rsid w:val="00BD0A1F"/>
    <w:rsid w:val="00BD0A22"/>
    <w:rsid w:val="00BD0A89"/>
    <w:rsid w:val="00BD0A9A"/>
    <w:rsid w:val="00BD0AC2"/>
    <w:rsid w:val="00BD0B03"/>
    <w:rsid w:val="00BD0B38"/>
    <w:rsid w:val="00BD0B47"/>
    <w:rsid w:val="00BD0C3F"/>
    <w:rsid w:val="00BD0C81"/>
    <w:rsid w:val="00BD0C90"/>
    <w:rsid w:val="00BD0CC5"/>
    <w:rsid w:val="00BD0DB6"/>
    <w:rsid w:val="00BD0DB8"/>
    <w:rsid w:val="00BD0DE0"/>
    <w:rsid w:val="00BD0DEC"/>
    <w:rsid w:val="00BD0E10"/>
    <w:rsid w:val="00BD0E56"/>
    <w:rsid w:val="00BD0E7C"/>
    <w:rsid w:val="00BD0EC6"/>
    <w:rsid w:val="00BD0EEE"/>
    <w:rsid w:val="00BD0FEA"/>
    <w:rsid w:val="00BD1034"/>
    <w:rsid w:val="00BD10C9"/>
    <w:rsid w:val="00BD10D3"/>
    <w:rsid w:val="00BD10DC"/>
    <w:rsid w:val="00BD111D"/>
    <w:rsid w:val="00BD1180"/>
    <w:rsid w:val="00BD1196"/>
    <w:rsid w:val="00BD11A7"/>
    <w:rsid w:val="00BD1202"/>
    <w:rsid w:val="00BD121B"/>
    <w:rsid w:val="00BD1264"/>
    <w:rsid w:val="00BD12A8"/>
    <w:rsid w:val="00BD12BD"/>
    <w:rsid w:val="00BD12E2"/>
    <w:rsid w:val="00BD12F1"/>
    <w:rsid w:val="00BD137E"/>
    <w:rsid w:val="00BD13CA"/>
    <w:rsid w:val="00BD1430"/>
    <w:rsid w:val="00BD146A"/>
    <w:rsid w:val="00BD14AE"/>
    <w:rsid w:val="00BD14BC"/>
    <w:rsid w:val="00BD14CA"/>
    <w:rsid w:val="00BD14CE"/>
    <w:rsid w:val="00BD152B"/>
    <w:rsid w:val="00BD1532"/>
    <w:rsid w:val="00BD157D"/>
    <w:rsid w:val="00BD15A8"/>
    <w:rsid w:val="00BD15B8"/>
    <w:rsid w:val="00BD15D5"/>
    <w:rsid w:val="00BD15DE"/>
    <w:rsid w:val="00BD1605"/>
    <w:rsid w:val="00BD161A"/>
    <w:rsid w:val="00BD1654"/>
    <w:rsid w:val="00BD16AB"/>
    <w:rsid w:val="00BD175D"/>
    <w:rsid w:val="00BD1784"/>
    <w:rsid w:val="00BD17B0"/>
    <w:rsid w:val="00BD17B7"/>
    <w:rsid w:val="00BD17C9"/>
    <w:rsid w:val="00BD17EE"/>
    <w:rsid w:val="00BD17FC"/>
    <w:rsid w:val="00BD18CC"/>
    <w:rsid w:val="00BD1934"/>
    <w:rsid w:val="00BD19A8"/>
    <w:rsid w:val="00BD1A02"/>
    <w:rsid w:val="00BD1A84"/>
    <w:rsid w:val="00BD1AB3"/>
    <w:rsid w:val="00BD1B23"/>
    <w:rsid w:val="00BD1B3E"/>
    <w:rsid w:val="00BD1B7F"/>
    <w:rsid w:val="00BD1BD5"/>
    <w:rsid w:val="00BD1C21"/>
    <w:rsid w:val="00BD1C4D"/>
    <w:rsid w:val="00BD1C85"/>
    <w:rsid w:val="00BD1CCD"/>
    <w:rsid w:val="00BD1D6F"/>
    <w:rsid w:val="00BD1D99"/>
    <w:rsid w:val="00BD1D9F"/>
    <w:rsid w:val="00BD1DB6"/>
    <w:rsid w:val="00BD1DD5"/>
    <w:rsid w:val="00BD1DD9"/>
    <w:rsid w:val="00BD1E03"/>
    <w:rsid w:val="00BD1EBB"/>
    <w:rsid w:val="00BD1F2D"/>
    <w:rsid w:val="00BD1F2F"/>
    <w:rsid w:val="00BD1F76"/>
    <w:rsid w:val="00BD1FCB"/>
    <w:rsid w:val="00BD1FF0"/>
    <w:rsid w:val="00BD200D"/>
    <w:rsid w:val="00BD2011"/>
    <w:rsid w:val="00BD206D"/>
    <w:rsid w:val="00BD206F"/>
    <w:rsid w:val="00BD2075"/>
    <w:rsid w:val="00BD20A8"/>
    <w:rsid w:val="00BD20DE"/>
    <w:rsid w:val="00BD2134"/>
    <w:rsid w:val="00BD2140"/>
    <w:rsid w:val="00BD21C9"/>
    <w:rsid w:val="00BD21F7"/>
    <w:rsid w:val="00BD228C"/>
    <w:rsid w:val="00BD22B1"/>
    <w:rsid w:val="00BD22D2"/>
    <w:rsid w:val="00BD2330"/>
    <w:rsid w:val="00BD236F"/>
    <w:rsid w:val="00BD2426"/>
    <w:rsid w:val="00BD24AC"/>
    <w:rsid w:val="00BD2531"/>
    <w:rsid w:val="00BD2623"/>
    <w:rsid w:val="00BD2642"/>
    <w:rsid w:val="00BD26BD"/>
    <w:rsid w:val="00BD26ED"/>
    <w:rsid w:val="00BD27B7"/>
    <w:rsid w:val="00BD27C1"/>
    <w:rsid w:val="00BD2846"/>
    <w:rsid w:val="00BD2888"/>
    <w:rsid w:val="00BD28B5"/>
    <w:rsid w:val="00BD28D2"/>
    <w:rsid w:val="00BD28E3"/>
    <w:rsid w:val="00BD297D"/>
    <w:rsid w:val="00BD29B8"/>
    <w:rsid w:val="00BD29EB"/>
    <w:rsid w:val="00BD2A3F"/>
    <w:rsid w:val="00BD2A64"/>
    <w:rsid w:val="00BD2A76"/>
    <w:rsid w:val="00BD2AB5"/>
    <w:rsid w:val="00BD2AF4"/>
    <w:rsid w:val="00BD2B0A"/>
    <w:rsid w:val="00BD2B6E"/>
    <w:rsid w:val="00BD2BF0"/>
    <w:rsid w:val="00BD2C08"/>
    <w:rsid w:val="00BD2C0C"/>
    <w:rsid w:val="00BD2C14"/>
    <w:rsid w:val="00BD2C51"/>
    <w:rsid w:val="00BD2CE4"/>
    <w:rsid w:val="00BD2D0A"/>
    <w:rsid w:val="00BD2D5F"/>
    <w:rsid w:val="00BD2D8D"/>
    <w:rsid w:val="00BD2DC0"/>
    <w:rsid w:val="00BD2DE5"/>
    <w:rsid w:val="00BD2E37"/>
    <w:rsid w:val="00BD2E4A"/>
    <w:rsid w:val="00BD2ED1"/>
    <w:rsid w:val="00BD2F68"/>
    <w:rsid w:val="00BD2F8B"/>
    <w:rsid w:val="00BD2FA3"/>
    <w:rsid w:val="00BD2FF5"/>
    <w:rsid w:val="00BD300C"/>
    <w:rsid w:val="00BD303A"/>
    <w:rsid w:val="00BD3059"/>
    <w:rsid w:val="00BD3062"/>
    <w:rsid w:val="00BD3107"/>
    <w:rsid w:val="00BD3132"/>
    <w:rsid w:val="00BD3233"/>
    <w:rsid w:val="00BD3268"/>
    <w:rsid w:val="00BD332D"/>
    <w:rsid w:val="00BD3395"/>
    <w:rsid w:val="00BD33C2"/>
    <w:rsid w:val="00BD34AB"/>
    <w:rsid w:val="00BD34DE"/>
    <w:rsid w:val="00BD34EF"/>
    <w:rsid w:val="00BD3527"/>
    <w:rsid w:val="00BD353A"/>
    <w:rsid w:val="00BD3540"/>
    <w:rsid w:val="00BD35B4"/>
    <w:rsid w:val="00BD363A"/>
    <w:rsid w:val="00BD364C"/>
    <w:rsid w:val="00BD3780"/>
    <w:rsid w:val="00BD379B"/>
    <w:rsid w:val="00BD37A8"/>
    <w:rsid w:val="00BD383C"/>
    <w:rsid w:val="00BD3851"/>
    <w:rsid w:val="00BD3875"/>
    <w:rsid w:val="00BD388C"/>
    <w:rsid w:val="00BD38B4"/>
    <w:rsid w:val="00BD38FE"/>
    <w:rsid w:val="00BD3909"/>
    <w:rsid w:val="00BD3933"/>
    <w:rsid w:val="00BD39F1"/>
    <w:rsid w:val="00BD39FB"/>
    <w:rsid w:val="00BD3A37"/>
    <w:rsid w:val="00BD3A72"/>
    <w:rsid w:val="00BD3A7C"/>
    <w:rsid w:val="00BD3AA9"/>
    <w:rsid w:val="00BD3B03"/>
    <w:rsid w:val="00BD3B50"/>
    <w:rsid w:val="00BD3B5A"/>
    <w:rsid w:val="00BD3B8C"/>
    <w:rsid w:val="00BD3BC0"/>
    <w:rsid w:val="00BD3BC6"/>
    <w:rsid w:val="00BD3BCE"/>
    <w:rsid w:val="00BD3BE5"/>
    <w:rsid w:val="00BD3C1A"/>
    <w:rsid w:val="00BD3C31"/>
    <w:rsid w:val="00BD3C66"/>
    <w:rsid w:val="00BD3C72"/>
    <w:rsid w:val="00BD3C82"/>
    <w:rsid w:val="00BD3CB2"/>
    <w:rsid w:val="00BD3CB5"/>
    <w:rsid w:val="00BD3D0F"/>
    <w:rsid w:val="00BD3E00"/>
    <w:rsid w:val="00BD3E4A"/>
    <w:rsid w:val="00BD3EBA"/>
    <w:rsid w:val="00BD3EBD"/>
    <w:rsid w:val="00BD3FD2"/>
    <w:rsid w:val="00BD405C"/>
    <w:rsid w:val="00BD4066"/>
    <w:rsid w:val="00BD40CD"/>
    <w:rsid w:val="00BD40D9"/>
    <w:rsid w:val="00BD411C"/>
    <w:rsid w:val="00BD4141"/>
    <w:rsid w:val="00BD4164"/>
    <w:rsid w:val="00BD4242"/>
    <w:rsid w:val="00BD4284"/>
    <w:rsid w:val="00BD42A1"/>
    <w:rsid w:val="00BD42B4"/>
    <w:rsid w:val="00BD430D"/>
    <w:rsid w:val="00BD4345"/>
    <w:rsid w:val="00BD4453"/>
    <w:rsid w:val="00BD4483"/>
    <w:rsid w:val="00BD44F2"/>
    <w:rsid w:val="00BD457D"/>
    <w:rsid w:val="00BD4587"/>
    <w:rsid w:val="00BD45F3"/>
    <w:rsid w:val="00BD462D"/>
    <w:rsid w:val="00BD46BE"/>
    <w:rsid w:val="00BD46F5"/>
    <w:rsid w:val="00BD471D"/>
    <w:rsid w:val="00BD47CC"/>
    <w:rsid w:val="00BD47DC"/>
    <w:rsid w:val="00BD47F5"/>
    <w:rsid w:val="00BD4835"/>
    <w:rsid w:val="00BD485F"/>
    <w:rsid w:val="00BD4875"/>
    <w:rsid w:val="00BD490E"/>
    <w:rsid w:val="00BD4979"/>
    <w:rsid w:val="00BD4992"/>
    <w:rsid w:val="00BD499A"/>
    <w:rsid w:val="00BD499D"/>
    <w:rsid w:val="00BD49C6"/>
    <w:rsid w:val="00BD49D1"/>
    <w:rsid w:val="00BD4A2F"/>
    <w:rsid w:val="00BD4A4E"/>
    <w:rsid w:val="00BD4B04"/>
    <w:rsid w:val="00BD4B36"/>
    <w:rsid w:val="00BD4B6F"/>
    <w:rsid w:val="00BD4C40"/>
    <w:rsid w:val="00BD4C48"/>
    <w:rsid w:val="00BD4C58"/>
    <w:rsid w:val="00BD4CF3"/>
    <w:rsid w:val="00BD4D06"/>
    <w:rsid w:val="00BD4D14"/>
    <w:rsid w:val="00BD4DA8"/>
    <w:rsid w:val="00BD4E10"/>
    <w:rsid w:val="00BD4E27"/>
    <w:rsid w:val="00BD4E2B"/>
    <w:rsid w:val="00BD4E33"/>
    <w:rsid w:val="00BD4E50"/>
    <w:rsid w:val="00BD4E6F"/>
    <w:rsid w:val="00BD4EBC"/>
    <w:rsid w:val="00BD4F0F"/>
    <w:rsid w:val="00BD4F7D"/>
    <w:rsid w:val="00BD4FDC"/>
    <w:rsid w:val="00BD500B"/>
    <w:rsid w:val="00BD503E"/>
    <w:rsid w:val="00BD505A"/>
    <w:rsid w:val="00BD507D"/>
    <w:rsid w:val="00BD509A"/>
    <w:rsid w:val="00BD511F"/>
    <w:rsid w:val="00BD5126"/>
    <w:rsid w:val="00BD5188"/>
    <w:rsid w:val="00BD51F7"/>
    <w:rsid w:val="00BD51FF"/>
    <w:rsid w:val="00BD5210"/>
    <w:rsid w:val="00BD5266"/>
    <w:rsid w:val="00BD5269"/>
    <w:rsid w:val="00BD530C"/>
    <w:rsid w:val="00BD531B"/>
    <w:rsid w:val="00BD541E"/>
    <w:rsid w:val="00BD5491"/>
    <w:rsid w:val="00BD54B4"/>
    <w:rsid w:val="00BD54D6"/>
    <w:rsid w:val="00BD54E2"/>
    <w:rsid w:val="00BD55A3"/>
    <w:rsid w:val="00BD55F4"/>
    <w:rsid w:val="00BD5636"/>
    <w:rsid w:val="00BD5685"/>
    <w:rsid w:val="00BD5691"/>
    <w:rsid w:val="00BD56DF"/>
    <w:rsid w:val="00BD570E"/>
    <w:rsid w:val="00BD5811"/>
    <w:rsid w:val="00BD5847"/>
    <w:rsid w:val="00BD5896"/>
    <w:rsid w:val="00BD5897"/>
    <w:rsid w:val="00BD5940"/>
    <w:rsid w:val="00BD595E"/>
    <w:rsid w:val="00BD596A"/>
    <w:rsid w:val="00BD59A3"/>
    <w:rsid w:val="00BD59F5"/>
    <w:rsid w:val="00BD5A0D"/>
    <w:rsid w:val="00BD5A3A"/>
    <w:rsid w:val="00BD5AE6"/>
    <w:rsid w:val="00BD5AEB"/>
    <w:rsid w:val="00BD5B39"/>
    <w:rsid w:val="00BD5BA5"/>
    <w:rsid w:val="00BD5C62"/>
    <w:rsid w:val="00BD5CE7"/>
    <w:rsid w:val="00BD5CEA"/>
    <w:rsid w:val="00BD5D10"/>
    <w:rsid w:val="00BD5D9B"/>
    <w:rsid w:val="00BD5DB1"/>
    <w:rsid w:val="00BD5DD2"/>
    <w:rsid w:val="00BD5E5E"/>
    <w:rsid w:val="00BD5E97"/>
    <w:rsid w:val="00BD5EA1"/>
    <w:rsid w:val="00BD5F61"/>
    <w:rsid w:val="00BD5F80"/>
    <w:rsid w:val="00BD5F98"/>
    <w:rsid w:val="00BD5F99"/>
    <w:rsid w:val="00BD6035"/>
    <w:rsid w:val="00BD60B5"/>
    <w:rsid w:val="00BD60E3"/>
    <w:rsid w:val="00BD6102"/>
    <w:rsid w:val="00BD6172"/>
    <w:rsid w:val="00BD6185"/>
    <w:rsid w:val="00BD61B0"/>
    <w:rsid w:val="00BD61E0"/>
    <w:rsid w:val="00BD61E1"/>
    <w:rsid w:val="00BD621C"/>
    <w:rsid w:val="00BD6279"/>
    <w:rsid w:val="00BD628D"/>
    <w:rsid w:val="00BD62DD"/>
    <w:rsid w:val="00BD62E0"/>
    <w:rsid w:val="00BD6391"/>
    <w:rsid w:val="00BD639A"/>
    <w:rsid w:val="00BD63A6"/>
    <w:rsid w:val="00BD63BF"/>
    <w:rsid w:val="00BD63D0"/>
    <w:rsid w:val="00BD64D6"/>
    <w:rsid w:val="00BD6576"/>
    <w:rsid w:val="00BD65CD"/>
    <w:rsid w:val="00BD65E6"/>
    <w:rsid w:val="00BD6603"/>
    <w:rsid w:val="00BD6636"/>
    <w:rsid w:val="00BD66AF"/>
    <w:rsid w:val="00BD675E"/>
    <w:rsid w:val="00BD679C"/>
    <w:rsid w:val="00BD67CA"/>
    <w:rsid w:val="00BD67CC"/>
    <w:rsid w:val="00BD67DA"/>
    <w:rsid w:val="00BD6873"/>
    <w:rsid w:val="00BD6927"/>
    <w:rsid w:val="00BD692D"/>
    <w:rsid w:val="00BD693B"/>
    <w:rsid w:val="00BD6942"/>
    <w:rsid w:val="00BD6972"/>
    <w:rsid w:val="00BD6975"/>
    <w:rsid w:val="00BD6985"/>
    <w:rsid w:val="00BD6993"/>
    <w:rsid w:val="00BD69EA"/>
    <w:rsid w:val="00BD6A5D"/>
    <w:rsid w:val="00BD6A6C"/>
    <w:rsid w:val="00BD6AA5"/>
    <w:rsid w:val="00BD6AAE"/>
    <w:rsid w:val="00BD6AB4"/>
    <w:rsid w:val="00BD6ABB"/>
    <w:rsid w:val="00BD6AD8"/>
    <w:rsid w:val="00BD6AF8"/>
    <w:rsid w:val="00BD6B07"/>
    <w:rsid w:val="00BD6BA3"/>
    <w:rsid w:val="00BD6BB4"/>
    <w:rsid w:val="00BD6BBC"/>
    <w:rsid w:val="00BD6C4E"/>
    <w:rsid w:val="00BD6C4F"/>
    <w:rsid w:val="00BD6CBC"/>
    <w:rsid w:val="00BD6CE0"/>
    <w:rsid w:val="00BD6CF2"/>
    <w:rsid w:val="00BD6D1A"/>
    <w:rsid w:val="00BD6D5B"/>
    <w:rsid w:val="00BD6D82"/>
    <w:rsid w:val="00BD6DBB"/>
    <w:rsid w:val="00BD6E3A"/>
    <w:rsid w:val="00BD6E43"/>
    <w:rsid w:val="00BD6E4D"/>
    <w:rsid w:val="00BD6EDD"/>
    <w:rsid w:val="00BD6F66"/>
    <w:rsid w:val="00BD6F80"/>
    <w:rsid w:val="00BD7003"/>
    <w:rsid w:val="00BD7011"/>
    <w:rsid w:val="00BD7051"/>
    <w:rsid w:val="00BD70C6"/>
    <w:rsid w:val="00BD7109"/>
    <w:rsid w:val="00BD712A"/>
    <w:rsid w:val="00BD7132"/>
    <w:rsid w:val="00BD716F"/>
    <w:rsid w:val="00BD71A4"/>
    <w:rsid w:val="00BD71E0"/>
    <w:rsid w:val="00BD71F1"/>
    <w:rsid w:val="00BD7206"/>
    <w:rsid w:val="00BD7275"/>
    <w:rsid w:val="00BD7277"/>
    <w:rsid w:val="00BD72DE"/>
    <w:rsid w:val="00BD731C"/>
    <w:rsid w:val="00BD7398"/>
    <w:rsid w:val="00BD73BF"/>
    <w:rsid w:val="00BD73C3"/>
    <w:rsid w:val="00BD73D8"/>
    <w:rsid w:val="00BD73DA"/>
    <w:rsid w:val="00BD74BC"/>
    <w:rsid w:val="00BD750C"/>
    <w:rsid w:val="00BD757C"/>
    <w:rsid w:val="00BD75A3"/>
    <w:rsid w:val="00BD75AC"/>
    <w:rsid w:val="00BD7605"/>
    <w:rsid w:val="00BD7606"/>
    <w:rsid w:val="00BD7655"/>
    <w:rsid w:val="00BD7659"/>
    <w:rsid w:val="00BD766E"/>
    <w:rsid w:val="00BD768B"/>
    <w:rsid w:val="00BD76D9"/>
    <w:rsid w:val="00BD76E0"/>
    <w:rsid w:val="00BD76E5"/>
    <w:rsid w:val="00BD7746"/>
    <w:rsid w:val="00BD7760"/>
    <w:rsid w:val="00BD77B9"/>
    <w:rsid w:val="00BD77F7"/>
    <w:rsid w:val="00BD7855"/>
    <w:rsid w:val="00BD788E"/>
    <w:rsid w:val="00BD78C2"/>
    <w:rsid w:val="00BD78C3"/>
    <w:rsid w:val="00BD78E7"/>
    <w:rsid w:val="00BD7938"/>
    <w:rsid w:val="00BD7948"/>
    <w:rsid w:val="00BD7971"/>
    <w:rsid w:val="00BD79F8"/>
    <w:rsid w:val="00BD7A9A"/>
    <w:rsid w:val="00BD7A9D"/>
    <w:rsid w:val="00BD7B02"/>
    <w:rsid w:val="00BD7B1A"/>
    <w:rsid w:val="00BD7B79"/>
    <w:rsid w:val="00BD7B7F"/>
    <w:rsid w:val="00BD7BC2"/>
    <w:rsid w:val="00BD7C4C"/>
    <w:rsid w:val="00BD7D65"/>
    <w:rsid w:val="00BD7D9D"/>
    <w:rsid w:val="00BD7DF4"/>
    <w:rsid w:val="00BD7DFF"/>
    <w:rsid w:val="00BD7E35"/>
    <w:rsid w:val="00BD7E46"/>
    <w:rsid w:val="00BD7E8C"/>
    <w:rsid w:val="00BD7EC0"/>
    <w:rsid w:val="00BD7F17"/>
    <w:rsid w:val="00BD7F26"/>
    <w:rsid w:val="00BD7F4D"/>
    <w:rsid w:val="00BD7F6D"/>
    <w:rsid w:val="00BD7F75"/>
    <w:rsid w:val="00BD7FB7"/>
    <w:rsid w:val="00BD9240"/>
    <w:rsid w:val="00BE0043"/>
    <w:rsid w:val="00BE005B"/>
    <w:rsid w:val="00BE011F"/>
    <w:rsid w:val="00BE01B1"/>
    <w:rsid w:val="00BE01CA"/>
    <w:rsid w:val="00BE01D3"/>
    <w:rsid w:val="00BE01F6"/>
    <w:rsid w:val="00BE02B1"/>
    <w:rsid w:val="00BE02DC"/>
    <w:rsid w:val="00BE0396"/>
    <w:rsid w:val="00BE03D4"/>
    <w:rsid w:val="00BE03E9"/>
    <w:rsid w:val="00BE0449"/>
    <w:rsid w:val="00BE0455"/>
    <w:rsid w:val="00BE04A5"/>
    <w:rsid w:val="00BE04A8"/>
    <w:rsid w:val="00BE0505"/>
    <w:rsid w:val="00BE054A"/>
    <w:rsid w:val="00BE0580"/>
    <w:rsid w:val="00BE05C9"/>
    <w:rsid w:val="00BE0606"/>
    <w:rsid w:val="00BE0641"/>
    <w:rsid w:val="00BE074F"/>
    <w:rsid w:val="00BE0770"/>
    <w:rsid w:val="00BE07B2"/>
    <w:rsid w:val="00BE07C1"/>
    <w:rsid w:val="00BE07CA"/>
    <w:rsid w:val="00BE0800"/>
    <w:rsid w:val="00BE0802"/>
    <w:rsid w:val="00BE0825"/>
    <w:rsid w:val="00BE0889"/>
    <w:rsid w:val="00BE08B7"/>
    <w:rsid w:val="00BE08B9"/>
    <w:rsid w:val="00BE090B"/>
    <w:rsid w:val="00BE0936"/>
    <w:rsid w:val="00BE09A6"/>
    <w:rsid w:val="00BE09AF"/>
    <w:rsid w:val="00BE09B2"/>
    <w:rsid w:val="00BE09CD"/>
    <w:rsid w:val="00BE09ED"/>
    <w:rsid w:val="00BE0A23"/>
    <w:rsid w:val="00BE0A2E"/>
    <w:rsid w:val="00BE0A36"/>
    <w:rsid w:val="00BE0A5C"/>
    <w:rsid w:val="00BE0A91"/>
    <w:rsid w:val="00BE0B5A"/>
    <w:rsid w:val="00BE0BC1"/>
    <w:rsid w:val="00BE0BFF"/>
    <w:rsid w:val="00BE0C30"/>
    <w:rsid w:val="00BE0C85"/>
    <w:rsid w:val="00BE0CE0"/>
    <w:rsid w:val="00BE0D84"/>
    <w:rsid w:val="00BE0D96"/>
    <w:rsid w:val="00BE0DA6"/>
    <w:rsid w:val="00BE0DA7"/>
    <w:rsid w:val="00BE0DC3"/>
    <w:rsid w:val="00BE0E02"/>
    <w:rsid w:val="00BE0E32"/>
    <w:rsid w:val="00BE0E5E"/>
    <w:rsid w:val="00BE0EBB"/>
    <w:rsid w:val="00BE0ECC"/>
    <w:rsid w:val="00BE0F0B"/>
    <w:rsid w:val="00BE0F72"/>
    <w:rsid w:val="00BE0FE1"/>
    <w:rsid w:val="00BE0FF3"/>
    <w:rsid w:val="00BE1008"/>
    <w:rsid w:val="00BE105A"/>
    <w:rsid w:val="00BE1078"/>
    <w:rsid w:val="00BE1084"/>
    <w:rsid w:val="00BE1090"/>
    <w:rsid w:val="00BE1092"/>
    <w:rsid w:val="00BE10BB"/>
    <w:rsid w:val="00BE10F7"/>
    <w:rsid w:val="00BE118F"/>
    <w:rsid w:val="00BE11C1"/>
    <w:rsid w:val="00BE1230"/>
    <w:rsid w:val="00BE1285"/>
    <w:rsid w:val="00BE12F1"/>
    <w:rsid w:val="00BE1315"/>
    <w:rsid w:val="00BE131F"/>
    <w:rsid w:val="00BE135F"/>
    <w:rsid w:val="00BE13A1"/>
    <w:rsid w:val="00BE13CF"/>
    <w:rsid w:val="00BE141E"/>
    <w:rsid w:val="00BE143B"/>
    <w:rsid w:val="00BE145F"/>
    <w:rsid w:val="00BE1518"/>
    <w:rsid w:val="00BE1529"/>
    <w:rsid w:val="00BE152E"/>
    <w:rsid w:val="00BE15DF"/>
    <w:rsid w:val="00BE163E"/>
    <w:rsid w:val="00BE16C8"/>
    <w:rsid w:val="00BE1713"/>
    <w:rsid w:val="00BE177B"/>
    <w:rsid w:val="00BE179A"/>
    <w:rsid w:val="00BE17A4"/>
    <w:rsid w:val="00BE17F6"/>
    <w:rsid w:val="00BE17F9"/>
    <w:rsid w:val="00BE184E"/>
    <w:rsid w:val="00BE1866"/>
    <w:rsid w:val="00BE1977"/>
    <w:rsid w:val="00BE19B8"/>
    <w:rsid w:val="00BE19BA"/>
    <w:rsid w:val="00BE1A0D"/>
    <w:rsid w:val="00BE1A5B"/>
    <w:rsid w:val="00BE1A6F"/>
    <w:rsid w:val="00BE1A73"/>
    <w:rsid w:val="00BE1A75"/>
    <w:rsid w:val="00BE1A9E"/>
    <w:rsid w:val="00BE1AC5"/>
    <w:rsid w:val="00BE1AF2"/>
    <w:rsid w:val="00BE1BE1"/>
    <w:rsid w:val="00BE1BE6"/>
    <w:rsid w:val="00BE1C1E"/>
    <w:rsid w:val="00BE1C23"/>
    <w:rsid w:val="00BE1C3D"/>
    <w:rsid w:val="00BE1C44"/>
    <w:rsid w:val="00BE1C9A"/>
    <w:rsid w:val="00BE1CA9"/>
    <w:rsid w:val="00BE1CF2"/>
    <w:rsid w:val="00BE1E47"/>
    <w:rsid w:val="00BE1E4D"/>
    <w:rsid w:val="00BE1ED0"/>
    <w:rsid w:val="00BE1F34"/>
    <w:rsid w:val="00BE1F39"/>
    <w:rsid w:val="00BE1F68"/>
    <w:rsid w:val="00BE1F89"/>
    <w:rsid w:val="00BE1FAC"/>
    <w:rsid w:val="00BE1FE0"/>
    <w:rsid w:val="00BE1FEF"/>
    <w:rsid w:val="00BE2009"/>
    <w:rsid w:val="00BE207E"/>
    <w:rsid w:val="00BE20AF"/>
    <w:rsid w:val="00BE20B6"/>
    <w:rsid w:val="00BE20D0"/>
    <w:rsid w:val="00BE2168"/>
    <w:rsid w:val="00BE216B"/>
    <w:rsid w:val="00BE21D6"/>
    <w:rsid w:val="00BE21F7"/>
    <w:rsid w:val="00BE2217"/>
    <w:rsid w:val="00BE22D1"/>
    <w:rsid w:val="00BE233E"/>
    <w:rsid w:val="00BE234C"/>
    <w:rsid w:val="00BE235C"/>
    <w:rsid w:val="00BE236A"/>
    <w:rsid w:val="00BE2391"/>
    <w:rsid w:val="00BE23AD"/>
    <w:rsid w:val="00BE23D4"/>
    <w:rsid w:val="00BE241F"/>
    <w:rsid w:val="00BE2423"/>
    <w:rsid w:val="00BE2482"/>
    <w:rsid w:val="00BE24AD"/>
    <w:rsid w:val="00BE24B6"/>
    <w:rsid w:val="00BE24C1"/>
    <w:rsid w:val="00BE24C6"/>
    <w:rsid w:val="00BE250D"/>
    <w:rsid w:val="00BE2542"/>
    <w:rsid w:val="00BE256A"/>
    <w:rsid w:val="00BE2600"/>
    <w:rsid w:val="00BE2607"/>
    <w:rsid w:val="00BE2609"/>
    <w:rsid w:val="00BE2616"/>
    <w:rsid w:val="00BE26A9"/>
    <w:rsid w:val="00BE26C6"/>
    <w:rsid w:val="00BE2719"/>
    <w:rsid w:val="00BE274C"/>
    <w:rsid w:val="00BE2768"/>
    <w:rsid w:val="00BE2773"/>
    <w:rsid w:val="00BE277E"/>
    <w:rsid w:val="00BE2842"/>
    <w:rsid w:val="00BE2851"/>
    <w:rsid w:val="00BE2852"/>
    <w:rsid w:val="00BE2870"/>
    <w:rsid w:val="00BE28A6"/>
    <w:rsid w:val="00BE28C0"/>
    <w:rsid w:val="00BE29A5"/>
    <w:rsid w:val="00BE29D7"/>
    <w:rsid w:val="00BE29D8"/>
    <w:rsid w:val="00BE2A05"/>
    <w:rsid w:val="00BE2A34"/>
    <w:rsid w:val="00BE2A37"/>
    <w:rsid w:val="00BE2A3F"/>
    <w:rsid w:val="00BE2A58"/>
    <w:rsid w:val="00BE2A7A"/>
    <w:rsid w:val="00BE2B54"/>
    <w:rsid w:val="00BE2BAB"/>
    <w:rsid w:val="00BE2BD4"/>
    <w:rsid w:val="00BE2C05"/>
    <w:rsid w:val="00BE2C23"/>
    <w:rsid w:val="00BE2C33"/>
    <w:rsid w:val="00BE2C44"/>
    <w:rsid w:val="00BE2C50"/>
    <w:rsid w:val="00BE2C6D"/>
    <w:rsid w:val="00BE2C84"/>
    <w:rsid w:val="00BE2CB5"/>
    <w:rsid w:val="00BE2D15"/>
    <w:rsid w:val="00BE2D40"/>
    <w:rsid w:val="00BE2D4B"/>
    <w:rsid w:val="00BE2D55"/>
    <w:rsid w:val="00BE2D6C"/>
    <w:rsid w:val="00BE2E0E"/>
    <w:rsid w:val="00BE2E6E"/>
    <w:rsid w:val="00BE2E72"/>
    <w:rsid w:val="00BE2E83"/>
    <w:rsid w:val="00BE2F48"/>
    <w:rsid w:val="00BE2F59"/>
    <w:rsid w:val="00BE2F68"/>
    <w:rsid w:val="00BE2FBE"/>
    <w:rsid w:val="00BE3023"/>
    <w:rsid w:val="00BE304D"/>
    <w:rsid w:val="00BE30B7"/>
    <w:rsid w:val="00BE30ED"/>
    <w:rsid w:val="00BE3134"/>
    <w:rsid w:val="00BE315D"/>
    <w:rsid w:val="00BE317D"/>
    <w:rsid w:val="00BE3192"/>
    <w:rsid w:val="00BE31FC"/>
    <w:rsid w:val="00BE31FF"/>
    <w:rsid w:val="00BE320A"/>
    <w:rsid w:val="00BE3250"/>
    <w:rsid w:val="00BE32E2"/>
    <w:rsid w:val="00BE330B"/>
    <w:rsid w:val="00BE334B"/>
    <w:rsid w:val="00BE3361"/>
    <w:rsid w:val="00BE337E"/>
    <w:rsid w:val="00BE341C"/>
    <w:rsid w:val="00BE3466"/>
    <w:rsid w:val="00BE347B"/>
    <w:rsid w:val="00BE34C2"/>
    <w:rsid w:val="00BE34CA"/>
    <w:rsid w:val="00BE34D5"/>
    <w:rsid w:val="00BE34DB"/>
    <w:rsid w:val="00BE359F"/>
    <w:rsid w:val="00BE35C3"/>
    <w:rsid w:val="00BE35EF"/>
    <w:rsid w:val="00BE3635"/>
    <w:rsid w:val="00BE3641"/>
    <w:rsid w:val="00BE36E7"/>
    <w:rsid w:val="00BE374C"/>
    <w:rsid w:val="00BE3766"/>
    <w:rsid w:val="00BE3799"/>
    <w:rsid w:val="00BE380B"/>
    <w:rsid w:val="00BE3835"/>
    <w:rsid w:val="00BE383E"/>
    <w:rsid w:val="00BE3843"/>
    <w:rsid w:val="00BE3928"/>
    <w:rsid w:val="00BE39A8"/>
    <w:rsid w:val="00BE39B9"/>
    <w:rsid w:val="00BE3A1F"/>
    <w:rsid w:val="00BE3A27"/>
    <w:rsid w:val="00BE3A91"/>
    <w:rsid w:val="00BE3ABE"/>
    <w:rsid w:val="00BE3B0B"/>
    <w:rsid w:val="00BE3B1E"/>
    <w:rsid w:val="00BE3B84"/>
    <w:rsid w:val="00BE3C03"/>
    <w:rsid w:val="00BE3C91"/>
    <w:rsid w:val="00BE3C99"/>
    <w:rsid w:val="00BE3CAF"/>
    <w:rsid w:val="00BE3CE5"/>
    <w:rsid w:val="00BE3D30"/>
    <w:rsid w:val="00BE3D41"/>
    <w:rsid w:val="00BE3DC8"/>
    <w:rsid w:val="00BE3E09"/>
    <w:rsid w:val="00BE3E1C"/>
    <w:rsid w:val="00BE3F44"/>
    <w:rsid w:val="00BE3FAC"/>
    <w:rsid w:val="00BE3FCA"/>
    <w:rsid w:val="00BE3FDB"/>
    <w:rsid w:val="00BE401B"/>
    <w:rsid w:val="00BE401D"/>
    <w:rsid w:val="00BE4022"/>
    <w:rsid w:val="00BE4094"/>
    <w:rsid w:val="00BE40F4"/>
    <w:rsid w:val="00BE4151"/>
    <w:rsid w:val="00BE415C"/>
    <w:rsid w:val="00BE41D4"/>
    <w:rsid w:val="00BE41E7"/>
    <w:rsid w:val="00BE41E8"/>
    <w:rsid w:val="00BE41E9"/>
    <w:rsid w:val="00BE420C"/>
    <w:rsid w:val="00BE42AE"/>
    <w:rsid w:val="00BE42BD"/>
    <w:rsid w:val="00BE4327"/>
    <w:rsid w:val="00BE4347"/>
    <w:rsid w:val="00BE4378"/>
    <w:rsid w:val="00BE4380"/>
    <w:rsid w:val="00BE43AF"/>
    <w:rsid w:val="00BE43B0"/>
    <w:rsid w:val="00BE43B3"/>
    <w:rsid w:val="00BE4410"/>
    <w:rsid w:val="00BE443A"/>
    <w:rsid w:val="00BE4454"/>
    <w:rsid w:val="00BE4472"/>
    <w:rsid w:val="00BE4497"/>
    <w:rsid w:val="00BE44A8"/>
    <w:rsid w:val="00BE44AE"/>
    <w:rsid w:val="00BE455C"/>
    <w:rsid w:val="00BE45A6"/>
    <w:rsid w:val="00BE45E0"/>
    <w:rsid w:val="00BE4605"/>
    <w:rsid w:val="00BE460B"/>
    <w:rsid w:val="00BE467C"/>
    <w:rsid w:val="00BE475E"/>
    <w:rsid w:val="00BE47CC"/>
    <w:rsid w:val="00BE4887"/>
    <w:rsid w:val="00BE490C"/>
    <w:rsid w:val="00BE4931"/>
    <w:rsid w:val="00BE49A6"/>
    <w:rsid w:val="00BE49FC"/>
    <w:rsid w:val="00BE4A2D"/>
    <w:rsid w:val="00BE4A48"/>
    <w:rsid w:val="00BE4ACB"/>
    <w:rsid w:val="00BE4AD9"/>
    <w:rsid w:val="00BE4AE7"/>
    <w:rsid w:val="00BE4B07"/>
    <w:rsid w:val="00BE4B4C"/>
    <w:rsid w:val="00BE4B70"/>
    <w:rsid w:val="00BE4B84"/>
    <w:rsid w:val="00BE4B85"/>
    <w:rsid w:val="00BE4C0A"/>
    <w:rsid w:val="00BE4C1A"/>
    <w:rsid w:val="00BE4CB4"/>
    <w:rsid w:val="00BE4CE0"/>
    <w:rsid w:val="00BE4D18"/>
    <w:rsid w:val="00BE4D34"/>
    <w:rsid w:val="00BE4D76"/>
    <w:rsid w:val="00BE4DC0"/>
    <w:rsid w:val="00BE4DD0"/>
    <w:rsid w:val="00BE4DD3"/>
    <w:rsid w:val="00BE4E31"/>
    <w:rsid w:val="00BE4E6B"/>
    <w:rsid w:val="00BE4E88"/>
    <w:rsid w:val="00BE4EF5"/>
    <w:rsid w:val="00BE4F99"/>
    <w:rsid w:val="00BE4FAB"/>
    <w:rsid w:val="00BE4FE2"/>
    <w:rsid w:val="00BE4FFD"/>
    <w:rsid w:val="00BE50E6"/>
    <w:rsid w:val="00BE50EB"/>
    <w:rsid w:val="00BE511F"/>
    <w:rsid w:val="00BE51AA"/>
    <w:rsid w:val="00BE51AC"/>
    <w:rsid w:val="00BE51C1"/>
    <w:rsid w:val="00BE520B"/>
    <w:rsid w:val="00BE5246"/>
    <w:rsid w:val="00BE5253"/>
    <w:rsid w:val="00BE52E4"/>
    <w:rsid w:val="00BE5302"/>
    <w:rsid w:val="00BE5328"/>
    <w:rsid w:val="00BE5382"/>
    <w:rsid w:val="00BE53DF"/>
    <w:rsid w:val="00BE5417"/>
    <w:rsid w:val="00BE54D1"/>
    <w:rsid w:val="00BE54EF"/>
    <w:rsid w:val="00BE55C0"/>
    <w:rsid w:val="00BE55C8"/>
    <w:rsid w:val="00BE55F2"/>
    <w:rsid w:val="00BE55FE"/>
    <w:rsid w:val="00BE562D"/>
    <w:rsid w:val="00BE5632"/>
    <w:rsid w:val="00BE5686"/>
    <w:rsid w:val="00BE56A0"/>
    <w:rsid w:val="00BE56AA"/>
    <w:rsid w:val="00BE56AB"/>
    <w:rsid w:val="00BE5716"/>
    <w:rsid w:val="00BE573A"/>
    <w:rsid w:val="00BE5781"/>
    <w:rsid w:val="00BE5799"/>
    <w:rsid w:val="00BE585D"/>
    <w:rsid w:val="00BE5896"/>
    <w:rsid w:val="00BE58A9"/>
    <w:rsid w:val="00BE597A"/>
    <w:rsid w:val="00BE5989"/>
    <w:rsid w:val="00BE59A6"/>
    <w:rsid w:val="00BE59F1"/>
    <w:rsid w:val="00BE5A00"/>
    <w:rsid w:val="00BE5A09"/>
    <w:rsid w:val="00BE5B9B"/>
    <w:rsid w:val="00BE5C15"/>
    <w:rsid w:val="00BE5C27"/>
    <w:rsid w:val="00BE5C39"/>
    <w:rsid w:val="00BE5C92"/>
    <w:rsid w:val="00BE5CE9"/>
    <w:rsid w:val="00BE5D60"/>
    <w:rsid w:val="00BE5DC1"/>
    <w:rsid w:val="00BE5EBD"/>
    <w:rsid w:val="00BE5EBF"/>
    <w:rsid w:val="00BE5F36"/>
    <w:rsid w:val="00BE5FE3"/>
    <w:rsid w:val="00BE6004"/>
    <w:rsid w:val="00BE61AE"/>
    <w:rsid w:val="00BE61CE"/>
    <w:rsid w:val="00BE61E8"/>
    <w:rsid w:val="00BE6201"/>
    <w:rsid w:val="00BE6221"/>
    <w:rsid w:val="00BE62CC"/>
    <w:rsid w:val="00BE62EE"/>
    <w:rsid w:val="00BE63C1"/>
    <w:rsid w:val="00BE6428"/>
    <w:rsid w:val="00BE6469"/>
    <w:rsid w:val="00BE6494"/>
    <w:rsid w:val="00BE64A5"/>
    <w:rsid w:val="00BE6537"/>
    <w:rsid w:val="00BE6564"/>
    <w:rsid w:val="00BE65FC"/>
    <w:rsid w:val="00BE6607"/>
    <w:rsid w:val="00BE662E"/>
    <w:rsid w:val="00BE6656"/>
    <w:rsid w:val="00BE6685"/>
    <w:rsid w:val="00BE66E1"/>
    <w:rsid w:val="00BE6726"/>
    <w:rsid w:val="00BE6747"/>
    <w:rsid w:val="00BE674D"/>
    <w:rsid w:val="00BE679D"/>
    <w:rsid w:val="00BE67A1"/>
    <w:rsid w:val="00BE6802"/>
    <w:rsid w:val="00BE685F"/>
    <w:rsid w:val="00BE6888"/>
    <w:rsid w:val="00BE68A7"/>
    <w:rsid w:val="00BE692D"/>
    <w:rsid w:val="00BE69A8"/>
    <w:rsid w:val="00BE69D5"/>
    <w:rsid w:val="00BE6A73"/>
    <w:rsid w:val="00BE6AEB"/>
    <w:rsid w:val="00BE6B09"/>
    <w:rsid w:val="00BE6B1A"/>
    <w:rsid w:val="00BE6B87"/>
    <w:rsid w:val="00BE6BB3"/>
    <w:rsid w:val="00BE6BFC"/>
    <w:rsid w:val="00BE6CC5"/>
    <w:rsid w:val="00BE6CE3"/>
    <w:rsid w:val="00BE6D0F"/>
    <w:rsid w:val="00BE6D39"/>
    <w:rsid w:val="00BE6D5C"/>
    <w:rsid w:val="00BE6D67"/>
    <w:rsid w:val="00BE6DC8"/>
    <w:rsid w:val="00BE6DE8"/>
    <w:rsid w:val="00BE6DEF"/>
    <w:rsid w:val="00BE6E7A"/>
    <w:rsid w:val="00BE6EB1"/>
    <w:rsid w:val="00BE6EB8"/>
    <w:rsid w:val="00BE6EEF"/>
    <w:rsid w:val="00BE6F0D"/>
    <w:rsid w:val="00BE6F4A"/>
    <w:rsid w:val="00BE6F53"/>
    <w:rsid w:val="00BE6F5E"/>
    <w:rsid w:val="00BE6F65"/>
    <w:rsid w:val="00BE6F6A"/>
    <w:rsid w:val="00BE6F6B"/>
    <w:rsid w:val="00BE6F9F"/>
    <w:rsid w:val="00BE6FDD"/>
    <w:rsid w:val="00BE7015"/>
    <w:rsid w:val="00BE7036"/>
    <w:rsid w:val="00BE704B"/>
    <w:rsid w:val="00BE706C"/>
    <w:rsid w:val="00BE7084"/>
    <w:rsid w:val="00BE70B4"/>
    <w:rsid w:val="00BE714B"/>
    <w:rsid w:val="00BE7169"/>
    <w:rsid w:val="00BE71A6"/>
    <w:rsid w:val="00BE71C0"/>
    <w:rsid w:val="00BE71C3"/>
    <w:rsid w:val="00BE71C4"/>
    <w:rsid w:val="00BE71DF"/>
    <w:rsid w:val="00BE7200"/>
    <w:rsid w:val="00BE724F"/>
    <w:rsid w:val="00BE728F"/>
    <w:rsid w:val="00BE72AA"/>
    <w:rsid w:val="00BE730D"/>
    <w:rsid w:val="00BE7331"/>
    <w:rsid w:val="00BE7367"/>
    <w:rsid w:val="00BE73E3"/>
    <w:rsid w:val="00BE7420"/>
    <w:rsid w:val="00BE743F"/>
    <w:rsid w:val="00BE74DB"/>
    <w:rsid w:val="00BE74DC"/>
    <w:rsid w:val="00BE753A"/>
    <w:rsid w:val="00BE75F1"/>
    <w:rsid w:val="00BE75F3"/>
    <w:rsid w:val="00BE75F5"/>
    <w:rsid w:val="00BE75FE"/>
    <w:rsid w:val="00BE760A"/>
    <w:rsid w:val="00BE767F"/>
    <w:rsid w:val="00BE76C1"/>
    <w:rsid w:val="00BE76D7"/>
    <w:rsid w:val="00BE774F"/>
    <w:rsid w:val="00BE777D"/>
    <w:rsid w:val="00BE77C1"/>
    <w:rsid w:val="00BE77DA"/>
    <w:rsid w:val="00BE7818"/>
    <w:rsid w:val="00BE7867"/>
    <w:rsid w:val="00BE7871"/>
    <w:rsid w:val="00BE7895"/>
    <w:rsid w:val="00BE790E"/>
    <w:rsid w:val="00BE791F"/>
    <w:rsid w:val="00BE7944"/>
    <w:rsid w:val="00BE79A4"/>
    <w:rsid w:val="00BE79BC"/>
    <w:rsid w:val="00BE7A04"/>
    <w:rsid w:val="00BE7A2C"/>
    <w:rsid w:val="00BE7B1E"/>
    <w:rsid w:val="00BE7B23"/>
    <w:rsid w:val="00BE7B7F"/>
    <w:rsid w:val="00BE7BE0"/>
    <w:rsid w:val="00BE7C08"/>
    <w:rsid w:val="00BE7C58"/>
    <w:rsid w:val="00BE7CB4"/>
    <w:rsid w:val="00BE7D51"/>
    <w:rsid w:val="00BE7D5C"/>
    <w:rsid w:val="00BE7D9E"/>
    <w:rsid w:val="00BE7DAA"/>
    <w:rsid w:val="00BE7DBF"/>
    <w:rsid w:val="00BE7E6B"/>
    <w:rsid w:val="00BE7E99"/>
    <w:rsid w:val="00BE7F4F"/>
    <w:rsid w:val="00BE7F89"/>
    <w:rsid w:val="00BE7F90"/>
    <w:rsid w:val="00BE7F9B"/>
    <w:rsid w:val="00BE7FA6"/>
    <w:rsid w:val="00BE7FC5"/>
    <w:rsid w:val="00BF002B"/>
    <w:rsid w:val="00BF0063"/>
    <w:rsid w:val="00BF0070"/>
    <w:rsid w:val="00BF00F4"/>
    <w:rsid w:val="00BF0108"/>
    <w:rsid w:val="00BF021B"/>
    <w:rsid w:val="00BF02CF"/>
    <w:rsid w:val="00BF02E5"/>
    <w:rsid w:val="00BF048C"/>
    <w:rsid w:val="00BF04BD"/>
    <w:rsid w:val="00BF0522"/>
    <w:rsid w:val="00BF0540"/>
    <w:rsid w:val="00BF054B"/>
    <w:rsid w:val="00BF056E"/>
    <w:rsid w:val="00BF0592"/>
    <w:rsid w:val="00BF05AD"/>
    <w:rsid w:val="00BF05C6"/>
    <w:rsid w:val="00BF05DF"/>
    <w:rsid w:val="00BF0673"/>
    <w:rsid w:val="00BF06C0"/>
    <w:rsid w:val="00BF06DF"/>
    <w:rsid w:val="00BF06FD"/>
    <w:rsid w:val="00BF070F"/>
    <w:rsid w:val="00BF0740"/>
    <w:rsid w:val="00BF076F"/>
    <w:rsid w:val="00BF0780"/>
    <w:rsid w:val="00BF079E"/>
    <w:rsid w:val="00BF089E"/>
    <w:rsid w:val="00BF08BD"/>
    <w:rsid w:val="00BF0969"/>
    <w:rsid w:val="00BF0A05"/>
    <w:rsid w:val="00BF0A37"/>
    <w:rsid w:val="00BF0AA0"/>
    <w:rsid w:val="00BF0B0F"/>
    <w:rsid w:val="00BF0B26"/>
    <w:rsid w:val="00BF0B55"/>
    <w:rsid w:val="00BF0C4F"/>
    <w:rsid w:val="00BF0C6E"/>
    <w:rsid w:val="00BF0CE0"/>
    <w:rsid w:val="00BF0CE6"/>
    <w:rsid w:val="00BF0CFC"/>
    <w:rsid w:val="00BF0DC3"/>
    <w:rsid w:val="00BF0DD7"/>
    <w:rsid w:val="00BF0DE1"/>
    <w:rsid w:val="00BF0DEB"/>
    <w:rsid w:val="00BF0E2F"/>
    <w:rsid w:val="00BF0E39"/>
    <w:rsid w:val="00BF0E94"/>
    <w:rsid w:val="00BF0ED8"/>
    <w:rsid w:val="00BF0F0C"/>
    <w:rsid w:val="00BF0F16"/>
    <w:rsid w:val="00BF0F64"/>
    <w:rsid w:val="00BF0FA2"/>
    <w:rsid w:val="00BF0FAD"/>
    <w:rsid w:val="00BF0FC3"/>
    <w:rsid w:val="00BF0FEB"/>
    <w:rsid w:val="00BF1035"/>
    <w:rsid w:val="00BF105E"/>
    <w:rsid w:val="00BF107B"/>
    <w:rsid w:val="00BF1145"/>
    <w:rsid w:val="00BF1188"/>
    <w:rsid w:val="00BF11C8"/>
    <w:rsid w:val="00BF11FD"/>
    <w:rsid w:val="00BF122E"/>
    <w:rsid w:val="00BF1240"/>
    <w:rsid w:val="00BF1276"/>
    <w:rsid w:val="00BF1294"/>
    <w:rsid w:val="00BF131D"/>
    <w:rsid w:val="00BF135B"/>
    <w:rsid w:val="00BF1393"/>
    <w:rsid w:val="00BF13DB"/>
    <w:rsid w:val="00BF142E"/>
    <w:rsid w:val="00BF145B"/>
    <w:rsid w:val="00BF1493"/>
    <w:rsid w:val="00BF1498"/>
    <w:rsid w:val="00BF14AB"/>
    <w:rsid w:val="00BF14B0"/>
    <w:rsid w:val="00BF14CE"/>
    <w:rsid w:val="00BF14D7"/>
    <w:rsid w:val="00BF158E"/>
    <w:rsid w:val="00BF1616"/>
    <w:rsid w:val="00BF164A"/>
    <w:rsid w:val="00BF164C"/>
    <w:rsid w:val="00BF16D5"/>
    <w:rsid w:val="00BF16FC"/>
    <w:rsid w:val="00BF17E8"/>
    <w:rsid w:val="00BF1803"/>
    <w:rsid w:val="00BF180F"/>
    <w:rsid w:val="00BF18B0"/>
    <w:rsid w:val="00BF1917"/>
    <w:rsid w:val="00BF191C"/>
    <w:rsid w:val="00BF1938"/>
    <w:rsid w:val="00BF1964"/>
    <w:rsid w:val="00BF19A8"/>
    <w:rsid w:val="00BF1A5D"/>
    <w:rsid w:val="00BF1A72"/>
    <w:rsid w:val="00BF1B26"/>
    <w:rsid w:val="00BF1B3D"/>
    <w:rsid w:val="00BF1B3F"/>
    <w:rsid w:val="00BF1B8D"/>
    <w:rsid w:val="00BF1BBC"/>
    <w:rsid w:val="00BF1BD4"/>
    <w:rsid w:val="00BF1C1D"/>
    <w:rsid w:val="00BF1C51"/>
    <w:rsid w:val="00BF1C52"/>
    <w:rsid w:val="00BF1C92"/>
    <w:rsid w:val="00BF1CA6"/>
    <w:rsid w:val="00BF1CBA"/>
    <w:rsid w:val="00BF1D46"/>
    <w:rsid w:val="00BF1D5E"/>
    <w:rsid w:val="00BF1D6C"/>
    <w:rsid w:val="00BF1DD4"/>
    <w:rsid w:val="00BF1DDE"/>
    <w:rsid w:val="00BF1E56"/>
    <w:rsid w:val="00BF1E66"/>
    <w:rsid w:val="00BF1E8A"/>
    <w:rsid w:val="00BF1EF4"/>
    <w:rsid w:val="00BF1EFE"/>
    <w:rsid w:val="00BF1F47"/>
    <w:rsid w:val="00BF1F6F"/>
    <w:rsid w:val="00BF1FD0"/>
    <w:rsid w:val="00BF1FD3"/>
    <w:rsid w:val="00BF1FD9"/>
    <w:rsid w:val="00BF1FDC"/>
    <w:rsid w:val="00BF2037"/>
    <w:rsid w:val="00BF204A"/>
    <w:rsid w:val="00BF205B"/>
    <w:rsid w:val="00BF20F9"/>
    <w:rsid w:val="00BF2134"/>
    <w:rsid w:val="00BF2142"/>
    <w:rsid w:val="00BF2189"/>
    <w:rsid w:val="00BF21B9"/>
    <w:rsid w:val="00BF21F6"/>
    <w:rsid w:val="00BF21FB"/>
    <w:rsid w:val="00BF221D"/>
    <w:rsid w:val="00BF225A"/>
    <w:rsid w:val="00BF2269"/>
    <w:rsid w:val="00BF22CA"/>
    <w:rsid w:val="00BF24A3"/>
    <w:rsid w:val="00BF24AC"/>
    <w:rsid w:val="00BF24EB"/>
    <w:rsid w:val="00BF254A"/>
    <w:rsid w:val="00BF25FF"/>
    <w:rsid w:val="00BF2638"/>
    <w:rsid w:val="00BF263B"/>
    <w:rsid w:val="00BF263C"/>
    <w:rsid w:val="00BF2651"/>
    <w:rsid w:val="00BF2659"/>
    <w:rsid w:val="00BF266D"/>
    <w:rsid w:val="00BF26A4"/>
    <w:rsid w:val="00BF26C7"/>
    <w:rsid w:val="00BF2705"/>
    <w:rsid w:val="00BF271F"/>
    <w:rsid w:val="00BF27C1"/>
    <w:rsid w:val="00BF27CB"/>
    <w:rsid w:val="00BF2826"/>
    <w:rsid w:val="00BF283E"/>
    <w:rsid w:val="00BF2898"/>
    <w:rsid w:val="00BF28AC"/>
    <w:rsid w:val="00BF28D1"/>
    <w:rsid w:val="00BF28F4"/>
    <w:rsid w:val="00BF2936"/>
    <w:rsid w:val="00BF2945"/>
    <w:rsid w:val="00BF2953"/>
    <w:rsid w:val="00BF29A8"/>
    <w:rsid w:val="00BF29C5"/>
    <w:rsid w:val="00BF2A0E"/>
    <w:rsid w:val="00BF2A1E"/>
    <w:rsid w:val="00BF2A25"/>
    <w:rsid w:val="00BF2A2F"/>
    <w:rsid w:val="00BF2AA7"/>
    <w:rsid w:val="00BF2AC8"/>
    <w:rsid w:val="00BF2AE2"/>
    <w:rsid w:val="00BF2AF4"/>
    <w:rsid w:val="00BF2B13"/>
    <w:rsid w:val="00BF2B17"/>
    <w:rsid w:val="00BF2B1E"/>
    <w:rsid w:val="00BF2B2D"/>
    <w:rsid w:val="00BF2B47"/>
    <w:rsid w:val="00BF2B5A"/>
    <w:rsid w:val="00BF2BBA"/>
    <w:rsid w:val="00BF2BCA"/>
    <w:rsid w:val="00BF2C32"/>
    <w:rsid w:val="00BF2C5C"/>
    <w:rsid w:val="00BF2CAC"/>
    <w:rsid w:val="00BF2CC8"/>
    <w:rsid w:val="00BF2CF1"/>
    <w:rsid w:val="00BF2CF5"/>
    <w:rsid w:val="00BF2D19"/>
    <w:rsid w:val="00BF2D41"/>
    <w:rsid w:val="00BF2D82"/>
    <w:rsid w:val="00BF2E6F"/>
    <w:rsid w:val="00BF2E7A"/>
    <w:rsid w:val="00BF2ED9"/>
    <w:rsid w:val="00BF2EFB"/>
    <w:rsid w:val="00BF2F87"/>
    <w:rsid w:val="00BF303C"/>
    <w:rsid w:val="00BF3046"/>
    <w:rsid w:val="00BF3061"/>
    <w:rsid w:val="00BF30D4"/>
    <w:rsid w:val="00BF3124"/>
    <w:rsid w:val="00BF3146"/>
    <w:rsid w:val="00BF3159"/>
    <w:rsid w:val="00BF317F"/>
    <w:rsid w:val="00BF31AA"/>
    <w:rsid w:val="00BF31D5"/>
    <w:rsid w:val="00BF31E5"/>
    <w:rsid w:val="00BF320E"/>
    <w:rsid w:val="00BF3299"/>
    <w:rsid w:val="00BF32DD"/>
    <w:rsid w:val="00BF32F0"/>
    <w:rsid w:val="00BF3303"/>
    <w:rsid w:val="00BF332A"/>
    <w:rsid w:val="00BF3331"/>
    <w:rsid w:val="00BF335E"/>
    <w:rsid w:val="00BF3381"/>
    <w:rsid w:val="00BF33D7"/>
    <w:rsid w:val="00BF3408"/>
    <w:rsid w:val="00BF3409"/>
    <w:rsid w:val="00BF343E"/>
    <w:rsid w:val="00BF34D8"/>
    <w:rsid w:val="00BF354E"/>
    <w:rsid w:val="00BF3579"/>
    <w:rsid w:val="00BF35B3"/>
    <w:rsid w:val="00BF36B3"/>
    <w:rsid w:val="00BF36FC"/>
    <w:rsid w:val="00BF3713"/>
    <w:rsid w:val="00BF372A"/>
    <w:rsid w:val="00BF3738"/>
    <w:rsid w:val="00BF37CA"/>
    <w:rsid w:val="00BF37EF"/>
    <w:rsid w:val="00BF37F9"/>
    <w:rsid w:val="00BF3812"/>
    <w:rsid w:val="00BF3827"/>
    <w:rsid w:val="00BF382E"/>
    <w:rsid w:val="00BF3872"/>
    <w:rsid w:val="00BF3879"/>
    <w:rsid w:val="00BF390E"/>
    <w:rsid w:val="00BF3926"/>
    <w:rsid w:val="00BF392B"/>
    <w:rsid w:val="00BF3941"/>
    <w:rsid w:val="00BF39CD"/>
    <w:rsid w:val="00BF3A39"/>
    <w:rsid w:val="00BF3A42"/>
    <w:rsid w:val="00BF3A53"/>
    <w:rsid w:val="00BF3A60"/>
    <w:rsid w:val="00BF3B45"/>
    <w:rsid w:val="00BF3B48"/>
    <w:rsid w:val="00BF3B9E"/>
    <w:rsid w:val="00BF3BB8"/>
    <w:rsid w:val="00BF3C79"/>
    <w:rsid w:val="00BF3C8C"/>
    <w:rsid w:val="00BF3CED"/>
    <w:rsid w:val="00BF3D15"/>
    <w:rsid w:val="00BF3D2B"/>
    <w:rsid w:val="00BF3DC4"/>
    <w:rsid w:val="00BF3E19"/>
    <w:rsid w:val="00BF3E8C"/>
    <w:rsid w:val="00BF3F1E"/>
    <w:rsid w:val="00BF3FAE"/>
    <w:rsid w:val="00BF3FD3"/>
    <w:rsid w:val="00BF4006"/>
    <w:rsid w:val="00BF40D0"/>
    <w:rsid w:val="00BF40D3"/>
    <w:rsid w:val="00BF40F6"/>
    <w:rsid w:val="00BF41AE"/>
    <w:rsid w:val="00BF41E7"/>
    <w:rsid w:val="00BF4237"/>
    <w:rsid w:val="00BF423F"/>
    <w:rsid w:val="00BF4355"/>
    <w:rsid w:val="00BF4377"/>
    <w:rsid w:val="00BF4401"/>
    <w:rsid w:val="00BF4418"/>
    <w:rsid w:val="00BF4461"/>
    <w:rsid w:val="00BF446D"/>
    <w:rsid w:val="00BF4487"/>
    <w:rsid w:val="00BF449C"/>
    <w:rsid w:val="00BF44AC"/>
    <w:rsid w:val="00BF4592"/>
    <w:rsid w:val="00BF45D2"/>
    <w:rsid w:val="00BF4604"/>
    <w:rsid w:val="00BF463E"/>
    <w:rsid w:val="00BF46AA"/>
    <w:rsid w:val="00BF46B4"/>
    <w:rsid w:val="00BF46EF"/>
    <w:rsid w:val="00BF4769"/>
    <w:rsid w:val="00BF4796"/>
    <w:rsid w:val="00BF47C9"/>
    <w:rsid w:val="00BF480F"/>
    <w:rsid w:val="00BF4879"/>
    <w:rsid w:val="00BF48D4"/>
    <w:rsid w:val="00BF48D5"/>
    <w:rsid w:val="00BF48EC"/>
    <w:rsid w:val="00BF4929"/>
    <w:rsid w:val="00BF49BC"/>
    <w:rsid w:val="00BF4A2F"/>
    <w:rsid w:val="00BF4A53"/>
    <w:rsid w:val="00BF4A7C"/>
    <w:rsid w:val="00BF4AA7"/>
    <w:rsid w:val="00BF4AB8"/>
    <w:rsid w:val="00BF4AB9"/>
    <w:rsid w:val="00BF4ADE"/>
    <w:rsid w:val="00BF4AF6"/>
    <w:rsid w:val="00BF4B0F"/>
    <w:rsid w:val="00BF4B30"/>
    <w:rsid w:val="00BF4B3A"/>
    <w:rsid w:val="00BF4B70"/>
    <w:rsid w:val="00BF4BB5"/>
    <w:rsid w:val="00BF4BB8"/>
    <w:rsid w:val="00BF4BCD"/>
    <w:rsid w:val="00BF4BDD"/>
    <w:rsid w:val="00BF4BEC"/>
    <w:rsid w:val="00BF4C10"/>
    <w:rsid w:val="00BF4C21"/>
    <w:rsid w:val="00BF4C2C"/>
    <w:rsid w:val="00BF4C35"/>
    <w:rsid w:val="00BF4C4A"/>
    <w:rsid w:val="00BF4C99"/>
    <w:rsid w:val="00BF4D0C"/>
    <w:rsid w:val="00BF4E54"/>
    <w:rsid w:val="00BF4F1D"/>
    <w:rsid w:val="00BF4F33"/>
    <w:rsid w:val="00BF4F6A"/>
    <w:rsid w:val="00BF5022"/>
    <w:rsid w:val="00BF503E"/>
    <w:rsid w:val="00BF5040"/>
    <w:rsid w:val="00BF507A"/>
    <w:rsid w:val="00BF5084"/>
    <w:rsid w:val="00BF50E1"/>
    <w:rsid w:val="00BF5166"/>
    <w:rsid w:val="00BF517D"/>
    <w:rsid w:val="00BF5187"/>
    <w:rsid w:val="00BF51E3"/>
    <w:rsid w:val="00BF51F6"/>
    <w:rsid w:val="00BF5237"/>
    <w:rsid w:val="00BF526F"/>
    <w:rsid w:val="00BF5281"/>
    <w:rsid w:val="00BF528C"/>
    <w:rsid w:val="00BF52C6"/>
    <w:rsid w:val="00BF52C7"/>
    <w:rsid w:val="00BF52D8"/>
    <w:rsid w:val="00BF52ED"/>
    <w:rsid w:val="00BF5300"/>
    <w:rsid w:val="00BF5356"/>
    <w:rsid w:val="00BF5397"/>
    <w:rsid w:val="00BF53A0"/>
    <w:rsid w:val="00BF53B9"/>
    <w:rsid w:val="00BF5409"/>
    <w:rsid w:val="00BF54F9"/>
    <w:rsid w:val="00BF5550"/>
    <w:rsid w:val="00BF5554"/>
    <w:rsid w:val="00BF5654"/>
    <w:rsid w:val="00BF5664"/>
    <w:rsid w:val="00BF5675"/>
    <w:rsid w:val="00BF5692"/>
    <w:rsid w:val="00BF574E"/>
    <w:rsid w:val="00BF578F"/>
    <w:rsid w:val="00BF57DA"/>
    <w:rsid w:val="00BF5857"/>
    <w:rsid w:val="00BF587A"/>
    <w:rsid w:val="00BF5884"/>
    <w:rsid w:val="00BF597B"/>
    <w:rsid w:val="00BF5A06"/>
    <w:rsid w:val="00BF5A91"/>
    <w:rsid w:val="00BF5AD6"/>
    <w:rsid w:val="00BF5B6D"/>
    <w:rsid w:val="00BF5BC7"/>
    <w:rsid w:val="00BF5BD1"/>
    <w:rsid w:val="00BF5BD2"/>
    <w:rsid w:val="00BF5BD8"/>
    <w:rsid w:val="00BF5BE2"/>
    <w:rsid w:val="00BF5C0E"/>
    <w:rsid w:val="00BF5C16"/>
    <w:rsid w:val="00BF5C8B"/>
    <w:rsid w:val="00BF5CB7"/>
    <w:rsid w:val="00BF5D6E"/>
    <w:rsid w:val="00BF5E4E"/>
    <w:rsid w:val="00BF5E50"/>
    <w:rsid w:val="00BF5F3C"/>
    <w:rsid w:val="00BF5F83"/>
    <w:rsid w:val="00BF5F9F"/>
    <w:rsid w:val="00BF602A"/>
    <w:rsid w:val="00BF603E"/>
    <w:rsid w:val="00BF607A"/>
    <w:rsid w:val="00BF6098"/>
    <w:rsid w:val="00BF6190"/>
    <w:rsid w:val="00BF61EB"/>
    <w:rsid w:val="00BF61ED"/>
    <w:rsid w:val="00BF627C"/>
    <w:rsid w:val="00BF62CB"/>
    <w:rsid w:val="00BF62CD"/>
    <w:rsid w:val="00BF62D7"/>
    <w:rsid w:val="00BF6307"/>
    <w:rsid w:val="00BF632B"/>
    <w:rsid w:val="00BF6364"/>
    <w:rsid w:val="00BF636D"/>
    <w:rsid w:val="00BF6398"/>
    <w:rsid w:val="00BF63C9"/>
    <w:rsid w:val="00BF6415"/>
    <w:rsid w:val="00BF642A"/>
    <w:rsid w:val="00BF6455"/>
    <w:rsid w:val="00BF649E"/>
    <w:rsid w:val="00BF651A"/>
    <w:rsid w:val="00BF652B"/>
    <w:rsid w:val="00BF6589"/>
    <w:rsid w:val="00BF65A8"/>
    <w:rsid w:val="00BF65BD"/>
    <w:rsid w:val="00BF65E0"/>
    <w:rsid w:val="00BF665A"/>
    <w:rsid w:val="00BF66CF"/>
    <w:rsid w:val="00BF66DF"/>
    <w:rsid w:val="00BF672B"/>
    <w:rsid w:val="00BF67B1"/>
    <w:rsid w:val="00BF67DA"/>
    <w:rsid w:val="00BF67DD"/>
    <w:rsid w:val="00BF67FC"/>
    <w:rsid w:val="00BF683F"/>
    <w:rsid w:val="00BF685C"/>
    <w:rsid w:val="00BF68CC"/>
    <w:rsid w:val="00BF68D9"/>
    <w:rsid w:val="00BF6948"/>
    <w:rsid w:val="00BF699C"/>
    <w:rsid w:val="00BF69AE"/>
    <w:rsid w:val="00BF69FB"/>
    <w:rsid w:val="00BF6A27"/>
    <w:rsid w:val="00BF6B36"/>
    <w:rsid w:val="00BF6BB2"/>
    <w:rsid w:val="00BF6BB4"/>
    <w:rsid w:val="00BF6BB7"/>
    <w:rsid w:val="00BF6BD1"/>
    <w:rsid w:val="00BF6BE4"/>
    <w:rsid w:val="00BF6C1E"/>
    <w:rsid w:val="00BF6C3A"/>
    <w:rsid w:val="00BF6C5D"/>
    <w:rsid w:val="00BF6CA9"/>
    <w:rsid w:val="00BF6CBD"/>
    <w:rsid w:val="00BF6CCE"/>
    <w:rsid w:val="00BF6CD6"/>
    <w:rsid w:val="00BF6D70"/>
    <w:rsid w:val="00BF6D97"/>
    <w:rsid w:val="00BF6DB6"/>
    <w:rsid w:val="00BF6E17"/>
    <w:rsid w:val="00BF6E5C"/>
    <w:rsid w:val="00BF6E87"/>
    <w:rsid w:val="00BF6E9D"/>
    <w:rsid w:val="00BF6EF2"/>
    <w:rsid w:val="00BF6F13"/>
    <w:rsid w:val="00BF6F1E"/>
    <w:rsid w:val="00BF6FBE"/>
    <w:rsid w:val="00BF6FDD"/>
    <w:rsid w:val="00BF7004"/>
    <w:rsid w:val="00BF706B"/>
    <w:rsid w:val="00BF7124"/>
    <w:rsid w:val="00BF7181"/>
    <w:rsid w:val="00BF718C"/>
    <w:rsid w:val="00BF71C1"/>
    <w:rsid w:val="00BF71CF"/>
    <w:rsid w:val="00BF7214"/>
    <w:rsid w:val="00BF7239"/>
    <w:rsid w:val="00BF7251"/>
    <w:rsid w:val="00BF7258"/>
    <w:rsid w:val="00BF7268"/>
    <w:rsid w:val="00BF72B2"/>
    <w:rsid w:val="00BF7306"/>
    <w:rsid w:val="00BF7333"/>
    <w:rsid w:val="00BF7368"/>
    <w:rsid w:val="00BF73E9"/>
    <w:rsid w:val="00BF7400"/>
    <w:rsid w:val="00BF740D"/>
    <w:rsid w:val="00BF7454"/>
    <w:rsid w:val="00BF746B"/>
    <w:rsid w:val="00BF74A1"/>
    <w:rsid w:val="00BF74BF"/>
    <w:rsid w:val="00BF74CE"/>
    <w:rsid w:val="00BF7543"/>
    <w:rsid w:val="00BF754D"/>
    <w:rsid w:val="00BF75C5"/>
    <w:rsid w:val="00BF7632"/>
    <w:rsid w:val="00BF7669"/>
    <w:rsid w:val="00BF76B6"/>
    <w:rsid w:val="00BF76C9"/>
    <w:rsid w:val="00BF772C"/>
    <w:rsid w:val="00BF776A"/>
    <w:rsid w:val="00BF77B1"/>
    <w:rsid w:val="00BF77B9"/>
    <w:rsid w:val="00BF7817"/>
    <w:rsid w:val="00BF7818"/>
    <w:rsid w:val="00BF7825"/>
    <w:rsid w:val="00BF784A"/>
    <w:rsid w:val="00BF7894"/>
    <w:rsid w:val="00BF789D"/>
    <w:rsid w:val="00BF78C8"/>
    <w:rsid w:val="00BF78DB"/>
    <w:rsid w:val="00BF78FA"/>
    <w:rsid w:val="00BF7907"/>
    <w:rsid w:val="00BF7923"/>
    <w:rsid w:val="00BF798E"/>
    <w:rsid w:val="00BF79B3"/>
    <w:rsid w:val="00BF79B4"/>
    <w:rsid w:val="00BF7A08"/>
    <w:rsid w:val="00BF7A6F"/>
    <w:rsid w:val="00BF7A86"/>
    <w:rsid w:val="00BF7AC1"/>
    <w:rsid w:val="00BF7B34"/>
    <w:rsid w:val="00BF7B56"/>
    <w:rsid w:val="00BF7BAA"/>
    <w:rsid w:val="00BF7BED"/>
    <w:rsid w:val="00BF7BF2"/>
    <w:rsid w:val="00BF7BF6"/>
    <w:rsid w:val="00BF7BFD"/>
    <w:rsid w:val="00BF7CD8"/>
    <w:rsid w:val="00BF7CF4"/>
    <w:rsid w:val="00BF7D27"/>
    <w:rsid w:val="00BF7D3F"/>
    <w:rsid w:val="00BF7D9D"/>
    <w:rsid w:val="00BF7DF5"/>
    <w:rsid w:val="00BF7E65"/>
    <w:rsid w:val="00BF7E94"/>
    <w:rsid w:val="00BF7E99"/>
    <w:rsid w:val="00BF7EA9"/>
    <w:rsid w:val="00BF7ECA"/>
    <w:rsid w:val="00BF7EE8"/>
    <w:rsid w:val="00BF7F78"/>
    <w:rsid w:val="00BF7FE5"/>
    <w:rsid w:val="00BFB7BB"/>
    <w:rsid w:val="00BFD107"/>
    <w:rsid w:val="00C0001F"/>
    <w:rsid w:val="00C00038"/>
    <w:rsid w:val="00C00083"/>
    <w:rsid w:val="00C00088"/>
    <w:rsid w:val="00C00097"/>
    <w:rsid w:val="00C0009B"/>
    <w:rsid w:val="00C00132"/>
    <w:rsid w:val="00C0018D"/>
    <w:rsid w:val="00C0023E"/>
    <w:rsid w:val="00C0027D"/>
    <w:rsid w:val="00C002A7"/>
    <w:rsid w:val="00C002F9"/>
    <w:rsid w:val="00C002FF"/>
    <w:rsid w:val="00C0031D"/>
    <w:rsid w:val="00C0033A"/>
    <w:rsid w:val="00C003C0"/>
    <w:rsid w:val="00C003E4"/>
    <w:rsid w:val="00C00403"/>
    <w:rsid w:val="00C0044D"/>
    <w:rsid w:val="00C00462"/>
    <w:rsid w:val="00C0048E"/>
    <w:rsid w:val="00C004C9"/>
    <w:rsid w:val="00C004F4"/>
    <w:rsid w:val="00C004F5"/>
    <w:rsid w:val="00C00533"/>
    <w:rsid w:val="00C005A0"/>
    <w:rsid w:val="00C005C2"/>
    <w:rsid w:val="00C005EE"/>
    <w:rsid w:val="00C005FC"/>
    <w:rsid w:val="00C0061F"/>
    <w:rsid w:val="00C0062D"/>
    <w:rsid w:val="00C0063E"/>
    <w:rsid w:val="00C00693"/>
    <w:rsid w:val="00C00702"/>
    <w:rsid w:val="00C00745"/>
    <w:rsid w:val="00C0076C"/>
    <w:rsid w:val="00C00774"/>
    <w:rsid w:val="00C007BD"/>
    <w:rsid w:val="00C007DA"/>
    <w:rsid w:val="00C008B2"/>
    <w:rsid w:val="00C008C9"/>
    <w:rsid w:val="00C008FC"/>
    <w:rsid w:val="00C00927"/>
    <w:rsid w:val="00C00AD5"/>
    <w:rsid w:val="00C00B13"/>
    <w:rsid w:val="00C00B25"/>
    <w:rsid w:val="00C00B71"/>
    <w:rsid w:val="00C00B8B"/>
    <w:rsid w:val="00C00CAD"/>
    <w:rsid w:val="00C00CC5"/>
    <w:rsid w:val="00C00D54"/>
    <w:rsid w:val="00C00E12"/>
    <w:rsid w:val="00C00E44"/>
    <w:rsid w:val="00C00E69"/>
    <w:rsid w:val="00C00E8B"/>
    <w:rsid w:val="00C00F41"/>
    <w:rsid w:val="00C00F4F"/>
    <w:rsid w:val="00C00F69"/>
    <w:rsid w:val="00C00F95"/>
    <w:rsid w:val="00C00FB2"/>
    <w:rsid w:val="00C00FB5"/>
    <w:rsid w:val="00C00FC3"/>
    <w:rsid w:val="00C00FDF"/>
    <w:rsid w:val="00C00FEE"/>
    <w:rsid w:val="00C01058"/>
    <w:rsid w:val="00C010E2"/>
    <w:rsid w:val="00C010E5"/>
    <w:rsid w:val="00C010EB"/>
    <w:rsid w:val="00C0116E"/>
    <w:rsid w:val="00C0118C"/>
    <w:rsid w:val="00C0118E"/>
    <w:rsid w:val="00C011C8"/>
    <w:rsid w:val="00C011D4"/>
    <w:rsid w:val="00C011DB"/>
    <w:rsid w:val="00C012B2"/>
    <w:rsid w:val="00C01322"/>
    <w:rsid w:val="00C013AA"/>
    <w:rsid w:val="00C013BA"/>
    <w:rsid w:val="00C014D7"/>
    <w:rsid w:val="00C0154C"/>
    <w:rsid w:val="00C01567"/>
    <w:rsid w:val="00C01569"/>
    <w:rsid w:val="00C01595"/>
    <w:rsid w:val="00C015FC"/>
    <w:rsid w:val="00C01621"/>
    <w:rsid w:val="00C01652"/>
    <w:rsid w:val="00C01662"/>
    <w:rsid w:val="00C016C9"/>
    <w:rsid w:val="00C016E7"/>
    <w:rsid w:val="00C016F5"/>
    <w:rsid w:val="00C0175B"/>
    <w:rsid w:val="00C0175C"/>
    <w:rsid w:val="00C017D4"/>
    <w:rsid w:val="00C018CB"/>
    <w:rsid w:val="00C018CD"/>
    <w:rsid w:val="00C01A1C"/>
    <w:rsid w:val="00C01A90"/>
    <w:rsid w:val="00C01A99"/>
    <w:rsid w:val="00C01AD8"/>
    <w:rsid w:val="00C01AF2"/>
    <w:rsid w:val="00C01B0A"/>
    <w:rsid w:val="00C01B3F"/>
    <w:rsid w:val="00C01B47"/>
    <w:rsid w:val="00C01BF1"/>
    <w:rsid w:val="00C01C02"/>
    <w:rsid w:val="00C01C18"/>
    <w:rsid w:val="00C01C6C"/>
    <w:rsid w:val="00C01CCF"/>
    <w:rsid w:val="00C01CD3"/>
    <w:rsid w:val="00C01CDA"/>
    <w:rsid w:val="00C01D74"/>
    <w:rsid w:val="00C01D76"/>
    <w:rsid w:val="00C01DA1"/>
    <w:rsid w:val="00C01E3C"/>
    <w:rsid w:val="00C01E77"/>
    <w:rsid w:val="00C01E78"/>
    <w:rsid w:val="00C01E88"/>
    <w:rsid w:val="00C01EBC"/>
    <w:rsid w:val="00C01EBD"/>
    <w:rsid w:val="00C01EC6"/>
    <w:rsid w:val="00C01F1E"/>
    <w:rsid w:val="00C01F31"/>
    <w:rsid w:val="00C01F41"/>
    <w:rsid w:val="00C01F8A"/>
    <w:rsid w:val="00C01F9F"/>
    <w:rsid w:val="00C02058"/>
    <w:rsid w:val="00C02098"/>
    <w:rsid w:val="00C020A2"/>
    <w:rsid w:val="00C020A4"/>
    <w:rsid w:val="00C020C2"/>
    <w:rsid w:val="00C020CD"/>
    <w:rsid w:val="00C020E0"/>
    <w:rsid w:val="00C0212E"/>
    <w:rsid w:val="00C0219A"/>
    <w:rsid w:val="00C021B3"/>
    <w:rsid w:val="00C021BA"/>
    <w:rsid w:val="00C021D2"/>
    <w:rsid w:val="00C02232"/>
    <w:rsid w:val="00C022CB"/>
    <w:rsid w:val="00C022DA"/>
    <w:rsid w:val="00C022F5"/>
    <w:rsid w:val="00C02320"/>
    <w:rsid w:val="00C02387"/>
    <w:rsid w:val="00C02393"/>
    <w:rsid w:val="00C023B7"/>
    <w:rsid w:val="00C023C4"/>
    <w:rsid w:val="00C02429"/>
    <w:rsid w:val="00C02432"/>
    <w:rsid w:val="00C0243A"/>
    <w:rsid w:val="00C02464"/>
    <w:rsid w:val="00C024EA"/>
    <w:rsid w:val="00C024EC"/>
    <w:rsid w:val="00C024F1"/>
    <w:rsid w:val="00C02525"/>
    <w:rsid w:val="00C02542"/>
    <w:rsid w:val="00C025AC"/>
    <w:rsid w:val="00C025C1"/>
    <w:rsid w:val="00C025EF"/>
    <w:rsid w:val="00C0262B"/>
    <w:rsid w:val="00C026E0"/>
    <w:rsid w:val="00C026EE"/>
    <w:rsid w:val="00C02704"/>
    <w:rsid w:val="00C0275F"/>
    <w:rsid w:val="00C02801"/>
    <w:rsid w:val="00C02853"/>
    <w:rsid w:val="00C02882"/>
    <w:rsid w:val="00C028DA"/>
    <w:rsid w:val="00C028E2"/>
    <w:rsid w:val="00C0295A"/>
    <w:rsid w:val="00C029A3"/>
    <w:rsid w:val="00C029BE"/>
    <w:rsid w:val="00C02A1C"/>
    <w:rsid w:val="00C02A1E"/>
    <w:rsid w:val="00C02A29"/>
    <w:rsid w:val="00C02A49"/>
    <w:rsid w:val="00C02A57"/>
    <w:rsid w:val="00C02A5E"/>
    <w:rsid w:val="00C02A9D"/>
    <w:rsid w:val="00C02AA4"/>
    <w:rsid w:val="00C02BA0"/>
    <w:rsid w:val="00C02BF0"/>
    <w:rsid w:val="00C02C31"/>
    <w:rsid w:val="00C02C72"/>
    <w:rsid w:val="00C02CC7"/>
    <w:rsid w:val="00C02D03"/>
    <w:rsid w:val="00C02D0A"/>
    <w:rsid w:val="00C02D17"/>
    <w:rsid w:val="00C02D2D"/>
    <w:rsid w:val="00C02D6C"/>
    <w:rsid w:val="00C02DAD"/>
    <w:rsid w:val="00C02DDA"/>
    <w:rsid w:val="00C02E0F"/>
    <w:rsid w:val="00C02E3D"/>
    <w:rsid w:val="00C02E6C"/>
    <w:rsid w:val="00C02E75"/>
    <w:rsid w:val="00C02E89"/>
    <w:rsid w:val="00C02F1C"/>
    <w:rsid w:val="00C0303C"/>
    <w:rsid w:val="00C0305D"/>
    <w:rsid w:val="00C03111"/>
    <w:rsid w:val="00C0312D"/>
    <w:rsid w:val="00C0313A"/>
    <w:rsid w:val="00C03181"/>
    <w:rsid w:val="00C0320F"/>
    <w:rsid w:val="00C0325D"/>
    <w:rsid w:val="00C0326C"/>
    <w:rsid w:val="00C03275"/>
    <w:rsid w:val="00C032A6"/>
    <w:rsid w:val="00C03319"/>
    <w:rsid w:val="00C0333C"/>
    <w:rsid w:val="00C033F5"/>
    <w:rsid w:val="00C03495"/>
    <w:rsid w:val="00C0354C"/>
    <w:rsid w:val="00C03564"/>
    <w:rsid w:val="00C03583"/>
    <w:rsid w:val="00C035B3"/>
    <w:rsid w:val="00C035B5"/>
    <w:rsid w:val="00C03609"/>
    <w:rsid w:val="00C03621"/>
    <w:rsid w:val="00C0368D"/>
    <w:rsid w:val="00C036E1"/>
    <w:rsid w:val="00C03711"/>
    <w:rsid w:val="00C0373A"/>
    <w:rsid w:val="00C0376D"/>
    <w:rsid w:val="00C03784"/>
    <w:rsid w:val="00C0379E"/>
    <w:rsid w:val="00C0382A"/>
    <w:rsid w:val="00C03830"/>
    <w:rsid w:val="00C0384A"/>
    <w:rsid w:val="00C03851"/>
    <w:rsid w:val="00C038BF"/>
    <w:rsid w:val="00C0390C"/>
    <w:rsid w:val="00C0391F"/>
    <w:rsid w:val="00C03997"/>
    <w:rsid w:val="00C03A0F"/>
    <w:rsid w:val="00C03AD2"/>
    <w:rsid w:val="00C03AD8"/>
    <w:rsid w:val="00C03AEC"/>
    <w:rsid w:val="00C03B3B"/>
    <w:rsid w:val="00C03B5C"/>
    <w:rsid w:val="00C03B75"/>
    <w:rsid w:val="00C03B9D"/>
    <w:rsid w:val="00C03BAF"/>
    <w:rsid w:val="00C03C11"/>
    <w:rsid w:val="00C03C37"/>
    <w:rsid w:val="00C03C72"/>
    <w:rsid w:val="00C03CD1"/>
    <w:rsid w:val="00C03CDE"/>
    <w:rsid w:val="00C03CF5"/>
    <w:rsid w:val="00C03D80"/>
    <w:rsid w:val="00C03DA7"/>
    <w:rsid w:val="00C03DC4"/>
    <w:rsid w:val="00C03DD5"/>
    <w:rsid w:val="00C03DF3"/>
    <w:rsid w:val="00C03E57"/>
    <w:rsid w:val="00C03EB0"/>
    <w:rsid w:val="00C03ED4"/>
    <w:rsid w:val="00C03EF7"/>
    <w:rsid w:val="00C03F02"/>
    <w:rsid w:val="00C03F08"/>
    <w:rsid w:val="00C03F23"/>
    <w:rsid w:val="00C03F5F"/>
    <w:rsid w:val="00C03F89"/>
    <w:rsid w:val="00C03FA5"/>
    <w:rsid w:val="00C03FC5"/>
    <w:rsid w:val="00C03FF5"/>
    <w:rsid w:val="00C0405E"/>
    <w:rsid w:val="00C040C2"/>
    <w:rsid w:val="00C040DB"/>
    <w:rsid w:val="00C04112"/>
    <w:rsid w:val="00C04121"/>
    <w:rsid w:val="00C04167"/>
    <w:rsid w:val="00C041A5"/>
    <w:rsid w:val="00C04206"/>
    <w:rsid w:val="00C04212"/>
    <w:rsid w:val="00C04249"/>
    <w:rsid w:val="00C04265"/>
    <w:rsid w:val="00C042C6"/>
    <w:rsid w:val="00C0430D"/>
    <w:rsid w:val="00C043B3"/>
    <w:rsid w:val="00C043B4"/>
    <w:rsid w:val="00C043FF"/>
    <w:rsid w:val="00C04428"/>
    <w:rsid w:val="00C0442A"/>
    <w:rsid w:val="00C0446D"/>
    <w:rsid w:val="00C0449F"/>
    <w:rsid w:val="00C045EB"/>
    <w:rsid w:val="00C0477B"/>
    <w:rsid w:val="00C0479D"/>
    <w:rsid w:val="00C047B3"/>
    <w:rsid w:val="00C047C5"/>
    <w:rsid w:val="00C047CE"/>
    <w:rsid w:val="00C047E8"/>
    <w:rsid w:val="00C047F1"/>
    <w:rsid w:val="00C04813"/>
    <w:rsid w:val="00C04818"/>
    <w:rsid w:val="00C04850"/>
    <w:rsid w:val="00C04856"/>
    <w:rsid w:val="00C04874"/>
    <w:rsid w:val="00C04895"/>
    <w:rsid w:val="00C048A3"/>
    <w:rsid w:val="00C048C3"/>
    <w:rsid w:val="00C048CD"/>
    <w:rsid w:val="00C04966"/>
    <w:rsid w:val="00C049AB"/>
    <w:rsid w:val="00C049CC"/>
    <w:rsid w:val="00C04A15"/>
    <w:rsid w:val="00C04A64"/>
    <w:rsid w:val="00C04A8E"/>
    <w:rsid w:val="00C04AC2"/>
    <w:rsid w:val="00C04AF5"/>
    <w:rsid w:val="00C04AFD"/>
    <w:rsid w:val="00C04B63"/>
    <w:rsid w:val="00C04C3F"/>
    <w:rsid w:val="00C04C74"/>
    <w:rsid w:val="00C04C8F"/>
    <w:rsid w:val="00C04CD8"/>
    <w:rsid w:val="00C04D0D"/>
    <w:rsid w:val="00C04D26"/>
    <w:rsid w:val="00C04D2B"/>
    <w:rsid w:val="00C04D85"/>
    <w:rsid w:val="00C04DAA"/>
    <w:rsid w:val="00C04EA9"/>
    <w:rsid w:val="00C04EBD"/>
    <w:rsid w:val="00C04EED"/>
    <w:rsid w:val="00C04F0A"/>
    <w:rsid w:val="00C04F10"/>
    <w:rsid w:val="00C04F2E"/>
    <w:rsid w:val="00C04FB4"/>
    <w:rsid w:val="00C05022"/>
    <w:rsid w:val="00C05032"/>
    <w:rsid w:val="00C0503D"/>
    <w:rsid w:val="00C0504C"/>
    <w:rsid w:val="00C05057"/>
    <w:rsid w:val="00C05084"/>
    <w:rsid w:val="00C050A1"/>
    <w:rsid w:val="00C050E8"/>
    <w:rsid w:val="00C05123"/>
    <w:rsid w:val="00C0513D"/>
    <w:rsid w:val="00C0514B"/>
    <w:rsid w:val="00C0519A"/>
    <w:rsid w:val="00C0521A"/>
    <w:rsid w:val="00C0522D"/>
    <w:rsid w:val="00C0524C"/>
    <w:rsid w:val="00C05279"/>
    <w:rsid w:val="00C0530C"/>
    <w:rsid w:val="00C05312"/>
    <w:rsid w:val="00C05338"/>
    <w:rsid w:val="00C05371"/>
    <w:rsid w:val="00C05387"/>
    <w:rsid w:val="00C053B9"/>
    <w:rsid w:val="00C05413"/>
    <w:rsid w:val="00C0541B"/>
    <w:rsid w:val="00C054C3"/>
    <w:rsid w:val="00C054D2"/>
    <w:rsid w:val="00C054F7"/>
    <w:rsid w:val="00C05519"/>
    <w:rsid w:val="00C05553"/>
    <w:rsid w:val="00C0556C"/>
    <w:rsid w:val="00C055EF"/>
    <w:rsid w:val="00C05631"/>
    <w:rsid w:val="00C0565D"/>
    <w:rsid w:val="00C056B0"/>
    <w:rsid w:val="00C056BD"/>
    <w:rsid w:val="00C05702"/>
    <w:rsid w:val="00C05703"/>
    <w:rsid w:val="00C0571A"/>
    <w:rsid w:val="00C05822"/>
    <w:rsid w:val="00C05880"/>
    <w:rsid w:val="00C058BD"/>
    <w:rsid w:val="00C05910"/>
    <w:rsid w:val="00C05971"/>
    <w:rsid w:val="00C059D3"/>
    <w:rsid w:val="00C05A40"/>
    <w:rsid w:val="00C05A5B"/>
    <w:rsid w:val="00C05ACE"/>
    <w:rsid w:val="00C05AE3"/>
    <w:rsid w:val="00C05B56"/>
    <w:rsid w:val="00C05B98"/>
    <w:rsid w:val="00C05BB2"/>
    <w:rsid w:val="00C05BE0"/>
    <w:rsid w:val="00C05C55"/>
    <w:rsid w:val="00C05C78"/>
    <w:rsid w:val="00C05CC2"/>
    <w:rsid w:val="00C05CDF"/>
    <w:rsid w:val="00C05CEA"/>
    <w:rsid w:val="00C05CFE"/>
    <w:rsid w:val="00C05D66"/>
    <w:rsid w:val="00C05DAB"/>
    <w:rsid w:val="00C05DE1"/>
    <w:rsid w:val="00C05E0D"/>
    <w:rsid w:val="00C05E10"/>
    <w:rsid w:val="00C05E25"/>
    <w:rsid w:val="00C05E33"/>
    <w:rsid w:val="00C05E6C"/>
    <w:rsid w:val="00C05E91"/>
    <w:rsid w:val="00C05EC2"/>
    <w:rsid w:val="00C05F41"/>
    <w:rsid w:val="00C05F80"/>
    <w:rsid w:val="00C05FA6"/>
    <w:rsid w:val="00C05FEF"/>
    <w:rsid w:val="00C05FF7"/>
    <w:rsid w:val="00C0608D"/>
    <w:rsid w:val="00C06187"/>
    <w:rsid w:val="00C061B6"/>
    <w:rsid w:val="00C061C1"/>
    <w:rsid w:val="00C061E5"/>
    <w:rsid w:val="00C06214"/>
    <w:rsid w:val="00C0621C"/>
    <w:rsid w:val="00C0621D"/>
    <w:rsid w:val="00C0626F"/>
    <w:rsid w:val="00C0628A"/>
    <w:rsid w:val="00C06294"/>
    <w:rsid w:val="00C0631E"/>
    <w:rsid w:val="00C06339"/>
    <w:rsid w:val="00C06391"/>
    <w:rsid w:val="00C063B7"/>
    <w:rsid w:val="00C063BA"/>
    <w:rsid w:val="00C063ED"/>
    <w:rsid w:val="00C06406"/>
    <w:rsid w:val="00C06438"/>
    <w:rsid w:val="00C06465"/>
    <w:rsid w:val="00C064EA"/>
    <w:rsid w:val="00C06526"/>
    <w:rsid w:val="00C0653B"/>
    <w:rsid w:val="00C06564"/>
    <w:rsid w:val="00C0656C"/>
    <w:rsid w:val="00C06571"/>
    <w:rsid w:val="00C06625"/>
    <w:rsid w:val="00C06661"/>
    <w:rsid w:val="00C06672"/>
    <w:rsid w:val="00C06716"/>
    <w:rsid w:val="00C0675D"/>
    <w:rsid w:val="00C06865"/>
    <w:rsid w:val="00C0687D"/>
    <w:rsid w:val="00C0690B"/>
    <w:rsid w:val="00C0692B"/>
    <w:rsid w:val="00C06953"/>
    <w:rsid w:val="00C0696F"/>
    <w:rsid w:val="00C06979"/>
    <w:rsid w:val="00C0697C"/>
    <w:rsid w:val="00C0698E"/>
    <w:rsid w:val="00C069D0"/>
    <w:rsid w:val="00C06A03"/>
    <w:rsid w:val="00C06A3C"/>
    <w:rsid w:val="00C06AE4"/>
    <w:rsid w:val="00C06B2A"/>
    <w:rsid w:val="00C06BD9"/>
    <w:rsid w:val="00C06C09"/>
    <w:rsid w:val="00C06D2D"/>
    <w:rsid w:val="00C06D37"/>
    <w:rsid w:val="00C06E02"/>
    <w:rsid w:val="00C06E12"/>
    <w:rsid w:val="00C06E79"/>
    <w:rsid w:val="00C06EFE"/>
    <w:rsid w:val="00C06F03"/>
    <w:rsid w:val="00C06F18"/>
    <w:rsid w:val="00C06F1B"/>
    <w:rsid w:val="00C06F45"/>
    <w:rsid w:val="00C06F98"/>
    <w:rsid w:val="00C06FA0"/>
    <w:rsid w:val="00C06FEE"/>
    <w:rsid w:val="00C07003"/>
    <w:rsid w:val="00C0700E"/>
    <w:rsid w:val="00C07012"/>
    <w:rsid w:val="00C070B9"/>
    <w:rsid w:val="00C070CD"/>
    <w:rsid w:val="00C070D6"/>
    <w:rsid w:val="00C070D7"/>
    <w:rsid w:val="00C070D9"/>
    <w:rsid w:val="00C07117"/>
    <w:rsid w:val="00C0712C"/>
    <w:rsid w:val="00C07158"/>
    <w:rsid w:val="00C07159"/>
    <w:rsid w:val="00C071CF"/>
    <w:rsid w:val="00C07212"/>
    <w:rsid w:val="00C07219"/>
    <w:rsid w:val="00C07231"/>
    <w:rsid w:val="00C07250"/>
    <w:rsid w:val="00C07268"/>
    <w:rsid w:val="00C07294"/>
    <w:rsid w:val="00C07299"/>
    <w:rsid w:val="00C072CE"/>
    <w:rsid w:val="00C072D0"/>
    <w:rsid w:val="00C072F1"/>
    <w:rsid w:val="00C07440"/>
    <w:rsid w:val="00C0744E"/>
    <w:rsid w:val="00C07451"/>
    <w:rsid w:val="00C07489"/>
    <w:rsid w:val="00C074BB"/>
    <w:rsid w:val="00C074E5"/>
    <w:rsid w:val="00C07507"/>
    <w:rsid w:val="00C07594"/>
    <w:rsid w:val="00C075EE"/>
    <w:rsid w:val="00C07618"/>
    <w:rsid w:val="00C07627"/>
    <w:rsid w:val="00C07672"/>
    <w:rsid w:val="00C0767D"/>
    <w:rsid w:val="00C076BF"/>
    <w:rsid w:val="00C07730"/>
    <w:rsid w:val="00C07755"/>
    <w:rsid w:val="00C0776A"/>
    <w:rsid w:val="00C07775"/>
    <w:rsid w:val="00C077E1"/>
    <w:rsid w:val="00C077EF"/>
    <w:rsid w:val="00C077FA"/>
    <w:rsid w:val="00C07890"/>
    <w:rsid w:val="00C078D3"/>
    <w:rsid w:val="00C078EE"/>
    <w:rsid w:val="00C07902"/>
    <w:rsid w:val="00C07922"/>
    <w:rsid w:val="00C07954"/>
    <w:rsid w:val="00C0796E"/>
    <w:rsid w:val="00C079A4"/>
    <w:rsid w:val="00C079C1"/>
    <w:rsid w:val="00C07A09"/>
    <w:rsid w:val="00C07A1A"/>
    <w:rsid w:val="00C07A66"/>
    <w:rsid w:val="00C07A68"/>
    <w:rsid w:val="00C07A82"/>
    <w:rsid w:val="00C07AB2"/>
    <w:rsid w:val="00C07AF6"/>
    <w:rsid w:val="00C07B00"/>
    <w:rsid w:val="00C07B06"/>
    <w:rsid w:val="00C07B52"/>
    <w:rsid w:val="00C07BD0"/>
    <w:rsid w:val="00C07BEF"/>
    <w:rsid w:val="00C07C53"/>
    <w:rsid w:val="00C07D4D"/>
    <w:rsid w:val="00C07D55"/>
    <w:rsid w:val="00C07D8D"/>
    <w:rsid w:val="00C07E27"/>
    <w:rsid w:val="00C07E71"/>
    <w:rsid w:val="00C07E96"/>
    <w:rsid w:val="00C07EAE"/>
    <w:rsid w:val="00C07EBB"/>
    <w:rsid w:val="00C07F23"/>
    <w:rsid w:val="00C07F47"/>
    <w:rsid w:val="00C07FA8"/>
    <w:rsid w:val="00C07FD6"/>
    <w:rsid w:val="00C1000B"/>
    <w:rsid w:val="00C1007D"/>
    <w:rsid w:val="00C10083"/>
    <w:rsid w:val="00C100BA"/>
    <w:rsid w:val="00C100BC"/>
    <w:rsid w:val="00C100FF"/>
    <w:rsid w:val="00C10141"/>
    <w:rsid w:val="00C10234"/>
    <w:rsid w:val="00C10291"/>
    <w:rsid w:val="00C102B8"/>
    <w:rsid w:val="00C10357"/>
    <w:rsid w:val="00C10359"/>
    <w:rsid w:val="00C10362"/>
    <w:rsid w:val="00C10369"/>
    <w:rsid w:val="00C103A1"/>
    <w:rsid w:val="00C10408"/>
    <w:rsid w:val="00C1042F"/>
    <w:rsid w:val="00C10441"/>
    <w:rsid w:val="00C104CA"/>
    <w:rsid w:val="00C10508"/>
    <w:rsid w:val="00C1050B"/>
    <w:rsid w:val="00C1051E"/>
    <w:rsid w:val="00C1053C"/>
    <w:rsid w:val="00C10551"/>
    <w:rsid w:val="00C10584"/>
    <w:rsid w:val="00C1059F"/>
    <w:rsid w:val="00C105C4"/>
    <w:rsid w:val="00C1062D"/>
    <w:rsid w:val="00C10633"/>
    <w:rsid w:val="00C1063A"/>
    <w:rsid w:val="00C1065D"/>
    <w:rsid w:val="00C10670"/>
    <w:rsid w:val="00C1074C"/>
    <w:rsid w:val="00C107AD"/>
    <w:rsid w:val="00C107EA"/>
    <w:rsid w:val="00C1080C"/>
    <w:rsid w:val="00C10824"/>
    <w:rsid w:val="00C10829"/>
    <w:rsid w:val="00C10857"/>
    <w:rsid w:val="00C10881"/>
    <w:rsid w:val="00C10889"/>
    <w:rsid w:val="00C108E9"/>
    <w:rsid w:val="00C10978"/>
    <w:rsid w:val="00C109C1"/>
    <w:rsid w:val="00C10A03"/>
    <w:rsid w:val="00C10A37"/>
    <w:rsid w:val="00C10A71"/>
    <w:rsid w:val="00C10A78"/>
    <w:rsid w:val="00C10AD9"/>
    <w:rsid w:val="00C10AE6"/>
    <w:rsid w:val="00C10B32"/>
    <w:rsid w:val="00C10BF1"/>
    <w:rsid w:val="00C10C16"/>
    <w:rsid w:val="00C10C19"/>
    <w:rsid w:val="00C10C42"/>
    <w:rsid w:val="00C10C51"/>
    <w:rsid w:val="00C10C6E"/>
    <w:rsid w:val="00C10C6F"/>
    <w:rsid w:val="00C10C72"/>
    <w:rsid w:val="00C10C7C"/>
    <w:rsid w:val="00C10C98"/>
    <w:rsid w:val="00C10CAC"/>
    <w:rsid w:val="00C10CC5"/>
    <w:rsid w:val="00C10DC6"/>
    <w:rsid w:val="00C10DE0"/>
    <w:rsid w:val="00C10DEB"/>
    <w:rsid w:val="00C10E2A"/>
    <w:rsid w:val="00C10E83"/>
    <w:rsid w:val="00C10EA2"/>
    <w:rsid w:val="00C10EE7"/>
    <w:rsid w:val="00C10F1C"/>
    <w:rsid w:val="00C10F4E"/>
    <w:rsid w:val="00C10F52"/>
    <w:rsid w:val="00C10FA2"/>
    <w:rsid w:val="00C10FC5"/>
    <w:rsid w:val="00C10FED"/>
    <w:rsid w:val="00C10FF3"/>
    <w:rsid w:val="00C10FF6"/>
    <w:rsid w:val="00C11027"/>
    <w:rsid w:val="00C11062"/>
    <w:rsid w:val="00C1109D"/>
    <w:rsid w:val="00C110B4"/>
    <w:rsid w:val="00C1110A"/>
    <w:rsid w:val="00C1110C"/>
    <w:rsid w:val="00C11119"/>
    <w:rsid w:val="00C11122"/>
    <w:rsid w:val="00C11127"/>
    <w:rsid w:val="00C11212"/>
    <w:rsid w:val="00C11227"/>
    <w:rsid w:val="00C1122C"/>
    <w:rsid w:val="00C11298"/>
    <w:rsid w:val="00C112CE"/>
    <w:rsid w:val="00C112E2"/>
    <w:rsid w:val="00C112F9"/>
    <w:rsid w:val="00C112FE"/>
    <w:rsid w:val="00C1132B"/>
    <w:rsid w:val="00C11345"/>
    <w:rsid w:val="00C11347"/>
    <w:rsid w:val="00C1139D"/>
    <w:rsid w:val="00C113A6"/>
    <w:rsid w:val="00C113F0"/>
    <w:rsid w:val="00C1146D"/>
    <w:rsid w:val="00C1148A"/>
    <w:rsid w:val="00C11569"/>
    <w:rsid w:val="00C1157A"/>
    <w:rsid w:val="00C1159A"/>
    <w:rsid w:val="00C11611"/>
    <w:rsid w:val="00C11620"/>
    <w:rsid w:val="00C116A5"/>
    <w:rsid w:val="00C116DA"/>
    <w:rsid w:val="00C1171B"/>
    <w:rsid w:val="00C11752"/>
    <w:rsid w:val="00C1176A"/>
    <w:rsid w:val="00C11772"/>
    <w:rsid w:val="00C117EB"/>
    <w:rsid w:val="00C117EC"/>
    <w:rsid w:val="00C1180F"/>
    <w:rsid w:val="00C1182C"/>
    <w:rsid w:val="00C11830"/>
    <w:rsid w:val="00C11860"/>
    <w:rsid w:val="00C1190A"/>
    <w:rsid w:val="00C11919"/>
    <w:rsid w:val="00C11945"/>
    <w:rsid w:val="00C1196B"/>
    <w:rsid w:val="00C119BF"/>
    <w:rsid w:val="00C11A55"/>
    <w:rsid w:val="00C11A64"/>
    <w:rsid w:val="00C11AA3"/>
    <w:rsid w:val="00C11AC7"/>
    <w:rsid w:val="00C11B42"/>
    <w:rsid w:val="00C11B5D"/>
    <w:rsid w:val="00C11BE2"/>
    <w:rsid w:val="00C11C01"/>
    <w:rsid w:val="00C11C12"/>
    <w:rsid w:val="00C11C4E"/>
    <w:rsid w:val="00C11CCD"/>
    <w:rsid w:val="00C11D0D"/>
    <w:rsid w:val="00C11D2F"/>
    <w:rsid w:val="00C11D4F"/>
    <w:rsid w:val="00C11D96"/>
    <w:rsid w:val="00C11DB0"/>
    <w:rsid w:val="00C11DE5"/>
    <w:rsid w:val="00C11E3A"/>
    <w:rsid w:val="00C11E64"/>
    <w:rsid w:val="00C11E82"/>
    <w:rsid w:val="00C11EC7"/>
    <w:rsid w:val="00C11ED8"/>
    <w:rsid w:val="00C11F41"/>
    <w:rsid w:val="00C11F75"/>
    <w:rsid w:val="00C11FAE"/>
    <w:rsid w:val="00C11FD6"/>
    <w:rsid w:val="00C12008"/>
    <w:rsid w:val="00C1202C"/>
    <w:rsid w:val="00C1203F"/>
    <w:rsid w:val="00C1209C"/>
    <w:rsid w:val="00C120E5"/>
    <w:rsid w:val="00C1217E"/>
    <w:rsid w:val="00C121DB"/>
    <w:rsid w:val="00C121EB"/>
    <w:rsid w:val="00C121FE"/>
    <w:rsid w:val="00C12233"/>
    <w:rsid w:val="00C12261"/>
    <w:rsid w:val="00C122D8"/>
    <w:rsid w:val="00C12337"/>
    <w:rsid w:val="00C12376"/>
    <w:rsid w:val="00C1237A"/>
    <w:rsid w:val="00C1237B"/>
    <w:rsid w:val="00C12392"/>
    <w:rsid w:val="00C123CF"/>
    <w:rsid w:val="00C123D3"/>
    <w:rsid w:val="00C1244F"/>
    <w:rsid w:val="00C12456"/>
    <w:rsid w:val="00C124DD"/>
    <w:rsid w:val="00C12526"/>
    <w:rsid w:val="00C12593"/>
    <w:rsid w:val="00C125D4"/>
    <w:rsid w:val="00C126E5"/>
    <w:rsid w:val="00C12706"/>
    <w:rsid w:val="00C12723"/>
    <w:rsid w:val="00C12741"/>
    <w:rsid w:val="00C12772"/>
    <w:rsid w:val="00C128A2"/>
    <w:rsid w:val="00C12980"/>
    <w:rsid w:val="00C129A1"/>
    <w:rsid w:val="00C129E0"/>
    <w:rsid w:val="00C129E1"/>
    <w:rsid w:val="00C12A1A"/>
    <w:rsid w:val="00C12AED"/>
    <w:rsid w:val="00C12B5A"/>
    <w:rsid w:val="00C12B90"/>
    <w:rsid w:val="00C12B95"/>
    <w:rsid w:val="00C12BC5"/>
    <w:rsid w:val="00C12C26"/>
    <w:rsid w:val="00C12C72"/>
    <w:rsid w:val="00C12D3A"/>
    <w:rsid w:val="00C12D5B"/>
    <w:rsid w:val="00C12D82"/>
    <w:rsid w:val="00C12D98"/>
    <w:rsid w:val="00C12E27"/>
    <w:rsid w:val="00C12E3A"/>
    <w:rsid w:val="00C12E4A"/>
    <w:rsid w:val="00C12EF1"/>
    <w:rsid w:val="00C12EF7"/>
    <w:rsid w:val="00C12F49"/>
    <w:rsid w:val="00C12F58"/>
    <w:rsid w:val="00C12F89"/>
    <w:rsid w:val="00C12FD9"/>
    <w:rsid w:val="00C1309D"/>
    <w:rsid w:val="00C130F3"/>
    <w:rsid w:val="00C1315D"/>
    <w:rsid w:val="00C1320B"/>
    <w:rsid w:val="00C13210"/>
    <w:rsid w:val="00C1323E"/>
    <w:rsid w:val="00C1329B"/>
    <w:rsid w:val="00C132BE"/>
    <w:rsid w:val="00C132C0"/>
    <w:rsid w:val="00C132DC"/>
    <w:rsid w:val="00C13361"/>
    <w:rsid w:val="00C13396"/>
    <w:rsid w:val="00C133AB"/>
    <w:rsid w:val="00C1347D"/>
    <w:rsid w:val="00C134C5"/>
    <w:rsid w:val="00C13541"/>
    <w:rsid w:val="00C135A0"/>
    <w:rsid w:val="00C1362D"/>
    <w:rsid w:val="00C1364D"/>
    <w:rsid w:val="00C136A2"/>
    <w:rsid w:val="00C136A3"/>
    <w:rsid w:val="00C136C9"/>
    <w:rsid w:val="00C136E2"/>
    <w:rsid w:val="00C13704"/>
    <w:rsid w:val="00C13756"/>
    <w:rsid w:val="00C137A9"/>
    <w:rsid w:val="00C137DF"/>
    <w:rsid w:val="00C137F9"/>
    <w:rsid w:val="00C13850"/>
    <w:rsid w:val="00C1389E"/>
    <w:rsid w:val="00C138C3"/>
    <w:rsid w:val="00C138DE"/>
    <w:rsid w:val="00C138E5"/>
    <w:rsid w:val="00C1394C"/>
    <w:rsid w:val="00C1395F"/>
    <w:rsid w:val="00C13978"/>
    <w:rsid w:val="00C13999"/>
    <w:rsid w:val="00C139AD"/>
    <w:rsid w:val="00C139F3"/>
    <w:rsid w:val="00C13A27"/>
    <w:rsid w:val="00C13A3A"/>
    <w:rsid w:val="00C13A52"/>
    <w:rsid w:val="00C13A65"/>
    <w:rsid w:val="00C13B4E"/>
    <w:rsid w:val="00C13B56"/>
    <w:rsid w:val="00C13B80"/>
    <w:rsid w:val="00C13BC9"/>
    <w:rsid w:val="00C13BDB"/>
    <w:rsid w:val="00C13C68"/>
    <w:rsid w:val="00C13C69"/>
    <w:rsid w:val="00C13C80"/>
    <w:rsid w:val="00C13C95"/>
    <w:rsid w:val="00C13CA5"/>
    <w:rsid w:val="00C13CD8"/>
    <w:rsid w:val="00C13CE8"/>
    <w:rsid w:val="00C13D00"/>
    <w:rsid w:val="00C13D4A"/>
    <w:rsid w:val="00C13D9C"/>
    <w:rsid w:val="00C13E49"/>
    <w:rsid w:val="00C13E7D"/>
    <w:rsid w:val="00C13EF3"/>
    <w:rsid w:val="00C13F01"/>
    <w:rsid w:val="00C13FA5"/>
    <w:rsid w:val="00C140AD"/>
    <w:rsid w:val="00C140B2"/>
    <w:rsid w:val="00C140D1"/>
    <w:rsid w:val="00C141BD"/>
    <w:rsid w:val="00C141C1"/>
    <w:rsid w:val="00C14200"/>
    <w:rsid w:val="00C14211"/>
    <w:rsid w:val="00C14293"/>
    <w:rsid w:val="00C142A9"/>
    <w:rsid w:val="00C14334"/>
    <w:rsid w:val="00C1433B"/>
    <w:rsid w:val="00C14354"/>
    <w:rsid w:val="00C1435A"/>
    <w:rsid w:val="00C1437B"/>
    <w:rsid w:val="00C1437D"/>
    <w:rsid w:val="00C14386"/>
    <w:rsid w:val="00C143B0"/>
    <w:rsid w:val="00C143BF"/>
    <w:rsid w:val="00C143DD"/>
    <w:rsid w:val="00C143E2"/>
    <w:rsid w:val="00C14404"/>
    <w:rsid w:val="00C14418"/>
    <w:rsid w:val="00C144D4"/>
    <w:rsid w:val="00C1451B"/>
    <w:rsid w:val="00C1455D"/>
    <w:rsid w:val="00C14574"/>
    <w:rsid w:val="00C145B0"/>
    <w:rsid w:val="00C145F1"/>
    <w:rsid w:val="00C1462D"/>
    <w:rsid w:val="00C14635"/>
    <w:rsid w:val="00C14644"/>
    <w:rsid w:val="00C146E1"/>
    <w:rsid w:val="00C1470B"/>
    <w:rsid w:val="00C1473A"/>
    <w:rsid w:val="00C147B2"/>
    <w:rsid w:val="00C147B7"/>
    <w:rsid w:val="00C147BA"/>
    <w:rsid w:val="00C1482D"/>
    <w:rsid w:val="00C1487C"/>
    <w:rsid w:val="00C14893"/>
    <w:rsid w:val="00C14897"/>
    <w:rsid w:val="00C14934"/>
    <w:rsid w:val="00C14949"/>
    <w:rsid w:val="00C14958"/>
    <w:rsid w:val="00C14980"/>
    <w:rsid w:val="00C149B0"/>
    <w:rsid w:val="00C149DA"/>
    <w:rsid w:val="00C149E8"/>
    <w:rsid w:val="00C149EC"/>
    <w:rsid w:val="00C14A9F"/>
    <w:rsid w:val="00C14AAA"/>
    <w:rsid w:val="00C14ACB"/>
    <w:rsid w:val="00C14AE6"/>
    <w:rsid w:val="00C14AF8"/>
    <w:rsid w:val="00C14B26"/>
    <w:rsid w:val="00C14B2B"/>
    <w:rsid w:val="00C14B53"/>
    <w:rsid w:val="00C14B74"/>
    <w:rsid w:val="00C14B8A"/>
    <w:rsid w:val="00C14BBA"/>
    <w:rsid w:val="00C14BCE"/>
    <w:rsid w:val="00C14C05"/>
    <w:rsid w:val="00C14D2D"/>
    <w:rsid w:val="00C14D9B"/>
    <w:rsid w:val="00C14DBC"/>
    <w:rsid w:val="00C14DBE"/>
    <w:rsid w:val="00C14EB6"/>
    <w:rsid w:val="00C14F15"/>
    <w:rsid w:val="00C14F68"/>
    <w:rsid w:val="00C14FCA"/>
    <w:rsid w:val="00C14FE5"/>
    <w:rsid w:val="00C14FEA"/>
    <w:rsid w:val="00C14FF7"/>
    <w:rsid w:val="00C150A9"/>
    <w:rsid w:val="00C150B8"/>
    <w:rsid w:val="00C150D7"/>
    <w:rsid w:val="00C150E7"/>
    <w:rsid w:val="00C15102"/>
    <w:rsid w:val="00C151AF"/>
    <w:rsid w:val="00C1520F"/>
    <w:rsid w:val="00C152A8"/>
    <w:rsid w:val="00C152F3"/>
    <w:rsid w:val="00C15381"/>
    <w:rsid w:val="00C153C8"/>
    <w:rsid w:val="00C15431"/>
    <w:rsid w:val="00C15491"/>
    <w:rsid w:val="00C154E6"/>
    <w:rsid w:val="00C15544"/>
    <w:rsid w:val="00C155B6"/>
    <w:rsid w:val="00C155C5"/>
    <w:rsid w:val="00C155CE"/>
    <w:rsid w:val="00C1564E"/>
    <w:rsid w:val="00C15676"/>
    <w:rsid w:val="00C15686"/>
    <w:rsid w:val="00C156A4"/>
    <w:rsid w:val="00C156A8"/>
    <w:rsid w:val="00C156AF"/>
    <w:rsid w:val="00C156DA"/>
    <w:rsid w:val="00C1572F"/>
    <w:rsid w:val="00C15741"/>
    <w:rsid w:val="00C15885"/>
    <w:rsid w:val="00C1589E"/>
    <w:rsid w:val="00C159B4"/>
    <w:rsid w:val="00C15A34"/>
    <w:rsid w:val="00C15A95"/>
    <w:rsid w:val="00C15B2B"/>
    <w:rsid w:val="00C15B2D"/>
    <w:rsid w:val="00C15B81"/>
    <w:rsid w:val="00C15B8D"/>
    <w:rsid w:val="00C15BFF"/>
    <w:rsid w:val="00C15C25"/>
    <w:rsid w:val="00C15C91"/>
    <w:rsid w:val="00C15CE1"/>
    <w:rsid w:val="00C15D27"/>
    <w:rsid w:val="00C15DC3"/>
    <w:rsid w:val="00C15DFF"/>
    <w:rsid w:val="00C15E47"/>
    <w:rsid w:val="00C15E88"/>
    <w:rsid w:val="00C15E9B"/>
    <w:rsid w:val="00C15EDB"/>
    <w:rsid w:val="00C15EE5"/>
    <w:rsid w:val="00C15F25"/>
    <w:rsid w:val="00C15FB6"/>
    <w:rsid w:val="00C15FD2"/>
    <w:rsid w:val="00C15FE3"/>
    <w:rsid w:val="00C15FEC"/>
    <w:rsid w:val="00C16025"/>
    <w:rsid w:val="00C16040"/>
    <w:rsid w:val="00C160CE"/>
    <w:rsid w:val="00C160F3"/>
    <w:rsid w:val="00C1610D"/>
    <w:rsid w:val="00C16112"/>
    <w:rsid w:val="00C16163"/>
    <w:rsid w:val="00C1619F"/>
    <w:rsid w:val="00C161C0"/>
    <w:rsid w:val="00C16228"/>
    <w:rsid w:val="00C16246"/>
    <w:rsid w:val="00C16343"/>
    <w:rsid w:val="00C16401"/>
    <w:rsid w:val="00C1642F"/>
    <w:rsid w:val="00C16441"/>
    <w:rsid w:val="00C16466"/>
    <w:rsid w:val="00C1649D"/>
    <w:rsid w:val="00C164C4"/>
    <w:rsid w:val="00C164CB"/>
    <w:rsid w:val="00C164F3"/>
    <w:rsid w:val="00C16526"/>
    <w:rsid w:val="00C1656C"/>
    <w:rsid w:val="00C1659E"/>
    <w:rsid w:val="00C1661D"/>
    <w:rsid w:val="00C1662C"/>
    <w:rsid w:val="00C1662E"/>
    <w:rsid w:val="00C16653"/>
    <w:rsid w:val="00C16695"/>
    <w:rsid w:val="00C166D5"/>
    <w:rsid w:val="00C166E4"/>
    <w:rsid w:val="00C16733"/>
    <w:rsid w:val="00C16743"/>
    <w:rsid w:val="00C168F5"/>
    <w:rsid w:val="00C16923"/>
    <w:rsid w:val="00C16978"/>
    <w:rsid w:val="00C169D3"/>
    <w:rsid w:val="00C169ED"/>
    <w:rsid w:val="00C16A03"/>
    <w:rsid w:val="00C16A77"/>
    <w:rsid w:val="00C16AC2"/>
    <w:rsid w:val="00C16B1A"/>
    <w:rsid w:val="00C16B82"/>
    <w:rsid w:val="00C16B89"/>
    <w:rsid w:val="00C16BA0"/>
    <w:rsid w:val="00C16BD8"/>
    <w:rsid w:val="00C16BEB"/>
    <w:rsid w:val="00C16C07"/>
    <w:rsid w:val="00C16C3C"/>
    <w:rsid w:val="00C16C56"/>
    <w:rsid w:val="00C16C73"/>
    <w:rsid w:val="00C16CC8"/>
    <w:rsid w:val="00C16CDA"/>
    <w:rsid w:val="00C16CE2"/>
    <w:rsid w:val="00C16CE8"/>
    <w:rsid w:val="00C16CF4"/>
    <w:rsid w:val="00C16D2F"/>
    <w:rsid w:val="00C16DA2"/>
    <w:rsid w:val="00C16DB0"/>
    <w:rsid w:val="00C16DF0"/>
    <w:rsid w:val="00C16E19"/>
    <w:rsid w:val="00C16E27"/>
    <w:rsid w:val="00C16E5C"/>
    <w:rsid w:val="00C16E69"/>
    <w:rsid w:val="00C16EC7"/>
    <w:rsid w:val="00C16EF8"/>
    <w:rsid w:val="00C16F94"/>
    <w:rsid w:val="00C16FB4"/>
    <w:rsid w:val="00C17138"/>
    <w:rsid w:val="00C1717E"/>
    <w:rsid w:val="00C171F7"/>
    <w:rsid w:val="00C17256"/>
    <w:rsid w:val="00C1726A"/>
    <w:rsid w:val="00C17298"/>
    <w:rsid w:val="00C172FB"/>
    <w:rsid w:val="00C1731B"/>
    <w:rsid w:val="00C17357"/>
    <w:rsid w:val="00C1735E"/>
    <w:rsid w:val="00C173A9"/>
    <w:rsid w:val="00C1740B"/>
    <w:rsid w:val="00C17450"/>
    <w:rsid w:val="00C174AF"/>
    <w:rsid w:val="00C174FB"/>
    <w:rsid w:val="00C175D8"/>
    <w:rsid w:val="00C175E7"/>
    <w:rsid w:val="00C175F1"/>
    <w:rsid w:val="00C17696"/>
    <w:rsid w:val="00C1773D"/>
    <w:rsid w:val="00C1775D"/>
    <w:rsid w:val="00C17760"/>
    <w:rsid w:val="00C1777D"/>
    <w:rsid w:val="00C17783"/>
    <w:rsid w:val="00C177D2"/>
    <w:rsid w:val="00C178B8"/>
    <w:rsid w:val="00C17956"/>
    <w:rsid w:val="00C1799F"/>
    <w:rsid w:val="00C179B6"/>
    <w:rsid w:val="00C179C4"/>
    <w:rsid w:val="00C17A05"/>
    <w:rsid w:val="00C17A13"/>
    <w:rsid w:val="00C17A1D"/>
    <w:rsid w:val="00C17A27"/>
    <w:rsid w:val="00C17A4C"/>
    <w:rsid w:val="00C17A52"/>
    <w:rsid w:val="00C17A56"/>
    <w:rsid w:val="00C17AB6"/>
    <w:rsid w:val="00C17AC4"/>
    <w:rsid w:val="00C17AE4"/>
    <w:rsid w:val="00C17B6C"/>
    <w:rsid w:val="00C17B87"/>
    <w:rsid w:val="00C17BEA"/>
    <w:rsid w:val="00C17CBD"/>
    <w:rsid w:val="00C17CFA"/>
    <w:rsid w:val="00C17D10"/>
    <w:rsid w:val="00C17D32"/>
    <w:rsid w:val="00C17D54"/>
    <w:rsid w:val="00C17DE0"/>
    <w:rsid w:val="00C17E8D"/>
    <w:rsid w:val="00C17EB0"/>
    <w:rsid w:val="00C17ED3"/>
    <w:rsid w:val="00C17EF6"/>
    <w:rsid w:val="00C17F0D"/>
    <w:rsid w:val="00C17F0F"/>
    <w:rsid w:val="00C17F22"/>
    <w:rsid w:val="00C17FBC"/>
    <w:rsid w:val="00C17FF7"/>
    <w:rsid w:val="00C2006A"/>
    <w:rsid w:val="00C200F5"/>
    <w:rsid w:val="00C20155"/>
    <w:rsid w:val="00C20165"/>
    <w:rsid w:val="00C201FF"/>
    <w:rsid w:val="00C20288"/>
    <w:rsid w:val="00C2029B"/>
    <w:rsid w:val="00C20329"/>
    <w:rsid w:val="00C2039F"/>
    <w:rsid w:val="00C203F7"/>
    <w:rsid w:val="00C20430"/>
    <w:rsid w:val="00C20452"/>
    <w:rsid w:val="00C20498"/>
    <w:rsid w:val="00C20587"/>
    <w:rsid w:val="00C2059F"/>
    <w:rsid w:val="00C205AC"/>
    <w:rsid w:val="00C2061F"/>
    <w:rsid w:val="00C20637"/>
    <w:rsid w:val="00C2063E"/>
    <w:rsid w:val="00C2067D"/>
    <w:rsid w:val="00C206CF"/>
    <w:rsid w:val="00C20748"/>
    <w:rsid w:val="00C207A5"/>
    <w:rsid w:val="00C207ED"/>
    <w:rsid w:val="00C2081C"/>
    <w:rsid w:val="00C20854"/>
    <w:rsid w:val="00C2085F"/>
    <w:rsid w:val="00C20865"/>
    <w:rsid w:val="00C20885"/>
    <w:rsid w:val="00C208D5"/>
    <w:rsid w:val="00C208F2"/>
    <w:rsid w:val="00C20933"/>
    <w:rsid w:val="00C20945"/>
    <w:rsid w:val="00C20969"/>
    <w:rsid w:val="00C209A7"/>
    <w:rsid w:val="00C209FB"/>
    <w:rsid w:val="00C20A22"/>
    <w:rsid w:val="00C20A71"/>
    <w:rsid w:val="00C20AB4"/>
    <w:rsid w:val="00C20AF9"/>
    <w:rsid w:val="00C20B04"/>
    <w:rsid w:val="00C20B4F"/>
    <w:rsid w:val="00C20B7A"/>
    <w:rsid w:val="00C20BB4"/>
    <w:rsid w:val="00C20BC2"/>
    <w:rsid w:val="00C20BFF"/>
    <w:rsid w:val="00C20C87"/>
    <w:rsid w:val="00C20CB7"/>
    <w:rsid w:val="00C20CC8"/>
    <w:rsid w:val="00C20D1B"/>
    <w:rsid w:val="00C20D40"/>
    <w:rsid w:val="00C20D4A"/>
    <w:rsid w:val="00C20D72"/>
    <w:rsid w:val="00C20DA2"/>
    <w:rsid w:val="00C20DA6"/>
    <w:rsid w:val="00C20DBC"/>
    <w:rsid w:val="00C20E13"/>
    <w:rsid w:val="00C20E15"/>
    <w:rsid w:val="00C20E25"/>
    <w:rsid w:val="00C20E36"/>
    <w:rsid w:val="00C20E4D"/>
    <w:rsid w:val="00C20F21"/>
    <w:rsid w:val="00C20F54"/>
    <w:rsid w:val="00C20FF4"/>
    <w:rsid w:val="00C21068"/>
    <w:rsid w:val="00C210D4"/>
    <w:rsid w:val="00C210DA"/>
    <w:rsid w:val="00C210E9"/>
    <w:rsid w:val="00C2114D"/>
    <w:rsid w:val="00C211A5"/>
    <w:rsid w:val="00C211AB"/>
    <w:rsid w:val="00C211CE"/>
    <w:rsid w:val="00C21220"/>
    <w:rsid w:val="00C21237"/>
    <w:rsid w:val="00C2126E"/>
    <w:rsid w:val="00C21285"/>
    <w:rsid w:val="00C212A6"/>
    <w:rsid w:val="00C212F5"/>
    <w:rsid w:val="00C212FD"/>
    <w:rsid w:val="00C2132A"/>
    <w:rsid w:val="00C2133D"/>
    <w:rsid w:val="00C2137F"/>
    <w:rsid w:val="00C213A9"/>
    <w:rsid w:val="00C2142A"/>
    <w:rsid w:val="00C21451"/>
    <w:rsid w:val="00C2152E"/>
    <w:rsid w:val="00C2156D"/>
    <w:rsid w:val="00C2159F"/>
    <w:rsid w:val="00C215A4"/>
    <w:rsid w:val="00C215C5"/>
    <w:rsid w:val="00C215E6"/>
    <w:rsid w:val="00C215FA"/>
    <w:rsid w:val="00C21604"/>
    <w:rsid w:val="00C216FF"/>
    <w:rsid w:val="00C21732"/>
    <w:rsid w:val="00C217A0"/>
    <w:rsid w:val="00C217BA"/>
    <w:rsid w:val="00C217D5"/>
    <w:rsid w:val="00C21854"/>
    <w:rsid w:val="00C2188B"/>
    <w:rsid w:val="00C218B9"/>
    <w:rsid w:val="00C218C0"/>
    <w:rsid w:val="00C218DF"/>
    <w:rsid w:val="00C218F6"/>
    <w:rsid w:val="00C21908"/>
    <w:rsid w:val="00C2193E"/>
    <w:rsid w:val="00C219B3"/>
    <w:rsid w:val="00C219E0"/>
    <w:rsid w:val="00C21A5D"/>
    <w:rsid w:val="00C21AB5"/>
    <w:rsid w:val="00C21B1B"/>
    <w:rsid w:val="00C21C1B"/>
    <w:rsid w:val="00C21C23"/>
    <w:rsid w:val="00C21C53"/>
    <w:rsid w:val="00C21CD0"/>
    <w:rsid w:val="00C21E2A"/>
    <w:rsid w:val="00C21E2D"/>
    <w:rsid w:val="00C21ECB"/>
    <w:rsid w:val="00C21F93"/>
    <w:rsid w:val="00C21F99"/>
    <w:rsid w:val="00C21FAF"/>
    <w:rsid w:val="00C21FC3"/>
    <w:rsid w:val="00C21FD5"/>
    <w:rsid w:val="00C22003"/>
    <w:rsid w:val="00C2203B"/>
    <w:rsid w:val="00C2206A"/>
    <w:rsid w:val="00C22070"/>
    <w:rsid w:val="00C220AD"/>
    <w:rsid w:val="00C220D2"/>
    <w:rsid w:val="00C22101"/>
    <w:rsid w:val="00C2213E"/>
    <w:rsid w:val="00C221A7"/>
    <w:rsid w:val="00C221CA"/>
    <w:rsid w:val="00C221D4"/>
    <w:rsid w:val="00C222B9"/>
    <w:rsid w:val="00C222E9"/>
    <w:rsid w:val="00C22317"/>
    <w:rsid w:val="00C22326"/>
    <w:rsid w:val="00C22389"/>
    <w:rsid w:val="00C223BB"/>
    <w:rsid w:val="00C223BF"/>
    <w:rsid w:val="00C223DD"/>
    <w:rsid w:val="00C2248D"/>
    <w:rsid w:val="00C224D5"/>
    <w:rsid w:val="00C224DC"/>
    <w:rsid w:val="00C224EA"/>
    <w:rsid w:val="00C22507"/>
    <w:rsid w:val="00C22556"/>
    <w:rsid w:val="00C2255D"/>
    <w:rsid w:val="00C22580"/>
    <w:rsid w:val="00C225EC"/>
    <w:rsid w:val="00C22636"/>
    <w:rsid w:val="00C22672"/>
    <w:rsid w:val="00C22683"/>
    <w:rsid w:val="00C2270B"/>
    <w:rsid w:val="00C22718"/>
    <w:rsid w:val="00C2272D"/>
    <w:rsid w:val="00C22733"/>
    <w:rsid w:val="00C227B5"/>
    <w:rsid w:val="00C227C6"/>
    <w:rsid w:val="00C2281E"/>
    <w:rsid w:val="00C2283A"/>
    <w:rsid w:val="00C2283B"/>
    <w:rsid w:val="00C2286E"/>
    <w:rsid w:val="00C228AE"/>
    <w:rsid w:val="00C228F4"/>
    <w:rsid w:val="00C22902"/>
    <w:rsid w:val="00C22926"/>
    <w:rsid w:val="00C2295C"/>
    <w:rsid w:val="00C229E4"/>
    <w:rsid w:val="00C229E8"/>
    <w:rsid w:val="00C22A1B"/>
    <w:rsid w:val="00C22A37"/>
    <w:rsid w:val="00C22A45"/>
    <w:rsid w:val="00C22A80"/>
    <w:rsid w:val="00C22AB2"/>
    <w:rsid w:val="00C22BC7"/>
    <w:rsid w:val="00C22C04"/>
    <w:rsid w:val="00C22C3B"/>
    <w:rsid w:val="00C22CF8"/>
    <w:rsid w:val="00C22D0E"/>
    <w:rsid w:val="00C22D10"/>
    <w:rsid w:val="00C22D33"/>
    <w:rsid w:val="00C22D57"/>
    <w:rsid w:val="00C22D61"/>
    <w:rsid w:val="00C22DEC"/>
    <w:rsid w:val="00C22E7A"/>
    <w:rsid w:val="00C22E80"/>
    <w:rsid w:val="00C22EA4"/>
    <w:rsid w:val="00C22F1D"/>
    <w:rsid w:val="00C22F30"/>
    <w:rsid w:val="00C22F6E"/>
    <w:rsid w:val="00C22FCA"/>
    <w:rsid w:val="00C2303C"/>
    <w:rsid w:val="00C2305B"/>
    <w:rsid w:val="00C2306C"/>
    <w:rsid w:val="00C230DB"/>
    <w:rsid w:val="00C230E2"/>
    <w:rsid w:val="00C2312E"/>
    <w:rsid w:val="00C23142"/>
    <w:rsid w:val="00C2315B"/>
    <w:rsid w:val="00C23210"/>
    <w:rsid w:val="00C23218"/>
    <w:rsid w:val="00C23274"/>
    <w:rsid w:val="00C232A5"/>
    <w:rsid w:val="00C232AA"/>
    <w:rsid w:val="00C232F7"/>
    <w:rsid w:val="00C23306"/>
    <w:rsid w:val="00C23328"/>
    <w:rsid w:val="00C23342"/>
    <w:rsid w:val="00C23346"/>
    <w:rsid w:val="00C233A5"/>
    <w:rsid w:val="00C233D8"/>
    <w:rsid w:val="00C233DD"/>
    <w:rsid w:val="00C233EE"/>
    <w:rsid w:val="00C233FA"/>
    <w:rsid w:val="00C23472"/>
    <w:rsid w:val="00C23490"/>
    <w:rsid w:val="00C234A2"/>
    <w:rsid w:val="00C234C6"/>
    <w:rsid w:val="00C235BA"/>
    <w:rsid w:val="00C235C6"/>
    <w:rsid w:val="00C235EE"/>
    <w:rsid w:val="00C23609"/>
    <w:rsid w:val="00C23684"/>
    <w:rsid w:val="00C236AA"/>
    <w:rsid w:val="00C236E9"/>
    <w:rsid w:val="00C236F4"/>
    <w:rsid w:val="00C237A2"/>
    <w:rsid w:val="00C237CA"/>
    <w:rsid w:val="00C23887"/>
    <w:rsid w:val="00C2389C"/>
    <w:rsid w:val="00C238A4"/>
    <w:rsid w:val="00C2391C"/>
    <w:rsid w:val="00C23939"/>
    <w:rsid w:val="00C23945"/>
    <w:rsid w:val="00C2396F"/>
    <w:rsid w:val="00C2399A"/>
    <w:rsid w:val="00C239DC"/>
    <w:rsid w:val="00C23A4A"/>
    <w:rsid w:val="00C23A67"/>
    <w:rsid w:val="00C23A72"/>
    <w:rsid w:val="00C23AFC"/>
    <w:rsid w:val="00C23B27"/>
    <w:rsid w:val="00C23B32"/>
    <w:rsid w:val="00C23B6F"/>
    <w:rsid w:val="00C23CBF"/>
    <w:rsid w:val="00C23D28"/>
    <w:rsid w:val="00C23D34"/>
    <w:rsid w:val="00C23D60"/>
    <w:rsid w:val="00C23D9A"/>
    <w:rsid w:val="00C23DA8"/>
    <w:rsid w:val="00C23E00"/>
    <w:rsid w:val="00C23E12"/>
    <w:rsid w:val="00C23E22"/>
    <w:rsid w:val="00C23E65"/>
    <w:rsid w:val="00C23E67"/>
    <w:rsid w:val="00C23E89"/>
    <w:rsid w:val="00C23EA0"/>
    <w:rsid w:val="00C23EA6"/>
    <w:rsid w:val="00C23EDE"/>
    <w:rsid w:val="00C23EE1"/>
    <w:rsid w:val="00C23F80"/>
    <w:rsid w:val="00C23F95"/>
    <w:rsid w:val="00C23FD2"/>
    <w:rsid w:val="00C24036"/>
    <w:rsid w:val="00C24056"/>
    <w:rsid w:val="00C2407F"/>
    <w:rsid w:val="00C24092"/>
    <w:rsid w:val="00C2409D"/>
    <w:rsid w:val="00C240A7"/>
    <w:rsid w:val="00C240C1"/>
    <w:rsid w:val="00C2410A"/>
    <w:rsid w:val="00C2414D"/>
    <w:rsid w:val="00C24172"/>
    <w:rsid w:val="00C241A9"/>
    <w:rsid w:val="00C241B7"/>
    <w:rsid w:val="00C241CF"/>
    <w:rsid w:val="00C241E2"/>
    <w:rsid w:val="00C24224"/>
    <w:rsid w:val="00C2423B"/>
    <w:rsid w:val="00C242A3"/>
    <w:rsid w:val="00C242BD"/>
    <w:rsid w:val="00C242CE"/>
    <w:rsid w:val="00C24423"/>
    <w:rsid w:val="00C244D1"/>
    <w:rsid w:val="00C244F7"/>
    <w:rsid w:val="00C2456C"/>
    <w:rsid w:val="00C24586"/>
    <w:rsid w:val="00C245C7"/>
    <w:rsid w:val="00C24602"/>
    <w:rsid w:val="00C24616"/>
    <w:rsid w:val="00C24621"/>
    <w:rsid w:val="00C246A5"/>
    <w:rsid w:val="00C246EE"/>
    <w:rsid w:val="00C24796"/>
    <w:rsid w:val="00C247D3"/>
    <w:rsid w:val="00C247E3"/>
    <w:rsid w:val="00C2485D"/>
    <w:rsid w:val="00C2485F"/>
    <w:rsid w:val="00C248A2"/>
    <w:rsid w:val="00C248B6"/>
    <w:rsid w:val="00C248DC"/>
    <w:rsid w:val="00C24945"/>
    <w:rsid w:val="00C24974"/>
    <w:rsid w:val="00C24A18"/>
    <w:rsid w:val="00C24A2D"/>
    <w:rsid w:val="00C24ADF"/>
    <w:rsid w:val="00C24B04"/>
    <w:rsid w:val="00C24B59"/>
    <w:rsid w:val="00C24BA5"/>
    <w:rsid w:val="00C24BB3"/>
    <w:rsid w:val="00C24BE3"/>
    <w:rsid w:val="00C24C39"/>
    <w:rsid w:val="00C24C3F"/>
    <w:rsid w:val="00C24C89"/>
    <w:rsid w:val="00C24D3C"/>
    <w:rsid w:val="00C24E18"/>
    <w:rsid w:val="00C24E4F"/>
    <w:rsid w:val="00C24E77"/>
    <w:rsid w:val="00C24F02"/>
    <w:rsid w:val="00C24F48"/>
    <w:rsid w:val="00C24FBB"/>
    <w:rsid w:val="00C24FF0"/>
    <w:rsid w:val="00C25035"/>
    <w:rsid w:val="00C25047"/>
    <w:rsid w:val="00C250DA"/>
    <w:rsid w:val="00C250DB"/>
    <w:rsid w:val="00C250E8"/>
    <w:rsid w:val="00C25100"/>
    <w:rsid w:val="00C2514E"/>
    <w:rsid w:val="00C25249"/>
    <w:rsid w:val="00C252BC"/>
    <w:rsid w:val="00C252CB"/>
    <w:rsid w:val="00C25306"/>
    <w:rsid w:val="00C2537C"/>
    <w:rsid w:val="00C253BF"/>
    <w:rsid w:val="00C253D7"/>
    <w:rsid w:val="00C25456"/>
    <w:rsid w:val="00C254BE"/>
    <w:rsid w:val="00C25558"/>
    <w:rsid w:val="00C25595"/>
    <w:rsid w:val="00C255AC"/>
    <w:rsid w:val="00C2564A"/>
    <w:rsid w:val="00C25684"/>
    <w:rsid w:val="00C256A2"/>
    <w:rsid w:val="00C256AA"/>
    <w:rsid w:val="00C256C7"/>
    <w:rsid w:val="00C256E0"/>
    <w:rsid w:val="00C2576F"/>
    <w:rsid w:val="00C257A8"/>
    <w:rsid w:val="00C257F2"/>
    <w:rsid w:val="00C25857"/>
    <w:rsid w:val="00C258CD"/>
    <w:rsid w:val="00C258D1"/>
    <w:rsid w:val="00C258DA"/>
    <w:rsid w:val="00C25913"/>
    <w:rsid w:val="00C25934"/>
    <w:rsid w:val="00C259DD"/>
    <w:rsid w:val="00C259E8"/>
    <w:rsid w:val="00C25A18"/>
    <w:rsid w:val="00C25A37"/>
    <w:rsid w:val="00C25AA4"/>
    <w:rsid w:val="00C25ADF"/>
    <w:rsid w:val="00C25AEB"/>
    <w:rsid w:val="00C25B0D"/>
    <w:rsid w:val="00C25B50"/>
    <w:rsid w:val="00C25B59"/>
    <w:rsid w:val="00C25BBA"/>
    <w:rsid w:val="00C25BC5"/>
    <w:rsid w:val="00C25BDA"/>
    <w:rsid w:val="00C25BDF"/>
    <w:rsid w:val="00C25C0A"/>
    <w:rsid w:val="00C25C27"/>
    <w:rsid w:val="00C25C39"/>
    <w:rsid w:val="00C25CAF"/>
    <w:rsid w:val="00C25CB6"/>
    <w:rsid w:val="00C25D34"/>
    <w:rsid w:val="00C25D98"/>
    <w:rsid w:val="00C25DCE"/>
    <w:rsid w:val="00C25E10"/>
    <w:rsid w:val="00C25E2E"/>
    <w:rsid w:val="00C25E3F"/>
    <w:rsid w:val="00C25E42"/>
    <w:rsid w:val="00C25E94"/>
    <w:rsid w:val="00C25EB7"/>
    <w:rsid w:val="00C25EBF"/>
    <w:rsid w:val="00C25F38"/>
    <w:rsid w:val="00C25F39"/>
    <w:rsid w:val="00C25F51"/>
    <w:rsid w:val="00C25F81"/>
    <w:rsid w:val="00C25FCC"/>
    <w:rsid w:val="00C25FD0"/>
    <w:rsid w:val="00C25FD5"/>
    <w:rsid w:val="00C2606C"/>
    <w:rsid w:val="00C26093"/>
    <w:rsid w:val="00C26162"/>
    <w:rsid w:val="00C2620E"/>
    <w:rsid w:val="00C26222"/>
    <w:rsid w:val="00C26229"/>
    <w:rsid w:val="00C26281"/>
    <w:rsid w:val="00C262C7"/>
    <w:rsid w:val="00C26350"/>
    <w:rsid w:val="00C2635E"/>
    <w:rsid w:val="00C26374"/>
    <w:rsid w:val="00C26395"/>
    <w:rsid w:val="00C263FD"/>
    <w:rsid w:val="00C2640F"/>
    <w:rsid w:val="00C2643C"/>
    <w:rsid w:val="00C26446"/>
    <w:rsid w:val="00C26474"/>
    <w:rsid w:val="00C26490"/>
    <w:rsid w:val="00C264C5"/>
    <w:rsid w:val="00C26526"/>
    <w:rsid w:val="00C26547"/>
    <w:rsid w:val="00C2674B"/>
    <w:rsid w:val="00C267AB"/>
    <w:rsid w:val="00C267AD"/>
    <w:rsid w:val="00C267D2"/>
    <w:rsid w:val="00C2684F"/>
    <w:rsid w:val="00C26861"/>
    <w:rsid w:val="00C26878"/>
    <w:rsid w:val="00C268BB"/>
    <w:rsid w:val="00C26969"/>
    <w:rsid w:val="00C2698B"/>
    <w:rsid w:val="00C26995"/>
    <w:rsid w:val="00C26A17"/>
    <w:rsid w:val="00C26A24"/>
    <w:rsid w:val="00C26A3E"/>
    <w:rsid w:val="00C26A43"/>
    <w:rsid w:val="00C26A59"/>
    <w:rsid w:val="00C26A62"/>
    <w:rsid w:val="00C26A72"/>
    <w:rsid w:val="00C26A89"/>
    <w:rsid w:val="00C26AFA"/>
    <w:rsid w:val="00C26B20"/>
    <w:rsid w:val="00C26B27"/>
    <w:rsid w:val="00C26B8F"/>
    <w:rsid w:val="00C26BA8"/>
    <w:rsid w:val="00C26BC3"/>
    <w:rsid w:val="00C26BEE"/>
    <w:rsid w:val="00C26C71"/>
    <w:rsid w:val="00C26CBB"/>
    <w:rsid w:val="00C26CCC"/>
    <w:rsid w:val="00C26CEC"/>
    <w:rsid w:val="00C26DCD"/>
    <w:rsid w:val="00C26F00"/>
    <w:rsid w:val="00C26FA5"/>
    <w:rsid w:val="00C26FBD"/>
    <w:rsid w:val="00C26FFC"/>
    <w:rsid w:val="00C26FFD"/>
    <w:rsid w:val="00C270C6"/>
    <w:rsid w:val="00C270D4"/>
    <w:rsid w:val="00C270DD"/>
    <w:rsid w:val="00C270F9"/>
    <w:rsid w:val="00C27106"/>
    <w:rsid w:val="00C2711B"/>
    <w:rsid w:val="00C2713D"/>
    <w:rsid w:val="00C2718F"/>
    <w:rsid w:val="00C271EB"/>
    <w:rsid w:val="00C271FA"/>
    <w:rsid w:val="00C271FC"/>
    <w:rsid w:val="00C2724B"/>
    <w:rsid w:val="00C272AE"/>
    <w:rsid w:val="00C272DE"/>
    <w:rsid w:val="00C2732C"/>
    <w:rsid w:val="00C27337"/>
    <w:rsid w:val="00C27346"/>
    <w:rsid w:val="00C27375"/>
    <w:rsid w:val="00C273E6"/>
    <w:rsid w:val="00C27434"/>
    <w:rsid w:val="00C27443"/>
    <w:rsid w:val="00C27505"/>
    <w:rsid w:val="00C2750B"/>
    <w:rsid w:val="00C27523"/>
    <w:rsid w:val="00C27579"/>
    <w:rsid w:val="00C275B9"/>
    <w:rsid w:val="00C2771C"/>
    <w:rsid w:val="00C27742"/>
    <w:rsid w:val="00C277D3"/>
    <w:rsid w:val="00C2788F"/>
    <w:rsid w:val="00C27898"/>
    <w:rsid w:val="00C27972"/>
    <w:rsid w:val="00C279DF"/>
    <w:rsid w:val="00C27AE1"/>
    <w:rsid w:val="00C27AE2"/>
    <w:rsid w:val="00C27AE9"/>
    <w:rsid w:val="00C27AF8"/>
    <w:rsid w:val="00C27BE0"/>
    <w:rsid w:val="00C27C13"/>
    <w:rsid w:val="00C27C8F"/>
    <w:rsid w:val="00C27CA0"/>
    <w:rsid w:val="00C27CBD"/>
    <w:rsid w:val="00C27CDA"/>
    <w:rsid w:val="00C27D3D"/>
    <w:rsid w:val="00C27D5B"/>
    <w:rsid w:val="00C27D79"/>
    <w:rsid w:val="00C27DB4"/>
    <w:rsid w:val="00C27DBB"/>
    <w:rsid w:val="00C27DD2"/>
    <w:rsid w:val="00C27E2A"/>
    <w:rsid w:val="00C27EF7"/>
    <w:rsid w:val="00C27EFF"/>
    <w:rsid w:val="00C27F12"/>
    <w:rsid w:val="00C27F17"/>
    <w:rsid w:val="00C27F31"/>
    <w:rsid w:val="00C27F54"/>
    <w:rsid w:val="00C27FBE"/>
    <w:rsid w:val="00C27FC7"/>
    <w:rsid w:val="00C2C8E8"/>
    <w:rsid w:val="00C30085"/>
    <w:rsid w:val="00C3009F"/>
    <w:rsid w:val="00C300BC"/>
    <w:rsid w:val="00C300EF"/>
    <w:rsid w:val="00C301B3"/>
    <w:rsid w:val="00C301FF"/>
    <w:rsid w:val="00C30263"/>
    <w:rsid w:val="00C302DF"/>
    <w:rsid w:val="00C3031F"/>
    <w:rsid w:val="00C3032C"/>
    <w:rsid w:val="00C30341"/>
    <w:rsid w:val="00C30474"/>
    <w:rsid w:val="00C304A0"/>
    <w:rsid w:val="00C304CA"/>
    <w:rsid w:val="00C304CF"/>
    <w:rsid w:val="00C30503"/>
    <w:rsid w:val="00C30514"/>
    <w:rsid w:val="00C3051B"/>
    <w:rsid w:val="00C3055C"/>
    <w:rsid w:val="00C30593"/>
    <w:rsid w:val="00C30594"/>
    <w:rsid w:val="00C305C2"/>
    <w:rsid w:val="00C305C7"/>
    <w:rsid w:val="00C306E4"/>
    <w:rsid w:val="00C30756"/>
    <w:rsid w:val="00C30758"/>
    <w:rsid w:val="00C307AB"/>
    <w:rsid w:val="00C307DF"/>
    <w:rsid w:val="00C30886"/>
    <w:rsid w:val="00C3088E"/>
    <w:rsid w:val="00C308A0"/>
    <w:rsid w:val="00C30900"/>
    <w:rsid w:val="00C30920"/>
    <w:rsid w:val="00C309A7"/>
    <w:rsid w:val="00C309E6"/>
    <w:rsid w:val="00C30A04"/>
    <w:rsid w:val="00C30A8A"/>
    <w:rsid w:val="00C30A90"/>
    <w:rsid w:val="00C30AE2"/>
    <w:rsid w:val="00C30B0D"/>
    <w:rsid w:val="00C30B59"/>
    <w:rsid w:val="00C30BA0"/>
    <w:rsid w:val="00C30BED"/>
    <w:rsid w:val="00C30C02"/>
    <w:rsid w:val="00C30C2D"/>
    <w:rsid w:val="00C30C76"/>
    <w:rsid w:val="00C30CDB"/>
    <w:rsid w:val="00C30CE6"/>
    <w:rsid w:val="00C30D0A"/>
    <w:rsid w:val="00C30D0C"/>
    <w:rsid w:val="00C30D31"/>
    <w:rsid w:val="00C30D4A"/>
    <w:rsid w:val="00C30D76"/>
    <w:rsid w:val="00C30D9C"/>
    <w:rsid w:val="00C30DD7"/>
    <w:rsid w:val="00C30E68"/>
    <w:rsid w:val="00C30E7F"/>
    <w:rsid w:val="00C30E96"/>
    <w:rsid w:val="00C30EB2"/>
    <w:rsid w:val="00C30EFF"/>
    <w:rsid w:val="00C30FB6"/>
    <w:rsid w:val="00C30FC6"/>
    <w:rsid w:val="00C30FDB"/>
    <w:rsid w:val="00C30FF5"/>
    <w:rsid w:val="00C3101A"/>
    <w:rsid w:val="00C31030"/>
    <w:rsid w:val="00C3103D"/>
    <w:rsid w:val="00C31076"/>
    <w:rsid w:val="00C31078"/>
    <w:rsid w:val="00C310BA"/>
    <w:rsid w:val="00C310CA"/>
    <w:rsid w:val="00C31104"/>
    <w:rsid w:val="00C31131"/>
    <w:rsid w:val="00C31238"/>
    <w:rsid w:val="00C31261"/>
    <w:rsid w:val="00C31272"/>
    <w:rsid w:val="00C3127C"/>
    <w:rsid w:val="00C312BC"/>
    <w:rsid w:val="00C31301"/>
    <w:rsid w:val="00C31324"/>
    <w:rsid w:val="00C31328"/>
    <w:rsid w:val="00C313E0"/>
    <w:rsid w:val="00C3141D"/>
    <w:rsid w:val="00C3146C"/>
    <w:rsid w:val="00C314EA"/>
    <w:rsid w:val="00C31501"/>
    <w:rsid w:val="00C3151D"/>
    <w:rsid w:val="00C31574"/>
    <w:rsid w:val="00C315BF"/>
    <w:rsid w:val="00C315FC"/>
    <w:rsid w:val="00C315FE"/>
    <w:rsid w:val="00C3165B"/>
    <w:rsid w:val="00C31679"/>
    <w:rsid w:val="00C316AF"/>
    <w:rsid w:val="00C316B2"/>
    <w:rsid w:val="00C31756"/>
    <w:rsid w:val="00C31798"/>
    <w:rsid w:val="00C317F2"/>
    <w:rsid w:val="00C3186D"/>
    <w:rsid w:val="00C318BB"/>
    <w:rsid w:val="00C318D6"/>
    <w:rsid w:val="00C318F0"/>
    <w:rsid w:val="00C31907"/>
    <w:rsid w:val="00C3193F"/>
    <w:rsid w:val="00C31941"/>
    <w:rsid w:val="00C31955"/>
    <w:rsid w:val="00C319CB"/>
    <w:rsid w:val="00C319EE"/>
    <w:rsid w:val="00C31A3E"/>
    <w:rsid w:val="00C31A6C"/>
    <w:rsid w:val="00C31A86"/>
    <w:rsid w:val="00C31A88"/>
    <w:rsid w:val="00C31B7A"/>
    <w:rsid w:val="00C31C17"/>
    <w:rsid w:val="00C31C6A"/>
    <w:rsid w:val="00C31CC2"/>
    <w:rsid w:val="00C31D07"/>
    <w:rsid w:val="00C31D1C"/>
    <w:rsid w:val="00C31D65"/>
    <w:rsid w:val="00C31D81"/>
    <w:rsid w:val="00C31D8A"/>
    <w:rsid w:val="00C31D95"/>
    <w:rsid w:val="00C31D98"/>
    <w:rsid w:val="00C31DC6"/>
    <w:rsid w:val="00C31DCC"/>
    <w:rsid w:val="00C31E34"/>
    <w:rsid w:val="00C31E54"/>
    <w:rsid w:val="00C31ECC"/>
    <w:rsid w:val="00C31EEB"/>
    <w:rsid w:val="00C31F0C"/>
    <w:rsid w:val="00C31FAA"/>
    <w:rsid w:val="00C31FD0"/>
    <w:rsid w:val="00C31FE8"/>
    <w:rsid w:val="00C32027"/>
    <w:rsid w:val="00C320A2"/>
    <w:rsid w:val="00C32161"/>
    <w:rsid w:val="00C32167"/>
    <w:rsid w:val="00C32190"/>
    <w:rsid w:val="00C321C4"/>
    <w:rsid w:val="00C321D3"/>
    <w:rsid w:val="00C32250"/>
    <w:rsid w:val="00C322CA"/>
    <w:rsid w:val="00C32338"/>
    <w:rsid w:val="00C32351"/>
    <w:rsid w:val="00C32372"/>
    <w:rsid w:val="00C323AD"/>
    <w:rsid w:val="00C323B5"/>
    <w:rsid w:val="00C323DF"/>
    <w:rsid w:val="00C3244B"/>
    <w:rsid w:val="00C32567"/>
    <w:rsid w:val="00C32628"/>
    <w:rsid w:val="00C326C4"/>
    <w:rsid w:val="00C326F2"/>
    <w:rsid w:val="00C32704"/>
    <w:rsid w:val="00C32725"/>
    <w:rsid w:val="00C3272E"/>
    <w:rsid w:val="00C32753"/>
    <w:rsid w:val="00C32788"/>
    <w:rsid w:val="00C327FB"/>
    <w:rsid w:val="00C32842"/>
    <w:rsid w:val="00C3284C"/>
    <w:rsid w:val="00C328A6"/>
    <w:rsid w:val="00C328D2"/>
    <w:rsid w:val="00C32905"/>
    <w:rsid w:val="00C32940"/>
    <w:rsid w:val="00C3294D"/>
    <w:rsid w:val="00C329E9"/>
    <w:rsid w:val="00C329F9"/>
    <w:rsid w:val="00C32A44"/>
    <w:rsid w:val="00C32AA1"/>
    <w:rsid w:val="00C32B25"/>
    <w:rsid w:val="00C32B7C"/>
    <w:rsid w:val="00C32B8D"/>
    <w:rsid w:val="00C32BA4"/>
    <w:rsid w:val="00C32D28"/>
    <w:rsid w:val="00C32D67"/>
    <w:rsid w:val="00C32D7C"/>
    <w:rsid w:val="00C32E0E"/>
    <w:rsid w:val="00C32E81"/>
    <w:rsid w:val="00C32E87"/>
    <w:rsid w:val="00C32EC2"/>
    <w:rsid w:val="00C32F47"/>
    <w:rsid w:val="00C32F53"/>
    <w:rsid w:val="00C32FE8"/>
    <w:rsid w:val="00C32FF2"/>
    <w:rsid w:val="00C33070"/>
    <w:rsid w:val="00C33086"/>
    <w:rsid w:val="00C330D9"/>
    <w:rsid w:val="00C33108"/>
    <w:rsid w:val="00C3311F"/>
    <w:rsid w:val="00C33178"/>
    <w:rsid w:val="00C331B8"/>
    <w:rsid w:val="00C331F0"/>
    <w:rsid w:val="00C3321C"/>
    <w:rsid w:val="00C33229"/>
    <w:rsid w:val="00C3326F"/>
    <w:rsid w:val="00C33292"/>
    <w:rsid w:val="00C332A9"/>
    <w:rsid w:val="00C332B3"/>
    <w:rsid w:val="00C332D9"/>
    <w:rsid w:val="00C33319"/>
    <w:rsid w:val="00C3339A"/>
    <w:rsid w:val="00C333CE"/>
    <w:rsid w:val="00C333F0"/>
    <w:rsid w:val="00C3343B"/>
    <w:rsid w:val="00C334E4"/>
    <w:rsid w:val="00C33511"/>
    <w:rsid w:val="00C3351D"/>
    <w:rsid w:val="00C335ED"/>
    <w:rsid w:val="00C33640"/>
    <w:rsid w:val="00C3364E"/>
    <w:rsid w:val="00C336A5"/>
    <w:rsid w:val="00C33758"/>
    <w:rsid w:val="00C3376E"/>
    <w:rsid w:val="00C33834"/>
    <w:rsid w:val="00C3385B"/>
    <w:rsid w:val="00C33860"/>
    <w:rsid w:val="00C33877"/>
    <w:rsid w:val="00C33A82"/>
    <w:rsid w:val="00C33B49"/>
    <w:rsid w:val="00C33B90"/>
    <w:rsid w:val="00C33B9F"/>
    <w:rsid w:val="00C33BF6"/>
    <w:rsid w:val="00C33C35"/>
    <w:rsid w:val="00C33C87"/>
    <w:rsid w:val="00C33C9A"/>
    <w:rsid w:val="00C33D03"/>
    <w:rsid w:val="00C33D0B"/>
    <w:rsid w:val="00C33D30"/>
    <w:rsid w:val="00C33DF1"/>
    <w:rsid w:val="00C33E41"/>
    <w:rsid w:val="00C33E54"/>
    <w:rsid w:val="00C33ECF"/>
    <w:rsid w:val="00C33ED9"/>
    <w:rsid w:val="00C33F0C"/>
    <w:rsid w:val="00C33F2E"/>
    <w:rsid w:val="00C33F4C"/>
    <w:rsid w:val="00C33FA7"/>
    <w:rsid w:val="00C33FCC"/>
    <w:rsid w:val="00C34086"/>
    <w:rsid w:val="00C340E2"/>
    <w:rsid w:val="00C34197"/>
    <w:rsid w:val="00C341CE"/>
    <w:rsid w:val="00C34206"/>
    <w:rsid w:val="00C34240"/>
    <w:rsid w:val="00C34295"/>
    <w:rsid w:val="00C34342"/>
    <w:rsid w:val="00C343A4"/>
    <w:rsid w:val="00C343CB"/>
    <w:rsid w:val="00C343D7"/>
    <w:rsid w:val="00C34482"/>
    <w:rsid w:val="00C3451F"/>
    <w:rsid w:val="00C34604"/>
    <w:rsid w:val="00C3462F"/>
    <w:rsid w:val="00C34633"/>
    <w:rsid w:val="00C34647"/>
    <w:rsid w:val="00C346BB"/>
    <w:rsid w:val="00C3472A"/>
    <w:rsid w:val="00C34757"/>
    <w:rsid w:val="00C347E8"/>
    <w:rsid w:val="00C347F2"/>
    <w:rsid w:val="00C3485E"/>
    <w:rsid w:val="00C3486B"/>
    <w:rsid w:val="00C348A6"/>
    <w:rsid w:val="00C348B1"/>
    <w:rsid w:val="00C348BC"/>
    <w:rsid w:val="00C348C3"/>
    <w:rsid w:val="00C348FC"/>
    <w:rsid w:val="00C34934"/>
    <w:rsid w:val="00C34952"/>
    <w:rsid w:val="00C349D9"/>
    <w:rsid w:val="00C34A4B"/>
    <w:rsid w:val="00C34A51"/>
    <w:rsid w:val="00C34A62"/>
    <w:rsid w:val="00C34A63"/>
    <w:rsid w:val="00C34A78"/>
    <w:rsid w:val="00C34AD2"/>
    <w:rsid w:val="00C34AF9"/>
    <w:rsid w:val="00C34B06"/>
    <w:rsid w:val="00C34B29"/>
    <w:rsid w:val="00C34B43"/>
    <w:rsid w:val="00C34B67"/>
    <w:rsid w:val="00C34BDA"/>
    <w:rsid w:val="00C34BE3"/>
    <w:rsid w:val="00C34C08"/>
    <w:rsid w:val="00C34C85"/>
    <w:rsid w:val="00C34C8C"/>
    <w:rsid w:val="00C34CF2"/>
    <w:rsid w:val="00C34D35"/>
    <w:rsid w:val="00C34D99"/>
    <w:rsid w:val="00C34DFB"/>
    <w:rsid w:val="00C34E17"/>
    <w:rsid w:val="00C34E1F"/>
    <w:rsid w:val="00C34E4D"/>
    <w:rsid w:val="00C34E4E"/>
    <w:rsid w:val="00C34EB0"/>
    <w:rsid w:val="00C34EB1"/>
    <w:rsid w:val="00C34EED"/>
    <w:rsid w:val="00C34EF3"/>
    <w:rsid w:val="00C34F27"/>
    <w:rsid w:val="00C34F34"/>
    <w:rsid w:val="00C34F44"/>
    <w:rsid w:val="00C34F96"/>
    <w:rsid w:val="00C34FA3"/>
    <w:rsid w:val="00C34FCB"/>
    <w:rsid w:val="00C35016"/>
    <w:rsid w:val="00C3504C"/>
    <w:rsid w:val="00C35054"/>
    <w:rsid w:val="00C3516F"/>
    <w:rsid w:val="00C35189"/>
    <w:rsid w:val="00C35197"/>
    <w:rsid w:val="00C351AD"/>
    <w:rsid w:val="00C3521F"/>
    <w:rsid w:val="00C35240"/>
    <w:rsid w:val="00C35247"/>
    <w:rsid w:val="00C3525C"/>
    <w:rsid w:val="00C352D8"/>
    <w:rsid w:val="00C352F5"/>
    <w:rsid w:val="00C352FD"/>
    <w:rsid w:val="00C3532F"/>
    <w:rsid w:val="00C35356"/>
    <w:rsid w:val="00C3538A"/>
    <w:rsid w:val="00C353A6"/>
    <w:rsid w:val="00C353C4"/>
    <w:rsid w:val="00C353C9"/>
    <w:rsid w:val="00C3545B"/>
    <w:rsid w:val="00C3548F"/>
    <w:rsid w:val="00C354D0"/>
    <w:rsid w:val="00C3553D"/>
    <w:rsid w:val="00C35567"/>
    <w:rsid w:val="00C35574"/>
    <w:rsid w:val="00C35593"/>
    <w:rsid w:val="00C355C9"/>
    <w:rsid w:val="00C355CB"/>
    <w:rsid w:val="00C355CD"/>
    <w:rsid w:val="00C355D5"/>
    <w:rsid w:val="00C355EC"/>
    <w:rsid w:val="00C3562F"/>
    <w:rsid w:val="00C35689"/>
    <w:rsid w:val="00C3568C"/>
    <w:rsid w:val="00C356AF"/>
    <w:rsid w:val="00C3578C"/>
    <w:rsid w:val="00C357BD"/>
    <w:rsid w:val="00C357CA"/>
    <w:rsid w:val="00C35813"/>
    <w:rsid w:val="00C358EC"/>
    <w:rsid w:val="00C35904"/>
    <w:rsid w:val="00C35927"/>
    <w:rsid w:val="00C35A09"/>
    <w:rsid w:val="00C35A16"/>
    <w:rsid w:val="00C35A50"/>
    <w:rsid w:val="00C35A76"/>
    <w:rsid w:val="00C35AF6"/>
    <w:rsid w:val="00C35B04"/>
    <w:rsid w:val="00C35B2D"/>
    <w:rsid w:val="00C35B45"/>
    <w:rsid w:val="00C35B9A"/>
    <w:rsid w:val="00C35BE3"/>
    <w:rsid w:val="00C35BF3"/>
    <w:rsid w:val="00C35C55"/>
    <w:rsid w:val="00C35C78"/>
    <w:rsid w:val="00C35C94"/>
    <w:rsid w:val="00C35C96"/>
    <w:rsid w:val="00C35CE9"/>
    <w:rsid w:val="00C35CEF"/>
    <w:rsid w:val="00C35D13"/>
    <w:rsid w:val="00C35D90"/>
    <w:rsid w:val="00C35DA7"/>
    <w:rsid w:val="00C35DBC"/>
    <w:rsid w:val="00C35DBE"/>
    <w:rsid w:val="00C35E94"/>
    <w:rsid w:val="00C35EA6"/>
    <w:rsid w:val="00C35ED3"/>
    <w:rsid w:val="00C35ED6"/>
    <w:rsid w:val="00C35F8C"/>
    <w:rsid w:val="00C35FB6"/>
    <w:rsid w:val="00C35FC5"/>
    <w:rsid w:val="00C35FEB"/>
    <w:rsid w:val="00C36061"/>
    <w:rsid w:val="00C36063"/>
    <w:rsid w:val="00C3609D"/>
    <w:rsid w:val="00C360C7"/>
    <w:rsid w:val="00C36112"/>
    <w:rsid w:val="00C36135"/>
    <w:rsid w:val="00C36146"/>
    <w:rsid w:val="00C36147"/>
    <w:rsid w:val="00C361E1"/>
    <w:rsid w:val="00C361F9"/>
    <w:rsid w:val="00C36212"/>
    <w:rsid w:val="00C362C9"/>
    <w:rsid w:val="00C362DB"/>
    <w:rsid w:val="00C362E0"/>
    <w:rsid w:val="00C36325"/>
    <w:rsid w:val="00C36326"/>
    <w:rsid w:val="00C36340"/>
    <w:rsid w:val="00C36352"/>
    <w:rsid w:val="00C363A3"/>
    <w:rsid w:val="00C363B8"/>
    <w:rsid w:val="00C363D7"/>
    <w:rsid w:val="00C36403"/>
    <w:rsid w:val="00C36501"/>
    <w:rsid w:val="00C3651F"/>
    <w:rsid w:val="00C3652D"/>
    <w:rsid w:val="00C36538"/>
    <w:rsid w:val="00C36561"/>
    <w:rsid w:val="00C365EB"/>
    <w:rsid w:val="00C36662"/>
    <w:rsid w:val="00C366A5"/>
    <w:rsid w:val="00C366AF"/>
    <w:rsid w:val="00C366DA"/>
    <w:rsid w:val="00C36728"/>
    <w:rsid w:val="00C36748"/>
    <w:rsid w:val="00C36842"/>
    <w:rsid w:val="00C36858"/>
    <w:rsid w:val="00C36866"/>
    <w:rsid w:val="00C368AE"/>
    <w:rsid w:val="00C368C1"/>
    <w:rsid w:val="00C36920"/>
    <w:rsid w:val="00C36995"/>
    <w:rsid w:val="00C36A05"/>
    <w:rsid w:val="00C36A08"/>
    <w:rsid w:val="00C36A23"/>
    <w:rsid w:val="00C36A5F"/>
    <w:rsid w:val="00C36A8A"/>
    <w:rsid w:val="00C36AA4"/>
    <w:rsid w:val="00C36AB1"/>
    <w:rsid w:val="00C36AB9"/>
    <w:rsid w:val="00C36AFE"/>
    <w:rsid w:val="00C36B05"/>
    <w:rsid w:val="00C36B1C"/>
    <w:rsid w:val="00C36B59"/>
    <w:rsid w:val="00C36B60"/>
    <w:rsid w:val="00C36B75"/>
    <w:rsid w:val="00C36BD6"/>
    <w:rsid w:val="00C36C02"/>
    <w:rsid w:val="00C36C03"/>
    <w:rsid w:val="00C36C37"/>
    <w:rsid w:val="00C36C78"/>
    <w:rsid w:val="00C36CF8"/>
    <w:rsid w:val="00C36D41"/>
    <w:rsid w:val="00C36D4F"/>
    <w:rsid w:val="00C36D5E"/>
    <w:rsid w:val="00C36D77"/>
    <w:rsid w:val="00C36DE0"/>
    <w:rsid w:val="00C36E1C"/>
    <w:rsid w:val="00C36E3D"/>
    <w:rsid w:val="00C36E81"/>
    <w:rsid w:val="00C36F00"/>
    <w:rsid w:val="00C36F21"/>
    <w:rsid w:val="00C36F55"/>
    <w:rsid w:val="00C36F94"/>
    <w:rsid w:val="00C36FD0"/>
    <w:rsid w:val="00C37008"/>
    <w:rsid w:val="00C37095"/>
    <w:rsid w:val="00C370BE"/>
    <w:rsid w:val="00C370F2"/>
    <w:rsid w:val="00C37163"/>
    <w:rsid w:val="00C3717A"/>
    <w:rsid w:val="00C37182"/>
    <w:rsid w:val="00C371DA"/>
    <w:rsid w:val="00C37218"/>
    <w:rsid w:val="00C37239"/>
    <w:rsid w:val="00C37257"/>
    <w:rsid w:val="00C37325"/>
    <w:rsid w:val="00C37358"/>
    <w:rsid w:val="00C3736C"/>
    <w:rsid w:val="00C37428"/>
    <w:rsid w:val="00C37455"/>
    <w:rsid w:val="00C374A9"/>
    <w:rsid w:val="00C374B0"/>
    <w:rsid w:val="00C374CB"/>
    <w:rsid w:val="00C37506"/>
    <w:rsid w:val="00C37550"/>
    <w:rsid w:val="00C37578"/>
    <w:rsid w:val="00C3757C"/>
    <w:rsid w:val="00C37594"/>
    <w:rsid w:val="00C375A9"/>
    <w:rsid w:val="00C375E6"/>
    <w:rsid w:val="00C3762B"/>
    <w:rsid w:val="00C3764F"/>
    <w:rsid w:val="00C37663"/>
    <w:rsid w:val="00C37664"/>
    <w:rsid w:val="00C3769D"/>
    <w:rsid w:val="00C376D0"/>
    <w:rsid w:val="00C376DE"/>
    <w:rsid w:val="00C376F3"/>
    <w:rsid w:val="00C376FC"/>
    <w:rsid w:val="00C378BA"/>
    <w:rsid w:val="00C37909"/>
    <w:rsid w:val="00C3793F"/>
    <w:rsid w:val="00C3799B"/>
    <w:rsid w:val="00C3799D"/>
    <w:rsid w:val="00C379A0"/>
    <w:rsid w:val="00C37A1F"/>
    <w:rsid w:val="00C37A72"/>
    <w:rsid w:val="00C37AFA"/>
    <w:rsid w:val="00C37BBF"/>
    <w:rsid w:val="00C37C00"/>
    <w:rsid w:val="00C37C2B"/>
    <w:rsid w:val="00C37C55"/>
    <w:rsid w:val="00C37C79"/>
    <w:rsid w:val="00C37C88"/>
    <w:rsid w:val="00C37CE1"/>
    <w:rsid w:val="00C37CE2"/>
    <w:rsid w:val="00C37CE7"/>
    <w:rsid w:val="00C37DFC"/>
    <w:rsid w:val="00C37ED3"/>
    <w:rsid w:val="00C37ED5"/>
    <w:rsid w:val="00C37F2A"/>
    <w:rsid w:val="00C37F7A"/>
    <w:rsid w:val="00C37FC2"/>
    <w:rsid w:val="00C37FCB"/>
    <w:rsid w:val="00C37FF1"/>
    <w:rsid w:val="00C40021"/>
    <w:rsid w:val="00C40054"/>
    <w:rsid w:val="00C4007A"/>
    <w:rsid w:val="00C4009E"/>
    <w:rsid w:val="00C400BF"/>
    <w:rsid w:val="00C400FE"/>
    <w:rsid w:val="00C40138"/>
    <w:rsid w:val="00C40159"/>
    <w:rsid w:val="00C4017C"/>
    <w:rsid w:val="00C401F8"/>
    <w:rsid w:val="00C40264"/>
    <w:rsid w:val="00C40265"/>
    <w:rsid w:val="00C402F5"/>
    <w:rsid w:val="00C40314"/>
    <w:rsid w:val="00C4031F"/>
    <w:rsid w:val="00C4036C"/>
    <w:rsid w:val="00C403B3"/>
    <w:rsid w:val="00C403B4"/>
    <w:rsid w:val="00C403CD"/>
    <w:rsid w:val="00C40422"/>
    <w:rsid w:val="00C40441"/>
    <w:rsid w:val="00C404B4"/>
    <w:rsid w:val="00C405F8"/>
    <w:rsid w:val="00C40651"/>
    <w:rsid w:val="00C406AB"/>
    <w:rsid w:val="00C40706"/>
    <w:rsid w:val="00C4071F"/>
    <w:rsid w:val="00C4078A"/>
    <w:rsid w:val="00C407A6"/>
    <w:rsid w:val="00C40813"/>
    <w:rsid w:val="00C40815"/>
    <w:rsid w:val="00C40843"/>
    <w:rsid w:val="00C408C7"/>
    <w:rsid w:val="00C408CF"/>
    <w:rsid w:val="00C4093F"/>
    <w:rsid w:val="00C40940"/>
    <w:rsid w:val="00C40946"/>
    <w:rsid w:val="00C40949"/>
    <w:rsid w:val="00C409E1"/>
    <w:rsid w:val="00C409EA"/>
    <w:rsid w:val="00C40A30"/>
    <w:rsid w:val="00C40A4E"/>
    <w:rsid w:val="00C40A72"/>
    <w:rsid w:val="00C40AAA"/>
    <w:rsid w:val="00C40AAF"/>
    <w:rsid w:val="00C40AB2"/>
    <w:rsid w:val="00C40AEC"/>
    <w:rsid w:val="00C40AFA"/>
    <w:rsid w:val="00C40B50"/>
    <w:rsid w:val="00C40B9B"/>
    <w:rsid w:val="00C40BD8"/>
    <w:rsid w:val="00C40BDA"/>
    <w:rsid w:val="00C40C2B"/>
    <w:rsid w:val="00C40C92"/>
    <w:rsid w:val="00C40CAE"/>
    <w:rsid w:val="00C40D76"/>
    <w:rsid w:val="00C40D88"/>
    <w:rsid w:val="00C40DCB"/>
    <w:rsid w:val="00C40DE5"/>
    <w:rsid w:val="00C40E29"/>
    <w:rsid w:val="00C40E48"/>
    <w:rsid w:val="00C40E58"/>
    <w:rsid w:val="00C40E5F"/>
    <w:rsid w:val="00C40E84"/>
    <w:rsid w:val="00C40EA8"/>
    <w:rsid w:val="00C40ED4"/>
    <w:rsid w:val="00C40EEE"/>
    <w:rsid w:val="00C40EEF"/>
    <w:rsid w:val="00C40EF5"/>
    <w:rsid w:val="00C40F0B"/>
    <w:rsid w:val="00C40F17"/>
    <w:rsid w:val="00C40F55"/>
    <w:rsid w:val="00C40F67"/>
    <w:rsid w:val="00C40F8F"/>
    <w:rsid w:val="00C41042"/>
    <w:rsid w:val="00C4104B"/>
    <w:rsid w:val="00C41060"/>
    <w:rsid w:val="00C41063"/>
    <w:rsid w:val="00C41106"/>
    <w:rsid w:val="00C41192"/>
    <w:rsid w:val="00C41227"/>
    <w:rsid w:val="00C41278"/>
    <w:rsid w:val="00C412A7"/>
    <w:rsid w:val="00C41391"/>
    <w:rsid w:val="00C41392"/>
    <w:rsid w:val="00C41411"/>
    <w:rsid w:val="00C4146E"/>
    <w:rsid w:val="00C41474"/>
    <w:rsid w:val="00C41489"/>
    <w:rsid w:val="00C414D5"/>
    <w:rsid w:val="00C414DC"/>
    <w:rsid w:val="00C414E7"/>
    <w:rsid w:val="00C41582"/>
    <w:rsid w:val="00C415A2"/>
    <w:rsid w:val="00C4160F"/>
    <w:rsid w:val="00C4165E"/>
    <w:rsid w:val="00C41661"/>
    <w:rsid w:val="00C416B5"/>
    <w:rsid w:val="00C416BB"/>
    <w:rsid w:val="00C416C1"/>
    <w:rsid w:val="00C416D8"/>
    <w:rsid w:val="00C41702"/>
    <w:rsid w:val="00C4172E"/>
    <w:rsid w:val="00C4173A"/>
    <w:rsid w:val="00C4173E"/>
    <w:rsid w:val="00C41771"/>
    <w:rsid w:val="00C4178C"/>
    <w:rsid w:val="00C417E1"/>
    <w:rsid w:val="00C41803"/>
    <w:rsid w:val="00C4182C"/>
    <w:rsid w:val="00C4187A"/>
    <w:rsid w:val="00C418C3"/>
    <w:rsid w:val="00C41939"/>
    <w:rsid w:val="00C4193F"/>
    <w:rsid w:val="00C4195A"/>
    <w:rsid w:val="00C41984"/>
    <w:rsid w:val="00C4198A"/>
    <w:rsid w:val="00C41A12"/>
    <w:rsid w:val="00C41A1B"/>
    <w:rsid w:val="00C41A30"/>
    <w:rsid w:val="00C41A76"/>
    <w:rsid w:val="00C41AD0"/>
    <w:rsid w:val="00C41B0F"/>
    <w:rsid w:val="00C41B56"/>
    <w:rsid w:val="00C41C2A"/>
    <w:rsid w:val="00C41C48"/>
    <w:rsid w:val="00C41C83"/>
    <w:rsid w:val="00C41D62"/>
    <w:rsid w:val="00C41D78"/>
    <w:rsid w:val="00C41E3E"/>
    <w:rsid w:val="00C41E82"/>
    <w:rsid w:val="00C41E8E"/>
    <w:rsid w:val="00C41F01"/>
    <w:rsid w:val="00C41F50"/>
    <w:rsid w:val="00C41FDA"/>
    <w:rsid w:val="00C42008"/>
    <w:rsid w:val="00C4205D"/>
    <w:rsid w:val="00C4207C"/>
    <w:rsid w:val="00C42089"/>
    <w:rsid w:val="00C4213A"/>
    <w:rsid w:val="00C42173"/>
    <w:rsid w:val="00C4217F"/>
    <w:rsid w:val="00C421B5"/>
    <w:rsid w:val="00C4221F"/>
    <w:rsid w:val="00C42249"/>
    <w:rsid w:val="00C422BC"/>
    <w:rsid w:val="00C42312"/>
    <w:rsid w:val="00C4236E"/>
    <w:rsid w:val="00C423B3"/>
    <w:rsid w:val="00C42418"/>
    <w:rsid w:val="00C42464"/>
    <w:rsid w:val="00C424F7"/>
    <w:rsid w:val="00C42564"/>
    <w:rsid w:val="00C42650"/>
    <w:rsid w:val="00C426B0"/>
    <w:rsid w:val="00C4270D"/>
    <w:rsid w:val="00C42768"/>
    <w:rsid w:val="00C4292D"/>
    <w:rsid w:val="00C429B8"/>
    <w:rsid w:val="00C42A33"/>
    <w:rsid w:val="00C42A3E"/>
    <w:rsid w:val="00C42AB6"/>
    <w:rsid w:val="00C42ACE"/>
    <w:rsid w:val="00C42ADB"/>
    <w:rsid w:val="00C42AFD"/>
    <w:rsid w:val="00C42B28"/>
    <w:rsid w:val="00C42B2C"/>
    <w:rsid w:val="00C42B44"/>
    <w:rsid w:val="00C42B65"/>
    <w:rsid w:val="00C42B98"/>
    <w:rsid w:val="00C42B9B"/>
    <w:rsid w:val="00C42C07"/>
    <w:rsid w:val="00C42C6A"/>
    <w:rsid w:val="00C42C97"/>
    <w:rsid w:val="00C42CE5"/>
    <w:rsid w:val="00C42D26"/>
    <w:rsid w:val="00C42D55"/>
    <w:rsid w:val="00C42D9E"/>
    <w:rsid w:val="00C42DCF"/>
    <w:rsid w:val="00C42DE1"/>
    <w:rsid w:val="00C42DE6"/>
    <w:rsid w:val="00C42DFB"/>
    <w:rsid w:val="00C42E0B"/>
    <w:rsid w:val="00C42E5B"/>
    <w:rsid w:val="00C42E71"/>
    <w:rsid w:val="00C42F13"/>
    <w:rsid w:val="00C42F43"/>
    <w:rsid w:val="00C42F6B"/>
    <w:rsid w:val="00C42FBC"/>
    <w:rsid w:val="00C42FC1"/>
    <w:rsid w:val="00C42FCD"/>
    <w:rsid w:val="00C43016"/>
    <w:rsid w:val="00C43035"/>
    <w:rsid w:val="00C43095"/>
    <w:rsid w:val="00C43096"/>
    <w:rsid w:val="00C430AF"/>
    <w:rsid w:val="00C430B4"/>
    <w:rsid w:val="00C430E3"/>
    <w:rsid w:val="00C43118"/>
    <w:rsid w:val="00C43146"/>
    <w:rsid w:val="00C4318F"/>
    <w:rsid w:val="00C4321B"/>
    <w:rsid w:val="00C4327C"/>
    <w:rsid w:val="00C432E7"/>
    <w:rsid w:val="00C432E9"/>
    <w:rsid w:val="00C4332D"/>
    <w:rsid w:val="00C4335F"/>
    <w:rsid w:val="00C43364"/>
    <w:rsid w:val="00C43378"/>
    <w:rsid w:val="00C4337B"/>
    <w:rsid w:val="00C4338C"/>
    <w:rsid w:val="00C433D5"/>
    <w:rsid w:val="00C433F0"/>
    <w:rsid w:val="00C4341E"/>
    <w:rsid w:val="00C4342D"/>
    <w:rsid w:val="00C43453"/>
    <w:rsid w:val="00C434BC"/>
    <w:rsid w:val="00C43508"/>
    <w:rsid w:val="00C43537"/>
    <w:rsid w:val="00C435BB"/>
    <w:rsid w:val="00C4367F"/>
    <w:rsid w:val="00C436B9"/>
    <w:rsid w:val="00C43736"/>
    <w:rsid w:val="00C4376C"/>
    <w:rsid w:val="00C437A2"/>
    <w:rsid w:val="00C437F5"/>
    <w:rsid w:val="00C4386B"/>
    <w:rsid w:val="00C43875"/>
    <w:rsid w:val="00C43888"/>
    <w:rsid w:val="00C438A2"/>
    <w:rsid w:val="00C438AA"/>
    <w:rsid w:val="00C43919"/>
    <w:rsid w:val="00C43A46"/>
    <w:rsid w:val="00C43A4C"/>
    <w:rsid w:val="00C43A63"/>
    <w:rsid w:val="00C43A8F"/>
    <w:rsid w:val="00C43AA9"/>
    <w:rsid w:val="00C43AB2"/>
    <w:rsid w:val="00C43B28"/>
    <w:rsid w:val="00C43B29"/>
    <w:rsid w:val="00C43B36"/>
    <w:rsid w:val="00C43B4F"/>
    <w:rsid w:val="00C43B88"/>
    <w:rsid w:val="00C43B99"/>
    <w:rsid w:val="00C43C05"/>
    <w:rsid w:val="00C43C8C"/>
    <w:rsid w:val="00C43D41"/>
    <w:rsid w:val="00C43DC5"/>
    <w:rsid w:val="00C43E47"/>
    <w:rsid w:val="00C43E64"/>
    <w:rsid w:val="00C43EB4"/>
    <w:rsid w:val="00C43ECC"/>
    <w:rsid w:val="00C43ECE"/>
    <w:rsid w:val="00C43EF9"/>
    <w:rsid w:val="00C43EFE"/>
    <w:rsid w:val="00C43F9D"/>
    <w:rsid w:val="00C43FF8"/>
    <w:rsid w:val="00C44022"/>
    <w:rsid w:val="00C4402E"/>
    <w:rsid w:val="00C4403E"/>
    <w:rsid w:val="00C44041"/>
    <w:rsid w:val="00C44054"/>
    <w:rsid w:val="00C44059"/>
    <w:rsid w:val="00C440D0"/>
    <w:rsid w:val="00C440E6"/>
    <w:rsid w:val="00C44112"/>
    <w:rsid w:val="00C4411D"/>
    <w:rsid w:val="00C44133"/>
    <w:rsid w:val="00C44142"/>
    <w:rsid w:val="00C44150"/>
    <w:rsid w:val="00C44189"/>
    <w:rsid w:val="00C441FD"/>
    <w:rsid w:val="00C44247"/>
    <w:rsid w:val="00C44294"/>
    <w:rsid w:val="00C442D2"/>
    <w:rsid w:val="00C44320"/>
    <w:rsid w:val="00C4434A"/>
    <w:rsid w:val="00C4434D"/>
    <w:rsid w:val="00C44449"/>
    <w:rsid w:val="00C444AE"/>
    <w:rsid w:val="00C444B4"/>
    <w:rsid w:val="00C444D7"/>
    <w:rsid w:val="00C44512"/>
    <w:rsid w:val="00C44530"/>
    <w:rsid w:val="00C4457B"/>
    <w:rsid w:val="00C4459B"/>
    <w:rsid w:val="00C445B5"/>
    <w:rsid w:val="00C44610"/>
    <w:rsid w:val="00C4462A"/>
    <w:rsid w:val="00C44636"/>
    <w:rsid w:val="00C446FA"/>
    <w:rsid w:val="00C44751"/>
    <w:rsid w:val="00C44771"/>
    <w:rsid w:val="00C44779"/>
    <w:rsid w:val="00C447A5"/>
    <w:rsid w:val="00C447C8"/>
    <w:rsid w:val="00C447DC"/>
    <w:rsid w:val="00C4485F"/>
    <w:rsid w:val="00C44874"/>
    <w:rsid w:val="00C44890"/>
    <w:rsid w:val="00C448C6"/>
    <w:rsid w:val="00C448E4"/>
    <w:rsid w:val="00C44963"/>
    <w:rsid w:val="00C44979"/>
    <w:rsid w:val="00C449B0"/>
    <w:rsid w:val="00C44A09"/>
    <w:rsid w:val="00C44A12"/>
    <w:rsid w:val="00C44A5B"/>
    <w:rsid w:val="00C44ACB"/>
    <w:rsid w:val="00C44B7E"/>
    <w:rsid w:val="00C44BCD"/>
    <w:rsid w:val="00C44BEB"/>
    <w:rsid w:val="00C44C02"/>
    <w:rsid w:val="00C44C76"/>
    <w:rsid w:val="00C44C9F"/>
    <w:rsid w:val="00C44D0F"/>
    <w:rsid w:val="00C44D7F"/>
    <w:rsid w:val="00C44D92"/>
    <w:rsid w:val="00C44DF3"/>
    <w:rsid w:val="00C44EAA"/>
    <w:rsid w:val="00C44EAB"/>
    <w:rsid w:val="00C44EC5"/>
    <w:rsid w:val="00C44EE1"/>
    <w:rsid w:val="00C44F2C"/>
    <w:rsid w:val="00C44F87"/>
    <w:rsid w:val="00C44FBC"/>
    <w:rsid w:val="00C44FF2"/>
    <w:rsid w:val="00C4500B"/>
    <w:rsid w:val="00C4501B"/>
    <w:rsid w:val="00C451D0"/>
    <w:rsid w:val="00C4526C"/>
    <w:rsid w:val="00C45356"/>
    <w:rsid w:val="00C45378"/>
    <w:rsid w:val="00C453B2"/>
    <w:rsid w:val="00C453D0"/>
    <w:rsid w:val="00C45421"/>
    <w:rsid w:val="00C45468"/>
    <w:rsid w:val="00C45474"/>
    <w:rsid w:val="00C45509"/>
    <w:rsid w:val="00C45538"/>
    <w:rsid w:val="00C455EB"/>
    <w:rsid w:val="00C4563C"/>
    <w:rsid w:val="00C456A9"/>
    <w:rsid w:val="00C4572E"/>
    <w:rsid w:val="00C4574D"/>
    <w:rsid w:val="00C457F9"/>
    <w:rsid w:val="00C45864"/>
    <w:rsid w:val="00C4586B"/>
    <w:rsid w:val="00C45894"/>
    <w:rsid w:val="00C458C4"/>
    <w:rsid w:val="00C458F7"/>
    <w:rsid w:val="00C4590E"/>
    <w:rsid w:val="00C4590F"/>
    <w:rsid w:val="00C45912"/>
    <w:rsid w:val="00C45936"/>
    <w:rsid w:val="00C45955"/>
    <w:rsid w:val="00C4597A"/>
    <w:rsid w:val="00C459F0"/>
    <w:rsid w:val="00C459F1"/>
    <w:rsid w:val="00C45A48"/>
    <w:rsid w:val="00C45A57"/>
    <w:rsid w:val="00C45AAA"/>
    <w:rsid w:val="00C45B0E"/>
    <w:rsid w:val="00C45B17"/>
    <w:rsid w:val="00C45B22"/>
    <w:rsid w:val="00C45BE6"/>
    <w:rsid w:val="00C45C0B"/>
    <w:rsid w:val="00C45C15"/>
    <w:rsid w:val="00C45CAF"/>
    <w:rsid w:val="00C45CB5"/>
    <w:rsid w:val="00C45CEC"/>
    <w:rsid w:val="00C45D1E"/>
    <w:rsid w:val="00C45D33"/>
    <w:rsid w:val="00C45D46"/>
    <w:rsid w:val="00C45D82"/>
    <w:rsid w:val="00C45DAA"/>
    <w:rsid w:val="00C45DEB"/>
    <w:rsid w:val="00C45DFB"/>
    <w:rsid w:val="00C45DFE"/>
    <w:rsid w:val="00C45E18"/>
    <w:rsid w:val="00C45EA6"/>
    <w:rsid w:val="00C45EAB"/>
    <w:rsid w:val="00C45EB4"/>
    <w:rsid w:val="00C45EDB"/>
    <w:rsid w:val="00C45F01"/>
    <w:rsid w:val="00C45FCB"/>
    <w:rsid w:val="00C45FD6"/>
    <w:rsid w:val="00C45FEA"/>
    <w:rsid w:val="00C45FEE"/>
    <w:rsid w:val="00C46018"/>
    <w:rsid w:val="00C46102"/>
    <w:rsid w:val="00C46161"/>
    <w:rsid w:val="00C46198"/>
    <w:rsid w:val="00C462D2"/>
    <w:rsid w:val="00C462F2"/>
    <w:rsid w:val="00C46369"/>
    <w:rsid w:val="00C463D6"/>
    <w:rsid w:val="00C46426"/>
    <w:rsid w:val="00C46487"/>
    <w:rsid w:val="00C464A4"/>
    <w:rsid w:val="00C464EE"/>
    <w:rsid w:val="00C4650A"/>
    <w:rsid w:val="00C4650D"/>
    <w:rsid w:val="00C465D5"/>
    <w:rsid w:val="00C465E1"/>
    <w:rsid w:val="00C465E8"/>
    <w:rsid w:val="00C46610"/>
    <w:rsid w:val="00C46660"/>
    <w:rsid w:val="00C466CE"/>
    <w:rsid w:val="00C4676D"/>
    <w:rsid w:val="00C46775"/>
    <w:rsid w:val="00C4684A"/>
    <w:rsid w:val="00C468BD"/>
    <w:rsid w:val="00C468C7"/>
    <w:rsid w:val="00C468EC"/>
    <w:rsid w:val="00C46914"/>
    <w:rsid w:val="00C46985"/>
    <w:rsid w:val="00C46A1A"/>
    <w:rsid w:val="00C46A66"/>
    <w:rsid w:val="00C46B44"/>
    <w:rsid w:val="00C46B60"/>
    <w:rsid w:val="00C46B75"/>
    <w:rsid w:val="00C46B7B"/>
    <w:rsid w:val="00C46C32"/>
    <w:rsid w:val="00C46C8B"/>
    <w:rsid w:val="00C46CAC"/>
    <w:rsid w:val="00C46CB5"/>
    <w:rsid w:val="00C46D69"/>
    <w:rsid w:val="00C46DEA"/>
    <w:rsid w:val="00C46E88"/>
    <w:rsid w:val="00C46EE3"/>
    <w:rsid w:val="00C46F20"/>
    <w:rsid w:val="00C46F26"/>
    <w:rsid w:val="00C46F64"/>
    <w:rsid w:val="00C46F71"/>
    <w:rsid w:val="00C46FCF"/>
    <w:rsid w:val="00C470F5"/>
    <w:rsid w:val="00C47169"/>
    <w:rsid w:val="00C47196"/>
    <w:rsid w:val="00C471C9"/>
    <w:rsid w:val="00C471E4"/>
    <w:rsid w:val="00C471FD"/>
    <w:rsid w:val="00C4720D"/>
    <w:rsid w:val="00C4720F"/>
    <w:rsid w:val="00C4722B"/>
    <w:rsid w:val="00C4724F"/>
    <w:rsid w:val="00C4725C"/>
    <w:rsid w:val="00C47286"/>
    <w:rsid w:val="00C472BA"/>
    <w:rsid w:val="00C4734D"/>
    <w:rsid w:val="00C47364"/>
    <w:rsid w:val="00C47383"/>
    <w:rsid w:val="00C473B3"/>
    <w:rsid w:val="00C473CB"/>
    <w:rsid w:val="00C47441"/>
    <w:rsid w:val="00C4744D"/>
    <w:rsid w:val="00C474A6"/>
    <w:rsid w:val="00C47569"/>
    <w:rsid w:val="00C47592"/>
    <w:rsid w:val="00C47605"/>
    <w:rsid w:val="00C47630"/>
    <w:rsid w:val="00C47654"/>
    <w:rsid w:val="00C47663"/>
    <w:rsid w:val="00C47692"/>
    <w:rsid w:val="00C476CF"/>
    <w:rsid w:val="00C47713"/>
    <w:rsid w:val="00C4777D"/>
    <w:rsid w:val="00C4779B"/>
    <w:rsid w:val="00C47837"/>
    <w:rsid w:val="00C4788A"/>
    <w:rsid w:val="00C478DD"/>
    <w:rsid w:val="00C478E6"/>
    <w:rsid w:val="00C478EE"/>
    <w:rsid w:val="00C47905"/>
    <w:rsid w:val="00C47965"/>
    <w:rsid w:val="00C479A2"/>
    <w:rsid w:val="00C479BD"/>
    <w:rsid w:val="00C47A0B"/>
    <w:rsid w:val="00C47A17"/>
    <w:rsid w:val="00C47A98"/>
    <w:rsid w:val="00C47ACC"/>
    <w:rsid w:val="00C47B59"/>
    <w:rsid w:val="00C47B96"/>
    <w:rsid w:val="00C47BA6"/>
    <w:rsid w:val="00C47BA7"/>
    <w:rsid w:val="00C47BC6"/>
    <w:rsid w:val="00C47BD7"/>
    <w:rsid w:val="00C47BD9"/>
    <w:rsid w:val="00C47C18"/>
    <w:rsid w:val="00C47C27"/>
    <w:rsid w:val="00C47C32"/>
    <w:rsid w:val="00C47C73"/>
    <w:rsid w:val="00C47C8E"/>
    <w:rsid w:val="00C47CA1"/>
    <w:rsid w:val="00C47CAC"/>
    <w:rsid w:val="00C47CB6"/>
    <w:rsid w:val="00C47CD0"/>
    <w:rsid w:val="00C47CD4"/>
    <w:rsid w:val="00C47D89"/>
    <w:rsid w:val="00C47D9D"/>
    <w:rsid w:val="00C47DA3"/>
    <w:rsid w:val="00C47DE7"/>
    <w:rsid w:val="00C47E15"/>
    <w:rsid w:val="00C47EA9"/>
    <w:rsid w:val="00C47EC7"/>
    <w:rsid w:val="00C47EF7"/>
    <w:rsid w:val="00C47F04"/>
    <w:rsid w:val="00C47F0B"/>
    <w:rsid w:val="00C47F29"/>
    <w:rsid w:val="00C47F37"/>
    <w:rsid w:val="00C47F3B"/>
    <w:rsid w:val="00C47F79"/>
    <w:rsid w:val="00C47FC6"/>
    <w:rsid w:val="00C493F6"/>
    <w:rsid w:val="00C4EF4A"/>
    <w:rsid w:val="00C5004F"/>
    <w:rsid w:val="00C50097"/>
    <w:rsid w:val="00C500CF"/>
    <w:rsid w:val="00C50118"/>
    <w:rsid w:val="00C50121"/>
    <w:rsid w:val="00C501F0"/>
    <w:rsid w:val="00C5022A"/>
    <w:rsid w:val="00C50257"/>
    <w:rsid w:val="00C50315"/>
    <w:rsid w:val="00C50336"/>
    <w:rsid w:val="00C50396"/>
    <w:rsid w:val="00C503C0"/>
    <w:rsid w:val="00C50400"/>
    <w:rsid w:val="00C5044A"/>
    <w:rsid w:val="00C50499"/>
    <w:rsid w:val="00C50529"/>
    <w:rsid w:val="00C50547"/>
    <w:rsid w:val="00C5060E"/>
    <w:rsid w:val="00C5063D"/>
    <w:rsid w:val="00C50657"/>
    <w:rsid w:val="00C5065C"/>
    <w:rsid w:val="00C50708"/>
    <w:rsid w:val="00C5072B"/>
    <w:rsid w:val="00C5075E"/>
    <w:rsid w:val="00C50841"/>
    <w:rsid w:val="00C50888"/>
    <w:rsid w:val="00C5089D"/>
    <w:rsid w:val="00C508BA"/>
    <w:rsid w:val="00C5090F"/>
    <w:rsid w:val="00C50950"/>
    <w:rsid w:val="00C509EE"/>
    <w:rsid w:val="00C50A00"/>
    <w:rsid w:val="00C50B82"/>
    <w:rsid w:val="00C50B97"/>
    <w:rsid w:val="00C50BFE"/>
    <w:rsid w:val="00C50C59"/>
    <w:rsid w:val="00C50C83"/>
    <w:rsid w:val="00C50C95"/>
    <w:rsid w:val="00C50CA4"/>
    <w:rsid w:val="00C50CAE"/>
    <w:rsid w:val="00C50CBC"/>
    <w:rsid w:val="00C50CD9"/>
    <w:rsid w:val="00C50CE2"/>
    <w:rsid w:val="00C50CF5"/>
    <w:rsid w:val="00C50CF7"/>
    <w:rsid w:val="00C50D4A"/>
    <w:rsid w:val="00C50D57"/>
    <w:rsid w:val="00C50D59"/>
    <w:rsid w:val="00C50D60"/>
    <w:rsid w:val="00C50D67"/>
    <w:rsid w:val="00C50D8F"/>
    <w:rsid w:val="00C50E09"/>
    <w:rsid w:val="00C50E36"/>
    <w:rsid w:val="00C50E6E"/>
    <w:rsid w:val="00C50E96"/>
    <w:rsid w:val="00C50EC4"/>
    <w:rsid w:val="00C50EED"/>
    <w:rsid w:val="00C50EF0"/>
    <w:rsid w:val="00C50EFB"/>
    <w:rsid w:val="00C50F21"/>
    <w:rsid w:val="00C50F53"/>
    <w:rsid w:val="00C50F5A"/>
    <w:rsid w:val="00C50F86"/>
    <w:rsid w:val="00C50FB6"/>
    <w:rsid w:val="00C50FEA"/>
    <w:rsid w:val="00C5101E"/>
    <w:rsid w:val="00C5103E"/>
    <w:rsid w:val="00C51056"/>
    <w:rsid w:val="00C51094"/>
    <w:rsid w:val="00C5109F"/>
    <w:rsid w:val="00C510BB"/>
    <w:rsid w:val="00C51165"/>
    <w:rsid w:val="00C511CB"/>
    <w:rsid w:val="00C511EB"/>
    <w:rsid w:val="00C51209"/>
    <w:rsid w:val="00C5121A"/>
    <w:rsid w:val="00C51221"/>
    <w:rsid w:val="00C5125B"/>
    <w:rsid w:val="00C51271"/>
    <w:rsid w:val="00C512E5"/>
    <w:rsid w:val="00C5136F"/>
    <w:rsid w:val="00C51390"/>
    <w:rsid w:val="00C513EB"/>
    <w:rsid w:val="00C5141C"/>
    <w:rsid w:val="00C51428"/>
    <w:rsid w:val="00C51429"/>
    <w:rsid w:val="00C51490"/>
    <w:rsid w:val="00C514B6"/>
    <w:rsid w:val="00C514CA"/>
    <w:rsid w:val="00C514DC"/>
    <w:rsid w:val="00C514F2"/>
    <w:rsid w:val="00C51504"/>
    <w:rsid w:val="00C51546"/>
    <w:rsid w:val="00C51559"/>
    <w:rsid w:val="00C5156D"/>
    <w:rsid w:val="00C51592"/>
    <w:rsid w:val="00C515A0"/>
    <w:rsid w:val="00C515A9"/>
    <w:rsid w:val="00C515E0"/>
    <w:rsid w:val="00C515E2"/>
    <w:rsid w:val="00C51611"/>
    <w:rsid w:val="00C51646"/>
    <w:rsid w:val="00C51690"/>
    <w:rsid w:val="00C516CD"/>
    <w:rsid w:val="00C516EF"/>
    <w:rsid w:val="00C51720"/>
    <w:rsid w:val="00C51759"/>
    <w:rsid w:val="00C5176F"/>
    <w:rsid w:val="00C51789"/>
    <w:rsid w:val="00C517A7"/>
    <w:rsid w:val="00C517D9"/>
    <w:rsid w:val="00C517DE"/>
    <w:rsid w:val="00C517DF"/>
    <w:rsid w:val="00C517EC"/>
    <w:rsid w:val="00C51837"/>
    <w:rsid w:val="00C51886"/>
    <w:rsid w:val="00C518A0"/>
    <w:rsid w:val="00C518D7"/>
    <w:rsid w:val="00C518E2"/>
    <w:rsid w:val="00C518FE"/>
    <w:rsid w:val="00C51924"/>
    <w:rsid w:val="00C5192B"/>
    <w:rsid w:val="00C5194F"/>
    <w:rsid w:val="00C51956"/>
    <w:rsid w:val="00C5198F"/>
    <w:rsid w:val="00C519A2"/>
    <w:rsid w:val="00C519BA"/>
    <w:rsid w:val="00C51A01"/>
    <w:rsid w:val="00C51A34"/>
    <w:rsid w:val="00C51AD7"/>
    <w:rsid w:val="00C51B39"/>
    <w:rsid w:val="00C51B78"/>
    <w:rsid w:val="00C51B84"/>
    <w:rsid w:val="00C51BE8"/>
    <w:rsid w:val="00C51BF1"/>
    <w:rsid w:val="00C51C3C"/>
    <w:rsid w:val="00C51CE0"/>
    <w:rsid w:val="00C51CF8"/>
    <w:rsid w:val="00C51D17"/>
    <w:rsid w:val="00C51E56"/>
    <w:rsid w:val="00C51E60"/>
    <w:rsid w:val="00C51ECD"/>
    <w:rsid w:val="00C51ED2"/>
    <w:rsid w:val="00C51F46"/>
    <w:rsid w:val="00C51F4A"/>
    <w:rsid w:val="00C51FA4"/>
    <w:rsid w:val="00C51FC6"/>
    <w:rsid w:val="00C51FC9"/>
    <w:rsid w:val="00C52011"/>
    <w:rsid w:val="00C5201A"/>
    <w:rsid w:val="00C52050"/>
    <w:rsid w:val="00C520F3"/>
    <w:rsid w:val="00C52123"/>
    <w:rsid w:val="00C521EC"/>
    <w:rsid w:val="00C52213"/>
    <w:rsid w:val="00C52224"/>
    <w:rsid w:val="00C522D4"/>
    <w:rsid w:val="00C522E7"/>
    <w:rsid w:val="00C52353"/>
    <w:rsid w:val="00C52391"/>
    <w:rsid w:val="00C52427"/>
    <w:rsid w:val="00C5242A"/>
    <w:rsid w:val="00C52456"/>
    <w:rsid w:val="00C524FF"/>
    <w:rsid w:val="00C52516"/>
    <w:rsid w:val="00C5256E"/>
    <w:rsid w:val="00C52595"/>
    <w:rsid w:val="00C525D8"/>
    <w:rsid w:val="00C525DF"/>
    <w:rsid w:val="00C52614"/>
    <w:rsid w:val="00C52633"/>
    <w:rsid w:val="00C52649"/>
    <w:rsid w:val="00C5264F"/>
    <w:rsid w:val="00C5268F"/>
    <w:rsid w:val="00C526E3"/>
    <w:rsid w:val="00C52708"/>
    <w:rsid w:val="00C52710"/>
    <w:rsid w:val="00C52742"/>
    <w:rsid w:val="00C52749"/>
    <w:rsid w:val="00C52890"/>
    <w:rsid w:val="00C528A5"/>
    <w:rsid w:val="00C528B7"/>
    <w:rsid w:val="00C5291B"/>
    <w:rsid w:val="00C52927"/>
    <w:rsid w:val="00C5292D"/>
    <w:rsid w:val="00C5293F"/>
    <w:rsid w:val="00C5298C"/>
    <w:rsid w:val="00C52993"/>
    <w:rsid w:val="00C529D9"/>
    <w:rsid w:val="00C529DA"/>
    <w:rsid w:val="00C52A9C"/>
    <w:rsid w:val="00C52ACB"/>
    <w:rsid w:val="00C52B00"/>
    <w:rsid w:val="00C52B1E"/>
    <w:rsid w:val="00C52B27"/>
    <w:rsid w:val="00C52B5C"/>
    <w:rsid w:val="00C52B8C"/>
    <w:rsid w:val="00C52B9C"/>
    <w:rsid w:val="00C52BC0"/>
    <w:rsid w:val="00C52BC3"/>
    <w:rsid w:val="00C52BDF"/>
    <w:rsid w:val="00C52C0D"/>
    <w:rsid w:val="00C52C42"/>
    <w:rsid w:val="00C52C7E"/>
    <w:rsid w:val="00C52CD2"/>
    <w:rsid w:val="00C52D05"/>
    <w:rsid w:val="00C52D1D"/>
    <w:rsid w:val="00C52D63"/>
    <w:rsid w:val="00C52E13"/>
    <w:rsid w:val="00C52E58"/>
    <w:rsid w:val="00C52F17"/>
    <w:rsid w:val="00C52F18"/>
    <w:rsid w:val="00C52F3B"/>
    <w:rsid w:val="00C53006"/>
    <w:rsid w:val="00C53011"/>
    <w:rsid w:val="00C5301F"/>
    <w:rsid w:val="00C53054"/>
    <w:rsid w:val="00C5307A"/>
    <w:rsid w:val="00C530BA"/>
    <w:rsid w:val="00C53115"/>
    <w:rsid w:val="00C53116"/>
    <w:rsid w:val="00C5312C"/>
    <w:rsid w:val="00C53139"/>
    <w:rsid w:val="00C5316F"/>
    <w:rsid w:val="00C53173"/>
    <w:rsid w:val="00C5319D"/>
    <w:rsid w:val="00C5319E"/>
    <w:rsid w:val="00C531B6"/>
    <w:rsid w:val="00C5322F"/>
    <w:rsid w:val="00C5327B"/>
    <w:rsid w:val="00C53281"/>
    <w:rsid w:val="00C532E3"/>
    <w:rsid w:val="00C532E7"/>
    <w:rsid w:val="00C532EA"/>
    <w:rsid w:val="00C53368"/>
    <w:rsid w:val="00C5336C"/>
    <w:rsid w:val="00C533D4"/>
    <w:rsid w:val="00C53450"/>
    <w:rsid w:val="00C53468"/>
    <w:rsid w:val="00C53476"/>
    <w:rsid w:val="00C5353D"/>
    <w:rsid w:val="00C53588"/>
    <w:rsid w:val="00C5359C"/>
    <w:rsid w:val="00C535B2"/>
    <w:rsid w:val="00C535D9"/>
    <w:rsid w:val="00C535EE"/>
    <w:rsid w:val="00C53624"/>
    <w:rsid w:val="00C53682"/>
    <w:rsid w:val="00C536FC"/>
    <w:rsid w:val="00C536FE"/>
    <w:rsid w:val="00C53709"/>
    <w:rsid w:val="00C5378F"/>
    <w:rsid w:val="00C537B5"/>
    <w:rsid w:val="00C537E5"/>
    <w:rsid w:val="00C537FD"/>
    <w:rsid w:val="00C53809"/>
    <w:rsid w:val="00C53818"/>
    <w:rsid w:val="00C5388D"/>
    <w:rsid w:val="00C5389C"/>
    <w:rsid w:val="00C538B4"/>
    <w:rsid w:val="00C538BB"/>
    <w:rsid w:val="00C538D4"/>
    <w:rsid w:val="00C538E7"/>
    <w:rsid w:val="00C5393B"/>
    <w:rsid w:val="00C5397C"/>
    <w:rsid w:val="00C539C1"/>
    <w:rsid w:val="00C539DF"/>
    <w:rsid w:val="00C539E9"/>
    <w:rsid w:val="00C53A02"/>
    <w:rsid w:val="00C53AD6"/>
    <w:rsid w:val="00C53AE6"/>
    <w:rsid w:val="00C53B46"/>
    <w:rsid w:val="00C53BAC"/>
    <w:rsid w:val="00C53BB0"/>
    <w:rsid w:val="00C53C64"/>
    <w:rsid w:val="00C53C7A"/>
    <w:rsid w:val="00C53C82"/>
    <w:rsid w:val="00C53CAD"/>
    <w:rsid w:val="00C53D46"/>
    <w:rsid w:val="00C53E0D"/>
    <w:rsid w:val="00C53E17"/>
    <w:rsid w:val="00C53EAA"/>
    <w:rsid w:val="00C53EE5"/>
    <w:rsid w:val="00C53F05"/>
    <w:rsid w:val="00C53F32"/>
    <w:rsid w:val="00C53F42"/>
    <w:rsid w:val="00C53F50"/>
    <w:rsid w:val="00C53F95"/>
    <w:rsid w:val="00C53FAA"/>
    <w:rsid w:val="00C53FB2"/>
    <w:rsid w:val="00C53FC0"/>
    <w:rsid w:val="00C5419A"/>
    <w:rsid w:val="00C541D9"/>
    <w:rsid w:val="00C5420D"/>
    <w:rsid w:val="00C5429D"/>
    <w:rsid w:val="00C54311"/>
    <w:rsid w:val="00C54350"/>
    <w:rsid w:val="00C54358"/>
    <w:rsid w:val="00C543DB"/>
    <w:rsid w:val="00C5440C"/>
    <w:rsid w:val="00C54414"/>
    <w:rsid w:val="00C5441A"/>
    <w:rsid w:val="00C544E6"/>
    <w:rsid w:val="00C544F8"/>
    <w:rsid w:val="00C54652"/>
    <w:rsid w:val="00C5465F"/>
    <w:rsid w:val="00C54660"/>
    <w:rsid w:val="00C546A1"/>
    <w:rsid w:val="00C546CD"/>
    <w:rsid w:val="00C546D1"/>
    <w:rsid w:val="00C546F1"/>
    <w:rsid w:val="00C54759"/>
    <w:rsid w:val="00C547B8"/>
    <w:rsid w:val="00C5484E"/>
    <w:rsid w:val="00C54876"/>
    <w:rsid w:val="00C5490D"/>
    <w:rsid w:val="00C54A08"/>
    <w:rsid w:val="00C54A49"/>
    <w:rsid w:val="00C54B11"/>
    <w:rsid w:val="00C54B41"/>
    <w:rsid w:val="00C54B4A"/>
    <w:rsid w:val="00C54B57"/>
    <w:rsid w:val="00C54BCF"/>
    <w:rsid w:val="00C54BF2"/>
    <w:rsid w:val="00C54C01"/>
    <w:rsid w:val="00C54C10"/>
    <w:rsid w:val="00C54C25"/>
    <w:rsid w:val="00C54D20"/>
    <w:rsid w:val="00C54D2B"/>
    <w:rsid w:val="00C54D67"/>
    <w:rsid w:val="00C54D7C"/>
    <w:rsid w:val="00C54DBD"/>
    <w:rsid w:val="00C54E6C"/>
    <w:rsid w:val="00C54EB2"/>
    <w:rsid w:val="00C54ECA"/>
    <w:rsid w:val="00C54F7D"/>
    <w:rsid w:val="00C54F85"/>
    <w:rsid w:val="00C54FC1"/>
    <w:rsid w:val="00C54FCE"/>
    <w:rsid w:val="00C54FD3"/>
    <w:rsid w:val="00C54FE0"/>
    <w:rsid w:val="00C55059"/>
    <w:rsid w:val="00C550AF"/>
    <w:rsid w:val="00C550BE"/>
    <w:rsid w:val="00C550D8"/>
    <w:rsid w:val="00C550F1"/>
    <w:rsid w:val="00C550F3"/>
    <w:rsid w:val="00C5517D"/>
    <w:rsid w:val="00C5519A"/>
    <w:rsid w:val="00C551F8"/>
    <w:rsid w:val="00C5521B"/>
    <w:rsid w:val="00C55227"/>
    <w:rsid w:val="00C55230"/>
    <w:rsid w:val="00C55247"/>
    <w:rsid w:val="00C55311"/>
    <w:rsid w:val="00C55328"/>
    <w:rsid w:val="00C55397"/>
    <w:rsid w:val="00C553E7"/>
    <w:rsid w:val="00C5541F"/>
    <w:rsid w:val="00C5544D"/>
    <w:rsid w:val="00C554A7"/>
    <w:rsid w:val="00C554AC"/>
    <w:rsid w:val="00C554F1"/>
    <w:rsid w:val="00C554FC"/>
    <w:rsid w:val="00C5550C"/>
    <w:rsid w:val="00C55537"/>
    <w:rsid w:val="00C55556"/>
    <w:rsid w:val="00C55566"/>
    <w:rsid w:val="00C55568"/>
    <w:rsid w:val="00C555BD"/>
    <w:rsid w:val="00C555DD"/>
    <w:rsid w:val="00C55656"/>
    <w:rsid w:val="00C55694"/>
    <w:rsid w:val="00C55768"/>
    <w:rsid w:val="00C557A9"/>
    <w:rsid w:val="00C5585E"/>
    <w:rsid w:val="00C558D1"/>
    <w:rsid w:val="00C5592D"/>
    <w:rsid w:val="00C5593A"/>
    <w:rsid w:val="00C55946"/>
    <w:rsid w:val="00C55A14"/>
    <w:rsid w:val="00C55A29"/>
    <w:rsid w:val="00C55A3D"/>
    <w:rsid w:val="00C55A40"/>
    <w:rsid w:val="00C55A4E"/>
    <w:rsid w:val="00C55ACA"/>
    <w:rsid w:val="00C55BA6"/>
    <w:rsid w:val="00C55BE6"/>
    <w:rsid w:val="00C55C32"/>
    <w:rsid w:val="00C55C9A"/>
    <w:rsid w:val="00C55D95"/>
    <w:rsid w:val="00C55DA6"/>
    <w:rsid w:val="00C55DE1"/>
    <w:rsid w:val="00C55E6A"/>
    <w:rsid w:val="00C55E85"/>
    <w:rsid w:val="00C55F25"/>
    <w:rsid w:val="00C55F90"/>
    <w:rsid w:val="00C55FDE"/>
    <w:rsid w:val="00C56033"/>
    <w:rsid w:val="00C56050"/>
    <w:rsid w:val="00C56095"/>
    <w:rsid w:val="00C560D5"/>
    <w:rsid w:val="00C560D9"/>
    <w:rsid w:val="00C5616A"/>
    <w:rsid w:val="00C5618A"/>
    <w:rsid w:val="00C5620C"/>
    <w:rsid w:val="00C56290"/>
    <w:rsid w:val="00C562EB"/>
    <w:rsid w:val="00C56317"/>
    <w:rsid w:val="00C563BA"/>
    <w:rsid w:val="00C56484"/>
    <w:rsid w:val="00C564FB"/>
    <w:rsid w:val="00C5662A"/>
    <w:rsid w:val="00C56655"/>
    <w:rsid w:val="00C566B0"/>
    <w:rsid w:val="00C566E0"/>
    <w:rsid w:val="00C566FB"/>
    <w:rsid w:val="00C56715"/>
    <w:rsid w:val="00C5671A"/>
    <w:rsid w:val="00C5675D"/>
    <w:rsid w:val="00C56777"/>
    <w:rsid w:val="00C567B9"/>
    <w:rsid w:val="00C567E9"/>
    <w:rsid w:val="00C567F1"/>
    <w:rsid w:val="00C56833"/>
    <w:rsid w:val="00C568DE"/>
    <w:rsid w:val="00C568E0"/>
    <w:rsid w:val="00C568FA"/>
    <w:rsid w:val="00C568FB"/>
    <w:rsid w:val="00C56906"/>
    <w:rsid w:val="00C56934"/>
    <w:rsid w:val="00C5694D"/>
    <w:rsid w:val="00C5699F"/>
    <w:rsid w:val="00C56A35"/>
    <w:rsid w:val="00C56A53"/>
    <w:rsid w:val="00C56A7B"/>
    <w:rsid w:val="00C56B19"/>
    <w:rsid w:val="00C56BAC"/>
    <w:rsid w:val="00C56BBC"/>
    <w:rsid w:val="00C56BD6"/>
    <w:rsid w:val="00C56C2F"/>
    <w:rsid w:val="00C56C34"/>
    <w:rsid w:val="00C56C7B"/>
    <w:rsid w:val="00C56C97"/>
    <w:rsid w:val="00C56CD5"/>
    <w:rsid w:val="00C56D38"/>
    <w:rsid w:val="00C56DC0"/>
    <w:rsid w:val="00C56DCB"/>
    <w:rsid w:val="00C56DE4"/>
    <w:rsid w:val="00C56DF2"/>
    <w:rsid w:val="00C56E1C"/>
    <w:rsid w:val="00C56E6D"/>
    <w:rsid w:val="00C56F9E"/>
    <w:rsid w:val="00C56FA6"/>
    <w:rsid w:val="00C57012"/>
    <w:rsid w:val="00C57021"/>
    <w:rsid w:val="00C57022"/>
    <w:rsid w:val="00C5703D"/>
    <w:rsid w:val="00C57087"/>
    <w:rsid w:val="00C57094"/>
    <w:rsid w:val="00C5709D"/>
    <w:rsid w:val="00C570C5"/>
    <w:rsid w:val="00C57139"/>
    <w:rsid w:val="00C5714C"/>
    <w:rsid w:val="00C571CA"/>
    <w:rsid w:val="00C571CE"/>
    <w:rsid w:val="00C571DB"/>
    <w:rsid w:val="00C57267"/>
    <w:rsid w:val="00C57278"/>
    <w:rsid w:val="00C572A4"/>
    <w:rsid w:val="00C572AD"/>
    <w:rsid w:val="00C572C5"/>
    <w:rsid w:val="00C57306"/>
    <w:rsid w:val="00C5730B"/>
    <w:rsid w:val="00C5731D"/>
    <w:rsid w:val="00C57386"/>
    <w:rsid w:val="00C573FE"/>
    <w:rsid w:val="00C5740A"/>
    <w:rsid w:val="00C57447"/>
    <w:rsid w:val="00C57460"/>
    <w:rsid w:val="00C57482"/>
    <w:rsid w:val="00C574DD"/>
    <w:rsid w:val="00C574E6"/>
    <w:rsid w:val="00C57528"/>
    <w:rsid w:val="00C575A8"/>
    <w:rsid w:val="00C5775F"/>
    <w:rsid w:val="00C577CB"/>
    <w:rsid w:val="00C57857"/>
    <w:rsid w:val="00C578B7"/>
    <w:rsid w:val="00C57917"/>
    <w:rsid w:val="00C5797F"/>
    <w:rsid w:val="00C57991"/>
    <w:rsid w:val="00C57A2A"/>
    <w:rsid w:val="00C57AB7"/>
    <w:rsid w:val="00C57AC4"/>
    <w:rsid w:val="00C57AFD"/>
    <w:rsid w:val="00C57B36"/>
    <w:rsid w:val="00C57B57"/>
    <w:rsid w:val="00C57BC6"/>
    <w:rsid w:val="00C57BD6"/>
    <w:rsid w:val="00C57C36"/>
    <w:rsid w:val="00C57C67"/>
    <w:rsid w:val="00C57C7B"/>
    <w:rsid w:val="00C57CAD"/>
    <w:rsid w:val="00C57D4B"/>
    <w:rsid w:val="00C57D4F"/>
    <w:rsid w:val="00C57D5B"/>
    <w:rsid w:val="00C57D80"/>
    <w:rsid w:val="00C57D9B"/>
    <w:rsid w:val="00C57DA1"/>
    <w:rsid w:val="00C57E1E"/>
    <w:rsid w:val="00C57E44"/>
    <w:rsid w:val="00C57E80"/>
    <w:rsid w:val="00C57EAF"/>
    <w:rsid w:val="00C57EFC"/>
    <w:rsid w:val="00C57F5F"/>
    <w:rsid w:val="00C57F71"/>
    <w:rsid w:val="00C57FBB"/>
    <w:rsid w:val="00C57FE4"/>
    <w:rsid w:val="00C6008B"/>
    <w:rsid w:val="00C600A4"/>
    <w:rsid w:val="00C600C1"/>
    <w:rsid w:val="00C600DB"/>
    <w:rsid w:val="00C60121"/>
    <w:rsid w:val="00C6012D"/>
    <w:rsid w:val="00C60137"/>
    <w:rsid w:val="00C60139"/>
    <w:rsid w:val="00C601C1"/>
    <w:rsid w:val="00C601E4"/>
    <w:rsid w:val="00C6020D"/>
    <w:rsid w:val="00C6035B"/>
    <w:rsid w:val="00C60389"/>
    <w:rsid w:val="00C603F9"/>
    <w:rsid w:val="00C6041E"/>
    <w:rsid w:val="00C60447"/>
    <w:rsid w:val="00C6049F"/>
    <w:rsid w:val="00C604A2"/>
    <w:rsid w:val="00C6052E"/>
    <w:rsid w:val="00C60567"/>
    <w:rsid w:val="00C60582"/>
    <w:rsid w:val="00C605A1"/>
    <w:rsid w:val="00C60614"/>
    <w:rsid w:val="00C6063B"/>
    <w:rsid w:val="00C60677"/>
    <w:rsid w:val="00C606E6"/>
    <w:rsid w:val="00C6071D"/>
    <w:rsid w:val="00C60767"/>
    <w:rsid w:val="00C607E6"/>
    <w:rsid w:val="00C607F2"/>
    <w:rsid w:val="00C60818"/>
    <w:rsid w:val="00C60821"/>
    <w:rsid w:val="00C60850"/>
    <w:rsid w:val="00C60861"/>
    <w:rsid w:val="00C6089F"/>
    <w:rsid w:val="00C608B0"/>
    <w:rsid w:val="00C60902"/>
    <w:rsid w:val="00C6091E"/>
    <w:rsid w:val="00C60932"/>
    <w:rsid w:val="00C60940"/>
    <w:rsid w:val="00C60943"/>
    <w:rsid w:val="00C6099C"/>
    <w:rsid w:val="00C609B4"/>
    <w:rsid w:val="00C609D9"/>
    <w:rsid w:val="00C609F2"/>
    <w:rsid w:val="00C60A6D"/>
    <w:rsid w:val="00C60A8B"/>
    <w:rsid w:val="00C60ADF"/>
    <w:rsid w:val="00C60AEF"/>
    <w:rsid w:val="00C60B05"/>
    <w:rsid w:val="00C60B1E"/>
    <w:rsid w:val="00C60B29"/>
    <w:rsid w:val="00C60B40"/>
    <w:rsid w:val="00C60C7A"/>
    <w:rsid w:val="00C60D4C"/>
    <w:rsid w:val="00C60D51"/>
    <w:rsid w:val="00C60D6A"/>
    <w:rsid w:val="00C60D87"/>
    <w:rsid w:val="00C60DD5"/>
    <w:rsid w:val="00C60E03"/>
    <w:rsid w:val="00C60E28"/>
    <w:rsid w:val="00C61046"/>
    <w:rsid w:val="00C6106A"/>
    <w:rsid w:val="00C6108E"/>
    <w:rsid w:val="00C610B6"/>
    <w:rsid w:val="00C610DB"/>
    <w:rsid w:val="00C61140"/>
    <w:rsid w:val="00C61142"/>
    <w:rsid w:val="00C6114A"/>
    <w:rsid w:val="00C6116D"/>
    <w:rsid w:val="00C61203"/>
    <w:rsid w:val="00C61229"/>
    <w:rsid w:val="00C6123A"/>
    <w:rsid w:val="00C612D9"/>
    <w:rsid w:val="00C61385"/>
    <w:rsid w:val="00C61386"/>
    <w:rsid w:val="00C613D6"/>
    <w:rsid w:val="00C61418"/>
    <w:rsid w:val="00C6145C"/>
    <w:rsid w:val="00C6155A"/>
    <w:rsid w:val="00C61645"/>
    <w:rsid w:val="00C61670"/>
    <w:rsid w:val="00C61689"/>
    <w:rsid w:val="00C6169E"/>
    <w:rsid w:val="00C616C2"/>
    <w:rsid w:val="00C617B0"/>
    <w:rsid w:val="00C617DD"/>
    <w:rsid w:val="00C617E4"/>
    <w:rsid w:val="00C61839"/>
    <w:rsid w:val="00C61847"/>
    <w:rsid w:val="00C618C7"/>
    <w:rsid w:val="00C618EB"/>
    <w:rsid w:val="00C6199F"/>
    <w:rsid w:val="00C619B7"/>
    <w:rsid w:val="00C619EE"/>
    <w:rsid w:val="00C619FC"/>
    <w:rsid w:val="00C61A0C"/>
    <w:rsid w:val="00C61A8E"/>
    <w:rsid w:val="00C61AAC"/>
    <w:rsid w:val="00C61ABA"/>
    <w:rsid w:val="00C61AD2"/>
    <w:rsid w:val="00C61AF8"/>
    <w:rsid w:val="00C61B2D"/>
    <w:rsid w:val="00C61B58"/>
    <w:rsid w:val="00C61B7D"/>
    <w:rsid w:val="00C61BC1"/>
    <w:rsid w:val="00C61BC2"/>
    <w:rsid w:val="00C61BD6"/>
    <w:rsid w:val="00C61BF6"/>
    <w:rsid w:val="00C61C33"/>
    <w:rsid w:val="00C61C39"/>
    <w:rsid w:val="00C61C67"/>
    <w:rsid w:val="00C61C97"/>
    <w:rsid w:val="00C61C99"/>
    <w:rsid w:val="00C61C9C"/>
    <w:rsid w:val="00C61CDD"/>
    <w:rsid w:val="00C61D50"/>
    <w:rsid w:val="00C61D8E"/>
    <w:rsid w:val="00C61DF0"/>
    <w:rsid w:val="00C61E12"/>
    <w:rsid w:val="00C61E56"/>
    <w:rsid w:val="00C61E98"/>
    <w:rsid w:val="00C61EC0"/>
    <w:rsid w:val="00C61EE0"/>
    <w:rsid w:val="00C61EF4"/>
    <w:rsid w:val="00C61F3B"/>
    <w:rsid w:val="00C61FEC"/>
    <w:rsid w:val="00C6200A"/>
    <w:rsid w:val="00C62074"/>
    <w:rsid w:val="00C620C2"/>
    <w:rsid w:val="00C620F9"/>
    <w:rsid w:val="00C6217D"/>
    <w:rsid w:val="00C621F9"/>
    <w:rsid w:val="00C621FF"/>
    <w:rsid w:val="00C6220C"/>
    <w:rsid w:val="00C62212"/>
    <w:rsid w:val="00C6227D"/>
    <w:rsid w:val="00C6227F"/>
    <w:rsid w:val="00C622B2"/>
    <w:rsid w:val="00C62365"/>
    <w:rsid w:val="00C623E0"/>
    <w:rsid w:val="00C6244A"/>
    <w:rsid w:val="00C62454"/>
    <w:rsid w:val="00C624C8"/>
    <w:rsid w:val="00C624E3"/>
    <w:rsid w:val="00C6251A"/>
    <w:rsid w:val="00C62533"/>
    <w:rsid w:val="00C62574"/>
    <w:rsid w:val="00C625B4"/>
    <w:rsid w:val="00C625F4"/>
    <w:rsid w:val="00C62668"/>
    <w:rsid w:val="00C62689"/>
    <w:rsid w:val="00C62697"/>
    <w:rsid w:val="00C626A3"/>
    <w:rsid w:val="00C62700"/>
    <w:rsid w:val="00C62713"/>
    <w:rsid w:val="00C6271D"/>
    <w:rsid w:val="00C62737"/>
    <w:rsid w:val="00C6277D"/>
    <w:rsid w:val="00C6278A"/>
    <w:rsid w:val="00C62790"/>
    <w:rsid w:val="00C62859"/>
    <w:rsid w:val="00C6285B"/>
    <w:rsid w:val="00C62877"/>
    <w:rsid w:val="00C628CE"/>
    <w:rsid w:val="00C628CF"/>
    <w:rsid w:val="00C628F8"/>
    <w:rsid w:val="00C628FD"/>
    <w:rsid w:val="00C62944"/>
    <w:rsid w:val="00C6294A"/>
    <w:rsid w:val="00C62980"/>
    <w:rsid w:val="00C62A77"/>
    <w:rsid w:val="00C62A85"/>
    <w:rsid w:val="00C62ABF"/>
    <w:rsid w:val="00C62AC7"/>
    <w:rsid w:val="00C62AD7"/>
    <w:rsid w:val="00C62AE0"/>
    <w:rsid w:val="00C62B74"/>
    <w:rsid w:val="00C62B7D"/>
    <w:rsid w:val="00C62C17"/>
    <w:rsid w:val="00C62C1F"/>
    <w:rsid w:val="00C62CA7"/>
    <w:rsid w:val="00C62CC5"/>
    <w:rsid w:val="00C62CE7"/>
    <w:rsid w:val="00C62D28"/>
    <w:rsid w:val="00C62D80"/>
    <w:rsid w:val="00C62D99"/>
    <w:rsid w:val="00C62DAC"/>
    <w:rsid w:val="00C62E09"/>
    <w:rsid w:val="00C62E4E"/>
    <w:rsid w:val="00C62E94"/>
    <w:rsid w:val="00C62EE8"/>
    <w:rsid w:val="00C62F72"/>
    <w:rsid w:val="00C62FB1"/>
    <w:rsid w:val="00C62FDA"/>
    <w:rsid w:val="00C6302E"/>
    <w:rsid w:val="00C63066"/>
    <w:rsid w:val="00C630F7"/>
    <w:rsid w:val="00C63133"/>
    <w:rsid w:val="00C6316B"/>
    <w:rsid w:val="00C631A2"/>
    <w:rsid w:val="00C631A7"/>
    <w:rsid w:val="00C631BA"/>
    <w:rsid w:val="00C6329A"/>
    <w:rsid w:val="00C632B1"/>
    <w:rsid w:val="00C632D1"/>
    <w:rsid w:val="00C632E3"/>
    <w:rsid w:val="00C63307"/>
    <w:rsid w:val="00C6333B"/>
    <w:rsid w:val="00C6333C"/>
    <w:rsid w:val="00C63375"/>
    <w:rsid w:val="00C633D4"/>
    <w:rsid w:val="00C63455"/>
    <w:rsid w:val="00C63479"/>
    <w:rsid w:val="00C6348B"/>
    <w:rsid w:val="00C634AF"/>
    <w:rsid w:val="00C634BC"/>
    <w:rsid w:val="00C63589"/>
    <w:rsid w:val="00C635D9"/>
    <w:rsid w:val="00C635E6"/>
    <w:rsid w:val="00C6362C"/>
    <w:rsid w:val="00C6364B"/>
    <w:rsid w:val="00C63651"/>
    <w:rsid w:val="00C63660"/>
    <w:rsid w:val="00C6370A"/>
    <w:rsid w:val="00C63710"/>
    <w:rsid w:val="00C637B7"/>
    <w:rsid w:val="00C637F9"/>
    <w:rsid w:val="00C63813"/>
    <w:rsid w:val="00C6388A"/>
    <w:rsid w:val="00C638FC"/>
    <w:rsid w:val="00C63960"/>
    <w:rsid w:val="00C639A5"/>
    <w:rsid w:val="00C63A1B"/>
    <w:rsid w:val="00C63AB3"/>
    <w:rsid w:val="00C63B2A"/>
    <w:rsid w:val="00C63B70"/>
    <w:rsid w:val="00C63B83"/>
    <w:rsid w:val="00C63BBC"/>
    <w:rsid w:val="00C63BD8"/>
    <w:rsid w:val="00C63C16"/>
    <w:rsid w:val="00C63C1C"/>
    <w:rsid w:val="00C63CA0"/>
    <w:rsid w:val="00C63CAC"/>
    <w:rsid w:val="00C63D10"/>
    <w:rsid w:val="00C63D27"/>
    <w:rsid w:val="00C63D4D"/>
    <w:rsid w:val="00C63DB4"/>
    <w:rsid w:val="00C63DEE"/>
    <w:rsid w:val="00C63E16"/>
    <w:rsid w:val="00C63E39"/>
    <w:rsid w:val="00C63E5C"/>
    <w:rsid w:val="00C63E71"/>
    <w:rsid w:val="00C63E87"/>
    <w:rsid w:val="00C63F16"/>
    <w:rsid w:val="00C63F6F"/>
    <w:rsid w:val="00C63FAF"/>
    <w:rsid w:val="00C6406E"/>
    <w:rsid w:val="00C6407B"/>
    <w:rsid w:val="00C64088"/>
    <w:rsid w:val="00C64098"/>
    <w:rsid w:val="00C640B9"/>
    <w:rsid w:val="00C640D3"/>
    <w:rsid w:val="00C64107"/>
    <w:rsid w:val="00C6413F"/>
    <w:rsid w:val="00C64149"/>
    <w:rsid w:val="00C64168"/>
    <w:rsid w:val="00C641B9"/>
    <w:rsid w:val="00C6420A"/>
    <w:rsid w:val="00C64214"/>
    <w:rsid w:val="00C6425B"/>
    <w:rsid w:val="00C6432D"/>
    <w:rsid w:val="00C64364"/>
    <w:rsid w:val="00C64372"/>
    <w:rsid w:val="00C6437F"/>
    <w:rsid w:val="00C643D3"/>
    <w:rsid w:val="00C643D4"/>
    <w:rsid w:val="00C643FC"/>
    <w:rsid w:val="00C64430"/>
    <w:rsid w:val="00C64434"/>
    <w:rsid w:val="00C644AF"/>
    <w:rsid w:val="00C6450C"/>
    <w:rsid w:val="00C64574"/>
    <w:rsid w:val="00C64579"/>
    <w:rsid w:val="00C6457B"/>
    <w:rsid w:val="00C6458A"/>
    <w:rsid w:val="00C645C3"/>
    <w:rsid w:val="00C645F0"/>
    <w:rsid w:val="00C64654"/>
    <w:rsid w:val="00C64655"/>
    <w:rsid w:val="00C64670"/>
    <w:rsid w:val="00C6468B"/>
    <w:rsid w:val="00C6469F"/>
    <w:rsid w:val="00C64763"/>
    <w:rsid w:val="00C6477A"/>
    <w:rsid w:val="00C647A3"/>
    <w:rsid w:val="00C647B2"/>
    <w:rsid w:val="00C647BE"/>
    <w:rsid w:val="00C647FF"/>
    <w:rsid w:val="00C64814"/>
    <w:rsid w:val="00C64825"/>
    <w:rsid w:val="00C64832"/>
    <w:rsid w:val="00C64839"/>
    <w:rsid w:val="00C64870"/>
    <w:rsid w:val="00C648B2"/>
    <w:rsid w:val="00C648D5"/>
    <w:rsid w:val="00C64928"/>
    <w:rsid w:val="00C64991"/>
    <w:rsid w:val="00C64A0A"/>
    <w:rsid w:val="00C64A17"/>
    <w:rsid w:val="00C64A4B"/>
    <w:rsid w:val="00C64A7F"/>
    <w:rsid w:val="00C64A8A"/>
    <w:rsid w:val="00C64AC6"/>
    <w:rsid w:val="00C64AE4"/>
    <w:rsid w:val="00C64AF5"/>
    <w:rsid w:val="00C64AFD"/>
    <w:rsid w:val="00C64B13"/>
    <w:rsid w:val="00C64B7E"/>
    <w:rsid w:val="00C64BC2"/>
    <w:rsid w:val="00C64BE9"/>
    <w:rsid w:val="00C64C50"/>
    <w:rsid w:val="00C64C55"/>
    <w:rsid w:val="00C64D0E"/>
    <w:rsid w:val="00C64D1A"/>
    <w:rsid w:val="00C64D26"/>
    <w:rsid w:val="00C64D46"/>
    <w:rsid w:val="00C64D92"/>
    <w:rsid w:val="00C64E01"/>
    <w:rsid w:val="00C64E25"/>
    <w:rsid w:val="00C64E6D"/>
    <w:rsid w:val="00C64F0B"/>
    <w:rsid w:val="00C64FC9"/>
    <w:rsid w:val="00C65008"/>
    <w:rsid w:val="00C65033"/>
    <w:rsid w:val="00C6504F"/>
    <w:rsid w:val="00C65074"/>
    <w:rsid w:val="00C65102"/>
    <w:rsid w:val="00C65134"/>
    <w:rsid w:val="00C6513E"/>
    <w:rsid w:val="00C6518B"/>
    <w:rsid w:val="00C651B0"/>
    <w:rsid w:val="00C65221"/>
    <w:rsid w:val="00C65264"/>
    <w:rsid w:val="00C65265"/>
    <w:rsid w:val="00C6527B"/>
    <w:rsid w:val="00C6533E"/>
    <w:rsid w:val="00C65361"/>
    <w:rsid w:val="00C653A3"/>
    <w:rsid w:val="00C653C3"/>
    <w:rsid w:val="00C65407"/>
    <w:rsid w:val="00C6542B"/>
    <w:rsid w:val="00C6547A"/>
    <w:rsid w:val="00C6548D"/>
    <w:rsid w:val="00C654AA"/>
    <w:rsid w:val="00C654C7"/>
    <w:rsid w:val="00C654E7"/>
    <w:rsid w:val="00C654FB"/>
    <w:rsid w:val="00C65527"/>
    <w:rsid w:val="00C6555B"/>
    <w:rsid w:val="00C6561B"/>
    <w:rsid w:val="00C6562C"/>
    <w:rsid w:val="00C6563F"/>
    <w:rsid w:val="00C6567C"/>
    <w:rsid w:val="00C6567E"/>
    <w:rsid w:val="00C6570B"/>
    <w:rsid w:val="00C6575A"/>
    <w:rsid w:val="00C65771"/>
    <w:rsid w:val="00C657E4"/>
    <w:rsid w:val="00C6580D"/>
    <w:rsid w:val="00C65811"/>
    <w:rsid w:val="00C65845"/>
    <w:rsid w:val="00C65869"/>
    <w:rsid w:val="00C658D3"/>
    <w:rsid w:val="00C658DC"/>
    <w:rsid w:val="00C658EA"/>
    <w:rsid w:val="00C65932"/>
    <w:rsid w:val="00C6597D"/>
    <w:rsid w:val="00C659D6"/>
    <w:rsid w:val="00C65A44"/>
    <w:rsid w:val="00C65A89"/>
    <w:rsid w:val="00C65AFC"/>
    <w:rsid w:val="00C65B00"/>
    <w:rsid w:val="00C65B13"/>
    <w:rsid w:val="00C65B19"/>
    <w:rsid w:val="00C65BB0"/>
    <w:rsid w:val="00C65BC7"/>
    <w:rsid w:val="00C65CEA"/>
    <w:rsid w:val="00C65D84"/>
    <w:rsid w:val="00C65D9F"/>
    <w:rsid w:val="00C65DC6"/>
    <w:rsid w:val="00C65E1E"/>
    <w:rsid w:val="00C65E5B"/>
    <w:rsid w:val="00C65E5F"/>
    <w:rsid w:val="00C65E7B"/>
    <w:rsid w:val="00C65F37"/>
    <w:rsid w:val="00C65FA7"/>
    <w:rsid w:val="00C66053"/>
    <w:rsid w:val="00C66060"/>
    <w:rsid w:val="00C6606C"/>
    <w:rsid w:val="00C6609F"/>
    <w:rsid w:val="00C660A6"/>
    <w:rsid w:val="00C660C7"/>
    <w:rsid w:val="00C660E4"/>
    <w:rsid w:val="00C66146"/>
    <w:rsid w:val="00C66151"/>
    <w:rsid w:val="00C66161"/>
    <w:rsid w:val="00C6618B"/>
    <w:rsid w:val="00C66193"/>
    <w:rsid w:val="00C661CE"/>
    <w:rsid w:val="00C66261"/>
    <w:rsid w:val="00C66262"/>
    <w:rsid w:val="00C662C3"/>
    <w:rsid w:val="00C662D3"/>
    <w:rsid w:val="00C662E3"/>
    <w:rsid w:val="00C662F5"/>
    <w:rsid w:val="00C66345"/>
    <w:rsid w:val="00C66367"/>
    <w:rsid w:val="00C6636A"/>
    <w:rsid w:val="00C663E1"/>
    <w:rsid w:val="00C6642B"/>
    <w:rsid w:val="00C66459"/>
    <w:rsid w:val="00C6646C"/>
    <w:rsid w:val="00C66476"/>
    <w:rsid w:val="00C664BA"/>
    <w:rsid w:val="00C6650D"/>
    <w:rsid w:val="00C6659B"/>
    <w:rsid w:val="00C665A6"/>
    <w:rsid w:val="00C665FA"/>
    <w:rsid w:val="00C665FB"/>
    <w:rsid w:val="00C66637"/>
    <w:rsid w:val="00C6666E"/>
    <w:rsid w:val="00C666CC"/>
    <w:rsid w:val="00C66716"/>
    <w:rsid w:val="00C66748"/>
    <w:rsid w:val="00C6679E"/>
    <w:rsid w:val="00C6681C"/>
    <w:rsid w:val="00C6683B"/>
    <w:rsid w:val="00C66921"/>
    <w:rsid w:val="00C66946"/>
    <w:rsid w:val="00C66956"/>
    <w:rsid w:val="00C66975"/>
    <w:rsid w:val="00C66978"/>
    <w:rsid w:val="00C6699F"/>
    <w:rsid w:val="00C669BE"/>
    <w:rsid w:val="00C66A29"/>
    <w:rsid w:val="00C66A3A"/>
    <w:rsid w:val="00C66BAB"/>
    <w:rsid w:val="00C66C2A"/>
    <w:rsid w:val="00C66C33"/>
    <w:rsid w:val="00C66CD4"/>
    <w:rsid w:val="00C66CF2"/>
    <w:rsid w:val="00C66D07"/>
    <w:rsid w:val="00C66D64"/>
    <w:rsid w:val="00C66D9E"/>
    <w:rsid w:val="00C66DC4"/>
    <w:rsid w:val="00C66DD3"/>
    <w:rsid w:val="00C66E6D"/>
    <w:rsid w:val="00C66E9D"/>
    <w:rsid w:val="00C66EA5"/>
    <w:rsid w:val="00C66EE0"/>
    <w:rsid w:val="00C66EF9"/>
    <w:rsid w:val="00C66F12"/>
    <w:rsid w:val="00C66F4A"/>
    <w:rsid w:val="00C66F58"/>
    <w:rsid w:val="00C66F5A"/>
    <w:rsid w:val="00C66F6E"/>
    <w:rsid w:val="00C6703C"/>
    <w:rsid w:val="00C67075"/>
    <w:rsid w:val="00C67078"/>
    <w:rsid w:val="00C67079"/>
    <w:rsid w:val="00C67123"/>
    <w:rsid w:val="00C6712E"/>
    <w:rsid w:val="00C6713B"/>
    <w:rsid w:val="00C67149"/>
    <w:rsid w:val="00C67196"/>
    <w:rsid w:val="00C671F0"/>
    <w:rsid w:val="00C671FD"/>
    <w:rsid w:val="00C6727C"/>
    <w:rsid w:val="00C6732C"/>
    <w:rsid w:val="00C673A4"/>
    <w:rsid w:val="00C673C7"/>
    <w:rsid w:val="00C673E8"/>
    <w:rsid w:val="00C67415"/>
    <w:rsid w:val="00C6746D"/>
    <w:rsid w:val="00C674C3"/>
    <w:rsid w:val="00C674F0"/>
    <w:rsid w:val="00C674F9"/>
    <w:rsid w:val="00C67583"/>
    <w:rsid w:val="00C675F6"/>
    <w:rsid w:val="00C6760E"/>
    <w:rsid w:val="00C67614"/>
    <w:rsid w:val="00C67653"/>
    <w:rsid w:val="00C6768A"/>
    <w:rsid w:val="00C676EB"/>
    <w:rsid w:val="00C676EC"/>
    <w:rsid w:val="00C67749"/>
    <w:rsid w:val="00C67755"/>
    <w:rsid w:val="00C67776"/>
    <w:rsid w:val="00C6778D"/>
    <w:rsid w:val="00C677B7"/>
    <w:rsid w:val="00C677BF"/>
    <w:rsid w:val="00C677DE"/>
    <w:rsid w:val="00C6796A"/>
    <w:rsid w:val="00C67996"/>
    <w:rsid w:val="00C679D9"/>
    <w:rsid w:val="00C679E1"/>
    <w:rsid w:val="00C67A07"/>
    <w:rsid w:val="00C67A1E"/>
    <w:rsid w:val="00C67AF2"/>
    <w:rsid w:val="00C67B1E"/>
    <w:rsid w:val="00C67B8A"/>
    <w:rsid w:val="00C67BBE"/>
    <w:rsid w:val="00C67CDE"/>
    <w:rsid w:val="00C67CF7"/>
    <w:rsid w:val="00C67D22"/>
    <w:rsid w:val="00C67D53"/>
    <w:rsid w:val="00C67D7D"/>
    <w:rsid w:val="00C67D98"/>
    <w:rsid w:val="00C67DE7"/>
    <w:rsid w:val="00C67E83"/>
    <w:rsid w:val="00C67EBE"/>
    <w:rsid w:val="00C67ED3"/>
    <w:rsid w:val="00C67EEB"/>
    <w:rsid w:val="00C67F11"/>
    <w:rsid w:val="00C67F32"/>
    <w:rsid w:val="00C67F9C"/>
    <w:rsid w:val="00C70008"/>
    <w:rsid w:val="00C70035"/>
    <w:rsid w:val="00C70048"/>
    <w:rsid w:val="00C700ED"/>
    <w:rsid w:val="00C70199"/>
    <w:rsid w:val="00C701A3"/>
    <w:rsid w:val="00C701B1"/>
    <w:rsid w:val="00C701D0"/>
    <w:rsid w:val="00C7028C"/>
    <w:rsid w:val="00C702E6"/>
    <w:rsid w:val="00C702F3"/>
    <w:rsid w:val="00C7038D"/>
    <w:rsid w:val="00C70429"/>
    <w:rsid w:val="00C7043A"/>
    <w:rsid w:val="00C70459"/>
    <w:rsid w:val="00C704B4"/>
    <w:rsid w:val="00C704B6"/>
    <w:rsid w:val="00C704C1"/>
    <w:rsid w:val="00C704F8"/>
    <w:rsid w:val="00C70501"/>
    <w:rsid w:val="00C7053F"/>
    <w:rsid w:val="00C7058A"/>
    <w:rsid w:val="00C705AA"/>
    <w:rsid w:val="00C7061E"/>
    <w:rsid w:val="00C70628"/>
    <w:rsid w:val="00C7064C"/>
    <w:rsid w:val="00C70681"/>
    <w:rsid w:val="00C706FD"/>
    <w:rsid w:val="00C7072A"/>
    <w:rsid w:val="00C7072B"/>
    <w:rsid w:val="00C707EA"/>
    <w:rsid w:val="00C7080E"/>
    <w:rsid w:val="00C7082E"/>
    <w:rsid w:val="00C708AE"/>
    <w:rsid w:val="00C708D2"/>
    <w:rsid w:val="00C7096E"/>
    <w:rsid w:val="00C70994"/>
    <w:rsid w:val="00C709BE"/>
    <w:rsid w:val="00C70A7A"/>
    <w:rsid w:val="00C70ACA"/>
    <w:rsid w:val="00C70ADA"/>
    <w:rsid w:val="00C70AEA"/>
    <w:rsid w:val="00C70B56"/>
    <w:rsid w:val="00C70B59"/>
    <w:rsid w:val="00C70BAF"/>
    <w:rsid w:val="00C70BB2"/>
    <w:rsid w:val="00C70C1B"/>
    <w:rsid w:val="00C70C84"/>
    <w:rsid w:val="00C70D08"/>
    <w:rsid w:val="00C70D35"/>
    <w:rsid w:val="00C70D5C"/>
    <w:rsid w:val="00C70D5E"/>
    <w:rsid w:val="00C70D71"/>
    <w:rsid w:val="00C70DD5"/>
    <w:rsid w:val="00C70E1C"/>
    <w:rsid w:val="00C70E8D"/>
    <w:rsid w:val="00C70E8E"/>
    <w:rsid w:val="00C70EED"/>
    <w:rsid w:val="00C70EFD"/>
    <w:rsid w:val="00C70F22"/>
    <w:rsid w:val="00C70F31"/>
    <w:rsid w:val="00C70FE4"/>
    <w:rsid w:val="00C70FE7"/>
    <w:rsid w:val="00C7102C"/>
    <w:rsid w:val="00C71035"/>
    <w:rsid w:val="00C7104A"/>
    <w:rsid w:val="00C710CE"/>
    <w:rsid w:val="00C710DB"/>
    <w:rsid w:val="00C71119"/>
    <w:rsid w:val="00C7114E"/>
    <w:rsid w:val="00C71150"/>
    <w:rsid w:val="00C7122A"/>
    <w:rsid w:val="00C71274"/>
    <w:rsid w:val="00C712E4"/>
    <w:rsid w:val="00C71370"/>
    <w:rsid w:val="00C7139B"/>
    <w:rsid w:val="00C7143F"/>
    <w:rsid w:val="00C7146B"/>
    <w:rsid w:val="00C71493"/>
    <w:rsid w:val="00C714BC"/>
    <w:rsid w:val="00C71506"/>
    <w:rsid w:val="00C7150A"/>
    <w:rsid w:val="00C715A8"/>
    <w:rsid w:val="00C715BA"/>
    <w:rsid w:val="00C715F5"/>
    <w:rsid w:val="00C7161B"/>
    <w:rsid w:val="00C7168B"/>
    <w:rsid w:val="00C716D8"/>
    <w:rsid w:val="00C716DA"/>
    <w:rsid w:val="00C716EB"/>
    <w:rsid w:val="00C71731"/>
    <w:rsid w:val="00C71735"/>
    <w:rsid w:val="00C7175D"/>
    <w:rsid w:val="00C717CA"/>
    <w:rsid w:val="00C717D9"/>
    <w:rsid w:val="00C71812"/>
    <w:rsid w:val="00C71817"/>
    <w:rsid w:val="00C71839"/>
    <w:rsid w:val="00C7183F"/>
    <w:rsid w:val="00C7184E"/>
    <w:rsid w:val="00C71885"/>
    <w:rsid w:val="00C7193B"/>
    <w:rsid w:val="00C7195E"/>
    <w:rsid w:val="00C71965"/>
    <w:rsid w:val="00C71ACB"/>
    <w:rsid w:val="00C71B17"/>
    <w:rsid w:val="00C71B36"/>
    <w:rsid w:val="00C71B7E"/>
    <w:rsid w:val="00C71B97"/>
    <w:rsid w:val="00C71BAC"/>
    <w:rsid w:val="00C71BBC"/>
    <w:rsid w:val="00C71BBE"/>
    <w:rsid w:val="00C71C20"/>
    <w:rsid w:val="00C71C53"/>
    <w:rsid w:val="00C71C83"/>
    <w:rsid w:val="00C71D03"/>
    <w:rsid w:val="00C71D07"/>
    <w:rsid w:val="00C71D47"/>
    <w:rsid w:val="00C71D52"/>
    <w:rsid w:val="00C71D92"/>
    <w:rsid w:val="00C71D97"/>
    <w:rsid w:val="00C71DA6"/>
    <w:rsid w:val="00C71DC9"/>
    <w:rsid w:val="00C71E1D"/>
    <w:rsid w:val="00C71E6B"/>
    <w:rsid w:val="00C71ED8"/>
    <w:rsid w:val="00C71F66"/>
    <w:rsid w:val="00C71F98"/>
    <w:rsid w:val="00C72029"/>
    <w:rsid w:val="00C72047"/>
    <w:rsid w:val="00C72059"/>
    <w:rsid w:val="00C7208C"/>
    <w:rsid w:val="00C720C4"/>
    <w:rsid w:val="00C720E4"/>
    <w:rsid w:val="00C720EF"/>
    <w:rsid w:val="00C720F4"/>
    <w:rsid w:val="00C720F8"/>
    <w:rsid w:val="00C72106"/>
    <w:rsid w:val="00C721A1"/>
    <w:rsid w:val="00C721A2"/>
    <w:rsid w:val="00C721B1"/>
    <w:rsid w:val="00C721E3"/>
    <w:rsid w:val="00C72209"/>
    <w:rsid w:val="00C72241"/>
    <w:rsid w:val="00C7229D"/>
    <w:rsid w:val="00C722D0"/>
    <w:rsid w:val="00C722DB"/>
    <w:rsid w:val="00C723A0"/>
    <w:rsid w:val="00C723B7"/>
    <w:rsid w:val="00C723B8"/>
    <w:rsid w:val="00C724CD"/>
    <w:rsid w:val="00C724D7"/>
    <w:rsid w:val="00C724F5"/>
    <w:rsid w:val="00C724F6"/>
    <w:rsid w:val="00C72542"/>
    <w:rsid w:val="00C72563"/>
    <w:rsid w:val="00C7257E"/>
    <w:rsid w:val="00C7260B"/>
    <w:rsid w:val="00C7260E"/>
    <w:rsid w:val="00C7263E"/>
    <w:rsid w:val="00C72681"/>
    <w:rsid w:val="00C7271B"/>
    <w:rsid w:val="00C727EF"/>
    <w:rsid w:val="00C72829"/>
    <w:rsid w:val="00C7282A"/>
    <w:rsid w:val="00C72833"/>
    <w:rsid w:val="00C72844"/>
    <w:rsid w:val="00C72849"/>
    <w:rsid w:val="00C728F4"/>
    <w:rsid w:val="00C72903"/>
    <w:rsid w:val="00C72940"/>
    <w:rsid w:val="00C72946"/>
    <w:rsid w:val="00C72969"/>
    <w:rsid w:val="00C72984"/>
    <w:rsid w:val="00C729C7"/>
    <w:rsid w:val="00C729DE"/>
    <w:rsid w:val="00C729EC"/>
    <w:rsid w:val="00C72A37"/>
    <w:rsid w:val="00C72A57"/>
    <w:rsid w:val="00C72A93"/>
    <w:rsid w:val="00C72B14"/>
    <w:rsid w:val="00C72B32"/>
    <w:rsid w:val="00C72B4B"/>
    <w:rsid w:val="00C72B8F"/>
    <w:rsid w:val="00C72BD3"/>
    <w:rsid w:val="00C72C03"/>
    <w:rsid w:val="00C72C16"/>
    <w:rsid w:val="00C72C37"/>
    <w:rsid w:val="00C72C64"/>
    <w:rsid w:val="00C72D26"/>
    <w:rsid w:val="00C72D2A"/>
    <w:rsid w:val="00C72D48"/>
    <w:rsid w:val="00C72D79"/>
    <w:rsid w:val="00C72E3E"/>
    <w:rsid w:val="00C72F28"/>
    <w:rsid w:val="00C72F74"/>
    <w:rsid w:val="00C72FF2"/>
    <w:rsid w:val="00C7302F"/>
    <w:rsid w:val="00C7303F"/>
    <w:rsid w:val="00C73061"/>
    <w:rsid w:val="00C73085"/>
    <w:rsid w:val="00C730AF"/>
    <w:rsid w:val="00C730B8"/>
    <w:rsid w:val="00C730D3"/>
    <w:rsid w:val="00C73118"/>
    <w:rsid w:val="00C73132"/>
    <w:rsid w:val="00C7315F"/>
    <w:rsid w:val="00C73185"/>
    <w:rsid w:val="00C7319C"/>
    <w:rsid w:val="00C731AB"/>
    <w:rsid w:val="00C731AE"/>
    <w:rsid w:val="00C731BC"/>
    <w:rsid w:val="00C731BD"/>
    <w:rsid w:val="00C7320D"/>
    <w:rsid w:val="00C73270"/>
    <w:rsid w:val="00C73272"/>
    <w:rsid w:val="00C73288"/>
    <w:rsid w:val="00C73292"/>
    <w:rsid w:val="00C73300"/>
    <w:rsid w:val="00C73331"/>
    <w:rsid w:val="00C73365"/>
    <w:rsid w:val="00C7336D"/>
    <w:rsid w:val="00C733A0"/>
    <w:rsid w:val="00C733C4"/>
    <w:rsid w:val="00C7342D"/>
    <w:rsid w:val="00C73486"/>
    <w:rsid w:val="00C734AD"/>
    <w:rsid w:val="00C73508"/>
    <w:rsid w:val="00C7351C"/>
    <w:rsid w:val="00C735F1"/>
    <w:rsid w:val="00C735F9"/>
    <w:rsid w:val="00C7360C"/>
    <w:rsid w:val="00C73643"/>
    <w:rsid w:val="00C736EC"/>
    <w:rsid w:val="00C73716"/>
    <w:rsid w:val="00C73719"/>
    <w:rsid w:val="00C7372B"/>
    <w:rsid w:val="00C73762"/>
    <w:rsid w:val="00C7377C"/>
    <w:rsid w:val="00C737E4"/>
    <w:rsid w:val="00C73864"/>
    <w:rsid w:val="00C738C8"/>
    <w:rsid w:val="00C738D3"/>
    <w:rsid w:val="00C738EF"/>
    <w:rsid w:val="00C7392B"/>
    <w:rsid w:val="00C7395D"/>
    <w:rsid w:val="00C739AB"/>
    <w:rsid w:val="00C739B4"/>
    <w:rsid w:val="00C739E4"/>
    <w:rsid w:val="00C73A1F"/>
    <w:rsid w:val="00C73A5A"/>
    <w:rsid w:val="00C73B55"/>
    <w:rsid w:val="00C73B5D"/>
    <w:rsid w:val="00C73BD1"/>
    <w:rsid w:val="00C73C11"/>
    <w:rsid w:val="00C73C20"/>
    <w:rsid w:val="00C73C7E"/>
    <w:rsid w:val="00C73C97"/>
    <w:rsid w:val="00C73CB9"/>
    <w:rsid w:val="00C73D54"/>
    <w:rsid w:val="00C73D74"/>
    <w:rsid w:val="00C73D78"/>
    <w:rsid w:val="00C73D8D"/>
    <w:rsid w:val="00C73DAF"/>
    <w:rsid w:val="00C73DB7"/>
    <w:rsid w:val="00C73DD9"/>
    <w:rsid w:val="00C73DEE"/>
    <w:rsid w:val="00C73E1D"/>
    <w:rsid w:val="00C73EC5"/>
    <w:rsid w:val="00C73F06"/>
    <w:rsid w:val="00C73F1A"/>
    <w:rsid w:val="00C73F64"/>
    <w:rsid w:val="00C73F67"/>
    <w:rsid w:val="00C73F86"/>
    <w:rsid w:val="00C73FAD"/>
    <w:rsid w:val="00C740B0"/>
    <w:rsid w:val="00C740CA"/>
    <w:rsid w:val="00C74132"/>
    <w:rsid w:val="00C7416D"/>
    <w:rsid w:val="00C74199"/>
    <w:rsid w:val="00C741A3"/>
    <w:rsid w:val="00C741ED"/>
    <w:rsid w:val="00C741F5"/>
    <w:rsid w:val="00C74202"/>
    <w:rsid w:val="00C7420D"/>
    <w:rsid w:val="00C74219"/>
    <w:rsid w:val="00C74225"/>
    <w:rsid w:val="00C74233"/>
    <w:rsid w:val="00C74256"/>
    <w:rsid w:val="00C7425F"/>
    <w:rsid w:val="00C742B0"/>
    <w:rsid w:val="00C742C0"/>
    <w:rsid w:val="00C742C8"/>
    <w:rsid w:val="00C74313"/>
    <w:rsid w:val="00C7431A"/>
    <w:rsid w:val="00C74330"/>
    <w:rsid w:val="00C74352"/>
    <w:rsid w:val="00C74387"/>
    <w:rsid w:val="00C743B2"/>
    <w:rsid w:val="00C743D2"/>
    <w:rsid w:val="00C743F2"/>
    <w:rsid w:val="00C743FA"/>
    <w:rsid w:val="00C74418"/>
    <w:rsid w:val="00C7443C"/>
    <w:rsid w:val="00C744DB"/>
    <w:rsid w:val="00C744ED"/>
    <w:rsid w:val="00C74517"/>
    <w:rsid w:val="00C74531"/>
    <w:rsid w:val="00C74537"/>
    <w:rsid w:val="00C74556"/>
    <w:rsid w:val="00C74559"/>
    <w:rsid w:val="00C74582"/>
    <w:rsid w:val="00C745AF"/>
    <w:rsid w:val="00C745D8"/>
    <w:rsid w:val="00C745F2"/>
    <w:rsid w:val="00C74623"/>
    <w:rsid w:val="00C746A9"/>
    <w:rsid w:val="00C746C0"/>
    <w:rsid w:val="00C74754"/>
    <w:rsid w:val="00C74776"/>
    <w:rsid w:val="00C74801"/>
    <w:rsid w:val="00C74829"/>
    <w:rsid w:val="00C74844"/>
    <w:rsid w:val="00C74852"/>
    <w:rsid w:val="00C7486B"/>
    <w:rsid w:val="00C74875"/>
    <w:rsid w:val="00C74880"/>
    <w:rsid w:val="00C7488A"/>
    <w:rsid w:val="00C748C1"/>
    <w:rsid w:val="00C7494A"/>
    <w:rsid w:val="00C7495E"/>
    <w:rsid w:val="00C749D0"/>
    <w:rsid w:val="00C749D6"/>
    <w:rsid w:val="00C74A89"/>
    <w:rsid w:val="00C74B00"/>
    <w:rsid w:val="00C74B12"/>
    <w:rsid w:val="00C74B1B"/>
    <w:rsid w:val="00C74B9B"/>
    <w:rsid w:val="00C74C01"/>
    <w:rsid w:val="00C74C35"/>
    <w:rsid w:val="00C74C40"/>
    <w:rsid w:val="00C74C8E"/>
    <w:rsid w:val="00C74CEB"/>
    <w:rsid w:val="00C74D00"/>
    <w:rsid w:val="00C74D7F"/>
    <w:rsid w:val="00C74D89"/>
    <w:rsid w:val="00C74D9D"/>
    <w:rsid w:val="00C74DE3"/>
    <w:rsid w:val="00C74DFB"/>
    <w:rsid w:val="00C74F07"/>
    <w:rsid w:val="00C74F1E"/>
    <w:rsid w:val="00C74F63"/>
    <w:rsid w:val="00C74F71"/>
    <w:rsid w:val="00C74F7E"/>
    <w:rsid w:val="00C74F90"/>
    <w:rsid w:val="00C74F97"/>
    <w:rsid w:val="00C74F9B"/>
    <w:rsid w:val="00C74FAD"/>
    <w:rsid w:val="00C7500F"/>
    <w:rsid w:val="00C7503D"/>
    <w:rsid w:val="00C7507C"/>
    <w:rsid w:val="00C750AE"/>
    <w:rsid w:val="00C750D4"/>
    <w:rsid w:val="00C7510F"/>
    <w:rsid w:val="00C75199"/>
    <w:rsid w:val="00C751A5"/>
    <w:rsid w:val="00C75206"/>
    <w:rsid w:val="00C75212"/>
    <w:rsid w:val="00C7522F"/>
    <w:rsid w:val="00C752C8"/>
    <w:rsid w:val="00C752D8"/>
    <w:rsid w:val="00C7535D"/>
    <w:rsid w:val="00C7539B"/>
    <w:rsid w:val="00C753A5"/>
    <w:rsid w:val="00C75428"/>
    <w:rsid w:val="00C75473"/>
    <w:rsid w:val="00C7548A"/>
    <w:rsid w:val="00C754BB"/>
    <w:rsid w:val="00C754C5"/>
    <w:rsid w:val="00C754D2"/>
    <w:rsid w:val="00C754E5"/>
    <w:rsid w:val="00C75519"/>
    <w:rsid w:val="00C755C8"/>
    <w:rsid w:val="00C755F6"/>
    <w:rsid w:val="00C75618"/>
    <w:rsid w:val="00C75672"/>
    <w:rsid w:val="00C75698"/>
    <w:rsid w:val="00C7569C"/>
    <w:rsid w:val="00C75725"/>
    <w:rsid w:val="00C75740"/>
    <w:rsid w:val="00C7579C"/>
    <w:rsid w:val="00C757AB"/>
    <w:rsid w:val="00C7586F"/>
    <w:rsid w:val="00C758C6"/>
    <w:rsid w:val="00C758F7"/>
    <w:rsid w:val="00C75948"/>
    <w:rsid w:val="00C759AF"/>
    <w:rsid w:val="00C759B2"/>
    <w:rsid w:val="00C759F0"/>
    <w:rsid w:val="00C759F8"/>
    <w:rsid w:val="00C75A13"/>
    <w:rsid w:val="00C75A3A"/>
    <w:rsid w:val="00C75B7B"/>
    <w:rsid w:val="00C75BAC"/>
    <w:rsid w:val="00C75C01"/>
    <w:rsid w:val="00C75C40"/>
    <w:rsid w:val="00C75C57"/>
    <w:rsid w:val="00C75C67"/>
    <w:rsid w:val="00C75C9C"/>
    <w:rsid w:val="00C75CA2"/>
    <w:rsid w:val="00C75CA7"/>
    <w:rsid w:val="00C75CE5"/>
    <w:rsid w:val="00C75D13"/>
    <w:rsid w:val="00C75D2D"/>
    <w:rsid w:val="00C75D71"/>
    <w:rsid w:val="00C75D76"/>
    <w:rsid w:val="00C75D92"/>
    <w:rsid w:val="00C75DC8"/>
    <w:rsid w:val="00C75DE6"/>
    <w:rsid w:val="00C75E83"/>
    <w:rsid w:val="00C75EEE"/>
    <w:rsid w:val="00C75F22"/>
    <w:rsid w:val="00C75F3E"/>
    <w:rsid w:val="00C75F8E"/>
    <w:rsid w:val="00C75FB0"/>
    <w:rsid w:val="00C75FE8"/>
    <w:rsid w:val="00C76010"/>
    <w:rsid w:val="00C76066"/>
    <w:rsid w:val="00C7608C"/>
    <w:rsid w:val="00C760C6"/>
    <w:rsid w:val="00C76154"/>
    <w:rsid w:val="00C7617C"/>
    <w:rsid w:val="00C761AF"/>
    <w:rsid w:val="00C761BA"/>
    <w:rsid w:val="00C761D8"/>
    <w:rsid w:val="00C762CC"/>
    <w:rsid w:val="00C76306"/>
    <w:rsid w:val="00C76311"/>
    <w:rsid w:val="00C7639E"/>
    <w:rsid w:val="00C763CF"/>
    <w:rsid w:val="00C764C9"/>
    <w:rsid w:val="00C764EA"/>
    <w:rsid w:val="00C764FC"/>
    <w:rsid w:val="00C76591"/>
    <w:rsid w:val="00C76609"/>
    <w:rsid w:val="00C7666D"/>
    <w:rsid w:val="00C7667C"/>
    <w:rsid w:val="00C7668B"/>
    <w:rsid w:val="00C7668D"/>
    <w:rsid w:val="00C76690"/>
    <w:rsid w:val="00C76692"/>
    <w:rsid w:val="00C7670A"/>
    <w:rsid w:val="00C7673A"/>
    <w:rsid w:val="00C76787"/>
    <w:rsid w:val="00C767DE"/>
    <w:rsid w:val="00C76801"/>
    <w:rsid w:val="00C76869"/>
    <w:rsid w:val="00C768C4"/>
    <w:rsid w:val="00C7692D"/>
    <w:rsid w:val="00C7699E"/>
    <w:rsid w:val="00C769E3"/>
    <w:rsid w:val="00C769F9"/>
    <w:rsid w:val="00C76A37"/>
    <w:rsid w:val="00C76A4B"/>
    <w:rsid w:val="00C76A4C"/>
    <w:rsid w:val="00C76ABE"/>
    <w:rsid w:val="00C76AC8"/>
    <w:rsid w:val="00C76AC9"/>
    <w:rsid w:val="00C76AE6"/>
    <w:rsid w:val="00C76B13"/>
    <w:rsid w:val="00C76B2A"/>
    <w:rsid w:val="00C76B2C"/>
    <w:rsid w:val="00C76B39"/>
    <w:rsid w:val="00C76B65"/>
    <w:rsid w:val="00C76BA8"/>
    <w:rsid w:val="00C76BF1"/>
    <w:rsid w:val="00C76C0E"/>
    <w:rsid w:val="00C76C24"/>
    <w:rsid w:val="00C76C57"/>
    <w:rsid w:val="00C76C72"/>
    <w:rsid w:val="00C76CC2"/>
    <w:rsid w:val="00C76D20"/>
    <w:rsid w:val="00C76D22"/>
    <w:rsid w:val="00C76D43"/>
    <w:rsid w:val="00C76DD4"/>
    <w:rsid w:val="00C76DDE"/>
    <w:rsid w:val="00C76E6A"/>
    <w:rsid w:val="00C76E91"/>
    <w:rsid w:val="00C76EE7"/>
    <w:rsid w:val="00C76F30"/>
    <w:rsid w:val="00C76F55"/>
    <w:rsid w:val="00C77003"/>
    <w:rsid w:val="00C77053"/>
    <w:rsid w:val="00C770B1"/>
    <w:rsid w:val="00C770E7"/>
    <w:rsid w:val="00C7710E"/>
    <w:rsid w:val="00C77135"/>
    <w:rsid w:val="00C77148"/>
    <w:rsid w:val="00C771A6"/>
    <w:rsid w:val="00C7722E"/>
    <w:rsid w:val="00C7726C"/>
    <w:rsid w:val="00C772F7"/>
    <w:rsid w:val="00C7737A"/>
    <w:rsid w:val="00C773CD"/>
    <w:rsid w:val="00C773D5"/>
    <w:rsid w:val="00C7741B"/>
    <w:rsid w:val="00C77457"/>
    <w:rsid w:val="00C774FD"/>
    <w:rsid w:val="00C77552"/>
    <w:rsid w:val="00C7757B"/>
    <w:rsid w:val="00C775A3"/>
    <w:rsid w:val="00C775C3"/>
    <w:rsid w:val="00C776FA"/>
    <w:rsid w:val="00C77707"/>
    <w:rsid w:val="00C77784"/>
    <w:rsid w:val="00C777B7"/>
    <w:rsid w:val="00C777FE"/>
    <w:rsid w:val="00C778B5"/>
    <w:rsid w:val="00C77974"/>
    <w:rsid w:val="00C77984"/>
    <w:rsid w:val="00C77ACB"/>
    <w:rsid w:val="00C77B39"/>
    <w:rsid w:val="00C77B48"/>
    <w:rsid w:val="00C77B4F"/>
    <w:rsid w:val="00C77B8E"/>
    <w:rsid w:val="00C77C29"/>
    <w:rsid w:val="00C77C37"/>
    <w:rsid w:val="00C77C3F"/>
    <w:rsid w:val="00C77CA0"/>
    <w:rsid w:val="00C77CCB"/>
    <w:rsid w:val="00C77CF0"/>
    <w:rsid w:val="00C77CFF"/>
    <w:rsid w:val="00C77DA8"/>
    <w:rsid w:val="00C77E04"/>
    <w:rsid w:val="00C77E21"/>
    <w:rsid w:val="00C77E37"/>
    <w:rsid w:val="00C77E44"/>
    <w:rsid w:val="00C77EB3"/>
    <w:rsid w:val="00C77EE2"/>
    <w:rsid w:val="00C77F2E"/>
    <w:rsid w:val="00C77F80"/>
    <w:rsid w:val="00C7CA1A"/>
    <w:rsid w:val="00C7F13E"/>
    <w:rsid w:val="00C80030"/>
    <w:rsid w:val="00C80050"/>
    <w:rsid w:val="00C8006E"/>
    <w:rsid w:val="00C80086"/>
    <w:rsid w:val="00C80088"/>
    <w:rsid w:val="00C800A9"/>
    <w:rsid w:val="00C800F1"/>
    <w:rsid w:val="00C800F7"/>
    <w:rsid w:val="00C80135"/>
    <w:rsid w:val="00C801B1"/>
    <w:rsid w:val="00C801EF"/>
    <w:rsid w:val="00C8021A"/>
    <w:rsid w:val="00C8025E"/>
    <w:rsid w:val="00C80286"/>
    <w:rsid w:val="00C802AA"/>
    <w:rsid w:val="00C802C0"/>
    <w:rsid w:val="00C802F2"/>
    <w:rsid w:val="00C80377"/>
    <w:rsid w:val="00C80398"/>
    <w:rsid w:val="00C803C3"/>
    <w:rsid w:val="00C803CA"/>
    <w:rsid w:val="00C80417"/>
    <w:rsid w:val="00C8041D"/>
    <w:rsid w:val="00C80487"/>
    <w:rsid w:val="00C804D1"/>
    <w:rsid w:val="00C804F6"/>
    <w:rsid w:val="00C804F8"/>
    <w:rsid w:val="00C8054D"/>
    <w:rsid w:val="00C80560"/>
    <w:rsid w:val="00C80581"/>
    <w:rsid w:val="00C80584"/>
    <w:rsid w:val="00C80586"/>
    <w:rsid w:val="00C80590"/>
    <w:rsid w:val="00C805B6"/>
    <w:rsid w:val="00C805D9"/>
    <w:rsid w:val="00C8062F"/>
    <w:rsid w:val="00C80634"/>
    <w:rsid w:val="00C80664"/>
    <w:rsid w:val="00C8066B"/>
    <w:rsid w:val="00C806A4"/>
    <w:rsid w:val="00C806AF"/>
    <w:rsid w:val="00C806F4"/>
    <w:rsid w:val="00C80703"/>
    <w:rsid w:val="00C8076D"/>
    <w:rsid w:val="00C80775"/>
    <w:rsid w:val="00C8079E"/>
    <w:rsid w:val="00C807CE"/>
    <w:rsid w:val="00C80802"/>
    <w:rsid w:val="00C80821"/>
    <w:rsid w:val="00C80827"/>
    <w:rsid w:val="00C80849"/>
    <w:rsid w:val="00C80882"/>
    <w:rsid w:val="00C8089E"/>
    <w:rsid w:val="00C80913"/>
    <w:rsid w:val="00C80931"/>
    <w:rsid w:val="00C8097B"/>
    <w:rsid w:val="00C809D2"/>
    <w:rsid w:val="00C80ADC"/>
    <w:rsid w:val="00C80B1A"/>
    <w:rsid w:val="00C80B1F"/>
    <w:rsid w:val="00C80B32"/>
    <w:rsid w:val="00C80B3F"/>
    <w:rsid w:val="00C80BB0"/>
    <w:rsid w:val="00C80BC6"/>
    <w:rsid w:val="00C80BF1"/>
    <w:rsid w:val="00C80C18"/>
    <w:rsid w:val="00C80C45"/>
    <w:rsid w:val="00C80C53"/>
    <w:rsid w:val="00C80D2A"/>
    <w:rsid w:val="00C80D3E"/>
    <w:rsid w:val="00C80D76"/>
    <w:rsid w:val="00C80DB5"/>
    <w:rsid w:val="00C80DCE"/>
    <w:rsid w:val="00C80E7B"/>
    <w:rsid w:val="00C80E83"/>
    <w:rsid w:val="00C80E8B"/>
    <w:rsid w:val="00C80EC7"/>
    <w:rsid w:val="00C80ED1"/>
    <w:rsid w:val="00C80EE1"/>
    <w:rsid w:val="00C80EED"/>
    <w:rsid w:val="00C80F56"/>
    <w:rsid w:val="00C80F62"/>
    <w:rsid w:val="00C80F68"/>
    <w:rsid w:val="00C80F89"/>
    <w:rsid w:val="00C80F9F"/>
    <w:rsid w:val="00C81040"/>
    <w:rsid w:val="00C810BC"/>
    <w:rsid w:val="00C81159"/>
    <w:rsid w:val="00C81196"/>
    <w:rsid w:val="00C811A3"/>
    <w:rsid w:val="00C811AD"/>
    <w:rsid w:val="00C811DB"/>
    <w:rsid w:val="00C81211"/>
    <w:rsid w:val="00C81226"/>
    <w:rsid w:val="00C8122C"/>
    <w:rsid w:val="00C81246"/>
    <w:rsid w:val="00C81256"/>
    <w:rsid w:val="00C81286"/>
    <w:rsid w:val="00C812A5"/>
    <w:rsid w:val="00C812BD"/>
    <w:rsid w:val="00C8130D"/>
    <w:rsid w:val="00C81314"/>
    <w:rsid w:val="00C81322"/>
    <w:rsid w:val="00C81330"/>
    <w:rsid w:val="00C8133B"/>
    <w:rsid w:val="00C81343"/>
    <w:rsid w:val="00C8138D"/>
    <w:rsid w:val="00C813B6"/>
    <w:rsid w:val="00C81423"/>
    <w:rsid w:val="00C8142A"/>
    <w:rsid w:val="00C814D1"/>
    <w:rsid w:val="00C81549"/>
    <w:rsid w:val="00C8154F"/>
    <w:rsid w:val="00C815F6"/>
    <w:rsid w:val="00C815FB"/>
    <w:rsid w:val="00C81600"/>
    <w:rsid w:val="00C816F3"/>
    <w:rsid w:val="00C81700"/>
    <w:rsid w:val="00C81746"/>
    <w:rsid w:val="00C81775"/>
    <w:rsid w:val="00C817CF"/>
    <w:rsid w:val="00C817FA"/>
    <w:rsid w:val="00C81823"/>
    <w:rsid w:val="00C8185F"/>
    <w:rsid w:val="00C81948"/>
    <w:rsid w:val="00C81983"/>
    <w:rsid w:val="00C819CE"/>
    <w:rsid w:val="00C81A01"/>
    <w:rsid w:val="00C81A4D"/>
    <w:rsid w:val="00C81A70"/>
    <w:rsid w:val="00C81A8A"/>
    <w:rsid w:val="00C81B9D"/>
    <w:rsid w:val="00C81BD0"/>
    <w:rsid w:val="00C81C85"/>
    <w:rsid w:val="00C81C91"/>
    <w:rsid w:val="00C81CC5"/>
    <w:rsid w:val="00C81D0F"/>
    <w:rsid w:val="00C81D1C"/>
    <w:rsid w:val="00C81D5A"/>
    <w:rsid w:val="00C81E0F"/>
    <w:rsid w:val="00C81E50"/>
    <w:rsid w:val="00C81E70"/>
    <w:rsid w:val="00C81EAE"/>
    <w:rsid w:val="00C81EBD"/>
    <w:rsid w:val="00C81EC5"/>
    <w:rsid w:val="00C81EDB"/>
    <w:rsid w:val="00C81F82"/>
    <w:rsid w:val="00C81F96"/>
    <w:rsid w:val="00C8207C"/>
    <w:rsid w:val="00C820B0"/>
    <w:rsid w:val="00C820B8"/>
    <w:rsid w:val="00C8211F"/>
    <w:rsid w:val="00C821F7"/>
    <w:rsid w:val="00C8220F"/>
    <w:rsid w:val="00C82229"/>
    <w:rsid w:val="00C82256"/>
    <w:rsid w:val="00C822B3"/>
    <w:rsid w:val="00C822B8"/>
    <w:rsid w:val="00C822C4"/>
    <w:rsid w:val="00C822E2"/>
    <w:rsid w:val="00C822E9"/>
    <w:rsid w:val="00C82309"/>
    <w:rsid w:val="00C82322"/>
    <w:rsid w:val="00C823A2"/>
    <w:rsid w:val="00C823BF"/>
    <w:rsid w:val="00C82416"/>
    <w:rsid w:val="00C8243C"/>
    <w:rsid w:val="00C82478"/>
    <w:rsid w:val="00C8250E"/>
    <w:rsid w:val="00C8254A"/>
    <w:rsid w:val="00C82597"/>
    <w:rsid w:val="00C8259C"/>
    <w:rsid w:val="00C825CE"/>
    <w:rsid w:val="00C825FD"/>
    <w:rsid w:val="00C82626"/>
    <w:rsid w:val="00C8262F"/>
    <w:rsid w:val="00C8264F"/>
    <w:rsid w:val="00C826A5"/>
    <w:rsid w:val="00C82753"/>
    <w:rsid w:val="00C82864"/>
    <w:rsid w:val="00C828F6"/>
    <w:rsid w:val="00C8290A"/>
    <w:rsid w:val="00C82952"/>
    <w:rsid w:val="00C8297B"/>
    <w:rsid w:val="00C829A4"/>
    <w:rsid w:val="00C829AC"/>
    <w:rsid w:val="00C829D9"/>
    <w:rsid w:val="00C82A34"/>
    <w:rsid w:val="00C82A54"/>
    <w:rsid w:val="00C82AE6"/>
    <w:rsid w:val="00C82AFB"/>
    <w:rsid w:val="00C82C3B"/>
    <w:rsid w:val="00C82C6E"/>
    <w:rsid w:val="00C82CF3"/>
    <w:rsid w:val="00C82DCA"/>
    <w:rsid w:val="00C82DCF"/>
    <w:rsid w:val="00C82DE2"/>
    <w:rsid w:val="00C82E33"/>
    <w:rsid w:val="00C82E50"/>
    <w:rsid w:val="00C82F5B"/>
    <w:rsid w:val="00C82F98"/>
    <w:rsid w:val="00C82FA1"/>
    <w:rsid w:val="00C82FA8"/>
    <w:rsid w:val="00C82FA9"/>
    <w:rsid w:val="00C82FB2"/>
    <w:rsid w:val="00C83072"/>
    <w:rsid w:val="00C830AB"/>
    <w:rsid w:val="00C830C7"/>
    <w:rsid w:val="00C830F4"/>
    <w:rsid w:val="00C83100"/>
    <w:rsid w:val="00C83112"/>
    <w:rsid w:val="00C83117"/>
    <w:rsid w:val="00C8311A"/>
    <w:rsid w:val="00C83120"/>
    <w:rsid w:val="00C83121"/>
    <w:rsid w:val="00C8312F"/>
    <w:rsid w:val="00C831BE"/>
    <w:rsid w:val="00C831CD"/>
    <w:rsid w:val="00C83236"/>
    <w:rsid w:val="00C8329F"/>
    <w:rsid w:val="00C83319"/>
    <w:rsid w:val="00C83358"/>
    <w:rsid w:val="00C83392"/>
    <w:rsid w:val="00C833A7"/>
    <w:rsid w:val="00C833EB"/>
    <w:rsid w:val="00C833F4"/>
    <w:rsid w:val="00C83414"/>
    <w:rsid w:val="00C83486"/>
    <w:rsid w:val="00C834FB"/>
    <w:rsid w:val="00C835B7"/>
    <w:rsid w:val="00C835DB"/>
    <w:rsid w:val="00C83655"/>
    <w:rsid w:val="00C83701"/>
    <w:rsid w:val="00C83748"/>
    <w:rsid w:val="00C83756"/>
    <w:rsid w:val="00C837BE"/>
    <w:rsid w:val="00C837C6"/>
    <w:rsid w:val="00C837CD"/>
    <w:rsid w:val="00C837E6"/>
    <w:rsid w:val="00C837F7"/>
    <w:rsid w:val="00C8387C"/>
    <w:rsid w:val="00C838DF"/>
    <w:rsid w:val="00C83955"/>
    <w:rsid w:val="00C8395F"/>
    <w:rsid w:val="00C839CD"/>
    <w:rsid w:val="00C839E7"/>
    <w:rsid w:val="00C83A41"/>
    <w:rsid w:val="00C83A9F"/>
    <w:rsid w:val="00C83AFA"/>
    <w:rsid w:val="00C83B1E"/>
    <w:rsid w:val="00C83B76"/>
    <w:rsid w:val="00C83C21"/>
    <w:rsid w:val="00C83C41"/>
    <w:rsid w:val="00C83C5E"/>
    <w:rsid w:val="00C83C71"/>
    <w:rsid w:val="00C83C7F"/>
    <w:rsid w:val="00C83C85"/>
    <w:rsid w:val="00C83CEC"/>
    <w:rsid w:val="00C83CFF"/>
    <w:rsid w:val="00C83D0B"/>
    <w:rsid w:val="00C83D24"/>
    <w:rsid w:val="00C83D29"/>
    <w:rsid w:val="00C83D30"/>
    <w:rsid w:val="00C83D80"/>
    <w:rsid w:val="00C83DA4"/>
    <w:rsid w:val="00C83E1F"/>
    <w:rsid w:val="00C83E24"/>
    <w:rsid w:val="00C83E51"/>
    <w:rsid w:val="00C83E59"/>
    <w:rsid w:val="00C83E6B"/>
    <w:rsid w:val="00C83EE8"/>
    <w:rsid w:val="00C83F0C"/>
    <w:rsid w:val="00C83FB0"/>
    <w:rsid w:val="00C84011"/>
    <w:rsid w:val="00C84043"/>
    <w:rsid w:val="00C840EF"/>
    <w:rsid w:val="00C8411C"/>
    <w:rsid w:val="00C841EC"/>
    <w:rsid w:val="00C84222"/>
    <w:rsid w:val="00C84299"/>
    <w:rsid w:val="00C8429B"/>
    <w:rsid w:val="00C842F4"/>
    <w:rsid w:val="00C842FD"/>
    <w:rsid w:val="00C8435C"/>
    <w:rsid w:val="00C84360"/>
    <w:rsid w:val="00C843C2"/>
    <w:rsid w:val="00C843D2"/>
    <w:rsid w:val="00C843E4"/>
    <w:rsid w:val="00C843E8"/>
    <w:rsid w:val="00C84409"/>
    <w:rsid w:val="00C84453"/>
    <w:rsid w:val="00C84458"/>
    <w:rsid w:val="00C84491"/>
    <w:rsid w:val="00C844B5"/>
    <w:rsid w:val="00C844F4"/>
    <w:rsid w:val="00C84597"/>
    <w:rsid w:val="00C845B2"/>
    <w:rsid w:val="00C84649"/>
    <w:rsid w:val="00C84661"/>
    <w:rsid w:val="00C846D1"/>
    <w:rsid w:val="00C84719"/>
    <w:rsid w:val="00C8473A"/>
    <w:rsid w:val="00C8477A"/>
    <w:rsid w:val="00C847E0"/>
    <w:rsid w:val="00C84886"/>
    <w:rsid w:val="00C84900"/>
    <w:rsid w:val="00C84926"/>
    <w:rsid w:val="00C8492B"/>
    <w:rsid w:val="00C84933"/>
    <w:rsid w:val="00C8495F"/>
    <w:rsid w:val="00C849FC"/>
    <w:rsid w:val="00C84AC5"/>
    <w:rsid w:val="00C84AD5"/>
    <w:rsid w:val="00C84B79"/>
    <w:rsid w:val="00C84BA9"/>
    <w:rsid w:val="00C84BB5"/>
    <w:rsid w:val="00C84C00"/>
    <w:rsid w:val="00C84C2F"/>
    <w:rsid w:val="00C84CBA"/>
    <w:rsid w:val="00C84CCA"/>
    <w:rsid w:val="00C84D29"/>
    <w:rsid w:val="00C84D2E"/>
    <w:rsid w:val="00C84D38"/>
    <w:rsid w:val="00C84D6E"/>
    <w:rsid w:val="00C84DB0"/>
    <w:rsid w:val="00C84E01"/>
    <w:rsid w:val="00C84E3A"/>
    <w:rsid w:val="00C84E3B"/>
    <w:rsid w:val="00C84E4A"/>
    <w:rsid w:val="00C84E54"/>
    <w:rsid w:val="00C84E94"/>
    <w:rsid w:val="00C84F11"/>
    <w:rsid w:val="00C84F6A"/>
    <w:rsid w:val="00C84F9E"/>
    <w:rsid w:val="00C84FB5"/>
    <w:rsid w:val="00C84FC8"/>
    <w:rsid w:val="00C84FEB"/>
    <w:rsid w:val="00C84FF8"/>
    <w:rsid w:val="00C85001"/>
    <w:rsid w:val="00C85011"/>
    <w:rsid w:val="00C85044"/>
    <w:rsid w:val="00C850AA"/>
    <w:rsid w:val="00C850FB"/>
    <w:rsid w:val="00C85145"/>
    <w:rsid w:val="00C8514C"/>
    <w:rsid w:val="00C8515D"/>
    <w:rsid w:val="00C8517F"/>
    <w:rsid w:val="00C85194"/>
    <w:rsid w:val="00C851CE"/>
    <w:rsid w:val="00C851D1"/>
    <w:rsid w:val="00C8523E"/>
    <w:rsid w:val="00C8525B"/>
    <w:rsid w:val="00C85267"/>
    <w:rsid w:val="00C85278"/>
    <w:rsid w:val="00C8529E"/>
    <w:rsid w:val="00C852DC"/>
    <w:rsid w:val="00C8531C"/>
    <w:rsid w:val="00C853A2"/>
    <w:rsid w:val="00C85476"/>
    <w:rsid w:val="00C8547A"/>
    <w:rsid w:val="00C854A1"/>
    <w:rsid w:val="00C854B1"/>
    <w:rsid w:val="00C854C4"/>
    <w:rsid w:val="00C854FF"/>
    <w:rsid w:val="00C85517"/>
    <w:rsid w:val="00C8554B"/>
    <w:rsid w:val="00C855B6"/>
    <w:rsid w:val="00C855CE"/>
    <w:rsid w:val="00C855FD"/>
    <w:rsid w:val="00C85613"/>
    <w:rsid w:val="00C85632"/>
    <w:rsid w:val="00C8575B"/>
    <w:rsid w:val="00C858AC"/>
    <w:rsid w:val="00C858CE"/>
    <w:rsid w:val="00C858FC"/>
    <w:rsid w:val="00C85917"/>
    <w:rsid w:val="00C85937"/>
    <w:rsid w:val="00C8596E"/>
    <w:rsid w:val="00C859A7"/>
    <w:rsid w:val="00C859E2"/>
    <w:rsid w:val="00C85A66"/>
    <w:rsid w:val="00C85A67"/>
    <w:rsid w:val="00C85A7C"/>
    <w:rsid w:val="00C85B31"/>
    <w:rsid w:val="00C85B5E"/>
    <w:rsid w:val="00C85B8F"/>
    <w:rsid w:val="00C85BA4"/>
    <w:rsid w:val="00C85CA5"/>
    <w:rsid w:val="00C85CC2"/>
    <w:rsid w:val="00C85D57"/>
    <w:rsid w:val="00C85DA2"/>
    <w:rsid w:val="00C85DAD"/>
    <w:rsid w:val="00C85E1A"/>
    <w:rsid w:val="00C85E3A"/>
    <w:rsid w:val="00C85E53"/>
    <w:rsid w:val="00C85EC9"/>
    <w:rsid w:val="00C85EE2"/>
    <w:rsid w:val="00C85EE4"/>
    <w:rsid w:val="00C85F2E"/>
    <w:rsid w:val="00C85F30"/>
    <w:rsid w:val="00C85F50"/>
    <w:rsid w:val="00C85F57"/>
    <w:rsid w:val="00C85F60"/>
    <w:rsid w:val="00C85F74"/>
    <w:rsid w:val="00C85FB0"/>
    <w:rsid w:val="00C85FD2"/>
    <w:rsid w:val="00C86012"/>
    <w:rsid w:val="00C8607F"/>
    <w:rsid w:val="00C860FF"/>
    <w:rsid w:val="00C86129"/>
    <w:rsid w:val="00C86136"/>
    <w:rsid w:val="00C861E6"/>
    <w:rsid w:val="00C86247"/>
    <w:rsid w:val="00C8626D"/>
    <w:rsid w:val="00C86273"/>
    <w:rsid w:val="00C86368"/>
    <w:rsid w:val="00C863DF"/>
    <w:rsid w:val="00C8646E"/>
    <w:rsid w:val="00C864B2"/>
    <w:rsid w:val="00C864BD"/>
    <w:rsid w:val="00C864DE"/>
    <w:rsid w:val="00C8653A"/>
    <w:rsid w:val="00C86541"/>
    <w:rsid w:val="00C865CB"/>
    <w:rsid w:val="00C865FA"/>
    <w:rsid w:val="00C8660F"/>
    <w:rsid w:val="00C8665F"/>
    <w:rsid w:val="00C86698"/>
    <w:rsid w:val="00C866AF"/>
    <w:rsid w:val="00C866D7"/>
    <w:rsid w:val="00C86760"/>
    <w:rsid w:val="00C867B8"/>
    <w:rsid w:val="00C867C6"/>
    <w:rsid w:val="00C868E7"/>
    <w:rsid w:val="00C8692D"/>
    <w:rsid w:val="00C8696B"/>
    <w:rsid w:val="00C86A13"/>
    <w:rsid w:val="00C86A8A"/>
    <w:rsid w:val="00C86AA7"/>
    <w:rsid w:val="00C86AC4"/>
    <w:rsid w:val="00C86B17"/>
    <w:rsid w:val="00C86B18"/>
    <w:rsid w:val="00C86B33"/>
    <w:rsid w:val="00C86BDE"/>
    <w:rsid w:val="00C86CF3"/>
    <w:rsid w:val="00C86D18"/>
    <w:rsid w:val="00C86D70"/>
    <w:rsid w:val="00C86E20"/>
    <w:rsid w:val="00C86E84"/>
    <w:rsid w:val="00C86EE3"/>
    <w:rsid w:val="00C86F11"/>
    <w:rsid w:val="00C86F4C"/>
    <w:rsid w:val="00C86F5A"/>
    <w:rsid w:val="00C87020"/>
    <w:rsid w:val="00C87087"/>
    <w:rsid w:val="00C87088"/>
    <w:rsid w:val="00C8708F"/>
    <w:rsid w:val="00C870D5"/>
    <w:rsid w:val="00C87160"/>
    <w:rsid w:val="00C871B1"/>
    <w:rsid w:val="00C871CA"/>
    <w:rsid w:val="00C87209"/>
    <w:rsid w:val="00C872AB"/>
    <w:rsid w:val="00C872C3"/>
    <w:rsid w:val="00C87307"/>
    <w:rsid w:val="00C87329"/>
    <w:rsid w:val="00C87330"/>
    <w:rsid w:val="00C873B2"/>
    <w:rsid w:val="00C873B6"/>
    <w:rsid w:val="00C873D4"/>
    <w:rsid w:val="00C87403"/>
    <w:rsid w:val="00C87414"/>
    <w:rsid w:val="00C87418"/>
    <w:rsid w:val="00C87444"/>
    <w:rsid w:val="00C87453"/>
    <w:rsid w:val="00C87460"/>
    <w:rsid w:val="00C8746D"/>
    <w:rsid w:val="00C87470"/>
    <w:rsid w:val="00C8751D"/>
    <w:rsid w:val="00C87527"/>
    <w:rsid w:val="00C87539"/>
    <w:rsid w:val="00C87553"/>
    <w:rsid w:val="00C87589"/>
    <w:rsid w:val="00C875C4"/>
    <w:rsid w:val="00C8766C"/>
    <w:rsid w:val="00C87676"/>
    <w:rsid w:val="00C876EE"/>
    <w:rsid w:val="00C8771F"/>
    <w:rsid w:val="00C87786"/>
    <w:rsid w:val="00C87787"/>
    <w:rsid w:val="00C8778E"/>
    <w:rsid w:val="00C8781B"/>
    <w:rsid w:val="00C8781F"/>
    <w:rsid w:val="00C87884"/>
    <w:rsid w:val="00C878A8"/>
    <w:rsid w:val="00C878A9"/>
    <w:rsid w:val="00C878BA"/>
    <w:rsid w:val="00C87919"/>
    <w:rsid w:val="00C8797E"/>
    <w:rsid w:val="00C87988"/>
    <w:rsid w:val="00C8798C"/>
    <w:rsid w:val="00C879A8"/>
    <w:rsid w:val="00C879E3"/>
    <w:rsid w:val="00C879F5"/>
    <w:rsid w:val="00C87A21"/>
    <w:rsid w:val="00C87A60"/>
    <w:rsid w:val="00C87B06"/>
    <w:rsid w:val="00C87B18"/>
    <w:rsid w:val="00C87BA5"/>
    <w:rsid w:val="00C87BA7"/>
    <w:rsid w:val="00C87C31"/>
    <w:rsid w:val="00C87C62"/>
    <w:rsid w:val="00C87C6A"/>
    <w:rsid w:val="00C87CE7"/>
    <w:rsid w:val="00C87D67"/>
    <w:rsid w:val="00C87D6D"/>
    <w:rsid w:val="00C87D8E"/>
    <w:rsid w:val="00C87D93"/>
    <w:rsid w:val="00C87DA9"/>
    <w:rsid w:val="00C87DC9"/>
    <w:rsid w:val="00C87DDE"/>
    <w:rsid w:val="00C87E35"/>
    <w:rsid w:val="00C87E65"/>
    <w:rsid w:val="00C87E96"/>
    <w:rsid w:val="00C87EB5"/>
    <w:rsid w:val="00C87EC2"/>
    <w:rsid w:val="00C87F4B"/>
    <w:rsid w:val="00C87F59"/>
    <w:rsid w:val="00C90005"/>
    <w:rsid w:val="00C900B0"/>
    <w:rsid w:val="00C900C9"/>
    <w:rsid w:val="00C900D6"/>
    <w:rsid w:val="00C9010B"/>
    <w:rsid w:val="00C9011A"/>
    <w:rsid w:val="00C90133"/>
    <w:rsid w:val="00C90150"/>
    <w:rsid w:val="00C90157"/>
    <w:rsid w:val="00C9015C"/>
    <w:rsid w:val="00C90162"/>
    <w:rsid w:val="00C90180"/>
    <w:rsid w:val="00C901CB"/>
    <w:rsid w:val="00C901F3"/>
    <w:rsid w:val="00C901F8"/>
    <w:rsid w:val="00C90250"/>
    <w:rsid w:val="00C902EA"/>
    <w:rsid w:val="00C90311"/>
    <w:rsid w:val="00C9034A"/>
    <w:rsid w:val="00C90385"/>
    <w:rsid w:val="00C903A1"/>
    <w:rsid w:val="00C903B0"/>
    <w:rsid w:val="00C90431"/>
    <w:rsid w:val="00C90497"/>
    <w:rsid w:val="00C904D0"/>
    <w:rsid w:val="00C904E2"/>
    <w:rsid w:val="00C904FA"/>
    <w:rsid w:val="00C9053D"/>
    <w:rsid w:val="00C90647"/>
    <w:rsid w:val="00C9065A"/>
    <w:rsid w:val="00C9067A"/>
    <w:rsid w:val="00C906C6"/>
    <w:rsid w:val="00C90765"/>
    <w:rsid w:val="00C90838"/>
    <w:rsid w:val="00C908AD"/>
    <w:rsid w:val="00C908B1"/>
    <w:rsid w:val="00C908D0"/>
    <w:rsid w:val="00C908D2"/>
    <w:rsid w:val="00C90944"/>
    <w:rsid w:val="00C909A6"/>
    <w:rsid w:val="00C90A15"/>
    <w:rsid w:val="00C90A33"/>
    <w:rsid w:val="00C90A9E"/>
    <w:rsid w:val="00C90AE7"/>
    <w:rsid w:val="00C90B28"/>
    <w:rsid w:val="00C90B78"/>
    <w:rsid w:val="00C90BBC"/>
    <w:rsid w:val="00C90C07"/>
    <w:rsid w:val="00C90C0F"/>
    <w:rsid w:val="00C90C46"/>
    <w:rsid w:val="00C90C56"/>
    <w:rsid w:val="00C90C5A"/>
    <w:rsid w:val="00C90C6C"/>
    <w:rsid w:val="00C90D64"/>
    <w:rsid w:val="00C90D96"/>
    <w:rsid w:val="00C90DF0"/>
    <w:rsid w:val="00C90E17"/>
    <w:rsid w:val="00C90E7D"/>
    <w:rsid w:val="00C90E81"/>
    <w:rsid w:val="00C90F03"/>
    <w:rsid w:val="00C90F40"/>
    <w:rsid w:val="00C90F49"/>
    <w:rsid w:val="00C9100B"/>
    <w:rsid w:val="00C9102D"/>
    <w:rsid w:val="00C910C4"/>
    <w:rsid w:val="00C910D1"/>
    <w:rsid w:val="00C91133"/>
    <w:rsid w:val="00C9113D"/>
    <w:rsid w:val="00C9116F"/>
    <w:rsid w:val="00C911A9"/>
    <w:rsid w:val="00C911AB"/>
    <w:rsid w:val="00C91211"/>
    <w:rsid w:val="00C9126F"/>
    <w:rsid w:val="00C91287"/>
    <w:rsid w:val="00C91292"/>
    <w:rsid w:val="00C912AF"/>
    <w:rsid w:val="00C912FC"/>
    <w:rsid w:val="00C91361"/>
    <w:rsid w:val="00C91368"/>
    <w:rsid w:val="00C913C4"/>
    <w:rsid w:val="00C913C7"/>
    <w:rsid w:val="00C913E7"/>
    <w:rsid w:val="00C91504"/>
    <w:rsid w:val="00C9151F"/>
    <w:rsid w:val="00C915A8"/>
    <w:rsid w:val="00C9166D"/>
    <w:rsid w:val="00C91697"/>
    <w:rsid w:val="00C91729"/>
    <w:rsid w:val="00C917A5"/>
    <w:rsid w:val="00C917BB"/>
    <w:rsid w:val="00C91820"/>
    <w:rsid w:val="00C9184E"/>
    <w:rsid w:val="00C9189B"/>
    <w:rsid w:val="00C918D8"/>
    <w:rsid w:val="00C91986"/>
    <w:rsid w:val="00C9198F"/>
    <w:rsid w:val="00C919E8"/>
    <w:rsid w:val="00C91A15"/>
    <w:rsid w:val="00C91A1C"/>
    <w:rsid w:val="00C91B0C"/>
    <w:rsid w:val="00C91B11"/>
    <w:rsid w:val="00C91B60"/>
    <w:rsid w:val="00C91B6C"/>
    <w:rsid w:val="00C91BB0"/>
    <w:rsid w:val="00C91C05"/>
    <w:rsid w:val="00C91C43"/>
    <w:rsid w:val="00C91C46"/>
    <w:rsid w:val="00C91CBE"/>
    <w:rsid w:val="00C91D35"/>
    <w:rsid w:val="00C91DB4"/>
    <w:rsid w:val="00C91DD0"/>
    <w:rsid w:val="00C91DF5"/>
    <w:rsid w:val="00C91E0C"/>
    <w:rsid w:val="00C91E2D"/>
    <w:rsid w:val="00C91E30"/>
    <w:rsid w:val="00C91E44"/>
    <w:rsid w:val="00C91EAF"/>
    <w:rsid w:val="00C91ED7"/>
    <w:rsid w:val="00C91ED9"/>
    <w:rsid w:val="00C91EF1"/>
    <w:rsid w:val="00C91F26"/>
    <w:rsid w:val="00C92019"/>
    <w:rsid w:val="00C92027"/>
    <w:rsid w:val="00C92053"/>
    <w:rsid w:val="00C92070"/>
    <w:rsid w:val="00C920B9"/>
    <w:rsid w:val="00C9210F"/>
    <w:rsid w:val="00C9213D"/>
    <w:rsid w:val="00C92140"/>
    <w:rsid w:val="00C9218B"/>
    <w:rsid w:val="00C9221F"/>
    <w:rsid w:val="00C92225"/>
    <w:rsid w:val="00C92268"/>
    <w:rsid w:val="00C922B3"/>
    <w:rsid w:val="00C922BF"/>
    <w:rsid w:val="00C922D3"/>
    <w:rsid w:val="00C9230D"/>
    <w:rsid w:val="00C92329"/>
    <w:rsid w:val="00C92361"/>
    <w:rsid w:val="00C92384"/>
    <w:rsid w:val="00C923C8"/>
    <w:rsid w:val="00C92421"/>
    <w:rsid w:val="00C92487"/>
    <w:rsid w:val="00C924A8"/>
    <w:rsid w:val="00C924B9"/>
    <w:rsid w:val="00C924F2"/>
    <w:rsid w:val="00C926C3"/>
    <w:rsid w:val="00C926FC"/>
    <w:rsid w:val="00C92752"/>
    <w:rsid w:val="00C92786"/>
    <w:rsid w:val="00C92850"/>
    <w:rsid w:val="00C928E1"/>
    <w:rsid w:val="00C928E9"/>
    <w:rsid w:val="00C928F0"/>
    <w:rsid w:val="00C9290B"/>
    <w:rsid w:val="00C9291E"/>
    <w:rsid w:val="00C92955"/>
    <w:rsid w:val="00C929EC"/>
    <w:rsid w:val="00C929F5"/>
    <w:rsid w:val="00C92A3D"/>
    <w:rsid w:val="00C92A86"/>
    <w:rsid w:val="00C92AA8"/>
    <w:rsid w:val="00C92AF5"/>
    <w:rsid w:val="00C92B16"/>
    <w:rsid w:val="00C92B22"/>
    <w:rsid w:val="00C92B4B"/>
    <w:rsid w:val="00C92B65"/>
    <w:rsid w:val="00C92BE0"/>
    <w:rsid w:val="00C92C0E"/>
    <w:rsid w:val="00C92C38"/>
    <w:rsid w:val="00C92C8A"/>
    <w:rsid w:val="00C92CDE"/>
    <w:rsid w:val="00C92D1C"/>
    <w:rsid w:val="00C92D96"/>
    <w:rsid w:val="00C92DF3"/>
    <w:rsid w:val="00C92E24"/>
    <w:rsid w:val="00C92EA2"/>
    <w:rsid w:val="00C92EE8"/>
    <w:rsid w:val="00C92F24"/>
    <w:rsid w:val="00C9300F"/>
    <w:rsid w:val="00C93052"/>
    <w:rsid w:val="00C9308E"/>
    <w:rsid w:val="00C9319C"/>
    <w:rsid w:val="00C931A0"/>
    <w:rsid w:val="00C931D1"/>
    <w:rsid w:val="00C9327A"/>
    <w:rsid w:val="00C93289"/>
    <w:rsid w:val="00C932D9"/>
    <w:rsid w:val="00C932DB"/>
    <w:rsid w:val="00C932EA"/>
    <w:rsid w:val="00C93310"/>
    <w:rsid w:val="00C9335D"/>
    <w:rsid w:val="00C933B1"/>
    <w:rsid w:val="00C93438"/>
    <w:rsid w:val="00C934AB"/>
    <w:rsid w:val="00C934BD"/>
    <w:rsid w:val="00C934ED"/>
    <w:rsid w:val="00C9350C"/>
    <w:rsid w:val="00C935ED"/>
    <w:rsid w:val="00C93622"/>
    <w:rsid w:val="00C936DA"/>
    <w:rsid w:val="00C936DE"/>
    <w:rsid w:val="00C93746"/>
    <w:rsid w:val="00C93776"/>
    <w:rsid w:val="00C93793"/>
    <w:rsid w:val="00C93797"/>
    <w:rsid w:val="00C937C0"/>
    <w:rsid w:val="00C937D5"/>
    <w:rsid w:val="00C938B3"/>
    <w:rsid w:val="00C938FC"/>
    <w:rsid w:val="00C93900"/>
    <w:rsid w:val="00C93954"/>
    <w:rsid w:val="00C93961"/>
    <w:rsid w:val="00C9398F"/>
    <w:rsid w:val="00C939AC"/>
    <w:rsid w:val="00C939D6"/>
    <w:rsid w:val="00C939FF"/>
    <w:rsid w:val="00C93A1A"/>
    <w:rsid w:val="00C93A27"/>
    <w:rsid w:val="00C93A29"/>
    <w:rsid w:val="00C93A34"/>
    <w:rsid w:val="00C93A84"/>
    <w:rsid w:val="00C93A92"/>
    <w:rsid w:val="00C93AA4"/>
    <w:rsid w:val="00C93ADC"/>
    <w:rsid w:val="00C93AEB"/>
    <w:rsid w:val="00C93B15"/>
    <w:rsid w:val="00C93B57"/>
    <w:rsid w:val="00C93BB5"/>
    <w:rsid w:val="00C93C7D"/>
    <w:rsid w:val="00C93CB6"/>
    <w:rsid w:val="00C93CBE"/>
    <w:rsid w:val="00C93D25"/>
    <w:rsid w:val="00C93D28"/>
    <w:rsid w:val="00C93E61"/>
    <w:rsid w:val="00C93E96"/>
    <w:rsid w:val="00C93F42"/>
    <w:rsid w:val="00C93F63"/>
    <w:rsid w:val="00C93F7D"/>
    <w:rsid w:val="00C93F84"/>
    <w:rsid w:val="00C93F87"/>
    <w:rsid w:val="00C93FC0"/>
    <w:rsid w:val="00C93FEE"/>
    <w:rsid w:val="00C94037"/>
    <w:rsid w:val="00C9406A"/>
    <w:rsid w:val="00C940D1"/>
    <w:rsid w:val="00C940D8"/>
    <w:rsid w:val="00C94126"/>
    <w:rsid w:val="00C94171"/>
    <w:rsid w:val="00C9417D"/>
    <w:rsid w:val="00C94197"/>
    <w:rsid w:val="00C941C4"/>
    <w:rsid w:val="00C941E0"/>
    <w:rsid w:val="00C94203"/>
    <w:rsid w:val="00C94219"/>
    <w:rsid w:val="00C942B0"/>
    <w:rsid w:val="00C942C3"/>
    <w:rsid w:val="00C942DA"/>
    <w:rsid w:val="00C942DD"/>
    <w:rsid w:val="00C942E2"/>
    <w:rsid w:val="00C942F7"/>
    <w:rsid w:val="00C94302"/>
    <w:rsid w:val="00C943DE"/>
    <w:rsid w:val="00C9444C"/>
    <w:rsid w:val="00C9449A"/>
    <w:rsid w:val="00C944A9"/>
    <w:rsid w:val="00C944B8"/>
    <w:rsid w:val="00C944EB"/>
    <w:rsid w:val="00C944F8"/>
    <w:rsid w:val="00C9455F"/>
    <w:rsid w:val="00C9456F"/>
    <w:rsid w:val="00C945C9"/>
    <w:rsid w:val="00C945CC"/>
    <w:rsid w:val="00C945D7"/>
    <w:rsid w:val="00C94608"/>
    <w:rsid w:val="00C946D7"/>
    <w:rsid w:val="00C946E5"/>
    <w:rsid w:val="00C94715"/>
    <w:rsid w:val="00C94721"/>
    <w:rsid w:val="00C9472A"/>
    <w:rsid w:val="00C94732"/>
    <w:rsid w:val="00C947B6"/>
    <w:rsid w:val="00C947FC"/>
    <w:rsid w:val="00C94803"/>
    <w:rsid w:val="00C9484C"/>
    <w:rsid w:val="00C948A5"/>
    <w:rsid w:val="00C948D4"/>
    <w:rsid w:val="00C9490E"/>
    <w:rsid w:val="00C9494A"/>
    <w:rsid w:val="00C94966"/>
    <w:rsid w:val="00C9496D"/>
    <w:rsid w:val="00C94982"/>
    <w:rsid w:val="00C94984"/>
    <w:rsid w:val="00C9499B"/>
    <w:rsid w:val="00C949B4"/>
    <w:rsid w:val="00C949D4"/>
    <w:rsid w:val="00C94A4C"/>
    <w:rsid w:val="00C94A69"/>
    <w:rsid w:val="00C94A73"/>
    <w:rsid w:val="00C94A8F"/>
    <w:rsid w:val="00C94AB7"/>
    <w:rsid w:val="00C94B28"/>
    <w:rsid w:val="00C94B33"/>
    <w:rsid w:val="00C94B56"/>
    <w:rsid w:val="00C94B57"/>
    <w:rsid w:val="00C94B8D"/>
    <w:rsid w:val="00C94BAA"/>
    <w:rsid w:val="00C94BD7"/>
    <w:rsid w:val="00C94BFF"/>
    <w:rsid w:val="00C94C4B"/>
    <w:rsid w:val="00C94CA7"/>
    <w:rsid w:val="00C94CB9"/>
    <w:rsid w:val="00C94CC8"/>
    <w:rsid w:val="00C94CFC"/>
    <w:rsid w:val="00C94D0A"/>
    <w:rsid w:val="00C94D0F"/>
    <w:rsid w:val="00C94D43"/>
    <w:rsid w:val="00C94D55"/>
    <w:rsid w:val="00C94D97"/>
    <w:rsid w:val="00C94E0E"/>
    <w:rsid w:val="00C94E59"/>
    <w:rsid w:val="00C94EF2"/>
    <w:rsid w:val="00C94F1A"/>
    <w:rsid w:val="00C94F89"/>
    <w:rsid w:val="00C94FCC"/>
    <w:rsid w:val="00C95058"/>
    <w:rsid w:val="00C950E4"/>
    <w:rsid w:val="00C9511B"/>
    <w:rsid w:val="00C9512A"/>
    <w:rsid w:val="00C95164"/>
    <w:rsid w:val="00C951C2"/>
    <w:rsid w:val="00C951D2"/>
    <w:rsid w:val="00C952DC"/>
    <w:rsid w:val="00C9535E"/>
    <w:rsid w:val="00C9536F"/>
    <w:rsid w:val="00C9539D"/>
    <w:rsid w:val="00C953B5"/>
    <w:rsid w:val="00C953CA"/>
    <w:rsid w:val="00C9540B"/>
    <w:rsid w:val="00C95562"/>
    <w:rsid w:val="00C9558D"/>
    <w:rsid w:val="00C955AF"/>
    <w:rsid w:val="00C955C3"/>
    <w:rsid w:val="00C955F8"/>
    <w:rsid w:val="00C95611"/>
    <w:rsid w:val="00C95682"/>
    <w:rsid w:val="00C95686"/>
    <w:rsid w:val="00C95697"/>
    <w:rsid w:val="00C956F9"/>
    <w:rsid w:val="00C9577D"/>
    <w:rsid w:val="00C9579B"/>
    <w:rsid w:val="00C957F5"/>
    <w:rsid w:val="00C9584A"/>
    <w:rsid w:val="00C9585E"/>
    <w:rsid w:val="00C95883"/>
    <w:rsid w:val="00C95885"/>
    <w:rsid w:val="00C9591F"/>
    <w:rsid w:val="00C9593B"/>
    <w:rsid w:val="00C959CE"/>
    <w:rsid w:val="00C959DF"/>
    <w:rsid w:val="00C959ED"/>
    <w:rsid w:val="00C95A09"/>
    <w:rsid w:val="00C95A2E"/>
    <w:rsid w:val="00C95A3C"/>
    <w:rsid w:val="00C95A69"/>
    <w:rsid w:val="00C95AB3"/>
    <w:rsid w:val="00C95AC1"/>
    <w:rsid w:val="00C95ACD"/>
    <w:rsid w:val="00C95BC9"/>
    <w:rsid w:val="00C95BCC"/>
    <w:rsid w:val="00C95BFC"/>
    <w:rsid w:val="00C95C50"/>
    <w:rsid w:val="00C95C62"/>
    <w:rsid w:val="00C95C91"/>
    <w:rsid w:val="00C95CCD"/>
    <w:rsid w:val="00C95CCE"/>
    <w:rsid w:val="00C95CD8"/>
    <w:rsid w:val="00C95CEE"/>
    <w:rsid w:val="00C95D7D"/>
    <w:rsid w:val="00C95DC7"/>
    <w:rsid w:val="00C95DEB"/>
    <w:rsid w:val="00C95E59"/>
    <w:rsid w:val="00C95E5D"/>
    <w:rsid w:val="00C95F1D"/>
    <w:rsid w:val="00C95F7F"/>
    <w:rsid w:val="00C95FE0"/>
    <w:rsid w:val="00C95FEC"/>
    <w:rsid w:val="00C9608B"/>
    <w:rsid w:val="00C960CC"/>
    <w:rsid w:val="00C9616C"/>
    <w:rsid w:val="00C96192"/>
    <w:rsid w:val="00C961C0"/>
    <w:rsid w:val="00C961FA"/>
    <w:rsid w:val="00C9622E"/>
    <w:rsid w:val="00C9627B"/>
    <w:rsid w:val="00C9627D"/>
    <w:rsid w:val="00C962DD"/>
    <w:rsid w:val="00C962ED"/>
    <w:rsid w:val="00C962EF"/>
    <w:rsid w:val="00C9637E"/>
    <w:rsid w:val="00C963D0"/>
    <w:rsid w:val="00C963F7"/>
    <w:rsid w:val="00C96445"/>
    <w:rsid w:val="00C9648E"/>
    <w:rsid w:val="00C9649F"/>
    <w:rsid w:val="00C964D1"/>
    <w:rsid w:val="00C96503"/>
    <w:rsid w:val="00C96534"/>
    <w:rsid w:val="00C9655B"/>
    <w:rsid w:val="00C965C3"/>
    <w:rsid w:val="00C96673"/>
    <w:rsid w:val="00C966A9"/>
    <w:rsid w:val="00C96701"/>
    <w:rsid w:val="00C96720"/>
    <w:rsid w:val="00C9673E"/>
    <w:rsid w:val="00C96749"/>
    <w:rsid w:val="00C9678A"/>
    <w:rsid w:val="00C96791"/>
    <w:rsid w:val="00C967DA"/>
    <w:rsid w:val="00C96805"/>
    <w:rsid w:val="00C96854"/>
    <w:rsid w:val="00C96862"/>
    <w:rsid w:val="00C968AF"/>
    <w:rsid w:val="00C96926"/>
    <w:rsid w:val="00C96954"/>
    <w:rsid w:val="00C96994"/>
    <w:rsid w:val="00C969AC"/>
    <w:rsid w:val="00C96A08"/>
    <w:rsid w:val="00C96A7B"/>
    <w:rsid w:val="00C96A81"/>
    <w:rsid w:val="00C96AE5"/>
    <w:rsid w:val="00C96B1F"/>
    <w:rsid w:val="00C96B95"/>
    <w:rsid w:val="00C96BCC"/>
    <w:rsid w:val="00C96BEB"/>
    <w:rsid w:val="00C96BEF"/>
    <w:rsid w:val="00C96D15"/>
    <w:rsid w:val="00C96D1D"/>
    <w:rsid w:val="00C96D44"/>
    <w:rsid w:val="00C96D50"/>
    <w:rsid w:val="00C96DA7"/>
    <w:rsid w:val="00C96DC8"/>
    <w:rsid w:val="00C96EA4"/>
    <w:rsid w:val="00C96ED5"/>
    <w:rsid w:val="00C96EE2"/>
    <w:rsid w:val="00C96F11"/>
    <w:rsid w:val="00C96F12"/>
    <w:rsid w:val="00C96FAD"/>
    <w:rsid w:val="00C96FE9"/>
    <w:rsid w:val="00C9702E"/>
    <w:rsid w:val="00C97061"/>
    <w:rsid w:val="00C97070"/>
    <w:rsid w:val="00C97169"/>
    <w:rsid w:val="00C9726D"/>
    <w:rsid w:val="00C972CE"/>
    <w:rsid w:val="00C972FF"/>
    <w:rsid w:val="00C97324"/>
    <w:rsid w:val="00C97334"/>
    <w:rsid w:val="00C9735F"/>
    <w:rsid w:val="00C973ED"/>
    <w:rsid w:val="00C97448"/>
    <w:rsid w:val="00C97474"/>
    <w:rsid w:val="00C974FF"/>
    <w:rsid w:val="00C9750D"/>
    <w:rsid w:val="00C9752B"/>
    <w:rsid w:val="00C9758B"/>
    <w:rsid w:val="00C975E1"/>
    <w:rsid w:val="00C975E8"/>
    <w:rsid w:val="00C97610"/>
    <w:rsid w:val="00C97785"/>
    <w:rsid w:val="00C977BB"/>
    <w:rsid w:val="00C977BC"/>
    <w:rsid w:val="00C97846"/>
    <w:rsid w:val="00C9789F"/>
    <w:rsid w:val="00C978A8"/>
    <w:rsid w:val="00C97938"/>
    <w:rsid w:val="00C9793A"/>
    <w:rsid w:val="00C979BD"/>
    <w:rsid w:val="00C97A2F"/>
    <w:rsid w:val="00C97A69"/>
    <w:rsid w:val="00C97AA0"/>
    <w:rsid w:val="00C97BA3"/>
    <w:rsid w:val="00C97BC1"/>
    <w:rsid w:val="00C97BEA"/>
    <w:rsid w:val="00C97C11"/>
    <w:rsid w:val="00C97C6B"/>
    <w:rsid w:val="00C97C73"/>
    <w:rsid w:val="00C97CA9"/>
    <w:rsid w:val="00C97D39"/>
    <w:rsid w:val="00C97D4F"/>
    <w:rsid w:val="00C97D54"/>
    <w:rsid w:val="00C97E06"/>
    <w:rsid w:val="00C97E1C"/>
    <w:rsid w:val="00C97F04"/>
    <w:rsid w:val="00C97F0B"/>
    <w:rsid w:val="00CA001A"/>
    <w:rsid w:val="00CA0059"/>
    <w:rsid w:val="00CA0065"/>
    <w:rsid w:val="00CA00D4"/>
    <w:rsid w:val="00CA0150"/>
    <w:rsid w:val="00CA0168"/>
    <w:rsid w:val="00CA01AD"/>
    <w:rsid w:val="00CA01C7"/>
    <w:rsid w:val="00CA01D2"/>
    <w:rsid w:val="00CA0226"/>
    <w:rsid w:val="00CA0265"/>
    <w:rsid w:val="00CA02A8"/>
    <w:rsid w:val="00CA02FE"/>
    <w:rsid w:val="00CA0311"/>
    <w:rsid w:val="00CA0339"/>
    <w:rsid w:val="00CA039A"/>
    <w:rsid w:val="00CA049F"/>
    <w:rsid w:val="00CA04EA"/>
    <w:rsid w:val="00CA052A"/>
    <w:rsid w:val="00CA05A6"/>
    <w:rsid w:val="00CA065B"/>
    <w:rsid w:val="00CA068D"/>
    <w:rsid w:val="00CA0695"/>
    <w:rsid w:val="00CA06A1"/>
    <w:rsid w:val="00CA075A"/>
    <w:rsid w:val="00CA0784"/>
    <w:rsid w:val="00CA079E"/>
    <w:rsid w:val="00CA07B5"/>
    <w:rsid w:val="00CA07E9"/>
    <w:rsid w:val="00CA0869"/>
    <w:rsid w:val="00CA0889"/>
    <w:rsid w:val="00CA08BA"/>
    <w:rsid w:val="00CA0907"/>
    <w:rsid w:val="00CA0912"/>
    <w:rsid w:val="00CA0915"/>
    <w:rsid w:val="00CA0964"/>
    <w:rsid w:val="00CA097A"/>
    <w:rsid w:val="00CA0A9D"/>
    <w:rsid w:val="00CA0B33"/>
    <w:rsid w:val="00CA0B41"/>
    <w:rsid w:val="00CA0B64"/>
    <w:rsid w:val="00CA0BBA"/>
    <w:rsid w:val="00CA0C15"/>
    <w:rsid w:val="00CA0C32"/>
    <w:rsid w:val="00CA0C4A"/>
    <w:rsid w:val="00CA0CCC"/>
    <w:rsid w:val="00CA0CEE"/>
    <w:rsid w:val="00CA0D14"/>
    <w:rsid w:val="00CA0D30"/>
    <w:rsid w:val="00CA0E08"/>
    <w:rsid w:val="00CA0EB4"/>
    <w:rsid w:val="00CA0F50"/>
    <w:rsid w:val="00CA0FDC"/>
    <w:rsid w:val="00CA1007"/>
    <w:rsid w:val="00CA105D"/>
    <w:rsid w:val="00CA1065"/>
    <w:rsid w:val="00CA107A"/>
    <w:rsid w:val="00CA10B4"/>
    <w:rsid w:val="00CA1118"/>
    <w:rsid w:val="00CA1121"/>
    <w:rsid w:val="00CA1144"/>
    <w:rsid w:val="00CA114D"/>
    <w:rsid w:val="00CA11D7"/>
    <w:rsid w:val="00CA11EE"/>
    <w:rsid w:val="00CA1296"/>
    <w:rsid w:val="00CA12ED"/>
    <w:rsid w:val="00CA1319"/>
    <w:rsid w:val="00CA1350"/>
    <w:rsid w:val="00CA1366"/>
    <w:rsid w:val="00CA13D6"/>
    <w:rsid w:val="00CA13E3"/>
    <w:rsid w:val="00CA1422"/>
    <w:rsid w:val="00CA1424"/>
    <w:rsid w:val="00CA142A"/>
    <w:rsid w:val="00CA143A"/>
    <w:rsid w:val="00CA1570"/>
    <w:rsid w:val="00CA1584"/>
    <w:rsid w:val="00CA15A2"/>
    <w:rsid w:val="00CA1632"/>
    <w:rsid w:val="00CA1651"/>
    <w:rsid w:val="00CA1661"/>
    <w:rsid w:val="00CA1685"/>
    <w:rsid w:val="00CA1707"/>
    <w:rsid w:val="00CA1741"/>
    <w:rsid w:val="00CA17AF"/>
    <w:rsid w:val="00CA17C2"/>
    <w:rsid w:val="00CA1802"/>
    <w:rsid w:val="00CA1854"/>
    <w:rsid w:val="00CA185A"/>
    <w:rsid w:val="00CA1869"/>
    <w:rsid w:val="00CA1878"/>
    <w:rsid w:val="00CA1893"/>
    <w:rsid w:val="00CA18E3"/>
    <w:rsid w:val="00CA18FD"/>
    <w:rsid w:val="00CA1955"/>
    <w:rsid w:val="00CA1961"/>
    <w:rsid w:val="00CA19BF"/>
    <w:rsid w:val="00CA19D6"/>
    <w:rsid w:val="00CA1A0D"/>
    <w:rsid w:val="00CA1A64"/>
    <w:rsid w:val="00CA1AA8"/>
    <w:rsid w:val="00CA1AB1"/>
    <w:rsid w:val="00CA1ADD"/>
    <w:rsid w:val="00CA1B5B"/>
    <w:rsid w:val="00CA1BEB"/>
    <w:rsid w:val="00CA1C8C"/>
    <w:rsid w:val="00CA1CFC"/>
    <w:rsid w:val="00CA1D49"/>
    <w:rsid w:val="00CA1D71"/>
    <w:rsid w:val="00CA1DB7"/>
    <w:rsid w:val="00CA1DD8"/>
    <w:rsid w:val="00CA1DE2"/>
    <w:rsid w:val="00CA1E07"/>
    <w:rsid w:val="00CA1E91"/>
    <w:rsid w:val="00CA1EF1"/>
    <w:rsid w:val="00CA1F16"/>
    <w:rsid w:val="00CA1F7C"/>
    <w:rsid w:val="00CA1F9E"/>
    <w:rsid w:val="00CA1FB1"/>
    <w:rsid w:val="00CA2042"/>
    <w:rsid w:val="00CA2067"/>
    <w:rsid w:val="00CA2084"/>
    <w:rsid w:val="00CA20A0"/>
    <w:rsid w:val="00CA20BD"/>
    <w:rsid w:val="00CA20F7"/>
    <w:rsid w:val="00CA21C8"/>
    <w:rsid w:val="00CA21DB"/>
    <w:rsid w:val="00CA221A"/>
    <w:rsid w:val="00CA226D"/>
    <w:rsid w:val="00CA22B3"/>
    <w:rsid w:val="00CA22D3"/>
    <w:rsid w:val="00CA2329"/>
    <w:rsid w:val="00CA2393"/>
    <w:rsid w:val="00CA23FE"/>
    <w:rsid w:val="00CA2415"/>
    <w:rsid w:val="00CA2436"/>
    <w:rsid w:val="00CA243D"/>
    <w:rsid w:val="00CA248D"/>
    <w:rsid w:val="00CA2588"/>
    <w:rsid w:val="00CA25C2"/>
    <w:rsid w:val="00CA2603"/>
    <w:rsid w:val="00CA2624"/>
    <w:rsid w:val="00CA2654"/>
    <w:rsid w:val="00CA2656"/>
    <w:rsid w:val="00CA2674"/>
    <w:rsid w:val="00CA2687"/>
    <w:rsid w:val="00CA26A1"/>
    <w:rsid w:val="00CA26BC"/>
    <w:rsid w:val="00CA270E"/>
    <w:rsid w:val="00CA2752"/>
    <w:rsid w:val="00CA27CD"/>
    <w:rsid w:val="00CA27D5"/>
    <w:rsid w:val="00CA27FF"/>
    <w:rsid w:val="00CA2851"/>
    <w:rsid w:val="00CA2889"/>
    <w:rsid w:val="00CA28E0"/>
    <w:rsid w:val="00CA293A"/>
    <w:rsid w:val="00CA295C"/>
    <w:rsid w:val="00CA2A3D"/>
    <w:rsid w:val="00CA2B09"/>
    <w:rsid w:val="00CA2B55"/>
    <w:rsid w:val="00CA2B5D"/>
    <w:rsid w:val="00CA2BA2"/>
    <w:rsid w:val="00CA2BBD"/>
    <w:rsid w:val="00CA2C65"/>
    <w:rsid w:val="00CA2C71"/>
    <w:rsid w:val="00CA2C9A"/>
    <w:rsid w:val="00CA2CA6"/>
    <w:rsid w:val="00CA2D19"/>
    <w:rsid w:val="00CA2D71"/>
    <w:rsid w:val="00CA2DC9"/>
    <w:rsid w:val="00CA2E28"/>
    <w:rsid w:val="00CA2E4C"/>
    <w:rsid w:val="00CA2E7E"/>
    <w:rsid w:val="00CA2EC2"/>
    <w:rsid w:val="00CA2EF1"/>
    <w:rsid w:val="00CA2EF5"/>
    <w:rsid w:val="00CA2F1C"/>
    <w:rsid w:val="00CA2F67"/>
    <w:rsid w:val="00CA2F6E"/>
    <w:rsid w:val="00CA2FA3"/>
    <w:rsid w:val="00CA301D"/>
    <w:rsid w:val="00CA304F"/>
    <w:rsid w:val="00CA3058"/>
    <w:rsid w:val="00CA30BA"/>
    <w:rsid w:val="00CA30CE"/>
    <w:rsid w:val="00CA30ED"/>
    <w:rsid w:val="00CA3107"/>
    <w:rsid w:val="00CA3149"/>
    <w:rsid w:val="00CA318E"/>
    <w:rsid w:val="00CA3191"/>
    <w:rsid w:val="00CA31AD"/>
    <w:rsid w:val="00CA31B2"/>
    <w:rsid w:val="00CA31DA"/>
    <w:rsid w:val="00CA3250"/>
    <w:rsid w:val="00CA3340"/>
    <w:rsid w:val="00CA3368"/>
    <w:rsid w:val="00CA340C"/>
    <w:rsid w:val="00CA3456"/>
    <w:rsid w:val="00CA345F"/>
    <w:rsid w:val="00CA3478"/>
    <w:rsid w:val="00CA3493"/>
    <w:rsid w:val="00CA3521"/>
    <w:rsid w:val="00CA3597"/>
    <w:rsid w:val="00CA360E"/>
    <w:rsid w:val="00CA3673"/>
    <w:rsid w:val="00CA3678"/>
    <w:rsid w:val="00CA36E8"/>
    <w:rsid w:val="00CA3700"/>
    <w:rsid w:val="00CA3741"/>
    <w:rsid w:val="00CA374D"/>
    <w:rsid w:val="00CA3761"/>
    <w:rsid w:val="00CA3814"/>
    <w:rsid w:val="00CA3851"/>
    <w:rsid w:val="00CA3892"/>
    <w:rsid w:val="00CA38DB"/>
    <w:rsid w:val="00CA38DF"/>
    <w:rsid w:val="00CA3929"/>
    <w:rsid w:val="00CA394D"/>
    <w:rsid w:val="00CA3950"/>
    <w:rsid w:val="00CA39D2"/>
    <w:rsid w:val="00CA3A67"/>
    <w:rsid w:val="00CA3A95"/>
    <w:rsid w:val="00CA3B5E"/>
    <w:rsid w:val="00CA3B8E"/>
    <w:rsid w:val="00CA3BD5"/>
    <w:rsid w:val="00CA3C12"/>
    <w:rsid w:val="00CA3C7A"/>
    <w:rsid w:val="00CA3C95"/>
    <w:rsid w:val="00CA3CB2"/>
    <w:rsid w:val="00CA3CB3"/>
    <w:rsid w:val="00CA3CBA"/>
    <w:rsid w:val="00CA3D30"/>
    <w:rsid w:val="00CA3D40"/>
    <w:rsid w:val="00CA3D47"/>
    <w:rsid w:val="00CA3DE7"/>
    <w:rsid w:val="00CA3E03"/>
    <w:rsid w:val="00CA3E4E"/>
    <w:rsid w:val="00CA3EBE"/>
    <w:rsid w:val="00CA3EFC"/>
    <w:rsid w:val="00CA3F3E"/>
    <w:rsid w:val="00CA3F5A"/>
    <w:rsid w:val="00CA3FA6"/>
    <w:rsid w:val="00CA3FC7"/>
    <w:rsid w:val="00CA3FD6"/>
    <w:rsid w:val="00CA3FE0"/>
    <w:rsid w:val="00CA4002"/>
    <w:rsid w:val="00CA4136"/>
    <w:rsid w:val="00CA418B"/>
    <w:rsid w:val="00CA41B2"/>
    <w:rsid w:val="00CA41F1"/>
    <w:rsid w:val="00CA4228"/>
    <w:rsid w:val="00CA4289"/>
    <w:rsid w:val="00CA42D9"/>
    <w:rsid w:val="00CA4333"/>
    <w:rsid w:val="00CA4349"/>
    <w:rsid w:val="00CA4401"/>
    <w:rsid w:val="00CA4420"/>
    <w:rsid w:val="00CA4429"/>
    <w:rsid w:val="00CA4459"/>
    <w:rsid w:val="00CA44AE"/>
    <w:rsid w:val="00CA45A5"/>
    <w:rsid w:val="00CA4638"/>
    <w:rsid w:val="00CA464C"/>
    <w:rsid w:val="00CA469E"/>
    <w:rsid w:val="00CA46A4"/>
    <w:rsid w:val="00CA4760"/>
    <w:rsid w:val="00CA4797"/>
    <w:rsid w:val="00CA4874"/>
    <w:rsid w:val="00CA488D"/>
    <w:rsid w:val="00CA48F1"/>
    <w:rsid w:val="00CA491A"/>
    <w:rsid w:val="00CA49C3"/>
    <w:rsid w:val="00CA4A13"/>
    <w:rsid w:val="00CA4A24"/>
    <w:rsid w:val="00CA4A31"/>
    <w:rsid w:val="00CA4AE3"/>
    <w:rsid w:val="00CA4BA8"/>
    <w:rsid w:val="00CA4BDD"/>
    <w:rsid w:val="00CA4C1A"/>
    <w:rsid w:val="00CA4C61"/>
    <w:rsid w:val="00CA4CB1"/>
    <w:rsid w:val="00CA4CBF"/>
    <w:rsid w:val="00CA4CF5"/>
    <w:rsid w:val="00CA4D38"/>
    <w:rsid w:val="00CA4D40"/>
    <w:rsid w:val="00CA4D7A"/>
    <w:rsid w:val="00CA4D87"/>
    <w:rsid w:val="00CA4DA9"/>
    <w:rsid w:val="00CA4E00"/>
    <w:rsid w:val="00CA4E25"/>
    <w:rsid w:val="00CA4E98"/>
    <w:rsid w:val="00CA4EA7"/>
    <w:rsid w:val="00CA4ED6"/>
    <w:rsid w:val="00CA4EE5"/>
    <w:rsid w:val="00CA4EF3"/>
    <w:rsid w:val="00CA4F3F"/>
    <w:rsid w:val="00CA4FA5"/>
    <w:rsid w:val="00CA4FBD"/>
    <w:rsid w:val="00CA501A"/>
    <w:rsid w:val="00CA5044"/>
    <w:rsid w:val="00CA5092"/>
    <w:rsid w:val="00CA50A4"/>
    <w:rsid w:val="00CA50D7"/>
    <w:rsid w:val="00CA510E"/>
    <w:rsid w:val="00CA5132"/>
    <w:rsid w:val="00CA5207"/>
    <w:rsid w:val="00CA520F"/>
    <w:rsid w:val="00CA5243"/>
    <w:rsid w:val="00CA525D"/>
    <w:rsid w:val="00CA5272"/>
    <w:rsid w:val="00CA52C4"/>
    <w:rsid w:val="00CA531F"/>
    <w:rsid w:val="00CA53D3"/>
    <w:rsid w:val="00CA5424"/>
    <w:rsid w:val="00CA54FD"/>
    <w:rsid w:val="00CA5529"/>
    <w:rsid w:val="00CA5543"/>
    <w:rsid w:val="00CA5553"/>
    <w:rsid w:val="00CA5562"/>
    <w:rsid w:val="00CA5571"/>
    <w:rsid w:val="00CA5583"/>
    <w:rsid w:val="00CA55C0"/>
    <w:rsid w:val="00CA560C"/>
    <w:rsid w:val="00CA567D"/>
    <w:rsid w:val="00CA56A3"/>
    <w:rsid w:val="00CA56AC"/>
    <w:rsid w:val="00CA56C1"/>
    <w:rsid w:val="00CA56F5"/>
    <w:rsid w:val="00CA574A"/>
    <w:rsid w:val="00CA5766"/>
    <w:rsid w:val="00CA5842"/>
    <w:rsid w:val="00CA5875"/>
    <w:rsid w:val="00CA5883"/>
    <w:rsid w:val="00CA58A9"/>
    <w:rsid w:val="00CA58B2"/>
    <w:rsid w:val="00CA58D2"/>
    <w:rsid w:val="00CA592D"/>
    <w:rsid w:val="00CA5982"/>
    <w:rsid w:val="00CA59A0"/>
    <w:rsid w:val="00CA59A9"/>
    <w:rsid w:val="00CA59E3"/>
    <w:rsid w:val="00CA5A8C"/>
    <w:rsid w:val="00CA5ADB"/>
    <w:rsid w:val="00CA5B23"/>
    <w:rsid w:val="00CA5B27"/>
    <w:rsid w:val="00CA5B71"/>
    <w:rsid w:val="00CA5BA5"/>
    <w:rsid w:val="00CA5BD0"/>
    <w:rsid w:val="00CA5C41"/>
    <w:rsid w:val="00CA5C6F"/>
    <w:rsid w:val="00CA5C72"/>
    <w:rsid w:val="00CA5C87"/>
    <w:rsid w:val="00CA5CA2"/>
    <w:rsid w:val="00CA5D06"/>
    <w:rsid w:val="00CA5D2D"/>
    <w:rsid w:val="00CA5D45"/>
    <w:rsid w:val="00CA5D8E"/>
    <w:rsid w:val="00CA5DB2"/>
    <w:rsid w:val="00CA5DB5"/>
    <w:rsid w:val="00CA5DE3"/>
    <w:rsid w:val="00CA5DEE"/>
    <w:rsid w:val="00CA5EA1"/>
    <w:rsid w:val="00CA5F96"/>
    <w:rsid w:val="00CA5FB9"/>
    <w:rsid w:val="00CA5FD6"/>
    <w:rsid w:val="00CA6097"/>
    <w:rsid w:val="00CA609C"/>
    <w:rsid w:val="00CA60CC"/>
    <w:rsid w:val="00CA60F1"/>
    <w:rsid w:val="00CA61BE"/>
    <w:rsid w:val="00CA61D6"/>
    <w:rsid w:val="00CA61F7"/>
    <w:rsid w:val="00CA61FA"/>
    <w:rsid w:val="00CA6249"/>
    <w:rsid w:val="00CA6253"/>
    <w:rsid w:val="00CA628F"/>
    <w:rsid w:val="00CA6346"/>
    <w:rsid w:val="00CA63C1"/>
    <w:rsid w:val="00CA63D2"/>
    <w:rsid w:val="00CA6427"/>
    <w:rsid w:val="00CA6429"/>
    <w:rsid w:val="00CA642F"/>
    <w:rsid w:val="00CA646A"/>
    <w:rsid w:val="00CA6489"/>
    <w:rsid w:val="00CA64C8"/>
    <w:rsid w:val="00CA64D6"/>
    <w:rsid w:val="00CA65BA"/>
    <w:rsid w:val="00CA65E4"/>
    <w:rsid w:val="00CA663F"/>
    <w:rsid w:val="00CA6669"/>
    <w:rsid w:val="00CA666E"/>
    <w:rsid w:val="00CA6692"/>
    <w:rsid w:val="00CA66C1"/>
    <w:rsid w:val="00CA66F6"/>
    <w:rsid w:val="00CA672D"/>
    <w:rsid w:val="00CA6737"/>
    <w:rsid w:val="00CA6761"/>
    <w:rsid w:val="00CA6766"/>
    <w:rsid w:val="00CA6788"/>
    <w:rsid w:val="00CA67E9"/>
    <w:rsid w:val="00CA67ED"/>
    <w:rsid w:val="00CA685B"/>
    <w:rsid w:val="00CA687F"/>
    <w:rsid w:val="00CA68A5"/>
    <w:rsid w:val="00CA68EC"/>
    <w:rsid w:val="00CA68EE"/>
    <w:rsid w:val="00CA68EF"/>
    <w:rsid w:val="00CA69F5"/>
    <w:rsid w:val="00CA6A0F"/>
    <w:rsid w:val="00CA6A16"/>
    <w:rsid w:val="00CA6A7D"/>
    <w:rsid w:val="00CA6AE4"/>
    <w:rsid w:val="00CA6B62"/>
    <w:rsid w:val="00CA6C01"/>
    <w:rsid w:val="00CA6C26"/>
    <w:rsid w:val="00CA6C49"/>
    <w:rsid w:val="00CA6C63"/>
    <w:rsid w:val="00CA6CA3"/>
    <w:rsid w:val="00CA6CF6"/>
    <w:rsid w:val="00CA6D48"/>
    <w:rsid w:val="00CA6D64"/>
    <w:rsid w:val="00CA6DD9"/>
    <w:rsid w:val="00CA6DDD"/>
    <w:rsid w:val="00CA6DEE"/>
    <w:rsid w:val="00CA6E34"/>
    <w:rsid w:val="00CA6E72"/>
    <w:rsid w:val="00CA6E8B"/>
    <w:rsid w:val="00CA6E8F"/>
    <w:rsid w:val="00CA6E90"/>
    <w:rsid w:val="00CA6E94"/>
    <w:rsid w:val="00CA6E95"/>
    <w:rsid w:val="00CA6EA8"/>
    <w:rsid w:val="00CA6ED6"/>
    <w:rsid w:val="00CA6F20"/>
    <w:rsid w:val="00CA6F3D"/>
    <w:rsid w:val="00CA702C"/>
    <w:rsid w:val="00CA7081"/>
    <w:rsid w:val="00CA7102"/>
    <w:rsid w:val="00CA7104"/>
    <w:rsid w:val="00CA7136"/>
    <w:rsid w:val="00CA71A8"/>
    <w:rsid w:val="00CA7213"/>
    <w:rsid w:val="00CA726B"/>
    <w:rsid w:val="00CA734B"/>
    <w:rsid w:val="00CA738A"/>
    <w:rsid w:val="00CA738E"/>
    <w:rsid w:val="00CA7410"/>
    <w:rsid w:val="00CA748C"/>
    <w:rsid w:val="00CA74A7"/>
    <w:rsid w:val="00CA74D5"/>
    <w:rsid w:val="00CA74F2"/>
    <w:rsid w:val="00CA74FC"/>
    <w:rsid w:val="00CA7512"/>
    <w:rsid w:val="00CA7538"/>
    <w:rsid w:val="00CA7543"/>
    <w:rsid w:val="00CA758F"/>
    <w:rsid w:val="00CA759F"/>
    <w:rsid w:val="00CA7602"/>
    <w:rsid w:val="00CA761D"/>
    <w:rsid w:val="00CA7653"/>
    <w:rsid w:val="00CA769A"/>
    <w:rsid w:val="00CA76BE"/>
    <w:rsid w:val="00CA76F4"/>
    <w:rsid w:val="00CA7738"/>
    <w:rsid w:val="00CA77C9"/>
    <w:rsid w:val="00CA77DC"/>
    <w:rsid w:val="00CA781B"/>
    <w:rsid w:val="00CA7863"/>
    <w:rsid w:val="00CA7878"/>
    <w:rsid w:val="00CA78D2"/>
    <w:rsid w:val="00CA78D3"/>
    <w:rsid w:val="00CA7932"/>
    <w:rsid w:val="00CA7947"/>
    <w:rsid w:val="00CA79C0"/>
    <w:rsid w:val="00CA7A46"/>
    <w:rsid w:val="00CA7AF3"/>
    <w:rsid w:val="00CA7AF7"/>
    <w:rsid w:val="00CA7AFB"/>
    <w:rsid w:val="00CA7B1A"/>
    <w:rsid w:val="00CA7B29"/>
    <w:rsid w:val="00CA7B89"/>
    <w:rsid w:val="00CA7BD9"/>
    <w:rsid w:val="00CA7C2B"/>
    <w:rsid w:val="00CA7C33"/>
    <w:rsid w:val="00CA7C39"/>
    <w:rsid w:val="00CA7CBD"/>
    <w:rsid w:val="00CA7CF2"/>
    <w:rsid w:val="00CA7CFC"/>
    <w:rsid w:val="00CA7D02"/>
    <w:rsid w:val="00CA7D0D"/>
    <w:rsid w:val="00CA7D93"/>
    <w:rsid w:val="00CA7DB8"/>
    <w:rsid w:val="00CA7DC9"/>
    <w:rsid w:val="00CA7E63"/>
    <w:rsid w:val="00CA7E8A"/>
    <w:rsid w:val="00CA7E9F"/>
    <w:rsid w:val="00CA7EBC"/>
    <w:rsid w:val="00CA7EC2"/>
    <w:rsid w:val="00CA7ED7"/>
    <w:rsid w:val="00CA7F2B"/>
    <w:rsid w:val="00CA7FAF"/>
    <w:rsid w:val="00CA7FEE"/>
    <w:rsid w:val="00CB0079"/>
    <w:rsid w:val="00CB00FE"/>
    <w:rsid w:val="00CB0149"/>
    <w:rsid w:val="00CB0187"/>
    <w:rsid w:val="00CB0194"/>
    <w:rsid w:val="00CB0319"/>
    <w:rsid w:val="00CB031A"/>
    <w:rsid w:val="00CB0332"/>
    <w:rsid w:val="00CB0360"/>
    <w:rsid w:val="00CB0389"/>
    <w:rsid w:val="00CB03C2"/>
    <w:rsid w:val="00CB0436"/>
    <w:rsid w:val="00CB0495"/>
    <w:rsid w:val="00CB04A3"/>
    <w:rsid w:val="00CB0517"/>
    <w:rsid w:val="00CB051C"/>
    <w:rsid w:val="00CB0575"/>
    <w:rsid w:val="00CB059E"/>
    <w:rsid w:val="00CB05D4"/>
    <w:rsid w:val="00CB05DD"/>
    <w:rsid w:val="00CB0610"/>
    <w:rsid w:val="00CB061F"/>
    <w:rsid w:val="00CB0682"/>
    <w:rsid w:val="00CB072F"/>
    <w:rsid w:val="00CB0784"/>
    <w:rsid w:val="00CB080F"/>
    <w:rsid w:val="00CB0833"/>
    <w:rsid w:val="00CB0875"/>
    <w:rsid w:val="00CB08AD"/>
    <w:rsid w:val="00CB08F8"/>
    <w:rsid w:val="00CB08F9"/>
    <w:rsid w:val="00CB0911"/>
    <w:rsid w:val="00CB091C"/>
    <w:rsid w:val="00CB092B"/>
    <w:rsid w:val="00CB097A"/>
    <w:rsid w:val="00CB0984"/>
    <w:rsid w:val="00CB0993"/>
    <w:rsid w:val="00CB09C7"/>
    <w:rsid w:val="00CB0A08"/>
    <w:rsid w:val="00CB0A39"/>
    <w:rsid w:val="00CB0A8E"/>
    <w:rsid w:val="00CB0ACB"/>
    <w:rsid w:val="00CB0B49"/>
    <w:rsid w:val="00CB0B65"/>
    <w:rsid w:val="00CB0BDA"/>
    <w:rsid w:val="00CB0BF3"/>
    <w:rsid w:val="00CB0CA0"/>
    <w:rsid w:val="00CB0CA8"/>
    <w:rsid w:val="00CB0CFB"/>
    <w:rsid w:val="00CB0D2F"/>
    <w:rsid w:val="00CB0D3E"/>
    <w:rsid w:val="00CB0D57"/>
    <w:rsid w:val="00CB0DD9"/>
    <w:rsid w:val="00CB0E6E"/>
    <w:rsid w:val="00CB0E7A"/>
    <w:rsid w:val="00CB0E80"/>
    <w:rsid w:val="00CB0F02"/>
    <w:rsid w:val="00CB0F33"/>
    <w:rsid w:val="00CB0F4A"/>
    <w:rsid w:val="00CB0F58"/>
    <w:rsid w:val="00CB0F71"/>
    <w:rsid w:val="00CB0F8B"/>
    <w:rsid w:val="00CB0FFD"/>
    <w:rsid w:val="00CB103C"/>
    <w:rsid w:val="00CB1044"/>
    <w:rsid w:val="00CB105D"/>
    <w:rsid w:val="00CB1078"/>
    <w:rsid w:val="00CB1096"/>
    <w:rsid w:val="00CB10CB"/>
    <w:rsid w:val="00CB11CC"/>
    <w:rsid w:val="00CB11D6"/>
    <w:rsid w:val="00CB11F6"/>
    <w:rsid w:val="00CB1218"/>
    <w:rsid w:val="00CB122D"/>
    <w:rsid w:val="00CB12FF"/>
    <w:rsid w:val="00CB1320"/>
    <w:rsid w:val="00CB1334"/>
    <w:rsid w:val="00CB13C0"/>
    <w:rsid w:val="00CB1426"/>
    <w:rsid w:val="00CB1439"/>
    <w:rsid w:val="00CB145C"/>
    <w:rsid w:val="00CB1482"/>
    <w:rsid w:val="00CB14C9"/>
    <w:rsid w:val="00CB159A"/>
    <w:rsid w:val="00CB15B6"/>
    <w:rsid w:val="00CB15E9"/>
    <w:rsid w:val="00CB164D"/>
    <w:rsid w:val="00CB1673"/>
    <w:rsid w:val="00CB1696"/>
    <w:rsid w:val="00CB16D4"/>
    <w:rsid w:val="00CB175A"/>
    <w:rsid w:val="00CB1813"/>
    <w:rsid w:val="00CB184D"/>
    <w:rsid w:val="00CB18F0"/>
    <w:rsid w:val="00CB190B"/>
    <w:rsid w:val="00CB196E"/>
    <w:rsid w:val="00CB1A3D"/>
    <w:rsid w:val="00CB1A77"/>
    <w:rsid w:val="00CB1AE4"/>
    <w:rsid w:val="00CB1AF5"/>
    <w:rsid w:val="00CB1AFB"/>
    <w:rsid w:val="00CB1B8F"/>
    <w:rsid w:val="00CB1BD2"/>
    <w:rsid w:val="00CB1BE0"/>
    <w:rsid w:val="00CB1C41"/>
    <w:rsid w:val="00CB1C5D"/>
    <w:rsid w:val="00CB1C86"/>
    <w:rsid w:val="00CB1CD9"/>
    <w:rsid w:val="00CB1D8D"/>
    <w:rsid w:val="00CB1DC1"/>
    <w:rsid w:val="00CB1E01"/>
    <w:rsid w:val="00CB1E0C"/>
    <w:rsid w:val="00CB1E25"/>
    <w:rsid w:val="00CB1E2D"/>
    <w:rsid w:val="00CB1EE9"/>
    <w:rsid w:val="00CB1F94"/>
    <w:rsid w:val="00CB1FA6"/>
    <w:rsid w:val="00CB2067"/>
    <w:rsid w:val="00CB208D"/>
    <w:rsid w:val="00CB2092"/>
    <w:rsid w:val="00CB209C"/>
    <w:rsid w:val="00CB20C2"/>
    <w:rsid w:val="00CB211C"/>
    <w:rsid w:val="00CB212F"/>
    <w:rsid w:val="00CB214C"/>
    <w:rsid w:val="00CB2194"/>
    <w:rsid w:val="00CB220F"/>
    <w:rsid w:val="00CB2217"/>
    <w:rsid w:val="00CB22F6"/>
    <w:rsid w:val="00CB231B"/>
    <w:rsid w:val="00CB2329"/>
    <w:rsid w:val="00CB2347"/>
    <w:rsid w:val="00CB23D0"/>
    <w:rsid w:val="00CB2400"/>
    <w:rsid w:val="00CB2508"/>
    <w:rsid w:val="00CB2509"/>
    <w:rsid w:val="00CB2531"/>
    <w:rsid w:val="00CB2552"/>
    <w:rsid w:val="00CB25E8"/>
    <w:rsid w:val="00CB25ED"/>
    <w:rsid w:val="00CB2615"/>
    <w:rsid w:val="00CB2701"/>
    <w:rsid w:val="00CB2711"/>
    <w:rsid w:val="00CB271E"/>
    <w:rsid w:val="00CB2739"/>
    <w:rsid w:val="00CB2788"/>
    <w:rsid w:val="00CB27A0"/>
    <w:rsid w:val="00CB28B7"/>
    <w:rsid w:val="00CB28B8"/>
    <w:rsid w:val="00CB294B"/>
    <w:rsid w:val="00CB29E1"/>
    <w:rsid w:val="00CB2A11"/>
    <w:rsid w:val="00CB2A2F"/>
    <w:rsid w:val="00CB2A34"/>
    <w:rsid w:val="00CB2A39"/>
    <w:rsid w:val="00CB2A3F"/>
    <w:rsid w:val="00CB2A50"/>
    <w:rsid w:val="00CB2ACF"/>
    <w:rsid w:val="00CB2AF5"/>
    <w:rsid w:val="00CB2B5C"/>
    <w:rsid w:val="00CB2B5E"/>
    <w:rsid w:val="00CB2B76"/>
    <w:rsid w:val="00CB2B78"/>
    <w:rsid w:val="00CB2B99"/>
    <w:rsid w:val="00CB2BC4"/>
    <w:rsid w:val="00CB2BC5"/>
    <w:rsid w:val="00CB2C85"/>
    <w:rsid w:val="00CB2C9B"/>
    <w:rsid w:val="00CB2D08"/>
    <w:rsid w:val="00CB2D0B"/>
    <w:rsid w:val="00CB2D32"/>
    <w:rsid w:val="00CB2D5B"/>
    <w:rsid w:val="00CB2D92"/>
    <w:rsid w:val="00CB2DAC"/>
    <w:rsid w:val="00CB2E1E"/>
    <w:rsid w:val="00CB2E79"/>
    <w:rsid w:val="00CB2EB0"/>
    <w:rsid w:val="00CB2F44"/>
    <w:rsid w:val="00CB2F61"/>
    <w:rsid w:val="00CB2FB7"/>
    <w:rsid w:val="00CB2FBA"/>
    <w:rsid w:val="00CB2FD9"/>
    <w:rsid w:val="00CB2FDC"/>
    <w:rsid w:val="00CB3051"/>
    <w:rsid w:val="00CB309A"/>
    <w:rsid w:val="00CB3133"/>
    <w:rsid w:val="00CB31DF"/>
    <w:rsid w:val="00CB31F6"/>
    <w:rsid w:val="00CB320C"/>
    <w:rsid w:val="00CB3233"/>
    <w:rsid w:val="00CB3369"/>
    <w:rsid w:val="00CB33C7"/>
    <w:rsid w:val="00CB3402"/>
    <w:rsid w:val="00CB34D3"/>
    <w:rsid w:val="00CB354B"/>
    <w:rsid w:val="00CB3556"/>
    <w:rsid w:val="00CB3559"/>
    <w:rsid w:val="00CB355C"/>
    <w:rsid w:val="00CB357F"/>
    <w:rsid w:val="00CB35C7"/>
    <w:rsid w:val="00CB365E"/>
    <w:rsid w:val="00CB36E2"/>
    <w:rsid w:val="00CB36F9"/>
    <w:rsid w:val="00CB3785"/>
    <w:rsid w:val="00CB3850"/>
    <w:rsid w:val="00CB3853"/>
    <w:rsid w:val="00CB3858"/>
    <w:rsid w:val="00CB388E"/>
    <w:rsid w:val="00CB38DA"/>
    <w:rsid w:val="00CB3955"/>
    <w:rsid w:val="00CB396F"/>
    <w:rsid w:val="00CB39D0"/>
    <w:rsid w:val="00CB39D7"/>
    <w:rsid w:val="00CB3A49"/>
    <w:rsid w:val="00CB3A50"/>
    <w:rsid w:val="00CB3A53"/>
    <w:rsid w:val="00CB3A55"/>
    <w:rsid w:val="00CB3A6D"/>
    <w:rsid w:val="00CB3AF8"/>
    <w:rsid w:val="00CB3AFB"/>
    <w:rsid w:val="00CB3B36"/>
    <w:rsid w:val="00CB3B45"/>
    <w:rsid w:val="00CB3B56"/>
    <w:rsid w:val="00CB3CC3"/>
    <w:rsid w:val="00CB3CE6"/>
    <w:rsid w:val="00CB3D32"/>
    <w:rsid w:val="00CB3DB9"/>
    <w:rsid w:val="00CB3E29"/>
    <w:rsid w:val="00CB3E66"/>
    <w:rsid w:val="00CB3E67"/>
    <w:rsid w:val="00CB3F1A"/>
    <w:rsid w:val="00CB3FC0"/>
    <w:rsid w:val="00CB401E"/>
    <w:rsid w:val="00CB403F"/>
    <w:rsid w:val="00CB40A7"/>
    <w:rsid w:val="00CB40F9"/>
    <w:rsid w:val="00CB4121"/>
    <w:rsid w:val="00CB4124"/>
    <w:rsid w:val="00CB413C"/>
    <w:rsid w:val="00CB41EB"/>
    <w:rsid w:val="00CB4218"/>
    <w:rsid w:val="00CB42A3"/>
    <w:rsid w:val="00CB42B0"/>
    <w:rsid w:val="00CB42D1"/>
    <w:rsid w:val="00CB43C6"/>
    <w:rsid w:val="00CB441B"/>
    <w:rsid w:val="00CB445E"/>
    <w:rsid w:val="00CB449F"/>
    <w:rsid w:val="00CB44B2"/>
    <w:rsid w:val="00CB453E"/>
    <w:rsid w:val="00CB4572"/>
    <w:rsid w:val="00CB458B"/>
    <w:rsid w:val="00CB45D9"/>
    <w:rsid w:val="00CB4640"/>
    <w:rsid w:val="00CB4672"/>
    <w:rsid w:val="00CB469A"/>
    <w:rsid w:val="00CB46EC"/>
    <w:rsid w:val="00CB473B"/>
    <w:rsid w:val="00CB4774"/>
    <w:rsid w:val="00CB47D2"/>
    <w:rsid w:val="00CB4823"/>
    <w:rsid w:val="00CB4835"/>
    <w:rsid w:val="00CB4887"/>
    <w:rsid w:val="00CB48B4"/>
    <w:rsid w:val="00CB4970"/>
    <w:rsid w:val="00CB498C"/>
    <w:rsid w:val="00CB499B"/>
    <w:rsid w:val="00CB49C8"/>
    <w:rsid w:val="00CB4A20"/>
    <w:rsid w:val="00CB4A41"/>
    <w:rsid w:val="00CB4A5C"/>
    <w:rsid w:val="00CB4AAE"/>
    <w:rsid w:val="00CB4AB3"/>
    <w:rsid w:val="00CB4AF0"/>
    <w:rsid w:val="00CB4B33"/>
    <w:rsid w:val="00CB4B64"/>
    <w:rsid w:val="00CB4BA5"/>
    <w:rsid w:val="00CB4BB2"/>
    <w:rsid w:val="00CB4C1A"/>
    <w:rsid w:val="00CB4CBE"/>
    <w:rsid w:val="00CB4D2F"/>
    <w:rsid w:val="00CB4D44"/>
    <w:rsid w:val="00CB4D8B"/>
    <w:rsid w:val="00CB4DFD"/>
    <w:rsid w:val="00CB4E0F"/>
    <w:rsid w:val="00CB4EB5"/>
    <w:rsid w:val="00CB4F97"/>
    <w:rsid w:val="00CB5074"/>
    <w:rsid w:val="00CB50DC"/>
    <w:rsid w:val="00CB511A"/>
    <w:rsid w:val="00CB5122"/>
    <w:rsid w:val="00CB514E"/>
    <w:rsid w:val="00CB5166"/>
    <w:rsid w:val="00CB518E"/>
    <w:rsid w:val="00CB5228"/>
    <w:rsid w:val="00CB5230"/>
    <w:rsid w:val="00CB5234"/>
    <w:rsid w:val="00CB524A"/>
    <w:rsid w:val="00CB5256"/>
    <w:rsid w:val="00CB5263"/>
    <w:rsid w:val="00CB5264"/>
    <w:rsid w:val="00CB52E4"/>
    <w:rsid w:val="00CB534A"/>
    <w:rsid w:val="00CB5367"/>
    <w:rsid w:val="00CB5403"/>
    <w:rsid w:val="00CB54B0"/>
    <w:rsid w:val="00CB54D5"/>
    <w:rsid w:val="00CB55A1"/>
    <w:rsid w:val="00CB55F1"/>
    <w:rsid w:val="00CB567D"/>
    <w:rsid w:val="00CB5697"/>
    <w:rsid w:val="00CB56B7"/>
    <w:rsid w:val="00CB5726"/>
    <w:rsid w:val="00CB581C"/>
    <w:rsid w:val="00CB58C5"/>
    <w:rsid w:val="00CB58CB"/>
    <w:rsid w:val="00CB58D0"/>
    <w:rsid w:val="00CB58EB"/>
    <w:rsid w:val="00CB597A"/>
    <w:rsid w:val="00CB5A0E"/>
    <w:rsid w:val="00CB5A1E"/>
    <w:rsid w:val="00CB5A29"/>
    <w:rsid w:val="00CB5A9F"/>
    <w:rsid w:val="00CB5AC8"/>
    <w:rsid w:val="00CB5AD0"/>
    <w:rsid w:val="00CB5BE8"/>
    <w:rsid w:val="00CB5BEC"/>
    <w:rsid w:val="00CB5C22"/>
    <w:rsid w:val="00CB5C39"/>
    <w:rsid w:val="00CB5C4C"/>
    <w:rsid w:val="00CB5C5F"/>
    <w:rsid w:val="00CB5C78"/>
    <w:rsid w:val="00CB5C82"/>
    <w:rsid w:val="00CB5D02"/>
    <w:rsid w:val="00CB5D85"/>
    <w:rsid w:val="00CB5DD4"/>
    <w:rsid w:val="00CB5DD7"/>
    <w:rsid w:val="00CB5E3E"/>
    <w:rsid w:val="00CB5E5B"/>
    <w:rsid w:val="00CB5E69"/>
    <w:rsid w:val="00CB5E8F"/>
    <w:rsid w:val="00CB5EAA"/>
    <w:rsid w:val="00CB5F83"/>
    <w:rsid w:val="00CB6043"/>
    <w:rsid w:val="00CB6084"/>
    <w:rsid w:val="00CB608A"/>
    <w:rsid w:val="00CB60DF"/>
    <w:rsid w:val="00CB60FB"/>
    <w:rsid w:val="00CB6100"/>
    <w:rsid w:val="00CB610B"/>
    <w:rsid w:val="00CB6110"/>
    <w:rsid w:val="00CB6144"/>
    <w:rsid w:val="00CB6268"/>
    <w:rsid w:val="00CB62AD"/>
    <w:rsid w:val="00CB62C0"/>
    <w:rsid w:val="00CB62C4"/>
    <w:rsid w:val="00CB6329"/>
    <w:rsid w:val="00CB633B"/>
    <w:rsid w:val="00CB63DB"/>
    <w:rsid w:val="00CB63F4"/>
    <w:rsid w:val="00CB6475"/>
    <w:rsid w:val="00CB652C"/>
    <w:rsid w:val="00CB6545"/>
    <w:rsid w:val="00CB6551"/>
    <w:rsid w:val="00CB663E"/>
    <w:rsid w:val="00CB66AD"/>
    <w:rsid w:val="00CB66B9"/>
    <w:rsid w:val="00CB66DA"/>
    <w:rsid w:val="00CB66EC"/>
    <w:rsid w:val="00CB6700"/>
    <w:rsid w:val="00CB672B"/>
    <w:rsid w:val="00CB676F"/>
    <w:rsid w:val="00CB6777"/>
    <w:rsid w:val="00CB67EF"/>
    <w:rsid w:val="00CB6818"/>
    <w:rsid w:val="00CB68EE"/>
    <w:rsid w:val="00CB69CA"/>
    <w:rsid w:val="00CB69CB"/>
    <w:rsid w:val="00CB69D9"/>
    <w:rsid w:val="00CB6A00"/>
    <w:rsid w:val="00CB6A12"/>
    <w:rsid w:val="00CB6A16"/>
    <w:rsid w:val="00CB6A3A"/>
    <w:rsid w:val="00CB6AA1"/>
    <w:rsid w:val="00CB6ACE"/>
    <w:rsid w:val="00CB6B0C"/>
    <w:rsid w:val="00CB6BDC"/>
    <w:rsid w:val="00CB6C0A"/>
    <w:rsid w:val="00CB6C35"/>
    <w:rsid w:val="00CB6C63"/>
    <w:rsid w:val="00CB6C96"/>
    <w:rsid w:val="00CB6CA3"/>
    <w:rsid w:val="00CB6CB5"/>
    <w:rsid w:val="00CB6CCE"/>
    <w:rsid w:val="00CB6D0D"/>
    <w:rsid w:val="00CB6D4A"/>
    <w:rsid w:val="00CB6D6C"/>
    <w:rsid w:val="00CB6D79"/>
    <w:rsid w:val="00CB6DAC"/>
    <w:rsid w:val="00CB6DD6"/>
    <w:rsid w:val="00CB6E16"/>
    <w:rsid w:val="00CB6E3A"/>
    <w:rsid w:val="00CB6E8C"/>
    <w:rsid w:val="00CB6E9B"/>
    <w:rsid w:val="00CB6F0D"/>
    <w:rsid w:val="00CB6F18"/>
    <w:rsid w:val="00CB6F25"/>
    <w:rsid w:val="00CB6F26"/>
    <w:rsid w:val="00CB6F2D"/>
    <w:rsid w:val="00CB6F52"/>
    <w:rsid w:val="00CB7007"/>
    <w:rsid w:val="00CB7071"/>
    <w:rsid w:val="00CB7082"/>
    <w:rsid w:val="00CB7083"/>
    <w:rsid w:val="00CB70C4"/>
    <w:rsid w:val="00CB70F5"/>
    <w:rsid w:val="00CB712D"/>
    <w:rsid w:val="00CB714D"/>
    <w:rsid w:val="00CB715A"/>
    <w:rsid w:val="00CB716F"/>
    <w:rsid w:val="00CB7208"/>
    <w:rsid w:val="00CB7245"/>
    <w:rsid w:val="00CB7259"/>
    <w:rsid w:val="00CB72C9"/>
    <w:rsid w:val="00CB72E8"/>
    <w:rsid w:val="00CB730A"/>
    <w:rsid w:val="00CB7312"/>
    <w:rsid w:val="00CB731E"/>
    <w:rsid w:val="00CB7336"/>
    <w:rsid w:val="00CB7349"/>
    <w:rsid w:val="00CB7363"/>
    <w:rsid w:val="00CB73BE"/>
    <w:rsid w:val="00CB73EC"/>
    <w:rsid w:val="00CB74A6"/>
    <w:rsid w:val="00CB74B7"/>
    <w:rsid w:val="00CB74BB"/>
    <w:rsid w:val="00CB74DA"/>
    <w:rsid w:val="00CB74E6"/>
    <w:rsid w:val="00CB761E"/>
    <w:rsid w:val="00CB7649"/>
    <w:rsid w:val="00CB768A"/>
    <w:rsid w:val="00CB769A"/>
    <w:rsid w:val="00CB769D"/>
    <w:rsid w:val="00CB76A4"/>
    <w:rsid w:val="00CB76C3"/>
    <w:rsid w:val="00CB76C7"/>
    <w:rsid w:val="00CB76CB"/>
    <w:rsid w:val="00CB778C"/>
    <w:rsid w:val="00CB779F"/>
    <w:rsid w:val="00CB77DD"/>
    <w:rsid w:val="00CB7819"/>
    <w:rsid w:val="00CB7847"/>
    <w:rsid w:val="00CB7917"/>
    <w:rsid w:val="00CB798A"/>
    <w:rsid w:val="00CB7993"/>
    <w:rsid w:val="00CB799A"/>
    <w:rsid w:val="00CB799C"/>
    <w:rsid w:val="00CB79C7"/>
    <w:rsid w:val="00CB79F4"/>
    <w:rsid w:val="00CB7A0F"/>
    <w:rsid w:val="00CB7A83"/>
    <w:rsid w:val="00CB7A89"/>
    <w:rsid w:val="00CB7AB3"/>
    <w:rsid w:val="00CB7AC4"/>
    <w:rsid w:val="00CB7ADE"/>
    <w:rsid w:val="00CB7B48"/>
    <w:rsid w:val="00CB7B68"/>
    <w:rsid w:val="00CB7B7A"/>
    <w:rsid w:val="00CB7B94"/>
    <w:rsid w:val="00CB7BA5"/>
    <w:rsid w:val="00CB7BE8"/>
    <w:rsid w:val="00CB7BEE"/>
    <w:rsid w:val="00CB7BFA"/>
    <w:rsid w:val="00CB7C06"/>
    <w:rsid w:val="00CB7C67"/>
    <w:rsid w:val="00CB7CAD"/>
    <w:rsid w:val="00CB7CED"/>
    <w:rsid w:val="00CB7D2C"/>
    <w:rsid w:val="00CB7D68"/>
    <w:rsid w:val="00CB7D99"/>
    <w:rsid w:val="00CB7D9E"/>
    <w:rsid w:val="00CB7DCD"/>
    <w:rsid w:val="00CB7E24"/>
    <w:rsid w:val="00CB7E6D"/>
    <w:rsid w:val="00CB7EE3"/>
    <w:rsid w:val="00CB7F04"/>
    <w:rsid w:val="00CB7F48"/>
    <w:rsid w:val="00CB7F52"/>
    <w:rsid w:val="00CB7F68"/>
    <w:rsid w:val="00CB7FAC"/>
    <w:rsid w:val="00CBA22B"/>
    <w:rsid w:val="00CC0012"/>
    <w:rsid w:val="00CC0052"/>
    <w:rsid w:val="00CC00A4"/>
    <w:rsid w:val="00CC00CB"/>
    <w:rsid w:val="00CC011E"/>
    <w:rsid w:val="00CC0158"/>
    <w:rsid w:val="00CC0164"/>
    <w:rsid w:val="00CC0179"/>
    <w:rsid w:val="00CC01B5"/>
    <w:rsid w:val="00CC01C8"/>
    <w:rsid w:val="00CC0238"/>
    <w:rsid w:val="00CC02D0"/>
    <w:rsid w:val="00CC039C"/>
    <w:rsid w:val="00CC03D5"/>
    <w:rsid w:val="00CC03F1"/>
    <w:rsid w:val="00CC0400"/>
    <w:rsid w:val="00CC0416"/>
    <w:rsid w:val="00CC0458"/>
    <w:rsid w:val="00CC0462"/>
    <w:rsid w:val="00CC0497"/>
    <w:rsid w:val="00CC04B0"/>
    <w:rsid w:val="00CC052F"/>
    <w:rsid w:val="00CC0563"/>
    <w:rsid w:val="00CC058A"/>
    <w:rsid w:val="00CC0597"/>
    <w:rsid w:val="00CC05B3"/>
    <w:rsid w:val="00CC05E5"/>
    <w:rsid w:val="00CC0645"/>
    <w:rsid w:val="00CC0679"/>
    <w:rsid w:val="00CC06C9"/>
    <w:rsid w:val="00CC06DD"/>
    <w:rsid w:val="00CC06E6"/>
    <w:rsid w:val="00CC0794"/>
    <w:rsid w:val="00CC081B"/>
    <w:rsid w:val="00CC0824"/>
    <w:rsid w:val="00CC0843"/>
    <w:rsid w:val="00CC0872"/>
    <w:rsid w:val="00CC08DB"/>
    <w:rsid w:val="00CC08DE"/>
    <w:rsid w:val="00CC0933"/>
    <w:rsid w:val="00CC0948"/>
    <w:rsid w:val="00CC095E"/>
    <w:rsid w:val="00CC097E"/>
    <w:rsid w:val="00CC0998"/>
    <w:rsid w:val="00CC09E7"/>
    <w:rsid w:val="00CC09FA"/>
    <w:rsid w:val="00CC0A0B"/>
    <w:rsid w:val="00CC0A60"/>
    <w:rsid w:val="00CC0A71"/>
    <w:rsid w:val="00CC0AB2"/>
    <w:rsid w:val="00CC0AE5"/>
    <w:rsid w:val="00CC0B21"/>
    <w:rsid w:val="00CC0BAE"/>
    <w:rsid w:val="00CC0BE8"/>
    <w:rsid w:val="00CC0C0A"/>
    <w:rsid w:val="00CC0DA7"/>
    <w:rsid w:val="00CC0E57"/>
    <w:rsid w:val="00CC0E7E"/>
    <w:rsid w:val="00CC0EFF"/>
    <w:rsid w:val="00CC0F0C"/>
    <w:rsid w:val="00CC0FF3"/>
    <w:rsid w:val="00CC100D"/>
    <w:rsid w:val="00CC1074"/>
    <w:rsid w:val="00CC10B2"/>
    <w:rsid w:val="00CC10FC"/>
    <w:rsid w:val="00CC1132"/>
    <w:rsid w:val="00CC11A8"/>
    <w:rsid w:val="00CC11C5"/>
    <w:rsid w:val="00CC11D6"/>
    <w:rsid w:val="00CC11DC"/>
    <w:rsid w:val="00CC1205"/>
    <w:rsid w:val="00CC1214"/>
    <w:rsid w:val="00CC126D"/>
    <w:rsid w:val="00CC1282"/>
    <w:rsid w:val="00CC12CE"/>
    <w:rsid w:val="00CC12EE"/>
    <w:rsid w:val="00CC1335"/>
    <w:rsid w:val="00CC135A"/>
    <w:rsid w:val="00CC1398"/>
    <w:rsid w:val="00CC141B"/>
    <w:rsid w:val="00CC1454"/>
    <w:rsid w:val="00CC1459"/>
    <w:rsid w:val="00CC14CD"/>
    <w:rsid w:val="00CC1514"/>
    <w:rsid w:val="00CC154D"/>
    <w:rsid w:val="00CC1576"/>
    <w:rsid w:val="00CC1596"/>
    <w:rsid w:val="00CC16D7"/>
    <w:rsid w:val="00CC1710"/>
    <w:rsid w:val="00CC175B"/>
    <w:rsid w:val="00CC1780"/>
    <w:rsid w:val="00CC17C5"/>
    <w:rsid w:val="00CC186F"/>
    <w:rsid w:val="00CC18A8"/>
    <w:rsid w:val="00CC18B3"/>
    <w:rsid w:val="00CC18CE"/>
    <w:rsid w:val="00CC1901"/>
    <w:rsid w:val="00CC1912"/>
    <w:rsid w:val="00CC193B"/>
    <w:rsid w:val="00CC1949"/>
    <w:rsid w:val="00CC194F"/>
    <w:rsid w:val="00CC1963"/>
    <w:rsid w:val="00CC198F"/>
    <w:rsid w:val="00CC1A78"/>
    <w:rsid w:val="00CC1A8F"/>
    <w:rsid w:val="00CC1AB2"/>
    <w:rsid w:val="00CC1AD5"/>
    <w:rsid w:val="00CC1B32"/>
    <w:rsid w:val="00CC1B44"/>
    <w:rsid w:val="00CC1B81"/>
    <w:rsid w:val="00CC1B96"/>
    <w:rsid w:val="00CC1C03"/>
    <w:rsid w:val="00CC1C05"/>
    <w:rsid w:val="00CC1C45"/>
    <w:rsid w:val="00CC1C70"/>
    <w:rsid w:val="00CC1C72"/>
    <w:rsid w:val="00CC1CB8"/>
    <w:rsid w:val="00CC1CD3"/>
    <w:rsid w:val="00CC1CE5"/>
    <w:rsid w:val="00CC1CE9"/>
    <w:rsid w:val="00CC1D2A"/>
    <w:rsid w:val="00CC1D34"/>
    <w:rsid w:val="00CC1D4A"/>
    <w:rsid w:val="00CC1DA6"/>
    <w:rsid w:val="00CC1DDF"/>
    <w:rsid w:val="00CC1F06"/>
    <w:rsid w:val="00CC1F5D"/>
    <w:rsid w:val="00CC1FB7"/>
    <w:rsid w:val="00CC20B8"/>
    <w:rsid w:val="00CC2176"/>
    <w:rsid w:val="00CC219A"/>
    <w:rsid w:val="00CC21CF"/>
    <w:rsid w:val="00CC21F5"/>
    <w:rsid w:val="00CC2205"/>
    <w:rsid w:val="00CC2260"/>
    <w:rsid w:val="00CC22CF"/>
    <w:rsid w:val="00CC231A"/>
    <w:rsid w:val="00CC2345"/>
    <w:rsid w:val="00CC23B6"/>
    <w:rsid w:val="00CC2425"/>
    <w:rsid w:val="00CC2443"/>
    <w:rsid w:val="00CC24C3"/>
    <w:rsid w:val="00CC24E9"/>
    <w:rsid w:val="00CC24EF"/>
    <w:rsid w:val="00CC2546"/>
    <w:rsid w:val="00CC2554"/>
    <w:rsid w:val="00CC2565"/>
    <w:rsid w:val="00CC259E"/>
    <w:rsid w:val="00CC25AE"/>
    <w:rsid w:val="00CC25E5"/>
    <w:rsid w:val="00CC269E"/>
    <w:rsid w:val="00CC26E4"/>
    <w:rsid w:val="00CC26ED"/>
    <w:rsid w:val="00CC2728"/>
    <w:rsid w:val="00CC27FF"/>
    <w:rsid w:val="00CC2807"/>
    <w:rsid w:val="00CC281C"/>
    <w:rsid w:val="00CC28C3"/>
    <w:rsid w:val="00CC28F5"/>
    <w:rsid w:val="00CC2902"/>
    <w:rsid w:val="00CC296F"/>
    <w:rsid w:val="00CC29E4"/>
    <w:rsid w:val="00CC2A4F"/>
    <w:rsid w:val="00CC2A84"/>
    <w:rsid w:val="00CC2AD1"/>
    <w:rsid w:val="00CC2B1D"/>
    <w:rsid w:val="00CC2B80"/>
    <w:rsid w:val="00CC2BB9"/>
    <w:rsid w:val="00CC2BF4"/>
    <w:rsid w:val="00CC2C83"/>
    <w:rsid w:val="00CC2CE9"/>
    <w:rsid w:val="00CC2CF7"/>
    <w:rsid w:val="00CC2D4D"/>
    <w:rsid w:val="00CC2D69"/>
    <w:rsid w:val="00CC2DE7"/>
    <w:rsid w:val="00CC2DE8"/>
    <w:rsid w:val="00CC2E2A"/>
    <w:rsid w:val="00CC2E40"/>
    <w:rsid w:val="00CC2E91"/>
    <w:rsid w:val="00CC2EE4"/>
    <w:rsid w:val="00CC2EE6"/>
    <w:rsid w:val="00CC2F0C"/>
    <w:rsid w:val="00CC2F6F"/>
    <w:rsid w:val="00CC2FF0"/>
    <w:rsid w:val="00CC2FF7"/>
    <w:rsid w:val="00CC300C"/>
    <w:rsid w:val="00CC302E"/>
    <w:rsid w:val="00CC303A"/>
    <w:rsid w:val="00CC3066"/>
    <w:rsid w:val="00CC3142"/>
    <w:rsid w:val="00CC3193"/>
    <w:rsid w:val="00CC3220"/>
    <w:rsid w:val="00CC3250"/>
    <w:rsid w:val="00CC3262"/>
    <w:rsid w:val="00CC32CC"/>
    <w:rsid w:val="00CC32E7"/>
    <w:rsid w:val="00CC3365"/>
    <w:rsid w:val="00CC33B4"/>
    <w:rsid w:val="00CC33BD"/>
    <w:rsid w:val="00CC33E1"/>
    <w:rsid w:val="00CC3410"/>
    <w:rsid w:val="00CC341E"/>
    <w:rsid w:val="00CC3481"/>
    <w:rsid w:val="00CC34C1"/>
    <w:rsid w:val="00CC34CD"/>
    <w:rsid w:val="00CC3555"/>
    <w:rsid w:val="00CC358D"/>
    <w:rsid w:val="00CC35A0"/>
    <w:rsid w:val="00CC35A6"/>
    <w:rsid w:val="00CC35ED"/>
    <w:rsid w:val="00CC3612"/>
    <w:rsid w:val="00CC3619"/>
    <w:rsid w:val="00CC3629"/>
    <w:rsid w:val="00CC3631"/>
    <w:rsid w:val="00CC3664"/>
    <w:rsid w:val="00CC36AA"/>
    <w:rsid w:val="00CC37C7"/>
    <w:rsid w:val="00CC3805"/>
    <w:rsid w:val="00CC3831"/>
    <w:rsid w:val="00CC385D"/>
    <w:rsid w:val="00CC3860"/>
    <w:rsid w:val="00CC3888"/>
    <w:rsid w:val="00CC38D9"/>
    <w:rsid w:val="00CC390C"/>
    <w:rsid w:val="00CC3938"/>
    <w:rsid w:val="00CC3949"/>
    <w:rsid w:val="00CC395A"/>
    <w:rsid w:val="00CC39A7"/>
    <w:rsid w:val="00CC39C7"/>
    <w:rsid w:val="00CC3A17"/>
    <w:rsid w:val="00CC3A34"/>
    <w:rsid w:val="00CC3A42"/>
    <w:rsid w:val="00CC3A58"/>
    <w:rsid w:val="00CC3A61"/>
    <w:rsid w:val="00CC3A9D"/>
    <w:rsid w:val="00CC3AA4"/>
    <w:rsid w:val="00CC3ACD"/>
    <w:rsid w:val="00CC3AE7"/>
    <w:rsid w:val="00CC3B13"/>
    <w:rsid w:val="00CC3B4D"/>
    <w:rsid w:val="00CC3B79"/>
    <w:rsid w:val="00CC3B93"/>
    <w:rsid w:val="00CC3B99"/>
    <w:rsid w:val="00CC3BB9"/>
    <w:rsid w:val="00CC3BCD"/>
    <w:rsid w:val="00CC3C2F"/>
    <w:rsid w:val="00CC3C48"/>
    <w:rsid w:val="00CC3C81"/>
    <w:rsid w:val="00CC3CB2"/>
    <w:rsid w:val="00CC3CBB"/>
    <w:rsid w:val="00CC3CEE"/>
    <w:rsid w:val="00CC3D01"/>
    <w:rsid w:val="00CC3D1E"/>
    <w:rsid w:val="00CC3D29"/>
    <w:rsid w:val="00CC3D49"/>
    <w:rsid w:val="00CC3E25"/>
    <w:rsid w:val="00CC3E6E"/>
    <w:rsid w:val="00CC3EB8"/>
    <w:rsid w:val="00CC3EC3"/>
    <w:rsid w:val="00CC3F30"/>
    <w:rsid w:val="00CC3F55"/>
    <w:rsid w:val="00CC3F8D"/>
    <w:rsid w:val="00CC3FD6"/>
    <w:rsid w:val="00CC3FEA"/>
    <w:rsid w:val="00CC4072"/>
    <w:rsid w:val="00CC40C9"/>
    <w:rsid w:val="00CC40D8"/>
    <w:rsid w:val="00CC40DA"/>
    <w:rsid w:val="00CC40E0"/>
    <w:rsid w:val="00CC40E5"/>
    <w:rsid w:val="00CC413C"/>
    <w:rsid w:val="00CC417A"/>
    <w:rsid w:val="00CC4195"/>
    <w:rsid w:val="00CC4232"/>
    <w:rsid w:val="00CC424F"/>
    <w:rsid w:val="00CC429E"/>
    <w:rsid w:val="00CC42AE"/>
    <w:rsid w:val="00CC42B3"/>
    <w:rsid w:val="00CC42BF"/>
    <w:rsid w:val="00CC430F"/>
    <w:rsid w:val="00CC431E"/>
    <w:rsid w:val="00CC436F"/>
    <w:rsid w:val="00CC4374"/>
    <w:rsid w:val="00CC43F9"/>
    <w:rsid w:val="00CC444C"/>
    <w:rsid w:val="00CC44E3"/>
    <w:rsid w:val="00CC44E6"/>
    <w:rsid w:val="00CC44FD"/>
    <w:rsid w:val="00CC4597"/>
    <w:rsid w:val="00CC466B"/>
    <w:rsid w:val="00CC4673"/>
    <w:rsid w:val="00CC4675"/>
    <w:rsid w:val="00CC46D1"/>
    <w:rsid w:val="00CC46E9"/>
    <w:rsid w:val="00CC4756"/>
    <w:rsid w:val="00CC4783"/>
    <w:rsid w:val="00CC479B"/>
    <w:rsid w:val="00CC479C"/>
    <w:rsid w:val="00CC47B5"/>
    <w:rsid w:val="00CC47B7"/>
    <w:rsid w:val="00CC4810"/>
    <w:rsid w:val="00CC4845"/>
    <w:rsid w:val="00CC4872"/>
    <w:rsid w:val="00CC48A6"/>
    <w:rsid w:val="00CC48B9"/>
    <w:rsid w:val="00CC48C3"/>
    <w:rsid w:val="00CC48E6"/>
    <w:rsid w:val="00CC4978"/>
    <w:rsid w:val="00CC49E3"/>
    <w:rsid w:val="00CC49F9"/>
    <w:rsid w:val="00CC4A06"/>
    <w:rsid w:val="00CC4A0F"/>
    <w:rsid w:val="00CC4A27"/>
    <w:rsid w:val="00CC4A2C"/>
    <w:rsid w:val="00CC4A90"/>
    <w:rsid w:val="00CC4AAC"/>
    <w:rsid w:val="00CC4AE6"/>
    <w:rsid w:val="00CC4AEE"/>
    <w:rsid w:val="00CC4B25"/>
    <w:rsid w:val="00CC4B4E"/>
    <w:rsid w:val="00CC4B72"/>
    <w:rsid w:val="00CC4BDE"/>
    <w:rsid w:val="00CC4BE8"/>
    <w:rsid w:val="00CC4C09"/>
    <w:rsid w:val="00CC4C0F"/>
    <w:rsid w:val="00CC4C2B"/>
    <w:rsid w:val="00CC4C56"/>
    <w:rsid w:val="00CC4C6B"/>
    <w:rsid w:val="00CC4C91"/>
    <w:rsid w:val="00CC4CF1"/>
    <w:rsid w:val="00CC4D06"/>
    <w:rsid w:val="00CC4D17"/>
    <w:rsid w:val="00CC4D26"/>
    <w:rsid w:val="00CC4D4A"/>
    <w:rsid w:val="00CC4D73"/>
    <w:rsid w:val="00CC4DA7"/>
    <w:rsid w:val="00CC4DE9"/>
    <w:rsid w:val="00CC4DED"/>
    <w:rsid w:val="00CC4E01"/>
    <w:rsid w:val="00CC4E10"/>
    <w:rsid w:val="00CC4E42"/>
    <w:rsid w:val="00CC4E4B"/>
    <w:rsid w:val="00CC4EC6"/>
    <w:rsid w:val="00CC4EF2"/>
    <w:rsid w:val="00CC4EFB"/>
    <w:rsid w:val="00CC4EFD"/>
    <w:rsid w:val="00CC4F1A"/>
    <w:rsid w:val="00CC4F33"/>
    <w:rsid w:val="00CC4F6D"/>
    <w:rsid w:val="00CC4F73"/>
    <w:rsid w:val="00CC4FC0"/>
    <w:rsid w:val="00CC4FCA"/>
    <w:rsid w:val="00CC4FD2"/>
    <w:rsid w:val="00CC4FE3"/>
    <w:rsid w:val="00CC505B"/>
    <w:rsid w:val="00CC50AA"/>
    <w:rsid w:val="00CC50D7"/>
    <w:rsid w:val="00CC5134"/>
    <w:rsid w:val="00CC513B"/>
    <w:rsid w:val="00CC5146"/>
    <w:rsid w:val="00CC516A"/>
    <w:rsid w:val="00CC519D"/>
    <w:rsid w:val="00CC51C6"/>
    <w:rsid w:val="00CC527A"/>
    <w:rsid w:val="00CC5293"/>
    <w:rsid w:val="00CC52C2"/>
    <w:rsid w:val="00CC5329"/>
    <w:rsid w:val="00CC538E"/>
    <w:rsid w:val="00CC53F3"/>
    <w:rsid w:val="00CC543B"/>
    <w:rsid w:val="00CC54A2"/>
    <w:rsid w:val="00CC54AB"/>
    <w:rsid w:val="00CC54F4"/>
    <w:rsid w:val="00CC5503"/>
    <w:rsid w:val="00CC55AF"/>
    <w:rsid w:val="00CC55CA"/>
    <w:rsid w:val="00CC55FB"/>
    <w:rsid w:val="00CC5616"/>
    <w:rsid w:val="00CC5660"/>
    <w:rsid w:val="00CC567C"/>
    <w:rsid w:val="00CC5684"/>
    <w:rsid w:val="00CC5688"/>
    <w:rsid w:val="00CC56BC"/>
    <w:rsid w:val="00CC5728"/>
    <w:rsid w:val="00CC577E"/>
    <w:rsid w:val="00CC586A"/>
    <w:rsid w:val="00CC588C"/>
    <w:rsid w:val="00CC58B5"/>
    <w:rsid w:val="00CC58E2"/>
    <w:rsid w:val="00CC5922"/>
    <w:rsid w:val="00CC5933"/>
    <w:rsid w:val="00CC5980"/>
    <w:rsid w:val="00CC5B06"/>
    <w:rsid w:val="00CC5B0F"/>
    <w:rsid w:val="00CC5B6A"/>
    <w:rsid w:val="00CC5B82"/>
    <w:rsid w:val="00CC5BE3"/>
    <w:rsid w:val="00CC5BF2"/>
    <w:rsid w:val="00CC5C0E"/>
    <w:rsid w:val="00CC5C29"/>
    <w:rsid w:val="00CC5CA5"/>
    <w:rsid w:val="00CC5CF2"/>
    <w:rsid w:val="00CC5D40"/>
    <w:rsid w:val="00CC5D79"/>
    <w:rsid w:val="00CC5D98"/>
    <w:rsid w:val="00CC5DA1"/>
    <w:rsid w:val="00CC5DAC"/>
    <w:rsid w:val="00CC5DBB"/>
    <w:rsid w:val="00CC5DC3"/>
    <w:rsid w:val="00CC5E02"/>
    <w:rsid w:val="00CC5F29"/>
    <w:rsid w:val="00CC5F67"/>
    <w:rsid w:val="00CC5FDB"/>
    <w:rsid w:val="00CC5FDF"/>
    <w:rsid w:val="00CC5FE6"/>
    <w:rsid w:val="00CC5FEC"/>
    <w:rsid w:val="00CC610A"/>
    <w:rsid w:val="00CC6123"/>
    <w:rsid w:val="00CC617E"/>
    <w:rsid w:val="00CC61E5"/>
    <w:rsid w:val="00CC61FF"/>
    <w:rsid w:val="00CC623E"/>
    <w:rsid w:val="00CC62D0"/>
    <w:rsid w:val="00CC62F6"/>
    <w:rsid w:val="00CC630B"/>
    <w:rsid w:val="00CC6341"/>
    <w:rsid w:val="00CC6372"/>
    <w:rsid w:val="00CC63AB"/>
    <w:rsid w:val="00CC6440"/>
    <w:rsid w:val="00CC6497"/>
    <w:rsid w:val="00CC64E5"/>
    <w:rsid w:val="00CC6531"/>
    <w:rsid w:val="00CC65EF"/>
    <w:rsid w:val="00CC6656"/>
    <w:rsid w:val="00CC66CD"/>
    <w:rsid w:val="00CC66F3"/>
    <w:rsid w:val="00CC671A"/>
    <w:rsid w:val="00CC677E"/>
    <w:rsid w:val="00CC67B9"/>
    <w:rsid w:val="00CC67F4"/>
    <w:rsid w:val="00CC6892"/>
    <w:rsid w:val="00CC690B"/>
    <w:rsid w:val="00CC6971"/>
    <w:rsid w:val="00CC6988"/>
    <w:rsid w:val="00CC6A66"/>
    <w:rsid w:val="00CC6B6D"/>
    <w:rsid w:val="00CC6B9A"/>
    <w:rsid w:val="00CC6B9B"/>
    <w:rsid w:val="00CC6BA5"/>
    <w:rsid w:val="00CC6C00"/>
    <w:rsid w:val="00CC6C4F"/>
    <w:rsid w:val="00CC6C64"/>
    <w:rsid w:val="00CC6C66"/>
    <w:rsid w:val="00CC6C7D"/>
    <w:rsid w:val="00CC6CDE"/>
    <w:rsid w:val="00CC6D99"/>
    <w:rsid w:val="00CC6DE2"/>
    <w:rsid w:val="00CC6DF9"/>
    <w:rsid w:val="00CC6E1D"/>
    <w:rsid w:val="00CC6E5D"/>
    <w:rsid w:val="00CC6F22"/>
    <w:rsid w:val="00CC6F4B"/>
    <w:rsid w:val="00CC6F61"/>
    <w:rsid w:val="00CC6F6D"/>
    <w:rsid w:val="00CC70C7"/>
    <w:rsid w:val="00CC7116"/>
    <w:rsid w:val="00CC7136"/>
    <w:rsid w:val="00CC7173"/>
    <w:rsid w:val="00CC71FA"/>
    <w:rsid w:val="00CC724B"/>
    <w:rsid w:val="00CC727F"/>
    <w:rsid w:val="00CC72F3"/>
    <w:rsid w:val="00CC7397"/>
    <w:rsid w:val="00CC73A1"/>
    <w:rsid w:val="00CC73AD"/>
    <w:rsid w:val="00CC73FB"/>
    <w:rsid w:val="00CC7402"/>
    <w:rsid w:val="00CC743B"/>
    <w:rsid w:val="00CC7442"/>
    <w:rsid w:val="00CC749D"/>
    <w:rsid w:val="00CC753D"/>
    <w:rsid w:val="00CC759A"/>
    <w:rsid w:val="00CC75E2"/>
    <w:rsid w:val="00CC75F6"/>
    <w:rsid w:val="00CC7651"/>
    <w:rsid w:val="00CC7668"/>
    <w:rsid w:val="00CC769F"/>
    <w:rsid w:val="00CC76E7"/>
    <w:rsid w:val="00CC76F1"/>
    <w:rsid w:val="00CC773F"/>
    <w:rsid w:val="00CC7790"/>
    <w:rsid w:val="00CC77C3"/>
    <w:rsid w:val="00CC77E8"/>
    <w:rsid w:val="00CC7840"/>
    <w:rsid w:val="00CC785A"/>
    <w:rsid w:val="00CC78A2"/>
    <w:rsid w:val="00CC78C5"/>
    <w:rsid w:val="00CC78D3"/>
    <w:rsid w:val="00CC78D4"/>
    <w:rsid w:val="00CC78DA"/>
    <w:rsid w:val="00CC78E9"/>
    <w:rsid w:val="00CC78FC"/>
    <w:rsid w:val="00CC78FF"/>
    <w:rsid w:val="00CC7984"/>
    <w:rsid w:val="00CC79E9"/>
    <w:rsid w:val="00CC79F8"/>
    <w:rsid w:val="00CC7AB1"/>
    <w:rsid w:val="00CC7ACA"/>
    <w:rsid w:val="00CC7B01"/>
    <w:rsid w:val="00CC7B1D"/>
    <w:rsid w:val="00CC7B85"/>
    <w:rsid w:val="00CC7C99"/>
    <w:rsid w:val="00CC7CCB"/>
    <w:rsid w:val="00CC7DAE"/>
    <w:rsid w:val="00CC7DE6"/>
    <w:rsid w:val="00CC7E1F"/>
    <w:rsid w:val="00CC7E4D"/>
    <w:rsid w:val="00CC7E66"/>
    <w:rsid w:val="00CC7F35"/>
    <w:rsid w:val="00CC7F44"/>
    <w:rsid w:val="00CC7F4B"/>
    <w:rsid w:val="00CC7FA7"/>
    <w:rsid w:val="00CC7FDF"/>
    <w:rsid w:val="00CCA592"/>
    <w:rsid w:val="00CCBC19"/>
    <w:rsid w:val="00CD0035"/>
    <w:rsid w:val="00CD0043"/>
    <w:rsid w:val="00CD0070"/>
    <w:rsid w:val="00CD00E4"/>
    <w:rsid w:val="00CD0111"/>
    <w:rsid w:val="00CD0132"/>
    <w:rsid w:val="00CD01C9"/>
    <w:rsid w:val="00CD0200"/>
    <w:rsid w:val="00CD026E"/>
    <w:rsid w:val="00CD0271"/>
    <w:rsid w:val="00CD0276"/>
    <w:rsid w:val="00CD0296"/>
    <w:rsid w:val="00CD030B"/>
    <w:rsid w:val="00CD031E"/>
    <w:rsid w:val="00CD032C"/>
    <w:rsid w:val="00CD0352"/>
    <w:rsid w:val="00CD0365"/>
    <w:rsid w:val="00CD038B"/>
    <w:rsid w:val="00CD03A1"/>
    <w:rsid w:val="00CD0448"/>
    <w:rsid w:val="00CD044B"/>
    <w:rsid w:val="00CD046A"/>
    <w:rsid w:val="00CD047B"/>
    <w:rsid w:val="00CD04BE"/>
    <w:rsid w:val="00CD04C2"/>
    <w:rsid w:val="00CD04FB"/>
    <w:rsid w:val="00CD051D"/>
    <w:rsid w:val="00CD0546"/>
    <w:rsid w:val="00CD0556"/>
    <w:rsid w:val="00CD0572"/>
    <w:rsid w:val="00CD0576"/>
    <w:rsid w:val="00CD05E5"/>
    <w:rsid w:val="00CD06D6"/>
    <w:rsid w:val="00CD06FD"/>
    <w:rsid w:val="00CD076A"/>
    <w:rsid w:val="00CD07C8"/>
    <w:rsid w:val="00CD07D5"/>
    <w:rsid w:val="00CD0801"/>
    <w:rsid w:val="00CD084F"/>
    <w:rsid w:val="00CD0890"/>
    <w:rsid w:val="00CD089B"/>
    <w:rsid w:val="00CD08F5"/>
    <w:rsid w:val="00CD0918"/>
    <w:rsid w:val="00CD091F"/>
    <w:rsid w:val="00CD0956"/>
    <w:rsid w:val="00CD0991"/>
    <w:rsid w:val="00CD099C"/>
    <w:rsid w:val="00CD09BE"/>
    <w:rsid w:val="00CD09DB"/>
    <w:rsid w:val="00CD09F8"/>
    <w:rsid w:val="00CD0A43"/>
    <w:rsid w:val="00CD0A4D"/>
    <w:rsid w:val="00CD0A6D"/>
    <w:rsid w:val="00CD0A7D"/>
    <w:rsid w:val="00CD0A85"/>
    <w:rsid w:val="00CD0A8A"/>
    <w:rsid w:val="00CD0ACD"/>
    <w:rsid w:val="00CD0B08"/>
    <w:rsid w:val="00CD0B23"/>
    <w:rsid w:val="00CD0B74"/>
    <w:rsid w:val="00CD0BBD"/>
    <w:rsid w:val="00CD0C0D"/>
    <w:rsid w:val="00CD0C29"/>
    <w:rsid w:val="00CD0C42"/>
    <w:rsid w:val="00CD0C88"/>
    <w:rsid w:val="00CD0C8E"/>
    <w:rsid w:val="00CD0CB6"/>
    <w:rsid w:val="00CD0D54"/>
    <w:rsid w:val="00CD0D8A"/>
    <w:rsid w:val="00CD0DF7"/>
    <w:rsid w:val="00CD0DF9"/>
    <w:rsid w:val="00CD0E61"/>
    <w:rsid w:val="00CD0E87"/>
    <w:rsid w:val="00CD0EF8"/>
    <w:rsid w:val="00CD0F71"/>
    <w:rsid w:val="00CD0FA3"/>
    <w:rsid w:val="00CD0FEB"/>
    <w:rsid w:val="00CD101A"/>
    <w:rsid w:val="00CD1099"/>
    <w:rsid w:val="00CD10AD"/>
    <w:rsid w:val="00CD10C9"/>
    <w:rsid w:val="00CD10DC"/>
    <w:rsid w:val="00CD10E8"/>
    <w:rsid w:val="00CD10F7"/>
    <w:rsid w:val="00CD1147"/>
    <w:rsid w:val="00CD116E"/>
    <w:rsid w:val="00CD116F"/>
    <w:rsid w:val="00CD1172"/>
    <w:rsid w:val="00CD11A7"/>
    <w:rsid w:val="00CD1207"/>
    <w:rsid w:val="00CD123E"/>
    <w:rsid w:val="00CD1247"/>
    <w:rsid w:val="00CD1272"/>
    <w:rsid w:val="00CD1287"/>
    <w:rsid w:val="00CD13D8"/>
    <w:rsid w:val="00CD1414"/>
    <w:rsid w:val="00CD149A"/>
    <w:rsid w:val="00CD14A7"/>
    <w:rsid w:val="00CD1517"/>
    <w:rsid w:val="00CD1539"/>
    <w:rsid w:val="00CD155B"/>
    <w:rsid w:val="00CD15A2"/>
    <w:rsid w:val="00CD163F"/>
    <w:rsid w:val="00CD1648"/>
    <w:rsid w:val="00CD1681"/>
    <w:rsid w:val="00CD168E"/>
    <w:rsid w:val="00CD16B5"/>
    <w:rsid w:val="00CD16E4"/>
    <w:rsid w:val="00CD1707"/>
    <w:rsid w:val="00CD170A"/>
    <w:rsid w:val="00CD1732"/>
    <w:rsid w:val="00CD17CA"/>
    <w:rsid w:val="00CD17F7"/>
    <w:rsid w:val="00CD1806"/>
    <w:rsid w:val="00CD180C"/>
    <w:rsid w:val="00CD181C"/>
    <w:rsid w:val="00CD1845"/>
    <w:rsid w:val="00CD1862"/>
    <w:rsid w:val="00CD18C5"/>
    <w:rsid w:val="00CD18F5"/>
    <w:rsid w:val="00CD194F"/>
    <w:rsid w:val="00CD199B"/>
    <w:rsid w:val="00CD19EE"/>
    <w:rsid w:val="00CD1A86"/>
    <w:rsid w:val="00CD1AD6"/>
    <w:rsid w:val="00CD1AEB"/>
    <w:rsid w:val="00CD1B22"/>
    <w:rsid w:val="00CD1B30"/>
    <w:rsid w:val="00CD1B86"/>
    <w:rsid w:val="00CD1BF7"/>
    <w:rsid w:val="00CD1C19"/>
    <w:rsid w:val="00CD1CAB"/>
    <w:rsid w:val="00CD1CEA"/>
    <w:rsid w:val="00CD1D3B"/>
    <w:rsid w:val="00CD1E2F"/>
    <w:rsid w:val="00CD1E68"/>
    <w:rsid w:val="00CD1EC0"/>
    <w:rsid w:val="00CD1EDF"/>
    <w:rsid w:val="00CD1F01"/>
    <w:rsid w:val="00CD1FDE"/>
    <w:rsid w:val="00CD1FE6"/>
    <w:rsid w:val="00CD1FF7"/>
    <w:rsid w:val="00CD2023"/>
    <w:rsid w:val="00CD20B9"/>
    <w:rsid w:val="00CD20D4"/>
    <w:rsid w:val="00CD210E"/>
    <w:rsid w:val="00CD2162"/>
    <w:rsid w:val="00CD2191"/>
    <w:rsid w:val="00CD21C2"/>
    <w:rsid w:val="00CD2229"/>
    <w:rsid w:val="00CD227C"/>
    <w:rsid w:val="00CD2280"/>
    <w:rsid w:val="00CD2283"/>
    <w:rsid w:val="00CD22A9"/>
    <w:rsid w:val="00CD22CC"/>
    <w:rsid w:val="00CD22F7"/>
    <w:rsid w:val="00CD239B"/>
    <w:rsid w:val="00CD2403"/>
    <w:rsid w:val="00CD241D"/>
    <w:rsid w:val="00CD242D"/>
    <w:rsid w:val="00CD24A8"/>
    <w:rsid w:val="00CD2520"/>
    <w:rsid w:val="00CD2522"/>
    <w:rsid w:val="00CD2524"/>
    <w:rsid w:val="00CD25B9"/>
    <w:rsid w:val="00CD25D2"/>
    <w:rsid w:val="00CD25FF"/>
    <w:rsid w:val="00CD261C"/>
    <w:rsid w:val="00CD262C"/>
    <w:rsid w:val="00CD263A"/>
    <w:rsid w:val="00CD264F"/>
    <w:rsid w:val="00CD2651"/>
    <w:rsid w:val="00CD26FC"/>
    <w:rsid w:val="00CD2735"/>
    <w:rsid w:val="00CD283E"/>
    <w:rsid w:val="00CD285D"/>
    <w:rsid w:val="00CD287B"/>
    <w:rsid w:val="00CD28A4"/>
    <w:rsid w:val="00CD291F"/>
    <w:rsid w:val="00CD292B"/>
    <w:rsid w:val="00CD2934"/>
    <w:rsid w:val="00CD294B"/>
    <w:rsid w:val="00CD2977"/>
    <w:rsid w:val="00CD2992"/>
    <w:rsid w:val="00CD29A1"/>
    <w:rsid w:val="00CD2A71"/>
    <w:rsid w:val="00CD2A7B"/>
    <w:rsid w:val="00CD2A9D"/>
    <w:rsid w:val="00CD2B28"/>
    <w:rsid w:val="00CD2BA9"/>
    <w:rsid w:val="00CD2BBB"/>
    <w:rsid w:val="00CD2BC2"/>
    <w:rsid w:val="00CD2C8C"/>
    <w:rsid w:val="00CD2C9F"/>
    <w:rsid w:val="00CD2CBA"/>
    <w:rsid w:val="00CD2CD4"/>
    <w:rsid w:val="00CD2D0B"/>
    <w:rsid w:val="00CD2DDC"/>
    <w:rsid w:val="00CD2E4E"/>
    <w:rsid w:val="00CD2ECE"/>
    <w:rsid w:val="00CD2EDC"/>
    <w:rsid w:val="00CD2EDD"/>
    <w:rsid w:val="00CD2EFA"/>
    <w:rsid w:val="00CD2F53"/>
    <w:rsid w:val="00CD2F60"/>
    <w:rsid w:val="00CD2FF6"/>
    <w:rsid w:val="00CD2FF8"/>
    <w:rsid w:val="00CD3007"/>
    <w:rsid w:val="00CD30A5"/>
    <w:rsid w:val="00CD30A7"/>
    <w:rsid w:val="00CD3121"/>
    <w:rsid w:val="00CD31B1"/>
    <w:rsid w:val="00CD31B2"/>
    <w:rsid w:val="00CD31D6"/>
    <w:rsid w:val="00CD329B"/>
    <w:rsid w:val="00CD32CA"/>
    <w:rsid w:val="00CD32FB"/>
    <w:rsid w:val="00CD3309"/>
    <w:rsid w:val="00CD33A9"/>
    <w:rsid w:val="00CD3417"/>
    <w:rsid w:val="00CD3421"/>
    <w:rsid w:val="00CD34C5"/>
    <w:rsid w:val="00CD3502"/>
    <w:rsid w:val="00CD3542"/>
    <w:rsid w:val="00CD3588"/>
    <w:rsid w:val="00CD35B6"/>
    <w:rsid w:val="00CD35C2"/>
    <w:rsid w:val="00CD35D5"/>
    <w:rsid w:val="00CD360B"/>
    <w:rsid w:val="00CD3616"/>
    <w:rsid w:val="00CD362F"/>
    <w:rsid w:val="00CD3634"/>
    <w:rsid w:val="00CD364E"/>
    <w:rsid w:val="00CD3667"/>
    <w:rsid w:val="00CD36F2"/>
    <w:rsid w:val="00CD36FF"/>
    <w:rsid w:val="00CD3732"/>
    <w:rsid w:val="00CD3737"/>
    <w:rsid w:val="00CD3760"/>
    <w:rsid w:val="00CD3788"/>
    <w:rsid w:val="00CD37DA"/>
    <w:rsid w:val="00CD3802"/>
    <w:rsid w:val="00CD3841"/>
    <w:rsid w:val="00CD3868"/>
    <w:rsid w:val="00CD38B0"/>
    <w:rsid w:val="00CD38DE"/>
    <w:rsid w:val="00CD38FD"/>
    <w:rsid w:val="00CD392C"/>
    <w:rsid w:val="00CD39AD"/>
    <w:rsid w:val="00CD39F2"/>
    <w:rsid w:val="00CD3A31"/>
    <w:rsid w:val="00CD3A6C"/>
    <w:rsid w:val="00CD3B05"/>
    <w:rsid w:val="00CD3B19"/>
    <w:rsid w:val="00CD3B65"/>
    <w:rsid w:val="00CD3BE0"/>
    <w:rsid w:val="00CD3C9B"/>
    <w:rsid w:val="00CD3CB4"/>
    <w:rsid w:val="00CD3CF7"/>
    <w:rsid w:val="00CD3D0B"/>
    <w:rsid w:val="00CD3D15"/>
    <w:rsid w:val="00CD3D3B"/>
    <w:rsid w:val="00CD3D3E"/>
    <w:rsid w:val="00CD3D5A"/>
    <w:rsid w:val="00CD3DB9"/>
    <w:rsid w:val="00CD3E01"/>
    <w:rsid w:val="00CD3E1E"/>
    <w:rsid w:val="00CD3E66"/>
    <w:rsid w:val="00CD3E8B"/>
    <w:rsid w:val="00CD3E9B"/>
    <w:rsid w:val="00CD3EE5"/>
    <w:rsid w:val="00CD3EFD"/>
    <w:rsid w:val="00CD3F04"/>
    <w:rsid w:val="00CD3FB1"/>
    <w:rsid w:val="00CD4050"/>
    <w:rsid w:val="00CD406C"/>
    <w:rsid w:val="00CD406F"/>
    <w:rsid w:val="00CD408C"/>
    <w:rsid w:val="00CD40F0"/>
    <w:rsid w:val="00CD40F2"/>
    <w:rsid w:val="00CD4142"/>
    <w:rsid w:val="00CD41E3"/>
    <w:rsid w:val="00CD42D1"/>
    <w:rsid w:val="00CD42E5"/>
    <w:rsid w:val="00CD434B"/>
    <w:rsid w:val="00CD43BE"/>
    <w:rsid w:val="00CD43E8"/>
    <w:rsid w:val="00CD43EA"/>
    <w:rsid w:val="00CD441F"/>
    <w:rsid w:val="00CD4420"/>
    <w:rsid w:val="00CD4558"/>
    <w:rsid w:val="00CD4571"/>
    <w:rsid w:val="00CD45F7"/>
    <w:rsid w:val="00CD45FD"/>
    <w:rsid w:val="00CD4631"/>
    <w:rsid w:val="00CD4646"/>
    <w:rsid w:val="00CD46A5"/>
    <w:rsid w:val="00CD47A2"/>
    <w:rsid w:val="00CD47C3"/>
    <w:rsid w:val="00CD47FE"/>
    <w:rsid w:val="00CD4836"/>
    <w:rsid w:val="00CD485F"/>
    <w:rsid w:val="00CD4872"/>
    <w:rsid w:val="00CD48A5"/>
    <w:rsid w:val="00CD48BE"/>
    <w:rsid w:val="00CD4904"/>
    <w:rsid w:val="00CD4907"/>
    <w:rsid w:val="00CD4974"/>
    <w:rsid w:val="00CD499C"/>
    <w:rsid w:val="00CD49F3"/>
    <w:rsid w:val="00CD4A06"/>
    <w:rsid w:val="00CD4A2B"/>
    <w:rsid w:val="00CD4A67"/>
    <w:rsid w:val="00CD4A6B"/>
    <w:rsid w:val="00CD4A71"/>
    <w:rsid w:val="00CD4B55"/>
    <w:rsid w:val="00CD4B68"/>
    <w:rsid w:val="00CD4B71"/>
    <w:rsid w:val="00CD4B82"/>
    <w:rsid w:val="00CD4BC8"/>
    <w:rsid w:val="00CD4C36"/>
    <w:rsid w:val="00CD4C54"/>
    <w:rsid w:val="00CD4C57"/>
    <w:rsid w:val="00CD4C5B"/>
    <w:rsid w:val="00CD4C73"/>
    <w:rsid w:val="00CD4C7E"/>
    <w:rsid w:val="00CD4C9B"/>
    <w:rsid w:val="00CD4CF2"/>
    <w:rsid w:val="00CD4CF4"/>
    <w:rsid w:val="00CD4CF8"/>
    <w:rsid w:val="00CD4D28"/>
    <w:rsid w:val="00CD4D42"/>
    <w:rsid w:val="00CD4D7C"/>
    <w:rsid w:val="00CD4DA1"/>
    <w:rsid w:val="00CD4DAE"/>
    <w:rsid w:val="00CD4DBD"/>
    <w:rsid w:val="00CD4E13"/>
    <w:rsid w:val="00CD4E37"/>
    <w:rsid w:val="00CD4EB8"/>
    <w:rsid w:val="00CD4EC0"/>
    <w:rsid w:val="00CD4EC1"/>
    <w:rsid w:val="00CD4F6E"/>
    <w:rsid w:val="00CD4F89"/>
    <w:rsid w:val="00CD4F8E"/>
    <w:rsid w:val="00CD4F92"/>
    <w:rsid w:val="00CD4FB6"/>
    <w:rsid w:val="00CD4FD6"/>
    <w:rsid w:val="00CD4FE5"/>
    <w:rsid w:val="00CD4FEC"/>
    <w:rsid w:val="00CD4FFD"/>
    <w:rsid w:val="00CD507D"/>
    <w:rsid w:val="00CD510F"/>
    <w:rsid w:val="00CD51D3"/>
    <w:rsid w:val="00CD51DD"/>
    <w:rsid w:val="00CD5226"/>
    <w:rsid w:val="00CD5247"/>
    <w:rsid w:val="00CD5328"/>
    <w:rsid w:val="00CD5363"/>
    <w:rsid w:val="00CD5379"/>
    <w:rsid w:val="00CD53A0"/>
    <w:rsid w:val="00CD542B"/>
    <w:rsid w:val="00CD5446"/>
    <w:rsid w:val="00CD54B2"/>
    <w:rsid w:val="00CD54EF"/>
    <w:rsid w:val="00CD5563"/>
    <w:rsid w:val="00CD5579"/>
    <w:rsid w:val="00CD55D9"/>
    <w:rsid w:val="00CD55DF"/>
    <w:rsid w:val="00CD5614"/>
    <w:rsid w:val="00CD5644"/>
    <w:rsid w:val="00CD565A"/>
    <w:rsid w:val="00CD566D"/>
    <w:rsid w:val="00CD567F"/>
    <w:rsid w:val="00CD56B6"/>
    <w:rsid w:val="00CD56D5"/>
    <w:rsid w:val="00CD56D9"/>
    <w:rsid w:val="00CD5702"/>
    <w:rsid w:val="00CD5758"/>
    <w:rsid w:val="00CD577D"/>
    <w:rsid w:val="00CD5783"/>
    <w:rsid w:val="00CD57CB"/>
    <w:rsid w:val="00CD57CC"/>
    <w:rsid w:val="00CD5835"/>
    <w:rsid w:val="00CD5850"/>
    <w:rsid w:val="00CD5874"/>
    <w:rsid w:val="00CD587B"/>
    <w:rsid w:val="00CD58EC"/>
    <w:rsid w:val="00CD598B"/>
    <w:rsid w:val="00CD59A5"/>
    <w:rsid w:val="00CD59A8"/>
    <w:rsid w:val="00CD59FB"/>
    <w:rsid w:val="00CD5A30"/>
    <w:rsid w:val="00CD5ADC"/>
    <w:rsid w:val="00CD5AF3"/>
    <w:rsid w:val="00CD5B25"/>
    <w:rsid w:val="00CD5B7E"/>
    <w:rsid w:val="00CD5C35"/>
    <w:rsid w:val="00CD5C38"/>
    <w:rsid w:val="00CD5CDB"/>
    <w:rsid w:val="00CD5D4F"/>
    <w:rsid w:val="00CD5D58"/>
    <w:rsid w:val="00CD5E2F"/>
    <w:rsid w:val="00CD5E87"/>
    <w:rsid w:val="00CD5EBF"/>
    <w:rsid w:val="00CD5F0D"/>
    <w:rsid w:val="00CD5F63"/>
    <w:rsid w:val="00CD5F96"/>
    <w:rsid w:val="00CD5F9F"/>
    <w:rsid w:val="00CD5FAC"/>
    <w:rsid w:val="00CD603B"/>
    <w:rsid w:val="00CD604E"/>
    <w:rsid w:val="00CD6070"/>
    <w:rsid w:val="00CD60F7"/>
    <w:rsid w:val="00CD612F"/>
    <w:rsid w:val="00CD622A"/>
    <w:rsid w:val="00CD627F"/>
    <w:rsid w:val="00CD62AA"/>
    <w:rsid w:val="00CD62DB"/>
    <w:rsid w:val="00CD6303"/>
    <w:rsid w:val="00CD6324"/>
    <w:rsid w:val="00CD634C"/>
    <w:rsid w:val="00CD635F"/>
    <w:rsid w:val="00CD6376"/>
    <w:rsid w:val="00CD63C6"/>
    <w:rsid w:val="00CD63CD"/>
    <w:rsid w:val="00CD63EC"/>
    <w:rsid w:val="00CD6472"/>
    <w:rsid w:val="00CD64CA"/>
    <w:rsid w:val="00CD64D7"/>
    <w:rsid w:val="00CD6528"/>
    <w:rsid w:val="00CD6546"/>
    <w:rsid w:val="00CD6559"/>
    <w:rsid w:val="00CD656C"/>
    <w:rsid w:val="00CD6587"/>
    <w:rsid w:val="00CD6590"/>
    <w:rsid w:val="00CD65E7"/>
    <w:rsid w:val="00CD6603"/>
    <w:rsid w:val="00CD6613"/>
    <w:rsid w:val="00CD669A"/>
    <w:rsid w:val="00CD66DE"/>
    <w:rsid w:val="00CD66F2"/>
    <w:rsid w:val="00CD670B"/>
    <w:rsid w:val="00CD6723"/>
    <w:rsid w:val="00CD6784"/>
    <w:rsid w:val="00CD67B8"/>
    <w:rsid w:val="00CD6826"/>
    <w:rsid w:val="00CD6842"/>
    <w:rsid w:val="00CD6887"/>
    <w:rsid w:val="00CD68A5"/>
    <w:rsid w:val="00CD68BA"/>
    <w:rsid w:val="00CD68E0"/>
    <w:rsid w:val="00CD6936"/>
    <w:rsid w:val="00CD6958"/>
    <w:rsid w:val="00CD695B"/>
    <w:rsid w:val="00CD6965"/>
    <w:rsid w:val="00CD6987"/>
    <w:rsid w:val="00CD6992"/>
    <w:rsid w:val="00CD699F"/>
    <w:rsid w:val="00CD69D6"/>
    <w:rsid w:val="00CD69E3"/>
    <w:rsid w:val="00CD69F8"/>
    <w:rsid w:val="00CD6A52"/>
    <w:rsid w:val="00CD6A8A"/>
    <w:rsid w:val="00CD6AAD"/>
    <w:rsid w:val="00CD6AD4"/>
    <w:rsid w:val="00CD6B48"/>
    <w:rsid w:val="00CD6B51"/>
    <w:rsid w:val="00CD6B55"/>
    <w:rsid w:val="00CD6B73"/>
    <w:rsid w:val="00CD6B8D"/>
    <w:rsid w:val="00CD6BC3"/>
    <w:rsid w:val="00CD6C0B"/>
    <w:rsid w:val="00CD6C15"/>
    <w:rsid w:val="00CD6C38"/>
    <w:rsid w:val="00CD6C6C"/>
    <w:rsid w:val="00CD6C9E"/>
    <w:rsid w:val="00CD6CB3"/>
    <w:rsid w:val="00CD6CC6"/>
    <w:rsid w:val="00CD6CDE"/>
    <w:rsid w:val="00CD6D21"/>
    <w:rsid w:val="00CD6D92"/>
    <w:rsid w:val="00CD6DB4"/>
    <w:rsid w:val="00CD6DE3"/>
    <w:rsid w:val="00CD6DE8"/>
    <w:rsid w:val="00CD6E1C"/>
    <w:rsid w:val="00CD6E2E"/>
    <w:rsid w:val="00CD6E62"/>
    <w:rsid w:val="00CD6E9E"/>
    <w:rsid w:val="00CD6ECE"/>
    <w:rsid w:val="00CD6EDE"/>
    <w:rsid w:val="00CD6F07"/>
    <w:rsid w:val="00CD6F4C"/>
    <w:rsid w:val="00CD6F74"/>
    <w:rsid w:val="00CD6F83"/>
    <w:rsid w:val="00CD6FA0"/>
    <w:rsid w:val="00CD6FD5"/>
    <w:rsid w:val="00CD7015"/>
    <w:rsid w:val="00CD7036"/>
    <w:rsid w:val="00CD7055"/>
    <w:rsid w:val="00CD708B"/>
    <w:rsid w:val="00CD70B8"/>
    <w:rsid w:val="00CD7109"/>
    <w:rsid w:val="00CD7195"/>
    <w:rsid w:val="00CD727E"/>
    <w:rsid w:val="00CD729E"/>
    <w:rsid w:val="00CD7390"/>
    <w:rsid w:val="00CD73FE"/>
    <w:rsid w:val="00CD741F"/>
    <w:rsid w:val="00CD746D"/>
    <w:rsid w:val="00CD7512"/>
    <w:rsid w:val="00CD7530"/>
    <w:rsid w:val="00CD7531"/>
    <w:rsid w:val="00CD7582"/>
    <w:rsid w:val="00CD75CD"/>
    <w:rsid w:val="00CD7619"/>
    <w:rsid w:val="00CD765C"/>
    <w:rsid w:val="00CD7664"/>
    <w:rsid w:val="00CD7669"/>
    <w:rsid w:val="00CD7726"/>
    <w:rsid w:val="00CD772E"/>
    <w:rsid w:val="00CD775A"/>
    <w:rsid w:val="00CD778C"/>
    <w:rsid w:val="00CD77E2"/>
    <w:rsid w:val="00CD77F7"/>
    <w:rsid w:val="00CD7840"/>
    <w:rsid w:val="00CD789C"/>
    <w:rsid w:val="00CD791E"/>
    <w:rsid w:val="00CD7957"/>
    <w:rsid w:val="00CD796C"/>
    <w:rsid w:val="00CD799C"/>
    <w:rsid w:val="00CD79B9"/>
    <w:rsid w:val="00CD79C3"/>
    <w:rsid w:val="00CD79D2"/>
    <w:rsid w:val="00CD7A40"/>
    <w:rsid w:val="00CD7A69"/>
    <w:rsid w:val="00CD7A96"/>
    <w:rsid w:val="00CD7ACB"/>
    <w:rsid w:val="00CD7B54"/>
    <w:rsid w:val="00CD7BD0"/>
    <w:rsid w:val="00CD7C01"/>
    <w:rsid w:val="00CD7C73"/>
    <w:rsid w:val="00CD7C9E"/>
    <w:rsid w:val="00CD7D0D"/>
    <w:rsid w:val="00CD7D78"/>
    <w:rsid w:val="00CD7E2E"/>
    <w:rsid w:val="00CD7E3F"/>
    <w:rsid w:val="00CD7E6C"/>
    <w:rsid w:val="00CD7E7B"/>
    <w:rsid w:val="00CD7E91"/>
    <w:rsid w:val="00CD7EF9"/>
    <w:rsid w:val="00CD7F1D"/>
    <w:rsid w:val="00CD7F4C"/>
    <w:rsid w:val="00CD7FB3"/>
    <w:rsid w:val="00CD7FC8"/>
    <w:rsid w:val="00CE0000"/>
    <w:rsid w:val="00CE00C0"/>
    <w:rsid w:val="00CE010B"/>
    <w:rsid w:val="00CE0118"/>
    <w:rsid w:val="00CE0123"/>
    <w:rsid w:val="00CE0132"/>
    <w:rsid w:val="00CE0137"/>
    <w:rsid w:val="00CE014A"/>
    <w:rsid w:val="00CE0198"/>
    <w:rsid w:val="00CE01FB"/>
    <w:rsid w:val="00CE01FE"/>
    <w:rsid w:val="00CE0228"/>
    <w:rsid w:val="00CE0256"/>
    <w:rsid w:val="00CE0263"/>
    <w:rsid w:val="00CE0271"/>
    <w:rsid w:val="00CE0300"/>
    <w:rsid w:val="00CE0356"/>
    <w:rsid w:val="00CE0366"/>
    <w:rsid w:val="00CE038D"/>
    <w:rsid w:val="00CE03B8"/>
    <w:rsid w:val="00CE03BE"/>
    <w:rsid w:val="00CE03D8"/>
    <w:rsid w:val="00CE03F2"/>
    <w:rsid w:val="00CE03FD"/>
    <w:rsid w:val="00CE0449"/>
    <w:rsid w:val="00CE048D"/>
    <w:rsid w:val="00CE051B"/>
    <w:rsid w:val="00CE058F"/>
    <w:rsid w:val="00CE05FC"/>
    <w:rsid w:val="00CE0609"/>
    <w:rsid w:val="00CE0680"/>
    <w:rsid w:val="00CE06D6"/>
    <w:rsid w:val="00CE0718"/>
    <w:rsid w:val="00CE07E2"/>
    <w:rsid w:val="00CE07EB"/>
    <w:rsid w:val="00CE07F3"/>
    <w:rsid w:val="00CE0806"/>
    <w:rsid w:val="00CE0880"/>
    <w:rsid w:val="00CE08EF"/>
    <w:rsid w:val="00CE08FA"/>
    <w:rsid w:val="00CE0920"/>
    <w:rsid w:val="00CE09A1"/>
    <w:rsid w:val="00CE09CB"/>
    <w:rsid w:val="00CE0A54"/>
    <w:rsid w:val="00CE0A72"/>
    <w:rsid w:val="00CE0B27"/>
    <w:rsid w:val="00CE0B5C"/>
    <w:rsid w:val="00CE0B62"/>
    <w:rsid w:val="00CE0B7B"/>
    <w:rsid w:val="00CE0B83"/>
    <w:rsid w:val="00CE0C6E"/>
    <w:rsid w:val="00CE0C8F"/>
    <w:rsid w:val="00CE0C93"/>
    <w:rsid w:val="00CE0D1A"/>
    <w:rsid w:val="00CE0D1C"/>
    <w:rsid w:val="00CE0D1D"/>
    <w:rsid w:val="00CE0D31"/>
    <w:rsid w:val="00CE0D60"/>
    <w:rsid w:val="00CE0DB8"/>
    <w:rsid w:val="00CE0DC4"/>
    <w:rsid w:val="00CE0DE4"/>
    <w:rsid w:val="00CE0E4B"/>
    <w:rsid w:val="00CE0E76"/>
    <w:rsid w:val="00CE0EA0"/>
    <w:rsid w:val="00CE0EFB"/>
    <w:rsid w:val="00CE0FA5"/>
    <w:rsid w:val="00CE0FD5"/>
    <w:rsid w:val="00CE0FF0"/>
    <w:rsid w:val="00CE1027"/>
    <w:rsid w:val="00CE1040"/>
    <w:rsid w:val="00CE104D"/>
    <w:rsid w:val="00CE1058"/>
    <w:rsid w:val="00CE10C8"/>
    <w:rsid w:val="00CE10EF"/>
    <w:rsid w:val="00CE1118"/>
    <w:rsid w:val="00CE11B6"/>
    <w:rsid w:val="00CE11E3"/>
    <w:rsid w:val="00CE1280"/>
    <w:rsid w:val="00CE12CE"/>
    <w:rsid w:val="00CE1386"/>
    <w:rsid w:val="00CE13C0"/>
    <w:rsid w:val="00CE1417"/>
    <w:rsid w:val="00CE1466"/>
    <w:rsid w:val="00CE14A9"/>
    <w:rsid w:val="00CE14B1"/>
    <w:rsid w:val="00CE14B3"/>
    <w:rsid w:val="00CE14B9"/>
    <w:rsid w:val="00CE14FC"/>
    <w:rsid w:val="00CE150B"/>
    <w:rsid w:val="00CE1523"/>
    <w:rsid w:val="00CE1547"/>
    <w:rsid w:val="00CE1563"/>
    <w:rsid w:val="00CE1582"/>
    <w:rsid w:val="00CE1593"/>
    <w:rsid w:val="00CE15DD"/>
    <w:rsid w:val="00CE166C"/>
    <w:rsid w:val="00CE16D3"/>
    <w:rsid w:val="00CE1702"/>
    <w:rsid w:val="00CE170D"/>
    <w:rsid w:val="00CE1723"/>
    <w:rsid w:val="00CE173B"/>
    <w:rsid w:val="00CE1763"/>
    <w:rsid w:val="00CE179D"/>
    <w:rsid w:val="00CE185B"/>
    <w:rsid w:val="00CE185D"/>
    <w:rsid w:val="00CE186A"/>
    <w:rsid w:val="00CE18FF"/>
    <w:rsid w:val="00CE191E"/>
    <w:rsid w:val="00CE1960"/>
    <w:rsid w:val="00CE1964"/>
    <w:rsid w:val="00CE197B"/>
    <w:rsid w:val="00CE198A"/>
    <w:rsid w:val="00CE1A70"/>
    <w:rsid w:val="00CE1A7F"/>
    <w:rsid w:val="00CE1AD3"/>
    <w:rsid w:val="00CE1AED"/>
    <w:rsid w:val="00CE1AF2"/>
    <w:rsid w:val="00CE1B0F"/>
    <w:rsid w:val="00CE1B19"/>
    <w:rsid w:val="00CE1B22"/>
    <w:rsid w:val="00CE1BF2"/>
    <w:rsid w:val="00CE1C3C"/>
    <w:rsid w:val="00CE1C4D"/>
    <w:rsid w:val="00CE1C6D"/>
    <w:rsid w:val="00CE1CAB"/>
    <w:rsid w:val="00CE1CC9"/>
    <w:rsid w:val="00CE1CE9"/>
    <w:rsid w:val="00CE1CFD"/>
    <w:rsid w:val="00CE1D17"/>
    <w:rsid w:val="00CE1D8F"/>
    <w:rsid w:val="00CE1DA2"/>
    <w:rsid w:val="00CE1DB2"/>
    <w:rsid w:val="00CE1DB4"/>
    <w:rsid w:val="00CE1DE2"/>
    <w:rsid w:val="00CE1DFC"/>
    <w:rsid w:val="00CE1E51"/>
    <w:rsid w:val="00CE1E7E"/>
    <w:rsid w:val="00CE1E89"/>
    <w:rsid w:val="00CE1EA2"/>
    <w:rsid w:val="00CE1ED0"/>
    <w:rsid w:val="00CE1EE0"/>
    <w:rsid w:val="00CE1EE7"/>
    <w:rsid w:val="00CE1EED"/>
    <w:rsid w:val="00CE1F0E"/>
    <w:rsid w:val="00CE1F36"/>
    <w:rsid w:val="00CE1FA0"/>
    <w:rsid w:val="00CE1FDE"/>
    <w:rsid w:val="00CE2028"/>
    <w:rsid w:val="00CE2075"/>
    <w:rsid w:val="00CE2076"/>
    <w:rsid w:val="00CE207E"/>
    <w:rsid w:val="00CE20DC"/>
    <w:rsid w:val="00CE20F8"/>
    <w:rsid w:val="00CE2102"/>
    <w:rsid w:val="00CE211B"/>
    <w:rsid w:val="00CE21B0"/>
    <w:rsid w:val="00CE21D1"/>
    <w:rsid w:val="00CE21E8"/>
    <w:rsid w:val="00CE21FC"/>
    <w:rsid w:val="00CE22A2"/>
    <w:rsid w:val="00CE22AF"/>
    <w:rsid w:val="00CE22C2"/>
    <w:rsid w:val="00CE22CF"/>
    <w:rsid w:val="00CE2370"/>
    <w:rsid w:val="00CE2384"/>
    <w:rsid w:val="00CE23C8"/>
    <w:rsid w:val="00CE2440"/>
    <w:rsid w:val="00CE2541"/>
    <w:rsid w:val="00CE2542"/>
    <w:rsid w:val="00CE256B"/>
    <w:rsid w:val="00CE25A7"/>
    <w:rsid w:val="00CE25E7"/>
    <w:rsid w:val="00CE2649"/>
    <w:rsid w:val="00CE26CC"/>
    <w:rsid w:val="00CE26D4"/>
    <w:rsid w:val="00CE26E5"/>
    <w:rsid w:val="00CE26F9"/>
    <w:rsid w:val="00CE270F"/>
    <w:rsid w:val="00CE274E"/>
    <w:rsid w:val="00CE27D2"/>
    <w:rsid w:val="00CE27FE"/>
    <w:rsid w:val="00CE2857"/>
    <w:rsid w:val="00CE2862"/>
    <w:rsid w:val="00CE28F4"/>
    <w:rsid w:val="00CE291D"/>
    <w:rsid w:val="00CE296C"/>
    <w:rsid w:val="00CE29BA"/>
    <w:rsid w:val="00CE29E9"/>
    <w:rsid w:val="00CE2A07"/>
    <w:rsid w:val="00CE2A4E"/>
    <w:rsid w:val="00CE2A64"/>
    <w:rsid w:val="00CE2A75"/>
    <w:rsid w:val="00CE2AD2"/>
    <w:rsid w:val="00CE2B2D"/>
    <w:rsid w:val="00CE2B35"/>
    <w:rsid w:val="00CE2B42"/>
    <w:rsid w:val="00CE2BC5"/>
    <w:rsid w:val="00CE2BCE"/>
    <w:rsid w:val="00CE2BE2"/>
    <w:rsid w:val="00CE2C4C"/>
    <w:rsid w:val="00CE2C52"/>
    <w:rsid w:val="00CE2C6C"/>
    <w:rsid w:val="00CE2C79"/>
    <w:rsid w:val="00CE2CB4"/>
    <w:rsid w:val="00CE2CC6"/>
    <w:rsid w:val="00CE2D02"/>
    <w:rsid w:val="00CE2D09"/>
    <w:rsid w:val="00CE2D2A"/>
    <w:rsid w:val="00CE2D4C"/>
    <w:rsid w:val="00CE2DA9"/>
    <w:rsid w:val="00CE2DFE"/>
    <w:rsid w:val="00CE2E35"/>
    <w:rsid w:val="00CE2ED7"/>
    <w:rsid w:val="00CE2F2E"/>
    <w:rsid w:val="00CE2F4D"/>
    <w:rsid w:val="00CE2F6D"/>
    <w:rsid w:val="00CE2FA3"/>
    <w:rsid w:val="00CE304D"/>
    <w:rsid w:val="00CE3051"/>
    <w:rsid w:val="00CE308D"/>
    <w:rsid w:val="00CE3110"/>
    <w:rsid w:val="00CE3158"/>
    <w:rsid w:val="00CE3166"/>
    <w:rsid w:val="00CE3172"/>
    <w:rsid w:val="00CE31B2"/>
    <w:rsid w:val="00CE31E4"/>
    <w:rsid w:val="00CE31F1"/>
    <w:rsid w:val="00CE3227"/>
    <w:rsid w:val="00CE3276"/>
    <w:rsid w:val="00CE32FE"/>
    <w:rsid w:val="00CE332E"/>
    <w:rsid w:val="00CE3334"/>
    <w:rsid w:val="00CE3350"/>
    <w:rsid w:val="00CE3374"/>
    <w:rsid w:val="00CE33A2"/>
    <w:rsid w:val="00CE3426"/>
    <w:rsid w:val="00CE3467"/>
    <w:rsid w:val="00CE346B"/>
    <w:rsid w:val="00CE34FF"/>
    <w:rsid w:val="00CE3541"/>
    <w:rsid w:val="00CE3572"/>
    <w:rsid w:val="00CE35FE"/>
    <w:rsid w:val="00CE3624"/>
    <w:rsid w:val="00CE36B4"/>
    <w:rsid w:val="00CE36E9"/>
    <w:rsid w:val="00CE3718"/>
    <w:rsid w:val="00CE379A"/>
    <w:rsid w:val="00CE3811"/>
    <w:rsid w:val="00CE3820"/>
    <w:rsid w:val="00CE3896"/>
    <w:rsid w:val="00CE38A2"/>
    <w:rsid w:val="00CE38B9"/>
    <w:rsid w:val="00CE38EF"/>
    <w:rsid w:val="00CE38F8"/>
    <w:rsid w:val="00CE3911"/>
    <w:rsid w:val="00CE3938"/>
    <w:rsid w:val="00CE3A19"/>
    <w:rsid w:val="00CE3A1D"/>
    <w:rsid w:val="00CE3A7F"/>
    <w:rsid w:val="00CE3C85"/>
    <w:rsid w:val="00CE3CCC"/>
    <w:rsid w:val="00CE3D47"/>
    <w:rsid w:val="00CE3D61"/>
    <w:rsid w:val="00CE3D6F"/>
    <w:rsid w:val="00CE3DA7"/>
    <w:rsid w:val="00CE3DDC"/>
    <w:rsid w:val="00CE3E70"/>
    <w:rsid w:val="00CE3E89"/>
    <w:rsid w:val="00CE3ED9"/>
    <w:rsid w:val="00CE3F27"/>
    <w:rsid w:val="00CE3F48"/>
    <w:rsid w:val="00CE3F4A"/>
    <w:rsid w:val="00CE3F4E"/>
    <w:rsid w:val="00CE3F8D"/>
    <w:rsid w:val="00CE3F8F"/>
    <w:rsid w:val="00CE3FAF"/>
    <w:rsid w:val="00CE3FB7"/>
    <w:rsid w:val="00CE3FEF"/>
    <w:rsid w:val="00CE3FFF"/>
    <w:rsid w:val="00CE401E"/>
    <w:rsid w:val="00CE4030"/>
    <w:rsid w:val="00CE4056"/>
    <w:rsid w:val="00CE40B9"/>
    <w:rsid w:val="00CE4173"/>
    <w:rsid w:val="00CE41B5"/>
    <w:rsid w:val="00CE4215"/>
    <w:rsid w:val="00CE4273"/>
    <w:rsid w:val="00CE4387"/>
    <w:rsid w:val="00CE4392"/>
    <w:rsid w:val="00CE439F"/>
    <w:rsid w:val="00CE43A6"/>
    <w:rsid w:val="00CE43C1"/>
    <w:rsid w:val="00CE4408"/>
    <w:rsid w:val="00CE442D"/>
    <w:rsid w:val="00CE4442"/>
    <w:rsid w:val="00CE449A"/>
    <w:rsid w:val="00CE4501"/>
    <w:rsid w:val="00CE455F"/>
    <w:rsid w:val="00CE45B1"/>
    <w:rsid w:val="00CE45DD"/>
    <w:rsid w:val="00CE464D"/>
    <w:rsid w:val="00CE46F4"/>
    <w:rsid w:val="00CE471B"/>
    <w:rsid w:val="00CE4720"/>
    <w:rsid w:val="00CE472E"/>
    <w:rsid w:val="00CE47A6"/>
    <w:rsid w:val="00CE47F5"/>
    <w:rsid w:val="00CE4805"/>
    <w:rsid w:val="00CE481B"/>
    <w:rsid w:val="00CE4820"/>
    <w:rsid w:val="00CE4824"/>
    <w:rsid w:val="00CE4825"/>
    <w:rsid w:val="00CE49B3"/>
    <w:rsid w:val="00CE49BE"/>
    <w:rsid w:val="00CE4A0A"/>
    <w:rsid w:val="00CE4A29"/>
    <w:rsid w:val="00CE4A3C"/>
    <w:rsid w:val="00CE4A4B"/>
    <w:rsid w:val="00CE4AAE"/>
    <w:rsid w:val="00CE4AC0"/>
    <w:rsid w:val="00CE4B0F"/>
    <w:rsid w:val="00CE4B13"/>
    <w:rsid w:val="00CE4B41"/>
    <w:rsid w:val="00CE4BA3"/>
    <w:rsid w:val="00CE4BA9"/>
    <w:rsid w:val="00CE4BB5"/>
    <w:rsid w:val="00CE4BB8"/>
    <w:rsid w:val="00CE4D38"/>
    <w:rsid w:val="00CE4D51"/>
    <w:rsid w:val="00CE4D7D"/>
    <w:rsid w:val="00CE4DBF"/>
    <w:rsid w:val="00CE4DC0"/>
    <w:rsid w:val="00CE4DC1"/>
    <w:rsid w:val="00CE4DD4"/>
    <w:rsid w:val="00CE4DEC"/>
    <w:rsid w:val="00CE4DFD"/>
    <w:rsid w:val="00CE4E40"/>
    <w:rsid w:val="00CE4E4F"/>
    <w:rsid w:val="00CE4E9A"/>
    <w:rsid w:val="00CE4F7E"/>
    <w:rsid w:val="00CE4FA2"/>
    <w:rsid w:val="00CE4FAB"/>
    <w:rsid w:val="00CE4FF8"/>
    <w:rsid w:val="00CE503E"/>
    <w:rsid w:val="00CE506B"/>
    <w:rsid w:val="00CE5073"/>
    <w:rsid w:val="00CE50A0"/>
    <w:rsid w:val="00CE50F9"/>
    <w:rsid w:val="00CE516B"/>
    <w:rsid w:val="00CE51B4"/>
    <w:rsid w:val="00CE51BB"/>
    <w:rsid w:val="00CE51C8"/>
    <w:rsid w:val="00CE5247"/>
    <w:rsid w:val="00CE5273"/>
    <w:rsid w:val="00CE5284"/>
    <w:rsid w:val="00CE5290"/>
    <w:rsid w:val="00CE5291"/>
    <w:rsid w:val="00CE52B5"/>
    <w:rsid w:val="00CE52D3"/>
    <w:rsid w:val="00CE538C"/>
    <w:rsid w:val="00CE5397"/>
    <w:rsid w:val="00CE53AD"/>
    <w:rsid w:val="00CE53E7"/>
    <w:rsid w:val="00CE5471"/>
    <w:rsid w:val="00CE547C"/>
    <w:rsid w:val="00CE547D"/>
    <w:rsid w:val="00CE54A2"/>
    <w:rsid w:val="00CE54F1"/>
    <w:rsid w:val="00CE5516"/>
    <w:rsid w:val="00CE552D"/>
    <w:rsid w:val="00CE553B"/>
    <w:rsid w:val="00CE5561"/>
    <w:rsid w:val="00CE560D"/>
    <w:rsid w:val="00CE5687"/>
    <w:rsid w:val="00CE56B1"/>
    <w:rsid w:val="00CE56D5"/>
    <w:rsid w:val="00CE5751"/>
    <w:rsid w:val="00CE5763"/>
    <w:rsid w:val="00CE57AF"/>
    <w:rsid w:val="00CE5854"/>
    <w:rsid w:val="00CE585A"/>
    <w:rsid w:val="00CE58EF"/>
    <w:rsid w:val="00CE5920"/>
    <w:rsid w:val="00CE5932"/>
    <w:rsid w:val="00CE593A"/>
    <w:rsid w:val="00CE596A"/>
    <w:rsid w:val="00CE5975"/>
    <w:rsid w:val="00CE59C6"/>
    <w:rsid w:val="00CE59C9"/>
    <w:rsid w:val="00CE59FA"/>
    <w:rsid w:val="00CE5A08"/>
    <w:rsid w:val="00CE5A25"/>
    <w:rsid w:val="00CE5A3E"/>
    <w:rsid w:val="00CE5A63"/>
    <w:rsid w:val="00CE5AC8"/>
    <w:rsid w:val="00CE5BBD"/>
    <w:rsid w:val="00CE5BFD"/>
    <w:rsid w:val="00CE5C35"/>
    <w:rsid w:val="00CE5C54"/>
    <w:rsid w:val="00CE5CA2"/>
    <w:rsid w:val="00CE5CC2"/>
    <w:rsid w:val="00CE5CD2"/>
    <w:rsid w:val="00CE5CDA"/>
    <w:rsid w:val="00CE5CF6"/>
    <w:rsid w:val="00CE5D14"/>
    <w:rsid w:val="00CE5D34"/>
    <w:rsid w:val="00CE5D37"/>
    <w:rsid w:val="00CE5D40"/>
    <w:rsid w:val="00CE5DB6"/>
    <w:rsid w:val="00CE5DFA"/>
    <w:rsid w:val="00CE5E60"/>
    <w:rsid w:val="00CE5E88"/>
    <w:rsid w:val="00CE5E94"/>
    <w:rsid w:val="00CE5EAA"/>
    <w:rsid w:val="00CE5F15"/>
    <w:rsid w:val="00CE5F5D"/>
    <w:rsid w:val="00CE5F89"/>
    <w:rsid w:val="00CE6005"/>
    <w:rsid w:val="00CE6053"/>
    <w:rsid w:val="00CE6165"/>
    <w:rsid w:val="00CE6166"/>
    <w:rsid w:val="00CE616E"/>
    <w:rsid w:val="00CE61CD"/>
    <w:rsid w:val="00CE61CF"/>
    <w:rsid w:val="00CE61EE"/>
    <w:rsid w:val="00CE6230"/>
    <w:rsid w:val="00CE6231"/>
    <w:rsid w:val="00CE6244"/>
    <w:rsid w:val="00CE624F"/>
    <w:rsid w:val="00CE6259"/>
    <w:rsid w:val="00CE6294"/>
    <w:rsid w:val="00CE62E3"/>
    <w:rsid w:val="00CE6369"/>
    <w:rsid w:val="00CE637F"/>
    <w:rsid w:val="00CE63BC"/>
    <w:rsid w:val="00CE63EF"/>
    <w:rsid w:val="00CE6462"/>
    <w:rsid w:val="00CE6473"/>
    <w:rsid w:val="00CE64C1"/>
    <w:rsid w:val="00CE64D7"/>
    <w:rsid w:val="00CE6565"/>
    <w:rsid w:val="00CE659A"/>
    <w:rsid w:val="00CE6607"/>
    <w:rsid w:val="00CE660A"/>
    <w:rsid w:val="00CE6689"/>
    <w:rsid w:val="00CE668B"/>
    <w:rsid w:val="00CE66AE"/>
    <w:rsid w:val="00CE66F7"/>
    <w:rsid w:val="00CE6702"/>
    <w:rsid w:val="00CE671A"/>
    <w:rsid w:val="00CE6762"/>
    <w:rsid w:val="00CE685C"/>
    <w:rsid w:val="00CE68DF"/>
    <w:rsid w:val="00CE68E2"/>
    <w:rsid w:val="00CE693D"/>
    <w:rsid w:val="00CE6958"/>
    <w:rsid w:val="00CE699E"/>
    <w:rsid w:val="00CE69AE"/>
    <w:rsid w:val="00CE69FD"/>
    <w:rsid w:val="00CE6A0D"/>
    <w:rsid w:val="00CE6A70"/>
    <w:rsid w:val="00CE6A73"/>
    <w:rsid w:val="00CE6AFC"/>
    <w:rsid w:val="00CE6B10"/>
    <w:rsid w:val="00CE6B88"/>
    <w:rsid w:val="00CE6BB0"/>
    <w:rsid w:val="00CE6C1D"/>
    <w:rsid w:val="00CE6CAB"/>
    <w:rsid w:val="00CE6CAE"/>
    <w:rsid w:val="00CE6CDA"/>
    <w:rsid w:val="00CE6D06"/>
    <w:rsid w:val="00CE6D30"/>
    <w:rsid w:val="00CE6D4B"/>
    <w:rsid w:val="00CE6D80"/>
    <w:rsid w:val="00CE6D9F"/>
    <w:rsid w:val="00CE6E07"/>
    <w:rsid w:val="00CE6E99"/>
    <w:rsid w:val="00CE6EFC"/>
    <w:rsid w:val="00CE6F05"/>
    <w:rsid w:val="00CE6F15"/>
    <w:rsid w:val="00CE6F93"/>
    <w:rsid w:val="00CE6FB2"/>
    <w:rsid w:val="00CE6FF6"/>
    <w:rsid w:val="00CE701C"/>
    <w:rsid w:val="00CE706F"/>
    <w:rsid w:val="00CE70A6"/>
    <w:rsid w:val="00CE70B3"/>
    <w:rsid w:val="00CE70E7"/>
    <w:rsid w:val="00CE70F7"/>
    <w:rsid w:val="00CE711D"/>
    <w:rsid w:val="00CE7127"/>
    <w:rsid w:val="00CE714C"/>
    <w:rsid w:val="00CE7225"/>
    <w:rsid w:val="00CE7273"/>
    <w:rsid w:val="00CE72B2"/>
    <w:rsid w:val="00CE72D5"/>
    <w:rsid w:val="00CE7369"/>
    <w:rsid w:val="00CE73FF"/>
    <w:rsid w:val="00CE740B"/>
    <w:rsid w:val="00CE7444"/>
    <w:rsid w:val="00CE7459"/>
    <w:rsid w:val="00CE7469"/>
    <w:rsid w:val="00CE7482"/>
    <w:rsid w:val="00CE7490"/>
    <w:rsid w:val="00CE749B"/>
    <w:rsid w:val="00CE749C"/>
    <w:rsid w:val="00CE7501"/>
    <w:rsid w:val="00CE753E"/>
    <w:rsid w:val="00CE757E"/>
    <w:rsid w:val="00CE75BD"/>
    <w:rsid w:val="00CE75CE"/>
    <w:rsid w:val="00CE75E1"/>
    <w:rsid w:val="00CE7651"/>
    <w:rsid w:val="00CE7656"/>
    <w:rsid w:val="00CE765B"/>
    <w:rsid w:val="00CE766A"/>
    <w:rsid w:val="00CE769E"/>
    <w:rsid w:val="00CE76EF"/>
    <w:rsid w:val="00CE774A"/>
    <w:rsid w:val="00CE7785"/>
    <w:rsid w:val="00CE7790"/>
    <w:rsid w:val="00CE77C6"/>
    <w:rsid w:val="00CE77E2"/>
    <w:rsid w:val="00CE784F"/>
    <w:rsid w:val="00CE7855"/>
    <w:rsid w:val="00CE78EA"/>
    <w:rsid w:val="00CE7920"/>
    <w:rsid w:val="00CE794C"/>
    <w:rsid w:val="00CE796C"/>
    <w:rsid w:val="00CE7A68"/>
    <w:rsid w:val="00CE7A73"/>
    <w:rsid w:val="00CE7B1F"/>
    <w:rsid w:val="00CE7B61"/>
    <w:rsid w:val="00CE7BA5"/>
    <w:rsid w:val="00CE7BB5"/>
    <w:rsid w:val="00CE7BFF"/>
    <w:rsid w:val="00CE7C2D"/>
    <w:rsid w:val="00CE7C32"/>
    <w:rsid w:val="00CE7CCD"/>
    <w:rsid w:val="00CE7CF1"/>
    <w:rsid w:val="00CE7D04"/>
    <w:rsid w:val="00CE7D40"/>
    <w:rsid w:val="00CE7DFB"/>
    <w:rsid w:val="00CE7EE4"/>
    <w:rsid w:val="00CE7EEE"/>
    <w:rsid w:val="00CE7EF7"/>
    <w:rsid w:val="00CE7F07"/>
    <w:rsid w:val="00CE7F89"/>
    <w:rsid w:val="00CE7F92"/>
    <w:rsid w:val="00CEC25B"/>
    <w:rsid w:val="00CF001A"/>
    <w:rsid w:val="00CF0041"/>
    <w:rsid w:val="00CF006C"/>
    <w:rsid w:val="00CF00B6"/>
    <w:rsid w:val="00CF00D8"/>
    <w:rsid w:val="00CF0112"/>
    <w:rsid w:val="00CF019D"/>
    <w:rsid w:val="00CF0230"/>
    <w:rsid w:val="00CF0264"/>
    <w:rsid w:val="00CF0278"/>
    <w:rsid w:val="00CF029D"/>
    <w:rsid w:val="00CF02F5"/>
    <w:rsid w:val="00CF035D"/>
    <w:rsid w:val="00CF03DD"/>
    <w:rsid w:val="00CF03FE"/>
    <w:rsid w:val="00CF042C"/>
    <w:rsid w:val="00CF044F"/>
    <w:rsid w:val="00CF0575"/>
    <w:rsid w:val="00CF05C9"/>
    <w:rsid w:val="00CF0611"/>
    <w:rsid w:val="00CF069B"/>
    <w:rsid w:val="00CF06BF"/>
    <w:rsid w:val="00CF07CD"/>
    <w:rsid w:val="00CF080E"/>
    <w:rsid w:val="00CF0812"/>
    <w:rsid w:val="00CF0816"/>
    <w:rsid w:val="00CF082D"/>
    <w:rsid w:val="00CF0872"/>
    <w:rsid w:val="00CF0913"/>
    <w:rsid w:val="00CF0934"/>
    <w:rsid w:val="00CF0955"/>
    <w:rsid w:val="00CF0989"/>
    <w:rsid w:val="00CF0AA2"/>
    <w:rsid w:val="00CF0AC0"/>
    <w:rsid w:val="00CF0AC5"/>
    <w:rsid w:val="00CF0AD3"/>
    <w:rsid w:val="00CF0B22"/>
    <w:rsid w:val="00CF0BCD"/>
    <w:rsid w:val="00CF0C15"/>
    <w:rsid w:val="00CF0C24"/>
    <w:rsid w:val="00CF0C58"/>
    <w:rsid w:val="00CF0C96"/>
    <w:rsid w:val="00CF0CA9"/>
    <w:rsid w:val="00CF0D1E"/>
    <w:rsid w:val="00CF0D3B"/>
    <w:rsid w:val="00CF0D4A"/>
    <w:rsid w:val="00CF0DC7"/>
    <w:rsid w:val="00CF0DDB"/>
    <w:rsid w:val="00CF0DE4"/>
    <w:rsid w:val="00CF0E01"/>
    <w:rsid w:val="00CF0E8B"/>
    <w:rsid w:val="00CF0EA5"/>
    <w:rsid w:val="00CF0EAF"/>
    <w:rsid w:val="00CF0EC0"/>
    <w:rsid w:val="00CF0EDC"/>
    <w:rsid w:val="00CF0EF3"/>
    <w:rsid w:val="00CF0F1D"/>
    <w:rsid w:val="00CF0FDD"/>
    <w:rsid w:val="00CF100C"/>
    <w:rsid w:val="00CF106E"/>
    <w:rsid w:val="00CF10C9"/>
    <w:rsid w:val="00CF10D7"/>
    <w:rsid w:val="00CF1176"/>
    <w:rsid w:val="00CF11B3"/>
    <w:rsid w:val="00CF11CF"/>
    <w:rsid w:val="00CF1274"/>
    <w:rsid w:val="00CF127D"/>
    <w:rsid w:val="00CF12E3"/>
    <w:rsid w:val="00CF131B"/>
    <w:rsid w:val="00CF1369"/>
    <w:rsid w:val="00CF1381"/>
    <w:rsid w:val="00CF1425"/>
    <w:rsid w:val="00CF14FC"/>
    <w:rsid w:val="00CF153C"/>
    <w:rsid w:val="00CF1550"/>
    <w:rsid w:val="00CF1608"/>
    <w:rsid w:val="00CF1609"/>
    <w:rsid w:val="00CF1635"/>
    <w:rsid w:val="00CF1652"/>
    <w:rsid w:val="00CF16A0"/>
    <w:rsid w:val="00CF1735"/>
    <w:rsid w:val="00CF1779"/>
    <w:rsid w:val="00CF17A6"/>
    <w:rsid w:val="00CF17AD"/>
    <w:rsid w:val="00CF17DD"/>
    <w:rsid w:val="00CF17EF"/>
    <w:rsid w:val="00CF1807"/>
    <w:rsid w:val="00CF1833"/>
    <w:rsid w:val="00CF188E"/>
    <w:rsid w:val="00CF18C9"/>
    <w:rsid w:val="00CF18DC"/>
    <w:rsid w:val="00CF18FA"/>
    <w:rsid w:val="00CF18FC"/>
    <w:rsid w:val="00CF190F"/>
    <w:rsid w:val="00CF194C"/>
    <w:rsid w:val="00CF194D"/>
    <w:rsid w:val="00CF1958"/>
    <w:rsid w:val="00CF19A6"/>
    <w:rsid w:val="00CF19CF"/>
    <w:rsid w:val="00CF1A0D"/>
    <w:rsid w:val="00CF1A49"/>
    <w:rsid w:val="00CF1AC3"/>
    <w:rsid w:val="00CF1AC5"/>
    <w:rsid w:val="00CF1ACB"/>
    <w:rsid w:val="00CF1B1B"/>
    <w:rsid w:val="00CF1B3F"/>
    <w:rsid w:val="00CF1B4B"/>
    <w:rsid w:val="00CF1B50"/>
    <w:rsid w:val="00CF1B71"/>
    <w:rsid w:val="00CF1C2F"/>
    <w:rsid w:val="00CF1C41"/>
    <w:rsid w:val="00CF1C5F"/>
    <w:rsid w:val="00CF1CA4"/>
    <w:rsid w:val="00CF1CB3"/>
    <w:rsid w:val="00CF1CBD"/>
    <w:rsid w:val="00CF1D3E"/>
    <w:rsid w:val="00CF1D45"/>
    <w:rsid w:val="00CF1DC0"/>
    <w:rsid w:val="00CF1E67"/>
    <w:rsid w:val="00CF1EFE"/>
    <w:rsid w:val="00CF1F18"/>
    <w:rsid w:val="00CF1F34"/>
    <w:rsid w:val="00CF2044"/>
    <w:rsid w:val="00CF2085"/>
    <w:rsid w:val="00CF2096"/>
    <w:rsid w:val="00CF2112"/>
    <w:rsid w:val="00CF214F"/>
    <w:rsid w:val="00CF217D"/>
    <w:rsid w:val="00CF2242"/>
    <w:rsid w:val="00CF225A"/>
    <w:rsid w:val="00CF2299"/>
    <w:rsid w:val="00CF22B0"/>
    <w:rsid w:val="00CF22EC"/>
    <w:rsid w:val="00CF2313"/>
    <w:rsid w:val="00CF2397"/>
    <w:rsid w:val="00CF2398"/>
    <w:rsid w:val="00CF23EF"/>
    <w:rsid w:val="00CF2403"/>
    <w:rsid w:val="00CF2473"/>
    <w:rsid w:val="00CF2486"/>
    <w:rsid w:val="00CF24B5"/>
    <w:rsid w:val="00CF24BF"/>
    <w:rsid w:val="00CF2545"/>
    <w:rsid w:val="00CF25AD"/>
    <w:rsid w:val="00CF25C7"/>
    <w:rsid w:val="00CF262C"/>
    <w:rsid w:val="00CF264C"/>
    <w:rsid w:val="00CF2652"/>
    <w:rsid w:val="00CF271D"/>
    <w:rsid w:val="00CF2753"/>
    <w:rsid w:val="00CF2775"/>
    <w:rsid w:val="00CF2859"/>
    <w:rsid w:val="00CF2883"/>
    <w:rsid w:val="00CF28BE"/>
    <w:rsid w:val="00CF291D"/>
    <w:rsid w:val="00CF292A"/>
    <w:rsid w:val="00CF2957"/>
    <w:rsid w:val="00CF297C"/>
    <w:rsid w:val="00CF29B1"/>
    <w:rsid w:val="00CF29B6"/>
    <w:rsid w:val="00CF29B7"/>
    <w:rsid w:val="00CF29CD"/>
    <w:rsid w:val="00CF29E4"/>
    <w:rsid w:val="00CF2A2A"/>
    <w:rsid w:val="00CF2A87"/>
    <w:rsid w:val="00CF2AA2"/>
    <w:rsid w:val="00CF2B69"/>
    <w:rsid w:val="00CF2B9E"/>
    <w:rsid w:val="00CF2BAF"/>
    <w:rsid w:val="00CF2BB4"/>
    <w:rsid w:val="00CF2C1D"/>
    <w:rsid w:val="00CF2C30"/>
    <w:rsid w:val="00CF2C80"/>
    <w:rsid w:val="00CF2CCE"/>
    <w:rsid w:val="00CF2CD5"/>
    <w:rsid w:val="00CF2CDB"/>
    <w:rsid w:val="00CF2CE6"/>
    <w:rsid w:val="00CF2D07"/>
    <w:rsid w:val="00CF2DCF"/>
    <w:rsid w:val="00CF2DF8"/>
    <w:rsid w:val="00CF2FED"/>
    <w:rsid w:val="00CF2FF3"/>
    <w:rsid w:val="00CF3007"/>
    <w:rsid w:val="00CF3088"/>
    <w:rsid w:val="00CF30A6"/>
    <w:rsid w:val="00CF30E4"/>
    <w:rsid w:val="00CF30F4"/>
    <w:rsid w:val="00CF3179"/>
    <w:rsid w:val="00CF3182"/>
    <w:rsid w:val="00CF31F6"/>
    <w:rsid w:val="00CF320F"/>
    <w:rsid w:val="00CF32AF"/>
    <w:rsid w:val="00CF32B7"/>
    <w:rsid w:val="00CF32C5"/>
    <w:rsid w:val="00CF32D3"/>
    <w:rsid w:val="00CF3346"/>
    <w:rsid w:val="00CF335F"/>
    <w:rsid w:val="00CF336E"/>
    <w:rsid w:val="00CF337C"/>
    <w:rsid w:val="00CF3456"/>
    <w:rsid w:val="00CF3464"/>
    <w:rsid w:val="00CF346E"/>
    <w:rsid w:val="00CF34EC"/>
    <w:rsid w:val="00CF3561"/>
    <w:rsid w:val="00CF35BA"/>
    <w:rsid w:val="00CF3621"/>
    <w:rsid w:val="00CF3622"/>
    <w:rsid w:val="00CF363D"/>
    <w:rsid w:val="00CF3698"/>
    <w:rsid w:val="00CF36BA"/>
    <w:rsid w:val="00CF36CF"/>
    <w:rsid w:val="00CF3726"/>
    <w:rsid w:val="00CF379F"/>
    <w:rsid w:val="00CF37DD"/>
    <w:rsid w:val="00CF37F3"/>
    <w:rsid w:val="00CF38E5"/>
    <w:rsid w:val="00CF38FA"/>
    <w:rsid w:val="00CF3913"/>
    <w:rsid w:val="00CF3959"/>
    <w:rsid w:val="00CF3979"/>
    <w:rsid w:val="00CF3986"/>
    <w:rsid w:val="00CF39B0"/>
    <w:rsid w:val="00CF39EC"/>
    <w:rsid w:val="00CF3A0B"/>
    <w:rsid w:val="00CF3AA3"/>
    <w:rsid w:val="00CF3AEF"/>
    <w:rsid w:val="00CF3B2E"/>
    <w:rsid w:val="00CF3B4F"/>
    <w:rsid w:val="00CF3B92"/>
    <w:rsid w:val="00CF3BC1"/>
    <w:rsid w:val="00CF3BE5"/>
    <w:rsid w:val="00CF3BF2"/>
    <w:rsid w:val="00CF3C16"/>
    <w:rsid w:val="00CF3C6C"/>
    <w:rsid w:val="00CF3C7D"/>
    <w:rsid w:val="00CF3CDF"/>
    <w:rsid w:val="00CF3D06"/>
    <w:rsid w:val="00CF3D41"/>
    <w:rsid w:val="00CF3D45"/>
    <w:rsid w:val="00CF3DB6"/>
    <w:rsid w:val="00CF3DDB"/>
    <w:rsid w:val="00CF3DF1"/>
    <w:rsid w:val="00CF3E04"/>
    <w:rsid w:val="00CF3E16"/>
    <w:rsid w:val="00CF3E5C"/>
    <w:rsid w:val="00CF3E5D"/>
    <w:rsid w:val="00CF3FB5"/>
    <w:rsid w:val="00CF3FED"/>
    <w:rsid w:val="00CF3FF3"/>
    <w:rsid w:val="00CF3FF6"/>
    <w:rsid w:val="00CF3FFA"/>
    <w:rsid w:val="00CF4019"/>
    <w:rsid w:val="00CF402D"/>
    <w:rsid w:val="00CF4030"/>
    <w:rsid w:val="00CF4082"/>
    <w:rsid w:val="00CF409F"/>
    <w:rsid w:val="00CF40AB"/>
    <w:rsid w:val="00CF40AD"/>
    <w:rsid w:val="00CF40E2"/>
    <w:rsid w:val="00CF4104"/>
    <w:rsid w:val="00CF4121"/>
    <w:rsid w:val="00CF414E"/>
    <w:rsid w:val="00CF416C"/>
    <w:rsid w:val="00CF41D1"/>
    <w:rsid w:val="00CF41E6"/>
    <w:rsid w:val="00CF4298"/>
    <w:rsid w:val="00CF42E1"/>
    <w:rsid w:val="00CF4382"/>
    <w:rsid w:val="00CF4386"/>
    <w:rsid w:val="00CF4393"/>
    <w:rsid w:val="00CF4397"/>
    <w:rsid w:val="00CF4482"/>
    <w:rsid w:val="00CF4483"/>
    <w:rsid w:val="00CF44E1"/>
    <w:rsid w:val="00CF44E4"/>
    <w:rsid w:val="00CF44F3"/>
    <w:rsid w:val="00CF4515"/>
    <w:rsid w:val="00CF4581"/>
    <w:rsid w:val="00CF4583"/>
    <w:rsid w:val="00CF459A"/>
    <w:rsid w:val="00CF4646"/>
    <w:rsid w:val="00CF466A"/>
    <w:rsid w:val="00CF4685"/>
    <w:rsid w:val="00CF471B"/>
    <w:rsid w:val="00CF4732"/>
    <w:rsid w:val="00CF474E"/>
    <w:rsid w:val="00CF4750"/>
    <w:rsid w:val="00CF476B"/>
    <w:rsid w:val="00CF4797"/>
    <w:rsid w:val="00CF4869"/>
    <w:rsid w:val="00CF48CF"/>
    <w:rsid w:val="00CF497D"/>
    <w:rsid w:val="00CF4A97"/>
    <w:rsid w:val="00CF4AD2"/>
    <w:rsid w:val="00CF4B29"/>
    <w:rsid w:val="00CF4B4A"/>
    <w:rsid w:val="00CF4BF2"/>
    <w:rsid w:val="00CF4C0B"/>
    <w:rsid w:val="00CF4CD4"/>
    <w:rsid w:val="00CF4D5A"/>
    <w:rsid w:val="00CF4D92"/>
    <w:rsid w:val="00CF4D93"/>
    <w:rsid w:val="00CF4D99"/>
    <w:rsid w:val="00CF4DB0"/>
    <w:rsid w:val="00CF4DC2"/>
    <w:rsid w:val="00CF4DF2"/>
    <w:rsid w:val="00CF4E18"/>
    <w:rsid w:val="00CF4E1E"/>
    <w:rsid w:val="00CF4E2C"/>
    <w:rsid w:val="00CF4E8A"/>
    <w:rsid w:val="00CF4F35"/>
    <w:rsid w:val="00CF4F3D"/>
    <w:rsid w:val="00CF4FD2"/>
    <w:rsid w:val="00CF4FE0"/>
    <w:rsid w:val="00CF502D"/>
    <w:rsid w:val="00CF5051"/>
    <w:rsid w:val="00CF5098"/>
    <w:rsid w:val="00CF50A0"/>
    <w:rsid w:val="00CF50E7"/>
    <w:rsid w:val="00CF50FE"/>
    <w:rsid w:val="00CF5282"/>
    <w:rsid w:val="00CF5299"/>
    <w:rsid w:val="00CF532B"/>
    <w:rsid w:val="00CF53A9"/>
    <w:rsid w:val="00CF5429"/>
    <w:rsid w:val="00CF544B"/>
    <w:rsid w:val="00CF5454"/>
    <w:rsid w:val="00CF54A2"/>
    <w:rsid w:val="00CF54A5"/>
    <w:rsid w:val="00CF54E2"/>
    <w:rsid w:val="00CF553B"/>
    <w:rsid w:val="00CF5554"/>
    <w:rsid w:val="00CF557E"/>
    <w:rsid w:val="00CF5649"/>
    <w:rsid w:val="00CF5653"/>
    <w:rsid w:val="00CF5669"/>
    <w:rsid w:val="00CF56C4"/>
    <w:rsid w:val="00CF56F7"/>
    <w:rsid w:val="00CF56F8"/>
    <w:rsid w:val="00CF5779"/>
    <w:rsid w:val="00CF57B3"/>
    <w:rsid w:val="00CF5847"/>
    <w:rsid w:val="00CF58B4"/>
    <w:rsid w:val="00CF5983"/>
    <w:rsid w:val="00CF599F"/>
    <w:rsid w:val="00CF59D8"/>
    <w:rsid w:val="00CF59FB"/>
    <w:rsid w:val="00CF5A0A"/>
    <w:rsid w:val="00CF5A3D"/>
    <w:rsid w:val="00CF5A4C"/>
    <w:rsid w:val="00CF5AF3"/>
    <w:rsid w:val="00CF5B3A"/>
    <w:rsid w:val="00CF5B3E"/>
    <w:rsid w:val="00CF5B48"/>
    <w:rsid w:val="00CF5C33"/>
    <w:rsid w:val="00CF5C37"/>
    <w:rsid w:val="00CF5CA9"/>
    <w:rsid w:val="00CF5CC8"/>
    <w:rsid w:val="00CF5CEB"/>
    <w:rsid w:val="00CF5CF6"/>
    <w:rsid w:val="00CF5DCA"/>
    <w:rsid w:val="00CF5E3A"/>
    <w:rsid w:val="00CF5E4B"/>
    <w:rsid w:val="00CF5E9E"/>
    <w:rsid w:val="00CF5EE4"/>
    <w:rsid w:val="00CF5F13"/>
    <w:rsid w:val="00CF5F4B"/>
    <w:rsid w:val="00CF5F62"/>
    <w:rsid w:val="00CF5F99"/>
    <w:rsid w:val="00CF5F9E"/>
    <w:rsid w:val="00CF5FA4"/>
    <w:rsid w:val="00CF5FF8"/>
    <w:rsid w:val="00CF600C"/>
    <w:rsid w:val="00CF6087"/>
    <w:rsid w:val="00CF6137"/>
    <w:rsid w:val="00CF61ED"/>
    <w:rsid w:val="00CF61FB"/>
    <w:rsid w:val="00CF6249"/>
    <w:rsid w:val="00CF6341"/>
    <w:rsid w:val="00CF6347"/>
    <w:rsid w:val="00CF63D8"/>
    <w:rsid w:val="00CF63E4"/>
    <w:rsid w:val="00CF645A"/>
    <w:rsid w:val="00CF6467"/>
    <w:rsid w:val="00CF6504"/>
    <w:rsid w:val="00CF651A"/>
    <w:rsid w:val="00CF655C"/>
    <w:rsid w:val="00CF65EC"/>
    <w:rsid w:val="00CF663F"/>
    <w:rsid w:val="00CF664B"/>
    <w:rsid w:val="00CF665D"/>
    <w:rsid w:val="00CF6672"/>
    <w:rsid w:val="00CF667D"/>
    <w:rsid w:val="00CF66B5"/>
    <w:rsid w:val="00CF66DC"/>
    <w:rsid w:val="00CF67C1"/>
    <w:rsid w:val="00CF67E6"/>
    <w:rsid w:val="00CF67F1"/>
    <w:rsid w:val="00CF67F8"/>
    <w:rsid w:val="00CF685D"/>
    <w:rsid w:val="00CF69E0"/>
    <w:rsid w:val="00CF69F2"/>
    <w:rsid w:val="00CF6A40"/>
    <w:rsid w:val="00CF6A93"/>
    <w:rsid w:val="00CF6AEA"/>
    <w:rsid w:val="00CF6B86"/>
    <w:rsid w:val="00CF6BCC"/>
    <w:rsid w:val="00CF6BE9"/>
    <w:rsid w:val="00CF6CAA"/>
    <w:rsid w:val="00CF6CC1"/>
    <w:rsid w:val="00CF6D28"/>
    <w:rsid w:val="00CF6D3E"/>
    <w:rsid w:val="00CF6D99"/>
    <w:rsid w:val="00CF6E05"/>
    <w:rsid w:val="00CF6E40"/>
    <w:rsid w:val="00CF6E43"/>
    <w:rsid w:val="00CF6E7F"/>
    <w:rsid w:val="00CF6EC6"/>
    <w:rsid w:val="00CF6EF9"/>
    <w:rsid w:val="00CF6F19"/>
    <w:rsid w:val="00CF6F24"/>
    <w:rsid w:val="00CF6FEE"/>
    <w:rsid w:val="00CF6FF1"/>
    <w:rsid w:val="00CF7019"/>
    <w:rsid w:val="00CF70C5"/>
    <w:rsid w:val="00CF70CE"/>
    <w:rsid w:val="00CF7117"/>
    <w:rsid w:val="00CF714D"/>
    <w:rsid w:val="00CF71F4"/>
    <w:rsid w:val="00CF71F6"/>
    <w:rsid w:val="00CF71F7"/>
    <w:rsid w:val="00CF7201"/>
    <w:rsid w:val="00CF7252"/>
    <w:rsid w:val="00CF72FA"/>
    <w:rsid w:val="00CF7373"/>
    <w:rsid w:val="00CF7385"/>
    <w:rsid w:val="00CF73E8"/>
    <w:rsid w:val="00CF7490"/>
    <w:rsid w:val="00CF74A2"/>
    <w:rsid w:val="00CF74C5"/>
    <w:rsid w:val="00CF74D7"/>
    <w:rsid w:val="00CF7540"/>
    <w:rsid w:val="00CF7548"/>
    <w:rsid w:val="00CF756F"/>
    <w:rsid w:val="00CF75A4"/>
    <w:rsid w:val="00CF75BA"/>
    <w:rsid w:val="00CF75BF"/>
    <w:rsid w:val="00CF7608"/>
    <w:rsid w:val="00CF76F5"/>
    <w:rsid w:val="00CF76FA"/>
    <w:rsid w:val="00CF7729"/>
    <w:rsid w:val="00CF778A"/>
    <w:rsid w:val="00CF7795"/>
    <w:rsid w:val="00CF77B2"/>
    <w:rsid w:val="00CF77C1"/>
    <w:rsid w:val="00CF77C3"/>
    <w:rsid w:val="00CF77C7"/>
    <w:rsid w:val="00CF7837"/>
    <w:rsid w:val="00CF7860"/>
    <w:rsid w:val="00CF7876"/>
    <w:rsid w:val="00CF78A9"/>
    <w:rsid w:val="00CF78AF"/>
    <w:rsid w:val="00CF78BF"/>
    <w:rsid w:val="00CF7940"/>
    <w:rsid w:val="00CF795C"/>
    <w:rsid w:val="00CF797E"/>
    <w:rsid w:val="00CF79B9"/>
    <w:rsid w:val="00CF79DF"/>
    <w:rsid w:val="00CF7A08"/>
    <w:rsid w:val="00CF7A1C"/>
    <w:rsid w:val="00CF7A61"/>
    <w:rsid w:val="00CF7A7B"/>
    <w:rsid w:val="00CF7AC1"/>
    <w:rsid w:val="00CF7AF4"/>
    <w:rsid w:val="00CF7B2B"/>
    <w:rsid w:val="00CF7B31"/>
    <w:rsid w:val="00CF7BA1"/>
    <w:rsid w:val="00CF7BD0"/>
    <w:rsid w:val="00CF7C36"/>
    <w:rsid w:val="00CF7C3A"/>
    <w:rsid w:val="00CF7C8C"/>
    <w:rsid w:val="00CF7CA5"/>
    <w:rsid w:val="00CF7CC5"/>
    <w:rsid w:val="00CF7CC9"/>
    <w:rsid w:val="00CF7CF8"/>
    <w:rsid w:val="00CF7D5D"/>
    <w:rsid w:val="00CF7D67"/>
    <w:rsid w:val="00CF7DB4"/>
    <w:rsid w:val="00CF7DD4"/>
    <w:rsid w:val="00CF7DEC"/>
    <w:rsid w:val="00CF7E6A"/>
    <w:rsid w:val="00CF7E8D"/>
    <w:rsid w:val="00CF7EBB"/>
    <w:rsid w:val="00CF7EFD"/>
    <w:rsid w:val="00CF7F05"/>
    <w:rsid w:val="00CF7F09"/>
    <w:rsid w:val="00CF7F1F"/>
    <w:rsid w:val="00CF7F78"/>
    <w:rsid w:val="00CF7F9A"/>
    <w:rsid w:val="00CF7FA9"/>
    <w:rsid w:val="00CF7FAC"/>
    <w:rsid w:val="00CF7FED"/>
    <w:rsid w:val="00D00059"/>
    <w:rsid w:val="00D0005B"/>
    <w:rsid w:val="00D0009C"/>
    <w:rsid w:val="00D000D4"/>
    <w:rsid w:val="00D000D5"/>
    <w:rsid w:val="00D000D7"/>
    <w:rsid w:val="00D00175"/>
    <w:rsid w:val="00D001AF"/>
    <w:rsid w:val="00D00275"/>
    <w:rsid w:val="00D0032E"/>
    <w:rsid w:val="00D00339"/>
    <w:rsid w:val="00D0034C"/>
    <w:rsid w:val="00D003C7"/>
    <w:rsid w:val="00D003DF"/>
    <w:rsid w:val="00D00406"/>
    <w:rsid w:val="00D004B0"/>
    <w:rsid w:val="00D004F4"/>
    <w:rsid w:val="00D00563"/>
    <w:rsid w:val="00D00592"/>
    <w:rsid w:val="00D005DB"/>
    <w:rsid w:val="00D00656"/>
    <w:rsid w:val="00D006A5"/>
    <w:rsid w:val="00D006BA"/>
    <w:rsid w:val="00D006EA"/>
    <w:rsid w:val="00D006EC"/>
    <w:rsid w:val="00D00754"/>
    <w:rsid w:val="00D00764"/>
    <w:rsid w:val="00D007D3"/>
    <w:rsid w:val="00D00824"/>
    <w:rsid w:val="00D0083C"/>
    <w:rsid w:val="00D008A1"/>
    <w:rsid w:val="00D008D6"/>
    <w:rsid w:val="00D008F4"/>
    <w:rsid w:val="00D00942"/>
    <w:rsid w:val="00D00951"/>
    <w:rsid w:val="00D0097E"/>
    <w:rsid w:val="00D00984"/>
    <w:rsid w:val="00D009FF"/>
    <w:rsid w:val="00D00A35"/>
    <w:rsid w:val="00D00A42"/>
    <w:rsid w:val="00D00A69"/>
    <w:rsid w:val="00D00B89"/>
    <w:rsid w:val="00D00CE4"/>
    <w:rsid w:val="00D00D0E"/>
    <w:rsid w:val="00D00D1C"/>
    <w:rsid w:val="00D00D56"/>
    <w:rsid w:val="00D00D8B"/>
    <w:rsid w:val="00D00DC3"/>
    <w:rsid w:val="00D00DE7"/>
    <w:rsid w:val="00D00DFB"/>
    <w:rsid w:val="00D00E85"/>
    <w:rsid w:val="00D00EB0"/>
    <w:rsid w:val="00D00EBA"/>
    <w:rsid w:val="00D00ED1"/>
    <w:rsid w:val="00D00F97"/>
    <w:rsid w:val="00D00FBE"/>
    <w:rsid w:val="00D00FF6"/>
    <w:rsid w:val="00D01024"/>
    <w:rsid w:val="00D01056"/>
    <w:rsid w:val="00D01057"/>
    <w:rsid w:val="00D01062"/>
    <w:rsid w:val="00D01071"/>
    <w:rsid w:val="00D010F8"/>
    <w:rsid w:val="00D01112"/>
    <w:rsid w:val="00D01121"/>
    <w:rsid w:val="00D0112B"/>
    <w:rsid w:val="00D01210"/>
    <w:rsid w:val="00D01233"/>
    <w:rsid w:val="00D0124C"/>
    <w:rsid w:val="00D01269"/>
    <w:rsid w:val="00D012AC"/>
    <w:rsid w:val="00D012AF"/>
    <w:rsid w:val="00D012B4"/>
    <w:rsid w:val="00D012CC"/>
    <w:rsid w:val="00D012DD"/>
    <w:rsid w:val="00D0132A"/>
    <w:rsid w:val="00D0133C"/>
    <w:rsid w:val="00D013CA"/>
    <w:rsid w:val="00D013D4"/>
    <w:rsid w:val="00D0147B"/>
    <w:rsid w:val="00D014A9"/>
    <w:rsid w:val="00D014DC"/>
    <w:rsid w:val="00D0158A"/>
    <w:rsid w:val="00D0169D"/>
    <w:rsid w:val="00D016C2"/>
    <w:rsid w:val="00D016C3"/>
    <w:rsid w:val="00D01857"/>
    <w:rsid w:val="00D0186A"/>
    <w:rsid w:val="00D018B9"/>
    <w:rsid w:val="00D018CD"/>
    <w:rsid w:val="00D018D0"/>
    <w:rsid w:val="00D018EF"/>
    <w:rsid w:val="00D01967"/>
    <w:rsid w:val="00D01971"/>
    <w:rsid w:val="00D0199A"/>
    <w:rsid w:val="00D019BC"/>
    <w:rsid w:val="00D019DA"/>
    <w:rsid w:val="00D019F0"/>
    <w:rsid w:val="00D019FA"/>
    <w:rsid w:val="00D01A3C"/>
    <w:rsid w:val="00D01A4B"/>
    <w:rsid w:val="00D01A77"/>
    <w:rsid w:val="00D01ACB"/>
    <w:rsid w:val="00D01AD9"/>
    <w:rsid w:val="00D01ADC"/>
    <w:rsid w:val="00D01B00"/>
    <w:rsid w:val="00D01B20"/>
    <w:rsid w:val="00D01B42"/>
    <w:rsid w:val="00D01B47"/>
    <w:rsid w:val="00D01B74"/>
    <w:rsid w:val="00D01B84"/>
    <w:rsid w:val="00D01BD4"/>
    <w:rsid w:val="00D01C87"/>
    <w:rsid w:val="00D01D08"/>
    <w:rsid w:val="00D01D0B"/>
    <w:rsid w:val="00D01D66"/>
    <w:rsid w:val="00D01D75"/>
    <w:rsid w:val="00D01DAE"/>
    <w:rsid w:val="00D01E77"/>
    <w:rsid w:val="00D01E8C"/>
    <w:rsid w:val="00D01EB8"/>
    <w:rsid w:val="00D01ED1"/>
    <w:rsid w:val="00D01F05"/>
    <w:rsid w:val="00D01F0E"/>
    <w:rsid w:val="00D01F29"/>
    <w:rsid w:val="00D01F7B"/>
    <w:rsid w:val="00D01F82"/>
    <w:rsid w:val="00D01F87"/>
    <w:rsid w:val="00D01FA5"/>
    <w:rsid w:val="00D01FB5"/>
    <w:rsid w:val="00D01FBB"/>
    <w:rsid w:val="00D02035"/>
    <w:rsid w:val="00D02039"/>
    <w:rsid w:val="00D020E0"/>
    <w:rsid w:val="00D020F0"/>
    <w:rsid w:val="00D020FA"/>
    <w:rsid w:val="00D0214E"/>
    <w:rsid w:val="00D02155"/>
    <w:rsid w:val="00D0215E"/>
    <w:rsid w:val="00D0218A"/>
    <w:rsid w:val="00D021EA"/>
    <w:rsid w:val="00D02214"/>
    <w:rsid w:val="00D02257"/>
    <w:rsid w:val="00D0226F"/>
    <w:rsid w:val="00D02276"/>
    <w:rsid w:val="00D022BD"/>
    <w:rsid w:val="00D022C5"/>
    <w:rsid w:val="00D022F6"/>
    <w:rsid w:val="00D02305"/>
    <w:rsid w:val="00D02311"/>
    <w:rsid w:val="00D02351"/>
    <w:rsid w:val="00D02364"/>
    <w:rsid w:val="00D023A5"/>
    <w:rsid w:val="00D023B4"/>
    <w:rsid w:val="00D023DE"/>
    <w:rsid w:val="00D02551"/>
    <w:rsid w:val="00D02562"/>
    <w:rsid w:val="00D025B6"/>
    <w:rsid w:val="00D02624"/>
    <w:rsid w:val="00D02672"/>
    <w:rsid w:val="00D0268F"/>
    <w:rsid w:val="00D02691"/>
    <w:rsid w:val="00D026E7"/>
    <w:rsid w:val="00D0270B"/>
    <w:rsid w:val="00D02734"/>
    <w:rsid w:val="00D027D0"/>
    <w:rsid w:val="00D0280A"/>
    <w:rsid w:val="00D0289A"/>
    <w:rsid w:val="00D028AB"/>
    <w:rsid w:val="00D028F4"/>
    <w:rsid w:val="00D0293F"/>
    <w:rsid w:val="00D02979"/>
    <w:rsid w:val="00D029D2"/>
    <w:rsid w:val="00D02A20"/>
    <w:rsid w:val="00D02A22"/>
    <w:rsid w:val="00D02A59"/>
    <w:rsid w:val="00D02A6B"/>
    <w:rsid w:val="00D02A85"/>
    <w:rsid w:val="00D02AAC"/>
    <w:rsid w:val="00D02ACA"/>
    <w:rsid w:val="00D02AFD"/>
    <w:rsid w:val="00D02B1B"/>
    <w:rsid w:val="00D02B6E"/>
    <w:rsid w:val="00D02BB2"/>
    <w:rsid w:val="00D02BBE"/>
    <w:rsid w:val="00D02BDA"/>
    <w:rsid w:val="00D02C3A"/>
    <w:rsid w:val="00D02C9D"/>
    <w:rsid w:val="00D02CC0"/>
    <w:rsid w:val="00D02CC7"/>
    <w:rsid w:val="00D02CE2"/>
    <w:rsid w:val="00D02CEC"/>
    <w:rsid w:val="00D02CF6"/>
    <w:rsid w:val="00D02CFC"/>
    <w:rsid w:val="00D02D98"/>
    <w:rsid w:val="00D02DDF"/>
    <w:rsid w:val="00D02DF0"/>
    <w:rsid w:val="00D02E13"/>
    <w:rsid w:val="00D02E6E"/>
    <w:rsid w:val="00D02E74"/>
    <w:rsid w:val="00D02F10"/>
    <w:rsid w:val="00D02F5D"/>
    <w:rsid w:val="00D02FF3"/>
    <w:rsid w:val="00D03076"/>
    <w:rsid w:val="00D030E8"/>
    <w:rsid w:val="00D03117"/>
    <w:rsid w:val="00D03170"/>
    <w:rsid w:val="00D03181"/>
    <w:rsid w:val="00D031D5"/>
    <w:rsid w:val="00D0322E"/>
    <w:rsid w:val="00D0327C"/>
    <w:rsid w:val="00D032C5"/>
    <w:rsid w:val="00D032F9"/>
    <w:rsid w:val="00D03301"/>
    <w:rsid w:val="00D0332A"/>
    <w:rsid w:val="00D03349"/>
    <w:rsid w:val="00D033A9"/>
    <w:rsid w:val="00D033B2"/>
    <w:rsid w:val="00D033D4"/>
    <w:rsid w:val="00D03415"/>
    <w:rsid w:val="00D03422"/>
    <w:rsid w:val="00D0349B"/>
    <w:rsid w:val="00D034A5"/>
    <w:rsid w:val="00D0351B"/>
    <w:rsid w:val="00D03534"/>
    <w:rsid w:val="00D0354E"/>
    <w:rsid w:val="00D035CE"/>
    <w:rsid w:val="00D035DE"/>
    <w:rsid w:val="00D035EE"/>
    <w:rsid w:val="00D03696"/>
    <w:rsid w:val="00D036D7"/>
    <w:rsid w:val="00D036E3"/>
    <w:rsid w:val="00D0372C"/>
    <w:rsid w:val="00D0373B"/>
    <w:rsid w:val="00D037D6"/>
    <w:rsid w:val="00D037D7"/>
    <w:rsid w:val="00D0381F"/>
    <w:rsid w:val="00D038CB"/>
    <w:rsid w:val="00D0390A"/>
    <w:rsid w:val="00D03911"/>
    <w:rsid w:val="00D03933"/>
    <w:rsid w:val="00D03939"/>
    <w:rsid w:val="00D03988"/>
    <w:rsid w:val="00D039CA"/>
    <w:rsid w:val="00D039D0"/>
    <w:rsid w:val="00D039EE"/>
    <w:rsid w:val="00D03A0B"/>
    <w:rsid w:val="00D03A32"/>
    <w:rsid w:val="00D03A37"/>
    <w:rsid w:val="00D03A39"/>
    <w:rsid w:val="00D03A47"/>
    <w:rsid w:val="00D03A95"/>
    <w:rsid w:val="00D03AB0"/>
    <w:rsid w:val="00D03B33"/>
    <w:rsid w:val="00D03B8A"/>
    <w:rsid w:val="00D03BAC"/>
    <w:rsid w:val="00D03BB9"/>
    <w:rsid w:val="00D03D61"/>
    <w:rsid w:val="00D03D85"/>
    <w:rsid w:val="00D03DBC"/>
    <w:rsid w:val="00D03DCD"/>
    <w:rsid w:val="00D03E43"/>
    <w:rsid w:val="00D03F06"/>
    <w:rsid w:val="00D03F32"/>
    <w:rsid w:val="00D03F3A"/>
    <w:rsid w:val="00D03F51"/>
    <w:rsid w:val="00D03FC9"/>
    <w:rsid w:val="00D03FDC"/>
    <w:rsid w:val="00D03FE2"/>
    <w:rsid w:val="00D04074"/>
    <w:rsid w:val="00D040A4"/>
    <w:rsid w:val="00D0412E"/>
    <w:rsid w:val="00D04166"/>
    <w:rsid w:val="00D0418B"/>
    <w:rsid w:val="00D04196"/>
    <w:rsid w:val="00D041A4"/>
    <w:rsid w:val="00D0420B"/>
    <w:rsid w:val="00D04273"/>
    <w:rsid w:val="00D04277"/>
    <w:rsid w:val="00D042DD"/>
    <w:rsid w:val="00D042E2"/>
    <w:rsid w:val="00D042FA"/>
    <w:rsid w:val="00D0433E"/>
    <w:rsid w:val="00D04359"/>
    <w:rsid w:val="00D04363"/>
    <w:rsid w:val="00D043C1"/>
    <w:rsid w:val="00D043C5"/>
    <w:rsid w:val="00D043C7"/>
    <w:rsid w:val="00D04404"/>
    <w:rsid w:val="00D04480"/>
    <w:rsid w:val="00D04482"/>
    <w:rsid w:val="00D04485"/>
    <w:rsid w:val="00D044A0"/>
    <w:rsid w:val="00D044B2"/>
    <w:rsid w:val="00D044B6"/>
    <w:rsid w:val="00D044C6"/>
    <w:rsid w:val="00D044CE"/>
    <w:rsid w:val="00D044E2"/>
    <w:rsid w:val="00D04555"/>
    <w:rsid w:val="00D045A2"/>
    <w:rsid w:val="00D045A9"/>
    <w:rsid w:val="00D045B9"/>
    <w:rsid w:val="00D045D2"/>
    <w:rsid w:val="00D04638"/>
    <w:rsid w:val="00D046D7"/>
    <w:rsid w:val="00D046DC"/>
    <w:rsid w:val="00D046E7"/>
    <w:rsid w:val="00D04771"/>
    <w:rsid w:val="00D04795"/>
    <w:rsid w:val="00D047A0"/>
    <w:rsid w:val="00D047AD"/>
    <w:rsid w:val="00D047D2"/>
    <w:rsid w:val="00D047E6"/>
    <w:rsid w:val="00D04894"/>
    <w:rsid w:val="00D048D1"/>
    <w:rsid w:val="00D048E1"/>
    <w:rsid w:val="00D04914"/>
    <w:rsid w:val="00D04943"/>
    <w:rsid w:val="00D04987"/>
    <w:rsid w:val="00D049A1"/>
    <w:rsid w:val="00D049AF"/>
    <w:rsid w:val="00D04A97"/>
    <w:rsid w:val="00D04AF9"/>
    <w:rsid w:val="00D04B2C"/>
    <w:rsid w:val="00D04B6F"/>
    <w:rsid w:val="00D04B7B"/>
    <w:rsid w:val="00D04BBD"/>
    <w:rsid w:val="00D04C4F"/>
    <w:rsid w:val="00D04CA2"/>
    <w:rsid w:val="00D04CE3"/>
    <w:rsid w:val="00D04D11"/>
    <w:rsid w:val="00D04D17"/>
    <w:rsid w:val="00D04D18"/>
    <w:rsid w:val="00D04D51"/>
    <w:rsid w:val="00D04E53"/>
    <w:rsid w:val="00D04E62"/>
    <w:rsid w:val="00D04E7D"/>
    <w:rsid w:val="00D04F3D"/>
    <w:rsid w:val="00D04F76"/>
    <w:rsid w:val="00D04F8C"/>
    <w:rsid w:val="00D04FA9"/>
    <w:rsid w:val="00D04FED"/>
    <w:rsid w:val="00D0502E"/>
    <w:rsid w:val="00D05046"/>
    <w:rsid w:val="00D0504B"/>
    <w:rsid w:val="00D050B8"/>
    <w:rsid w:val="00D05134"/>
    <w:rsid w:val="00D05167"/>
    <w:rsid w:val="00D05177"/>
    <w:rsid w:val="00D052D6"/>
    <w:rsid w:val="00D052D9"/>
    <w:rsid w:val="00D0531A"/>
    <w:rsid w:val="00D0537C"/>
    <w:rsid w:val="00D0538C"/>
    <w:rsid w:val="00D05393"/>
    <w:rsid w:val="00D053AD"/>
    <w:rsid w:val="00D053E1"/>
    <w:rsid w:val="00D05403"/>
    <w:rsid w:val="00D0543D"/>
    <w:rsid w:val="00D05479"/>
    <w:rsid w:val="00D05569"/>
    <w:rsid w:val="00D05634"/>
    <w:rsid w:val="00D05648"/>
    <w:rsid w:val="00D05679"/>
    <w:rsid w:val="00D056D3"/>
    <w:rsid w:val="00D056E1"/>
    <w:rsid w:val="00D0571B"/>
    <w:rsid w:val="00D05721"/>
    <w:rsid w:val="00D0572F"/>
    <w:rsid w:val="00D05731"/>
    <w:rsid w:val="00D05769"/>
    <w:rsid w:val="00D05776"/>
    <w:rsid w:val="00D05799"/>
    <w:rsid w:val="00D0579B"/>
    <w:rsid w:val="00D057B2"/>
    <w:rsid w:val="00D057DC"/>
    <w:rsid w:val="00D057ED"/>
    <w:rsid w:val="00D0580A"/>
    <w:rsid w:val="00D0584F"/>
    <w:rsid w:val="00D0586B"/>
    <w:rsid w:val="00D058B9"/>
    <w:rsid w:val="00D058E3"/>
    <w:rsid w:val="00D0591A"/>
    <w:rsid w:val="00D05968"/>
    <w:rsid w:val="00D059EE"/>
    <w:rsid w:val="00D05A18"/>
    <w:rsid w:val="00D05AD1"/>
    <w:rsid w:val="00D05BDF"/>
    <w:rsid w:val="00D05C2D"/>
    <w:rsid w:val="00D05CDA"/>
    <w:rsid w:val="00D05D14"/>
    <w:rsid w:val="00D05D3F"/>
    <w:rsid w:val="00D05D4D"/>
    <w:rsid w:val="00D05DE9"/>
    <w:rsid w:val="00D05E1D"/>
    <w:rsid w:val="00D05EE7"/>
    <w:rsid w:val="00D05F12"/>
    <w:rsid w:val="00D05F7B"/>
    <w:rsid w:val="00D05FCA"/>
    <w:rsid w:val="00D05FEF"/>
    <w:rsid w:val="00D06038"/>
    <w:rsid w:val="00D060A6"/>
    <w:rsid w:val="00D060B5"/>
    <w:rsid w:val="00D060B9"/>
    <w:rsid w:val="00D060C6"/>
    <w:rsid w:val="00D0614C"/>
    <w:rsid w:val="00D06153"/>
    <w:rsid w:val="00D0617F"/>
    <w:rsid w:val="00D061C9"/>
    <w:rsid w:val="00D061E1"/>
    <w:rsid w:val="00D06216"/>
    <w:rsid w:val="00D062D0"/>
    <w:rsid w:val="00D062D3"/>
    <w:rsid w:val="00D062EC"/>
    <w:rsid w:val="00D06323"/>
    <w:rsid w:val="00D06382"/>
    <w:rsid w:val="00D063B8"/>
    <w:rsid w:val="00D063C1"/>
    <w:rsid w:val="00D063E7"/>
    <w:rsid w:val="00D06444"/>
    <w:rsid w:val="00D06477"/>
    <w:rsid w:val="00D064A5"/>
    <w:rsid w:val="00D064D0"/>
    <w:rsid w:val="00D0652A"/>
    <w:rsid w:val="00D06540"/>
    <w:rsid w:val="00D065C3"/>
    <w:rsid w:val="00D065CF"/>
    <w:rsid w:val="00D065D7"/>
    <w:rsid w:val="00D06618"/>
    <w:rsid w:val="00D06691"/>
    <w:rsid w:val="00D06693"/>
    <w:rsid w:val="00D066AB"/>
    <w:rsid w:val="00D066B0"/>
    <w:rsid w:val="00D06770"/>
    <w:rsid w:val="00D0689D"/>
    <w:rsid w:val="00D068AA"/>
    <w:rsid w:val="00D068DB"/>
    <w:rsid w:val="00D068F9"/>
    <w:rsid w:val="00D06953"/>
    <w:rsid w:val="00D069A7"/>
    <w:rsid w:val="00D069D1"/>
    <w:rsid w:val="00D06A5B"/>
    <w:rsid w:val="00D06B21"/>
    <w:rsid w:val="00D06BDB"/>
    <w:rsid w:val="00D06C98"/>
    <w:rsid w:val="00D06CB6"/>
    <w:rsid w:val="00D06D07"/>
    <w:rsid w:val="00D06D78"/>
    <w:rsid w:val="00D06D9F"/>
    <w:rsid w:val="00D06DDB"/>
    <w:rsid w:val="00D06DFD"/>
    <w:rsid w:val="00D06E17"/>
    <w:rsid w:val="00D06E1C"/>
    <w:rsid w:val="00D06E1D"/>
    <w:rsid w:val="00D06E57"/>
    <w:rsid w:val="00D06E77"/>
    <w:rsid w:val="00D06E8E"/>
    <w:rsid w:val="00D06E91"/>
    <w:rsid w:val="00D06E9E"/>
    <w:rsid w:val="00D06EAD"/>
    <w:rsid w:val="00D06F1B"/>
    <w:rsid w:val="00D06F38"/>
    <w:rsid w:val="00D06F3A"/>
    <w:rsid w:val="00D07010"/>
    <w:rsid w:val="00D07039"/>
    <w:rsid w:val="00D070A0"/>
    <w:rsid w:val="00D070D7"/>
    <w:rsid w:val="00D070DF"/>
    <w:rsid w:val="00D070E4"/>
    <w:rsid w:val="00D07122"/>
    <w:rsid w:val="00D07142"/>
    <w:rsid w:val="00D0717B"/>
    <w:rsid w:val="00D071FB"/>
    <w:rsid w:val="00D07209"/>
    <w:rsid w:val="00D07273"/>
    <w:rsid w:val="00D0728C"/>
    <w:rsid w:val="00D07319"/>
    <w:rsid w:val="00D07323"/>
    <w:rsid w:val="00D073E4"/>
    <w:rsid w:val="00D073F0"/>
    <w:rsid w:val="00D0741E"/>
    <w:rsid w:val="00D07477"/>
    <w:rsid w:val="00D074EB"/>
    <w:rsid w:val="00D0751B"/>
    <w:rsid w:val="00D075A0"/>
    <w:rsid w:val="00D075EB"/>
    <w:rsid w:val="00D07657"/>
    <w:rsid w:val="00D07716"/>
    <w:rsid w:val="00D07749"/>
    <w:rsid w:val="00D0774B"/>
    <w:rsid w:val="00D0776C"/>
    <w:rsid w:val="00D07815"/>
    <w:rsid w:val="00D07863"/>
    <w:rsid w:val="00D0786F"/>
    <w:rsid w:val="00D07872"/>
    <w:rsid w:val="00D07876"/>
    <w:rsid w:val="00D078B1"/>
    <w:rsid w:val="00D078E0"/>
    <w:rsid w:val="00D078FB"/>
    <w:rsid w:val="00D07903"/>
    <w:rsid w:val="00D07936"/>
    <w:rsid w:val="00D0793F"/>
    <w:rsid w:val="00D079A9"/>
    <w:rsid w:val="00D079B4"/>
    <w:rsid w:val="00D079EB"/>
    <w:rsid w:val="00D07A34"/>
    <w:rsid w:val="00D07A55"/>
    <w:rsid w:val="00D07A70"/>
    <w:rsid w:val="00D07AB0"/>
    <w:rsid w:val="00D07B1A"/>
    <w:rsid w:val="00D07B3C"/>
    <w:rsid w:val="00D07B52"/>
    <w:rsid w:val="00D07B77"/>
    <w:rsid w:val="00D07BB4"/>
    <w:rsid w:val="00D07BBC"/>
    <w:rsid w:val="00D07BE3"/>
    <w:rsid w:val="00D07BE7"/>
    <w:rsid w:val="00D07BEA"/>
    <w:rsid w:val="00D07C30"/>
    <w:rsid w:val="00D07C48"/>
    <w:rsid w:val="00D07C89"/>
    <w:rsid w:val="00D07C9F"/>
    <w:rsid w:val="00D07CEB"/>
    <w:rsid w:val="00D07CEE"/>
    <w:rsid w:val="00D07D88"/>
    <w:rsid w:val="00D07DC3"/>
    <w:rsid w:val="00D07DC6"/>
    <w:rsid w:val="00D07DEF"/>
    <w:rsid w:val="00D07DF6"/>
    <w:rsid w:val="00D07E09"/>
    <w:rsid w:val="00D07E1C"/>
    <w:rsid w:val="00D07E57"/>
    <w:rsid w:val="00D07E7D"/>
    <w:rsid w:val="00D07E89"/>
    <w:rsid w:val="00D07F7B"/>
    <w:rsid w:val="00D07F8F"/>
    <w:rsid w:val="00D07FAF"/>
    <w:rsid w:val="00D07FE4"/>
    <w:rsid w:val="00D10007"/>
    <w:rsid w:val="00D10023"/>
    <w:rsid w:val="00D10073"/>
    <w:rsid w:val="00D1008C"/>
    <w:rsid w:val="00D10099"/>
    <w:rsid w:val="00D100BC"/>
    <w:rsid w:val="00D100F7"/>
    <w:rsid w:val="00D10140"/>
    <w:rsid w:val="00D10151"/>
    <w:rsid w:val="00D10168"/>
    <w:rsid w:val="00D10174"/>
    <w:rsid w:val="00D10183"/>
    <w:rsid w:val="00D101D0"/>
    <w:rsid w:val="00D101F0"/>
    <w:rsid w:val="00D10245"/>
    <w:rsid w:val="00D10265"/>
    <w:rsid w:val="00D1026E"/>
    <w:rsid w:val="00D10273"/>
    <w:rsid w:val="00D102AC"/>
    <w:rsid w:val="00D102E1"/>
    <w:rsid w:val="00D10314"/>
    <w:rsid w:val="00D10322"/>
    <w:rsid w:val="00D10351"/>
    <w:rsid w:val="00D10387"/>
    <w:rsid w:val="00D103E7"/>
    <w:rsid w:val="00D103F0"/>
    <w:rsid w:val="00D10461"/>
    <w:rsid w:val="00D104B2"/>
    <w:rsid w:val="00D104CB"/>
    <w:rsid w:val="00D10514"/>
    <w:rsid w:val="00D1054E"/>
    <w:rsid w:val="00D10596"/>
    <w:rsid w:val="00D105B3"/>
    <w:rsid w:val="00D105EB"/>
    <w:rsid w:val="00D1061B"/>
    <w:rsid w:val="00D106B7"/>
    <w:rsid w:val="00D106BD"/>
    <w:rsid w:val="00D106DB"/>
    <w:rsid w:val="00D106FC"/>
    <w:rsid w:val="00D10820"/>
    <w:rsid w:val="00D10833"/>
    <w:rsid w:val="00D10868"/>
    <w:rsid w:val="00D1089F"/>
    <w:rsid w:val="00D10904"/>
    <w:rsid w:val="00D10919"/>
    <w:rsid w:val="00D1092B"/>
    <w:rsid w:val="00D10979"/>
    <w:rsid w:val="00D109D9"/>
    <w:rsid w:val="00D10A14"/>
    <w:rsid w:val="00D10A26"/>
    <w:rsid w:val="00D10A35"/>
    <w:rsid w:val="00D10A54"/>
    <w:rsid w:val="00D10ABA"/>
    <w:rsid w:val="00D10AE7"/>
    <w:rsid w:val="00D10C01"/>
    <w:rsid w:val="00D10C2E"/>
    <w:rsid w:val="00D10C76"/>
    <w:rsid w:val="00D10C7D"/>
    <w:rsid w:val="00D10CA5"/>
    <w:rsid w:val="00D10CC2"/>
    <w:rsid w:val="00D10CD9"/>
    <w:rsid w:val="00D10CE9"/>
    <w:rsid w:val="00D10CFD"/>
    <w:rsid w:val="00D10D5A"/>
    <w:rsid w:val="00D10D74"/>
    <w:rsid w:val="00D10DCC"/>
    <w:rsid w:val="00D10DE5"/>
    <w:rsid w:val="00D10E13"/>
    <w:rsid w:val="00D10E82"/>
    <w:rsid w:val="00D10EDA"/>
    <w:rsid w:val="00D10EE3"/>
    <w:rsid w:val="00D10F2D"/>
    <w:rsid w:val="00D10F58"/>
    <w:rsid w:val="00D10F69"/>
    <w:rsid w:val="00D10F83"/>
    <w:rsid w:val="00D10F9B"/>
    <w:rsid w:val="00D11032"/>
    <w:rsid w:val="00D110CF"/>
    <w:rsid w:val="00D11211"/>
    <w:rsid w:val="00D11234"/>
    <w:rsid w:val="00D1127A"/>
    <w:rsid w:val="00D112B0"/>
    <w:rsid w:val="00D112C2"/>
    <w:rsid w:val="00D11313"/>
    <w:rsid w:val="00D11325"/>
    <w:rsid w:val="00D1134C"/>
    <w:rsid w:val="00D11365"/>
    <w:rsid w:val="00D113A7"/>
    <w:rsid w:val="00D113D7"/>
    <w:rsid w:val="00D113F7"/>
    <w:rsid w:val="00D1143A"/>
    <w:rsid w:val="00D11468"/>
    <w:rsid w:val="00D1149D"/>
    <w:rsid w:val="00D114A2"/>
    <w:rsid w:val="00D114E6"/>
    <w:rsid w:val="00D11561"/>
    <w:rsid w:val="00D1159F"/>
    <w:rsid w:val="00D115E6"/>
    <w:rsid w:val="00D11622"/>
    <w:rsid w:val="00D1163F"/>
    <w:rsid w:val="00D1165C"/>
    <w:rsid w:val="00D11667"/>
    <w:rsid w:val="00D1167F"/>
    <w:rsid w:val="00D11686"/>
    <w:rsid w:val="00D116C0"/>
    <w:rsid w:val="00D1172F"/>
    <w:rsid w:val="00D11763"/>
    <w:rsid w:val="00D11837"/>
    <w:rsid w:val="00D11869"/>
    <w:rsid w:val="00D1187E"/>
    <w:rsid w:val="00D118E8"/>
    <w:rsid w:val="00D118FD"/>
    <w:rsid w:val="00D11975"/>
    <w:rsid w:val="00D1197B"/>
    <w:rsid w:val="00D11AA9"/>
    <w:rsid w:val="00D11ACF"/>
    <w:rsid w:val="00D11AE1"/>
    <w:rsid w:val="00D11B18"/>
    <w:rsid w:val="00D11B2B"/>
    <w:rsid w:val="00D11B2E"/>
    <w:rsid w:val="00D11B86"/>
    <w:rsid w:val="00D11C12"/>
    <w:rsid w:val="00D11C53"/>
    <w:rsid w:val="00D11C79"/>
    <w:rsid w:val="00D11CE9"/>
    <w:rsid w:val="00D11D14"/>
    <w:rsid w:val="00D11D56"/>
    <w:rsid w:val="00D11DFA"/>
    <w:rsid w:val="00D11EA3"/>
    <w:rsid w:val="00D11EF3"/>
    <w:rsid w:val="00D11F0B"/>
    <w:rsid w:val="00D11F25"/>
    <w:rsid w:val="00D11F77"/>
    <w:rsid w:val="00D11FAA"/>
    <w:rsid w:val="00D12064"/>
    <w:rsid w:val="00D12093"/>
    <w:rsid w:val="00D120F1"/>
    <w:rsid w:val="00D12138"/>
    <w:rsid w:val="00D12149"/>
    <w:rsid w:val="00D12182"/>
    <w:rsid w:val="00D121EF"/>
    <w:rsid w:val="00D12267"/>
    <w:rsid w:val="00D1226D"/>
    <w:rsid w:val="00D12278"/>
    <w:rsid w:val="00D122B2"/>
    <w:rsid w:val="00D12363"/>
    <w:rsid w:val="00D123D7"/>
    <w:rsid w:val="00D1252C"/>
    <w:rsid w:val="00D12559"/>
    <w:rsid w:val="00D1258C"/>
    <w:rsid w:val="00D12594"/>
    <w:rsid w:val="00D1260F"/>
    <w:rsid w:val="00D126AE"/>
    <w:rsid w:val="00D1270C"/>
    <w:rsid w:val="00D12742"/>
    <w:rsid w:val="00D12750"/>
    <w:rsid w:val="00D1277D"/>
    <w:rsid w:val="00D1279E"/>
    <w:rsid w:val="00D127AD"/>
    <w:rsid w:val="00D127EA"/>
    <w:rsid w:val="00D1280F"/>
    <w:rsid w:val="00D12824"/>
    <w:rsid w:val="00D1282A"/>
    <w:rsid w:val="00D12832"/>
    <w:rsid w:val="00D12859"/>
    <w:rsid w:val="00D12925"/>
    <w:rsid w:val="00D12929"/>
    <w:rsid w:val="00D12937"/>
    <w:rsid w:val="00D12946"/>
    <w:rsid w:val="00D1294F"/>
    <w:rsid w:val="00D129B0"/>
    <w:rsid w:val="00D129C0"/>
    <w:rsid w:val="00D129C3"/>
    <w:rsid w:val="00D129C9"/>
    <w:rsid w:val="00D129D0"/>
    <w:rsid w:val="00D129FA"/>
    <w:rsid w:val="00D12AE0"/>
    <w:rsid w:val="00D12B27"/>
    <w:rsid w:val="00D12B9F"/>
    <w:rsid w:val="00D12BF1"/>
    <w:rsid w:val="00D12C6E"/>
    <w:rsid w:val="00D12CE5"/>
    <w:rsid w:val="00D12D02"/>
    <w:rsid w:val="00D12D46"/>
    <w:rsid w:val="00D12D95"/>
    <w:rsid w:val="00D12DE5"/>
    <w:rsid w:val="00D12E06"/>
    <w:rsid w:val="00D12EAA"/>
    <w:rsid w:val="00D12F46"/>
    <w:rsid w:val="00D12F49"/>
    <w:rsid w:val="00D12F51"/>
    <w:rsid w:val="00D12FAC"/>
    <w:rsid w:val="00D12FCA"/>
    <w:rsid w:val="00D1309D"/>
    <w:rsid w:val="00D130D7"/>
    <w:rsid w:val="00D130DC"/>
    <w:rsid w:val="00D130E1"/>
    <w:rsid w:val="00D13129"/>
    <w:rsid w:val="00D13178"/>
    <w:rsid w:val="00D131D5"/>
    <w:rsid w:val="00D13204"/>
    <w:rsid w:val="00D13205"/>
    <w:rsid w:val="00D13225"/>
    <w:rsid w:val="00D1322B"/>
    <w:rsid w:val="00D1325D"/>
    <w:rsid w:val="00D13295"/>
    <w:rsid w:val="00D132F1"/>
    <w:rsid w:val="00D13300"/>
    <w:rsid w:val="00D13361"/>
    <w:rsid w:val="00D13363"/>
    <w:rsid w:val="00D133AB"/>
    <w:rsid w:val="00D133D3"/>
    <w:rsid w:val="00D13408"/>
    <w:rsid w:val="00D13414"/>
    <w:rsid w:val="00D13425"/>
    <w:rsid w:val="00D13435"/>
    <w:rsid w:val="00D13471"/>
    <w:rsid w:val="00D1348B"/>
    <w:rsid w:val="00D134AF"/>
    <w:rsid w:val="00D134C6"/>
    <w:rsid w:val="00D13514"/>
    <w:rsid w:val="00D13521"/>
    <w:rsid w:val="00D135A5"/>
    <w:rsid w:val="00D135A9"/>
    <w:rsid w:val="00D135AB"/>
    <w:rsid w:val="00D135C0"/>
    <w:rsid w:val="00D13623"/>
    <w:rsid w:val="00D1362A"/>
    <w:rsid w:val="00D13648"/>
    <w:rsid w:val="00D1368F"/>
    <w:rsid w:val="00D136BD"/>
    <w:rsid w:val="00D13758"/>
    <w:rsid w:val="00D13769"/>
    <w:rsid w:val="00D1377C"/>
    <w:rsid w:val="00D13789"/>
    <w:rsid w:val="00D137A5"/>
    <w:rsid w:val="00D137F8"/>
    <w:rsid w:val="00D13833"/>
    <w:rsid w:val="00D1388E"/>
    <w:rsid w:val="00D13892"/>
    <w:rsid w:val="00D13976"/>
    <w:rsid w:val="00D139CD"/>
    <w:rsid w:val="00D139D2"/>
    <w:rsid w:val="00D139E4"/>
    <w:rsid w:val="00D13A33"/>
    <w:rsid w:val="00D13AA1"/>
    <w:rsid w:val="00D13ABF"/>
    <w:rsid w:val="00D13AE0"/>
    <w:rsid w:val="00D13B0B"/>
    <w:rsid w:val="00D13BD8"/>
    <w:rsid w:val="00D13C1C"/>
    <w:rsid w:val="00D13C34"/>
    <w:rsid w:val="00D13CC5"/>
    <w:rsid w:val="00D13D07"/>
    <w:rsid w:val="00D13D87"/>
    <w:rsid w:val="00D13DA6"/>
    <w:rsid w:val="00D13DB1"/>
    <w:rsid w:val="00D13DED"/>
    <w:rsid w:val="00D13E0B"/>
    <w:rsid w:val="00D13E9A"/>
    <w:rsid w:val="00D13E9B"/>
    <w:rsid w:val="00D13E9E"/>
    <w:rsid w:val="00D13F32"/>
    <w:rsid w:val="00D13F48"/>
    <w:rsid w:val="00D13FA4"/>
    <w:rsid w:val="00D13FF8"/>
    <w:rsid w:val="00D13FF9"/>
    <w:rsid w:val="00D14057"/>
    <w:rsid w:val="00D14073"/>
    <w:rsid w:val="00D140B8"/>
    <w:rsid w:val="00D140BC"/>
    <w:rsid w:val="00D1413A"/>
    <w:rsid w:val="00D14156"/>
    <w:rsid w:val="00D14166"/>
    <w:rsid w:val="00D14279"/>
    <w:rsid w:val="00D142C4"/>
    <w:rsid w:val="00D142D5"/>
    <w:rsid w:val="00D142E7"/>
    <w:rsid w:val="00D1432B"/>
    <w:rsid w:val="00D1432F"/>
    <w:rsid w:val="00D143A0"/>
    <w:rsid w:val="00D143A4"/>
    <w:rsid w:val="00D143E1"/>
    <w:rsid w:val="00D14462"/>
    <w:rsid w:val="00D14528"/>
    <w:rsid w:val="00D14559"/>
    <w:rsid w:val="00D1456D"/>
    <w:rsid w:val="00D14598"/>
    <w:rsid w:val="00D1460C"/>
    <w:rsid w:val="00D146B9"/>
    <w:rsid w:val="00D146BF"/>
    <w:rsid w:val="00D146F9"/>
    <w:rsid w:val="00D1470E"/>
    <w:rsid w:val="00D1471B"/>
    <w:rsid w:val="00D1473B"/>
    <w:rsid w:val="00D14740"/>
    <w:rsid w:val="00D147A2"/>
    <w:rsid w:val="00D147C1"/>
    <w:rsid w:val="00D147E2"/>
    <w:rsid w:val="00D1481D"/>
    <w:rsid w:val="00D14836"/>
    <w:rsid w:val="00D14876"/>
    <w:rsid w:val="00D1493D"/>
    <w:rsid w:val="00D1494B"/>
    <w:rsid w:val="00D1497A"/>
    <w:rsid w:val="00D149D3"/>
    <w:rsid w:val="00D14A39"/>
    <w:rsid w:val="00D14A93"/>
    <w:rsid w:val="00D14AC8"/>
    <w:rsid w:val="00D14AD5"/>
    <w:rsid w:val="00D14AEB"/>
    <w:rsid w:val="00D14B16"/>
    <w:rsid w:val="00D14B62"/>
    <w:rsid w:val="00D14B6F"/>
    <w:rsid w:val="00D14B79"/>
    <w:rsid w:val="00D14B98"/>
    <w:rsid w:val="00D14BD3"/>
    <w:rsid w:val="00D14BE4"/>
    <w:rsid w:val="00D14C3C"/>
    <w:rsid w:val="00D14C43"/>
    <w:rsid w:val="00D14C57"/>
    <w:rsid w:val="00D14C64"/>
    <w:rsid w:val="00D14C91"/>
    <w:rsid w:val="00D14CD9"/>
    <w:rsid w:val="00D14CEB"/>
    <w:rsid w:val="00D14DA0"/>
    <w:rsid w:val="00D14DC9"/>
    <w:rsid w:val="00D14DDA"/>
    <w:rsid w:val="00D14E12"/>
    <w:rsid w:val="00D14E7D"/>
    <w:rsid w:val="00D14E7E"/>
    <w:rsid w:val="00D14E9D"/>
    <w:rsid w:val="00D14EB9"/>
    <w:rsid w:val="00D14EF0"/>
    <w:rsid w:val="00D14F1D"/>
    <w:rsid w:val="00D14F29"/>
    <w:rsid w:val="00D14F7A"/>
    <w:rsid w:val="00D15039"/>
    <w:rsid w:val="00D1506B"/>
    <w:rsid w:val="00D15083"/>
    <w:rsid w:val="00D150B7"/>
    <w:rsid w:val="00D150E8"/>
    <w:rsid w:val="00D15168"/>
    <w:rsid w:val="00D15198"/>
    <w:rsid w:val="00D151A9"/>
    <w:rsid w:val="00D15227"/>
    <w:rsid w:val="00D1522B"/>
    <w:rsid w:val="00D15260"/>
    <w:rsid w:val="00D1528D"/>
    <w:rsid w:val="00D1528E"/>
    <w:rsid w:val="00D152C9"/>
    <w:rsid w:val="00D152FD"/>
    <w:rsid w:val="00D1532E"/>
    <w:rsid w:val="00D153F1"/>
    <w:rsid w:val="00D15448"/>
    <w:rsid w:val="00D15457"/>
    <w:rsid w:val="00D15459"/>
    <w:rsid w:val="00D154A1"/>
    <w:rsid w:val="00D154DD"/>
    <w:rsid w:val="00D154EB"/>
    <w:rsid w:val="00D154F9"/>
    <w:rsid w:val="00D15526"/>
    <w:rsid w:val="00D15543"/>
    <w:rsid w:val="00D15584"/>
    <w:rsid w:val="00D1558B"/>
    <w:rsid w:val="00D155B3"/>
    <w:rsid w:val="00D155CC"/>
    <w:rsid w:val="00D15627"/>
    <w:rsid w:val="00D1562D"/>
    <w:rsid w:val="00D1563E"/>
    <w:rsid w:val="00D156A0"/>
    <w:rsid w:val="00D156DC"/>
    <w:rsid w:val="00D15707"/>
    <w:rsid w:val="00D157AC"/>
    <w:rsid w:val="00D15912"/>
    <w:rsid w:val="00D15936"/>
    <w:rsid w:val="00D1594D"/>
    <w:rsid w:val="00D159A2"/>
    <w:rsid w:val="00D159DC"/>
    <w:rsid w:val="00D159E7"/>
    <w:rsid w:val="00D159ED"/>
    <w:rsid w:val="00D15A49"/>
    <w:rsid w:val="00D15A7B"/>
    <w:rsid w:val="00D15AB8"/>
    <w:rsid w:val="00D15B1C"/>
    <w:rsid w:val="00D15B29"/>
    <w:rsid w:val="00D15B78"/>
    <w:rsid w:val="00D15B9D"/>
    <w:rsid w:val="00D15BB8"/>
    <w:rsid w:val="00D15BBB"/>
    <w:rsid w:val="00D15BFB"/>
    <w:rsid w:val="00D15C0B"/>
    <w:rsid w:val="00D15C29"/>
    <w:rsid w:val="00D15CE8"/>
    <w:rsid w:val="00D15D32"/>
    <w:rsid w:val="00D15D61"/>
    <w:rsid w:val="00D15DAC"/>
    <w:rsid w:val="00D15DCA"/>
    <w:rsid w:val="00D15E05"/>
    <w:rsid w:val="00D15E66"/>
    <w:rsid w:val="00D15EEE"/>
    <w:rsid w:val="00D15F3D"/>
    <w:rsid w:val="00D15F52"/>
    <w:rsid w:val="00D15F73"/>
    <w:rsid w:val="00D15F87"/>
    <w:rsid w:val="00D15FA6"/>
    <w:rsid w:val="00D15FBE"/>
    <w:rsid w:val="00D15FCF"/>
    <w:rsid w:val="00D15FFC"/>
    <w:rsid w:val="00D16046"/>
    <w:rsid w:val="00D16096"/>
    <w:rsid w:val="00D160A2"/>
    <w:rsid w:val="00D160AD"/>
    <w:rsid w:val="00D160CC"/>
    <w:rsid w:val="00D16122"/>
    <w:rsid w:val="00D16146"/>
    <w:rsid w:val="00D16153"/>
    <w:rsid w:val="00D16154"/>
    <w:rsid w:val="00D161FC"/>
    <w:rsid w:val="00D16270"/>
    <w:rsid w:val="00D1632A"/>
    <w:rsid w:val="00D1632E"/>
    <w:rsid w:val="00D1634E"/>
    <w:rsid w:val="00D16358"/>
    <w:rsid w:val="00D163DC"/>
    <w:rsid w:val="00D16454"/>
    <w:rsid w:val="00D164B6"/>
    <w:rsid w:val="00D164BA"/>
    <w:rsid w:val="00D16504"/>
    <w:rsid w:val="00D1651C"/>
    <w:rsid w:val="00D1653D"/>
    <w:rsid w:val="00D16573"/>
    <w:rsid w:val="00D16587"/>
    <w:rsid w:val="00D165AC"/>
    <w:rsid w:val="00D1664B"/>
    <w:rsid w:val="00D166F0"/>
    <w:rsid w:val="00D16708"/>
    <w:rsid w:val="00D1673E"/>
    <w:rsid w:val="00D16742"/>
    <w:rsid w:val="00D1674A"/>
    <w:rsid w:val="00D167B1"/>
    <w:rsid w:val="00D167C5"/>
    <w:rsid w:val="00D16816"/>
    <w:rsid w:val="00D16831"/>
    <w:rsid w:val="00D168C1"/>
    <w:rsid w:val="00D1692A"/>
    <w:rsid w:val="00D16943"/>
    <w:rsid w:val="00D16955"/>
    <w:rsid w:val="00D169F1"/>
    <w:rsid w:val="00D169F6"/>
    <w:rsid w:val="00D16A00"/>
    <w:rsid w:val="00D16A02"/>
    <w:rsid w:val="00D16A07"/>
    <w:rsid w:val="00D16A6A"/>
    <w:rsid w:val="00D16B90"/>
    <w:rsid w:val="00D16C49"/>
    <w:rsid w:val="00D16C5E"/>
    <w:rsid w:val="00D16C87"/>
    <w:rsid w:val="00D16CB4"/>
    <w:rsid w:val="00D16CCB"/>
    <w:rsid w:val="00D16CD5"/>
    <w:rsid w:val="00D16D02"/>
    <w:rsid w:val="00D16D42"/>
    <w:rsid w:val="00D16D7B"/>
    <w:rsid w:val="00D16D8A"/>
    <w:rsid w:val="00D16DB8"/>
    <w:rsid w:val="00D16DCD"/>
    <w:rsid w:val="00D16E2C"/>
    <w:rsid w:val="00D16E52"/>
    <w:rsid w:val="00D16E68"/>
    <w:rsid w:val="00D16E74"/>
    <w:rsid w:val="00D16EA0"/>
    <w:rsid w:val="00D16ED3"/>
    <w:rsid w:val="00D16EDB"/>
    <w:rsid w:val="00D16F05"/>
    <w:rsid w:val="00D16F0E"/>
    <w:rsid w:val="00D16F73"/>
    <w:rsid w:val="00D16FD4"/>
    <w:rsid w:val="00D16FF9"/>
    <w:rsid w:val="00D1704A"/>
    <w:rsid w:val="00D1708A"/>
    <w:rsid w:val="00D1708C"/>
    <w:rsid w:val="00D1710C"/>
    <w:rsid w:val="00D1716D"/>
    <w:rsid w:val="00D171AB"/>
    <w:rsid w:val="00D171AC"/>
    <w:rsid w:val="00D171C3"/>
    <w:rsid w:val="00D171C4"/>
    <w:rsid w:val="00D171C5"/>
    <w:rsid w:val="00D17200"/>
    <w:rsid w:val="00D1723F"/>
    <w:rsid w:val="00D17279"/>
    <w:rsid w:val="00D17291"/>
    <w:rsid w:val="00D17301"/>
    <w:rsid w:val="00D17331"/>
    <w:rsid w:val="00D17347"/>
    <w:rsid w:val="00D17372"/>
    <w:rsid w:val="00D173C2"/>
    <w:rsid w:val="00D173D5"/>
    <w:rsid w:val="00D17459"/>
    <w:rsid w:val="00D1745E"/>
    <w:rsid w:val="00D1748B"/>
    <w:rsid w:val="00D174D5"/>
    <w:rsid w:val="00D174EF"/>
    <w:rsid w:val="00D17510"/>
    <w:rsid w:val="00D17574"/>
    <w:rsid w:val="00D1759D"/>
    <w:rsid w:val="00D17679"/>
    <w:rsid w:val="00D1769B"/>
    <w:rsid w:val="00D176EC"/>
    <w:rsid w:val="00D176F0"/>
    <w:rsid w:val="00D176FE"/>
    <w:rsid w:val="00D17715"/>
    <w:rsid w:val="00D17727"/>
    <w:rsid w:val="00D1777D"/>
    <w:rsid w:val="00D17782"/>
    <w:rsid w:val="00D1779F"/>
    <w:rsid w:val="00D177A3"/>
    <w:rsid w:val="00D177F7"/>
    <w:rsid w:val="00D17846"/>
    <w:rsid w:val="00D17865"/>
    <w:rsid w:val="00D178D3"/>
    <w:rsid w:val="00D178DB"/>
    <w:rsid w:val="00D1791F"/>
    <w:rsid w:val="00D17972"/>
    <w:rsid w:val="00D179F2"/>
    <w:rsid w:val="00D17A4F"/>
    <w:rsid w:val="00D17A7C"/>
    <w:rsid w:val="00D17AD5"/>
    <w:rsid w:val="00D17B18"/>
    <w:rsid w:val="00D17B3C"/>
    <w:rsid w:val="00D17BB2"/>
    <w:rsid w:val="00D17BC0"/>
    <w:rsid w:val="00D17BD4"/>
    <w:rsid w:val="00D17BFA"/>
    <w:rsid w:val="00D17C6D"/>
    <w:rsid w:val="00D17D52"/>
    <w:rsid w:val="00D17D6A"/>
    <w:rsid w:val="00D17D7C"/>
    <w:rsid w:val="00D17D8D"/>
    <w:rsid w:val="00D17DF1"/>
    <w:rsid w:val="00D17E8B"/>
    <w:rsid w:val="00D17EF3"/>
    <w:rsid w:val="00D17F0C"/>
    <w:rsid w:val="00D17F6A"/>
    <w:rsid w:val="00D17F87"/>
    <w:rsid w:val="00D17F88"/>
    <w:rsid w:val="00D17FD1"/>
    <w:rsid w:val="00D1E23D"/>
    <w:rsid w:val="00D2000B"/>
    <w:rsid w:val="00D20081"/>
    <w:rsid w:val="00D200A6"/>
    <w:rsid w:val="00D200B9"/>
    <w:rsid w:val="00D20145"/>
    <w:rsid w:val="00D201A4"/>
    <w:rsid w:val="00D2024B"/>
    <w:rsid w:val="00D2028B"/>
    <w:rsid w:val="00D2029A"/>
    <w:rsid w:val="00D202F4"/>
    <w:rsid w:val="00D20333"/>
    <w:rsid w:val="00D2033D"/>
    <w:rsid w:val="00D2035A"/>
    <w:rsid w:val="00D2035E"/>
    <w:rsid w:val="00D2037F"/>
    <w:rsid w:val="00D20401"/>
    <w:rsid w:val="00D20447"/>
    <w:rsid w:val="00D20513"/>
    <w:rsid w:val="00D20550"/>
    <w:rsid w:val="00D2056D"/>
    <w:rsid w:val="00D20576"/>
    <w:rsid w:val="00D2059F"/>
    <w:rsid w:val="00D20615"/>
    <w:rsid w:val="00D20673"/>
    <w:rsid w:val="00D206C5"/>
    <w:rsid w:val="00D2072F"/>
    <w:rsid w:val="00D20790"/>
    <w:rsid w:val="00D207F5"/>
    <w:rsid w:val="00D20832"/>
    <w:rsid w:val="00D208AD"/>
    <w:rsid w:val="00D208C5"/>
    <w:rsid w:val="00D208D4"/>
    <w:rsid w:val="00D208F9"/>
    <w:rsid w:val="00D2091A"/>
    <w:rsid w:val="00D2092C"/>
    <w:rsid w:val="00D20983"/>
    <w:rsid w:val="00D2099C"/>
    <w:rsid w:val="00D209A0"/>
    <w:rsid w:val="00D209AD"/>
    <w:rsid w:val="00D209CF"/>
    <w:rsid w:val="00D209D5"/>
    <w:rsid w:val="00D209DF"/>
    <w:rsid w:val="00D209E3"/>
    <w:rsid w:val="00D209E6"/>
    <w:rsid w:val="00D209E7"/>
    <w:rsid w:val="00D20A09"/>
    <w:rsid w:val="00D20A17"/>
    <w:rsid w:val="00D20A23"/>
    <w:rsid w:val="00D20A28"/>
    <w:rsid w:val="00D20A58"/>
    <w:rsid w:val="00D20A5B"/>
    <w:rsid w:val="00D20ACA"/>
    <w:rsid w:val="00D20ACB"/>
    <w:rsid w:val="00D20AE6"/>
    <w:rsid w:val="00D20BEA"/>
    <w:rsid w:val="00D20CD3"/>
    <w:rsid w:val="00D20D24"/>
    <w:rsid w:val="00D20D88"/>
    <w:rsid w:val="00D20E5C"/>
    <w:rsid w:val="00D20F1F"/>
    <w:rsid w:val="00D20F46"/>
    <w:rsid w:val="00D20F67"/>
    <w:rsid w:val="00D2104F"/>
    <w:rsid w:val="00D21094"/>
    <w:rsid w:val="00D21105"/>
    <w:rsid w:val="00D2110F"/>
    <w:rsid w:val="00D21173"/>
    <w:rsid w:val="00D2118E"/>
    <w:rsid w:val="00D211C0"/>
    <w:rsid w:val="00D211FA"/>
    <w:rsid w:val="00D211FC"/>
    <w:rsid w:val="00D211FD"/>
    <w:rsid w:val="00D2121E"/>
    <w:rsid w:val="00D21238"/>
    <w:rsid w:val="00D21249"/>
    <w:rsid w:val="00D21322"/>
    <w:rsid w:val="00D2134A"/>
    <w:rsid w:val="00D21421"/>
    <w:rsid w:val="00D2143D"/>
    <w:rsid w:val="00D2148C"/>
    <w:rsid w:val="00D214AE"/>
    <w:rsid w:val="00D214BE"/>
    <w:rsid w:val="00D214D0"/>
    <w:rsid w:val="00D214E5"/>
    <w:rsid w:val="00D214EE"/>
    <w:rsid w:val="00D214FF"/>
    <w:rsid w:val="00D2150A"/>
    <w:rsid w:val="00D21550"/>
    <w:rsid w:val="00D21553"/>
    <w:rsid w:val="00D21595"/>
    <w:rsid w:val="00D21604"/>
    <w:rsid w:val="00D21679"/>
    <w:rsid w:val="00D216A6"/>
    <w:rsid w:val="00D216BB"/>
    <w:rsid w:val="00D2173B"/>
    <w:rsid w:val="00D217A0"/>
    <w:rsid w:val="00D217D1"/>
    <w:rsid w:val="00D2184E"/>
    <w:rsid w:val="00D21857"/>
    <w:rsid w:val="00D2188E"/>
    <w:rsid w:val="00D218F3"/>
    <w:rsid w:val="00D21939"/>
    <w:rsid w:val="00D21982"/>
    <w:rsid w:val="00D2199E"/>
    <w:rsid w:val="00D219B5"/>
    <w:rsid w:val="00D219D6"/>
    <w:rsid w:val="00D21A14"/>
    <w:rsid w:val="00D21A86"/>
    <w:rsid w:val="00D21A92"/>
    <w:rsid w:val="00D21B00"/>
    <w:rsid w:val="00D21B8F"/>
    <w:rsid w:val="00D21BE0"/>
    <w:rsid w:val="00D21C02"/>
    <w:rsid w:val="00D21C30"/>
    <w:rsid w:val="00D21C54"/>
    <w:rsid w:val="00D21C73"/>
    <w:rsid w:val="00D21CCD"/>
    <w:rsid w:val="00D21CF2"/>
    <w:rsid w:val="00D21CF4"/>
    <w:rsid w:val="00D21D01"/>
    <w:rsid w:val="00D21D11"/>
    <w:rsid w:val="00D21D33"/>
    <w:rsid w:val="00D21D6E"/>
    <w:rsid w:val="00D21D7C"/>
    <w:rsid w:val="00D21DEE"/>
    <w:rsid w:val="00D21E29"/>
    <w:rsid w:val="00D21E68"/>
    <w:rsid w:val="00D21E7A"/>
    <w:rsid w:val="00D21E8F"/>
    <w:rsid w:val="00D21E99"/>
    <w:rsid w:val="00D21EB1"/>
    <w:rsid w:val="00D21ED9"/>
    <w:rsid w:val="00D21F04"/>
    <w:rsid w:val="00D21FDA"/>
    <w:rsid w:val="00D21FE9"/>
    <w:rsid w:val="00D22026"/>
    <w:rsid w:val="00D220ED"/>
    <w:rsid w:val="00D22136"/>
    <w:rsid w:val="00D2213A"/>
    <w:rsid w:val="00D22198"/>
    <w:rsid w:val="00D221C9"/>
    <w:rsid w:val="00D221EF"/>
    <w:rsid w:val="00D2223A"/>
    <w:rsid w:val="00D22265"/>
    <w:rsid w:val="00D2227C"/>
    <w:rsid w:val="00D222B0"/>
    <w:rsid w:val="00D222E8"/>
    <w:rsid w:val="00D222FD"/>
    <w:rsid w:val="00D2230E"/>
    <w:rsid w:val="00D22340"/>
    <w:rsid w:val="00D22373"/>
    <w:rsid w:val="00D22382"/>
    <w:rsid w:val="00D2238D"/>
    <w:rsid w:val="00D22406"/>
    <w:rsid w:val="00D2247C"/>
    <w:rsid w:val="00D224BB"/>
    <w:rsid w:val="00D224FA"/>
    <w:rsid w:val="00D22507"/>
    <w:rsid w:val="00D2256A"/>
    <w:rsid w:val="00D225A4"/>
    <w:rsid w:val="00D225BC"/>
    <w:rsid w:val="00D225DB"/>
    <w:rsid w:val="00D22621"/>
    <w:rsid w:val="00D22635"/>
    <w:rsid w:val="00D22651"/>
    <w:rsid w:val="00D2265F"/>
    <w:rsid w:val="00D22784"/>
    <w:rsid w:val="00D2280A"/>
    <w:rsid w:val="00D22828"/>
    <w:rsid w:val="00D22833"/>
    <w:rsid w:val="00D228FD"/>
    <w:rsid w:val="00D22948"/>
    <w:rsid w:val="00D2296D"/>
    <w:rsid w:val="00D229AF"/>
    <w:rsid w:val="00D22B5A"/>
    <w:rsid w:val="00D22B76"/>
    <w:rsid w:val="00D22B88"/>
    <w:rsid w:val="00D22BFE"/>
    <w:rsid w:val="00D22C5A"/>
    <w:rsid w:val="00D22C6C"/>
    <w:rsid w:val="00D22C71"/>
    <w:rsid w:val="00D22CD7"/>
    <w:rsid w:val="00D22CFB"/>
    <w:rsid w:val="00D22D12"/>
    <w:rsid w:val="00D22D3A"/>
    <w:rsid w:val="00D22D4D"/>
    <w:rsid w:val="00D22D4F"/>
    <w:rsid w:val="00D22D74"/>
    <w:rsid w:val="00D22D8C"/>
    <w:rsid w:val="00D22DAF"/>
    <w:rsid w:val="00D22DB6"/>
    <w:rsid w:val="00D22DED"/>
    <w:rsid w:val="00D22DF0"/>
    <w:rsid w:val="00D22E12"/>
    <w:rsid w:val="00D22E1D"/>
    <w:rsid w:val="00D22EB5"/>
    <w:rsid w:val="00D22ECB"/>
    <w:rsid w:val="00D22F87"/>
    <w:rsid w:val="00D22FDB"/>
    <w:rsid w:val="00D2302B"/>
    <w:rsid w:val="00D2305E"/>
    <w:rsid w:val="00D23060"/>
    <w:rsid w:val="00D230BF"/>
    <w:rsid w:val="00D23163"/>
    <w:rsid w:val="00D23182"/>
    <w:rsid w:val="00D231BE"/>
    <w:rsid w:val="00D231F2"/>
    <w:rsid w:val="00D23204"/>
    <w:rsid w:val="00D23247"/>
    <w:rsid w:val="00D23277"/>
    <w:rsid w:val="00D232F7"/>
    <w:rsid w:val="00D233B6"/>
    <w:rsid w:val="00D233ED"/>
    <w:rsid w:val="00D23411"/>
    <w:rsid w:val="00D23452"/>
    <w:rsid w:val="00D234EC"/>
    <w:rsid w:val="00D23549"/>
    <w:rsid w:val="00D23579"/>
    <w:rsid w:val="00D235F7"/>
    <w:rsid w:val="00D236F3"/>
    <w:rsid w:val="00D237EB"/>
    <w:rsid w:val="00D238C1"/>
    <w:rsid w:val="00D238E2"/>
    <w:rsid w:val="00D238FF"/>
    <w:rsid w:val="00D23905"/>
    <w:rsid w:val="00D23911"/>
    <w:rsid w:val="00D2398F"/>
    <w:rsid w:val="00D239B9"/>
    <w:rsid w:val="00D239E1"/>
    <w:rsid w:val="00D23A26"/>
    <w:rsid w:val="00D23A9C"/>
    <w:rsid w:val="00D23B23"/>
    <w:rsid w:val="00D23BFB"/>
    <w:rsid w:val="00D23C17"/>
    <w:rsid w:val="00D23C52"/>
    <w:rsid w:val="00D23CFF"/>
    <w:rsid w:val="00D23D7A"/>
    <w:rsid w:val="00D23DB4"/>
    <w:rsid w:val="00D23DC5"/>
    <w:rsid w:val="00D23DCB"/>
    <w:rsid w:val="00D23DEB"/>
    <w:rsid w:val="00D23E87"/>
    <w:rsid w:val="00D23E9A"/>
    <w:rsid w:val="00D23E9C"/>
    <w:rsid w:val="00D23E9D"/>
    <w:rsid w:val="00D23EA9"/>
    <w:rsid w:val="00D23EDB"/>
    <w:rsid w:val="00D23EE1"/>
    <w:rsid w:val="00D23F1F"/>
    <w:rsid w:val="00D23F30"/>
    <w:rsid w:val="00D23F8F"/>
    <w:rsid w:val="00D23FC1"/>
    <w:rsid w:val="00D23FC5"/>
    <w:rsid w:val="00D23FC6"/>
    <w:rsid w:val="00D23FD3"/>
    <w:rsid w:val="00D2405A"/>
    <w:rsid w:val="00D2405D"/>
    <w:rsid w:val="00D24112"/>
    <w:rsid w:val="00D24167"/>
    <w:rsid w:val="00D24196"/>
    <w:rsid w:val="00D241DE"/>
    <w:rsid w:val="00D241E4"/>
    <w:rsid w:val="00D24237"/>
    <w:rsid w:val="00D2426D"/>
    <w:rsid w:val="00D2428F"/>
    <w:rsid w:val="00D242D3"/>
    <w:rsid w:val="00D242DF"/>
    <w:rsid w:val="00D242FB"/>
    <w:rsid w:val="00D2431B"/>
    <w:rsid w:val="00D2432B"/>
    <w:rsid w:val="00D2435F"/>
    <w:rsid w:val="00D243CB"/>
    <w:rsid w:val="00D243FF"/>
    <w:rsid w:val="00D24404"/>
    <w:rsid w:val="00D24462"/>
    <w:rsid w:val="00D24499"/>
    <w:rsid w:val="00D244A1"/>
    <w:rsid w:val="00D245A8"/>
    <w:rsid w:val="00D245B9"/>
    <w:rsid w:val="00D2461C"/>
    <w:rsid w:val="00D24621"/>
    <w:rsid w:val="00D2464A"/>
    <w:rsid w:val="00D2465F"/>
    <w:rsid w:val="00D246A9"/>
    <w:rsid w:val="00D246DA"/>
    <w:rsid w:val="00D2472C"/>
    <w:rsid w:val="00D247C5"/>
    <w:rsid w:val="00D2489F"/>
    <w:rsid w:val="00D2493F"/>
    <w:rsid w:val="00D24A49"/>
    <w:rsid w:val="00D24A4D"/>
    <w:rsid w:val="00D24A51"/>
    <w:rsid w:val="00D24B27"/>
    <w:rsid w:val="00D24B56"/>
    <w:rsid w:val="00D24B61"/>
    <w:rsid w:val="00D24B7D"/>
    <w:rsid w:val="00D24B81"/>
    <w:rsid w:val="00D24B82"/>
    <w:rsid w:val="00D24BAA"/>
    <w:rsid w:val="00D24BE7"/>
    <w:rsid w:val="00D24C00"/>
    <w:rsid w:val="00D24C1F"/>
    <w:rsid w:val="00D24C3D"/>
    <w:rsid w:val="00D24E75"/>
    <w:rsid w:val="00D24E84"/>
    <w:rsid w:val="00D24E8A"/>
    <w:rsid w:val="00D24E91"/>
    <w:rsid w:val="00D24F01"/>
    <w:rsid w:val="00D24F3E"/>
    <w:rsid w:val="00D24F72"/>
    <w:rsid w:val="00D24F78"/>
    <w:rsid w:val="00D24F8C"/>
    <w:rsid w:val="00D24F8D"/>
    <w:rsid w:val="00D250D8"/>
    <w:rsid w:val="00D250E3"/>
    <w:rsid w:val="00D2511A"/>
    <w:rsid w:val="00D25167"/>
    <w:rsid w:val="00D25199"/>
    <w:rsid w:val="00D251B7"/>
    <w:rsid w:val="00D2520F"/>
    <w:rsid w:val="00D25226"/>
    <w:rsid w:val="00D25264"/>
    <w:rsid w:val="00D25272"/>
    <w:rsid w:val="00D2529A"/>
    <w:rsid w:val="00D252A9"/>
    <w:rsid w:val="00D252B7"/>
    <w:rsid w:val="00D252E4"/>
    <w:rsid w:val="00D25327"/>
    <w:rsid w:val="00D2540F"/>
    <w:rsid w:val="00D2541A"/>
    <w:rsid w:val="00D25425"/>
    <w:rsid w:val="00D25427"/>
    <w:rsid w:val="00D25469"/>
    <w:rsid w:val="00D254A6"/>
    <w:rsid w:val="00D254F8"/>
    <w:rsid w:val="00D254FB"/>
    <w:rsid w:val="00D25567"/>
    <w:rsid w:val="00D2556C"/>
    <w:rsid w:val="00D255A7"/>
    <w:rsid w:val="00D255C2"/>
    <w:rsid w:val="00D2562D"/>
    <w:rsid w:val="00D25660"/>
    <w:rsid w:val="00D256C3"/>
    <w:rsid w:val="00D25707"/>
    <w:rsid w:val="00D2570C"/>
    <w:rsid w:val="00D25711"/>
    <w:rsid w:val="00D2571F"/>
    <w:rsid w:val="00D2572C"/>
    <w:rsid w:val="00D2578B"/>
    <w:rsid w:val="00D257DA"/>
    <w:rsid w:val="00D257E7"/>
    <w:rsid w:val="00D2583A"/>
    <w:rsid w:val="00D25927"/>
    <w:rsid w:val="00D2593C"/>
    <w:rsid w:val="00D25973"/>
    <w:rsid w:val="00D259AE"/>
    <w:rsid w:val="00D25A34"/>
    <w:rsid w:val="00D25A36"/>
    <w:rsid w:val="00D25ABA"/>
    <w:rsid w:val="00D25AC9"/>
    <w:rsid w:val="00D25AFF"/>
    <w:rsid w:val="00D25B23"/>
    <w:rsid w:val="00D25B7A"/>
    <w:rsid w:val="00D25B85"/>
    <w:rsid w:val="00D25BC2"/>
    <w:rsid w:val="00D25BE5"/>
    <w:rsid w:val="00D25C49"/>
    <w:rsid w:val="00D25C84"/>
    <w:rsid w:val="00D25C96"/>
    <w:rsid w:val="00D25CAB"/>
    <w:rsid w:val="00D25CB0"/>
    <w:rsid w:val="00D25CC8"/>
    <w:rsid w:val="00D25CD3"/>
    <w:rsid w:val="00D25D2F"/>
    <w:rsid w:val="00D25DB3"/>
    <w:rsid w:val="00D25E06"/>
    <w:rsid w:val="00D25E25"/>
    <w:rsid w:val="00D25E39"/>
    <w:rsid w:val="00D25F41"/>
    <w:rsid w:val="00D25F53"/>
    <w:rsid w:val="00D25F65"/>
    <w:rsid w:val="00D25F9F"/>
    <w:rsid w:val="00D26057"/>
    <w:rsid w:val="00D26066"/>
    <w:rsid w:val="00D2606D"/>
    <w:rsid w:val="00D260A3"/>
    <w:rsid w:val="00D26108"/>
    <w:rsid w:val="00D26113"/>
    <w:rsid w:val="00D26115"/>
    <w:rsid w:val="00D2617D"/>
    <w:rsid w:val="00D261B1"/>
    <w:rsid w:val="00D261D6"/>
    <w:rsid w:val="00D2624D"/>
    <w:rsid w:val="00D26280"/>
    <w:rsid w:val="00D2628C"/>
    <w:rsid w:val="00D262A0"/>
    <w:rsid w:val="00D262A1"/>
    <w:rsid w:val="00D262BC"/>
    <w:rsid w:val="00D262E0"/>
    <w:rsid w:val="00D2635B"/>
    <w:rsid w:val="00D26380"/>
    <w:rsid w:val="00D2644A"/>
    <w:rsid w:val="00D26456"/>
    <w:rsid w:val="00D2646B"/>
    <w:rsid w:val="00D26490"/>
    <w:rsid w:val="00D26504"/>
    <w:rsid w:val="00D26523"/>
    <w:rsid w:val="00D2657B"/>
    <w:rsid w:val="00D265C8"/>
    <w:rsid w:val="00D26627"/>
    <w:rsid w:val="00D2665B"/>
    <w:rsid w:val="00D266E5"/>
    <w:rsid w:val="00D26704"/>
    <w:rsid w:val="00D26723"/>
    <w:rsid w:val="00D267B1"/>
    <w:rsid w:val="00D267D5"/>
    <w:rsid w:val="00D267F8"/>
    <w:rsid w:val="00D26839"/>
    <w:rsid w:val="00D26880"/>
    <w:rsid w:val="00D26889"/>
    <w:rsid w:val="00D268A6"/>
    <w:rsid w:val="00D268E8"/>
    <w:rsid w:val="00D26902"/>
    <w:rsid w:val="00D26936"/>
    <w:rsid w:val="00D26956"/>
    <w:rsid w:val="00D26993"/>
    <w:rsid w:val="00D26997"/>
    <w:rsid w:val="00D269A2"/>
    <w:rsid w:val="00D269C4"/>
    <w:rsid w:val="00D269D6"/>
    <w:rsid w:val="00D26A47"/>
    <w:rsid w:val="00D26AAD"/>
    <w:rsid w:val="00D26AB9"/>
    <w:rsid w:val="00D26AC9"/>
    <w:rsid w:val="00D26AE0"/>
    <w:rsid w:val="00D26AE3"/>
    <w:rsid w:val="00D26B40"/>
    <w:rsid w:val="00D26B47"/>
    <w:rsid w:val="00D26BCC"/>
    <w:rsid w:val="00D26C16"/>
    <w:rsid w:val="00D26C2A"/>
    <w:rsid w:val="00D26C36"/>
    <w:rsid w:val="00D26C39"/>
    <w:rsid w:val="00D26C4E"/>
    <w:rsid w:val="00D26C62"/>
    <w:rsid w:val="00D26CC2"/>
    <w:rsid w:val="00D26CCD"/>
    <w:rsid w:val="00D26CE0"/>
    <w:rsid w:val="00D26CE4"/>
    <w:rsid w:val="00D26D4A"/>
    <w:rsid w:val="00D26D81"/>
    <w:rsid w:val="00D26D90"/>
    <w:rsid w:val="00D26DE1"/>
    <w:rsid w:val="00D26DEE"/>
    <w:rsid w:val="00D26DFD"/>
    <w:rsid w:val="00D26E04"/>
    <w:rsid w:val="00D26E9E"/>
    <w:rsid w:val="00D26F06"/>
    <w:rsid w:val="00D26F56"/>
    <w:rsid w:val="00D26F62"/>
    <w:rsid w:val="00D26FA0"/>
    <w:rsid w:val="00D2706E"/>
    <w:rsid w:val="00D2707C"/>
    <w:rsid w:val="00D270C0"/>
    <w:rsid w:val="00D27141"/>
    <w:rsid w:val="00D271B6"/>
    <w:rsid w:val="00D271BB"/>
    <w:rsid w:val="00D27264"/>
    <w:rsid w:val="00D2726D"/>
    <w:rsid w:val="00D272D8"/>
    <w:rsid w:val="00D2736B"/>
    <w:rsid w:val="00D273B9"/>
    <w:rsid w:val="00D27442"/>
    <w:rsid w:val="00D2745E"/>
    <w:rsid w:val="00D27510"/>
    <w:rsid w:val="00D2754E"/>
    <w:rsid w:val="00D275B2"/>
    <w:rsid w:val="00D275B7"/>
    <w:rsid w:val="00D27613"/>
    <w:rsid w:val="00D27621"/>
    <w:rsid w:val="00D27654"/>
    <w:rsid w:val="00D27670"/>
    <w:rsid w:val="00D27683"/>
    <w:rsid w:val="00D276F4"/>
    <w:rsid w:val="00D27725"/>
    <w:rsid w:val="00D2774F"/>
    <w:rsid w:val="00D27773"/>
    <w:rsid w:val="00D277B4"/>
    <w:rsid w:val="00D27816"/>
    <w:rsid w:val="00D27846"/>
    <w:rsid w:val="00D27873"/>
    <w:rsid w:val="00D27936"/>
    <w:rsid w:val="00D2796B"/>
    <w:rsid w:val="00D279CA"/>
    <w:rsid w:val="00D279DB"/>
    <w:rsid w:val="00D27A24"/>
    <w:rsid w:val="00D27A25"/>
    <w:rsid w:val="00D27A29"/>
    <w:rsid w:val="00D27A7B"/>
    <w:rsid w:val="00D27B17"/>
    <w:rsid w:val="00D27B24"/>
    <w:rsid w:val="00D27B5B"/>
    <w:rsid w:val="00D27B8B"/>
    <w:rsid w:val="00D27BA7"/>
    <w:rsid w:val="00D27BD2"/>
    <w:rsid w:val="00D27BF2"/>
    <w:rsid w:val="00D27BF6"/>
    <w:rsid w:val="00D27C08"/>
    <w:rsid w:val="00D27CB1"/>
    <w:rsid w:val="00D27CB5"/>
    <w:rsid w:val="00D27CB6"/>
    <w:rsid w:val="00D27D19"/>
    <w:rsid w:val="00D27D37"/>
    <w:rsid w:val="00D27DAC"/>
    <w:rsid w:val="00D27DAD"/>
    <w:rsid w:val="00D27E3B"/>
    <w:rsid w:val="00D27E64"/>
    <w:rsid w:val="00D27E91"/>
    <w:rsid w:val="00D27EB1"/>
    <w:rsid w:val="00D27EB3"/>
    <w:rsid w:val="00D27EB7"/>
    <w:rsid w:val="00D27EF8"/>
    <w:rsid w:val="00D27F2A"/>
    <w:rsid w:val="00D2CC86"/>
    <w:rsid w:val="00D2E092"/>
    <w:rsid w:val="00D30009"/>
    <w:rsid w:val="00D30035"/>
    <w:rsid w:val="00D3007D"/>
    <w:rsid w:val="00D3009A"/>
    <w:rsid w:val="00D300A0"/>
    <w:rsid w:val="00D300B0"/>
    <w:rsid w:val="00D300F7"/>
    <w:rsid w:val="00D30103"/>
    <w:rsid w:val="00D3016D"/>
    <w:rsid w:val="00D30251"/>
    <w:rsid w:val="00D30258"/>
    <w:rsid w:val="00D3026A"/>
    <w:rsid w:val="00D3026C"/>
    <w:rsid w:val="00D3032F"/>
    <w:rsid w:val="00D3033D"/>
    <w:rsid w:val="00D303DC"/>
    <w:rsid w:val="00D303F4"/>
    <w:rsid w:val="00D3044A"/>
    <w:rsid w:val="00D3044B"/>
    <w:rsid w:val="00D30468"/>
    <w:rsid w:val="00D304DD"/>
    <w:rsid w:val="00D30604"/>
    <w:rsid w:val="00D3060C"/>
    <w:rsid w:val="00D30648"/>
    <w:rsid w:val="00D308AC"/>
    <w:rsid w:val="00D308E3"/>
    <w:rsid w:val="00D30939"/>
    <w:rsid w:val="00D30A16"/>
    <w:rsid w:val="00D30A17"/>
    <w:rsid w:val="00D30ADD"/>
    <w:rsid w:val="00D30AF9"/>
    <w:rsid w:val="00D30B0D"/>
    <w:rsid w:val="00D30B1A"/>
    <w:rsid w:val="00D30B96"/>
    <w:rsid w:val="00D30BAC"/>
    <w:rsid w:val="00D30BB7"/>
    <w:rsid w:val="00D30BEA"/>
    <w:rsid w:val="00D30C94"/>
    <w:rsid w:val="00D30CC2"/>
    <w:rsid w:val="00D30CEA"/>
    <w:rsid w:val="00D30D5A"/>
    <w:rsid w:val="00D30D9E"/>
    <w:rsid w:val="00D30DC2"/>
    <w:rsid w:val="00D30DC4"/>
    <w:rsid w:val="00D30DCD"/>
    <w:rsid w:val="00D30DFB"/>
    <w:rsid w:val="00D30DFF"/>
    <w:rsid w:val="00D30E08"/>
    <w:rsid w:val="00D30E1C"/>
    <w:rsid w:val="00D30E27"/>
    <w:rsid w:val="00D30E60"/>
    <w:rsid w:val="00D30E72"/>
    <w:rsid w:val="00D30E8B"/>
    <w:rsid w:val="00D30ECF"/>
    <w:rsid w:val="00D30F1B"/>
    <w:rsid w:val="00D30FB5"/>
    <w:rsid w:val="00D30FF9"/>
    <w:rsid w:val="00D31018"/>
    <w:rsid w:val="00D3101D"/>
    <w:rsid w:val="00D3103A"/>
    <w:rsid w:val="00D31052"/>
    <w:rsid w:val="00D310D1"/>
    <w:rsid w:val="00D310D7"/>
    <w:rsid w:val="00D31103"/>
    <w:rsid w:val="00D3111C"/>
    <w:rsid w:val="00D31169"/>
    <w:rsid w:val="00D3118E"/>
    <w:rsid w:val="00D3119B"/>
    <w:rsid w:val="00D311B8"/>
    <w:rsid w:val="00D311D2"/>
    <w:rsid w:val="00D31270"/>
    <w:rsid w:val="00D312BC"/>
    <w:rsid w:val="00D312D2"/>
    <w:rsid w:val="00D31322"/>
    <w:rsid w:val="00D3136B"/>
    <w:rsid w:val="00D313AD"/>
    <w:rsid w:val="00D313BB"/>
    <w:rsid w:val="00D313FB"/>
    <w:rsid w:val="00D31444"/>
    <w:rsid w:val="00D31488"/>
    <w:rsid w:val="00D314B5"/>
    <w:rsid w:val="00D31505"/>
    <w:rsid w:val="00D31553"/>
    <w:rsid w:val="00D31571"/>
    <w:rsid w:val="00D315BC"/>
    <w:rsid w:val="00D315E7"/>
    <w:rsid w:val="00D316E0"/>
    <w:rsid w:val="00D316E5"/>
    <w:rsid w:val="00D316F9"/>
    <w:rsid w:val="00D3172B"/>
    <w:rsid w:val="00D31766"/>
    <w:rsid w:val="00D31809"/>
    <w:rsid w:val="00D3181B"/>
    <w:rsid w:val="00D31827"/>
    <w:rsid w:val="00D3182D"/>
    <w:rsid w:val="00D3183A"/>
    <w:rsid w:val="00D31867"/>
    <w:rsid w:val="00D31884"/>
    <w:rsid w:val="00D3188B"/>
    <w:rsid w:val="00D318A8"/>
    <w:rsid w:val="00D318C6"/>
    <w:rsid w:val="00D31924"/>
    <w:rsid w:val="00D3192A"/>
    <w:rsid w:val="00D31937"/>
    <w:rsid w:val="00D3196D"/>
    <w:rsid w:val="00D319B0"/>
    <w:rsid w:val="00D319D8"/>
    <w:rsid w:val="00D319E3"/>
    <w:rsid w:val="00D31A24"/>
    <w:rsid w:val="00D31A72"/>
    <w:rsid w:val="00D31A7A"/>
    <w:rsid w:val="00D31AF7"/>
    <w:rsid w:val="00D31AF8"/>
    <w:rsid w:val="00D31B07"/>
    <w:rsid w:val="00D31B0B"/>
    <w:rsid w:val="00D31B12"/>
    <w:rsid w:val="00D31C0F"/>
    <w:rsid w:val="00D31C73"/>
    <w:rsid w:val="00D31C89"/>
    <w:rsid w:val="00D31DB8"/>
    <w:rsid w:val="00D31DF6"/>
    <w:rsid w:val="00D31E61"/>
    <w:rsid w:val="00D31E62"/>
    <w:rsid w:val="00D31ED3"/>
    <w:rsid w:val="00D31EF8"/>
    <w:rsid w:val="00D31F0D"/>
    <w:rsid w:val="00D31F14"/>
    <w:rsid w:val="00D31F23"/>
    <w:rsid w:val="00D31F5E"/>
    <w:rsid w:val="00D31FBD"/>
    <w:rsid w:val="00D31FF2"/>
    <w:rsid w:val="00D320C4"/>
    <w:rsid w:val="00D320FA"/>
    <w:rsid w:val="00D32124"/>
    <w:rsid w:val="00D32126"/>
    <w:rsid w:val="00D3219F"/>
    <w:rsid w:val="00D321A8"/>
    <w:rsid w:val="00D32249"/>
    <w:rsid w:val="00D32250"/>
    <w:rsid w:val="00D322A9"/>
    <w:rsid w:val="00D32364"/>
    <w:rsid w:val="00D32365"/>
    <w:rsid w:val="00D323C5"/>
    <w:rsid w:val="00D323F6"/>
    <w:rsid w:val="00D32462"/>
    <w:rsid w:val="00D324B2"/>
    <w:rsid w:val="00D3251E"/>
    <w:rsid w:val="00D3255F"/>
    <w:rsid w:val="00D325B8"/>
    <w:rsid w:val="00D325DC"/>
    <w:rsid w:val="00D325E4"/>
    <w:rsid w:val="00D325EC"/>
    <w:rsid w:val="00D325EE"/>
    <w:rsid w:val="00D325F1"/>
    <w:rsid w:val="00D32613"/>
    <w:rsid w:val="00D3262F"/>
    <w:rsid w:val="00D32685"/>
    <w:rsid w:val="00D326AC"/>
    <w:rsid w:val="00D326BD"/>
    <w:rsid w:val="00D32705"/>
    <w:rsid w:val="00D3271C"/>
    <w:rsid w:val="00D32742"/>
    <w:rsid w:val="00D327C4"/>
    <w:rsid w:val="00D327D1"/>
    <w:rsid w:val="00D327D6"/>
    <w:rsid w:val="00D327F1"/>
    <w:rsid w:val="00D327F3"/>
    <w:rsid w:val="00D327F9"/>
    <w:rsid w:val="00D328A9"/>
    <w:rsid w:val="00D328F9"/>
    <w:rsid w:val="00D3295B"/>
    <w:rsid w:val="00D3296B"/>
    <w:rsid w:val="00D32970"/>
    <w:rsid w:val="00D32972"/>
    <w:rsid w:val="00D329ED"/>
    <w:rsid w:val="00D32A02"/>
    <w:rsid w:val="00D32A6C"/>
    <w:rsid w:val="00D32ABE"/>
    <w:rsid w:val="00D32B54"/>
    <w:rsid w:val="00D32BA1"/>
    <w:rsid w:val="00D32BAF"/>
    <w:rsid w:val="00D32BE3"/>
    <w:rsid w:val="00D32BF6"/>
    <w:rsid w:val="00D32C4E"/>
    <w:rsid w:val="00D32C66"/>
    <w:rsid w:val="00D32CD9"/>
    <w:rsid w:val="00D32D0B"/>
    <w:rsid w:val="00D32D43"/>
    <w:rsid w:val="00D32D64"/>
    <w:rsid w:val="00D32ED7"/>
    <w:rsid w:val="00D32F0C"/>
    <w:rsid w:val="00D32F74"/>
    <w:rsid w:val="00D32F7A"/>
    <w:rsid w:val="00D32FBE"/>
    <w:rsid w:val="00D32FF4"/>
    <w:rsid w:val="00D33017"/>
    <w:rsid w:val="00D3312B"/>
    <w:rsid w:val="00D33138"/>
    <w:rsid w:val="00D3314D"/>
    <w:rsid w:val="00D331B0"/>
    <w:rsid w:val="00D331B4"/>
    <w:rsid w:val="00D33237"/>
    <w:rsid w:val="00D33247"/>
    <w:rsid w:val="00D33286"/>
    <w:rsid w:val="00D332C8"/>
    <w:rsid w:val="00D33378"/>
    <w:rsid w:val="00D33385"/>
    <w:rsid w:val="00D3338C"/>
    <w:rsid w:val="00D333AC"/>
    <w:rsid w:val="00D334F0"/>
    <w:rsid w:val="00D33559"/>
    <w:rsid w:val="00D3358B"/>
    <w:rsid w:val="00D335A0"/>
    <w:rsid w:val="00D335BE"/>
    <w:rsid w:val="00D335EE"/>
    <w:rsid w:val="00D33683"/>
    <w:rsid w:val="00D3372E"/>
    <w:rsid w:val="00D3375A"/>
    <w:rsid w:val="00D337A0"/>
    <w:rsid w:val="00D337BC"/>
    <w:rsid w:val="00D337EE"/>
    <w:rsid w:val="00D3384D"/>
    <w:rsid w:val="00D3396E"/>
    <w:rsid w:val="00D3397E"/>
    <w:rsid w:val="00D339F5"/>
    <w:rsid w:val="00D33A1C"/>
    <w:rsid w:val="00D33A3E"/>
    <w:rsid w:val="00D33B10"/>
    <w:rsid w:val="00D33B45"/>
    <w:rsid w:val="00D33B5E"/>
    <w:rsid w:val="00D33B77"/>
    <w:rsid w:val="00D33B7B"/>
    <w:rsid w:val="00D33BC4"/>
    <w:rsid w:val="00D33BF7"/>
    <w:rsid w:val="00D33BF9"/>
    <w:rsid w:val="00D33C48"/>
    <w:rsid w:val="00D33C4D"/>
    <w:rsid w:val="00D33CA0"/>
    <w:rsid w:val="00D33CED"/>
    <w:rsid w:val="00D33CF2"/>
    <w:rsid w:val="00D33D08"/>
    <w:rsid w:val="00D33D4F"/>
    <w:rsid w:val="00D33DA0"/>
    <w:rsid w:val="00D33DC6"/>
    <w:rsid w:val="00D33E31"/>
    <w:rsid w:val="00D33E79"/>
    <w:rsid w:val="00D33EDD"/>
    <w:rsid w:val="00D33F1F"/>
    <w:rsid w:val="00D33F94"/>
    <w:rsid w:val="00D33FA8"/>
    <w:rsid w:val="00D33FDA"/>
    <w:rsid w:val="00D34002"/>
    <w:rsid w:val="00D3404F"/>
    <w:rsid w:val="00D340B7"/>
    <w:rsid w:val="00D340F4"/>
    <w:rsid w:val="00D34100"/>
    <w:rsid w:val="00D3413C"/>
    <w:rsid w:val="00D34152"/>
    <w:rsid w:val="00D341AD"/>
    <w:rsid w:val="00D341D8"/>
    <w:rsid w:val="00D3420B"/>
    <w:rsid w:val="00D342C6"/>
    <w:rsid w:val="00D342D4"/>
    <w:rsid w:val="00D3434E"/>
    <w:rsid w:val="00D343AB"/>
    <w:rsid w:val="00D343E2"/>
    <w:rsid w:val="00D343F3"/>
    <w:rsid w:val="00D3440D"/>
    <w:rsid w:val="00D3441F"/>
    <w:rsid w:val="00D34459"/>
    <w:rsid w:val="00D3447D"/>
    <w:rsid w:val="00D344B8"/>
    <w:rsid w:val="00D344E9"/>
    <w:rsid w:val="00D34520"/>
    <w:rsid w:val="00D34523"/>
    <w:rsid w:val="00D3453E"/>
    <w:rsid w:val="00D345CB"/>
    <w:rsid w:val="00D3463E"/>
    <w:rsid w:val="00D3465B"/>
    <w:rsid w:val="00D34674"/>
    <w:rsid w:val="00D346D7"/>
    <w:rsid w:val="00D346EB"/>
    <w:rsid w:val="00D34749"/>
    <w:rsid w:val="00D34769"/>
    <w:rsid w:val="00D347C3"/>
    <w:rsid w:val="00D34826"/>
    <w:rsid w:val="00D3486F"/>
    <w:rsid w:val="00D34894"/>
    <w:rsid w:val="00D348BA"/>
    <w:rsid w:val="00D3493F"/>
    <w:rsid w:val="00D34A2A"/>
    <w:rsid w:val="00D34A39"/>
    <w:rsid w:val="00D34A55"/>
    <w:rsid w:val="00D34A58"/>
    <w:rsid w:val="00D34A5A"/>
    <w:rsid w:val="00D34A78"/>
    <w:rsid w:val="00D34A8B"/>
    <w:rsid w:val="00D34AB3"/>
    <w:rsid w:val="00D34AB6"/>
    <w:rsid w:val="00D34ACC"/>
    <w:rsid w:val="00D34B75"/>
    <w:rsid w:val="00D34BD6"/>
    <w:rsid w:val="00D34CBB"/>
    <w:rsid w:val="00D34D32"/>
    <w:rsid w:val="00D34D37"/>
    <w:rsid w:val="00D34D5B"/>
    <w:rsid w:val="00D34D76"/>
    <w:rsid w:val="00D34DB9"/>
    <w:rsid w:val="00D34DD4"/>
    <w:rsid w:val="00D34E47"/>
    <w:rsid w:val="00D34E78"/>
    <w:rsid w:val="00D34E7A"/>
    <w:rsid w:val="00D34EAA"/>
    <w:rsid w:val="00D34EDB"/>
    <w:rsid w:val="00D34F1F"/>
    <w:rsid w:val="00D34F25"/>
    <w:rsid w:val="00D34F4E"/>
    <w:rsid w:val="00D34F7F"/>
    <w:rsid w:val="00D34F97"/>
    <w:rsid w:val="00D34FA6"/>
    <w:rsid w:val="00D34FF5"/>
    <w:rsid w:val="00D35075"/>
    <w:rsid w:val="00D35150"/>
    <w:rsid w:val="00D351B7"/>
    <w:rsid w:val="00D351BA"/>
    <w:rsid w:val="00D351BD"/>
    <w:rsid w:val="00D351CB"/>
    <w:rsid w:val="00D3521C"/>
    <w:rsid w:val="00D3523F"/>
    <w:rsid w:val="00D352FA"/>
    <w:rsid w:val="00D3532B"/>
    <w:rsid w:val="00D35338"/>
    <w:rsid w:val="00D35390"/>
    <w:rsid w:val="00D353E9"/>
    <w:rsid w:val="00D35424"/>
    <w:rsid w:val="00D3549B"/>
    <w:rsid w:val="00D354C8"/>
    <w:rsid w:val="00D354F0"/>
    <w:rsid w:val="00D355AD"/>
    <w:rsid w:val="00D355CF"/>
    <w:rsid w:val="00D355F2"/>
    <w:rsid w:val="00D35625"/>
    <w:rsid w:val="00D35660"/>
    <w:rsid w:val="00D3568E"/>
    <w:rsid w:val="00D356F1"/>
    <w:rsid w:val="00D357E7"/>
    <w:rsid w:val="00D3581F"/>
    <w:rsid w:val="00D3588F"/>
    <w:rsid w:val="00D35893"/>
    <w:rsid w:val="00D3590F"/>
    <w:rsid w:val="00D35923"/>
    <w:rsid w:val="00D3599E"/>
    <w:rsid w:val="00D359FD"/>
    <w:rsid w:val="00D35A1A"/>
    <w:rsid w:val="00D35A49"/>
    <w:rsid w:val="00D35AAD"/>
    <w:rsid w:val="00D35AB2"/>
    <w:rsid w:val="00D35B1C"/>
    <w:rsid w:val="00D35B7B"/>
    <w:rsid w:val="00D35B9C"/>
    <w:rsid w:val="00D35C22"/>
    <w:rsid w:val="00D35C37"/>
    <w:rsid w:val="00D35CFB"/>
    <w:rsid w:val="00D35D32"/>
    <w:rsid w:val="00D35D74"/>
    <w:rsid w:val="00D35D8E"/>
    <w:rsid w:val="00D35DD5"/>
    <w:rsid w:val="00D35DD9"/>
    <w:rsid w:val="00D35DFD"/>
    <w:rsid w:val="00D35E19"/>
    <w:rsid w:val="00D35E4E"/>
    <w:rsid w:val="00D35E61"/>
    <w:rsid w:val="00D35E6E"/>
    <w:rsid w:val="00D35E70"/>
    <w:rsid w:val="00D35E76"/>
    <w:rsid w:val="00D35E7B"/>
    <w:rsid w:val="00D35EC5"/>
    <w:rsid w:val="00D35F01"/>
    <w:rsid w:val="00D35F53"/>
    <w:rsid w:val="00D35FBB"/>
    <w:rsid w:val="00D35FD1"/>
    <w:rsid w:val="00D3604C"/>
    <w:rsid w:val="00D360EA"/>
    <w:rsid w:val="00D36116"/>
    <w:rsid w:val="00D3613B"/>
    <w:rsid w:val="00D36180"/>
    <w:rsid w:val="00D361D4"/>
    <w:rsid w:val="00D361EB"/>
    <w:rsid w:val="00D3626F"/>
    <w:rsid w:val="00D36271"/>
    <w:rsid w:val="00D362DE"/>
    <w:rsid w:val="00D36333"/>
    <w:rsid w:val="00D36338"/>
    <w:rsid w:val="00D36350"/>
    <w:rsid w:val="00D3639C"/>
    <w:rsid w:val="00D363D2"/>
    <w:rsid w:val="00D363E0"/>
    <w:rsid w:val="00D36410"/>
    <w:rsid w:val="00D36435"/>
    <w:rsid w:val="00D36472"/>
    <w:rsid w:val="00D364AF"/>
    <w:rsid w:val="00D36544"/>
    <w:rsid w:val="00D36557"/>
    <w:rsid w:val="00D3656C"/>
    <w:rsid w:val="00D3658F"/>
    <w:rsid w:val="00D3659B"/>
    <w:rsid w:val="00D36625"/>
    <w:rsid w:val="00D3667E"/>
    <w:rsid w:val="00D36706"/>
    <w:rsid w:val="00D36790"/>
    <w:rsid w:val="00D3679F"/>
    <w:rsid w:val="00D367BF"/>
    <w:rsid w:val="00D368AB"/>
    <w:rsid w:val="00D368CF"/>
    <w:rsid w:val="00D368FE"/>
    <w:rsid w:val="00D369C8"/>
    <w:rsid w:val="00D369CF"/>
    <w:rsid w:val="00D369D2"/>
    <w:rsid w:val="00D36A16"/>
    <w:rsid w:val="00D36A18"/>
    <w:rsid w:val="00D36A3D"/>
    <w:rsid w:val="00D36A82"/>
    <w:rsid w:val="00D36A9F"/>
    <w:rsid w:val="00D36AD0"/>
    <w:rsid w:val="00D36AFC"/>
    <w:rsid w:val="00D36BC1"/>
    <w:rsid w:val="00D36BE6"/>
    <w:rsid w:val="00D36BE9"/>
    <w:rsid w:val="00D36C07"/>
    <w:rsid w:val="00D36C67"/>
    <w:rsid w:val="00D36C70"/>
    <w:rsid w:val="00D36CB4"/>
    <w:rsid w:val="00D36CD2"/>
    <w:rsid w:val="00D36CFC"/>
    <w:rsid w:val="00D36D72"/>
    <w:rsid w:val="00D36D7D"/>
    <w:rsid w:val="00D36DA4"/>
    <w:rsid w:val="00D36E22"/>
    <w:rsid w:val="00D36E46"/>
    <w:rsid w:val="00D36E65"/>
    <w:rsid w:val="00D36E8B"/>
    <w:rsid w:val="00D36F2C"/>
    <w:rsid w:val="00D36F5D"/>
    <w:rsid w:val="00D36F8C"/>
    <w:rsid w:val="00D36FB8"/>
    <w:rsid w:val="00D36FCE"/>
    <w:rsid w:val="00D36FF0"/>
    <w:rsid w:val="00D37015"/>
    <w:rsid w:val="00D3703D"/>
    <w:rsid w:val="00D3705B"/>
    <w:rsid w:val="00D3709E"/>
    <w:rsid w:val="00D3713D"/>
    <w:rsid w:val="00D37147"/>
    <w:rsid w:val="00D3715C"/>
    <w:rsid w:val="00D37178"/>
    <w:rsid w:val="00D371C2"/>
    <w:rsid w:val="00D371CD"/>
    <w:rsid w:val="00D371F3"/>
    <w:rsid w:val="00D37201"/>
    <w:rsid w:val="00D3723C"/>
    <w:rsid w:val="00D37240"/>
    <w:rsid w:val="00D3724E"/>
    <w:rsid w:val="00D3726F"/>
    <w:rsid w:val="00D3729C"/>
    <w:rsid w:val="00D372EF"/>
    <w:rsid w:val="00D3730D"/>
    <w:rsid w:val="00D3733A"/>
    <w:rsid w:val="00D37352"/>
    <w:rsid w:val="00D3736F"/>
    <w:rsid w:val="00D373E3"/>
    <w:rsid w:val="00D37426"/>
    <w:rsid w:val="00D3743D"/>
    <w:rsid w:val="00D37443"/>
    <w:rsid w:val="00D374BA"/>
    <w:rsid w:val="00D3754F"/>
    <w:rsid w:val="00D37630"/>
    <w:rsid w:val="00D37652"/>
    <w:rsid w:val="00D3766C"/>
    <w:rsid w:val="00D376B6"/>
    <w:rsid w:val="00D376E1"/>
    <w:rsid w:val="00D376EA"/>
    <w:rsid w:val="00D37716"/>
    <w:rsid w:val="00D3772D"/>
    <w:rsid w:val="00D3779C"/>
    <w:rsid w:val="00D377EF"/>
    <w:rsid w:val="00D37807"/>
    <w:rsid w:val="00D3782B"/>
    <w:rsid w:val="00D3782D"/>
    <w:rsid w:val="00D37840"/>
    <w:rsid w:val="00D3784C"/>
    <w:rsid w:val="00D3785D"/>
    <w:rsid w:val="00D378D7"/>
    <w:rsid w:val="00D3793D"/>
    <w:rsid w:val="00D3794D"/>
    <w:rsid w:val="00D379B3"/>
    <w:rsid w:val="00D379EF"/>
    <w:rsid w:val="00D37AA6"/>
    <w:rsid w:val="00D37AEE"/>
    <w:rsid w:val="00D37B49"/>
    <w:rsid w:val="00D37BD2"/>
    <w:rsid w:val="00D37BD6"/>
    <w:rsid w:val="00D37BF5"/>
    <w:rsid w:val="00D37C36"/>
    <w:rsid w:val="00D37CC8"/>
    <w:rsid w:val="00D37CD1"/>
    <w:rsid w:val="00D37D0C"/>
    <w:rsid w:val="00D37D11"/>
    <w:rsid w:val="00D37D5A"/>
    <w:rsid w:val="00D37D5E"/>
    <w:rsid w:val="00D37D6D"/>
    <w:rsid w:val="00D37DBD"/>
    <w:rsid w:val="00D37DDC"/>
    <w:rsid w:val="00D37DF2"/>
    <w:rsid w:val="00D37E2E"/>
    <w:rsid w:val="00D37E9A"/>
    <w:rsid w:val="00D37EAD"/>
    <w:rsid w:val="00D37EBA"/>
    <w:rsid w:val="00D37EC3"/>
    <w:rsid w:val="00D37ECB"/>
    <w:rsid w:val="00D37ED5"/>
    <w:rsid w:val="00D37F69"/>
    <w:rsid w:val="00D37F6E"/>
    <w:rsid w:val="00D37FA7"/>
    <w:rsid w:val="00D4008B"/>
    <w:rsid w:val="00D40137"/>
    <w:rsid w:val="00D401AD"/>
    <w:rsid w:val="00D401C7"/>
    <w:rsid w:val="00D401E6"/>
    <w:rsid w:val="00D401F0"/>
    <w:rsid w:val="00D40284"/>
    <w:rsid w:val="00D40288"/>
    <w:rsid w:val="00D402BC"/>
    <w:rsid w:val="00D402C1"/>
    <w:rsid w:val="00D402D5"/>
    <w:rsid w:val="00D40334"/>
    <w:rsid w:val="00D40342"/>
    <w:rsid w:val="00D40361"/>
    <w:rsid w:val="00D40406"/>
    <w:rsid w:val="00D4040C"/>
    <w:rsid w:val="00D4042B"/>
    <w:rsid w:val="00D40495"/>
    <w:rsid w:val="00D404B3"/>
    <w:rsid w:val="00D404CA"/>
    <w:rsid w:val="00D404DC"/>
    <w:rsid w:val="00D40511"/>
    <w:rsid w:val="00D40533"/>
    <w:rsid w:val="00D40534"/>
    <w:rsid w:val="00D4057D"/>
    <w:rsid w:val="00D405A7"/>
    <w:rsid w:val="00D405FB"/>
    <w:rsid w:val="00D40649"/>
    <w:rsid w:val="00D40664"/>
    <w:rsid w:val="00D4069C"/>
    <w:rsid w:val="00D406BB"/>
    <w:rsid w:val="00D406CC"/>
    <w:rsid w:val="00D40728"/>
    <w:rsid w:val="00D407C4"/>
    <w:rsid w:val="00D40800"/>
    <w:rsid w:val="00D4086D"/>
    <w:rsid w:val="00D408F1"/>
    <w:rsid w:val="00D40921"/>
    <w:rsid w:val="00D40A02"/>
    <w:rsid w:val="00D40A09"/>
    <w:rsid w:val="00D40A50"/>
    <w:rsid w:val="00D40B02"/>
    <w:rsid w:val="00D40BDD"/>
    <w:rsid w:val="00D40C72"/>
    <w:rsid w:val="00D40C96"/>
    <w:rsid w:val="00D40CA5"/>
    <w:rsid w:val="00D40CF1"/>
    <w:rsid w:val="00D40D8E"/>
    <w:rsid w:val="00D40DD4"/>
    <w:rsid w:val="00D40E84"/>
    <w:rsid w:val="00D40EBC"/>
    <w:rsid w:val="00D40ED9"/>
    <w:rsid w:val="00D40EDF"/>
    <w:rsid w:val="00D40EE3"/>
    <w:rsid w:val="00D40F40"/>
    <w:rsid w:val="00D40F46"/>
    <w:rsid w:val="00D4106F"/>
    <w:rsid w:val="00D4109C"/>
    <w:rsid w:val="00D410C1"/>
    <w:rsid w:val="00D410D1"/>
    <w:rsid w:val="00D410E7"/>
    <w:rsid w:val="00D41117"/>
    <w:rsid w:val="00D411D1"/>
    <w:rsid w:val="00D411E9"/>
    <w:rsid w:val="00D41212"/>
    <w:rsid w:val="00D41228"/>
    <w:rsid w:val="00D412B8"/>
    <w:rsid w:val="00D4136A"/>
    <w:rsid w:val="00D41391"/>
    <w:rsid w:val="00D413B8"/>
    <w:rsid w:val="00D41422"/>
    <w:rsid w:val="00D4146C"/>
    <w:rsid w:val="00D414BB"/>
    <w:rsid w:val="00D414BE"/>
    <w:rsid w:val="00D414CE"/>
    <w:rsid w:val="00D414EF"/>
    <w:rsid w:val="00D4156C"/>
    <w:rsid w:val="00D4157E"/>
    <w:rsid w:val="00D415CF"/>
    <w:rsid w:val="00D41635"/>
    <w:rsid w:val="00D4166E"/>
    <w:rsid w:val="00D41696"/>
    <w:rsid w:val="00D416A2"/>
    <w:rsid w:val="00D416FD"/>
    <w:rsid w:val="00D41703"/>
    <w:rsid w:val="00D41767"/>
    <w:rsid w:val="00D417F4"/>
    <w:rsid w:val="00D41824"/>
    <w:rsid w:val="00D41830"/>
    <w:rsid w:val="00D41908"/>
    <w:rsid w:val="00D4190A"/>
    <w:rsid w:val="00D4197D"/>
    <w:rsid w:val="00D41988"/>
    <w:rsid w:val="00D419D5"/>
    <w:rsid w:val="00D419D7"/>
    <w:rsid w:val="00D419EA"/>
    <w:rsid w:val="00D41A1E"/>
    <w:rsid w:val="00D41A25"/>
    <w:rsid w:val="00D41A37"/>
    <w:rsid w:val="00D41A8B"/>
    <w:rsid w:val="00D41AA7"/>
    <w:rsid w:val="00D41ADD"/>
    <w:rsid w:val="00D41AF8"/>
    <w:rsid w:val="00D41B0C"/>
    <w:rsid w:val="00D41B40"/>
    <w:rsid w:val="00D41B68"/>
    <w:rsid w:val="00D41BBB"/>
    <w:rsid w:val="00D41BF5"/>
    <w:rsid w:val="00D41C2B"/>
    <w:rsid w:val="00D41C6A"/>
    <w:rsid w:val="00D41D3C"/>
    <w:rsid w:val="00D41D50"/>
    <w:rsid w:val="00D41D6D"/>
    <w:rsid w:val="00D41DBD"/>
    <w:rsid w:val="00D41E72"/>
    <w:rsid w:val="00D41EA0"/>
    <w:rsid w:val="00D41EC3"/>
    <w:rsid w:val="00D41EE2"/>
    <w:rsid w:val="00D41EFB"/>
    <w:rsid w:val="00D41F4D"/>
    <w:rsid w:val="00D41F4F"/>
    <w:rsid w:val="00D41F90"/>
    <w:rsid w:val="00D42022"/>
    <w:rsid w:val="00D42023"/>
    <w:rsid w:val="00D42029"/>
    <w:rsid w:val="00D42033"/>
    <w:rsid w:val="00D42039"/>
    <w:rsid w:val="00D4205A"/>
    <w:rsid w:val="00D4205B"/>
    <w:rsid w:val="00D420CC"/>
    <w:rsid w:val="00D420D5"/>
    <w:rsid w:val="00D4212A"/>
    <w:rsid w:val="00D421FE"/>
    <w:rsid w:val="00D42239"/>
    <w:rsid w:val="00D42325"/>
    <w:rsid w:val="00D42358"/>
    <w:rsid w:val="00D42376"/>
    <w:rsid w:val="00D423BD"/>
    <w:rsid w:val="00D42420"/>
    <w:rsid w:val="00D42429"/>
    <w:rsid w:val="00D42479"/>
    <w:rsid w:val="00D4247B"/>
    <w:rsid w:val="00D424A8"/>
    <w:rsid w:val="00D424F3"/>
    <w:rsid w:val="00D424F7"/>
    <w:rsid w:val="00D4256B"/>
    <w:rsid w:val="00D425BF"/>
    <w:rsid w:val="00D425C0"/>
    <w:rsid w:val="00D425CE"/>
    <w:rsid w:val="00D42677"/>
    <w:rsid w:val="00D42722"/>
    <w:rsid w:val="00D427CF"/>
    <w:rsid w:val="00D4284D"/>
    <w:rsid w:val="00D4285F"/>
    <w:rsid w:val="00D428DA"/>
    <w:rsid w:val="00D42917"/>
    <w:rsid w:val="00D4293A"/>
    <w:rsid w:val="00D42964"/>
    <w:rsid w:val="00D4296C"/>
    <w:rsid w:val="00D42A16"/>
    <w:rsid w:val="00D42A21"/>
    <w:rsid w:val="00D42A28"/>
    <w:rsid w:val="00D42A46"/>
    <w:rsid w:val="00D42A7B"/>
    <w:rsid w:val="00D42AB6"/>
    <w:rsid w:val="00D42AE0"/>
    <w:rsid w:val="00D42B46"/>
    <w:rsid w:val="00D42B48"/>
    <w:rsid w:val="00D42B53"/>
    <w:rsid w:val="00D42BB4"/>
    <w:rsid w:val="00D42BEE"/>
    <w:rsid w:val="00D42C97"/>
    <w:rsid w:val="00D42CC9"/>
    <w:rsid w:val="00D42CCD"/>
    <w:rsid w:val="00D42D1A"/>
    <w:rsid w:val="00D42D30"/>
    <w:rsid w:val="00D42D63"/>
    <w:rsid w:val="00D42D79"/>
    <w:rsid w:val="00D42D7D"/>
    <w:rsid w:val="00D42DF9"/>
    <w:rsid w:val="00D42E06"/>
    <w:rsid w:val="00D42E4C"/>
    <w:rsid w:val="00D42EA7"/>
    <w:rsid w:val="00D42EBC"/>
    <w:rsid w:val="00D42EF7"/>
    <w:rsid w:val="00D42F5D"/>
    <w:rsid w:val="00D42F67"/>
    <w:rsid w:val="00D43047"/>
    <w:rsid w:val="00D43093"/>
    <w:rsid w:val="00D430BC"/>
    <w:rsid w:val="00D430E2"/>
    <w:rsid w:val="00D430FF"/>
    <w:rsid w:val="00D4314B"/>
    <w:rsid w:val="00D43165"/>
    <w:rsid w:val="00D431A5"/>
    <w:rsid w:val="00D431CB"/>
    <w:rsid w:val="00D432D1"/>
    <w:rsid w:val="00D432E2"/>
    <w:rsid w:val="00D43360"/>
    <w:rsid w:val="00D43365"/>
    <w:rsid w:val="00D433D7"/>
    <w:rsid w:val="00D4348F"/>
    <w:rsid w:val="00D4349E"/>
    <w:rsid w:val="00D434C5"/>
    <w:rsid w:val="00D4351B"/>
    <w:rsid w:val="00D43536"/>
    <w:rsid w:val="00D4354F"/>
    <w:rsid w:val="00D4358C"/>
    <w:rsid w:val="00D435C8"/>
    <w:rsid w:val="00D435CD"/>
    <w:rsid w:val="00D435DC"/>
    <w:rsid w:val="00D43672"/>
    <w:rsid w:val="00D4367F"/>
    <w:rsid w:val="00D43687"/>
    <w:rsid w:val="00D43703"/>
    <w:rsid w:val="00D43707"/>
    <w:rsid w:val="00D4374E"/>
    <w:rsid w:val="00D43767"/>
    <w:rsid w:val="00D437C8"/>
    <w:rsid w:val="00D43847"/>
    <w:rsid w:val="00D4386B"/>
    <w:rsid w:val="00D438CB"/>
    <w:rsid w:val="00D438D1"/>
    <w:rsid w:val="00D438ED"/>
    <w:rsid w:val="00D4390D"/>
    <w:rsid w:val="00D43971"/>
    <w:rsid w:val="00D43980"/>
    <w:rsid w:val="00D439D7"/>
    <w:rsid w:val="00D43A43"/>
    <w:rsid w:val="00D43A86"/>
    <w:rsid w:val="00D43B49"/>
    <w:rsid w:val="00D43B4A"/>
    <w:rsid w:val="00D43B7B"/>
    <w:rsid w:val="00D43BC3"/>
    <w:rsid w:val="00D43BCD"/>
    <w:rsid w:val="00D43C20"/>
    <w:rsid w:val="00D43C68"/>
    <w:rsid w:val="00D43CF0"/>
    <w:rsid w:val="00D43D4F"/>
    <w:rsid w:val="00D43D75"/>
    <w:rsid w:val="00D43DE1"/>
    <w:rsid w:val="00D43E0C"/>
    <w:rsid w:val="00D43E0D"/>
    <w:rsid w:val="00D43F27"/>
    <w:rsid w:val="00D43F33"/>
    <w:rsid w:val="00D44002"/>
    <w:rsid w:val="00D44008"/>
    <w:rsid w:val="00D44021"/>
    <w:rsid w:val="00D4402A"/>
    <w:rsid w:val="00D44032"/>
    <w:rsid w:val="00D44171"/>
    <w:rsid w:val="00D44180"/>
    <w:rsid w:val="00D4419B"/>
    <w:rsid w:val="00D4422F"/>
    <w:rsid w:val="00D44236"/>
    <w:rsid w:val="00D44258"/>
    <w:rsid w:val="00D4430F"/>
    <w:rsid w:val="00D44344"/>
    <w:rsid w:val="00D443FE"/>
    <w:rsid w:val="00D44406"/>
    <w:rsid w:val="00D44426"/>
    <w:rsid w:val="00D44438"/>
    <w:rsid w:val="00D4448C"/>
    <w:rsid w:val="00D44492"/>
    <w:rsid w:val="00D44497"/>
    <w:rsid w:val="00D444DE"/>
    <w:rsid w:val="00D445AA"/>
    <w:rsid w:val="00D445C5"/>
    <w:rsid w:val="00D445F7"/>
    <w:rsid w:val="00D4466B"/>
    <w:rsid w:val="00D446AD"/>
    <w:rsid w:val="00D446DA"/>
    <w:rsid w:val="00D4478E"/>
    <w:rsid w:val="00D4478F"/>
    <w:rsid w:val="00D44791"/>
    <w:rsid w:val="00D448C5"/>
    <w:rsid w:val="00D44942"/>
    <w:rsid w:val="00D4496E"/>
    <w:rsid w:val="00D4497A"/>
    <w:rsid w:val="00D4498D"/>
    <w:rsid w:val="00D449C3"/>
    <w:rsid w:val="00D449F1"/>
    <w:rsid w:val="00D449F3"/>
    <w:rsid w:val="00D44A57"/>
    <w:rsid w:val="00D44A64"/>
    <w:rsid w:val="00D44A6B"/>
    <w:rsid w:val="00D44A73"/>
    <w:rsid w:val="00D44A98"/>
    <w:rsid w:val="00D44B77"/>
    <w:rsid w:val="00D44BB1"/>
    <w:rsid w:val="00D44BBE"/>
    <w:rsid w:val="00D44BEF"/>
    <w:rsid w:val="00D44BF9"/>
    <w:rsid w:val="00D44C32"/>
    <w:rsid w:val="00D44C3A"/>
    <w:rsid w:val="00D44C51"/>
    <w:rsid w:val="00D44C9B"/>
    <w:rsid w:val="00D44DB7"/>
    <w:rsid w:val="00D44DC5"/>
    <w:rsid w:val="00D44DD1"/>
    <w:rsid w:val="00D44DEC"/>
    <w:rsid w:val="00D44DF8"/>
    <w:rsid w:val="00D44E73"/>
    <w:rsid w:val="00D44E85"/>
    <w:rsid w:val="00D44EDC"/>
    <w:rsid w:val="00D44EE8"/>
    <w:rsid w:val="00D44EF3"/>
    <w:rsid w:val="00D44F2E"/>
    <w:rsid w:val="00D44F6B"/>
    <w:rsid w:val="00D45026"/>
    <w:rsid w:val="00D4506C"/>
    <w:rsid w:val="00D450BF"/>
    <w:rsid w:val="00D450D5"/>
    <w:rsid w:val="00D450E7"/>
    <w:rsid w:val="00D450E9"/>
    <w:rsid w:val="00D45127"/>
    <w:rsid w:val="00D4513E"/>
    <w:rsid w:val="00D4514F"/>
    <w:rsid w:val="00D4519E"/>
    <w:rsid w:val="00D451F4"/>
    <w:rsid w:val="00D45249"/>
    <w:rsid w:val="00D45270"/>
    <w:rsid w:val="00D4529C"/>
    <w:rsid w:val="00D452B7"/>
    <w:rsid w:val="00D45305"/>
    <w:rsid w:val="00D453C2"/>
    <w:rsid w:val="00D453C9"/>
    <w:rsid w:val="00D45489"/>
    <w:rsid w:val="00D454E8"/>
    <w:rsid w:val="00D455A1"/>
    <w:rsid w:val="00D45621"/>
    <w:rsid w:val="00D45656"/>
    <w:rsid w:val="00D4573E"/>
    <w:rsid w:val="00D45760"/>
    <w:rsid w:val="00D45823"/>
    <w:rsid w:val="00D45885"/>
    <w:rsid w:val="00D459DA"/>
    <w:rsid w:val="00D459DB"/>
    <w:rsid w:val="00D45A3B"/>
    <w:rsid w:val="00D45A8C"/>
    <w:rsid w:val="00D45ABD"/>
    <w:rsid w:val="00D45AFA"/>
    <w:rsid w:val="00D45B20"/>
    <w:rsid w:val="00D45B70"/>
    <w:rsid w:val="00D45BBF"/>
    <w:rsid w:val="00D45BC4"/>
    <w:rsid w:val="00D45BF6"/>
    <w:rsid w:val="00D45C3B"/>
    <w:rsid w:val="00D45C4A"/>
    <w:rsid w:val="00D45C55"/>
    <w:rsid w:val="00D45CB0"/>
    <w:rsid w:val="00D45CFB"/>
    <w:rsid w:val="00D45D02"/>
    <w:rsid w:val="00D45D45"/>
    <w:rsid w:val="00D45D51"/>
    <w:rsid w:val="00D45DF1"/>
    <w:rsid w:val="00D45E51"/>
    <w:rsid w:val="00D45E8F"/>
    <w:rsid w:val="00D45EAC"/>
    <w:rsid w:val="00D45EBD"/>
    <w:rsid w:val="00D45F00"/>
    <w:rsid w:val="00D45F50"/>
    <w:rsid w:val="00D45F56"/>
    <w:rsid w:val="00D45FB3"/>
    <w:rsid w:val="00D45FC6"/>
    <w:rsid w:val="00D46075"/>
    <w:rsid w:val="00D4608B"/>
    <w:rsid w:val="00D460AB"/>
    <w:rsid w:val="00D460D1"/>
    <w:rsid w:val="00D460D5"/>
    <w:rsid w:val="00D46132"/>
    <w:rsid w:val="00D4617A"/>
    <w:rsid w:val="00D4617D"/>
    <w:rsid w:val="00D46189"/>
    <w:rsid w:val="00D461B2"/>
    <w:rsid w:val="00D461C6"/>
    <w:rsid w:val="00D461FA"/>
    <w:rsid w:val="00D4624B"/>
    <w:rsid w:val="00D462A0"/>
    <w:rsid w:val="00D462A7"/>
    <w:rsid w:val="00D462C0"/>
    <w:rsid w:val="00D462CF"/>
    <w:rsid w:val="00D462E2"/>
    <w:rsid w:val="00D4631F"/>
    <w:rsid w:val="00D4639C"/>
    <w:rsid w:val="00D463CB"/>
    <w:rsid w:val="00D46465"/>
    <w:rsid w:val="00D464D3"/>
    <w:rsid w:val="00D464F3"/>
    <w:rsid w:val="00D465E1"/>
    <w:rsid w:val="00D4660D"/>
    <w:rsid w:val="00D46627"/>
    <w:rsid w:val="00D466A4"/>
    <w:rsid w:val="00D466C2"/>
    <w:rsid w:val="00D466C6"/>
    <w:rsid w:val="00D4670E"/>
    <w:rsid w:val="00D4670F"/>
    <w:rsid w:val="00D46741"/>
    <w:rsid w:val="00D46760"/>
    <w:rsid w:val="00D46825"/>
    <w:rsid w:val="00D46878"/>
    <w:rsid w:val="00D46895"/>
    <w:rsid w:val="00D468CE"/>
    <w:rsid w:val="00D468F4"/>
    <w:rsid w:val="00D46962"/>
    <w:rsid w:val="00D46998"/>
    <w:rsid w:val="00D469E2"/>
    <w:rsid w:val="00D46A04"/>
    <w:rsid w:val="00D46AA2"/>
    <w:rsid w:val="00D46AF0"/>
    <w:rsid w:val="00D46B0A"/>
    <w:rsid w:val="00D46B3E"/>
    <w:rsid w:val="00D46B81"/>
    <w:rsid w:val="00D46BD8"/>
    <w:rsid w:val="00D46C07"/>
    <w:rsid w:val="00D46C13"/>
    <w:rsid w:val="00D46C41"/>
    <w:rsid w:val="00D46CA0"/>
    <w:rsid w:val="00D46D6D"/>
    <w:rsid w:val="00D46DDB"/>
    <w:rsid w:val="00D46DFC"/>
    <w:rsid w:val="00D46EB7"/>
    <w:rsid w:val="00D46F1F"/>
    <w:rsid w:val="00D46F21"/>
    <w:rsid w:val="00D46F92"/>
    <w:rsid w:val="00D46FC1"/>
    <w:rsid w:val="00D46FE4"/>
    <w:rsid w:val="00D4701F"/>
    <w:rsid w:val="00D47053"/>
    <w:rsid w:val="00D47070"/>
    <w:rsid w:val="00D47097"/>
    <w:rsid w:val="00D4711A"/>
    <w:rsid w:val="00D4713C"/>
    <w:rsid w:val="00D47201"/>
    <w:rsid w:val="00D47211"/>
    <w:rsid w:val="00D47217"/>
    <w:rsid w:val="00D47233"/>
    <w:rsid w:val="00D47260"/>
    <w:rsid w:val="00D4726D"/>
    <w:rsid w:val="00D472CF"/>
    <w:rsid w:val="00D4733D"/>
    <w:rsid w:val="00D47341"/>
    <w:rsid w:val="00D47362"/>
    <w:rsid w:val="00D47415"/>
    <w:rsid w:val="00D4743C"/>
    <w:rsid w:val="00D4747A"/>
    <w:rsid w:val="00D474B6"/>
    <w:rsid w:val="00D474E6"/>
    <w:rsid w:val="00D474EC"/>
    <w:rsid w:val="00D474FE"/>
    <w:rsid w:val="00D4750D"/>
    <w:rsid w:val="00D47563"/>
    <w:rsid w:val="00D47668"/>
    <w:rsid w:val="00D47671"/>
    <w:rsid w:val="00D47691"/>
    <w:rsid w:val="00D476CC"/>
    <w:rsid w:val="00D47730"/>
    <w:rsid w:val="00D47750"/>
    <w:rsid w:val="00D477A3"/>
    <w:rsid w:val="00D477AD"/>
    <w:rsid w:val="00D477FD"/>
    <w:rsid w:val="00D47801"/>
    <w:rsid w:val="00D47852"/>
    <w:rsid w:val="00D478D7"/>
    <w:rsid w:val="00D47970"/>
    <w:rsid w:val="00D47985"/>
    <w:rsid w:val="00D479D6"/>
    <w:rsid w:val="00D479E0"/>
    <w:rsid w:val="00D47C03"/>
    <w:rsid w:val="00D47C13"/>
    <w:rsid w:val="00D47C1C"/>
    <w:rsid w:val="00D47C60"/>
    <w:rsid w:val="00D47C84"/>
    <w:rsid w:val="00D47CA9"/>
    <w:rsid w:val="00D47D1B"/>
    <w:rsid w:val="00D47D38"/>
    <w:rsid w:val="00D47D3D"/>
    <w:rsid w:val="00D47D77"/>
    <w:rsid w:val="00D47DC8"/>
    <w:rsid w:val="00D47DFC"/>
    <w:rsid w:val="00D47E46"/>
    <w:rsid w:val="00D47F20"/>
    <w:rsid w:val="00D47F37"/>
    <w:rsid w:val="00D47F5B"/>
    <w:rsid w:val="00D47FBB"/>
    <w:rsid w:val="00D47FBC"/>
    <w:rsid w:val="00D47FE6"/>
    <w:rsid w:val="00D5007A"/>
    <w:rsid w:val="00D500B7"/>
    <w:rsid w:val="00D5010D"/>
    <w:rsid w:val="00D50130"/>
    <w:rsid w:val="00D50157"/>
    <w:rsid w:val="00D50171"/>
    <w:rsid w:val="00D50190"/>
    <w:rsid w:val="00D50208"/>
    <w:rsid w:val="00D5023B"/>
    <w:rsid w:val="00D5027B"/>
    <w:rsid w:val="00D502C6"/>
    <w:rsid w:val="00D502CE"/>
    <w:rsid w:val="00D50310"/>
    <w:rsid w:val="00D50324"/>
    <w:rsid w:val="00D50330"/>
    <w:rsid w:val="00D50397"/>
    <w:rsid w:val="00D503C2"/>
    <w:rsid w:val="00D5040D"/>
    <w:rsid w:val="00D5041C"/>
    <w:rsid w:val="00D5041D"/>
    <w:rsid w:val="00D50435"/>
    <w:rsid w:val="00D50479"/>
    <w:rsid w:val="00D504B5"/>
    <w:rsid w:val="00D50522"/>
    <w:rsid w:val="00D5056D"/>
    <w:rsid w:val="00D505F7"/>
    <w:rsid w:val="00D5062D"/>
    <w:rsid w:val="00D5062F"/>
    <w:rsid w:val="00D5065A"/>
    <w:rsid w:val="00D5069C"/>
    <w:rsid w:val="00D506BB"/>
    <w:rsid w:val="00D50752"/>
    <w:rsid w:val="00D50799"/>
    <w:rsid w:val="00D507BC"/>
    <w:rsid w:val="00D50854"/>
    <w:rsid w:val="00D50897"/>
    <w:rsid w:val="00D508A4"/>
    <w:rsid w:val="00D50947"/>
    <w:rsid w:val="00D509B9"/>
    <w:rsid w:val="00D50A4D"/>
    <w:rsid w:val="00D50B00"/>
    <w:rsid w:val="00D50B83"/>
    <w:rsid w:val="00D50B91"/>
    <w:rsid w:val="00D50C13"/>
    <w:rsid w:val="00D50C33"/>
    <w:rsid w:val="00D50C4E"/>
    <w:rsid w:val="00D50CB5"/>
    <w:rsid w:val="00D50CE3"/>
    <w:rsid w:val="00D50DC1"/>
    <w:rsid w:val="00D50E07"/>
    <w:rsid w:val="00D50E10"/>
    <w:rsid w:val="00D50E43"/>
    <w:rsid w:val="00D50E58"/>
    <w:rsid w:val="00D50E66"/>
    <w:rsid w:val="00D50EFB"/>
    <w:rsid w:val="00D50F02"/>
    <w:rsid w:val="00D50F26"/>
    <w:rsid w:val="00D50F93"/>
    <w:rsid w:val="00D5101B"/>
    <w:rsid w:val="00D51023"/>
    <w:rsid w:val="00D51027"/>
    <w:rsid w:val="00D51072"/>
    <w:rsid w:val="00D51089"/>
    <w:rsid w:val="00D510D6"/>
    <w:rsid w:val="00D510FF"/>
    <w:rsid w:val="00D51108"/>
    <w:rsid w:val="00D51112"/>
    <w:rsid w:val="00D51117"/>
    <w:rsid w:val="00D51185"/>
    <w:rsid w:val="00D511CB"/>
    <w:rsid w:val="00D5120B"/>
    <w:rsid w:val="00D5120C"/>
    <w:rsid w:val="00D5124A"/>
    <w:rsid w:val="00D5128B"/>
    <w:rsid w:val="00D512B6"/>
    <w:rsid w:val="00D5132D"/>
    <w:rsid w:val="00D513AD"/>
    <w:rsid w:val="00D513E1"/>
    <w:rsid w:val="00D51429"/>
    <w:rsid w:val="00D51447"/>
    <w:rsid w:val="00D51472"/>
    <w:rsid w:val="00D5148F"/>
    <w:rsid w:val="00D514A5"/>
    <w:rsid w:val="00D5150F"/>
    <w:rsid w:val="00D51514"/>
    <w:rsid w:val="00D51524"/>
    <w:rsid w:val="00D5152C"/>
    <w:rsid w:val="00D5158F"/>
    <w:rsid w:val="00D515A5"/>
    <w:rsid w:val="00D515E0"/>
    <w:rsid w:val="00D515E6"/>
    <w:rsid w:val="00D515EE"/>
    <w:rsid w:val="00D51639"/>
    <w:rsid w:val="00D51640"/>
    <w:rsid w:val="00D51641"/>
    <w:rsid w:val="00D5165F"/>
    <w:rsid w:val="00D516AA"/>
    <w:rsid w:val="00D5172D"/>
    <w:rsid w:val="00D51744"/>
    <w:rsid w:val="00D51769"/>
    <w:rsid w:val="00D51820"/>
    <w:rsid w:val="00D51849"/>
    <w:rsid w:val="00D518E2"/>
    <w:rsid w:val="00D51906"/>
    <w:rsid w:val="00D51977"/>
    <w:rsid w:val="00D51982"/>
    <w:rsid w:val="00D519C9"/>
    <w:rsid w:val="00D519DC"/>
    <w:rsid w:val="00D51A33"/>
    <w:rsid w:val="00D51A5B"/>
    <w:rsid w:val="00D51A82"/>
    <w:rsid w:val="00D51A83"/>
    <w:rsid w:val="00D51A85"/>
    <w:rsid w:val="00D51AB1"/>
    <w:rsid w:val="00D51B02"/>
    <w:rsid w:val="00D51B13"/>
    <w:rsid w:val="00D51BA9"/>
    <w:rsid w:val="00D51BC5"/>
    <w:rsid w:val="00D51C40"/>
    <w:rsid w:val="00D51C56"/>
    <w:rsid w:val="00D51C94"/>
    <w:rsid w:val="00D51C97"/>
    <w:rsid w:val="00D51CAE"/>
    <w:rsid w:val="00D51D07"/>
    <w:rsid w:val="00D51D1E"/>
    <w:rsid w:val="00D51D72"/>
    <w:rsid w:val="00D51DB1"/>
    <w:rsid w:val="00D51DEF"/>
    <w:rsid w:val="00D51E0D"/>
    <w:rsid w:val="00D51E1B"/>
    <w:rsid w:val="00D51E50"/>
    <w:rsid w:val="00D51EAD"/>
    <w:rsid w:val="00D51EC4"/>
    <w:rsid w:val="00D51ED1"/>
    <w:rsid w:val="00D51ED3"/>
    <w:rsid w:val="00D51EFD"/>
    <w:rsid w:val="00D51F2B"/>
    <w:rsid w:val="00D51F8D"/>
    <w:rsid w:val="00D51FBF"/>
    <w:rsid w:val="00D52021"/>
    <w:rsid w:val="00D52070"/>
    <w:rsid w:val="00D52072"/>
    <w:rsid w:val="00D52074"/>
    <w:rsid w:val="00D520BC"/>
    <w:rsid w:val="00D5213D"/>
    <w:rsid w:val="00D521C8"/>
    <w:rsid w:val="00D521E9"/>
    <w:rsid w:val="00D521F5"/>
    <w:rsid w:val="00D5220D"/>
    <w:rsid w:val="00D522A7"/>
    <w:rsid w:val="00D5235B"/>
    <w:rsid w:val="00D52382"/>
    <w:rsid w:val="00D52393"/>
    <w:rsid w:val="00D52397"/>
    <w:rsid w:val="00D523DE"/>
    <w:rsid w:val="00D523E8"/>
    <w:rsid w:val="00D52451"/>
    <w:rsid w:val="00D52452"/>
    <w:rsid w:val="00D52455"/>
    <w:rsid w:val="00D52490"/>
    <w:rsid w:val="00D52521"/>
    <w:rsid w:val="00D52591"/>
    <w:rsid w:val="00D525A6"/>
    <w:rsid w:val="00D525AF"/>
    <w:rsid w:val="00D5261F"/>
    <w:rsid w:val="00D52687"/>
    <w:rsid w:val="00D526E3"/>
    <w:rsid w:val="00D5284E"/>
    <w:rsid w:val="00D52867"/>
    <w:rsid w:val="00D528F3"/>
    <w:rsid w:val="00D5290F"/>
    <w:rsid w:val="00D5293C"/>
    <w:rsid w:val="00D52958"/>
    <w:rsid w:val="00D5297A"/>
    <w:rsid w:val="00D529B9"/>
    <w:rsid w:val="00D529D0"/>
    <w:rsid w:val="00D52AA0"/>
    <w:rsid w:val="00D52ACC"/>
    <w:rsid w:val="00D52B00"/>
    <w:rsid w:val="00D52B11"/>
    <w:rsid w:val="00D52B12"/>
    <w:rsid w:val="00D52B1B"/>
    <w:rsid w:val="00D52B3E"/>
    <w:rsid w:val="00D52B5A"/>
    <w:rsid w:val="00D52BB0"/>
    <w:rsid w:val="00D52C06"/>
    <w:rsid w:val="00D52C4C"/>
    <w:rsid w:val="00D52C4F"/>
    <w:rsid w:val="00D52C7D"/>
    <w:rsid w:val="00D52D06"/>
    <w:rsid w:val="00D52D41"/>
    <w:rsid w:val="00D52D4A"/>
    <w:rsid w:val="00D52E59"/>
    <w:rsid w:val="00D52F0A"/>
    <w:rsid w:val="00D52F32"/>
    <w:rsid w:val="00D52FD3"/>
    <w:rsid w:val="00D53006"/>
    <w:rsid w:val="00D5308B"/>
    <w:rsid w:val="00D5309A"/>
    <w:rsid w:val="00D53156"/>
    <w:rsid w:val="00D53159"/>
    <w:rsid w:val="00D53181"/>
    <w:rsid w:val="00D53200"/>
    <w:rsid w:val="00D5326A"/>
    <w:rsid w:val="00D532EC"/>
    <w:rsid w:val="00D53372"/>
    <w:rsid w:val="00D53391"/>
    <w:rsid w:val="00D5339B"/>
    <w:rsid w:val="00D533C3"/>
    <w:rsid w:val="00D533CB"/>
    <w:rsid w:val="00D533CC"/>
    <w:rsid w:val="00D53414"/>
    <w:rsid w:val="00D53464"/>
    <w:rsid w:val="00D5346F"/>
    <w:rsid w:val="00D534E3"/>
    <w:rsid w:val="00D534F1"/>
    <w:rsid w:val="00D5353E"/>
    <w:rsid w:val="00D535A3"/>
    <w:rsid w:val="00D53648"/>
    <w:rsid w:val="00D5367C"/>
    <w:rsid w:val="00D5368E"/>
    <w:rsid w:val="00D536EC"/>
    <w:rsid w:val="00D53702"/>
    <w:rsid w:val="00D5374D"/>
    <w:rsid w:val="00D53835"/>
    <w:rsid w:val="00D53844"/>
    <w:rsid w:val="00D53894"/>
    <w:rsid w:val="00D53930"/>
    <w:rsid w:val="00D53951"/>
    <w:rsid w:val="00D53958"/>
    <w:rsid w:val="00D5398E"/>
    <w:rsid w:val="00D539E7"/>
    <w:rsid w:val="00D53A2E"/>
    <w:rsid w:val="00D53A66"/>
    <w:rsid w:val="00D53B0A"/>
    <w:rsid w:val="00D53B3A"/>
    <w:rsid w:val="00D53B55"/>
    <w:rsid w:val="00D53B8F"/>
    <w:rsid w:val="00D53B97"/>
    <w:rsid w:val="00D53BB0"/>
    <w:rsid w:val="00D53BED"/>
    <w:rsid w:val="00D53C36"/>
    <w:rsid w:val="00D53C57"/>
    <w:rsid w:val="00D53CD9"/>
    <w:rsid w:val="00D53CDC"/>
    <w:rsid w:val="00D53D0A"/>
    <w:rsid w:val="00D53D2A"/>
    <w:rsid w:val="00D53D84"/>
    <w:rsid w:val="00D53D8D"/>
    <w:rsid w:val="00D53D90"/>
    <w:rsid w:val="00D53DB0"/>
    <w:rsid w:val="00D53DBC"/>
    <w:rsid w:val="00D53E3F"/>
    <w:rsid w:val="00D53EA2"/>
    <w:rsid w:val="00D53EBC"/>
    <w:rsid w:val="00D53EC4"/>
    <w:rsid w:val="00D53F0A"/>
    <w:rsid w:val="00D53F15"/>
    <w:rsid w:val="00D53F17"/>
    <w:rsid w:val="00D53F5B"/>
    <w:rsid w:val="00D54004"/>
    <w:rsid w:val="00D5406E"/>
    <w:rsid w:val="00D540AC"/>
    <w:rsid w:val="00D54120"/>
    <w:rsid w:val="00D54121"/>
    <w:rsid w:val="00D54125"/>
    <w:rsid w:val="00D54235"/>
    <w:rsid w:val="00D5424E"/>
    <w:rsid w:val="00D54276"/>
    <w:rsid w:val="00D54281"/>
    <w:rsid w:val="00D54294"/>
    <w:rsid w:val="00D54316"/>
    <w:rsid w:val="00D54319"/>
    <w:rsid w:val="00D54324"/>
    <w:rsid w:val="00D54354"/>
    <w:rsid w:val="00D543B9"/>
    <w:rsid w:val="00D543E1"/>
    <w:rsid w:val="00D54401"/>
    <w:rsid w:val="00D54472"/>
    <w:rsid w:val="00D544CC"/>
    <w:rsid w:val="00D544D3"/>
    <w:rsid w:val="00D54501"/>
    <w:rsid w:val="00D54502"/>
    <w:rsid w:val="00D5459B"/>
    <w:rsid w:val="00D545B7"/>
    <w:rsid w:val="00D54603"/>
    <w:rsid w:val="00D54606"/>
    <w:rsid w:val="00D54647"/>
    <w:rsid w:val="00D546AF"/>
    <w:rsid w:val="00D546FC"/>
    <w:rsid w:val="00D54718"/>
    <w:rsid w:val="00D54740"/>
    <w:rsid w:val="00D54741"/>
    <w:rsid w:val="00D548D8"/>
    <w:rsid w:val="00D54916"/>
    <w:rsid w:val="00D549BF"/>
    <w:rsid w:val="00D549E8"/>
    <w:rsid w:val="00D54A6C"/>
    <w:rsid w:val="00D54A8D"/>
    <w:rsid w:val="00D54ABC"/>
    <w:rsid w:val="00D54AF4"/>
    <w:rsid w:val="00D54B3E"/>
    <w:rsid w:val="00D54B46"/>
    <w:rsid w:val="00D54B87"/>
    <w:rsid w:val="00D54B9C"/>
    <w:rsid w:val="00D54BB7"/>
    <w:rsid w:val="00D54BEA"/>
    <w:rsid w:val="00D54BF7"/>
    <w:rsid w:val="00D54C27"/>
    <w:rsid w:val="00D54C8E"/>
    <w:rsid w:val="00D54CD2"/>
    <w:rsid w:val="00D54CEC"/>
    <w:rsid w:val="00D54D08"/>
    <w:rsid w:val="00D54DE9"/>
    <w:rsid w:val="00D54E01"/>
    <w:rsid w:val="00D54E44"/>
    <w:rsid w:val="00D54E4E"/>
    <w:rsid w:val="00D54E57"/>
    <w:rsid w:val="00D54E94"/>
    <w:rsid w:val="00D54F83"/>
    <w:rsid w:val="00D54FAA"/>
    <w:rsid w:val="00D54FD9"/>
    <w:rsid w:val="00D54FF9"/>
    <w:rsid w:val="00D5500A"/>
    <w:rsid w:val="00D5514D"/>
    <w:rsid w:val="00D551D9"/>
    <w:rsid w:val="00D552C5"/>
    <w:rsid w:val="00D552D5"/>
    <w:rsid w:val="00D5531A"/>
    <w:rsid w:val="00D55327"/>
    <w:rsid w:val="00D5532F"/>
    <w:rsid w:val="00D55359"/>
    <w:rsid w:val="00D55385"/>
    <w:rsid w:val="00D5538E"/>
    <w:rsid w:val="00D553C0"/>
    <w:rsid w:val="00D553C4"/>
    <w:rsid w:val="00D554C6"/>
    <w:rsid w:val="00D554DD"/>
    <w:rsid w:val="00D55528"/>
    <w:rsid w:val="00D55542"/>
    <w:rsid w:val="00D5557A"/>
    <w:rsid w:val="00D55592"/>
    <w:rsid w:val="00D555B9"/>
    <w:rsid w:val="00D55609"/>
    <w:rsid w:val="00D55620"/>
    <w:rsid w:val="00D55622"/>
    <w:rsid w:val="00D5563A"/>
    <w:rsid w:val="00D5563E"/>
    <w:rsid w:val="00D55656"/>
    <w:rsid w:val="00D55664"/>
    <w:rsid w:val="00D5569E"/>
    <w:rsid w:val="00D556BA"/>
    <w:rsid w:val="00D556BC"/>
    <w:rsid w:val="00D5573F"/>
    <w:rsid w:val="00D5578F"/>
    <w:rsid w:val="00D5581C"/>
    <w:rsid w:val="00D55892"/>
    <w:rsid w:val="00D558B8"/>
    <w:rsid w:val="00D558BF"/>
    <w:rsid w:val="00D558C8"/>
    <w:rsid w:val="00D558F2"/>
    <w:rsid w:val="00D55935"/>
    <w:rsid w:val="00D5599E"/>
    <w:rsid w:val="00D55A10"/>
    <w:rsid w:val="00D55AA3"/>
    <w:rsid w:val="00D55B81"/>
    <w:rsid w:val="00D55B8E"/>
    <w:rsid w:val="00D55BB9"/>
    <w:rsid w:val="00D55BC5"/>
    <w:rsid w:val="00D55C16"/>
    <w:rsid w:val="00D55C1F"/>
    <w:rsid w:val="00D55C5F"/>
    <w:rsid w:val="00D55D0E"/>
    <w:rsid w:val="00D55D4D"/>
    <w:rsid w:val="00D55D50"/>
    <w:rsid w:val="00D55DFC"/>
    <w:rsid w:val="00D55E46"/>
    <w:rsid w:val="00D55E4F"/>
    <w:rsid w:val="00D55EBA"/>
    <w:rsid w:val="00D55EC5"/>
    <w:rsid w:val="00D55ECD"/>
    <w:rsid w:val="00D55F53"/>
    <w:rsid w:val="00D55F82"/>
    <w:rsid w:val="00D55F92"/>
    <w:rsid w:val="00D55FF1"/>
    <w:rsid w:val="00D5606F"/>
    <w:rsid w:val="00D5609D"/>
    <w:rsid w:val="00D560A3"/>
    <w:rsid w:val="00D560DA"/>
    <w:rsid w:val="00D5617F"/>
    <w:rsid w:val="00D56183"/>
    <w:rsid w:val="00D561E2"/>
    <w:rsid w:val="00D56237"/>
    <w:rsid w:val="00D56255"/>
    <w:rsid w:val="00D562AE"/>
    <w:rsid w:val="00D562CE"/>
    <w:rsid w:val="00D562E3"/>
    <w:rsid w:val="00D5631D"/>
    <w:rsid w:val="00D56321"/>
    <w:rsid w:val="00D5632A"/>
    <w:rsid w:val="00D56354"/>
    <w:rsid w:val="00D56380"/>
    <w:rsid w:val="00D563D8"/>
    <w:rsid w:val="00D563EE"/>
    <w:rsid w:val="00D56420"/>
    <w:rsid w:val="00D56430"/>
    <w:rsid w:val="00D56433"/>
    <w:rsid w:val="00D56487"/>
    <w:rsid w:val="00D564D4"/>
    <w:rsid w:val="00D564E6"/>
    <w:rsid w:val="00D5655C"/>
    <w:rsid w:val="00D56587"/>
    <w:rsid w:val="00D56589"/>
    <w:rsid w:val="00D565FB"/>
    <w:rsid w:val="00D5660A"/>
    <w:rsid w:val="00D5661C"/>
    <w:rsid w:val="00D5666C"/>
    <w:rsid w:val="00D56670"/>
    <w:rsid w:val="00D56697"/>
    <w:rsid w:val="00D566B5"/>
    <w:rsid w:val="00D566DD"/>
    <w:rsid w:val="00D566F8"/>
    <w:rsid w:val="00D56737"/>
    <w:rsid w:val="00D5673E"/>
    <w:rsid w:val="00D567EA"/>
    <w:rsid w:val="00D5683E"/>
    <w:rsid w:val="00D5684E"/>
    <w:rsid w:val="00D5689F"/>
    <w:rsid w:val="00D568A9"/>
    <w:rsid w:val="00D568CE"/>
    <w:rsid w:val="00D568D0"/>
    <w:rsid w:val="00D5690C"/>
    <w:rsid w:val="00D5697A"/>
    <w:rsid w:val="00D56996"/>
    <w:rsid w:val="00D569C8"/>
    <w:rsid w:val="00D569FD"/>
    <w:rsid w:val="00D56A39"/>
    <w:rsid w:val="00D56A9A"/>
    <w:rsid w:val="00D56B2F"/>
    <w:rsid w:val="00D56B58"/>
    <w:rsid w:val="00D56B5A"/>
    <w:rsid w:val="00D56B74"/>
    <w:rsid w:val="00D56BA3"/>
    <w:rsid w:val="00D56C78"/>
    <w:rsid w:val="00D56D41"/>
    <w:rsid w:val="00D56D4C"/>
    <w:rsid w:val="00D56D82"/>
    <w:rsid w:val="00D56E38"/>
    <w:rsid w:val="00D56E6F"/>
    <w:rsid w:val="00D56F1E"/>
    <w:rsid w:val="00D56F50"/>
    <w:rsid w:val="00D56F5D"/>
    <w:rsid w:val="00D56FC6"/>
    <w:rsid w:val="00D56FC7"/>
    <w:rsid w:val="00D57004"/>
    <w:rsid w:val="00D570B6"/>
    <w:rsid w:val="00D570E4"/>
    <w:rsid w:val="00D570EB"/>
    <w:rsid w:val="00D57135"/>
    <w:rsid w:val="00D57171"/>
    <w:rsid w:val="00D571EC"/>
    <w:rsid w:val="00D571F5"/>
    <w:rsid w:val="00D57294"/>
    <w:rsid w:val="00D572CE"/>
    <w:rsid w:val="00D5735C"/>
    <w:rsid w:val="00D57362"/>
    <w:rsid w:val="00D57385"/>
    <w:rsid w:val="00D573CD"/>
    <w:rsid w:val="00D573D5"/>
    <w:rsid w:val="00D57418"/>
    <w:rsid w:val="00D5749A"/>
    <w:rsid w:val="00D57525"/>
    <w:rsid w:val="00D5755C"/>
    <w:rsid w:val="00D575B7"/>
    <w:rsid w:val="00D575F2"/>
    <w:rsid w:val="00D575F6"/>
    <w:rsid w:val="00D57639"/>
    <w:rsid w:val="00D57642"/>
    <w:rsid w:val="00D57650"/>
    <w:rsid w:val="00D5767F"/>
    <w:rsid w:val="00D576F6"/>
    <w:rsid w:val="00D576F7"/>
    <w:rsid w:val="00D5772B"/>
    <w:rsid w:val="00D5779A"/>
    <w:rsid w:val="00D57826"/>
    <w:rsid w:val="00D57893"/>
    <w:rsid w:val="00D57932"/>
    <w:rsid w:val="00D579CC"/>
    <w:rsid w:val="00D579CD"/>
    <w:rsid w:val="00D579D2"/>
    <w:rsid w:val="00D579EA"/>
    <w:rsid w:val="00D579ED"/>
    <w:rsid w:val="00D579EE"/>
    <w:rsid w:val="00D57A80"/>
    <w:rsid w:val="00D57A84"/>
    <w:rsid w:val="00D57B85"/>
    <w:rsid w:val="00D57B8C"/>
    <w:rsid w:val="00D57BA8"/>
    <w:rsid w:val="00D57BF6"/>
    <w:rsid w:val="00D57C48"/>
    <w:rsid w:val="00D57CF2"/>
    <w:rsid w:val="00D57D9B"/>
    <w:rsid w:val="00D57DCA"/>
    <w:rsid w:val="00D57E03"/>
    <w:rsid w:val="00D57E1B"/>
    <w:rsid w:val="00D57E54"/>
    <w:rsid w:val="00D57E81"/>
    <w:rsid w:val="00D57ECA"/>
    <w:rsid w:val="00D57FA6"/>
    <w:rsid w:val="00D57FB7"/>
    <w:rsid w:val="00D57FDD"/>
    <w:rsid w:val="00D57FE7"/>
    <w:rsid w:val="00D58ECD"/>
    <w:rsid w:val="00D6007F"/>
    <w:rsid w:val="00D600F8"/>
    <w:rsid w:val="00D60101"/>
    <w:rsid w:val="00D6010C"/>
    <w:rsid w:val="00D60174"/>
    <w:rsid w:val="00D6017F"/>
    <w:rsid w:val="00D601AC"/>
    <w:rsid w:val="00D601F7"/>
    <w:rsid w:val="00D60211"/>
    <w:rsid w:val="00D6021F"/>
    <w:rsid w:val="00D60298"/>
    <w:rsid w:val="00D6029C"/>
    <w:rsid w:val="00D602BE"/>
    <w:rsid w:val="00D602F3"/>
    <w:rsid w:val="00D60339"/>
    <w:rsid w:val="00D60417"/>
    <w:rsid w:val="00D60449"/>
    <w:rsid w:val="00D604AF"/>
    <w:rsid w:val="00D60501"/>
    <w:rsid w:val="00D60594"/>
    <w:rsid w:val="00D605D7"/>
    <w:rsid w:val="00D605E7"/>
    <w:rsid w:val="00D6061A"/>
    <w:rsid w:val="00D6067F"/>
    <w:rsid w:val="00D606A2"/>
    <w:rsid w:val="00D606C5"/>
    <w:rsid w:val="00D60703"/>
    <w:rsid w:val="00D60749"/>
    <w:rsid w:val="00D607CC"/>
    <w:rsid w:val="00D60823"/>
    <w:rsid w:val="00D60856"/>
    <w:rsid w:val="00D60881"/>
    <w:rsid w:val="00D608E3"/>
    <w:rsid w:val="00D6090A"/>
    <w:rsid w:val="00D6096E"/>
    <w:rsid w:val="00D60A2D"/>
    <w:rsid w:val="00D60AF0"/>
    <w:rsid w:val="00D60AF1"/>
    <w:rsid w:val="00D60B12"/>
    <w:rsid w:val="00D60B62"/>
    <w:rsid w:val="00D60BAE"/>
    <w:rsid w:val="00D60BAF"/>
    <w:rsid w:val="00D60C6F"/>
    <w:rsid w:val="00D60C82"/>
    <w:rsid w:val="00D60C92"/>
    <w:rsid w:val="00D60CFA"/>
    <w:rsid w:val="00D60D04"/>
    <w:rsid w:val="00D60D5B"/>
    <w:rsid w:val="00D60DAA"/>
    <w:rsid w:val="00D60DC7"/>
    <w:rsid w:val="00D60DEE"/>
    <w:rsid w:val="00D60E33"/>
    <w:rsid w:val="00D60E42"/>
    <w:rsid w:val="00D60E60"/>
    <w:rsid w:val="00D60EBD"/>
    <w:rsid w:val="00D60EF8"/>
    <w:rsid w:val="00D60F54"/>
    <w:rsid w:val="00D60FBC"/>
    <w:rsid w:val="00D6104F"/>
    <w:rsid w:val="00D61050"/>
    <w:rsid w:val="00D61089"/>
    <w:rsid w:val="00D610EC"/>
    <w:rsid w:val="00D610FF"/>
    <w:rsid w:val="00D61104"/>
    <w:rsid w:val="00D61134"/>
    <w:rsid w:val="00D61181"/>
    <w:rsid w:val="00D6118B"/>
    <w:rsid w:val="00D611F4"/>
    <w:rsid w:val="00D61217"/>
    <w:rsid w:val="00D612DD"/>
    <w:rsid w:val="00D61305"/>
    <w:rsid w:val="00D613F1"/>
    <w:rsid w:val="00D61444"/>
    <w:rsid w:val="00D61446"/>
    <w:rsid w:val="00D6144E"/>
    <w:rsid w:val="00D61453"/>
    <w:rsid w:val="00D61483"/>
    <w:rsid w:val="00D61522"/>
    <w:rsid w:val="00D61523"/>
    <w:rsid w:val="00D61543"/>
    <w:rsid w:val="00D6157F"/>
    <w:rsid w:val="00D61580"/>
    <w:rsid w:val="00D61593"/>
    <w:rsid w:val="00D615A1"/>
    <w:rsid w:val="00D615F4"/>
    <w:rsid w:val="00D61625"/>
    <w:rsid w:val="00D6168D"/>
    <w:rsid w:val="00D616BA"/>
    <w:rsid w:val="00D61773"/>
    <w:rsid w:val="00D617BA"/>
    <w:rsid w:val="00D617C5"/>
    <w:rsid w:val="00D6183D"/>
    <w:rsid w:val="00D61849"/>
    <w:rsid w:val="00D6189D"/>
    <w:rsid w:val="00D618C5"/>
    <w:rsid w:val="00D61918"/>
    <w:rsid w:val="00D6196E"/>
    <w:rsid w:val="00D61994"/>
    <w:rsid w:val="00D619D5"/>
    <w:rsid w:val="00D619E6"/>
    <w:rsid w:val="00D61A17"/>
    <w:rsid w:val="00D61A69"/>
    <w:rsid w:val="00D61A9E"/>
    <w:rsid w:val="00D61B1E"/>
    <w:rsid w:val="00D61B74"/>
    <w:rsid w:val="00D61BBB"/>
    <w:rsid w:val="00D61BD8"/>
    <w:rsid w:val="00D61C00"/>
    <w:rsid w:val="00D61C46"/>
    <w:rsid w:val="00D61C4E"/>
    <w:rsid w:val="00D61C77"/>
    <w:rsid w:val="00D61C7F"/>
    <w:rsid w:val="00D61CB8"/>
    <w:rsid w:val="00D61CBC"/>
    <w:rsid w:val="00D61CE4"/>
    <w:rsid w:val="00D61CF5"/>
    <w:rsid w:val="00D61CF7"/>
    <w:rsid w:val="00D61D12"/>
    <w:rsid w:val="00D61D77"/>
    <w:rsid w:val="00D61DB4"/>
    <w:rsid w:val="00D61E52"/>
    <w:rsid w:val="00D61EC7"/>
    <w:rsid w:val="00D61F2F"/>
    <w:rsid w:val="00D61F4C"/>
    <w:rsid w:val="00D61F88"/>
    <w:rsid w:val="00D61FD7"/>
    <w:rsid w:val="00D62136"/>
    <w:rsid w:val="00D6218A"/>
    <w:rsid w:val="00D621CC"/>
    <w:rsid w:val="00D621CE"/>
    <w:rsid w:val="00D62246"/>
    <w:rsid w:val="00D622E3"/>
    <w:rsid w:val="00D622EE"/>
    <w:rsid w:val="00D62306"/>
    <w:rsid w:val="00D623ED"/>
    <w:rsid w:val="00D62432"/>
    <w:rsid w:val="00D62441"/>
    <w:rsid w:val="00D6247E"/>
    <w:rsid w:val="00D624A5"/>
    <w:rsid w:val="00D624C9"/>
    <w:rsid w:val="00D6256A"/>
    <w:rsid w:val="00D62570"/>
    <w:rsid w:val="00D6257F"/>
    <w:rsid w:val="00D6259A"/>
    <w:rsid w:val="00D625B9"/>
    <w:rsid w:val="00D625FF"/>
    <w:rsid w:val="00D62600"/>
    <w:rsid w:val="00D62601"/>
    <w:rsid w:val="00D62634"/>
    <w:rsid w:val="00D62663"/>
    <w:rsid w:val="00D62684"/>
    <w:rsid w:val="00D62727"/>
    <w:rsid w:val="00D62728"/>
    <w:rsid w:val="00D62753"/>
    <w:rsid w:val="00D62764"/>
    <w:rsid w:val="00D62817"/>
    <w:rsid w:val="00D62818"/>
    <w:rsid w:val="00D62822"/>
    <w:rsid w:val="00D6284A"/>
    <w:rsid w:val="00D62867"/>
    <w:rsid w:val="00D629EE"/>
    <w:rsid w:val="00D62A08"/>
    <w:rsid w:val="00D62A26"/>
    <w:rsid w:val="00D62A3C"/>
    <w:rsid w:val="00D62AE5"/>
    <w:rsid w:val="00D62B32"/>
    <w:rsid w:val="00D62B7F"/>
    <w:rsid w:val="00D62C30"/>
    <w:rsid w:val="00D62C92"/>
    <w:rsid w:val="00D62CF5"/>
    <w:rsid w:val="00D62CFF"/>
    <w:rsid w:val="00D62D36"/>
    <w:rsid w:val="00D62D6C"/>
    <w:rsid w:val="00D62DA4"/>
    <w:rsid w:val="00D62DCD"/>
    <w:rsid w:val="00D62E15"/>
    <w:rsid w:val="00D62E7E"/>
    <w:rsid w:val="00D62F37"/>
    <w:rsid w:val="00D62F58"/>
    <w:rsid w:val="00D62F92"/>
    <w:rsid w:val="00D62F93"/>
    <w:rsid w:val="00D62FA3"/>
    <w:rsid w:val="00D62FF1"/>
    <w:rsid w:val="00D63068"/>
    <w:rsid w:val="00D630E7"/>
    <w:rsid w:val="00D630F8"/>
    <w:rsid w:val="00D63165"/>
    <w:rsid w:val="00D631BC"/>
    <w:rsid w:val="00D6322F"/>
    <w:rsid w:val="00D63293"/>
    <w:rsid w:val="00D632EA"/>
    <w:rsid w:val="00D6332B"/>
    <w:rsid w:val="00D63336"/>
    <w:rsid w:val="00D63370"/>
    <w:rsid w:val="00D633CB"/>
    <w:rsid w:val="00D63430"/>
    <w:rsid w:val="00D63435"/>
    <w:rsid w:val="00D63478"/>
    <w:rsid w:val="00D63483"/>
    <w:rsid w:val="00D63527"/>
    <w:rsid w:val="00D63532"/>
    <w:rsid w:val="00D6357F"/>
    <w:rsid w:val="00D635F1"/>
    <w:rsid w:val="00D6363B"/>
    <w:rsid w:val="00D63672"/>
    <w:rsid w:val="00D6369B"/>
    <w:rsid w:val="00D636D3"/>
    <w:rsid w:val="00D636E4"/>
    <w:rsid w:val="00D636F4"/>
    <w:rsid w:val="00D63709"/>
    <w:rsid w:val="00D63751"/>
    <w:rsid w:val="00D6375B"/>
    <w:rsid w:val="00D63760"/>
    <w:rsid w:val="00D6388F"/>
    <w:rsid w:val="00D638B8"/>
    <w:rsid w:val="00D638F8"/>
    <w:rsid w:val="00D6391E"/>
    <w:rsid w:val="00D6397B"/>
    <w:rsid w:val="00D639C2"/>
    <w:rsid w:val="00D639C4"/>
    <w:rsid w:val="00D639EA"/>
    <w:rsid w:val="00D63A11"/>
    <w:rsid w:val="00D63ADC"/>
    <w:rsid w:val="00D63B29"/>
    <w:rsid w:val="00D63B32"/>
    <w:rsid w:val="00D63C03"/>
    <w:rsid w:val="00D63C10"/>
    <w:rsid w:val="00D63C15"/>
    <w:rsid w:val="00D63C56"/>
    <w:rsid w:val="00D63C6B"/>
    <w:rsid w:val="00D63D15"/>
    <w:rsid w:val="00D63D40"/>
    <w:rsid w:val="00D63D57"/>
    <w:rsid w:val="00D63D58"/>
    <w:rsid w:val="00D63D92"/>
    <w:rsid w:val="00D63DA9"/>
    <w:rsid w:val="00D63DD8"/>
    <w:rsid w:val="00D63DF8"/>
    <w:rsid w:val="00D63E6E"/>
    <w:rsid w:val="00D63E71"/>
    <w:rsid w:val="00D63EEC"/>
    <w:rsid w:val="00D63EF4"/>
    <w:rsid w:val="00D63F4A"/>
    <w:rsid w:val="00D63F5F"/>
    <w:rsid w:val="00D63F9B"/>
    <w:rsid w:val="00D63F9D"/>
    <w:rsid w:val="00D63FB7"/>
    <w:rsid w:val="00D63FCF"/>
    <w:rsid w:val="00D64022"/>
    <w:rsid w:val="00D64039"/>
    <w:rsid w:val="00D640BA"/>
    <w:rsid w:val="00D640FD"/>
    <w:rsid w:val="00D6415D"/>
    <w:rsid w:val="00D641A4"/>
    <w:rsid w:val="00D641B5"/>
    <w:rsid w:val="00D64265"/>
    <w:rsid w:val="00D64279"/>
    <w:rsid w:val="00D6428A"/>
    <w:rsid w:val="00D64291"/>
    <w:rsid w:val="00D642C1"/>
    <w:rsid w:val="00D64366"/>
    <w:rsid w:val="00D64367"/>
    <w:rsid w:val="00D6438F"/>
    <w:rsid w:val="00D643BD"/>
    <w:rsid w:val="00D643D5"/>
    <w:rsid w:val="00D643EB"/>
    <w:rsid w:val="00D6441D"/>
    <w:rsid w:val="00D64425"/>
    <w:rsid w:val="00D64442"/>
    <w:rsid w:val="00D64469"/>
    <w:rsid w:val="00D6446B"/>
    <w:rsid w:val="00D64470"/>
    <w:rsid w:val="00D64478"/>
    <w:rsid w:val="00D6449E"/>
    <w:rsid w:val="00D644C7"/>
    <w:rsid w:val="00D644D7"/>
    <w:rsid w:val="00D6461C"/>
    <w:rsid w:val="00D6465B"/>
    <w:rsid w:val="00D64677"/>
    <w:rsid w:val="00D646BB"/>
    <w:rsid w:val="00D64723"/>
    <w:rsid w:val="00D6473E"/>
    <w:rsid w:val="00D6476E"/>
    <w:rsid w:val="00D647C0"/>
    <w:rsid w:val="00D64858"/>
    <w:rsid w:val="00D6485C"/>
    <w:rsid w:val="00D648BD"/>
    <w:rsid w:val="00D648DB"/>
    <w:rsid w:val="00D648EE"/>
    <w:rsid w:val="00D648F3"/>
    <w:rsid w:val="00D64905"/>
    <w:rsid w:val="00D6490D"/>
    <w:rsid w:val="00D6495F"/>
    <w:rsid w:val="00D64A7E"/>
    <w:rsid w:val="00D64A95"/>
    <w:rsid w:val="00D64AB2"/>
    <w:rsid w:val="00D64B4A"/>
    <w:rsid w:val="00D64B74"/>
    <w:rsid w:val="00D64BD4"/>
    <w:rsid w:val="00D64BF5"/>
    <w:rsid w:val="00D64C71"/>
    <w:rsid w:val="00D64C7C"/>
    <w:rsid w:val="00D64C81"/>
    <w:rsid w:val="00D64C99"/>
    <w:rsid w:val="00D64CA0"/>
    <w:rsid w:val="00D64D74"/>
    <w:rsid w:val="00D64DCC"/>
    <w:rsid w:val="00D64E36"/>
    <w:rsid w:val="00D64E4B"/>
    <w:rsid w:val="00D64E5D"/>
    <w:rsid w:val="00D64E63"/>
    <w:rsid w:val="00D64E81"/>
    <w:rsid w:val="00D64EF4"/>
    <w:rsid w:val="00D64F1D"/>
    <w:rsid w:val="00D64F35"/>
    <w:rsid w:val="00D64F78"/>
    <w:rsid w:val="00D64F7C"/>
    <w:rsid w:val="00D64F86"/>
    <w:rsid w:val="00D64FDC"/>
    <w:rsid w:val="00D64FDE"/>
    <w:rsid w:val="00D64FED"/>
    <w:rsid w:val="00D65028"/>
    <w:rsid w:val="00D65041"/>
    <w:rsid w:val="00D6507B"/>
    <w:rsid w:val="00D6513A"/>
    <w:rsid w:val="00D6516D"/>
    <w:rsid w:val="00D65190"/>
    <w:rsid w:val="00D6521E"/>
    <w:rsid w:val="00D65277"/>
    <w:rsid w:val="00D652A5"/>
    <w:rsid w:val="00D652F5"/>
    <w:rsid w:val="00D6538B"/>
    <w:rsid w:val="00D653E2"/>
    <w:rsid w:val="00D65427"/>
    <w:rsid w:val="00D65448"/>
    <w:rsid w:val="00D654DE"/>
    <w:rsid w:val="00D654FD"/>
    <w:rsid w:val="00D6551E"/>
    <w:rsid w:val="00D6552A"/>
    <w:rsid w:val="00D65562"/>
    <w:rsid w:val="00D655AD"/>
    <w:rsid w:val="00D655EF"/>
    <w:rsid w:val="00D655F1"/>
    <w:rsid w:val="00D65614"/>
    <w:rsid w:val="00D656A4"/>
    <w:rsid w:val="00D656BE"/>
    <w:rsid w:val="00D65784"/>
    <w:rsid w:val="00D657B3"/>
    <w:rsid w:val="00D657D4"/>
    <w:rsid w:val="00D6582D"/>
    <w:rsid w:val="00D6587B"/>
    <w:rsid w:val="00D658E7"/>
    <w:rsid w:val="00D659B1"/>
    <w:rsid w:val="00D659BD"/>
    <w:rsid w:val="00D65A2A"/>
    <w:rsid w:val="00D65A52"/>
    <w:rsid w:val="00D65A99"/>
    <w:rsid w:val="00D65AAF"/>
    <w:rsid w:val="00D65ACF"/>
    <w:rsid w:val="00D65AE5"/>
    <w:rsid w:val="00D65B03"/>
    <w:rsid w:val="00D65B13"/>
    <w:rsid w:val="00D65B40"/>
    <w:rsid w:val="00D65B57"/>
    <w:rsid w:val="00D65BD5"/>
    <w:rsid w:val="00D65C1D"/>
    <w:rsid w:val="00D65C76"/>
    <w:rsid w:val="00D65D44"/>
    <w:rsid w:val="00D65D8F"/>
    <w:rsid w:val="00D65E05"/>
    <w:rsid w:val="00D65E52"/>
    <w:rsid w:val="00D65E5A"/>
    <w:rsid w:val="00D65E8E"/>
    <w:rsid w:val="00D65E9F"/>
    <w:rsid w:val="00D65F2C"/>
    <w:rsid w:val="00D65F69"/>
    <w:rsid w:val="00D65F9B"/>
    <w:rsid w:val="00D6609F"/>
    <w:rsid w:val="00D66271"/>
    <w:rsid w:val="00D6628C"/>
    <w:rsid w:val="00D66299"/>
    <w:rsid w:val="00D6630D"/>
    <w:rsid w:val="00D6636C"/>
    <w:rsid w:val="00D66373"/>
    <w:rsid w:val="00D6639A"/>
    <w:rsid w:val="00D663B2"/>
    <w:rsid w:val="00D6641D"/>
    <w:rsid w:val="00D66464"/>
    <w:rsid w:val="00D66547"/>
    <w:rsid w:val="00D6656F"/>
    <w:rsid w:val="00D66595"/>
    <w:rsid w:val="00D665EA"/>
    <w:rsid w:val="00D6660E"/>
    <w:rsid w:val="00D6660F"/>
    <w:rsid w:val="00D6665F"/>
    <w:rsid w:val="00D66663"/>
    <w:rsid w:val="00D66666"/>
    <w:rsid w:val="00D66690"/>
    <w:rsid w:val="00D666D4"/>
    <w:rsid w:val="00D6676E"/>
    <w:rsid w:val="00D6676F"/>
    <w:rsid w:val="00D667A5"/>
    <w:rsid w:val="00D667D0"/>
    <w:rsid w:val="00D667DF"/>
    <w:rsid w:val="00D667F7"/>
    <w:rsid w:val="00D667FA"/>
    <w:rsid w:val="00D66852"/>
    <w:rsid w:val="00D66891"/>
    <w:rsid w:val="00D6692C"/>
    <w:rsid w:val="00D66950"/>
    <w:rsid w:val="00D6697C"/>
    <w:rsid w:val="00D669A2"/>
    <w:rsid w:val="00D669B1"/>
    <w:rsid w:val="00D66A3F"/>
    <w:rsid w:val="00D66A7D"/>
    <w:rsid w:val="00D66A8A"/>
    <w:rsid w:val="00D66AE3"/>
    <w:rsid w:val="00D66B00"/>
    <w:rsid w:val="00D66B1C"/>
    <w:rsid w:val="00D66B8B"/>
    <w:rsid w:val="00D66C16"/>
    <w:rsid w:val="00D66C4E"/>
    <w:rsid w:val="00D66CC4"/>
    <w:rsid w:val="00D66D01"/>
    <w:rsid w:val="00D66D38"/>
    <w:rsid w:val="00D66D48"/>
    <w:rsid w:val="00D66D65"/>
    <w:rsid w:val="00D66DD3"/>
    <w:rsid w:val="00D66EA1"/>
    <w:rsid w:val="00D66F9E"/>
    <w:rsid w:val="00D66FC5"/>
    <w:rsid w:val="00D66FE5"/>
    <w:rsid w:val="00D67005"/>
    <w:rsid w:val="00D67028"/>
    <w:rsid w:val="00D670CC"/>
    <w:rsid w:val="00D670DD"/>
    <w:rsid w:val="00D6710F"/>
    <w:rsid w:val="00D67215"/>
    <w:rsid w:val="00D67280"/>
    <w:rsid w:val="00D6736B"/>
    <w:rsid w:val="00D6736D"/>
    <w:rsid w:val="00D67376"/>
    <w:rsid w:val="00D67381"/>
    <w:rsid w:val="00D6739A"/>
    <w:rsid w:val="00D673DB"/>
    <w:rsid w:val="00D67452"/>
    <w:rsid w:val="00D674F8"/>
    <w:rsid w:val="00D67560"/>
    <w:rsid w:val="00D6756D"/>
    <w:rsid w:val="00D6758C"/>
    <w:rsid w:val="00D67597"/>
    <w:rsid w:val="00D675C3"/>
    <w:rsid w:val="00D67634"/>
    <w:rsid w:val="00D676D5"/>
    <w:rsid w:val="00D67748"/>
    <w:rsid w:val="00D67773"/>
    <w:rsid w:val="00D677CF"/>
    <w:rsid w:val="00D677DA"/>
    <w:rsid w:val="00D67815"/>
    <w:rsid w:val="00D67829"/>
    <w:rsid w:val="00D67839"/>
    <w:rsid w:val="00D6784E"/>
    <w:rsid w:val="00D678C1"/>
    <w:rsid w:val="00D678E4"/>
    <w:rsid w:val="00D67920"/>
    <w:rsid w:val="00D6799F"/>
    <w:rsid w:val="00D679AE"/>
    <w:rsid w:val="00D679BF"/>
    <w:rsid w:val="00D67A0D"/>
    <w:rsid w:val="00D67AE1"/>
    <w:rsid w:val="00D67B02"/>
    <w:rsid w:val="00D67B06"/>
    <w:rsid w:val="00D67B10"/>
    <w:rsid w:val="00D67B15"/>
    <w:rsid w:val="00D67C0B"/>
    <w:rsid w:val="00D67C21"/>
    <w:rsid w:val="00D67C42"/>
    <w:rsid w:val="00D67C80"/>
    <w:rsid w:val="00D67CD7"/>
    <w:rsid w:val="00D67D6D"/>
    <w:rsid w:val="00D67DB3"/>
    <w:rsid w:val="00D67E03"/>
    <w:rsid w:val="00D67E35"/>
    <w:rsid w:val="00D67E99"/>
    <w:rsid w:val="00D67ED0"/>
    <w:rsid w:val="00D67EE1"/>
    <w:rsid w:val="00D67F01"/>
    <w:rsid w:val="00D67F1B"/>
    <w:rsid w:val="00D67FC5"/>
    <w:rsid w:val="00D70028"/>
    <w:rsid w:val="00D70060"/>
    <w:rsid w:val="00D70076"/>
    <w:rsid w:val="00D7007D"/>
    <w:rsid w:val="00D700B0"/>
    <w:rsid w:val="00D700E0"/>
    <w:rsid w:val="00D700FE"/>
    <w:rsid w:val="00D70159"/>
    <w:rsid w:val="00D701B2"/>
    <w:rsid w:val="00D701BE"/>
    <w:rsid w:val="00D70311"/>
    <w:rsid w:val="00D703D9"/>
    <w:rsid w:val="00D703EF"/>
    <w:rsid w:val="00D7041A"/>
    <w:rsid w:val="00D7043B"/>
    <w:rsid w:val="00D7043D"/>
    <w:rsid w:val="00D704BA"/>
    <w:rsid w:val="00D704FF"/>
    <w:rsid w:val="00D705A9"/>
    <w:rsid w:val="00D7061D"/>
    <w:rsid w:val="00D70621"/>
    <w:rsid w:val="00D706A1"/>
    <w:rsid w:val="00D706B8"/>
    <w:rsid w:val="00D70700"/>
    <w:rsid w:val="00D7072E"/>
    <w:rsid w:val="00D70759"/>
    <w:rsid w:val="00D707CF"/>
    <w:rsid w:val="00D707F3"/>
    <w:rsid w:val="00D70803"/>
    <w:rsid w:val="00D708C7"/>
    <w:rsid w:val="00D708E2"/>
    <w:rsid w:val="00D708E4"/>
    <w:rsid w:val="00D70910"/>
    <w:rsid w:val="00D7097D"/>
    <w:rsid w:val="00D709B0"/>
    <w:rsid w:val="00D709B7"/>
    <w:rsid w:val="00D709B8"/>
    <w:rsid w:val="00D709F8"/>
    <w:rsid w:val="00D70A38"/>
    <w:rsid w:val="00D70A65"/>
    <w:rsid w:val="00D70A9B"/>
    <w:rsid w:val="00D70AB5"/>
    <w:rsid w:val="00D70AE0"/>
    <w:rsid w:val="00D70B54"/>
    <w:rsid w:val="00D70B67"/>
    <w:rsid w:val="00D70B6B"/>
    <w:rsid w:val="00D70C0D"/>
    <w:rsid w:val="00D70C3A"/>
    <w:rsid w:val="00D70C3D"/>
    <w:rsid w:val="00D70D00"/>
    <w:rsid w:val="00D70D97"/>
    <w:rsid w:val="00D70E09"/>
    <w:rsid w:val="00D70E48"/>
    <w:rsid w:val="00D70E55"/>
    <w:rsid w:val="00D70ECD"/>
    <w:rsid w:val="00D70F01"/>
    <w:rsid w:val="00D70F75"/>
    <w:rsid w:val="00D70F8F"/>
    <w:rsid w:val="00D70F95"/>
    <w:rsid w:val="00D70FCF"/>
    <w:rsid w:val="00D70FF5"/>
    <w:rsid w:val="00D71008"/>
    <w:rsid w:val="00D71011"/>
    <w:rsid w:val="00D71081"/>
    <w:rsid w:val="00D71082"/>
    <w:rsid w:val="00D71098"/>
    <w:rsid w:val="00D7109B"/>
    <w:rsid w:val="00D710F6"/>
    <w:rsid w:val="00D71116"/>
    <w:rsid w:val="00D7113E"/>
    <w:rsid w:val="00D71141"/>
    <w:rsid w:val="00D71224"/>
    <w:rsid w:val="00D71285"/>
    <w:rsid w:val="00D71296"/>
    <w:rsid w:val="00D712A1"/>
    <w:rsid w:val="00D71305"/>
    <w:rsid w:val="00D71307"/>
    <w:rsid w:val="00D7130C"/>
    <w:rsid w:val="00D7130F"/>
    <w:rsid w:val="00D7133D"/>
    <w:rsid w:val="00D7133E"/>
    <w:rsid w:val="00D713CB"/>
    <w:rsid w:val="00D713D3"/>
    <w:rsid w:val="00D713ED"/>
    <w:rsid w:val="00D713F6"/>
    <w:rsid w:val="00D713F7"/>
    <w:rsid w:val="00D7145F"/>
    <w:rsid w:val="00D714A0"/>
    <w:rsid w:val="00D714B4"/>
    <w:rsid w:val="00D714D6"/>
    <w:rsid w:val="00D7151E"/>
    <w:rsid w:val="00D71551"/>
    <w:rsid w:val="00D71565"/>
    <w:rsid w:val="00D715B1"/>
    <w:rsid w:val="00D715D1"/>
    <w:rsid w:val="00D715E3"/>
    <w:rsid w:val="00D71675"/>
    <w:rsid w:val="00D71783"/>
    <w:rsid w:val="00D7179C"/>
    <w:rsid w:val="00D717BF"/>
    <w:rsid w:val="00D717EA"/>
    <w:rsid w:val="00D717FC"/>
    <w:rsid w:val="00D71808"/>
    <w:rsid w:val="00D71885"/>
    <w:rsid w:val="00D71899"/>
    <w:rsid w:val="00D718A1"/>
    <w:rsid w:val="00D718EC"/>
    <w:rsid w:val="00D71919"/>
    <w:rsid w:val="00D71926"/>
    <w:rsid w:val="00D71971"/>
    <w:rsid w:val="00D71986"/>
    <w:rsid w:val="00D719B8"/>
    <w:rsid w:val="00D71A0D"/>
    <w:rsid w:val="00D71A8D"/>
    <w:rsid w:val="00D71AA1"/>
    <w:rsid w:val="00D71B47"/>
    <w:rsid w:val="00D71B4E"/>
    <w:rsid w:val="00D71B9C"/>
    <w:rsid w:val="00D71BA6"/>
    <w:rsid w:val="00D71BB5"/>
    <w:rsid w:val="00D71C5E"/>
    <w:rsid w:val="00D71CA6"/>
    <w:rsid w:val="00D71CA8"/>
    <w:rsid w:val="00D71CB6"/>
    <w:rsid w:val="00D71CD9"/>
    <w:rsid w:val="00D71D1E"/>
    <w:rsid w:val="00D71D39"/>
    <w:rsid w:val="00D71D49"/>
    <w:rsid w:val="00D71E23"/>
    <w:rsid w:val="00D71E29"/>
    <w:rsid w:val="00D71E2C"/>
    <w:rsid w:val="00D71E30"/>
    <w:rsid w:val="00D71E31"/>
    <w:rsid w:val="00D71E36"/>
    <w:rsid w:val="00D71E5A"/>
    <w:rsid w:val="00D71E78"/>
    <w:rsid w:val="00D71E85"/>
    <w:rsid w:val="00D71EBD"/>
    <w:rsid w:val="00D71ECB"/>
    <w:rsid w:val="00D71F10"/>
    <w:rsid w:val="00D71F7B"/>
    <w:rsid w:val="00D7201D"/>
    <w:rsid w:val="00D7203B"/>
    <w:rsid w:val="00D72047"/>
    <w:rsid w:val="00D720F5"/>
    <w:rsid w:val="00D72122"/>
    <w:rsid w:val="00D72178"/>
    <w:rsid w:val="00D721A0"/>
    <w:rsid w:val="00D721B5"/>
    <w:rsid w:val="00D721FA"/>
    <w:rsid w:val="00D7221C"/>
    <w:rsid w:val="00D72228"/>
    <w:rsid w:val="00D72298"/>
    <w:rsid w:val="00D72332"/>
    <w:rsid w:val="00D72341"/>
    <w:rsid w:val="00D72384"/>
    <w:rsid w:val="00D72412"/>
    <w:rsid w:val="00D72419"/>
    <w:rsid w:val="00D7243E"/>
    <w:rsid w:val="00D724B4"/>
    <w:rsid w:val="00D724EF"/>
    <w:rsid w:val="00D7254F"/>
    <w:rsid w:val="00D72597"/>
    <w:rsid w:val="00D7260A"/>
    <w:rsid w:val="00D7265B"/>
    <w:rsid w:val="00D7267B"/>
    <w:rsid w:val="00D7273A"/>
    <w:rsid w:val="00D72761"/>
    <w:rsid w:val="00D72802"/>
    <w:rsid w:val="00D72851"/>
    <w:rsid w:val="00D7285D"/>
    <w:rsid w:val="00D7286B"/>
    <w:rsid w:val="00D72872"/>
    <w:rsid w:val="00D7288F"/>
    <w:rsid w:val="00D728A7"/>
    <w:rsid w:val="00D728CF"/>
    <w:rsid w:val="00D7290E"/>
    <w:rsid w:val="00D72925"/>
    <w:rsid w:val="00D72935"/>
    <w:rsid w:val="00D729D7"/>
    <w:rsid w:val="00D729EC"/>
    <w:rsid w:val="00D72A0C"/>
    <w:rsid w:val="00D72AE9"/>
    <w:rsid w:val="00D72B13"/>
    <w:rsid w:val="00D72B16"/>
    <w:rsid w:val="00D72B1C"/>
    <w:rsid w:val="00D72B2B"/>
    <w:rsid w:val="00D72B5E"/>
    <w:rsid w:val="00D72B5F"/>
    <w:rsid w:val="00D72B64"/>
    <w:rsid w:val="00D72BB5"/>
    <w:rsid w:val="00D72BC6"/>
    <w:rsid w:val="00D72BC8"/>
    <w:rsid w:val="00D72C5D"/>
    <w:rsid w:val="00D72C6E"/>
    <w:rsid w:val="00D72CFC"/>
    <w:rsid w:val="00D72D48"/>
    <w:rsid w:val="00D72D98"/>
    <w:rsid w:val="00D72DC8"/>
    <w:rsid w:val="00D72DD8"/>
    <w:rsid w:val="00D72DF5"/>
    <w:rsid w:val="00D72E0F"/>
    <w:rsid w:val="00D72E34"/>
    <w:rsid w:val="00D72E3B"/>
    <w:rsid w:val="00D72EEA"/>
    <w:rsid w:val="00D72F5E"/>
    <w:rsid w:val="00D72F66"/>
    <w:rsid w:val="00D73092"/>
    <w:rsid w:val="00D73097"/>
    <w:rsid w:val="00D7309A"/>
    <w:rsid w:val="00D730E4"/>
    <w:rsid w:val="00D73144"/>
    <w:rsid w:val="00D731A2"/>
    <w:rsid w:val="00D7326A"/>
    <w:rsid w:val="00D732DB"/>
    <w:rsid w:val="00D732ED"/>
    <w:rsid w:val="00D73329"/>
    <w:rsid w:val="00D73355"/>
    <w:rsid w:val="00D733AB"/>
    <w:rsid w:val="00D733DB"/>
    <w:rsid w:val="00D733DE"/>
    <w:rsid w:val="00D73405"/>
    <w:rsid w:val="00D73474"/>
    <w:rsid w:val="00D734C9"/>
    <w:rsid w:val="00D734F7"/>
    <w:rsid w:val="00D7357C"/>
    <w:rsid w:val="00D7358B"/>
    <w:rsid w:val="00D735D7"/>
    <w:rsid w:val="00D73625"/>
    <w:rsid w:val="00D73653"/>
    <w:rsid w:val="00D7365B"/>
    <w:rsid w:val="00D7371F"/>
    <w:rsid w:val="00D73729"/>
    <w:rsid w:val="00D7376D"/>
    <w:rsid w:val="00D73788"/>
    <w:rsid w:val="00D737D1"/>
    <w:rsid w:val="00D737D9"/>
    <w:rsid w:val="00D7380C"/>
    <w:rsid w:val="00D738F8"/>
    <w:rsid w:val="00D7390F"/>
    <w:rsid w:val="00D7391D"/>
    <w:rsid w:val="00D7392E"/>
    <w:rsid w:val="00D73969"/>
    <w:rsid w:val="00D73981"/>
    <w:rsid w:val="00D739A0"/>
    <w:rsid w:val="00D73A0C"/>
    <w:rsid w:val="00D73A1E"/>
    <w:rsid w:val="00D73A3C"/>
    <w:rsid w:val="00D73AB2"/>
    <w:rsid w:val="00D73B2F"/>
    <w:rsid w:val="00D73B87"/>
    <w:rsid w:val="00D73C01"/>
    <w:rsid w:val="00D73C29"/>
    <w:rsid w:val="00D73C4C"/>
    <w:rsid w:val="00D73C67"/>
    <w:rsid w:val="00D73C97"/>
    <w:rsid w:val="00D73CC5"/>
    <w:rsid w:val="00D73DAC"/>
    <w:rsid w:val="00D73DBA"/>
    <w:rsid w:val="00D73DD9"/>
    <w:rsid w:val="00D73F21"/>
    <w:rsid w:val="00D73F37"/>
    <w:rsid w:val="00D73F4F"/>
    <w:rsid w:val="00D73F71"/>
    <w:rsid w:val="00D73FB0"/>
    <w:rsid w:val="00D73FD5"/>
    <w:rsid w:val="00D7401C"/>
    <w:rsid w:val="00D74119"/>
    <w:rsid w:val="00D741C1"/>
    <w:rsid w:val="00D74225"/>
    <w:rsid w:val="00D7423C"/>
    <w:rsid w:val="00D7425F"/>
    <w:rsid w:val="00D7428D"/>
    <w:rsid w:val="00D742A5"/>
    <w:rsid w:val="00D74312"/>
    <w:rsid w:val="00D74319"/>
    <w:rsid w:val="00D74324"/>
    <w:rsid w:val="00D743A9"/>
    <w:rsid w:val="00D743C3"/>
    <w:rsid w:val="00D74470"/>
    <w:rsid w:val="00D744D5"/>
    <w:rsid w:val="00D744DB"/>
    <w:rsid w:val="00D74502"/>
    <w:rsid w:val="00D7457F"/>
    <w:rsid w:val="00D74583"/>
    <w:rsid w:val="00D74591"/>
    <w:rsid w:val="00D745AA"/>
    <w:rsid w:val="00D745EC"/>
    <w:rsid w:val="00D7460B"/>
    <w:rsid w:val="00D74670"/>
    <w:rsid w:val="00D74698"/>
    <w:rsid w:val="00D74735"/>
    <w:rsid w:val="00D74749"/>
    <w:rsid w:val="00D74767"/>
    <w:rsid w:val="00D74774"/>
    <w:rsid w:val="00D74784"/>
    <w:rsid w:val="00D747B0"/>
    <w:rsid w:val="00D747B5"/>
    <w:rsid w:val="00D747FD"/>
    <w:rsid w:val="00D74881"/>
    <w:rsid w:val="00D74884"/>
    <w:rsid w:val="00D748A3"/>
    <w:rsid w:val="00D74921"/>
    <w:rsid w:val="00D749D8"/>
    <w:rsid w:val="00D749F7"/>
    <w:rsid w:val="00D74A01"/>
    <w:rsid w:val="00D74A41"/>
    <w:rsid w:val="00D74A46"/>
    <w:rsid w:val="00D74B47"/>
    <w:rsid w:val="00D74BBC"/>
    <w:rsid w:val="00D74BDD"/>
    <w:rsid w:val="00D74BE7"/>
    <w:rsid w:val="00D74BFF"/>
    <w:rsid w:val="00D74CC6"/>
    <w:rsid w:val="00D74CE6"/>
    <w:rsid w:val="00D74CEA"/>
    <w:rsid w:val="00D74D1D"/>
    <w:rsid w:val="00D74E99"/>
    <w:rsid w:val="00D74EEE"/>
    <w:rsid w:val="00D74EEF"/>
    <w:rsid w:val="00D74EF3"/>
    <w:rsid w:val="00D74F83"/>
    <w:rsid w:val="00D7501F"/>
    <w:rsid w:val="00D75057"/>
    <w:rsid w:val="00D750EF"/>
    <w:rsid w:val="00D75144"/>
    <w:rsid w:val="00D751AB"/>
    <w:rsid w:val="00D751C7"/>
    <w:rsid w:val="00D751D3"/>
    <w:rsid w:val="00D751FD"/>
    <w:rsid w:val="00D7524B"/>
    <w:rsid w:val="00D752D3"/>
    <w:rsid w:val="00D75303"/>
    <w:rsid w:val="00D75413"/>
    <w:rsid w:val="00D75418"/>
    <w:rsid w:val="00D75460"/>
    <w:rsid w:val="00D75484"/>
    <w:rsid w:val="00D75501"/>
    <w:rsid w:val="00D75537"/>
    <w:rsid w:val="00D7554E"/>
    <w:rsid w:val="00D755BB"/>
    <w:rsid w:val="00D755CD"/>
    <w:rsid w:val="00D7565C"/>
    <w:rsid w:val="00D75697"/>
    <w:rsid w:val="00D756C4"/>
    <w:rsid w:val="00D756C7"/>
    <w:rsid w:val="00D756FD"/>
    <w:rsid w:val="00D75710"/>
    <w:rsid w:val="00D75718"/>
    <w:rsid w:val="00D7571E"/>
    <w:rsid w:val="00D75752"/>
    <w:rsid w:val="00D75763"/>
    <w:rsid w:val="00D7577C"/>
    <w:rsid w:val="00D757C5"/>
    <w:rsid w:val="00D75884"/>
    <w:rsid w:val="00D758C8"/>
    <w:rsid w:val="00D758D3"/>
    <w:rsid w:val="00D75974"/>
    <w:rsid w:val="00D75998"/>
    <w:rsid w:val="00D7599A"/>
    <w:rsid w:val="00D759C9"/>
    <w:rsid w:val="00D759F8"/>
    <w:rsid w:val="00D75A02"/>
    <w:rsid w:val="00D75A51"/>
    <w:rsid w:val="00D75A57"/>
    <w:rsid w:val="00D75A94"/>
    <w:rsid w:val="00D75A95"/>
    <w:rsid w:val="00D75AEF"/>
    <w:rsid w:val="00D75AF3"/>
    <w:rsid w:val="00D75B32"/>
    <w:rsid w:val="00D75B44"/>
    <w:rsid w:val="00D75B4A"/>
    <w:rsid w:val="00D75B5D"/>
    <w:rsid w:val="00D75B61"/>
    <w:rsid w:val="00D75BC8"/>
    <w:rsid w:val="00D75BD4"/>
    <w:rsid w:val="00D75C2B"/>
    <w:rsid w:val="00D75C56"/>
    <w:rsid w:val="00D75CAE"/>
    <w:rsid w:val="00D75CD1"/>
    <w:rsid w:val="00D75D13"/>
    <w:rsid w:val="00D75D4D"/>
    <w:rsid w:val="00D75DCE"/>
    <w:rsid w:val="00D75E10"/>
    <w:rsid w:val="00D75E7E"/>
    <w:rsid w:val="00D75F01"/>
    <w:rsid w:val="00D75F1C"/>
    <w:rsid w:val="00D75F29"/>
    <w:rsid w:val="00D75F71"/>
    <w:rsid w:val="00D75F8B"/>
    <w:rsid w:val="00D75FC8"/>
    <w:rsid w:val="00D75FE0"/>
    <w:rsid w:val="00D76002"/>
    <w:rsid w:val="00D7600D"/>
    <w:rsid w:val="00D76033"/>
    <w:rsid w:val="00D7607E"/>
    <w:rsid w:val="00D76089"/>
    <w:rsid w:val="00D760E8"/>
    <w:rsid w:val="00D76154"/>
    <w:rsid w:val="00D76184"/>
    <w:rsid w:val="00D761F6"/>
    <w:rsid w:val="00D76222"/>
    <w:rsid w:val="00D7624C"/>
    <w:rsid w:val="00D76285"/>
    <w:rsid w:val="00D762E1"/>
    <w:rsid w:val="00D762F2"/>
    <w:rsid w:val="00D76337"/>
    <w:rsid w:val="00D763C8"/>
    <w:rsid w:val="00D763CB"/>
    <w:rsid w:val="00D763D1"/>
    <w:rsid w:val="00D763EB"/>
    <w:rsid w:val="00D76410"/>
    <w:rsid w:val="00D7649C"/>
    <w:rsid w:val="00D764FD"/>
    <w:rsid w:val="00D76578"/>
    <w:rsid w:val="00D765CE"/>
    <w:rsid w:val="00D765F6"/>
    <w:rsid w:val="00D7668A"/>
    <w:rsid w:val="00D76792"/>
    <w:rsid w:val="00D76861"/>
    <w:rsid w:val="00D768BF"/>
    <w:rsid w:val="00D768F5"/>
    <w:rsid w:val="00D76912"/>
    <w:rsid w:val="00D7691A"/>
    <w:rsid w:val="00D76A36"/>
    <w:rsid w:val="00D76A3B"/>
    <w:rsid w:val="00D76ABC"/>
    <w:rsid w:val="00D76AF3"/>
    <w:rsid w:val="00D76B0F"/>
    <w:rsid w:val="00D76B5F"/>
    <w:rsid w:val="00D76B60"/>
    <w:rsid w:val="00D76B66"/>
    <w:rsid w:val="00D76B97"/>
    <w:rsid w:val="00D76C02"/>
    <w:rsid w:val="00D76C19"/>
    <w:rsid w:val="00D76C2A"/>
    <w:rsid w:val="00D76C42"/>
    <w:rsid w:val="00D76C60"/>
    <w:rsid w:val="00D76C64"/>
    <w:rsid w:val="00D76C7F"/>
    <w:rsid w:val="00D76CC5"/>
    <w:rsid w:val="00D76D07"/>
    <w:rsid w:val="00D76D74"/>
    <w:rsid w:val="00D76E5F"/>
    <w:rsid w:val="00D76E91"/>
    <w:rsid w:val="00D76ED2"/>
    <w:rsid w:val="00D76EF3"/>
    <w:rsid w:val="00D76F08"/>
    <w:rsid w:val="00D76F2A"/>
    <w:rsid w:val="00D76F37"/>
    <w:rsid w:val="00D76F38"/>
    <w:rsid w:val="00D76F60"/>
    <w:rsid w:val="00D76FB0"/>
    <w:rsid w:val="00D76FC4"/>
    <w:rsid w:val="00D7702D"/>
    <w:rsid w:val="00D7711F"/>
    <w:rsid w:val="00D7715F"/>
    <w:rsid w:val="00D77190"/>
    <w:rsid w:val="00D771D2"/>
    <w:rsid w:val="00D7723D"/>
    <w:rsid w:val="00D77266"/>
    <w:rsid w:val="00D772C6"/>
    <w:rsid w:val="00D772E9"/>
    <w:rsid w:val="00D77340"/>
    <w:rsid w:val="00D7735B"/>
    <w:rsid w:val="00D7738D"/>
    <w:rsid w:val="00D77398"/>
    <w:rsid w:val="00D773AC"/>
    <w:rsid w:val="00D77462"/>
    <w:rsid w:val="00D77493"/>
    <w:rsid w:val="00D77494"/>
    <w:rsid w:val="00D774BF"/>
    <w:rsid w:val="00D7750A"/>
    <w:rsid w:val="00D77620"/>
    <w:rsid w:val="00D7763F"/>
    <w:rsid w:val="00D7766D"/>
    <w:rsid w:val="00D776D9"/>
    <w:rsid w:val="00D77703"/>
    <w:rsid w:val="00D77797"/>
    <w:rsid w:val="00D7779F"/>
    <w:rsid w:val="00D777B9"/>
    <w:rsid w:val="00D777EF"/>
    <w:rsid w:val="00D77847"/>
    <w:rsid w:val="00D7787E"/>
    <w:rsid w:val="00D77884"/>
    <w:rsid w:val="00D7790B"/>
    <w:rsid w:val="00D77992"/>
    <w:rsid w:val="00D77A2B"/>
    <w:rsid w:val="00D77A80"/>
    <w:rsid w:val="00D77A95"/>
    <w:rsid w:val="00D77AB8"/>
    <w:rsid w:val="00D77ABB"/>
    <w:rsid w:val="00D77AE6"/>
    <w:rsid w:val="00D77B42"/>
    <w:rsid w:val="00D77B7E"/>
    <w:rsid w:val="00D77BA2"/>
    <w:rsid w:val="00D77BD9"/>
    <w:rsid w:val="00D77C0C"/>
    <w:rsid w:val="00D77C3B"/>
    <w:rsid w:val="00D77C64"/>
    <w:rsid w:val="00D77CE5"/>
    <w:rsid w:val="00D77D24"/>
    <w:rsid w:val="00D77D2F"/>
    <w:rsid w:val="00D77D5E"/>
    <w:rsid w:val="00D77D68"/>
    <w:rsid w:val="00D77D85"/>
    <w:rsid w:val="00D77E53"/>
    <w:rsid w:val="00D77E8D"/>
    <w:rsid w:val="00D77EAA"/>
    <w:rsid w:val="00D77F20"/>
    <w:rsid w:val="00D77F3D"/>
    <w:rsid w:val="00D77F5C"/>
    <w:rsid w:val="00D77F6E"/>
    <w:rsid w:val="00D77F7D"/>
    <w:rsid w:val="00D77FB6"/>
    <w:rsid w:val="00D79DD0"/>
    <w:rsid w:val="00D8001C"/>
    <w:rsid w:val="00D80050"/>
    <w:rsid w:val="00D80059"/>
    <w:rsid w:val="00D8010E"/>
    <w:rsid w:val="00D80128"/>
    <w:rsid w:val="00D80132"/>
    <w:rsid w:val="00D8014B"/>
    <w:rsid w:val="00D80152"/>
    <w:rsid w:val="00D80178"/>
    <w:rsid w:val="00D8022C"/>
    <w:rsid w:val="00D802A3"/>
    <w:rsid w:val="00D802DF"/>
    <w:rsid w:val="00D802F0"/>
    <w:rsid w:val="00D80331"/>
    <w:rsid w:val="00D8038A"/>
    <w:rsid w:val="00D8038B"/>
    <w:rsid w:val="00D8047B"/>
    <w:rsid w:val="00D804DD"/>
    <w:rsid w:val="00D80542"/>
    <w:rsid w:val="00D80615"/>
    <w:rsid w:val="00D80617"/>
    <w:rsid w:val="00D8066F"/>
    <w:rsid w:val="00D8067F"/>
    <w:rsid w:val="00D80692"/>
    <w:rsid w:val="00D8077A"/>
    <w:rsid w:val="00D807BB"/>
    <w:rsid w:val="00D8080D"/>
    <w:rsid w:val="00D80818"/>
    <w:rsid w:val="00D808C5"/>
    <w:rsid w:val="00D808E4"/>
    <w:rsid w:val="00D808F5"/>
    <w:rsid w:val="00D80966"/>
    <w:rsid w:val="00D80990"/>
    <w:rsid w:val="00D809D9"/>
    <w:rsid w:val="00D80A75"/>
    <w:rsid w:val="00D80A92"/>
    <w:rsid w:val="00D80A9D"/>
    <w:rsid w:val="00D80AC6"/>
    <w:rsid w:val="00D80ACE"/>
    <w:rsid w:val="00D80B78"/>
    <w:rsid w:val="00D80BFB"/>
    <w:rsid w:val="00D80C34"/>
    <w:rsid w:val="00D80C3C"/>
    <w:rsid w:val="00D80C67"/>
    <w:rsid w:val="00D80CF2"/>
    <w:rsid w:val="00D80D05"/>
    <w:rsid w:val="00D80D0C"/>
    <w:rsid w:val="00D80E32"/>
    <w:rsid w:val="00D80E56"/>
    <w:rsid w:val="00D80EC0"/>
    <w:rsid w:val="00D80F3A"/>
    <w:rsid w:val="00D80F43"/>
    <w:rsid w:val="00D80F4B"/>
    <w:rsid w:val="00D80F82"/>
    <w:rsid w:val="00D80F8F"/>
    <w:rsid w:val="00D80FAE"/>
    <w:rsid w:val="00D80FB8"/>
    <w:rsid w:val="00D80FD8"/>
    <w:rsid w:val="00D81023"/>
    <w:rsid w:val="00D81052"/>
    <w:rsid w:val="00D81070"/>
    <w:rsid w:val="00D810AB"/>
    <w:rsid w:val="00D810E2"/>
    <w:rsid w:val="00D81134"/>
    <w:rsid w:val="00D8116D"/>
    <w:rsid w:val="00D81171"/>
    <w:rsid w:val="00D81201"/>
    <w:rsid w:val="00D81246"/>
    <w:rsid w:val="00D8126F"/>
    <w:rsid w:val="00D8127F"/>
    <w:rsid w:val="00D812BC"/>
    <w:rsid w:val="00D812ED"/>
    <w:rsid w:val="00D81328"/>
    <w:rsid w:val="00D813AB"/>
    <w:rsid w:val="00D813CA"/>
    <w:rsid w:val="00D8145B"/>
    <w:rsid w:val="00D81471"/>
    <w:rsid w:val="00D81556"/>
    <w:rsid w:val="00D815B5"/>
    <w:rsid w:val="00D815C9"/>
    <w:rsid w:val="00D815D3"/>
    <w:rsid w:val="00D81638"/>
    <w:rsid w:val="00D8166D"/>
    <w:rsid w:val="00D8167D"/>
    <w:rsid w:val="00D81723"/>
    <w:rsid w:val="00D817A7"/>
    <w:rsid w:val="00D817EE"/>
    <w:rsid w:val="00D81800"/>
    <w:rsid w:val="00D81808"/>
    <w:rsid w:val="00D81814"/>
    <w:rsid w:val="00D81830"/>
    <w:rsid w:val="00D8183C"/>
    <w:rsid w:val="00D818B4"/>
    <w:rsid w:val="00D81907"/>
    <w:rsid w:val="00D81910"/>
    <w:rsid w:val="00D81929"/>
    <w:rsid w:val="00D8195A"/>
    <w:rsid w:val="00D8197C"/>
    <w:rsid w:val="00D81A8E"/>
    <w:rsid w:val="00D81B36"/>
    <w:rsid w:val="00D81B3E"/>
    <w:rsid w:val="00D81B93"/>
    <w:rsid w:val="00D81BAD"/>
    <w:rsid w:val="00D81C0E"/>
    <w:rsid w:val="00D81C15"/>
    <w:rsid w:val="00D81C76"/>
    <w:rsid w:val="00D81C85"/>
    <w:rsid w:val="00D81CCD"/>
    <w:rsid w:val="00D81CD9"/>
    <w:rsid w:val="00D81CED"/>
    <w:rsid w:val="00D81D06"/>
    <w:rsid w:val="00D81D11"/>
    <w:rsid w:val="00D81D2A"/>
    <w:rsid w:val="00D81D6D"/>
    <w:rsid w:val="00D81DB7"/>
    <w:rsid w:val="00D81E07"/>
    <w:rsid w:val="00D81E18"/>
    <w:rsid w:val="00D81E47"/>
    <w:rsid w:val="00D81E7C"/>
    <w:rsid w:val="00D81EAD"/>
    <w:rsid w:val="00D81EE0"/>
    <w:rsid w:val="00D81FD5"/>
    <w:rsid w:val="00D81FD6"/>
    <w:rsid w:val="00D820CD"/>
    <w:rsid w:val="00D8210B"/>
    <w:rsid w:val="00D8212D"/>
    <w:rsid w:val="00D8213D"/>
    <w:rsid w:val="00D82213"/>
    <w:rsid w:val="00D82257"/>
    <w:rsid w:val="00D82263"/>
    <w:rsid w:val="00D822F9"/>
    <w:rsid w:val="00D82303"/>
    <w:rsid w:val="00D8233A"/>
    <w:rsid w:val="00D82374"/>
    <w:rsid w:val="00D823C5"/>
    <w:rsid w:val="00D823D3"/>
    <w:rsid w:val="00D82493"/>
    <w:rsid w:val="00D824B7"/>
    <w:rsid w:val="00D824CA"/>
    <w:rsid w:val="00D824D4"/>
    <w:rsid w:val="00D824D9"/>
    <w:rsid w:val="00D824EA"/>
    <w:rsid w:val="00D824FB"/>
    <w:rsid w:val="00D8252D"/>
    <w:rsid w:val="00D8257A"/>
    <w:rsid w:val="00D82598"/>
    <w:rsid w:val="00D825E1"/>
    <w:rsid w:val="00D825FF"/>
    <w:rsid w:val="00D82633"/>
    <w:rsid w:val="00D82643"/>
    <w:rsid w:val="00D82659"/>
    <w:rsid w:val="00D82769"/>
    <w:rsid w:val="00D8277C"/>
    <w:rsid w:val="00D827A4"/>
    <w:rsid w:val="00D827B6"/>
    <w:rsid w:val="00D827BA"/>
    <w:rsid w:val="00D827E0"/>
    <w:rsid w:val="00D8283A"/>
    <w:rsid w:val="00D82848"/>
    <w:rsid w:val="00D82890"/>
    <w:rsid w:val="00D82909"/>
    <w:rsid w:val="00D8293F"/>
    <w:rsid w:val="00D8295C"/>
    <w:rsid w:val="00D82990"/>
    <w:rsid w:val="00D82A2B"/>
    <w:rsid w:val="00D82A47"/>
    <w:rsid w:val="00D82A6C"/>
    <w:rsid w:val="00D82AE5"/>
    <w:rsid w:val="00D82B36"/>
    <w:rsid w:val="00D82B37"/>
    <w:rsid w:val="00D82B48"/>
    <w:rsid w:val="00D82B60"/>
    <w:rsid w:val="00D82B72"/>
    <w:rsid w:val="00D82B7F"/>
    <w:rsid w:val="00D82BEF"/>
    <w:rsid w:val="00D82C13"/>
    <w:rsid w:val="00D82C4E"/>
    <w:rsid w:val="00D82C50"/>
    <w:rsid w:val="00D82CE5"/>
    <w:rsid w:val="00D82D1E"/>
    <w:rsid w:val="00D82D33"/>
    <w:rsid w:val="00D82D4A"/>
    <w:rsid w:val="00D82D63"/>
    <w:rsid w:val="00D82D69"/>
    <w:rsid w:val="00D82D86"/>
    <w:rsid w:val="00D82DCE"/>
    <w:rsid w:val="00D82E03"/>
    <w:rsid w:val="00D82E0D"/>
    <w:rsid w:val="00D82E4F"/>
    <w:rsid w:val="00D82E6B"/>
    <w:rsid w:val="00D82EC2"/>
    <w:rsid w:val="00D82ED2"/>
    <w:rsid w:val="00D82FFB"/>
    <w:rsid w:val="00D8304A"/>
    <w:rsid w:val="00D830BA"/>
    <w:rsid w:val="00D830DE"/>
    <w:rsid w:val="00D830E6"/>
    <w:rsid w:val="00D83104"/>
    <w:rsid w:val="00D8310C"/>
    <w:rsid w:val="00D83125"/>
    <w:rsid w:val="00D8312E"/>
    <w:rsid w:val="00D83139"/>
    <w:rsid w:val="00D8314D"/>
    <w:rsid w:val="00D831B8"/>
    <w:rsid w:val="00D8325B"/>
    <w:rsid w:val="00D8332E"/>
    <w:rsid w:val="00D83360"/>
    <w:rsid w:val="00D83375"/>
    <w:rsid w:val="00D8338F"/>
    <w:rsid w:val="00D833A5"/>
    <w:rsid w:val="00D833BA"/>
    <w:rsid w:val="00D833E8"/>
    <w:rsid w:val="00D833F9"/>
    <w:rsid w:val="00D83416"/>
    <w:rsid w:val="00D83418"/>
    <w:rsid w:val="00D83424"/>
    <w:rsid w:val="00D834BC"/>
    <w:rsid w:val="00D834E7"/>
    <w:rsid w:val="00D834EF"/>
    <w:rsid w:val="00D83506"/>
    <w:rsid w:val="00D8351E"/>
    <w:rsid w:val="00D835C4"/>
    <w:rsid w:val="00D835F8"/>
    <w:rsid w:val="00D8363B"/>
    <w:rsid w:val="00D8364A"/>
    <w:rsid w:val="00D8368C"/>
    <w:rsid w:val="00D836D4"/>
    <w:rsid w:val="00D83733"/>
    <w:rsid w:val="00D837B7"/>
    <w:rsid w:val="00D837E0"/>
    <w:rsid w:val="00D83818"/>
    <w:rsid w:val="00D83873"/>
    <w:rsid w:val="00D838FE"/>
    <w:rsid w:val="00D8394F"/>
    <w:rsid w:val="00D8397A"/>
    <w:rsid w:val="00D8399A"/>
    <w:rsid w:val="00D839A1"/>
    <w:rsid w:val="00D83A03"/>
    <w:rsid w:val="00D83A16"/>
    <w:rsid w:val="00D83AB1"/>
    <w:rsid w:val="00D83AB6"/>
    <w:rsid w:val="00D83ACD"/>
    <w:rsid w:val="00D83ADF"/>
    <w:rsid w:val="00D83B45"/>
    <w:rsid w:val="00D83B63"/>
    <w:rsid w:val="00D83B69"/>
    <w:rsid w:val="00D83B93"/>
    <w:rsid w:val="00D83B95"/>
    <w:rsid w:val="00D83BB3"/>
    <w:rsid w:val="00D83C75"/>
    <w:rsid w:val="00D83CC1"/>
    <w:rsid w:val="00D83CF7"/>
    <w:rsid w:val="00D83D80"/>
    <w:rsid w:val="00D83DE5"/>
    <w:rsid w:val="00D83E31"/>
    <w:rsid w:val="00D83E6C"/>
    <w:rsid w:val="00D83E77"/>
    <w:rsid w:val="00D83EAC"/>
    <w:rsid w:val="00D83EF8"/>
    <w:rsid w:val="00D83F33"/>
    <w:rsid w:val="00D83FEE"/>
    <w:rsid w:val="00D83FFF"/>
    <w:rsid w:val="00D84000"/>
    <w:rsid w:val="00D8403C"/>
    <w:rsid w:val="00D8403D"/>
    <w:rsid w:val="00D84130"/>
    <w:rsid w:val="00D84134"/>
    <w:rsid w:val="00D84156"/>
    <w:rsid w:val="00D8415F"/>
    <w:rsid w:val="00D841A8"/>
    <w:rsid w:val="00D84207"/>
    <w:rsid w:val="00D8423B"/>
    <w:rsid w:val="00D84298"/>
    <w:rsid w:val="00D842BD"/>
    <w:rsid w:val="00D842C1"/>
    <w:rsid w:val="00D842C2"/>
    <w:rsid w:val="00D842FE"/>
    <w:rsid w:val="00D84333"/>
    <w:rsid w:val="00D84343"/>
    <w:rsid w:val="00D84358"/>
    <w:rsid w:val="00D84386"/>
    <w:rsid w:val="00D84404"/>
    <w:rsid w:val="00D84413"/>
    <w:rsid w:val="00D84431"/>
    <w:rsid w:val="00D8443C"/>
    <w:rsid w:val="00D8449C"/>
    <w:rsid w:val="00D844A3"/>
    <w:rsid w:val="00D844A7"/>
    <w:rsid w:val="00D844B0"/>
    <w:rsid w:val="00D84513"/>
    <w:rsid w:val="00D8457C"/>
    <w:rsid w:val="00D84641"/>
    <w:rsid w:val="00D8469B"/>
    <w:rsid w:val="00D846AA"/>
    <w:rsid w:val="00D846DD"/>
    <w:rsid w:val="00D846FC"/>
    <w:rsid w:val="00D847BD"/>
    <w:rsid w:val="00D847E8"/>
    <w:rsid w:val="00D84807"/>
    <w:rsid w:val="00D84832"/>
    <w:rsid w:val="00D84859"/>
    <w:rsid w:val="00D848D1"/>
    <w:rsid w:val="00D84902"/>
    <w:rsid w:val="00D84974"/>
    <w:rsid w:val="00D849B1"/>
    <w:rsid w:val="00D84AA9"/>
    <w:rsid w:val="00D84AAA"/>
    <w:rsid w:val="00D84B1A"/>
    <w:rsid w:val="00D84B2A"/>
    <w:rsid w:val="00D84B52"/>
    <w:rsid w:val="00D84B72"/>
    <w:rsid w:val="00D84C01"/>
    <w:rsid w:val="00D84C23"/>
    <w:rsid w:val="00D84C89"/>
    <w:rsid w:val="00D84C98"/>
    <w:rsid w:val="00D84CD1"/>
    <w:rsid w:val="00D84CE1"/>
    <w:rsid w:val="00D84D9B"/>
    <w:rsid w:val="00D84DD4"/>
    <w:rsid w:val="00D84DE4"/>
    <w:rsid w:val="00D84E3D"/>
    <w:rsid w:val="00D84E82"/>
    <w:rsid w:val="00D84EED"/>
    <w:rsid w:val="00D84F0A"/>
    <w:rsid w:val="00D84F1B"/>
    <w:rsid w:val="00D84F33"/>
    <w:rsid w:val="00D84F6C"/>
    <w:rsid w:val="00D84FF8"/>
    <w:rsid w:val="00D85012"/>
    <w:rsid w:val="00D85035"/>
    <w:rsid w:val="00D85063"/>
    <w:rsid w:val="00D85121"/>
    <w:rsid w:val="00D85150"/>
    <w:rsid w:val="00D85162"/>
    <w:rsid w:val="00D851AE"/>
    <w:rsid w:val="00D851D2"/>
    <w:rsid w:val="00D851E7"/>
    <w:rsid w:val="00D8524F"/>
    <w:rsid w:val="00D852B0"/>
    <w:rsid w:val="00D852EA"/>
    <w:rsid w:val="00D85325"/>
    <w:rsid w:val="00D8532E"/>
    <w:rsid w:val="00D8533B"/>
    <w:rsid w:val="00D853AC"/>
    <w:rsid w:val="00D853D9"/>
    <w:rsid w:val="00D853EE"/>
    <w:rsid w:val="00D854F5"/>
    <w:rsid w:val="00D85541"/>
    <w:rsid w:val="00D85590"/>
    <w:rsid w:val="00D85675"/>
    <w:rsid w:val="00D8567E"/>
    <w:rsid w:val="00D856C7"/>
    <w:rsid w:val="00D856F2"/>
    <w:rsid w:val="00D85704"/>
    <w:rsid w:val="00D85731"/>
    <w:rsid w:val="00D85734"/>
    <w:rsid w:val="00D85739"/>
    <w:rsid w:val="00D857A4"/>
    <w:rsid w:val="00D857A6"/>
    <w:rsid w:val="00D857C7"/>
    <w:rsid w:val="00D857C9"/>
    <w:rsid w:val="00D857E2"/>
    <w:rsid w:val="00D857EB"/>
    <w:rsid w:val="00D8581B"/>
    <w:rsid w:val="00D85828"/>
    <w:rsid w:val="00D8585A"/>
    <w:rsid w:val="00D8589E"/>
    <w:rsid w:val="00D858D8"/>
    <w:rsid w:val="00D85918"/>
    <w:rsid w:val="00D859A1"/>
    <w:rsid w:val="00D859E1"/>
    <w:rsid w:val="00D85A7A"/>
    <w:rsid w:val="00D85A93"/>
    <w:rsid w:val="00D85AF6"/>
    <w:rsid w:val="00D85B0D"/>
    <w:rsid w:val="00D85B12"/>
    <w:rsid w:val="00D85B32"/>
    <w:rsid w:val="00D85B36"/>
    <w:rsid w:val="00D85B96"/>
    <w:rsid w:val="00D85BA1"/>
    <w:rsid w:val="00D85BEE"/>
    <w:rsid w:val="00D85C4A"/>
    <w:rsid w:val="00D85C82"/>
    <w:rsid w:val="00D85CE5"/>
    <w:rsid w:val="00D85D09"/>
    <w:rsid w:val="00D85D0B"/>
    <w:rsid w:val="00D85D33"/>
    <w:rsid w:val="00D85DD1"/>
    <w:rsid w:val="00D85DF0"/>
    <w:rsid w:val="00D85E1A"/>
    <w:rsid w:val="00D85E76"/>
    <w:rsid w:val="00D85EBA"/>
    <w:rsid w:val="00D85ECC"/>
    <w:rsid w:val="00D85F2B"/>
    <w:rsid w:val="00D85F47"/>
    <w:rsid w:val="00D8605B"/>
    <w:rsid w:val="00D86078"/>
    <w:rsid w:val="00D8608E"/>
    <w:rsid w:val="00D860CA"/>
    <w:rsid w:val="00D860DA"/>
    <w:rsid w:val="00D860DB"/>
    <w:rsid w:val="00D8615D"/>
    <w:rsid w:val="00D861AE"/>
    <w:rsid w:val="00D861D8"/>
    <w:rsid w:val="00D861F5"/>
    <w:rsid w:val="00D86219"/>
    <w:rsid w:val="00D86264"/>
    <w:rsid w:val="00D862A7"/>
    <w:rsid w:val="00D8632F"/>
    <w:rsid w:val="00D86348"/>
    <w:rsid w:val="00D86355"/>
    <w:rsid w:val="00D8636B"/>
    <w:rsid w:val="00D8637A"/>
    <w:rsid w:val="00D86394"/>
    <w:rsid w:val="00D863AC"/>
    <w:rsid w:val="00D86426"/>
    <w:rsid w:val="00D864A0"/>
    <w:rsid w:val="00D86557"/>
    <w:rsid w:val="00D86693"/>
    <w:rsid w:val="00D866E2"/>
    <w:rsid w:val="00D86709"/>
    <w:rsid w:val="00D86715"/>
    <w:rsid w:val="00D8677D"/>
    <w:rsid w:val="00D867DB"/>
    <w:rsid w:val="00D867FF"/>
    <w:rsid w:val="00D86813"/>
    <w:rsid w:val="00D86877"/>
    <w:rsid w:val="00D86896"/>
    <w:rsid w:val="00D8689B"/>
    <w:rsid w:val="00D868CC"/>
    <w:rsid w:val="00D868E5"/>
    <w:rsid w:val="00D86903"/>
    <w:rsid w:val="00D8693C"/>
    <w:rsid w:val="00D8695F"/>
    <w:rsid w:val="00D86A13"/>
    <w:rsid w:val="00D86A67"/>
    <w:rsid w:val="00D86A93"/>
    <w:rsid w:val="00D86ABD"/>
    <w:rsid w:val="00D86AD9"/>
    <w:rsid w:val="00D86AF1"/>
    <w:rsid w:val="00D86B15"/>
    <w:rsid w:val="00D86BFC"/>
    <w:rsid w:val="00D86C12"/>
    <w:rsid w:val="00D86C54"/>
    <w:rsid w:val="00D86C6C"/>
    <w:rsid w:val="00D86CF5"/>
    <w:rsid w:val="00D86D59"/>
    <w:rsid w:val="00D86D7C"/>
    <w:rsid w:val="00D86D93"/>
    <w:rsid w:val="00D86DB5"/>
    <w:rsid w:val="00D86DE0"/>
    <w:rsid w:val="00D86DFE"/>
    <w:rsid w:val="00D86EE3"/>
    <w:rsid w:val="00D86EEC"/>
    <w:rsid w:val="00D86F2A"/>
    <w:rsid w:val="00D86F82"/>
    <w:rsid w:val="00D86FDD"/>
    <w:rsid w:val="00D86FF8"/>
    <w:rsid w:val="00D87004"/>
    <w:rsid w:val="00D8700A"/>
    <w:rsid w:val="00D87036"/>
    <w:rsid w:val="00D87037"/>
    <w:rsid w:val="00D87064"/>
    <w:rsid w:val="00D87163"/>
    <w:rsid w:val="00D871B6"/>
    <w:rsid w:val="00D871BE"/>
    <w:rsid w:val="00D871D1"/>
    <w:rsid w:val="00D87251"/>
    <w:rsid w:val="00D872BA"/>
    <w:rsid w:val="00D87329"/>
    <w:rsid w:val="00D87349"/>
    <w:rsid w:val="00D87355"/>
    <w:rsid w:val="00D8735C"/>
    <w:rsid w:val="00D8739C"/>
    <w:rsid w:val="00D8739F"/>
    <w:rsid w:val="00D873D2"/>
    <w:rsid w:val="00D874A5"/>
    <w:rsid w:val="00D874D1"/>
    <w:rsid w:val="00D874F7"/>
    <w:rsid w:val="00D875C3"/>
    <w:rsid w:val="00D87627"/>
    <w:rsid w:val="00D876E7"/>
    <w:rsid w:val="00D87701"/>
    <w:rsid w:val="00D87707"/>
    <w:rsid w:val="00D87787"/>
    <w:rsid w:val="00D877A8"/>
    <w:rsid w:val="00D878C5"/>
    <w:rsid w:val="00D87970"/>
    <w:rsid w:val="00D87973"/>
    <w:rsid w:val="00D87980"/>
    <w:rsid w:val="00D879B1"/>
    <w:rsid w:val="00D879C0"/>
    <w:rsid w:val="00D87A1F"/>
    <w:rsid w:val="00D87A5C"/>
    <w:rsid w:val="00D87A63"/>
    <w:rsid w:val="00D87AE5"/>
    <w:rsid w:val="00D87B01"/>
    <w:rsid w:val="00D87B22"/>
    <w:rsid w:val="00D87BB1"/>
    <w:rsid w:val="00D87BB8"/>
    <w:rsid w:val="00D87BBE"/>
    <w:rsid w:val="00D87C30"/>
    <w:rsid w:val="00D87C8C"/>
    <w:rsid w:val="00D87CE5"/>
    <w:rsid w:val="00D87D06"/>
    <w:rsid w:val="00D87D3A"/>
    <w:rsid w:val="00D87D48"/>
    <w:rsid w:val="00D87DBA"/>
    <w:rsid w:val="00D87DEA"/>
    <w:rsid w:val="00D87EAF"/>
    <w:rsid w:val="00D87F4D"/>
    <w:rsid w:val="00D87F75"/>
    <w:rsid w:val="00D87F81"/>
    <w:rsid w:val="00D87F9F"/>
    <w:rsid w:val="00D87FB9"/>
    <w:rsid w:val="00D90075"/>
    <w:rsid w:val="00D900C0"/>
    <w:rsid w:val="00D900D4"/>
    <w:rsid w:val="00D90123"/>
    <w:rsid w:val="00D90186"/>
    <w:rsid w:val="00D901A1"/>
    <w:rsid w:val="00D90228"/>
    <w:rsid w:val="00D902AF"/>
    <w:rsid w:val="00D902B5"/>
    <w:rsid w:val="00D902C1"/>
    <w:rsid w:val="00D90399"/>
    <w:rsid w:val="00D903BF"/>
    <w:rsid w:val="00D903F8"/>
    <w:rsid w:val="00D9040A"/>
    <w:rsid w:val="00D90468"/>
    <w:rsid w:val="00D9057C"/>
    <w:rsid w:val="00D9058B"/>
    <w:rsid w:val="00D905CE"/>
    <w:rsid w:val="00D90655"/>
    <w:rsid w:val="00D90684"/>
    <w:rsid w:val="00D90693"/>
    <w:rsid w:val="00D906AD"/>
    <w:rsid w:val="00D90786"/>
    <w:rsid w:val="00D907B7"/>
    <w:rsid w:val="00D907BE"/>
    <w:rsid w:val="00D907E5"/>
    <w:rsid w:val="00D907EC"/>
    <w:rsid w:val="00D907F5"/>
    <w:rsid w:val="00D9080E"/>
    <w:rsid w:val="00D90811"/>
    <w:rsid w:val="00D90927"/>
    <w:rsid w:val="00D90997"/>
    <w:rsid w:val="00D909BD"/>
    <w:rsid w:val="00D90A0B"/>
    <w:rsid w:val="00D90A1F"/>
    <w:rsid w:val="00D90AEC"/>
    <w:rsid w:val="00D90AF8"/>
    <w:rsid w:val="00D90B57"/>
    <w:rsid w:val="00D90B83"/>
    <w:rsid w:val="00D90BB0"/>
    <w:rsid w:val="00D90BE5"/>
    <w:rsid w:val="00D90C7D"/>
    <w:rsid w:val="00D90C86"/>
    <w:rsid w:val="00D90CDA"/>
    <w:rsid w:val="00D90CE6"/>
    <w:rsid w:val="00D90D55"/>
    <w:rsid w:val="00D90D7A"/>
    <w:rsid w:val="00D90D7E"/>
    <w:rsid w:val="00D90DC4"/>
    <w:rsid w:val="00D90E18"/>
    <w:rsid w:val="00D90E77"/>
    <w:rsid w:val="00D90E7E"/>
    <w:rsid w:val="00D90E81"/>
    <w:rsid w:val="00D90ECD"/>
    <w:rsid w:val="00D90F11"/>
    <w:rsid w:val="00D90F2B"/>
    <w:rsid w:val="00D90F87"/>
    <w:rsid w:val="00D90FDD"/>
    <w:rsid w:val="00D90FEF"/>
    <w:rsid w:val="00D91008"/>
    <w:rsid w:val="00D91013"/>
    <w:rsid w:val="00D91024"/>
    <w:rsid w:val="00D9102A"/>
    <w:rsid w:val="00D9102E"/>
    <w:rsid w:val="00D91037"/>
    <w:rsid w:val="00D9107C"/>
    <w:rsid w:val="00D91084"/>
    <w:rsid w:val="00D91092"/>
    <w:rsid w:val="00D910A6"/>
    <w:rsid w:val="00D910DE"/>
    <w:rsid w:val="00D910F3"/>
    <w:rsid w:val="00D91174"/>
    <w:rsid w:val="00D91175"/>
    <w:rsid w:val="00D9117F"/>
    <w:rsid w:val="00D911A3"/>
    <w:rsid w:val="00D911EE"/>
    <w:rsid w:val="00D911F6"/>
    <w:rsid w:val="00D911FA"/>
    <w:rsid w:val="00D9125B"/>
    <w:rsid w:val="00D9126A"/>
    <w:rsid w:val="00D91283"/>
    <w:rsid w:val="00D912AD"/>
    <w:rsid w:val="00D912DA"/>
    <w:rsid w:val="00D912FD"/>
    <w:rsid w:val="00D91315"/>
    <w:rsid w:val="00D913B8"/>
    <w:rsid w:val="00D913F1"/>
    <w:rsid w:val="00D913F5"/>
    <w:rsid w:val="00D9146F"/>
    <w:rsid w:val="00D91493"/>
    <w:rsid w:val="00D914BC"/>
    <w:rsid w:val="00D9151C"/>
    <w:rsid w:val="00D91536"/>
    <w:rsid w:val="00D915A0"/>
    <w:rsid w:val="00D915BC"/>
    <w:rsid w:val="00D915C7"/>
    <w:rsid w:val="00D915D0"/>
    <w:rsid w:val="00D9166E"/>
    <w:rsid w:val="00D916C7"/>
    <w:rsid w:val="00D916E0"/>
    <w:rsid w:val="00D916FE"/>
    <w:rsid w:val="00D91715"/>
    <w:rsid w:val="00D91716"/>
    <w:rsid w:val="00D9174E"/>
    <w:rsid w:val="00D917F0"/>
    <w:rsid w:val="00D91848"/>
    <w:rsid w:val="00D91886"/>
    <w:rsid w:val="00D91887"/>
    <w:rsid w:val="00D9188E"/>
    <w:rsid w:val="00D918AC"/>
    <w:rsid w:val="00D918C4"/>
    <w:rsid w:val="00D918D4"/>
    <w:rsid w:val="00D91916"/>
    <w:rsid w:val="00D91961"/>
    <w:rsid w:val="00D91985"/>
    <w:rsid w:val="00D9198C"/>
    <w:rsid w:val="00D91A23"/>
    <w:rsid w:val="00D91A30"/>
    <w:rsid w:val="00D91A33"/>
    <w:rsid w:val="00D91AC4"/>
    <w:rsid w:val="00D91AD0"/>
    <w:rsid w:val="00D91AD7"/>
    <w:rsid w:val="00D91AEA"/>
    <w:rsid w:val="00D91B8B"/>
    <w:rsid w:val="00D91BBA"/>
    <w:rsid w:val="00D91C1B"/>
    <w:rsid w:val="00D91C1D"/>
    <w:rsid w:val="00D91C20"/>
    <w:rsid w:val="00D91C4B"/>
    <w:rsid w:val="00D91C61"/>
    <w:rsid w:val="00D91CAE"/>
    <w:rsid w:val="00D91CCF"/>
    <w:rsid w:val="00D91D00"/>
    <w:rsid w:val="00D91D22"/>
    <w:rsid w:val="00D91D33"/>
    <w:rsid w:val="00D91D50"/>
    <w:rsid w:val="00D91D93"/>
    <w:rsid w:val="00D91D9C"/>
    <w:rsid w:val="00D91DF7"/>
    <w:rsid w:val="00D91E3E"/>
    <w:rsid w:val="00D91E9B"/>
    <w:rsid w:val="00D91F24"/>
    <w:rsid w:val="00D91F27"/>
    <w:rsid w:val="00D91F52"/>
    <w:rsid w:val="00D91F9D"/>
    <w:rsid w:val="00D91FBE"/>
    <w:rsid w:val="00D91FC0"/>
    <w:rsid w:val="00D91FF5"/>
    <w:rsid w:val="00D92075"/>
    <w:rsid w:val="00D920A4"/>
    <w:rsid w:val="00D9213C"/>
    <w:rsid w:val="00D92178"/>
    <w:rsid w:val="00D92197"/>
    <w:rsid w:val="00D921F9"/>
    <w:rsid w:val="00D9220F"/>
    <w:rsid w:val="00D92221"/>
    <w:rsid w:val="00D92224"/>
    <w:rsid w:val="00D92262"/>
    <w:rsid w:val="00D922C0"/>
    <w:rsid w:val="00D922C1"/>
    <w:rsid w:val="00D922D4"/>
    <w:rsid w:val="00D9232E"/>
    <w:rsid w:val="00D92370"/>
    <w:rsid w:val="00D92377"/>
    <w:rsid w:val="00D92391"/>
    <w:rsid w:val="00D923A2"/>
    <w:rsid w:val="00D923BC"/>
    <w:rsid w:val="00D923DB"/>
    <w:rsid w:val="00D923E2"/>
    <w:rsid w:val="00D924D0"/>
    <w:rsid w:val="00D924F4"/>
    <w:rsid w:val="00D92558"/>
    <w:rsid w:val="00D9258A"/>
    <w:rsid w:val="00D925C6"/>
    <w:rsid w:val="00D925D6"/>
    <w:rsid w:val="00D925EF"/>
    <w:rsid w:val="00D9261F"/>
    <w:rsid w:val="00D92627"/>
    <w:rsid w:val="00D926AE"/>
    <w:rsid w:val="00D926B7"/>
    <w:rsid w:val="00D926CF"/>
    <w:rsid w:val="00D926F0"/>
    <w:rsid w:val="00D926F8"/>
    <w:rsid w:val="00D92762"/>
    <w:rsid w:val="00D927BA"/>
    <w:rsid w:val="00D9281F"/>
    <w:rsid w:val="00D9283F"/>
    <w:rsid w:val="00D928D1"/>
    <w:rsid w:val="00D928D6"/>
    <w:rsid w:val="00D92911"/>
    <w:rsid w:val="00D92930"/>
    <w:rsid w:val="00D92953"/>
    <w:rsid w:val="00D929BC"/>
    <w:rsid w:val="00D92A19"/>
    <w:rsid w:val="00D92A78"/>
    <w:rsid w:val="00D92A88"/>
    <w:rsid w:val="00D92A95"/>
    <w:rsid w:val="00D92AE6"/>
    <w:rsid w:val="00D92B1E"/>
    <w:rsid w:val="00D92B76"/>
    <w:rsid w:val="00D92B78"/>
    <w:rsid w:val="00D92BAE"/>
    <w:rsid w:val="00D92BBA"/>
    <w:rsid w:val="00D92BD5"/>
    <w:rsid w:val="00D92CBB"/>
    <w:rsid w:val="00D92CD4"/>
    <w:rsid w:val="00D92CE8"/>
    <w:rsid w:val="00D92D61"/>
    <w:rsid w:val="00D92D66"/>
    <w:rsid w:val="00D92D94"/>
    <w:rsid w:val="00D92E0E"/>
    <w:rsid w:val="00D92E12"/>
    <w:rsid w:val="00D92E9B"/>
    <w:rsid w:val="00D92EAA"/>
    <w:rsid w:val="00D92EE2"/>
    <w:rsid w:val="00D92EF8"/>
    <w:rsid w:val="00D92F0F"/>
    <w:rsid w:val="00D92F72"/>
    <w:rsid w:val="00D92F84"/>
    <w:rsid w:val="00D92FB9"/>
    <w:rsid w:val="00D93077"/>
    <w:rsid w:val="00D93091"/>
    <w:rsid w:val="00D930D6"/>
    <w:rsid w:val="00D930D9"/>
    <w:rsid w:val="00D930FB"/>
    <w:rsid w:val="00D93138"/>
    <w:rsid w:val="00D93164"/>
    <w:rsid w:val="00D931CA"/>
    <w:rsid w:val="00D931CD"/>
    <w:rsid w:val="00D9320D"/>
    <w:rsid w:val="00D9320E"/>
    <w:rsid w:val="00D93219"/>
    <w:rsid w:val="00D93225"/>
    <w:rsid w:val="00D932B3"/>
    <w:rsid w:val="00D932DB"/>
    <w:rsid w:val="00D932E2"/>
    <w:rsid w:val="00D93300"/>
    <w:rsid w:val="00D93376"/>
    <w:rsid w:val="00D9338C"/>
    <w:rsid w:val="00D93395"/>
    <w:rsid w:val="00D933AA"/>
    <w:rsid w:val="00D93441"/>
    <w:rsid w:val="00D93450"/>
    <w:rsid w:val="00D934C7"/>
    <w:rsid w:val="00D934E1"/>
    <w:rsid w:val="00D93583"/>
    <w:rsid w:val="00D93586"/>
    <w:rsid w:val="00D935D7"/>
    <w:rsid w:val="00D93603"/>
    <w:rsid w:val="00D93661"/>
    <w:rsid w:val="00D936A1"/>
    <w:rsid w:val="00D936A5"/>
    <w:rsid w:val="00D936F5"/>
    <w:rsid w:val="00D93844"/>
    <w:rsid w:val="00D9385B"/>
    <w:rsid w:val="00D9386A"/>
    <w:rsid w:val="00D938AE"/>
    <w:rsid w:val="00D938BC"/>
    <w:rsid w:val="00D938BE"/>
    <w:rsid w:val="00D938C7"/>
    <w:rsid w:val="00D9390D"/>
    <w:rsid w:val="00D93988"/>
    <w:rsid w:val="00D939B8"/>
    <w:rsid w:val="00D93AAB"/>
    <w:rsid w:val="00D93AE6"/>
    <w:rsid w:val="00D93B54"/>
    <w:rsid w:val="00D93B90"/>
    <w:rsid w:val="00D93BA8"/>
    <w:rsid w:val="00D93BB9"/>
    <w:rsid w:val="00D93BBF"/>
    <w:rsid w:val="00D93C1A"/>
    <w:rsid w:val="00D93C86"/>
    <w:rsid w:val="00D93C8B"/>
    <w:rsid w:val="00D93D19"/>
    <w:rsid w:val="00D93D20"/>
    <w:rsid w:val="00D93D66"/>
    <w:rsid w:val="00D93D6B"/>
    <w:rsid w:val="00D93D76"/>
    <w:rsid w:val="00D93DAE"/>
    <w:rsid w:val="00D93DBC"/>
    <w:rsid w:val="00D93DC4"/>
    <w:rsid w:val="00D93E0F"/>
    <w:rsid w:val="00D93E3B"/>
    <w:rsid w:val="00D93F32"/>
    <w:rsid w:val="00D93F4E"/>
    <w:rsid w:val="00D9401A"/>
    <w:rsid w:val="00D9405C"/>
    <w:rsid w:val="00D94064"/>
    <w:rsid w:val="00D9411D"/>
    <w:rsid w:val="00D9425B"/>
    <w:rsid w:val="00D9425C"/>
    <w:rsid w:val="00D942D3"/>
    <w:rsid w:val="00D942E9"/>
    <w:rsid w:val="00D94334"/>
    <w:rsid w:val="00D9435A"/>
    <w:rsid w:val="00D94367"/>
    <w:rsid w:val="00D943A0"/>
    <w:rsid w:val="00D943D8"/>
    <w:rsid w:val="00D94418"/>
    <w:rsid w:val="00D94463"/>
    <w:rsid w:val="00D9449E"/>
    <w:rsid w:val="00D94539"/>
    <w:rsid w:val="00D94572"/>
    <w:rsid w:val="00D94589"/>
    <w:rsid w:val="00D945F1"/>
    <w:rsid w:val="00D9460B"/>
    <w:rsid w:val="00D94616"/>
    <w:rsid w:val="00D94639"/>
    <w:rsid w:val="00D9465E"/>
    <w:rsid w:val="00D9467F"/>
    <w:rsid w:val="00D94694"/>
    <w:rsid w:val="00D946C6"/>
    <w:rsid w:val="00D946FA"/>
    <w:rsid w:val="00D94731"/>
    <w:rsid w:val="00D94782"/>
    <w:rsid w:val="00D9479C"/>
    <w:rsid w:val="00D947DE"/>
    <w:rsid w:val="00D9484B"/>
    <w:rsid w:val="00D948A6"/>
    <w:rsid w:val="00D948AF"/>
    <w:rsid w:val="00D948C1"/>
    <w:rsid w:val="00D948CE"/>
    <w:rsid w:val="00D948F1"/>
    <w:rsid w:val="00D948F5"/>
    <w:rsid w:val="00D94909"/>
    <w:rsid w:val="00D94955"/>
    <w:rsid w:val="00D94989"/>
    <w:rsid w:val="00D949B9"/>
    <w:rsid w:val="00D949C0"/>
    <w:rsid w:val="00D949D0"/>
    <w:rsid w:val="00D94A62"/>
    <w:rsid w:val="00D94AA6"/>
    <w:rsid w:val="00D94AB7"/>
    <w:rsid w:val="00D94B06"/>
    <w:rsid w:val="00D94B0C"/>
    <w:rsid w:val="00D94B47"/>
    <w:rsid w:val="00D94B9B"/>
    <w:rsid w:val="00D94BAF"/>
    <w:rsid w:val="00D94CB0"/>
    <w:rsid w:val="00D94CBA"/>
    <w:rsid w:val="00D94CD5"/>
    <w:rsid w:val="00D94DC7"/>
    <w:rsid w:val="00D94DF4"/>
    <w:rsid w:val="00D94E0D"/>
    <w:rsid w:val="00D94E29"/>
    <w:rsid w:val="00D94E2E"/>
    <w:rsid w:val="00D94E44"/>
    <w:rsid w:val="00D94E57"/>
    <w:rsid w:val="00D94E87"/>
    <w:rsid w:val="00D94E9E"/>
    <w:rsid w:val="00D94EC2"/>
    <w:rsid w:val="00D94FC6"/>
    <w:rsid w:val="00D94FE3"/>
    <w:rsid w:val="00D94FFD"/>
    <w:rsid w:val="00D95001"/>
    <w:rsid w:val="00D9506E"/>
    <w:rsid w:val="00D9515D"/>
    <w:rsid w:val="00D9516E"/>
    <w:rsid w:val="00D95177"/>
    <w:rsid w:val="00D9517F"/>
    <w:rsid w:val="00D951A4"/>
    <w:rsid w:val="00D95254"/>
    <w:rsid w:val="00D952F3"/>
    <w:rsid w:val="00D95316"/>
    <w:rsid w:val="00D95362"/>
    <w:rsid w:val="00D95364"/>
    <w:rsid w:val="00D95372"/>
    <w:rsid w:val="00D95380"/>
    <w:rsid w:val="00D953A9"/>
    <w:rsid w:val="00D95419"/>
    <w:rsid w:val="00D95495"/>
    <w:rsid w:val="00D954A8"/>
    <w:rsid w:val="00D95520"/>
    <w:rsid w:val="00D95525"/>
    <w:rsid w:val="00D95578"/>
    <w:rsid w:val="00D955AF"/>
    <w:rsid w:val="00D955C6"/>
    <w:rsid w:val="00D95621"/>
    <w:rsid w:val="00D95649"/>
    <w:rsid w:val="00D9564D"/>
    <w:rsid w:val="00D95653"/>
    <w:rsid w:val="00D9566F"/>
    <w:rsid w:val="00D9567A"/>
    <w:rsid w:val="00D95690"/>
    <w:rsid w:val="00D956D4"/>
    <w:rsid w:val="00D956D5"/>
    <w:rsid w:val="00D95705"/>
    <w:rsid w:val="00D9570D"/>
    <w:rsid w:val="00D95769"/>
    <w:rsid w:val="00D9588C"/>
    <w:rsid w:val="00D958C2"/>
    <w:rsid w:val="00D959B7"/>
    <w:rsid w:val="00D95A35"/>
    <w:rsid w:val="00D95A58"/>
    <w:rsid w:val="00D95A68"/>
    <w:rsid w:val="00D95A7A"/>
    <w:rsid w:val="00D95ABC"/>
    <w:rsid w:val="00D95AE4"/>
    <w:rsid w:val="00D95B74"/>
    <w:rsid w:val="00D95BD2"/>
    <w:rsid w:val="00D95C64"/>
    <w:rsid w:val="00D95C9F"/>
    <w:rsid w:val="00D95CB5"/>
    <w:rsid w:val="00D95CBD"/>
    <w:rsid w:val="00D95CF0"/>
    <w:rsid w:val="00D95CF4"/>
    <w:rsid w:val="00D95D20"/>
    <w:rsid w:val="00D95D9B"/>
    <w:rsid w:val="00D95DB1"/>
    <w:rsid w:val="00D95DD0"/>
    <w:rsid w:val="00D95E1F"/>
    <w:rsid w:val="00D95E3F"/>
    <w:rsid w:val="00D95F19"/>
    <w:rsid w:val="00D95F1E"/>
    <w:rsid w:val="00D95FCB"/>
    <w:rsid w:val="00D96000"/>
    <w:rsid w:val="00D9607F"/>
    <w:rsid w:val="00D960EE"/>
    <w:rsid w:val="00D960F3"/>
    <w:rsid w:val="00D9621D"/>
    <w:rsid w:val="00D96268"/>
    <w:rsid w:val="00D9626C"/>
    <w:rsid w:val="00D96318"/>
    <w:rsid w:val="00D9639C"/>
    <w:rsid w:val="00D963A3"/>
    <w:rsid w:val="00D963C7"/>
    <w:rsid w:val="00D96430"/>
    <w:rsid w:val="00D96466"/>
    <w:rsid w:val="00D964C7"/>
    <w:rsid w:val="00D964D4"/>
    <w:rsid w:val="00D96564"/>
    <w:rsid w:val="00D965CD"/>
    <w:rsid w:val="00D96603"/>
    <w:rsid w:val="00D96645"/>
    <w:rsid w:val="00D9677D"/>
    <w:rsid w:val="00D96785"/>
    <w:rsid w:val="00D967B5"/>
    <w:rsid w:val="00D96828"/>
    <w:rsid w:val="00D96839"/>
    <w:rsid w:val="00D96871"/>
    <w:rsid w:val="00D968A2"/>
    <w:rsid w:val="00D968D2"/>
    <w:rsid w:val="00D968E0"/>
    <w:rsid w:val="00D9692B"/>
    <w:rsid w:val="00D9694F"/>
    <w:rsid w:val="00D96967"/>
    <w:rsid w:val="00D96979"/>
    <w:rsid w:val="00D96988"/>
    <w:rsid w:val="00D969EB"/>
    <w:rsid w:val="00D969F9"/>
    <w:rsid w:val="00D969FE"/>
    <w:rsid w:val="00D96A0E"/>
    <w:rsid w:val="00D96B59"/>
    <w:rsid w:val="00D96B9B"/>
    <w:rsid w:val="00D96C35"/>
    <w:rsid w:val="00D96C6F"/>
    <w:rsid w:val="00D96D04"/>
    <w:rsid w:val="00D96D13"/>
    <w:rsid w:val="00D96DDA"/>
    <w:rsid w:val="00D96DF4"/>
    <w:rsid w:val="00D96E56"/>
    <w:rsid w:val="00D96E64"/>
    <w:rsid w:val="00D96EFE"/>
    <w:rsid w:val="00D96F18"/>
    <w:rsid w:val="00D96F43"/>
    <w:rsid w:val="00D96F9A"/>
    <w:rsid w:val="00D9705A"/>
    <w:rsid w:val="00D970D3"/>
    <w:rsid w:val="00D9715D"/>
    <w:rsid w:val="00D97173"/>
    <w:rsid w:val="00D97186"/>
    <w:rsid w:val="00D971D7"/>
    <w:rsid w:val="00D97225"/>
    <w:rsid w:val="00D9722E"/>
    <w:rsid w:val="00D97233"/>
    <w:rsid w:val="00D97260"/>
    <w:rsid w:val="00D97263"/>
    <w:rsid w:val="00D972A1"/>
    <w:rsid w:val="00D972D7"/>
    <w:rsid w:val="00D972F2"/>
    <w:rsid w:val="00D9732D"/>
    <w:rsid w:val="00D9734F"/>
    <w:rsid w:val="00D97360"/>
    <w:rsid w:val="00D973F6"/>
    <w:rsid w:val="00D973FA"/>
    <w:rsid w:val="00D974A0"/>
    <w:rsid w:val="00D974AF"/>
    <w:rsid w:val="00D9752A"/>
    <w:rsid w:val="00D9753B"/>
    <w:rsid w:val="00D97557"/>
    <w:rsid w:val="00D9755A"/>
    <w:rsid w:val="00D97562"/>
    <w:rsid w:val="00D97611"/>
    <w:rsid w:val="00D97616"/>
    <w:rsid w:val="00D97625"/>
    <w:rsid w:val="00D97626"/>
    <w:rsid w:val="00D97658"/>
    <w:rsid w:val="00D976C9"/>
    <w:rsid w:val="00D976E1"/>
    <w:rsid w:val="00D97704"/>
    <w:rsid w:val="00D97767"/>
    <w:rsid w:val="00D977A3"/>
    <w:rsid w:val="00D977DB"/>
    <w:rsid w:val="00D97884"/>
    <w:rsid w:val="00D978C3"/>
    <w:rsid w:val="00D978D0"/>
    <w:rsid w:val="00D97925"/>
    <w:rsid w:val="00D97972"/>
    <w:rsid w:val="00D97979"/>
    <w:rsid w:val="00D97A04"/>
    <w:rsid w:val="00D97A31"/>
    <w:rsid w:val="00D97AAC"/>
    <w:rsid w:val="00D97B1E"/>
    <w:rsid w:val="00D97B90"/>
    <w:rsid w:val="00D97BB1"/>
    <w:rsid w:val="00D97BE6"/>
    <w:rsid w:val="00D97C1B"/>
    <w:rsid w:val="00D97C9A"/>
    <w:rsid w:val="00D97D30"/>
    <w:rsid w:val="00D97D3A"/>
    <w:rsid w:val="00D97D68"/>
    <w:rsid w:val="00D97D8D"/>
    <w:rsid w:val="00D97DA4"/>
    <w:rsid w:val="00D97DCE"/>
    <w:rsid w:val="00D97E3B"/>
    <w:rsid w:val="00D97E4B"/>
    <w:rsid w:val="00D97EBF"/>
    <w:rsid w:val="00D97ED7"/>
    <w:rsid w:val="00D97EE2"/>
    <w:rsid w:val="00D97F42"/>
    <w:rsid w:val="00D97F6E"/>
    <w:rsid w:val="00D97F72"/>
    <w:rsid w:val="00D97FCF"/>
    <w:rsid w:val="00D97FF1"/>
    <w:rsid w:val="00D99628"/>
    <w:rsid w:val="00DA0004"/>
    <w:rsid w:val="00DA0060"/>
    <w:rsid w:val="00DA007F"/>
    <w:rsid w:val="00DA0105"/>
    <w:rsid w:val="00DA013F"/>
    <w:rsid w:val="00DA016F"/>
    <w:rsid w:val="00DA0174"/>
    <w:rsid w:val="00DA017F"/>
    <w:rsid w:val="00DA02A7"/>
    <w:rsid w:val="00DA030B"/>
    <w:rsid w:val="00DA0318"/>
    <w:rsid w:val="00DA0336"/>
    <w:rsid w:val="00DA036C"/>
    <w:rsid w:val="00DA0378"/>
    <w:rsid w:val="00DA03AF"/>
    <w:rsid w:val="00DA03CE"/>
    <w:rsid w:val="00DA040A"/>
    <w:rsid w:val="00DA047C"/>
    <w:rsid w:val="00DA04B1"/>
    <w:rsid w:val="00DA04C4"/>
    <w:rsid w:val="00DA04F2"/>
    <w:rsid w:val="00DA0510"/>
    <w:rsid w:val="00DA0544"/>
    <w:rsid w:val="00DA05E9"/>
    <w:rsid w:val="00DA0679"/>
    <w:rsid w:val="00DA0695"/>
    <w:rsid w:val="00DA06D3"/>
    <w:rsid w:val="00DA075A"/>
    <w:rsid w:val="00DA082F"/>
    <w:rsid w:val="00DA083A"/>
    <w:rsid w:val="00DA085F"/>
    <w:rsid w:val="00DA0873"/>
    <w:rsid w:val="00DA08E7"/>
    <w:rsid w:val="00DA096D"/>
    <w:rsid w:val="00DA0983"/>
    <w:rsid w:val="00DA0992"/>
    <w:rsid w:val="00DA0A8C"/>
    <w:rsid w:val="00DA0B29"/>
    <w:rsid w:val="00DA0BBF"/>
    <w:rsid w:val="00DA0BCE"/>
    <w:rsid w:val="00DA0BF6"/>
    <w:rsid w:val="00DA0C17"/>
    <w:rsid w:val="00DA0C4A"/>
    <w:rsid w:val="00DA0C7A"/>
    <w:rsid w:val="00DA0C9C"/>
    <w:rsid w:val="00DA0CB0"/>
    <w:rsid w:val="00DA0CC2"/>
    <w:rsid w:val="00DA0D17"/>
    <w:rsid w:val="00DA0D72"/>
    <w:rsid w:val="00DA0D84"/>
    <w:rsid w:val="00DA0E37"/>
    <w:rsid w:val="00DA0E5C"/>
    <w:rsid w:val="00DA0E7C"/>
    <w:rsid w:val="00DA0E80"/>
    <w:rsid w:val="00DA0EAA"/>
    <w:rsid w:val="00DA0EEA"/>
    <w:rsid w:val="00DA0EFE"/>
    <w:rsid w:val="00DA0F61"/>
    <w:rsid w:val="00DA0FBF"/>
    <w:rsid w:val="00DA0FE6"/>
    <w:rsid w:val="00DA104D"/>
    <w:rsid w:val="00DA106A"/>
    <w:rsid w:val="00DA1147"/>
    <w:rsid w:val="00DA114D"/>
    <w:rsid w:val="00DA1163"/>
    <w:rsid w:val="00DA116D"/>
    <w:rsid w:val="00DA1175"/>
    <w:rsid w:val="00DA1179"/>
    <w:rsid w:val="00DA1291"/>
    <w:rsid w:val="00DA12AD"/>
    <w:rsid w:val="00DA12BD"/>
    <w:rsid w:val="00DA13A1"/>
    <w:rsid w:val="00DA13AA"/>
    <w:rsid w:val="00DA13F9"/>
    <w:rsid w:val="00DA1411"/>
    <w:rsid w:val="00DA145E"/>
    <w:rsid w:val="00DA14AF"/>
    <w:rsid w:val="00DA1580"/>
    <w:rsid w:val="00DA1581"/>
    <w:rsid w:val="00DA15C6"/>
    <w:rsid w:val="00DA15E2"/>
    <w:rsid w:val="00DA15E6"/>
    <w:rsid w:val="00DA15EC"/>
    <w:rsid w:val="00DA15EF"/>
    <w:rsid w:val="00DA1627"/>
    <w:rsid w:val="00DA1651"/>
    <w:rsid w:val="00DA165D"/>
    <w:rsid w:val="00DA1678"/>
    <w:rsid w:val="00DA1679"/>
    <w:rsid w:val="00DA167A"/>
    <w:rsid w:val="00DA16F1"/>
    <w:rsid w:val="00DA171A"/>
    <w:rsid w:val="00DA1744"/>
    <w:rsid w:val="00DA17CB"/>
    <w:rsid w:val="00DA190D"/>
    <w:rsid w:val="00DA1926"/>
    <w:rsid w:val="00DA1937"/>
    <w:rsid w:val="00DA1944"/>
    <w:rsid w:val="00DA195C"/>
    <w:rsid w:val="00DA197B"/>
    <w:rsid w:val="00DA1997"/>
    <w:rsid w:val="00DA1999"/>
    <w:rsid w:val="00DA19D1"/>
    <w:rsid w:val="00DA1A1D"/>
    <w:rsid w:val="00DA1A43"/>
    <w:rsid w:val="00DA1B21"/>
    <w:rsid w:val="00DA1B28"/>
    <w:rsid w:val="00DA1B74"/>
    <w:rsid w:val="00DA1B77"/>
    <w:rsid w:val="00DA1BDB"/>
    <w:rsid w:val="00DA1BEF"/>
    <w:rsid w:val="00DA1C1B"/>
    <w:rsid w:val="00DA1C2D"/>
    <w:rsid w:val="00DA1C55"/>
    <w:rsid w:val="00DA1C90"/>
    <w:rsid w:val="00DA1CDB"/>
    <w:rsid w:val="00DA1D2E"/>
    <w:rsid w:val="00DA1D35"/>
    <w:rsid w:val="00DA1D5A"/>
    <w:rsid w:val="00DA1D87"/>
    <w:rsid w:val="00DA1E7E"/>
    <w:rsid w:val="00DA1E82"/>
    <w:rsid w:val="00DA1E92"/>
    <w:rsid w:val="00DA1E9D"/>
    <w:rsid w:val="00DA1EAD"/>
    <w:rsid w:val="00DA1EC1"/>
    <w:rsid w:val="00DA1EC9"/>
    <w:rsid w:val="00DA1EDC"/>
    <w:rsid w:val="00DA1F96"/>
    <w:rsid w:val="00DA1FAD"/>
    <w:rsid w:val="00DA1FBE"/>
    <w:rsid w:val="00DA1FCF"/>
    <w:rsid w:val="00DA1FFA"/>
    <w:rsid w:val="00DA2007"/>
    <w:rsid w:val="00DA2011"/>
    <w:rsid w:val="00DA2024"/>
    <w:rsid w:val="00DA209C"/>
    <w:rsid w:val="00DA20B2"/>
    <w:rsid w:val="00DA20C5"/>
    <w:rsid w:val="00DA2130"/>
    <w:rsid w:val="00DA2137"/>
    <w:rsid w:val="00DA2152"/>
    <w:rsid w:val="00DA2171"/>
    <w:rsid w:val="00DA218F"/>
    <w:rsid w:val="00DA21D3"/>
    <w:rsid w:val="00DA222F"/>
    <w:rsid w:val="00DA223B"/>
    <w:rsid w:val="00DA2253"/>
    <w:rsid w:val="00DA22A8"/>
    <w:rsid w:val="00DA231B"/>
    <w:rsid w:val="00DA2351"/>
    <w:rsid w:val="00DA2357"/>
    <w:rsid w:val="00DA2365"/>
    <w:rsid w:val="00DA23C1"/>
    <w:rsid w:val="00DA23EF"/>
    <w:rsid w:val="00DA24D6"/>
    <w:rsid w:val="00DA2565"/>
    <w:rsid w:val="00DA25AF"/>
    <w:rsid w:val="00DA25BF"/>
    <w:rsid w:val="00DA25CE"/>
    <w:rsid w:val="00DA2600"/>
    <w:rsid w:val="00DA265F"/>
    <w:rsid w:val="00DA266D"/>
    <w:rsid w:val="00DA26E6"/>
    <w:rsid w:val="00DA26FD"/>
    <w:rsid w:val="00DA27BD"/>
    <w:rsid w:val="00DA27C1"/>
    <w:rsid w:val="00DA2846"/>
    <w:rsid w:val="00DA2876"/>
    <w:rsid w:val="00DA28B1"/>
    <w:rsid w:val="00DA291E"/>
    <w:rsid w:val="00DA294A"/>
    <w:rsid w:val="00DA2973"/>
    <w:rsid w:val="00DA297B"/>
    <w:rsid w:val="00DA2991"/>
    <w:rsid w:val="00DA29C0"/>
    <w:rsid w:val="00DA29DE"/>
    <w:rsid w:val="00DA2A2E"/>
    <w:rsid w:val="00DA2A5A"/>
    <w:rsid w:val="00DA2B22"/>
    <w:rsid w:val="00DA2B6B"/>
    <w:rsid w:val="00DA2B76"/>
    <w:rsid w:val="00DA2B8F"/>
    <w:rsid w:val="00DA2BAA"/>
    <w:rsid w:val="00DA2C04"/>
    <w:rsid w:val="00DA2C05"/>
    <w:rsid w:val="00DA2C56"/>
    <w:rsid w:val="00DA2C7C"/>
    <w:rsid w:val="00DA2C86"/>
    <w:rsid w:val="00DA2C89"/>
    <w:rsid w:val="00DA2CEE"/>
    <w:rsid w:val="00DA2D01"/>
    <w:rsid w:val="00DA2D1A"/>
    <w:rsid w:val="00DA2D3C"/>
    <w:rsid w:val="00DA2D41"/>
    <w:rsid w:val="00DA2DCB"/>
    <w:rsid w:val="00DA2EC1"/>
    <w:rsid w:val="00DA2EC4"/>
    <w:rsid w:val="00DA2EF5"/>
    <w:rsid w:val="00DA2F79"/>
    <w:rsid w:val="00DA3003"/>
    <w:rsid w:val="00DA3064"/>
    <w:rsid w:val="00DA30DC"/>
    <w:rsid w:val="00DA30E6"/>
    <w:rsid w:val="00DA3149"/>
    <w:rsid w:val="00DA3193"/>
    <w:rsid w:val="00DA31E0"/>
    <w:rsid w:val="00DA31EF"/>
    <w:rsid w:val="00DA3250"/>
    <w:rsid w:val="00DA3297"/>
    <w:rsid w:val="00DA329B"/>
    <w:rsid w:val="00DA32A7"/>
    <w:rsid w:val="00DA331A"/>
    <w:rsid w:val="00DA3378"/>
    <w:rsid w:val="00DA33B6"/>
    <w:rsid w:val="00DA3418"/>
    <w:rsid w:val="00DA3424"/>
    <w:rsid w:val="00DA3449"/>
    <w:rsid w:val="00DA3456"/>
    <w:rsid w:val="00DA3458"/>
    <w:rsid w:val="00DA34B4"/>
    <w:rsid w:val="00DA34F6"/>
    <w:rsid w:val="00DA351F"/>
    <w:rsid w:val="00DA3536"/>
    <w:rsid w:val="00DA35B3"/>
    <w:rsid w:val="00DA3643"/>
    <w:rsid w:val="00DA3647"/>
    <w:rsid w:val="00DA364D"/>
    <w:rsid w:val="00DA366E"/>
    <w:rsid w:val="00DA369A"/>
    <w:rsid w:val="00DA375A"/>
    <w:rsid w:val="00DA3766"/>
    <w:rsid w:val="00DA3852"/>
    <w:rsid w:val="00DA3877"/>
    <w:rsid w:val="00DA38F6"/>
    <w:rsid w:val="00DA39D6"/>
    <w:rsid w:val="00DA3A01"/>
    <w:rsid w:val="00DA3A28"/>
    <w:rsid w:val="00DA3A29"/>
    <w:rsid w:val="00DA3A7D"/>
    <w:rsid w:val="00DA3AD0"/>
    <w:rsid w:val="00DA3AD4"/>
    <w:rsid w:val="00DA3B03"/>
    <w:rsid w:val="00DA3B40"/>
    <w:rsid w:val="00DA3B47"/>
    <w:rsid w:val="00DA3B5E"/>
    <w:rsid w:val="00DA3BCA"/>
    <w:rsid w:val="00DA3C70"/>
    <w:rsid w:val="00DA3D52"/>
    <w:rsid w:val="00DA3D7D"/>
    <w:rsid w:val="00DA3D81"/>
    <w:rsid w:val="00DA3DA6"/>
    <w:rsid w:val="00DA3E4E"/>
    <w:rsid w:val="00DA3E63"/>
    <w:rsid w:val="00DA3E82"/>
    <w:rsid w:val="00DA3E86"/>
    <w:rsid w:val="00DA3F23"/>
    <w:rsid w:val="00DA3F3B"/>
    <w:rsid w:val="00DA3F7A"/>
    <w:rsid w:val="00DA3F7C"/>
    <w:rsid w:val="00DA401D"/>
    <w:rsid w:val="00DA4068"/>
    <w:rsid w:val="00DA4082"/>
    <w:rsid w:val="00DA40C8"/>
    <w:rsid w:val="00DA40DF"/>
    <w:rsid w:val="00DA4176"/>
    <w:rsid w:val="00DA41B8"/>
    <w:rsid w:val="00DA4201"/>
    <w:rsid w:val="00DA42AE"/>
    <w:rsid w:val="00DA430B"/>
    <w:rsid w:val="00DA4316"/>
    <w:rsid w:val="00DA4365"/>
    <w:rsid w:val="00DA4399"/>
    <w:rsid w:val="00DA439B"/>
    <w:rsid w:val="00DA43B2"/>
    <w:rsid w:val="00DA43EE"/>
    <w:rsid w:val="00DA43FB"/>
    <w:rsid w:val="00DA4481"/>
    <w:rsid w:val="00DA44CA"/>
    <w:rsid w:val="00DA44D1"/>
    <w:rsid w:val="00DA44D2"/>
    <w:rsid w:val="00DA4539"/>
    <w:rsid w:val="00DA4555"/>
    <w:rsid w:val="00DA4576"/>
    <w:rsid w:val="00DA45D9"/>
    <w:rsid w:val="00DA466A"/>
    <w:rsid w:val="00DA46AB"/>
    <w:rsid w:val="00DA46C2"/>
    <w:rsid w:val="00DA471D"/>
    <w:rsid w:val="00DA474A"/>
    <w:rsid w:val="00DA474E"/>
    <w:rsid w:val="00DA47A3"/>
    <w:rsid w:val="00DA47D7"/>
    <w:rsid w:val="00DA4880"/>
    <w:rsid w:val="00DA488A"/>
    <w:rsid w:val="00DA4897"/>
    <w:rsid w:val="00DA489A"/>
    <w:rsid w:val="00DA48F4"/>
    <w:rsid w:val="00DA496A"/>
    <w:rsid w:val="00DA4A00"/>
    <w:rsid w:val="00DA4A08"/>
    <w:rsid w:val="00DA4A3A"/>
    <w:rsid w:val="00DA4A9E"/>
    <w:rsid w:val="00DA4ADD"/>
    <w:rsid w:val="00DA4AFD"/>
    <w:rsid w:val="00DA4B2E"/>
    <w:rsid w:val="00DA4B52"/>
    <w:rsid w:val="00DA4B7D"/>
    <w:rsid w:val="00DA4C21"/>
    <w:rsid w:val="00DA4C3A"/>
    <w:rsid w:val="00DA4C3F"/>
    <w:rsid w:val="00DA4CD8"/>
    <w:rsid w:val="00DA4CEB"/>
    <w:rsid w:val="00DA4CFA"/>
    <w:rsid w:val="00DA4D1E"/>
    <w:rsid w:val="00DA4D3D"/>
    <w:rsid w:val="00DA4D73"/>
    <w:rsid w:val="00DA4DE4"/>
    <w:rsid w:val="00DA4E07"/>
    <w:rsid w:val="00DA4E50"/>
    <w:rsid w:val="00DA4E5F"/>
    <w:rsid w:val="00DA4E64"/>
    <w:rsid w:val="00DA4F03"/>
    <w:rsid w:val="00DA4F1F"/>
    <w:rsid w:val="00DA4FA1"/>
    <w:rsid w:val="00DA5026"/>
    <w:rsid w:val="00DA502E"/>
    <w:rsid w:val="00DA5038"/>
    <w:rsid w:val="00DA5107"/>
    <w:rsid w:val="00DA5115"/>
    <w:rsid w:val="00DA5161"/>
    <w:rsid w:val="00DA5193"/>
    <w:rsid w:val="00DA51A1"/>
    <w:rsid w:val="00DA51E5"/>
    <w:rsid w:val="00DA5239"/>
    <w:rsid w:val="00DA5244"/>
    <w:rsid w:val="00DA5258"/>
    <w:rsid w:val="00DA527D"/>
    <w:rsid w:val="00DA5289"/>
    <w:rsid w:val="00DA5373"/>
    <w:rsid w:val="00DA5379"/>
    <w:rsid w:val="00DA53B8"/>
    <w:rsid w:val="00DA53EF"/>
    <w:rsid w:val="00DA5412"/>
    <w:rsid w:val="00DA5481"/>
    <w:rsid w:val="00DA54A0"/>
    <w:rsid w:val="00DA54A7"/>
    <w:rsid w:val="00DA54CC"/>
    <w:rsid w:val="00DA54F8"/>
    <w:rsid w:val="00DA553A"/>
    <w:rsid w:val="00DA5561"/>
    <w:rsid w:val="00DA55F8"/>
    <w:rsid w:val="00DA5626"/>
    <w:rsid w:val="00DA564C"/>
    <w:rsid w:val="00DA5669"/>
    <w:rsid w:val="00DA566D"/>
    <w:rsid w:val="00DA56E7"/>
    <w:rsid w:val="00DA572C"/>
    <w:rsid w:val="00DA57C1"/>
    <w:rsid w:val="00DA5833"/>
    <w:rsid w:val="00DA584E"/>
    <w:rsid w:val="00DA58C2"/>
    <w:rsid w:val="00DA593E"/>
    <w:rsid w:val="00DA5949"/>
    <w:rsid w:val="00DA5959"/>
    <w:rsid w:val="00DA5983"/>
    <w:rsid w:val="00DA5996"/>
    <w:rsid w:val="00DA5997"/>
    <w:rsid w:val="00DA5A08"/>
    <w:rsid w:val="00DA5A0C"/>
    <w:rsid w:val="00DA5A2A"/>
    <w:rsid w:val="00DA5AA5"/>
    <w:rsid w:val="00DA5AC2"/>
    <w:rsid w:val="00DA5ACD"/>
    <w:rsid w:val="00DA5BB7"/>
    <w:rsid w:val="00DA5BC8"/>
    <w:rsid w:val="00DA5BCB"/>
    <w:rsid w:val="00DA5C68"/>
    <w:rsid w:val="00DA5CBD"/>
    <w:rsid w:val="00DA5D0D"/>
    <w:rsid w:val="00DA5D0F"/>
    <w:rsid w:val="00DA5D53"/>
    <w:rsid w:val="00DA5DC5"/>
    <w:rsid w:val="00DA5DD2"/>
    <w:rsid w:val="00DA5DD5"/>
    <w:rsid w:val="00DA5DF1"/>
    <w:rsid w:val="00DA5E1A"/>
    <w:rsid w:val="00DA5E27"/>
    <w:rsid w:val="00DA5E63"/>
    <w:rsid w:val="00DA5E98"/>
    <w:rsid w:val="00DA5EB8"/>
    <w:rsid w:val="00DA5F00"/>
    <w:rsid w:val="00DA5F61"/>
    <w:rsid w:val="00DA5F6E"/>
    <w:rsid w:val="00DA5F70"/>
    <w:rsid w:val="00DA5F81"/>
    <w:rsid w:val="00DA5F8F"/>
    <w:rsid w:val="00DA5FCE"/>
    <w:rsid w:val="00DA5FE2"/>
    <w:rsid w:val="00DA602D"/>
    <w:rsid w:val="00DA6047"/>
    <w:rsid w:val="00DA6092"/>
    <w:rsid w:val="00DA60D5"/>
    <w:rsid w:val="00DA60E0"/>
    <w:rsid w:val="00DA6113"/>
    <w:rsid w:val="00DA61A4"/>
    <w:rsid w:val="00DA61C0"/>
    <w:rsid w:val="00DA621E"/>
    <w:rsid w:val="00DA623B"/>
    <w:rsid w:val="00DA6244"/>
    <w:rsid w:val="00DA6250"/>
    <w:rsid w:val="00DA62BA"/>
    <w:rsid w:val="00DA63AA"/>
    <w:rsid w:val="00DA63B3"/>
    <w:rsid w:val="00DA63EF"/>
    <w:rsid w:val="00DA641A"/>
    <w:rsid w:val="00DA644E"/>
    <w:rsid w:val="00DA6464"/>
    <w:rsid w:val="00DA648F"/>
    <w:rsid w:val="00DA6522"/>
    <w:rsid w:val="00DA6553"/>
    <w:rsid w:val="00DA656E"/>
    <w:rsid w:val="00DA6587"/>
    <w:rsid w:val="00DA659F"/>
    <w:rsid w:val="00DA65D9"/>
    <w:rsid w:val="00DA65DE"/>
    <w:rsid w:val="00DA65E2"/>
    <w:rsid w:val="00DA65E9"/>
    <w:rsid w:val="00DA667B"/>
    <w:rsid w:val="00DA6710"/>
    <w:rsid w:val="00DA672D"/>
    <w:rsid w:val="00DA676C"/>
    <w:rsid w:val="00DA6787"/>
    <w:rsid w:val="00DA684A"/>
    <w:rsid w:val="00DA691B"/>
    <w:rsid w:val="00DA6962"/>
    <w:rsid w:val="00DA696C"/>
    <w:rsid w:val="00DA6973"/>
    <w:rsid w:val="00DA6AAC"/>
    <w:rsid w:val="00DA6AF3"/>
    <w:rsid w:val="00DA6B27"/>
    <w:rsid w:val="00DA6B5E"/>
    <w:rsid w:val="00DA6B71"/>
    <w:rsid w:val="00DA6BA5"/>
    <w:rsid w:val="00DA6C37"/>
    <w:rsid w:val="00DA6C40"/>
    <w:rsid w:val="00DA6C5E"/>
    <w:rsid w:val="00DA6C6B"/>
    <w:rsid w:val="00DA6CA5"/>
    <w:rsid w:val="00DA6CE5"/>
    <w:rsid w:val="00DA6D00"/>
    <w:rsid w:val="00DA6D3F"/>
    <w:rsid w:val="00DA6D75"/>
    <w:rsid w:val="00DA6E19"/>
    <w:rsid w:val="00DA6E4B"/>
    <w:rsid w:val="00DA6E95"/>
    <w:rsid w:val="00DA6EA6"/>
    <w:rsid w:val="00DA6F1D"/>
    <w:rsid w:val="00DA6F54"/>
    <w:rsid w:val="00DA6F84"/>
    <w:rsid w:val="00DA6FA6"/>
    <w:rsid w:val="00DA6FCC"/>
    <w:rsid w:val="00DA70C6"/>
    <w:rsid w:val="00DA70E7"/>
    <w:rsid w:val="00DA70F2"/>
    <w:rsid w:val="00DA70F4"/>
    <w:rsid w:val="00DA7125"/>
    <w:rsid w:val="00DA7140"/>
    <w:rsid w:val="00DA7146"/>
    <w:rsid w:val="00DA715C"/>
    <w:rsid w:val="00DA71A0"/>
    <w:rsid w:val="00DA71B7"/>
    <w:rsid w:val="00DA71BF"/>
    <w:rsid w:val="00DA71C0"/>
    <w:rsid w:val="00DA71EF"/>
    <w:rsid w:val="00DA71F8"/>
    <w:rsid w:val="00DA720A"/>
    <w:rsid w:val="00DA724C"/>
    <w:rsid w:val="00DA724F"/>
    <w:rsid w:val="00DA7320"/>
    <w:rsid w:val="00DA7350"/>
    <w:rsid w:val="00DA7416"/>
    <w:rsid w:val="00DA7426"/>
    <w:rsid w:val="00DA749E"/>
    <w:rsid w:val="00DA74EB"/>
    <w:rsid w:val="00DA750C"/>
    <w:rsid w:val="00DA7600"/>
    <w:rsid w:val="00DA760B"/>
    <w:rsid w:val="00DA7666"/>
    <w:rsid w:val="00DA76D3"/>
    <w:rsid w:val="00DA7721"/>
    <w:rsid w:val="00DA773F"/>
    <w:rsid w:val="00DA77B2"/>
    <w:rsid w:val="00DA783A"/>
    <w:rsid w:val="00DA78AA"/>
    <w:rsid w:val="00DA78CC"/>
    <w:rsid w:val="00DA7923"/>
    <w:rsid w:val="00DA7925"/>
    <w:rsid w:val="00DA7992"/>
    <w:rsid w:val="00DA79B8"/>
    <w:rsid w:val="00DA79F8"/>
    <w:rsid w:val="00DA7A0D"/>
    <w:rsid w:val="00DA7AD2"/>
    <w:rsid w:val="00DA7ADE"/>
    <w:rsid w:val="00DA7B60"/>
    <w:rsid w:val="00DA7B62"/>
    <w:rsid w:val="00DA7B78"/>
    <w:rsid w:val="00DA7B91"/>
    <w:rsid w:val="00DA7B95"/>
    <w:rsid w:val="00DA7B98"/>
    <w:rsid w:val="00DA7BC4"/>
    <w:rsid w:val="00DA7C05"/>
    <w:rsid w:val="00DA7C10"/>
    <w:rsid w:val="00DA7C1A"/>
    <w:rsid w:val="00DA7C3F"/>
    <w:rsid w:val="00DA7CD1"/>
    <w:rsid w:val="00DA7CF2"/>
    <w:rsid w:val="00DA7D35"/>
    <w:rsid w:val="00DA7D3F"/>
    <w:rsid w:val="00DA7D82"/>
    <w:rsid w:val="00DA7E0C"/>
    <w:rsid w:val="00DA7E2F"/>
    <w:rsid w:val="00DA7EC1"/>
    <w:rsid w:val="00DA7ED1"/>
    <w:rsid w:val="00DA7ED4"/>
    <w:rsid w:val="00DA7EE5"/>
    <w:rsid w:val="00DA7F44"/>
    <w:rsid w:val="00DA7F4F"/>
    <w:rsid w:val="00DA7F9F"/>
    <w:rsid w:val="00DA7FB4"/>
    <w:rsid w:val="00DB0023"/>
    <w:rsid w:val="00DB0055"/>
    <w:rsid w:val="00DB0061"/>
    <w:rsid w:val="00DB008B"/>
    <w:rsid w:val="00DB011D"/>
    <w:rsid w:val="00DB013C"/>
    <w:rsid w:val="00DB0177"/>
    <w:rsid w:val="00DB018E"/>
    <w:rsid w:val="00DB01A7"/>
    <w:rsid w:val="00DB01DA"/>
    <w:rsid w:val="00DB022F"/>
    <w:rsid w:val="00DB023D"/>
    <w:rsid w:val="00DB0246"/>
    <w:rsid w:val="00DB02EC"/>
    <w:rsid w:val="00DB031B"/>
    <w:rsid w:val="00DB03DC"/>
    <w:rsid w:val="00DB0438"/>
    <w:rsid w:val="00DB045E"/>
    <w:rsid w:val="00DB0462"/>
    <w:rsid w:val="00DB046F"/>
    <w:rsid w:val="00DB04BC"/>
    <w:rsid w:val="00DB04D0"/>
    <w:rsid w:val="00DB04F8"/>
    <w:rsid w:val="00DB0525"/>
    <w:rsid w:val="00DB0566"/>
    <w:rsid w:val="00DB0590"/>
    <w:rsid w:val="00DB0592"/>
    <w:rsid w:val="00DB059D"/>
    <w:rsid w:val="00DB05D5"/>
    <w:rsid w:val="00DB0631"/>
    <w:rsid w:val="00DB06AC"/>
    <w:rsid w:val="00DB0758"/>
    <w:rsid w:val="00DB078C"/>
    <w:rsid w:val="00DB07EE"/>
    <w:rsid w:val="00DB0811"/>
    <w:rsid w:val="00DB082E"/>
    <w:rsid w:val="00DB086A"/>
    <w:rsid w:val="00DB0881"/>
    <w:rsid w:val="00DB0888"/>
    <w:rsid w:val="00DB08E9"/>
    <w:rsid w:val="00DB094D"/>
    <w:rsid w:val="00DB0953"/>
    <w:rsid w:val="00DB0989"/>
    <w:rsid w:val="00DB0A99"/>
    <w:rsid w:val="00DB0AE5"/>
    <w:rsid w:val="00DB0AFA"/>
    <w:rsid w:val="00DB0B07"/>
    <w:rsid w:val="00DB0B08"/>
    <w:rsid w:val="00DB0B0D"/>
    <w:rsid w:val="00DB0B99"/>
    <w:rsid w:val="00DB0BA5"/>
    <w:rsid w:val="00DB0BD7"/>
    <w:rsid w:val="00DB0BDA"/>
    <w:rsid w:val="00DB0BDF"/>
    <w:rsid w:val="00DB0C5F"/>
    <w:rsid w:val="00DB0C9E"/>
    <w:rsid w:val="00DB0CA8"/>
    <w:rsid w:val="00DB0CBC"/>
    <w:rsid w:val="00DB0D1D"/>
    <w:rsid w:val="00DB0D24"/>
    <w:rsid w:val="00DB0DE5"/>
    <w:rsid w:val="00DB0E60"/>
    <w:rsid w:val="00DB0E7F"/>
    <w:rsid w:val="00DB0E9A"/>
    <w:rsid w:val="00DB0EBC"/>
    <w:rsid w:val="00DB0EF3"/>
    <w:rsid w:val="00DB0FE9"/>
    <w:rsid w:val="00DB0FEB"/>
    <w:rsid w:val="00DB1006"/>
    <w:rsid w:val="00DB1010"/>
    <w:rsid w:val="00DB10A1"/>
    <w:rsid w:val="00DB1104"/>
    <w:rsid w:val="00DB115F"/>
    <w:rsid w:val="00DB1169"/>
    <w:rsid w:val="00DB118C"/>
    <w:rsid w:val="00DB1190"/>
    <w:rsid w:val="00DB119A"/>
    <w:rsid w:val="00DB121E"/>
    <w:rsid w:val="00DB1271"/>
    <w:rsid w:val="00DB1287"/>
    <w:rsid w:val="00DB12CF"/>
    <w:rsid w:val="00DB1332"/>
    <w:rsid w:val="00DB1336"/>
    <w:rsid w:val="00DB1411"/>
    <w:rsid w:val="00DB147C"/>
    <w:rsid w:val="00DB14A2"/>
    <w:rsid w:val="00DB14D1"/>
    <w:rsid w:val="00DB1505"/>
    <w:rsid w:val="00DB1548"/>
    <w:rsid w:val="00DB156D"/>
    <w:rsid w:val="00DB15B6"/>
    <w:rsid w:val="00DB15BE"/>
    <w:rsid w:val="00DB15CC"/>
    <w:rsid w:val="00DB15D6"/>
    <w:rsid w:val="00DB15F8"/>
    <w:rsid w:val="00DB1609"/>
    <w:rsid w:val="00DB163B"/>
    <w:rsid w:val="00DB16C7"/>
    <w:rsid w:val="00DB16DA"/>
    <w:rsid w:val="00DB17B3"/>
    <w:rsid w:val="00DB1825"/>
    <w:rsid w:val="00DB1835"/>
    <w:rsid w:val="00DB185A"/>
    <w:rsid w:val="00DB1881"/>
    <w:rsid w:val="00DB1882"/>
    <w:rsid w:val="00DB189E"/>
    <w:rsid w:val="00DB194C"/>
    <w:rsid w:val="00DB1965"/>
    <w:rsid w:val="00DB1970"/>
    <w:rsid w:val="00DB1976"/>
    <w:rsid w:val="00DB197D"/>
    <w:rsid w:val="00DB19A9"/>
    <w:rsid w:val="00DB19AF"/>
    <w:rsid w:val="00DB1A0D"/>
    <w:rsid w:val="00DB1A35"/>
    <w:rsid w:val="00DB1A64"/>
    <w:rsid w:val="00DB1A85"/>
    <w:rsid w:val="00DB1A9B"/>
    <w:rsid w:val="00DB1B4A"/>
    <w:rsid w:val="00DB1B4F"/>
    <w:rsid w:val="00DB1B92"/>
    <w:rsid w:val="00DB1BBB"/>
    <w:rsid w:val="00DB1C24"/>
    <w:rsid w:val="00DB1C4A"/>
    <w:rsid w:val="00DB1CBD"/>
    <w:rsid w:val="00DB1D7B"/>
    <w:rsid w:val="00DB1D99"/>
    <w:rsid w:val="00DB1E26"/>
    <w:rsid w:val="00DB1E30"/>
    <w:rsid w:val="00DB1E63"/>
    <w:rsid w:val="00DB1EB7"/>
    <w:rsid w:val="00DB1EE6"/>
    <w:rsid w:val="00DB1EF7"/>
    <w:rsid w:val="00DB1F92"/>
    <w:rsid w:val="00DB1FCE"/>
    <w:rsid w:val="00DB2004"/>
    <w:rsid w:val="00DB201A"/>
    <w:rsid w:val="00DB2087"/>
    <w:rsid w:val="00DB20F3"/>
    <w:rsid w:val="00DB2118"/>
    <w:rsid w:val="00DB213F"/>
    <w:rsid w:val="00DB217D"/>
    <w:rsid w:val="00DB2180"/>
    <w:rsid w:val="00DB21E4"/>
    <w:rsid w:val="00DB2253"/>
    <w:rsid w:val="00DB227D"/>
    <w:rsid w:val="00DB229B"/>
    <w:rsid w:val="00DB22BB"/>
    <w:rsid w:val="00DB233D"/>
    <w:rsid w:val="00DB23C9"/>
    <w:rsid w:val="00DB23CA"/>
    <w:rsid w:val="00DB23DA"/>
    <w:rsid w:val="00DB2405"/>
    <w:rsid w:val="00DB240A"/>
    <w:rsid w:val="00DB242A"/>
    <w:rsid w:val="00DB2432"/>
    <w:rsid w:val="00DB246D"/>
    <w:rsid w:val="00DB24F1"/>
    <w:rsid w:val="00DB2524"/>
    <w:rsid w:val="00DB2552"/>
    <w:rsid w:val="00DB25A6"/>
    <w:rsid w:val="00DB25C1"/>
    <w:rsid w:val="00DB25E6"/>
    <w:rsid w:val="00DB25F0"/>
    <w:rsid w:val="00DB260A"/>
    <w:rsid w:val="00DB2654"/>
    <w:rsid w:val="00DB2663"/>
    <w:rsid w:val="00DB27E8"/>
    <w:rsid w:val="00DB27F4"/>
    <w:rsid w:val="00DB27FC"/>
    <w:rsid w:val="00DB282D"/>
    <w:rsid w:val="00DB283C"/>
    <w:rsid w:val="00DB2848"/>
    <w:rsid w:val="00DB288C"/>
    <w:rsid w:val="00DB29C2"/>
    <w:rsid w:val="00DB29FD"/>
    <w:rsid w:val="00DB2A09"/>
    <w:rsid w:val="00DB2A1C"/>
    <w:rsid w:val="00DB2A5F"/>
    <w:rsid w:val="00DB2ADB"/>
    <w:rsid w:val="00DB2ADD"/>
    <w:rsid w:val="00DB2BE1"/>
    <w:rsid w:val="00DB2C90"/>
    <w:rsid w:val="00DB2CA7"/>
    <w:rsid w:val="00DB2CE4"/>
    <w:rsid w:val="00DB2D43"/>
    <w:rsid w:val="00DB2D58"/>
    <w:rsid w:val="00DB2D75"/>
    <w:rsid w:val="00DB2DBA"/>
    <w:rsid w:val="00DB2E08"/>
    <w:rsid w:val="00DB2E11"/>
    <w:rsid w:val="00DB2E3F"/>
    <w:rsid w:val="00DB2E45"/>
    <w:rsid w:val="00DB2E6B"/>
    <w:rsid w:val="00DB2EA1"/>
    <w:rsid w:val="00DB2F1B"/>
    <w:rsid w:val="00DB2F5B"/>
    <w:rsid w:val="00DB2FE0"/>
    <w:rsid w:val="00DB302E"/>
    <w:rsid w:val="00DB3060"/>
    <w:rsid w:val="00DB3162"/>
    <w:rsid w:val="00DB3173"/>
    <w:rsid w:val="00DB3204"/>
    <w:rsid w:val="00DB3210"/>
    <w:rsid w:val="00DB3216"/>
    <w:rsid w:val="00DB3261"/>
    <w:rsid w:val="00DB3268"/>
    <w:rsid w:val="00DB328E"/>
    <w:rsid w:val="00DB330A"/>
    <w:rsid w:val="00DB334F"/>
    <w:rsid w:val="00DB347E"/>
    <w:rsid w:val="00DB350A"/>
    <w:rsid w:val="00DB3539"/>
    <w:rsid w:val="00DB357A"/>
    <w:rsid w:val="00DB3593"/>
    <w:rsid w:val="00DB35EC"/>
    <w:rsid w:val="00DB360C"/>
    <w:rsid w:val="00DB3628"/>
    <w:rsid w:val="00DB3643"/>
    <w:rsid w:val="00DB3682"/>
    <w:rsid w:val="00DB3713"/>
    <w:rsid w:val="00DB3784"/>
    <w:rsid w:val="00DB37A1"/>
    <w:rsid w:val="00DB37C9"/>
    <w:rsid w:val="00DB37E3"/>
    <w:rsid w:val="00DB381B"/>
    <w:rsid w:val="00DB3842"/>
    <w:rsid w:val="00DB387F"/>
    <w:rsid w:val="00DB38B4"/>
    <w:rsid w:val="00DB38C7"/>
    <w:rsid w:val="00DB3941"/>
    <w:rsid w:val="00DB3964"/>
    <w:rsid w:val="00DB3991"/>
    <w:rsid w:val="00DB39CF"/>
    <w:rsid w:val="00DB3A22"/>
    <w:rsid w:val="00DB3A2A"/>
    <w:rsid w:val="00DB3A51"/>
    <w:rsid w:val="00DB3A73"/>
    <w:rsid w:val="00DB3A86"/>
    <w:rsid w:val="00DB3AE7"/>
    <w:rsid w:val="00DB3BCF"/>
    <w:rsid w:val="00DB3BDA"/>
    <w:rsid w:val="00DB3BE4"/>
    <w:rsid w:val="00DB3BF1"/>
    <w:rsid w:val="00DB3C4C"/>
    <w:rsid w:val="00DB3CC5"/>
    <w:rsid w:val="00DB3CC9"/>
    <w:rsid w:val="00DB3CCA"/>
    <w:rsid w:val="00DB3CE8"/>
    <w:rsid w:val="00DB3D17"/>
    <w:rsid w:val="00DB3DF0"/>
    <w:rsid w:val="00DB3E05"/>
    <w:rsid w:val="00DB3E5B"/>
    <w:rsid w:val="00DB3E6E"/>
    <w:rsid w:val="00DB3EA2"/>
    <w:rsid w:val="00DB3EE0"/>
    <w:rsid w:val="00DB3EE2"/>
    <w:rsid w:val="00DB3EF3"/>
    <w:rsid w:val="00DB3EF5"/>
    <w:rsid w:val="00DB3EF9"/>
    <w:rsid w:val="00DB3EFD"/>
    <w:rsid w:val="00DB3F0E"/>
    <w:rsid w:val="00DB3F88"/>
    <w:rsid w:val="00DB3F9D"/>
    <w:rsid w:val="00DB3F9E"/>
    <w:rsid w:val="00DB3FB2"/>
    <w:rsid w:val="00DB40D8"/>
    <w:rsid w:val="00DB4147"/>
    <w:rsid w:val="00DB41C0"/>
    <w:rsid w:val="00DB4206"/>
    <w:rsid w:val="00DB424B"/>
    <w:rsid w:val="00DB425A"/>
    <w:rsid w:val="00DB42EF"/>
    <w:rsid w:val="00DB42FD"/>
    <w:rsid w:val="00DB4320"/>
    <w:rsid w:val="00DB4362"/>
    <w:rsid w:val="00DB439D"/>
    <w:rsid w:val="00DB43A4"/>
    <w:rsid w:val="00DB43DB"/>
    <w:rsid w:val="00DB43FF"/>
    <w:rsid w:val="00DB4401"/>
    <w:rsid w:val="00DB443E"/>
    <w:rsid w:val="00DB4456"/>
    <w:rsid w:val="00DB447F"/>
    <w:rsid w:val="00DB44DB"/>
    <w:rsid w:val="00DB4539"/>
    <w:rsid w:val="00DB4574"/>
    <w:rsid w:val="00DB457A"/>
    <w:rsid w:val="00DB45C0"/>
    <w:rsid w:val="00DB4624"/>
    <w:rsid w:val="00DB465A"/>
    <w:rsid w:val="00DB4683"/>
    <w:rsid w:val="00DB46BF"/>
    <w:rsid w:val="00DB470D"/>
    <w:rsid w:val="00DB4741"/>
    <w:rsid w:val="00DB4811"/>
    <w:rsid w:val="00DB4817"/>
    <w:rsid w:val="00DB4821"/>
    <w:rsid w:val="00DB484F"/>
    <w:rsid w:val="00DB48A8"/>
    <w:rsid w:val="00DB48C8"/>
    <w:rsid w:val="00DB48DE"/>
    <w:rsid w:val="00DB4977"/>
    <w:rsid w:val="00DB49CC"/>
    <w:rsid w:val="00DB4A2E"/>
    <w:rsid w:val="00DB4A41"/>
    <w:rsid w:val="00DB4A55"/>
    <w:rsid w:val="00DB4A62"/>
    <w:rsid w:val="00DB4A7D"/>
    <w:rsid w:val="00DB4AA9"/>
    <w:rsid w:val="00DB4AB7"/>
    <w:rsid w:val="00DB4AC8"/>
    <w:rsid w:val="00DB4BB2"/>
    <w:rsid w:val="00DB4C3E"/>
    <w:rsid w:val="00DB4C4C"/>
    <w:rsid w:val="00DB4C53"/>
    <w:rsid w:val="00DB4C57"/>
    <w:rsid w:val="00DB4C95"/>
    <w:rsid w:val="00DB4CB3"/>
    <w:rsid w:val="00DB4CC2"/>
    <w:rsid w:val="00DB4D17"/>
    <w:rsid w:val="00DB4D22"/>
    <w:rsid w:val="00DB4D38"/>
    <w:rsid w:val="00DB4D7D"/>
    <w:rsid w:val="00DB4DAB"/>
    <w:rsid w:val="00DB4DB8"/>
    <w:rsid w:val="00DB4DC9"/>
    <w:rsid w:val="00DB4E0D"/>
    <w:rsid w:val="00DB4E0F"/>
    <w:rsid w:val="00DB4E29"/>
    <w:rsid w:val="00DB4E30"/>
    <w:rsid w:val="00DB4E74"/>
    <w:rsid w:val="00DB4E84"/>
    <w:rsid w:val="00DB4E85"/>
    <w:rsid w:val="00DB4E8D"/>
    <w:rsid w:val="00DB4E8F"/>
    <w:rsid w:val="00DB4E98"/>
    <w:rsid w:val="00DB4E9B"/>
    <w:rsid w:val="00DB4EBE"/>
    <w:rsid w:val="00DB4ECF"/>
    <w:rsid w:val="00DB4EE2"/>
    <w:rsid w:val="00DB4EFB"/>
    <w:rsid w:val="00DB4F6E"/>
    <w:rsid w:val="00DB4FA3"/>
    <w:rsid w:val="00DB4FB1"/>
    <w:rsid w:val="00DB4FB6"/>
    <w:rsid w:val="00DB4FD9"/>
    <w:rsid w:val="00DB4FF9"/>
    <w:rsid w:val="00DB50E1"/>
    <w:rsid w:val="00DB5136"/>
    <w:rsid w:val="00DB51C8"/>
    <w:rsid w:val="00DB5278"/>
    <w:rsid w:val="00DB52CD"/>
    <w:rsid w:val="00DB531E"/>
    <w:rsid w:val="00DB5351"/>
    <w:rsid w:val="00DB5364"/>
    <w:rsid w:val="00DB539A"/>
    <w:rsid w:val="00DB53D1"/>
    <w:rsid w:val="00DB53F3"/>
    <w:rsid w:val="00DB5408"/>
    <w:rsid w:val="00DB542A"/>
    <w:rsid w:val="00DB542C"/>
    <w:rsid w:val="00DB5441"/>
    <w:rsid w:val="00DB544A"/>
    <w:rsid w:val="00DB547C"/>
    <w:rsid w:val="00DB54A4"/>
    <w:rsid w:val="00DB5508"/>
    <w:rsid w:val="00DB5524"/>
    <w:rsid w:val="00DB5553"/>
    <w:rsid w:val="00DB55EE"/>
    <w:rsid w:val="00DB55F3"/>
    <w:rsid w:val="00DB565D"/>
    <w:rsid w:val="00DB5694"/>
    <w:rsid w:val="00DB56AE"/>
    <w:rsid w:val="00DB56CF"/>
    <w:rsid w:val="00DB56E4"/>
    <w:rsid w:val="00DB5720"/>
    <w:rsid w:val="00DB572B"/>
    <w:rsid w:val="00DB5790"/>
    <w:rsid w:val="00DB57A8"/>
    <w:rsid w:val="00DB57B7"/>
    <w:rsid w:val="00DB57FB"/>
    <w:rsid w:val="00DB5836"/>
    <w:rsid w:val="00DB587F"/>
    <w:rsid w:val="00DB5888"/>
    <w:rsid w:val="00DB58CB"/>
    <w:rsid w:val="00DB5900"/>
    <w:rsid w:val="00DB591B"/>
    <w:rsid w:val="00DB593B"/>
    <w:rsid w:val="00DB5947"/>
    <w:rsid w:val="00DB59B7"/>
    <w:rsid w:val="00DB59DA"/>
    <w:rsid w:val="00DB5A0A"/>
    <w:rsid w:val="00DB5A43"/>
    <w:rsid w:val="00DB5A5B"/>
    <w:rsid w:val="00DB5A5E"/>
    <w:rsid w:val="00DB5ABD"/>
    <w:rsid w:val="00DB5B06"/>
    <w:rsid w:val="00DB5B38"/>
    <w:rsid w:val="00DB5B9D"/>
    <w:rsid w:val="00DB5C25"/>
    <w:rsid w:val="00DB5C4F"/>
    <w:rsid w:val="00DB5C59"/>
    <w:rsid w:val="00DB5C79"/>
    <w:rsid w:val="00DB5C84"/>
    <w:rsid w:val="00DB5D0A"/>
    <w:rsid w:val="00DB5D22"/>
    <w:rsid w:val="00DB5D37"/>
    <w:rsid w:val="00DB5DD8"/>
    <w:rsid w:val="00DB5DDA"/>
    <w:rsid w:val="00DB5DF7"/>
    <w:rsid w:val="00DB5E0C"/>
    <w:rsid w:val="00DB5E60"/>
    <w:rsid w:val="00DB5E6D"/>
    <w:rsid w:val="00DB5F11"/>
    <w:rsid w:val="00DB5F2E"/>
    <w:rsid w:val="00DB5F72"/>
    <w:rsid w:val="00DB5F97"/>
    <w:rsid w:val="00DB5FC6"/>
    <w:rsid w:val="00DB5FEE"/>
    <w:rsid w:val="00DB6006"/>
    <w:rsid w:val="00DB6019"/>
    <w:rsid w:val="00DB602A"/>
    <w:rsid w:val="00DB6037"/>
    <w:rsid w:val="00DB6045"/>
    <w:rsid w:val="00DB60A0"/>
    <w:rsid w:val="00DB60EA"/>
    <w:rsid w:val="00DB6149"/>
    <w:rsid w:val="00DB6179"/>
    <w:rsid w:val="00DB61A4"/>
    <w:rsid w:val="00DB61B2"/>
    <w:rsid w:val="00DB61CC"/>
    <w:rsid w:val="00DB61CF"/>
    <w:rsid w:val="00DB61F1"/>
    <w:rsid w:val="00DB6211"/>
    <w:rsid w:val="00DB62D6"/>
    <w:rsid w:val="00DB6314"/>
    <w:rsid w:val="00DB634E"/>
    <w:rsid w:val="00DB636B"/>
    <w:rsid w:val="00DB63C4"/>
    <w:rsid w:val="00DB6409"/>
    <w:rsid w:val="00DB645A"/>
    <w:rsid w:val="00DB6487"/>
    <w:rsid w:val="00DB6530"/>
    <w:rsid w:val="00DB6581"/>
    <w:rsid w:val="00DB65DE"/>
    <w:rsid w:val="00DB6602"/>
    <w:rsid w:val="00DB6616"/>
    <w:rsid w:val="00DB667A"/>
    <w:rsid w:val="00DB6696"/>
    <w:rsid w:val="00DB66C4"/>
    <w:rsid w:val="00DB66CD"/>
    <w:rsid w:val="00DB66EE"/>
    <w:rsid w:val="00DB670E"/>
    <w:rsid w:val="00DB67C7"/>
    <w:rsid w:val="00DB692D"/>
    <w:rsid w:val="00DB6956"/>
    <w:rsid w:val="00DB6983"/>
    <w:rsid w:val="00DB6996"/>
    <w:rsid w:val="00DB69AC"/>
    <w:rsid w:val="00DB6A34"/>
    <w:rsid w:val="00DB6A7F"/>
    <w:rsid w:val="00DB6A8B"/>
    <w:rsid w:val="00DB6A9B"/>
    <w:rsid w:val="00DB6AA1"/>
    <w:rsid w:val="00DB6AB6"/>
    <w:rsid w:val="00DB6B37"/>
    <w:rsid w:val="00DB6B57"/>
    <w:rsid w:val="00DB6B7D"/>
    <w:rsid w:val="00DB6B97"/>
    <w:rsid w:val="00DB6BC1"/>
    <w:rsid w:val="00DB6BE2"/>
    <w:rsid w:val="00DB6C37"/>
    <w:rsid w:val="00DB6C60"/>
    <w:rsid w:val="00DB6C98"/>
    <w:rsid w:val="00DB6CB3"/>
    <w:rsid w:val="00DB6CBF"/>
    <w:rsid w:val="00DB6CC6"/>
    <w:rsid w:val="00DB6CFB"/>
    <w:rsid w:val="00DB6D16"/>
    <w:rsid w:val="00DB6D56"/>
    <w:rsid w:val="00DB6D80"/>
    <w:rsid w:val="00DB6DC1"/>
    <w:rsid w:val="00DB6DD6"/>
    <w:rsid w:val="00DB6E32"/>
    <w:rsid w:val="00DB6E4E"/>
    <w:rsid w:val="00DB6E56"/>
    <w:rsid w:val="00DB6EC2"/>
    <w:rsid w:val="00DB6F20"/>
    <w:rsid w:val="00DB6F2F"/>
    <w:rsid w:val="00DB6F36"/>
    <w:rsid w:val="00DB6F40"/>
    <w:rsid w:val="00DB6F47"/>
    <w:rsid w:val="00DB6F56"/>
    <w:rsid w:val="00DB6F86"/>
    <w:rsid w:val="00DB6F96"/>
    <w:rsid w:val="00DB6FF5"/>
    <w:rsid w:val="00DB707B"/>
    <w:rsid w:val="00DB70B7"/>
    <w:rsid w:val="00DB70D6"/>
    <w:rsid w:val="00DB710E"/>
    <w:rsid w:val="00DB7132"/>
    <w:rsid w:val="00DB714C"/>
    <w:rsid w:val="00DB7191"/>
    <w:rsid w:val="00DB71D2"/>
    <w:rsid w:val="00DB71F4"/>
    <w:rsid w:val="00DB720F"/>
    <w:rsid w:val="00DB7246"/>
    <w:rsid w:val="00DB72CF"/>
    <w:rsid w:val="00DB7318"/>
    <w:rsid w:val="00DB7369"/>
    <w:rsid w:val="00DB73B8"/>
    <w:rsid w:val="00DB73E2"/>
    <w:rsid w:val="00DB7416"/>
    <w:rsid w:val="00DB7436"/>
    <w:rsid w:val="00DB7490"/>
    <w:rsid w:val="00DB74DF"/>
    <w:rsid w:val="00DB7594"/>
    <w:rsid w:val="00DB7595"/>
    <w:rsid w:val="00DB75D5"/>
    <w:rsid w:val="00DB7614"/>
    <w:rsid w:val="00DB7658"/>
    <w:rsid w:val="00DB7678"/>
    <w:rsid w:val="00DB770F"/>
    <w:rsid w:val="00DB773D"/>
    <w:rsid w:val="00DB775C"/>
    <w:rsid w:val="00DB77B1"/>
    <w:rsid w:val="00DB77CB"/>
    <w:rsid w:val="00DB7827"/>
    <w:rsid w:val="00DB782E"/>
    <w:rsid w:val="00DB783A"/>
    <w:rsid w:val="00DB7871"/>
    <w:rsid w:val="00DB78F7"/>
    <w:rsid w:val="00DB7923"/>
    <w:rsid w:val="00DB7970"/>
    <w:rsid w:val="00DB798D"/>
    <w:rsid w:val="00DB7A2C"/>
    <w:rsid w:val="00DB7A8A"/>
    <w:rsid w:val="00DB7AB5"/>
    <w:rsid w:val="00DB7AD7"/>
    <w:rsid w:val="00DB7AE8"/>
    <w:rsid w:val="00DB7AFC"/>
    <w:rsid w:val="00DB7B32"/>
    <w:rsid w:val="00DB7C10"/>
    <w:rsid w:val="00DB7C71"/>
    <w:rsid w:val="00DB7C75"/>
    <w:rsid w:val="00DB7D1F"/>
    <w:rsid w:val="00DB7D34"/>
    <w:rsid w:val="00DB7D69"/>
    <w:rsid w:val="00DB7D6F"/>
    <w:rsid w:val="00DB7D97"/>
    <w:rsid w:val="00DB7D98"/>
    <w:rsid w:val="00DB7DF4"/>
    <w:rsid w:val="00DB7E0D"/>
    <w:rsid w:val="00DB7EB9"/>
    <w:rsid w:val="00DB7ED4"/>
    <w:rsid w:val="00DB7EDD"/>
    <w:rsid w:val="00DB7EE9"/>
    <w:rsid w:val="00DB7EF5"/>
    <w:rsid w:val="00DB7F33"/>
    <w:rsid w:val="00DB7F51"/>
    <w:rsid w:val="00DB7F56"/>
    <w:rsid w:val="00DB7F7E"/>
    <w:rsid w:val="00DB7F80"/>
    <w:rsid w:val="00DB7FA3"/>
    <w:rsid w:val="00DB7FEC"/>
    <w:rsid w:val="00DC00A8"/>
    <w:rsid w:val="00DC0123"/>
    <w:rsid w:val="00DC0128"/>
    <w:rsid w:val="00DC0192"/>
    <w:rsid w:val="00DC01A5"/>
    <w:rsid w:val="00DC01D9"/>
    <w:rsid w:val="00DC0259"/>
    <w:rsid w:val="00DC02B9"/>
    <w:rsid w:val="00DC02BF"/>
    <w:rsid w:val="00DC02ED"/>
    <w:rsid w:val="00DC0322"/>
    <w:rsid w:val="00DC032D"/>
    <w:rsid w:val="00DC0331"/>
    <w:rsid w:val="00DC033F"/>
    <w:rsid w:val="00DC03DB"/>
    <w:rsid w:val="00DC04BF"/>
    <w:rsid w:val="00DC0592"/>
    <w:rsid w:val="00DC0596"/>
    <w:rsid w:val="00DC05B6"/>
    <w:rsid w:val="00DC05C9"/>
    <w:rsid w:val="00DC0602"/>
    <w:rsid w:val="00DC0642"/>
    <w:rsid w:val="00DC0685"/>
    <w:rsid w:val="00DC06F3"/>
    <w:rsid w:val="00DC0730"/>
    <w:rsid w:val="00DC0795"/>
    <w:rsid w:val="00DC07AD"/>
    <w:rsid w:val="00DC07DA"/>
    <w:rsid w:val="00DC0814"/>
    <w:rsid w:val="00DC0815"/>
    <w:rsid w:val="00DC084A"/>
    <w:rsid w:val="00DC086F"/>
    <w:rsid w:val="00DC0881"/>
    <w:rsid w:val="00DC089C"/>
    <w:rsid w:val="00DC08BA"/>
    <w:rsid w:val="00DC08FC"/>
    <w:rsid w:val="00DC0931"/>
    <w:rsid w:val="00DC0955"/>
    <w:rsid w:val="00DC0968"/>
    <w:rsid w:val="00DC096B"/>
    <w:rsid w:val="00DC0975"/>
    <w:rsid w:val="00DC09C2"/>
    <w:rsid w:val="00DC0A06"/>
    <w:rsid w:val="00DC0A0E"/>
    <w:rsid w:val="00DC0A44"/>
    <w:rsid w:val="00DC0A47"/>
    <w:rsid w:val="00DC0A4F"/>
    <w:rsid w:val="00DC0A84"/>
    <w:rsid w:val="00DC0AAA"/>
    <w:rsid w:val="00DC0B51"/>
    <w:rsid w:val="00DC0BD4"/>
    <w:rsid w:val="00DC0C23"/>
    <w:rsid w:val="00DC0C68"/>
    <w:rsid w:val="00DC0C91"/>
    <w:rsid w:val="00DC0D7A"/>
    <w:rsid w:val="00DC0DB3"/>
    <w:rsid w:val="00DC0E18"/>
    <w:rsid w:val="00DC0E40"/>
    <w:rsid w:val="00DC0E4B"/>
    <w:rsid w:val="00DC0EA4"/>
    <w:rsid w:val="00DC0EC9"/>
    <w:rsid w:val="00DC0EF0"/>
    <w:rsid w:val="00DC1022"/>
    <w:rsid w:val="00DC106E"/>
    <w:rsid w:val="00DC1087"/>
    <w:rsid w:val="00DC10AA"/>
    <w:rsid w:val="00DC10B1"/>
    <w:rsid w:val="00DC10F4"/>
    <w:rsid w:val="00DC1168"/>
    <w:rsid w:val="00DC11A9"/>
    <w:rsid w:val="00DC11B9"/>
    <w:rsid w:val="00DC11E3"/>
    <w:rsid w:val="00DC11EE"/>
    <w:rsid w:val="00DC124B"/>
    <w:rsid w:val="00DC1304"/>
    <w:rsid w:val="00DC1305"/>
    <w:rsid w:val="00DC1314"/>
    <w:rsid w:val="00DC1321"/>
    <w:rsid w:val="00DC137C"/>
    <w:rsid w:val="00DC13B3"/>
    <w:rsid w:val="00DC13B9"/>
    <w:rsid w:val="00DC13C8"/>
    <w:rsid w:val="00DC13C9"/>
    <w:rsid w:val="00DC1413"/>
    <w:rsid w:val="00DC141F"/>
    <w:rsid w:val="00DC1461"/>
    <w:rsid w:val="00DC149F"/>
    <w:rsid w:val="00DC14E0"/>
    <w:rsid w:val="00DC152B"/>
    <w:rsid w:val="00DC1541"/>
    <w:rsid w:val="00DC158C"/>
    <w:rsid w:val="00DC1594"/>
    <w:rsid w:val="00DC15FD"/>
    <w:rsid w:val="00DC1602"/>
    <w:rsid w:val="00DC16B0"/>
    <w:rsid w:val="00DC171F"/>
    <w:rsid w:val="00DC176F"/>
    <w:rsid w:val="00DC1770"/>
    <w:rsid w:val="00DC177A"/>
    <w:rsid w:val="00DC1784"/>
    <w:rsid w:val="00DC17B6"/>
    <w:rsid w:val="00DC17BB"/>
    <w:rsid w:val="00DC185B"/>
    <w:rsid w:val="00DC18A2"/>
    <w:rsid w:val="00DC1979"/>
    <w:rsid w:val="00DC197C"/>
    <w:rsid w:val="00DC198F"/>
    <w:rsid w:val="00DC19F2"/>
    <w:rsid w:val="00DC1A20"/>
    <w:rsid w:val="00DC1A54"/>
    <w:rsid w:val="00DC1AD7"/>
    <w:rsid w:val="00DC1AEC"/>
    <w:rsid w:val="00DC1B4A"/>
    <w:rsid w:val="00DC1B55"/>
    <w:rsid w:val="00DC1C10"/>
    <w:rsid w:val="00DC1C4A"/>
    <w:rsid w:val="00DC1C9A"/>
    <w:rsid w:val="00DC1CB2"/>
    <w:rsid w:val="00DC1CC0"/>
    <w:rsid w:val="00DC1CC7"/>
    <w:rsid w:val="00DC1CFF"/>
    <w:rsid w:val="00DC1DF9"/>
    <w:rsid w:val="00DC1E11"/>
    <w:rsid w:val="00DC1E6D"/>
    <w:rsid w:val="00DC1E77"/>
    <w:rsid w:val="00DC1E88"/>
    <w:rsid w:val="00DC1EA2"/>
    <w:rsid w:val="00DC1F05"/>
    <w:rsid w:val="00DC1F68"/>
    <w:rsid w:val="00DC1F6B"/>
    <w:rsid w:val="00DC1F6C"/>
    <w:rsid w:val="00DC1F6D"/>
    <w:rsid w:val="00DC1FC3"/>
    <w:rsid w:val="00DC1FEC"/>
    <w:rsid w:val="00DC201B"/>
    <w:rsid w:val="00DC20C0"/>
    <w:rsid w:val="00DC20FA"/>
    <w:rsid w:val="00DC218A"/>
    <w:rsid w:val="00DC219C"/>
    <w:rsid w:val="00DC21C7"/>
    <w:rsid w:val="00DC21F5"/>
    <w:rsid w:val="00DC2227"/>
    <w:rsid w:val="00DC2234"/>
    <w:rsid w:val="00DC2256"/>
    <w:rsid w:val="00DC225C"/>
    <w:rsid w:val="00DC22A7"/>
    <w:rsid w:val="00DC236C"/>
    <w:rsid w:val="00DC237B"/>
    <w:rsid w:val="00DC2399"/>
    <w:rsid w:val="00DC239C"/>
    <w:rsid w:val="00DC23A8"/>
    <w:rsid w:val="00DC2427"/>
    <w:rsid w:val="00DC24F0"/>
    <w:rsid w:val="00DC255A"/>
    <w:rsid w:val="00DC25B7"/>
    <w:rsid w:val="00DC25F4"/>
    <w:rsid w:val="00DC25FD"/>
    <w:rsid w:val="00DC260C"/>
    <w:rsid w:val="00DC2638"/>
    <w:rsid w:val="00DC2678"/>
    <w:rsid w:val="00DC2682"/>
    <w:rsid w:val="00DC2695"/>
    <w:rsid w:val="00DC26BC"/>
    <w:rsid w:val="00DC26E7"/>
    <w:rsid w:val="00DC2724"/>
    <w:rsid w:val="00DC27B0"/>
    <w:rsid w:val="00DC287D"/>
    <w:rsid w:val="00DC28C5"/>
    <w:rsid w:val="00DC297E"/>
    <w:rsid w:val="00DC2994"/>
    <w:rsid w:val="00DC29C5"/>
    <w:rsid w:val="00DC2A24"/>
    <w:rsid w:val="00DC2A37"/>
    <w:rsid w:val="00DC2A49"/>
    <w:rsid w:val="00DC2B5E"/>
    <w:rsid w:val="00DC2B8A"/>
    <w:rsid w:val="00DC2BE9"/>
    <w:rsid w:val="00DC2BF2"/>
    <w:rsid w:val="00DC2CA0"/>
    <w:rsid w:val="00DC2CDF"/>
    <w:rsid w:val="00DC2CE1"/>
    <w:rsid w:val="00DC2CE6"/>
    <w:rsid w:val="00DC2D8E"/>
    <w:rsid w:val="00DC2DA1"/>
    <w:rsid w:val="00DC2DF5"/>
    <w:rsid w:val="00DC2E33"/>
    <w:rsid w:val="00DC2E3F"/>
    <w:rsid w:val="00DC2E83"/>
    <w:rsid w:val="00DC2FAA"/>
    <w:rsid w:val="00DC302D"/>
    <w:rsid w:val="00DC308C"/>
    <w:rsid w:val="00DC30A9"/>
    <w:rsid w:val="00DC310F"/>
    <w:rsid w:val="00DC3114"/>
    <w:rsid w:val="00DC311C"/>
    <w:rsid w:val="00DC317E"/>
    <w:rsid w:val="00DC31E6"/>
    <w:rsid w:val="00DC31F3"/>
    <w:rsid w:val="00DC3263"/>
    <w:rsid w:val="00DC32E2"/>
    <w:rsid w:val="00DC3375"/>
    <w:rsid w:val="00DC3397"/>
    <w:rsid w:val="00DC33ED"/>
    <w:rsid w:val="00DC3462"/>
    <w:rsid w:val="00DC3491"/>
    <w:rsid w:val="00DC34BA"/>
    <w:rsid w:val="00DC34E1"/>
    <w:rsid w:val="00DC350B"/>
    <w:rsid w:val="00DC353D"/>
    <w:rsid w:val="00DC362B"/>
    <w:rsid w:val="00DC362E"/>
    <w:rsid w:val="00DC36AB"/>
    <w:rsid w:val="00DC3710"/>
    <w:rsid w:val="00DC3717"/>
    <w:rsid w:val="00DC371A"/>
    <w:rsid w:val="00DC3739"/>
    <w:rsid w:val="00DC377B"/>
    <w:rsid w:val="00DC38CA"/>
    <w:rsid w:val="00DC38F6"/>
    <w:rsid w:val="00DC3908"/>
    <w:rsid w:val="00DC3918"/>
    <w:rsid w:val="00DC39B0"/>
    <w:rsid w:val="00DC3A24"/>
    <w:rsid w:val="00DC3A3E"/>
    <w:rsid w:val="00DC3A61"/>
    <w:rsid w:val="00DC3AB8"/>
    <w:rsid w:val="00DC3B0D"/>
    <w:rsid w:val="00DC3B37"/>
    <w:rsid w:val="00DC3B8D"/>
    <w:rsid w:val="00DC3C15"/>
    <w:rsid w:val="00DC3C29"/>
    <w:rsid w:val="00DC3C6B"/>
    <w:rsid w:val="00DC3C6C"/>
    <w:rsid w:val="00DC3C97"/>
    <w:rsid w:val="00DC3C9C"/>
    <w:rsid w:val="00DC3CB7"/>
    <w:rsid w:val="00DC3CE6"/>
    <w:rsid w:val="00DC3D27"/>
    <w:rsid w:val="00DC3D3C"/>
    <w:rsid w:val="00DC3D47"/>
    <w:rsid w:val="00DC3DC8"/>
    <w:rsid w:val="00DC3DDD"/>
    <w:rsid w:val="00DC3DDF"/>
    <w:rsid w:val="00DC3E10"/>
    <w:rsid w:val="00DC3EA9"/>
    <w:rsid w:val="00DC3EFD"/>
    <w:rsid w:val="00DC3F1A"/>
    <w:rsid w:val="00DC3F4E"/>
    <w:rsid w:val="00DC3F5F"/>
    <w:rsid w:val="00DC3F62"/>
    <w:rsid w:val="00DC3F7D"/>
    <w:rsid w:val="00DC3FF4"/>
    <w:rsid w:val="00DC4004"/>
    <w:rsid w:val="00DC4039"/>
    <w:rsid w:val="00DC4099"/>
    <w:rsid w:val="00DC409A"/>
    <w:rsid w:val="00DC40DD"/>
    <w:rsid w:val="00DC416F"/>
    <w:rsid w:val="00DC425B"/>
    <w:rsid w:val="00DC427D"/>
    <w:rsid w:val="00DC42C7"/>
    <w:rsid w:val="00DC42D2"/>
    <w:rsid w:val="00DC42E3"/>
    <w:rsid w:val="00DC42E8"/>
    <w:rsid w:val="00DC4374"/>
    <w:rsid w:val="00DC4396"/>
    <w:rsid w:val="00DC43E1"/>
    <w:rsid w:val="00DC4406"/>
    <w:rsid w:val="00DC4416"/>
    <w:rsid w:val="00DC442E"/>
    <w:rsid w:val="00DC4444"/>
    <w:rsid w:val="00DC4453"/>
    <w:rsid w:val="00DC4460"/>
    <w:rsid w:val="00DC4472"/>
    <w:rsid w:val="00DC447E"/>
    <w:rsid w:val="00DC4488"/>
    <w:rsid w:val="00DC44D2"/>
    <w:rsid w:val="00DC44E0"/>
    <w:rsid w:val="00DC4501"/>
    <w:rsid w:val="00DC451A"/>
    <w:rsid w:val="00DC4538"/>
    <w:rsid w:val="00DC4550"/>
    <w:rsid w:val="00DC45A4"/>
    <w:rsid w:val="00DC45AA"/>
    <w:rsid w:val="00DC45E3"/>
    <w:rsid w:val="00DC468B"/>
    <w:rsid w:val="00DC4716"/>
    <w:rsid w:val="00DC4792"/>
    <w:rsid w:val="00DC480D"/>
    <w:rsid w:val="00DC4831"/>
    <w:rsid w:val="00DC4867"/>
    <w:rsid w:val="00DC487E"/>
    <w:rsid w:val="00DC4887"/>
    <w:rsid w:val="00DC48A0"/>
    <w:rsid w:val="00DC48C3"/>
    <w:rsid w:val="00DC490E"/>
    <w:rsid w:val="00DC4955"/>
    <w:rsid w:val="00DC4988"/>
    <w:rsid w:val="00DC49A3"/>
    <w:rsid w:val="00DC49EC"/>
    <w:rsid w:val="00DC4A09"/>
    <w:rsid w:val="00DC4A88"/>
    <w:rsid w:val="00DC4A90"/>
    <w:rsid w:val="00DC4AC4"/>
    <w:rsid w:val="00DC4ACE"/>
    <w:rsid w:val="00DC4B26"/>
    <w:rsid w:val="00DC4B5D"/>
    <w:rsid w:val="00DC4B91"/>
    <w:rsid w:val="00DC4BB6"/>
    <w:rsid w:val="00DC4BD6"/>
    <w:rsid w:val="00DC4BE3"/>
    <w:rsid w:val="00DC4CAD"/>
    <w:rsid w:val="00DC4CBC"/>
    <w:rsid w:val="00DC4CDF"/>
    <w:rsid w:val="00DC4CE0"/>
    <w:rsid w:val="00DC4CF1"/>
    <w:rsid w:val="00DC4CFB"/>
    <w:rsid w:val="00DC4D0F"/>
    <w:rsid w:val="00DC4D74"/>
    <w:rsid w:val="00DC4DAB"/>
    <w:rsid w:val="00DC4DB1"/>
    <w:rsid w:val="00DC4E02"/>
    <w:rsid w:val="00DC4E07"/>
    <w:rsid w:val="00DC4E39"/>
    <w:rsid w:val="00DC4E40"/>
    <w:rsid w:val="00DC4ED0"/>
    <w:rsid w:val="00DC4F05"/>
    <w:rsid w:val="00DC4F13"/>
    <w:rsid w:val="00DC4F40"/>
    <w:rsid w:val="00DC5044"/>
    <w:rsid w:val="00DC5059"/>
    <w:rsid w:val="00DC50BF"/>
    <w:rsid w:val="00DC50E9"/>
    <w:rsid w:val="00DC5153"/>
    <w:rsid w:val="00DC5154"/>
    <w:rsid w:val="00DC51EA"/>
    <w:rsid w:val="00DC522D"/>
    <w:rsid w:val="00DC524C"/>
    <w:rsid w:val="00DC530F"/>
    <w:rsid w:val="00DC539D"/>
    <w:rsid w:val="00DC53AA"/>
    <w:rsid w:val="00DC53B6"/>
    <w:rsid w:val="00DC53EE"/>
    <w:rsid w:val="00DC53EF"/>
    <w:rsid w:val="00DC53F9"/>
    <w:rsid w:val="00DC5427"/>
    <w:rsid w:val="00DC5442"/>
    <w:rsid w:val="00DC5468"/>
    <w:rsid w:val="00DC54F9"/>
    <w:rsid w:val="00DC5564"/>
    <w:rsid w:val="00DC5595"/>
    <w:rsid w:val="00DC55BA"/>
    <w:rsid w:val="00DC55C3"/>
    <w:rsid w:val="00DC55D6"/>
    <w:rsid w:val="00DC5617"/>
    <w:rsid w:val="00DC5621"/>
    <w:rsid w:val="00DC563A"/>
    <w:rsid w:val="00DC564A"/>
    <w:rsid w:val="00DC5668"/>
    <w:rsid w:val="00DC56B5"/>
    <w:rsid w:val="00DC56C3"/>
    <w:rsid w:val="00DC5726"/>
    <w:rsid w:val="00DC5804"/>
    <w:rsid w:val="00DC5811"/>
    <w:rsid w:val="00DC58A4"/>
    <w:rsid w:val="00DC58AF"/>
    <w:rsid w:val="00DC58B8"/>
    <w:rsid w:val="00DC593C"/>
    <w:rsid w:val="00DC5959"/>
    <w:rsid w:val="00DC5984"/>
    <w:rsid w:val="00DC5987"/>
    <w:rsid w:val="00DC59AB"/>
    <w:rsid w:val="00DC59EF"/>
    <w:rsid w:val="00DC5A6A"/>
    <w:rsid w:val="00DC5AB3"/>
    <w:rsid w:val="00DC5AF4"/>
    <w:rsid w:val="00DC5B39"/>
    <w:rsid w:val="00DC5BAF"/>
    <w:rsid w:val="00DC5BB5"/>
    <w:rsid w:val="00DC5BF6"/>
    <w:rsid w:val="00DC5C1F"/>
    <w:rsid w:val="00DC5C52"/>
    <w:rsid w:val="00DC5CF9"/>
    <w:rsid w:val="00DC5D71"/>
    <w:rsid w:val="00DC5D98"/>
    <w:rsid w:val="00DC5DFD"/>
    <w:rsid w:val="00DC5E10"/>
    <w:rsid w:val="00DC5E3B"/>
    <w:rsid w:val="00DC5E52"/>
    <w:rsid w:val="00DC5E8D"/>
    <w:rsid w:val="00DC5EAB"/>
    <w:rsid w:val="00DC5EE9"/>
    <w:rsid w:val="00DC5F0A"/>
    <w:rsid w:val="00DC5F6B"/>
    <w:rsid w:val="00DC5FD3"/>
    <w:rsid w:val="00DC5FDA"/>
    <w:rsid w:val="00DC603E"/>
    <w:rsid w:val="00DC6053"/>
    <w:rsid w:val="00DC6094"/>
    <w:rsid w:val="00DC60AE"/>
    <w:rsid w:val="00DC60BB"/>
    <w:rsid w:val="00DC60BF"/>
    <w:rsid w:val="00DC60CC"/>
    <w:rsid w:val="00DC60D3"/>
    <w:rsid w:val="00DC6132"/>
    <w:rsid w:val="00DC6140"/>
    <w:rsid w:val="00DC61A4"/>
    <w:rsid w:val="00DC61BB"/>
    <w:rsid w:val="00DC61CA"/>
    <w:rsid w:val="00DC6233"/>
    <w:rsid w:val="00DC626F"/>
    <w:rsid w:val="00DC62A4"/>
    <w:rsid w:val="00DC62D6"/>
    <w:rsid w:val="00DC62DF"/>
    <w:rsid w:val="00DC6380"/>
    <w:rsid w:val="00DC639A"/>
    <w:rsid w:val="00DC63AA"/>
    <w:rsid w:val="00DC640A"/>
    <w:rsid w:val="00DC6629"/>
    <w:rsid w:val="00DC66CA"/>
    <w:rsid w:val="00DC66E1"/>
    <w:rsid w:val="00DC6731"/>
    <w:rsid w:val="00DC6741"/>
    <w:rsid w:val="00DC680C"/>
    <w:rsid w:val="00DC6819"/>
    <w:rsid w:val="00DC683D"/>
    <w:rsid w:val="00DC685F"/>
    <w:rsid w:val="00DC687A"/>
    <w:rsid w:val="00DC688E"/>
    <w:rsid w:val="00DC6899"/>
    <w:rsid w:val="00DC68E0"/>
    <w:rsid w:val="00DC6906"/>
    <w:rsid w:val="00DC692D"/>
    <w:rsid w:val="00DC692F"/>
    <w:rsid w:val="00DC6958"/>
    <w:rsid w:val="00DC6960"/>
    <w:rsid w:val="00DC69A2"/>
    <w:rsid w:val="00DC69E3"/>
    <w:rsid w:val="00DC6A99"/>
    <w:rsid w:val="00DC6B27"/>
    <w:rsid w:val="00DC6B46"/>
    <w:rsid w:val="00DC6BAE"/>
    <w:rsid w:val="00DC6BE0"/>
    <w:rsid w:val="00DC6BFF"/>
    <w:rsid w:val="00DC6C0B"/>
    <w:rsid w:val="00DC6C17"/>
    <w:rsid w:val="00DC6C20"/>
    <w:rsid w:val="00DC6C4E"/>
    <w:rsid w:val="00DC6C5E"/>
    <w:rsid w:val="00DC6C9C"/>
    <w:rsid w:val="00DC6CE8"/>
    <w:rsid w:val="00DC6CFF"/>
    <w:rsid w:val="00DC6D9C"/>
    <w:rsid w:val="00DC6E07"/>
    <w:rsid w:val="00DC6E40"/>
    <w:rsid w:val="00DC6E44"/>
    <w:rsid w:val="00DC6E73"/>
    <w:rsid w:val="00DC6E87"/>
    <w:rsid w:val="00DC6F51"/>
    <w:rsid w:val="00DC6F55"/>
    <w:rsid w:val="00DC6F7F"/>
    <w:rsid w:val="00DC6FAF"/>
    <w:rsid w:val="00DC6FE3"/>
    <w:rsid w:val="00DC700B"/>
    <w:rsid w:val="00DC704E"/>
    <w:rsid w:val="00DC7051"/>
    <w:rsid w:val="00DC707A"/>
    <w:rsid w:val="00DC708E"/>
    <w:rsid w:val="00DC70B4"/>
    <w:rsid w:val="00DC722B"/>
    <w:rsid w:val="00DC723F"/>
    <w:rsid w:val="00DC7272"/>
    <w:rsid w:val="00DC7278"/>
    <w:rsid w:val="00DC7296"/>
    <w:rsid w:val="00DC72D9"/>
    <w:rsid w:val="00DC72E3"/>
    <w:rsid w:val="00DC730D"/>
    <w:rsid w:val="00DC7311"/>
    <w:rsid w:val="00DC73CC"/>
    <w:rsid w:val="00DC755E"/>
    <w:rsid w:val="00DC75D1"/>
    <w:rsid w:val="00DC7677"/>
    <w:rsid w:val="00DC7679"/>
    <w:rsid w:val="00DC76D9"/>
    <w:rsid w:val="00DC7734"/>
    <w:rsid w:val="00DC7750"/>
    <w:rsid w:val="00DC7797"/>
    <w:rsid w:val="00DC77FA"/>
    <w:rsid w:val="00DC781D"/>
    <w:rsid w:val="00DC7859"/>
    <w:rsid w:val="00DC7893"/>
    <w:rsid w:val="00DC78B7"/>
    <w:rsid w:val="00DC78E6"/>
    <w:rsid w:val="00DC7900"/>
    <w:rsid w:val="00DC7909"/>
    <w:rsid w:val="00DC79CC"/>
    <w:rsid w:val="00DC7A29"/>
    <w:rsid w:val="00DC7A3A"/>
    <w:rsid w:val="00DC7AA3"/>
    <w:rsid w:val="00DC7ACB"/>
    <w:rsid w:val="00DC7B1D"/>
    <w:rsid w:val="00DC7BF6"/>
    <w:rsid w:val="00DC7BFA"/>
    <w:rsid w:val="00DC7BFF"/>
    <w:rsid w:val="00DC7C09"/>
    <w:rsid w:val="00DC7CBD"/>
    <w:rsid w:val="00DC7CCF"/>
    <w:rsid w:val="00DC7CFC"/>
    <w:rsid w:val="00DC7D09"/>
    <w:rsid w:val="00DC7D44"/>
    <w:rsid w:val="00DC7DD3"/>
    <w:rsid w:val="00DC7E05"/>
    <w:rsid w:val="00DC7E51"/>
    <w:rsid w:val="00DC7EB6"/>
    <w:rsid w:val="00DC7EE0"/>
    <w:rsid w:val="00DC7F11"/>
    <w:rsid w:val="00DC7F2D"/>
    <w:rsid w:val="00DC7F61"/>
    <w:rsid w:val="00DC7F88"/>
    <w:rsid w:val="00DC7F97"/>
    <w:rsid w:val="00DC7FD7"/>
    <w:rsid w:val="00DC7FFA"/>
    <w:rsid w:val="00DCEF96"/>
    <w:rsid w:val="00DD0031"/>
    <w:rsid w:val="00DD0053"/>
    <w:rsid w:val="00DD0061"/>
    <w:rsid w:val="00DD0093"/>
    <w:rsid w:val="00DD0145"/>
    <w:rsid w:val="00DD0180"/>
    <w:rsid w:val="00DD020F"/>
    <w:rsid w:val="00DD0214"/>
    <w:rsid w:val="00DD0221"/>
    <w:rsid w:val="00DD032A"/>
    <w:rsid w:val="00DD0371"/>
    <w:rsid w:val="00DD0489"/>
    <w:rsid w:val="00DD048D"/>
    <w:rsid w:val="00DD049D"/>
    <w:rsid w:val="00DD0514"/>
    <w:rsid w:val="00DD059B"/>
    <w:rsid w:val="00DD05C9"/>
    <w:rsid w:val="00DD05D8"/>
    <w:rsid w:val="00DD065B"/>
    <w:rsid w:val="00DD06AF"/>
    <w:rsid w:val="00DD06C0"/>
    <w:rsid w:val="00DD0721"/>
    <w:rsid w:val="00DD0741"/>
    <w:rsid w:val="00DD077F"/>
    <w:rsid w:val="00DD07C8"/>
    <w:rsid w:val="00DD0851"/>
    <w:rsid w:val="00DD0860"/>
    <w:rsid w:val="00DD0874"/>
    <w:rsid w:val="00DD08DD"/>
    <w:rsid w:val="00DD08EF"/>
    <w:rsid w:val="00DD0913"/>
    <w:rsid w:val="00DD092C"/>
    <w:rsid w:val="00DD0942"/>
    <w:rsid w:val="00DD094F"/>
    <w:rsid w:val="00DD097A"/>
    <w:rsid w:val="00DD09F2"/>
    <w:rsid w:val="00DD0A3D"/>
    <w:rsid w:val="00DD0AEA"/>
    <w:rsid w:val="00DD0B10"/>
    <w:rsid w:val="00DD0B19"/>
    <w:rsid w:val="00DD0B5F"/>
    <w:rsid w:val="00DD0B67"/>
    <w:rsid w:val="00DD0C64"/>
    <w:rsid w:val="00DD0CC8"/>
    <w:rsid w:val="00DD0D6E"/>
    <w:rsid w:val="00DD0D86"/>
    <w:rsid w:val="00DD0DA8"/>
    <w:rsid w:val="00DD0DCB"/>
    <w:rsid w:val="00DD0DF0"/>
    <w:rsid w:val="00DD0E4D"/>
    <w:rsid w:val="00DD0ECA"/>
    <w:rsid w:val="00DD0F22"/>
    <w:rsid w:val="00DD0F2C"/>
    <w:rsid w:val="00DD0F4A"/>
    <w:rsid w:val="00DD0F72"/>
    <w:rsid w:val="00DD0F9B"/>
    <w:rsid w:val="00DD0FC8"/>
    <w:rsid w:val="00DD0FE4"/>
    <w:rsid w:val="00DD1033"/>
    <w:rsid w:val="00DD1064"/>
    <w:rsid w:val="00DD114A"/>
    <w:rsid w:val="00DD1232"/>
    <w:rsid w:val="00DD1260"/>
    <w:rsid w:val="00DD1300"/>
    <w:rsid w:val="00DD1390"/>
    <w:rsid w:val="00DD1391"/>
    <w:rsid w:val="00DD13AB"/>
    <w:rsid w:val="00DD1404"/>
    <w:rsid w:val="00DD140B"/>
    <w:rsid w:val="00DD141B"/>
    <w:rsid w:val="00DD1477"/>
    <w:rsid w:val="00DD148C"/>
    <w:rsid w:val="00DD1559"/>
    <w:rsid w:val="00DD1578"/>
    <w:rsid w:val="00DD15F1"/>
    <w:rsid w:val="00DD15F9"/>
    <w:rsid w:val="00DD1604"/>
    <w:rsid w:val="00DD1689"/>
    <w:rsid w:val="00DD169D"/>
    <w:rsid w:val="00DD16F2"/>
    <w:rsid w:val="00DD16F4"/>
    <w:rsid w:val="00DD176B"/>
    <w:rsid w:val="00DD178E"/>
    <w:rsid w:val="00DD1793"/>
    <w:rsid w:val="00DD179F"/>
    <w:rsid w:val="00DD17A6"/>
    <w:rsid w:val="00DD17AF"/>
    <w:rsid w:val="00DD1822"/>
    <w:rsid w:val="00DD1825"/>
    <w:rsid w:val="00DD1836"/>
    <w:rsid w:val="00DD195C"/>
    <w:rsid w:val="00DD1966"/>
    <w:rsid w:val="00DD1A33"/>
    <w:rsid w:val="00DD1A94"/>
    <w:rsid w:val="00DD1AE5"/>
    <w:rsid w:val="00DD1B1E"/>
    <w:rsid w:val="00DD1B7A"/>
    <w:rsid w:val="00DD1B7E"/>
    <w:rsid w:val="00DD1BD7"/>
    <w:rsid w:val="00DD1C81"/>
    <w:rsid w:val="00DD1CA2"/>
    <w:rsid w:val="00DD1CD8"/>
    <w:rsid w:val="00DD1D54"/>
    <w:rsid w:val="00DD1DAA"/>
    <w:rsid w:val="00DD1DD9"/>
    <w:rsid w:val="00DD1E2A"/>
    <w:rsid w:val="00DD1EA5"/>
    <w:rsid w:val="00DD1EE4"/>
    <w:rsid w:val="00DD1F0C"/>
    <w:rsid w:val="00DD1F37"/>
    <w:rsid w:val="00DD1F5F"/>
    <w:rsid w:val="00DD1F97"/>
    <w:rsid w:val="00DD1FAB"/>
    <w:rsid w:val="00DD1FB1"/>
    <w:rsid w:val="00DD1FEB"/>
    <w:rsid w:val="00DD1FFA"/>
    <w:rsid w:val="00DD208D"/>
    <w:rsid w:val="00DD20AF"/>
    <w:rsid w:val="00DD20D4"/>
    <w:rsid w:val="00DD20EF"/>
    <w:rsid w:val="00DD2120"/>
    <w:rsid w:val="00DD2124"/>
    <w:rsid w:val="00DD2149"/>
    <w:rsid w:val="00DD215D"/>
    <w:rsid w:val="00DD2172"/>
    <w:rsid w:val="00DD2192"/>
    <w:rsid w:val="00DD2199"/>
    <w:rsid w:val="00DD21D7"/>
    <w:rsid w:val="00DD21E2"/>
    <w:rsid w:val="00DD220A"/>
    <w:rsid w:val="00DD2216"/>
    <w:rsid w:val="00DD228F"/>
    <w:rsid w:val="00DD22E3"/>
    <w:rsid w:val="00DD2321"/>
    <w:rsid w:val="00DD2340"/>
    <w:rsid w:val="00DD2386"/>
    <w:rsid w:val="00DD23DC"/>
    <w:rsid w:val="00DD2469"/>
    <w:rsid w:val="00DD2515"/>
    <w:rsid w:val="00DD2532"/>
    <w:rsid w:val="00DD2555"/>
    <w:rsid w:val="00DD2556"/>
    <w:rsid w:val="00DD257D"/>
    <w:rsid w:val="00DD259E"/>
    <w:rsid w:val="00DD25F7"/>
    <w:rsid w:val="00DD2603"/>
    <w:rsid w:val="00DD26F6"/>
    <w:rsid w:val="00DD273C"/>
    <w:rsid w:val="00DD273E"/>
    <w:rsid w:val="00DD2746"/>
    <w:rsid w:val="00DD2797"/>
    <w:rsid w:val="00DD279E"/>
    <w:rsid w:val="00DD285F"/>
    <w:rsid w:val="00DD28C8"/>
    <w:rsid w:val="00DD292A"/>
    <w:rsid w:val="00DD29A7"/>
    <w:rsid w:val="00DD2A2B"/>
    <w:rsid w:val="00DD2A9B"/>
    <w:rsid w:val="00DD2AB5"/>
    <w:rsid w:val="00DD2AE3"/>
    <w:rsid w:val="00DD2B25"/>
    <w:rsid w:val="00DD2BDA"/>
    <w:rsid w:val="00DD2C51"/>
    <w:rsid w:val="00DD2C5D"/>
    <w:rsid w:val="00DD2CA3"/>
    <w:rsid w:val="00DD2CBD"/>
    <w:rsid w:val="00DD2CFC"/>
    <w:rsid w:val="00DD2D00"/>
    <w:rsid w:val="00DD2D4B"/>
    <w:rsid w:val="00DD2D56"/>
    <w:rsid w:val="00DD2D8D"/>
    <w:rsid w:val="00DD2D94"/>
    <w:rsid w:val="00DD2DCF"/>
    <w:rsid w:val="00DD2E17"/>
    <w:rsid w:val="00DD2E2A"/>
    <w:rsid w:val="00DD2EAE"/>
    <w:rsid w:val="00DD2EFE"/>
    <w:rsid w:val="00DD2F13"/>
    <w:rsid w:val="00DD2F2D"/>
    <w:rsid w:val="00DD2F6C"/>
    <w:rsid w:val="00DD2F96"/>
    <w:rsid w:val="00DD2FBA"/>
    <w:rsid w:val="00DD3022"/>
    <w:rsid w:val="00DD3044"/>
    <w:rsid w:val="00DD3089"/>
    <w:rsid w:val="00DD30B5"/>
    <w:rsid w:val="00DD30F3"/>
    <w:rsid w:val="00DD314E"/>
    <w:rsid w:val="00DD318A"/>
    <w:rsid w:val="00DD31BA"/>
    <w:rsid w:val="00DD31BD"/>
    <w:rsid w:val="00DD31D2"/>
    <w:rsid w:val="00DD322F"/>
    <w:rsid w:val="00DD3257"/>
    <w:rsid w:val="00DD3293"/>
    <w:rsid w:val="00DD32BC"/>
    <w:rsid w:val="00DD3355"/>
    <w:rsid w:val="00DD3361"/>
    <w:rsid w:val="00DD33AD"/>
    <w:rsid w:val="00DD33B3"/>
    <w:rsid w:val="00DD33B5"/>
    <w:rsid w:val="00DD3405"/>
    <w:rsid w:val="00DD340A"/>
    <w:rsid w:val="00DD3425"/>
    <w:rsid w:val="00DD3427"/>
    <w:rsid w:val="00DD344A"/>
    <w:rsid w:val="00DD34E3"/>
    <w:rsid w:val="00DD35BB"/>
    <w:rsid w:val="00DD3696"/>
    <w:rsid w:val="00DD36F5"/>
    <w:rsid w:val="00DD3701"/>
    <w:rsid w:val="00DD3713"/>
    <w:rsid w:val="00DD382A"/>
    <w:rsid w:val="00DD3859"/>
    <w:rsid w:val="00DD388E"/>
    <w:rsid w:val="00DD38A3"/>
    <w:rsid w:val="00DD38DA"/>
    <w:rsid w:val="00DD38E2"/>
    <w:rsid w:val="00DD38E7"/>
    <w:rsid w:val="00DD3946"/>
    <w:rsid w:val="00DD395B"/>
    <w:rsid w:val="00DD39EF"/>
    <w:rsid w:val="00DD3A30"/>
    <w:rsid w:val="00DD3AAD"/>
    <w:rsid w:val="00DD3AC9"/>
    <w:rsid w:val="00DD3AF6"/>
    <w:rsid w:val="00DD3AFA"/>
    <w:rsid w:val="00DD3AFD"/>
    <w:rsid w:val="00DD3BB4"/>
    <w:rsid w:val="00DD3BF0"/>
    <w:rsid w:val="00DD3C1A"/>
    <w:rsid w:val="00DD3C1E"/>
    <w:rsid w:val="00DD3C60"/>
    <w:rsid w:val="00DD3C66"/>
    <w:rsid w:val="00DD3C73"/>
    <w:rsid w:val="00DD3CB3"/>
    <w:rsid w:val="00DD3CB7"/>
    <w:rsid w:val="00DD3CF5"/>
    <w:rsid w:val="00DD3D0F"/>
    <w:rsid w:val="00DD3D68"/>
    <w:rsid w:val="00DD3D98"/>
    <w:rsid w:val="00DD3DBF"/>
    <w:rsid w:val="00DD3DC4"/>
    <w:rsid w:val="00DD3E57"/>
    <w:rsid w:val="00DD3E68"/>
    <w:rsid w:val="00DD3E8B"/>
    <w:rsid w:val="00DD3EDB"/>
    <w:rsid w:val="00DD3F40"/>
    <w:rsid w:val="00DD3F84"/>
    <w:rsid w:val="00DD3FE8"/>
    <w:rsid w:val="00DD4007"/>
    <w:rsid w:val="00DD40A3"/>
    <w:rsid w:val="00DD410E"/>
    <w:rsid w:val="00DD41C7"/>
    <w:rsid w:val="00DD41E3"/>
    <w:rsid w:val="00DD41ED"/>
    <w:rsid w:val="00DD4335"/>
    <w:rsid w:val="00DD4343"/>
    <w:rsid w:val="00DD4350"/>
    <w:rsid w:val="00DD4354"/>
    <w:rsid w:val="00DD4370"/>
    <w:rsid w:val="00DD4419"/>
    <w:rsid w:val="00DD4438"/>
    <w:rsid w:val="00DD4453"/>
    <w:rsid w:val="00DD4497"/>
    <w:rsid w:val="00DD44D4"/>
    <w:rsid w:val="00DD44E9"/>
    <w:rsid w:val="00DD4665"/>
    <w:rsid w:val="00DD469E"/>
    <w:rsid w:val="00DD46AA"/>
    <w:rsid w:val="00DD4717"/>
    <w:rsid w:val="00DD471E"/>
    <w:rsid w:val="00DD483D"/>
    <w:rsid w:val="00DD4873"/>
    <w:rsid w:val="00DD487F"/>
    <w:rsid w:val="00DD48A1"/>
    <w:rsid w:val="00DD48C6"/>
    <w:rsid w:val="00DD48F3"/>
    <w:rsid w:val="00DD48FF"/>
    <w:rsid w:val="00DD4962"/>
    <w:rsid w:val="00DD499C"/>
    <w:rsid w:val="00DD49BF"/>
    <w:rsid w:val="00DD49CD"/>
    <w:rsid w:val="00DD49EE"/>
    <w:rsid w:val="00DD4A41"/>
    <w:rsid w:val="00DD4A5E"/>
    <w:rsid w:val="00DD4AC9"/>
    <w:rsid w:val="00DD4AEE"/>
    <w:rsid w:val="00DD4B2F"/>
    <w:rsid w:val="00DD4B55"/>
    <w:rsid w:val="00DD4B7E"/>
    <w:rsid w:val="00DD4BE1"/>
    <w:rsid w:val="00DD4C35"/>
    <w:rsid w:val="00DD4C64"/>
    <w:rsid w:val="00DD4C97"/>
    <w:rsid w:val="00DD4CFC"/>
    <w:rsid w:val="00DD4D2B"/>
    <w:rsid w:val="00DD4D60"/>
    <w:rsid w:val="00DD4DF6"/>
    <w:rsid w:val="00DD4E48"/>
    <w:rsid w:val="00DD4E98"/>
    <w:rsid w:val="00DD4EB7"/>
    <w:rsid w:val="00DD4EC9"/>
    <w:rsid w:val="00DD4EE3"/>
    <w:rsid w:val="00DD4F0B"/>
    <w:rsid w:val="00DD4F1B"/>
    <w:rsid w:val="00DD4F29"/>
    <w:rsid w:val="00DD4F53"/>
    <w:rsid w:val="00DD4FBA"/>
    <w:rsid w:val="00DD4FC8"/>
    <w:rsid w:val="00DD4FF3"/>
    <w:rsid w:val="00DD501C"/>
    <w:rsid w:val="00DD5026"/>
    <w:rsid w:val="00DD504F"/>
    <w:rsid w:val="00DD5057"/>
    <w:rsid w:val="00DD50EC"/>
    <w:rsid w:val="00DD512E"/>
    <w:rsid w:val="00DD5190"/>
    <w:rsid w:val="00DD5205"/>
    <w:rsid w:val="00DD5263"/>
    <w:rsid w:val="00DD533D"/>
    <w:rsid w:val="00DD53E1"/>
    <w:rsid w:val="00DD5407"/>
    <w:rsid w:val="00DD5408"/>
    <w:rsid w:val="00DD54B9"/>
    <w:rsid w:val="00DD5534"/>
    <w:rsid w:val="00DD5536"/>
    <w:rsid w:val="00DD55FE"/>
    <w:rsid w:val="00DD5640"/>
    <w:rsid w:val="00DD566E"/>
    <w:rsid w:val="00DD56B8"/>
    <w:rsid w:val="00DD56C2"/>
    <w:rsid w:val="00DD570B"/>
    <w:rsid w:val="00DD5769"/>
    <w:rsid w:val="00DD5788"/>
    <w:rsid w:val="00DD578D"/>
    <w:rsid w:val="00DD57B7"/>
    <w:rsid w:val="00DD5827"/>
    <w:rsid w:val="00DD582A"/>
    <w:rsid w:val="00DD5838"/>
    <w:rsid w:val="00DD5845"/>
    <w:rsid w:val="00DD585B"/>
    <w:rsid w:val="00DD587E"/>
    <w:rsid w:val="00DD5960"/>
    <w:rsid w:val="00DD5996"/>
    <w:rsid w:val="00DD59AF"/>
    <w:rsid w:val="00DD59F4"/>
    <w:rsid w:val="00DD59FE"/>
    <w:rsid w:val="00DD5A55"/>
    <w:rsid w:val="00DD5B06"/>
    <w:rsid w:val="00DD5B32"/>
    <w:rsid w:val="00DD5B46"/>
    <w:rsid w:val="00DD5B63"/>
    <w:rsid w:val="00DD5B83"/>
    <w:rsid w:val="00DD5B85"/>
    <w:rsid w:val="00DD5BAA"/>
    <w:rsid w:val="00DD5BAF"/>
    <w:rsid w:val="00DD5BCC"/>
    <w:rsid w:val="00DD5C07"/>
    <w:rsid w:val="00DD5C10"/>
    <w:rsid w:val="00DD5C13"/>
    <w:rsid w:val="00DD5C28"/>
    <w:rsid w:val="00DD5C87"/>
    <w:rsid w:val="00DD5CEC"/>
    <w:rsid w:val="00DD5D46"/>
    <w:rsid w:val="00DD5D8B"/>
    <w:rsid w:val="00DD5DD2"/>
    <w:rsid w:val="00DD5E12"/>
    <w:rsid w:val="00DD5E2C"/>
    <w:rsid w:val="00DD5E48"/>
    <w:rsid w:val="00DD5E6D"/>
    <w:rsid w:val="00DD5EFD"/>
    <w:rsid w:val="00DD5F17"/>
    <w:rsid w:val="00DD5F64"/>
    <w:rsid w:val="00DD5F83"/>
    <w:rsid w:val="00DD5FB9"/>
    <w:rsid w:val="00DD601B"/>
    <w:rsid w:val="00DD602A"/>
    <w:rsid w:val="00DD6093"/>
    <w:rsid w:val="00DD60B8"/>
    <w:rsid w:val="00DD60B9"/>
    <w:rsid w:val="00DD60CB"/>
    <w:rsid w:val="00DD60FF"/>
    <w:rsid w:val="00DD614A"/>
    <w:rsid w:val="00DD618B"/>
    <w:rsid w:val="00DD6194"/>
    <w:rsid w:val="00DD61F2"/>
    <w:rsid w:val="00DD623B"/>
    <w:rsid w:val="00DD62EB"/>
    <w:rsid w:val="00DD63F5"/>
    <w:rsid w:val="00DD646C"/>
    <w:rsid w:val="00DD64AE"/>
    <w:rsid w:val="00DD64F1"/>
    <w:rsid w:val="00DD6513"/>
    <w:rsid w:val="00DD65AA"/>
    <w:rsid w:val="00DD65E4"/>
    <w:rsid w:val="00DD6646"/>
    <w:rsid w:val="00DD665B"/>
    <w:rsid w:val="00DD6863"/>
    <w:rsid w:val="00DD687E"/>
    <w:rsid w:val="00DD6893"/>
    <w:rsid w:val="00DD68E5"/>
    <w:rsid w:val="00DD6971"/>
    <w:rsid w:val="00DD6983"/>
    <w:rsid w:val="00DD69A7"/>
    <w:rsid w:val="00DD6A2F"/>
    <w:rsid w:val="00DD6A61"/>
    <w:rsid w:val="00DD6B26"/>
    <w:rsid w:val="00DD6B39"/>
    <w:rsid w:val="00DD6B9A"/>
    <w:rsid w:val="00DD6BE6"/>
    <w:rsid w:val="00DD6C28"/>
    <w:rsid w:val="00DD6C82"/>
    <w:rsid w:val="00DD6C83"/>
    <w:rsid w:val="00DD6CAD"/>
    <w:rsid w:val="00DD6D1F"/>
    <w:rsid w:val="00DD6D44"/>
    <w:rsid w:val="00DD6D94"/>
    <w:rsid w:val="00DD6E03"/>
    <w:rsid w:val="00DD6E93"/>
    <w:rsid w:val="00DD6E9F"/>
    <w:rsid w:val="00DD6EAD"/>
    <w:rsid w:val="00DD6EF0"/>
    <w:rsid w:val="00DD6F1D"/>
    <w:rsid w:val="00DD6F32"/>
    <w:rsid w:val="00DD7016"/>
    <w:rsid w:val="00DD703E"/>
    <w:rsid w:val="00DD70BF"/>
    <w:rsid w:val="00DD70E0"/>
    <w:rsid w:val="00DD712F"/>
    <w:rsid w:val="00DD716A"/>
    <w:rsid w:val="00DD71B5"/>
    <w:rsid w:val="00DD71E6"/>
    <w:rsid w:val="00DD721C"/>
    <w:rsid w:val="00DD72DB"/>
    <w:rsid w:val="00DD732D"/>
    <w:rsid w:val="00DD737A"/>
    <w:rsid w:val="00DD73EA"/>
    <w:rsid w:val="00DD73FC"/>
    <w:rsid w:val="00DD744D"/>
    <w:rsid w:val="00DD7474"/>
    <w:rsid w:val="00DD74AB"/>
    <w:rsid w:val="00DD74E0"/>
    <w:rsid w:val="00DD74E6"/>
    <w:rsid w:val="00DD7506"/>
    <w:rsid w:val="00DD753D"/>
    <w:rsid w:val="00DD75B2"/>
    <w:rsid w:val="00DD75B6"/>
    <w:rsid w:val="00DD75F4"/>
    <w:rsid w:val="00DD760C"/>
    <w:rsid w:val="00DD7634"/>
    <w:rsid w:val="00DD763B"/>
    <w:rsid w:val="00DD76B6"/>
    <w:rsid w:val="00DD76CB"/>
    <w:rsid w:val="00DD76EA"/>
    <w:rsid w:val="00DD7782"/>
    <w:rsid w:val="00DD778B"/>
    <w:rsid w:val="00DD780E"/>
    <w:rsid w:val="00DD787E"/>
    <w:rsid w:val="00DD78C3"/>
    <w:rsid w:val="00DD78CA"/>
    <w:rsid w:val="00DD791A"/>
    <w:rsid w:val="00DD796D"/>
    <w:rsid w:val="00DD798E"/>
    <w:rsid w:val="00DD79B8"/>
    <w:rsid w:val="00DD79D7"/>
    <w:rsid w:val="00DD7A3D"/>
    <w:rsid w:val="00DD7A5D"/>
    <w:rsid w:val="00DD7A99"/>
    <w:rsid w:val="00DD7B86"/>
    <w:rsid w:val="00DD7C1F"/>
    <w:rsid w:val="00DD7C24"/>
    <w:rsid w:val="00DD7C34"/>
    <w:rsid w:val="00DD7CF7"/>
    <w:rsid w:val="00DD7DFD"/>
    <w:rsid w:val="00DD7E28"/>
    <w:rsid w:val="00DD7E31"/>
    <w:rsid w:val="00DD7E90"/>
    <w:rsid w:val="00DD7E94"/>
    <w:rsid w:val="00DD7E9E"/>
    <w:rsid w:val="00DD7ED5"/>
    <w:rsid w:val="00DD7F0F"/>
    <w:rsid w:val="00DD7F17"/>
    <w:rsid w:val="00DD7F1E"/>
    <w:rsid w:val="00DD7F3C"/>
    <w:rsid w:val="00DD7F8E"/>
    <w:rsid w:val="00DD7FAD"/>
    <w:rsid w:val="00DD7FE9"/>
    <w:rsid w:val="00DD7FF5"/>
    <w:rsid w:val="00DD7FF6"/>
    <w:rsid w:val="00DE0000"/>
    <w:rsid w:val="00DE0002"/>
    <w:rsid w:val="00DE0106"/>
    <w:rsid w:val="00DE013F"/>
    <w:rsid w:val="00DE0161"/>
    <w:rsid w:val="00DE018F"/>
    <w:rsid w:val="00DE01AF"/>
    <w:rsid w:val="00DE01D1"/>
    <w:rsid w:val="00DE0205"/>
    <w:rsid w:val="00DE0268"/>
    <w:rsid w:val="00DE028F"/>
    <w:rsid w:val="00DE02C3"/>
    <w:rsid w:val="00DE02E9"/>
    <w:rsid w:val="00DE0312"/>
    <w:rsid w:val="00DE0342"/>
    <w:rsid w:val="00DE03AC"/>
    <w:rsid w:val="00DE03B4"/>
    <w:rsid w:val="00DE03CD"/>
    <w:rsid w:val="00DE03CF"/>
    <w:rsid w:val="00DE042D"/>
    <w:rsid w:val="00DE0455"/>
    <w:rsid w:val="00DE0456"/>
    <w:rsid w:val="00DE04D9"/>
    <w:rsid w:val="00DE04E5"/>
    <w:rsid w:val="00DE0535"/>
    <w:rsid w:val="00DE058E"/>
    <w:rsid w:val="00DE05B4"/>
    <w:rsid w:val="00DE05B6"/>
    <w:rsid w:val="00DE05D0"/>
    <w:rsid w:val="00DE0649"/>
    <w:rsid w:val="00DE066D"/>
    <w:rsid w:val="00DE067B"/>
    <w:rsid w:val="00DE0695"/>
    <w:rsid w:val="00DE0697"/>
    <w:rsid w:val="00DE0800"/>
    <w:rsid w:val="00DE080B"/>
    <w:rsid w:val="00DE087A"/>
    <w:rsid w:val="00DE088C"/>
    <w:rsid w:val="00DE089F"/>
    <w:rsid w:val="00DE08B9"/>
    <w:rsid w:val="00DE0907"/>
    <w:rsid w:val="00DE0945"/>
    <w:rsid w:val="00DE0948"/>
    <w:rsid w:val="00DE0950"/>
    <w:rsid w:val="00DE0A2D"/>
    <w:rsid w:val="00DE0A4F"/>
    <w:rsid w:val="00DE0AD4"/>
    <w:rsid w:val="00DE0ADE"/>
    <w:rsid w:val="00DE0AEF"/>
    <w:rsid w:val="00DE0AF9"/>
    <w:rsid w:val="00DE0B2D"/>
    <w:rsid w:val="00DE0C00"/>
    <w:rsid w:val="00DE0C0E"/>
    <w:rsid w:val="00DE0C8C"/>
    <w:rsid w:val="00DE0C9C"/>
    <w:rsid w:val="00DE0CA9"/>
    <w:rsid w:val="00DE0CB0"/>
    <w:rsid w:val="00DE0CF2"/>
    <w:rsid w:val="00DE0E22"/>
    <w:rsid w:val="00DE0E2A"/>
    <w:rsid w:val="00DE0EF8"/>
    <w:rsid w:val="00DE0EFA"/>
    <w:rsid w:val="00DE0F19"/>
    <w:rsid w:val="00DE0F29"/>
    <w:rsid w:val="00DE0F31"/>
    <w:rsid w:val="00DE0F5D"/>
    <w:rsid w:val="00DE0F6A"/>
    <w:rsid w:val="00DE0F9C"/>
    <w:rsid w:val="00DE0FD2"/>
    <w:rsid w:val="00DE0FF9"/>
    <w:rsid w:val="00DE10FB"/>
    <w:rsid w:val="00DE1113"/>
    <w:rsid w:val="00DE1181"/>
    <w:rsid w:val="00DE1194"/>
    <w:rsid w:val="00DE11DA"/>
    <w:rsid w:val="00DE11E6"/>
    <w:rsid w:val="00DE11F1"/>
    <w:rsid w:val="00DE122E"/>
    <w:rsid w:val="00DE1262"/>
    <w:rsid w:val="00DE1278"/>
    <w:rsid w:val="00DE127D"/>
    <w:rsid w:val="00DE1282"/>
    <w:rsid w:val="00DE1287"/>
    <w:rsid w:val="00DE12D1"/>
    <w:rsid w:val="00DE133E"/>
    <w:rsid w:val="00DE13D2"/>
    <w:rsid w:val="00DE1426"/>
    <w:rsid w:val="00DE142B"/>
    <w:rsid w:val="00DE1437"/>
    <w:rsid w:val="00DE1440"/>
    <w:rsid w:val="00DE1449"/>
    <w:rsid w:val="00DE14DC"/>
    <w:rsid w:val="00DE1505"/>
    <w:rsid w:val="00DE153F"/>
    <w:rsid w:val="00DE15FD"/>
    <w:rsid w:val="00DE163B"/>
    <w:rsid w:val="00DE165D"/>
    <w:rsid w:val="00DE1666"/>
    <w:rsid w:val="00DE16A4"/>
    <w:rsid w:val="00DE16B0"/>
    <w:rsid w:val="00DE171E"/>
    <w:rsid w:val="00DE1750"/>
    <w:rsid w:val="00DE1776"/>
    <w:rsid w:val="00DE1810"/>
    <w:rsid w:val="00DE1818"/>
    <w:rsid w:val="00DE1852"/>
    <w:rsid w:val="00DE1857"/>
    <w:rsid w:val="00DE1871"/>
    <w:rsid w:val="00DE18C3"/>
    <w:rsid w:val="00DE1907"/>
    <w:rsid w:val="00DE1913"/>
    <w:rsid w:val="00DE1937"/>
    <w:rsid w:val="00DE1994"/>
    <w:rsid w:val="00DE19C0"/>
    <w:rsid w:val="00DE1A00"/>
    <w:rsid w:val="00DE1A37"/>
    <w:rsid w:val="00DE1A6E"/>
    <w:rsid w:val="00DE1A6F"/>
    <w:rsid w:val="00DE1AAC"/>
    <w:rsid w:val="00DE1AD8"/>
    <w:rsid w:val="00DE1B8A"/>
    <w:rsid w:val="00DE1C20"/>
    <w:rsid w:val="00DE1CA3"/>
    <w:rsid w:val="00DE1D02"/>
    <w:rsid w:val="00DE1D4A"/>
    <w:rsid w:val="00DE1DBE"/>
    <w:rsid w:val="00DE1DD9"/>
    <w:rsid w:val="00DE1EDC"/>
    <w:rsid w:val="00DE1EEE"/>
    <w:rsid w:val="00DE1F33"/>
    <w:rsid w:val="00DE1F6A"/>
    <w:rsid w:val="00DE1F6E"/>
    <w:rsid w:val="00DE1FEA"/>
    <w:rsid w:val="00DE2056"/>
    <w:rsid w:val="00DE20A5"/>
    <w:rsid w:val="00DE2109"/>
    <w:rsid w:val="00DE2121"/>
    <w:rsid w:val="00DE2182"/>
    <w:rsid w:val="00DE21B5"/>
    <w:rsid w:val="00DE21DB"/>
    <w:rsid w:val="00DE227A"/>
    <w:rsid w:val="00DE229B"/>
    <w:rsid w:val="00DE22F4"/>
    <w:rsid w:val="00DE230B"/>
    <w:rsid w:val="00DE2383"/>
    <w:rsid w:val="00DE23F2"/>
    <w:rsid w:val="00DE2435"/>
    <w:rsid w:val="00DE2466"/>
    <w:rsid w:val="00DE248A"/>
    <w:rsid w:val="00DE24CB"/>
    <w:rsid w:val="00DE2516"/>
    <w:rsid w:val="00DE2564"/>
    <w:rsid w:val="00DE257E"/>
    <w:rsid w:val="00DE2582"/>
    <w:rsid w:val="00DE2589"/>
    <w:rsid w:val="00DE25B8"/>
    <w:rsid w:val="00DE25E2"/>
    <w:rsid w:val="00DE2608"/>
    <w:rsid w:val="00DE261D"/>
    <w:rsid w:val="00DE2678"/>
    <w:rsid w:val="00DE2698"/>
    <w:rsid w:val="00DE26BC"/>
    <w:rsid w:val="00DE26CE"/>
    <w:rsid w:val="00DE2712"/>
    <w:rsid w:val="00DE272D"/>
    <w:rsid w:val="00DE2743"/>
    <w:rsid w:val="00DE2828"/>
    <w:rsid w:val="00DE286B"/>
    <w:rsid w:val="00DE289E"/>
    <w:rsid w:val="00DE28D8"/>
    <w:rsid w:val="00DE28E9"/>
    <w:rsid w:val="00DE29F1"/>
    <w:rsid w:val="00DE2A62"/>
    <w:rsid w:val="00DE2AAF"/>
    <w:rsid w:val="00DE2AD8"/>
    <w:rsid w:val="00DE2ADA"/>
    <w:rsid w:val="00DE2AF9"/>
    <w:rsid w:val="00DE2B29"/>
    <w:rsid w:val="00DE2B52"/>
    <w:rsid w:val="00DE2B66"/>
    <w:rsid w:val="00DE2B67"/>
    <w:rsid w:val="00DE2C39"/>
    <w:rsid w:val="00DE2C5B"/>
    <w:rsid w:val="00DE2C62"/>
    <w:rsid w:val="00DE2C85"/>
    <w:rsid w:val="00DE2CD7"/>
    <w:rsid w:val="00DE2D3F"/>
    <w:rsid w:val="00DE2D4E"/>
    <w:rsid w:val="00DE2DDE"/>
    <w:rsid w:val="00DE2E18"/>
    <w:rsid w:val="00DE2E4F"/>
    <w:rsid w:val="00DE2EC8"/>
    <w:rsid w:val="00DE2F46"/>
    <w:rsid w:val="00DE2FF6"/>
    <w:rsid w:val="00DE301B"/>
    <w:rsid w:val="00DE3044"/>
    <w:rsid w:val="00DE3052"/>
    <w:rsid w:val="00DE3088"/>
    <w:rsid w:val="00DE3094"/>
    <w:rsid w:val="00DE30D5"/>
    <w:rsid w:val="00DE30F8"/>
    <w:rsid w:val="00DE3102"/>
    <w:rsid w:val="00DE3146"/>
    <w:rsid w:val="00DE31B5"/>
    <w:rsid w:val="00DE31C3"/>
    <w:rsid w:val="00DE31F6"/>
    <w:rsid w:val="00DE3227"/>
    <w:rsid w:val="00DE3236"/>
    <w:rsid w:val="00DE32B5"/>
    <w:rsid w:val="00DE32C2"/>
    <w:rsid w:val="00DE3305"/>
    <w:rsid w:val="00DE3351"/>
    <w:rsid w:val="00DE3386"/>
    <w:rsid w:val="00DE3392"/>
    <w:rsid w:val="00DE33DA"/>
    <w:rsid w:val="00DE3486"/>
    <w:rsid w:val="00DE349F"/>
    <w:rsid w:val="00DE34D9"/>
    <w:rsid w:val="00DE350D"/>
    <w:rsid w:val="00DE3525"/>
    <w:rsid w:val="00DE3566"/>
    <w:rsid w:val="00DE3567"/>
    <w:rsid w:val="00DE356A"/>
    <w:rsid w:val="00DE359A"/>
    <w:rsid w:val="00DE35B9"/>
    <w:rsid w:val="00DE361C"/>
    <w:rsid w:val="00DE3637"/>
    <w:rsid w:val="00DE36B8"/>
    <w:rsid w:val="00DE36E4"/>
    <w:rsid w:val="00DE36F4"/>
    <w:rsid w:val="00DE3705"/>
    <w:rsid w:val="00DE371A"/>
    <w:rsid w:val="00DE3759"/>
    <w:rsid w:val="00DE375B"/>
    <w:rsid w:val="00DE379A"/>
    <w:rsid w:val="00DE3807"/>
    <w:rsid w:val="00DE38AD"/>
    <w:rsid w:val="00DE38C2"/>
    <w:rsid w:val="00DE3945"/>
    <w:rsid w:val="00DE3951"/>
    <w:rsid w:val="00DE39A6"/>
    <w:rsid w:val="00DE39A9"/>
    <w:rsid w:val="00DE39DA"/>
    <w:rsid w:val="00DE3A26"/>
    <w:rsid w:val="00DE3ACB"/>
    <w:rsid w:val="00DE3B27"/>
    <w:rsid w:val="00DE3B64"/>
    <w:rsid w:val="00DE3B6B"/>
    <w:rsid w:val="00DE3C90"/>
    <w:rsid w:val="00DE3CF7"/>
    <w:rsid w:val="00DE3DAF"/>
    <w:rsid w:val="00DE3DC7"/>
    <w:rsid w:val="00DE3E23"/>
    <w:rsid w:val="00DE3EBC"/>
    <w:rsid w:val="00DE3EBD"/>
    <w:rsid w:val="00DE3F6A"/>
    <w:rsid w:val="00DE3FC0"/>
    <w:rsid w:val="00DE3FD2"/>
    <w:rsid w:val="00DE4043"/>
    <w:rsid w:val="00DE408F"/>
    <w:rsid w:val="00DE409F"/>
    <w:rsid w:val="00DE40DF"/>
    <w:rsid w:val="00DE40EE"/>
    <w:rsid w:val="00DE415E"/>
    <w:rsid w:val="00DE4166"/>
    <w:rsid w:val="00DE41C1"/>
    <w:rsid w:val="00DE4266"/>
    <w:rsid w:val="00DE4293"/>
    <w:rsid w:val="00DE42BA"/>
    <w:rsid w:val="00DE42D2"/>
    <w:rsid w:val="00DE42DD"/>
    <w:rsid w:val="00DE42E9"/>
    <w:rsid w:val="00DE42FE"/>
    <w:rsid w:val="00DE433C"/>
    <w:rsid w:val="00DE43AC"/>
    <w:rsid w:val="00DE442E"/>
    <w:rsid w:val="00DE443C"/>
    <w:rsid w:val="00DE447A"/>
    <w:rsid w:val="00DE44FE"/>
    <w:rsid w:val="00DE4585"/>
    <w:rsid w:val="00DE464F"/>
    <w:rsid w:val="00DE4663"/>
    <w:rsid w:val="00DE46DA"/>
    <w:rsid w:val="00DE471C"/>
    <w:rsid w:val="00DE472D"/>
    <w:rsid w:val="00DE4740"/>
    <w:rsid w:val="00DE4741"/>
    <w:rsid w:val="00DE4754"/>
    <w:rsid w:val="00DE4796"/>
    <w:rsid w:val="00DE47AE"/>
    <w:rsid w:val="00DE4879"/>
    <w:rsid w:val="00DE48DE"/>
    <w:rsid w:val="00DE48E0"/>
    <w:rsid w:val="00DE48F5"/>
    <w:rsid w:val="00DE48FF"/>
    <w:rsid w:val="00DE4903"/>
    <w:rsid w:val="00DE4933"/>
    <w:rsid w:val="00DE4938"/>
    <w:rsid w:val="00DE4983"/>
    <w:rsid w:val="00DE49D8"/>
    <w:rsid w:val="00DE4A05"/>
    <w:rsid w:val="00DE4A14"/>
    <w:rsid w:val="00DE4A55"/>
    <w:rsid w:val="00DE4A69"/>
    <w:rsid w:val="00DE4A84"/>
    <w:rsid w:val="00DE4ADF"/>
    <w:rsid w:val="00DE4B43"/>
    <w:rsid w:val="00DE4B82"/>
    <w:rsid w:val="00DE4B85"/>
    <w:rsid w:val="00DE4BC0"/>
    <w:rsid w:val="00DE4BC7"/>
    <w:rsid w:val="00DE4BD0"/>
    <w:rsid w:val="00DE4C10"/>
    <w:rsid w:val="00DE4C1D"/>
    <w:rsid w:val="00DE4C5E"/>
    <w:rsid w:val="00DE4C61"/>
    <w:rsid w:val="00DE4C84"/>
    <w:rsid w:val="00DE4CD8"/>
    <w:rsid w:val="00DE4D3A"/>
    <w:rsid w:val="00DE4DAE"/>
    <w:rsid w:val="00DE4DB8"/>
    <w:rsid w:val="00DE4DE1"/>
    <w:rsid w:val="00DE4E9C"/>
    <w:rsid w:val="00DE4F26"/>
    <w:rsid w:val="00DE4F58"/>
    <w:rsid w:val="00DE4F72"/>
    <w:rsid w:val="00DE4F88"/>
    <w:rsid w:val="00DE4FBF"/>
    <w:rsid w:val="00DE5081"/>
    <w:rsid w:val="00DE50E1"/>
    <w:rsid w:val="00DE50E6"/>
    <w:rsid w:val="00DE5124"/>
    <w:rsid w:val="00DE5150"/>
    <w:rsid w:val="00DE5155"/>
    <w:rsid w:val="00DE51DD"/>
    <w:rsid w:val="00DE51DE"/>
    <w:rsid w:val="00DE524F"/>
    <w:rsid w:val="00DE5284"/>
    <w:rsid w:val="00DE5292"/>
    <w:rsid w:val="00DE52B2"/>
    <w:rsid w:val="00DE52E0"/>
    <w:rsid w:val="00DE531B"/>
    <w:rsid w:val="00DE535A"/>
    <w:rsid w:val="00DE536A"/>
    <w:rsid w:val="00DE53B0"/>
    <w:rsid w:val="00DE53C0"/>
    <w:rsid w:val="00DE544E"/>
    <w:rsid w:val="00DE5481"/>
    <w:rsid w:val="00DE54FE"/>
    <w:rsid w:val="00DE5581"/>
    <w:rsid w:val="00DE55E8"/>
    <w:rsid w:val="00DE5619"/>
    <w:rsid w:val="00DE563B"/>
    <w:rsid w:val="00DE5667"/>
    <w:rsid w:val="00DE5676"/>
    <w:rsid w:val="00DE5687"/>
    <w:rsid w:val="00DE5866"/>
    <w:rsid w:val="00DE5867"/>
    <w:rsid w:val="00DE586D"/>
    <w:rsid w:val="00DE58AA"/>
    <w:rsid w:val="00DE590A"/>
    <w:rsid w:val="00DE5918"/>
    <w:rsid w:val="00DE5948"/>
    <w:rsid w:val="00DE5986"/>
    <w:rsid w:val="00DE59A3"/>
    <w:rsid w:val="00DE5A00"/>
    <w:rsid w:val="00DE5A03"/>
    <w:rsid w:val="00DE5AC5"/>
    <w:rsid w:val="00DE5B00"/>
    <w:rsid w:val="00DE5B9F"/>
    <w:rsid w:val="00DE5BC8"/>
    <w:rsid w:val="00DE5C87"/>
    <w:rsid w:val="00DE5CA3"/>
    <w:rsid w:val="00DE5CC1"/>
    <w:rsid w:val="00DE5CCE"/>
    <w:rsid w:val="00DE5CEB"/>
    <w:rsid w:val="00DE5D00"/>
    <w:rsid w:val="00DE5D69"/>
    <w:rsid w:val="00DE5DCE"/>
    <w:rsid w:val="00DE5E3D"/>
    <w:rsid w:val="00DE5F2A"/>
    <w:rsid w:val="00DE5F6E"/>
    <w:rsid w:val="00DE5FA4"/>
    <w:rsid w:val="00DE5FA7"/>
    <w:rsid w:val="00DE5FCC"/>
    <w:rsid w:val="00DE6007"/>
    <w:rsid w:val="00DE6021"/>
    <w:rsid w:val="00DE60B6"/>
    <w:rsid w:val="00DE6105"/>
    <w:rsid w:val="00DE6188"/>
    <w:rsid w:val="00DE6193"/>
    <w:rsid w:val="00DE623D"/>
    <w:rsid w:val="00DE6240"/>
    <w:rsid w:val="00DE6251"/>
    <w:rsid w:val="00DE637D"/>
    <w:rsid w:val="00DE63A0"/>
    <w:rsid w:val="00DE63B1"/>
    <w:rsid w:val="00DE63BB"/>
    <w:rsid w:val="00DE63D7"/>
    <w:rsid w:val="00DE63E3"/>
    <w:rsid w:val="00DE63EE"/>
    <w:rsid w:val="00DE6411"/>
    <w:rsid w:val="00DE6424"/>
    <w:rsid w:val="00DE647C"/>
    <w:rsid w:val="00DE6489"/>
    <w:rsid w:val="00DE64E0"/>
    <w:rsid w:val="00DE6528"/>
    <w:rsid w:val="00DE6531"/>
    <w:rsid w:val="00DE6543"/>
    <w:rsid w:val="00DE6546"/>
    <w:rsid w:val="00DE654C"/>
    <w:rsid w:val="00DE657F"/>
    <w:rsid w:val="00DE6587"/>
    <w:rsid w:val="00DE65AE"/>
    <w:rsid w:val="00DE65BF"/>
    <w:rsid w:val="00DE65D1"/>
    <w:rsid w:val="00DE6623"/>
    <w:rsid w:val="00DE6645"/>
    <w:rsid w:val="00DE66B0"/>
    <w:rsid w:val="00DE679D"/>
    <w:rsid w:val="00DE679E"/>
    <w:rsid w:val="00DE67CD"/>
    <w:rsid w:val="00DE67FF"/>
    <w:rsid w:val="00DE6800"/>
    <w:rsid w:val="00DE6811"/>
    <w:rsid w:val="00DE684E"/>
    <w:rsid w:val="00DE6877"/>
    <w:rsid w:val="00DE68E4"/>
    <w:rsid w:val="00DE68F6"/>
    <w:rsid w:val="00DE6967"/>
    <w:rsid w:val="00DE6982"/>
    <w:rsid w:val="00DE69DB"/>
    <w:rsid w:val="00DE6A10"/>
    <w:rsid w:val="00DE6A19"/>
    <w:rsid w:val="00DE6A45"/>
    <w:rsid w:val="00DE6AA0"/>
    <w:rsid w:val="00DE6B5B"/>
    <w:rsid w:val="00DE6BF0"/>
    <w:rsid w:val="00DE6C0E"/>
    <w:rsid w:val="00DE6C19"/>
    <w:rsid w:val="00DE6C63"/>
    <w:rsid w:val="00DE6CAC"/>
    <w:rsid w:val="00DE6CB4"/>
    <w:rsid w:val="00DE6CF2"/>
    <w:rsid w:val="00DE6D1A"/>
    <w:rsid w:val="00DE6D37"/>
    <w:rsid w:val="00DE6D6A"/>
    <w:rsid w:val="00DE6DD0"/>
    <w:rsid w:val="00DE6DFF"/>
    <w:rsid w:val="00DE6EB4"/>
    <w:rsid w:val="00DE6EC7"/>
    <w:rsid w:val="00DE701A"/>
    <w:rsid w:val="00DE7043"/>
    <w:rsid w:val="00DE707B"/>
    <w:rsid w:val="00DE7081"/>
    <w:rsid w:val="00DE708C"/>
    <w:rsid w:val="00DE708F"/>
    <w:rsid w:val="00DE7111"/>
    <w:rsid w:val="00DE713F"/>
    <w:rsid w:val="00DE7170"/>
    <w:rsid w:val="00DE71C4"/>
    <w:rsid w:val="00DE71DE"/>
    <w:rsid w:val="00DE7209"/>
    <w:rsid w:val="00DE721A"/>
    <w:rsid w:val="00DE724B"/>
    <w:rsid w:val="00DE724D"/>
    <w:rsid w:val="00DE73CE"/>
    <w:rsid w:val="00DE7439"/>
    <w:rsid w:val="00DE743B"/>
    <w:rsid w:val="00DE74A5"/>
    <w:rsid w:val="00DE74AD"/>
    <w:rsid w:val="00DE74B9"/>
    <w:rsid w:val="00DE74E9"/>
    <w:rsid w:val="00DE74EE"/>
    <w:rsid w:val="00DE74FB"/>
    <w:rsid w:val="00DE7581"/>
    <w:rsid w:val="00DE7582"/>
    <w:rsid w:val="00DE75B1"/>
    <w:rsid w:val="00DE7613"/>
    <w:rsid w:val="00DE765A"/>
    <w:rsid w:val="00DE76AE"/>
    <w:rsid w:val="00DE7718"/>
    <w:rsid w:val="00DE7784"/>
    <w:rsid w:val="00DE77EC"/>
    <w:rsid w:val="00DE786B"/>
    <w:rsid w:val="00DE78CA"/>
    <w:rsid w:val="00DE7919"/>
    <w:rsid w:val="00DE7984"/>
    <w:rsid w:val="00DE7991"/>
    <w:rsid w:val="00DE7A2B"/>
    <w:rsid w:val="00DE7A76"/>
    <w:rsid w:val="00DE7A8C"/>
    <w:rsid w:val="00DE7ADD"/>
    <w:rsid w:val="00DE7B16"/>
    <w:rsid w:val="00DE7BD3"/>
    <w:rsid w:val="00DE7C02"/>
    <w:rsid w:val="00DE7C13"/>
    <w:rsid w:val="00DE7CC0"/>
    <w:rsid w:val="00DE7CCB"/>
    <w:rsid w:val="00DE7DE4"/>
    <w:rsid w:val="00DE7DEA"/>
    <w:rsid w:val="00DE7DF7"/>
    <w:rsid w:val="00DE7E87"/>
    <w:rsid w:val="00DE7EBC"/>
    <w:rsid w:val="00DE7EE4"/>
    <w:rsid w:val="00DE7EE9"/>
    <w:rsid w:val="00DE7F2C"/>
    <w:rsid w:val="00DE7F85"/>
    <w:rsid w:val="00DEF2E3"/>
    <w:rsid w:val="00DF0089"/>
    <w:rsid w:val="00DF0178"/>
    <w:rsid w:val="00DF01CE"/>
    <w:rsid w:val="00DF0272"/>
    <w:rsid w:val="00DF0355"/>
    <w:rsid w:val="00DF03A3"/>
    <w:rsid w:val="00DF03E6"/>
    <w:rsid w:val="00DF04C2"/>
    <w:rsid w:val="00DF04D4"/>
    <w:rsid w:val="00DF0504"/>
    <w:rsid w:val="00DF057E"/>
    <w:rsid w:val="00DF0592"/>
    <w:rsid w:val="00DF0640"/>
    <w:rsid w:val="00DF069B"/>
    <w:rsid w:val="00DF06C2"/>
    <w:rsid w:val="00DF06C5"/>
    <w:rsid w:val="00DF06FF"/>
    <w:rsid w:val="00DF0731"/>
    <w:rsid w:val="00DF0746"/>
    <w:rsid w:val="00DF07BB"/>
    <w:rsid w:val="00DF0834"/>
    <w:rsid w:val="00DF083E"/>
    <w:rsid w:val="00DF0861"/>
    <w:rsid w:val="00DF08A5"/>
    <w:rsid w:val="00DF08F6"/>
    <w:rsid w:val="00DF090E"/>
    <w:rsid w:val="00DF091D"/>
    <w:rsid w:val="00DF097D"/>
    <w:rsid w:val="00DF09FF"/>
    <w:rsid w:val="00DF0AD2"/>
    <w:rsid w:val="00DF0B3A"/>
    <w:rsid w:val="00DF0B8B"/>
    <w:rsid w:val="00DF0B96"/>
    <w:rsid w:val="00DF0C11"/>
    <w:rsid w:val="00DF0C32"/>
    <w:rsid w:val="00DF0C3B"/>
    <w:rsid w:val="00DF0C3F"/>
    <w:rsid w:val="00DF0CF0"/>
    <w:rsid w:val="00DF0CF4"/>
    <w:rsid w:val="00DF0D6E"/>
    <w:rsid w:val="00DF0DE6"/>
    <w:rsid w:val="00DF0E14"/>
    <w:rsid w:val="00DF0E27"/>
    <w:rsid w:val="00DF0E55"/>
    <w:rsid w:val="00DF0E71"/>
    <w:rsid w:val="00DF0E83"/>
    <w:rsid w:val="00DF0F0B"/>
    <w:rsid w:val="00DF0F22"/>
    <w:rsid w:val="00DF0F3B"/>
    <w:rsid w:val="00DF0F76"/>
    <w:rsid w:val="00DF0F86"/>
    <w:rsid w:val="00DF1031"/>
    <w:rsid w:val="00DF1034"/>
    <w:rsid w:val="00DF1050"/>
    <w:rsid w:val="00DF1079"/>
    <w:rsid w:val="00DF107A"/>
    <w:rsid w:val="00DF109B"/>
    <w:rsid w:val="00DF10EC"/>
    <w:rsid w:val="00DF1116"/>
    <w:rsid w:val="00DF114F"/>
    <w:rsid w:val="00DF1293"/>
    <w:rsid w:val="00DF12AD"/>
    <w:rsid w:val="00DF12B9"/>
    <w:rsid w:val="00DF12E9"/>
    <w:rsid w:val="00DF1361"/>
    <w:rsid w:val="00DF136C"/>
    <w:rsid w:val="00DF1378"/>
    <w:rsid w:val="00DF13B5"/>
    <w:rsid w:val="00DF13DE"/>
    <w:rsid w:val="00DF1485"/>
    <w:rsid w:val="00DF14C4"/>
    <w:rsid w:val="00DF1556"/>
    <w:rsid w:val="00DF1577"/>
    <w:rsid w:val="00DF1584"/>
    <w:rsid w:val="00DF15A8"/>
    <w:rsid w:val="00DF15A9"/>
    <w:rsid w:val="00DF15E0"/>
    <w:rsid w:val="00DF162B"/>
    <w:rsid w:val="00DF1669"/>
    <w:rsid w:val="00DF167B"/>
    <w:rsid w:val="00DF16D7"/>
    <w:rsid w:val="00DF16DD"/>
    <w:rsid w:val="00DF16E7"/>
    <w:rsid w:val="00DF1703"/>
    <w:rsid w:val="00DF17D0"/>
    <w:rsid w:val="00DF180D"/>
    <w:rsid w:val="00DF18C4"/>
    <w:rsid w:val="00DF18DB"/>
    <w:rsid w:val="00DF192F"/>
    <w:rsid w:val="00DF1953"/>
    <w:rsid w:val="00DF1963"/>
    <w:rsid w:val="00DF1996"/>
    <w:rsid w:val="00DF19D8"/>
    <w:rsid w:val="00DF19DC"/>
    <w:rsid w:val="00DF19EC"/>
    <w:rsid w:val="00DF1A00"/>
    <w:rsid w:val="00DF1AAC"/>
    <w:rsid w:val="00DF1B4D"/>
    <w:rsid w:val="00DF1BB5"/>
    <w:rsid w:val="00DF1BBF"/>
    <w:rsid w:val="00DF1C0A"/>
    <w:rsid w:val="00DF1D10"/>
    <w:rsid w:val="00DF1D62"/>
    <w:rsid w:val="00DF1D80"/>
    <w:rsid w:val="00DF1D90"/>
    <w:rsid w:val="00DF1D9A"/>
    <w:rsid w:val="00DF1E77"/>
    <w:rsid w:val="00DF1FFB"/>
    <w:rsid w:val="00DF201E"/>
    <w:rsid w:val="00DF2021"/>
    <w:rsid w:val="00DF2082"/>
    <w:rsid w:val="00DF209D"/>
    <w:rsid w:val="00DF20DC"/>
    <w:rsid w:val="00DF2102"/>
    <w:rsid w:val="00DF216B"/>
    <w:rsid w:val="00DF219A"/>
    <w:rsid w:val="00DF21BB"/>
    <w:rsid w:val="00DF21E5"/>
    <w:rsid w:val="00DF22F0"/>
    <w:rsid w:val="00DF238D"/>
    <w:rsid w:val="00DF23A4"/>
    <w:rsid w:val="00DF23D9"/>
    <w:rsid w:val="00DF23E0"/>
    <w:rsid w:val="00DF2445"/>
    <w:rsid w:val="00DF248B"/>
    <w:rsid w:val="00DF2580"/>
    <w:rsid w:val="00DF25B7"/>
    <w:rsid w:val="00DF25CD"/>
    <w:rsid w:val="00DF260C"/>
    <w:rsid w:val="00DF263D"/>
    <w:rsid w:val="00DF266B"/>
    <w:rsid w:val="00DF269D"/>
    <w:rsid w:val="00DF2703"/>
    <w:rsid w:val="00DF2753"/>
    <w:rsid w:val="00DF27A0"/>
    <w:rsid w:val="00DF2813"/>
    <w:rsid w:val="00DF2854"/>
    <w:rsid w:val="00DF28F6"/>
    <w:rsid w:val="00DF290B"/>
    <w:rsid w:val="00DF294A"/>
    <w:rsid w:val="00DF295E"/>
    <w:rsid w:val="00DF29F2"/>
    <w:rsid w:val="00DF2A1A"/>
    <w:rsid w:val="00DF2A3A"/>
    <w:rsid w:val="00DF2A45"/>
    <w:rsid w:val="00DF2A93"/>
    <w:rsid w:val="00DF2AAC"/>
    <w:rsid w:val="00DF2AD2"/>
    <w:rsid w:val="00DF2B34"/>
    <w:rsid w:val="00DF2B43"/>
    <w:rsid w:val="00DF2B73"/>
    <w:rsid w:val="00DF2B75"/>
    <w:rsid w:val="00DF2BA9"/>
    <w:rsid w:val="00DF2BB8"/>
    <w:rsid w:val="00DF2BF1"/>
    <w:rsid w:val="00DF2C00"/>
    <w:rsid w:val="00DF2C3E"/>
    <w:rsid w:val="00DF2C8B"/>
    <w:rsid w:val="00DF2CB9"/>
    <w:rsid w:val="00DF2D03"/>
    <w:rsid w:val="00DF2D43"/>
    <w:rsid w:val="00DF2DDA"/>
    <w:rsid w:val="00DF2E07"/>
    <w:rsid w:val="00DF2E65"/>
    <w:rsid w:val="00DF2E7F"/>
    <w:rsid w:val="00DF2EC4"/>
    <w:rsid w:val="00DF2F37"/>
    <w:rsid w:val="00DF2F40"/>
    <w:rsid w:val="00DF2F56"/>
    <w:rsid w:val="00DF3021"/>
    <w:rsid w:val="00DF30FF"/>
    <w:rsid w:val="00DF3107"/>
    <w:rsid w:val="00DF314F"/>
    <w:rsid w:val="00DF3155"/>
    <w:rsid w:val="00DF315D"/>
    <w:rsid w:val="00DF3184"/>
    <w:rsid w:val="00DF31BE"/>
    <w:rsid w:val="00DF31CC"/>
    <w:rsid w:val="00DF31EB"/>
    <w:rsid w:val="00DF3244"/>
    <w:rsid w:val="00DF3252"/>
    <w:rsid w:val="00DF3255"/>
    <w:rsid w:val="00DF3279"/>
    <w:rsid w:val="00DF3295"/>
    <w:rsid w:val="00DF3299"/>
    <w:rsid w:val="00DF32C7"/>
    <w:rsid w:val="00DF32DC"/>
    <w:rsid w:val="00DF3325"/>
    <w:rsid w:val="00DF3351"/>
    <w:rsid w:val="00DF338C"/>
    <w:rsid w:val="00DF339F"/>
    <w:rsid w:val="00DF33CA"/>
    <w:rsid w:val="00DF33CC"/>
    <w:rsid w:val="00DF33F0"/>
    <w:rsid w:val="00DF3438"/>
    <w:rsid w:val="00DF3467"/>
    <w:rsid w:val="00DF3493"/>
    <w:rsid w:val="00DF3498"/>
    <w:rsid w:val="00DF34A6"/>
    <w:rsid w:val="00DF353A"/>
    <w:rsid w:val="00DF356B"/>
    <w:rsid w:val="00DF35A9"/>
    <w:rsid w:val="00DF35AF"/>
    <w:rsid w:val="00DF363E"/>
    <w:rsid w:val="00DF36E3"/>
    <w:rsid w:val="00DF372B"/>
    <w:rsid w:val="00DF3763"/>
    <w:rsid w:val="00DF378E"/>
    <w:rsid w:val="00DF37FB"/>
    <w:rsid w:val="00DF3804"/>
    <w:rsid w:val="00DF3817"/>
    <w:rsid w:val="00DF3884"/>
    <w:rsid w:val="00DF388D"/>
    <w:rsid w:val="00DF38B1"/>
    <w:rsid w:val="00DF38E1"/>
    <w:rsid w:val="00DF3925"/>
    <w:rsid w:val="00DF395C"/>
    <w:rsid w:val="00DF3964"/>
    <w:rsid w:val="00DF398C"/>
    <w:rsid w:val="00DF39BD"/>
    <w:rsid w:val="00DF3A0C"/>
    <w:rsid w:val="00DF3A2F"/>
    <w:rsid w:val="00DF3A48"/>
    <w:rsid w:val="00DF3AA7"/>
    <w:rsid w:val="00DF3AE1"/>
    <w:rsid w:val="00DF3B01"/>
    <w:rsid w:val="00DF3B46"/>
    <w:rsid w:val="00DF3BBE"/>
    <w:rsid w:val="00DF3BC6"/>
    <w:rsid w:val="00DF3C05"/>
    <w:rsid w:val="00DF3C32"/>
    <w:rsid w:val="00DF3C57"/>
    <w:rsid w:val="00DF3C99"/>
    <w:rsid w:val="00DF3D6C"/>
    <w:rsid w:val="00DF3DAE"/>
    <w:rsid w:val="00DF3DC3"/>
    <w:rsid w:val="00DF3DE7"/>
    <w:rsid w:val="00DF3E27"/>
    <w:rsid w:val="00DF3E6B"/>
    <w:rsid w:val="00DF3EE8"/>
    <w:rsid w:val="00DF3F09"/>
    <w:rsid w:val="00DF3F14"/>
    <w:rsid w:val="00DF3F16"/>
    <w:rsid w:val="00DF3FAB"/>
    <w:rsid w:val="00DF3FDA"/>
    <w:rsid w:val="00DF3FEA"/>
    <w:rsid w:val="00DF405C"/>
    <w:rsid w:val="00DF40A1"/>
    <w:rsid w:val="00DF40C4"/>
    <w:rsid w:val="00DF40EC"/>
    <w:rsid w:val="00DF40F6"/>
    <w:rsid w:val="00DF4178"/>
    <w:rsid w:val="00DF41BC"/>
    <w:rsid w:val="00DF41D8"/>
    <w:rsid w:val="00DF424E"/>
    <w:rsid w:val="00DF427E"/>
    <w:rsid w:val="00DF42A2"/>
    <w:rsid w:val="00DF4304"/>
    <w:rsid w:val="00DF431B"/>
    <w:rsid w:val="00DF4355"/>
    <w:rsid w:val="00DF43D9"/>
    <w:rsid w:val="00DF43E0"/>
    <w:rsid w:val="00DF43F7"/>
    <w:rsid w:val="00DF446A"/>
    <w:rsid w:val="00DF44C9"/>
    <w:rsid w:val="00DF4552"/>
    <w:rsid w:val="00DF4575"/>
    <w:rsid w:val="00DF4576"/>
    <w:rsid w:val="00DF45A1"/>
    <w:rsid w:val="00DF45AB"/>
    <w:rsid w:val="00DF45CB"/>
    <w:rsid w:val="00DF45CF"/>
    <w:rsid w:val="00DF467D"/>
    <w:rsid w:val="00DF4710"/>
    <w:rsid w:val="00DF472A"/>
    <w:rsid w:val="00DF4790"/>
    <w:rsid w:val="00DF48A0"/>
    <w:rsid w:val="00DF48B5"/>
    <w:rsid w:val="00DF48F5"/>
    <w:rsid w:val="00DF490F"/>
    <w:rsid w:val="00DF4950"/>
    <w:rsid w:val="00DF4951"/>
    <w:rsid w:val="00DF4956"/>
    <w:rsid w:val="00DF4978"/>
    <w:rsid w:val="00DF49C1"/>
    <w:rsid w:val="00DF49F8"/>
    <w:rsid w:val="00DF4A42"/>
    <w:rsid w:val="00DF4A49"/>
    <w:rsid w:val="00DF4A59"/>
    <w:rsid w:val="00DF4AFC"/>
    <w:rsid w:val="00DF4B46"/>
    <w:rsid w:val="00DF4BD1"/>
    <w:rsid w:val="00DF4C02"/>
    <w:rsid w:val="00DF4C23"/>
    <w:rsid w:val="00DF4C30"/>
    <w:rsid w:val="00DF4C42"/>
    <w:rsid w:val="00DF4CBC"/>
    <w:rsid w:val="00DF4D25"/>
    <w:rsid w:val="00DF4D48"/>
    <w:rsid w:val="00DF4D9B"/>
    <w:rsid w:val="00DF4DE7"/>
    <w:rsid w:val="00DF4E23"/>
    <w:rsid w:val="00DF4E57"/>
    <w:rsid w:val="00DF4EEA"/>
    <w:rsid w:val="00DF4EF6"/>
    <w:rsid w:val="00DF501A"/>
    <w:rsid w:val="00DF5047"/>
    <w:rsid w:val="00DF5053"/>
    <w:rsid w:val="00DF5056"/>
    <w:rsid w:val="00DF50A8"/>
    <w:rsid w:val="00DF50F1"/>
    <w:rsid w:val="00DF5181"/>
    <w:rsid w:val="00DF519F"/>
    <w:rsid w:val="00DF51C9"/>
    <w:rsid w:val="00DF51DD"/>
    <w:rsid w:val="00DF51EB"/>
    <w:rsid w:val="00DF521C"/>
    <w:rsid w:val="00DF5248"/>
    <w:rsid w:val="00DF5256"/>
    <w:rsid w:val="00DF5314"/>
    <w:rsid w:val="00DF53BC"/>
    <w:rsid w:val="00DF541B"/>
    <w:rsid w:val="00DF54A3"/>
    <w:rsid w:val="00DF54D2"/>
    <w:rsid w:val="00DF5522"/>
    <w:rsid w:val="00DF554D"/>
    <w:rsid w:val="00DF5596"/>
    <w:rsid w:val="00DF5614"/>
    <w:rsid w:val="00DF5633"/>
    <w:rsid w:val="00DF568B"/>
    <w:rsid w:val="00DF5702"/>
    <w:rsid w:val="00DF5772"/>
    <w:rsid w:val="00DF578C"/>
    <w:rsid w:val="00DF57B0"/>
    <w:rsid w:val="00DF57C2"/>
    <w:rsid w:val="00DF57D1"/>
    <w:rsid w:val="00DF5803"/>
    <w:rsid w:val="00DF5914"/>
    <w:rsid w:val="00DF5916"/>
    <w:rsid w:val="00DF599F"/>
    <w:rsid w:val="00DF5A3F"/>
    <w:rsid w:val="00DF5A79"/>
    <w:rsid w:val="00DF5A9D"/>
    <w:rsid w:val="00DF5AA2"/>
    <w:rsid w:val="00DF5AF5"/>
    <w:rsid w:val="00DF5B89"/>
    <w:rsid w:val="00DF5BD0"/>
    <w:rsid w:val="00DF5C0A"/>
    <w:rsid w:val="00DF5C39"/>
    <w:rsid w:val="00DF5C41"/>
    <w:rsid w:val="00DF5C7B"/>
    <w:rsid w:val="00DF5D09"/>
    <w:rsid w:val="00DF5DA4"/>
    <w:rsid w:val="00DF5DD6"/>
    <w:rsid w:val="00DF5DDD"/>
    <w:rsid w:val="00DF5E2E"/>
    <w:rsid w:val="00DF5E7F"/>
    <w:rsid w:val="00DF5E80"/>
    <w:rsid w:val="00DF5EBE"/>
    <w:rsid w:val="00DF5EE6"/>
    <w:rsid w:val="00DF5F0D"/>
    <w:rsid w:val="00DF5F25"/>
    <w:rsid w:val="00DF5F6B"/>
    <w:rsid w:val="00DF5FAC"/>
    <w:rsid w:val="00DF5FD0"/>
    <w:rsid w:val="00DF6009"/>
    <w:rsid w:val="00DF601F"/>
    <w:rsid w:val="00DF602C"/>
    <w:rsid w:val="00DF6076"/>
    <w:rsid w:val="00DF6133"/>
    <w:rsid w:val="00DF6186"/>
    <w:rsid w:val="00DF622C"/>
    <w:rsid w:val="00DF6238"/>
    <w:rsid w:val="00DF6258"/>
    <w:rsid w:val="00DF625C"/>
    <w:rsid w:val="00DF6292"/>
    <w:rsid w:val="00DF629B"/>
    <w:rsid w:val="00DF6346"/>
    <w:rsid w:val="00DF63E9"/>
    <w:rsid w:val="00DF6420"/>
    <w:rsid w:val="00DF6479"/>
    <w:rsid w:val="00DF64C4"/>
    <w:rsid w:val="00DF6506"/>
    <w:rsid w:val="00DF6543"/>
    <w:rsid w:val="00DF6606"/>
    <w:rsid w:val="00DF664E"/>
    <w:rsid w:val="00DF66B4"/>
    <w:rsid w:val="00DF66CD"/>
    <w:rsid w:val="00DF66F5"/>
    <w:rsid w:val="00DF66F7"/>
    <w:rsid w:val="00DF6727"/>
    <w:rsid w:val="00DF6822"/>
    <w:rsid w:val="00DF68CC"/>
    <w:rsid w:val="00DF68EE"/>
    <w:rsid w:val="00DF68F6"/>
    <w:rsid w:val="00DF6913"/>
    <w:rsid w:val="00DF6964"/>
    <w:rsid w:val="00DF6994"/>
    <w:rsid w:val="00DF69A3"/>
    <w:rsid w:val="00DF69B2"/>
    <w:rsid w:val="00DF69BC"/>
    <w:rsid w:val="00DF6A2A"/>
    <w:rsid w:val="00DF6A77"/>
    <w:rsid w:val="00DF6A98"/>
    <w:rsid w:val="00DF6AD9"/>
    <w:rsid w:val="00DF6B15"/>
    <w:rsid w:val="00DF6B79"/>
    <w:rsid w:val="00DF6C42"/>
    <w:rsid w:val="00DF6C4C"/>
    <w:rsid w:val="00DF6C7C"/>
    <w:rsid w:val="00DF6D58"/>
    <w:rsid w:val="00DF6DC9"/>
    <w:rsid w:val="00DF6DD0"/>
    <w:rsid w:val="00DF6DE5"/>
    <w:rsid w:val="00DF6E3E"/>
    <w:rsid w:val="00DF6E73"/>
    <w:rsid w:val="00DF6EBF"/>
    <w:rsid w:val="00DF6ED5"/>
    <w:rsid w:val="00DF6EF2"/>
    <w:rsid w:val="00DF6F5A"/>
    <w:rsid w:val="00DF6F6F"/>
    <w:rsid w:val="00DF7030"/>
    <w:rsid w:val="00DF7042"/>
    <w:rsid w:val="00DF7046"/>
    <w:rsid w:val="00DF7053"/>
    <w:rsid w:val="00DF7054"/>
    <w:rsid w:val="00DF709E"/>
    <w:rsid w:val="00DF70A6"/>
    <w:rsid w:val="00DF7186"/>
    <w:rsid w:val="00DF7192"/>
    <w:rsid w:val="00DF719C"/>
    <w:rsid w:val="00DF71E9"/>
    <w:rsid w:val="00DF71F3"/>
    <w:rsid w:val="00DF720C"/>
    <w:rsid w:val="00DF72A8"/>
    <w:rsid w:val="00DF72E5"/>
    <w:rsid w:val="00DF733A"/>
    <w:rsid w:val="00DF73AF"/>
    <w:rsid w:val="00DF73DD"/>
    <w:rsid w:val="00DF73E8"/>
    <w:rsid w:val="00DF73FC"/>
    <w:rsid w:val="00DF7408"/>
    <w:rsid w:val="00DF7478"/>
    <w:rsid w:val="00DF74A1"/>
    <w:rsid w:val="00DF74DD"/>
    <w:rsid w:val="00DF74EC"/>
    <w:rsid w:val="00DF74F7"/>
    <w:rsid w:val="00DF751D"/>
    <w:rsid w:val="00DF7520"/>
    <w:rsid w:val="00DF7530"/>
    <w:rsid w:val="00DF755B"/>
    <w:rsid w:val="00DF75B8"/>
    <w:rsid w:val="00DF75BF"/>
    <w:rsid w:val="00DF7634"/>
    <w:rsid w:val="00DF765A"/>
    <w:rsid w:val="00DF76DB"/>
    <w:rsid w:val="00DF7708"/>
    <w:rsid w:val="00DF772B"/>
    <w:rsid w:val="00DF774A"/>
    <w:rsid w:val="00DF7761"/>
    <w:rsid w:val="00DF7795"/>
    <w:rsid w:val="00DF7801"/>
    <w:rsid w:val="00DF78EB"/>
    <w:rsid w:val="00DF7917"/>
    <w:rsid w:val="00DF7934"/>
    <w:rsid w:val="00DF7973"/>
    <w:rsid w:val="00DF79AD"/>
    <w:rsid w:val="00DF79E5"/>
    <w:rsid w:val="00DF79EE"/>
    <w:rsid w:val="00DF7A1A"/>
    <w:rsid w:val="00DF7A9C"/>
    <w:rsid w:val="00DF7AF6"/>
    <w:rsid w:val="00DF7B33"/>
    <w:rsid w:val="00DF7C1F"/>
    <w:rsid w:val="00DF7C28"/>
    <w:rsid w:val="00DF7C32"/>
    <w:rsid w:val="00DF7C60"/>
    <w:rsid w:val="00DF7D82"/>
    <w:rsid w:val="00DF7DE8"/>
    <w:rsid w:val="00DF7DF3"/>
    <w:rsid w:val="00DF7E0E"/>
    <w:rsid w:val="00DF7EA7"/>
    <w:rsid w:val="00DF7F16"/>
    <w:rsid w:val="00DF7F1A"/>
    <w:rsid w:val="00DF7F6A"/>
    <w:rsid w:val="00DF7FC7"/>
    <w:rsid w:val="00E00039"/>
    <w:rsid w:val="00E00115"/>
    <w:rsid w:val="00E0013D"/>
    <w:rsid w:val="00E0019E"/>
    <w:rsid w:val="00E001A8"/>
    <w:rsid w:val="00E00204"/>
    <w:rsid w:val="00E00212"/>
    <w:rsid w:val="00E00286"/>
    <w:rsid w:val="00E002B3"/>
    <w:rsid w:val="00E00313"/>
    <w:rsid w:val="00E00317"/>
    <w:rsid w:val="00E00357"/>
    <w:rsid w:val="00E00382"/>
    <w:rsid w:val="00E0039E"/>
    <w:rsid w:val="00E003A5"/>
    <w:rsid w:val="00E00426"/>
    <w:rsid w:val="00E00436"/>
    <w:rsid w:val="00E0046E"/>
    <w:rsid w:val="00E00475"/>
    <w:rsid w:val="00E004C1"/>
    <w:rsid w:val="00E004E5"/>
    <w:rsid w:val="00E00529"/>
    <w:rsid w:val="00E00533"/>
    <w:rsid w:val="00E00540"/>
    <w:rsid w:val="00E0054B"/>
    <w:rsid w:val="00E00570"/>
    <w:rsid w:val="00E005A7"/>
    <w:rsid w:val="00E005F4"/>
    <w:rsid w:val="00E00621"/>
    <w:rsid w:val="00E0064B"/>
    <w:rsid w:val="00E00663"/>
    <w:rsid w:val="00E006C3"/>
    <w:rsid w:val="00E0076B"/>
    <w:rsid w:val="00E0077A"/>
    <w:rsid w:val="00E007CA"/>
    <w:rsid w:val="00E008DF"/>
    <w:rsid w:val="00E0095A"/>
    <w:rsid w:val="00E0099B"/>
    <w:rsid w:val="00E009B0"/>
    <w:rsid w:val="00E009ED"/>
    <w:rsid w:val="00E009F8"/>
    <w:rsid w:val="00E00A09"/>
    <w:rsid w:val="00E00A2E"/>
    <w:rsid w:val="00E00A3C"/>
    <w:rsid w:val="00E00A3E"/>
    <w:rsid w:val="00E00A57"/>
    <w:rsid w:val="00E00A6F"/>
    <w:rsid w:val="00E00AB2"/>
    <w:rsid w:val="00E00AD3"/>
    <w:rsid w:val="00E00AF0"/>
    <w:rsid w:val="00E00B42"/>
    <w:rsid w:val="00E00B4E"/>
    <w:rsid w:val="00E00B6D"/>
    <w:rsid w:val="00E00BBB"/>
    <w:rsid w:val="00E00BFC"/>
    <w:rsid w:val="00E00C07"/>
    <w:rsid w:val="00E00C42"/>
    <w:rsid w:val="00E00C98"/>
    <w:rsid w:val="00E00CDB"/>
    <w:rsid w:val="00E00CFC"/>
    <w:rsid w:val="00E00D82"/>
    <w:rsid w:val="00E00D99"/>
    <w:rsid w:val="00E00D9C"/>
    <w:rsid w:val="00E00D9D"/>
    <w:rsid w:val="00E00DC2"/>
    <w:rsid w:val="00E00DF0"/>
    <w:rsid w:val="00E00DF4"/>
    <w:rsid w:val="00E00E09"/>
    <w:rsid w:val="00E00EBB"/>
    <w:rsid w:val="00E00ED0"/>
    <w:rsid w:val="00E00F4D"/>
    <w:rsid w:val="00E00F71"/>
    <w:rsid w:val="00E00FDF"/>
    <w:rsid w:val="00E01014"/>
    <w:rsid w:val="00E01034"/>
    <w:rsid w:val="00E01036"/>
    <w:rsid w:val="00E01037"/>
    <w:rsid w:val="00E0108D"/>
    <w:rsid w:val="00E01091"/>
    <w:rsid w:val="00E0109A"/>
    <w:rsid w:val="00E010D2"/>
    <w:rsid w:val="00E0110F"/>
    <w:rsid w:val="00E01130"/>
    <w:rsid w:val="00E0119B"/>
    <w:rsid w:val="00E01206"/>
    <w:rsid w:val="00E012F6"/>
    <w:rsid w:val="00E01364"/>
    <w:rsid w:val="00E01373"/>
    <w:rsid w:val="00E013E2"/>
    <w:rsid w:val="00E013EF"/>
    <w:rsid w:val="00E01411"/>
    <w:rsid w:val="00E01427"/>
    <w:rsid w:val="00E01466"/>
    <w:rsid w:val="00E01481"/>
    <w:rsid w:val="00E014B3"/>
    <w:rsid w:val="00E014B5"/>
    <w:rsid w:val="00E014D4"/>
    <w:rsid w:val="00E014E2"/>
    <w:rsid w:val="00E01519"/>
    <w:rsid w:val="00E01554"/>
    <w:rsid w:val="00E01578"/>
    <w:rsid w:val="00E015F9"/>
    <w:rsid w:val="00E01603"/>
    <w:rsid w:val="00E0162E"/>
    <w:rsid w:val="00E016BC"/>
    <w:rsid w:val="00E01705"/>
    <w:rsid w:val="00E01720"/>
    <w:rsid w:val="00E01769"/>
    <w:rsid w:val="00E01833"/>
    <w:rsid w:val="00E01874"/>
    <w:rsid w:val="00E01877"/>
    <w:rsid w:val="00E018BB"/>
    <w:rsid w:val="00E018C9"/>
    <w:rsid w:val="00E018CF"/>
    <w:rsid w:val="00E01946"/>
    <w:rsid w:val="00E01974"/>
    <w:rsid w:val="00E019C2"/>
    <w:rsid w:val="00E019FD"/>
    <w:rsid w:val="00E01A23"/>
    <w:rsid w:val="00E01A37"/>
    <w:rsid w:val="00E01A8C"/>
    <w:rsid w:val="00E01ABB"/>
    <w:rsid w:val="00E01AC7"/>
    <w:rsid w:val="00E01B2A"/>
    <w:rsid w:val="00E01B3A"/>
    <w:rsid w:val="00E01B46"/>
    <w:rsid w:val="00E01C21"/>
    <w:rsid w:val="00E01C23"/>
    <w:rsid w:val="00E01CFE"/>
    <w:rsid w:val="00E01D0E"/>
    <w:rsid w:val="00E01D20"/>
    <w:rsid w:val="00E01D74"/>
    <w:rsid w:val="00E01E32"/>
    <w:rsid w:val="00E01E41"/>
    <w:rsid w:val="00E01E46"/>
    <w:rsid w:val="00E01E73"/>
    <w:rsid w:val="00E01E7E"/>
    <w:rsid w:val="00E01EFB"/>
    <w:rsid w:val="00E01F02"/>
    <w:rsid w:val="00E01F34"/>
    <w:rsid w:val="00E01F75"/>
    <w:rsid w:val="00E02039"/>
    <w:rsid w:val="00E0203B"/>
    <w:rsid w:val="00E0209C"/>
    <w:rsid w:val="00E020D7"/>
    <w:rsid w:val="00E020F9"/>
    <w:rsid w:val="00E02187"/>
    <w:rsid w:val="00E0218F"/>
    <w:rsid w:val="00E021B5"/>
    <w:rsid w:val="00E021DC"/>
    <w:rsid w:val="00E02214"/>
    <w:rsid w:val="00E0224E"/>
    <w:rsid w:val="00E0225F"/>
    <w:rsid w:val="00E0228D"/>
    <w:rsid w:val="00E022C2"/>
    <w:rsid w:val="00E022E0"/>
    <w:rsid w:val="00E022EB"/>
    <w:rsid w:val="00E022EE"/>
    <w:rsid w:val="00E022F0"/>
    <w:rsid w:val="00E02309"/>
    <w:rsid w:val="00E0230A"/>
    <w:rsid w:val="00E02349"/>
    <w:rsid w:val="00E0237D"/>
    <w:rsid w:val="00E023B8"/>
    <w:rsid w:val="00E023C9"/>
    <w:rsid w:val="00E02429"/>
    <w:rsid w:val="00E02473"/>
    <w:rsid w:val="00E0248F"/>
    <w:rsid w:val="00E02500"/>
    <w:rsid w:val="00E0251D"/>
    <w:rsid w:val="00E02546"/>
    <w:rsid w:val="00E025E2"/>
    <w:rsid w:val="00E02665"/>
    <w:rsid w:val="00E02667"/>
    <w:rsid w:val="00E0267A"/>
    <w:rsid w:val="00E02699"/>
    <w:rsid w:val="00E026D7"/>
    <w:rsid w:val="00E026EF"/>
    <w:rsid w:val="00E0278A"/>
    <w:rsid w:val="00E0279F"/>
    <w:rsid w:val="00E027B7"/>
    <w:rsid w:val="00E027BB"/>
    <w:rsid w:val="00E0288E"/>
    <w:rsid w:val="00E028B3"/>
    <w:rsid w:val="00E02926"/>
    <w:rsid w:val="00E02968"/>
    <w:rsid w:val="00E029BC"/>
    <w:rsid w:val="00E029D0"/>
    <w:rsid w:val="00E029DF"/>
    <w:rsid w:val="00E029E5"/>
    <w:rsid w:val="00E029F5"/>
    <w:rsid w:val="00E02A20"/>
    <w:rsid w:val="00E02A8F"/>
    <w:rsid w:val="00E02A90"/>
    <w:rsid w:val="00E02AC2"/>
    <w:rsid w:val="00E02AF6"/>
    <w:rsid w:val="00E02B03"/>
    <w:rsid w:val="00E02B1D"/>
    <w:rsid w:val="00E02B31"/>
    <w:rsid w:val="00E02B4F"/>
    <w:rsid w:val="00E02B7F"/>
    <w:rsid w:val="00E02BA5"/>
    <w:rsid w:val="00E02BED"/>
    <w:rsid w:val="00E02BFA"/>
    <w:rsid w:val="00E02C55"/>
    <w:rsid w:val="00E02CC0"/>
    <w:rsid w:val="00E02D1F"/>
    <w:rsid w:val="00E02D53"/>
    <w:rsid w:val="00E02D7C"/>
    <w:rsid w:val="00E02DA1"/>
    <w:rsid w:val="00E02E91"/>
    <w:rsid w:val="00E02E96"/>
    <w:rsid w:val="00E02EC0"/>
    <w:rsid w:val="00E02EC1"/>
    <w:rsid w:val="00E02EDD"/>
    <w:rsid w:val="00E02F36"/>
    <w:rsid w:val="00E03024"/>
    <w:rsid w:val="00E0308A"/>
    <w:rsid w:val="00E030C4"/>
    <w:rsid w:val="00E03114"/>
    <w:rsid w:val="00E03157"/>
    <w:rsid w:val="00E031B4"/>
    <w:rsid w:val="00E031F6"/>
    <w:rsid w:val="00E03222"/>
    <w:rsid w:val="00E03223"/>
    <w:rsid w:val="00E03241"/>
    <w:rsid w:val="00E03289"/>
    <w:rsid w:val="00E0328D"/>
    <w:rsid w:val="00E03372"/>
    <w:rsid w:val="00E0337E"/>
    <w:rsid w:val="00E03395"/>
    <w:rsid w:val="00E034A1"/>
    <w:rsid w:val="00E03545"/>
    <w:rsid w:val="00E0356F"/>
    <w:rsid w:val="00E0357C"/>
    <w:rsid w:val="00E03621"/>
    <w:rsid w:val="00E036C3"/>
    <w:rsid w:val="00E036D9"/>
    <w:rsid w:val="00E03787"/>
    <w:rsid w:val="00E03789"/>
    <w:rsid w:val="00E037C8"/>
    <w:rsid w:val="00E037E2"/>
    <w:rsid w:val="00E037FB"/>
    <w:rsid w:val="00E038AD"/>
    <w:rsid w:val="00E03911"/>
    <w:rsid w:val="00E03935"/>
    <w:rsid w:val="00E03942"/>
    <w:rsid w:val="00E039C4"/>
    <w:rsid w:val="00E03A5E"/>
    <w:rsid w:val="00E03A89"/>
    <w:rsid w:val="00E03B2B"/>
    <w:rsid w:val="00E03BB9"/>
    <w:rsid w:val="00E03BCD"/>
    <w:rsid w:val="00E03BE2"/>
    <w:rsid w:val="00E03C16"/>
    <w:rsid w:val="00E03C80"/>
    <w:rsid w:val="00E03C94"/>
    <w:rsid w:val="00E03C9D"/>
    <w:rsid w:val="00E03D37"/>
    <w:rsid w:val="00E03D50"/>
    <w:rsid w:val="00E03D5E"/>
    <w:rsid w:val="00E03D8A"/>
    <w:rsid w:val="00E03D9E"/>
    <w:rsid w:val="00E03DA3"/>
    <w:rsid w:val="00E03DB7"/>
    <w:rsid w:val="00E03E2B"/>
    <w:rsid w:val="00E03EE2"/>
    <w:rsid w:val="00E03F94"/>
    <w:rsid w:val="00E03FBF"/>
    <w:rsid w:val="00E03FC0"/>
    <w:rsid w:val="00E03FD4"/>
    <w:rsid w:val="00E03FEB"/>
    <w:rsid w:val="00E04015"/>
    <w:rsid w:val="00E04031"/>
    <w:rsid w:val="00E04034"/>
    <w:rsid w:val="00E040A2"/>
    <w:rsid w:val="00E040F7"/>
    <w:rsid w:val="00E04187"/>
    <w:rsid w:val="00E041C3"/>
    <w:rsid w:val="00E04201"/>
    <w:rsid w:val="00E042A5"/>
    <w:rsid w:val="00E042A7"/>
    <w:rsid w:val="00E042DE"/>
    <w:rsid w:val="00E042E1"/>
    <w:rsid w:val="00E042EC"/>
    <w:rsid w:val="00E04365"/>
    <w:rsid w:val="00E0438C"/>
    <w:rsid w:val="00E04397"/>
    <w:rsid w:val="00E043DC"/>
    <w:rsid w:val="00E043E5"/>
    <w:rsid w:val="00E043EE"/>
    <w:rsid w:val="00E0440B"/>
    <w:rsid w:val="00E04412"/>
    <w:rsid w:val="00E04475"/>
    <w:rsid w:val="00E044AD"/>
    <w:rsid w:val="00E0451E"/>
    <w:rsid w:val="00E04540"/>
    <w:rsid w:val="00E0459D"/>
    <w:rsid w:val="00E045D3"/>
    <w:rsid w:val="00E045F5"/>
    <w:rsid w:val="00E0462F"/>
    <w:rsid w:val="00E046DC"/>
    <w:rsid w:val="00E04721"/>
    <w:rsid w:val="00E04770"/>
    <w:rsid w:val="00E047C3"/>
    <w:rsid w:val="00E04822"/>
    <w:rsid w:val="00E048AF"/>
    <w:rsid w:val="00E048C6"/>
    <w:rsid w:val="00E04970"/>
    <w:rsid w:val="00E049F3"/>
    <w:rsid w:val="00E04A1F"/>
    <w:rsid w:val="00E04A24"/>
    <w:rsid w:val="00E04A83"/>
    <w:rsid w:val="00E04AA7"/>
    <w:rsid w:val="00E04B58"/>
    <w:rsid w:val="00E04B74"/>
    <w:rsid w:val="00E04BA9"/>
    <w:rsid w:val="00E04BAB"/>
    <w:rsid w:val="00E04BB0"/>
    <w:rsid w:val="00E04BFE"/>
    <w:rsid w:val="00E04C1F"/>
    <w:rsid w:val="00E04C54"/>
    <w:rsid w:val="00E04C5F"/>
    <w:rsid w:val="00E04C9F"/>
    <w:rsid w:val="00E04CCD"/>
    <w:rsid w:val="00E04CE8"/>
    <w:rsid w:val="00E04D32"/>
    <w:rsid w:val="00E04D3B"/>
    <w:rsid w:val="00E04D52"/>
    <w:rsid w:val="00E04D54"/>
    <w:rsid w:val="00E04D76"/>
    <w:rsid w:val="00E04DC2"/>
    <w:rsid w:val="00E04E4E"/>
    <w:rsid w:val="00E04E51"/>
    <w:rsid w:val="00E04E55"/>
    <w:rsid w:val="00E04F1B"/>
    <w:rsid w:val="00E04F51"/>
    <w:rsid w:val="00E04F65"/>
    <w:rsid w:val="00E04FC7"/>
    <w:rsid w:val="00E04FC9"/>
    <w:rsid w:val="00E04FF1"/>
    <w:rsid w:val="00E05057"/>
    <w:rsid w:val="00E050ED"/>
    <w:rsid w:val="00E050FD"/>
    <w:rsid w:val="00E0512A"/>
    <w:rsid w:val="00E05177"/>
    <w:rsid w:val="00E0518C"/>
    <w:rsid w:val="00E051EA"/>
    <w:rsid w:val="00E051F4"/>
    <w:rsid w:val="00E0527D"/>
    <w:rsid w:val="00E0529F"/>
    <w:rsid w:val="00E052D0"/>
    <w:rsid w:val="00E052EA"/>
    <w:rsid w:val="00E052F8"/>
    <w:rsid w:val="00E0530D"/>
    <w:rsid w:val="00E0533B"/>
    <w:rsid w:val="00E05346"/>
    <w:rsid w:val="00E053AC"/>
    <w:rsid w:val="00E053CC"/>
    <w:rsid w:val="00E053E1"/>
    <w:rsid w:val="00E05424"/>
    <w:rsid w:val="00E05520"/>
    <w:rsid w:val="00E05549"/>
    <w:rsid w:val="00E055B6"/>
    <w:rsid w:val="00E055EA"/>
    <w:rsid w:val="00E05633"/>
    <w:rsid w:val="00E05649"/>
    <w:rsid w:val="00E0569C"/>
    <w:rsid w:val="00E056B7"/>
    <w:rsid w:val="00E056F6"/>
    <w:rsid w:val="00E056FE"/>
    <w:rsid w:val="00E05701"/>
    <w:rsid w:val="00E05706"/>
    <w:rsid w:val="00E05724"/>
    <w:rsid w:val="00E0572F"/>
    <w:rsid w:val="00E0574E"/>
    <w:rsid w:val="00E0576E"/>
    <w:rsid w:val="00E057A6"/>
    <w:rsid w:val="00E0586D"/>
    <w:rsid w:val="00E0593C"/>
    <w:rsid w:val="00E05994"/>
    <w:rsid w:val="00E05A1E"/>
    <w:rsid w:val="00E05A35"/>
    <w:rsid w:val="00E05A40"/>
    <w:rsid w:val="00E05A99"/>
    <w:rsid w:val="00E05AAB"/>
    <w:rsid w:val="00E05AAD"/>
    <w:rsid w:val="00E05AB1"/>
    <w:rsid w:val="00E05AF8"/>
    <w:rsid w:val="00E05B34"/>
    <w:rsid w:val="00E05B6B"/>
    <w:rsid w:val="00E05BD2"/>
    <w:rsid w:val="00E05C7C"/>
    <w:rsid w:val="00E05CA8"/>
    <w:rsid w:val="00E05D21"/>
    <w:rsid w:val="00E05D22"/>
    <w:rsid w:val="00E05D6D"/>
    <w:rsid w:val="00E05E87"/>
    <w:rsid w:val="00E05E95"/>
    <w:rsid w:val="00E05ED6"/>
    <w:rsid w:val="00E05EE6"/>
    <w:rsid w:val="00E05F02"/>
    <w:rsid w:val="00E05FDF"/>
    <w:rsid w:val="00E05FFF"/>
    <w:rsid w:val="00E06024"/>
    <w:rsid w:val="00E06043"/>
    <w:rsid w:val="00E0608B"/>
    <w:rsid w:val="00E060A2"/>
    <w:rsid w:val="00E060AE"/>
    <w:rsid w:val="00E060C3"/>
    <w:rsid w:val="00E0612F"/>
    <w:rsid w:val="00E061AA"/>
    <w:rsid w:val="00E06204"/>
    <w:rsid w:val="00E0620B"/>
    <w:rsid w:val="00E0626F"/>
    <w:rsid w:val="00E062F7"/>
    <w:rsid w:val="00E0631D"/>
    <w:rsid w:val="00E0632D"/>
    <w:rsid w:val="00E06367"/>
    <w:rsid w:val="00E063AC"/>
    <w:rsid w:val="00E063C0"/>
    <w:rsid w:val="00E06412"/>
    <w:rsid w:val="00E0641C"/>
    <w:rsid w:val="00E06438"/>
    <w:rsid w:val="00E064FF"/>
    <w:rsid w:val="00E06547"/>
    <w:rsid w:val="00E0655F"/>
    <w:rsid w:val="00E0658A"/>
    <w:rsid w:val="00E0658D"/>
    <w:rsid w:val="00E065EF"/>
    <w:rsid w:val="00E06605"/>
    <w:rsid w:val="00E06635"/>
    <w:rsid w:val="00E0665A"/>
    <w:rsid w:val="00E066EC"/>
    <w:rsid w:val="00E06722"/>
    <w:rsid w:val="00E06768"/>
    <w:rsid w:val="00E0676D"/>
    <w:rsid w:val="00E067AF"/>
    <w:rsid w:val="00E067EB"/>
    <w:rsid w:val="00E06810"/>
    <w:rsid w:val="00E06836"/>
    <w:rsid w:val="00E06862"/>
    <w:rsid w:val="00E06871"/>
    <w:rsid w:val="00E068FE"/>
    <w:rsid w:val="00E0692D"/>
    <w:rsid w:val="00E06939"/>
    <w:rsid w:val="00E069C0"/>
    <w:rsid w:val="00E06A2A"/>
    <w:rsid w:val="00E06A68"/>
    <w:rsid w:val="00E06AD2"/>
    <w:rsid w:val="00E06B01"/>
    <w:rsid w:val="00E06B0B"/>
    <w:rsid w:val="00E06BC4"/>
    <w:rsid w:val="00E06BEB"/>
    <w:rsid w:val="00E06C1C"/>
    <w:rsid w:val="00E06CCB"/>
    <w:rsid w:val="00E06D24"/>
    <w:rsid w:val="00E06D26"/>
    <w:rsid w:val="00E06D28"/>
    <w:rsid w:val="00E06D48"/>
    <w:rsid w:val="00E06D8B"/>
    <w:rsid w:val="00E06DB0"/>
    <w:rsid w:val="00E06DDE"/>
    <w:rsid w:val="00E06DE4"/>
    <w:rsid w:val="00E06DF7"/>
    <w:rsid w:val="00E06E07"/>
    <w:rsid w:val="00E06E25"/>
    <w:rsid w:val="00E06E4F"/>
    <w:rsid w:val="00E06E60"/>
    <w:rsid w:val="00E06E9A"/>
    <w:rsid w:val="00E06E9B"/>
    <w:rsid w:val="00E06ECD"/>
    <w:rsid w:val="00E06F8C"/>
    <w:rsid w:val="00E06FB5"/>
    <w:rsid w:val="00E06FCA"/>
    <w:rsid w:val="00E06FE6"/>
    <w:rsid w:val="00E07032"/>
    <w:rsid w:val="00E0706C"/>
    <w:rsid w:val="00E0712B"/>
    <w:rsid w:val="00E07141"/>
    <w:rsid w:val="00E0718A"/>
    <w:rsid w:val="00E07192"/>
    <w:rsid w:val="00E071A5"/>
    <w:rsid w:val="00E072DF"/>
    <w:rsid w:val="00E072E6"/>
    <w:rsid w:val="00E072F9"/>
    <w:rsid w:val="00E07301"/>
    <w:rsid w:val="00E0731B"/>
    <w:rsid w:val="00E07321"/>
    <w:rsid w:val="00E0732B"/>
    <w:rsid w:val="00E07334"/>
    <w:rsid w:val="00E073BA"/>
    <w:rsid w:val="00E073E9"/>
    <w:rsid w:val="00E074EA"/>
    <w:rsid w:val="00E074F5"/>
    <w:rsid w:val="00E07553"/>
    <w:rsid w:val="00E0756E"/>
    <w:rsid w:val="00E075B9"/>
    <w:rsid w:val="00E075BC"/>
    <w:rsid w:val="00E075F5"/>
    <w:rsid w:val="00E0762E"/>
    <w:rsid w:val="00E07630"/>
    <w:rsid w:val="00E07634"/>
    <w:rsid w:val="00E076D1"/>
    <w:rsid w:val="00E0770B"/>
    <w:rsid w:val="00E07778"/>
    <w:rsid w:val="00E0779C"/>
    <w:rsid w:val="00E077B9"/>
    <w:rsid w:val="00E07821"/>
    <w:rsid w:val="00E07833"/>
    <w:rsid w:val="00E078CB"/>
    <w:rsid w:val="00E078CD"/>
    <w:rsid w:val="00E078FA"/>
    <w:rsid w:val="00E07915"/>
    <w:rsid w:val="00E07958"/>
    <w:rsid w:val="00E079AA"/>
    <w:rsid w:val="00E079C0"/>
    <w:rsid w:val="00E079D0"/>
    <w:rsid w:val="00E079D5"/>
    <w:rsid w:val="00E079FC"/>
    <w:rsid w:val="00E07A3E"/>
    <w:rsid w:val="00E07A48"/>
    <w:rsid w:val="00E07A50"/>
    <w:rsid w:val="00E07AD0"/>
    <w:rsid w:val="00E07AD7"/>
    <w:rsid w:val="00E07AE5"/>
    <w:rsid w:val="00E07B72"/>
    <w:rsid w:val="00E07B75"/>
    <w:rsid w:val="00E07B81"/>
    <w:rsid w:val="00E07C73"/>
    <w:rsid w:val="00E07C8A"/>
    <w:rsid w:val="00E07C99"/>
    <w:rsid w:val="00E07CA2"/>
    <w:rsid w:val="00E07CBE"/>
    <w:rsid w:val="00E07CC5"/>
    <w:rsid w:val="00E07D1F"/>
    <w:rsid w:val="00E07DBB"/>
    <w:rsid w:val="00E07E6C"/>
    <w:rsid w:val="00E07EAF"/>
    <w:rsid w:val="00E07EF6"/>
    <w:rsid w:val="00E07FCC"/>
    <w:rsid w:val="00E07FD2"/>
    <w:rsid w:val="00E0925F"/>
    <w:rsid w:val="00E1000F"/>
    <w:rsid w:val="00E1008B"/>
    <w:rsid w:val="00E100E0"/>
    <w:rsid w:val="00E10118"/>
    <w:rsid w:val="00E101B5"/>
    <w:rsid w:val="00E101CB"/>
    <w:rsid w:val="00E10206"/>
    <w:rsid w:val="00E10252"/>
    <w:rsid w:val="00E10280"/>
    <w:rsid w:val="00E1029E"/>
    <w:rsid w:val="00E102B1"/>
    <w:rsid w:val="00E102C5"/>
    <w:rsid w:val="00E10329"/>
    <w:rsid w:val="00E10335"/>
    <w:rsid w:val="00E1033E"/>
    <w:rsid w:val="00E10349"/>
    <w:rsid w:val="00E10380"/>
    <w:rsid w:val="00E103B5"/>
    <w:rsid w:val="00E103BB"/>
    <w:rsid w:val="00E103D7"/>
    <w:rsid w:val="00E103E4"/>
    <w:rsid w:val="00E10404"/>
    <w:rsid w:val="00E10427"/>
    <w:rsid w:val="00E10431"/>
    <w:rsid w:val="00E1043F"/>
    <w:rsid w:val="00E1044A"/>
    <w:rsid w:val="00E104D9"/>
    <w:rsid w:val="00E10549"/>
    <w:rsid w:val="00E1059C"/>
    <w:rsid w:val="00E1059F"/>
    <w:rsid w:val="00E105B9"/>
    <w:rsid w:val="00E105C0"/>
    <w:rsid w:val="00E105E1"/>
    <w:rsid w:val="00E1063E"/>
    <w:rsid w:val="00E1063F"/>
    <w:rsid w:val="00E10667"/>
    <w:rsid w:val="00E10694"/>
    <w:rsid w:val="00E106D5"/>
    <w:rsid w:val="00E10725"/>
    <w:rsid w:val="00E10757"/>
    <w:rsid w:val="00E1076B"/>
    <w:rsid w:val="00E10787"/>
    <w:rsid w:val="00E10823"/>
    <w:rsid w:val="00E10838"/>
    <w:rsid w:val="00E1083F"/>
    <w:rsid w:val="00E10846"/>
    <w:rsid w:val="00E108A0"/>
    <w:rsid w:val="00E108EC"/>
    <w:rsid w:val="00E1092B"/>
    <w:rsid w:val="00E1095B"/>
    <w:rsid w:val="00E10A05"/>
    <w:rsid w:val="00E10B08"/>
    <w:rsid w:val="00E10B13"/>
    <w:rsid w:val="00E10B2C"/>
    <w:rsid w:val="00E10BE8"/>
    <w:rsid w:val="00E10BF6"/>
    <w:rsid w:val="00E10C40"/>
    <w:rsid w:val="00E10C71"/>
    <w:rsid w:val="00E10C87"/>
    <w:rsid w:val="00E10CBD"/>
    <w:rsid w:val="00E10CE5"/>
    <w:rsid w:val="00E10D77"/>
    <w:rsid w:val="00E10DC4"/>
    <w:rsid w:val="00E10E43"/>
    <w:rsid w:val="00E10E86"/>
    <w:rsid w:val="00E10ED3"/>
    <w:rsid w:val="00E10F08"/>
    <w:rsid w:val="00E10F28"/>
    <w:rsid w:val="00E10F3B"/>
    <w:rsid w:val="00E10F41"/>
    <w:rsid w:val="00E10F60"/>
    <w:rsid w:val="00E10FC5"/>
    <w:rsid w:val="00E10FF0"/>
    <w:rsid w:val="00E1101B"/>
    <w:rsid w:val="00E1105D"/>
    <w:rsid w:val="00E11061"/>
    <w:rsid w:val="00E11073"/>
    <w:rsid w:val="00E1109C"/>
    <w:rsid w:val="00E110CC"/>
    <w:rsid w:val="00E110D9"/>
    <w:rsid w:val="00E11109"/>
    <w:rsid w:val="00E11163"/>
    <w:rsid w:val="00E1118C"/>
    <w:rsid w:val="00E11218"/>
    <w:rsid w:val="00E1124B"/>
    <w:rsid w:val="00E11313"/>
    <w:rsid w:val="00E11344"/>
    <w:rsid w:val="00E1134D"/>
    <w:rsid w:val="00E1135E"/>
    <w:rsid w:val="00E113FF"/>
    <w:rsid w:val="00E11426"/>
    <w:rsid w:val="00E11430"/>
    <w:rsid w:val="00E1145F"/>
    <w:rsid w:val="00E11478"/>
    <w:rsid w:val="00E11488"/>
    <w:rsid w:val="00E114A9"/>
    <w:rsid w:val="00E11536"/>
    <w:rsid w:val="00E11554"/>
    <w:rsid w:val="00E1161B"/>
    <w:rsid w:val="00E11627"/>
    <w:rsid w:val="00E11633"/>
    <w:rsid w:val="00E1163A"/>
    <w:rsid w:val="00E1167D"/>
    <w:rsid w:val="00E1167F"/>
    <w:rsid w:val="00E1177A"/>
    <w:rsid w:val="00E117DB"/>
    <w:rsid w:val="00E11830"/>
    <w:rsid w:val="00E118D0"/>
    <w:rsid w:val="00E11930"/>
    <w:rsid w:val="00E119B8"/>
    <w:rsid w:val="00E119C3"/>
    <w:rsid w:val="00E119D7"/>
    <w:rsid w:val="00E11A4F"/>
    <w:rsid w:val="00E11A5B"/>
    <w:rsid w:val="00E11A69"/>
    <w:rsid w:val="00E11AC2"/>
    <w:rsid w:val="00E11B7D"/>
    <w:rsid w:val="00E11BBC"/>
    <w:rsid w:val="00E11BCF"/>
    <w:rsid w:val="00E11BE0"/>
    <w:rsid w:val="00E11C26"/>
    <w:rsid w:val="00E11C81"/>
    <w:rsid w:val="00E11CE0"/>
    <w:rsid w:val="00E11CE6"/>
    <w:rsid w:val="00E11CF5"/>
    <w:rsid w:val="00E11D33"/>
    <w:rsid w:val="00E11D45"/>
    <w:rsid w:val="00E11D5D"/>
    <w:rsid w:val="00E11D7E"/>
    <w:rsid w:val="00E11D8D"/>
    <w:rsid w:val="00E11DC2"/>
    <w:rsid w:val="00E11DC9"/>
    <w:rsid w:val="00E11DE0"/>
    <w:rsid w:val="00E11DE7"/>
    <w:rsid w:val="00E11E1F"/>
    <w:rsid w:val="00E11E8B"/>
    <w:rsid w:val="00E11F50"/>
    <w:rsid w:val="00E11FAA"/>
    <w:rsid w:val="00E11FE3"/>
    <w:rsid w:val="00E12032"/>
    <w:rsid w:val="00E12113"/>
    <w:rsid w:val="00E1213D"/>
    <w:rsid w:val="00E12170"/>
    <w:rsid w:val="00E12187"/>
    <w:rsid w:val="00E12274"/>
    <w:rsid w:val="00E12306"/>
    <w:rsid w:val="00E1231F"/>
    <w:rsid w:val="00E12338"/>
    <w:rsid w:val="00E12344"/>
    <w:rsid w:val="00E1238F"/>
    <w:rsid w:val="00E12421"/>
    <w:rsid w:val="00E12485"/>
    <w:rsid w:val="00E12507"/>
    <w:rsid w:val="00E1251F"/>
    <w:rsid w:val="00E1252E"/>
    <w:rsid w:val="00E1259D"/>
    <w:rsid w:val="00E12600"/>
    <w:rsid w:val="00E12609"/>
    <w:rsid w:val="00E12660"/>
    <w:rsid w:val="00E126C9"/>
    <w:rsid w:val="00E12711"/>
    <w:rsid w:val="00E1277C"/>
    <w:rsid w:val="00E1285F"/>
    <w:rsid w:val="00E1287C"/>
    <w:rsid w:val="00E128DD"/>
    <w:rsid w:val="00E128E8"/>
    <w:rsid w:val="00E1290E"/>
    <w:rsid w:val="00E129D9"/>
    <w:rsid w:val="00E12A0F"/>
    <w:rsid w:val="00E12A58"/>
    <w:rsid w:val="00E12A68"/>
    <w:rsid w:val="00E12A87"/>
    <w:rsid w:val="00E12AD3"/>
    <w:rsid w:val="00E12AEA"/>
    <w:rsid w:val="00E12AF0"/>
    <w:rsid w:val="00E12B5D"/>
    <w:rsid w:val="00E12B73"/>
    <w:rsid w:val="00E12B8D"/>
    <w:rsid w:val="00E12C4B"/>
    <w:rsid w:val="00E12C85"/>
    <w:rsid w:val="00E12CDC"/>
    <w:rsid w:val="00E12D94"/>
    <w:rsid w:val="00E12DB9"/>
    <w:rsid w:val="00E12DC8"/>
    <w:rsid w:val="00E12DF5"/>
    <w:rsid w:val="00E12E21"/>
    <w:rsid w:val="00E12E22"/>
    <w:rsid w:val="00E12EA3"/>
    <w:rsid w:val="00E12EF0"/>
    <w:rsid w:val="00E12EFE"/>
    <w:rsid w:val="00E12F0A"/>
    <w:rsid w:val="00E12F23"/>
    <w:rsid w:val="00E12F42"/>
    <w:rsid w:val="00E12F87"/>
    <w:rsid w:val="00E12FF1"/>
    <w:rsid w:val="00E1301E"/>
    <w:rsid w:val="00E13045"/>
    <w:rsid w:val="00E13050"/>
    <w:rsid w:val="00E13057"/>
    <w:rsid w:val="00E130AE"/>
    <w:rsid w:val="00E130B0"/>
    <w:rsid w:val="00E1312A"/>
    <w:rsid w:val="00E1314D"/>
    <w:rsid w:val="00E131D0"/>
    <w:rsid w:val="00E131E5"/>
    <w:rsid w:val="00E1320C"/>
    <w:rsid w:val="00E13281"/>
    <w:rsid w:val="00E13299"/>
    <w:rsid w:val="00E13331"/>
    <w:rsid w:val="00E1338E"/>
    <w:rsid w:val="00E133A2"/>
    <w:rsid w:val="00E133A5"/>
    <w:rsid w:val="00E133AC"/>
    <w:rsid w:val="00E133AE"/>
    <w:rsid w:val="00E1340E"/>
    <w:rsid w:val="00E13466"/>
    <w:rsid w:val="00E13499"/>
    <w:rsid w:val="00E134ED"/>
    <w:rsid w:val="00E134F8"/>
    <w:rsid w:val="00E134FA"/>
    <w:rsid w:val="00E13531"/>
    <w:rsid w:val="00E135BC"/>
    <w:rsid w:val="00E135E3"/>
    <w:rsid w:val="00E135F6"/>
    <w:rsid w:val="00E135F8"/>
    <w:rsid w:val="00E1360B"/>
    <w:rsid w:val="00E13621"/>
    <w:rsid w:val="00E1363E"/>
    <w:rsid w:val="00E13756"/>
    <w:rsid w:val="00E13758"/>
    <w:rsid w:val="00E13820"/>
    <w:rsid w:val="00E138A9"/>
    <w:rsid w:val="00E138E4"/>
    <w:rsid w:val="00E1392F"/>
    <w:rsid w:val="00E13973"/>
    <w:rsid w:val="00E139FC"/>
    <w:rsid w:val="00E139FF"/>
    <w:rsid w:val="00E13A74"/>
    <w:rsid w:val="00E13A8D"/>
    <w:rsid w:val="00E13A8F"/>
    <w:rsid w:val="00E13A95"/>
    <w:rsid w:val="00E13AA0"/>
    <w:rsid w:val="00E13AC2"/>
    <w:rsid w:val="00E13B1D"/>
    <w:rsid w:val="00E13B34"/>
    <w:rsid w:val="00E13B92"/>
    <w:rsid w:val="00E13BD4"/>
    <w:rsid w:val="00E13BEC"/>
    <w:rsid w:val="00E13BEF"/>
    <w:rsid w:val="00E13C1B"/>
    <w:rsid w:val="00E13C47"/>
    <w:rsid w:val="00E13C5F"/>
    <w:rsid w:val="00E13C65"/>
    <w:rsid w:val="00E13CAD"/>
    <w:rsid w:val="00E13CDF"/>
    <w:rsid w:val="00E13CED"/>
    <w:rsid w:val="00E13D29"/>
    <w:rsid w:val="00E13D2B"/>
    <w:rsid w:val="00E13D95"/>
    <w:rsid w:val="00E13EFC"/>
    <w:rsid w:val="00E13F1A"/>
    <w:rsid w:val="00E13F1F"/>
    <w:rsid w:val="00E13FD4"/>
    <w:rsid w:val="00E14033"/>
    <w:rsid w:val="00E1403C"/>
    <w:rsid w:val="00E14066"/>
    <w:rsid w:val="00E14076"/>
    <w:rsid w:val="00E14117"/>
    <w:rsid w:val="00E14139"/>
    <w:rsid w:val="00E14160"/>
    <w:rsid w:val="00E141AC"/>
    <w:rsid w:val="00E14206"/>
    <w:rsid w:val="00E14218"/>
    <w:rsid w:val="00E1421A"/>
    <w:rsid w:val="00E1421E"/>
    <w:rsid w:val="00E1424E"/>
    <w:rsid w:val="00E14253"/>
    <w:rsid w:val="00E1425B"/>
    <w:rsid w:val="00E1429C"/>
    <w:rsid w:val="00E142BA"/>
    <w:rsid w:val="00E142F9"/>
    <w:rsid w:val="00E14306"/>
    <w:rsid w:val="00E1432D"/>
    <w:rsid w:val="00E143F8"/>
    <w:rsid w:val="00E143FF"/>
    <w:rsid w:val="00E14403"/>
    <w:rsid w:val="00E14421"/>
    <w:rsid w:val="00E1445C"/>
    <w:rsid w:val="00E1449E"/>
    <w:rsid w:val="00E14514"/>
    <w:rsid w:val="00E14545"/>
    <w:rsid w:val="00E145C1"/>
    <w:rsid w:val="00E145F3"/>
    <w:rsid w:val="00E146BF"/>
    <w:rsid w:val="00E14788"/>
    <w:rsid w:val="00E1478E"/>
    <w:rsid w:val="00E147A4"/>
    <w:rsid w:val="00E147BA"/>
    <w:rsid w:val="00E147C7"/>
    <w:rsid w:val="00E147CF"/>
    <w:rsid w:val="00E14826"/>
    <w:rsid w:val="00E1486F"/>
    <w:rsid w:val="00E14877"/>
    <w:rsid w:val="00E14895"/>
    <w:rsid w:val="00E148B5"/>
    <w:rsid w:val="00E148D4"/>
    <w:rsid w:val="00E148E2"/>
    <w:rsid w:val="00E14946"/>
    <w:rsid w:val="00E1495F"/>
    <w:rsid w:val="00E14978"/>
    <w:rsid w:val="00E1497D"/>
    <w:rsid w:val="00E14B64"/>
    <w:rsid w:val="00E14B67"/>
    <w:rsid w:val="00E14C4A"/>
    <w:rsid w:val="00E14CA5"/>
    <w:rsid w:val="00E14CA8"/>
    <w:rsid w:val="00E14CCB"/>
    <w:rsid w:val="00E14CCC"/>
    <w:rsid w:val="00E14D05"/>
    <w:rsid w:val="00E14D5B"/>
    <w:rsid w:val="00E14DB4"/>
    <w:rsid w:val="00E14DD0"/>
    <w:rsid w:val="00E14DFB"/>
    <w:rsid w:val="00E14EE3"/>
    <w:rsid w:val="00E14EE4"/>
    <w:rsid w:val="00E14F1C"/>
    <w:rsid w:val="00E14F26"/>
    <w:rsid w:val="00E14F77"/>
    <w:rsid w:val="00E14F84"/>
    <w:rsid w:val="00E15014"/>
    <w:rsid w:val="00E15057"/>
    <w:rsid w:val="00E15059"/>
    <w:rsid w:val="00E15123"/>
    <w:rsid w:val="00E1513C"/>
    <w:rsid w:val="00E15146"/>
    <w:rsid w:val="00E151A2"/>
    <w:rsid w:val="00E151B9"/>
    <w:rsid w:val="00E151F9"/>
    <w:rsid w:val="00E15247"/>
    <w:rsid w:val="00E15253"/>
    <w:rsid w:val="00E15263"/>
    <w:rsid w:val="00E15289"/>
    <w:rsid w:val="00E15306"/>
    <w:rsid w:val="00E1535B"/>
    <w:rsid w:val="00E153A7"/>
    <w:rsid w:val="00E1549F"/>
    <w:rsid w:val="00E15507"/>
    <w:rsid w:val="00E155F4"/>
    <w:rsid w:val="00E15607"/>
    <w:rsid w:val="00E15610"/>
    <w:rsid w:val="00E1566A"/>
    <w:rsid w:val="00E1566E"/>
    <w:rsid w:val="00E15671"/>
    <w:rsid w:val="00E156A8"/>
    <w:rsid w:val="00E156CA"/>
    <w:rsid w:val="00E15706"/>
    <w:rsid w:val="00E15710"/>
    <w:rsid w:val="00E1576E"/>
    <w:rsid w:val="00E15779"/>
    <w:rsid w:val="00E1578F"/>
    <w:rsid w:val="00E157A3"/>
    <w:rsid w:val="00E1581A"/>
    <w:rsid w:val="00E15895"/>
    <w:rsid w:val="00E158C8"/>
    <w:rsid w:val="00E158D4"/>
    <w:rsid w:val="00E158F3"/>
    <w:rsid w:val="00E15977"/>
    <w:rsid w:val="00E15987"/>
    <w:rsid w:val="00E15A0B"/>
    <w:rsid w:val="00E15A62"/>
    <w:rsid w:val="00E15BCC"/>
    <w:rsid w:val="00E15BE9"/>
    <w:rsid w:val="00E15C01"/>
    <w:rsid w:val="00E15C0B"/>
    <w:rsid w:val="00E15CCA"/>
    <w:rsid w:val="00E15D0A"/>
    <w:rsid w:val="00E15D2B"/>
    <w:rsid w:val="00E15DBB"/>
    <w:rsid w:val="00E15E0B"/>
    <w:rsid w:val="00E15E13"/>
    <w:rsid w:val="00E15E28"/>
    <w:rsid w:val="00E15E9F"/>
    <w:rsid w:val="00E15EC9"/>
    <w:rsid w:val="00E15F13"/>
    <w:rsid w:val="00E15F1B"/>
    <w:rsid w:val="00E15F34"/>
    <w:rsid w:val="00E16007"/>
    <w:rsid w:val="00E1614B"/>
    <w:rsid w:val="00E1616A"/>
    <w:rsid w:val="00E1617F"/>
    <w:rsid w:val="00E16189"/>
    <w:rsid w:val="00E161D5"/>
    <w:rsid w:val="00E161FD"/>
    <w:rsid w:val="00E16270"/>
    <w:rsid w:val="00E162BE"/>
    <w:rsid w:val="00E162C2"/>
    <w:rsid w:val="00E16300"/>
    <w:rsid w:val="00E1635A"/>
    <w:rsid w:val="00E16373"/>
    <w:rsid w:val="00E163CB"/>
    <w:rsid w:val="00E163E0"/>
    <w:rsid w:val="00E163EA"/>
    <w:rsid w:val="00E16404"/>
    <w:rsid w:val="00E1647E"/>
    <w:rsid w:val="00E16593"/>
    <w:rsid w:val="00E165A5"/>
    <w:rsid w:val="00E165AE"/>
    <w:rsid w:val="00E165E1"/>
    <w:rsid w:val="00E16691"/>
    <w:rsid w:val="00E166B8"/>
    <w:rsid w:val="00E166D3"/>
    <w:rsid w:val="00E1670D"/>
    <w:rsid w:val="00E1670E"/>
    <w:rsid w:val="00E1671E"/>
    <w:rsid w:val="00E16792"/>
    <w:rsid w:val="00E167A1"/>
    <w:rsid w:val="00E167C7"/>
    <w:rsid w:val="00E167E1"/>
    <w:rsid w:val="00E1684E"/>
    <w:rsid w:val="00E16851"/>
    <w:rsid w:val="00E168B9"/>
    <w:rsid w:val="00E168E8"/>
    <w:rsid w:val="00E168EE"/>
    <w:rsid w:val="00E168F0"/>
    <w:rsid w:val="00E16934"/>
    <w:rsid w:val="00E16938"/>
    <w:rsid w:val="00E16947"/>
    <w:rsid w:val="00E16952"/>
    <w:rsid w:val="00E16954"/>
    <w:rsid w:val="00E169BA"/>
    <w:rsid w:val="00E16A6A"/>
    <w:rsid w:val="00E16AA0"/>
    <w:rsid w:val="00E16ABC"/>
    <w:rsid w:val="00E16AC5"/>
    <w:rsid w:val="00E16ADB"/>
    <w:rsid w:val="00E16AE0"/>
    <w:rsid w:val="00E16AF0"/>
    <w:rsid w:val="00E16B9C"/>
    <w:rsid w:val="00E16B9E"/>
    <w:rsid w:val="00E16BB0"/>
    <w:rsid w:val="00E16BD4"/>
    <w:rsid w:val="00E16BFD"/>
    <w:rsid w:val="00E16C1F"/>
    <w:rsid w:val="00E16C3B"/>
    <w:rsid w:val="00E16C70"/>
    <w:rsid w:val="00E16D36"/>
    <w:rsid w:val="00E16D79"/>
    <w:rsid w:val="00E16D8B"/>
    <w:rsid w:val="00E16DDB"/>
    <w:rsid w:val="00E16DF0"/>
    <w:rsid w:val="00E16E3F"/>
    <w:rsid w:val="00E16EB1"/>
    <w:rsid w:val="00E16F2C"/>
    <w:rsid w:val="00E16F3D"/>
    <w:rsid w:val="00E16F46"/>
    <w:rsid w:val="00E16F4C"/>
    <w:rsid w:val="00E17033"/>
    <w:rsid w:val="00E17049"/>
    <w:rsid w:val="00E1704D"/>
    <w:rsid w:val="00E17081"/>
    <w:rsid w:val="00E170A7"/>
    <w:rsid w:val="00E170FD"/>
    <w:rsid w:val="00E17118"/>
    <w:rsid w:val="00E1711E"/>
    <w:rsid w:val="00E171B8"/>
    <w:rsid w:val="00E171DE"/>
    <w:rsid w:val="00E17208"/>
    <w:rsid w:val="00E17240"/>
    <w:rsid w:val="00E1724F"/>
    <w:rsid w:val="00E172D0"/>
    <w:rsid w:val="00E172FA"/>
    <w:rsid w:val="00E17338"/>
    <w:rsid w:val="00E173A2"/>
    <w:rsid w:val="00E173C2"/>
    <w:rsid w:val="00E174BA"/>
    <w:rsid w:val="00E174C3"/>
    <w:rsid w:val="00E174ED"/>
    <w:rsid w:val="00E1752A"/>
    <w:rsid w:val="00E1756A"/>
    <w:rsid w:val="00E175FD"/>
    <w:rsid w:val="00E1760E"/>
    <w:rsid w:val="00E1761B"/>
    <w:rsid w:val="00E17621"/>
    <w:rsid w:val="00E17649"/>
    <w:rsid w:val="00E17669"/>
    <w:rsid w:val="00E17673"/>
    <w:rsid w:val="00E176DB"/>
    <w:rsid w:val="00E1775A"/>
    <w:rsid w:val="00E17784"/>
    <w:rsid w:val="00E17794"/>
    <w:rsid w:val="00E177A5"/>
    <w:rsid w:val="00E177C4"/>
    <w:rsid w:val="00E17880"/>
    <w:rsid w:val="00E17887"/>
    <w:rsid w:val="00E178F9"/>
    <w:rsid w:val="00E1795A"/>
    <w:rsid w:val="00E179BC"/>
    <w:rsid w:val="00E179BE"/>
    <w:rsid w:val="00E17A98"/>
    <w:rsid w:val="00E17AFB"/>
    <w:rsid w:val="00E17B5A"/>
    <w:rsid w:val="00E17B65"/>
    <w:rsid w:val="00E17B74"/>
    <w:rsid w:val="00E17B78"/>
    <w:rsid w:val="00E17C3C"/>
    <w:rsid w:val="00E17D19"/>
    <w:rsid w:val="00E17D3B"/>
    <w:rsid w:val="00E17D76"/>
    <w:rsid w:val="00E17DD8"/>
    <w:rsid w:val="00E17DF3"/>
    <w:rsid w:val="00E17E44"/>
    <w:rsid w:val="00E17E69"/>
    <w:rsid w:val="00E17E88"/>
    <w:rsid w:val="00E17E8A"/>
    <w:rsid w:val="00E17EED"/>
    <w:rsid w:val="00E17EF5"/>
    <w:rsid w:val="00E17F05"/>
    <w:rsid w:val="00E17F5A"/>
    <w:rsid w:val="00E17F63"/>
    <w:rsid w:val="00E1A21E"/>
    <w:rsid w:val="00E20001"/>
    <w:rsid w:val="00E20047"/>
    <w:rsid w:val="00E2004A"/>
    <w:rsid w:val="00E2008A"/>
    <w:rsid w:val="00E200B2"/>
    <w:rsid w:val="00E200CA"/>
    <w:rsid w:val="00E20128"/>
    <w:rsid w:val="00E2014A"/>
    <w:rsid w:val="00E201A7"/>
    <w:rsid w:val="00E20215"/>
    <w:rsid w:val="00E2023E"/>
    <w:rsid w:val="00E20250"/>
    <w:rsid w:val="00E202D0"/>
    <w:rsid w:val="00E20333"/>
    <w:rsid w:val="00E20377"/>
    <w:rsid w:val="00E203BA"/>
    <w:rsid w:val="00E20581"/>
    <w:rsid w:val="00E205D7"/>
    <w:rsid w:val="00E205D8"/>
    <w:rsid w:val="00E2063D"/>
    <w:rsid w:val="00E2064C"/>
    <w:rsid w:val="00E20650"/>
    <w:rsid w:val="00E206DE"/>
    <w:rsid w:val="00E2072A"/>
    <w:rsid w:val="00E20736"/>
    <w:rsid w:val="00E20766"/>
    <w:rsid w:val="00E20839"/>
    <w:rsid w:val="00E20905"/>
    <w:rsid w:val="00E2096B"/>
    <w:rsid w:val="00E209A6"/>
    <w:rsid w:val="00E209D1"/>
    <w:rsid w:val="00E20A9B"/>
    <w:rsid w:val="00E20AB7"/>
    <w:rsid w:val="00E20B08"/>
    <w:rsid w:val="00E20B20"/>
    <w:rsid w:val="00E20B2B"/>
    <w:rsid w:val="00E20B36"/>
    <w:rsid w:val="00E20B9E"/>
    <w:rsid w:val="00E20BA7"/>
    <w:rsid w:val="00E20BC5"/>
    <w:rsid w:val="00E20BE3"/>
    <w:rsid w:val="00E20C0B"/>
    <w:rsid w:val="00E20C25"/>
    <w:rsid w:val="00E20C5E"/>
    <w:rsid w:val="00E20C6E"/>
    <w:rsid w:val="00E20CA9"/>
    <w:rsid w:val="00E20CDC"/>
    <w:rsid w:val="00E20CF3"/>
    <w:rsid w:val="00E20CFF"/>
    <w:rsid w:val="00E20D01"/>
    <w:rsid w:val="00E20D06"/>
    <w:rsid w:val="00E20D9E"/>
    <w:rsid w:val="00E20DB8"/>
    <w:rsid w:val="00E20E48"/>
    <w:rsid w:val="00E20E4B"/>
    <w:rsid w:val="00E20E98"/>
    <w:rsid w:val="00E20EB3"/>
    <w:rsid w:val="00E20EC6"/>
    <w:rsid w:val="00E20ED7"/>
    <w:rsid w:val="00E20F90"/>
    <w:rsid w:val="00E20F93"/>
    <w:rsid w:val="00E20F95"/>
    <w:rsid w:val="00E21008"/>
    <w:rsid w:val="00E21010"/>
    <w:rsid w:val="00E21058"/>
    <w:rsid w:val="00E2106B"/>
    <w:rsid w:val="00E2106E"/>
    <w:rsid w:val="00E210B0"/>
    <w:rsid w:val="00E2113E"/>
    <w:rsid w:val="00E21168"/>
    <w:rsid w:val="00E211A2"/>
    <w:rsid w:val="00E211DD"/>
    <w:rsid w:val="00E21221"/>
    <w:rsid w:val="00E2126E"/>
    <w:rsid w:val="00E212A8"/>
    <w:rsid w:val="00E212E1"/>
    <w:rsid w:val="00E21324"/>
    <w:rsid w:val="00E21330"/>
    <w:rsid w:val="00E21366"/>
    <w:rsid w:val="00E2138A"/>
    <w:rsid w:val="00E2139C"/>
    <w:rsid w:val="00E213F9"/>
    <w:rsid w:val="00E21442"/>
    <w:rsid w:val="00E2146A"/>
    <w:rsid w:val="00E2147B"/>
    <w:rsid w:val="00E214B5"/>
    <w:rsid w:val="00E214E2"/>
    <w:rsid w:val="00E214EB"/>
    <w:rsid w:val="00E214EF"/>
    <w:rsid w:val="00E2150C"/>
    <w:rsid w:val="00E21593"/>
    <w:rsid w:val="00E21597"/>
    <w:rsid w:val="00E215BF"/>
    <w:rsid w:val="00E215DC"/>
    <w:rsid w:val="00E2161A"/>
    <w:rsid w:val="00E21677"/>
    <w:rsid w:val="00E216BE"/>
    <w:rsid w:val="00E216DB"/>
    <w:rsid w:val="00E216E0"/>
    <w:rsid w:val="00E21771"/>
    <w:rsid w:val="00E21795"/>
    <w:rsid w:val="00E217EC"/>
    <w:rsid w:val="00E21837"/>
    <w:rsid w:val="00E2185E"/>
    <w:rsid w:val="00E21877"/>
    <w:rsid w:val="00E21881"/>
    <w:rsid w:val="00E2189D"/>
    <w:rsid w:val="00E218AA"/>
    <w:rsid w:val="00E2194B"/>
    <w:rsid w:val="00E21964"/>
    <w:rsid w:val="00E219B5"/>
    <w:rsid w:val="00E21A82"/>
    <w:rsid w:val="00E21AFF"/>
    <w:rsid w:val="00E21B31"/>
    <w:rsid w:val="00E21B46"/>
    <w:rsid w:val="00E21B6B"/>
    <w:rsid w:val="00E21B9C"/>
    <w:rsid w:val="00E21BAD"/>
    <w:rsid w:val="00E21C21"/>
    <w:rsid w:val="00E21C34"/>
    <w:rsid w:val="00E21CF7"/>
    <w:rsid w:val="00E21DC6"/>
    <w:rsid w:val="00E21E24"/>
    <w:rsid w:val="00E21F03"/>
    <w:rsid w:val="00E21F2A"/>
    <w:rsid w:val="00E21F5E"/>
    <w:rsid w:val="00E21FA0"/>
    <w:rsid w:val="00E22019"/>
    <w:rsid w:val="00E2205D"/>
    <w:rsid w:val="00E2207E"/>
    <w:rsid w:val="00E220E1"/>
    <w:rsid w:val="00E220FF"/>
    <w:rsid w:val="00E22112"/>
    <w:rsid w:val="00E22144"/>
    <w:rsid w:val="00E2218C"/>
    <w:rsid w:val="00E221A8"/>
    <w:rsid w:val="00E221DB"/>
    <w:rsid w:val="00E221F0"/>
    <w:rsid w:val="00E22207"/>
    <w:rsid w:val="00E2222E"/>
    <w:rsid w:val="00E2223F"/>
    <w:rsid w:val="00E2227F"/>
    <w:rsid w:val="00E22310"/>
    <w:rsid w:val="00E223C9"/>
    <w:rsid w:val="00E223D1"/>
    <w:rsid w:val="00E223E0"/>
    <w:rsid w:val="00E224DE"/>
    <w:rsid w:val="00E22506"/>
    <w:rsid w:val="00E22577"/>
    <w:rsid w:val="00E2258A"/>
    <w:rsid w:val="00E225B4"/>
    <w:rsid w:val="00E226CA"/>
    <w:rsid w:val="00E226E7"/>
    <w:rsid w:val="00E22729"/>
    <w:rsid w:val="00E2285B"/>
    <w:rsid w:val="00E228AE"/>
    <w:rsid w:val="00E228CD"/>
    <w:rsid w:val="00E228D8"/>
    <w:rsid w:val="00E228F3"/>
    <w:rsid w:val="00E22917"/>
    <w:rsid w:val="00E2296F"/>
    <w:rsid w:val="00E229EC"/>
    <w:rsid w:val="00E22A04"/>
    <w:rsid w:val="00E22A71"/>
    <w:rsid w:val="00E22AAD"/>
    <w:rsid w:val="00E22AC8"/>
    <w:rsid w:val="00E22B03"/>
    <w:rsid w:val="00E22B7C"/>
    <w:rsid w:val="00E22B80"/>
    <w:rsid w:val="00E22BA9"/>
    <w:rsid w:val="00E22BE8"/>
    <w:rsid w:val="00E22BF9"/>
    <w:rsid w:val="00E22C62"/>
    <w:rsid w:val="00E22C7B"/>
    <w:rsid w:val="00E22C98"/>
    <w:rsid w:val="00E22CBE"/>
    <w:rsid w:val="00E22CC3"/>
    <w:rsid w:val="00E22CFA"/>
    <w:rsid w:val="00E22D07"/>
    <w:rsid w:val="00E22D3F"/>
    <w:rsid w:val="00E22D51"/>
    <w:rsid w:val="00E22D63"/>
    <w:rsid w:val="00E22D83"/>
    <w:rsid w:val="00E22DA3"/>
    <w:rsid w:val="00E22DE0"/>
    <w:rsid w:val="00E22DEC"/>
    <w:rsid w:val="00E22E27"/>
    <w:rsid w:val="00E22E8C"/>
    <w:rsid w:val="00E22ECE"/>
    <w:rsid w:val="00E22EFA"/>
    <w:rsid w:val="00E22F92"/>
    <w:rsid w:val="00E23025"/>
    <w:rsid w:val="00E2307F"/>
    <w:rsid w:val="00E2310D"/>
    <w:rsid w:val="00E2313E"/>
    <w:rsid w:val="00E231DA"/>
    <w:rsid w:val="00E231E4"/>
    <w:rsid w:val="00E23211"/>
    <w:rsid w:val="00E23225"/>
    <w:rsid w:val="00E23226"/>
    <w:rsid w:val="00E2324C"/>
    <w:rsid w:val="00E23281"/>
    <w:rsid w:val="00E2332E"/>
    <w:rsid w:val="00E23383"/>
    <w:rsid w:val="00E233FA"/>
    <w:rsid w:val="00E23426"/>
    <w:rsid w:val="00E2343C"/>
    <w:rsid w:val="00E23456"/>
    <w:rsid w:val="00E2347A"/>
    <w:rsid w:val="00E234CA"/>
    <w:rsid w:val="00E2356A"/>
    <w:rsid w:val="00E2356E"/>
    <w:rsid w:val="00E23578"/>
    <w:rsid w:val="00E23590"/>
    <w:rsid w:val="00E235C0"/>
    <w:rsid w:val="00E23602"/>
    <w:rsid w:val="00E23634"/>
    <w:rsid w:val="00E23660"/>
    <w:rsid w:val="00E2368D"/>
    <w:rsid w:val="00E23691"/>
    <w:rsid w:val="00E236AC"/>
    <w:rsid w:val="00E2371C"/>
    <w:rsid w:val="00E23774"/>
    <w:rsid w:val="00E23786"/>
    <w:rsid w:val="00E23789"/>
    <w:rsid w:val="00E237D5"/>
    <w:rsid w:val="00E237FA"/>
    <w:rsid w:val="00E2381A"/>
    <w:rsid w:val="00E2381D"/>
    <w:rsid w:val="00E23844"/>
    <w:rsid w:val="00E23878"/>
    <w:rsid w:val="00E238A1"/>
    <w:rsid w:val="00E238B9"/>
    <w:rsid w:val="00E238F3"/>
    <w:rsid w:val="00E23906"/>
    <w:rsid w:val="00E23910"/>
    <w:rsid w:val="00E23962"/>
    <w:rsid w:val="00E23964"/>
    <w:rsid w:val="00E239A5"/>
    <w:rsid w:val="00E23A53"/>
    <w:rsid w:val="00E23A56"/>
    <w:rsid w:val="00E23A5A"/>
    <w:rsid w:val="00E23A82"/>
    <w:rsid w:val="00E23A8E"/>
    <w:rsid w:val="00E23A97"/>
    <w:rsid w:val="00E23B0D"/>
    <w:rsid w:val="00E23B17"/>
    <w:rsid w:val="00E23B5C"/>
    <w:rsid w:val="00E23B6B"/>
    <w:rsid w:val="00E23C00"/>
    <w:rsid w:val="00E23C48"/>
    <w:rsid w:val="00E23C59"/>
    <w:rsid w:val="00E23C87"/>
    <w:rsid w:val="00E23CBA"/>
    <w:rsid w:val="00E23CEB"/>
    <w:rsid w:val="00E23D21"/>
    <w:rsid w:val="00E23D45"/>
    <w:rsid w:val="00E23DEE"/>
    <w:rsid w:val="00E23E47"/>
    <w:rsid w:val="00E23EA1"/>
    <w:rsid w:val="00E23F0B"/>
    <w:rsid w:val="00E23F32"/>
    <w:rsid w:val="00E23F54"/>
    <w:rsid w:val="00E23F82"/>
    <w:rsid w:val="00E23F90"/>
    <w:rsid w:val="00E23FE9"/>
    <w:rsid w:val="00E2402A"/>
    <w:rsid w:val="00E24038"/>
    <w:rsid w:val="00E24043"/>
    <w:rsid w:val="00E24116"/>
    <w:rsid w:val="00E24146"/>
    <w:rsid w:val="00E24164"/>
    <w:rsid w:val="00E24169"/>
    <w:rsid w:val="00E24216"/>
    <w:rsid w:val="00E2427A"/>
    <w:rsid w:val="00E242A6"/>
    <w:rsid w:val="00E242B4"/>
    <w:rsid w:val="00E242C0"/>
    <w:rsid w:val="00E243DC"/>
    <w:rsid w:val="00E2448E"/>
    <w:rsid w:val="00E244BC"/>
    <w:rsid w:val="00E244EE"/>
    <w:rsid w:val="00E24534"/>
    <w:rsid w:val="00E2454F"/>
    <w:rsid w:val="00E245AC"/>
    <w:rsid w:val="00E24647"/>
    <w:rsid w:val="00E246A4"/>
    <w:rsid w:val="00E246A8"/>
    <w:rsid w:val="00E246FA"/>
    <w:rsid w:val="00E24708"/>
    <w:rsid w:val="00E24712"/>
    <w:rsid w:val="00E24720"/>
    <w:rsid w:val="00E2479C"/>
    <w:rsid w:val="00E247D8"/>
    <w:rsid w:val="00E24817"/>
    <w:rsid w:val="00E2484E"/>
    <w:rsid w:val="00E24862"/>
    <w:rsid w:val="00E248C2"/>
    <w:rsid w:val="00E248EE"/>
    <w:rsid w:val="00E248F9"/>
    <w:rsid w:val="00E24958"/>
    <w:rsid w:val="00E24959"/>
    <w:rsid w:val="00E24971"/>
    <w:rsid w:val="00E249A6"/>
    <w:rsid w:val="00E249BE"/>
    <w:rsid w:val="00E24A32"/>
    <w:rsid w:val="00E24A57"/>
    <w:rsid w:val="00E24A63"/>
    <w:rsid w:val="00E24A86"/>
    <w:rsid w:val="00E24A91"/>
    <w:rsid w:val="00E24AA0"/>
    <w:rsid w:val="00E24ADF"/>
    <w:rsid w:val="00E24AE2"/>
    <w:rsid w:val="00E24AE6"/>
    <w:rsid w:val="00E24B99"/>
    <w:rsid w:val="00E24C18"/>
    <w:rsid w:val="00E24C5C"/>
    <w:rsid w:val="00E24C66"/>
    <w:rsid w:val="00E24D0E"/>
    <w:rsid w:val="00E24D47"/>
    <w:rsid w:val="00E24D61"/>
    <w:rsid w:val="00E24D7F"/>
    <w:rsid w:val="00E24DB9"/>
    <w:rsid w:val="00E24DC9"/>
    <w:rsid w:val="00E24E1F"/>
    <w:rsid w:val="00E24E3D"/>
    <w:rsid w:val="00E24E76"/>
    <w:rsid w:val="00E24E7D"/>
    <w:rsid w:val="00E24E90"/>
    <w:rsid w:val="00E24EAD"/>
    <w:rsid w:val="00E24F03"/>
    <w:rsid w:val="00E24F60"/>
    <w:rsid w:val="00E24FEF"/>
    <w:rsid w:val="00E25014"/>
    <w:rsid w:val="00E2502A"/>
    <w:rsid w:val="00E250CB"/>
    <w:rsid w:val="00E2514C"/>
    <w:rsid w:val="00E25195"/>
    <w:rsid w:val="00E251C5"/>
    <w:rsid w:val="00E252A7"/>
    <w:rsid w:val="00E252CE"/>
    <w:rsid w:val="00E2531F"/>
    <w:rsid w:val="00E253C0"/>
    <w:rsid w:val="00E2542B"/>
    <w:rsid w:val="00E2548D"/>
    <w:rsid w:val="00E254A0"/>
    <w:rsid w:val="00E254AA"/>
    <w:rsid w:val="00E255A3"/>
    <w:rsid w:val="00E255A6"/>
    <w:rsid w:val="00E2562B"/>
    <w:rsid w:val="00E25642"/>
    <w:rsid w:val="00E2566B"/>
    <w:rsid w:val="00E256AD"/>
    <w:rsid w:val="00E256E6"/>
    <w:rsid w:val="00E2575A"/>
    <w:rsid w:val="00E25788"/>
    <w:rsid w:val="00E257EF"/>
    <w:rsid w:val="00E258B5"/>
    <w:rsid w:val="00E258C4"/>
    <w:rsid w:val="00E25938"/>
    <w:rsid w:val="00E2598E"/>
    <w:rsid w:val="00E25A12"/>
    <w:rsid w:val="00E25A1E"/>
    <w:rsid w:val="00E25A3E"/>
    <w:rsid w:val="00E25A53"/>
    <w:rsid w:val="00E25A71"/>
    <w:rsid w:val="00E25A8A"/>
    <w:rsid w:val="00E25A98"/>
    <w:rsid w:val="00E25AF5"/>
    <w:rsid w:val="00E25AF7"/>
    <w:rsid w:val="00E25B8E"/>
    <w:rsid w:val="00E25C45"/>
    <w:rsid w:val="00E25C5E"/>
    <w:rsid w:val="00E25C70"/>
    <w:rsid w:val="00E25C97"/>
    <w:rsid w:val="00E25CB9"/>
    <w:rsid w:val="00E25CEA"/>
    <w:rsid w:val="00E25D19"/>
    <w:rsid w:val="00E25D3A"/>
    <w:rsid w:val="00E25D65"/>
    <w:rsid w:val="00E25D95"/>
    <w:rsid w:val="00E25DF2"/>
    <w:rsid w:val="00E25E16"/>
    <w:rsid w:val="00E25E40"/>
    <w:rsid w:val="00E25E6E"/>
    <w:rsid w:val="00E25E83"/>
    <w:rsid w:val="00E25EAA"/>
    <w:rsid w:val="00E25F17"/>
    <w:rsid w:val="00E25F26"/>
    <w:rsid w:val="00E25F2E"/>
    <w:rsid w:val="00E25F45"/>
    <w:rsid w:val="00E25F6C"/>
    <w:rsid w:val="00E25F75"/>
    <w:rsid w:val="00E25F7C"/>
    <w:rsid w:val="00E25F7E"/>
    <w:rsid w:val="00E2601D"/>
    <w:rsid w:val="00E2602A"/>
    <w:rsid w:val="00E2604E"/>
    <w:rsid w:val="00E260D5"/>
    <w:rsid w:val="00E2611D"/>
    <w:rsid w:val="00E261DC"/>
    <w:rsid w:val="00E261FD"/>
    <w:rsid w:val="00E2620A"/>
    <w:rsid w:val="00E262B3"/>
    <w:rsid w:val="00E26426"/>
    <w:rsid w:val="00E2642C"/>
    <w:rsid w:val="00E2642F"/>
    <w:rsid w:val="00E264C5"/>
    <w:rsid w:val="00E264E9"/>
    <w:rsid w:val="00E264EB"/>
    <w:rsid w:val="00E26503"/>
    <w:rsid w:val="00E2652D"/>
    <w:rsid w:val="00E265BD"/>
    <w:rsid w:val="00E265DF"/>
    <w:rsid w:val="00E265EA"/>
    <w:rsid w:val="00E26650"/>
    <w:rsid w:val="00E266A4"/>
    <w:rsid w:val="00E266C4"/>
    <w:rsid w:val="00E266F2"/>
    <w:rsid w:val="00E26727"/>
    <w:rsid w:val="00E26736"/>
    <w:rsid w:val="00E2676D"/>
    <w:rsid w:val="00E267D3"/>
    <w:rsid w:val="00E26849"/>
    <w:rsid w:val="00E2685B"/>
    <w:rsid w:val="00E268A4"/>
    <w:rsid w:val="00E26966"/>
    <w:rsid w:val="00E2698A"/>
    <w:rsid w:val="00E26A44"/>
    <w:rsid w:val="00E26A54"/>
    <w:rsid w:val="00E26A7C"/>
    <w:rsid w:val="00E26ACB"/>
    <w:rsid w:val="00E26AE6"/>
    <w:rsid w:val="00E26B9F"/>
    <w:rsid w:val="00E26BF5"/>
    <w:rsid w:val="00E26C37"/>
    <w:rsid w:val="00E26CED"/>
    <w:rsid w:val="00E26D3D"/>
    <w:rsid w:val="00E26D45"/>
    <w:rsid w:val="00E26E12"/>
    <w:rsid w:val="00E26E9C"/>
    <w:rsid w:val="00E26ECC"/>
    <w:rsid w:val="00E26F04"/>
    <w:rsid w:val="00E26F0A"/>
    <w:rsid w:val="00E26F22"/>
    <w:rsid w:val="00E26F34"/>
    <w:rsid w:val="00E26FCA"/>
    <w:rsid w:val="00E26FEE"/>
    <w:rsid w:val="00E27074"/>
    <w:rsid w:val="00E270AE"/>
    <w:rsid w:val="00E270B2"/>
    <w:rsid w:val="00E270CF"/>
    <w:rsid w:val="00E27100"/>
    <w:rsid w:val="00E2711C"/>
    <w:rsid w:val="00E2714B"/>
    <w:rsid w:val="00E27160"/>
    <w:rsid w:val="00E271F3"/>
    <w:rsid w:val="00E27235"/>
    <w:rsid w:val="00E2727D"/>
    <w:rsid w:val="00E2731A"/>
    <w:rsid w:val="00E27334"/>
    <w:rsid w:val="00E273AA"/>
    <w:rsid w:val="00E273C3"/>
    <w:rsid w:val="00E273E2"/>
    <w:rsid w:val="00E273EE"/>
    <w:rsid w:val="00E27430"/>
    <w:rsid w:val="00E274BE"/>
    <w:rsid w:val="00E274C9"/>
    <w:rsid w:val="00E274E7"/>
    <w:rsid w:val="00E27588"/>
    <w:rsid w:val="00E275A3"/>
    <w:rsid w:val="00E275A6"/>
    <w:rsid w:val="00E27676"/>
    <w:rsid w:val="00E27694"/>
    <w:rsid w:val="00E276B1"/>
    <w:rsid w:val="00E276F7"/>
    <w:rsid w:val="00E276F8"/>
    <w:rsid w:val="00E27723"/>
    <w:rsid w:val="00E27748"/>
    <w:rsid w:val="00E27778"/>
    <w:rsid w:val="00E277C9"/>
    <w:rsid w:val="00E277D7"/>
    <w:rsid w:val="00E277DC"/>
    <w:rsid w:val="00E2786E"/>
    <w:rsid w:val="00E27872"/>
    <w:rsid w:val="00E278A1"/>
    <w:rsid w:val="00E2796F"/>
    <w:rsid w:val="00E27979"/>
    <w:rsid w:val="00E279BB"/>
    <w:rsid w:val="00E279E9"/>
    <w:rsid w:val="00E27A2A"/>
    <w:rsid w:val="00E27A87"/>
    <w:rsid w:val="00E27A94"/>
    <w:rsid w:val="00E27ADD"/>
    <w:rsid w:val="00E27B20"/>
    <w:rsid w:val="00E27B90"/>
    <w:rsid w:val="00E27BC6"/>
    <w:rsid w:val="00E27BEC"/>
    <w:rsid w:val="00E27C63"/>
    <w:rsid w:val="00E27C77"/>
    <w:rsid w:val="00E27C7E"/>
    <w:rsid w:val="00E27C8D"/>
    <w:rsid w:val="00E27CAE"/>
    <w:rsid w:val="00E27CD4"/>
    <w:rsid w:val="00E27D23"/>
    <w:rsid w:val="00E27D4B"/>
    <w:rsid w:val="00E27D87"/>
    <w:rsid w:val="00E27D88"/>
    <w:rsid w:val="00E27DD0"/>
    <w:rsid w:val="00E27E1A"/>
    <w:rsid w:val="00E27E24"/>
    <w:rsid w:val="00E27E58"/>
    <w:rsid w:val="00E27E62"/>
    <w:rsid w:val="00E27E85"/>
    <w:rsid w:val="00E27E8F"/>
    <w:rsid w:val="00E27EF0"/>
    <w:rsid w:val="00E27F42"/>
    <w:rsid w:val="00E27FD9"/>
    <w:rsid w:val="00E27FE3"/>
    <w:rsid w:val="00E3000E"/>
    <w:rsid w:val="00E3002F"/>
    <w:rsid w:val="00E30054"/>
    <w:rsid w:val="00E300D7"/>
    <w:rsid w:val="00E300E0"/>
    <w:rsid w:val="00E30190"/>
    <w:rsid w:val="00E301A1"/>
    <w:rsid w:val="00E301BA"/>
    <w:rsid w:val="00E30238"/>
    <w:rsid w:val="00E30240"/>
    <w:rsid w:val="00E3024F"/>
    <w:rsid w:val="00E3028F"/>
    <w:rsid w:val="00E302CB"/>
    <w:rsid w:val="00E302DB"/>
    <w:rsid w:val="00E3034F"/>
    <w:rsid w:val="00E30384"/>
    <w:rsid w:val="00E3039E"/>
    <w:rsid w:val="00E303BE"/>
    <w:rsid w:val="00E303F3"/>
    <w:rsid w:val="00E303FB"/>
    <w:rsid w:val="00E30434"/>
    <w:rsid w:val="00E304B1"/>
    <w:rsid w:val="00E304E3"/>
    <w:rsid w:val="00E30502"/>
    <w:rsid w:val="00E3053C"/>
    <w:rsid w:val="00E305BB"/>
    <w:rsid w:val="00E30626"/>
    <w:rsid w:val="00E30629"/>
    <w:rsid w:val="00E3068C"/>
    <w:rsid w:val="00E3079C"/>
    <w:rsid w:val="00E307B4"/>
    <w:rsid w:val="00E307BC"/>
    <w:rsid w:val="00E308EB"/>
    <w:rsid w:val="00E30922"/>
    <w:rsid w:val="00E3092B"/>
    <w:rsid w:val="00E30985"/>
    <w:rsid w:val="00E3099E"/>
    <w:rsid w:val="00E309CD"/>
    <w:rsid w:val="00E309D7"/>
    <w:rsid w:val="00E30A0A"/>
    <w:rsid w:val="00E30A27"/>
    <w:rsid w:val="00E30A59"/>
    <w:rsid w:val="00E30AA1"/>
    <w:rsid w:val="00E30AB2"/>
    <w:rsid w:val="00E30B11"/>
    <w:rsid w:val="00E30B37"/>
    <w:rsid w:val="00E30BE9"/>
    <w:rsid w:val="00E30BEC"/>
    <w:rsid w:val="00E30C2E"/>
    <w:rsid w:val="00E30C71"/>
    <w:rsid w:val="00E30C9D"/>
    <w:rsid w:val="00E30CC0"/>
    <w:rsid w:val="00E30CC4"/>
    <w:rsid w:val="00E30CD0"/>
    <w:rsid w:val="00E30D22"/>
    <w:rsid w:val="00E30D86"/>
    <w:rsid w:val="00E30DF2"/>
    <w:rsid w:val="00E30DFE"/>
    <w:rsid w:val="00E30E34"/>
    <w:rsid w:val="00E30E43"/>
    <w:rsid w:val="00E30EAC"/>
    <w:rsid w:val="00E30EE4"/>
    <w:rsid w:val="00E30F0E"/>
    <w:rsid w:val="00E30F30"/>
    <w:rsid w:val="00E30F47"/>
    <w:rsid w:val="00E30F67"/>
    <w:rsid w:val="00E3106B"/>
    <w:rsid w:val="00E3107D"/>
    <w:rsid w:val="00E31080"/>
    <w:rsid w:val="00E310C2"/>
    <w:rsid w:val="00E310D9"/>
    <w:rsid w:val="00E3115D"/>
    <w:rsid w:val="00E31163"/>
    <w:rsid w:val="00E311DF"/>
    <w:rsid w:val="00E31326"/>
    <w:rsid w:val="00E313E1"/>
    <w:rsid w:val="00E31400"/>
    <w:rsid w:val="00E31473"/>
    <w:rsid w:val="00E31496"/>
    <w:rsid w:val="00E314E6"/>
    <w:rsid w:val="00E314EB"/>
    <w:rsid w:val="00E31549"/>
    <w:rsid w:val="00E315ED"/>
    <w:rsid w:val="00E3160D"/>
    <w:rsid w:val="00E31649"/>
    <w:rsid w:val="00E3164B"/>
    <w:rsid w:val="00E31666"/>
    <w:rsid w:val="00E31686"/>
    <w:rsid w:val="00E316A8"/>
    <w:rsid w:val="00E316E0"/>
    <w:rsid w:val="00E31703"/>
    <w:rsid w:val="00E317DE"/>
    <w:rsid w:val="00E3180C"/>
    <w:rsid w:val="00E3186A"/>
    <w:rsid w:val="00E318C9"/>
    <w:rsid w:val="00E31A1E"/>
    <w:rsid w:val="00E31A76"/>
    <w:rsid w:val="00E31AB9"/>
    <w:rsid w:val="00E31AE2"/>
    <w:rsid w:val="00E31B06"/>
    <w:rsid w:val="00E31B43"/>
    <w:rsid w:val="00E31B62"/>
    <w:rsid w:val="00E31C07"/>
    <w:rsid w:val="00E31C9C"/>
    <w:rsid w:val="00E31CBA"/>
    <w:rsid w:val="00E31CBE"/>
    <w:rsid w:val="00E31CCF"/>
    <w:rsid w:val="00E31D4E"/>
    <w:rsid w:val="00E31D97"/>
    <w:rsid w:val="00E31DA7"/>
    <w:rsid w:val="00E31DDB"/>
    <w:rsid w:val="00E31E04"/>
    <w:rsid w:val="00E31E1F"/>
    <w:rsid w:val="00E31E20"/>
    <w:rsid w:val="00E31E26"/>
    <w:rsid w:val="00E31E66"/>
    <w:rsid w:val="00E31E79"/>
    <w:rsid w:val="00E31EB9"/>
    <w:rsid w:val="00E31EFB"/>
    <w:rsid w:val="00E31F17"/>
    <w:rsid w:val="00E32004"/>
    <w:rsid w:val="00E3200A"/>
    <w:rsid w:val="00E32015"/>
    <w:rsid w:val="00E32018"/>
    <w:rsid w:val="00E3201E"/>
    <w:rsid w:val="00E32034"/>
    <w:rsid w:val="00E320C7"/>
    <w:rsid w:val="00E32104"/>
    <w:rsid w:val="00E3210A"/>
    <w:rsid w:val="00E32135"/>
    <w:rsid w:val="00E3217A"/>
    <w:rsid w:val="00E3218D"/>
    <w:rsid w:val="00E321B3"/>
    <w:rsid w:val="00E321BB"/>
    <w:rsid w:val="00E321DA"/>
    <w:rsid w:val="00E3224B"/>
    <w:rsid w:val="00E322E7"/>
    <w:rsid w:val="00E3236C"/>
    <w:rsid w:val="00E324D9"/>
    <w:rsid w:val="00E324EC"/>
    <w:rsid w:val="00E32527"/>
    <w:rsid w:val="00E3256B"/>
    <w:rsid w:val="00E32588"/>
    <w:rsid w:val="00E325CF"/>
    <w:rsid w:val="00E325D8"/>
    <w:rsid w:val="00E325DD"/>
    <w:rsid w:val="00E325EC"/>
    <w:rsid w:val="00E325FE"/>
    <w:rsid w:val="00E3265E"/>
    <w:rsid w:val="00E32695"/>
    <w:rsid w:val="00E326B2"/>
    <w:rsid w:val="00E326D9"/>
    <w:rsid w:val="00E326EE"/>
    <w:rsid w:val="00E32770"/>
    <w:rsid w:val="00E32780"/>
    <w:rsid w:val="00E32781"/>
    <w:rsid w:val="00E32794"/>
    <w:rsid w:val="00E327B9"/>
    <w:rsid w:val="00E327ED"/>
    <w:rsid w:val="00E32803"/>
    <w:rsid w:val="00E328C6"/>
    <w:rsid w:val="00E3293E"/>
    <w:rsid w:val="00E3294C"/>
    <w:rsid w:val="00E32975"/>
    <w:rsid w:val="00E32977"/>
    <w:rsid w:val="00E329B4"/>
    <w:rsid w:val="00E32A05"/>
    <w:rsid w:val="00E32A71"/>
    <w:rsid w:val="00E32AA8"/>
    <w:rsid w:val="00E32AF6"/>
    <w:rsid w:val="00E32B75"/>
    <w:rsid w:val="00E32BC6"/>
    <w:rsid w:val="00E32C57"/>
    <w:rsid w:val="00E32CBF"/>
    <w:rsid w:val="00E32CEE"/>
    <w:rsid w:val="00E32D5D"/>
    <w:rsid w:val="00E32D6F"/>
    <w:rsid w:val="00E32DEE"/>
    <w:rsid w:val="00E32DF3"/>
    <w:rsid w:val="00E32E4E"/>
    <w:rsid w:val="00E32E7E"/>
    <w:rsid w:val="00E32E9E"/>
    <w:rsid w:val="00E32EA1"/>
    <w:rsid w:val="00E32EAA"/>
    <w:rsid w:val="00E32F5D"/>
    <w:rsid w:val="00E32F7F"/>
    <w:rsid w:val="00E33039"/>
    <w:rsid w:val="00E33086"/>
    <w:rsid w:val="00E330F8"/>
    <w:rsid w:val="00E33100"/>
    <w:rsid w:val="00E33197"/>
    <w:rsid w:val="00E33205"/>
    <w:rsid w:val="00E33207"/>
    <w:rsid w:val="00E3321E"/>
    <w:rsid w:val="00E3321F"/>
    <w:rsid w:val="00E33267"/>
    <w:rsid w:val="00E3329C"/>
    <w:rsid w:val="00E333DC"/>
    <w:rsid w:val="00E33474"/>
    <w:rsid w:val="00E334E7"/>
    <w:rsid w:val="00E3353F"/>
    <w:rsid w:val="00E335A3"/>
    <w:rsid w:val="00E33623"/>
    <w:rsid w:val="00E3363D"/>
    <w:rsid w:val="00E33660"/>
    <w:rsid w:val="00E3368F"/>
    <w:rsid w:val="00E336A2"/>
    <w:rsid w:val="00E336A8"/>
    <w:rsid w:val="00E33770"/>
    <w:rsid w:val="00E3379E"/>
    <w:rsid w:val="00E337DD"/>
    <w:rsid w:val="00E33826"/>
    <w:rsid w:val="00E33842"/>
    <w:rsid w:val="00E33876"/>
    <w:rsid w:val="00E3392A"/>
    <w:rsid w:val="00E33941"/>
    <w:rsid w:val="00E339AC"/>
    <w:rsid w:val="00E33A0D"/>
    <w:rsid w:val="00E33A87"/>
    <w:rsid w:val="00E33AE8"/>
    <w:rsid w:val="00E33AFE"/>
    <w:rsid w:val="00E33B01"/>
    <w:rsid w:val="00E33B03"/>
    <w:rsid w:val="00E33B2F"/>
    <w:rsid w:val="00E33B59"/>
    <w:rsid w:val="00E33BCA"/>
    <w:rsid w:val="00E33C29"/>
    <w:rsid w:val="00E33C50"/>
    <w:rsid w:val="00E33D4C"/>
    <w:rsid w:val="00E33D4D"/>
    <w:rsid w:val="00E33D62"/>
    <w:rsid w:val="00E33E19"/>
    <w:rsid w:val="00E33E26"/>
    <w:rsid w:val="00E33E5A"/>
    <w:rsid w:val="00E33E5E"/>
    <w:rsid w:val="00E33E8D"/>
    <w:rsid w:val="00E33E9A"/>
    <w:rsid w:val="00E33F02"/>
    <w:rsid w:val="00E33F49"/>
    <w:rsid w:val="00E33F8D"/>
    <w:rsid w:val="00E33FA5"/>
    <w:rsid w:val="00E33FAB"/>
    <w:rsid w:val="00E33FC0"/>
    <w:rsid w:val="00E3404E"/>
    <w:rsid w:val="00E3407E"/>
    <w:rsid w:val="00E34084"/>
    <w:rsid w:val="00E340BB"/>
    <w:rsid w:val="00E340F0"/>
    <w:rsid w:val="00E34133"/>
    <w:rsid w:val="00E3415A"/>
    <w:rsid w:val="00E3419A"/>
    <w:rsid w:val="00E341E8"/>
    <w:rsid w:val="00E341EC"/>
    <w:rsid w:val="00E341ED"/>
    <w:rsid w:val="00E34220"/>
    <w:rsid w:val="00E34230"/>
    <w:rsid w:val="00E34250"/>
    <w:rsid w:val="00E34268"/>
    <w:rsid w:val="00E3427D"/>
    <w:rsid w:val="00E3429C"/>
    <w:rsid w:val="00E3432F"/>
    <w:rsid w:val="00E3435B"/>
    <w:rsid w:val="00E34397"/>
    <w:rsid w:val="00E343BB"/>
    <w:rsid w:val="00E343C5"/>
    <w:rsid w:val="00E343FD"/>
    <w:rsid w:val="00E34453"/>
    <w:rsid w:val="00E34468"/>
    <w:rsid w:val="00E3448A"/>
    <w:rsid w:val="00E344CF"/>
    <w:rsid w:val="00E3450C"/>
    <w:rsid w:val="00E3451C"/>
    <w:rsid w:val="00E34562"/>
    <w:rsid w:val="00E34644"/>
    <w:rsid w:val="00E34675"/>
    <w:rsid w:val="00E34688"/>
    <w:rsid w:val="00E3469C"/>
    <w:rsid w:val="00E346C9"/>
    <w:rsid w:val="00E346FF"/>
    <w:rsid w:val="00E347A1"/>
    <w:rsid w:val="00E347A9"/>
    <w:rsid w:val="00E3481F"/>
    <w:rsid w:val="00E34820"/>
    <w:rsid w:val="00E3486A"/>
    <w:rsid w:val="00E348E4"/>
    <w:rsid w:val="00E34906"/>
    <w:rsid w:val="00E3492C"/>
    <w:rsid w:val="00E3492D"/>
    <w:rsid w:val="00E34977"/>
    <w:rsid w:val="00E349A1"/>
    <w:rsid w:val="00E349DB"/>
    <w:rsid w:val="00E349FA"/>
    <w:rsid w:val="00E34AA1"/>
    <w:rsid w:val="00E34AC6"/>
    <w:rsid w:val="00E34AE1"/>
    <w:rsid w:val="00E34B5E"/>
    <w:rsid w:val="00E34BAE"/>
    <w:rsid w:val="00E34BC8"/>
    <w:rsid w:val="00E34BDC"/>
    <w:rsid w:val="00E34C54"/>
    <w:rsid w:val="00E34C83"/>
    <w:rsid w:val="00E34CCF"/>
    <w:rsid w:val="00E34D21"/>
    <w:rsid w:val="00E34D37"/>
    <w:rsid w:val="00E34D63"/>
    <w:rsid w:val="00E34D69"/>
    <w:rsid w:val="00E34D93"/>
    <w:rsid w:val="00E34DCB"/>
    <w:rsid w:val="00E34DDA"/>
    <w:rsid w:val="00E34E11"/>
    <w:rsid w:val="00E34E17"/>
    <w:rsid w:val="00E34E1E"/>
    <w:rsid w:val="00E34E35"/>
    <w:rsid w:val="00E34E6A"/>
    <w:rsid w:val="00E34E92"/>
    <w:rsid w:val="00E34EA5"/>
    <w:rsid w:val="00E34EC1"/>
    <w:rsid w:val="00E34F03"/>
    <w:rsid w:val="00E34F61"/>
    <w:rsid w:val="00E3500A"/>
    <w:rsid w:val="00E35036"/>
    <w:rsid w:val="00E35068"/>
    <w:rsid w:val="00E35072"/>
    <w:rsid w:val="00E3507C"/>
    <w:rsid w:val="00E35185"/>
    <w:rsid w:val="00E351FE"/>
    <w:rsid w:val="00E3521D"/>
    <w:rsid w:val="00E35236"/>
    <w:rsid w:val="00E35252"/>
    <w:rsid w:val="00E352BB"/>
    <w:rsid w:val="00E352D4"/>
    <w:rsid w:val="00E352EB"/>
    <w:rsid w:val="00E35384"/>
    <w:rsid w:val="00E353E4"/>
    <w:rsid w:val="00E35417"/>
    <w:rsid w:val="00E35419"/>
    <w:rsid w:val="00E3543A"/>
    <w:rsid w:val="00E35486"/>
    <w:rsid w:val="00E354B7"/>
    <w:rsid w:val="00E354C9"/>
    <w:rsid w:val="00E354E8"/>
    <w:rsid w:val="00E3550B"/>
    <w:rsid w:val="00E3555D"/>
    <w:rsid w:val="00E3559C"/>
    <w:rsid w:val="00E3559E"/>
    <w:rsid w:val="00E35602"/>
    <w:rsid w:val="00E35673"/>
    <w:rsid w:val="00E35716"/>
    <w:rsid w:val="00E35757"/>
    <w:rsid w:val="00E35791"/>
    <w:rsid w:val="00E357B2"/>
    <w:rsid w:val="00E35834"/>
    <w:rsid w:val="00E3586D"/>
    <w:rsid w:val="00E3589D"/>
    <w:rsid w:val="00E358A0"/>
    <w:rsid w:val="00E358EF"/>
    <w:rsid w:val="00E35941"/>
    <w:rsid w:val="00E359FD"/>
    <w:rsid w:val="00E35AC3"/>
    <w:rsid w:val="00E35AC9"/>
    <w:rsid w:val="00E35AE2"/>
    <w:rsid w:val="00E35B29"/>
    <w:rsid w:val="00E35BCC"/>
    <w:rsid w:val="00E35C25"/>
    <w:rsid w:val="00E35C2E"/>
    <w:rsid w:val="00E35C5B"/>
    <w:rsid w:val="00E35C76"/>
    <w:rsid w:val="00E35C90"/>
    <w:rsid w:val="00E35C9A"/>
    <w:rsid w:val="00E35CA6"/>
    <w:rsid w:val="00E35CBC"/>
    <w:rsid w:val="00E35CBE"/>
    <w:rsid w:val="00E35CCC"/>
    <w:rsid w:val="00E35CE0"/>
    <w:rsid w:val="00E35CEE"/>
    <w:rsid w:val="00E35D53"/>
    <w:rsid w:val="00E35D73"/>
    <w:rsid w:val="00E35DF6"/>
    <w:rsid w:val="00E35DFC"/>
    <w:rsid w:val="00E35E6B"/>
    <w:rsid w:val="00E35ED1"/>
    <w:rsid w:val="00E35ED8"/>
    <w:rsid w:val="00E35EDF"/>
    <w:rsid w:val="00E35F22"/>
    <w:rsid w:val="00E35F8B"/>
    <w:rsid w:val="00E35FAF"/>
    <w:rsid w:val="00E35FCF"/>
    <w:rsid w:val="00E35FDC"/>
    <w:rsid w:val="00E3600F"/>
    <w:rsid w:val="00E3603E"/>
    <w:rsid w:val="00E36058"/>
    <w:rsid w:val="00E3605F"/>
    <w:rsid w:val="00E3606C"/>
    <w:rsid w:val="00E36083"/>
    <w:rsid w:val="00E360B6"/>
    <w:rsid w:val="00E36122"/>
    <w:rsid w:val="00E36149"/>
    <w:rsid w:val="00E36169"/>
    <w:rsid w:val="00E361A8"/>
    <w:rsid w:val="00E361D9"/>
    <w:rsid w:val="00E361E2"/>
    <w:rsid w:val="00E361F1"/>
    <w:rsid w:val="00E36200"/>
    <w:rsid w:val="00E36202"/>
    <w:rsid w:val="00E36234"/>
    <w:rsid w:val="00E3624C"/>
    <w:rsid w:val="00E362EA"/>
    <w:rsid w:val="00E362ED"/>
    <w:rsid w:val="00E362F2"/>
    <w:rsid w:val="00E36357"/>
    <w:rsid w:val="00E363FF"/>
    <w:rsid w:val="00E36541"/>
    <w:rsid w:val="00E365B4"/>
    <w:rsid w:val="00E3664C"/>
    <w:rsid w:val="00E36704"/>
    <w:rsid w:val="00E3670F"/>
    <w:rsid w:val="00E36739"/>
    <w:rsid w:val="00E36771"/>
    <w:rsid w:val="00E36778"/>
    <w:rsid w:val="00E367B8"/>
    <w:rsid w:val="00E367F8"/>
    <w:rsid w:val="00E3682B"/>
    <w:rsid w:val="00E36834"/>
    <w:rsid w:val="00E3684C"/>
    <w:rsid w:val="00E36853"/>
    <w:rsid w:val="00E36855"/>
    <w:rsid w:val="00E3688D"/>
    <w:rsid w:val="00E368E9"/>
    <w:rsid w:val="00E36952"/>
    <w:rsid w:val="00E369DA"/>
    <w:rsid w:val="00E36A9E"/>
    <w:rsid w:val="00E36AA4"/>
    <w:rsid w:val="00E36AAB"/>
    <w:rsid w:val="00E36AB4"/>
    <w:rsid w:val="00E36B07"/>
    <w:rsid w:val="00E36B1E"/>
    <w:rsid w:val="00E36B2B"/>
    <w:rsid w:val="00E36B5A"/>
    <w:rsid w:val="00E36B62"/>
    <w:rsid w:val="00E36B6F"/>
    <w:rsid w:val="00E36B9F"/>
    <w:rsid w:val="00E36BBD"/>
    <w:rsid w:val="00E36BF0"/>
    <w:rsid w:val="00E36C4E"/>
    <w:rsid w:val="00E36C99"/>
    <w:rsid w:val="00E36C9E"/>
    <w:rsid w:val="00E36CA3"/>
    <w:rsid w:val="00E36CC9"/>
    <w:rsid w:val="00E36CF1"/>
    <w:rsid w:val="00E36D55"/>
    <w:rsid w:val="00E36D72"/>
    <w:rsid w:val="00E36D9D"/>
    <w:rsid w:val="00E36E20"/>
    <w:rsid w:val="00E36E52"/>
    <w:rsid w:val="00E36E7B"/>
    <w:rsid w:val="00E36E85"/>
    <w:rsid w:val="00E36F41"/>
    <w:rsid w:val="00E36FA7"/>
    <w:rsid w:val="00E37017"/>
    <w:rsid w:val="00E37048"/>
    <w:rsid w:val="00E37049"/>
    <w:rsid w:val="00E3706C"/>
    <w:rsid w:val="00E370BA"/>
    <w:rsid w:val="00E370C5"/>
    <w:rsid w:val="00E370D3"/>
    <w:rsid w:val="00E37169"/>
    <w:rsid w:val="00E37182"/>
    <w:rsid w:val="00E37185"/>
    <w:rsid w:val="00E371D0"/>
    <w:rsid w:val="00E371E6"/>
    <w:rsid w:val="00E37226"/>
    <w:rsid w:val="00E372C2"/>
    <w:rsid w:val="00E372F1"/>
    <w:rsid w:val="00E372F8"/>
    <w:rsid w:val="00E37322"/>
    <w:rsid w:val="00E37385"/>
    <w:rsid w:val="00E3739E"/>
    <w:rsid w:val="00E373EE"/>
    <w:rsid w:val="00E37474"/>
    <w:rsid w:val="00E374F3"/>
    <w:rsid w:val="00E37535"/>
    <w:rsid w:val="00E3754A"/>
    <w:rsid w:val="00E37567"/>
    <w:rsid w:val="00E375E3"/>
    <w:rsid w:val="00E37677"/>
    <w:rsid w:val="00E3767D"/>
    <w:rsid w:val="00E37682"/>
    <w:rsid w:val="00E376CF"/>
    <w:rsid w:val="00E37770"/>
    <w:rsid w:val="00E377E3"/>
    <w:rsid w:val="00E3780C"/>
    <w:rsid w:val="00E37842"/>
    <w:rsid w:val="00E378C6"/>
    <w:rsid w:val="00E378D3"/>
    <w:rsid w:val="00E3790A"/>
    <w:rsid w:val="00E37991"/>
    <w:rsid w:val="00E37A03"/>
    <w:rsid w:val="00E37A33"/>
    <w:rsid w:val="00E37AAC"/>
    <w:rsid w:val="00E37AC4"/>
    <w:rsid w:val="00E37B02"/>
    <w:rsid w:val="00E37C8E"/>
    <w:rsid w:val="00E37C93"/>
    <w:rsid w:val="00E37D0B"/>
    <w:rsid w:val="00E37D40"/>
    <w:rsid w:val="00E37D72"/>
    <w:rsid w:val="00E37D87"/>
    <w:rsid w:val="00E37E00"/>
    <w:rsid w:val="00E37E23"/>
    <w:rsid w:val="00E37E7A"/>
    <w:rsid w:val="00E37EC5"/>
    <w:rsid w:val="00E37F66"/>
    <w:rsid w:val="00E37F82"/>
    <w:rsid w:val="00E37FC8"/>
    <w:rsid w:val="00E40021"/>
    <w:rsid w:val="00E40041"/>
    <w:rsid w:val="00E4005C"/>
    <w:rsid w:val="00E40060"/>
    <w:rsid w:val="00E4007C"/>
    <w:rsid w:val="00E4008D"/>
    <w:rsid w:val="00E400BF"/>
    <w:rsid w:val="00E400C4"/>
    <w:rsid w:val="00E40108"/>
    <w:rsid w:val="00E4012E"/>
    <w:rsid w:val="00E40138"/>
    <w:rsid w:val="00E401BF"/>
    <w:rsid w:val="00E401CE"/>
    <w:rsid w:val="00E40228"/>
    <w:rsid w:val="00E40248"/>
    <w:rsid w:val="00E40269"/>
    <w:rsid w:val="00E402D0"/>
    <w:rsid w:val="00E4032A"/>
    <w:rsid w:val="00E40407"/>
    <w:rsid w:val="00E40421"/>
    <w:rsid w:val="00E404C7"/>
    <w:rsid w:val="00E404D3"/>
    <w:rsid w:val="00E40520"/>
    <w:rsid w:val="00E40593"/>
    <w:rsid w:val="00E40691"/>
    <w:rsid w:val="00E40698"/>
    <w:rsid w:val="00E406D6"/>
    <w:rsid w:val="00E406F9"/>
    <w:rsid w:val="00E40718"/>
    <w:rsid w:val="00E4071C"/>
    <w:rsid w:val="00E4072F"/>
    <w:rsid w:val="00E407F4"/>
    <w:rsid w:val="00E407F8"/>
    <w:rsid w:val="00E4081E"/>
    <w:rsid w:val="00E40830"/>
    <w:rsid w:val="00E40832"/>
    <w:rsid w:val="00E408CA"/>
    <w:rsid w:val="00E40932"/>
    <w:rsid w:val="00E409A2"/>
    <w:rsid w:val="00E409BD"/>
    <w:rsid w:val="00E409C0"/>
    <w:rsid w:val="00E40A4B"/>
    <w:rsid w:val="00E40A70"/>
    <w:rsid w:val="00E40AD9"/>
    <w:rsid w:val="00E40ADA"/>
    <w:rsid w:val="00E40BAE"/>
    <w:rsid w:val="00E40BB0"/>
    <w:rsid w:val="00E40BE0"/>
    <w:rsid w:val="00E40C79"/>
    <w:rsid w:val="00E40D3D"/>
    <w:rsid w:val="00E40DFB"/>
    <w:rsid w:val="00E40E5E"/>
    <w:rsid w:val="00E40E86"/>
    <w:rsid w:val="00E40E99"/>
    <w:rsid w:val="00E40EB8"/>
    <w:rsid w:val="00E40F56"/>
    <w:rsid w:val="00E40F7E"/>
    <w:rsid w:val="00E40F99"/>
    <w:rsid w:val="00E40FD5"/>
    <w:rsid w:val="00E4103A"/>
    <w:rsid w:val="00E41109"/>
    <w:rsid w:val="00E41151"/>
    <w:rsid w:val="00E4118C"/>
    <w:rsid w:val="00E4119D"/>
    <w:rsid w:val="00E4119E"/>
    <w:rsid w:val="00E41211"/>
    <w:rsid w:val="00E4122A"/>
    <w:rsid w:val="00E41268"/>
    <w:rsid w:val="00E412A5"/>
    <w:rsid w:val="00E412B4"/>
    <w:rsid w:val="00E413B4"/>
    <w:rsid w:val="00E413EC"/>
    <w:rsid w:val="00E4148D"/>
    <w:rsid w:val="00E414AD"/>
    <w:rsid w:val="00E414B4"/>
    <w:rsid w:val="00E41511"/>
    <w:rsid w:val="00E41520"/>
    <w:rsid w:val="00E41526"/>
    <w:rsid w:val="00E41546"/>
    <w:rsid w:val="00E4155A"/>
    <w:rsid w:val="00E415D3"/>
    <w:rsid w:val="00E4160F"/>
    <w:rsid w:val="00E4163A"/>
    <w:rsid w:val="00E41696"/>
    <w:rsid w:val="00E416C1"/>
    <w:rsid w:val="00E4170B"/>
    <w:rsid w:val="00E4172B"/>
    <w:rsid w:val="00E41773"/>
    <w:rsid w:val="00E41775"/>
    <w:rsid w:val="00E417A4"/>
    <w:rsid w:val="00E4185B"/>
    <w:rsid w:val="00E41874"/>
    <w:rsid w:val="00E4187D"/>
    <w:rsid w:val="00E41883"/>
    <w:rsid w:val="00E418CE"/>
    <w:rsid w:val="00E4191C"/>
    <w:rsid w:val="00E41A0B"/>
    <w:rsid w:val="00E41A5D"/>
    <w:rsid w:val="00E41A6E"/>
    <w:rsid w:val="00E41A8A"/>
    <w:rsid w:val="00E41A8D"/>
    <w:rsid w:val="00E41AF5"/>
    <w:rsid w:val="00E41AFA"/>
    <w:rsid w:val="00E41B13"/>
    <w:rsid w:val="00E41B14"/>
    <w:rsid w:val="00E41B18"/>
    <w:rsid w:val="00E41B52"/>
    <w:rsid w:val="00E41B63"/>
    <w:rsid w:val="00E41B90"/>
    <w:rsid w:val="00E41BA6"/>
    <w:rsid w:val="00E41C27"/>
    <w:rsid w:val="00E41C70"/>
    <w:rsid w:val="00E41D06"/>
    <w:rsid w:val="00E41D6A"/>
    <w:rsid w:val="00E41D7E"/>
    <w:rsid w:val="00E41D8A"/>
    <w:rsid w:val="00E41DCE"/>
    <w:rsid w:val="00E41E1C"/>
    <w:rsid w:val="00E41E5C"/>
    <w:rsid w:val="00E41E6A"/>
    <w:rsid w:val="00E41E93"/>
    <w:rsid w:val="00E41EA1"/>
    <w:rsid w:val="00E41EBD"/>
    <w:rsid w:val="00E41EE4"/>
    <w:rsid w:val="00E41F4E"/>
    <w:rsid w:val="00E41FBD"/>
    <w:rsid w:val="00E41FBF"/>
    <w:rsid w:val="00E41FFE"/>
    <w:rsid w:val="00E42003"/>
    <w:rsid w:val="00E42005"/>
    <w:rsid w:val="00E42012"/>
    <w:rsid w:val="00E4203F"/>
    <w:rsid w:val="00E42097"/>
    <w:rsid w:val="00E4209B"/>
    <w:rsid w:val="00E420B0"/>
    <w:rsid w:val="00E420B7"/>
    <w:rsid w:val="00E420D6"/>
    <w:rsid w:val="00E421BB"/>
    <w:rsid w:val="00E42207"/>
    <w:rsid w:val="00E4221D"/>
    <w:rsid w:val="00E4227D"/>
    <w:rsid w:val="00E422C3"/>
    <w:rsid w:val="00E42305"/>
    <w:rsid w:val="00E42365"/>
    <w:rsid w:val="00E423CF"/>
    <w:rsid w:val="00E423E8"/>
    <w:rsid w:val="00E423EA"/>
    <w:rsid w:val="00E42433"/>
    <w:rsid w:val="00E424A1"/>
    <w:rsid w:val="00E424E4"/>
    <w:rsid w:val="00E4252F"/>
    <w:rsid w:val="00E42542"/>
    <w:rsid w:val="00E4257E"/>
    <w:rsid w:val="00E4259B"/>
    <w:rsid w:val="00E425E1"/>
    <w:rsid w:val="00E4260E"/>
    <w:rsid w:val="00E42664"/>
    <w:rsid w:val="00E42682"/>
    <w:rsid w:val="00E426AB"/>
    <w:rsid w:val="00E42724"/>
    <w:rsid w:val="00E42732"/>
    <w:rsid w:val="00E427C0"/>
    <w:rsid w:val="00E427C2"/>
    <w:rsid w:val="00E427FE"/>
    <w:rsid w:val="00E42821"/>
    <w:rsid w:val="00E4287D"/>
    <w:rsid w:val="00E4289B"/>
    <w:rsid w:val="00E428AF"/>
    <w:rsid w:val="00E428FD"/>
    <w:rsid w:val="00E4292C"/>
    <w:rsid w:val="00E42969"/>
    <w:rsid w:val="00E429E4"/>
    <w:rsid w:val="00E429EE"/>
    <w:rsid w:val="00E42A81"/>
    <w:rsid w:val="00E42AC2"/>
    <w:rsid w:val="00E42B3E"/>
    <w:rsid w:val="00E42BCA"/>
    <w:rsid w:val="00E42C3F"/>
    <w:rsid w:val="00E42C62"/>
    <w:rsid w:val="00E42C9E"/>
    <w:rsid w:val="00E42CEB"/>
    <w:rsid w:val="00E42D33"/>
    <w:rsid w:val="00E42D87"/>
    <w:rsid w:val="00E42DA3"/>
    <w:rsid w:val="00E42DA8"/>
    <w:rsid w:val="00E42EEE"/>
    <w:rsid w:val="00E42F14"/>
    <w:rsid w:val="00E42F32"/>
    <w:rsid w:val="00E42F53"/>
    <w:rsid w:val="00E42F96"/>
    <w:rsid w:val="00E42F98"/>
    <w:rsid w:val="00E42F9E"/>
    <w:rsid w:val="00E42FA1"/>
    <w:rsid w:val="00E42FD6"/>
    <w:rsid w:val="00E43018"/>
    <w:rsid w:val="00E43061"/>
    <w:rsid w:val="00E43079"/>
    <w:rsid w:val="00E43086"/>
    <w:rsid w:val="00E430C5"/>
    <w:rsid w:val="00E43106"/>
    <w:rsid w:val="00E4316D"/>
    <w:rsid w:val="00E431A0"/>
    <w:rsid w:val="00E431A3"/>
    <w:rsid w:val="00E431C3"/>
    <w:rsid w:val="00E4324B"/>
    <w:rsid w:val="00E432B7"/>
    <w:rsid w:val="00E4331E"/>
    <w:rsid w:val="00E4332C"/>
    <w:rsid w:val="00E43364"/>
    <w:rsid w:val="00E4336A"/>
    <w:rsid w:val="00E433BB"/>
    <w:rsid w:val="00E433BD"/>
    <w:rsid w:val="00E43424"/>
    <w:rsid w:val="00E4343A"/>
    <w:rsid w:val="00E4345B"/>
    <w:rsid w:val="00E434A5"/>
    <w:rsid w:val="00E43501"/>
    <w:rsid w:val="00E43514"/>
    <w:rsid w:val="00E43516"/>
    <w:rsid w:val="00E43540"/>
    <w:rsid w:val="00E435B2"/>
    <w:rsid w:val="00E435E5"/>
    <w:rsid w:val="00E43602"/>
    <w:rsid w:val="00E43673"/>
    <w:rsid w:val="00E436AD"/>
    <w:rsid w:val="00E436CC"/>
    <w:rsid w:val="00E43716"/>
    <w:rsid w:val="00E43769"/>
    <w:rsid w:val="00E4376D"/>
    <w:rsid w:val="00E43795"/>
    <w:rsid w:val="00E43798"/>
    <w:rsid w:val="00E4379D"/>
    <w:rsid w:val="00E437B0"/>
    <w:rsid w:val="00E437B2"/>
    <w:rsid w:val="00E437B3"/>
    <w:rsid w:val="00E437D1"/>
    <w:rsid w:val="00E43993"/>
    <w:rsid w:val="00E439A3"/>
    <w:rsid w:val="00E439A4"/>
    <w:rsid w:val="00E43A04"/>
    <w:rsid w:val="00E43A1A"/>
    <w:rsid w:val="00E43A7D"/>
    <w:rsid w:val="00E43A90"/>
    <w:rsid w:val="00E43ABA"/>
    <w:rsid w:val="00E43AC6"/>
    <w:rsid w:val="00E43AE2"/>
    <w:rsid w:val="00E43B40"/>
    <w:rsid w:val="00E43B56"/>
    <w:rsid w:val="00E43B84"/>
    <w:rsid w:val="00E43C15"/>
    <w:rsid w:val="00E43C17"/>
    <w:rsid w:val="00E43C32"/>
    <w:rsid w:val="00E43CD7"/>
    <w:rsid w:val="00E43CE7"/>
    <w:rsid w:val="00E43D20"/>
    <w:rsid w:val="00E43D9E"/>
    <w:rsid w:val="00E43E68"/>
    <w:rsid w:val="00E43E85"/>
    <w:rsid w:val="00E43F3C"/>
    <w:rsid w:val="00E43FD9"/>
    <w:rsid w:val="00E43FF8"/>
    <w:rsid w:val="00E44020"/>
    <w:rsid w:val="00E44060"/>
    <w:rsid w:val="00E4406D"/>
    <w:rsid w:val="00E44079"/>
    <w:rsid w:val="00E440D5"/>
    <w:rsid w:val="00E44106"/>
    <w:rsid w:val="00E44132"/>
    <w:rsid w:val="00E44165"/>
    <w:rsid w:val="00E44192"/>
    <w:rsid w:val="00E4422E"/>
    <w:rsid w:val="00E4423A"/>
    <w:rsid w:val="00E442AA"/>
    <w:rsid w:val="00E442B4"/>
    <w:rsid w:val="00E442DE"/>
    <w:rsid w:val="00E44300"/>
    <w:rsid w:val="00E44347"/>
    <w:rsid w:val="00E44388"/>
    <w:rsid w:val="00E44394"/>
    <w:rsid w:val="00E443B8"/>
    <w:rsid w:val="00E443CD"/>
    <w:rsid w:val="00E443DE"/>
    <w:rsid w:val="00E44474"/>
    <w:rsid w:val="00E4448F"/>
    <w:rsid w:val="00E4451A"/>
    <w:rsid w:val="00E44543"/>
    <w:rsid w:val="00E44568"/>
    <w:rsid w:val="00E445E2"/>
    <w:rsid w:val="00E44740"/>
    <w:rsid w:val="00E447E5"/>
    <w:rsid w:val="00E44825"/>
    <w:rsid w:val="00E448FC"/>
    <w:rsid w:val="00E44936"/>
    <w:rsid w:val="00E4493B"/>
    <w:rsid w:val="00E4499F"/>
    <w:rsid w:val="00E44A40"/>
    <w:rsid w:val="00E44AC7"/>
    <w:rsid w:val="00E44AD4"/>
    <w:rsid w:val="00E44B07"/>
    <w:rsid w:val="00E44B12"/>
    <w:rsid w:val="00E44B87"/>
    <w:rsid w:val="00E44BA9"/>
    <w:rsid w:val="00E44BC8"/>
    <w:rsid w:val="00E44C40"/>
    <w:rsid w:val="00E44C4F"/>
    <w:rsid w:val="00E44C7C"/>
    <w:rsid w:val="00E44C91"/>
    <w:rsid w:val="00E44CAB"/>
    <w:rsid w:val="00E44D7B"/>
    <w:rsid w:val="00E44DE7"/>
    <w:rsid w:val="00E44E2B"/>
    <w:rsid w:val="00E44E31"/>
    <w:rsid w:val="00E44E54"/>
    <w:rsid w:val="00E44E85"/>
    <w:rsid w:val="00E44EF7"/>
    <w:rsid w:val="00E44F01"/>
    <w:rsid w:val="00E44F1D"/>
    <w:rsid w:val="00E44F4C"/>
    <w:rsid w:val="00E44F56"/>
    <w:rsid w:val="00E44F5F"/>
    <w:rsid w:val="00E45043"/>
    <w:rsid w:val="00E4506D"/>
    <w:rsid w:val="00E45089"/>
    <w:rsid w:val="00E450AE"/>
    <w:rsid w:val="00E45140"/>
    <w:rsid w:val="00E45152"/>
    <w:rsid w:val="00E45202"/>
    <w:rsid w:val="00E45271"/>
    <w:rsid w:val="00E45282"/>
    <w:rsid w:val="00E452B7"/>
    <w:rsid w:val="00E45341"/>
    <w:rsid w:val="00E4534D"/>
    <w:rsid w:val="00E453DD"/>
    <w:rsid w:val="00E453FD"/>
    <w:rsid w:val="00E4540D"/>
    <w:rsid w:val="00E45436"/>
    <w:rsid w:val="00E4550C"/>
    <w:rsid w:val="00E455CF"/>
    <w:rsid w:val="00E455D8"/>
    <w:rsid w:val="00E455F3"/>
    <w:rsid w:val="00E455F6"/>
    <w:rsid w:val="00E4562C"/>
    <w:rsid w:val="00E45655"/>
    <w:rsid w:val="00E45691"/>
    <w:rsid w:val="00E456F0"/>
    <w:rsid w:val="00E4572E"/>
    <w:rsid w:val="00E45749"/>
    <w:rsid w:val="00E45761"/>
    <w:rsid w:val="00E4576A"/>
    <w:rsid w:val="00E4579D"/>
    <w:rsid w:val="00E457D1"/>
    <w:rsid w:val="00E4582A"/>
    <w:rsid w:val="00E45868"/>
    <w:rsid w:val="00E45945"/>
    <w:rsid w:val="00E45A12"/>
    <w:rsid w:val="00E45A43"/>
    <w:rsid w:val="00E45A6B"/>
    <w:rsid w:val="00E45A7A"/>
    <w:rsid w:val="00E45AB5"/>
    <w:rsid w:val="00E45ABD"/>
    <w:rsid w:val="00E45AC5"/>
    <w:rsid w:val="00E45B52"/>
    <w:rsid w:val="00E45B62"/>
    <w:rsid w:val="00E45B6F"/>
    <w:rsid w:val="00E45B99"/>
    <w:rsid w:val="00E45C14"/>
    <w:rsid w:val="00E45C19"/>
    <w:rsid w:val="00E45C5F"/>
    <w:rsid w:val="00E45C88"/>
    <w:rsid w:val="00E45CDF"/>
    <w:rsid w:val="00E45CEC"/>
    <w:rsid w:val="00E45D34"/>
    <w:rsid w:val="00E45D37"/>
    <w:rsid w:val="00E45DFA"/>
    <w:rsid w:val="00E45E1C"/>
    <w:rsid w:val="00E45E53"/>
    <w:rsid w:val="00E45E81"/>
    <w:rsid w:val="00E45F6A"/>
    <w:rsid w:val="00E45F71"/>
    <w:rsid w:val="00E45FCD"/>
    <w:rsid w:val="00E45FD5"/>
    <w:rsid w:val="00E45FE0"/>
    <w:rsid w:val="00E46071"/>
    <w:rsid w:val="00E46073"/>
    <w:rsid w:val="00E46074"/>
    <w:rsid w:val="00E460FA"/>
    <w:rsid w:val="00E46117"/>
    <w:rsid w:val="00E4614A"/>
    <w:rsid w:val="00E46192"/>
    <w:rsid w:val="00E461AB"/>
    <w:rsid w:val="00E461C7"/>
    <w:rsid w:val="00E461FD"/>
    <w:rsid w:val="00E46207"/>
    <w:rsid w:val="00E4621F"/>
    <w:rsid w:val="00E46228"/>
    <w:rsid w:val="00E462B4"/>
    <w:rsid w:val="00E462F6"/>
    <w:rsid w:val="00E46302"/>
    <w:rsid w:val="00E4631A"/>
    <w:rsid w:val="00E4631C"/>
    <w:rsid w:val="00E463A6"/>
    <w:rsid w:val="00E463E3"/>
    <w:rsid w:val="00E46422"/>
    <w:rsid w:val="00E4642D"/>
    <w:rsid w:val="00E46437"/>
    <w:rsid w:val="00E464A4"/>
    <w:rsid w:val="00E464C2"/>
    <w:rsid w:val="00E4657C"/>
    <w:rsid w:val="00E465EE"/>
    <w:rsid w:val="00E46636"/>
    <w:rsid w:val="00E46686"/>
    <w:rsid w:val="00E46690"/>
    <w:rsid w:val="00E46740"/>
    <w:rsid w:val="00E46750"/>
    <w:rsid w:val="00E46792"/>
    <w:rsid w:val="00E468EC"/>
    <w:rsid w:val="00E468F3"/>
    <w:rsid w:val="00E468FE"/>
    <w:rsid w:val="00E4692E"/>
    <w:rsid w:val="00E46951"/>
    <w:rsid w:val="00E46968"/>
    <w:rsid w:val="00E46969"/>
    <w:rsid w:val="00E4696A"/>
    <w:rsid w:val="00E469D6"/>
    <w:rsid w:val="00E46A3F"/>
    <w:rsid w:val="00E46A5F"/>
    <w:rsid w:val="00E46A73"/>
    <w:rsid w:val="00E46B1A"/>
    <w:rsid w:val="00E46B31"/>
    <w:rsid w:val="00E46BFA"/>
    <w:rsid w:val="00E46C04"/>
    <w:rsid w:val="00E46C28"/>
    <w:rsid w:val="00E46C2A"/>
    <w:rsid w:val="00E46C93"/>
    <w:rsid w:val="00E46CA1"/>
    <w:rsid w:val="00E46CA8"/>
    <w:rsid w:val="00E46CD0"/>
    <w:rsid w:val="00E46CF3"/>
    <w:rsid w:val="00E46D45"/>
    <w:rsid w:val="00E46D67"/>
    <w:rsid w:val="00E46D7E"/>
    <w:rsid w:val="00E46D96"/>
    <w:rsid w:val="00E46E06"/>
    <w:rsid w:val="00E46E90"/>
    <w:rsid w:val="00E46EBC"/>
    <w:rsid w:val="00E46F1A"/>
    <w:rsid w:val="00E46F4D"/>
    <w:rsid w:val="00E46F8C"/>
    <w:rsid w:val="00E46FDB"/>
    <w:rsid w:val="00E46FE7"/>
    <w:rsid w:val="00E47093"/>
    <w:rsid w:val="00E4713B"/>
    <w:rsid w:val="00E47156"/>
    <w:rsid w:val="00E471A8"/>
    <w:rsid w:val="00E471EF"/>
    <w:rsid w:val="00E471F3"/>
    <w:rsid w:val="00E47204"/>
    <w:rsid w:val="00E47212"/>
    <w:rsid w:val="00E4724F"/>
    <w:rsid w:val="00E47296"/>
    <w:rsid w:val="00E473ED"/>
    <w:rsid w:val="00E473F2"/>
    <w:rsid w:val="00E47420"/>
    <w:rsid w:val="00E47457"/>
    <w:rsid w:val="00E47473"/>
    <w:rsid w:val="00E47485"/>
    <w:rsid w:val="00E474B9"/>
    <w:rsid w:val="00E4753F"/>
    <w:rsid w:val="00E47581"/>
    <w:rsid w:val="00E4759D"/>
    <w:rsid w:val="00E475BF"/>
    <w:rsid w:val="00E47602"/>
    <w:rsid w:val="00E4768A"/>
    <w:rsid w:val="00E476FD"/>
    <w:rsid w:val="00E47744"/>
    <w:rsid w:val="00E47811"/>
    <w:rsid w:val="00E47831"/>
    <w:rsid w:val="00E47837"/>
    <w:rsid w:val="00E47856"/>
    <w:rsid w:val="00E4787B"/>
    <w:rsid w:val="00E478A2"/>
    <w:rsid w:val="00E478AE"/>
    <w:rsid w:val="00E478BA"/>
    <w:rsid w:val="00E47910"/>
    <w:rsid w:val="00E47995"/>
    <w:rsid w:val="00E479AB"/>
    <w:rsid w:val="00E47A26"/>
    <w:rsid w:val="00E47A45"/>
    <w:rsid w:val="00E47A75"/>
    <w:rsid w:val="00E47AB3"/>
    <w:rsid w:val="00E47B1E"/>
    <w:rsid w:val="00E47B22"/>
    <w:rsid w:val="00E47B4C"/>
    <w:rsid w:val="00E47B7E"/>
    <w:rsid w:val="00E47BEA"/>
    <w:rsid w:val="00E47BF5"/>
    <w:rsid w:val="00E47C00"/>
    <w:rsid w:val="00E47C2D"/>
    <w:rsid w:val="00E47D1B"/>
    <w:rsid w:val="00E47DC8"/>
    <w:rsid w:val="00E47E20"/>
    <w:rsid w:val="00E47E2B"/>
    <w:rsid w:val="00E47E52"/>
    <w:rsid w:val="00E47EB4"/>
    <w:rsid w:val="00E47EDA"/>
    <w:rsid w:val="00E47F63"/>
    <w:rsid w:val="00E47FFB"/>
    <w:rsid w:val="00E49400"/>
    <w:rsid w:val="00E50011"/>
    <w:rsid w:val="00E50039"/>
    <w:rsid w:val="00E5004C"/>
    <w:rsid w:val="00E50086"/>
    <w:rsid w:val="00E5009F"/>
    <w:rsid w:val="00E500E1"/>
    <w:rsid w:val="00E5011D"/>
    <w:rsid w:val="00E50138"/>
    <w:rsid w:val="00E50152"/>
    <w:rsid w:val="00E50197"/>
    <w:rsid w:val="00E501D8"/>
    <w:rsid w:val="00E50211"/>
    <w:rsid w:val="00E50248"/>
    <w:rsid w:val="00E50275"/>
    <w:rsid w:val="00E502A8"/>
    <w:rsid w:val="00E502CD"/>
    <w:rsid w:val="00E502FE"/>
    <w:rsid w:val="00E5035B"/>
    <w:rsid w:val="00E503EB"/>
    <w:rsid w:val="00E5044B"/>
    <w:rsid w:val="00E50451"/>
    <w:rsid w:val="00E5046D"/>
    <w:rsid w:val="00E504BF"/>
    <w:rsid w:val="00E504C1"/>
    <w:rsid w:val="00E504C7"/>
    <w:rsid w:val="00E5053A"/>
    <w:rsid w:val="00E5058A"/>
    <w:rsid w:val="00E506AA"/>
    <w:rsid w:val="00E506AE"/>
    <w:rsid w:val="00E506D9"/>
    <w:rsid w:val="00E506DC"/>
    <w:rsid w:val="00E507B1"/>
    <w:rsid w:val="00E507D6"/>
    <w:rsid w:val="00E50881"/>
    <w:rsid w:val="00E5089C"/>
    <w:rsid w:val="00E508A3"/>
    <w:rsid w:val="00E50951"/>
    <w:rsid w:val="00E50988"/>
    <w:rsid w:val="00E509BB"/>
    <w:rsid w:val="00E509CD"/>
    <w:rsid w:val="00E509DA"/>
    <w:rsid w:val="00E50A1D"/>
    <w:rsid w:val="00E50A29"/>
    <w:rsid w:val="00E50A36"/>
    <w:rsid w:val="00E50AB7"/>
    <w:rsid w:val="00E50B05"/>
    <w:rsid w:val="00E50B46"/>
    <w:rsid w:val="00E50B61"/>
    <w:rsid w:val="00E50BA6"/>
    <w:rsid w:val="00E50BD5"/>
    <w:rsid w:val="00E50BF8"/>
    <w:rsid w:val="00E50BFC"/>
    <w:rsid w:val="00E50C4F"/>
    <w:rsid w:val="00E50C87"/>
    <w:rsid w:val="00E50CC4"/>
    <w:rsid w:val="00E50CDE"/>
    <w:rsid w:val="00E50D2C"/>
    <w:rsid w:val="00E50D3D"/>
    <w:rsid w:val="00E50D64"/>
    <w:rsid w:val="00E50D67"/>
    <w:rsid w:val="00E50DB8"/>
    <w:rsid w:val="00E50E21"/>
    <w:rsid w:val="00E50E67"/>
    <w:rsid w:val="00E50F81"/>
    <w:rsid w:val="00E50F83"/>
    <w:rsid w:val="00E50FBB"/>
    <w:rsid w:val="00E51073"/>
    <w:rsid w:val="00E5110E"/>
    <w:rsid w:val="00E51116"/>
    <w:rsid w:val="00E51141"/>
    <w:rsid w:val="00E51181"/>
    <w:rsid w:val="00E5119A"/>
    <w:rsid w:val="00E51203"/>
    <w:rsid w:val="00E51255"/>
    <w:rsid w:val="00E5125A"/>
    <w:rsid w:val="00E5126F"/>
    <w:rsid w:val="00E51271"/>
    <w:rsid w:val="00E51279"/>
    <w:rsid w:val="00E5128B"/>
    <w:rsid w:val="00E512A5"/>
    <w:rsid w:val="00E512CC"/>
    <w:rsid w:val="00E512CD"/>
    <w:rsid w:val="00E512DE"/>
    <w:rsid w:val="00E51312"/>
    <w:rsid w:val="00E51395"/>
    <w:rsid w:val="00E513A5"/>
    <w:rsid w:val="00E513C1"/>
    <w:rsid w:val="00E513D9"/>
    <w:rsid w:val="00E513EE"/>
    <w:rsid w:val="00E51407"/>
    <w:rsid w:val="00E5148C"/>
    <w:rsid w:val="00E51491"/>
    <w:rsid w:val="00E51496"/>
    <w:rsid w:val="00E51498"/>
    <w:rsid w:val="00E514BC"/>
    <w:rsid w:val="00E514D0"/>
    <w:rsid w:val="00E51564"/>
    <w:rsid w:val="00E51652"/>
    <w:rsid w:val="00E51653"/>
    <w:rsid w:val="00E516F5"/>
    <w:rsid w:val="00E51729"/>
    <w:rsid w:val="00E517CA"/>
    <w:rsid w:val="00E517F8"/>
    <w:rsid w:val="00E51802"/>
    <w:rsid w:val="00E51884"/>
    <w:rsid w:val="00E518C0"/>
    <w:rsid w:val="00E518DD"/>
    <w:rsid w:val="00E51915"/>
    <w:rsid w:val="00E5193B"/>
    <w:rsid w:val="00E5198E"/>
    <w:rsid w:val="00E519A9"/>
    <w:rsid w:val="00E519B8"/>
    <w:rsid w:val="00E519CF"/>
    <w:rsid w:val="00E519D1"/>
    <w:rsid w:val="00E51A08"/>
    <w:rsid w:val="00E51A0E"/>
    <w:rsid w:val="00E51A32"/>
    <w:rsid w:val="00E51A80"/>
    <w:rsid w:val="00E51A90"/>
    <w:rsid w:val="00E51AC5"/>
    <w:rsid w:val="00E51AF7"/>
    <w:rsid w:val="00E51B84"/>
    <w:rsid w:val="00E51B88"/>
    <w:rsid w:val="00E51C53"/>
    <w:rsid w:val="00E51C9A"/>
    <w:rsid w:val="00E51D2F"/>
    <w:rsid w:val="00E51DAD"/>
    <w:rsid w:val="00E51DB9"/>
    <w:rsid w:val="00E51E36"/>
    <w:rsid w:val="00E51E4A"/>
    <w:rsid w:val="00E51F29"/>
    <w:rsid w:val="00E51F58"/>
    <w:rsid w:val="00E51F76"/>
    <w:rsid w:val="00E51F85"/>
    <w:rsid w:val="00E51FF4"/>
    <w:rsid w:val="00E5206E"/>
    <w:rsid w:val="00E52072"/>
    <w:rsid w:val="00E52090"/>
    <w:rsid w:val="00E52094"/>
    <w:rsid w:val="00E52097"/>
    <w:rsid w:val="00E520C5"/>
    <w:rsid w:val="00E520FB"/>
    <w:rsid w:val="00E52139"/>
    <w:rsid w:val="00E5214F"/>
    <w:rsid w:val="00E52155"/>
    <w:rsid w:val="00E52163"/>
    <w:rsid w:val="00E521B6"/>
    <w:rsid w:val="00E521C2"/>
    <w:rsid w:val="00E521C8"/>
    <w:rsid w:val="00E522BA"/>
    <w:rsid w:val="00E522EB"/>
    <w:rsid w:val="00E52316"/>
    <w:rsid w:val="00E523A4"/>
    <w:rsid w:val="00E523ED"/>
    <w:rsid w:val="00E523F5"/>
    <w:rsid w:val="00E52431"/>
    <w:rsid w:val="00E52488"/>
    <w:rsid w:val="00E52532"/>
    <w:rsid w:val="00E5253F"/>
    <w:rsid w:val="00E52550"/>
    <w:rsid w:val="00E525C0"/>
    <w:rsid w:val="00E525ED"/>
    <w:rsid w:val="00E525F6"/>
    <w:rsid w:val="00E525F9"/>
    <w:rsid w:val="00E525FD"/>
    <w:rsid w:val="00E52623"/>
    <w:rsid w:val="00E52651"/>
    <w:rsid w:val="00E5268F"/>
    <w:rsid w:val="00E5269A"/>
    <w:rsid w:val="00E526BB"/>
    <w:rsid w:val="00E5271B"/>
    <w:rsid w:val="00E5273B"/>
    <w:rsid w:val="00E5275C"/>
    <w:rsid w:val="00E5278C"/>
    <w:rsid w:val="00E527B2"/>
    <w:rsid w:val="00E527C8"/>
    <w:rsid w:val="00E527DF"/>
    <w:rsid w:val="00E527FD"/>
    <w:rsid w:val="00E5282F"/>
    <w:rsid w:val="00E52862"/>
    <w:rsid w:val="00E52882"/>
    <w:rsid w:val="00E528D1"/>
    <w:rsid w:val="00E5290C"/>
    <w:rsid w:val="00E529AD"/>
    <w:rsid w:val="00E52A3F"/>
    <w:rsid w:val="00E52A40"/>
    <w:rsid w:val="00E52A61"/>
    <w:rsid w:val="00E52A62"/>
    <w:rsid w:val="00E52A7C"/>
    <w:rsid w:val="00E52A9E"/>
    <w:rsid w:val="00E52AF4"/>
    <w:rsid w:val="00E52B2D"/>
    <w:rsid w:val="00E52B76"/>
    <w:rsid w:val="00E52B7B"/>
    <w:rsid w:val="00E52B85"/>
    <w:rsid w:val="00E52BBA"/>
    <w:rsid w:val="00E52BF1"/>
    <w:rsid w:val="00E52C02"/>
    <w:rsid w:val="00E52C0C"/>
    <w:rsid w:val="00E52C21"/>
    <w:rsid w:val="00E52C2D"/>
    <w:rsid w:val="00E52C7A"/>
    <w:rsid w:val="00E52C80"/>
    <w:rsid w:val="00E52CBD"/>
    <w:rsid w:val="00E52CCE"/>
    <w:rsid w:val="00E52CD4"/>
    <w:rsid w:val="00E52DDC"/>
    <w:rsid w:val="00E52E13"/>
    <w:rsid w:val="00E52E25"/>
    <w:rsid w:val="00E52E9F"/>
    <w:rsid w:val="00E52EC9"/>
    <w:rsid w:val="00E52EDB"/>
    <w:rsid w:val="00E52F30"/>
    <w:rsid w:val="00E52F42"/>
    <w:rsid w:val="00E52F91"/>
    <w:rsid w:val="00E52F9D"/>
    <w:rsid w:val="00E5304D"/>
    <w:rsid w:val="00E53057"/>
    <w:rsid w:val="00E5308F"/>
    <w:rsid w:val="00E530FC"/>
    <w:rsid w:val="00E53101"/>
    <w:rsid w:val="00E53127"/>
    <w:rsid w:val="00E5318D"/>
    <w:rsid w:val="00E531DF"/>
    <w:rsid w:val="00E531ED"/>
    <w:rsid w:val="00E531FB"/>
    <w:rsid w:val="00E5326B"/>
    <w:rsid w:val="00E532DD"/>
    <w:rsid w:val="00E532E6"/>
    <w:rsid w:val="00E53318"/>
    <w:rsid w:val="00E53333"/>
    <w:rsid w:val="00E533AD"/>
    <w:rsid w:val="00E533EA"/>
    <w:rsid w:val="00E53419"/>
    <w:rsid w:val="00E5346C"/>
    <w:rsid w:val="00E534CF"/>
    <w:rsid w:val="00E534DB"/>
    <w:rsid w:val="00E534F5"/>
    <w:rsid w:val="00E5350B"/>
    <w:rsid w:val="00E5351C"/>
    <w:rsid w:val="00E5354F"/>
    <w:rsid w:val="00E53561"/>
    <w:rsid w:val="00E5357A"/>
    <w:rsid w:val="00E535BB"/>
    <w:rsid w:val="00E535D8"/>
    <w:rsid w:val="00E535E6"/>
    <w:rsid w:val="00E5364A"/>
    <w:rsid w:val="00E536A4"/>
    <w:rsid w:val="00E536FA"/>
    <w:rsid w:val="00E5376E"/>
    <w:rsid w:val="00E537A0"/>
    <w:rsid w:val="00E537C7"/>
    <w:rsid w:val="00E537DD"/>
    <w:rsid w:val="00E53819"/>
    <w:rsid w:val="00E5381D"/>
    <w:rsid w:val="00E53828"/>
    <w:rsid w:val="00E53835"/>
    <w:rsid w:val="00E53867"/>
    <w:rsid w:val="00E53887"/>
    <w:rsid w:val="00E538B4"/>
    <w:rsid w:val="00E538B6"/>
    <w:rsid w:val="00E538CA"/>
    <w:rsid w:val="00E538F4"/>
    <w:rsid w:val="00E53910"/>
    <w:rsid w:val="00E5393A"/>
    <w:rsid w:val="00E53940"/>
    <w:rsid w:val="00E53956"/>
    <w:rsid w:val="00E53A1C"/>
    <w:rsid w:val="00E53B06"/>
    <w:rsid w:val="00E53B17"/>
    <w:rsid w:val="00E53B4B"/>
    <w:rsid w:val="00E53B5D"/>
    <w:rsid w:val="00E53B6C"/>
    <w:rsid w:val="00E53BA1"/>
    <w:rsid w:val="00E53BD2"/>
    <w:rsid w:val="00E53BEB"/>
    <w:rsid w:val="00E53C6E"/>
    <w:rsid w:val="00E53C80"/>
    <w:rsid w:val="00E53C90"/>
    <w:rsid w:val="00E53CAD"/>
    <w:rsid w:val="00E53CB8"/>
    <w:rsid w:val="00E53CC8"/>
    <w:rsid w:val="00E53CEB"/>
    <w:rsid w:val="00E53D6B"/>
    <w:rsid w:val="00E53D6F"/>
    <w:rsid w:val="00E53D75"/>
    <w:rsid w:val="00E53DE5"/>
    <w:rsid w:val="00E53DE8"/>
    <w:rsid w:val="00E53E35"/>
    <w:rsid w:val="00E53E3E"/>
    <w:rsid w:val="00E53E87"/>
    <w:rsid w:val="00E53E8A"/>
    <w:rsid w:val="00E53EC3"/>
    <w:rsid w:val="00E53EE5"/>
    <w:rsid w:val="00E53EF8"/>
    <w:rsid w:val="00E53F62"/>
    <w:rsid w:val="00E53F7D"/>
    <w:rsid w:val="00E53F93"/>
    <w:rsid w:val="00E53FB7"/>
    <w:rsid w:val="00E54032"/>
    <w:rsid w:val="00E5403C"/>
    <w:rsid w:val="00E54053"/>
    <w:rsid w:val="00E540FD"/>
    <w:rsid w:val="00E5413B"/>
    <w:rsid w:val="00E54149"/>
    <w:rsid w:val="00E54153"/>
    <w:rsid w:val="00E54157"/>
    <w:rsid w:val="00E541B0"/>
    <w:rsid w:val="00E541BD"/>
    <w:rsid w:val="00E541E4"/>
    <w:rsid w:val="00E5429D"/>
    <w:rsid w:val="00E5429F"/>
    <w:rsid w:val="00E542E0"/>
    <w:rsid w:val="00E54363"/>
    <w:rsid w:val="00E5436D"/>
    <w:rsid w:val="00E543BE"/>
    <w:rsid w:val="00E54417"/>
    <w:rsid w:val="00E54472"/>
    <w:rsid w:val="00E54484"/>
    <w:rsid w:val="00E544EB"/>
    <w:rsid w:val="00E54503"/>
    <w:rsid w:val="00E54561"/>
    <w:rsid w:val="00E545BA"/>
    <w:rsid w:val="00E545C5"/>
    <w:rsid w:val="00E5460F"/>
    <w:rsid w:val="00E5465B"/>
    <w:rsid w:val="00E54681"/>
    <w:rsid w:val="00E546A9"/>
    <w:rsid w:val="00E546AD"/>
    <w:rsid w:val="00E546BD"/>
    <w:rsid w:val="00E546C1"/>
    <w:rsid w:val="00E54768"/>
    <w:rsid w:val="00E5479E"/>
    <w:rsid w:val="00E547A2"/>
    <w:rsid w:val="00E547B0"/>
    <w:rsid w:val="00E547B8"/>
    <w:rsid w:val="00E54819"/>
    <w:rsid w:val="00E5481E"/>
    <w:rsid w:val="00E5482D"/>
    <w:rsid w:val="00E54862"/>
    <w:rsid w:val="00E54898"/>
    <w:rsid w:val="00E54988"/>
    <w:rsid w:val="00E54A77"/>
    <w:rsid w:val="00E54AA4"/>
    <w:rsid w:val="00E54ADE"/>
    <w:rsid w:val="00E54AE9"/>
    <w:rsid w:val="00E54B0D"/>
    <w:rsid w:val="00E54B25"/>
    <w:rsid w:val="00E54B7D"/>
    <w:rsid w:val="00E54BB8"/>
    <w:rsid w:val="00E54C4D"/>
    <w:rsid w:val="00E54C6C"/>
    <w:rsid w:val="00E54C97"/>
    <w:rsid w:val="00E54CC1"/>
    <w:rsid w:val="00E54D6F"/>
    <w:rsid w:val="00E54DB9"/>
    <w:rsid w:val="00E54E90"/>
    <w:rsid w:val="00E54F07"/>
    <w:rsid w:val="00E54F0A"/>
    <w:rsid w:val="00E54F0C"/>
    <w:rsid w:val="00E54F47"/>
    <w:rsid w:val="00E54F5B"/>
    <w:rsid w:val="00E54F5D"/>
    <w:rsid w:val="00E54F5E"/>
    <w:rsid w:val="00E54F7F"/>
    <w:rsid w:val="00E54F94"/>
    <w:rsid w:val="00E54FAF"/>
    <w:rsid w:val="00E55007"/>
    <w:rsid w:val="00E5505F"/>
    <w:rsid w:val="00E5507F"/>
    <w:rsid w:val="00E550C4"/>
    <w:rsid w:val="00E550D7"/>
    <w:rsid w:val="00E55112"/>
    <w:rsid w:val="00E55129"/>
    <w:rsid w:val="00E55185"/>
    <w:rsid w:val="00E5518B"/>
    <w:rsid w:val="00E551A9"/>
    <w:rsid w:val="00E551C7"/>
    <w:rsid w:val="00E551D5"/>
    <w:rsid w:val="00E55267"/>
    <w:rsid w:val="00E55293"/>
    <w:rsid w:val="00E552AC"/>
    <w:rsid w:val="00E552D0"/>
    <w:rsid w:val="00E55336"/>
    <w:rsid w:val="00E553B3"/>
    <w:rsid w:val="00E553DB"/>
    <w:rsid w:val="00E553F8"/>
    <w:rsid w:val="00E55494"/>
    <w:rsid w:val="00E554C1"/>
    <w:rsid w:val="00E5551A"/>
    <w:rsid w:val="00E55558"/>
    <w:rsid w:val="00E5555D"/>
    <w:rsid w:val="00E55590"/>
    <w:rsid w:val="00E5561C"/>
    <w:rsid w:val="00E55620"/>
    <w:rsid w:val="00E55650"/>
    <w:rsid w:val="00E55696"/>
    <w:rsid w:val="00E556E8"/>
    <w:rsid w:val="00E55712"/>
    <w:rsid w:val="00E55757"/>
    <w:rsid w:val="00E55793"/>
    <w:rsid w:val="00E557AD"/>
    <w:rsid w:val="00E55825"/>
    <w:rsid w:val="00E5584C"/>
    <w:rsid w:val="00E5589D"/>
    <w:rsid w:val="00E55920"/>
    <w:rsid w:val="00E55982"/>
    <w:rsid w:val="00E55A0C"/>
    <w:rsid w:val="00E55AC5"/>
    <w:rsid w:val="00E55B37"/>
    <w:rsid w:val="00E55C19"/>
    <w:rsid w:val="00E55C51"/>
    <w:rsid w:val="00E55C56"/>
    <w:rsid w:val="00E55C5A"/>
    <w:rsid w:val="00E55C62"/>
    <w:rsid w:val="00E55CA6"/>
    <w:rsid w:val="00E55CC2"/>
    <w:rsid w:val="00E55D26"/>
    <w:rsid w:val="00E55D38"/>
    <w:rsid w:val="00E55D42"/>
    <w:rsid w:val="00E55D87"/>
    <w:rsid w:val="00E55DB9"/>
    <w:rsid w:val="00E55DBE"/>
    <w:rsid w:val="00E55DE8"/>
    <w:rsid w:val="00E55DFA"/>
    <w:rsid w:val="00E55E23"/>
    <w:rsid w:val="00E55EC3"/>
    <w:rsid w:val="00E55F36"/>
    <w:rsid w:val="00E55F50"/>
    <w:rsid w:val="00E55F7C"/>
    <w:rsid w:val="00E5600B"/>
    <w:rsid w:val="00E5604B"/>
    <w:rsid w:val="00E5607A"/>
    <w:rsid w:val="00E560A4"/>
    <w:rsid w:val="00E560EE"/>
    <w:rsid w:val="00E5611C"/>
    <w:rsid w:val="00E56137"/>
    <w:rsid w:val="00E5616F"/>
    <w:rsid w:val="00E561AD"/>
    <w:rsid w:val="00E561F7"/>
    <w:rsid w:val="00E5621E"/>
    <w:rsid w:val="00E56291"/>
    <w:rsid w:val="00E562B2"/>
    <w:rsid w:val="00E56318"/>
    <w:rsid w:val="00E56383"/>
    <w:rsid w:val="00E56390"/>
    <w:rsid w:val="00E563BE"/>
    <w:rsid w:val="00E56469"/>
    <w:rsid w:val="00E5646E"/>
    <w:rsid w:val="00E56495"/>
    <w:rsid w:val="00E564E9"/>
    <w:rsid w:val="00E564EE"/>
    <w:rsid w:val="00E56505"/>
    <w:rsid w:val="00E5652A"/>
    <w:rsid w:val="00E5655D"/>
    <w:rsid w:val="00E565AA"/>
    <w:rsid w:val="00E565B5"/>
    <w:rsid w:val="00E565CC"/>
    <w:rsid w:val="00E5660C"/>
    <w:rsid w:val="00E56610"/>
    <w:rsid w:val="00E56625"/>
    <w:rsid w:val="00E56667"/>
    <w:rsid w:val="00E567FF"/>
    <w:rsid w:val="00E56849"/>
    <w:rsid w:val="00E56894"/>
    <w:rsid w:val="00E568D8"/>
    <w:rsid w:val="00E56946"/>
    <w:rsid w:val="00E5697F"/>
    <w:rsid w:val="00E569CA"/>
    <w:rsid w:val="00E569D3"/>
    <w:rsid w:val="00E56A21"/>
    <w:rsid w:val="00E56A26"/>
    <w:rsid w:val="00E56A70"/>
    <w:rsid w:val="00E56B21"/>
    <w:rsid w:val="00E56B32"/>
    <w:rsid w:val="00E56B93"/>
    <w:rsid w:val="00E56BFE"/>
    <w:rsid w:val="00E56C58"/>
    <w:rsid w:val="00E56C80"/>
    <w:rsid w:val="00E56CB1"/>
    <w:rsid w:val="00E56D61"/>
    <w:rsid w:val="00E56D81"/>
    <w:rsid w:val="00E56D84"/>
    <w:rsid w:val="00E56D9C"/>
    <w:rsid w:val="00E56DA6"/>
    <w:rsid w:val="00E56DF5"/>
    <w:rsid w:val="00E56E0D"/>
    <w:rsid w:val="00E56E1A"/>
    <w:rsid w:val="00E56E36"/>
    <w:rsid w:val="00E56E41"/>
    <w:rsid w:val="00E56E80"/>
    <w:rsid w:val="00E56E96"/>
    <w:rsid w:val="00E56EB4"/>
    <w:rsid w:val="00E56ED0"/>
    <w:rsid w:val="00E56EEA"/>
    <w:rsid w:val="00E56F05"/>
    <w:rsid w:val="00E56F49"/>
    <w:rsid w:val="00E56F68"/>
    <w:rsid w:val="00E56FC6"/>
    <w:rsid w:val="00E5703A"/>
    <w:rsid w:val="00E5703D"/>
    <w:rsid w:val="00E570F9"/>
    <w:rsid w:val="00E5723C"/>
    <w:rsid w:val="00E57243"/>
    <w:rsid w:val="00E57288"/>
    <w:rsid w:val="00E572EE"/>
    <w:rsid w:val="00E5731B"/>
    <w:rsid w:val="00E57322"/>
    <w:rsid w:val="00E57344"/>
    <w:rsid w:val="00E57346"/>
    <w:rsid w:val="00E57385"/>
    <w:rsid w:val="00E573B3"/>
    <w:rsid w:val="00E57421"/>
    <w:rsid w:val="00E57441"/>
    <w:rsid w:val="00E57464"/>
    <w:rsid w:val="00E57471"/>
    <w:rsid w:val="00E57501"/>
    <w:rsid w:val="00E5757E"/>
    <w:rsid w:val="00E57582"/>
    <w:rsid w:val="00E575D3"/>
    <w:rsid w:val="00E57624"/>
    <w:rsid w:val="00E57716"/>
    <w:rsid w:val="00E57777"/>
    <w:rsid w:val="00E57804"/>
    <w:rsid w:val="00E57829"/>
    <w:rsid w:val="00E57890"/>
    <w:rsid w:val="00E57899"/>
    <w:rsid w:val="00E578AC"/>
    <w:rsid w:val="00E578C7"/>
    <w:rsid w:val="00E57938"/>
    <w:rsid w:val="00E57946"/>
    <w:rsid w:val="00E5796C"/>
    <w:rsid w:val="00E57A25"/>
    <w:rsid w:val="00E57A32"/>
    <w:rsid w:val="00E57ABF"/>
    <w:rsid w:val="00E57B07"/>
    <w:rsid w:val="00E57B18"/>
    <w:rsid w:val="00E57B72"/>
    <w:rsid w:val="00E57B8F"/>
    <w:rsid w:val="00E57BD8"/>
    <w:rsid w:val="00E57CA0"/>
    <w:rsid w:val="00E57CB7"/>
    <w:rsid w:val="00E57D64"/>
    <w:rsid w:val="00E57D81"/>
    <w:rsid w:val="00E57E5F"/>
    <w:rsid w:val="00E57F2B"/>
    <w:rsid w:val="00E57F4D"/>
    <w:rsid w:val="00E57FC5"/>
    <w:rsid w:val="00E6003B"/>
    <w:rsid w:val="00E60083"/>
    <w:rsid w:val="00E600C9"/>
    <w:rsid w:val="00E60125"/>
    <w:rsid w:val="00E6015D"/>
    <w:rsid w:val="00E601A0"/>
    <w:rsid w:val="00E6021D"/>
    <w:rsid w:val="00E6022C"/>
    <w:rsid w:val="00E6023F"/>
    <w:rsid w:val="00E602EC"/>
    <w:rsid w:val="00E60380"/>
    <w:rsid w:val="00E6047B"/>
    <w:rsid w:val="00E604A0"/>
    <w:rsid w:val="00E604B6"/>
    <w:rsid w:val="00E604BF"/>
    <w:rsid w:val="00E604ED"/>
    <w:rsid w:val="00E60583"/>
    <w:rsid w:val="00E60593"/>
    <w:rsid w:val="00E6060B"/>
    <w:rsid w:val="00E6062F"/>
    <w:rsid w:val="00E60650"/>
    <w:rsid w:val="00E60666"/>
    <w:rsid w:val="00E606A1"/>
    <w:rsid w:val="00E606A8"/>
    <w:rsid w:val="00E6073B"/>
    <w:rsid w:val="00E6075F"/>
    <w:rsid w:val="00E60772"/>
    <w:rsid w:val="00E60776"/>
    <w:rsid w:val="00E607BF"/>
    <w:rsid w:val="00E607DC"/>
    <w:rsid w:val="00E607DE"/>
    <w:rsid w:val="00E6082A"/>
    <w:rsid w:val="00E6083C"/>
    <w:rsid w:val="00E60929"/>
    <w:rsid w:val="00E6095B"/>
    <w:rsid w:val="00E60975"/>
    <w:rsid w:val="00E609B9"/>
    <w:rsid w:val="00E609D5"/>
    <w:rsid w:val="00E60A0A"/>
    <w:rsid w:val="00E60A50"/>
    <w:rsid w:val="00E60A51"/>
    <w:rsid w:val="00E60A58"/>
    <w:rsid w:val="00E60ADE"/>
    <w:rsid w:val="00E60AE6"/>
    <w:rsid w:val="00E60AFC"/>
    <w:rsid w:val="00E60B03"/>
    <w:rsid w:val="00E60B61"/>
    <w:rsid w:val="00E60C04"/>
    <w:rsid w:val="00E60C6A"/>
    <w:rsid w:val="00E60D3F"/>
    <w:rsid w:val="00E60D4D"/>
    <w:rsid w:val="00E60D75"/>
    <w:rsid w:val="00E60D79"/>
    <w:rsid w:val="00E60D7A"/>
    <w:rsid w:val="00E60DD3"/>
    <w:rsid w:val="00E60EAF"/>
    <w:rsid w:val="00E60F0B"/>
    <w:rsid w:val="00E60F32"/>
    <w:rsid w:val="00E60F5A"/>
    <w:rsid w:val="00E60FD2"/>
    <w:rsid w:val="00E60FDE"/>
    <w:rsid w:val="00E60FE9"/>
    <w:rsid w:val="00E60FFD"/>
    <w:rsid w:val="00E61004"/>
    <w:rsid w:val="00E61046"/>
    <w:rsid w:val="00E61060"/>
    <w:rsid w:val="00E610B1"/>
    <w:rsid w:val="00E610DB"/>
    <w:rsid w:val="00E610E7"/>
    <w:rsid w:val="00E61133"/>
    <w:rsid w:val="00E61167"/>
    <w:rsid w:val="00E6122D"/>
    <w:rsid w:val="00E61268"/>
    <w:rsid w:val="00E6127B"/>
    <w:rsid w:val="00E612D4"/>
    <w:rsid w:val="00E612EE"/>
    <w:rsid w:val="00E613AB"/>
    <w:rsid w:val="00E613BC"/>
    <w:rsid w:val="00E61445"/>
    <w:rsid w:val="00E614E6"/>
    <w:rsid w:val="00E61530"/>
    <w:rsid w:val="00E61532"/>
    <w:rsid w:val="00E615EC"/>
    <w:rsid w:val="00E61645"/>
    <w:rsid w:val="00E616AF"/>
    <w:rsid w:val="00E61712"/>
    <w:rsid w:val="00E6175D"/>
    <w:rsid w:val="00E61767"/>
    <w:rsid w:val="00E61790"/>
    <w:rsid w:val="00E61797"/>
    <w:rsid w:val="00E617FF"/>
    <w:rsid w:val="00E6183B"/>
    <w:rsid w:val="00E61883"/>
    <w:rsid w:val="00E618CC"/>
    <w:rsid w:val="00E618EC"/>
    <w:rsid w:val="00E618F8"/>
    <w:rsid w:val="00E61A27"/>
    <w:rsid w:val="00E61A9B"/>
    <w:rsid w:val="00E61B42"/>
    <w:rsid w:val="00E61B4B"/>
    <w:rsid w:val="00E61B50"/>
    <w:rsid w:val="00E61B63"/>
    <w:rsid w:val="00E61B8A"/>
    <w:rsid w:val="00E61BA7"/>
    <w:rsid w:val="00E61C24"/>
    <w:rsid w:val="00E61C26"/>
    <w:rsid w:val="00E61C3C"/>
    <w:rsid w:val="00E61C44"/>
    <w:rsid w:val="00E61C68"/>
    <w:rsid w:val="00E61C74"/>
    <w:rsid w:val="00E61C77"/>
    <w:rsid w:val="00E61CBA"/>
    <w:rsid w:val="00E61CC4"/>
    <w:rsid w:val="00E61CF7"/>
    <w:rsid w:val="00E61D27"/>
    <w:rsid w:val="00E61D81"/>
    <w:rsid w:val="00E61D9E"/>
    <w:rsid w:val="00E61DAE"/>
    <w:rsid w:val="00E61DDC"/>
    <w:rsid w:val="00E61E53"/>
    <w:rsid w:val="00E61E6C"/>
    <w:rsid w:val="00E61E79"/>
    <w:rsid w:val="00E61F00"/>
    <w:rsid w:val="00E61F50"/>
    <w:rsid w:val="00E61F63"/>
    <w:rsid w:val="00E61FBB"/>
    <w:rsid w:val="00E61FE4"/>
    <w:rsid w:val="00E62038"/>
    <w:rsid w:val="00E6209D"/>
    <w:rsid w:val="00E620B2"/>
    <w:rsid w:val="00E620D7"/>
    <w:rsid w:val="00E62158"/>
    <w:rsid w:val="00E6215F"/>
    <w:rsid w:val="00E62186"/>
    <w:rsid w:val="00E6218B"/>
    <w:rsid w:val="00E621CA"/>
    <w:rsid w:val="00E621EF"/>
    <w:rsid w:val="00E621F1"/>
    <w:rsid w:val="00E62211"/>
    <w:rsid w:val="00E62269"/>
    <w:rsid w:val="00E6228E"/>
    <w:rsid w:val="00E622EA"/>
    <w:rsid w:val="00E62332"/>
    <w:rsid w:val="00E623F4"/>
    <w:rsid w:val="00E62424"/>
    <w:rsid w:val="00E6247E"/>
    <w:rsid w:val="00E624BD"/>
    <w:rsid w:val="00E624C1"/>
    <w:rsid w:val="00E62515"/>
    <w:rsid w:val="00E62539"/>
    <w:rsid w:val="00E62606"/>
    <w:rsid w:val="00E6263E"/>
    <w:rsid w:val="00E626ED"/>
    <w:rsid w:val="00E62730"/>
    <w:rsid w:val="00E62756"/>
    <w:rsid w:val="00E627C8"/>
    <w:rsid w:val="00E62882"/>
    <w:rsid w:val="00E628BA"/>
    <w:rsid w:val="00E628D9"/>
    <w:rsid w:val="00E62913"/>
    <w:rsid w:val="00E62924"/>
    <w:rsid w:val="00E62966"/>
    <w:rsid w:val="00E6297E"/>
    <w:rsid w:val="00E629D6"/>
    <w:rsid w:val="00E62A1A"/>
    <w:rsid w:val="00E62A4C"/>
    <w:rsid w:val="00E62AB5"/>
    <w:rsid w:val="00E62C14"/>
    <w:rsid w:val="00E62C31"/>
    <w:rsid w:val="00E62C32"/>
    <w:rsid w:val="00E62D12"/>
    <w:rsid w:val="00E62D85"/>
    <w:rsid w:val="00E62D9F"/>
    <w:rsid w:val="00E62DAB"/>
    <w:rsid w:val="00E62DAD"/>
    <w:rsid w:val="00E62DB7"/>
    <w:rsid w:val="00E62DF1"/>
    <w:rsid w:val="00E62E19"/>
    <w:rsid w:val="00E62E22"/>
    <w:rsid w:val="00E62E83"/>
    <w:rsid w:val="00E62E98"/>
    <w:rsid w:val="00E62E99"/>
    <w:rsid w:val="00E62EB3"/>
    <w:rsid w:val="00E62EBE"/>
    <w:rsid w:val="00E62ECF"/>
    <w:rsid w:val="00E62F1D"/>
    <w:rsid w:val="00E62F55"/>
    <w:rsid w:val="00E62F8F"/>
    <w:rsid w:val="00E62FCB"/>
    <w:rsid w:val="00E62FF6"/>
    <w:rsid w:val="00E63009"/>
    <w:rsid w:val="00E6306D"/>
    <w:rsid w:val="00E63081"/>
    <w:rsid w:val="00E630CB"/>
    <w:rsid w:val="00E630FF"/>
    <w:rsid w:val="00E63174"/>
    <w:rsid w:val="00E631F1"/>
    <w:rsid w:val="00E631F7"/>
    <w:rsid w:val="00E6326B"/>
    <w:rsid w:val="00E632AB"/>
    <w:rsid w:val="00E632D6"/>
    <w:rsid w:val="00E6332A"/>
    <w:rsid w:val="00E633EA"/>
    <w:rsid w:val="00E63473"/>
    <w:rsid w:val="00E6347B"/>
    <w:rsid w:val="00E6348C"/>
    <w:rsid w:val="00E634E5"/>
    <w:rsid w:val="00E6351C"/>
    <w:rsid w:val="00E63524"/>
    <w:rsid w:val="00E63544"/>
    <w:rsid w:val="00E6354F"/>
    <w:rsid w:val="00E63561"/>
    <w:rsid w:val="00E6357A"/>
    <w:rsid w:val="00E635C5"/>
    <w:rsid w:val="00E635E0"/>
    <w:rsid w:val="00E63632"/>
    <w:rsid w:val="00E6364F"/>
    <w:rsid w:val="00E63687"/>
    <w:rsid w:val="00E6368F"/>
    <w:rsid w:val="00E636D4"/>
    <w:rsid w:val="00E636FF"/>
    <w:rsid w:val="00E6374C"/>
    <w:rsid w:val="00E637C9"/>
    <w:rsid w:val="00E637F5"/>
    <w:rsid w:val="00E63806"/>
    <w:rsid w:val="00E63834"/>
    <w:rsid w:val="00E6383B"/>
    <w:rsid w:val="00E63867"/>
    <w:rsid w:val="00E638CB"/>
    <w:rsid w:val="00E6395E"/>
    <w:rsid w:val="00E63968"/>
    <w:rsid w:val="00E6397F"/>
    <w:rsid w:val="00E63984"/>
    <w:rsid w:val="00E63990"/>
    <w:rsid w:val="00E6399E"/>
    <w:rsid w:val="00E639E6"/>
    <w:rsid w:val="00E63A51"/>
    <w:rsid w:val="00E63AC1"/>
    <w:rsid w:val="00E63B16"/>
    <w:rsid w:val="00E63B17"/>
    <w:rsid w:val="00E63BE5"/>
    <w:rsid w:val="00E63BF1"/>
    <w:rsid w:val="00E63BF3"/>
    <w:rsid w:val="00E63C48"/>
    <w:rsid w:val="00E63C6C"/>
    <w:rsid w:val="00E63CD6"/>
    <w:rsid w:val="00E63E92"/>
    <w:rsid w:val="00E63E99"/>
    <w:rsid w:val="00E63EF5"/>
    <w:rsid w:val="00E63EFF"/>
    <w:rsid w:val="00E6402F"/>
    <w:rsid w:val="00E64083"/>
    <w:rsid w:val="00E640F1"/>
    <w:rsid w:val="00E64107"/>
    <w:rsid w:val="00E641C0"/>
    <w:rsid w:val="00E6423B"/>
    <w:rsid w:val="00E6423E"/>
    <w:rsid w:val="00E64269"/>
    <w:rsid w:val="00E6428B"/>
    <w:rsid w:val="00E642E5"/>
    <w:rsid w:val="00E64313"/>
    <w:rsid w:val="00E6434C"/>
    <w:rsid w:val="00E6444D"/>
    <w:rsid w:val="00E64463"/>
    <w:rsid w:val="00E644FA"/>
    <w:rsid w:val="00E64508"/>
    <w:rsid w:val="00E64556"/>
    <w:rsid w:val="00E64576"/>
    <w:rsid w:val="00E6459E"/>
    <w:rsid w:val="00E64673"/>
    <w:rsid w:val="00E6467A"/>
    <w:rsid w:val="00E646CD"/>
    <w:rsid w:val="00E646E5"/>
    <w:rsid w:val="00E646FE"/>
    <w:rsid w:val="00E64767"/>
    <w:rsid w:val="00E64823"/>
    <w:rsid w:val="00E6483B"/>
    <w:rsid w:val="00E6485D"/>
    <w:rsid w:val="00E648D5"/>
    <w:rsid w:val="00E648DD"/>
    <w:rsid w:val="00E648F1"/>
    <w:rsid w:val="00E648F2"/>
    <w:rsid w:val="00E648FB"/>
    <w:rsid w:val="00E649A8"/>
    <w:rsid w:val="00E649AA"/>
    <w:rsid w:val="00E649AE"/>
    <w:rsid w:val="00E64A36"/>
    <w:rsid w:val="00E64A53"/>
    <w:rsid w:val="00E64AD9"/>
    <w:rsid w:val="00E64AE6"/>
    <w:rsid w:val="00E64B2D"/>
    <w:rsid w:val="00E64C0D"/>
    <w:rsid w:val="00E64CE4"/>
    <w:rsid w:val="00E64D5C"/>
    <w:rsid w:val="00E64D9D"/>
    <w:rsid w:val="00E64DA1"/>
    <w:rsid w:val="00E64DBC"/>
    <w:rsid w:val="00E64DE2"/>
    <w:rsid w:val="00E64E6D"/>
    <w:rsid w:val="00E64EB6"/>
    <w:rsid w:val="00E64ED4"/>
    <w:rsid w:val="00E64FB3"/>
    <w:rsid w:val="00E64FFF"/>
    <w:rsid w:val="00E650A0"/>
    <w:rsid w:val="00E650E3"/>
    <w:rsid w:val="00E65120"/>
    <w:rsid w:val="00E6515D"/>
    <w:rsid w:val="00E6518C"/>
    <w:rsid w:val="00E65194"/>
    <w:rsid w:val="00E651CE"/>
    <w:rsid w:val="00E651F8"/>
    <w:rsid w:val="00E65213"/>
    <w:rsid w:val="00E65275"/>
    <w:rsid w:val="00E65304"/>
    <w:rsid w:val="00E6537C"/>
    <w:rsid w:val="00E65386"/>
    <w:rsid w:val="00E653B4"/>
    <w:rsid w:val="00E653DC"/>
    <w:rsid w:val="00E65432"/>
    <w:rsid w:val="00E65507"/>
    <w:rsid w:val="00E6552F"/>
    <w:rsid w:val="00E65533"/>
    <w:rsid w:val="00E65549"/>
    <w:rsid w:val="00E6554D"/>
    <w:rsid w:val="00E65582"/>
    <w:rsid w:val="00E655DF"/>
    <w:rsid w:val="00E655FC"/>
    <w:rsid w:val="00E655FE"/>
    <w:rsid w:val="00E6567E"/>
    <w:rsid w:val="00E656DC"/>
    <w:rsid w:val="00E65721"/>
    <w:rsid w:val="00E65731"/>
    <w:rsid w:val="00E65738"/>
    <w:rsid w:val="00E6574A"/>
    <w:rsid w:val="00E6578B"/>
    <w:rsid w:val="00E6579B"/>
    <w:rsid w:val="00E65833"/>
    <w:rsid w:val="00E65879"/>
    <w:rsid w:val="00E658D3"/>
    <w:rsid w:val="00E658F7"/>
    <w:rsid w:val="00E6596E"/>
    <w:rsid w:val="00E65A07"/>
    <w:rsid w:val="00E65A2B"/>
    <w:rsid w:val="00E65B16"/>
    <w:rsid w:val="00E65B7F"/>
    <w:rsid w:val="00E65B8C"/>
    <w:rsid w:val="00E65C4F"/>
    <w:rsid w:val="00E65C6A"/>
    <w:rsid w:val="00E65C94"/>
    <w:rsid w:val="00E65C9F"/>
    <w:rsid w:val="00E65D3C"/>
    <w:rsid w:val="00E65D46"/>
    <w:rsid w:val="00E65E24"/>
    <w:rsid w:val="00E65E79"/>
    <w:rsid w:val="00E65F03"/>
    <w:rsid w:val="00E65F92"/>
    <w:rsid w:val="00E65FA5"/>
    <w:rsid w:val="00E65FEF"/>
    <w:rsid w:val="00E6601A"/>
    <w:rsid w:val="00E6603C"/>
    <w:rsid w:val="00E6604B"/>
    <w:rsid w:val="00E660BA"/>
    <w:rsid w:val="00E660F4"/>
    <w:rsid w:val="00E660FA"/>
    <w:rsid w:val="00E6614E"/>
    <w:rsid w:val="00E66179"/>
    <w:rsid w:val="00E66185"/>
    <w:rsid w:val="00E661F9"/>
    <w:rsid w:val="00E6624D"/>
    <w:rsid w:val="00E66278"/>
    <w:rsid w:val="00E66283"/>
    <w:rsid w:val="00E662A0"/>
    <w:rsid w:val="00E662BD"/>
    <w:rsid w:val="00E662ED"/>
    <w:rsid w:val="00E662FE"/>
    <w:rsid w:val="00E6635D"/>
    <w:rsid w:val="00E66428"/>
    <w:rsid w:val="00E66534"/>
    <w:rsid w:val="00E66538"/>
    <w:rsid w:val="00E66550"/>
    <w:rsid w:val="00E6656B"/>
    <w:rsid w:val="00E6656F"/>
    <w:rsid w:val="00E665B0"/>
    <w:rsid w:val="00E6660D"/>
    <w:rsid w:val="00E66729"/>
    <w:rsid w:val="00E66732"/>
    <w:rsid w:val="00E6680F"/>
    <w:rsid w:val="00E66831"/>
    <w:rsid w:val="00E6683A"/>
    <w:rsid w:val="00E6683B"/>
    <w:rsid w:val="00E66866"/>
    <w:rsid w:val="00E668A3"/>
    <w:rsid w:val="00E66915"/>
    <w:rsid w:val="00E6691A"/>
    <w:rsid w:val="00E66969"/>
    <w:rsid w:val="00E66973"/>
    <w:rsid w:val="00E66974"/>
    <w:rsid w:val="00E669C2"/>
    <w:rsid w:val="00E669E2"/>
    <w:rsid w:val="00E66AA2"/>
    <w:rsid w:val="00E66B1A"/>
    <w:rsid w:val="00E66B5F"/>
    <w:rsid w:val="00E66B83"/>
    <w:rsid w:val="00E66B8A"/>
    <w:rsid w:val="00E66C85"/>
    <w:rsid w:val="00E66D6B"/>
    <w:rsid w:val="00E66D95"/>
    <w:rsid w:val="00E66E43"/>
    <w:rsid w:val="00E66EDA"/>
    <w:rsid w:val="00E66EF1"/>
    <w:rsid w:val="00E66F0C"/>
    <w:rsid w:val="00E66FAD"/>
    <w:rsid w:val="00E67026"/>
    <w:rsid w:val="00E6705C"/>
    <w:rsid w:val="00E670CB"/>
    <w:rsid w:val="00E6713A"/>
    <w:rsid w:val="00E67144"/>
    <w:rsid w:val="00E6717E"/>
    <w:rsid w:val="00E67212"/>
    <w:rsid w:val="00E672A8"/>
    <w:rsid w:val="00E672B1"/>
    <w:rsid w:val="00E67366"/>
    <w:rsid w:val="00E673AF"/>
    <w:rsid w:val="00E673E5"/>
    <w:rsid w:val="00E67401"/>
    <w:rsid w:val="00E67405"/>
    <w:rsid w:val="00E67455"/>
    <w:rsid w:val="00E67493"/>
    <w:rsid w:val="00E674FC"/>
    <w:rsid w:val="00E6758D"/>
    <w:rsid w:val="00E675CE"/>
    <w:rsid w:val="00E6763F"/>
    <w:rsid w:val="00E6764B"/>
    <w:rsid w:val="00E6765A"/>
    <w:rsid w:val="00E67670"/>
    <w:rsid w:val="00E67684"/>
    <w:rsid w:val="00E67693"/>
    <w:rsid w:val="00E676D7"/>
    <w:rsid w:val="00E67712"/>
    <w:rsid w:val="00E677DE"/>
    <w:rsid w:val="00E677F0"/>
    <w:rsid w:val="00E67804"/>
    <w:rsid w:val="00E6783C"/>
    <w:rsid w:val="00E678D4"/>
    <w:rsid w:val="00E67915"/>
    <w:rsid w:val="00E67935"/>
    <w:rsid w:val="00E67954"/>
    <w:rsid w:val="00E67956"/>
    <w:rsid w:val="00E6796D"/>
    <w:rsid w:val="00E679E8"/>
    <w:rsid w:val="00E67A16"/>
    <w:rsid w:val="00E67ABC"/>
    <w:rsid w:val="00E67B18"/>
    <w:rsid w:val="00E67B3B"/>
    <w:rsid w:val="00E67B96"/>
    <w:rsid w:val="00E67BAD"/>
    <w:rsid w:val="00E67BBE"/>
    <w:rsid w:val="00E67BD1"/>
    <w:rsid w:val="00E67BFE"/>
    <w:rsid w:val="00E67C2A"/>
    <w:rsid w:val="00E67C35"/>
    <w:rsid w:val="00E67CBC"/>
    <w:rsid w:val="00E67CD0"/>
    <w:rsid w:val="00E67D12"/>
    <w:rsid w:val="00E67D29"/>
    <w:rsid w:val="00E67D34"/>
    <w:rsid w:val="00E67DDF"/>
    <w:rsid w:val="00E67DE9"/>
    <w:rsid w:val="00E67E1F"/>
    <w:rsid w:val="00E67E67"/>
    <w:rsid w:val="00E67E72"/>
    <w:rsid w:val="00E67E9A"/>
    <w:rsid w:val="00E67F0A"/>
    <w:rsid w:val="00E67F2E"/>
    <w:rsid w:val="00E67FB9"/>
    <w:rsid w:val="00E67FDF"/>
    <w:rsid w:val="00E67FE9"/>
    <w:rsid w:val="00E70014"/>
    <w:rsid w:val="00E70053"/>
    <w:rsid w:val="00E7007A"/>
    <w:rsid w:val="00E7007B"/>
    <w:rsid w:val="00E7009C"/>
    <w:rsid w:val="00E700A5"/>
    <w:rsid w:val="00E700A9"/>
    <w:rsid w:val="00E700B6"/>
    <w:rsid w:val="00E700CC"/>
    <w:rsid w:val="00E700EE"/>
    <w:rsid w:val="00E7010B"/>
    <w:rsid w:val="00E70240"/>
    <w:rsid w:val="00E7027A"/>
    <w:rsid w:val="00E70284"/>
    <w:rsid w:val="00E70340"/>
    <w:rsid w:val="00E7034A"/>
    <w:rsid w:val="00E7036F"/>
    <w:rsid w:val="00E70378"/>
    <w:rsid w:val="00E70385"/>
    <w:rsid w:val="00E703AC"/>
    <w:rsid w:val="00E703C8"/>
    <w:rsid w:val="00E703F2"/>
    <w:rsid w:val="00E70406"/>
    <w:rsid w:val="00E70408"/>
    <w:rsid w:val="00E7040B"/>
    <w:rsid w:val="00E70535"/>
    <w:rsid w:val="00E70552"/>
    <w:rsid w:val="00E7057D"/>
    <w:rsid w:val="00E70596"/>
    <w:rsid w:val="00E70646"/>
    <w:rsid w:val="00E706E0"/>
    <w:rsid w:val="00E706FA"/>
    <w:rsid w:val="00E7073B"/>
    <w:rsid w:val="00E7074E"/>
    <w:rsid w:val="00E70757"/>
    <w:rsid w:val="00E7078F"/>
    <w:rsid w:val="00E707C0"/>
    <w:rsid w:val="00E70805"/>
    <w:rsid w:val="00E70825"/>
    <w:rsid w:val="00E70849"/>
    <w:rsid w:val="00E7084B"/>
    <w:rsid w:val="00E70861"/>
    <w:rsid w:val="00E70887"/>
    <w:rsid w:val="00E708C5"/>
    <w:rsid w:val="00E70963"/>
    <w:rsid w:val="00E70996"/>
    <w:rsid w:val="00E709A8"/>
    <w:rsid w:val="00E70AB4"/>
    <w:rsid w:val="00E70ACB"/>
    <w:rsid w:val="00E70AEA"/>
    <w:rsid w:val="00E70AF8"/>
    <w:rsid w:val="00E70B06"/>
    <w:rsid w:val="00E70B38"/>
    <w:rsid w:val="00E70B54"/>
    <w:rsid w:val="00E70BC3"/>
    <w:rsid w:val="00E70BC7"/>
    <w:rsid w:val="00E70BF2"/>
    <w:rsid w:val="00E70C25"/>
    <w:rsid w:val="00E70C77"/>
    <w:rsid w:val="00E70CAA"/>
    <w:rsid w:val="00E70CE0"/>
    <w:rsid w:val="00E70CF2"/>
    <w:rsid w:val="00E70D35"/>
    <w:rsid w:val="00E70D71"/>
    <w:rsid w:val="00E70D84"/>
    <w:rsid w:val="00E70D9E"/>
    <w:rsid w:val="00E70E27"/>
    <w:rsid w:val="00E70E86"/>
    <w:rsid w:val="00E70EB5"/>
    <w:rsid w:val="00E70F06"/>
    <w:rsid w:val="00E70F10"/>
    <w:rsid w:val="00E70F1A"/>
    <w:rsid w:val="00E70F32"/>
    <w:rsid w:val="00E70F3E"/>
    <w:rsid w:val="00E70F4F"/>
    <w:rsid w:val="00E70F62"/>
    <w:rsid w:val="00E70F6A"/>
    <w:rsid w:val="00E70F73"/>
    <w:rsid w:val="00E70FB5"/>
    <w:rsid w:val="00E7105C"/>
    <w:rsid w:val="00E71077"/>
    <w:rsid w:val="00E71088"/>
    <w:rsid w:val="00E710C7"/>
    <w:rsid w:val="00E710F5"/>
    <w:rsid w:val="00E711A6"/>
    <w:rsid w:val="00E711AF"/>
    <w:rsid w:val="00E711D1"/>
    <w:rsid w:val="00E711EE"/>
    <w:rsid w:val="00E712D6"/>
    <w:rsid w:val="00E7133A"/>
    <w:rsid w:val="00E71352"/>
    <w:rsid w:val="00E713A3"/>
    <w:rsid w:val="00E713C1"/>
    <w:rsid w:val="00E71411"/>
    <w:rsid w:val="00E71461"/>
    <w:rsid w:val="00E71488"/>
    <w:rsid w:val="00E714AF"/>
    <w:rsid w:val="00E7152D"/>
    <w:rsid w:val="00E715B4"/>
    <w:rsid w:val="00E715B5"/>
    <w:rsid w:val="00E715E1"/>
    <w:rsid w:val="00E71636"/>
    <w:rsid w:val="00E7163A"/>
    <w:rsid w:val="00E7169C"/>
    <w:rsid w:val="00E716FE"/>
    <w:rsid w:val="00E71707"/>
    <w:rsid w:val="00E7175F"/>
    <w:rsid w:val="00E71784"/>
    <w:rsid w:val="00E717F8"/>
    <w:rsid w:val="00E71847"/>
    <w:rsid w:val="00E71864"/>
    <w:rsid w:val="00E71886"/>
    <w:rsid w:val="00E718A0"/>
    <w:rsid w:val="00E718E8"/>
    <w:rsid w:val="00E7190A"/>
    <w:rsid w:val="00E71971"/>
    <w:rsid w:val="00E71972"/>
    <w:rsid w:val="00E719B7"/>
    <w:rsid w:val="00E719D2"/>
    <w:rsid w:val="00E719D4"/>
    <w:rsid w:val="00E719DA"/>
    <w:rsid w:val="00E719E2"/>
    <w:rsid w:val="00E719ED"/>
    <w:rsid w:val="00E71A5B"/>
    <w:rsid w:val="00E71ABD"/>
    <w:rsid w:val="00E71B66"/>
    <w:rsid w:val="00E71BD2"/>
    <w:rsid w:val="00E71BEC"/>
    <w:rsid w:val="00E71C17"/>
    <w:rsid w:val="00E71D45"/>
    <w:rsid w:val="00E71D56"/>
    <w:rsid w:val="00E71D6C"/>
    <w:rsid w:val="00E71DFE"/>
    <w:rsid w:val="00E71E1A"/>
    <w:rsid w:val="00E71E30"/>
    <w:rsid w:val="00E71E48"/>
    <w:rsid w:val="00E71E63"/>
    <w:rsid w:val="00E72098"/>
    <w:rsid w:val="00E720AB"/>
    <w:rsid w:val="00E720C0"/>
    <w:rsid w:val="00E720D6"/>
    <w:rsid w:val="00E720E6"/>
    <w:rsid w:val="00E7210B"/>
    <w:rsid w:val="00E72191"/>
    <w:rsid w:val="00E721C4"/>
    <w:rsid w:val="00E721F2"/>
    <w:rsid w:val="00E7220E"/>
    <w:rsid w:val="00E72307"/>
    <w:rsid w:val="00E72317"/>
    <w:rsid w:val="00E72352"/>
    <w:rsid w:val="00E72362"/>
    <w:rsid w:val="00E72367"/>
    <w:rsid w:val="00E72373"/>
    <w:rsid w:val="00E72390"/>
    <w:rsid w:val="00E723BE"/>
    <w:rsid w:val="00E7244E"/>
    <w:rsid w:val="00E724A6"/>
    <w:rsid w:val="00E7250E"/>
    <w:rsid w:val="00E72530"/>
    <w:rsid w:val="00E7256E"/>
    <w:rsid w:val="00E725C6"/>
    <w:rsid w:val="00E7264F"/>
    <w:rsid w:val="00E7268B"/>
    <w:rsid w:val="00E726BB"/>
    <w:rsid w:val="00E726C3"/>
    <w:rsid w:val="00E72721"/>
    <w:rsid w:val="00E72773"/>
    <w:rsid w:val="00E72775"/>
    <w:rsid w:val="00E727EA"/>
    <w:rsid w:val="00E728C0"/>
    <w:rsid w:val="00E72905"/>
    <w:rsid w:val="00E7293A"/>
    <w:rsid w:val="00E72970"/>
    <w:rsid w:val="00E72999"/>
    <w:rsid w:val="00E729D9"/>
    <w:rsid w:val="00E72A48"/>
    <w:rsid w:val="00E72A70"/>
    <w:rsid w:val="00E72AC9"/>
    <w:rsid w:val="00E72ACC"/>
    <w:rsid w:val="00E72ADA"/>
    <w:rsid w:val="00E72B1C"/>
    <w:rsid w:val="00E72B77"/>
    <w:rsid w:val="00E72B91"/>
    <w:rsid w:val="00E72BA8"/>
    <w:rsid w:val="00E72C0F"/>
    <w:rsid w:val="00E72C43"/>
    <w:rsid w:val="00E72C88"/>
    <w:rsid w:val="00E72CEE"/>
    <w:rsid w:val="00E72D71"/>
    <w:rsid w:val="00E72DA3"/>
    <w:rsid w:val="00E72DD0"/>
    <w:rsid w:val="00E72DEE"/>
    <w:rsid w:val="00E72E26"/>
    <w:rsid w:val="00E72E2F"/>
    <w:rsid w:val="00E72E66"/>
    <w:rsid w:val="00E72EAB"/>
    <w:rsid w:val="00E72EE1"/>
    <w:rsid w:val="00E72F35"/>
    <w:rsid w:val="00E72F81"/>
    <w:rsid w:val="00E72FE1"/>
    <w:rsid w:val="00E7301F"/>
    <w:rsid w:val="00E73047"/>
    <w:rsid w:val="00E730DE"/>
    <w:rsid w:val="00E73193"/>
    <w:rsid w:val="00E731A9"/>
    <w:rsid w:val="00E731C1"/>
    <w:rsid w:val="00E73252"/>
    <w:rsid w:val="00E73268"/>
    <w:rsid w:val="00E732C2"/>
    <w:rsid w:val="00E732C3"/>
    <w:rsid w:val="00E7332F"/>
    <w:rsid w:val="00E73352"/>
    <w:rsid w:val="00E7337E"/>
    <w:rsid w:val="00E73408"/>
    <w:rsid w:val="00E73470"/>
    <w:rsid w:val="00E73474"/>
    <w:rsid w:val="00E73483"/>
    <w:rsid w:val="00E734E5"/>
    <w:rsid w:val="00E73500"/>
    <w:rsid w:val="00E7351F"/>
    <w:rsid w:val="00E7352B"/>
    <w:rsid w:val="00E7352D"/>
    <w:rsid w:val="00E7353A"/>
    <w:rsid w:val="00E73540"/>
    <w:rsid w:val="00E735AF"/>
    <w:rsid w:val="00E735F6"/>
    <w:rsid w:val="00E73600"/>
    <w:rsid w:val="00E7360C"/>
    <w:rsid w:val="00E73625"/>
    <w:rsid w:val="00E7366E"/>
    <w:rsid w:val="00E73672"/>
    <w:rsid w:val="00E73682"/>
    <w:rsid w:val="00E736BD"/>
    <w:rsid w:val="00E736FA"/>
    <w:rsid w:val="00E737B0"/>
    <w:rsid w:val="00E737C3"/>
    <w:rsid w:val="00E7387B"/>
    <w:rsid w:val="00E738E1"/>
    <w:rsid w:val="00E73916"/>
    <w:rsid w:val="00E739AA"/>
    <w:rsid w:val="00E739C9"/>
    <w:rsid w:val="00E739DC"/>
    <w:rsid w:val="00E73A14"/>
    <w:rsid w:val="00E73A4F"/>
    <w:rsid w:val="00E73ADA"/>
    <w:rsid w:val="00E73B39"/>
    <w:rsid w:val="00E73B91"/>
    <w:rsid w:val="00E73BA5"/>
    <w:rsid w:val="00E73BC0"/>
    <w:rsid w:val="00E73C5D"/>
    <w:rsid w:val="00E73C7B"/>
    <w:rsid w:val="00E73CAC"/>
    <w:rsid w:val="00E73CBC"/>
    <w:rsid w:val="00E73CC7"/>
    <w:rsid w:val="00E73CFC"/>
    <w:rsid w:val="00E73D07"/>
    <w:rsid w:val="00E73D6F"/>
    <w:rsid w:val="00E73DB1"/>
    <w:rsid w:val="00E73E67"/>
    <w:rsid w:val="00E73F22"/>
    <w:rsid w:val="00E73F8C"/>
    <w:rsid w:val="00E73FE9"/>
    <w:rsid w:val="00E74073"/>
    <w:rsid w:val="00E74074"/>
    <w:rsid w:val="00E7407B"/>
    <w:rsid w:val="00E7408D"/>
    <w:rsid w:val="00E74117"/>
    <w:rsid w:val="00E7413D"/>
    <w:rsid w:val="00E74155"/>
    <w:rsid w:val="00E741DE"/>
    <w:rsid w:val="00E741E8"/>
    <w:rsid w:val="00E742CB"/>
    <w:rsid w:val="00E742F8"/>
    <w:rsid w:val="00E743A2"/>
    <w:rsid w:val="00E743FE"/>
    <w:rsid w:val="00E74406"/>
    <w:rsid w:val="00E7441A"/>
    <w:rsid w:val="00E74456"/>
    <w:rsid w:val="00E74472"/>
    <w:rsid w:val="00E744A8"/>
    <w:rsid w:val="00E744FF"/>
    <w:rsid w:val="00E74594"/>
    <w:rsid w:val="00E74596"/>
    <w:rsid w:val="00E745A8"/>
    <w:rsid w:val="00E745D3"/>
    <w:rsid w:val="00E745DA"/>
    <w:rsid w:val="00E74630"/>
    <w:rsid w:val="00E7464A"/>
    <w:rsid w:val="00E74664"/>
    <w:rsid w:val="00E74692"/>
    <w:rsid w:val="00E74723"/>
    <w:rsid w:val="00E7473B"/>
    <w:rsid w:val="00E74756"/>
    <w:rsid w:val="00E74761"/>
    <w:rsid w:val="00E74790"/>
    <w:rsid w:val="00E747D3"/>
    <w:rsid w:val="00E74817"/>
    <w:rsid w:val="00E7488F"/>
    <w:rsid w:val="00E748AC"/>
    <w:rsid w:val="00E748F2"/>
    <w:rsid w:val="00E74901"/>
    <w:rsid w:val="00E749AE"/>
    <w:rsid w:val="00E749B5"/>
    <w:rsid w:val="00E749C6"/>
    <w:rsid w:val="00E74A66"/>
    <w:rsid w:val="00E74A6B"/>
    <w:rsid w:val="00E74A7B"/>
    <w:rsid w:val="00E74AAE"/>
    <w:rsid w:val="00E74AB7"/>
    <w:rsid w:val="00E74AC8"/>
    <w:rsid w:val="00E74B14"/>
    <w:rsid w:val="00E74B1A"/>
    <w:rsid w:val="00E74B4C"/>
    <w:rsid w:val="00E74B67"/>
    <w:rsid w:val="00E74BCD"/>
    <w:rsid w:val="00E74C43"/>
    <w:rsid w:val="00E74C78"/>
    <w:rsid w:val="00E74C8A"/>
    <w:rsid w:val="00E74C91"/>
    <w:rsid w:val="00E74D09"/>
    <w:rsid w:val="00E74D14"/>
    <w:rsid w:val="00E74E0C"/>
    <w:rsid w:val="00E74EBE"/>
    <w:rsid w:val="00E74EC6"/>
    <w:rsid w:val="00E74F00"/>
    <w:rsid w:val="00E74F38"/>
    <w:rsid w:val="00E74F8B"/>
    <w:rsid w:val="00E74FD7"/>
    <w:rsid w:val="00E74FF2"/>
    <w:rsid w:val="00E75015"/>
    <w:rsid w:val="00E7502E"/>
    <w:rsid w:val="00E7509F"/>
    <w:rsid w:val="00E750D7"/>
    <w:rsid w:val="00E750E2"/>
    <w:rsid w:val="00E7513C"/>
    <w:rsid w:val="00E75176"/>
    <w:rsid w:val="00E751CA"/>
    <w:rsid w:val="00E751E1"/>
    <w:rsid w:val="00E751E7"/>
    <w:rsid w:val="00E751F5"/>
    <w:rsid w:val="00E7523D"/>
    <w:rsid w:val="00E7523E"/>
    <w:rsid w:val="00E7526C"/>
    <w:rsid w:val="00E752B3"/>
    <w:rsid w:val="00E7530D"/>
    <w:rsid w:val="00E75310"/>
    <w:rsid w:val="00E753E0"/>
    <w:rsid w:val="00E754A1"/>
    <w:rsid w:val="00E75521"/>
    <w:rsid w:val="00E75522"/>
    <w:rsid w:val="00E75545"/>
    <w:rsid w:val="00E7557B"/>
    <w:rsid w:val="00E755E1"/>
    <w:rsid w:val="00E75663"/>
    <w:rsid w:val="00E756C6"/>
    <w:rsid w:val="00E7577A"/>
    <w:rsid w:val="00E75802"/>
    <w:rsid w:val="00E75830"/>
    <w:rsid w:val="00E75851"/>
    <w:rsid w:val="00E75858"/>
    <w:rsid w:val="00E75867"/>
    <w:rsid w:val="00E758AC"/>
    <w:rsid w:val="00E75922"/>
    <w:rsid w:val="00E7593E"/>
    <w:rsid w:val="00E75A00"/>
    <w:rsid w:val="00E75A2E"/>
    <w:rsid w:val="00E75A42"/>
    <w:rsid w:val="00E75A44"/>
    <w:rsid w:val="00E75A8B"/>
    <w:rsid w:val="00E75AB0"/>
    <w:rsid w:val="00E75ACC"/>
    <w:rsid w:val="00E75AEF"/>
    <w:rsid w:val="00E75B22"/>
    <w:rsid w:val="00E75B32"/>
    <w:rsid w:val="00E75B59"/>
    <w:rsid w:val="00E75BA5"/>
    <w:rsid w:val="00E75BAA"/>
    <w:rsid w:val="00E75C35"/>
    <w:rsid w:val="00E75C6E"/>
    <w:rsid w:val="00E75C84"/>
    <w:rsid w:val="00E75CC8"/>
    <w:rsid w:val="00E75CD2"/>
    <w:rsid w:val="00E75D08"/>
    <w:rsid w:val="00E75D6D"/>
    <w:rsid w:val="00E75D82"/>
    <w:rsid w:val="00E75DAD"/>
    <w:rsid w:val="00E75DC9"/>
    <w:rsid w:val="00E75DD1"/>
    <w:rsid w:val="00E75E0D"/>
    <w:rsid w:val="00E75E23"/>
    <w:rsid w:val="00E75E6D"/>
    <w:rsid w:val="00E75E88"/>
    <w:rsid w:val="00E75F17"/>
    <w:rsid w:val="00E75F68"/>
    <w:rsid w:val="00E76050"/>
    <w:rsid w:val="00E76064"/>
    <w:rsid w:val="00E7608E"/>
    <w:rsid w:val="00E760FE"/>
    <w:rsid w:val="00E7610E"/>
    <w:rsid w:val="00E76125"/>
    <w:rsid w:val="00E76149"/>
    <w:rsid w:val="00E76152"/>
    <w:rsid w:val="00E7616B"/>
    <w:rsid w:val="00E76172"/>
    <w:rsid w:val="00E761F0"/>
    <w:rsid w:val="00E7624C"/>
    <w:rsid w:val="00E763B8"/>
    <w:rsid w:val="00E763FC"/>
    <w:rsid w:val="00E76408"/>
    <w:rsid w:val="00E76425"/>
    <w:rsid w:val="00E7642D"/>
    <w:rsid w:val="00E76491"/>
    <w:rsid w:val="00E7649F"/>
    <w:rsid w:val="00E76536"/>
    <w:rsid w:val="00E76609"/>
    <w:rsid w:val="00E76648"/>
    <w:rsid w:val="00E7665C"/>
    <w:rsid w:val="00E76683"/>
    <w:rsid w:val="00E76686"/>
    <w:rsid w:val="00E766F9"/>
    <w:rsid w:val="00E766FD"/>
    <w:rsid w:val="00E7672F"/>
    <w:rsid w:val="00E7676B"/>
    <w:rsid w:val="00E767E7"/>
    <w:rsid w:val="00E76848"/>
    <w:rsid w:val="00E7685B"/>
    <w:rsid w:val="00E768A0"/>
    <w:rsid w:val="00E768B4"/>
    <w:rsid w:val="00E769F1"/>
    <w:rsid w:val="00E769F8"/>
    <w:rsid w:val="00E769FC"/>
    <w:rsid w:val="00E76AE2"/>
    <w:rsid w:val="00E76B10"/>
    <w:rsid w:val="00E76B5D"/>
    <w:rsid w:val="00E76BC5"/>
    <w:rsid w:val="00E76BF7"/>
    <w:rsid w:val="00E76C24"/>
    <w:rsid w:val="00E76C3C"/>
    <w:rsid w:val="00E76C41"/>
    <w:rsid w:val="00E76C6C"/>
    <w:rsid w:val="00E76C9C"/>
    <w:rsid w:val="00E76D84"/>
    <w:rsid w:val="00E76E04"/>
    <w:rsid w:val="00E76F6A"/>
    <w:rsid w:val="00E76F73"/>
    <w:rsid w:val="00E770EE"/>
    <w:rsid w:val="00E77124"/>
    <w:rsid w:val="00E77129"/>
    <w:rsid w:val="00E7714C"/>
    <w:rsid w:val="00E77186"/>
    <w:rsid w:val="00E77231"/>
    <w:rsid w:val="00E772BF"/>
    <w:rsid w:val="00E772D6"/>
    <w:rsid w:val="00E773BD"/>
    <w:rsid w:val="00E7745D"/>
    <w:rsid w:val="00E7747B"/>
    <w:rsid w:val="00E774AC"/>
    <w:rsid w:val="00E77581"/>
    <w:rsid w:val="00E77586"/>
    <w:rsid w:val="00E776B7"/>
    <w:rsid w:val="00E77713"/>
    <w:rsid w:val="00E77714"/>
    <w:rsid w:val="00E777E1"/>
    <w:rsid w:val="00E777E7"/>
    <w:rsid w:val="00E7780A"/>
    <w:rsid w:val="00E778B1"/>
    <w:rsid w:val="00E778B6"/>
    <w:rsid w:val="00E7799E"/>
    <w:rsid w:val="00E779AC"/>
    <w:rsid w:val="00E77A7A"/>
    <w:rsid w:val="00E77A87"/>
    <w:rsid w:val="00E77AD3"/>
    <w:rsid w:val="00E77B3C"/>
    <w:rsid w:val="00E77B77"/>
    <w:rsid w:val="00E77BC5"/>
    <w:rsid w:val="00E77C18"/>
    <w:rsid w:val="00E77C76"/>
    <w:rsid w:val="00E77C92"/>
    <w:rsid w:val="00E77CD1"/>
    <w:rsid w:val="00E77CD2"/>
    <w:rsid w:val="00E77D0E"/>
    <w:rsid w:val="00E77D26"/>
    <w:rsid w:val="00E77D2D"/>
    <w:rsid w:val="00E77D48"/>
    <w:rsid w:val="00E77D5A"/>
    <w:rsid w:val="00E77E81"/>
    <w:rsid w:val="00E77EAE"/>
    <w:rsid w:val="00E77EBA"/>
    <w:rsid w:val="00E77EC2"/>
    <w:rsid w:val="00E77F1D"/>
    <w:rsid w:val="00E77F20"/>
    <w:rsid w:val="00E77FA9"/>
    <w:rsid w:val="00E77FB5"/>
    <w:rsid w:val="00E77FC0"/>
    <w:rsid w:val="00E77FD6"/>
    <w:rsid w:val="00E784B0"/>
    <w:rsid w:val="00E8001E"/>
    <w:rsid w:val="00E8003D"/>
    <w:rsid w:val="00E80057"/>
    <w:rsid w:val="00E80093"/>
    <w:rsid w:val="00E8014E"/>
    <w:rsid w:val="00E8015A"/>
    <w:rsid w:val="00E8019F"/>
    <w:rsid w:val="00E801D8"/>
    <w:rsid w:val="00E801F0"/>
    <w:rsid w:val="00E80223"/>
    <w:rsid w:val="00E80298"/>
    <w:rsid w:val="00E802A4"/>
    <w:rsid w:val="00E802EE"/>
    <w:rsid w:val="00E8035D"/>
    <w:rsid w:val="00E803B5"/>
    <w:rsid w:val="00E8041B"/>
    <w:rsid w:val="00E8041F"/>
    <w:rsid w:val="00E80426"/>
    <w:rsid w:val="00E8047E"/>
    <w:rsid w:val="00E80480"/>
    <w:rsid w:val="00E804E7"/>
    <w:rsid w:val="00E804EE"/>
    <w:rsid w:val="00E8054E"/>
    <w:rsid w:val="00E8055A"/>
    <w:rsid w:val="00E8055B"/>
    <w:rsid w:val="00E8058B"/>
    <w:rsid w:val="00E80594"/>
    <w:rsid w:val="00E805A7"/>
    <w:rsid w:val="00E80630"/>
    <w:rsid w:val="00E80647"/>
    <w:rsid w:val="00E80676"/>
    <w:rsid w:val="00E806BD"/>
    <w:rsid w:val="00E80745"/>
    <w:rsid w:val="00E807D4"/>
    <w:rsid w:val="00E80814"/>
    <w:rsid w:val="00E8081E"/>
    <w:rsid w:val="00E80865"/>
    <w:rsid w:val="00E8087E"/>
    <w:rsid w:val="00E808A9"/>
    <w:rsid w:val="00E808BA"/>
    <w:rsid w:val="00E8093A"/>
    <w:rsid w:val="00E8096C"/>
    <w:rsid w:val="00E8098C"/>
    <w:rsid w:val="00E809A9"/>
    <w:rsid w:val="00E809BA"/>
    <w:rsid w:val="00E809EA"/>
    <w:rsid w:val="00E809F8"/>
    <w:rsid w:val="00E80A6F"/>
    <w:rsid w:val="00E80AC7"/>
    <w:rsid w:val="00E80ADB"/>
    <w:rsid w:val="00E80AE3"/>
    <w:rsid w:val="00E80B39"/>
    <w:rsid w:val="00E80B86"/>
    <w:rsid w:val="00E80BA4"/>
    <w:rsid w:val="00E80BC3"/>
    <w:rsid w:val="00E80BDD"/>
    <w:rsid w:val="00E80C40"/>
    <w:rsid w:val="00E80C93"/>
    <w:rsid w:val="00E80D05"/>
    <w:rsid w:val="00E80D4E"/>
    <w:rsid w:val="00E80D7C"/>
    <w:rsid w:val="00E80E68"/>
    <w:rsid w:val="00E80E85"/>
    <w:rsid w:val="00E80F31"/>
    <w:rsid w:val="00E80F98"/>
    <w:rsid w:val="00E80FF4"/>
    <w:rsid w:val="00E8101E"/>
    <w:rsid w:val="00E8102C"/>
    <w:rsid w:val="00E81048"/>
    <w:rsid w:val="00E810E1"/>
    <w:rsid w:val="00E810FD"/>
    <w:rsid w:val="00E8116A"/>
    <w:rsid w:val="00E81188"/>
    <w:rsid w:val="00E81201"/>
    <w:rsid w:val="00E8120D"/>
    <w:rsid w:val="00E81233"/>
    <w:rsid w:val="00E81263"/>
    <w:rsid w:val="00E8127F"/>
    <w:rsid w:val="00E812C6"/>
    <w:rsid w:val="00E812C7"/>
    <w:rsid w:val="00E812E8"/>
    <w:rsid w:val="00E8130C"/>
    <w:rsid w:val="00E81368"/>
    <w:rsid w:val="00E81378"/>
    <w:rsid w:val="00E8137F"/>
    <w:rsid w:val="00E8138B"/>
    <w:rsid w:val="00E81478"/>
    <w:rsid w:val="00E8147A"/>
    <w:rsid w:val="00E814A1"/>
    <w:rsid w:val="00E814EB"/>
    <w:rsid w:val="00E81519"/>
    <w:rsid w:val="00E81525"/>
    <w:rsid w:val="00E81540"/>
    <w:rsid w:val="00E81541"/>
    <w:rsid w:val="00E81544"/>
    <w:rsid w:val="00E81565"/>
    <w:rsid w:val="00E815D8"/>
    <w:rsid w:val="00E81636"/>
    <w:rsid w:val="00E8163E"/>
    <w:rsid w:val="00E81653"/>
    <w:rsid w:val="00E81670"/>
    <w:rsid w:val="00E8169A"/>
    <w:rsid w:val="00E81743"/>
    <w:rsid w:val="00E81751"/>
    <w:rsid w:val="00E8181B"/>
    <w:rsid w:val="00E8183C"/>
    <w:rsid w:val="00E8184F"/>
    <w:rsid w:val="00E81864"/>
    <w:rsid w:val="00E818E3"/>
    <w:rsid w:val="00E818F4"/>
    <w:rsid w:val="00E81926"/>
    <w:rsid w:val="00E81949"/>
    <w:rsid w:val="00E81957"/>
    <w:rsid w:val="00E81965"/>
    <w:rsid w:val="00E819D5"/>
    <w:rsid w:val="00E81A80"/>
    <w:rsid w:val="00E81AEB"/>
    <w:rsid w:val="00E81B39"/>
    <w:rsid w:val="00E81BA9"/>
    <w:rsid w:val="00E81BB8"/>
    <w:rsid w:val="00E81C27"/>
    <w:rsid w:val="00E81C52"/>
    <w:rsid w:val="00E81C5C"/>
    <w:rsid w:val="00E81C73"/>
    <w:rsid w:val="00E81CFC"/>
    <w:rsid w:val="00E81D0F"/>
    <w:rsid w:val="00E81DA4"/>
    <w:rsid w:val="00E81ED0"/>
    <w:rsid w:val="00E81F64"/>
    <w:rsid w:val="00E820C4"/>
    <w:rsid w:val="00E82108"/>
    <w:rsid w:val="00E8212E"/>
    <w:rsid w:val="00E82137"/>
    <w:rsid w:val="00E82154"/>
    <w:rsid w:val="00E821A3"/>
    <w:rsid w:val="00E821AA"/>
    <w:rsid w:val="00E821D3"/>
    <w:rsid w:val="00E821E3"/>
    <w:rsid w:val="00E8221C"/>
    <w:rsid w:val="00E82244"/>
    <w:rsid w:val="00E822EE"/>
    <w:rsid w:val="00E82374"/>
    <w:rsid w:val="00E82382"/>
    <w:rsid w:val="00E823A4"/>
    <w:rsid w:val="00E823D6"/>
    <w:rsid w:val="00E82447"/>
    <w:rsid w:val="00E82499"/>
    <w:rsid w:val="00E824D0"/>
    <w:rsid w:val="00E824FA"/>
    <w:rsid w:val="00E82527"/>
    <w:rsid w:val="00E82530"/>
    <w:rsid w:val="00E82569"/>
    <w:rsid w:val="00E825DF"/>
    <w:rsid w:val="00E825E3"/>
    <w:rsid w:val="00E82646"/>
    <w:rsid w:val="00E82664"/>
    <w:rsid w:val="00E82688"/>
    <w:rsid w:val="00E826B5"/>
    <w:rsid w:val="00E826D3"/>
    <w:rsid w:val="00E82714"/>
    <w:rsid w:val="00E82721"/>
    <w:rsid w:val="00E8273C"/>
    <w:rsid w:val="00E827B5"/>
    <w:rsid w:val="00E827D4"/>
    <w:rsid w:val="00E82801"/>
    <w:rsid w:val="00E82862"/>
    <w:rsid w:val="00E828B7"/>
    <w:rsid w:val="00E828F4"/>
    <w:rsid w:val="00E828FF"/>
    <w:rsid w:val="00E82929"/>
    <w:rsid w:val="00E8293D"/>
    <w:rsid w:val="00E8297B"/>
    <w:rsid w:val="00E829A1"/>
    <w:rsid w:val="00E82A3F"/>
    <w:rsid w:val="00E82A53"/>
    <w:rsid w:val="00E82A95"/>
    <w:rsid w:val="00E82AD6"/>
    <w:rsid w:val="00E82AED"/>
    <w:rsid w:val="00E82B14"/>
    <w:rsid w:val="00E82B63"/>
    <w:rsid w:val="00E82B8E"/>
    <w:rsid w:val="00E82BB5"/>
    <w:rsid w:val="00E82C66"/>
    <w:rsid w:val="00E82D06"/>
    <w:rsid w:val="00E82DE5"/>
    <w:rsid w:val="00E82E52"/>
    <w:rsid w:val="00E82E5E"/>
    <w:rsid w:val="00E82E80"/>
    <w:rsid w:val="00E82EB3"/>
    <w:rsid w:val="00E82F6B"/>
    <w:rsid w:val="00E82FA2"/>
    <w:rsid w:val="00E8309D"/>
    <w:rsid w:val="00E830BC"/>
    <w:rsid w:val="00E830C5"/>
    <w:rsid w:val="00E83105"/>
    <w:rsid w:val="00E8314D"/>
    <w:rsid w:val="00E83151"/>
    <w:rsid w:val="00E83174"/>
    <w:rsid w:val="00E8318C"/>
    <w:rsid w:val="00E831E0"/>
    <w:rsid w:val="00E831E2"/>
    <w:rsid w:val="00E83231"/>
    <w:rsid w:val="00E8327C"/>
    <w:rsid w:val="00E832AA"/>
    <w:rsid w:val="00E832F5"/>
    <w:rsid w:val="00E8331F"/>
    <w:rsid w:val="00E83374"/>
    <w:rsid w:val="00E833E6"/>
    <w:rsid w:val="00E83437"/>
    <w:rsid w:val="00E83453"/>
    <w:rsid w:val="00E834A6"/>
    <w:rsid w:val="00E834B7"/>
    <w:rsid w:val="00E83607"/>
    <w:rsid w:val="00E83615"/>
    <w:rsid w:val="00E8365E"/>
    <w:rsid w:val="00E8367D"/>
    <w:rsid w:val="00E836A4"/>
    <w:rsid w:val="00E83709"/>
    <w:rsid w:val="00E83723"/>
    <w:rsid w:val="00E83737"/>
    <w:rsid w:val="00E837C8"/>
    <w:rsid w:val="00E837CA"/>
    <w:rsid w:val="00E837DB"/>
    <w:rsid w:val="00E837E0"/>
    <w:rsid w:val="00E837FC"/>
    <w:rsid w:val="00E8385B"/>
    <w:rsid w:val="00E8385F"/>
    <w:rsid w:val="00E8387F"/>
    <w:rsid w:val="00E838DF"/>
    <w:rsid w:val="00E838F3"/>
    <w:rsid w:val="00E838FC"/>
    <w:rsid w:val="00E8392D"/>
    <w:rsid w:val="00E839D6"/>
    <w:rsid w:val="00E83A44"/>
    <w:rsid w:val="00E83A63"/>
    <w:rsid w:val="00E83A73"/>
    <w:rsid w:val="00E83B33"/>
    <w:rsid w:val="00E83B76"/>
    <w:rsid w:val="00E83BBA"/>
    <w:rsid w:val="00E83BCE"/>
    <w:rsid w:val="00E83BFF"/>
    <w:rsid w:val="00E83C0A"/>
    <w:rsid w:val="00E83C0D"/>
    <w:rsid w:val="00E83C17"/>
    <w:rsid w:val="00E83C5B"/>
    <w:rsid w:val="00E83C98"/>
    <w:rsid w:val="00E83CFC"/>
    <w:rsid w:val="00E83D28"/>
    <w:rsid w:val="00E83DC3"/>
    <w:rsid w:val="00E83DD4"/>
    <w:rsid w:val="00E83DD8"/>
    <w:rsid w:val="00E83E59"/>
    <w:rsid w:val="00E83E7A"/>
    <w:rsid w:val="00E83E7C"/>
    <w:rsid w:val="00E83E83"/>
    <w:rsid w:val="00E83E9F"/>
    <w:rsid w:val="00E83EA3"/>
    <w:rsid w:val="00E83EAF"/>
    <w:rsid w:val="00E83EE3"/>
    <w:rsid w:val="00E83F1E"/>
    <w:rsid w:val="00E83F4F"/>
    <w:rsid w:val="00E83F59"/>
    <w:rsid w:val="00E83F93"/>
    <w:rsid w:val="00E83FF3"/>
    <w:rsid w:val="00E84003"/>
    <w:rsid w:val="00E84047"/>
    <w:rsid w:val="00E84082"/>
    <w:rsid w:val="00E84120"/>
    <w:rsid w:val="00E8414D"/>
    <w:rsid w:val="00E84168"/>
    <w:rsid w:val="00E8417D"/>
    <w:rsid w:val="00E8418A"/>
    <w:rsid w:val="00E841A5"/>
    <w:rsid w:val="00E841E2"/>
    <w:rsid w:val="00E84209"/>
    <w:rsid w:val="00E8420D"/>
    <w:rsid w:val="00E84216"/>
    <w:rsid w:val="00E84238"/>
    <w:rsid w:val="00E8424C"/>
    <w:rsid w:val="00E8425B"/>
    <w:rsid w:val="00E842C1"/>
    <w:rsid w:val="00E84300"/>
    <w:rsid w:val="00E8438E"/>
    <w:rsid w:val="00E843D9"/>
    <w:rsid w:val="00E843E9"/>
    <w:rsid w:val="00E84472"/>
    <w:rsid w:val="00E84494"/>
    <w:rsid w:val="00E8449B"/>
    <w:rsid w:val="00E844D0"/>
    <w:rsid w:val="00E8452B"/>
    <w:rsid w:val="00E8452E"/>
    <w:rsid w:val="00E84545"/>
    <w:rsid w:val="00E84663"/>
    <w:rsid w:val="00E84677"/>
    <w:rsid w:val="00E84696"/>
    <w:rsid w:val="00E84714"/>
    <w:rsid w:val="00E847A3"/>
    <w:rsid w:val="00E847D5"/>
    <w:rsid w:val="00E847F2"/>
    <w:rsid w:val="00E84844"/>
    <w:rsid w:val="00E848B3"/>
    <w:rsid w:val="00E848E2"/>
    <w:rsid w:val="00E84990"/>
    <w:rsid w:val="00E84995"/>
    <w:rsid w:val="00E84A06"/>
    <w:rsid w:val="00E84A20"/>
    <w:rsid w:val="00E84AD7"/>
    <w:rsid w:val="00E84B10"/>
    <w:rsid w:val="00E84B26"/>
    <w:rsid w:val="00E84B46"/>
    <w:rsid w:val="00E84B58"/>
    <w:rsid w:val="00E84B84"/>
    <w:rsid w:val="00E84BA2"/>
    <w:rsid w:val="00E84BAA"/>
    <w:rsid w:val="00E84BD8"/>
    <w:rsid w:val="00E84C01"/>
    <w:rsid w:val="00E84C0F"/>
    <w:rsid w:val="00E84CB1"/>
    <w:rsid w:val="00E84E1E"/>
    <w:rsid w:val="00E84E20"/>
    <w:rsid w:val="00E84E26"/>
    <w:rsid w:val="00E84E63"/>
    <w:rsid w:val="00E84E66"/>
    <w:rsid w:val="00E84E82"/>
    <w:rsid w:val="00E84EC5"/>
    <w:rsid w:val="00E84EF5"/>
    <w:rsid w:val="00E84F0B"/>
    <w:rsid w:val="00E84F19"/>
    <w:rsid w:val="00E84F7B"/>
    <w:rsid w:val="00E84F9C"/>
    <w:rsid w:val="00E84FAC"/>
    <w:rsid w:val="00E84FBE"/>
    <w:rsid w:val="00E850A2"/>
    <w:rsid w:val="00E8511B"/>
    <w:rsid w:val="00E85153"/>
    <w:rsid w:val="00E851D5"/>
    <w:rsid w:val="00E851F9"/>
    <w:rsid w:val="00E85233"/>
    <w:rsid w:val="00E852C3"/>
    <w:rsid w:val="00E85306"/>
    <w:rsid w:val="00E85336"/>
    <w:rsid w:val="00E8533D"/>
    <w:rsid w:val="00E853B9"/>
    <w:rsid w:val="00E853F7"/>
    <w:rsid w:val="00E8542B"/>
    <w:rsid w:val="00E85472"/>
    <w:rsid w:val="00E85502"/>
    <w:rsid w:val="00E85509"/>
    <w:rsid w:val="00E8550E"/>
    <w:rsid w:val="00E85558"/>
    <w:rsid w:val="00E855E0"/>
    <w:rsid w:val="00E85626"/>
    <w:rsid w:val="00E8564A"/>
    <w:rsid w:val="00E856B9"/>
    <w:rsid w:val="00E85706"/>
    <w:rsid w:val="00E85717"/>
    <w:rsid w:val="00E85728"/>
    <w:rsid w:val="00E85736"/>
    <w:rsid w:val="00E85744"/>
    <w:rsid w:val="00E8576C"/>
    <w:rsid w:val="00E857BF"/>
    <w:rsid w:val="00E857F9"/>
    <w:rsid w:val="00E85844"/>
    <w:rsid w:val="00E85898"/>
    <w:rsid w:val="00E8590D"/>
    <w:rsid w:val="00E8598C"/>
    <w:rsid w:val="00E859AC"/>
    <w:rsid w:val="00E859DA"/>
    <w:rsid w:val="00E859ED"/>
    <w:rsid w:val="00E859F1"/>
    <w:rsid w:val="00E85A92"/>
    <w:rsid w:val="00E85AD7"/>
    <w:rsid w:val="00E85AE0"/>
    <w:rsid w:val="00E85B0D"/>
    <w:rsid w:val="00E85B17"/>
    <w:rsid w:val="00E85B4C"/>
    <w:rsid w:val="00E85B83"/>
    <w:rsid w:val="00E85C0C"/>
    <w:rsid w:val="00E85C1E"/>
    <w:rsid w:val="00E85C29"/>
    <w:rsid w:val="00E85C53"/>
    <w:rsid w:val="00E85CAB"/>
    <w:rsid w:val="00E85D91"/>
    <w:rsid w:val="00E85DAE"/>
    <w:rsid w:val="00E85DCC"/>
    <w:rsid w:val="00E85DED"/>
    <w:rsid w:val="00E85E2F"/>
    <w:rsid w:val="00E85EC2"/>
    <w:rsid w:val="00E85F8D"/>
    <w:rsid w:val="00E85F96"/>
    <w:rsid w:val="00E85F9C"/>
    <w:rsid w:val="00E8601B"/>
    <w:rsid w:val="00E8604F"/>
    <w:rsid w:val="00E8605D"/>
    <w:rsid w:val="00E860CA"/>
    <w:rsid w:val="00E860FD"/>
    <w:rsid w:val="00E86115"/>
    <w:rsid w:val="00E86163"/>
    <w:rsid w:val="00E86166"/>
    <w:rsid w:val="00E86198"/>
    <w:rsid w:val="00E8620F"/>
    <w:rsid w:val="00E86224"/>
    <w:rsid w:val="00E86271"/>
    <w:rsid w:val="00E862B8"/>
    <w:rsid w:val="00E862EB"/>
    <w:rsid w:val="00E862FD"/>
    <w:rsid w:val="00E8633D"/>
    <w:rsid w:val="00E8637E"/>
    <w:rsid w:val="00E863CB"/>
    <w:rsid w:val="00E8646A"/>
    <w:rsid w:val="00E864B3"/>
    <w:rsid w:val="00E864B9"/>
    <w:rsid w:val="00E864F7"/>
    <w:rsid w:val="00E8650C"/>
    <w:rsid w:val="00E8659C"/>
    <w:rsid w:val="00E865C8"/>
    <w:rsid w:val="00E8665D"/>
    <w:rsid w:val="00E8668B"/>
    <w:rsid w:val="00E866BD"/>
    <w:rsid w:val="00E8678D"/>
    <w:rsid w:val="00E867DF"/>
    <w:rsid w:val="00E867E8"/>
    <w:rsid w:val="00E8686F"/>
    <w:rsid w:val="00E86880"/>
    <w:rsid w:val="00E868D2"/>
    <w:rsid w:val="00E8690B"/>
    <w:rsid w:val="00E8697D"/>
    <w:rsid w:val="00E8698D"/>
    <w:rsid w:val="00E869BD"/>
    <w:rsid w:val="00E869C4"/>
    <w:rsid w:val="00E869EB"/>
    <w:rsid w:val="00E86B12"/>
    <w:rsid w:val="00E86B4F"/>
    <w:rsid w:val="00E86B86"/>
    <w:rsid w:val="00E86B94"/>
    <w:rsid w:val="00E86BCB"/>
    <w:rsid w:val="00E86C24"/>
    <w:rsid w:val="00E86C41"/>
    <w:rsid w:val="00E86C59"/>
    <w:rsid w:val="00E86C9D"/>
    <w:rsid w:val="00E86CFC"/>
    <w:rsid w:val="00E86D60"/>
    <w:rsid w:val="00E86DC9"/>
    <w:rsid w:val="00E86E05"/>
    <w:rsid w:val="00E86E24"/>
    <w:rsid w:val="00E86E29"/>
    <w:rsid w:val="00E86E45"/>
    <w:rsid w:val="00E86E6F"/>
    <w:rsid w:val="00E86ED6"/>
    <w:rsid w:val="00E86EFE"/>
    <w:rsid w:val="00E86F17"/>
    <w:rsid w:val="00E86F2D"/>
    <w:rsid w:val="00E86F78"/>
    <w:rsid w:val="00E86F7D"/>
    <w:rsid w:val="00E86FAF"/>
    <w:rsid w:val="00E8703A"/>
    <w:rsid w:val="00E87046"/>
    <w:rsid w:val="00E87068"/>
    <w:rsid w:val="00E87089"/>
    <w:rsid w:val="00E87090"/>
    <w:rsid w:val="00E870C1"/>
    <w:rsid w:val="00E870F2"/>
    <w:rsid w:val="00E8710E"/>
    <w:rsid w:val="00E8712D"/>
    <w:rsid w:val="00E87169"/>
    <w:rsid w:val="00E87191"/>
    <w:rsid w:val="00E871C8"/>
    <w:rsid w:val="00E871D6"/>
    <w:rsid w:val="00E87251"/>
    <w:rsid w:val="00E87368"/>
    <w:rsid w:val="00E87371"/>
    <w:rsid w:val="00E87372"/>
    <w:rsid w:val="00E8739B"/>
    <w:rsid w:val="00E873A0"/>
    <w:rsid w:val="00E873B6"/>
    <w:rsid w:val="00E873DE"/>
    <w:rsid w:val="00E873E7"/>
    <w:rsid w:val="00E87413"/>
    <w:rsid w:val="00E8743F"/>
    <w:rsid w:val="00E8745B"/>
    <w:rsid w:val="00E8752C"/>
    <w:rsid w:val="00E87532"/>
    <w:rsid w:val="00E875E8"/>
    <w:rsid w:val="00E875F0"/>
    <w:rsid w:val="00E87611"/>
    <w:rsid w:val="00E8764B"/>
    <w:rsid w:val="00E87673"/>
    <w:rsid w:val="00E8771C"/>
    <w:rsid w:val="00E87728"/>
    <w:rsid w:val="00E87774"/>
    <w:rsid w:val="00E87779"/>
    <w:rsid w:val="00E877A9"/>
    <w:rsid w:val="00E87883"/>
    <w:rsid w:val="00E878DA"/>
    <w:rsid w:val="00E87917"/>
    <w:rsid w:val="00E8798C"/>
    <w:rsid w:val="00E879BD"/>
    <w:rsid w:val="00E879FE"/>
    <w:rsid w:val="00E87A04"/>
    <w:rsid w:val="00E87A23"/>
    <w:rsid w:val="00E87A5B"/>
    <w:rsid w:val="00E87A87"/>
    <w:rsid w:val="00E87ABF"/>
    <w:rsid w:val="00E87ADB"/>
    <w:rsid w:val="00E87AFA"/>
    <w:rsid w:val="00E87BA0"/>
    <w:rsid w:val="00E87C5B"/>
    <w:rsid w:val="00E87C85"/>
    <w:rsid w:val="00E87CB8"/>
    <w:rsid w:val="00E87D06"/>
    <w:rsid w:val="00E87D14"/>
    <w:rsid w:val="00E87D19"/>
    <w:rsid w:val="00E87D53"/>
    <w:rsid w:val="00E87D6E"/>
    <w:rsid w:val="00E87D80"/>
    <w:rsid w:val="00E87D9A"/>
    <w:rsid w:val="00E87E13"/>
    <w:rsid w:val="00E87E86"/>
    <w:rsid w:val="00E87EAF"/>
    <w:rsid w:val="00E87F15"/>
    <w:rsid w:val="00E87F4B"/>
    <w:rsid w:val="00E87F66"/>
    <w:rsid w:val="00E87F77"/>
    <w:rsid w:val="00E87F7B"/>
    <w:rsid w:val="00E87FD2"/>
    <w:rsid w:val="00E90013"/>
    <w:rsid w:val="00E90021"/>
    <w:rsid w:val="00E90074"/>
    <w:rsid w:val="00E90075"/>
    <w:rsid w:val="00E900B5"/>
    <w:rsid w:val="00E900C4"/>
    <w:rsid w:val="00E90129"/>
    <w:rsid w:val="00E90198"/>
    <w:rsid w:val="00E901DA"/>
    <w:rsid w:val="00E901E4"/>
    <w:rsid w:val="00E90319"/>
    <w:rsid w:val="00E9036F"/>
    <w:rsid w:val="00E9045F"/>
    <w:rsid w:val="00E90496"/>
    <w:rsid w:val="00E9049B"/>
    <w:rsid w:val="00E9052D"/>
    <w:rsid w:val="00E90546"/>
    <w:rsid w:val="00E905C1"/>
    <w:rsid w:val="00E905EC"/>
    <w:rsid w:val="00E905ED"/>
    <w:rsid w:val="00E90608"/>
    <w:rsid w:val="00E90643"/>
    <w:rsid w:val="00E9066A"/>
    <w:rsid w:val="00E90676"/>
    <w:rsid w:val="00E9068D"/>
    <w:rsid w:val="00E906C1"/>
    <w:rsid w:val="00E90705"/>
    <w:rsid w:val="00E90722"/>
    <w:rsid w:val="00E9072F"/>
    <w:rsid w:val="00E9074C"/>
    <w:rsid w:val="00E907B7"/>
    <w:rsid w:val="00E907BA"/>
    <w:rsid w:val="00E907E5"/>
    <w:rsid w:val="00E90813"/>
    <w:rsid w:val="00E90858"/>
    <w:rsid w:val="00E9088D"/>
    <w:rsid w:val="00E908E3"/>
    <w:rsid w:val="00E908F8"/>
    <w:rsid w:val="00E908F9"/>
    <w:rsid w:val="00E90953"/>
    <w:rsid w:val="00E909D6"/>
    <w:rsid w:val="00E90A6B"/>
    <w:rsid w:val="00E90A80"/>
    <w:rsid w:val="00E90AC7"/>
    <w:rsid w:val="00E90AE5"/>
    <w:rsid w:val="00E90B38"/>
    <w:rsid w:val="00E90B44"/>
    <w:rsid w:val="00E90B5F"/>
    <w:rsid w:val="00E90B63"/>
    <w:rsid w:val="00E90C34"/>
    <w:rsid w:val="00E90C6B"/>
    <w:rsid w:val="00E90CAB"/>
    <w:rsid w:val="00E90D4C"/>
    <w:rsid w:val="00E90D66"/>
    <w:rsid w:val="00E90DF5"/>
    <w:rsid w:val="00E90E2E"/>
    <w:rsid w:val="00E90E43"/>
    <w:rsid w:val="00E90E44"/>
    <w:rsid w:val="00E90EB3"/>
    <w:rsid w:val="00E90ECD"/>
    <w:rsid w:val="00E90EDE"/>
    <w:rsid w:val="00E90F0D"/>
    <w:rsid w:val="00E9102A"/>
    <w:rsid w:val="00E9105E"/>
    <w:rsid w:val="00E910D4"/>
    <w:rsid w:val="00E9111E"/>
    <w:rsid w:val="00E9111F"/>
    <w:rsid w:val="00E91156"/>
    <w:rsid w:val="00E9116A"/>
    <w:rsid w:val="00E911A9"/>
    <w:rsid w:val="00E911C2"/>
    <w:rsid w:val="00E911FA"/>
    <w:rsid w:val="00E91234"/>
    <w:rsid w:val="00E9124A"/>
    <w:rsid w:val="00E9124C"/>
    <w:rsid w:val="00E9126A"/>
    <w:rsid w:val="00E91292"/>
    <w:rsid w:val="00E91338"/>
    <w:rsid w:val="00E9133D"/>
    <w:rsid w:val="00E91387"/>
    <w:rsid w:val="00E913BD"/>
    <w:rsid w:val="00E91431"/>
    <w:rsid w:val="00E9146C"/>
    <w:rsid w:val="00E914B0"/>
    <w:rsid w:val="00E9151A"/>
    <w:rsid w:val="00E9155F"/>
    <w:rsid w:val="00E915AA"/>
    <w:rsid w:val="00E91609"/>
    <w:rsid w:val="00E91612"/>
    <w:rsid w:val="00E9161A"/>
    <w:rsid w:val="00E9166B"/>
    <w:rsid w:val="00E91681"/>
    <w:rsid w:val="00E9169D"/>
    <w:rsid w:val="00E916F1"/>
    <w:rsid w:val="00E91707"/>
    <w:rsid w:val="00E91780"/>
    <w:rsid w:val="00E917FA"/>
    <w:rsid w:val="00E9182B"/>
    <w:rsid w:val="00E9183C"/>
    <w:rsid w:val="00E91885"/>
    <w:rsid w:val="00E918A8"/>
    <w:rsid w:val="00E9195A"/>
    <w:rsid w:val="00E91A24"/>
    <w:rsid w:val="00E91A3B"/>
    <w:rsid w:val="00E91AA9"/>
    <w:rsid w:val="00E91AD3"/>
    <w:rsid w:val="00E91AD7"/>
    <w:rsid w:val="00E91B3A"/>
    <w:rsid w:val="00E91B77"/>
    <w:rsid w:val="00E91B84"/>
    <w:rsid w:val="00E91BA0"/>
    <w:rsid w:val="00E91BD8"/>
    <w:rsid w:val="00E91BF9"/>
    <w:rsid w:val="00E91C38"/>
    <w:rsid w:val="00E91C4A"/>
    <w:rsid w:val="00E91C4E"/>
    <w:rsid w:val="00E91C8F"/>
    <w:rsid w:val="00E91D19"/>
    <w:rsid w:val="00E91D2D"/>
    <w:rsid w:val="00E91D46"/>
    <w:rsid w:val="00E91D50"/>
    <w:rsid w:val="00E91DF0"/>
    <w:rsid w:val="00E91E01"/>
    <w:rsid w:val="00E91EE9"/>
    <w:rsid w:val="00E91F0B"/>
    <w:rsid w:val="00E91FE6"/>
    <w:rsid w:val="00E92083"/>
    <w:rsid w:val="00E920B0"/>
    <w:rsid w:val="00E920B8"/>
    <w:rsid w:val="00E920F4"/>
    <w:rsid w:val="00E920F8"/>
    <w:rsid w:val="00E92106"/>
    <w:rsid w:val="00E92119"/>
    <w:rsid w:val="00E92124"/>
    <w:rsid w:val="00E92126"/>
    <w:rsid w:val="00E9212A"/>
    <w:rsid w:val="00E9212E"/>
    <w:rsid w:val="00E9217E"/>
    <w:rsid w:val="00E92193"/>
    <w:rsid w:val="00E9220E"/>
    <w:rsid w:val="00E92220"/>
    <w:rsid w:val="00E9223A"/>
    <w:rsid w:val="00E9225D"/>
    <w:rsid w:val="00E92295"/>
    <w:rsid w:val="00E92299"/>
    <w:rsid w:val="00E922B7"/>
    <w:rsid w:val="00E922C1"/>
    <w:rsid w:val="00E922D6"/>
    <w:rsid w:val="00E92349"/>
    <w:rsid w:val="00E92386"/>
    <w:rsid w:val="00E923B1"/>
    <w:rsid w:val="00E923CC"/>
    <w:rsid w:val="00E92404"/>
    <w:rsid w:val="00E92482"/>
    <w:rsid w:val="00E924A0"/>
    <w:rsid w:val="00E924C6"/>
    <w:rsid w:val="00E92570"/>
    <w:rsid w:val="00E92574"/>
    <w:rsid w:val="00E92592"/>
    <w:rsid w:val="00E9259C"/>
    <w:rsid w:val="00E925A2"/>
    <w:rsid w:val="00E925B3"/>
    <w:rsid w:val="00E925C5"/>
    <w:rsid w:val="00E92634"/>
    <w:rsid w:val="00E9264F"/>
    <w:rsid w:val="00E92670"/>
    <w:rsid w:val="00E92684"/>
    <w:rsid w:val="00E9269F"/>
    <w:rsid w:val="00E926BF"/>
    <w:rsid w:val="00E92724"/>
    <w:rsid w:val="00E927D7"/>
    <w:rsid w:val="00E928A6"/>
    <w:rsid w:val="00E9290E"/>
    <w:rsid w:val="00E9291B"/>
    <w:rsid w:val="00E9294A"/>
    <w:rsid w:val="00E9297C"/>
    <w:rsid w:val="00E92A27"/>
    <w:rsid w:val="00E92B48"/>
    <w:rsid w:val="00E92BFD"/>
    <w:rsid w:val="00E92C07"/>
    <w:rsid w:val="00E92C49"/>
    <w:rsid w:val="00E92C59"/>
    <w:rsid w:val="00E92C61"/>
    <w:rsid w:val="00E92C6C"/>
    <w:rsid w:val="00E92C80"/>
    <w:rsid w:val="00E92D55"/>
    <w:rsid w:val="00E92D73"/>
    <w:rsid w:val="00E92D74"/>
    <w:rsid w:val="00E92DB5"/>
    <w:rsid w:val="00E92DD0"/>
    <w:rsid w:val="00E92DF1"/>
    <w:rsid w:val="00E92E11"/>
    <w:rsid w:val="00E92E16"/>
    <w:rsid w:val="00E92E27"/>
    <w:rsid w:val="00E92E2B"/>
    <w:rsid w:val="00E92E77"/>
    <w:rsid w:val="00E92E9D"/>
    <w:rsid w:val="00E92EC2"/>
    <w:rsid w:val="00E92EC9"/>
    <w:rsid w:val="00E92F17"/>
    <w:rsid w:val="00E92F2E"/>
    <w:rsid w:val="00E93004"/>
    <w:rsid w:val="00E93077"/>
    <w:rsid w:val="00E9307C"/>
    <w:rsid w:val="00E9308C"/>
    <w:rsid w:val="00E93100"/>
    <w:rsid w:val="00E93108"/>
    <w:rsid w:val="00E93285"/>
    <w:rsid w:val="00E932EC"/>
    <w:rsid w:val="00E93343"/>
    <w:rsid w:val="00E9336C"/>
    <w:rsid w:val="00E933B5"/>
    <w:rsid w:val="00E933D5"/>
    <w:rsid w:val="00E93403"/>
    <w:rsid w:val="00E934C1"/>
    <w:rsid w:val="00E934F4"/>
    <w:rsid w:val="00E9352B"/>
    <w:rsid w:val="00E93593"/>
    <w:rsid w:val="00E93607"/>
    <w:rsid w:val="00E9364B"/>
    <w:rsid w:val="00E93669"/>
    <w:rsid w:val="00E9366D"/>
    <w:rsid w:val="00E936A7"/>
    <w:rsid w:val="00E93783"/>
    <w:rsid w:val="00E937B9"/>
    <w:rsid w:val="00E93846"/>
    <w:rsid w:val="00E9384E"/>
    <w:rsid w:val="00E93881"/>
    <w:rsid w:val="00E938EB"/>
    <w:rsid w:val="00E938EF"/>
    <w:rsid w:val="00E9395B"/>
    <w:rsid w:val="00E93968"/>
    <w:rsid w:val="00E939A0"/>
    <w:rsid w:val="00E939C0"/>
    <w:rsid w:val="00E939C9"/>
    <w:rsid w:val="00E939DD"/>
    <w:rsid w:val="00E93A04"/>
    <w:rsid w:val="00E93A2E"/>
    <w:rsid w:val="00E93A54"/>
    <w:rsid w:val="00E93A69"/>
    <w:rsid w:val="00E93A80"/>
    <w:rsid w:val="00E93ABE"/>
    <w:rsid w:val="00E93B33"/>
    <w:rsid w:val="00E93B9E"/>
    <w:rsid w:val="00E93C0A"/>
    <w:rsid w:val="00E93C73"/>
    <w:rsid w:val="00E93C78"/>
    <w:rsid w:val="00E93CCF"/>
    <w:rsid w:val="00E93CDE"/>
    <w:rsid w:val="00E93CF8"/>
    <w:rsid w:val="00E93D3F"/>
    <w:rsid w:val="00E93D72"/>
    <w:rsid w:val="00E93D7E"/>
    <w:rsid w:val="00E93E7C"/>
    <w:rsid w:val="00E93E8B"/>
    <w:rsid w:val="00E93ECB"/>
    <w:rsid w:val="00E93ECE"/>
    <w:rsid w:val="00E93ED5"/>
    <w:rsid w:val="00E93F1E"/>
    <w:rsid w:val="00E93F37"/>
    <w:rsid w:val="00E93F63"/>
    <w:rsid w:val="00E94008"/>
    <w:rsid w:val="00E94029"/>
    <w:rsid w:val="00E9407E"/>
    <w:rsid w:val="00E940FE"/>
    <w:rsid w:val="00E94115"/>
    <w:rsid w:val="00E9418E"/>
    <w:rsid w:val="00E941BD"/>
    <w:rsid w:val="00E941DD"/>
    <w:rsid w:val="00E9422D"/>
    <w:rsid w:val="00E94235"/>
    <w:rsid w:val="00E94264"/>
    <w:rsid w:val="00E94280"/>
    <w:rsid w:val="00E9430F"/>
    <w:rsid w:val="00E94324"/>
    <w:rsid w:val="00E9437E"/>
    <w:rsid w:val="00E943AC"/>
    <w:rsid w:val="00E943DB"/>
    <w:rsid w:val="00E944AB"/>
    <w:rsid w:val="00E944B1"/>
    <w:rsid w:val="00E944B6"/>
    <w:rsid w:val="00E944C8"/>
    <w:rsid w:val="00E94504"/>
    <w:rsid w:val="00E94523"/>
    <w:rsid w:val="00E945D5"/>
    <w:rsid w:val="00E94601"/>
    <w:rsid w:val="00E94604"/>
    <w:rsid w:val="00E94648"/>
    <w:rsid w:val="00E946B0"/>
    <w:rsid w:val="00E946EB"/>
    <w:rsid w:val="00E947C1"/>
    <w:rsid w:val="00E94838"/>
    <w:rsid w:val="00E94900"/>
    <w:rsid w:val="00E94912"/>
    <w:rsid w:val="00E94A27"/>
    <w:rsid w:val="00E94AA6"/>
    <w:rsid w:val="00E94AC9"/>
    <w:rsid w:val="00E94B7D"/>
    <w:rsid w:val="00E94BD6"/>
    <w:rsid w:val="00E94BF4"/>
    <w:rsid w:val="00E94C22"/>
    <w:rsid w:val="00E94CCC"/>
    <w:rsid w:val="00E94CCF"/>
    <w:rsid w:val="00E94CF0"/>
    <w:rsid w:val="00E94D12"/>
    <w:rsid w:val="00E94D2B"/>
    <w:rsid w:val="00E94D2D"/>
    <w:rsid w:val="00E94D6F"/>
    <w:rsid w:val="00E94D7E"/>
    <w:rsid w:val="00E94DE9"/>
    <w:rsid w:val="00E94E17"/>
    <w:rsid w:val="00E94E40"/>
    <w:rsid w:val="00E94E5B"/>
    <w:rsid w:val="00E94E60"/>
    <w:rsid w:val="00E94EB1"/>
    <w:rsid w:val="00E94EE8"/>
    <w:rsid w:val="00E95076"/>
    <w:rsid w:val="00E95120"/>
    <w:rsid w:val="00E95158"/>
    <w:rsid w:val="00E95171"/>
    <w:rsid w:val="00E9517E"/>
    <w:rsid w:val="00E95199"/>
    <w:rsid w:val="00E951E8"/>
    <w:rsid w:val="00E951FA"/>
    <w:rsid w:val="00E95211"/>
    <w:rsid w:val="00E95223"/>
    <w:rsid w:val="00E9524A"/>
    <w:rsid w:val="00E9524E"/>
    <w:rsid w:val="00E952BD"/>
    <w:rsid w:val="00E95338"/>
    <w:rsid w:val="00E9535B"/>
    <w:rsid w:val="00E9535F"/>
    <w:rsid w:val="00E953B3"/>
    <w:rsid w:val="00E953CE"/>
    <w:rsid w:val="00E953FD"/>
    <w:rsid w:val="00E95462"/>
    <w:rsid w:val="00E95482"/>
    <w:rsid w:val="00E954D3"/>
    <w:rsid w:val="00E95515"/>
    <w:rsid w:val="00E9551A"/>
    <w:rsid w:val="00E955BE"/>
    <w:rsid w:val="00E955E8"/>
    <w:rsid w:val="00E95606"/>
    <w:rsid w:val="00E9563B"/>
    <w:rsid w:val="00E95653"/>
    <w:rsid w:val="00E9566A"/>
    <w:rsid w:val="00E95722"/>
    <w:rsid w:val="00E95756"/>
    <w:rsid w:val="00E957DA"/>
    <w:rsid w:val="00E957DB"/>
    <w:rsid w:val="00E957F6"/>
    <w:rsid w:val="00E95828"/>
    <w:rsid w:val="00E9585D"/>
    <w:rsid w:val="00E95874"/>
    <w:rsid w:val="00E958B1"/>
    <w:rsid w:val="00E958C1"/>
    <w:rsid w:val="00E958DE"/>
    <w:rsid w:val="00E95947"/>
    <w:rsid w:val="00E95959"/>
    <w:rsid w:val="00E95988"/>
    <w:rsid w:val="00E959B0"/>
    <w:rsid w:val="00E959B1"/>
    <w:rsid w:val="00E959BD"/>
    <w:rsid w:val="00E959C5"/>
    <w:rsid w:val="00E959CF"/>
    <w:rsid w:val="00E959E6"/>
    <w:rsid w:val="00E95B3D"/>
    <w:rsid w:val="00E95B5E"/>
    <w:rsid w:val="00E95BB6"/>
    <w:rsid w:val="00E95C0F"/>
    <w:rsid w:val="00E95C54"/>
    <w:rsid w:val="00E95C82"/>
    <w:rsid w:val="00E95CA1"/>
    <w:rsid w:val="00E95D4F"/>
    <w:rsid w:val="00E95D84"/>
    <w:rsid w:val="00E95D88"/>
    <w:rsid w:val="00E95DAB"/>
    <w:rsid w:val="00E95DB3"/>
    <w:rsid w:val="00E95DFB"/>
    <w:rsid w:val="00E95E51"/>
    <w:rsid w:val="00E95E5F"/>
    <w:rsid w:val="00E95EAE"/>
    <w:rsid w:val="00E95F4E"/>
    <w:rsid w:val="00E95F59"/>
    <w:rsid w:val="00E95F73"/>
    <w:rsid w:val="00E95FFE"/>
    <w:rsid w:val="00E96033"/>
    <w:rsid w:val="00E96098"/>
    <w:rsid w:val="00E960B0"/>
    <w:rsid w:val="00E961B8"/>
    <w:rsid w:val="00E962C0"/>
    <w:rsid w:val="00E962E7"/>
    <w:rsid w:val="00E96310"/>
    <w:rsid w:val="00E96325"/>
    <w:rsid w:val="00E96341"/>
    <w:rsid w:val="00E9636D"/>
    <w:rsid w:val="00E96382"/>
    <w:rsid w:val="00E963A0"/>
    <w:rsid w:val="00E963CC"/>
    <w:rsid w:val="00E96414"/>
    <w:rsid w:val="00E9643E"/>
    <w:rsid w:val="00E9644C"/>
    <w:rsid w:val="00E96482"/>
    <w:rsid w:val="00E964CC"/>
    <w:rsid w:val="00E964CD"/>
    <w:rsid w:val="00E964F4"/>
    <w:rsid w:val="00E9659B"/>
    <w:rsid w:val="00E96603"/>
    <w:rsid w:val="00E9664A"/>
    <w:rsid w:val="00E966B4"/>
    <w:rsid w:val="00E966E9"/>
    <w:rsid w:val="00E9671E"/>
    <w:rsid w:val="00E96725"/>
    <w:rsid w:val="00E96752"/>
    <w:rsid w:val="00E9677F"/>
    <w:rsid w:val="00E967DC"/>
    <w:rsid w:val="00E967F6"/>
    <w:rsid w:val="00E9680B"/>
    <w:rsid w:val="00E9686F"/>
    <w:rsid w:val="00E9688B"/>
    <w:rsid w:val="00E968A1"/>
    <w:rsid w:val="00E968BF"/>
    <w:rsid w:val="00E968D2"/>
    <w:rsid w:val="00E968D9"/>
    <w:rsid w:val="00E969BC"/>
    <w:rsid w:val="00E969D0"/>
    <w:rsid w:val="00E96A19"/>
    <w:rsid w:val="00E96A5F"/>
    <w:rsid w:val="00E96A99"/>
    <w:rsid w:val="00E96AE9"/>
    <w:rsid w:val="00E96B2F"/>
    <w:rsid w:val="00E96B58"/>
    <w:rsid w:val="00E96B90"/>
    <w:rsid w:val="00E96BC5"/>
    <w:rsid w:val="00E96BCB"/>
    <w:rsid w:val="00E96BD7"/>
    <w:rsid w:val="00E96BFE"/>
    <w:rsid w:val="00E96C40"/>
    <w:rsid w:val="00E96C64"/>
    <w:rsid w:val="00E96C7A"/>
    <w:rsid w:val="00E96C8D"/>
    <w:rsid w:val="00E96D05"/>
    <w:rsid w:val="00E96D41"/>
    <w:rsid w:val="00E96E3D"/>
    <w:rsid w:val="00E96E6E"/>
    <w:rsid w:val="00E96F57"/>
    <w:rsid w:val="00E96FC8"/>
    <w:rsid w:val="00E96FD7"/>
    <w:rsid w:val="00E96FF9"/>
    <w:rsid w:val="00E970CC"/>
    <w:rsid w:val="00E970EB"/>
    <w:rsid w:val="00E97131"/>
    <w:rsid w:val="00E97144"/>
    <w:rsid w:val="00E97169"/>
    <w:rsid w:val="00E9718A"/>
    <w:rsid w:val="00E971C1"/>
    <w:rsid w:val="00E971CB"/>
    <w:rsid w:val="00E971D7"/>
    <w:rsid w:val="00E9720E"/>
    <w:rsid w:val="00E9725E"/>
    <w:rsid w:val="00E97295"/>
    <w:rsid w:val="00E972B1"/>
    <w:rsid w:val="00E9733B"/>
    <w:rsid w:val="00E97380"/>
    <w:rsid w:val="00E973ED"/>
    <w:rsid w:val="00E9741E"/>
    <w:rsid w:val="00E97428"/>
    <w:rsid w:val="00E97440"/>
    <w:rsid w:val="00E97544"/>
    <w:rsid w:val="00E975BA"/>
    <w:rsid w:val="00E97670"/>
    <w:rsid w:val="00E97686"/>
    <w:rsid w:val="00E97695"/>
    <w:rsid w:val="00E97718"/>
    <w:rsid w:val="00E97725"/>
    <w:rsid w:val="00E9773E"/>
    <w:rsid w:val="00E977BF"/>
    <w:rsid w:val="00E977D3"/>
    <w:rsid w:val="00E97858"/>
    <w:rsid w:val="00E97871"/>
    <w:rsid w:val="00E97893"/>
    <w:rsid w:val="00E9793B"/>
    <w:rsid w:val="00E9794A"/>
    <w:rsid w:val="00E97959"/>
    <w:rsid w:val="00E979C2"/>
    <w:rsid w:val="00E979DC"/>
    <w:rsid w:val="00E97A07"/>
    <w:rsid w:val="00E97A0A"/>
    <w:rsid w:val="00E97AA9"/>
    <w:rsid w:val="00E97AB7"/>
    <w:rsid w:val="00E97AF4"/>
    <w:rsid w:val="00E97B33"/>
    <w:rsid w:val="00E97B59"/>
    <w:rsid w:val="00E97B5F"/>
    <w:rsid w:val="00E97BDC"/>
    <w:rsid w:val="00E97C2A"/>
    <w:rsid w:val="00E97C7A"/>
    <w:rsid w:val="00E97CD5"/>
    <w:rsid w:val="00E97CE3"/>
    <w:rsid w:val="00E97D17"/>
    <w:rsid w:val="00E97D21"/>
    <w:rsid w:val="00E97D27"/>
    <w:rsid w:val="00E97D2E"/>
    <w:rsid w:val="00E97D31"/>
    <w:rsid w:val="00E97D37"/>
    <w:rsid w:val="00E97D3F"/>
    <w:rsid w:val="00E97D49"/>
    <w:rsid w:val="00E97D4E"/>
    <w:rsid w:val="00E97D71"/>
    <w:rsid w:val="00E97D73"/>
    <w:rsid w:val="00E97DD0"/>
    <w:rsid w:val="00E97DF5"/>
    <w:rsid w:val="00E97DF9"/>
    <w:rsid w:val="00E97E21"/>
    <w:rsid w:val="00E97E3A"/>
    <w:rsid w:val="00E97ECA"/>
    <w:rsid w:val="00E97ED6"/>
    <w:rsid w:val="00E97F74"/>
    <w:rsid w:val="00E97FCD"/>
    <w:rsid w:val="00E97FD3"/>
    <w:rsid w:val="00E97FE8"/>
    <w:rsid w:val="00EA000F"/>
    <w:rsid w:val="00EA0065"/>
    <w:rsid w:val="00EA006B"/>
    <w:rsid w:val="00EA008B"/>
    <w:rsid w:val="00EA00B9"/>
    <w:rsid w:val="00EA00BC"/>
    <w:rsid w:val="00EA01AE"/>
    <w:rsid w:val="00EA01B3"/>
    <w:rsid w:val="00EA01DD"/>
    <w:rsid w:val="00EA01E1"/>
    <w:rsid w:val="00EA01EC"/>
    <w:rsid w:val="00EA027F"/>
    <w:rsid w:val="00EA02AD"/>
    <w:rsid w:val="00EA02EA"/>
    <w:rsid w:val="00EA0308"/>
    <w:rsid w:val="00EA0401"/>
    <w:rsid w:val="00EA042B"/>
    <w:rsid w:val="00EA042F"/>
    <w:rsid w:val="00EA044F"/>
    <w:rsid w:val="00EA0468"/>
    <w:rsid w:val="00EA04C2"/>
    <w:rsid w:val="00EA04D4"/>
    <w:rsid w:val="00EA0536"/>
    <w:rsid w:val="00EA055A"/>
    <w:rsid w:val="00EA0579"/>
    <w:rsid w:val="00EA0583"/>
    <w:rsid w:val="00EA059C"/>
    <w:rsid w:val="00EA05AE"/>
    <w:rsid w:val="00EA0639"/>
    <w:rsid w:val="00EA06A2"/>
    <w:rsid w:val="00EA06D6"/>
    <w:rsid w:val="00EA06E0"/>
    <w:rsid w:val="00EA0769"/>
    <w:rsid w:val="00EA078D"/>
    <w:rsid w:val="00EA07C6"/>
    <w:rsid w:val="00EA07ED"/>
    <w:rsid w:val="00EA0818"/>
    <w:rsid w:val="00EA0848"/>
    <w:rsid w:val="00EA08A3"/>
    <w:rsid w:val="00EA08B4"/>
    <w:rsid w:val="00EA08FB"/>
    <w:rsid w:val="00EA090F"/>
    <w:rsid w:val="00EA093F"/>
    <w:rsid w:val="00EA09B8"/>
    <w:rsid w:val="00EA0A17"/>
    <w:rsid w:val="00EA0A41"/>
    <w:rsid w:val="00EA0A62"/>
    <w:rsid w:val="00EA0A7F"/>
    <w:rsid w:val="00EA0AC0"/>
    <w:rsid w:val="00EA0AF4"/>
    <w:rsid w:val="00EA0B30"/>
    <w:rsid w:val="00EA0BAB"/>
    <w:rsid w:val="00EA0BCD"/>
    <w:rsid w:val="00EA0BF9"/>
    <w:rsid w:val="00EA0C17"/>
    <w:rsid w:val="00EA0C3F"/>
    <w:rsid w:val="00EA0C9C"/>
    <w:rsid w:val="00EA0CA8"/>
    <w:rsid w:val="00EA0CAE"/>
    <w:rsid w:val="00EA0CE1"/>
    <w:rsid w:val="00EA0CF3"/>
    <w:rsid w:val="00EA0D2A"/>
    <w:rsid w:val="00EA0D58"/>
    <w:rsid w:val="00EA0E04"/>
    <w:rsid w:val="00EA0E66"/>
    <w:rsid w:val="00EA0E96"/>
    <w:rsid w:val="00EA0EB6"/>
    <w:rsid w:val="00EA0EE0"/>
    <w:rsid w:val="00EA0EF6"/>
    <w:rsid w:val="00EA0F2A"/>
    <w:rsid w:val="00EA0F44"/>
    <w:rsid w:val="00EA0F6B"/>
    <w:rsid w:val="00EA0F99"/>
    <w:rsid w:val="00EA0FD5"/>
    <w:rsid w:val="00EA1026"/>
    <w:rsid w:val="00EA1038"/>
    <w:rsid w:val="00EA1048"/>
    <w:rsid w:val="00EA1057"/>
    <w:rsid w:val="00EA10B9"/>
    <w:rsid w:val="00EA117B"/>
    <w:rsid w:val="00EA118A"/>
    <w:rsid w:val="00EA1207"/>
    <w:rsid w:val="00EA1239"/>
    <w:rsid w:val="00EA1248"/>
    <w:rsid w:val="00EA1265"/>
    <w:rsid w:val="00EA138E"/>
    <w:rsid w:val="00EA1408"/>
    <w:rsid w:val="00EA1417"/>
    <w:rsid w:val="00EA1424"/>
    <w:rsid w:val="00EA1448"/>
    <w:rsid w:val="00EA1468"/>
    <w:rsid w:val="00EA14B1"/>
    <w:rsid w:val="00EA150B"/>
    <w:rsid w:val="00EA154F"/>
    <w:rsid w:val="00EA1602"/>
    <w:rsid w:val="00EA1605"/>
    <w:rsid w:val="00EA16FC"/>
    <w:rsid w:val="00EA1783"/>
    <w:rsid w:val="00EA1797"/>
    <w:rsid w:val="00EA17B8"/>
    <w:rsid w:val="00EA182B"/>
    <w:rsid w:val="00EA184B"/>
    <w:rsid w:val="00EA1857"/>
    <w:rsid w:val="00EA18CA"/>
    <w:rsid w:val="00EA18D6"/>
    <w:rsid w:val="00EA1939"/>
    <w:rsid w:val="00EA1996"/>
    <w:rsid w:val="00EA19CE"/>
    <w:rsid w:val="00EA1A2F"/>
    <w:rsid w:val="00EA1A98"/>
    <w:rsid w:val="00EA1AE8"/>
    <w:rsid w:val="00EA1B2A"/>
    <w:rsid w:val="00EA1B2E"/>
    <w:rsid w:val="00EA1B66"/>
    <w:rsid w:val="00EA1BB0"/>
    <w:rsid w:val="00EA1BEC"/>
    <w:rsid w:val="00EA1C0A"/>
    <w:rsid w:val="00EA1CC8"/>
    <w:rsid w:val="00EA1CDD"/>
    <w:rsid w:val="00EA1CE7"/>
    <w:rsid w:val="00EA1D18"/>
    <w:rsid w:val="00EA1D65"/>
    <w:rsid w:val="00EA1D77"/>
    <w:rsid w:val="00EA1DA2"/>
    <w:rsid w:val="00EA1DC4"/>
    <w:rsid w:val="00EA1E3D"/>
    <w:rsid w:val="00EA1E74"/>
    <w:rsid w:val="00EA1E75"/>
    <w:rsid w:val="00EA1EB5"/>
    <w:rsid w:val="00EA1EBF"/>
    <w:rsid w:val="00EA1F47"/>
    <w:rsid w:val="00EA1F63"/>
    <w:rsid w:val="00EA1FBA"/>
    <w:rsid w:val="00EA1FD5"/>
    <w:rsid w:val="00EA1FFE"/>
    <w:rsid w:val="00EA20EE"/>
    <w:rsid w:val="00EA2101"/>
    <w:rsid w:val="00EA2104"/>
    <w:rsid w:val="00EA2156"/>
    <w:rsid w:val="00EA2191"/>
    <w:rsid w:val="00EA2267"/>
    <w:rsid w:val="00EA22D1"/>
    <w:rsid w:val="00EA237A"/>
    <w:rsid w:val="00EA237D"/>
    <w:rsid w:val="00EA2387"/>
    <w:rsid w:val="00EA23A0"/>
    <w:rsid w:val="00EA23B8"/>
    <w:rsid w:val="00EA23C8"/>
    <w:rsid w:val="00EA2410"/>
    <w:rsid w:val="00EA2473"/>
    <w:rsid w:val="00EA2481"/>
    <w:rsid w:val="00EA2491"/>
    <w:rsid w:val="00EA24B9"/>
    <w:rsid w:val="00EA2543"/>
    <w:rsid w:val="00EA2597"/>
    <w:rsid w:val="00EA25F4"/>
    <w:rsid w:val="00EA2662"/>
    <w:rsid w:val="00EA26AA"/>
    <w:rsid w:val="00EA27FD"/>
    <w:rsid w:val="00EA27FF"/>
    <w:rsid w:val="00EA284E"/>
    <w:rsid w:val="00EA288F"/>
    <w:rsid w:val="00EA2922"/>
    <w:rsid w:val="00EA293A"/>
    <w:rsid w:val="00EA294C"/>
    <w:rsid w:val="00EA2958"/>
    <w:rsid w:val="00EA2AC1"/>
    <w:rsid w:val="00EA2B45"/>
    <w:rsid w:val="00EA2BF0"/>
    <w:rsid w:val="00EA2C10"/>
    <w:rsid w:val="00EA2C17"/>
    <w:rsid w:val="00EA2C1D"/>
    <w:rsid w:val="00EA2C2A"/>
    <w:rsid w:val="00EA2C39"/>
    <w:rsid w:val="00EA2C68"/>
    <w:rsid w:val="00EA2D47"/>
    <w:rsid w:val="00EA2D4F"/>
    <w:rsid w:val="00EA2DDE"/>
    <w:rsid w:val="00EA2E2D"/>
    <w:rsid w:val="00EA2E3B"/>
    <w:rsid w:val="00EA2F20"/>
    <w:rsid w:val="00EA2F34"/>
    <w:rsid w:val="00EA2F97"/>
    <w:rsid w:val="00EA2FAE"/>
    <w:rsid w:val="00EA2FAF"/>
    <w:rsid w:val="00EA31CF"/>
    <w:rsid w:val="00EA31DE"/>
    <w:rsid w:val="00EA322E"/>
    <w:rsid w:val="00EA3285"/>
    <w:rsid w:val="00EA329F"/>
    <w:rsid w:val="00EA32BB"/>
    <w:rsid w:val="00EA32E4"/>
    <w:rsid w:val="00EA3391"/>
    <w:rsid w:val="00EA3393"/>
    <w:rsid w:val="00EA33AF"/>
    <w:rsid w:val="00EA33DE"/>
    <w:rsid w:val="00EA33F7"/>
    <w:rsid w:val="00EA3581"/>
    <w:rsid w:val="00EA3587"/>
    <w:rsid w:val="00EA35A3"/>
    <w:rsid w:val="00EA35C5"/>
    <w:rsid w:val="00EA3608"/>
    <w:rsid w:val="00EA3615"/>
    <w:rsid w:val="00EA3623"/>
    <w:rsid w:val="00EA3657"/>
    <w:rsid w:val="00EA3690"/>
    <w:rsid w:val="00EA36B7"/>
    <w:rsid w:val="00EA37C2"/>
    <w:rsid w:val="00EA37DA"/>
    <w:rsid w:val="00EA37F9"/>
    <w:rsid w:val="00EA3875"/>
    <w:rsid w:val="00EA3918"/>
    <w:rsid w:val="00EA3919"/>
    <w:rsid w:val="00EA3945"/>
    <w:rsid w:val="00EA397A"/>
    <w:rsid w:val="00EA3996"/>
    <w:rsid w:val="00EA39A0"/>
    <w:rsid w:val="00EA3A0F"/>
    <w:rsid w:val="00EA3A7F"/>
    <w:rsid w:val="00EA3A8B"/>
    <w:rsid w:val="00EA3A94"/>
    <w:rsid w:val="00EA3AB1"/>
    <w:rsid w:val="00EA3AEF"/>
    <w:rsid w:val="00EA3AF0"/>
    <w:rsid w:val="00EA3B8E"/>
    <w:rsid w:val="00EA3B92"/>
    <w:rsid w:val="00EA3BB6"/>
    <w:rsid w:val="00EA3C93"/>
    <w:rsid w:val="00EA3D14"/>
    <w:rsid w:val="00EA3DAD"/>
    <w:rsid w:val="00EA3DB1"/>
    <w:rsid w:val="00EA3DEA"/>
    <w:rsid w:val="00EA3E00"/>
    <w:rsid w:val="00EA3E49"/>
    <w:rsid w:val="00EA3EBB"/>
    <w:rsid w:val="00EA3ECB"/>
    <w:rsid w:val="00EA3EDD"/>
    <w:rsid w:val="00EA3EE8"/>
    <w:rsid w:val="00EA3F16"/>
    <w:rsid w:val="00EA3F28"/>
    <w:rsid w:val="00EA3FD7"/>
    <w:rsid w:val="00EA4032"/>
    <w:rsid w:val="00EA40BA"/>
    <w:rsid w:val="00EA40D4"/>
    <w:rsid w:val="00EA40E0"/>
    <w:rsid w:val="00EA40E8"/>
    <w:rsid w:val="00EA4109"/>
    <w:rsid w:val="00EA4176"/>
    <w:rsid w:val="00EA417C"/>
    <w:rsid w:val="00EA41B1"/>
    <w:rsid w:val="00EA41BF"/>
    <w:rsid w:val="00EA4219"/>
    <w:rsid w:val="00EA42C2"/>
    <w:rsid w:val="00EA42E8"/>
    <w:rsid w:val="00EA42FB"/>
    <w:rsid w:val="00EA4336"/>
    <w:rsid w:val="00EA437C"/>
    <w:rsid w:val="00EA4426"/>
    <w:rsid w:val="00EA448B"/>
    <w:rsid w:val="00EA4491"/>
    <w:rsid w:val="00EA4497"/>
    <w:rsid w:val="00EA44B2"/>
    <w:rsid w:val="00EA44E0"/>
    <w:rsid w:val="00EA4519"/>
    <w:rsid w:val="00EA457E"/>
    <w:rsid w:val="00EA458E"/>
    <w:rsid w:val="00EA45AB"/>
    <w:rsid w:val="00EA45E4"/>
    <w:rsid w:val="00EA4607"/>
    <w:rsid w:val="00EA4626"/>
    <w:rsid w:val="00EA4682"/>
    <w:rsid w:val="00EA4701"/>
    <w:rsid w:val="00EA4707"/>
    <w:rsid w:val="00EA4764"/>
    <w:rsid w:val="00EA47E5"/>
    <w:rsid w:val="00EA47F5"/>
    <w:rsid w:val="00EA4850"/>
    <w:rsid w:val="00EA488B"/>
    <w:rsid w:val="00EA48F4"/>
    <w:rsid w:val="00EA4993"/>
    <w:rsid w:val="00EA4AB7"/>
    <w:rsid w:val="00EA4AD8"/>
    <w:rsid w:val="00EA4AF6"/>
    <w:rsid w:val="00EA4BA7"/>
    <w:rsid w:val="00EA4C3A"/>
    <w:rsid w:val="00EA4CB0"/>
    <w:rsid w:val="00EA4D10"/>
    <w:rsid w:val="00EA4D2D"/>
    <w:rsid w:val="00EA4D84"/>
    <w:rsid w:val="00EA4DC0"/>
    <w:rsid w:val="00EA4E1B"/>
    <w:rsid w:val="00EA4E7F"/>
    <w:rsid w:val="00EA4F59"/>
    <w:rsid w:val="00EA4F60"/>
    <w:rsid w:val="00EA4F69"/>
    <w:rsid w:val="00EA4F92"/>
    <w:rsid w:val="00EA4FEB"/>
    <w:rsid w:val="00EA5063"/>
    <w:rsid w:val="00EA507C"/>
    <w:rsid w:val="00EA508D"/>
    <w:rsid w:val="00EA50AE"/>
    <w:rsid w:val="00EA50C5"/>
    <w:rsid w:val="00EA5101"/>
    <w:rsid w:val="00EA5106"/>
    <w:rsid w:val="00EA5110"/>
    <w:rsid w:val="00EA5172"/>
    <w:rsid w:val="00EA5198"/>
    <w:rsid w:val="00EA5241"/>
    <w:rsid w:val="00EA526B"/>
    <w:rsid w:val="00EA526D"/>
    <w:rsid w:val="00EA5295"/>
    <w:rsid w:val="00EA52A1"/>
    <w:rsid w:val="00EA5388"/>
    <w:rsid w:val="00EA53BD"/>
    <w:rsid w:val="00EA53CC"/>
    <w:rsid w:val="00EA5416"/>
    <w:rsid w:val="00EA5461"/>
    <w:rsid w:val="00EA5469"/>
    <w:rsid w:val="00EA555E"/>
    <w:rsid w:val="00EA556B"/>
    <w:rsid w:val="00EA55EA"/>
    <w:rsid w:val="00EA5631"/>
    <w:rsid w:val="00EA564D"/>
    <w:rsid w:val="00EA5671"/>
    <w:rsid w:val="00EA5705"/>
    <w:rsid w:val="00EA5714"/>
    <w:rsid w:val="00EA5783"/>
    <w:rsid w:val="00EA57BA"/>
    <w:rsid w:val="00EA57FB"/>
    <w:rsid w:val="00EA584D"/>
    <w:rsid w:val="00EA588B"/>
    <w:rsid w:val="00EA5897"/>
    <w:rsid w:val="00EA59D0"/>
    <w:rsid w:val="00EA59FB"/>
    <w:rsid w:val="00EA5A1F"/>
    <w:rsid w:val="00EA5A82"/>
    <w:rsid w:val="00EA5A97"/>
    <w:rsid w:val="00EA5AF9"/>
    <w:rsid w:val="00EA5B00"/>
    <w:rsid w:val="00EA5C53"/>
    <w:rsid w:val="00EA5C5A"/>
    <w:rsid w:val="00EA5C5F"/>
    <w:rsid w:val="00EA5C89"/>
    <w:rsid w:val="00EA5CA0"/>
    <w:rsid w:val="00EA5D16"/>
    <w:rsid w:val="00EA5DA0"/>
    <w:rsid w:val="00EA5DA9"/>
    <w:rsid w:val="00EA5DD0"/>
    <w:rsid w:val="00EA5DFB"/>
    <w:rsid w:val="00EA5E07"/>
    <w:rsid w:val="00EA5E0F"/>
    <w:rsid w:val="00EA5E2C"/>
    <w:rsid w:val="00EA5E4C"/>
    <w:rsid w:val="00EA5E4F"/>
    <w:rsid w:val="00EA5E64"/>
    <w:rsid w:val="00EA5E8D"/>
    <w:rsid w:val="00EA5F2E"/>
    <w:rsid w:val="00EA5F79"/>
    <w:rsid w:val="00EA5FB0"/>
    <w:rsid w:val="00EA6014"/>
    <w:rsid w:val="00EA603E"/>
    <w:rsid w:val="00EA6064"/>
    <w:rsid w:val="00EA609D"/>
    <w:rsid w:val="00EA619A"/>
    <w:rsid w:val="00EA61A3"/>
    <w:rsid w:val="00EA61CA"/>
    <w:rsid w:val="00EA61DD"/>
    <w:rsid w:val="00EA61FD"/>
    <w:rsid w:val="00EA6205"/>
    <w:rsid w:val="00EA6207"/>
    <w:rsid w:val="00EA6221"/>
    <w:rsid w:val="00EA6228"/>
    <w:rsid w:val="00EA6272"/>
    <w:rsid w:val="00EA62FE"/>
    <w:rsid w:val="00EA6357"/>
    <w:rsid w:val="00EA63A1"/>
    <w:rsid w:val="00EA6404"/>
    <w:rsid w:val="00EA6445"/>
    <w:rsid w:val="00EA6450"/>
    <w:rsid w:val="00EA648B"/>
    <w:rsid w:val="00EA6515"/>
    <w:rsid w:val="00EA651B"/>
    <w:rsid w:val="00EA65BD"/>
    <w:rsid w:val="00EA65C9"/>
    <w:rsid w:val="00EA65F2"/>
    <w:rsid w:val="00EA6628"/>
    <w:rsid w:val="00EA6661"/>
    <w:rsid w:val="00EA6688"/>
    <w:rsid w:val="00EA66D5"/>
    <w:rsid w:val="00EA6733"/>
    <w:rsid w:val="00EA6886"/>
    <w:rsid w:val="00EA68E4"/>
    <w:rsid w:val="00EA68FA"/>
    <w:rsid w:val="00EA6922"/>
    <w:rsid w:val="00EA6951"/>
    <w:rsid w:val="00EA695B"/>
    <w:rsid w:val="00EA696A"/>
    <w:rsid w:val="00EA698A"/>
    <w:rsid w:val="00EA699A"/>
    <w:rsid w:val="00EA6A50"/>
    <w:rsid w:val="00EA6A62"/>
    <w:rsid w:val="00EA6B7D"/>
    <w:rsid w:val="00EA6B82"/>
    <w:rsid w:val="00EA6BA0"/>
    <w:rsid w:val="00EA6BAE"/>
    <w:rsid w:val="00EA6C1C"/>
    <w:rsid w:val="00EA6C1F"/>
    <w:rsid w:val="00EA6CF2"/>
    <w:rsid w:val="00EA6D0E"/>
    <w:rsid w:val="00EA6DE8"/>
    <w:rsid w:val="00EA6E30"/>
    <w:rsid w:val="00EA704E"/>
    <w:rsid w:val="00EA706F"/>
    <w:rsid w:val="00EA708A"/>
    <w:rsid w:val="00EA70F3"/>
    <w:rsid w:val="00EA711D"/>
    <w:rsid w:val="00EA7174"/>
    <w:rsid w:val="00EA71C5"/>
    <w:rsid w:val="00EA71C9"/>
    <w:rsid w:val="00EA7238"/>
    <w:rsid w:val="00EA7252"/>
    <w:rsid w:val="00EA7281"/>
    <w:rsid w:val="00EA72CB"/>
    <w:rsid w:val="00EA7300"/>
    <w:rsid w:val="00EA7313"/>
    <w:rsid w:val="00EA73A3"/>
    <w:rsid w:val="00EA7404"/>
    <w:rsid w:val="00EA740B"/>
    <w:rsid w:val="00EA741B"/>
    <w:rsid w:val="00EA74BA"/>
    <w:rsid w:val="00EA74C1"/>
    <w:rsid w:val="00EA74F3"/>
    <w:rsid w:val="00EA7502"/>
    <w:rsid w:val="00EA7517"/>
    <w:rsid w:val="00EA755A"/>
    <w:rsid w:val="00EA755D"/>
    <w:rsid w:val="00EA7564"/>
    <w:rsid w:val="00EA7565"/>
    <w:rsid w:val="00EA75AF"/>
    <w:rsid w:val="00EA75DC"/>
    <w:rsid w:val="00EA7605"/>
    <w:rsid w:val="00EA761C"/>
    <w:rsid w:val="00EA7638"/>
    <w:rsid w:val="00EA7667"/>
    <w:rsid w:val="00EA767F"/>
    <w:rsid w:val="00EA7683"/>
    <w:rsid w:val="00EA76D3"/>
    <w:rsid w:val="00EA76E2"/>
    <w:rsid w:val="00EA76E6"/>
    <w:rsid w:val="00EA7736"/>
    <w:rsid w:val="00EA7766"/>
    <w:rsid w:val="00EA7784"/>
    <w:rsid w:val="00EA77C4"/>
    <w:rsid w:val="00EA77C5"/>
    <w:rsid w:val="00EA77C7"/>
    <w:rsid w:val="00EA77E4"/>
    <w:rsid w:val="00EA7815"/>
    <w:rsid w:val="00EA789B"/>
    <w:rsid w:val="00EA789C"/>
    <w:rsid w:val="00EA78C5"/>
    <w:rsid w:val="00EA78E2"/>
    <w:rsid w:val="00EA790A"/>
    <w:rsid w:val="00EA790F"/>
    <w:rsid w:val="00EA795E"/>
    <w:rsid w:val="00EA7976"/>
    <w:rsid w:val="00EA799F"/>
    <w:rsid w:val="00EA7A92"/>
    <w:rsid w:val="00EA7A93"/>
    <w:rsid w:val="00EA7AAD"/>
    <w:rsid w:val="00EA7AD5"/>
    <w:rsid w:val="00EA7B13"/>
    <w:rsid w:val="00EA7B38"/>
    <w:rsid w:val="00EA7B39"/>
    <w:rsid w:val="00EA7B7E"/>
    <w:rsid w:val="00EA7BA5"/>
    <w:rsid w:val="00EA7BD7"/>
    <w:rsid w:val="00EA7BDD"/>
    <w:rsid w:val="00EA7C07"/>
    <w:rsid w:val="00EA7C0B"/>
    <w:rsid w:val="00EA7C2D"/>
    <w:rsid w:val="00EA7D12"/>
    <w:rsid w:val="00EA7E86"/>
    <w:rsid w:val="00EA7E8E"/>
    <w:rsid w:val="00EA7E99"/>
    <w:rsid w:val="00EA7ECF"/>
    <w:rsid w:val="00EA7EE8"/>
    <w:rsid w:val="00EA7F11"/>
    <w:rsid w:val="00EA7F6E"/>
    <w:rsid w:val="00EA7F85"/>
    <w:rsid w:val="00EA7F87"/>
    <w:rsid w:val="00EA9AE5"/>
    <w:rsid w:val="00EB0029"/>
    <w:rsid w:val="00EB004D"/>
    <w:rsid w:val="00EB0091"/>
    <w:rsid w:val="00EB00A7"/>
    <w:rsid w:val="00EB0127"/>
    <w:rsid w:val="00EB017B"/>
    <w:rsid w:val="00EB017E"/>
    <w:rsid w:val="00EB0182"/>
    <w:rsid w:val="00EB01B7"/>
    <w:rsid w:val="00EB01D6"/>
    <w:rsid w:val="00EB020F"/>
    <w:rsid w:val="00EB0237"/>
    <w:rsid w:val="00EB0267"/>
    <w:rsid w:val="00EB0296"/>
    <w:rsid w:val="00EB02A8"/>
    <w:rsid w:val="00EB02AD"/>
    <w:rsid w:val="00EB02F5"/>
    <w:rsid w:val="00EB0308"/>
    <w:rsid w:val="00EB0341"/>
    <w:rsid w:val="00EB0393"/>
    <w:rsid w:val="00EB039A"/>
    <w:rsid w:val="00EB03F7"/>
    <w:rsid w:val="00EB0402"/>
    <w:rsid w:val="00EB0408"/>
    <w:rsid w:val="00EB047E"/>
    <w:rsid w:val="00EB04EC"/>
    <w:rsid w:val="00EB0578"/>
    <w:rsid w:val="00EB059F"/>
    <w:rsid w:val="00EB0602"/>
    <w:rsid w:val="00EB0667"/>
    <w:rsid w:val="00EB06D6"/>
    <w:rsid w:val="00EB06E2"/>
    <w:rsid w:val="00EB0700"/>
    <w:rsid w:val="00EB0786"/>
    <w:rsid w:val="00EB07E3"/>
    <w:rsid w:val="00EB0805"/>
    <w:rsid w:val="00EB0818"/>
    <w:rsid w:val="00EB0849"/>
    <w:rsid w:val="00EB0869"/>
    <w:rsid w:val="00EB08B5"/>
    <w:rsid w:val="00EB08BB"/>
    <w:rsid w:val="00EB08C2"/>
    <w:rsid w:val="00EB08DF"/>
    <w:rsid w:val="00EB0921"/>
    <w:rsid w:val="00EB0950"/>
    <w:rsid w:val="00EB09CD"/>
    <w:rsid w:val="00EB0A24"/>
    <w:rsid w:val="00EB0A35"/>
    <w:rsid w:val="00EB0A59"/>
    <w:rsid w:val="00EB0AD2"/>
    <w:rsid w:val="00EB0AE6"/>
    <w:rsid w:val="00EB0B89"/>
    <w:rsid w:val="00EB0BC6"/>
    <w:rsid w:val="00EB0C36"/>
    <w:rsid w:val="00EB0C3D"/>
    <w:rsid w:val="00EB0C7B"/>
    <w:rsid w:val="00EB0C87"/>
    <w:rsid w:val="00EB0C8F"/>
    <w:rsid w:val="00EB0CC0"/>
    <w:rsid w:val="00EB0CC4"/>
    <w:rsid w:val="00EB0CE5"/>
    <w:rsid w:val="00EB0D0C"/>
    <w:rsid w:val="00EB0D1F"/>
    <w:rsid w:val="00EB0D75"/>
    <w:rsid w:val="00EB0D7F"/>
    <w:rsid w:val="00EB0DED"/>
    <w:rsid w:val="00EB0DF3"/>
    <w:rsid w:val="00EB0DF6"/>
    <w:rsid w:val="00EB0E2F"/>
    <w:rsid w:val="00EB0E4B"/>
    <w:rsid w:val="00EB0E50"/>
    <w:rsid w:val="00EB0E7F"/>
    <w:rsid w:val="00EB0EA5"/>
    <w:rsid w:val="00EB0EBC"/>
    <w:rsid w:val="00EB0EDE"/>
    <w:rsid w:val="00EB0F35"/>
    <w:rsid w:val="00EB0FA6"/>
    <w:rsid w:val="00EB0FDD"/>
    <w:rsid w:val="00EB0FF6"/>
    <w:rsid w:val="00EB104F"/>
    <w:rsid w:val="00EB1098"/>
    <w:rsid w:val="00EB10B2"/>
    <w:rsid w:val="00EB10C7"/>
    <w:rsid w:val="00EB10D1"/>
    <w:rsid w:val="00EB114A"/>
    <w:rsid w:val="00EB1171"/>
    <w:rsid w:val="00EB118C"/>
    <w:rsid w:val="00EB11A5"/>
    <w:rsid w:val="00EB11BA"/>
    <w:rsid w:val="00EB11E7"/>
    <w:rsid w:val="00EB11F0"/>
    <w:rsid w:val="00EB1203"/>
    <w:rsid w:val="00EB12C7"/>
    <w:rsid w:val="00EB1322"/>
    <w:rsid w:val="00EB1326"/>
    <w:rsid w:val="00EB1340"/>
    <w:rsid w:val="00EB1354"/>
    <w:rsid w:val="00EB13BC"/>
    <w:rsid w:val="00EB13E5"/>
    <w:rsid w:val="00EB1405"/>
    <w:rsid w:val="00EB143A"/>
    <w:rsid w:val="00EB148F"/>
    <w:rsid w:val="00EB159B"/>
    <w:rsid w:val="00EB1600"/>
    <w:rsid w:val="00EB160E"/>
    <w:rsid w:val="00EB169B"/>
    <w:rsid w:val="00EB16C5"/>
    <w:rsid w:val="00EB173A"/>
    <w:rsid w:val="00EB177A"/>
    <w:rsid w:val="00EB1792"/>
    <w:rsid w:val="00EB17AE"/>
    <w:rsid w:val="00EB17B3"/>
    <w:rsid w:val="00EB17D5"/>
    <w:rsid w:val="00EB17FD"/>
    <w:rsid w:val="00EB1846"/>
    <w:rsid w:val="00EB18D6"/>
    <w:rsid w:val="00EB18D7"/>
    <w:rsid w:val="00EB1908"/>
    <w:rsid w:val="00EB19F9"/>
    <w:rsid w:val="00EB1A7C"/>
    <w:rsid w:val="00EB1ABD"/>
    <w:rsid w:val="00EB1AD8"/>
    <w:rsid w:val="00EB1AE7"/>
    <w:rsid w:val="00EB1AEF"/>
    <w:rsid w:val="00EB1AF8"/>
    <w:rsid w:val="00EB1B12"/>
    <w:rsid w:val="00EB1B15"/>
    <w:rsid w:val="00EB1B33"/>
    <w:rsid w:val="00EB1B5D"/>
    <w:rsid w:val="00EB1BE4"/>
    <w:rsid w:val="00EB1C08"/>
    <w:rsid w:val="00EB1C58"/>
    <w:rsid w:val="00EB1CF0"/>
    <w:rsid w:val="00EB1D30"/>
    <w:rsid w:val="00EB1D36"/>
    <w:rsid w:val="00EB1D45"/>
    <w:rsid w:val="00EB1D51"/>
    <w:rsid w:val="00EB1D97"/>
    <w:rsid w:val="00EB1DA6"/>
    <w:rsid w:val="00EB1DC8"/>
    <w:rsid w:val="00EB1DDE"/>
    <w:rsid w:val="00EB1DEB"/>
    <w:rsid w:val="00EB1E24"/>
    <w:rsid w:val="00EB1E2D"/>
    <w:rsid w:val="00EB1E80"/>
    <w:rsid w:val="00EB1E97"/>
    <w:rsid w:val="00EB1EAA"/>
    <w:rsid w:val="00EB1EBC"/>
    <w:rsid w:val="00EB1EE7"/>
    <w:rsid w:val="00EB1FA8"/>
    <w:rsid w:val="00EB1FC0"/>
    <w:rsid w:val="00EB1FC2"/>
    <w:rsid w:val="00EB1FCC"/>
    <w:rsid w:val="00EB2030"/>
    <w:rsid w:val="00EB203A"/>
    <w:rsid w:val="00EB2051"/>
    <w:rsid w:val="00EB2072"/>
    <w:rsid w:val="00EB2088"/>
    <w:rsid w:val="00EB208A"/>
    <w:rsid w:val="00EB20A4"/>
    <w:rsid w:val="00EB20FA"/>
    <w:rsid w:val="00EB216E"/>
    <w:rsid w:val="00EB223C"/>
    <w:rsid w:val="00EB22E3"/>
    <w:rsid w:val="00EB22EA"/>
    <w:rsid w:val="00EB22F1"/>
    <w:rsid w:val="00EB22FA"/>
    <w:rsid w:val="00EB232E"/>
    <w:rsid w:val="00EB233E"/>
    <w:rsid w:val="00EB234D"/>
    <w:rsid w:val="00EB2384"/>
    <w:rsid w:val="00EB23AB"/>
    <w:rsid w:val="00EB2451"/>
    <w:rsid w:val="00EB2456"/>
    <w:rsid w:val="00EB2463"/>
    <w:rsid w:val="00EB2496"/>
    <w:rsid w:val="00EB24B4"/>
    <w:rsid w:val="00EB24C3"/>
    <w:rsid w:val="00EB25E1"/>
    <w:rsid w:val="00EB260A"/>
    <w:rsid w:val="00EB265D"/>
    <w:rsid w:val="00EB2680"/>
    <w:rsid w:val="00EB270F"/>
    <w:rsid w:val="00EB2829"/>
    <w:rsid w:val="00EB289E"/>
    <w:rsid w:val="00EB2992"/>
    <w:rsid w:val="00EB29E8"/>
    <w:rsid w:val="00EB2A22"/>
    <w:rsid w:val="00EB2A4B"/>
    <w:rsid w:val="00EB2A7A"/>
    <w:rsid w:val="00EB2A87"/>
    <w:rsid w:val="00EB2AEB"/>
    <w:rsid w:val="00EB2B42"/>
    <w:rsid w:val="00EB2B88"/>
    <w:rsid w:val="00EB2C3C"/>
    <w:rsid w:val="00EB2D8C"/>
    <w:rsid w:val="00EB2E10"/>
    <w:rsid w:val="00EB2E5F"/>
    <w:rsid w:val="00EB2E98"/>
    <w:rsid w:val="00EB2ECE"/>
    <w:rsid w:val="00EB2FF8"/>
    <w:rsid w:val="00EB2FFB"/>
    <w:rsid w:val="00EB3007"/>
    <w:rsid w:val="00EB3020"/>
    <w:rsid w:val="00EB3023"/>
    <w:rsid w:val="00EB3055"/>
    <w:rsid w:val="00EB3061"/>
    <w:rsid w:val="00EB3071"/>
    <w:rsid w:val="00EB309A"/>
    <w:rsid w:val="00EB311D"/>
    <w:rsid w:val="00EB3126"/>
    <w:rsid w:val="00EB313B"/>
    <w:rsid w:val="00EB318D"/>
    <w:rsid w:val="00EB31EE"/>
    <w:rsid w:val="00EB322E"/>
    <w:rsid w:val="00EB3290"/>
    <w:rsid w:val="00EB32A7"/>
    <w:rsid w:val="00EB32B0"/>
    <w:rsid w:val="00EB32B8"/>
    <w:rsid w:val="00EB32BA"/>
    <w:rsid w:val="00EB32C9"/>
    <w:rsid w:val="00EB32DC"/>
    <w:rsid w:val="00EB32ED"/>
    <w:rsid w:val="00EB32F0"/>
    <w:rsid w:val="00EB332C"/>
    <w:rsid w:val="00EB33B6"/>
    <w:rsid w:val="00EB33F6"/>
    <w:rsid w:val="00EB33FD"/>
    <w:rsid w:val="00EB3441"/>
    <w:rsid w:val="00EB346C"/>
    <w:rsid w:val="00EB348E"/>
    <w:rsid w:val="00EB34C4"/>
    <w:rsid w:val="00EB34F8"/>
    <w:rsid w:val="00EB3513"/>
    <w:rsid w:val="00EB3521"/>
    <w:rsid w:val="00EB3527"/>
    <w:rsid w:val="00EB3530"/>
    <w:rsid w:val="00EB3574"/>
    <w:rsid w:val="00EB35FA"/>
    <w:rsid w:val="00EB36A7"/>
    <w:rsid w:val="00EB36BB"/>
    <w:rsid w:val="00EB36DE"/>
    <w:rsid w:val="00EB36FE"/>
    <w:rsid w:val="00EB370E"/>
    <w:rsid w:val="00EB3741"/>
    <w:rsid w:val="00EB3770"/>
    <w:rsid w:val="00EB382F"/>
    <w:rsid w:val="00EB3856"/>
    <w:rsid w:val="00EB386D"/>
    <w:rsid w:val="00EB3881"/>
    <w:rsid w:val="00EB38F3"/>
    <w:rsid w:val="00EB3968"/>
    <w:rsid w:val="00EB3988"/>
    <w:rsid w:val="00EB398C"/>
    <w:rsid w:val="00EB39D6"/>
    <w:rsid w:val="00EB3A74"/>
    <w:rsid w:val="00EB3AA9"/>
    <w:rsid w:val="00EB3AD5"/>
    <w:rsid w:val="00EB3AFD"/>
    <w:rsid w:val="00EB3B64"/>
    <w:rsid w:val="00EB3B70"/>
    <w:rsid w:val="00EB3C0B"/>
    <w:rsid w:val="00EB3C1A"/>
    <w:rsid w:val="00EB3C22"/>
    <w:rsid w:val="00EB3C58"/>
    <w:rsid w:val="00EB3C7E"/>
    <w:rsid w:val="00EB3CB2"/>
    <w:rsid w:val="00EB3D2B"/>
    <w:rsid w:val="00EB3D65"/>
    <w:rsid w:val="00EB3DC6"/>
    <w:rsid w:val="00EB3DD9"/>
    <w:rsid w:val="00EB3E16"/>
    <w:rsid w:val="00EB3E29"/>
    <w:rsid w:val="00EB3E2C"/>
    <w:rsid w:val="00EB3EA2"/>
    <w:rsid w:val="00EB3EF4"/>
    <w:rsid w:val="00EB3F07"/>
    <w:rsid w:val="00EB3F0B"/>
    <w:rsid w:val="00EB3F26"/>
    <w:rsid w:val="00EB3F51"/>
    <w:rsid w:val="00EB3F8E"/>
    <w:rsid w:val="00EB3F9A"/>
    <w:rsid w:val="00EB3FC3"/>
    <w:rsid w:val="00EB3FE3"/>
    <w:rsid w:val="00EB4080"/>
    <w:rsid w:val="00EB409B"/>
    <w:rsid w:val="00EB40A7"/>
    <w:rsid w:val="00EB40D5"/>
    <w:rsid w:val="00EB40EA"/>
    <w:rsid w:val="00EB4151"/>
    <w:rsid w:val="00EB4185"/>
    <w:rsid w:val="00EB419A"/>
    <w:rsid w:val="00EB41AA"/>
    <w:rsid w:val="00EB41EB"/>
    <w:rsid w:val="00EB41F8"/>
    <w:rsid w:val="00EB422E"/>
    <w:rsid w:val="00EB426B"/>
    <w:rsid w:val="00EB426F"/>
    <w:rsid w:val="00EB42AB"/>
    <w:rsid w:val="00EB42B9"/>
    <w:rsid w:val="00EB42DF"/>
    <w:rsid w:val="00EB433C"/>
    <w:rsid w:val="00EB435C"/>
    <w:rsid w:val="00EB4370"/>
    <w:rsid w:val="00EB4372"/>
    <w:rsid w:val="00EB439C"/>
    <w:rsid w:val="00EB43B0"/>
    <w:rsid w:val="00EB43FE"/>
    <w:rsid w:val="00EB4434"/>
    <w:rsid w:val="00EB4466"/>
    <w:rsid w:val="00EB4480"/>
    <w:rsid w:val="00EB44B1"/>
    <w:rsid w:val="00EB44D9"/>
    <w:rsid w:val="00EB4531"/>
    <w:rsid w:val="00EB45A1"/>
    <w:rsid w:val="00EB45AB"/>
    <w:rsid w:val="00EB45BA"/>
    <w:rsid w:val="00EB45BE"/>
    <w:rsid w:val="00EB45E9"/>
    <w:rsid w:val="00EB4645"/>
    <w:rsid w:val="00EB4671"/>
    <w:rsid w:val="00EB46A7"/>
    <w:rsid w:val="00EB4744"/>
    <w:rsid w:val="00EB477B"/>
    <w:rsid w:val="00EB4782"/>
    <w:rsid w:val="00EB479D"/>
    <w:rsid w:val="00EB4835"/>
    <w:rsid w:val="00EB48A7"/>
    <w:rsid w:val="00EB48EF"/>
    <w:rsid w:val="00EB492E"/>
    <w:rsid w:val="00EB4953"/>
    <w:rsid w:val="00EB4972"/>
    <w:rsid w:val="00EB4990"/>
    <w:rsid w:val="00EB49C2"/>
    <w:rsid w:val="00EB4A1D"/>
    <w:rsid w:val="00EB4A20"/>
    <w:rsid w:val="00EB4A35"/>
    <w:rsid w:val="00EB4A95"/>
    <w:rsid w:val="00EB4B4E"/>
    <w:rsid w:val="00EB4B53"/>
    <w:rsid w:val="00EB4B56"/>
    <w:rsid w:val="00EB4BBE"/>
    <w:rsid w:val="00EB4BC6"/>
    <w:rsid w:val="00EB4BE9"/>
    <w:rsid w:val="00EB4C85"/>
    <w:rsid w:val="00EB4C95"/>
    <w:rsid w:val="00EB4CA4"/>
    <w:rsid w:val="00EB4CC7"/>
    <w:rsid w:val="00EB4D14"/>
    <w:rsid w:val="00EB4D31"/>
    <w:rsid w:val="00EB4D48"/>
    <w:rsid w:val="00EB4D75"/>
    <w:rsid w:val="00EB4D9E"/>
    <w:rsid w:val="00EB4E24"/>
    <w:rsid w:val="00EB4E27"/>
    <w:rsid w:val="00EB4E4F"/>
    <w:rsid w:val="00EB4E90"/>
    <w:rsid w:val="00EB4F15"/>
    <w:rsid w:val="00EB4F43"/>
    <w:rsid w:val="00EB4F4D"/>
    <w:rsid w:val="00EB4FCF"/>
    <w:rsid w:val="00EB4FE2"/>
    <w:rsid w:val="00EB4FE3"/>
    <w:rsid w:val="00EB5064"/>
    <w:rsid w:val="00EB50B2"/>
    <w:rsid w:val="00EB50C6"/>
    <w:rsid w:val="00EB50EB"/>
    <w:rsid w:val="00EB5185"/>
    <w:rsid w:val="00EB51A9"/>
    <w:rsid w:val="00EB51DC"/>
    <w:rsid w:val="00EB5231"/>
    <w:rsid w:val="00EB524D"/>
    <w:rsid w:val="00EB5273"/>
    <w:rsid w:val="00EB52AD"/>
    <w:rsid w:val="00EB52CD"/>
    <w:rsid w:val="00EB52F1"/>
    <w:rsid w:val="00EB532F"/>
    <w:rsid w:val="00EB5350"/>
    <w:rsid w:val="00EB5361"/>
    <w:rsid w:val="00EB53E1"/>
    <w:rsid w:val="00EB54CA"/>
    <w:rsid w:val="00EB54DF"/>
    <w:rsid w:val="00EB550D"/>
    <w:rsid w:val="00EB552A"/>
    <w:rsid w:val="00EB5532"/>
    <w:rsid w:val="00EB55CA"/>
    <w:rsid w:val="00EB55D6"/>
    <w:rsid w:val="00EB560C"/>
    <w:rsid w:val="00EB5623"/>
    <w:rsid w:val="00EB5627"/>
    <w:rsid w:val="00EB562F"/>
    <w:rsid w:val="00EB568F"/>
    <w:rsid w:val="00EB569D"/>
    <w:rsid w:val="00EB56AC"/>
    <w:rsid w:val="00EB56C1"/>
    <w:rsid w:val="00EB573A"/>
    <w:rsid w:val="00EB5775"/>
    <w:rsid w:val="00EB5788"/>
    <w:rsid w:val="00EB578D"/>
    <w:rsid w:val="00EB57A8"/>
    <w:rsid w:val="00EB57C8"/>
    <w:rsid w:val="00EB57D6"/>
    <w:rsid w:val="00EB57F6"/>
    <w:rsid w:val="00EB5876"/>
    <w:rsid w:val="00EB5916"/>
    <w:rsid w:val="00EB59E6"/>
    <w:rsid w:val="00EB5A03"/>
    <w:rsid w:val="00EB5A51"/>
    <w:rsid w:val="00EB5AFD"/>
    <w:rsid w:val="00EB5B22"/>
    <w:rsid w:val="00EB5B2E"/>
    <w:rsid w:val="00EB5BED"/>
    <w:rsid w:val="00EB5CA3"/>
    <w:rsid w:val="00EB5CAB"/>
    <w:rsid w:val="00EB5CDC"/>
    <w:rsid w:val="00EB5D05"/>
    <w:rsid w:val="00EB5DE0"/>
    <w:rsid w:val="00EB5E13"/>
    <w:rsid w:val="00EB5E8F"/>
    <w:rsid w:val="00EB5FC0"/>
    <w:rsid w:val="00EB5FF0"/>
    <w:rsid w:val="00EB602F"/>
    <w:rsid w:val="00EB6030"/>
    <w:rsid w:val="00EB6031"/>
    <w:rsid w:val="00EB6038"/>
    <w:rsid w:val="00EB60AD"/>
    <w:rsid w:val="00EB6123"/>
    <w:rsid w:val="00EB6187"/>
    <w:rsid w:val="00EB61B2"/>
    <w:rsid w:val="00EB61C9"/>
    <w:rsid w:val="00EB61DC"/>
    <w:rsid w:val="00EB622A"/>
    <w:rsid w:val="00EB6262"/>
    <w:rsid w:val="00EB629B"/>
    <w:rsid w:val="00EB62D3"/>
    <w:rsid w:val="00EB62F5"/>
    <w:rsid w:val="00EB6301"/>
    <w:rsid w:val="00EB6323"/>
    <w:rsid w:val="00EB633B"/>
    <w:rsid w:val="00EB636C"/>
    <w:rsid w:val="00EB63A8"/>
    <w:rsid w:val="00EB63AC"/>
    <w:rsid w:val="00EB63C8"/>
    <w:rsid w:val="00EB63DD"/>
    <w:rsid w:val="00EB6449"/>
    <w:rsid w:val="00EB6505"/>
    <w:rsid w:val="00EB6512"/>
    <w:rsid w:val="00EB652F"/>
    <w:rsid w:val="00EB6544"/>
    <w:rsid w:val="00EB6570"/>
    <w:rsid w:val="00EB657B"/>
    <w:rsid w:val="00EB658C"/>
    <w:rsid w:val="00EB65B3"/>
    <w:rsid w:val="00EB65EA"/>
    <w:rsid w:val="00EB65FB"/>
    <w:rsid w:val="00EB6669"/>
    <w:rsid w:val="00EB6690"/>
    <w:rsid w:val="00EB669A"/>
    <w:rsid w:val="00EB66A7"/>
    <w:rsid w:val="00EB66BE"/>
    <w:rsid w:val="00EB6701"/>
    <w:rsid w:val="00EB6760"/>
    <w:rsid w:val="00EB676B"/>
    <w:rsid w:val="00EB6786"/>
    <w:rsid w:val="00EB67E3"/>
    <w:rsid w:val="00EB685B"/>
    <w:rsid w:val="00EB68C3"/>
    <w:rsid w:val="00EB68C5"/>
    <w:rsid w:val="00EB6937"/>
    <w:rsid w:val="00EB695B"/>
    <w:rsid w:val="00EB69A3"/>
    <w:rsid w:val="00EB69DB"/>
    <w:rsid w:val="00EB6A2A"/>
    <w:rsid w:val="00EB6AE6"/>
    <w:rsid w:val="00EB6B56"/>
    <w:rsid w:val="00EB6C5B"/>
    <w:rsid w:val="00EB6C65"/>
    <w:rsid w:val="00EB6C8F"/>
    <w:rsid w:val="00EB6CD3"/>
    <w:rsid w:val="00EB6DD1"/>
    <w:rsid w:val="00EB6DDE"/>
    <w:rsid w:val="00EB6E0B"/>
    <w:rsid w:val="00EB6E22"/>
    <w:rsid w:val="00EB6E40"/>
    <w:rsid w:val="00EB6E4B"/>
    <w:rsid w:val="00EB6EB2"/>
    <w:rsid w:val="00EB6EC7"/>
    <w:rsid w:val="00EB6EF8"/>
    <w:rsid w:val="00EB6F9A"/>
    <w:rsid w:val="00EB7003"/>
    <w:rsid w:val="00EB7092"/>
    <w:rsid w:val="00EB70AE"/>
    <w:rsid w:val="00EB71BB"/>
    <w:rsid w:val="00EB71C7"/>
    <w:rsid w:val="00EB7209"/>
    <w:rsid w:val="00EB725E"/>
    <w:rsid w:val="00EB72EE"/>
    <w:rsid w:val="00EB734F"/>
    <w:rsid w:val="00EB7391"/>
    <w:rsid w:val="00EB73AC"/>
    <w:rsid w:val="00EB73C8"/>
    <w:rsid w:val="00EB73F8"/>
    <w:rsid w:val="00EB7415"/>
    <w:rsid w:val="00EB747A"/>
    <w:rsid w:val="00EB74B7"/>
    <w:rsid w:val="00EB753B"/>
    <w:rsid w:val="00EB7641"/>
    <w:rsid w:val="00EB7683"/>
    <w:rsid w:val="00EB76DD"/>
    <w:rsid w:val="00EB7712"/>
    <w:rsid w:val="00EB77BE"/>
    <w:rsid w:val="00EB77D5"/>
    <w:rsid w:val="00EB77EB"/>
    <w:rsid w:val="00EB7834"/>
    <w:rsid w:val="00EB7860"/>
    <w:rsid w:val="00EB7862"/>
    <w:rsid w:val="00EB789F"/>
    <w:rsid w:val="00EB78B9"/>
    <w:rsid w:val="00EB78D7"/>
    <w:rsid w:val="00EB7916"/>
    <w:rsid w:val="00EB7940"/>
    <w:rsid w:val="00EB7941"/>
    <w:rsid w:val="00EB7987"/>
    <w:rsid w:val="00EB7A7A"/>
    <w:rsid w:val="00EB7B20"/>
    <w:rsid w:val="00EB7B29"/>
    <w:rsid w:val="00EB7B52"/>
    <w:rsid w:val="00EB7BC8"/>
    <w:rsid w:val="00EB7C07"/>
    <w:rsid w:val="00EB7C1D"/>
    <w:rsid w:val="00EB7C75"/>
    <w:rsid w:val="00EB7CB7"/>
    <w:rsid w:val="00EB7D6D"/>
    <w:rsid w:val="00EB7E03"/>
    <w:rsid w:val="00EB7E18"/>
    <w:rsid w:val="00EB7E2B"/>
    <w:rsid w:val="00EB7EE4"/>
    <w:rsid w:val="00EB7F5A"/>
    <w:rsid w:val="00EC006E"/>
    <w:rsid w:val="00EC008F"/>
    <w:rsid w:val="00EC00B7"/>
    <w:rsid w:val="00EC00EC"/>
    <w:rsid w:val="00EC00F0"/>
    <w:rsid w:val="00EC00FC"/>
    <w:rsid w:val="00EC0137"/>
    <w:rsid w:val="00EC0146"/>
    <w:rsid w:val="00EC0150"/>
    <w:rsid w:val="00EC015D"/>
    <w:rsid w:val="00EC016D"/>
    <w:rsid w:val="00EC01AC"/>
    <w:rsid w:val="00EC01BF"/>
    <w:rsid w:val="00EC021C"/>
    <w:rsid w:val="00EC0309"/>
    <w:rsid w:val="00EC030F"/>
    <w:rsid w:val="00EC0319"/>
    <w:rsid w:val="00EC0321"/>
    <w:rsid w:val="00EC0336"/>
    <w:rsid w:val="00EC0384"/>
    <w:rsid w:val="00EC03AD"/>
    <w:rsid w:val="00EC03C2"/>
    <w:rsid w:val="00EC0447"/>
    <w:rsid w:val="00EC0456"/>
    <w:rsid w:val="00EC04DC"/>
    <w:rsid w:val="00EC0547"/>
    <w:rsid w:val="00EC0563"/>
    <w:rsid w:val="00EC05E3"/>
    <w:rsid w:val="00EC0601"/>
    <w:rsid w:val="00EC065D"/>
    <w:rsid w:val="00EC066E"/>
    <w:rsid w:val="00EC0673"/>
    <w:rsid w:val="00EC0681"/>
    <w:rsid w:val="00EC06C3"/>
    <w:rsid w:val="00EC0732"/>
    <w:rsid w:val="00EC0750"/>
    <w:rsid w:val="00EC07BB"/>
    <w:rsid w:val="00EC07D8"/>
    <w:rsid w:val="00EC0840"/>
    <w:rsid w:val="00EC0870"/>
    <w:rsid w:val="00EC0871"/>
    <w:rsid w:val="00EC08AE"/>
    <w:rsid w:val="00EC0908"/>
    <w:rsid w:val="00EC0932"/>
    <w:rsid w:val="00EC0A8C"/>
    <w:rsid w:val="00EC0AB6"/>
    <w:rsid w:val="00EC0ABD"/>
    <w:rsid w:val="00EC0BCB"/>
    <w:rsid w:val="00EC0C39"/>
    <w:rsid w:val="00EC0C80"/>
    <w:rsid w:val="00EC0D4F"/>
    <w:rsid w:val="00EC0DA3"/>
    <w:rsid w:val="00EC0DB7"/>
    <w:rsid w:val="00EC0DDD"/>
    <w:rsid w:val="00EC0E25"/>
    <w:rsid w:val="00EC0E6D"/>
    <w:rsid w:val="00EC0F0F"/>
    <w:rsid w:val="00EC0F96"/>
    <w:rsid w:val="00EC0FE1"/>
    <w:rsid w:val="00EC101B"/>
    <w:rsid w:val="00EC110B"/>
    <w:rsid w:val="00EC1161"/>
    <w:rsid w:val="00EC116B"/>
    <w:rsid w:val="00EC1183"/>
    <w:rsid w:val="00EC11CC"/>
    <w:rsid w:val="00EC11D9"/>
    <w:rsid w:val="00EC1200"/>
    <w:rsid w:val="00EC128F"/>
    <w:rsid w:val="00EC1292"/>
    <w:rsid w:val="00EC12B0"/>
    <w:rsid w:val="00EC12CB"/>
    <w:rsid w:val="00EC12D9"/>
    <w:rsid w:val="00EC13A6"/>
    <w:rsid w:val="00EC13C6"/>
    <w:rsid w:val="00EC1403"/>
    <w:rsid w:val="00EC1422"/>
    <w:rsid w:val="00EC1434"/>
    <w:rsid w:val="00EC14C7"/>
    <w:rsid w:val="00EC14FD"/>
    <w:rsid w:val="00EC156C"/>
    <w:rsid w:val="00EC156E"/>
    <w:rsid w:val="00EC15A2"/>
    <w:rsid w:val="00EC15FE"/>
    <w:rsid w:val="00EC160B"/>
    <w:rsid w:val="00EC16B9"/>
    <w:rsid w:val="00EC16D5"/>
    <w:rsid w:val="00EC16EE"/>
    <w:rsid w:val="00EC17BA"/>
    <w:rsid w:val="00EC17C1"/>
    <w:rsid w:val="00EC17CC"/>
    <w:rsid w:val="00EC17E5"/>
    <w:rsid w:val="00EC181D"/>
    <w:rsid w:val="00EC1827"/>
    <w:rsid w:val="00EC185E"/>
    <w:rsid w:val="00EC1897"/>
    <w:rsid w:val="00EC18C4"/>
    <w:rsid w:val="00EC1915"/>
    <w:rsid w:val="00EC19CD"/>
    <w:rsid w:val="00EC19D1"/>
    <w:rsid w:val="00EC19E2"/>
    <w:rsid w:val="00EC1A0B"/>
    <w:rsid w:val="00EC1A22"/>
    <w:rsid w:val="00EC1A8A"/>
    <w:rsid w:val="00EC1AC3"/>
    <w:rsid w:val="00EC1AE3"/>
    <w:rsid w:val="00EC1B49"/>
    <w:rsid w:val="00EC1B75"/>
    <w:rsid w:val="00EC1BB5"/>
    <w:rsid w:val="00EC1C02"/>
    <w:rsid w:val="00EC1C41"/>
    <w:rsid w:val="00EC1C82"/>
    <w:rsid w:val="00EC1CB3"/>
    <w:rsid w:val="00EC1D02"/>
    <w:rsid w:val="00EC1D43"/>
    <w:rsid w:val="00EC1D61"/>
    <w:rsid w:val="00EC1D88"/>
    <w:rsid w:val="00EC1DAB"/>
    <w:rsid w:val="00EC1E1A"/>
    <w:rsid w:val="00EC1EEC"/>
    <w:rsid w:val="00EC1EFB"/>
    <w:rsid w:val="00EC1F39"/>
    <w:rsid w:val="00EC1F64"/>
    <w:rsid w:val="00EC1F98"/>
    <w:rsid w:val="00EC1FD3"/>
    <w:rsid w:val="00EC202A"/>
    <w:rsid w:val="00EC20FA"/>
    <w:rsid w:val="00EC2117"/>
    <w:rsid w:val="00EC2122"/>
    <w:rsid w:val="00EC21DA"/>
    <w:rsid w:val="00EC2222"/>
    <w:rsid w:val="00EC227A"/>
    <w:rsid w:val="00EC22C2"/>
    <w:rsid w:val="00EC245E"/>
    <w:rsid w:val="00EC24BC"/>
    <w:rsid w:val="00EC2550"/>
    <w:rsid w:val="00EC2598"/>
    <w:rsid w:val="00EC25EF"/>
    <w:rsid w:val="00EC2647"/>
    <w:rsid w:val="00EC2698"/>
    <w:rsid w:val="00EC269F"/>
    <w:rsid w:val="00EC26B3"/>
    <w:rsid w:val="00EC2709"/>
    <w:rsid w:val="00EC2726"/>
    <w:rsid w:val="00EC2732"/>
    <w:rsid w:val="00EC27F3"/>
    <w:rsid w:val="00EC2809"/>
    <w:rsid w:val="00EC2821"/>
    <w:rsid w:val="00EC2874"/>
    <w:rsid w:val="00EC288F"/>
    <w:rsid w:val="00EC2932"/>
    <w:rsid w:val="00EC29A6"/>
    <w:rsid w:val="00EC29BB"/>
    <w:rsid w:val="00EC2A33"/>
    <w:rsid w:val="00EC2A64"/>
    <w:rsid w:val="00EC2A90"/>
    <w:rsid w:val="00EC2AA3"/>
    <w:rsid w:val="00EC2AD8"/>
    <w:rsid w:val="00EC2AE3"/>
    <w:rsid w:val="00EC2B39"/>
    <w:rsid w:val="00EC2B5C"/>
    <w:rsid w:val="00EC2B97"/>
    <w:rsid w:val="00EC2BC8"/>
    <w:rsid w:val="00EC2BD2"/>
    <w:rsid w:val="00EC2C31"/>
    <w:rsid w:val="00EC2C92"/>
    <w:rsid w:val="00EC2CC0"/>
    <w:rsid w:val="00EC2CFF"/>
    <w:rsid w:val="00EC2D14"/>
    <w:rsid w:val="00EC2D9B"/>
    <w:rsid w:val="00EC2DC6"/>
    <w:rsid w:val="00EC2E10"/>
    <w:rsid w:val="00EC2E1A"/>
    <w:rsid w:val="00EC2E74"/>
    <w:rsid w:val="00EC2EEF"/>
    <w:rsid w:val="00EC2FC1"/>
    <w:rsid w:val="00EC2FDF"/>
    <w:rsid w:val="00EC3082"/>
    <w:rsid w:val="00EC3150"/>
    <w:rsid w:val="00EC31CF"/>
    <w:rsid w:val="00EC31FC"/>
    <w:rsid w:val="00EC3245"/>
    <w:rsid w:val="00EC329E"/>
    <w:rsid w:val="00EC32B5"/>
    <w:rsid w:val="00EC32F2"/>
    <w:rsid w:val="00EC32F3"/>
    <w:rsid w:val="00EC331C"/>
    <w:rsid w:val="00EC332C"/>
    <w:rsid w:val="00EC333F"/>
    <w:rsid w:val="00EC33D1"/>
    <w:rsid w:val="00EC340A"/>
    <w:rsid w:val="00EC3460"/>
    <w:rsid w:val="00EC3486"/>
    <w:rsid w:val="00EC348D"/>
    <w:rsid w:val="00EC34BE"/>
    <w:rsid w:val="00EC34DB"/>
    <w:rsid w:val="00EC34E1"/>
    <w:rsid w:val="00EC3516"/>
    <w:rsid w:val="00EC3542"/>
    <w:rsid w:val="00EC356A"/>
    <w:rsid w:val="00EC35BB"/>
    <w:rsid w:val="00EC35CD"/>
    <w:rsid w:val="00EC36F8"/>
    <w:rsid w:val="00EC371F"/>
    <w:rsid w:val="00EC3721"/>
    <w:rsid w:val="00EC3733"/>
    <w:rsid w:val="00EC3757"/>
    <w:rsid w:val="00EC3759"/>
    <w:rsid w:val="00EC376A"/>
    <w:rsid w:val="00EC37CE"/>
    <w:rsid w:val="00EC38C3"/>
    <w:rsid w:val="00EC38D3"/>
    <w:rsid w:val="00EC38E7"/>
    <w:rsid w:val="00EC38F6"/>
    <w:rsid w:val="00EC3912"/>
    <w:rsid w:val="00EC393A"/>
    <w:rsid w:val="00EC39D6"/>
    <w:rsid w:val="00EC3A41"/>
    <w:rsid w:val="00EC3A6F"/>
    <w:rsid w:val="00EC3A95"/>
    <w:rsid w:val="00EC3B03"/>
    <w:rsid w:val="00EC3B78"/>
    <w:rsid w:val="00EC3BC0"/>
    <w:rsid w:val="00EC3BD7"/>
    <w:rsid w:val="00EC3BFE"/>
    <w:rsid w:val="00EC3C49"/>
    <w:rsid w:val="00EC3C7C"/>
    <w:rsid w:val="00EC3C9F"/>
    <w:rsid w:val="00EC3CA2"/>
    <w:rsid w:val="00EC3CB8"/>
    <w:rsid w:val="00EC3CFC"/>
    <w:rsid w:val="00EC3D0D"/>
    <w:rsid w:val="00EC3D26"/>
    <w:rsid w:val="00EC3DB6"/>
    <w:rsid w:val="00EC3DE9"/>
    <w:rsid w:val="00EC3E16"/>
    <w:rsid w:val="00EC3E62"/>
    <w:rsid w:val="00EC3EB8"/>
    <w:rsid w:val="00EC3EDC"/>
    <w:rsid w:val="00EC3F33"/>
    <w:rsid w:val="00EC3F8E"/>
    <w:rsid w:val="00EC3FE6"/>
    <w:rsid w:val="00EC3FFF"/>
    <w:rsid w:val="00EC401A"/>
    <w:rsid w:val="00EC4024"/>
    <w:rsid w:val="00EC4037"/>
    <w:rsid w:val="00EC407E"/>
    <w:rsid w:val="00EC4111"/>
    <w:rsid w:val="00EC412E"/>
    <w:rsid w:val="00EC4134"/>
    <w:rsid w:val="00EC4139"/>
    <w:rsid w:val="00EC4162"/>
    <w:rsid w:val="00EC41A4"/>
    <w:rsid w:val="00EC41ED"/>
    <w:rsid w:val="00EC41FE"/>
    <w:rsid w:val="00EC4202"/>
    <w:rsid w:val="00EC4209"/>
    <w:rsid w:val="00EC420F"/>
    <w:rsid w:val="00EC4245"/>
    <w:rsid w:val="00EC42C0"/>
    <w:rsid w:val="00EC436E"/>
    <w:rsid w:val="00EC43C6"/>
    <w:rsid w:val="00EC43CA"/>
    <w:rsid w:val="00EC43EC"/>
    <w:rsid w:val="00EC43EE"/>
    <w:rsid w:val="00EC440F"/>
    <w:rsid w:val="00EC4448"/>
    <w:rsid w:val="00EC4513"/>
    <w:rsid w:val="00EC451B"/>
    <w:rsid w:val="00EC4573"/>
    <w:rsid w:val="00EC45A0"/>
    <w:rsid w:val="00EC45E6"/>
    <w:rsid w:val="00EC45E7"/>
    <w:rsid w:val="00EC460B"/>
    <w:rsid w:val="00EC4661"/>
    <w:rsid w:val="00EC4669"/>
    <w:rsid w:val="00EC4689"/>
    <w:rsid w:val="00EC46AA"/>
    <w:rsid w:val="00EC473F"/>
    <w:rsid w:val="00EC4747"/>
    <w:rsid w:val="00EC4764"/>
    <w:rsid w:val="00EC478C"/>
    <w:rsid w:val="00EC47A9"/>
    <w:rsid w:val="00EC47D2"/>
    <w:rsid w:val="00EC4885"/>
    <w:rsid w:val="00EC48B0"/>
    <w:rsid w:val="00EC491A"/>
    <w:rsid w:val="00EC495B"/>
    <w:rsid w:val="00EC4A25"/>
    <w:rsid w:val="00EC4A3D"/>
    <w:rsid w:val="00EC4B09"/>
    <w:rsid w:val="00EC4B2E"/>
    <w:rsid w:val="00EC4B5B"/>
    <w:rsid w:val="00EC4B5C"/>
    <w:rsid w:val="00EC4BBC"/>
    <w:rsid w:val="00EC4BE3"/>
    <w:rsid w:val="00EC4C06"/>
    <w:rsid w:val="00EC4C26"/>
    <w:rsid w:val="00EC4C2F"/>
    <w:rsid w:val="00EC4C97"/>
    <w:rsid w:val="00EC4CC7"/>
    <w:rsid w:val="00EC4D17"/>
    <w:rsid w:val="00EC4D25"/>
    <w:rsid w:val="00EC4D63"/>
    <w:rsid w:val="00EC4E18"/>
    <w:rsid w:val="00EC4E73"/>
    <w:rsid w:val="00EC4EAA"/>
    <w:rsid w:val="00EC4EAD"/>
    <w:rsid w:val="00EC4EAE"/>
    <w:rsid w:val="00EC4F0A"/>
    <w:rsid w:val="00EC4F27"/>
    <w:rsid w:val="00EC4F39"/>
    <w:rsid w:val="00EC4F65"/>
    <w:rsid w:val="00EC4F98"/>
    <w:rsid w:val="00EC4FEF"/>
    <w:rsid w:val="00EC4FF6"/>
    <w:rsid w:val="00EC502B"/>
    <w:rsid w:val="00EC50A3"/>
    <w:rsid w:val="00EC50E9"/>
    <w:rsid w:val="00EC50F3"/>
    <w:rsid w:val="00EC50FE"/>
    <w:rsid w:val="00EC5100"/>
    <w:rsid w:val="00EC5131"/>
    <w:rsid w:val="00EC513A"/>
    <w:rsid w:val="00EC5156"/>
    <w:rsid w:val="00EC5171"/>
    <w:rsid w:val="00EC517A"/>
    <w:rsid w:val="00EC517B"/>
    <w:rsid w:val="00EC5194"/>
    <w:rsid w:val="00EC5239"/>
    <w:rsid w:val="00EC5264"/>
    <w:rsid w:val="00EC5274"/>
    <w:rsid w:val="00EC5276"/>
    <w:rsid w:val="00EC5287"/>
    <w:rsid w:val="00EC52A2"/>
    <w:rsid w:val="00EC52B6"/>
    <w:rsid w:val="00EC530F"/>
    <w:rsid w:val="00EC5357"/>
    <w:rsid w:val="00EC535A"/>
    <w:rsid w:val="00EC53F8"/>
    <w:rsid w:val="00EC5406"/>
    <w:rsid w:val="00EC5445"/>
    <w:rsid w:val="00EC54A5"/>
    <w:rsid w:val="00EC54D5"/>
    <w:rsid w:val="00EC54DD"/>
    <w:rsid w:val="00EC5588"/>
    <w:rsid w:val="00EC5598"/>
    <w:rsid w:val="00EC55A7"/>
    <w:rsid w:val="00EC562E"/>
    <w:rsid w:val="00EC567C"/>
    <w:rsid w:val="00EC568B"/>
    <w:rsid w:val="00EC5690"/>
    <w:rsid w:val="00EC574A"/>
    <w:rsid w:val="00EC57FF"/>
    <w:rsid w:val="00EC5848"/>
    <w:rsid w:val="00EC5854"/>
    <w:rsid w:val="00EC5871"/>
    <w:rsid w:val="00EC58A1"/>
    <w:rsid w:val="00EC58D0"/>
    <w:rsid w:val="00EC58D2"/>
    <w:rsid w:val="00EC591A"/>
    <w:rsid w:val="00EC59B3"/>
    <w:rsid w:val="00EC59CB"/>
    <w:rsid w:val="00EC59D4"/>
    <w:rsid w:val="00EC5A56"/>
    <w:rsid w:val="00EC5A7F"/>
    <w:rsid w:val="00EC5A8F"/>
    <w:rsid w:val="00EC5B32"/>
    <w:rsid w:val="00EC5B3D"/>
    <w:rsid w:val="00EC5B4A"/>
    <w:rsid w:val="00EC5B53"/>
    <w:rsid w:val="00EC5B76"/>
    <w:rsid w:val="00EC5BA0"/>
    <w:rsid w:val="00EC5BDB"/>
    <w:rsid w:val="00EC5BE8"/>
    <w:rsid w:val="00EC5C43"/>
    <w:rsid w:val="00EC5C69"/>
    <w:rsid w:val="00EC5C74"/>
    <w:rsid w:val="00EC5C90"/>
    <w:rsid w:val="00EC5D0F"/>
    <w:rsid w:val="00EC5D1A"/>
    <w:rsid w:val="00EC5D51"/>
    <w:rsid w:val="00EC5DD6"/>
    <w:rsid w:val="00EC5DF4"/>
    <w:rsid w:val="00EC5E25"/>
    <w:rsid w:val="00EC5E5B"/>
    <w:rsid w:val="00EC5E67"/>
    <w:rsid w:val="00EC5E74"/>
    <w:rsid w:val="00EC5ECD"/>
    <w:rsid w:val="00EC5ED4"/>
    <w:rsid w:val="00EC5EF3"/>
    <w:rsid w:val="00EC5FC1"/>
    <w:rsid w:val="00EC5FF5"/>
    <w:rsid w:val="00EC6015"/>
    <w:rsid w:val="00EC608B"/>
    <w:rsid w:val="00EC60EF"/>
    <w:rsid w:val="00EC6126"/>
    <w:rsid w:val="00EC6137"/>
    <w:rsid w:val="00EC613D"/>
    <w:rsid w:val="00EC6151"/>
    <w:rsid w:val="00EC615E"/>
    <w:rsid w:val="00EC619B"/>
    <w:rsid w:val="00EC619D"/>
    <w:rsid w:val="00EC6251"/>
    <w:rsid w:val="00EC628F"/>
    <w:rsid w:val="00EC62A8"/>
    <w:rsid w:val="00EC62A9"/>
    <w:rsid w:val="00EC62CE"/>
    <w:rsid w:val="00EC6377"/>
    <w:rsid w:val="00EC639B"/>
    <w:rsid w:val="00EC6474"/>
    <w:rsid w:val="00EC64D1"/>
    <w:rsid w:val="00EC64F0"/>
    <w:rsid w:val="00EC6582"/>
    <w:rsid w:val="00EC65DD"/>
    <w:rsid w:val="00EC65DE"/>
    <w:rsid w:val="00EC6652"/>
    <w:rsid w:val="00EC6675"/>
    <w:rsid w:val="00EC6678"/>
    <w:rsid w:val="00EC66AA"/>
    <w:rsid w:val="00EC670F"/>
    <w:rsid w:val="00EC672E"/>
    <w:rsid w:val="00EC6730"/>
    <w:rsid w:val="00EC67C1"/>
    <w:rsid w:val="00EC67CB"/>
    <w:rsid w:val="00EC6825"/>
    <w:rsid w:val="00EC684B"/>
    <w:rsid w:val="00EC688A"/>
    <w:rsid w:val="00EC68C9"/>
    <w:rsid w:val="00EC68F1"/>
    <w:rsid w:val="00EC68F5"/>
    <w:rsid w:val="00EC68FB"/>
    <w:rsid w:val="00EC6966"/>
    <w:rsid w:val="00EC696A"/>
    <w:rsid w:val="00EC698C"/>
    <w:rsid w:val="00EC6A33"/>
    <w:rsid w:val="00EC6A62"/>
    <w:rsid w:val="00EC6B3C"/>
    <w:rsid w:val="00EC6B4D"/>
    <w:rsid w:val="00EC6B7A"/>
    <w:rsid w:val="00EC6BCE"/>
    <w:rsid w:val="00EC6C00"/>
    <w:rsid w:val="00EC6C1A"/>
    <w:rsid w:val="00EC6CA0"/>
    <w:rsid w:val="00EC6CD4"/>
    <w:rsid w:val="00EC6D5A"/>
    <w:rsid w:val="00EC6DC5"/>
    <w:rsid w:val="00EC6DC6"/>
    <w:rsid w:val="00EC6DCF"/>
    <w:rsid w:val="00EC6DF1"/>
    <w:rsid w:val="00EC6DF9"/>
    <w:rsid w:val="00EC6E1A"/>
    <w:rsid w:val="00EC6E77"/>
    <w:rsid w:val="00EC6E9B"/>
    <w:rsid w:val="00EC6E9D"/>
    <w:rsid w:val="00EC6E9F"/>
    <w:rsid w:val="00EC6EF2"/>
    <w:rsid w:val="00EC6F11"/>
    <w:rsid w:val="00EC6F32"/>
    <w:rsid w:val="00EC6F53"/>
    <w:rsid w:val="00EC6F5B"/>
    <w:rsid w:val="00EC6F8F"/>
    <w:rsid w:val="00EC6FF1"/>
    <w:rsid w:val="00EC7034"/>
    <w:rsid w:val="00EC7039"/>
    <w:rsid w:val="00EC7147"/>
    <w:rsid w:val="00EC719A"/>
    <w:rsid w:val="00EC719D"/>
    <w:rsid w:val="00EC7256"/>
    <w:rsid w:val="00EC7269"/>
    <w:rsid w:val="00EC727A"/>
    <w:rsid w:val="00EC727F"/>
    <w:rsid w:val="00EC7291"/>
    <w:rsid w:val="00EC72A5"/>
    <w:rsid w:val="00EC72A7"/>
    <w:rsid w:val="00EC72EA"/>
    <w:rsid w:val="00EC72F6"/>
    <w:rsid w:val="00EC730E"/>
    <w:rsid w:val="00EC7311"/>
    <w:rsid w:val="00EC737C"/>
    <w:rsid w:val="00EC73C3"/>
    <w:rsid w:val="00EC73D7"/>
    <w:rsid w:val="00EC73FE"/>
    <w:rsid w:val="00EC7400"/>
    <w:rsid w:val="00EC74A1"/>
    <w:rsid w:val="00EC74CA"/>
    <w:rsid w:val="00EC74E8"/>
    <w:rsid w:val="00EC7552"/>
    <w:rsid w:val="00EC7573"/>
    <w:rsid w:val="00EC7578"/>
    <w:rsid w:val="00EC7592"/>
    <w:rsid w:val="00EC759D"/>
    <w:rsid w:val="00EC75C9"/>
    <w:rsid w:val="00EC75D9"/>
    <w:rsid w:val="00EC761E"/>
    <w:rsid w:val="00EC7647"/>
    <w:rsid w:val="00EC7668"/>
    <w:rsid w:val="00EC76AD"/>
    <w:rsid w:val="00EC76DD"/>
    <w:rsid w:val="00EC7732"/>
    <w:rsid w:val="00EC776E"/>
    <w:rsid w:val="00EC77DE"/>
    <w:rsid w:val="00EC77E5"/>
    <w:rsid w:val="00EC77EA"/>
    <w:rsid w:val="00EC784F"/>
    <w:rsid w:val="00EC78E2"/>
    <w:rsid w:val="00EC7942"/>
    <w:rsid w:val="00EC796D"/>
    <w:rsid w:val="00EC796E"/>
    <w:rsid w:val="00EC79F7"/>
    <w:rsid w:val="00EC7A06"/>
    <w:rsid w:val="00EC7A12"/>
    <w:rsid w:val="00EC7A99"/>
    <w:rsid w:val="00EC7AD7"/>
    <w:rsid w:val="00EC7B1C"/>
    <w:rsid w:val="00EC7B1D"/>
    <w:rsid w:val="00EC7B3F"/>
    <w:rsid w:val="00EC7B52"/>
    <w:rsid w:val="00EC7B87"/>
    <w:rsid w:val="00EC7BBD"/>
    <w:rsid w:val="00EC7BE1"/>
    <w:rsid w:val="00EC7BE7"/>
    <w:rsid w:val="00EC7C14"/>
    <w:rsid w:val="00EC7C95"/>
    <w:rsid w:val="00EC7C9F"/>
    <w:rsid w:val="00EC7CAD"/>
    <w:rsid w:val="00EC7CB2"/>
    <w:rsid w:val="00EC7CE3"/>
    <w:rsid w:val="00EC7CE6"/>
    <w:rsid w:val="00EC7CE9"/>
    <w:rsid w:val="00EC7D36"/>
    <w:rsid w:val="00EC7D39"/>
    <w:rsid w:val="00EC7D3A"/>
    <w:rsid w:val="00EC7D7A"/>
    <w:rsid w:val="00EC7E37"/>
    <w:rsid w:val="00EC7EA0"/>
    <w:rsid w:val="00EC7EB1"/>
    <w:rsid w:val="00EC7ECC"/>
    <w:rsid w:val="00EC7F36"/>
    <w:rsid w:val="00EC7F89"/>
    <w:rsid w:val="00EC7F8C"/>
    <w:rsid w:val="00EC7F8F"/>
    <w:rsid w:val="00EC7F97"/>
    <w:rsid w:val="00EC7FCE"/>
    <w:rsid w:val="00EC7FEC"/>
    <w:rsid w:val="00EC7FFA"/>
    <w:rsid w:val="00ECA2F7"/>
    <w:rsid w:val="00ED000B"/>
    <w:rsid w:val="00ED0059"/>
    <w:rsid w:val="00ED0084"/>
    <w:rsid w:val="00ED0110"/>
    <w:rsid w:val="00ED0113"/>
    <w:rsid w:val="00ED0116"/>
    <w:rsid w:val="00ED0180"/>
    <w:rsid w:val="00ED01B6"/>
    <w:rsid w:val="00ED01D2"/>
    <w:rsid w:val="00ED01D6"/>
    <w:rsid w:val="00ED01E4"/>
    <w:rsid w:val="00ED021B"/>
    <w:rsid w:val="00ED0238"/>
    <w:rsid w:val="00ED02DA"/>
    <w:rsid w:val="00ED02F7"/>
    <w:rsid w:val="00ED02FB"/>
    <w:rsid w:val="00ED0356"/>
    <w:rsid w:val="00ED03A4"/>
    <w:rsid w:val="00ED0456"/>
    <w:rsid w:val="00ED0463"/>
    <w:rsid w:val="00ED0479"/>
    <w:rsid w:val="00ED04BC"/>
    <w:rsid w:val="00ED04CB"/>
    <w:rsid w:val="00ED04D4"/>
    <w:rsid w:val="00ED04D6"/>
    <w:rsid w:val="00ED0509"/>
    <w:rsid w:val="00ED05D2"/>
    <w:rsid w:val="00ED064F"/>
    <w:rsid w:val="00ED06A4"/>
    <w:rsid w:val="00ED06E8"/>
    <w:rsid w:val="00ED06F8"/>
    <w:rsid w:val="00ED0701"/>
    <w:rsid w:val="00ED0792"/>
    <w:rsid w:val="00ED07A1"/>
    <w:rsid w:val="00ED07FD"/>
    <w:rsid w:val="00ED0875"/>
    <w:rsid w:val="00ED08A1"/>
    <w:rsid w:val="00ED091F"/>
    <w:rsid w:val="00ED0961"/>
    <w:rsid w:val="00ED0992"/>
    <w:rsid w:val="00ED09E4"/>
    <w:rsid w:val="00ED09FE"/>
    <w:rsid w:val="00ED0A1B"/>
    <w:rsid w:val="00ED0A4B"/>
    <w:rsid w:val="00ED0A88"/>
    <w:rsid w:val="00ED0ABB"/>
    <w:rsid w:val="00ED0AD9"/>
    <w:rsid w:val="00ED0B16"/>
    <w:rsid w:val="00ED0B3D"/>
    <w:rsid w:val="00ED0BF8"/>
    <w:rsid w:val="00ED0BFF"/>
    <w:rsid w:val="00ED0C10"/>
    <w:rsid w:val="00ED0C4B"/>
    <w:rsid w:val="00ED0C58"/>
    <w:rsid w:val="00ED0D19"/>
    <w:rsid w:val="00ED0D27"/>
    <w:rsid w:val="00ED0D66"/>
    <w:rsid w:val="00ED0D6E"/>
    <w:rsid w:val="00ED0DB6"/>
    <w:rsid w:val="00ED0E2C"/>
    <w:rsid w:val="00ED0F97"/>
    <w:rsid w:val="00ED0FF9"/>
    <w:rsid w:val="00ED1006"/>
    <w:rsid w:val="00ED10D1"/>
    <w:rsid w:val="00ED1188"/>
    <w:rsid w:val="00ED1200"/>
    <w:rsid w:val="00ED1202"/>
    <w:rsid w:val="00ED1261"/>
    <w:rsid w:val="00ED128C"/>
    <w:rsid w:val="00ED12D3"/>
    <w:rsid w:val="00ED12F4"/>
    <w:rsid w:val="00ED1315"/>
    <w:rsid w:val="00ED136C"/>
    <w:rsid w:val="00ED1387"/>
    <w:rsid w:val="00ED13BB"/>
    <w:rsid w:val="00ED13D6"/>
    <w:rsid w:val="00ED148D"/>
    <w:rsid w:val="00ED149A"/>
    <w:rsid w:val="00ED14B2"/>
    <w:rsid w:val="00ED1502"/>
    <w:rsid w:val="00ED153A"/>
    <w:rsid w:val="00ED154F"/>
    <w:rsid w:val="00ED15C5"/>
    <w:rsid w:val="00ED15F8"/>
    <w:rsid w:val="00ED15FF"/>
    <w:rsid w:val="00ED161D"/>
    <w:rsid w:val="00ED1624"/>
    <w:rsid w:val="00ED16A6"/>
    <w:rsid w:val="00ED16BA"/>
    <w:rsid w:val="00ED16DE"/>
    <w:rsid w:val="00ED170E"/>
    <w:rsid w:val="00ED1721"/>
    <w:rsid w:val="00ED1766"/>
    <w:rsid w:val="00ED183F"/>
    <w:rsid w:val="00ED1870"/>
    <w:rsid w:val="00ED1875"/>
    <w:rsid w:val="00ED199B"/>
    <w:rsid w:val="00ED19A4"/>
    <w:rsid w:val="00ED1A45"/>
    <w:rsid w:val="00ED1A5A"/>
    <w:rsid w:val="00ED1A67"/>
    <w:rsid w:val="00ED1AEC"/>
    <w:rsid w:val="00ED1AF1"/>
    <w:rsid w:val="00ED1B44"/>
    <w:rsid w:val="00ED1B9E"/>
    <w:rsid w:val="00ED1C28"/>
    <w:rsid w:val="00ED1C52"/>
    <w:rsid w:val="00ED1C92"/>
    <w:rsid w:val="00ED1C95"/>
    <w:rsid w:val="00ED1CE5"/>
    <w:rsid w:val="00ED1CFB"/>
    <w:rsid w:val="00ED1D3B"/>
    <w:rsid w:val="00ED1D82"/>
    <w:rsid w:val="00ED1DEE"/>
    <w:rsid w:val="00ED1E22"/>
    <w:rsid w:val="00ED1E24"/>
    <w:rsid w:val="00ED1E44"/>
    <w:rsid w:val="00ED1EB3"/>
    <w:rsid w:val="00ED1EE9"/>
    <w:rsid w:val="00ED1F0A"/>
    <w:rsid w:val="00ED1F1C"/>
    <w:rsid w:val="00ED1F51"/>
    <w:rsid w:val="00ED1F67"/>
    <w:rsid w:val="00ED1FCA"/>
    <w:rsid w:val="00ED1FF5"/>
    <w:rsid w:val="00ED2096"/>
    <w:rsid w:val="00ED214D"/>
    <w:rsid w:val="00ED2190"/>
    <w:rsid w:val="00ED21B6"/>
    <w:rsid w:val="00ED21F3"/>
    <w:rsid w:val="00ED21F6"/>
    <w:rsid w:val="00ED2258"/>
    <w:rsid w:val="00ED22CA"/>
    <w:rsid w:val="00ED22F2"/>
    <w:rsid w:val="00ED2324"/>
    <w:rsid w:val="00ED2381"/>
    <w:rsid w:val="00ED23A3"/>
    <w:rsid w:val="00ED23B9"/>
    <w:rsid w:val="00ED2461"/>
    <w:rsid w:val="00ED24BF"/>
    <w:rsid w:val="00ED2575"/>
    <w:rsid w:val="00ED25C5"/>
    <w:rsid w:val="00ED25F6"/>
    <w:rsid w:val="00ED2605"/>
    <w:rsid w:val="00ED2632"/>
    <w:rsid w:val="00ED26B2"/>
    <w:rsid w:val="00ED26C4"/>
    <w:rsid w:val="00ED26D6"/>
    <w:rsid w:val="00ED277F"/>
    <w:rsid w:val="00ED27F6"/>
    <w:rsid w:val="00ED2840"/>
    <w:rsid w:val="00ED28C2"/>
    <w:rsid w:val="00ED28D6"/>
    <w:rsid w:val="00ED2945"/>
    <w:rsid w:val="00ED2949"/>
    <w:rsid w:val="00ED29F9"/>
    <w:rsid w:val="00ED2A41"/>
    <w:rsid w:val="00ED2AA5"/>
    <w:rsid w:val="00ED2AB4"/>
    <w:rsid w:val="00ED2ACD"/>
    <w:rsid w:val="00ED2AD6"/>
    <w:rsid w:val="00ED2AF4"/>
    <w:rsid w:val="00ED2B09"/>
    <w:rsid w:val="00ED2B1B"/>
    <w:rsid w:val="00ED2B32"/>
    <w:rsid w:val="00ED2B55"/>
    <w:rsid w:val="00ED2BA8"/>
    <w:rsid w:val="00ED2C60"/>
    <w:rsid w:val="00ED2CD5"/>
    <w:rsid w:val="00ED2D01"/>
    <w:rsid w:val="00ED2D03"/>
    <w:rsid w:val="00ED2D17"/>
    <w:rsid w:val="00ED2D18"/>
    <w:rsid w:val="00ED2D1E"/>
    <w:rsid w:val="00ED2D2E"/>
    <w:rsid w:val="00ED2D98"/>
    <w:rsid w:val="00ED2DD1"/>
    <w:rsid w:val="00ED2E09"/>
    <w:rsid w:val="00ED2E0A"/>
    <w:rsid w:val="00ED2E44"/>
    <w:rsid w:val="00ED2E89"/>
    <w:rsid w:val="00ED2EEC"/>
    <w:rsid w:val="00ED2F84"/>
    <w:rsid w:val="00ED3091"/>
    <w:rsid w:val="00ED30A4"/>
    <w:rsid w:val="00ED30C8"/>
    <w:rsid w:val="00ED30D6"/>
    <w:rsid w:val="00ED315D"/>
    <w:rsid w:val="00ED3161"/>
    <w:rsid w:val="00ED318F"/>
    <w:rsid w:val="00ED31F5"/>
    <w:rsid w:val="00ED3209"/>
    <w:rsid w:val="00ED322A"/>
    <w:rsid w:val="00ED323F"/>
    <w:rsid w:val="00ED3257"/>
    <w:rsid w:val="00ED3272"/>
    <w:rsid w:val="00ED32D1"/>
    <w:rsid w:val="00ED331B"/>
    <w:rsid w:val="00ED3334"/>
    <w:rsid w:val="00ED33C7"/>
    <w:rsid w:val="00ED33E3"/>
    <w:rsid w:val="00ED3474"/>
    <w:rsid w:val="00ED348C"/>
    <w:rsid w:val="00ED352E"/>
    <w:rsid w:val="00ED353A"/>
    <w:rsid w:val="00ED3581"/>
    <w:rsid w:val="00ED35E6"/>
    <w:rsid w:val="00ED35FB"/>
    <w:rsid w:val="00ED3650"/>
    <w:rsid w:val="00ED3656"/>
    <w:rsid w:val="00ED3687"/>
    <w:rsid w:val="00ED3694"/>
    <w:rsid w:val="00ED36C4"/>
    <w:rsid w:val="00ED3707"/>
    <w:rsid w:val="00ED3807"/>
    <w:rsid w:val="00ED385B"/>
    <w:rsid w:val="00ED38A7"/>
    <w:rsid w:val="00ED38CD"/>
    <w:rsid w:val="00ED38EF"/>
    <w:rsid w:val="00ED3900"/>
    <w:rsid w:val="00ED39C7"/>
    <w:rsid w:val="00ED39CA"/>
    <w:rsid w:val="00ED39D0"/>
    <w:rsid w:val="00ED3A28"/>
    <w:rsid w:val="00ED3A4B"/>
    <w:rsid w:val="00ED3A78"/>
    <w:rsid w:val="00ED3A97"/>
    <w:rsid w:val="00ED3AA6"/>
    <w:rsid w:val="00ED3AE2"/>
    <w:rsid w:val="00ED3B04"/>
    <w:rsid w:val="00ED3B32"/>
    <w:rsid w:val="00ED3B46"/>
    <w:rsid w:val="00ED3BC9"/>
    <w:rsid w:val="00ED3BDD"/>
    <w:rsid w:val="00ED3C14"/>
    <w:rsid w:val="00ED3D4C"/>
    <w:rsid w:val="00ED3DAA"/>
    <w:rsid w:val="00ED3DE1"/>
    <w:rsid w:val="00ED3E2D"/>
    <w:rsid w:val="00ED3E62"/>
    <w:rsid w:val="00ED3E64"/>
    <w:rsid w:val="00ED3E79"/>
    <w:rsid w:val="00ED3E92"/>
    <w:rsid w:val="00ED3F37"/>
    <w:rsid w:val="00ED3F92"/>
    <w:rsid w:val="00ED3FA6"/>
    <w:rsid w:val="00ED3FB7"/>
    <w:rsid w:val="00ED3FF1"/>
    <w:rsid w:val="00ED406E"/>
    <w:rsid w:val="00ED40B1"/>
    <w:rsid w:val="00ED40C7"/>
    <w:rsid w:val="00ED40CC"/>
    <w:rsid w:val="00ED4130"/>
    <w:rsid w:val="00ED4182"/>
    <w:rsid w:val="00ED41A5"/>
    <w:rsid w:val="00ED41C4"/>
    <w:rsid w:val="00ED41D7"/>
    <w:rsid w:val="00ED41EE"/>
    <w:rsid w:val="00ED4239"/>
    <w:rsid w:val="00ED423C"/>
    <w:rsid w:val="00ED4261"/>
    <w:rsid w:val="00ED42BE"/>
    <w:rsid w:val="00ED4308"/>
    <w:rsid w:val="00ED4311"/>
    <w:rsid w:val="00ED4350"/>
    <w:rsid w:val="00ED440F"/>
    <w:rsid w:val="00ED4410"/>
    <w:rsid w:val="00ED441D"/>
    <w:rsid w:val="00ED4526"/>
    <w:rsid w:val="00ED4596"/>
    <w:rsid w:val="00ED45AF"/>
    <w:rsid w:val="00ED45ED"/>
    <w:rsid w:val="00ED4608"/>
    <w:rsid w:val="00ED46AA"/>
    <w:rsid w:val="00ED46F1"/>
    <w:rsid w:val="00ED46F5"/>
    <w:rsid w:val="00ED4707"/>
    <w:rsid w:val="00ED4754"/>
    <w:rsid w:val="00ED4801"/>
    <w:rsid w:val="00ED4874"/>
    <w:rsid w:val="00ED488D"/>
    <w:rsid w:val="00ED49A8"/>
    <w:rsid w:val="00ED4A4F"/>
    <w:rsid w:val="00ED4A6A"/>
    <w:rsid w:val="00ED4A74"/>
    <w:rsid w:val="00ED4ACF"/>
    <w:rsid w:val="00ED4AD9"/>
    <w:rsid w:val="00ED4AFC"/>
    <w:rsid w:val="00ED4B3C"/>
    <w:rsid w:val="00ED4B5D"/>
    <w:rsid w:val="00ED4BC2"/>
    <w:rsid w:val="00ED4BFD"/>
    <w:rsid w:val="00ED4CB7"/>
    <w:rsid w:val="00ED4D1A"/>
    <w:rsid w:val="00ED4D2D"/>
    <w:rsid w:val="00ED4D42"/>
    <w:rsid w:val="00ED4D51"/>
    <w:rsid w:val="00ED4D64"/>
    <w:rsid w:val="00ED4D80"/>
    <w:rsid w:val="00ED4D9B"/>
    <w:rsid w:val="00ED4DB4"/>
    <w:rsid w:val="00ED4DC3"/>
    <w:rsid w:val="00ED4DE3"/>
    <w:rsid w:val="00ED4E94"/>
    <w:rsid w:val="00ED4EC2"/>
    <w:rsid w:val="00ED4EC9"/>
    <w:rsid w:val="00ED4EF2"/>
    <w:rsid w:val="00ED4F25"/>
    <w:rsid w:val="00ED50AF"/>
    <w:rsid w:val="00ED50DC"/>
    <w:rsid w:val="00ED513C"/>
    <w:rsid w:val="00ED515A"/>
    <w:rsid w:val="00ED526D"/>
    <w:rsid w:val="00ED52AB"/>
    <w:rsid w:val="00ED52DF"/>
    <w:rsid w:val="00ED5314"/>
    <w:rsid w:val="00ED532C"/>
    <w:rsid w:val="00ED5374"/>
    <w:rsid w:val="00ED53DC"/>
    <w:rsid w:val="00ED541F"/>
    <w:rsid w:val="00ED54BE"/>
    <w:rsid w:val="00ED5553"/>
    <w:rsid w:val="00ED559C"/>
    <w:rsid w:val="00ED55CD"/>
    <w:rsid w:val="00ED55DC"/>
    <w:rsid w:val="00ED5622"/>
    <w:rsid w:val="00ED5647"/>
    <w:rsid w:val="00ED56FC"/>
    <w:rsid w:val="00ED57F0"/>
    <w:rsid w:val="00ED582C"/>
    <w:rsid w:val="00ED5833"/>
    <w:rsid w:val="00ED5855"/>
    <w:rsid w:val="00ED589C"/>
    <w:rsid w:val="00ED58CC"/>
    <w:rsid w:val="00ED58E0"/>
    <w:rsid w:val="00ED5904"/>
    <w:rsid w:val="00ED59FF"/>
    <w:rsid w:val="00ED5A0D"/>
    <w:rsid w:val="00ED5A55"/>
    <w:rsid w:val="00ED5A9E"/>
    <w:rsid w:val="00ED5B18"/>
    <w:rsid w:val="00ED5BA1"/>
    <w:rsid w:val="00ED5C78"/>
    <w:rsid w:val="00ED5CA4"/>
    <w:rsid w:val="00ED5CA9"/>
    <w:rsid w:val="00ED5D04"/>
    <w:rsid w:val="00ED5D09"/>
    <w:rsid w:val="00ED5D2C"/>
    <w:rsid w:val="00ED5D3B"/>
    <w:rsid w:val="00ED5D4B"/>
    <w:rsid w:val="00ED5E3A"/>
    <w:rsid w:val="00ED5E65"/>
    <w:rsid w:val="00ED5E95"/>
    <w:rsid w:val="00ED5ECA"/>
    <w:rsid w:val="00ED5ED3"/>
    <w:rsid w:val="00ED5EFF"/>
    <w:rsid w:val="00ED5F89"/>
    <w:rsid w:val="00ED5F9F"/>
    <w:rsid w:val="00ED5FA3"/>
    <w:rsid w:val="00ED6027"/>
    <w:rsid w:val="00ED6034"/>
    <w:rsid w:val="00ED6055"/>
    <w:rsid w:val="00ED6064"/>
    <w:rsid w:val="00ED6097"/>
    <w:rsid w:val="00ED60F5"/>
    <w:rsid w:val="00ED6136"/>
    <w:rsid w:val="00ED6154"/>
    <w:rsid w:val="00ED6176"/>
    <w:rsid w:val="00ED619E"/>
    <w:rsid w:val="00ED61C1"/>
    <w:rsid w:val="00ED6207"/>
    <w:rsid w:val="00ED6247"/>
    <w:rsid w:val="00ED6248"/>
    <w:rsid w:val="00ED63B4"/>
    <w:rsid w:val="00ED63C2"/>
    <w:rsid w:val="00ED63E8"/>
    <w:rsid w:val="00ED63F1"/>
    <w:rsid w:val="00ED6418"/>
    <w:rsid w:val="00ED6454"/>
    <w:rsid w:val="00ED654B"/>
    <w:rsid w:val="00ED6599"/>
    <w:rsid w:val="00ED6629"/>
    <w:rsid w:val="00ED6665"/>
    <w:rsid w:val="00ED6706"/>
    <w:rsid w:val="00ED6794"/>
    <w:rsid w:val="00ED67EB"/>
    <w:rsid w:val="00ED680C"/>
    <w:rsid w:val="00ED6818"/>
    <w:rsid w:val="00ED6822"/>
    <w:rsid w:val="00ED686A"/>
    <w:rsid w:val="00ED6874"/>
    <w:rsid w:val="00ED689A"/>
    <w:rsid w:val="00ED68DB"/>
    <w:rsid w:val="00ED68DD"/>
    <w:rsid w:val="00ED6941"/>
    <w:rsid w:val="00ED694A"/>
    <w:rsid w:val="00ED6987"/>
    <w:rsid w:val="00ED6993"/>
    <w:rsid w:val="00ED69C3"/>
    <w:rsid w:val="00ED69F0"/>
    <w:rsid w:val="00ED6A13"/>
    <w:rsid w:val="00ED6AB6"/>
    <w:rsid w:val="00ED6AB9"/>
    <w:rsid w:val="00ED6AD5"/>
    <w:rsid w:val="00ED6B0B"/>
    <w:rsid w:val="00ED6B42"/>
    <w:rsid w:val="00ED6D04"/>
    <w:rsid w:val="00ED6D25"/>
    <w:rsid w:val="00ED6D40"/>
    <w:rsid w:val="00ED6D46"/>
    <w:rsid w:val="00ED6D57"/>
    <w:rsid w:val="00ED6D5C"/>
    <w:rsid w:val="00ED6D67"/>
    <w:rsid w:val="00ED6DA7"/>
    <w:rsid w:val="00ED6DAA"/>
    <w:rsid w:val="00ED6DE0"/>
    <w:rsid w:val="00ED6EB3"/>
    <w:rsid w:val="00ED6EDF"/>
    <w:rsid w:val="00ED6F00"/>
    <w:rsid w:val="00ED6F25"/>
    <w:rsid w:val="00ED6FE3"/>
    <w:rsid w:val="00ED7041"/>
    <w:rsid w:val="00ED7067"/>
    <w:rsid w:val="00ED70B7"/>
    <w:rsid w:val="00ED70C9"/>
    <w:rsid w:val="00ED72C8"/>
    <w:rsid w:val="00ED72CA"/>
    <w:rsid w:val="00ED72DA"/>
    <w:rsid w:val="00ED7308"/>
    <w:rsid w:val="00ED732F"/>
    <w:rsid w:val="00ED73AF"/>
    <w:rsid w:val="00ED7416"/>
    <w:rsid w:val="00ED741B"/>
    <w:rsid w:val="00ED7494"/>
    <w:rsid w:val="00ED74ED"/>
    <w:rsid w:val="00ED7554"/>
    <w:rsid w:val="00ED75A2"/>
    <w:rsid w:val="00ED75FE"/>
    <w:rsid w:val="00ED7620"/>
    <w:rsid w:val="00ED763E"/>
    <w:rsid w:val="00ED7676"/>
    <w:rsid w:val="00ED76F4"/>
    <w:rsid w:val="00ED7732"/>
    <w:rsid w:val="00ED7742"/>
    <w:rsid w:val="00ED7783"/>
    <w:rsid w:val="00ED7885"/>
    <w:rsid w:val="00ED78AC"/>
    <w:rsid w:val="00ED78D1"/>
    <w:rsid w:val="00ED78E4"/>
    <w:rsid w:val="00ED78EC"/>
    <w:rsid w:val="00ED78FB"/>
    <w:rsid w:val="00ED791D"/>
    <w:rsid w:val="00ED7925"/>
    <w:rsid w:val="00ED792B"/>
    <w:rsid w:val="00ED792D"/>
    <w:rsid w:val="00ED7981"/>
    <w:rsid w:val="00ED799F"/>
    <w:rsid w:val="00ED79C0"/>
    <w:rsid w:val="00ED79DD"/>
    <w:rsid w:val="00ED7A7A"/>
    <w:rsid w:val="00ED7A89"/>
    <w:rsid w:val="00ED7ABE"/>
    <w:rsid w:val="00ED7AE3"/>
    <w:rsid w:val="00ED7B8D"/>
    <w:rsid w:val="00ED7BD0"/>
    <w:rsid w:val="00ED7BD2"/>
    <w:rsid w:val="00ED7BE4"/>
    <w:rsid w:val="00ED7BFF"/>
    <w:rsid w:val="00ED7C19"/>
    <w:rsid w:val="00ED7C38"/>
    <w:rsid w:val="00ED7C72"/>
    <w:rsid w:val="00ED7CAC"/>
    <w:rsid w:val="00ED7CCD"/>
    <w:rsid w:val="00ED7D67"/>
    <w:rsid w:val="00ED7DB6"/>
    <w:rsid w:val="00ED7DBC"/>
    <w:rsid w:val="00ED7DC0"/>
    <w:rsid w:val="00ED7E0D"/>
    <w:rsid w:val="00ED7E4C"/>
    <w:rsid w:val="00ED7E83"/>
    <w:rsid w:val="00ED7EB3"/>
    <w:rsid w:val="00ED7EF0"/>
    <w:rsid w:val="00ED7EF4"/>
    <w:rsid w:val="00ED7F5D"/>
    <w:rsid w:val="00ED7F78"/>
    <w:rsid w:val="00ED7F86"/>
    <w:rsid w:val="00ED7FAE"/>
    <w:rsid w:val="00ED7FDC"/>
    <w:rsid w:val="00EE002F"/>
    <w:rsid w:val="00EE003F"/>
    <w:rsid w:val="00EE005A"/>
    <w:rsid w:val="00EE0076"/>
    <w:rsid w:val="00EE008A"/>
    <w:rsid w:val="00EE0092"/>
    <w:rsid w:val="00EE009E"/>
    <w:rsid w:val="00EE00E2"/>
    <w:rsid w:val="00EE0111"/>
    <w:rsid w:val="00EE0116"/>
    <w:rsid w:val="00EE011A"/>
    <w:rsid w:val="00EE0126"/>
    <w:rsid w:val="00EE01A1"/>
    <w:rsid w:val="00EE01B7"/>
    <w:rsid w:val="00EE0273"/>
    <w:rsid w:val="00EE02D7"/>
    <w:rsid w:val="00EE02DB"/>
    <w:rsid w:val="00EE0380"/>
    <w:rsid w:val="00EE041C"/>
    <w:rsid w:val="00EE043E"/>
    <w:rsid w:val="00EE04C4"/>
    <w:rsid w:val="00EE0536"/>
    <w:rsid w:val="00EE055E"/>
    <w:rsid w:val="00EE05BF"/>
    <w:rsid w:val="00EE05C8"/>
    <w:rsid w:val="00EE05ED"/>
    <w:rsid w:val="00EE060B"/>
    <w:rsid w:val="00EE0624"/>
    <w:rsid w:val="00EE06FB"/>
    <w:rsid w:val="00EE0756"/>
    <w:rsid w:val="00EE076C"/>
    <w:rsid w:val="00EE0770"/>
    <w:rsid w:val="00EE0776"/>
    <w:rsid w:val="00EE07B0"/>
    <w:rsid w:val="00EE07C4"/>
    <w:rsid w:val="00EE0877"/>
    <w:rsid w:val="00EE08AC"/>
    <w:rsid w:val="00EE08EF"/>
    <w:rsid w:val="00EE0906"/>
    <w:rsid w:val="00EE0918"/>
    <w:rsid w:val="00EE0928"/>
    <w:rsid w:val="00EE094A"/>
    <w:rsid w:val="00EE0971"/>
    <w:rsid w:val="00EE0974"/>
    <w:rsid w:val="00EE0999"/>
    <w:rsid w:val="00EE09A8"/>
    <w:rsid w:val="00EE09EC"/>
    <w:rsid w:val="00EE0A73"/>
    <w:rsid w:val="00EE0A90"/>
    <w:rsid w:val="00EE0B24"/>
    <w:rsid w:val="00EE0B25"/>
    <w:rsid w:val="00EE0B7C"/>
    <w:rsid w:val="00EE0BA1"/>
    <w:rsid w:val="00EE0BBC"/>
    <w:rsid w:val="00EE0C2D"/>
    <w:rsid w:val="00EE0C71"/>
    <w:rsid w:val="00EE0D13"/>
    <w:rsid w:val="00EE0E1B"/>
    <w:rsid w:val="00EE0E44"/>
    <w:rsid w:val="00EE0E6D"/>
    <w:rsid w:val="00EE0EAD"/>
    <w:rsid w:val="00EE0EC7"/>
    <w:rsid w:val="00EE0ED3"/>
    <w:rsid w:val="00EE0EE1"/>
    <w:rsid w:val="00EE0F02"/>
    <w:rsid w:val="00EE0F27"/>
    <w:rsid w:val="00EE0F70"/>
    <w:rsid w:val="00EE0FD1"/>
    <w:rsid w:val="00EE105E"/>
    <w:rsid w:val="00EE109F"/>
    <w:rsid w:val="00EE1124"/>
    <w:rsid w:val="00EE1182"/>
    <w:rsid w:val="00EE11D5"/>
    <w:rsid w:val="00EE11D8"/>
    <w:rsid w:val="00EE11EC"/>
    <w:rsid w:val="00EE1202"/>
    <w:rsid w:val="00EE1260"/>
    <w:rsid w:val="00EE1274"/>
    <w:rsid w:val="00EE1284"/>
    <w:rsid w:val="00EE12DD"/>
    <w:rsid w:val="00EE12EC"/>
    <w:rsid w:val="00EE12F2"/>
    <w:rsid w:val="00EE133C"/>
    <w:rsid w:val="00EE1354"/>
    <w:rsid w:val="00EE1373"/>
    <w:rsid w:val="00EE13A2"/>
    <w:rsid w:val="00EE1400"/>
    <w:rsid w:val="00EE1455"/>
    <w:rsid w:val="00EE145C"/>
    <w:rsid w:val="00EE148A"/>
    <w:rsid w:val="00EE14FF"/>
    <w:rsid w:val="00EE1514"/>
    <w:rsid w:val="00EE1549"/>
    <w:rsid w:val="00EE1582"/>
    <w:rsid w:val="00EE1583"/>
    <w:rsid w:val="00EE166E"/>
    <w:rsid w:val="00EE16AC"/>
    <w:rsid w:val="00EE16AF"/>
    <w:rsid w:val="00EE16C5"/>
    <w:rsid w:val="00EE16F9"/>
    <w:rsid w:val="00EE1712"/>
    <w:rsid w:val="00EE171A"/>
    <w:rsid w:val="00EE1741"/>
    <w:rsid w:val="00EE1752"/>
    <w:rsid w:val="00EE177E"/>
    <w:rsid w:val="00EE17A5"/>
    <w:rsid w:val="00EE17C6"/>
    <w:rsid w:val="00EE17DB"/>
    <w:rsid w:val="00EE17F9"/>
    <w:rsid w:val="00EE17FC"/>
    <w:rsid w:val="00EE1812"/>
    <w:rsid w:val="00EE1855"/>
    <w:rsid w:val="00EE1856"/>
    <w:rsid w:val="00EE187B"/>
    <w:rsid w:val="00EE19F3"/>
    <w:rsid w:val="00EE1A74"/>
    <w:rsid w:val="00EE1A8C"/>
    <w:rsid w:val="00EE1B3A"/>
    <w:rsid w:val="00EE1B49"/>
    <w:rsid w:val="00EE1B59"/>
    <w:rsid w:val="00EE1B8B"/>
    <w:rsid w:val="00EE1BE7"/>
    <w:rsid w:val="00EE1BF6"/>
    <w:rsid w:val="00EE1C21"/>
    <w:rsid w:val="00EE1C4C"/>
    <w:rsid w:val="00EE1C6E"/>
    <w:rsid w:val="00EE1C86"/>
    <w:rsid w:val="00EE1C9E"/>
    <w:rsid w:val="00EE1CA2"/>
    <w:rsid w:val="00EE1CB9"/>
    <w:rsid w:val="00EE1CFE"/>
    <w:rsid w:val="00EE1D28"/>
    <w:rsid w:val="00EE1D3A"/>
    <w:rsid w:val="00EE1D5D"/>
    <w:rsid w:val="00EE1D78"/>
    <w:rsid w:val="00EE1DBF"/>
    <w:rsid w:val="00EE1DE3"/>
    <w:rsid w:val="00EE1DF0"/>
    <w:rsid w:val="00EE1E34"/>
    <w:rsid w:val="00EE1E46"/>
    <w:rsid w:val="00EE1E5D"/>
    <w:rsid w:val="00EE1EA4"/>
    <w:rsid w:val="00EE1F31"/>
    <w:rsid w:val="00EE1F67"/>
    <w:rsid w:val="00EE1FC4"/>
    <w:rsid w:val="00EE1FD1"/>
    <w:rsid w:val="00EE202E"/>
    <w:rsid w:val="00EE2038"/>
    <w:rsid w:val="00EE204E"/>
    <w:rsid w:val="00EE2051"/>
    <w:rsid w:val="00EE20E9"/>
    <w:rsid w:val="00EE2160"/>
    <w:rsid w:val="00EE216B"/>
    <w:rsid w:val="00EE218C"/>
    <w:rsid w:val="00EE21BE"/>
    <w:rsid w:val="00EE2221"/>
    <w:rsid w:val="00EE222A"/>
    <w:rsid w:val="00EE222B"/>
    <w:rsid w:val="00EE226B"/>
    <w:rsid w:val="00EE22A6"/>
    <w:rsid w:val="00EE22F4"/>
    <w:rsid w:val="00EE2310"/>
    <w:rsid w:val="00EE231D"/>
    <w:rsid w:val="00EE2361"/>
    <w:rsid w:val="00EE236E"/>
    <w:rsid w:val="00EE2406"/>
    <w:rsid w:val="00EE2475"/>
    <w:rsid w:val="00EE24A4"/>
    <w:rsid w:val="00EE24AB"/>
    <w:rsid w:val="00EE2507"/>
    <w:rsid w:val="00EE253E"/>
    <w:rsid w:val="00EE255A"/>
    <w:rsid w:val="00EE2564"/>
    <w:rsid w:val="00EE2635"/>
    <w:rsid w:val="00EE2648"/>
    <w:rsid w:val="00EE2676"/>
    <w:rsid w:val="00EE2680"/>
    <w:rsid w:val="00EE26A8"/>
    <w:rsid w:val="00EE26D2"/>
    <w:rsid w:val="00EE272F"/>
    <w:rsid w:val="00EE27BE"/>
    <w:rsid w:val="00EE27BF"/>
    <w:rsid w:val="00EE280F"/>
    <w:rsid w:val="00EE281E"/>
    <w:rsid w:val="00EE283C"/>
    <w:rsid w:val="00EE2868"/>
    <w:rsid w:val="00EE28A7"/>
    <w:rsid w:val="00EE28F9"/>
    <w:rsid w:val="00EE2906"/>
    <w:rsid w:val="00EE2925"/>
    <w:rsid w:val="00EE29C1"/>
    <w:rsid w:val="00EE29F6"/>
    <w:rsid w:val="00EE2AD1"/>
    <w:rsid w:val="00EE2AE7"/>
    <w:rsid w:val="00EE2B40"/>
    <w:rsid w:val="00EE2B90"/>
    <w:rsid w:val="00EE2C31"/>
    <w:rsid w:val="00EE2C58"/>
    <w:rsid w:val="00EE2C70"/>
    <w:rsid w:val="00EE2C87"/>
    <w:rsid w:val="00EE2C9A"/>
    <w:rsid w:val="00EE2CB9"/>
    <w:rsid w:val="00EE2CC9"/>
    <w:rsid w:val="00EE2D3D"/>
    <w:rsid w:val="00EE2D9F"/>
    <w:rsid w:val="00EE2DC0"/>
    <w:rsid w:val="00EE2DF8"/>
    <w:rsid w:val="00EE2E69"/>
    <w:rsid w:val="00EE2EAD"/>
    <w:rsid w:val="00EE2EC1"/>
    <w:rsid w:val="00EE2ECF"/>
    <w:rsid w:val="00EE2EE8"/>
    <w:rsid w:val="00EE2EFA"/>
    <w:rsid w:val="00EE2EFD"/>
    <w:rsid w:val="00EE2F5D"/>
    <w:rsid w:val="00EE2F5E"/>
    <w:rsid w:val="00EE2FAA"/>
    <w:rsid w:val="00EE3031"/>
    <w:rsid w:val="00EE30B0"/>
    <w:rsid w:val="00EE3110"/>
    <w:rsid w:val="00EE3137"/>
    <w:rsid w:val="00EE3161"/>
    <w:rsid w:val="00EE3168"/>
    <w:rsid w:val="00EE3193"/>
    <w:rsid w:val="00EE31A5"/>
    <w:rsid w:val="00EE3218"/>
    <w:rsid w:val="00EE3291"/>
    <w:rsid w:val="00EE334B"/>
    <w:rsid w:val="00EE3382"/>
    <w:rsid w:val="00EE33F4"/>
    <w:rsid w:val="00EE3405"/>
    <w:rsid w:val="00EE345E"/>
    <w:rsid w:val="00EE349C"/>
    <w:rsid w:val="00EE34AA"/>
    <w:rsid w:val="00EE34D1"/>
    <w:rsid w:val="00EE355B"/>
    <w:rsid w:val="00EE35A1"/>
    <w:rsid w:val="00EE35BD"/>
    <w:rsid w:val="00EE3619"/>
    <w:rsid w:val="00EE3629"/>
    <w:rsid w:val="00EE3666"/>
    <w:rsid w:val="00EE368F"/>
    <w:rsid w:val="00EE36C9"/>
    <w:rsid w:val="00EE374A"/>
    <w:rsid w:val="00EE3754"/>
    <w:rsid w:val="00EE3791"/>
    <w:rsid w:val="00EE37B1"/>
    <w:rsid w:val="00EE37C3"/>
    <w:rsid w:val="00EE37DA"/>
    <w:rsid w:val="00EE37F0"/>
    <w:rsid w:val="00EE37FA"/>
    <w:rsid w:val="00EE384C"/>
    <w:rsid w:val="00EE3858"/>
    <w:rsid w:val="00EE38A9"/>
    <w:rsid w:val="00EE392F"/>
    <w:rsid w:val="00EE394D"/>
    <w:rsid w:val="00EE39B4"/>
    <w:rsid w:val="00EE39DF"/>
    <w:rsid w:val="00EE3A13"/>
    <w:rsid w:val="00EE3A41"/>
    <w:rsid w:val="00EE3A4B"/>
    <w:rsid w:val="00EE3A4F"/>
    <w:rsid w:val="00EE3A95"/>
    <w:rsid w:val="00EE3AA2"/>
    <w:rsid w:val="00EE3AB1"/>
    <w:rsid w:val="00EE3AE1"/>
    <w:rsid w:val="00EE3B0B"/>
    <w:rsid w:val="00EE3B23"/>
    <w:rsid w:val="00EE3B95"/>
    <w:rsid w:val="00EE3BB0"/>
    <w:rsid w:val="00EE3C28"/>
    <w:rsid w:val="00EE3C56"/>
    <w:rsid w:val="00EE3C68"/>
    <w:rsid w:val="00EE3C7C"/>
    <w:rsid w:val="00EE3C9B"/>
    <w:rsid w:val="00EE3CD8"/>
    <w:rsid w:val="00EE3CDF"/>
    <w:rsid w:val="00EE3CE3"/>
    <w:rsid w:val="00EE3D18"/>
    <w:rsid w:val="00EE3D68"/>
    <w:rsid w:val="00EE3DF5"/>
    <w:rsid w:val="00EE3E0B"/>
    <w:rsid w:val="00EE3E0D"/>
    <w:rsid w:val="00EE3E19"/>
    <w:rsid w:val="00EE3E75"/>
    <w:rsid w:val="00EE3F7A"/>
    <w:rsid w:val="00EE3FAE"/>
    <w:rsid w:val="00EE405D"/>
    <w:rsid w:val="00EE4071"/>
    <w:rsid w:val="00EE4079"/>
    <w:rsid w:val="00EE414E"/>
    <w:rsid w:val="00EE417F"/>
    <w:rsid w:val="00EE41E3"/>
    <w:rsid w:val="00EE4249"/>
    <w:rsid w:val="00EE4283"/>
    <w:rsid w:val="00EE42EB"/>
    <w:rsid w:val="00EE4319"/>
    <w:rsid w:val="00EE43A3"/>
    <w:rsid w:val="00EE4405"/>
    <w:rsid w:val="00EE4492"/>
    <w:rsid w:val="00EE450F"/>
    <w:rsid w:val="00EE453E"/>
    <w:rsid w:val="00EE45AE"/>
    <w:rsid w:val="00EE45C6"/>
    <w:rsid w:val="00EE45E3"/>
    <w:rsid w:val="00EE4605"/>
    <w:rsid w:val="00EE4626"/>
    <w:rsid w:val="00EE469F"/>
    <w:rsid w:val="00EE46E8"/>
    <w:rsid w:val="00EE4715"/>
    <w:rsid w:val="00EE473A"/>
    <w:rsid w:val="00EE4742"/>
    <w:rsid w:val="00EE4755"/>
    <w:rsid w:val="00EE477F"/>
    <w:rsid w:val="00EE47E7"/>
    <w:rsid w:val="00EE47FA"/>
    <w:rsid w:val="00EE4800"/>
    <w:rsid w:val="00EE480F"/>
    <w:rsid w:val="00EE486A"/>
    <w:rsid w:val="00EE4900"/>
    <w:rsid w:val="00EE499B"/>
    <w:rsid w:val="00EE4A2D"/>
    <w:rsid w:val="00EE4A39"/>
    <w:rsid w:val="00EE4A61"/>
    <w:rsid w:val="00EE4A82"/>
    <w:rsid w:val="00EE4ACF"/>
    <w:rsid w:val="00EE4B11"/>
    <w:rsid w:val="00EE4B32"/>
    <w:rsid w:val="00EE4B82"/>
    <w:rsid w:val="00EE4B9D"/>
    <w:rsid w:val="00EE4BBB"/>
    <w:rsid w:val="00EE4C0F"/>
    <w:rsid w:val="00EE4C13"/>
    <w:rsid w:val="00EE4C1E"/>
    <w:rsid w:val="00EE4C61"/>
    <w:rsid w:val="00EE4D0C"/>
    <w:rsid w:val="00EE4D46"/>
    <w:rsid w:val="00EE4D57"/>
    <w:rsid w:val="00EE4D5E"/>
    <w:rsid w:val="00EE4D8B"/>
    <w:rsid w:val="00EE4DC8"/>
    <w:rsid w:val="00EE4E30"/>
    <w:rsid w:val="00EE4E74"/>
    <w:rsid w:val="00EE4E87"/>
    <w:rsid w:val="00EE4E9D"/>
    <w:rsid w:val="00EE4EB5"/>
    <w:rsid w:val="00EE4EB7"/>
    <w:rsid w:val="00EE4EC6"/>
    <w:rsid w:val="00EE4ECA"/>
    <w:rsid w:val="00EE4ECC"/>
    <w:rsid w:val="00EE4F0C"/>
    <w:rsid w:val="00EE4F40"/>
    <w:rsid w:val="00EE4F85"/>
    <w:rsid w:val="00EE4FB2"/>
    <w:rsid w:val="00EE4FBE"/>
    <w:rsid w:val="00EE5020"/>
    <w:rsid w:val="00EE504B"/>
    <w:rsid w:val="00EE50C7"/>
    <w:rsid w:val="00EE50CA"/>
    <w:rsid w:val="00EE5135"/>
    <w:rsid w:val="00EE5157"/>
    <w:rsid w:val="00EE51A1"/>
    <w:rsid w:val="00EE51A5"/>
    <w:rsid w:val="00EE51AD"/>
    <w:rsid w:val="00EE51C0"/>
    <w:rsid w:val="00EE5229"/>
    <w:rsid w:val="00EE526A"/>
    <w:rsid w:val="00EE5289"/>
    <w:rsid w:val="00EE52D0"/>
    <w:rsid w:val="00EE52DA"/>
    <w:rsid w:val="00EE5362"/>
    <w:rsid w:val="00EE53CB"/>
    <w:rsid w:val="00EE53DF"/>
    <w:rsid w:val="00EE5402"/>
    <w:rsid w:val="00EE5405"/>
    <w:rsid w:val="00EE5421"/>
    <w:rsid w:val="00EE549D"/>
    <w:rsid w:val="00EE5516"/>
    <w:rsid w:val="00EE5519"/>
    <w:rsid w:val="00EE5545"/>
    <w:rsid w:val="00EE559F"/>
    <w:rsid w:val="00EE55AB"/>
    <w:rsid w:val="00EE55D5"/>
    <w:rsid w:val="00EE55F4"/>
    <w:rsid w:val="00EE563F"/>
    <w:rsid w:val="00EE564A"/>
    <w:rsid w:val="00EE5664"/>
    <w:rsid w:val="00EE5767"/>
    <w:rsid w:val="00EE57A7"/>
    <w:rsid w:val="00EE57B9"/>
    <w:rsid w:val="00EE5881"/>
    <w:rsid w:val="00EE589A"/>
    <w:rsid w:val="00EE5948"/>
    <w:rsid w:val="00EE599F"/>
    <w:rsid w:val="00EE5A35"/>
    <w:rsid w:val="00EE5A78"/>
    <w:rsid w:val="00EE5A7E"/>
    <w:rsid w:val="00EE5B5E"/>
    <w:rsid w:val="00EE5BB8"/>
    <w:rsid w:val="00EE5C24"/>
    <w:rsid w:val="00EE5C43"/>
    <w:rsid w:val="00EE5C55"/>
    <w:rsid w:val="00EE5C75"/>
    <w:rsid w:val="00EE5CEA"/>
    <w:rsid w:val="00EE5CFF"/>
    <w:rsid w:val="00EE5D22"/>
    <w:rsid w:val="00EE5D47"/>
    <w:rsid w:val="00EE5D48"/>
    <w:rsid w:val="00EE5D6F"/>
    <w:rsid w:val="00EE5D9E"/>
    <w:rsid w:val="00EE5DE7"/>
    <w:rsid w:val="00EE5E06"/>
    <w:rsid w:val="00EE5E3E"/>
    <w:rsid w:val="00EE5E7C"/>
    <w:rsid w:val="00EE5EA1"/>
    <w:rsid w:val="00EE5F43"/>
    <w:rsid w:val="00EE5F65"/>
    <w:rsid w:val="00EE5F8C"/>
    <w:rsid w:val="00EE5F8F"/>
    <w:rsid w:val="00EE5F93"/>
    <w:rsid w:val="00EE5FA7"/>
    <w:rsid w:val="00EE5FB1"/>
    <w:rsid w:val="00EE5FC0"/>
    <w:rsid w:val="00EE5FE5"/>
    <w:rsid w:val="00EE6085"/>
    <w:rsid w:val="00EE616D"/>
    <w:rsid w:val="00EE619A"/>
    <w:rsid w:val="00EE61C6"/>
    <w:rsid w:val="00EE61CB"/>
    <w:rsid w:val="00EE61E3"/>
    <w:rsid w:val="00EE6262"/>
    <w:rsid w:val="00EE6310"/>
    <w:rsid w:val="00EE6330"/>
    <w:rsid w:val="00EE639C"/>
    <w:rsid w:val="00EE63EB"/>
    <w:rsid w:val="00EE64FD"/>
    <w:rsid w:val="00EE6523"/>
    <w:rsid w:val="00EE6552"/>
    <w:rsid w:val="00EE6578"/>
    <w:rsid w:val="00EE659D"/>
    <w:rsid w:val="00EE66D8"/>
    <w:rsid w:val="00EE66E4"/>
    <w:rsid w:val="00EE66F0"/>
    <w:rsid w:val="00EE6702"/>
    <w:rsid w:val="00EE672B"/>
    <w:rsid w:val="00EE673F"/>
    <w:rsid w:val="00EE6767"/>
    <w:rsid w:val="00EE6769"/>
    <w:rsid w:val="00EE67AA"/>
    <w:rsid w:val="00EE67CD"/>
    <w:rsid w:val="00EE67E4"/>
    <w:rsid w:val="00EE6811"/>
    <w:rsid w:val="00EE6816"/>
    <w:rsid w:val="00EE682C"/>
    <w:rsid w:val="00EE6839"/>
    <w:rsid w:val="00EE6850"/>
    <w:rsid w:val="00EE6874"/>
    <w:rsid w:val="00EE68E6"/>
    <w:rsid w:val="00EE6930"/>
    <w:rsid w:val="00EE693A"/>
    <w:rsid w:val="00EE6A01"/>
    <w:rsid w:val="00EE6A1A"/>
    <w:rsid w:val="00EE6A30"/>
    <w:rsid w:val="00EE6A6C"/>
    <w:rsid w:val="00EE6AB4"/>
    <w:rsid w:val="00EE6ACE"/>
    <w:rsid w:val="00EE6B98"/>
    <w:rsid w:val="00EE6B9F"/>
    <w:rsid w:val="00EE6BE9"/>
    <w:rsid w:val="00EE6C5F"/>
    <w:rsid w:val="00EE6CA2"/>
    <w:rsid w:val="00EE6D33"/>
    <w:rsid w:val="00EE6D72"/>
    <w:rsid w:val="00EE6DA7"/>
    <w:rsid w:val="00EE6E41"/>
    <w:rsid w:val="00EE6E84"/>
    <w:rsid w:val="00EE6E8E"/>
    <w:rsid w:val="00EE6FBA"/>
    <w:rsid w:val="00EE700F"/>
    <w:rsid w:val="00EE7059"/>
    <w:rsid w:val="00EE7081"/>
    <w:rsid w:val="00EE7101"/>
    <w:rsid w:val="00EE7127"/>
    <w:rsid w:val="00EE71B0"/>
    <w:rsid w:val="00EE71B8"/>
    <w:rsid w:val="00EE71CD"/>
    <w:rsid w:val="00EE71DB"/>
    <w:rsid w:val="00EE7240"/>
    <w:rsid w:val="00EE728C"/>
    <w:rsid w:val="00EE72AB"/>
    <w:rsid w:val="00EE730E"/>
    <w:rsid w:val="00EE7320"/>
    <w:rsid w:val="00EE73B8"/>
    <w:rsid w:val="00EE73BD"/>
    <w:rsid w:val="00EE73C9"/>
    <w:rsid w:val="00EE73CB"/>
    <w:rsid w:val="00EE73F7"/>
    <w:rsid w:val="00EE7495"/>
    <w:rsid w:val="00EE74A4"/>
    <w:rsid w:val="00EE74D1"/>
    <w:rsid w:val="00EE750C"/>
    <w:rsid w:val="00EE757F"/>
    <w:rsid w:val="00EE75F7"/>
    <w:rsid w:val="00EE765A"/>
    <w:rsid w:val="00EE7673"/>
    <w:rsid w:val="00EE76D7"/>
    <w:rsid w:val="00EE76E8"/>
    <w:rsid w:val="00EE7786"/>
    <w:rsid w:val="00EE7808"/>
    <w:rsid w:val="00EE787A"/>
    <w:rsid w:val="00EE789E"/>
    <w:rsid w:val="00EE78B9"/>
    <w:rsid w:val="00EE78E6"/>
    <w:rsid w:val="00EE78F8"/>
    <w:rsid w:val="00EE7950"/>
    <w:rsid w:val="00EE7979"/>
    <w:rsid w:val="00EE7985"/>
    <w:rsid w:val="00EE7987"/>
    <w:rsid w:val="00EE79B5"/>
    <w:rsid w:val="00EE79E6"/>
    <w:rsid w:val="00EE7A7D"/>
    <w:rsid w:val="00EE7A84"/>
    <w:rsid w:val="00EE7AA6"/>
    <w:rsid w:val="00EE7AE2"/>
    <w:rsid w:val="00EE7B14"/>
    <w:rsid w:val="00EE7B1F"/>
    <w:rsid w:val="00EE7B25"/>
    <w:rsid w:val="00EE7B32"/>
    <w:rsid w:val="00EE7B4B"/>
    <w:rsid w:val="00EE7B80"/>
    <w:rsid w:val="00EE7C0B"/>
    <w:rsid w:val="00EE7C9B"/>
    <w:rsid w:val="00EE7CB7"/>
    <w:rsid w:val="00EE7CD9"/>
    <w:rsid w:val="00EE7CDD"/>
    <w:rsid w:val="00EE7CE9"/>
    <w:rsid w:val="00EE7D00"/>
    <w:rsid w:val="00EE7D02"/>
    <w:rsid w:val="00EE7D82"/>
    <w:rsid w:val="00EE7D96"/>
    <w:rsid w:val="00EE7E27"/>
    <w:rsid w:val="00EE7E76"/>
    <w:rsid w:val="00EE7EE6"/>
    <w:rsid w:val="00EE7F5D"/>
    <w:rsid w:val="00EE7FC6"/>
    <w:rsid w:val="00EEC27B"/>
    <w:rsid w:val="00EF002E"/>
    <w:rsid w:val="00EF0074"/>
    <w:rsid w:val="00EF0104"/>
    <w:rsid w:val="00EF0114"/>
    <w:rsid w:val="00EF016A"/>
    <w:rsid w:val="00EF0188"/>
    <w:rsid w:val="00EF01EA"/>
    <w:rsid w:val="00EF0254"/>
    <w:rsid w:val="00EF0291"/>
    <w:rsid w:val="00EF02BE"/>
    <w:rsid w:val="00EF031C"/>
    <w:rsid w:val="00EF035A"/>
    <w:rsid w:val="00EF0382"/>
    <w:rsid w:val="00EF03EB"/>
    <w:rsid w:val="00EF03FC"/>
    <w:rsid w:val="00EF043A"/>
    <w:rsid w:val="00EF0464"/>
    <w:rsid w:val="00EF04B3"/>
    <w:rsid w:val="00EF0535"/>
    <w:rsid w:val="00EF054C"/>
    <w:rsid w:val="00EF0557"/>
    <w:rsid w:val="00EF0590"/>
    <w:rsid w:val="00EF05B6"/>
    <w:rsid w:val="00EF05BA"/>
    <w:rsid w:val="00EF05C2"/>
    <w:rsid w:val="00EF05E1"/>
    <w:rsid w:val="00EF06AD"/>
    <w:rsid w:val="00EF06B4"/>
    <w:rsid w:val="00EF0735"/>
    <w:rsid w:val="00EF0768"/>
    <w:rsid w:val="00EF0788"/>
    <w:rsid w:val="00EF07A8"/>
    <w:rsid w:val="00EF0832"/>
    <w:rsid w:val="00EF0856"/>
    <w:rsid w:val="00EF0868"/>
    <w:rsid w:val="00EF0879"/>
    <w:rsid w:val="00EF08A3"/>
    <w:rsid w:val="00EF08A5"/>
    <w:rsid w:val="00EF08B3"/>
    <w:rsid w:val="00EF08F2"/>
    <w:rsid w:val="00EF0917"/>
    <w:rsid w:val="00EF0922"/>
    <w:rsid w:val="00EF092D"/>
    <w:rsid w:val="00EF0945"/>
    <w:rsid w:val="00EF095B"/>
    <w:rsid w:val="00EF0984"/>
    <w:rsid w:val="00EF0A64"/>
    <w:rsid w:val="00EF0B21"/>
    <w:rsid w:val="00EF0B35"/>
    <w:rsid w:val="00EF0B5E"/>
    <w:rsid w:val="00EF0BE2"/>
    <w:rsid w:val="00EF0C34"/>
    <w:rsid w:val="00EF0C53"/>
    <w:rsid w:val="00EF0CC0"/>
    <w:rsid w:val="00EF0CEA"/>
    <w:rsid w:val="00EF0D62"/>
    <w:rsid w:val="00EF0D64"/>
    <w:rsid w:val="00EF0D77"/>
    <w:rsid w:val="00EF0D87"/>
    <w:rsid w:val="00EF0DBA"/>
    <w:rsid w:val="00EF0E62"/>
    <w:rsid w:val="00EF0E88"/>
    <w:rsid w:val="00EF0EA1"/>
    <w:rsid w:val="00EF0F83"/>
    <w:rsid w:val="00EF0FCF"/>
    <w:rsid w:val="00EF0FEB"/>
    <w:rsid w:val="00EF1010"/>
    <w:rsid w:val="00EF115D"/>
    <w:rsid w:val="00EF11BB"/>
    <w:rsid w:val="00EF12C9"/>
    <w:rsid w:val="00EF12D2"/>
    <w:rsid w:val="00EF12D5"/>
    <w:rsid w:val="00EF12EB"/>
    <w:rsid w:val="00EF1302"/>
    <w:rsid w:val="00EF1311"/>
    <w:rsid w:val="00EF1332"/>
    <w:rsid w:val="00EF13B6"/>
    <w:rsid w:val="00EF13FE"/>
    <w:rsid w:val="00EF1416"/>
    <w:rsid w:val="00EF1451"/>
    <w:rsid w:val="00EF1479"/>
    <w:rsid w:val="00EF15D2"/>
    <w:rsid w:val="00EF1607"/>
    <w:rsid w:val="00EF163A"/>
    <w:rsid w:val="00EF1659"/>
    <w:rsid w:val="00EF16A7"/>
    <w:rsid w:val="00EF16D5"/>
    <w:rsid w:val="00EF1707"/>
    <w:rsid w:val="00EF1710"/>
    <w:rsid w:val="00EF1735"/>
    <w:rsid w:val="00EF1760"/>
    <w:rsid w:val="00EF177E"/>
    <w:rsid w:val="00EF17E3"/>
    <w:rsid w:val="00EF1848"/>
    <w:rsid w:val="00EF1855"/>
    <w:rsid w:val="00EF1888"/>
    <w:rsid w:val="00EF18FC"/>
    <w:rsid w:val="00EF1902"/>
    <w:rsid w:val="00EF1A4E"/>
    <w:rsid w:val="00EF1ACD"/>
    <w:rsid w:val="00EF1ADC"/>
    <w:rsid w:val="00EF1AF0"/>
    <w:rsid w:val="00EF1B33"/>
    <w:rsid w:val="00EF1B83"/>
    <w:rsid w:val="00EF1B90"/>
    <w:rsid w:val="00EF1BB5"/>
    <w:rsid w:val="00EF1C00"/>
    <w:rsid w:val="00EF1C28"/>
    <w:rsid w:val="00EF1C67"/>
    <w:rsid w:val="00EF1C8A"/>
    <w:rsid w:val="00EF1CC7"/>
    <w:rsid w:val="00EF1CE9"/>
    <w:rsid w:val="00EF1CFE"/>
    <w:rsid w:val="00EF1D32"/>
    <w:rsid w:val="00EF1D64"/>
    <w:rsid w:val="00EF1E58"/>
    <w:rsid w:val="00EF1E5C"/>
    <w:rsid w:val="00EF1E61"/>
    <w:rsid w:val="00EF1E6A"/>
    <w:rsid w:val="00EF1EAC"/>
    <w:rsid w:val="00EF1EE9"/>
    <w:rsid w:val="00EF1F2D"/>
    <w:rsid w:val="00EF1FB3"/>
    <w:rsid w:val="00EF1FF9"/>
    <w:rsid w:val="00EF2054"/>
    <w:rsid w:val="00EF2082"/>
    <w:rsid w:val="00EF20A1"/>
    <w:rsid w:val="00EF20AF"/>
    <w:rsid w:val="00EF2105"/>
    <w:rsid w:val="00EF21DA"/>
    <w:rsid w:val="00EF224B"/>
    <w:rsid w:val="00EF2283"/>
    <w:rsid w:val="00EF2285"/>
    <w:rsid w:val="00EF22F7"/>
    <w:rsid w:val="00EF2310"/>
    <w:rsid w:val="00EF2372"/>
    <w:rsid w:val="00EF2376"/>
    <w:rsid w:val="00EF238A"/>
    <w:rsid w:val="00EF23E7"/>
    <w:rsid w:val="00EF2401"/>
    <w:rsid w:val="00EF2409"/>
    <w:rsid w:val="00EF2433"/>
    <w:rsid w:val="00EF24BB"/>
    <w:rsid w:val="00EF24E1"/>
    <w:rsid w:val="00EF24F1"/>
    <w:rsid w:val="00EF2517"/>
    <w:rsid w:val="00EF2597"/>
    <w:rsid w:val="00EF25E7"/>
    <w:rsid w:val="00EF2604"/>
    <w:rsid w:val="00EF2619"/>
    <w:rsid w:val="00EF262C"/>
    <w:rsid w:val="00EF2678"/>
    <w:rsid w:val="00EF269C"/>
    <w:rsid w:val="00EF26B2"/>
    <w:rsid w:val="00EF26B3"/>
    <w:rsid w:val="00EF26B7"/>
    <w:rsid w:val="00EF26C4"/>
    <w:rsid w:val="00EF26EF"/>
    <w:rsid w:val="00EF273F"/>
    <w:rsid w:val="00EF276F"/>
    <w:rsid w:val="00EF27B3"/>
    <w:rsid w:val="00EF27C4"/>
    <w:rsid w:val="00EF27CA"/>
    <w:rsid w:val="00EF280E"/>
    <w:rsid w:val="00EF28EB"/>
    <w:rsid w:val="00EF2945"/>
    <w:rsid w:val="00EF2986"/>
    <w:rsid w:val="00EF29C7"/>
    <w:rsid w:val="00EF2A1E"/>
    <w:rsid w:val="00EF2A64"/>
    <w:rsid w:val="00EF2A87"/>
    <w:rsid w:val="00EF2AF0"/>
    <w:rsid w:val="00EF2B08"/>
    <w:rsid w:val="00EF2B68"/>
    <w:rsid w:val="00EF2BE3"/>
    <w:rsid w:val="00EF2C1E"/>
    <w:rsid w:val="00EF2C77"/>
    <w:rsid w:val="00EF2C8F"/>
    <w:rsid w:val="00EF2CA2"/>
    <w:rsid w:val="00EF2CC4"/>
    <w:rsid w:val="00EF2D67"/>
    <w:rsid w:val="00EF2DC2"/>
    <w:rsid w:val="00EF2E39"/>
    <w:rsid w:val="00EF2E5B"/>
    <w:rsid w:val="00EF2E5C"/>
    <w:rsid w:val="00EF2E82"/>
    <w:rsid w:val="00EF2E91"/>
    <w:rsid w:val="00EF2EE0"/>
    <w:rsid w:val="00EF2EE4"/>
    <w:rsid w:val="00EF2FAA"/>
    <w:rsid w:val="00EF2FC5"/>
    <w:rsid w:val="00EF2FF3"/>
    <w:rsid w:val="00EF3014"/>
    <w:rsid w:val="00EF303B"/>
    <w:rsid w:val="00EF3054"/>
    <w:rsid w:val="00EF3061"/>
    <w:rsid w:val="00EF3102"/>
    <w:rsid w:val="00EF313F"/>
    <w:rsid w:val="00EF3213"/>
    <w:rsid w:val="00EF321A"/>
    <w:rsid w:val="00EF33EA"/>
    <w:rsid w:val="00EF341B"/>
    <w:rsid w:val="00EF341D"/>
    <w:rsid w:val="00EF342D"/>
    <w:rsid w:val="00EF3483"/>
    <w:rsid w:val="00EF3553"/>
    <w:rsid w:val="00EF357B"/>
    <w:rsid w:val="00EF35C5"/>
    <w:rsid w:val="00EF35DE"/>
    <w:rsid w:val="00EF35E9"/>
    <w:rsid w:val="00EF3605"/>
    <w:rsid w:val="00EF3616"/>
    <w:rsid w:val="00EF362B"/>
    <w:rsid w:val="00EF368C"/>
    <w:rsid w:val="00EF36D9"/>
    <w:rsid w:val="00EF372D"/>
    <w:rsid w:val="00EF3784"/>
    <w:rsid w:val="00EF37B2"/>
    <w:rsid w:val="00EF37C8"/>
    <w:rsid w:val="00EF37D0"/>
    <w:rsid w:val="00EF3826"/>
    <w:rsid w:val="00EF3855"/>
    <w:rsid w:val="00EF38D1"/>
    <w:rsid w:val="00EF38E3"/>
    <w:rsid w:val="00EF3907"/>
    <w:rsid w:val="00EF395B"/>
    <w:rsid w:val="00EF39EF"/>
    <w:rsid w:val="00EF3A10"/>
    <w:rsid w:val="00EF3A2A"/>
    <w:rsid w:val="00EF3A46"/>
    <w:rsid w:val="00EF3A52"/>
    <w:rsid w:val="00EF3A71"/>
    <w:rsid w:val="00EF3A93"/>
    <w:rsid w:val="00EF3AA9"/>
    <w:rsid w:val="00EF3AAF"/>
    <w:rsid w:val="00EF3BF5"/>
    <w:rsid w:val="00EF3C3C"/>
    <w:rsid w:val="00EF3CA0"/>
    <w:rsid w:val="00EF3CFE"/>
    <w:rsid w:val="00EF3D47"/>
    <w:rsid w:val="00EF3D70"/>
    <w:rsid w:val="00EF3DAD"/>
    <w:rsid w:val="00EF3DB2"/>
    <w:rsid w:val="00EF3DF4"/>
    <w:rsid w:val="00EF3E9A"/>
    <w:rsid w:val="00EF3EA5"/>
    <w:rsid w:val="00EF3F0C"/>
    <w:rsid w:val="00EF3F1C"/>
    <w:rsid w:val="00EF3F28"/>
    <w:rsid w:val="00EF3F7E"/>
    <w:rsid w:val="00EF3F91"/>
    <w:rsid w:val="00EF3FB2"/>
    <w:rsid w:val="00EF3FDF"/>
    <w:rsid w:val="00EF4000"/>
    <w:rsid w:val="00EF4057"/>
    <w:rsid w:val="00EF40B0"/>
    <w:rsid w:val="00EF40B1"/>
    <w:rsid w:val="00EF40B6"/>
    <w:rsid w:val="00EF410B"/>
    <w:rsid w:val="00EF4115"/>
    <w:rsid w:val="00EF412A"/>
    <w:rsid w:val="00EF414E"/>
    <w:rsid w:val="00EF4167"/>
    <w:rsid w:val="00EF418E"/>
    <w:rsid w:val="00EF41CA"/>
    <w:rsid w:val="00EF41CB"/>
    <w:rsid w:val="00EF422B"/>
    <w:rsid w:val="00EF4250"/>
    <w:rsid w:val="00EF4271"/>
    <w:rsid w:val="00EF4272"/>
    <w:rsid w:val="00EF4383"/>
    <w:rsid w:val="00EF43AB"/>
    <w:rsid w:val="00EF43AC"/>
    <w:rsid w:val="00EF43BB"/>
    <w:rsid w:val="00EF43F1"/>
    <w:rsid w:val="00EF4402"/>
    <w:rsid w:val="00EF4420"/>
    <w:rsid w:val="00EF4434"/>
    <w:rsid w:val="00EF445F"/>
    <w:rsid w:val="00EF4521"/>
    <w:rsid w:val="00EF4544"/>
    <w:rsid w:val="00EF457C"/>
    <w:rsid w:val="00EF457E"/>
    <w:rsid w:val="00EF45A2"/>
    <w:rsid w:val="00EF45BA"/>
    <w:rsid w:val="00EF45FD"/>
    <w:rsid w:val="00EF4617"/>
    <w:rsid w:val="00EF4644"/>
    <w:rsid w:val="00EF4651"/>
    <w:rsid w:val="00EF4653"/>
    <w:rsid w:val="00EF465D"/>
    <w:rsid w:val="00EF4671"/>
    <w:rsid w:val="00EF46B8"/>
    <w:rsid w:val="00EF46ED"/>
    <w:rsid w:val="00EF4752"/>
    <w:rsid w:val="00EF477C"/>
    <w:rsid w:val="00EF483E"/>
    <w:rsid w:val="00EF4886"/>
    <w:rsid w:val="00EF48B1"/>
    <w:rsid w:val="00EF48E0"/>
    <w:rsid w:val="00EF492A"/>
    <w:rsid w:val="00EF496B"/>
    <w:rsid w:val="00EF4971"/>
    <w:rsid w:val="00EF4984"/>
    <w:rsid w:val="00EF4A01"/>
    <w:rsid w:val="00EF4A15"/>
    <w:rsid w:val="00EF4AA9"/>
    <w:rsid w:val="00EF4B47"/>
    <w:rsid w:val="00EF4C35"/>
    <w:rsid w:val="00EF4C3C"/>
    <w:rsid w:val="00EF4C79"/>
    <w:rsid w:val="00EF4C82"/>
    <w:rsid w:val="00EF4CFA"/>
    <w:rsid w:val="00EF4D18"/>
    <w:rsid w:val="00EF4DA2"/>
    <w:rsid w:val="00EF4E19"/>
    <w:rsid w:val="00EF4E95"/>
    <w:rsid w:val="00EF4EA7"/>
    <w:rsid w:val="00EF4ED3"/>
    <w:rsid w:val="00EF4F3C"/>
    <w:rsid w:val="00EF4FDF"/>
    <w:rsid w:val="00EF4FF3"/>
    <w:rsid w:val="00EF5030"/>
    <w:rsid w:val="00EF5039"/>
    <w:rsid w:val="00EF505D"/>
    <w:rsid w:val="00EF50AB"/>
    <w:rsid w:val="00EF50DA"/>
    <w:rsid w:val="00EF50EA"/>
    <w:rsid w:val="00EF50FC"/>
    <w:rsid w:val="00EF510E"/>
    <w:rsid w:val="00EF512F"/>
    <w:rsid w:val="00EF5179"/>
    <w:rsid w:val="00EF519F"/>
    <w:rsid w:val="00EF51CE"/>
    <w:rsid w:val="00EF5271"/>
    <w:rsid w:val="00EF5273"/>
    <w:rsid w:val="00EF5289"/>
    <w:rsid w:val="00EF530F"/>
    <w:rsid w:val="00EF5311"/>
    <w:rsid w:val="00EF5314"/>
    <w:rsid w:val="00EF53E4"/>
    <w:rsid w:val="00EF541E"/>
    <w:rsid w:val="00EF543B"/>
    <w:rsid w:val="00EF5499"/>
    <w:rsid w:val="00EF54E2"/>
    <w:rsid w:val="00EF5569"/>
    <w:rsid w:val="00EF55BC"/>
    <w:rsid w:val="00EF55E1"/>
    <w:rsid w:val="00EF55EF"/>
    <w:rsid w:val="00EF55F5"/>
    <w:rsid w:val="00EF5629"/>
    <w:rsid w:val="00EF563A"/>
    <w:rsid w:val="00EF5686"/>
    <w:rsid w:val="00EF56D4"/>
    <w:rsid w:val="00EF5713"/>
    <w:rsid w:val="00EF5744"/>
    <w:rsid w:val="00EF578C"/>
    <w:rsid w:val="00EF57EA"/>
    <w:rsid w:val="00EF581C"/>
    <w:rsid w:val="00EF583D"/>
    <w:rsid w:val="00EF5896"/>
    <w:rsid w:val="00EF589E"/>
    <w:rsid w:val="00EF58B8"/>
    <w:rsid w:val="00EF58DC"/>
    <w:rsid w:val="00EF58E8"/>
    <w:rsid w:val="00EF5948"/>
    <w:rsid w:val="00EF5972"/>
    <w:rsid w:val="00EF5984"/>
    <w:rsid w:val="00EF5A12"/>
    <w:rsid w:val="00EF5A54"/>
    <w:rsid w:val="00EF5A78"/>
    <w:rsid w:val="00EF5A7E"/>
    <w:rsid w:val="00EF5AC9"/>
    <w:rsid w:val="00EF5AE8"/>
    <w:rsid w:val="00EF5AF0"/>
    <w:rsid w:val="00EF5AF4"/>
    <w:rsid w:val="00EF5AF6"/>
    <w:rsid w:val="00EF5B44"/>
    <w:rsid w:val="00EF5B60"/>
    <w:rsid w:val="00EF5B6A"/>
    <w:rsid w:val="00EF5BCE"/>
    <w:rsid w:val="00EF5BEB"/>
    <w:rsid w:val="00EF5BFE"/>
    <w:rsid w:val="00EF5C24"/>
    <w:rsid w:val="00EF5C78"/>
    <w:rsid w:val="00EF5CA2"/>
    <w:rsid w:val="00EF5CBD"/>
    <w:rsid w:val="00EF5CEA"/>
    <w:rsid w:val="00EF5D09"/>
    <w:rsid w:val="00EF5D24"/>
    <w:rsid w:val="00EF5D51"/>
    <w:rsid w:val="00EF5D6E"/>
    <w:rsid w:val="00EF5E07"/>
    <w:rsid w:val="00EF5E25"/>
    <w:rsid w:val="00EF5ED3"/>
    <w:rsid w:val="00EF5F1E"/>
    <w:rsid w:val="00EF5F47"/>
    <w:rsid w:val="00EF5F66"/>
    <w:rsid w:val="00EF604B"/>
    <w:rsid w:val="00EF607B"/>
    <w:rsid w:val="00EF612E"/>
    <w:rsid w:val="00EF6149"/>
    <w:rsid w:val="00EF6158"/>
    <w:rsid w:val="00EF6160"/>
    <w:rsid w:val="00EF61AF"/>
    <w:rsid w:val="00EF61C8"/>
    <w:rsid w:val="00EF621E"/>
    <w:rsid w:val="00EF6236"/>
    <w:rsid w:val="00EF6238"/>
    <w:rsid w:val="00EF6256"/>
    <w:rsid w:val="00EF625A"/>
    <w:rsid w:val="00EF626B"/>
    <w:rsid w:val="00EF62C3"/>
    <w:rsid w:val="00EF62CE"/>
    <w:rsid w:val="00EF6306"/>
    <w:rsid w:val="00EF633F"/>
    <w:rsid w:val="00EF6359"/>
    <w:rsid w:val="00EF6384"/>
    <w:rsid w:val="00EF63A7"/>
    <w:rsid w:val="00EF63F0"/>
    <w:rsid w:val="00EF641B"/>
    <w:rsid w:val="00EF64C7"/>
    <w:rsid w:val="00EF655A"/>
    <w:rsid w:val="00EF65AD"/>
    <w:rsid w:val="00EF65E4"/>
    <w:rsid w:val="00EF6653"/>
    <w:rsid w:val="00EF6727"/>
    <w:rsid w:val="00EF6794"/>
    <w:rsid w:val="00EF67AB"/>
    <w:rsid w:val="00EF67BF"/>
    <w:rsid w:val="00EF6835"/>
    <w:rsid w:val="00EF6860"/>
    <w:rsid w:val="00EF68B7"/>
    <w:rsid w:val="00EF6909"/>
    <w:rsid w:val="00EF697A"/>
    <w:rsid w:val="00EF69AD"/>
    <w:rsid w:val="00EF69F7"/>
    <w:rsid w:val="00EF6A02"/>
    <w:rsid w:val="00EF6A37"/>
    <w:rsid w:val="00EF6A43"/>
    <w:rsid w:val="00EF6A60"/>
    <w:rsid w:val="00EF6A6A"/>
    <w:rsid w:val="00EF6AB5"/>
    <w:rsid w:val="00EF6AD3"/>
    <w:rsid w:val="00EF6ADF"/>
    <w:rsid w:val="00EF6B0A"/>
    <w:rsid w:val="00EF6B1D"/>
    <w:rsid w:val="00EF6B7F"/>
    <w:rsid w:val="00EF6BFE"/>
    <w:rsid w:val="00EF6C36"/>
    <w:rsid w:val="00EF6C9F"/>
    <w:rsid w:val="00EF6CA2"/>
    <w:rsid w:val="00EF6CA7"/>
    <w:rsid w:val="00EF6CDC"/>
    <w:rsid w:val="00EF6D12"/>
    <w:rsid w:val="00EF6D13"/>
    <w:rsid w:val="00EF6D32"/>
    <w:rsid w:val="00EF6E03"/>
    <w:rsid w:val="00EF6E46"/>
    <w:rsid w:val="00EF6EA2"/>
    <w:rsid w:val="00EF6EB8"/>
    <w:rsid w:val="00EF6EDF"/>
    <w:rsid w:val="00EF6F15"/>
    <w:rsid w:val="00EF6F95"/>
    <w:rsid w:val="00EF6FA0"/>
    <w:rsid w:val="00EF6FBB"/>
    <w:rsid w:val="00EF6FCB"/>
    <w:rsid w:val="00EF6FD6"/>
    <w:rsid w:val="00EF7007"/>
    <w:rsid w:val="00EF7041"/>
    <w:rsid w:val="00EF7045"/>
    <w:rsid w:val="00EF7064"/>
    <w:rsid w:val="00EF7072"/>
    <w:rsid w:val="00EF7081"/>
    <w:rsid w:val="00EF70DB"/>
    <w:rsid w:val="00EF712C"/>
    <w:rsid w:val="00EF71A9"/>
    <w:rsid w:val="00EF7248"/>
    <w:rsid w:val="00EF72ED"/>
    <w:rsid w:val="00EF738D"/>
    <w:rsid w:val="00EF7395"/>
    <w:rsid w:val="00EF73E2"/>
    <w:rsid w:val="00EF7416"/>
    <w:rsid w:val="00EF74C3"/>
    <w:rsid w:val="00EF7544"/>
    <w:rsid w:val="00EF754B"/>
    <w:rsid w:val="00EF7576"/>
    <w:rsid w:val="00EF757F"/>
    <w:rsid w:val="00EF75CC"/>
    <w:rsid w:val="00EF7651"/>
    <w:rsid w:val="00EF7669"/>
    <w:rsid w:val="00EF76DE"/>
    <w:rsid w:val="00EF771D"/>
    <w:rsid w:val="00EF773B"/>
    <w:rsid w:val="00EF776F"/>
    <w:rsid w:val="00EF777C"/>
    <w:rsid w:val="00EF7789"/>
    <w:rsid w:val="00EF77D5"/>
    <w:rsid w:val="00EF780E"/>
    <w:rsid w:val="00EF7862"/>
    <w:rsid w:val="00EF78B7"/>
    <w:rsid w:val="00EF78C8"/>
    <w:rsid w:val="00EF78E2"/>
    <w:rsid w:val="00EF78FF"/>
    <w:rsid w:val="00EF7918"/>
    <w:rsid w:val="00EF79AF"/>
    <w:rsid w:val="00EF7A6A"/>
    <w:rsid w:val="00EF7B23"/>
    <w:rsid w:val="00EF7B24"/>
    <w:rsid w:val="00EF7B3F"/>
    <w:rsid w:val="00EF7B6E"/>
    <w:rsid w:val="00EF7B78"/>
    <w:rsid w:val="00EF7B7B"/>
    <w:rsid w:val="00EF7B89"/>
    <w:rsid w:val="00EF7BD8"/>
    <w:rsid w:val="00EF7BEF"/>
    <w:rsid w:val="00EF7C09"/>
    <w:rsid w:val="00EF7C5A"/>
    <w:rsid w:val="00EF7C6F"/>
    <w:rsid w:val="00EF7C96"/>
    <w:rsid w:val="00EF7D34"/>
    <w:rsid w:val="00EF7D89"/>
    <w:rsid w:val="00EF7DB7"/>
    <w:rsid w:val="00EF7E76"/>
    <w:rsid w:val="00EF7EA3"/>
    <w:rsid w:val="00EF7F5B"/>
    <w:rsid w:val="00EF7F8B"/>
    <w:rsid w:val="00EF7FBD"/>
    <w:rsid w:val="00EF7FE4"/>
    <w:rsid w:val="00EF9CC9"/>
    <w:rsid w:val="00F0000C"/>
    <w:rsid w:val="00F00062"/>
    <w:rsid w:val="00F000F1"/>
    <w:rsid w:val="00F00139"/>
    <w:rsid w:val="00F00188"/>
    <w:rsid w:val="00F0019F"/>
    <w:rsid w:val="00F001CA"/>
    <w:rsid w:val="00F001E7"/>
    <w:rsid w:val="00F0020A"/>
    <w:rsid w:val="00F0028E"/>
    <w:rsid w:val="00F002B3"/>
    <w:rsid w:val="00F002C0"/>
    <w:rsid w:val="00F002C8"/>
    <w:rsid w:val="00F002DB"/>
    <w:rsid w:val="00F002E9"/>
    <w:rsid w:val="00F003F0"/>
    <w:rsid w:val="00F0040F"/>
    <w:rsid w:val="00F00456"/>
    <w:rsid w:val="00F00473"/>
    <w:rsid w:val="00F004CE"/>
    <w:rsid w:val="00F004EC"/>
    <w:rsid w:val="00F00674"/>
    <w:rsid w:val="00F006BC"/>
    <w:rsid w:val="00F006D9"/>
    <w:rsid w:val="00F00717"/>
    <w:rsid w:val="00F0071B"/>
    <w:rsid w:val="00F0073B"/>
    <w:rsid w:val="00F00792"/>
    <w:rsid w:val="00F007AD"/>
    <w:rsid w:val="00F007E8"/>
    <w:rsid w:val="00F007F7"/>
    <w:rsid w:val="00F0080A"/>
    <w:rsid w:val="00F0080B"/>
    <w:rsid w:val="00F00811"/>
    <w:rsid w:val="00F00831"/>
    <w:rsid w:val="00F00843"/>
    <w:rsid w:val="00F0088B"/>
    <w:rsid w:val="00F0088F"/>
    <w:rsid w:val="00F00923"/>
    <w:rsid w:val="00F0092A"/>
    <w:rsid w:val="00F00936"/>
    <w:rsid w:val="00F00961"/>
    <w:rsid w:val="00F009B4"/>
    <w:rsid w:val="00F009C0"/>
    <w:rsid w:val="00F009D4"/>
    <w:rsid w:val="00F00A0E"/>
    <w:rsid w:val="00F00A39"/>
    <w:rsid w:val="00F00A3F"/>
    <w:rsid w:val="00F00A46"/>
    <w:rsid w:val="00F00AB7"/>
    <w:rsid w:val="00F00AC9"/>
    <w:rsid w:val="00F00ACB"/>
    <w:rsid w:val="00F00B8E"/>
    <w:rsid w:val="00F00B90"/>
    <w:rsid w:val="00F00BB8"/>
    <w:rsid w:val="00F00BED"/>
    <w:rsid w:val="00F00C2B"/>
    <w:rsid w:val="00F00C2F"/>
    <w:rsid w:val="00F00C7E"/>
    <w:rsid w:val="00F00CA9"/>
    <w:rsid w:val="00F00CF9"/>
    <w:rsid w:val="00F00CFF"/>
    <w:rsid w:val="00F00D53"/>
    <w:rsid w:val="00F00D77"/>
    <w:rsid w:val="00F00DAB"/>
    <w:rsid w:val="00F00DD2"/>
    <w:rsid w:val="00F00DE5"/>
    <w:rsid w:val="00F00E33"/>
    <w:rsid w:val="00F00F09"/>
    <w:rsid w:val="00F00F58"/>
    <w:rsid w:val="00F00F88"/>
    <w:rsid w:val="00F00F90"/>
    <w:rsid w:val="00F00F9F"/>
    <w:rsid w:val="00F00FDD"/>
    <w:rsid w:val="00F00FFC"/>
    <w:rsid w:val="00F01012"/>
    <w:rsid w:val="00F01015"/>
    <w:rsid w:val="00F010C0"/>
    <w:rsid w:val="00F010CB"/>
    <w:rsid w:val="00F010EC"/>
    <w:rsid w:val="00F0110A"/>
    <w:rsid w:val="00F0111D"/>
    <w:rsid w:val="00F0114C"/>
    <w:rsid w:val="00F0118B"/>
    <w:rsid w:val="00F0119B"/>
    <w:rsid w:val="00F011A7"/>
    <w:rsid w:val="00F011B1"/>
    <w:rsid w:val="00F011D0"/>
    <w:rsid w:val="00F011D1"/>
    <w:rsid w:val="00F011DF"/>
    <w:rsid w:val="00F01216"/>
    <w:rsid w:val="00F0122A"/>
    <w:rsid w:val="00F01253"/>
    <w:rsid w:val="00F0127B"/>
    <w:rsid w:val="00F012C0"/>
    <w:rsid w:val="00F012FF"/>
    <w:rsid w:val="00F0131C"/>
    <w:rsid w:val="00F01374"/>
    <w:rsid w:val="00F01401"/>
    <w:rsid w:val="00F01428"/>
    <w:rsid w:val="00F01444"/>
    <w:rsid w:val="00F01537"/>
    <w:rsid w:val="00F01547"/>
    <w:rsid w:val="00F01556"/>
    <w:rsid w:val="00F01576"/>
    <w:rsid w:val="00F015A5"/>
    <w:rsid w:val="00F015CF"/>
    <w:rsid w:val="00F015D1"/>
    <w:rsid w:val="00F01607"/>
    <w:rsid w:val="00F0163C"/>
    <w:rsid w:val="00F01645"/>
    <w:rsid w:val="00F016AD"/>
    <w:rsid w:val="00F01721"/>
    <w:rsid w:val="00F01747"/>
    <w:rsid w:val="00F0179B"/>
    <w:rsid w:val="00F017EC"/>
    <w:rsid w:val="00F01821"/>
    <w:rsid w:val="00F01882"/>
    <w:rsid w:val="00F01891"/>
    <w:rsid w:val="00F01895"/>
    <w:rsid w:val="00F0190B"/>
    <w:rsid w:val="00F01998"/>
    <w:rsid w:val="00F019BA"/>
    <w:rsid w:val="00F019D6"/>
    <w:rsid w:val="00F01A21"/>
    <w:rsid w:val="00F01AA6"/>
    <w:rsid w:val="00F01B2C"/>
    <w:rsid w:val="00F01B58"/>
    <w:rsid w:val="00F01BB5"/>
    <w:rsid w:val="00F01BF3"/>
    <w:rsid w:val="00F01C55"/>
    <w:rsid w:val="00F01C7D"/>
    <w:rsid w:val="00F01CB9"/>
    <w:rsid w:val="00F01CBB"/>
    <w:rsid w:val="00F01CDE"/>
    <w:rsid w:val="00F01D12"/>
    <w:rsid w:val="00F01D1B"/>
    <w:rsid w:val="00F01DB0"/>
    <w:rsid w:val="00F01DB3"/>
    <w:rsid w:val="00F01E8D"/>
    <w:rsid w:val="00F01F11"/>
    <w:rsid w:val="00F01FB2"/>
    <w:rsid w:val="00F02010"/>
    <w:rsid w:val="00F02016"/>
    <w:rsid w:val="00F020BF"/>
    <w:rsid w:val="00F0216B"/>
    <w:rsid w:val="00F02174"/>
    <w:rsid w:val="00F0217E"/>
    <w:rsid w:val="00F021D2"/>
    <w:rsid w:val="00F021E4"/>
    <w:rsid w:val="00F02235"/>
    <w:rsid w:val="00F02249"/>
    <w:rsid w:val="00F02285"/>
    <w:rsid w:val="00F022C6"/>
    <w:rsid w:val="00F022C9"/>
    <w:rsid w:val="00F022F4"/>
    <w:rsid w:val="00F0237C"/>
    <w:rsid w:val="00F023B3"/>
    <w:rsid w:val="00F023E2"/>
    <w:rsid w:val="00F0241F"/>
    <w:rsid w:val="00F024AF"/>
    <w:rsid w:val="00F024E7"/>
    <w:rsid w:val="00F024F1"/>
    <w:rsid w:val="00F024FC"/>
    <w:rsid w:val="00F02540"/>
    <w:rsid w:val="00F0257A"/>
    <w:rsid w:val="00F0258C"/>
    <w:rsid w:val="00F0258E"/>
    <w:rsid w:val="00F025A9"/>
    <w:rsid w:val="00F025C0"/>
    <w:rsid w:val="00F025C8"/>
    <w:rsid w:val="00F02613"/>
    <w:rsid w:val="00F0265D"/>
    <w:rsid w:val="00F0268F"/>
    <w:rsid w:val="00F02715"/>
    <w:rsid w:val="00F0277C"/>
    <w:rsid w:val="00F027AC"/>
    <w:rsid w:val="00F027ED"/>
    <w:rsid w:val="00F02822"/>
    <w:rsid w:val="00F0286E"/>
    <w:rsid w:val="00F028FC"/>
    <w:rsid w:val="00F02952"/>
    <w:rsid w:val="00F029A7"/>
    <w:rsid w:val="00F029C7"/>
    <w:rsid w:val="00F029C9"/>
    <w:rsid w:val="00F029EC"/>
    <w:rsid w:val="00F02A96"/>
    <w:rsid w:val="00F02B15"/>
    <w:rsid w:val="00F02B1E"/>
    <w:rsid w:val="00F02B9E"/>
    <w:rsid w:val="00F02BD4"/>
    <w:rsid w:val="00F02BFC"/>
    <w:rsid w:val="00F02C17"/>
    <w:rsid w:val="00F02C1E"/>
    <w:rsid w:val="00F02C20"/>
    <w:rsid w:val="00F02C3C"/>
    <w:rsid w:val="00F02C41"/>
    <w:rsid w:val="00F02C9D"/>
    <w:rsid w:val="00F02CD4"/>
    <w:rsid w:val="00F02D3E"/>
    <w:rsid w:val="00F02D80"/>
    <w:rsid w:val="00F02D8A"/>
    <w:rsid w:val="00F02DF7"/>
    <w:rsid w:val="00F02E03"/>
    <w:rsid w:val="00F02EE2"/>
    <w:rsid w:val="00F02EEE"/>
    <w:rsid w:val="00F02F2F"/>
    <w:rsid w:val="00F02F86"/>
    <w:rsid w:val="00F02F9F"/>
    <w:rsid w:val="00F03052"/>
    <w:rsid w:val="00F03057"/>
    <w:rsid w:val="00F0306D"/>
    <w:rsid w:val="00F03096"/>
    <w:rsid w:val="00F030E1"/>
    <w:rsid w:val="00F03151"/>
    <w:rsid w:val="00F0315F"/>
    <w:rsid w:val="00F03173"/>
    <w:rsid w:val="00F03175"/>
    <w:rsid w:val="00F0317D"/>
    <w:rsid w:val="00F031AA"/>
    <w:rsid w:val="00F031B1"/>
    <w:rsid w:val="00F0325D"/>
    <w:rsid w:val="00F03300"/>
    <w:rsid w:val="00F0332B"/>
    <w:rsid w:val="00F0338B"/>
    <w:rsid w:val="00F03399"/>
    <w:rsid w:val="00F033DD"/>
    <w:rsid w:val="00F03423"/>
    <w:rsid w:val="00F0343A"/>
    <w:rsid w:val="00F034AB"/>
    <w:rsid w:val="00F034B3"/>
    <w:rsid w:val="00F034CB"/>
    <w:rsid w:val="00F0350A"/>
    <w:rsid w:val="00F0351D"/>
    <w:rsid w:val="00F03529"/>
    <w:rsid w:val="00F03551"/>
    <w:rsid w:val="00F03567"/>
    <w:rsid w:val="00F03597"/>
    <w:rsid w:val="00F0359A"/>
    <w:rsid w:val="00F035B6"/>
    <w:rsid w:val="00F035D3"/>
    <w:rsid w:val="00F035EB"/>
    <w:rsid w:val="00F0361C"/>
    <w:rsid w:val="00F0362C"/>
    <w:rsid w:val="00F03673"/>
    <w:rsid w:val="00F037AE"/>
    <w:rsid w:val="00F0381B"/>
    <w:rsid w:val="00F03847"/>
    <w:rsid w:val="00F038B0"/>
    <w:rsid w:val="00F038B6"/>
    <w:rsid w:val="00F038C6"/>
    <w:rsid w:val="00F038EC"/>
    <w:rsid w:val="00F038FE"/>
    <w:rsid w:val="00F0390F"/>
    <w:rsid w:val="00F03992"/>
    <w:rsid w:val="00F039DF"/>
    <w:rsid w:val="00F039E4"/>
    <w:rsid w:val="00F03A11"/>
    <w:rsid w:val="00F03A3D"/>
    <w:rsid w:val="00F03A3F"/>
    <w:rsid w:val="00F03A71"/>
    <w:rsid w:val="00F03ABE"/>
    <w:rsid w:val="00F03AC1"/>
    <w:rsid w:val="00F03B13"/>
    <w:rsid w:val="00F03B62"/>
    <w:rsid w:val="00F03C21"/>
    <w:rsid w:val="00F03CB3"/>
    <w:rsid w:val="00F03D1A"/>
    <w:rsid w:val="00F03D1D"/>
    <w:rsid w:val="00F03D33"/>
    <w:rsid w:val="00F03DEF"/>
    <w:rsid w:val="00F03DF6"/>
    <w:rsid w:val="00F03E50"/>
    <w:rsid w:val="00F03E5D"/>
    <w:rsid w:val="00F03ECA"/>
    <w:rsid w:val="00F03ECB"/>
    <w:rsid w:val="00F03F0F"/>
    <w:rsid w:val="00F03F79"/>
    <w:rsid w:val="00F04054"/>
    <w:rsid w:val="00F040C8"/>
    <w:rsid w:val="00F0419E"/>
    <w:rsid w:val="00F0420D"/>
    <w:rsid w:val="00F0424E"/>
    <w:rsid w:val="00F04256"/>
    <w:rsid w:val="00F04298"/>
    <w:rsid w:val="00F042D1"/>
    <w:rsid w:val="00F042EB"/>
    <w:rsid w:val="00F043AF"/>
    <w:rsid w:val="00F043D6"/>
    <w:rsid w:val="00F04437"/>
    <w:rsid w:val="00F04482"/>
    <w:rsid w:val="00F04491"/>
    <w:rsid w:val="00F044C9"/>
    <w:rsid w:val="00F04567"/>
    <w:rsid w:val="00F045B7"/>
    <w:rsid w:val="00F045B8"/>
    <w:rsid w:val="00F045D7"/>
    <w:rsid w:val="00F04608"/>
    <w:rsid w:val="00F0463E"/>
    <w:rsid w:val="00F04667"/>
    <w:rsid w:val="00F0467C"/>
    <w:rsid w:val="00F046B6"/>
    <w:rsid w:val="00F046D3"/>
    <w:rsid w:val="00F046E6"/>
    <w:rsid w:val="00F046F3"/>
    <w:rsid w:val="00F0475A"/>
    <w:rsid w:val="00F047FF"/>
    <w:rsid w:val="00F04806"/>
    <w:rsid w:val="00F04811"/>
    <w:rsid w:val="00F04818"/>
    <w:rsid w:val="00F0481E"/>
    <w:rsid w:val="00F04871"/>
    <w:rsid w:val="00F049FD"/>
    <w:rsid w:val="00F04A10"/>
    <w:rsid w:val="00F04ACB"/>
    <w:rsid w:val="00F04B37"/>
    <w:rsid w:val="00F04B61"/>
    <w:rsid w:val="00F04BDF"/>
    <w:rsid w:val="00F04BF1"/>
    <w:rsid w:val="00F04C6A"/>
    <w:rsid w:val="00F04C9B"/>
    <w:rsid w:val="00F04CDC"/>
    <w:rsid w:val="00F04D6D"/>
    <w:rsid w:val="00F04D80"/>
    <w:rsid w:val="00F04E2E"/>
    <w:rsid w:val="00F04EA4"/>
    <w:rsid w:val="00F04F01"/>
    <w:rsid w:val="00F04F07"/>
    <w:rsid w:val="00F04F09"/>
    <w:rsid w:val="00F04F27"/>
    <w:rsid w:val="00F04F8C"/>
    <w:rsid w:val="00F04FA4"/>
    <w:rsid w:val="00F04FB8"/>
    <w:rsid w:val="00F04FD2"/>
    <w:rsid w:val="00F04FF6"/>
    <w:rsid w:val="00F0504A"/>
    <w:rsid w:val="00F050A9"/>
    <w:rsid w:val="00F050B2"/>
    <w:rsid w:val="00F050EB"/>
    <w:rsid w:val="00F05121"/>
    <w:rsid w:val="00F05125"/>
    <w:rsid w:val="00F05178"/>
    <w:rsid w:val="00F05196"/>
    <w:rsid w:val="00F051C1"/>
    <w:rsid w:val="00F0522A"/>
    <w:rsid w:val="00F052AF"/>
    <w:rsid w:val="00F052B9"/>
    <w:rsid w:val="00F053B9"/>
    <w:rsid w:val="00F053D1"/>
    <w:rsid w:val="00F05415"/>
    <w:rsid w:val="00F0544A"/>
    <w:rsid w:val="00F05463"/>
    <w:rsid w:val="00F05469"/>
    <w:rsid w:val="00F05493"/>
    <w:rsid w:val="00F054A5"/>
    <w:rsid w:val="00F054C9"/>
    <w:rsid w:val="00F054DC"/>
    <w:rsid w:val="00F054E2"/>
    <w:rsid w:val="00F0553A"/>
    <w:rsid w:val="00F05545"/>
    <w:rsid w:val="00F055BB"/>
    <w:rsid w:val="00F0560D"/>
    <w:rsid w:val="00F0560E"/>
    <w:rsid w:val="00F05613"/>
    <w:rsid w:val="00F05621"/>
    <w:rsid w:val="00F05642"/>
    <w:rsid w:val="00F0567A"/>
    <w:rsid w:val="00F05695"/>
    <w:rsid w:val="00F056AB"/>
    <w:rsid w:val="00F056CC"/>
    <w:rsid w:val="00F056E3"/>
    <w:rsid w:val="00F0570E"/>
    <w:rsid w:val="00F0577E"/>
    <w:rsid w:val="00F058DD"/>
    <w:rsid w:val="00F05902"/>
    <w:rsid w:val="00F0594C"/>
    <w:rsid w:val="00F0597D"/>
    <w:rsid w:val="00F059B7"/>
    <w:rsid w:val="00F059FA"/>
    <w:rsid w:val="00F05A0A"/>
    <w:rsid w:val="00F05A37"/>
    <w:rsid w:val="00F05A3B"/>
    <w:rsid w:val="00F05A4C"/>
    <w:rsid w:val="00F05ABE"/>
    <w:rsid w:val="00F05B05"/>
    <w:rsid w:val="00F05B7E"/>
    <w:rsid w:val="00F05B98"/>
    <w:rsid w:val="00F05BA6"/>
    <w:rsid w:val="00F05C1E"/>
    <w:rsid w:val="00F05C59"/>
    <w:rsid w:val="00F05CA8"/>
    <w:rsid w:val="00F05CB7"/>
    <w:rsid w:val="00F05CF1"/>
    <w:rsid w:val="00F05D2C"/>
    <w:rsid w:val="00F05D35"/>
    <w:rsid w:val="00F05D6D"/>
    <w:rsid w:val="00F05E04"/>
    <w:rsid w:val="00F05E66"/>
    <w:rsid w:val="00F05E84"/>
    <w:rsid w:val="00F05F14"/>
    <w:rsid w:val="00F05F6E"/>
    <w:rsid w:val="00F05F90"/>
    <w:rsid w:val="00F05FE7"/>
    <w:rsid w:val="00F0609A"/>
    <w:rsid w:val="00F060D7"/>
    <w:rsid w:val="00F060F4"/>
    <w:rsid w:val="00F06119"/>
    <w:rsid w:val="00F0611E"/>
    <w:rsid w:val="00F0618F"/>
    <w:rsid w:val="00F06195"/>
    <w:rsid w:val="00F061BF"/>
    <w:rsid w:val="00F061EE"/>
    <w:rsid w:val="00F06222"/>
    <w:rsid w:val="00F06255"/>
    <w:rsid w:val="00F0625C"/>
    <w:rsid w:val="00F06294"/>
    <w:rsid w:val="00F062C2"/>
    <w:rsid w:val="00F06321"/>
    <w:rsid w:val="00F0633E"/>
    <w:rsid w:val="00F06385"/>
    <w:rsid w:val="00F063AA"/>
    <w:rsid w:val="00F063B0"/>
    <w:rsid w:val="00F063F1"/>
    <w:rsid w:val="00F06465"/>
    <w:rsid w:val="00F064A4"/>
    <w:rsid w:val="00F064AE"/>
    <w:rsid w:val="00F064E9"/>
    <w:rsid w:val="00F06527"/>
    <w:rsid w:val="00F06538"/>
    <w:rsid w:val="00F0656A"/>
    <w:rsid w:val="00F0658F"/>
    <w:rsid w:val="00F06620"/>
    <w:rsid w:val="00F06675"/>
    <w:rsid w:val="00F0669A"/>
    <w:rsid w:val="00F066B8"/>
    <w:rsid w:val="00F0674A"/>
    <w:rsid w:val="00F0678A"/>
    <w:rsid w:val="00F0678D"/>
    <w:rsid w:val="00F067C6"/>
    <w:rsid w:val="00F0680C"/>
    <w:rsid w:val="00F06818"/>
    <w:rsid w:val="00F068B8"/>
    <w:rsid w:val="00F068C2"/>
    <w:rsid w:val="00F068E4"/>
    <w:rsid w:val="00F06923"/>
    <w:rsid w:val="00F06949"/>
    <w:rsid w:val="00F06986"/>
    <w:rsid w:val="00F0699D"/>
    <w:rsid w:val="00F069D3"/>
    <w:rsid w:val="00F06A38"/>
    <w:rsid w:val="00F06A3F"/>
    <w:rsid w:val="00F06AB6"/>
    <w:rsid w:val="00F06AC4"/>
    <w:rsid w:val="00F06AC5"/>
    <w:rsid w:val="00F06AFB"/>
    <w:rsid w:val="00F06B38"/>
    <w:rsid w:val="00F06C4F"/>
    <w:rsid w:val="00F06CA3"/>
    <w:rsid w:val="00F06CAA"/>
    <w:rsid w:val="00F06D37"/>
    <w:rsid w:val="00F06D3D"/>
    <w:rsid w:val="00F06D83"/>
    <w:rsid w:val="00F06DD0"/>
    <w:rsid w:val="00F06E1F"/>
    <w:rsid w:val="00F06E56"/>
    <w:rsid w:val="00F06E5F"/>
    <w:rsid w:val="00F06ED6"/>
    <w:rsid w:val="00F06EFA"/>
    <w:rsid w:val="00F06F14"/>
    <w:rsid w:val="00F06F2D"/>
    <w:rsid w:val="00F06F53"/>
    <w:rsid w:val="00F06F72"/>
    <w:rsid w:val="00F06F7A"/>
    <w:rsid w:val="00F06FAB"/>
    <w:rsid w:val="00F06FBF"/>
    <w:rsid w:val="00F06FF0"/>
    <w:rsid w:val="00F0701F"/>
    <w:rsid w:val="00F07074"/>
    <w:rsid w:val="00F07105"/>
    <w:rsid w:val="00F0712F"/>
    <w:rsid w:val="00F0713D"/>
    <w:rsid w:val="00F0713E"/>
    <w:rsid w:val="00F07142"/>
    <w:rsid w:val="00F071D1"/>
    <w:rsid w:val="00F07250"/>
    <w:rsid w:val="00F073B6"/>
    <w:rsid w:val="00F073DA"/>
    <w:rsid w:val="00F0743F"/>
    <w:rsid w:val="00F07449"/>
    <w:rsid w:val="00F07452"/>
    <w:rsid w:val="00F074E7"/>
    <w:rsid w:val="00F0757C"/>
    <w:rsid w:val="00F07587"/>
    <w:rsid w:val="00F0758D"/>
    <w:rsid w:val="00F075EB"/>
    <w:rsid w:val="00F07634"/>
    <w:rsid w:val="00F076ED"/>
    <w:rsid w:val="00F07724"/>
    <w:rsid w:val="00F07732"/>
    <w:rsid w:val="00F0780A"/>
    <w:rsid w:val="00F07841"/>
    <w:rsid w:val="00F0789A"/>
    <w:rsid w:val="00F0789F"/>
    <w:rsid w:val="00F078A6"/>
    <w:rsid w:val="00F078FA"/>
    <w:rsid w:val="00F07915"/>
    <w:rsid w:val="00F07920"/>
    <w:rsid w:val="00F07977"/>
    <w:rsid w:val="00F0798F"/>
    <w:rsid w:val="00F0799E"/>
    <w:rsid w:val="00F079CC"/>
    <w:rsid w:val="00F079D5"/>
    <w:rsid w:val="00F07A3C"/>
    <w:rsid w:val="00F07A86"/>
    <w:rsid w:val="00F07AA8"/>
    <w:rsid w:val="00F07B58"/>
    <w:rsid w:val="00F07B7B"/>
    <w:rsid w:val="00F07BBC"/>
    <w:rsid w:val="00F07BD0"/>
    <w:rsid w:val="00F07BD4"/>
    <w:rsid w:val="00F07BD6"/>
    <w:rsid w:val="00F07BF8"/>
    <w:rsid w:val="00F07C0E"/>
    <w:rsid w:val="00F07C4F"/>
    <w:rsid w:val="00F07D0C"/>
    <w:rsid w:val="00F07D22"/>
    <w:rsid w:val="00F07D86"/>
    <w:rsid w:val="00F07DA7"/>
    <w:rsid w:val="00F07DFE"/>
    <w:rsid w:val="00F07E44"/>
    <w:rsid w:val="00F07F97"/>
    <w:rsid w:val="00F07F9D"/>
    <w:rsid w:val="00F07FDD"/>
    <w:rsid w:val="00F1007E"/>
    <w:rsid w:val="00F10083"/>
    <w:rsid w:val="00F100AD"/>
    <w:rsid w:val="00F100E8"/>
    <w:rsid w:val="00F10171"/>
    <w:rsid w:val="00F1018A"/>
    <w:rsid w:val="00F10204"/>
    <w:rsid w:val="00F10251"/>
    <w:rsid w:val="00F10285"/>
    <w:rsid w:val="00F10287"/>
    <w:rsid w:val="00F102D8"/>
    <w:rsid w:val="00F1031C"/>
    <w:rsid w:val="00F10328"/>
    <w:rsid w:val="00F1032F"/>
    <w:rsid w:val="00F10345"/>
    <w:rsid w:val="00F10359"/>
    <w:rsid w:val="00F103CD"/>
    <w:rsid w:val="00F103D0"/>
    <w:rsid w:val="00F1042A"/>
    <w:rsid w:val="00F10431"/>
    <w:rsid w:val="00F10442"/>
    <w:rsid w:val="00F1046F"/>
    <w:rsid w:val="00F1049D"/>
    <w:rsid w:val="00F104EF"/>
    <w:rsid w:val="00F104FB"/>
    <w:rsid w:val="00F10501"/>
    <w:rsid w:val="00F10545"/>
    <w:rsid w:val="00F1056E"/>
    <w:rsid w:val="00F10579"/>
    <w:rsid w:val="00F105FD"/>
    <w:rsid w:val="00F10616"/>
    <w:rsid w:val="00F1063B"/>
    <w:rsid w:val="00F1066B"/>
    <w:rsid w:val="00F1068A"/>
    <w:rsid w:val="00F106A3"/>
    <w:rsid w:val="00F106D7"/>
    <w:rsid w:val="00F106F3"/>
    <w:rsid w:val="00F10706"/>
    <w:rsid w:val="00F10722"/>
    <w:rsid w:val="00F10763"/>
    <w:rsid w:val="00F107B2"/>
    <w:rsid w:val="00F107DD"/>
    <w:rsid w:val="00F107E8"/>
    <w:rsid w:val="00F1089A"/>
    <w:rsid w:val="00F10934"/>
    <w:rsid w:val="00F1095F"/>
    <w:rsid w:val="00F1097B"/>
    <w:rsid w:val="00F1099D"/>
    <w:rsid w:val="00F109CA"/>
    <w:rsid w:val="00F109F7"/>
    <w:rsid w:val="00F10A26"/>
    <w:rsid w:val="00F10B0D"/>
    <w:rsid w:val="00F10B46"/>
    <w:rsid w:val="00F10BB2"/>
    <w:rsid w:val="00F10BD4"/>
    <w:rsid w:val="00F10BD5"/>
    <w:rsid w:val="00F10BE2"/>
    <w:rsid w:val="00F10BE5"/>
    <w:rsid w:val="00F10C6B"/>
    <w:rsid w:val="00F10CC6"/>
    <w:rsid w:val="00F10CE6"/>
    <w:rsid w:val="00F10CF3"/>
    <w:rsid w:val="00F10D68"/>
    <w:rsid w:val="00F10D7E"/>
    <w:rsid w:val="00F10E05"/>
    <w:rsid w:val="00F10E0C"/>
    <w:rsid w:val="00F10E20"/>
    <w:rsid w:val="00F10E5A"/>
    <w:rsid w:val="00F10ECF"/>
    <w:rsid w:val="00F10F6D"/>
    <w:rsid w:val="00F10F8A"/>
    <w:rsid w:val="00F10FEE"/>
    <w:rsid w:val="00F1105F"/>
    <w:rsid w:val="00F1110F"/>
    <w:rsid w:val="00F111A0"/>
    <w:rsid w:val="00F111C2"/>
    <w:rsid w:val="00F111D7"/>
    <w:rsid w:val="00F111E8"/>
    <w:rsid w:val="00F11277"/>
    <w:rsid w:val="00F11335"/>
    <w:rsid w:val="00F11354"/>
    <w:rsid w:val="00F113B7"/>
    <w:rsid w:val="00F113BB"/>
    <w:rsid w:val="00F113C3"/>
    <w:rsid w:val="00F113C4"/>
    <w:rsid w:val="00F113EE"/>
    <w:rsid w:val="00F1140E"/>
    <w:rsid w:val="00F1146C"/>
    <w:rsid w:val="00F11472"/>
    <w:rsid w:val="00F11515"/>
    <w:rsid w:val="00F1158F"/>
    <w:rsid w:val="00F11590"/>
    <w:rsid w:val="00F115BC"/>
    <w:rsid w:val="00F115C5"/>
    <w:rsid w:val="00F1160F"/>
    <w:rsid w:val="00F11615"/>
    <w:rsid w:val="00F11665"/>
    <w:rsid w:val="00F1169B"/>
    <w:rsid w:val="00F11710"/>
    <w:rsid w:val="00F11780"/>
    <w:rsid w:val="00F117CA"/>
    <w:rsid w:val="00F117F7"/>
    <w:rsid w:val="00F11863"/>
    <w:rsid w:val="00F1188C"/>
    <w:rsid w:val="00F118AA"/>
    <w:rsid w:val="00F118DB"/>
    <w:rsid w:val="00F118E0"/>
    <w:rsid w:val="00F11902"/>
    <w:rsid w:val="00F11972"/>
    <w:rsid w:val="00F11984"/>
    <w:rsid w:val="00F11991"/>
    <w:rsid w:val="00F11A6A"/>
    <w:rsid w:val="00F11AB4"/>
    <w:rsid w:val="00F11AB6"/>
    <w:rsid w:val="00F11AFF"/>
    <w:rsid w:val="00F11B02"/>
    <w:rsid w:val="00F11B3E"/>
    <w:rsid w:val="00F11B92"/>
    <w:rsid w:val="00F11BEC"/>
    <w:rsid w:val="00F11C6B"/>
    <w:rsid w:val="00F11C7C"/>
    <w:rsid w:val="00F11CB2"/>
    <w:rsid w:val="00F11CDD"/>
    <w:rsid w:val="00F11D6B"/>
    <w:rsid w:val="00F11D75"/>
    <w:rsid w:val="00F11D7D"/>
    <w:rsid w:val="00F11D96"/>
    <w:rsid w:val="00F11DCC"/>
    <w:rsid w:val="00F11DD1"/>
    <w:rsid w:val="00F11DFE"/>
    <w:rsid w:val="00F11E6C"/>
    <w:rsid w:val="00F11EFE"/>
    <w:rsid w:val="00F11F38"/>
    <w:rsid w:val="00F11F9E"/>
    <w:rsid w:val="00F11FDD"/>
    <w:rsid w:val="00F11FF5"/>
    <w:rsid w:val="00F1206D"/>
    <w:rsid w:val="00F12096"/>
    <w:rsid w:val="00F1216D"/>
    <w:rsid w:val="00F121B4"/>
    <w:rsid w:val="00F121E3"/>
    <w:rsid w:val="00F121F2"/>
    <w:rsid w:val="00F122A1"/>
    <w:rsid w:val="00F122D1"/>
    <w:rsid w:val="00F122EA"/>
    <w:rsid w:val="00F122F1"/>
    <w:rsid w:val="00F12305"/>
    <w:rsid w:val="00F1230B"/>
    <w:rsid w:val="00F1231C"/>
    <w:rsid w:val="00F12324"/>
    <w:rsid w:val="00F12363"/>
    <w:rsid w:val="00F12372"/>
    <w:rsid w:val="00F12396"/>
    <w:rsid w:val="00F1239A"/>
    <w:rsid w:val="00F123D1"/>
    <w:rsid w:val="00F12455"/>
    <w:rsid w:val="00F1245A"/>
    <w:rsid w:val="00F12503"/>
    <w:rsid w:val="00F125AC"/>
    <w:rsid w:val="00F125EE"/>
    <w:rsid w:val="00F12637"/>
    <w:rsid w:val="00F12640"/>
    <w:rsid w:val="00F126CF"/>
    <w:rsid w:val="00F1271E"/>
    <w:rsid w:val="00F1272C"/>
    <w:rsid w:val="00F12750"/>
    <w:rsid w:val="00F12775"/>
    <w:rsid w:val="00F127A8"/>
    <w:rsid w:val="00F127C0"/>
    <w:rsid w:val="00F1285D"/>
    <w:rsid w:val="00F12876"/>
    <w:rsid w:val="00F1289F"/>
    <w:rsid w:val="00F128A9"/>
    <w:rsid w:val="00F128AD"/>
    <w:rsid w:val="00F128BD"/>
    <w:rsid w:val="00F12904"/>
    <w:rsid w:val="00F12994"/>
    <w:rsid w:val="00F129C9"/>
    <w:rsid w:val="00F129FD"/>
    <w:rsid w:val="00F12A00"/>
    <w:rsid w:val="00F12A22"/>
    <w:rsid w:val="00F12A59"/>
    <w:rsid w:val="00F12A8A"/>
    <w:rsid w:val="00F12AA8"/>
    <w:rsid w:val="00F12AAC"/>
    <w:rsid w:val="00F12AD4"/>
    <w:rsid w:val="00F12B65"/>
    <w:rsid w:val="00F12B80"/>
    <w:rsid w:val="00F12BA2"/>
    <w:rsid w:val="00F12BD3"/>
    <w:rsid w:val="00F12BF9"/>
    <w:rsid w:val="00F12C3B"/>
    <w:rsid w:val="00F12C5F"/>
    <w:rsid w:val="00F12CA0"/>
    <w:rsid w:val="00F12CB1"/>
    <w:rsid w:val="00F12CD0"/>
    <w:rsid w:val="00F12CE0"/>
    <w:rsid w:val="00F12CF9"/>
    <w:rsid w:val="00F12D17"/>
    <w:rsid w:val="00F12E25"/>
    <w:rsid w:val="00F12E28"/>
    <w:rsid w:val="00F12E32"/>
    <w:rsid w:val="00F12E33"/>
    <w:rsid w:val="00F12E3E"/>
    <w:rsid w:val="00F12E43"/>
    <w:rsid w:val="00F12E75"/>
    <w:rsid w:val="00F12EDC"/>
    <w:rsid w:val="00F12EE1"/>
    <w:rsid w:val="00F12F0D"/>
    <w:rsid w:val="00F12F16"/>
    <w:rsid w:val="00F12F1A"/>
    <w:rsid w:val="00F12F9F"/>
    <w:rsid w:val="00F1301A"/>
    <w:rsid w:val="00F13031"/>
    <w:rsid w:val="00F13089"/>
    <w:rsid w:val="00F130C4"/>
    <w:rsid w:val="00F1311B"/>
    <w:rsid w:val="00F13123"/>
    <w:rsid w:val="00F1317F"/>
    <w:rsid w:val="00F131BF"/>
    <w:rsid w:val="00F13225"/>
    <w:rsid w:val="00F1325B"/>
    <w:rsid w:val="00F13288"/>
    <w:rsid w:val="00F132A3"/>
    <w:rsid w:val="00F132B8"/>
    <w:rsid w:val="00F132BA"/>
    <w:rsid w:val="00F132E6"/>
    <w:rsid w:val="00F132ED"/>
    <w:rsid w:val="00F13341"/>
    <w:rsid w:val="00F13353"/>
    <w:rsid w:val="00F133D0"/>
    <w:rsid w:val="00F1343C"/>
    <w:rsid w:val="00F13457"/>
    <w:rsid w:val="00F134D1"/>
    <w:rsid w:val="00F134EB"/>
    <w:rsid w:val="00F13554"/>
    <w:rsid w:val="00F13558"/>
    <w:rsid w:val="00F135AA"/>
    <w:rsid w:val="00F13607"/>
    <w:rsid w:val="00F1370E"/>
    <w:rsid w:val="00F13720"/>
    <w:rsid w:val="00F1372E"/>
    <w:rsid w:val="00F13772"/>
    <w:rsid w:val="00F13776"/>
    <w:rsid w:val="00F13802"/>
    <w:rsid w:val="00F138BB"/>
    <w:rsid w:val="00F138C3"/>
    <w:rsid w:val="00F138D6"/>
    <w:rsid w:val="00F1391C"/>
    <w:rsid w:val="00F1394D"/>
    <w:rsid w:val="00F1394F"/>
    <w:rsid w:val="00F13977"/>
    <w:rsid w:val="00F1397E"/>
    <w:rsid w:val="00F139F5"/>
    <w:rsid w:val="00F13A17"/>
    <w:rsid w:val="00F13A76"/>
    <w:rsid w:val="00F13A83"/>
    <w:rsid w:val="00F13AB5"/>
    <w:rsid w:val="00F13AF5"/>
    <w:rsid w:val="00F13B42"/>
    <w:rsid w:val="00F13B60"/>
    <w:rsid w:val="00F13B62"/>
    <w:rsid w:val="00F13BD7"/>
    <w:rsid w:val="00F13BE5"/>
    <w:rsid w:val="00F13BF2"/>
    <w:rsid w:val="00F13C13"/>
    <w:rsid w:val="00F13C34"/>
    <w:rsid w:val="00F13C53"/>
    <w:rsid w:val="00F13C6A"/>
    <w:rsid w:val="00F13C71"/>
    <w:rsid w:val="00F13C8E"/>
    <w:rsid w:val="00F13C96"/>
    <w:rsid w:val="00F13DB9"/>
    <w:rsid w:val="00F13DC6"/>
    <w:rsid w:val="00F13E28"/>
    <w:rsid w:val="00F13E3D"/>
    <w:rsid w:val="00F13E55"/>
    <w:rsid w:val="00F13F75"/>
    <w:rsid w:val="00F13FB6"/>
    <w:rsid w:val="00F13FBE"/>
    <w:rsid w:val="00F13FE6"/>
    <w:rsid w:val="00F14027"/>
    <w:rsid w:val="00F1409A"/>
    <w:rsid w:val="00F140B7"/>
    <w:rsid w:val="00F140C7"/>
    <w:rsid w:val="00F14102"/>
    <w:rsid w:val="00F1412F"/>
    <w:rsid w:val="00F1415D"/>
    <w:rsid w:val="00F14221"/>
    <w:rsid w:val="00F14265"/>
    <w:rsid w:val="00F14273"/>
    <w:rsid w:val="00F14296"/>
    <w:rsid w:val="00F142A7"/>
    <w:rsid w:val="00F142EA"/>
    <w:rsid w:val="00F14301"/>
    <w:rsid w:val="00F14305"/>
    <w:rsid w:val="00F143E4"/>
    <w:rsid w:val="00F14407"/>
    <w:rsid w:val="00F14446"/>
    <w:rsid w:val="00F1445D"/>
    <w:rsid w:val="00F14475"/>
    <w:rsid w:val="00F14493"/>
    <w:rsid w:val="00F144BB"/>
    <w:rsid w:val="00F1450F"/>
    <w:rsid w:val="00F14532"/>
    <w:rsid w:val="00F14579"/>
    <w:rsid w:val="00F145ED"/>
    <w:rsid w:val="00F14630"/>
    <w:rsid w:val="00F14671"/>
    <w:rsid w:val="00F146B2"/>
    <w:rsid w:val="00F14711"/>
    <w:rsid w:val="00F14736"/>
    <w:rsid w:val="00F1475D"/>
    <w:rsid w:val="00F14764"/>
    <w:rsid w:val="00F14792"/>
    <w:rsid w:val="00F147C3"/>
    <w:rsid w:val="00F14803"/>
    <w:rsid w:val="00F14824"/>
    <w:rsid w:val="00F1486C"/>
    <w:rsid w:val="00F14870"/>
    <w:rsid w:val="00F14885"/>
    <w:rsid w:val="00F1488D"/>
    <w:rsid w:val="00F14893"/>
    <w:rsid w:val="00F1489F"/>
    <w:rsid w:val="00F148A5"/>
    <w:rsid w:val="00F148F6"/>
    <w:rsid w:val="00F1490B"/>
    <w:rsid w:val="00F1492E"/>
    <w:rsid w:val="00F14933"/>
    <w:rsid w:val="00F1496B"/>
    <w:rsid w:val="00F14984"/>
    <w:rsid w:val="00F149E1"/>
    <w:rsid w:val="00F149F7"/>
    <w:rsid w:val="00F14A33"/>
    <w:rsid w:val="00F14AC7"/>
    <w:rsid w:val="00F14AFF"/>
    <w:rsid w:val="00F14B15"/>
    <w:rsid w:val="00F14B8E"/>
    <w:rsid w:val="00F14BA4"/>
    <w:rsid w:val="00F14BFE"/>
    <w:rsid w:val="00F14C46"/>
    <w:rsid w:val="00F14C60"/>
    <w:rsid w:val="00F14D17"/>
    <w:rsid w:val="00F14D1E"/>
    <w:rsid w:val="00F14D4C"/>
    <w:rsid w:val="00F14D8D"/>
    <w:rsid w:val="00F14DBD"/>
    <w:rsid w:val="00F14DFB"/>
    <w:rsid w:val="00F14E0D"/>
    <w:rsid w:val="00F14E61"/>
    <w:rsid w:val="00F14E95"/>
    <w:rsid w:val="00F14EBB"/>
    <w:rsid w:val="00F14EC9"/>
    <w:rsid w:val="00F14EE3"/>
    <w:rsid w:val="00F14F98"/>
    <w:rsid w:val="00F14F9F"/>
    <w:rsid w:val="00F15045"/>
    <w:rsid w:val="00F1504C"/>
    <w:rsid w:val="00F150E6"/>
    <w:rsid w:val="00F150F0"/>
    <w:rsid w:val="00F1512A"/>
    <w:rsid w:val="00F15184"/>
    <w:rsid w:val="00F15193"/>
    <w:rsid w:val="00F151A8"/>
    <w:rsid w:val="00F151DE"/>
    <w:rsid w:val="00F151E2"/>
    <w:rsid w:val="00F151F5"/>
    <w:rsid w:val="00F1522F"/>
    <w:rsid w:val="00F15267"/>
    <w:rsid w:val="00F152CE"/>
    <w:rsid w:val="00F152F0"/>
    <w:rsid w:val="00F1530B"/>
    <w:rsid w:val="00F15328"/>
    <w:rsid w:val="00F1537A"/>
    <w:rsid w:val="00F153C2"/>
    <w:rsid w:val="00F153D1"/>
    <w:rsid w:val="00F15442"/>
    <w:rsid w:val="00F1546E"/>
    <w:rsid w:val="00F154A0"/>
    <w:rsid w:val="00F1551C"/>
    <w:rsid w:val="00F155A5"/>
    <w:rsid w:val="00F155A8"/>
    <w:rsid w:val="00F155CC"/>
    <w:rsid w:val="00F15647"/>
    <w:rsid w:val="00F15672"/>
    <w:rsid w:val="00F1572C"/>
    <w:rsid w:val="00F1574C"/>
    <w:rsid w:val="00F1575B"/>
    <w:rsid w:val="00F15788"/>
    <w:rsid w:val="00F1578A"/>
    <w:rsid w:val="00F15848"/>
    <w:rsid w:val="00F158C8"/>
    <w:rsid w:val="00F158D9"/>
    <w:rsid w:val="00F158EE"/>
    <w:rsid w:val="00F15946"/>
    <w:rsid w:val="00F1595F"/>
    <w:rsid w:val="00F15963"/>
    <w:rsid w:val="00F159AA"/>
    <w:rsid w:val="00F159DD"/>
    <w:rsid w:val="00F15A1E"/>
    <w:rsid w:val="00F15A2B"/>
    <w:rsid w:val="00F15AE3"/>
    <w:rsid w:val="00F15AF2"/>
    <w:rsid w:val="00F15B48"/>
    <w:rsid w:val="00F15B49"/>
    <w:rsid w:val="00F15B4A"/>
    <w:rsid w:val="00F15B7A"/>
    <w:rsid w:val="00F15BAC"/>
    <w:rsid w:val="00F15BB3"/>
    <w:rsid w:val="00F15C3A"/>
    <w:rsid w:val="00F15C48"/>
    <w:rsid w:val="00F15C49"/>
    <w:rsid w:val="00F15D5E"/>
    <w:rsid w:val="00F15DC9"/>
    <w:rsid w:val="00F15DE9"/>
    <w:rsid w:val="00F15E04"/>
    <w:rsid w:val="00F15E6E"/>
    <w:rsid w:val="00F15F6F"/>
    <w:rsid w:val="00F15FDC"/>
    <w:rsid w:val="00F15FE4"/>
    <w:rsid w:val="00F16070"/>
    <w:rsid w:val="00F160E0"/>
    <w:rsid w:val="00F160EE"/>
    <w:rsid w:val="00F16152"/>
    <w:rsid w:val="00F16196"/>
    <w:rsid w:val="00F161A8"/>
    <w:rsid w:val="00F161F9"/>
    <w:rsid w:val="00F16223"/>
    <w:rsid w:val="00F16271"/>
    <w:rsid w:val="00F1628F"/>
    <w:rsid w:val="00F1629B"/>
    <w:rsid w:val="00F16303"/>
    <w:rsid w:val="00F16307"/>
    <w:rsid w:val="00F16327"/>
    <w:rsid w:val="00F16364"/>
    <w:rsid w:val="00F16383"/>
    <w:rsid w:val="00F16396"/>
    <w:rsid w:val="00F163AD"/>
    <w:rsid w:val="00F16409"/>
    <w:rsid w:val="00F1644A"/>
    <w:rsid w:val="00F16451"/>
    <w:rsid w:val="00F1649C"/>
    <w:rsid w:val="00F164A8"/>
    <w:rsid w:val="00F164CE"/>
    <w:rsid w:val="00F16586"/>
    <w:rsid w:val="00F1664D"/>
    <w:rsid w:val="00F166FB"/>
    <w:rsid w:val="00F16707"/>
    <w:rsid w:val="00F16715"/>
    <w:rsid w:val="00F167DF"/>
    <w:rsid w:val="00F167E3"/>
    <w:rsid w:val="00F16865"/>
    <w:rsid w:val="00F16902"/>
    <w:rsid w:val="00F1690D"/>
    <w:rsid w:val="00F16913"/>
    <w:rsid w:val="00F16955"/>
    <w:rsid w:val="00F16994"/>
    <w:rsid w:val="00F169C6"/>
    <w:rsid w:val="00F16AAD"/>
    <w:rsid w:val="00F16AAF"/>
    <w:rsid w:val="00F16AF8"/>
    <w:rsid w:val="00F16B33"/>
    <w:rsid w:val="00F16B61"/>
    <w:rsid w:val="00F16B95"/>
    <w:rsid w:val="00F16BF6"/>
    <w:rsid w:val="00F16C3E"/>
    <w:rsid w:val="00F16C8A"/>
    <w:rsid w:val="00F16D24"/>
    <w:rsid w:val="00F16D5C"/>
    <w:rsid w:val="00F16D77"/>
    <w:rsid w:val="00F16D7C"/>
    <w:rsid w:val="00F16E1D"/>
    <w:rsid w:val="00F16E34"/>
    <w:rsid w:val="00F16E92"/>
    <w:rsid w:val="00F16F5D"/>
    <w:rsid w:val="00F16FA1"/>
    <w:rsid w:val="00F16FFB"/>
    <w:rsid w:val="00F170BD"/>
    <w:rsid w:val="00F170D2"/>
    <w:rsid w:val="00F171B0"/>
    <w:rsid w:val="00F171B8"/>
    <w:rsid w:val="00F171C5"/>
    <w:rsid w:val="00F17206"/>
    <w:rsid w:val="00F1724E"/>
    <w:rsid w:val="00F17299"/>
    <w:rsid w:val="00F1729E"/>
    <w:rsid w:val="00F172B6"/>
    <w:rsid w:val="00F1730B"/>
    <w:rsid w:val="00F17390"/>
    <w:rsid w:val="00F17401"/>
    <w:rsid w:val="00F17432"/>
    <w:rsid w:val="00F1743E"/>
    <w:rsid w:val="00F1744F"/>
    <w:rsid w:val="00F174BE"/>
    <w:rsid w:val="00F1756B"/>
    <w:rsid w:val="00F175B2"/>
    <w:rsid w:val="00F17608"/>
    <w:rsid w:val="00F176BE"/>
    <w:rsid w:val="00F176CA"/>
    <w:rsid w:val="00F176E3"/>
    <w:rsid w:val="00F177C1"/>
    <w:rsid w:val="00F177D1"/>
    <w:rsid w:val="00F17821"/>
    <w:rsid w:val="00F1784D"/>
    <w:rsid w:val="00F17861"/>
    <w:rsid w:val="00F17877"/>
    <w:rsid w:val="00F178A4"/>
    <w:rsid w:val="00F178B8"/>
    <w:rsid w:val="00F178BB"/>
    <w:rsid w:val="00F178E3"/>
    <w:rsid w:val="00F1793D"/>
    <w:rsid w:val="00F1799D"/>
    <w:rsid w:val="00F179A1"/>
    <w:rsid w:val="00F17AAA"/>
    <w:rsid w:val="00F17AAD"/>
    <w:rsid w:val="00F17ACF"/>
    <w:rsid w:val="00F17B15"/>
    <w:rsid w:val="00F17BCF"/>
    <w:rsid w:val="00F17BD5"/>
    <w:rsid w:val="00F17C03"/>
    <w:rsid w:val="00F17C24"/>
    <w:rsid w:val="00F17C28"/>
    <w:rsid w:val="00F17CAC"/>
    <w:rsid w:val="00F17CE4"/>
    <w:rsid w:val="00F17CF3"/>
    <w:rsid w:val="00F17D2A"/>
    <w:rsid w:val="00F17D2C"/>
    <w:rsid w:val="00F17D5A"/>
    <w:rsid w:val="00F17D8E"/>
    <w:rsid w:val="00F17E1E"/>
    <w:rsid w:val="00F17EFF"/>
    <w:rsid w:val="00F17F90"/>
    <w:rsid w:val="00F17FA7"/>
    <w:rsid w:val="00F17FC3"/>
    <w:rsid w:val="00F17FF8"/>
    <w:rsid w:val="00F17FFA"/>
    <w:rsid w:val="00F2006D"/>
    <w:rsid w:val="00F2007A"/>
    <w:rsid w:val="00F2008E"/>
    <w:rsid w:val="00F20098"/>
    <w:rsid w:val="00F200C4"/>
    <w:rsid w:val="00F20179"/>
    <w:rsid w:val="00F2018F"/>
    <w:rsid w:val="00F201B2"/>
    <w:rsid w:val="00F20208"/>
    <w:rsid w:val="00F20218"/>
    <w:rsid w:val="00F2025C"/>
    <w:rsid w:val="00F2026C"/>
    <w:rsid w:val="00F202A6"/>
    <w:rsid w:val="00F202FA"/>
    <w:rsid w:val="00F2037E"/>
    <w:rsid w:val="00F20464"/>
    <w:rsid w:val="00F204C2"/>
    <w:rsid w:val="00F20501"/>
    <w:rsid w:val="00F20549"/>
    <w:rsid w:val="00F20557"/>
    <w:rsid w:val="00F2059A"/>
    <w:rsid w:val="00F205A4"/>
    <w:rsid w:val="00F205B6"/>
    <w:rsid w:val="00F205C3"/>
    <w:rsid w:val="00F205C5"/>
    <w:rsid w:val="00F20616"/>
    <w:rsid w:val="00F206AE"/>
    <w:rsid w:val="00F206AF"/>
    <w:rsid w:val="00F206C8"/>
    <w:rsid w:val="00F20802"/>
    <w:rsid w:val="00F20841"/>
    <w:rsid w:val="00F208A6"/>
    <w:rsid w:val="00F208C6"/>
    <w:rsid w:val="00F209C9"/>
    <w:rsid w:val="00F209D8"/>
    <w:rsid w:val="00F20A0E"/>
    <w:rsid w:val="00F20A23"/>
    <w:rsid w:val="00F20A2D"/>
    <w:rsid w:val="00F20A88"/>
    <w:rsid w:val="00F20B2F"/>
    <w:rsid w:val="00F20B5F"/>
    <w:rsid w:val="00F20B6A"/>
    <w:rsid w:val="00F20C3E"/>
    <w:rsid w:val="00F20CB0"/>
    <w:rsid w:val="00F20CFE"/>
    <w:rsid w:val="00F20D30"/>
    <w:rsid w:val="00F20D80"/>
    <w:rsid w:val="00F20D8C"/>
    <w:rsid w:val="00F20DAA"/>
    <w:rsid w:val="00F20E3C"/>
    <w:rsid w:val="00F20E53"/>
    <w:rsid w:val="00F20E9C"/>
    <w:rsid w:val="00F20ECD"/>
    <w:rsid w:val="00F20EF0"/>
    <w:rsid w:val="00F20F07"/>
    <w:rsid w:val="00F20F61"/>
    <w:rsid w:val="00F20F9F"/>
    <w:rsid w:val="00F20FA5"/>
    <w:rsid w:val="00F20FA6"/>
    <w:rsid w:val="00F20FF5"/>
    <w:rsid w:val="00F21056"/>
    <w:rsid w:val="00F2112A"/>
    <w:rsid w:val="00F211A0"/>
    <w:rsid w:val="00F211D9"/>
    <w:rsid w:val="00F211E0"/>
    <w:rsid w:val="00F211F9"/>
    <w:rsid w:val="00F212CB"/>
    <w:rsid w:val="00F212E6"/>
    <w:rsid w:val="00F2130A"/>
    <w:rsid w:val="00F21317"/>
    <w:rsid w:val="00F2133C"/>
    <w:rsid w:val="00F21363"/>
    <w:rsid w:val="00F213A1"/>
    <w:rsid w:val="00F213DD"/>
    <w:rsid w:val="00F21474"/>
    <w:rsid w:val="00F214BC"/>
    <w:rsid w:val="00F21538"/>
    <w:rsid w:val="00F2158B"/>
    <w:rsid w:val="00F2159C"/>
    <w:rsid w:val="00F215B9"/>
    <w:rsid w:val="00F215E1"/>
    <w:rsid w:val="00F215EE"/>
    <w:rsid w:val="00F21656"/>
    <w:rsid w:val="00F21713"/>
    <w:rsid w:val="00F2173A"/>
    <w:rsid w:val="00F2174A"/>
    <w:rsid w:val="00F2178C"/>
    <w:rsid w:val="00F217AE"/>
    <w:rsid w:val="00F2181A"/>
    <w:rsid w:val="00F21820"/>
    <w:rsid w:val="00F21837"/>
    <w:rsid w:val="00F218BA"/>
    <w:rsid w:val="00F21915"/>
    <w:rsid w:val="00F21939"/>
    <w:rsid w:val="00F21980"/>
    <w:rsid w:val="00F219A9"/>
    <w:rsid w:val="00F219C4"/>
    <w:rsid w:val="00F219C9"/>
    <w:rsid w:val="00F219CF"/>
    <w:rsid w:val="00F219D8"/>
    <w:rsid w:val="00F219FB"/>
    <w:rsid w:val="00F21A08"/>
    <w:rsid w:val="00F21A2B"/>
    <w:rsid w:val="00F21A35"/>
    <w:rsid w:val="00F21A52"/>
    <w:rsid w:val="00F21A8E"/>
    <w:rsid w:val="00F21AD3"/>
    <w:rsid w:val="00F21B0A"/>
    <w:rsid w:val="00F21B2C"/>
    <w:rsid w:val="00F21B53"/>
    <w:rsid w:val="00F21B9B"/>
    <w:rsid w:val="00F21B9D"/>
    <w:rsid w:val="00F21BA5"/>
    <w:rsid w:val="00F21BD1"/>
    <w:rsid w:val="00F21C07"/>
    <w:rsid w:val="00F21CCD"/>
    <w:rsid w:val="00F21D70"/>
    <w:rsid w:val="00F21D8F"/>
    <w:rsid w:val="00F21D90"/>
    <w:rsid w:val="00F21DA2"/>
    <w:rsid w:val="00F21DD7"/>
    <w:rsid w:val="00F21DD8"/>
    <w:rsid w:val="00F21E05"/>
    <w:rsid w:val="00F21E1F"/>
    <w:rsid w:val="00F21E3A"/>
    <w:rsid w:val="00F21E93"/>
    <w:rsid w:val="00F21F2C"/>
    <w:rsid w:val="00F21F88"/>
    <w:rsid w:val="00F21FE0"/>
    <w:rsid w:val="00F22095"/>
    <w:rsid w:val="00F220C8"/>
    <w:rsid w:val="00F2213F"/>
    <w:rsid w:val="00F2217C"/>
    <w:rsid w:val="00F221A9"/>
    <w:rsid w:val="00F22265"/>
    <w:rsid w:val="00F222AF"/>
    <w:rsid w:val="00F222B4"/>
    <w:rsid w:val="00F2245F"/>
    <w:rsid w:val="00F2246B"/>
    <w:rsid w:val="00F22471"/>
    <w:rsid w:val="00F224DD"/>
    <w:rsid w:val="00F224E0"/>
    <w:rsid w:val="00F224E5"/>
    <w:rsid w:val="00F224F2"/>
    <w:rsid w:val="00F22553"/>
    <w:rsid w:val="00F22563"/>
    <w:rsid w:val="00F22598"/>
    <w:rsid w:val="00F225A8"/>
    <w:rsid w:val="00F225B6"/>
    <w:rsid w:val="00F22633"/>
    <w:rsid w:val="00F22687"/>
    <w:rsid w:val="00F226D0"/>
    <w:rsid w:val="00F226DC"/>
    <w:rsid w:val="00F226E4"/>
    <w:rsid w:val="00F22759"/>
    <w:rsid w:val="00F22783"/>
    <w:rsid w:val="00F227F6"/>
    <w:rsid w:val="00F2280A"/>
    <w:rsid w:val="00F2282C"/>
    <w:rsid w:val="00F2285A"/>
    <w:rsid w:val="00F22887"/>
    <w:rsid w:val="00F228FE"/>
    <w:rsid w:val="00F22919"/>
    <w:rsid w:val="00F22929"/>
    <w:rsid w:val="00F22949"/>
    <w:rsid w:val="00F229B3"/>
    <w:rsid w:val="00F22A16"/>
    <w:rsid w:val="00F22A36"/>
    <w:rsid w:val="00F22A37"/>
    <w:rsid w:val="00F22A6B"/>
    <w:rsid w:val="00F22A71"/>
    <w:rsid w:val="00F22AE9"/>
    <w:rsid w:val="00F22AEA"/>
    <w:rsid w:val="00F22B73"/>
    <w:rsid w:val="00F22BA3"/>
    <w:rsid w:val="00F22BAB"/>
    <w:rsid w:val="00F22BCA"/>
    <w:rsid w:val="00F22C84"/>
    <w:rsid w:val="00F22D38"/>
    <w:rsid w:val="00F22DB8"/>
    <w:rsid w:val="00F22DD4"/>
    <w:rsid w:val="00F22E37"/>
    <w:rsid w:val="00F22E46"/>
    <w:rsid w:val="00F22E72"/>
    <w:rsid w:val="00F22E8A"/>
    <w:rsid w:val="00F22EA4"/>
    <w:rsid w:val="00F22EC5"/>
    <w:rsid w:val="00F22F33"/>
    <w:rsid w:val="00F22F99"/>
    <w:rsid w:val="00F22FC5"/>
    <w:rsid w:val="00F22FF7"/>
    <w:rsid w:val="00F22FF9"/>
    <w:rsid w:val="00F23006"/>
    <w:rsid w:val="00F2301F"/>
    <w:rsid w:val="00F23059"/>
    <w:rsid w:val="00F2305A"/>
    <w:rsid w:val="00F2311C"/>
    <w:rsid w:val="00F23135"/>
    <w:rsid w:val="00F23151"/>
    <w:rsid w:val="00F231B4"/>
    <w:rsid w:val="00F2323B"/>
    <w:rsid w:val="00F23253"/>
    <w:rsid w:val="00F2326E"/>
    <w:rsid w:val="00F23286"/>
    <w:rsid w:val="00F23288"/>
    <w:rsid w:val="00F232C4"/>
    <w:rsid w:val="00F232DE"/>
    <w:rsid w:val="00F23360"/>
    <w:rsid w:val="00F23389"/>
    <w:rsid w:val="00F2338F"/>
    <w:rsid w:val="00F233DD"/>
    <w:rsid w:val="00F23450"/>
    <w:rsid w:val="00F23458"/>
    <w:rsid w:val="00F23476"/>
    <w:rsid w:val="00F234CA"/>
    <w:rsid w:val="00F234DB"/>
    <w:rsid w:val="00F234DE"/>
    <w:rsid w:val="00F23502"/>
    <w:rsid w:val="00F23532"/>
    <w:rsid w:val="00F23571"/>
    <w:rsid w:val="00F23587"/>
    <w:rsid w:val="00F23593"/>
    <w:rsid w:val="00F235EE"/>
    <w:rsid w:val="00F235FD"/>
    <w:rsid w:val="00F23603"/>
    <w:rsid w:val="00F23617"/>
    <w:rsid w:val="00F23623"/>
    <w:rsid w:val="00F23630"/>
    <w:rsid w:val="00F2363D"/>
    <w:rsid w:val="00F23644"/>
    <w:rsid w:val="00F23648"/>
    <w:rsid w:val="00F236F1"/>
    <w:rsid w:val="00F23710"/>
    <w:rsid w:val="00F23760"/>
    <w:rsid w:val="00F23776"/>
    <w:rsid w:val="00F23817"/>
    <w:rsid w:val="00F23826"/>
    <w:rsid w:val="00F23885"/>
    <w:rsid w:val="00F23893"/>
    <w:rsid w:val="00F238BD"/>
    <w:rsid w:val="00F23904"/>
    <w:rsid w:val="00F23917"/>
    <w:rsid w:val="00F2392B"/>
    <w:rsid w:val="00F23940"/>
    <w:rsid w:val="00F2396A"/>
    <w:rsid w:val="00F239B3"/>
    <w:rsid w:val="00F23A3D"/>
    <w:rsid w:val="00F23A48"/>
    <w:rsid w:val="00F23A70"/>
    <w:rsid w:val="00F23A82"/>
    <w:rsid w:val="00F23B0F"/>
    <w:rsid w:val="00F23B44"/>
    <w:rsid w:val="00F23B89"/>
    <w:rsid w:val="00F23BFB"/>
    <w:rsid w:val="00F23BFE"/>
    <w:rsid w:val="00F23C1E"/>
    <w:rsid w:val="00F23C2B"/>
    <w:rsid w:val="00F23C3A"/>
    <w:rsid w:val="00F23CB6"/>
    <w:rsid w:val="00F23CC8"/>
    <w:rsid w:val="00F23CEF"/>
    <w:rsid w:val="00F23D2B"/>
    <w:rsid w:val="00F23D2E"/>
    <w:rsid w:val="00F23D75"/>
    <w:rsid w:val="00F23E51"/>
    <w:rsid w:val="00F23EDA"/>
    <w:rsid w:val="00F23F7D"/>
    <w:rsid w:val="00F23F8F"/>
    <w:rsid w:val="00F23FE7"/>
    <w:rsid w:val="00F23FEB"/>
    <w:rsid w:val="00F24063"/>
    <w:rsid w:val="00F24131"/>
    <w:rsid w:val="00F241CF"/>
    <w:rsid w:val="00F241EC"/>
    <w:rsid w:val="00F241F6"/>
    <w:rsid w:val="00F24230"/>
    <w:rsid w:val="00F24264"/>
    <w:rsid w:val="00F24279"/>
    <w:rsid w:val="00F24282"/>
    <w:rsid w:val="00F24290"/>
    <w:rsid w:val="00F24297"/>
    <w:rsid w:val="00F242A9"/>
    <w:rsid w:val="00F24370"/>
    <w:rsid w:val="00F2438F"/>
    <w:rsid w:val="00F243B9"/>
    <w:rsid w:val="00F243DF"/>
    <w:rsid w:val="00F24426"/>
    <w:rsid w:val="00F24446"/>
    <w:rsid w:val="00F2447B"/>
    <w:rsid w:val="00F2452D"/>
    <w:rsid w:val="00F2454A"/>
    <w:rsid w:val="00F2455C"/>
    <w:rsid w:val="00F245E0"/>
    <w:rsid w:val="00F245F4"/>
    <w:rsid w:val="00F24606"/>
    <w:rsid w:val="00F24612"/>
    <w:rsid w:val="00F24617"/>
    <w:rsid w:val="00F24664"/>
    <w:rsid w:val="00F2469D"/>
    <w:rsid w:val="00F246CD"/>
    <w:rsid w:val="00F2475C"/>
    <w:rsid w:val="00F24760"/>
    <w:rsid w:val="00F2477A"/>
    <w:rsid w:val="00F2478B"/>
    <w:rsid w:val="00F247CD"/>
    <w:rsid w:val="00F247D2"/>
    <w:rsid w:val="00F24803"/>
    <w:rsid w:val="00F24846"/>
    <w:rsid w:val="00F2485A"/>
    <w:rsid w:val="00F24896"/>
    <w:rsid w:val="00F248BD"/>
    <w:rsid w:val="00F248BF"/>
    <w:rsid w:val="00F24926"/>
    <w:rsid w:val="00F24944"/>
    <w:rsid w:val="00F2494D"/>
    <w:rsid w:val="00F24A34"/>
    <w:rsid w:val="00F24A50"/>
    <w:rsid w:val="00F24A5D"/>
    <w:rsid w:val="00F24B16"/>
    <w:rsid w:val="00F24B29"/>
    <w:rsid w:val="00F24B35"/>
    <w:rsid w:val="00F24B49"/>
    <w:rsid w:val="00F24C20"/>
    <w:rsid w:val="00F24C49"/>
    <w:rsid w:val="00F24C50"/>
    <w:rsid w:val="00F24CAC"/>
    <w:rsid w:val="00F24CCA"/>
    <w:rsid w:val="00F24D3B"/>
    <w:rsid w:val="00F24D6F"/>
    <w:rsid w:val="00F24D73"/>
    <w:rsid w:val="00F24D80"/>
    <w:rsid w:val="00F24DC3"/>
    <w:rsid w:val="00F24DF0"/>
    <w:rsid w:val="00F24E2E"/>
    <w:rsid w:val="00F24E96"/>
    <w:rsid w:val="00F24EC6"/>
    <w:rsid w:val="00F24F21"/>
    <w:rsid w:val="00F24F6D"/>
    <w:rsid w:val="00F25055"/>
    <w:rsid w:val="00F250BA"/>
    <w:rsid w:val="00F2510A"/>
    <w:rsid w:val="00F25123"/>
    <w:rsid w:val="00F251FB"/>
    <w:rsid w:val="00F2521B"/>
    <w:rsid w:val="00F25237"/>
    <w:rsid w:val="00F252AD"/>
    <w:rsid w:val="00F252B0"/>
    <w:rsid w:val="00F252BA"/>
    <w:rsid w:val="00F252BF"/>
    <w:rsid w:val="00F252EF"/>
    <w:rsid w:val="00F25342"/>
    <w:rsid w:val="00F25386"/>
    <w:rsid w:val="00F2545D"/>
    <w:rsid w:val="00F2546B"/>
    <w:rsid w:val="00F25478"/>
    <w:rsid w:val="00F254DC"/>
    <w:rsid w:val="00F25580"/>
    <w:rsid w:val="00F255A8"/>
    <w:rsid w:val="00F255BF"/>
    <w:rsid w:val="00F255DC"/>
    <w:rsid w:val="00F25662"/>
    <w:rsid w:val="00F256E0"/>
    <w:rsid w:val="00F2572B"/>
    <w:rsid w:val="00F257B5"/>
    <w:rsid w:val="00F257BE"/>
    <w:rsid w:val="00F2583B"/>
    <w:rsid w:val="00F258B6"/>
    <w:rsid w:val="00F259BB"/>
    <w:rsid w:val="00F259E0"/>
    <w:rsid w:val="00F25A43"/>
    <w:rsid w:val="00F25A80"/>
    <w:rsid w:val="00F25AFD"/>
    <w:rsid w:val="00F25BF1"/>
    <w:rsid w:val="00F25C80"/>
    <w:rsid w:val="00F25C9F"/>
    <w:rsid w:val="00F25D1E"/>
    <w:rsid w:val="00F25D8A"/>
    <w:rsid w:val="00F25D96"/>
    <w:rsid w:val="00F25DF7"/>
    <w:rsid w:val="00F25E66"/>
    <w:rsid w:val="00F25E97"/>
    <w:rsid w:val="00F25EF0"/>
    <w:rsid w:val="00F25F54"/>
    <w:rsid w:val="00F25F7C"/>
    <w:rsid w:val="00F25FA6"/>
    <w:rsid w:val="00F25FDA"/>
    <w:rsid w:val="00F25FE9"/>
    <w:rsid w:val="00F26017"/>
    <w:rsid w:val="00F26049"/>
    <w:rsid w:val="00F2605D"/>
    <w:rsid w:val="00F26082"/>
    <w:rsid w:val="00F260B1"/>
    <w:rsid w:val="00F260DB"/>
    <w:rsid w:val="00F26112"/>
    <w:rsid w:val="00F2616F"/>
    <w:rsid w:val="00F26172"/>
    <w:rsid w:val="00F261A9"/>
    <w:rsid w:val="00F261CF"/>
    <w:rsid w:val="00F26296"/>
    <w:rsid w:val="00F262F9"/>
    <w:rsid w:val="00F26356"/>
    <w:rsid w:val="00F26394"/>
    <w:rsid w:val="00F26449"/>
    <w:rsid w:val="00F26518"/>
    <w:rsid w:val="00F26520"/>
    <w:rsid w:val="00F265E9"/>
    <w:rsid w:val="00F26624"/>
    <w:rsid w:val="00F266BF"/>
    <w:rsid w:val="00F26714"/>
    <w:rsid w:val="00F2675C"/>
    <w:rsid w:val="00F26793"/>
    <w:rsid w:val="00F2679C"/>
    <w:rsid w:val="00F26879"/>
    <w:rsid w:val="00F268EA"/>
    <w:rsid w:val="00F268F8"/>
    <w:rsid w:val="00F26990"/>
    <w:rsid w:val="00F269C8"/>
    <w:rsid w:val="00F26A5F"/>
    <w:rsid w:val="00F26AA3"/>
    <w:rsid w:val="00F26ADA"/>
    <w:rsid w:val="00F26B98"/>
    <w:rsid w:val="00F26BC6"/>
    <w:rsid w:val="00F26C21"/>
    <w:rsid w:val="00F26C2D"/>
    <w:rsid w:val="00F26C49"/>
    <w:rsid w:val="00F26C65"/>
    <w:rsid w:val="00F26C80"/>
    <w:rsid w:val="00F26CA4"/>
    <w:rsid w:val="00F26CBA"/>
    <w:rsid w:val="00F26CEA"/>
    <w:rsid w:val="00F26D04"/>
    <w:rsid w:val="00F26D0D"/>
    <w:rsid w:val="00F26D2D"/>
    <w:rsid w:val="00F26D61"/>
    <w:rsid w:val="00F26DA4"/>
    <w:rsid w:val="00F26DB6"/>
    <w:rsid w:val="00F26DC5"/>
    <w:rsid w:val="00F26DCF"/>
    <w:rsid w:val="00F26DF0"/>
    <w:rsid w:val="00F26E6C"/>
    <w:rsid w:val="00F26F0C"/>
    <w:rsid w:val="00F26F4A"/>
    <w:rsid w:val="00F26F5F"/>
    <w:rsid w:val="00F26FA9"/>
    <w:rsid w:val="00F26FAE"/>
    <w:rsid w:val="00F26FFF"/>
    <w:rsid w:val="00F2700A"/>
    <w:rsid w:val="00F27042"/>
    <w:rsid w:val="00F2704A"/>
    <w:rsid w:val="00F27071"/>
    <w:rsid w:val="00F27166"/>
    <w:rsid w:val="00F27179"/>
    <w:rsid w:val="00F271C5"/>
    <w:rsid w:val="00F27207"/>
    <w:rsid w:val="00F2720C"/>
    <w:rsid w:val="00F2733A"/>
    <w:rsid w:val="00F273F6"/>
    <w:rsid w:val="00F27436"/>
    <w:rsid w:val="00F2744D"/>
    <w:rsid w:val="00F274AF"/>
    <w:rsid w:val="00F274C4"/>
    <w:rsid w:val="00F275FC"/>
    <w:rsid w:val="00F27677"/>
    <w:rsid w:val="00F276AE"/>
    <w:rsid w:val="00F276C2"/>
    <w:rsid w:val="00F27739"/>
    <w:rsid w:val="00F27761"/>
    <w:rsid w:val="00F27785"/>
    <w:rsid w:val="00F277A3"/>
    <w:rsid w:val="00F277B7"/>
    <w:rsid w:val="00F277BB"/>
    <w:rsid w:val="00F27898"/>
    <w:rsid w:val="00F2789D"/>
    <w:rsid w:val="00F278CA"/>
    <w:rsid w:val="00F27920"/>
    <w:rsid w:val="00F27957"/>
    <w:rsid w:val="00F27984"/>
    <w:rsid w:val="00F279AF"/>
    <w:rsid w:val="00F279D8"/>
    <w:rsid w:val="00F27A45"/>
    <w:rsid w:val="00F27A8A"/>
    <w:rsid w:val="00F27A9E"/>
    <w:rsid w:val="00F27AF1"/>
    <w:rsid w:val="00F27B90"/>
    <w:rsid w:val="00F27BCA"/>
    <w:rsid w:val="00F27BDE"/>
    <w:rsid w:val="00F27C24"/>
    <w:rsid w:val="00F27C34"/>
    <w:rsid w:val="00F27C77"/>
    <w:rsid w:val="00F27C91"/>
    <w:rsid w:val="00F27CBC"/>
    <w:rsid w:val="00F27CDC"/>
    <w:rsid w:val="00F27D0E"/>
    <w:rsid w:val="00F27D3C"/>
    <w:rsid w:val="00F27D92"/>
    <w:rsid w:val="00F27DDF"/>
    <w:rsid w:val="00F27DF4"/>
    <w:rsid w:val="00F27E63"/>
    <w:rsid w:val="00F27E8F"/>
    <w:rsid w:val="00F27F54"/>
    <w:rsid w:val="00F27FB5"/>
    <w:rsid w:val="00F30006"/>
    <w:rsid w:val="00F30043"/>
    <w:rsid w:val="00F30044"/>
    <w:rsid w:val="00F30075"/>
    <w:rsid w:val="00F30090"/>
    <w:rsid w:val="00F300CD"/>
    <w:rsid w:val="00F300F1"/>
    <w:rsid w:val="00F3017C"/>
    <w:rsid w:val="00F30297"/>
    <w:rsid w:val="00F302AA"/>
    <w:rsid w:val="00F302DD"/>
    <w:rsid w:val="00F30300"/>
    <w:rsid w:val="00F3040A"/>
    <w:rsid w:val="00F30423"/>
    <w:rsid w:val="00F3046F"/>
    <w:rsid w:val="00F30475"/>
    <w:rsid w:val="00F3048D"/>
    <w:rsid w:val="00F3049C"/>
    <w:rsid w:val="00F304BF"/>
    <w:rsid w:val="00F304C1"/>
    <w:rsid w:val="00F304E7"/>
    <w:rsid w:val="00F30571"/>
    <w:rsid w:val="00F30576"/>
    <w:rsid w:val="00F3057A"/>
    <w:rsid w:val="00F3064E"/>
    <w:rsid w:val="00F306AF"/>
    <w:rsid w:val="00F3071D"/>
    <w:rsid w:val="00F30733"/>
    <w:rsid w:val="00F30780"/>
    <w:rsid w:val="00F30807"/>
    <w:rsid w:val="00F3082D"/>
    <w:rsid w:val="00F3086D"/>
    <w:rsid w:val="00F308A4"/>
    <w:rsid w:val="00F308CE"/>
    <w:rsid w:val="00F308FA"/>
    <w:rsid w:val="00F30907"/>
    <w:rsid w:val="00F3093A"/>
    <w:rsid w:val="00F30944"/>
    <w:rsid w:val="00F3096A"/>
    <w:rsid w:val="00F309AA"/>
    <w:rsid w:val="00F30A2E"/>
    <w:rsid w:val="00F30A60"/>
    <w:rsid w:val="00F30ACB"/>
    <w:rsid w:val="00F30AF0"/>
    <w:rsid w:val="00F30B05"/>
    <w:rsid w:val="00F30B0A"/>
    <w:rsid w:val="00F30B42"/>
    <w:rsid w:val="00F30B50"/>
    <w:rsid w:val="00F30B54"/>
    <w:rsid w:val="00F30BE1"/>
    <w:rsid w:val="00F30C11"/>
    <w:rsid w:val="00F30C18"/>
    <w:rsid w:val="00F30C59"/>
    <w:rsid w:val="00F30C75"/>
    <w:rsid w:val="00F30C97"/>
    <w:rsid w:val="00F30CB6"/>
    <w:rsid w:val="00F30CBF"/>
    <w:rsid w:val="00F30CEA"/>
    <w:rsid w:val="00F30CEB"/>
    <w:rsid w:val="00F30D0D"/>
    <w:rsid w:val="00F30D18"/>
    <w:rsid w:val="00F30D29"/>
    <w:rsid w:val="00F30D2D"/>
    <w:rsid w:val="00F30D30"/>
    <w:rsid w:val="00F30D3D"/>
    <w:rsid w:val="00F30D71"/>
    <w:rsid w:val="00F30D9F"/>
    <w:rsid w:val="00F30DC7"/>
    <w:rsid w:val="00F30F54"/>
    <w:rsid w:val="00F30F5C"/>
    <w:rsid w:val="00F3105D"/>
    <w:rsid w:val="00F310BA"/>
    <w:rsid w:val="00F310C6"/>
    <w:rsid w:val="00F310F6"/>
    <w:rsid w:val="00F31103"/>
    <w:rsid w:val="00F3111D"/>
    <w:rsid w:val="00F31176"/>
    <w:rsid w:val="00F311B2"/>
    <w:rsid w:val="00F31202"/>
    <w:rsid w:val="00F31208"/>
    <w:rsid w:val="00F31218"/>
    <w:rsid w:val="00F31236"/>
    <w:rsid w:val="00F31238"/>
    <w:rsid w:val="00F31254"/>
    <w:rsid w:val="00F31289"/>
    <w:rsid w:val="00F312FF"/>
    <w:rsid w:val="00F313A6"/>
    <w:rsid w:val="00F3143E"/>
    <w:rsid w:val="00F31558"/>
    <w:rsid w:val="00F31590"/>
    <w:rsid w:val="00F31591"/>
    <w:rsid w:val="00F31598"/>
    <w:rsid w:val="00F315B2"/>
    <w:rsid w:val="00F3165B"/>
    <w:rsid w:val="00F31671"/>
    <w:rsid w:val="00F3170D"/>
    <w:rsid w:val="00F3171F"/>
    <w:rsid w:val="00F31721"/>
    <w:rsid w:val="00F31727"/>
    <w:rsid w:val="00F3173B"/>
    <w:rsid w:val="00F31762"/>
    <w:rsid w:val="00F31766"/>
    <w:rsid w:val="00F31794"/>
    <w:rsid w:val="00F31797"/>
    <w:rsid w:val="00F31833"/>
    <w:rsid w:val="00F3183C"/>
    <w:rsid w:val="00F31872"/>
    <w:rsid w:val="00F3188F"/>
    <w:rsid w:val="00F3189E"/>
    <w:rsid w:val="00F31933"/>
    <w:rsid w:val="00F3196A"/>
    <w:rsid w:val="00F3197D"/>
    <w:rsid w:val="00F3199D"/>
    <w:rsid w:val="00F319BA"/>
    <w:rsid w:val="00F319BF"/>
    <w:rsid w:val="00F319EF"/>
    <w:rsid w:val="00F319F4"/>
    <w:rsid w:val="00F31A4D"/>
    <w:rsid w:val="00F31A89"/>
    <w:rsid w:val="00F31A8E"/>
    <w:rsid w:val="00F31ABC"/>
    <w:rsid w:val="00F31AFC"/>
    <w:rsid w:val="00F31B18"/>
    <w:rsid w:val="00F31B45"/>
    <w:rsid w:val="00F31B7B"/>
    <w:rsid w:val="00F31BC9"/>
    <w:rsid w:val="00F31C53"/>
    <w:rsid w:val="00F31CDB"/>
    <w:rsid w:val="00F31CE8"/>
    <w:rsid w:val="00F31CEF"/>
    <w:rsid w:val="00F31D37"/>
    <w:rsid w:val="00F31D68"/>
    <w:rsid w:val="00F31D92"/>
    <w:rsid w:val="00F31DA5"/>
    <w:rsid w:val="00F31E08"/>
    <w:rsid w:val="00F31E11"/>
    <w:rsid w:val="00F31E22"/>
    <w:rsid w:val="00F31E45"/>
    <w:rsid w:val="00F31E4A"/>
    <w:rsid w:val="00F31E71"/>
    <w:rsid w:val="00F31E74"/>
    <w:rsid w:val="00F31E7A"/>
    <w:rsid w:val="00F31EDE"/>
    <w:rsid w:val="00F31EE9"/>
    <w:rsid w:val="00F31F8D"/>
    <w:rsid w:val="00F32008"/>
    <w:rsid w:val="00F320B9"/>
    <w:rsid w:val="00F32149"/>
    <w:rsid w:val="00F32155"/>
    <w:rsid w:val="00F32168"/>
    <w:rsid w:val="00F32183"/>
    <w:rsid w:val="00F321D7"/>
    <w:rsid w:val="00F321EE"/>
    <w:rsid w:val="00F3220D"/>
    <w:rsid w:val="00F32210"/>
    <w:rsid w:val="00F3226A"/>
    <w:rsid w:val="00F3229D"/>
    <w:rsid w:val="00F322C2"/>
    <w:rsid w:val="00F322D5"/>
    <w:rsid w:val="00F32308"/>
    <w:rsid w:val="00F32328"/>
    <w:rsid w:val="00F32345"/>
    <w:rsid w:val="00F3248C"/>
    <w:rsid w:val="00F324B7"/>
    <w:rsid w:val="00F324D2"/>
    <w:rsid w:val="00F3252E"/>
    <w:rsid w:val="00F32588"/>
    <w:rsid w:val="00F325DC"/>
    <w:rsid w:val="00F325EE"/>
    <w:rsid w:val="00F325F8"/>
    <w:rsid w:val="00F32607"/>
    <w:rsid w:val="00F3260E"/>
    <w:rsid w:val="00F3263D"/>
    <w:rsid w:val="00F326E8"/>
    <w:rsid w:val="00F3270A"/>
    <w:rsid w:val="00F32732"/>
    <w:rsid w:val="00F32752"/>
    <w:rsid w:val="00F32798"/>
    <w:rsid w:val="00F328AD"/>
    <w:rsid w:val="00F328B0"/>
    <w:rsid w:val="00F328CA"/>
    <w:rsid w:val="00F32913"/>
    <w:rsid w:val="00F3292D"/>
    <w:rsid w:val="00F32973"/>
    <w:rsid w:val="00F329A9"/>
    <w:rsid w:val="00F329DD"/>
    <w:rsid w:val="00F329FE"/>
    <w:rsid w:val="00F32AB5"/>
    <w:rsid w:val="00F32AE4"/>
    <w:rsid w:val="00F32B21"/>
    <w:rsid w:val="00F32C17"/>
    <w:rsid w:val="00F32C44"/>
    <w:rsid w:val="00F32CA5"/>
    <w:rsid w:val="00F32CC5"/>
    <w:rsid w:val="00F32CC9"/>
    <w:rsid w:val="00F32CE1"/>
    <w:rsid w:val="00F32D01"/>
    <w:rsid w:val="00F32D29"/>
    <w:rsid w:val="00F32D59"/>
    <w:rsid w:val="00F32DF0"/>
    <w:rsid w:val="00F32E2B"/>
    <w:rsid w:val="00F32E3A"/>
    <w:rsid w:val="00F32EA8"/>
    <w:rsid w:val="00F32ED2"/>
    <w:rsid w:val="00F32EE6"/>
    <w:rsid w:val="00F32F26"/>
    <w:rsid w:val="00F32F29"/>
    <w:rsid w:val="00F32F2E"/>
    <w:rsid w:val="00F32FB9"/>
    <w:rsid w:val="00F32FD4"/>
    <w:rsid w:val="00F32FE3"/>
    <w:rsid w:val="00F32FE9"/>
    <w:rsid w:val="00F33033"/>
    <w:rsid w:val="00F33131"/>
    <w:rsid w:val="00F3318B"/>
    <w:rsid w:val="00F331B1"/>
    <w:rsid w:val="00F331B9"/>
    <w:rsid w:val="00F331D6"/>
    <w:rsid w:val="00F33242"/>
    <w:rsid w:val="00F33266"/>
    <w:rsid w:val="00F332A4"/>
    <w:rsid w:val="00F332C9"/>
    <w:rsid w:val="00F3336D"/>
    <w:rsid w:val="00F33384"/>
    <w:rsid w:val="00F33422"/>
    <w:rsid w:val="00F3343D"/>
    <w:rsid w:val="00F3349A"/>
    <w:rsid w:val="00F33513"/>
    <w:rsid w:val="00F33571"/>
    <w:rsid w:val="00F33589"/>
    <w:rsid w:val="00F335B0"/>
    <w:rsid w:val="00F335B2"/>
    <w:rsid w:val="00F335DA"/>
    <w:rsid w:val="00F33631"/>
    <w:rsid w:val="00F3363A"/>
    <w:rsid w:val="00F3366C"/>
    <w:rsid w:val="00F336CE"/>
    <w:rsid w:val="00F3372A"/>
    <w:rsid w:val="00F337A5"/>
    <w:rsid w:val="00F337F9"/>
    <w:rsid w:val="00F3389B"/>
    <w:rsid w:val="00F338A5"/>
    <w:rsid w:val="00F338C9"/>
    <w:rsid w:val="00F3394A"/>
    <w:rsid w:val="00F3396C"/>
    <w:rsid w:val="00F3397C"/>
    <w:rsid w:val="00F339F8"/>
    <w:rsid w:val="00F33A43"/>
    <w:rsid w:val="00F33AA3"/>
    <w:rsid w:val="00F33AD1"/>
    <w:rsid w:val="00F33B3F"/>
    <w:rsid w:val="00F33B9A"/>
    <w:rsid w:val="00F33C44"/>
    <w:rsid w:val="00F33D33"/>
    <w:rsid w:val="00F33D52"/>
    <w:rsid w:val="00F33D7A"/>
    <w:rsid w:val="00F33DE1"/>
    <w:rsid w:val="00F33E41"/>
    <w:rsid w:val="00F33E43"/>
    <w:rsid w:val="00F33E4F"/>
    <w:rsid w:val="00F33E74"/>
    <w:rsid w:val="00F33E89"/>
    <w:rsid w:val="00F33E8D"/>
    <w:rsid w:val="00F33EC5"/>
    <w:rsid w:val="00F33EDC"/>
    <w:rsid w:val="00F33EDD"/>
    <w:rsid w:val="00F33EE1"/>
    <w:rsid w:val="00F33F2E"/>
    <w:rsid w:val="00F33F40"/>
    <w:rsid w:val="00F33F7B"/>
    <w:rsid w:val="00F33FC9"/>
    <w:rsid w:val="00F34030"/>
    <w:rsid w:val="00F34066"/>
    <w:rsid w:val="00F340B2"/>
    <w:rsid w:val="00F340BC"/>
    <w:rsid w:val="00F340E8"/>
    <w:rsid w:val="00F3411D"/>
    <w:rsid w:val="00F341F4"/>
    <w:rsid w:val="00F34222"/>
    <w:rsid w:val="00F34249"/>
    <w:rsid w:val="00F3426A"/>
    <w:rsid w:val="00F342BC"/>
    <w:rsid w:val="00F342C2"/>
    <w:rsid w:val="00F342D9"/>
    <w:rsid w:val="00F342FA"/>
    <w:rsid w:val="00F3432E"/>
    <w:rsid w:val="00F343C2"/>
    <w:rsid w:val="00F344BF"/>
    <w:rsid w:val="00F344E5"/>
    <w:rsid w:val="00F34548"/>
    <w:rsid w:val="00F34562"/>
    <w:rsid w:val="00F34567"/>
    <w:rsid w:val="00F34589"/>
    <w:rsid w:val="00F345D5"/>
    <w:rsid w:val="00F345DC"/>
    <w:rsid w:val="00F3467A"/>
    <w:rsid w:val="00F3468F"/>
    <w:rsid w:val="00F34695"/>
    <w:rsid w:val="00F346F4"/>
    <w:rsid w:val="00F347F2"/>
    <w:rsid w:val="00F34805"/>
    <w:rsid w:val="00F34864"/>
    <w:rsid w:val="00F34908"/>
    <w:rsid w:val="00F34921"/>
    <w:rsid w:val="00F34A1C"/>
    <w:rsid w:val="00F34A62"/>
    <w:rsid w:val="00F34ACA"/>
    <w:rsid w:val="00F34AEF"/>
    <w:rsid w:val="00F34B0F"/>
    <w:rsid w:val="00F34B2B"/>
    <w:rsid w:val="00F34C14"/>
    <w:rsid w:val="00F34C32"/>
    <w:rsid w:val="00F34C4B"/>
    <w:rsid w:val="00F34D56"/>
    <w:rsid w:val="00F34D8B"/>
    <w:rsid w:val="00F34DD6"/>
    <w:rsid w:val="00F34E02"/>
    <w:rsid w:val="00F34E07"/>
    <w:rsid w:val="00F34E09"/>
    <w:rsid w:val="00F34E56"/>
    <w:rsid w:val="00F34E58"/>
    <w:rsid w:val="00F34EDD"/>
    <w:rsid w:val="00F34F0D"/>
    <w:rsid w:val="00F34F39"/>
    <w:rsid w:val="00F34F69"/>
    <w:rsid w:val="00F34F6B"/>
    <w:rsid w:val="00F34FBA"/>
    <w:rsid w:val="00F34FF3"/>
    <w:rsid w:val="00F35072"/>
    <w:rsid w:val="00F3507A"/>
    <w:rsid w:val="00F3507F"/>
    <w:rsid w:val="00F350DF"/>
    <w:rsid w:val="00F350E4"/>
    <w:rsid w:val="00F350EA"/>
    <w:rsid w:val="00F35101"/>
    <w:rsid w:val="00F3512B"/>
    <w:rsid w:val="00F3514E"/>
    <w:rsid w:val="00F351DA"/>
    <w:rsid w:val="00F35217"/>
    <w:rsid w:val="00F3526E"/>
    <w:rsid w:val="00F352D1"/>
    <w:rsid w:val="00F352E2"/>
    <w:rsid w:val="00F3531F"/>
    <w:rsid w:val="00F35395"/>
    <w:rsid w:val="00F353BC"/>
    <w:rsid w:val="00F35401"/>
    <w:rsid w:val="00F35426"/>
    <w:rsid w:val="00F3543B"/>
    <w:rsid w:val="00F354B3"/>
    <w:rsid w:val="00F354E4"/>
    <w:rsid w:val="00F354F2"/>
    <w:rsid w:val="00F3553C"/>
    <w:rsid w:val="00F3555D"/>
    <w:rsid w:val="00F35560"/>
    <w:rsid w:val="00F35598"/>
    <w:rsid w:val="00F355B4"/>
    <w:rsid w:val="00F355DE"/>
    <w:rsid w:val="00F355EF"/>
    <w:rsid w:val="00F3562F"/>
    <w:rsid w:val="00F3563D"/>
    <w:rsid w:val="00F3566C"/>
    <w:rsid w:val="00F35673"/>
    <w:rsid w:val="00F3569D"/>
    <w:rsid w:val="00F356C6"/>
    <w:rsid w:val="00F356CF"/>
    <w:rsid w:val="00F35705"/>
    <w:rsid w:val="00F35712"/>
    <w:rsid w:val="00F35748"/>
    <w:rsid w:val="00F35752"/>
    <w:rsid w:val="00F357AF"/>
    <w:rsid w:val="00F357B6"/>
    <w:rsid w:val="00F357D4"/>
    <w:rsid w:val="00F357DB"/>
    <w:rsid w:val="00F3589E"/>
    <w:rsid w:val="00F358FF"/>
    <w:rsid w:val="00F3590A"/>
    <w:rsid w:val="00F35918"/>
    <w:rsid w:val="00F35978"/>
    <w:rsid w:val="00F35983"/>
    <w:rsid w:val="00F35984"/>
    <w:rsid w:val="00F35A3A"/>
    <w:rsid w:val="00F35A3F"/>
    <w:rsid w:val="00F35A41"/>
    <w:rsid w:val="00F35AF1"/>
    <w:rsid w:val="00F35B2D"/>
    <w:rsid w:val="00F35B2F"/>
    <w:rsid w:val="00F35B54"/>
    <w:rsid w:val="00F35B58"/>
    <w:rsid w:val="00F35B5D"/>
    <w:rsid w:val="00F35BC8"/>
    <w:rsid w:val="00F35C1A"/>
    <w:rsid w:val="00F35C8D"/>
    <w:rsid w:val="00F35CAA"/>
    <w:rsid w:val="00F35CCC"/>
    <w:rsid w:val="00F35D65"/>
    <w:rsid w:val="00F35DE7"/>
    <w:rsid w:val="00F35DF0"/>
    <w:rsid w:val="00F35DF7"/>
    <w:rsid w:val="00F35E6E"/>
    <w:rsid w:val="00F35F2D"/>
    <w:rsid w:val="00F35F2F"/>
    <w:rsid w:val="00F35F55"/>
    <w:rsid w:val="00F35F98"/>
    <w:rsid w:val="00F35FC7"/>
    <w:rsid w:val="00F35FDC"/>
    <w:rsid w:val="00F35FE4"/>
    <w:rsid w:val="00F35FFC"/>
    <w:rsid w:val="00F36000"/>
    <w:rsid w:val="00F36061"/>
    <w:rsid w:val="00F360BF"/>
    <w:rsid w:val="00F36134"/>
    <w:rsid w:val="00F3613F"/>
    <w:rsid w:val="00F36158"/>
    <w:rsid w:val="00F361C6"/>
    <w:rsid w:val="00F361D2"/>
    <w:rsid w:val="00F3625E"/>
    <w:rsid w:val="00F36271"/>
    <w:rsid w:val="00F362A1"/>
    <w:rsid w:val="00F362B0"/>
    <w:rsid w:val="00F362C1"/>
    <w:rsid w:val="00F362F3"/>
    <w:rsid w:val="00F3633D"/>
    <w:rsid w:val="00F3635D"/>
    <w:rsid w:val="00F3636F"/>
    <w:rsid w:val="00F363D5"/>
    <w:rsid w:val="00F363F3"/>
    <w:rsid w:val="00F363FA"/>
    <w:rsid w:val="00F36400"/>
    <w:rsid w:val="00F36410"/>
    <w:rsid w:val="00F36416"/>
    <w:rsid w:val="00F36439"/>
    <w:rsid w:val="00F36467"/>
    <w:rsid w:val="00F364C6"/>
    <w:rsid w:val="00F364FB"/>
    <w:rsid w:val="00F36506"/>
    <w:rsid w:val="00F365A7"/>
    <w:rsid w:val="00F365DB"/>
    <w:rsid w:val="00F365E7"/>
    <w:rsid w:val="00F36615"/>
    <w:rsid w:val="00F3662D"/>
    <w:rsid w:val="00F3663E"/>
    <w:rsid w:val="00F36671"/>
    <w:rsid w:val="00F366AE"/>
    <w:rsid w:val="00F3671F"/>
    <w:rsid w:val="00F367F1"/>
    <w:rsid w:val="00F3683F"/>
    <w:rsid w:val="00F368AA"/>
    <w:rsid w:val="00F3697F"/>
    <w:rsid w:val="00F36993"/>
    <w:rsid w:val="00F36A1A"/>
    <w:rsid w:val="00F36A4F"/>
    <w:rsid w:val="00F36A73"/>
    <w:rsid w:val="00F36A78"/>
    <w:rsid w:val="00F36A9D"/>
    <w:rsid w:val="00F36AE0"/>
    <w:rsid w:val="00F36AF3"/>
    <w:rsid w:val="00F36B06"/>
    <w:rsid w:val="00F36B15"/>
    <w:rsid w:val="00F36B1D"/>
    <w:rsid w:val="00F36BA6"/>
    <w:rsid w:val="00F36BBA"/>
    <w:rsid w:val="00F36C7E"/>
    <w:rsid w:val="00F36CDC"/>
    <w:rsid w:val="00F36CFB"/>
    <w:rsid w:val="00F36D1F"/>
    <w:rsid w:val="00F36D2B"/>
    <w:rsid w:val="00F36D3F"/>
    <w:rsid w:val="00F36D6B"/>
    <w:rsid w:val="00F36DF6"/>
    <w:rsid w:val="00F36EAA"/>
    <w:rsid w:val="00F36EF7"/>
    <w:rsid w:val="00F36F49"/>
    <w:rsid w:val="00F36F93"/>
    <w:rsid w:val="00F36FAB"/>
    <w:rsid w:val="00F37164"/>
    <w:rsid w:val="00F37203"/>
    <w:rsid w:val="00F37217"/>
    <w:rsid w:val="00F37270"/>
    <w:rsid w:val="00F37272"/>
    <w:rsid w:val="00F372AA"/>
    <w:rsid w:val="00F372CA"/>
    <w:rsid w:val="00F37332"/>
    <w:rsid w:val="00F3733E"/>
    <w:rsid w:val="00F37348"/>
    <w:rsid w:val="00F37399"/>
    <w:rsid w:val="00F373EA"/>
    <w:rsid w:val="00F373FB"/>
    <w:rsid w:val="00F37401"/>
    <w:rsid w:val="00F37454"/>
    <w:rsid w:val="00F3745E"/>
    <w:rsid w:val="00F37519"/>
    <w:rsid w:val="00F37577"/>
    <w:rsid w:val="00F3758B"/>
    <w:rsid w:val="00F375B0"/>
    <w:rsid w:val="00F375C6"/>
    <w:rsid w:val="00F375E5"/>
    <w:rsid w:val="00F37600"/>
    <w:rsid w:val="00F37688"/>
    <w:rsid w:val="00F376BB"/>
    <w:rsid w:val="00F37738"/>
    <w:rsid w:val="00F37765"/>
    <w:rsid w:val="00F37792"/>
    <w:rsid w:val="00F3783B"/>
    <w:rsid w:val="00F378BC"/>
    <w:rsid w:val="00F3792C"/>
    <w:rsid w:val="00F37968"/>
    <w:rsid w:val="00F379AC"/>
    <w:rsid w:val="00F379DA"/>
    <w:rsid w:val="00F37A11"/>
    <w:rsid w:val="00F37A1A"/>
    <w:rsid w:val="00F37A3A"/>
    <w:rsid w:val="00F37A8B"/>
    <w:rsid w:val="00F37AF1"/>
    <w:rsid w:val="00F37B6B"/>
    <w:rsid w:val="00F37C6D"/>
    <w:rsid w:val="00F37C9E"/>
    <w:rsid w:val="00F37CA1"/>
    <w:rsid w:val="00F37CDD"/>
    <w:rsid w:val="00F37CE5"/>
    <w:rsid w:val="00F37CEB"/>
    <w:rsid w:val="00F37D02"/>
    <w:rsid w:val="00F37DD4"/>
    <w:rsid w:val="00F37E34"/>
    <w:rsid w:val="00F37E42"/>
    <w:rsid w:val="00F37E8B"/>
    <w:rsid w:val="00F37EC4"/>
    <w:rsid w:val="00F37F70"/>
    <w:rsid w:val="00F37F8D"/>
    <w:rsid w:val="00F37F8F"/>
    <w:rsid w:val="00F37FA8"/>
    <w:rsid w:val="00F37FBB"/>
    <w:rsid w:val="00F37FE4"/>
    <w:rsid w:val="00F4001B"/>
    <w:rsid w:val="00F400A3"/>
    <w:rsid w:val="00F400B7"/>
    <w:rsid w:val="00F400C3"/>
    <w:rsid w:val="00F40127"/>
    <w:rsid w:val="00F401CC"/>
    <w:rsid w:val="00F40200"/>
    <w:rsid w:val="00F40272"/>
    <w:rsid w:val="00F4029D"/>
    <w:rsid w:val="00F402C4"/>
    <w:rsid w:val="00F402E1"/>
    <w:rsid w:val="00F40361"/>
    <w:rsid w:val="00F4036B"/>
    <w:rsid w:val="00F403C5"/>
    <w:rsid w:val="00F403CD"/>
    <w:rsid w:val="00F404D2"/>
    <w:rsid w:val="00F404E9"/>
    <w:rsid w:val="00F40593"/>
    <w:rsid w:val="00F405A6"/>
    <w:rsid w:val="00F405F5"/>
    <w:rsid w:val="00F406AC"/>
    <w:rsid w:val="00F4071B"/>
    <w:rsid w:val="00F40758"/>
    <w:rsid w:val="00F407A2"/>
    <w:rsid w:val="00F40819"/>
    <w:rsid w:val="00F40823"/>
    <w:rsid w:val="00F40828"/>
    <w:rsid w:val="00F40883"/>
    <w:rsid w:val="00F4088E"/>
    <w:rsid w:val="00F408E5"/>
    <w:rsid w:val="00F40929"/>
    <w:rsid w:val="00F4093A"/>
    <w:rsid w:val="00F40989"/>
    <w:rsid w:val="00F40999"/>
    <w:rsid w:val="00F409EC"/>
    <w:rsid w:val="00F40A0A"/>
    <w:rsid w:val="00F40A11"/>
    <w:rsid w:val="00F40A4A"/>
    <w:rsid w:val="00F40A51"/>
    <w:rsid w:val="00F40A9C"/>
    <w:rsid w:val="00F40ABD"/>
    <w:rsid w:val="00F40ADC"/>
    <w:rsid w:val="00F40AED"/>
    <w:rsid w:val="00F40B78"/>
    <w:rsid w:val="00F40B7F"/>
    <w:rsid w:val="00F40BA0"/>
    <w:rsid w:val="00F40BEA"/>
    <w:rsid w:val="00F40C18"/>
    <w:rsid w:val="00F40C1C"/>
    <w:rsid w:val="00F40C44"/>
    <w:rsid w:val="00F40C4D"/>
    <w:rsid w:val="00F40D78"/>
    <w:rsid w:val="00F40D7E"/>
    <w:rsid w:val="00F40DBB"/>
    <w:rsid w:val="00F40E05"/>
    <w:rsid w:val="00F40E13"/>
    <w:rsid w:val="00F40E24"/>
    <w:rsid w:val="00F40E44"/>
    <w:rsid w:val="00F40E5B"/>
    <w:rsid w:val="00F40E6F"/>
    <w:rsid w:val="00F40E94"/>
    <w:rsid w:val="00F40EDB"/>
    <w:rsid w:val="00F40F03"/>
    <w:rsid w:val="00F40FED"/>
    <w:rsid w:val="00F4104D"/>
    <w:rsid w:val="00F410FE"/>
    <w:rsid w:val="00F4117A"/>
    <w:rsid w:val="00F41194"/>
    <w:rsid w:val="00F411AC"/>
    <w:rsid w:val="00F411C6"/>
    <w:rsid w:val="00F411DD"/>
    <w:rsid w:val="00F41248"/>
    <w:rsid w:val="00F41271"/>
    <w:rsid w:val="00F41323"/>
    <w:rsid w:val="00F41408"/>
    <w:rsid w:val="00F4142A"/>
    <w:rsid w:val="00F41432"/>
    <w:rsid w:val="00F41488"/>
    <w:rsid w:val="00F41489"/>
    <w:rsid w:val="00F414B1"/>
    <w:rsid w:val="00F414EA"/>
    <w:rsid w:val="00F41542"/>
    <w:rsid w:val="00F4155C"/>
    <w:rsid w:val="00F41575"/>
    <w:rsid w:val="00F41591"/>
    <w:rsid w:val="00F41659"/>
    <w:rsid w:val="00F41695"/>
    <w:rsid w:val="00F4177D"/>
    <w:rsid w:val="00F417DF"/>
    <w:rsid w:val="00F417FA"/>
    <w:rsid w:val="00F41834"/>
    <w:rsid w:val="00F4185C"/>
    <w:rsid w:val="00F41874"/>
    <w:rsid w:val="00F418CA"/>
    <w:rsid w:val="00F41972"/>
    <w:rsid w:val="00F419AE"/>
    <w:rsid w:val="00F419B9"/>
    <w:rsid w:val="00F41A2D"/>
    <w:rsid w:val="00F41A6D"/>
    <w:rsid w:val="00F41AAB"/>
    <w:rsid w:val="00F41AD8"/>
    <w:rsid w:val="00F41AFE"/>
    <w:rsid w:val="00F41B03"/>
    <w:rsid w:val="00F41BA4"/>
    <w:rsid w:val="00F41BE9"/>
    <w:rsid w:val="00F41C17"/>
    <w:rsid w:val="00F41C1A"/>
    <w:rsid w:val="00F41CB6"/>
    <w:rsid w:val="00F41CD1"/>
    <w:rsid w:val="00F41D3F"/>
    <w:rsid w:val="00F41D63"/>
    <w:rsid w:val="00F41E31"/>
    <w:rsid w:val="00F41E48"/>
    <w:rsid w:val="00F41E92"/>
    <w:rsid w:val="00F41E9E"/>
    <w:rsid w:val="00F41EB3"/>
    <w:rsid w:val="00F41EE1"/>
    <w:rsid w:val="00F41F1A"/>
    <w:rsid w:val="00F41F9C"/>
    <w:rsid w:val="00F41FF6"/>
    <w:rsid w:val="00F42065"/>
    <w:rsid w:val="00F42066"/>
    <w:rsid w:val="00F42084"/>
    <w:rsid w:val="00F42085"/>
    <w:rsid w:val="00F42098"/>
    <w:rsid w:val="00F420E8"/>
    <w:rsid w:val="00F420F7"/>
    <w:rsid w:val="00F4217B"/>
    <w:rsid w:val="00F421CE"/>
    <w:rsid w:val="00F421D6"/>
    <w:rsid w:val="00F421EF"/>
    <w:rsid w:val="00F421FF"/>
    <w:rsid w:val="00F42211"/>
    <w:rsid w:val="00F4221D"/>
    <w:rsid w:val="00F4221E"/>
    <w:rsid w:val="00F4228C"/>
    <w:rsid w:val="00F422B5"/>
    <w:rsid w:val="00F422EE"/>
    <w:rsid w:val="00F422FA"/>
    <w:rsid w:val="00F4235F"/>
    <w:rsid w:val="00F42388"/>
    <w:rsid w:val="00F42459"/>
    <w:rsid w:val="00F424D0"/>
    <w:rsid w:val="00F42569"/>
    <w:rsid w:val="00F42581"/>
    <w:rsid w:val="00F42601"/>
    <w:rsid w:val="00F42630"/>
    <w:rsid w:val="00F4263D"/>
    <w:rsid w:val="00F426DD"/>
    <w:rsid w:val="00F426EC"/>
    <w:rsid w:val="00F42736"/>
    <w:rsid w:val="00F427DC"/>
    <w:rsid w:val="00F427F3"/>
    <w:rsid w:val="00F427FB"/>
    <w:rsid w:val="00F4280C"/>
    <w:rsid w:val="00F428A6"/>
    <w:rsid w:val="00F428D1"/>
    <w:rsid w:val="00F42942"/>
    <w:rsid w:val="00F42972"/>
    <w:rsid w:val="00F42975"/>
    <w:rsid w:val="00F4297C"/>
    <w:rsid w:val="00F42987"/>
    <w:rsid w:val="00F429B5"/>
    <w:rsid w:val="00F429C7"/>
    <w:rsid w:val="00F429D2"/>
    <w:rsid w:val="00F42A07"/>
    <w:rsid w:val="00F42A1C"/>
    <w:rsid w:val="00F42A24"/>
    <w:rsid w:val="00F42A56"/>
    <w:rsid w:val="00F42A87"/>
    <w:rsid w:val="00F42A94"/>
    <w:rsid w:val="00F42AE7"/>
    <w:rsid w:val="00F42AE8"/>
    <w:rsid w:val="00F42B1E"/>
    <w:rsid w:val="00F42B51"/>
    <w:rsid w:val="00F42B69"/>
    <w:rsid w:val="00F42B84"/>
    <w:rsid w:val="00F42B89"/>
    <w:rsid w:val="00F42B92"/>
    <w:rsid w:val="00F42B9C"/>
    <w:rsid w:val="00F42BB8"/>
    <w:rsid w:val="00F42C26"/>
    <w:rsid w:val="00F42C29"/>
    <w:rsid w:val="00F42C5F"/>
    <w:rsid w:val="00F42D08"/>
    <w:rsid w:val="00F42D55"/>
    <w:rsid w:val="00F42D84"/>
    <w:rsid w:val="00F42D9E"/>
    <w:rsid w:val="00F42DC1"/>
    <w:rsid w:val="00F42DE8"/>
    <w:rsid w:val="00F42E0F"/>
    <w:rsid w:val="00F42E8B"/>
    <w:rsid w:val="00F42F32"/>
    <w:rsid w:val="00F42F42"/>
    <w:rsid w:val="00F42F69"/>
    <w:rsid w:val="00F42F76"/>
    <w:rsid w:val="00F42F78"/>
    <w:rsid w:val="00F42F91"/>
    <w:rsid w:val="00F42F95"/>
    <w:rsid w:val="00F42FB4"/>
    <w:rsid w:val="00F42FD8"/>
    <w:rsid w:val="00F43020"/>
    <w:rsid w:val="00F4316D"/>
    <w:rsid w:val="00F431A8"/>
    <w:rsid w:val="00F431B0"/>
    <w:rsid w:val="00F43234"/>
    <w:rsid w:val="00F4323F"/>
    <w:rsid w:val="00F43294"/>
    <w:rsid w:val="00F43299"/>
    <w:rsid w:val="00F432AB"/>
    <w:rsid w:val="00F432D9"/>
    <w:rsid w:val="00F432FB"/>
    <w:rsid w:val="00F43327"/>
    <w:rsid w:val="00F43342"/>
    <w:rsid w:val="00F43386"/>
    <w:rsid w:val="00F433AA"/>
    <w:rsid w:val="00F433CA"/>
    <w:rsid w:val="00F433CC"/>
    <w:rsid w:val="00F433DA"/>
    <w:rsid w:val="00F43414"/>
    <w:rsid w:val="00F4344C"/>
    <w:rsid w:val="00F4348B"/>
    <w:rsid w:val="00F434EA"/>
    <w:rsid w:val="00F43592"/>
    <w:rsid w:val="00F435AE"/>
    <w:rsid w:val="00F435D3"/>
    <w:rsid w:val="00F43617"/>
    <w:rsid w:val="00F43694"/>
    <w:rsid w:val="00F436E6"/>
    <w:rsid w:val="00F436FC"/>
    <w:rsid w:val="00F43726"/>
    <w:rsid w:val="00F437CA"/>
    <w:rsid w:val="00F437EE"/>
    <w:rsid w:val="00F43856"/>
    <w:rsid w:val="00F43868"/>
    <w:rsid w:val="00F4386E"/>
    <w:rsid w:val="00F438B2"/>
    <w:rsid w:val="00F438B5"/>
    <w:rsid w:val="00F43947"/>
    <w:rsid w:val="00F43976"/>
    <w:rsid w:val="00F439F8"/>
    <w:rsid w:val="00F43A82"/>
    <w:rsid w:val="00F43A8A"/>
    <w:rsid w:val="00F43AB0"/>
    <w:rsid w:val="00F43AF2"/>
    <w:rsid w:val="00F43B2E"/>
    <w:rsid w:val="00F43B5E"/>
    <w:rsid w:val="00F43B7D"/>
    <w:rsid w:val="00F43B8F"/>
    <w:rsid w:val="00F43BC4"/>
    <w:rsid w:val="00F43BFE"/>
    <w:rsid w:val="00F43C10"/>
    <w:rsid w:val="00F43C17"/>
    <w:rsid w:val="00F43C4B"/>
    <w:rsid w:val="00F43D00"/>
    <w:rsid w:val="00F43D54"/>
    <w:rsid w:val="00F43D6B"/>
    <w:rsid w:val="00F43D7F"/>
    <w:rsid w:val="00F43D9A"/>
    <w:rsid w:val="00F43DE8"/>
    <w:rsid w:val="00F43F79"/>
    <w:rsid w:val="00F43F8C"/>
    <w:rsid w:val="00F43F90"/>
    <w:rsid w:val="00F43FD2"/>
    <w:rsid w:val="00F43FE5"/>
    <w:rsid w:val="00F43FFB"/>
    <w:rsid w:val="00F44044"/>
    <w:rsid w:val="00F440B6"/>
    <w:rsid w:val="00F440F7"/>
    <w:rsid w:val="00F4414A"/>
    <w:rsid w:val="00F441A3"/>
    <w:rsid w:val="00F441A7"/>
    <w:rsid w:val="00F44264"/>
    <w:rsid w:val="00F4429C"/>
    <w:rsid w:val="00F442B5"/>
    <w:rsid w:val="00F442F8"/>
    <w:rsid w:val="00F442FF"/>
    <w:rsid w:val="00F4430F"/>
    <w:rsid w:val="00F4432D"/>
    <w:rsid w:val="00F4433D"/>
    <w:rsid w:val="00F44390"/>
    <w:rsid w:val="00F44393"/>
    <w:rsid w:val="00F44396"/>
    <w:rsid w:val="00F44397"/>
    <w:rsid w:val="00F443E7"/>
    <w:rsid w:val="00F44402"/>
    <w:rsid w:val="00F4441E"/>
    <w:rsid w:val="00F44472"/>
    <w:rsid w:val="00F444BC"/>
    <w:rsid w:val="00F444EA"/>
    <w:rsid w:val="00F4451C"/>
    <w:rsid w:val="00F44655"/>
    <w:rsid w:val="00F446A8"/>
    <w:rsid w:val="00F446DE"/>
    <w:rsid w:val="00F446EF"/>
    <w:rsid w:val="00F44777"/>
    <w:rsid w:val="00F447B0"/>
    <w:rsid w:val="00F447BF"/>
    <w:rsid w:val="00F447F8"/>
    <w:rsid w:val="00F447FD"/>
    <w:rsid w:val="00F44821"/>
    <w:rsid w:val="00F4483F"/>
    <w:rsid w:val="00F44873"/>
    <w:rsid w:val="00F448BD"/>
    <w:rsid w:val="00F448D4"/>
    <w:rsid w:val="00F448FC"/>
    <w:rsid w:val="00F44908"/>
    <w:rsid w:val="00F4496B"/>
    <w:rsid w:val="00F449A2"/>
    <w:rsid w:val="00F449F9"/>
    <w:rsid w:val="00F44A03"/>
    <w:rsid w:val="00F44A59"/>
    <w:rsid w:val="00F44AD3"/>
    <w:rsid w:val="00F44B0F"/>
    <w:rsid w:val="00F44B52"/>
    <w:rsid w:val="00F44B61"/>
    <w:rsid w:val="00F44BBA"/>
    <w:rsid w:val="00F44C72"/>
    <w:rsid w:val="00F44CD9"/>
    <w:rsid w:val="00F44D4F"/>
    <w:rsid w:val="00F44D66"/>
    <w:rsid w:val="00F44DCE"/>
    <w:rsid w:val="00F44F0C"/>
    <w:rsid w:val="00F44F5D"/>
    <w:rsid w:val="00F44F7D"/>
    <w:rsid w:val="00F44F91"/>
    <w:rsid w:val="00F44F96"/>
    <w:rsid w:val="00F44FF6"/>
    <w:rsid w:val="00F4500A"/>
    <w:rsid w:val="00F45095"/>
    <w:rsid w:val="00F450A2"/>
    <w:rsid w:val="00F450AA"/>
    <w:rsid w:val="00F450B0"/>
    <w:rsid w:val="00F450B5"/>
    <w:rsid w:val="00F45113"/>
    <w:rsid w:val="00F4512C"/>
    <w:rsid w:val="00F451C2"/>
    <w:rsid w:val="00F4520A"/>
    <w:rsid w:val="00F45227"/>
    <w:rsid w:val="00F45264"/>
    <w:rsid w:val="00F452BA"/>
    <w:rsid w:val="00F452C5"/>
    <w:rsid w:val="00F45396"/>
    <w:rsid w:val="00F453AD"/>
    <w:rsid w:val="00F4544A"/>
    <w:rsid w:val="00F45455"/>
    <w:rsid w:val="00F4547E"/>
    <w:rsid w:val="00F4548A"/>
    <w:rsid w:val="00F454A3"/>
    <w:rsid w:val="00F455C0"/>
    <w:rsid w:val="00F455D9"/>
    <w:rsid w:val="00F4561F"/>
    <w:rsid w:val="00F4564E"/>
    <w:rsid w:val="00F4573B"/>
    <w:rsid w:val="00F4576F"/>
    <w:rsid w:val="00F45794"/>
    <w:rsid w:val="00F45795"/>
    <w:rsid w:val="00F457A6"/>
    <w:rsid w:val="00F45840"/>
    <w:rsid w:val="00F45842"/>
    <w:rsid w:val="00F458E0"/>
    <w:rsid w:val="00F458E7"/>
    <w:rsid w:val="00F45957"/>
    <w:rsid w:val="00F45994"/>
    <w:rsid w:val="00F45A01"/>
    <w:rsid w:val="00F45A3F"/>
    <w:rsid w:val="00F45ACC"/>
    <w:rsid w:val="00F45AE9"/>
    <w:rsid w:val="00F45B3A"/>
    <w:rsid w:val="00F45BB2"/>
    <w:rsid w:val="00F45C4B"/>
    <w:rsid w:val="00F45C93"/>
    <w:rsid w:val="00F45CAF"/>
    <w:rsid w:val="00F45CD5"/>
    <w:rsid w:val="00F45CF1"/>
    <w:rsid w:val="00F45D24"/>
    <w:rsid w:val="00F45D85"/>
    <w:rsid w:val="00F45E38"/>
    <w:rsid w:val="00F45EAE"/>
    <w:rsid w:val="00F45EB1"/>
    <w:rsid w:val="00F45EC1"/>
    <w:rsid w:val="00F45ED5"/>
    <w:rsid w:val="00F45EEF"/>
    <w:rsid w:val="00F45F0F"/>
    <w:rsid w:val="00F45F2C"/>
    <w:rsid w:val="00F45F59"/>
    <w:rsid w:val="00F45F7B"/>
    <w:rsid w:val="00F45F7F"/>
    <w:rsid w:val="00F4601B"/>
    <w:rsid w:val="00F4602B"/>
    <w:rsid w:val="00F46030"/>
    <w:rsid w:val="00F4605B"/>
    <w:rsid w:val="00F46077"/>
    <w:rsid w:val="00F4616C"/>
    <w:rsid w:val="00F46192"/>
    <w:rsid w:val="00F461C9"/>
    <w:rsid w:val="00F461D1"/>
    <w:rsid w:val="00F461EE"/>
    <w:rsid w:val="00F4627B"/>
    <w:rsid w:val="00F462B1"/>
    <w:rsid w:val="00F462C0"/>
    <w:rsid w:val="00F46323"/>
    <w:rsid w:val="00F4635C"/>
    <w:rsid w:val="00F46382"/>
    <w:rsid w:val="00F4644D"/>
    <w:rsid w:val="00F46464"/>
    <w:rsid w:val="00F464AC"/>
    <w:rsid w:val="00F464F3"/>
    <w:rsid w:val="00F46550"/>
    <w:rsid w:val="00F46564"/>
    <w:rsid w:val="00F4656F"/>
    <w:rsid w:val="00F46586"/>
    <w:rsid w:val="00F46596"/>
    <w:rsid w:val="00F4659D"/>
    <w:rsid w:val="00F465C3"/>
    <w:rsid w:val="00F465EF"/>
    <w:rsid w:val="00F46609"/>
    <w:rsid w:val="00F4662A"/>
    <w:rsid w:val="00F46661"/>
    <w:rsid w:val="00F466EF"/>
    <w:rsid w:val="00F466F8"/>
    <w:rsid w:val="00F4677B"/>
    <w:rsid w:val="00F467AD"/>
    <w:rsid w:val="00F467F2"/>
    <w:rsid w:val="00F46817"/>
    <w:rsid w:val="00F468A2"/>
    <w:rsid w:val="00F468DF"/>
    <w:rsid w:val="00F468E4"/>
    <w:rsid w:val="00F468ED"/>
    <w:rsid w:val="00F46920"/>
    <w:rsid w:val="00F46923"/>
    <w:rsid w:val="00F46947"/>
    <w:rsid w:val="00F46951"/>
    <w:rsid w:val="00F469A3"/>
    <w:rsid w:val="00F46A3A"/>
    <w:rsid w:val="00F46A53"/>
    <w:rsid w:val="00F46A97"/>
    <w:rsid w:val="00F46B02"/>
    <w:rsid w:val="00F46B48"/>
    <w:rsid w:val="00F46BDE"/>
    <w:rsid w:val="00F46C26"/>
    <w:rsid w:val="00F46C2A"/>
    <w:rsid w:val="00F46C61"/>
    <w:rsid w:val="00F46C68"/>
    <w:rsid w:val="00F46D37"/>
    <w:rsid w:val="00F46D64"/>
    <w:rsid w:val="00F46D73"/>
    <w:rsid w:val="00F46DA1"/>
    <w:rsid w:val="00F46DDC"/>
    <w:rsid w:val="00F46DE3"/>
    <w:rsid w:val="00F46E26"/>
    <w:rsid w:val="00F46E3A"/>
    <w:rsid w:val="00F46E9B"/>
    <w:rsid w:val="00F46E9D"/>
    <w:rsid w:val="00F46EB8"/>
    <w:rsid w:val="00F46F5F"/>
    <w:rsid w:val="00F46FD6"/>
    <w:rsid w:val="00F46FDE"/>
    <w:rsid w:val="00F46FE7"/>
    <w:rsid w:val="00F47037"/>
    <w:rsid w:val="00F47090"/>
    <w:rsid w:val="00F47133"/>
    <w:rsid w:val="00F4714F"/>
    <w:rsid w:val="00F4716B"/>
    <w:rsid w:val="00F47199"/>
    <w:rsid w:val="00F471CB"/>
    <w:rsid w:val="00F47200"/>
    <w:rsid w:val="00F47220"/>
    <w:rsid w:val="00F47236"/>
    <w:rsid w:val="00F4723F"/>
    <w:rsid w:val="00F47299"/>
    <w:rsid w:val="00F472A1"/>
    <w:rsid w:val="00F472C9"/>
    <w:rsid w:val="00F472E8"/>
    <w:rsid w:val="00F472FF"/>
    <w:rsid w:val="00F4736C"/>
    <w:rsid w:val="00F4738C"/>
    <w:rsid w:val="00F473A3"/>
    <w:rsid w:val="00F473AA"/>
    <w:rsid w:val="00F473D8"/>
    <w:rsid w:val="00F4740F"/>
    <w:rsid w:val="00F4741D"/>
    <w:rsid w:val="00F4744C"/>
    <w:rsid w:val="00F474D3"/>
    <w:rsid w:val="00F474EA"/>
    <w:rsid w:val="00F475B1"/>
    <w:rsid w:val="00F475C0"/>
    <w:rsid w:val="00F475CD"/>
    <w:rsid w:val="00F475E7"/>
    <w:rsid w:val="00F47630"/>
    <w:rsid w:val="00F47661"/>
    <w:rsid w:val="00F47665"/>
    <w:rsid w:val="00F4766D"/>
    <w:rsid w:val="00F47694"/>
    <w:rsid w:val="00F47827"/>
    <w:rsid w:val="00F4786C"/>
    <w:rsid w:val="00F478A9"/>
    <w:rsid w:val="00F478B5"/>
    <w:rsid w:val="00F478CB"/>
    <w:rsid w:val="00F478DB"/>
    <w:rsid w:val="00F47911"/>
    <w:rsid w:val="00F4795D"/>
    <w:rsid w:val="00F479A0"/>
    <w:rsid w:val="00F479AD"/>
    <w:rsid w:val="00F47A2C"/>
    <w:rsid w:val="00F47A73"/>
    <w:rsid w:val="00F47ACD"/>
    <w:rsid w:val="00F47ADA"/>
    <w:rsid w:val="00F47AFB"/>
    <w:rsid w:val="00F47BD4"/>
    <w:rsid w:val="00F47BFC"/>
    <w:rsid w:val="00F47C6D"/>
    <w:rsid w:val="00F47C90"/>
    <w:rsid w:val="00F47CB2"/>
    <w:rsid w:val="00F47CC3"/>
    <w:rsid w:val="00F47D13"/>
    <w:rsid w:val="00F47D42"/>
    <w:rsid w:val="00F47D55"/>
    <w:rsid w:val="00F47D65"/>
    <w:rsid w:val="00F47DDA"/>
    <w:rsid w:val="00F47DDB"/>
    <w:rsid w:val="00F47E7B"/>
    <w:rsid w:val="00F47E97"/>
    <w:rsid w:val="00F47ED1"/>
    <w:rsid w:val="00F47F46"/>
    <w:rsid w:val="00F47F7D"/>
    <w:rsid w:val="00F47FC0"/>
    <w:rsid w:val="00F50057"/>
    <w:rsid w:val="00F50079"/>
    <w:rsid w:val="00F50094"/>
    <w:rsid w:val="00F500BC"/>
    <w:rsid w:val="00F5016D"/>
    <w:rsid w:val="00F501A1"/>
    <w:rsid w:val="00F501D9"/>
    <w:rsid w:val="00F5023D"/>
    <w:rsid w:val="00F50361"/>
    <w:rsid w:val="00F50383"/>
    <w:rsid w:val="00F50390"/>
    <w:rsid w:val="00F5039D"/>
    <w:rsid w:val="00F503AA"/>
    <w:rsid w:val="00F503C0"/>
    <w:rsid w:val="00F503CF"/>
    <w:rsid w:val="00F503D1"/>
    <w:rsid w:val="00F50409"/>
    <w:rsid w:val="00F50426"/>
    <w:rsid w:val="00F50460"/>
    <w:rsid w:val="00F50472"/>
    <w:rsid w:val="00F504D1"/>
    <w:rsid w:val="00F50572"/>
    <w:rsid w:val="00F50578"/>
    <w:rsid w:val="00F505A1"/>
    <w:rsid w:val="00F505B8"/>
    <w:rsid w:val="00F505D6"/>
    <w:rsid w:val="00F505F9"/>
    <w:rsid w:val="00F5060E"/>
    <w:rsid w:val="00F50658"/>
    <w:rsid w:val="00F506B0"/>
    <w:rsid w:val="00F506CB"/>
    <w:rsid w:val="00F50725"/>
    <w:rsid w:val="00F50765"/>
    <w:rsid w:val="00F50797"/>
    <w:rsid w:val="00F507B5"/>
    <w:rsid w:val="00F5089B"/>
    <w:rsid w:val="00F508F0"/>
    <w:rsid w:val="00F50909"/>
    <w:rsid w:val="00F5095C"/>
    <w:rsid w:val="00F509A6"/>
    <w:rsid w:val="00F50A27"/>
    <w:rsid w:val="00F50A58"/>
    <w:rsid w:val="00F50AA5"/>
    <w:rsid w:val="00F50AB3"/>
    <w:rsid w:val="00F50AD6"/>
    <w:rsid w:val="00F50B79"/>
    <w:rsid w:val="00F50BD0"/>
    <w:rsid w:val="00F50BE6"/>
    <w:rsid w:val="00F50CCA"/>
    <w:rsid w:val="00F50D23"/>
    <w:rsid w:val="00F50D7C"/>
    <w:rsid w:val="00F50D92"/>
    <w:rsid w:val="00F50DA5"/>
    <w:rsid w:val="00F50DAD"/>
    <w:rsid w:val="00F50E2A"/>
    <w:rsid w:val="00F50E7D"/>
    <w:rsid w:val="00F50E92"/>
    <w:rsid w:val="00F50EA3"/>
    <w:rsid w:val="00F50EA4"/>
    <w:rsid w:val="00F50F78"/>
    <w:rsid w:val="00F50F8A"/>
    <w:rsid w:val="00F50F91"/>
    <w:rsid w:val="00F50FB6"/>
    <w:rsid w:val="00F50FDC"/>
    <w:rsid w:val="00F50FE8"/>
    <w:rsid w:val="00F50FEB"/>
    <w:rsid w:val="00F5102E"/>
    <w:rsid w:val="00F51041"/>
    <w:rsid w:val="00F51071"/>
    <w:rsid w:val="00F51074"/>
    <w:rsid w:val="00F51085"/>
    <w:rsid w:val="00F510CB"/>
    <w:rsid w:val="00F510D3"/>
    <w:rsid w:val="00F510F3"/>
    <w:rsid w:val="00F511C7"/>
    <w:rsid w:val="00F511E4"/>
    <w:rsid w:val="00F512F6"/>
    <w:rsid w:val="00F5132B"/>
    <w:rsid w:val="00F51381"/>
    <w:rsid w:val="00F51386"/>
    <w:rsid w:val="00F513C7"/>
    <w:rsid w:val="00F5143D"/>
    <w:rsid w:val="00F5147B"/>
    <w:rsid w:val="00F5148E"/>
    <w:rsid w:val="00F51534"/>
    <w:rsid w:val="00F51551"/>
    <w:rsid w:val="00F51580"/>
    <w:rsid w:val="00F51585"/>
    <w:rsid w:val="00F515E0"/>
    <w:rsid w:val="00F51654"/>
    <w:rsid w:val="00F5168D"/>
    <w:rsid w:val="00F5169C"/>
    <w:rsid w:val="00F516A4"/>
    <w:rsid w:val="00F516F5"/>
    <w:rsid w:val="00F51744"/>
    <w:rsid w:val="00F517E1"/>
    <w:rsid w:val="00F517EF"/>
    <w:rsid w:val="00F51865"/>
    <w:rsid w:val="00F5187F"/>
    <w:rsid w:val="00F518F2"/>
    <w:rsid w:val="00F5191C"/>
    <w:rsid w:val="00F5191F"/>
    <w:rsid w:val="00F51938"/>
    <w:rsid w:val="00F519FF"/>
    <w:rsid w:val="00F51B42"/>
    <w:rsid w:val="00F51B97"/>
    <w:rsid w:val="00F51BBE"/>
    <w:rsid w:val="00F51CB2"/>
    <w:rsid w:val="00F51D18"/>
    <w:rsid w:val="00F51D38"/>
    <w:rsid w:val="00F51D4E"/>
    <w:rsid w:val="00F51D73"/>
    <w:rsid w:val="00F51DFE"/>
    <w:rsid w:val="00F51E96"/>
    <w:rsid w:val="00F51F1B"/>
    <w:rsid w:val="00F51F3B"/>
    <w:rsid w:val="00F51F60"/>
    <w:rsid w:val="00F51F87"/>
    <w:rsid w:val="00F51F9C"/>
    <w:rsid w:val="00F51FDC"/>
    <w:rsid w:val="00F51FDD"/>
    <w:rsid w:val="00F52029"/>
    <w:rsid w:val="00F5205D"/>
    <w:rsid w:val="00F5206B"/>
    <w:rsid w:val="00F52080"/>
    <w:rsid w:val="00F520A2"/>
    <w:rsid w:val="00F520CE"/>
    <w:rsid w:val="00F520E4"/>
    <w:rsid w:val="00F5215F"/>
    <w:rsid w:val="00F521BF"/>
    <w:rsid w:val="00F521F2"/>
    <w:rsid w:val="00F523AC"/>
    <w:rsid w:val="00F523B8"/>
    <w:rsid w:val="00F523E1"/>
    <w:rsid w:val="00F524D7"/>
    <w:rsid w:val="00F524FA"/>
    <w:rsid w:val="00F52585"/>
    <w:rsid w:val="00F525BB"/>
    <w:rsid w:val="00F525E8"/>
    <w:rsid w:val="00F525F0"/>
    <w:rsid w:val="00F52668"/>
    <w:rsid w:val="00F52685"/>
    <w:rsid w:val="00F52698"/>
    <w:rsid w:val="00F52701"/>
    <w:rsid w:val="00F52734"/>
    <w:rsid w:val="00F52868"/>
    <w:rsid w:val="00F5287E"/>
    <w:rsid w:val="00F528FE"/>
    <w:rsid w:val="00F52924"/>
    <w:rsid w:val="00F52962"/>
    <w:rsid w:val="00F52994"/>
    <w:rsid w:val="00F529A4"/>
    <w:rsid w:val="00F529AB"/>
    <w:rsid w:val="00F52A07"/>
    <w:rsid w:val="00F52A0F"/>
    <w:rsid w:val="00F52A43"/>
    <w:rsid w:val="00F52A56"/>
    <w:rsid w:val="00F52A74"/>
    <w:rsid w:val="00F52A86"/>
    <w:rsid w:val="00F52ADA"/>
    <w:rsid w:val="00F52B8A"/>
    <w:rsid w:val="00F52BB1"/>
    <w:rsid w:val="00F52C7F"/>
    <w:rsid w:val="00F52C9C"/>
    <w:rsid w:val="00F52CB6"/>
    <w:rsid w:val="00F52CC8"/>
    <w:rsid w:val="00F52CC9"/>
    <w:rsid w:val="00F52CE2"/>
    <w:rsid w:val="00F52E1F"/>
    <w:rsid w:val="00F52EBD"/>
    <w:rsid w:val="00F52EED"/>
    <w:rsid w:val="00F52F02"/>
    <w:rsid w:val="00F5303D"/>
    <w:rsid w:val="00F53126"/>
    <w:rsid w:val="00F53236"/>
    <w:rsid w:val="00F532CB"/>
    <w:rsid w:val="00F532D3"/>
    <w:rsid w:val="00F53351"/>
    <w:rsid w:val="00F5336D"/>
    <w:rsid w:val="00F533E2"/>
    <w:rsid w:val="00F53530"/>
    <w:rsid w:val="00F535D9"/>
    <w:rsid w:val="00F53669"/>
    <w:rsid w:val="00F53690"/>
    <w:rsid w:val="00F536EE"/>
    <w:rsid w:val="00F5370D"/>
    <w:rsid w:val="00F53791"/>
    <w:rsid w:val="00F5379B"/>
    <w:rsid w:val="00F537C7"/>
    <w:rsid w:val="00F537C8"/>
    <w:rsid w:val="00F537DD"/>
    <w:rsid w:val="00F53830"/>
    <w:rsid w:val="00F5383B"/>
    <w:rsid w:val="00F538E8"/>
    <w:rsid w:val="00F5390F"/>
    <w:rsid w:val="00F53956"/>
    <w:rsid w:val="00F53A92"/>
    <w:rsid w:val="00F53ADA"/>
    <w:rsid w:val="00F53AF1"/>
    <w:rsid w:val="00F53C5F"/>
    <w:rsid w:val="00F53C88"/>
    <w:rsid w:val="00F53C96"/>
    <w:rsid w:val="00F53CA2"/>
    <w:rsid w:val="00F53CE5"/>
    <w:rsid w:val="00F53D0C"/>
    <w:rsid w:val="00F53D64"/>
    <w:rsid w:val="00F53D97"/>
    <w:rsid w:val="00F53DCC"/>
    <w:rsid w:val="00F53E81"/>
    <w:rsid w:val="00F53E84"/>
    <w:rsid w:val="00F53E86"/>
    <w:rsid w:val="00F53EAB"/>
    <w:rsid w:val="00F53EB0"/>
    <w:rsid w:val="00F53EC6"/>
    <w:rsid w:val="00F53F67"/>
    <w:rsid w:val="00F53F7E"/>
    <w:rsid w:val="00F53FD8"/>
    <w:rsid w:val="00F54032"/>
    <w:rsid w:val="00F5409A"/>
    <w:rsid w:val="00F540D8"/>
    <w:rsid w:val="00F540F2"/>
    <w:rsid w:val="00F54207"/>
    <w:rsid w:val="00F5426B"/>
    <w:rsid w:val="00F542D0"/>
    <w:rsid w:val="00F542EF"/>
    <w:rsid w:val="00F54300"/>
    <w:rsid w:val="00F54335"/>
    <w:rsid w:val="00F5436A"/>
    <w:rsid w:val="00F54396"/>
    <w:rsid w:val="00F543CF"/>
    <w:rsid w:val="00F54402"/>
    <w:rsid w:val="00F54427"/>
    <w:rsid w:val="00F5442D"/>
    <w:rsid w:val="00F54437"/>
    <w:rsid w:val="00F54496"/>
    <w:rsid w:val="00F54517"/>
    <w:rsid w:val="00F54532"/>
    <w:rsid w:val="00F5454F"/>
    <w:rsid w:val="00F545EB"/>
    <w:rsid w:val="00F5468E"/>
    <w:rsid w:val="00F54694"/>
    <w:rsid w:val="00F546CF"/>
    <w:rsid w:val="00F546FE"/>
    <w:rsid w:val="00F5476E"/>
    <w:rsid w:val="00F547E3"/>
    <w:rsid w:val="00F54809"/>
    <w:rsid w:val="00F54827"/>
    <w:rsid w:val="00F54884"/>
    <w:rsid w:val="00F548B5"/>
    <w:rsid w:val="00F54932"/>
    <w:rsid w:val="00F54964"/>
    <w:rsid w:val="00F54976"/>
    <w:rsid w:val="00F549E9"/>
    <w:rsid w:val="00F549F3"/>
    <w:rsid w:val="00F54A2B"/>
    <w:rsid w:val="00F54A31"/>
    <w:rsid w:val="00F54A92"/>
    <w:rsid w:val="00F54AAE"/>
    <w:rsid w:val="00F54B05"/>
    <w:rsid w:val="00F54B16"/>
    <w:rsid w:val="00F54B19"/>
    <w:rsid w:val="00F54B44"/>
    <w:rsid w:val="00F54B5D"/>
    <w:rsid w:val="00F54BC0"/>
    <w:rsid w:val="00F54BD6"/>
    <w:rsid w:val="00F54BE4"/>
    <w:rsid w:val="00F54BF7"/>
    <w:rsid w:val="00F54C13"/>
    <w:rsid w:val="00F54CA8"/>
    <w:rsid w:val="00F54CB2"/>
    <w:rsid w:val="00F54D96"/>
    <w:rsid w:val="00F54DBB"/>
    <w:rsid w:val="00F54E52"/>
    <w:rsid w:val="00F54E9D"/>
    <w:rsid w:val="00F54EF1"/>
    <w:rsid w:val="00F54F0D"/>
    <w:rsid w:val="00F54FD9"/>
    <w:rsid w:val="00F54FDD"/>
    <w:rsid w:val="00F54FEC"/>
    <w:rsid w:val="00F55024"/>
    <w:rsid w:val="00F55051"/>
    <w:rsid w:val="00F55054"/>
    <w:rsid w:val="00F550BF"/>
    <w:rsid w:val="00F55115"/>
    <w:rsid w:val="00F55117"/>
    <w:rsid w:val="00F5517A"/>
    <w:rsid w:val="00F55185"/>
    <w:rsid w:val="00F55193"/>
    <w:rsid w:val="00F5519C"/>
    <w:rsid w:val="00F551AB"/>
    <w:rsid w:val="00F551F3"/>
    <w:rsid w:val="00F551FD"/>
    <w:rsid w:val="00F55223"/>
    <w:rsid w:val="00F5523B"/>
    <w:rsid w:val="00F5524A"/>
    <w:rsid w:val="00F5526B"/>
    <w:rsid w:val="00F55271"/>
    <w:rsid w:val="00F552C3"/>
    <w:rsid w:val="00F552E0"/>
    <w:rsid w:val="00F553A6"/>
    <w:rsid w:val="00F553D7"/>
    <w:rsid w:val="00F55413"/>
    <w:rsid w:val="00F55420"/>
    <w:rsid w:val="00F55441"/>
    <w:rsid w:val="00F5544B"/>
    <w:rsid w:val="00F55479"/>
    <w:rsid w:val="00F55495"/>
    <w:rsid w:val="00F554E1"/>
    <w:rsid w:val="00F554E7"/>
    <w:rsid w:val="00F554FB"/>
    <w:rsid w:val="00F55534"/>
    <w:rsid w:val="00F55578"/>
    <w:rsid w:val="00F55596"/>
    <w:rsid w:val="00F555A8"/>
    <w:rsid w:val="00F555FB"/>
    <w:rsid w:val="00F5560D"/>
    <w:rsid w:val="00F5564A"/>
    <w:rsid w:val="00F5564D"/>
    <w:rsid w:val="00F55650"/>
    <w:rsid w:val="00F55696"/>
    <w:rsid w:val="00F5569F"/>
    <w:rsid w:val="00F556A8"/>
    <w:rsid w:val="00F556FA"/>
    <w:rsid w:val="00F55719"/>
    <w:rsid w:val="00F55757"/>
    <w:rsid w:val="00F5577B"/>
    <w:rsid w:val="00F557CC"/>
    <w:rsid w:val="00F55819"/>
    <w:rsid w:val="00F55838"/>
    <w:rsid w:val="00F55842"/>
    <w:rsid w:val="00F55883"/>
    <w:rsid w:val="00F55885"/>
    <w:rsid w:val="00F558A1"/>
    <w:rsid w:val="00F558D2"/>
    <w:rsid w:val="00F5590C"/>
    <w:rsid w:val="00F55934"/>
    <w:rsid w:val="00F55947"/>
    <w:rsid w:val="00F55991"/>
    <w:rsid w:val="00F559CF"/>
    <w:rsid w:val="00F55A12"/>
    <w:rsid w:val="00F55A21"/>
    <w:rsid w:val="00F55A54"/>
    <w:rsid w:val="00F55A75"/>
    <w:rsid w:val="00F55A8F"/>
    <w:rsid w:val="00F55AA3"/>
    <w:rsid w:val="00F55AD0"/>
    <w:rsid w:val="00F55BAE"/>
    <w:rsid w:val="00F55BE2"/>
    <w:rsid w:val="00F55C12"/>
    <w:rsid w:val="00F55C17"/>
    <w:rsid w:val="00F55C31"/>
    <w:rsid w:val="00F55C9A"/>
    <w:rsid w:val="00F55D7D"/>
    <w:rsid w:val="00F55D98"/>
    <w:rsid w:val="00F55E20"/>
    <w:rsid w:val="00F55E2A"/>
    <w:rsid w:val="00F55E43"/>
    <w:rsid w:val="00F55E8A"/>
    <w:rsid w:val="00F55EE0"/>
    <w:rsid w:val="00F55F3C"/>
    <w:rsid w:val="00F55F8B"/>
    <w:rsid w:val="00F55FBD"/>
    <w:rsid w:val="00F55FBE"/>
    <w:rsid w:val="00F56036"/>
    <w:rsid w:val="00F560B5"/>
    <w:rsid w:val="00F560BB"/>
    <w:rsid w:val="00F5613A"/>
    <w:rsid w:val="00F56144"/>
    <w:rsid w:val="00F56169"/>
    <w:rsid w:val="00F56170"/>
    <w:rsid w:val="00F561A0"/>
    <w:rsid w:val="00F561EE"/>
    <w:rsid w:val="00F5624A"/>
    <w:rsid w:val="00F5631D"/>
    <w:rsid w:val="00F5639F"/>
    <w:rsid w:val="00F56492"/>
    <w:rsid w:val="00F5649F"/>
    <w:rsid w:val="00F564BD"/>
    <w:rsid w:val="00F564EB"/>
    <w:rsid w:val="00F5653C"/>
    <w:rsid w:val="00F5655A"/>
    <w:rsid w:val="00F565F1"/>
    <w:rsid w:val="00F5663F"/>
    <w:rsid w:val="00F566BF"/>
    <w:rsid w:val="00F566DA"/>
    <w:rsid w:val="00F5670D"/>
    <w:rsid w:val="00F56724"/>
    <w:rsid w:val="00F56778"/>
    <w:rsid w:val="00F567B3"/>
    <w:rsid w:val="00F567C1"/>
    <w:rsid w:val="00F567CB"/>
    <w:rsid w:val="00F567DB"/>
    <w:rsid w:val="00F56804"/>
    <w:rsid w:val="00F5686F"/>
    <w:rsid w:val="00F568B4"/>
    <w:rsid w:val="00F568C2"/>
    <w:rsid w:val="00F568FB"/>
    <w:rsid w:val="00F5691F"/>
    <w:rsid w:val="00F56940"/>
    <w:rsid w:val="00F5697F"/>
    <w:rsid w:val="00F569B6"/>
    <w:rsid w:val="00F569E3"/>
    <w:rsid w:val="00F56A2F"/>
    <w:rsid w:val="00F56A49"/>
    <w:rsid w:val="00F56A4E"/>
    <w:rsid w:val="00F56A71"/>
    <w:rsid w:val="00F56B16"/>
    <w:rsid w:val="00F56B35"/>
    <w:rsid w:val="00F56B3F"/>
    <w:rsid w:val="00F56B40"/>
    <w:rsid w:val="00F56B7C"/>
    <w:rsid w:val="00F56B98"/>
    <w:rsid w:val="00F56BD6"/>
    <w:rsid w:val="00F56BF1"/>
    <w:rsid w:val="00F56C01"/>
    <w:rsid w:val="00F56C34"/>
    <w:rsid w:val="00F56C57"/>
    <w:rsid w:val="00F56C9D"/>
    <w:rsid w:val="00F56CBF"/>
    <w:rsid w:val="00F56DE8"/>
    <w:rsid w:val="00F56E30"/>
    <w:rsid w:val="00F56E37"/>
    <w:rsid w:val="00F56E4F"/>
    <w:rsid w:val="00F56EC6"/>
    <w:rsid w:val="00F56EEF"/>
    <w:rsid w:val="00F56F1C"/>
    <w:rsid w:val="00F56F6B"/>
    <w:rsid w:val="00F56F73"/>
    <w:rsid w:val="00F56F83"/>
    <w:rsid w:val="00F56F8C"/>
    <w:rsid w:val="00F56FB5"/>
    <w:rsid w:val="00F56FE1"/>
    <w:rsid w:val="00F56FE3"/>
    <w:rsid w:val="00F570E5"/>
    <w:rsid w:val="00F570E8"/>
    <w:rsid w:val="00F57113"/>
    <w:rsid w:val="00F57129"/>
    <w:rsid w:val="00F5719A"/>
    <w:rsid w:val="00F571AF"/>
    <w:rsid w:val="00F57217"/>
    <w:rsid w:val="00F57221"/>
    <w:rsid w:val="00F57233"/>
    <w:rsid w:val="00F5723C"/>
    <w:rsid w:val="00F572D1"/>
    <w:rsid w:val="00F572F5"/>
    <w:rsid w:val="00F5732B"/>
    <w:rsid w:val="00F5732F"/>
    <w:rsid w:val="00F57343"/>
    <w:rsid w:val="00F5734B"/>
    <w:rsid w:val="00F5736C"/>
    <w:rsid w:val="00F573AA"/>
    <w:rsid w:val="00F573FA"/>
    <w:rsid w:val="00F573FC"/>
    <w:rsid w:val="00F574AE"/>
    <w:rsid w:val="00F57535"/>
    <w:rsid w:val="00F57547"/>
    <w:rsid w:val="00F575A0"/>
    <w:rsid w:val="00F57604"/>
    <w:rsid w:val="00F57652"/>
    <w:rsid w:val="00F576A0"/>
    <w:rsid w:val="00F5777C"/>
    <w:rsid w:val="00F577E2"/>
    <w:rsid w:val="00F577F5"/>
    <w:rsid w:val="00F57833"/>
    <w:rsid w:val="00F5785C"/>
    <w:rsid w:val="00F578E6"/>
    <w:rsid w:val="00F57934"/>
    <w:rsid w:val="00F57983"/>
    <w:rsid w:val="00F579FE"/>
    <w:rsid w:val="00F579FF"/>
    <w:rsid w:val="00F57A69"/>
    <w:rsid w:val="00F57A7E"/>
    <w:rsid w:val="00F57BB2"/>
    <w:rsid w:val="00F57BDD"/>
    <w:rsid w:val="00F57BF0"/>
    <w:rsid w:val="00F57BFE"/>
    <w:rsid w:val="00F57CBC"/>
    <w:rsid w:val="00F57CD4"/>
    <w:rsid w:val="00F57D2F"/>
    <w:rsid w:val="00F57E67"/>
    <w:rsid w:val="00F57EAF"/>
    <w:rsid w:val="00F57ECB"/>
    <w:rsid w:val="00F57F05"/>
    <w:rsid w:val="00F57F21"/>
    <w:rsid w:val="00F57F96"/>
    <w:rsid w:val="00F600B0"/>
    <w:rsid w:val="00F600D2"/>
    <w:rsid w:val="00F60124"/>
    <w:rsid w:val="00F60154"/>
    <w:rsid w:val="00F60189"/>
    <w:rsid w:val="00F6021D"/>
    <w:rsid w:val="00F60261"/>
    <w:rsid w:val="00F60277"/>
    <w:rsid w:val="00F602B0"/>
    <w:rsid w:val="00F602C6"/>
    <w:rsid w:val="00F603C8"/>
    <w:rsid w:val="00F603EB"/>
    <w:rsid w:val="00F6041A"/>
    <w:rsid w:val="00F60488"/>
    <w:rsid w:val="00F60496"/>
    <w:rsid w:val="00F604BB"/>
    <w:rsid w:val="00F604D3"/>
    <w:rsid w:val="00F604E2"/>
    <w:rsid w:val="00F60522"/>
    <w:rsid w:val="00F60527"/>
    <w:rsid w:val="00F60544"/>
    <w:rsid w:val="00F6056A"/>
    <w:rsid w:val="00F6058B"/>
    <w:rsid w:val="00F6060D"/>
    <w:rsid w:val="00F60660"/>
    <w:rsid w:val="00F60667"/>
    <w:rsid w:val="00F6066C"/>
    <w:rsid w:val="00F60676"/>
    <w:rsid w:val="00F607A9"/>
    <w:rsid w:val="00F6087F"/>
    <w:rsid w:val="00F608A9"/>
    <w:rsid w:val="00F608C5"/>
    <w:rsid w:val="00F60900"/>
    <w:rsid w:val="00F60911"/>
    <w:rsid w:val="00F6092E"/>
    <w:rsid w:val="00F60993"/>
    <w:rsid w:val="00F609DD"/>
    <w:rsid w:val="00F609FC"/>
    <w:rsid w:val="00F60A37"/>
    <w:rsid w:val="00F60A64"/>
    <w:rsid w:val="00F60A71"/>
    <w:rsid w:val="00F60A7A"/>
    <w:rsid w:val="00F60A90"/>
    <w:rsid w:val="00F60A93"/>
    <w:rsid w:val="00F60ADA"/>
    <w:rsid w:val="00F60ADF"/>
    <w:rsid w:val="00F60B3D"/>
    <w:rsid w:val="00F60B58"/>
    <w:rsid w:val="00F60B6B"/>
    <w:rsid w:val="00F60BA5"/>
    <w:rsid w:val="00F60BDF"/>
    <w:rsid w:val="00F60CDF"/>
    <w:rsid w:val="00F60D38"/>
    <w:rsid w:val="00F60D3F"/>
    <w:rsid w:val="00F60D52"/>
    <w:rsid w:val="00F60D77"/>
    <w:rsid w:val="00F60DA9"/>
    <w:rsid w:val="00F60DC5"/>
    <w:rsid w:val="00F60E40"/>
    <w:rsid w:val="00F60E8E"/>
    <w:rsid w:val="00F60EBF"/>
    <w:rsid w:val="00F60F35"/>
    <w:rsid w:val="00F61080"/>
    <w:rsid w:val="00F61134"/>
    <w:rsid w:val="00F61189"/>
    <w:rsid w:val="00F611A8"/>
    <w:rsid w:val="00F61218"/>
    <w:rsid w:val="00F61229"/>
    <w:rsid w:val="00F61244"/>
    <w:rsid w:val="00F6126B"/>
    <w:rsid w:val="00F6128F"/>
    <w:rsid w:val="00F612CD"/>
    <w:rsid w:val="00F612FC"/>
    <w:rsid w:val="00F6137B"/>
    <w:rsid w:val="00F613B3"/>
    <w:rsid w:val="00F61460"/>
    <w:rsid w:val="00F614B1"/>
    <w:rsid w:val="00F614EC"/>
    <w:rsid w:val="00F6160E"/>
    <w:rsid w:val="00F61628"/>
    <w:rsid w:val="00F6163D"/>
    <w:rsid w:val="00F6168E"/>
    <w:rsid w:val="00F616FB"/>
    <w:rsid w:val="00F61762"/>
    <w:rsid w:val="00F618D8"/>
    <w:rsid w:val="00F6195D"/>
    <w:rsid w:val="00F619CB"/>
    <w:rsid w:val="00F619F8"/>
    <w:rsid w:val="00F61A31"/>
    <w:rsid w:val="00F61A97"/>
    <w:rsid w:val="00F61AE4"/>
    <w:rsid w:val="00F61AE7"/>
    <w:rsid w:val="00F61B08"/>
    <w:rsid w:val="00F61B64"/>
    <w:rsid w:val="00F61B91"/>
    <w:rsid w:val="00F61C09"/>
    <w:rsid w:val="00F61C3F"/>
    <w:rsid w:val="00F61C45"/>
    <w:rsid w:val="00F61C76"/>
    <w:rsid w:val="00F61C94"/>
    <w:rsid w:val="00F61C96"/>
    <w:rsid w:val="00F61C98"/>
    <w:rsid w:val="00F61CC3"/>
    <w:rsid w:val="00F61DEB"/>
    <w:rsid w:val="00F61DFC"/>
    <w:rsid w:val="00F61E06"/>
    <w:rsid w:val="00F61E16"/>
    <w:rsid w:val="00F61E80"/>
    <w:rsid w:val="00F61EE2"/>
    <w:rsid w:val="00F61F11"/>
    <w:rsid w:val="00F61F18"/>
    <w:rsid w:val="00F61F25"/>
    <w:rsid w:val="00F61F40"/>
    <w:rsid w:val="00F61F7B"/>
    <w:rsid w:val="00F61F93"/>
    <w:rsid w:val="00F61FBB"/>
    <w:rsid w:val="00F6200A"/>
    <w:rsid w:val="00F6201B"/>
    <w:rsid w:val="00F6201F"/>
    <w:rsid w:val="00F62025"/>
    <w:rsid w:val="00F6204D"/>
    <w:rsid w:val="00F62078"/>
    <w:rsid w:val="00F620F0"/>
    <w:rsid w:val="00F6211F"/>
    <w:rsid w:val="00F621A3"/>
    <w:rsid w:val="00F621C3"/>
    <w:rsid w:val="00F6222C"/>
    <w:rsid w:val="00F622A6"/>
    <w:rsid w:val="00F622D0"/>
    <w:rsid w:val="00F622F6"/>
    <w:rsid w:val="00F62396"/>
    <w:rsid w:val="00F62449"/>
    <w:rsid w:val="00F62472"/>
    <w:rsid w:val="00F62478"/>
    <w:rsid w:val="00F6247F"/>
    <w:rsid w:val="00F62492"/>
    <w:rsid w:val="00F624A8"/>
    <w:rsid w:val="00F624B0"/>
    <w:rsid w:val="00F624CD"/>
    <w:rsid w:val="00F624F1"/>
    <w:rsid w:val="00F624F5"/>
    <w:rsid w:val="00F62561"/>
    <w:rsid w:val="00F625DA"/>
    <w:rsid w:val="00F625ED"/>
    <w:rsid w:val="00F625FB"/>
    <w:rsid w:val="00F62624"/>
    <w:rsid w:val="00F6262D"/>
    <w:rsid w:val="00F62631"/>
    <w:rsid w:val="00F6265C"/>
    <w:rsid w:val="00F6266C"/>
    <w:rsid w:val="00F62690"/>
    <w:rsid w:val="00F626A6"/>
    <w:rsid w:val="00F6273A"/>
    <w:rsid w:val="00F6275B"/>
    <w:rsid w:val="00F62777"/>
    <w:rsid w:val="00F627D4"/>
    <w:rsid w:val="00F627FD"/>
    <w:rsid w:val="00F62875"/>
    <w:rsid w:val="00F6297C"/>
    <w:rsid w:val="00F62982"/>
    <w:rsid w:val="00F629AE"/>
    <w:rsid w:val="00F629C5"/>
    <w:rsid w:val="00F62A56"/>
    <w:rsid w:val="00F62AB5"/>
    <w:rsid w:val="00F62B02"/>
    <w:rsid w:val="00F62BCB"/>
    <w:rsid w:val="00F62BDC"/>
    <w:rsid w:val="00F62C11"/>
    <w:rsid w:val="00F62C26"/>
    <w:rsid w:val="00F62C57"/>
    <w:rsid w:val="00F62CD5"/>
    <w:rsid w:val="00F62CE3"/>
    <w:rsid w:val="00F62CED"/>
    <w:rsid w:val="00F62D24"/>
    <w:rsid w:val="00F62DBE"/>
    <w:rsid w:val="00F62E04"/>
    <w:rsid w:val="00F62E5F"/>
    <w:rsid w:val="00F62EDF"/>
    <w:rsid w:val="00F62EEA"/>
    <w:rsid w:val="00F62F56"/>
    <w:rsid w:val="00F62F86"/>
    <w:rsid w:val="00F62F9E"/>
    <w:rsid w:val="00F62FEB"/>
    <w:rsid w:val="00F6306A"/>
    <w:rsid w:val="00F630A3"/>
    <w:rsid w:val="00F630A9"/>
    <w:rsid w:val="00F630DC"/>
    <w:rsid w:val="00F630E5"/>
    <w:rsid w:val="00F63122"/>
    <w:rsid w:val="00F63139"/>
    <w:rsid w:val="00F63145"/>
    <w:rsid w:val="00F6317A"/>
    <w:rsid w:val="00F631C3"/>
    <w:rsid w:val="00F631FC"/>
    <w:rsid w:val="00F63229"/>
    <w:rsid w:val="00F6322F"/>
    <w:rsid w:val="00F63280"/>
    <w:rsid w:val="00F632B0"/>
    <w:rsid w:val="00F632BE"/>
    <w:rsid w:val="00F63376"/>
    <w:rsid w:val="00F63385"/>
    <w:rsid w:val="00F633B7"/>
    <w:rsid w:val="00F6341C"/>
    <w:rsid w:val="00F63426"/>
    <w:rsid w:val="00F6342F"/>
    <w:rsid w:val="00F6343A"/>
    <w:rsid w:val="00F6345C"/>
    <w:rsid w:val="00F63479"/>
    <w:rsid w:val="00F634DC"/>
    <w:rsid w:val="00F635D0"/>
    <w:rsid w:val="00F635D8"/>
    <w:rsid w:val="00F635E0"/>
    <w:rsid w:val="00F635EC"/>
    <w:rsid w:val="00F6362D"/>
    <w:rsid w:val="00F63699"/>
    <w:rsid w:val="00F636F7"/>
    <w:rsid w:val="00F6379D"/>
    <w:rsid w:val="00F637AA"/>
    <w:rsid w:val="00F637C3"/>
    <w:rsid w:val="00F637F5"/>
    <w:rsid w:val="00F6383E"/>
    <w:rsid w:val="00F63852"/>
    <w:rsid w:val="00F638EC"/>
    <w:rsid w:val="00F63947"/>
    <w:rsid w:val="00F63986"/>
    <w:rsid w:val="00F639B6"/>
    <w:rsid w:val="00F63A0B"/>
    <w:rsid w:val="00F63A76"/>
    <w:rsid w:val="00F63A7F"/>
    <w:rsid w:val="00F63ABA"/>
    <w:rsid w:val="00F63B30"/>
    <w:rsid w:val="00F63BA6"/>
    <w:rsid w:val="00F63C0A"/>
    <w:rsid w:val="00F63C7E"/>
    <w:rsid w:val="00F63C9A"/>
    <w:rsid w:val="00F63CB8"/>
    <w:rsid w:val="00F63CF8"/>
    <w:rsid w:val="00F63DAC"/>
    <w:rsid w:val="00F63DC0"/>
    <w:rsid w:val="00F63E20"/>
    <w:rsid w:val="00F63E42"/>
    <w:rsid w:val="00F63E8C"/>
    <w:rsid w:val="00F63EC4"/>
    <w:rsid w:val="00F63EF6"/>
    <w:rsid w:val="00F63FDB"/>
    <w:rsid w:val="00F63FEC"/>
    <w:rsid w:val="00F64006"/>
    <w:rsid w:val="00F6401B"/>
    <w:rsid w:val="00F64029"/>
    <w:rsid w:val="00F64091"/>
    <w:rsid w:val="00F6409A"/>
    <w:rsid w:val="00F6409D"/>
    <w:rsid w:val="00F640B9"/>
    <w:rsid w:val="00F6411B"/>
    <w:rsid w:val="00F64122"/>
    <w:rsid w:val="00F6414B"/>
    <w:rsid w:val="00F6417D"/>
    <w:rsid w:val="00F641BA"/>
    <w:rsid w:val="00F6420E"/>
    <w:rsid w:val="00F64237"/>
    <w:rsid w:val="00F6424C"/>
    <w:rsid w:val="00F64270"/>
    <w:rsid w:val="00F642B9"/>
    <w:rsid w:val="00F642C2"/>
    <w:rsid w:val="00F6433F"/>
    <w:rsid w:val="00F64386"/>
    <w:rsid w:val="00F6439E"/>
    <w:rsid w:val="00F643A8"/>
    <w:rsid w:val="00F643C4"/>
    <w:rsid w:val="00F643C6"/>
    <w:rsid w:val="00F643EE"/>
    <w:rsid w:val="00F6445F"/>
    <w:rsid w:val="00F64487"/>
    <w:rsid w:val="00F64491"/>
    <w:rsid w:val="00F644B8"/>
    <w:rsid w:val="00F6457F"/>
    <w:rsid w:val="00F64580"/>
    <w:rsid w:val="00F64617"/>
    <w:rsid w:val="00F6463E"/>
    <w:rsid w:val="00F64674"/>
    <w:rsid w:val="00F646A9"/>
    <w:rsid w:val="00F646CB"/>
    <w:rsid w:val="00F646FE"/>
    <w:rsid w:val="00F6478D"/>
    <w:rsid w:val="00F647C2"/>
    <w:rsid w:val="00F647CA"/>
    <w:rsid w:val="00F64800"/>
    <w:rsid w:val="00F64827"/>
    <w:rsid w:val="00F648B5"/>
    <w:rsid w:val="00F648E0"/>
    <w:rsid w:val="00F64931"/>
    <w:rsid w:val="00F649D0"/>
    <w:rsid w:val="00F64A9B"/>
    <w:rsid w:val="00F64AAD"/>
    <w:rsid w:val="00F64AC6"/>
    <w:rsid w:val="00F64AEC"/>
    <w:rsid w:val="00F64B28"/>
    <w:rsid w:val="00F64B2F"/>
    <w:rsid w:val="00F64B5A"/>
    <w:rsid w:val="00F64B73"/>
    <w:rsid w:val="00F64B90"/>
    <w:rsid w:val="00F64BBA"/>
    <w:rsid w:val="00F64C02"/>
    <w:rsid w:val="00F64CBF"/>
    <w:rsid w:val="00F64CD5"/>
    <w:rsid w:val="00F64DC0"/>
    <w:rsid w:val="00F64E01"/>
    <w:rsid w:val="00F64E40"/>
    <w:rsid w:val="00F64E67"/>
    <w:rsid w:val="00F64E87"/>
    <w:rsid w:val="00F64EB2"/>
    <w:rsid w:val="00F64EF5"/>
    <w:rsid w:val="00F64F05"/>
    <w:rsid w:val="00F64F61"/>
    <w:rsid w:val="00F64F65"/>
    <w:rsid w:val="00F64FA8"/>
    <w:rsid w:val="00F64FE4"/>
    <w:rsid w:val="00F6512C"/>
    <w:rsid w:val="00F65142"/>
    <w:rsid w:val="00F651A1"/>
    <w:rsid w:val="00F651FA"/>
    <w:rsid w:val="00F6523E"/>
    <w:rsid w:val="00F65241"/>
    <w:rsid w:val="00F65260"/>
    <w:rsid w:val="00F6526A"/>
    <w:rsid w:val="00F652B7"/>
    <w:rsid w:val="00F652E7"/>
    <w:rsid w:val="00F652ED"/>
    <w:rsid w:val="00F65315"/>
    <w:rsid w:val="00F65336"/>
    <w:rsid w:val="00F65374"/>
    <w:rsid w:val="00F65376"/>
    <w:rsid w:val="00F65392"/>
    <w:rsid w:val="00F65407"/>
    <w:rsid w:val="00F6540F"/>
    <w:rsid w:val="00F65475"/>
    <w:rsid w:val="00F65477"/>
    <w:rsid w:val="00F654FD"/>
    <w:rsid w:val="00F65524"/>
    <w:rsid w:val="00F65574"/>
    <w:rsid w:val="00F6559C"/>
    <w:rsid w:val="00F655DB"/>
    <w:rsid w:val="00F655F4"/>
    <w:rsid w:val="00F65698"/>
    <w:rsid w:val="00F656FF"/>
    <w:rsid w:val="00F65733"/>
    <w:rsid w:val="00F65781"/>
    <w:rsid w:val="00F657A5"/>
    <w:rsid w:val="00F657DF"/>
    <w:rsid w:val="00F657E4"/>
    <w:rsid w:val="00F65815"/>
    <w:rsid w:val="00F65817"/>
    <w:rsid w:val="00F65824"/>
    <w:rsid w:val="00F658DA"/>
    <w:rsid w:val="00F65907"/>
    <w:rsid w:val="00F6592F"/>
    <w:rsid w:val="00F6593A"/>
    <w:rsid w:val="00F65940"/>
    <w:rsid w:val="00F659A7"/>
    <w:rsid w:val="00F659B3"/>
    <w:rsid w:val="00F65A43"/>
    <w:rsid w:val="00F65A51"/>
    <w:rsid w:val="00F65A77"/>
    <w:rsid w:val="00F65B2C"/>
    <w:rsid w:val="00F65B3F"/>
    <w:rsid w:val="00F65B52"/>
    <w:rsid w:val="00F65B9A"/>
    <w:rsid w:val="00F65C13"/>
    <w:rsid w:val="00F65C14"/>
    <w:rsid w:val="00F65C15"/>
    <w:rsid w:val="00F65C7D"/>
    <w:rsid w:val="00F65CF4"/>
    <w:rsid w:val="00F65D45"/>
    <w:rsid w:val="00F65D90"/>
    <w:rsid w:val="00F65DAD"/>
    <w:rsid w:val="00F65E13"/>
    <w:rsid w:val="00F65E75"/>
    <w:rsid w:val="00F65EC9"/>
    <w:rsid w:val="00F65ED9"/>
    <w:rsid w:val="00F65EF1"/>
    <w:rsid w:val="00F65F05"/>
    <w:rsid w:val="00F65F41"/>
    <w:rsid w:val="00F65F73"/>
    <w:rsid w:val="00F65F8F"/>
    <w:rsid w:val="00F66043"/>
    <w:rsid w:val="00F660C9"/>
    <w:rsid w:val="00F661A6"/>
    <w:rsid w:val="00F661C8"/>
    <w:rsid w:val="00F661E6"/>
    <w:rsid w:val="00F662D5"/>
    <w:rsid w:val="00F662E4"/>
    <w:rsid w:val="00F66313"/>
    <w:rsid w:val="00F663AF"/>
    <w:rsid w:val="00F663BC"/>
    <w:rsid w:val="00F66424"/>
    <w:rsid w:val="00F66462"/>
    <w:rsid w:val="00F66506"/>
    <w:rsid w:val="00F66539"/>
    <w:rsid w:val="00F6654E"/>
    <w:rsid w:val="00F66623"/>
    <w:rsid w:val="00F66637"/>
    <w:rsid w:val="00F66640"/>
    <w:rsid w:val="00F666D4"/>
    <w:rsid w:val="00F6676C"/>
    <w:rsid w:val="00F667A0"/>
    <w:rsid w:val="00F667E0"/>
    <w:rsid w:val="00F66844"/>
    <w:rsid w:val="00F66866"/>
    <w:rsid w:val="00F6688F"/>
    <w:rsid w:val="00F668F2"/>
    <w:rsid w:val="00F6691B"/>
    <w:rsid w:val="00F66931"/>
    <w:rsid w:val="00F66968"/>
    <w:rsid w:val="00F6699F"/>
    <w:rsid w:val="00F66A05"/>
    <w:rsid w:val="00F66A5A"/>
    <w:rsid w:val="00F66A5D"/>
    <w:rsid w:val="00F66A87"/>
    <w:rsid w:val="00F66ACF"/>
    <w:rsid w:val="00F66AD6"/>
    <w:rsid w:val="00F66ADC"/>
    <w:rsid w:val="00F66C26"/>
    <w:rsid w:val="00F66C84"/>
    <w:rsid w:val="00F66C9E"/>
    <w:rsid w:val="00F66CAA"/>
    <w:rsid w:val="00F66CAF"/>
    <w:rsid w:val="00F66D5B"/>
    <w:rsid w:val="00F66D7A"/>
    <w:rsid w:val="00F66DAA"/>
    <w:rsid w:val="00F66DCF"/>
    <w:rsid w:val="00F66DDF"/>
    <w:rsid w:val="00F66DFB"/>
    <w:rsid w:val="00F66E06"/>
    <w:rsid w:val="00F66E74"/>
    <w:rsid w:val="00F66E94"/>
    <w:rsid w:val="00F66EAA"/>
    <w:rsid w:val="00F66ED0"/>
    <w:rsid w:val="00F66ED7"/>
    <w:rsid w:val="00F66FCA"/>
    <w:rsid w:val="00F67018"/>
    <w:rsid w:val="00F6706A"/>
    <w:rsid w:val="00F67079"/>
    <w:rsid w:val="00F670B5"/>
    <w:rsid w:val="00F670B6"/>
    <w:rsid w:val="00F6712A"/>
    <w:rsid w:val="00F67211"/>
    <w:rsid w:val="00F67244"/>
    <w:rsid w:val="00F67270"/>
    <w:rsid w:val="00F67298"/>
    <w:rsid w:val="00F672B5"/>
    <w:rsid w:val="00F67331"/>
    <w:rsid w:val="00F67379"/>
    <w:rsid w:val="00F673B7"/>
    <w:rsid w:val="00F6740E"/>
    <w:rsid w:val="00F6746E"/>
    <w:rsid w:val="00F67470"/>
    <w:rsid w:val="00F6747E"/>
    <w:rsid w:val="00F674C9"/>
    <w:rsid w:val="00F67501"/>
    <w:rsid w:val="00F67509"/>
    <w:rsid w:val="00F675E9"/>
    <w:rsid w:val="00F6767E"/>
    <w:rsid w:val="00F676F4"/>
    <w:rsid w:val="00F6774F"/>
    <w:rsid w:val="00F67785"/>
    <w:rsid w:val="00F677C1"/>
    <w:rsid w:val="00F678BE"/>
    <w:rsid w:val="00F678D2"/>
    <w:rsid w:val="00F67969"/>
    <w:rsid w:val="00F6797D"/>
    <w:rsid w:val="00F679BF"/>
    <w:rsid w:val="00F679F6"/>
    <w:rsid w:val="00F67A4E"/>
    <w:rsid w:val="00F67A5A"/>
    <w:rsid w:val="00F67ABF"/>
    <w:rsid w:val="00F67AF8"/>
    <w:rsid w:val="00F67B06"/>
    <w:rsid w:val="00F67B12"/>
    <w:rsid w:val="00F67B23"/>
    <w:rsid w:val="00F67B2C"/>
    <w:rsid w:val="00F67B33"/>
    <w:rsid w:val="00F67B89"/>
    <w:rsid w:val="00F67C34"/>
    <w:rsid w:val="00F67C5F"/>
    <w:rsid w:val="00F67C8D"/>
    <w:rsid w:val="00F67C9D"/>
    <w:rsid w:val="00F67D22"/>
    <w:rsid w:val="00F67D61"/>
    <w:rsid w:val="00F67D78"/>
    <w:rsid w:val="00F67DBD"/>
    <w:rsid w:val="00F67DC0"/>
    <w:rsid w:val="00F67E12"/>
    <w:rsid w:val="00F67E8E"/>
    <w:rsid w:val="00F67F4E"/>
    <w:rsid w:val="00F67FDF"/>
    <w:rsid w:val="00F7002C"/>
    <w:rsid w:val="00F7003E"/>
    <w:rsid w:val="00F70072"/>
    <w:rsid w:val="00F700BD"/>
    <w:rsid w:val="00F700CF"/>
    <w:rsid w:val="00F70144"/>
    <w:rsid w:val="00F70178"/>
    <w:rsid w:val="00F70185"/>
    <w:rsid w:val="00F701CC"/>
    <w:rsid w:val="00F70235"/>
    <w:rsid w:val="00F70283"/>
    <w:rsid w:val="00F702A0"/>
    <w:rsid w:val="00F702A4"/>
    <w:rsid w:val="00F702F4"/>
    <w:rsid w:val="00F70345"/>
    <w:rsid w:val="00F70366"/>
    <w:rsid w:val="00F70380"/>
    <w:rsid w:val="00F703AB"/>
    <w:rsid w:val="00F703B6"/>
    <w:rsid w:val="00F703C8"/>
    <w:rsid w:val="00F7041C"/>
    <w:rsid w:val="00F7044A"/>
    <w:rsid w:val="00F704A3"/>
    <w:rsid w:val="00F704C2"/>
    <w:rsid w:val="00F704F1"/>
    <w:rsid w:val="00F70506"/>
    <w:rsid w:val="00F70522"/>
    <w:rsid w:val="00F70540"/>
    <w:rsid w:val="00F70598"/>
    <w:rsid w:val="00F705BD"/>
    <w:rsid w:val="00F705BE"/>
    <w:rsid w:val="00F70614"/>
    <w:rsid w:val="00F70667"/>
    <w:rsid w:val="00F7068C"/>
    <w:rsid w:val="00F7069F"/>
    <w:rsid w:val="00F70729"/>
    <w:rsid w:val="00F7076F"/>
    <w:rsid w:val="00F707C6"/>
    <w:rsid w:val="00F707C7"/>
    <w:rsid w:val="00F707E7"/>
    <w:rsid w:val="00F70803"/>
    <w:rsid w:val="00F7080F"/>
    <w:rsid w:val="00F70815"/>
    <w:rsid w:val="00F70823"/>
    <w:rsid w:val="00F7084F"/>
    <w:rsid w:val="00F70871"/>
    <w:rsid w:val="00F708D1"/>
    <w:rsid w:val="00F708FC"/>
    <w:rsid w:val="00F7092A"/>
    <w:rsid w:val="00F70967"/>
    <w:rsid w:val="00F70973"/>
    <w:rsid w:val="00F709B6"/>
    <w:rsid w:val="00F709D2"/>
    <w:rsid w:val="00F70A12"/>
    <w:rsid w:val="00F70A1F"/>
    <w:rsid w:val="00F70AC2"/>
    <w:rsid w:val="00F70AFC"/>
    <w:rsid w:val="00F70BCF"/>
    <w:rsid w:val="00F70BEA"/>
    <w:rsid w:val="00F70C00"/>
    <w:rsid w:val="00F70C97"/>
    <w:rsid w:val="00F70CB4"/>
    <w:rsid w:val="00F70CE8"/>
    <w:rsid w:val="00F70CFD"/>
    <w:rsid w:val="00F70D29"/>
    <w:rsid w:val="00F70D2C"/>
    <w:rsid w:val="00F70D5E"/>
    <w:rsid w:val="00F70D64"/>
    <w:rsid w:val="00F70D6B"/>
    <w:rsid w:val="00F70D75"/>
    <w:rsid w:val="00F70DB1"/>
    <w:rsid w:val="00F70E22"/>
    <w:rsid w:val="00F70EC8"/>
    <w:rsid w:val="00F70EEA"/>
    <w:rsid w:val="00F70F1A"/>
    <w:rsid w:val="00F70F22"/>
    <w:rsid w:val="00F70F6C"/>
    <w:rsid w:val="00F70FB2"/>
    <w:rsid w:val="00F70FC5"/>
    <w:rsid w:val="00F70FF0"/>
    <w:rsid w:val="00F71001"/>
    <w:rsid w:val="00F7103B"/>
    <w:rsid w:val="00F71046"/>
    <w:rsid w:val="00F71091"/>
    <w:rsid w:val="00F710C6"/>
    <w:rsid w:val="00F71114"/>
    <w:rsid w:val="00F71165"/>
    <w:rsid w:val="00F7116D"/>
    <w:rsid w:val="00F71185"/>
    <w:rsid w:val="00F711D0"/>
    <w:rsid w:val="00F711F9"/>
    <w:rsid w:val="00F7120A"/>
    <w:rsid w:val="00F713F0"/>
    <w:rsid w:val="00F7149B"/>
    <w:rsid w:val="00F714DA"/>
    <w:rsid w:val="00F7151E"/>
    <w:rsid w:val="00F715C3"/>
    <w:rsid w:val="00F715ED"/>
    <w:rsid w:val="00F71610"/>
    <w:rsid w:val="00F71669"/>
    <w:rsid w:val="00F7166F"/>
    <w:rsid w:val="00F7169D"/>
    <w:rsid w:val="00F716A7"/>
    <w:rsid w:val="00F716D2"/>
    <w:rsid w:val="00F716DA"/>
    <w:rsid w:val="00F716EA"/>
    <w:rsid w:val="00F716F6"/>
    <w:rsid w:val="00F717FE"/>
    <w:rsid w:val="00F7187C"/>
    <w:rsid w:val="00F718AA"/>
    <w:rsid w:val="00F71906"/>
    <w:rsid w:val="00F7193A"/>
    <w:rsid w:val="00F71975"/>
    <w:rsid w:val="00F7197D"/>
    <w:rsid w:val="00F71A06"/>
    <w:rsid w:val="00F71A2E"/>
    <w:rsid w:val="00F71A80"/>
    <w:rsid w:val="00F71A82"/>
    <w:rsid w:val="00F71A9D"/>
    <w:rsid w:val="00F71ADB"/>
    <w:rsid w:val="00F71B5A"/>
    <w:rsid w:val="00F71B9C"/>
    <w:rsid w:val="00F71C13"/>
    <w:rsid w:val="00F71C6F"/>
    <w:rsid w:val="00F71CE7"/>
    <w:rsid w:val="00F71D30"/>
    <w:rsid w:val="00F71D36"/>
    <w:rsid w:val="00F71D41"/>
    <w:rsid w:val="00F71D47"/>
    <w:rsid w:val="00F71DA8"/>
    <w:rsid w:val="00F71DDB"/>
    <w:rsid w:val="00F71DFE"/>
    <w:rsid w:val="00F71E8C"/>
    <w:rsid w:val="00F71E9F"/>
    <w:rsid w:val="00F71EA1"/>
    <w:rsid w:val="00F71EA4"/>
    <w:rsid w:val="00F71EA9"/>
    <w:rsid w:val="00F71EAE"/>
    <w:rsid w:val="00F71F0D"/>
    <w:rsid w:val="00F71FBC"/>
    <w:rsid w:val="00F71FDB"/>
    <w:rsid w:val="00F7200C"/>
    <w:rsid w:val="00F720D8"/>
    <w:rsid w:val="00F720F2"/>
    <w:rsid w:val="00F72162"/>
    <w:rsid w:val="00F7219F"/>
    <w:rsid w:val="00F721A2"/>
    <w:rsid w:val="00F721C0"/>
    <w:rsid w:val="00F721EB"/>
    <w:rsid w:val="00F72224"/>
    <w:rsid w:val="00F7225B"/>
    <w:rsid w:val="00F7225F"/>
    <w:rsid w:val="00F722EE"/>
    <w:rsid w:val="00F722F5"/>
    <w:rsid w:val="00F72388"/>
    <w:rsid w:val="00F723B2"/>
    <w:rsid w:val="00F723C3"/>
    <w:rsid w:val="00F723C6"/>
    <w:rsid w:val="00F72413"/>
    <w:rsid w:val="00F7247C"/>
    <w:rsid w:val="00F724E6"/>
    <w:rsid w:val="00F724ED"/>
    <w:rsid w:val="00F724F9"/>
    <w:rsid w:val="00F72517"/>
    <w:rsid w:val="00F7251A"/>
    <w:rsid w:val="00F72526"/>
    <w:rsid w:val="00F7254F"/>
    <w:rsid w:val="00F725B8"/>
    <w:rsid w:val="00F726EC"/>
    <w:rsid w:val="00F726F7"/>
    <w:rsid w:val="00F72721"/>
    <w:rsid w:val="00F7274E"/>
    <w:rsid w:val="00F72761"/>
    <w:rsid w:val="00F72775"/>
    <w:rsid w:val="00F72776"/>
    <w:rsid w:val="00F7283A"/>
    <w:rsid w:val="00F72846"/>
    <w:rsid w:val="00F72898"/>
    <w:rsid w:val="00F7293A"/>
    <w:rsid w:val="00F7295E"/>
    <w:rsid w:val="00F729A5"/>
    <w:rsid w:val="00F729B5"/>
    <w:rsid w:val="00F729FB"/>
    <w:rsid w:val="00F72B04"/>
    <w:rsid w:val="00F72B38"/>
    <w:rsid w:val="00F72B48"/>
    <w:rsid w:val="00F72B7A"/>
    <w:rsid w:val="00F72B9D"/>
    <w:rsid w:val="00F72C62"/>
    <w:rsid w:val="00F72CB2"/>
    <w:rsid w:val="00F72CB7"/>
    <w:rsid w:val="00F72CED"/>
    <w:rsid w:val="00F72D1D"/>
    <w:rsid w:val="00F72D99"/>
    <w:rsid w:val="00F72D9C"/>
    <w:rsid w:val="00F72E1C"/>
    <w:rsid w:val="00F72E35"/>
    <w:rsid w:val="00F72E5B"/>
    <w:rsid w:val="00F72E7D"/>
    <w:rsid w:val="00F72E8C"/>
    <w:rsid w:val="00F72E9C"/>
    <w:rsid w:val="00F72F19"/>
    <w:rsid w:val="00F72F48"/>
    <w:rsid w:val="00F72FCC"/>
    <w:rsid w:val="00F72FF9"/>
    <w:rsid w:val="00F73019"/>
    <w:rsid w:val="00F7302E"/>
    <w:rsid w:val="00F73043"/>
    <w:rsid w:val="00F7307F"/>
    <w:rsid w:val="00F730A0"/>
    <w:rsid w:val="00F730D5"/>
    <w:rsid w:val="00F730E4"/>
    <w:rsid w:val="00F73151"/>
    <w:rsid w:val="00F7316A"/>
    <w:rsid w:val="00F7319F"/>
    <w:rsid w:val="00F731AE"/>
    <w:rsid w:val="00F731C5"/>
    <w:rsid w:val="00F73213"/>
    <w:rsid w:val="00F7323B"/>
    <w:rsid w:val="00F73267"/>
    <w:rsid w:val="00F73329"/>
    <w:rsid w:val="00F7334D"/>
    <w:rsid w:val="00F7337A"/>
    <w:rsid w:val="00F733B0"/>
    <w:rsid w:val="00F733BB"/>
    <w:rsid w:val="00F7341D"/>
    <w:rsid w:val="00F734B1"/>
    <w:rsid w:val="00F734C3"/>
    <w:rsid w:val="00F734F6"/>
    <w:rsid w:val="00F7351B"/>
    <w:rsid w:val="00F73525"/>
    <w:rsid w:val="00F7356D"/>
    <w:rsid w:val="00F73635"/>
    <w:rsid w:val="00F73644"/>
    <w:rsid w:val="00F7364A"/>
    <w:rsid w:val="00F7364B"/>
    <w:rsid w:val="00F73655"/>
    <w:rsid w:val="00F736F0"/>
    <w:rsid w:val="00F73768"/>
    <w:rsid w:val="00F737B5"/>
    <w:rsid w:val="00F7388A"/>
    <w:rsid w:val="00F73897"/>
    <w:rsid w:val="00F73915"/>
    <w:rsid w:val="00F73987"/>
    <w:rsid w:val="00F73992"/>
    <w:rsid w:val="00F739D6"/>
    <w:rsid w:val="00F73A8E"/>
    <w:rsid w:val="00F73AC9"/>
    <w:rsid w:val="00F73BEF"/>
    <w:rsid w:val="00F73BF2"/>
    <w:rsid w:val="00F73BF6"/>
    <w:rsid w:val="00F73C20"/>
    <w:rsid w:val="00F73C24"/>
    <w:rsid w:val="00F73C26"/>
    <w:rsid w:val="00F73C75"/>
    <w:rsid w:val="00F73CB6"/>
    <w:rsid w:val="00F73CC8"/>
    <w:rsid w:val="00F73CFD"/>
    <w:rsid w:val="00F73D48"/>
    <w:rsid w:val="00F73E15"/>
    <w:rsid w:val="00F73E38"/>
    <w:rsid w:val="00F73E56"/>
    <w:rsid w:val="00F73E6A"/>
    <w:rsid w:val="00F73EDB"/>
    <w:rsid w:val="00F73F05"/>
    <w:rsid w:val="00F7403A"/>
    <w:rsid w:val="00F74091"/>
    <w:rsid w:val="00F7409D"/>
    <w:rsid w:val="00F740E3"/>
    <w:rsid w:val="00F740F1"/>
    <w:rsid w:val="00F7412D"/>
    <w:rsid w:val="00F741B1"/>
    <w:rsid w:val="00F741B7"/>
    <w:rsid w:val="00F741B9"/>
    <w:rsid w:val="00F741FA"/>
    <w:rsid w:val="00F74222"/>
    <w:rsid w:val="00F74227"/>
    <w:rsid w:val="00F7424E"/>
    <w:rsid w:val="00F7427B"/>
    <w:rsid w:val="00F74280"/>
    <w:rsid w:val="00F74288"/>
    <w:rsid w:val="00F742B5"/>
    <w:rsid w:val="00F742D1"/>
    <w:rsid w:val="00F74317"/>
    <w:rsid w:val="00F74353"/>
    <w:rsid w:val="00F7436F"/>
    <w:rsid w:val="00F74370"/>
    <w:rsid w:val="00F743AD"/>
    <w:rsid w:val="00F743B9"/>
    <w:rsid w:val="00F7448E"/>
    <w:rsid w:val="00F7449E"/>
    <w:rsid w:val="00F7454A"/>
    <w:rsid w:val="00F74554"/>
    <w:rsid w:val="00F745FC"/>
    <w:rsid w:val="00F74635"/>
    <w:rsid w:val="00F74641"/>
    <w:rsid w:val="00F7473A"/>
    <w:rsid w:val="00F74748"/>
    <w:rsid w:val="00F7478F"/>
    <w:rsid w:val="00F7480D"/>
    <w:rsid w:val="00F74830"/>
    <w:rsid w:val="00F74848"/>
    <w:rsid w:val="00F74870"/>
    <w:rsid w:val="00F748B5"/>
    <w:rsid w:val="00F7490C"/>
    <w:rsid w:val="00F74915"/>
    <w:rsid w:val="00F7495E"/>
    <w:rsid w:val="00F74990"/>
    <w:rsid w:val="00F74A44"/>
    <w:rsid w:val="00F74A5A"/>
    <w:rsid w:val="00F74A7C"/>
    <w:rsid w:val="00F74ABA"/>
    <w:rsid w:val="00F74AFC"/>
    <w:rsid w:val="00F74BC2"/>
    <w:rsid w:val="00F74C52"/>
    <w:rsid w:val="00F74C5B"/>
    <w:rsid w:val="00F74C61"/>
    <w:rsid w:val="00F74C65"/>
    <w:rsid w:val="00F74CCF"/>
    <w:rsid w:val="00F74CF5"/>
    <w:rsid w:val="00F74D69"/>
    <w:rsid w:val="00F74E04"/>
    <w:rsid w:val="00F74E73"/>
    <w:rsid w:val="00F74EDF"/>
    <w:rsid w:val="00F74FA2"/>
    <w:rsid w:val="00F74FA7"/>
    <w:rsid w:val="00F74FBE"/>
    <w:rsid w:val="00F74FD4"/>
    <w:rsid w:val="00F74FE3"/>
    <w:rsid w:val="00F75017"/>
    <w:rsid w:val="00F750C2"/>
    <w:rsid w:val="00F750FE"/>
    <w:rsid w:val="00F7511B"/>
    <w:rsid w:val="00F75130"/>
    <w:rsid w:val="00F7514A"/>
    <w:rsid w:val="00F7515B"/>
    <w:rsid w:val="00F75178"/>
    <w:rsid w:val="00F751C7"/>
    <w:rsid w:val="00F7520F"/>
    <w:rsid w:val="00F7521B"/>
    <w:rsid w:val="00F7522D"/>
    <w:rsid w:val="00F7524B"/>
    <w:rsid w:val="00F75263"/>
    <w:rsid w:val="00F75264"/>
    <w:rsid w:val="00F7526C"/>
    <w:rsid w:val="00F752DA"/>
    <w:rsid w:val="00F75308"/>
    <w:rsid w:val="00F7533D"/>
    <w:rsid w:val="00F75384"/>
    <w:rsid w:val="00F753E7"/>
    <w:rsid w:val="00F7549E"/>
    <w:rsid w:val="00F7551A"/>
    <w:rsid w:val="00F755C2"/>
    <w:rsid w:val="00F75616"/>
    <w:rsid w:val="00F7564B"/>
    <w:rsid w:val="00F7566C"/>
    <w:rsid w:val="00F756BA"/>
    <w:rsid w:val="00F7575B"/>
    <w:rsid w:val="00F75782"/>
    <w:rsid w:val="00F757C6"/>
    <w:rsid w:val="00F75825"/>
    <w:rsid w:val="00F75845"/>
    <w:rsid w:val="00F758D9"/>
    <w:rsid w:val="00F758F3"/>
    <w:rsid w:val="00F75931"/>
    <w:rsid w:val="00F7598B"/>
    <w:rsid w:val="00F759C5"/>
    <w:rsid w:val="00F759D4"/>
    <w:rsid w:val="00F759F5"/>
    <w:rsid w:val="00F75A0A"/>
    <w:rsid w:val="00F75A1D"/>
    <w:rsid w:val="00F75A40"/>
    <w:rsid w:val="00F75A7B"/>
    <w:rsid w:val="00F75A9C"/>
    <w:rsid w:val="00F75AAB"/>
    <w:rsid w:val="00F75AF0"/>
    <w:rsid w:val="00F75B32"/>
    <w:rsid w:val="00F75B92"/>
    <w:rsid w:val="00F75C4B"/>
    <w:rsid w:val="00F75CC8"/>
    <w:rsid w:val="00F75CD4"/>
    <w:rsid w:val="00F75DDD"/>
    <w:rsid w:val="00F75E3E"/>
    <w:rsid w:val="00F75EDA"/>
    <w:rsid w:val="00F75F1C"/>
    <w:rsid w:val="00F75F4B"/>
    <w:rsid w:val="00F75F6F"/>
    <w:rsid w:val="00F75F74"/>
    <w:rsid w:val="00F76042"/>
    <w:rsid w:val="00F7605F"/>
    <w:rsid w:val="00F760B5"/>
    <w:rsid w:val="00F760C1"/>
    <w:rsid w:val="00F760D8"/>
    <w:rsid w:val="00F7614D"/>
    <w:rsid w:val="00F76155"/>
    <w:rsid w:val="00F761AB"/>
    <w:rsid w:val="00F761B2"/>
    <w:rsid w:val="00F761C6"/>
    <w:rsid w:val="00F7624A"/>
    <w:rsid w:val="00F7624C"/>
    <w:rsid w:val="00F762A6"/>
    <w:rsid w:val="00F762CB"/>
    <w:rsid w:val="00F76382"/>
    <w:rsid w:val="00F7642F"/>
    <w:rsid w:val="00F76457"/>
    <w:rsid w:val="00F7646E"/>
    <w:rsid w:val="00F76492"/>
    <w:rsid w:val="00F764C9"/>
    <w:rsid w:val="00F765AD"/>
    <w:rsid w:val="00F76625"/>
    <w:rsid w:val="00F76649"/>
    <w:rsid w:val="00F76665"/>
    <w:rsid w:val="00F766BF"/>
    <w:rsid w:val="00F766E3"/>
    <w:rsid w:val="00F76754"/>
    <w:rsid w:val="00F7678B"/>
    <w:rsid w:val="00F767B2"/>
    <w:rsid w:val="00F767D4"/>
    <w:rsid w:val="00F767D6"/>
    <w:rsid w:val="00F7684C"/>
    <w:rsid w:val="00F7685C"/>
    <w:rsid w:val="00F768FF"/>
    <w:rsid w:val="00F76952"/>
    <w:rsid w:val="00F7697B"/>
    <w:rsid w:val="00F7697F"/>
    <w:rsid w:val="00F769E2"/>
    <w:rsid w:val="00F76A09"/>
    <w:rsid w:val="00F76A25"/>
    <w:rsid w:val="00F76A4B"/>
    <w:rsid w:val="00F76A87"/>
    <w:rsid w:val="00F76AB7"/>
    <w:rsid w:val="00F76B26"/>
    <w:rsid w:val="00F76B52"/>
    <w:rsid w:val="00F76BB7"/>
    <w:rsid w:val="00F76BC0"/>
    <w:rsid w:val="00F76C53"/>
    <w:rsid w:val="00F76C63"/>
    <w:rsid w:val="00F76CAA"/>
    <w:rsid w:val="00F76CE1"/>
    <w:rsid w:val="00F76CF7"/>
    <w:rsid w:val="00F76D5B"/>
    <w:rsid w:val="00F76D89"/>
    <w:rsid w:val="00F76DE5"/>
    <w:rsid w:val="00F76E4A"/>
    <w:rsid w:val="00F76E68"/>
    <w:rsid w:val="00F76E74"/>
    <w:rsid w:val="00F76E9D"/>
    <w:rsid w:val="00F76EB0"/>
    <w:rsid w:val="00F76F50"/>
    <w:rsid w:val="00F77042"/>
    <w:rsid w:val="00F77090"/>
    <w:rsid w:val="00F77130"/>
    <w:rsid w:val="00F7713A"/>
    <w:rsid w:val="00F7714E"/>
    <w:rsid w:val="00F7715D"/>
    <w:rsid w:val="00F771A4"/>
    <w:rsid w:val="00F771C6"/>
    <w:rsid w:val="00F771D8"/>
    <w:rsid w:val="00F771EB"/>
    <w:rsid w:val="00F77235"/>
    <w:rsid w:val="00F77248"/>
    <w:rsid w:val="00F772BE"/>
    <w:rsid w:val="00F772D5"/>
    <w:rsid w:val="00F772DF"/>
    <w:rsid w:val="00F77328"/>
    <w:rsid w:val="00F7736C"/>
    <w:rsid w:val="00F7741D"/>
    <w:rsid w:val="00F77429"/>
    <w:rsid w:val="00F7745A"/>
    <w:rsid w:val="00F774D3"/>
    <w:rsid w:val="00F77524"/>
    <w:rsid w:val="00F77545"/>
    <w:rsid w:val="00F77548"/>
    <w:rsid w:val="00F7755B"/>
    <w:rsid w:val="00F77573"/>
    <w:rsid w:val="00F775A8"/>
    <w:rsid w:val="00F775C4"/>
    <w:rsid w:val="00F775F4"/>
    <w:rsid w:val="00F7769E"/>
    <w:rsid w:val="00F776C2"/>
    <w:rsid w:val="00F776C7"/>
    <w:rsid w:val="00F776DE"/>
    <w:rsid w:val="00F776E0"/>
    <w:rsid w:val="00F776E6"/>
    <w:rsid w:val="00F776F2"/>
    <w:rsid w:val="00F77706"/>
    <w:rsid w:val="00F77714"/>
    <w:rsid w:val="00F77723"/>
    <w:rsid w:val="00F7773C"/>
    <w:rsid w:val="00F77758"/>
    <w:rsid w:val="00F77800"/>
    <w:rsid w:val="00F77822"/>
    <w:rsid w:val="00F77897"/>
    <w:rsid w:val="00F778B1"/>
    <w:rsid w:val="00F77995"/>
    <w:rsid w:val="00F7799C"/>
    <w:rsid w:val="00F779B1"/>
    <w:rsid w:val="00F77A83"/>
    <w:rsid w:val="00F77AE5"/>
    <w:rsid w:val="00F77AE9"/>
    <w:rsid w:val="00F77B2E"/>
    <w:rsid w:val="00F77B70"/>
    <w:rsid w:val="00F77BD2"/>
    <w:rsid w:val="00F77C01"/>
    <w:rsid w:val="00F77C13"/>
    <w:rsid w:val="00F77C21"/>
    <w:rsid w:val="00F77CB9"/>
    <w:rsid w:val="00F77CE7"/>
    <w:rsid w:val="00F77D01"/>
    <w:rsid w:val="00F77D12"/>
    <w:rsid w:val="00F77D2D"/>
    <w:rsid w:val="00F77D71"/>
    <w:rsid w:val="00F77D77"/>
    <w:rsid w:val="00F77DC5"/>
    <w:rsid w:val="00F77DD0"/>
    <w:rsid w:val="00F77E01"/>
    <w:rsid w:val="00F77E43"/>
    <w:rsid w:val="00F77E51"/>
    <w:rsid w:val="00F77E62"/>
    <w:rsid w:val="00F77EA6"/>
    <w:rsid w:val="00F77F22"/>
    <w:rsid w:val="00F77F37"/>
    <w:rsid w:val="00F77F48"/>
    <w:rsid w:val="00F77F73"/>
    <w:rsid w:val="00F77FD8"/>
    <w:rsid w:val="00F77FF3"/>
    <w:rsid w:val="00F7B28B"/>
    <w:rsid w:val="00F7CA01"/>
    <w:rsid w:val="00F80033"/>
    <w:rsid w:val="00F80078"/>
    <w:rsid w:val="00F80087"/>
    <w:rsid w:val="00F800A2"/>
    <w:rsid w:val="00F800DF"/>
    <w:rsid w:val="00F8012C"/>
    <w:rsid w:val="00F80150"/>
    <w:rsid w:val="00F801B1"/>
    <w:rsid w:val="00F801C6"/>
    <w:rsid w:val="00F801F7"/>
    <w:rsid w:val="00F80256"/>
    <w:rsid w:val="00F80279"/>
    <w:rsid w:val="00F802CB"/>
    <w:rsid w:val="00F80375"/>
    <w:rsid w:val="00F80431"/>
    <w:rsid w:val="00F80490"/>
    <w:rsid w:val="00F804BD"/>
    <w:rsid w:val="00F8057C"/>
    <w:rsid w:val="00F80591"/>
    <w:rsid w:val="00F805B4"/>
    <w:rsid w:val="00F80611"/>
    <w:rsid w:val="00F80687"/>
    <w:rsid w:val="00F806A3"/>
    <w:rsid w:val="00F8070D"/>
    <w:rsid w:val="00F80737"/>
    <w:rsid w:val="00F80754"/>
    <w:rsid w:val="00F8077B"/>
    <w:rsid w:val="00F808A9"/>
    <w:rsid w:val="00F808DC"/>
    <w:rsid w:val="00F808EE"/>
    <w:rsid w:val="00F8095B"/>
    <w:rsid w:val="00F80991"/>
    <w:rsid w:val="00F8099F"/>
    <w:rsid w:val="00F80A63"/>
    <w:rsid w:val="00F80AAD"/>
    <w:rsid w:val="00F80AF3"/>
    <w:rsid w:val="00F80C10"/>
    <w:rsid w:val="00F80C11"/>
    <w:rsid w:val="00F80C75"/>
    <w:rsid w:val="00F80CC3"/>
    <w:rsid w:val="00F80CDC"/>
    <w:rsid w:val="00F80D1E"/>
    <w:rsid w:val="00F80D23"/>
    <w:rsid w:val="00F80D32"/>
    <w:rsid w:val="00F80D5F"/>
    <w:rsid w:val="00F80E53"/>
    <w:rsid w:val="00F80E57"/>
    <w:rsid w:val="00F80E66"/>
    <w:rsid w:val="00F80E8A"/>
    <w:rsid w:val="00F80E97"/>
    <w:rsid w:val="00F80EA5"/>
    <w:rsid w:val="00F80FE6"/>
    <w:rsid w:val="00F81059"/>
    <w:rsid w:val="00F81066"/>
    <w:rsid w:val="00F810E8"/>
    <w:rsid w:val="00F810FD"/>
    <w:rsid w:val="00F8110B"/>
    <w:rsid w:val="00F8113C"/>
    <w:rsid w:val="00F8114D"/>
    <w:rsid w:val="00F8125D"/>
    <w:rsid w:val="00F81285"/>
    <w:rsid w:val="00F812C8"/>
    <w:rsid w:val="00F81341"/>
    <w:rsid w:val="00F81395"/>
    <w:rsid w:val="00F813D3"/>
    <w:rsid w:val="00F813DC"/>
    <w:rsid w:val="00F813E9"/>
    <w:rsid w:val="00F81426"/>
    <w:rsid w:val="00F8142A"/>
    <w:rsid w:val="00F81458"/>
    <w:rsid w:val="00F81494"/>
    <w:rsid w:val="00F814B0"/>
    <w:rsid w:val="00F814FC"/>
    <w:rsid w:val="00F81550"/>
    <w:rsid w:val="00F815A0"/>
    <w:rsid w:val="00F816BC"/>
    <w:rsid w:val="00F816C5"/>
    <w:rsid w:val="00F816DD"/>
    <w:rsid w:val="00F817C2"/>
    <w:rsid w:val="00F8183D"/>
    <w:rsid w:val="00F8183F"/>
    <w:rsid w:val="00F81898"/>
    <w:rsid w:val="00F818B4"/>
    <w:rsid w:val="00F818EB"/>
    <w:rsid w:val="00F81920"/>
    <w:rsid w:val="00F81929"/>
    <w:rsid w:val="00F81936"/>
    <w:rsid w:val="00F81950"/>
    <w:rsid w:val="00F81963"/>
    <w:rsid w:val="00F819CF"/>
    <w:rsid w:val="00F81A1E"/>
    <w:rsid w:val="00F81A2B"/>
    <w:rsid w:val="00F81A34"/>
    <w:rsid w:val="00F81A97"/>
    <w:rsid w:val="00F81A9A"/>
    <w:rsid w:val="00F81ADB"/>
    <w:rsid w:val="00F81B20"/>
    <w:rsid w:val="00F81B26"/>
    <w:rsid w:val="00F81B88"/>
    <w:rsid w:val="00F81BD2"/>
    <w:rsid w:val="00F81C72"/>
    <w:rsid w:val="00F81D07"/>
    <w:rsid w:val="00F81D32"/>
    <w:rsid w:val="00F81DA8"/>
    <w:rsid w:val="00F81DC3"/>
    <w:rsid w:val="00F81DCE"/>
    <w:rsid w:val="00F81DDF"/>
    <w:rsid w:val="00F81E0E"/>
    <w:rsid w:val="00F81E66"/>
    <w:rsid w:val="00F81E70"/>
    <w:rsid w:val="00F81E88"/>
    <w:rsid w:val="00F81EDE"/>
    <w:rsid w:val="00F81FDD"/>
    <w:rsid w:val="00F82078"/>
    <w:rsid w:val="00F820ED"/>
    <w:rsid w:val="00F82122"/>
    <w:rsid w:val="00F8219D"/>
    <w:rsid w:val="00F821A0"/>
    <w:rsid w:val="00F821C1"/>
    <w:rsid w:val="00F82207"/>
    <w:rsid w:val="00F82268"/>
    <w:rsid w:val="00F8229E"/>
    <w:rsid w:val="00F822A8"/>
    <w:rsid w:val="00F823A4"/>
    <w:rsid w:val="00F823FE"/>
    <w:rsid w:val="00F82429"/>
    <w:rsid w:val="00F824E9"/>
    <w:rsid w:val="00F824EB"/>
    <w:rsid w:val="00F8251D"/>
    <w:rsid w:val="00F82603"/>
    <w:rsid w:val="00F82674"/>
    <w:rsid w:val="00F8269E"/>
    <w:rsid w:val="00F826A9"/>
    <w:rsid w:val="00F826AA"/>
    <w:rsid w:val="00F827CD"/>
    <w:rsid w:val="00F827FA"/>
    <w:rsid w:val="00F828A8"/>
    <w:rsid w:val="00F828BC"/>
    <w:rsid w:val="00F82976"/>
    <w:rsid w:val="00F829A4"/>
    <w:rsid w:val="00F829AE"/>
    <w:rsid w:val="00F82A2B"/>
    <w:rsid w:val="00F82A39"/>
    <w:rsid w:val="00F82A59"/>
    <w:rsid w:val="00F82A9B"/>
    <w:rsid w:val="00F82AAD"/>
    <w:rsid w:val="00F82AF9"/>
    <w:rsid w:val="00F82B66"/>
    <w:rsid w:val="00F82BAC"/>
    <w:rsid w:val="00F82BCB"/>
    <w:rsid w:val="00F82BE9"/>
    <w:rsid w:val="00F82BFB"/>
    <w:rsid w:val="00F82C34"/>
    <w:rsid w:val="00F82C98"/>
    <w:rsid w:val="00F82CAE"/>
    <w:rsid w:val="00F82CFD"/>
    <w:rsid w:val="00F82D2A"/>
    <w:rsid w:val="00F82E0F"/>
    <w:rsid w:val="00F82E47"/>
    <w:rsid w:val="00F82E79"/>
    <w:rsid w:val="00F82E7F"/>
    <w:rsid w:val="00F82EB2"/>
    <w:rsid w:val="00F82EB6"/>
    <w:rsid w:val="00F82ECF"/>
    <w:rsid w:val="00F82ED0"/>
    <w:rsid w:val="00F82F43"/>
    <w:rsid w:val="00F82F4B"/>
    <w:rsid w:val="00F82FC7"/>
    <w:rsid w:val="00F82FF5"/>
    <w:rsid w:val="00F8300E"/>
    <w:rsid w:val="00F83014"/>
    <w:rsid w:val="00F83063"/>
    <w:rsid w:val="00F83077"/>
    <w:rsid w:val="00F8314C"/>
    <w:rsid w:val="00F83159"/>
    <w:rsid w:val="00F83195"/>
    <w:rsid w:val="00F831A1"/>
    <w:rsid w:val="00F831E1"/>
    <w:rsid w:val="00F83249"/>
    <w:rsid w:val="00F8325E"/>
    <w:rsid w:val="00F83279"/>
    <w:rsid w:val="00F832AC"/>
    <w:rsid w:val="00F832B2"/>
    <w:rsid w:val="00F832E5"/>
    <w:rsid w:val="00F832FC"/>
    <w:rsid w:val="00F83353"/>
    <w:rsid w:val="00F83372"/>
    <w:rsid w:val="00F8337F"/>
    <w:rsid w:val="00F833AB"/>
    <w:rsid w:val="00F833F3"/>
    <w:rsid w:val="00F83476"/>
    <w:rsid w:val="00F834D9"/>
    <w:rsid w:val="00F834F6"/>
    <w:rsid w:val="00F8357F"/>
    <w:rsid w:val="00F83580"/>
    <w:rsid w:val="00F835CF"/>
    <w:rsid w:val="00F835D9"/>
    <w:rsid w:val="00F835F3"/>
    <w:rsid w:val="00F83643"/>
    <w:rsid w:val="00F83718"/>
    <w:rsid w:val="00F8372A"/>
    <w:rsid w:val="00F8373C"/>
    <w:rsid w:val="00F8378E"/>
    <w:rsid w:val="00F83815"/>
    <w:rsid w:val="00F8382A"/>
    <w:rsid w:val="00F838AB"/>
    <w:rsid w:val="00F838F8"/>
    <w:rsid w:val="00F83936"/>
    <w:rsid w:val="00F8396A"/>
    <w:rsid w:val="00F8397E"/>
    <w:rsid w:val="00F8398D"/>
    <w:rsid w:val="00F83995"/>
    <w:rsid w:val="00F839C4"/>
    <w:rsid w:val="00F83A15"/>
    <w:rsid w:val="00F83A1F"/>
    <w:rsid w:val="00F83A5F"/>
    <w:rsid w:val="00F83A7F"/>
    <w:rsid w:val="00F83B5A"/>
    <w:rsid w:val="00F83B95"/>
    <w:rsid w:val="00F83BC5"/>
    <w:rsid w:val="00F83C87"/>
    <w:rsid w:val="00F83CBA"/>
    <w:rsid w:val="00F83CE6"/>
    <w:rsid w:val="00F83D67"/>
    <w:rsid w:val="00F83D71"/>
    <w:rsid w:val="00F83D8F"/>
    <w:rsid w:val="00F83D96"/>
    <w:rsid w:val="00F83DDF"/>
    <w:rsid w:val="00F83E4B"/>
    <w:rsid w:val="00F83E7C"/>
    <w:rsid w:val="00F83EFB"/>
    <w:rsid w:val="00F83F48"/>
    <w:rsid w:val="00F83FA4"/>
    <w:rsid w:val="00F83FE1"/>
    <w:rsid w:val="00F8403B"/>
    <w:rsid w:val="00F8403C"/>
    <w:rsid w:val="00F840AD"/>
    <w:rsid w:val="00F840FA"/>
    <w:rsid w:val="00F84115"/>
    <w:rsid w:val="00F8411E"/>
    <w:rsid w:val="00F84134"/>
    <w:rsid w:val="00F8415A"/>
    <w:rsid w:val="00F84174"/>
    <w:rsid w:val="00F841A7"/>
    <w:rsid w:val="00F8422E"/>
    <w:rsid w:val="00F842D3"/>
    <w:rsid w:val="00F84339"/>
    <w:rsid w:val="00F84367"/>
    <w:rsid w:val="00F843DA"/>
    <w:rsid w:val="00F844AF"/>
    <w:rsid w:val="00F844F5"/>
    <w:rsid w:val="00F84508"/>
    <w:rsid w:val="00F8455E"/>
    <w:rsid w:val="00F84570"/>
    <w:rsid w:val="00F8459B"/>
    <w:rsid w:val="00F845BC"/>
    <w:rsid w:val="00F845D1"/>
    <w:rsid w:val="00F8463E"/>
    <w:rsid w:val="00F84653"/>
    <w:rsid w:val="00F846B1"/>
    <w:rsid w:val="00F846E5"/>
    <w:rsid w:val="00F8471E"/>
    <w:rsid w:val="00F84781"/>
    <w:rsid w:val="00F847AC"/>
    <w:rsid w:val="00F847E9"/>
    <w:rsid w:val="00F84839"/>
    <w:rsid w:val="00F8485D"/>
    <w:rsid w:val="00F84868"/>
    <w:rsid w:val="00F84926"/>
    <w:rsid w:val="00F84998"/>
    <w:rsid w:val="00F8499F"/>
    <w:rsid w:val="00F849C9"/>
    <w:rsid w:val="00F849E0"/>
    <w:rsid w:val="00F84A2F"/>
    <w:rsid w:val="00F84A5F"/>
    <w:rsid w:val="00F84A8C"/>
    <w:rsid w:val="00F84AC9"/>
    <w:rsid w:val="00F84AD8"/>
    <w:rsid w:val="00F84B0B"/>
    <w:rsid w:val="00F84B10"/>
    <w:rsid w:val="00F84B4A"/>
    <w:rsid w:val="00F84B6F"/>
    <w:rsid w:val="00F84B90"/>
    <w:rsid w:val="00F84C34"/>
    <w:rsid w:val="00F84C83"/>
    <w:rsid w:val="00F84C9B"/>
    <w:rsid w:val="00F84CAE"/>
    <w:rsid w:val="00F84D71"/>
    <w:rsid w:val="00F84E00"/>
    <w:rsid w:val="00F84ECA"/>
    <w:rsid w:val="00F84ED0"/>
    <w:rsid w:val="00F84F3A"/>
    <w:rsid w:val="00F84F5E"/>
    <w:rsid w:val="00F84F66"/>
    <w:rsid w:val="00F84FB6"/>
    <w:rsid w:val="00F85047"/>
    <w:rsid w:val="00F85081"/>
    <w:rsid w:val="00F850A3"/>
    <w:rsid w:val="00F8515E"/>
    <w:rsid w:val="00F85186"/>
    <w:rsid w:val="00F851D4"/>
    <w:rsid w:val="00F851DC"/>
    <w:rsid w:val="00F85225"/>
    <w:rsid w:val="00F8523C"/>
    <w:rsid w:val="00F85244"/>
    <w:rsid w:val="00F8524E"/>
    <w:rsid w:val="00F8528D"/>
    <w:rsid w:val="00F852D1"/>
    <w:rsid w:val="00F85389"/>
    <w:rsid w:val="00F85432"/>
    <w:rsid w:val="00F85474"/>
    <w:rsid w:val="00F8548D"/>
    <w:rsid w:val="00F854DD"/>
    <w:rsid w:val="00F8550E"/>
    <w:rsid w:val="00F85540"/>
    <w:rsid w:val="00F8554D"/>
    <w:rsid w:val="00F8557E"/>
    <w:rsid w:val="00F855EB"/>
    <w:rsid w:val="00F85651"/>
    <w:rsid w:val="00F85664"/>
    <w:rsid w:val="00F856E5"/>
    <w:rsid w:val="00F8574C"/>
    <w:rsid w:val="00F85798"/>
    <w:rsid w:val="00F857C4"/>
    <w:rsid w:val="00F8584E"/>
    <w:rsid w:val="00F85852"/>
    <w:rsid w:val="00F8585B"/>
    <w:rsid w:val="00F85883"/>
    <w:rsid w:val="00F8588C"/>
    <w:rsid w:val="00F8589A"/>
    <w:rsid w:val="00F858C8"/>
    <w:rsid w:val="00F858E1"/>
    <w:rsid w:val="00F858FA"/>
    <w:rsid w:val="00F85923"/>
    <w:rsid w:val="00F85931"/>
    <w:rsid w:val="00F859B1"/>
    <w:rsid w:val="00F859CB"/>
    <w:rsid w:val="00F85A66"/>
    <w:rsid w:val="00F85A8C"/>
    <w:rsid w:val="00F85AAB"/>
    <w:rsid w:val="00F85B16"/>
    <w:rsid w:val="00F85B25"/>
    <w:rsid w:val="00F85B26"/>
    <w:rsid w:val="00F85B68"/>
    <w:rsid w:val="00F85B6E"/>
    <w:rsid w:val="00F85B75"/>
    <w:rsid w:val="00F85BFD"/>
    <w:rsid w:val="00F85C62"/>
    <w:rsid w:val="00F85C82"/>
    <w:rsid w:val="00F85CCC"/>
    <w:rsid w:val="00F85CD3"/>
    <w:rsid w:val="00F85D0E"/>
    <w:rsid w:val="00F85D0F"/>
    <w:rsid w:val="00F85D45"/>
    <w:rsid w:val="00F85D46"/>
    <w:rsid w:val="00F85E22"/>
    <w:rsid w:val="00F85E71"/>
    <w:rsid w:val="00F85EC7"/>
    <w:rsid w:val="00F85ED9"/>
    <w:rsid w:val="00F85F0C"/>
    <w:rsid w:val="00F85F33"/>
    <w:rsid w:val="00F85F43"/>
    <w:rsid w:val="00F85F5D"/>
    <w:rsid w:val="00F85F99"/>
    <w:rsid w:val="00F85FEC"/>
    <w:rsid w:val="00F86038"/>
    <w:rsid w:val="00F8606C"/>
    <w:rsid w:val="00F8608D"/>
    <w:rsid w:val="00F860A2"/>
    <w:rsid w:val="00F86137"/>
    <w:rsid w:val="00F86197"/>
    <w:rsid w:val="00F86198"/>
    <w:rsid w:val="00F8620F"/>
    <w:rsid w:val="00F8624D"/>
    <w:rsid w:val="00F8627D"/>
    <w:rsid w:val="00F86312"/>
    <w:rsid w:val="00F86323"/>
    <w:rsid w:val="00F8635A"/>
    <w:rsid w:val="00F8637C"/>
    <w:rsid w:val="00F863C0"/>
    <w:rsid w:val="00F863F3"/>
    <w:rsid w:val="00F86416"/>
    <w:rsid w:val="00F86427"/>
    <w:rsid w:val="00F86441"/>
    <w:rsid w:val="00F86447"/>
    <w:rsid w:val="00F86452"/>
    <w:rsid w:val="00F864A2"/>
    <w:rsid w:val="00F864BE"/>
    <w:rsid w:val="00F864CF"/>
    <w:rsid w:val="00F864F7"/>
    <w:rsid w:val="00F86500"/>
    <w:rsid w:val="00F8659A"/>
    <w:rsid w:val="00F865C3"/>
    <w:rsid w:val="00F865C7"/>
    <w:rsid w:val="00F8667C"/>
    <w:rsid w:val="00F8668C"/>
    <w:rsid w:val="00F86690"/>
    <w:rsid w:val="00F866EC"/>
    <w:rsid w:val="00F86784"/>
    <w:rsid w:val="00F867E2"/>
    <w:rsid w:val="00F8680A"/>
    <w:rsid w:val="00F86932"/>
    <w:rsid w:val="00F86946"/>
    <w:rsid w:val="00F86971"/>
    <w:rsid w:val="00F86A00"/>
    <w:rsid w:val="00F86A03"/>
    <w:rsid w:val="00F86A0E"/>
    <w:rsid w:val="00F86A11"/>
    <w:rsid w:val="00F86A22"/>
    <w:rsid w:val="00F86A6E"/>
    <w:rsid w:val="00F86A8B"/>
    <w:rsid w:val="00F86A9A"/>
    <w:rsid w:val="00F86AB7"/>
    <w:rsid w:val="00F86ABC"/>
    <w:rsid w:val="00F86BC2"/>
    <w:rsid w:val="00F86BF3"/>
    <w:rsid w:val="00F86C92"/>
    <w:rsid w:val="00F86C9F"/>
    <w:rsid w:val="00F86CC6"/>
    <w:rsid w:val="00F86D62"/>
    <w:rsid w:val="00F86D7C"/>
    <w:rsid w:val="00F86DA8"/>
    <w:rsid w:val="00F86E52"/>
    <w:rsid w:val="00F86E96"/>
    <w:rsid w:val="00F86F3B"/>
    <w:rsid w:val="00F86F61"/>
    <w:rsid w:val="00F86F73"/>
    <w:rsid w:val="00F86F7E"/>
    <w:rsid w:val="00F86F88"/>
    <w:rsid w:val="00F86FD4"/>
    <w:rsid w:val="00F87043"/>
    <w:rsid w:val="00F8704D"/>
    <w:rsid w:val="00F870C6"/>
    <w:rsid w:val="00F870CB"/>
    <w:rsid w:val="00F870D2"/>
    <w:rsid w:val="00F8713A"/>
    <w:rsid w:val="00F8714A"/>
    <w:rsid w:val="00F87159"/>
    <w:rsid w:val="00F87187"/>
    <w:rsid w:val="00F8725C"/>
    <w:rsid w:val="00F872FC"/>
    <w:rsid w:val="00F873CE"/>
    <w:rsid w:val="00F873F0"/>
    <w:rsid w:val="00F87435"/>
    <w:rsid w:val="00F874B7"/>
    <w:rsid w:val="00F874E4"/>
    <w:rsid w:val="00F87533"/>
    <w:rsid w:val="00F8755B"/>
    <w:rsid w:val="00F875A2"/>
    <w:rsid w:val="00F875CA"/>
    <w:rsid w:val="00F8763E"/>
    <w:rsid w:val="00F87642"/>
    <w:rsid w:val="00F8767F"/>
    <w:rsid w:val="00F876A8"/>
    <w:rsid w:val="00F8770A"/>
    <w:rsid w:val="00F87767"/>
    <w:rsid w:val="00F877AC"/>
    <w:rsid w:val="00F8783E"/>
    <w:rsid w:val="00F87853"/>
    <w:rsid w:val="00F87873"/>
    <w:rsid w:val="00F87875"/>
    <w:rsid w:val="00F878CC"/>
    <w:rsid w:val="00F87901"/>
    <w:rsid w:val="00F879CF"/>
    <w:rsid w:val="00F87A28"/>
    <w:rsid w:val="00F87A2C"/>
    <w:rsid w:val="00F87A2D"/>
    <w:rsid w:val="00F87A55"/>
    <w:rsid w:val="00F87AB0"/>
    <w:rsid w:val="00F87B0A"/>
    <w:rsid w:val="00F87BDB"/>
    <w:rsid w:val="00F87C72"/>
    <w:rsid w:val="00F87C78"/>
    <w:rsid w:val="00F87C8C"/>
    <w:rsid w:val="00F87CDA"/>
    <w:rsid w:val="00F87D15"/>
    <w:rsid w:val="00F87E33"/>
    <w:rsid w:val="00F87E42"/>
    <w:rsid w:val="00F87E88"/>
    <w:rsid w:val="00F87E8F"/>
    <w:rsid w:val="00F87EF9"/>
    <w:rsid w:val="00F87F93"/>
    <w:rsid w:val="00F87FFA"/>
    <w:rsid w:val="00F90025"/>
    <w:rsid w:val="00F90026"/>
    <w:rsid w:val="00F9003E"/>
    <w:rsid w:val="00F900C1"/>
    <w:rsid w:val="00F900E5"/>
    <w:rsid w:val="00F90123"/>
    <w:rsid w:val="00F9012F"/>
    <w:rsid w:val="00F90176"/>
    <w:rsid w:val="00F901AE"/>
    <w:rsid w:val="00F901C7"/>
    <w:rsid w:val="00F9020A"/>
    <w:rsid w:val="00F9029B"/>
    <w:rsid w:val="00F90304"/>
    <w:rsid w:val="00F9033A"/>
    <w:rsid w:val="00F9034E"/>
    <w:rsid w:val="00F90373"/>
    <w:rsid w:val="00F90389"/>
    <w:rsid w:val="00F90393"/>
    <w:rsid w:val="00F903D0"/>
    <w:rsid w:val="00F90471"/>
    <w:rsid w:val="00F9047A"/>
    <w:rsid w:val="00F90495"/>
    <w:rsid w:val="00F904F5"/>
    <w:rsid w:val="00F904F8"/>
    <w:rsid w:val="00F9050F"/>
    <w:rsid w:val="00F9057A"/>
    <w:rsid w:val="00F905F5"/>
    <w:rsid w:val="00F90639"/>
    <w:rsid w:val="00F90681"/>
    <w:rsid w:val="00F906B1"/>
    <w:rsid w:val="00F9072E"/>
    <w:rsid w:val="00F9074C"/>
    <w:rsid w:val="00F90787"/>
    <w:rsid w:val="00F90793"/>
    <w:rsid w:val="00F907DD"/>
    <w:rsid w:val="00F907DF"/>
    <w:rsid w:val="00F907E6"/>
    <w:rsid w:val="00F90837"/>
    <w:rsid w:val="00F90852"/>
    <w:rsid w:val="00F9085F"/>
    <w:rsid w:val="00F90871"/>
    <w:rsid w:val="00F908AC"/>
    <w:rsid w:val="00F90952"/>
    <w:rsid w:val="00F909D7"/>
    <w:rsid w:val="00F909F3"/>
    <w:rsid w:val="00F90A07"/>
    <w:rsid w:val="00F90A53"/>
    <w:rsid w:val="00F90A60"/>
    <w:rsid w:val="00F90A7A"/>
    <w:rsid w:val="00F90A7D"/>
    <w:rsid w:val="00F90A7F"/>
    <w:rsid w:val="00F90A84"/>
    <w:rsid w:val="00F90AAA"/>
    <w:rsid w:val="00F90ABE"/>
    <w:rsid w:val="00F90AF7"/>
    <w:rsid w:val="00F90B2C"/>
    <w:rsid w:val="00F90BD4"/>
    <w:rsid w:val="00F90C30"/>
    <w:rsid w:val="00F90C4E"/>
    <w:rsid w:val="00F90CAD"/>
    <w:rsid w:val="00F90CC2"/>
    <w:rsid w:val="00F90D3B"/>
    <w:rsid w:val="00F90D57"/>
    <w:rsid w:val="00F90D6C"/>
    <w:rsid w:val="00F90D86"/>
    <w:rsid w:val="00F90DB0"/>
    <w:rsid w:val="00F90DE2"/>
    <w:rsid w:val="00F90E0A"/>
    <w:rsid w:val="00F90E54"/>
    <w:rsid w:val="00F90F27"/>
    <w:rsid w:val="00F90F30"/>
    <w:rsid w:val="00F90F32"/>
    <w:rsid w:val="00F90F4D"/>
    <w:rsid w:val="00F90F70"/>
    <w:rsid w:val="00F90F73"/>
    <w:rsid w:val="00F90F8F"/>
    <w:rsid w:val="00F90F9A"/>
    <w:rsid w:val="00F90FA3"/>
    <w:rsid w:val="00F90FBA"/>
    <w:rsid w:val="00F9106C"/>
    <w:rsid w:val="00F91071"/>
    <w:rsid w:val="00F9107B"/>
    <w:rsid w:val="00F910BA"/>
    <w:rsid w:val="00F910DD"/>
    <w:rsid w:val="00F910EC"/>
    <w:rsid w:val="00F910F6"/>
    <w:rsid w:val="00F91106"/>
    <w:rsid w:val="00F9113F"/>
    <w:rsid w:val="00F91175"/>
    <w:rsid w:val="00F911CF"/>
    <w:rsid w:val="00F912BF"/>
    <w:rsid w:val="00F9132F"/>
    <w:rsid w:val="00F91366"/>
    <w:rsid w:val="00F91416"/>
    <w:rsid w:val="00F9144C"/>
    <w:rsid w:val="00F91458"/>
    <w:rsid w:val="00F914A7"/>
    <w:rsid w:val="00F914B8"/>
    <w:rsid w:val="00F914F2"/>
    <w:rsid w:val="00F914F5"/>
    <w:rsid w:val="00F91534"/>
    <w:rsid w:val="00F9154C"/>
    <w:rsid w:val="00F9157F"/>
    <w:rsid w:val="00F915A4"/>
    <w:rsid w:val="00F91607"/>
    <w:rsid w:val="00F9162B"/>
    <w:rsid w:val="00F916C0"/>
    <w:rsid w:val="00F9170E"/>
    <w:rsid w:val="00F9172B"/>
    <w:rsid w:val="00F91736"/>
    <w:rsid w:val="00F917B1"/>
    <w:rsid w:val="00F917B9"/>
    <w:rsid w:val="00F917D5"/>
    <w:rsid w:val="00F917E7"/>
    <w:rsid w:val="00F91807"/>
    <w:rsid w:val="00F91846"/>
    <w:rsid w:val="00F9184C"/>
    <w:rsid w:val="00F918DD"/>
    <w:rsid w:val="00F91904"/>
    <w:rsid w:val="00F91964"/>
    <w:rsid w:val="00F91978"/>
    <w:rsid w:val="00F91991"/>
    <w:rsid w:val="00F919C5"/>
    <w:rsid w:val="00F919D9"/>
    <w:rsid w:val="00F91A0D"/>
    <w:rsid w:val="00F91A69"/>
    <w:rsid w:val="00F91A83"/>
    <w:rsid w:val="00F91ACE"/>
    <w:rsid w:val="00F91ACF"/>
    <w:rsid w:val="00F91BE9"/>
    <w:rsid w:val="00F91C62"/>
    <w:rsid w:val="00F91C84"/>
    <w:rsid w:val="00F91D24"/>
    <w:rsid w:val="00F91D5E"/>
    <w:rsid w:val="00F91D98"/>
    <w:rsid w:val="00F91DAF"/>
    <w:rsid w:val="00F91DC0"/>
    <w:rsid w:val="00F91E3B"/>
    <w:rsid w:val="00F91E44"/>
    <w:rsid w:val="00F91E48"/>
    <w:rsid w:val="00F91E4A"/>
    <w:rsid w:val="00F91E4D"/>
    <w:rsid w:val="00F91E76"/>
    <w:rsid w:val="00F91EB6"/>
    <w:rsid w:val="00F91ED8"/>
    <w:rsid w:val="00F91F1C"/>
    <w:rsid w:val="00F91F3C"/>
    <w:rsid w:val="00F91F8F"/>
    <w:rsid w:val="00F91FBA"/>
    <w:rsid w:val="00F91FDF"/>
    <w:rsid w:val="00F92023"/>
    <w:rsid w:val="00F920D2"/>
    <w:rsid w:val="00F920F8"/>
    <w:rsid w:val="00F921A1"/>
    <w:rsid w:val="00F921B2"/>
    <w:rsid w:val="00F9221B"/>
    <w:rsid w:val="00F92230"/>
    <w:rsid w:val="00F922AD"/>
    <w:rsid w:val="00F922D9"/>
    <w:rsid w:val="00F923FD"/>
    <w:rsid w:val="00F92418"/>
    <w:rsid w:val="00F92445"/>
    <w:rsid w:val="00F92474"/>
    <w:rsid w:val="00F924CD"/>
    <w:rsid w:val="00F9258C"/>
    <w:rsid w:val="00F92598"/>
    <w:rsid w:val="00F925DC"/>
    <w:rsid w:val="00F92660"/>
    <w:rsid w:val="00F92678"/>
    <w:rsid w:val="00F92686"/>
    <w:rsid w:val="00F926B1"/>
    <w:rsid w:val="00F92701"/>
    <w:rsid w:val="00F92728"/>
    <w:rsid w:val="00F92782"/>
    <w:rsid w:val="00F92835"/>
    <w:rsid w:val="00F9283F"/>
    <w:rsid w:val="00F9285A"/>
    <w:rsid w:val="00F92862"/>
    <w:rsid w:val="00F92892"/>
    <w:rsid w:val="00F928C2"/>
    <w:rsid w:val="00F92945"/>
    <w:rsid w:val="00F9295A"/>
    <w:rsid w:val="00F92966"/>
    <w:rsid w:val="00F92980"/>
    <w:rsid w:val="00F929B8"/>
    <w:rsid w:val="00F929F7"/>
    <w:rsid w:val="00F92A86"/>
    <w:rsid w:val="00F92A9F"/>
    <w:rsid w:val="00F92AE4"/>
    <w:rsid w:val="00F92B68"/>
    <w:rsid w:val="00F92BB0"/>
    <w:rsid w:val="00F92BC6"/>
    <w:rsid w:val="00F92C16"/>
    <w:rsid w:val="00F92C96"/>
    <w:rsid w:val="00F92CBF"/>
    <w:rsid w:val="00F92CC7"/>
    <w:rsid w:val="00F92CE6"/>
    <w:rsid w:val="00F92D91"/>
    <w:rsid w:val="00F92DC4"/>
    <w:rsid w:val="00F92E75"/>
    <w:rsid w:val="00F92E83"/>
    <w:rsid w:val="00F92EE3"/>
    <w:rsid w:val="00F92FB9"/>
    <w:rsid w:val="00F92FEE"/>
    <w:rsid w:val="00F92FFD"/>
    <w:rsid w:val="00F93075"/>
    <w:rsid w:val="00F9307B"/>
    <w:rsid w:val="00F9307F"/>
    <w:rsid w:val="00F930B9"/>
    <w:rsid w:val="00F930BC"/>
    <w:rsid w:val="00F930FB"/>
    <w:rsid w:val="00F93125"/>
    <w:rsid w:val="00F931CA"/>
    <w:rsid w:val="00F931E4"/>
    <w:rsid w:val="00F93245"/>
    <w:rsid w:val="00F93262"/>
    <w:rsid w:val="00F9331D"/>
    <w:rsid w:val="00F9332B"/>
    <w:rsid w:val="00F9333B"/>
    <w:rsid w:val="00F9333E"/>
    <w:rsid w:val="00F9337F"/>
    <w:rsid w:val="00F93387"/>
    <w:rsid w:val="00F9339C"/>
    <w:rsid w:val="00F933B2"/>
    <w:rsid w:val="00F933BC"/>
    <w:rsid w:val="00F933C6"/>
    <w:rsid w:val="00F933F4"/>
    <w:rsid w:val="00F93508"/>
    <w:rsid w:val="00F93512"/>
    <w:rsid w:val="00F93536"/>
    <w:rsid w:val="00F93545"/>
    <w:rsid w:val="00F9354E"/>
    <w:rsid w:val="00F9355A"/>
    <w:rsid w:val="00F9355B"/>
    <w:rsid w:val="00F935A5"/>
    <w:rsid w:val="00F935A8"/>
    <w:rsid w:val="00F935D1"/>
    <w:rsid w:val="00F936D3"/>
    <w:rsid w:val="00F93711"/>
    <w:rsid w:val="00F93717"/>
    <w:rsid w:val="00F93730"/>
    <w:rsid w:val="00F9378E"/>
    <w:rsid w:val="00F937A4"/>
    <w:rsid w:val="00F937FE"/>
    <w:rsid w:val="00F93838"/>
    <w:rsid w:val="00F9383B"/>
    <w:rsid w:val="00F93843"/>
    <w:rsid w:val="00F93897"/>
    <w:rsid w:val="00F938B5"/>
    <w:rsid w:val="00F93976"/>
    <w:rsid w:val="00F939AC"/>
    <w:rsid w:val="00F939DE"/>
    <w:rsid w:val="00F939E8"/>
    <w:rsid w:val="00F93A50"/>
    <w:rsid w:val="00F93A58"/>
    <w:rsid w:val="00F93A73"/>
    <w:rsid w:val="00F93A90"/>
    <w:rsid w:val="00F93B17"/>
    <w:rsid w:val="00F93B27"/>
    <w:rsid w:val="00F93B71"/>
    <w:rsid w:val="00F93BD7"/>
    <w:rsid w:val="00F93BFA"/>
    <w:rsid w:val="00F93C29"/>
    <w:rsid w:val="00F93D18"/>
    <w:rsid w:val="00F93D2A"/>
    <w:rsid w:val="00F93D3A"/>
    <w:rsid w:val="00F93DBF"/>
    <w:rsid w:val="00F93DC2"/>
    <w:rsid w:val="00F93DF4"/>
    <w:rsid w:val="00F93E14"/>
    <w:rsid w:val="00F93E22"/>
    <w:rsid w:val="00F93E2E"/>
    <w:rsid w:val="00F93E3B"/>
    <w:rsid w:val="00F93E91"/>
    <w:rsid w:val="00F93EDF"/>
    <w:rsid w:val="00F93F47"/>
    <w:rsid w:val="00F93F84"/>
    <w:rsid w:val="00F93FAD"/>
    <w:rsid w:val="00F94017"/>
    <w:rsid w:val="00F9409A"/>
    <w:rsid w:val="00F9409B"/>
    <w:rsid w:val="00F940C1"/>
    <w:rsid w:val="00F94105"/>
    <w:rsid w:val="00F94139"/>
    <w:rsid w:val="00F941C7"/>
    <w:rsid w:val="00F9420E"/>
    <w:rsid w:val="00F9423F"/>
    <w:rsid w:val="00F9427B"/>
    <w:rsid w:val="00F94314"/>
    <w:rsid w:val="00F943C0"/>
    <w:rsid w:val="00F94408"/>
    <w:rsid w:val="00F9441F"/>
    <w:rsid w:val="00F94422"/>
    <w:rsid w:val="00F944E1"/>
    <w:rsid w:val="00F9450A"/>
    <w:rsid w:val="00F94518"/>
    <w:rsid w:val="00F9451C"/>
    <w:rsid w:val="00F94535"/>
    <w:rsid w:val="00F9456F"/>
    <w:rsid w:val="00F94624"/>
    <w:rsid w:val="00F94682"/>
    <w:rsid w:val="00F946EA"/>
    <w:rsid w:val="00F94714"/>
    <w:rsid w:val="00F94726"/>
    <w:rsid w:val="00F94786"/>
    <w:rsid w:val="00F947C3"/>
    <w:rsid w:val="00F947FD"/>
    <w:rsid w:val="00F94875"/>
    <w:rsid w:val="00F94878"/>
    <w:rsid w:val="00F948AE"/>
    <w:rsid w:val="00F9491C"/>
    <w:rsid w:val="00F94931"/>
    <w:rsid w:val="00F94957"/>
    <w:rsid w:val="00F949BC"/>
    <w:rsid w:val="00F94A2F"/>
    <w:rsid w:val="00F94A37"/>
    <w:rsid w:val="00F94AB4"/>
    <w:rsid w:val="00F94B67"/>
    <w:rsid w:val="00F94B6C"/>
    <w:rsid w:val="00F94B82"/>
    <w:rsid w:val="00F94BB2"/>
    <w:rsid w:val="00F94C6A"/>
    <w:rsid w:val="00F94CBC"/>
    <w:rsid w:val="00F94CD3"/>
    <w:rsid w:val="00F94D0F"/>
    <w:rsid w:val="00F94D49"/>
    <w:rsid w:val="00F94D4B"/>
    <w:rsid w:val="00F94D6D"/>
    <w:rsid w:val="00F94DA1"/>
    <w:rsid w:val="00F94ECE"/>
    <w:rsid w:val="00F94F34"/>
    <w:rsid w:val="00F94F56"/>
    <w:rsid w:val="00F94F71"/>
    <w:rsid w:val="00F94F8D"/>
    <w:rsid w:val="00F94FC0"/>
    <w:rsid w:val="00F94FF9"/>
    <w:rsid w:val="00F9504E"/>
    <w:rsid w:val="00F9505E"/>
    <w:rsid w:val="00F95065"/>
    <w:rsid w:val="00F950AE"/>
    <w:rsid w:val="00F950C6"/>
    <w:rsid w:val="00F95121"/>
    <w:rsid w:val="00F95160"/>
    <w:rsid w:val="00F95163"/>
    <w:rsid w:val="00F9519B"/>
    <w:rsid w:val="00F951BB"/>
    <w:rsid w:val="00F951E3"/>
    <w:rsid w:val="00F951FC"/>
    <w:rsid w:val="00F95273"/>
    <w:rsid w:val="00F95284"/>
    <w:rsid w:val="00F9531A"/>
    <w:rsid w:val="00F95395"/>
    <w:rsid w:val="00F953A0"/>
    <w:rsid w:val="00F953CB"/>
    <w:rsid w:val="00F953CD"/>
    <w:rsid w:val="00F953D9"/>
    <w:rsid w:val="00F953F7"/>
    <w:rsid w:val="00F95442"/>
    <w:rsid w:val="00F95451"/>
    <w:rsid w:val="00F9546E"/>
    <w:rsid w:val="00F95478"/>
    <w:rsid w:val="00F954FE"/>
    <w:rsid w:val="00F95564"/>
    <w:rsid w:val="00F955DB"/>
    <w:rsid w:val="00F95689"/>
    <w:rsid w:val="00F95697"/>
    <w:rsid w:val="00F956C5"/>
    <w:rsid w:val="00F956F5"/>
    <w:rsid w:val="00F9572A"/>
    <w:rsid w:val="00F95742"/>
    <w:rsid w:val="00F95758"/>
    <w:rsid w:val="00F95790"/>
    <w:rsid w:val="00F957A5"/>
    <w:rsid w:val="00F957CA"/>
    <w:rsid w:val="00F9580D"/>
    <w:rsid w:val="00F95815"/>
    <w:rsid w:val="00F9586F"/>
    <w:rsid w:val="00F95908"/>
    <w:rsid w:val="00F95968"/>
    <w:rsid w:val="00F959B5"/>
    <w:rsid w:val="00F95A15"/>
    <w:rsid w:val="00F95A96"/>
    <w:rsid w:val="00F95AEA"/>
    <w:rsid w:val="00F95B7D"/>
    <w:rsid w:val="00F95C3F"/>
    <w:rsid w:val="00F95C50"/>
    <w:rsid w:val="00F95C77"/>
    <w:rsid w:val="00F95C8F"/>
    <w:rsid w:val="00F95C9F"/>
    <w:rsid w:val="00F95CA7"/>
    <w:rsid w:val="00F95CD4"/>
    <w:rsid w:val="00F95D46"/>
    <w:rsid w:val="00F95DDB"/>
    <w:rsid w:val="00F95E11"/>
    <w:rsid w:val="00F95E3F"/>
    <w:rsid w:val="00F95E7E"/>
    <w:rsid w:val="00F95E98"/>
    <w:rsid w:val="00F95E9E"/>
    <w:rsid w:val="00F95EBE"/>
    <w:rsid w:val="00F9600B"/>
    <w:rsid w:val="00F96029"/>
    <w:rsid w:val="00F9608C"/>
    <w:rsid w:val="00F96096"/>
    <w:rsid w:val="00F96174"/>
    <w:rsid w:val="00F961A0"/>
    <w:rsid w:val="00F961C4"/>
    <w:rsid w:val="00F961DE"/>
    <w:rsid w:val="00F96215"/>
    <w:rsid w:val="00F9621B"/>
    <w:rsid w:val="00F962B1"/>
    <w:rsid w:val="00F962BC"/>
    <w:rsid w:val="00F962CC"/>
    <w:rsid w:val="00F962DE"/>
    <w:rsid w:val="00F9638E"/>
    <w:rsid w:val="00F96431"/>
    <w:rsid w:val="00F964A5"/>
    <w:rsid w:val="00F964CB"/>
    <w:rsid w:val="00F96505"/>
    <w:rsid w:val="00F9650F"/>
    <w:rsid w:val="00F96538"/>
    <w:rsid w:val="00F9653B"/>
    <w:rsid w:val="00F965AD"/>
    <w:rsid w:val="00F965B2"/>
    <w:rsid w:val="00F96634"/>
    <w:rsid w:val="00F96676"/>
    <w:rsid w:val="00F96678"/>
    <w:rsid w:val="00F966A6"/>
    <w:rsid w:val="00F966ED"/>
    <w:rsid w:val="00F9670F"/>
    <w:rsid w:val="00F967A4"/>
    <w:rsid w:val="00F967C5"/>
    <w:rsid w:val="00F967FC"/>
    <w:rsid w:val="00F96844"/>
    <w:rsid w:val="00F96845"/>
    <w:rsid w:val="00F9684D"/>
    <w:rsid w:val="00F96854"/>
    <w:rsid w:val="00F9689F"/>
    <w:rsid w:val="00F968D9"/>
    <w:rsid w:val="00F968E1"/>
    <w:rsid w:val="00F968E7"/>
    <w:rsid w:val="00F96985"/>
    <w:rsid w:val="00F969DD"/>
    <w:rsid w:val="00F969F2"/>
    <w:rsid w:val="00F969F7"/>
    <w:rsid w:val="00F96A37"/>
    <w:rsid w:val="00F96A54"/>
    <w:rsid w:val="00F96A8B"/>
    <w:rsid w:val="00F96AB0"/>
    <w:rsid w:val="00F96AC1"/>
    <w:rsid w:val="00F96AD6"/>
    <w:rsid w:val="00F96AF3"/>
    <w:rsid w:val="00F96B11"/>
    <w:rsid w:val="00F96B17"/>
    <w:rsid w:val="00F96B29"/>
    <w:rsid w:val="00F96B81"/>
    <w:rsid w:val="00F96BB5"/>
    <w:rsid w:val="00F96BC3"/>
    <w:rsid w:val="00F96BDB"/>
    <w:rsid w:val="00F96BFD"/>
    <w:rsid w:val="00F96BFE"/>
    <w:rsid w:val="00F96C0E"/>
    <w:rsid w:val="00F96C14"/>
    <w:rsid w:val="00F96C18"/>
    <w:rsid w:val="00F96C33"/>
    <w:rsid w:val="00F96C4A"/>
    <w:rsid w:val="00F96C6E"/>
    <w:rsid w:val="00F96C71"/>
    <w:rsid w:val="00F96C85"/>
    <w:rsid w:val="00F96C9D"/>
    <w:rsid w:val="00F96CE6"/>
    <w:rsid w:val="00F96D0D"/>
    <w:rsid w:val="00F96D78"/>
    <w:rsid w:val="00F96D7C"/>
    <w:rsid w:val="00F96D9C"/>
    <w:rsid w:val="00F96DDF"/>
    <w:rsid w:val="00F96E1B"/>
    <w:rsid w:val="00F96E84"/>
    <w:rsid w:val="00F96F68"/>
    <w:rsid w:val="00F96F9E"/>
    <w:rsid w:val="00F96FB4"/>
    <w:rsid w:val="00F97095"/>
    <w:rsid w:val="00F9710F"/>
    <w:rsid w:val="00F9713A"/>
    <w:rsid w:val="00F97147"/>
    <w:rsid w:val="00F971AE"/>
    <w:rsid w:val="00F97212"/>
    <w:rsid w:val="00F97233"/>
    <w:rsid w:val="00F972AD"/>
    <w:rsid w:val="00F972E4"/>
    <w:rsid w:val="00F97358"/>
    <w:rsid w:val="00F973BF"/>
    <w:rsid w:val="00F9747B"/>
    <w:rsid w:val="00F97499"/>
    <w:rsid w:val="00F974FD"/>
    <w:rsid w:val="00F9759D"/>
    <w:rsid w:val="00F975BA"/>
    <w:rsid w:val="00F97614"/>
    <w:rsid w:val="00F97625"/>
    <w:rsid w:val="00F976FB"/>
    <w:rsid w:val="00F97728"/>
    <w:rsid w:val="00F97740"/>
    <w:rsid w:val="00F97751"/>
    <w:rsid w:val="00F9777D"/>
    <w:rsid w:val="00F977AC"/>
    <w:rsid w:val="00F977F1"/>
    <w:rsid w:val="00F9783B"/>
    <w:rsid w:val="00F9783E"/>
    <w:rsid w:val="00F97854"/>
    <w:rsid w:val="00F97856"/>
    <w:rsid w:val="00F978F4"/>
    <w:rsid w:val="00F978FE"/>
    <w:rsid w:val="00F97948"/>
    <w:rsid w:val="00F97977"/>
    <w:rsid w:val="00F97997"/>
    <w:rsid w:val="00F979BC"/>
    <w:rsid w:val="00F979F3"/>
    <w:rsid w:val="00F97A0B"/>
    <w:rsid w:val="00F97A64"/>
    <w:rsid w:val="00F97A67"/>
    <w:rsid w:val="00F97B59"/>
    <w:rsid w:val="00F97B6A"/>
    <w:rsid w:val="00F97B71"/>
    <w:rsid w:val="00F97B74"/>
    <w:rsid w:val="00F97B79"/>
    <w:rsid w:val="00F97BF4"/>
    <w:rsid w:val="00F97C0C"/>
    <w:rsid w:val="00F97C1F"/>
    <w:rsid w:val="00F97C4F"/>
    <w:rsid w:val="00F97C56"/>
    <w:rsid w:val="00F97C57"/>
    <w:rsid w:val="00F97C9A"/>
    <w:rsid w:val="00F97CA2"/>
    <w:rsid w:val="00F97CC5"/>
    <w:rsid w:val="00F97CEE"/>
    <w:rsid w:val="00F97D45"/>
    <w:rsid w:val="00F97D4C"/>
    <w:rsid w:val="00F97D98"/>
    <w:rsid w:val="00F97E16"/>
    <w:rsid w:val="00F97E53"/>
    <w:rsid w:val="00F97E60"/>
    <w:rsid w:val="00F97E69"/>
    <w:rsid w:val="00F97E83"/>
    <w:rsid w:val="00F97EAD"/>
    <w:rsid w:val="00F97EE7"/>
    <w:rsid w:val="00F97F08"/>
    <w:rsid w:val="00F97F50"/>
    <w:rsid w:val="00F97F68"/>
    <w:rsid w:val="00F97F6A"/>
    <w:rsid w:val="00F97F7F"/>
    <w:rsid w:val="00F97F91"/>
    <w:rsid w:val="00F97FD5"/>
    <w:rsid w:val="00F97FE3"/>
    <w:rsid w:val="00FA009C"/>
    <w:rsid w:val="00FA00AB"/>
    <w:rsid w:val="00FA00F5"/>
    <w:rsid w:val="00FA00FB"/>
    <w:rsid w:val="00FA0172"/>
    <w:rsid w:val="00FA020B"/>
    <w:rsid w:val="00FA021E"/>
    <w:rsid w:val="00FA0257"/>
    <w:rsid w:val="00FA0285"/>
    <w:rsid w:val="00FA028E"/>
    <w:rsid w:val="00FA029F"/>
    <w:rsid w:val="00FA02A4"/>
    <w:rsid w:val="00FA02BD"/>
    <w:rsid w:val="00FA03A2"/>
    <w:rsid w:val="00FA03CE"/>
    <w:rsid w:val="00FA03D2"/>
    <w:rsid w:val="00FA0422"/>
    <w:rsid w:val="00FA0480"/>
    <w:rsid w:val="00FA04C4"/>
    <w:rsid w:val="00FA04E7"/>
    <w:rsid w:val="00FA04F7"/>
    <w:rsid w:val="00FA0529"/>
    <w:rsid w:val="00FA0544"/>
    <w:rsid w:val="00FA055E"/>
    <w:rsid w:val="00FA0597"/>
    <w:rsid w:val="00FA05FA"/>
    <w:rsid w:val="00FA0615"/>
    <w:rsid w:val="00FA061D"/>
    <w:rsid w:val="00FA061E"/>
    <w:rsid w:val="00FA065D"/>
    <w:rsid w:val="00FA06E1"/>
    <w:rsid w:val="00FA06F2"/>
    <w:rsid w:val="00FA07CB"/>
    <w:rsid w:val="00FA07CC"/>
    <w:rsid w:val="00FA08DE"/>
    <w:rsid w:val="00FA08EA"/>
    <w:rsid w:val="00FA092A"/>
    <w:rsid w:val="00FA095D"/>
    <w:rsid w:val="00FA09AD"/>
    <w:rsid w:val="00FA0A0A"/>
    <w:rsid w:val="00FA0A11"/>
    <w:rsid w:val="00FA0A47"/>
    <w:rsid w:val="00FA0A49"/>
    <w:rsid w:val="00FA0A55"/>
    <w:rsid w:val="00FA0B12"/>
    <w:rsid w:val="00FA0BD2"/>
    <w:rsid w:val="00FA0C50"/>
    <w:rsid w:val="00FA0C6F"/>
    <w:rsid w:val="00FA0D0A"/>
    <w:rsid w:val="00FA0D24"/>
    <w:rsid w:val="00FA0D48"/>
    <w:rsid w:val="00FA0DB8"/>
    <w:rsid w:val="00FA0E4F"/>
    <w:rsid w:val="00FA0EAA"/>
    <w:rsid w:val="00FA0EB6"/>
    <w:rsid w:val="00FA0F0D"/>
    <w:rsid w:val="00FA0F6A"/>
    <w:rsid w:val="00FA0F87"/>
    <w:rsid w:val="00FA1053"/>
    <w:rsid w:val="00FA1092"/>
    <w:rsid w:val="00FA10A0"/>
    <w:rsid w:val="00FA10DB"/>
    <w:rsid w:val="00FA10E3"/>
    <w:rsid w:val="00FA10FB"/>
    <w:rsid w:val="00FA1110"/>
    <w:rsid w:val="00FA112B"/>
    <w:rsid w:val="00FA118B"/>
    <w:rsid w:val="00FA11B2"/>
    <w:rsid w:val="00FA1217"/>
    <w:rsid w:val="00FA1344"/>
    <w:rsid w:val="00FA1380"/>
    <w:rsid w:val="00FA13D0"/>
    <w:rsid w:val="00FA13DE"/>
    <w:rsid w:val="00FA1417"/>
    <w:rsid w:val="00FA1437"/>
    <w:rsid w:val="00FA14B5"/>
    <w:rsid w:val="00FA151A"/>
    <w:rsid w:val="00FA153B"/>
    <w:rsid w:val="00FA1582"/>
    <w:rsid w:val="00FA15E9"/>
    <w:rsid w:val="00FA1658"/>
    <w:rsid w:val="00FA1713"/>
    <w:rsid w:val="00FA1723"/>
    <w:rsid w:val="00FA172E"/>
    <w:rsid w:val="00FA1740"/>
    <w:rsid w:val="00FA1758"/>
    <w:rsid w:val="00FA17AD"/>
    <w:rsid w:val="00FA17D9"/>
    <w:rsid w:val="00FA1812"/>
    <w:rsid w:val="00FA1832"/>
    <w:rsid w:val="00FA1852"/>
    <w:rsid w:val="00FA18AD"/>
    <w:rsid w:val="00FA18E4"/>
    <w:rsid w:val="00FA18F8"/>
    <w:rsid w:val="00FA19FA"/>
    <w:rsid w:val="00FA1A20"/>
    <w:rsid w:val="00FA1A2F"/>
    <w:rsid w:val="00FA1A45"/>
    <w:rsid w:val="00FA1A65"/>
    <w:rsid w:val="00FA1AAF"/>
    <w:rsid w:val="00FA1ACA"/>
    <w:rsid w:val="00FA1B1F"/>
    <w:rsid w:val="00FA1B8C"/>
    <w:rsid w:val="00FA1C23"/>
    <w:rsid w:val="00FA1C77"/>
    <w:rsid w:val="00FA1C79"/>
    <w:rsid w:val="00FA1DB7"/>
    <w:rsid w:val="00FA1E1F"/>
    <w:rsid w:val="00FA1ECE"/>
    <w:rsid w:val="00FA1F23"/>
    <w:rsid w:val="00FA1F2D"/>
    <w:rsid w:val="00FA1FE7"/>
    <w:rsid w:val="00FA208A"/>
    <w:rsid w:val="00FA20CE"/>
    <w:rsid w:val="00FA210A"/>
    <w:rsid w:val="00FA2165"/>
    <w:rsid w:val="00FA21CF"/>
    <w:rsid w:val="00FA21F0"/>
    <w:rsid w:val="00FA2258"/>
    <w:rsid w:val="00FA22AB"/>
    <w:rsid w:val="00FA22C6"/>
    <w:rsid w:val="00FA2304"/>
    <w:rsid w:val="00FA2351"/>
    <w:rsid w:val="00FA23EE"/>
    <w:rsid w:val="00FA2455"/>
    <w:rsid w:val="00FA2479"/>
    <w:rsid w:val="00FA24CB"/>
    <w:rsid w:val="00FA25B5"/>
    <w:rsid w:val="00FA25C0"/>
    <w:rsid w:val="00FA2634"/>
    <w:rsid w:val="00FA2670"/>
    <w:rsid w:val="00FA2674"/>
    <w:rsid w:val="00FA26B9"/>
    <w:rsid w:val="00FA26E3"/>
    <w:rsid w:val="00FA26F6"/>
    <w:rsid w:val="00FA2718"/>
    <w:rsid w:val="00FA2727"/>
    <w:rsid w:val="00FA272D"/>
    <w:rsid w:val="00FA278B"/>
    <w:rsid w:val="00FA2817"/>
    <w:rsid w:val="00FA2851"/>
    <w:rsid w:val="00FA286C"/>
    <w:rsid w:val="00FA2891"/>
    <w:rsid w:val="00FA28A0"/>
    <w:rsid w:val="00FA28C4"/>
    <w:rsid w:val="00FA28E4"/>
    <w:rsid w:val="00FA2954"/>
    <w:rsid w:val="00FA2958"/>
    <w:rsid w:val="00FA2965"/>
    <w:rsid w:val="00FA296C"/>
    <w:rsid w:val="00FA299E"/>
    <w:rsid w:val="00FA2A0B"/>
    <w:rsid w:val="00FA2A7B"/>
    <w:rsid w:val="00FA2A88"/>
    <w:rsid w:val="00FA2AEA"/>
    <w:rsid w:val="00FA2B36"/>
    <w:rsid w:val="00FA2BA7"/>
    <w:rsid w:val="00FA2CFD"/>
    <w:rsid w:val="00FA2D0D"/>
    <w:rsid w:val="00FA2D1B"/>
    <w:rsid w:val="00FA2D62"/>
    <w:rsid w:val="00FA2DDF"/>
    <w:rsid w:val="00FA2E4C"/>
    <w:rsid w:val="00FA2EAD"/>
    <w:rsid w:val="00FA2F19"/>
    <w:rsid w:val="00FA2FA4"/>
    <w:rsid w:val="00FA2FC8"/>
    <w:rsid w:val="00FA3000"/>
    <w:rsid w:val="00FA3026"/>
    <w:rsid w:val="00FA3079"/>
    <w:rsid w:val="00FA3083"/>
    <w:rsid w:val="00FA30BF"/>
    <w:rsid w:val="00FA30EB"/>
    <w:rsid w:val="00FA3198"/>
    <w:rsid w:val="00FA31B1"/>
    <w:rsid w:val="00FA31D1"/>
    <w:rsid w:val="00FA3201"/>
    <w:rsid w:val="00FA3211"/>
    <w:rsid w:val="00FA3216"/>
    <w:rsid w:val="00FA3234"/>
    <w:rsid w:val="00FA32C2"/>
    <w:rsid w:val="00FA32D5"/>
    <w:rsid w:val="00FA32E4"/>
    <w:rsid w:val="00FA3309"/>
    <w:rsid w:val="00FA333B"/>
    <w:rsid w:val="00FA3367"/>
    <w:rsid w:val="00FA33B1"/>
    <w:rsid w:val="00FA33C8"/>
    <w:rsid w:val="00FA33EC"/>
    <w:rsid w:val="00FA3400"/>
    <w:rsid w:val="00FA340C"/>
    <w:rsid w:val="00FA3425"/>
    <w:rsid w:val="00FA3475"/>
    <w:rsid w:val="00FA3478"/>
    <w:rsid w:val="00FA34B8"/>
    <w:rsid w:val="00FA3501"/>
    <w:rsid w:val="00FA3538"/>
    <w:rsid w:val="00FA354A"/>
    <w:rsid w:val="00FA35CA"/>
    <w:rsid w:val="00FA3675"/>
    <w:rsid w:val="00FA370F"/>
    <w:rsid w:val="00FA3772"/>
    <w:rsid w:val="00FA3774"/>
    <w:rsid w:val="00FA3795"/>
    <w:rsid w:val="00FA37D8"/>
    <w:rsid w:val="00FA387E"/>
    <w:rsid w:val="00FA38CA"/>
    <w:rsid w:val="00FA38ED"/>
    <w:rsid w:val="00FA39D8"/>
    <w:rsid w:val="00FA3A80"/>
    <w:rsid w:val="00FA3A9E"/>
    <w:rsid w:val="00FA3AFF"/>
    <w:rsid w:val="00FA3B78"/>
    <w:rsid w:val="00FA3B82"/>
    <w:rsid w:val="00FA3B92"/>
    <w:rsid w:val="00FA3C1F"/>
    <w:rsid w:val="00FA3C3D"/>
    <w:rsid w:val="00FA3CBC"/>
    <w:rsid w:val="00FA3CEB"/>
    <w:rsid w:val="00FA3CF6"/>
    <w:rsid w:val="00FA3D46"/>
    <w:rsid w:val="00FA3D66"/>
    <w:rsid w:val="00FA3E0B"/>
    <w:rsid w:val="00FA3E3C"/>
    <w:rsid w:val="00FA3E49"/>
    <w:rsid w:val="00FA3E62"/>
    <w:rsid w:val="00FA3E81"/>
    <w:rsid w:val="00FA3E98"/>
    <w:rsid w:val="00FA3F21"/>
    <w:rsid w:val="00FA3FAD"/>
    <w:rsid w:val="00FA3FED"/>
    <w:rsid w:val="00FA4052"/>
    <w:rsid w:val="00FA4148"/>
    <w:rsid w:val="00FA4189"/>
    <w:rsid w:val="00FA41FE"/>
    <w:rsid w:val="00FA4237"/>
    <w:rsid w:val="00FA4272"/>
    <w:rsid w:val="00FA4296"/>
    <w:rsid w:val="00FA42BE"/>
    <w:rsid w:val="00FA42C6"/>
    <w:rsid w:val="00FA42E8"/>
    <w:rsid w:val="00FA4345"/>
    <w:rsid w:val="00FA43C2"/>
    <w:rsid w:val="00FA43CE"/>
    <w:rsid w:val="00FA43D4"/>
    <w:rsid w:val="00FA4424"/>
    <w:rsid w:val="00FA4449"/>
    <w:rsid w:val="00FA44EB"/>
    <w:rsid w:val="00FA4563"/>
    <w:rsid w:val="00FA456E"/>
    <w:rsid w:val="00FA4577"/>
    <w:rsid w:val="00FA4590"/>
    <w:rsid w:val="00FA45E7"/>
    <w:rsid w:val="00FA4618"/>
    <w:rsid w:val="00FA461D"/>
    <w:rsid w:val="00FA46CB"/>
    <w:rsid w:val="00FA46DF"/>
    <w:rsid w:val="00FA474D"/>
    <w:rsid w:val="00FA474E"/>
    <w:rsid w:val="00FA4773"/>
    <w:rsid w:val="00FA478A"/>
    <w:rsid w:val="00FA47B8"/>
    <w:rsid w:val="00FA4800"/>
    <w:rsid w:val="00FA4834"/>
    <w:rsid w:val="00FA4861"/>
    <w:rsid w:val="00FA48DF"/>
    <w:rsid w:val="00FA48FF"/>
    <w:rsid w:val="00FA4930"/>
    <w:rsid w:val="00FA494A"/>
    <w:rsid w:val="00FA497B"/>
    <w:rsid w:val="00FA4A60"/>
    <w:rsid w:val="00FA4A94"/>
    <w:rsid w:val="00FA4AF7"/>
    <w:rsid w:val="00FA4AFA"/>
    <w:rsid w:val="00FA4B7F"/>
    <w:rsid w:val="00FA4C99"/>
    <w:rsid w:val="00FA4CE0"/>
    <w:rsid w:val="00FA4D4B"/>
    <w:rsid w:val="00FA4D4C"/>
    <w:rsid w:val="00FA4D50"/>
    <w:rsid w:val="00FA4D97"/>
    <w:rsid w:val="00FA4DAC"/>
    <w:rsid w:val="00FA4DB2"/>
    <w:rsid w:val="00FA4E08"/>
    <w:rsid w:val="00FA4E49"/>
    <w:rsid w:val="00FA4E7C"/>
    <w:rsid w:val="00FA4EA4"/>
    <w:rsid w:val="00FA4EA9"/>
    <w:rsid w:val="00FA4ECC"/>
    <w:rsid w:val="00FA4F80"/>
    <w:rsid w:val="00FA4FA0"/>
    <w:rsid w:val="00FA4FAB"/>
    <w:rsid w:val="00FA500A"/>
    <w:rsid w:val="00FA5044"/>
    <w:rsid w:val="00FA5090"/>
    <w:rsid w:val="00FA50B5"/>
    <w:rsid w:val="00FA5158"/>
    <w:rsid w:val="00FA51E1"/>
    <w:rsid w:val="00FA51F4"/>
    <w:rsid w:val="00FA5201"/>
    <w:rsid w:val="00FA5204"/>
    <w:rsid w:val="00FA53BC"/>
    <w:rsid w:val="00FA53DC"/>
    <w:rsid w:val="00FA53E8"/>
    <w:rsid w:val="00FA53EB"/>
    <w:rsid w:val="00FA53F9"/>
    <w:rsid w:val="00FA53FF"/>
    <w:rsid w:val="00FA5400"/>
    <w:rsid w:val="00FA54D2"/>
    <w:rsid w:val="00FA54D3"/>
    <w:rsid w:val="00FA5513"/>
    <w:rsid w:val="00FA552B"/>
    <w:rsid w:val="00FA5549"/>
    <w:rsid w:val="00FA5594"/>
    <w:rsid w:val="00FA55E9"/>
    <w:rsid w:val="00FA55ED"/>
    <w:rsid w:val="00FA5608"/>
    <w:rsid w:val="00FA5642"/>
    <w:rsid w:val="00FA5650"/>
    <w:rsid w:val="00FA5653"/>
    <w:rsid w:val="00FA5704"/>
    <w:rsid w:val="00FA570F"/>
    <w:rsid w:val="00FA5737"/>
    <w:rsid w:val="00FA574D"/>
    <w:rsid w:val="00FA5761"/>
    <w:rsid w:val="00FA5770"/>
    <w:rsid w:val="00FA5777"/>
    <w:rsid w:val="00FA57E2"/>
    <w:rsid w:val="00FA5809"/>
    <w:rsid w:val="00FA58A7"/>
    <w:rsid w:val="00FA58A9"/>
    <w:rsid w:val="00FA58EE"/>
    <w:rsid w:val="00FA595F"/>
    <w:rsid w:val="00FA59B0"/>
    <w:rsid w:val="00FA5A36"/>
    <w:rsid w:val="00FA5A38"/>
    <w:rsid w:val="00FA5A76"/>
    <w:rsid w:val="00FA5AAC"/>
    <w:rsid w:val="00FA5AD3"/>
    <w:rsid w:val="00FA5AF6"/>
    <w:rsid w:val="00FA5AFB"/>
    <w:rsid w:val="00FA5B83"/>
    <w:rsid w:val="00FA5BAC"/>
    <w:rsid w:val="00FA5C1C"/>
    <w:rsid w:val="00FA5CD5"/>
    <w:rsid w:val="00FA5D00"/>
    <w:rsid w:val="00FA5D42"/>
    <w:rsid w:val="00FA5D77"/>
    <w:rsid w:val="00FA5DF4"/>
    <w:rsid w:val="00FA5DF6"/>
    <w:rsid w:val="00FA5E16"/>
    <w:rsid w:val="00FA5E1F"/>
    <w:rsid w:val="00FA5E9D"/>
    <w:rsid w:val="00FA5F5B"/>
    <w:rsid w:val="00FA5F75"/>
    <w:rsid w:val="00FA5F91"/>
    <w:rsid w:val="00FA5FD4"/>
    <w:rsid w:val="00FA5FE0"/>
    <w:rsid w:val="00FA6021"/>
    <w:rsid w:val="00FA602D"/>
    <w:rsid w:val="00FA6070"/>
    <w:rsid w:val="00FA609F"/>
    <w:rsid w:val="00FA60A2"/>
    <w:rsid w:val="00FA6189"/>
    <w:rsid w:val="00FA61D9"/>
    <w:rsid w:val="00FA61DF"/>
    <w:rsid w:val="00FA61FC"/>
    <w:rsid w:val="00FA6225"/>
    <w:rsid w:val="00FA628B"/>
    <w:rsid w:val="00FA62C0"/>
    <w:rsid w:val="00FA62C9"/>
    <w:rsid w:val="00FA630F"/>
    <w:rsid w:val="00FA632E"/>
    <w:rsid w:val="00FA6339"/>
    <w:rsid w:val="00FA6362"/>
    <w:rsid w:val="00FA63A0"/>
    <w:rsid w:val="00FA63BE"/>
    <w:rsid w:val="00FA63DA"/>
    <w:rsid w:val="00FA63E0"/>
    <w:rsid w:val="00FA6418"/>
    <w:rsid w:val="00FA6455"/>
    <w:rsid w:val="00FA6514"/>
    <w:rsid w:val="00FA6524"/>
    <w:rsid w:val="00FA658A"/>
    <w:rsid w:val="00FA65A9"/>
    <w:rsid w:val="00FA65CE"/>
    <w:rsid w:val="00FA6634"/>
    <w:rsid w:val="00FA665A"/>
    <w:rsid w:val="00FA665E"/>
    <w:rsid w:val="00FA665F"/>
    <w:rsid w:val="00FA6692"/>
    <w:rsid w:val="00FA6697"/>
    <w:rsid w:val="00FA66A0"/>
    <w:rsid w:val="00FA66DF"/>
    <w:rsid w:val="00FA66EB"/>
    <w:rsid w:val="00FA6777"/>
    <w:rsid w:val="00FA678E"/>
    <w:rsid w:val="00FA67D8"/>
    <w:rsid w:val="00FA67E8"/>
    <w:rsid w:val="00FA6847"/>
    <w:rsid w:val="00FA6849"/>
    <w:rsid w:val="00FA68A8"/>
    <w:rsid w:val="00FA68BD"/>
    <w:rsid w:val="00FA68F2"/>
    <w:rsid w:val="00FA6901"/>
    <w:rsid w:val="00FA691E"/>
    <w:rsid w:val="00FA6963"/>
    <w:rsid w:val="00FA6A3E"/>
    <w:rsid w:val="00FA6AA1"/>
    <w:rsid w:val="00FA6B9F"/>
    <w:rsid w:val="00FA6BBC"/>
    <w:rsid w:val="00FA6BE5"/>
    <w:rsid w:val="00FA6BE6"/>
    <w:rsid w:val="00FA6C4C"/>
    <w:rsid w:val="00FA6D5E"/>
    <w:rsid w:val="00FA6D91"/>
    <w:rsid w:val="00FA6E15"/>
    <w:rsid w:val="00FA6E3D"/>
    <w:rsid w:val="00FA6E43"/>
    <w:rsid w:val="00FA6E46"/>
    <w:rsid w:val="00FA6EEF"/>
    <w:rsid w:val="00FA6F26"/>
    <w:rsid w:val="00FA6F8B"/>
    <w:rsid w:val="00FA6F92"/>
    <w:rsid w:val="00FA6FDB"/>
    <w:rsid w:val="00FA707D"/>
    <w:rsid w:val="00FA7131"/>
    <w:rsid w:val="00FA7153"/>
    <w:rsid w:val="00FA71B3"/>
    <w:rsid w:val="00FA71F7"/>
    <w:rsid w:val="00FA726B"/>
    <w:rsid w:val="00FA73A5"/>
    <w:rsid w:val="00FA742B"/>
    <w:rsid w:val="00FA74E1"/>
    <w:rsid w:val="00FA7526"/>
    <w:rsid w:val="00FA7531"/>
    <w:rsid w:val="00FA7533"/>
    <w:rsid w:val="00FA753D"/>
    <w:rsid w:val="00FA75D5"/>
    <w:rsid w:val="00FA75F6"/>
    <w:rsid w:val="00FA7652"/>
    <w:rsid w:val="00FA76C4"/>
    <w:rsid w:val="00FA76CA"/>
    <w:rsid w:val="00FA76D2"/>
    <w:rsid w:val="00FA7716"/>
    <w:rsid w:val="00FA7770"/>
    <w:rsid w:val="00FA7788"/>
    <w:rsid w:val="00FA778B"/>
    <w:rsid w:val="00FA778E"/>
    <w:rsid w:val="00FA7794"/>
    <w:rsid w:val="00FA77AC"/>
    <w:rsid w:val="00FA7865"/>
    <w:rsid w:val="00FA790B"/>
    <w:rsid w:val="00FA795E"/>
    <w:rsid w:val="00FA796A"/>
    <w:rsid w:val="00FA79B4"/>
    <w:rsid w:val="00FA79E7"/>
    <w:rsid w:val="00FA79F6"/>
    <w:rsid w:val="00FA7A06"/>
    <w:rsid w:val="00FA7A7E"/>
    <w:rsid w:val="00FA7AC5"/>
    <w:rsid w:val="00FA7AFA"/>
    <w:rsid w:val="00FA7B1E"/>
    <w:rsid w:val="00FA7B5A"/>
    <w:rsid w:val="00FA7B6D"/>
    <w:rsid w:val="00FA7BFB"/>
    <w:rsid w:val="00FA7C04"/>
    <w:rsid w:val="00FA7C96"/>
    <w:rsid w:val="00FA7CD7"/>
    <w:rsid w:val="00FA7CDC"/>
    <w:rsid w:val="00FA7CFB"/>
    <w:rsid w:val="00FA7E1F"/>
    <w:rsid w:val="00FA7E65"/>
    <w:rsid w:val="00FA7E74"/>
    <w:rsid w:val="00FA7ED4"/>
    <w:rsid w:val="00FA7EF8"/>
    <w:rsid w:val="00FA7F10"/>
    <w:rsid w:val="00FA7F52"/>
    <w:rsid w:val="00FA7F5F"/>
    <w:rsid w:val="00FA7F62"/>
    <w:rsid w:val="00FA7F66"/>
    <w:rsid w:val="00FA7F73"/>
    <w:rsid w:val="00FA7F95"/>
    <w:rsid w:val="00FA7F9A"/>
    <w:rsid w:val="00FA7FAD"/>
    <w:rsid w:val="00FA7FB5"/>
    <w:rsid w:val="00FA7FE8"/>
    <w:rsid w:val="00FA816F"/>
    <w:rsid w:val="00FB00C5"/>
    <w:rsid w:val="00FB0113"/>
    <w:rsid w:val="00FB0140"/>
    <w:rsid w:val="00FB015A"/>
    <w:rsid w:val="00FB0160"/>
    <w:rsid w:val="00FB0164"/>
    <w:rsid w:val="00FB0185"/>
    <w:rsid w:val="00FB019D"/>
    <w:rsid w:val="00FB01F6"/>
    <w:rsid w:val="00FB0237"/>
    <w:rsid w:val="00FB0248"/>
    <w:rsid w:val="00FB0249"/>
    <w:rsid w:val="00FB02AD"/>
    <w:rsid w:val="00FB02B8"/>
    <w:rsid w:val="00FB0309"/>
    <w:rsid w:val="00FB03B7"/>
    <w:rsid w:val="00FB03B8"/>
    <w:rsid w:val="00FB03CF"/>
    <w:rsid w:val="00FB04BE"/>
    <w:rsid w:val="00FB0556"/>
    <w:rsid w:val="00FB0568"/>
    <w:rsid w:val="00FB05B7"/>
    <w:rsid w:val="00FB05D3"/>
    <w:rsid w:val="00FB05DE"/>
    <w:rsid w:val="00FB0603"/>
    <w:rsid w:val="00FB0633"/>
    <w:rsid w:val="00FB06F5"/>
    <w:rsid w:val="00FB0704"/>
    <w:rsid w:val="00FB0744"/>
    <w:rsid w:val="00FB07D7"/>
    <w:rsid w:val="00FB07F0"/>
    <w:rsid w:val="00FB07F5"/>
    <w:rsid w:val="00FB085D"/>
    <w:rsid w:val="00FB086A"/>
    <w:rsid w:val="00FB088C"/>
    <w:rsid w:val="00FB08C0"/>
    <w:rsid w:val="00FB08EF"/>
    <w:rsid w:val="00FB0904"/>
    <w:rsid w:val="00FB0964"/>
    <w:rsid w:val="00FB0982"/>
    <w:rsid w:val="00FB09C2"/>
    <w:rsid w:val="00FB09E5"/>
    <w:rsid w:val="00FB0A16"/>
    <w:rsid w:val="00FB0A72"/>
    <w:rsid w:val="00FB0A7B"/>
    <w:rsid w:val="00FB0A8E"/>
    <w:rsid w:val="00FB0AE1"/>
    <w:rsid w:val="00FB0B91"/>
    <w:rsid w:val="00FB0B99"/>
    <w:rsid w:val="00FB0B9D"/>
    <w:rsid w:val="00FB0BDE"/>
    <w:rsid w:val="00FB0C46"/>
    <w:rsid w:val="00FB0C47"/>
    <w:rsid w:val="00FB0CC3"/>
    <w:rsid w:val="00FB0D22"/>
    <w:rsid w:val="00FB0D61"/>
    <w:rsid w:val="00FB0D97"/>
    <w:rsid w:val="00FB0D9A"/>
    <w:rsid w:val="00FB0D9D"/>
    <w:rsid w:val="00FB0DA8"/>
    <w:rsid w:val="00FB0DF2"/>
    <w:rsid w:val="00FB0E34"/>
    <w:rsid w:val="00FB0E91"/>
    <w:rsid w:val="00FB0EA9"/>
    <w:rsid w:val="00FB0EF0"/>
    <w:rsid w:val="00FB0F23"/>
    <w:rsid w:val="00FB0F39"/>
    <w:rsid w:val="00FB103C"/>
    <w:rsid w:val="00FB1053"/>
    <w:rsid w:val="00FB10A5"/>
    <w:rsid w:val="00FB10C7"/>
    <w:rsid w:val="00FB10D2"/>
    <w:rsid w:val="00FB10E2"/>
    <w:rsid w:val="00FB10F5"/>
    <w:rsid w:val="00FB110A"/>
    <w:rsid w:val="00FB1123"/>
    <w:rsid w:val="00FB117B"/>
    <w:rsid w:val="00FB11F6"/>
    <w:rsid w:val="00FB1249"/>
    <w:rsid w:val="00FB12C4"/>
    <w:rsid w:val="00FB12E7"/>
    <w:rsid w:val="00FB1335"/>
    <w:rsid w:val="00FB141B"/>
    <w:rsid w:val="00FB1464"/>
    <w:rsid w:val="00FB14F2"/>
    <w:rsid w:val="00FB155F"/>
    <w:rsid w:val="00FB161A"/>
    <w:rsid w:val="00FB163F"/>
    <w:rsid w:val="00FB1692"/>
    <w:rsid w:val="00FB16E6"/>
    <w:rsid w:val="00FB16FC"/>
    <w:rsid w:val="00FB16FE"/>
    <w:rsid w:val="00FB178C"/>
    <w:rsid w:val="00FB17CF"/>
    <w:rsid w:val="00FB17D8"/>
    <w:rsid w:val="00FB1818"/>
    <w:rsid w:val="00FB186A"/>
    <w:rsid w:val="00FB188F"/>
    <w:rsid w:val="00FB18B6"/>
    <w:rsid w:val="00FB18FF"/>
    <w:rsid w:val="00FB191B"/>
    <w:rsid w:val="00FB1935"/>
    <w:rsid w:val="00FB1936"/>
    <w:rsid w:val="00FB1964"/>
    <w:rsid w:val="00FB1988"/>
    <w:rsid w:val="00FB19A5"/>
    <w:rsid w:val="00FB19AE"/>
    <w:rsid w:val="00FB19B8"/>
    <w:rsid w:val="00FB19C7"/>
    <w:rsid w:val="00FB19CE"/>
    <w:rsid w:val="00FB19DF"/>
    <w:rsid w:val="00FB19E9"/>
    <w:rsid w:val="00FB19EB"/>
    <w:rsid w:val="00FB1A98"/>
    <w:rsid w:val="00FB1AF2"/>
    <w:rsid w:val="00FB1B2C"/>
    <w:rsid w:val="00FB1B44"/>
    <w:rsid w:val="00FB1B64"/>
    <w:rsid w:val="00FB1C32"/>
    <w:rsid w:val="00FB1C8C"/>
    <w:rsid w:val="00FB1CF8"/>
    <w:rsid w:val="00FB1D0D"/>
    <w:rsid w:val="00FB1D17"/>
    <w:rsid w:val="00FB1D54"/>
    <w:rsid w:val="00FB1E28"/>
    <w:rsid w:val="00FB1E2B"/>
    <w:rsid w:val="00FB1E69"/>
    <w:rsid w:val="00FB1E8C"/>
    <w:rsid w:val="00FB1F0D"/>
    <w:rsid w:val="00FB1F0E"/>
    <w:rsid w:val="00FB1F15"/>
    <w:rsid w:val="00FB1F2D"/>
    <w:rsid w:val="00FB1F4E"/>
    <w:rsid w:val="00FB1F7E"/>
    <w:rsid w:val="00FB1FA4"/>
    <w:rsid w:val="00FB1FB7"/>
    <w:rsid w:val="00FB2009"/>
    <w:rsid w:val="00FB200A"/>
    <w:rsid w:val="00FB2036"/>
    <w:rsid w:val="00FB2052"/>
    <w:rsid w:val="00FB2084"/>
    <w:rsid w:val="00FB20A9"/>
    <w:rsid w:val="00FB20D8"/>
    <w:rsid w:val="00FB219E"/>
    <w:rsid w:val="00FB221C"/>
    <w:rsid w:val="00FB22FC"/>
    <w:rsid w:val="00FB2364"/>
    <w:rsid w:val="00FB2398"/>
    <w:rsid w:val="00FB23B5"/>
    <w:rsid w:val="00FB23B9"/>
    <w:rsid w:val="00FB2414"/>
    <w:rsid w:val="00FB243B"/>
    <w:rsid w:val="00FB24AC"/>
    <w:rsid w:val="00FB24B3"/>
    <w:rsid w:val="00FB24E0"/>
    <w:rsid w:val="00FB2554"/>
    <w:rsid w:val="00FB257E"/>
    <w:rsid w:val="00FB2591"/>
    <w:rsid w:val="00FB2594"/>
    <w:rsid w:val="00FB25E0"/>
    <w:rsid w:val="00FB2602"/>
    <w:rsid w:val="00FB2687"/>
    <w:rsid w:val="00FB2708"/>
    <w:rsid w:val="00FB271E"/>
    <w:rsid w:val="00FB275A"/>
    <w:rsid w:val="00FB2873"/>
    <w:rsid w:val="00FB2907"/>
    <w:rsid w:val="00FB2980"/>
    <w:rsid w:val="00FB29C5"/>
    <w:rsid w:val="00FB29CA"/>
    <w:rsid w:val="00FB29F1"/>
    <w:rsid w:val="00FB2A31"/>
    <w:rsid w:val="00FB2A51"/>
    <w:rsid w:val="00FB2A61"/>
    <w:rsid w:val="00FB2A94"/>
    <w:rsid w:val="00FB2B2E"/>
    <w:rsid w:val="00FB2B9B"/>
    <w:rsid w:val="00FB2BA7"/>
    <w:rsid w:val="00FB2BD7"/>
    <w:rsid w:val="00FB2BF4"/>
    <w:rsid w:val="00FB2C37"/>
    <w:rsid w:val="00FB2C45"/>
    <w:rsid w:val="00FB2C6F"/>
    <w:rsid w:val="00FB2CAF"/>
    <w:rsid w:val="00FB2CB1"/>
    <w:rsid w:val="00FB2CBF"/>
    <w:rsid w:val="00FB2CD6"/>
    <w:rsid w:val="00FB2CFB"/>
    <w:rsid w:val="00FB2D9C"/>
    <w:rsid w:val="00FB2DB3"/>
    <w:rsid w:val="00FB2DD0"/>
    <w:rsid w:val="00FB2DDF"/>
    <w:rsid w:val="00FB2DEC"/>
    <w:rsid w:val="00FB2E46"/>
    <w:rsid w:val="00FB2EDF"/>
    <w:rsid w:val="00FB2EEE"/>
    <w:rsid w:val="00FB2F13"/>
    <w:rsid w:val="00FB2F1F"/>
    <w:rsid w:val="00FB2F56"/>
    <w:rsid w:val="00FB2F88"/>
    <w:rsid w:val="00FB2FA4"/>
    <w:rsid w:val="00FB2FAA"/>
    <w:rsid w:val="00FB3022"/>
    <w:rsid w:val="00FB3083"/>
    <w:rsid w:val="00FB30AA"/>
    <w:rsid w:val="00FB30FE"/>
    <w:rsid w:val="00FB312C"/>
    <w:rsid w:val="00FB3166"/>
    <w:rsid w:val="00FB318C"/>
    <w:rsid w:val="00FB31C6"/>
    <w:rsid w:val="00FB3212"/>
    <w:rsid w:val="00FB321D"/>
    <w:rsid w:val="00FB3227"/>
    <w:rsid w:val="00FB324D"/>
    <w:rsid w:val="00FB3293"/>
    <w:rsid w:val="00FB3295"/>
    <w:rsid w:val="00FB32B6"/>
    <w:rsid w:val="00FB3308"/>
    <w:rsid w:val="00FB330A"/>
    <w:rsid w:val="00FB3320"/>
    <w:rsid w:val="00FB332C"/>
    <w:rsid w:val="00FB336A"/>
    <w:rsid w:val="00FB3388"/>
    <w:rsid w:val="00FB33C3"/>
    <w:rsid w:val="00FB342A"/>
    <w:rsid w:val="00FB3467"/>
    <w:rsid w:val="00FB348D"/>
    <w:rsid w:val="00FB34BA"/>
    <w:rsid w:val="00FB352B"/>
    <w:rsid w:val="00FB35AE"/>
    <w:rsid w:val="00FB35CC"/>
    <w:rsid w:val="00FB366B"/>
    <w:rsid w:val="00FB36BA"/>
    <w:rsid w:val="00FB36C2"/>
    <w:rsid w:val="00FB36CF"/>
    <w:rsid w:val="00FB36F7"/>
    <w:rsid w:val="00FB36F8"/>
    <w:rsid w:val="00FB376C"/>
    <w:rsid w:val="00FB378F"/>
    <w:rsid w:val="00FB37AF"/>
    <w:rsid w:val="00FB3811"/>
    <w:rsid w:val="00FB384E"/>
    <w:rsid w:val="00FB3851"/>
    <w:rsid w:val="00FB387C"/>
    <w:rsid w:val="00FB3886"/>
    <w:rsid w:val="00FB38DA"/>
    <w:rsid w:val="00FB38F9"/>
    <w:rsid w:val="00FB390A"/>
    <w:rsid w:val="00FB3994"/>
    <w:rsid w:val="00FB39D3"/>
    <w:rsid w:val="00FB39E9"/>
    <w:rsid w:val="00FB3A0E"/>
    <w:rsid w:val="00FB3A2B"/>
    <w:rsid w:val="00FB3A43"/>
    <w:rsid w:val="00FB3A59"/>
    <w:rsid w:val="00FB3A81"/>
    <w:rsid w:val="00FB3B2F"/>
    <w:rsid w:val="00FB3B31"/>
    <w:rsid w:val="00FB3B77"/>
    <w:rsid w:val="00FB3BCA"/>
    <w:rsid w:val="00FB3BE9"/>
    <w:rsid w:val="00FB3BF9"/>
    <w:rsid w:val="00FB3C03"/>
    <w:rsid w:val="00FB3C36"/>
    <w:rsid w:val="00FB3CB9"/>
    <w:rsid w:val="00FB3D01"/>
    <w:rsid w:val="00FB3D9B"/>
    <w:rsid w:val="00FB3DB9"/>
    <w:rsid w:val="00FB3DBB"/>
    <w:rsid w:val="00FB3E46"/>
    <w:rsid w:val="00FB3E52"/>
    <w:rsid w:val="00FB3E7D"/>
    <w:rsid w:val="00FB3EC0"/>
    <w:rsid w:val="00FB3F78"/>
    <w:rsid w:val="00FB3FB6"/>
    <w:rsid w:val="00FB3FDD"/>
    <w:rsid w:val="00FB4047"/>
    <w:rsid w:val="00FB406A"/>
    <w:rsid w:val="00FB4083"/>
    <w:rsid w:val="00FB4095"/>
    <w:rsid w:val="00FB40DD"/>
    <w:rsid w:val="00FB40F1"/>
    <w:rsid w:val="00FB4112"/>
    <w:rsid w:val="00FB417E"/>
    <w:rsid w:val="00FB4186"/>
    <w:rsid w:val="00FB41F4"/>
    <w:rsid w:val="00FB41FA"/>
    <w:rsid w:val="00FB4265"/>
    <w:rsid w:val="00FB4267"/>
    <w:rsid w:val="00FB427D"/>
    <w:rsid w:val="00FB42C6"/>
    <w:rsid w:val="00FB436D"/>
    <w:rsid w:val="00FB43DC"/>
    <w:rsid w:val="00FB4401"/>
    <w:rsid w:val="00FB4496"/>
    <w:rsid w:val="00FB44C4"/>
    <w:rsid w:val="00FB44E4"/>
    <w:rsid w:val="00FB45A3"/>
    <w:rsid w:val="00FB4630"/>
    <w:rsid w:val="00FB46BD"/>
    <w:rsid w:val="00FB4719"/>
    <w:rsid w:val="00FB47A2"/>
    <w:rsid w:val="00FB47AD"/>
    <w:rsid w:val="00FB47DB"/>
    <w:rsid w:val="00FB4807"/>
    <w:rsid w:val="00FB482B"/>
    <w:rsid w:val="00FB487A"/>
    <w:rsid w:val="00FB48F3"/>
    <w:rsid w:val="00FB492C"/>
    <w:rsid w:val="00FB493A"/>
    <w:rsid w:val="00FB4983"/>
    <w:rsid w:val="00FB49C6"/>
    <w:rsid w:val="00FB4A5D"/>
    <w:rsid w:val="00FB4A66"/>
    <w:rsid w:val="00FB4AC8"/>
    <w:rsid w:val="00FB4B42"/>
    <w:rsid w:val="00FB4B93"/>
    <w:rsid w:val="00FB4B9F"/>
    <w:rsid w:val="00FB4BB3"/>
    <w:rsid w:val="00FB4C49"/>
    <w:rsid w:val="00FB4CCE"/>
    <w:rsid w:val="00FB4D20"/>
    <w:rsid w:val="00FB4D8F"/>
    <w:rsid w:val="00FB4DD6"/>
    <w:rsid w:val="00FB4DDA"/>
    <w:rsid w:val="00FB4E41"/>
    <w:rsid w:val="00FB4ED6"/>
    <w:rsid w:val="00FB4F3D"/>
    <w:rsid w:val="00FB4F5F"/>
    <w:rsid w:val="00FB4FB3"/>
    <w:rsid w:val="00FB4FD4"/>
    <w:rsid w:val="00FB4FE5"/>
    <w:rsid w:val="00FB4FED"/>
    <w:rsid w:val="00FB5003"/>
    <w:rsid w:val="00FB503B"/>
    <w:rsid w:val="00FB5057"/>
    <w:rsid w:val="00FB505D"/>
    <w:rsid w:val="00FB5061"/>
    <w:rsid w:val="00FB5065"/>
    <w:rsid w:val="00FB506B"/>
    <w:rsid w:val="00FB506D"/>
    <w:rsid w:val="00FB509C"/>
    <w:rsid w:val="00FB50C8"/>
    <w:rsid w:val="00FB510A"/>
    <w:rsid w:val="00FB511E"/>
    <w:rsid w:val="00FB5158"/>
    <w:rsid w:val="00FB51EB"/>
    <w:rsid w:val="00FB529A"/>
    <w:rsid w:val="00FB52C9"/>
    <w:rsid w:val="00FB52DE"/>
    <w:rsid w:val="00FB5301"/>
    <w:rsid w:val="00FB532E"/>
    <w:rsid w:val="00FB5333"/>
    <w:rsid w:val="00FB5443"/>
    <w:rsid w:val="00FB5450"/>
    <w:rsid w:val="00FB546A"/>
    <w:rsid w:val="00FB5479"/>
    <w:rsid w:val="00FB54A2"/>
    <w:rsid w:val="00FB550B"/>
    <w:rsid w:val="00FB558D"/>
    <w:rsid w:val="00FB55C9"/>
    <w:rsid w:val="00FB55E3"/>
    <w:rsid w:val="00FB5619"/>
    <w:rsid w:val="00FB5638"/>
    <w:rsid w:val="00FB5648"/>
    <w:rsid w:val="00FB56E6"/>
    <w:rsid w:val="00FB56F6"/>
    <w:rsid w:val="00FB56F9"/>
    <w:rsid w:val="00FB5702"/>
    <w:rsid w:val="00FB5709"/>
    <w:rsid w:val="00FB5746"/>
    <w:rsid w:val="00FB5750"/>
    <w:rsid w:val="00FB5754"/>
    <w:rsid w:val="00FB5827"/>
    <w:rsid w:val="00FB5831"/>
    <w:rsid w:val="00FB5832"/>
    <w:rsid w:val="00FB586C"/>
    <w:rsid w:val="00FB587B"/>
    <w:rsid w:val="00FB58A0"/>
    <w:rsid w:val="00FB58B0"/>
    <w:rsid w:val="00FB58CE"/>
    <w:rsid w:val="00FB58F6"/>
    <w:rsid w:val="00FB5988"/>
    <w:rsid w:val="00FB598B"/>
    <w:rsid w:val="00FB59BA"/>
    <w:rsid w:val="00FB59FF"/>
    <w:rsid w:val="00FB5A16"/>
    <w:rsid w:val="00FB5A5F"/>
    <w:rsid w:val="00FB5A7F"/>
    <w:rsid w:val="00FB5A83"/>
    <w:rsid w:val="00FB5AAD"/>
    <w:rsid w:val="00FB5AD1"/>
    <w:rsid w:val="00FB5AEF"/>
    <w:rsid w:val="00FB5AF0"/>
    <w:rsid w:val="00FB5B77"/>
    <w:rsid w:val="00FB5B98"/>
    <w:rsid w:val="00FB5BF1"/>
    <w:rsid w:val="00FB5C0B"/>
    <w:rsid w:val="00FB5C19"/>
    <w:rsid w:val="00FB5C3B"/>
    <w:rsid w:val="00FB5C4B"/>
    <w:rsid w:val="00FB5C84"/>
    <w:rsid w:val="00FB5C8A"/>
    <w:rsid w:val="00FB5CAA"/>
    <w:rsid w:val="00FB5D41"/>
    <w:rsid w:val="00FB5D58"/>
    <w:rsid w:val="00FB5DBB"/>
    <w:rsid w:val="00FB5E14"/>
    <w:rsid w:val="00FB5E3D"/>
    <w:rsid w:val="00FB5EE6"/>
    <w:rsid w:val="00FB5F7E"/>
    <w:rsid w:val="00FB5F8F"/>
    <w:rsid w:val="00FB6020"/>
    <w:rsid w:val="00FB6033"/>
    <w:rsid w:val="00FB604B"/>
    <w:rsid w:val="00FB606B"/>
    <w:rsid w:val="00FB606E"/>
    <w:rsid w:val="00FB6097"/>
    <w:rsid w:val="00FB60E4"/>
    <w:rsid w:val="00FB62B5"/>
    <w:rsid w:val="00FB6300"/>
    <w:rsid w:val="00FB6303"/>
    <w:rsid w:val="00FB6307"/>
    <w:rsid w:val="00FB6325"/>
    <w:rsid w:val="00FB636E"/>
    <w:rsid w:val="00FB6372"/>
    <w:rsid w:val="00FB63AB"/>
    <w:rsid w:val="00FB6439"/>
    <w:rsid w:val="00FB6491"/>
    <w:rsid w:val="00FB64B6"/>
    <w:rsid w:val="00FB6527"/>
    <w:rsid w:val="00FB6537"/>
    <w:rsid w:val="00FB6570"/>
    <w:rsid w:val="00FB6579"/>
    <w:rsid w:val="00FB659D"/>
    <w:rsid w:val="00FB659F"/>
    <w:rsid w:val="00FB65BB"/>
    <w:rsid w:val="00FB65FA"/>
    <w:rsid w:val="00FB6649"/>
    <w:rsid w:val="00FB66A0"/>
    <w:rsid w:val="00FB66AA"/>
    <w:rsid w:val="00FB66FF"/>
    <w:rsid w:val="00FB6787"/>
    <w:rsid w:val="00FB67BE"/>
    <w:rsid w:val="00FB67C5"/>
    <w:rsid w:val="00FB67D3"/>
    <w:rsid w:val="00FB67DF"/>
    <w:rsid w:val="00FB67E0"/>
    <w:rsid w:val="00FB68AF"/>
    <w:rsid w:val="00FB69A9"/>
    <w:rsid w:val="00FB69D4"/>
    <w:rsid w:val="00FB6A20"/>
    <w:rsid w:val="00FB6A38"/>
    <w:rsid w:val="00FB6A47"/>
    <w:rsid w:val="00FB6A65"/>
    <w:rsid w:val="00FB6B51"/>
    <w:rsid w:val="00FB6BA2"/>
    <w:rsid w:val="00FB6BD9"/>
    <w:rsid w:val="00FB6C36"/>
    <w:rsid w:val="00FB6D13"/>
    <w:rsid w:val="00FB6DB5"/>
    <w:rsid w:val="00FB6E41"/>
    <w:rsid w:val="00FB6E4B"/>
    <w:rsid w:val="00FB6E5B"/>
    <w:rsid w:val="00FB6EAD"/>
    <w:rsid w:val="00FB6EF1"/>
    <w:rsid w:val="00FB6F3E"/>
    <w:rsid w:val="00FB6F47"/>
    <w:rsid w:val="00FB6F5D"/>
    <w:rsid w:val="00FB6FC1"/>
    <w:rsid w:val="00FB70A3"/>
    <w:rsid w:val="00FB70B9"/>
    <w:rsid w:val="00FB70F6"/>
    <w:rsid w:val="00FB70FF"/>
    <w:rsid w:val="00FB710B"/>
    <w:rsid w:val="00FB710E"/>
    <w:rsid w:val="00FB7130"/>
    <w:rsid w:val="00FB715F"/>
    <w:rsid w:val="00FB71D3"/>
    <w:rsid w:val="00FB7231"/>
    <w:rsid w:val="00FB7240"/>
    <w:rsid w:val="00FB72D5"/>
    <w:rsid w:val="00FB72EA"/>
    <w:rsid w:val="00FB72EB"/>
    <w:rsid w:val="00FB72ED"/>
    <w:rsid w:val="00FB72FD"/>
    <w:rsid w:val="00FB7303"/>
    <w:rsid w:val="00FB7348"/>
    <w:rsid w:val="00FB739D"/>
    <w:rsid w:val="00FB73DA"/>
    <w:rsid w:val="00FB7509"/>
    <w:rsid w:val="00FB7568"/>
    <w:rsid w:val="00FB7569"/>
    <w:rsid w:val="00FB75B3"/>
    <w:rsid w:val="00FB75E1"/>
    <w:rsid w:val="00FB7674"/>
    <w:rsid w:val="00FB76C9"/>
    <w:rsid w:val="00FB7758"/>
    <w:rsid w:val="00FB778B"/>
    <w:rsid w:val="00FB778C"/>
    <w:rsid w:val="00FB77A7"/>
    <w:rsid w:val="00FB77F6"/>
    <w:rsid w:val="00FB780B"/>
    <w:rsid w:val="00FB780D"/>
    <w:rsid w:val="00FB7830"/>
    <w:rsid w:val="00FB7838"/>
    <w:rsid w:val="00FB788F"/>
    <w:rsid w:val="00FB78C8"/>
    <w:rsid w:val="00FB78E9"/>
    <w:rsid w:val="00FB793A"/>
    <w:rsid w:val="00FB7941"/>
    <w:rsid w:val="00FB796D"/>
    <w:rsid w:val="00FB799E"/>
    <w:rsid w:val="00FB79E0"/>
    <w:rsid w:val="00FB7A71"/>
    <w:rsid w:val="00FB7A7A"/>
    <w:rsid w:val="00FB7AF0"/>
    <w:rsid w:val="00FB7B53"/>
    <w:rsid w:val="00FB7C0D"/>
    <w:rsid w:val="00FB7C44"/>
    <w:rsid w:val="00FB7C67"/>
    <w:rsid w:val="00FB7C88"/>
    <w:rsid w:val="00FB7CA5"/>
    <w:rsid w:val="00FB7CB7"/>
    <w:rsid w:val="00FB7CF7"/>
    <w:rsid w:val="00FB7D30"/>
    <w:rsid w:val="00FB7D64"/>
    <w:rsid w:val="00FB7D7F"/>
    <w:rsid w:val="00FB7DEC"/>
    <w:rsid w:val="00FB7EA0"/>
    <w:rsid w:val="00FB7ED9"/>
    <w:rsid w:val="00FB7F72"/>
    <w:rsid w:val="00FB7FBA"/>
    <w:rsid w:val="00FB7FBC"/>
    <w:rsid w:val="00FB7FCD"/>
    <w:rsid w:val="00FB7FF5"/>
    <w:rsid w:val="00FC0038"/>
    <w:rsid w:val="00FC0052"/>
    <w:rsid w:val="00FC016E"/>
    <w:rsid w:val="00FC0181"/>
    <w:rsid w:val="00FC01B1"/>
    <w:rsid w:val="00FC0229"/>
    <w:rsid w:val="00FC026C"/>
    <w:rsid w:val="00FC027F"/>
    <w:rsid w:val="00FC02C1"/>
    <w:rsid w:val="00FC02F0"/>
    <w:rsid w:val="00FC02FF"/>
    <w:rsid w:val="00FC0303"/>
    <w:rsid w:val="00FC03AB"/>
    <w:rsid w:val="00FC03B9"/>
    <w:rsid w:val="00FC03BB"/>
    <w:rsid w:val="00FC03E1"/>
    <w:rsid w:val="00FC0425"/>
    <w:rsid w:val="00FC045B"/>
    <w:rsid w:val="00FC0461"/>
    <w:rsid w:val="00FC04B3"/>
    <w:rsid w:val="00FC0549"/>
    <w:rsid w:val="00FC054A"/>
    <w:rsid w:val="00FC0563"/>
    <w:rsid w:val="00FC059F"/>
    <w:rsid w:val="00FC05B4"/>
    <w:rsid w:val="00FC05E5"/>
    <w:rsid w:val="00FC0607"/>
    <w:rsid w:val="00FC0620"/>
    <w:rsid w:val="00FC0688"/>
    <w:rsid w:val="00FC06FC"/>
    <w:rsid w:val="00FC0712"/>
    <w:rsid w:val="00FC0784"/>
    <w:rsid w:val="00FC07D9"/>
    <w:rsid w:val="00FC07E3"/>
    <w:rsid w:val="00FC0862"/>
    <w:rsid w:val="00FC08B2"/>
    <w:rsid w:val="00FC08D1"/>
    <w:rsid w:val="00FC0945"/>
    <w:rsid w:val="00FC0960"/>
    <w:rsid w:val="00FC0A37"/>
    <w:rsid w:val="00FC0A3A"/>
    <w:rsid w:val="00FC0AC3"/>
    <w:rsid w:val="00FC0AD2"/>
    <w:rsid w:val="00FC0B81"/>
    <w:rsid w:val="00FC0C45"/>
    <w:rsid w:val="00FC0C6E"/>
    <w:rsid w:val="00FC0D7C"/>
    <w:rsid w:val="00FC0D93"/>
    <w:rsid w:val="00FC0DA7"/>
    <w:rsid w:val="00FC0DAF"/>
    <w:rsid w:val="00FC0E33"/>
    <w:rsid w:val="00FC0E76"/>
    <w:rsid w:val="00FC0F29"/>
    <w:rsid w:val="00FC0F80"/>
    <w:rsid w:val="00FC0F92"/>
    <w:rsid w:val="00FC0FA3"/>
    <w:rsid w:val="00FC0FC2"/>
    <w:rsid w:val="00FC0FC7"/>
    <w:rsid w:val="00FC104D"/>
    <w:rsid w:val="00FC111D"/>
    <w:rsid w:val="00FC1127"/>
    <w:rsid w:val="00FC112E"/>
    <w:rsid w:val="00FC1141"/>
    <w:rsid w:val="00FC11B2"/>
    <w:rsid w:val="00FC11E0"/>
    <w:rsid w:val="00FC11FB"/>
    <w:rsid w:val="00FC1206"/>
    <w:rsid w:val="00FC120E"/>
    <w:rsid w:val="00FC1276"/>
    <w:rsid w:val="00FC138D"/>
    <w:rsid w:val="00FC1429"/>
    <w:rsid w:val="00FC1453"/>
    <w:rsid w:val="00FC151C"/>
    <w:rsid w:val="00FC1561"/>
    <w:rsid w:val="00FC15DD"/>
    <w:rsid w:val="00FC1617"/>
    <w:rsid w:val="00FC1623"/>
    <w:rsid w:val="00FC1632"/>
    <w:rsid w:val="00FC1669"/>
    <w:rsid w:val="00FC16AC"/>
    <w:rsid w:val="00FC178F"/>
    <w:rsid w:val="00FC1855"/>
    <w:rsid w:val="00FC1872"/>
    <w:rsid w:val="00FC18A5"/>
    <w:rsid w:val="00FC18BA"/>
    <w:rsid w:val="00FC18DC"/>
    <w:rsid w:val="00FC1918"/>
    <w:rsid w:val="00FC1965"/>
    <w:rsid w:val="00FC19D2"/>
    <w:rsid w:val="00FC1A5A"/>
    <w:rsid w:val="00FC1A96"/>
    <w:rsid w:val="00FC1AE5"/>
    <w:rsid w:val="00FC1B09"/>
    <w:rsid w:val="00FC1BB5"/>
    <w:rsid w:val="00FC1BD0"/>
    <w:rsid w:val="00FC1BDC"/>
    <w:rsid w:val="00FC1C63"/>
    <w:rsid w:val="00FC1D05"/>
    <w:rsid w:val="00FC1D0A"/>
    <w:rsid w:val="00FC1D75"/>
    <w:rsid w:val="00FC1DEA"/>
    <w:rsid w:val="00FC1E0F"/>
    <w:rsid w:val="00FC1E63"/>
    <w:rsid w:val="00FC1E6C"/>
    <w:rsid w:val="00FC1F4B"/>
    <w:rsid w:val="00FC1F84"/>
    <w:rsid w:val="00FC1F88"/>
    <w:rsid w:val="00FC1FBD"/>
    <w:rsid w:val="00FC1FCC"/>
    <w:rsid w:val="00FC1FD4"/>
    <w:rsid w:val="00FC2067"/>
    <w:rsid w:val="00FC20A2"/>
    <w:rsid w:val="00FC20B6"/>
    <w:rsid w:val="00FC20F3"/>
    <w:rsid w:val="00FC20F7"/>
    <w:rsid w:val="00FC2131"/>
    <w:rsid w:val="00FC214A"/>
    <w:rsid w:val="00FC2159"/>
    <w:rsid w:val="00FC2178"/>
    <w:rsid w:val="00FC2179"/>
    <w:rsid w:val="00FC218C"/>
    <w:rsid w:val="00FC21D9"/>
    <w:rsid w:val="00FC2243"/>
    <w:rsid w:val="00FC2251"/>
    <w:rsid w:val="00FC228C"/>
    <w:rsid w:val="00FC22D0"/>
    <w:rsid w:val="00FC2315"/>
    <w:rsid w:val="00FC233D"/>
    <w:rsid w:val="00FC2355"/>
    <w:rsid w:val="00FC2396"/>
    <w:rsid w:val="00FC23AD"/>
    <w:rsid w:val="00FC23E9"/>
    <w:rsid w:val="00FC23F5"/>
    <w:rsid w:val="00FC2467"/>
    <w:rsid w:val="00FC24FE"/>
    <w:rsid w:val="00FC2504"/>
    <w:rsid w:val="00FC25C1"/>
    <w:rsid w:val="00FC275F"/>
    <w:rsid w:val="00FC2760"/>
    <w:rsid w:val="00FC277C"/>
    <w:rsid w:val="00FC278A"/>
    <w:rsid w:val="00FC27A9"/>
    <w:rsid w:val="00FC27BB"/>
    <w:rsid w:val="00FC2804"/>
    <w:rsid w:val="00FC28AC"/>
    <w:rsid w:val="00FC28B7"/>
    <w:rsid w:val="00FC293E"/>
    <w:rsid w:val="00FC295E"/>
    <w:rsid w:val="00FC29A0"/>
    <w:rsid w:val="00FC2A1B"/>
    <w:rsid w:val="00FC2A2B"/>
    <w:rsid w:val="00FC2AAD"/>
    <w:rsid w:val="00FC2AE9"/>
    <w:rsid w:val="00FC2B90"/>
    <w:rsid w:val="00FC2C07"/>
    <w:rsid w:val="00FC2C14"/>
    <w:rsid w:val="00FC2CC8"/>
    <w:rsid w:val="00FC2CD3"/>
    <w:rsid w:val="00FC2CF1"/>
    <w:rsid w:val="00FC2D0A"/>
    <w:rsid w:val="00FC2D54"/>
    <w:rsid w:val="00FC2DC8"/>
    <w:rsid w:val="00FC2E20"/>
    <w:rsid w:val="00FC2E96"/>
    <w:rsid w:val="00FC2EA5"/>
    <w:rsid w:val="00FC2EF9"/>
    <w:rsid w:val="00FC2F44"/>
    <w:rsid w:val="00FC2F55"/>
    <w:rsid w:val="00FC2F6A"/>
    <w:rsid w:val="00FC3026"/>
    <w:rsid w:val="00FC3078"/>
    <w:rsid w:val="00FC30A3"/>
    <w:rsid w:val="00FC30D8"/>
    <w:rsid w:val="00FC3111"/>
    <w:rsid w:val="00FC31D3"/>
    <w:rsid w:val="00FC31F9"/>
    <w:rsid w:val="00FC323B"/>
    <w:rsid w:val="00FC3253"/>
    <w:rsid w:val="00FC3264"/>
    <w:rsid w:val="00FC32D9"/>
    <w:rsid w:val="00FC32F5"/>
    <w:rsid w:val="00FC331E"/>
    <w:rsid w:val="00FC334B"/>
    <w:rsid w:val="00FC3371"/>
    <w:rsid w:val="00FC3403"/>
    <w:rsid w:val="00FC3409"/>
    <w:rsid w:val="00FC3413"/>
    <w:rsid w:val="00FC3462"/>
    <w:rsid w:val="00FC352F"/>
    <w:rsid w:val="00FC3551"/>
    <w:rsid w:val="00FC35D3"/>
    <w:rsid w:val="00FC3618"/>
    <w:rsid w:val="00FC3673"/>
    <w:rsid w:val="00FC3681"/>
    <w:rsid w:val="00FC3688"/>
    <w:rsid w:val="00FC370D"/>
    <w:rsid w:val="00FC37E4"/>
    <w:rsid w:val="00FC37F1"/>
    <w:rsid w:val="00FC38D1"/>
    <w:rsid w:val="00FC38D4"/>
    <w:rsid w:val="00FC38FD"/>
    <w:rsid w:val="00FC391E"/>
    <w:rsid w:val="00FC3937"/>
    <w:rsid w:val="00FC3987"/>
    <w:rsid w:val="00FC39A8"/>
    <w:rsid w:val="00FC39FF"/>
    <w:rsid w:val="00FC3AAE"/>
    <w:rsid w:val="00FC3ACD"/>
    <w:rsid w:val="00FC3B1A"/>
    <w:rsid w:val="00FC3B1F"/>
    <w:rsid w:val="00FC3BBA"/>
    <w:rsid w:val="00FC3BBF"/>
    <w:rsid w:val="00FC3BDD"/>
    <w:rsid w:val="00FC3C4B"/>
    <w:rsid w:val="00FC3CB4"/>
    <w:rsid w:val="00FC3CBD"/>
    <w:rsid w:val="00FC3CEB"/>
    <w:rsid w:val="00FC3D13"/>
    <w:rsid w:val="00FC3D97"/>
    <w:rsid w:val="00FC3DAC"/>
    <w:rsid w:val="00FC3DC8"/>
    <w:rsid w:val="00FC3E62"/>
    <w:rsid w:val="00FC3E6D"/>
    <w:rsid w:val="00FC3E8F"/>
    <w:rsid w:val="00FC3E9C"/>
    <w:rsid w:val="00FC3ED6"/>
    <w:rsid w:val="00FC3F1B"/>
    <w:rsid w:val="00FC3F2F"/>
    <w:rsid w:val="00FC3F3F"/>
    <w:rsid w:val="00FC3F72"/>
    <w:rsid w:val="00FC3FF9"/>
    <w:rsid w:val="00FC4066"/>
    <w:rsid w:val="00FC40B4"/>
    <w:rsid w:val="00FC40DF"/>
    <w:rsid w:val="00FC40EA"/>
    <w:rsid w:val="00FC410C"/>
    <w:rsid w:val="00FC4152"/>
    <w:rsid w:val="00FC41A3"/>
    <w:rsid w:val="00FC4222"/>
    <w:rsid w:val="00FC4277"/>
    <w:rsid w:val="00FC42CA"/>
    <w:rsid w:val="00FC4378"/>
    <w:rsid w:val="00FC4392"/>
    <w:rsid w:val="00FC439B"/>
    <w:rsid w:val="00FC43D4"/>
    <w:rsid w:val="00FC43F8"/>
    <w:rsid w:val="00FC444A"/>
    <w:rsid w:val="00FC444C"/>
    <w:rsid w:val="00FC4460"/>
    <w:rsid w:val="00FC44A7"/>
    <w:rsid w:val="00FC44D9"/>
    <w:rsid w:val="00FC450D"/>
    <w:rsid w:val="00FC4541"/>
    <w:rsid w:val="00FC4564"/>
    <w:rsid w:val="00FC45F4"/>
    <w:rsid w:val="00FC460C"/>
    <w:rsid w:val="00FC462B"/>
    <w:rsid w:val="00FC465E"/>
    <w:rsid w:val="00FC4675"/>
    <w:rsid w:val="00FC469C"/>
    <w:rsid w:val="00FC4709"/>
    <w:rsid w:val="00FC47DA"/>
    <w:rsid w:val="00FC4865"/>
    <w:rsid w:val="00FC49B1"/>
    <w:rsid w:val="00FC49B4"/>
    <w:rsid w:val="00FC4A6F"/>
    <w:rsid w:val="00FC4A7D"/>
    <w:rsid w:val="00FC4A9B"/>
    <w:rsid w:val="00FC4AD7"/>
    <w:rsid w:val="00FC4AE7"/>
    <w:rsid w:val="00FC4B86"/>
    <w:rsid w:val="00FC4BF0"/>
    <w:rsid w:val="00FC4C10"/>
    <w:rsid w:val="00FC4C17"/>
    <w:rsid w:val="00FC4C20"/>
    <w:rsid w:val="00FC4C83"/>
    <w:rsid w:val="00FC4C95"/>
    <w:rsid w:val="00FC4CDE"/>
    <w:rsid w:val="00FC4CFA"/>
    <w:rsid w:val="00FC4D34"/>
    <w:rsid w:val="00FC4D49"/>
    <w:rsid w:val="00FC4D56"/>
    <w:rsid w:val="00FC4DD7"/>
    <w:rsid w:val="00FC4E21"/>
    <w:rsid w:val="00FC4E29"/>
    <w:rsid w:val="00FC4E3E"/>
    <w:rsid w:val="00FC4E61"/>
    <w:rsid w:val="00FC4EC8"/>
    <w:rsid w:val="00FC4ECE"/>
    <w:rsid w:val="00FC4ED6"/>
    <w:rsid w:val="00FC4F05"/>
    <w:rsid w:val="00FC4F49"/>
    <w:rsid w:val="00FC4F4A"/>
    <w:rsid w:val="00FC4FA7"/>
    <w:rsid w:val="00FC4FEE"/>
    <w:rsid w:val="00FC4FFE"/>
    <w:rsid w:val="00FC501C"/>
    <w:rsid w:val="00FC5022"/>
    <w:rsid w:val="00FC50CB"/>
    <w:rsid w:val="00FC50E9"/>
    <w:rsid w:val="00FC50EB"/>
    <w:rsid w:val="00FC5146"/>
    <w:rsid w:val="00FC5199"/>
    <w:rsid w:val="00FC51D3"/>
    <w:rsid w:val="00FC51E2"/>
    <w:rsid w:val="00FC51E7"/>
    <w:rsid w:val="00FC52CC"/>
    <w:rsid w:val="00FC52F4"/>
    <w:rsid w:val="00FC5331"/>
    <w:rsid w:val="00FC533A"/>
    <w:rsid w:val="00FC53F8"/>
    <w:rsid w:val="00FC5411"/>
    <w:rsid w:val="00FC5436"/>
    <w:rsid w:val="00FC543E"/>
    <w:rsid w:val="00FC544D"/>
    <w:rsid w:val="00FC548E"/>
    <w:rsid w:val="00FC54AA"/>
    <w:rsid w:val="00FC54AB"/>
    <w:rsid w:val="00FC54D3"/>
    <w:rsid w:val="00FC54F7"/>
    <w:rsid w:val="00FC561B"/>
    <w:rsid w:val="00FC564E"/>
    <w:rsid w:val="00FC56CB"/>
    <w:rsid w:val="00FC56D8"/>
    <w:rsid w:val="00FC5702"/>
    <w:rsid w:val="00FC576B"/>
    <w:rsid w:val="00FC57D5"/>
    <w:rsid w:val="00FC5879"/>
    <w:rsid w:val="00FC587A"/>
    <w:rsid w:val="00FC589C"/>
    <w:rsid w:val="00FC58A0"/>
    <w:rsid w:val="00FC58B5"/>
    <w:rsid w:val="00FC58C8"/>
    <w:rsid w:val="00FC58CB"/>
    <w:rsid w:val="00FC593B"/>
    <w:rsid w:val="00FC5941"/>
    <w:rsid w:val="00FC598B"/>
    <w:rsid w:val="00FC59FB"/>
    <w:rsid w:val="00FC5A16"/>
    <w:rsid w:val="00FC5A5E"/>
    <w:rsid w:val="00FC5ACF"/>
    <w:rsid w:val="00FC5ADB"/>
    <w:rsid w:val="00FC5B03"/>
    <w:rsid w:val="00FC5B28"/>
    <w:rsid w:val="00FC5B61"/>
    <w:rsid w:val="00FC5B81"/>
    <w:rsid w:val="00FC5C0D"/>
    <w:rsid w:val="00FC5C4C"/>
    <w:rsid w:val="00FC5C78"/>
    <w:rsid w:val="00FC5CD0"/>
    <w:rsid w:val="00FC5CD7"/>
    <w:rsid w:val="00FC5CE5"/>
    <w:rsid w:val="00FC5DA9"/>
    <w:rsid w:val="00FC5DE9"/>
    <w:rsid w:val="00FC5DEA"/>
    <w:rsid w:val="00FC5E0C"/>
    <w:rsid w:val="00FC5E4C"/>
    <w:rsid w:val="00FC5F02"/>
    <w:rsid w:val="00FC5F62"/>
    <w:rsid w:val="00FC5FA7"/>
    <w:rsid w:val="00FC5FB0"/>
    <w:rsid w:val="00FC5FCB"/>
    <w:rsid w:val="00FC5FF7"/>
    <w:rsid w:val="00FC5FFF"/>
    <w:rsid w:val="00FC601F"/>
    <w:rsid w:val="00FC6036"/>
    <w:rsid w:val="00FC607C"/>
    <w:rsid w:val="00FC609C"/>
    <w:rsid w:val="00FC60C6"/>
    <w:rsid w:val="00FC610C"/>
    <w:rsid w:val="00FC6131"/>
    <w:rsid w:val="00FC6199"/>
    <w:rsid w:val="00FC633F"/>
    <w:rsid w:val="00FC637E"/>
    <w:rsid w:val="00FC6480"/>
    <w:rsid w:val="00FC64E7"/>
    <w:rsid w:val="00FC6516"/>
    <w:rsid w:val="00FC653A"/>
    <w:rsid w:val="00FC6583"/>
    <w:rsid w:val="00FC66B2"/>
    <w:rsid w:val="00FC674C"/>
    <w:rsid w:val="00FC675B"/>
    <w:rsid w:val="00FC6770"/>
    <w:rsid w:val="00FC6782"/>
    <w:rsid w:val="00FC67A7"/>
    <w:rsid w:val="00FC67E6"/>
    <w:rsid w:val="00FC68D1"/>
    <w:rsid w:val="00FC68EB"/>
    <w:rsid w:val="00FC6A03"/>
    <w:rsid w:val="00FC6A4A"/>
    <w:rsid w:val="00FC6A83"/>
    <w:rsid w:val="00FC6AA2"/>
    <w:rsid w:val="00FC6AFC"/>
    <w:rsid w:val="00FC6B52"/>
    <w:rsid w:val="00FC6B6D"/>
    <w:rsid w:val="00FC6BA1"/>
    <w:rsid w:val="00FC6BB7"/>
    <w:rsid w:val="00FC6BBB"/>
    <w:rsid w:val="00FC6BBC"/>
    <w:rsid w:val="00FC6BD5"/>
    <w:rsid w:val="00FC6BDF"/>
    <w:rsid w:val="00FC6BF2"/>
    <w:rsid w:val="00FC6C0C"/>
    <w:rsid w:val="00FC6C10"/>
    <w:rsid w:val="00FC6C8E"/>
    <w:rsid w:val="00FC6C93"/>
    <w:rsid w:val="00FC6C9C"/>
    <w:rsid w:val="00FC6D19"/>
    <w:rsid w:val="00FC6D27"/>
    <w:rsid w:val="00FC6D35"/>
    <w:rsid w:val="00FC6D85"/>
    <w:rsid w:val="00FC6DB7"/>
    <w:rsid w:val="00FC6DE2"/>
    <w:rsid w:val="00FC6DE4"/>
    <w:rsid w:val="00FC6E7B"/>
    <w:rsid w:val="00FC6E90"/>
    <w:rsid w:val="00FC6EFA"/>
    <w:rsid w:val="00FC6F08"/>
    <w:rsid w:val="00FC6F45"/>
    <w:rsid w:val="00FC6F51"/>
    <w:rsid w:val="00FC6FC3"/>
    <w:rsid w:val="00FC6FE3"/>
    <w:rsid w:val="00FC706A"/>
    <w:rsid w:val="00FC709F"/>
    <w:rsid w:val="00FC7171"/>
    <w:rsid w:val="00FC71D5"/>
    <w:rsid w:val="00FC7215"/>
    <w:rsid w:val="00FC725E"/>
    <w:rsid w:val="00FC72C7"/>
    <w:rsid w:val="00FC736A"/>
    <w:rsid w:val="00FC736B"/>
    <w:rsid w:val="00FC7381"/>
    <w:rsid w:val="00FC7390"/>
    <w:rsid w:val="00FC7391"/>
    <w:rsid w:val="00FC739A"/>
    <w:rsid w:val="00FC73E6"/>
    <w:rsid w:val="00FC73F7"/>
    <w:rsid w:val="00FC7411"/>
    <w:rsid w:val="00FC7440"/>
    <w:rsid w:val="00FC744E"/>
    <w:rsid w:val="00FC7516"/>
    <w:rsid w:val="00FC7562"/>
    <w:rsid w:val="00FC75C0"/>
    <w:rsid w:val="00FC75C8"/>
    <w:rsid w:val="00FC760F"/>
    <w:rsid w:val="00FC7629"/>
    <w:rsid w:val="00FC762B"/>
    <w:rsid w:val="00FC76A7"/>
    <w:rsid w:val="00FC76BE"/>
    <w:rsid w:val="00FC76C6"/>
    <w:rsid w:val="00FC7714"/>
    <w:rsid w:val="00FC774F"/>
    <w:rsid w:val="00FC776D"/>
    <w:rsid w:val="00FC77A3"/>
    <w:rsid w:val="00FC77C5"/>
    <w:rsid w:val="00FC7802"/>
    <w:rsid w:val="00FC785B"/>
    <w:rsid w:val="00FC791A"/>
    <w:rsid w:val="00FC796F"/>
    <w:rsid w:val="00FC7975"/>
    <w:rsid w:val="00FC7990"/>
    <w:rsid w:val="00FC79D7"/>
    <w:rsid w:val="00FC7A05"/>
    <w:rsid w:val="00FC7A20"/>
    <w:rsid w:val="00FC7A29"/>
    <w:rsid w:val="00FC7A31"/>
    <w:rsid w:val="00FC7A43"/>
    <w:rsid w:val="00FC7A7C"/>
    <w:rsid w:val="00FC7AF5"/>
    <w:rsid w:val="00FC7B07"/>
    <w:rsid w:val="00FC7B51"/>
    <w:rsid w:val="00FC7C44"/>
    <w:rsid w:val="00FC7C79"/>
    <w:rsid w:val="00FC7CD2"/>
    <w:rsid w:val="00FC7D10"/>
    <w:rsid w:val="00FC7D19"/>
    <w:rsid w:val="00FC7D30"/>
    <w:rsid w:val="00FC7D6F"/>
    <w:rsid w:val="00FC7DB3"/>
    <w:rsid w:val="00FC7DF3"/>
    <w:rsid w:val="00FC7E00"/>
    <w:rsid w:val="00FC7E08"/>
    <w:rsid w:val="00FC7E46"/>
    <w:rsid w:val="00FC7E5B"/>
    <w:rsid w:val="00FC7EE1"/>
    <w:rsid w:val="00FC7F99"/>
    <w:rsid w:val="00FC7FDE"/>
    <w:rsid w:val="00FC7FE3"/>
    <w:rsid w:val="00FC8B2B"/>
    <w:rsid w:val="00FD0004"/>
    <w:rsid w:val="00FD001A"/>
    <w:rsid w:val="00FD008B"/>
    <w:rsid w:val="00FD008F"/>
    <w:rsid w:val="00FD00D6"/>
    <w:rsid w:val="00FD00FB"/>
    <w:rsid w:val="00FD0134"/>
    <w:rsid w:val="00FD017A"/>
    <w:rsid w:val="00FD0182"/>
    <w:rsid w:val="00FD01B2"/>
    <w:rsid w:val="00FD026A"/>
    <w:rsid w:val="00FD0306"/>
    <w:rsid w:val="00FD0310"/>
    <w:rsid w:val="00FD0325"/>
    <w:rsid w:val="00FD0346"/>
    <w:rsid w:val="00FD034B"/>
    <w:rsid w:val="00FD0379"/>
    <w:rsid w:val="00FD0399"/>
    <w:rsid w:val="00FD0414"/>
    <w:rsid w:val="00FD041F"/>
    <w:rsid w:val="00FD0427"/>
    <w:rsid w:val="00FD0442"/>
    <w:rsid w:val="00FD048A"/>
    <w:rsid w:val="00FD0555"/>
    <w:rsid w:val="00FD0561"/>
    <w:rsid w:val="00FD0565"/>
    <w:rsid w:val="00FD05BC"/>
    <w:rsid w:val="00FD05BF"/>
    <w:rsid w:val="00FD0637"/>
    <w:rsid w:val="00FD065F"/>
    <w:rsid w:val="00FD06E7"/>
    <w:rsid w:val="00FD06F1"/>
    <w:rsid w:val="00FD0702"/>
    <w:rsid w:val="00FD0745"/>
    <w:rsid w:val="00FD075A"/>
    <w:rsid w:val="00FD076C"/>
    <w:rsid w:val="00FD0796"/>
    <w:rsid w:val="00FD07D2"/>
    <w:rsid w:val="00FD07D5"/>
    <w:rsid w:val="00FD07DF"/>
    <w:rsid w:val="00FD0843"/>
    <w:rsid w:val="00FD089C"/>
    <w:rsid w:val="00FD08AD"/>
    <w:rsid w:val="00FD08E6"/>
    <w:rsid w:val="00FD0971"/>
    <w:rsid w:val="00FD09DC"/>
    <w:rsid w:val="00FD0A74"/>
    <w:rsid w:val="00FD0B21"/>
    <w:rsid w:val="00FD0B5F"/>
    <w:rsid w:val="00FD0B7E"/>
    <w:rsid w:val="00FD0BBB"/>
    <w:rsid w:val="00FD0BDE"/>
    <w:rsid w:val="00FD0BE2"/>
    <w:rsid w:val="00FD0C23"/>
    <w:rsid w:val="00FD0C5F"/>
    <w:rsid w:val="00FD0C6C"/>
    <w:rsid w:val="00FD0CA5"/>
    <w:rsid w:val="00FD0CAF"/>
    <w:rsid w:val="00FD0CE6"/>
    <w:rsid w:val="00FD0CFC"/>
    <w:rsid w:val="00FD0D07"/>
    <w:rsid w:val="00FD0D2B"/>
    <w:rsid w:val="00FD0D6C"/>
    <w:rsid w:val="00FD0D6F"/>
    <w:rsid w:val="00FD0D7A"/>
    <w:rsid w:val="00FD0E8A"/>
    <w:rsid w:val="00FD0EBA"/>
    <w:rsid w:val="00FD0EC3"/>
    <w:rsid w:val="00FD0EE1"/>
    <w:rsid w:val="00FD0F6F"/>
    <w:rsid w:val="00FD0FD0"/>
    <w:rsid w:val="00FD0FF4"/>
    <w:rsid w:val="00FD101F"/>
    <w:rsid w:val="00FD1049"/>
    <w:rsid w:val="00FD10AF"/>
    <w:rsid w:val="00FD1104"/>
    <w:rsid w:val="00FD111E"/>
    <w:rsid w:val="00FD111F"/>
    <w:rsid w:val="00FD11AA"/>
    <w:rsid w:val="00FD11FC"/>
    <w:rsid w:val="00FD122E"/>
    <w:rsid w:val="00FD123D"/>
    <w:rsid w:val="00FD12FF"/>
    <w:rsid w:val="00FD1304"/>
    <w:rsid w:val="00FD1363"/>
    <w:rsid w:val="00FD1418"/>
    <w:rsid w:val="00FD14B1"/>
    <w:rsid w:val="00FD14BF"/>
    <w:rsid w:val="00FD14E4"/>
    <w:rsid w:val="00FD159A"/>
    <w:rsid w:val="00FD15AC"/>
    <w:rsid w:val="00FD15BC"/>
    <w:rsid w:val="00FD15C4"/>
    <w:rsid w:val="00FD15C7"/>
    <w:rsid w:val="00FD16F2"/>
    <w:rsid w:val="00FD173D"/>
    <w:rsid w:val="00FD1776"/>
    <w:rsid w:val="00FD178A"/>
    <w:rsid w:val="00FD17B5"/>
    <w:rsid w:val="00FD17D0"/>
    <w:rsid w:val="00FD17E3"/>
    <w:rsid w:val="00FD1844"/>
    <w:rsid w:val="00FD1846"/>
    <w:rsid w:val="00FD18AE"/>
    <w:rsid w:val="00FD1921"/>
    <w:rsid w:val="00FD1937"/>
    <w:rsid w:val="00FD197C"/>
    <w:rsid w:val="00FD199C"/>
    <w:rsid w:val="00FD19AF"/>
    <w:rsid w:val="00FD19B7"/>
    <w:rsid w:val="00FD19F0"/>
    <w:rsid w:val="00FD19FC"/>
    <w:rsid w:val="00FD1A08"/>
    <w:rsid w:val="00FD1A21"/>
    <w:rsid w:val="00FD1A26"/>
    <w:rsid w:val="00FD1A2D"/>
    <w:rsid w:val="00FD1A3A"/>
    <w:rsid w:val="00FD1ADA"/>
    <w:rsid w:val="00FD1B51"/>
    <w:rsid w:val="00FD1BD8"/>
    <w:rsid w:val="00FD1BE0"/>
    <w:rsid w:val="00FD1BEA"/>
    <w:rsid w:val="00FD1C2D"/>
    <w:rsid w:val="00FD1C49"/>
    <w:rsid w:val="00FD1C5B"/>
    <w:rsid w:val="00FD1D5D"/>
    <w:rsid w:val="00FD1DAF"/>
    <w:rsid w:val="00FD1E0E"/>
    <w:rsid w:val="00FD1E14"/>
    <w:rsid w:val="00FD1E2F"/>
    <w:rsid w:val="00FD1E7B"/>
    <w:rsid w:val="00FD1F32"/>
    <w:rsid w:val="00FD1F39"/>
    <w:rsid w:val="00FD1F43"/>
    <w:rsid w:val="00FD1F7D"/>
    <w:rsid w:val="00FD1F94"/>
    <w:rsid w:val="00FD1FE9"/>
    <w:rsid w:val="00FD1FEB"/>
    <w:rsid w:val="00FD20A2"/>
    <w:rsid w:val="00FD211B"/>
    <w:rsid w:val="00FD2125"/>
    <w:rsid w:val="00FD215C"/>
    <w:rsid w:val="00FD217B"/>
    <w:rsid w:val="00FD219B"/>
    <w:rsid w:val="00FD21AC"/>
    <w:rsid w:val="00FD21F1"/>
    <w:rsid w:val="00FD2241"/>
    <w:rsid w:val="00FD22C2"/>
    <w:rsid w:val="00FD22C7"/>
    <w:rsid w:val="00FD2305"/>
    <w:rsid w:val="00FD2367"/>
    <w:rsid w:val="00FD23F7"/>
    <w:rsid w:val="00FD2490"/>
    <w:rsid w:val="00FD24D1"/>
    <w:rsid w:val="00FD2516"/>
    <w:rsid w:val="00FD251C"/>
    <w:rsid w:val="00FD252A"/>
    <w:rsid w:val="00FD2561"/>
    <w:rsid w:val="00FD2568"/>
    <w:rsid w:val="00FD25A6"/>
    <w:rsid w:val="00FD25B0"/>
    <w:rsid w:val="00FD25BD"/>
    <w:rsid w:val="00FD2649"/>
    <w:rsid w:val="00FD2692"/>
    <w:rsid w:val="00FD27C3"/>
    <w:rsid w:val="00FD283C"/>
    <w:rsid w:val="00FD285A"/>
    <w:rsid w:val="00FD2913"/>
    <w:rsid w:val="00FD2923"/>
    <w:rsid w:val="00FD2935"/>
    <w:rsid w:val="00FD29F3"/>
    <w:rsid w:val="00FD2A44"/>
    <w:rsid w:val="00FD2A5D"/>
    <w:rsid w:val="00FD2A8B"/>
    <w:rsid w:val="00FD2AA1"/>
    <w:rsid w:val="00FD2AB1"/>
    <w:rsid w:val="00FD2B1C"/>
    <w:rsid w:val="00FD2B54"/>
    <w:rsid w:val="00FD2B66"/>
    <w:rsid w:val="00FD2B75"/>
    <w:rsid w:val="00FD2BA1"/>
    <w:rsid w:val="00FD2BC3"/>
    <w:rsid w:val="00FD2D12"/>
    <w:rsid w:val="00FD2D3D"/>
    <w:rsid w:val="00FD2DA7"/>
    <w:rsid w:val="00FD2E53"/>
    <w:rsid w:val="00FD2E71"/>
    <w:rsid w:val="00FD2E93"/>
    <w:rsid w:val="00FD2ED6"/>
    <w:rsid w:val="00FD2EE6"/>
    <w:rsid w:val="00FD2EF1"/>
    <w:rsid w:val="00FD2F01"/>
    <w:rsid w:val="00FD2F46"/>
    <w:rsid w:val="00FD2FB9"/>
    <w:rsid w:val="00FD2FF5"/>
    <w:rsid w:val="00FD30AE"/>
    <w:rsid w:val="00FD30B0"/>
    <w:rsid w:val="00FD30EB"/>
    <w:rsid w:val="00FD315E"/>
    <w:rsid w:val="00FD31A1"/>
    <w:rsid w:val="00FD31B9"/>
    <w:rsid w:val="00FD325D"/>
    <w:rsid w:val="00FD32F2"/>
    <w:rsid w:val="00FD32F6"/>
    <w:rsid w:val="00FD3309"/>
    <w:rsid w:val="00FD3329"/>
    <w:rsid w:val="00FD3349"/>
    <w:rsid w:val="00FD3362"/>
    <w:rsid w:val="00FD339B"/>
    <w:rsid w:val="00FD339F"/>
    <w:rsid w:val="00FD33DD"/>
    <w:rsid w:val="00FD34BA"/>
    <w:rsid w:val="00FD34D4"/>
    <w:rsid w:val="00FD34EB"/>
    <w:rsid w:val="00FD35A3"/>
    <w:rsid w:val="00FD3607"/>
    <w:rsid w:val="00FD3612"/>
    <w:rsid w:val="00FD363F"/>
    <w:rsid w:val="00FD3714"/>
    <w:rsid w:val="00FD3751"/>
    <w:rsid w:val="00FD3795"/>
    <w:rsid w:val="00FD37A7"/>
    <w:rsid w:val="00FD3828"/>
    <w:rsid w:val="00FD3855"/>
    <w:rsid w:val="00FD3884"/>
    <w:rsid w:val="00FD39C6"/>
    <w:rsid w:val="00FD3A32"/>
    <w:rsid w:val="00FD3A94"/>
    <w:rsid w:val="00FD3A96"/>
    <w:rsid w:val="00FD3B17"/>
    <w:rsid w:val="00FD3B78"/>
    <w:rsid w:val="00FD3BB3"/>
    <w:rsid w:val="00FD3C65"/>
    <w:rsid w:val="00FD3CCF"/>
    <w:rsid w:val="00FD3CF7"/>
    <w:rsid w:val="00FD3D21"/>
    <w:rsid w:val="00FD3D34"/>
    <w:rsid w:val="00FD3D3D"/>
    <w:rsid w:val="00FD3D68"/>
    <w:rsid w:val="00FD3D84"/>
    <w:rsid w:val="00FD3DAE"/>
    <w:rsid w:val="00FD3DC7"/>
    <w:rsid w:val="00FD3EF6"/>
    <w:rsid w:val="00FD3F39"/>
    <w:rsid w:val="00FD3F9B"/>
    <w:rsid w:val="00FD3FAE"/>
    <w:rsid w:val="00FD4004"/>
    <w:rsid w:val="00FD401A"/>
    <w:rsid w:val="00FD405B"/>
    <w:rsid w:val="00FD406A"/>
    <w:rsid w:val="00FD40EC"/>
    <w:rsid w:val="00FD40F1"/>
    <w:rsid w:val="00FD40F6"/>
    <w:rsid w:val="00FD4123"/>
    <w:rsid w:val="00FD414E"/>
    <w:rsid w:val="00FD417A"/>
    <w:rsid w:val="00FD41D1"/>
    <w:rsid w:val="00FD41DE"/>
    <w:rsid w:val="00FD41E0"/>
    <w:rsid w:val="00FD41E3"/>
    <w:rsid w:val="00FD423A"/>
    <w:rsid w:val="00FD4259"/>
    <w:rsid w:val="00FD42FA"/>
    <w:rsid w:val="00FD4303"/>
    <w:rsid w:val="00FD432E"/>
    <w:rsid w:val="00FD4364"/>
    <w:rsid w:val="00FD4429"/>
    <w:rsid w:val="00FD4439"/>
    <w:rsid w:val="00FD451C"/>
    <w:rsid w:val="00FD4550"/>
    <w:rsid w:val="00FD457E"/>
    <w:rsid w:val="00FD464E"/>
    <w:rsid w:val="00FD4676"/>
    <w:rsid w:val="00FD4679"/>
    <w:rsid w:val="00FD4682"/>
    <w:rsid w:val="00FD473B"/>
    <w:rsid w:val="00FD4759"/>
    <w:rsid w:val="00FD4768"/>
    <w:rsid w:val="00FD47A6"/>
    <w:rsid w:val="00FD47A9"/>
    <w:rsid w:val="00FD47C6"/>
    <w:rsid w:val="00FD48B8"/>
    <w:rsid w:val="00FD48D6"/>
    <w:rsid w:val="00FD48E4"/>
    <w:rsid w:val="00FD49AD"/>
    <w:rsid w:val="00FD49BC"/>
    <w:rsid w:val="00FD49D0"/>
    <w:rsid w:val="00FD49ED"/>
    <w:rsid w:val="00FD4A2E"/>
    <w:rsid w:val="00FD4A51"/>
    <w:rsid w:val="00FD4A5A"/>
    <w:rsid w:val="00FD4AB9"/>
    <w:rsid w:val="00FD4AC6"/>
    <w:rsid w:val="00FD4AD1"/>
    <w:rsid w:val="00FD4ADD"/>
    <w:rsid w:val="00FD4AF7"/>
    <w:rsid w:val="00FD4B0C"/>
    <w:rsid w:val="00FD4B49"/>
    <w:rsid w:val="00FD4B54"/>
    <w:rsid w:val="00FD4B61"/>
    <w:rsid w:val="00FD4B64"/>
    <w:rsid w:val="00FD4BF3"/>
    <w:rsid w:val="00FD4BF8"/>
    <w:rsid w:val="00FD4C53"/>
    <w:rsid w:val="00FD4C57"/>
    <w:rsid w:val="00FD4C75"/>
    <w:rsid w:val="00FD4CAD"/>
    <w:rsid w:val="00FD4DD2"/>
    <w:rsid w:val="00FD4E3B"/>
    <w:rsid w:val="00FD4E45"/>
    <w:rsid w:val="00FD4ED5"/>
    <w:rsid w:val="00FD4FDD"/>
    <w:rsid w:val="00FD5013"/>
    <w:rsid w:val="00FD502E"/>
    <w:rsid w:val="00FD5042"/>
    <w:rsid w:val="00FD505E"/>
    <w:rsid w:val="00FD5071"/>
    <w:rsid w:val="00FD50CA"/>
    <w:rsid w:val="00FD5185"/>
    <w:rsid w:val="00FD51B8"/>
    <w:rsid w:val="00FD51C1"/>
    <w:rsid w:val="00FD51DC"/>
    <w:rsid w:val="00FD51E6"/>
    <w:rsid w:val="00FD51ED"/>
    <w:rsid w:val="00FD51F9"/>
    <w:rsid w:val="00FD5234"/>
    <w:rsid w:val="00FD52D6"/>
    <w:rsid w:val="00FD52FB"/>
    <w:rsid w:val="00FD5305"/>
    <w:rsid w:val="00FD532B"/>
    <w:rsid w:val="00FD5388"/>
    <w:rsid w:val="00FD53DF"/>
    <w:rsid w:val="00FD5401"/>
    <w:rsid w:val="00FD541C"/>
    <w:rsid w:val="00FD5472"/>
    <w:rsid w:val="00FD548E"/>
    <w:rsid w:val="00FD549B"/>
    <w:rsid w:val="00FD54D2"/>
    <w:rsid w:val="00FD552C"/>
    <w:rsid w:val="00FD55A2"/>
    <w:rsid w:val="00FD562B"/>
    <w:rsid w:val="00FD5644"/>
    <w:rsid w:val="00FD5653"/>
    <w:rsid w:val="00FD566D"/>
    <w:rsid w:val="00FD5690"/>
    <w:rsid w:val="00FD56A4"/>
    <w:rsid w:val="00FD56D3"/>
    <w:rsid w:val="00FD56D7"/>
    <w:rsid w:val="00FD56EA"/>
    <w:rsid w:val="00FD573F"/>
    <w:rsid w:val="00FD5790"/>
    <w:rsid w:val="00FD57A6"/>
    <w:rsid w:val="00FD57C5"/>
    <w:rsid w:val="00FD582C"/>
    <w:rsid w:val="00FD589A"/>
    <w:rsid w:val="00FD58BA"/>
    <w:rsid w:val="00FD58EA"/>
    <w:rsid w:val="00FD58F5"/>
    <w:rsid w:val="00FD58F7"/>
    <w:rsid w:val="00FD5905"/>
    <w:rsid w:val="00FD5958"/>
    <w:rsid w:val="00FD59C9"/>
    <w:rsid w:val="00FD5A05"/>
    <w:rsid w:val="00FD5A31"/>
    <w:rsid w:val="00FD5A41"/>
    <w:rsid w:val="00FD5A91"/>
    <w:rsid w:val="00FD5AB8"/>
    <w:rsid w:val="00FD5B09"/>
    <w:rsid w:val="00FD5B2D"/>
    <w:rsid w:val="00FD5B5B"/>
    <w:rsid w:val="00FD5B70"/>
    <w:rsid w:val="00FD5B8C"/>
    <w:rsid w:val="00FD5BCB"/>
    <w:rsid w:val="00FD5BDB"/>
    <w:rsid w:val="00FD5BF7"/>
    <w:rsid w:val="00FD5C31"/>
    <w:rsid w:val="00FD5C7A"/>
    <w:rsid w:val="00FD5D09"/>
    <w:rsid w:val="00FD5D0F"/>
    <w:rsid w:val="00FD5D5A"/>
    <w:rsid w:val="00FD5D9B"/>
    <w:rsid w:val="00FD5DFF"/>
    <w:rsid w:val="00FD5E09"/>
    <w:rsid w:val="00FD5E54"/>
    <w:rsid w:val="00FD5E6F"/>
    <w:rsid w:val="00FD5F13"/>
    <w:rsid w:val="00FD5F7E"/>
    <w:rsid w:val="00FD5FA7"/>
    <w:rsid w:val="00FD5FF8"/>
    <w:rsid w:val="00FD6023"/>
    <w:rsid w:val="00FD6047"/>
    <w:rsid w:val="00FD60C5"/>
    <w:rsid w:val="00FD60DD"/>
    <w:rsid w:val="00FD60E3"/>
    <w:rsid w:val="00FD613B"/>
    <w:rsid w:val="00FD6189"/>
    <w:rsid w:val="00FD61A8"/>
    <w:rsid w:val="00FD625A"/>
    <w:rsid w:val="00FD62D5"/>
    <w:rsid w:val="00FD6325"/>
    <w:rsid w:val="00FD6369"/>
    <w:rsid w:val="00FD63A1"/>
    <w:rsid w:val="00FD63A2"/>
    <w:rsid w:val="00FD63F6"/>
    <w:rsid w:val="00FD6417"/>
    <w:rsid w:val="00FD644F"/>
    <w:rsid w:val="00FD6486"/>
    <w:rsid w:val="00FD64A6"/>
    <w:rsid w:val="00FD64E0"/>
    <w:rsid w:val="00FD658A"/>
    <w:rsid w:val="00FD65A4"/>
    <w:rsid w:val="00FD65AB"/>
    <w:rsid w:val="00FD65AD"/>
    <w:rsid w:val="00FD6656"/>
    <w:rsid w:val="00FD666B"/>
    <w:rsid w:val="00FD667C"/>
    <w:rsid w:val="00FD675C"/>
    <w:rsid w:val="00FD6762"/>
    <w:rsid w:val="00FD67AE"/>
    <w:rsid w:val="00FD6836"/>
    <w:rsid w:val="00FD6881"/>
    <w:rsid w:val="00FD6883"/>
    <w:rsid w:val="00FD68EC"/>
    <w:rsid w:val="00FD68F1"/>
    <w:rsid w:val="00FD698D"/>
    <w:rsid w:val="00FD6997"/>
    <w:rsid w:val="00FD699B"/>
    <w:rsid w:val="00FD6A01"/>
    <w:rsid w:val="00FD6A37"/>
    <w:rsid w:val="00FD6AAF"/>
    <w:rsid w:val="00FD6B32"/>
    <w:rsid w:val="00FD6B65"/>
    <w:rsid w:val="00FD6B6D"/>
    <w:rsid w:val="00FD6B92"/>
    <w:rsid w:val="00FD6BA8"/>
    <w:rsid w:val="00FD6BD6"/>
    <w:rsid w:val="00FD6C2D"/>
    <w:rsid w:val="00FD6CAF"/>
    <w:rsid w:val="00FD6CB6"/>
    <w:rsid w:val="00FD6DF7"/>
    <w:rsid w:val="00FD6E0B"/>
    <w:rsid w:val="00FD6E68"/>
    <w:rsid w:val="00FD6E89"/>
    <w:rsid w:val="00FD6EE3"/>
    <w:rsid w:val="00FD6F1F"/>
    <w:rsid w:val="00FD6F3D"/>
    <w:rsid w:val="00FD6F69"/>
    <w:rsid w:val="00FD6FA3"/>
    <w:rsid w:val="00FD6FF0"/>
    <w:rsid w:val="00FD6FFC"/>
    <w:rsid w:val="00FD701B"/>
    <w:rsid w:val="00FD706A"/>
    <w:rsid w:val="00FD7091"/>
    <w:rsid w:val="00FD7106"/>
    <w:rsid w:val="00FD710B"/>
    <w:rsid w:val="00FD712B"/>
    <w:rsid w:val="00FD714A"/>
    <w:rsid w:val="00FD715B"/>
    <w:rsid w:val="00FD716C"/>
    <w:rsid w:val="00FD716D"/>
    <w:rsid w:val="00FD71AB"/>
    <w:rsid w:val="00FD71E5"/>
    <w:rsid w:val="00FD71E8"/>
    <w:rsid w:val="00FD7251"/>
    <w:rsid w:val="00FD72E1"/>
    <w:rsid w:val="00FD7312"/>
    <w:rsid w:val="00FD731D"/>
    <w:rsid w:val="00FD7421"/>
    <w:rsid w:val="00FD74ED"/>
    <w:rsid w:val="00FD74F1"/>
    <w:rsid w:val="00FD7523"/>
    <w:rsid w:val="00FD7582"/>
    <w:rsid w:val="00FD75CD"/>
    <w:rsid w:val="00FD75EA"/>
    <w:rsid w:val="00FD76BC"/>
    <w:rsid w:val="00FD76C2"/>
    <w:rsid w:val="00FD7765"/>
    <w:rsid w:val="00FD778A"/>
    <w:rsid w:val="00FD77D4"/>
    <w:rsid w:val="00FD7800"/>
    <w:rsid w:val="00FD7834"/>
    <w:rsid w:val="00FD786E"/>
    <w:rsid w:val="00FD78C7"/>
    <w:rsid w:val="00FD78D2"/>
    <w:rsid w:val="00FD7922"/>
    <w:rsid w:val="00FD793E"/>
    <w:rsid w:val="00FD7945"/>
    <w:rsid w:val="00FD7947"/>
    <w:rsid w:val="00FD7996"/>
    <w:rsid w:val="00FD7A73"/>
    <w:rsid w:val="00FD7AA5"/>
    <w:rsid w:val="00FD7AD6"/>
    <w:rsid w:val="00FD7AE6"/>
    <w:rsid w:val="00FD7B96"/>
    <w:rsid w:val="00FD7B97"/>
    <w:rsid w:val="00FD7C1E"/>
    <w:rsid w:val="00FD7C8A"/>
    <w:rsid w:val="00FD7D1A"/>
    <w:rsid w:val="00FD7D6C"/>
    <w:rsid w:val="00FD7D6F"/>
    <w:rsid w:val="00FD7D71"/>
    <w:rsid w:val="00FD7DA7"/>
    <w:rsid w:val="00FD7E85"/>
    <w:rsid w:val="00FD7F42"/>
    <w:rsid w:val="00FD7F4E"/>
    <w:rsid w:val="00FD7F59"/>
    <w:rsid w:val="00FD7F90"/>
    <w:rsid w:val="00FD7FB3"/>
    <w:rsid w:val="00FD7FD6"/>
    <w:rsid w:val="00FE0014"/>
    <w:rsid w:val="00FE00EF"/>
    <w:rsid w:val="00FE0105"/>
    <w:rsid w:val="00FE011E"/>
    <w:rsid w:val="00FE01AF"/>
    <w:rsid w:val="00FE01D0"/>
    <w:rsid w:val="00FE0234"/>
    <w:rsid w:val="00FE02B2"/>
    <w:rsid w:val="00FE02D8"/>
    <w:rsid w:val="00FE0377"/>
    <w:rsid w:val="00FE0385"/>
    <w:rsid w:val="00FE03D2"/>
    <w:rsid w:val="00FE03F2"/>
    <w:rsid w:val="00FE0411"/>
    <w:rsid w:val="00FE049A"/>
    <w:rsid w:val="00FE04A2"/>
    <w:rsid w:val="00FE04B4"/>
    <w:rsid w:val="00FE04E2"/>
    <w:rsid w:val="00FE053A"/>
    <w:rsid w:val="00FE056F"/>
    <w:rsid w:val="00FE05CB"/>
    <w:rsid w:val="00FE05E0"/>
    <w:rsid w:val="00FE0614"/>
    <w:rsid w:val="00FE0649"/>
    <w:rsid w:val="00FE0669"/>
    <w:rsid w:val="00FE06AC"/>
    <w:rsid w:val="00FE06B4"/>
    <w:rsid w:val="00FE06E5"/>
    <w:rsid w:val="00FE06FC"/>
    <w:rsid w:val="00FE06FF"/>
    <w:rsid w:val="00FE0798"/>
    <w:rsid w:val="00FE07C3"/>
    <w:rsid w:val="00FE07C5"/>
    <w:rsid w:val="00FE087D"/>
    <w:rsid w:val="00FE0880"/>
    <w:rsid w:val="00FE08B7"/>
    <w:rsid w:val="00FE08F8"/>
    <w:rsid w:val="00FE0957"/>
    <w:rsid w:val="00FE0966"/>
    <w:rsid w:val="00FE09A9"/>
    <w:rsid w:val="00FE09FF"/>
    <w:rsid w:val="00FE0A4E"/>
    <w:rsid w:val="00FE0A5A"/>
    <w:rsid w:val="00FE0A81"/>
    <w:rsid w:val="00FE0A82"/>
    <w:rsid w:val="00FE0A8F"/>
    <w:rsid w:val="00FE0AA6"/>
    <w:rsid w:val="00FE0AF1"/>
    <w:rsid w:val="00FE0B67"/>
    <w:rsid w:val="00FE0B95"/>
    <w:rsid w:val="00FE0BAF"/>
    <w:rsid w:val="00FE0BCB"/>
    <w:rsid w:val="00FE0BE7"/>
    <w:rsid w:val="00FE0C49"/>
    <w:rsid w:val="00FE0C6D"/>
    <w:rsid w:val="00FE0CA0"/>
    <w:rsid w:val="00FE0CA3"/>
    <w:rsid w:val="00FE0D75"/>
    <w:rsid w:val="00FE0E0B"/>
    <w:rsid w:val="00FE0ED3"/>
    <w:rsid w:val="00FE0F00"/>
    <w:rsid w:val="00FE0F08"/>
    <w:rsid w:val="00FE0F6E"/>
    <w:rsid w:val="00FE0F89"/>
    <w:rsid w:val="00FE0FB3"/>
    <w:rsid w:val="00FE0FE6"/>
    <w:rsid w:val="00FE1014"/>
    <w:rsid w:val="00FE104D"/>
    <w:rsid w:val="00FE10AA"/>
    <w:rsid w:val="00FE110D"/>
    <w:rsid w:val="00FE11E6"/>
    <w:rsid w:val="00FE11F9"/>
    <w:rsid w:val="00FE127E"/>
    <w:rsid w:val="00FE12E0"/>
    <w:rsid w:val="00FE1315"/>
    <w:rsid w:val="00FE1392"/>
    <w:rsid w:val="00FE13F0"/>
    <w:rsid w:val="00FE143D"/>
    <w:rsid w:val="00FE147C"/>
    <w:rsid w:val="00FE14CD"/>
    <w:rsid w:val="00FE14E2"/>
    <w:rsid w:val="00FE14E9"/>
    <w:rsid w:val="00FE1538"/>
    <w:rsid w:val="00FE153A"/>
    <w:rsid w:val="00FE1584"/>
    <w:rsid w:val="00FE15E2"/>
    <w:rsid w:val="00FE1673"/>
    <w:rsid w:val="00FE1677"/>
    <w:rsid w:val="00FE16B3"/>
    <w:rsid w:val="00FE173E"/>
    <w:rsid w:val="00FE176E"/>
    <w:rsid w:val="00FE1771"/>
    <w:rsid w:val="00FE1777"/>
    <w:rsid w:val="00FE177D"/>
    <w:rsid w:val="00FE1791"/>
    <w:rsid w:val="00FE183A"/>
    <w:rsid w:val="00FE1860"/>
    <w:rsid w:val="00FE187B"/>
    <w:rsid w:val="00FE1935"/>
    <w:rsid w:val="00FE1945"/>
    <w:rsid w:val="00FE1A16"/>
    <w:rsid w:val="00FE1AB0"/>
    <w:rsid w:val="00FE1B3D"/>
    <w:rsid w:val="00FE1B3E"/>
    <w:rsid w:val="00FE1B66"/>
    <w:rsid w:val="00FE1BA4"/>
    <w:rsid w:val="00FE1C46"/>
    <w:rsid w:val="00FE1C50"/>
    <w:rsid w:val="00FE1C68"/>
    <w:rsid w:val="00FE1C6B"/>
    <w:rsid w:val="00FE1CC1"/>
    <w:rsid w:val="00FE1CCC"/>
    <w:rsid w:val="00FE1D84"/>
    <w:rsid w:val="00FE1DAA"/>
    <w:rsid w:val="00FE1E42"/>
    <w:rsid w:val="00FE1E62"/>
    <w:rsid w:val="00FE1E8C"/>
    <w:rsid w:val="00FE1E93"/>
    <w:rsid w:val="00FE1EB5"/>
    <w:rsid w:val="00FE1EDD"/>
    <w:rsid w:val="00FE1F0D"/>
    <w:rsid w:val="00FE1F3E"/>
    <w:rsid w:val="00FE1FB2"/>
    <w:rsid w:val="00FE1FDF"/>
    <w:rsid w:val="00FE2006"/>
    <w:rsid w:val="00FE2039"/>
    <w:rsid w:val="00FE2049"/>
    <w:rsid w:val="00FE204F"/>
    <w:rsid w:val="00FE2064"/>
    <w:rsid w:val="00FE20D8"/>
    <w:rsid w:val="00FE210B"/>
    <w:rsid w:val="00FE2113"/>
    <w:rsid w:val="00FE2116"/>
    <w:rsid w:val="00FE2186"/>
    <w:rsid w:val="00FE21CB"/>
    <w:rsid w:val="00FE21F0"/>
    <w:rsid w:val="00FE223D"/>
    <w:rsid w:val="00FE223F"/>
    <w:rsid w:val="00FE22A2"/>
    <w:rsid w:val="00FE22F7"/>
    <w:rsid w:val="00FE234F"/>
    <w:rsid w:val="00FE235E"/>
    <w:rsid w:val="00FE23B1"/>
    <w:rsid w:val="00FE243A"/>
    <w:rsid w:val="00FE2472"/>
    <w:rsid w:val="00FE2478"/>
    <w:rsid w:val="00FE247C"/>
    <w:rsid w:val="00FE2494"/>
    <w:rsid w:val="00FE250A"/>
    <w:rsid w:val="00FE2552"/>
    <w:rsid w:val="00FE256C"/>
    <w:rsid w:val="00FE2574"/>
    <w:rsid w:val="00FE25F5"/>
    <w:rsid w:val="00FE265C"/>
    <w:rsid w:val="00FE266B"/>
    <w:rsid w:val="00FE26B7"/>
    <w:rsid w:val="00FE26C1"/>
    <w:rsid w:val="00FE26CE"/>
    <w:rsid w:val="00FE26DF"/>
    <w:rsid w:val="00FE26E7"/>
    <w:rsid w:val="00FE2702"/>
    <w:rsid w:val="00FE2762"/>
    <w:rsid w:val="00FE279B"/>
    <w:rsid w:val="00FE27EA"/>
    <w:rsid w:val="00FE2813"/>
    <w:rsid w:val="00FE2835"/>
    <w:rsid w:val="00FE2841"/>
    <w:rsid w:val="00FE28EC"/>
    <w:rsid w:val="00FE2933"/>
    <w:rsid w:val="00FE29B6"/>
    <w:rsid w:val="00FE29EE"/>
    <w:rsid w:val="00FE2A16"/>
    <w:rsid w:val="00FE2A2F"/>
    <w:rsid w:val="00FE2A5C"/>
    <w:rsid w:val="00FE2A8B"/>
    <w:rsid w:val="00FE2AFB"/>
    <w:rsid w:val="00FE2B26"/>
    <w:rsid w:val="00FE2B65"/>
    <w:rsid w:val="00FE2C57"/>
    <w:rsid w:val="00FE2D0F"/>
    <w:rsid w:val="00FE2D52"/>
    <w:rsid w:val="00FE2DAC"/>
    <w:rsid w:val="00FE2DAD"/>
    <w:rsid w:val="00FE2DC3"/>
    <w:rsid w:val="00FE2DD2"/>
    <w:rsid w:val="00FE2E38"/>
    <w:rsid w:val="00FE2E77"/>
    <w:rsid w:val="00FE2E9E"/>
    <w:rsid w:val="00FE2EB4"/>
    <w:rsid w:val="00FE2F36"/>
    <w:rsid w:val="00FE2F4A"/>
    <w:rsid w:val="00FE2F6D"/>
    <w:rsid w:val="00FE2F85"/>
    <w:rsid w:val="00FE2F8C"/>
    <w:rsid w:val="00FE2F8F"/>
    <w:rsid w:val="00FE2FA3"/>
    <w:rsid w:val="00FE2FA8"/>
    <w:rsid w:val="00FE2FC3"/>
    <w:rsid w:val="00FE304A"/>
    <w:rsid w:val="00FE305D"/>
    <w:rsid w:val="00FE306C"/>
    <w:rsid w:val="00FE308A"/>
    <w:rsid w:val="00FE30A0"/>
    <w:rsid w:val="00FE30BF"/>
    <w:rsid w:val="00FE30F8"/>
    <w:rsid w:val="00FE314C"/>
    <w:rsid w:val="00FE31EB"/>
    <w:rsid w:val="00FE3212"/>
    <w:rsid w:val="00FE3267"/>
    <w:rsid w:val="00FE32A0"/>
    <w:rsid w:val="00FE32A5"/>
    <w:rsid w:val="00FE334A"/>
    <w:rsid w:val="00FE336F"/>
    <w:rsid w:val="00FE33B2"/>
    <w:rsid w:val="00FE33D8"/>
    <w:rsid w:val="00FE33E0"/>
    <w:rsid w:val="00FE3475"/>
    <w:rsid w:val="00FE34D2"/>
    <w:rsid w:val="00FE3501"/>
    <w:rsid w:val="00FE354E"/>
    <w:rsid w:val="00FE35A1"/>
    <w:rsid w:val="00FE35B1"/>
    <w:rsid w:val="00FE3636"/>
    <w:rsid w:val="00FE3652"/>
    <w:rsid w:val="00FE36BF"/>
    <w:rsid w:val="00FE36CB"/>
    <w:rsid w:val="00FE3708"/>
    <w:rsid w:val="00FE37F1"/>
    <w:rsid w:val="00FE3877"/>
    <w:rsid w:val="00FE38AC"/>
    <w:rsid w:val="00FE3953"/>
    <w:rsid w:val="00FE3980"/>
    <w:rsid w:val="00FE3A69"/>
    <w:rsid w:val="00FE3AC6"/>
    <w:rsid w:val="00FE3ACA"/>
    <w:rsid w:val="00FE3B1A"/>
    <w:rsid w:val="00FE3B99"/>
    <w:rsid w:val="00FE3B9F"/>
    <w:rsid w:val="00FE3BAA"/>
    <w:rsid w:val="00FE3BCE"/>
    <w:rsid w:val="00FE3BF2"/>
    <w:rsid w:val="00FE3C8D"/>
    <w:rsid w:val="00FE3C94"/>
    <w:rsid w:val="00FE3CAC"/>
    <w:rsid w:val="00FE3CFF"/>
    <w:rsid w:val="00FE3D0D"/>
    <w:rsid w:val="00FE3D28"/>
    <w:rsid w:val="00FE3DB0"/>
    <w:rsid w:val="00FE3DEE"/>
    <w:rsid w:val="00FE3E13"/>
    <w:rsid w:val="00FE3E2D"/>
    <w:rsid w:val="00FE3E46"/>
    <w:rsid w:val="00FE3E66"/>
    <w:rsid w:val="00FE3EC0"/>
    <w:rsid w:val="00FE3F00"/>
    <w:rsid w:val="00FE3F47"/>
    <w:rsid w:val="00FE3F9C"/>
    <w:rsid w:val="00FE4030"/>
    <w:rsid w:val="00FE4031"/>
    <w:rsid w:val="00FE4037"/>
    <w:rsid w:val="00FE4042"/>
    <w:rsid w:val="00FE408B"/>
    <w:rsid w:val="00FE409D"/>
    <w:rsid w:val="00FE40A6"/>
    <w:rsid w:val="00FE412F"/>
    <w:rsid w:val="00FE41D5"/>
    <w:rsid w:val="00FE4291"/>
    <w:rsid w:val="00FE4295"/>
    <w:rsid w:val="00FE42F2"/>
    <w:rsid w:val="00FE4443"/>
    <w:rsid w:val="00FE444D"/>
    <w:rsid w:val="00FE4454"/>
    <w:rsid w:val="00FE446D"/>
    <w:rsid w:val="00FE44B1"/>
    <w:rsid w:val="00FE44B7"/>
    <w:rsid w:val="00FE4526"/>
    <w:rsid w:val="00FE4554"/>
    <w:rsid w:val="00FE4571"/>
    <w:rsid w:val="00FE45C9"/>
    <w:rsid w:val="00FE45D6"/>
    <w:rsid w:val="00FE4602"/>
    <w:rsid w:val="00FE4684"/>
    <w:rsid w:val="00FE4714"/>
    <w:rsid w:val="00FE4729"/>
    <w:rsid w:val="00FE47AA"/>
    <w:rsid w:val="00FE47D6"/>
    <w:rsid w:val="00FE47E4"/>
    <w:rsid w:val="00FE47E7"/>
    <w:rsid w:val="00FE4806"/>
    <w:rsid w:val="00FE4819"/>
    <w:rsid w:val="00FE4841"/>
    <w:rsid w:val="00FE487E"/>
    <w:rsid w:val="00FE48A7"/>
    <w:rsid w:val="00FE48DC"/>
    <w:rsid w:val="00FE48E2"/>
    <w:rsid w:val="00FE4912"/>
    <w:rsid w:val="00FE4917"/>
    <w:rsid w:val="00FE493C"/>
    <w:rsid w:val="00FE49A5"/>
    <w:rsid w:val="00FE49C7"/>
    <w:rsid w:val="00FE49F2"/>
    <w:rsid w:val="00FE49F5"/>
    <w:rsid w:val="00FE4A0F"/>
    <w:rsid w:val="00FE4A43"/>
    <w:rsid w:val="00FE4A71"/>
    <w:rsid w:val="00FE4A99"/>
    <w:rsid w:val="00FE4A9A"/>
    <w:rsid w:val="00FE4AA5"/>
    <w:rsid w:val="00FE4AB8"/>
    <w:rsid w:val="00FE4B71"/>
    <w:rsid w:val="00FE4B8E"/>
    <w:rsid w:val="00FE4BEF"/>
    <w:rsid w:val="00FE4C07"/>
    <w:rsid w:val="00FE4C2E"/>
    <w:rsid w:val="00FE4C59"/>
    <w:rsid w:val="00FE4C6F"/>
    <w:rsid w:val="00FE4C7A"/>
    <w:rsid w:val="00FE4D59"/>
    <w:rsid w:val="00FE4DCE"/>
    <w:rsid w:val="00FE4E42"/>
    <w:rsid w:val="00FE4E43"/>
    <w:rsid w:val="00FE4E60"/>
    <w:rsid w:val="00FE4E81"/>
    <w:rsid w:val="00FE4E85"/>
    <w:rsid w:val="00FE4EB5"/>
    <w:rsid w:val="00FE4EF4"/>
    <w:rsid w:val="00FE4F42"/>
    <w:rsid w:val="00FE4F84"/>
    <w:rsid w:val="00FE50EB"/>
    <w:rsid w:val="00FE5186"/>
    <w:rsid w:val="00FE51B6"/>
    <w:rsid w:val="00FE51D7"/>
    <w:rsid w:val="00FE51E9"/>
    <w:rsid w:val="00FE5231"/>
    <w:rsid w:val="00FE5251"/>
    <w:rsid w:val="00FE5256"/>
    <w:rsid w:val="00FE5292"/>
    <w:rsid w:val="00FE52D3"/>
    <w:rsid w:val="00FE52EB"/>
    <w:rsid w:val="00FE5308"/>
    <w:rsid w:val="00FE53AD"/>
    <w:rsid w:val="00FE53C0"/>
    <w:rsid w:val="00FE5430"/>
    <w:rsid w:val="00FE543F"/>
    <w:rsid w:val="00FE5489"/>
    <w:rsid w:val="00FE54F5"/>
    <w:rsid w:val="00FE5581"/>
    <w:rsid w:val="00FE5587"/>
    <w:rsid w:val="00FE55C3"/>
    <w:rsid w:val="00FE5603"/>
    <w:rsid w:val="00FE5624"/>
    <w:rsid w:val="00FE573B"/>
    <w:rsid w:val="00FE582D"/>
    <w:rsid w:val="00FE5833"/>
    <w:rsid w:val="00FE5850"/>
    <w:rsid w:val="00FE5880"/>
    <w:rsid w:val="00FE58AC"/>
    <w:rsid w:val="00FE59C5"/>
    <w:rsid w:val="00FE59C8"/>
    <w:rsid w:val="00FE5A21"/>
    <w:rsid w:val="00FE5A89"/>
    <w:rsid w:val="00FE5A8B"/>
    <w:rsid w:val="00FE5AA6"/>
    <w:rsid w:val="00FE5B3A"/>
    <w:rsid w:val="00FE5B80"/>
    <w:rsid w:val="00FE5C05"/>
    <w:rsid w:val="00FE5C06"/>
    <w:rsid w:val="00FE5C49"/>
    <w:rsid w:val="00FE5CEA"/>
    <w:rsid w:val="00FE5D1B"/>
    <w:rsid w:val="00FE5D5A"/>
    <w:rsid w:val="00FE5D64"/>
    <w:rsid w:val="00FE5E2A"/>
    <w:rsid w:val="00FE5ECD"/>
    <w:rsid w:val="00FE5EF9"/>
    <w:rsid w:val="00FE5F38"/>
    <w:rsid w:val="00FE5F4B"/>
    <w:rsid w:val="00FE5F7E"/>
    <w:rsid w:val="00FE5F80"/>
    <w:rsid w:val="00FE5FFE"/>
    <w:rsid w:val="00FE600C"/>
    <w:rsid w:val="00FE6027"/>
    <w:rsid w:val="00FE6056"/>
    <w:rsid w:val="00FE60AB"/>
    <w:rsid w:val="00FE60B5"/>
    <w:rsid w:val="00FE6112"/>
    <w:rsid w:val="00FE613C"/>
    <w:rsid w:val="00FE6181"/>
    <w:rsid w:val="00FE6197"/>
    <w:rsid w:val="00FE61C3"/>
    <w:rsid w:val="00FE6202"/>
    <w:rsid w:val="00FE62EC"/>
    <w:rsid w:val="00FE6312"/>
    <w:rsid w:val="00FE633D"/>
    <w:rsid w:val="00FE6373"/>
    <w:rsid w:val="00FE6384"/>
    <w:rsid w:val="00FE63B5"/>
    <w:rsid w:val="00FE63E8"/>
    <w:rsid w:val="00FE6450"/>
    <w:rsid w:val="00FE6467"/>
    <w:rsid w:val="00FE647B"/>
    <w:rsid w:val="00FE647E"/>
    <w:rsid w:val="00FE6492"/>
    <w:rsid w:val="00FE64A5"/>
    <w:rsid w:val="00FE64AB"/>
    <w:rsid w:val="00FE64CF"/>
    <w:rsid w:val="00FE64E9"/>
    <w:rsid w:val="00FE6526"/>
    <w:rsid w:val="00FE655C"/>
    <w:rsid w:val="00FE6569"/>
    <w:rsid w:val="00FE658E"/>
    <w:rsid w:val="00FE6595"/>
    <w:rsid w:val="00FE65C2"/>
    <w:rsid w:val="00FE661C"/>
    <w:rsid w:val="00FE6639"/>
    <w:rsid w:val="00FE666D"/>
    <w:rsid w:val="00FE6724"/>
    <w:rsid w:val="00FE678E"/>
    <w:rsid w:val="00FE6794"/>
    <w:rsid w:val="00FE67F9"/>
    <w:rsid w:val="00FE683A"/>
    <w:rsid w:val="00FE6851"/>
    <w:rsid w:val="00FE6857"/>
    <w:rsid w:val="00FE68B0"/>
    <w:rsid w:val="00FE68B5"/>
    <w:rsid w:val="00FE68C2"/>
    <w:rsid w:val="00FE6917"/>
    <w:rsid w:val="00FE696C"/>
    <w:rsid w:val="00FE697E"/>
    <w:rsid w:val="00FE69E2"/>
    <w:rsid w:val="00FE6A01"/>
    <w:rsid w:val="00FE6A22"/>
    <w:rsid w:val="00FE6A25"/>
    <w:rsid w:val="00FE6AA9"/>
    <w:rsid w:val="00FE6AFD"/>
    <w:rsid w:val="00FE6B35"/>
    <w:rsid w:val="00FE6B70"/>
    <w:rsid w:val="00FE6BB0"/>
    <w:rsid w:val="00FE6BC0"/>
    <w:rsid w:val="00FE6C3C"/>
    <w:rsid w:val="00FE6C49"/>
    <w:rsid w:val="00FE6C78"/>
    <w:rsid w:val="00FE6D05"/>
    <w:rsid w:val="00FE6D25"/>
    <w:rsid w:val="00FE6DA1"/>
    <w:rsid w:val="00FE6DAF"/>
    <w:rsid w:val="00FE6DB6"/>
    <w:rsid w:val="00FE6DF7"/>
    <w:rsid w:val="00FE6E68"/>
    <w:rsid w:val="00FE6E86"/>
    <w:rsid w:val="00FE6F2D"/>
    <w:rsid w:val="00FE6F8D"/>
    <w:rsid w:val="00FE6FB5"/>
    <w:rsid w:val="00FE6FDB"/>
    <w:rsid w:val="00FE7022"/>
    <w:rsid w:val="00FE7055"/>
    <w:rsid w:val="00FE709B"/>
    <w:rsid w:val="00FE7142"/>
    <w:rsid w:val="00FE7144"/>
    <w:rsid w:val="00FE7147"/>
    <w:rsid w:val="00FE7174"/>
    <w:rsid w:val="00FE719E"/>
    <w:rsid w:val="00FE71EF"/>
    <w:rsid w:val="00FE7205"/>
    <w:rsid w:val="00FE724C"/>
    <w:rsid w:val="00FE7270"/>
    <w:rsid w:val="00FE72F4"/>
    <w:rsid w:val="00FE743F"/>
    <w:rsid w:val="00FE7481"/>
    <w:rsid w:val="00FE74CD"/>
    <w:rsid w:val="00FE74E5"/>
    <w:rsid w:val="00FE751E"/>
    <w:rsid w:val="00FE7541"/>
    <w:rsid w:val="00FE7581"/>
    <w:rsid w:val="00FE75D5"/>
    <w:rsid w:val="00FE75F0"/>
    <w:rsid w:val="00FE760A"/>
    <w:rsid w:val="00FE7620"/>
    <w:rsid w:val="00FE76F0"/>
    <w:rsid w:val="00FE7720"/>
    <w:rsid w:val="00FE77D1"/>
    <w:rsid w:val="00FE77EF"/>
    <w:rsid w:val="00FE780B"/>
    <w:rsid w:val="00FE7949"/>
    <w:rsid w:val="00FE795D"/>
    <w:rsid w:val="00FE799A"/>
    <w:rsid w:val="00FE79BD"/>
    <w:rsid w:val="00FE7A3B"/>
    <w:rsid w:val="00FE7A90"/>
    <w:rsid w:val="00FE7AD1"/>
    <w:rsid w:val="00FE7AED"/>
    <w:rsid w:val="00FE7C3C"/>
    <w:rsid w:val="00FE7C63"/>
    <w:rsid w:val="00FE7C80"/>
    <w:rsid w:val="00FE7C99"/>
    <w:rsid w:val="00FE7CBC"/>
    <w:rsid w:val="00FE7D24"/>
    <w:rsid w:val="00FE7D27"/>
    <w:rsid w:val="00FE7D5B"/>
    <w:rsid w:val="00FE7D66"/>
    <w:rsid w:val="00FE7DB0"/>
    <w:rsid w:val="00FE7DCA"/>
    <w:rsid w:val="00FE7DE3"/>
    <w:rsid w:val="00FE7DEF"/>
    <w:rsid w:val="00FE7DF0"/>
    <w:rsid w:val="00FE7DF4"/>
    <w:rsid w:val="00FE7E3A"/>
    <w:rsid w:val="00FE7E7D"/>
    <w:rsid w:val="00FE7E82"/>
    <w:rsid w:val="00FE7E88"/>
    <w:rsid w:val="00FE7E90"/>
    <w:rsid w:val="00FE7F32"/>
    <w:rsid w:val="00FF0044"/>
    <w:rsid w:val="00FF006A"/>
    <w:rsid w:val="00FF00A5"/>
    <w:rsid w:val="00FF00B4"/>
    <w:rsid w:val="00FF0145"/>
    <w:rsid w:val="00FF0193"/>
    <w:rsid w:val="00FF019C"/>
    <w:rsid w:val="00FF01EB"/>
    <w:rsid w:val="00FF01FC"/>
    <w:rsid w:val="00FF021F"/>
    <w:rsid w:val="00FF023D"/>
    <w:rsid w:val="00FF0278"/>
    <w:rsid w:val="00FF043E"/>
    <w:rsid w:val="00FF0495"/>
    <w:rsid w:val="00FF04BB"/>
    <w:rsid w:val="00FF04CB"/>
    <w:rsid w:val="00FF05C6"/>
    <w:rsid w:val="00FF05D3"/>
    <w:rsid w:val="00FF0614"/>
    <w:rsid w:val="00FF062B"/>
    <w:rsid w:val="00FF0630"/>
    <w:rsid w:val="00FF067F"/>
    <w:rsid w:val="00FF06B2"/>
    <w:rsid w:val="00FF06DF"/>
    <w:rsid w:val="00FF074A"/>
    <w:rsid w:val="00FF07A1"/>
    <w:rsid w:val="00FF07AD"/>
    <w:rsid w:val="00FF0820"/>
    <w:rsid w:val="00FF0885"/>
    <w:rsid w:val="00FF08BB"/>
    <w:rsid w:val="00FF08CC"/>
    <w:rsid w:val="00FF08D2"/>
    <w:rsid w:val="00FF08D6"/>
    <w:rsid w:val="00FF08E3"/>
    <w:rsid w:val="00FF08F5"/>
    <w:rsid w:val="00FF0948"/>
    <w:rsid w:val="00FF096D"/>
    <w:rsid w:val="00FF0978"/>
    <w:rsid w:val="00FF09A3"/>
    <w:rsid w:val="00FF09E9"/>
    <w:rsid w:val="00FF09FC"/>
    <w:rsid w:val="00FF0A1A"/>
    <w:rsid w:val="00FF0A7D"/>
    <w:rsid w:val="00FF0A86"/>
    <w:rsid w:val="00FF0AD8"/>
    <w:rsid w:val="00FF0B0E"/>
    <w:rsid w:val="00FF0B40"/>
    <w:rsid w:val="00FF0B5F"/>
    <w:rsid w:val="00FF0BA0"/>
    <w:rsid w:val="00FF0BAF"/>
    <w:rsid w:val="00FF0C1E"/>
    <w:rsid w:val="00FF0C88"/>
    <w:rsid w:val="00FF0D62"/>
    <w:rsid w:val="00FF0D85"/>
    <w:rsid w:val="00FF0DE9"/>
    <w:rsid w:val="00FF0E24"/>
    <w:rsid w:val="00FF0E52"/>
    <w:rsid w:val="00FF0E8F"/>
    <w:rsid w:val="00FF0ECD"/>
    <w:rsid w:val="00FF0EF8"/>
    <w:rsid w:val="00FF0F19"/>
    <w:rsid w:val="00FF0F84"/>
    <w:rsid w:val="00FF0FA6"/>
    <w:rsid w:val="00FF0FAD"/>
    <w:rsid w:val="00FF0FB6"/>
    <w:rsid w:val="00FF0FBB"/>
    <w:rsid w:val="00FF0FDA"/>
    <w:rsid w:val="00FF1004"/>
    <w:rsid w:val="00FF1028"/>
    <w:rsid w:val="00FF10F7"/>
    <w:rsid w:val="00FF1158"/>
    <w:rsid w:val="00FF11B3"/>
    <w:rsid w:val="00FF11C7"/>
    <w:rsid w:val="00FF11E7"/>
    <w:rsid w:val="00FF120D"/>
    <w:rsid w:val="00FF121F"/>
    <w:rsid w:val="00FF1236"/>
    <w:rsid w:val="00FF1256"/>
    <w:rsid w:val="00FF12DD"/>
    <w:rsid w:val="00FF12F4"/>
    <w:rsid w:val="00FF1351"/>
    <w:rsid w:val="00FF137E"/>
    <w:rsid w:val="00FF13A1"/>
    <w:rsid w:val="00FF141F"/>
    <w:rsid w:val="00FF1426"/>
    <w:rsid w:val="00FF1428"/>
    <w:rsid w:val="00FF142A"/>
    <w:rsid w:val="00FF163B"/>
    <w:rsid w:val="00FF16F4"/>
    <w:rsid w:val="00FF1705"/>
    <w:rsid w:val="00FF1767"/>
    <w:rsid w:val="00FF1785"/>
    <w:rsid w:val="00FF17E8"/>
    <w:rsid w:val="00FF17ED"/>
    <w:rsid w:val="00FF1806"/>
    <w:rsid w:val="00FF1837"/>
    <w:rsid w:val="00FF18E1"/>
    <w:rsid w:val="00FF18E7"/>
    <w:rsid w:val="00FF1919"/>
    <w:rsid w:val="00FF199A"/>
    <w:rsid w:val="00FF19B9"/>
    <w:rsid w:val="00FF1A55"/>
    <w:rsid w:val="00FF1A65"/>
    <w:rsid w:val="00FF1A84"/>
    <w:rsid w:val="00FF1A8B"/>
    <w:rsid w:val="00FF1A94"/>
    <w:rsid w:val="00FF1ABF"/>
    <w:rsid w:val="00FF1AC9"/>
    <w:rsid w:val="00FF1B66"/>
    <w:rsid w:val="00FF1B8C"/>
    <w:rsid w:val="00FF1B94"/>
    <w:rsid w:val="00FF1B9F"/>
    <w:rsid w:val="00FF1BC7"/>
    <w:rsid w:val="00FF1C33"/>
    <w:rsid w:val="00FF1C60"/>
    <w:rsid w:val="00FF1C61"/>
    <w:rsid w:val="00FF1C80"/>
    <w:rsid w:val="00FF1CC8"/>
    <w:rsid w:val="00FF1CCA"/>
    <w:rsid w:val="00FF1D05"/>
    <w:rsid w:val="00FF1D0C"/>
    <w:rsid w:val="00FF1DC0"/>
    <w:rsid w:val="00FF1DD3"/>
    <w:rsid w:val="00FF1DE4"/>
    <w:rsid w:val="00FF1EBA"/>
    <w:rsid w:val="00FF1EC5"/>
    <w:rsid w:val="00FF1ED9"/>
    <w:rsid w:val="00FF1EDB"/>
    <w:rsid w:val="00FF1F00"/>
    <w:rsid w:val="00FF1F43"/>
    <w:rsid w:val="00FF1F59"/>
    <w:rsid w:val="00FF1F5B"/>
    <w:rsid w:val="00FF1F93"/>
    <w:rsid w:val="00FF1F98"/>
    <w:rsid w:val="00FF1FA3"/>
    <w:rsid w:val="00FF1FCE"/>
    <w:rsid w:val="00FF207A"/>
    <w:rsid w:val="00FF2085"/>
    <w:rsid w:val="00FF2096"/>
    <w:rsid w:val="00FF20BE"/>
    <w:rsid w:val="00FF2123"/>
    <w:rsid w:val="00FF214E"/>
    <w:rsid w:val="00FF2158"/>
    <w:rsid w:val="00FF219A"/>
    <w:rsid w:val="00FF21B4"/>
    <w:rsid w:val="00FF21CA"/>
    <w:rsid w:val="00FF21F8"/>
    <w:rsid w:val="00FF21FC"/>
    <w:rsid w:val="00FF220F"/>
    <w:rsid w:val="00FF2217"/>
    <w:rsid w:val="00FF221E"/>
    <w:rsid w:val="00FF228F"/>
    <w:rsid w:val="00FF2290"/>
    <w:rsid w:val="00FF22AA"/>
    <w:rsid w:val="00FF2375"/>
    <w:rsid w:val="00FF23AA"/>
    <w:rsid w:val="00FF23B9"/>
    <w:rsid w:val="00FF23D9"/>
    <w:rsid w:val="00FF23F9"/>
    <w:rsid w:val="00FF2462"/>
    <w:rsid w:val="00FF24C6"/>
    <w:rsid w:val="00FF24E6"/>
    <w:rsid w:val="00FF2515"/>
    <w:rsid w:val="00FF2519"/>
    <w:rsid w:val="00FF2533"/>
    <w:rsid w:val="00FF2539"/>
    <w:rsid w:val="00FF253C"/>
    <w:rsid w:val="00FF2582"/>
    <w:rsid w:val="00FF2597"/>
    <w:rsid w:val="00FF259D"/>
    <w:rsid w:val="00FF25CE"/>
    <w:rsid w:val="00FF25D5"/>
    <w:rsid w:val="00FF261F"/>
    <w:rsid w:val="00FF2624"/>
    <w:rsid w:val="00FF2644"/>
    <w:rsid w:val="00FF270E"/>
    <w:rsid w:val="00FF276D"/>
    <w:rsid w:val="00FF277D"/>
    <w:rsid w:val="00FF2795"/>
    <w:rsid w:val="00FF27B4"/>
    <w:rsid w:val="00FF282A"/>
    <w:rsid w:val="00FF2837"/>
    <w:rsid w:val="00FF2868"/>
    <w:rsid w:val="00FF2897"/>
    <w:rsid w:val="00FF289F"/>
    <w:rsid w:val="00FF29F3"/>
    <w:rsid w:val="00FF2A19"/>
    <w:rsid w:val="00FF2A21"/>
    <w:rsid w:val="00FF2A69"/>
    <w:rsid w:val="00FF2A7D"/>
    <w:rsid w:val="00FF2A84"/>
    <w:rsid w:val="00FF2AE8"/>
    <w:rsid w:val="00FF2B15"/>
    <w:rsid w:val="00FF2B36"/>
    <w:rsid w:val="00FF2B87"/>
    <w:rsid w:val="00FF2BCD"/>
    <w:rsid w:val="00FF2C61"/>
    <w:rsid w:val="00FF2D1A"/>
    <w:rsid w:val="00FF2D73"/>
    <w:rsid w:val="00FF2DB2"/>
    <w:rsid w:val="00FF2DB5"/>
    <w:rsid w:val="00FF2DF7"/>
    <w:rsid w:val="00FF2E4E"/>
    <w:rsid w:val="00FF2E73"/>
    <w:rsid w:val="00FF2EB7"/>
    <w:rsid w:val="00FF2F25"/>
    <w:rsid w:val="00FF2F48"/>
    <w:rsid w:val="00FF2F75"/>
    <w:rsid w:val="00FF2F7D"/>
    <w:rsid w:val="00FF2F8A"/>
    <w:rsid w:val="00FF2FBD"/>
    <w:rsid w:val="00FF2FFF"/>
    <w:rsid w:val="00FF3028"/>
    <w:rsid w:val="00FF3037"/>
    <w:rsid w:val="00FF303F"/>
    <w:rsid w:val="00FF30CE"/>
    <w:rsid w:val="00FF30D7"/>
    <w:rsid w:val="00FF314E"/>
    <w:rsid w:val="00FF31A9"/>
    <w:rsid w:val="00FF31BC"/>
    <w:rsid w:val="00FF31E9"/>
    <w:rsid w:val="00FF326E"/>
    <w:rsid w:val="00FF32B8"/>
    <w:rsid w:val="00FF32C2"/>
    <w:rsid w:val="00FF32D0"/>
    <w:rsid w:val="00FF32DD"/>
    <w:rsid w:val="00FF333F"/>
    <w:rsid w:val="00FF3379"/>
    <w:rsid w:val="00FF3391"/>
    <w:rsid w:val="00FF33ED"/>
    <w:rsid w:val="00FF3456"/>
    <w:rsid w:val="00FF3463"/>
    <w:rsid w:val="00FF3478"/>
    <w:rsid w:val="00FF34AF"/>
    <w:rsid w:val="00FF354D"/>
    <w:rsid w:val="00FF3562"/>
    <w:rsid w:val="00FF35FF"/>
    <w:rsid w:val="00FF3683"/>
    <w:rsid w:val="00FF369F"/>
    <w:rsid w:val="00FF3718"/>
    <w:rsid w:val="00FF3721"/>
    <w:rsid w:val="00FF3775"/>
    <w:rsid w:val="00FF377E"/>
    <w:rsid w:val="00FF37ED"/>
    <w:rsid w:val="00FF3821"/>
    <w:rsid w:val="00FF3827"/>
    <w:rsid w:val="00FF385B"/>
    <w:rsid w:val="00FF3879"/>
    <w:rsid w:val="00FF38D6"/>
    <w:rsid w:val="00FF391A"/>
    <w:rsid w:val="00FF396C"/>
    <w:rsid w:val="00FF397B"/>
    <w:rsid w:val="00FF398B"/>
    <w:rsid w:val="00FF399A"/>
    <w:rsid w:val="00FF3A67"/>
    <w:rsid w:val="00FF3ABA"/>
    <w:rsid w:val="00FF3AD1"/>
    <w:rsid w:val="00FF3AF3"/>
    <w:rsid w:val="00FF3B1E"/>
    <w:rsid w:val="00FF3B72"/>
    <w:rsid w:val="00FF3B8C"/>
    <w:rsid w:val="00FF3BB2"/>
    <w:rsid w:val="00FF3BC3"/>
    <w:rsid w:val="00FF3C3A"/>
    <w:rsid w:val="00FF3C55"/>
    <w:rsid w:val="00FF3C69"/>
    <w:rsid w:val="00FF3C88"/>
    <w:rsid w:val="00FF3C90"/>
    <w:rsid w:val="00FF3CBE"/>
    <w:rsid w:val="00FF3CCE"/>
    <w:rsid w:val="00FF3D5E"/>
    <w:rsid w:val="00FF3D63"/>
    <w:rsid w:val="00FF3D87"/>
    <w:rsid w:val="00FF3E03"/>
    <w:rsid w:val="00FF3E06"/>
    <w:rsid w:val="00FF3E45"/>
    <w:rsid w:val="00FF3E80"/>
    <w:rsid w:val="00FF3E85"/>
    <w:rsid w:val="00FF3F0E"/>
    <w:rsid w:val="00FF3F72"/>
    <w:rsid w:val="00FF3F99"/>
    <w:rsid w:val="00FF3FC4"/>
    <w:rsid w:val="00FF3FD0"/>
    <w:rsid w:val="00FF3FF4"/>
    <w:rsid w:val="00FF401D"/>
    <w:rsid w:val="00FF40F1"/>
    <w:rsid w:val="00FF4194"/>
    <w:rsid w:val="00FF41DA"/>
    <w:rsid w:val="00FF423C"/>
    <w:rsid w:val="00FF42A0"/>
    <w:rsid w:val="00FF4344"/>
    <w:rsid w:val="00FF436F"/>
    <w:rsid w:val="00FF4399"/>
    <w:rsid w:val="00FF43A0"/>
    <w:rsid w:val="00FF4437"/>
    <w:rsid w:val="00FF4491"/>
    <w:rsid w:val="00FF4522"/>
    <w:rsid w:val="00FF4526"/>
    <w:rsid w:val="00FF453E"/>
    <w:rsid w:val="00FF457E"/>
    <w:rsid w:val="00FF459D"/>
    <w:rsid w:val="00FF45AA"/>
    <w:rsid w:val="00FF461A"/>
    <w:rsid w:val="00FF4620"/>
    <w:rsid w:val="00FF4638"/>
    <w:rsid w:val="00FF46FC"/>
    <w:rsid w:val="00FF4703"/>
    <w:rsid w:val="00FF4737"/>
    <w:rsid w:val="00FF474B"/>
    <w:rsid w:val="00FF4786"/>
    <w:rsid w:val="00FF4831"/>
    <w:rsid w:val="00FF48A4"/>
    <w:rsid w:val="00FF48B0"/>
    <w:rsid w:val="00FF48D5"/>
    <w:rsid w:val="00FF48EA"/>
    <w:rsid w:val="00FF4903"/>
    <w:rsid w:val="00FF4923"/>
    <w:rsid w:val="00FF49C5"/>
    <w:rsid w:val="00FF4A00"/>
    <w:rsid w:val="00FF4A45"/>
    <w:rsid w:val="00FF4AA1"/>
    <w:rsid w:val="00FF4ABA"/>
    <w:rsid w:val="00FF4AD5"/>
    <w:rsid w:val="00FF4ADD"/>
    <w:rsid w:val="00FF4B84"/>
    <w:rsid w:val="00FF4C74"/>
    <w:rsid w:val="00FF4C8D"/>
    <w:rsid w:val="00FF4D47"/>
    <w:rsid w:val="00FF4D70"/>
    <w:rsid w:val="00FF4DBA"/>
    <w:rsid w:val="00FF4DDC"/>
    <w:rsid w:val="00FF4DFC"/>
    <w:rsid w:val="00FF4E0A"/>
    <w:rsid w:val="00FF4E16"/>
    <w:rsid w:val="00FF4E2B"/>
    <w:rsid w:val="00FF4EA5"/>
    <w:rsid w:val="00FF4EB0"/>
    <w:rsid w:val="00FF4EED"/>
    <w:rsid w:val="00FF4EF7"/>
    <w:rsid w:val="00FF4F0C"/>
    <w:rsid w:val="00FF4F15"/>
    <w:rsid w:val="00FF4F3E"/>
    <w:rsid w:val="00FF4F59"/>
    <w:rsid w:val="00FF5008"/>
    <w:rsid w:val="00FF5055"/>
    <w:rsid w:val="00FF508C"/>
    <w:rsid w:val="00FF5187"/>
    <w:rsid w:val="00FF5197"/>
    <w:rsid w:val="00FF5218"/>
    <w:rsid w:val="00FF523A"/>
    <w:rsid w:val="00FF52A2"/>
    <w:rsid w:val="00FF52E0"/>
    <w:rsid w:val="00FF5355"/>
    <w:rsid w:val="00FF536E"/>
    <w:rsid w:val="00FF5392"/>
    <w:rsid w:val="00FF53C2"/>
    <w:rsid w:val="00FF53DA"/>
    <w:rsid w:val="00FF53F7"/>
    <w:rsid w:val="00FF53FC"/>
    <w:rsid w:val="00FF541F"/>
    <w:rsid w:val="00FF5421"/>
    <w:rsid w:val="00FF5436"/>
    <w:rsid w:val="00FF547D"/>
    <w:rsid w:val="00FF5484"/>
    <w:rsid w:val="00FF548A"/>
    <w:rsid w:val="00FF54B1"/>
    <w:rsid w:val="00FF54C0"/>
    <w:rsid w:val="00FF54EA"/>
    <w:rsid w:val="00FF54F0"/>
    <w:rsid w:val="00FF5561"/>
    <w:rsid w:val="00FF5575"/>
    <w:rsid w:val="00FF5581"/>
    <w:rsid w:val="00FF55D0"/>
    <w:rsid w:val="00FF55E4"/>
    <w:rsid w:val="00FF560E"/>
    <w:rsid w:val="00FF5668"/>
    <w:rsid w:val="00FF57BC"/>
    <w:rsid w:val="00FF57CE"/>
    <w:rsid w:val="00FF581D"/>
    <w:rsid w:val="00FF585C"/>
    <w:rsid w:val="00FF5895"/>
    <w:rsid w:val="00FF58A9"/>
    <w:rsid w:val="00FF5948"/>
    <w:rsid w:val="00FF59CE"/>
    <w:rsid w:val="00FF5A63"/>
    <w:rsid w:val="00FF5AF7"/>
    <w:rsid w:val="00FF5B00"/>
    <w:rsid w:val="00FF5B01"/>
    <w:rsid w:val="00FF5B05"/>
    <w:rsid w:val="00FF5B16"/>
    <w:rsid w:val="00FF5B5E"/>
    <w:rsid w:val="00FF5B6E"/>
    <w:rsid w:val="00FF5B95"/>
    <w:rsid w:val="00FF5BDD"/>
    <w:rsid w:val="00FF5C2E"/>
    <w:rsid w:val="00FF5CED"/>
    <w:rsid w:val="00FF5CF7"/>
    <w:rsid w:val="00FF5D1B"/>
    <w:rsid w:val="00FF5D22"/>
    <w:rsid w:val="00FF5D31"/>
    <w:rsid w:val="00FF5D3E"/>
    <w:rsid w:val="00FF5D84"/>
    <w:rsid w:val="00FF5DF8"/>
    <w:rsid w:val="00FF5E41"/>
    <w:rsid w:val="00FF5EB8"/>
    <w:rsid w:val="00FF5FC5"/>
    <w:rsid w:val="00FF5FCC"/>
    <w:rsid w:val="00FF5FDB"/>
    <w:rsid w:val="00FF6000"/>
    <w:rsid w:val="00FF6010"/>
    <w:rsid w:val="00FF6013"/>
    <w:rsid w:val="00FF6076"/>
    <w:rsid w:val="00FF6083"/>
    <w:rsid w:val="00FF60E9"/>
    <w:rsid w:val="00FF60F6"/>
    <w:rsid w:val="00FF6131"/>
    <w:rsid w:val="00FF6174"/>
    <w:rsid w:val="00FF61A2"/>
    <w:rsid w:val="00FF61E8"/>
    <w:rsid w:val="00FF624C"/>
    <w:rsid w:val="00FF624D"/>
    <w:rsid w:val="00FF62AB"/>
    <w:rsid w:val="00FF62DF"/>
    <w:rsid w:val="00FF6333"/>
    <w:rsid w:val="00FF638B"/>
    <w:rsid w:val="00FF63B1"/>
    <w:rsid w:val="00FF63D6"/>
    <w:rsid w:val="00FF6445"/>
    <w:rsid w:val="00FF644F"/>
    <w:rsid w:val="00FF648E"/>
    <w:rsid w:val="00FF649C"/>
    <w:rsid w:val="00FF64BE"/>
    <w:rsid w:val="00FF64D6"/>
    <w:rsid w:val="00FF64EF"/>
    <w:rsid w:val="00FF6568"/>
    <w:rsid w:val="00FF65E7"/>
    <w:rsid w:val="00FF6611"/>
    <w:rsid w:val="00FF6622"/>
    <w:rsid w:val="00FF6669"/>
    <w:rsid w:val="00FF6779"/>
    <w:rsid w:val="00FF677B"/>
    <w:rsid w:val="00FF67E0"/>
    <w:rsid w:val="00FF67E9"/>
    <w:rsid w:val="00FF67FD"/>
    <w:rsid w:val="00FF6804"/>
    <w:rsid w:val="00FF681C"/>
    <w:rsid w:val="00FF6820"/>
    <w:rsid w:val="00FF6868"/>
    <w:rsid w:val="00FF6884"/>
    <w:rsid w:val="00FF68A4"/>
    <w:rsid w:val="00FF6918"/>
    <w:rsid w:val="00FF6990"/>
    <w:rsid w:val="00FF69F2"/>
    <w:rsid w:val="00FF6A0D"/>
    <w:rsid w:val="00FF6A21"/>
    <w:rsid w:val="00FF6A61"/>
    <w:rsid w:val="00FF6A63"/>
    <w:rsid w:val="00FF6B10"/>
    <w:rsid w:val="00FF6B1B"/>
    <w:rsid w:val="00FF6B26"/>
    <w:rsid w:val="00FF6B54"/>
    <w:rsid w:val="00FF6B57"/>
    <w:rsid w:val="00FF6B59"/>
    <w:rsid w:val="00FF6B9A"/>
    <w:rsid w:val="00FF6BBC"/>
    <w:rsid w:val="00FF6BE3"/>
    <w:rsid w:val="00FF6BE7"/>
    <w:rsid w:val="00FF6C18"/>
    <w:rsid w:val="00FF6C22"/>
    <w:rsid w:val="00FF6C4D"/>
    <w:rsid w:val="00FF6CAB"/>
    <w:rsid w:val="00FF6CFE"/>
    <w:rsid w:val="00FF6D1A"/>
    <w:rsid w:val="00FF6D1C"/>
    <w:rsid w:val="00FF6D2E"/>
    <w:rsid w:val="00FF6D51"/>
    <w:rsid w:val="00FF6D53"/>
    <w:rsid w:val="00FF6D87"/>
    <w:rsid w:val="00FF6D92"/>
    <w:rsid w:val="00FF6E29"/>
    <w:rsid w:val="00FF6EA8"/>
    <w:rsid w:val="00FF6F27"/>
    <w:rsid w:val="00FF6F42"/>
    <w:rsid w:val="00FF6F82"/>
    <w:rsid w:val="00FF6FB8"/>
    <w:rsid w:val="00FF6FE7"/>
    <w:rsid w:val="00FF700C"/>
    <w:rsid w:val="00FF7078"/>
    <w:rsid w:val="00FF7089"/>
    <w:rsid w:val="00FF70E4"/>
    <w:rsid w:val="00FF70EA"/>
    <w:rsid w:val="00FF70F8"/>
    <w:rsid w:val="00FF716A"/>
    <w:rsid w:val="00FF71D1"/>
    <w:rsid w:val="00FF720A"/>
    <w:rsid w:val="00FF7258"/>
    <w:rsid w:val="00FF7274"/>
    <w:rsid w:val="00FF72A0"/>
    <w:rsid w:val="00FF72AB"/>
    <w:rsid w:val="00FF735C"/>
    <w:rsid w:val="00FF7375"/>
    <w:rsid w:val="00FF738E"/>
    <w:rsid w:val="00FF73C4"/>
    <w:rsid w:val="00FF748C"/>
    <w:rsid w:val="00FF748F"/>
    <w:rsid w:val="00FF74CD"/>
    <w:rsid w:val="00FF74FB"/>
    <w:rsid w:val="00FF7589"/>
    <w:rsid w:val="00FF75BC"/>
    <w:rsid w:val="00FF75D9"/>
    <w:rsid w:val="00FF75E4"/>
    <w:rsid w:val="00FF75E9"/>
    <w:rsid w:val="00FF7673"/>
    <w:rsid w:val="00FF76AD"/>
    <w:rsid w:val="00FF770B"/>
    <w:rsid w:val="00FF7757"/>
    <w:rsid w:val="00FF7775"/>
    <w:rsid w:val="00FF78EE"/>
    <w:rsid w:val="00FF7911"/>
    <w:rsid w:val="00FF794A"/>
    <w:rsid w:val="00FF79B8"/>
    <w:rsid w:val="00FF7A0B"/>
    <w:rsid w:val="00FF7A1D"/>
    <w:rsid w:val="00FF7A46"/>
    <w:rsid w:val="00FF7B9D"/>
    <w:rsid w:val="00FF7C1A"/>
    <w:rsid w:val="00FF7C66"/>
    <w:rsid w:val="00FF7C7A"/>
    <w:rsid w:val="00FF7CA5"/>
    <w:rsid w:val="00FF7D29"/>
    <w:rsid w:val="00FF7D84"/>
    <w:rsid w:val="00FF7D9F"/>
    <w:rsid w:val="00FF7DE8"/>
    <w:rsid w:val="00FF7E76"/>
    <w:rsid w:val="00FF7EB5"/>
    <w:rsid w:val="00FF7EC1"/>
    <w:rsid w:val="00FF7F52"/>
    <w:rsid w:val="00FF7F62"/>
    <w:rsid w:val="00FF7F72"/>
    <w:rsid w:val="00FF7FB4"/>
    <w:rsid w:val="00FF7FD6"/>
    <w:rsid w:val="00FF7FDA"/>
    <w:rsid w:val="00FF7FFD"/>
    <w:rsid w:val="0100D803"/>
    <w:rsid w:val="010291AF"/>
    <w:rsid w:val="010535AB"/>
    <w:rsid w:val="01058C9D"/>
    <w:rsid w:val="0107B8D2"/>
    <w:rsid w:val="0108377F"/>
    <w:rsid w:val="0108D332"/>
    <w:rsid w:val="0109B7CE"/>
    <w:rsid w:val="010A4C30"/>
    <w:rsid w:val="010B3137"/>
    <w:rsid w:val="010B3D85"/>
    <w:rsid w:val="01103A19"/>
    <w:rsid w:val="0110A0F6"/>
    <w:rsid w:val="0111C340"/>
    <w:rsid w:val="0114F6A3"/>
    <w:rsid w:val="0115663A"/>
    <w:rsid w:val="01160A44"/>
    <w:rsid w:val="01171AEF"/>
    <w:rsid w:val="01178ACE"/>
    <w:rsid w:val="011A70C0"/>
    <w:rsid w:val="011BC808"/>
    <w:rsid w:val="011BFA96"/>
    <w:rsid w:val="011F8B2C"/>
    <w:rsid w:val="012140F6"/>
    <w:rsid w:val="012363F6"/>
    <w:rsid w:val="0123A37B"/>
    <w:rsid w:val="0123D75F"/>
    <w:rsid w:val="0124424C"/>
    <w:rsid w:val="01264016"/>
    <w:rsid w:val="01269553"/>
    <w:rsid w:val="012994BD"/>
    <w:rsid w:val="012E46EE"/>
    <w:rsid w:val="012EFD71"/>
    <w:rsid w:val="012F1842"/>
    <w:rsid w:val="012F299B"/>
    <w:rsid w:val="01323F69"/>
    <w:rsid w:val="01328F0B"/>
    <w:rsid w:val="01334242"/>
    <w:rsid w:val="01342917"/>
    <w:rsid w:val="013452D9"/>
    <w:rsid w:val="01378B50"/>
    <w:rsid w:val="0137CB80"/>
    <w:rsid w:val="01398293"/>
    <w:rsid w:val="0139B5E6"/>
    <w:rsid w:val="013A82A4"/>
    <w:rsid w:val="013A8FA3"/>
    <w:rsid w:val="013DC291"/>
    <w:rsid w:val="013E0A5E"/>
    <w:rsid w:val="013E1133"/>
    <w:rsid w:val="013E4374"/>
    <w:rsid w:val="013E5A78"/>
    <w:rsid w:val="013EC41D"/>
    <w:rsid w:val="013EE763"/>
    <w:rsid w:val="013F076C"/>
    <w:rsid w:val="0141648A"/>
    <w:rsid w:val="0141DE08"/>
    <w:rsid w:val="0141F314"/>
    <w:rsid w:val="01435844"/>
    <w:rsid w:val="01438FDF"/>
    <w:rsid w:val="0145D817"/>
    <w:rsid w:val="0148E38E"/>
    <w:rsid w:val="014915DE"/>
    <w:rsid w:val="0149E4C8"/>
    <w:rsid w:val="014C3A51"/>
    <w:rsid w:val="014C6691"/>
    <w:rsid w:val="014EFD0C"/>
    <w:rsid w:val="014FA7BE"/>
    <w:rsid w:val="0155C4AE"/>
    <w:rsid w:val="0155CC8C"/>
    <w:rsid w:val="0155EFE5"/>
    <w:rsid w:val="01579001"/>
    <w:rsid w:val="0158D87A"/>
    <w:rsid w:val="0158FBCA"/>
    <w:rsid w:val="01599C0D"/>
    <w:rsid w:val="0159A3D3"/>
    <w:rsid w:val="015BEA29"/>
    <w:rsid w:val="015C3E89"/>
    <w:rsid w:val="015C437A"/>
    <w:rsid w:val="015D8E17"/>
    <w:rsid w:val="015E1157"/>
    <w:rsid w:val="0160DEAC"/>
    <w:rsid w:val="0161BF1B"/>
    <w:rsid w:val="0162258B"/>
    <w:rsid w:val="01629260"/>
    <w:rsid w:val="01657331"/>
    <w:rsid w:val="01657389"/>
    <w:rsid w:val="0167241A"/>
    <w:rsid w:val="016C3411"/>
    <w:rsid w:val="016C8E7D"/>
    <w:rsid w:val="0176D959"/>
    <w:rsid w:val="01786A2E"/>
    <w:rsid w:val="017D6979"/>
    <w:rsid w:val="017D7B7B"/>
    <w:rsid w:val="017EA8AD"/>
    <w:rsid w:val="017F936A"/>
    <w:rsid w:val="01809AFE"/>
    <w:rsid w:val="01834FBE"/>
    <w:rsid w:val="01841C22"/>
    <w:rsid w:val="0184A8D5"/>
    <w:rsid w:val="018504F3"/>
    <w:rsid w:val="0185C98B"/>
    <w:rsid w:val="018ADB20"/>
    <w:rsid w:val="018BAA66"/>
    <w:rsid w:val="018BDF45"/>
    <w:rsid w:val="018C8021"/>
    <w:rsid w:val="018C8653"/>
    <w:rsid w:val="018CE917"/>
    <w:rsid w:val="018E8B1A"/>
    <w:rsid w:val="018ECC5A"/>
    <w:rsid w:val="0191A12D"/>
    <w:rsid w:val="0192A4CD"/>
    <w:rsid w:val="0195B567"/>
    <w:rsid w:val="0196B10E"/>
    <w:rsid w:val="0197B3F8"/>
    <w:rsid w:val="01983CE1"/>
    <w:rsid w:val="01998496"/>
    <w:rsid w:val="019A1F70"/>
    <w:rsid w:val="019C0078"/>
    <w:rsid w:val="019CCFD5"/>
    <w:rsid w:val="019DAEBF"/>
    <w:rsid w:val="019EEE6D"/>
    <w:rsid w:val="019F10A7"/>
    <w:rsid w:val="01A16D94"/>
    <w:rsid w:val="01A1DA1C"/>
    <w:rsid w:val="01A53AF8"/>
    <w:rsid w:val="01A7EF9E"/>
    <w:rsid w:val="01AC600B"/>
    <w:rsid w:val="01ACE723"/>
    <w:rsid w:val="01ADA81D"/>
    <w:rsid w:val="01AE4868"/>
    <w:rsid w:val="01B0C28E"/>
    <w:rsid w:val="01B0EFB3"/>
    <w:rsid w:val="01B0FBC1"/>
    <w:rsid w:val="01B12C8B"/>
    <w:rsid w:val="01B2BBCB"/>
    <w:rsid w:val="01B2F515"/>
    <w:rsid w:val="01B301A6"/>
    <w:rsid w:val="01B3CA9E"/>
    <w:rsid w:val="01B44533"/>
    <w:rsid w:val="01B6913E"/>
    <w:rsid w:val="01B6ECD4"/>
    <w:rsid w:val="01B8753B"/>
    <w:rsid w:val="01BB059D"/>
    <w:rsid w:val="01BB73A1"/>
    <w:rsid w:val="01BC2D53"/>
    <w:rsid w:val="01BD1489"/>
    <w:rsid w:val="01BEF832"/>
    <w:rsid w:val="01BF50E2"/>
    <w:rsid w:val="01C00A69"/>
    <w:rsid w:val="01C11A18"/>
    <w:rsid w:val="01C21160"/>
    <w:rsid w:val="01C3AAA6"/>
    <w:rsid w:val="01C538D5"/>
    <w:rsid w:val="01C72401"/>
    <w:rsid w:val="01C8CC29"/>
    <w:rsid w:val="01CA1460"/>
    <w:rsid w:val="01CB418F"/>
    <w:rsid w:val="01CBD4BB"/>
    <w:rsid w:val="01CBD60B"/>
    <w:rsid w:val="01CBDBF7"/>
    <w:rsid w:val="01CC32AC"/>
    <w:rsid w:val="01CDE411"/>
    <w:rsid w:val="01CEAF6B"/>
    <w:rsid w:val="01CF8B47"/>
    <w:rsid w:val="01D0AB17"/>
    <w:rsid w:val="01D1D29E"/>
    <w:rsid w:val="01D2B4EF"/>
    <w:rsid w:val="01D2F69D"/>
    <w:rsid w:val="01D42B85"/>
    <w:rsid w:val="01D648EF"/>
    <w:rsid w:val="01D7EB78"/>
    <w:rsid w:val="01D93302"/>
    <w:rsid w:val="01DA7EEB"/>
    <w:rsid w:val="01DB04E7"/>
    <w:rsid w:val="01DC56CC"/>
    <w:rsid w:val="01DCC7FD"/>
    <w:rsid w:val="01DEA716"/>
    <w:rsid w:val="01DEF3C1"/>
    <w:rsid w:val="01DF0CCF"/>
    <w:rsid w:val="01DF3D91"/>
    <w:rsid w:val="01DF4643"/>
    <w:rsid w:val="01DF634B"/>
    <w:rsid w:val="01E3E2AD"/>
    <w:rsid w:val="01E7C056"/>
    <w:rsid w:val="01EBA19F"/>
    <w:rsid w:val="01F26447"/>
    <w:rsid w:val="01F45DC6"/>
    <w:rsid w:val="01F53370"/>
    <w:rsid w:val="01F761DF"/>
    <w:rsid w:val="01F94706"/>
    <w:rsid w:val="01FBE953"/>
    <w:rsid w:val="01FD899F"/>
    <w:rsid w:val="01FE03FC"/>
    <w:rsid w:val="01FF2614"/>
    <w:rsid w:val="020130E3"/>
    <w:rsid w:val="0201503D"/>
    <w:rsid w:val="0201CDE5"/>
    <w:rsid w:val="02033C83"/>
    <w:rsid w:val="02058F38"/>
    <w:rsid w:val="02065EB8"/>
    <w:rsid w:val="020B6A33"/>
    <w:rsid w:val="020BC5D4"/>
    <w:rsid w:val="020BCE0E"/>
    <w:rsid w:val="020BE02D"/>
    <w:rsid w:val="020CD3DD"/>
    <w:rsid w:val="020CD5E5"/>
    <w:rsid w:val="020D1DC0"/>
    <w:rsid w:val="020EF37B"/>
    <w:rsid w:val="02101AD0"/>
    <w:rsid w:val="02136264"/>
    <w:rsid w:val="0214CC69"/>
    <w:rsid w:val="0216A406"/>
    <w:rsid w:val="02180428"/>
    <w:rsid w:val="021815BA"/>
    <w:rsid w:val="021A62BC"/>
    <w:rsid w:val="021B72CA"/>
    <w:rsid w:val="021BA122"/>
    <w:rsid w:val="021C82F0"/>
    <w:rsid w:val="021E2D85"/>
    <w:rsid w:val="021E95BB"/>
    <w:rsid w:val="021F4126"/>
    <w:rsid w:val="0220382A"/>
    <w:rsid w:val="02206DEF"/>
    <w:rsid w:val="02231F09"/>
    <w:rsid w:val="0223ABFE"/>
    <w:rsid w:val="0226E740"/>
    <w:rsid w:val="0227B373"/>
    <w:rsid w:val="0227F6FA"/>
    <w:rsid w:val="022A4C3B"/>
    <w:rsid w:val="022B10DB"/>
    <w:rsid w:val="022BBB38"/>
    <w:rsid w:val="022BC0DC"/>
    <w:rsid w:val="022BD5DE"/>
    <w:rsid w:val="0232F921"/>
    <w:rsid w:val="0234D22D"/>
    <w:rsid w:val="0235A941"/>
    <w:rsid w:val="0235CF4B"/>
    <w:rsid w:val="02367F1A"/>
    <w:rsid w:val="02373864"/>
    <w:rsid w:val="023ABFCB"/>
    <w:rsid w:val="023BA841"/>
    <w:rsid w:val="023DC67A"/>
    <w:rsid w:val="023E2F0E"/>
    <w:rsid w:val="023FB253"/>
    <w:rsid w:val="0241DAE4"/>
    <w:rsid w:val="0242EE49"/>
    <w:rsid w:val="0247A3D2"/>
    <w:rsid w:val="0248B0FB"/>
    <w:rsid w:val="0249B3BE"/>
    <w:rsid w:val="024BBB9A"/>
    <w:rsid w:val="024C1D04"/>
    <w:rsid w:val="024C3034"/>
    <w:rsid w:val="024C3341"/>
    <w:rsid w:val="024C86EF"/>
    <w:rsid w:val="024E26A6"/>
    <w:rsid w:val="024E931B"/>
    <w:rsid w:val="024F2275"/>
    <w:rsid w:val="024F4731"/>
    <w:rsid w:val="02510677"/>
    <w:rsid w:val="025628D7"/>
    <w:rsid w:val="0256EAA2"/>
    <w:rsid w:val="0257B366"/>
    <w:rsid w:val="0257FDB7"/>
    <w:rsid w:val="0258CC41"/>
    <w:rsid w:val="025AAE92"/>
    <w:rsid w:val="025B4A3B"/>
    <w:rsid w:val="025BC95F"/>
    <w:rsid w:val="025D8C28"/>
    <w:rsid w:val="025DC900"/>
    <w:rsid w:val="025EAF20"/>
    <w:rsid w:val="02605F4C"/>
    <w:rsid w:val="02612534"/>
    <w:rsid w:val="0265E2F6"/>
    <w:rsid w:val="0267611C"/>
    <w:rsid w:val="0267DF63"/>
    <w:rsid w:val="02682CE9"/>
    <w:rsid w:val="0269BD2D"/>
    <w:rsid w:val="0269EA70"/>
    <w:rsid w:val="026A0BFA"/>
    <w:rsid w:val="026A58A9"/>
    <w:rsid w:val="026A6931"/>
    <w:rsid w:val="026CE21E"/>
    <w:rsid w:val="026D107D"/>
    <w:rsid w:val="026F78EE"/>
    <w:rsid w:val="027176F4"/>
    <w:rsid w:val="027424AE"/>
    <w:rsid w:val="0274DC63"/>
    <w:rsid w:val="02770045"/>
    <w:rsid w:val="027A95B0"/>
    <w:rsid w:val="027BB72F"/>
    <w:rsid w:val="027C2A0B"/>
    <w:rsid w:val="027E1890"/>
    <w:rsid w:val="027F1937"/>
    <w:rsid w:val="027F59C4"/>
    <w:rsid w:val="027FE3DF"/>
    <w:rsid w:val="0282B89C"/>
    <w:rsid w:val="02869225"/>
    <w:rsid w:val="02871E7D"/>
    <w:rsid w:val="02884BAC"/>
    <w:rsid w:val="028A5015"/>
    <w:rsid w:val="028BBAEC"/>
    <w:rsid w:val="028D43EC"/>
    <w:rsid w:val="028D6EFF"/>
    <w:rsid w:val="028D9123"/>
    <w:rsid w:val="028E2354"/>
    <w:rsid w:val="028EE059"/>
    <w:rsid w:val="028F0534"/>
    <w:rsid w:val="02903B74"/>
    <w:rsid w:val="0290B12A"/>
    <w:rsid w:val="029210BC"/>
    <w:rsid w:val="02927585"/>
    <w:rsid w:val="0292EA19"/>
    <w:rsid w:val="0293A91A"/>
    <w:rsid w:val="02942BD7"/>
    <w:rsid w:val="02972A7B"/>
    <w:rsid w:val="0299CAEE"/>
    <w:rsid w:val="029AC451"/>
    <w:rsid w:val="029D278D"/>
    <w:rsid w:val="029D387B"/>
    <w:rsid w:val="02A317E5"/>
    <w:rsid w:val="02A3B802"/>
    <w:rsid w:val="02A5110C"/>
    <w:rsid w:val="02A5CA31"/>
    <w:rsid w:val="02A6337F"/>
    <w:rsid w:val="02A6EC9E"/>
    <w:rsid w:val="02A6FD46"/>
    <w:rsid w:val="02A74434"/>
    <w:rsid w:val="02A7BE68"/>
    <w:rsid w:val="02A7E6BA"/>
    <w:rsid w:val="02A9AD29"/>
    <w:rsid w:val="02AA6B69"/>
    <w:rsid w:val="02AD4DF7"/>
    <w:rsid w:val="02AE8760"/>
    <w:rsid w:val="02B1DAF4"/>
    <w:rsid w:val="02B53B6C"/>
    <w:rsid w:val="02B66DE3"/>
    <w:rsid w:val="02B6ABCD"/>
    <w:rsid w:val="02B6AED0"/>
    <w:rsid w:val="02B72CE1"/>
    <w:rsid w:val="02BC5E20"/>
    <w:rsid w:val="02BD410B"/>
    <w:rsid w:val="02BD5D4D"/>
    <w:rsid w:val="02BFF205"/>
    <w:rsid w:val="02C14127"/>
    <w:rsid w:val="02C1DEAF"/>
    <w:rsid w:val="02C5DDE0"/>
    <w:rsid w:val="02C7A3B5"/>
    <w:rsid w:val="02C98EF4"/>
    <w:rsid w:val="02C9B598"/>
    <w:rsid w:val="02CA8DFF"/>
    <w:rsid w:val="02CB839D"/>
    <w:rsid w:val="02CC3022"/>
    <w:rsid w:val="02CD6971"/>
    <w:rsid w:val="02CD7551"/>
    <w:rsid w:val="02CE0030"/>
    <w:rsid w:val="02CE02BA"/>
    <w:rsid w:val="02CF35C1"/>
    <w:rsid w:val="02D22387"/>
    <w:rsid w:val="02D3DFE4"/>
    <w:rsid w:val="02D5973F"/>
    <w:rsid w:val="02D7BAA1"/>
    <w:rsid w:val="02D83FDA"/>
    <w:rsid w:val="02D929F0"/>
    <w:rsid w:val="02D9D77C"/>
    <w:rsid w:val="02DB2B32"/>
    <w:rsid w:val="02E22661"/>
    <w:rsid w:val="02E3733B"/>
    <w:rsid w:val="02E3EB9F"/>
    <w:rsid w:val="02E6AEAF"/>
    <w:rsid w:val="02E75967"/>
    <w:rsid w:val="02E7B9F7"/>
    <w:rsid w:val="02E93BBA"/>
    <w:rsid w:val="02EA41CA"/>
    <w:rsid w:val="02EA9FFF"/>
    <w:rsid w:val="02EBD89E"/>
    <w:rsid w:val="02EDF2BB"/>
    <w:rsid w:val="02EF1B71"/>
    <w:rsid w:val="02EFCBA5"/>
    <w:rsid w:val="02F0E085"/>
    <w:rsid w:val="02F19C29"/>
    <w:rsid w:val="02F28990"/>
    <w:rsid w:val="02F46370"/>
    <w:rsid w:val="02F5D65F"/>
    <w:rsid w:val="02F61302"/>
    <w:rsid w:val="02F8F240"/>
    <w:rsid w:val="02FCB65C"/>
    <w:rsid w:val="02FD0DFB"/>
    <w:rsid w:val="02FF2577"/>
    <w:rsid w:val="03020B70"/>
    <w:rsid w:val="03029D2F"/>
    <w:rsid w:val="03039E09"/>
    <w:rsid w:val="030512ED"/>
    <w:rsid w:val="030765F7"/>
    <w:rsid w:val="030797CD"/>
    <w:rsid w:val="03098EAB"/>
    <w:rsid w:val="030B1DC6"/>
    <w:rsid w:val="030BC774"/>
    <w:rsid w:val="030DACEE"/>
    <w:rsid w:val="030E39C8"/>
    <w:rsid w:val="030EFE2A"/>
    <w:rsid w:val="0310A9D4"/>
    <w:rsid w:val="03119DE4"/>
    <w:rsid w:val="0311EFC9"/>
    <w:rsid w:val="03125B9D"/>
    <w:rsid w:val="03136C23"/>
    <w:rsid w:val="0313C524"/>
    <w:rsid w:val="03144C0C"/>
    <w:rsid w:val="031520F8"/>
    <w:rsid w:val="0316742A"/>
    <w:rsid w:val="03190662"/>
    <w:rsid w:val="031CEB59"/>
    <w:rsid w:val="031D25F8"/>
    <w:rsid w:val="031E837D"/>
    <w:rsid w:val="031FC5B3"/>
    <w:rsid w:val="0321B658"/>
    <w:rsid w:val="0321BC8C"/>
    <w:rsid w:val="03225ECB"/>
    <w:rsid w:val="0323B635"/>
    <w:rsid w:val="032701E8"/>
    <w:rsid w:val="0328230B"/>
    <w:rsid w:val="032972FE"/>
    <w:rsid w:val="032B1B2F"/>
    <w:rsid w:val="032C4CE7"/>
    <w:rsid w:val="032D4B44"/>
    <w:rsid w:val="032D84ED"/>
    <w:rsid w:val="032FD018"/>
    <w:rsid w:val="033003C8"/>
    <w:rsid w:val="03308180"/>
    <w:rsid w:val="033099DC"/>
    <w:rsid w:val="0330F18D"/>
    <w:rsid w:val="0332242F"/>
    <w:rsid w:val="0332AD21"/>
    <w:rsid w:val="03343FEA"/>
    <w:rsid w:val="03366F01"/>
    <w:rsid w:val="0336AA2D"/>
    <w:rsid w:val="0336E13A"/>
    <w:rsid w:val="03390331"/>
    <w:rsid w:val="03396A6A"/>
    <w:rsid w:val="0339ACC0"/>
    <w:rsid w:val="033A28A7"/>
    <w:rsid w:val="033A963C"/>
    <w:rsid w:val="033AB5A5"/>
    <w:rsid w:val="033AE12B"/>
    <w:rsid w:val="033DA6C9"/>
    <w:rsid w:val="033E1A2B"/>
    <w:rsid w:val="033F3EE4"/>
    <w:rsid w:val="03405F1F"/>
    <w:rsid w:val="0340EBAE"/>
    <w:rsid w:val="0343BF5C"/>
    <w:rsid w:val="03472BA8"/>
    <w:rsid w:val="0348B6DB"/>
    <w:rsid w:val="0349007E"/>
    <w:rsid w:val="034A7F78"/>
    <w:rsid w:val="034E2510"/>
    <w:rsid w:val="034EF09D"/>
    <w:rsid w:val="034F9AA4"/>
    <w:rsid w:val="0356D1BE"/>
    <w:rsid w:val="0358E88C"/>
    <w:rsid w:val="03594894"/>
    <w:rsid w:val="0359E1C5"/>
    <w:rsid w:val="035A8056"/>
    <w:rsid w:val="035AE3F9"/>
    <w:rsid w:val="035D33D1"/>
    <w:rsid w:val="035F116B"/>
    <w:rsid w:val="0360E577"/>
    <w:rsid w:val="036184C8"/>
    <w:rsid w:val="03641091"/>
    <w:rsid w:val="0364A454"/>
    <w:rsid w:val="036551A5"/>
    <w:rsid w:val="03658166"/>
    <w:rsid w:val="0365F310"/>
    <w:rsid w:val="03668149"/>
    <w:rsid w:val="03668236"/>
    <w:rsid w:val="03691420"/>
    <w:rsid w:val="0369D924"/>
    <w:rsid w:val="036B616B"/>
    <w:rsid w:val="036E6E34"/>
    <w:rsid w:val="036ECE70"/>
    <w:rsid w:val="036F274A"/>
    <w:rsid w:val="03708F0D"/>
    <w:rsid w:val="0371F353"/>
    <w:rsid w:val="0373BD56"/>
    <w:rsid w:val="03746483"/>
    <w:rsid w:val="0377CE8D"/>
    <w:rsid w:val="0378287B"/>
    <w:rsid w:val="0379467E"/>
    <w:rsid w:val="03795CD7"/>
    <w:rsid w:val="037E00CE"/>
    <w:rsid w:val="037E33D9"/>
    <w:rsid w:val="037F0FDC"/>
    <w:rsid w:val="037FD610"/>
    <w:rsid w:val="0380A4F2"/>
    <w:rsid w:val="038196BE"/>
    <w:rsid w:val="0383FCA8"/>
    <w:rsid w:val="0387671E"/>
    <w:rsid w:val="038A86BD"/>
    <w:rsid w:val="038AFE29"/>
    <w:rsid w:val="038BCA87"/>
    <w:rsid w:val="038C9DED"/>
    <w:rsid w:val="038CB6AC"/>
    <w:rsid w:val="038E70B6"/>
    <w:rsid w:val="038F66EA"/>
    <w:rsid w:val="03900340"/>
    <w:rsid w:val="0390C0BB"/>
    <w:rsid w:val="0391248C"/>
    <w:rsid w:val="03913465"/>
    <w:rsid w:val="03915976"/>
    <w:rsid w:val="03928CC4"/>
    <w:rsid w:val="0392FD64"/>
    <w:rsid w:val="0393A13F"/>
    <w:rsid w:val="0393A2D9"/>
    <w:rsid w:val="03966D08"/>
    <w:rsid w:val="0396A23F"/>
    <w:rsid w:val="03985BF1"/>
    <w:rsid w:val="03994CC4"/>
    <w:rsid w:val="039AA5CA"/>
    <w:rsid w:val="039AD8F5"/>
    <w:rsid w:val="039AEF2B"/>
    <w:rsid w:val="039B1036"/>
    <w:rsid w:val="039B1394"/>
    <w:rsid w:val="039B31EF"/>
    <w:rsid w:val="039C7BC5"/>
    <w:rsid w:val="039CAC22"/>
    <w:rsid w:val="039EE897"/>
    <w:rsid w:val="039EEB5E"/>
    <w:rsid w:val="03A06C1B"/>
    <w:rsid w:val="03A10290"/>
    <w:rsid w:val="03A13BC9"/>
    <w:rsid w:val="03A38001"/>
    <w:rsid w:val="03A3EE03"/>
    <w:rsid w:val="03A56BAA"/>
    <w:rsid w:val="03A58250"/>
    <w:rsid w:val="03A58B5A"/>
    <w:rsid w:val="03A7DBF3"/>
    <w:rsid w:val="03A8F699"/>
    <w:rsid w:val="03AA7454"/>
    <w:rsid w:val="03AD96D4"/>
    <w:rsid w:val="03AE8A47"/>
    <w:rsid w:val="03AE9CCF"/>
    <w:rsid w:val="03AFACDE"/>
    <w:rsid w:val="03B256A6"/>
    <w:rsid w:val="03B3327E"/>
    <w:rsid w:val="03B411CA"/>
    <w:rsid w:val="03B455D9"/>
    <w:rsid w:val="03B5DDE8"/>
    <w:rsid w:val="03B84A0B"/>
    <w:rsid w:val="03B972AB"/>
    <w:rsid w:val="03B98A9D"/>
    <w:rsid w:val="03B9B256"/>
    <w:rsid w:val="03BC53D9"/>
    <w:rsid w:val="03BE5F28"/>
    <w:rsid w:val="03BFCFF2"/>
    <w:rsid w:val="03BFF49C"/>
    <w:rsid w:val="03C0ACE2"/>
    <w:rsid w:val="03C3F518"/>
    <w:rsid w:val="03C43F5D"/>
    <w:rsid w:val="03C66F71"/>
    <w:rsid w:val="03C6FF24"/>
    <w:rsid w:val="03C7342B"/>
    <w:rsid w:val="03C8D480"/>
    <w:rsid w:val="03CABDE9"/>
    <w:rsid w:val="03CB0443"/>
    <w:rsid w:val="03CBAF20"/>
    <w:rsid w:val="03CD8E35"/>
    <w:rsid w:val="03CF3611"/>
    <w:rsid w:val="03CFC52C"/>
    <w:rsid w:val="03D0CF27"/>
    <w:rsid w:val="03D152AE"/>
    <w:rsid w:val="03D2B430"/>
    <w:rsid w:val="03D32965"/>
    <w:rsid w:val="03D4582B"/>
    <w:rsid w:val="03D465D9"/>
    <w:rsid w:val="03D556CD"/>
    <w:rsid w:val="03D56046"/>
    <w:rsid w:val="03D63960"/>
    <w:rsid w:val="03D72502"/>
    <w:rsid w:val="03D73B90"/>
    <w:rsid w:val="03D7BB7D"/>
    <w:rsid w:val="03DD30DF"/>
    <w:rsid w:val="03DD6175"/>
    <w:rsid w:val="03E3B36D"/>
    <w:rsid w:val="03E4E0D8"/>
    <w:rsid w:val="03E6B0E2"/>
    <w:rsid w:val="03E6F646"/>
    <w:rsid w:val="03E73E0F"/>
    <w:rsid w:val="03E9C8BE"/>
    <w:rsid w:val="03EA6C8D"/>
    <w:rsid w:val="03EAAC0C"/>
    <w:rsid w:val="03EB482A"/>
    <w:rsid w:val="03ED42EC"/>
    <w:rsid w:val="03EDFA10"/>
    <w:rsid w:val="03F21D2A"/>
    <w:rsid w:val="03F285CD"/>
    <w:rsid w:val="03F2E9F1"/>
    <w:rsid w:val="03F32469"/>
    <w:rsid w:val="03F6494F"/>
    <w:rsid w:val="03F7A138"/>
    <w:rsid w:val="03F9E876"/>
    <w:rsid w:val="03F9E8BC"/>
    <w:rsid w:val="03FB9076"/>
    <w:rsid w:val="03FCFAC6"/>
    <w:rsid w:val="03FEE6F1"/>
    <w:rsid w:val="03FF91C5"/>
    <w:rsid w:val="0400E8B8"/>
    <w:rsid w:val="0401EEED"/>
    <w:rsid w:val="0402E863"/>
    <w:rsid w:val="04041E62"/>
    <w:rsid w:val="040610B5"/>
    <w:rsid w:val="0408BA6A"/>
    <w:rsid w:val="0409C083"/>
    <w:rsid w:val="0409C626"/>
    <w:rsid w:val="040A2928"/>
    <w:rsid w:val="040AACFC"/>
    <w:rsid w:val="040ABC78"/>
    <w:rsid w:val="040E5F3F"/>
    <w:rsid w:val="040EF219"/>
    <w:rsid w:val="040FC16E"/>
    <w:rsid w:val="040FF27C"/>
    <w:rsid w:val="0415BEBD"/>
    <w:rsid w:val="04167579"/>
    <w:rsid w:val="04176817"/>
    <w:rsid w:val="041848C0"/>
    <w:rsid w:val="0418FBEC"/>
    <w:rsid w:val="041F4A13"/>
    <w:rsid w:val="0421A7C3"/>
    <w:rsid w:val="04231DAB"/>
    <w:rsid w:val="04234E95"/>
    <w:rsid w:val="042388E3"/>
    <w:rsid w:val="0425BCF7"/>
    <w:rsid w:val="04267247"/>
    <w:rsid w:val="0427C9D5"/>
    <w:rsid w:val="04294BE5"/>
    <w:rsid w:val="04314DC0"/>
    <w:rsid w:val="043193B6"/>
    <w:rsid w:val="0431A7C1"/>
    <w:rsid w:val="0431FBE7"/>
    <w:rsid w:val="04325607"/>
    <w:rsid w:val="0434421B"/>
    <w:rsid w:val="0434435F"/>
    <w:rsid w:val="0435E3A0"/>
    <w:rsid w:val="04363C18"/>
    <w:rsid w:val="04398A17"/>
    <w:rsid w:val="043A0502"/>
    <w:rsid w:val="043B9D95"/>
    <w:rsid w:val="043BBAA5"/>
    <w:rsid w:val="043C6D3D"/>
    <w:rsid w:val="043C9464"/>
    <w:rsid w:val="043D6843"/>
    <w:rsid w:val="043D8FDF"/>
    <w:rsid w:val="043D9A50"/>
    <w:rsid w:val="043F60BB"/>
    <w:rsid w:val="043FFC24"/>
    <w:rsid w:val="0440E0A8"/>
    <w:rsid w:val="0442EFDB"/>
    <w:rsid w:val="04445A70"/>
    <w:rsid w:val="04471003"/>
    <w:rsid w:val="0448A64B"/>
    <w:rsid w:val="0448AAC8"/>
    <w:rsid w:val="0449139D"/>
    <w:rsid w:val="044940FD"/>
    <w:rsid w:val="044956F5"/>
    <w:rsid w:val="0449F308"/>
    <w:rsid w:val="044C9B79"/>
    <w:rsid w:val="044D48E2"/>
    <w:rsid w:val="044ECB23"/>
    <w:rsid w:val="0451B01C"/>
    <w:rsid w:val="0451FCBE"/>
    <w:rsid w:val="0454582D"/>
    <w:rsid w:val="04574E82"/>
    <w:rsid w:val="0459FECB"/>
    <w:rsid w:val="045A3B35"/>
    <w:rsid w:val="045E63C2"/>
    <w:rsid w:val="045E8721"/>
    <w:rsid w:val="04602B34"/>
    <w:rsid w:val="0460BECE"/>
    <w:rsid w:val="04685F89"/>
    <w:rsid w:val="04688A8D"/>
    <w:rsid w:val="046952A0"/>
    <w:rsid w:val="046A9047"/>
    <w:rsid w:val="046C0210"/>
    <w:rsid w:val="046E9F1B"/>
    <w:rsid w:val="04706F61"/>
    <w:rsid w:val="0471E34B"/>
    <w:rsid w:val="0473FCB7"/>
    <w:rsid w:val="04746C18"/>
    <w:rsid w:val="0474AF12"/>
    <w:rsid w:val="0474B547"/>
    <w:rsid w:val="04777AFD"/>
    <w:rsid w:val="0478BD36"/>
    <w:rsid w:val="047B3E9D"/>
    <w:rsid w:val="047C8FE3"/>
    <w:rsid w:val="047CCD80"/>
    <w:rsid w:val="047F2359"/>
    <w:rsid w:val="0480126C"/>
    <w:rsid w:val="0481C7A3"/>
    <w:rsid w:val="0482A2C7"/>
    <w:rsid w:val="0482CB71"/>
    <w:rsid w:val="0484629D"/>
    <w:rsid w:val="0487981B"/>
    <w:rsid w:val="048910EA"/>
    <w:rsid w:val="048A5C06"/>
    <w:rsid w:val="048B42D8"/>
    <w:rsid w:val="048BE0D2"/>
    <w:rsid w:val="048BE651"/>
    <w:rsid w:val="048D0C88"/>
    <w:rsid w:val="048E030D"/>
    <w:rsid w:val="048F02ED"/>
    <w:rsid w:val="048F0909"/>
    <w:rsid w:val="048FE248"/>
    <w:rsid w:val="04905C41"/>
    <w:rsid w:val="049064D7"/>
    <w:rsid w:val="04935CE1"/>
    <w:rsid w:val="0494043B"/>
    <w:rsid w:val="04968329"/>
    <w:rsid w:val="04982854"/>
    <w:rsid w:val="0498D1B9"/>
    <w:rsid w:val="049ABC22"/>
    <w:rsid w:val="049BD4D6"/>
    <w:rsid w:val="049C778F"/>
    <w:rsid w:val="049D3BD8"/>
    <w:rsid w:val="049DBB53"/>
    <w:rsid w:val="049E02EB"/>
    <w:rsid w:val="049E44BB"/>
    <w:rsid w:val="04A0A1FE"/>
    <w:rsid w:val="04A1FE5C"/>
    <w:rsid w:val="04A22D7E"/>
    <w:rsid w:val="04A2603C"/>
    <w:rsid w:val="04A35D7B"/>
    <w:rsid w:val="04A3E445"/>
    <w:rsid w:val="04A4E4EA"/>
    <w:rsid w:val="04A76220"/>
    <w:rsid w:val="04A847BC"/>
    <w:rsid w:val="04A8EC79"/>
    <w:rsid w:val="04AEDC9F"/>
    <w:rsid w:val="04B0E449"/>
    <w:rsid w:val="04B1CD9C"/>
    <w:rsid w:val="04B2B551"/>
    <w:rsid w:val="04B2CE9E"/>
    <w:rsid w:val="04B4231D"/>
    <w:rsid w:val="04B45F92"/>
    <w:rsid w:val="04B6D932"/>
    <w:rsid w:val="04B76126"/>
    <w:rsid w:val="04B8963A"/>
    <w:rsid w:val="04B91016"/>
    <w:rsid w:val="04B95830"/>
    <w:rsid w:val="04BD0A94"/>
    <w:rsid w:val="04BF7D5E"/>
    <w:rsid w:val="04C0D6F5"/>
    <w:rsid w:val="04C27342"/>
    <w:rsid w:val="04C326B3"/>
    <w:rsid w:val="04C4CE32"/>
    <w:rsid w:val="04C55E85"/>
    <w:rsid w:val="04C72779"/>
    <w:rsid w:val="04C9D4EA"/>
    <w:rsid w:val="04CC4B0F"/>
    <w:rsid w:val="04CCD3A9"/>
    <w:rsid w:val="04CE5B73"/>
    <w:rsid w:val="04CE7687"/>
    <w:rsid w:val="04D2EEC5"/>
    <w:rsid w:val="04D3036E"/>
    <w:rsid w:val="04D3C790"/>
    <w:rsid w:val="04D608FB"/>
    <w:rsid w:val="04D626B8"/>
    <w:rsid w:val="04D6CFEA"/>
    <w:rsid w:val="04D9A17E"/>
    <w:rsid w:val="04DCC732"/>
    <w:rsid w:val="04DD3D54"/>
    <w:rsid w:val="04DDBE30"/>
    <w:rsid w:val="04DDE2C2"/>
    <w:rsid w:val="04DE5400"/>
    <w:rsid w:val="04E0464D"/>
    <w:rsid w:val="04E197B3"/>
    <w:rsid w:val="04E3E99D"/>
    <w:rsid w:val="04E66CF3"/>
    <w:rsid w:val="04E850A1"/>
    <w:rsid w:val="04E88E58"/>
    <w:rsid w:val="04E8EA69"/>
    <w:rsid w:val="04E97A44"/>
    <w:rsid w:val="04EB47A7"/>
    <w:rsid w:val="04ECF7B0"/>
    <w:rsid w:val="04ED7DFA"/>
    <w:rsid w:val="04EE2871"/>
    <w:rsid w:val="04EEA803"/>
    <w:rsid w:val="04EF9188"/>
    <w:rsid w:val="04EFF017"/>
    <w:rsid w:val="04F0D1D7"/>
    <w:rsid w:val="04F593BA"/>
    <w:rsid w:val="04F7AE68"/>
    <w:rsid w:val="04F8BCAE"/>
    <w:rsid w:val="04FC09C7"/>
    <w:rsid w:val="04FC476C"/>
    <w:rsid w:val="050113CC"/>
    <w:rsid w:val="0504DE40"/>
    <w:rsid w:val="050508C6"/>
    <w:rsid w:val="05055471"/>
    <w:rsid w:val="0507BEDA"/>
    <w:rsid w:val="05095F37"/>
    <w:rsid w:val="0509D69A"/>
    <w:rsid w:val="050E67C0"/>
    <w:rsid w:val="050F56C9"/>
    <w:rsid w:val="05128AC9"/>
    <w:rsid w:val="05128B1A"/>
    <w:rsid w:val="0512BDE7"/>
    <w:rsid w:val="0513C980"/>
    <w:rsid w:val="0513F9BB"/>
    <w:rsid w:val="05140176"/>
    <w:rsid w:val="0517A775"/>
    <w:rsid w:val="051C61CD"/>
    <w:rsid w:val="051D63BB"/>
    <w:rsid w:val="051E0F68"/>
    <w:rsid w:val="05219F22"/>
    <w:rsid w:val="05243EBD"/>
    <w:rsid w:val="05261C5C"/>
    <w:rsid w:val="0526D202"/>
    <w:rsid w:val="0527FBC4"/>
    <w:rsid w:val="0528AC85"/>
    <w:rsid w:val="052A6DA6"/>
    <w:rsid w:val="052A9A5F"/>
    <w:rsid w:val="052AB16F"/>
    <w:rsid w:val="052FCBD5"/>
    <w:rsid w:val="05346720"/>
    <w:rsid w:val="0534B1A6"/>
    <w:rsid w:val="05350F9E"/>
    <w:rsid w:val="05366BD2"/>
    <w:rsid w:val="0536E812"/>
    <w:rsid w:val="053AF007"/>
    <w:rsid w:val="053B1784"/>
    <w:rsid w:val="053BCCA9"/>
    <w:rsid w:val="053E48E4"/>
    <w:rsid w:val="053EA86E"/>
    <w:rsid w:val="0541E646"/>
    <w:rsid w:val="0542F177"/>
    <w:rsid w:val="0542FE89"/>
    <w:rsid w:val="0543168E"/>
    <w:rsid w:val="0544B227"/>
    <w:rsid w:val="0547E74E"/>
    <w:rsid w:val="0548E913"/>
    <w:rsid w:val="054BB270"/>
    <w:rsid w:val="054CBEDE"/>
    <w:rsid w:val="054CD712"/>
    <w:rsid w:val="054D57C4"/>
    <w:rsid w:val="054D70FC"/>
    <w:rsid w:val="054E0927"/>
    <w:rsid w:val="054EA3EA"/>
    <w:rsid w:val="054F4813"/>
    <w:rsid w:val="055153B7"/>
    <w:rsid w:val="0553D169"/>
    <w:rsid w:val="05542341"/>
    <w:rsid w:val="05567517"/>
    <w:rsid w:val="055714BA"/>
    <w:rsid w:val="055732BD"/>
    <w:rsid w:val="05574D31"/>
    <w:rsid w:val="05598166"/>
    <w:rsid w:val="055AD50B"/>
    <w:rsid w:val="055D2822"/>
    <w:rsid w:val="055FD95B"/>
    <w:rsid w:val="055FDD42"/>
    <w:rsid w:val="0560C4B2"/>
    <w:rsid w:val="0563531D"/>
    <w:rsid w:val="05652745"/>
    <w:rsid w:val="0566973D"/>
    <w:rsid w:val="0566C9B2"/>
    <w:rsid w:val="05675B80"/>
    <w:rsid w:val="05684211"/>
    <w:rsid w:val="0569DBAF"/>
    <w:rsid w:val="056D310A"/>
    <w:rsid w:val="056E08FA"/>
    <w:rsid w:val="0573C825"/>
    <w:rsid w:val="05755D83"/>
    <w:rsid w:val="0577C12C"/>
    <w:rsid w:val="05785611"/>
    <w:rsid w:val="0578D927"/>
    <w:rsid w:val="057D1808"/>
    <w:rsid w:val="057D8769"/>
    <w:rsid w:val="057D913A"/>
    <w:rsid w:val="057E0956"/>
    <w:rsid w:val="0581003A"/>
    <w:rsid w:val="05823911"/>
    <w:rsid w:val="05824D07"/>
    <w:rsid w:val="058691C3"/>
    <w:rsid w:val="05893575"/>
    <w:rsid w:val="058B05ED"/>
    <w:rsid w:val="058B61E9"/>
    <w:rsid w:val="058F7BCD"/>
    <w:rsid w:val="0590C021"/>
    <w:rsid w:val="0592CFDD"/>
    <w:rsid w:val="05939969"/>
    <w:rsid w:val="059509DF"/>
    <w:rsid w:val="0595788D"/>
    <w:rsid w:val="0595DFA4"/>
    <w:rsid w:val="059799E7"/>
    <w:rsid w:val="059A778B"/>
    <w:rsid w:val="059BB0ED"/>
    <w:rsid w:val="059C8FDB"/>
    <w:rsid w:val="059ED977"/>
    <w:rsid w:val="05A2F317"/>
    <w:rsid w:val="05A3323A"/>
    <w:rsid w:val="05A379EE"/>
    <w:rsid w:val="05A64954"/>
    <w:rsid w:val="05A7463B"/>
    <w:rsid w:val="05A889F9"/>
    <w:rsid w:val="05AAD597"/>
    <w:rsid w:val="05ACDA74"/>
    <w:rsid w:val="05AD0139"/>
    <w:rsid w:val="05AE80E7"/>
    <w:rsid w:val="05AE92D4"/>
    <w:rsid w:val="05B22FBC"/>
    <w:rsid w:val="05B39E9F"/>
    <w:rsid w:val="05B4B4DA"/>
    <w:rsid w:val="05B50AD2"/>
    <w:rsid w:val="05B6473F"/>
    <w:rsid w:val="05B6480F"/>
    <w:rsid w:val="05B74BA0"/>
    <w:rsid w:val="05B86FC7"/>
    <w:rsid w:val="05B8B266"/>
    <w:rsid w:val="05B90B97"/>
    <w:rsid w:val="05B92B9F"/>
    <w:rsid w:val="05B95506"/>
    <w:rsid w:val="05BECEE9"/>
    <w:rsid w:val="05C09E90"/>
    <w:rsid w:val="05C0B50D"/>
    <w:rsid w:val="05C1BD81"/>
    <w:rsid w:val="05C274C4"/>
    <w:rsid w:val="05C2E11A"/>
    <w:rsid w:val="05C5083A"/>
    <w:rsid w:val="05C52C04"/>
    <w:rsid w:val="05C592F5"/>
    <w:rsid w:val="05C5F2BD"/>
    <w:rsid w:val="05C8AD75"/>
    <w:rsid w:val="05CA8807"/>
    <w:rsid w:val="05CA885A"/>
    <w:rsid w:val="05CDA017"/>
    <w:rsid w:val="05CDBD4F"/>
    <w:rsid w:val="05CF5F2E"/>
    <w:rsid w:val="05D1E211"/>
    <w:rsid w:val="05D3D9F2"/>
    <w:rsid w:val="05D5304B"/>
    <w:rsid w:val="05D62564"/>
    <w:rsid w:val="05D728A6"/>
    <w:rsid w:val="05D75C70"/>
    <w:rsid w:val="05E07BE1"/>
    <w:rsid w:val="05E15DFF"/>
    <w:rsid w:val="05E48175"/>
    <w:rsid w:val="05E70A12"/>
    <w:rsid w:val="05E7BD1E"/>
    <w:rsid w:val="05E942C7"/>
    <w:rsid w:val="05E9F6C2"/>
    <w:rsid w:val="05EA8343"/>
    <w:rsid w:val="05EAEFF9"/>
    <w:rsid w:val="05EC8D08"/>
    <w:rsid w:val="05ED7F99"/>
    <w:rsid w:val="05F1117B"/>
    <w:rsid w:val="05F14A1D"/>
    <w:rsid w:val="05F231D6"/>
    <w:rsid w:val="05F4C85C"/>
    <w:rsid w:val="05F4D140"/>
    <w:rsid w:val="05F5598A"/>
    <w:rsid w:val="05F7A8AE"/>
    <w:rsid w:val="05F7AAC4"/>
    <w:rsid w:val="05FA1EAA"/>
    <w:rsid w:val="05FDBCB6"/>
    <w:rsid w:val="05FF3BE1"/>
    <w:rsid w:val="060015A7"/>
    <w:rsid w:val="06026373"/>
    <w:rsid w:val="0602B41C"/>
    <w:rsid w:val="0603A829"/>
    <w:rsid w:val="06069D98"/>
    <w:rsid w:val="0606BEF6"/>
    <w:rsid w:val="060745A8"/>
    <w:rsid w:val="060924B6"/>
    <w:rsid w:val="0609F258"/>
    <w:rsid w:val="060A9746"/>
    <w:rsid w:val="060B0B01"/>
    <w:rsid w:val="060B1261"/>
    <w:rsid w:val="060E32EE"/>
    <w:rsid w:val="06153E63"/>
    <w:rsid w:val="0615C0C2"/>
    <w:rsid w:val="0618E50C"/>
    <w:rsid w:val="061ABA4F"/>
    <w:rsid w:val="0620FE4A"/>
    <w:rsid w:val="062549C5"/>
    <w:rsid w:val="06278CF5"/>
    <w:rsid w:val="0628650B"/>
    <w:rsid w:val="062A2C11"/>
    <w:rsid w:val="062B4636"/>
    <w:rsid w:val="062BDDCF"/>
    <w:rsid w:val="062FD258"/>
    <w:rsid w:val="0635249F"/>
    <w:rsid w:val="06360298"/>
    <w:rsid w:val="06365AD7"/>
    <w:rsid w:val="06386EED"/>
    <w:rsid w:val="0639C132"/>
    <w:rsid w:val="063BE8E8"/>
    <w:rsid w:val="063E0D56"/>
    <w:rsid w:val="063F3F02"/>
    <w:rsid w:val="06431E11"/>
    <w:rsid w:val="06443E33"/>
    <w:rsid w:val="0644F443"/>
    <w:rsid w:val="06463A9B"/>
    <w:rsid w:val="0646C170"/>
    <w:rsid w:val="0646C1A4"/>
    <w:rsid w:val="06482872"/>
    <w:rsid w:val="0648FC8D"/>
    <w:rsid w:val="06493A8D"/>
    <w:rsid w:val="064B047B"/>
    <w:rsid w:val="064DBA81"/>
    <w:rsid w:val="064DBADF"/>
    <w:rsid w:val="064DE5DE"/>
    <w:rsid w:val="064E13D8"/>
    <w:rsid w:val="064E4020"/>
    <w:rsid w:val="064EC5A8"/>
    <w:rsid w:val="06534710"/>
    <w:rsid w:val="06541EE7"/>
    <w:rsid w:val="0655674C"/>
    <w:rsid w:val="0657E15B"/>
    <w:rsid w:val="06590E14"/>
    <w:rsid w:val="0659E254"/>
    <w:rsid w:val="065AAF2D"/>
    <w:rsid w:val="065BFFE3"/>
    <w:rsid w:val="065D5F27"/>
    <w:rsid w:val="065E3ABC"/>
    <w:rsid w:val="065E56B6"/>
    <w:rsid w:val="065E8E23"/>
    <w:rsid w:val="06609AD5"/>
    <w:rsid w:val="06618E0C"/>
    <w:rsid w:val="06626D50"/>
    <w:rsid w:val="066292D3"/>
    <w:rsid w:val="0662AB82"/>
    <w:rsid w:val="0662AFAA"/>
    <w:rsid w:val="066482C5"/>
    <w:rsid w:val="0664913A"/>
    <w:rsid w:val="066B2FF7"/>
    <w:rsid w:val="066D1EC0"/>
    <w:rsid w:val="066D6767"/>
    <w:rsid w:val="066DEE84"/>
    <w:rsid w:val="066E545B"/>
    <w:rsid w:val="066E6073"/>
    <w:rsid w:val="067063AE"/>
    <w:rsid w:val="0670F584"/>
    <w:rsid w:val="0672DE1E"/>
    <w:rsid w:val="0674E613"/>
    <w:rsid w:val="06758411"/>
    <w:rsid w:val="06759EA8"/>
    <w:rsid w:val="06765125"/>
    <w:rsid w:val="0678444C"/>
    <w:rsid w:val="067B3ED8"/>
    <w:rsid w:val="067E7745"/>
    <w:rsid w:val="067E9D12"/>
    <w:rsid w:val="067F6A8E"/>
    <w:rsid w:val="067FA6F4"/>
    <w:rsid w:val="067FF402"/>
    <w:rsid w:val="0682A745"/>
    <w:rsid w:val="0683C1FE"/>
    <w:rsid w:val="068410FE"/>
    <w:rsid w:val="0686592E"/>
    <w:rsid w:val="068A73F1"/>
    <w:rsid w:val="068B26AD"/>
    <w:rsid w:val="068CAB1F"/>
    <w:rsid w:val="0694C25B"/>
    <w:rsid w:val="06968B06"/>
    <w:rsid w:val="0697DB22"/>
    <w:rsid w:val="069ACF9C"/>
    <w:rsid w:val="069B9F20"/>
    <w:rsid w:val="069BAEFA"/>
    <w:rsid w:val="069BEC5D"/>
    <w:rsid w:val="069BEE92"/>
    <w:rsid w:val="069C3249"/>
    <w:rsid w:val="069C4A20"/>
    <w:rsid w:val="069C8FCE"/>
    <w:rsid w:val="069D2821"/>
    <w:rsid w:val="069DC197"/>
    <w:rsid w:val="069EFEE3"/>
    <w:rsid w:val="069F9BD0"/>
    <w:rsid w:val="069FD859"/>
    <w:rsid w:val="06A0FD01"/>
    <w:rsid w:val="06A4A60A"/>
    <w:rsid w:val="06A66F51"/>
    <w:rsid w:val="06A690FE"/>
    <w:rsid w:val="06A7039E"/>
    <w:rsid w:val="06A7CC68"/>
    <w:rsid w:val="06A90165"/>
    <w:rsid w:val="06A91402"/>
    <w:rsid w:val="06A97AE1"/>
    <w:rsid w:val="06AADF02"/>
    <w:rsid w:val="06ACCFF8"/>
    <w:rsid w:val="06AEC925"/>
    <w:rsid w:val="06B09CEB"/>
    <w:rsid w:val="06B34C6B"/>
    <w:rsid w:val="06B4286F"/>
    <w:rsid w:val="06B4A7AC"/>
    <w:rsid w:val="06B5B167"/>
    <w:rsid w:val="06B91B87"/>
    <w:rsid w:val="06B95BED"/>
    <w:rsid w:val="06BB9FA0"/>
    <w:rsid w:val="06BCB8DB"/>
    <w:rsid w:val="06BDC132"/>
    <w:rsid w:val="06BE906C"/>
    <w:rsid w:val="06BEB05B"/>
    <w:rsid w:val="06BF6C52"/>
    <w:rsid w:val="06C02407"/>
    <w:rsid w:val="06C0E247"/>
    <w:rsid w:val="06C11DD2"/>
    <w:rsid w:val="06C19494"/>
    <w:rsid w:val="06C1E6E8"/>
    <w:rsid w:val="06C3AFA0"/>
    <w:rsid w:val="06C49D4D"/>
    <w:rsid w:val="06C53C64"/>
    <w:rsid w:val="06C6111C"/>
    <w:rsid w:val="06C81626"/>
    <w:rsid w:val="06C907C5"/>
    <w:rsid w:val="06CA7071"/>
    <w:rsid w:val="06D2F1F5"/>
    <w:rsid w:val="06D3BFF3"/>
    <w:rsid w:val="06D408C8"/>
    <w:rsid w:val="06D5A633"/>
    <w:rsid w:val="06D61763"/>
    <w:rsid w:val="06D9BB36"/>
    <w:rsid w:val="06DC9E81"/>
    <w:rsid w:val="06DD2E3B"/>
    <w:rsid w:val="06DD574E"/>
    <w:rsid w:val="06DDC850"/>
    <w:rsid w:val="06DE16C1"/>
    <w:rsid w:val="06E0207F"/>
    <w:rsid w:val="06E06DA6"/>
    <w:rsid w:val="06E2A562"/>
    <w:rsid w:val="06E2EE58"/>
    <w:rsid w:val="06E395D7"/>
    <w:rsid w:val="06E4434E"/>
    <w:rsid w:val="06E4B7B9"/>
    <w:rsid w:val="06E5CA08"/>
    <w:rsid w:val="06E5E23A"/>
    <w:rsid w:val="06E63846"/>
    <w:rsid w:val="06E9523A"/>
    <w:rsid w:val="06EA37D1"/>
    <w:rsid w:val="06EA8B0E"/>
    <w:rsid w:val="06EBFE6E"/>
    <w:rsid w:val="06EFC170"/>
    <w:rsid w:val="06F1C4C6"/>
    <w:rsid w:val="06F271BB"/>
    <w:rsid w:val="06F3A7E0"/>
    <w:rsid w:val="06F58D59"/>
    <w:rsid w:val="06F75917"/>
    <w:rsid w:val="06FDD30D"/>
    <w:rsid w:val="06FF2206"/>
    <w:rsid w:val="06FF6046"/>
    <w:rsid w:val="06FFDB1A"/>
    <w:rsid w:val="0705633E"/>
    <w:rsid w:val="0705C8EF"/>
    <w:rsid w:val="07076933"/>
    <w:rsid w:val="0709AC02"/>
    <w:rsid w:val="070A0552"/>
    <w:rsid w:val="070A185D"/>
    <w:rsid w:val="070B2340"/>
    <w:rsid w:val="070FD122"/>
    <w:rsid w:val="07103EC8"/>
    <w:rsid w:val="0716421A"/>
    <w:rsid w:val="0716D67F"/>
    <w:rsid w:val="0716ED53"/>
    <w:rsid w:val="071A3FDE"/>
    <w:rsid w:val="071A6819"/>
    <w:rsid w:val="071B3ABF"/>
    <w:rsid w:val="071C9F82"/>
    <w:rsid w:val="071E2806"/>
    <w:rsid w:val="071EB7E5"/>
    <w:rsid w:val="071F6176"/>
    <w:rsid w:val="071F6EA8"/>
    <w:rsid w:val="072015AF"/>
    <w:rsid w:val="0722828F"/>
    <w:rsid w:val="0724634A"/>
    <w:rsid w:val="07250DB5"/>
    <w:rsid w:val="0725E9F6"/>
    <w:rsid w:val="0726A12A"/>
    <w:rsid w:val="0726F3A8"/>
    <w:rsid w:val="072A8E81"/>
    <w:rsid w:val="072BA03B"/>
    <w:rsid w:val="0732AEF7"/>
    <w:rsid w:val="0737D09B"/>
    <w:rsid w:val="073B72FB"/>
    <w:rsid w:val="073BA50F"/>
    <w:rsid w:val="073F962B"/>
    <w:rsid w:val="0740FCAB"/>
    <w:rsid w:val="0742D560"/>
    <w:rsid w:val="07459D40"/>
    <w:rsid w:val="0745ECE1"/>
    <w:rsid w:val="074ACA95"/>
    <w:rsid w:val="074CB45E"/>
    <w:rsid w:val="074D1D74"/>
    <w:rsid w:val="074DA926"/>
    <w:rsid w:val="074F1F53"/>
    <w:rsid w:val="07509FED"/>
    <w:rsid w:val="0751CE0E"/>
    <w:rsid w:val="0752C44A"/>
    <w:rsid w:val="07537678"/>
    <w:rsid w:val="0753C9F0"/>
    <w:rsid w:val="0754286C"/>
    <w:rsid w:val="0755B37D"/>
    <w:rsid w:val="07577455"/>
    <w:rsid w:val="07583239"/>
    <w:rsid w:val="07596C4B"/>
    <w:rsid w:val="075B0A25"/>
    <w:rsid w:val="075CBCDE"/>
    <w:rsid w:val="075CD55D"/>
    <w:rsid w:val="075D84C0"/>
    <w:rsid w:val="07608F46"/>
    <w:rsid w:val="0760C287"/>
    <w:rsid w:val="0760D3F9"/>
    <w:rsid w:val="07615AF0"/>
    <w:rsid w:val="0762F187"/>
    <w:rsid w:val="0764222F"/>
    <w:rsid w:val="0765C352"/>
    <w:rsid w:val="076617A5"/>
    <w:rsid w:val="0767E416"/>
    <w:rsid w:val="07685F6D"/>
    <w:rsid w:val="0768715A"/>
    <w:rsid w:val="07691D09"/>
    <w:rsid w:val="07697C05"/>
    <w:rsid w:val="07699144"/>
    <w:rsid w:val="0769E519"/>
    <w:rsid w:val="076BE83B"/>
    <w:rsid w:val="076C5D1E"/>
    <w:rsid w:val="076DEF8C"/>
    <w:rsid w:val="076DF931"/>
    <w:rsid w:val="0771406D"/>
    <w:rsid w:val="07714124"/>
    <w:rsid w:val="0773081F"/>
    <w:rsid w:val="0773125D"/>
    <w:rsid w:val="07737C4C"/>
    <w:rsid w:val="0773B4E3"/>
    <w:rsid w:val="0774ABB1"/>
    <w:rsid w:val="07750B76"/>
    <w:rsid w:val="07759765"/>
    <w:rsid w:val="0775BCF5"/>
    <w:rsid w:val="07761F28"/>
    <w:rsid w:val="07767061"/>
    <w:rsid w:val="07771FD2"/>
    <w:rsid w:val="0777C9BE"/>
    <w:rsid w:val="0778F648"/>
    <w:rsid w:val="077962BC"/>
    <w:rsid w:val="0779B292"/>
    <w:rsid w:val="077C1BA7"/>
    <w:rsid w:val="077C2C45"/>
    <w:rsid w:val="077FCDF4"/>
    <w:rsid w:val="07801E4C"/>
    <w:rsid w:val="07807D89"/>
    <w:rsid w:val="07809FB7"/>
    <w:rsid w:val="07810167"/>
    <w:rsid w:val="07819817"/>
    <w:rsid w:val="0781C55C"/>
    <w:rsid w:val="07833573"/>
    <w:rsid w:val="07843565"/>
    <w:rsid w:val="07849C21"/>
    <w:rsid w:val="0785F47B"/>
    <w:rsid w:val="07866AB3"/>
    <w:rsid w:val="078E74F6"/>
    <w:rsid w:val="078EE5DD"/>
    <w:rsid w:val="078F8734"/>
    <w:rsid w:val="079022FF"/>
    <w:rsid w:val="0790C300"/>
    <w:rsid w:val="0790ED07"/>
    <w:rsid w:val="0792E31E"/>
    <w:rsid w:val="0792E636"/>
    <w:rsid w:val="0792E800"/>
    <w:rsid w:val="07933A5B"/>
    <w:rsid w:val="07945651"/>
    <w:rsid w:val="07951812"/>
    <w:rsid w:val="07957026"/>
    <w:rsid w:val="07963C00"/>
    <w:rsid w:val="079676FF"/>
    <w:rsid w:val="07989823"/>
    <w:rsid w:val="07991850"/>
    <w:rsid w:val="0799EE49"/>
    <w:rsid w:val="079AD0AE"/>
    <w:rsid w:val="079B83B0"/>
    <w:rsid w:val="079BA08B"/>
    <w:rsid w:val="079E2CB4"/>
    <w:rsid w:val="079E4686"/>
    <w:rsid w:val="079F4373"/>
    <w:rsid w:val="07A1DEFC"/>
    <w:rsid w:val="07A2C63A"/>
    <w:rsid w:val="07A496F8"/>
    <w:rsid w:val="07A4B942"/>
    <w:rsid w:val="07A4C3E8"/>
    <w:rsid w:val="07A6F922"/>
    <w:rsid w:val="07A7CAC4"/>
    <w:rsid w:val="07A94E5D"/>
    <w:rsid w:val="07AA1CA8"/>
    <w:rsid w:val="07ABE9AE"/>
    <w:rsid w:val="07ACE200"/>
    <w:rsid w:val="07AD0471"/>
    <w:rsid w:val="07AE5833"/>
    <w:rsid w:val="07B23B01"/>
    <w:rsid w:val="07B34587"/>
    <w:rsid w:val="07B35783"/>
    <w:rsid w:val="07B438D7"/>
    <w:rsid w:val="07B718BE"/>
    <w:rsid w:val="07B7BFC3"/>
    <w:rsid w:val="07B91B08"/>
    <w:rsid w:val="07B9CC49"/>
    <w:rsid w:val="07BE27F7"/>
    <w:rsid w:val="07C074DF"/>
    <w:rsid w:val="07C1E28E"/>
    <w:rsid w:val="07C433CA"/>
    <w:rsid w:val="07C675CA"/>
    <w:rsid w:val="07C6DEC1"/>
    <w:rsid w:val="07C6E4AD"/>
    <w:rsid w:val="07C819CF"/>
    <w:rsid w:val="07C820C0"/>
    <w:rsid w:val="07C85BA9"/>
    <w:rsid w:val="07CADD02"/>
    <w:rsid w:val="07CAF405"/>
    <w:rsid w:val="07CDA371"/>
    <w:rsid w:val="07CE9825"/>
    <w:rsid w:val="07CF904C"/>
    <w:rsid w:val="07D30C94"/>
    <w:rsid w:val="07D326B2"/>
    <w:rsid w:val="07D42EFB"/>
    <w:rsid w:val="07D43D5A"/>
    <w:rsid w:val="07D47364"/>
    <w:rsid w:val="07D54C17"/>
    <w:rsid w:val="07D5646B"/>
    <w:rsid w:val="07D58AF3"/>
    <w:rsid w:val="07D5F4A9"/>
    <w:rsid w:val="07D8AC91"/>
    <w:rsid w:val="07D9CAF3"/>
    <w:rsid w:val="07DAB206"/>
    <w:rsid w:val="07DB5744"/>
    <w:rsid w:val="07DDD06E"/>
    <w:rsid w:val="07DE025A"/>
    <w:rsid w:val="07E06392"/>
    <w:rsid w:val="07E155F2"/>
    <w:rsid w:val="07E20B44"/>
    <w:rsid w:val="07E4193D"/>
    <w:rsid w:val="07E523D9"/>
    <w:rsid w:val="07E56A11"/>
    <w:rsid w:val="07E66FE6"/>
    <w:rsid w:val="07E89536"/>
    <w:rsid w:val="07EA88C6"/>
    <w:rsid w:val="07EAB48A"/>
    <w:rsid w:val="07EBE260"/>
    <w:rsid w:val="07EBF11C"/>
    <w:rsid w:val="07EC3F14"/>
    <w:rsid w:val="07EF3742"/>
    <w:rsid w:val="07EFE22E"/>
    <w:rsid w:val="07F0031C"/>
    <w:rsid w:val="07F2DE82"/>
    <w:rsid w:val="07F5CC87"/>
    <w:rsid w:val="07F633D3"/>
    <w:rsid w:val="07F6E021"/>
    <w:rsid w:val="07F89302"/>
    <w:rsid w:val="07F8A7E0"/>
    <w:rsid w:val="07FB5D8C"/>
    <w:rsid w:val="07FC7150"/>
    <w:rsid w:val="07FC7DE6"/>
    <w:rsid w:val="07FD97A1"/>
    <w:rsid w:val="080073E2"/>
    <w:rsid w:val="0801BFF4"/>
    <w:rsid w:val="080204A4"/>
    <w:rsid w:val="0802C6AE"/>
    <w:rsid w:val="080363BE"/>
    <w:rsid w:val="08039BAB"/>
    <w:rsid w:val="0804AEA4"/>
    <w:rsid w:val="0807D2AE"/>
    <w:rsid w:val="0808A93E"/>
    <w:rsid w:val="0808CB50"/>
    <w:rsid w:val="08095E61"/>
    <w:rsid w:val="080D9AF8"/>
    <w:rsid w:val="080E3D1E"/>
    <w:rsid w:val="0812C516"/>
    <w:rsid w:val="08139E7B"/>
    <w:rsid w:val="081443CF"/>
    <w:rsid w:val="081578D7"/>
    <w:rsid w:val="08157B67"/>
    <w:rsid w:val="0816EB53"/>
    <w:rsid w:val="08176024"/>
    <w:rsid w:val="08193FE4"/>
    <w:rsid w:val="0819871A"/>
    <w:rsid w:val="081AA1DC"/>
    <w:rsid w:val="081E3F64"/>
    <w:rsid w:val="081E5547"/>
    <w:rsid w:val="081E6C22"/>
    <w:rsid w:val="081F256C"/>
    <w:rsid w:val="0823A8D9"/>
    <w:rsid w:val="0826366E"/>
    <w:rsid w:val="0826F426"/>
    <w:rsid w:val="0829D525"/>
    <w:rsid w:val="082A267F"/>
    <w:rsid w:val="082F0333"/>
    <w:rsid w:val="0830339B"/>
    <w:rsid w:val="08313BFA"/>
    <w:rsid w:val="083226F7"/>
    <w:rsid w:val="08349A0F"/>
    <w:rsid w:val="0835ADA3"/>
    <w:rsid w:val="083BC0F6"/>
    <w:rsid w:val="083BEFF4"/>
    <w:rsid w:val="083CF4C3"/>
    <w:rsid w:val="083D341D"/>
    <w:rsid w:val="083FE8EB"/>
    <w:rsid w:val="084258B6"/>
    <w:rsid w:val="0843006E"/>
    <w:rsid w:val="0843887B"/>
    <w:rsid w:val="084494FB"/>
    <w:rsid w:val="0847B20A"/>
    <w:rsid w:val="0847C1C8"/>
    <w:rsid w:val="0848F8AB"/>
    <w:rsid w:val="084ADD61"/>
    <w:rsid w:val="08551676"/>
    <w:rsid w:val="0856C753"/>
    <w:rsid w:val="0859C5D5"/>
    <w:rsid w:val="085C83AA"/>
    <w:rsid w:val="085D1175"/>
    <w:rsid w:val="085DF11D"/>
    <w:rsid w:val="085EB5D2"/>
    <w:rsid w:val="08622C9F"/>
    <w:rsid w:val="08658F79"/>
    <w:rsid w:val="08684C56"/>
    <w:rsid w:val="0868ED93"/>
    <w:rsid w:val="0869AA59"/>
    <w:rsid w:val="086C2B57"/>
    <w:rsid w:val="086CF62A"/>
    <w:rsid w:val="086CFA27"/>
    <w:rsid w:val="086DCBCE"/>
    <w:rsid w:val="086F307D"/>
    <w:rsid w:val="086F8781"/>
    <w:rsid w:val="08713951"/>
    <w:rsid w:val="087577A3"/>
    <w:rsid w:val="087599C2"/>
    <w:rsid w:val="08767A90"/>
    <w:rsid w:val="08768672"/>
    <w:rsid w:val="0876D987"/>
    <w:rsid w:val="0877B5CB"/>
    <w:rsid w:val="0877C7C8"/>
    <w:rsid w:val="0878A4CB"/>
    <w:rsid w:val="0878EB62"/>
    <w:rsid w:val="087CB76F"/>
    <w:rsid w:val="087E6226"/>
    <w:rsid w:val="08815632"/>
    <w:rsid w:val="0884174C"/>
    <w:rsid w:val="0885D238"/>
    <w:rsid w:val="0887FF06"/>
    <w:rsid w:val="08897E69"/>
    <w:rsid w:val="0889D89B"/>
    <w:rsid w:val="088A5540"/>
    <w:rsid w:val="088A6459"/>
    <w:rsid w:val="088E1B22"/>
    <w:rsid w:val="088EBCF0"/>
    <w:rsid w:val="088EBE81"/>
    <w:rsid w:val="088FB4E8"/>
    <w:rsid w:val="088FEAA7"/>
    <w:rsid w:val="089078B0"/>
    <w:rsid w:val="0890CEDD"/>
    <w:rsid w:val="08915CD0"/>
    <w:rsid w:val="0892A256"/>
    <w:rsid w:val="08939082"/>
    <w:rsid w:val="0893B35E"/>
    <w:rsid w:val="0897493E"/>
    <w:rsid w:val="089A8A99"/>
    <w:rsid w:val="089C4F1D"/>
    <w:rsid w:val="089D435D"/>
    <w:rsid w:val="089F776C"/>
    <w:rsid w:val="089FE786"/>
    <w:rsid w:val="08A08D57"/>
    <w:rsid w:val="08A0EBF3"/>
    <w:rsid w:val="08A48E1C"/>
    <w:rsid w:val="08A48FA8"/>
    <w:rsid w:val="08A69AF0"/>
    <w:rsid w:val="08A72F03"/>
    <w:rsid w:val="08A8DDD2"/>
    <w:rsid w:val="08AAEC79"/>
    <w:rsid w:val="08AB00D9"/>
    <w:rsid w:val="08AFF102"/>
    <w:rsid w:val="08B155E7"/>
    <w:rsid w:val="08B1CE96"/>
    <w:rsid w:val="08B260A8"/>
    <w:rsid w:val="08B2E770"/>
    <w:rsid w:val="08B61FB8"/>
    <w:rsid w:val="08B772ED"/>
    <w:rsid w:val="08B827C4"/>
    <w:rsid w:val="08B84DD8"/>
    <w:rsid w:val="08BBAC2D"/>
    <w:rsid w:val="08BC1755"/>
    <w:rsid w:val="08BD0BAF"/>
    <w:rsid w:val="08BDC9EF"/>
    <w:rsid w:val="08BDDFA0"/>
    <w:rsid w:val="08BE22C6"/>
    <w:rsid w:val="08C10F36"/>
    <w:rsid w:val="08C12308"/>
    <w:rsid w:val="08C18376"/>
    <w:rsid w:val="08C3AF0E"/>
    <w:rsid w:val="08C41492"/>
    <w:rsid w:val="08C4D452"/>
    <w:rsid w:val="08C706E1"/>
    <w:rsid w:val="08C84BF1"/>
    <w:rsid w:val="08C91C25"/>
    <w:rsid w:val="08CC1879"/>
    <w:rsid w:val="08CC994D"/>
    <w:rsid w:val="08CD83A8"/>
    <w:rsid w:val="08CEE4CE"/>
    <w:rsid w:val="08CF1C3B"/>
    <w:rsid w:val="08CF563C"/>
    <w:rsid w:val="08D22493"/>
    <w:rsid w:val="08D2CCEC"/>
    <w:rsid w:val="08D3F2C3"/>
    <w:rsid w:val="08D4D1EE"/>
    <w:rsid w:val="08D87F2A"/>
    <w:rsid w:val="08D987AF"/>
    <w:rsid w:val="08DCF054"/>
    <w:rsid w:val="08DE9A43"/>
    <w:rsid w:val="08E0C11C"/>
    <w:rsid w:val="08E1B6D3"/>
    <w:rsid w:val="08E358AB"/>
    <w:rsid w:val="08E57404"/>
    <w:rsid w:val="08E57C21"/>
    <w:rsid w:val="08E8A0CF"/>
    <w:rsid w:val="08E8F627"/>
    <w:rsid w:val="08E97418"/>
    <w:rsid w:val="08EA1363"/>
    <w:rsid w:val="08EA9699"/>
    <w:rsid w:val="08EBBD93"/>
    <w:rsid w:val="08F22663"/>
    <w:rsid w:val="08F51DC4"/>
    <w:rsid w:val="08F773A6"/>
    <w:rsid w:val="08F9E504"/>
    <w:rsid w:val="08FBF7DC"/>
    <w:rsid w:val="08FE87C2"/>
    <w:rsid w:val="090185EB"/>
    <w:rsid w:val="0901A5A8"/>
    <w:rsid w:val="09024A2B"/>
    <w:rsid w:val="0903F6E5"/>
    <w:rsid w:val="09044225"/>
    <w:rsid w:val="0904797B"/>
    <w:rsid w:val="09053825"/>
    <w:rsid w:val="090683FE"/>
    <w:rsid w:val="0907DD19"/>
    <w:rsid w:val="0908F293"/>
    <w:rsid w:val="090A2BCB"/>
    <w:rsid w:val="090A76D9"/>
    <w:rsid w:val="090EACD7"/>
    <w:rsid w:val="0910DB07"/>
    <w:rsid w:val="0911499D"/>
    <w:rsid w:val="09116DED"/>
    <w:rsid w:val="0911ADB4"/>
    <w:rsid w:val="0913B5D2"/>
    <w:rsid w:val="0914897C"/>
    <w:rsid w:val="0916E4FF"/>
    <w:rsid w:val="0916FB09"/>
    <w:rsid w:val="0917A092"/>
    <w:rsid w:val="091861FD"/>
    <w:rsid w:val="091B551D"/>
    <w:rsid w:val="091D0733"/>
    <w:rsid w:val="091DC3C6"/>
    <w:rsid w:val="091EDC6F"/>
    <w:rsid w:val="091F8293"/>
    <w:rsid w:val="091FECEF"/>
    <w:rsid w:val="09205B76"/>
    <w:rsid w:val="0921232A"/>
    <w:rsid w:val="09224CE0"/>
    <w:rsid w:val="0922CCC6"/>
    <w:rsid w:val="092388B3"/>
    <w:rsid w:val="0923D414"/>
    <w:rsid w:val="09245F19"/>
    <w:rsid w:val="09246183"/>
    <w:rsid w:val="0927645C"/>
    <w:rsid w:val="092769FF"/>
    <w:rsid w:val="0927D7CF"/>
    <w:rsid w:val="09281787"/>
    <w:rsid w:val="092914DD"/>
    <w:rsid w:val="092AF9A6"/>
    <w:rsid w:val="092B5631"/>
    <w:rsid w:val="092D86F8"/>
    <w:rsid w:val="092DBCD5"/>
    <w:rsid w:val="092F1129"/>
    <w:rsid w:val="093007EB"/>
    <w:rsid w:val="0930D578"/>
    <w:rsid w:val="0933F7A4"/>
    <w:rsid w:val="0936C28F"/>
    <w:rsid w:val="0936F0CF"/>
    <w:rsid w:val="09374DE8"/>
    <w:rsid w:val="093ACC3B"/>
    <w:rsid w:val="093AE0AD"/>
    <w:rsid w:val="093C3C12"/>
    <w:rsid w:val="093DB48E"/>
    <w:rsid w:val="09411FFB"/>
    <w:rsid w:val="0941B677"/>
    <w:rsid w:val="09420A7C"/>
    <w:rsid w:val="0944A775"/>
    <w:rsid w:val="0946F13F"/>
    <w:rsid w:val="09481FE3"/>
    <w:rsid w:val="09489140"/>
    <w:rsid w:val="0948B8E6"/>
    <w:rsid w:val="094A6BFB"/>
    <w:rsid w:val="094B930A"/>
    <w:rsid w:val="094BCE96"/>
    <w:rsid w:val="094CD314"/>
    <w:rsid w:val="094F2305"/>
    <w:rsid w:val="094F4BE5"/>
    <w:rsid w:val="09554E1B"/>
    <w:rsid w:val="0955E055"/>
    <w:rsid w:val="09587F8D"/>
    <w:rsid w:val="095959A8"/>
    <w:rsid w:val="095A9807"/>
    <w:rsid w:val="095BD5A0"/>
    <w:rsid w:val="095BDE24"/>
    <w:rsid w:val="095C6B22"/>
    <w:rsid w:val="095C7E4D"/>
    <w:rsid w:val="095F6B2C"/>
    <w:rsid w:val="09606C03"/>
    <w:rsid w:val="09615C17"/>
    <w:rsid w:val="096214D5"/>
    <w:rsid w:val="0963C1D5"/>
    <w:rsid w:val="0968D90D"/>
    <w:rsid w:val="0969EA85"/>
    <w:rsid w:val="0969FB4E"/>
    <w:rsid w:val="096BA252"/>
    <w:rsid w:val="096D0F57"/>
    <w:rsid w:val="09710807"/>
    <w:rsid w:val="0971D34D"/>
    <w:rsid w:val="0974CBBD"/>
    <w:rsid w:val="0977F4E0"/>
    <w:rsid w:val="0978A68E"/>
    <w:rsid w:val="09797A1D"/>
    <w:rsid w:val="097A4EFC"/>
    <w:rsid w:val="097B3712"/>
    <w:rsid w:val="097B3993"/>
    <w:rsid w:val="097E357B"/>
    <w:rsid w:val="097ED477"/>
    <w:rsid w:val="0980AAF0"/>
    <w:rsid w:val="09842CF7"/>
    <w:rsid w:val="09850125"/>
    <w:rsid w:val="098793D4"/>
    <w:rsid w:val="09895B86"/>
    <w:rsid w:val="098A9C55"/>
    <w:rsid w:val="098F8034"/>
    <w:rsid w:val="098FB4D5"/>
    <w:rsid w:val="0991A9A6"/>
    <w:rsid w:val="0993E6BD"/>
    <w:rsid w:val="09959384"/>
    <w:rsid w:val="09990493"/>
    <w:rsid w:val="099BCFBD"/>
    <w:rsid w:val="099C031E"/>
    <w:rsid w:val="099E0812"/>
    <w:rsid w:val="099F1587"/>
    <w:rsid w:val="099F23D0"/>
    <w:rsid w:val="09A275D3"/>
    <w:rsid w:val="09A28269"/>
    <w:rsid w:val="09A3AAE4"/>
    <w:rsid w:val="09A3F56C"/>
    <w:rsid w:val="09A55718"/>
    <w:rsid w:val="09A6A116"/>
    <w:rsid w:val="09A6DD86"/>
    <w:rsid w:val="09A762E6"/>
    <w:rsid w:val="09A7E476"/>
    <w:rsid w:val="09A8819B"/>
    <w:rsid w:val="09A97203"/>
    <w:rsid w:val="09A9F621"/>
    <w:rsid w:val="09AB2D32"/>
    <w:rsid w:val="09AC928A"/>
    <w:rsid w:val="09ACB7EB"/>
    <w:rsid w:val="09AD77F3"/>
    <w:rsid w:val="09AE0CB1"/>
    <w:rsid w:val="09B1E1EC"/>
    <w:rsid w:val="09B48A45"/>
    <w:rsid w:val="09B6173A"/>
    <w:rsid w:val="09B70187"/>
    <w:rsid w:val="09BB19B9"/>
    <w:rsid w:val="09BB4AD9"/>
    <w:rsid w:val="09BC9C39"/>
    <w:rsid w:val="09BCB796"/>
    <w:rsid w:val="09BD362A"/>
    <w:rsid w:val="09BD4D25"/>
    <w:rsid w:val="09BF7D7A"/>
    <w:rsid w:val="09C033B3"/>
    <w:rsid w:val="09C092E5"/>
    <w:rsid w:val="09C28783"/>
    <w:rsid w:val="09C42F79"/>
    <w:rsid w:val="09C44902"/>
    <w:rsid w:val="09C44B77"/>
    <w:rsid w:val="09C4632E"/>
    <w:rsid w:val="09C488D3"/>
    <w:rsid w:val="09C48CD0"/>
    <w:rsid w:val="09C65D16"/>
    <w:rsid w:val="09C6A4E3"/>
    <w:rsid w:val="09C8E054"/>
    <w:rsid w:val="09C9D8A2"/>
    <w:rsid w:val="09CA7C8B"/>
    <w:rsid w:val="09CB83D0"/>
    <w:rsid w:val="09CBAB8A"/>
    <w:rsid w:val="09CCF9F2"/>
    <w:rsid w:val="09CD35A2"/>
    <w:rsid w:val="09CDB38D"/>
    <w:rsid w:val="09D0461E"/>
    <w:rsid w:val="09D2CA82"/>
    <w:rsid w:val="09D4BE79"/>
    <w:rsid w:val="09D5DF35"/>
    <w:rsid w:val="09DA83D8"/>
    <w:rsid w:val="09DB4B0F"/>
    <w:rsid w:val="09DF5745"/>
    <w:rsid w:val="09DF62A4"/>
    <w:rsid w:val="09E027E5"/>
    <w:rsid w:val="09E05836"/>
    <w:rsid w:val="09E07CA2"/>
    <w:rsid w:val="09E0CA9B"/>
    <w:rsid w:val="09E30C3E"/>
    <w:rsid w:val="09E35418"/>
    <w:rsid w:val="09E3B49C"/>
    <w:rsid w:val="09E58EE5"/>
    <w:rsid w:val="09EAB40F"/>
    <w:rsid w:val="09EDF1EB"/>
    <w:rsid w:val="09EE27E9"/>
    <w:rsid w:val="09EE9CF5"/>
    <w:rsid w:val="09F0AAD5"/>
    <w:rsid w:val="09F353D0"/>
    <w:rsid w:val="09F4038B"/>
    <w:rsid w:val="09F412CC"/>
    <w:rsid w:val="09F53BE4"/>
    <w:rsid w:val="09F69D5A"/>
    <w:rsid w:val="09F77211"/>
    <w:rsid w:val="09F858E6"/>
    <w:rsid w:val="09FA3391"/>
    <w:rsid w:val="09FA4C98"/>
    <w:rsid w:val="09FEFE56"/>
    <w:rsid w:val="09FFB853"/>
    <w:rsid w:val="09FFFCD1"/>
    <w:rsid w:val="0A007025"/>
    <w:rsid w:val="0A026D1D"/>
    <w:rsid w:val="0A0372FE"/>
    <w:rsid w:val="0A03AE02"/>
    <w:rsid w:val="0A0468A8"/>
    <w:rsid w:val="0A07F848"/>
    <w:rsid w:val="0A08CC12"/>
    <w:rsid w:val="0A0A5EF6"/>
    <w:rsid w:val="0A0A8EF3"/>
    <w:rsid w:val="0A0B92FD"/>
    <w:rsid w:val="0A0BD8A5"/>
    <w:rsid w:val="0A0D1BED"/>
    <w:rsid w:val="0A0EEF67"/>
    <w:rsid w:val="0A0EF703"/>
    <w:rsid w:val="0A11B907"/>
    <w:rsid w:val="0A11F9D0"/>
    <w:rsid w:val="0A123788"/>
    <w:rsid w:val="0A153B50"/>
    <w:rsid w:val="0A156549"/>
    <w:rsid w:val="0A15B0CD"/>
    <w:rsid w:val="0A162E0B"/>
    <w:rsid w:val="0A16FF7F"/>
    <w:rsid w:val="0A176515"/>
    <w:rsid w:val="0A194464"/>
    <w:rsid w:val="0A1A6FED"/>
    <w:rsid w:val="0A1E0B68"/>
    <w:rsid w:val="0A1EDB75"/>
    <w:rsid w:val="0A1EF0DE"/>
    <w:rsid w:val="0A1FB567"/>
    <w:rsid w:val="0A239033"/>
    <w:rsid w:val="0A247C07"/>
    <w:rsid w:val="0A26A931"/>
    <w:rsid w:val="0A2A1C6E"/>
    <w:rsid w:val="0A2CBD81"/>
    <w:rsid w:val="0A2CC2AE"/>
    <w:rsid w:val="0A2D7DB5"/>
    <w:rsid w:val="0A2F690B"/>
    <w:rsid w:val="0A30268F"/>
    <w:rsid w:val="0A3463E9"/>
    <w:rsid w:val="0A39A04B"/>
    <w:rsid w:val="0A39CE04"/>
    <w:rsid w:val="0A39D1CB"/>
    <w:rsid w:val="0A3A948B"/>
    <w:rsid w:val="0A3CA8C3"/>
    <w:rsid w:val="0A3F94F9"/>
    <w:rsid w:val="0A405263"/>
    <w:rsid w:val="0A41B1FB"/>
    <w:rsid w:val="0A4293DD"/>
    <w:rsid w:val="0A43180D"/>
    <w:rsid w:val="0A439D8B"/>
    <w:rsid w:val="0A43A261"/>
    <w:rsid w:val="0A4696D6"/>
    <w:rsid w:val="0A479DD8"/>
    <w:rsid w:val="0A4903E6"/>
    <w:rsid w:val="0A49334C"/>
    <w:rsid w:val="0A49ED02"/>
    <w:rsid w:val="0A4AD442"/>
    <w:rsid w:val="0A4B3455"/>
    <w:rsid w:val="0A4B667E"/>
    <w:rsid w:val="0A4C1079"/>
    <w:rsid w:val="0A500F0E"/>
    <w:rsid w:val="0A505357"/>
    <w:rsid w:val="0A514903"/>
    <w:rsid w:val="0A51B5AB"/>
    <w:rsid w:val="0A520ED6"/>
    <w:rsid w:val="0A5230DC"/>
    <w:rsid w:val="0A528CEF"/>
    <w:rsid w:val="0A52EF7D"/>
    <w:rsid w:val="0A53A2B1"/>
    <w:rsid w:val="0A54F034"/>
    <w:rsid w:val="0A58781E"/>
    <w:rsid w:val="0A591F61"/>
    <w:rsid w:val="0A5AE5CC"/>
    <w:rsid w:val="0A5BA178"/>
    <w:rsid w:val="0A5CE019"/>
    <w:rsid w:val="0A5DF00E"/>
    <w:rsid w:val="0A5EEE7C"/>
    <w:rsid w:val="0A5F011B"/>
    <w:rsid w:val="0A5F0B63"/>
    <w:rsid w:val="0A5F7A20"/>
    <w:rsid w:val="0A612748"/>
    <w:rsid w:val="0A618791"/>
    <w:rsid w:val="0A6646AB"/>
    <w:rsid w:val="0A692A2A"/>
    <w:rsid w:val="0A6B9B03"/>
    <w:rsid w:val="0A6BABDF"/>
    <w:rsid w:val="0A6C1F6D"/>
    <w:rsid w:val="0A6C51CA"/>
    <w:rsid w:val="0A6E0640"/>
    <w:rsid w:val="0A6F5DCD"/>
    <w:rsid w:val="0A711856"/>
    <w:rsid w:val="0A779E6F"/>
    <w:rsid w:val="0A77BCEA"/>
    <w:rsid w:val="0A782961"/>
    <w:rsid w:val="0A7AE267"/>
    <w:rsid w:val="0A7BCC04"/>
    <w:rsid w:val="0A7E34B5"/>
    <w:rsid w:val="0A7E894A"/>
    <w:rsid w:val="0A7EF9C1"/>
    <w:rsid w:val="0A7FD9FB"/>
    <w:rsid w:val="0A80572A"/>
    <w:rsid w:val="0A821577"/>
    <w:rsid w:val="0A838E53"/>
    <w:rsid w:val="0A8449BC"/>
    <w:rsid w:val="0A8571F4"/>
    <w:rsid w:val="0A86A366"/>
    <w:rsid w:val="0A86D7B0"/>
    <w:rsid w:val="0A893344"/>
    <w:rsid w:val="0A899C3B"/>
    <w:rsid w:val="0A8B850D"/>
    <w:rsid w:val="0A8C8385"/>
    <w:rsid w:val="0A8C8F94"/>
    <w:rsid w:val="0A8DF1B2"/>
    <w:rsid w:val="0A8F0F95"/>
    <w:rsid w:val="0A8F6831"/>
    <w:rsid w:val="0A8FCE98"/>
    <w:rsid w:val="0A938CEF"/>
    <w:rsid w:val="0A9482EC"/>
    <w:rsid w:val="0A95278A"/>
    <w:rsid w:val="0A97E90E"/>
    <w:rsid w:val="0A9A9635"/>
    <w:rsid w:val="0A9B78C4"/>
    <w:rsid w:val="0A9B7B07"/>
    <w:rsid w:val="0A9D2A83"/>
    <w:rsid w:val="0A9D3EEA"/>
    <w:rsid w:val="0A9EEC6A"/>
    <w:rsid w:val="0A9F424E"/>
    <w:rsid w:val="0A9F6A23"/>
    <w:rsid w:val="0AA07081"/>
    <w:rsid w:val="0AA137DF"/>
    <w:rsid w:val="0AA1FEB1"/>
    <w:rsid w:val="0AA4043C"/>
    <w:rsid w:val="0AA6EC7A"/>
    <w:rsid w:val="0AA7C858"/>
    <w:rsid w:val="0AA82F3D"/>
    <w:rsid w:val="0AA8A844"/>
    <w:rsid w:val="0AAA7C1D"/>
    <w:rsid w:val="0AAE4988"/>
    <w:rsid w:val="0AAF3502"/>
    <w:rsid w:val="0AAFB48C"/>
    <w:rsid w:val="0AAFB522"/>
    <w:rsid w:val="0AB1748F"/>
    <w:rsid w:val="0AB32193"/>
    <w:rsid w:val="0AB4A4A1"/>
    <w:rsid w:val="0AB66419"/>
    <w:rsid w:val="0AB7154E"/>
    <w:rsid w:val="0AB79C22"/>
    <w:rsid w:val="0ABB60F8"/>
    <w:rsid w:val="0ABC4CC4"/>
    <w:rsid w:val="0ABEC77B"/>
    <w:rsid w:val="0AC092A6"/>
    <w:rsid w:val="0AC32782"/>
    <w:rsid w:val="0AC49DFF"/>
    <w:rsid w:val="0AC4AC4D"/>
    <w:rsid w:val="0AC686CE"/>
    <w:rsid w:val="0ACE39DE"/>
    <w:rsid w:val="0ACF069A"/>
    <w:rsid w:val="0AD480BC"/>
    <w:rsid w:val="0AD5DE7F"/>
    <w:rsid w:val="0AD6E3E4"/>
    <w:rsid w:val="0AD7E3B3"/>
    <w:rsid w:val="0AD908FE"/>
    <w:rsid w:val="0AD9265F"/>
    <w:rsid w:val="0AD9DBEB"/>
    <w:rsid w:val="0ADC08CC"/>
    <w:rsid w:val="0ADD390D"/>
    <w:rsid w:val="0ADF76B2"/>
    <w:rsid w:val="0AE0AC66"/>
    <w:rsid w:val="0AE13199"/>
    <w:rsid w:val="0AE1B42A"/>
    <w:rsid w:val="0AE25E9B"/>
    <w:rsid w:val="0AE8EE34"/>
    <w:rsid w:val="0AE8F947"/>
    <w:rsid w:val="0AEA8A02"/>
    <w:rsid w:val="0AEB754D"/>
    <w:rsid w:val="0AECD1B7"/>
    <w:rsid w:val="0AECE3DF"/>
    <w:rsid w:val="0AEF41F2"/>
    <w:rsid w:val="0AEFF913"/>
    <w:rsid w:val="0AF00965"/>
    <w:rsid w:val="0AF0CA55"/>
    <w:rsid w:val="0AF1DC16"/>
    <w:rsid w:val="0AF25EB3"/>
    <w:rsid w:val="0AF786F7"/>
    <w:rsid w:val="0AF9D60D"/>
    <w:rsid w:val="0AFC5832"/>
    <w:rsid w:val="0AFFD9C1"/>
    <w:rsid w:val="0B007075"/>
    <w:rsid w:val="0B015557"/>
    <w:rsid w:val="0B01C60D"/>
    <w:rsid w:val="0B01E067"/>
    <w:rsid w:val="0B050972"/>
    <w:rsid w:val="0B06012C"/>
    <w:rsid w:val="0B0625A2"/>
    <w:rsid w:val="0B0AFE4C"/>
    <w:rsid w:val="0B109C05"/>
    <w:rsid w:val="0B10DA06"/>
    <w:rsid w:val="0B10DAA7"/>
    <w:rsid w:val="0B15ED12"/>
    <w:rsid w:val="0B1612F1"/>
    <w:rsid w:val="0B163C75"/>
    <w:rsid w:val="0B19F49A"/>
    <w:rsid w:val="0B1A989D"/>
    <w:rsid w:val="0B1C64EA"/>
    <w:rsid w:val="0B1FC2F5"/>
    <w:rsid w:val="0B1FDAED"/>
    <w:rsid w:val="0B202ED1"/>
    <w:rsid w:val="0B24AEFA"/>
    <w:rsid w:val="0B24F9EF"/>
    <w:rsid w:val="0B263A56"/>
    <w:rsid w:val="0B2676AC"/>
    <w:rsid w:val="0B2920A2"/>
    <w:rsid w:val="0B2B746E"/>
    <w:rsid w:val="0B2CAD20"/>
    <w:rsid w:val="0B2E155A"/>
    <w:rsid w:val="0B2F790F"/>
    <w:rsid w:val="0B2F8B0C"/>
    <w:rsid w:val="0B305ED1"/>
    <w:rsid w:val="0B325D2D"/>
    <w:rsid w:val="0B343322"/>
    <w:rsid w:val="0B3666EF"/>
    <w:rsid w:val="0B3806DD"/>
    <w:rsid w:val="0B390BC8"/>
    <w:rsid w:val="0B3A77AA"/>
    <w:rsid w:val="0B3AD6EF"/>
    <w:rsid w:val="0B3C94BB"/>
    <w:rsid w:val="0B3CA96E"/>
    <w:rsid w:val="0B3D6D92"/>
    <w:rsid w:val="0B3E2835"/>
    <w:rsid w:val="0B3E7672"/>
    <w:rsid w:val="0B3E8C69"/>
    <w:rsid w:val="0B406B69"/>
    <w:rsid w:val="0B419A9E"/>
    <w:rsid w:val="0B433D52"/>
    <w:rsid w:val="0B446A80"/>
    <w:rsid w:val="0B46296D"/>
    <w:rsid w:val="0B46C285"/>
    <w:rsid w:val="0B4DF2EE"/>
    <w:rsid w:val="0B4F13F5"/>
    <w:rsid w:val="0B503FC7"/>
    <w:rsid w:val="0B50486A"/>
    <w:rsid w:val="0B514A36"/>
    <w:rsid w:val="0B520437"/>
    <w:rsid w:val="0B540A26"/>
    <w:rsid w:val="0B546439"/>
    <w:rsid w:val="0B5589C4"/>
    <w:rsid w:val="0B55B5AA"/>
    <w:rsid w:val="0B56A7DC"/>
    <w:rsid w:val="0B580469"/>
    <w:rsid w:val="0B5ABB91"/>
    <w:rsid w:val="0B5B1B53"/>
    <w:rsid w:val="0B5C5310"/>
    <w:rsid w:val="0B5D24EF"/>
    <w:rsid w:val="0B5EF3C2"/>
    <w:rsid w:val="0B5F0711"/>
    <w:rsid w:val="0B5F68D6"/>
    <w:rsid w:val="0B608B20"/>
    <w:rsid w:val="0B6129E6"/>
    <w:rsid w:val="0B6187A7"/>
    <w:rsid w:val="0B62D1F4"/>
    <w:rsid w:val="0B6369B1"/>
    <w:rsid w:val="0B645E17"/>
    <w:rsid w:val="0B64C2BA"/>
    <w:rsid w:val="0B67AF88"/>
    <w:rsid w:val="0B67F7E8"/>
    <w:rsid w:val="0B696672"/>
    <w:rsid w:val="0B6A47B5"/>
    <w:rsid w:val="0B6EC1E3"/>
    <w:rsid w:val="0B6FB2D9"/>
    <w:rsid w:val="0B71B752"/>
    <w:rsid w:val="0B735169"/>
    <w:rsid w:val="0B7417D8"/>
    <w:rsid w:val="0B746D18"/>
    <w:rsid w:val="0B751129"/>
    <w:rsid w:val="0B756315"/>
    <w:rsid w:val="0B75D778"/>
    <w:rsid w:val="0B792F59"/>
    <w:rsid w:val="0B7B635A"/>
    <w:rsid w:val="0B7B7718"/>
    <w:rsid w:val="0B7BBE32"/>
    <w:rsid w:val="0B7C0078"/>
    <w:rsid w:val="0B7E8040"/>
    <w:rsid w:val="0B7EB9AB"/>
    <w:rsid w:val="0B7EF1B7"/>
    <w:rsid w:val="0B8058E1"/>
    <w:rsid w:val="0B826E69"/>
    <w:rsid w:val="0B838B53"/>
    <w:rsid w:val="0B8A6961"/>
    <w:rsid w:val="0B8A7BF7"/>
    <w:rsid w:val="0B8AAC0E"/>
    <w:rsid w:val="0B8B011E"/>
    <w:rsid w:val="0B8B20A6"/>
    <w:rsid w:val="0B8BB3F9"/>
    <w:rsid w:val="0B8BB5D3"/>
    <w:rsid w:val="0B8D3A64"/>
    <w:rsid w:val="0B8E7946"/>
    <w:rsid w:val="0B90A786"/>
    <w:rsid w:val="0B91DEC4"/>
    <w:rsid w:val="0B9417B7"/>
    <w:rsid w:val="0B976F6A"/>
    <w:rsid w:val="0B9C9493"/>
    <w:rsid w:val="0B9D7230"/>
    <w:rsid w:val="0B9EDA97"/>
    <w:rsid w:val="0B9F2FD8"/>
    <w:rsid w:val="0BA127D6"/>
    <w:rsid w:val="0BA2028A"/>
    <w:rsid w:val="0BA303D7"/>
    <w:rsid w:val="0BA3621B"/>
    <w:rsid w:val="0BA3DAEE"/>
    <w:rsid w:val="0BA3E25F"/>
    <w:rsid w:val="0BA535B2"/>
    <w:rsid w:val="0BA5A8F1"/>
    <w:rsid w:val="0BA773B0"/>
    <w:rsid w:val="0BA90CDA"/>
    <w:rsid w:val="0BA96B42"/>
    <w:rsid w:val="0BA994BD"/>
    <w:rsid w:val="0BABA9BB"/>
    <w:rsid w:val="0BABB69B"/>
    <w:rsid w:val="0BAEA922"/>
    <w:rsid w:val="0BB04904"/>
    <w:rsid w:val="0BB0A067"/>
    <w:rsid w:val="0BB0D3D3"/>
    <w:rsid w:val="0BB199F0"/>
    <w:rsid w:val="0BB296D5"/>
    <w:rsid w:val="0BB37B44"/>
    <w:rsid w:val="0BB41B46"/>
    <w:rsid w:val="0BB44523"/>
    <w:rsid w:val="0BB51D13"/>
    <w:rsid w:val="0BB80510"/>
    <w:rsid w:val="0BB98CAE"/>
    <w:rsid w:val="0BBAACB1"/>
    <w:rsid w:val="0BBB1A24"/>
    <w:rsid w:val="0BBBA9C9"/>
    <w:rsid w:val="0BBBDCD6"/>
    <w:rsid w:val="0BBBFC03"/>
    <w:rsid w:val="0BBC765A"/>
    <w:rsid w:val="0BBD8647"/>
    <w:rsid w:val="0BBF6E5D"/>
    <w:rsid w:val="0BBF9F4F"/>
    <w:rsid w:val="0BC00BE5"/>
    <w:rsid w:val="0BC00FFE"/>
    <w:rsid w:val="0BC02951"/>
    <w:rsid w:val="0BC04247"/>
    <w:rsid w:val="0BC0DD7E"/>
    <w:rsid w:val="0BC16760"/>
    <w:rsid w:val="0BC2A7C0"/>
    <w:rsid w:val="0BC3677F"/>
    <w:rsid w:val="0BC3C454"/>
    <w:rsid w:val="0BC42E8F"/>
    <w:rsid w:val="0BC55082"/>
    <w:rsid w:val="0BC9ACE4"/>
    <w:rsid w:val="0BC9B6EB"/>
    <w:rsid w:val="0BCAB846"/>
    <w:rsid w:val="0BCDB72A"/>
    <w:rsid w:val="0BCE942C"/>
    <w:rsid w:val="0BCE9E04"/>
    <w:rsid w:val="0BCEC1D5"/>
    <w:rsid w:val="0BCEDD17"/>
    <w:rsid w:val="0BCFA458"/>
    <w:rsid w:val="0BD48C54"/>
    <w:rsid w:val="0BD61FCD"/>
    <w:rsid w:val="0BD714F7"/>
    <w:rsid w:val="0BD8EE22"/>
    <w:rsid w:val="0BDB1F44"/>
    <w:rsid w:val="0BDCC768"/>
    <w:rsid w:val="0BE003B3"/>
    <w:rsid w:val="0BE12411"/>
    <w:rsid w:val="0BE3F9A2"/>
    <w:rsid w:val="0BE4479C"/>
    <w:rsid w:val="0BE58152"/>
    <w:rsid w:val="0BE7124F"/>
    <w:rsid w:val="0BEEBA72"/>
    <w:rsid w:val="0BEEF2EE"/>
    <w:rsid w:val="0BEF37B6"/>
    <w:rsid w:val="0BEF3E55"/>
    <w:rsid w:val="0BF09164"/>
    <w:rsid w:val="0BF11274"/>
    <w:rsid w:val="0BF23127"/>
    <w:rsid w:val="0BF24896"/>
    <w:rsid w:val="0BF2DC9C"/>
    <w:rsid w:val="0BF33ADA"/>
    <w:rsid w:val="0BF369CE"/>
    <w:rsid w:val="0BF42918"/>
    <w:rsid w:val="0BF77DDB"/>
    <w:rsid w:val="0BF7D7B4"/>
    <w:rsid w:val="0BF85B7A"/>
    <w:rsid w:val="0BFB49EB"/>
    <w:rsid w:val="0BFC857C"/>
    <w:rsid w:val="0BFCEE85"/>
    <w:rsid w:val="0BFD693D"/>
    <w:rsid w:val="0BFE619F"/>
    <w:rsid w:val="0BFE7735"/>
    <w:rsid w:val="0BFF3F3C"/>
    <w:rsid w:val="0C000C32"/>
    <w:rsid w:val="0C00ADBB"/>
    <w:rsid w:val="0C00D6CC"/>
    <w:rsid w:val="0C02640E"/>
    <w:rsid w:val="0C036175"/>
    <w:rsid w:val="0C045A30"/>
    <w:rsid w:val="0C047319"/>
    <w:rsid w:val="0C0649E8"/>
    <w:rsid w:val="0C073EB6"/>
    <w:rsid w:val="0C07AA41"/>
    <w:rsid w:val="0C0973A9"/>
    <w:rsid w:val="0C0A1C70"/>
    <w:rsid w:val="0C0D03FC"/>
    <w:rsid w:val="0C0DF010"/>
    <w:rsid w:val="0C1130F1"/>
    <w:rsid w:val="0C120A0F"/>
    <w:rsid w:val="0C127E95"/>
    <w:rsid w:val="0C1286E4"/>
    <w:rsid w:val="0C137C3D"/>
    <w:rsid w:val="0C141B28"/>
    <w:rsid w:val="0C142880"/>
    <w:rsid w:val="0C189E6A"/>
    <w:rsid w:val="0C1A6017"/>
    <w:rsid w:val="0C1A9618"/>
    <w:rsid w:val="0C1BBD6C"/>
    <w:rsid w:val="0C1BDFD3"/>
    <w:rsid w:val="0C1C8E77"/>
    <w:rsid w:val="0C1DAAC0"/>
    <w:rsid w:val="0C1DD146"/>
    <w:rsid w:val="0C1F04C8"/>
    <w:rsid w:val="0C21FC98"/>
    <w:rsid w:val="0C23EE11"/>
    <w:rsid w:val="0C247603"/>
    <w:rsid w:val="0C26C770"/>
    <w:rsid w:val="0C26DCB8"/>
    <w:rsid w:val="0C2A98AC"/>
    <w:rsid w:val="0C2ABC52"/>
    <w:rsid w:val="0C2ABEAD"/>
    <w:rsid w:val="0C2ACCEE"/>
    <w:rsid w:val="0C2C4E47"/>
    <w:rsid w:val="0C2CDA55"/>
    <w:rsid w:val="0C2F5054"/>
    <w:rsid w:val="0C315E12"/>
    <w:rsid w:val="0C358EB2"/>
    <w:rsid w:val="0C36837B"/>
    <w:rsid w:val="0C3741CD"/>
    <w:rsid w:val="0C37D74F"/>
    <w:rsid w:val="0C38D71D"/>
    <w:rsid w:val="0C3DE30D"/>
    <w:rsid w:val="0C3DE4E7"/>
    <w:rsid w:val="0C3F0BE7"/>
    <w:rsid w:val="0C428E0D"/>
    <w:rsid w:val="0C42CB3D"/>
    <w:rsid w:val="0C4A3A7E"/>
    <w:rsid w:val="0C4B206F"/>
    <w:rsid w:val="0C4DC386"/>
    <w:rsid w:val="0C4DCB2B"/>
    <w:rsid w:val="0C4F99FE"/>
    <w:rsid w:val="0C513FBD"/>
    <w:rsid w:val="0C527648"/>
    <w:rsid w:val="0C52F2D7"/>
    <w:rsid w:val="0C533EDC"/>
    <w:rsid w:val="0C551BF6"/>
    <w:rsid w:val="0C5C2D91"/>
    <w:rsid w:val="0C5C8D2D"/>
    <w:rsid w:val="0C5D47F0"/>
    <w:rsid w:val="0C6035B8"/>
    <w:rsid w:val="0C6213E1"/>
    <w:rsid w:val="0C624C57"/>
    <w:rsid w:val="0C62DD1F"/>
    <w:rsid w:val="0C663A8F"/>
    <w:rsid w:val="0C672F25"/>
    <w:rsid w:val="0C681458"/>
    <w:rsid w:val="0C6B17E5"/>
    <w:rsid w:val="0C6C44BE"/>
    <w:rsid w:val="0C6D3F08"/>
    <w:rsid w:val="0C6DF427"/>
    <w:rsid w:val="0C6DF47E"/>
    <w:rsid w:val="0C709D1F"/>
    <w:rsid w:val="0C70F5E5"/>
    <w:rsid w:val="0C716EF3"/>
    <w:rsid w:val="0C7321C9"/>
    <w:rsid w:val="0C745065"/>
    <w:rsid w:val="0C764B5B"/>
    <w:rsid w:val="0C768F24"/>
    <w:rsid w:val="0C78129E"/>
    <w:rsid w:val="0C7C69CD"/>
    <w:rsid w:val="0C7D492F"/>
    <w:rsid w:val="0C7D8511"/>
    <w:rsid w:val="0C7F6ED0"/>
    <w:rsid w:val="0C800312"/>
    <w:rsid w:val="0C80053B"/>
    <w:rsid w:val="0C83EA25"/>
    <w:rsid w:val="0C871A3C"/>
    <w:rsid w:val="0C8730C3"/>
    <w:rsid w:val="0C894A68"/>
    <w:rsid w:val="0C8AAFEB"/>
    <w:rsid w:val="0C8AE807"/>
    <w:rsid w:val="0C8CDEB3"/>
    <w:rsid w:val="0C916DC1"/>
    <w:rsid w:val="0C938AFE"/>
    <w:rsid w:val="0C9396E2"/>
    <w:rsid w:val="0C9666B7"/>
    <w:rsid w:val="0C9705AB"/>
    <w:rsid w:val="0C974BA9"/>
    <w:rsid w:val="0C9789A5"/>
    <w:rsid w:val="0C991468"/>
    <w:rsid w:val="0C995DFB"/>
    <w:rsid w:val="0C9A0229"/>
    <w:rsid w:val="0C9AB6D0"/>
    <w:rsid w:val="0C9C0EBC"/>
    <w:rsid w:val="0C9C39BB"/>
    <w:rsid w:val="0C9C69A6"/>
    <w:rsid w:val="0C9CD2F2"/>
    <w:rsid w:val="0C9DB758"/>
    <w:rsid w:val="0CA27DE9"/>
    <w:rsid w:val="0CA2B709"/>
    <w:rsid w:val="0CA4BA89"/>
    <w:rsid w:val="0CA615AA"/>
    <w:rsid w:val="0CABC361"/>
    <w:rsid w:val="0CB17B8F"/>
    <w:rsid w:val="0CB945D9"/>
    <w:rsid w:val="0CB9D172"/>
    <w:rsid w:val="0CBBDB69"/>
    <w:rsid w:val="0CC0C90A"/>
    <w:rsid w:val="0CC318B8"/>
    <w:rsid w:val="0CC4F9E2"/>
    <w:rsid w:val="0CC5AC68"/>
    <w:rsid w:val="0CC8C078"/>
    <w:rsid w:val="0CC995D5"/>
    <w:rsid w:val="0CCE523B"/>
    <w:rsid w:val="0CCF195F"/>
    <w:rsid w:val="0CD1B768"/>
    <w:rsid w:val="0CD23D3B"/>
    <w:rsid w:val="0CD275AF"/>
    <w:rsid w:val="0CD37542"/>
    <w:rsid w:val="0CD4E408"/>
    <w:rsid w:val="0CD5D782"/>
    <w:rsid w:val="0CD76A8E"/>
    <w:rsid w:val="0CD904C9"/>
    <w:rsid w:val="0CD9661B"/>
    <w:rsid w:val="0CD99BB5"/>
    <w:rsid w:val="0CD9CC74"/>
    <w:rsid w:val="0CDA6D3F"/>
    <w:rsid w:val="0CDC016E"/>
    <w:rsid w:val="0CDF48AF"/>
    <w:rsid w:val="0CDFC950"/>
    <w:rsid w:val="0CE032A9"/>
    <w:rsid w:val="0CE0C6D4"/>
    <w:rsid w:val="0CE21BFC"/>
    <w:rsid w:val="0CE2D3A9"/>
    <w:rsid w:val="0CE2FAEF"/>
    <w:rsid w:val="0CE355A3"/>
    <w:rsid w:val="0CE60291"/>
    <w:rsid w:val="0CE6B9C5"/>
    <w:rsid w:val="0CE93B90"/>
    <w:rsid w:val="0CEA0F89"/>
    <w:rsid w:val="0CEC66E2"/>
    <w:rsid w:val="0CEF9BB4"/>
    <w:rsid w:val="0CF03220"/>
    <w:rsid w:val="0CF1516D"/>
    <w:rsid w:val="0CF16D8C"/>
    <w:rsid w:val="0CF21F99"/>
    <w:rsid w:val="0CF280C5"/>
    <w:rsid w:val="0CF43151"/>
    <w:rsid w:val="0CF4A0DD"/>
    <w:rsid w:val="0CF5D935"/>
    <w:rsid w:val="0CF66E4F"/>
    <w:rsid w:val="0CF696CA"/>
    <w:rsid w:val="0CF9FFAB"/>
    <w:rsid w:val="0CFA1ED0"/>
    <w:rsid w:val="0CFA4266"/>
    <w:rsid w:val="0CFE23D0"/>
    <w:rsid w:val="0CFEE3B0"/>
    <w:rsid w:val="0CFF66A2"/>
    <w:rsid w:val="0CFFEED1"/>
    <w:rsid w:val="0D02B6DF"/>
    <w:rsid w:val="0D03B90F"/>
    <w:rsid w:val="0D04334B"/>
    <w:rsid w:val="0D06C3BE"/>
    <w:rsid w:val="0D073A4D"/>
    <w:rsid w:val="0D08E425"/>
    <w:rsid w:val="0D0A0E37"/>
    <w:rsid w:val="0D0ABD3F"/>
    <w:rsid w:val="0D0F49CF"/>
    <w:rsid w:val="0D0F7D0D"/>
    <w:rsid w:val="0D112335"/>
    <w:rsid w:val="0D11AB3E"/>
    <w:rsid w:val="0D120EAB"/>
    <w:rsid w:val="0D145F93"/>
    <w:rsid w:val="0D158B87"/>
    <w:rsid w:val="0D17C914"/>
    <w:rsid w:val="0D18B6A5"/>
    <w:rsid w:val="0D1B2BA0"/>
    <w:rsid w:val="0D1F8D49"/>
    <w:rsid w:val="0D20009E"/>
    <w:rsid w:val="0D219EE3"/>
    <w:rsid w:val="0D21D7E1"/>
    <w:rsid w:val="0D21E5ED"/>
    <w:rsid w:val="0D2D3D35"/>
    <w:rsid w:val="0D2E9BEE"/>
    <w:rsid w:val="0D2F3E11"/>
    <w:rsid w:val="0D2F4E36"/>
    <w:rsid w:val="0D2FAE25"/>
    <w:rsid w:val="0D319EAF"/>
    <w:rsid w:val="0D33AFEA"/>
    <w:rsid w:val="0D39BF7F"/>
    <w:rsid w:val="0D3AA952"/>
    <w:rsid w:val="0D3B6AEC"/>
    <w:rsid w:val="0D3BDB1E"/>
    <w:rsid w:val="0D3C16A9"/>
    <w:rsid w:val="0D3CA8CC"/>
    <w:rsid w:val="0D3D4903"/>
    <w:rsid w:val="0D44C958"/>
    <w:rsid w:val="0D4561E0"/>
    <w:rsid w:val="0D465102"/>
    <w:rsid w:val="0D46F388"/>
    <w:rsid w:val="0D47A607"/>
    <w:rsid w:val="0D485932"/>
    <w:rsid w:val="0D494FE9"/>
    <w:rsid w:val="0D4A8982"/>
    <w:rsid w:val="0D4AAFBF"/>
    <w:rsid w:val="0D4B2653"/>
    <w:rsid w:val="0D4C3EC4"/>
    <w:rsid w:val="0D4D71D2"/>
    <w:rsid w:val="0D4D9C88"/>
    <w:rsid w:val="0D4DE6EC"/>
    <w:rsid w:val="0D4EB0BF"/>
    <w:rsid w:val="0D504084"/>
    <w:rsid w:val="0D5068A1"/>
    <w:rsid w:val="0D50D668"/>
    <w:rsid w:val="0D515F6D"/>
    <w:rsid w:val="0D536E81"/>
    <w:rsid w:val="0D54A273"/>
    <w:rsid w:val="0D5AEBB3"/>
    <w:rsid w:val="0D5C30D5"/>
    <w:rsid w:val="0D5C54F3"/>
    <w:rsid w:val="0D5C6675"/>
    <w:rsid w:val="0D5C76E3"/>
    <w:rsid w:val="0D5ECB1D"/>
    <w:rsid w:val="0D5F231C"/>
    <w:rsid w:val="0D61C479"/>
    <w:rsid w:val="0D625D91"/>
    <w:rsid w:val="0D6353F7"/>
    <w:rsid w:val="0D6678AD"/>
    <w:rsid w:val="0D67AD11"/>
    <w:rsid w:val="0D68DA8C"/>
    <w:rsid w:val="0D6B55B3"/>
    <w:rsid w:val="0D6B6D50"/>
    <w:rsid w:val="0D6E4D2F"/>
    <w:rsid w:val="0D6F3E8E"/>
    <w:rsid w:val="0D6FB164"/>
    <w:rsid w:val="0D75CE18"/>
    <w:rsid w:val="0D761A14"/>
    <w:rsid w:val="0D78717B"/>
    <w:rsid w:val="0D787BB3"/>
    <w:rsid w:val="0D791184"/>
    <w:rsid w:val="0D7B2037"/>
    <w:rsid w:val="0D7B442E"/>
    <w:rsid w:val="0D7DDFBE"/>
    <w:rsid w:val="0D7E21EF"/>
    <w:rsid w:val="0D8032CD"/>
    <w:rsid w:val="0D81BFE3"/>
    <w:rsid w:val="0D83DCF5"/>
    <w:rsid w:val="0D854470"/>
    <w:rsid w:val="0D864622"/>
    <w:rsid w:val="0D87B845"/>
    <w:rsid w:val="0D893281"/>
    <w:rsid w:val="0D89B507"/>
    <w:rsid w:val="0D89B898"/>
    <w:rsid w:val="0D8A4858"/>
    <w:rsid w:val="0D8C71E0"/>
    <w:rsid w:val="0D8E94CF"/>
    <w:rsid w:val="0D938836"/>
    <w:rsid w:val="0D94A62F"/>
    <w:rsid w:val="0D95B87F"/>
    <w:rsid w:val="0D96E902"/>
    <w:rsid w:val="0D9891BB"/>
    <w:rsid w:val="0D9BD693"/>
    <w:rsid w:val="0D9C0527"/>
    <w:rsid w:val="0D9C306D"/>
    <w:rsid w:val="0D9D4C57"/>
    <w:rsid w:val="0D9D83FC"/>
    <w:rsid w:val="0D9E1DBC"/>
    <w:rsid w:val="0D9E499A"/>
    <w:rsid w:val="0DA04B9D"/>
    <w:rsid w:val="0DA0791E"/>
    <w:rsid w:val="0DA150F0"/>
    <w:rsid w:val="0DA30757"/>
    <w:rsid w:val="0DA512F6"/>
    <w:rsid w:val="0DA57D37"/>
    <w:rsid w:val="0DA652C3"/>
    <w:rsid w:val="0DA662CF"/>
    <w:rsid w:val="0DA705FE"/>
    <w:rsid w:val="0DAB696B"/>
    <w:rsid w:val="0DAC38B5"/>
    <w:rsid w:val="0DAE8018"/>
    <w:rsid w:val="0DAF5251"/>
    <w:rsid w:val="0DB0370B"/>
    <w:rsid w:val="0DB037CD"/>
    <w:rsid w:val="0DB0BB59"/>
    <w:rsid w:val="0DB2BE41"/>
    <w:rsid w:val="0DB32D7C"/>
    <w:rsid w:val="0DB48EAF"/>
    <w:rsid w:val="0DB495F5"/>
    <w:rsid w:val="0DB5DDD5"/>
    <w:rsid w:val="0DB601CE"/>
    <w:rsid w:val="0DB9848A"/>
    <w:rsid w:val="0DBAF52B"/>
    <w:rsid w:val="0DBBAF8C"/>
    <w:rsid w:val="0DBE183F"/>
    <w:rsid w:val="0DBF4AB0"/>
    <w:rsid w:val="0DBF9099"/>
    <w:rsid w:val="0DC098C8"/>
    <w:rsid w:val="0DC201EE"/>
    <w:rsid w:val="0DC24397"/>
    <w:rsid w:val="0DC367E1"/>
    <w:rsid w:val="0DC37773"/>
    <w:rsid w:val="0DC382DB"/>
    <w:rsid w:val="0DC6E7A6"/>
    <w:rsid w:val="0DC75907"/>
    <w:rsid w:val="0DC776EC"/>
    <w:rsid w:val="0DC86865"/>
    <w:rsid w:val="0DC8A699"/>
    <w:rsid w:val="0DC8AC0E"/>
    <w:rsid w:val="0DCBDDBD"/>
    <w:rsid w:val="0DCCD608"/>
    <w:rsid w:val="0DD07745"/>
    <w:rsid w:val="0DD21E58"/>
    <w:rsid w:val="0DD30506"/>
    <w:rsid w:val="0DD47F32"/>
    <w:rsid w:val="0DD76891"/>
    <w:rsid w:val="0DD809EC"/>
    <w:rsid w:val="0DDE5176"/>
    <w:rsid w:val="0DDE7910"/>
    <w:rsid w:val="0DDEE201"/>
    <w:rsid w:val="0DDF13AB"/>
    <w:rsid w:val="0DDF5F97"/>
    <w:rsid w:val="0DE0C714"/>
    <w:rsid w:val="0DE6D634"/>
    <w:rsid w:val="0DE8671F"/>
    <w:rsid w:val="0DE87CAC"/>
    <w:rsid w:val="0DEB7F6D"/>
    <w:rsid w:val="0DEC1E04"/>
    <w:rsid w:val="0DEC3778"/>
    <w:rsid w:val="0DECA611"/>
    <w:rsid w:val="0DECE4DB"/>
    <w:rsid w:val="0DED9F17"/>
    <w:rsid w:val="0DEE396F"/>
    <w:rsid w:val="0DEEB5C2"/>
    <w:rsid w:val="0DF0D280"/>
    <w:rsid w:val="0DF31501"/>
    <w:rsid w:val="0DF39C76"/>
    <w:rsid w:val="0DF45D84"/>
    <w:rsid w:val="0DF63F8F"/>
    <w:rsid w:val="0DF87C42"/>
    <w:rsid w:val="0DFA8966"/>
    <w:rsid w:val="0DFC500B"/>
    <w:rsid w:val="0DFC7C4F"/>
    <w:rsid w:val="0DFE7775"/>
    <w:rsid w:val="0DFF8A66"/>
    <w:rsid w:val="0E00E1C8"/>
    <w:rsid w:val="0E02FDB6"/>
    <w:rsid w:val="0E04AC32"/>
    <w:rsid w:val="0E0685E1"/>
    <w:rsid w:val="0E07EAB8"/>
    <w:rsid w:val="0E09A407"/>
    <w:rsid w:val="0E0CB417"/>
    <w:rsid w:val="0E0F1084"/>
    <w:rsid w:val="0E0FAE99"/>
    <w:rsid w:val="0E0FFA57"/>
    <w:rsid w:val="0E132D80"/>
    <w:rsid w:val="0E160BA5"/>
    <w:rsid w:val="0E16C618"/>
    <w:rsid w:val="0E1E424D"/>
    <w:rsid w:val="0E1F28BC"/>
    <w:rsid w:val="0E21E987"/>
    <w:rsid w:val="0E2333C2"/>
    <w:rsid w:val="0E244926"/>
    <w:rsid w:val="0E258FF8"/>
    <w:rsid w:val="0E25C951"/>
    <w:rsid w:val="0E262EF6"/>
    <w:rsid w:val="0E2648EF"/>
    <w:rsid w:val="0E278611"/>
    <w:rsid w:val="0E28F88B"/>
    <w:rsid w:val="0E2999C9"/>
    <w:rsid w:val="0E2B23C2"/>
    <w:rsid w:val="0E2C720A"/>
    <w:rsid w:val="0E2EBAFB"/>
    <w:rsid w:val="0E2ECF35"/>
    <w:rsid w:val="0E308192"/>
    <w:rsid w:val="0E33917F"/>
    <w:rsid w:val="0E349D48"/>
    <w:rsid w:val="0E350460"/>
    <w:rsid w:val="0E395EDC"/>
    <w:rsid w:val="0E3A3562"/>
    <w:rsid w:val="0E3A68E9"/>
    <w:rsid w:val="0E3AA017"/>
    <w:rsid w:val="0E3BD764"/>
    <w:rsid w:val="0E3C0176"/>
    <w:rsid w:val="0E3EA6AB"/>
    <w:rsid w:val="0E3ECAE0"/>
    <w:rsid w:val="0E410987"/>
    <w:rsid w:val="0E4192DB"/>
    <w:rsid w:val="0E427DE1"/>
    <w:rsid w:val="0E42A4DB"/>
    <w:rsid w:val="0E4364E5"/>
    <w:rsid w:val="0E4460E1"/>
    <w:rsid w:val="0E44BCEF"/>
    <w:rsid w:val="0E473BA1"/>
    <w:rsid w:val="0E48727F"/>
    <w:rsid w:val="0E492F37"/>
    <w:rsid w:val="0E49D238"/>
    <w:rsid w:val="0E4B9E04"/>
    <w:rsid w:val="0E4C1E02"/>
    <w:rsid w:val="0E4CBE5D"/>
    <w:rsid w:val="0E4CEF72"/>
    <w:rsid w:val="0E4DD836"/>
    <w:rsid w:val="0E4EC935"/>
    <w:rsid w:val="0E4F4845"/>
    <w:rsid w:val="0E50D39F"/>
    <w:rsid w:val="0E52C44E"/>
    <w:rsid w:val="0E564E50"/>
    <w:rsid w:val="0E56C283"/>
    <w:rsid w:val="0E57A9F9"/>
    <w:rsid w:val="0E583314"/>
    <w:rsid w:val="0E5A5B84"/>
    <w:rsid w:val="0E5CC16D"/>
    <w:rsid w:val="0E5EE0E9"/>
    <w:rsid w:val="0E604D7A"/>
    <w:rsid w:val="0E614DAA"/>
    <w:rsid w:val="0E641460"/>
    <w:rsid w:val="0E66C506"/>
    <w:rsid w:val="0E68C3A8"/>
    <w:rsid w:val="0E69FF99"/>
    <w:rsid w:val="0E6A0254"/>
    <w:rsid w:val="0E6BFB8A"/>
    <w:rsid w:val="0E6E9F5A"/>
    <w:rsid w:val="0E70380F"/>
    <w:rsid w:val="0E766B6D"/>
    <w:rsid w:val="0E778CA3"/>
    <w:rsid w:val="0E77F8BC"/>
    <w:rsid w:val="0E7892E5"/>
    <w:rsid w:val="0E7B3C41"/>
    <w:rsid w:val="0E7D237E"/>
    <w:rsid w:val="0E8021D2"/>
    <w:rsid w:val="0E80BCF7"/>
    <w:rsid w:val="0E85712F"/>
    <w:rsid w:val="0E890ACC"/>
    <w:rsid w:val="0E891572"/>
    <w:rsid w:val="0E89B549"/>
    <w:rsid w:val="0E8B5479"/>
    <w:rsid w:val="0E8C583C"/>
    <w:rsid w:val="0E8EAE3F"/>
    <w:rsid w:val="0E8FDAD6"/>
    <w:rsid w:val="0E901D43"/>
    <w:rsid w:val="0E90786D"/>
    <w:rsid w:val="0E90DE0F"/>
    <w:rsid w:val="0E90FC15"/>
    <w:rsid w:val="0E9156C5"/>
    <w:rsid w:val="0E922A12"/>
    <w:rsid w:val="0E927EAE"/>
    <w:rsid w:val="0E93F88D"/>
    <w:rsid w:val="0E93FDA0"/>
    <w:rsid w:val="0E94FE7E"/>
    <w:rsid w:val="0E95422E"/>
    <w:rsid w:val="0E955E54"/>
    <w:rsid w:val="0E959528"/>
    <w:rsid w:val="0E965370"/>
    <w:rsid w:val="0E970480"/>
    <w:rsid w:val="0E98B4D8"/>
    <w:rsid w:val="0E9B9137"/>
    <w:rsid w:val="0E9C97A3"/>
    <w:rsid w:val="0E9F84BF"/>
    <w:rsid w:val="0EA2084D"/>
    <w:rsid w:val="0EA618F6"/>
    <w:rsid w:val="0EA6E27F"/>
    <w:rsid w:val="0EA7E7AD"/>
    <w:rsid w:val="0EA90F44"/>
    <w:rsid w:val="0EA9B6BA"/>
    <w:rsid w:val="0EA9E00F"/>
    <w:rsid w:val="0EAA1209"/>
    <w:rsid w:val="0EAA7491"/>
    <w:rsid w:val="0EAA7CC2"/>
    <w:rsid w:val="0EABB081"/>
    <w:rsid w:val="0EACF91C"/>
    <w:rsid w:val="0EAF131B"/>
    <w:rsid w:val="0EAFB3BA"/>
    <w:rsid w:val="0EAFDB86"/>
    <w:rsid w:val="0EB0B6C9"/>
    <w:rsid w:val="0EB1ABCB"/>
    <w:rsid w:val="0EB242D4"/>
    <w:rsid w:val="0EB2C68C"/>
    <w:rsid w:val="0EB528CE"/>
    <w:rsid w:val="0EB57DA7"/>
    <w:rsid w:val="0EB6A323"/>
    <w:rsid w:val="0EB7FEF4"/>
    <w:rsid w:val="0EB82956"/>
    <w:rsid w:val="0EB8D009"/>
    <w:rsid w:val="0EBAB993"/>
    <w:rsid w:val="0EBC6E6E"/>
    <w:rsid w:val="0EBC8876"/>
    <w:rsid w:val="0EBDE758"/>
    <w:rsid w:val="0EBF1CD3"/>
    <w:rsid w:val="0EC126CF"/>
    <w:rsid w:val="0EC1945C"/>
    <w:rsid w:val="0EC33CB9"/>
    <w:rsid w:val="0EC414E0"/>
    <w:rsid w:val="0EC64B99"/>
    <w:rsid w:val="0EC7B691"/>
    <w:rsid w:val="0EC93150"/>
    <w:rsid w:val="0ECBBFFE"/>
    <w:rsid w:val="0ECCD8BB"/>
    <w:rsid w:val="0ED05D20"/>
    <w:rsid w:val="0ED21927"/>
    <w:rsid w:val="0ED442F9"/>
    <w:rsid w:val="0ED57534"/>
    <w:rsid w:val="0ED9182A"/>
    <w:rsid w:val="0EDA4949"/>
    <w:rsid w:val="0EDAC337"/>
    <w:rsid w:val="0EDAE86B"/>
    <w:rsid w:val="0EDF4EC0"/>
    <w:rsid w:val="0EDF9E66"/>
    <w:rsid w:val="0EE081D6"/>
    <w:rsid w:val="0EE12F14"/>
    <w:rsid w:val="0EE1667D"/>
    <w:rsid w:val="0EE370A0"/>
    <w:rsid w:val="0EE4E2F7"/>
    <w:rsid w:val="0EE6748F"/>
    <w:rsid w:val="0EE85560"/>
    <w:rsid w:val="0EEB01E5"/>
    <w:rsid w:val="0EEB97B7"/>
    <w:rsid w:val="0EEFE88E"/>
    <w:rsid w:val="0EF33011"/>
    <w:rsid w:val="0EF4B0EF"/>
    <w:rsid w:val="0EF4B8C6"/>
    <w:rsid w:val="0EF50D31"/>
    <w:rsid w:val="0EF8AE30"/>
    <w:rsid w:val="0EF97151"/>
    <w:rsid w:val="0EFA9339"/>
    <w:rsid w:val="0EFCCEE1"/>
    <w:rsid w:val="0F00A05F"/>
    <w:rsid w:val="0F01089A"/>
    <w:rsid w:val="0F04733F"/>
    <w:rsid w:val="0F0652D6"/>
    <w:rsid w:val="0F06B8BA"/>
    <w:rsid w:val="0F07DDFB"/>
    <w:rsid w:val="0F09776A"/>
    <w:rsid w:val="0F0B1C93"/>
    <w:rsid w:val="0F0E00D8"/>
    <w:rsid w:val="0F1115B8"/>
    <w:rsid w:val="0F11CA9D"/>
    <w:rsid w:val="0F123384"/>
    <w:rsid w:val="0F127BF2"/>
    <w:rsid w:val="0F172705"/>
    <w:rsid w:val="0F183DC8"/>
    <w:rsid w:val="0F18D48B"/>
    <w:rsid w:val="0F1BA167"/>
    <w:rsid w:val="0F1BB776"/>
    <w:rsid w:val="0F1F46CD"/>
    <w:rsid w:val="0F200F78"/>
    <w:rsid w:val="0F205841"/>
    <w:rsid w:val="0F20BFAA"/>
    <w:rsid w:val="0F248AF6"/>
    <w:rsid w:val="0F27307E"/>
    <w:rsid w:val="0F27ED73"/>
    <w:rsid w:val="0F2BE2D1"/>
    <w:rsid w:val="0F2C47FF"/>
    <w:rsid w:val="0F2CC535"/>
    <w:rsid w:val="0F2DF166"/>
    <w:rsid w:val="0F2ED1A9"/>
    <w:rsid w:val="0F2FBF07"/>
    <w:rsid w:val="0F318796"/>
    <w:rsid w:val="0F328471"/>
    <w:rsid w:val="0F3367EC"/>
    <w:rsid w:val="0F35A88B"/>
    <w:rsid w:val="0F362B1C"/>
    <w:rsid w:val="0F384F33"/>
    <w:rsid w:val="0F3A46DD"/>
    <w:rsid w:val="0F3AA583"/>
    <w:rsid w:val="0F3D58A6"/>
    <w:rsid w:val="0F3DD4AE"/>
    <w:rsid w:val="0F4018A3"/>
    <w:rsid w:val="0F45CF57"/>
    <w:rsid w:val="0F48E1EE"/>
    <w:rsid w:val="0F4C35AD"/>
    <w:rsid w:val="0F4E79F1"/>
    <w:rsid w:val="0F4F5F23"/>
    <w:rsid w:val="0F54441D"/>
    <w:rsid w:val="0F55816E"/>
    <w:rsid w:val="0F5782B7"/>
    <w:rsid w:val="0F57DE8A"/>
    <w:rsid w:val="0F5B7983"/>
    <w:rsid w:val="0F5C2A8B"/>
    <w:rsid w:val="0F5C318D"/>
    <w:rsid w:val="0F5CB09A"/>
    <w:rsid w:val="0F5E7F91"/>
    <w:rsid w:val="0F5EB167"/>
    <w:rsid w:val="0F5FCAC6"/>
    <w:rsid w:val="0F606594"/>
    <w:rsid w:val="0F62C2FC"/>
    <w:rsid w:val="0F66877A"/>
    <w:rsid w:val="0F697527"/>
    <w:rsid w:val="0F6A8DF4"/>
    <w:rsid w:val="0F6BD815"/>
    <w:rsid w:val="0F6BE5DA"/>
    <w:rsid w:val="0F6CBCCE"/>
    <w:rsid w:val="0F6F375E"/>
    <w:rsid w:val="0F7079DB"/>
    <w:rsid w:val="0F7205E3"/>
    <w:rsid w:val="0F73C2CA"/>
    <w:rsid w:val="0F74280C"/>
    <w:rsid w:val="0F76E6F4"/>
    <w:rsid w:val="0F79FD46"/>
    <w:rsid w:val="0F7C73CC"/>
    <w:rsid w:val="0F7D84D8"/>
    <w:rsid w:val="0F7F1E6A"/>
    <w:rsid w:val="0F7F4178"/>
    <w:rsid w:val="0F817E85"/>
    <w:rsid w:val="0F82BBEF"/>
    <w:rsid w:val="0F83733B"/>
    <w:rsid w:val="0F871BAB"/>
    <w:rsid w:val="0F87FBDA"/>
    <w:rsid w:val="0F8810A5"/>
    <w:rsid w:val="0F8961AA"/>
    <w:rsid w:val="0F8B94EC"/>
    <w:rsid w:val="0F8C34CF"/>
    <w:rsid w:val="0F8D02AD"/>
    <w:rsid w:val="0F8F685D"/>
    <w:rsid w:val="0F9307FD"/>
    <w:rsid w:val="0F939635"/>
    <w:rsid w:val="0F967B29"/>
    <w:rsid w:val="0F9767C9"/>
    <w:rsid w:val="0F97F8B9"/>
    <w:rsid w:val="0F97FBFD"/>
    <w:rsid w:val="0F980610"/>
    <w:rsid w:val="0F9AF124"/>
    <w:rsid w:val="0F9C2E35"/>
    <w:rsid w:val="0F9D30BD"/>
    <w:rsid w:val="0F9FFFA2"/>
    <w:rsid w:val="0FA023CA"/>
    <w:rsid w:val="0FA0684D"/>
    <w:rsid w:val="0FA10075"/>
    <w:rsid w:val="0FA2D383"/>
    <w:rsid w:val="0FA653B3"/>
    <w:rsid w:val="0FA694C8"/>
    <w:rsid w:val="0FA6B668"/>
    <w:rsid w:val="0FA8DF35"/>
    <w:rsid w:val="0FAB7802"/>
    <w:rsid w:val="0FAC1C2A"/>
    <w:rsid w:val="0FAFCFDF"/>
    <w:rsid w:val="0FB04980"/>
    <w:rsid w:val="0FB38CDF"/>
    <w:rsid w:val="0FB7BD87"/>
    <w:rsid w:val="0FB8FF1F"/>
    <w:rsid w:val="0FB99181"/>
    <w:rsid w:val="0FBC6F00"/>
    <w:rsid w:val="0FBC808A"/>
    <w:rsid w:val="0FBE901B"/>
    <w:rsid w:val="0FC00DC8"/>
    <w:rsid w:val="0FC0F5EF"/>
    <w:rsid w:val="0FC1C1F7"/>
    <w:rsid w:val="0FC3A230"/>
    <w:rsid w:val="0FC3F96C"/>
    <w:rsid w:val="0FC56001"/>
    <w:rsid w:val="0FC58500"/>
    <w:rsid w:val="0FC70D66"/>
    <w:rsid w:val="0FC8B1D3"/>
    <w:rsid w:val="0FC965BA"/>
    <w:rsid w:val="0FCB4CAF"/>
    <w:rsid w:val="0FCC66DF"/>
    <w:rsid w:val="0FCD3785"/>
    <w:rsid w:val="0FCE7A8D"/>
    <w:rsid w:val="0FCFABFE"/>
    <w:rsid w:val="0FD435F7"/>
    <w:rsid w:val="0FD57B36"/>
    <w:rsid w:val="0FD88B09"/>
    <w:rsid w:val="0FD8BD03"/>
    <w:rsid w:val="0FD98590"/>
    <w:rsid w:val="0FD9A025"/>
    <w:rsid w:val="0FDE3019"/>
    <w:rsid w:val="0FDE38DC"/>
    <w:rsid w:val="0FE1BB6D"/>
    <w:rsid w:val="0FE1E133"/>
    <w:rsid w:val="0FE2B4FA"/>
    <w:rsid w:val="0FE53AA6"/>
    <w:rsid w:val="0FE5DFFD"/>
    <w:rsid w:val="0FE5FDBA"/>
    <w:rsid w:val="0FE86FEA"/>
    <w:rsid w:val="0FE96EC3"/>
    <w:rsid w:val="0FEA74F6"/>
    <w:rsid w:val="0FEBCDFC"/>
    <w:rsid w:val="0FEEF83B"/>
    <w:rsid w:val="0FF02542"/>
    <w:rsid w:val="0FF19C0D"/>
    <w:rsid w:val="0FF2E816"/>
    <w:rsid w:val="0FF52268"/>
    <w:rsid w:val="0FF594A2"/>
    <w:rsid w:val="0FF63B3A"/>
    <w:rsid w:val="0FF675C6"/>
    <w:rsid w:val="0FF8019C"/>
    <w:rsid w:val="0FFA7ED3"/>
    <w:rsid w:val="0FFAFA15"/>
    <w:rsid w:val="0FFBC33B"/>
    <w:rsid w:val="0FFBCDBF"/>
    <w:rsid w:val="0FFE5D0C"/>
    <w:rsid w:val="0FFE8E84"/>
    <w:rsid w:val="0FFEE3A5"/>
    <w:rsid w:val="0FFF1587"/>
    <w:rsid w:val="10007EDE"/>
    <w:rsid w:val="1001026F"/>
    <w:rsid w:val="10016FCE"/>
    <w:rsid w:val="1002DA1C"/>
    <w:rsid w:val="10044AAF"/>
    <w:rsid w:val="100684A9"/>
    <w:rsid w:val="1008EA5A"/>
    <w:rsid w:val="100987BB"/>
    <w:rsid w:val="1009A7B5"/>
    <w:rsid w:val="100A050D"/>
    <w:rsid w:val="100B3743"/>
    <w:rsid w:val="100B4455"/>
    <w:rsid w:val="100FE08F"/>
    <w:rsid w:val="10109EC2"/>
    <w:rsid w:val="10122921"/>
    <w:rsid w:val="10124B87"/>
    <w:rsid w:val="10129FCC"/>
    <w:rsid w:val="10140A63"/>
    <w:rsid w:val="10146AB2"/>
    <w:rsid w:val="1014B2B1"/>
    <w:rsid w:val="1016B92B"/>
    <w:rsid w:val="101AC731"/>
    <w:rsid w:val="101D17F2"/>
    <w:rsid w:val="1022EB9E"/>
    <w:rsid w:val="1024D2FF"/>
    <w:rsid w:val="10276753"/>
    <w:rsid w:val="102AEFEB"/>
    <w:rsid w:val="102BB310"/>
    <w:rsid w:val="102E0207"/>
    <w:rsid w:val="103356FF"/>
    <w:rsid w:val="1034192C"/>
    <w:rsid w:val="10348276"/>
    <w:rsid w:val="10348B67"/>
    <w:rsid w:val="1034C81D"/>
    <w:rsid w:val="10353039"/>
    <w:rsid w:val="10353F68"/>
    <w:rsid w:val="1036D55A"/>
    <w:rsid w:val="103882EC"/>
    <w:rsid w:val="10389EB9"/>
    <w:rsid w:val="103B6B11"/>
    <w:rsid w:val="103CC2F8"/>
    <w:rsid w:val="103F7417"/>
    <w:rsid w:val="1042553F"/>
    <w:rsid w:val="1042A009"/>
    <w:rsid w:val="1042F03D"/>
    <w:rsid w:val="1042F919"/>
    <w:rsid w:val="10430FE8"/>
    <w:rsid w:val="1043E8C5"/>
    <w:rsid w:val="104674A0"/>
    <w:rsid w:val="1046C107"/>
    <w:rsid w:val="1047429B"/>
    <w:rsid w:val="1047AE73"/>
    <w:rsid w:val="104A9738"/>
    <w:rsid w:val="104CA14F"/>
    <w:rsid w:val="104D64F6"/>
    <w:rsid w:val="104F79E2"/>
    <w:rsid w:val="10502354"/>
    <w:rsid w:val="10522D56"/>
    <w:rsid w:val="1053D062"/>
    <w:rsid w:val="10549689"/>
    <w:rsid w:val="10591DD2"/>
    <w:rsid w:val="10599C80"/>
    <w:rsid w:val="1059A1E3"/>
    <w:rsid w:val="1059DB01"/>
    <w:rsid w:val="1059ECA4"/>
    <w:rsid w:val="105B0A12"/>
    <w:rsid w:val="105B1CBC"/>
    <w:rsid w:val="105B48B8"/>
    <w:rsid w:val="105B8C31"/>
    <w:rsid w:val="105BE11D"/>
    <w:rsid w:val="105D580B"/>
    <w:rsid w:val="105F5B41"/>
    <w:rsid w:val="106059B8"/>
    <w:rsid w:val="106064CB"/>
    <w:rsid w:val="106216FE"/>
    <w:rsid w:val="106239B0"/>
    <w:rsid w:val="10623CBA"/>
    <w:rsid w:val="1062E3DB"/>
    <w:rsid w:val="106325D6"/>
    <w:rsid w:val="1065021D"/>
    <w:rsid w:val="10680BC4"/>
    <w:rsid w:val="106A514D"/>
    <w:rsid w:val="106AA1B7"/>
    <w:rsid w:val="106B8D4D"/>
    <w:rsid w:val="106C0416"/>
    <w:rsid w:val="106F0CE6"/>
    <w:rsid w:val="106F857D"/>
    <w:rsid w:val="1073BDEE"/>
    <w:rsid w:val="1073F29C"/>
    <w:rsid w:val="10760AB7"/>
    <w:rsid w:val="10778144"/>
    <w:rsid w:val="10782635"/>
    <w:rsid w:val="107B0949"/>
    <w:rsid w:val="107B292F"/>
    <w:rsid w:val="107B82FE"/>
    <w:rsid w:val="107DE29F"/>
    <w:rsid w:val="107E1894"/>
    <w:rsid w:val="10814889"/>
    <w:rsid w:val="1085CEC5"/>
    <w:rsid w:val="1086568D"/>
    <w:rsid w:val="108909F9"/>
    <w:rsid w:val="108B9F92"/>
    <w:rsid w:val="108DC585"/>
    <w:rsid w:val="108E6D4B"/>
    <w:rsid w:val="1092A715"/>
    <w:rsid w:val="1094FF13"/>
    <w:rsid w:val="109875FD"/>
    <w:rsid w:val="10990410"/>
    <w:rsid w:val="109AE3AA"/>
    <w:rsid w:val="109BA308"/>
    <w:rsid w:val="109CD64F"/>
    <w:rsid w:val="109F47C0"/>
    <w:rsid w:val="109F5508"/>
    <w:rsid w:val="109FB8AC"/>
    <w:rsid w:val="109FC5EC"/>
    <w:rsid w:val="10A0EF2D"/>
    <w:rsid w:val="10A44765"/>
    <w:rsid w:val="10A4AF65"/>
    <w:rsid w:val="10A5230B"/>
    <w:rsid w:val="10A6ECC8"/>
    <w:rsid w:val="10A6F972"/>
    <w:rsid w:val="10A74F25"/>
    <w:rsid w:val="10A84A7E"/>
    <w:rsid w:val="10ABE86C"/>
    <w:rsid w:val="10AC19C9"/>
    <w:rsid w:val="10ACD2BA"/>
    <w:rsid w:val="10ADA4B2"/>
    <w:rsid w:val="10B26F2C"/>
    <w:rsid w:val="10B5BEA0"/>
    <w:rsid w:val="10B5ED5C"/>
    <w:rsid w:val="10B8F980"/>
    <w:rsid w:val="10B94E28"/>
    <w:rsid w:val="10BBE62F"/>
    <w:rsid w:val="10BC4A79"/>
    <w:rsid w:val="10BC5040"/>
    <w:rsid w:val="10BCBE32"/>
    <w:rsid w:val="10C27EFE"/>
    <w:rsid w:val="10C471CF"/>
    <w:rsid w:val="10C511A2"/>
    <w:rsid w:val="10C61D6E"/>
    <w:rsid w:val="10C65464"/>
    <w:rsid w:val="10C79665"/>
    <w:rsid w:val="10C86D3A"/>
    <w:rsid w:val="10CB912F"/>
    <w:rsid w:val="10CCA1D8"/>
    <w:rsid w:val="10CD3318"/>
    <w:rsid w:val="10CFFC1A"/>
    <w:rsid w:val="10D08C7D"/>
    <w:rsid w:val="10D0B3E4"/>
    <w:rsid w:val="10D0BC79"/>
    <w:rsid w:val="10D16F4A"/>
    <w:rsid w:val="10D2FF3A"/>
    <w:rsid w:val="10D4081F"/>
    <w:rsid w:val="10D52EB3"/>
    <w:rsid w:val="10D84E39"/>
    <w:rsid w:val="10DE1275"/>
    <w:rsid w:val="10DE5D67"/>
    <w:rsid w:val="10DF12F3"/>
    <w:rsid w:val="10E01394"/>
    <w:rsid w:val="10E13E22"/>
    <w:rsid w:val="10E1D59D"/>
    <w:rsid w:val="10E21088"/>
    <w:rsid w:val="10E2FAEA"/>
    <w:rsid w:val="10E3E853"/>
    <w:rsid w:val="10E401B3"/>
    <w:rsid w:val="10E4958E"/>
    <w:rsid w:val="10E5CDE9"/>
    <w:rsid w:val="10E9D4D4"/>
    <w:rsid w:val="10EB11CD"/>
    <w:rsid w:val="10EB7C3A"/>
    <w:rsid w:val="10EDA760"/>
    <w:rsid w:val="10EE8DCC"/>
    <w:rsid w:val="10EFF45A"/>
    <w:rsid w:val="10F2C860"/>
    <w:rsid w:val="10F59744"/>
    <w:rsid w:val="10F689B8"/>
    <w:rsid w:val="10F85E1F"/>
    <w:rsid w:val="10FA9097"/>
    <w:rsid w:val="11010317"/>
    <w:rsid w:val="11028184"/>
    <w:rsid w:val="1102A204"/>
    <w:rsid w:val="1102A50E"/>
    <w:rsid w:val="1103AA60"/>
    <w:rsid w:val="110464F9"/>
    <w:rsid w:val="11058604"/>
    <w:rsid w:val="1106755C"/>
    <w:rsid w:val="1106C989"/>
    <w:rsid w:val="1107F090"/>
    <w:rsid w:val="110F76E4"/>
    <w:rsid w:val="11109AEB"/>
    <w:rsid w:val="1110A753"/>
    <w:rsid w:val="11121176"/>
    <w:rsid w:val="11135A3C"/>
    <w:rsid w:val="11135EC1"/>
    <w:rsid w:val="1114CEC8"/>
    <w:rsid w:val="1115F59A"/>
    <w:rsid w:val="1116C711"/>
    <w:rsid w:val="111A2588"/>
    <w:rsid w:val="111ABE67"/>
    <w:rsid w:val="111B4282"/>
    <w:rsid w:val="111E940D"/>
    <w:rsid w:val="11209DDB"/>
    <w:rsid w:val="1120CCD4"/>
    <w:rsid w:val="1120E5CD"/>
    <w:rsid w:val="112111BF"/>
    <w:rsid w:val="112145EE"/>
    <w:rsid w:val="11220715"/>
    <w:rsid w:val="112243E7"/>
    <w:rsid w:val="11234A9E"/>
    <w:rsid w:val="1124FA46"/>
    <w:rsid w:val="112500BB"/>
    <w:rsid w:val="112818DE"/>
    <w:rsid w:val="1128D6C2"/>
    <w:rsid w:val="112A0E5A"/>
    <w:rsid w:val="112BBBE1"/>
    <w:rsid w:val="112C07C1"/>
    <w:rsid w:val="1131111D"/>
    <w:rsid w:val="11352908"/>
    <w:rsid w:val="1135E8BB"/>
    <w:rsid w:val="1137A182"/>
    <w:rsid w:val="1138BE84"/>
    <w:rsid w:val="113A513B"/>
    <w:rsid w:val="113A5469"/>
    <w:rsid w:val="113A5849"/>
    <w:rsid w:val="113BA89B"/>
    <w:rsid w:val="113C04A4"/>
    <w:rsid w:val="113D813F"/>
    <w:rsid w:val="113D8C5F"/>
    <w:rsid w:val="113DAFFB"/>
    <w:rsid w:val="1140609A"/>
    <w:rsid w:val="11427E2E"/>
    <w:rsid w:val="11430277"/>
    <w:rsid w:val="11438856"/>
    <w:rsid w:val="11440337"/>
    <w:rsid w:val="11463AE3"/>
    <w:rsid w:val="11467ED3"/>
    <w:rsid w:val="1146E6CE"/>
    <w:rsid w:val="114A652D"/>
    <w:rsid w:val="114F4EA8"/>
    <w:rsid w:val="114F9017"/>
    <w:rsid w:val="1151B68E"/>
    <w:rsid w:val="11538603"/>
    <w:rsid w:val="1154B97F"/>
    <w:rsid w:val="1156DAFC"/>
    <w:rsid w:val="11593DAB"/>
    <w:rsid w:val="115EB40F"/>
    <w:rsid w:val="1161E040"/>
    <w:rsid w:val="116229EB"/>
    <w:rsid w:val="11658D4D"/>
    <w:rsid w:val="1166FB6E"/>
    <w:rsid w:val="1168B6A8"/>
    <w:rsid w:val="116960B0"/>
    <w:rsid w:val="1169DF93"/>
    <w:rsid w:val="116AACC6"/>
    <w:rsid w:val="116C2C0A"/>
    <w:rsid w:val="116CB7C6"/>
    <w:rsid w:val="116E21AF"/>
    <w:rsid w:val="116FEE26"/>
    <w:rsid w:val="11702FC9"/>
    <w:rsid w:val="11703991"/>
    <w:rsid w:val="1170D357"/>
    <w:rsid w:val="1171C790"/>
    <w:rsid w:val="11720C94"/>
    <w:rsid w:val="1172348C"/>
    <w:rsid w:val="11731163"/>
    <w:rsid w:val="11760717"/>
    <w:rsid w:val="11774D13"/>
    <w:rsid w:val="1177DF40"/>
    <w:rsid w:val="117822D8"/>
    <w:rsid w:val="117AE71A"/>
    <w:rsid w:val="117AEF53"/>
    <w:rsid w:val="117BAB78"/>
    <w:rsid w:val="117CA614"/>
    <w:rsid w:val="117D6DB0"/>
    <w:rsid w:val="117FB6D3"/>
    <w:rsid w:val="1180F121"/>
    <w:rsid w:val="11856570"/>
    <w:rsid w:val="11871E2F"/>
    <w:rsid w:val="118BD9A9"/>
    <w:rsid w:val="118F3CD8"/>
    <w:rsid w:val="1191CA92"/>
    <w:rsid w:val="1191F77F"/>
    <w:rsid w:val="1192391D"/>
    <w:rsid w:val="11937599"/>
    <w:rsid w:val="11941527"/>
    <w:rsid w:val="11960B38"/>
    <w:rsid w:val="11967C51"/>
    <w:rsid w:val="1197E904"/>
    <w:rsid w:val="11994AAD"/>
    <w:rsid w:val="1199FD1B"/>
    <w:rsid w:val="119B726F"/>
    <w:rsid w:val="119EDCE9"/>
    <w:rsid w:val="119EDF68"/>
    <w:rsid w:val="11A08809"/>
    <w:rsid w:val="11A0E56B"/>
    <w:rsid w:val="11A10D28"/>
    <w:rsid w:val="11A1D276"/>
    <w:rsid w:val="11A23759"/>
    <w:rsid w:val="11A26E4D"/>
    <w:rsid w:val="11A292A9"/>
    <w:rsid w:val="11A3DC80"/>
    <w:rsid w:val="11A4FA0B"/>
    <w:rsid w:val="11A51250"/>
    <w:rsid w:val="11A5D6F6"/>
    <w:rsid w:val="11A80F8C"/>
    <w:rsid w:val="11A884C3"/>
    <w:rsid w:val="11AF68A0"/>
    <w:rsid w:val="11B01BC4"/>
    <w:rsid w:val="11B0C2CA"/>
    <w:rsid w:val="11B0E786"/>
    <w:rsid w:val="11B13201"/>
    <w:rsid w:val="11B28538"/>
    <w:rsid w:val="11B384F1"/>
    <w:rsid w:val="11B567AA"/>
    <w:rsid w:val="11B65548"/>
    <w:rsid w:val="11B74F04"/>
    <w:rsid w:val="11B7A3B5"/>
    <w:rsid w:val="11BA6CF0"/>
    <w:rsid w:val="11BB4282"/>
    <w:rsid w:val="11BBF241"/>
    <w:rsid w:val="11BD248B"/>
    <w:rsid w:val="11BD58CC"/>
    <w:rsid w:val="11BE86FE"/>
    <w:rsid w:val="11C05182"/>
    <w:rsid w:val="11C11598"/>
    <w:rsid w:val="11C2EF9A"/>
    <w:rsid w:val="11C335D2"/>
    <w:rsid w:val="11C3ABC4"/>
    <w:rsid w:val="11C3C616"/>
    <w:rsid w:val="11C5716D"/>
    <w:rsid w:val="11C8C24E"/>
    <w:rsid w:val="11CC3457"/>
    <w:rsid w:val="11CCA703"/>
    <w:rsid w:val="11CCE400"/>
    <w:rsid w:val="11CE57C9"/>
    <w:rsid w:val="11CE9786"/>
    <w:rsid w:val="11D06F2A"/>
    <w:rsid w:val="11D09AED"/>
    <w:rsid w:val="11D224F2"/>
    <w:rsid w:val="11D27DBB"/>
    <w:rsid w:val="11D3E537"/>
    <w:rsid w:val="11D53E39"/>
    <w:rsid w:val="11D57CD7"/>
    <w:rsid w:val="11D73664"/>
    <w:rsid w:val="11D79601"/>
    <w:rsid w:val="11D906AE"/>
    <w:rsid w:val="11D91042"/>
    <w:rsid w:val="11D94020"/>
    <w:rsid w:val="11D99A71"/>
    <w:rsid w:val="11DCA559"/>
    <w:rsid w:val="11DFF5C0"/>
    <w:rsid w:val="11E219CF"/>
    <w:rsid w:val="11E35C65"/>
    <w:rsid w:val="11E549CB"/>
    <w:rsid w:val="11E72255"/>
    <w:rsid w:val="11E83031"/>
    <w:rsid w:val="11E8A6DB"/>
    <w:rsid w:val="11E9AC08"/>
    <w:rsid w:val="11EB5EDF"/>
    <w:rsid w:val="11EBA4AB"/>
    <w:rsid w:val="11EC1710"/>
    <w:rsid w:val="11EE041C"/>
    <w:rsid w:val="11F2A47B"/>
    <w:rsid w:val="11F65219"/>
    <w:rsid w:val="11F73C30"/>
    <w:rsid w:val="11F85358"/>
    <w:rsid w:val="11FA1003"/>
    <w:rsid w:val="11FABDED"/>
    <w:rsid w:val="11FC3617"/>
    <w:rsid w:val="11FC593D"/>
    <w:rsid w:val="11FF1429"/>
    <w:rsid w:val="11FF3A27"/>
    <w:rsid w:val="1200275C"/>
    <w:rsid w:val="1201CDC9"/>
    <w:rsid w:val="120200A1"/>
    <w:rsid w:val="120290F2"/>
    <w:rsid w:val="120376A2"/>
    <w:rsid w:val="12051DA4"/>
    <w:rsid w:val="12067A9D"/>
    <w:rsid w:val="1206D0B2"/>
    <w:rsid w:val="120A312E"/>
    <w:rsid w:val="12110580"/>
    <w:rsid w:val="12120337"/>
    <w:rsid w:val="12136845"/>
    <w:rsid w:val="1213D057"/>
    <w:rsid w:val="12152C2B"/>
    <w:rsid w:val="12155832"/>
    <w:rsid w:val="12155DCC"/>
    <w:rsid w:val="12183ED2"/>
    <w:rsid w:val="121A0671"/>
    <w:rsid w:val="121A62CF"/>
    <w:rsid w:val="121B3272"/>
    <w:rsid w:val="121BC364"/>
    <w:rsid w:val="121DAD93"/>
    <w:rsid w:val="121DEAB1"/>
    <w:rsid w:val="121F0FF5"/>
    <w:rsid w:val="121F8674"/>
    <w:rsid w:val="12200E91"/>
    <w:rsid w:val="12211E75"/>
    <w:rsid w:val="12212C8C"/>
    <w:rsid w:val="12213976"/>
    <w:rsid w:val="12213AC5"/>
    <w:rsid w:val="1223C250"/>
    <w:rsid w:val="12255927"/>
    <w:rsid w:val="12266E0D"/>
    <w:rsid w:val="1228EB18"/>
    <w:rsid w:val="1228FFE7"/>
    <w:rsid w:val="1229FF81"/>
    <w:rsid w:val="122A0274"/>
    <w:rsid w:val="122ADD64"/>
    <w:rsid w:val="122AE2EC"/>
    <w:rsid w:val="122C5198"/>
    <w:rsid w:val="122DC5BD"/>
    <w:rsid w:val="122ED475"/>
    <w:rsid w:val="122F4148"/>
    <w:rsid w:val="122FE856"/>
    <w:rsid w:val="1230E22C"/>
    <w:rsid w:val="12325310"/>
    <w:rsid w:val="12356E3D"/>
    <w:rsid w:val="1235996A"/>
    <w:rsid w:val="12359B45"/>
    <w:rsid w:val="1235C1A7"/>
    <w:rsid w:val="12368755"/>
    <w:rsid w:val="12382764"/>
    <w:rsid w:val="123A5A09"/>
    <w:rsid w:val="123C14AB"/>
    <w:rsid w:val="123C4AD6"/>
    <w:rsid w:val="123C8EF8"/>
    <w:rsid w:val="123DBE0D"/>
    <w:rsid w:val="123DE7F2"/>
    <w:rsid w:val="12406B25"/>
    <w:rsid w:val="12407840"/>
    <w:rsid w:val="1240DF48"/>
    <w:rsid w:val="12414501"/>
    <w:rsid w:val="1242517C"/>
    <w:rsid w:val="1242A051"/>
    <w:rsid w:val="1242A8F7"/>
    <w:rsid w:val="12461171"/>
    <w:rsid w:val="12465CC6"/>
    <w:rsid w:val="1247DC6B"/>
    <w:rsid w:val="124A36A1"/>
    <w:rsid w:val="124C0304"/>
    <w:rsid w:val="124C369F"/>
    <w:rsid w:val="124D38AC"/>
    <w:rsid w:val="125280AA"/>
    <w:rsid w:val="12532C94"/>
    <w:rsid w:val="12546F2F"/>
    <w:rsid w:val="1254C02F"/>
    <w:rsid w:val="12570307"/>
    <w:rsid w:val="1257404D"/>
    <w:rsid w:val="125B648A"/>
    <w:rsid w:val="125BBFF2"/>
    <w:rsid w:val="125CEE4F"/>
    <w:rsid w:val="125DF2B6"/>
    <w:rsid w:val="125EB81E"/>
    <w:rsid w:val="125F2724"/>
    <w:rsid w:val="1260BACF"/>
    <w:rsid w:val="12615787"/>
    <w:rsid w:val="12622D37"/>
    <w:rsid w:val="12624E9B"/>
    <w:rsid w:val="1262CD01"/>
    <w:rsid w:val="12631DF7"/>
    <w:rsid w:val="1264AEF8"/>
    <w:rsid w:val="1264B179"/>
    <w:rsid w:val="1264D0B8"/>
    <w:rsid w:val="12653F49"/>
    <w:rsid w:val="12682D1B"/>
    <w:rsid w:val="1269CA09"/>
    <w:rsid w:val="126AAC99"/>
    <w:rsid w:val="126D2FD1"/>
    <w:rsid w:val="1271AFB2"/>
    <w:rsid w:val="12749497"/>
    <w:rsid w:val="12759D1A"/>
    <w:rsid w:val="1275B5B5"/>
    <w:rsid w:val="1275FBCD"/>
    <w:rsid w:val="12760EE2"/>
    <w:rsid w:val="12778512"/>
    <w:rsid w:val="1277E76D"/>
    <w:rsid w:val="12789D3A"/>
    <w:rsid w:val="127D1228"/>
    <w:rsid w:val="127D2B4B"/>
    <w:rsid w:val="127EADFF"/>
    <w:rsid w:val="127EB818"/>
    <w:rsid w:val="12817314"/>
    <w:rsid w:val="12824D5A"/>
    <w:rsid w:val="1282ABE4"/>
    <w:rsid w:val="1284E9E2"/>
    <w:rsid w:val="12851F9D"/>
    <w:rsid w:val="12852910"/>
    <w:rsid w:val="1286DE58"/>
    <w:rsid w:val="128896EB"/>
    <w:rsid w:val="128AAFF7"/>
    <w:rsid w:val="128C3D97"/>
    <w:rsid w:val="128C7AF5"/>
    <w:rsid w:val="128CBDCA"/>
    <w:rsid w:val="12940C6C"/>
    <w:rsid w:val="1294759C"/>
    <w:rsid w:val="1296433C"/>
    <w:rsid w:val="12969FAD"/>
    <w:rsid w:val="1299CAAD"/>
    <w:rsid w:val="129AA8FA"/>
    <w:rsid w:val="129BBF9D"/>
    <w:rsid w:val="129D1A15"/>
    <w:rsid w:val="129FF361"/>
    <w:rsid w:val="12A07CF2"/>
    <w:rsid w:val="12A21279"/>
    <w:rsid w:val="12A2EC4C"/>
    <w:rsid w:val="12A39ECF"/>
    <w:rsid w:val="12A499E2"/>
    <w:rsid w:val="12A61ECC"/>
    <w:rsid w:val="12A6BB57"/>
    <w:rsid w:val="12A763C2"/>
    <w:rsid w:val="12A94FD4"/>
    <w:rsid w:val="12AA1812"/>
    <w:rsid w:val="12AAE6C0"/>
    <w:rsid w:val="12AB4A30"/>
    <w:rsid w:val="12ABA9BD"/>
    <w:rsid w:val="12AC1988"/>
    <w:rsid w:val="12AC4C2E"/>
    <w:rsid w:val="12AF30E6"/>
    <w:rsid w:val="12AFBC6F"/>
    <w:rsid w:val="12B02285"/>
    <w:rsid w:val="12B06405"/>
    <w:rsid w:val="12B0E237"/>
    <w:rsid w:val="12B1BA83"/>
    <w:rsid w:val="12B23027"/>
    <w:rsid w:val="12B250A0"/>
    <w:rsid w:val="12B62490"/>
    <w:rsid w:val="12B67ED4"/>
    <w:rsid w:val="12B6D6F4"/>
    <w:rsid w:val="12B9A470"/>
    <w:rsid w:val="12BBCB79"/>
    <w:rsid w:val="12BE9C51"/>
    <w:rsid w:val="12BF1A88"/>
    <w:rsid w:val="12C282F9"/>
    <w:rsid w:val="12C336D7"/>
    <w:rsid w:val="12C410FA"/>
    <w:rsid w:val="12C7B4B9"/>
    <w:rsid w:val="12CC0C6F"/>
    <w:rsid w:val="12CF554C"/>
    <w:rsid w:val="12CFB5B3"/>
    <w:rsid w:val="12D050B0"/>
    <w:rsid w:val="12D30905"/>
    <w:rsid w:val="12D3357B"/>
    <w:rsid w:val="12D3E697"/>
    <w:rsid w:val="12D45449"/>
    <w:rsid w:val="12D4F507"/>
    <w:rsid w:val="12D543A0"/>
    <w:rsid w:val="12D66C8B"/>
    <w:rsid w:val="12D84F43"/>
    <w:rsid w:val="12DCD991"/>
    <w:rsid w:val="12DE90D9"/>
    <w:rsid w:val="12E2AEA0"/>
    <w:rsid w:val="12E2E869"/>
    <w:rsid w:val="12E498A8"/>
    <w:rsid w:val="12E4EC54"/>
    <w:rsid w:val="12E6B537"/>
    <w:rsid w:val="12E8DAD7"/>
    <w:rsid w:val="12E8FA3B"/>
    <w:rsid w:val="12EB59B6"/>
    <w:rsid w:val="12EC85A5"/>
    <w:rsid w:val="12ECE604"/>
    <w:rsid w:val="12ECE89C"/>
    <w:rsid w:val="12ECF018"/>
    <w:rsid w:val="12EEE093"/>
    <w:rsid w:val="12EF405B"/>
    <w:rsid w:val="12EF986A"/>
    <w:rsid w:val="12F08BA5"/>
    <w:rsid w:val="12F2F0F3"/>
    <w:rsid w:val="12F384AB"/>
    <w:rsid w:val="12F61369"/>
    <w:rsid w:val="12F66837"/>
    <w:rsid w:val="12F6B784"/>
    <w:rsid w:val="12F7BE43"/>
    <w:rsid w:val="12F7E6A1"/>
    <w:rsid w:val="12F8D9CE"/>
    <w:rsid w:val="12F99E14"/>
    <w:rsid w:val="12FB2013"/>
    <w:rsid w:val="12FBA2A4"/>
    <w:rsid w:val="12FC3C0A"/>
    <w:rsid w:val="1302A20E"/>
    <w:rsid w:val="1308B06C"/>
    <w:rsid w:val="13090E5E"/>
    <w:rsid w:val="130957C0"/>
    <w:rsid w:val="1309A98E"/>
    <w:rsid w:val="131067B3"/>
    <w:rsid w:val="1310C976"/>
    <w:rsid w:val="13117554"/>
    <w:rsid w:val="1311BA4F"/>
    <w:rsid w:val="13139113"/>
    <w:rsid w:val="1313CA2F"/>
    <w:rsid w:val="1314FA44"/>
    <w:rsid w:val="13170894"/>
    <w:rsid w:val="1318247F"/>
    <w:rsid w:val="1318505B"/>
    <w:rsid w:val="131874CA"/>
    <w:rsid w:val="1318F8DE"/>
    <w:rsid w:val="13197D76"/>
    <w:rsid w:val="131C1771"/>
    <w:rsid w:val="131D3067"/>
    <w:rsid w:val="131EA1C2"/>
    <w:rsid w:val="131EAE87"/>
    <w:rsid w:val="13222EE9"/>
    <w:rsid w:val="132288E0"/>
    <w:rsid w:val="1323A4D9"/>
    <w:rsid w:val="13252FFB"/>
    <w:rsid w:val="1325746D"/>
    <w:rsid w:val="132588D6"/>
    <w:rsid w:val="1326E73E"/>
    <w:rsid w:val="132B23A0"/>
    <w:rsid w:val="132CF936"/>
    <w:rsid w:val="132DACB2"/>
    <w:rsid w:val="1330B6D8"/>
    <w:rsid w:val="1333A2E3"/>
    <w:rsid w:val="133A8539"/>
    <w:rsid w:val="133AF48B"/>
    <w:rsid w:val="133EA972"/>
    <w:rsid w:val="13405A7A"/>
    <w:rsid w:val="134065E1"/>
    <w:rsid w:val="1341400E"/>
    <w:rsid w:val="13420209"/>
    <w:rsid w:val="1345F0B0"/>
    <w:rsid w:val="13478343"/>
    <w:rsid w:val="134924DC"/>
    <w:rsid w:val="13497A5D"/>
    <w:rsid w:val="1349B311"/>
    <w:rsid w:val="1349E68D"/>
    <w:rsid w:val="134CA5F7"/>
    <w:rsid w:val="134DA384"/>
    <w:rsid w:val="135155CD"/>
    <w:rsid w:val="13522C88"/>
    <w:rsid w:val="13532444"/>
    <w:rsid w:val="13550E91"/>
    <w:rsid w:val="13574A7A"/>
    <w:rsid w:val="13588611"/>
    <w:rsid w:val="135E6747"/>
    <w:rsid w:val="135EE445"/>
    <w:rsid w:val="135F293E"/>
    <w:rsid w:val="135FA404"/>
    <w:rsid w:val="13613069"/>
    <w:rsid w:val="1361896F"/>
    <w:rsid w:val="13633130"/>
    <w:rsid w:val="1364AF1B"/>
    <w:rsid w:val="136740B5"/>
    <w:rsid w:val="1367B862"/>
    <w:rsid w:val="13691798"/>
    <w:rsid w:val="136B143D"/>
    <w:rsid w:val="136B9354"/>
    <w:rsid w:val="137063B9"/>
    <w:rsid w:val="137188B1"/>
    <w:rsid w:val="1371FCA1"/>
    <w:rsid w:val="137237E0"/>
    <w:rsid w:val="13733B36"/>
    <w:rsid w:val="13742C82"/>
    <w:rsid w:val="1374C66A"/>
    <w:rsid w:val="13757070"/>
    <w:rsid w:val="13780A47"/>
    <w:rsid w:val="1379891B"/>
    <w:rsid w:val="137B2A1E"/>
    <w:rsid w:val="137C4CFB"/>
    <w:rsid w:val="137C5C03"/>
    <w:rsid w:val="137C5EDD"/>
    <w:rsid w:val="137CD0E4"/>
    <w:rsid w:val="137E400A"/>
    <w:rsid w:val="137E99E4"/>
    <w:rsid w:val="137F11B2"/>
    <w:rsid w:val="137F332D"/>
    <w:rsid w:val="13812EFF"/>
    <w:rsid w:val="138165F1"/>
    <w:rsid w:val="1385CDDE"/>
    <w:rsid w:val="13864C72"/>
    <w:rsid w:val="13885024"/>
    <w:rsid w:val="138D1A49"/>
    <w:rsid w:val="138D2DA1"/>
    <w:rsid w:val="138D6926"/>
    <w:rsid w:val="138FD346"/>
    <w:rsid w:val="139182B3"/>
    <w:rsid w:val="139A77D6"/>
    <w:rsid w:val="139B637A"/>
    <w:rsid w:val="139D4783"/>
    <w:rsid w:val="139F18C8"/>
    <w:rsid w:val="139F8842"/>
    <w:rsid w:val="13A1F830"/>
    <w:rsid w:val="13AAE3EA"/>
    <w:rsid w:val="13ACFF8F"/>
    <w:rsid w:val="13AD5373"/>
    <w:rsid w:val="13AF1552"/>
    <w:rsid w:val="13B2B39D"/>
    <w:rsid w:val="13B44040"/>
    <w:rsid w:val="13B4C166"/>
    <w:rsid w:val="13B59D54"/>
    <w:rsid w:val="13B5AD5C"/>
    <w:rsid w:val="13B86170"/>
    <w:rsid w:val="13BB7C7B"/>
    <w:rsid w:val="13BD5417"/>
    <w:rsid w:val="13BD98B2"/>
    <w:rsid w:val="13BE1763"/>
    <w:rsid w:val="13C10500"/>
    <w:rsid w:val="13C38E39"/>
    <w:rsid w:val="13C7B43E"/>
    <w:rsid w:val="13C81BE7"/>
    <w:rsid w:val="13C88628"/>
    <w:rsid w:val="13C960B6"/>
    <w:rsid w:val="13CBE91B"/>
    <w:rsid w:val="13CCB35E"/>
    <w:rsid w:val="13CD28C7"/>
    <w:rsid w:val="13CEC179"/>
    <w:rsid w:val="13CF7232"/>
    <w:rsid w:val="13D08D4D"/>
    <w:rsid w:val="13D5125D"/>
    <w:rsid w:val="13D55C8F"/>
    <w:rsid w:val="13D60F73"/>
    <w:rsid w:val="13D67997"/>
    <w:rsid w:val="13D6A91E"/>
    <w:rsid w:val="13D6D7DD"/>
    <w:rsid w:val="13D6EA2F"/>
    <w:rsid w:val="13D79063"/>
    <w:rsid w:val="13D8362E"/>
    <w:rsid w:val="13DAFBB3"/>
    <w:rsid w:val="13DB9E11"/>
    <w:rsid w:val="13DC84F4"/>
    <w:rsid w:val="13DD359A"/>
    <w:rsid w:val="13E08454"/>
    <w:rsid w:val="13E1E397"/>
    <w:rsid w:val="13E560F6"/>
    <w:rsid w:val="13E7DB29"/>
    <w:rsid w:val="13E80FB2"/>
    <w:rsid w:val="13E951D7"/>
    <w:rsid w:val="13EB1E79"/>
    <w:rsid w:val="13EBC00F"/>
    <w:rsid w:val="13ED02EE"/>
    <w:rsid w:val="13EDB132"/>
    <w:rsid w:val="13EE7934"/>
    <w:rsid w:val="13F0369E"/>
    <w:rsid w:val="13F11EB3"/>
    <w:rsid w:val="13F16189"/>
    <w:rsid w:val="13F2893F"/>
    <w:rsid w:val="13F297A7"/>
    <w:rsid w:val="13F33794"/>
    <w:rsid w:val="13F6ED8E"/>
    <w:rsid w:val="13FA1335"/>
    <w:rsid w:val="13FD29E7"/>
    <w:rsid w:val="13FD5E3F"/>
    <w:rsid w:val="140113C6"/>
    <w:rsid w:val="14013228"/>
    <w:rsid w:val="140222F0"/>
    <w:rsid w:val="1402AB75"/>
    <w:rsid w:val="1402EC86"/>
    <w:rsid w:val="1403A897"/>
    <w:rsid w:val="1406472A"/>
    <w:rsid w:val="14074D43"/>
    <w:rsid w:val="140957DC"/>
    <w:rsid w:val="14098C02"/>
    <w:rsid w:val="140AB3C1"/>
    <w:rsid w:val="140AC10F"/>
    <w:rsid w:val="140C9A84"/>
    <w:rsid w:val="140F0C1F"/>
    <w:rsid w:val="1414D5AC"/>
    <w:rsid w:val="1416C7C9"/>
    <w:rsid w:val="141734B8"/>
    <w:rsid w:val="141824E6"/>
    <w:rsid w:val="141847EE"/>
    <w:rsid w:val="14189500"/>
    <w:rsid w:val="141B6AFC"/>
    <w:rsid w:val="141C5C1B"/>
    <w:rsid w:val="141E91E1"/>
    <w:rsid w:val="141F2C7A"/>
    <w:rsid w:val="141F89E1"/>
    <w:rsid w:val="14222BE3"/>
    <w:rsid w:val="1423EB6D"/>
    <w:rsid w:val="1424550D"/>
    <w:rsid w:val="142505D5"/>
    <w:rsid w:val="14258529"/>
    <w:rsid w:val="1426455B"/>
    <w:rsid w:val="1427230C"/>
    <w:rsid w:val="142AF205"/>
    <w:rsid w:val="142C9AD6"/>
    <w:rsid w:val="142EB97F"/>
    <w:rsid w:val="142FA62D"/>
    <w:rsid w:val="143087AC"/>
    <w:rsid w:val="1430AE91"/>
    <w:rsid w:val="14333690"/>
    <w:rsid w:val="1433D757"/>
    <w:rsid w:val="1437349D"/>
    <w:rsid w:val="143782B1"/>
    <w:rsid w:val="143C2348"/>
    <w:rsid w:val="143CB5FA"/>
    <w:rsid w:val="143F84D6"/>
    <w:rsid w:val="143FEC05"/>
    <w:rsid w:val="14409231"/>
    <w:rsid w:val="14433CCC"/>
    <w:rsid w:val="1444DC45"/>
    <w:rsid w:val="14477DDC"/>
    <w:rsid w:val="1448335A"/>
    <w:rsid w:val="14496B7C"/>
    <w:rsid w:val="144993B0"/>
    <w:rsid w:val="144D4ADE"/>
    <w:rsid w:val="144F1A83"/>
    <w:rsid w:val="144F531C"/>
    <w:rsid w:val="1450837C"/>
    <w:rsid w:val="1453B0D6"/>
    <w:rsid w:val="145453F6"/>
    <w:rsid w:val="14549F98"/>
    <w:rsid w:val="1454B0EE"/>
    <w:rsid w:val="14582E4D"/>
    <w:rsid w:val="1459923C"/>
    <w:rsid w:val="145BFDE2"/>
    <w:rsid w:val="145C4F97"/>
    <w:rsid w:val="145C63D6"/>
    <w:rsid w:val="14634C47"/>
    <w:rsid w:val="14646EE6"/>
    <w:rsid w:val="1464C2C3"/>
    <w:rsid w:val="1464F9F7"/>
    <w:rsid w:val="1466F414"/>
    <w:rsid w:val="146814D8"/>
    <w:rsid w:val="146862B2"/>
    <w:rsid w:val="1468B315"/>
    <w:rsid w:val="146E12E1"/>
    <w:rsid w:val="146E6CD6"/>
    <w:rsid w:val="14736E91"/>
    <w:rsid w:val="1474129F"/>
    <w:rsid w:val="14746E54"/>
    <w:rsid w:val="147608FA"/>
    <w:rsid w:val="1477D256"/>
    <w:rsid w:val="147A6616"/>
    <w:rsid w:val="147D0926"/>
    <w:rsid w:val="147FAA02"/>
    <w:rsid w:val="147FBF04"/>
    <w:rsid w:val="147FDA00"/>
    <w:rsid w:val="14812833"/>
    <w:rsid w:val="14836F95"/>
    <w:rsid w:val="14874E65"/>
    <w:rsid w:val="1488D74A"/>
    <w:rsid w:val="1489AE2A"/>
    <w:rsid w:val="148A36CE"/>
    <w:rsid w:val="148C8D87"/>
    <w:rsid w:val="148D54B0"/>
    <w:rsid w:val="148EC26E"/>
    <w:rsid w:val="148F3E8E"/>
    <w:rsid w:val="14920392"/>
    <w:rsid w:val="1492E835"/>
    <w:rsid w:val="14938AFC"/>
    <w:rsid w:val="14944F6E"/>
    <w:rsid w:val="1495AE2E"/>
    <w:rsid w:val="14967B15"/>
    <w:rsid w:val="1496CFE6"/>
    <w:rsid w:val="149727BB"/>
    <w:rsid w:val="149788C9"/>
    <w:rsid w:val="14987B12"/>
    <w:rsid w:val="149A6D4D"/>
    <w:rsid w:val="14A3C41D"/>
    <w:rsid w:val="14A53566"/>
    <w:rsid w:val="14A58B64"/>
    <w:rsid w:val="14A8D56C"/>
    <w:rsid w:val="14AD597B"/>
    <w:rsid w:val="14AEF603"/>
    <w:rsid w:val="14AFAF8E"/>
    <w:rsid w:val="14B159E2"/>
    <w:rsid w:val="14B38B12"/>
    <w:rsid w:val="14B467D8"/>
    <w:rsid w:val="14B4D716"/>
    <w:rsid w:val="14B5640E"/>
    <w:rsid w:val="14B5AFB3"/>
    <w:rsid w:val="14B63DE3"/>
    <w:rsid w:val="14B7D06C"/>
    <w:rsid w:val="14B85CFF"/>
    <w:rsid w:val="14B87FDE"/>
    <w:rsid w:val="14B8DCC0"/>
    <w:rsid w:val="14B90BB5"/>
    <w:rsid w:val="14BB455B"/>
    <w:rsid w:val="14BBBEA8"/>
    <w:rsid w:val="14BC31D9"/>
    <w:rsid w:val="14BD5785"/>
    <w:rsid w:val="14C4F7D2"/>
    <w:rsid w:val="14C594EB"/>
    <w:rsid w:val="14C64F26"/>
    <w:rsid w:val="14C6DBB9"/>
    <w:rsid w:val="14C6DEE5"/>
    <w:rsid w:val="14C71FF2"/>
    <w:rsid w:val="14C7CE64"/>
    <w:rsid w:val="14C98131"/>
    <w:rsid w:val="14CE2DA1"/>
    <w:rsid w:val="14CEE58A"/>
    <w:rsid w:val="14CF2DB7"/>
    <w:rsid w:val="14D18C77"/>
    <w:rsid w:val="14D1E0E8"/>
    <w:rsid w:val="14D2F335"/>
    <w:rsid w:val="14D48889"/>
    <w:rsid w:val="14D722C1"/>
    <w:rsid w:val="14D74209"/>
    <w:rsid w:val="14D8C5D0"/>
    <w:rsid w:val="14D94EEB"/>
    <w:rsid w:val="14D9F65D"/>
    <w:rsid w:val="14DF6D0D"/>
    <w:rsid w:val="14E44D3F"/>
    <w:rsid w:val="14E69995"/>
    <w:rsid w:val="14E79E1D"/>
    <w:rsid w:val="14E7CF1D"/>
    <w:rsid w:val="14E8E932"/>
    <w:rsid w:val="14ED655E"/>
    <w:rsid w:val="14EE6675"/>
    <w:rsid w:val="14EEAF17"/>
    <w:rsid w:val="14F0DD4F"/>
    <w:rsid w:val="14F1E751"/>
    <w:rsid w:val="14F54292"/>
    <w:rsid w:val="14F7148F"/>
    <w:rsid w:val="14F92E2F"/>
    <w:rsid w:val="14F967F9"/>
    <w:rsid w:val="14FCED1E"/>
    <w:rsid w:val="14FEE75A"/>
    <w:rsid w:val="15033A49"/>
    <w:rsid w:val="1505C1A5"/>
    <w:rsid w:val="1506B430"/>
    <w:rsid w:val="15078BA6"/>
    <w:rsid w:val="150C5015"/>
    <w:rsid w:val="150C535B"/>
    <w:rsid w:val="150DE994"/>
    <w:rsid w:val="150EA489"/>
    <w:rsid w:val="1512797D"/>
    <w:rsid w:val="1512D216"/>
    <w:rsid w:val="1512F405"/>
    <w:rsid w:val="1515F667"/>
    <w:rsid w:val="151663DF"/>
    <w:rsid w:val="151685D9"/>
    <w:rsid w:val="1516F352"/>
    <w:rsid w:val="15191376"/>
    <w:rsid w:val="151D0FD8"/>
    <w:rsid w:val="151DBBE9"/>
    <w:rsid w:val="151EF9CF"/>
    <w:rsid w:val="151FBF02"/>
    <w:rsid w:val="15226E9B"/>
    <w:rsid w:val="1522C36F"/>
    <w:rsid w:val="1523FE00"/>
    <w:rsid w:val="152F3375"/>
    <w:rsid w:val="152F6028"/>
    <w:rsid w:val="153056E8"/>
    <w:rsid w:val="15329A47"/>
    <w:rsid w:val="1533F454"/>
    <w:rsid w:val="1535BE92"/>
    <w:rsid w:val="1538287B"/>
    <w:rsid w:val="15383837"/>
    <w:rsid w:val="153A8EBB"/>
    <w:rsid w:val="153D4F44"/>
    <w:rsid w:val="153DB6C7"/>
    <w:rsid w:val="153F595C"/>
    <w:rsid w:val="153FB1FE"/>
    <w:rsid w:val="15406063"/>
    <w:rsid w:val="154294CB"/>
    <w:rsid w:val="15451126"/>
    <w:rsid w:val="15477244"/>
    <w:rsid w:val="154A5552"/>
    <w:rsid w:val="154B375A"/>
    <w:rsid w:val="154B6BE7"/>
    <w:rsid w:val="154BD490"/>
    <w:rsid w:val="154CDEC7"/>
    <w:rsid w:val="154FEF9A"/>
    <w:rsid w:val="15525CA4"/>
    <w:rsid w:val="1552BC54"/>
    <w:rsid w:val="155414B4"/>
    <w:rsid w:val="1554FC9F"/>
    <w:rsid w:val="1558B72B"/>
    <w:rsid w:val="155955AA"/>
    <w:rsid w:val="155C8765"/>
    <w:rsid w:val="155CA7E3"/>
    <w:rsid w:val="155EA8B1"/>
    <w:rsid w:val="155F391C"/>
    <w:rsid w:val="1560E719"/>
    <w:rsid w:val="156117CB"/>
    <w:rsid w:val="15632D91"/>
    <w:rsid w:val="1564632F"/>
    <w:rsid w:val="15647158"/>
    <w:rsid w:val="15653382"/>
    <w:rsid w:val="15669C80"/>
    <w:rsid w:val="156A1B03"/>
    <w:rsid w:val="156C0FEF"/>
    <w:rsid w:val="156D44F4"/>
    <w:rsid w:val="157199F4"/>
    <w:rsid w:val="15723610"/>
    <w:rsid w:val="1572A9E5"/>
    <w:rsid w:val="157971F8"/>
    <w:rsid w:val="1579BC8F"/>
    <w:rsid w:val="157A7F3D"/>
    <w:rsid w:val="157D3065"/>
    <w:rsid w:val="157D6C55"/>
    <w:rsid w:val="157D7BFB"/>
    <w:rsid w:val="157F3044"/>
    <w:rsid w:val="15823F5D"/>
    <w:rsid w:val="1582E1EC"/>
    <w:rsid w:val="1583C5DE"/>
    <w:rsid w:val="158420D5"/>
    <w:rsid w:val="1584507E"/>
    <w:rsid w:val="15860E44"/>
    <w:rsid w:val="15870B7F"/>
    <w:rsid w:val="15876528"/>
    <w:rsid w:val="1587BF3C"/>
    <w:rsid w:val="15887EE9"/>
    <w:rsid w:val="158A3070"/>
    <w:rsid w:val="158D63D6"/>
    <w:rsid w:val="158DA44A"/>
    <w:rsid w:val="158FE9E1"/>
    <w:rsid w:val="1592AF01"/>
    <w:rsid w:val="15943604"/>
    <w:rsid w:val="15944AFF"/>
    <w:rsid w:val="1594FA69"/>
    <w:rsid w:val="1595E8B3"/>
    <w:rsid w:val="1597597A"/>
    <w:rsid w:val="15A2B780"/>
    <w:rsid w:val="15A3F50B"/>
    <w:rsid w:val="15A60100"/>
    <w:rsid w:val="15A7DACE"/>
    <w:rsid w:val="15A7F3CC"/>
    <w:rsid w:val="15AA1B61"/>
    <w:rsid w:val="15AAADE1"/>
    <w:rsid w:val="15AB37D2"/>
    <w:rsid w:val="15AB94D1"/>
    <w:rsid w:val="15AC6507"/>
    <w:rsid w:val="15AF6B88"/>
    <w:rsid w:val="15B0E89C"/>
    <w:rsid w:val="15B1AFB2"/>
    <w:rsid w:val="15B625B9"/>
    <w:rsid w:val="15B8BE64"/>
    <w:rsid w:val="15BA5F6E"/>
    <w:rsid w:val="15BBD58A"/>
    <w:rsid w:val="15BC52EE"/>
    <w:rsid w:val="15BCB725"/>
    <w:rsid w:val="15BE6297"/>
    <w:rsid w:val="15BFAD4F"/>
    <w:rsid w:val="15C29069"/>
    <w:rsid w:val="15C44971"/>
    <w:rsid w:val="15C820D6"/>
    <w:rsid w:val="15C88B30"/>
    <w:rsid w:val="15C945C5"/>
    <w:rsid w:val="15CB3CEC"/>
    <w:rsid w:val="15CC2763"/>
    <w:rsid w:val="15D042AD"/>
    <w:rsid w:val="15D0A185"/>
    <w:rsid w:val="15D1AB12"/>
    <w:rsid w:val="15D23B7F"/>
    <w:rsid w:val="15D3575F"/>
    <w:rsid w:val="15D622A9"/>
    <w:rsid w:val="15D69576"/>
    <w:rsid w:val="15DACDC4"/>
    <w:rsid w:val="15DAF7DD"/>
    <w:rsid w:val="15DBEFF7"/>
    <w:rsid w:val="15E6C19E"/>
    <w:rsid w:val="15E6E0B6"/>
    <w:rsid w:val="15E703FF"/>
    <w:rsid w:val="15E70A24"/>
    <w:rsid w:val="15E89C5D"/>
    <w:rsid w:val="15E974CB"/>
    <w:rsid w:val="15E98D82"/>
    <w:rsid w:val="15E9F311"/>
    <w:rsid w:val="15EABC6B"/>
    <w:rsid w:val="15EB1177"/>
    <w:rsid w:val="15EBF95F"/>
    <w:rsid w:val="15F39026"/>
    <w:rsid w:val="15F50630"/>
    <w:rsid w:val="15F51D7D"/>
    <w:rsid w:val="15F68F29"/>
    <w:rsid w:val="15FB06EE"/>
    <w:rsid w:val="15FB1EB0"/>
    <w:rsid w:val="15FDC0C9"/>
    <w:rsid w:val="15FEB759"/>
    <w:rsid w:val="1603AD09"/>
    <w:rsid w:val="16054D11"/>
    <w:rsid w:val="1605E573"/>
    <w:rsid w:val="160752E9"/>
    <w:rsid w:val="16092518"/>
    <w:rsid w:val="160AC684"/>
    <w:rsid w:val="160B3070"/>
    <w:rsid w:val="160CF4C7"/>
    <w:rsid w:val="160EEFCF"/>
    <w:rsid w:val="160F65CB"/>
    <w:rsid w:val="1611F874"/>
    <w:rsid w:val="1614118D"/>
    <w:rsid w:val="1617D04E"/>
    <w:rsid w:val="16188DB4"/>
    <w:rsid w:val="161A2BD2"/>
    <w:rsid w:val="161AECCB"/>
    <w:rsid w:val="161E6284"/>
    <w:rsid w:val="161F5C15"/>
    <w:rsid w:val="161F9DEB"/>
    <w:rsid w:val="16220AB0"/>
    <w:rsid w:val="1624A82B"/>
    <w:rsid w:val="1625722A"/>
    <w:rsid w:val="1625FEC4"/>
    <w:rsid w:val="16285933"/>
    <w:rsid w:val="1628CC46"/>
    <w:rsid w:val="1629D670"/>
    <w:rsid w:val="162BCE4F"/>
    <w:rsid w:val="162F5A78"/>
    <w:rsid w:val="16304560"/>
    <w:rsid w:val="16306215"/>
    <w:rsid w:val="1631856D"/>
    <w:rsid w:val="16321C02"/>
    <w:rsid w:val="1634B12E"/>
    <w:rsid w:val="16365A63"/>
    <w:rsid w:val="1637C011"/>
    <w:rsid w:val="163886EC"/>
    <w:rsid w:val="1638C5C9"/>
    <w:rsid w:val="163B630E"/>
    <w:rsid w:val="163E213A"/>
    <w:rsid w:val="163FD5D8"/>
    <w:rsid w:val="1643F83D"/>
    <w:rsid w:val="1649161A"/>
    <w:rsid w:val="16492896"/>
    <w:rsid w:val="1649F934"/>
    <w:rsid w:val="164B0841"/>
    <w:rsid w:val="164BAF49"/>
    <w:rsid w:val="164DB783"/>
    <w:rsid w:val="164EDD8D"/>
    <w:rsid w:val="164F82D8"/>
    <w:rsid w:val="164F9BF5"/>
    <w:rsid w:val="1650B134"/>
    <w:rsid w:val="16514455"/>
    <w:rsid w:val="165300FF"/>
    <w:rsid w:val="1654EE42"/>
    <w:rsid w:val="16576631"/>
    <w:rsid w:val="16587F53"/>
    <w:rsid w:val="165A53FA"/>
    <w:rsid w:val="165D5AF8"/>
    <w:rsid w:val="165FD738"/>
    <w:rsid w:val="16607618"/>
    <w:rsid w:val="16615A02"/>
    <w:rsid w:val="166177E4"/>
    <w:rsid w:val="16625268"/>
    <w:rsid w:val="16633F53"/>
    <w:rsid w:val="1664DAA8"/>
    <w:rsid w:val="1667E886"/>
    <w:rsid w:val="16683212"/>
    <w:rsid w:val="1668C0B5"/>
    <w:rsid w:val="166986EB"/>
    <w:rsid w:val="166ADFD3"/>
    <w:rsid w:val="166B2243"/>
    <w:rsid w:val="166C5F5C"/>
    <w:rsid w:val="166D6B07"/>
    <w:rsid w:val="166EB929"/>
    <w:rsid w:val="166EFEDA"/>
    <w:rsid w:val="166FDC2D"/>
    <w:rsid w:val="166FF066"/>
    <w:rsid w:val="167193C6"/>
    <w:rsid w:val="16741624"/>
    <w:rsid w:val="16779DA2"/>
    <w:rsid w:val="1678225E"/>
    <w:rsid w:val="16799CDA"/>
    <w:rsid w:val="167A2963"/>
    <w:rsid w:val="168048C8"/>
    <w:rsid w:val="1682F41B"/>
    <w:rsid w:val="1683094D"/>
    <w:rsid w:val="16837F7B"/>
    <w:rsid w:val="168389EB"/>
    <w:rsid w:val="1683CF18"/>
    <w:rsid w:val="1686306B"/>
    <w:rsid w:val="168A7BA3"/>
    <w:rsid w:val="168ABA50"/>
    <w:rsid w:val="168F5DD4"/>
    <w:rsid w:val="169056B9"/>
    <w:rsid w:val="1692300B"/>
    <w:rsid w:val="16933E71"/>
    <w:rsid w:val="169365A7"/>
    <w:rsid w:val="1694D92B"/>
    <w:rsid w:val="1694ED12"/>
    <w:rsid w:val="16960556"/>
    <w:rsid w:val="1696F108"/>
    <w:rsid w:val="169887B4"/>
    <w:rsid w:val="16998709"/>
    <w:rsid w:val="169A0486"/>
    <w:rsid w:val="169C1616"/>
    <w:rsid w:val="169C806B"/>
    <w:rsid w:val="169D8594"/>
    <w:rsid w:val="169DB655"/>
    <w:rsid w:val="169E2A2A"/>
    <w:rsid w:val="16A2FAFD"/>
    <w:rsid w:val="16A49557"/>
    <w:rsid w:val="16A4F1A1"/>
    <w:rsid w:val="16A4FE54"/>
    <w:rsid w:val="16A53378"/>
    <w:rsid w:val="16A57A98"/>
    <w:rsid w:val="16A68DE1"/>
    <w:rsid w:val="16A7A021"/>
    <w:rsid w:val="16A7DF61"/>
    <w:rsid w:val="16AA2EA9"/>
    <w:rsid w:val="16ABB8CE"/>
    <w:rsid w:val="16AEA6C3"/>
    <w:rsid w:val="16AF00CD"/>
    <w:rsid w:val="16B049D8"/>
    <w:rsid w:val="16B0AC8A"/>
    <w:rsid w:val="16B12C4D"/>
    <w:rsid w:val="16B5FC4E"/>
    <w:rsid w:val="16B7A6E9"/>
    <w:rsid w:val="16B95203"/>
    <w:rsid w:val="16B99B79"/>
    <w:rsid w:val="16B9BC08"/>
    <w:rsid w:val="16BA9673"/>
    <w:rsid w:val="16BB447F"/>
    <w:rsid w:val="16BB69AE"/>
    <w:rsid w:val="16BB7954"/>
    <w:rsid w:val="16BBE99D"/>
    <w:rsid w:val="16BD0B65"/>
    <w:rsid w:val="16C0931A"/>
    <w:rsid w:val="16C11531"/>
    <w:rsid w:val="16C241EC"/>
    <w:rsid w:val="16C43254"/>
    <w:rsid w:val="16C45FBC"/>
    <w:rsid w:val="16C4BCDE"/>
    <w:rsid w:val="16C5A83E"/>
    <w:rsid w:val="16C88DAC"/>
    <w:rsid w:val="16C986C3"/>
    <w:rsid w:val="16CA238D"/>
    <w:rsid w:val="16CA81CC"/>
    <w:rsid w:val="16CB5E45"/>
    <w:rsid w:val="16CECD95"/>
    <w:rsid w:val="16CEDB49"/>
    <w:rsid w:val="16CF5649"/>
    <w:rsid w:val="16D03D9F"/>
    <w:rsid w:val="16D05222"/>
    <w:rsid w:val="16D1BB49"/>
    <w:rsid w:val="16D2024E"/>
    <w:rsid w:val="16D68C39"/>
    <w:rsid w:val="16D6C09E"/>
    <w:rsid w:val="16DA1EB1"/>
    <w:rsid w:val="16DC9AF3"/>
    <w:rsid w:val="16DD5F77"/>
    <w:rsid w:val="16DF562F"/>
    <w:rsid w:val="16E43B5D"/>
    <w:rsid w:val="16E5DC42"/>
    <w:rsid w:val="16E6031C"/>
    <w:rsid w:val="16E6FCBA"/>
    <w:rsid w:val="16E70CC8"/>
    <w:rsid w:val="16E82FE3"/>
    <w:rsid w:val="16E895A5"/>
    <w:rsid w:val="16E8B514"/>
    <w:rsid w:val="16E97FBF"/>
    <w:rsid w:val="16EB2CF4"/>
    <w:rsid w:val="16EC4D20"/>
    <w:rsid w:val="16EC5C70"/>
    <w:rsid w:val="16ED7DBB"/>
    <w:rsid w:val="16EEA9AA"/>
    <w:rsid w:val="16EF20EA"/>
    <w:rsid w:val="16F01DD1"/>
    <w:rsid w:val="16F0421E"/>
    <w:rsid w:val="16F0542E"/>
    <w:rsid w:val="16F392B7"/>
    <w:rsid w:val="16F471F9"/>
    <w:rsid w:val="16F61F5B"/>
    <w:rsid w:val="16F6BC54"/>
    <w:rsid w:val="16FA80D0"/>
    <w:rsid w:val="16FB99DB"/>
    <w:rsid w:val="16FBC5CD"/>
    <w:rsid w:val="16FD05D7"/>
    <w:rsid w:val="16FD52E9"/>
    <w:rsid w:val="16FDB3F7"/>
    <w:rsid w:val="1700397A"/>
    <w:rsid w:val="170078ED"/>
    <w:rsid w:val="17012393"/>
    <w:rsid w:val="1703665D"/>
    <w:rsid w:val="170440B2"/>
    <w:rsid w:val="17046D97"/>
    <w:rsid w:val="1704B528"/>
    <w:rsid w:val="1707892C"/>
    <w:rsid w:val="1707EE19"/>
    <w:rsid w:val="170DAC44"/>
    <w:rsid w:val="170EE66E"/>
    <w:rsid w:val="17104E2D"/>
    <w:rsid w:val="17137C03"/>
    <w:rsid w:val="1713E28C"/>
    <w:rsid w:val="1713EE42"/>
    <w:rsid w:val="17150CD6"/>
    <w:rsid w:val="1716A4D3"/>
    <w:rsid w:val="17172496"/>
    <w:rsid w:val="171740F4"/>
    <w:rsid w:val="171CB958"/>
    <w:rsid w:val="171CC9F2"/>
    <w:rsid w:val="171CD1FF"/>
    <w:rsid w:val="171DC3E6"/>
    <w:rsid w:val="171F11AA"/>
    <w:rsid w:val="1720031A"/>
    <w:rsid w:val="172445DC"/>
    <w:rsid w:val="1724C082"/>
    <w:rsid w:val="1725B096"/>
    <w:rsid w:val="1726E333"/>
    <w:rsid w:val="1729D27F"/>
    <w:rsid w:val="172A2DCB"/>
    <w:rsid w:val="172ACA78"/>
    <w:rsid w:val="172C13D8"/>
    <w:rsid w:val="172F6612"/>
    <w:rsid w:val="17308517"/>
    <w:rsid w:val="17309643"/>
    <w:rsid w:val="17315C91"/>
    <w:rsid w:val="17315FCE"/>
    <w:rsid w:val="17329899"/>
    <w:rsid w:val="1732BC2C"/>
    <w:rsid w:val="173313FC"/>
    <w:rsid w:val="17341B26"/>
    <w:rsid w:val="17350016"/>
    <w:rsid w:val="17358FC8"/>
    <w:rsid w:val="1735BE68"/>
    <w:rsid w:val="173793D6"/>
    <w:rsid w:val="173912EE"/>
    <w:rsid w:val="173A1712"/>
    <w:rsid w:val="173A5AB3"/>
    <w:rsid w:val="173C7D94"/>
    <w:rsid w:val="173F4AA2"/>
    <w:rsid w:val="1744A1DB"/>
    <w:rsid w:val="1744CFF2"/>
    <w:rsid w:val="1744EDCC"/>
    <w:rsid w:val="17485886"/>
    <w:rsid w:val="174B67B8"/>
    <w:rsid w:val="174C16DC"/>
    <w:rsid w:val="17519FC4"/>
    <w:rsid w:val="17520252"/>
    <w:rsid w:val="17537F3D"/>
    <w:rsid w:val="1753C209"/>
    <w:rsid w:val="17554C3F"/>
    <w:rsid w:val="17555DD2"/>
    <w:rsid w:val="17574780"/>
    <w:rsid w:val="175871B4"/>
    <w:rsid w:val="1759710D"/>
    <w:rsid w:val="17599C7D"/>
    <w:rsid w:val="175A5B85"/>
    <w:rsid w:val="175ADDB5"/>
    <w:rsid w:val="175C0458"/>
    <w:rsid w:val="175F2C10"/>
    <w:rsid w:val="17606CA2"/>
    <w:rsid w:val="1761EBC4"/>
    <w:rsid w:val="17647D79"/>
    <w:rsid w:val="1765D706"/>
    <w:rsid w:val="17660654"/>
    <w:rsid w:val="17668792"/>
    <w:rsid w:val="1766B51D"/>
    <w:rsid w:val="1769522F"/>
    <w:rsid w:val="176BA0EA"/>
    <w:rsid w:val="176D26AA"/>
    <w:rsid w:val="176DDF25"/>
    <w:rsid w:val="1771E8C8"/>
    <w:rsid w:val="1773B115"/>
    <w:rsid w:val="1774A9A0"/>
    <w:rsid w:val="1778310A"/>
    <w:rsid w:val="177D4CC1"/>
    <w:rsid w:val="177EA337"/>
    <w:rsid w:val="177ECF38"/>
    <w:rsid w:val="178347A0"/>
    <w:rsid w:val="17852477"/>
    <w:rsid w:val="17859E1C"/>
    <w:rsid w:val="1786893F"/>
    <w:rsid w:val="17875FA2"/>
    <w:rsid w:val="1787AED7"/>
    <w:rsid w:val="1787F37B"/>
    <w:rsid w:val="17887A74"/>
    <w:rsid w:val="17888B90"/>
    <w:rsid w:val="1789B434"/>
    <w:rsid w:val="1789ECC3"/>
    <w:rsid w:val="178A9966"/>
    <w:rsid w:val="178B6330"/>
    <w:rsid w:val="178BDC34"/>
    <w:rsid w:val="178E7BC2"/>
    <w:rsid w:val="1790EDFD"/>
    <w:rsid w:val="17921B52"/>
    <w:rsid w:val="17955D8C"/>
    <w:rsid w:val="17966BED"/>
    <w:rsid w:val="17994C46"/>
    <w:rsid w:val="179BB403"/>
    <w:rsid w:val="179BEE49"/>
    <w:rsid w:val="179C6718"/>
    <w:rsid w:val="179CF519"/>
    <w:rsid w:val="179E5B61"/>
    <w:rsid w:val="17A0805C"/>
    <w:rsid w:val="17A2154D"/>
    <w:rsid w:val="17A27973"/>
    <w:rsid w:val="17A3966B"/>
    <w:rsid w:val="17A6206C"/>
    <w:rsid w:val="17A95959"/>
    <w:rsid w:val="17AB253A"/>
    <w:rsid w:val="17ACCE24"/>
    <w:rsid w:val="17AEBA1D"/>
    <w:rsid w:val="17AEFA4D"/>
    <w:rsid w:val="17AF8EE5"/>
    <w:rsid w:val="17AFDEEB"/>
    <w:rsid w:val="17B00139"/>
    <w:rsid w:val="17B10A51"/>
    <w:rsid w:val="17B1618B"/>
    <w:rsid w:val="17B31B80"/>
    <w:rsid w:val="17B5E275"/>
    <w:rsid w:val="17B6038F"/>
    <w:rsid w:val="17B63A1E"/>
    <w:rsid w:val="17BB7020"/>
    <w:rsid w:val="17BD1666"/>
    <w:rsid w:val="17BD945B"/>
    <w:rsid w:val="17BDC438"/>
    <w:rsid w:val="17BF449F"/>
    <w:rsid w:val="17C01C10"/>
    <w:rsid w:val="17C02B6E"/>
    <w:rsid w:val="17C12176"/>
    <w:rsid w:val="17C12A82"/>
    <w:rsid w:val="17C15FFF"/>
    <w:rsid w:val="17C48A2D"/>
    <w:rsid w:val="17C4EE32"/>
    <w:rsid w:val="17C5DCC1"/>
    <w:rsid w:val="17C80A42"/>
    <w:rsid w:val="17C983A9"/>
    <w:rsid w:val="17CB3161"/>
    <w:rsid w:val="17CC0BFC"/>
    <w:rsid w:val="17CC3338"/>
    <w:rsid w:val="17CDB802"/>
    <w:rsid w:val="17CEDEF8"/>
    <w:rsid w:val="17D07B33"/>
    <w:rsid w:val="17D4EAEA"/>
    <w:rsid w:val="17D605F4"/>
    <w:rsid w:val="17D89936"/>
    <w:rsid w:val="17D89E80"/>
    <w:rsid w:val="17DC5935"/>
    <w:rsid w:val="17E0F6C5"/>
    <w:rsid w:val="17E0FC61"/>
    <w:rsid w:val="17E12837"/>
    <w:rsid w:val="17E322D5"/>
    <w:rsid w:val="17E828EA"/>
    <w:rsid w:val="17E85806"/>
    <w:rsid w:val="17E92814"/>
    <w:rsid w:val="17E98B25"/>
    <w:rsid w:val="17EBD87E"/>
    <w:rsid w:val="17EC087C"/>
    <w:rsid w:val="17F0430B"/>
    <w:rsid w:val="17F0BE7F"/>
    <w:rsid w:val="17F34791"/>
    <w:rsid w:val="17F55EED"/>
    <w:rsid w:val="17F59F64"/>
    <w:rsid w:val="17F5DE8E"/>
    <w:rsid w:val="17F62397"/>
    <w:rsid w:val="17F78198"/>
    <w:rsid w:val="17F7BBD6"/>
    <w:rsid w:val="17FDA6CE"/>
    <w:rsid w:val="17FEE06F"/>
    <w:rsid w:val="17FF26E5"/>
    <w:rsid w:val="17FF6053"/>
    <w:rsid w:val="18031C59"/>
    <w:rsid w:val="1803723C"/>
    <w:rsid w:val="1804D696"/>
    <w:rsid w:val="1805FB51"/>
    <w:rsid w:val="1807269A"/>
    <w:rsid w:val="18095466"/>
    <w:rsid w:val="180AD1E3"/>
    <w:rsid w:val="180B0C57"/>
    <w:rsid w:val="180D4FF2"/>
    <w:rsid w:val="180E01FA"/>
    <w:rsid w:val="18100360"/>
    <w:rsid w:val="1811DC36"/>
    <w:rsid w:val="1815E309"/>
    <w:rsid w:val="18199F8D"/>
    <w:rsid w:val="181A12F2"/>
    <w:rsid w:val="18248474"/>
    <w:rsid w:val="1824C861"/>
    <w:rsid w:val="18286F23"/>
    <w:rsid w:val="1828EAFF"/>
    <w:rsid w:val="18293B62"/>
    <w:rsid w:val="1829488E"/>
    <w:rsid w:val="182B42F2"/>
    <w:rsid w:val="182C1282"/>
    <w:rsid w:val="182D53A1"/>
    <w:rsid w:val="182D6A96"/>
    <w:rsid w:val="182ECE6F"/>
    <w:rsid w:val="182F13A0"/>
    <w:rsid w:val="18314288"/>
    <w:rsid w:val="183223EA"/>
    <w:rsid w:val="183929D0"/>
    <w:rsid w:val="183B011B"/>
    <w:rsid w:val="183D6616"/>
    <w:rsid w:val="183E6155"/>
    <w:rsid w:val="183F7843"/>
    <w:rsid w:val="18417A13"/>
    <w:rsid w:val="18423E54"/>
    <w:rsid w:val="1842D4B5"/>
    <w:rsid w:val="1842FD1C"/>
    <w:rsid w:val="1844889E"/>
    <w:rsid w:val="1844DD9F"/>
    <w:rsid w:val="184E793F"/>
    <w:rsid w:val="184FA5E6"/>
    <w:rsid w:val="18500A75"/>
    <w:rsid w:val="1850EF6F"/>
    <w:rsid w:val="1852796C"/>
    <w:rsid w:val="18532C19"/>
    <w:rsid w:val="1854B75D"/>
    <w:rsid w:val="18562285"/>
    <w:rsid w:val="185637C0"/>
    <w:rsid w:val="1857D84D"/>
    <w:rsid w:val="1859A11A"/>
    <w:rsid w:val="1859CAC1"/>
    <w:rsid w:val="185B5E43"/>
    <w:rsid w:val="185B8C72"/>
    <w:rsid w:val="185C2E13"/>
    <w:rsid w:val="185CF390"/>
    <w:rsid w:val="185DD5C4"/>
    <w:rsid w:val="18610861"/>
    <w:rsid w:val="1861B661"/>
    <w:rsid w:val="18657F72"/>
    <w:rsid w:val="18663E30"/>
    <w:rsid w:val="18689A15"/>
    <w:rsid w:val="18693C29"/>
    <w:rsid w:val="186A8CC7"/>
    <w:rsid w:val="186BBD06"/>
    <w:rsid w:val="186C31EF"/>
    <w:rsid w:val="186C6B05"/>
    <w:rsid w:val="186C6F80"/>
    <w:rsid w:val="186D733F"/>
    <w:rsid w:val="186D7D49"/>
    <w:rsid w:val="186E1E6D"/>
    <w:rsid w:val="186E39D4"/>
    <w:rsid w:val="18706CD4"/>
    <w:rsid w:val="1871218D"/>
    <w:rsid w:val="1871D062"/>
    <w:rsid w:val="187288AC"/>
    <w:rsid w:val="1872DB2F"/>
    <w:rsid w:val="1872F100"/>
    <w:rsid w:val="18741C26"/>
    <w:rsid w:val="1875E615"/>
    <w:rsid w:val="18774944"/>
    <w:rsid w:val="187A9B4C"/>
    <w:rsid w:val="187B0E1D"/>
    <w:rsid w:val="187B2CA2"/>
    <w:rsid w:val="187E305E"/>
    <w:rsid w:val="187E57AB"/>
    <w:rsid w:val="187F1C86"/>
    <w:rsid w:val="1881AA3C"/>
    <w:rsid w:val="1884A95D"/>
    <w:rsid w:val="188605D6"/>
    <w:rsid w:val="18870847"/>
    <w:rsid w:val="18877A6C"/>
    <w:rsid w:val="18886CAB"/>
    <w:rsid w:val="188BBF75"/>
    <w:rsid w:val="188BFBF5"/>
    <w:rsid w:val="188CF964"/>
    <w:rsid w:val="188DB233"/>
    <w:rsid w:val="1890705E"/>
    <w:rsid w:val="1892460D"/>
    <w:rsid w:val="18967A18"/>
    <w:rsid w:val="18981628"/>
    <w:rsid w:val="1898F3E9"/>
    <w:rsid w:val="18991940"/>
    <w:rsid w:val="189CB0D1"/>
    <w:rsid w:val="189E22F4"/>
    <w:rsid w:val="189E4E42"/>
    <w:rsid w:val="189F3B67"/>
    <w:rsid w:val="18A1D624"/>
    <w:rsid w:val="18A28A63"/>
    <w:rsid w:val="18A2A0A3"/>
    <w:rsid w:val="18A2EFA6"/>
    <w:rsid w:val="18A57341"/>
    <w:rsid w:val="18A6C4E4"/>
    <w:rsid w:val="18A72AF3"/>
    <w:rsid w:val="18A7584B"/>
    <w:rsid w:val="18A80ABB"/>
    <w:rsid w:val="18A99D78"/>
    <w:rsid w:val="18AA018C"/>
    <w:rsid w:val="18AAF061"/>
    <w:rsid w:val="18AB6464"/>
    <w:rsid w:val="18AB8D87"/>
    <w:rsid w:val="18AC64BE"/>
    <w:rsid w:val="18AC9B0D"/>
    <w:rsid w:val="18ACE209"/>
    <w:rsid w:val="18AEF369"/>
    <w:rsid w:val="18AF6CAB"/>
    <w:rsid w:val="18B49A75"/>
    <w:rsid w:val="18B62C8A"/>
    <w:rsid w:val="18B64478"/>
    <w:rsid w:val="18B7D048"/>
    <w:rsid w:val="18B84D53"/>
    <w:rsid w:val="18BA4A73"/>
    <w:rsid w:val="18BDFDCB"/>
    <w:rsid w:val="18BEEF36"/>
    <w:rsid w:val="18C1EA00"/>
    <w:rsid w:val="18C30E1B"/>
    <w:rsid w:val="18C41B2F"/>
    <w:rsid w:val="18C68F72"/>
    <w:rsid w:val="18C7B295"/>
    <w:rsid w:val="18C8F951"/>
    <w:rsid w:val="18CBEDDF"/>
    <w:rsid w:val="18CD2C96"/>
    <w:rsid w:val="18CDF681"/>
    <w:rsid w:val="18D2A24E"/>
    <w:rsid w:val="18D2CF75"/>
    <w:rsid w:val="18D2D960"/>
    <w:rsid w:val="18D6A2FE"/>
    <w:rsid w:val="18D8300E"/>
    <w:rsid w:val="18D93D94"/>
    <w:rsid w:val="18DA40F2"/>
    <w:rsid w:val="18DAA01C"/>
    <w:rsid w:val="18DAFA29"/>
    <w:rsid w:val="18DBE6FF"/>
    <w:rsid w:val="18DD4CCB"/>
    <w:rsid w:val="18DE9F2E"/>
    <w:rsid w:val="18DEEFD2"/>
    <w:rsid w:val="18DF4D78"/>
    <w:rsid w:val="18E11F28"/>
    <w:rsid w:val="18E13EB0"/>
    <w:rsid w:val="18E32B94"/>
    <w:rsid w:val="18E5B96E"/>
    <w:rsid w:val="18E6A547"/>
    <w:rsid w:val="18E71B3E"/>
    <w:rsid w:val="18E7975A"/>
    <w:rsid w:val="18E8C52C"/>
    <w:rsid w:val="18F0F4A4"/>
    <w:rsid w:val="18F1AAF0"/>
    <w:rsid w:val="18F2220E"/>
    <w:rsid w:val="18F2273B"/>
    <w:rsid w:val="18F2561D"/>
    <w:rsid w:val="18F2A02B"/>
    <w:rsid w:val="18F39732"/>
    <w:rsid w:val="18F3D261"/>
    <w:rsid w:val="18F5127C"/>
    <w:rsid w:val="18F6D7E3"/>
    <w:rsid w:val="18F854AC"/>
    <w:rsid w:val="18F9E8FD"/>
    <w:rsid w:val="18FA4C94"/>
    <w:rsid w:val="18FDAA0A"/>
    <w:rsid w:val="18FE9C6F"/>
    <w:rsid w:val="18FFFC9F"/>
    <w:rsid w:val="190004C4"/>
    <w:rsid w:val="1901B65A"/>
    <w:rsid w:val="190377C1"/>
    <w:rsid w:val="19058C5A"/>
    <w:rsid w:val="1909E7C1"/>
    <w:rsid w:val="190A65B0"/>
    <w:rsid w:val="190AB6C4"/>
    <w:rsid w:val="190CDFFE"/>
    <w:rsid w:val="190D9A96"/>
    <w:rsid w:val="1913DD32"/>
    <w:rsid w:val="19163237"/>
    <w:rsid w:val="1916FC3C"/>
    <w:rsid w:val="1917525C"/>
    <w:rsid w:val="191886E1"/>
    <w:rsid w:val="1918F6DC"/>
    <w:rsid w:val="191B6E30"/>
    <w:rsid w:val="191F57C5"/>
    <w:rsid w:val="1920AA87"/>
    <w:rsid w:val="19215317"/>
    <w:rsid w:val="1925EC64"/>
    <w:rsid w:val="1926D117"/>
    <w:rsid w:val="192734EB"/>
    <w:rsid w:val="19281388"/>
    <w:rsid w:val="192965B4"/>
    <w:rsid w:val="192A8E47"/>
    <w:rsid w:val="192B7B46"/>
    <w:rsid w:val="1930268F"/>
    <w:rsid w:val="193037EF"/>
    <w:rsid w:val="1933E37A"/>
    <w:rsid w:val="1934E9A4"/>
    <w:rsid w:val="1935A92C"/>
    <w:rsid w:val="1938AA4A"/>
    <w:rsid w:val="193B6E98"/>
    <w:rsid w:val="193F0537"/>
    <w:rsid w:val="193F41AA"/>
    <w:rsid w:val="1941236D"/>
    <w:rsid w:val="194B6597"/>
    <w:rsid w:val="194D01A3"/>
    <w:rsid w:val="194DF0E9"/>
    <w:rsid w:val="194FA0BC"/>
    <w:rsid w:val="194FF091"/>
    <w:rsid w:val="19501434"/>
    <w:rsid w:val="1950A23D"/>
    <w:rsid w:val="19511F97"/>
    <w:rsid w:val="1955B517"/>
    <w:rsid w:val="19568712"/>
    <w:rsid w:val="19595ED2"/>
    <w:rsid w:val="1959F438"/>
    <w:rsid w:val="195A0CDF"/>
    <w:rsid w:val="195BB062"/>
    <w:rsid w:val="195C7D0F"/>
    <w:rsid w:val="195CB0A0"/>
    <w:rsid w:val="195E6A5D"/>
    <w:rsid w:val="19622230"/>
    <w:rsid w:val="196A37D0"/>
    <w:rsid w:val="196AADFB"/>
    <w:rsid w:val="196BF95A"/>
    <w:rsid w:val="196C7DA5"/>
    <w:rsid w:val="19706025"/>
    <w:rsid w:val="1971B9C2"/>
    <w:rsid w:val="19721FD9"/>
    <w:rsid w:val="19724302"/>
    <w:rsid w:val="1973C1C4"/>
    <w:rsid w:val="1973FA6C"/>
    <w:rsid w:val="1979F0BA"/>
    <w:rsid w:val="197A6A53"/>
    <w:rsid w:val="197ACC0C"/>
    <w:rsid w:val="197BB0D6"/>
    <w:rsid w:val="197C269D"/>
    <w:rsid w:val="197D8675"/>
    <w:rsid w:val="197F863F"/>
    <w:rsid w:val="1987737C"/>
    <w:rsid w:val="1987E3AC"/>
    <w:rsid w:val="198A004A"/>
    <w:rsid w:val="198B6161"/>
    <w:rsid w:val="198C0831"/>
    <w:rsid w:val="198C6355"/>
    <w:rsid w:val="198C72F3"/>
    <w:rsid w:val="199358D1"/>
    <w:rsid w:val="1994A028"/>
    <w:rsid w:val="1995503F"/>
    <w:rsid w:val="19960DC9"/>
    <w:rsid w:val="19967D19"/>
    <w:rsid w:val="19970065"/>
    <w:rsid w:val="1997E122"/>
    <w:rsid w:val="19984FCA"/>
    <w:rsid w:val="19986C34"/>
    <w:rsid w:val="199AC8E5"/>
    <w:rsid w:val="199CC8BA"/>
    <w:rsid w:val="199D2001"/>
    <w:rsid w:val="199DAAED"/>
    <w:rsid w:val="199F0077"/>
    <w:rsid w:val="199F8CA0"/>
    <w:rsid w:val="19A13DCE"/>
    <w:rsid w:val="19A14B8F"/>
    <w:rsid w:val="19A172A5"/>
    <w:rsid w:val="19A67B92"/>
    <w:rsid w:val="19A907A7"/>
    <w:rsid w:val="19A99EA1"/>
    <w:rsid w:val="19A9FDE4"/>
    <w:rsid w:val="19B0BFF3"/>
    <w:rsid w:val="19B24671"/>
    <w:rsid w:val="19B2588B"/>
    <w:rsid w:val="19B29F1B"/>
    <w:rsid w:val="19B53B88"/>
    <w:rsid w:val="19B5527F"/>
    <w:rsid w:val="19B5685E"/>
    <w:rsid w:val="19B58194"/>
    <w:rsid w:val="19B5B44B"/>
    <w:rsid w:val="19B7836B"/>
    <w:rsid w:val="19B94F6C"/>
    <w:rsid w:val="19BA8BF3"/>
    <w:rsid w:val="19BF5501"/>
    <w:rsid w:val="19C0F06D"/>
    <w:rsid w:val="19C283DE"/>
    <w:rsid w:val="19C39F59"/>
    <w:rsid w:val="19C4EBBD"/>
    <w:rsid w:val="19C5C6EE"/>
    <w:rsid w:val="19C63683"/>
    <w:rsid w:val="19C73F11"/>
    <w:rsid w:val="19C773CE"/>
    <w:rsid w:val="19C8161B"/>
    <w:rsid w:val="19CA9B89"/>
    <w:rsid w:val="19CB6A84"/>
    <w:rsid w:val="19CBAD54"/>
    <w:rsid w:val="19CC3B5E"/>
    <w:rsid w:val="19D0CA12"/>
    <w:rsid w:val="19D1DCFD"/>
    <w:rsid w:val="19D2F29E"/>
    <w:rsid w:val="19D38217"/>
    <w:rsid w:val="19D6AAD9"/>
    <w:rsid w:val="19D75DE4"/>
    <w:rsid w:val="19D7E322"/>
    <w:rsid w:val="19D85DA8"/>
    <w:rsid w:val="19D87AB3"/>
    <w:rsid w:val="19DAEA30"/>
    <w:rsid w:val="19DEE199"/>
    <w:rsid w:val="19DF3BCC"/>
    <w:rsid w:val="19E3AF6C"/>
    <w:rsid w:val="19E3E973"/>
    <w:rsid w:val="19E876E6"/>
    <w:rsid w:val="19E96E8F"/>
    <w:rsid w:val="19EB570C"/>
    <w:rsid w:val="19EB9C8C"/>
    <w:rsid w:val="19EC1BBF"/>
    <w:rsid w:val="19ED3FFE"/>
    <w:rsid w:val="19ED6B83"/>
    <w:rsid w:val="19EF21C7"/>
    <w:rsid w:val="19F0447E"/>
    <w:rsid w:val="19F147A6"/>
    <w:rsid w:val="19F1FDBC"/>
    <w:rsid w:val="19F496E2"/>
    <w:rsid w:val="19F69D12"/>
    <w:rsid w:val="19F8E742"/>
    <w:rsid w:val="19F8F84E"/>
    <w:rsid w:val="19FA0FF0"/>
    <w:rsid w:val="19FB3384"/>
    <w:rsid w:val="19FDBCCF"/>
    <w:rsid w:val="19FE803C"/>
    <w:rsid w:val="1A00D93C"/>
    <w:rsid w:val="1A00DF50"/>
    <w:rsid w:val="1A01143C"/>
    <w:rsid w:val="1A058E58"/>
    <w:rsid w:val="1A05C9C5"/>
    <w:rsid w:val="1A076AA9"/>
    <w:rsid w:val="1A07E084"/>
    <w:rsid w:val="1A0A6A2C"/>
    <w:rsid w:val="1A0D729A"/>
    <w:rsid w:val="1A0E5E73"/>
    <w:rsid w:val="1A0EDFA8"/>
    <w:rsid w:val="1A113FF2"/>
    <w:rsid w:val="1A12D4F6"/>
    <w:rsid w:val="1A13DEE5"/>
    <w:rsid w:val="1A16C54C"/>
    <w:rsid w:val="1A17A56B"/>
    <w:rsid w:val="1A18886B"/>
    <w:rsid w:val="1A18F8F2"/>
    <w:rsid w:val="1A198DEF"/>
    <w:rsid w:val="1A19A885"/>
    <w:rsid w:val="1A1A482E"/>
    <w:rsid w:val="1A1B2841"/>
    <w:rsid w:val="1A1B5F25"/>
    <w:rsid w:val="1A1CA472"/>
    <w:rsid w:val="1A1E2CF9"/>
    <w:rsid w:val="1A1E824F"/>
    <w:rsid w:val="1A210DA4"/>
    <w:rsid w:val="1A212F30"/>
    <w:rsid w:val="1A22DCD3"/>
    <w:rsid w:val="1A23D50C"/>
    <w:rsid w:val="1A23E626"/>
    <w:rsid w:val="1A27976D"/>
    <w:rsid w:val="1A295C73"/>
    <w:rsid w:val="1A2A3BDD"/>
    <w:rsid w:val="1A2A624C"/>
    <w:rsid w:val="1A2ACA27"/>
    <w:rsid w:val="1A2C1698"/>
    <w:rsid w:val="1A2C8696"/>
    <w:rsid w:val="1A2E84C6"/>
    <w:rsid w:val="1A2E86E5"/>
    <w:rsid w:val="1A3043CE"/>
    <w:rsid w:val="1A30A777"/>
    <w:rsid w:val="1A321B29"/>
    <w:rsid w:val="1A326A87"/>
    <w:rsid w:val="1A34A0EA"/>
    <w:rsid w:val="1A377769"/>
    <w:rsid w:val="1A37C1FD"/>
    <w:rsid w:val="1A385C2F"/>
    <w:rsid w:val="1A3B1159"/>
    <w:rsid w:val="1A3B1C5A"/>
    <w:rsid w:val="1A3C293B"/>
    <w:rsid w:val="1A3D499D"/>
    <w:rsid w:val="1A3D5616"/>
    <w:rsid w:val="1A3DB3D6"/>
    <w:rsid w:val="1A3DDAC2"/>
    <w:rsid w:val="1A3EA518"/>
    <w:rsid w:val="1A3EE375"/>
    <w:rsid w:val="1A3FD4B0"/>
    <w:rsid w:val="1A437538"/>
    <w:rsid w:val="1A442518"/>
    <w:rsid w:val="1A457ABA"/>
    <w:rsid w:val="1A46BF47"/>
    <w:rsid w:val="1A4736B2"/>
    <w:rsid w:val="1A474E1A"/>
    <w:rsid w:val="1A47E527"/>
    <w:rsid w:val="1A486586"/>
    <w:rsid w:val="1A486C6D"/>
    <w:rsid w:val="1A496CEE"/>
    <w:rsid w:val="1A4CD4F3"/>
    <w:rsid w:val="1A4CFD63"/>
    <w:rsid w:val="1A500C06"/>
    <w:rsid w:val="1A515B45"/>
    <w:rsid w:val="1A52878E"/>
    <w:rsid w:val="1A52D1E7"/>
    <w:rsid w:val="1A56E053"/>
    <w:rsid w:val="1A5779C9"/>
    <w:rsid w:val="1A5A000A"/>
    <w:rsid w:val="1A5A3A5F"/>
    <w:rsid w:val="1A5AA4BF"/>
    <w:rsid w:val="1A5BE7E2"/>
    <w:rsid w:val="1A5BFCAB"/>
    <w:rsid w:val="1A5C18E2"/>
    <w:rsid w:val="1A5E2253"/>
    <w:rsid w:val="1A602670"/>
    <w:rsid w:val="1A60A4F4"/>
    <w:rsid w:val="1A66D95E"/>
    <w:rsid w:val="1A6D2913"/>
    <w:rsid w:val="1A6DE20D"/>
    <w:rsid w:val="1A6F0A36"/>
    <w:rsid w:val="1A6F90C1"/>
    <w:rsid w:val="1A6FE403"/>
    <w:rsid w:val="1A70D521"/>
    <w:rsid w:val="1A725A24"/>
    <w:rsid w:val="1A727B45"/>
    <w:rsid w:val="1A73F69A"/>
    <w:rsid w:val="1A741326"/>
    <w:rsid w:val="1A788625"/>
    <w:rsid w:val="1A799C84"/>
    <w:rsid w:val="1A7A5787"/>
    <w:rsid w:val="1A7D3CBC"/>
    <w:rsid w:val="1A7D7517"/>
    <w:rsid w:val="1A7F0901"/>
    <w:rsid w:val="1A81CC50"/>
    <w:rsid w:val="1A84AC80"/>
    <w:rsid w:val="1A854BE3"/>
    <w:rsid w:val="1A856ADF"/>
    <w:rsid w:val="1A85AADF"/>
    <w:rsid w:val="1A872FD7"/>
    <w:rsid w:val="1A88987B"/>
    <w:rsid w:val="1A89A5AE"/>
    <w:rsid w:val="1A8C3A68"/>
    <w:rsid w:val="1A8FACB8"/>
    <w:rsid w:val="1A936674"/>
    <w:rsid w:val="1A941EA9"/>
    <w:rsid w:val="1A97DAB3"/>
    <w:rsid w:val="1A9C164C"/>
    <w:rsid w:val="1A9E3B65"/>
    <w:rsid w:val="1A9E9F74"/>
    <w:rsid w:val="1A9FD564"/>
    <w:rsid w:val="1AA0D417"/>
    <w:rsid w:val="1AA13990"/>
    <w:rsid w:val="1AA16C67"/>
    <w:rsid w:val="1AA20FD3"/>
    <w:rsid w:val="1AA7FD62"/>
    <w:rsid w:val="1AA828E4"/>
    <w:rsid w:val="1AA9D385"/>
    <w:rsid w:val="1AAAA689"/>
    <w:rsid w:val="1AACA559"/>
    <w:rsid w:val="1AADF1D7"/>
    <w:rsid w:val="1AB4437B"/>
    <w:rsid w:val="1AB556A5"/>
    <w:rsid w:val="1AB5C603"/>
    <w:rsid w:val="1ABA68E8"/>
    <w:rsid w:val="1ABA90B4"/>
    <w:rsid w:val="1ABAF172"/>
    <w:rsid w:val="1ABC5335"/>
    <w:rsid w:val="1ABD8947"/>
    <w:rsid w:val="1ABD9692"/>
    <w:rsid w:val="1ABDF4BE"/>
    <w:rsid w:val="1ABE8DA4"/>
    <w:rsid w:val="1AC40EC9"/>
    <w:rsid w:val="1AC61427"/>
    <w:rsid w:val="1AC67AA8"/>
    <w:rsid w:val="1AC7FB05"/>
    <w:rsid w:val="1AC934C7"/>
    <w:rsid w:val="1ACAB6CC"/>
    <w:rsid w:val="1ACC8CCF"/>
    <w:rsid w:val="1ACF3883"/>
    <w:rsid w:val="1AD068A3"/>
    <w:rsid w:val="1AD66487"/>
    <w:rsid w:val="1AD7E51A"/>
    <w:rsid w:val="1AD8D735"/>
    <w:rsid w:val="1AD9416F"/>
    <w:rsid w:val="1AD9C069"/>
    <w:rsid w:val="1ADAA676"/>
    <w:rsid w:val="1ADC939B"/>
    <w:rsid w:val="1ADD9663"/>
    <w:rsid w:val="1ADF5AEB"/>
    <w:rsid w:val="1ADFC45C"/>
    <w:rsid w:val="1AE100ED"/>
    <w:rsid w:val="1AE181BB"/>
    <w:rsid w:val="1AE22FBC"/>
    <w:rsid w:val="1AE4F9C5"/>
    <w:rsid w:val="1AE6B545"/>
    <w:rsid w:val="1AE6F6CC"/>
    <w:rsid w:val="1AE8AF27"/>
    <w:rsid w:val="1AEA3DF9"/>
    <w:rsid w:val="1AEBEBBC"/>
    <w:rsid w:val="1AECD444"/>
    <w:rsid w:val="1AECFA26"/>
    <w:rsid w:val="1AEFCFC6"/>
    <w:rsid w:val="1AF0AC93"/>
    <w:rsid w:val="1AF4C508"/>
    <w:rsid w:val="1AF7F72C"/>
    <w:rsid w:val="1AFA6FCB"/>
    <w:rsid w:val="1AFA95B5"/>
    <w:rsid w:val="1AFB8BA3"/>
    <w:rsid w:val="1AFC39B8"/>
    <w:rsid w:val="1AFD8566"/>
    <w:rsid w:val="1AFE3C3A"/>
    <w:rsid w:val="1AFE9390"/>
    <w:rsid w:val="1B004A25"/>
    <w:rsid w:val="1B00BC2F"/>
    <w:rsid w:val="1B00CF3E"/>
    <w:rsid w:val="1B06F62A"/>
    <w:rsid w:val="1B076E38"/>
    <w:rsid w:val="1B092825"/>
    <w:rsid w:val="1B0D75E5"/>
    <w:rsid w:val="1B0DE8AD"/>
    <w:rsid w:val="1B0EAB7E"/>
    <w:rsid w:val="1B100D9C"/>
    <w:rsid w:val="1B11BDA9"/>
    <w:rsid w:val="1B156868"/>
    <w:rsid w:val="1B1A89BD"/>
    <w:rsid w:val="1B1B10B8"/>
    <w:rsid w:val="1B1B56B7"/>
    <w:rsid w:val="1B1C2DB0"/>
    <w:rsid w:val="1B1D6252"/>
    <w:rsid w:val="1B1DA08E"/>
    <w:rsid w:val="1B1DBA7A"/>
    <w:rsid w:val="1B1FB278"/>
    <w:rsid w:val="1B2048C5"/>
    <w:rsid w:val="1B219BE7"/>
    <w:rsid w:val="1B21FB84"/>
    <w:rsid w:val="1B22921D"/>
    <w:rsid w:val="1B25F730"/>
    <w:rsid w:val="1B299888"/>
    <w:rsid w:val="1B2BEEC2"/>
    <w:rsid w:val="1B333D27"/>
    <w:rsid w:val="1B336E5F"/>
    <w:rsid w:val="1B373DBA"/>
    <w:rsid w:val="1B374C58"/>
    <w:rsid w:val="1B3793BD"/>
    <w:rsid w:val="1B37AB21"/>
    <w:rsid w:val="1B39AA82"/>
    <w:rsid w:val="1B39B092"/>
    <w:rsid w:val="1B3B1996"/>
    <w:rsid w:val="1B3BBD46"/>
    <w:rsid w:val="1B3BF9F9"/>
    <w:rsid w:val="1B3C06B8"/>
    <w:rsid w:val="1B3C4B75"/>
    <w:rsid w:val="1B3E754D"/>
    <w:rsid w:val="1B3EEA48"/>
    <w:rsid w:val="1B40038C"/>
    <w:rsid w:val="1B402937"/>
    <w:rsid w:val="1B423AE8"/>
    <w:rsid w:val="1B43DF0C"/>
    <w:rsid w:val="1B43EE91"/>
    <w:rsid w:val="1B454C98"/>
    <w:rsid w:val="1B459DE3"/>
    <w:rsid w:val="1B46826B"/>
    <w:rsid w:val="1B46F35E"/>
    <w:rsid w:val="1B473993"/>
    <w:rsid w:val="1B48C3AC"/>
    <w:rsid w:val="1B4C3582"/>
    <w:rsid w:val="1B4D912C"/>
    <w:rsid w:val="1B4E0E6E"/>
    <w:rsid w:val="1B4EFE06"/>
    <w:rsid w:val="1B50BA73"/>
    <w:rsid w:val="1B52CFDE"/>
    <w:rsid w:val="1B537311"/>
    <w:rsid w:val="1B54C40A"/>
    <w:rsid w:val="1B556442"/>
    <w:rsid w:val="1B55EB19"/>
    <w:rsid w:val="1B56F73B"/>
    <w:rsid w:val="1B57B6F2"/>
    <w:rsid w:val="1B59BF75"/>
    <w:rsid w:val="1B59D906"/>
    <w:rsid w:val="1B5B43AF"/>
    <w:rsid w:val="1B5B98E8"/>
    <w:rsid w:val="1B5BFE90"/>
    <w:rsid w:val="1B5CB171"/>
    <w:rsid w:val="1B5D0697"/>
    <w:rsid w:val="1B5F6581"/>
    <w:rsid w:val="1B601B77"/>
    <w:rsid w:val="1B60CEBE"/>
    <w:rsid w:val="1B636B5C"/>
    <w:rsid w:val="1B63D7AA"/>
    <w:rsid w:val="1B651883"/>
    <w:rsid w:val="1B67239B"/>
    <w:rsid w:val="1B6881E5"/>
    <w:rsid w:val="1B69E445"/>
    <w:rsid w:val="1B6A0434"/>
    <w:rsid w:val="1B6AA435"/>
    <w:rsid w:val="1B6CE815"/>
    <w:rsid w:val="1B6D5978"/>
    <w:rsid w:val="1B6ECDAB"/>
    <w:rsid w:val="1B6F1CC8"/>
    <w:rsid w:val="1B6FD945"/>
    <w:rsid w:val="1B6FE6B9"/>
    <w:rsid w:val="1B72E393"/>
    <w:rsid w:val="1B77EA45"/>
    <w:rsid w:val="1B797CD6"/>
    <w:rsid w:val="1B7A7CB7"/>
    <w:rsid w:val="1B7BDFB4"/>
    <w:rsid w:val="1B7C44EF"/>
    <w:rsid w:val="1B7D1802"/>
    <w:rsid w:val="1B7D6C7A"/>
    <w:rsid w:val="1B7F60D6"/>
    <w:rsid w:val="1B8027BC"/>
    <w:rsid w:val="1B804468"/>
    <w:rsid w:val="1B809F7E"/>
    <w:rsid w:val="1B845AA7"/>
    <w:rsid w:val="1B860959"/>
    <w:rsid w:val="1B86178F"/>
    <w:rsid w:val="1B86C800"/>
    <w:rsid w:val="1B89A557"/>
    <w:rsid w:val="1B8A07DB"/>
    <w:rsid w:val="1B8AC082"/>
    <w:rsid w:val="1B8D189F"/>
    <w:rsid w:val="1B8F778C"/>
    <w:rsid w:val="1B8FF8BE"/>
    <w:rsid w:val="1B9009D7"/>
    <w:rsid w:val="1B919A49"/>
    <w:rsid w:val="1B922D3B"/>
    <w:rsid w:val="1B935008"/>
    <w:rsid w:val="1B972215"/>
    <w:rsid w:val="1B98C976"/>
    <w:rsid w:val="1B98DAD2"/>
    <w:rsid w:val="1B9A12E3"/>
    <w:rsid w:val="1B9E0105"/>
    <w:rsid w:val="1B9F84AA"/>
    <w:rsid w:val="1B9FB577"/>
    <w:rsid w:val="1B9FC0A8"/>
    <w:rsid w:val="1BA2258F"/>
    <w:rsid w:val="1BA38B2C"/>
    <w:rsid w:val="1BA60F71"/>
    <w:rsid w:val="1BA645CF"/>
    <w:rsid w:val="1BA751E5"/>
    <w:rsid w:val="1BA7D880"/>
    <w:rsid w:val="1BA8264A"/>
    <w:rsid w:val="1BAA67F0"/>
    <w:rsid w:val="1BAB548A"/>
    <w:rsid w:val="1BAB66AC"/>
    <w:rsid w:val="1BAD9793"/>
    <w:rsid w:val="1BADD0DF"/>
    <w:rsid w:val="1BADF875"/>
    <w:rsid w:val="1BAF8779"/>
    <w:rsid w:val="1BAFEC00"/>
    <w:rsid w:val="1BAFEC1A"/>
    <w:rsid w:val="1BB24D67"/>
    <w:rsid w:val="1BB25F77"/>
    <w:rsid w:val="1BB29B51"/>
    <w:rsid w:val="1BB6AB40"/>
    <w:rsid w:val="1BB74E88"/>
    <w:rsid w:val="1BB8B2A5"/>
    <w:rsid w:val="1BB8D530"/>
    <w:rsid w:val="1BBAF844"/>
    <w:rsid w:val="1BBB0D08"/>
    <w:rsid w:val="1BBB79AD"/>
    <w:rsid w:val="1BBF12D8"/>
    <w:rsid w:val="1BBFF967"/>
    <w:rsid w:val="1BC2234F"/>
    <w:rsid w:val="1BC297D8"/>
    <w:rsid w:val="1BC3C42E"/>
    <w:rsid w:val="1BC44935"/>
    <w:rsid w:val="1BC50B9E"/>
    <w:rsid w:val="1BC59233"/>
    <w:rsid w:val="1BC66B4F"/>
    <w:rsid w:val="1BCA8C1E"/>
    <w:rsid w:val="1BCAC822"/>
    <w:rsid w:val="1BCBB416"/>
    <w:rsid w:val="1BCC6BAF"/>
    <w:rsid w:val="1BCEF705"/>
    <w:rsid w:val="1BCFC03F"/>
    <w:rsid w:val="1BCFCB96"/>
    <w:rsid w:val="1BD11232"/>
    <w:rsid w:val="1BD1D02D"/>
    <w:rsid w:val="1BD1FB44"/>
    <w:rsid w:val="1BD339B0"/>
    <w:rsid w:val="1BD38B36"/>
    <w:rsid w:val="1BD39F8A"/>
    <w:rsid w:val="1BD3B2C2"/>
    <w:rsid w:val="1BD3E684"/>
    <w:rsid w:val="1BD4BA81"/>
    <w:rsid w:val="1BD690F3"/>
    <w:rsid w:val="1BD858EB"/>
    <w:rsid w:val="1BDA54E7"/>
    <w:rsid w:val="1BDAF247"/>
    <w:rsid w:val="1BDB15FF"/>
    <w:rsid w:val="1BDC5F00"/>
    <w:rsid w:val="1BDCDB4B"/>
    <w:rsid w:val="1BDF5D00"/>
    <w:rsid w:val="1BE2B055"/>
    <w:rsid w:val="1BE67C3F"/>
    <w:rsid w:val="1BE8ADFB"/>
    <w:rsid w:val="1BEA3E70"/>
    <w:rsid w:val="1BEB218C"/>
    <w:rsid w:val="1BEBE320"/>
    <w:rsid w:val="1BED2DC8"/>
    <w:rsid w:val="1BEDCDCE"/>
    <w:rsid w:val="1BEF1B14"/>
    <w:rsid w:val="1BF0382A"/>
    <w:rsid w:val="1BF25BDF"/>
    <w:rsid w:val="1BF2D77C"/>
    <w:rsid w:val="1BF30D29"/>
    <w:rsid w:val="1BF3D7D7"/>
    <w:rsid w:val="1BF41A55"/>
    <w:rsid w:val="1BF5493C"/>
    <w:rsid w:val="1BF675C8"/>
    <w:rsid w:val="1BF9C00F"/>
    <w:rsid w:val="1BF9C9E8"/>
    <w:rsid w:val="1BFC0E83"/>
    <w:rsid w:val="1BFC519E"/>
    <w:rsid w:val="1BFCD7DF"/>
    <w:rsid w:val="1BFDFE14"/>
    <w:rsid w:val="1BFE936B"/>
    <w:rsid w:val="1C00459A"/>
    <w:rsid w:val="1C00FFC3"/>
    <w:rsid w:val="1C02456A"/>
    <w:rsid w:val="1C038D7C"/>
    <w:rsid w:val="1C06BBD6"/>
    <w:rsid w:val="1C078DD0"/>
    <w:rsid w:val="1C091661"/>
    <w:rsid w:val="1C0AB361"/>
    <w:rsid w:val="1C0B22EB"/>
    <w:rsid w:val="1C0BB2F5"/>
    <w:rsid w:val="1C0BEA0D"/>
    <w:rsid w:val="1C107701"/>
    <w:rsid w:val="1C1255B4"/>
    <w:rsid w:val="1C151528"/>
    <w:rsid w:val="1C1596DB"/>
    <w:rsid w:val="1C189278"/>
    <w:rsid w:val="1C18A6E1"/>
    <w:rsid w:val="1C190CCF"/>
    <w:rsid w:val="1C198A02"/>
    <w:rsid w:val="1C1C36D2"/>
    <w:rsid w:val="1C1D350F"/>
    <w:rsid w:val="1C1F5345"/>
    <w:rsid w:val="1C1F7F9F"/>
    <w:rsid w:val="1C1FE621"/>
    <w:rsid w:val="1C20C4FC"/>
    <w:rsid w:val="1C21E253"/>
    <w:rsid w:val="1C242925"/>
    <w:rsid w:val="1C2567AA"/>
    <w:rsid w:val="1C2AED79"/>
    <w:rsid w:val="1C2CCA2F"/>
    <w:rsid w:val="1C2EABD2"/>
    <w:rsid w:val="1C2EADD7"/>
    <w:rsid w:val="1C316B22"/>
    <w:rsid w:val="1C325B5A"/>
    <w:rsid w:val="1C32FBA7"/>
    <w:rsid w:val="1C3412CA"/>
    <w:rsid w:val="1C3485EA"/>
    <w:rsid w:val="1C3550F1"/>
    <w:rsid w:val="1C358851"/>
    <w:rsid w:val="1C364CB4"/>
    <w:rsid w:val="1C37B9CC"/>
    <w:rsid w:val="1C39F847"/>
    <w:rsid w:val="1C3E2956"/>
    <w:rsid w:val="1C41E7D3"/>
    <w:rsid w:val="1C424C9B"/>
    <w:rsid w:val="1C430F0E"/>
    <w:rsid w:val="1C43431D"/>
    <w:rsid w:val="1C4427C8"/>
    <w:rsid w:val="1C455D35"/>
    <w:rsid w:val="1C476EDB"/>
    <w:rsid w:val="1C47BD44"/>
    <w:rsid w:val="1C4ABDE4"/>
    <w:rsid w:val="1C4C12FF"/>
    <w:rsid w:val="1C52A84A"/>
    <w:rsid w:val="1C535535"/>
    <w:rsid w:val="1C53CA93"/>
    <w:rsid w:val="1C5462BB"/>
    <w:rsid w:val="1C56CBB8"/>
    <w:rsid w:val="1C58BDC4"/>
    <w:rsid w:val="1C58D146"/>
    <w:rsid w:val="1C5C47DE"/>
    <w:rsid w:val="1C5FCF18"/>
    <w:rsid w:val="1C602462"/>
    <w:rsid w:val="1C64F8C1"/>
    <w:rsid w:val="1C6528D0"/>
    <w:rsid w:val="1C669EB8"/>
    <w:rsid w:val="1C672769"/>
    <w:rsid w:val="1C693901"/>
    <w:rsid w:val="1C6A7520"/>
    <w:rsid w:val="1C6D7BE2"/>
    <w:rsid w:val="1C70BD28"/>
    <w:rsid w:val="1C710A95"/>
    <w:rsid w:val="1C71F427"/>
    <w:rsid w:val="1C72DA15"/>
    <w:rsid w:val="1C746D40"/>
    <w:rsid w:val="1C777127"/>
    <w:rsid w:val="1C781506"/>
    <w:rsid w:val="1C787447"/>
    <w:rsid w:val="1C7B7597"/>
    <w:rsid w:val="1C7FC813"/>
    <w:rsid w:val="1C809180"/>
    <w:rsid w:val="1C81532C"/>
    <w:rsid w:val="1C82444E"/>
    <w:rsid w:val="1C8379B6"/>
    <w:rsid w:val="1C878128"/>
    <w:rsid w:val="1C88F5AD"/>
    <w:rsid w:val="1C8B5E9F"/>
    <w:rsid w:val="1C8D2A4E"/>
    <w:rsid w:val="1C8D871E"/>
    <w:rsid w:val="1C8F79ED"/>
    <w:rsid w:val="1C90661E"/>
    <w:rsid w:val="1C91A679"/>
    <w:rsid w:val="1C92EB07"/>
    <w:rsid w:val="1C944809"/>
    <w:rsid w:val="1C95DFA0"/>
    <w:rsid w:val="1C95E323"/>
    <w:rsid w:val="1C9683EA"/>
    <w:rsid w:val="1C97B4DE"/>
    <w:rsid w:val="1C9A625B"/>
    <w:rsid w:val="1C9B0A94"/>
    <w:rsid w:val="1C9B7331"/>
    <w:rsid w:val="1C9BEB40"/>
    <w:rsid w:val="1C9CCB47"/>
    <w:rsid w:val="1C9DC7C5"/>
    <w:rsid w:val="1C9E008F"/>
    <w:rsid w:val="1C9EC58E"/>
    <w:rsid w:val="1CA00A57"/>
    <w:rsid w:val="1CA02F10"/>
    <w:rsid w:val="1CA184BF"/>
    <w:rsid w:val="1CA32770"/>
    <w:rsid w:val="1CA4C123"/>
    <w:rsid w:val="1CA74462"/>
    <w:rsid w:val="1CA8635F"/>
    <w:rsid w:val="1CAA331C"/>
    <w:rsid w:val="1CAAACE4"/>
    <w:rsid w:val="1CAB640A"/>
    <w:rsid w:val="1CABD954"/>
    <w:rsid w:val="1CAC304E"/>
    <w:rsid w:val="1CAFD1FA"/>
    <w:rsid w:val="1CB1A85B"/>
    <w:rsid w:val="1CB3F412"/>
    <w:rsid w:val="1CB6DE3B"/>
    <w:rsid w:val="1CB73858"/>
    <w:rsid w:val="1CB83D34"/>
    <w:rsid w:val="1CB8BAAC"/>
    <w:rsid w:val="1CB939CD"/>
    <w:rsid w:val="1CB9F96E"/>
    <w:rsid w:val="1CBB39CC"/>
    <w:rsid w:val="1CBCE555"/>
    <w:rsid w:val="1CBD9162"/>
    <w:rsid w:val="1CBEC488"/>
    <w:rsid w:val="1CBED0ED"/>
    <w:rsid w:val="1CBFF08C"/>
    <w:rsid w:val="1CC0715E"/>
    <w:rsid w:val="1CC387B6"/>
    <w:rsid w:val="1CC45607"/>
    <w:rsid w:val="1CC477CA"/>
    <w:rsid w:val="1CC4CD37"/>
    <w:rsid w:val="1CC5A854"/>
    <w:rsid w:val="1CC67E7B"/>
    <w:rsid w:val="1CC803BD"/>
    <w:rsid w:val="1CC8775C"/>
    <w:rsid w:val="1CC98EBC"/>
    <w:rsid w:val="1CC9F185"/>
    <w:rsid w:val="1CCB2940"/>
    <w:rsid w:val="1CCB5F6C"/>
    <w:rsid w:val="1CCC7978"/>
    <w:rsid w:val="1CCE2A82"/>
    <w:rsid w:val="1CD1205B"/>
    <w:rsid w:val="1CD33608"/>
    <w:rsid w:val="1CD62D9E"/>
    <w:rsid w:val="1CD6E3AA"/>
    <w:rsid w:val="1CD80C16"/>
    <w:rsid w:val="1CDA365C"/>
    <w:rsid w:val="1CDB8152"/>
    <w:rsid w:val="1CDD0939"/>
    <w:rsid w:val="1CDD9F1A"/>
    <w:rsid w:val="1CDDA0A0"/>
    <w:rsid w:val="1CDDB4E8"/>
    <w:rsid w:val="1CE2EC16"/>
    <w:rsid w:val="1CE5E2BB"/>
    <w:rsid w:val="1CE66433"/>
    <w:rsid w:val="1CE76F01"/>
    <w:rsid w:val="1CE8E721"/>
    <w:rsid w:val="1CEC5442"/>
    <w:rsid w:val="1CECB07E"/>
    <w:rsid w:val="1CEDCBC0"/>
    <w:rsid w:val="1CF1FEB7"/>
    <w:rsid w:val="1CF36077"/>
    <w:rsid w:val="1CF4F824"/>
    <w:rsid w:val="1CF73483"/>
    <w:rsid w:val="1CF7CC73"/>
    <w:rsid w:val="1CFAFF6E"/>
    <w:rsid w:val="1CFC909F"/>
    <w:rsid w:val="1CFD87A5"/>
    <w:rsid w:val="1CFE0058"/>
    <w:rsid w:val="1CFFCD72"/>
    <w:rsid w:val="1D00EBFF"/>
    <w:rsid w:val="1D00EDE8"/>
    <w:rsid w:val="1D022848"/>
    <w:rsid w:val="1D02F73B"/>
    <w:rsid w:val="1D034627"/>
    <w:rsid w:val="1D094D15"/>
    <w:rsid w:val="1D0BF65A"/>
    <w:rsid w:val="1D0C95C8"/>
    <w:rsid w:val="1D0DCDC7"/>
    <w:rsid w:val="1D0E7847"/>
    <w:rsid w:val="1D0FD919"/>
    <w:rsid w:val="1D10E78F"/>
    <w:rsid w:val="1D11275B"/>
    <w:rsid w:val="1D1361E5"/>
    <w:rsid w:val="1D16AD94"/>
    <w:rsid w:val="1D174FD6"/>
    <w:rsid w:val="1D1974DE"/>
    <w:rsid w:val="1D19BE64"/>
    <w:rsid w:val="1D1A61B3"/>
    <w:rsid w:val="1D1B5AC1"/>
    <w:rsid w:val="1D1BB679"/>
    <w:rsid w:val="1D1BC378"/>
    <w:rsid w:val="1D1BCA0B"/>
    <w:rsid w:val="1D1BD232"/>
    <w:rsid w:val="1D1E4540"/>
    <w:rsid w:val="1D2162F8"/>
    <w:rsid w:val="1D24CDE2"/>
    <w:rsid w:val="1D24D823"/>
    <w:rsid w:val="1D255DDF"/>
    <w:rsid w:val="1D285570"/>
    <w:rsid w:val="1D2A300B"/>
    <w:rsid w:val="1D2A8E5C"/>
    <w:rsid w:val="1D30A7BD"/>
    <w:rsid w:val="1D30DF51"/>
    <w:rsid w:val="1D32CFB7"/>
    <w:rsid w:val="1D33B76A"/>
    <w:rsid w:val="1D352614"/>
    <w:rsid w:val="1D3537E1"/>
    <w:rsid w:val="1D38B405"/>
    <w:rsid w:val="1D3ACBD1"/>
    <w:rsid w:val="1D3ACEE8"/>
    <w:rsid w:val="1D3B005C"/>
    <w:rsid w:val="1D3B217A"/>
    <w:rsid w:val="1D3F3914"/>
    <w:rsid w:val="1D3F61C5"/>
    <w:rsid w:val="1D402CDD"/>
    <w:rsid w:val="1D42FF0F"/>
    <w:rsid w:val="1D442EA9"/>
    <w:rsid w:val="1D451767"/>
    <w:rsid w:val="1D462812"/>
    <w:rsid w:val="1D4997DF"/>
    <w:rsid w:val="1D4AB0E3"/>
    <w:rsid w:val="1D4B6444"/>
    <w:rsid w:val="1D503AC9"/>
    <w:rsid w:val="1D5092FA"/>
    <w:rsid w:val="1D5120C4"/>
    <w:rsid w:val="1D523B28"/>
    <w:rsid w:val="1D537B4F"/>
    <w:rsid w:val="1D550DBB"/>
    <w:rsid w:val="1D5530B8"/>
    <w:rsid w:val="1D5617C7"/>
    <w:rsid w:val="1D563484"/>
    <w:rsid w:val="1D56A4C0"/>
    <w:rsid w:val="1D5805F6"/>
    <w:rsid w:val="1D598456"/>
    <w:rsid w:val="1D5D7A30"/>
    <w:rsid w:val="1D615B78"/>
    <w:rsid w:val="1D61DE98"/>
    <w:rsid w:val="1D623818"/>
    <w:rsid w:val="1D62958F"/>
    <w:rsid w:val="1D631531"/>
    <w:rsid w:val="1D654103"/>
    <w:rsid w:val="1D666265"/>
    <w:rsid w:val="1D678D8D"/>
    <w:rsid w:val="1D69FD57"/>
    <w:rsid w:val="1D6EAEEA"/>
    <w:rsid w:val="1D6F99EB"/>
    <w:rsid w:val="1D7110CF"/>
    <w:rsid w:val="1D78F938"/>
    <w:rsid w:val="1D7A4352"/>
    <w:rsid w:val="1D7B4DD4"/>
    <w:rsid w:val="1D7BD589"/>
    <w:rsid w:val="1D7D6F03"/>
    <w:rsid w:val="1D7DA7DB"/>
    <w:rsid w:val="1D801823"/>
    <w:rsid w:val="1D807C39"/>
    <w:rsid w:val="1D8094D1"/>
    <w:rsid w:val="1D80CD4F"/>
    <w:rsid w:val="1D814742"/>
    <w:rsid w:val="1D81BAE0"/>
    <w:rsid w:val="1D81F949"/>
    <w:rsid w:val="1D83364C"/>
    <w:rsid w:val="1D84DC67"/>
    <w:rsid w:val="1D8A54F5"/>
    <w:rsid w:val="1D939BF7"/>
    <w:rsid w:val="1D943A0E"/>
    <w:rsid w:val="1D96266D"/>
    <w:rsid w:val="1D972AB3"/>
    <w:rsid w:val="1D981ADC"/>
    <w:rsid w:val="1D9879C8"/>
    <w:rsid w:val="1D99D7D6"/>
    <w:rsid w:val="1D9B8A32"/>
    <w:rsid w:val="1D9C2B13"/>
    <w:rsid w:val="1D9D5782"/>
    <w:rsid w:val="1D9E7BAF"/>
    <w:rsid w:val="1DA068BB"/>
    <w:rsid w:val="1DA295A7"/>
    <w:rsid w:val="1DA561CB"/>
    <w:rsid w:val="1DA6220D"/>
    <w:rsid w:val="1DA656BA"/>
    <w:rsid w:val="1DA7105E"/>
    <w:rsid w:val="1DA9F265"/>
    <w:rsid w:val="1DAD6BFD"/>
    <w:rsid w:val="1DAE7A58"/>
    <w:rsid w:val="1DAF1353"/>
    <w:rsid w:val="1DB27C81"/>
    <w:rsid w:val="1DB53FF4"/>
    <w:rsid w:val="1DB702F3"/>
    <w:rsid w:val="1DB9BEC2"/>
    <w:rsid w:val="1DBCF6A4"/>
    <w:rsid w:val="1DBD8D2F"/>
    <w:rsid w:val="1DBE5F25"/>
    <w:rsid w:val="1DC0F932"/>
    <w:rsid w:val="1DC1AA3F"/>
    <w:rsid w:val="1DC41B06"/>
    <w:rsid w:val="1DC49D80"/>
    <w:rsid w:val="1DC836B9"/>
    <w:rsid w:val="1DC94826"/>
    <w:rsid w:val="1DCA3579"/>
    <w:rsid w:val="1DCABE57"/>
    <w:rsid w:val="1DCD996B"/>
    <w:rsid w:val="1DCDF5F0"/>
    <w:rsid w:val="1DD1FD22"/>
    <w:rsid w:val="1DD3ACEE"/>
    <w:rsid w:val="1DD4C6F9"/>
    <w:rsid w:val="1DD4E99D"/>
    <w:rsid w:val="1DD67F16"/>
    <w:rsid w:val="1DD6A9A4"/>
    <w:rsid w:val="1DD91F2D"/>
    <w:rsid w:val="1DDC2323"/>
    <w:rsid w:val="1DDD5DCD"/>
    <w:rsid w:val="1DDDC447"/>
    <w:rsid w:val="1DE0F0A1"/>
    <w:rsid w:val="1DE23E61"/>
    <w:rsid w:val="1DE41FBF"/>
    <w:rsid w:val="1DE4914B"/>
    <w:rsid w:val="1DE64DEA"/>
    <w:rsid w:val="1DE93424"/>
    <w:rsid w:val="1DEAD58E"/>
    <w:rsid w:val="1DEB9BBB"/>
    <w:rsid w:val="1DEC6807"/>
    <w:rsid w:val="1DEC9424"/>
    <w:rsid w:val="1DECF9D6"/>
    <w:rsid w:val="1DEEEDE1"/>
    <w:rsid w:val="1DF06E15"/>
    <w:rsid w:val="1DF09DCB"/>
    <w:rsid w:val="1DF15E18"/>
    <w:rsid w:val="1DF44BA6"/>
    <w:rsid w:val="1DFA6C9D"/>
    <w:rsid w:val="1DFAC239"/>
    <w:rsid w:val="1DFC7256"/>
    <w:rsid w:val="1DFD06EB"/>
    <w:rsid w:val="1DFFEFA4"/>
    <w:rsid w:val="1E009FB1"/>
    <w:rsid w:val="1E013E03"/>
    <w:rsid w:val="1E022ABD"/>
    <w:rsid w:val="1E024B51"/>
    <w:rsid w:val="1E0251E5"/>
    <w:rsid w:val="1E0353B9"/>
    <w:rsid w:val="1E0602EA"/>
    <w:rsid w:val="1E083F44"/>
    <w:rsid w:val="1E0C36F4"/>
    <w:rsid w:val="1E0C6D39"/>
    <w:rsid w:val="1E0E9985"/>
    <w:rsid w:val="1E108018"/>
    <w:rsid w:val="1E13B7C1"/>
    <w:rsid w:val="1E165F84"/>
    <w:rsid w:val="1E180A52"/>
    <w:rsid w:val="1E19F503"/>
    <w:rsid w:val="1E1A047A"/>
    <w:rsid w:val="1E1B035C"/>
    <w:rsid w:val="1E1C4F02"/>
    <w:rsid w:val="1E1EE8EE"/>
    <w:rsid w:val="1E244011"/>
    <w:rsid w:val="1E245E1E"/>
    <w:rsid w:val="1E24D5D3"/>
    <w:rsid w:val="1E25A688"/>
    <w:rsid w:val="1E25C11E"/>
    <w:rsid w:val="1E267E02"/>
    <w:rsid w:val="1E2713B3"/>
    <w:rsid w:val="1E27AA36"/>
    <w:rsid w:val="1E27F47B"/>
    <w:rsid w:val="1E2E4CAB"/>
    <w:rsid w:val="1E2FB21E"/>
    <w:rsid w:val="1E33C739"/>
    <w:rsid w:val="1E34A709"/>
    <w:rsid w:val="1E35CE0C"/>
    <w:rsid w:val="1E376E06"/>
    <w:rsid w:val="1E38BB40"/>
    <w:rsid w:val="1E39D1F0"/>
    <w:rsid w:val="1E39D540"/>
    <w:rsid w:val="1E3A9E09"/>
    <w:rsid w:val="1E3B1113"/>
    <w:rsid w:val="1E3B28F8"/>
    <w:rsid w:val="1E3B7467"/>
    <w:rsid w:val="1E3DFA16"/>
    <w:rsid w:val="1E410A51"/>
    <w:rsid w:val="1E42E703"/>
    <w:rsid w:val="1E439C30"/>
    <w:rsid w:val="1E447997"/>
    <w:rsid w:val="1E467C55"/>
    <w:rsid w:val="1E469054"/>
    <w:rsid w:val="1E4695B4"/>
    <w:rsid w:val="1E46D51D"/>
    <w:rsid w:val="1E473D24"/>
    <w:rsid w:val="1E48B256"/>
    <w:rsid w:val="1E4C1BFA"/>
    <w:rsid w:val="1E4C9F32"/>
    <w:rsid w:val="1E4D136C"/>
    <w:rsid w:val="1E4D864F"/>
    <w:rsid w:val="1E527592"/>
    <w:rsid w:val="1E54A106"/>
    <w:rsid w:val="1E57A58B"/>
    <w:rsid w:val="1E5CE997"/>
    <w:rsid w:val="1E5F0CCA"/>
    <w:rsid w:val="1E606B48"/>
    <w:rsid w:val="1E61B5CD"/>
    <w:rsid w:val="1E674500"/>
    <w:rsid w:val="1E674639"/>
    <w:rsid w:val="1E679A6E"/>
    <w:rsid w:val="1E67B3E3"/>
    <w:rsid w:val="1E680825"/>
    <w:rsid w:val="1E680C9A"/>
    <w:rsid w:val="1E688C69"/>
    <w:rsid w:val="1E6AC32B"/>
    <w:rsid w:val="1E6F744E"/>
    <w:rsid w:val="1E707780"/>
    <w:rsid w:val="1E7428C1"/>
    <w:rsid w:val="1E74C40E"/>
    <w:rsid w:val="1E770E24"/>
    <w:rsid w:val="1E7919E2"/>
    <w:rsid w:val="1E7957E5"/>
    <w:rsid w:val="1E79E72D"/>
    <w:rsid w:val="1E7B9C90"/>
    <w:rsid w:val="1E7FB58F"/>
    <w:rsid w:val="1E802524"/>
    <w:rsid w:val="1E806C8F"/>
    <w:rsid w:val="1E81D6A4"/>
    <w:rsid w:val="1E836CC4"/>
    <w:rsid w:val="1E84C00B"/>
    <w:rsid w:val="1E851A40"/>
    <w:rsid w:val="1E852E5A"/>
    <w:rsid w:val="1E85920F"/>
    <w:rsid w:val="1E8664CE"/>
    <w:rsid w:val="1E870FF9"/>
    <w:rsid w:val="1E872D77"/>
    <w:rsid w:val="1E877057"/>
    <w:rsid w:val="1E890AAC"/>
    <w:rsid w:val="1E893CEE"/>
    <w:rsid w:val="1E89E068"/>
    <w:rsid w:val="1E8A0D2C"/>
    <w:rsid w:val="1E8BC08A"/>
    <w:rsid w:val="1E8FC2D8"/>
    <w:rsid w:val="1E91A102"/>
    <w:rsid w:val="1E939A58"/>
    <w:rsid w:val="1E9451CE"/>
    <w:rsid w:val="1E949ED4"/>
    <w:rsid w:val="1E95BD52"/>
    <w:rsid w:val="1E95E19C"/>
    <w:rsid w:val="1E97A5DC"/>
    <w:rsid w:val="1E989586"/>
    <w:rsid w:val="1E9AECAD"/>
    <w:rsid w:val="1E9AFEB1"/>
    <w:rsid w:val="1E9C24BA"/>
    <w:rsid w:val="1E9CFD8E"/>
    <w:rsid w:val="1E9E1F90"/>
    <w:rsid w:val="1E9FD934"/>
    <w:rsid w:val="1E9FF2BF"/>
    <w:rsid w:val="1EA02818"/>
    <w:rsid w:val="1EA0A943"/>
    <w:rsid w:val="1EA19E3A"/>
    <w:rsid w:val="1EA2976E"/>
    <w:rsid w:val="1EA49816"/>
    <w:rsid w:val="1EA53E4E"/>
    <w:rsid w:val="1EAA4B0D"/>
    <w:rsid w:val="1EAAE81C"/>
    <w:rsid w:val="1EABB657"/>
    <w:rsid w:val="1EB2334D"/>
    <w:rsid w:val="1EB6295B"/>
    <w:rsid w:val="1EB7F821"/>
    <w:rsid w:val="1EB98EA8"/>
    <w:rsid w:val="1EBBBCD0"/>
    <w:rsid w:val="1EBDE0B6"/>
    <w:rsid w:val="1EC0BAD5"/>
    <w:rsid w:val="1EC6C238"/>
    <w:rsid w:val="1EC7B68B"/>
    <w:rsid w:val="1EC83363"/>
    <w:rsid w:val="1EC86CF4"/>
    <w:rsid w:val="1ECA7D10"/>
    <w:rsid w:val="1ECAEAC4"/>
    <w:rsid w:val="1ECAF0DA"/>
    <w:rsid w:val="1ECBAB0A"/>
    <w:rsid w:val="1ECD3D91"/>
    <w:rsid w:val="1ECDAD1F"/>
    <w:rsid w:val="1ECECB65"/>
    <w:rsid w:val="1ECF7B85"/>
    <w:rsid w:val="1ED425A0"/>
    <w:rsid w:val="1ED44E49"/>
    <w:rsid w:val="1ED47EC8"/>
    <w:rsid w:val="1ED51389"/>
    <w:rsid w:val="1ED5897A"/>
    <w:rsid w:val="1ED5BCED"/>
    <w:rsid w:val="1ED725A0"/>
    <w:rsid w:val="1ED74522"/>
    <w:rsid w:val="1ED7A8A0"/>
    <w:rsid w:val="1ED993A2"/>
    <w:rsid w:val="1EDA693E"/>
    <w:rsid w:val="1EDB3569"/>
    <w:rsid w:val="1EDB8BCB"/>
    <w:rsid w:val="1EDE3B72"/>
    <w:rsid w:val="1EE13C09"/>
    <w:rsid w:val="1EE1546B"/>
    <w:rsid w:val="1EE30775"/>
    <w:rsid w:val="1EE3DD3B"/>
    <w:rsid w:val="1EE51CDD"/>
    <w:rsid w:val="1EE53A22"/>
    <w:rsid w:val="1EE56043"/>
    <w:rsid w:val="1EE5F8AA"/>
    <w:rsid w:val="1EE63EBB"/>
    <w:rsid w:val="1EE6FA27"/>
    <w:rsid w:val="1EE7C462"/>
    <w:rsid w:val="1EE8725A"/>
    <w:rsid w:val="1EE8C898"/>
    <w:rsid w:val="1EF192DB"/>
    <w:rsid w:val="1EF22B07"/>
    <w:rsid w:val="1EF37135"/>
    <w:rsid w:val="1EF3B705"/>
    <w:rsid w:val="1EF58272"/>
    <w:rsid w:val="1EF664DD"/>
    <w:rsid w:val="1EF6F5E4"/>
    <w:rsid w:val="1EFAACE9"/>
    <w:rsid w:val="1EFB21D5"/>
    <w:rsid w:val="1EFD8526"/>
    <w:rsid w:val="1F019585"/>
    <w:rsid w:val="1F01CF6C"/>
    <w:rsid w:val="1F046A71"/>
    <w:rsid w:val="1F063302"/>
    <w:rsid w:val="1F0B619D"/>
    <w:rsid w:val="1F0B7E6B"/>
    <w:rsid w:val="1F118AA3"/>
    <w:rsid w:val="1F134122"/>
    <w:rsid w:val="1F144426"/>
    <w:rsid w:val="1F1495C0"/>
    <w:rsid w:val="1F14E096"/>
    <w:rsid w:val="1F14EC33"/>
    <w:rsid w:val="1F1A39B0"/>
    <w:rsid w:val="1F1B3BEE"/>
    <w:rsid w:val="1F1C93C5"/>
    <w:rsid w:val="1F1CCF74"/>
    <w:rsid w:val="1F21E699"/>
    <w:rsid w:val="1F235F83"/>
    <w:rsid w:val="1F257DFC"/>
    <w:rsid w:val="1F265134"/>
    <w:rsid w:val="1F2743D5"/>
    <w:rsid w:val="1F2760EC"/>
    <w:rsid w:val="1F283142"/>
    <w:rsid w:val="1F28ECFF"/>
    <w:rsid w:val="1F29DEEE"/>
    <w:rsid w:val="1F2E489B"/>
    <w:rsid w:val="1F300D63"/>
    <w:rsid w:val="1F31FEEE"/>
    <w:rsid w:val="1F325C3C"/>
    <w:rsid w:val="1F32869D"/>
    <w:rsid w:val="1F336F05"/>
    <w:rsid w:val="1F34C27C"/>
    <w:rsid w:val="1F366498"/>
    <w:rsid w:val="1F36BB74"/>
    <w:rsid w:val="1F376E2C"/>
    <w:rsid w:val="1F37C6DE"/>
    <w:rsid w:val="1F39A89F"/>
    <w:rsid w:val="1F3A0ED2"/>
    <w:rsid w:val="1F3AEEE2"/>
    <w:rsid w:val="1F3CF479"/>
    <w:rsid w:val="1F400F0B"/>
    <w:rsid w:val="1F4195B0"/>
    <w:rsid w:val="1F43B064"/>
    <w:rsid w:val="1F43D2A4"/>
    <w:rsid w:val="1F43E961"/>
    <w:rsid w:val="1F4422C8"/>
    <w:rsid w:val="1F44852B"/>
    <w:rsid w:val="1F44CF6D"/>
    <w:rsid w:val="1F462D29"/>
    <w:rsid w:val="1F466E9B"/>
    <w:rsid w:val="1F471F88"/>
    <w:rsid w:val="1F4B453C"/>
    <w:rsid w:val="1F4CAFA6"/>
    <w:rsid w:val="1F4DB864"/>
    <w:rsid w:val="1F51B7FA"/>
    <w:rsid w:val="1F52B29D"/>
    <w:rsid w:val="1F539B62"/>
    <w:rsid w:val="1F552125"/>
    <w:rsid w:val="1F57423A"/>
    <w:rsid w:val="1F57E307"/>
    <w:rsid w:val="1F5BDC2E"/>
    <w:rsid w:val="1F5CCB1E"/>
    <w:rsid w:val="1F5D0317"/>
    <w:rsid w:val="1F5D4482"/>
    <w:rsid w:val="1F5DFD52"/>
    <w:rsid w:val="1F5E21FB"/>
    <w:rsid w:val="1F5E5679"/>
    <w:rsid w:val="1F6068B1"/>
    <w:rsid w:val="1F640038"/>
    <w:rsid w:val="1F647FE8"/>
    <w:rsid w:val="1F64885C"/>
    <w:rsid w:val="1F64CD73"/>
    <w:rsid w:val="1F64FA8E"/>
    <w:rsid w:val="1F65EAB1"/>
    <w:rsid w:val="1F6801D0"/>
    <w:rsid w:val="1F6A4532"/>
    <w:rsid w:val="1F6CF657"/>
    <w:rsid w:val="1F6DE5E6"/>
    <w:rsid w:val="1F6F4243"/>
    <w:rsid w:val="1F7016D0"/>
    <w:rsid w:val="1F706BF8"/>
    <w:rsid w:val="1F70C6A2"/>
    <w:rsid w:val="1F70EBC0"/>
    <w:rsid w:val="1F721FE7"/>
    <w:rsid w:val="1F730550"/>
    <w:rsid w:val="1F73D77E"/>
    <w:rsid w:val="1F73EC03"/>
    <w:rsid w:val="1F741C22"/>
    <w:rsid w:val="1F754DC7"/>
    <w:rsid w:val="1F762ED3"/>
    <w:rsid w:val="1F76528C"/>
    <w:rsid w:val="1F7697F9"/>
    <w:rsid w:val="1F7D7339"/>
    <w:rsid w:val="1F7DD61C"/>
    <w:rsid w:val="1F7E7982"/>
    <w:rsid w:val="1F82DF1A"/>
    <w:rsid w:val="1F83165C"/>
    <w:rsid w:val="1F845BE7"/>
    <w:rsid w:val="1F84AABE"/>
    <w:rsid w:val="1F85EF3B"/>
    <w:rsid w:val="1F85EF98"/>
    <w:rsid w:val="1F88B124"/>
    <w:rsid w:val="1F8976EE"/>
    <w:rsid w:val="1F8E5EAC"/>
    <w:rsid w:val="1F8E6558"/>
    <w:rsid w:val="1F8EF5C9"/>
    <w:rsid w:val="1F90A262"/>
    <w:rsid w:val="1F924980"/>
    <w:rsid w:val="1F973A60"/>
    <w:rsid w:val="1F987C96"/>
    <w:rsid w:val="1F98BB60"/>
    <w:rsid w:val="1F9BD656"/>
    <w:rsid w:val="1F9D3430"/>
    <w:rsid w:val="1F9D620F"/>
    <w:rsid w:val="1FA0A3F3"/>
    <w:rsid w:val="1FA39B34"/>
    <w:rsid w:val="1FA4655C"/>
    <w:rsid w:val="1FA7E3E0"/>
    <w:rsid w:val="1FA9AF1C"/>
    <w:rsid w:val="1FAC14C4"/>
    <w:rsid w:val="1FAD0316"/>
    <w:rsid w:val="1FADD07B"/>
    <w:rsid w:val="1FB02FD6"/>
    <w:rsid w:val="1FB19018"/>
    <w:rsid w:val="1FB2044F"/>
    <w:rsid w:val="1FB21681"/>
    <w:rsid w:val="1FB44DFE"/>
    <w:rsid w:val="1FB552F6"/>
    <w:rsid w:val="1FB5D40E"/>
    <w:rsid w:val="1FB6EAA5"/>
    <w:rsid w:val="1FB8250A"/>
    <w:rsid w:val="1FB8376B"/>
    <w:rsid w:val="1FB902D9"/>
    <w:rsid w:val="1FBAB2B7"/>
    <w:rsid w:val="1FBB29BD"/>
    <w:rsid w:val="1FBC6E69"/>
    <w:rsid w:val="1FBC8312"/>
    <w:rsid w:val="1FBCAD3B"/>
    <w:rsid w:val="1FBE4040"/>
    <w:rsid w:val="1FBFDA43"/>
    <w:rsid w:val="1FC05495"/>
    <w:rsid w:val="1FC3DFB1"/>
    <w:rsid w:val="1FC41625"/>
    <w:rsid w:val="1FC494CF"/>
    <w:rsid w:val="1FC4DB01"/>
    <w:rsid w:val="1FC6DF5F"/>
    <w:rsid w:val="1FC77D94"/>
    <w:rsid w:val="1FC9D266"/>
    <w:rsid w:val="1FCA4723"/>
    <w:rsid w:val="1FCAA529"/>
    <w:rsid w:val="1FCB7E39"/>
    <w:rsid w:val="1FCD988E"/>
    <w:rsid w:val="1FCE54C9"/>
    <w:rsid w:val="1FCE5DA9"/>
    <w:rsid w:val="1FCE6EBD"/>
    <w:rsid w:val="1FD32594"/>
    <w:rsid w:val="1FD4F95A"/>
    <w:rsid w:val="1FD55555"/>
    <w:rsid w:val="1FD66F70"/>
    <w:rsid w:val="1FD78988"/>
    <w:rsid w:val="1FDA16DE"/>
    <w:rsid w:val="1FDCF210"/>
    <w:rsid w:val="1FDD4AF0"/>
    <w:rsid w:val="1FE0048E"/>
    <w:rsid w:val="1FE1F412"/>
    <w:rsid w:val="1FE36866"/>
    <w:rsid w:val="1FE764EA"/>
    <w:rsid w:val="1FE79D56"/>
    <w:rsid w:val="1FE84A1C"/>
    <w:rsid w:val="1FE94877"/>
    <w:rsid w:val="1FE9CD66"/>
    <w:rsid w:val="1FEA780B"/>
    <w:rsid w:val="1FF003B4"/>
    <w:rsid w:val="1FF045D3"/>
    <w:rsid w:val="1FF0D7D2"/>
    <w:rsid w:val="1FF36005"/>
    <w:rsid w:val="1FF55F9A"/>
    <w:rsid w:val="1FF8C1AC"/>
    <w:rsid w:val="1FFC191A"/>
    <w:rsid w:val="1FFC76FC"/>
    <w:rsid w:val="1FFDDBD5"/>
    <w:rsid w:val="200107E9"/>
    <w:rsid w:val="20030E19"/>
    <w:rsid w:val="200397F0"/>
    <w:rsid w:val="20045BAE"/>
    <w:rsid w:val="200477C5"/>
    <w:rsid w:val="2004985D"/>
    <w:rsid w:val="20083D69"/>
    <w:rsid w:val="200849B5"/>
    <w:rsid w:val="2008CEA7"/>
    <w:rsid w:val="200901E6"/>
    <w:rsid w:val="200987BC"/>
    <w:rsid w:val="200A0237"/>
    <w:rsid w:val="200B4217"/>
    <w:rsid w:val="200C1D9E"/>
    <w:rsid w:val="200DC5D7"/>
    <w:rsid w:val="200EB3C8"/>
    <w:rsid w:val="2010786E"/>
    <w:rsid w:val="2011421F"/>
    <w:rsid w:val="201248D7"/>
    <w:rsid w:val="2012D801"/>
    <w:rsid w:val="20138400"/>
    <w:rsid w:val="201751A8"/>
    <w:rsid w:val="20192A74"/>
    <w:rsid w:val="201BB78D"/>
    <w:rsid w:val="201C83DB"/>
    <w:rsid w:val="201D22B0"/>
    <w:rsid w:val="201E2166"/>
    <w:rsid w:val="201E38A1"/>
    <w:rsid w:val="201F9732"/>
    <w:rsid w:val="201FCB12"/>
    <w:rsid w:val="202006EC"/>
    <w:rsid w:val="20200D3B"/>
    <w:rsid w:val="2020EAE2"/>
    <w:rsid w:val="2021E6B3"/>
    <w:rsid w:val="20232A47"/>
    <w:rsid w:val="20236F9E"/>
    <w:rsid w:val="202384C5"/>
    <w:rsid w:val="20245CF6"/>
    <w:rsid w:val="202557CD"/>
    <w:rsid w:val="2027D93C"/>
    <w:rsid w:val="2027DF05"/>
    <w:rsid w:val="202D27A8"/>
    <w:rsid w:val="20311B2F"/>
    <w:rsid w:val="20315434"/>
    <w:rsid w:val="2034750F"/>
    <w:rsid w:val="20349981"/>
    <w:rsid w:val="203647A7"/>
    <w:rsid w:val="2037908C"/>
    <w:rsid w:val="203AD1FA"/>
    <w:rsid w:val="203B98A1"/>
    <w:rsid w:val="203BF7C3"/>
    <w:rsid w:val="203C7188"/>
    <w:rsid w:val="203EA2D3"/>
    <w:rsid w:val="203F56E5"/>
    <w:rsid w:val="203F5C50"/>
    <w:rsid w:val="20433D3E"/>
    <w:rsid w:val="20435D4F"/>
    <w:rsid w:val="2044D6D5"/>
    <w:rsid w:val="2045C7CA"/>
    <w:rsid w:val="20478F77"/>
    <w:rsid w:val="204A72E7"/>
    <w:rsid w:val="204B12FB"/>
    <w:rsid w:val="204E3F24"/>
    <w:rsid w:val="204FD515"/>
    <w:rsid w:val="204FF329"/>
    <w:rsid w:val="2050022A"/>
    <w:rsid w:val="2050CFFB"/>
    <w:rsid w:val="20516CF0"/>
    <w:rsid w:val="20541F3D"/>
    <w:rsid w:val="2055C69F"/>
    <w:rsid w:val="20565E01"/>
    <w:rsid w:val="2056E5C5"/>
    <w:rsid w:val="205778F6"/>
    <w:rsid w:val="2057B90A"/>
    <w:rsid w:val="205884FF"/>
    <w:rsid w:val="20591BB3"/>
    <w:rsid w:val="205A24C7"/>
    <w:rsid w:val="205A5DEB"/>
    <w:rsid w:val="205B51C6"/>
    <w:rsid w:val="205FD1BA"/>
    <w:rsid w:val="20604F0F"/>
    <w:rsid w:val="2060B012"/>
    <w:rsid w:val="2062B66C"/>
    <w:rsid w:val="20634A35"/>
    <w:rsid w:val="206364D7"/>
    <w:rsid w:val="2064A078"/>
    <w:rsid w:val="2065E3D9"/>
    <w:rsid w:val="20697FC0"/>
    <w:rsid w:val="206B33FF"/>
    <w:rsid w:val="206FA81A"/>
    <w:rsid w:val="2070BEA1"/>
    <w:rsid w:val="2072C453"/>
    <w:rsid w:val="2074E488"/>
    <w:rsid w:val="20770294"/>
    <w:rsid w:val="207AA9C4"/>
    <w:rsid w:val="207D33FD"/>
    <w:rsid w:val="207E52C6"/>
    <w:rsid w:val="208042B7"/>
    <w:rsid w:val="208042CA"/>
    <w:rsid w:val="208086E0"/>
    <w:rsid w:val="20829FC0"/>
    <w:rsid w:val="208AE9C1"/>
    <w:rsid w:val="208D278A"/>
    <w:rsid w:val="208D9C13"/>
    <w:rsid w:val="208F4718"/>
    <w:rsid w:val="20914E09"/>
    <w:rsid w:val="2091A427"/>
    <w:rsid w:val="2091C4E2"/>
    <w:rsid w:val="20923B58"/>
    <w:rsid w:val="2092E2E7"/>
    <w:rsid w:val="20948612"/>
    <w:rsid w:val="20957AE1"/>
    <w:rsid w:val="20959E0D"/>
    <w:rsid w:val="2097DE37"/>
    <w:rsid w:val="20982810"/>
    <w:rsid w:val="2099FA20"/>
    <w:rsid w:val="209A680B"/>
    <w:rsid w:val="209AE2BC"/>
    <w:rsid w:val="20A27BB9"/>
    <w:rsid w:val="20A6004C"/>
    <w:rsid w:val="20A6388C"/>
    <w:rsid w:val="20AA3BF5"/>
    <w:rsid w:val="20AB0914"/>
    <w:rsid w:val="20AC3E0E"/>
    <w:rsid w:val="20AC874A"/>
    <w:rsid w:val="20ACF9D2"/>
    <w:rsid w:val="20AD1AFE"/>
    <w:rsid w:val="20AD92A9"/>
    <w:rsid w:val="20ADB82E"/>
    <w:rsid w:val="20ADFCA1"/>
    <w:rsid w:val="20AFBCB5"/>
    <w:rsid w:val="20B079A2"/>
    <w:rsid w:val="20B16D8D"/>
    <w:rsid w:val="20B2581D"/>
    <w:rsid w:val="20B5767A"/>
    <w:rsid w:val="20B5DA4A"/>
    <w:rsid w:val="20B6B540"/>
    <w:rsid w:val="20BDF492"/>
    <w:rsid w:val="20C0A7FD"/>
    <w:rsid w:val="20C0DAEC"/>
    <w:rsid w:val="20C41A55"/>
    <w:rsid w:val="20C4BFC9"/>
    <w:rsid w:val="20C5F6FC"/>
    <w:rsid w:val="20C69D15"/>
    <w:rsid w:val="20C81DE1"/>
    <w:rsid w:val="20C86CBB"/>
    <w:rsid w:val="20C893DC"/>
    <w:rsid w:val="20C8A13C"/>
    <w:rsid w:val="20C919EF"/>
    <w:rsid w:val="20CBDBAB"/>
    <w:rsid w:val="20CCB7AA"/>
    <w:rsid w:val="20CD0F8D"/>
    <w:rsid w:val="20CDD0AB"/>
    <w:rsid w:val="20D05109"/>
    <w:rsid w:val="20D189D4"/>
    <w:rsid w:val="20D22C08"/>
    <w:rsid w:val="20D32AE1"/>
    <w:rsid w:val="20D3DBA2"/>
    <w:rsid w:val="20D7C2B2"/>
    <w:rsid w:val="20D8121F"/>
    <w:rsid w:val="20DA34D6"/>
    <w:rsid w:val="20DCD79C"/>
    <w:rsid w:val="20DD18C8"/>
    <w:rsid w:val="20DE0EBC"/>
    <w:rsid w:val="20DEF86D"/>
    <w:rsid w:val="20DF59E6"/>
    <w:rsid w:val="20E229EB"/>
    <w:rsid w:val="20E2FC93"/>
    <w:rsid w:val="20E7B891"/>
    <w:rsid w:val="20EB46DA"/>
    <w:rsid w:val="20EDB2E0"/>
    <w:rsid w:val="20EE9646"/>
    <w:rsid w:val="20EF2A4C"/>
    <w:rsid w:val="20EF987F"/>
    <w:rsid w:val="20EFBB55"/>
    <w:rsid w:val="20F014DA"/>
    <w:rsid w:val="20F14191"/>
    <w:rsid w:val="20F32898"/>
    <w:rsid w:val="20F38F1A"/>
    <w:rsid w:val="20F6AF23"/>
    <w:rsid w:val="20F6D958"/>
    <w:rsid w:val="20FA0BD2"/>
    <w:rsid w:val="20FB79AA"/>
    <w:rsid w:val="20FE2D5A"/>
    <w:rsid w:val="20FEB874"/>
    <w:rsid w:val="20FFFB92"/>
    <w:rsid w:val="2100DA50"/>
    <w:rsid w:val="210274E6"/>
    <w:rsid w:val="210484A9"/>
    <w:rsid w:val="2106BC3C"/>
    <w:rsid w:val="2107EDBE"/>
    <w:rsid w:val="210A2447"/>
    <w:rsid w:val="210ADDC2"/>
    <w:rsid w:val="210D439B"/>
    <w:rsid w:val="210D725E"/>
    <w:rsid w:val="210E5D75"/>
    <w:rsid w:val="210F318E"/>
    <w:rsid w:val="2110C4A3"/>
    <w:rsid w:val="21133FFE"/>
    <w:rsid w:val="2113C6E8"/>
    <w:rsid w:val="21182CC7"/>
    <w:rsid w:val="21186A67"/>
    <w:rsid w:val="21191D99"/>
    <w:rsid w:val="2119D406"/>
    <w:rsid w:val="211B6EAF"/>
    <w:rsid w:val="211C6990"/>
    <w:rsid w:val="212138CB"/>
    <w:rsid w:val="2122750E"/>
    <w:rsid w:val="2127442A"/>
    <w:rsid w:val="212B8685"/>
    <w:rsid w:val="212D63C7"/>
    <w:rsid w:val="212E44C9"/>
    <w:rsid w:val="213094E3"/>
    <w:rsid w:val="2130B44E"/>
    <w:rsid w:val="2131CA65"/>
    <w:rsid w:val="21321F1D"/>
    <w:rsid w:val="21324763"/>
    <w:rsid w:val="21339DE3"/>
    <w:rsid w:val="213A4C1A"/>
    <w:rsid w:val="213A8C3F"/>
    <w:rsid w:val="213C24B7"/>
    <w:rsid w:val="213CD532"/>
    <w:rsid w:val="21426ADD"/>
    <w:rsid w:val="2142BC8D"/>
    <w:rsid w:val="2144B794"/>
    <w:rsid w:val="2144C199"/>
    <w:rsid w:val="21458102"/>
    <w:rsid w:val="2145FF21"/>
    <w:rsid w:val="2148C74B"/>
    <w:rsid w:val="214B20A4"/>
    <w:rsid w:val="214B2C6C"/>
    <w:rsid w:val="214BE880"/>
    <w:rsid w:val="214CF418"/>
    <w:rsid w:val="214E3F8E"/>
    <w:rsid w:val="214E6844"/>
    <w:rsid w:val="21503C89"/>
    <w:rsid w:val="21530B6C"/>
    <w:rsid w:val="215373E7"/>
    <w:rsid w:val="215451A2"/>
    <w:rsid w:val="21553C7A"/>
    <w:rsid w:val="21555F51"/>
    <w:rsid w:val="2158B1DE"/>
    <w:rsid w:val="215A47E3"/>
    <w:rsid w:val="215C0423"/>
    <w:rsid w:val="215C58AD"/>
    <w:rsid w:val="215DBEEE"/>
    <w:rsid w:val="215EAA94"/>
    <w:rsid w:val="215F3B27"/>
    <w:rsid w:val="21622CC8"/>
    <w:rsid w:val="2163CC30"/>
    <w:rsid w:val="2165967E"/>
    <w:rsid w:val="2166ACE8"/>
    <w:rsid w:val="216850EF"/>
    <w:rsid w:val="2168D5BB"/>
    <w:rsid w:val="216A4801"/>
    <w:rsid w:val="216AA8C3"/>
    <w:rsid w:val="216C86BB"/>
    <w:rsid w:val="216E5CFE"/>
    <w:rsid w:val="216FA016"/>
    <w:rsid w:val="21707B2D"/>
    <w:rsid w:val="21737FD8"/>
    <w:rsid w:val="21751680"/>
    <w:rsid w:val="21755921"/>
    <w:rsid w:val="2175AA86"/>
    <w:rsid w:val="2178D18E"/>
    <w:rsid w:val="21794684"/>
    <w:rsid w:val="217A3EC9"/>
    <w:rsid w:val="217D76B7"/>
    <w:rsid w:val="217E5F11"/>
    <w:rsid w:val="217F3AD6"/>
    <w:rsid w:val="217FA1A5"/>
    <w:rsid w:val="217FF504"/>
    <w:rsid w:val="2184DD0A"/>
    <w:rsid w:val="2185AE7C"/>
    <w:rsid w:val="2187A166"/>
    <w:rsid w:val="21884D7D"/>
    <w:rsid w:val="21899DB2"/>
    <w:rsid w:val="218A70BC"/>
    <w:rsid w:val="218C2620"/>
    <w:rsid w:val="218D5123"/>
    <w:rsid w:val="218D8574"/>
    <w:rsid w:val="218F3121"/>
    <w:rsid w:val="21912B8D"/>
    <w:rsid w:val="2191335A"/>
    <w:rsid w:val="219478CB"/>
    <w:rsid w:val="21952D90"/>
    <w:rsid w:val="219596CD"/>
    <w:rsid w:val="2197A329"/>
    <w:rsid w:val="2199755E"/>
    <w:rsid w:val="21999371"/>
    <w:rsid w:val="219AE307"/>
    <w:rsid w:val="219BFB2D"/>
    <w:rsid w:val="219F093D"/>
    <w:rsid w:val="21A32AF9"/>
    <w:rsid w:val="21A58BD1"/>
    <w:rsid w:val="21A627D1"/>
    <w:rsid w:val="21A99A7E"/>
    <w:rsid w:val="21AA8EEF"/>
    <w:rsid w:val="21AC5FCF"/>
    <w:rsid w:val="21AE2032"/>
    <w:rsid w:val="21B07B12"/>
    <w:rsid w:val="21B127F9"/>
    <w:rsid w:val="21B3FD39"/>
    <w:rsid w:val="21B48146"/>
    <w:rsid w:val="21B58422"/>
    <w:rsid w:val="21B949E4"/>
    <w:rsid w:val="21B9F2C4"/>
    <w:rsid w:val="21BA2AE5"/>
    <w:rsid w:val="21BC756B"/>
    <w:rsid w:val="21BCD0AF"/>
    <w:rsid w:val="21BD14CB"/>
    <w:rsid w:val="21BE7CCB"/>
    <w:rsid w:val="21BEFF9C"/>
    <w:rsid w:val="21C07BB7"/>
    <w:rsid w:val="21C09B96"/>
    <w:rsid w:val="21C1D3D8"/>
    <w:rsid w:val="21C41749"/>
    <w:rsid w:val="21C4CCB2"/>
    <w:rsid w:val="21C4FA84"/>
    <w:rsid w:val="21C5CD37"/>
    <w:rsid w:val="21C5D866"/>
    <w:rsid w:val="21C5F282"/>
    <w:rsid w:val="21C653B6"/>
    <w:rsid w:val="21C73778"/>
    <w:rsid w:val="21CA4BE4"/>
    <w:rsid w:val="21CB5ACB"/>
    <w:rsid w:val="21CBBD98"/>
    <w:rsid w:val="21CC4C45"/>
    <w:rsid w:val="21CFBFE5"/>
    <w:rsid w:val="21CFC086"/>
    <w:rsid w:val="21D1D76D"/>
    <w:rsid w:val="21D356B5"/>
    <w:rsid w:val="21D4527F"/>
    <w:rsid w:val="21D98C16"/>
    <w:rsid w:val="21D9BF83"/>
    <w:rsid w:val="21DAB103"/>
    <w:rsid w:val="21DCD61B"/>
    <w:rsid w:val="21DCE20B"/>
    <w:rsid w:val="21DE0036"/>
    <w:rsid w:val="21E04CA4"/>
    <w:rsid w:val="21E13361"/>
    <w:rsid w:val="21E236AB"/>
    <w:rsid w:val="21E328DA"/>
    <w:rsid w:val="21E3354D"/>
    <w:rsid w:val="21E4FC66"/>
    <w:rsid w:val="21E6E6B4"/>
    <w:rsid w:val="21E6E72D"/>
    <w:rsid w:val="21E700B3"/>
    <w:rsid w:val="21E8EEB3"/>
    <w:rsid w:val="21E990AA"/>
    <w:rsid w:val="21EF0058"/>
    <w:rsid w:val="21EF1AC5"/>
    <w:rsid w:val="21EF3F46"/>
    <w:rsid w:val="21EFEC26"/>
    <w:rsid w:val="21F538EE"/>
    <w:rsid w:val="21F80971"/>
    <w:rsid w:val="21F92B62"/>
    <w:rsid w:val="21F9CEDC"/>
    <w:rsid w:val="21FB79DE"/>
    <w:rsid w:val="21FE6C93"/>
    <w:rsid w:val="21FF0222"/>
    <w:rsid w:val="22000290"/>
    <w:rsid w:val="220021FD"/>
    <w:rsid w:val="220342ED"/>
    <w:rsid w:val="220419F7"/>
    <w:rsid w:val="2208ACFC"/>
    <w:rsid w:val="2208DD8B"/>
    <w:rsid w:val="220AB500"/>
    <w:rsid w:val="220C03FB"/>
    <w:rsid w:val="220C4A1C"/>
    <w:rsid w:val="220CB3A1"/>
    <w:rsid w:val="220D47A9"/>
    <w:rsid w:val="220DC587"/>
    <w:rsid w:val="221333B8"/>
    <w:rsid w:val="22141D05"/>
    <w:rsid w:val="2214DA3C"/>
    <w:rsid w:val="221509AA"/>
    <w:rsid w:val="2216070A"/>
    <w:rsid w:val="2216BCD7"/>
    <w:rsid w:val="2216DDCE"/>
    <w:rsid w:val="221A998D"/>
    <w:rsid w:val="221B64A7"/>
    <w:rsid w:val="221C8EE3"/>
    <w:rsid w:val="222050E7"/>
    <w:rsid w:val="22257EF9"/>
    <w:rsid w:val="222596DD"/>
    <w:rsid w:val="2227E700"/>
    <w:rsid w:val="222A5F8B"/>
    <w:rsid w:val="222C8271"/>
    <w:rsid w:val="222D28FC"/>
    <w:rsid w:val="222F09FD"/>
    <w:rsid w:val="22305252"/>
    <w:rsid w:val="22313CEB"/>
    <w:rsid w:val="22327ADF"/>
    <w:rsid w:val="2233B1E2"/>
    <w:rsid w:val="22343116"/>
    <w:rsid w:val="22346939"/>
    <w:rsid w:val="2234B0AE"/>
    <w:rsid w:val="223598AF"/>
    <w:rsid w:val="223731DD"/>
    <w:rsid w:val="223AA4A7"/>
    <w:rsid w:val="223AC8A5"/>
    <w:rsid w:val="223AF7FD"/>
    <w:rsid w:val="223D3799"/>
    <w:rsid w:val="223E203A"/>
    <w:rsid w:val="223F0AA6"/>
    <w:rsid w:val="223FD0B9"/>
    <w:rsid w:val="2242568D"/>
    <w:rsid w:val="2244DB22"/>
    <w:rsid w:val="2246C229"/>
    <w:rsid w:val="22470CB4"/>
    <w:rsid w:val="224FD3C4"/>
    <w:rsid w:val="2250A2C3"/>
    <w:rsid w:val="22541E53"/>
    <w:rsid w:val="2254FBD1"/>
    <w:rsid w:val="22550000"/>
    <w:rsid w:val="22566B9B"/>
    <w:rsid w:val="2257E73D"/>
    <w:rsid w:val="2259D915"/>
    <w:rsid w:val="225A34A6"/>
    <w:rsid w:val="225A8CB0"/>
    <w:rsid w:val="225C8A84"/>
    <w:rsid w:val="225C8EA2"/>
    <w:rsid w:val="2260E762"/>
    <w:rsid w:val="22631539"/>
    <w:rsid w:val="2263629D"/>
    <w:rsid w:val="22651A93"/>
    <w:rsid w:val="2268CC54"/>
    <w:rsid w:val="2269E032"/>
    <w:rsid w:val="226A3B96"/>
    <w:rsid w:val="226CD1CA"/>
    <w:rsid w:val="226DE6C3"/>
    <w:rsid w:val="227096A2"/>
    <w:rsid w:val="2272A16C"/>
    <w:rsid w:val="22756EA8"/>
    <w:rsid w:val="22759773"/>
    <w:rsid w:val="2275D92A"/>
    <w:rsid w:val="22779D68"/>
    <w:rsid w:val="2277B2BF"/>
    <w:rsid w:val="22785888"/>
    <w:rsid w:val="227ACD78"/>
    <w:rsid w:val="227E48BD"/>
    <w:rsid w:val="227E53EA"/>
    <w:rsid w:val="227FAE64"/>
    <w:rsid w:val="2280DCB9"/>
    <w:rsid w:val="2281CA64"/>
    <w:rsid w:val="22827CF6"/>
    <w:rsid w:val="2282B21F"/>
    <w:rsid w:val="2283596C"/>
    <w:rsid w:val="22845494"/>
    <w:rsid w:val="22848468"/>
    <w:rsid w:val="22860FAB"/>
    <w:rsid w:val="2288AB68"/>
    <w:rsid w:val="2289347A"/>
    <w:rsid w:val="228AD0D5"/>
    <w:rsid w:val="228C701E"/>
    <w:rsid w:val="228DC87D"/>
    <w:rsid w:val="228DFDA6"/>
    <w:rsid w:val="22907367"/>
    <w:rsid w:val="2290E8AB"/>
    <w:rsid w:val="22911EAF"/>
    <w:rsid w:val="2291290F"/>
    <w:rsid w:val="22922CD2"/>
    <w:rsid w:val="229332EE"/>
    <w:rsid w:val="2294215A"/>
    <w:rsid w:val="229477BC"/>
    <w:rsid w:val="2297C03C"/>
    <w:rsid w:val="2298EF58"/>
    <w:rsid w:val="22994D46"/>
    <w:rsid w:val="229AB3C0"/>
    <w:rsid w:val="229AFCEC"/>
    <w:rsid w:val="229BF246"/>
    <w:rsid w:val="229D34AC"/>
    <w:rsid w:val="229DFFCB"/>
    <w:rsid w:val="229E336B"/>
    <w:rsid w:val="229E36FB"/>
    <w:rsid w:val="22A40C34"/>
    <w:rsid w:val="22A43E97"/>
    <w:rsid w:val="22A474F3"/>
    <w:rsid w:val="22A52110"/>
    <w:rsid w:val="22A56EF7"/>
    <w:rsid w:val="22A5CB05"/>
    <w:rsid w:val="22A6D76E"/>
    <w:rsid w:val="22A879E9"/>
    <w:rsid w:val="22A8A0DD"/>
    <w:rsid w:val="22A90270"/>
    <w:rsid w:val="22AA0375"/>
    <w:rsid w:val="22AC80AE"/>
    <w:rsid w:val="22AF4B9B"/>
    <w:rsid w:val="22B04DA9"/>
    <w:rsid w:val="22B22CC7"/>
    <w:rsid w:val="22B37912"/>
    <w:rsid w:val="22B46F23"/>
    <w:rsid w:val="22B4F110"/>
    <w:rsid w:val="22B8E399"/>
    <w:rsid w:val="22B90D68"/>
    <w:rsid w:val="22BA585F"/>
    <w:rsid w:val="22BB6413"/>
    <w:rsid w:val="22BB6FED"/>
    <w:rsid w:val="22BDAEBF"/>
    <w:rsid w:val="22BE45F7"/>
    <w:rsid w:val="22BE48C6"/>
    <w:rsid w:val="22BEEF6A"/>
    <w:rsid w:val="22C01FE6"/>
    <w:rsid w:val="22C4A0AC"/>
    <w:rsid w:val="22C759E4"/>
    <w:rsid w:val="22C8D3E5"/>
    <w:rsid w:val="22CAA9DA"/>
    <w:rsid w:val="22CAB603"/>
    <w:rsid w:val="22CAFDFE"/>
    <w:rsid w:val="22CB3310"/>
    <w:rsid w:val="22CBC615"/>
    <w:rsid w:val="22CC63E3"/>
    <w:rsid w:val="22CD50A9"/>
    <w:rsid w:val="22CE17D9"/>
    <w:rsid w:val="22CE8611"/>
    <w:rsid w:val="22D09093"/>
    <w:rsid w:val="22D1D9FD"/>
    <w:rsid w:val="22D20034"/>
    <w:rsid w:val="22D2F2B9"/>
    <w:rsid w:val="22D32473"/>
    <w:rsid w:val="22D47904"/>
    <w:rsid w:val="22D54F17"/>
    <w:rsid w:val="22D55195"/>
    <w:rsid w:val="22D6E6AB"/>
    <w:rsid w:val="22D7EF65"/>
    <w:rsid w:val="22D84E24"/>
    <w:rsid w:val="22D8578B"/>
    <w:rsid w:val="22DA70AD"/>
    <w:rsid w:val="22DB2907"/>
    <w:rsid w:val="22DB87EE"/>
    <w:rsid w:val="22DBE1A9"/>
    <w:rsid w:val="22DC0BB2"/>
    <w:rsid w:val="22DF5DBD"/>
    <w:rsid w:val="22E0D58E"/>
    <w:rsid w:val="22E248DE"/>
    <w:rsid w:val="22E48935"/>
    <w:rsid w:val="22E548B7"/>
    <w:rsid w:val="22E5B7E3"/>
    <w:rsid w:val="22E6BCE6"/>
    <w:rsid w:val="22E719BB"/>
    <w:rsid w:val="22E85310"/>
    <w:rsid w:val="22E9306F"/>
    <w:rsid w:val="22E93A66"/>
    <w:rsid w:val="22E996D3"/>
    <w:rsid w:val="22EBCA4D"/>
    <w:rsid w:val="22EC5F1C"/>
    <w:rsid w:val="22ED8A7A"/>
    <w:rsid w:val="22EE2930"/>
    <w:rsid w:val="22F19930"/>
    <w:rsid w:val="22F38329"/>
    <w:rsid w:val="22F3D949"/>
    <w:rsid w:val="22F59393"/>
    <w:rsid w:val="22F5ACA1"/>
    <w:rsid w:val="22F9594B"/>
    <w:rsid w:val="22FAE50C"/>
    <w:rsid w:val="22FC2602"/>
    <w:rsid w:val="22FC7360"/>
    <w:rsid w:val="23016470"/>
    <w:rsid w:val="2302A776"/>
    <w:rsid w:val="23063664"/>
    <w:rsid w:val="23073B9F"/>
    <w:rsid w:val="2308FD8D"/>
    <w:rsid w:val="2309194E"/>
    <w:rsid w:val="23093E9C"/>
    <w:rsid w:val="23094AEE"/>
    <w:rsid w:val="230AFE88"/>
    <w:rsid w:val="230CB952"/>
    <w:rsid w:val="23127829"/>
    <w:rsid w:val="23128D35"/>
    <w:rsid w:val="2315249C"/>
    <w:rsid w:val="2316F58E"/>
    <w:rsid w:val="2317EF4E"/>
    <w:rsid w:val="231926AC"/>
    <w:rsid w:val="231AF68B"/>
    <w:rsid w:val="231DC1DA"/>
    <w:rsid w:val="231F05FC"/>
    <w:rsid w:val="231F63A2"/>
    <w:rsid w:val="231FF133"/>
    <w:rsid w:val="23232E0E"/>
    <w:rsid w:val="23243A29"/>
    <w:rsid w:val="232AB16E"/>
    <w:rsid w:val="232C702B"/>
    <w:rsid w:val="232E1726"/>
    <w:rsid w:val="2330779E"/>
    <w:rsid w:val="233173AA"/>
    <w:rsid w:val="2334526F"/>
    <w:rsid w:val="23360C49"/>
    <w:rsid w:val="2336EEAB"/>
    <w:rsid w:val="23374A61"/>
    <w:rsid w:val="233C27A9"/>
    <w:rsid w:val="233CE6FE"/>
    <w:rsid w:val="233D3E23"/>
    <w:rsid w:val="234067A7"/>
    <w:rsid w:val="23410963"/>
    <w:rsid w:val="23412B94"/>
    <w:rsid w:val="2341791E"/>
    <w:rsid w:val="2342EB05"/>
    <w:rsid w:val="2343BAA5"/>
    <w:rsid w:val="23462E97"/>
    <w:rsid w:val="234699EB"/>
    <w:rsid w:val="23476403"/>
    <w:rsid w:val="23482784"/>
    <w:rsid w:val="23484F07"/>
    <w:rsid w:val="234A8292"/>
    <w:rsid w:val="234B46DD"/>
    <w:rsid w:val="234C2AE6"/>
    <w:rsid w:val="234D2DF3"/>
    <w:rsid w:val="234ECA5D"/>
    <w:rsid w:val="23500EF4"/>
    <w:rsid w:val="2356080E"/>
    <w:rsid w:val="2356E319"/>
    <w:rsid w:val="23573910"/>
    <w:rsid w:val="23586D64"/>
    <w:rsid w:val="235ABF43"/>
    <w:rsid w:val="235CAEC0"/>
    <w:rsid w:val="235CE1C2"/>
    <w:rsid w:val="235D8787"/>
    <w:rsid w:val="235F54BD"/>
    <w:rsid w:val="23600D03"/>
    <w:rsid w:val="2360F890"/>
    <w:rsid w:val="23616F54"/>
    <w:rsid w:val="2362A05E"/>
    <w:rsid w:val="236706AB"/>
    <w:rsid w:val="23672040"/>
    <w:rsid w:val="2368D719"/>
    <w:rsid w:val="236BE70E"/>
    <w:rsid w:val="236CB1DF"/>
    <w:rsid w:val="236CD461"/>
    <w:rsid w:val="236EDC63"/>
    <w:rsid w:val="23722E43"/>
    <w:rsid w:val="2375649A"/>
    <w:rsid w:val="2375C3AC"/>
    <w:rsid w:val="2376A210"/>
    <w:rsid w:val="23771DB0"/>
    <w:rsid w:val="2377BD2A"/>
    <w:rsid w:val="23785A48"/>
    <w:rsid w:val="2378E214"/>
    <w:rsid w:val="237B8307"/>
    <w:rsid w:val="237BC006"/>
    <w:rsid w:val="237C8BCE"/>
    <w:rsid w:val="237D5B44"/>
    <w:rsid w:val="237F6188"/>
    <w:rsid w:val="2384CADD"/>
    <w:rsid w:val="2385780F"/>
    <w:rsid w:val="23892715"/>
    <w:rsid w:val="238D6C73"/>
    <w:rsid w:val="238F6714"/>
    <w:rsid w:val="23903FBD"/>
    <w:rsid w:val="23908428"/>
    <w:rsid w:val="2390E984"/>
    <w:rsid w:val="2391EEF9"/>
    <w:rsid w:val="2393C4E4"/>
    <w:rsid w:val="23943F5C"/>
    <w:rsid w:val="2394D773"/>
    <w:rsid w:val="2395346D"/>
    <w:rsid w:val="2396C981"/>
    <w:rsid w:val="23970A09"/>
    <w:rsid w:val="23972E80"/>
    <w:rsid w:val="23992DC1"/>
    <w:rsid w:val="2399A0C8"/>
    <w:rsid w:val="239BFC5D"/>
    <w:rsid w:val="239EB017"/>
    <w:rsid w:val="239F1643"/>
    <w:rsid w:val="23A0B9C5"/>
    <w:rsid w:val="23A12964"/>
    <w:rsid w:val="23A2EE90"/>
    <w:rsid w:val="23A2F736"/>
    <w:rsid w:val="23A63D46"/>
    <w:rsid w:val="23A6C5E8"/>
    <w:rsid w:val="23A6F009"/>
    <w:rsid w:val="23ABC37A"/>
    <w:rsid w:val="23AC1E94"/>
    <w:rsid w:val="23AD0C91"/>
    <w:rsid w:val="23AD261F"/>
    <w:rsid w:val="23AD9396"/>
    <w:rsid w:val="23AF5054"/>
    <w:rsid w:val="23B0730B"/>
    <w:rsid w:val="23B42099"/>
    <w:rsid w:val="23B446AA"/>
    <w:rsid w:val="23B53D93"/>
    <w:rsid w:val="23B60A08"/>
    <w:rsid w:val="23B67E1F"/>
    <w:rsid w:val="23B685A6"/>
    <w:rsid w:val="23B94A53"/>
    <w:rsid w:val="23BA5360"/>
    <w:rsid w:val="23BB48F3"/>
    <w:rsid w:val="23C1BDD3"/>
    <w:rsid w:val="23C2C0CD"/>
    <w:rsid w:val="23C3C231"/>
    <w:rsid w:val="23C42E8C"/>
    <w:rsid w:val="23C48E74"/>
    <w:rsid w:val="23C566E1"/>
    <w:rsid w:val="23C6D004"/>
    <w:rsid w:val="23C6D18D"/>
    <w:rsid w:val="23C8AEA5"/>
    <w:rsid w:val="23C8E89F"/>
    <w:rsid w:val="23C94A5E"/>
    <w:rsid w:val="23CBCFFE"/>
    <w:rsid w:val="23CFBD86"/>
    <w:rsid w:val="23D49B14"/>
    <w:rsid w:val="23D63CEA"/>
    <w:rsid w:val="23D6CA43"/>
    <w:rsid w:val="23D8CD9E"/>
    <w:rsid w:val="23DA918E"/>
    <w:rsid w:val="23DB06CB"/>
    <w:rsid w:val="23DB0E13"/>
    <w:rsid w:val="23DBFE08"/>
    <w:rsid w:val="23DD12FB"/>
    <w:rsid w:val="23DD8A5B"/>
    <w:rsid w:val="23DF99AE"/>
    <w:rsid w:val="23DFB3E7"/>
    <w:rsid w:val="23E040C5"/>
    <w:rsid w:val="23E0A878"/>
    <w:rsid w:val="23E1D3F3"/>
    <w:rsid w:val="23E22B30"/>
    <w:rsid w:val="23E40154"/>
    <w:rsid w:val="23E49ED5"/>
    <w:rsid w:val="23ED2F7A"/>
    <w:rsid w:val="23ED9ED5"/>
    <w:rsid w:val="23EE6A2E"/>
    <w:rsid w:val="23EEF082"/>
    <w:rsid w:val="23F0327F"/>
    <w:rsid w:val="23F2A4B4"/>
    <w:rsid w:val="23F3E0F8"/>
    <w:rsid w:val="23F60260"/>
    <w:rsid w:val="23F72941"/>
    <w:rsid w:val="23F8678A"/>
    <w:rsid w:val="23F8F989"/>
    <w:rsid w:val="23F9B06C"/>
    <w:rsid w:val="23FB4EFF"/>
    <w:rsid w:val="23FB8871"/>
    <w:rsid w:val="23FBF792"/>
    <w:rsid w:val="23FC1EE3"/>
    <w:rsid w:val="23FC2B34"/>
    <w:rsid w:val="23FC5D8D"/>
    <w:rsid w:val="23FCBAF0"/>
    <w:rsid w:val="23FEEFEA"/>
    <w:rsid w:val="23FF3832"/>
    <w:rsid w:val="23FFD24F"/>
    <w:rsid w:val="24007E87"/>
    <w:rsid w:val="24016923"/>
    <w:rsid w:val="24019B37"/>
    <w:rsid w:val="2402A2BF"/>
    <w:rsid w:val="24038C3D"/>
    <w:rsid w:val="2404ABCC"/>
    <w:rsid w:val="2405D994"/>
    <w:rsid w:val="24081430"/>
    <w:rsid w:val="24087E6F"/>
    <w:rsid w:val="240B44F8"/>
    <w:rsid w:val="240BA6A4"/>
    <w:rsid w:val="240BDBBC"/>
    <w:rsid w:val="240BF2FA"/>
    <w:rsid w:val="24127CF1"/>
    <w:rsid w:val="2412A923"/>
    <w:rsid w:val="2412F23B"/>
    <w:rsid w:val="241334A6"/>
    <w:rsid w:val="241396D4"/>
    <w:rsid w:val="2413AE78"/>
    <w:rsid w:val="2413BBF3"/>
    <w:rsid w:val="24145761"/>
    <w:rsid w:val="2415AA3C"/>
    <w:rsid w:val="2418762E"/>
    <w:rsid w:val="2418ACDC"/>
    <w:rsid w:val="241A5FF1"/>
    <w:rsid w:val="241A7770"/>
    <w:rsid w:val="241AA876"/>
    <w:rsid w:val="241AF1CF"/>
    <w:rsid w:val="241C4666"/>
    <w:rsid w:val="241EFF17"/>
    <w:rsid w:val="241FFABA"/>
    <w:rsid w:val="2422AEC6"/>
    <w:rsid w:val="242441D2"/>
    <w:rsid w:val="242567E0"/>
    <w:rsid w:val="24263349"/>
    <w:rsid w:val="24264FEC"/>
    <w:rsid w:val="2426AE7C"/>
    <w:rsid w:val="242858D0"/>
    <w:rsid w:val="242B5890"/>
    <w:rsid w:val="242C5676"/>
    <w:rsid w:val="242CA288"/>
    <w:rsid w:val="242D98B9"/>
    <w:rsid w:val="2432D3F8"/>
    <w:rsid w:val="243348A7"/>
    <w:rsid w:val="2433A420"/>
    <w:rsid w:val="2434ADFB"/>
    <w:rsid w:val="2434E25D"/>
    <w:rsid w:val="24388B44"/>
    <w:rsid w:val="243BE8D9"/>
    <w:rsid w:val="244133F8"/>
    <w:rsid w:val="244187E1"/>
    <w:rsid w:val="2441E924"/>
    <w:rsid w:val="24437BD0"/>
    <w:rsid w:val="2443FB24"/>
    <w:rsid w:val="24449162"/>
    <w:rsid w:val="244632EE"/>
    <w:rsid w:val="24492161"/>
    <w:rsid w:val="2449A2F5"/>
    <w:rsid w:val="244ADF85"/>
    <w:rsid w:val="244CDD90"/>
    <w:rsid w:val="244DE1F6"/>
    <w:rsid w:val="244E65FB"/>
    <w:rsid w:val="2452963C"/>
    <w:rsid w:val="2454510A"/>
    <w:rsid w:val="24558E37"/>
    <w:rsid w:val="245BA44C"/>
    <w:rsid w:val="2461387D"/>
    <w:rsid w:val="24616D55"/>
    <w:rsid w:val="2462E271"/>
    <w:rsid w:val="2465E500"/>
    <w:rsid w:val="2465FFCF"/>
    <w:rsid w:val="24695F43"/>
    <w:rsid w:val="24696AA9"/>
    <w:rsid w:val="2469A41D"/>
    <w:rsid w:val="246A3610"/>
    <w:rsid w:val="246A73EC"/>
    <w:rsid w:val="246A843D"/>
    <w:rsid w:val="246B214A"/>
    <w:rsid w:val="246C5C15"/>
    <w:rsid w:val="246DC450"/>
    <w:rsid w:val="246FFB97"/>
    <w:rsid w:val="24702E7B"/>
    <w:rsid w:val="24711D34"/>
    <w:rsid w:val="2471901C"/>
    <w:rsid w:val="24723E24"/>
    <w:rsid w:val="2474A40C"/>
    <w:rsid w:val="24752D3F"/>
    <w:rsid w:val="24757711"/>
    <w:rsid w:val="2476207B"/>
    <w:rsid w:val="24769D53"/>
    <w:rsid w:val="2477C5E1"/>
    <w:rsid w:val="2478FD4D"/>
    <w:rsid w:val="24792287"/>
    <w:rsid w:val="247B8C9C"/>
    <w:rsid w:val="247D4452"/>
    <w:rsid w:val="247FEA36"/>
    <w:rsid w:val="248107D1"/>
    <w:rsid w:val="248365CE"/>
    <w:rsid w:val="2483FBBD"/>
    <w:rsid w:val="2485CC4A"/>
    <w:rsid w:val="2486C90A"/>
    <w:rsid w:val="2488686C"/>
    <w:rsid w:val="24887B14"/>
    <w:rsid w:val="248A49BD"/>
    <w:rsid w:val="248D69D2"/>
    <w:rsid w:val="2493A286"/>
    <w:rsid w:val="24956C4F"/>
    <w:rsid w:val="2495EBEA"/>
    <w:rsid w:val="24985109"/>
    <w:rsid w:val="24996F07"/>
    <w:rsid w:val="249AE655"/>
    <w:rsid w:val="249B7F1D"/>
    <w:rsid w:val="249D72E6"/>
    <w:rsid w:val="249E6168"/>
    <w:rsid w:val="24A2AF72"/>
    <w:rsid w:val="24A4EBEE"/>
    <w:rsid w:val="24A5BF7B"/>
    <w:rsid w:val="24A79328"/>
    <w:rsid w:val="24A7B88D"/>
    <w:rsid w:val="24A8B7A1"/>
    <w:rsid w:val="24A943D5"/>
    <w:rsid w:val="24A99367"/>
    <w:rsid w:val="24ABB74A"/>
    <w:rsid w:val="24ACBBC5"/>
    <w:rsid w:val="24AD17D6"/>
    <w:rsid w:val="24AEDE8B"/>
    <w:rsid w:val="24AF093C"/>
    <w:rsid w:val="24B04C25"/>
    <w:rsid w:val="24B051D1"/>
    <w:rsid w:val="24B0B6E7"/>
    <w:rsid w:val="24B21958"/>
    <w:rsid w:val="24B21EDB"/>
    <w:rsid w:val="24B30996"/>
    <w:rsid w:val="24B353E2"/>
    <w:rsid w:val="24B4303B"/>
    <w:rsid w:val="24B5B14F"/>
    <w:rsid w:val="24B6A1BF"/>
    <w:rsid w:val="24B7CC77"/>
    <w:rsid w:val="24BD6CFB"/>
    <w:rsid w:val="24BDEFB5"/>
    <w:rsid w:val="24BECC20"/>
    <w:rsid w:val="24BF68F7"/>
    <w:rsid w:val="24BF939E"/>
    <w:rsid w:val="24BFCB8E"/>
    <w:rsid w:val="24C16E50"/>
    <w:rsid w:val="24C21234"/>
    <w:rsid w:val="24C29F0D"/>
    <w:rsid w:val="24C2B3A9"/>
    <w:rsid w:val="24C64DF8"/>
    <w:rsid w:val="24C73A50"/>
    <w:rsid w:val="24C81294"/>
    <w:rsid w:val="24CA2B9C"/>
    <w:rsid w:val="24CB5089"/>
    <w:rsid w:val="24CB85CC"/>
    <w:rsid w:val="24CE05C6"/>
    <w:rsid w:val="24D43378"/>
    <w:rsid w:val="24D4500F"/>
    <w:rsid w:val="24D7EB91"/>
    <w:rsid w:val="24D8D38B"/>
    <w:rsid w:val="24D932EB"/>
    <w:rsid w:val="24D93404"/>
    <w:rsid w:val="24D96359"/>
    <w:rsid w:val="24D992CF"/>
    <w:rsid w:val="24DA6393"/>
    <w:rsid w:val="24DAFE66"/>
    <w:rsid w:val="24DCB9AA"/>
    <w:rsid w:val="24DD3F0D"/>
    <w:rsid w:val="24DE9C4F"/>
    <w:rsid w:val="24E02C37"/>
    <w:rsid w:val="24E0F798"/>
    <w:rsid w:val="24E10A49"/>
    <w:rsid w:val="24E2F35E"/>
    <w:rsid w:val="24E661B7"/>
    <w:rsid w:val="24E7147C"/>
    <w:rsid w:val="24E7235A"/>
    <w:rsid w:val="24E7610F"/>
    <w:rsid w:val="24EAAB92"/>
    <w:rsid w:val="24EDB5A1"/>
    <w:rsid w:val="24EF9F76"/>
    <w:rsid w:val="24F00ACE"/>
    <w:rsid w:val="24F07B7A"/>
    <w:rsid w:val="24F0E821"/>
    <w:rsid w:val="24F212F5"/>
    <w:rsid w:val="24F26896"/>
    <w:rsid w:val="24F98B3C"/>
    <w:rsid w:val="24FB5B4D"/>
    <w:rsid w:val="24FD7275"/>
    <w:rsid w:val="24FEDADC"/>
    <w:rsid w:val="24FFAF34"/>
    <w:rsid w:val="2500B4F8"/>
    <w:rsid w:val="250446E9"/>
    <w:rsid w:val="250462C0"/>
    <w:rsid w:val="2504DE86"/>
    <w:rsid w:val="2504E60C"/>
    <w:rsid w:val="25068027"/>
    <w:rsid w:val="2506D4E1"/>
    <w:rsid w:val="2507026B"/>
    <w:rsid w:val="25094BD6"/>
    <w:rsid w:val="2509686D"/>
    <w:rsid w:val="250F05D3"/>
    <w:rsid w:val="250F4201"/>
    <w:rsid w:val="250F9A00"/>
    <w:rsid w:val="250FB12B"/>
    <w:rsid w:val="25117C9C"/>
    <w:rsid w:val="2512699D"/>
    <w:rsid w:val="2512D8DD"/>
    <w:rsid w:val="2513579F"/>
    <w:rsid w:val="251807B8"/>
    <w:rsid w:val="2518807C"/>
    <w:rsid w:val="2519457E"/>
    <w:rsid w:val="251B3288"/>
    <w:rsid w:val="251DE266"/>
    <w:rsid w:val="25206154"/>
    <w:rsid w:val="2520C100"/>
    <w:rsid w:val="2523842E"/>
    <w:rsid w:val="2523AC82"/>
    <w:rsid w:val="252429E9"/>
    <w:rsid w:val="25246C16"/>
    <w:rsid w:val="25273903"/>
    <w:rsid w:val="25275DD4"/>
    <w:rsid w:val="25288B6C"/>
    <w:rsid w:val="2529409A"/>
    <w:rsid w:val="252C6770"/>
    <w:rsid w:val="252CFECE"/>
    <w:rsid w:val="252F72EA"/>
    <w:rsid w:val="252FBFBB"/>
    <w:rsid w:val="252FCCA1"/>
    <w:rsid w:val="25300C73"/>
    <w:rsid w:val="25318748"/>
    <w:rsid w:val="2533EEBB"/>
    <w:rsid w:val="25342362"/>
    <w:rsid w:val="25368ACE"/>
    <w:rsid w:val="253B084A"/>
    <w:rsid w:val="253B31BA"/>
    <w:rsid w:val="253B6733"/>
    <w:rsid w:val="253F9069"/>
    <w:rsid w:val="2540A276"/>
    <w:rsid w:val="254329FE"/>
    <w:rsid w:val="2543D1D1"/>
    <w:rsid w:val="2544217E"/>
    <w:rsid w:val="25448DA6"/>
    <w:rsid w:val="25462C9E"/>
    <w:rsid w:val="25472B9E"/>
    <w:rsid w:val="2548D78E"/>
    <w:rsid w:val="25492870"/>
    <w:rsid w:val="25495830"/>
    <w:rsid w:val="254B1C38"/>
    <w:rsid w:val="25536700"/>
    <w:rsid w:val="2555B5E2"/>
    <w:rsid w:val="2555EE45"/>
    <w:rsid w:val="2556DF48"/>
    <w:rsid w:val="2557568A"/>
    <w:rsid w:val="255AD10B"/>
    <w:rsid w:val="255BCEE5"/>
    <w:rsid w:val="255CEE39"/>
    <w:rsid w:val="255E4DA6"/>
    <w:rsid w:val="255E78AC"/>
    <w:rsid w:val="255E95E8"/>
    <w:rsid w:val="255E9F53"/>
    <w:rsid w:val="255EC75B"/>
    <w:rsid w:val="25623A09"/>
    <w:rsid w:val="2564543A"/>
    <w:rsid w:val="2564DAFA"/>
    <w:rsid w:val="2564E3B8"/>
    <w:rsid w:val="25653D3B"/>
    <w:rsid w:val="25691031"/>
    <w:rsid w:val="2569847C"/>
    <w:rsid w:val="256A95D5"/>
    <w:rsid w:val="256BF778"/>
    <w:rsid w:val="256C2E8D"/>
    <w:rsid w:val="256D438B"/>
    <w:rsid w:val="256DEAF0"/>
    <w:rsid w:val="256E545A"/>
    <w:rsid w:val="256F220B"/>
    <w:rsid w:val="256F4504"/>
    <w:rsid w:val="256F79AA"/>
    <w:rsid w:val="2571407D"/>
    <w:rsid w:val="2572B23B"/>
    <w:rsid w:val="25733ED7"/>
    <w:rsid w:val="257A6531"/>
    <w:rsid w:val="257DEA5A"/>
    <w:rsid w:val="257F0EE3"/>
    <w:rsid w:val="257F6486"/>
    <w:rsid w:val="257F8186"/>
    <w:rsid w:val="2584696A"/>
    <w:rsid w:val="2585DA8B"/>
    <w:rsid w:val="2587A12B"/>
    <w:rsid w:val="2587B4FD"/>
    <w:rsid w:val="25889937"/>
    <w:rsid w:val="258980B7"/>
    <w:rsid w:val="258A8DEA"/>
    <w:rsid w:val="258B194E"/>
    <w:rsid w:val="258E38EF"/>
    <w:rsid w:val="25911E6E"/>
    <w:rsid w:val="259293F3"/>
    <w:rsid w:val="25929438"/>
    <w:rsid w:val="25947746"/>
    <w:rsid w:val="2595AEDC"/>
    <w:rsid w:val="25960C57"/>
    <w:rsid w:val="25977EC7"/>
    <w:rsid w:val="25991053"/>
    <w:rsid w:val="259FC86C"/>
    <w:rsid w:val="259FD1C7"/>
    <w:rsid w:val="25A0D609"/>
    <w:rsid w:val="25A29718"/>
    <w:rsid w:val="25A2A05F"/>
    <w:rsid w:val="25A435EA"/>
    <w:rsid w:val="25A5E20C"/>
    <w:rsid w:val="25A5F3FC"/>
    <w:rsid w:val="25A677BC"/>
    <w:rsid w:val="25A71CCA"/>
    <w:rsid w:val="25A78E1A"/>
    <w:rsid w:val="25A887CD"/>
    <w:rsid w:val="25A8E207"/>
    <w:rsid w:val="25AA053E"/>
    <w:rsid w:val="25AC6373"/>
    <w:rsid w:val="25ADAE0F"/>
    <w:rsid w:val="25ADC203"/>
    <w:rsid w:val="25B1B883"/>
    <w:rsid w:val="25B24AD9"/>
    <w:rsid w:val="25B383BA"/>
    <w:rsid w:val="25B42C09"/>
    <w:rsid w:val="25B56758"/>
    <w:rsid w:val="25B5C2AD"/>
    <w:rsid w:val="25B7F6FA"/>
    <w:rsid w:val="25B8ECF2"/>
    <w:rsid w:val="25B90FAE"/>
    <w:rsid w:val="25BDA06B"/>
    <w:rsid w:val="25BEC9D4"/>
    <w:rsid w:val="25C44FE1"/>
    <w:rsid w:val="25C86F5D"/>
    <w:rsid w:val="25C9AA42"/>
    <w:rsid w:val="25CAA161"/>
    <w:rsid w:val="25CB5E1F"/>
    <w:rsid w:val="25CBA6C3"/>
    <w:rsid w:val="25CDCC16"/>
    <w:rsid w:val="25D1A502"/>
    <w:rsid w:val="25D51FFC"/>
    <w:rsid w:val="25D62A05"/>
    <w:rsid w:val="25D6B708"/>
    <w:rsid w:val="25D7528A"/>
    <w:rsid w:val="25D80304"/>
    <w:rsid w:val="25D82EA4"/>
    <w:rsid w:val="25D8A149"/>
    <w:rsid w:val="25D9DCBA"/>
    <w:rsid w:val="25DA32F5"/>
    <w:rsid w:val="25DA3783"/>
    <w:rsid w:val="25DA9A9B"/>
    <w:rsid w:val="25DB7830"/>
    <w:rsid w:val="25DBB67A"/>
    <w:rsid w:val="25DC6346"/>
    <w:rsid w:val="25DEB464"/>
    <w:rsid w:val="25E18534"/>
    <w:rsid w:val="25E3D3F2"/>
    <w:rsid w:val="25E3EBA8"/>
    <w:rsid w:val="25E4866F"/>
    <w:rsid w:val="25E580D9"/>
    <w:rsid w:val="25E9E4E6"/>
    <w:rsid w:val="25ED69DC"/>
    <w:rsid w:val="25EDEB74"/>
    <w:rsid w:val="25EF1115"/>
    <w:rsid w:val="25EF604C"/>
    <w:rsid w:val="25EFC509"/>
    <w:rsid w:val="25F0EA70"/>
    <w:rsid w:val="25F1670A"/>
    <w:rsid w:val="25F5250B"/>
    <w:rsid w:val="25F6A84F"/>
    <w:rsid w:val="25F6E55C"/>
    <w:rsid w:val="25F8C97E"/>
    <w:rsid w:val="25F925B9"/>
    <w:rsid w:val="25FB0B43"/>
    <w:rsid w:val="25FC4FC3"/>
    <w:rsid w:val="25FCF2E4"/>
    <w:rsid w:val="25FD60B6"/>
    <w:rsid w:val="2606E906"/>
    <w:rsid w:val="26091BB0"/>
    <w:rsid w:val="26092395"/>
    <w:rsid w:val="260951FD"/>
    <w:rsid w:val="260B9130"/>
    <w:rsid w:val="260CB7FF"/>
    <w:rsid w:val="260F08D9"/>
    <w:rsid w:val="2610E459"/>
    <w:rsid w:val="2612F1F6"/>
    <w:rsid w:val="26135377"/>
    <w:rsid w:val="26144126"/>
    <w:rsid w:val="2618A5BA"/>
    <w:rsid w:val="26191E0E"/>
    <w:rsid w:val="26192CFD"/>
    <w:rsid w:val="261ABA02"/>
    <w:rsid w:val="261C7074"/>
    <w:rsid w:val="261E9E6E"/>
    <w:rsid w:val="261EF372"/>
    <w:rsid w:val="261FA581"/>
    <w:rsid w:val="261FA8EC"/>
    <w:rsid w:val="2620A6ED"/>
    <w:rsid w:val="2621BC6B"/>
    <w:rsid w:val="26226E11"/>
    <w:rsid w:val="2622FC55"/>
    <w:rsid w:val="26240DB5"/>
    <w:rsid w:val="2624B4E1"/>
    <w:rsid w:val="2624C3B9"/>
    <w:rsid w:val="2624F02A"/>
    <w:rsid w:val="2628F15B"/>
    <w:rsid w:val="262D0677"/>
    <w:rsid w:val="262F5492"/>
    <w:rsid w:val="263435C2"/>
    <w:rsid w:val="26350F67"/>
    <w:rsid w:val="2636DDFE"/>
    <w:rsid w:val="26371156"/>
    <w:rsid w:val="2637280B"/>
    <w:rsid w:val="263A3B85"/>
    <w:rsid w:val="263B2DEA"/>
    <w:rsid w:val="263BC0C7"/>
    <w:rsid w:val="263CB9F4"/>
    <w:rsid w:val="263D86C4"/>
    <w:rsid w:val="263DB7E8"/>
    <w:rsid w:val="263DD684"/>
    <w:rsid w:val="263E117F"/>
    <w:rsid w:val="263FEF75"/>
    <w:rsid w:val="2640D882"/>
    <w:rsid w:val="26419EAA"/>
    <w:rsid w:val="26426C73"/>
    <w:rsid w:val="26442ACB"/>
    <w:rsid w:val="2645063F"/>
    <w:rsid w:val="264ED461"/>
    <w:rsid w:val="26526278"/>
    <w:rsid w:val="2653D869"/>
    <w:rsid w:val="2657AEE2"/>
    <w:rsid w:val="265ACAC4"/>
    <w:rsid w:val="265BFF6C"/>
    <w:rsid w:val="266021E7"/>
    <w:rsid w:val="266081D1"/>
    <w:rsid w:val="26626AFA"/>
    <w:rsid w:val="2666561C"/>
    <w:rsid w:val="266671C7"/>
    <w:rsid w:val="266691F3"/>
    <w:rsid w:val="266A4530"/>
    <w:rsid w:val="266BE8AB"/>
    <w:rsid w:val="266C73DA"/>
    <w:rsid w:val="266C8D12"/>
    <w:rsid w:val="266CE60F"/>
    <w:rsid w:val="266D0E24"/>
    <w:rsid w:val="26716A2E"/>
    <w:rsid w:val="2673603D"/>
    <w:rsid w:val="2676FC25"/>
    <w:rsid w:val="2679444E"/>
    <w:rsid w:val="267CE7AC"/>
    <w:rsid w:val="267D46D6"/>
    <w:rsid w:val="267E59DF"/>
    <w:rsid w:val="267F41DF"/>
    <w:rsid w:val="267FEA80"/>
    <w:rsid w:val="268087D5"/>
    <w:rsid w:val="2689E652"/>
    <w:rsid w:val="268B9C85"/>
    <w:rsid w:val="268C190E"/>
    <w:rsid w:val="268CB379"/>
    <w:rsid w:val="268E9B75"/>
    <w:rsid w:val="26930A5E"/>
    <w:rsid w:val="269353BC"/>
    <w:rsid w:val="26941764"/>
    <w:rsid w:val="26946DF6"/>
    <w:rsid w:val="26947F24"/>
    <w:rsid w:val="269576C7"/>
    <w:rsid w:val="2697272D"/>
    <w:rsid w:val="2697409F"/>
    <w:rsid w:val="26975041"/>
    <w:rsid w:val="26977075"/>
    <w:rsid w:val="2699D774"/>
    <w:rsid w:val="269D53DC"/>
    <w:rsid w:val="26A0E67B"/>
    <w:rsid w:val="26A12DB0"/>
    <w:rsid w:val="26A3E134"/>
    <w:rsid w:val="26A3ECC1"/>
    <w:rsid w:val="26A619A9"/>
    <w:rsid w:val="26A64A6C"/>
    <w:rsid w:val="26A7C908"/>
    <w:rsid w:val="26AB9B65"/>
    <w:rsid w:val="26AEFB35"/>
    <w:rsid w:val="26AFF7D4"/>
    <w:rsid w:val="26B15BA1"/>
    <w:rsid w:val="26B50FE4"/>
    <w:rsid w:val="26B5736C"/>
    <w:rsid w:val="26B60564"/>
    <w:rsid w:val="26B6FEF6"/>
    <w:rsid w:val="26B7AF06"/>
    <w:rsid w:val="26B7D48A"/>
    <w:rsid w:val="26B80617"/>
    <w:rsid w:val="26B9295F"/>
    <w:rsid w:val="26BA83FB"/>
    <w:rsid w:val="26BD10CA"/>
    <w:rsid w:val="26BDB416"/>
    <w:rsid w:val="26BEDE3E"/>
    <w:rsid w:val="26BF0737"/>
    <w:rsid w:val="26BF41BA"/>
    <w:rsid w:val="26C1F96D"/>
    <w:rsid w:val="26C265CF"/>
    <w:rsid w:val="26C3C49B"/>
    <w:rsid w:val="26C443BD"/>
    <w:rsid w:val="26C6BE57"/>
    <w:rsid w:val="26CA954F"/>
    <w:rsid w:val="26CAEC96"/>
    <w:rsid w:val="26CAF6A0"/>
    <w:rsid w:val="26CCE4AA"/>
    <w:rsid w:val="26CCF289"/>
    <w:rsid w:val="26CDF8D1"/>
    <w:rsid w:val="26CF047A"/>
    <w:rsid w:val="26CFE038"/>
    <w:rsid w:val="26D087B0"/>
    <w:rsid w:val="26D2184D"/>
    <w:rsid w:val="26D59220"/>
    <w:rsid w:val="26D912DB"/>
    <w:rsid w:val="26D95E6C"/>
    <w:rsid w:val="26DA283F"/>
    <w:rsid w:val="26DA6666"/>
    <w:rsid w:val="26DCAFA5"/>
    <w:rsid w:val="26DE5380"/>
    <w:rsid w:val="26E112B2"/>
    <w:rsid w:val="26E330D2"/>
    <w:rsid w:val="26E36350"/>
    <w:rsid w:val="26E61279"/>
    <w:rsid w:val="26E6985B"/>
    <w:rsid w:val="26E72298"/>
    <w:rsid w:val="26E80400"/>
    <w:rsid w:val="26E99840"/>
    <w:rsid w:val="26E9BA89"/>
    <w:rsid w:val="26EA300B"/>
    <w:rsid w:val="26EC1C9B"/>
    <w:rsid w:val="26EC6FC3"/>
    <w:rsid w:val="26EEEE1A"/>
    <w:rsid w:val="26EFC486"/>
    <w:rsid w:val="26F0BB56"/>
    <w:rsid w:val="26F1980D"/>
    <w:rsid w:val="26F2C099"/>
    <w:rsid w:val="26F2CBFD"/>
    <w:rsid w:val="26F3F7F7"/>
    <w:rsid w:val="26F40F17"/>
    <w:rsid w:val="26F4EF16"/>
    <w:rsid w:val="26F5B102"/>
    <w:rsid w:val="26F5C623"/>
    <w:rsid w:val="26F6E4E1"/>
    <w:rsid w:val="26F877E1"/>
    <w:rsid w:val="26F9F213"/>
    <w:rsid w:val="26FB98CC"/>
    <w:rsid w:val="26FC32F7"/>
    <w:rsid w:val="26FE894C"/>
    <w:rsid w:val="26FEF31E"/>
    <w:rsid w:val="26FEFEE7"/>
    <w:rsid w:val="270032F2"/>
    <w:rsid w:val="27004F51"/>
    <w:rsid w:val="270153C2"/>
    <w:rsid w:val="27017A96"/>
    <w:rsid w:val="27039946"/>
    <w:rsid w:val="27073826"/>
    <w:rsid w:val="270AA447"/>
    <w:rsid w:val="270AD983"/>
    <w:rsid w:val="270CE464"/>
    <w:rsid w:val="270D3812"/>
    <w:rsid w:val="270D4947"/>
    <w:rsid w:val="270F652C"/>
    <w:rsid w:val="270F7C3B"/>
    <w:rsid w:val="2712577A"/>
    <w:rsid w:val="271347E4"/>
    <w:rsid w:val="271355C2"/>
    <w:rsid w:val="2713D313"/>
    <w:rsid w:val="2715E4D3"/>
    <w:rsid w:val="2717925F"/>
    <w:rsid w:val="271B2397"/>
    <w:rsid w:val="271B51DF"/>
    <w:rsid w:val="271C24DF"/>
    <w:rsid w:val="271DB369"/>
    <w:rsid w:val="271E81FC"/>
    <w:rsid w:val="272069B6"/>
    <w:rsid w:val="27220ED1"/>
    <w:rsid w:val="2726A71F"/>
    <w:rsid w:val="2728D09A"/>
    <w:rsid w:val="272A07DE"/>
    <w:rsid w:val="272AE86D"/>
    <w:rsid w:val="272B2638"/>
    <w:rsid w:val="272D4A30"/>
    <w:rsid w:val="272D7893"/>
    <w:rsid w:val="272E799D"/>
    <w:rsid w:val="27309FBA"/>
    <w:rsid w:val="27313DC2"/>
    <w:rsid w:val="27337F1B"/>
    <w:rsid w:val="273501CE"/>
    <w:rsid w:val="2739A712"/>
    <w:rsid w:val="273A54ED"/>
    <w:rsid w:val="2740BB83"/>
    <w:rsid w:val="2741AF4A"/>
    <w:rsid w:val="2741B7A0"/>
    <w:rsid w:val="27446027"/>
    <w:rsid w:val="27495154"/>
    <w:rsid w:val="274A048E"/>
    <w:rsid w:val="274A76A5"/>
    <w:rsid w:val="274AEE97"/>
    <w:rsid w:val="274B5EE9"/>
    <w:rsid w:val="274BD8DC"/>
    <w:rsid w:val="274E9C98"/>
    <w:rsid w:val="274EC8CA"/>
    <w:rsid w:val="274F2507"/>
    <w:rsid w:val="274FE834"/>
    <w:rsid w:val="2754B0D8"/>
    <w:rsid w:val="27552AC4"/>
    <w:rsid w:val="2755E57D"/>
    <w:rsid w:val="27565B3E"/>
    <w:rsid w:val="27565E6C"/>
    <w:rsid w:val="27571DE5"/>
    <w:rsid w:val="2757359C"/>
    <w:rsid w:val="2757CABB"/>
    <w:rsid w:val="275840A2"/>
    <w:rsid w:val="2758FDB1"/>
    <w:rsid w:val="27594C62"/>
    <w:rsid w:val="275A0122"/>
    <w:rsid w:val="275B5D2E"/>
    <w:rsid w:val="275DB7B1"/>
    <w:rsid w:val="275DB7E8"/>
    <w:rsid w:val="2760E4A1"/>
    <w:rsid w:val="2760EE57"/>
    <w:rsid w:val="276178CB"/>
    <w:rsid w:val="27636A84"/>
    <w:rsid w:val="2763EF6F"/>
    <w:rsid w:val="27641502"/>
    <w:rsid w:val="2766B821"/>
    <w:rsid w:val="27696B6D"/>
    <w:rsid w:val="276EE9C8"/>
    <w:rsid w:val="276F5DEF"/>
    <w:rsid w:val="277024C8"/>
    <w:rsid w:val="2772291E"/>
    <w:rsid w:val="277282C1"/>
    <w:rsid w:val="27740794"/>
    <w:rsid w:val="277638A1"/>
    <w:rsid w:val="2778EC81"/>
    <w:rsid w:val="277B0807"/>
    <w:rsid w:val="277C0253"/>
    <w:rsid w:val="277C180A"/>
    <w:rsid w:val="277C342D"/>
    <w:rsid w:val="2780A28B"/>
    <w:rsid w:val="278185DE"/>
    <w:rsid w:val="2783B0A2"/>
    <w:rsid w:val="2786BA65"/>
    <w:rsid w:val="2787D86D"/>
    <w:rsid w:val="2788DB83"/>
    <w:rsid w:val="278A5AD4"/>
    <w:rsid w:val="278BB096"/>
    <w:rsid w:val="278BC3E0"/>
    <w:rsid w:val="278D1D00"/>
    <w:rsid w:val="278D57AA"/>
    <w:rsid w:val="278FDB05"/>
    <w:rsid w:val="27901AB0"/>
    <w:rsid w:val="27940B0D"/>
    <w:rsid w:val="2796EF9F"/>
    <w:rsid w:val="2799621D"/>
    <w:rsid w:val="279B4D85"/>
    <w:rsid w:val="279FDF54"/>
    <w:rsid w:val="27A0ADED"/>
    <w:rsid w:val="27A283C2"/>
    <w:rsid w:val="27A4DF84"/>
    <w:rsid w:val="27A67A53"/>
    <w:rsid w:val="27A75B27"/>
    <w:rsid w:val="27A78D7A"/>
    <w:rsid w:val="27A9D2A2"/>
    <w:rsid w:val="27AAAF69"/>
    <w:rsid w:val="27AAEDDC"/>
    <w:rsid w:val="27AE9390"/>
    <w:rsid w:val="27B004F8"/>
    <w:rsid w:val="27B17EBB"/>
    <w:rsid w:val="27B36CFE"/>
    <w:rsid w:val="27B37623"/>
    <w:rsid w:val="27B8337B"/>
    <w:rsid w:val="27B87727"/>
    <w:rsid w:val="27B8B8EF"/>
    <w:rsid w:val="27B924D2"/>
    <w:rsid w:val="27BA5505"/>
    <w:rsid w:val="27BAAE40"/>
    <w:rsid w:val="27C1170C"/>
    <w:rsid w:val="27C352C8"/>
    <w:rsid w:val="27C56A41"/>
    <w:rsid w:val="27C77B04"/>
    <w:rsid w:val="27C82BE3"/>
    <w:rsid w:val="27C8FCAF"/>
    <w:rsid w:val="27C93212"/>
    <w:rsid w:val="27C93265"/>
    <w:rsid w:val="27CA1BE3"/>
    <w:rsid w:val="27CB10D5"/>
    <w:rsid w:val="27CBAC9E"/>
    <w:rsid w:val="27CBEF3E"/>
    <w:rsid w:val="27CD2346"/>
    <w:rsid w:val="27CD3D2F"/>
    <w:rsid w:val="27CDDD82"/>
    <w:rsid w:val="27CF7D5F"/>
    <w:rsid w:val="27CF83D7"/>
    <w:rsid w:val="27D15BDD"/>
    <w:rsid w:val="27D200EB"/>
    <w:rsid w:val="27D36EAE"/>
    <w:rsid w:val="27D544B4"/>
    <w:rsid w:val="27D5EAD8"/>
    <w:rsid w:val="27D5F3F2"/>
    <w:rsid w:val="27D7DCEC"/>
    <w:rsid w:val="27DA42B1"/>
    <w:rsid w:val="27DABCD2"/>
    <w:rsid w:val="27DC39B0"/>
    <w:rsid w:val="27DCB606"/>
    <w:rsid w:val="27DDF194"/>
    <w:rsid w:val="27E00D8A"/>
    <w:rsid w:val="27E17252"/>
    <w:rsid w:val="27E4738E"/>
    <w:rsid w:val="27E4996C"/>
    <w:rsid w:val="27E5AD7D"/>
    <w:rsid w:val="27EA9097"/>
    <w:rsid w:val="27EB73D9"/>
    <w:rsid w:val="27EBBB84"/>
    <w:rsid w:val="27ECFA4E"/>
    <w:rsid w:val="27EE1A45"/>
    <w:rsid w:val="27EF8098"/>
    <w:rsid w:val="27F016EF"/>
    <w:rsid w:val="27F5C863"/>
    <w:rsid w:val="27F73890"/>
    <w:rsid w:val="27FB3947"/>
    <w:rsid w:val="27FB91D9"/>
    <w:rsid w:val="27FC28BF"/>
    <w:rsid w:val="27FC764D"/>
    <w:rsid w:val="27FE70CB"/>
    <w:rsid w:val="2800751D"/>
    <w:rsid w:val="28007D30"/>
    <w:rsid w:val="280082C1"/>
    <w:rsid w:val="2802F89E"/>
    <w:rsid w:val="28032504"/>
    <w:rsid w:val="2803D251"/>
    <w:rsid w:val="2805F965"/>
    <w:rsid w:val="28062A15"/>
    <w:rsid w:val="28067121"/>
    <w:rsid w:val="28068F21"/>
    <w:rsid w:val="280885E3"/>
    <w:rsid w:val="2809D0E3"/>
    <w:rsid w:val="280A2EE4"/>
    <w:rsid w:val="280A3A3B"/>
    <w:rsid w:val="280A4120"/>
    <w:rsid w:val="280A4CA5"/>
    <w:rsid w:val="280B5074"/>
    <w:rsid w:val="280D1AD5"/>
    <w:rsid w:val="280DA67F"/>
    <w:rsid w:val="280E7590"/>
    <w:rsid w:val="280ED33B"/>
    <w:rsid w:val="280F97E0"/>
    <w:rsid w:val="280FA71C"/>
    <w:rsid w:val="28115521"/>
    <w:rsid w:val="28121126"/>
    <w:rsid w:val="2813021A"/>
    <w:rsid w:val="28135896"/>
    <w:rsid w:val="2814125E"/>
    <w:rsid w:val="28168349"/>
    <w:rsid w:val="28176FD1"/>
    <w:rsid w:val="281B044B"/>
    <w:rsid w:val="281B33AF"/>
    <w:rsid w:val="281D7A61"/>
    <w:rsid w:val="28219809"/>
    <w:rsid w:val="282244DB"/>
    <w:rsid w:val="282301E7"/>
    <w:rsid w:val="28234305"/>
    <w:rsid w:val="28278E16"/>
    <w:rsid w:val="2827F1E1"/>
    <w:rsid w:val="282A653C"/>
    <w:rsid w:val="282C2CE2"/>
    <w:rsid w:val="282C311E"/>
    <w:rsid w:val="28369A24"/>
    <w:rsid w:val="28377E4F"/>
    <w:rsid w:val="2838515A"/>
    <w:rsid w:val="283A2B4B"/>
    <w:rsid w:val="283A7AC4"/>
    <w:rsid w:val="283BC05D"/>
    <w:rsid w:val="283CEF06"/>
    <w:rsid w:val="283E201B"/>
    <w:rsid w:val="283EF4C6"/>
    <w:rsid w:val="2840659D"/>
    <w:rsid w:val="28429751"/>
    <w:rsid w:val="2842ACF5"/>
    <w:rsid w:val="2844DCB5"/>
    <w:rsid w:val="2844EDE8"/>
    <w:rsid w:val="2847BF5D"/>
    <w:rsid w:val="284859C6"/>
    <w:rsid w:val="28498831"/>
    <w:rsid w:val="2852139A"/>
    <w:rsid w:val="2852179B"/>
    <w:rsid w:val="285266BD"/>
    <w:rsid w:val="2852CF7C"/>
    <w:rsid w:val="28534F7E"/>
    <w:rsid w:val="2854BA63"/>
    <w:rsid w:val="28565A56"/>
    <w:rsid w:val="28592C2B"/>
    <w:rsid w:val="2859E2F0"/>
    <w:rsid w:val="285AE65D"/>
    <w:rsid w:val="285BA196"/>
    <w:rsid w:val="285CEDA7"/>
    <w:rsid w:val="285DD72F"/>
    <w:rsid w:val="285E493A"/>
    <w:rsid w:val="285E4ACD"/>
    <w:rsid w:val="285E7A3F"/>
    <w:rsid w:val="285E9166"/>
    <w:rsid w:val="285FBF74"/>
    <w:rsid w:val="28612610"/>
    <w:rsid w:val="28639506"/>
    <w:rsid w:val="2863B153"/>
    <w:rsid w:val="2864190E"/>
    <w:rsid w:val="28676DAA"/>
    <w:rsid w:val="2867B3EC"/>
    <w:rsid w:val="28689BB5"/>
    <w:rsid w:val="2868B0ED"/>
    <w:rsid w:val="2869A89A"/>
    <w:rsid w:val="2869BF56"/>
    <w:rsid w:val="286A9852"/>
    <w:rsid w:val="286BA772"/>
    <w:rsid w:val="286CE1C6"/>
    <w:rsid w:val="286DBFA9"/>
    <w:rsid w:val="286E6A10"/>
    <w:rsid w:val="286F171A"/>
    <w:rsid w:val="286F790D"/>
    <w:rsid w:val="286F9973"/>
    <w:rsid w:val="28702605"/>
    <w:rsid w:val="2870FDFE"/>
    <w:rsid w:val="28714B73"/>
    <w:rsid w:val="2873A2F2"/>
    <w:rsid w:val="2874A59E"/>
    <w:rsid w:val="28751FB1"/>
    <w:rsid w:val="2875BDB1"/>
    <w:rsid w:val="28762F2F"/>
    <w:rsid w:val="2876784B"/>
    <w:rsid w:val="28767B49"/>
    <w:rsid w:val="287692A6"/>
    <w:rsid w:val="28793F7E"/>
    <w:rsid w:val="287951F9"/>
    <w:rsid w:val="287CA733"/>
    <w:rsid w:val="287E3903"/>
    <w:rsid w:val="287EC8EE"/>
    <w:rsid w:val="287F33DE"/>
    <w:rsid w:val="288031D1"/>
    <w:rsid w:val="288773BC"/>
    <w:rsid w:val="2887A71E"/>
    <w:rsid w:val="28898A25"/>
    <w:rsid w:val="288A5C57"/>
    <w:rsid w:val="288B07B6"/>
    <w:rsid w:val="288BD561"/>
    <w:rsid w:val="288CDD8B"/>
    <w:rsid w:val="288D8DE1"/>
    <w:rsid w:val="288EBCF1"/>
    <w:rsid w:val="28907CF1"/>
    <w:rsid w:val="2891285D"/>
    <w:rsid w:val="289231F8"/>
    <w:rsid w:val="2894D966"/>
    <w:rsid w:val="2895FA81"/>
    <w:rsid w:val="2899BDAB"/>
    <w:rsid w:val="289A872D"/>
    <w:rsid w:val="289ADC43"/>
    <w:rsid w:val="289DE2E4"/>
    <w:rsid w:val="289E17BB"/>
    <w:rsid w:val="28A08F4B"/>
    <w:rsid w:val="28A2DC64"/>
    <w:rsid w:val="28A41113"/>
    <w:rsid w:val="28A54F5C"/>
    <w:rsid w:val="28A655CA"/>
    <w:rsid w:val="28A69520"/>
    <w:rsid w:val="28A760A0"/>
    <w:rsid w:val="28A7AC5A"/>
    <w:rsid w:val="28A8471E"/>
    <w:rsid w:val="28A85C72"/>
    <w:rsid w:val="28AAA109"/>
    <w:rsid w:val="28ABE282"/>
    <w:rsid w:val="28AEC4A7"/>
    <w:rsid w:val="28AF4D7F"/>
    <w:rsid w:val="28B18D84"/>
    <w:rsid w:val="28B2B781"/>
    <w:rsid w:val="28B4161A"/>
    <w:rsid w:val="28B46133"/>
    <w:rsid w:val="28B61783"/>
    <w:rsid w:val="28B6E99A"/>
    <w:rsid w:val="28B7B630"/>
    <w:rsid w:val="28B81DCE"/>
    <w:rsid w:val="28B950EE"/>
    <w:rsid w:val="28BC108E"/>
    <w:rsid w:val="28BDACBE"/>
    <w:rsid w:val="28BDE120"/>
    <w:rsid w:val="28BEC048"/>
    <w:rsid w:val="28C0654D"/>
    <w:rsid w:val="28C17FF2"/>
    <w:rsid w:val="28C310E4"/>
    <w:rsid w:val="28C566C3"/>
    <w:rsid w:val="28C58443"/>
    <w:rsid w:val="28C6603C"/>
    <w:rsid w:val="28C688C1"/>
    <w:rsid w:val="28C7DE72"/>
    <w:rsid w:val="28C86351"/>
    <w:rsid w:val="28CADB64"/>
    <w:rsid w:val="28CCA5B4"/>
    <w:rsid w:val="28D2B53B"/>
    <w:rsid w:val="28D306ED"/>
    <w:rsid w:val="28D4D08C"/>
    <w:rsid w:val="28D82E66"/>
    <w:rsid w:val="28D85C6D"/>
    <w:rsid w:val="28D8BE52"/>
    <w:rsid w:val="28DBBF18"/>
    <w:rsid w:val="28DC9B8C"/>
    <w:rsid w:val="28DD38F0"/>
    <w:rsid w:val="28DD426B"/>
    <w:rsid w:val="28DDD71A"/>
    <w:rsid w:val="28DFDDA6"/>
    <w:rsid w:val="28E25161"/>
    <w:rsid w:val="28E28761"/>
    <w:rsid w:val="28E385EE"/>
    <w:rsid w:val="28E4902A"/>
    <w:rsid w:val="28E8B7A0"/>
    <w:rsid w:val="28EA83DC"/>
    <w:rsid w:val="28EBC667"/>
    <w:rsid w:val="28ED9D90"/>
    <w:rsid w:val="28EDA9C6"/>
    <w:rsid w:val="28F0D4EF"/>
    <w:rsid w:val="28F19E30"/>
    <w:rsid w:val="28F3655C"/>
    <w:rsid w:val="28F4F79E"/>
    <w:rsid w:val="28F55C74"/>
    <w:rsid w:val="28F6C513"/>
    <w:rsid w:val="28FB9596"/>
    <w:rsid w:val="28FBA6B9"/>
    <w:rsid w:val="28FD0596"/>
    <w:rsid w:val="28FE2D6C"/>
    <w:rsid w:val="29033E7B"/>
    <w:rsid w:val="29035FD0"/>
    <w:rsid w:val="2907888C"/>
    <w:rsid w:val="2907BB29"/>
    <w:rsid w:val="290A55BE"/>
    <w:rsid w:val="290BEA61"/>
    <w:rsid w:val="290BF391"/>
    <w:rsid w:val="290E4EBB"/>
    <w:rsid w:val="290E86A3"/>
    <w:rsid w:val="290FD34C"/>
    <w:rsid w:val="29102538"/>
    <w:rsid w:val="29116D67"/>
    <w:rsid w:val="2911EB9C"/>
    <w:rsid w:val="29133E43"/>
    <w:rsid w:val="29145490"/>
    <w:rsid w:val="2915B1F7"/>
    <w:rsid w:val="2918EAA2"/>
    <w:rsid w:val="291EB86B"/>
    <w:rsid w:val="291F1F42"/>
    <w:rsid w:val="2921113F"/>
    <w:rsid w:val="2922B63A"/>
    <w:rsid w:val="2923EFCF"/>
    <w:rsid w:val="29245409"/>
    <w:rsid w:val="2927D762"/>
    <w:rsid w:val="2928D44B"/>
    <w:rsid w:val="292A2F42"/>
    <w:rsid w:val="292DE9D8"/>
    <w:rsid w:val="292EE174"/>
    <w:rsid w:val="292EF6EC"/>
    <w:rsid w:val="292F84AC"/>
    <w:rsid w:val="2931BA15"/>
    <w:rsid w:val="293254EE"/>
    <w:rsid w:val="293338DC"/>
    <w:rsid w:val="293344C8"/>
    <w:rsid w:val="2934AE51"/>
    <w:rsid w:val="2937A49F"/>
    <w:rsid w:val="2939D501"/>
    <w:rsid w:val="2939EB62"/>
    <w:rsid w:val="293B8011"/>
    <w:rsid w:val="29403664"/>
    <w:rsid w:val="29445FB3"/>
    <w:rsid w:val="2949340E"/>
    <w:rsid w:val="2949DD5A"/>
    <w:rsid w:val="294B4BAA"/>
    <w:rsid w:val="294C087F"/>
    <w:rsid w:val="294D0C72"/>
    <w:rsid w:val="294E5533"/>
    <w:rsid w:val="294F0F66"/>
    <w:rsid w:val="294F1B6D"/>
    <w:rsid w:val="294F5E58"/>
    <w:rsid w:val="2950ECF4"/>
    <w:rsid w:val="29510BA3"/>
    <w:rsid w:val="295132E9"/>
    <w:rsid w:val="2952F7B4"/>
    <w:rsid w:val="29551A25"/>
    <w:rsid w:val="29562E4F"/>
    <w:rsid w:val="295654C1"/>
    <w:rsid w:val="29576419"/>
    <w:rsid w:val="2959DED1"/>
    <w:rsid w:val="295C2C91"/>
    <w:rsid w:val="295D301F"/>
    <w:rsid w:val="295E1E8F"/>
    <w:rsid w:val="29613960"/>
    <w:rsid w:val="29616730"/>
    <w:rsid w:val="2962A2D7"/>
    <w:rsid w:val="2962DFE9"/>
    <w:rsid w:val="296503BA"/>
    <w:rsid w:val="2965143D"/>
    <w:rsid w:val="29668B53"/>
    <w:rsid w:val="2968F2A9"/>
    <w:rsid w:val="296A2AE5"/>
    <w:rsid w:val="296A5262"/>
    <w:rsid w:val="296BCED3"/>
    <w:rsid w:val="296EC51A"/>
    <w:rsid w:val="296F9B96"/>
    <w:rsid w:val="29703173"/>
    <w:rsid w:val="2970EF1E"/>
    <w:rsid w:val="2970F9DB"/>
    <w:rsid w:val="2971151E"/>
    <w:rsid w:val="2974E150"/>
    <w:rsid w:val="29751D66"/>
    <w:rsid w:val="29766976"/>
    <w:rsid w:val="29769FEA"/>
    <w:rsid w:val="29771E2C"/>
    <w:rsid w:val="29791806"/>
    <w:rsid w:val="297A30C8"/>
    <w:rsid w:val="297B076C"/>
    <w:rsid w:val="297C59F2"/>
    <w:rsid w:val="297CD5A7"/>
    <w:rsid w:val="297CDBB4"/>
    <w:rsid w:val="29803135"/>
    <w:rsid w:val="2985DEBF"/>
    <w:rsid w:val="2986436E"/>
    <w:rsid w:val="2986EB99"/>
    <w:rsid w:val="298A8C2B"/>
    <w:rsid w:val="298ACE5B"/>
    <w:rsid w:val="298E80F5"/>
    <w:rsid w:val="298EF337"/>
    <w:rsid w:val="29929B06"/>
    <w:rsid w:val="2992BAEA"/>
    <w:rsid w:val="29942A6A"/>
    <w:rsid w:val="299489DB"/>
    <w:rsid w:val="29956BB8"/>
    <w:rsid w:val="29967E40"/>
    <w:rsid w:val="2997187C"/>
    <w:rsid w:val="29977867"/>
    <w:rsid w:val="2998F4DF"/>
    <w:rsid w:val="299A52C5"/>
    <w:rsid w:val="299C39B6"/>
    <w:rsid w:val="299D902F"/>
    <w:rsid w:val="299ED30C"/>
    <w:rsid w:val="299F30E9"/>
    <w:rsid w:val="29A21377"/>
    <w:rsid w:val="29A55BEE"/>
    <w:rsid w:val="29A56A97"/>
    <w:rsid w:val="29A6D24E"/>
    <w:rsid w:val="29A710CB"/>
    <w:rsid w:val="29AAA021"/>
    <w:rsid w:val="29AB8BF8"/>
    <w:rsid w:val="29AC3930"/>
    <w:rsid w:val="29AD11CF"/>
    <w:rsid w:val="29AD956C"/>
    <w:rsid w:val="29AE1315"/>
    <w:rsid w:val="29AF3C6F"/>
    <w:rsid w:val="29B30D3E"/>
    <w:rsid w:val="29B5E960"/>
    <w:rsid w:val="29B6B518"/>
    <w:rsid w:val="29B7A341"/>
    <w:rsid w:val="29B9C0F5"/>
    <w:rsid w:val="29BAA077"/>
    <w:rsid w:val="29BC99A5"/>
    <w:rsid w:val="29BD97ED"/>
    <w:rsid w:val="29BED1BE"/>
    <w:rsid w:val="29C41FEF"/>
    <w:rsid w:val="29C56996"/>
    <w:rsid w:val="29C56F36"/>
    <w:rsid w:val="29C59218"/>
    <w:rsid w:val="29C61320"/>
    <w:rsid w:val="29C7072A"/>
    <w:rsid w:val="29C8A5D3"/>
    <w:rsid w:val="29CAA4E1"/>
    <w:rsid w:val="29CB8384"/>
    <w:rsid w:val="29CC2E39"/>
    <w:rsid w:val="29CEB87B"/>
    <w:rsid w:val="29CEF4A2"/>
    <w:rsid w:val="29D2E916"/>
    <w:rsid w:val="29D42FFB"/>
    <w:rsid w:val="29D5E5BB"/>
    <w:rsid w:val="29D6C074"/>
    <w:rsid w:val="29D83AF2"/>
    <w:rsid w:val="29D8BF8E"/>
    <w:rsid w:val="29D9A92D"/>
    <w:rsid w:val="29DAF415"/>
    <w:rsid w:val="29DB8779"/>
    <w:rsid w:val="29DBD615"/>
    <w:rsid w:val="29DC9139"/>
    <w:rsid w:val="29DD0EA9"/>
    <w:rsid w:val="29DE3EC5"/>
    <w:rsid w:val="29DE70EF"/>
    <w:rsid w:val="29DF1778"/>
    <w:rsid w:val="29E05CE1"/>
    <w:rsid w:val="29E0763C"/>
    <w:rsid w:val="29E26D40"/>
    <w:rsid w:val="29E2E27F"/>
    <w:rsid w:val="29E3531A"/>
    <w:rsid w:val="29E3DCE6"/>
    <w:rsid w:val="29E431F6"/>
    <w:rsid w:val="29E48531"/>
    <w:rsid w:val="29E61832"/>
    <w:rsid w:val="29E73FBD"/>
    <w:rsid w:val="29E81803"/>
    <w:rsid w:val="29E8A79B"/>
    <w:rsid w:val="29E8BFF6"/>
    <w:rsid w:val="29E95972"/>
    <w:rsid w:val="29E99183"/>
    <w:rsid w:val="29EAC9E9"/>
    <w:rsid w:val="29EBF98E"/>
    <w:rsid w:val="29F02931"/>
    <w:rsid w:val="29F035BF"/>
    <w:rsid w:val="29F0750D"/>
    <w:rsid w:val="29F273A4"/>
    <w:rsid w:val="29F34EFF"/>
    <w:rsid w:val="29F453A0"/>
    <w:rsid w:val="29F48BDA"/>
    <w:rsid w:val="29F4AED4"/>
    <w:rsid w:val="29F639CF"/>
    <w:rsid w:val="29F654A7"/>
    <w:rsid w:val="29FB0FEA"/>
    <w:rsid w:val="2A000325"/>
    <w:rsid w:val="2A011D77"/>
    <w:rsid w:val="2A02BD01"/>
    <w:rsid w:val="2A036B33"/>
    <w:rsid w:val="2A04AABC"/>
    <w:rsid w:val="2A061A33"/>
    <w:rsid w:val="2A08459C"/>
    <w:rsid w:val="2A0982F1"/>
    <w:rsid w:val="2A09BE2E"/>
    <w:rsid w:val="2A0A2001"/>
    <w:rsid w:val="2A0AF732"/>
    <w:rsid w:val="2A0D2E44"/>
    <w:rsid w:val="2A0E9295"/>
    <w:rsid w:val="2A0E9406"/>
    <w:rsid w:val="2A143E3B"/>
    <w:rsid w:val="2A151CDF"/>
    <w:rsid w:val="2A1592C3"/>
    <w:rsid w:val="2A1942DF"/>
    <w:rsid w:val="2A1986AD"/>
    <w:rsid w:val="2A1B3D8D"/>
    <w:rsid w:val="2A1C8038"/>
    <w:rsid w:val="2A1D1E71"/>
    <w:rsid w:val="2A1D3CFF"/>
    <w:rsid w:val="2A2016E7"/>
    <w:rsid w:val="2A20D575"/>
    <w:rsid w:val="2A2166A7"/>
    <w:rsid w:val="2A24981E"/>
    <w:rsid w:val="2A278F71"/>
    <w:rsid w:val="2A28A4A3"/>
    <w:rsid w:val="2A2BE07C"/>
    <w:rsid w:val="2A2C0A9A"/>
    <w:rsid w:val="2A2C9B60"/>
    <w:rsid w:val="2A2CEF99"/>
    <w:rsid w:val="2A2D3560"/>
    <w:rsid w:val="2A2D53D2"/>
    <w:rsid w:val="2A2D81D1"/>
    <w:rsid w:val="2A2F49F5"/>
    <w:rsid w:val="2A30E686"/>
    <w:rsid w:val="2A364B51"/>
    <w:rsid w:val="2A36D7F2"/>
    <w:rsid w:val="2A37554B"/>
    <w:rsid w:val="2A3846D4"/>
    <w:rsid w:val="2A387FDC"/>
    <w:rsid w:val="2A38A421"/>
    <w:rsid w:val="2A3C08CD"/>
    <w:rsid w:val="2A3DEEDC"/>
    <w:rsid w:val="2A3E7483"/>
    <w:rsid w:val="2A3EBBAF"/>
    <w:rsid w:val="2A3F6E59"/>
    <w:rsid w:val="2A3FD456"/>
    <w:rsid w:val="2A40BD10"/>
    <w:rsid w:val="2A4977B9"/>
    <w:rsid w:val="2A499C57"/>
    <w:rsid w:val="2A4A5C90"/>
    <w:rsid w:val="2A4BDB5C"/>
    <w:rsid w:val="2A4DBBAE"/>
    <w:rsid w:val="2A4FD674"/>
    <w:rsid w:val="2A504531"/>
    <w:rsid w:val="2A51863A"/>
    <w:rsid w:val="2A537909"/>
    <w:rsid w:val="2A58DC2F"/>
    <w:rsid w:val="2A5A88A5"/>
    <w:rsid w:val="2A5E9274"/>
    <w:rsid w:val="2A5F6E52"/>
    <w:rsid w:val="2A60126B"/>
    <w:rsid w:val="2A606F2A"/>
    <w:rsid w:val="2A607247"/>
    <w:rsid w:val="2A639FD8"/>
    <w:rsid w:val="2A63E1C5"/>
    <w:rsid w:val="2A653C13"/>
    <w:rsid w:val="2A674807"/>
    <w:rsid w:val="2A67E4DE"/>
    <w:rsid w:val="2A69B5FD"/>
    <w:rsid w:val="2A6A3D90"/>
    <w:rsid w:val="2A6B24A1"/>
    <w:rsid w:val="2A6D8F44"/>
    <w:rsid w:val="2A6F488E"/>
    <w:rsid w:val="2A719262"/>
    <w:rsid w:val="2A720240"/>
    <w:rsid w:val="2A7411C8"/>
    <w:rsid w:val="2A7536A3"/>
    <w:rsid w:val="2A774260"/>
    <w:rsid w:val="2A7A06A7"/>
    <w:rsid w:val="2A7CCBE6"/>
    <w:rsid w:val="2A7FE2A0"/>
    <w:rsid w:val="2A81F020"/>
    <w:rsid w:val="2A84765F"/>
    <w:rsid w:val="2A84F288"/>
    <w:rsid w:val="2A85B45F"/>
    <w:rsid w:val="2A85EBFE"/>
    <w:rsid w:val="2A872980"/>
    <w:rsid w:val="2A88B008"/>
    <w:rsid w:val="2A8A85A7"/>
    <w:rsid w:val="2A8C6054"/>
    <w:rsid w:val="2A8CBF61"/>
    <w:rsid w:val="2A8D2F9E"/>
    <w:rsid w:val="2A8E7DFB"/>
    <w:rsid w:val="2A8EA635"/>
    <w:rsid w:val="2A8EE7B5"/>
    <w:rsid w:val="2A90F86B"/>
    <w:rsid w:val="2A91AD4C"/>
    <w:rsid w:val="2A92E432"/>
    <w:rsid w:val="2A938748"/>
    <w:rsid w:val="2A94AB88"/>
    <w:rsid w:val="2A9608FE"/>
    <w:rsid w:val="2A9977DF"/>
    <w:rsid w:val="2A9CAACD"/>
    <w:rsid w:val="2A9CEB7D"/>
    <w:rsid w:val="2A9E1932"/>
    <w:rsid w:val="2AA00F8C"/>
    <w:rsid w:val="2AA2C9A4"/>
    <w:rsid w:val="2AA4C270"/>
    <w:rsid w:val="2AA4F80C"/>
    <w:rsid w:val="2AA910A1"/>
    <w:rsid w:val="2AAAA87D"/>
    <w:rsid w:val="2AACE44E"/>
    <w:rsid w:val="2AAD94B8"/>
    <w:rsid w:val="2AADBB77"/>
    <w:rsid w:val="2AAEC7D7"/>
    <w:rsid w:val="2AB08B46"/>
    <w:rsid w:val="2AB4DB0B"/>
    <w:rsid w:val="2AB51096"/>
    <w:rsid w:val="2AB5AC94"/>
    <w:rsid w:val="2AB65CDB"/>
    <w:rsid w:val="2ABB4236"/>
    <w:rsid w:val="2ABB5817"/>
    <w:rsid w:val="2ABD5ED3"/>
    <w:rsid w:val="2ABD98DE"/>
    <w:rsid w:val="2ABECBB1"/>
    <w:rsid w:val="2ABF1AF6"/>
    <w:rsid w:val="2AC28200"/>
    <w:rsid w:val="2AC3BEB8"/>
    <w:rsid w:val="2AC43343"/>
    <w:rsid w:val="2AC6A1D6"/>
    <w:rsid w:val="2AC9AD33"/>
    <w:rsid w:val="2ACA7198"/>
    <w:rsid w:val="2ACAC964"/>
    <w:rsid w:val="2ACBCF06"/>
    <w:rsid w:val="2ACF60C3"/>
    <w:rsid w:val="2ACFAC43"/>
    <w:rsid w:val="2AD25A9F"/>
    <w:rsid w:val="2AD2C11F"/>
    <w:rsid w:val="2AD2E45E"/>
    <w:rsid w:val="2AD43DD2"/>
    <w:rsid w:val="2AD58E5F"/>
    <w:rsid w:val="2AD62417"/>
    <w:rsid w:val="2AD71BA1"/>
    <w:rsid w:val="2AD7FE7B"/>
    <w:rsid w:val="2ADA1D53"/>
    <w:rsid w:val="2ADC963F"/>
    <w:rsid w:val="2ADE42B4"/>
    <w:rsid w:val="2ADEFB76"/>
    <w:rsid w:val="2AE0457C"/>
    <w:rsid w:val="2AE251EC"/>
    <w:rsid w:val="2AE39FD8"/>
    <w:rsid w:val="2AE7551E"/>
    <w:rsid w:val="2AE780C1"/>
    <w:rsid w:val="2AE949F2"/>
    <w:rsid w:val="2AF1D564"/>
    <w:rsid w:val="2AF231CB"/>
    <w:rsid w:val="2AF279C0"/>
    <w:rsid w:val="2AF75F7D"/>
    <w:rsid w:val="2AF9D8E6"/>
    <w:rsid w:val="2AFA0566"/>
    <w:rsid w:val="2AFE2B5B"/>
    <w:rsid w:val="2B0036CE"/>
    <w:rsid w:val="2B02CD25"/>
    <w:rsid w:val="2B05194E"/>
    <w:rsid w:val="2B0532AD"/>
    <w:rsid w:val="2B0613ED"/>
    <w:rsid w:val="2B079076"/>
    <w:rsid w:val="2B0927AA"/>
    <w:rsid w:val="2B0BECF7"/>
    <w:rsid w:val="2B0CAA00"/>
    <w:rsid w:val="2B0D1642"/>
    <w:rsid w:val="2B0E2990"/>
    <w:rsid w:val="2B0EE66B"/>
    <w:rsid w:val="2B1027C0"/>
    <w:rsid w:val="2B10E902"/>
    <w:rsid w:val="2B136D10"/>
    <w:rsid w:val="2B141B6B"/>
    <w:rsid w:val="2B147EA2"/>
    <w:rsid w:val="2B166D2A"/>
    <w:rsid w:val="2B18A71A"/>
    <w:rsid w:val="2B1AF98D"/>
    <w:rsid w:val="2B1B2C82"/>
    <w:rsid w:val="2B1C743E"/>
    <w:rsid w:val="2B1C8F00"/>
    <w:rsid w:val="2B1D6523"/>
    <w:rsid w:val="2B1F96AA"/>
    <w:rsid w:val="2B20A21C"/>
    <w:rsid w:val="2B20D491"/>
    <w:rsid w:val="2B217166"/>
    <w:rsid w:val="2B22664B"/>
    <w:rsid w:val="2B22B07E"/>
    <w:rsid w:val="2B23F62F"/>
    <w:rsid w:val="2B247C88"/>
    <w:rsid w:val="2B2498C6"/>
    <w:rsid w:val="2B25447E"/>
    <w:rsid w:val="2B270425"/>
    <w:rsid w:val="2B2807EE"/>
    <w:rsid w:val="2B28A19E"/>
    <w:rsid w:val="2B292926"/>
    <w:rsid w:val="2B298CE7"/>
    <w:rsid w:val="2B299BC3"/>
    <w:rsid w:val="2B2A150B"/>
    <w:rsid w:val="2B2B98B2"/>
    <w:rsid w:val="2B2D3BA6"/>
    <w:rsid w:val="2B2DCC38"/>
    <w:rsid w:val="2B3104EB"/>
    <w:rsid w:val="2B322971"/>
    <w:rsid w:val="2B334B57"/>
    <w:rsid w:val="2B377F5C"/>
    <w:rsid w:val="2B37DDD7"/>
    <w:rsid w:val="2B3800F6"/>
    <w:rsid w:val="2B39AE93"/>
    <w:rsid w:val="2B39FC92"/>
    <w:rsid w:val="2B3A5563"/>
    <w:rsid w:val="2B3CB4D1"/>
    <w:rsid w:val="2B3E3AAE"/>
    <w:rsid w:val="2B41089A"/>
    <w:rsid w:val="2B416AAC"/>
    <w:rsid w:val="2B41AA19"/>
    <w:rsid w:val="2B43D1A8"/>
    <w:rsid w:val="2B44D3E7"/>
    <w:rsid w:val="2B459686"/>
    <w:rsid w:val="2B45D6AA"/>
    <w:rsid w:val="2B45F792"/>
    <w:rsid w:val="2B469192"/>
    <w:rsid w:val="2B4B530C"/>
    <w:rsid w:val="2B509B38"/>
    <w:rsid w:val="2B50E451"/>
    <w:rsid w:val="2B50F208"/>
    <w:rsid w:val="2B5532F0"/>
    <w:rsid w:val="2B5959DB"/>
    <w:rsid w:val="2B5A31F8"/>
    <w:rsid w:val="2B5D1847"/>
    <w:rsid w:val="2B5DD2F8"/>
    <w:rsid w:val="2B5E0D80"/>
    <w:rsid w:val="2B6338F7"/>
    <w:rsid w:val="2B63A3FA"/>
    <w:rsid w:val="2B642636"/>
    <w:rsid w:val="2B650724"/>
    <w:rsid w:val="2B65D83F"/>
    <w:rsid w:val="2B66422A"/>
    <w:rsid w:val="2B675448"/>
    <w:rsid w:val="2B681EBE"/>
    <w:rsid w:val="2B6AD50F"/>
    <w:rsid w:val="2B6BEEE8"/>
    <w:rsid w:val="2B6BF8CB"/>
    <w:rsid w:val="2B6D29D7"/>
    <w:rsid w:val="2B6D3926"/>
    <w:rsid w:val="2B6EB714"/>
    <w:rsid w:val="2B6EF95C"/>
    <w:rsid w:val="2B73A20C"/>
    <w:rsid w:val="2B74744F"/>
    <w:rsid w:val="2B785BDD"/>
    <w:rsid w:val="2B7A5F53"/>
    <w:rsid w:val="2B7ABE47"/>
    <w:rsid w:val="2B7B5C5F"/>
    <w:rsid w:val="2B7D438A"/>
    <w:rsid w:val="2B7D9253"/>
    <w:rsid w:val="2B7F1E24"/>
    <w:rsid w:val="2B7F30A9"/>
    <w:rsid w:val="2B7FE05E"/>
    <w:rsid w:val="2B81DB4E"/>
    <w:rsid w:val="2B83CC24"/>
    <w:rsid w:val="2B860C88"/>
    <w:rsid w:val="2B89DCA9"/>
    <w:rsid w:val="2B8BC72B"/>
    <w:rsid w:val="2B8D3900"/>
    <w:rsid w:val="2B8E35E9"/>
    <w:rsid w:val="2B907A20"/>
    <w:rsid w:val="2B93A65E"/>
    <w:rsid w:val="2B94F1CA"/>
    <w:rsid w:val="2B99527A"/>
    <w:rsid w:val="2B9F1A08"/>
    <w:rsid w:val="2B9FFDE1"/>
    <w:rsid w:val="2BA0505A"/>
    <w:rsid w:val="2BA0D296"/>
    <w:rsid w:val="2BA1447C"/>
    <w:rsid w:val="2BA1CF2F"/>
    <w:rsid w:val="2BA397B0"/>
    <w:rsid w:val="2BA646A9"/>
    <w:rsid w:val="2BA70817"/>
    <w:rsid w:val="2BAA9D8C"/>
    <w:rsid w:val="2BAD870F"/>
    <w:rsid w:val="2BAE646B"/>
    <w:rsid w:val="2BAFADD7"/>
    <w:rsid w:val="2BB59D0B"/>
    <w:rsid w:val="2BB70F16"/>
    <w:rsid w:val="2BB734A7"/>
    <w:rsid w:val="2BB7D6CA"/>
    <w:rsid w:val="2BB9D102"/>
    <w:rsid w:val="2BB9F85C"/>
    <w:rsid w:val="2BBDADA3"/>
    <w:rsid w:val="2BC07BF9"/>
    <w:rsid w:val="2BC0808E"/>
    <w:rsid w:val="2BC2CD72"/>
    <w:rsid w:val="2BC32101"/>
    <w:rsid w:val="2BC3E81B"/>
    <w:rsid w:val="2BC54008"/>
    <w:rsid w:val="2BC642AF"/>
    <w:rsid w:val="2BCAAE91"/>
    <w:rsid w:val="2BCB1983"/>
    <w:rsid w:val="2BCC2CBC"/>
    <w:rsid w:val="2BCCC8E0"/>
    <w:rsid w:val="2BCE4FD0"/>
    <w:rsid w:val="2BCE6CEA"/>
    <w:rsid w:val="2BCEDCA5"/>
    <w:rsid w:val="2BCF91B9"/>
    <w:rsid w:val="2BD1BF36"/>
    <w:rsid w:val="2BD39B79"/>
    <w:rsid w:val="2BD3D15E"/>
    <w:rsid w:val="2BD53C54"/>
    <w:rsid w:val="2BD5C9BB"/>
    <w:rsid w:val="2BD5F667"/>
    <w:rsid w:val="2BD608AC"/>
    <w:rsid w:val="2BD64B74"/>
    <w:rsid w:val="2BD7490F"/>
    <w:rsid w:val="2BD7F05E"/>
    <w:rsid w:val="2BD93973"/>
    <w:rsid w:val="2BDBDC26"/>
    <w:rsid w:val="2BDCB988"/>
    <w:rsid w:val="2BDD8A25"/>
    <w:rsid w:val="2BE06224"/>
    <w:rsid w:val="2BE152A0"/>
    <w:rsid w:val="2BE29455"/>
    <w:rsid w:val="2BE31096"/>
    <w:rsid w:val="2BE3A07A"/>
    <w:rsid w:val="2BE56051"/>
    <w:rsid w:val="2BE60E6B"/>
    <w:rsid w:val="2BE8EE56"/>
    <w:rsid w:val="2BE9F53C"/>
    <w:rsid w:val="2BEBADF5"/>
    <w:rsid w:val="2BEC5C81"/>
    <w:rsid w:val="2BED1DA4"/>
    <w:rsid w:val="2BED29F8"/>
    <w:rsid w:val="2BEDE3BD"/>
    <w:rsid w:val="2BEDEEA8"/>
    <w:rsid w:val="2BF00915"/>
    <w:rsid w:val="2BF2F442"/>
    <w:rsid w:val="2BF3A23A"/>
    <w:rsid w:val="2BF444F0"/>
    <w:rsid w:val="2BF698FA"/>
    <w:rsid w:val="2BF8BB16"/>
    <w:rsid w:val="2BF8CFCF"/>
    <w:rsid w:val="2BFAD61C"/>
    <w:rsid w:val="2BFBAF94"/>
    <w:rsid w:val="2BFF0BA3"/>
    <w:rsid w:val="2C05529F"/>
    <w:rsid w:val="2C0746D7"/>
    <w:rsid w:val="2C0B66DB"/>
    <w:rsid w:val="2C0C9B77"/>
    <w:rsid w:val="2C0E5CAB"/>
    <w:rsid w:val="2C0E8F36"/>
    <w:rsid w:val="2C0ED6DA"/>
    <w:rsid w:val="2C11BD58"/>
    <w:rsid w:val="2C12F16F"/>
    <w:rsid w:val="2C130AFB"/>
    <w:rsid w:val="2C13D710"/>
    <w:rsid w:val="2C1572BB"/>
    <w:rsid w:val="2C16D07E"/>
    <w:rsid w:val="2C172D1B"/>
    <w:rsid w:val="2C195CEC"/>
    <w:rsid w:val="2C1998CF"/>
    <w:rsid w:val="2C19D337"/>
    <w:rsid w:val="2C1B0527"/>
    <w:rsid w:val="2C1C9971"/>
    <w:rsid w:val="2C20DF5F"/>
    <w:rsid w:val="2C21D446"/>
    <w:rsid w:val="2C22760C"/>
    <w:rsid w:val="2C2433E6"/>
    <w:rsid w:val="2C291EE6"/>
    <w:rsid w:val="2C29FC3E"/>
    <w:rsid w:val="2C2ACC84"/>
    <w:rsid w:val="2C2B317E"/>
    <w:rsid w:val="2C2B8E7C"/>
    <w:rsid w:val="2C2C9CAD"/>
    <w:rsid w:val="2C2DA4D8"/>
    <w:rsid w:val="2C2F8D95"/>
    <w:rsid w:val="2C31B13B"/>
    <w:rsid w:val="2C3672A7"/>
    <w:rsid w:val="2C3A0C57"/>
    <w:rsid w:val="2C3B4067"/>
    <w:rsid w:val="2C3FDDB4"/>
    <w:rsid w:val="2C413E5C"/>
    <w:rsid w:val="2C4214E4"/>
    <w:rsid w:val="2C432BC0"/>
    <w:rsid w:val="2C452E3D"/>
    <w:rsid w:val="2C45CF39"/>
    <w:rsid w:val="2C48005D"/>
    <w:rsid w:val="2C49E9B1"/>
    <w:rsid w:val="2C4A06F6"/>
    <w:rsid w:val="2C4B66E8"/>
    <w:rsid w:val="2C4B93CF"/>
    <w:rsid w:val="2C4BB374"/>
    <w:rsid w:val="2C4C3374"/>
    <w:rsid w:val="2C4C9C85"/>
    <w:rsid w:val="2C502B97"/>
    <w:rsid w:val="2C5119C4"/>
    <w:rsid w:val="2C51A8A1"/>
    <w:rsid w:val="2C523B6D"/>
    <w:rsid w:val="2C553864"/>
    <w:rsid w:val="2C560DB1"/>
    <w:rsid w:val="2C575A67"/>
    <w:rsid w:val="2C58B748"/>
    <w:rsid w:val="2C5961D5"/>
    <w:rsid w:val="2C5A4873"/>
    <w:rsid w:val="2C5A5E9D"/>
    <w:rsid w:val="2C5B7CA1"/>
    <w:rsid w:val="2C5C002D"/>
    <w:rsid w:val="2C5C7355"/>
    <w:rsid w:val="2C5E794F"/>
    <w:rsid w:val="2C5FCBDC"/>
    <w:rsid w:val="2C60958D"/>
    <w:rsid w:val="2C623C5D"/>
    <w:rsid w:val="2C638E0D"/>
    <w:rsid w:val="2C646324"/>
    <w:rsid w:val="2C65B9EB"/>
    <w:rsid w:val="2C691199"/>
    <w:rsid w:val="2C6D4136"/>
    <w:rsid w:val="2C6E2F27"/>
    <w:rsid w:val="2C6E8093"/>
    <w:rsid w:val="2C6EF64D"/>
    <w:rsid w:val="2C6F0798"/>
    <w:rsid w:val="2C71081F"/>
    <w:rsid w:val="2C7144D2"/>
    <w:rsid w:val="2C71A176"/>
    <w:rsid w:val="2C75AEE7"/>
    <w:rsid w:val="2C76BEA7"/>
    <w:rsid w:val="2C776779"/>
    <w:rsid w:val="2C7D86D1"/>
    <w:rsid w:val="2C7D9D86"/>
    <w:rsid w:val="2C7E11BF"/>
    <w:rsid w:val="2C7E36A5"/>
    <w:rsid w:val="2C7E64B1"/>
    <w:rsid w:val="2C7ED114"/>
    <w:rsid w:val="2C813D73"/>
    <w:rsid w:val="2C85BB27"/>
    <w:rsid w:val="2C88A4E9"/>
    <w:rsid w:val="2C88E372"/>
    <w:rsid w:val="2C89C409"/>
    <w:rsid w:val="2C8C273E"/>
    <w:rsid w:val="2C8ED260"/>
    <w:rsid w:val="2C9022F2"/>
    <w:rsid w:val="2C90BACE"/>
    <w:rsid w:val="2C91AE0F"/>
    <w:rsid w:val="2C928C85"/>
    <w:rsid w:val="2C9310B3"/>
    <w:rsid w:val="2C93E3F6"/>
    <w:rsid w:val="2C94F7EB"/>
    <w:rsid w:val="2C993FFF"/>
    <w:rsid w:val="2C9BC3E4"/>
    <w:rsid w:val="2C9C7D06"/>
    <w:rsid w:val="2C9CD386"/>
    <w:rsid w:val="2C9DCE3D"/>
    <w:rsid w:val="2C9E0EE7"/>
    <w:rsid w:val="2C9E7F71"/>
    <w:rsid w:val="2C9EBF28"/>
    <w:rsid w:val="2CA14515"/>
    <w:rsid w:val="2CA4DF5C"/>
    <w:rsid w:val="2CA57B45"/>
    <w:rsid w:val="2CA5C873"/>
    <w:rsid w:val="2CA8D1CB"/>
    <w:rsid w:val="2CA90C29"/>
    <w:rsid w:val="2CA9F5DF"/>
    <w:rsid w:val="2CACA4E8"/>
    <w:rsid w:val="2CACACD5"/>
    <w:rsid w:val="2CACD69E"/>
    <w:rsid w:val="2CAD1202"/>
    <w:rsid w:val="2CAE6305"/>
    <w:rsid w:val="2CB18ED5"/>
    <w:rsid w:val="2CB19E71"/>
    <w:rsid w:val="2CB3F6E2"/>
    <w:rsid w:val="2CB47A71"/>
    <w:rsid w:val="2CB52A2A"/>
    <w:rsid w:val="2CB68E9C"/>
    <w:rsid w:val="2CB7D4AF"/>
    <w:rsid w:val="2CB7D6A6"/>
    <w:rsid w:val="2CB81BD9"/>
    <w:rsid w:val="2CBC0A6D"/>
    <w:rsid w:val="2CBC8FD7"/>
    <w:rsid w:val="2CBF89AE"/>
    <w:rsid w:val="2CC0643D"/>
    <w:rsid w:val="2CC15F62"/>
    <w:rsid w:val="2CC38065"/>
    <w:rsid w:val="2CC45D9C"/>
    <w:rsid w:val="2CCA152F"/>
    <w:rsid w:val="2CCB947A"/>
    <w:rsid w:val="2CCD4F52"/>
    <w:rsid w:val="2CCD783E"/>
    <w:rsid w:val="2CCF85C8"/>
    <w:rsid w:val="2CCF89B5"/>
    <w:rsid w:val="2CCFFC5F"/>
    <w:rsid w:val="2CD189AC"/>
    <w:rsid w:val="2CD258B0"/>
    <w:rsid w:val="2CD3C6C7"/>
    <w:rsid w:val="2CD5F051"/>
    <w:rsid w:val="2CD64E35"/>
    <w:rsid w:val="2CD7458E"/>
    <w:rsid w:val="2CD832AB"/>
    <w:rsid w:val="2CD8733A"/>
    <w:rsid w:val="2CD8EFDE"/>
    <w:rsid w:val="2CD95E5D"/>
    <w:rsid w:val="2CDA2B46"/>
    <w:rsid w:val="2CDA7A12"/>
    <w:rsid w:val="2CDAB34E"/>
    <w:rsid w:val="2CDC1C0E"/>
    <w:rsid w:val="2CDC5FF1"/>
    <w:rsid w:val="2CE12298"/>
    <w:rsid w:val="2CE24E40"/>
    <w:rsid w:val="2CE3F567"/>
    <w:rsid w:val="2CE4E271"/>
    <w:rsid w:val="2CE6521F"/>
    <w:rsid w:val="2CE73EDC"/>
    <w:rsid w:val="2CEBB7C1"/>
    <w:rsid w:val="2CECD3EE"/>
    <w:rsid w:val="2CF290CE"/>
    <w:rsid w:val="2CF306A2"/>
    <w:rsid w:val="2CF3BA3E"/>
    <w:rsid w:val="2CF6EEB6"/>
    <w:rsid w:val="2CF80ABF"/>
    <w:rsid w:val="2CF8AA7F"/>
    <w:rsid w:val="2CF9550F"/>
    <w:rsid w:val="2CF99529"/>
    <w:rsid w:val="2CFC5362"/>
    <w:rsid w:val="2CFF26F0"/>
    <w:rsid w:val="2D00354D"/>
    <w:rsid w:val="2D04CE61"/>
    <w:rsid w:val="2D071C13"/>
    <w:rsid w:val="2D08E12E"/>
    <w:rsid w:val="2D096ADD"/>
    <w:rsid w:val="2D0AAC77"/>
    <w:rsid w:val="2D0AE7F0"/>
    <w:rsid w:val="2D0F11D7"/>
    <w:rsid w:val="2D10D51D"/>
    <w:rsid w:val="2D1177CC"/>
    <w:rsid w:val="2D11ABFB"/>
    <w:rsid w:val="2D12C77E"/>
    <w:rsid w:val="2D12C96E"/>
    <w:rsid w:val="2D136646"/>
    <w:rsid w:val="2D15269C"/>
    <w:rsid w:val="2D15C44F"/>
    <w:rsid w:val="2D167060"/>
    <w:rsid w:val="2D172EEF"/>
    <w:rsid w:val="2D199D38"/>
    <w:rsid w:val="2D1A324F"/>
    <w:rsid w:val="2D1B5E70"/>
    <w:rsid w:val="2D1E7D24"/>
    <w:rsid w:val="2D1FF643"/>
    <w:rsid w:val="2D20DB66"/>
    <w:rsid w:val="2D210E04"/>
    <w:rsid w:val="2D21F551"/>
    <w:rsid w:val="2D249A79"/>
    <w:rsid w:val="2D24B7FE"/>
    <w:rsid w:val="2D363FB9"/>
    <w:rsid w:val="2D36CF4E"/>
    <w:rsid w:val="2D37244F"/>
    <w:rsid w:val="2D37F8A5"/>
    <w:rsid w:val="2D38CA1C"/>
    <w:rsid w:val="2D38F06B"/>
    <w:rsid w:val="2D38FB15"/>
    <w:rsid w:val="2D39F3D6"/>
    <w:rsid w:val="2D3DEC51"/>
    <w:rsid w:val="2D3F62A4"/>
    <w:rsid w:val="2D405600"/>
    <w:rsid w:val="2D406260"/>
    <w:rsid w:val="2D41710D"/>
    <w:rsid w:val="2D41D79C"/>
    <w:rsid w:val="2D420E7F"/>
    <w:rsid w:val="2D43AE41"/>
    <w:rsid w:val="2D43C43A"/>
    <w:rsid w:val="2D43C980"/>
    <w:rsid w:val="2D449173"/>
    <w:rsid w:val="2D466437"/>
    <w:rsid w:val="2D46E9D0"/>
    <w:rsid w:val="2D48ECB9"/>
    <w:rsid w:val="2D4916FC"/>
    <w:rsid w:val="2D4B46C1"/>
    <w:rsid w:val="2D4B9F74"/>
    <w:rsid w:val="2D4C66A3"/>
    <w:rsid w:val="2D4C9C79"/>
    <w:rsid w:val="2D4E1158"/>
    <w:rsid w:val="2D4F3DB6"/>
    <w:rsid w:val="2D4F696E"/>
    <w:rsid w:val="2D504217"/>
    <w:rsid w:val="2D509328"/>
    <w:rsid w:val="2D513643"/>
    <w:rsid w:val="2D52029A"/>
    <w:rsid w:val="2D526A1B"/>
    <w:rsid w:val="2D542100"/>
    <w:rsid w:val="2D56431E"/>
    <w:rsid w:val="2D585F82"/>
    <w:rsid w:val="2D58C1E7"/>
    <w:rsid w:val="2D5CE859"/>
    <w:rsid w:val="2D5D6CC3"/>
    <w:rsid w:val="2D5DFAE7"/>
    <w:rsid w:val="2D5E0CEC"/>
    <w:rsid w:val="2D66FE00"/>
    <w:rsid w:val="2D68C1C5"/>
    <w:rsid w:val="2D694D0E"/>
    <w:rsid w:val="2D69C8BB"/>
    <w:rsid w:val="2D6BBFA7"/>
    <w:rsid w:val="2D6C193B"/>
    <w:rsid w:val="2D6D6929"/>
    <w:rsid w:val="2D6EE553"/>
    <w:rsid w:val="2D704BEA"/>
    <w:rsid w:val="2D706AB7"/>
    <w:rsid w:val="2D70E66E"/>
    <w:rsid w:val="2D71A072"/>
    <w:rsid w:val="2D732111"/>
    <w:rsid w:val="2D736700"/>
    <w:rsid w:val="2D76E141"/>
    <w:rsid w:val="2D77C978"/>
    <w:rsid w:val="2D797A31"/>
    <w:rsid w:val="2D7983CD"/>
    <w:rsid w:val="2D7A8916"/>
    <w:rsid w:val="2D7ACF5F"/>
    <w:rsid w:val="2D7B9761"/>
    <w:rsid w:val="2D7BEC3A"/>
    <w:rsid w:val="2D7C70B5"/>
    <w:rsid w:val="2D7D5A4A"/>
    <w:rsid w:val="2D7DEBBE"/>
    <w:rsid w:val="2D7F71FA"/>
    <w:rsid w:val="2D80215C"/>
    <w:rsid w:val="2D80CE9C"/>
    <w:rsid w:val="2D81E646"/>
    <w:rsid w:val="2D8451B7"/>
    <w:rsid w:val="2D847167"/>
    <w:rsid w:val="2D86C495"/>
    <w:rsid w:val="2D889D45"/>
    <w:rsid w:val="2D894666"/>
    <w:rsid w:val="2D8A314D"/>
    <w:rsid w:val="2D8AB55F"/>
    <w:rsid w:val="2D8BB47A"/>
    <w:rsid w:val="2D8C1B78"/>
    <w:rsid w:val="2D8CE4A1"/>
    <w:rsid w:val="2D8F7AEB"/>
    <w:rsid w:val="2D8F98E1"/>
    <w:rsid w:val="2D915F90"/>
    <w:rsid w:val="2D91C724"/>
    <w:rsid w:val="2D91E4F0"/>
    <w:rsid w:val="2D93C71C"/>
    <w:rsid w:val="2D93EDC6"/>
    <w:rsid w:val="2D97437F"/>
    <w:rsid w:val="2D97B52B"/>
    <w:rsid w:val="2D99497B"/>
    <w:rsid w:val="2D9A37E0"/>
    <w:rsid w:val="2D9A802A"/>
    <w:rsid w:val="2D9C5187"/>
    <w:rsid w:val="2D9F0941"/>
    <w:rsid w:val="2DA0288B"/>
    <w:rsid w:val="2DA3F4DA"/>
    <w:rsid w:val="2DA643B9"/>
    <w:rsid w:val="2DA6938D"/>
    <w:rsid w:val="2DA6ECF7"/>
    <w:rsid w:val="2DA85C69"/>
    <w:rsid w:val="2DA97A53"/>
    <w:rsid w:val="2DA9FAC2"/>
    <w:rsid w:val="2DA9FC96"/>
    <w:rsid w:val="2DAA6034"/>
    <w:rsid w:val="2DAB5BCB"/>
    <w:rsid w:val="2DABC715"/>
    <w:rsid w:val="2DAC7744"/>
    <w:rsid w:val="2DACB410"/>
    <w:rsid w:val="2DAECA1C"/>
    <w:rsid w:val="2DAFB56D"/>
    <w:rsid w:val="2DB0B853"/>
    <w:rsid w:val="2DB1C455"/>
    <w:rsid w:val="2DB5BAAC"/>
    <w:rsid w:val="2DB7BEDD"/>
    <w:rsid w:val="2DB8F08D"/>
    <w:rsid w:val="2DB9CC8A"/>
    <w:rsid w:val="2DBBCBA9"/>
    <w:rsid w:val="2DBDC54B"/>
    <w:rsid w:val="2DBF2F14"/>
    <w:rsid w:val="2DC6CF19"/>
    <w:rsid w:val="2DC70DE4"/>
    <w:rsid w:val="2DC76B8A"/>
    <w:rsid w:val="2DC85F2D"/>
    <w:rsid w:val="2DCAB18C"/>
    <w:rsid w:val="2DCADA48"/>
    <w:rsid w:val="2DCD01CD"/>
    <w:rsid w:val="2DCD7F7B"/>
    <w:rsid w:val="2DCFC304"/>
    <w:rsid w:val="2DD0C3C1"/>
    <w:rsid w:val="2DD48E74"/>
    <w:rsid w:val="2DD5421A"/>
    <w:rsid w:val="2DD54E5D"/>
    <w:rsid w:val="2DD6CDD7"/>
    <w:rsid w:val="2DD91678"/>
    <w:rsid w:val="2DD97714"/>
    <w:rsid w:val="2DD9F4D7"/>
    <w:rsid w:val="2DDA5325"/>
    <w:rsid w:val="2DDC2766"/>
    <w:rsid w:val="2DDEBDEE"/>
    <w:rsid w:val="2DDEF7A3"/>
    <w:rsid w:val="2DE06429"/>
    <w:rsid w:val="2DE12915"/>
    <w:rsid w:val="2DE1B399"/>
    <w:rsid w:val="2DE23A79"/>
    <w:rsid w:val="2DE2593E"/>
    <w:rsid w:val="2DE5B39D"/>
    <w:rsid w:val="2DE834B2"/>
    <w:rsid w:val="2DEB1DA5"/>
    <w:rsid w:val="2DEB2DBA"/>
    <w:rsid w:val="2DEBC60D"/>
    <w:rsid w:val="2DEBECC5"/>
    <w:rsid w:val="2DEBFE1D"/>
    <w:rsid w:val="2DED6A32"/>
    <w:rsid w:val="2DF01ED6"/>
    <w:rsid w:val="2DF0FD1B"/>
    <w:rsid w:val="2DF11111"/>
    <w:rsid w:val="2DF316CA"/>
    <w:rsid w:val="2DF42D4B"/>
    <w:rsid w:val="2DF56998"/>
    <w:rsid w:val="2DF7DDD3"/>
    <w:rsid w:val="2DF96D08"/>
    <w:rsid w:val="2DFA0224"/>
    <w:rsid w:val="2DFA03BA"/>
    <w:rsid w:val="2DFA3199"/>
    <w:rsid w:val="2DFBBFF8"/>
    <w:rsid w:val="2DFCD1FC"/>
    <w:rsid w:val="2DFE4861"/>
    <w:rsid w:val="2DFF050B"/>
    <w:rsid w:val="2DFF6805"/>
    <w:rsid w:val="2DFFCBD4"/>
    <w:rsid w:val="2E01DEBB"/>
    <w:rsid w:val="2E0292B8"/>
    <w:rsid w:val="2E041875"/>
    <w:rsid w:val="2E04E441"/>
    <w:rsid w:val="2E05F910"/>
    <w:rsid w:val="2E07791C"/>
    <w:rsid w:val="2E07979B"/>
    <w:rsid w:val="2E091BA3"/>
    <w:rsid w:val="2E09450F"/>
    <w:rsid w:val="2E0A1399"/>
    <w:rsid w:val="2E0A9B70"/>
    <w:rsid w:val="2E0C1696"/>
    <w:rsid w:val="2E0C9ECE"/>
    <w:rsid w:val="2E0DC38D"/>
    <w:rsid w:val="2E0E7F19"/>
    <w:rsid w:val="2E0F93B2"/>
    <w:rsid w:val="2E118B6C"/>
    <w:rsid w:val="2E15CC85"/>
    <w:rsid w:val="2E17B6E9"/>
    <w:rsid w:val="2E18014D"/>
    <w:rsid w:val="2E191356"/>
    <w:rsid w:val="2E1AC76F"/>
    <w:rsid w:val="2E1C8816"/>
    <w:rsid w:val="2E1D9BC0"/>
    <w:rsid w:val="2E1DB6E1"/>
    <w:rsid w:val="2E1F63A7"/>
    <w:rsid w:val="2E1FBCCE"/>
    <w:rsid w:val="2E205F28"/>
    <w:rsid w:val="2E20C520"/>
    <w:rsid w:val="2E215E34"/>
    <w:rsid w:val="2E220C38"/>
    <w:rsid w:val="2E221578"/>
    <w:rsid w:val="2E23D132"/>
    <w:rsid w:val="2E25571D"/>
    <w:rsid w:val="2E26D567"/>
    <w:rsid w:val="2E27B22F"/>
    <w:rsid w:val="2E2A7939"/>
    <w:rsid w:val="2E2C9BC5"/>
    <w:rsid w:val="2E2D3A74"/>
    <w:rsid w:val="2E2E6C7D"/>
    <w:rsid w:val="2E30678E"/>
    <w:rsid w:val="2E3161CB"/>
    <w:rsid w:val="2E31EDC7"/>
    <w:rsid w:val="2E32F828"/>
    <w:rsid w:val="2E334617"/>
    <w:rsid w:val="2E338521"/>
    <w:rsid w:val="2E344193"/>
    <w:rsid w:val="2E345642"/>
    <w:rsid w:val="2E3609E2"/>
    <w:rsid w:val="2E369884"/>
    <w:rsid w:val="2E36C7A3"/>
    <w:rsid w:val="2E3718A4"/>
    <w:rsid w:val="2E37DA1A"/>
    <w:rsid w:val="2E38A7AD"/>
    <w:rsid w:val="2E38E13A"/>
    <w:rsid w:val="2E3AE52C"/>
    <w:rsid w:val="2E3CBD04"/>
    <w:rsid w:val="2E3CF327"/>
    <w:rsid w:val="2E3DC16D"/>
    <w:rsid w:val="2E3E833E"/>
    <w:rsid w:val="2E3F6E46"/>
    <w:rsid w:val="2E408971"/>
    <w:rsid w:val="2E4161ED"/>
    <w:rsid w:val="2E47F1AC"/>
    <w:rsid w:val="2E48CC0A"/>
    <w:rsid w:val="2E49A27D"/>
    <w:rsid w:val="2E4A96BA"/>
    <w:rsid w:val="2E4AAF4D"/>
    <w:rsid w:val="2E4B0D30"/>
    <w:rsid w:val="2E506B77"/>
    <w:rsid w:val="2E525704"/>
    <w:rsid w:val="2E562679"/>
    <w:rsid w:val="2E577F94"/>
    <w:rsid w:val="2E5A93B6"/>
    <w:rsid w:val="2E5BD4D9"/>
    <w:rsid w:val="2E5DDED2"/>
    <w:rsid w:val="2E5EA70B"/>
    <w:rsid w:val="2E624E47"/>
    <w:rsid w:val="2E632E05"/>
    <w:rsid w:val="2E6583B9"/>
    <w:rsid w:val="2E681771"/>
    <w:rsid w:val="2E6A66C5"/>
    <w:rsid w:val="2E6C4AF2"/>
    <w:rsid w:val="2E6F9A60"/>
    <w:rsid w:val="2E6F9FFD"/>
    <w:rsid w:val="2E70253D"/>
    <w:rsid w:val="2E70F2E2"/>
    <w:rsid w:val="2E734040"/>
    <w:rsid w:val="2E741DBD"/>
    <w:rsid w:val="2E7465D1"/>
    <w:rsid w:val="2E749789"/>
    <w:rsid w:val="2E74D86B"/>
    <w:rsid w:val="2E75B1BF"/>
    <w:rsid w:val="2E76F2F9"/>
    <w:rsid w:val="2E78EB0A"/>
    <w:rsid w:val="2E79647D"/>
    <w:rsid w:val="2E7FD044"/>
    <w:rsid w:val="2E80863F"/>
    <w:rsid w:val="2E8457D1"/>
    <w:rsid w:val="2E857695"/>
    <w:rsid w:val="2E859E8D"/>
    <w:rsid w:val="2E87225D"/>
    <w:rsid w:val="2E8A2CBF"/>
    <w:rsid w:val="2E8AD358"/>
    <w:rsid w:val="2E8B8CB0"/>
    <w:rsid w:val="2E8C2A9C"/>
    <w:rsid w:val="2E8E481F"/>
    <w:rsid w:val="2E8F1FF3"/>
    <w:rsid w:val="2E947A16"/>
    <w:rsid w:val="2E989423"/>
    <w:rsid w:val="2E9A6A6B"/>
    <w:rsid w:val="2E9AE389"/>
    <w:rsid w:val="2E9CD8A0"/>
    <w:rsid w:val="2E9D1CEB"/>
    <w:rsid w:val="2E9DACC2"/>
    <w:rsid w:val="2EA4613B"/>
    <w:rsid w:val="2EA4B94B"/>
    <w:rsid w:val="2EA56F58"/>
    <w:rsid w:val="2EA5AD11"/>
    <w:rsid w:val="2EA78E9C"/>
    <w:rsid w:val="2EABA70F"/>
    <w:rsid w:val="2EAC52B0"/>
    <w:rsid w:val="2EAD835B"/>
    <w:rsid w:val="2EAE7818"/>
    <w:rsid w:val="2EB02326"/>
    <w:rsid w:val="2EB072F0"/>
    <w:rsid w:val="2EB259E4"/>
    <w:rsid w:val="2EB7AACD"/>
    <w:rsid w:val="2EB8AE7F"/>
    <w:rsid w:val="2EB9E9DC"/>
    <w:rsid w:val="2EBA026E"/>
    <w:rsid w:val="2EBBBFAB"/>
    <w:rsid w:val="2EBCC021"/>
    <w:rsid w:val="2EBE3182"/>
    <w:rsid w:val="2EBFF210"/>
    <w:rsid w:val="2EC2BF07"/>
    <w:rsid w:val="2EC2E480"/>
    <w:rsid w:val="2EC3FF24"/>
    <w:rsid w:val="2EC58E02"/>
    <w:rsid w:val="2EC627DC"/>
    <w:rsid w:val="2EC8EDDF"/>
    <w:rsid w:val="2ECBD3B6"/>
    <w:rsid w:val="2ECCDC6F"/>
    <w:rsid w:val="2ECE1A6C"/>
    <w:rsid w:val="2ECE1F4E"/>
    <w:rsid w:val="2ECEB1DB"/>
    <w:rsid w:val="2ECF437A"/>
    <w:rsid w:val="2ED12BAE"/>
    <w:rsid w:val="2ED1B4D0"/>
    <w:rsid w:val="2ED2143B"/>
    <w:rsid w:val="2ED50F8A"/>
    <w:rsid w:val="2ED7223D"/>
    <w:rsid w:val="2ED74295"/>
    <w:rsid w:val="2ED8AA6B"/>
    <w:rsid w:val="2EDA2EBB"/>
    <w:rsid w:val="2EDA5FC9"/>
    <w:rsid w:val="2EDAE791"/>
    <w:rsid w:val="2EDB537C"/>
    <w:rsid w:val="2EDBC2E7"/>
    <w:rsid w:val="2EDC5221"/>
    <w:rsid w:val="2EDCC5EB"/>
    <w:rsid w:val="2EDD9B82"/>
    <w:rsid w:val="2EDFC66E"/>
    <w:rsid w:val="2EE4DA69"/>
    <w:rsid w:val="2EE5E7B5"/>
    <w:rsid w:val="2EE8A4BE"/>
    <w:rsid w:val="2EE9BC5E"/>
    <w:rsid w:val="2EEB6887"/>
    <w:rsid w:val="2EECA21E"/>
    <w:rsid w:val="2EEF4846"/>
    <w:rsid w:val="2EF13E2B"/>
    <w:rsid w:val="2EF3257D"/>
    <w:rsid w:val="2EF3B031"/>
    <w:rsid w:val="2EF664C0"/>
    <w:rsid w:val="2EF7EF0A"/>
    <w:rsid w:val="2EF80C5A"/>
    <w:rsid w:val="2EF955C3"/>
    <w:rsid w:val="2EFB67C8"/>
    <w:rsid w:val="2EFD051A"/>
    <w:rsid w:val="2EFD989B"/>
    <w:rsid w:val="2EFF549F"/>
    <w:rsid w:val="2EFFCBE1"/>
    <w:rsid w:val="2F01E2DD"/>
    <w:rsid w:val="2F02939A"/>
    <w:rsid w:val="2F02D7D8"/>
    <w:rsid w:val="2F05E85B"/>
    <w:rsid w:val="2F06C4E3"/>
    <w:rsid w:val="2F0710D0"/>
    <w:rsid w:val="2F07A3B6"/>
    <w:rsid w:val="2F07D098"/>
    <w:rsid w:val="2F07E36F"/>
    <w:rsid w:val="2F08437E"/>
    <w:rsid w:val="2F08D3C3"/>
    <w:rsid w:val="2F09E08E"/>
    <w:rsid w:val="2F0E1FB7"/>
    <w:rsid w:val="2F0E8277"/>
    <w:rsid w:val="2F0E9AB5"/>
    <w:rsid w:val="2F0FAE23"/>
    <w:rsid w:val="2F0FEF41"/>
    <w:rsid w:val="2F1007E7"/>
    <w:rsid w:val="2F128D80"/>
    <w:rsid w:val="2F129790"/>
    <w:rsid w:val="2F12D71E"/>
    <w:rsid w:val="2F130F23"/>
    <w:rsid w:val="2F13893A"/>
    <w:rsid w:val="2F14324B"/>
    <w:rsid w:val="2F14D2ED"/>
    <w:rsid w:val="2F169340"/>
    <w:rsid w:val="2F17917B"/>
    <w:rsid w:val="2F18AC3F"/>
    <w:rsid w:val="2F197932"/>
    <w:rsid w:val="2F1A2E28"/>
    <w:rsid w:val="2F1E451A"/>
    <w:rsid w:val="2F1EE624"/>
    <w:rsid w:val="2F204AC5"/>
    <w:rsid w:val="2F21AF3B"/>
    <w:rsid w:val="2F21CFB9"/>
    <w:rsid w:val="2F224834"/>
    <w:rsid w:val="2F249A41"/>
    <w:rsid w:val="2F2AAA66"/>
    <w:rsid w:val="2F2D2669"/>
    <w:rsid w:val="2F2F0805"/>
    <w:rsid w:val="2F2F6844"/>
    <w:rsid w:val="2F2F6972"/>
    <w:rsid w:val="2F34BA7A"/>
    <w:rsid w:val="2F35A71A"/>
    <w:rsid w:val="2F35AFF3"/>
    <w:rsid w:val="2F35D95E"/>
    <w:rsid w:val="2F376160"/>
    <w:rsid w:val="2F3AC68D"/>
    <w:rsid w:val="2F3AE8BD"/>
    <w:rsid w:val="2F3DC2D8"/>
    <w:rsid w:val="2F3EE899"/>
    <w:rsid w:val="2F40CAD6"/>
    <w:rsid w:val="2F423E65"/>
    <w:rsid w:val="2F43C091"/>
    <w:rsid w:val="2F47FE81"/>
    <w:rsid w:val="2F491014"/>
    <w:rsid w:val="2F499256"/>
    <w:rsid w:val="2F4B6C26"/>
    <w:rsid w:val="2F4BADF4"/>
    <w:rsid w:val="2F4E4EFF"/>
    <w:rsid w:val="2F4F1067"/>
    <w:rsid w:val="2F4F79EA"/>
    <w:rsid w:val="2F506C3E"/>
    <w:rsid w:val="2F52B437"/>
    <w:rsid w:val="2F548E77"/>
    <w:rsid w:val="2F55AFCC"/>
    <w:rsid w:val="2F5664BB"/>
    <w:rsid w:val="2F5755B7"/>
    <w:rsid w:val="2F57DD40"/>
    <w:rsid w:val="2F589F6A"/>
    <w:rsid w:val="2F592E91"/>
    <w:rsid w:val="2F5A911A"/>
    <w:rsid w:val="2F5BFDC3"/>
    <w:rsid w:val="2F5C3BAF"/>
    <w:rsid w:val="2F5DBF4D"/>
    <w:rsid w:val="2F5E3276"/>
    <w:rsid w:val="2F604B73"/>
    <w:rsid w:val="2F60936A"/>
    <w:rsid w:val="2F60E606"/>
    <w:rsid w:val="2F65BBE2"/>
    <w:rsid w:val="2F6811C0"/>
    <w:rsid w:val="2F6904ED"/>
    <w:rsid w:val="2F69C122"/>
    <w:rsid w:val="2F6A029E"/>
    <w:rsid w:val="2F6AE48B"/>
    <w:rsid w:val="2F6B707E"/>
    <w:rsid w:val="2F6E1B90"/>
    <w:rsid w:val="2F6ED8BC"/>
    <w:rsid w:val="2F6EF510"/>
    <w:rsid w:val="2F6F49A8"/>
    <w:rsid w:val="2F707924"/>
    <w:rsid w:val="2F71CC02"/>
    <w:rsid w:val="2F7444BC"/>
    <w:rsid w:val="2F758EA0"/>
    <w:rsid w:val="2F75ECCF"/>
    <w:rsid w:val="2F763EF6"/>
    <w:rsid w:val="2F79326C"/>
    <w:rsid w:val="2F79A59C"/>
    <w:rsid w:val="2F7AE467"/>
    <w:rsid w:val="2F7E289D"/>
    <w:rsid w:val="2F7E31C9"/>
    <w:rsid w:val="2F807120"/>
    <w:rsid w:val="2F807485"/>
    <w:rsid w:val="2F82139D"/>
    <w:rsid w:val="2F84A037"/>
    <w:rsid w:val="2F8890BF"/>
    <w:rsid w:val="2F88FCA8"/>
    <w:rsid w:val="2F8AF218"/>
    <w:rsid w:val="2F8BC043"/>
    <w:rsid w:val="2F8CBA37"/>
    <w:rsid w:val="2F8D62F3"/>
    <w:rsid w:val="2F8DA58C"/>
    <w:rsid w:val="2F8E11A4"/>
    <w:rsid w:val="2F8E2349"/>
    <w:rsid w:val="2F90937D"/>
    <w:rsid w:val="2F911EAF"/>
    <w:rsid w:val="2F923287"/>
    <w:rsid w:val="2F966C6D"/>
    <w:rsid w:val="2F9722A1"/>
    <w:rsid w:val="2F9724F4"/>
    <w:rsid w:val="2F97EF16"/>
    <w:rsid w:val="2F9881A3"/>
    <w:rsid w:val="2F989F45"/>
    <w:rsid w:val="2F9A0BB1"/>
    <w:rsid w:val="2F9A60E4"/>
    <w:rsid w:val="2F9ABB72"/>
    <w:rsid w:val="2F9C90A3"/>
    <w:rsid w:val="2F9EE505"/>
    <w:rsid w:val="2FA02893"/>
    <w:rsid w:val="2FA0367C"/>
    <w:rsid w:val="2FA24CD0"/>
    <w:rsid w:val="2FA2C940"/>
    <w:rsid w:val="2FA381D6"/>
    <w:rsid w:val="2FA50C24"/>
    <w:rsid w:val="2FA517DC"/>
    <w:rsid w:val="2FA7DFCB"/>
    <w:rsid w:val="2FAC16BF"/>
    <w:rsid w:val="2FAC6C2F"/>
    <w:rsid w:val="2FAC7936"/>
    <w:rsid w:val="2FACEC34"/>
    <w:rsid w:val="2FAD0F4D"/>
    <w:rsid w:val="2FAD9C92"/>
    <w:rsid w:val="2FAE3B34"/>
    <w:rsid w:val="2FB1C467"/>
    <w:rsid w:val="2FB24B5B"/>
    <w:rsid w:val="2FB2C6D4"/>
    <w:rsid w:val="2FB38C36"/>
    <w:rsid w:val="2FB55861"/>
    <w:rsid w:val="2FB84482"/>
    <w:rsid w:val="2FBA5454"/>
    <w:rsid w:val="2FBA805A"/>
    <w:rsid w:val="2FBB5B32"/>
    <w:rsid w:val="2FBB8051"/>
    <w:rsid w:val="2FBBC3BB"/>
    <w:rsid w:val="2FBDCD3E"/>
    <w:rsid w:val="2FBF1888"/>
    <w:rsid w:val="2FBFA1E0"/>
    <w:rsid w:val="2FC042E1"/>
    <w:rsid w:val="2FC0B863"/>
    <w:rsid w:val="2FC1EABF"/>
    <w:rsid w:val="2FC298CA"/>
    <w:rsid w:val="2FC2B2B6"/>
    <w:rsid w:val="2FC2DBBB"/>
    <w:rsid w:val="2FC3A75E"/>
    <w:rsid w:val="2FC3AF3F"/>
    <w:rsid w:val="2FC40CF4"/>
    <w:rsid w:val="2FC41019"/>
    <w:rsid w:val="2FC45A76"/>
    <w:rsid w:val="2FC687E9"/>
    <w:rsid w:val="2FC798DA"/>
    <w:rsid w:val="2FC86958"/>
    <w:rsid w:val="2FC88BAE"/>
    <w:rsid w:val="2FCAE7D4"/>
    <w:rsid w:val="2FCC2BB8"/>
    <w:rsid w:val="2FCF9342"/>
    <w:rsid w:val="2FD0BC3E"/>
    <w:rsid w:val="2FD0FC70"/>
    <w:rsid w:val="2FD11FC9"/>
    <w:rsid w:val="2FD2D2F2"/>
    <w:rsid w:val="2FD301C9"/>
    <w:rsid w:val="2FD30724"/>
    <w:rsid w:val="2FD3BED5"/>
    <w:rsid w:val="2FD82394"/>
    <w:rsid w:val="2FD8DE1C"/>
    <w:rsid w:val="2FD93BDA"/>
    <w:rsid w:val="2FDC51BB"/>
    <w:rsid w:val="2FDC6D73"/>
    <w:rsid w:val="2FDCC0C1"/>
    <w:rsid w:val="2FDE9071"/>
    <w:rsid w:val="2FDFF4D3"/>
    <w:rsid w:val="2FE780A0"/>
    <w:rsid w:val="2FE887D5"/>
    <w:rsid w:val="2FE9C744"/>
    <w:rsid w:val="2FEAEB1B"/>
    <w:rsid w:val="2FECCED1"/>
    <w:rsid w:val="2FECE02E"/>
    <w:rsid w:val="2FEF2CDC"/>
    <w:rsid w:val="2FEF2E22"/>
    <w:rsid w:val="2FF091A2"/>
    <w:rsid w:val="2FF20535"/>
    <w:rsid w:val="2FF213BB"/>
    <w:rsid w:val="2FF3E826"/>
    <w:rsid w:val="2FF444D9"/>
    <w:rsid w:val="2FF92C25"/>
    <w:rsid w:val="2FF94060"/>
    <w:rsid w:val="2FFABB37"/>
    <w:rsid w:val="2FFD4753"/>
    <w:rsid w:val="30000D3E"/>
    <w:rsid w:val="3002B4BC"/>
    <w:rsid w:val="30050067"/>
    <w:rsid w:val="300773B2"/>
    <w:rsid w:val="300804D4"/>
    <w:rsid w:val="300872F2"/>
    <w:rsid w:val="300960D8"/>
    <w:rsid w:val="300DB863"/>
    <w:rsid w:val="300DCBE8"/>
    <w:rsid w:val="300DDD1A"/>
    <w:rsid w:val="300DE21F"/>
    <w:rsid w:val="300F0924"/>
    <w:rsid w:val="300F63AE"/>
    <w:rsid w:val="300F8E6F"/>
    <w:rsid w:val="301140B5"/>
    <w:rsid w:val="30140DD4"/>
    <w:rsid w:val="30145350"/>
    <w:rsid w:val="301948BC"/>
    <w:rsid w:val="3019B7FE"/>
    <w:rsid w:val="3019DFD4"/>
    <w:rsid w:val="301AA131"/>
    <w:rsid w:val="301E7574"/>
    <w:rsid w:val="301F9330"/>
    <w:rsid w:val="301FAA88"/>
    <w:rsid w:val="30234C81"/>
    <w:rsid w:val="30242EFA"/>
    <w:rsid w:val="30262C73"/>
    <w:rsid w:val="3027DFD6"/>
    <w:rsid w:val="302C18D6"/>
    <w:rsid w:val="302D22BA"/>
    <w:rsid w:val="302E7FAA"/>
    <w:rsid w:val="302F9D8F"/>
    <w:rsid w:val="302FB1FC"/>
    <w:rsid w:val="30311054"/>
    <w:rsid w:val="3031DACB"/>
    <w:rsid w:val="3033B5D5"/>
    <w:rsid w:val="30383044"/>
    <w:rsid w:val="303B5315"/>
    <w:rsid w:val="303BA5E3"/>
    <w:rsid w:val="303CA158"/>
    <w:rsid w:val="303D9C5A"/>
    <w:rsid w:val="303E17C6"/>
    <w:rsid w:val="303FBA65"/>
    <w:rsid w:val="303FFE8B"/>
    <w:rsid w:val="3040D452"/>
    <w:rsid w:val="30411721"/>
    <w:rsid w:val="3045905C"/>
    <w:rsid w:val="3045AC81"/>
    <w:rsid w:val="30462AF7"/>
    <w:rsid w:val="3046E47A"/>
    <w:rsid w:val="30475E23"/>
    <w:rsid w:val="30496126"/>
    <w:rsid w:val="304E1E45"/>
    <w:rsid w:val="304F2737"/>
    <w:rsid w:val="3050BA6C"/>
    <w:rsid w:val="30513145"/>
    <w:rsid w:val="3054597F"/>
    <w:rsid w:val="30591110"/>
    <w:rsid w:val="305B31AD"/>
    <w:rsid w:val="305C06B1"/>
    <w:rsid w:val="305CB6C1"/>
    <w:rsid w:val="305EDC86"/>
    <w:rsid w:val="305FDF73"/>
    <w:rsid w:val="3060B419"/>
    <w:rsid w:val="306229F8"/>
    <w:rsid w:val="3063FA02"/>
    <w:rsid w:val="30670CDD"/>
    <w:rsid w:val="3067482D"/>
    <w:rsid w:val="306886B3"/>
    <w:rsid w:val="3069D37B"/>
    <w:rsid w:val="306A5C73"/>
    <w:rsid w:val="306D8103"/>
    <w:rsid w:val="306E1E8F"/>
    <w:rsid w:val="306E50FE"/>
    <w:rsid w:val="306F3262"/>
    <w:rsid w:val="30750BA8"/>
    <w:rsid w:val="30752933"/>
    <w:rsid w:val="30781642"/>
    <w:rsid w:val="30795952"/>
    <w:rsid w:val="307A39F4"/>
    <w:rsid w:val="307A9F07"/>
    <w:rsid w:val="307BCF55"/>
    <w:rsid w:val="307C12B5"/>
    <w:rsid w:val="307C4409"/>
    <w:rsid w:val="307C4BF1"/>
    <w:rsid w:val="307D87C4"/>
    <w:rsid w:val="307DA149"/>
    <w:rsid w:val="307F797C"/>
    <w:rsid w:val="307FF0F2"/>
    <w:rsid w:val="30803E8C"/>
    <w:rsid w:val="3082901A"/>
    <w:rsid w:val="3082B0D3"/>
    <w:rsid w:val="308313A9"/>
    <w:rsid w:val="3084DE3E"/>
    <w:rsid w:val="308565C2"/>
    <w:rsid w:val="30859DBB"/>
    <w:rsid w:val="30870A7B"/>
    <w:rsid w:val="30877349"/>
    <w:rsid w:val="3087CAA3"/>
    <w:rsid w:val="3087DBB2"/>
    <w:rsid w:val="30883391"/>
    <w:rsid w:val="3088FC6E"/>
    <w:rsid w:val="30898417"/>
    <w:rsid w:val="308A1E33"/>
    <w:rsid w:val="308B3506"/>
    <w:rsid w:val="308B9E18"/>
    <w:rsid w:val="308E3111"/>
    <w:rsid w:val="308F288B"/>
    <w:rsid w:val="308F73D9"/>
    <w:rsid w:val="308FAEEB"/>
    <w:rsid w:val="3091EDAA"/>
    <w:rsid w:val="30928398"/>
    <w:rsid w:val="309330E4"/>
    <w:rsid w:val="30935BC3"/>
    <w:rsid w:val="30958AFF"/>
    <w:rsid w:val="30960480"/>
    <w:rsid w:val="30963B70"/>
    <w:rsid w:val="30984DCD"/>
    <w:rsid w:val="309AA085"/>
    <w:rsid w:val="309C6A69"/>
    <w:rsid w:val="309D84A2"/>
    <w:rsid w:val="309E38F9"/>
    <w:rsid w:val="309F6AB5"/>
    <w:rsid w:val="30A101FF"/>
    <w:rsid w:val="30A2BDB5"/>
    <w:rsid w:val="30A35F8F"/>
    <w:rsid w:val="30A5126A"/>
    <w:rsid w:val="30A89AE5"/>
    <w:rsid w:val="30AB1336"/>
    <w:rsid w:val="30ABDE4F"/>
    <w:rsid w:val="30AD4960"/>
    <w:rsid w:val="30AD5948"/>
    <w:rsid w:val="30AE1BC9"/>
    <w:rsid w:val="30AE72BA"/>
    <w:rsid w:val="30AF0F4E"/>
    <w:rsid w:val="30B01A2E"/>
    <w:rsid w:val="30B07EE9"/>
    <w:rsid w:val="30B1D66E"/>
    <w:rsid w:val="30B823E9"/>
    <w:rsid w:val="30B8DBDE"/>
    <w:rsid w:val="30BBF5C3"/>
    <w:rsid w:val="30BF79E3"/>
    <w:rsid w:val="30C28449"/>
    <w:rsid w:val="30CA042D"/>
    <w:rsid w:val="30CA6D33"/>
    <w:rsid w:val="30CC620A"/>
    <w:rsid w:val="30CE5767"/>
    <w:rsid w:val="30D0998F"/>
    <w:rsid w:val="30D44667"/>
    <w:rsid w:val="30D4ACED"/>
    <w:rsid w:val="30D51046"/>
    <w:rsid w:val="30D55B83"/>
    <w:rsid w:val="30D600A1"/>
    <w:rsid w:val="30DB95F3"/>
    <w:rsid w:val="30E415ED"/>
    <w:rsid w:val="30E5C8EC"/>
    <w:rsid w:val="30E66EFD"/>
    <w:rsid w:val="30ED0037"/>
    <w:rsid w:val="30EDE9BB"/>
    <w:rsid w:val="30EF80EB"/>
    <w:rsid w:val="30EFA48A"/>
    <w:rsid w:val="30F18C30"/>
    <w:rsid w:val="30F21D32"/>
    <w:rsid w:val="30F2648E"/>
    <w:rsid w:val="30F420C8"/>
    <w:rsid w:val="30F8E3F3"/>
    <w:rsid w:val="30F8F22C"/>
    <w:rsid w:val="30F9767F"/>
    <w:rsid w:val="30FA40CC"/>
    <w:rsid w:val="30FDB32D"/>
    <w:rsid w:val="30FF0BC8"/>
    <w:rsid w:val="31008130"/>
    <w:rsid w:val="31020833"/>
    <w:rsid w:val="31021312"/>
    <w:rsid w:val="3105CF5D"/>
    <w:rsid w:val="310664D7"/>
    <w:rsid w:val="3107B623"/>
    <w:rsid w:val="3107F408"/>
    <w:rsid w:val="310837C7"/>
    <w:rsid w:val="310DC397"/>
    <w:rsid w:val="310F9F35"/>
    <w:rsid w:val="31136888"/>
    <w:rsid w:val="31137963"/>
    <w:rsid w:val="3114B877"/>
    <w:rsid w:val="3117BB0D"/>
    <w:rsid w:val="3118CA81"/>
    <w:rsid w:val="311B4D9A"/>
    <w:rsid w:val="311B9189"/>
    <w:rsid w:val="311C81DB"/>
    <w:rsid w:val="311D8701"/>
    <w:rsid w:val="311DD734"/>
    <w:rsid w:val="311E205E"/>
    <w:rsid w:val="311F8933"/>
    <w:rsid w:val="311FC8F9"/>
    <w:rsid w:val="31211061"/>
    <w:rsid w:val="3123DD8B"/>
    <w:rsid w:val="31245F77"/>
    <w:rsid w:val="3124DB0A"/>
    <w:rsid w:val="312570AE"/>
    <w:rsid w:val="31275178"/>
    <w:rsid w:val="31286984"/>
    <w:rsid w:val="312AC5BD"/>
    <w:rsid w:val="312C4BA5"/>
    <w:rsid w:val="312F8E9B"/>
    <w:rsid w:val="31306AA5"/>
    <w:rsid w:val="31336BF6"/>
    <w:rsid w:val="3135B768"/>
    <w:rsid w:val="3139AC6F"/>
    <w:rsid w:val="313A07C0"/>
    <w:rsid w:val="313D34C2"/>
    <w:rsid w:val="313EF815"/>
    <w:rsid w:val="313F6966"/>
    <w:rsid w:val="313FBD4A"/>
    <w:rsid w:val="31401E70"/>
    <w:rsid w:val="3141250A"/>
    <w:rsid w:val="31412DFA"/>
    <w:rsid w:val="314242CA"/>
    <w:rsid w:val="31428764"/>
    <w:rsid w:val="31466EA6"/>
    <w:rsid w:val="3146D363"/>
    <w:rsid w:val="31476C92"/>
    <w:rsid w:val="3147EE21"/>
    <w:rsid w:val="314B3373"/>
    <w:rsid w:val="314D34D8"/>
    <w:rsid w:val="31522B4F"/>
    <w:rsid w:val="315241AD"/>
    <w:rsid w:val="3152924D"/>
    <w:rsid w:val="3154561A"/>
    <w:rsid w:val="31562C91"/>
    <w:rsid w:val="3156AB81"/>
    <w:rsid w:val="31597035"/>
    <w:rsid w:val="3159D119"/>
    <w:rsid w:val="315A1BCA"/>
    <w:rsid w:val="315BC35B"/>
    <w:rsid w:val="315E0FCA"/>
    <w:rsid w:val="315E316D"/>
    <w:rsid w:val="315E5EE0"/>
    <w:rsid w:val="315EA2A7"/>
    <w:rsid w:val="315F86DE"/>
    <w:rsid w:val="31606979"/>
    <w:rsid w:val="31625672"/>
    <w:rsid w:val="3163983D"/>
    <w:rsid w:val="31640FAD"/>
    <w:rsid w:val="31644B48"/>
    <w:rsid w:val="3167CAC9"/>
    <w:rsid w:val="31696C0D"/>
    <w:rsid w:val="316ACA73"/>
    <w:rsid w:val="316B41BD"/>
    <w:rsid w:val="316B59E9"/>
    <w:rsid w:val="316BDE16"/>
    <w:rsid w:val="316F0FDE"/>
    <w:rsid w:val="316FB7C1"/>
    <w:rsid w:val="31727303"/>
    <w:rsid w:val="31752E60"/>
    <w:rsid w:val="3175D407"/>
    <w:rsid w:val="3176366E"/>
    <w:rsid w:val="317714DB"/>
    <w:rsid w:val="31777630"/>
    <w:rsid w:val="317799C9"/>
    <w:rsid w:val="3179A843"/>
    <w:rsid w:val="317A006C"/>
    <w:rsid w:val="317AEA19"/>
    <w:rsid w:val="317C6B33"/>
    <w:rsid w:val="317DE2A3"/>
    <w:rsid w:val="317EEDA2"/>
    <w:rsid w:val="31810C56"/>
    <w:rsid w:val="3181219F"/>
    <w:rsid w:val="31817F57"/>
    <w:rsid w:val="31826FB0"/>
    <w:rsid w:val="3183BD91"/>
    <w:rsid w:val="3183F8D4"/>
    <w:rsid w:val="31856E2E"/>
    <w:rsid w:val="3185FB6B"/>
    <w:rsid w:val="318A25B4"/>
    <w:rsid w:val="318A27DA"/>
    <w:rsid w:val="318AA321"/>
    <w:rsid w:val="318AD321"/>
    <w:rsid w:val="318B381F"/>
    <w:rsid w:val="318B908A"/>
    <w:rsid w:val="318F44A1"/>
    <w:rsid w:val="3190E845"/>
    <w:rsid w:val="31927FE1"/>
    <w:rsid w:val="31931865"/>
    <w:rsid w:val="31937606"/>
    <w:rsid w:val="3194D98D"/>
    <w:rsid w:val="3195A0F1"/>
    <w:rsid w:val="31978660"/>
    <w:rsid w:val="3197DC0C"/>
    <w:rsid w:val="319D99C7"/>
    <w:rsid w:val="319D9F31"/>
    <w:rsid w:val="31A15196"/>
    <w:rsid w:val="31A20DB2"/>
    <w:rsid w:val="31A3E160"/>
    <w:rsid w:val="31A3EECC"/>
    <w:rsid w:val="31A4551D"/>
    <w:rsid w:val="31A48CE8"/>
    <w:rsid w:val="31A6C5BB"/>
    <w:rsid w:val="31A7345A"/>
    <w:rsid w:val="31ABDCD6"/>
    <w:rsid w:val="31AC16F4"/>
    <w:rsid w:val="31AC176B"/>
    <w:rsid w:val="31AC8E3D"/>
    <w:rsid w:val="31ACB970"/>
    <w:rsid w:val="31ADD751"/>
    <w:rsid w:val="31B10995"/>
    <w:rsid w:val="31B21581"/>
    <w:rsid w:val="31B2C630"/>
    <w:rsid w:val="31B6C723"/>
    <w:rsid w:val="31B6FAA9"/>
    <w:rsid w:val="31B78848"/>
    <w:rsid w:val="31B899E7"/>
    <w:rsid w:val="31B981B2"/>
    <w:rsid w:val="31BC8B53"/>
    <w:rsid w:val="31BDC3BA"/>
    <w:rsid w:val="31BF7938"/>
    <w:rsid w:val="31BF84AD"/>
    <w:rsid w:val="31C0F584"/>
    <w:rsid w:val="31C401D6"/>
    <w:rsid w:val="31C7C774"/>
    <w:rsid w:val="31CC39AB"/>
    <w:rsid w:val="31CC55D6"/>
    <w:rsid w:val="31CD1EE2"/>
    <w:rsid w:val="31CE3181"/>
    <w:rsid w:val="31D2C49B"/>
    <w:rsid w:val="31D378E8"/>
    <w:rsid w:val="31D48F81"/>
    <w:rsid w:val="31D5F268"/>
    <w:rsid w:val="31D80F2E"/>
    <w:rsid w:val="31D831AF"/>
    <w:rsid w:val="31DA63C2"/>
    <w:rsid w:val="31DB382E"/>
    <w:rsid w:val="31E1F8A7"/>
    <w:rsid w:val="31E2EE17"/>
    <w:rsid w:val="31E3520E"/>
    <w:rsid w:val="31E7EDC2"/>
    <w:rsid w:val="31E8241F"/>
    <w:rsid w:val="31E92024"/>
    <w:rsid w:val="31EA4BED"/>
    <w:rsid w:val="31EB0501"/>
    <w:rsid w:val="31EDD5C0"/>
    <w:rsid w:val="31EF5A36"/>
    <w:rsid w:val="31EFB560"/>
    <w:rsid w:val="31F0741F"/>
    <w:rsid w:val="31F37AF0"/>
    <w:rsid w:val="31F57274"/>
    <w:rsid w:val="31F58D50"/>
    <w:rsid w:val="31F5B733"/>
    <w:rsid w:val="31FA9EC1"/>
    <w:rsid w:val="31FAA8AD"/>
    <w:rsid w:val="31FC0D58"/>
    <w:rsid w:val="31FCCFBA"/>
    <w:rsid w:val="32001288"/>
    <w:rsid w:val="32017C39"/>
    <w:rsid w:val="320188E4"/>
    <w:rsid w:val="32033EF0"/>
    <w:rsid w:val="3203CF6F"/>
    <w:rsid w:val="32045809"/>
    <w:rsid w:val="320674B7"/>
    <w:rsid w:val="3206847F"/>
    <w:rsid w:val="3207F289"/>
    <w:rsid w:val="3208C24A"/>
    <w:rsid w:val="32095564"/>
    <w:rsid w:val="3209F23F"/>
    <w:rsid w:val="320B758D"/>
    <w:rsid w:val="320BFA21"/>
    <w:rsid w:val="320C69A3"/>
    <w:rsid w:val="320CACD6"/>
    <w:rsid w:val="320E63F7"/>
    <w:rsid w:val="320E69E9"/>
    <w:rsid w:val="3210C0BE"/>
    <w:rsid w:val="3213F946"/>
    <w:rsid w:val="3214EF2F"/>
    <w:rsid w:val="3215662C"/>
    <w:rsid w:val="32175663"/>
    <w:rsid w:val="32197482"/>
    <w:rsid w:val="321A9337"/>
    <w:rsid w:val="321AC001"/>
    <w:rsid w:val="321B5AF1"/>
    <w:rsid w:val="321D7072"/>
    <w:rsid w:val="321DF860"/>
    <w:rsid w:val="321E9030"/>
    <w:rsid w:val="321EE2A8"/>
    <w:rsid w:val="321F6C8E"/>
    <w:rsid w:val="3220065F"/>
    <w:rsid w:val="32259F68"/>
    <w:rsid w:val="3225B70B"/>
    <w:rsid w:val="3229ABB7"/>
    <w:rsid w:val="322DEA24"/>
    <w:rsid w:val="322EDAE4"/>
    <w:rsid w:val="322FE567"/>
    <w:rsid w:val="32300CDA"/>
    <w:rsid w:val="32303432"/>
    <w:rsid w:val="3236E254"/>
    <w:rsid w:val="323892A6"/>
    <w:rsid w:val="32390DFF"/>
    <w:rsid w:val="323950F5"/>
    <w:rsid w:val="323C1C64"/>
    <w:rsid w:val="323E3F80"/>
    <w:rsid w:val="323E5AFE"/>
    <w:rsid w:val="323E969F"/>
    <w:rsid w:val="323F59F0"/>
    <w:rsid w:val="323F76AB"/>
    <w:rsid w:val="32408CC2"/>
    <w:rsid w:val="32423D42"/>
    <w:rsid w:val="32432C37"/>
    <w:rsid w:val="32445A7A"/>
    <w:rsid w:val="32461FF3"/>
    <w:rsid w:val="3249BE06"/>
    <w:rsid w:val="324DAF1C"/>
    <w:rsid w:val="32502B29"/>
    <w:rsid w:val="3250842E"/>
    <w:rsid w:val="3252EDCF"/>
    <w:rsid w:val="325502FB"/>
    <w:rsid w:val="325697CE"/>
    <w:rsid w:val="32599B15"/>
    <w:rsid w:val="325A4454"/>
    <w:rsid w:val="325A819D"/>
    <w:rsid w:val="325C8EF9"/>
    <w:rsid w:val="325CC5B8"/>
    <w:rsid w:val="3260ADE7"/>
    <w:rsid w:val="3261393C"/>
    <w:rsid w:val="32615825"/>
    <w:rsid w:val="32624C87"/>
    <w:rsid w:val="326444F9"/>
    <w:rsid w:val="326521A3"/>
    <w:rsid w:val="3265D9F1"/>
    <w:rsid w:val="326642C9"/>
    <w:rsid w:val="32681318"/>
    <w:rsid w:val="32695DAC"/>
    <w:rsid w:val="326C657B"/>
    <w:rsid w:val="32727C58"/>
    <w:rsid w:val="3272DF43"/>
    <w:rsid w:val="32763029"/>
    <w:rsid w:val="3276D8B6"/>
    <w:rsid w:val="3276DB86"/>
    <w:rsid w:val="327749C3"/>
    <w:rsid w:val="3277B958"/>
    <w:rsid w:val="327991C2"/>
    <w:rsid w:val="327C7A33"/>
    <w:rsid w:val="327CA217"/>
    <w:rsid w:val="327D4A81"/>
    <w:rsid w:val="327DF0AE"/>
    <w:rsid w:val="327F085A"/>
    <w:rsid w:val="3280547C"/>
    <w:rsid w:val="32813C84"/>
    <w:rsid w:val="32835453"/>
    <w:rsid w:val="32868EC2"/>
    <w:rsid w:val="328698E8"/>
    <w:rsid w:val="3287E9FE"/>
    <w:rsid w:val="32886502"/>
    <w:rsid w:val="328B8D63"/>
    <w:rsid w:val="328BCB3A"/>
    <w:rsid w:val="328C6D33"/>
    <w:rsid w:val="328E5207"/>
    <w:rsid w:val="328E9240"/>
    <w:rsid w:val="3291E17C"/>
    <w:rsid w:val="3295A322"/>
    <w:rsid w:val="3295C984"/>
    <w:rsid w:val="3295FE48"/>
    <w:rsid w:val="3296218A"/>
    <w:rsid w:val="32964728"/>
    <w:rsid w:val="32966C29"/>
    <w:rsid w:val="32981180"/>
    <w:rsid w:val="3298C862"/>
    <w:rsid w:val="329971C8"/>
    <w:rsid w:val="329A9CC5"/>
    <w:rsid w:val="329B01DA"/>
    <w:rsid w:val="329B8DD6"/>
    <w:rsid w:val="329CA643"/>
    <w:rsid w:val="329E5B3E"/>
    <w:rsid w:val="329E761C"/>
    <w:rsid w:val="329EB6A9"/>
    <w:rsid w:val="329EB726"/>
    <w:rsid w:val="32A1871B"/>
    <w:rsid w:val="32A2529A"/>
    <w:rsid w:val="32A29DBB"/>
    <w:rsid w:val="32A35723"/>
    <w:rsid w:val="32A46CA7"/>
    <w:rsid w:val="32A5BDB1"/>
    <w:rsid w:val="32A5C4AF"/>
    <w:rsid w:val="32A701F9"/>
    <w:rsid w:val="32A84D56"/>
    <w:rsid w:val="32A89B15"/>
    <w:rsid w:val="32AA29A9"/>
    <w:rsid w:val="32ABE570"/>
    <w:rsid w:val="32ADEE89"/>
    <w:rsid w:val="32AEAB2C"/>
    <w:rsid w:val="32B051C9"/>
    <w:rsid w:val="32B38556"/>
    <w:rsid w:val="32B3C543"/>
    <w:rsid w:val="32B5B966"/>
    <w:rsid w:val="32B7310F"/>
    <w:rsid w:val="32B86FBD"/>
    <w:rsid w:val="32B92413"/>
    <w:rsid w:val="32BC362E"/>
    <w:rsid w:val="32BC86E6"/>
    <w:rsid w:val="32BD4D7C"/>
    <w:rsid w:val="32BF7134"/>
    <w:rsid w:val="32BF99D2"/>
    <w:rsid w:val="32BFB953"/>
    <w:rsid w:val="32C4535F"/>
    <w:rsid w:val="32C5ABDC"/>
    <w:rsid w:val="32C64276"/>
    <w:rsid w:val="32C95778"/>
    <w:rsid w:val="32C95BB8"/>
    <w:rsid w:val="32CA9473"/>
    <w:rsid w:val="32CC32BC"/>
    <w:rsid w:val="32CF8FE5"/>
    <w:rsid w:val="32D13041"/>
    <w:rsid w:val="32D257BF"/>
    <w:rsid w:val="32D289BE"/>
    <w:rsid w:val="32D31414"/>
    <w:rsid w:val="32D4D373"/>
    <w:rsid w:val="32D4E0EB"/>
    <w:rsid w:val="32D59697"/>
    <w:rsid w:val="32D66A25"/>
    <w:rsid w:val="32D66A44"/>
    <w:rsid w:val="32D83ED2"/>
    <w:rsid w:val="32D855C6"/>
    <w:rsid w:val="32D89542"/>
    <w:rsid w:val="32D97D8F"/>
    <w:rsid w:val="32D9F076"/>
    <w:rsid w:val="32DA1460"/>
    <w:rsid w:val="32DAFE64"/>
    <w:rsid w:val="32E09232"/>
    <w:rsid w:val="32E155FC"/>
    <w:rsid w:val="32E2883B"/>
    <w:rsid w:val="32E651B4"/>
    <w:rsid w:val="32E6DB5E"/>
    <w:rsid w:val="32E726A3"/>
    <w:rsid w:val="32E87A07"/>
    <w:rsid w:val="32E97D74"/>
    <w:rsid w:val="32EC6782"/>
    <w:rsid w:val="32EEAE96"/>
    <w:rsid w:val="32EF8FFF"/>
    <w:rsid w:val="32F3670B"/>
    <w:rsid w:val="32F5609B"/>
    <w:rsid w:val="32F69421"/>
    <w:rsid w:val="32F753C5"/>
    <w:rsid w:val="32F86E5E"/>
    <w:rsid w:val="32FA1EB4"/>
    <w:rsid w:val="32FC9D05"/>
    <w:rsid w:val="32FD3E54"/>
    <w:rsid w:val="32FD4D47"/>
    <w:rsid w:val="32FDAA3B"/>
    <w:rsid w:val="32FE571B"/>
    <w:rsid w:val="32FE6B39"/>
    <w:rsid w:val="33019A19"/>
    <w:rsid w:val="33041557"/>
    <w:rsid w:val="33043DA1"/>
    <w:rsid w:val="33050F6B"/>
    <w:rsid w:val="330771D1"/>
    <w:rsid w:val="33081853"/>
    <w:rsid w:val="330C4BEB"/>
    <w:rsid w:val="330E806B"/>
    <w:rsid w:val="330EE4E9"/>
    <w:rsid w:val="3312BEBD"/>
    <w:rsid w:val="3312FF53"/>
    <w:rsid w:val="3313ECA3"/>
    <w:rsid w:val="3314AD64"/>
    <w:rsid w:val="33157D81"/>
    <w:rsid w:val="3316AFE0"/>
    <w:rsid w:val="3317A005"/>
    <w:rsid w:val="3318B5AE"/>
    <w:rsid w:val="331AB249"/>
    <w:rsid w:val="331F5986"/>
    <w:rsid w:val="332096CC"/>
    <w:rsid w:val="3320D2BE"/>
    <w:rsid w:val="33277ACD"/>
    <w:rsid w:val="3327F13D"/>
    <w:rsid w:val="3328041C"/>
    <w:rsid w:val="3328C63A"/>
    <w:rsid w:val="332B5B1E"/>
    <w:rsid w:val="332D1564"/>
    <w:rsid w:val="332FC4C9"/>
    <w:rsid w:val="3330F2F0"/>
    <w:rsid w:val="3331BBE6"/>
    <w:rsid w:val="3331BC91"/>
    <w:rsid w:val="33359333"/>
    <w:rsid w:val="3335AD7C"/>
    <w:rsid w:val="33362B55"/>
    <w:rsid w:val="33377C40"/>
    <w:rsid w:val="3339AE8D"/>
    <w:rsid w:val="333E3F1B"/>
    <w:rsid w:val="333E9B17"/>
    <w:rsid w:val="3340344E"/>
    <w:rsid w:val="3342639C"/>
    <w:rsid w:val="33432EA5"/>
    <w:rsid w:val="334515DB"/>
    <w:rsid w:val="3347D9C1"/>
    <w:rsid w:val="334806C4"/>
    <w:rsid w:val="33487E2C"/>
    <w:rsid w:val="334B5471"/>
    <w:rsid w:val="334F291F"/>
    <w:rsid w:val="334F702A"/>
    <w:rsid w:val="334F816A"/>
    <w:rsid w:val="3350E749"/>
    <w:rsid w:val="33516D14"/>
    <w:rsid w:val="3352A276"/>
    <w:rsid w:val="3354A5AE"/>
    <w:rsid w:val="33557783"/>
    <w:rsid w:val="3356132A"/>
    <w:rsid w:val="3357E62E"/>
    <w:rsid w:val="335A419E"/>
    <w:rsid w:val="335A8B2A"/>
    <w:rsid w:val="335C0D92"/>
    <w:rsid w:val="335D7D44"/>
    <w:rsid w:val="335EB328"/>
    <w:rsid w:val="335ED42E"/>
    <w:rsid w:val="335FAD40"/>
    <w:rsid w:val="33601D80"/>
    <w:rsid w:val="3360F8CF"/>
    <w:rsid w:val="33612D75"/>
    <w:rsid w:val="33625A3B"/>
    <w:rsid w:val="3364099E"/>
    <w:rsid w:val="336432F9"/>
    <w:rsid w:val="3364F77E"/>
    <w:rsid w:val="33689A00"/>
    <w:rsid w:val="33728CA0"/>
    <w:rsid w:val="3373D972"/>
    <w:rsid w:val="337A9EC0"/>
    <w:rsid w:val="337B06B0"/>
    <w:rsid w:val="337D1820"/>
    <w:rsid w:val="337E971D"/>
    <w:rsid w:val="337ED644"/>
    <w:rsid w:val="337F272E"/>
    <w:rsid w:val="337F3862"/>
    <w:rsid w:val="337F39FE"/>
    <w:rsid w:val="337FD180"/>
    <w:rsid w:val="3382DC29"/>
    <w:rsid w:val="33862A44"/>
    <w:rsid w:val="33866061"/>
    <w:rsid w:val="338791B9"/>
    <w:rsid w:val="3389C353"/>
    <w:rsid w:val="338B275A"/>
    <w:rsid w:val="338BEC41"/>
    <w:rsid w:val="338CA092"/>
    <w:rsid w:val="338D8808"/>
    <w:rsid w:val="33904EBF"/>
    <w:rsid w:val="3394CE34"/>
    <w:rsid w:val="339531BA"/>
    <w:rsid w:val="3397CC50"/>
    <w:rsid w:val="33988E29"/>
    <w:rsid w:val="3398CE19"/>
    <w:rsid w:val="339AA26E"/>
    <w:rsid w:val="339D77CF"/>
    <w:rsid w:val="339DDD2B"/>
    <w:rsid w:val="339E87C8"/>
    <w:rsid w:val="339FD775"/>
    <w:rsid w:val="33A12E00"/>
    <w:rsid w:val="33A328C0"/>
    <w:rsid w:val="33A33405"/>
    <w:rsid w:val="33A3667D"/>
    <w:rsid w:val="33A3CAC4"/>
    <w:rsid w:val="33A495A2"/>
    <w:rsid w:val="33A5B1CC"/>
    <w:rsid w:val="33A66C0F"/>
    <w:rsid w:val="33A8F26C"/>
    <w:rsid w:val="33ABB03F"/>
    <w:rsid w:val="33AC4486"/>
    <w:rsid w:val="33ACACEC"/>
    <w:rsid w:val="33ACD56E"/>
    <w:rsid w:val="33AE3EE9"/>
    <w:rsid w:val="33AEC03B"/>
    <w:rsid w:val="33B089C4"/>
    <w:rsid w:val="33B1C23E"/>
    <w:rsid w:val="33B33959"/>
    <w:rsid w:val="33B3713A"/>
    <w:rsid w:val="33B54532"/>
    <w:rsid w:val="33B54E78"/>
    <w:rsid w:val="33B5C66F"/>
    <w:rsid w:val="33B84932"/>
    <w:rsid w:val="33BB2069"/>
    <w:rsid w:val="33BC6225"/>
    <w:rsid w:val="33BCB66D"/>
    <w:rsid w:val="33BD7FC4"/>
    <w:rsid w:val="33BD9E72"/>
    <w:rsid w:val="33BDF6BE"/>
    <w:rsid w:val="33C284DF"/>
    <w:rsid w:val="33C47D82"/>
    <w:rsid w:val="33C84E52"/>
    <w:rsid w:val="33C8A676"/>
    <w:rsid w:val="33C8BC1F"/>
    <w:rsid w:val="33C984C0"/>
    <w:rsid w:val="33C9F639"/>
    <w:rsid w:val="33CA01FD"/>
    <w:rsid w:val="33CAEA05"/>
    <w:rsid w:val="33CAF24C"/>
    <w:rsid w:val="33CBD3E2"/>
    <w:rsid w:val="33CC0E87"/>
    <w:rsid w:val="33CC4BCC"/>
    <w:rsid w:val="33CDE7E8"/>
    <w:rsid w:val="33CF6D3C"/>
    <w:rsid w:val="33CF72C0"/>
    <w:rsid w:val="33D0C497"/>
    <w:rsid w:val="33D27E5C"/>
    <w:rsid w:val="33D71BAF"/>
    <w:rsid w:val="33D72AA1"/>
    <w:rsid w:val="33D7D8F4"/>
    <w:rsid w:val="33DA4F8E"/>
    <w:rsid w:val="33DA539D"/>
    <w:rsid w:val="33DA7E53"/>
    <w:rsid w:val="33DBDC5A"/>
    <w:rsid w:val="33DC0C1D"/>
    <w:rsid w:val="33DE965E"/>
    <w:rsid w:val="33E18687"/>
    <w:rsid w:val="33E18B44"/>
    <w:rsid w:val="33E5AD18"/>
    <w:rsid w:val="33E7F75F"/>
    <w:rsid w:val="33E80BA1"/>
    <w:rsid w:val="33EA2859"/>
    <w:rsid w:val="33EA575D"/>
    <w:rsid w:val="33EB9352"/>
    <w:rsid w:val="33EF271F"/>
    <w:rsid w:val="33F16066"/>
    <w:rsid w:val="33F24152"/>
    <w:rsid w:val="33F58942"/>
    <w:rsid w:val="33F5B7D1"/>
    <w:rsid w:val="33F8E665"/>
    <w:rsid w:val="33F921C2"/>
    <w:rsid w:val="33FB5FA4"/>
    <w:rsid w:val="33FC2748"/>
    <w:rsid w:val="33FC40D2"/>
    <w:rsid w:val="3400EC0B"/>
    <w:rsid w:val="34030A1C"/>
    <w:rsid w:val="34032739"/>
    <w:rsid w:val="3403C225"/>
    <w:rsid w:val="34046698"/>
    <w:rsid w:val="34059443"/>
    <w:rsid w:val="340619A4"/>
    <w:rsid w:val="3406A173"/>
    <w:rsid w:val="3406A8AA"/>
    <w:rsid w:val="3406FF5F"/>
    <w:rsid w:val="340840B0"/>
    <w:rsid w:val="340889B5"/>
    <w:rsid w:val="340998AA"/>
    <w:rsid w:val="340AB49D"/>
    <w:rsid w:val="340B5D9F"/>
    <w:rsid w:val="340BACFA"/>
    <w:rsid w:val="340C90C5"/>
    <w:rsid w:val="340D007E"/>
    <w:rsid w:val="340E0279"/>
    <w:rsid w:val="340E19E5"/>
    <w:rsid w:val="340F8FC9"/>
    <w:rsid w:val="340FF146"/>
    <w:rsid w:val="34104B47"/>
    <w:rsid w:val="341115D2"/>
    <w:rsid w:val="3411F4D8"/>
    <w:rsid w:val="3412638C"/>
    <w:rsid w:val="341550D3"/>
    <w:rsid w:val="3415CE6B"/>
    <w:rsid w:val="34215409"/>
    <w:rsid w:val="34217F08"/>
    <w:rsid w:val="3422A453"/>
    <w:rsid w:val="34246E89"/>
    <w:rsid w:val="3427447E"/>
    <w:rsid w:val="3428A605"/>
    <w:rsid w:val="34299AEC"/>
    <w:rsid w:val="342A34C6"/>
    <w:rsid w:val="342B607C"/>
    <w:rsid w:val="342BCAD9"/>
    <w:rsid w:val="342C15A7"/>
    <w:rsid w:val="342DE86F"/>
    <w:rsid w:val="342E3C6B"/>
    <w:rsid w:val="342E97AF"/>
    <w:rsid w:val="342EEBCD"/>
    <w:rsid w:val="34301F18"/>
    <w:rsid w:val="3430DE30"/>
    <w:rsid w:val="3433742B"/>
    <w:rsid w:val="3433B54D"/>
    <w:rsid w:val="343643A6"/>
    <w:rsid w:val="3436CBDE"/>
    <w:rsid w:val="3437DD06"/>
    <w:rsid w:val="343AF44D"/>
    <w:rsid w:val="343B1DD5"/>
    <w:rsid w:val="343B30E1"/>
    <w:rsid w:val="343BA5E1"/>
    <w:rsid w:val="34402B96"/>
    <w:rsid w:val="34402BD4"/>
    <w:rsid w:val="34421ABE"/>
    <w:rsid w:val="3443FF56"/>
    <w:rsid w:val="3444AA11"/>
    <w:rsid w:val="3446D011"/>
    <w:rsid w:val="3447A4CD"/>
    <w:rsid w:val="344924E3"/>
    <w:rsid w:val="34494211"/>
    <w:rsid w:val="344E32C5"/>
    <w:rsid w:val="344E5858"/>
    <w:rsid w:val="344EC09D"/>
    <w:rsid w:val="34518ED0"/>
    <w:rsid w:val="3451A627"/>
    <w:rsid w:val="3451CB69"/>
    <w:rsid w:val="3451FBF2"/>
    <w:rsid w:val="345221EB"/>
    <w:rsid w:val="34536E85"/>
    <w:rsid w:val="34541214"/>
    <w:rsid w:val="34570E6E"/>
    <w:rsid w:val="34572725"/>
    <w:rsid w:val="34586AD3"/>
    <w:rsid w:val="345B8979"/>
    <w:rsid w:val="345C2437"/>
    <w:rsid w:val="345CAFC3"/>
    <w:rsid w:val="345D92E6"/>
    <w:rsid w:val="345F7E3A"/>
    <w:rsid w:val="345FEBCF"/>
    <w:rsid w:val="346012F6"/>
    <w:rsid w:val="3467E637"/>
    <w:rsid w:val="3468A0DD"/>
    <w:rsid w:val="346A0508"/>
    <w:rsid w:val="346A2C08"/>
    <w:rsid w:val="346B12C9"/>
    <w:rsid w:val="346C83B2"/>
    <w:rsid w:val="346E4D59"/>
    <w:rsid w:val="346FA04A"/>
    <w:rsid w:val="346FDC71"/>
    <w:rsid w:val="347103C7"/>
    <w:rsid w:val="3471DAB2"/>
    <w:rsid w:val="347212D7"/>
    <w:rsid w:val="3472B26D"/>
    <w:rsid w:val="34733DCD"/>
    <w:rsid w:val="3475D886"/>
    <w:rsid w:val="3476FF5F"/>
    <w:rsid w:val="34773DC9"/>
    <w:rsid w:val="3478A40F"/>
    <w:rsid w:val="34793D3A"/>
    <w:rsid w:val="347974BB"/>
    <w:rsid w:val="3479B033"/>
    <w:rsid w:val="347B7722"/>
    <w:rsid w:val="347BB84C"/>
    <w:rsid w:val="347E30A4"/>
    <w:rsid w:val="347F40D8"/>
    <w:rsid w:val="3480F310"/>
    <w:rsid w:val="34810E0E"/>
    <w:rsid w:val="348191C2"/>
    <w:rsid w:val="34829FD5"/>
    <w:rsid w:val="3484F341"/>
    <w:rsid w:val="3485A693"/>
    <w:rsid w:val="34863F98"/>
    <w:rsid w:val="3486BAEE"/>
    <w:rsid w:val="348EAD9D"/>
    <w:rsid w:val="348EF112"/>
    <w:rsid w:val="348F578D"/>
    <w:rsid w:val="348F8A30"/>
    <w:rsid w:val="3491DAF4"/>
    <w:rsid w:val="3491EE30"/>
    <w:rsid w:val="349238BD"/>
    <w:rsid w:val="3492C6EE"/>
    <w:rsid w:val="3494E4CD"/>
    <w:rsid w:val="34966970"/>
    <w:rsid w:val="349805AA"/>
    <w:rsid w:val="349C5D2F"/>
    <w:rsid w:val="349C9260"/>
    <w:rsid w:val="349E6850"/>
    <w:rsid w:val="349FC15A"/>
    <w:rsid w:val="34A1D7E3"/>
    <w:rsid w:val="34A250A8"/>
    <w:rsid w:val="34A3C5E4"/>
    <w:rsid w:val="34A4547F"/>
    <w:rsid w:val="34A753E9"/>
    <w:rsid w:val="34A9602A"/>
    <w:rsid w:val="34A96CC3"/>
    <w:rsid w:val="34AA721B"/>
    <w:rsid w:val="34AB4E0B"/>
    <w:rsid w:val="34AC9396"/>
    <w:rsid w:val="34ACEFDF"/>
    <w:rsid w:val="34B27631"/>
    <w:rsid w:val="34B4AE5D"/>
    <w:rsid w:val="34B58383"/>
    <w:rsid w:val="34B59814"/>
    <w:rsid w:val="34B84210"/>
    <w:rsid w:val="34B89424"/>
    <w:rsid w:val="34BB2FCB"/>
    <w:rsid w:val="34BC4288"/>
    <w:rsid w:val="34BC45AC"/>
    <w:rsid w:val="34BD1AC6"/>
    <w:rsid w:val="34BE4958"/>
    <w:rsid w:val="34C08318"/>
    <w:rsid w:val="34C0C30A"/>
    <w:rsid w:val="34C2EE2E"/>
    <w:rsid w:val="34C6F0A7"/>
    <w:rsid w:val="34C860F7"/>
    <w:rsid w:val="34C90E51"/>
    <w:rsid w:val="34C9E734"/>
    <w:rsid w:val="34CACD8C"/>
    <w:rsid w:val="34CCAC85"/>
    <w:rsid w:val="34CD48AB"/>
    <w:rsid w:val="34CDE0E8"/>
    <w:rsid w:val="34D16B93"/>
    <w:rsid w:val="34D28BF4"/>
    <w:rsid w:val="34D29F13"/>
    <w:rsid w:val="34D2D128"/>
    <w:rsid w:val="34D2DB6F"/>
    <w:rsid w:val="34D444E8"/>
    <w:rsid w:val="34D9E84F"/>
    <w:rsid w:val="34DB23B1"/>
    <w:rsid w:val="34DB6383"/>
    <w:rsid w:val="34DF2D83"/>
    <w:rsid w:val="34DF9221"/>
    <w:rsid w:val="34DFEBE6"/>
    <w:rsid w:val="34E022FF"/>
    <w:rsid w:val="34E08EC4"/>
    <w:rsid w:val="34E23C5C"/>
    <w:rsid w:val="34E2F290"/>
    <w:rsid w:val="34E36272"/>
    <w:rsid w:val="34E3D016"/>
    <w:rsid w:val="34E5F0B5"/>
    <w:rsid w:val="34E691B3"/>
    <w:rsid w:val="34E74F37"/>
    <w:rsid w:val="34EB1AFF"/>
    <w:rsid w:val="34EE3455"/>
    <w:rsid w:val="34EE7342"/>
    <w:rsid w:val="34EF04F8"/>
    <w:rsid w:val="34F32414"/>
    <w:rsid w:val="34F38BCD"/>
    <w:rsid w:val="34F88BAB"/>
    <w:rsid w:val="34FAEF90"/>
    <w:rsid w:val="34FBB1C9"/>
    <w:rsid w:val="34FBED12"/>
    <w:rsid w:val="34FD85FE"/>
    <w:rsid w:val="3500FACF"/>
    <w:rsid w:val="3502267E"/>
    <w:rsid w:val="3502D52C"/>
    <w:rsid w:val="35036B3E"/>
    <w:rsid w:val="35064C77"/>
    <w:rsid w:val="3506953E"/>
    <w:rsid w:val="35076DAE"/>
    <w:rsid w:val="3507EBC2"/>
    <w:rsid w:val="35084B4B"/>
    <w:rsid w:val="3509363A"/>
    <w:rsid w:val="3509C6B4"/>
    <w:rsid w:val="350A2CDC"/>
    <w:rsid w:val="350A7E2C"/>
    <w:rsid w:val="350D462C"/>
    <w:rsid w:val="350E6472"/>
    <w:rsid w:val="35100CB6"/>
    <w:rsid w:val="3510706F"/>
    <w:rsid w:val="351427AE"/>
    <w:rsid w:val="351549B2"/>
    <w:rsid w:val="3515669C"/>
    <w:rsid w:val="3516164B"/>
    <w:rsid w:val="3516C954"/>
    <w:rsid w:val="35170EA8"/>
    <w:rsid w:val="35172881"/>
    <w:rsid w:val="351A6D2F"/>
    <w:rsid w:val="351A8BDA"/>
    <w:rsid w:val="351C940F"/>
    <w:rsid w:val="351E4698"/>
    <w:rsid w:val="351EF523"/>
    <w:rsid w:val="351F3F7C"/>
    <w:rsid w:val="352014F0"/>
    <w:rsid w:val="35214E19"/>
    <w:rsid w:val="3525413A"/>
    <w:rsid w:val="35255D4C"/>
    <w:rsid w:val="35265AD9"/>
    <w:rsid w:val="352ABF90"/>
    <w:rsid w:val="352AC328"/>
    <w:rsid w:val="352C2AAE"/>
    <w:rsid w:val="352D93DB"/>
    <w:rsid w:val="352E9BAE"/>
    <w:rsid w:val="352EBFFF"/>
    <w:rsid w:val="352ED83B"/>
    <w:rsid w:val="352F3A6E"/>
    <w:rsid w:val="35308FEC"/>
    <w:rsid w:val="353098F2"/>
    <w:rsid w:val="3531AF17"/>
    <w:rsid w:val="3532A227"/>
    <w:rsid w:val="3536AACD"/>
    <w:rsid w:val="35388348"/>
    <w:rsid w:val="35399A54"/>
    <w:rsid w:val="3539CF17"/>
    <w:rsid w:val="353ACEE1"/>
    <w:rsid w:val="353C037C"/>
    <w:rsid w:val="353F8532"/>
    <w:rsid w:val="35421832"/>
    <w:rsid w:val="35426B63"/>
    <w:rsid w:val="35439E42"/>
    <w:rsid w:val="3544FDA1"/>
    <w:rsid w:val="3545C43A"/>
    <w:rsid w:val="3545E09B"/>
    <w:rsid w:val="35467AEE"/>
    <w:rsid w:val="354749FF"/>
    <w:rsid w:val="3547ACB4"/>
    <w:rsid w:val="35483F06"/>
    <w:rsid w:val="35493865"/>
    <w:rsid w:val="354A3B04"/>
    <w:rsid w:val="354A87CC"/>
    <w:rsid w:val="354B33FE"/>
    <w:rsid w:val="354B4D04"/>
    <w:rsid w:val="354E5E62"/>
    <w:rsid w:val="354EA026"/>
    <w:rsid w:val="35510DBA"/>
    <w:rsid w:val="3552A6BD"/>
    <w:rsid w:val="3557F7AC"/>
    <w:rsid w:val="35592ADC"/>
    <w:rsid w:val="3559B61F"/>
    <w:rsid w:val="355B1291"/>
    <w:rsid w:val="355B844A"/>
    <w:rsid w:val="3560514E"/>
    <w:rsid w:val="35612B0C"/>
    <w:rsid w:val="35618635"/>
    <w:rsid w:val="35621770"/>
    <w:rsid w:val="356217F2"/>
    <w:rsid w:val="3562A9F7"/>
    <w:rsid w:val="35650172"/>
    <w:rsid w:val="3566600A"/>
    <w:rsid w:val="3566FCC2"/>
    <w:rsid w:val="356A4416"/>
    <w:rsid w:val="356ACFFB"/>
    <w:rsid w:val="356AD855"/>
    <w:rsid w:val="356B38CF"/>
    <w:rsid w:val="356E663B"/>
    <w:rsid w:val="35714B5F"/>
    <w:rsid w:val="3572E676"/>
    <w:rsid w:val="35774936"/>
    <w:rsid w:val="35780780"/>
    <w:rsid w:val="35790FD4"/>
    <w:rsid w:val="35797E0B"/>
    <w:rsid w:val="3579DCB7"/>
    <w:rsid w:val="357A1BD3"/>
    <w:rsid w:val="357AD2FE"/>
    <w:rsid w:val="357B6BD0"/>
    <w:rsid w:val="357BDE13"/>
    <w:rsid w:val="3587F550"/>
    <w:rsid w:val="35897079"/>
    <w:rsid w:val="358A3CCE"/>
    <w:rsid w:val="358B02D9"/>
    <w:rsid w:val="358B4D6D"/>
    <w:rsid w:val="358DDC2B"/>
    <w:rsid w:val="358EE0AB"/>
    <w:rsid w:val="358F36CA"/>
    <w:rsid w:val="3591F34E"/>
    <w:rsid w:val="3592E0CF"/>
    <w:rsid w:val="359464E2"/>
    <w:rsid w:val="3594F277"/>
    <w:rsid w:val="3595D4F7"/>
    <w:rsid w:val="3595E79D"/>
    <w:rsid w:val="359D3AEF"/>
    <w:rsid w:val="359E5585"/>
    <w:rsid w:val="359F0368"/>
    <w:rsid w:val="35A00EF7"/>
    <w:rsid w:val="35A0921B"/>
    <w:rsid w:val="35A181E7"/>
    <w:rsid w:val="35A230B5"/>
    <w:rsid w:val="35A53AED"/>
    <w:rsid w:val="35A6737E"/>
    <w:rsid w:val="35A95901"/>
    <w:rsid w:val="35AA3E35"/>
    <w:rsid w:val="35AA7265"/>
    <w:rsid w:val="35AAEBF6"/>
    <w:rsid w:val="35AAF4F4"/>
    <w:rsid w:val="35ABE024"/>
    <w:rsid w:val="35AEEB7D"/>
    <w:rsid w:val="35AF24BA"/>
    <w:rsid w:val="35AF9962"/>
    <w:rsid w:val="35B1047E"/>
    <w:rsid w:val="35B26CF5"/>
    <w:rsid w:val="35B2E928"/>
    <w:rsid w:val="35B46934"/>
    <w:rsid w:val="35B4AC37"/>
    <w:rsid w:val="35B75B36"/>
    <w:rsid w:val="35B78452"/>
    <w:rsid w:val="35B9B0FB"/>
    <w:rsid w:val="35BBF29D"/>
    <w:rsid w:val="35BC9A4E"/>
    <w:rsid w:val="35BFF793"/>
    <w:rsid w:val="35C110CE"/>
    <w:rsid w:val="35C14756"/>
    <w:rsid w:val="35C19CB8"/>
    <w:rsid w:val="35C347F1"/>
    <w:rsid w:val="35C5F744"/>
    <w:rsid w:val="35C63329"/>
    <w:rsid w:val="35C65F1E"/>
    <w:rsid w:val="35CCD5AA"/>
    <w:rsid w:val="35CCEEDA"/>
    <w:rsid w:val="35CDB22C"/>
    <w:rsid w:val="35CF29EA"/>
    <w:rsid w:val="35CFBD36"/>
    <w:rsid w:val="35D12690"/>
    <w:rsid w:val="35D197CE"/>
    <w:rsid w:val="35D21F3A"/>
    <w:rsid w:val="35D5796D"/>
    <w:rsid w:val="35D6F319"/>
    <w:rsid w:val="35D9E68A"/>
    <w:rsid w:val="35DD395E"/>
    <w:rsid w:val="35DDEFA0"/>
    <w:rsid w:val="35E08988"/>
    <w:rsid w:val="35E25AF6"/>
    <w:rsid w:val="35E368AA"/>
    <w:rsid w:val="35E4D341"/>
    <w:rsid w:val="35E5EE29"/>
    <w:rsid w:val="35E89491"/>
    <w:rsid w:val="35EABA75"/>
    <w:rsid w:val="35ED78DA"/>
    <w:rsid w:val="35EDF6BD"/>
    <w:rsid w:val="35EDFE90"/>
    <w:rsid w:val="35EF2C35"/>
    <w:rsid w:val="35EFB22C"/>
    <w:rsid w:val="35F008B1"/>
    <w:rsid w:val="35F03107"/>
    <w:rsid w:val="35F0969A"/>
    <w:rsid w:val="35F16AFE"/>
    <w:rsid w:val="35F1B403"/>
    <w:rsid w:val="35F1CC5E"/>
    <w:rsid w:val="35F2EDE1"/>
    <w:rsid w:val="35F6E77E"/>
    <w:rsid w:val="35F731FD"/>
    <w:rsid w:val="35F741F1"/>
    <w:rsid w:val="35F85920"/>
    <w:rsid w:val="35F8B419"/>
    <w:rsid w:val="35F8E0D7"/>
    <w:rsid w:val="35F8E444"/>
    <w:rsid w:val="35F91E6E"/>
    <w:rsid w:val="35F95CF8"/>
    <w:rsid w:val="35FB6CDD"/>
    <w:rsid w:val="35FBF520"/>
    <w:rsid w:val="35FEDB09"/>
    <w:rsid w:val="35FF8CB5"/>
    <w:rsid w:val="36014128"/>
    <w:rsid w:val="3603D052"/>
    <w:rsid w:val="36063BAB"/>
    <w:rsid w:val="3606F3E2"/>
    <w:rsid w:val="36076011"/>
    <w:rsid w:val="3608B699"/>
    <w:rsid w:val="360C023B"/>
    <w:rsid w:val="36108252"/>
    <w:rsid w:val="3610841F"/>
    <w:rsid w:val="3610B7AF"/>
    <w:rsid w:val="361245AB"/>
    <w:rsid w:val="36127AAA"/>
    <w:rsid w:val="3613065F"/>
    <w:rsid w:val="3613AF3C"/>
    <w:rsid w:val="36143731"/>
    <w:rsid w:val="3617FDBB"/>
    <w:rsid w:val="36192D4F"/>
    <w:rsid w:val="361B30C8"/>
    <w:rsid w:val="361CE397"/>
    <w:rsid w:val="361F44F5"/>
    <w:rsid w:val="3621D0A3"/>
    <w:rsid w:val="362368F4"/>
    <w:rsid w:val="3625400F"/>
    <w:rsid w:val="36275E23"/>
    <w:rsid w:val="3627A4FB"/>
    <w:rsid w:val="3628F40E"/>
    <w:rsid w:val="3629108E"/>
    <w:rsid w:val="36291964"/>
    <w:rsid w:val="3629FDDE"/>
    <w:rsid w:val="362A852C"/>
    <w:rsid w:val="362BBD69"/>
    <w:rsid w:val="362EC102"/>
    <w:rsid w:val="362FD5E9"/>
    <w:rsid w:val="36301692"/>
    <w:rsid w:val="363071EF"/>
    <w:rsid w:val="3635C647"/>
    <w:rsid w:val="36374476"/>
    <w:rsid w:val="3638AAFD"/>
    <w:rsid w:val="363A1298"/>
    <w:rsid w:val="363AC077"/>
    <w:rsid w:val="363E2518"/>
    <w:rsid w:val="363F0DCD"/>
    <w:rsid w:val="3640425D"/>
    <w:rsid w:val="3640732E"/>
    <w:rsid w:val="364088D8"/>
    <w:rsid w:val="36415EC0"/>
    <w:rsid w:val="3641C8F5"/>
    <w:rsid w:val="36448807"/>
    <w:rsid w:val="3645B505"/>
    <w:rsid w:val="3647F9E4"/>
    <w:rsid w:val="3648E3D6"/>
    <w:rsid w:val="364953EA"/>
    <w:rsid w:val="364AA727"/>
    <w:rsid w:val="364B45C4"/>
    <w:rsid w:val="364E19B2"/>
    <w:rsid w:val="364EE4D5"/>
    <w:rsid w:val="36500037"/>
    <w:rsid w:val="3653F79F"/>
    <w:rsid w:val="36545818"/>
    <w:rsid w:val="36577F95"/>
    <w:rsid w:val="3658E613"/>
    <w:rsid w:val="36593283"/>
    <w:rsid w:val="365B8FA2"/>
    <w:rsid w:val="365D0AD1"/>
    <w:rsid w:val="365EB2CD"/>
    <w:rsid w:val="3661BAA1"/>
    <w:rsid w:val="36625DCA"/>
    <w:rsid w:val="3663F41A"/>
    <w:rsid w:val="3666C4F6"/>
    <w:rsid w:val="3667B5C1"/>
    <w:rsid w:val="36684EE5"/>
    <w:rsid w:val="366CCCA3"/>
    <w:rsid w:val="366D5D28"/>
    <w:rsid w:val="366D77A9"/>
    <w:rsid w:val="366D96EA"/>
    <w:rsid w:val="366E97DB"/>
    <w:rsid w:val="366EBFC5"/>
    <w:rsid w:val="366F0470"/>
    <w:rsid w:val="3670171B"/>
    <w:rsid w:val="367369D4"/>
    <w:rsid w:val="36742FE7"/>
    <w:rsid w:val="36753227"/>
    <w:rsid w:val="367558B8"/>
    <w:rsid w:val="3676F5B5"/>
    <w:rsid w:val="36790CB0"/>
    <w:rsid w:val="367930B4"/>
    <w:rsid w:val="367C0349"/>
    <w:rsid w:val="367CF76B"/>
    <w:rsid w:val="367E3BAA"/>
    <w:rsid w:val="367E972E"/>
    <w:rsid w:val="368001EA"/>
    <w:rsid w:val="3681F8A6"/>
    <w:rsid w:val="3682030F"/>
    <w:rsid w:val="3682F54C"/>
    <w:rsid w:val="368A0698"/>
    <w:rsid w:val="368A7732"/>
    <w:rsid w:val="368DDE15"/>
    <w:rsid w:val="368DFBC3"/>
    <w:rsid w:val="368E88F9"/>
    <w:rsid w:val="368F5475"/>
    <w:rsid w:val="369388DF"/>
    <w:rsid w:val="3693DB26"/>
    <w:rsid w:val="36947515"/>
    <w:rsid w:val="36950E8E"/>
    <w:rsid w:val="36971044"/>
    <w:rsid w:val="3699A2E4"/>
    <w:rsid w:val="369B50BD"/>
    <w:rsid w:val="369C131C"/>
    <w:rsid w:val="369CE2A2"/>
    <w:rsid w:val="369D3A78"/>
    <w:rsid w:val="369DD3CD"/>
    <w:rsid w:val="369F7265"/>
    <w:rsid w:val="36A0FBCC"/>
    <w:rsid w:val="36A43134"/>
    <w:rsid w:val="36A4DA98"/>
    <w:rsid w:val="36A680FD"/>
    <w:rsid w:val="36A6BA61"/>
    <w:rsid w:val="36A8E3EE"/>
    <w:rsid w:val="36A93D67"/>
    <w:rsid w:val="36AAB67F"/>
    <w:rsid w:val="36AD23D2"/>
    <w:rsid w:val="36AE01B4"/>
    <w:rsid w:val="36B153FB"/>
    <w:rsid w:val="36B54D5E"/>
    <w:rsid w:val="36B9210D"/>
    <w:rsid w:val="36BA7E01"/>
    <w:rsid w:val="36BA9451"/>
    <w:rsid w:val="36BB5831"/>
    <w:rsid w:val="36BB65DF"/>
    <w:rsid w:val="36BC7FDD"/>
    <w:rsid w:val="36BCAFD4"/>
    <w:rsid w:val="36BF560A"/>
    <w:rsid w:val="36C27533"/>
    <w:rsid w:val="36C54A5C"/>
    <w:rsid w:val="36C5634A"/>
    <w:rsid w:val="36C92E78"/>
    <w:rsid w:val="36C93200"/>
    <w:rsid w:val="36C955DE"/>
    <w:rsid w:val="36C9E382"/>
    <w:rsid w:val="36CC29B8"/>
    <w:rsid w:val="36CE8B4C"/>
    <w:rsid w:val="36D1B7FA"/>
    <w:rsid w:val="36D224F2"/>
    <w:rsid w:val="36D4CC48"/>
    <w:rsid w:val="36D4CCEB"/>
    <w:rsid w:val="36D60709"/>
    <w:rsid w:val="36D67FD9"/>
    <w:rsid w:val="36D6D0C7"/>
    <w:rsid w:val="36D95D80"/>
    <w:rsid w:val="36DAB120"/>
    <w:rsid w:val="36DB1F18"/>
    <w:rsid w:val="36DBF8A1"/>
    <w:rsid w:val="36DD681A"/>
    <w:rsid w:val="36DE9AF5"/>
    <w:rsid w:val="36DFEF12"/>
    <w:rsid w:val="36E20350"/>
    <w:rsid w:val="36E33DAB"/>
    <w:rsid w:val="36E5BDFD"/>
    <w:rsid w:val="36E63BBD"/>
    <w:rsid w:val="36E7CF63"/>
    <w:rsid w:val="36E9BD6E"/>
    <w:rsid w:val="36E9E82D"/>
    <w:rsid w:val="36EFA4D9"/>
    <w:rsid w:val="36F1E507"/>
    <w:rsid w:val="36F2FDAB"/>
    <w:rsid w:val="36F35688"/>
    <w:rsid w:val="36F52E65"/>
    <w:rsid w:val="36FA940B"/>
    <w:rsid w:val="36FAA66F"/>
    <w:rsid w:val="36FBD354"/>
    <w:rsid w:val="36FD23ED"/>
    <w:rsid w:val="36FEDE12"/>
    <w:rsid w:val="36FF02D4"/>
    <w:rsid w:val="36FF5DE7"/>
    <w:rsid w:val="3706275B"/>
    <w:rsid w:val="3707093B"/>
    <w:rsid w:val="37096EE2"/>
    <w:rsid w:val="370AC6B7"/>
    <w:rsid w:val="370AE4CC"/>
    <w:rsid w:val="370B10CB"/>
    <w:rsid w:val="370B6B7B"/>
    <w:rsid w:val="370B7A25"/>
    <w:rsid w:val="370B9872"/>
    <w:rsid w:val="370C02E1"/>
    <w:rsid w:val="370C1ADB"/>
    <w:rsid w:val="370D19C8"/>
    <w:rsid w:val="370E0139"/>
    <w:rsid w:val="3710DC74"/>
    <w:rsid w:val="37113B25"/>
    <w:rsid w:val="37131A62"/>
    <w:rsid w:val="37160D48"/>
    <w:rsid w:val="3716212E"/>
    <w:rsid w:val="371713E4"/>
    <w:rsid w:val="371776EE"/>
    <w:rsid w:val="371865B5"/>
    <w:rsid w:val="3719264A"/>
    <w:rsid w:val="371A7C71"/>
    <w:rsid w:val="371ABE95"/>
    <w:rsid w:val="371B0B94"/>
    <w:rsid w:val="371C7828"/>
    <w:rsid w:val="371ED016"/>
    <w:rsid w:val="3720E063"/>
    <w:rsid w:val="3721C0A6"/>
    <w:rsid w:val="3721DF11"/>
    <w:rsid w:val="37229652"/>
    <w:rsid w:val="37278A0D"/>
    <w:rsid w:val="3728CB9D"/>
    <w:rsid w:val="372A5494"/>
    <w:rsid w:val="372AADF1"/>
    <w:rsid w:val="372B66FC"/>
    <w:rsid w:val="372E5F88"/>
    <w:rsid w:val="37306A27"/>
    <w:rsid w:val="37316C8F"/>
    <w:rsid w:val="3733B373"/>
    <w:rsid w:val="37350D15"/>
    <w:rsid w:val="3735290C"/>
    <w:rsid w:val="3736C709"/>
    <w:rsid w:val="37370E3B"/>
    <w:rsid w:val="373A06B4"/>
    <w:rsid w:val="373C3008"/>
    <w:rsid w:val="373C58DE"/>
    <w:rsid w:val="3740BC9C"/>
    <w:rsid w:val="374143DB"/>
    <w:rsid w:val="374265BE"/>
    <w:rsid w:val="3746E2B6"/>
    <w:rsid w:val="37473D74"/>
    <w:rsid w:val="37479270"/>
    <w:rsid w:val="3748D117"/>
    <w:rsid w:val="3749369E"/>
    <w:rsid w:val="374A631C"/>
    <w:rsid w:val="374CDB4B"/>
    <w:rsid w:val="374CDD7F"/>
    <w:rsid w:val="3750DB11"/>
    <w:rsid w:val="375735C0"/>
    <w:rsid w:val="37578193"/>
    <w:rsid w:val="37585001"/>
    <w:rsid w:val="37599358"/>
    <w:rsid w:val="375A9ACE"/>
    <w:rsid w:val="375ACEAE"/>
    <w:rsid w:val="375B419D"/>
    <w:rsid w:val="375C3549"/>
    <w:rsid w:val="375CA5C0"/>
    <w:rsid w:val="375E4DE1"/>
    <w:rsid w:val="3760FE7A"/>
    <w:rsid w:val="3762B889"/>
    <w:rsid w:val="3765E02C"/>
    <w:rsid w:val="37665AB1"/>
    <w:rsid w:val="3766A0CC"/>
    <w:rsid w:val="37697988"/>
    <w:rsid w:val="376983EF"/>
    <w:rsid w:val="3769A400"/>
    <w:rsid w:val="3769F068"/>
    <w:rsid w:val="376CE81D"/>
    <w:rsid w:val="3770888B"/>
    <w:rsid w:val="37718C81"/>
    <w:rsid w:val="3771B581"/>
    <w:rsid w:val="37724F46"/>
    <w:rsid w:val="37756CB6"/>
    <w:rsid w:val="37763EA9"/>
    <w:rsid w:val="377A548F"/>
    <w:rsid w:val="377AD594"/>
    <w:rsid w:val="377C1967"/>
    <w:rsid w:val="377D988C"/>
    <w:rsid w:val="377E20BB"/>
    <w:rsid w:val="377F0349"/>
    <w:rsid w:val="377FCBC4"/>
    <w:rsid w:val="37807790"/>
    <w:rsid w:val="3784E203"/>
    <w:rsid w:val="3786DBB4"/>
    <w:rsid w:val="3787853F"/>
    <w:rsid w:val="3788DE81"/>
    <w:rsid w:val="37894803"/>
    <w:rsid w:val="378B574D"/>
    <w:rsid w:val="378BEA71"/>
    <w:rsid w:val="378CF460"/>
    <w:rsid w:val="378D706C"/>
    <w:rsid w:val="378ED1D9"/>
    <w:rsid w:val="378EF092"/>
    <w:rsid w:val="378F1C69"/>
    <w:rsid w:val="378F287E"/>
    <w:rsid w:val="37950456"/>
    <w:rsid w:val="37957E57"/>
    <w:rsid w:val="3795E49B"/>
    <w:rsid w:val="3796C553"/>
    <w:rsid w:val="37972B80"/>
    <w:rsid w:val="3798BCEB"/>
    <w:rsid w:val="3798C6AC"/>
    <w:rsid w:val="3799048E"/>
    <w:rsid w:val="379A0944"/>
    <w:rsid w:val="379BC1E4"/>
    <w:rsid w:val="37A2B535"/>
    <w:rsid w:val="37A509A1"/>
    <w:rsid w:val="37A58FE2"/>
    <w:rsid w:val="37A5D983"/>
    <w:rsid w:val="37A5DA93"/>
    <w:rsid w:val="37A87144"/>
    <w:rsid w:val="37A92D13"/>
    <w:rsid w:val="37A9CD62"/>
    <w:rsid w:val="37AA6CF6"/>
    <w:rsid w:val="37AB98B3"/>
    <w:rsid w:val="37AE2D47"/>
    <w:rsid w:val="37AF218C"/>
    <w:rsid w:val="37AF701D"/>
    <w:rsid w:val="37B4F559"/>
    <w:rsid w:val="37B53880"/>
    <w:rsid w:val="37B73917"/>
    <w:rsid w:val="37B9378D"/>
    <w:rsid w:val="37BA1B81"/>
    <w:rsid w:val="37BA9F15"/>
    <w:rsid w:val="37BBB2FA"/>
    <w:rsid w:val="37BC0B03"/>
    <w:rsid w:val="37BC6FCD"/>
    <w:rsid w:val="37BDD648"/>
    <w:rsid w:val="37BE585E"/>
    <w:rsid w:val="37BEEB52"/>
    <w:rsid w:val="37C0354D"/>
    <w:rsid w:val="37C1D808"/>
    <w:rsid w:val="37C33C2E"/>
    <w:rsid w:val="37C3569E"/>
    <w:rsid w:val="37C46C14"/>
    <w:rsid w:val="37C490DA"/>
    <w:rsid w:val="37C4D2C1"/>
    <w:rsid w:val="37C5E30E"/>
    <w:rsid w:val="37C71452"/>
    <w:rsid w:val="37C745C4"/>
    <w:rsid w:val="37C84515"/>
    <w:rsid w:val="37CA9111"/>
    <w:rsid w:val="37CB6A34"/>
    <w:rsid w:val="37CC330E"/>
    <w:rsid w:val="37D0474E"/>
    <w:rsid w:val="37D58FB0"/>
    <w:rsid w:val="37D9DC79"/>
    <w:rsid w:val="37DD3232"/>
    <w:rsid w:val="37DE1CB7"/>
    <w:rsid w:val="37DE9581"/>
    <w:rsid w:val="37E0401E"/>
    <w:rsid w:val="37E0DD11"/>
    <w:rsid w:val="37E1F8F7"/>
    <w:rsid w:val="37E2737F"/>
    <w:rsid w:val="37E40C01"/>
    <w:rsid w:val="37E558A3"/>
    <w:rsid w:val="37E5DD0F"/>
    <w:rsid w:val="37E82F26"/>
    <w:rsid w:val="37EB1E0A"/>
    <w:rsid w:val="37ECE5E4"/>
    <w:rsid w:val="37F02210"/>
    <w:rsid w:val="37F44EAB"/>
    <w:rsid w:val="37F4C1F1"/>
    <w:rsid w:val="37F4E1AA"/>
    <w:rsid w:val="37F58141"/>
    <w:rsid w:val="37F5A0D8"/>
    <w:rsid w:val="37F65661"/>
    <w:rsid w:val="37F6646F"/>
    <w:rsid w:val="37F83470"/>
    <w:rsid w:val="37FAB1EB"/>
    <w:rsid w:val="37FEF428"/>
    <w:rsid w:val="37FFAE0E"/>
    <w:rsid w:val="380324A0"/>
    <w:rsid w:val="3804BB8C"/>
    <w:rsid w:val="3805A705"/>
    <w:rsid w:val="3805C0DE"/>
    <w:rsid w:val="38069E3A"/>
    <w:rsid w:val="3806D53A"/>
    <w:rsid w:val="3807504E"/>
    <w:rsid w:val="3807F080"/>
    <w:rsid w:val="380BEF4E"/>
    <w:rsid w:val="380DF415"/>
    <w:rsid w:val="3810C35A"/>
    <w:rsid w:val="38119117"/>
    <w:rsid w:val="38131141"/>
    <w:rsid w:val="3813B0B1"/>
    <w:rsid w:val="38158C67"/>
    <w:rsid w:val="3815919D"/>
    <w:rsid w:val="3815DABF"/>
    <w:rsid w:val="3819E903"/>
    <w:rsid w:val="381A0D1C"/>
    <w:rsid w:val="381A755A"/>
    <w:rsid w:val="381B0500"/>
    <w:rsid w:val="381BFBC7"/>
    <w:rsid w:val="381D02BF"/>
    <w:rsid w:val="381FCC48"/>
    <w:rsid w:val="3823A2C5"/>
    <w:rsid w:val="3825BB31"/>
    <w:rsid w:val="3825E17B"/>
    <w:rsid w:val="3827910E"/>
    <w:rsid w:val="382A827B"/>
    <w:rsid w:val="382AD97E"/>
    <w:rsid w:val="382C16B5"/>
    <w:rsid w:val="382D3E6C"/>
    <w:rsid w:val="382E201C"/>
    <w:rsid w:val="382E7660"/>
    <w:rsid w:val="382F7D0B"/>
    <w:rsid w:val="3830A224"/>
    <w:rsid w:val="3830F9E0"/>
    <w:rsid w:val="383161EB"/>
    <w:rsid w:val="38327DB2"/>
    <w:rsid w:val="3833527C"/>
    <w:rsid w:val="38348762"/>
    <w:rsid w:val="3834BA69"/>
    <w:rsid w:val="383508A0"/>
    <w:rsid w:val="383672CD"/>
    <w:rsid w:val="3836E1BA"/>
    <w:rsid w:val="3836E379"/>
    <w:rsid w:val="38379B86"/>
    <w:rsid w:val="3838AF4E"/>
    <w:rsid w:val="38396CEF"/>
    <w:rsid w:val="383B8CB8"/>
    <w:rsid w:val="383C6576"/>
    <w:rsid w:val="383C7A05"/>
    <w:rsid w:val="383CEB94"/>
    <w:rsid w:val="383EEF60"/>
    <w:rsid w:val="383F150C"/>
    <w:rsid w:val="383F7138"/>
    <w:rsid w:val="3841A3DA"/>
    <w:rsid w:val="3842AB1D"/>
    <w:rsid w:val="38437939"/>
    <w:rsid w:val="3843A1E7"/>
    <w:rsid w:val="3844E97D"/>
    <w:rsid w:val="38456B3A"/>
    <w:rsid w:val="3845768F"/>
    <w:rsid w:val="38465A36"/>
    <w:rsid w:val="38469834"/>
    <w:rsid w:val="38485274"/>
    <w:rsid w:val="384A4A0F"/>
    <w:rsid w:val="384EF569"/>
    <w:rsid w:val="384EFF3E"/>
    <w:rsid w:val="384F99F3"/>
    <w:rsid w:val="3850A2EC"/>
    <w:rsid w:val="3850AD57"/>
    <w:rsid w:val="3853116D"/>
    <w:rsid w:val="3853BB60"/>
    <w:rsid w:val="3854F707"/>
    <w:rsid w:val="3855E75A"/>
    <w:rsid w:val="38560013"/>
    <w:rsid w:val="3856D0AC"/>
    <w:rsid w:val="38584BA3"/>
    <w:rsid w:val="3858666B"/>
    <w:rsid w:val="385A200D"/>
    <w:rsid w:val="385B3ADD"/>
    <w:rsid w:val="385B5DA8"/>
    <w:rsid w:val="385CA555"/>
    <w:rsid w:val="385F2E11"/>
    <w:rsid w:val="385F31EA"/>
    <w:rsid w:val="385FF57A"/>
    <w:rsid w:val="3861BD6B"/>
    <w:rsid w:val="3861C7F8"/>
    <w:rsid w:val="3863F72A"/>
    <w:rsid w:val="3868D377"/>
    <w:rsid w:val="3868DDC1"/>
    <w:rsid w:val="386A394E"/>
    <w:rsid w:val="386BD194"/>
    <w:rsid w:val="386C77E7"/>
    <w:rsid w:val="386D27B1"/>
    <w:rsid w:val="386D3ECA"/>
    <w:rsid w:val="38713132"/>
    <w:rsid w:val="387145D8"/>
    <w:rsid w:val="38717ADD"/>
    <w:rsid w:val="38718629"/>
    <w:rsid w:val="38722443"/>
    <w:rsid w:val="38726C02"/>
    <w:rsid w:val="3873C64C"/>
    <w:rsid w:val="3874C692"/>
    <w:rsid w:val="38754E11"/>
    <w:rsid w:val="3878E7D6"/>
    <w:rsid w:val="387C2682"/>
    <w:rsid w:val="387CCAD9"/>
    <w:rsid w:val="3880430D"/>
    <w:rsid w:val="38819B49"/>
    <w:rsid w:val="38840DFD"/>
    <w:rsid w:val="3884B0CD"/>
    <w:rsid w:val="3884FC5B"/>
    <w:rsid w:val="3885E8CA"/>
    <w:rsid w:val="388651BE"/>
    <w:rsid w:val="38879425"/>
    <w:rsid w:val="38892BF4"/>
    <w:rsid w:val="388B3DA5"/>
    <w:rsid w:val="388D0AA9"/>
    <w:rsid w:val="388D1428"/>
    <w:rsid w:val="388E4252"/>
    <w:rsid w:val="388EBC85"/>
    <w:rsid w:val="388EE152"/>
    <w:rsid w:val="388FC9F7"/>
    <w:rsid w:val="38907DAF"/>
    <w:rsid w:val="3892A383"/>
    <w:rsid w:val="3897711F"/>
    <w:rsid w:val="38986387"/>
    <w:rsid w:val="389A465F"/>
    <w:rsid w:val="389D1351"/>
    <w:rsid w:val="389F5A40"/>
    <w:rsid w:val="38A0389E"/>
    <w:rsid w:val="38A08085"/>
    <w:rsid w:val="38A309BD"/>
    <w:rsid w:val="38A43E1D"/>
    <w:rsid w:val="38A608D8"/>
    <w:rsid w:val="38ABB5CF"/>
    <w:rsid w:val="38B1F09D"/>
    <w:rsid w:val="38B22E54"/>
    <w:rsid w:val="38B23858"/>
    <w:rsid w:val="38B4A126"/>
    <w:rsid w:val="38B7A85E"/>
    <w:rsid w:val="38B9AD32"/>
    <w:rsid w:val="38BC4516"/>
    <w:rsid w:val="38BC4FB8"/>
    <w:rsid w:val="38BCBCB4"/>
    <w:rsid w:val="38BD3F39"/>
    <w:rsid w:val="38BE3DF3"/>
    <w:rsid w:val="38BED891"/>
    <w:rsid w:val="38C0AA97"/>
    <w:rsid w:val="38C39A90"/>
    <w:rsid w:val="38C3B2FD"/>
    <w:rsid w:val="38C3FF5B"/>
    <w:rsid w:val="38C5FEE0"/>
    <w:rsid w:val="38CA2544"/>
    <w:rsid w:val="38CA5573"/>
    <w:rsid w:val="38CBD8E7"/>
    <w:rsid w:val="38CCCE09"/>
    <w:rsid w:val="38CE094C"/>
    <w:rsid w:val="38CF0C2B"/>
    <w:rsid w:val="38CF488B"/>
    <w:rsid w:val="38CF85FB"/>
    <w:rsid w:val="38D0A3D3"/>
    <w:rsid w:val="38D0D5EC"/>
    <w:rsid w:val="38D45B6D"/>
    <w:rsid w:val="38D922BE"/>
    <w:rsid w:val="38DACF1D"/>
    <w:rsid w:val="38DB5F78"/>
    <w:rsid w:val="38DB6D60"/>
    <w:rsid w:val="38DB7013"/>
    <w:rsid w:val="38DB8214"/>
    <w:rsid w:val="38DC2D10"/>
    <w:rsid w:val="38DCE39F"/>
    <w:rsid w:val="38E05FF9"/>
    <w:rsid w:val="38E12A24"/>
    <w:rsid w:val="38E133DE"/>
    <w:rsid w:val="38E58794"/>
    <w:rsid w:val="38E71A2A"/>
    <w:rsid w:val="38E7909F"/>
    <w:rsid w:val="38E8C082"/>
    <w:rsid w:val="38E8DB2D"/>
    <w:rsid w:val="38EA195B"/>
    <w:rsid w:val="38EACFDF"/>
    <w:rsid w:val="38EB1BFC"/>
    <w:rsid w:val="38EBE6DD"/>
    <w:rsid w:val="38EBF093"/>
    <w:rsid w:val="38ED8E92"/>
    <w:rsid w:val="38EE2A6B"/>
    <w:rsid w:val="38EEA948"/>
    <w:rsid w:val="38F44F57"/>
    <w:rsid w:val="38F61463"/>
    <w:rsid w:val="38F6A820"/>
    <w:rsid w:val="38F6C1BA"/>
    <w:rsid w:val="38F7127A"/>
    <w:rsid w:val="38FA4EE1"/>
    <w:rsid w:val="38FC362B"/>
    <w:rsid w:val="38FD5171"/>
    <w:rsid w:val="38FE32AC"/>
    <w:rsid w:val="38FE877F"/>
    <w:rsid w:val="38FF648B"/>
    <w:rsid w:val="38FFF4E4"/>
    <w:rsid w:val="390210DA"/>
    <w:rsid w:val="39026848"/>
    <w:rsid w:val="3903F91E"/>
    <w:rsid w:val="3904457A"/>
    <w:rsid w:val="39060CE1"/>
    <w:rsid w:val="39075B9F"/>
    <w:rsid w:val="390BC72F"/>
    <w:rsid w:val="390F6685"/>
    <w:rsid w:val="3910719E"/>
    <w:rsid w:val="39109ADD"/>
    <w:rsid w:val="39113BDA"/>
    <w:rsid w:val="39123E24"/>
    <w:rsid w:val="39130B65"/>
    <w:rsid w:val="39145AD0"/>
    <w:rsid w:val="3914A7D0"/>
    <w:rsid w:val="3915E8D7"/>
    <w:rsid w:val="391803FC"/>
    <w:rsid w:val="3918BE32"/>
    <w:rsid w:val="3919345B"/>
    <w:rsid w:val="391AFB81"/>
    <w:rsid w:val="391C81A1"/>
    <w:rsid w:val="39201829"/>
    <w:rsid w:val="39204BC2"/>
    <w:rsid w:val="3920A7F5"/>
    <w:rsid w:val="3920DD3E"/>
    <w:rsid w:val="39224AB5"/>
    <w:rsid w:val="39248932"/>
    <w:rsid w:val="39252B1C"/>
    <w:rsid w:val="39263709"/>
    <w:rsid w:val="3927E1B0"/>
    <w:rsid w:val="3929B48C"/>
    <w:rsid w:val="392A4BB3"/>
    <w:rsid w:val="392BE186"/>
    <w:rsid w:val="392C324E"/>
    <w:rsid w:val="392C77B6"/>
    <w:rsid w:val="392C799E"/>
    <w:rsid w:val="392DF695"/>
    <w:rsid w:val="392E3492"/>
    <w:rsid w:val="392F4E94"/>
    <w:rsid w:val="39312B1D"/>
    <w:rsid w:val="3931455A"/>
    <w:rsid w:val="3931BB40"/>
    <w:rsid w:val="39325149"/>
    <w:rsid w:val="3935F089"/>
    <w:rsid w:val="39370FAC"/>
    <w:rsid w:val="39389B1B"/>
    <w:rsid w:val="393A53A5"/>
    <w:rsid w:val="393D2DAE"/>
    <w:rsid w:val="393DB631"/>
    <w:rsid w:val="393EA677"/>
    <w:rsid w:val="393F8C33"/>
    <w:rsid w:val="39407650"/>
    <w:rsid w:val="394221D6"/>
    <w:rsid w:val="39435DC2"/>
    <w:rsid w:val="39436618"/>
    <w:rsid w:val="394379EB"/>
    <w:rsid w:val="3943958B"/>
    <w:rsid w:val="39471995"/>
    <w:rsid w:val="3947B463"/>
    <w:rsid w:val="394B09D8"/>
    <w:rsid w:val="394C6837"/>
    <w:rsid w:val="394CA19F"/>
    <w:rsid w:val="394FBD24"/>
    <w:rsid w:val="3950173D"/>
    <w:rsid w:val="39514286"/>
    <w:rsid w:val="3951835B"/>
    <w:rsid w:val="3951EF5C"/>
    <w:rsid w:val="3953171F"/>
    <w:rsid w:val="3954B375"/>
    <w:rsid w:val="395754D9"/>
    <w:rsid w:val="3957619A"/>
    <w:rsid w:val="3957F194"/>
    <w:rsid w:val="3958A2B1"/>
    <w:rsid w:val="3959FA4F"/>
    <w:rsid w:val="395A5C86"/>
    <w:rsid w:val="395A633B"/>
    <w:rsid w:val="395A6DA5"/>
    <w:rsid w:val="395B2BB4"/>
    <w:rsid w:val="395DF882"/>
    <w:rsid w:val="395FDC96"/>
    <w:rsid w:val="3960E4FC"/>
    <w:rsid w:val="396111AE"/>
    <w:rsid w:val="39621464"/>
    <w:rsid w:val="39647512"/>
    <w:rsid w:val="39650870"/>
    <w:rsid w:val="3966BCD9"/>
    <w:rsid w:val="396DF729"/>
    <w:rsid w:val="396DF932"/>
    <w:rsid w:val="396E4741"/>
    <w:rsid w:val="396E888B"/>
    <w:rsid w:val="39727751"/>
    <w:rsid w:val="3972DB2B"/>
    <w:rsid w:val="39742D98"/>
    <w:rsid w:val="3974AFDC"/>
    <w:rsid w:val="39759414"/>
    <w:rsid w:val="397880D8"/>
    <w:rsid w:val="397AC752"/>
    <w:rsid w:val="397C7067"/>
    <w:rsid w:val="397E6B1A"/>
    <w:rsid w:val="397F80C2"/>
    <w:rsid w:val="39851B2D"/>
    <w:rsid w:val="39869FD6"/>
    <w:rsid w:val="398769BF"/>
    <w:rsid w:val="3988CA31"/>
    <w:rsid w:val="3989A8AD"/>
    <w:rsid w:val="398D7D01"/>
    <w:rsid w:val="398E89A8"/>
    <w:rsid w:val="398E8F30"/>
    <w:rsid w:val="398FE69F"/>
    <w:rsid w:val="399021E8"/>
    <w:rsid w:val="399038FA"/>
    <w:rsid w:val="39925E0E"/>
    <w:rsid w:val="3994CF58"/>
    <w:rsid w:val="39953319"/>
    <w:rsid w:val="39955DC3"/>
    <w:rsid w:val="39960DDC"/>
    <w:rsid w:val="3996B01B"/>
    <w:rsid w:val="39984043"/>
    <w:rsid w:val="399898A7"/>
    <w:rsid w:val="399964A6"/>
    <w:rsid w:val="399B4815"/>
    <w:rsid w:val="399DDE80"/>
    <w:rsid w:val="399E0013"/>
    <w:rsid w:val="399EE857"/>
    <w:rsid w:val="399FBF04"/>
    <w:rsid w:val="39A0CB25"/>
    <w:rsid w:val="39A1A5D3"/>
    <w:rsid w:val="39A2CC0D"/>
    <w:rsid w:val="39A2FCB2"/>
    <w:rsid w:val="39A3C7AA"/>
    <w:rsid w:val="39A55375"/>
    <w:rsid w:val="39A6A969"/>
    <w:rsid w:val="39A9A303"/>
    <w:rsid w:val="39AA3E96"/>
    <w:rsid w:val="39AB1D0C"/>
    <w:rsid w:val="39ACDB69"/>
    <w:rsid w:val="39AE328B"/>
    <w:rsid w:val="39B1914A"/>
    <w:rsid w:val="39B1CCE4"/>
    <w:rsid w:val="39B4CF2D"/>
    <w:rsid w:val="39B4E41A"/>
    <w:rsid w:val="39B66F2F"/>
    <w:rsid w:val="39B68F47"/>
    <w:rsid w:val="39B97E51"/>
    <w:rsid w:val="39B97E76"/>
    <w:rsid w:val="39BC1780"/>
    <w:rsid w:val="39BD997B"/>
    <w:rsid w:val="39BDD29F"/>
    <w:rsid w:val="39BE88D3"/>
    <w:rsid w:val="39BF978B"/>
    <w:rsid w:val="39BFF143"/>
    <w:rsid w:val="39C2E0C8"/>
    <w:rsid w:val="39C7C67A"/>
    <w:rsid w:val="39C8D062"/>
    <w:rsid w:val="39C99FF6"/>
    <w:rsid w:val="39CA437B"/>
    <w:rsid w:val="39CA931E"/>
    <w:rsid w:val="39CDE651"/>
    <w:rsid w:val="39CE399E"/>
    <w:rsid w:val="39D24604"/>
    <w:rsid w:val="39D36AD6"/>
    <w:rsid w:val="39D48DD4"/>
    <w:rsid w:val="39D6F2A7"/>
    <w:rsid w:val="39D76B5D"/>
    <w:rsid w:val="39D8B60D"/>
    <w:rsid w:val="39D9BEF1"/>
    <w:rsid w:val="39DB2C64"/>
    <w:rsid w:val="39DC8936"/>
    <w:rsid w:val="39E2825A"/>
    <w:rsid w:val="39E5533C"/>
    <w:rsid w:val="39E74D26"/>
    <w:rsid w:val="39E7D695"/>
    <w:rsid w:val="39E9624C"/>
    <w:rsid w:val="39EBCF56"/>
    <w:rsid w:val="39ED32B1"/>
    <w:rsid w:val="39EE0F39"/>
    <w:rsid w:val="39F28660"/>
    <w:rsid w:val="39F336A0"/>
    <w:rsid w:val="39F370B0"/>
    <w:rsid w:val="39F3AA27"/>
    <w:rsid w:val="39F3B9FE"/>
    <w:rsid w:val="39F3D5C0"/>
    <w:rsid w:val="39F57FB9"/>
    <w:rsid w:val="39F5D15A"/>
    <w:rsid w:val="39F65562"/>
    <w:rsid w:val="39F65F67"/>
    <w:rsid w:val="39F6B92C"/>
    <w:rsid w:val="39F9EC93"/>
    <w:rsid w:val="39FACE25"/>
    <w:rsid w:val="39FAEB68"/>
    <w:rsid w:val="39FC1511"/>
    <w:rsid w:val="39FCBDCD"/>
    <w:rsid w:val="39FD13FB"/>
    <w:rsid w:val="39FD5E3B"/>
    <w:rsid w:val="39FEA79D"/>
    <w:rsid w:val="39FF01DE"/>
    <w:rsid w:val="3A0053AE"/>
    <w:rsid w:val="3A029617"/>
    <w:rsid w:val="3A03E277"/>
    <w:rsid w:val="3A041AB2"/>
    <w:rsid w:val="3A053949"/>
    <w:rsid w:val="3A05850A"/>
    <w:rsid w:val="3A06B6E4"/>
    <w:rsid w:val="3A0734AC"/>
    <w:rsid w:val="3A0A9D17"/>
    <w:rsid w:val="3A0BCA3A"/>
    <w:rsid w:val="3A0E96F7"/>
    <w:rsid w:val="3A10301C"/>
    <w:rsid w:val="3A108ED2"/>
    <w:rsid w:val="3A117326"/>
    <w:rsid w:val="3A129455"/>
    <w:rsid w:val="3A141E38"/>
    <w:rsid w:val="3A154778"/>
    <w:rsid w:val="3A192E43"/>
    <w:rsid w:val="3A19C7C1"/>
    <w:rsid w:val="3A216F3E"/>
    <w:rsid w:val="3A226F17"/>
    <w:rsid w:val="3A227A01"/>
    <w:rsid w:val="3A2343B0"/>
    <w:rsid w:val="3A26C10F"/>
    <w:rsid w:val="3A274026"/>
    <w:rsid w:val="3A286249"/>
    <w:rsid w:val="3A2A129F"/>
    <w:rsid w:val="3A2A8439"/>
    <w:rsid w:val="3A2CD52E"/>
    <w:rsid w:val="3A2E5B3C"/>
    <w:rsid w:val="3A2FCEF2"/>
    <w:rsid w:val="3A2FE8CD"/>
    <w:rsid w:val="3A3056CE"/>
    <w:rsid w:val="3A323626"/>
    <w:rsid w:val="3A328C7C"/>
    <w:rsid w:val="3A33571F"/>
    <w:rsid w:val="3A33FCD7"/>
    <w:rsid w:val="3A340A56"/>
    <w:rsid w:val="3A35435A"/>
    <w:rsid w:val="3A35B51D"/>
    <w:rsid w:val="3A377D41"/>
    <w:rsid w:val="3A3823B3"/>
    <w:rsid w:val="3A38837F"/>
    <w:rsid w:val="3A38BC3B"/>
    <w:rsid w:val="3A3A27A2"/>
    <w:rsid w:val="3A3B214B"/>
    <w:rsid w:val="3A3DB8FD"/>
    <w:rsid w:val="3A3E854E"/>
    <w:rsid w:val="3A3EDA14"/>
    <w:rsid w:val="3A3FA9B7"/>
    <w:rsid w:val="3A42547A"/>
    <w:rsid w:val="3A47B6CE"/>
    <w:rsid w:val="3A48C9EF"/>
    <w:rsid w:val="3A4A56E1"/>
    <w:rsid w:val="3A4DE9A9"/>
    <w:rsid w:val="3A4E735D"/>
    <w:rsid w:val="3A4F3C68"/>
    <w:rsid w:val="3A4FF8D7"/>
    <w:rsid w:val="3A50478F"/>
    <w:rsid w:val="3A51FF44"/>
    <w:rsid w:val="3A53AA5F"/>
    <w:rsid w:val="3A5DE11B"/>
    <w:rsid w:val="3A5F0E46"/>
    <w:rsid w:val="3A6274A5"/>
    <w:rsid w:val="3A63C26B"/>
    <w:rsid w:val="3A64969D"/>
    <w:rsid w:val="3A6793B3"/>
    <w:rsid w:val="3A68AE39"/>
    <w:rsid w:val="3A6929A4"/>
    <w:rsid w:val="3A6943E7"/>
    <w:rsid w:val="3A699413"/>
    <w:rsid w:val="3A69E6FA"/>
    <w:rsid w:val="3A69F663"/>
    <w:rsid w:val="3A709868"/>
    <w:rsid w:val="3A70C712"/>
    <w:rsid w:val="3A7233C9"/>
    <w:rsid w:val="3A72D2AE"/>
    <w:rsid w:val="3A72F992"/>
    <w:rsid w:val="3A746C79"/>
    <w:rsid w:val="3A75316F"/>
    <w:rsid w:val="3A767A2F"/>
    <w:rsid w:val="3A78A19A"/>
    <w:rsid w:val="3A78B0AE"/>
    <w:rsid w:val="3A78B367"/>
    <w:rsid w:val="3A79985F"/>
    <w:rsid w:val="3A79D976"/>
    <w:rsid w:val="3A7A72E6"/>
    <w:rsid w:val="3A7AFE62"/>
    <w:rsid w:val="3A7B0DD1"/>
    <w:rsid w:val="3A7B5865"/>
    <w:rsid w:val="3A7D01D1"/>
    <w:rsid w:val="3A7D35EC"/>
    <w:rsid w:val="3A83ECE7"/>
    <w:rsid w:val="3A84A2C2"/>
    <w:rsid w:val="3A86438D"/>
    <w:rsid w:val="3A882FAC"/>
    <w:rsid w:val="3A886424"/>
    <w:rsid w:val="3A888176"/>
    <w:rsid w:val="3A894B63"/>
    <w:rsid w:val="3A8C051A"/>
    <w:rsid w:val="3A8C0F0F"/>
    <w:rsid w:val="3A8C3C47"/>
    <w:rsid w:val="3A8E06DC"/>
    <w:rsid w:val="3A8E495B"/>
    <w:rsid w:val="3A8F7063"/>
    <w:rsid w:val="3A8F8A6B"/>
    <w:rsid w:val="3A96089A"/>
    <w:rsid w:val="3A962987"/>
    <w:rsid w:val="3A9794B7"/>
    <w:rsid w:val="3A980929"/>
    <w:rsid w:val="3A981B7C"/>
    <w:rsid w:val="3A99AF33"/>
    <w:rsid w:val="3A99FE1D"/>
    <w:rsid w:val="3A9AF281"/>
    <w:rsid w:val="3A9C1A71"/>
    <w:rsid w:val="3A9D0C61"/>
    <w:rsid w:val="3A9E3BCC"/>
    <w:rsid w:val="3AA26F34"/>
    <w:rsid w:val="3AA90CEE"/>
    <w:rsid w:val="3AA97FE8"/>
    <w:rsid w:val="3AA98124"/>
    <w:rsid w:val="3AAAAC2B"/>
    <w:rsid w:val="3AAAB71B"/>
    <w:rsid w:val="3AACD539"/>
    <w:rsid w:val="3AB2AB53"/>
    <w:rsid w:val="3AB721ED"/>
    <w:rsid w:val="3AB8090D"/>
    <w:rsid w:val="3ABA8E16"/>
    <w:rsid w:val="3ABAC64D"/>
    <w:rsid w:val="3ABBFFEF"/>
    <w:rsid w:val="3ABCD527"/>
    <w:rsid w:val="3ABE8BCD"/>
    <w:rsid w:val="3AC0A679"/>
    <w:rsid w:val="3AC3F2ED"/>
    <w:rsid w:val="3AC7CCA4"/>
    <w:rsid w:val="3AC931E0"/>
    <w:rsid w:val="3AC99938"/>
    <w:rsid w:val="3ACA4B8C"/>
    <w:rsid w:val="3ACAB06C"/>
    <w:rsid w:val="3ACB0A80"/>
    <w:rsid w:val="3ACB40D3"/>
    <w:rsid w:val="3ACBE279"/>
    <w:rsid w:val="3ACCA9BF"/>
    <w:rsid w:val="3ACFCC56"/>
    <w:rsid w:val="3AD2604C"/>
    <w:rsid w:val="3AD36648"/>
    <w:rsid w:val="3AD56467"/>
    <w:rsid w:val="3AD94E87"/>
    <w:rsid w:val="3ADA5733"/>
    <w:rsid w:val="3ADA9B2E"/>
    <w:rsid w:val="3ADCC5A4"/>
    <w:rsid w:val="3ADD9D2B"/>
    <w:rsid w:val="3AE20AD7"/>
    <w:rsid w:val="3AE28C0B"/>
    <w:rsid w:val="3AE35E0D"/>
    <w:rsid w:val="3AE50E10"/>
    <w:rsid w:val="3AE5384B"/>
    <w:rsid w:val="3AE5FCB6"/>
    <w:rsid w:val="3AE8D141"/>
    <w:rsid w:val="3AE9119E"/>
    <w:rsid w:val="3AE9148C"/>
    <w:rsid w:val="3AE9CC65"/>
    <w:rsid w:val="3AEB1565"/>
    <w:rsid w:val="3AEBF239"/>
    <w:rsid w:val="3AED4F38"/>
    <w:rsid w:val="3AEE72F5"/>
    <w:rsid w:val="3AEEE045"/>
    <w:rsid w:val="3AEF39BD"/>
    <w:rsid w:val="3AF00B09"/>
    <w:rsid w:val="3AF0A41D"/>
    <w:rsid w:val="3AF12295"/>
    <w:rsid w:val="3AF17649"/>
    <w:rsid w:val="3AF223FD"/>
    <w:rsid w:val="3AF30296"/>
    <w:rsid w:val="3AF3E695"/>
    <w:rsid w:val="3AF5C183"/>
    <w:rsid w:val="3AF85646"/>
    <w:rsid w:val="3AFA849E"/>
    <w:rsid w:val="3AFCF2DA"/>
    <w:rsid w:val="3AFF600B"/>
    <w:rsid w:val="3B0085C7"/>
    <w:rsid w:val="3B02829A"/>
    <w:rsid w:val="3B03FB1C"/>
    <w:rsid w:val="3B048AF2"/>
    <w:rsid w:val="3B04A041"/>
    <w:rsid w:val="3B055A6C"/>
    <w:rsid w:val="3B060809"/>
    <w:rsid w:val="3B0616CE"/>
    <w:rsid w:val="3B065C95"/>
    <w:rsid w:val="3B06F8F5"/>
    <w:rsid w:val="3B0852B3"/>
    <w:rsid w:val="3B08F97D"/>
    <w:rsid w:val="3B08FFDD"/>
    <w:rsid w:val="3B09F65B"/>
    <w:rsid w:val="3B0A0A28"/>
    <w:rsid w:val="3B0A49D2"/>
    <w:rsid w:val="3B0B4BEF"/>
    <w:rsid w:val="3B0BAE13"/>
    <w:rsid w:val="3B0DB682"/>
    <w:rsid w:val="3B0EF5AA"/>
    <w:rsid w:val="3B0FB931"/>
    <w:rsid w:val="3B10263E"/>
    <w:rsid w:val="3B133EC0"/>
    <w:rsid w:val="3B152BF3"/>
    <w:rsid w:val="3B158A43"/>
    <w:rsid w:val="3B183027"/>
    <w:rsid w:val="3B19A9D3"/>
    <w:rsid w:val="3B1A1FBC"/>
    <w:rsid w:val="3B1B51E9"/>
    <w:rsid w:val="3B1B6C65"/>
    <w:rsid w:val="3B1C9097"/>
    <w:rsid w:val="3B1DD216"/>
    <w:rsid w:val="3B1F26E3"/>
    <w:rsid w:val="3B209AC0"/>
    <w:rsid w:val="3B238942"/>
    <w:rsid w:val="3B2759CB"/>
    <w:rsid w:val="3B281D0B"/>
    <w:rsid w:val="3B2937D4"/>
    <w:rsid w:val="3B293F3F"/>
    <w:rsid w:val="3B29ED17"/>
    <w:rsid w:val="3B2A9179"/>
    <w:rsid w:val="3B2AA6A1"/>
    <w:rsid w:val="3B2AB3F8"/>
    <w:rsid w:val="3B2C4BFC"/>
    <w:rsid w:val="3B2F0059"/>
    <w:rsid w:val="3B2FD743"/>
    <w:rsid w:val="3B2FE60B"/>
    <w:rsid w:val="3B310451"/>
    <w:rsid w:val="3B31D248"/>
    <w:rsid w:val="3B338B58"/>
    <w:rsid w:val="3B340B75"/>
    <w:rsid w:val="3B35C8D4"/>
    <w:rsid w:val="3B37CAC8"/>
    <w:rsid w:val="3B388280"/>
    <w:rsid w:val="3B38E157"/>
    <w:rsid w:val="3B3B9AE2"/>
    <w:rsid w:val="3B3D9D85"/>
    <w:rsid w:val="3B3DE11B"/>
    <w:rsid w:val="3B3E647C"/>
    <w:rsid w:val="3B3EF817"/>
    <w:rsid w:val="3B42DE16"/>
    <w:rsid w:val="3B42F9EC"/>
    <w:rsid w:val="3B4329F2"/>
    <w:rsid w:val="3B45104A"/>
    <w:rsid w:val="3B47136C"/>
    <w:rsid w:val="3B485703"/>
    <w:rsid w:val="3B49C441"/>
    <w:rsid w:val="3B4BE488"/>
    <w:rsid w:val="3B4DFE3F"/>
    <w:rsid w:val="3B4E9984"/>
    <w:rsid w:val="3B50A0B6"/>
    <w:rsid w:val="3B5370D9"/>
    <w:rsid w:val="3B53FB97"/>
    <w:rsid w:val="3B542556"/>
    <w:rsid w:val="3B543865"/>
    <w:rsid w:val="3B57422F"/>
    <w:rsid w:val="3B585176"/>
    <w:rsid w:val="3B5B0975"/>
    <w:rsid w:val="3B5BBC54"/>
    <w:rsid w:val="3B5C82AF"/>
    <w:rsid w:val="3B5CE1EC"/>
    <w:rsid w:val="3B5D0A84"/>
    <w:rsid w:val="3B5DD913"/>
    <w:rsid w:val="3B61D80C"/>
    <w:rsid w:val="3B61FE75"/>
    <w:rsid w:val="3B636B5D"/>
    <w:rsid w:val="3B6683DF"/>
    <w:rsid w:val="3B6C19AE"/>
    <w:rsid w:val="3B6D977D"/>
    <w:rsid w:val="3B7080EC"/>
    <w:rsid w:val="3B71B8D0"/>
    <w:rsid w:val="3B7508E6"/>
    <w:rsid w:val="3B76FF6D"/>
    <w:rsid w:val="3B776AD0"/>
    <w:rsid w:val="3B784315"/>
    <w:rsid w:val="3B792E12"/>
    <w:rsid w:val="3B7A44A8"/>
    <w:rsid w:val="3B7C7F13"/>
    <w:rsid w:val="3B7CAD14"/>
    <w:rsid w:val="3B7CBA26"/>
    <w:rsid w:val="3B7F747D"/>
    <w:rsid w:val="3B810BF3"/>
    <w:rsid w:val="3B8209E3"/>
    <w:rsid w:val="3B8249E8"/>
    <w:rsid w:val="3B83B19A"/>
    <w:rsid w:val="3B84CA3D"/>
    <w:rsid w:val="3B87A13D"/>
    <w:rsid w:val="3B897000"/>
    <w:rsid w:val="3B8D0E6C"/>
    <w:rsid w:val="3B91F931"/>
    <w:rsid w:val="3B920101"/>
    <w:rsid w:val="3B93A275"/>
    <w:rsid w:val="3B953055"/>
    <w:rsid w:val="3B9678B2"/>
    <w:rsid w:val="3B99276C"/>
    <w:rsid w:val="3B995294"/>
    <w:rsid w:val="3B9B16AC"/>
    <w:rsid w:val="3B9C654A"/>
    <w:rsid w:val="3BA15809"/>
    <w:rsid w:val="3BA1C3EC"/>
    <w:rsid w:val="3BA205D2"/>
    <w:rsid w:val="3BA254E9"/>
    <w:rsid w:val="3BA4154A"/>
    <w:rsid w:val="3BA41E18"/>
    <w:rsid w:val="3BA423EB"/>
    <w:rsid w:val="3BA455A0"/>
    <w:rsid w:val="3BA5500B"/>
    <w:rsid w:val="3BA74CEC"/>
    <w:rsid w:val="3BA79FAE"/>
    <w:rsid w:val="3BA91273"/>
    <w:rsid w:val="3BA94C4E"/>
    <w:rsid w:val="3BAA25EA"/>
    <w:rsid w:val="3BAC5A57"/>
    <w:rsid w:val="3BAD4781"/>
    <w:rsid w:val="3BADD746"/>
    <w:rsid w:val="3BAECEB0"/>
    <w:rsid w:val="3BAF207A"/>
    <w:rsid w:val="3BB03DDE"/>
    <w:rsid w:val="3BB1B290"/>
    <w:rsid w:val="3BB430F2"/>
    <w:rsid w:val="3BB467E5"/>
    <w:rsid w:val="3BB4BA36"/>
    <w:rsid w:val="3BB4C569"/>
    <w:rsid w:val="3BB6C1A8"/>
    <w:rsid w:val="3BB6C31F"/>
    <w:rsid w:val="3BB77D85"/>
    <w:rsid w:val="3BB77DA3"/>
    <w:rsid w:val="3BB9A18B"/>
    <w:rsid w:val="3BB9D465"/>
    <w:rsid w:val="3BBC4E13"/>
    <w:rsid w:val="3BBCB6FA"/>
    <w:rsid w:val="3BBD7ADE"/>
    <w:rsid w:val="3BBF0991"/>
    <w:rsid w:val="3BC0014A"/>
    <w:rsid w:val="3BC2F234"/>
    <w:rsid w:val="3BC337BF"/>
    <w:rsid w:val="3BC37C4B"/>
    <w:rsid w:val="3BD00A54"/>
    <w:rsid w:val="3BD108EB"/>
    <w:rsid w:val="3BD10AD5"/>
    <w:rsid w:val="3BD13B6D"/>
    <w:rsid w:val="3BD24ABA"/>
    <w:rsid w:val="3BD28A77"/>
    <w:rsid w:val="3BD3BAEC"/>
    <w:rsid w:val="3BD688EA"/>
    <w:rsid w:val="3BD6EAD2"/>
    <w:rsid w:val="3BD7C6DA"/>
    <w:rsid w:val="3BDC4EB7"/>
    <w:rsid w:val="3BDE612F"/>
    <w:rsid w:val="3BE13323"/>
    <w:rsid w:val="3BE33D82"/>
    <w:rsid w:val="3BE6B50F"/>
    <w:rsid w:val="3BEA3732"/>
    <w:rsid w:val="3BEDEFA2"/>
    <w:rsid w:val="3BF12E6D"/>
    <w:rsid w:val="3BF3419B"/>
    <w:rsid w:val="3BF59E97"/>
    <w:rsid w:val="3BF5B03E"/>
    <w:rsid w:val="3BF6D601"/>
    <w:rsid w:val="3BF745EB"/>
    <w:rsid w:val="3BF957B6"/>
    <w:rsid w:val="3BFA2AFF"/>
    <w:rsid w:val="3BFAB0DA"/>
    <w:rsid w:val="3BFAB260"/>
    <w:rsid w:val="3BFBB872"/>
    <w:rsid w:val="3BFD460A"/>
    <w:rsid w:val="3BFEFD3D"/>
    <w:rsid w:val="3C010651"/>
    <w:rsid w:val="3C015754"/>
    <w:rsid w:val="3C06E46E"/>
    <w:rsid w:val="3C06F30F"/>
    <w:rsid w:val="3C07EBF8"/>
    <w:rsid w:val="3C09CAEC"/>
    <w:rsid w:val="3C0A434D"/>
    <w:rsid w:val="3C0B4A07"/>
    <w:rsid w:val="3C0CE247"/>
    <w:rsid w:val="3C0E1FCA"/>
    <w:rsid w:val="3C0F1F58"/>
    <w:rsid w:val="3C0F74F1"/>
    <w:rsid w:val="3C10C97C"/>
    <w:rsid w:val="3C140FB0"/>
    <w:rsid w:val="3C14E69B"/>
    <w:rsid w:val="3C17864C"/>
    <w:rsid w:val="3C181279"/>
    <w:rsid w:val="3C1857DA"/>
    <w:rsid w:val="3C195A3B"/>
    <w:rsid w:val="3C197174"/>
    <w:rsid w:val="3C19D5FC"/>
    <w:rsid w:val="3C19E5D7"/>
    <w:rsid w:val="3C1AA6B3"/>
    <w:rsid w:val="3C1DFC77"/>
    <w:rsid w:val="3C1F0038"/>
    <w:rsid w:val="3C1F8794"/>
    <w:rsid w:val="3C20D4F9"/>
    <w:rsid w:val="3C2156E2"/>
    <w:rsid w:val="3C25D700"/>
    <w:rsid w:val="3C266916"/>
    <w:rsid w:val="3C296CF5"/>
    <w:rsid w:val="3C29C6C8"/>
    <w:rsid w:val="3C2C0B07"/>
    <w:rsid w:val="3C2C3AF9"/>
    <w:rsid w:val="3C2C9E58"/>
    <w:rsid w:val="3C2CFC3A"/>
    <w:rsid w:val="3C2DB777"/>
    <w:rsid w:val="3C2E0022"/>
    <w:rsid w:val="3C2E9995"/>
    <w:rsid w:val="3C2F5A36"/>
    <w:rsid w:val="3C307E57"/>
    <w:rsid w:val="3C322C47"/>
    <w:rsid w:val="3C353552"/>
    <w:rsid w:val="3C361803"/>
    <w:rsid w:val="3C37FB93"/>
    <w:rsid w:val="3C3D2766"/>
    <w:rsid w:val="3C3E9ECC"/>
    <w:rsid w:val="3C3F1D1F"/>
    <w:rsid w:val="3C3F7FC6"/>
    <w:rsid w:val="3C3FB62C"/>
    <w:rsid w:val="3C405172"/>
    <w:rsid w:val="3C40D147"/>
    <w:rsid w:val="3C4106B2"/>
    <w:rsid w:val="3C43D8FB"/>
    <w:rsid w:val="3C44AEBA"/>
    <w:rsid w:val="3C44B736"/>
    <w:rsid w:val="3C460A0D"/>
    <w:rsid w:val="3C468418"/>
    <w:rsid w:val="3C470E58"/>
    <w:rsid w:val="3C485F42"/>
    <w:rsid w:val="3C497655"/>
    <w:rsid w:val="3C4CCF5A"/>
    <w:rsid w:val="3C505B82"/>
    <w:rsid w:val="3C50BBF0"/>
    <w:rsid w:val="3C5A4E82"/>
    <w:rsid w:val="3C5C2D0B"/>
    <w:rsid w:val="3C5EEAB8"/>
    <w:rsid w:val="3C5FB085"/>
    <w:rsid w:val="3C617916"/>
    <w:rsid w:val="3C62DCC7"/>
    <w:rsid w:val="3C6319F2"/>
    <w:rsid w:val="3C642475"/>
    <w:rsid w:val="3C66C995"/>
    <w:rsid w:val="3C66F3C0"/>
    <w:rsid w:val="3C670C54"/>
    <w:rsid w:val="3C695F6A"/>
    <w:rsid w:val="3C6B6C71"/>
    <w:rsid w:val="3C6B8589"/>
    <w:rsid w:val="3C6D3A53"/>
    <w:rsid w:val="3C6E8C2F"/>
    <w:rsid w:val="3C6F6702"/>
    <w:rsid w:val="3C6F967F"/>
    <w:rsid w:val="3C711A60"/>
    <w:rsid w:val="3C71B5BC"/>
    <w:rsid w:val="3C739503"/>
    <w:rsid w:val="3C74335A"/>
    <w:rsid w:val="3C76239B"/>
    <w:rsid w:val="3C778B74"/>
    <w:rsid w:val="3C78A255"/>
    <w:rsid w:val="3C79476C"/>
    <w:rsid w:val="3C7993F4"/>
    <w:rsid w:val="3C7B55B0"/>
    <w:rsid w:val="3C7B8822"/>
    <w:rsid w:val="3C7DA4D9"/>
    <w:rsid w:val="3C7DBEA5"/>
    <w:rsid w:val="3C7E2D18"/>
    <w:rsid w:val="3C815EF9"/>
    <w:rsid w:val="3C82233D"/>
    <w:rsid w:val="3C8541B4"/>
    <w:rsid w:val="3C887EEB"/>
    <w:rsid w:val="3C8957D9"/>
    <w:rsid w:val="3C89E7F9"/>
    <w:rsid w:val="3C89E994"/>
    <w:rsid w:val="3C8AED53"/>
    <w:rsid w:val="3C8C872F"/>
    <w:rsid w:val="3C8F5DF5"/>
    <w:rsid w:val="3C9227F9"/>
    <w:rsid w:val="3C9364BF"/>
    <w:rsid w:val="3C93D39E"/>
    <w:rsid w:val="3C940904"/>
    <w:rsid w:val="3C94BCF6"/>
    <w:rsid w:val="3C954E99"/>
    <w:rsid w:val="3C961194"/>
    <w:rsid w:val="3C96E89D"/>
    <w:rsid w:val="3C972B27"/>
    <w:rsid w:val="3C97E26D"/>
    <w:rsid w:val="3C9823E4"/>
    <w:rsid w:val="3C9A32B5"/>
    <w:rsid w:val="3C9ADF53"/>
    <w:rsid w:val="3C9B976C"/>
    <w:rsid w:val="3C9CD2A6"/>
    <w:rsid w:val="3CA13AB0"/>
    <w:rsid w:val="3CA66840"/>
    <w:rsid w:val="3CA6F1A1"/>
    <w:rsid w:val="3CA8A796"/>
    <w:rsid w:val="3CA8AA89"/>
    <w:rsid w:val="3CAA57C8"/>
    <w:rsid w:val="3CAA9157"/>
    <w:rsid w:val="3CAAC457"/>
    <w:rsid w:val="3CAB8673"/>
    <w:rsid w:val="3CAC0EA7"/>
    <w:rsid w:val="3CAC6DFE"/>
    <w:rsid w:val="3CADCB39"/>
    <w:rsid w:val="3CADEDC4"/>
    <w:rsid w:val="3CAE1D6A"/>
    <w:rsid w:val="3CAE8821"/>
    <w:rsid w:val="3CB10385"/>
    <w:rsid w:val="3CB186D5"/>
    <w:rsid w:val="3CB532DE"/>
    <w:rsid w:val="3CB679E0"/>
    <w:rsid w:val="3CBA870F"/>
    <w:rsid w:val="3CBE9866"/>
    <w:rsid w:val="3CC0505A"/>
    <w:rsid w:val="3CC07B07"/>
    <w:rsid w:val="3CC1A058"/>
    <w:rsid w:val="3CC2DF33"/>
    <w:rsid w:val="3CC3419A"/>
    <w:rsid w:val="3CC3815D"/>
    <w:rsid w:val="3CC504F1"/>
    <w:rsid w:val="3CC67E07"/>
    <w:rsid w:val="3CC6A52C"/>
    <w:rsid w:val="3CC7500B"/>
    <w:rsid w:val="3CCA3EAC"/>
    <w:rsid w:val="3CCDBD10"/>
    <w:rsid w:val="3CCFD4EC"/>
    <w:rsid w:val="3CD249A2"/>
    <w:rsid w:val="3CD29102"/>
    <w:rsid w:val="3CD29552"/>
    <w:rsid w:val="3CD38F46"/>
    <w:rsid w:val="3CD40F5D"/>
    <w:rsid w:val="3CD4BEAE"/>
    <w:rsid w:val="3CD52324"/>
    <w:rsid w:val="3CD7C9EF"/>
    <w:rsid w:val="3CDB3D39"/>
    <w:rsid w:val="3CDC2450"/>
    <w:rsid w:val="3CDE53B9"/>
    <w:rsid w:val="3CDEB30F"/>
    <w:rsid w:val="3CDF3725"/>
    <w:rsid w:val="3CE022A8"/>
    <w:rsid w:val="3CE0D93E"/>
    <w:rsid w:val="3CE1A3A6"/>
    <w:rsid w:val="3CE266A4"/>
    <w:rsid w:val="3CE35E49"/>
    <w:rsid w:val="3CE653B7"/>
    <w:rsid w:val="3CE7629B"/>
    <w:rsid w:val="3CE77630"/>
    <w:rsid w:val="3CE7B696"/>
    <w:rsid w:val="3CE7CEDC"/>
    <w:rsid w:val="3CE95B33"/>
    <w:rsid w:val="3CEB84A7"/>
    <w:rsid w:val="3CEE3188"/>
    <w:rsid w:val="3CEE9C19"/>
    <w:rsid w:val="3CEF3744"/>
    <w:rsid w:val="3CEFFD04"/>
    <w:rsid w:val="3CF1A4D9"/>
    <w:rsid w:val="3CF30312"/>
    <w:rsid w:val="3CF9CDDE"/>
    <w:rsid w:val="3CF9D860"/>
    <w:rsid w:val="3CFA906D"/>
    <w:rsid w:val="3CFC7986"/>
    <w:rsid w:val="3CFCE4D1"/>
    <w:rsid w:val="3CFDB217"/>
    <w:rsid w:val="3CFF928B"/>
    <w:rsid w:val="3D001B15"/>
    <w:rsid w:val="3D028343"/>
    <w:rsid w:val="3D02DA27"/>
    <w:rsid w:val="3D04301B"/>
    <w:rsid w:val="3D06F18C"/>
    <w:rsid w:val="3D085652"/>
    <w:rsid w:val="3D0C518C"/>
    <w:rsid w:val="3D0EA4B0"/>
    <w:rsid w:val="3D11C4F5"/>
    <w:rsid w:val="3D12A77A"/>
    <w:rsid w:val="3D134F3B"/>
    <w:rsid w:val="3D13D7CF"/>
    <w:rsid w:val="3D152FC2"/>
    <w:rsid w:val="3D154E9E"/>
    <w:rsid w:val="3D16266D"/>
    <w:rsid w:val="3D164DB0"/>
    <w:rsid w:val="3D16919F"/>
    <w:rsid w:val="3D196924"/>
    <w:rsid w:val="3D19E1A3"/>
    <w:rsid w:val="3D1A0485"/>
    <w:rsid w:val="3D1A630C"/>
    <w:rsid w:val="3D1AA199"/>
    <w:rsid w:val="3D1AC89D"/>
    <w:rsid w:val="3D1B85E6"/>
    <w:rsid w:val="3D1D5424"/>
    <w:rsid w:val="3D1E8B16"/>
    <w:rsid w:val="3D1EF3FD"/>
    <w:rsid w:val="3D20FB29"/>
    <w:rsid w:val="3D21732C"/>
    <w:rsid w:val="3D22033D"/>
    <w:rsid w:val="3D2244DC"/>
    <w:rsid w:val="3D233952"/>
    <w:rsid w:val="3D247042"/>
    <w:rsid w:val="3D24EC8A"/>
    <w:rsid w:val="3D287D35"/>
    <w:rsid w:val="3D289701"/>
    <w:rsid w:val="3D29C81E"/>
    <w:rsid w:val="3D29C8F8"/>
    <w:rsid w:val="3D29F7E8"/>
    <w:rsid w:val="3D303898"/>
    <w:rsid w:val="3D31455D"/>
    <w:rsid w:val="3D3224BC"/>
    <w:rsid w:val="3D323A1E"/>
    <w:rsid w:val="3D335C1D"/>
    <w:rsid w:val="3D354EE0"/>
    <w:rsid w:val="3D356E73"/>
    <w:rsid w:val="3D36EF67"/>
    <w:rsid w:val="3D37FADE"/>
    <w:rsid w:val="3D3EF6A0"/>
    <w:rsid w:val="3D428429"/>
    <w:rsid w:val="3D44E82A"/>
    <w:rsid w:val="3D44FA47"/>
    <w:rsid w:val="3D452ADE"/>
    <w:rsid w:val="3D4572B1"/>
    <w:rsid w:val="3D459D80"/>
    <w:rsid w:val="3D45BB9A"/>
    <w:rsid w:val="3D47F30A"/>
    <w:rsid w:val="3D4C2A61"/>
    <w:rsid w:val="3D4F7B64"/>
    <w:rsid w:val="3D504B3A"/>
    <w:rsid w:val="3D517FEA"/>
    <w:rsid w:val="3D52D604"/>
    <w:rsid w:val="3D54A374"/>
    <w:rsid w:val="3D574855"/>
    <w:rsid w:val="3D5C4EAE"/>
    <w:rsid w:val="3D5EE26E"/>
    <w:rsid w:val="3D629EEE"/>
    <w:rsid w:val="3D6346B8"/>
    <w:rsid w:val="3D63C2B5"/>
    <w:rsid w:val="3D63FAF2"/>
    <w:rsid w:val="3D648C7A"/>
    <w:rsid w:val="3D657015"/>
    <w:rsid w:val="3D657FB1"/>
    <w:rsid w:val="3D66AFB1"/>
    <w:rsid w:val="3D6771DF"/>
    <w:rsid w:val="3D67EFC5"/>
    <w:rsid w:val="3D695834"/>
    <w:rsid w:val="3D6A012D"/>
    <w:rsid w:val="3D6ADC68"/>
    <w:rsid w:val="3D6BA6A4"/>
    <w:rsid w:val="3D6BEE99"/>
    <w:rsid w:val="3D6DBD5D"/>
    <w:rsid w:val="3D6E0D97"/>
    <w:rsid w:val="3D6F7F7A"/>
    <w:rsid w:val="3D6FB500"/>
    <w:rsid w:val="3D7139F7"/>
    <w:rsid w:val="3D753010"/>
    <w:rsid w:val="3D7541A5"/>
    <w:rsid w:val="3D75D42D"/>
    <w:rsid w:val="3D75FD7B"/>
    <w:rsid w:val="3D762303"/>
    <w:rsid w:val="3D77AD64"/>
    <w:rsid w:val="3D7887C0"/>
    <w:rsid w:val="3D794416"/>
    <w:rsid w:val="3D7F4CC8"/>
    <w:rsid w:val="3D7F697B"/>
    <w:rsid w:val="3D806F71"/>
    <w:rsid w:val="3D810FBD"/>
    <w:rsid w:val="3D814700"/>
    <w:rsid w:val="3D827EBE"/>
    <w:rsid w:val="3D840DFF"/>
    <w:rsid w:val="3D843527"/>
    <w:rsid w:val="3D84ECF4"/>
    <w:rsid w:val="3D8654CC"/>
    <w:rsid w:val="3D8DE3EE"/>
    <w:rsid w:val="3D905D91"/>
    <w:rsid w:val="3D9117C9"/>
    <w:rsid w:val="3D91CFF2"/>
    <w:rsid w:val="3D93ED5B"/>
    <w:rsid w:val="3D951B18"/>
    <w:rsid w:val="3D98B3C8"/>
    <w:rsid w:val="3D99B55B"/>
    <w:rsid w:val="3D9A30B8"/>
    <w:rsid w:val="3D9A62F3"/>
    <w:rsid w:val="3D9B0662"/>
    <w:rsid w:val="3D9B8523"/>
    <w:rsid w:val="3D9BBAD8"/>
    <w:rsid w:val="3D9BD011"/>
    <w:rsid w:val="3D9BD5B9"/>
    <w:rsid w:val="3D9C07F6"/>
    <w:rsid w:val="3D9C18B4"/>
    <w:rsid w:val="3D9D152C"/>
    <w:rsid w:val="3D9D9FC2"/>
    <w:rsid w:val="3D9E4C61"/>
    <w:rsid w:val="3D9F74D2"/>
    <w:rsid w:val="3DA16934"/>
    <w:rsid w:val="3DA21D91"/>
    <w:rsid w:val="3DA3C5D0"/>
    <w:rsid w:val="3DA55C0D"/>
    <w:rsid w:val="3DAA405D"/>
    <w:rsid w:val="3DAC3284"/>
    <w:rsid w:val="3DAD5EDD"/>
    <w:rsid w:val="3DADB84D"/>
    <w:rsid w:val="3DADD89E"/>
    <w:rsid w:val="3DAE13F3"/>
    <w:rsid w:val="3DB04628"/>
    <w:rsid w:val="3DB15094"/>
    <w:rsid w:val="3DB1699C"/>
    <w:rsid w:val="3DB4DE6E"/>
    <w:rsid w:val="3DB56EDB"/>
    <w:rsid w:val="3DB6D625"/>
    <w:rsid w:val="3DB8CDA5"/>
    <w:rsid w:val="3DB9782F"/>
    <w:rsid w:val="3DBBA8E6"/>
    <w:rsid w:val="3DBE1F15"/>
    <w:rsid w:val="3DBF4F1B"/>
    <w:rsid w:val="3DC00793"/>
    <w:rsid w:val="3DC0A2C7"/>
    <w:rsid w:val="3DC16909"/>
    <w:rsid w:val="3DC28130"/>
    <w:rsid w:val="3DC3D779"/>
    <w:rsid w:val="3DC50265"/>
    <w:rsid w:val="3DC5474E"/>
    <w:rsid w:val="3DC5EF1D"/>
    <w:rsid w:val="3DC62844"/>
    <w:rsid w:val="3DC63C77"/>
    <w:rsid w:val="3DC8900E"/>
    <w:rsid w:val="3DCB6411"/>
    <w:rsid w:val="3DCC89EB"/>
    <w:rsid w:val="3DCCC300"/>
    <w:rsid w:val="3DCE2D4E"/>
    <w:rsid w:val="3DCE7DBC"/>
    <w:rsid w:val="3DCF85A7"/>
    <w:rsid w:val="3DCFE475"/>
    <w:rsid w:val="3DD5AC3F"/>
    <w:rsid w:val="3DD74649"/>
    <w:rsid w:val="3DD765B2"/>
    <w:rsid w:val="3DD7CC5C"/>
    <w:rsid w:val="3DD96D9C"/>
    <w:rsid w:val="3DD9B2FD"/>
    <w:rsid w:val="3DDA97E3"/>
    <w:rsid w:val="3DDAF2C0"/>
    <w:rsid w:val="3DDBB53E"/>
    <w:rsid w:val="3DDEC79D"/>
    <w:rsid w:val="3DE0F2BA"/>
    <w:rsid w:val="3DE1696F"/>
    <w:rsid w:val="3DE1AF6D"/>
    <w:rsid w:val="3DE2B81C"/>
    <w:rsid w:val="3DE31C18"/>
    <w:rsid w:val="3DE765C0"/>
    <w:rsid w:val="3DEBF661"/>
    <w:rsid w:val="3DECDA0B"/>
    <w:rsid w:val="3DEE417A"/>
    <w:rsid w:val="3DEFCADA"/>
    <w:rsid w:val="3DF05373"/>
    <w:rsid w:val="3DF1B202"/>
    <w:rsid w:val="3DF325A4"/>
    <w:rsid w:val="3DF39580"/>
    <w:rsid w:val="3DF49CEE"/>
    <w:rsid w:val="3DF4A60D"/>
    <w:rsid w:val="3DF76C76"/>
    <w:rsid w:val="3DF84146"/>
    <w:rsid w:val="3DFAC383"/>
    <w:rsid w:val="3DFB681C"/>
    <w:rsid w:val="3DFD570B"/>
    <w:rsid w:val="3DFEE7FB"/>
    <w:rsid w:val="3E0046AB"/>
    <w:rsid w:val="3E015E83"/>
    <w:rsid w:val="3E01B2E6"/>
    <w:rsid w:val="3E037238"/>
    <w:rsid w:val="3E05B044"/>
    <w:rsid w:val="3E082205"/>
    <w:rsid w:val="3E08F287"/>
    <w:rsid w:val="3E09C41B"/>
    <w:rsid w:val="3E0BCFB4"/>
    <w:rsid w:val="3E0F729D"/>
    <w:rsid w:val="3E0FCF72"/>
    <w:rsid w:val="3E1086ED"/>
    <w:rsid w:val="3E10BDD8"/>
    <w:rsid w:val="3E17CE52"/>
    <w:rsid w:val="3E1A57A7"/>
    <w:rsid w:val="3E1A752D"/>
    <w:rsid w:val="3E1B1BC7"/>
    <w:rsid w:val="3E1D10E4"/>
    <w:rsid w:val="3E1DF583"/>
    <w:rsid w:val="3E1FD76B"/>
    <w:rsid w:val="3E2066C6"/>
    <w:rsid w:val="3E21836A"/>
    <w:rsid w:val="3E267F19"/>
    <w:rsid w:val="3E2728BC"/>
    <w:rsid w:val="3E2AF247"/>
    <w:rsid w:val="3E2ED490"/>
    <w:rsid w:val="3E30645B"/>
    <w:rsid w:val="3E32064C"/>
    <w:rsid w:val="3E32F576"/>
    <w:rsid w:val="3E34B78D"/>
    <w:rsid w:val="3E34E645"/>
    <w:rsid w:val="3E35AA1F"/>
    <w:rsid w:val="3E3681CF"/>
    <w:rsid w:val="3E38BDD2"/>
    <w:rsid w:val="3E3AE762"/>
    <w:rsid w:val="3E3B6D90"/>
    <w:rsid w:val="3E3BF137"/>
    <w:rsid w:val="3E3CFFF6"/>
    <w:rsid w:val="3E3EF3F2"/>
    <w:rsid w:val="3E410589"/>
    <w:rsid w:val="3E41B60C"/>
    <w:rsid w:val="3E42970A"/>
    <w:rsid w:val="3E459F71"/>
    <w:rsid w:val="3E474634"/>
    <w:rsid w:val="3E5389BB"/>
    <w:rsid w:val="3E5536D6"/>
    <w:rsid w:val="3E55B4E8"/>
    <w:rsid w:val="3E562F70"/>
    <w:rsid w:val="3E581F5D"/>
    <w:rsid w:val="3E58826E"/>
    <w:rsid w:val="3E5BAC11"/>
    <w:rsid w:val="3E5CB4E8"/>
    <w:rsid w:val="3E5CC749"/>
    <w:rsid w:val="3E5E280D"/>
    <w:rsid w:val="3E6069D2"/>
    <w:rsid w:val="3E623409"/>
    <w:rsid w:val="3E65F54E"/>
    <w:rsid w:val="3E686BB3"/>
    <w:rsid w:val="3E69D918"/>
    <w:rsid w:val="3E6B3001"/>
    <w:rsid w:val="3E6B4D8B"/>
    <w:rsid w:val="3E6C4CF2"/>
    <w:rsid w:val="3E7327F0"/>
    <w:rsid w:val="3E78B446"/>
    <w:rsid w:val="3E79202E"/>
    <w:rsid w:val="3E799DF8"/>
    <w:rsid w:val="3E7AE243"/>
    <w:rsid w:val="3E7CEF43"/>
    <w:rsid w:val="3E7DBADB"/>
    <w:rsid w:val="3E820C2E"/>
    <w:rsid w:val="3E84F683"/>
    <w:rsid w:val="3E87DDF2"/>
    <w:rsid w:val="3E88AA1F"/>
    <w:rsid w:val="3E8A20A4"/>
    <w:rsid w:val="3E8A7F0E"/>
    <w:rsid w:val="3E8B5216"/>
    <w:rsid w:val="3E8D7A46"/>
    <w:rsid w:val="3E8F705B"/>
    <w:rsid w:val="3E8F9EC9"/>
    <w:rsid w:val="3E8FD372"/>
    <w:rsid w:val="3E941984"/>
    <w:rsid w:val="3E94A3A3"/>
    <w:rsid w:val="3E96EC2B"/>
    <w:rsid w:val="3E98C146"/>
    <w:rsid w:val="3E98D534"/>
    <w:rsid w:val="3E9ADD98"/>
    <w:rsid w:val="3E9DCE2D"/>
    <w:rsid w:val="3EA09471"/>
    <w:rsid w:val="3EA42F96"/>
    <w:rsid w:val="3EA491B9"/>
    <w:rsid w:val="3EA5BC6F"/>
    <w:rsid w:val="3EA62004"/>
    <w:rsid w:val="3EA65C86"/>
    <w:rsid w:val="3EAA0A48"/>
    <w:rsid w:val="3EAA4F65"/>
    <w:rsid w:val="3EAE5992"/>
    <w:rsid w:val="3EB0C86D"/>
    <w:rsid w:val="3EB0E89D"/>
    <w:rsid w:val="3EB2DD46"/>
    <w:rsid w:val="3EB31197"/>
    <w:rsid w:val="3EB87824"/>
    <w:rsid w:val="3EB87A06"/>
    <w:rsid w:val="3EB8EB3E"/>
    <w:rsid w:val="3EB9303F"/>
    <w:rsid w:val="3EBC6876"/>
    <w:rsid w:val="3EBC854E"/>
    <w:rsid w:val="3EBCA32C"/>
    <w:rsid w:val="3EBF804C"/>
    <w:rsid w:val="3EC1C6F0"/>
    <w:rsid w:val="3EC3292D"/>
    <w:rsid w:val="3EC41893"/>
    <w:rsid w:val="3EC63751"/>
    <w:rsid w:val="3EC6A29E"/>
    <w:rsid w:val="3EC820AB"/>
    <w:rsid w:val="3ECA9115"/>
    <w:rsid w:val="3ECD27B7"/>
    <w:rsid w:val="3ECEA25F"/>
    <w:rsid w:val="3ECEF3EE"/>
    <w:rsid w:val="3ED02A5A"/>
    <w:rsid w:val="3ED096F3"/>
    <w:rsid w:val="3ED1F92A"/>
    <w:rsid w:val="3ED46447"/>
    <w:rsid w:val="3ED53BC0"/>
    <w:rsid w:val="3ED5FCCC"/>
    <w:rsid w:val="3ED6573D"/>
    <w:rsid w:val="3ED68A08"/>
    <w:rsid w:val="3ED7DA33"/>
    <w:rsid w:val="3ED81B45"/>
    <w:rsid w:val="3ED9B790"/>
    <w:rsid w:val="3EDA1931"/>
    <w:rsid w:val="3EDA5034"/>
    <w:rsid w:val="3EDB7D80"/>
    <w:rsid w:val="3EDE8CE1"/>
    <w:rsid w:val="3EDECCA2"/>
    <w:rsid w:val="3EDFE823"/>
    <w:rsid w:val="3EE0E5D9"/>
    <w:rsid w:val="3EE23109"/>
    <w:rsid w:val="3EE394D8"/>
    <w:rsid w:val="3EE3A97A"/>
    <w:rsid w:val="3EE6AFF2"/>
    <w:rsid w:val="3EE7A526"/>
    <w:rsid w:val="3EE7E383"/>
    <w:rsid w:val="3EE86BB1"/>
    <w:rsid w:val="3EE8E1E3"/>
    <w:rsid w:val="3EE9A0C1"/>
    <w:rsid w:val="3EEA8E60"/>
    <w:rsid w:val="3EEBAC36"/>
    <w:rsid w:val="3EEC9426"/>
    <w:rsid w:val="3EEE1CD6"/>
    <w:rsid w:val="3EEE8AD1"/>
    <w:rsid w:val="3EEFCAD4"/>
    <w:rsid w:val="3EF0ABE8"/>
    <w:rsid w:val="3EF17CDB"/>
    <w:rsid w:val="3EF59ACC"/>
    <w:rsid w:val="3EF651EA"/>
    <w:rsid w:val="3EF6DD7C"/>
    <w:rsid w:val="3EF829B0"/>
    <w:rsid w:val="3EF8A870"/>
    <w:rsid w:val="3EF91783"/>
    <w:rsid w:val="3EFB30C1"/>
    <w:rsid w:val="3EFF1410"/>
    <w:rsid w:val="3F0138AE"/>
    <w:rsid w:val="3F0209DF"/>
    <w:rsid w:val="3F02FB20"/>
    <w:rsid w:val="3F03D69B"/>
    <w:rsid w:val="3F0584C5"/>
    <w:rsid w:val="3F05EDD2"/>
    <w:rsid w:val="3F061FEB"/>
    <w:rsid w:val="3F08EB43"/>
    <w:rsid w:val="3F0E4BCE"/>
    <w:rsid w:val="3F0FC937"/>
    <w:rsid w:val="3F122217"/>
    <w:rsid w:val="3F126545"/>
    <w:rsid w:val="3F15A1B4"/>
    <w:rsid w:val="3F19E088"/>
    <w:rsid w:val="3F1A2280"/>
    <w:rsid w:val="3F1B0E9E"/>
    <w:rsid w:val="3F1C120C"/>
    <w:rsid w:val="3F1E42B7"/>
    <w:rsid w:val="3F1EAA3F"/>
    <w:rsid w:val="3F1F59F2"/>
    <w:rsid w:val="3F20772B"/>
    <w:rsid w:val="3F234B62"/>
    <w:rsid w:val="3F24F661"/>
    <w:rsid w:val="3F25EAE8"/>
    <w:rsid w:val="3F28D9D9"/>
    <w:rsid w:val="3F28ECB4"/>
    <w:rsid w:val="3F2E284F"/>
    <w:rsid w:val="3F2FAA8B"/>
    <w:rsid w:val="3F2FDE5E"/>
    <w:rsid w:val="3F319F7A"/>
    <w:rsid w:val="3F31F9C7"/>
    <w:rsid w:val="3F325390"/>
    <w:rsid w:val="3F32FD59"/>
    <w:rsid w:val="3F340D7C"/>
    <w:rsid w:val="3F3753EF"/>
    <w:rsid w:val="3F386E13"/>
    <w:rsid w:val="3F3895A4"/>
    <w:rsid w:val="3F3D1354"/>
    <w:rsid w:val="3F3DFE84"/>
    <w:rsid w:val="3F3F1705"/>
    <w:rsid w:val="3F445053"/>
    <w:rsid w:val="3F485FB4"/>
    <w:rsid w:val="3F493384"/>
    <w:rsid w:val="3F4AD459"/>
    <w:rsid w:val="3F4B79B6"/>
    <w:rsid w:val="3F4CD993"/>
    <w:rsid w:val="3F4D9007"/>
    <w:rsid w:val="3F531362"/>
    <w:rsid w:val="3F539AA2"/>
    <w:rsid w:val="3F53A957"/>
    <w:rsid w:val="3F548243"/>
    <w:rsid w:val="3F551E3A"/>
    <w:rsid w:val="3F554712"/>
    <w:rsid w:val="3F5586F7"/>
    <w:rsid w:val="3F5590E6"/>
    <w:rsid w:val="3F5590EF"/>
    <w:rsid w:val="3F595FE1"/>
    <w:rsid w:val="3F5ACFD0"/>
    <w:rsid w:val="3F5ADB69"/>
    <w:rsid w:val="3F5C345B"/>
    <w:rsid w:val="3F5C8738"/>
    <w:rsid w:val="3F5CCC9E"/>
    <w:rsid w:val="3F5CEEB3"/>
    <w:rsid w:val="3F5D3613"/>
    <w:rsid w:val="3F5E59E9"/>
    <w:rsid w:val="3F5F8403"/>
    <w:rsid w:val="3F5FBB67"/>
    <w:rsid w:val="3F600041"/>
    <w:rsid w:val="3F61A6FE"/>
    <w:rsid w:val="3F61D37F"/>
    <w:rsid w:val="3F622123"/>
    <w:rsid w:val="3F627ED7"/>
    <w:rsid w:val="3F633F40"/>
    <w:rsid w:val="3F6504A8"/>
    <w:rsid w:val="3F65B0DD"/>
    <w:rsid w:val="3F6621EB"/>
    <w:rsid w:val="3F666F53"/>
    <w:rsid w:val="3F682C21"/>
    <w:rsid w:val="3F68FD9C"/>
    <w:rsid w:val="3F694F7F"/>
    <w:rsid w:val="3F6D154C"/>
    <w:rsid w:val="3F6DE047"/>
    <w:rsid w:val="3F6EAD02"/>
    <w:rsid w:val="3F71C74F"/>
    <w:rsid w:val="3F72345D"/>
    <w:rsid w:val="3F728862"/>
    <w:rsid w:val="3F734C39"/>
    <w:rsid w:val="3F73EB4D"/>
    <w:rsid w:val="3F7423DE"/>
    <w:rsid w:val="3F7735E5"/>
    <w:rsid w:val="3F77511A"/>
    <w:rsid w:val="3F7AFB94"/>
    <w:rsid w:val="3F7B69C1"/>
    <w:rsid w:val="3F7C3A18"/>
    <w:rsid w:val="3F7E1C31"/>
    <w:rsid w:val="3F7ED8FD"/>
    <w:rsid w:val="3F7F623B"/>
    <w:rsid w:val="3F8150DD"/>
    <w:rsid w:val="3F827202"/>
    <w:rsid w:val="3F868DAE"/>
    <w:rsid w:val="3F893071"/>
    <w:rsid w:val="3F8AAB17"/>
    <w:rsid w:val="3F8BA6C8"/>
    <w:rsid w:val="3F8E7737"/>
    <w:rsid w:val="3F90CB7E"/>
    <w:rsid w:val="3F91F0D6"/>
    <w:rsid w:val="3F97E984"/>
    <w:rsid w:val="3F98788A"/>
    <w:rsid w:val="3F987914"/>
    <w:rsid w:val="3F9A54AE"/>
    <w:rsid w:val="3F9F056C"/>
    <w:rsid w:val="3FA0744D"/>
    <w:rsid w:val="3FA20685"/>
    <w:rsid w:val="3FA65685"/>
    <w:rsid w:val="3FA729B6"/>
    <w:rsid w:val="3FA855AF"/>
    <w:rsid w:val="3FA96230"/>
    <w:rsid w:val="3FAAF649"/>
    <w:rsid w:val="3FABC803"/>
    <w:rsid w:val="3FABEFF8"/>
    <w:rsid w:val="3FAD078F"/>
    <w:rsid w:val="3FAD087E"/>
    <w:rsid w:val="3FB3D3C7"/>
    <w:rsid w:val="3FB41341"/>
    <w:rsid w:val="3FB4CA76"/>
    <w:rsid w:val="3FB59B2F"/>
    <w:rsid w:val="3FB6327C"/>
    <w:rsid w:val="3FB70C54"/>
    <w:rsid w:val="3FB731AB"/>
    <w:rsid w:val="3FB7A787"/>
    <w:rsid w:val="3FB90107"/>
    <w:rsid w:val="3FB96604"/>
    <w:rsid w:val="3FB966F7"/>
    <w:rsid w:val="3FBAF8F4"/>
    <w:rsid w:val="3FBD653B"/>
    <w:rsid w:val="3FBDB493"/>
    <w:rsid w:val="3FBF6319"/>
    <w:rsid w:val="3FC1EC2E"/>
    <w:rsid w:val="3FC272C9"/>
    <w:rsid w:val="3FC3167C"/>
    <w:rsid w:val="3FC4F150"/>
    <w:rsid w:val="3FC76DD7"/>
    <w:rsid w:val="3FC8D726"/>
    <w:rsid w:val="3FCB5A55"/>
    <w:rsid w:val="3FCCACA1"/>
    <w:rsid w:val="3FCCBA90"/>
    <w:rsid w:val="3FCD85D2"/>
    <w:rsid w:val="3FCDD19D"/>
    <w:rsid w:val="3FCE22BE"/>
    <w:rsid w:val="3FCE4768"/>
    <w:rsid w:val="3FCF3B74"/>
    <w:rsid w:val="3FCF568D"/>
    <w:rsid w:val="3FCF88AF"/>
    <w:rsid w:val="3FD4C71D"/>
    <w:rsid w:val="3FD4EFAB"/>
    <w:rsid w:val="3FD55E70"/>
    <w:rsid w:val="3FD63FAE"/>
    <w:rsid w:val="3FD6FA8D"/>
    <w:rsid w:val="3FD8E4CA"/>
    <w:rsid w:val="3FDA2899"/>
    <w:rsid w:val="3FDB56EE"/>
    <w:rsid w:val="3FDC24AE"/>
    <w:rsid w:val="3FDDFDCE"/>
    <w:rsid w:val="3FE3299A"/>
    <w:rsid w:val="3FE3DF18"/>
    <w:rsid w:val="3FE6A0B0"/>
    <w:rsid w:val="3FE952A5"/>
    <w:rsid w:val="3FEAE937"/>
    <w:rsid w:val="3FEAF5CC"/>
    <w:rsid w:val="3FEBFE37"/>
    <w:rsid w:val="3FEC2C03"/>
    <w:rsid w:val="3FEDDD60"/>
    <w:rsid w:val="3FF1D3FC"/>
    <w:rsid w:val="3FF2C938"/>
    <w:rsid w:val="3FF38D77"/>
    <w:rsid w:val="3FF6F368"/>
    <w:rsid w:val="3FF72C2E"/>
    <w:rsid w:val="3FF764AD"/>
    <w:rsid w:val="3FF82ED8"/>
    <w:rsid w:val="3FF9FDE0"/>
    <w:rsid w:val="3FFC09A8"/>
    <w:rsid w:val="3FFDC016"/>
    <w:rsid w:val="3FFE7414"/>
    <w:rsid w:val="3FFF9B5A"/>
    <w:rsid w:val="40024222"/>
    <w:rsid w:val="4003EBCE"/>
    <w:rsid w:val="40043B27"/>
    <w:rsid w:val="400474DC"/>
    <w:rsid w:val="40050F14"/>
    <w:rsid w:val="40059D34"/>
    <w:rsid w:val="40088290"/>
    <w:rsid w:val="4008D8D1"/>
    <w:rsid w:val="40094BF0"/>
    <w:rsid w:val="40097745"/>
    <w:rsid w:val="400A36EB"/>
    <w:rsid w:val="400B6977"/>
    <w:rsid w:val="400C899B"/>
    <w:rsid w:val="40177992"/>
    <w:rsid w:val="401BDB4D"/>
    <w:rsid w:val="401EC28B"/>
    <w:rsid w:val="401EFB2B"/>
    <w:rsid w:val="4020DCFA"/>
    <w:rsid w:val="402264CF"/>
    <w:rsid w:val="4023A6A8"/>
    <w:rsid w:val="4026E643"/>
    <w:rsid w:val="402A8A5F"/>
    <w:rsid w:val="402AD37A"/>
    <w:rsid w:val="402AF3D0"/>
    <w:rsid w:val="402B050B"/>
    <w:rsid w:val="402C3CFB"/>
    <w:rsid w:val="402CEC9C"/>
    <w:rsid w:val="402D389D"/>
    <w:rsid w:val="402F1E9C"/>
    <w:rsid w:val="402F7F56"/>
    <w:rsid w:val="4031A68F"/>
    <w:rsid w:val="4032B264"/>
    <w:rsid w:val="403357B5"/>
    <w:rsid w:val="40338382"/>
    <w:rsid w:val="40343003"/>
    <w:rsid w:val="4034D925"/>
    <w:rsid w:val="40354594"/>
    <w:rsid w:val="40358155"/>
    <w:rsid w:val="40359540"/>
    <w:rsid w:val="403756F1"/>
    <w:rsid w:val="403AB7DD"/>
    <w:rsid w:val="403AFA53"/>
    <w:rsid w:val="403BF64B"/>
    <w:rsid w:val="403CA70D"/>
    <w:rsid w:val="403CF681"/>
    <w:rsid w:val="40437D50"/>
    <w:rsid w:val="4048BAB0"/>
    <w:rsid w:val="404CD430"/>
    <w:rsid w:val="404E5A3D"/>
    <w:rsid w:val="404F4548"/>
    <w:rsid w:val="4051EF05"/>
    <w:rsid w:val="4052DA5A"/>
    <w:rsid w:val="40536765"/>
    <w:rsid w:val="40558286"/>
    <w:rsid w:val="40560AAF"/>
    <w:rsid w:val="4059DE4E"/>
    <w:rsid w:val="405CD0E6"/>
    <w:rsid w:val="405D27B2"/>
    <w:rsid w:val="405D3331"/>
    <w:rsid w:val="405ECDD2"/>
    <w:rsid w:val="405FBE68"/>
    <w:rsid w:val="40609FF7"/>
    <w:rsid w:val="4060DE59"/>
    <w:rsid w:val="40618419"/>
    <w:rsid w:val="4069F213"/>
    <w:rsid w:val="406A6F78"/>
    <w:rsid w:val="406C3217"/>
    <w:rsid w:val="406D6430"/>
    <w:rsid w:val="4071ACFF"/>
    <w:rsid w:val="40733690"/>
    <w:rsid w:val="40752C03"/>
    <w:rsid w:val="4076D28C"/>
    <w:rsid w:val="4079481A"/>
    <w:rsid w:val="40794F4C"/>
    <w:rsid w:val="40798B5B"/>
    <w:rsid w:val="4079F166"/>
    <w:rsid w:val="407B11E2"/>
    <w:rsid w:val="407E927E"/>
    <w:rsid w:val="407F0188"/>
    <w:rsid w:val="407F0D50"/>
    <w:rsid w:val="407F4A34"/>
    <w:rsid w:val="407F88F4"/>
    <w:rsid w:val="4080687C"/>
    <w:rsid w:val="4081F64D"/>
    <w:rsid w:val="4083135D"/>
    <w:rsid w:val="40836D4A"/>
    <w:rsid w:val="4086B3BF"/>
    <w:rsid w:val="40871309"/>
    <w:rsid w:val="4088A221"/>
    <w:rsid w:val="40899638"/>
    <w:rsid w:val="408A6F0F"/>
    <w:rsid w:val="408A7BE8"/>
    <w:rsid w:val="408BE131"/>
    <w:rsid w:val="408FC0A7"/>
    <w:rsid w:val="40917C94"/>
    <w:rsid w:val="40926368"/>
    <w:rsid w:val="40926D39"/>
    <w:rsid w:val="40958DAA"/>
    <w:rsid w:val="4095939B"/>
    <w:rsid w:val="40959D19"/>
    <w:rsid w:val="40969968"/>
    <w:rsid w:val="4097445B"/>
    <w:rsid w:val="4097957B"/>
    <w:rsid w:val="409852EC"/>
    <w:rsid w:val="4098F3A2"/>
    <w:rsid w:val="409C3C43"/>
    <w:rsid w:val="409E4173"/>
    <w:rsid w:val="409E699D"/>
    <w:rsid w:val="40A035E8"/>
    <w:rsid w:val="40A5DA3E"/>
    <w:rsid w:val="40A6BD34"/>
    <w:rsid w:val="40A82B29"/>
    <w:rsid w:val="40A8C497"/>
    <w:rsid w:val="40AA3F33"/>
    <w:rsid w:val="40AA855C"/>
    <w:rsid w:val="40ACF055"/>
    <w:rsid w:val="40ADE519"/>
    <w:rsid w:val="40B025F2"/>
    <w:rsid w:val="40B29ADC"/>
    <w:rsid w:val="40B308DB"/>
    <w:rsid w:val="40B62F2C"/>
    <w:rsid w:val="40B6DFD7"/>
    <w:rsid w:val="40B7D845"/>
    <w:rsid w:val="40B7DE2B"/>
    <w:rsid w:val="40BADD43"/>
    <w:rsid w:val="40BB9C35"/>
    <w:rsid w:val="40BDDE1A"/>
    <w:rsid w:val="40BE891D"/>
    <w:rsid w:val="40BEC654"/>
    <w:rsid w:val="40BF947E"/>
    <w:rsid w:val="40C112AB"/>
    <w:rsid w:val="40C194CA"/>
    <w:rsid w:val="40C2D360"/>
    <w:rsid w:val="40C36A1D"/>
    <w:rsid w:val="40C3DD5D"/>
    <w:rsid w:val="40C6DE0B"/>
    <w:rsid w:val="40C703DE"/>
    <w:rsid w:val="40C7041A"/>
    <w:rsid w:val="40C9ABAF"/>
    <w:rsid w:val="40CCE24D"/>
    <w:rsid w:val="40CD1240"/>
    <w:rsid w:val="40CD3EBB"/>
    <w:rsid w:val="40CEB60E"/>
    <w:rsid w:val="40CF1DE4"/>
    <w:rsid w:val="40D0D931"/>
    <w:rsid w:val="40D0F57F"/>
    <w:rsid w:val="40D24CAF"/>
    <w:rsid w:val="40D25394"/>
    <w:rsid w:val="40D675A5"/>
    <w:rsid w:val="40D83A6C"/>
    <w:rsid w:val="40D85E2F"/>
    <w:rsid w:val="40D90919"/>
    <w:rsid w:val="40D96BCC"/>
    <w:rsid w:val="40DAA958"/>
    <w:rsid w:val="40DBCBF7"/>
    <w:rsid w:val="40DCDDFC"/>
    <w:rsid w:val="40DE1E50"/>
    <w:rsid w:val="40E0007C"/>
    <w:rsid w:val="40E07684"/>
    <w:rsid w:val="40E1AC9F"/>
    <w:rsid w:val="40E39A2D"/>
    <w:rsid w:val="40E3F8E5"/>
    <w:rsid w:val="40E56795"/>
    <w:rsid w:val="40E6401B"/>
    <w:rsid w:val="40E75928"/>
    <w:rsid w:val="40E77774"/>
    <w:rsid w:val="40E7C2C4"/>
    <w:rsid w:val="40E7C5BE"/>
    <w:rsid w:val="40E95CFC"/>
    <w:rsid w:val="40E9D3BC"/>
    <w:rsid w:val="40EA3813"/>
    <w:rsid w:val="40EA9D9A"/>
    <w:rsid w:val="40EBD00D"/>
    <w:rsid w:val="40EBF31F"/>
    <w:rsid w:val="40ED2DD4"/>
    <w:rsid w:val="40EDBE71"/>
    <w:rsid w:val="40EE2242"/>
    <w:rsid w:val="40EE7FF7"/>
    <w:rsid w:val="40EF9B85"/>
    <w:rsid w:val="40F305D8"/>
    <w:rsid w:val="40F59700"/>
    <w:rsid w:val="40F59AF8"/>
    <w:rsid w:val="40F7C186"/>
    <w:rsid w:val="40F83CAA"/>
    <w:rsid w:val="40F90197"/>
    <w:rsid w:val="40FA9DAF"/>
    <w:rsid w:val="40FF8CE8"/>
    <w:rsid w:val="4100B4B8"/>
    <w:rsid w:val="4101B3A3"/>
    <w:rsid w:val="4101CE96"/>
    <w:rsid w:val="4102E7E0"/>
    <w:rsid w:val="410BD384"/>
    <w:rsid w:val="4110A71A"/>
    <w:rsid w:val="41120B56"/>
    <w:rsid w:val="4112D939"/>
    <w:rsid w:val="411430B2"/>
    <w:rsid w:val="41164770"/>
    <w:rsid w:val="41168E77"/>
    <w:rsid w:val="411AE7EF"/>
    <w:rsid w:val="411B3D0F"/>
    <w:rsid w:val="411DE88B"/>
    <w:rsid w:val="411EF187"/>
    <w:rsid w:val="41200D02"/>
    <w:rsid w:val="41206157"/>
    <w:rsid w:val="41238545"/>
    <w:rsid w:val="4123E95D"/>
    <w:rsid w:val="4123F784"/>
    <w:rsid w:val="412460B5"/>
    <w:rsid w:val="412641F1"/>
    <w:rsid w:val="4126533B"/>
    <w:rsid w:val="4128FC43"/>
    <w:rsid w:val="412DB827"/>
    <w:rsid w:val="413352C0"/>
    <w:rsid w:val="41341D3A"/>
    <w:rsid w:val="4134B946"/>
    <w:rsid w:val="41362F3D"/>
    <w:rsid w:val="41388F81"/>
    <w:rsid w:val="413AF3DB"/>
    <w:rsid w:val="413B09BA"/>
    <w:rsid w:val="413BC6D4"/>
    <w:rsid w:val="413CD9BE"/>
    <w:rsid w:val="413D3306"/>
    <w:rsid w:val="413DA246"/>
    <w:rsid w:val="414005A0"/>
    <w:rsid w:val="414094B6"/>
    <w:rsid w:val="41434D65"/>
    <w:rsid w:val="4143A29B"/>
    <w:rsid w:val="41457349"/>
    <w:rsid w:val="41459C0A"/>
    <w:rsid w:val="4147D929"/>
    <w:rsid w:val="41490753"/>
    <w:rsid w:val="4149FB21"/>
    <w:rsid w:val="414AEB0D"/>
    <w:rsid w:val="414AED3A"/>
    <w:rsid w:val="414B1F84"/>
    <w:rsid w:val="414C2124"/>
    <w:rsid w:val="414CD5E0"/>
    <w:rsid w:val="414D1A0D"/>
    <w:rsid w:val="414F325A"/>
    <w:rsid w:val="414FDD83"/>
    <w:rsid w:val="4150BD04"/>
    <w:rsid w:val="4150BE97"/>
    <w:rsid w:val="4151A340"/>
    <w:rsid w:val="41541895"/>
    <w:rsid w:val="41553FE0"/>
    <w:rsid w:val="4157FC2B"/>
    <w:rsid w:val="415842B0"/>
    <w:rsid w:val="41593AE0"/>
    <w:rsid w:val="415A2E02"/>
    <w:rsid w:val="415A3D97"/>
    <w:rsid w:val="415B4B41"/>
    <w:rsid w:val="415BD0A6"/>
    <w:rsid w:val="415D49E3"/>
    <w:rsid w:val="415DBEE2"/>
    <w:rsid w:val="415EE52B"/>
    <w:rsid w:val="415F7878"/>
    <w:rsid w:val="416450F8"/>
    <w:rsid w:val="4166F3EB"/>
    <w:rsid w:val="4168076F"/>
    <w:rsid w:val="416A302D"/>
    <w:rsid w:val="416AC225"/>
    <w:rsid w:val="416BCE21"/>
    <w:rsid w:val="416C512C"/>
    <w:rsid w:val="41706042"/>
    <w:rsid w:val="4171C7CB"/>
    <w:rsid w:val="4174C69D"/>
    <w:rsid w:val="4175584A"/>
    <w:rsid w:val="41766DC4"/>
    <w:rsid w:val="4176EC29"/>
    <w:rsid w:val="417919FE"/>
    <w:rsid w:val="417A30F5"/>
    <w:rsid w:val="417A548D"/>
    <w:rsid w:val="417AB69A"/>
    <w:rsid w:val="417B1DDF"/>
    <w:rsid w:val="417B4BE1"/>
    <w:rsid w:val="417B6D63"/>
    <w:rsid w:val="417D773C"/>
    <w:rsid w:val="417DF97A"/>
    <w:rsid w:val="417FABA2"/>
    <w:rsid w:val="417FAF09"/>
    <w:rsid w:val="417FDCA4"/>
    <w:rsid w:val="4180C563"/>
    <w:rsid w:val="4181147B"/>
    <w:rsid w:val="41815BE9"/>
    <w:rsid w:val="4182671B"/>
    <w:rsid w:val="4182AC14"/>
    <w:rsid w:val="41830D56"/>
    <w:rsid w:val="41842C0D"/>
    <w:rsid w:val="418437B0"/>
    <w:rsid w:val="4185195A"/>
    <w:rsid w:val="418530E1"/>
    <w:rsid w:val="4186A309"/>
    <w:rsid w:val="4189425D"/>
    <w:rsid w:val="418C3E2D"/>
    <w:rsid w:val="418D3245"/>
    <w:rsid w:val="418E669B"/>
    <w:rsid w:val="418F7FFA"/>
    <w:rsid w:val="4190816C"/>
    <w:rsid w:val="419253F4"/>
    <w:rsid w:val="4195C518"/>
    <w:rsid w:val="4196ABC9"/>
    <w:rsid w:val="419728D9"/>
    <w:rsid w:val="4197CFEE"/>
    <w:rsid w:val="4198BA74"/>
    <w:rsid w:val="419CE5EB"/>
    <w:rsid w:val="41A1101A"/>
    <w:rsid w:val="41A15067"/>
    <w:rsid w:val="41A44590"/>
    <w:rsid w:val="41A9086A"/>
    <w:rsid w:val="41A9912A"/>
    <w:rsid w:val="41A9D895"/>
    <w:rsid w:val="41A9E21F"/>
    <w:rsid w:val="41AA4A03"/>
    <w:rsid w:val="41AA8A83"/>
    <w:rsid w:val="41ABF397"/>
    <w:rsid w:val="41AD4814"/>
    <w:rsid w:val="41ADA389"/>
    <w:rsid w:val="41B28B04"/>
    <w:rsid w:val="41B52BE4"/>
    <w:rsid w:val="41B83F50"/>
    <w:rsid w:val="41BA17F8"/>
    <w:rsid w:val="41BAC123"/>
    <w:rsid w:val="41BC902B"/>
    <w:rsid w:val="41BEA847"/>
    <w:rsid w:val="41C33613"/>
    <w:rsid w:val="41C41CAC"/>
    <w:rsid w:val="41C4558D"/>
    <w:rsid w:val="41C6A914"/>
    <w:rsid w:val="41C82CD6"/>
    <w:rsid w:val="41CAB07D"/>
    <w:rsid w:val="41CB4DF5"/>
    <w:rsid w:val="41CB6926"/>
    <w:rsid w:val="41CC88C6"/>
    <w:rsid w:val="41CE47D4"/>
    <w:rsid w:val="41D11A13"/>
    <w:rsid w:val="41D1333C"/>
    <w:rsid w:val="41D44791"/>
    <w:rsid w:val="41D66928"/>
    <w:rsid w:val="41D6B3AF"/>
    <w:rsid w:val="41D6F266"/>
    <w:rsid w:val="41D71FD9"/>
    <w:rsid w:val="41D99551"/>
    <w:rsid w:val="41DCDBAB"/>
    <w:rsid w:val="41DDDA1E"/>
    <w:rsid w:val="41DE3EAE"/>
    <w:rsid w:val="41DFDEB1"/>
    <w:rsid w:val="41E02BBE"/>
    <w:rsid w:val="41E054F9"/>
    <w:rsid w:val="41E1E606"/>
    <w:rsid w:val="41E2AFD2"/>
    <w:rsid w:val="41E396CE"/>
    <w:rsid w:val="41E43AF6"/>
    <w:rsid w:val="41E53DD1"/>
    <w:rsid w:val="41E6C477"/>
    <w:rsid w:val="41E744A4"/>
    <w:rsid w:val="41E771D9"/>
    <w:rsid w:val="41E7AE38"/>
    <w:rsid w:val="41E7D267"/>
    <w:rsid w:val="41E87F7B"/>
    <w:rsid w:val="41E8EC30"/>
    <w:rsid w:val="41E92EA5"/>
    <w:rsid w:val="41EA62C4"/>
    <w:rsid w:val="41EE8AE4"/>
    <w:rsid w:val="41EEF335"/>
    <w:rsid w:val="41EF1A11"/>
    <w:rsid w:val="41F0484B"/>
    <w:rsid w:val="41F1033B"/>
    <w:rsid w:val="41F16FA7"/>
    <w:rsid w:val="41F1DF0C"/>
    <w:rsid w:val="41F32393"/>
    <w:rsid w:val="41F435F0"/>
    <w:rsid w:val="41F51AAF"/>
    <w:rsid w:val="41FC94DE"/>
    <w:rsid w:val="41FF71FB"/>
    <w:rsid w:val="420194D8"/>
    <w:rsid w:val="42034940"/>
    <w:rsid w:val="4206DF08"/>
    <w:rsid w:val="420734A3"/>
    <w:rsid w:val="42079952"/>
    <w:rsid w:val="42083875"/>
    <w:rsid w:val="4209338E"/>
    <w:rsid w:val="4209C7D1"/>
    <w:rsid w:val="420D9448"/>
    <w:rsid w:val="42112FD1"/>
    <w:rsid w:val="42127DC5"/>
    <w:rsid w:val="4213F25A"/>
    <w:rsid w:val="421425F3"/>
    <w:rsid w:val="4216B469"/>
    <w:rsid w:val="421768E4"/>
    <w:rsid w:val="42187A10"/>
    <w:rsid w:val="4218846A"/>
    <w:rsid w:val="4219FB69"/>
    <w:rsid w:val="421A065C"/>
    <w:rsid w:val="421CDFED"/>
    <w:rsid w:val="421EF5F4"/>
    <w:rsid w:val="42215C99"/>
    <w:rsid w:val="422385C0"/>
    <w:rsid w:val="4225F1E9"/>
    <w:rsid w:val="4227022D"/>
    <w:rsid w:val="4228744C"/>
    <w:rsid w:val="4228F04E"/>
    <w:rsid w:val="422B171C"/>
    <w:rsid w:val="422CA7AC"/>
    <w:rsid w:val="422CCB91"/>
    <w:rsid w:val="422DC2D0"/>
    <w:rsid w:val="422DE331"/>
    <w:rsid w:val="422E56B7"/>
    <w:rsid w:val="4230C943"/>
    <w:rsid w:val="4232CDDB"/>
    <w:rsid w:val="4232EECB"/>
    <w:rsid w:val="423371A3"/>
    <w:rsid w:val="4234615F"/>
    <w:rsid w:val="423481EF"/>
    <w:rsid w:val="42360C2C"/>
    <w:rsid w:val="42378944"/>
    <w:rsid w:val="423B518C"/>
    <w:rsid w:val="423E1C09"/>
    <w:rsid w:val="42421753"/>
    <w:rsid w:val="42425D01"/>
    <w:rsid w:val="42436730"/>
    <w:rsid w:val="4244901A"/>
    <w:rsid w:val="42475BAF"/>
    <w:rsid w:val="4249518F"/>
    <w:rsid w:val="4249940B"/>
    <w:rsid w:val="4249A6FF"/>
    <w:rsid w:val="4249EE11"/>
    <w:rsid w:val="424C7E18"/>
    <w:rsid w:val="424D2AB2"/>
    <w:rsid w:val="424F0CE4"/>
    <w:rsid w:val="424FF475"/>
    <w:rsid w:val="4251D97D"/>
    <w:rsid w:val="4253F131"/>
    <w:rsid w:val="42540B27"/>
    <w:rsid w:val="4255DB45"/>
    <w:rsid w:val="425609C5"/>
    <w:rsid w:val="42560F32"/>
    <w:rsid w:val="4257EDD7"/>
    <w:rsid w:val="42591C6F"/>
    <w:rsid w:val="42595206"/>
    <w:rsid w:val="425B3C20"/>
    <w:rsid w:val="425D01A0"/>
    <w:rsid w:val="425E00C1"/>
    <w:rsid w:val="425E2542"/>
    <w:rsid w:val="425E80D1"/>
    <w:rsid w:val="426100A6"/>
    <w:rsid w:val="42616610"/>
    <w:rsid w:val="4262ABB2"/>
    <w:rsid w:val="42639F5B"/>
    <w:rsid w:val="4263A501"/>
    <w:rsid w:val="426CFC7B"/>
    <w:rsid w:val="426D7472"/>
    <w:rsid w:val="426F282C"/>
    <w:rsid w:val="42701F8D"/>
    <w:rsid w:val="4270E8D4"/>
    <w:rsid w:val="42718378"/>
    <w:rsid w:val="4274037C"/>
    <w:rsid w:val="4274ACA0"/>
    <w:rsid w:val="4275013D"/>
    <w:rsid w:val="42757835"/>
    <w:rsid w:val="42798FFE"/>
    <w:rsid w:val="427BA8EB"/>
    <w:rsid w:val="427C2CCE"/>
    <w:rsid w:val="427CBB04"/>
    <w:rsid w:val="427E1930"/>
    <w:rsid w:val="4282DCD2"/>
    <w:rsid w:val="4282FB11"/>
    <w:rsid w:val="42832BBD"/>
    <w:rsid w:val="4283F058"/>
    <w:rsid w:val="42867F85"/>
    <w:rsid w:val="4287C260"/>
    <w:rsid w:val="4288751B"/>
    <w:rsid w:val="428DF1B0"/>
    <w:rsid w:val="4290CB86"/>
    <w:rsid w:val="429165D0"/>
    <w:rsid w:val="42931715"/>
    <w:rsid w:val="42948325"/>
    <w:rsid w:val="42951C48"/>
    <w:rsid w:val="42960D04"/>
    <w:rsid w:val="42977F9A"/>
    <w:rsid w:val="429A38B6"/>
    <w:rsid w:val="429B67DA"/>
    <w:rsid w:val="429B740B"/>
    <w:rsid w:val="429BC67A"/>
    <w:rsid w:val="429E1415"/>
    <w:rsid w:val="42A058FB"/>
    <w:rsid w:val="42A0D727"/>
    <w:rsid w:val="42A4175C"/>
    <w:rsid w:val="42A5CE55"/>
    <w:rsid w:val="42A698B0"/>
    <w:rsid w:val="42A6BFDC"/>
    <w:rsid w:val="42A6C7CF"/>
    <w:rsid w:val="42A912B4"/>
    <w:rsid w:val="42A9B22B"/>
    <w:rsid w:val="42AC7EEC"/>
    <w:rsid w:val="42ADCA7B"/>
    <w:rsid w:val="42B4EA39"/>
    <w:rsid w:val="42B50C20"/>
    <w:rsid w:val="42B51F51"/>
    <w:rsid w:val="42B5C2B2"/>
    <w:rsid w:val="42B6DB0E"/>
    <w:rsid w:val="42B748C6"/>
    <w:rsid w:val="42B778B6"/>
    <w:rsid w:val="42B788E8"/>
    <w:rsid w:val="42B89A56"/>
    <w:rsid w:val="42B96FB0"/>
    <w:rsid w:val="42B989CD"/>
    <w:rsid w:val="42BA0962"/>
    <w:rsid w:val="42BC0CCF"/>
    <w:rsid w:val="42BC18A1"/>
    <w:rsid w:val="42BF323F"/>
    <w:rsid w:val="42BFDFCA"/>
    <w:rsid w:val="42C1FA96"/>
    <w:rsid w:val="42C49A32"/>
    <w:rsid w:val="42C4FDE3"/>
    <w:rsid w:val="42C55AED"/>
    <w:rsid w:val="42C661AE"/>
    <w:rsid w:val="42C7F0EE"/>
    <w:rsid w:val="42C9E82E"/>
    <w:rsid w:val="42CA660B"/>
    <w:rsid w:val="42CA77FB"/>
    <w:rsid w:val="42CB1517"/>
    <w:rsid w:val="42CBFD58"/>
    <w:rsid w:val="42CD879C"/>
    <w:rsid w:val="42CF9BB2"/>
    <w:rsid w:val="42D02CE2"/>
    <w:rsid w:val="42D0EBA6"/>
    <w:rsid w:val="42D31A5C"/>
    <w:rsid w:val="42D6D912"/>
    <w:rsid w:val="42D78991"/>
    <w:rsid w:val="42D80FC3"/>
    <w:rsid w:val="42D9C9FF"/>
    <w:rsid w:val="42DB2B75"/>
    <w:rsid w:val="42DB462E"/>
    <w:rsid w:val="42DCACF6"/>
    <w:rsid w:val="42DCC650"/>
    <w:rsid w:val="42DFAA52"/>
    <w:rsid w:val="42E078AA"/>
    <w:rsid w:val="42E0D6C9"/>
    <w:rsid w:val="42E103BF"/>
    <w:rsid w:val="42E1EE4A"/>
    <w:rsid w:val="42E2944A"/>
    <w:rsid w:val="42E368AC"/>
    <w:rsid w:val="42E3A657"/>
    <w:rsid w:val="42E43747"/>
    <w:rsid w:val="42E4DDA8"/>
    <w:rsid w:val="42E4E298"/>
    <w:rsid w:val="42E51D30"/>
    <w:rsid w:val="42E568B8"/>
    <w:rsid w:val="42E7915B"/>
    <w:rsid w:val="42E81A24"/>
    <w:rsid w:val="42E96A18"/>
    <w:rsid w:val="42EC2BA3"/>
    <w:rsid w:val="42ECFCE8"/>
    <w:rsid w:val="42ED8FC6"/>
    <w:rsid w:val="42EE0722"/>
    <w:rsid w:val="42F22D82"/>
    <w:rsid w:val="42F7B109"/>
    <w:rsid w:val="42F7C08A"/>
    <w:rsid w:val="42F9D906"/>
    <w:rsid w:val="42FAF1FE"/>
    <w:rsid w:val="42FB14C5"/>
    <w:rsid w:val="42FD54DA"/>
    <w:rsid w:val="42FEFFD4"/>
    <w:rsid w:val="42FF73BE"/>
    <w:rsid w:val="42FF9AF8"/>
    <w:rsid w:val="43002C26"/>
    <w:rsid w:val="430061B7"/>
    <w:rsid w:val="4300B262"/>
    <w:rsid w:val="4300EB6E"/>
    <w:rsid w:val="43010D63"/>
    <w:rsid w:val="430226FB"/>
    <w:rsid w:val="4302DB82"/>
    <w:rsid w:val="430518F1"/>
    <w:rsid w:val="4305EDE5"/>
    <w:rsid w:val="430628DD"/>
    <w:rsid w:val="43073E11"/>
    <w:rsid w:val="4307FF51"/>
    <w:rsid w:val="43086C54"/>
    <w:rsid w:val="4308C784"/>
    <w:rsid w:val="4309183B"/>
    <w:rsid w:val="43096956"/>
    <w:rsid w:val="4309BC90"/>
    <w:rsid w:val="430A06AD"/>
    <w:rsid w:val="430B8773"/>
    <w:rsid w:val="430C1D64"/>
    <w:rsid w:val="430D9CAB"/>
    <w:rsid w:val="430F53AB"/>
    <w:rsid w:val="43100355"/>
    <w:rsid w:val="43101067"/>
    <w:rsid w:val="4310B24D"/>
    <w:rsid w:val="4310C1E8"/>
    <w:rsid w:val="431152B2"/>
    <w:rsid w:val="4311E8A9"/>
    <w:rsid w:val="4313FA32"/>
    <w:rsid w:val="4315FEA5"/>
    <w:rsid w:val="4316E66D"/>
    <w:rsid w:val="4317693D"/>
    <w:rsid w:val="4318726F"/>
    <w:rsid w:val="43192BBA"/>
    <w:rsid w:val="431ABD75"/>
    <w:rsid w:val="431C6056"/>
    <w:rsid w:val="431CA406"/>
    <w:rsid w:val="431F4E22"/>
    <w:rsid w:val="4322AE9B"/>
    <w:rsid w:val="43238F90"/>
    <w:rsid w:val="4325E3FC"/>
    <w:rsid w:val="432AE067"/>
    <w:rsid w:val="432B5071"/>
    <w:rsid w:val="432B7DD8"/>
    <w:rsid w:val="432B9645"/>
    <w:rsid w:val="432CEA6D"/>
    <w:rsid w:val="432D6C82"/>
    <w:rsid w:val="432F6BBC"/>
    <w:rsid w:val="432FCEEC"/>
    <w:rsid w:val="4331B34C"/>
    <w:rsid w:val="433282E9"/>
    <w:rsid w:val="433371B4"/>
    <w:rsid w:val="43356DCB"/>
    <w:rsid w:val="43365F9C"/>
    <w:rsid w:val="433BEBD7"/>
    <w:rsid w:val="433D9121"/>
    <w:rsid w:val="433EC6D9"/>
    <w:rsid w:val="43404557"/>
    <w:rsid w:val="434189D1"/>
    <w:rsid w:val="43420CA7"/>
    <w:rsid w:val="434228CB"/>
    <w:rsid w:val="4342911E"/>
    <w:rsid w:val="43436C50"/>
    <w:rsid w:val="4345F045"/>
    <w:rsid w:val="4345F68E"/>
    <w:rsid w:val="4348D339"/>
    <w:rsid w:val="4348D4D1"/>
    <w:rsid w:val="43496272"/>
    <w:rsid w:val="43499A98"/>
    <w:rsid w:val="434B25B2"/>
    <w:rsid w:val="434B6ADA"/>
    <w:rsid w:val="434D3F0C"/>
    <w:rsid w:val="434E71BA"/>
    <w:rsid w:val="43513EC8"/>
    <w:rsid w:val="43529743"/>
    <w:rsid w:val="4352EE24"/>
    <w:rsid w:val="43549199"/>
    <w:rsid w:val="435687AF"/>
    <w:rsid w:val="435AA29C"/>
    <w:rsid w:val="435B10E9"/>
    <w:rsid w:val="435BD9F6"/>
    <w:rsid w:val="435CCED7"/>
    <w:rsid w:val="435D75B8"/>
    <w:rsid w:val="435DB179"/>
    <w:rsid w:val="435DD0D1"/>
    <w:rsid w:val="435F24D4"/>
    <w:rsid w:val="435F7D1A"/>
    <w:rsid w:val="43605839"/>
    <w:rsid w:val="4362B883"/>
    <w:rsid w:val="4362FCC9"/>
    <w:rsid w:val="4363EEEA"/>
    <w:rsid w:val="43640D5A"/>
    <w:rsid w:val="43657C5C"/>
    <w:rsid w:val="4366FA10"/>
    <w:rsid w:val="4367A6B7"/>
    <w:rsid w:val="43682542"/>
    <w:rsid w:val="43687995"/>
    <w:rsid w:val="4368CEA4"/>
    <w:rsid w:val="4369259B"/>
    <w:rsid w:val="436DCFF0"/>
    <w:rsid w:val="437048C5"/>
    <w:rsid w:val="437213C5"/>
    <w:rsid w:val="43739593"/>
    <w:rsid w:val="43745F9B"/>
    <w:rsid w:val="437525C4"/>
    <w:rsid w:val="43760BAF"/>
    <w:rsid w:val="4376F2EB"/>
    <w:rsid w:val="43773ED5"/>
    <w:rsid w:val="4377F01B"/>
    <w:rsid w:val="437D4C18"/>
    <w:rsid w:val="437DB1C5"/>
    <w:rsid w:val="437DD2AD"/>
    <w:rsid w:val="437E883D"/>
    <w:rsid w:val="437EAAF8"/>
    <w:rsid w:val="437F3BB2"/>
    <w:rsid w:val="43800F88"/>
    <w:rsid w:val="4381EDDE"/>
    <w:rsid w:val="438279C9"/>
    <w:rsid w:val="4383260C"/>
    <w:rsid w:val="43882BC7"/>
    <w:rsid w:val="438A9856"/>
    <w:rsid w:val="438D8B51"/>
    <w:rsid w:val="438E7B46"/>
    <w:rsid w:val="438FAD3C"/>
    <w:rsid w:val="4392E46A"/>
    <w:rsid w:val="43947ACC"/>
    <w:rsid w:val="4399F073"/>
    <w:rsid w:val="439A2EAD"/>
    <w:rsid w:val="439E1BAA"/>
    <w:rsid w:val="43A32177"/>
    <w:rsid w:val="43A635B0"/>
    <w:rsid w:val="43A68E1B"/>
    <w:rsid w:val="43A83C51"/>
    <w:rsid w:val="43A83FD0"/>
    <w:rsid w:val="43A99C06"/>
    <w:rsid w:val="43AAA516"/>
    <w:rsid w:val="43AAE920"/>
    <w:rsid w:val="43AFF7D9"/>
    <w:rsid w:val="43B12D27"/>
    <w:rsid w:val="43B450CC"/>
    <w:rsid w:val="43B67254"/>
    <w:rsid w:val="43B6B08C"/>
    <w:rsid w:val="43B81780"/>
    <w:rsid w:val="43B90A4A"/>
    <w:rsid w:val="43BB29C1"/>
    <w:rsid w:val="43BB2D64"/>
    <w:rsid w:val="43BB49C4"/>
    <w:rsid w:val="43BD2023"/>
    <w:rsid w:val="43BE59EE"/>
    <w:rsid w:val="43C2CA44"/>
    <w:rsid w:val="43C4610E"/>
    <w:rsid w:val="43C66867"/>
    <w:rsid w:val="43C67649"/>
    <w:rsid w:val="43C79D66"/>
    <w:rsid w:val="43CC467C"/>
    <w:rsid w:val="43D1138A"/>
    <w:rsid w:val="43D34354"/>
    <w:rsid w:val="43D9162D"/>
    <w:rsid w:val="43DC4ABC"/>
    <w:rsid w:val="43E02608"/>
    <w:rsid w:val="43E03685"/>
    <w:rsid w:val="43E51ACD"/>
    <w:rsid w:val="43E55B1C"/>
    <w:rsid w:val="43E71A77"/>
    <w:rsid w:val="43E87E6A"/>
    <w:rsid w:val="43E935C3"/>
    <w:rsid w:val="43E9C498"/>
    <w:rsid w:val="43EAD409"/>
    <w:rsid w:val="43EC9D6A"/>
    <w:rsid w:val="43ED4746"/>
    <w:rsid w:val="43EDD9A6"/>
    <w:rsid w:val="43EE7908"/>
    <w:rsid w:val="43F1F2DF"/>
    <w:rsid w:val="43F240EF"/>
    <w:rsid w:val="43F65AD1"/>
    <w:rsid w:val="43F85FC7"/>
    <w:rsid w:val="43F86D8D"/>
    <w:rsid w:val="43F960B5"/>
    <w:rsid w:val="43FB3071"/>
    <w:rsid w:val="43FCDE77"/>
    <w:rsid w:val="43FD6C15"/>
    <w:rsid w:val="43FE237F"/>
    <w:rsid w:val="43FF0440"/>
    <w:rsid w:val="43FF2A4C"/>
    <w:rsid w:val="4400602C"/>
    <w:rsid w:val="4401F38D"/>
    <w:rsid w:val="4402FC7B"/>
    <w:rsid w:val="44035238"/>
    <w:rsid w:val="4406635A"/>
    <w:rsid w:val="4406FE26"/>
    <w:rsid w:val="440821FC"/>
    <w:rsid w:val="4408C42E"/>
    <w:rsid w:val="4408DDA8"/>
    <w:rsid w:val="44098E40"/>
    <w:rsid w:val="440BB3BB"/>
    <w:rsid w:val="440BB716"/>
    <w:rsid w:val="44102E2E"/>
    <w:rsid w:val="4411D485"/>
    <w:rsid w:val="4413CB05"/>
    <w:rsid w:val="4413E2B9"/>
    <w:rsid w:val="44148529"/>
    <w:rsid w:val="441507D2"/>
    <w:rsid w:val="4417A99A"/>
    <w:rsid w:val="4417B8A2"/>
    <w:rsid w:val="441B1C57"/>
    <w:rsid w:val="441B8692"/>
    <w:rsid w:val="441B9435"/>
    <w:rsid w:val="441CF0EA"/>
    <w:rsid w:val="441EE8F5"/>
    <w:rsid w:val="44201879"/>
    <w:rsid w:val="4420804C"/>
    <w:rsid w:val="44212019"/>
    <w:rsid w:val="44256A1A"/>
    <w:rsid w:val="442686E4"/>
    <w:rsid w:val="44283E26"/>
    <w:rsid w:val="44293A88"/>
    <w:rsid w:val="4429A891"/>
    <w:rsid w:val="442B1808"/>
    <w:rsid w:val="442BEDC4"/>
    <w:rsid w:val="442C9BFD"/>
    <w:rsid w:val="442D16DE"/>
    <w:rsid w:val="442D56D3"/>
    <w:rsid w:val="442F118B"/>
    <w:rsid w:val="44341E12"/>
    <w:rsid w:val="44379E7D"/>
    <w:rsid w:val="44382A66"/>
    <w:rsid w:val="44394A85"/>
    <w:rsid w:val="44395A0D"/>
    <w:rsid w:val="443B2F7A"/>
    <w:rsid w:val="443B7A5C"/>
    <w:rsid w:val="443D11E4"/>
    <w:rsid w:val="443F3597"/>
    <w:rsid w:val="44410364"/>
    <w:rsid w:val="4442A594"/>
    <w:rsid w:val="44436A21"/>
    <w:rsid w:val="44440556"/>
    <w:rsid w:val="44440AAD"/>
    <w:rsid w:val="444439EB"/>
    <w:rsid w:val="444452C3"/>
    <w:rsid w:val="4445349D"/>
    <w:rsid w:val="4446AE11"/>
    <w:rsid w:val="444B4989"/>
    <w:rsid w:val="444BB518"/>
    <w:rsid w:val="444C7F58"/>
    <w:rsid w:val="444CF30C"/>
    <w:rsid w:val="444F25C3"/>
    <w:rsid w:val="4451FCEC"/>
    <w:rsid w:val="4452B1A1"/>
    <w:rsid w:val="4455A606"/>
    <w:rsid w:val="4458F280"/>
    <w:rsid w:val="445AA665"/>
    <w:rsid w:val="445B9453"/>
    <w:rsid w:val="445CBD1F"/>
    <w:rsid w:val="445DE525"/>
    <w:rsid w:val="445E8B4F"/>
    <w:rsid w:val="44637ED2"/>
    <w:rsid w:val="44653565"/>
    <w:rsid w:val="44675E7C"/>
    <w:rsid w:val="446762C1"/>
    <w:rsid w:val="446915E4"/>
    <w:rsid w:val="4469C475"/>
    <w:rsid w:val="446D6E8F"/>
    <w:rsid w:val="446DF600"/>
    <w:rsid w:val="446E8BF5"/>
    <w:rsid w:val="4470052D"/>
    <w:rsid w:val="447016E8"/>
    <w:rsid w:val="44707242"/>
    <w:rsid w:val="447131E1"/>
    <w:rsid w:val="44721756"/>
    <w:rsid w:val="4472180D"/>
    <w:rsid w:val="4472DA08"/>
    <w:rsid w:val="44734F5C"/>
    <w:rsid w:val="4474D29C"/>
    <w:rsid w:val="44757EA4"/>
    <w:rsid w:val="4476374F"/>
    <w:rsid w:val="44771EE4"/>
    <w:rsid w:val="44784C34"/>
    <w:rsid w:val="447A88C1"/>
    <w:rsid w:val="447BD5A2"/>
    <w:rsid w:val="447D1021"/>
    <w:rsid w:val="447D3640"/>
    <w:rsid w:val="447D9EC1"/>
    <w:rsid w:val="447E7860"/>
    <w:rsid w:val="447E822E"/>
    <w:rsid w:val="447E89AB"/>
    <w:rsid w:val="447EB043"/>
    <w:rsid w:val="447EBFEB"/>
    <w:rsid w:val="447EF3D5"/>
    <w:rsid w:val="447F53C8"/>
    <w:rsid w:val="44802205"/>
    <w:rsid w:val="4480A84B"/>
    <w:rsid w:val="4480B6E0"/>
    <w:rsid w:val="4485B7B2"/>
    <w:rsid w:val="4485F9AE"/>
    <w:rsid w:val="44867270"/>
    <w:rsid w:val="4488FF72"/>
    <w:rsid w:val="44895E42"/>
    <w:rsid w:val="449026BE"/>
    <w:rsid w:val="44906A8B"/>
    <w:rsid w:val="4492FA6E"/>
    <w:rsid w:val="44980FAB"/>
    <w:rsid w:val="4499609D"/>
    <w:rsid w:val="449A30ED"/>
    <w:rsid w:val="449C741F"/>
    <w:rsid w:val="44A0115A"/>
    <w:rsid w:val="44A0C5FF"/>
    <w:rsid w:val="44A1F2A8"/>
    <w:rsid w:val="44A210B0"/>
    <w:rsid w:val="44A41DC6"/>
    <w:rsid w:val="44A7B3FF"/>
    <w:rsid w:val="44A7F61A"/>
    <w:rsid w:val="44A8A49D"/>
    <w:rsid w:val="44A92C35"/>
    <w:rsid w:val="44ACE332"/>
    <w:rsid w:val="44AD9B8D"/>
    <w:rsid w:val="44AFE725"/>
    <w:rsid w:val="44B068BD"/>
    <w:rsid w:val="44B3C444"/>
    <w:rsid w:val="44B522E3"/>
    <w:rsid w:val="44B6544B"/>
    <w:rsid w:val="44B8DB70"/>
    <w:rsid w:val="44BA0BA9"/>
    <w:rsid w:val="44BB5D06"/>
    <w:rsid w:val="44BBF2AE"/>
    <w:rsid w:val="44BC7153"/>
    <w:rsid w:val="44BD28B8"/>
    <w:rsid w:val="44BFAB75"/>
    <w:rsid w:val="44C03ED5"/>
    <w:rsid w:val="44C1509B"/>
    <w:rsid w:val="44C23614"/>
    <w:rsid w:val="44C331DF"/>
    <w:rsid w:val="44C4DD20"/>
    <w:rsid w:val="44C73984"/>
    <w:rsid w:val="44C74FCE"/>
    <w:rsid w:val="44C8C729"/>
    <w:rsid w:val="44CB3647"/>
    <w:rsid w:val="44CE9690"/>
    <w:rsid w:val="44CEB4CF"/>
    <w:rsid w:val="44CEF5D9"/>
    <w:rsid w:val="44D0EBF8"/>
    <w:rsid w:val="44D2931E"/>
    <w:rsid w:val="44D3FF41"/>
    <w:rsid w:val="44DA9D03"/>
    <w:rsid w:val="44DC52F9"/>
    <w:rsid w:val="44DCE1A0"/>
    <w:rsid w:val="44DCEF9D"/>
    <w:rsid w:val="44DE97FC"/>
    <w:rsid w:val="44E05BB7"/>
    <w:rsid w:val="44E09282"/>
    <w:rsid w:val="44E38DF5"/>
    <w:rsid w:val="44E57C95"/>
    <w:rsid w:val="44E673FF"/>
    <w:rsid w:val="44E7409A"/>
    <w:rsid w:val="44E8060C"/>
    <w:rsid w:val="44E9697A"/>
    <w:rsid w:val="44EAF8A0"/>
    <w:rsid w:val="44EBD5FE"/>
    <w:rsid w:val="44EF810B"/>
    <w:rsid w:val="44EFF613"/>
    <w:rsid w:val="44F0DD28"/>
    <w:rsid w:val="44F2D6CD"/>
    <w:rsid w:val="44F59E82"/>
    <w:rsid w:val="44F70E6F"/>
    <w:rsid w:val="44F7A849"/>
    <w:rsid w:val="44F99856"/>
    <w:rsid w:val="44F9B526"/>
    <w:rsid w:val="44FA1601"/>
    <w:rsid w:val="44FAC2A9"/>
    <w:rsid w:val="44FB47F8"/>
    <w:rsid w:val="44FC9690"/>
    <w:rsid w:val="44FF4FA4"/>
    <w:rsid w:val="4502C77B"/>
    <w:rsid w:val="4504D8BC"/>
    <w:rsid w:val="4504ECDD"/>
    <w:rsid w:val="4507D314"/>
    <w:rsid w:val="4507F043"/>
    <w:rsid w:val="4508AF65"/>
    <w:rsid w:val="450A397E"/>
    <w:rsid w:val="450B3EBB"/>
    <w:rsid w:val="450E68C8"/>
    <w:rsid w:val="450F5398"/>
    <w:rsid w:val="451141B7"/>
    <w:rsid w:val="45146792"/>
    <w:rsid w:val="451607A8"/>
    <w:rsid w:val="451667CA"/>
    <w:rsid w:val="4516B458"/>
    <w:rsid w:val="45182677"/>
    <w:rsid w:val="451897A9"/>
    <w:rsid w:val="4518D29B"/>
    <w:rsid w:val="451A035B"/>
    <w:rsid w:val="451A154A"/>
    <w:rsid w:val="451A6195"/>
    <w:rsid w:val="451B5E41"/>
    <w:rsid w:val="451C2DED"/>
    <w:rsid w:val="451E2CD9"/>
    <w:rsid w:val="451E43BC"/>
    <w:rsid w:val="451E7FFD"/>
    <w:rsid w:val="451F160A"/>
    <w:rsid w:val="45200255"/>
    <w:rsid w:val="45204634"/>
    <w:rsid w:val="4522E503"/>
    <w:rsid w:val="45237AEF"/>
    <w:rsid w:val="45240B3F"/>
    <w:rsid w:val="45259ABF"/>
    <w:rsid w:val="45276102"/>
    <w:rsid w:val="45279784"/>
    <w:rsid w:val="452A1556"/>
    <w:rsid w:val="452B7F13"/>
    <w:rsid w:val="452C0DC0"/>
    <w:rsid w:val="452CF569"/>
    <w:rsid w:val="452D2C52"/>
    <w:rsid w:val="452E4CBD"/>
    <w:rsid w:val="452FCAB0"/>
    <w:rsid w:val="4532DA2F"/>
    <w:rsid w:val="4533B068"/>
    <w:rsid w:val="45341722"/>
    <w:rsid w:val="45353C6F"/>
    <w:rsid w:val="4536F576"/>
    <w:rsid w:val="45383CB0"/>
    <w:rsid w:val="45383EE5"/>
    <w:rsid w:val="45391CE8"/>
    <w:rsid w:val="4539F6C5"/>
    <w:rsid w:val="453A2780"/>
    <w:rsid w:val="453B1C5C"/>
    <w:rsid w:val="453CE2D7"/>
    <w:rsid w:val="453E04E8"/>
    <w:rsid w:val="45402C1E"/>
    <w:rsid w:val="45412609"/>
    <w:rsid w:val="4541EC87"/>
    <w:rsid w:val="45436BBB"/>
    <w:rsid w:val="45468920"/>
    <w:rsid w:val="454755F7"/>
    <w:rsid w:val="4548162C"/>
    <w:rsid w:val="4549B69C"/>
    <w:rsid w:val="454B4EFB"/>
    <w:rsid w:val="454B60A4"/>
    <w:rsid w:val="454CE335"/>
    <w:rsid w:val="454F9A5D"/>
    <w:rsid w:val="45528431"/>
    <w:rsid w:val="45555917"/>
    <w:rsid w:val="455617CD"/>
    <w:rsid w:val="4558D9BC"/>
    <w:rsid w:val="4559818F"/>
    <w:rsid w:val="455AC8F0"/>
    <w:rsid w:val="455B51B9"/>
    <w:rsid w:val="455C47B9"/>
    <w:rsid w:val="455C79A9"/>
    <w:rsid w:val="455FBF05"/>
    <w:rsid w:val="456022A9"/>
    <w:rsid w:val="4561B39A"/>
    <w:rsid w:val="4561D452"/>
    <w:rsid w:val="4561FDF2"/>
    <w:rsid w:val="4562479C"/>
    <w:rsid w:val="45650881"/>
    <w:rsid w:val="45656927"/>
    <w:rsid w:val="456961FB"/>
    <w:rsid w:val="456A1AC7"/>
    <w:rsid w:val="456CA6AA"/>
    <w:rsid w:val="456E907B"/>
    <w:rsid w:val="456FD7AE"/>
    <w:rsid w:val="457117EF"/>
    <w:rsid w:val="4571F84D"/>
    <w:rsid w:val="45728479"/>
    <w:rsid w:val="45728C70"/>
    <w:rsid w:val="457423D0"/>
    <w:rsid w:val="4574BBE7"/>
    <w:rsid w:val="45762A63"/>
    <w:rsid w:val="4578CF47"/>
    <w:rsid w:val="4579B139"/>
    <w:rsid w:val="457A5F8F"/>
    <w:rsid w:val="457C2B2F"/>
    <w:rsid w:val="457E06DE"/>
    <w:rsid w:val="457EBEF3"/>
    <w:rsid w:val="457F9AD9"/>
    <w:rsid w:val="45827CCB"/>
    <w:rsid w:val="45847B41"/>
    <w:rsid w:val="458499AD"/>
    <w:rsid w:val="45861C7E"/>
    <w:rsid w:val="458909CB"/>
    <w:rsid w:val="45893EE5"/>
    <w:rsid w:val="458ADE1A"/>
    <w:rsid w:val="458B2F9D"/>
    <w:rsid w:val="458D55E7"/>
    <w:rsid w:val="458DB1AB"/>
    <w:rsid w:val="458DB312"/>
    <w:rsid w:val="458DFB95"/>
    <w:rsid w:val="458F8974"/>
    <w:rsid w:val="4593A720"/>
    <w:rsid w:val="459476AD"/>
    <w:rsid w:val="4594F2FB"/>
    <w:rsid w:val="459631E7"/>
    <w:rsid w:val="4598B3E9"/>
    <w:rsid w:val="459A43D9"/>
    <w:rsid w:val="459A6864"/>
    <w:rsid w:val="459AD224"/>
    <w:rsid w:val="459B86B0"/>
    <w:rsid w:val="459C3206"/>
    <w:rsid w:val="459F8564"/>
    <w:rsid w:val="45A08718"/>
    <w:rsid w:val="45A11260"/>
    <w:rsid w:val="45A16E8C"/>
    <w:rsid w:val="45A31680"/>
    <w:rsid w:val="45A80C68"/>
    <w:rsid w:val="45A83E01"/>
    <w:rsid w:val="45A91BD1"/>
    <w:rsid w:val="45AAE2E4"/>
    <w:rsid w:val="45AE1B83"/>
    <w:rsid w:val="45AEBC9A"/>
    <w:rsid w:val="45B0B990"/>
    <w:rsid w:val="45B24757"/>
    <w:rsid w:val="45BA440B"/>
    <w:rsid w:val="45BABF83"/>
    <w:rsid w:val="45C0923B"/>
    <w:rsid w:val="45C275E0"/>
    <w:rsid w:val="45C28CCD"/>
    <w:rsid w:val="45C3665F"/>
    <w:rsid w:val="45C3A765"/>
    <w:rsid w:val="45C47800"/>
    <w:rsid w:val="45C515BA"/>
    <w:rsid w:val="45C5E1AA"/>
    <w:rsid w:val="45C66062"/>
    <w:rsid w:val="45C6CC39"/>
    <w:rsid w:val="45C72BCC"/>
    <w:rsid w:val="45C7AF97"/>
    <w:rsid w:val="45C85594"/>
    <w:rsid w:val="45C9CC14"/>
    <w:rsid w:val="45CAF0A1"/>
    <w:rsid w:val="45CDC55E"/>
    <w:rsid w:val="45CE7C4E"/>
    <w:rsid w:val="45CFC425"/>
    <w:rsid w:val="45CFF379"/>
    <w:rsid w:val="45D13B25"/>
    <w:rsid w:val="45D14ADB"/>
    <w:rsid w:val="45D400D2"/>
    <w:rsid w:val="45D82866"/>
    <w:rsid w:val="45D8EB6C"/>
    <w:rsid w:val="45D94364"/>
    <w:rsid w:val="45DB65F6"/>
    <w:rsid w:val="45DBB39D"/>
    <w:rsid w:val="45DBE011"/>
    <w:rsid w:val="45DC4F2F"/>
    <w:rsid w:val="45DD2777"/>
    <w:rsid w:val="45DD547E"/>
    <w:rsid w:val="45DE0C29"/>
    <w:rsid w:val="45E02258"/>
    <w:rsid w:val="45E0A69A"/>
    <w:rsid w:val="45E2F87B"/>
    <w:rsid w:val="45E44298"/>
    <w:rsid w:val="45E496C6"/>
    <w:rsid w:val="45E57662"/>
    <w:rsid w:val="45E59A34"/>
    <w:rsid w:val="45E69FAC"/>
    <w:rsid w:val="45E8E23C"/>
    <w:rsid w:val="45E91D65"/>
    <w:rsid w:val="45EA22BE"/>
    <w:rsid w:val="45EC6F9A"/>
    <w:rsid w:val="45F00B44"/>
    <w:rsid w:val="45F037E5"/>
    <w:rsid w:val="45F0E125"/>
    <w:rsid w:val="45F10955"/>
    <w:rsid w:val="45F1B024"/>
    <w:rsid w:val="45F262B6"/>
    <w:rsid w:val="45F30001"/>
    <w:rsid w:val="45F33DBA"/>
    <w:rsid w:val="45F4308D"/>
    <w:rsid w:val="45F4CC4C"/>
    <w:rsid w:val="45F52DD9"/>
    <w:rsid w:val="45F616EA"/>
    <w:rsid w:val="45F77D65"/>
    <w:rsid w:val="45F7D342"/>
    <w:rsid w:val="45FB3AD7"/>
    <w:rsid w:val="4601D2C4"/>
    <w:rsid w:val="4601F483"/>
    <w:rsid w:val="460201EF"/>
    <w:rsid w:val="460205D6"/>
    <w:rsid w:val="46047AD6"/>
    <w:rsid w:val="46062B10"/>
    <w:rsid w:val="46073FEB"/>
    <w:rsid w:val="460797E1"/>
    <w:rsid w:val="4607D66B"/>
    <w:rsid w:val="46091D5E"/>
    <w:rsid w:val="460A4170"/>
    <w:rsid w:val="460AB50D"/>
    <w:rsid w:val="460AC14B"/>
    <w:rsid w:val="460AF46B"/>
    <w:rsid w:val="460D502B"/>
    <w:rsid w:val="460D8B06"/>
    <w:rsid w:val="460DA925"/>
    <w:rsid w:val="460DB87B"/>
    <w:rsid w:val="460E2167"/>
    <w:rsid w:val="460E47F9"/>
    <w:rsid w:val="460F27C2"/>
    <w:rsid w:val="460F77B6"/>
    <w:rsid w:val="46101493"/>
    <w:rsid w:val="46136E5D"/>
    <w:rsid w:val="4614B72F"/>
    <w:rsid w:val="461AC756"/>
    <w:rsid w:val="461B4240"/>
    <w:rsid w:val="461B95F7"/>
    <w:rsid w:val="461F4A82"/>
    <w:rsid w:val="461F7031"/>
    <w:rsid w:val="4620AF13"/>
    <w:rsid w:val="46216002"/>
    <w:rsid w:val="4621C563"/>
    <w:rsid w:val="4623446A"/>
    <w:rsid w:val="462602C6"/>
    <w:rsid w:val="4626CAB3"/>
    <w:rsid w:val="4626CAD2"/>
    <w:rsid w:val="46275D01"/>
    <w:rsid w:val="4627D0DC"/>
    <w:rsid w:val="4628E82F"/>
    <w:rsid w:val="462C8591"/>
    <w:rsid w:val="462D9CB4"/>
    <w:rsid w:val="462E6B37"/>
    <w:rsid w:val="462EC375"/>
    <w:rsid w:val="46306256"/>
    <w:rsid w:val="463437D8"/>
    <w:rsid w:val="46344D7A"/>
    <w:rsid w:val="46359D61"/>
    <w:rsid w:val="46361CC8"/>
    <w:rsid w:val="4638C555"/>
    <w:rsid w:val="4639C994"/>
    <w:rsid w:val="463A0816"/>
    <w:rsid w:val="463A4409"/>
    <w:rsid w:val="463C497A"/>
    <w:rsid w:val="463D0771"/>
    <w:rsid w:val="463D1FAD"/>
    <w:rsid w:val="463E9071"/>
    <w:rsid w:val="463EE7E2"/>
    <w:rsid w:val="463EF5FE"/>
    <w:rsid w:val="463FC390"/>
    <w:rsid w:val="4641A3F7"/>
    <w:rsid w:val="46437B5D"/>
    <w:rsid w:val="4645D695"/>
    <w:rsid w:val="464A27DA"/>
    <w:rsid w:val="464C1997"/>
    <w:rsid w:val="464CF83D"/>
    <w:rsid w:val="464E5556"/>
    <w:rsid w:val="46568386"/>
    <w:rsid w:val="4656B36D"/>
    <w:rsid w:val="4656DF9C"/>
    <w:rsid w:val="4658D9DA"/>
    <w:rsid w:val="46608D31"/>
    <w:rsid w:val="46609AB9"/>
    <w:rsid w:val="4662A816"/>
    <w:rsid w:val="4665E326"/>
    <w:rsid w:val="46679652"/>
    <w:rsid w:val="46679CF2"/>
    <w:rsid w:val="466B39CB"/>
    <w:rsid w:val="466C685B"/>
    <w:rsid w:val="466CA8A3"/>
    <w:rsid w:val="466D050F"/>
    <w:rsid w:val="466E4BD1"/>
    <w:rsid w:val="466E5AE5"/>
    <w:rsid w:val="4671FECA"/>
    <w:rsid w:val="46736EA8"/>
    <w:rsid w:val="46738587"/>
    <w:rsid w:val="4673936E"/>
    <w:rsid w:val="4674FFD4"/>
    <w:rsid w:val="4677C09E"/>
    <w:rsid w:val="46798AB2"/>
    <w:rsid w:val="467A7826"/>
    <w:rsid w:val="467B9CB0"/>
    <w:rsid w:val="467CBA38"/>
    <w:rsid w:val="467D2737"/>
    <w:rsid w:val="46816C00"/>
    <w:rsid w:val="4681BAB4"/>
    <w:rsid w:val="4682157D"/>
    <w:rsid w:val="4682E5F1"/>
    <w:rsid w:val="4683C674"/>
    <w:rsid w:val="4684F6B5"/>
    <w:rsid w:val="46865F4A"/>
    <w:rsid w:val="46886852"/>
    <w:rsid w:val="468E42A9"/>
    <w:rsid w:val="468FA884"/>
    <w:rsid w:val="46902E16"/>
    <w:rsid w:val="46907FA3"/>
    <w:rsid w:val="4690ED63"/>
    <w:rsid w:val="4690F383"/>
    <w:rsid w:val="469149D3"/>
    <w:rsid w:val="4691DC05"/>
    <w:rsid w:val="4692FF01"/>
    <w:rsid w:val="4693B6FC"/>
    <w:rsid w:val="469433D4"/>
    <w:rsid w:val="4694C58A"/>
    <w:rsid w:val="4694D11F"/>
    <w:rsid w:val="4696EDB7"/>
    <w:rsid w:val="46972798"/>
    <w:rsid w:val="4697C884"/>
    <w:rsid w:val="46999A60"/>
    <w:rsid w:val="4699D26F"/>
    <w:rsid w:val="469A5F41"/>
    <w:rsid w:val="469A96A4"/>
    <w:rsid w:val="469C2D4B"/>
    <w:rsid w:val="469E46AD"/>
    <w:rsid w:val="469EF852"/>
    <w:rsid w:val="469FC82F"/>
    <w:rsid w:val="46A0ECB7"/>
    <w:rsid w:val="46A0F4EA"/>
    <w:rsid w:val="46A44567"/>
    <w:rsid w:val="46A56222"/>
    <w:rsid w:val="46A5FE76"/>
    <w:rsid w:val="46A6780C"/>
    <w:rsid w:val="46A921F8"/>
    <w:rsid w:val="46A99AAD"/>
    <w:rsid w:val="46AAAEC1"/>
    <w:rsid w:val="46ADB984"/>
    <w:rsid w:val="46AE9CB1"/>
    <w:rsid w:val="46AF403B"/>
    <w:rsid w:val="46AFC88C"/>
    <w:rsid w:val="46B13568"/>
    <w:rsid w:val="46B16F33"/>
    <w:rsid w:val="46B202F3"/>
    <w:rsid w:val="46B38550"/>
    <w:rsid w:val="46B645FB"/>
    <w:rsid w:val="46B67DCA"/>
    <w:rsid w:val="46B89658"/>
    <w:rsid w:val="46B9A50A"/>
    <w:rsid w:val="46B9A843"/>
    <w:rsid w:val="46BA5C7C"/>
    <w:rsid w:val="46BAE13C"/>
    <w:rsid w:val="46BE9EA6"/>
    <w:rsid w:val="46BEA29F"/>
    <w:rsid w:val="46C01F58"/>
    <w:rsid w:val="46C0A531"/>
    <w:rsid w:val="46C1E337"/>
    <w:rsid w:val="46C2D1EF"/>
    <w:rsid w:val="46C3935B"/>
    <w:rsid w:val="46C3EB44"/>
    <w:rsid w:val="46C583CB"/>
    <w:rsid w:val="46C5A727"/>
    <w:rsid w:val="46CA4596"/>
    <w:rsid w:val="46CAA864"/>
    <w:rsid w:val="46CC984B"/>
    <w:rsid w:val="46CD2D98"/>
    <w:rsid w:val="46D2A9B8"/>
    <w:rsid w:val="46D3102E"/>
    <w:rsid w:val="46D32D23"/>
    <w:rsid w:val="46D71D76"/>
    <w:rsid w:val="46D87170"/>
    <w:rsid w:val="46D8AB06"/>
    <w:rsid w:val="46DA6C8E"/>
    <w:rsid w:val="46DAFE88"/>
    <w:rsid w:val="46DBCABE"/>
    <w:rsid w:val="46DC1687"/>
    <w:rsid w:val="46DC87E9"/>
    <w:rsid w:val="46DD614C"/>
    <w:rsid w:val="46DDC997"/>
    <w:rsid w:val="46DEB352"/>
    <w:rsid w:val="46E0EA71"/>
    <w:rsid w:val="46E2331F"/>
    <w:rsid w:val="46E33779"/>
    <w:rsid w:val="46E4077B"/>
    <w:rsid w:val="46E51FC6"/>
    <w:rsid w:val="46E6AC62"/>
    <w:rsid w:val="46E95D7C"/>
    <w:rsid w:val="46EC7978"/>
    <w:rsid w:val="46F0DE9A"/>
    <w:rsid w:val="46F17C15"/>
    <w:rsid w:val="46F5698A"/>
    <w:rsid w:val="46F71C4E"/>
    <w:rsid w:val="46FC8601"/>
    <w:rsid w:val="46FE9EED"/>
    <w:rsid w:val="46FF2E66"/>
    <w:rsid w:val="46FFE2E0"/>
    <w:rsid w:val="47002FCD"/>
    <w:rsid w:val="4700BBFE"/>
    <w:rsid w:val="4701F86C"/>
    <w:rsid w:val="4702B801"/>
    <w:rsid w:val="4704C349"/>
    <w:rsid w:val="4706FFBA"/>
    <w:rsid w:val="4707F005"/>
    <w:rsid w:val="47084CED"/>
    <w:rsid w:val="4709AABA"/>
    <w:rsid w:val="470BBF80"/>
    <w:rsid w:val="4712A493"/>
    <w:rsid w:val="47133EE5"/>
    <w:rsid w:val="47173E46"/>
    <w:rsid w:val="471C1C6A"/>
    <w:rsid w:val="471DDD6A"/>
    <w:rsid w:val="471EA923"/>
    <w:rsid w:val="471F168E"/>
    <w:rsid w:val="471F79BB"/>
    <w:rsid w:val="4720D339"/>
    <w:rsid w:val="4721DF56"/>
    <w:rsid w:val="472241F4"/>
    <w:rsid w:val="47249C06"/>
    <w:rsid w:val="4726EEE8"/>
    <w:rsid w:val="47273F06"/>
    <w:rsid w:val="4728591A"/>
    <w:rsid w:val="472AC1FD"/>
    <w:rsid w:val="472C4B43"/>
    <w:rsid w:val="472D4226"/>
    <w:rsid w:val="472D6E25"/>
    <w:rsid w:val="472DAC33"/>
    <w:rsid w:val="472E3BB1"/>
    <w:rsid w:val="472EC047"/>
    <w:rsid w:val="47312195"/>
    <w:rsid w:val="47341610"/>
    <w:rsid w:val="47344CA1"/>
    <w:rsid w:val="4734C2D3"/>
    <w:rsid w:val="4738D979"/>
    <w:rsid w:val="4739B65C"/>
    <w:rsid w:val="4739C042"/>
    <w:rsid w:val="473A5F74"/>
    <w:rsid w:val="473B44E8"/>
    <w:rsid w:val="473C71FD"/>
    <w:rsid w:val="473E5DEA"/>
    <w:rsid w:val="473F9450"/>
    <w:rsid w:val="473FD5C9"/>
    <w:rsid w:val="474426A9"/>
    <w:rsid w:val="4744C98E"/>
    <w:rsid w:val="47457D4F"/>
    <w:rsid w:val="47493A8A"/>
    <w:rsid w:val="474A9CB5"/>
    <w:rsid w:val="474AE80E"/>
    <w:rsid w:val="474C53A8"/>
    <w:rsid w:val="474DA6D2"/>
    <w:rsid w:val="474DACB0"/>
    <w:rsid w:val="47524305"/>
    <w:rsid w:val="47549CCB"/>
    <w:rsid w:val="47556818"/>
    <w:rsid w:val="4756228E"/>
    <w:rsid w:val="47582B5E"/>
    <w:rsid w:val="4758E487"/>
    <w:rsid w:val="475A4FC4"/>
    <w:rsid w:val="475B8B55"/>
    <w:rsid w:val="475CCA3C"/>
    <w:rsid w:val="4761BB7D"/>
    <w:rsid w:val="4761D769"/>
    <w:rsid w:val="47644D28"/>
    <w:rsid w:val="4764F8A6"/>
    <w:rsid w:val="476783F4"/>
    <w:rsid w:val="4767ABBF"/>
    <w:rsid w:val="47681CE3"/>
    <w:rsid w:val="4768A8D2"/>
    <w:rsid w:val="476991C6"/>
    <w:rsid w:val="4769F7BD"/>
    <w:rsid w:val="476AE738"/>
    <w:rsid w:val="476C952C"/>
    <w:rsid w:val="476D7D10"/>
    <w:rsid w:val="476DB954"/>
    <w:rsid w:val="476E2A04"/>
    <w:rsid w:val="4770FE71"/>
    <w:rsid w:val="4773CE38"/>
    <w:rsid w:val="4774E717"/>
    <w:rsid w:val="477C5B1A"/>
    <w:rsid w:val="477E5EC5"/>
    <w:rsid w:val="47807358"/>
    <w:rsid w:val="4780B996"/>
    <w:rsid w:val="47841E39"/>
    <w:rsid w:val="4784D8F0"/>
    <w:rsid w:val="4784FB3D"/>
    <w:rsid w:val="4787D664"/>
    <w:rsid w:val="4787F66B"/>
    <w:rsid w:val="47882609"/>
    <w:rsid w:val="4788C3AE"/>
    <w:rsid w:val="4789C752"/>
    <w:rsid w:val="478A156F"/>
    <w:rsid w:val="478B054E"/>
    <w:rsid w:val="478B61C7"/>
    <w:rsid w:val="478C9D53"/>
    <w:rsid w:val="478D150C"/>
    <w:rsid w:val="478DEF93"/>
    <w:rsid w:val="4790D5A1"/>
    <w:rsid w:val="4791E2E1"/>
    <w:rsid w:val="47937AC6"/>
    <w:rsid w:val="4796BCD5"/>
    <w:rsid w:val="4796D1C3"/>
    <w:rsid w:val="4796E8CC"/>
    <w:rsid w:val="47986269"/>
    <w:rsid w:val="479ADE3B"/>
    <w:rsid w:val="479D07F7"/>
    <w:rsid w:val="479E3C6B"/>
    <w:rsid w:val="47A06757"/>
    <w:rsid w:val="47A1FCFD"/>
    <w:rsid w:val="47A20EA5"/>
    <w:rsid w:val="47A2A328"/>
    <w:rsid w:val="47A357CE"/>
    <w:rsid w:val="47A37ECA"/>
    <w:rsid w:val="47A416B0"/>
    <w:rsid w:val="47A909FB"/>
    <w:rsid w:val="47A95A07"/>
    <w:rsid w:val="47A9A4BC"/>
    <w:rsid w:val="47AB419E"/>
    <w:rsid w:val="47ADBA2D"/>
    <w:rsid w:val="47B14F66"/>
    <w:rsid w:val="47B1D67B"/>
    <w:rsid w:val="47B20BA4"/>
    <w:rsid w:val="47B62D6A"/>
    <w:rsid w:val="47B692EE"/>
    <w:rsid w:val="47B964A3"/>
    <w:rsid w:val="47BB34FE"/>
    <w:rsid w:val="47BCB8B0"/>
    <w:rsid w:val="47BCCD97"/>
    <w:rsid w:val="47BDE9D6"/>
    <w:rsid w:val="47BE379D"/>
    <w:rsid w:val="47C18D83"/>
    <w:rsid w:val="47C4681A"/>
    <w:rsid w:val="47C490B1"/>
    <w:rsid w:val="47C5048A"/>
    <w:rsid w:val="47C7F937"/>
    <w:rsid w:val="47C7FE2D"/>
    <w:rsid w:val="47C9929C"/>
    <w:rsid w:val="47CB342F"/>
    <w:rsid w:val="47CB40EF"/>
    <w:rsid w:val="47D306AF"/>
    <w:rsid w:val="47D8E958"/>
    <w:rsid w:val="47D9FFC1"/>
    <w:rsid w:val="47DB0514"/>
    <w:rsid w:val="47DCC3D8"/>
    <w:rsid w:val="47DDAADF"/>
    <w:rsid w:val="47DEE79C"/>
    <w:rsid w:val="47E01D15"/>
    <w:rsid w:val="47E03CB6"/>
    <w:rsid w:val="47E11097"/>
    <w:rsid w:val="47E2A221"/>
    <w:rsid w:val="47E41B75"/>
    <w:rsid w:val="47E4949A"/>
    <w:rsid w:val="47E6C9AC"/>
    <w:rsid w:val="47E6E12C"/>
    <w:rsid w:val="47E9E624"/>
    <w:rsid w:val="47EAFFCB"/>
    <w:rsid w:val="47EEEFEF"/>
    <w:rsid w:val="47EFBCED"/>
    <w:rsid w:val="47F0735E"/>
    <w:rsid w:val="47F09740"/>
    <w:rsid w:val="47F33034"/>
    <w:rsid w:val="47F40875"/>
    <w:rsid w:val="47F66986"/>
    <w:rsid w:val="47F73CF9"/>
    <w:rsid w:val="47F781CF"/>
    <w:rsid w:val="47F7A501"/>
    <w:rsid w:val="47F7D7BC"/>
    <w:rsid w:val="47FC2FDB"/>
    <w:rsid w:val="47FC881D"/>
    <w:rsid w:val="47FCF357"/>
    <w:rsid w:val="47FD879F"/>
    <w:rsid w:val="47FF58EC"/>
    <w:rsid w:val="47FFD55A"/>
    <w:rsid w:val="4801A9C4"/>
    <w:rsid w:val="48028FD4"/>
    <w:rsid w:val="480342AE"/>
    <w:rsid w:val="480616E1"/>
    <w:rsid w:val="480640E7"/>
    <w:rsid w:val="4806B6AE"/>
    <w:rsid w:val="48075E6F"/>
    <w:rsid w:val="480930BD"/>
    <w:rsid w:val="4809FC8E"/>
    <w:rsid w:val="480A0D0E"/>
    <w:rsid w:val="480B177A"/>
    <w:rsid w:val="480D833E"/>
    <w:rsid w:val="4811DED7"/>
    <w:rsid w:val="4814DDF3"/>
    <w:rsid w:val="4814EE10"/>
    <w:rsid w:val="48160AC3"/>
    <w:rsid w:val="48171D4F"/>
    <w:rsid w:val="481877DE"/>
    <w:rsid w:val="481BDC96"/>
    <w:rsid w:val="481BE163"/>
    <w:rsid w:val="4821BB89"/>
    <w:rsid w:val="48238C45"/>
    <w:rsid w:val="482407F4"/>
    <w:rsid w:val="4825B95B"/>
    <w:rsid w:val="48282305"/>
    <w:rsid w:val="4829214D"/>
    <w:rsid w:val="482923F0"/>
    <w:rsid w:val="4829CD61"/>
    <w:rsid w:val="482AAEA9"/>
    <w:rsid w:val="482AF7A3"/>
    <w:rsid w:val="482D136D"/>
    <w:rsid w:val="482D9F8C"/>
    <w:rsid w:val="482DB130"/>
    <w:rsid w:val="482DD767"/>
    <w:rsid w:val="482EA87A"/>
    <w:rsid w:val="482F1837"/>
    <w:rsid w:val="482F88BA"/>
    <w:rsid w:val="48335ADF"/>
    <w:rsid w:val="48340529"/>
    <w:rsid w:val="4835C6B9"/>
    <w:rsid w:val="48367C53"/>
    <w:rsid w:val="48374ACF"/>
    <w:rsid w:val="4838C9AE"/>
    <w:rsid w:val="48392F8C"/>
    <w:rsid w:val="48399783"/>
    <w:rsid w:val="483B5A0E"/>
    <w:rsid w:val="483B9160"/>
    <w:rsid w:val="483C55C5"/>
    <w:rsid w:val="48411440"/>
    <w:rsid w:val="4847CF3A"/>
    <w:rsid w:val="4848FA51"/>
    <w:rsid w:val="484915D4"/>
    <w:rsid w:val="4849C36D"/>
    <w:rsid w:val="484B1B39"/>
    <w:rsid w:val="484C272F"/>
    <w:rsid w:val="484DB990"/>
    <w:rsid w:val="484DCC94"/>
    <w:rsid w:val="484DF1C5"/>
    <w:rsid w:val="484E8849"/>
    <w:rsid w:val="484EE3BB"/>
    <w:rsid w:val="4850D4B2"/>
    <w:rsid w:val="4851815E"/>
    <w:rsid w:val="4851A336"/>
    <w:rsid w:val="485248A3"/>
    <w:rsid w:val="485512B4"/>
    <w:rsid w:val="4855279D"/>
    <w:rsid w:val="48570B18"/>
    <w:rsid w:val="48574220"/>
    <w:rsid w:val="48576D05"/>
    <w:rsid w:val="4858A093"/>
    <w:rsid w:val="48590073"/>
    <w:rsid w:val="4859A33B"/>
    <w:rsid w:val="485A9B02"/>
    <w:rsid w:val="485AC2BE"/>
    <w:rsid w:val="485C12AD"/>
    <w:rsid w:val="485C843A"/>
    <w:rsid w:val="485D0A49"/>
    <w:rsid w:val="485D2DBB"/>
    <w:rsid w:val="4861102F"/>
    <w:rsid w:val="48628B69"/>
    <w:rsid w:val="4862EBDB"/>
    <w:rsid w:val="4864B37D"/>
    <w:rsid w:val="486663ED"/>
    <w:rsid w:val="48686836"/>
    <w:rsid w:val="486D85DE"/>
    <w:rsid w:val="486F0C20"/>
    <w:rsid w:val="4872063E"/>
    <w:rsid w:val="487C5EB5"/>
    <w:rsid w:val="487EC3FD"/>
    <w:rsid w:val="487F65B3"/>
    <w:rsid w:val="488619F4"/>
    <w:rsid w:val="48864D9E"/>
    <w:rsid w:val="4886DB99"/>
    <w:rsid w:val="48873B8A"/>
    <w:rsid w:val="48873EF7"/>
    <w:rsid w:val="4888031E"/>
    <w:rsid w:val="48890FCA"/>
    <w:rsid w:val="4889D1A9"/>
    <w:rsid w:val="488AD81F"/>
    <w:rsid w:val="488B6C49"/>
    <w:rsid w:val="488C23D5"/>
    <w:rsid w:val="488C5319"/>
    <w:rsid w:val="488C74F1"/>
    <w:rsid w:val="488F0292"/>
    <w:rsid w:val="48903796"/>
    <w:rsid w:val="48933090"/>
    <w:rsid w:val="489363F0"/>
    <w:rsid w:val="489500A2"/>
    <w:rsid w:val="4895B33D"/>
    <w:rsid w:val="4895CA65"/>
    <w:rsid w:val="4898706C"/>
    <w:rsid w:val="48999623"/>
    <w:rsid w:val="489AD20B"/>
    <w:rsid w:val="489E3C48"/>
    <w:rsid w:val="48A087D5"/>
    <w:rsid w:val="48A1870D"/>
    <w:rsid w:val="48A1CFFD"/>
    <w:rsid w:val="48A2A219"/>
    <w:rsid w:val="48A77C14"/>
    <w:rsid w:val="48A85853"/>
    <w:rsid w:val="48A9BD87"/>
    <w:rsid w:val="48AB4932"/>
    <w:rsid w:val="48ABE091"/>
    <w:rsid w:val="48AC9F70"/>
    <w:rsid w:val="48AD7150"/>
    <w:rsid w:val="48ADF106"/>
    <w:rsid w:val="48AE7118"/>
    <w:rsid w:val="48AF2893"/>
    <w:rsid w:val="48AFD212"/>
    <w:rsid w:val="48B02F9F"/>
    <w:rsid w:val="48B062B6"/>
    <w:rsid w:val="48B172CD"/>
    <w:rsid w:val="48B24E5D"/>
    <w:rsid w:val="48B3C93A"/>
    <w:rsid w:val="48B68C38"/>
    <w:rsid w:val="48B97BB7"/>
    <w:rsid w:val="48BCDB4A"/>
    <w:rsid w:val="48BDEDDE"/>
    <w:rsid w:val="48BE21E8"/>
    <w:rsid w:val="48BE3271"/>
    <w:rsid w:val="48C467A1"/>
    <w:rsid w:val="48C5F4EB"/>
    <w:rsid w:val="48C6704A"/>
    <w:rsid w:val="48C670D8"/>
    <w:rsid w:val="48C6EDED"/>
    <w:rsid w:val="48C6F71C"/>
    <w:rsid w:val="48C6FAD2"/>
    <w:rsid w:val="48C83B33"/>
    <w:rsid w:val="48C863DC"/>
    <w:rsid w:val="48C8BF3D"/>
    <w:rsid w:val="48C8E0C0"/>
    <w:rsid w:val="48CAEE28"/>
    <w:rsid w:val="48CB2FB4"/>
    <w:rsid w:val="48CC1D42"/>
    <w:rsid w:val="48CE76A7"/>
    <w:rsid w:val="48CF1013"/>
    <w:rsid w:val="48D0DFAF"/>
    <w:rsid w:val="48D2F4C2"/>
    <w:rsid w:val="48D3DEC7"/>
    <w:rsid w:val="48D49624"/>
    <w:rsid w:val="48D4B563"/>
    <w:rsid w:val="48D598EF"/>
    <w:rsid w:val="48D79D5F"/>
    <w:rsid w:val="48D90C78"/>
    <w:rsid w:val="48DAB18E"/>
    <w:rsid w:val="48DB0ACD"/>
    <w:rsid w:val="48DC47D6"/>
    <w:rsid w:val="48DD97D1"/>
    <w:rsid w:val="48E1556A"/>
    <w:rsid w:val="48E37F62"/>
    <w:rsid w:val="48E54B18"/>
    <w:rsid w:val="48E58DD2"/>
    <w:rsid w:val="48E5E1B4"/>
    <w:rsid w:val="48E7B2B7"/>
    <w:rsid w:val="48E8450D"/>
    <w:rsid w:val="48E8CF8B"/>
    <w:rsid w:val="48E8E058"/>
    <w:rsid w:val="48EB65A8"/>
    <w:rsid w:val="48EECF12"/>
    <w:rsid w:val="48EEEC95"/>
    <w:rsid w:val="48F07589"/>
    <w:rsid w:val="48F18663"/>
    <w:rsid w:val="48F1867F"/>
    <w:rsid w:val="48F18E02"/>
    <w:rsid w:val="48F1E5F3"/>
    <w:rsid w:val="48F29A41"/>
    <w:rsid w:val="48F5D89D"/>
    <w:rsid w:val="48F5E0A3"/>
    <w:rsid w:val="48F656CF"/>
    <w:rsid w:val="48F89426"/>
    <w:rsid w:val="48F91A4C"/>
    <w:rsid w:val="48FAFD12"/>
    <w:rsid w:val="48FB61F4"/>
    <w:rsid w:val="48FE870E"/>
    <w:rsid w:val="48FF6039"/>
    <w:rsid w:val="48FF6C8F"/>
    <w:rsid w:val="49006752"/>
    <w:rsid w:val="4900C884"/>
    <w:rsid w:val="49011408"/>
    <w:rsid w:val="4901FC0A"/>
    <w:rsid w:val="4902790D"/>
    <w:rsid w:val="49052B41"/>
    <w:rsid w:val="4906B2C5"/>
    <w:rsid w:val="490B68E9"/>
    <w:rsid w:val="490BE114"/>
    <w:rsid w:val="490D2367"/>
    <w:rsid w:val="49121943"/>
    <w:rsid w:val="49123C84"/>
    <w:rsid w:val="49130AFB"/>
    <w:rsid w:val="491544CE"/>
    <w:rsid w:val="491645C2"/>
    <w:rsid w:val="49169AAE"/>
    <w:rsid w:val="491768BB"/>
    <w:rsid w:val="4917CCE2"/>
    <w:rsid w:val="49195801"/>
    <w:rsid w:val="4919652E"/>
    <w:rsid w:val="49198B37"/>
    <w:rsid w:val="4919BFFB"/>
    <w:rsid w:val="491AD619"/>
    <w:rsid w:val="491CED46"/>
    <w:rsid w:val="491DC166"/>
    <w:rsid w:val="491E6775"/>
    <w:rsid w:val="491FF374"/>
    <w:rsid w:val="49208C17"/>
    <w:rsid w:val="4921EC54"/>
    <w:rsid w:val="492457D5"/>
    <w:rsid w:val="492485A4"/>
    <w:rsid w:val="492544A1"/>
    <w:rsid w:val="492B389A"/>
    <w:rsid w:val="492C5E50"/>
    <w:rsid w:val="49302E86"/>
    <w:rsid w:val="49338317"/>
    <w:rsid w:val="4933D185"/>
    <w:rsid w:val="49345C92"/>
    <w:rsid w:val="493729BF"/>
    <w:rsid w:val="4937F939"/>
    <w:rsid w:val="49381A22"/>
    <w:rsid w:val="493CB79A"/>
    <w:rsid w:val="493CB81D"/>
    <w:rsid w:val="493CD9C2"/>
    <w:rsid w:val="494024F7"/>
    <w:rsid w:val="49427BB9"/>
    <w:rsid w:val="49427DB0"/>
    <w:rsid w:val="49445E46"/>
    <w:rsid w:val="4945A875"/>
    <w:rsid w:val="494879B9"/>
    <w:rsid w:val="494D2718"/>
    <w:rsid w:val="494E0974"/>
    <w:rsid w:val="494ED7C1"/>
    <w:rsid w:val="4950C1A5"/>
    <w:rsid w:val="4951B0EF"/>
    <w:rsid w:val="49527D83"/>
    <w:rsid w:val="4952B833"/>
    <w:rsid w:val="49571D9D"/>
    <w:rsid w:val="495F2957"/>
    <w:rsid w:val="495FB2EA"/>
    <w:rsid w:val="495FE0A5"/>
    <w:rsid w:val="4960B14F"/>
    <w:rsid w:val="4963B866"/>
    <w:rsid w:val="4965C5E3"/>
    <w:rsid w:val="4966F511"/>
    <w:rsid w:val="4966FF5B"/>
    <w:rsid w:val="496993FF"/>
    <w:rsid w:val="496B4A68"/>
    <w:rsid w:val="496BBC30"/>
    <w:rsid w:val="496CD3AD"/>
    <w:rsid w:val="496CF6C0"/>
    <w:rsid w:val="496FCCB3"/>
    <w:rsid w:val="49705E5B"/>
    <w:rsid w:val="497126D1"/>
    <w:rsid w:val="49717472"/>
    <w:rsid w:val="497AF615"/>
    <w:rsid w:val="497CBB45"/>
    <w:rsid w:val="497DAD39"/>
    <w:rsid w:val="497EEC64"/>
    <w:rsid w:val="49809754"/>
    <w:rsid w:val="49883A9D"/>
    <w:rsid w:val="498B058D"/>
    <w:rsid w:val="498CDA03"/>
    <w:rsid w:val="49906A0B"/>
    <w:rsid w:val="4990C822"/>
    <w:rsid w:val="4990E337"/>
    <w:rsid w:val="4990F4CA"/>
    <w:rsid w:val="4991B537"/>
    <w:rsid w:val="499294A6"/>
    <w:rsid w:val="4992E249"/>
    <w:rsid w:val="499328D5"/>
    <w:rsid w:val="4994B97F"/>
    <w:rsid w:val="499500BF"/>
    <w:rsid w:val="49965C81"/>
    <w:rsid w:val="49967EC5"/>
    <w:rsid w:val="499682DA"/>
    <w:rsid w:val="49968B37"/>
    <w:rsid w:val="4998C370"/>
    <w:rsid w:val="499A0DF5"/>
    <w:rsid w:val="499ADCAC"/>
    <w:rsid w:val="499F85C9"/>
    <w:rsid w:val="49A21BCE"/>
    <w:rsid w:val="49A2293A"/>
    <w:rsid w:val="49A8F3B9"/>
    <w:rsid w:val="49A9FB3D"/>
    <w:rsid w:val="49A9FF38"/>
    <w:rsid w:val="49ACB022"/>
    <w:rsid w:val="49AD43F6"/>
    <w:rsid w:val="49B02EBE"/>
    <w:rsid w:val="49B5222B"/>
    <w:rsid w:val="49B544C7"/>
    <w:rsid w:val="49B655BE"/>
    <w:rsid w:val="49B6C252"/>
    <w:rsid w:val="49B76C87"/>
    <w:rsid w:val="49B799C7"/>
    <w:rsid w:val="49B8AC22"/>
    <w:rsid w:val="49B8D911"/>
    <w:rsid w:val="49B9AC97"/>
    <w:rsid w:val="49BAD655"/>
    <w:rsid w:val="49BB7B58"/>
    <w:rsid w:val="49BC0BB8"/>
    <w:rsid w:val="49BE5DC0"/>
    <w:rsid w:val="49BF93E9"/>
    <w:rsid w:val="49C05216"/>
    <w:rsid w:val="49C0B938"/>
    <w:rsid w:val="49C3AD9F"/>
    <w:rsid w:val="49C4CF92"/>
    <w:rsid w:val="49C7592F"/>
    <w:rsid w:val="49CAA080"/>
    <w:rsid w:val="49CCC0BD"/>
    <w:rsid w:val="49CE8B12"/>
    <w:rsid w:val="49CEDA58"/>
    <w:rsid w:val="49D14C11"/>
    <w:rsid w:val="49D2C7B8"/>
    <w:rsid w:val="49D6B39B"/>
    <w:rsid w:val="49D815DD"/>
    <w:rsid w:val="49DD67FF"/>
    <w:rsid w:val="49DFEA8E"/>
    <w:rsid w:val="49E07449"/>
    <w:rsid w:val="49E0BF46"/>
    <w:rsid w:val="49E267F1"/>
    <w:rsid w:val="49E43B0C"/>
    <w:rsid w:val="49E482A6"/>
    <w:rsid w:val="49E4D1CA"/>
    <w:rsid w:val="49E65DE6"/>
    <w:rsid w:val="49E7E700"/>
    <w:rsid w:val="49EA7D3F"/>
    <w:rsid w:val="49ED9256"/>
    <w:rsid w:val="49EDC4C0"/>
    <w:rsid w:val="49EF671B"/>
    <w:rsid w:val="49EF76F6"/>
    <w:rsid w:val="49F035D1"/>
    <w:rsid w:val="49F1E128"/>
    <w:rsid w:val="49F2EA9A"/>
    <w:rsid w:val="49F4E25F"/>
    <w:rsid w:val="49F6389F"/>
    <w:rsid w:val="49F65785"/>
    <w:rsid w:val="49F6A0FE"/>
    <w:rsid w:val="49FA8638"/>
    <w:rsid w:val="49FAC1B1"/>
    <w:rsid w:val="49FBC0C9"/>
    <w:rsid w:val="49FBC79C"/>
    <w:rsid w:val="49FEC2B7"/>
    <w:rsid w:val="49FEFC3A"/>
    <w:rsid w:val="49FF5C96"/>
    <w:rsid w:val="49FF6795"/>
    <w:rsid w:val="4A005EC0"/>
    <w:rsid w:val="4A009EFE"/>
    <w:rsid w:val="4A01936C"/>
    <w:rsid w:val="4A022D2B"/>
    <w:rsid w:val="4A02CB87"/>
    <w:rsid w:val="4A0547C3"/>
    <w:rsid w:val="4A074108"/>
    <w:rsid w:val="4A08A39A"/>
    <w:rsid w:val="4A09261A"/>
    <w:rsid w:val="4A09424F"/>
    <w:rsid w:val="4A0E2FD5"/>
    <w:rsid w:val="4A0F720D"/>
    <w:rsid w:val="4A11C5D1"/>
    <w:rsid w:val="4A12F2B6"/>
    <w:rsid w:val="4A12FA45"/>
    <w:rsid w:val="4A13606B"/>
    <w:rsid w:val="4A1477C2"/>
    <w:rsid w:val="4A191838"/>
    <w:rsid w:val="4A1C03CC"/>
    <w:rsid w:val="4A1C660B"/>
    <w:rsid w:val="4A1CD58C"/>
    <w:rsid w:val="4A1D29A0"/>
    <w:rsid w:val="4A1D421D"/>
    <w:rsid w:val="4A1F18B5"/>
    <w:rsid w:val="4A1F408E"/>
    <w:rsid w:val="4A268869"/>
    <w:rsid w:val="4A26D7C8"/>
    <w:rsid w:val="4A278E8C"/>
    <w:rsid w:val="4A27B0A9"/>
    <w:rsid w:val="4A27D5FC"/>
    <w:rsid w:val="4A2D53EB"/>
    <w:rsid w:val="4A2D67E5"/>
    <w:rsid w:val="4A2E6A93"/>
    <w:rsid w:val="4A2E74DD"/>
    <w:rsid w:val="4A2EC395"/>
    <w:rsid w:val="4A32CD41"/>
    <w:rsid w:val="4A32EEDC"/>
    <w:rsid w:val="4A333F34"/>
    <w:rsid w:val="4A35FE97"/>
    <w:rsid w:val="4A375DA8"/>
    <w:rsid w:val="4A3B2306"/>
    <w:rsid w:val="4A3B5278"/>
    <w:rsid w:val="4A3D0B57"/>
    <w:rsid w:val="4A3E521E"/>
    <w:rsid w:val="4A3F8A3F"/>
    <w:rsid w:val="4A4022C1"/>
    <w:rsid w:val="4A4269AA"/>
    <w:rsid w:val="4A44328F"/>
    <w:rsid w:val="4A494619"/>
    <w:rsid w:val="4A4B4C7C"/>
    <w:rsid w:val="4A4CF54A"/>
    <w:rsid w:val="4A4DBA2E"/>
    <w:rsid w:val="4A4E8580"/>
    <w:rsid w:val="4A4EE43F"/>
    <w:rsid w:val="4A4EEFB8"/>
    <w:rsid w:val="4A526A9D"/>
    <w:rsid w:val="4A5454F4"/>
    <w:rsid w:val="4A565833"/>
    <w:rsid w:val="4A58160C"/>
    <w:rsid w:val="4A5B2936"/>
    <w:rsid w:val="4A5D30E4"/>
    <w:rsid w:val="4A5D4DD9"/>
    <w:rsid w:val="4A63BF48"/>
    <w:rsid w:val="4A64318D"/>
    <w:rsid w:val="4A66A282"/>
    <w:rsid w:val="4A6A0C73"/>
    <w:rsid w:val="4A6AFDF3"/>
    <w:rsid w:val="4A6C8B6F"/>
    <w:rsid w:val="4A6FD3A9"/>
    <w:rsid w:val="4A719970"/>
    <w:rsid w:val="4A728A16"/>
    <w:rsid w:val="4A734A7F"/>
    <w:rsid w:val="4A757905"/>
    <w:rsid w:val="4A779753"/>
    <w:rsid w:val="4A782B5D"/>
    <w:rsid w:val="4A78A768"/>
    <w:rsid w:val="4A796A1D"/>
    <w:rsid w:val="4A798D93"/>
    <w:rsid w:val="4A79B588"/>
    <w:rsid w:val="4A7ECE8E"/>
    <w:rsid w:val="4A7FAFFB"/>
    <w:rsid w:val="4A804EA7"/>
    <w:rsid w:val="4A819A26"/>
    <w:rsid w:val="4A82C4FC"/>
    <w:rsid w:val="4A858513"/>
    <w:rsid w:val="4A873593"/>
    <w:rsid w:val="4A87ABB3"/>
    <w:rsid w:val="4A894C0B"/>
    <w:rsid w:val="4A8ADD99"/>
    <w:rsid w:val="4A8CB35D"/>
    <w:rsid w:val="4A8CEB87"/>
    <w:rsid w:val="4A920119"/>
    <w:rsid w:val="4A97D9B1"/>
    <w:rsid w:val="4A988FD7"/>
    <w:rsid w:val="4A9CF118"/>
    <w:rsid w:val="4A9D83BD"/>
    <w:rsid w:val="4A9E142F"/>
    <w:rsid w:val="4A9E1DD9"/>
    <w:rsid w:val="4A9F8967"/>
    <w:rsid w:val="4AA0F032"/>
    <w:rsid w:val="4AA11063"/>
    <w:rsid w:val="4AA2C3ED"/>
    <w:rsid w:val="4AA47F6D"/>
    <w:rsid w:val="4AA4F853"/>
    <w:rsid w:val="4AA5712F"/>
    <w:rsid w:val="4AA5FD4D"/>
    <w:rsid w:val="4AA6FCB6"/>
    <w:rsid w:val="4AA73BFD"/>
    <w:rsid w:val="4AAA6031"/>
    <w:rsid w:val="4AAE22E6"/>
    <w:rsid w:val="4AAF62EA"/>
    <w:rsid w:val="4AAF9A19"/>
    <w:rsid w:val="4AAFF6F9"/>
    <w:rsid w:val="4AB07868"/>
    <w:rsid w:val="4AB0EBD5"/>
    <w:rsid w:val="4AB347CF"/>
    <w:rsid w:val="4AB3946C"/>
    <w:rsid w:val="4AB46CCB"/>
    <w:rsid w:val="4AB6CF34"/>
    <w:rsid w:val="4AB96BD7"/>
    <w:rsid w:val="4AB9968A"/>
    <w:rsid w:val="4ABA4FB9"/>
    <w:rsid w:val="4ABE1A99"/>
    <w:rsid w:val="4AC2E16B"/>
    <w:rsid w:val="4AC3D4CD"/>
    <w:rsid w:val="4AC40553"/>
    <w:rsid w:val="4AC6E187"/>
    <w:rsid w:val="4AC7A202"/>
    <w:rsid w:val="4AC9F343"/>
    <w:rsid w:val="4AD0FA05"/>
    <w:rsid w:val="4AD28B78"/>
    <w:rsid w:val="4AD6DF5A"/>
    <w:rsid w:val="4AD9C4BF"/>
    <w:rsid w:val="4ADA1CD2"/>
    <w:rsid w:val="4ADAA247"/>
    <w:rsid w:val="4ADB06C4"/>
    <w:rsid w:val="4ADB3A32"/>
    <w:rsid w:val="4ADF7424"/>
    <w:rsid w:val="4AE04378"/>
    <w:rsid w:val="4AE15DCA"/>
    <w:rsid w:val="4AE29D89"/>
    <w:rsid w:val="4AE5AFFB"/>
    <w:rsid w:val="4AE75E1E"/>
    <w:rsid w:val="4AE93E12"/>
    <w:rsid w:val="4AEA4F9E"/>
    <w:rsid w:val="4AEB24BB"/>
    <w:rsid w:val="4AEB3BCA"/>
    <w:rsid w:val="4AEFF183"/>
    <w:rsid w:val="4AF00E7D"/>
    <w:rsid w:val="4AF05340"/>
    <w:rsid w:val="4AF39772"/>
    <w:rsid w:val="4AF64476"/>
    <w:rsid w:val="4AF8984C"/>
    <w:rsid w:val="4AFAE9CC"/>
    <w:rsid w:val="4AFB1A47"/>
    <w:rsid w:val="4AFCE6C5"/>
    <w:rsid w:val="4B01ACBC"/>
    <w:rsid w:val="4B03029C"/>
    <w:rsid w:val="4B0612D9"/>
    <w:rsid w:val="4B064EA2"/>
    <w:rsid w:val="4B06DD6E"/>
    <w:rsid w:val="4B0DD591"/>
    <w:rsid w:val="4B0DF5BD"/>
    <w:rsid w:val="4B0EEA63"/>
    <w:rsid w:val="4B0FC879"/>
    <w:rsid w:val="4B10C6CD"/>
    <w:rsid w:val="4B10F303"/>
    <w:rsid w:val="4B146E4B"/>
    <w:rsid w:val="4B157006"/>
    <w:rsid w:val="4B15AC05"/>
    <w:rsid w:val="4B18221E"/>
    <w:rsid w:val="4B184FD7"/>
    <w:rsid w:val="4B18CC9B"/>
    <w:rsid w:val="4B1A4320"/>
    <w:rsid w:val="4B1AE6BC"/>
    <w:rsid w:val="4B1B48DC"/>
    <w:rsid w:val="4B1CB41F"/>
    <w:rsid w:val="4B1D371C"/>
    <w:rsid w:val="4B1E9EF8"/>
    <w:rsid w:val="4B20C4FA"/>
    <w:rsid w:val="4B214553"/>
    <w:rsid w:val="4B22A8C1"/>
    <w:rsid w:val="4B24A6D0"/>
    <w:rsid w:val="4B24D1C0"/>
    <w:rsid w:val="4B2707E4"/>
    <w:rsid w:val="4B28A114"/>
    <w:rsid w:val="4B28EC0F"/>
    <w:rsid w:val="4B2977EB"/>
    <w:rsid w:val="4B2A2D6D"/>
    <w:rsid w:val="4B2B1D3A"/>
    <w:rsid w:val="4B2B2EC9"/>
    <w:rsid w:val="4B2B4E9D"/>
    <w:rsid w:val="4B2BADE3"/>
    <w:rsid w:val="4B2C6726"/>
    <w:rsid w:val="4B2E166C"/>
    <w:rsid w:val="4B2F8360"/>
    <w:rsid w:val="4B30BEAA"/>
    <w:rsid w:val="4B3151BE"/>
    <w:rsid w:val="4B323392"/>
    <w:rsid w:val="4B32628D"/>
    <w:rsid w:val="4B33E64C"/>
    <w:rsid w:val="4B33F73E"/>
    <w:rsid w:val="4B367340"/>
    <w:rsid w:val="4B37324B"/>
    <w:rsid w:val="4B378018"/>
    <w:rsid w:val="4B38A5A5"/>
    <w:rsid w:val="4B3949D7"/>
    <w:rsid w:val="4B39C442"/>
    <w:rsid w:val="4B3B6EB9"/>
    <w:rsid w:val="4B3B7EBE"/>
    <w:rsid w:val="4B3BAA9F"/>
    <w:rsid w:val="4B3E131E"/>
    <w:rsid w:val="4B3F1B93"/>
    <w:rsid w:val="4B3F8AC4"/>
    <w:rsid w:val="4B3FB3C3"/>
    <w:rsid w:val="4B402D34"/>
    <w:rsid w:val="4B40437D"/>
    <w:rsid w:val="4B4347E6"/>
    <w:rsid w:val="4B443F43"/>
    <w:rsid w:val="4B461774"/>
    <w:rsid w:val="4B478730"/>
    <w:rsid w:val="4B482A44"/>
    <w:rsid w:val="4B486790"/>
    <w:rsid w:val="4B48B0AF"/>
    <w:rsid w:val="4B4A12BA"/>
    <w:rsid w:val="4B4A1C11"/>
    <w:rsid w:val="4B4A4A6B"/>
    <w:rsid w:val="4B4CBEB6"/>
    <w:rsid w:val="4B4CE966"/>
    <w:rsid w:val="4B4D0722"/>
    <w:rsid w:val="4B4E4F52"/>
    <w:rsid w:val="4B4EA5BC"/>
    <w:rsid w:val="4B4F7993"/>
    <w:rsid w:val="4B4F7AA1"/>
    <w:rsid w:val="4B4FD31E"/>
    <w:rsid w:val="4B512E60"/>
    <w:rsid w:val="4B514487"/>
    <w:rsid w:val="4B53BFAB"/>
    <w:rsid w:val="4B542688"/>
    <w:rsid w:val="4B568C87"/>
    <w:rsid w:val="4B570107"/>
    <w:rsid w:val="4B5BA0E9"/>
    <w:rsid w:val="4B5F6990"/>
    <w:rsid w:val="4B612DEF"/>
    <w:rsid w:val="4B62573C"/>
    <w:rsid w:val="4B62C6BA"/>
    <w:rsid w:val="4B64FC55"/>
    <w:rsid w:val="4B65BC6D"/>
    <w:rsid w:val="4B6613DB"/>
    <w:rsid w:val="4B686556"/>
    <w:rsid w:val="4B6B6D41"/>
    <w:rsid w:val="4B6CD6DE"/>
    <w:rsid w:val="4B7058F2"/>
    <w:rsid w:val="4B7079FC"/>
    <w:rsid w:val="4B723FA5"/>
    <w:rsid w:val="4B72E337"/>
    <w:rsid w:val="4B75B006"/>
    <w:rsid w:val="4B76EDEA"/>
    <w:rsid w:val="4B77ED49"/>
    <w:rsid w:val="4B81320C"/>
    <w:rsid w:val="4B84774C"/>
    <w:rsid w:val="4B85152C"/>
    <w:rsid w:val="4B85CADF"/>
    <w:rsid w:val="4B89AC07"/>
    <w:rsid w:val="4B89CBBB"/>
    <w:rsid w:val="4B8A887C"/>
    <w:rsid w:val="4B8AB893"/>
    <w:rsid w:val="4B8C3776"/>
    <w:rsid w:val="4B8E9CF6"/>
    <w:rsid w:val="4B8EB38F"/>
    <w:rsid w:val="4B91CD5F"/>
    <w:rsid w:val="4B92FE9E"/>
    <w:rsid w:val="4B97E2EA"/>
    <w:rsid w:val="4B98973F"/>
    <w:rsid w:val="4B994F9C"/>
    <w:rsid w:val="4B99FDF8"/>
    <w:rsid w:val="4B9C7231"/>
    <w:rsid w:val="4B9C9B62"/>
    <w:rsid w:val="4B9E6891"/>
    <w:rsid w:val="4B9EE213"/>
    <w:rsid w:val="4B9EE2FC"/>
    <w:rsid w:val="4B9F276A"/>
    <w:rsid w:val="4B9FC8CB"/>
    <w:rsid w:val="4BA3E747"/>
    <w:rsid w:val="4BA3F266"/>
    <w:rsid w:val="4BA83739"/>
    <w:rsid w:val="4BAA38DF"/>
    <w:rsid w:val="4BAA8B4D"/>
    <w:rsid w:val="4BAC3C31"/>
    <w:rsid w:val="4BAD364A"/>
    <w:rsid w:val="4BAD7E23"/>
    <w:rsid w:val="4BB0BB64"/>
    <w:rsid w:val="4BB5A55E"/>
    <w:rsid w:val="4BB5FF2A"/>
    <w:rsid w:val="4BB7A105"/>
    <w:rsid w:val="4BB8C2C9"/>
    <w:rsid w:val="4BBA6444"/>
    <w:rsid w:val="4BBAC637"/>
    <w:rsid w:val="4BBB159D"/>
    <w:rsid w:val="4BBBC869"/>
    <w:rsid w:val="4BBC754D"/>
    <w:rsid w:val="4BBCD67F"/>
    <w:rsid w:val="4BBCD8B1"/>
    <w:rsid w:val="4BBD1999"/>
    <w:rsid w:val="4BBDA410"/>
    <w:rsid w:val="4BBE197D"/>
    <w:rsid w:val="4BBE6984"/>
    <w:rsid w:val="4BC114BC"/>
    <w:rsid w:val="4BC28A40"/>
    <w:rsid w:val="4BC4BED1"/>
    <w:rsid w:val="4BC707B3"/>
    <w:rsid w:val="4BC979AC"/>
    <w:rsid w:val="4BCAB55F"/>
    <w:rsid w:val="4BCB384D"/>
    <w:rsid w:val="4BCBA219"/>
    <w:rsid w:val="4BCCBE01"/>
    <w:rsid w:val="4BCE0D0C"/>
    <w:rsid w:val="4BD1B3A4"/>
    <w:rsid w:val="4BD219AA"/>
    <w:rsid w:val="4BD2B7F4"/>
    <w:rsid w:val="4BD42E37"/>
    <w:rsid w:val="4BD5C4C8"/>
    <w:rsid w:val="4BD5DB9E"/>
    <w:rsid w:val="4BD6985D"/>
    <w:rsid w:val="4BD7AD74"/>
    <w:rsid w:val="4BD9E0A8"/>
    <w:rsid w:val="4BDE39C3"/>
    <w:rsid w:val="4BE065CD"/>
    <w:rsid w:val="4BE4474E"/>
    <w:rsid w:val="4BE464E3"/>
    <w:rsid w:val="4BE49851"/>
    <w:rsid w:val="4BE54731"/>
    <w:rsid w:val="4BE6CD60"/>
    <w:rsid w:val="4BE6D415"/>
    <w:rsid w:val="4BE709A2"/>
    <w:rsid w:val="4BE8D644"/>
    <w:rsid w:val="4BE970B9"/>
    <w:rsid w:val="4BEB8576"/>
    <w:rsid w:val="4BECB21B"/>
    <w:rsid w:val="4BEFBDC2"/>
    <w:rsid w:val="4BF0648F"/>
    <w:rsid w:val="4BF073ED"/>
    <w:rsid w:val="4BF16C30"/>
    <w:rsid w:val="4BF21091"/>
    <w:rsid w:val="4BF63C91"/>
    <w:rsid w:val="4BF6B4FD"/>
    <w:rsid w:val="4BF6FCD9"/>
    <w:rsid w:val="4BF7FE5C"/>
    <w:rsid w:val="4BF8B64C"/>
    <w:rsid w:val="4BFA28ED"/>
    <w:rsid w:val="4BFC1FA7"/>
    <w:rsid w:val="4BFEA9EE"/>
    <w:rsid w:val="4C048175"/>
    <w:rsid w:val="4C04F15F"/>
    <w:rsid w:val="4C05C011"/>
    <w:rsid w:val="4C05D884"/>
    <w:rsid w:val="4C0671A8"/>
    <w:rsid w:val="4C08B16B"/>
    <w:rsid w:val="4C0A80FD"/>
    <w:rsid w:val="4C0FFEDF"/>
    <w:rsid w:val="4C106609"/>
    <w:rsid w:val="4C1152D7"/>
    <w:rsid w:val="4C150C4A"/>
    <w:rsid w:val="4C151F75"/>
    <w:rsid w:val="4C15AF70"/>
    <w:rsid w:val="4C19085E"/>
    <w:rsid w:val="4C191267"/>
    <w:rsid w:val="4C1B6EFC"/>
    <w:rsid w:val="4C1C71AA"/>
    <w:rsid w:val="4C1D8EC0"/>
    <w:rsid w:val="4C1DAB35"/>
    <w:rsid w:val="4C1F575F"/>
    <w:rsid w:val="4C219707"/>
    <w:rsid w:val="4C21E7AF"/>
    <w:rsid w:val="4C224778"/>
    <w:rsid w:val="4C22E285"/>
    <w:rsid w:val="4C22EF14"/>
    <w:rsid w:val="4C2481BD"/>
    <w:rsid w:val="4C252327"/>
    <w:rsid w:val="4C262D5F"/>
    <w:rsid w:val="4C26DCB7"/>
    <w:rsid w:val="4C2726A2"/>
    <w:rsid w:val="4C276D48"/>
    <w:rsid w:val="4C290748"/>
    <w:rsid w:val="4C298FCB"/>
    <w:rsid w:val="4C2C2C6E"/>
    <w:rsid w:val="4C2DCA22"/>
    <w:rsid w:val="4C2ED25A"/>
    <w:rsid w:val="4C31DE38"/>
    <w:rsid w:val="4C345466"/>
    <w:rsid w:val="4C379F93"/>
    <w:rsid w:val="4C38C23C"/>
    <w:rsid w:val="4C3C571F"/>
    <w:rsid w:val="4C3EBF04"/>
    <w:rsid w:val="4C403972"/>
    <w:rsid w:val="4C40F875"/>
    <w:rsid w:val="4C443F29"/>
    <w:rsid w:val="4C453BF1"/>
    <w:rsid w:val="4C47819B"/>
    <w:rsid w:val="4C48612D"/>
    <w:rsid w:val="4C489D04"/>
    <w:rsid w:val="4C4944D6"/>
    <w:rsid w:val="4C4968B0"/>
    <w:rsid w:val="4C4C46D1"/>
    <w:rsid w:val="4C4CD002"/>
    <w:rsid w:val="4C4ECED8"/>
    <w:rsid w:val="4C4EDF2D"/>
    <w:rsid w:val="4C504589"/>
    <w:rsid w:val="4C50D298"/>
    <w:rsid w:val="4C51A950"/>
    <w:rsid w:val="4C521758"/>
    <w:rsid w:val="4C52CCAC"/>
    <w:rsid w:val="4C5849A5"/>
    <w:rsid w:val="4C586EC5"/>
    <w:rsid w:val="4C5BE075"/>
    <w:rsid w:val="4C5BEE67"/>
    <w:rsid w:val="4C5CA644"/>
    <w:rsid w:val="4C5DBE13"/>
    <w:rsid w:val="4C5E5B4D"/>
    <w:rsid w:val="4C6273BF"/>
    <w:rsid w:val="4C64356D"/>
    <w:rsid w:val="4C657B91"/>
    <w:rsid w:val="4C65BB3E"/>
    <w:rsid w:val="4C664C31"/>
    <w:rsid w:val="4C6B061E"/>
    <w:rsid w:val="4C6B2E79"/>
    <w:rsid w:val="4C6B5D1E"/>
    <w:rsid w:val="4C6CFD51"/>
    <w:rsid w:val="4C6D0E4B"/>
    <w:rsid w:val="4C6EF463"/>
    <w:rsid w:val="4C6F926E"/>
    <w:rsid w:val="4C70F278"/>
    <w:rsid w:val="4C73276E"/>
    <w:rsid w:val="4C74773D"/>
    <w:rsid w:val="4C7957FB"/>
    <w:rsid w:val="4C7A2B32"/>
    <w:rsid w:val="4C7CA527"/>
    <w:rsid w:val="4C7CFF7F"/>
    <w:rsid w:val="4C7E8D27"/>
    <w:rsid w:val="4C7EB29D"/>
    <w:rsid w:val="4C807A06"/>
    <w:rsid w:val="4C8083FA"/>
    <w:rsid w:val="4C81CB5D"/>
    <w:rsid w:val="4C836A59"/>
    <w:rsid w:val="4C84965C"/>
    <w:rsid w:val="4C858E86"/>
    <w:rsid w:val="4C86B317"/>
    <w:rsid w:val="4C87918F"/>
    <w:rsid w:val="4C88F7B7"/>
    <w:rsid w:val="4C8902BA"/>
    <w:rsid w:val="4C8AA6BC"/>
    <w:rsid w:val="4C8B53E6"/>
    <w:rsid w:val="4C8BE48A"/>
    <w:rsid w:val="4C8C60A7"/>
    <w:rsid w:val="4C8CF414"/>
    <w:rsid w:val="4C8D3A3C"/>
    <w:rsid w:val="4C908A56"/>
    <w:rsid w:val="4C920EBD"/>
    <w:rsid w:val="4C927BAC"/>
    <w:rsid w:val="4C92DFD0"/>
    <w:rsid w:val="4C93C42C"/>
    <w:rsid w:val="4C9500A2"/>
    <w:rsid w:val="4C95C158"/>
    <w:rsid w:val="4C96132B"/>
    <w:rsid w:val="4C97467E"/>
    <w:rsid w:val="4C987F6E"/>
    <w:rsid w:val="4C9894F0"/>
    <w:rsid w:val="4C98D007"/>
    <w:rsid w:val="4C98ECF2"/>
    <w:rsid w:val="4C9B4190"/>
    <w:rsid w:val="4C9ED82D"/>
    <w:rsid w:val="4C9FCF99"/>
    <w:rsid w:val="4CA311BC"/>
    <w:rsid w:val="4CA385B9"/>
    <w:rsid w:val="4CA39FF3"/>
    <w:rsid w:val="4CA4B071"/>
    <w:rsid w:val="4CA575DB"/>
    <w:rsid w:val="4CA57CD7"/>
    <w:rsid w:val="4CA5D27D"/>
    <w:rsid w:val="4CA6F979"/>
    <w:rsid w:val="4CA8939D"/>
    <w:rsid w:val="4CA89CB4"/>
    <w:rsid w:val="4CA90084"/>
    <w:rsid w:val="4CA967C9"/>
    <w:rsid w:val="4CAA8A19"/>
    <w:rsid w:val="4CAB5A11"/>
    <w:rsid w:val="4CAC282D"/>
    <w:rsid w:val="4CAC54F3"/>
    <w:rsid w:val="4CAD3094"/>
    <w:rsid w:val="4CAD590E"/>
    <w:rsid w:val="4CADC9C8"/>
    <w:rsid w:val="4CAE418E"/>
    <w:rsid w:val="4CB1C31D"/>
    <w:rsid w:val="4CB20228"/>
    <w:rsid w:val="4CB3C159"/>
    <w:rsid w:val="4CB42E94"/>
    <w:rsid w:val="4CB6547F"/>
    <w:rsid w:val="4CB70CE8"/>
    <w:rsid w:val="4CB7F912"/>
    <w:rsid w:val="4CB8FBBF"/>
    <w:rsid w:val="4CBA3724"/>
    <w:rsid w:val="4CBD1B34"/>
    <w:rsid w:val="4CBF8AC4"/>
    <w:rsid w:val="4CBFE568"/>
    <w:rsid w:val="4CC19963"/>
    <w:rsid w:val="4CC6EDE0"/>
    <w:rsid w:val="4CC972C9"/>
    <w:rsid w:val="4CCB0AED"/>
    <w:rsid w:val="4CCB0D01"/>
    <w:rsid w:val="4CCB496D"/>
    <w:rsid w:val="4CCC516B"/>
    <w:rsid w:val="4CCCD229"/>
    <w:rsid w:val="4CCDC806"/>
    <w:rsid w:val="4CCDEC4D"/>
    <w:rsid w:val="4CCE81CD"/>
    <w:rsid w:val="4CCEF6D8"/>
    <w:rsid w:val="4CCF9B85"/>
    <w:rsid w:val="4CD2366E"/>
    <w:rsid w:val="4CD29EB0"/>
    <w:rsid w:val="4CD313CE"/>
    <w:rsid w:val="4CD5E52C"/>
    <w:rsid w:val="4CD6F610"/>
    <w:rsid w:val="4CD7A4FA"/>
    <w:rsid w:val="4CDCF59D"/>
    <w:rsid w:val="4CDD9383"/>
    <w:rsid w:val="4CE4935C"/>
    <w:rsid w:val="4CE7C729"/>
    <w:rsid w:val="4CE871BF"/>
    <w:rsid w:val="4CE940A7"/>
    <w:rsid w:val="4CEC1A66"/>
    <w:rsid w:val="4CEC650B"/>
    <w:rsid w:val="4CED67DA"/>
    <w:rsid w:val="4CF0357E"/>
    <w:rsid w:val="4CF079F5"/>
    <w:rsid w:val="4CF0C3DD"/>
    <w:rsid w:val="4CF35C4C"/>
    <w:rsid w:val="4CF35DBC"/>
    <w:rsid w:val="4CF3CA71"/>
    <w:rsid w:val="4CF4AE7B"/>
    <w:rsid w:val="4CF4B26C"/>
    <w:rsid w:val="4CF4C26B"/>
    <w:rsid w:val="4CF628FA"/>
    <w:rsid w:val="4CF68849"/>
    <w:rsid w:val="4CFE64FD"/>
    <w:rsid w:val="4D004824"/>
    <w:rsid w:val="4D005349"/>
    <w:rsid w:val="4D00FB2E"/>
    <w:rsid w:val="4D0385DF"/>
    <w:rsid w:val="4D08B2F6"/>
    <w:rsid w:val="4D08B3DF"/>
    <w:rsid w:val="4D0B2BF6"/>
    <w:rsid w:val="4D0E7D80"/>
    <w:rsid w:val="4D0F37EF"/>
    <w:rsid w:val="4D1057C7"/>
    <w:rsid w:val="4D10A8DE"/>
    <w:rsid w:val="4D112670"/>
    <w:rsid w:val="4D1178CD"/>
    <w:rsid w:val="4D1514BB"/>
    <w:rsid w:val="4D179D84"/>
    <w:rsid w:val="4D194C4E"/>
    <w:rsid w:val="4D19A1CD"/>
    <w:rsid w:val="4D1A4C3C"/>
    <w:rsid w:val="4D1ACA3F"/>
    <w:rsid w:val="4D1B183C"/>
    <w:rsid w:val="4D1D4711"/>
    <w:rsid w:val="4D1DCA97"/>
    <w:rsid w:val="4D1FA106"/>
    <w:rsid w:val="4D20BE2F"/>
    <w:rsid w:val="4D2103F8"/>
    <w:rsid w:val="4D253D12"/>
    <w:rsid w:val="4D25503E"/>
    <w:rsid w:val="4D27CAF9"/>
    <w:rsid w:val="4D291AD4"/>
    <w:rsid w:val="4D29C3F4"/>
    <w:rsid w:val="4D2A81FE"/>
    <w:rsid w:val="4D2BB272"/>
    <w:rsid w:val="4D2F3344"/>
    <w:rsid w:val="4D2FEE6F"/>
    <w:rsid w:val="4D304CC3"/>
    <w:rsid w:val="4D308E82"/>
    <w:rsid w:val="4D3363E0"/>
    <w:rsid w:val="4D33AABC"/>
    <w:rsid w:val="4D347B2A"/>
    <w:rsid w:val="4D350116"/>
    <w:rsid w:val="4D353B9D"/>
    <w:rsid w:val="4D3757D8"/>
    <w:rsid w:val="4D3761A0"/>
    <w:rsid w:val="4D37FFA8"/>
    <w:rsid w:val="4D38C6D0"/>
    <w:rsid w:val="4D3E8669"/>
    <w:rsid w:val="4D3EBCA8"/>
    <w:rsid w:val="4D401663"/>
    <w:rsid w:val="4D43B844"/>
    <w:rsid w:val="4D4547E9"/>
    <w:rsid w:val="4D45643D"/>
    <w:rsid w:val="4D45769E"/>
    <w:rsid w:val="4D46F5BF"/>
    <w:rsid w:val="4D474D8F"/>
    <w:rsid w:val="4D479C0A"/>
    <w:rsid w:val="4D47BB28"/>
    <w:rsid w:val="4D4B555E"/>
    <w:rsid w:val="4D4BAC87"/>
    <w:rsid w:val="4D4BC8B0"/>
    <w:rsid w:val="4D4E3401"/>
    <w:rsid w:val="4D4E4258"/>
    <w:rsid w:val="4D4FA834"/>
    <w:rsid w:val="4D501D5A"/>
    <w:rsid w:val="4D540336"/>
    <w:rsid w:val="4D55A42F"/>
    <w:rsid w:val="4D567B03"/>
    <w:rsid w:val="4D56924B"/>
    <w:rsid w:val="4D572DB5"/>
    <w:rsid w:val="4D57D98B"/>
    <w:rsid w:val="4D5ADE58"/>
    <w:rsid w:val="4D6625F6"/>
    <w:rsid w:val="4D6643FA"/>
    <w:rsid w:val="4D66F048"/>
    <w:rsid w:val="4D676378"/>
    <w:rsid w:val="4D689E75"/>
    <w:rsid w:val="4D68AEEC"/>
    <w:rsid w:val="4D6A9985"/>
    <w:rsid w:val="4D6E6DB4"/>
    <w:rsid w:val="4D6F2C13"/>
    <w:rsid w:val="4D6FEEF1"/>
    <w:rsid w:val="4D70F27E"/>
    <w:rsid w:val="4D716D0C"/>
    <w:rsid w:val="4D749B24"/>
    <w:rsid w:val="4D78904C"/>
    <w:rsid w:val="4D7A725B"/>
    <w:rsid w:val="4D7C7580"/>
    <w:rsid w:val="4D7CE82B"/>
    <w:rsid w:val="4D7EC792"/>
    <w:rsid w:val="4D7FCA01"/>
    <w:rsid w:val="4D80DBFC"/>
    <w:rsid w:val="4D8383D3"/>
    <w:rsid w:val="4D841114"/>
    <w:rsid w:val="4D84125E"/>
    <w:rsid w:val="4D841D29"/>
    <w:rsid w:val="4D84B8C1"/>
    <w:rsid w:val="4D85B2F7"/>
    <w:rsid w:val="4D876DBB"/>
    <w:rsid w:val="4D898061"/>
    <w:rsid w:val="4D8CF0AF"/>
    <w:rsid w:val="4D8D3CD7"/>
    <w:rsid w:val="4D8E0C55"/>
    <w:rsid w:val="4D916F28"/>
    <w:rsid w:val="4D9192CA"/>
    <w:rsid w:val="4D9260F3"/>
    <w:rsid w:val="4D935838"/>
    <w:rsid w:val="4D9589EF"/>
    <w:rsid w:val="4D970564"/>
    <w:rsid w:val="4D9819C0"/>
    <w:rsid w:val="4D98A2A8"/>
    <w:rsid w:val="4D9F0122"/>
    <w:rsid w:val="4D9FBE1A"/>
    <w:rsid w:val="4DA00C3C"/>
    <w:rsid w:val="4DA36186"/>
    <w:rsid w:val="4DA425FF"/>
    <w:rsid w:val="4DA6127B"/>
    <w:rsid w:val="4DA85F34"/>
    <w:rsid w:val="4DA97138"/>
    <w:rsid w:val="4DAA3A62"/>
    <w:rsid w:val="4DAF35F5"/>
    <w:rsid w:val="4DB08EBA"/>
    <w:rsid w:val="4DB16922"/>
    <w:rsid w:val="4DB23A92"/>
    <w:rsid w:val="4DB2D3AA"/>
    <w:rsid w:val="4DB372AC"/>
    <w:rsid w:val="4DB649B8"/>
    <w:rsid w:val="4DB9A2DA"/>
    <w:rsid w:val="4DBA684A"/>
    <w:rsid w:val="4DBABAE2"/>
    <w:rsid w:val="4DBBB11F"/>
    <w:rsid w:val="4DBCE846"/>
    <w:rsid w:val="4DBE4C81"/>
    <w:rsid w:val="4DBF9C78"/>
    <w:rsid w:val="4DC204AB"/>
    <w:rsid w:val="4DC30E0C"/>
    <w:rsid w:val="4DC32752"/>
    <w:rsid w:val="4DC4C460"/>
    <w:rsid w:val="4DC58E98"/>
    <w:rsid w:val="4DC62308"/>
    <w:rsid w:val="4DC67D5C"/>
    <w:rsid w:val="4DCB2CC3"/>
    <w:rsid w:val="4DCD9A76"/>
    <w:rsid w:val="4DCEF91B"/>
    <w:rsid w:val="4DCF753C"/>
    <w:rsid w:val="4DD061F7"/>
    <w:rsid w:val="4DD196BA"/>
    <w:rsid w:val="4DD25112"/>
    <w:rsid w:val="4DD28246"/>
    <w:rsid w:val="4DD34333"/>
    <w:rsid w:val="4DD3ECA0"/>
    <w:rsid w:val="4DD44518"/>
    <w:rsid w:val="4DD4DFE4"/>
    <w:rsid w:val="4DD66791"/>
    <w:rsid w:val="4DD707F3"/>
    <w:rsid w:val="4DD82682"/>
    <w:rsid w:val="4DD9699F"/>
    <w:rsid w:val="4DD96BD7"/>
    <w:rsid w:val="4DDAF5A2"/>
    <w:rsid w:val="4DDB6332"/>
    <w:rsid w:val="4DDC8CD3"/>
    <w:rsid w:val="4DDDAFFB"/>
    <w:rsid w:val="4DE0E685"/>
    <w:rsid w:val="4DE16673"/>
    <w:rsid w:val="4DE1F8AA"/>
    <w:rsid w:val="4DE677D1"/>
    <w:rsid w:val="4DE9EB48"/>
    <w:rsid w:val="4DEBB419"/>
    <w:rsid w:val="4DECDC34"/>
    <w:rsid w:val="4DED0A45"/>
    <w:rsid w:val="4DEDA2E8"/>
    <w:rsid w:val="4DEDB99D"/>
    <w:rsid w:val="4DEF6A89"/>
    <w:rsid w:val="4DF1877F"/>
    <w:rsid w:val="4DF22AB9"/>
    <w:rsid w:val="4DF2B640"/>
    <w:rsid w:val="4DF44E74"/>
    <w:rsid w:val="4DF51EAA"/>
    <w:rsid w:val="4DF5A31B"/>
    <w:rsid w:val="4DF6A9DC"/>
    <w:rsid w:val="4DF71975"/>
    <w:rsid w:val="4DF937CB"/>
    <w:rsid w:val="4DFA79F8"/>
    <w:rsid w:val="4E006062"/>
    <w:rsid w:val="4E05D5CE"/>
    <w:rsid w:val="4E08DEE3"/>
    <w:rsid w:val="4E09C11B"/>
    <w:rsid w:val="4E0A1D12"/>
    <w:rsid w:val="4E0BB289"/>
    <w:rsid w:val="4E0C2CAA"/>
    <w:rsid w:val="4E13FDDD"/>
    <w:rsid w:val="4E1467D6"/>
    <w:rsid w:val="4E153A3A"/>
    <w:rsid w:val="4E1768E6"/>
    <w:rsid w:val="4E18BEE4"/>
    <w:rsid w:val="4E1A2FF4"/>
    <w:rsid w:val="4E1CDACC"/>
    <w:rsid w:val="4E1CDDAE"/>
    <w:rsid w:val="4E1CE7C6"/>
    <w:rsid w:val="4E1DA6B4"/>
    <w:rsid w:val="4E1F0F14"/>
    <w:rsid w:val="4E224516"/>
    <w:rsid w:val="4E242EB9"/>
    <w:rsid w:val="4E25170E"/>
    <w:rsid w:val="4E257074"/>
    <w:rsid w:val="4E264158"/>
    <w:rsid w:val="4E2B7F53"/>
    <w:rsid w:val="4E2CD78E"/>
    <w:rsid w:val="4E2EBD4B"/>
    <w:rsid w:val="4E2FA08D"/>
    <w:rsid w:val="4E2FEE69"/>
    <w:rsid w:val="4E31D46F"/>
    <w:rsid w:val="4E3223BA"/>
    <w:rsid w:val="4E32F5E9"/>
    <w:rsid w:val="4E330AE4"/>
    <w:rsid w:val="4E34F95C"/>
    <w:rsid w:val="4E364FDB"/>
    <w:rsid w:val="4E377CF5"/>
    <w:rsid w:val="4E38ABD1"/>
    <w:rsid w:val="4E3B3AE7"/>
    <w:rsid w:val="4E3C2139"/>
    <w:rsid w:val="4E3D97A0"/>
    <w:rsid w:val="4E3DB3DE"/>
    <w:rsid w:val="4E3DB7AF"/>
    <w:rsid w:val="4E3E54CA"/>
    <w:rsid w:val="4E3EA11E"/>
    <w:rsid w:val="4E44FE95"/>
    <w:rsid w:val="4E486283"/>
    <w:rsid w:val="4E491F07"/>
    <w:rsid w:val="4E49EFE0"/>
    <w:rsid w:val="4E4C9AAD"/>
    <w:rsid w:val="4E4CB842"/>
    <w:rsid w:val="4E4D3E5A"/>
    <w:rsid w:val="4E4D6C8D"/>
    <w:rsid w:val="4E4F0F26"/>
    <w:rsid w:val="4E513992"/>
    <w:rsid w:val="4E51C7B4"/>
    <w:rsid w:val="4E53A2DF"/>
    <w:rsid w:val="4E5430C3"/>
    <w:rsid w:val="4E551D2A"/>
    <w:rsid w:val="4E559B1C"/>
    <w:rsid w:val="4E564308"/>
    <w:rsid w:val="4E56709E"/>
    <w:rsid w:val="4E56A736"/>
    <w:rsid w:val="4E56F0CF"/>
    <w:rsid w:val="4E581A25"/>
    <w:rsid w:val="4E581D8D"/>
    <w:rsid w:val="4E584ABE"/>
    <w:rsid w:val="4E592C1F"/>
    <w:rsid w:val="4E599F9A"/>
    <w:rsid w:val="4E5A31A3"/>
    <w:rsid w:val="4E5A7F8C"/>
    <w:rsid w:val="4E5B9812"/>
    <w:rsid w:val="4E5BFA5F"/>
    <w:rsid w:val="4E5D7F6B"/>
    <w:rsid w:val="4E5DFA07"/>
    <w:rsid w:val="4E60734E"/>
    <w:rsid w:val="4E618444"/>
    <w:rsid w:val="4E61CC54"/>
    <w:rsid w:val="4E61CE15"/>
    <w:rsid w:val="4E62E84C"/>
    <w:rsid w:val="4E6781BD"/>
    <w:rsid w:val="4E6AADF5"/>
    <w:rsid w:val="4E6BBEF1"/>
    <w:rsid w:val="4E6C2843"/>
    <w:rsid w:val="4E70E229"/>
    <w:rsid w:val="4E716610"/>
    <w:rsid w:val="4E7189B2"/>
    <w:rsid w:val="4E728D45"/>
    <w:rsid w:val="4E731230"/>
    <w:rsid w:val="4E735C7C"/>
    <w:rsid w:val="4E74C6B0"/>
    <w:rsid w:val="4E75258B"/>
    <w:rsid w:val="4E780105"/>
    <w:rsid w:val="4E78F3AB"/>
    <w:rsid w:val="4E7AF85F"/>
    <w:rsid w:val="4E7EEFA3"/>
    <w:rsid w:val="4E7F6065"/>
    <w:rsid w:val="4E800EC1"/>
    <w:rsid w:val="4E80675B"/>
    <w:rsid w:val="4E876030"/>
    <w:rsid w:val="4E8948E5"/>
    <w:rsid w:val="4E89E240"/>
    <w:rsid w:val="4E8CCED5"/>
    <w:rsid w:val="4E8D9458"/>
    <w:rsid w:val="4E8DBA14"/>
    <w:rsid w:val="4E8E3DDB"/>
    <w:rsid w:val="4E8E91AB"/>
    <w:rsid w:val="4E8EA372"/>
    <w:rsid w:val="4E90792F"/>
    <w:rsid w:val="4E9159A7"/>
    <w:rsid w:val="4E942C3E"/>
    <w:rsid w:val="4E94716C"/>
    <w:rsid w:val="4E95B27B"/>
    <w:rsid w:val="4E96E3C4"/>
    <w:rsid w:val="4E99887E"/>
    <w:rsid w:val="4E99D14C"/>
    <w:rsid w:val="4E9C0AD8"/>
    <w:rsid w:val="4E9D2581"/>
    <w:rsid w:val="4E9E30CA"/>
    <w:rsid w:val="4E9F4AE3"/>
    <w:rsid w:val="4E9FC28F"/>
    <w:rsid w:val="4E9FFC57"/>
    <w:rsid w:val="4EA02064"/>
    <w:rsid w:val="4EA2D201"/>
    <w:rsid w:val="4EA343E0"/>
    <w:rsid w:val="4EA3704D"/>
    <w:rsid w:val="4EA5683B"/>
    <w:rsid w:val="4EA79F01"/>
    <w:rsid w:val="4EA8B0B6"/>
    <w:rsid w:val="4EA91AC3"/>
    <w:rsid w:val="4EA9A729"/>
    <w:rsid w:val="4EAEDD9E"/>
    <w:rsid w:val="4EAFBC2C"/>
    <w:rsid w:val="4EB18D13"/>
    <w:rsid w:val="4EB297F5"/>
    <w:rsid w:val="4EB5E476"/>
    <w:rsid w:val="4EB6000F"/>
    <w:rsid w:val="4EB679B1"/>
    <w:rsid w:val="4EB694CC"/>
    <w:rsid w:val="4EB6FE52"/>
    <w:rsid w:val="4EB8E94D"/>
    <w:rsid w:val="4EB9AD76"/>
    <w:rsid w:val="4EBAA97B"/>
    <w:rsid w:val="4EBD2999"/>
    <w:rsid w:val="4EBD61A5"/>
    <w:rsid w:val="4EBDD48A"/>
    <w:rsid w:val="4EBEE2E6"/>
    <w:rsid w:val="4EBF1CF6"/>
    <w:rsid w:val="4EBF59D1"/>
    <w:rsid w:val="4EBF6EE7"/>
    <w:rsid w:val="4EC1462E"/>
    <w:rsid w:val="4EC1FEB8"/>
    <w:rsid w:val="4EC22D5C"/>
    <w:rsid w:val="4EC251AF"/>
    <w:rsid w:val="4EC53752"/>
    <w:rsid w:val="4EC920CA"/>
    <w:rsid w:val="4EC9AC2B"/>
    <w:rsid w:val="4ECC4A4B"/>
    <w:rsid w:val="4ECE7944"/>
    <w:rsid w:val="4ED11FDB"/>
    <w:rsid w:val="4ED2FFF5"/>
    <w:rsid w:val="4ED332D3"/>
    <w:rsid w:val="4ED63D02"/>
    <w:rsid w:val="4ED70C2C"/>
    <w:rsid w:val="4ED831FE"/>
    <w:rsid w:val="4ED9D31E"/>
    <w:rsid w:val="4EDA5648"/>
    <w:rsid w:val="4EDB4AD7"/>
    <w:rsid w:val="4EDBC499"/>
    <w:rsid w:val="4EDC4F55"/>
    <w:rsid w:val="4EDC68A7"/>
    <w:rsid w:val="4EDCA109"/>
    <w:rsid w:val="4EDF8591"/>
    <w:rsid w:val="4EE2E972"/>
    <w:rsid w:val="4EE3F77C"/>
    <w:rsid w:val="4EE4945B"/>
    <w:rsid w:val="4EE63213"/>
    <w:rsid w:val="4EE740A6"/>
    <w:rsid w:val="4EE79C40"/>
    <w:rsid w:val="4EE9C7BB"/>
    <w:rsid w:val="4EEB6DA8"/>
    <w:rsid w:val="4EEBDBF1"/>
    <w:rsid w:val="4EEC34BA"/>
    <w:rsid w:val="4EED8E3A"/>
    <w:rsid w:val="4EF18DCC"/>
    <w:rsid w:val="4EF2A166"/>
    <w:rsid w:val="4EF2D5C4"/>
    <w:rsid w:val="4EF54659"/>
    <w:rsid w:val="4EF59BFD"/>
    <w:rsid w:val="4EF64B6E"/>
    <w:rsid w:val="4EF79460"/>
    <w:rsid w:val="4EF7D0AC"/>
    <w:rsid w:val="4EF89714"/>
    <w:rsid w:val="4EF959FA"/>
    <w:rsid w:val="4EFDC5B7"/>
    <w:rsid w:val="4EFE2AE5"/>
    <w:rsid w:val="4F007233"/>
    <w:rsid w:val="4F039E4B"/>
    <w:rsid w:val="4F049180"/>
    <w:rsid w:val="4F08C609"/>
    <w:rsid w:val="4F0C6875"/>
    <w:rsid w:val="4F0EE137"/>
    <w:rsid w:val="4F10576E"/>
    <w:rsid w:val="4F10E4DA"/>
    <w:rsid w:val="4F11D993"/>
    <w:rsid w:val="4F13EB45"/>
    <w:rsid w:val="4F147441"/>
    <w:rsid w:val="4F168902"/>
    <w:rsid w:val="4F1B4D3A"/>
    <w:rsid w:val="4F1E94F0"/>
    <w:rsid w:val="4F1ED2B7"/>
    <w:rsid w:val="4F1FD479"/>
    <w:rsid w:val="4F207ABE"/>
    <w:rsid w:val="4F20EAC6"/>
    <w:rsid w:val="4F22551B"/>
    <w:rsid w:val="4F242857"/>
    <w:rsid w:val="4F261CCF"/>
    <w:rsid w:val="4F27AC86"/>
    <w:rsid w:val="4F2E4CE2"/>
    <w:rsid w:val="4F2EE37C"/>
    <w:rsid w:val="4F2F1D7A"/>
    <w:rsid w:val="4F2F44CC"/>
    <w:rsid w:val="4F2F5F1D"/>
    <w:rsid w:val="4F30757F"/>
    <w:rsid w:val="4F30EA79"/>
    <w:rsid w:val="4F3167A9"/>
    <w:rsid w:val="4F32A2A4"/>
    <w:rsid w:val="4F3473EA"/>
    <w:rsid w:val="4F36273D"/>
    <w:rsid w:val="4F373CA7"/>
    <w:rsid w:val="4F3A145D"/>
    <w:rsid w:val="4F3BABE9"/>
    <w:rsid w:val="4F3D4E5A"/>
    <w:rsid w:val="4F3E1663"/>
    <w:rsid w:val="4F3EC110"/>
    <w:rsid w:val="4F40EFED"/>
    <w:rsid w:val="4F42C515"/>
    <w:rsid w:val="4F43EBC7"/>
    <w:rsid w:val="4F45A50C"/>
    <w:rsid w:val="4F45B9A7"/>
    <w:rsid w:val="4F45ED15"/>
    <w:rsid w:val="4F48B2E8"/>
    <w:rsid w:val="4F4A7B17"/>
    <w:rsid w:val="4F4BBC0C"/>
    <w:rsid w:val="4F4C6051"/>
    <w:rsid w:val="4F4C6EAE"/>
    <w:rsid w:val="4F4EBAED"/>
    <w:rsid w:val="4F504081"/>
    <w:rsid w:val="4F53795D"/>
    <w:rsid w:val="4F57F901"/>
    <w:rsid w:val="4F582E12"/>
    <w:rsid w:val="4F59B937"/>
    <w:rsid w:val="4F5A4AB4"/>
    <w:rsid w:val="4F5CA7A3"/>
    <w:rsid w:val="4F5CF9B5"/>
    <w:rsid w:val="4F5D6CA0"/>
    <w:rsid w:val="4F5ED8A2"/>
    <w:rsid w:val="4F62CB87"/>
    <w:rsid w:val="4F63BC66"/>
    <w:rsid w:val="4F6B9A05"/>
    <w:rsid w:val="4F6FCA59"/>
    <w:rsid w:val="4F6FF6F2"/>
    <w:rsid w:val="4F70CBC1"/>
    <w:rsid w:val="4F720AEC"/>
    <w:rsid w:val="4F730A8E"/>
    <w:rsid w:val="4F7341F5"/>
    <w:rsid w:val="4F74717A"/>
    <w:rsid w:val="4F762DF9"/>
    <w:rsid w:val="4F764AB5"/>
    <w:rsid w:val="4F787045"/>
    <w:rsid w:val="4F7BFB4D"/>
    <w:rsid w:val="4F7D06D9"/>
    <w:rsid w:val="4F7D8954"/>
    <w:rsid w:val="4F7E5360"/>
    <w:rsid w:val="4F7E92C6"/>
    <w:rsid w:val="4F7F2BD9"/>
    <w:rsid w:val="4F81039A"/>
    <w:rsid w:val="4F81CBE8"/>
    <w:rsid w:val="4F85FEDF"/>
    <w:rsid w:val="4F875C90"/>
    <w:rsid w:val="4F8817F7"/>
    <w:rsid w:val="4F89E1DD"/>
    <w:rsid w:val="4F8AA0E4"/>
    <w:rsid w:val="4F8E0D41"/>
    <w:rsid w:val="4F8E62C7"/>
    <w:rsid w:val="4F8F5B8A"/>
    <w:rsid w:val="4F8FB8CD"/>
    <w:rsid w:val="4F8FE526"/>
    <w:rsid w:val="4F924BF0"/>
    <w:rsid w:val="4F92950F"/>
    <w:rsid w:val="4F9395D6"/>
    <w:rsid w:val="4F93F899"/>
    <w:rsid w:val="4F9779DC"/>
    <w:rsid w:val="4F988A8E"/>
    <w:rsid w:val="4F99A54D"/>
    <w:rsid w:val="4F9B7AC3"/>
    <w:rsid w:val="4F9B7F68"/>
    <w:rsid w:val="4F9D35F6"/>
    <w:rsid w:val="4F9E1CC4"/>
    <w:rsid w:val="4F9E6EE5"/>
    <w:rsid w:val="4F9EA8D3"/>
    <w:rsid w:val="4F9ECE77"/>
    <w:rsid w:val="4F9F6B77"/>
    <w:rsid w:val="4F9FD799"/>
    <w:rsid w:val="4FA2A7E3"/>
    <w:rsid w:val="4FA7BF10"/>
    <w:rsid w:val="4FA894B0"/>
    <w:rsid w:val="4FAB63FD"/>
    <w:rsid w:val="4FACFCEB"/>
    <w:rsid w:val="4FADAA47"/>
    <w:rsid w:val="4FADEFB8"/>
    <w:rsid w:val="4FADFF8A"/>
    <w:rsid w:val="4FAE1F59"/>
    <w:rsid w:val="4FB17808"/>
    <w:rsid w:val="4FB1DA9F"/>
    <w:rsid w:val="4FB2779F"/>
    <w:rsid w:val="4FB289CE"/>
    <w:rsid w:val="4FB3E74D"/>
    <w:rsid w:val="4FB43A35"/>
    <w:rsid w:val="4FB5C63A"/>
    <w:rsid w:val="4FB91EBE"/>
    <w:rsid w:val="4FB9A54A"/>
    <w:rsid w:val="4FB9D04C"/>
    <w:rsid w:val="4FBA0BF7"/>
    <w:rsid w:val="4FBA732C"/>
    <w:rsid w:val="4FBCECDF"/>
    <w:rsid w:val="4FBF1F2E"/>
    <w:rsid w:val="4FBF72CF"/>
    <w:rsid w:val="4FC04327"/>
    <w:rsid w:val="4FC1818A"/>
    <w:rsid w:val="4FC318E3"/>
    <w:rsid w:val="4FC459B4"/>
    <w:rsid w:val="4FC466FA"/>
    <w:rsid w:val="4FC56B11"/>
    <w:rsid w:val="4FC59D8A"/>
    <w:rsid w:val="4FCB4D8D"/>
    <w:rsid w:val="4FCE3A8D"/>
    <w:rsid w:val="4FCE6BEB"/>
    <w:rsid w:val="4FCF7DD3"/>
    <w:rsid w:val="4FD29D69"/>
    <w:rsid w:val="4FD2DA54"/>
    <w:rsid w:val="4FD47ECD"/>
    <w:rsid w:val="4FD5F741"/>
    <w:rsid w:val="4FD8AFDB"/>
    <w:rsid w:val="4FD94C70"/>
    <w:rsid w:val="4FD96AAD"/>
    <w:rsid w:val="4FDB2005"/>
    <w:rsid w:val="4FDC74CE"/>
    <w:rsid w:val="4FDCE35D"/>
    <w:rsid w:val="4FDD2FCB"/>
    <w:rsid w:val="4FDE6391"/>
    <w:rsid w:val="4FDF2EC2"/>
    <w:rsid w:val="4FE024F5"/>
    <w:rsid w:val="4FE07970"/>
    <w:rsid w:val="4FE11B76"/>
    <w:rsid w:val="4FE147AE"/>
    <w:rsid w:val="4FE1D683"/>
    <w:rsid w:val="4FE43C43"/>
    <w:rsid w:val="4FE5CB38"/>
    <w:rsid w:val="4FE62B23"/>
    <w:rsid w:val="4FE82B83"/>
    <w:rsid w:val="4FE834BC"/>
    <w:rsid w:val="4FE92DAF"/>
    <w:rsid w:val="4FE943CC"/>
    <w:rsid w:val="4FE99DE7"/>
    <w:rsid w:val="4FE9A6CF"/>
    <w:rsid w:val="4FEA52F5"/>
    <w:rsid w:val="4FEB429C"/>
    <w:rsid w:val="4FEB9E22"/>
    <w:rsid w:val="4FED5B4E"/>
    <w:rsid w:val="4FEED8F0"/>
    <w:rsid w:val="4FEFCB92"/>
    <w:rsid w:val="4FF0EEB1"/>
    <w:rsid w:val="4FF4F305"/>
    <w:rsid w:val="4FF5B137"/>
    <w:rsid w:val="4FF6448A"/>
    <w:rsid w:val="4FF660A1"/>
    <w:rsid w:val="4FF83F7E"/>
    <w:rsid w:val="4FF86E1A"/>
    <w:rsid w:val="4FF91FEF"/>
    <w:rsid w:val="4FF9E503"/>
    <w:rsid w:val="4FFC78A9"/>
    <w:rsid w:val="4FFCAD92"/>
    <w:rsid w:val="4FFCCDA8"/>
    <w:rsid w:val="500111F0"/>
    <w:rsid w:val="5005CCDD"/>
    <w:rsid w:val="500779F2"/>
    <w:rsid w:val="5008010D"/>
    <w:rsid w:val="50092C05"/>
    <w:rsid w:val="500A29B9"/>
    <w:rsid w:val="500BA117"/>
    <w:rsid w:val="500DE1A2"/>
    <w:rsid w:val="500FD5F1"/>
    <w:rsid w:val="5010C392"/>
    <w:rsid w:val="50125A7C"/>
    <w:rsid w:val="5013078C"/>
    <w:rsid w:val="50168AE3"/>
    <w:rsid w:val="50173038"/>
    <w:rsid w:val="50198B6C"/>
    <w:rsid w:val="5019E367"/>
    <w:rsid w:val="501C616B"/>
    <w:rsid w:val="501FCB96"/>
    <w:rsid w:val="502041FF"/>
    <w:rsid w:val="50208BFE"/>
    <w:rsid w:val="50261866"/>
    <w:rsid w:val="502B2828"/>
    <w:rsid w:val="502B6A64"/>
    <w:rsid w:val="502C33D8"/>
    <w:rsid w:val="502C95A6"/>
    <w:rsid w:val="502D52FA"/>
    <w:rsid w:val="502E3065"/>
    <w:rsid w:val="502F91B0"/>
    <w:rsid w:val="503195ED"/>
    <w:rsid w:val="503470F0"/>
    <w:rsid w:val="503577A0"/>
    <w:rsid w:val="5036F12B"/>
    <w:rsid w:val="50376306"/>
    <w:rsid w:val="50389CD3"/>
    <w:rsid w:val="503A2B9C"/>
    <w:rsid w:val="503AC180"/>
    <w:rsid w:val="503E6A27"/>
    <w:rsid w:val="50422F29"/>
    <w:rsid w:val="504367DC"/>
    <w:rsid w:val="50452266"/>
    <w:rsid w:val="5047349F"/>
    <w:rsid w:val="504B3CD6"/>
    <w:rsid w:val="504B5C69"/>
    <w:rsid w:val="504CD3E9"/>
    <w:rsid w:val="504E08B7"/>
    <w:rsid w:val="504E4839"/>
    <w:rsid w:val="504E831F"/>
    <w:rsid w:val="505012C3"/>
    <w:rsid w:val="50528AEF"/>
    <w:rsid w:val="5052DF9D"/>
    <w:rsid w:val="50535309"/>
    <w:rsid w:val="50560AF8"/>
    <w:rsid w:val="5056546D"/>
    <w:rsid w:val="505C4914"/>
    <w:rsid w:val="505E31B2"/>
    <w:rsid w:val="506011FA"/>
    <w:rsid w:val="5060BE4C"/>
    <w:rsid w:val="506143BF"/>
    <w:rsid w:val="50630D83"/>
    <w:rsid w:val="50653817"/>
    <w:rsid w:val="506672CE"/>
    <w:rsid w:val="50699091"/>
    <w:rsid w:val="5069BFC0"/>
    <w:rsid w:val="5069DE2C"/>
    <w:rsid w:val="506A536A"/>
    <w:rsid w:val="5071592E"/>
    <w:rsid w:val="50716602"/>
    <w:rsid w:val="5071C2BA"/>
    <w:rsid w:val="507319EC"/>
    <w:rsid w:val="50733906"/>
    <w:rsid w:val="5076DD4A"/>
    <w:rsid w:val="5079E9F1"/>
    <w:rsid w:val="507FD854"/>
    <w:rsid w:val="508076C5"/>
    <w:rsid w:val="50828CE0"/>
    <w:rsid w:val="5083B09D"/>
    <w:rsid w:val="50863775"/>
    <w:rsid w:val="5088002C"/>
    <w:rsid w:val="50888B50"/>
    <w:rsid w:val="5089BE06"/>
    <w:rsid w:val="508FFDD3"/>
    <w:rsid w:val="50916E9C"/>
    <w:rsid w:val="50926BC1"/>
    <w:rsid w:val="5093EE79"/>
    <w:rsid w:val="509430DF"/>
    <w:rsid w:val="50956095"/>
    <w:rsid w:val="5095640A"/>
    <w:rsid w:val="50979C93"/>
    <w:rsid w:val="5097B1BA"/>
    <w:rsid w:val="5097FE42"/>
    <w:rsid w:val="509B3936"/>
    <w:rsid w:val="509BB90F"/>
    <w:rsid w:val="509E5C88"/>
    <w:rsid w:val="509F414D"/>
    <w:rsid w:val="50A0762A"/>
    <w:rsid w:val="50A10065"/>
    <w:rsid w:val="50A1B46D"/>
    <w:rsid w:val="50A1C48A"/>
    <w:rsid w:val="50A1C653"/>
    <w:rsid w:val="50A64569"/>
    <w:rsid w:val="50A67707"/>
    <w:rsid w:val="50A6A9AA"/>
    <w:rsid w:val="50A7C216"/>
    <w:rsid w:val="50AACF72"/>
    <w:rsid w:val="50AAF33E"/>
    <w:rsid w:val="50AF0CC9"/>
    <w:rsid w:val="50B3E4F9"/>
    <w:rsid w:val="50B41705"/>
    <w:rsid w:val="50B6929A"/>
    <w:rsid w:val="50B87AE2"/>
    <w:rsid w:val="50BAF9AD"/>
    <w:rsid w:val="50BBC4E9"/>
    <w:rsid w:val="50BC9274"/>
    <w:rsid w:val="50BE2E28"/>
    <w:rsid w:val="50BE8E01"/>
    <w:rsid w:val="50BEDD39"/>
    <w:rsid w:val="50C1066C"/>
    <w:rsid w:val="50C10FFB"/>
    <w:rsid w:val="50C275B3"/>
    <w:rsid w:val="50C2F907"/>
    <w:rsid w:val="50C5D80F"/>
    <w:rsid w:val="50C6CD40"/>
    <w:rsid w:val="50C8BC0F"/>
    <w:rsid w:val="50CC86AD"/>
    <w:rsid w:val="50CDD72C"/>
    <w:rsid w:val="50CE1D3B"/>
    <w:rsid w:val="50CE7D3A"/>
    <w:rsid w:val="50CED262"/>
    <w:rsid w:val="50CEE38F"/>
    <w:rsid w:val="50CFC848"/>
    <w:rsid w:val="50D0F45A"/>
    <w:rsid w:val="50D179C8"/>
    <w:rsid w:val="50D29456"/>
    <w:rsid w:val="50D366E5"/>
    <w:rsid w:val="50D8825A"/>
    <w:rsid w:val="50DB9A1E"/>
    <w:rsid w:val="50DF963E"/>
    <w:rsid w:val="50E07B2F"/>
    <w:rsid w:val="50E0C0C2"/>
    <w:rsid w:val="50E0C4DD"/>
    <w:rsid w:val="50E0C775"/>
    <w:rsid w:val="50E124D2"/>
    <w:rsid w:val="50E2D7FA"/>
    <w:rsid w:val="50E6B04B"/>
    <w:rsid w:val="50E6F510"/>
    <w:rsid w:val="50E85F13"/>
    <w:rsid w:val="50E92EED"/>
    <w:rsid w:val="50E9A235"/>
    <w:rsid w:val="50ECF487"/>
    <w:rsid w:val="50ECFEEF"/>
    <w:rsid w:val="50EF28B5"/>
    <w:rsid w:val="50F017F2"/>
    <w:rsid w:val="50F248F3"/>
    <w:rsid w:val="50F359A2"/>
    <w:rsid w:val="50F6A49B"/>
    <w:rsid w:val="50F88616"/>
    <w:rsid w:val="50FBF235"/>
    <w:rsid w:val="50FC7F64"/>
    <w:rsid w:val="50FD2333"/>
    <w:rsid w:val="50FE034C"/>
    <w:rsid w:val="50FF638C"/>
    <w:rsid w:val="5104BDB0"/>
    <w:rsid w:val="51052064"/>
    <w:rsid w:val="5105CAC0"/>
    <w:rsid w:val="5105D4AC"/>
    <w:rsid w:val="51072084"/>
    <w:rsid w:val="51073650"/>
    <w:rsid w:val="51088CF2"/>
    <w:rsid w:val="51094ACB"/>
    <w:rsid w:val="510B8C7C"/>
    <w:rsid w:val="510CA10E"/>
    <w:rsid w:val="510D2B1C"/>
    <w:rsid w:val="510DA9D3"/>
    <w:rsid w:val="510E1BA2"/>
    <w:rsid w:val="510F1371"/>
    <w:rsid w:val="51110E2A"/>
    <w:rsid w:val="511301B4"/>
    <w:rsid w:val="51137CD2"/>
    <w:rsid w:val="51158EB4"/>
    <w:rsid w:val="5117197C"/>
    <w:rsid w:val="51176CED"/>
    <w:rsid w:val="51192624"/>
    <w:rsid w:val="511CC063"/>
    <w:rsid w:val="511D216C"/>
    <w:rsid w:val="51231C01"/>
    <w:rsid w:val="51235D49"/>
    <w:rsid w:val="51251FEC"/>
    <w:rsid w:val="51279ECD"/>
    <w:rsid w:val="5128885B"/>
    <w:rsid w:val="512AE8AC"/>
    <w:rsid w:val="513091DB"/>
    <w:rsid w:val="51337A37"/>
    <w:rsid w:val="51363964"/>
    <w:rsid w:val="5136FE8E"/>
    <w:rsid w:val="513803E1"/>
    <w:rsid w:val="5139366C"/>
    <w:rsid w:val="513A6F1A"/>
    <w:rsid w:val="513C7303"/>
    <w:rsid w:val="513C7560"/>
    <w:rsid w:val="513EAAA1"/>
    <w:rsid w:val="514243C6"/>
    <w:rsid w:val="5142C856"/>
    <w:rsid w:val="51430E95"/>
    <w:rsid w:val="51433CF4"/>
    <w:rsid w:val="51439A0E"/>
    <w:rsid w:val="5144CB09"/>
    <w:rsid w:val="51458C55"/>
    <w:rsid w:val="514605C4"/>
    <w:rsid w:val="514A4CFC"/>
    <w:rsid w:val="514BFA1B"/>
    <w:rsid w:val="514FEC52"/>
    <w:rsid w:val="5151627E"/>
    <w:rsid w:val="51524A68"/>
    <w:rsid w:val="5152D9E9"/>
    <w:rsid w:val="5153A453"/>
    <w:rsid w:val="51542445"/>
    <w:rsid w:val="5154FD93"/>
    <w:rsid w:val="5159F8FB"/>
    <w:rsid w:val="515A6BA5"/>
    <w:rsid w:val="515A8C2D"/>
    <w:rsid w:val="515ADCB4"/>
    <w:rsid w:val="515B977E"/>
    <w:rsid w:val="515BEF1C"/>
    <w:rsid w:val="515C6303"/>
    <w:rsid w:val="515F2278"/>
    <w:rsid w:val="5160D114"/>
    <w:rsid w:val="5160D86A"/>
    <w:rsid w:val="51618D57"/>
    <w:rsid w:val="5161A0F9"/>
    <w:rsid w:val="51624663"/>
    <w:rsid w:val="51653BB5"/>
    <w:rsid w:val="51684807"/>
    <w:rsid w:val="516A945C"/>
    <w:rsid w:val="516AFB43"/>
    <w:rsid w:val="516C30B2"/>
    <w:rsid w:val="516DAFEF"/>
    <w:rsid w:val="51720BF2"/>
    <w:rsid w:val="51721F9D"/>
    <w:rsid w:val="51760C0F"/>
    <w:rsid w:val="517633AE"/>
    <w:rsid w:val="517747EA"/>
    <w:rsid w:val="5178570E"/>
    <w:rsid w:val="517C2242"/>
    <w:rsid w:val="517D8029"/>
    <w:rsid w:val="517FBA31"/>
    <w:rsid w:val="5180B286"/>
    <w:rsid w:val="51811D40"/>
    <w:rsid w:val="5184058B"/>
    <w:rsid w:val="518625EB"/>
    <w:rsid w:val="51863739"/>
    <w:rsid w:val="51867FD0"/>
    <w:rsid w:val="5186F381"/>
    <w:rsid w:val="5187894F"/>
    <w:rsid w:val="5187C53D"/>
    <w:rsid w:val="518ADE65"/>
    <w:rsid w:val="518D06FF"/>
    <w:rsid w:val="518D3508"/>
    <w:rsid w:val="518D3F8E"/>
    <w:rsid w:val="518F5800"/>
    <w:rsid w:val="51955EDD"/>
    <w:rsid w:val="519691D0"/>
    <w:rsid w:val="5197CE7A"/>
    <w:rsid w:val="5197F60B"/>
    <w:rsid w:val="51996CAA"/>
    <w:rsid w:val="51999DEA"/>
    <w:rsid w:val="5199E773"/>
    <w:rsid w:val="519D66FB"/>
    <w:rsid w:val="519E6888"/>
    <w:rsid w:val="519E90B7"/>
    <w:rsid w:val="519F4511"/>
    <w:rsid w:val="51A015E8"/>
    <w:rsid w:val="51A37B6C"/>
    <w:rsid w:val="51A50B5A"/>
    <w:rsid w:val="51A6C744"/>
    <w:rsid w:val="51A6E8D4"/>
    <w:rsid w:val="51A8D787"/>
    <w:rsid w:val="51A93640"/>
    <w:rsid w:val="51A9E9CC"/>
    <w:rsid w:val="51AA7652"/>
    <w:rsid w:val="51ABD454"/>
    <w:rsid w:val="51AC3BD5"/>
    <w:rsid w:val="51AC7314"/>
    <w:rsid w:val="51AD305D"/>
    <w:rsid w:val="51AD3ADD"/>
    <w:rsid w:val="51AF36A0"/>
    <w:rsid w:val="51B04E5A"/>
    <w:rsid w:val="51B3F986"/>
    <w:rsid w:val="51B45A72"/>
    <w:rsid w:val="51B71D05"/>
    <w:rsid w:val="51B8F918"/>
    <w:rsid w:val="51BB7781"/>
    <w:rsid w:val="51BC7282"/>
    <w:rsid w:val="51BD1AA7"/>
    <w:rsid w:val="51BE4781"/>
    <w:rsid w:val="51C59153"/>
    <w:rsid w:val="51C64524"/>
    <w:rsid w:val="51C6D89B"/>
    <w:rsid w:val="51C7FAEF"/>
    <w:rsid w:val="51C928B2"/>
    <w:rsid w:val="51CA3E45"/>
    <w:rsid w:val="51CA6C1C"/>
    <w:rsid w:val="51CA9DDB"/>
    <w:rsid w:val="51CCAAB6"/>
    <w:rsid w:val="51CDCC0A"/>
    <w:rsid w:val="51CF752B"/>
    <w:rsid w:val="51CF8A3E"/>
    <w:rsid w:val="51CFB209"/>
    <w:rsid w:val="51D0B618"/>
    <w:rsid w:val="51D0EEA1"/>
    <w:rsid w:val="51D714A6"/>
    <w:rsid w:val="51D7717F"/>
    <w:rsid w:val="51D992A5"/>
    <w:rsid w:val="51DA1AE9"/>
    <w:rsid w:val="51DA6BE9"/>
    <w:rsid w:val="51DC262C"/>
    <w:rsid w:val="51DCE833"/>
    <w:rsid w:val="51DD52D9"/>
    <w:rsid w:val="51DDD396"/>
    <w:rsid w:val="51DE29D8"/>
    <w:rsid w:val="51E03824"/>
    <w:rsid w:val="51E7A60E"/>
    <w:rsid w:val="51E82FCD"/>
    <w:rsid w:val="51EA289F"/>
    <w:rsid w:val="51EA72AA"/>
    <w:rsid w:val="51EC4BFC"/>
    <w:rsid w:val="51ED3C8A"/>
    <w:rsid w:val="51EF29CD"/>
    <w:rsid w:val="51F1492C"/>
    <w:rsid w:val="51F27F74"/>
    <w:rsid w:val="51F2FB7A"/>
    <w:rsid w:val="51F4BAF5"/>
    <w:rsid w:val="51F55131"/>
    <w:rsid w:val="51F66549"/>
    <w:rsid w:val="51F731D3"/>
    <w:rsid w:val="51F8FD80"/>
    <w:rsid w:val="51FEC9F6"/>
    <w:rsid w:val="51FFF9E9"/>
    <w:rsid w:val="520058BA"/>
    <w:rsid w:val="52007B89"/>
    <w:rsid w:val="52024279"/>
    <w:rsid w:val="52045737"/>
    <w:rsid w:val="520497BD"/>
    <w:rsid w:val="520548C2"/>
    <w:rsid w:val="5209750C"/>
    <w:rsid w:val="5209A552"/>
    <w:rsid w:val="520B61AC"/>
    <w:rsid w:val="520C0E98"/>
    <w:rsid w:val="520D3C86"/>
    <w:rsid w:val="521033C9"/>
    <w:rsid w:val="5210B333"/>
    <w:rsid w:val="5210DFB1"/>
    <w:rsid w:val="52113817"/>
    <w:rsid w:val="52140730"/>
    <w:rsid w:val="52157C22"/>
    <w:rsid w:val="52187DF3"/>
    <w:rsid w:val="5218B06D"/>
    <w:rsid w:val="521A84B4"/>
    <w:rsid w:val="521C45F1"/>
    <w:rsid w:val="521E7848"/>
    <w:rsid w:val="5221DF97"/>
    <w:rsid w:val="52235D50"/>
    <w:rsid w:val="52257235"/>
    <w:rsid w:val="5226884E"/>
    <w:rsid w:val="522789A3"/>
    <w:rsid w:val="52282C97"/>
    <w:rsid w:val="5228C9B8"/>
    <w:rsid w:val="522903FD"/>
    <w:rsid w:val="52290430"/>
    <w:rsid w:val="522AF298"/>
    <w:rsid w:val="522AF82C"/>
    <w:rsid w:val="522CD581"/>
    <w:rsid w:val="522E9B35"/>
    <w:rsid w:val="5230E1DA"/>
    <w:rsid w:val="52322F8A"/>
    <w:rsid w:val="52331622"/>
    <w:rsid w:val="5238FF02"/>
    <w:rsid w:val="523A0730"/>
    <w:rsid w:val="523D64B8"/>
    <w:rsid w:val="523F0F38"/>
    <w:rsid w:val="523FA6FF"/>
    <w:rsid w:val="52446426"/>
    <w:rsid w:val="5247098A"/>
    <w:rsid w:val="5247F883"/>
    <w:rsid w:val="524938AB"/>
    <w:rsid w:val="524AB541"/>
    <w:rsid w:val="524B1A9F"/>
    <w:rsid w:val="524B7C75"/>
    <w:rsid w:val="524DD4CF"/>
    <w:rsid w:val="524E7776"/>
    <w:rsid w:val="524F4A67"/>
    <w:rsid w:val="5250B8BC"/>
    <w:rsid w:val="52511281"/>
    <w:rsid w:val="525488DD"/>
    <w:rsid w:val="52564D11"/>
    <w:rsid w:val="52573F0E"/>
    <w:rsid w:val="5257E832"/>
    <w:rsid w:val="5258F1AF"/>
    <w:rsid w:val="525A2747"/>
    <w:rsid w:val="525A9EF4"/>
    <w:rsid w:val="525CBDD9"/>
    <w:rsid w:val="525F5BE9"/>
    <w:rsid w:val="525F6C43"/>
    <w:rsid w:val="5260539F"/>
    <w:rsid w:val="52606A95"/>
    <w:rsid w:val="526148EB"/>
    <w:rsid w:val="5264DCCE"/>
    <w:rsid w:val="52652F1D"/>
    <w:rsid w:val="526C349C"/>
    <w:rsid w:val="526C705A"/>
    <w:rsid w:val="526E1A3C"/>
    <w:rsid w:val="526E7529"/>
    <w:rsid w:val="526F26BA"/>
    <w:rsid w:val="52703F1A"/>
    <w:rsid w:val="527231BA"/>
    <w:rsid w:val="5276B592"/>
    <w:rsid w:val="5276C22D"/>
    <w:rsid w:val="5277837B"/>
    <w:rsid w:val="5278D57F"/>
    <w:rsid w:val="5279C530"/>
    <w:rsid w:val="527B1521"/>
    <w:rsid w:val="527B1E7F"/>
    <w:rsid w:val="527E85FC"/>
    <w:rsid w:val="527EC203"/>
    <w:rsid w:val="527F5FF4"/>
    <w:rsid w:val="527F7307"/>
    <w:rsid w:val="5282E1BC"/>
    <w:rsid w:val="52840533"/>
    <w:rsid w:val="5284201A"/>
    <w:rsid w:val="52855638"/>
    <w:rsid w:val="52876A6D"/>
    <w:rsid w:val="5288E1D8"/>
    <w:rsid w:val="5288E53A"/>
    <w:rsid w:val="5288E57B"/>
    <w:rsid w:val="528C08D5"/>
    <w:rsid w:val="529043C4"/>
    <w:rsid w:val="5291C908"/>
    <w:rsid w:val="52924CA1"/>
    <w:rsid w:val="5292D351"/>
    <w:rsid w:val="5293F0A1"/>
    <w:rsid w:val="5295327E"/>
    <w:rsid w:val="529705C1"/>
    <w:rsid w:val="52977BAC"/>
    <w:rsid w:val="5297E092"/>
    <w:rsid w:val="52995795"/>
    <w:rsid w:val="529BA9F2"/>
    <w:rsid w:val="529C02A0"/>
    <w:rsid w:val="529C1BD6"/>
    <w:rsid w:val="52A099E2"/>
    <w:rsid w:val="52A0B362"/>
    <w:rsid w:val="52A1148B"/>
    <w:rsid w:val="52A3884D"/>
    <w:rsid w:val="52A393D1"/>
    <w:rsid w:val="52A3E49F"/>
    <w:rsid w:val="52A6226D"/>
    <w:rsid w:val="52A671E4"/>
    <w:rsid w:val="52A6A95D"/>
    <w:rsid w:val="52A6D41F"/>
    <w:rsid w:val="52ACB2F4"/>
    <w:rsid w:val="52AD1D01"/>
    <w:rsid w:val="52ADDE92"/>
    <w:rsid w:val="52AE97BD"/>
    <w:rsid w:val="52AF504B"/>
    <w:rsid w:val="52B0C37A"/>
    <w:rsid w:val="52B0CDC4"/>
    <w:rsid w:val="52B221BE"/>
    <w:rsid w:val="52B29C2D"/>
    <w:rsid w:val="52B38A16"/>
    <w:rsid w:val="52B47068"/>
    <w:rsid w:val="52B5B3E6"/>
    <w:rsid w:val="52B688BA"/>
    <w:rsid w:val="52B7C3F2"/>
    <w:rsid w:val="52BBB132"/>
    <w:rsid w:val="52BC0967"/>
    <w:rsid w:val="52BC1CFF"/>
    <w:rsid w:val="52BC8FCA"/>
    <w:rsid w:val="52BDBED6"/>
    <w:rsid w:val="52BE7980"/>
    <w:rsid w:val="52BEB057"/>
    <w:rsid w:val="52BF13C0"/>
    <w:rsid w:val="52C0A7F7"/>
    <w:rsid w:val="52C10B98"/>
    <w:rsid w:val="52C115D6"/>
    <w:rsid w:val="52C1A83E"/>
    <w:rsid w:val="52C1C92C"/>
    <w:rsid w:val="52C2819D"/>
    <w:rsid w:val="52C2E950"/>
    <w:rsid w:val="52C6A2C3"/>
    <w:rsid w:val="52C6CC93"/>
    <w:rsid w:val="52C90AF2"/>
    <w:rsid w:val="52C94021"/>
    <w:rsid w:val="52CAE7EF"/>
    <w:rsid w:val="52CB7BBE"/>
    <w:rsid w:val="52D08D19"/>
    <w:rsid w:val="52D0CA6C"/>
    <w:rsid w:val="52D53C1F"/>
    <w:rsid w:val="52D80566"/>
    <w:rsid w:val="52D80DB2"/>
    <w:rsid w:val="52D9782C"/>
    <w:rsid w:val="52DB8213"/>
    <w:rsid w:val="52DF8EA8"/>
    <w:rsid w:val="52E3DF54"/>
    <w:rsid w:val="52E76367"/>
    <w:rsid w:val="52E87D8D"/>
    <w:rsid w:val="52E92FF7"/>
    <w:rsid w:val="52ECABF6"/>
    <w:rsid w:val="52ED3D3E"/>
    <w:rsid w:val="52EDD69A"/>
    <w:rsid w:val="52EE4E09"/>
    <w:rsid w:val="52EEB875"/>
    <w:rsid w:val="52F0308B"/>
    <w:rsid w:val="52F10462"/>
    <w:rsid w:val="52F5B52D"/>
    <w:rsid w:val="52F7B5BE"/>
    <w:rsid w:val="52FA7C52"/>
    <w:rsid w:val="52FAE4DE"/>
    <w:rsid w:val="52FAE993"/>
    <w:rsid w:val="52FE339E"/>
    <w:rsid w:val="52FEB82D"/>
    <w:rsid w:val="52FEC64F"/>
    <w:rsid w:val="530058C6"/>
    <w:rsid w:val="5301FAC3"/>
    <w:rsid w:val="53041850"/>
    <w:rsid w:val="5305B1B0"/>
    <w:rsid w:val="5306925E"/>
    <w:rsid w:val="5306E81E"/>
    <w:rsid w:val="5308AC4F"/>
    <w:rsid w:val="530B57C7"/>
    <w:rsid w:val="530BFC71"/>
    <w:rsid w:val="530DFBC3"/>
    <w:rsid w:val="530F05CF"/>
    <w:rsid w:val="530F8B35"/>
    <w:rsid w:val="5310744C"/>
    <w:rsid w:val="53107B10"/>
    <w:rsid w:val="53116113"/>
    <w:rsid w:val="5311C216"/>
    <w:rsid w:val="53122933"/>
    <w:rsid w:val="53126EDD"/>
    <w:rsid w:val="53157A53"/>
    <w:rsid w:val="5315F1AB"/>
    <w:rsid w:val="5317E1D5"/>
    <w:rsid w:val="531B32D7"/>
    <w:rsid w:val="531CA057"/>
    <w:rsid w:val="531EDF79"/>
    <w:rsid w:val="531F9DCA"/>
    <w:rsid w:val="531FF60E"/>
    <w:rsid w:val="531FFCBC"/>
    <w:rsid w:val="532068AD"/>
    <w:rsid w:val="5321910D"/>
    <w:rsid w:val="532214F5"/>
    <w:rsid w:val="5327D1BE"/>
    <w:rsid w:val="5327E603"/>
    <w:rsid w:val="53281B15"/>
    <w:rsid w:val="53290FC6"/>
    <w:rsid w:val="532CA261"/>
    <w:rsid w:val="532CA825"/>
    <w:rsid w:val="532D2DA4"/>
    <w:rsid w:val="532D58D9"/>
    <w:rsid w:val="532E8D6B"/>
    <w:rsid w:val="53304B1E"/>
    <w:rsid w:val="53306C83"/>
    <w:rsid w:val="53308DEE"/>
    <w:rsid w:val="5331BA94"/>
    <w:rsid w:val="53320980"/>
    <w:rsid w:val="5332CDD3"/>
    <w:rsid w:val="5332E908"/>
    <w:rsid w:val="5333871A"/>
    <w:rsid w:val="53338825"/>
    <w:rsid w:val="53348BC1"/>
    <w:rsid w:val="53367461"/>
    <w:rsid w:val="533ABF6C"/>
    <w:rsid w:val="533ADA39"/>
    <w:rsid w:val="533BDFDD"/>
    <w:rsid w:val="533F5C35"/>
    <w:rsid w:val="534016B3"/>
    <w:rsid w:val="5347C6FF"/>
    <w:rsid w:val="53495F0A"/>
    <w:rsid w:val="534B6579"/>
    <w:rsid w:val="534BB3F8"/>
    <w:rsid w:val="534C88D5"/>
    <w:rsid w:val="534DA348"/>
    <w:rsid w:val="534F13C2"/>
    <w:rsid w:val="53505BA1"/>
    <w:rsid w:val="53524882"/>
    <w:rsid w:val="53526EEB"/>
    <w:rsid w:val="535B439F"/>
    <w:rsid w:val="535B5C64"/>
    <w:rsid w:val="535D6551"/>
    <w:rsid w:val="535DF3E1"/>
    <w:rsid w:val="535F5FB4"/>
    <w:rsid w:val="5360213B"/>
    <w:rsid w:val="536272D2"/>
    <w:rsid w:val="5363A76F"/>
    <w:rsid w:val="5363CB6B"/>
    <w:rsid w:val="53670183"/>
    <w:rsid w:val="5367458F"/>
    <w:rsid w:val="536757CC"/>
    <w:rsid w:val="5368B08A"/>
    <w:rsid w:val="536AE65E"/>
    <w:rsid w:val="536B12ED"/>
    <w:rsid w:val="536B5F02"/>
    <w:rsid w:val="536CDFE0"/>
    <w:rsid w:val="536D77D0"/>
    <w:rsid w:val="536FEA02"/>
    <w:rsid w:val="537031CF"/>
    <w:rsid w:val="5370596D"/>
    <w:rsid w:val="5370EB38"/>
    <w:rsid w:val="5371DCF5"/>
    <w:rsid w:val="537225C8"/>
    <w:rsid w:val="537436EB"/>
    <w:rsid w:val="5374D51A"/>
    <w:rsid w:val="53758E6E"/>
    <w:rsid w:val="5376AB0D"/>
    <w:rsid w:val="5377D70E"/>
    <w:rsid w:val="537976B3"/>
    <w:rsid w:val="53799B16"/>
    <w:rsid w:val="537B0139"/>
    <w:rsid w:val="537C82D1"/>
    <w:rsid w:val="537E3A25"/>
    <w:rsid w:val="537F5B1B"/>
    <w:rsid w:val="53814427"/>
    <w:rsid w:val="5383CF30"/>
    <w:rsid w:val="53844D1A"/>
    <w:rsid w:val="53858719"/>
    <w:rsid w:val="5387CBFC"/>
    <w:rsid w:val="53893237"/>
    <w:rsid w:val="538CC6CB"/>
    <w:rsid w:val="538D24DA"/>
    <w:rsid w:val="538EF37A"/>
    <w:rsid w:val="538F2496"/>
    <w:rsid w:val="538FAB01"/>
    <w:rsid w:val="5390019C"/>
    <w:rsid w:val="53908178"/>
    <w:rsid w:val="5394E870"/>
    <w:rsid w:val="53954C62"/>
    <w:rsid w:val="53961800"/>
    <w:rsid w:val="5396FF51"/>
    <w:rsid w:val="53996BA4"/>
    <w:rsid w:val="5399E685"/>
    <w:rsid w:val="539CE9C7"/>
    <w:rsid w:val="539D7FA3"/>
    <w:rsid w:val="539FC52F"/>
    <w:rsid w:val="53A068CB"/>
    <w:rsid w:val="53A2F60B"/>
    <w:rsid w:val="53A48AF9"/>
    <w:rsid w:val="53A546E6"/>
    <w:rsid w:val="53A9715E"/>
    <w:rsid w:val="53AD1CD9"/>
    <w:rsid w:val="53AE9463"/>
    <w:rsid w:val="53AEE4DB"/>
    <w:rsid w:val="53AEEDDF"/>
    <w:rsid w:val="53B04100"/>
    <w:rsid w:val="53B3681D"/>
    <w:rsid w:val="53B3DE85"/>
    <w:rsid w:val="53B53281"/>
    <w:rsid w:val="53B8544F"/>
    <w:rsid w:val="53B8F242"/>
    <w:rsid w:val="53B9CE99"/>
    <w:rsid w:val="53BB9055"/>
    <w:rsid w:val="53BD5FEC"/>
    <w:rsid w:val="53BE1E76"/>
    <w:rsid w:val="53BE324B"/>
    <w:rsid w:val="53BF0C8C"/>
    <w:rsid w:val="53BF21BF"/>
    <w:rsid w:val="53BF35F6"/>
    <w:rsid w:val="53C08934"/>
    <w:rsid w:val="53C1529C"/>
    <w:rsid w:val="53C16767"/>
    <w:rsid w:val="53C195C2"/>
    <w:rsid w:val="53C25872"/>
    <w:rsid w:val="53C2BF1E"/>
    <w:rsid w:val="53C41CF5"/>
    <w:rsid w:val="53C535D8"/>
    <w:rsid w:val="53C577A0"/>
    <w:rsid w:val="53C579A4"/>
    <w:rsid w:val="53C8494B"/>
    <w:rsid w:val="53C9BDFF"/>
    <w:rsid w:val="53CBBC5D"/>
    <w:rsid w:val="53CC5A23"/>
    <w:rsid w:val="53CCDFDC"/>
    <w:rsid w:val="53CCF268"/>
    <w:rsid w:val="53CE4261"/>
    <w:rsid w:val="53CE8C2C"/>
    <w:rsid w:val="53CF97C6"/>
    <w:rsid w:val="53CFEA0B"/>
    <w:rsid w:val="53D1F500"/>
    <w:rsid w:val="53D259B2"/>
    <w:rsid w:val="53D2A075"/>
    <w:rsid w:val="53D42E8A"/>
    <w:rsid w:val="53D4DB90"/>
    <w:rsid w:val="53D5AADD"/>
    <w:rsid w:val="53D7C823"/>
    <w:rsid w:val="53D8976F"/>
    <w:rsid w:val="53D98D44"/>
    <w:rsid w:val="53DA0F17"/>
    <w:rsid w:val="53DD1CB9"/>
    <w:rsid w:val="53DF12BC"/>
    <w:rsid w:val="53DFA37D"/>
    <w:rsid w:val="53DFE7E2"/>
    <w:rsid w:val="53E0219E"/>
    <w:rsid w:val="53E10325"/>
    <w:rsid w:val="53E12519"/>
    <w:rsid w:val="53E1C509"/>
    <w:rsid w:val="53E20941"/>
    <w:rsid w:val="53E48ECB"/>
    <w:rsid w:val="53E4B0AE"/>
    <w:rsid w:val="53E4FAF3"/>
    <w:rsid w:val="53E4FB6D"/>
    <w:rsid w:val="53E63A91"/>
    <w:rsid w:val="53E698C5"/>
    <w:rsid w:val="53E7169D"/>
    <w:rsid w:val="53E7BEEA"/>
    <w:rsid w:val="53E7ED17"/>
    <w:rsid w:val="53EA8694"/>
    <w:rsid w:val="53EBBCF3"/>
    <w:rsid w:val="53EC3D56"/>
    <w:rsid w:val="53EE2444"/>
    <w:rsid w:val="53EE8280"/>
    <w:rsid w:val="53EE94BA"/>
    <w:rsid w:val="53EEEED8"/>
    <w:rsid w:val="53EF4D16"/>
    <w:rsid w:val="53EFEA73"/>
    <w:rsid w:val="53F1209D"/>
    <w:rsid w:val="53F1ACF4"/>
    <w:rsid w:val="53F2284D"/>
    <w:rsid w:val="53F28ACA"/>
    <w:rsid w:val="53F3A89B"/>
    <w:rsid w:val="53F3BFE4"/>
    <w:rsid w:val="53F3CC59"/>
    <w:rsid w:val="53F3E5D1"/>
    <w:rsid w:val="53F3F5DB"/>
    <w:rsid w:val="53F48709"/>
    <w:rsid w:val="53F5E4B1"/>
    <w:rsid w:val="53F67D5B"/>
    <w:rsid w:val="53F9F0E6"/>
    <w:rsid w:val="53FA3C80"/>
    <w:rsid w:val="53FC04F5"/>
    <w:rsid w:val="53FCAD9F"/>
    <w:rsid w:val="53FD1E07"/>
    <w:rsid w:val="53FD70D7"/>
    <w:rsid w:val="53FF2ED4"/>
    <w:rsid w:val="53FF5B78"/>
    <w:rsid w:val="540023C2"/>
    <w:rsid w:val="5400873A"/>
    <w:rsid w:val="54027544"/>
    <w:rsid w:val="54030BA3"/>
    <w:rsid w:val="54036AB6"/>
    <w:rsid w:val="5403D884"/>
    <w:rsid w:val="54047CCC"/>
    <w:rsid w:val="540BE5E7"/>
    <w:rsid w:val="540F1C7A"/>
    <w:rsid w:val="54116ECB"/>
    <w:rsid w:val="5411C94D"/>
    <w:rsid w:val="5414BCC4"/>
    <w:rsid w:val="5414F77E"/>
    <w:rsid w:val="54168C73"/>
    <w:rsid w:val="54168C89"/>
    <w:rsid w:val="54178B6F"/>
    <w:rsid w:val="5419266F"/>
    <w:rsid w:val="541936AF"/>
    <w:rsid w:val="541A1358"/>
    <w:rsid w:val="541B7536"/>
    <w:rsid w:val="541BECE2"/>
    <w:rsid w:val="541C29FC"/>
    <w:rsid w:val="541DF574"/>
    <w:rsid w:val="541E1E2E"/>
    <w:rsid w:val="541F7C33"/>
    <w:rsid w:val="541FEB6A"/>
    <w:rsid w:val="54201433"/>
    <w:rsid w:val="54223775"/>
    <w:rsid w:val="542401A4"/>
    <w:rsid w:val="54257D9C"/>
    <w:rsid w:val="5426EF82"/>
    <w:rsid w:val="54276D5E"/>
    <w:rsid w:val="54278413"/>
    <w:rsid w:val="5429F272"/>
    <w:rsid w:val="542BC9F7"/>
    <w:rsid w:val="542FD216"/>
    <w:rsid w:val="54307077"/>
    <w:rsid w:val="5435A8C4"/>
    <w:rsid w:val="543A7CEA"/>
    <w:rsid w:val="543C3F86"/>
    <w:rsid w:val="543C72F5"/>
    <w:rsid w:val="543D3F04"/>
    <w:rsid w:val="543E9B9B"/>
    <w:rsid w:val="54407B2A"/>
    <w:rsid w:val="5440B0CC"/>
    <w:rsid w:val="5440FBF0"/>
    <w:rsid w:val="54411359"/>
    <w:rsid w:val="54435A39"/>
    <w:rsid w:val="54435D40"/>
    <w:rsid w:val="5443A40A"/>
    <w:rsid w:val="5446AF0B"/>
    <w:rsid w:val="5446E205"/>
    <w:rsid w:val="5447C8D0"/>
    <w:rsid w:val="54489E73"/>
    <w:rsid w:val="54494812"/>
    <w:rsid w:val="5449B3C5"/>
    <w:rsid w:val="544A19A2"/>
    <w:rsid w:val="544A5A89"/>
    <w:rsid w:val="544BF6AE"/>
    <w:rsid w:val="544C6B19"/>
    <w:rsid w:val="544FD7CC"/>
    <w:rsid w:val="5453BFF7"/>
    <w:rsid w:val="5453C922"/>
    <w:rsid w:val="545423A0"/>
    <w:rsid w:val="5454354F"/>
    <w:rsid w:val="5454F247"/>
    <w:rsid w:val="545B63E0"/>
    <w:rsid w:val="545FD001"/>
    <w:rsid w:val="54606F1F"/>
    <w:rsid w:val="546099C0"/>
    <w:rsid w:val="5460ED75"/>
    <w:rsid w:val="54610FE3"/>
    <w:rsid w:val="546193D6"/>
    <w:rsid w:val="54661183"/>
    <w:rsid w:val="54666281"/>
    <w:rsid w:val="5467064E"/>
    <w:rsid w:val="546C68AD"/>
    <w:rsid w:val="546CE7F2"/>
    <w:rsid w:val="546F9D34"/>
    <w:rsid w:val="546FD33D"/>
    <w:rsid w:val="547210D0"/>
    <w:rsid w:val="5476413B"/>
    <w:rsid w:val="547961A4"/>
    <w:rsid w:val="547A795B"/>
    <w:rsid w:val="547CFC26"/>
    <w:rsid w:val="547ED4D5"/>
    <w:rsid w:val="547F5F96"/>
    <w:rsid w:val="547FCFC8"/>
    <w:rsid w:val="547FDC31"/>
    <w:rsid w:val="547FF3AD"/>
    <w:rsid w:val="548098F8"/>
    <w:rsid w:val="54812A43"/>
    <w:rsid w:val="5481753F"/>
    <w:rsid w:val="54828A9A"/>
    <w:rsid w:val="5482C1B4"/>
    <w:rsid w:val="5482C994"/>
    <w:rsid w:val="54835BE5"/>
    <w:rsid w:val="54839812"/>
    <w:rsid w:val="5483B507"/>
    <w:rsid w:val="54856D1E"/>
    <w:rsid w:val="5488995B"/>
    <w:rsid w:val="548EEF40"/>
    <w:rsid w:val="548F7C54"/>
    <w:rsid w:val="5490FA48"/>
    <w:rsid w:val="5491106C"/>
    <w:rsid w:val="54927C86"/>
    <w:rsid w:val="54928A52"/>
    <w:rsid w:val="5493187D"/>
    <w:rsid w:val="54943900"/>
    <w:rsid w:val="54960714"/>
    <w:rsid w:val="54960AC9"/>
    <w:rsid w:val="549636EC"/>
    <w:rsid w:val="5497D991"/>
    <w:rsid w:val="5498EF5C"/>
    <w:rsid w:val="549A0285"/>
    <w:rsid w:val="549AC381"/>
    <w:rsid w:val="549B3EE5"/>
    <w:rsid w:val="549D9981"/>
    <w:rsid w:val="549DD2EF"/>
    <w:rsid w:val="549E90E4"/>
    <w:rsid w:val="54A0C89F"/>
    <w:rsid w:val="54A44C04"/>
    <w:rsid w:val="54A806C8"/>
    <w:rsid w:val="54A8280F"/>
    <w:rsid w:val="54A84E28"/>
    <w:rsid w:val="54A89828"/>
    <w:rsid w:val="54A906B4"/>
    <w:rsid w:val="54AC27ED"/>
    <w:rsid w:val="54AD2ED6"/>
    <w:rsid w:val="54AEAE87"/>
    <w:rsid w:val="54B17DBC"/>
    <w:rsid w:val="54B38839"/>
    <w:rsid w:val="54B53723"/>
    <w:rsid w:val="54B77682"/>
    <w:rsid w:val="54BA2C30"/>
    <w:rsid w:val="54BB428C"/>
    <w:rsid w:val="54BB7F6B"/>
    <w:rsid w:val="54BC11BD"/>
    <w:rsid w:val="54BC4A2F"/>
    <w:rsid w:val="54C043C4"/>
    <w:rsid w:val="54C10B50"/>
    <w:rsid w:val="54C38385"/>
    <w:rsid w:val="54C419EE"/>
    <w:rsid w:val="54C5833C"/>
    <w:rsid w:val="54C5EED4"/>
    <w:rsid w:val="54C94B48"/>
    <w:rsid w:val="54CA880C"/>
    <w:rsid w:val="54CC150F"/>
    <w:rsid w:val="54CC7542"/>
    <w:rsid w:val="54CCBC0F"/>
    <w:rsid w:val="54CDC84B"/>
    <w:rsid w:val="54CE0C5C"/>
    <w:rsid w:val="54CE3614"/>
    <w:rsid w:val="54D1EB20"/>
    <w:rsid w:val="54D1EB4A"/>
    <w:rsid w:val="54D302AF"/>
    <w:rsid w:val="54D59647"/>
    <w:rsid w:val="54D5A268"/>
    <w:rsid w:val="54D7D46E"/>
    <w:rsid w:val="54D8DAB5"/>
    <w:rsid w:val="54DA0B97"/>
    <w:rsid w:val="54DC4EC2"/>
    <w:rsid w:val="54DD96F5"/>
    <w:rsid w:val="54DDDF41"/>
    <w:rsid w:val="54DF2955"/>
    <w:rsid w:val="54E66250"/>
    <w:rsid w:val="54E6BB25"/>
    <w:rsid w:val="54E9E07E"/>
    <w:rsid w:val="54EA5BA4"/>
    <w:rsid w:val="54EB17E0"/>
    <w:rsid w:val="54EB41AF"/>
    <w:rsid w:val="54ED3161"/>
    <w:rsid w:val="54ED759C"/>
    <w:rsid w:val="54F28A80"/>
    <w:rsid w:val="54F2AEBD"/>
    <w:rsid w:val="54F33475"/>
    <w:rsid w:val="54F517A3"/>
    <w:rsid w:val="54F52412"/>
    <w:rsid w:val="54F91DEB"/>
    <w:rsid w:val="54FAE433"/>
    <w:rsid w:val="54FC1873"/>
    <w:rsid w:val="54FC626A"/>
    <w:rsid w:val="55034550"/>
    <w:rsid w:val="5503D544"/>
    <w:rsid w:val="5503D91B"/>
    <w:rsid w:val="55062227"/>
    <w:rsid w:val="55066E24"/>
    <w:rsid w:val="55068A6F"/>
    <w:rsid w:val="55082052"/>
    <w:rsid w:val="5508A3F4"/>
    <w:rsid w:val="5508A584"/>
    <w:rsid w:val="550A60FE"/>
    <w:rsid w:val="550BDFB0"/>
    <w:rsid w:val="550C1A00"/>
    <w:rsid w:val="550E02AB"/>
    <w:rsid w:val="550E580F"/>
    <w:rsid w:val="550F21EE"/>
    <w:rsid w:val="551158A0"/>
    <w:rsid w:val="55128FBB"/>
    <w:rsid w:val="5514AE14"/>
    <w:rsid w:val="5515252D"/>
    <w:rsid w:val="55172640"/>
    <w:rsid w:val="5517990F"/>
    <w:rsid w:val="55179E4B"/>
    <w:rsid w:val="55193424"/>
    <w:rsid w:val="551C14B9"/>
    <w:rsid w:val="551E1AC5"/>
    <w:rsid w:val="55206E3F"/>
    <w:rsid w:val="5520DD2F"/>
    <w:rsid w:val="552358FA"/>
    <w:rsid w:val="552566AE"/>
    <w:rsid w:val="55257CB0"/>
    <w:rsid w:val="55258967"/>
    <w:rsid w:val="55265634"/>
    <w:rsid w:val="5526A4C6"/>
    <w:rsid w:val="5526D694"/>
    <w:rsid w:val="552863A0"/>
    <w:rsid w:val="5528916B"/>
    <w:rsid w:val="552960E4"/>
    <w:rsid w:val="552A7DAC"/>
    <w:rsid w:val="552C0610"/>
    <w:rsid w:val="552E73EF"/>
    <w:rsid w:val="552F1306"/>
    <w:rsid w:val="552F7346"/>
    <w:rsid w:val="55308C5C"/>
    <w:rsid w:val="5530FA92"/>
    <w:rsid w:val="55317F17"/>
    <w:rsid w:val="5531BC57"/>
    <w:rsid w:val="55328CE0"/>
    <w:rsid w:val="5536C07A"/>
    <w:rsid w:val="5538886F"/>
    <w:rsid w:val="55389CBF"/>
    <w:rsid w:val="553AB7D2"/>
    <w:rsid w:val="553CC6F2"/>
    <w:rsid w:val="553EBA89"/>
    <w:rsid w:val="5541451F"/>
    <w:rsid w:val="55441BEB"/>
    <w:rsid w:val="55455BD4"/>
    <w:rsid w:val="5545C831"/>
    <w:rsid w:val="55462C23"/>
    <w:rsid w:val="5548D1FA"/>
    <w:rsid w:val="55499839"/>
    <w:rsid w:val="554A4AED"/>
    <w:rsid w:val="554B8E9F"/>
    <w:rsid w:val="554CB90E"/>
    <w:rsid w:val="554D310C"/>
    <w:rsid w:val="554D679B"/>
    <w:rsid w:val="554D8F69"/>
    <w:rsid w:val="55518A52"/>
    <w:rsid w:val="5551BF23"/>
    <w:rsid w:val="55522238"/>
    <w:rsid w:val="55523303"/>
    <w:rsid w:val="55542F05"/>
    <w:rsid w:val="55557D4E"/>
    <w:rsid w:val="5559F148"/>
    <w:rsid w:val="555D1ABC"/>
    <w:rsid w:val="555D22A4"/>
    <w:rsid w:val="55623C56"/>
    <w:rsid w:val="55630A82"/>
    <w:rsid w:val="55636B99"/>
    <w:rsid w:val="5564EA8E"/>
    <w:rsid w:val="556524DC"/>
    <w:rsid w:val="55674761"/>
    <w:rsid w:val="55685D10"/>
    <w:rsid w:val="5568F2BE"/>
    <w:rsid w:val="55698D21"/>
    <w:rsid w:val="5569B3E9"/>
    <w:rsid w:val="556C802E"/>
    <w:rsid w:val="5570143F"/>
    <w:rsid w:val="5570893B"/>
    <w:rsid w:val="55741E64"/>
    <w:rsid w:val="55749E05"/>
    <w:rsid w:val="55756139"/>
    <w:rsid w:val="5575D43F"/>
    <w:rsid w:val="5578E24E"/>
    <w:rsid w:val="5579B21B"/>
    <w:rsid w:val="557A041C"/>
    <w:rsid w:val="557E4244"/>
    <w:rsid w:val="557EB04E"/>
    <w:rsid w:val="557FAD79"/>
    <w:rsid w:val="557FEA5E"/>
    <w:rsid w:val="558014D4"/>
    <w:rsid w:val="5580B52F"/>
    <w:rsid w:val="5581A0B0"/>
    <w:rsid w:val="5581EDFE"/>
    <w:rsid w:val="558380AF"/>
    <w:rsid w:val="558415BD"/>
    <w:rsid w:val="55848D77"/>
    <w:rsid w:val="5584BBCD"/>
    <w:rsid w:val="55869A3B"/>
    <w:rsid w:val="55886051"/>
    <w:rsid w:val="55887EBC"/>
    <w:rsid w:val="55899F36"/>
    <w:rsid w:val="558A3F3E"/>
    <w:rsid w:val="558A6E06"/>
    <w:rsid w:val="558E826C"/>
    <w:rsid w:val="558FB976"/>
    <w:rsid w:val="55907331"/>
    <w:rsid w:val="55922396"/>
    <w:rsid w:val="55925C26"/>
    <w:rsid w:val="5592A71C"/>
    <w:rsid w:val="55947AC7"/>
    <w:rsid w:val="5599042B"/>
    <w:rsid w:val="559E4E5A"/>
    <w:rsid w:val="55A09609"/>
    <w:rsid w:val="55A0BA7C"/>
    <w:rsid w:val="55A26D9D"/>
    <w:rsid w:val="55A5AA1B"/>
    <w:rsid w:val="55A726EC"/>
    <w:rsid w:val="55A7F1C2"/>
    <w:rsid w:val="55A8A03E"/>
    <w:rsid w:val="55AB2790"/>
    <w:rsid w:val="55ACBB9B"/>
    <w:rsid w:val="55AD5951"/>
    <w:rsid w:val="55B3BC66"/>
    <w:rsid w:val="55B40257"/>
    <w:rsid w:val="55B4137F"/>
    <w:rsid w:val="55B46D2E"/>
    <w:rsid w:val="55B4BDC4"/>
    <w:rsid w:val="55B7D995"/>
    <w:rsid w:val="55BBBF91"/>
    <w:rsid w:val="55BC069F"/>
    <w:rsid w:val="55BE72C5"/>
    <w:rsid w:val="55C32C48"/>
    <w:rsid w:val="55C3CB1A"/>
    <w:rsid w:val="55C49FBA"/>
    <w:rsid w:val="55C68858"/>
    <w:rsid w:val="55C7D45A"/>
    <w:rsid w:val="55C9553A"/>
    <w:rsid w:val="55C9ADA8"/>
    <w:rsid w:val="55C9BA52"/>
    <w:rsid w:val="55CB0E23"/>
    <w:rsid w:val="55CC9CEF"/>
    <w:rsid w:val="55CD4BA5"/>
    <w:rsid w:val="55CED67E"/>
    <w:rsid w:val="55CFB785"/>
    <w:rsid w:val="55D1464A"/>
    <w:rsid w:val="55D3C3FB"/>
    <w:rsid w:val="55D4681E"/>
    <w:rsid w:val="55D69275"/>
    <w:rsid w:val="55D89AED"/>
    <w:rsid w:val="55D9B906"/>
    <w:rsid w:val="55DAC9EA"/>
    <w:rsid w:val="55DB3C6D"/>
    <w:rsid w:val="55DB9306"/>
    <w:rsid w:val="55DCB8C8"/>
    <w:rsid w:val="55DE3ABD"/>
    <w:rsid w:val="55DF792E"/>
    <w:rsid w:val="55DFC30B"/>
    <w:rsid w:val="55E2CA1A"/>
    <w:rsid w:val="55E3D346"/>
    <w:rsid w:val="55E5277F"/>
    <w:rsid w:val="55EBE9F0"/>
    <w:rsid w:val="55EC3C2F"/>
    <w:rsid w:val="55EC69B1"/>
    <w:rsid w:val="55ED63D8"/>
    <w:rsid w:val="55ED7CA5"/>
    <w:rsid w:val="55EE504C"/>
    <w:rsid w:val="55EF6B63"/>
    <w:rsid w:val="55F2E845"/>
    <w:rsid w:val="55F4E8DC"/>
    <w:rsid w:val="55F5A009"/>
    <w:rsid w:val="55F7133A"/>
    <w:rsid w:val="55F7614F"/>
    <w:rsid w:val="55F7864E"/>
    <w:rsid w:val="55F93936"/>
    <w:rsid w:val="55FBC85D"/>
    <w:rsid w:val="55FC33FC"/>
    <w:rsid w:val="55FC9B2D"/>
    <w:rsid w:val="55FD9CC6"/>
    <w:rsid w:val="5603F6D9"/>
    <w:rsid w:val="5606048D"/>
    <w:rsid w:val="560AEFF1"/>
    <w:rsid w:val="560C107F"/>
    <w:rsid w:val="560C2592"/>
    <w:rsid w:val="560C93C7"/>
    <w:rsid w:val="560EAA92"/>
    <w:rsid w:val="5611311E"/>
    <w:rsid w:val="561182BA"/>
    <w:rsid w:val="56123219"/>
    <w:rsid w:val="5612F8EA"/>
    <w:rsid w:val="56157FF2"/>
    <w:rsid w:val="5615BAFA"/>
    <w:rsid w:val="5615F8AF"/>
    <w:rsid w:val="56161422"/>
    <w:rsid w:val="5616D7A2"/>
    <w:rsid w:val="56198034"/>
    <w:rsid w:val="561B9325"/>
    <w:rsid w:val="561C471C"/>
    <w:rsid w:val="561DC101"/>
    <w:rsid w:val="561E22BC"/>
    <w:rsid w:val="561E6FE9"/>
    <w:rsid w:val="56222B8E"/>
    <w:rsid w:val="5624E8E8"/>
    <w:rsid w:val="56262E7E"/>
    <w:rsid w:val="56286307"/>
    <w:rsid w:val="562BAA1A"/>
    <w:rsid w:val="562CA01F"/>
    <w:rsid w:val="562DB2CC"/>
    <w:rsid w:val="562E5CC4"/>
    <w:rsid w:val="562ED324"/>
    <w:rsid w:val="562F4883"/>
    <w:rsid w:val="5630DCC6"/>
    <w:rsid w:val="56328C86"/>
    <w:rsid w:val="5632B6D2"/>
    <w:rsid w:val="5632D40D"/>
    <w:rsid w:val="56338C13"/>
    <w:rsid w:val="5634C80B"/>
    <w:rsid w:val="5636B1C2"/>
    <w:rsid w:val="5637DF62"/>
    <w:rsid w:val="5638B7EF"/>
    <w:rsid w:val="563AEBD3"/>
    <w:rsid w:val="563C9540"/>
    <w:rsid w:val="56403D67"/>
    <w:rsid w:val="56410F9B"/>
    <w:rsid w:val="56429623"/>
    <w:rsid w:val="564432FB"/>
    <w:rsid w:val="564587DC"/>
    <w:rsid w:val="5646AB78"/>
    <w:rsid w:val="5649509F"/>
    <w:rsid w:val="564ACBE1"/>
    <w:rsid w:val="564BBA1E"/>
    <w:rsid w:val="564DB896"/>
    <w:rsid w:val="564EEA36"/>
    <w:rsid w:val="5650526E"/>
    <w:rsid w:val="56536EBC"/>
    <w:rsid w:val="565394F8"/>
    <w:rsid w:val="5654329E"/>
    <w:rsid w:val="5654CD99"/>
    <w:rsid w:val="56559896"/>
    <w:rsid w:val="5655A903"/>
    <w:rsid w:val="565706A1"/>
    <w:rsid w:val="56594BFC"/>
    <w:rsid w:val="565A7C51"/>
    <w:rsid w:val="565AE7F6"/>
    <w:rsid w:val="565BFCD9"/>
    <w:rsid w:val="565C1FC1"/>
    <w:rsid w:val="565F6BB5"/>
    <w:rsid w:val="565F9914"/>
    <w:rsid w:val="565FDFE5"/>
    <w:rsid w:val="56623417"/>
    <w:rsid w:val="5662D7F8"/>
    <w:rsid w:val="5664502B"/>
    <w:rsid w:val="56646062"/>
    <w:rsid w:val="5664E49E"/>
    <w:rsid w:val="5665E5B4"/>
    <w:rsid w:val="56668895"/>
    <w:rsid w:val="56691629"/>
    <w:rsid w:val="5669575B"/>
    <w:rsid w:val="566BB92D"/>
    <w:rsid w:val="566BF482"/>
    <w:rsid w:val="566CCA8A"/>
    <w:rsid w:val="566D0425"/>
    <w:rsid w:val="566EF355"/>
    <w:rsid w:val="566F2C3C"/>
    <w:rsid w:val="566F7580"/>
    <w:rsid w:val="567001EE"/>
    <w:rsid w:val="56703399"/>
    <w:rsid w:val="56708169"/>
    <w:rsid w:val="5672BCA8"/>
    <w:rsid w:val="5672DD9A"/>
    <w:rsid w:val="56760A94"/>
    <w:rsid w:val="567671F1"/>
    <w:rsid w:val="5676808E"/>
    <w:rsid w:val="5676B0D1"/>
    <w:rsid w:val="5676F74B"/>
    <w:rsid w:val="56782E34"/>
    <w:rsid w:val="5678BD11"/>
    <w:rsid w:val="567C240E"/>
    <w:rsid w:val="567E7097"/>
    <w:rsid w:val="5680F115"/>
    <w:rsid w:val="56840652"/>
    <w:rsid w:val="5685CC1B"/>
    <w:rsid w:val="56868D9C"/>
    <w:rsid w:val="5688473C"/>
    <w:rsid w:val="568B448E"/>
    <w:rsid w:val="568E2B93"/>
    <w:rsid w:val="568EC0D9"/>
    <w:rsid w:val="569240A4"/>
    <w:rsid w:val="56935D97"/>
    <w:rsid w:val="56944108"/>
    <w:rsid w:val="56953096"/>
    <w:rsid w:val="569ACE1F"/>
    <w:rsid w:val="569C548B"/>
    <w:rsid w:val="569EAEE1"/>
    <w:rsid w:val="569EEB90"/>
    <w:rsid w:val="56A01007"/>
    <w:rsid w:val="56A20FE4"/>
    <w:rsid w:val="56A2E83A"/>
    <w:rsid w:val="56A31673"/>
    <w:rsid w:val="56A31E97"/>
    <w:rsid w:val="56A36D2F"/>
    <w:rsid w:val="56A542B6"/>
    <w:rsid w:val="56A640DD"/>
    <w:rsid w:val="56AD3317"/>
    <w:rsid w:val="56AD66BD"/>
    <w:rsid w:val="56AD8C12"/>
    <w:rsid w:val="56ADE613"/>
    <w:rsid w:val="56AF4211"/>
    <w:rsid w:val="56B0CA86"/>
    <w:rsid w:val="56B1A66E"/>
    <w:rsid w:val="56B53A25"/>
    <w:rsid w:val="56B54849"/>
    <w:rsid w:val="56B61BF9"/>
    <w:rsid w:val="56B9D659"/>
    <w:rsid w:val="56BBA21F"/>
    <w:rsid w:val="56BBF81D"/>
    <w:rsid w:val="56BD0B5B"/>
    <w:rsid w:val="56BDB1E9"/>
    <w:rsid w:val="56BE250D"/>
    <w:rsid w:val="56BEA57A"/>
    <w:rsid w:val="56BFA574"/>
    <w:rsid w:val="56BFA61A"/>
    <w:rsid w:val="56C02CBD"/>
    <w:rsid w:val="56C0A2B1"/>
    <w:rsid w:val="56C0F108"/>
    <w:rsid w:val="56C227A0"/>
    <w:rsid w:val="56C34448"/>
    <w:rsid w:val="56C6B291"/>
    <w:rsid w:val="56CAA9BF"/>
    <w:rsid w:val="56CB45BF"/>
    <w:rsid w:val="56CD0A90"/>
    <w:rsid w:val="56CD57BD"/>
    <w:rsid w:val="56D1C7D8"/>
    <w:rsid w:val="56D20920"/>
    <w:rsid w:val="56D41D51"/>
    <w:rsid w:val="56D46FD7"/>
    <w:rsid w:val="56D51915"/>
    <w:rsid w:val="56D58218"/>
    <w:rsid w:val="56D5A58E"/>
    <w:rsid w:val="56D65FB4"/>
    <w:rsid w:val="56D868AA"/>
    <w:rsid w:val="56D924A0"/>
    <w:rsid w:val="56D95092"/>
    <w:rsid w:val="56D9E995"/>
    <w:rsid w:val="56DAE01C"/>
    <w:rsid w:val="56DBC8DE"/>
    <w:rsid w:val="56DD0D79"/>
    <w:rsid w:val="56DFD8F5"/>
    <w:rsid w:val="56E0155B"/>
    <w:rsid w:val="56E033D7"/>
    <w:rsid w:val="56E084F4"/>
    <w:rsid w:val="56E092CE"/>
    <w:rsid w:val="56E2ECF0"/>
    <w:rsid w:val="56E2F200"/>
    <w:rsid w:val="56E37489"/>
    <w:rsid w:val="56E40578"/>
    <w:rsid w:val="56E44F87"/>
    <w:rsid w:val="56E62F85"/>
    <w:rsid w:val="56E87FA7"/>
    <w:rsid w:val="56E9A336"/>
    <w:rsid w:val="56EA8704"/>
    <w:rsid w:val="56EDCF84"/>
    <w:rsid w:val="56EE258F"/>
    <w:rsid w:val="56EF1269"/>
    <w:rsid w:val="56EFB152"/>
    <w:rsid w:val="56F0416B"/>
    <w:rsid w:val="56F17BED"/>
    <w:rsid w:val="56F3A874"/>
    <w:rsid w:val="56F3E377"/>
    <w:rsid w:val="56F3F39A"/>
    <w:rsid w:val="56F94940"/>
    <w:rsid w:val="56FA4E7F"/>
    <w:rsid w:val="56FA766F"/>
    <w:rsid w:val="56FA852F"/>
    <w:rsid w:val="56FC3E75"/>
    <w:rsid w:val="56FE7EC3"/>
    <w:rsid w:val="56FEE20D"/>
    <w:rsid w:val="57001827"/>
    <w:rsid w:val="5701FB4D"/>
    <w:rsid w:val="5702AA73"/>
    <w:rsid w:val="57035D1D"/>
    <w:rsid w:val="5703E6F0"/>
    <w:rsid w:val="57041387"/>
    <w:rsid w:val="5705084C"/>
    <w:rsid w:val="5706225A"/>
    <w:rsid w:val="5706AAD8"/>
    <w:rsid w:val="5709468E"/>
    <w:rsid w:val="570CA20F"/>
    <w:rsid w:val="570EAEFD"/>
    <w:rsid w:val="570FD91B"/>
    <w:rsid w:val="57113ADD"/>
    <w:rsid w:val="57120522"/>
    <w:rsid w:val="5713CD73"/>
    <w:rsid w:val="5714151D"/>
    <w:rsid w:val="57144D59"/>
    <w:rsid w:val="57161F06"/>
    <w:rsid w:val="571761C1"/>
    <w:rsid w:val="5717758B"/>
    <w:rsid w:val="5718FB65"/>
    <w:rsid w:val="571B279D"/>
    <w:rsid w:val="571EBCD0"/>
    <w:rsid w:val="571F2CD4"/>
    <w:rsid w:val="572005C8"/>
    <w:rsid w:val="572058D4"/>
    <w:rsid w:val="5720DDAE"/>
    <w:rsid w:val="572173D6"/>
    <w:rsid w:val="57230E4B"/>
    <w:rsid w:val="572500C4"/>
    <w:rsid w:val="5726EBE0"/>
    <w:rsid w:val="5727C2B5"/>
    <w:rsid w:val="5727D132"/>
    <w:rsid w:val="5727D913"/>
    <w:rsid w:val="5728A65C"/>
    <w:rsid w:val="5728F5FF"/>
    <w:rsid w:val="572A9AF0"/>
    <w:rsid w:val="572AA8A8"/>
    <w:rsid w:val="572F1DBD"/>
    <w:rsid w:val="572FDECE"/>
    <w:rsid w:val="5732B014"/>
    <w:rsid w:val="57331067"/>
    <w:rsid w:val="573329EB"/>
    <w:rsid w:val="57336785"/>
    <w:rsid w:val="5733CA15"/>
    <w:rsid w:val="5738B568"/>
    <w:rsid w:val="573B832B"/>
    <w:rsid w:val="573D7AC7"/>
    <w:rsid w:val="573F68C3"/>
    <w:rsid w:val="5740E18A"/>
    <w:rsid w:val="5745B8C0"/>
    <w:rsid w:val="57468813"/>
    <w:rsid w:val="5746C423"/>
    <w:rsid w:val="574703F8"/>
    <w:rsid w:val="57488437"/>
    <w:rsid w:val="5748CDDC"/>
    <w:rsid w:val="5748E5FC"/>
    <w:rsid w:val="57490495"/>
    <w:rsid w:val="5749A8BF"/>
    <w:rsid w:val="5749C0BE"/>
    <w:rsid w:val="574AFEE0"/>
    <w:rsid w:val="574B3784"/>
    <w:rsid w:val="574FC5D4"/>
    <w:rsid w:val="574FF50F"/>
    <w:rsid w:val="5750BFBB"/>
    <w:rsid w:val="5751CCE9"/>
    <w:rsid w:val="5755B43F"/>
    <w:rsid w:val="5755EAD6"/>
    <w:rsid w:val="5757DC12"/>
    <w:rsid w:val="575857C6"/>
    <w:rsid w:val="5758810D"/>
    <w:rsid w:val="575968AE"/>
    <w:rsid w:val="5759F822"/>
    <w:rsid w:val="575A3F18"/>
    <w:rsid w:val="575C3FEF"/>
    <w:rsid w:val="575D1FA8"/>
    <w:rsid w:val="575ED926"/>
    <w:rsid w:val="575EFB9E"/>
    <w:rsid w:val="57638245"/>
    <w:rsid w:val="57673062"/>
    <w:rsid w:val="57676126"/>
    <w:rsid w:val="5769C97F"/>
    <w:rsid w:val="5769D32E"/>
    <w:rsid w:val="576A3494"/>
    <w:rsid w:val="576ACE12"/>
    <w:rsid w:val="576CC4F1"/>
    <w:rsid w:val="576D4207"/>
    <w:rsid w:val="576FE37E"/>
    <w:rsid w:val="5770595E"/>
    <w:rsid w:val="577065D5"/>
    <w:rsid w:val="5771AFAC"/>
    <w:rsid w:val="577235B7"/>
    <w:rsid w:val="57725769"/>
    <w:rsid w:val="57744E55"/>
    <w:rsid w:val="5774ACE5"/>
    <w:rsid w:val="5776EF41"/>
    <w:rsid w:val="577A374A"/>
    <w:rsid w:val="577BCF70"/>
    <w:rsid w:val="577D3526"/>
    <w:rsid w:val="577E59E6"/>
    <w:rsid w:val="577E7548"/>
    <w:rsid w:val="577EA5B0"/>
    <w:rsid w:val="577EE3E1"/>
    <w:rsid w:val="578062CE"/>
    <w:rsid w:val="57808880"/>
    <w:rsid w:val="5780B733"/>
    <w:rsid w:val="57822FF3"/>
    <w:rsid w:val="57829C86"/>
    <w:rsid w:val="5783C16C"/>
    <w:rsid w:val="57858D2B"/>
    <w:rsid w:val="5787E81D"/>
    <w:rsid w:val="578A7739"/>
    <w:rsid w:val="578BA45F"/>
    <w:rsid w:val="578D8A56"/>
    <w:rsid w:val="578E3930"/>
    <w:rsid w:val="578FBD05"/>
    <w:rsid w:val="578FF706"/>
    <w:rsid w:val="5791A9F0"/>
    <w:rsid w:val="57929C07"/>
    <w:rsid w:val="5794DC6A"/>
    <w:rsid w:val="579553E5"/>
    <w:rsid w:val="57959A12"/>
    <w:rsid w:val="5795F9B7"/>
    <w:rsid w:val="57966AB6"/>
    <w:rsid w:val="57969829"/>
    <w:rsid w:val="5799BCD8"/>
    <w:rsid w:val="579C2041"/>
    <w:rsid w:val="579E2573"/>
    <w:rsid w:val="57A0FCCC"/>
    <w:rsid w:val="57A106FC"/>
    <w:rsid w:val="57A10E39"/>
    <w:rsid w:val="57A649EE"/>
    <w:rsid w:val="57A6A4D8"/>
    <w:rsid w:val="57A6BE96"/>
    <w:rsid w:val="57A6C8D6"/>
    <w:rsid w:val="57A88EBB"/>
    <w:rsid w:val="57A9747F"/>
    <w:rsid w:val="57A9E260"/>
    <w:rsid w:val="57AC6D31"/>
    <w:rsid w:val="57AEADF8"/>
    <w:rsid w:val="57B034B2"/>
    <w:rsid w:val="57B43F78"/>
    <w:rsid w:val="57B77C27"/>
    <w:rsid w:val="57B86C01"/>
    <w:rsid w:val="57B874BB"/>
    <w:rsid w:val="57BCCEAA"/>
    <w:rsid w:val="57BD2AFB"/>
    <w:rsid w:val="57BD7672"/>
    <w:rsid w:val="57BF74A5"/>
    <w:rsid w:val="57C14770"/>
    <w:rsid w:val="57C14931"/>
    <w:rsid w:val="57C2A0A8"/>
    <w:rsid w:val="57C3B084"/>
    <w:rsid w:val="57C40F14"/>
    <w:rsid w:val="57C661D3"/>
    <w:rsid w:val="57C7599F"/>
    <w:rsid w:val="57C87EF6"/>
    <w:rsid w:val="57C899A7"/>
    <w:rsid w:val="57CA2828"/>
    <w:rsid w:val="57CCA6D7"/>
    <w:rsid w:val="57CF88B6"/>
    <w:rsid w:val="57D3C071"/>
    <w:rsid w:val="57D46D94"/>
    <w:rsid w:val="57D4F05E"/>
    <w:rsid w:val="57D5CA1E"/>
    <w:rsid w:val="57D68A79"/>
    <w:rsid w:val="57D70DCE"/>
    <w:rsid w:val="57D82F71"/>
    <w:rsid w:val="57DA1110"/>
    <w:rsid w:val="57DD6585"/>
    <w:rsid w:val="57DF6F45"/>
    <w:rsid w:val="57E0271D"/>
    <w:rsid w:val="57E0474E"/>
    <w:rsid w:val="57E08540"/>
    <w:rsid w:val="57E0E11C"/>
    <w:rsid w:val="57E4E0E7"/>
    <w:rsid w:val="57E66887"/>
    <w:rsid w:val="57E7B841"/>
    <w:rsid w:val="57E828F9"/>
    <w:rsid w:val="57E8B995"/>
    <w:rsid w:val="57E8CF9D"/>
    <w:rsid w:val="57E95946"/>
    <w:rsid w:val="57EA38FB"/>
    <w:rsid w:val="57EC2937"/>
    <w:rsid w:val="57EFD7D8"/>
    <w:rsid w:val="57F0130D"/>
    <w:rsid w:val="57F3578A"/>
    <w:rsid w:val="57F446B2"/>
    <w:rsid w:val="57F535BF"/>
    <w:rsid w:val="57F706BE"/>
    <w:rsid w:val="57F728E2"/>
    <w:rsid w:val="57F91B41"/>
    <w:rsid w:val="57FCD364"/>
    <w:rsid w:val="57FDBE46"/>
    <w:rsid w:val="57FF965F"/>
    <w:rsid w:val="5800DE7D"/>
    <w:rsid w:val="58015F04"/>
    <w:rsid w:val="58018E86"/>
    <w:rsid w:val="5802F880"/>
    <w:rsid w:val="5803D216"/>
    <w:rsid w:val="58048607"/>
    <w:rsid w:val="5805B38A"/>
    <w:rsid w:val="5806D8DE"/>
    <w:rsid w:val="58072381"/>
    <w:rsid w:val="5807D6E8"/>
    <w:rsid w:val="5807EB48"/>
    <w:rsid w:val="58098D64"/>
    <w:rsid w:val="58098D90"/>
    <w:rsid w:val="580BCE63"/>
    <w:rsid w:val="580C0051"/>
    <w:rsid w:val="580C59E9"/>
    <w:rsid w:val="580DBB67"/>
    <w:rsid w:val="580E8948"/>
    <w:rsid w:val="580F058A"/>
    <w:rsid w:val="580F8579"/>
    <w:rsid w:val="580F88B5"/>
    <w:rsid w:val="580FCC25"/>
    <w:rsid w:val="58115649"/>
    <w:rsid w:val="58116C24"/>
    <w:rsid w:val="5811D289"/>
    <w:rsid w:val="58136A4D"/>
    <w:rsid w:val="58147F27"/>
    <w:rsid w:val="5815C30C"/>
    <w:rsid w:val="58198F77"/>
    <w:rsid w:val="581CF5F2"/>
    <w:rsid w:val="581D6B69"/>
    <w:rsid w:val="58211083"/>
    <w:rsid w:val="582208A3"/>
    <w:rsid w:val="58225582"/>
    <w:rsid w:val="58228856"/>
    <w:rsid w:val="582617A4"/>
    <w:rsid w:val="582B4C4F"/>
    <w:rsid w:val="582CA7FE"/>
    <w:rsid w:val="582DB380"/>
    <w:rsid w:val="58302ABB"/>
    <w:rsid w:val="5830C52B"/>
    <w:rsid w:val="58352C0A"/>
    <w:rsid w:val="58385405"/>
    <w:rsid w:val="583B4441"/>
    <w:rsid w:val="5842EF1B"/>
    <w:rsid w:val="5843A25A"/>
    <w:rsid w:val="5844EA65"/>
    <w:rsid w:val="584521C2"/>
    <w:rsid w:val="584928CE"/>
    <w:rsid w:val="58492B7C"/>
    <w:rsid w:val="584C558F"/>
    <w:rsid w:val="584D7159"/>
    <w:rsid w:val="584DBC57"/>
    <w:rsid w:val="5850C08A"/>
    <w:rsid w:val="585155D1"/>
    <w:rsid w:val="585243BA"/>
    <w:rsid w:val="58533042"/>
    <w:rsid w:val="58550F7F"/>
    <w:rsid w:val="58552F28"/>
    <w:rsid w:val="5856B367"/>
    <w:rsid w:val="5857147D"/>
    <w:rsid w:val="58574573"/>
    <w:rsid w:val="58577BFC"/>
    <w:rsid w:val="5857DA35"/>
    <w:rsid w:val="585821E5"/>
    <w:rsid w:val="585AA42E"/>
    <w:rsid w:val="585D61E9"/>
    <w:rsid w:val="5860E7F4"/>
    <w:rsid w:val="58619F37"/>
    <w:rsid w:val="5861AB98"/>
    <w:rsid w:val="5861ABF1"/>
    <w:rsid w:val="58625F9C"/>
    <w:rsid w:val="5863232D"/>
    <w:rsid w:val="58634EF3"/>
    <w:rsid w:val="58646294"/>
    <w:rsid w:val="586627C5"/>
    <w:rsid w:val="58665696"/>
    <w:rsid w:val="5866D7D0"/>
    <w:rsid w:val="58673AC4"/>
    <w:rsid w:val="58684011"/>
    <w:rsid w:val="586B4CE1"/>
    <w:rsid w:val="586CF4FF"/>
    <w:rsid w:val="586E630C"/>
    <w:rsid w:val="586EB783"/>
    <w:rsid w:val="586F4F0A"/>
    <w:rsid w:val="58704B71"/>
    <w:rsid w:val="58718D98"/>
    <w:rsid w:val="5872444F"/>
    <w:rsid w:val="5872883A"/>
    <w:rsid w:val="5874A4F6"/>
    <w:rsid w:val="5874B913"/>
    <w:rsid w:val="5876501B"/>
    <w:rsid w:val="5876FC78"/>
    <w:rsid w:val="58773666"/>
    <w:rsid w:val="587757DE"/>
    <w:rsid w:val="5879F406"/>
    <w:rsid w:val="587C0A2D"/>
    <w:rsid w:val="587D3FF5"/>
    <w:rsid w:val="587D9313"/>
    <w:rsid w:val="588150D7"/>
    <w:rsid w:val="588183CF"/>
    <w:rsid w:val="58820F11"/>
    <w:rsid w:val="58843BD8"/>
    <w:rsid w:val="58878F5D"/>
    <w:rsid w:val="5889F1A6"/>
    <w:rsid w:val="588A4CD0"/>
    <w:rsid w:val="588AF6F3"/>
    <w:rsid w:val="588B0BC6"/>
    <w:rsid w:val="588C555B"/>
    <w:rsid w:val="58900A8A"/>
    <w:rsid w:val="58905E2E"/>
    <w:rsid w:val="5890D019"/>
    <w:rsid w:val="5890D15C"/>
    <w:rsid w:val="5890FA81"/>
    <w:rsid w:val="58911515"/>
    <w:rsid w:val="5891EB44"/>
    <w:rsid w:val="58931E1D"/>
    <w:rsid w:val="5893A4C4"/>
    <w:rsid w:val="58942EA3"/>
    <w:rsid w:val="589578B4"/>
    <w:rsid w:val="5896350F"/>
    <w:rsid w:val="58976CF2"/>
    <w:rsid w:val="58982C91"/>
    <w:rsid w:val="589BB0B9"/>
    <w:rsid w:val="589D9B17"/>
    <w:rsid w:val="589FDE9F"/>
    <w:rsid w:val="58A45A4F"/>
    <w:rsid w:val="58AC2F4D"/>
    <w:rsid w:val="58ADD0F5"/>
    <w:rsid w:val="58B01557"/>
    <w:rsid w:val="58B1134A"/>
    <w:rsid w:val="58B22051"/>
    <w:rsid w:val="58B2BCAB"/>
    <w:rsid w:val="58B55FF0"/>
    <w:rsid w:val="58B5E61E"/>
    <w:rsid w:val="58B62F74"/>
    <w:rsid w:val="58B74C1B"/>
    <w:rsid w:val="58B879EA"/>
    <w:rsid w:val="58BA277A"/>
    <w:rsid w:val="58BC3E92"/>
    <w:rsid w:val="58BC8C27"/>
    <w:rsid w:val="58BEDF56"/>
    <w:rsid w:val="58BFB2FF"/>
    <w:rsid w:val="58C37D67"/>
    <w:rsid w:val="58C4D88C"/>
    <w:rsid w:val="58C73769"/>
    <w:rsid w:val="58C7F054"/>
    <w:rsid w:val="58CAC2ED"/>
    <w:rsid w:val="58CAC894"/>
    <w:rsid w:val="58CD3323"/>
    <w:rsid w:val="58D06B18"/>
    <w:rsid w:val="58D1A949"/>
    <w:rsid w:val="58D56F37"/>
    <w:rsid w:val="58D70107"/>
    <w:rsid w:val="58DB4B71"/>
    <w:rsid w:val="58DB5ECE"/>
    <w:rsid w:val="58DB8AF1"/>
    <w:rsid w:val="58DCE76C"/>
    <w:rsid w:val="58DD5D9B"/>
    <w:rsid w:val="58DEB228"/>
    <w:rsid w:val="58DED9AE"/>
    <w:rsid w:val="58E22EFD"/>
    <w:rsid w:val="58E37553"/>
    <w:rsid w:val="58E56E02"/>
    <w:rsid w:val="58E587B1"/>
    <w:rsid w:val="58E6249C"/>
    <w:rsid w:val="58E648CB"/>
    <w:rsid w:val="58E7D4AF"/>
    <w:rsid w:val="58E93B44"/>
    <w:rsid w:val="58E94DF9"/>
    <w:rsid w:val="58EA4E79"/>
    <w:rsid w:val="58EBC7D5"/>
    <w:rsid w:val="58ECCB6A"/>
    <w:rsid w:val="58ED5F33"/>
    <w:rsid w:val="58EDBAC5"/>
    <w:rsid w:val="58EE3882"/>
    <w:rsid w:val="58EF6A25"/>
    <w:rsid w:val="58EF93D7"/>
    <w:rsid w:val="58F09098"/>
    <w:rsid w:val="58F0C84D"/>
    <w:rsid w:val="58F1531F"/>
    <w:rsid w:val="58F19E9B"/>
    <w:rsid w:val="58F2A499"/>
    <w:rsid w:val="58F3C6D1"/>
    <w:rsid w:val="58F48B2B"/>
    <w:rsid w:val="58F674AE"/>
    <w:rsid w:val="58FA3757"/>
    <w:rsid w:val="58FB352E"/>
    <w:rsid w:val="58FC8F97"/>
    <w:rsid w:val="58FCC697"/>
    <w:rsid w:val="58FD5882"/>
    <w:rsid w:val="58FFFFC6"/>
    <w:rsid w:val="590000B6"/>
    <w:rsid w:val="5900EE73"/>
    <w:rsid w:val="59030231"/>
    <w:rsid w:val="5903E9B8"/>
    <w:rsid w:val="59092C8A"/>
    <w:rsid w:val="590AE8F9"/>
    <w:rsid w:val="590AFF04"/>
    <w:rsid w:val="590E4C76"/>
    <w:rsid w:val="590F2D22"/>
    <w:rsid w:val="59100AD1"/>
    <w:rsid w:val="5911EA90"/>
    <w:rsid w:val="591580FB"/>
    <w:rsid w:val="59184BB9"/>
    <w:rsid w:val="5918893F"/>
    <w:rsid w:val="5919862D"/>
    <w:rsid w:val="591B041A"/>
    <w:rsid w:val="591B0F8F"/>
    <w:rsid w:val="591B3A95"/>
    <w:rsid w:val="591CA13C"/>
    <w:rsid w:val="591D2DE7"/>
    <w:rsid w:val="591F7752"/>
    <w:rsid w:val="591F86EE"/>
    <w:rsid w:val="59216F8D"/>
    <w:rsid w:val="5921D98A"/>
    <w:rsid w:val="59230097"/>
    <w:rsid w:val="59237314"/>
    <w:rsid w:val="59237ED6"/>
    <w:rsid w:val="5924B4CA"/>
    <w:rsid w:val="59250D36"/>
    <w:rsid w:val="5925C400"/>
    <w:rsid w:val="59297A73"/>
    <w:rsid w:val="592D2C22"/>
    <w:rsid w:val="59308B4E"/>
    <w:rsid w:val="59308E46"/>
    <w:rsid w:val="5934620B"/>
    <w:rsid w:val="59350EED"/>
    <w:rsid w:val="593866BF"/>
    <w:rsid w:val="593A722E"/>
    <w:rsid w:val="593AB61B"/>
    <w:rsid w:val="593D7B07"/>
    <w:rsid w:val="593F4FAB"/>
    <w:rsid w:val="593F6450"/>
    <w:rsid w:val="593FA207"/>
    <w:rsid w:val="59414453"/>
    <w:rsid w:val="59437971"/>
    <w:rsid w:val="594705ED"/>
    <w:rsid w:val="59476404"/>
    <w:rsid w:val="5947955D"/>
    <w:rsid w:val="5947BFD1"/>
    <w:rsid w:val="594A332E"/>
    <w:rsid w:val="594B8A62"/>
    <w:rsid w:val="594BD4B4"/>
    <w:rsid w:val="594DD6A4"/>
    <w:rsid w:val="594E2FBB"/>
    <w:rsid w:val="594F88DE"/>
    <w:rsid w:val="5950C3BA"/>
    <w:rsid w:val="5952B8FC"/>
    <w:rsid w:val="59544B36"/>
    <w:rsid w:val="59544EFB"/>
    <w:rsid w:val="59565D0C"/>
    <w:rsid w:val="59584135"/>
    <w:rsid w:val="59588F05"/>
    <w:rsid w:val="5958E314"/>
    <w:rsid w:val="5958E65A"/>
    <w:rsid w:val="595A686C"/>
    <w:rsid w:val="595A9A66"/>
    <w:rsid w:val="595C7505"/>
    <w:rsid w:val="595CF928"/>
    <w:rsid w:val="595E034E"/>
    <w:rsid w:val="595E5836"/>
    <w:rsid w:val="595EF190"/>
    <w:rsid w:val="595F1077"/>
    <w:rsid w:val="59603329"/>
    <w:rsid w:val="596033EF"/>
    <w:rsid w:val="5960BE95"/>
    <w:rsid w:val="59624EBC"/>
    <w:rsid w:val="5964681B"/>
    <w:rsid w:val="596A1993"/>
    <w:rsid w:val="596BBD03"/>
    <w:rsid w:val="596CECB3"/>
    <w:rsid w:val="596E19D4"/>
    <w:rsid w:val="59719B3F"/>
    <w:rsid w:val="597295C9"/>
    <w:rsid w:val="5973DF2B"/>
    <w:rsid w:val="597671DA"/>
    <w:rsid w:val="597848D0"/>
    <w:rsid w:val="5978BA6C"/>
    <w:rsid w:val="597B211E"/>
    <w:rsid w:val="597B3668"/>
    <w:rsid w:val="597D02A0"/>
    <w:rsid w:val="597D806A"/>
    <w:rsid w:val="5981163E"/>
    <w:rsid w:val="598300BB"/>
    <w:rsid w:val="5983C12F"/>
    <w:rsid w:val="5983FAAD"/>
    <w:rsid w:val="59843E87"/>
    <w:rsid w:val="59844EB2"/>
    <w:rsid w:val="59877298"/>
    <w:rsid w:val="5987E451"/>
    <w:rsid w:val="598885D9"/>
    <w:rsid w:val="59890FCD"/>
    <w:rsid w:val="5989433C"/>
    <w:rsid w:val="598BA8C1"/>
    <w:rsid w:val="598C3319"/>
    <w:rsid w:val="598CD643"/>
    <w:rsid w:val="598D464E"/>
    <w:rsid w:val="5990AE26"/>
    <w:rsid w:val="5990C233"/>
    <w:rsid w:val="59920CDA"/>
    <w:rsid w:val="599470E9"/>
    <w:rsid w:val="5995C79A"/>
    <w:rsid w:val="5998313C"/>
    <w:rsid w:val="59985367"/>
    <w:rsid w:val="599A6668"/>
    <w:rsid w:val="599B20B4"/>
    <w:rsid w:val="599C589D"/>
    <w:rsid w:val="599E8295"/>
    <w:rsid w:val="59A0B0C0"/>
    <w:rsid w:val="59A1C12E"/>
    <w:rsid w:val="59A27B8E"/>
    <w:rsid w:val="59A74FC0"/>
    <w:rsid w:val="59A8672E"/>
    <w:rsid w:val="59A9C122"/>
    <w:rsid w:val="59AC8413"/>
    <w:rsid w:val="59AED5D5"/>
    <w:rsid w:val="59AF7475"/>
    <w:rsid w:val="59B12191"/>
    <w:rsid w:val="59B2FB0A"/>
    <w:rsid w:val="59B30DD8"/>
    <w:rsid w:val="59B3367D"/>
    <w:rsid w:val="59B336F6"/>
    <w:rsid w:val="59B4AF54"/>
    <w:rsid w:val="59B657D6"/>
    <w:rsid w:val="59B6F321"/>
    <w:rsid w:val="59B74EDC"/>
    <w:rsid w:val="59B98E90"/>
    <w:rsid w:val="59B9B04F"/>
    <w:rsid w:val="59BA9F8D"/>
    <w:rsid w:val="59BAF5C1"/>
    <w:rsid w:val="59BF4D52"/>
    <w:rsid w:val="59BFFA91"/>
    <w:rsid w:val="59C1173B"/>
    <w:rsid w:val="59C371DF"/>
    <w:rsid w:val="59C3BAD4"/>
    <w:rsid w:val="59C47D74"/>
    <w:rsid w:val="59C57284"/>
    <w:rsid w:val="59C5E9A7"/>
    <w:rsid w:val="59C66E33"/>
    <w:rsid w:val="59C6ADCB"/>
    <w:rsid w:val="59C6CB96"/>
    <w:rsid w:val="59C85495"/>
    <w:rsid w:val="59CC24EB"/>
    <w:rsid w:val="59CD5AA4"/>
    <w:rsid w:val="59CE4B29"/>
    <w:rsid w:val="59D01D77"/>
    <w:rsid w:val="59D02D98"/>
    <w:rsid w:val="59D0B413"/>
    <w:rsid w:val="59D612D8"/>
    <w:rsid w:val="59D84EDA"/>
    <w:rsid w:val="59DC88AF"/>
    <w:rsid w:val="59DCA873"/>
    <w:rsid w:val="59DCC64C"/>
    <w:rsid w:val="59DD3D12"/>
    <w:rsid w:val="59DDFC59"/>
    <w:rsid w:val="59DE7D4C"/>
    <w:rsid w:val="59DEF988"/>
    <w:rsid w:val="59DF6662"/>
    <w:rsid w:val="59DFDD4F"/>
    <w:rsid w:val="59E1FEA3"/>
    <w:rsid w:val="59E2ED60"/>
    <w:rsid w:val="59E2F62C"/>
    <w:rsid w:val="59E3C553"/>
    <w:rsid w:val="59E5FFD5"/>
    <w:rsid w:val="59EBA157"/>
    <w:rsid w:val="59EBA62D"/>
    <w:rsid w:val="59EC45A9"/>
    <w:rsid w:val="59ED4719"/>
    <w:rsid w:val="59EDA2EC"/>
    <w:rsid w:val="59EE3576"/>
    <w:rsid w:val="59EF1C47"/>
    <w:rsid w:val="59EF8417"/>
    <w:rsid w:val="59F0A0AC"/>
    <w:rsid w:val="59F2F6E6"/>
    <w:rsid w:val="59F431B6"/>
    <w:rsid w:val="59F53DBE"/>
    <w:rsid w:val="59F69182"/>
    <w:rsid w:val="59F699D2"/>
    <w:rsid w:val="59F78042"/>
    <w:rsid w:val="59F92C4F"/>
    <w:rsid w:val="59FB226B"/>
    <w:rsid w:val="59FC5DBC"/>
    <w:rsid w:val="59FE6FE8"/>
    <w:rsid w:val="59FEA3BF"/>
    <w:rsid w:val="5A020CB3"/>
    <w:rsid w:val="5A03FD96"/>
    <w:rsid w:val="5A0456D4"/>
    <w:rsid w:val="5A064EF5"/>
    <w:rsid w:val="5A07564E"/>
    <w:rsid w:val="5A0A034A"/>
    <w:rsid w:val="5A0A5E1B"/>
    <w:rsid w:val="5A0B9FDA"/>
    <w:rsid w:val="5A0D133A"/>
    <w:rsid w:val="5A0D6805"/>
    <w:rsid w:val="5A0D96BF"/>
    <w:rsid w:val="5A0DCF35"/>
    <w:rsid w:val="5A0F1DF1"/>
    <w:rsid w:val="5A11F097"/>
    <w:rsid w:val="5A126EAE"/>
    <w:rsid w:val="5A127BF1"/>
    <w:rsid w:val="5A13E7F1"/>
    <w:rsid w:val="5A14478B"/>
    <w:rsid w:val="5A14F7D5"/>
    <w:rsid w:val="5A15C7D1"/>
    <w:rsid w:val="5A16A03A"/>
    <w:rsid w:val="5A16AAA8"/>
    <w:rsid w:val="5A17337E"/>
    <w:rsid w:val="5A17E83F"/>
    <w:rsid w:val="5A195445"/>
    <w:rsid w:val="5A1BCE68"/>
    <w:rsid w:val="5A1C1C39"/>
    <w:rsid w:val="5A1C274B"/>
    <w:rsid w:val="5A1C4B02"/>
    <w:rsid w:val="5A1C94DE"/>
    <w:rsid w:val="5A1E2173"/>
    <w:rsid w:val="5A20DC7E"/>
    <w:rsid w:val="5A21CBD0"/>
    <w:rsid w:val="5A2390A2"/>
    <w:rsid w:val="5A23EAA8"/>
    <w:rsid w:val="5A25457C"/>
    <w:rsid w:val="5A267C63"/>
    <w:rsid w:val="5A2716E2"/>
    <w:rsid w:val="5A2A0E0D"/>
    <w:rsid w:val="5A309A33"/>
    <w:rsid w:val="5A310EAC"/>
    <w:rsid w:val="5A3186DA"/>
    <w:rsid w:val="5A325839"/>
    <w:rsid w:val="5A3275ED"/>
    <w:rsid w:val="5A352DDB"/>
    <w:rsid w:val="5A369070"/>
    <w:rsid w:val="5A39C474"/>
    <w:rsid w:val="5A3A2393"/>
    <w:rsid w:val="5A3CB05B"/>
    <w:rsid w:val="5A3DF3A8"/>
    <w:rsid w:val="5A443067"/>
    <w:rsid w:val="5A449561"/>
    <w:rsid w:val="5A453654"/>
    <w:rsid w:val="5A4778C8"/>
    <w:rsid w:val="5A48F399"/>
    <w:rsid w:val="5A4BFA3F"/>
    <w:rsid w:val="5A4E03E9"/>
    <w:rsid w:val="5A4E8D7E"/>
    <w:rsid w:val="5A50937D"/>
    <w:rsid w:val="5A50AD9B"/>
    <w:rsid w:val="5A5131F4"/>
    <w:rsid w:val="5A537AEE"/>
    <w:rsid w:val="5A53FF64"/>
    <w:rsid w:val="5A5604E4"/>
    <w:rsid w:val="5A57956D"/>
    <w:rsid w:val="5A58141C"/>
    <w:rsid w:val="5A584153"/>
    <w:rsid w:val="5A58455F"/>
    <w:rsid w:val="5A5926CA"/>
    <w:rsid w:val="5A5A66E7"/>
    <w:rsid w:val="5A5E3C05"/>
    <w:rsid w:val="5A604BDF"/>
    <w:rsid w:val="5A6126EA"/>
    <w:rsid w:val="5A61A2ED"/>
    <w:rsid w:val="5A61D16D"/>
    <w:rsid w:val="5A62BF5F"/>
    <w:rsid w:val="5A63A593"/>
    <w:rsid w:val="5A64F644"/>
    <w:rsid w:val="5A6528A7"/>
    <w:rsid w:val="5A658848"/>
    <w:rsid w:val="5A69D27C"/>
    <w:rsid w:val="5A6C051F"/>
    <w:rsid w:val="5A6D6B05"/>
    <w:rsid w:val="5A6E345A"/>
    <w:rsid w:val="5A715524"/>
    <w:rsid w:val="5A717BD9"/>
    <w:rsid w:val="5A720825"/>
    <w:rsid w:val="5A75793B"/>
    <w:rsid w:val="5A75795F"/>
    <w:rsid w:val="5A76007A"/>
    <w:rsid w:val="5A788C78"/>
    <w:rsid w:val="5A78E407"/>
    <w:rsid w:val="5A79589C"/>
    <w:rsid w:val="5A79A4BC"/>
    <w:rsid w:val="5A7A7639"/>
    <w:rsid w:val="5A7B4ACB"/>
    <w:rsid w:val="5A7C739E"/>
    <w:rsid w:val="5A7CD592"/>
    <w:rsid w:val="5A7CF349"/>
    <w:rsid w:val="5A80F62B"/>
    <w:rsid w:val="5A826468"/>
    <w:rsid w:val="5A83B625"/>
    <w:rsid w:val="5A8699B4"/>
    <w:rsid w:val="5A86D957"/>
    <w:rsid w:val="5A88364F"/>
    <w:rsid w:val="5A8BD88D"/>
    <w:rsid w:val="5A8C72DA"/>
    <w:rsid w:val="5A8D158D"/>
    <w:rsid w:val="5A908F25"/>
    <w:rsid w:val="5A938EC5"/>
    <w:rsid w:val="5A93E27B"/>
    <w:rsid w:val="5A9479D1"/>
    <w:rsid w:val="5A9488A2"/>
    <w:rsid w:val="5A94B829"/>
    <w:rsid w:val="5A9519AE"/>
    <w:rsid w:val="5A96CD01"/>
    <w:rsid w:val="5A9846CF"/>
    <w:rsid w:val="5A9862BD"/>
    <w:rsid w:val="5A99CAC1"/>
    <w:rsid w:val="5A9AEBB4"/>
    <w:rsid w:val="5A9B0FED"/>
    <w:rsid w:val="5A9B1206"/>
    <w:rsid w:val="5A9CD01C"/>
    <w:rsid w:val="5A9E44EE"/>
    <w:rsid w:val="5A9F1D64"/>
    <w:rsid w:val="5AA154DB"/>
    <w:rsid w:val="5AA29ADA"/>
    <w:rsid w:val="5AA47F14"/>
    <w:rsid w:val="5AA6CA30"/>
    <w:rsid w:val="5AA766D0"/>
    <w:rsid w:val="5AA8E92A"/>
    <w:rsid w:val="5AA8F8C8"/>
    <w:rsid w:val="5AA9343F"/>
    <w:rsid w:val="5AAAD066"/>
    <w:rsid w:val="5AAB3E10"/>
    <w:rsid w:val="5AADA01D"/>
    <w:rsid w:val="5AAEF402"/>
    <w:rsid w:val="5AAFE426"/>
    <w:rsid w:val="5AB1C5FC"/>
    <w:rsid w:val="5AB2D912"/>
    <w:rsid w:val="5AB42866"/>
    <w:rsid w:val="5AB70CB1"/>
    <w:rsid w:val="5ABC01AD"/>
    <w:rsid w:val="5ABC76F7"/>
    <w:rsid w:val="5ABDDF97"/>
    <w:rsid w:val="5ABF87B0"/>
    <w:rsid w:val="5ABF95E4"/>
    <w:rsid w:val="5AC4F027"/>
    <w:rsid w:val="5AC57153"/>
    <w:rsid w:val="5AC6DEFC"/>
    <w:rsid w:val="5AC8995F"/>
    <w:rsid w:val="5ACB2AF9"/>
    <w:rsid w:val="5ACB6D53"/>
    <w:rsid w:val="5ACE743F"/>
    <w:rsid w:val="5ACE8C67"/>
    <w:rsid w:val="5AD02D44"/>
    <w:rsid w:val="5AD04ADB"/>
    <w:rsid w:val="5AD0A7FB"/>
    <w:rsid w:val="5AD0D82A"/>
    <w:rsid w:val="5AD1FE59"/>
    <w:rsid w:val="5AD5FA8A"/>
    <w:rsid w:val="5AD6ABB0"/>
    <w:rsid w:val="5AD79E24"/>
    <w:rsid w:val="5AD82234"/>
    <w:rsid w:val="5ADA4192"/>
    <w:rsid w:val="5ADB53D2"/>
    <w:rsid w:val="5ADCCA54"/>
    <w:rsid w:val="5ADE8285"/>
    <w:rsid w:val="5ADF4295"/>
    <w:rsid w:val="5ADFE387"/>
    <w:rsid w:val="5AE5C901"/>
    <w:rsid w:val="5AE70FE4"/>
    <w:rsid w:val="5AE8DCB9"/>
    <w:rsid w:val="5AE95416"/>
    <w:rsid w:val="5AEB59CB"/>
    <w:rsid w:val="5AEBDAFC"/>
    <w:rsid w:val="5AEC1D67"/>
    <w:rsid w:val="5AEC3EC3"/>
    <w:rsid w:val="5AECB46A"/>
    <w:rsid w:val="5AEE0ADC"/>
    <w:rsid w:val="5AEEE9F0"/>
    <w:rsid w:val="5AEF06EF"/>
    <w:rsid w:val="5AF46334"/>
    <w:rsid w:val="5AF61427"/>
    <w:rsid w:val="5AF777AF"/>
    <w:rsid w:val="5AF8929E"/>
    <w:rsid w:val="5AFB1F45"/>
    <w:rsid w:val="5AFBC25C"/>
    <w:rsid w:val="5AFD3B01"/>
    <w:rsid w:val="5AFD59B1"/>
    <w:rsid w:val="5AFEDFB1"/>
    <w:rsid w:val="5AFF3075"/>
    <w:rsid w:val="5B0089BA"/>
    <w:rsid w:val="5B018897"/>
    <w:rsid w:val="5B01C8BD"/>
    <w:rsid w:val="5B0210D7"/>
    <w:rsid w:val="5B021161"/>
    <w:rsid w:val="5B023402"/>
    <w:rsid w:val="5B05872E"/>
    <w:rsid w:val="5B062871"/>
    <w:rsid w:val="5B0A6A9C"/>
    <w:rsid w:val="5B0B098F"/>
    <w:rsid w:val="5B0E3E22"/>
    <w:rsid w:val="5B0F6DD8"/>
    <w:rsid w:val="5B0FA7CB"/>
    <w:rsid w:val="5B0FF0C9"/>
    <w:rsid w:val="5B121BF7"/>
    <w:rsid w:val="5B131C2E"/>
    <w:rsid w:val="5B152A9C"/>
    <w:rsid w:val="5B16099F"/>
    <w:rsid w:val="5B166B26"/>
    <w:rsid w:val="5B169BEF"/>
    <w:rsid w:val="5B17C808"/>
    <w:rsid w:val="5B1B899B"/>
    <w:rsid w:val="5B1C8D68"/>
    <w:rsid w:val="5B1F8808"/>
    <w:rsid w:val="5B226942"/>
    <w:rsid w:val="5B22C26E"/>
    <w:rsid w:val="5B2428C2"/>
    <w:rsid w:val="5B25371B"/>
    <w:rsid w:val="5B25FD93"/>
    <w:rsid w:val="5B26972B"/>
    <w:rsid w:val="5B2A78A4"/>
    <w:rsid w:val="5B2B1B35"/>
    <w:rsid w:val="5B2B78F1"/>
    <w:rsid w:val="5B2C3690"/>
    <w:rsid w:val="5B2CB637"/>
    <w:rsid w:val="5B2D44EC"/>
    <w:rsid w:val="5B2E1608"/>
    <w:rsid w:val="5B2E862C"/>
    <w:rsid w:val="5B30CEC6"/>
    <w:rsid w:val="5B364265"/>
    <w:rsid w:val="5B37EFC8"/>
    <w:rsid w:val="5B3A6EF9"/>
    <w:rsid w:val="5B3ECE48"/>
    <w:rsid w:val="5B423C72"/>
    <w:rsid w:val="5B45374C"/>
    <w:rsid w:val="5B465BDD"/>
    <w:rsid w:val="5B469528"/>
    <w:rsid w:val="5B47C92A"/>
    <w:rsid w:val="5B492554"/>
    <w:rsid w:val="5B492EDF"/>
    <w:rsid w:val="5B49351A"/>
    <w:rsid w:val="5B4A1EA5"/>
    <w:rsid w:val="5B4B4805"/>
    <w:rsid w:val="5B4EC60B"/>
    <w:rsid w:val="5B5131BF"/>
    <w:rsid w:val="5B52E105"/>
    <w:rsid w:val="5B537127"/>
    <w:rsid w:val="5B5421A8"/>
    <w:rsid w:val="5B544AF9"/>
    <w:rsid w:val="5B58A931"/>
    <w:rsid w:val="5B58B6A5"/>
    <w:rsid w:val="5B597E98"/>
    <w:rsid w:val="5B59B0CD"/>
    <w:rsid w:val="5B5A1CCB"/>
    <w:rsid w:val="5B5B11CD"/>
    <w:rsid w:val="5B646316"/>
    <w:rsid w:val="5B674A0D"/>
    <w:rsid w:val="5B680368"/>
    <w:rsid w:val="5B69D6ED"/>
    <w:rsid w:val="5B6AD3D5"/>
    <w:rsid w:val="5B6D0044"/>
    <w:rsid w:val="5B6DA865"/>
    <w:rsid w:val="5B6F7B7F"/>
    <w:rsid w:val="5B715057"/>
    <w:rsid w:val="5B735838"/>
    <w:rsid w:val="5B78316F"/>
    <w:rsid w:val="5B7B4388"/>
    <w:rsid w:val="5B7CBF92"/>
    <w:rsid w:val="5B8146F8"/>
    <w:rsid w:val="5B828CD2"/>
    <w:rsid w:val="5B83403B"/>
    <w:rsid w:val="5B850656"/>
    <w:rsid w:val="5B851550"/>
    <w:rsid w:val="5B85CC04"/>
    <w:rsid w:val="5B872536"/>
    <w:rsid w:val="5B889154"/>
    <w:rsid w:val="5B8C658E"/>
    <w:rsid w:val="5B8E3502"/>
    <w:rsid w:val="5B8F07AC"/>
    <w:rsid w:val="5B8F56B4"/>
    <w:rsid w:val="5B91C21C"/>
    <w:rsid w:val="5B93D07E"/>
    <w:rsid w:val="5B9735D8"/>
    <w:rsid w:val="5B978759"/>
    <w:rsid w:val="5B9834D1"/>
    <w:rsid w:val="5B987957"/>
    <w:rsid w:val="5B98C292"/>
    <w:rsid w:val="5B991A43"/>
    <w:rsid w:val="5B9AAB90"/>
    <w:rsid w:val="5B9BFAF1"/>
    <w:rsid w:val="5B9D2F74"/>
    <w:rsid w:val="5BA4B0EF"/>
    <w:rsid w:val="5BA53A82"/>
    <w:rsid w:val="5BA6B03D"/>
    <w:rsid w:val="5BA82100"/>
    <w:rsid w:val="5BAC14B7"/>
    <w:rsid w:val="5BACDDF3"/>
    <w:rsid w:val="5BADFE07"/>
    <w:rsid w:val="5BAF4CF3"/>
    <w:rsid w:val="5BB050E5"/>
    <w:rsid w:val="5BB08108"/>
    <w:rsid w:val="5BB15FA5"/>
    <w:rsid w:val="5BB1DECC"/>
    <w:rsid w:val="5BB3943A"/>
    <w:rsid w:val="5BB3A126"/>
    <w:rsid w:val="5BB48A13"/>
    <w:rsid w:val="5BB5E6FC"/>
    <w:rsid w:val="5BB5EC35"/>
    <w:rsid w:val="5BB641CF"/>
    <w:rsid w:val="5BB76B56"/>
    <w:rsid w:val="5BB7EFD7"/>
    <w:rsid w:val="5BBB1BCB"/>
    <w:rsid w:val="5BBB8770"/>
    <w:rsid w:val="5BBF7192"/>
    <w:rsid w:val="5BC3ED0E"/>
    <w:rsid w:val="5BC51107"/>
    <w:rsid w:val="5BC5DD0F"/>
    <w:rsid w:val="5BC62C42"/>
    <w:rsid w:val="5BC72012"/>
    <w:rsid w:val="5BC962B6"/>
    <w:rsid w:val="5BC98856"/>
    <w:rsid w:val="5BCBFC6D"/>
    <w:rsid w:val="5BCCB83F"/>
    <w:rsid w:val="5BCD02A0"/>
    <w:rsid w:val="5BCD0DB0"/>
    <w:rsid w:val="5BCD5E5E"/>
    <w:rsid w:val="5BCEF81E"/>
    <w:rsid w:val="5BCF6324"/>
    <w:rsid w:val="5BD0F376"/>
    <w:rsid w:val="5BD1C422"/>
    <w:rsid w:val="5BD22633"/>
    <w:rsid w:val="5BD3541F"/>
    <w:rsid w:val="5BD64C26"/>
    <w:rsid w:val="5BD8AA2A"/>
    <w:rsid w:val="5BD93359"/>
    <w:rsid w:val="5BDAC141"/>
    <w:rsid w:val="5BDB36F4"/>
    <w:rsid w:val="5BDDB090"/>
    <w:rsid w:val="5BDF5F1F"/>
    <w:rsid w:val="5BE04F6E"/>
    <w:rsid w:val="5BE04F7F"/>
    <w:rsid w:val="5BE1E44A"/>
    <w:rsid w:val="5BE2166E"/>
    <w:rsid w:val="5BE300A0"/>
    <w:rsid w:val="5BE3E161"/>
    <w:rsid w:val="5BE3EF2B"/>
    <w:rsid w:val="5BE52C2C"/>
    <w:rsid w:val="5BE5CA82"/>
    <w:rsid w:val="5BE74A88"/>
    <w:rsid w:val="5BE7574C"/>
    <w:rsid w:val="5BE7DFA1"/>
    <w:rsid w:val="5BE90CFC"/>
    <w:rsid w:val="5BE9F268"/>
    <w:rsid w:val="5BEA2DCE"/>
    <w:rsid w:val="5BEA9A4F"/>
    <w:rsid w:val="5BEC67D0"/>
    <w:rsid w:val="5BECAA33"/>
    <w:rsid w:val="5BEE1A90"/>
    <w:rsid w:val="5BF2473E"/>
    <w:rsid w:val="5BF271BC"/>
    <w:rsid w:val="5BF2C08A"/>
    <w:rsid w:val="5BF3610B"/>
    <w:rsid w:val="5BF3B00C"/>
    <w:rsid w:val="5BF3B6A1"/>
    <w:rsid w:val="5BF5CFA4"/>
    <w:rsid w:val="5BF6B83F"/>
    <w:rsid w:val="5BF6CD17"/>
    <w:rsid w:val="5BF83A5C"/>
    <w:rsid w:val="5BFB1F67"/>
    <w:rsid w:val="5BFF20F8"/>
    <w:rsid w:val="5C03DC36"/>
    <w:rsid w:val="5C053D5B"/>
    <w:rsid w:val="5C0558F4"/>
    <w:rsid w:val="5C066736"/>
    <w:rsid w:val="5C079D42"/>
    <w:rsid w:val="5C087957"/>
    <w:rsid w:val="5C0940D2"/>
    <w:rsid w:val="5C09DA43"/>
    <w:rsid w:val="5C09F8FE"/>
    <w:rsid w:val="5C0AF31D"/>
    <w:rsid w:val="5C0C95C3"/>
    <w:rsid w:val="5C0CF04E"/>
    <w:rsid w:val="5C150658"/>
    <w:rsid w:val="5C16A8EE"/>
    <w:rsid w:val="5C16B9AE"/>
    <w:rsid w:val="5C17DF31"/>
    <w:rsid w:val="5C184568"/>
    <w:rsid w:val="5C1954E1"/>
    <w:rsid w:val="5C1A21A1"/>
    <w:rsid w:val="5C1B0884"/>
    <w:rsid w:val="5C1B3B8A"/>
    <w:rsid w:val="5C1BAF99"/>
    <w:rsid w:val="5C1C4C21"/>
    <w:rsid w:val="5C1CCEA5"/>
    <w:rsid w:val="5C1E1B77"/>
    <w:rsid w:val="5C1E6E7C"/>
    <w:rsid w:val="5C1FC051"/>
    <w:rsid w:val="5C21357E"/>
    <w:rsid w:val="5C232FBB"/>
    <w:rsid w:val="5C2A0272"/>
    <w:rsid w:val="5C2C0493"/>
    <w:rsid w:val="5C2F391D"/>
    <w:rsid w:val="5C2F7147"/>
    <w:rsid w:val="5C2FFAB3"/>
    <w:rsid w:val="5C30577A"/>
    <w:rsid w:val="5C31EA38"/>
    <w:rsid w:val="5C32089F"/>
    <w:rsid w:val="5C320B1C"/>
    <w:rsid w:val="5C327B62"/>
    <w:rsid w:val="5C333AF1"/>
    <w:rsid w:val="5C36E251"/>
    <w:rsid w:val="5C36F134"/>
    <w:rsid w:val="5C379C35"/>
    <w:rsid w:val="5C3AAC31"/>
    <w:rsid w:val="5C3AB70E"/>
    <w:rsid w:val="5C3AE532"/>
    <w:rsid w:val="5C3BE4E2"/>
    <w:rsid w:val="5C40CC4B"/>
    <w:rsid w:val="5C443E6A"/>
    <w:rsid w:val="5C44EDAE"/>
    <w:rsid w:val="5C457778"/>
    <w:rsid w:val="5C45A5A9"/>
    <w:rsid w:val="5C46704A"/>
    <w:rsid w:val="5C46A2F5"/>
    <w:rsid w:val="5C47750B"/>
    <w:rsid w:val="5C495F7E"/>
    <w:rsid w:val="5C4EA176"/>
    <w:rsid w:val="5C4FF552"/>
    <w:rsid w:val="5C5208BC"/>
    <w:rsid w:val="5C52724B"/>
    <w:rsid w:val="5C544224"/>
    <w:rsid w:val="5C58E545"/>
    <w:rsid w:val="5C5A2090"/>
    <w:rsid w:val="5C5A8683"/>
    <w:rsid w:val="5C5C24AD"/>
    <w:rsid w:val="5C5C543F"/>
    <w:rsid w:val="5C5DA4C9"/>
    <w:rsid w:val="5C5EAE4A"/>
    <w:rsid w:val="5C5FD85D"/>
    <w:rsid w:val="5C6203DF"/>
    <w:rsid w:val="5C636207"/>
    <w:rsid w:val="5C6861FB"/>
    <w:rsid w:val="5C688441"/>
    <w:rsid w:val="5C68DAEE"/>
    <w:rsid w:val="5C69079A"/>
    <w:rsid w:val="5C6CEADE"/>
    <w:rsid w:val="5C6DCFF1"/>
    <w:rsid w:val="5C6E918A"/>
    <w:rsid w:val="5C6F9CFF"/>
    <w:rsid w:val="5C71F4FA"/>
    <w:rsid w:val="5C721D9A"/>
    <w:rsid w:val="5C73014E"/>
    <w:rsid w:val="5C76E99C"/>
    <w:rsid w:val="5C780AE2"/>
    <w:rsid w:val="5C7A7D26"/>
    <w:rsid w:val="5C7B1118"/>
    <w:rsid w:val="5C8527C7"/>
    <w:rsid w:val="5C85EE90"/>
    <w:rsid w:val="5C877341"/>
    <w:rsid w:val="5C89F6AC"/>
    <w:rsid w:val="5C8A3806"/>
    <w:rsid w:val="5C8CFB3D"/>
    <w:rsid w:val="5C915138"/>
    <w:rsid w:val="5C9246D6"/>
    <w:rsid w:val="5C9384CE"/>
    <w:rsid w:val="5C949A4D"/>
    <w:rsid w:val="5C9549A1"/>
    <w:rsid w:val="5C9899AE"/>
    <w:rsid w:val="5C99519A"/>
    <w:rsid w:val="5C996E38"/>
    <w:rsid w:val="5C9BC675"/>
    <w:rsid w:val="5C9C746D"/>
    <w:rsid w:val="5C9D4C9E"/>
    <w:rsid w:val="5C9E58E5"/>
    <w:rsid w:val="5C9FAFA3"/>
    <w:rsid w:val="5CA03B64"/>
    <w:rsid w:val="5CA0DD55"/>
    <w:rsid w:val="5CA1C373"/>
    <w:rsid w:val="5CA57676"/>
    <w:rsid w:val="5CA619DA"/>
    <w:rsid w:val="5CA68376"/>
    <w:rsid w:val="5CA7E1D4"/>
    <w:rsid w:val="5CA9CA11"/>
    <w:rsid w:val="5CAB52BE"/>
    <w:rsid w:val="5CAB844E"/>
    <w:rsid w:val="5CAC1660"/>
    <w:rsid w:val="5CAD150B"/>
    <w:rsid w:val="5CAF9E24"/>
    <w:rsid w:val="5CAFC622"/>
    <w:rsid w:val="5CB0F5AD"/>
    <w:rsid w:val="5CB2287D"/>
    <w:rsid w:val="5CB23E58"/>
    <w:rsid w:val="5CB2F2DE"/>
    <w:rsid w:val="5CB3335F"/>
    <w:rsid w:val="5CB405F6"/>
    <w:rsid w:val="5CB57987"/>
    <w:rsid w:val="5CB601AD"/>
    <w:rsid w:val="5CB9D352"/>
    <w:rsid w:val="5CBBCD76"/>
    <w:rsid w:val="5CBC9E1B"/>
    <w:rsid w:val="5CC05E2F"/>
    <w:rsid w:val="5CC557C1"/>
    <w:rsid w:val="5CC6306D"/>
    <w:rsid w:val="5CC66A2D"/>
    <w:rsid w:val="5CC67538"/>
    <w:rsid w:val="5CC6E128"/>
    <w:rsid w:val="5CC70A7E"/>
    <w:rsid w:val="5CC85872"/>
    <w:rsid w:val="5CCD3890"/>
    <w:rsid w:val="5CCD5A5E"/>
    <w:rsid w:val="5CCDF8E3"/>
    <w:rsid w:val="5CCE09B6"/>
    <w:rsid w:val="5CCF8CB3"/>
    <w:rsid w:val="5CCFB1FA"/>
    <w:rsid w:val="5CD0917F"/>
    <w:rsid w:val="5CD20CA4"/>
    <w:rsid w:val="5CD4A2F9"/>
    <w:rsid w:val="5CD4EFC6"/>
    <w:rsid w:val="5CD6EB59"/>
    <w:rsid w:val="5CD7EA76"/>
    <w:rsid w:val="5CD9D346"/>
    <w:rsid w:val="5CDA12EE"/>
    <w:rsid w:val="5CDA916F"/>
    <w:rsid w:val="5CDAB85C"/>
    <w:rsid w:val="5CDB1B51"/>
    <w:rsid w:val="5CDBCB3F"/>
    <w:rsid w:val="5CDDE36F"/>
    <w:rsid w:val="5CDE1A0E"/>
    <w:rsid w:val="5CE18C43"/>
    <w:rsid w:val="5CE4B5FF"/>
    <w:rsid w:val="5CE60CE6"/>
    <w:rsid w:val="5CE63E98"/>
    <w:rsid w:val="5CE902B6"/>
    <w:rsid w:val="5CEA20D4"/>
    <w:rsid w:val="5CEB68F1"/>
    <w:rsid w:val="5CEC873E"/>
    <w:rsid w:val="5CED599C"/>
    <w:rsid w:val="5CED64CE"/>
    <w:rsid w:val="5CEE9C47"/>
    <w:rsid w:val="5CEED70C"/>
    <w:rsid w:val="5CF0E80A"/>
    <w:rsid w:val="5CF34FF6"/>
    <w:rsid w:val="5CF37F2D"/>
    <w:rsid w:val="5CF3D0DC"/>
    <w:rsid w:val="5CF43B91"/>
    <w:rsid w:val="5CF648F6"/>
    <w:rsid w:val="5CF6AC1A"/>
    <w:rsid w:val="5CF72002"/>
    <w:rsid w:val="5CF881B6"/>
    <w:rsid w:val="5CF948C2"/>
    <w:rsid w:val="5CF984FF"/>
    <w:rsid w:val="5CFA1CE4"/>
    <w:rsid w:val="5CFB7001"/>
    <w:rsid w:val="5CFC53F6"/>
    <w:rsid w:val="5CFD01CF"/>
    <w:rsid w:val="5CFE0D3F"/>
    <w:rsid w:val="5CFE2AC1"/>
    <w:rsid w:val="5CFEC48F"/>
    <w:rsid w:val="5CFFAD34"/>
    <w:rsid w:val="5D00FED8"/>
    <w:rsid w:val="5D025577"/>
    <w:rsid w:val="5D02C61F"/>
    <w:rsid w:val="5D039E93"/>
    <w:rsid w:val="5D03E979"/>
    <w:rsid w:val="5D047B4B"/>
    <w:rsid w:val="5D06517F"/>
    <w:rsid w:val="5D06BE8C"/>
    <w:rsid w:val="5D07A669"/>
    <w:rsid w:val="5D07F7DB"/>
    <w:rsid w:val="5D09230C"/>
    <w:rsid w:val="5D0C659C"/>
    <w:rsid w:val="5D0CAD09"/>
    <w:rsid w:val="5D0D272A"/>
    <w:rsid w:val="5D0E8BF7"/>
    <w:rsid w:val="5D0F083E"/>
    <w:rsid w:val="5D1256B6"/>
    <w:rsid w:val="5D133222"/>
    <w:rsid w:val="5D156D3D"/>
    <w:rsid w:val="5D18F1E4"/>
    <w:rsid w:val="5D1957C3"/>
    <w:rsid w:val="5D1B4CFC"/>
    <w:rsid w:val="5D1C2EDA"/>
    <w:rsid w:val="5D1CDB08"/>
    <w:rsid w:val="5D1D34AC"/>
    <w:rsid w:val="5D1E0D49"/>
    <w:rsid w:val="5D1E753B"/>
    <w:rsid w:val="5D230FA1"/>
    <w:rsid w:val="5D2343EE"/>
    <w:rsid w:val="5D24EF68"/>
    <w:rsid w:val="5D26CFCB"/>
    <w:rsid w:val="5D2818FC"/>
    <w:rsid w:val="5D2CE39F"/>
    <w:rsid w:val="5D2CF136"/>
    <w:rsid w:val="5D2CFFF2"/>
    <w:rsid w:val="5D2D0412"/>
    <w:rsid w:val="5D2E0860"/>
    <w:rsid w:val="5D2F2E16"/>
    <w:rsid w:val="5D2FCF7C"/>
    <w:rsid w:val="5D2FFC35"/>
    <w:rsid w:val="5D30A340"/>
    <w:rsid w:val="5D30A8F9"/>
    <w:rsid w:val="5D322AA4"/>
    <w:rsid w:val="5D36A21F"/>
    <w:rsid w:val="5D389353"/>
    <w:rsid w:val="5D3B24AC"/>
    <w:rsid w:val="5D3B9FFB"/>
    <w:rsid w:val="5D3C5125"/>
    <w:rsid w:val="5D3CA9E2"/>
    <w:rsid w:val="5D3DFC03"/>
    <w:rsid w:val="5D3EE4D3"/>
    <w:rsid w:val="5D3F93F4"/>
    <w:rsid w:val="5D401A1F"/>
    <w:rsid w:val="5D408415"/>
    <w:rsid w:val="5D4191E9"/>
    <w:rsid w:val="5D43EADC"/>
    <w:rsid w:val="5D452069"/>
    <w:rsid w:val="5D47F122"/>
    <w:rsid w:val="5D48A6E1"/>
    <w:rsid w:val="5D499CE5"/>
    <w:rsid w:val="5D4AEA1F"/>
    <w:rsid w:val="5D4CD34D"/>
    <w:rsid w:val="5D4CDC84"/>
    <w:rsid w:val="5D4F8134"/>
    <w:rsid w:val="5D4F9A21"/>
    <w:rsid w:val="5D510AF4"/>
    <w:rsid w:val="5D518152"/>
    <w:rsid w:val="5D528BAA"/>
    <w:rsid w:val="5D537377"/>
    <w:rsid w:val="5D539BA5"/>
    <w:rsid w:val="5D5411FF"/>
    <w:rsid w:val="5D5529DC"/>
    <w:rsid w:val="5D553CEC"/>
    <w:rsid w:val="5D57DD24"/>
    <w:rsid w:val="5D5A0B7D"/>
    <w:rsid w:val="5D5A8BCC"/>
    <w:rsid w:val="5D5BF208"/>
    <w:rsid w:val="5D603C01"/>
    <w:rsid w:val="5D61C42F"/>
    <w:rsid w:val="5D626B6D"/>
    <w:rsid w:val="5D63AB35"/>
    <w:rsid w:val="5D649BA4"/>
    <w:rsid w:val="5D66FEE5"/>
    <w:rsid w:val="5D674957"/>
    <w:rsid w:val="5D676267"/>
    <w:rsid w:val="5D67E6E1"/>
    <w:rsid w:val="5D6C265F"/>
    <w:rsid w:val="5D6D0A6A"/>
    <w:rsid w:val="5D6D6EC7"/>
    <w:rsid w:val="5D6F972E"/>
    <w:rsid w:val="5D70D3CF"/>
    <w:rsid w:val="5D736D1B"/>
    <w:rsid w:val="5D737498"/>
    <w:rsid w:val="5D7453E0"/>
    <w:rsid w:val="5D75104F"/>
    <w:rsid w:val="5D75992D"/>
    <w:rsid w:val="5D75A685"/>
    <w:rsid w:val="5D7651D3"/>
    <w:rsid w:val="5D76C8B8"/>
    <w:rsid w:val="5D779ADB"/>
    <w:rsid w:val="5D798527"/>
    <w:rsid w:val="5D7BCBB8"/>
    <w:rsid w:val="5D7C25C7"/>
    <w:rsid w:val="5D8078A6"/>
    <w:rsid w:val="5D80FA8F"/>
    <w:rsid w:val="5D837922"/>
    <w:rsid w:val="5D8698DE"/>
    <w:rsid w:val="5D8A06FA"/>
    <w:rsid w:val="5D8A5891"/>
    <w:rsid w:val="5D8AB42B"/>
    <w:rsid w:val="5D8C261D"/>
    <w:rsid w:val="5D8C65E7"/>
    <w:rsid w:val="5D8D46F5"/>
    <w:rsid w:val="5D8DA13C"/>
    <w:rsid w:val="5D8DB0D6"/>
    <w:rsid w:val="5D8EC157"/>
    <w:rsid w:val="5D8F4DC4"/>
    <w:rsid w:val="5D904F6C"/>
    <w:rsid w:val="5D91042D"/>
    <w:rsid w:val="5D9104FD"/>
    <w:rsid w:val="5D979B88"/>
    <w:rsid w:val="5D97A995"/>
    <w:rsid w:val="5D99854C"/>
    <w:rsid w:val="5D99B1A3"/>
    <w:rsid w:val="5D9A6109"/>
    <w:rsid w:val="5D9ABDDF"/>
    <w:rsid w:val="5D9AD963"/>
    <w:rsid w:val="5D9C5632"/>
    <w:rsid w:val="5D9DF777"/>
    <w:rsid w:val="5DA23C04"/>
    <w:rsid w:val="5DA2F64A"/>
    <w:rsid w:val="5DA6B9AF"/>
    <w:rsid w:val="5DA6F87B"/>
    <w:rsid w:val="5DA917BA"/>
    <w:rsid w:val="5DA94E24"/>
    <w:rsid w:val="5DACB456"/>
    <w:rsid w:val="5DAD05D5"/>
    <w:rsid w:val="5DAD446A"/>
    <w:rsid w:val="5DB228EA"/>
    <w:rsid w:val="5DB39AD3"/>
    <w:rsid w:val="5DB3DF65"/>
    <w:rsid w:val="5DB68516"/>
    <w:rsid w:val="5DB6DF3A"/>
    <w:rsid w:val="5DB7B892"/>
    <w:rsid w:val="5DBC415D"/>
    <w:rsid w:val="5DBD17FC"/>
    <w:rsid w:val="5DBF08D9"/>
    <w:rsid w:val="5DC67CFE"/>
    <w:rsid w:val="5DC6B2C5"/>
    <w:rsid w:val="5DC6D4D8"/>
    <w:rsid w:val="5DC7B033"/>
    <w:rsid w:val="5DC91B24"/>
    <w:rsid w:val="5DC98AE9"/>
    <w:rsid w:val="5DC9CED6"/>
    <w:rsid w:val="5DCA2B98"/>
    <w:rsid w:val="5DCAC9AE"/>
    <w:rsid w:val="5DCAF5EF"/>
    <w:rsid w:val="5DCAF9E4"/>
    <w:rsid w:val="5DCBC615"/>
    <w:rsid w:val="5DCC0841"/>
    <w:rsid w:val="5DCF1641"/>
    <w:rsid w:val="5DCF3A53"/>
    <w:rsid w:val="5DCF6C77"/>
    <w:rsid w:val="5DCF9482"/>
    <w:rsid w:val="5DD02F03"/>
    <w:rsid w:val="5DD0ABE6"/>
    <w:rsid w:val="5DD1151F"/>
    <w:rsid w:val="5DD3F548"/>
    <w:rsid w:val="5DD40CC1"/>
    <w:rsid w:val="5DD42231"/>
    <w:rsid w:val="5DD42482"/>
    <w:rsid w:val="5DD577D9"/>
    <w:rsid w:val="5DD59DD8"/>
    <w:rsid w:val="5DD59E9F"/>
    <w:rsid w:val="5DD5A613"/>
    <w:rsid w:val="5DD68FAC"/>
    <w:rsid w:val="5DD8515A"/>
    <w:rsid w:val="5DD9C4AF"/>
    <w:rsid w:val="5DDAC0D8"/>
    <w:rsid w:val="5DDB79FE"/>
    <w:rsid w:val="5DDDA1EA"/>
    <w:rsid w:val="5DDEC80B"/>
    <w:rsid w:val="5DDFCC89"/>
    <w:rsid w:val="5DE0373A"/>
    <w:rsid w:val="5DE12C2C"/>
    <w:rsid w:val="5DE296FD"/>
    <w:rsid w:val="5DE3913D"/>
    <w:rsid w:val="5DE3CC6F"/>
    <w:rsid w:val="5DE4C249"/>
    <w:rsid w:val="5DE52DE7"/>
    <w:rsid w:val="5DE58D36"/>
    <w:rsid w:val="5DE5C88F"/>
    <w:rsid w:val="5DE610E1"/>
    <w:rsid w:val="5DE6265F"/>
    <w:rsid w:val="5DE8F2CE"/>
    <w:rsid w:val="5DF0609D"/>
    <w:rsid w:val="5DF1D6E9"/>
    <w:rsid w:val="5DF1F857"/>
    <w:rsid w:val="5DF29686"/>
    <w:rsid w:val="5DF2E660"/>
    <w:rsid w:val="5DF4621B"/>
    <w:rsid w:val="5DF555DC"/>
    <w:rsid w:val="5DF7D096"/>
    <w:rsid w:val="5DF82390"/>
    <w:rsid w:val="5DF85C1B"/>
    <w:rsid w:val="5DFC164D"/>
    <w:rsid w:val="5DFC48CA"/>
    <w:rsid w:val="5E00FC74"/>
    <w:rsid w:val="5E031F01"/>
    <w:rsid w:val="5E042413"/>
    <w:rsid w:val="5E0431D7"/>
    <w:rsid w:val="5E059179"/>
    <w:rsid w:val="5E07E749"/>
    <w:rsid w:val="5E084A93"/>
    <w:rsid w:val="5E08949C"/>
    <w:rsid w:val="5E098B95"/>
    <w:rsid w:val="5E09C62A"/>
    <w:rsid w:val="5E0B1DF6"/>
    <w:rsid w:val="5E0BA8A1"/>
    <w:rsid w:val="5E112436"/>
    <w:rsid w:val="5E118F78"/>
    <w:rsid w:val="5E163707"/>
    <w:rsid w:val="5E163965"/>
    <w:rsid w:val="5E16C88C"/>
    <w:rsid w:val="5E17A82A"/>
    <w:rsid w:val="5E199AC5"/>
    <w:rsid w:val="5E1B430C"/>
    <w:rsid w:val="5E1C7711"/>
    <w:rsid w:val="5E201448"/>
    <w:rsid w:val="5E20D093"/>
    <w:rsid w:val="5E217644"/>
    <w:rsid w:val="5E22C554"/>
    <w:rsid w:val="5E23B782"/>
    <w:rsid w:val="5E246C17"/>
    <w:rsid w:val="5E25A228"/>
    <w:rsid w:val="5E25A32C"/>
    <w:rsid w:val="5E2981CF"/>
    <w:rsid w:val="5E29A074"/>
    <w:rsid w:val="5E2B5243"/>
    <w:rsid w:val="5E2BCAD8"/>
    <w:rsid w:val="5E2C3D46"/>
    <w:rsid w:val="5E2CC757"/>
    <w:rsid w:val="5E2F6135"/>
    <w:rsid w:val="5E321251"/>
    <w:rsid w:val="5E323A3B"/>
    <w:rsid w:val="5E32ED96"/>
    <w:rsid w:val="5E33CF0D"/>
    <w:rsid w:val="5E358A8D"/>
    <w:rsid w:val="5E36BF93"/>
    <w:rsid w:val="5E378675"/>
    <w:rsid w:val="5E399E3F"/>
    <w:rsid w:val="5E3A2C8F"/>
    <w:rsid w:val="5E3CB522"/>
    <w:rsid w:val="5E3F2312"/>
    <w:rsid w:val="5E4137CF"/>
    <w:rsid w:val="5E418ABF"/>
    <w:rsid w:val="5E41D7FD"/>
    <w:rsid w:val="5E42B45D"/>
    <w:rsid w:val="5E44B3AA"/>
    <w:rsid w:val="5E461E67"/>
    <w:rsid w:val="5E49055E"/>
    <w:rsid w:val="5E4AB53B"/>
    <w:rsid w:val="5E4CBA5B"/>
    <w:rsid w:val="5E4FCC23"/>
    <w:rsid w:val="5E5008D3"/>
    <w:rsid w:val="5E504F5D"/>
    <w:rsid w:val="5E5188C1"/>
    <w:rsid w:val="5E51DAEA"/>
    <w:rsid w:val="5E53D58B"/>
    <w:rsid w:val="5E55C8B3"/>
    <w:rsid w:val="5E57B045"/>
    <w:rsid w:val="5E5C6BC2"/>
    <w:rsid w:val="5E5DE2DE"/>
    <w:rsid w:val="5E60D703"/>
    <w:rsid w:val="5E613CF4"/>
    <w:rsid w:val="5E620D5D"/>
    <w:rsid w:val="5E63B131"/>
    <w:rsid w:val="5E63B71E"/>
    <w:rsid w:val="5E6984C8"/>
    <w:rsid w:val="5E6E6896"/>
    <w:rsid w:val="5E6F8A66"/>
    <w:rsid w:val="5E71F06C"/>
    <w:rsid w:val="5E7444AD"/>
    <w:rsid w:val="5E7599DD"/>
    <w:rsid w:val="5E75B9D2"/>
    <w:rsid w:val="5E75EC08"/>
    <w:rsid w:val="5E79059D"/>
    <w:rsid w:val="5E7A014E"/>
    <w:rsid w:val="5E7B570E"/>
    <w:rsid w:val="5E7B7AA5"/>
    <w:rsid w:val="5E7C921F"/>
    <w:rsid w:val="5E7D65E7"/>
    <w:rsid w:val="5E7EDF97"/>
    <w:rsid w:val="5E7F79D2"/>
    <w:rsid w:val="5E80AE58"/>
    <w:rsid w:val="5E8125B8"/>
    <w:rsid w:val="5E823EB4"/>
    <w:rsid w:val="5E82E9EF"/>
    <w:rsid w:val="5E847EFB"/>
    <w:rsid w:val="5E86EAFE"/>
    <w:rsid w:val="5E898387"/>
    <w:rsid w:val="5E89BA7F"/>
    <w:rsid w:val="5E8A93B5"/>
    <w:rsid w:val="5E8B0CB1"/>
    <w:rsid w:val="5E8C33B0"/>
    <w:rsid w:val="5E8D7FE2"/>
    <w:rsid w:val="5E8FB667"/>
    <w:rsid w:val="5E905C0A"/>
    <w:rsid w:val="5E93629C"/>
    <w:rsid w:val="5E9534E8"/>
    <w:rsid w:val="5E95B457"/>
    <w:rsid w:val="5E96864A"/>
    <w:rsid w:val="5E973866"/>
    <w:rsid w:val="5E97A930"/>
    <w:rsid w:val="5E99333C"/>
    <w:rsid w:val="5E9ADD9D"/>
    <w:rsid w:val="5E9BD192"/>
    <w:rsid w:val="5E9C0D2B"/>
    <w:rsid w:val="5E9CD09D"/>
    <w:rsid w:val="5E9CD394"/>
    <w:rsid w:val="5E9D888C"/>
    <w:rsid w:val="5E9E4794"/>
    <w:rsid w:val="5E9EC92A"/>
    <w:rsid w:val="5EA076A2"/>
    <w:rsid w:val="5EA352AB"/>
    <w:rsid w:val="5EA477EB"/>
    <w:rsid w:val="5EA48323"/>
    <w:rsid w:val="5EA53C8A"/>
    <w:rsid w:val="5EA85836"/>
    <w:rsid w:val="5EA92BB4"/>
    <w:rsid w:val="5EAB94FA"/>
    <w:rsid w:val="5EAC916C"/>
    <w:rsid w:val="5EAC9E9E"/>
    <w:rsid w:val="5EAFB2DF"/>
    <w:rsid w:val="5EB1E94B"/>
    <w:rsid w:val="5EB28C52"/>
    <w:rsid w:val="5EB35E20"/>
    <w:rsid w:val="5EB36E52"/>
    <w:rsid w:val="5EB3D56B"/>
    <w:rsid w:val="5EB4E3D7"/>
    <w:rsid w:val="5EB70517"/>
    <w:rsid w:val="5EB7238C"/>
    <w:rsid w:val="5EB75968"/>
    <w:rsid w:val="5EB9A364"/>
    <w:rsid w:val="5EBA52AD"/>
    <w:rsid w:val="5EBC41A9"/>
    <w:rsid w:val="5EC0FEB2"/>
    <w:rsid w:val="5EC2325D"/>
    <w:rsid w:val="5EC43D75"/>
    <w:rsid w:val="5EC5097A"/>
    <w:rsid w:val="5ECA4130"/>
    <w:rsid w:val="5ECAAECD"/>
    <w:rsid w:val="5ECCE63A"/>
    <w:rsid w:val="5ECF23C5"/>
    <w:rsid w:val="5ECF760E"/>
    <w:rsid w:val="5ED14575"/>
    <w:rsid w:val="5ED1903A"/>
    <w:rsid w:val="5ED1E6B2"/>
    <w:rsid w:val="5ED3AE42"/>
    <w:rsid w:val="5ED5054A"/>
    <w:rsid w:val="5ED58266"/>
    <w:rsid w:val="5ED827E1"/>
    <w:rsid w:val="5ED835EC"/>
    <w:rsid w:val="5ED9BF31"/>
    <w:rsid w:val="5EDA7F7B"/>
    <w:rsid w:val="5EDA99D0"/>
    <w:rsid w:val="5EDBD3CF"/>
    <w:rsid w:val="5EDC192E"/>
    <w:rsid w:val="5EDEFF76"/>
    <w:rsid w:val="5EE05053"/>
    <w:rsid w:val="5EE19A7D"/>
    <w:rsid w:val="5EE44835"/>
    <w:rsid w:val="5EE46920"/>
    <w:rsid w:val="5EE89A8B"/>
    <w:rsid w:val="5EEA7D81"/>
    <w:rsid w:val="5EEB8D59"/>
    <w:rsid w:val="5EEC3608"/>
    <w:rsid w:val="5EEEFF98"/>
    <w:rsid w:val="5EF03572"/>
    <w:rsid w:val="5EF51C4B"/>
    <w:rsid w:val="5EF613BD"/>
    <w:rsid w:val="5EF686EC"/>
    <w:rsid w:val="5EF737C9"/>
    <w:rsid w:val="5EF7C618"/>
    <w:rsid w:val="5EF84385"/>
    <w:rsid w:val="5EF843C7"/>
    <w:rsid w:val="5F012FAE"/>
    <w:rsid w:val="5F02FB1C"/>
    <w:rsid w:val="5F0321B6"/>
    <w:rsid w:val="5F069788"/>
    <w:rsid w:val="5F06B0C1"/>
    <w:rsid w:val="5F071FB3"/>
    <w:rsid w:val="5F078D87"/>
    <w:rsid w:val="5F07EA4D"/>
    <w:rsid w:val="5F091576"/>
    <w:rsid w:val="5F0BC223"/>
    <w:rsid w:val="5F0CF9F7"/>
    <w:rsid w:val="5F0D5809"/>
    <w:rsid w:val="5F0E7EA7"/>
    <w:rsid w:val="5F103BA4"/>
    <w:rsid w:val="5F10D25E"/>
    <w:rsid w:val="5F12323A"/>
    <w:rsid w:val="5F15A410"/>
    <w:rsid w:val="5F171744"/>
    <w:rsid w:val="5F178028"/>
    <w:rsid w:val="5F19C967"/>
    <w:rsid w:val="5F1BBC2D"/>
    <w:rsid w:val="5F1E0779"/>
    <w:rsid w:val="5F1E69C6"/>
    <w:rsid w:val="5F231CB1"/>
    <w:rsid w:val="5F238E04"/>
    <w:rsid w:val="5F243C77"/>
    <w:rsid w:val="5F250027"/>
    <w:rsid w:val="5F259C4C"/>
    <w:rsid w:val="5F265EA6"/>
    <w:rsid w:val="5F283B90"/>
    <w:rsid w:val="5F289160"/>
    <w:rsid w:val="5F28C802"/>
    <w:rsid w:val="5F298E37"/>
    <w:rsid w:val="5F2A0CAC"/>
    <w:rsid w:val="5F2A5AD0"/>
    <w:rsid w:val="5F2DC6D8"/>
    <w:rsid w:val="5F2E27E7"/>
    <w:rsid w:val="5F3123C0"/>
    <w:rsid w:val="5F31BFBB"/>
    <w:rsid w:val="5F3280D7"/>
    <w:rsid w:val="5F356E71"/>
    <w:rsid w:val="5F3868C5"/>
    <w:rsid w:val="5F3A7B28"/>
    <w:rsid w:val="5F3CB03E"/>
    <w:rsid w:val="5F3D339E"/>
    <w:rsid w:val="5F3E881C"/>
    <w:rsid w:val="5F4313B2"/>
    <w:rsid w:val="5F44861F"/>
    <w:rsid w:val="5F47A00E"/>
    <w:rsid w:val="5F47E2E9"/>
    <w:rsid w:val="5F4A853F"/>
    <w:rsid w:val="5F4AADB9"/>
    <w:rsid w:val="5F4B0368"/>
    <w:rsid w:val="5F4B0DAA"/>
    <w:rsid w:val="5F4F61F6"/>
    <w:rsid w:val="5F5475C7"/>
    <w:rsid w:val="5F54EBB2"/>
    <w:rsid w:val="5F583C9C"/>
    <w:rsid w:val="5F584500"/>
    <w:rsid w:val="5F592B83"/>
    <w:rsid w:val="5F5BDFFE"/>
    <w:rsid w:val="5F5C0B2E"/>
    <w:rsid w:val="5F5D6D7F"/>
    <w:rsid w:val="5F5D832C"/>
    <w:rsid w:val="5F5EA67E"/>
    <w:rsid w:val="5F60660D"/>
    <w:rsid w:val="5F60899D"/>
    <w:rsid w:val="5F61D72E"/>
    <w:rsid w:val="5F6242FA"/>
    <w:rsid w:val="5F647BD6"/>
    <w:rsid w:val="5F6539E4"/>
    <w:rsid w:val="5F66616E"/>
    <w:rsid w:val="5F6BEAF6"/>
    <w:rsid w:val="5F6EBB38"/>
    <w:rsid w:val="5F70E339"/>
    <w:rsid w:val="5F7341C0"/>
    <w:rsid w:val="5F73F78C"/>
    <w:rsid w:val="5F742EC9"/>
    <w:rsid w:val="5F75EC17"/>
    <w:rsid w:val="5F762982"/>
    <w:rsid w:val="5F765D2A"/>
    <w:rsid w:val="5F773CA4"/>
    <w:rsid w:val="5F783FB2"/>
    <w:rsid w:val="5F79AB76"/>
    <w:rsid w:val="5F7A2343"/>
    <w:rsid w:val="5F7D219E"/>
    <w:rsid w:val="5F7DDFB4"/>
    <w:rsid w:val="5F7DE334"/>
    <w:rsid w:val="5F7DFE15"/>
    <w:rsid w:val="5F7F816E"/>
    <w:rsid w:val="5F7FE6EC"/>
    <w:rsid w:val="5F809024"/>
    <w:rsid w:val="5F81273E"/>
    <w:rsid w:val="5F8281C0"/>
    <w:rsid w:val="5F833E18"/>
    <w:rsid w:val="5F8461B2"/>
    <w:rsid w:val="5F84B0D9"/>
    <w:rsid w:val="5F84CE92"/>
    <w:rsid w:val="5F84FCA2"/>
    <w:rsid w:val="5F857D50"/>
    <w:rsid w:val="5F865E9C"/>
    <w:rsid w:val="5F8A6F47"/>
    <w:rsid w:val="5F8B796D"/>
    <w:rsid w:val="5F8CA436"/>
    <w:rsid w:val="5F8EF955"/>
    <w:rsid w:val="5F8FB118"/>
    <w:rsid w:val="5F9142FB"/>
    <w:rsid w:val="5F9219B7"/>
    <w:rsid w:val="5F93F864"/>
    <w:rsid w:val="5F94A325"/>
    <w:rsid w:val="5F962514"/>
    <w:rsid w:val="5F967CC9"/>
    <w:rsid w:val="5F9731D2"/>
    <w:rsid w:val="5F97B3C6"/>
    <w:rsid w:val="5F9A75D9"/>
    <w:rsid w:val="5F9D695C"/>
    <w:rsid w:val="5F9DBD38"/>
    <w:rsid w:val="5F9E01C0"/>
    <w:rsid w:val="5F9FA525"/>
    <w:rsid w:val="5FA13114"/>
    <w:rsid w:val="5FA21B95"/>
    <w:rsid w:val="5FA35BCB"/>
    <w:rsid w:val="5FA56EB1"/>
    <w:rsid w:val="5FA7F94C"/>
    <w:rsid w:val="5FA99F7E"/>
    <w:rsid w:val="5FACB29A"/>
    <w:rsid w:val="5FAD9258"/>
    <w:rsid w:val="5FAE87FA"/>
    <w:rsid w:val="5FAF4D3A"/>
    <w:rsid w:val="5FAFAC06"/>
    <w:rsid w:val="5FB032A2"/>
    <w:rsid w:val="5FB31268"/>
    <w:rsid w:val="5FB32D53"/>
    <w:rsid w:val="5FB37AA5"/>
    <w:rsid w:val="5FB3E047"/>
    <w:rsid w:val="5FB5E073"/>
    <w:rsid w:val="5FB67A19"/>
    <w:rsid w:val="5FB67E1B"/>
    <w:rsid w:val="5FB7BA0A"/>
    <w:rsid w:val="5FB7EFFF"/>
    <w:rsid w:val="5FB8646A"/>
    <w:rsid w:val="5FBAB728"/>
    <w:rsid w:val="5FBAC30B"/>
    <w:rsid w:val="5FBCFFE2"/>
    <w:rsid w:val="5FBF81B5"/>
    <w:rsid w:val="5FBFA05B"/>
    <w:rsid w:val="5FC05C51"/>
    <w:rsid w:val="5FC12E9D"/>
    <w:rsid w:val="5FC2DF33"/>
    <w:rsid w:val="5FC429E9"/>
    <w:rsid w:val="5FC6DC62"/>
    <w:rsid w:val="5FC73CE5"/>
    <w:rsid w:val="5FC93679"/>
    <w:rsid w:val="5FC93CC1"/>
    <w:rsid w:val="5FCA1D5D"/>
    <w:rsid w:val="5FCB09FD"/>
    <w:rsid w:val="5FCD4D2C"/>
    <w:rsid w:val="5FCE462E"/>
    <w:rsid w:val="5FD03809"/>
    <w:rsid w:val="5FD0F083"/>
    <w:rsid w:val="5FD1A3C2"/>
    <w:rsid w:val="5FD36927"/>
    <w:rsid w:val="5FD78963"/>
    <w:rsid w:val="5FDA85DB"/>
    <w:rsid w:val="5FDDB846"/>
    <w:rsid w:val="5FDF3427"/>
    <w:rsid w:val="5FE02DE8"/>
    <w:rsid w:val="5FE24EA6"/>
    <w:rsid w:val="5FE253F3"/>
    <w:rsid w:val="5FE2B8B5"/>
    <w:rsid w:val="5FE3878A"/>
    <w:rsid w:val="5FE491B8"/>
    <w:rsid w:val="5FE4E6FD"/>
    <w:rsid w:val="5FE8281A"/>
    <w:rsid w:val="5FE9F668"/>
    <w:rsid w:val="5FEB11AF"/>
    <w:rsid w:val="5FEDC703"/>
    <w:rsid w:val="5FEE5BAB"/>
    <w:rsid w:val="5FEFBA66"/>
    <w:rsid w:val="5FF0FB8A"/>
    <w:rsid w:val="5FF1121F"/>
    <w:rsid w:val="5FF17958"/>
    <w:rsid w:val="5FF20A99"/>
    <w:rsid w:val="5FF373EE"/>
    <w:rsid w:val="5FF62CD6"/>
    <w:rsid w:val="5FF83492"/>
    <w:rsid w:val="5FF88E8F"/>
    <w:rsid w:val="5FFB852B"/>
    <w:rsid w:val="600185B3"/>
    <w:rsid w:val="6001E40E"/>
    <w:rsid w:val="600439D9"/>
    <w:rsid w:val="60053D5E"/>
    <w:rsid w:val="60079580"/>
    <w:rsid w:val="6008BEB5"/>
    <w:rsid w:val="6008CA01"/>
    <w:rsid w:val="6008EFF7"/>
    <w:rsid w:val="6009E7A9"/>
    <w:rsid w:val="600C0FA2"/>
    <w:rsid w:val="600CBA93"/>
    <w:rsid w:val="600D64A8"/>
    <w:rsid w:val="600DD720"/>
    <w:rsid w:val="601067DC"/>
    <w:rsid w:val="60126ABB"/>
    <w:rsid w:val="6012D2FD"/>
    <w:rsid w:val="60161393"/>
    <w:rsid w:val="60162006"/>
    <w:rsid w:val="6016FD69"/>
    <w:rsid w:val="6017270E"/>
    <w:rsid w:val="601A756B"/>
    <w:rsid w:val="601B1652"/>
    <w:rsid w:val="601C71EC"/>
    <w:rsid w:val="601CDE3E"/>
    <w:rsid w:val="601CE764"/>
    <w:rsid w:val="601D974E"/>
    <w:rsid w:val="601E587B"/>
    <w:rsid w:val="60208A36"/>
    <w:rsid w:val="6020B776"/>
    <w:rsid w:val="60229F34"/>
    <w:rsid w:val="60249DCE"/>
    <w:rsid w:val="602707F6"/>
    <w:rsid w:val="60288B7D"/>
    <w:rsid w:val="60298B4A"/>
    <w:rsid w:val="6029C3BD"/>
    <w:rsid w:val="6029D725"/>
    <w:rsid w:val="602A1C29"/>
    <w:rsid w:val="602ACDA5"/>
    <w:rsid w:val="602D146E"/>
    <w:rsid w:val="602D2F3E"/>
    <w:rsid w:val="6031E550"/>
    <w:rsid w:val="6032C049"/>
    <w:rsid w:val="60352672"/>
    <w:rsid w:val="6035BD68"/>
    <w:rsid w:val="6036CB7A"/>
    <w:rsid w:val="6037ADCF"/>
    <w:rsid w:val="603B97BF"/>
    <w:rsid w:val="603CEC7A"/>
    <w:rsid w:val="603D7301"/>
    <w:rsid w:val="6040B568"/>
    <w:rsid w:val="60411E22"/>
    <w:rsid w:val="604198AE"/>
    <w:rsid w:val="60439702"/>
    <w:rsid w:val="604714E8"/>
    <w:rsid w:val="6047C611"/>
    <w:rsid w:val="60485D97"/>
    <w:rsid w:val="604B916E"/>
    <w:rsid w:val="604CE83A"/>
    <w:rsid w:val="604D1F41"/>
    <w:rsid w:val="604E8BC6"/>
    <w:rsid w:val="60503833"/>
    <w:rsid w:val="6051E332"/>
    <w:rsid w:val="6052C0EB"/>
    <w:rsid w:val="6053F5D2"/>
    <w:rsid w:val="60547811"/>
    <w:rsid w:val="6059ED0B"/>
    <w:rsid w:val="6059EE9B"/>
    <w:rsid w:val="6059F392"/>
    <w:rsid w:val="605A2CF0"/>
    <w:rsid w:val="605B48BE"/>
    <w:rsid w:val="605BC79B"/>
    <w:rsid w:val="605CC66F"/>
    <w:rsid w:val="605F170D"/>
    <w:rsid w:val="6061E6B3"/>
    <w:rsid w:val="6062ABD8"/>
    <w:rsid w:val="606436B9"/>
    <w:rsid w:val="606438A6"/>
    <w:rsid w:val="606708D7"/>
    <w:rsid w:val="6067A510"/>
    <w:rsid w:val="606CDAD3"/>
    <w:rsid w:val="606E3FB0"/>
    <w:rsid w:val="60750E2E"/>
    <w:rsid w:val="6075D570"/>
    <w:rsid w:val="60765EA7"/>
    <w:rsid w:val="60789E11"/>
    <w:rsid w:val="607A8479"/>
    <w:rsid w:val="607B7252"/>
    <w:rsid w:val="607BB297"/>
    <w:rsid w:val="607C96C5"/>
    <w:rsid w:val="607EBECA"/>
    <w:rsid w:val="607F206C"/>
    <w:rsid w:val="60800DC0"/>
    <w:rsid w:val="60810B13"/>
    <w:rsid w:val="60815751"/>
    <w:rsid w:val="608157F4"/>
    <w:rsid w:val="6084410D"/>
    <w:rsid w:val="60844A35"/>
    <w:rsid w:val="60849B54"/>
    <w:rsid w:val="60865DCB"/>
    <w:rsid w:val="60879D79"/>
    <w:rsid w:val="6089BDA3"/>
    <w:rsid w:val="608A0FF2"/>
    <w:rsid w:val="608C3F6A"/>
    <w:rsid w:val="608C4230"/>
    <w:rsid w:val="608D1003"/>
    <w:rsid w:val="608D8C65"/>
    <w:rsid w:val="608DF44B"/>
    <w:rsid w:val="608FA5AA"/>
    <w:rsid w:val="609074DB"/>
    <w:rsid w:val="6095878C"/>
    <w:rsid w:val="6095A6D1"/>
    <w:rsid w:val="6095B1A3"/>
    <w:rsid w:val="60974AB0"/>
    <w:rsid w:val="6099738F"/>
    <w:rsid w:val="6099CD27"/>
    <w:rsid w:val="609CB907"/>
    <w:rsid w:val="609DC5DB"/>
    <w:rsid w:val="609F3CCA"/>
    <w:rsid w:val="609F75CA"/>
    <w:rsid w:val="60A25988"/>
    <w:rsid w:val="60A3122C"/>
    <w:rsid w:val="60A42F50"/>
    <w:rsid w:val="60A650CE"/>
    <w:rsid w:val="60A84846"/>
    <w:rsid w:val="60A8A7AD"/>
    <w:rsid w:val="60A986BA"/>
    <w:rsid w:val="60AC3672"/>
    <w:rsid w:val="60AC5482"/>
    <w:rsid w:val="60ADFCCF"/>
    <w:rsid w:val="60AEBBA2"/>
    <w:rsid w:val="60B264E0"/>
    <w:rsid w:val="60B30A3C"/>
    <w:rsid w:val="60B58860"/>
    <w:rsid w:val="60B5E9C5"/>
    <w:rsid w:val="60B64D59"/>
    <w:rsid w:val="60BA680E"/>
    <w:rsid w:val="60BC131F"/>
    <w:rsid w:val="60BF76C7"/>
    <w:rsid w:val="60BF8354"/>
    <w:rsid w:val="60C19BFB"/>
    <w:rsid w:val="60C1FA1C"/>
    <w:rsid w:val="60C20835"/>
    <w:rsid w:val="60C2D80C"/>
    <w:rsid w:val="60C30E35"/>
    <w:rsid w:val="60C67DA2"/>
    <w:rsid w:val="60C894FA"/>
    <w:rsid w:val="60CA1ED6"/>
    <w:rsid w:val="60CA8D7F"/>
    <w:rsid w:val="60CC63F0"/>
    <w:rsid w:val="60CDE727"/>
    <w:rsid w:val="60CE1B6C"/>
    <w:rsid w:val="60CFE98E"/>
    <w:rsid w:val="60D36977"/>
    <w:rsid w:val="60D554BD"/>
    <w:rsid w:val="60D630CF"/>
    <w:rsid w:val="60D8B559"/>
    <w:rsid w:val="60D8F9DD"/>
    <w:rsid w:val="60E0EDC5"/>
    <w:rsid w:val="60E116E2"/>
    <w:rsid w:val="60E2658C"/>
    <w:rsid w:val="60E2DC59"/>
    <w:rsid w:val="60E321A0"/>
    <w:rsid w:val="60E3B7E8"/>
    <w:rsid w:val="60E46736"/>
    <w:rsid w:val="60E921DB"/>
    <w:rsid w:val="60EA06B7"/>
    <w:rsid w:val="60EB4442"/>
    <w:rsid w:val="60EBC058"/>
    <w:rsid w:val="60EDE87A"/>
    <w:rsid w:val="60EEE54F"/>
    <w:rsid w:val="60F17219"/>
    <w:rsid w:val="60F3A696"/>
    <w:rsid w:val="60F3E5DF"/>
    <w:rsid w:val="60F4A6AE"/>
    <w:rsid w:val="60F64FFE"/>
    <w:rsid w:val="60F6589D"/>
    <w:rsid w:val="60F7D1EF"/>
    <w:rsid w:val="60F9C78A"/>
    <w:rsid w:val="60FA60C3"/>
    <w:rsid w:val="60FA9013"/>
    <w:rsid w:val="60FC71B9"/>
    <w:rsid w:val="60FEF10F"/>
    <w:rsid w:val="6100AF82"/>
    <w:rsid w:val="61024E52"/>
    <w:rsid w:val="6102FB83"/>
    <w:rsid w:val="61033C26"/>
    <w:rsid w:val="610466E3"/>
    <w:rsid w:val="61073739"/>
    <w:rsid w:val="6107E797"/>
    <w:rsid w:val="6108B9B6"/>
    <w:rsid w:val="610A5AC5"/>
    <w:rsid w:val="61121395"/>
    <w:rsid w:val="61147146"/>
    <w:rsid w:val="6115845A"/>
    <w:rsid w:val="6116968F"/>
    <w:rsid w:val="611851A3"/>
    <w:rsid w:val="611C04B8"/>
    <w:rsid w:val="611EB7D7"/>
    <w:rsid w:val="611F422B"/>
    <w:rsid w:val="612258C4"/>
    <w:rsid w:val="61244983"/>
    <w:rsid w:val="6124CF71"/>
    <w:rsid w:val="6126CDBC"/>
    <w:rsid w:val="61274198"/>
    <w:rsid w:val="6128F63A"/>
    <w:rsid w:val="612900F7"/>
    <w:rsid w:val="612B0D06"/>
    <w:rsid w:val="612BCBAF"/>
    <w:rsid w:val="612C8750"/>
    <w:rsid w:val="612CE59C"/>
    <w:rsid w:val="612CE962"/>
    <w:rsid w:val="612E2A38"/>
    <w:rsid w:val="612EBFD8"/>
    <w:rsid w:val="6131BC47"/>
    <w:rsid w:val="6133185B"/>
    <w:rsid w:val="613375A4"/>
    <w:rsid w:val="6134623C"/>
    <w:rsid w:val="6134BB7C"/>
    <w:rsid w:val="613791E6"/>
    <w:rsid w:val="613952E9"/>
    <w:rsid w:val="6139C669"/>
    <w:rsid w:val="6139CC65"/>
    <w:rsid w:val="613A4AC6"/>
    <w:rsid w:val="613C79B7"/>
    <w:rsid w:val="613DBB6C"/>
    <w:rsid w:val="613EBB6F"/>
    <w:rsid w:val="614129AA"/>
    <w:rsid w:val="61435699"/>
    <w:rsid w:val="6145D6D1"/>
    <w:rsid w:val="6146B5AC"/>
    <w:rsid w:val="6147460B"/>
    <w:rsid w:val="6147BE78"/>
    <w:rsid w:val="614826E7"/>
    <w:rsid w:val="614839BB"/>
    <w:rsid w:val="61487BBE"/>
    <w:rsid w:val="6148FFE3"/>
    <w:rsid w:val="614949D2"/>
    <w:rsid w:val="61498003"/>
    <w:rsid w:val="614B0A43"/>
    <w:rsid w:val="614C9B63"/>
    <w:rsid w:val="615071D6"/>
    <w:rsid w:val="6153FA67"/>
    <w:rsid w:val="61550AE2"/>
    <w:rsid w:val="61563197"/>
    <w:rsid w:val="615AB1E1"/>
    <w:rsid w:val="615C8671"/>
    <w:rsid w:val="615D145F"/>
    <w:rsid w:val="615E7454"/>
    <w:rsid w:val="616100E1"/>
    <w:rsid w:val="616216DD"/>
    <w:rsid w:val="6164101C"/>
    <w:rsid w:val="61660654"/>
    <w:rsid w:val="6166B2F5"/>
    <w:rsid w:val="6167E781"/>
    <w:rsid w:val="61695425"/>
    <w:rsid w:val="6169F41C"/>
    <w:rsid w:val="616BC7EE"/>
    <w:rsid w:val="616C2557"/>
    <w:rsid w:val="616CD145"/>
    <w:rsid w:val="616D65D3"/>
    <w:rsid w:val="616E9210"/>
    <w:rsid w:val="61706192"/>
    <w:rsid w:val="6170DC47"/>
    <w:rsid w:val="61724E72"/>
    <w:rsid w:val="61765FD6"/>
    <w:rsid w:val="6177A073"/>
    <w:rsid w:val="617A35E2"/>
    <w:rsid w:val="617A6D90"/>
    <w:rsid w:val="617B6882"/>
    <w:rsid w:val="6180048C"/>
    <w:rsid w:val="61823E15"/>
    <w:rsid w:val="6182EFFF"/>
    <w:rsid w:val="61864CDF"/>
    <w:rsid w:val="61869C8F"/>
    <w:rsid w:val="618821C9"/>
    <w:rsid w:val="6189844F"/>
    <w:rsid w:val="6189AED3"/>
    <w:rsid w:val="618BA1D9"/>
    <w:rsid w:val="618C22E6"/>
    <w:rsid w:val="618C704D"/>
    <w:rsid w:val="618DB996"/>
    <w:rsid w:val="618E2584"/>
    <w:rsid w:val="618F1EB1"/>
    <w:rsid w:val="618FA0D2"/>
    <w:rsid w:val="61913B25"/>
    <w:rsid w:val="6191DBA7"/>
    <w:rsid w:val="6192CD7B"/>
    <w:rsid w:val="61940403"/>
    <w:rsid w:val="61943AF0"/>
    <w:rsid w:val="6195B327"/>
    <w:rsid w:val="6197FDB7"/>
    <w:rsid w:val="61986828"/>
    <w:rsid w:val="61997F8C"/>
    <w:rsid w:val="6199A929"/>
    <w:rsid w:val="619C0389"/>
    <w:rsid w:val="619CA32B"/>
    <w:rsid w:val="619D67FA"/>
    <w:rsid w:val="619E0945"/>
    <w:rsid w:val="61A267F0"/>
    <w:rsid w:val="61A2970D"/>
    <w:rsid w:val="61A564CE"/>
    <w:rsid w:val="61A686AF"/>
    <w:rsid w:val="61A8F845"/>
    <w:rsid w:val="61AA3524"/>
    <w:rsid w:val="61ABD7CB"/>
    <w:rsid w:val="61AD5E36"/>
    <w:rsid w:val="61AE7D8D"/>
    <w:rsid w:val="61AF4797"/>
    <w:rsid w:val="61AF8006"/>
    <w:rsid w:val="61B201C2"/>
    <w:rsid w:val="61B308A5"/>
    <w:rsid w:val="61B3E4D5"/>
    <w:rsid w:val="61B428EE"/>
    <w:rsid w:val="61B4B883"/>
    <w:rsid w:val="61B5BCD7"/>
    <w:rsid w:val="61B80659"/>
    <w:rsid w:val="61B8B7FE"/>
    <w:rsid w:val="61B9380B"/>
    <w:rsid w:val="61B9524F"/>
    <w:rsid w:val="61B96BF1"/>
    <w:rsid w:val="61BAB6BA"/>
    <w:rsid w:val="61BBB118"/>
    <w:rsid w:val="61BE9FCB"/>
    <w:rsid w:val="61BEDF8A"/>
    <w:rsid w:val="61BF676C"/>
    <w:rsid w:val="61BFCF77"/>
    <w:rsid w:val="61BFE700"/>
    <w:rsid w:val="61C0FD1C"/>
    <w:rsid w:val="61C1C5BB"/>
    <w:rsid w:val="61C31612"/>
    <w:rsid w:val="61C39273"/>
    <w:rsid w:val="61C39857"/>
    <w:rsid w:val="61C462AD"/>
    <w:rsid w:val="61C5D206"/>
    <w:rsid w:val="61C68DC0"/>
    <w:rsid w:val="61C76F77"/>
    <w:rsid w:val="61C96468"/>
    <w:rsid w:val="61CB717A"/>
    <w:rsid w:val="61CFF784"/>
    <w:rsid w:val="61D1B89F"/>
    <w:rsid w:val="61D4E341"/>
    <w:rsid w:val="61D557BC"/>
    <w:rsid w:val="61D6D10D"/>
    <w:rsid w:val="61D7D457"/>
    <w:rsid w:val="61D907E7"/>
    <w:rsid w:val="61D9F510"/>
    <w:rsid w:val="61DC447F"/>
    <w:rsid w:val="61DC44BF"/>
    <w:rsid w:val="61DED1A8"/>
    <w:rsid w:val="61DF29EB"/>
    <w:rsid w:val="61E156D4"/>
    <w:rsid w:val="61E26560"/>
    <w:rsid w:val="61E2BAEA"/>
    <w:rsid w:val="61E32805"/>
    <w:rsid w:val="61E3C9AA"/>
    <w:rsid w:val="61E58891"/>
    <w:rsid w:val="61E71A48"/>
    <w:rsid w:val="61E7683E"/>
    <w:rsid w:val="61E8B97F"/>
    <w:rsid w:val="61E91206"/>
    <w:rsid w:val="61EC6348"/>
    <w:rsid w:val="61ECCB7B"/>
    <w:rsid w:val="61EEFAD4"/>
    <w:rsid w:val="61EF4578"/>
    <w:rsid w:val="61EF6584"/>
    <w:rsid w:val="61F109B9"/>
    <w:rsid w:val="61F325B8"/>
    <w:rsid w:val="61F350DA"/>
    <w:rsid w:val="61F5144A"/>
    <w:rsid w:val="61F5BD00"/>
    <w:rsid w:val="61F70ECA"/>
    <w:rsid w:val="61F8CB62"/>
    <w:rsid w:val="61F9104A"/>
    <w:rsid w:val="61FA504B"/>
    <w:rsid w:val="61FC5D33"/>
    <w:rsid w:val="61FE60AB"/>
    <w:rsid w:val="61FE633A"/>
    <w:rsid w:val="61FFEF03"/>
    <w:rsid w:val="620032B2"/>
    <w:rsid w:val="6200500D"/>
    <w:rsid w:val="6200D950"/>
    <w:rsid w:val="6200F6B3"/>
    <w:rsid w:val="62012A05"/>
    <w:rsid w:val="620214E0"/>
    <w:rsid w:val="62022FE6"/>
    <w:rsid w:val="6203CE8D"/>
    <w:rsid w:val="6204F3EB"/>
    <w:rsid w:val="620615BA"/>
    <w:rsid w:val="62088CBE"/>
    <w:rsid w:val="6208C47B"/>
    <w:rsid w:val="6209A995"/>
    <w:rsid w:val="620AAA66"/>
    <w:rsid w:val="620BA10B"/>
    <w:rsid w:val="620C13AF"/>
    <w:rsid w:val="620F2C73"/>
    <w:rsid w:val="620FFC92"/>
    <w:rsid w:val="62101D4C"/>
    <w:rsid w:val="6210794A"/>
    <w:rsid w:val="62109EB2"/>
    <w:rsid w:val="6211B89C"/>
    <w:rsid w:val="6211D693"/>
    <w:rsid w:val="621242CE"/>
    <w:rsid w:val="6213CBBC"/>
    <w:rsid w:val="6213DEE8"/>
    <w:rsid w:val="6214879C"/>
    <w:rsid w:val="6215118D"/>
    <w:rsid w:val="62156CF9"/>
    <w:rsid w:val="6215A487"/>
    <w:rsid w:val="6216B25C"/>
    <w:rsid w:val="621BC00B"/>
    <w:rsid w:val="621C6E8A"/>
    <w:rsid w:val="621EC248"/>
    <w:rsid w:val="621FC683"/>
    <w:rsid w:val="622046C9"/>
    <w:rsid w:val="6224BB16"/>
    <w:rsid w:val="622C3247"/>
    <w:rsid w:val="622C9580"/>
    <w:rsid w:val="622CF508"/>
    <w:rsid w:val="622E0E3B"/>
    <w:rsid w:val="622E805F"/>
    <w:rsid w:val="6231CE7C"/>
    <w:rsid w:val="623504E7"/>
    <w:rsid w:val="6236C305"/>
    <w:rsid w:val="6236C97F"/>
    <w:rsid w:val="623883D8"/>
    <w:rsid w:val="623AF003"/>
    <w:rsid w:val="623C0435"/>
    <w:rsid w:val="623D326B"/>
    <w:rsid w:val="62432A3A"/>
    <w:rsid w:val="62433789"/>
    <w:rsid w:val="62448867"/>
    <w:rsid w:val="6244EC11"/>
    <w:rsid w:val="624647E2"/>
    <w:rsid w:val="62468E01"/>
    <w:rsid w:val="6247E178"/>
    <w:rsid w:val="62485266"/>
    <w:rsid w:val="624ACC64"/>
    <w:rsid w:val="624B79C6"/>
    <w:rsid w:val="624BD0B5"/>
    <w:rsid w:val="624E1AF9"/>
    <w:rsid w:val="624EC2F1"/>
    <w:rsid w:val="624EEE6A"/>
    <w:rsid w:val="624F0AA1"/>
    <w:rsid w:val="624F40C6"/>
    <w:rsid w:val="6251E335"/>
    <w:rsid w:val="62570962"/>
    <w:rsid w:val="62584CA8"/>
    <w:rsid w:val="625BE016"/>
    <w:rsid w:val="625DD186"/>
    <w:rsid w:val="625DEADB"/>
    <w:rsid w:val="625F7883"/>
    <w:rsid w:val="625FC729"/>
    <w:rsid w:val="626073EB"/>
    <w:rsid w:val="62636B61"/>
    <w:rsid w:val="6263808B"/>
    <w:rsid w:val="6264AF4F"/>
    <w:rsid w:val="6264CC39"/>
    <w:rsid w:val="6267C322"/>
    <w:rsid w:val="62680A74"/>
    <w:rsid w:val="6268DB99"/>
    <w:rsid w:val="626A2911"/>
    <w:rsid w:val="626C4180"/>
    <w:rsid w:val="626DB384"/>
    <w:rsid w:val="626E90B1"/>
    <w:rsid w:val="626F1E1C"/>
    <w:rsid w:val="626F2E0B"/>
    <w:rsid w:val="626F8B13"/>
    <w:rsid w:val="626FB3A8"/>
    <w:rsid w:val="626FEA8C"/>
    <w:rsid w:val="6272B5FE"/>
    <w:rsid w:val="6272F556"/>
    <w:rsid w:val="62771D0D"/>
    <w:rsid w:val="62773B97"/>
    <w:rsid w:val="62794743"/>
    <w:rsid w:val="627E5513"/>
    <w:rsid w:val="62869A0B"/>
    <w:rsid w:val="62873F9B"/>
    <w:rsid w:val="6289927F"/>
    <w:rsid w:val="628C394E"/>
    <w:rsid w:val="628EDC4D"/>
    <w:rsid w:val="628FD943"/>
    <w:rsid w:val="62918393"/>
    <w:rsid w:val="62923A38"/>
    <w:rsid w:val="6293A5FC"/>
    <w:rsid w:val="62960D07"/>
    <w:rsid w:val="629B06B8"/>
    <w:rsid w:val="629E02F1"/>
    <w:rsid w:val="629E3A48"/>
    <w:rsid w:val="62A0F7A4"/>
    <w:rsid w:val="62A13D62"/>
    <w:rsid w:val="62A1C0AA"/>
    <w:rsid w:val="62A1C39F"/>
    <w:rsid w:val="62A26D29"/>
    <w:rsid w:val="62A73204"/>
    <w:rsid w:val="62A764BA"/>
    <w:rsid w:val="62AA1EA7"/>
    <w:rsid w:val="62AC44C1"/>
    <w:rsid w:val="62AD0585"/>
    <w:rsid w:val="62AF0082"/>
    <w:rsid w:val="62B0B329"/>
    <w:rsid w:val="62B1C8D1"/>
    <w:rsid w:val="62B2963F"/>
    <w:rsid w:val="62B3A6EB"/>
    <w:rsid w:val="62B403B1"/>
    <w:rsid w:val="62B4BDBC"/>
    <w:rsid w:val="62B671DF"/>
    <w:rsid w:val="62B7BECA"/>
    <w:rsid w:val="62B80022"/>
    <w:rsid w:val="62BA17D2"/>
    <w:rsid w:val="62BA2895"/>
    <w:rsid w:val="62BA80E0"/>
    <w:rsid w:val="62BADD56"/>
    <w:rsid w:val="62BB73E2"/>
    <w:rsid w:val="62BC7F8C"/>
    <w:rsid w:val="62BE4AED"/>
    <w:rsid w:val="62BEB1B4"/>
    <w:rsid w:val="62BF66AE"/>
    <w:rsid w:val="62C07634"/>
    <w:rsid w:val="62C3F659"/>
    <w:rsid w:val="62C410EC"/>
    <w:rsid w:val="62C451CA"/>
    <w:rsid w:val="62C476FA"/>
    <w:rsid w:val="62C53CF5"/>
    <w:rsid w:val="62C781C0"/>
    <w:rsid w:val="62C97DAE"/>
    <w:rsid w:val="62C9D0BF"/>
    <w:rsid w:val="62CA3974"/>
    <w:rsid w:val="62CA8480"/>
    <w:rsid w:val="62CAA082"/>
    <w:rsid w:val="62CAACA2"/>
    <w:rsid w:val="62CB3829"/>
    <w:rsid w:val="62CB74FD"/>
    <w:rsid w:val="62CB8034"/>
    <w:rsid w:val="62CCBE50"/>
    <w:rsid w:val="62CD58B7"/>
    <w:rsid w:val="62CEB798"/>
    <w:rsid w:val="62CED817"/>
    <w:rsid w:val="62D09795"/>
    <w:rsid w:val="62D312E7"/>
    <w:rsid w:val="62D43A5E"/>
    <w:rsid w:val="62D5151D"/>
    <w:rsid w:val="62D5A993"/>
    <w:rsid w:val="62D71EBC"/>
    <w:rsid w:val="62D9221C"/>
    <w:rsid w:val="62D9F47B"/>
    <w:rsid w:val="62D9F687"/>
    <w:rsid w:val="62DBF9BF"/>
    <w:rsid w:val="62DCB2D3"/>
    <w:rsid w:val="62E0084F"/>
    <w:rsid w:val="62E07BBE"/>
    <w:rsid w:val="62E09EEF"/>
    <w:rsid w:val="62E1CDB8"/>
    <w:rsid w:val="62E244C3"/>
    <w:rsid w:val="62E2671B"/>
    <w:rsid w:val="62E3321E"/>
    <w:rsid w:val="62E5A68E"/>
    <w:rsid w:val="62E7C443"/>
    <w:rsid w:val="62E850CE"/>
    <w:rsid w:val="62EAE7E9"/>
    <w:rsid w:val="62EAFE5F"/>
    <w:rsid w:val="62ED390C"/>
    <w:rsid w:val="62ED42A4"/>
    <w:rsid w:val="62F12EF0"/>
    <w:rsid w:val="62F22B74"/>
    <w:rsid w:val="62F2ECE9"/>
    <w:rsid w:val="62F33872"/>
    <w:rsid w:val="62F57873"/>
    <w:rsid w:val="62F74683"/>
    <w:rsid w:val="62F7FC84"/>
    <w:rsid w:val="62F81CAB"/>
    <w:rsid w:val="62FAD49A"/>
    <w:rsid w:val="63016F11"/>
    <w:rsid w:val="63044B88"/>
    <w:rsid w:val="6306EBA0"/>
    <w:rsid w:val="630843A8"/>
    <w:rsid w:val="63090AA3"/>
    <w:rsid w:val="630A7BD3"/>
    <w:rsid w:val="630CA4F6"/>
    <w:rsid w:val="630D2E4F"/>
    <w:rsid w:val="630FB662"/>
    <w:rsid w:val="630FD632"/>
    <w:rsid w:val="6311628D"/>
    <w:rsid w:val="6313137F"/>
    <w:rsid w:val="631612F9"/>
    <w:rsid w:val="631764E1"/>
    <w:rsid w:val="63192FC3"/>
    <w:rsid w:val="63196C70"/>
    <w:rsid w:val="631ABB1B"/>
    <w:rsid w:val="631ABDC7"/>
    <w:rsid w:val="631E1CEB"/>
    <w:rsid w:val="631F5FB1"/>
    <w:rsid w:val="6320BC8D"/>
    <w:rsid w:val="63237256"/>
    <w:rsid w:val="6323F3C4"/>
    <w:rsid w:val="63243CFC"/>
    <w:rsid w:val="63257437"/>
    <w:rsid w:val="6327067E"/>
    <w:rsid w:val="632706EA"/>
    <w:rsid w:val="632A4C3B"/>
    <w:rsid w:val="632B280A"/>
    <w:rsid w:val="632C3926"/>
    <w:rsid w:val="632CBA66"/>
    <w:rsid w:val="632D2EC9"/>
    <w:rsid w:val="632DAFC8"/>
    <w:rsid w:val="632E8E16"/>
    <w:rsid w:val="632F8124"/>
    <w:rsid w:val="63327EB6"/>
    <w:rsid w:val="63331B59"/>
    <w:rsid w:val="633582B3"/>
    <w:rsid w:val="63360041"/>
    <w:rsid w:val="633610E6"/>
    <w:rsid w:val="6337F43E"/>
    <w:rsid w:val="63381577"/>
    <w:rsid w:val="6338EEBD"/>
    <w:rsid w:val="6339D7B1"/>
    <w:rsid w:val="633A8AEE"/>
    <w:rsid w:val="633AF9BE"/>
    <w:rsid w:val="633DBB09"/>
    <w:rsid w:val="633E51AD"/>
    <w:rsid w:val="633EEFE0"/>
    <w:rsid w:val="633F01C1"/>
    <w:rsid w:val="633FB789"/>
    <w:rsid w:val="6340A24F"/>
    <w:rsid w:val="6340AA61"/>
    <w:rsid w:val="6341A5AD"/>
    <w:rsid w:val="6341CBEB"/>
    <w:rsid w:val="6344AC9C"/>
    <w:rsid w:val="6344BA6D"/>
    <w:rsid w:val="63454584"/>
    <w:rsid w:val="6347B28A"/>
    <w:rsid w:val="634B1562"/>
    <w:rsid w:val="634B5F30"/>
    <w:rsid w:val="634FA259"/>
    <w:rsid w:val="634FCA9F"/>
    <w:rsid w:val="63507427"/>
    <w:rsid w:val="6350DD25"/>
    <w:rsid w:val="63521ED9"/>
    <w:rsid w:val="63529820"/>
    <w:rsid w:val="6356106C"/>
    <w:rsid w:val="63584EA5"/>
    <w:rsid w:val="6358584D"/>
    <w:rsid w:val="635AD9CB"/>
    <w:rsid w:val="635BB812"/>
    <w:rsid w:val="635BF40C"/>
    <w:rsid w:val="635BF4F2"/>
    <w:rsid w:val="635D0C82"/>
    <w:rsid w:val="635D1BA2"/>
    <w:rsid w:val="635E2170"/>
    <w:rsid w:val="635F7BEA"/>
    <w:rsid w:val="63614FB7"/>
    <w:rsid w:val="63616F0F"/>
    <w:rsid w:val="6366DE93"/>
    <w:rsid w:val="6369562F"/>
    <w:rsid w:val="636D3B85"/>
    <w:rsid w:val="636FB598"/>
    <w:rsid w:val="63747A11"/>
    <w:rsid w:val="63795213"/>
    <w:rsid w:val="6379FC4B"/>
    <w:rsid w:val="637B616D"/>
    <w:rsid w:val="637E031C"/>
    <w:rsid w:val="637F336E"/>
    <w:rsid w:val="63822282"/>
    <w:rsid w:val="6382D34F"/>
    <w:rsid w:val="638669F7"/>
    <w:rsid w:val="638AD180"/>
    <w:rsid w:val="638B7D93"/>
    <w:rsid w:val="638E3303"/>
    <w:rsid w:val="638E70C5"/>
    <w:rsid w:val="638EF83E"/>
    <w:rsid w:val="6393F377"/>
    <w:rsid w:val="6395D0C3"/>
    <w:rsid w:val="6397651B"/>
    <w:rsid w:val="639A7405"/>
    <w:rsid w:val="639B1A00"/>
    <w:rsid w:val="639B75D7"/>
    <w:rsid w:val="639B98C1"/>
    <w:rsid w:val="639CFE5E"/>
    <w:rsid w:val="639E8898"/>
    <w:rsid w:val="639ED631"/>
    <w:rsid w:val="63A09F45"/>
    <w:rsid w:val="63A0B29F"/>
    <w:rsid w:val="63A2A794"/>
    <w:rsid w:val="63A45CB3"/>
    <w:rsid w:val="63A4FAB8"/>
    <w:rsid w:val="63A632E5"/>
    <w:rsid w:val="63A6CB35"/>
    <w:rsid w:val="63A7BC58"/>
    <w:rsid w:val="63A94E6D"/>
    <w:rsid w:val="63A96F08"/>
    <w:rsid w:val="63AE1677"/>
    <w:rsid w:val="63AF5B88"/>
    <w:rsid w:val="63AFDC5A"/>
    <w:rsid w:val="63B226E4"/>
    <w:rsid w:val="63B63B87"/>
    <w:rsid w:val="63B79F13"/>
    <w:rsid w:val="63B881BF"/>
    <w:rsid w:val="63B8C9B4"/>
    <w:rsid w:val="63B8F53A"/>
    <w:rsid w:val="63B94064"/>
    <w:rsid w:val="63BB0FAE"/>
    <w:rsid w:val="63BBDAF0"/>
    <w:rsid w:val="63BC95A7"/>
    <w:rsid w:val="63BD4551"/>
    <w:rsid w:val="63BE6BC2"/>
    <w:rsid w:val="63BED921"/>
    <w:rsid w:val="63BF926D"/>
    <w:rsid w:val="63BFEC02"/>
    <w:rsid w:val="63C0FDEC"/>
    <w:rsid w:val="63C24201"/>
    <w:rsid w:val="63C413F7"/>
    <w:rsid w:val="63C6FDB3"/>
    <w:rsid w:val="63C9622F"/>
    <w:rsid w:val="63CE0BD5"/>
    <w:rsid w:val="63CF3FCE"/>
    <w:rsid w:val="63CF44DB"/>
    <w:rsid w:val="63D0658C"/>
    <w:rsid w:val="63D2A5A2"/>
    <w:rsid w:val="63D2E938"/>
    <w:rsid w:val="63D2F083"/>
    <w:rsid w:val="63D2F356"/>
    <w:rsid w:val="63D3412F"/>
    <w:rsid w:val="63D6CC8C"/>
    <w:rsid w:val="63D7C170"/>
    <w:rsid w:val="63D8628B"/>
    <w:rsid w:val="63DB103D"/>
    <w:rsid w:val="63DB4268"/>
    <w:rsid w:val="63DBDF3B"/>
    <w:rsid w:val="63DC03F8"/>
    <w:rsid w:val="63DD4526"/>
    <w:rsid w:val="63DED929"/>
    <w:rsid w:val="63E0EA41"/>
    <w:rsid w:val="63E2C115"/>
    <w:rsid w:val="63E425C8"/>
    <w:rsid w:val="63E696CF"/>
    <w:rsid w:val="63E6D648"/>
    <w:rsid w:val="63EA85EE"/>
    <w:rsid w:val="63EAA9D1"/>
    <w:rsid w:val="63EAAEAD"/>
    <w:rsid w:val="63F02696"/>
    <w:rsid w:val="63F37433"/>
    <w:rsid w:val="63F4F402"/>
    <w:rsid w:val="63F6F8DC"/>
    <w:rsid w:val="63FA3067"/>
    <w:rsid w:val="63FAA504"/>
    <w:rsid w:val="63FAF042"/>
    <w:rsid w:val="63FC072F"/>
    <w:rsid w:val="63FC6C8E"/>
    <w:rsid w:val="63FC6F48"/>
    <w:rsid w:val="63FCE981"/>
    <w:rsid w:val="63FD92D3"/>
    <w:rsid w:val="640088CF"/>
    <w:rsid w:val="640253F2"/>
    <w:rsid w:val="64029EED"/>
    <w:rsid w:val="6404610F"/>
    <w:rsid w:val="640653B8"/>
    <w:rsid w:val="64071C96"/>
    <w:rsid w:val="6409152A"/>
    <w:rsid w:val="64099412"/>
    <w:rsid w:val="640C60A4"/>
    <w:rsid w:val="640E1C4A"/>
    <w:rsid w:val="640EAD9F"/>
    <w:rsid w:val="64103321"/>
    <w:rsid w:val="64114C97"/>
    <w:rsid w:val="641223B2"/>
    <w:rsid w:val="6417E77D"/>
    <w:rsid w:val="641ADD57"/>
    <w:rsid w:val="641BFC1C"/>
    <w:rsid w:val="641C12D9"/>
    <w:rsid w:val="641FEA63"/>
    <w:rsid w:val="6423AD9E"/>
    <w:rsid w:val="6424FCEC"/>
    <w:rsid w:val="6425AD69"/>
    <w:rsid w:val="6425B3B8"/>
    <w:rsid w:val="6425E43E"/>
    <w:rsid w:val="6428774F"/>
    <w:rsid w:val="64288707"/>
    <w:rsid w:val="64292E74"/>
    <w:rsid w:val="6429E4F1"/>
    <w:rsid w:val="642D199C"/>
    <w:rsid w:val="642D7ABC"/>
    <w:rsid w:val="642ED2F9"/>
    <w:rsid w:val="64319C26"/>
    <w:rsid w:val="64370A51"/>
    <w:rsid w:val="643B53BC"/>
    <w:rsid w:val="643D0C53"/>
    <w:rsid w:val="643D5154"/>
    <w:rsid w:val="643FB6D9"/>
    <w:rsid w:val="64402DD6"/>
    <w:rsid w:val="64426F3F"/>
    <w:rsid w:val="644415ED"/>
    <w:rsid w:val="6446C90F"/>
    <w:rsid w:val="6447F44B"/>
    <w:rsid w:val="6448A229"/>
    <w:rsid w:val="6449AD28"/>
    <w:rsid w:val="6449C1F4"/>
    <w:rsid w:val="644A95C4"/>
    <w:rsid w:val="644AAA47"/>
    <w:rsid w:val="644BB7AE"/>
    <w:rsid w:val="644DCD8F"/>
    <w:rsid w:val="6452270E"/>
    <w:rsid w:val="6452AB22"/>
    <w:rsid w:val="6452F1CE"/>
    <w:rsid w:val="64549C90"/>
    <w:rsid w:val="6454D52E"/>
    <w:rsid w:val="645CA754"/>
    <w:rsid w:val="645CDCDA"/>
    <w:rsid w:val="645E1A60"/>
    <w:rsid w:val="645F3445"/>
    <w:rsid w:val="6464D9B0"/>
    <w:rsid w:val="64695697"/>
    <w:rsid w:val="646A571B"/>
    <w:rsid w:val="646BDF26"/>
    <w:rsid w:val="646C2BCC"/>
    <w:rsid w:val="646D2DD4"/>
    <w:rsid w:val="64707D35"/>
    <w:rsid w:val="647427F2"/>
    <w:rsid w:val="64743278"/>
    <w:rsid w:val="6475818B"/>
    <w:rsid w:val="64759117"/>
    <w:rsid w:val="647B090B"/>
    <w:rsid w:val="647B89AF"/>
    <w:rsid w:val="647C1806"/>
    <w:rsid w:val="647C9976"/>
    <w:rsid w:val="647C9DEE"/>
    <w:rsid w:val="647DF14B"/>
    <w:rsid w:val="647E4F9B"/>
    <w:rsid w:val="6480DB6A"/>
    <w:rsid w:val="64813406"/>
    <w:rsid w:val="6481CFCD"/>
    <w:rsid w:val="64837F04"/>
    <w:rsid w:val="6484F110"/>
    <w:rsid w:val="6486096D"/>
    <w:rsid w:val="648ABBA7"/>
    <w:rsid w:val="648AFF14"/>
    <w:rsid w:val="648D2CED"/>
    <w:rsid w:val="648E58C1"/>
    <w:rsid w:val="648F3E6F"/>
    <w:rsid w:val="648FF9B1"/>
    <w:rsid w:val="6490FC6A"/>
    <w:rsid w:val="6491798F"/>
    <w:rsid w:val="649343AF"/>
    <w:rsid w:val="649364B0"/>
    <w:rsid w:val="6494E269"/>
    <w:rsid w:val="6495844E"/>
    <w:rsid w:val="6499EFFF"/>
    <w:rsid w:val="649D553E"/>
    <w:rsid w:val="649DAFAA"/>
    <w:rsid w:val="64A18737"/>
    <w:rsid w:val="64A1D06F"/>
    <w:rsid w:val="64A23D38"/>
    <w:rsid w:val="64A66C5A"/>
    <w:rsid w:val="64A9CEC4"/>
    <w:rsid w:val="64ACED50"/>
    <w:rsid w:val="64AE0F62"/>
    <w:rsid w:val="64AE336D"/>
    <w:rsid w:val="64B32975"/>
    <w:rsid w:val="64B66763"/>
    <w:rsid w:val="64B6A490"/>
    <w:rsid w:val="64B896F3"/>
    <w:rsid w:val="64B8A2EF"/>
    <w:rsid w:val="64B8E958"/>
    <w:rsid w:val="64B9946B"/>
    <w:rsid w:val="64BA1C1F"/>
    <w:rsid w:val="64BCE197"/>
    <w:rsid w:val="64BE550F"/>
    <w:rsid w:val="64BFC97F"/>
    <w:rsid w:val="64C14003"/>
    <w:rsid w:val="64C1DB17"/>
    <w:rsid w:val="64C6219D"/>
    <w:rsid w:val="64C7AAAB"/>
    <w:rsid w:val="64C99DBA"/>
    <w:rsid w:val="64CB1AE8"/>
    <w:rsid w:val="64D06597"/>
    <w:rsid w:val="64D2F849"/>
    <w:rsid w:val="64D402D5"/>
    <w:rsid w:val="64D6C125"/>
    <w:rsid w:val="64D87E1A"/>
    <w:rsid w:val="64DA80C1"/>
    <w:rsid w:val="64DAAC3C"/>
    <w:rsid w:val="64DAD1A7"/>
    <w:rsid w:val="64DE8AB4"/>
    <w:rsid w:val="64E06966"/>
    <w:rsid w:val="64E2046C"/>
    <w:rsid w:val="64E2BA5C"/>
    <w:rsid w:val="64E6C5F1"/>
    <w:rsid w:val="64E75C33"/>
    <w:rsid w:val="64EBD5D4"/>
    <w:rsid w:val="64EC01E4"/>
    <w:rsid w:val="64EC5F0D"/>
    <w:rsid w:val="64ECF9E6"/>
    <w:rsid w:val="64F27634"/>
    <w:rsid w:val="64FA3906"/>
    <w:rsid w:val="64FC6902"/>
    <w:rsid w:val="64FC6F62"/>
    <w:rsid w:val="64FCB238"/>
    <w:rsid w:val="65038FBF"/>
    <w:rsid w:val="6503C666"/>
    <w:rsid w:val="6505C9B5"/>
    <w:rsid w:val="6505F69A"/>
    <w:rsid w:val="65065A06"/>
    <w:rsid w:val="650670CA"/>
    <w:rsid w:val="65069C4F"/>
    <w:rsid w:val="650717E1"/>
    <w:rsid w:val="65072F61"/>
    <w:rsid w:val="6507FE35"/>
    <w:rsid w:val="650AC01C"/>
    <w:rsid w:val="650AC0A2"/>
    <w:rsid w:val="650BF6CF"/>
    <w:rsid w:val="650CBBF2"/>
    <w:rsid w:val="650DDCB9"/>
    <w:rsid w:val="6511071C"/>
    <w:rsid w:val="6511A934"/>
    <w:rsid w:val="6512389A"/>
    <w:rsid w:val="6512FD38"/>
    <w:rsid w:val="65136E6E"/>
    <w:rsid w:val="6515365A"/>
    <w:rsid w:val="651677F7"/>
    <w:rsid w:val="651E5F4B"/>
    <w:rsid w:val="651F4E39"/>
    <w:rsid w:val="651FD778"/>
    <w:rsid w:val="652223B1"/>
    <w:rsid w:val="6523C668"/>
    <w:rsid w:val="652468ED"/>
    <w:rsid w:val="6524EDB6"/>
    <w:rsid w:val="652B8CF4"/>
    <w:rsid w:val="652BA2BC"/>
    <w:rsid w:val="652C9920"/>
    <w:rsid w:val="652D5CD9"/>
    <w:rsid w:val="652E3755"/>
    <w:rsid w:val="652E4A70"/>
    <w:rsid w:val="652F3A49"/>
    <w:rsid w:val="652F415B"/>
    <w:rsid w:val="6531608A"/>
    <w:rsid w:val="65320A09"/>
    <w:rsid w:val="6533BEC1"/>
    <w:rsid w:val="65352CCA"/>
    <w:rsid w:val="6539A46B"/>
    <w:rsid w:val="653DFA29"/>
    <w:rsid w:val="653E7E26"/>
    <w:rsid w:val="65402C69"/>
    <w:rsid w:val="654183B2"/>
    <w:rsid w:val="65431B62"/>
    <w:rsid w:val="65435169"/>
    <w:rsid w:val="6544D2CE"/>
    <w:rsid w:val="654653CD"/>
    <w:rsid w:val="6547C8E7"/>
    <w:rsid w:val="65490C5F"/>
    <w:rsid w:val="654ABC56"/>
    <w:rsid w:val="654AEA80"/>
    <w:rsid w:val="654FE123"/>
    <w:rsid w:val="65504EEB"/>
    <w:rsid w:val="6553E646"/>
    <w:rsid w:val="6554AB75"/>
    <w:rsid w:val="6555ACC9"/>
    <w:rsid w:val="6555F62C"/>
    <w:rsid w:val="65567DDE"/>
    <w:rsid w:val="6558FDE1"/>
    <w:rsid w:val="6562C3F0"/>
    <w:rsid w:val="6562DE08"/>
    <w:rsid w:val="656531F7"/>
    <w:rsid w:val="656538AB"/>
    <w:rsid w:val="656B8745"/>
    <w:rsid w:val="656D184D"/>
    <w:rsid w:val="65727D2D"/>
    <w:rsid w:val="65734D32"/>
    <w:rsid w:val="65774D52"/>
    <w:rsid w:val="657AF0FE"/>
    <w:rsid w:val="657BA37A"/>
    <w:rsid w:val="657DE355"/>
    <w:rsid w:val="6580B4BD"/>
    <w:rsid w:val="6582794E"/>
    <w:rsid w:val="65834431"/>
    <w:rsid w:val="65836594"/>
    <w:rsid w:val="65843214"/>
    <w:rsid w:val="65848943"/>
    <w:rsid w:val="65856BE4"/>
    <w:rsid w:val="65864D31"/>
    <w:rsid w:val="6587A10A"/>
    <w:rsid w:val="658B6BED"/>
    <w:rsid w:val="658B976E"/>
    <w:rsid w:val="658BF9A1"/>
    <w:rsid w:val="658C5E99"/>
    <w:rsid w:val="658D5FA7"/>
    <w:rsid w:val="658DDD9C"/>
    <w:rsid w:val="658E00A7"/>
    <w:rsid w:val="658E14E6"/>
    <w:rsid w:val="65944B74"/>
    <w:rsid w:val="65963CA1"/>
    <w:rsid w:val="6597CA83"/>
    <w:rsid w:val="6598781C"/>
    <w:rsid w:val="6599E6C5"/>
    <w:rsid w:val="659BA2F6"/>
    <w:rsid w:val="659C813A"/>
    <w:rsid w:val="659D36AA"/>
    <w:rsid w:val="659E1DAC"/>
    <w:rsid w:val="659F779E"/>
    <w:rsid w:val="659FB684"/>
    <w:rsid w:val="65A07D49"/>
    <w:rsid w:val="65A0D32D"/>
    <w:rsid w:val="65A1EFB9"/>
    <w:rsid w:val="65A42C73"/>
    <w:rsid w:val="65A5DA42"/>
    <w:rsid w:val="65A6125E"/>
    <w:rsid w:val="65A6BAF5"/>
    <w:rsid w:val="65A95CBB"/>
    <w:rsid w:val="65A9CAC5"/>
    <w:rsid w:val="65AA4217"/>
    <w:rsid w:val="65AA6985"/>
    <w:rsid w:val="65AA99DD"/>
    <w:rsid w:val="65AC8E13"/>
    <w:rsid w:val="65ADDEF2"/>
    <w:rsid w:val="65AE2337"/>
    <w:rsid w:val="65AFDBA1"/>
    <w:rsid w:val="65B9EBD5"/>
    <w:rsid w:val="65BAA64B"/>
    <w:rsid w:val="65BB9827"/>
    <w:rsid w:val="65BDA840"/>
    <w:rsid w:val="65BDFCF6"/>
    <w:rsid w:val="65BEC183"/>
    <w:rsid w:val="65BFFB8C"/>
    <w:rsid w:val="65C0872D"/>
    <w:rsid w:val="65C0F779"/>
    <w:rsid w:val="65C264CF"/>
    <w:rsid w:val="65C3A121"/>
    <w:rsid w:val="65C6182E"/>
    <w:rsid w:val="65C6790E"/>
    <w:rsid w:val="65CB6AAE"/>
    <w:rsid w:val="65CE2DB3"/>
    <w:rsid w:val="65D29679"/>
    <w:rsid w:val="65D31A45"/>
    <w:rsid w:val="65D5D2F9"/>
    <w:rsid w:val="65D72C4C"/>
    <w:rsid w:val="65D75AD4"/>
    <w:rsid w:val="65DC3ED0"/>
    <w:rsid w:val="65DCDE3D"/>
    <w:rsid w:val="65DEE648"/>
    <w:rsid w:val="65E12212"/>
    <w:rsid w:val="65E1A7EF"/>
    <w:rsid w:val="65E29100"/>
    <w:rsid w:val="65E2E6D3"/>
    <w:rsid w:val="65E3BA53"/>
    <w:rsid w:val="65E70F1A"/>
    <w:rsid w:val="65E98E4F"/>
    <w:rsid w:val="65E99FE1"/>
    <w:rsid w:val="65E9A1A8"/>
    <w:rsid w:val="65EA520E"/>
    <w:rsid w:val="65EB5988"/>
    <w:rsid w:val="65EBE8A1"/>
    <w:rsid w:val="65EDCA9D"/>
    <w:rsid w:val="65EF0994"/>
    <w:rsid w:val="65F217DC"/>
    <w:rsid w:val="65F41A55"/>
    <w:rsid w:val="65F58CB8"/>
    <w:rsid w:val="65F656B6"/>
    <w:rsid w:val="65F65B93"/>
    <w:rsid w:val="65F6636B"/>
    <w:rsid w:val="65F66903"/>
    <w:rsid w:val="65FA66ED"/>
    <w:rsid w:val="65FCB264"/>
    <w:rsid w:val="65FE3712"/>
    <w:rsid w:val="66000382"/>
    <w:rsid w:val="660036FC"/>
    <w:rsid w:val="6601C535"/>
    <w:rsid w:val="6604DCE1"/>
    <w:rsid w:val="66053E06"/>
    <w:rsid w:val="6605C6DC"/>
    <w:rsid w:val="6606180E"/>
    <w:rsid w:val="660931AB"/>
    <w:rsid w:val="660A4F0D"/>
    <w:rsid w:val="660AF69A"/>
    <w:rsid w:val="660B6111"/>
    <w:rsid w:val="660F3BD1"/>
    <w:rsid w:val="660F7EE3"/>
    <w:rsid w:val="6610A8BC"/>
    <w:rsid w:val="6612BF36"/>
    <w:rsid w:val="6614A45A"/>
    <w:rsid w:val="6615550F"/>
    <w:rsid w:val="6615E7C8"/>
    <w:rsid w:val="6618C874"/>
    <w:rsid w:val="661A9E1E"/>
    <w:rsid w:val="661D4CBA"/>
    <w:rsid w:val="661DACBB"/>
    <w:rsid w:val="661DD7BA"/>
    <w:rsid w:val="6621A91D"/>
    <w:rsid w:val="6622AB13"/>
    <w:rsid w:val="662303B7"/>
    <w:rsid w:val="6624A03A"/>
    <w:rsid w:val="6626BA7D"/>
    <w:rsid w:val="66275BE0"/>
    <w:rsid w:val="66279BA7"/>
    <w:rsid w:val="662B6857"/>
    <w:rsid w:val="662D7753"/>
    <w:rsid w:val="66341414"/>
    <w:rsid w:val="6637E671"/>
    <w:rsid w:val="66384EF3"/>
    <w:rsid w:val="663B0DB2"/>
    <w:rsid w:val="663B407E"/>
    <w:rsid w:val="663B64AD"/>
    <w:rsid w:val="663E27B1"/>
    <w:rsid w:val="663E4EF9"/>
    <w:rsid w:val="6641D87E"/>
    <w:rsid w:val="6643602B"/>
    <w:rsid w:val="66477E60"/>
    <w:rsid w:val="664A3755"/>
    <w:rsid w:val="664BF9BE"/>
    <w:rsid w:val="664C251D"/>
    <w:rsid w:val="664E38B8"/>
    <w:rsid w:val="664F8E85"/>
    <w:rsid w:val="665289D2"/>
    <w:rsid w:val="66540776"/>
    <w:rsid w:val="6655D617"/>
    <w:rsid w:val="6659F7B7"/>
    <w:rsid w:val="665A055C"/>
    <w:rsid w:val="665A4554"/>
    <w:rsid w:val="665A4D23"/>
    <w:rsid w:val="665D0526"/>
    <w:rsid w:val="665D6793"/>
    <w:rsid w:val="665DBA61"/>
    <w:rsid w:val="666021C8"/>
    <w:rsid w:val="6660CB99"/>
    <w:rsid w:val="666238DF"/>
    <w:rsid w:val="66638094"/>
    <w:rsid w:val="6663C2A2"/>
    <w:rsid w:val="6665C0F8"/>
    <w:rsid w:val="6665C437"/>
    <w:rsid w:val="66663910"/>
    <w:rsid w:val="6668324D"/>
    <w:rsid w:val="666893B1"/>
    <w:rsid w:val="66699BAD"/>
    <w:rsid w:val="666B4E01"/>
    <w:rsid w:val="666D397A"/>
    <w:rsid w:val="666D4BCA"/>
    <w:rsid w:val="666D7AFE"/>
    <w:rsid w:val="666D8107"/>
    <w:rsid w:val="666DA9EA"/>
    <w:rsid w:val="666DB6CF"/>
    <w:rsid w:val="666DCC7B"/>
    <w:rsid w:val="666E9510"/>
    <w:rsid w:val="66709B6F"/>
    <w:rsid w:val="6670C9C1"/>
    <w:rsid w:val="66726A8C"/>
    <w:rsid w:val="6675B994"/>
    <w:rsid w:val="6675FCB6"/>
    <w:rsid w:val="667720F5"/>
    <w:rsid w:val="6679C13B"/>
    <w:rsid w:val="667A0123"/>
    <w:rsid w:val="667C771A"/>
    <w:rsid w:val="667C924B"/>
    <w:rsid w:val="667CCDC9"/>
    <w:rsid w:val="6681598F"/>
    <w:rsid w:val="6682EF7E"/>
    <w:rsid w:val="6683CE5E"/>
    <w:rsid w:val="6683E14C"/>
    <w:rsid w:val="6685BF35"/>
    <w:rsid w:val="66869FE8"/>
    <w:rsid w:val="6686E584"/>
    <w:rsid w:val="6686F557"/>
    <w:rsid w:val="6688C7B4"/>
    <w:rsid w:val="6689F5EF"/>
    <w:rsid w:val="668B031F"/>
    <w:rsid w:val="668D60F7"/>
    <w:rsid w:val="668DEC6C"/>
    <w:rsid w:val="66904984"/>
    <w:rsid w:val="66908A87"/>
    <w:rsid w:val="6690937E"/>
    <w:rsid w:val="6692954C"/>
    <w:rsid w:val="6693D5C9"/>
    <w:rsid w:val="66946695"/>
    <w:rsid w:val="6697CACE"/>
    <w:rsid w:val="6699DB4E"/>
    <w:rsid w:val="669C09A4"/>
    <w:rsid w:val="669C63C7"/>
    <w:rsid w:val="669D5528"/>
    <w:rsid w:val="669E62C3"/>
    <w:rsid w:val="669ED13E"/>
    <w:rsid w:val="669F611B"/>
    <w:rsid w:val="66A07C36"/>
    <w:rsid w:val="66A093A0"/>
    <w:rsid w:val="66A154CB"/>
    <w:rsid w:val="66A2F04D"/>
    <w:rsid w:val="66A56594"/>
    <w:rsid w:val="66A64050"/>
    <w:rsid w:val="66A67BCC"/>
    <w:rsid w:val="66A686C9"/>
    <w:rsid w:val="66A8A1C9"/>
    <w:rsid w:val="66AD59B9"/>
    <w:rsid w:val="66AEFD42"/>
    <w:rsid w:val="66B011DC"/>
    <w:rsid w:val="66B09839"/>
    <w:rsid w:val="66B1A301"/>
    <w:rsid w:val="66B3981D"/>
    <w:rsid w:val="66B3FCA7"/>
    <w:rsid w:val="66B415D4"/>
    <w:rsid w:val="66BA6054"/>
    <w:rsid w:val="66BA7966"/>
    <w:rsid w:val="66BA819A"/>
    <w:rsid w:val="66BCA8A6"/>
    <w:rsid w:val="66BCF671"/>
    <w:rsid w:val="66BF4F56"/>
    <w:rsid w:val="66BF8244"/>
    <w:rsid w:val="66C0C640"/>
    <w:rsid w:val="66C25581"/>
    <w:rsid w:val="66C473CD"/>
    <w:rsid w:val="66C5C234"/>
    <w:rsid w:val="66C63B44"/>
    <w:rsid w:val="66C74B1D"/>
    <w:rsid w:val="66C7A932"/>
    <w:rsid w:val="66C8692E"/>
    <w:rsid w:val="66C92993"/>
    <w:rsid w:val="66CD3788"/>
    <w:rsid w:val="66CDF8C7"/>
    <w:rsid w:val="66CF28E8"/>
    <w:rsid w:val="66D10048"/>
    <w:rsid w:val="66D12488"/>
    <w:rsid w:val="66D2B3AB"/>
    <w:rsid w:val="66D2FD9E"/>
    <w:rsid w:val="66D9D593"/>
    <w:rsid w:val="66DA8065"/>
    <w:rsid w:val="66DBFC97"/>
    <w:rsid w:val="66DC7C06"/>
    <w:rsid w:val="66DDB07E"/>
    <w:rsid w:val="66DDB456"/>
    <w:rsid w:val="66E050EC"/>
    <w:rsid w:val="66E36226"/>
    <w:rsid w:val="66E40BEC"/>
    <w:rsid w:val="66E4B69E"/>
    <w:rsid w:val="66E4F87A"/>
    <w:rsid w:val="66E68244"/>
    <w:rsid w:val="66E8C15D"/>
    <w:rsid w:val="66E9D822"/>
    <w:rsid w:val="66EB01C3"/>
    <w:rsid w:val="66ECC441"/>
    <w:rsid w:val="66EF4D22"/>
    <w:rsid w:val="66F19546"/>
    <w:rsid w:val="66F279C9"/>
    <w:rsid w:val="66F28791"/>
    <w:rsid w:val="66F2FA7F"/>
    <w:rsid w:val="66F41F76"/>
    <w:rsid w:val="66F4E493"/>
    <w:rsid w:val="66F87A4C"/>
    <w:rsid w:val="66F8A2E5"/>
    <w:rsid w:val="66F8A537"/>
    <w:rsid w:val="66FC0B72"/>
    <w:rsid w:val="66FC2C2D"/>
    <w:rsid w:val="66FC7F10"/>
    <w:rsid w:val="66FDC9D4"/>
    <w:rsid w:val="6700075B"/>
    <w:rsid w:val="6700A55D"/>
    <w:rsid w:val="6700AE3C"/>
    <w:rsid w:val="6702D24B"/>
    <w:rsid w:val="670443F0"/>
    <w:rsid w:val="67047C6E"/>
    <w:rsid w:val="6704FE14"/>
    <w:rsid w:val="67064E8A"/>
    <w:rsid w:val="67069AD4"/>
    <w:rsid w:val="6706F7DE"/>
    <w:rsid w:val="670A0436"/>
    <w:rsid w:val="670C96E3"/>
    <w:rsid w:val="670DDA84"/>
    <w:rsid w:val="670EAB66"/>
    <w:rsid w:val="6711DD70"/>
    <w:rsid w:val="6714BF12"/>
    <w:rsid w:val="6715D28E"/>
    <w:rsid w:val="671EFBF8"/>
    <w:rsid w:val="671F27AB"/>
    <w:rsid w:val="672001CF"/>
    <w:rsid w:val="672117CC"/>
    <w:rsid w:val="6722319F"/>
    <w:rsid w:val="67248541"/>
    <w:rsid w:val="6724F39C"/>
    <w:rsid w:val="6727F0EA"/>
    <w:rsid w:val="672BBDB0"/>
    <w:rsid w:val="672E8FB6"/>
    <w:rsid w:val="672EBB52"/>
    <w:rsid w:val="672F110C"/>
    <w:rsid w:val="672F2521"/>
    <w:rsid w:val="672F8A4A"/>
    <w:rsid w:val="673192D6"/>
    <w:rsid w:val="6732B7BC"/>
    <w:rsid w:val="6732C557"/>
    <w:rsid w:val="6734729C"/>
    <w:rsid w:val="673515CF"/>
    <w:rsid w:val="67364531"/>
    <w:rsid w:val="67364CD2"/>
    <w:rsid w:val="673779CD"/>
    <w:rsid w:val="673800B4"/>
    <w:rsid w:val="6738E482"/>
    <w:rsid w:val="673A11CF"/>
    <w:rsid w:val="673B5460"/>
    <w:rsid w:val="673E1152"/>
    <w:rsid w:val="673E2F3E"/>
    <w:rsid w:val="673FA250"/>
    <w:rsid w:val="67409A84"/>
    <w:rsid w:val="6740F3FA"/>
    <w:rsid w:val="6742C3A6"/>
    <w:rsid w:val="6748513F"/>
    <w:rsid w:val="6748AE04"/>
    <w:rsid w:val="674A1289"/>
    <w:rsid w:val="674CDAB4"/>
    <w:rsid w:val="6752A7B0"/>
    <w:rsid w:val="6753716C"/>
    <w:rsid w:val="67537B1C"/>
    <w:rsid w:val="67537C23"/>
    <w:rsid w:val="6753E22B"/>
    <w:rsid w:val="6754F020"/>
    <w:rsid w:val="6758F459"/>
    <w:rsid w:val="675AAE51"/>
    <w:rsid w:val="675B96D3"/>
    <w:rsid w:val="675D013D"/>
    <w:rsid w:val="675ED9A1"/>
    <w:rsid w:val="6763DE03"/>
    <w:rsid w:val="67648A8B"/>
    <w:rsid w:val="676646BF"/>
    <w:rsid w:val="67697B3E"/>
    <w:rsid w:val="6769DCC5"/>
    <w:rsid w:val="676A3109"/>
    <w:rsid w:val="676BA6DC"/>
    <w:rsid w:val="676C4163"/>
    <w:rsid w:val="676D7D21"/>
    <w:rsid w:val="676DC3D4"/>
    <w:rsid w:val="676DD467"/>
    <w:rsid w:val="676E2283"/>
    <w:rsid w:val="6771FF40"/>
    <w:rsid w:val="67723DB6"/>
    <w:rsid w:val="67726D73"/>
    <w:rsid w:val="67734DBA"/>
    <w:rsid w:val="677392FB"/>
    <w:rsid w:val="6775429E"/>
    <w:rsid w:val="6775B61C"/>
    <w:rsid w:val="6777AA9E"/>
    <w:rsid w:val="67788516"/>
    <w:rsid w:val="6778FE2C"/>
    <w:rsid w:val="677B4E1B"/>
    <w:rsid w:val="677E092E"/>
    <w:rsid w:val="677E5EE3"/>
    <w:rsid w:val="6781744B"/>
    <w:rsid w:val="6782D231"/>
    <w:rsid w:val="67847363"/>
    <w:rsid w:val="67863BD5"/>
    <w:rsid w:val="678695F9"/>
    <w:rsid w:val="67870CB6"/>
    <w:rsid w:val="67880F1C"/>
    <w:rsid w:val="6788B8AE"/>
    <w:rsid w:val="6788E765"/>
    <w:rsid w:val="678982AC"/>
    <w:rsid w:val="678C1ED0"/>
    <w:rsid w:val="678C9781"/>
    <w:rsid w:val="678D655F"/>
    <w:rsid w:val="678E2A19"/>
    <w:rsid w:val="6792A045"/>
    <w:rsid w:val="6792DF86"/>
    <w:rsid w:val="67942664"/>
    <w:rsid w:val="67999785"/>
    <w:rsid w:val="6799DAC3"/>
    <w:rsid w:val="679B1BCA"/>
    <w:rsid w:val="679EBF8D"/>
    <w:rsid w:val="67A6D23A"/>
    <w:rsid w:val="67A95525"/>
    <w:rsid w:val="67AA352D"/>
    <w:rsid w:val="67ABFC48"/>
    <w:rsid w:val="67AC1F9C"/>
    <w:rsid w:val="67AE4A8A"/>
    <w:rsid w:val="67AF01BC"/>
    <w:rsid w:val="67AF274E"/>
    <w:rsid w:val="67AF6484"/>
    <w:rsid w:val="67AFA80E"/>
    <w:rsid w:val="67B0BA95"/>
    <w:rsid w:val="67B0DDA7"/>
    <w:rsid w:val="67B188FD"/>
    <w:rsid w:val="67B25261"/>
    <w:rsid w:val="67B2873D"/>
    <w:rsid w:val="67B2D1FD"/>
    <w:rsid w:val="67B50DDB"/>
    <w:rsid w:val="67B609D1"/>
    <w:rsid w:val="67BDBD25"/>
    <w:rsid w:val="67BE58BF"/>
    <w:rsid w:val="67C1CA31"/>
    <w:rsid w:val="67C327F1"/>
    <w:rsid w:val="67C451F2"/>
    <w:rsid w:val="67C464E6"/>
    <w:rsid w:val="67C6C90D"/>
    <w:rsid w:val="67C8574A"/>
    <w:rsid w:val="67C8DD0F"/>
    <w:rsid w:val="67C90E57"/>
    <w:rsid w:val="67CA121D"/>
    <w:rsid w:val="67CA3070"/>
    <w:rsid w:val="67CDAB7C"/>
    <w:rsid w:val="67D14D8D"/>
    <w:rsid w:val="67D9B169"/>
    <w:rsid w:val="67DBAD18"/>
    <w:rsid w:val="67DEA485"/>
    <w:rsid w:val="67DEB647"/>
    <w:rsid w:val="67DF44CA"/>
    <w:rsid w:val="67E0402A"/>
    <w:rsid w:val="67E1708F"/>
    <w:rsid w:val="67E583DE"/>
    <w:rsid w:val="67E60F1A"/>
    <w:rsid w:val="67E6C689"/>
    <w:rsid w:val="67E80DB2"/>
    <w:rsid w:val="67E8ADC2"/>
    <w:rsid w:val="67EB657D"/>
    <w:rsid w:val="67EB948D"/>
    <w:rsid w:val="67EBB964"/>
    <w:rsid w:val="67EC3DE2"/>
    <w:rsid w:val="67EEF075"/>
    <w:rsid w:val="67EF9C4E"/>
    <w:rsid w:val="67EFF7EF"/>
    <w:rsid w:val="67F00905"/>
    <w:rsid w:val="67F0663D"/>
    <w:rsid w:val="67F099CD"/>
    <w:rsid w:val="67F3B4F5"/>
    <w:rsid w:val="67F3E4F8"/>
    <w:rsid w:val="67F5BA64"/>
    <w:rsid w:val="67F6A6D2"/>
    <w:rsid w:val="67F84C1F"/>
    <w:rsid w:val="67F88C49"/>
    <w:rsid w:val="67FA2EA9"/>
    <w:rsid w:val="67FA5E97"/>
    <w:rsid w:val="67FAA464"/>
    <w:rsid w:val="67FB3AEB"/>
    <w:rsid w:val="67FE2F32"/>
    <w:rsid w:val="67FE7C19"/>
    <w:rsid w:val="67FF2DE0"/>
    <w:rsid w:val="6801A024"/>
    <w:rsid w:val="6802D985"/>
    <w:rsid w:val="6803ACE9"/>
    <w:rsid w:val="68048911"/>
    <w:rsid w:val="6804B9EE"/>
    <w:rsid w:val="6805533E"/>
    <w:rsid w:val="6806055D"/>
    <w:rsid w:val="6806A4F6"/>
    <w:rsid w:val="680BA666"/>
    <w:rsid w:val="680C6D13"/>
    <w:rsid w:val="680E6A3E"/>
    <w:rsid w:val="680FC3E7"/>
    <w:rsid w:val="68131D4C"/>
    <w:rsid w:val="68148EF2"/>
    <w:rsid w:val="68163B4A"/>
    <w:rsid w:val="6816C2BC"/>
    <w:rsid w:val="6817D58E"/>
    <w:rsid w:val="68191341"/>
    <w:rsid w:val="681A47B0"/>
    <w:rsid w:val="681A64E6"/>
    <w:rsid w:val="681AC5D9"/>
    <w:rsid w:val="681B734B"/>
    <w:rsid w:val="681DB044"/>
    <w:rsid w:val="681F840C"/>
    <w:rsid w:val="682124B2"/>
    <w:rsid w:val="68216D2A"/>
    <w:rsid w:val="68234E96"/>
    <w:rsid w:val="682771A1"/>
    <w:rsid w:val="6827FD62"/>
    <w:rsid w:val="682933E3"/>
    <w:rsid w:val="6829E6D1"/>
    <w:rsid w:val="682EE505"/>
    <w:rsid w:val="68326B84"/>
    <w:rsid w:val="6832F8DC"/>
    <w:rsid w:val="68339D4C"/>
    <w:rsid w:val="6835FCA0"/>
    <w:rsid w:val="6839C73E"/>
    <w:rsid w:val="6839F395"/>
    <w:rsid w:val="683A1A75"/>
    <w:rsid w:val="683A9207"/>
    <w:rsid w:val="683A9BB5"/>
    <w:rsid w:val="683B3A17"/>
    <w:rsid w:val="683D4706"/>
    <w:rsid w:val="683D7D1A"/>
    <w:rsid w:val="683DD987"/>
    <w:rsid w:val="683DE09C"/>
    <w:rsid w:val="683FAEE1"/>
    <w:rsid w:val="68402217"/>
    <w:rsid w:val="684148B7"/>
    <w:rsid w:val="6849B8BD"/>
    <w:rsid w:val="6849E07B"/>
    <w:rsid w:val="684BFD1F"/>
    <w:rsid w:val="684EA004"/>
    <w:rsid w:val="68529618"/>
    <w:rsid w:val="6855A5E3"/>
    <w:rsid w:val="68582644"/>
    <w:rsid w:val="68590F91"/>
    <w:rsid w:val="68594219"/>
    <w:rsid w:val="685A1D57"/>
    <w:rsid w:val="685B859E"/>
    <w:rsid w:val="685E73B6"/>
    <w:rsid w:val="685E9AF5"/>
    <w:rsid w:val="685EC044"/>
    <w:rsid w:val="685F2F13"/>
    <w:rsid w:val="685F56E7"/>
    <w:rsid w:val="686066B0"/>
    <w:rsid w:val="6864DA1F"/>
    <w:rsid w:val="68662AF9"/>
    <w:rsid w:val="6869C1E9"/>
    <w:rsid w:val="6869F544"/>
    <w:rsid w:val="686A4199"/>
    <w:rsid w:val="686AA107"/>
    <w:rsid w:val="686B2BCE"/>
    <w:rsid w:val="686BA111"/>
    <w:rsid w:val="686C34A2"/>
    <w:rsid w:val="686D554B"/>
    <w:rsid w:val="686D6345"/>
    <w:rsid w:val="686D67C2"/>
    <w:rsid w:val="686FF55C"/>
    <w:rsid w:val="687148D3"/>
    <w:rsid w:val="68718B08"/>
    <w:rsid w:val="6871B033"/>
    <w:rsid w:val="6874161C"/>
    <w:rsid w:val="68775275"/>
    <w:rsid w:val="687853E0"/>
    <w:rsid w:val="6879A16D"/>
    <w:rsid w:val="687A9B4C"/>
    <w:rsid w:val="687C3192"/>
    <w:rsid w:val="687CE3A3"/>
    <w:rsid w:val="687D6E84"/>
    <w:rsid w:val="687E4BD1"/>
    <w:rsid w:val="68848B0D"/>
    <w:rsid w:val="68869EBB"/>
    <w:rsid w:val="6886D8FE"/>
    <w:rsid w:val="6887AA1A"/>
    <w:rsid w:val="6887C719"/>
    <w:rsid w:val="68881027"/>
    <w:rsid w:val="6888CE65"/>
    <w:rsid w:val="6889CB93"/>
    <w:rsid w:val="6889DC2F"/>
    <w:rsid w:val="688B5CE0"/>
    <w:rsid w:val="688CD573"/>
    <w:rsid w:val="688D8AA9"/>
    <w:rsid w:val="6891BA6A"/>
    <w:rsid w:val="68932345"/>
    <w:rsid w:val="6893AA5D"/>
    <w:rsid w:val="6895322E"/>
    <w:rsid w:val="68964342"/>
    <w:rsid w:val="6896912B"/>
    <w:rsid w:val="6896A00B"/>
    <w:rsid w:val="6896C10C"/>
    <w:rsid w:val="689725DE"/>
    <w:rsid w:val="68972F6C"/>
    <w:rsid w:val="6899025E"/>
    <w:rsid w:val="6899CFF2"/>
    <w:rsid w:val="689B64E3"/>
    <w:rsid w:val="689B74B5"/>
    <w:rsid w:val="689CE105"/>
    <w:rsid w:val="689D962C"/>
    <w:rsid w:val="689E1B57"/>
    <w:rsid w:val="68A0F000"/>
    <w:rsid w:val="68A1CB85"/>
    <w:rsid w:val="68A2A221"/>
    <w:rsid w:val="68A2ECAC"/>
    <w:rsid w:val="68A76A78"/>
    <w:rsid w:val="68A88AA6"/>
    <w:rsid w:val="68A8E875"/>
    <w:rsid w:val="68AA5DBD"/>
    <w:rsid w:val="68ADAF37"/>
    <w:rsid w:val="68AEAD23"/>
    <w:rsid w:val="68AF3C6E"/>
    <w:rsid w:val="68AF40A2"/>
    <w:rsid w:val="68AF4E7E"/>
    <w:rsid w:val="68AFA68C"/>
    <w:rsid w:val="68B0FC55"/>
    <w:rsid w:val="68B157DF"/>
    <w:rsid w:val="68B2599A"/>
    <w:rsid w:val="68B3E0BF"/>
    <w:rsid w:val="68B3E269"/>
    <w:rsid w:val="68B3FB71"/>
    <w:rsid w:val="68B8283D"/>
    <w:rsid w:val="68B92A7F"/>
    <w:rsid w:val="68B9C86A"/>
    <w:rsid w:val="68BA2FFF"/>
    <w:rsid w:val="68BA900B"/>
    <w:rsid w:val="68BAAED9"/>
    <w:rsid w:val="68BAEFC9"/>
    <w:rsid w:val="68BB4469"/>
    <w:rsid w:val="68BC3229"/>
    <w:rsid w:val="68BD77EE"/>
    <w:rsid w:val="68BFC278"/>
    <w:rsid w:val="68C0EEC1"/>
    <w:rsid w:val="68C18B5C"/>
    <w:rsid w:val="68C316BE"/>
    <w:rsid w:val="68C32DFC"/>
    <w:rsid w:val="68C4463B"/>
    <w:rsid w:val="68C4E82B"/>
    <w:rsid w:val="68C5D03E"/>
    <w:rsid w:val="68C672EE"/>
    <w:rsid w:val="68C987F8"/>
    <w:rsid w:val="68CC1401"/>
    <w:rsid w:val="68CC7DE3"/>
    <w:rsid w:val="68CC9C1E"/>
    <w:rsid w:val="68CEFAC6"/>
    <w:rsid w:val="68CF533D"/>
    <w:rsid w:val="68CF76A3"/>
    <w:rsid w:val="68D0BE0E"/>
    <w:rsid w:val="68D12E03"/>
    <w:rsid w:val="68D2B3F4"/>
    <w:rsid w:val="68D316E5"/>
    <w:rsid w:val="68D396A2"/>
    <w:rsid w:val="68D61B0B"/>
    <w:rsid w:val="68D73EAA"/>
    <w:rsid w:val="68D903F2"/>
    <w:rsid w:val="68DAFAFF"/>
    <w:rsid w:val="68DB0E7B"/>
    <w:rsid w:val="68DC4DB7"/>
    <w:rsid w:val="68DCA697"/>
    <w:rsid w:val="68DDDE41"/>
    <w:rsid w:val="68DE0616"/>
    <w:rsid w:val="68E0723D"/>
    <w:rsid w:val="68E423F3"/>
    <w:rsid w:val="68E4991B"/>
    <w:rsid w:val="68E4CFC0"/>
    <w:rsid w:val="68E81F50"/>
    <w:rsid w:val="68EDE1FC"/>
    <w:rsid w:val="68EE57E9"/>
    <w:rsid w:val="68EF7464"/>
    <w:rsid w:val="68EFFC85"/>
    <w:rsid w:val="68F1BE89"/>
    <w:rsid w:val="68F35A96"/>
    <w:rsid w:val="68F41F21"/>
    <w:rsid w:val="68F47AA8"/>
    <w:rsid w:val="68F4C674"/>
    <w:rsid w:val="68F577A3"/>
    <w:rsid w:val="68F5AD76"/>
    <w:rsid w:val="68F7428D"/>
    <w:rsid w:val="68F7A8C6"/>
    <w:rsid w:val="68F952FE"/>
    <w:rsid w:val="68F9F9B2"/>
    <w:rsid w:val="68FC1012"/>
    <w:rsid w:val="68FC84DD"/>
    <w:rsid w:val="68FCB948"/>
    <w:rsid w:val="68FE968A"/>
    <w:rsid w:val="69035D55"/>
    <w:rsid w:val="6903623E"/>
    <w:rsid w:val="69056B42"/>
    <w:rsid w:val="69069C1E"/>
    <w:rsid w:val="69079EB2"/>
    <w:rsid w:val="690857CF"/>
    <w:rsid w:val="6908DC2F"/>
    <w:rsid w:val="690A6254"/>
    <w:rsid w:val="690D2E6B"/>
    <w:rsid w:val="690DA24F"/>
    <w:rsid w:val="690E669F"/>
    <w:rsid w:val="6911F4D9"/>
    <w:rsid w:val="69141D23"/>
    <w:rsid w:val="691756F6"/>
    <w:rsid w:val="6917ECEF"/>
    <w:rsid w:val="6919B392"/>
    <w:rsid w:val="6919F830"/>
    <w:rsid w:val="691C5FB9"/>
    <w:rsid w:val="691E3F0D"/>
    <w:rsid w:val="691EE8EE"/>
    <w:rsid w:val="6921AA4C"/>
    <w:rsid w:val="6921BC0A"/>
    <w:rsid w:val="692394CC"/>
    <w:rsid w:val="692419DF"/>
    <w:rsid w:val="6924B1D0"/>
    <w:rsid w:val="69257316"/>
    <w:rsid w:val="6926E2B8"/>
    <w:rsid w:val="69289C72"/>
    <w:rsid w:val="6928D66A"/>
    <w:rsid w:val="6929624E"/>
    <w:rsid w:val="692A3C65"/>
    <w:rsid w:val="692AC816"/>
    <w:rsid w:val="692B08DC"/>
    <w:rsid w:val="692CB55E"/>
    <w:rsid w:val="692CE5FB"/>
    <w:rsid w:val="6930F4DD"/>
    <w:rsid w:val="693102A6"/>
    <w:rsid w:val="6931BCDE"/>
    <w:rsid w:val="6931C427"/>
    <w:rsid w:val="69322969"/>
    <w:rsid w:val="6932B81D"/>
    <w:rsid w:val="693320C4"/>
    <w:rsid w:val="69342CF8"/>
    <w:rsid w:val="6934CBE3"/>
    <w:rsid w:val="6934CEFC"/>
    <w:rsid w:val="6935338D"/>
    <w:rsid w:val="6937F2FF"/>
    <w:rsid w:val="6938B633"/>
    <w:rsid w:val="6938D1FF"/>
    <w:rsid w:val="693AA3B7"/>
    <w:rsid w:val="69407414"/>
    <w:rsid w:val="69436B33"/>
    <w:rsid w:val="69452B5A"/>
    <w:rsid w:val="69457640"/>
    <w:rsid w:val="69472D06"/>
    <w:rsid w:val="694B3FB0"/>
    <w:rsid w:val="694E1885"/>
    <w:rsid w:val="695105B9"/>
    <w:rsid w:val="69516F0F"/>
    <w:rsid w:val="69526B2A"/>
    <w:rsid w:val="6953183C"/>
    <w:rsid w:val="69571B49"/>
    <w:rsid w:val="6957C1B2"/>
    <w:rsid w:val="6957C4AF"/>
    <w:rsid w:val="6959B817"/>
    <w:rsid w:val="695B5C67"/>
    <w:rsid w:val="695B8432"/>
    <w:rsid w:val="695C549B"/>
    <w:rsid w:val="695C7AE0"/>
    <w:rsid w:val="695FBD70"/>
    <w:rsid w:val="6960046B"/>
    <w:rsid w:val="696271C4"/>
    <w:rsid w:val="6963A42B"/>
    <w:rsid w:val="6963C701"/>
    <w:rsid w:val="6965068A"/>
    <w:rsid w:val="69653182"/>
    <w:rsid w:val="6967D3DD"/>
    <w:rsid w:val="6968D2F1"/>
    <w:rsid w:val="696997E8"/>
    <w:rsid w:val="696DA85E"/>
    <w:rsid w:val="696DECA5"/>
    <w:rsid w:val="697234A7"/>
    <w:rsid w:val="69726BB8"/>
    <w:rsid w:val="6974C0F3"/>
    <w:rsid w:val="69750071"/>
    <w:rsid w:val="6975407F"/>
    <w:rsid w:val="69762A37"/>
    <w:rsid w:val="69768AE6"/>
    <w:rsid w:val="6978FB44"/>
    <w:rsid w:val="69791380"/>
    <w:rsid w:val="6979A50E"/>
    <w:rsid w:val="697C5C26"/>
    <w:rsid w:val="697E7043"/>
    <w:rsid w:val="69818E7B"/>
    <w:rsid w:val="69842A3D"/>
    <w:rsid w:val="698528E0"/>
    <w:rsid w:val="69854A5C"/>
    <w:rsid w:val="69869307"/>
    <w:rsid w:val="6988398B"/>
    <w:rsid w:val="6988F97B"/>
    <w:rsid w:val="698A51CB"/>
    <w:rsid w:val="698C9A2F"/>
    <w:rsid w:val="698EBCBD"/>
    <w:rsid w:val="698F7372"/>
    <w:rsid w:val="6990082E"/>
    <w:rsid w:val="69914ADC"/>
    <w:rsid w:val="699226C9"/>
    <w:rsid w:val="69925E51"/>
    <w:rsid w:val="6992C5C3"/>
    <w:rsid w:val="69957B2E"/>
    <w:rsid w:val="6995AA4E"/>
    <w:rsid w:val="6995E3F4"/>
    <w:rsid w:val="699670DC"/>
    <w:rsid w:val="699736AA"/>
    <w:rsid w:val="6997865D"/>
    <w:rsid w:val="6997DAB3"/>
    <w:rsid w:val="69996DC9"/>
    <w:rsid w:val="69999CE4"/>
    <w:rsid w:val="699A3C48"/>
    <w:rsid w:val="699B15A3"/>
    <w:rsid w:val="699D7C20"/>
    <w:rsid w:val="699E42F2"/>
    <w:rsid w:val="69A18239"/>
    <w:rsid w:val="69A186F4"/>
    <w:rsid w:val="69A312E6"/>
    <w:rsid w:val="69A43EE9"/>
    <w:rsid w:val="69A480A6"/>
    <w:rsid w:val="69A7F2AE"/>
    <w:rsid w:val="69A80DB4"/>
    <w:rsid w:val="69A9EE3C"/>
    <w:rsid w:val="69AAB22B"/>
    <w:rsid w:val="69ACBCA7"/>
    <w:rsid w:val="69AD124D"/>
    <w:rsid w:val="69AD788C"/>
    <w:rsid w:val="69AEA461"/>
    <w:rsid w:val="69B12155"/>
    <w:rsid w:val="69B30C64"/>
    <w:rsid w:val="69B38591"/>
    <w:rsid w:val="69B4EEE1"/>
    <w:rsid w:val="69B5A7A0"/>
    <w:rsid w:val="69B79D4B"/>
    <w:rsid w:val="69BA5598"/>
    <w:rsid w:val="69BA6656"/>
    <w:rsid w:val="69BA8844"/>
    <w:rsid w:val="69C2AE8A"/>
    <w:rsid w:val="69C414EE"/>
    <w:rsid w:val="69C56ED5"/>
    <w:rsid w:val="69C7A1E4"/>
    <w:rsid w:val="69CAC083"/>
    <w:rsid w:val="69CBCAFD"/>
    <w:rsid w:val="69CD97E6"/>
    <w:rsid w:val="69CFC178"/>
    <w:rsid w:val="69D1182E"/>
    <w:rsid w:val="69D17BD3"/>
    <w:rsid w:val="69D3AB1A"/>
    <w:rsid w:val="69D3F5BD"/>
    <w:rsid w:val="69D445B8"/>
    <w:rsid w:val="69D533A9"/>
    <w:rsid w:val="69D59CD7"/>
    <w:rsid w:val="69DD158B"/>
    <w:rsid w:val="69DDFB20"/>
    <w:rsid w:val="69DE5282"/>
    <w:rsid w:val="69E123C7"/>
    <w:rsid w:val="69E1B6BA"/>
    <w:rsid w:val="69E2B066"/>
    <w:rsid w:val="69E2CBF5"/>
    <w:rsid w:val="69E50F74"/>
    <w:rsid w:val="69E580E9"/>
    <w:rsid w:val="69E59B0C"/>
    <w:rsid w:val="69E79966"/>
    <w:rsid w:val="69E931FF"/>
    <w:rsid w:val="69E9350B"/>
    <w:rsid w:val="69E97A1B"/>
    <w:rsid w:val="69EA1C0A"/>
    <w:rsid w:val="69EC0FD9"/>
    <w:rsid w:val="69ED0104"/>
    <w:rsid w:val="69EDB2E4"/>
    <w:rsid w:val="69EDCED1"/>
    <w:rsid w:val="69EE7A8E"/>
    <w:rsid w:val="69F0DF8E"/>
    <w:rsid w:val="69F1E9EC"/>
    <w:rsid w:val="69F24D50"/>
    <w:rsid w:val="69F3AA0E"/>
    <w:rsid w:val="69F4CEF8"/>
    <w:rsid w:val="69F5EB80"/>
    <w:rsid w:val="69F613DB"/>
    <w:rsid w:val="69F7A4F8"/>
    <w:rsid w:val="69F7BF39"/>
    <w:rsid w:val="69FA455A"/>
    <w:rsid w:val="69FB4C99"/>
    <w:rsid w:val="69FC762A"/>
    <w:rsid w:val="6A012241"/>
    <w:rsid w:val="6A01BF6C"/>
    <w:rsid w:val="6A01D055"/>
    <w:rsid w:val="6A03D65C"/>
    <w:rsid w:val="6A040F10"/>
    <w:rsid w:val="6A064CAE"/>
    <w:rsid w:val="6A0664F7"/>
    <w:rsid w:val="6A0A4E44"/>
    <w:rsid w:val="6A113144"/>
    <w:rsid w:val="6A113291"/>
    <w:rsid w:val="6A11C377"/>
    <w:rsid w:val="6A14FD08"/>
    <w:rsid w:val="6A162D8A"/>
    <w:rsid w:val="6A167622"/>
    <w:rsid w:val="6A187C55"/>
    <w:rsid w:val="6A189722"/>
    <w:rsid w:val="6A18C36A"/>
    <w:rsid w:val="6A1A0E22"/>
    <w:rsid w:val="6A1A0F0D"/>
    <w:rsid w:val="6A1A6817"/>
    <w:rsid w:val="6A20172C"/>
    <w:rsid w:val="6A215C74"/>
    <w:rsid w:val="6A267BE3"/>
    <w:rsid w:val="6A26B40C"/>
    <w:rsid w:val="6A27C0C4"/>
    <w:rsid w:val="6A2AFD53"/>
    <w:rsid w:val="6A2CE5D7"/>
    <w:rsid w:val="6A2E1EDD"/>
    <w:rsid w:val="6A2E9B26"/>
    <w:rsid w:val="6A2F45A5"/>
    <w:rsid w:val="6A2F8214"/>
    <w:rsid w:val="6A312E59"/>
    <w:rsid w:val="6A314189"/>
    <w:rsid w:val="6A31EA5F"/>
    <w:rsid w:val="6A32968B"/>
    <w:rsid w:val="6A3354DE"/>
    <w:rsid w:val="6A338ED2"/>
    <w:rsid w:val="6A33AE7B"/>
    <w:rsid w:val="6A33B0F9"/>
    <w:rsid w:val="6A35434C"/>
    <w:rsid w:val="6A3546F6"/>
    <w:rsid w:val="6A3698B8"/>
    <w:rsid w:val="6A37693A"/>
    <w:rsid w:val="6A389C0D"/>
    <w:rsid w:val="6A39625E"/>
    <w:rsid w:val="6A3AB56A"/>
    <w:rsid w:val="6A3C4723"/>
    <w:rsid w:val="6A3D6BDB"/>
    <w:rsid w:val="6A3E8A7D"/>
    <w:rsid w:val="6A3E9D31"/>
    <w:rsid w:val="6A40144C"/>
    <w:rsid w:val="6A42C911"/>
    <w:rsid w:val="6A44E214"/>
    <w:rsid w:val="6A44FD80"/>
    <w:rsid w:val="6A454A2B"/>
    <w:rsid w:val="6A45FCDC"/>
    <w:rsid w:val="6A47593A"/>
    <w:rsid w:val="6A48F49C"/>
    <w:rsid w:val="6A49B522"/>
    <w:rsid w:val="6A4A0311"/>
    <w:rsid w:val="6A4AE916"/>
    <w:rsid w:val="6A4C486A"/>
    <w:rsid w:val="6A4CB5C7"/>
    <w:rsid w:val="6A4DEA29"/>
    <w:rsid w:val="6A4DEAB3"/>
    <w:rsid w:val="6A4E4368"/>
    <w:rsid w:val="6A51FE62"/>
    <w:rsid w:val="6A52BF9B"/>
    <w:rsid w:val="6A54F8C5"/>
    <w:rsid w:val="6A574474"/>
    <w:rsid w:val="6A5A94A3"/>
    <w:rsid w:val="6A5B9C61"/>
    <w:rsid w:val="6A5FCAA1"/>
    <w:rsid w:val="6A608CB9"/>
    <w:rsid w:val="6A61435E"/>
    <w:rsid w:val="6A64FEF6"/>
    <w:rsid w:val="6A6599CD"/>
    <w:rsid w:val="6A679CF5"/>
    <w:rsid w:val="6A681C04"/>
    <w:rsid w:val="6A693C01"/>
    <w:rsid w:val="6A694F2D"/>
    <w:rsid w:val="6A6C5324"/>
    <w:rsid w:val="6A6D717F"/>
    <w:rsid w:val="6A6E15DF"/>
    <w:rsid w:val="6A6E3D22"/>
    <w:rsid w:val="6A6FD101"/>
    <w:rsid w:val="6A717DF6"/>
    <w:rsid w:val="6A71834A"/>
    <w:rsid w:val="6A71C9F5"/>
    <w:rsid w:val="6A734119"/>
    <w:rsid w:val="6A745497"/>
    <w:rsid w:val="6A774202"/>
    <w:rsid w:val="6A78B03D"/>
    <w:rsid w:val="6A79EA14"/>
    <w:rsid w:val="6A7DE3FA"/>
    <w:rsid w:val="6A7E147D"/>
    <w:rsid w:val="6A7F140E"/>
    <w:rsid w:val="6A7FDC68"/>
    <w:rsid w:val="6A80327D"/>
    <w:rsid w:val="6A8136D3"/>
    <w:rsid w:val="6A816B8A"/>
    <w:rsid w:val="6A823783"/>
    <w:rsid w:val="6A845B85"/>
    <w:rsid w:val="6A8678FC"/>
    <w:rsid w:val="6A882690"/>
    <w:rsid w:val="6A889C0D"/>
    <w:rsid w:val="6A88A31B"/>
    <w:rsid w:val="6A88F870"/>
    <w:rsid w:val="6A89FC55"/>
    <w:rsid w:val="6A8A7318"/>
    <w:rsid w:val="6A8AB51D"/>
    <w:rsid w:val="6A8E00DB"/>
    <w:rsid w:val="6A8ECF3C"/>
    <w:rsid w:val="6A8F384B"/>
    <w:rsid w:val="6A8F7483"/>
    <w:rsid w:val="6A905FE9"/>
    <w:rsid w:val="6A90EDB7"/>
    <w:rsid w:val="6A925EAF"/>
    <w:rsid w:val="6A9448F3"/>
    <w:rsid w:val="6A95D68A"/>
    <w:rsid w:val="6A974638"/>
    <w:rsid w:val="6A9A1603"/>
    <w:rsid w:val="6A9C6A46"/>
    <w:rsid w:val="6A9D84EB"/>
    <w:rsid w:val="6A9E3EB4"/>
    <w:rsid w:val="6AA08FC4"/>
    <w:rsid w:val="6AA14B60"/>
    <w:rsid w:val="6AA26BEB"/>
    <w:rsid w:val="6AA2F68F"/>
    <w:rsid w:val="6AA5B87D"/>
    <w:rsid w:val="6AA6BEB6"/>
    <w:rsid w:val="6AA793CD"/>
    <w:rsid w:val="6AA890A8"/>
    <w:rsid w:val="6AA94A0B"/>
    <w:rsid w:val="6AAB90E6"/>
    <w:rsid w:val="6AAD34D0"/>
    <w:rsid w:val="6AB0F848"/>
    <w:rsid w:val="6AB2DCC9"/>
    <w:rsid w:val="6AB2EA2A"/>
    <w:rsid w:val="6AB32AC7"/>
    <w:rsid w:val="6AB4401E"/>
    <w:rsid w:val="6AB6D06A"/>
    <w:rsid w:val="6AB7E5EB"/>
    <w:rsid w:val="6AB8204B"/>
    <w:rsid w:val="6ABB0520"/>
    <w:rsid w:val="6ABBA84D"/>
    <w:rsid w:val="6ABBA84E"/>
    <w:rsid w:val="6ABCF55B"/>
    <w:rsid w:val="6ABE410B"/>
    <w:rsid w:val="6AC1F4B1"/>
    <w:rsid w:val="6AC798D1"/>
    <w:rsid w:val="6AC81FD3"/>
    <w:rsid w:val="6ACEE043"/>
    <w:rsid w:val="6ACFA58D"/>
    <w:rsid w:val="6AD04833"/>
    <w:rsid w:val="6AD1D2FF"/>
    <w:rsid w:val="6AD1DE43"/>
    <w:rsid w:val="6AD4E702"/>
    <w:rsid w:val="6AD88B71"/>
    <w:rsid w:val="6ADA5667"/>
    <w:rsid w:val="6ADDC8E3"/>
    <w:rsid w:val="6ADF4FFD"/>
    <w:rsid w:val="6ADFBD4D"/>
    <w:rsid w:val="6AE21A44"/>
    <w:rsid w:val="6AE222CD"/>
    <w:rsid w:val="6AE3D8CF"/>
    <w:rsid w:val="6AE4BE97"/>
    <w:rsid w:val="6AE4C6B1"/>
    <w:rsid w:val="6AE69AF7"/>
    <w:rsid w:val="6AE988B6"/>
    <w:rsid w:val="6AEA16DF"/>
    <w:rsid w:val="6AEA32C8"/>
    <w:rsid w:val="6AEC3D7D"/>
    <w:rsid w:val="6AEC973F"/>
    <w:rsid w:val="6AECB18B"/>
    <w:rsid w:val="6AEEA720"/>
    <w:rsid w:val="6AEEFC63"/>
    <w:rsid w:val="6AEFA29C"/>
    <w:rsid w:val="6AF00758"/>
    <w:rsid w:val="6AF3CB65"/>
    <w:rsid w:val="6AF3DAC6"/>
    <w:rsid w:val="6AF5AADF"/>
    <w:rsid w:val="6AF627F2"/>
    <w:rsid w:val="6AF676AD"/>
    <w:rsid w:val="6AF7DE7E"/>
    <w:rsid w:val="6AF8562D"/>
    <w:rsid w:val="6AF8D413"/>
    <w:rsid w:val="6AF8DBCF"/>
    <w:rsid w:val="6AFB3001"/>
    <w:rsid w:val="6B00C677"/>
    <w:rsid w:val="6B00F2B9"/>
    <w:rsid w:val="6B0609C0"/>
    <w:rsid w:val="6B067489"/>
    <w:rsid w:val="6B069EBC"/>
    <w:rsid w:val="6B080DDA"/>
    <w:rsid w:val="6B081EE6"/>
    <w:rsid w:val="6B097667"/>
    <w:rsid w:val="6B0990CB"/>
    <w:rsid w:val="6B09AC84"/>
    <w:rsid w:val="6B0A34A7"/>
    <w:rsid w:val="6B0B73BD"/>
    <w:rsid w:val="6B0CF4EB"/>
    <w:rsid w:val="6B0EACCB"/>
    <w:rsid w:val="6B0F3CAC"/>
    <w:rsid w:val="6B0F7D43"/>
    <w:rsid w:val="6B10CB70"/>
    <w:rsid w:val="6B126E72"/>
    <w:rsid w:val="6B130D2F"/>
    <w:rsid w:val="6B134675"/>
    <w:rsid w:val="6B134F84"/>
    <w:rsid w:val="6B136AEC"/>
    <w:rsid w:val="6B175751"/>
    <w:rsid w:val="6B191B6E"/>
    <w:rsid w:val="6B19341D"/>
    <w:rsid w:val="6B19D203"/>
    <w:rsid w:val="6B1AB462"/>
    <w:rsid w:val="6B1C6D98"/>
    <w:rsid w:val="6B1CB074"/>
    <w:rsid w:val="6B24802D"/>
    <w:rsid w:val="6B24A6F8"/>
    <w:rsid w:val="6B262596"/>
    <w:rsid w:val="6B287446"/>
    <w:rsid w:val="6B297D5E"/>
    <w:rsid w:val="6B29BD86"/>
    <w:rsid w:val="6B29C9C7"/>
    <w:rsid w:val="6B2BEA76"/>
    <w:rsid w:val="6B2DCB90"/>
    <w:rsid w:val="6B300E34"/>
    <w:rsid w:val="6B3179EA"/>
    <w:rsid w:val="6B31E74A"/>
    <w:rsid w:val="6B34BC0F"/>
    <w:rsid w:val="6B35547B"/>
    <w:rsid w:val="6B35B7E6"/>
    <w:rsid w:val="6B37ABB9"/>
    <w:rsid w:val="6B380FAA"/>
    <w:rsid w:val="6B386C31"/>
    <w:rsid w:val="6B3A41D7"/>
    <w:rsid w:val="6B3A6194"/>
    <w:rsid w:val="6B3ABF7C"/>
    <w:rsid w:val="6B3B3024"/>
    <w:rsid w:val="6B3EF3E7"/>
    <w:rsid w:val="6B3F411A"/>
    <w:rsid w:val="6B402476"/>
    <w:rsid w:val="6B403F84"/>
    <w:rsid w:val="6B40A241"/>
    <w:rsid w:val="6B40C0BE"/>
    <w:rsid w:val="6B420001"/>
    <w:rsid w:val="6B432061"/>
    <w:rsid w:val="6B43546C"/>
    <w:rsid w:val="6B464FAD"/>
    <w:rsid w:val="6B4A4A4A"/>
    <w:rsid w:val="6B4ACB12"/>
    <w:rsid w:val="6B4AE36A"/>
    <w:rsid w:val="6B4C7600"/>
    <w:rsid w:val="6B4D80CA"/>
    <w:rsid w:val="6B4E8124"/>
    <w:rsid w:val="6B4F71B1"/>
    <w:rsid w:val="6B4F984E"/>
    <w:rsid w:val="6B5156A0"/>
    <w:rsid w:val="6B54D49E"/>
    <w:rsid w:val="6B55E243"/>
    <w:rsid w:val="6B55EEBB"/>
    <w:rsid w:val="6B55FAC0"/>
    <w:rsid w:val="6B566B46"/>
    <w:rsid w:val="6B57CFA3"/>
    <w:rsid w:val="6B5A05F9"/>
    <w:rsid w:val="6B5FFD9E"/>
    <w:rsid w:val="6B60198B"/>
    <w:rsid w:val="6B606D96"/>
    <w:rsid w:val="6B64508C"/>
    <w:rsid w:val="6B653F72"/>
    <w:rsid w:val="6B65FA87"/>
    <w:rsid w:val="6B67C9F2"/>
    <w:rsid w:val="6B685D64"/>
    <w:rsid w:val="6B68B57E"/>
    <w:rsid w:val="6B693CD4"/>
    <w:rsid w:val="6B69AE73"/>
    <w:rsid w:val="6B69F124"/>
    <w:rsid w:val="6B6D7C02"/>
    <w:rsid w:val="6B6D9F45"/>
    <w:rsid w:val="6B728FD0"/>
    <w:rsid w:val="6B72C0DA"/>
    <w:rsid w:val="6B753023"/>
    <w:rsid w:val="6B7567C8"/>
    <w:rsid w:val="6B75962C"/>
    <w:rsid w:val="6B76A6A8"/>
    <w:rsid w:val="6B782918"/>
    <w:rsid w:val="6B7AED0B"/>
    <w:rsid w:val="6B7BB71A"/>
    <w:rsid w:val="6B7E091F"/>
    <w:rsid w:val="6B7E162E"/>
    <w:rsid w:val="6B837699"/>
    <w:rsid w:val="6B857E5E"/>
    <w:rsid w:val="6B85FDC5"/>
    <w:rsid w:val="6B87F325"/>
    <w:rsid w:val="6B885FA8"/>
    <w:rsid w:val="6B894BB9"/>
    <w:rsid w:val="6B8A3D02"/>
    <w:rsid w:val="6B8AB4CB"/>
    <w:rsid w:val="6B8AC666"/>
    <w:rsid w:val="6B8AD9E4"/>
    <w:rsid w:val="6B8C3E18"/>
    <w:rsid w:val="6B8D3EB7"/>
    <w:rsid w:val="6B8E146B"/>
    <w:rsid w:val="6B905DF0"/>
    <w:rsid w:val="6B929D46"/>
    <w:rsid w:val="6B93E6CB"/>
    <w:rsid w:val="6B952DE2"/>
    <w:rsid w:val="6B963241"/>
    <w:rsid w:val="6B9B2AEE"/>
    <w:rsid w:val="6B9C27AB"/>
    <w:rsid w:val="6B9DC2EB"/>
    <w:rsid w:val="6B9EFCA8"/>
    <w:rsid w:val="6B9F4A97"/>
    <w:rsid w:val="6BA0DFCA"/>
    <w:rsid w:val="6BA12CAC"/>
    <w:rsid w:val="6BA3ACE6"/>
    <w:rsid w:val="6BA63642"/>
    <w:rsid w:val="6BA7FCBB"/>
    <w:rsid w:val="6BA8DCFC"/>
    <w:rsid w:val="6BA8FFE9"/>
    <w:rsid w:val="6BA948CA"/>
    <w:rsid w:val="6BA99998"/>
    <w:rsid w:val="6BAAF47E"/>
    <w:rsid w:val="6BAAF6C3"/>
    <w:rsid w:val="6BACEB02"/>
    <w:rsid w:val="6BADEFFE"/>
    <w:rsid w:val="6BB2A4BC"/>
    <w:rsid w:val="6BB2EBA7"/>
    <w:rsid w:val="6BB3F23E"/>
    <w:rsid w:val="6BB51DE5"/>
    <w:rsid w:val="6BB7E218"/>
    <w:rsid w:val="6BB8FD22"/>
    <w:rsid w:val="6BBACDA1"/>
    <w:rsid w:val="6BBAD02C"/>
    <w:rsid w:val="6BBB423A"/>
    <w:rsid w:val="6BBC868B"/>
    <w:rsid w:val="6BBCDC7A"/>
    <w:rsid w:val="6BBE80DC"/>
    <w:rsid w:val="6BBEBAA2"/>
    <w:rsid w:val="6BBF1554"/>
    <w:rsid w:val="6BBFDF17"/>
    <w:rsid w:val="6BC1F8D3"/>
    <w:rsid w:val="6BC29E63"/>
    <w:rsid w:val="6BC67305"/>
    <w:rsid w:val="6BCAF966"/>
    <w:rsid w:val="6BCB5340"/>
    <w:rsid w:val="6BCB6E39"/>
    <w:rsid w:val="6BCC2D0D"/>
    <w:rsid w:val="6BD24469"/>
    <w:rsid w:val="6BD593BF"/>
    <w:rsid w:val="6BD5A2F3"/>
    <w:rsid w:val="6BD6E8D6"/>
    <w:rsid w:val="6BD9B360"/>
    <w:rsid w:val="6BDA0742"/>
    <w:rsid w:val="6BDBBB93"/>
    <w:rsid w:val="6BDE8037"/>
    <w:rsid w:val="6BE079C8"/>
    <w:rsid w:val="6BE267E3"/>
    <w:rsid w:val="6BE29023"/>
    <w:rsid w:val="6BE46478"/>
    <w:rsid w:val="6BE495FA"/>
    <w:rsid w:val="6BE59788"/>
    <w:rsid w:val="6BE5AD44"/>
    <w:rsid w:val="6BE7D910"/>
    <w:rsid w:val="6BED3FF5"/>
    <w:rsid w:val="6BEECEE9"/>
    <w:rsid w:val="6BEFE2B7"/>
    <w:rsid w:val="6BF0477A"/>
    <w:rsid w:val="6BF17DC3"/>
    <w:rsid w:val="6BF1ED66"/>
    <w:rsid w:val="6BF3AB88"/>
    <w:rsid w:val="6BF4E5D9"/>
    <w:rsid w:val="6BF539BA"/>
    <w:rsid w:val="6BF95D9B"/>
    <w:rsid w:val="6BF963D9"/>
    <w:rsid w:val="6BFD0653"/>
    <w:rsid w:val="6BFE0FFB"/>
    <w:rsid w:val="6C00C7DE"/>
    <w:rsid w:val="6C022286"/>
    <w:rsid w:val="6C02ADD9"/>
    <w:rsid w:val="6C0812F0"/>
    <w:rsid w:val="6C09BEC0"/>
    <w:rsid w:val="6C09DBE6"/>
    <w:rsid w:val="6C0A2121"/>
    <w:rsid w:val="6C0E362C"/>
    <w:rsid w:val="6C0FBFA2"/>
    <w:rsid w:val="6C111E7D"/>
    <w:rsid w:val="6C13A378"/>
    <w:rsid w:val="6C13EC39"/>
    <w:rsid w:val="6C1406FE"/>
    <w:rsid w:val="6C142D9E"/>
    <w:rsid w:val="6C1651D8"/>
    <w:rsid w:val="6C1AFE2C"/>
    <w:rsid w:val="6C1B2496"/>
    <w:rsid w:val="6C1B83AE"/>
    <w:rsid w:val="6C1E8FC0"/>
    <w:rsid w:val="6C1FF12B"/>
    <w:rsid w:val="6C216867"/>
    <w:rsid w:val="6C24220C"/>
    <w:rsid w:val="6C248F38"/>
    <w:rsid w:val="6C25FB80"/>
    <w:rsid w:val="6C269252"/>
    <w:rsid w:val="6C26FE2D"/>
    <w:rsid w:val="6C27485D"/>
    <w:rsid w:val="6C28E638"/>
    <w:rsid w:val="6C29B289"/>
    <w:rsid w:val="6C2B9B51"/>
    <w:rsid w:val="6C2BC674"/>
    <w:rsid w:val="6C2DEA99"/>
    <w:rsid w:val="6C2E3D66"/>
    <w:rsid w:val="6C2E5473"/>
    <w:rsid w:val="6C300708"/>
    <w:rsid w:val="6C30384B"/>
    <w:rsid w:val="6C33390C"/>
    <w:rsid w:val="6C33B9CC"/>
    <w:rsid w:val="6C340D2A"/>
    <w:rsid w:val="6C3561D6"/>
    <w:rsid w:val="6C385733"/>
    <w:rsid w:val="6C39F45F"/>
    <w:rsid w:val="6C3A7CB4"/>
    <w:rsid w:val="6C3A9AC1"/>
    <w:rsid w:val="6C3C0527"/>
    <w:rsid w:val="6C3DEA3B"/>
    <w:rsid w:val="6C3E0850"/>
    <w:rsid w:val="6C3F56D2"/>
    <w:rsid w:val="6C415ECC"/>
    <w:rsid w:val="6C43D436"/>
    <w:rsid w:val="6C4423AF"/>
    <w:rsid w:val="6C442636"/>
    <w:rsid w:val="6C446155"/>
    <w:rsid w:val="6C460209"/>
    <w:rsid w:val="6C46B4CB"/>
    <w:rsid w:val="6C475A64"/>
    <w:rsid w:val="6C4C59A6"/>
    <w:rsid w:val="6C4CAB2D"/>
    <w:rsid w:val="6C4E4B07"/>
    <w:rsid w:val="6C51ADC7"/>
    <w:rsid w:val="6C51B053"/>
    <w:rsid w:val="6C51E979"/>
    <w:rsid w:val="6C531D90"/>
    <w:rsid w:val="6C54A8A6"/>
    <w:rsid w:val="6C558BDF"/>
    <w:rsid w:val="6C582E63"/>
    <w:rsid w:val="6C5B723D"/>
    <w:rsid w:val="6C5C535A"/>
    <w:rsid w:val="6C5CE43E"/>
    <w:rsid w:val="6C5DAFDE"/>
    <w:rsid w:val="6C60A707"/>
    <w:rsid w:val="6C60AC14"/>
    <w:rsid w:val="6C61C00D"/>
    <w:rsid w:val="6C63F151"/>
    <w:rsid w:val="6C64C3F2"/>
    <w:rsid w:val="6C6538A7"/>
    <w:rsid w:val="6C665962"/>
    <w:rsid w:val="6C667190"/>
    <w:rsid w:val="6C67397D"/>
    <w:rsid w:val="6C6B5010"/>
    <w:rsid w:val="6C6BE53D"/>
    <w:rsid w:val="6C6CF26F"/>
    <w:rsid w:val="6C6DD0F6"/>
    <w:rsid w:val="6C6F5ED1"/>
    <w:rsid w:val="6C70802C"/>
    <w:rsid w:val="6C7123C4"/>
    <w:rsid w:val="6C72B844"/>
    <w:rsid w:val="6C73B6BE"/>
    <w:rsid w:val="6C769032"/>
    <w:rsid w:val="6C76C88F"/>
    <w:rsid w:val="6C774FEF"/>
    <w:rsid w:val="6C77D929"/>
    <w:rsid w:val="6C7BA830"/>
    <w:rsid w:val="6C7ED663"/>
    <w:rsid w:val="6C7F9E40"/>
    <w:rsid w:val="6C811182"/>
    <w:rsid w:val="6C81FE4C"/>
    <w:rsid w:val="6C822F4D"/>
    <w:rsid w:val="6C833F53"/>
    <w:rsid w:val="6C84E161"/>
    <w:rsid w:val="6C84E6D1"/>
    <w:rsid w:val="6C865198"/>
    <w:rsid w:val="6C86D0F6"/>
    <w:rsid w:val="6C8886AE"/>
    <w:rsid w:val="6C8A5EFC"/>
    <w:rsid w:val="6C8A9D63"/>
    <w:rsid w:val="6C8BBF1E"/>
    <w:rsid w:val="6C8E7AD1"/>
    <w:rsid w:val="6C9396FA"/>
    <w:rsid w:val="6C93C2FA"/>
    <w:rsid w:val="6C93E04A"/>
    <w:rsid w:val="6C96FC12"/>
    <w:rsid w:val="6C97E008"/>
    <w:rsid w:val="6C98889E"/>
    <w:rsid w:val="6C99011D"/>
    <w:rsid w:val="6C9A73D2"/>
    <w:rsid w:val="6C9B68AE"/>
    <w:rsid w:val="6C9B691C"/>
    <w:rsid w:val="6C9DD910"/>
    <w:rsid w:val="6CA0FC2B"/>
    <w:rsid w:val="6CA13443"/>
    <w:rsid w:val="6CA1B946"/>
    <w:rsid w:val="6CA24D1E"/>
    <w:rsid w:val="6CA5DE69"/>
    <w:rsid w:val="6CA6757F"/>
    <w:rsid w:val="6CA73BB9"/>
    <w:rsid w:val="6CA744D6"/>
    <w:rsid w:val="6CA8DC27"/>
    <w:rsid w:val="6CAFC2B7"/>
    <w:rsid w:val="6CB03FE2"/>
    <w:rsid w:val="6CB051AD"/>
    <w:rsid w:val="6CB2A9B4"/>
    <w:rsid w:val="6CB35A54"/>
    <w:rsid w:val="6CB3CB4C"/>
    <w:rsid w:val="6CB41E95"/>
    <w:rsid w:val="6CB4373D"/>
    <w:rsid w:val="6CB4F088"/>
    <w:rsid w:val="6CB60A54"/>
    <w:rsid w:val="6CB71387"/>
    <w:rsid w:val="6CBA31B8"/>
    <w:rsid w:val="6CBCB55D"/>
    <w:rsid w:val="6CC2D3C8"/>
    <w:rsid w:val="6CC2EB32"/>
    <w:rsid w:val="6CC85EC6"/>
    <w:rsid w:val="6CCA9F7C"/>
    <w:rsid w:val="6CCB3A79"/>
    <w:rsid w:val="6CCC3B4A"/>
    <w:rsid w:val="6CCDC778"/>
    <w:rsid w:val="6CCE6D52"/>
    <w:rsid w:val="6CCF9A72"/>
    <w:rsid w:val="6CCFA03A"/>
    <w:rsid w:val="6CD26448"/>
    <w:rsid w:val="6CD8A5B9"/>
    <w:rsid w:val="6CDA25E4"/>
    <w:rsid w:val="6CDA580D"/>
    <w:rsid w:val="6CDB4F66"/>
    <w:rsid w:val="6CDF5148"/>
    <w:rsid w:val="6CE00E58"/>
    <w:rsid w:val="6CE319DB"/>
    <w:rsid w:val="6CE56ACE"/>
    <w:rsid w:val="6CE793C4"/>
    <w:rsid w:val="6CE83AC9"/>
    <w:rsid w:val="6CE850C1"/>
    <w:rsid w:val="6CE9B08F"/>
    <w:rsid w:val="6CE9BFA6"/>
    <w:rsid w:val="6CEA42C6"/>
    <w:rsid w:val="6CEB4236"/>
    <w:rsid w:val="6CEC7170"/>
    <w:rsid w:val="6CF07EEB"/>
    <w:rsid w:val="6CF3911E"/>
    <w:rsid w:val="6CF5C79D"/>
    <w:rsid w:val="6CF9C10A"/>
    <w:rsid w:val="6CFA1AB1"/>
    <w:rsid w:val="6CFD2A35"/>
    <w:rsid w:val="6D009267"/>
    <w:rsid w:val="6D012DDA"/>
    <w:rsid w:val="6D0270E6"/>
    <w:rsid w:val="6D0553ED"/>
    <w:rsid w:val="6D06E4D9"/>
    <w:rsid w:val="6D07050C"/>
    <w:rsid w:val="6D071A14"/>
    <w:rsid w:val="6D079948"/>
    <w:rsid w:val="6D085B86"/>
    <w:rsid w:val="6D08FAAD"/>
    <w:rsid w:val="6D0D1547"/>
    <w:rsid w:val="6D0FA7CB"/>
    <w:rsid w:val="6D10C356"/>
    <w:rsid w:val="6D159334"/>
    <w:rsid w:val="6D170E81"/>
    <w:rsid w:val="6D1761E6"/>
    <w:rsid w:val="6D186530"/>
    <w:rsid w:val="6D191D08"/>
    <w:rsid w:val="6D19302B"/>
    <w:rsid w:val="6D1C18CC"/>
    <w:rsid w:val="6D1C2C93"/>
    <w:rsid w:val="6D1CA201"/>
    <w:rsid w:val="6D1CB4A6"/>
    <w:rsid w:val="6D1EC63A"/>
    <w:rsid w:val="6D1FD659"/>
    <w:rsid w:val="6D212C66"/>
    <w:rsid w:val="6D22DD58"/>
    <w:rsid w:val="6D260ECD"/>
    <w:rsid w:val="6D291BBE"/>
    <w:rsid w:val="6D2A59EF"/>
    <w:rsid w:val="6D2B28D4"/>
    <w:rsid w:val="6D2BD2F8"/>
    <w:rsid w:val="6D2C2383"/>
    <w:rsid w:val="6D2C51BE"/>
    <w:rsid w:val="6D2CE53B"/>
    <w:rsid w:val="6D2CFDC6"/>
    <w:rsid w:val="6D2D3E58"/>
    <w:rsid w:val="6D2FDD9D"/>
    <w:rsid w:val="6D302469"/>
    <w:rsid w:val="6D3091C5"/>
    <w:rsid w:val="6D313A80"/>
    <w:rsid w:val="6D32A0B1"/>
    <w:rsid w:val="6D3548CF"/>
    <w:rsid w:val="6D3DDAEF"/>
    <w:rsid w:val="6D3DF51A"/>
    <w:rsid w:val="6D3FE0E6"/>
    <w:rsid w:val="6D41D431"/>
    <w:rsid w:val="6D436C46"/>
    <w:rsid w:val="6D43C4C1"/>
    <w:rsid w:val="6D43CBAD"/>
    <w:rsid w:val="6D44F871"/>
    <w:rsid w:val="6D45443C"/>
    <w:rsid w:val="6D464CB6"/>
    <w:rsid w:val="6D49E08E"/>
    <w:rsid w:val="6D4C22DF"/>
    <w:rsid w:val="6D4CB70B"/>
    <w:rsid w:val="6D4DDBAA"/>
    <w:rsid w:val="6D4F441D"/>
    <w:rsid w:val="6D53C52C"/>
    <w:rsid w:val="6D53F6F9"/>
    <w:rsid w:val="6D544B87"/>
    <w:rsid w:val="6D5545DC"/>
    <w:rsid w:val="6D556E04"/>
    <w:rsid w:val="6D561DD8"/>
    <w:rsid w:val="6D597EEE"/>
    <w:rsid w:val="6D5A15EA"/>
    <w:rsid w:val="6D5B2EA2"/>
    <w:rsid w:val="6D5CE39F"/>
    <w:rsid w:val="6D5E40B9"/>
    <w:rsid w:val="6D60848F"/>
    <w:rsid w:val="6D61C10A"/>
    <w:rsid w:val="6D63171B"/>
    <w:rsid w:val="6D6552E8"/>
    <w:rsid w:val="6D671DC4"/>
    <w:rsid w:val="6D69CA0A"/>
    <w:rsid w:val="6D6A39A9"/>
    <w:rsid w:val="6D6BC6F7"/>
    <w:rsid w:val="6D6C354F"/>
    <w:rsid w:val="6D6CF26A"/>
    <w:rsid w:val="6D6EC2B4"/>
    <w:rsid w:val="6D703952"/>
    <w:rsid w:val="6D712EEB"/>
    <w:rsid w:val="6D71ABC3"/>
    <w:rsid w:val="6D73C41C"/>
    <w:rsid w:val="6D75068A"/>
    <w:rsid w:val="6D76A1FC"/>
    <w:rsid w:val="6D76FE9D"/>
    <w:rsid w:val="6D77221E"/>
    <w:rsid w:val="6D78063A"/>
    <w:rsid w:val="6D78FC69"/>
    <w:rsid w:val="6D790C18"/>
    <w:rsid w:val="6D790E1A"/>
    <w:rsid w:val="6D795D64"/>
    <w:rsid w:val="6D7A4AE1"/>
    <w:rsid w:val="6D7DF499"/>
    <w:rsid w:val="6D7E4672"/>
    <w:rsid w:val="6D7E8DB4"/>
    <w:rsid w:val="6D82A4BF"/>
    <w:rsid w:val="6D82BA5C"/>
    <w:rsid w:val="6D84308E"/>
    <w:rsid w:val="6D858001"/>
    <w:rsid w:val="6D8673B3"/>
    <w:rsid w:val="6D86DD83"/>
    <w:rsid w:val="6D879AEB"/>
    <w:rsid w:val="6D88176C"/>
    <w:rsid w:val="6D898EE9"/>
    <w:rsid w:val="6D899ADD"/>
    <w:rsid w:val="6D8BD77E"/>
    <w:rsid w:val="6D8D02D2"/>
    <w:rsid w:val="6D8E696B"/>
    <w:rsid w:val="6D8F018F"/>
    <w:rsid w:val="6D8FD3E5"/>
    <w:rsid w:val="6D97953B"/>
    <w:rsid w:val="6D9828C8"/>
    <w:rsid w:val="6D9A03C9"/>
    <w:rsid w:val="6D9A7D2D"/>
    <w:rsid w:val="6D9B4837"/>
    <w:rsid w:val="6D9B5E6F"/>
    <w:rsid w:val="6D9E7653"/>
    <w:rsid w:val="6D9FFFB2"/>
    <w:rsid w:val="6DA08D77"/>
    <w:rsid w:val="6DA39679"/>
    <w:rsid w:val="6DA9B026"/>
    <w:rsid w:val="6DAAB86B"/>
    <w:rsid w:val="6DABBA11"/>
    <w:rsid w:val="6DAC0B90"/>
    <w:rsid w:val="6DAD5906"/>
    <w:rsid w:val="6DAD901D"/>
    <w:rsid w:val="6DAF7218"/>
    <w:rsid w:val="6DB0E96D"/>
    <w:rsid w:val="6DB34D4F"/>
    <w:rsid w:val="6DB39600"/>
    <w:rsid w:val="6DB5AC16"/>
    <w:rsid w:val="6DB75690"/>
    <w:rsid w:val="6DB76407"/>
    <w:rsid w:val="6DB93FB0"/>
    <w:rsid w:val="6DBA5A81"/>
    <w:rsid w:val="6DBDF07E"/>
    <w:rsid w:val="6DC09C4F"/>
    <w:rsid w:val="6DC0E302"/>
    <w:rsid w:val="6DC34572"/>
    <w:rsid w:val="6DC3B41D"/>
    <w:rsid w:val="6DC4FBE6"/>
    <w:rsid w:val="6DC524A5"/>
    <w:rsid w:val="6DC65DC8"/>
    <w:rsid w:val="6DC6BACB"/>
    <w:rsid w:val="6DC96AFB"/>
    <w:rsid w:val="6DC9C3E6"/>
    <w:rsid w:val="6DCC19EC"/>
    <w:rsid w:val="6DCCBDF7"/>
    <w:rsid w:val="6DCCC53D"/>
    <w:rsid w:val="6DCD978C"/>
    <w:rsid w:val="6DCDA744"/>
    <w:rsid w:val="6DCF252B"/>
    <w:rsid w:val="6DCF8BB5"/>
    <w:rsid w:val="6DD05155"/>
    <w:rsid w:val="6DD07C10"/>
    <w:rsid w:val="6DD07F28"/>
    <w:rsid w:val="6DD29F40"/>
    <w:rsid w:val="6DD2F82A"/>
    <w:rsid w:val="6DD467E3"/>
    <w:rsid w:val="6DD4CDEF"/>
    <w:rsid w:val="6DD5241A"/>
    <w:rsid w:val="6DD52F7D"/>
    <w:rsid w:val="6DD53CDF"/>
    <w:rsid w:val="6DD60323"/>
    <w:rsid w:val="6DD6C911"/>
    <w:rsid w:val="6DD7C59D"/>
    <w:rsid w:val="6DD9CED5"/>
    <w:rsid w:val="6DDA893C"/>
    <w:rsid w:val="6DDB5AED"/>
    <w:rsid w:val="6DDC68AA"/>
    <w:rsid w:val="6DDEF77D"/>
    <w:rsid w:val="6DE0198A"/>
    <w:rsid w:val="6DE4AA1F"/>
    <w:rsid w:val="6DE5FDD8"/>
    <w:rsid w:val="6DE67511"/>
    <w:rsid w:val="6DE7C726"/>
    <w:rsid w:val="6DE83134"/>
    <w:rsid w:val="6DE842E8"/>
    <w:rsid w:val="6DED6F3E"/>
    <w:rsid w:val="6DEE0C24"/>
    <w:rsid w:val="6DEE762C"/>
    <w:rsid w:val="6DF3582A"/>
    <w:rsid w:val="6DF394AC"/>
    <w:rsid w:val="6DF40BAE"/>
    <w:rsid w:val="6DF4BB97"/>
    <w:rsid w:val="6DF5D32F"/>
    <w:rsid w:val="6DF6B73E"/>
    <w:rsid w:val="6DF6FBC8"/>
    <w:rsid w:val="6DF7DD5F"/>
    <w:rsid w:val="6DF84835"/>
    <w:rsid w:val="6DF8F37B"/>
    <w:rsid w:val="6DFB5056"/>
    <w:rsid w:val="6DFBB76B"/>
    <w:rsid w:val="6E023574"/>
    <w:rsid w:val="6E034395"/>
    <w:rsid w:val="6E064A28"/>
    <w:rsid w:val="6E071124"/>
    <w:rsid w:val="6E07CBB5"/>
    <w:rsid w:val="6E0CC0A3"/>
    <w:rsid w:val="6E0E05B6"/>
    <w:rsid w:val="6E0EF5BC"/>
    <w:rsid w:val="6E0F4B4B"/>
    <w:rsid w:val="6E0FFB4B"/>
    <w:rsid w:val="6E109D5A"/>
    <w:rsid w:val="6E10D896"/>
    <w:rsid w:val="6E11344D"/>
    <w:rsid w:val="6E18D3FC"/>
    <w:rsid w:val="6E194E1E"/>
    <w:rsid w:val="6E1A0D74"/>
    <w:rsid w:val="6E1B0D6B"/>
    <w:rsid w:val="6E1B711E"/>
    <w:rsid w:val="6E1D95CF"/>
    <w:rsid w:val="6E1DF7DB"/>
    <w:rsid w:val="6E1F0592"/>
    <w:rsid w:val="6E1FD73A"/>
    <w:rsid w:val="6E20529D"/>
    <w:rsid w:val="6E219B97"/>
    <w:rsid w:val="6E263B8C"/>
    <w:rsid w:val="6E29EB62"/>
    <w:rsid w:val="6E2A1EE9"/>
    <w:rsid w:val="6E2B103C"/>
    <w:rsid w:val="6E2C02A7"/>
    <w:rsid w:val="6E2EDD39"/>
    <w:rsid w:val="6E2F30BE"/>
    <w:rsid w:val="6E2F45F9"/>
    <w:rsid w:val="6E2FE731"/>
    <w:rsid w:val="6E30220C"/>
    <w:rsid w:val="6E324624"/>
    <w:rsid w:val="6E32AAE6"/>
    <w:rsid w:val="6E338B4B"/>
    <w:rsid w:val="6E33B67E"/>
    <w:rsid w:val="6E364000"/>
    <w:rsid w:val="6E367124"/>
    <w:rsid w:val="6E36753C"/>
    <w:rsid w:val="6E370917"/>
    <w:rsid w:val="6E390390"/>
    <w:rsid w:val="6E3962BA"/>
    <w:rsid w:val="6E3986B4"/>
    <w:rsid w:val="6E3CB05C"/>
    <w:rsid w:val="6E3DC64F"/>
    <w:rsid w:val="6E3E6AA3"/>
    <w:rsid w:val="6E3F4B75"/>
    <w:rsid w:val="6E41DA78"/>
    <w:rsid w:val="6E42FA77"/>
    <w:rsid w:val="6E437AD1"/>
    <w:rsid w:val="6E45C4C3"/>
    <w:rsid w:val="6E488149"/>
    <w:rsid w:val="6E496FE9"/>
    <w:rsid w:val="6E4986CE"/>
    <w:rsid w:val="6E4B7394"/>
    <w:rsid w:val="6E4F9769"/>
    <w:rsid w:val="6E4F9823"/>
    <w:rsid w:val="6E507EB7"/>
    <w:rsid w:val="6E51D764"/>
    <w:rsid w:val="6E534343"/>
    <w:rsid w:val="6E546ACD"/>
    <w:rsid w:val="6E54A7BF"/>
    <w:rsid w:val="6E550AC1"/>
    <w:rsid w:val="6E580B2B"/>
    <w:rsid w:val="6E598D64"/>
    <w:rsid w:val="6E5AFD4C"/>
    <w:rsid w:val="6E5CC941"/>
    <w:rsid w:val="6E5D13DF"/>
    <w:rsid w:val="6E5EF5EE"/>
    <w:rsid w:val="6E606D95"/>
    <w:rsid w:val="6E609D17"/>
    <w:rsid w:val="6E64772C"/>
    <w:rsid w:val="6E64DB3A"/>
    <w:rsid w:val="6E6587B2"/>
    <w:rsid w:val="6E672F4E"/>
    <w:rsid w:val="6E67BF03"/>
    <w:rsid w:val="6E699190"/>
    <w:rsid w:val="6E6A4D55"/>
    <w:rsid w:val="6E6CCEA6"/>
    <w:rsid w:val="6E6FA2F7"/>
    <w:rsid w:val="6E6FF698"/>
    <w:rsid w:val="6E708071"/>
    <w:rsid w:val="6E741CAE"/>
    <w:rsid w:val="6E749C30"/>
    <w:rsid w:val="6E7500B3"/>
    <w:rsid w:val="6E7625A7"/>
    <w:rsid w:val="6E77971F"/>
    <w:rsid w:val="6E786EBA"/>
    <w:rsid w:val="6E7C5EFF"/>
    <w:rsid w:val="6E7CBA9F"/>
    <w:rsid w:val="6E7EB841"/>
    <w:rsid w:val="6E7EC215"/>
    <w:rsid w:val="6E7F5AA0"/>
    <w:rsid w:val="6E7F6BC6"/>
    <w:rsid w:val="6E812999"/>
    <w:rsid w:val="6E831E49"/>
    <w:rsid w:val="6E8B577A"/>
    <w:rsid w:val="6E8BE83E"/>
    <w:rsid w:val="6E8C36E6"/>
    <w:rsid w:val="6E8E714E"/>
    <w:rsid w:val="6E8ECDE5"/>
    <w:rsid w:val="6E8EECBE"/>
    <w:rsid w:val="6E9137A3"/>
    <w:rsid w:val="6E93344B"/>
    <w:rsid w:val="6E9410A3"/>
    <w:rsid w:val="6E9421B2"/>
    <w:rsid w:val="6E94EB57"/>
    <w:rsid w:val="6E953BDB"/>
    <w:rsid w:val="6E95EBDA"/>
    <w:rsid w:val="6E984C1B"/>
    <w:rsid w:val="6E98FD8C"/>
    <w:rsid w:val="6E9BBC89"/>
    <w:rsid w:val="6E9C3DDC"/>
    <w:rsid w:val="6E9DC919"/>
    <w:rsid w:val="6E9DD1FD"/>
    <w:rsid w:val="6E9EB336"/>
    <w:rsid w:val="6E9F5590"/>
    <w:rsid w:val="6E9FC230"/>
    <w:rsid w:val="6EA04CA7"/>
    <w:rsid w:val="6EA07D21"/>
    <w:rsid w:val="6EA10709"/>
    <w:rsid w:val="6EA1A158"/>
    <w:rsid w:val="6EA26ADD"/>
    <w:rsid w:val="6EA3EF1B"/>
    <w:rsid w:val="6EA617CD"/>
    <w:rsid w:val="6EA66787"/>
    <w:rsid w:val="6EA7F793"/>
    <w:rsid w:val="6EABBF2A"/>
    <w:rsid w:val="6EAD9D68"/>
    <w:rsid w:val="6EAE3496"/>
    <w:rsid w:val="6EAE8869"/>
    <w:rsid w:val="6EB0766E"/>
    <w:rsid w:val="6EB2018C"/>
    <w:rsid w:val="6EB4062C"/>
    <w:rsid w:val="6EB5FDD6"/>
    <w:rsid w:val="6EB6322D"/>
    <w:rsid w:val="6EB6941B"/>
    <w:rsid w:val="6EB6DFE8"/>
    <w:rsid w:val="6EB8AFDE"/>
    <w:rsid w:val="6EBAA334"/>
    <w:rsid w:val="6EBAAD28"/>
    <w:rsid w:val="6EBB32AE"/>
    <w:rsid w:val="6EBD01F6"/>
    <w:rsid w:val="6EBD4BAF"/>
    <w:rsid w:val="6EBDF37A"/>
    <w:rsid w:val="6EBF5AC8"/>
    <w:rsid w:val="6EC28E39"/>
    <w:rsid w:val="6EC2976E"/>
    <w:rsid w:val="6EC39B07"/>
    <w:rsid w:val="6EC63FE6"/>
    <w:rsid w:val="6EC6D882"/>
    <w:rsid w:val="6EC87C0F"/>
    <w:rsid w:val="6EC8D32D"/>
    <w:rsid w:val="6EC9A59C"/>
    <w:rsid w:val="6ECD81C5"/>
    <w:rsid w:val="6ECE196E"/>
    <w:rsid w:val="6ED2ED3E"/>
    <w:rsid w:val="6ED637C9"/>
    <w:rsid w:val="6ED8477B"/>
    <w:rsid w:val="6ED85588"/>
    <w:rsid w:val="6EDA8FC7"/>
    <w:rsid w:val="6EDB2F1E"/>
    <w:rsid w:val="6EDD54A9"/>
    <w:rsid w:val="6EDFE29F"/>
    <w:rsid w:val="6EE2A246"/>
    <w:rsid w:val="6EE32050"/>
    <w:rsid w:val="6EE32ADC"/>
    <w:rsid w:val="6EE32F7C"/>
    <w:rsid w:val="6EE5CB1E"/>
    <w:rsid w:val="6EE9B471"/>
    <w:rsid w:val="6EEC78A5"/>
    <w:rsid w:val="6EECCE0A"/>
    <w:rsid w:val="6EED12D1"/>
    <w:rsid w:val="6EED66C2"/>
    <w:rsid w:val="6EEDC9EA"/>
    <w:rsid w:val="6EEF3D5B"/>
    <w:rsid w:val="6EEF851B"/>
    <w:rsid w:val="6EF21886"/>
    <w:rsid w:val="6EF47F69"/>
    <w:rsid w:val="6EF5082F"/>
    <w:rsid w:val="6EF57DD0"/>
    <w:rsid w:val="6EF59872"/>
    <w:rsid w:val="6EF6B86D"/>
    <w:rsid w:val="6EF809DC"/>
    <w:rsid w:val="6EF98C49"/>
    <w:rsid w:val="6EFA7496"/>
    <w:rsid w:val="6EFB2F43"/>
    <w:rsid w:val="6EFD6942"/>
    <w:rsid w:val="6F01681A"/>
    <w:rsid w:val="6F0182DD"/>
    <w:rsid w:val="6F034718"/>
    <w:rsid w:val="6F03933F"/>
    <w:rsid w:val="6F03C5E1"/>
    <w:rsid w:val="6F03DBDC"/>
    <w:rsid w:val="6F05F57B"/>
    <w:rsid w:val="6F06F15D"/>
    <w:rsid w:val="6F077F5A"/>
    <w:rsid w:val="6F0A10D6"/>
    <w:rsid w:val="6F0DD2C5"/>
    <w:rsid w:val="6F0FDA73"/>
    <w:rsid w:val="6F10482A"/>
    <w:rsid w:val="6F10A05B"/>
    <w:rsid w:val="6F11ADFB"/>
    <w:rsid w:val="6F11B2FB"/>
    <w:rsid w:val="6F160C80"/>
    <w:rsid w:val="6F18ED2C"/>
    <w:rsid w:val="6F19FCB4"/>
    <w:rsid w:val="6F1B5D54"/>
    <w:rsid w:val="6F1BACBB"/>
    <w:rsid w:val="6F1D5037"/>
    <w:rsid w:val="6F20058B"/>
    <w:rsid w:val="6F201B9E"/>
    <w:rsid w:val="6F224077"/>
    <w:rsid w:val="6F227DEE"/>
    <w:rsid w:val="6F234250"/>
    <w:rsid w:val="6F236905"/>
    <w:rsid w:val="6F23AEA0"/>
    <w:rsid w:val="6F23B1B7"/>
    <w:rsid w:val="6F2501E5"/>
    <w:rsid w:val="6F25E342"/>
    <w:rsid w:val="6F25F207"/>
    <w:rsid w:val="6F28F39D"/>
    <w:rsid w:val="6F2BFFC7"/>
    <w:rsid w:val="6F2C8C47"/>
    <w:rsid w:val="6F2D6F26"/>
    <w:rsid w:val="6F2F8B5F"/>
    <w:rsid w:val="6F312973"/>
    <w:rsid w:val="6F330CD6"/>
    <w:rsid w:val="6F33941F"/>
    <w:rsid w:val="6F369AF9"/>
    <w:rsid w:val="6F399193"/>
    <w:rsid w:val="6F3BEDC5"/>
    <w:rsid w:val="6F3D7D85"/>
    <w:rsid w:val="6F3E502E"/>
    <w:rsid w:val="6F3E6C0F"/>
    <w:rsid w:val="6F3F68E1"/>
    <w:rsid w:val="6F3FBA84"/>
    <w:rsid w:val="6F403FC5"/>
    <w:rsid w:val="6F404F2F"/>
    <w:rsid w:val="6F4056D3"/>
    <w:rsid w:val="6F42D07B"/>
    <w:rsid w:val="6F45955D"/>
    <w:rsid w:val="6F45E104"/>
    <w:rsid w:val="6F46C9C9"/>
    <w:rsid w:val="6F46E931"/>
    <w:rsid w:val="6F48403B"/>
    <w:rsid w:val="6F48B997"/>
    <w:rsid w:val="6F4B0E2E"/>
    <w:rsid w:val="6F4B867D"/>
    <w:rsid w:val="6F4D0F27"/>
    <w:rsid w:val="6F4DB423"/>
    <w:rsid w:val="6F52EE93"/>
    <w:rsid w:val="6F5317BE"/>
    <w:rsid w:val="6F553D58"/>
    <w:rsid w:val="6F57CE89"/>
    <w:rsid w:val="6F582AC5"/>
    <w:rsid w:val="6F59A3B1"/>
    <w:rsid w:val="6F5D8E9F"/>
    <w:rsid w:val="6F5EE489"/>
    <w:rsid w:val="6F5F8447"/>
    <w:rsid w:val="6F5F8EA8"/>
    <w:rsid w:val="6F5FD44A"/>
    <w:rsid w:val="6F61D368"/>
    <w:rsid w:val="6F61FF57"/>
    <w:rsid w:val="6F63556B"/>
    <w:rsid w:val="6F67272D"/>
    <w:rsid w:val="6F6A031D"/>
    <w:rsid w:val="6F6ABD15"/>
    <w:rsid w:val="6F6C1AD0"/>
    <w:rsid w:val="6F6D5B47"/>
    <w:rsid w:val="6F6E33D3"/>
    <w:rsid w:val="6F6E435B"/>
    <w:rsid w:val="6F6FEFCD"/>
    <w:rsid w:val="6F7068AB"/>
    <w:rsid w:val="6F712660"/>
    <w:rsid w:val="6F7182B5"/>
    <w:rsid w:val="6F726961"/>
    <w:rsid w:val="6F770808"/>
    <w:rsid w:val="6F78BFFA"/>
    <w:rsid w:val="6F7B01D1"/>
    <w:rsid w:val="6F7D55F0"/>
    <w:rsid w:val="6F7E6B0D"/>
    <w:rsid w:val="6F80177E"/>
    <w:rsid w:val="6F80B576"/>
    <w:rsid w:val="6F823FAC"/>
    <w:rsid w:val="6F85EC5A"/>
    <w:rsid w:val="6F8966AD"/>
    <w:rsid w:val="6F8A3CF5"/>
    <w:rsid w:val="6F8AB20C"/>
    <w:rsid w:val="6F8B403F"/>
    <w:rsid w:val="6F8C85E9"/>
    <w:rsid w:val="6F8D8C21"/>
    <w:rsid w:val="6F8E15F9"/>
    <w:rsid w:val="6F8ED8E4"/>
    <w:rsid w:val="6F90AFB6"/>
    <w:rsid w:val="6F91155C"/>
    <w:rsid w:val="6F93680A"/>
    <w:rsid w:val="6F9696A7"/>
    <w:rsid w:val="6F986B13"/>
    <w:rsid w:val="6F9B9BE0"/>
    <w:rsid w:val="6F9E335B"/>
    <w:rsid w:val="6F9EADF2"/>
    <w:rsid w:val="6FA375D7"/>
    <w:rsid w:val="6FA3939E"/>
    <w:rsid w:val="6FA50652"/>
    <w:rsid w:val="6FA8CA44"/>
    <w:rsid w:val="6FAA1C3F"/>
    <w:rsid w:val="6FADE3BB"/>
    <w:rsid w:val="6FAF0B1B"/>
    <w:rsid w:val="6FAFC3D9"/>
    <w:rsid w:val="6FB043F9"/>
    <w:rsid w:val="6FB6E4A5"/>
    <w:rsid w:val="6FB76C7F"/>
    <w:rsid w:val="6FB78471"/>
    <w:rsid w:val="6FB82698"/>
    <w:rsid w:val="6FB89F77"/>
    <w:rsid w:val="6FBA4B0D"/>
    <w:rsid w:val="6FBAF30D"/>
    <w:rsid w:val="6FBE54C5"/>
    <w:rsid w:val="6FBEFDD0"/>
    <w:rsid w:val="6FBF4A54"/>
    <w:rsid w:val="6FBFC07D"/>
    <w:rsid w:val="6FC1E6FF"/>
    <w:rsid w:val="6FC2A604"/>
    <w:rsid w:val="6FC2B39E"/>
    <w:rsid w:val="6FC2CC72"/>
    <w:rsid w:val="6FC35CCA"/>
    <w:rsid w:val="6FC3C020"/>
    <w:rsid w:val="6FC59520"/>
    <w:rsid w:val="6FC74523"/>
    <w:rsid w:val="6FC8F3B9"/>
    <w:rsid w:val="6FCA6FF4"/>
    <w:rsid w:val="6FCB3A43"/>
    <w:rsid w:val="6FCB9BF9"/>
    <w:rsid w:val="6FCC4C15"/>
    <w:rsid w:val="6FCEE7D3"/>
    <w:rsid w:val="6FCF48E8"/>
    <w:rsid w:val="6FCF6AE2"/>
    <w:rsid w:val="6FD36A12"/>
    <w:rsid w:val="6FD4B078"/>
    <w:rsid w:val="6FD50AB7"/>
    <w:rsid w:val="6FD53707"/>
    <w:rsid w:val="6FD553E4"/>
    <w:rsid w:val="6FD70BD6"/>
    <w:rsid w:val="6FD8EF4A"/>
    <w:rsid w:val="6FD95C44"/>
    <w:rsid w:val="6FDE77CD"/>
    <w:rsid w:val="6FE227A1"/>
    <w:rsid w:val="6FE2A7B4"/>
    <w:rsid w:val="6FE8C441"/>
    <w:rsid w:val="6FEC452B"/>
    <w:rsid w:val="6FEF1832"/>
    <w:rsid w:val="6FF1444A"/>
    <w:rsid w:val="6FF246E7"/>
    <w:rsid w:val="6FF48409"/>
    <w:rsid w:val="6FF55703"/>
    <w:rsid w:val="6FFD9E8D"/>
    <w:rsid w:val="6FFE7A16"/>
    <w:rsid w:val="6FFEF74F"/>
    <w:rsid w:val="6FFF28FD"/>
    <w:rsid w:val="6FFFD702"/>
    <w:rsid w:val="7001BE7E"/>
    <w:rsid w:val="7001F695"/>
    <w:rsid w:val="70022184"/>
    <w:rsid w:val="7004671F"/>
    <w:rsid w:val="70069DA0"/>
    <w:rsid w:val="700C9370"/>
    <w:rsid w:val="700D080A"/>
    <w:rsid w:val="700E6DC6"/>
    <w:rsid w:val="700EB554"/>
    <w:rsid w:val="700ECF73"/>
    <w:rsid w:val="700EFBD9"/>
    <w:rsid w:val="70102703"/>
    <w:rsid w:val="70110D93"/>
    <w:rsid w:val="70111837"/>
    <w:rsid w:val="70122B4D"/>
    <w:rsid w:val="701602FF"/>
    <w:rsid w:val="7016165F"/>
    <w:rsid w:val="7017BDFC"/>
    <w:rsid w:val="7018D014"/>
    <w:rsid w:val="701999AC"/>
    <w:rsid w:val="701B75F7"/>
    <w:rsid w:val="701BF7D5"/>
    <w:rsid w:val="701D583B"/>
    <w:rsid w:val="701FA2F6"/>
    <w:rsid w:val="70208581"/>
    <w:rsid w:val="70244F07"/>
    <w:rsid w:val="7024848E"/>
    <w:rsid w:val="70264B79"/>
    <w:rsid w:val="7026846B"/>
    <w:rsid w:val="7028804D"/>
    <w:rsid w:val="7028D8F9"/>
    <w:rsid w:val="702BF166"/>
    <w:rsid w:val="702BF1B9"/>
    <w:rsid w:val="702C4994"/>
    <w:rsid w:val="702CFC49"/>
    <w:rsid w:val="702DD39A"/>
    <w:rsid w:val="702EB38E"/>
    <w:rsid w:val="702EF1EE"/>
    <w:rsid w:val="703406D9"/>
    <w:rsid w:val="703506D9"/>
    <w:rsid w:val="70387AD8"/>
    <w:rsid w:val="7038BEE2"/>
    <w:rsid w:val="703A1AA3"/>
    <w:rsid w:val="703F13AF"/>
    <w:rsid w:val="704597B0"/>
    <w:rsid w:val="7045DAC9"/>
    <w:rsid w:val="7046D8AE"/>
    <w:rsid w:val="7048E7A1"/>
    <w:rsid w:val="704B362A"/>
    <w:rsid w:val="704BC204"/>
    <w:rsid w:val="704BCF36"/>
    <w:rsid w:val="704BF88F"/>
    <w:rsid w:val="704D90D8"/>
    <w:rsid w:val="704F4947"/>
    <w:rsid w:val="70507AEB"/>
    <w:rsid w:val="7052156A"/>
    <w:rsid w:val="7052E820"/>
    <w:rsid w:val="70547815"/>
    <w:rsid w:val="7055F3D4"/>
    <w:rsid w:val="7057BF76"/>
    <w:rsid w:val="7057DE99"/>
    <w:rsid w:val="7059C277"/>
    <w:rsid w:val="705B1BD3"/>
    <w:rsid w:val="705D0307"/>
    <w:rsid w:val="705D0D68"/>
    <w:rsid w:val="705E9422"/>
    <w:rsid w:val="705F0D32"/>
    <w:rsid w:val="705FE109"/>
    <w:rsid w:val="70606D28"/>
    <w:rsid w:val="7060F118"/>
    <w:rsid w:val="7061086D"/>
    <w:rsid w:val="70624343"/>
    <w:rsid w:val="70629F4B"/>
    <w:rsid w:val="706384D5"/>
    <w:rsid w:val="70651348"/>
    <w:rsid w:val="70660E7C"/>
    <w:rsid w:val="70676E2E"/>
    <w:rsid w:val="706AB8A8"/>
    <w:rsid w:val="706C04AE"/>
    <w:rsid w:val="706C39A8"/>
    <w:rsid w:val="706CF1CA"/>
    <w:rsid w:val="706F72CE"/>
    <w:rsid w:val="707071B8"/>
    <w:rsid w:val="70720831"/>
    <w:rsid w:val="70723143"/>
    <w:rsid w:val="70729595"/>
    <w:rsid w:val="70729A5A"/>
    <w:rsid w:val="7072AC79"/>
    <w:rsid w:val="7074D898"/>
    <w:rsid w:val="707510D4"/>
    <w:rsid w:val="7076CE50"/>
    <w:rsid w:val="7077F6BC"/>
    <w:rsid w:val="707827C8"/>
    <w:rsid w:val="707A2164"/>
    <w:rsid w:val="707A514D"/>
    <w:rsid w:val="707C0815"/>
    <w:rsid w:val="707C21F8"/>
    <w:rsid w:val="707E43B2"/>
    <w:rsid w:val="7084D13D"/>
    <w:rsid w:val="7085E5DE"/>
    <w:rsid w:val="7088047F"/>
    <w:rsid w:val="708991A7"/>
    <w:rsid w:val="708AEA6A"/>
    <w:rsid w:val="708C1939"/>
    <w:rsid w:val="708C79BF"/>
    <w:rsid w:val="708DBC6C"/>
    <w:rsid w:val="708DF2CA"/>
    <w:rsid w:val="708F8217"/>
    <w:rsid w:val="708F86C2"/>
    <w:rsid w:val="7090C111"/>
    <w:rsid w:val="70919C8A"/>
    <w:rsid w:val="70924CCF"/>
    <w:rsid w:val="70936F67"/>
    <w:rsid w:val="7093AF0F"/>
    <w:rsid w:val="709609D2"/>
    <w:rsid w:val="7097D666"/>
    <w:rsid w:val="70999C97"/>
    <w:rsid w:val="709B1245"/>
    <w:rsid w:val="709B14A5"/>
    <w:rsid w:val="709CB3B3"/>
    <w:rsid w:val="709CC9AD"/>
    <w:rsid w:val="709D6C96"/>
    <w:rsid w:val="709E189C"/>
    <w:rsid w:val="709F00F2"/>
    <w:rsid w:val="70A16EB2"/>
    <w:rsid w:val="70A253E0"/>
    <w:rsid w:val="70A26742"/>
    <w:rsid w:val="70A2F2C9"/>
    <w:rsid w:val="70A455D0"/>
    <w:rsid w:val="70A93F7C"/>
    <w:rsid w:val="70AE9984"/>
    <w:rsid w:val="70B0F185"/>
    <w:rsid w:val="70B27BB2"/>
    <w:rsid w:val="70B336BE"/>
    <w:rsid w:val="70B37CAC"/>
    <w:rsid w:val="70B3D3F0"/>
    <w:rsid w:val="70B44845"/>
    <w:rsid w:val="70B488BB"/>
    <w:rsid w:val="70B69C0F"/>
    <w:rsid w:val="70B781C9"/>
    <w:rsid w:val="70B879F3"/>
    <w:rsid w:val="70B88270"/>
    <w:rsid w:val="70B9C878"/>
    <w:rsid w:val="70BB14B7"/>
    <w:rsid w:val="70BB1D43"/>
    <w:rsid w:val="70BC3841"/>
    <w:rsid w:val="70BCC758"/>
    <w:rsid w:val="70BD8F86"/>
    <w:rsid w:val="70BD99F7"/>
    <w:rsid w:val="70BE36A3"/>
    <w:rsid w:val="70BE3F66"/>
    <w:rsid w:val="70C18AA1"/>
    <w:rsid w:val="70C22D53"/>
    <w:rsid w:val="70C2A861"/>
    <w:rsid w:val="70C3F07F"/>
    <w:rsid w:val="70C58446"/>
    <w:rsid w:val="70C5D916"/>
    <w:rsid w:val="70C6CFE7"/>
    <w:rsid w:val="70C701A7"/>
    <w:rsid w:val="70C7D0A0"/>
    <w:rsid w:val="70C81B60"/>
    <w:rsid w:val="70C82DB0"/>
    <w:rsid w:val="70CB2578"/>
    <w:rsid w:val="70CBCF9A"/>
    <w:rsid w:val="70CCB180"/>
    <w:rsid w:val="70CD7B04"/>
    <w:rsid w:val="70CD89FD"/>
    <w:rsid w:val="70CD978C"/>
    <w:rsid w:val="70CD9D25"/>
    <w:rsid w:val="70CDB0F9"/>
    <w:rsid w:val="70CE112B"/>
    <w:rsid w:val="70CE2B18"/>
    <w:rsid w:val="70CEF054"/>
    <w:rsid w:val="70CF4511"/>
    <w:rsid w:val="70CF8594"/>
    <w:rsid w:val="70CFB236"/>
    <w:rsid w:val="70D2BB90"/>
    <w:rsid w:val="70D2FD3B"/>
    <w:rsid w:val="70D34530"/>
    <w:rsid w:val="70D43A6F"/>
    <w:rsid w:val="70D552BB"/>
    <w:rsid w:val="70D5D07E"/>
    <w:rsid w:val="70D6D31C"/>
    <w:rsid w:val="70D7AE7A"/>
    <w:rsid w:val="70D90A6E"/>
    <w:rsid w:val="70DC39BE"/>
    <w:rsid w:val="70DC55A6"/>
    <w:rsid w:val="70DCED1A"/>
    <w:rsid w:val="70DD27AA"/>
    <w:rsid w:val="70E15224"/>
    <w:rsid w:val="70E21306"/>
    <w:rsid w:val="70E27752"/>
    <w:rsid w:val="70E408B3"/>
    <w:rsid w:val="70E41010"/>
    <w:rsid w:val="70E6437F"/>
    <w:rsid w:val="70E69B97"/>
    <w:rsid w:val="70E8C620"/>
    <w:rsid w:val="70E97676"/>
    <w:rsid w:val="70EA7415"/>
    <w:rsid w:val="70EB34D0"/>
    <w:rsid w:val="70EC0481"/>
    <w:rsid w:val="70EEF499"/>
    <w:rsid w:val="70EF7B97"/>
    <w:rsid w:val="70F11308"/>
    <w:rsid w:val="70F3C42F"/>
    <w:rsid w:val="70F7233F"/>
    <w:rsid w:val="70F928A9"/>
    <w:rsid w:val="70F9E4E8"/>
    <w:rsid w:val="70FB540C"/>
    <w:rsid w:val="71043E0A"/>
    <w:rsid w:val="7104F8C3"/>
    <w:rsid w:val="71070D92"/>
    <w:rsid w:val="71070F06"/>
    <w:rsid w:val="71075222"/>
    <w:rsid w:val="71082D7E"/>
    <w:rsid w:val="71089100"/>
    <w:rsid w:val="710A94B3"/>
    <w:rsid w:val="710B6079"/>
    <w:rsid w:val="710C94A0"/>
    <w:rsid w:val="7111F35C"/>
    <w:rsid w:val="71125666"/>
    <w:rsid w:val="71125801"/>
    <w:rsid w:val="71128060"/>
    <w:rsid w:val="71135BD6"/>
    <w:rsid w:val="71166046"/>
    <w:rsid w:val="7117B87C"/>
    <w:rsid w:val="711BEA15"/>
    <w:rsid w:val="711C2066"/>
    <w:rsid w:val="711E5276"/>
    <w:rsid w:val="7123DE52"/>
    <w:rsid w:val="712672B8"/>
    <w:rsid w:val="7126CF88"/>
    <w:rsid w:val="71279266"/>
    <w:rsid w:val="712827DC"/>
    <w:rsid w:val="712B50DE"/>
    <w:rsid w:val="712BE79E"/>
    <w:rsid w:val="712C89BE"/>
    <w:rsid w:val="712F3C69"/>
    <w:rsid w:val="71301652"/>
    <w:rsid w:val="7133A905"/>
    <w:rsid w:val="713A1040"/>
    <w:rsid w:val="713E8342"/>
    <w:rsid w:val="7141EFB2"/>
    <w:rsid w:val="7144BBE3"/>
    <w:rsid w:val="71459588"/>
    <w:rsid w:val="71471FF2"/>
    <w:rsid w:val="7147FCBE"/>
    <w:rsid w:val="714975D2"/>
    <w:rsid w:val="714CA832"/>
    <w:rsid w:val="714DCCA0"/>
    <w:rsid w:val="714FC7DD"/>
    <w:rsid w:val="7151AE77"/>
    <w:rsid w:val="7152A045"/>
    <w:rsid w:val="7154BC0B"/>
    <w:rsid w:val="7154DABD"/>
    <w:rsid w:val="7156832E"/>
    <w:rsid w:val="7158A6E6"/>
    <w:rsid w:val="71599C02"/>
    <w:rsid w:val="715ACE5D"/>
    <w:rsid w:val="715B4355"/>
    <w:rsid w:val="71603E54"/>
    <w:rsid w:val="7161BE6F"/>
    <w:rsid w:val="7161C365"/>
    <w:rsid w:val="71636E2F"/>
    <w:rsid w:val="71660A6B"/>
    <w:rsid w:val="71678007"/>
    <w:rsid w:val="71679611"/>
    <w:rsid w:val="716CD730"/>
    <w:rsid w:val="716D812A"/>
    <w:rsid w:val="716D9616"/>
    <w:rsid w:val="71703D5D"/>
    <w:rsid w:val="71704143"/>
    <w:rsid w:val="7170DD22"/>
    <w:rsid w:val="7172101D"/>
    <w:rsid w:val="7172A19F"/>
    <w:rsid w:val="7174AD9A"/>
    <w:rsid w:val="71752641"/>
    <w:rsid w:val="717B925F"/>
    <w:rsid w:val="717C549E"/>
    <w:rsid w:val="717DBFFD"/>
    <w:rsid w:val="717E4FA8"/>
    <w:rsid w:val="717F1312"/>
    <w:rsid w:val="717F406B"/>
    <w:rsid w:val="717F81CD"/>
    <w:rsid w:val="7184D2F3"/>
    <w:rsid w:val="71853BF3"/>
    <w:rsid w:val="71857A44"/>
    <w:rsid w:val="7185DD29"/>
    <w:rsid w:val="7186E92A"/>
    <w:rsid w:val="718ADD1A"/>
    <w:rsid w:val="718B483A"/>
    <w:rsid w:val="718B4853"/>
    <w:rsid w:val="718C1000"/>
    <w:rsid w:val="718C430B"/>
    <w:rsid w:val="718CB270"/>
    <w:rsid w:val="718CCB82"/>
    <w:rsid w:val="718DF8ED"/>
    <w:rsid w:val="718EF7AB"/>
    <w:rsid w:val="718F1690"/>
    <w:rsid w:val="7191CBFA"/>
    <w:rsid w:val="7192E33D"/>
    <w:rsid w:val="71945BD9"/>
    <w:rsid w:val="71950F94"/>
    <w:rsid w:val="71964914"/>
    <w:rsid w:val="71989552"/>
    <w:rsid w:val="719961C4"/>
    <w:rsid w:val="719AF9D4"/>
    <w:rsid w:val="719E1184"/>
    <w:rsid w:val="719FEB8E"/>
    <w:rsid w:val="71A0B2F3"/>
    <w:rsid w:val="71A1238D"/>
    <w:rsid w:val="71A1E4B3"/>
    <w:rsid w:val="71A30B06"/>
    <w:rsid w:val="71A64BB0"/>
    <w:rsid w:val="71A660BE"/>
    <w:rsid w:val="71A761B2"/>
    <w:rsid w:val="71A983AC"/>
    <w:rsid w:val="71AA1628"/>
    <w:rsid w:val="71AAFFAB"/>
    <w:rsid w:val="71AC512F"/>
    <w:rsid w:val="71ADF6B1"/>
    <w:rsid w:val="71AF5270"/>
    <w:rsid w:val="71B00402"/>
    <w:rsid w:val="71B0ED20"/>
    <w:rsid w:val="71B11EF4"/>
    <w:rsid w:val="71B12921"/>
    <w:rsid w:val="71B16AF6"/>
    <w:rsid w:val="71B2110B"/>
    <w:rsid w:val="71B39D73"/>
    <w:rsid w:val="71B5B858"/>
    <w:rsid w:val="71B5BA59"/>
    <w:rsid w:val="71B5F267"/>
    <w:rsid w:val="71B64236"/>
    <w:rsid w:val="71B65715"/>
    <w:rsid w:val="71B79426"/>
    <w:rsid w:val="71B86E7D"/>
    <w:rsid w:val="71B97411"/>
    <w:rsid w:val="71BAC8F9"/>
    <w:rsid w:val="71BAFC86"/>
    <w:rsid w:val="71BB16BC"/>
    <w:rsid w:val="71BC8E74"/>
    <w:rsid w:val="71BDDE37"/>
    <w:rsid w:val="71C0A05E"/>
    <w:rsid w:val="71C28E26"/>
    <w:rsid w:val="71C2C6C6"/>
    <w:rsid w:val="71C2F024"/>
    <w:rsid w:val="71C30551"/>
    <w:rsid w:val="71C3C785"/>
    <w:rsid w:val="71C644E4"/>
    <w:rsid w:val="71C68F03"/>
    <w:rsid w:val="71C7486E"/>
    <w:rsid w:val="71C7F629"/>
    <w:rsid w:val="71CA3E7B"/>
    <w:rsid w:val="71CD24C6"/>
    <w:rsid w:val="71D2D8C7"/>
    <w:rsid w:val="71D47936"/>
    <w:rsid w:val="71D5AA6C"/>
    <w:rsid w:val="71D7A300"/>
    <w:rsid w:val="71D96EF1"/>
    <w:rsid w:val="71DA2363"/>
    <w:rsid w:val="71DAC0B7"/>
    <w:rsid w:val="71E1259D"/>
    <w:rsid w:val="71E1AB18"/>
    <w:rsid w:val="71E1B70D"/>
    <w:rsid w:val="71E3DF2E"/>
    <w:rsid w:val="71E45287"/>
    <w:rsid w:val="71E55D0B"/>
    <w:rsid w:val="71E66492"/>
    <w:rsid w:val="71E6EC9D"/>
    <w:rsid w:val="71E91240"/>
    <w:rsid w:val="71E9ED09"/>
    <w:rsid w:val="71EA0FC8"/>
    <w:rsid w:val="71EA9915"/>
    <w:rsid w:val="71EAD5BB"/>
    <w:rsid w:val="71EBE0EB"/>
    <w:rsid w:val="71EC7128"/>
    <w:rsid w:val="71ED5FBD"/>
    <w:rsid w:val="71F157E9"/>
    <w:rsid w:val="71F236EB"/>
    <w:rsid w:val="71F4B6E6"/>
    <w:rsid w:val="71F640D8"/>
    <w:rsid w:val="71F9710E"/>
    <w:rsid w:val="71F9E586"/>
    <w:rsid w:val="71FA4662"/>
    <w:rsid w:val="71FC7135"/>
    <w:rsid w:val="71FCE022"/>
    <w:rsid w:val="71FDAEEB"/>
    <w:rsid w:val="71FE1B69"/>
    <w:rsid w:val="71FF81D1"/>
    <w:rsid w:val="7202FE76"/>
    <w:rsid w:val="72030F67"/>
    <w:rsid w:val="720468D8"/>
    <w:rsid w:val="72060895"/>
    <w:rsid w:val="720618FB"/>
    <w:rsid w:val="7206763E"/>
    <w:rsid w:val="7208B25D"/>
    <w:rsid w:val="720C8636"/>
    <w:rsid w:val="720D0BFF"/>
    <w:rsid w:val="72108230"/>
    <w:rsid w:val="7213BC96"/>
    <w:rsid w:val="72148C20"/>
    <w:rsid w:val="72173F55"/>
    <w:rsid w:val="7219FB0F"/>
    <w:rsid w:val="721A77EA"/>
    <w:rsid w:val="721B01BB"/>
    <w:rsid w:val="721BCD0F"/>
    <w:rsid w:val="721F7CF5"/>
    <w:rsid w:val="721F8E96"/>
    <w:rsid w:val="7220544C"/>
    <w:rsid w:val="72231C71"/>
    <w:rsid w:val="7226488B"/>
    <w:rsid w:val="72267906"/>
    <w:rsid w:val="722AE3C5"/>
    <w:rsid w:val="722D50BB"/>
    <w:rsid w:val="722F5DBD"/>
    <w:rsid w:val="7233552B"/>
    <w:rsid w:val="7233DF62"/>
    <w:rsid w:val="7235F1CB"/>
    <w:rsid w:val="72366BA6"/>
    <w:rsid w:val="72369187"/>
    <w:rsid w:val="723741D9"/>
    <w:rsid w:val="7237D1B1"/>
    <w:rsid w:val="7238ADAE"/>
    <w:rsid w:val="7238DC56"/>
    <w:rsid w:val="723A6AD4"/>
    <w:rsid w:val="7240AD18"/>
    <w:rsid w:val="72418A66"/>
    <w:rsid w:val="724209F1"/>
    <w:rsid w:val="724252ED"/>
    <w:rsid w:val="72465C96"/>
    <w:rsid w:val="72465E47"/>
    <w:rsid w:val="724708E0"/>
    <w:rsid w:val="724709D1"/>
    <w:rsid w:val="724715CD"/>
    <w:rsid w:val="72478807"/>
    <w:rsid w:val="7248A48D"/>
    <w:rsid w:val="724A3E2C"/>
    <w:rsid w:val="724CF1E3"/>
    <w:rsid w:val="724D17DA"/>
    <w:rsid w:val="724E092C"/>
    <w:rsid w:val="724E0A73"/>
    <w:rsid w:val="724FE028"/>
    <w:rsid w:val="7250227F"/>
    <w:rsid w:val="7251EF32"/>
    <w:rsid w:val="72528345"/>
    <w:rsid w:val="725502A3"/>
    <w:rsid w:val="725638E2"/>
    <w:rsid w:val="72587DB3"/>
    <w:rsid w:val="7259CDBB"/>
    <w:rsid w:val="725D95F1"/>
    <w:rsid w:val="72619BA6"/>
    <w:rsid w:val="72633F97"/>
    <w:rsid w:val="7265CC0D"/>
    <w:rsid w:val="7265CE67"/>
    <w:rsid w:val="7265CE8C"/>
    <w:rsid w:val="7266D042"/>
    <w:rsid w:val="72692D73"/>
    <w:rsid w:val="726A4E79"/>
    <w:rsid w:val="726AC6E4"/>
    <w:rsid w:val="726B9CD1"/>
    <w:rsid w:val="726C428E"/>
    <w:rsid w:val="726CD2B1"/>
    <w:rsid w:val="726D1C41"/>
    <w:rsid w:val="726FDDAD"/>
    <w:rsid w:val="726FE93F"/>
    <w:rsid w:val="72707798"/>
    <w:rsid w:val="72738541"/>
    <w:rsid w:val="7276E6E1"/>
    <w:rsid w:val="727A9B7F"/>
    <w:rsid w:val="727CA7CD"/>
    <w:rsid w:val="727DCBDA"/>
    <w:rsid w:val="727E183C"/>
    <w:rsid w:val="727EAB3A"/>
    <w:rsid w:val="727EEC2F"/>
    <w:rsid w:val="7280596E"/>
    <w:rsid w:val="72807705"/>
    <w:rsid w:val="7282CC8A"/>
    <w:rsid w:val="72830D9D"/>
    <w:rsid w:val="7283A6E4"/>
    <w:rsid w:val="7284B1F8"/>
    <w:rsid w:val="7287EAA3"/>
    <w:rsid w:val="7288F651"/>
    <w:rsid w:val="728A509F"/>
    <w:rsid w:val="728CAC37"/>
    <w:rsid w:val="728CCF5B"/>
    <w:rsid w:val="728D661B"/>
    <w:rsid w:val="728D79B1"/>
    <w:rsid w:val="728D955C"/>
    <w:rsid w:val="728E0AF0"/>
    <w:rsid w:val="728E5E45"/>
    <w:rsid w:val="728EE27E"/>
    <w:rsid w:val="72926E92"/>
    <w:rsid w:val="729278EC"/>
    <w:rsid w:val="7292E0EB"/>
    <w:rsid w:val="72937056"/>
    <w:rsid w:val="729457C9"/>
    <w:rsid w:val="7294F45A"/>
    <w:rsid w:val="729A55F6"/>
    <w:rsid w:val="729C746A"/>
    <w:rsid w:val="729D3A94"/>
    <w:rsid w:val="729DD981"/>
    <w:rsid w:val="729E7E37"/>
    <w:rsid w:val="729EF1D9"/>
    <w:rsid w:val="729F62E4"/>
    <w:rsid w:val="729FD7A7"/>
    <w:rsid w:val="72A01500"/>
    <w:rsid w:val="72A11C34"/>
    <w:rsid w:val="72A20539"/>
    <w:rsid w:val="72A2E035"/>
    <w:rsid w:val="72A3C2F4"/>
    <w:rsid w:val="72A453F1"/>
    <w:rsid w:val="72A79D5B"/>
    <w:rsid w:val="72A7EEBA"/>
    <w:rsid w:val="72AC9E43"/>
    <w:rsid w:val="72ACCC40"/>
    <w:rsid w:val="72AD9324"/>
    <w:rsid w:val="72AE5E84"/>
    <w:rsid w:val="72AF2373"/>
    <w:rsid w:val="72AF8987"/>
    <w:rsid w:val="72AFC4B2"/>
    <w:rsid w:val="72B0919B"/>
    <w:rsid w:val="72B17A7F"/>
    <w:rsid w:val="72B27F62"/>
    <w:rsid w:val="72B2D0F4"/>
    <w:rsid w:val="72B312EA"/>
    <w:rsid w:val="72B38E95"/>
    <w:rsid w:val="72B554F6"/>
    <w:rsid w:val="72BC3120"/>
    <w:rsid w:val="72BC6D27"/>
    <w:rsid w:val="72BCC816"/>
    <w:rsid w:val="72BD2C3D"/>
    <w:rsid w:val="72C07965"/>
    <w:rsid w:val="72C205EA"/>
    <w:rsid w:val="72C67D98"/>
    <w:rsid w:val="72CB5413"/>
    <w:rsid w:val="72CD07A4"/>
    <w:rsid w:val="72CD5126"/>
    <w:rsid w:val="72CD896C"/>
    <w:rsid w:val="72CD97E4"/>
    <w:rsid w:val="72CE470C"/>
    <w:rsid w:val="72D0300C"/>
    <w:rsid w:val="72D0590C"/>
    <w:rsid w:val="72D17249"/>
    <w:rsid w:val="72D77555"/>
    <w:rsid w:val="72D7DEF6"/>
    <w:rsid w:val="72D81936"/>
    <w:rsid w:val="72DD891B"/>
    <w:rsid w:val="72DE621B"/>
    <w:rsid w:val="72DEAE35"/>
    <w:rsid w:val="72DED746"/>
    <w:rsid w:val="72E0557E"/>
    <w:rsid w:val="72E2F5F3"/>
    <w:rsid w:val="72E3557C"/>
    <w:rsid w:val="72E36B70"/>
    <w:rsid w:val="72E4CBDD"/>
    <w:rsid w:val="72EB03A0"/>
    <w:rsid w:val="72EB13E4"/>
    <w:rsid w:val="72EB5164"/>
    <w:rsid w:val="72EBFDBA"/>
    <w:rsid w:val="72EC75BA"/>
    <w:rsid w:val="72EE39DE"/>
    <w:rsid w:val="72EECF40"/>
    <w:rsid w:val="72F31933"/>
    <w:rsid w:val="72F4AF2F"/>
    <w:rsid w:val="72F9F641"/>
    <w:rsid w:val="72FAF5FD"/>
    <w:rsid w:val="730231D4"/>
    <w:rsid w:val="73030E55"/>
    <w:rsid w:val="7303CC01"/>
    <w:rsid w:val="7303E31A"/>
    <w:rsid w:val="7304EA17"/>
    <w:rsid w:val="73066E79"/>
    <w:rsid w:val="73068231"/>
    <w:rsid w:val="7307B45F"/>
    <w:rsid w:val="73097054"/>
    <w:rsid w:val="730971EE"/>
    <w:rsid w:val="730B9A49"/>
    <w:rsid w:val="730C5928"/>
    <w:rsid w:val="730C6A8F"/>
    <w:rsid w:val="730D869B"/>
    <w:rsid w:val="730F56DC"/>
    <w:rsid w:val="73118FB7"/>
    <w:rsid w:val="7313F42F"/>
    <w:rsid w:val="73163D5B"/>
    <w:rsid w:val="73179E58"/>
    <w:rsid w:val="7318EAA5"/>
    <w:rsid w:val="7318FFEB"/>
    <w:rsid w:val="73195D1F"/>
    <w:rsid w:val="7319DB04"/>
    <w:rsid w:val="731A1B68"/>
    <w:rsid w:val="731AA0C5"/>
    <w:rsid w:val="731B519B"/>
    <w:rsid w:val="731D68F4"/>
    <w:rsid w:val="731DF63C"/>
    <w:rsid w:val="731EBD2B"/>
    <w:rsid w:val="7320EDF8"/>
    <w:rsid w:val="73238E08"/>
    <w:rsid w:val="7324277A"/>
    <w:rsid w:val="732797A9"/>
    <w:rsid w:val="73282CE7"/>
    <w:rsid w:val="7328F93A"/>
    <w:rsid w:val="7329497C"/>
    <w:rsid w:val="732978ED"/>
    <w:rsid w:val="732B127D"/>
    <w:rsid w:val="73322EDE"/>
    <w:rsid w:val="7333CF8F"/>
    <w:rsid w:val="7335D301"/>
    <w:rsid w:val="7336A06A"/>
    <w:rsid w:val="73384BC8"/>
    <w:rsid w:val="73387B7A"/>
    <w:rsid w:val="733B0BB8"/>
    <w:rsid w:val="733B67BD"/>
    <w:rsid w:val="73401AB2"/>
    <w:rsid w:val="7341B520"/>
    <w:rsid w:val="7342A372"/>
    <w:rsid w:val="734AF010"/>
    <w:rsid w:val="734D7A9F"/>
    <w:rsid w:val="734FAB88"/>
    <w:rsid w:val="73501D7C"/>
    <w:rsid w:val="7353112C"/>
    <w:rsid w:val="73544E7D"/>
    <w:rsid w:val="735711C1"/>
    <w:rsid w:val="7357225B"/>
    <w:rsid w:val="73587435"/>
    <w:rsid w:val="735879AD"/>
    <w:rsid w:val="735943CE"/>
    <w:rsid w:val="735A73B0"/>
    <w:rsid w:val="735B550D"/>
    <w:rsid w:val="735CE442"/>
    <w:rsid w:val="735EE50E"/>
    <w:rsid w:val="735EF566"/>
    <w:rsid w:val="735F566E"/>
    <w:rsid w:val="735F683F"/>
    <w:rsid w:val="735FA75F"/>
    <w:rsid w:val="735FBD2F"/>
    <w:rsid w:val="73624796"/>
    <w:rsid w:val="7362F1A1"/>
    <w:rsid w:val="736401F7"/>
    <w:rsid w:val="7365C966"/>
    <w:rsid w:val="736C709E"/>
    <w:rsid w:val="736F1ED8"/>
    <w:rsid w:val="737097FC"/>
    <w:rsid w:val="7376E18C"/>
    <w:rsid w:val="73782110"/>
    <w:rsid w:val="737AEC60"/>
    <w:rsid w:val="737DDA5B"/>
    <w:rsid w:val="737F9EF4"/>
    <w:rsid w:val="73828AD5"/>
    <w:rsid w:val="7382B19C"/>
    <w:rsid w:val="73831A63"/>
    <w:rsid w:val="73848DC2"/>
    <w:rsid w:val="7384C015"/>
    <w:rsid w:val="7384C457"/>
    <w:rsid w:val="73858BDE"/>
    <w:rsid w:val="738731F1"/>
    <w:rsid w:val="73888603"/>
    <w:rsid w:val="73896B17"/>
    <w:rsid w:val="7389C605"/>
    <w:rsid w:val="738B5FFD"/>
    <w:rsid w:val="738FC571"/>
    <w:rsid w:val="7391E529"/>
    <w:rsid w:val="7392C125"/>
    <w:rsid w:val="7395865B"/>
    <w:rsid w:val="739767C7"/>
    <w:rsid w:val="739A6385"/>
    <w:rsid w:val="739CB8D0"/>
    <w:rsid w:val="739FB292"/>
    <w:rsid w:val="73A1F8E2"/>
    <w:rsid w:val="73A3AEB5"/>
    <w:rsid w:val="73A40D04"/>
    <w:rsid w:val="73A78BD7"/>
    <w:rsid w:val="73A7FB92"/>
    <w:rsid w:val="73A853BD"/>
    <w:rsid w:val="73A8AC24"/>
    <w:rsid w:val="73AA6D29"/>
    <w:rsid w:val="73AF6872"/>
    <w:rsid w:val="73B2276C"/>
    <w:rsid w:val="73B78905"/>
    <w:rsid w:val="73B91749"/>
    <w:rsid w:val="73B97861"/>
    <w:rsid w:val="73BB34A9"/>
    <w:rsid w:val="73BB60BF"/>
    <w:rsid w:val="73BBAE8D"/>
    <w:rsid w:val="73BBDF76"/>
    <w:rsid w:val="73BBFBFE"/>
    <w:rsid w:val="73BEA788"/>
    <w:rsid w:val="73BF0B14"/>
    <w:rsid w:val="73BF2EEF"/>
    <w:rsid w:val="73C0AD31"/>
    <w:rsid w:val="73C30475"/>
    <w:rsid w:val="73C3A112"/>
    <w:rsid w:val="73C3C3D3"/>
    <w:rsid w:val="73C42B0E"/>
    <w:rsid w:val="73C5B646"/>
    <w:rsid w:val="73C6113B"/>
    <w:rsid w:val="73C6CB01"/>
    <w:rsid w:val="73CA8C99"/>
    <w:rsid w:val="73CA90E1"/>
    <w:rsid w:val="73CB048F"/>
    <w:rsid w:val="73CD5434"/>
    <w:rsid w:val="73CE8AE6"/>
    <w:rsid w:val="73CEB024"/>
    <w:rsid w:val="73D11BB3"/>
    <w:rsid w:val="73D5525D"/>
    <w:rsid w:val="73D6165A"/>
    <w:rsid w:val="73D7FB78"/>
    <w:rsid w:val="73D81F17"/>
    <w:rsid w:val="73DA07E8"/>
    <w:rsid w:val="73DD2816"/>
    <w:rsid w:val="73DE45D1"/>
    <w:rsid w:val="73DF7F6A"/>
    <w:rsid w:val="73E1AFD0"/>
    <w:rsid w:val="73E2B412"/>
    <w:rsid w:val="73E33C68"/>
    <w:rsid w:val="73E773B7"/>
    <w:rsid w:val="73E8B043"/>
    <w:rsid w:val="73E90B62"/>
    <w:rsid w:val="73EB3141"/>
    <w:rsid w:val="73EBF744"/>
    <w:rsid w:val="73EC490E"/>
    <w:rsid w:val="73EF41EB"/>
    <w:rsid w:val="73F02E55"/>
    <w:rsid w:val="73F1C194"/>
    <w:rsid w:val="73F31BD0"/>
    <w:rsid w:val="73F50B78"/>
    <w:rsid w:val="73F54D07"/>
    <w:rsid w:val="73F6C46F"/>
    <w:rsid w:val="73FF54A1"/>
    <w:rsid w:val="73FFA7FF"/>
    <w:rsid w:val="74019D84"/>
    <w:rsid w:val="740225ED"/>
    <w:rsid w:val="7403C992"/>
    <w:rsid w:val="7405C314"/>
    <w:rsid w:val="74086C25"/>
    <w:rsid w:val="7408C89D"/>
    <w:rsid w:val="74091A8A"/>
    <w:rsid w:val="740A033F"/>
    <w:rsid w:val="740C5969"/>
    <w:rsid w:val="740D4D1F"/>
    <w:rsid w:val="740E13F9"/>
    <w:rsid w:val="740E1B17"/>
    <w:rsid w:val="740F842E"/>
    <w:rsid w:val="7410FE98"/>
    <w:rsid w:val="7411C16B"/>
    <w:rsid w:val="74127A12"/>
    <w:rsid w:val="741325CD"/>
    <w:rsid w:val="7413B334"/>
    <w:rsid w:val="741681E7"/>
    <w:rsid w:val="74174F7C"/>
    <w:rsid w:val="741754B7"/>
    <w:rsid w:val="74186423"/>
    <w:rsid w:val="7418B644"/>
    <w:rsid w:val="741AA4EA"/>
    <w:rsid w:val="741B8C16"/>
    <w:rsid w:val="741C360A"/>
    <w:rsid w:val="741DDFA5"/>
    <w:rsid w:val="741F0760"/>
    <w:rsid w:val="7420B415"/>
    <w:rsid w:val="7422408C"/>
    <w:rsid w:val="7425072E"/>
    <w:rsid w:val="74268064"/>
    <w:rsid w:val="7426AC4E"/>
    <w:rsid w:val="74280761"/>
    <w:rsid w:val="742AC655"/>
    <w:rsid w:val="742BAA3A"/>
    <w:rsid w:val="742C2E55"/>
    <w:rsid w:val="742DD378"/>
    <w:rsid w:val="742EBBAC"/>
    <w:rsid w:val="742EEE1C"/>
    <w:rsid w:val="7430E232"/>
    <w:rsid w:val="7432DB5F"/>
    <w:rsid w:val="743483E2"/>
    <w:rsid w:val="743681F5"/>
    <w:rsid w:val="74379262"/>
    <w:rsid w:val="7438AC4F"/>
    <w:rsid w:val="743923B6"/>
    <w:rsid w:val="743A5658"/>
    <w:rsid w:val="743AB5E4"/>
    <w:rsid w:val="743C20E8"/>
    <w:rsid w:val="743CBBBF"/>
    <w:rsid w:val="743D23D0"/>
    <w:rsid w:val="743FD114"/>
    <w:rsid w:val="74417D7F"/>
    <w:rsid w:val="7442B264"/>
    <w:rsid w:val="74487325"/>
    <w:rsid w:val="7449178B"/>
    <w:rsid w:val="744EAC1E"/>
    <w:rsid w:val="744EAD4F"/>
    <w:rsid w:val="74510464"/>
    <w:rsid w:val="74514EBE"/>
    <w:rsid w:val="74542078"/>
    <w:rsid w:val="74563441"/>
    <w:rsid w:val="7457B541"/>
    <w:rsid w:val="7458E2A8"/>
    <w:rsid w:val="7458EFF2"/>
    <w:rsid w:val="745B8397"/>
    <w:rsid w:val="745DB03E"/>
    <w:rsid w:val="745E2945"/>
    <w:rsid w:val="745FE457"/>
    <w:rsid w:val="7461D652"/>
    <w:rsid w:val="74637F7D"/>
    <w:rsid w:val="74640D20"/>
    <w:rsid w:val="7464A835"/>
    <w:rsid w:val="7465CAE0"/>
    <w:rsid w:val="74687C3C"/>
    <w:rsid w:val="74688613"/>
    <w:rsid w:val="74696FAD"/>
    <w:rsid w:val="746B4486"/>
    <w:rsid w:val="746C21E2"/>
    <w:rsid w:val="746CBA6A"/>
    <w:rsid w:val="746EA179"/>
    <w:rsid w:val="746EDB9A"/>
    <w:rsid w:val="7470D6B8"/>
    <w:rsid w:val="74714652"/>
    <w:rsid w:val="74729C43"/>
    <w:rsid w:val="7472E073"/>
    <w:rsid w:val="7476ECD9"/>
    <w:rsid w:val="7477D34A"/>
    <w:rsid w:val="74787CB5"/>
    <w:rsid w:val="74794E13"/>
    <w:rsid w:val="747BC62C"/>
    <w:rsid w:val="747BFFB0"/>
    <w:rsid w:val="747D896F"/>
    <w:rsid w:val="748000D3"/>
    <w:rsid w:val="748114BD"/>
    <w:rsid w:val="74820BE1"/>
    <w:rsid w:val="748460EF"/>
    <w:rsid w:val="74850FDC"/>
    <w:rsid w:val="74853338"/>
    <w:rsid w:val="7486CDAB"/>
    <w:rsid w:val="7487D897"/>
    <w:rsid w:val="7489B799"/>
    <w:rsid w:val="748A78B2"/>
    <w:rsid w:val="748B1324"/>
    <w:rsid w:val="748D8224"/>
    <w:rsid w:val="748F8F31"/>
    <w:rsid w:val="7490445D"/>
    <w:rsid w:val="74916F44"/>
    <w:rsid w:val="74938E3A"/>
    <w:rsid w:val="74964556"/>
    <w:rsid w:val="74973585"/>
    <w:rsid w:val="7499A2A8"/>
    <w:rsid w:val="749A591D"/>
    <w:rsid w:val="749A92CB"/>
    <w:rsid w:val="749C7303"/>
    <w:rsid w:val="749E7A59"/>
    <w:rsid w:val="74A1282F"/>
    <w:rsid w:val="74A2B81B"/>
    <w:rsid w:val="74A49A2F"/>
    <w:rsid w:val="74A96585"/>
    <w:rsid w:val="74AABF5C"/>
    <w:rsid w:val="74AADF80"/>
    <w:rsid w:val="74ABE2C6"/>
    <w:rsid w:val="74AC0443"/>
    <w:rsid w:val="74AC9360"/>
    <w:rsid w:val="74AF74F5"/>
    <w:rsid w:val="74B31728"/>
    <w:rsid w:val="74B3A4BC"/>
    <w:rsid w:val="74B48757"/>
    <w:rsid w:val="74B4F1AC"/>
    <w:rsid w:val="74B55DB0"/>
    <w:rsid w:val="74B5BE2B"/>
    <w:rsid w:val="74B69194"/>
    <w:rsid w:val="74B76ACF"/>
    <w:rsid w:val="74BA39EF"/>
    <w:rsid w:val="74BB87AB"/>
    <w:rsid w:val="74BBD69E"/>
    <w:rsid w:val="74BC89B6"/>
    <w:rsid w:val="74BD3464"/>
    <w:rsid w:val="74BE8443"/>
    <w:rsid w:val="74BEF061"/>
    <w:rsid w:val="74BFEF3C"/>
    <w:rsid w:val="74C90602"/>
    <w:rsid w:val="74C9F8DD"/>
    <w:rsid w:val="74CA0E23"/>
    <w:rsid w:val="74CB1303"/>
    <w:rsid w:val="74CB2532"/>
    <w:rsid w:val="74CDAA5C"/>
    <w:rsid w:val="74CEC3DA"/>
    <w:rsid w:val="74D1D406"/>
    <w:rsid w:val="74D23B5B"/>
    <w:rsid w:val="74D3B5A3"/>
    <w:rsid w:val="74D53A32"/>
    <w:rsid w:val="74D55D4D"/>
    <w:rsid w:val="74D5C50E"/>
    <w:rsid w:val="74D7430A"/>
    <w:rsid w:val="74D80C10"/>
    <w:rsid w:val="74D849EB"/>
    <w:rsid w:val="74D8CDDE"/>
    <w:rsid w:val="74D9870A"/>
    <w:rsid w:val="74D9D4BA"/>
    <w:rsid w:val="74DA3B2A"/>
    <w:rsid w:val="74DB6498"/>
    <w:rsid w:val="74DB7A4C"/>
    <w:rsid w:val="74DC62F4"/>
    <w:rsid w:val="74DC8D8D"/>
    <w:rsid w:val="74DD1157"/>
    <w:rsid w:val="74DE79A9"/>
    <w:rsid w:val="74DE8EBC"/>
    <w:rsid w:val="74DF3DFC"/>
    <w:rsid w:val="74E034A6"/>
    <w:rsid w:val="74E27590"/>
    <w:rsid w:val="74E2E66F"/>
    <w:rsid w:val="74E310AE"/>
    <w:rsid w:val="74E33C86"/>
    <w:rsid w:val="74E5EDD2"/>
    <w:rsid w:val="74EA6577"/>
    <w:rsid w:val="74EB75C5"/>
    <w:rsid w:val="74EBB939"/>
    <w:rsid w:val="74EE6429"/>
    <w:rsid w:val="74EF0C39"/>
    <w:rsid w:val="74F14973"/>
    <w:rsid w:val="74F45146"/>
    <w:rsid w:val="74F75869"/>
    <w:rsid w:val="74FAA279"/>
    <w:rsid w:val="74FAD287"/>
    <w:rsid w:val="74FEB289"/>
    <w:rsid w:val="74FEE07B"/>
    <w:rsid w:val="74FF5A6D"/>
    <w:rsid w:val="75001552"/>
    <w:rsid w:val="75002C45"/>
    <w:rsid w:val="7500319B"/>
    <w:rsid w:val="75009F3A"/>
    <w:rsid w:val="7502DA7F"/>
    <w:rsid w:val="75078AD9"/>
    <w:rsid w:val="750A2C71"/>
    <w:rsid w:val="750C26FE"/>
    <w:rsid w:val="750FA0F0"/>
    <w:rsid w:val="7510D611"/>
    <w:rsid w:val="75116C81"/>
    <w:rsid w:val="75136B9A"/>
    <w:rsid w:val="7513BF8A"/>
    <w:rsid w:val="7513DCD7"/>
    <w:rsid w:val="7514234B"/>
    <w:rsid w:val="7515F8A4"/>
    <w:rsid w:val="75186971"/>
    <w:rsid w:val="751A045C"/>
    <w:rsid w:val="751A0FE1"/>
    <w:rsid w:val="751A4E92"/>
    <w:rsid w:val="751AA579"/>
    <w:rsid w:val="751AD3F4"/>
    <w:rsid w:val="751CD1F1"/>
    <w:rsid w:val="751E596D"/>
    <w:rsid w:val="751EB7CA"/>
    <w:rsid w:val="75240772"/>
    <w:rsid w:val="75256782"/>
    <w:rsid w:val="7525EB5C"/>
    <w:rsid w:val="75261ACF"/>
    <w:rsid w:val="75262D41"/>
    <w:rsid w:val="7527494E"/>
    <w:rsid w:val="75286069"/>
    <w:rsid w:val="7528D945"/>
    <w:rsid w:val="75297634"/>
    <w:rsid w:val="752BD9FD"/>
    <w:rsid w:val="752F6566"/>
    <w:rsid w:val="7530BF82"/>
    <w:rsid w:val="753296E3"/>
    <w:rsid w:val="75344870"/>
    <w:rsid w:val="75346B4B"/>
    <w:rsid w:val="7534D88A"/>
    <w:rsid w:val="7535F4FA"/>
    <w:rsid w:val="75367A5B"/>
    <w:rsid w:val="753733B8"/>
    <w:rsid w:val="753800B8"/>
    <w:rsid w:val="75395007"/>
    <w:rsid w:val="75397A12"/>
    <w:rsid w:val="753FA73B"/>
    <w:rsid w:val="754442A6"/>
    <w:rsid w:val="7545A2AF"/>
    <w:rsid w:val="7547519A"/>
    <w:rsid w:val="7547F2F0"/>
    <w:rsid w:val="75480DB6"/>
    <w:rsid w:val="754864A3"/>
    <w:rsid w:val="754A283D"/>
    <w:rsid w:val="754D1B14"/>
    <w:rsid w:val="754D8779"/>
    <w:rsid w:val="754E3232"/>
    <w:rsid w:val="754F5961"/>
    <w:rsid w:val="754F913A"/>
    <w:rsid w:val="75503142"/>
    <w:rsid w:val="75509466"/>
    <w:rsid w:val="7550F59F"/>
    <w:rsid w:val="75525563"/>
    <w:rsid w:val="7552E111"/>
    <w:rsid w:val="75541B95"/>
    <w:rsid w:val="7554502A"/>
    <w:rsid w:val="75555F4F"/>
    <w:rsid w:val="75556B52"/>
    <w:rsid w:val="755646EB"/>
    <w:rsid w:val="75566084"/>
    <w:rsid w:val="755C8BC7"/>
    <w:rsid w:val="755D209B"/>
    <w:rsid w:val="755D66D8"/>
    <w:rsid w:val="75603A64"/>
    <w:rsid w:val="756063AA"/>
    <w:rsid w:val="7566A74A"/>
    <w:rsid w:val="7569F8BE"/>
    <w:rsid w:val="756ABA69"/>
    <w:rsid w:val="756D4884"/>
    <w:rsid w:val="756DC4C4"/>
    <w:rsid w:val="756E7A62"/>
    <w:rsid w:val="756FA1AC"/>
    <w:rsid w:val="7570A634"/>
    <w:rsid w:val="7571798B"/>
    <w:rsid w:val="7574133D"/>
    <w:rsid w:val="7574E4CC"/>
    <w:rsid w:val="757528F9"/>
    <w:rsid w:val="75785795"/>
    <w:rsid w:val="75797A45"/>
    <w:rsid w:val="757C63D2"/>
    <w:rsid w:val="757D7050"/>
    <w:rsid w:val="757ECD67"/>
    <w:rsid w:val="757EFC0F"/>
    <w:rsid w:val="75820A59"/>
    <w:rsid w:val="75823C04"/>
    <w:rsid w:val="7583FE31"/>
    <w:rsid w:val="75846A5D"/>
    <w:rsid w:val="7585304D"/>
    <w:rsid w:val="7586E9A4"/>
    <w:rsid w:val="758725CB"/>
    <w:rsid w:val="75893B04"/>
    <w:rsid w:val="758A0161"/>
    <w:rsid w:val="758AABD2"/>
    <w:rsid w:val="758B0604"/>
    <w:rsid w:val="758CD0AA"/>
    <w:rsid w:val="759355D1"/>
    <w:rsid w:val="75940574"/>
    <w:rsid w:val="759618A1"/>
    <w:rsid w:val="75975469"/>
    <w:rsid w:val="7598546E"/>
    <w:rsid w:val="75991B69"/>
    <w:rsid w:val="75992E19"/>
    <w:rsid w:val="75993388"/>
    <w:rsid w:val="759AD228"/>
    <w:rsid w:val="759B7C74"/>
    <w:rsid w:val="759D4732"/>
    <w:rsid w:val="759E73F8"/>
    <w:rsid w:val="759E8D84"/>
    <w:rsid w:val="759FD14A"/>
    <w:rsid w:val="759FDBCF"/>
    <w:rsid w:val="75A2CA41"/>
    <w:rsid w:val="75A35232"/>
    <w:rsid w:val="75A3A06C"/>
    <w:rsid w:val="75A75C60"/>
    <w:rsid w:val="75A8FCF5"/>
    <w:rsid w:val="75A963B1"/>
    <w:rsid w:val="75AB65E7"/>
    <w:rsid w:val="75AC67F3"/>
    <w:rsid w:val="75ACBAB2"/>
    <w:rsid w:val="75AE2644"/>
    <w:rsid w:val="75B0AC34"/>
    <w:rsid w:val="75B0D6F1"/>
    <w:rsid w:val="75B133E2"/>
    <w:rsid w:val="75B17627"/>
    <w:rsid w:val="75B21C01"/>
    <w:rsid w:val="75B26D18"/>
    <w:rsid w:val="75B49CF3"/>
    <w:rsid w:val="75B6470C"/>
    <w:rsid w:val="75B76F23"/>
    <w:rsid w:val="75B7AFF7"/>
    <w:rsid w:val="75B93D44"/>
    <w:rsid w:val="75B94C97"/>
    <w:rsid w:val="75BA8813"/>
    <w:rsid w:val="75BAC6F9"/>
    <w:rsid w:val="75BCE1FD"/>
    <w:rsid w:val="75BD1C7D"/>
    <w:rsid w:val="75BD3869"/>
    <w:rsid w:val="75BE6806"/>
    <w:rsid w:val="75BF0C4B"/>
    <w:rsid w:val="75BF6EC0"/>
    <w:rsid w:val="75C39A9D"/>
    <w:rsid w:val="75C3DA20"/>
    <w:rsid w:val="75C517F0"/>
    <w:rsid w:val="75C606F0"/>
    <w:rsid w:val="75C75588"/>
    <w:rsid w:val="75C7967A"/>
    <w:rsid w:val="75C808AB"/>
    <w:rsid w:val="75C9A8C0"/>
    <w:rsid w:val="75C9AFAB"/>
    <w:rsid w:val="75CAF44E"/>
    <w:rsid w:val="75CDB000"/>
    <w:rsid w:val="75CF14D3"/>
    <w:rsid w:val="75CF8E31"/>
    <w:rsid w:val="75D129A5"/>
    <w:rsid w:val="75D1C84A"/>
    <w:rsid w:val="75D36F55"/>
    <w:rsid w:val="75D4F387"/>
    <w:rsid w:val="75D67F18"/>
    <w:rsid w:val="75D7BBED"/>
    <w:rsid w:val="75D7EE2A"/>
    <w:rsid w:val="75D835E8"/>
    <w:rsid w:val="75D9E2D0"/>
    <w:rsid w:val="75DA31E2"/>
    <w:rsid w:val="75DBF698"/>
    <w:rsid w:val="75DCA59A"/>
    <w:rsid w:val="75DD25FE"/>
    <w:rsid w:val="75DE67DA"/>
    <w:rsid w:val="75DEA868"/>
    <w:rsid w:val="75DF4EEF"/>
    <w:rsid w:val="75E1C617"/>
    <w:rsid w:val="75E258D1"/>
    <w:rsid w:val="75E363C8"/>
    <w:rsid w:val="75E4AA58"/>
    <w:rsid w:val="75E4BA5C"/>
    <w:rsid w:val="75E580D8"/>
    <w:rsid w:val="75E691A9"/>
    <w:rsid w:val="75E951AD"/>
    <w:rsid w:val="75ECC248"/>
    <w:rsid w:val="75ECE58A"/>
    <w:rsid w:val="75ED90A7"/>
    <w:rsid w:val="75EDEC04"/>
    <w:rsid w:val="75EEEA7A"/>
    <w:rsid w:val="75EF2377"/>
    <w:rsid w:val="75EFE844"/>
    <w:rsid w:val="75F06266"/>
    <w:rsid w:val="75F19A55"/>
    <w:rsid w:val="75F50AB4"/>
    <w:rsid w:val="75F52656"/>
    <w:rsid w:val="75F8235F"/>
    <w:rsid w:val="75F83C44"/>
    <w:rsid w:val="75FC82EF"/>
    <w:rsid w:val="75FDF0DC"/>
    <w:rsid w:val="75FF2785"/>
    <w:rsid w:val="75FF99E7"/>
    <w:rsid w:val="76005520"/>
    <w:rsid w:val="76033447"/>
    <w:rsid w:val="76046A7D"/>
    <w:rsid w:val="7605906C"/>
    <w:rsid w:val="76065C3F"/>
    <w:rsid w:val="7606DA4B"/>
    <w:rsid w:val="7607037A"/>
    <w:rsid w:val="76078878"/>
    <w:rsid w:val="76093BFE"/>
    <w:rsid w:val="7609CF58"/>
    <w:rsid w:val="760AF264"/>
    <w:rsid w:val="760C08A7"/>
    <w:rsid w:val="760C5F25"/>
    <w:rsid w:val="760D6EAF"/>
    <w:rsid w:val="760E2363"/>
    <w:rsid w:val="760E4A83"/>
    <w:rsid w:val="760F8BE5"/>
    <w:rsid w:val="7610DB4C"/>
    <w:rsid w:val="7611F879"/>
    <w:rsid w:val="761311BE"/>
    <w:rsid w:val="7613AEC6"/>
    <w:rsid w:val="76140B1B"/>
    <w:rsid w:val="76141CF9"/>
    <w:rsid w:val="761770F8"/>
    <w:rsid w:val="76189EA9"/>
    <w:rsid w:val="7619249E"/>
    <w:rsid w:val="761C2972"/>
    <w:rsid w:val="761FFB00"/>
    <w:rsid w:val="76214A0C"/>
    <w:rsid w:val="7622118F"/>
    <w:rsid w:val="762250C1"/>
    <w:rsid w:val="7628163B"/>
    <w:rsid w:val="7628683A"/>
    <w:rsid w:val="7629E7D6"/>
    <w:rsid w:val="762A3313"/>
    <w:rsid w:val="762A83DD"/>
    <w:rsid w:val="762CAD39"/>
    <w:rsid w:val="762FF880"/>
    <w:rsid w:val="76323867"/>
    <w:rsid w:val="76337018"/>
    <w:rsid w:val="7633D644"/>
    <w:rsid w:val="76344ABC"/>
    <w:rsid w:val="7634DAA0"/>
    <w:rsid w:val="7634F1F7"/>
    <w:rsid w:val="763888FB"/>
    <w:rsid w:val="7639EFB9"/>
    <w:rsid w:val="763D5527"/>
    <w:rsid w:val="763E6ABA"/>
    <w:rsid w:val="76402961"/>
    <w:rsid w:val="7642FDD5"/>
    <w:rsid w:val="7643B78D"/>
    <w:rsid w:val="76458497"/>
    <w:rsid w:val="76467848"/>
    <w:rsid w:val="764688D6"/>
    <w:rsid w:val="764A7C6D"/>
    <w:rsid w:val="764A81E9"/>
    <w:rsid w:val="764A99C5"/>
    <w:rsid w:val="764B0774"/>
    <w:rsid w:val="764D0F8A"/>
    <w:rsid w:val="764E00E0"/>
    <w:rsid w:val="764F1DE5"/>
    <w:rsid w:val="76501587"/>
    <w:rsid w:val="76520154"/>
    <w:rsid w:val="7652FDD1"/>
    <w:rsid w:val="7653C9E9"/>
    <w:rsid w:val="76543188"/>
    <w:rsid w:val="76549DCE"/>
    <w:rsid w:val="765656C0"/>
    <w:rsid w:val="765824BB"/>
    <w:rsid w:val="76587727"/>
    <w:rsid w:val="7658FFFB"/>
    <w:rsid w:val="765A2B1A"/>
    <w:rsid w:val="765A5BE1"/>
    <w:rsid w:val="765B43FE"/>
    <w:rsid w:val="765C5154"/>
    <w:rsid w:val="765F5684"/>
    <w:rsid w:val="765FF67E"/>
    <w:rsid w:val="76654D9F"/>
    <w:rsid w:val="76658A9A"/>
    <w:rsid w:val="766615DF"/>
    <w:rsid w:val="766937AE"/>
    <w:rsid w:val="7669CBB1"/>
    <w:rsid w:val="766A94E5"/>
    <w:rsid w:val="766D84C7"/>
    <w:rsid w:val="766E9C4E"/>
    <w:rsid w:val="766FDF3F"/>
    <w:rsid w:val="767287C6"/>
    <w:rsid w:val="76742119"/>
    <w:rsid w:val="76766E3D"/>
    <w:rsid w:val="76777CA1"/>
    <w:rsid w:val="7677E098"/>
    <w:rsid w:val="76790BE1"/>
    <w:rsid w:val="767CE406"/>
    <w:rsid w:val="767E875F"/>
    <w:rsid w:val="767F0769"/>
    <w:rsid w:val="767F0B24"/>
    <w:rsid w:val="76843576"/>
    <w:rsid w:val="76874CB6"/>
    <w:rsid w:val="7689ECB3"/>
    <w:rsid w:val="768B069F"/>
    <w:rsid w:val="768DE36E"/>
    <w:rsid w:val="768E1339"/>
    <w:rsid w:val="7690A76C"/>
    <w:rsid w:val="7690C230"/>
    <w:rsid w:val="7691317D"/>
    <w:rsid w:val="76986FEB"/>
    <w:rsid w:val="76988FA8"/>
    <w:rsid w:val="76991060"/>
    <w:rsid w:val="76995419"/>
    <w:rsid w:val="769C98D9"/>
    <w:rsid w:val="769CD1FE"/>
    <w:rsid w:val="769D6A53"/>
    <w:rsid w:val="769E896E"/>
    <w:rsid w:val="769F3ACB"/>
    <w:rsid w:val="76A32ADD"/>
    <w:rsid w:val="76A35C6B"/>
    <w:rsid w:val="76A38A5D"/>
    <w:rsid w:val="76A3A7FC"/>
    <w:rsid w:val="76A8023A"/>
    <w:rsid w:val="76AA23B0"/>
    <w:rsid w:val="76AA9CD2"/>
    <w:rsid w:val="76AF591D"/>
    <w:rsid w:val="76AF591E"/>
    <w:rsid w:val="76AFC4AA"/>
    <w:rsid w:val="76B11FC4"/>
    <w:rsid w:val="76B2A8E8"/>
    <w:rsid w:val="76B2EF37"/>
    <w:rsid w:val="76B4054E"/>
    <w:rsid w:val="76B5BDA1"/>
    <w:rsid w:val="76B70349"/>
    <w:rsid w:val="76B721DA"/>
    <w:rsid w:val="76B7ABD5"/>
    <w:rsid w:val="76B9EFC1"/>
    <w:rsid w:val="76BA8426"/>
    <w:rsid w:val="76BB7975"/>
    <w:rsid w:val="76BC49B6"/>
    <w:rsid w:val="76BC541E"/>
    <w:rsid w:val="76BDC029"/>
    <w:rsid w:val="76BE7D44"/>
    <w:rsid w:val="76BEDA13"/>
    <w:rsid w:val="76BFE58E"/>
    <w:rsid w:val="76C2B756"/>
    <w:rsid w:val="76C2D91D"/>
    <w:rsid w:val="76C34EF8"/>
    <w:rsid w:val="76C369CF"/>
    <w:rsid w:val="76C43771"/>
    <w:rsid w:val="76C7B3F5"/>
    <w:rsid w:val="76C9A045"/>
    <w:rsid w:val="76C9BA74"/>
    <w:rsid w:val="76CA5A73"/>
    <w:rsid w:val="76CB96C1"/>
    <w:rsid w:val="76CF04F8"/>
    <w:rsid w:val="76CF9A91"/>
    <w:rsid w:val="76D422AC"/>
    <w:rsid w:val="76D5D6D5"/>
    <w:rsid w:val="76D62878"/>
    <w:rsid w:val="76D63EDF"/>
    <w:rsid w:val="76D814B7"/>
    <w:rsid w:val="76D99B2E"/>
    <w:rsid w:val="76DA7C95"/>
    <w:rsid w:val="76DF64E5"/>
    <w:rsid w:val="76E23413"/>
    <w:rsid w:val="76E3B5C6"/>
    <w:rsid w:val="76E492B1"/>
    <w:rsid w:val="76E64922"/>
    <w:rsid w:val="76E79D11"/>
    <w:rsid w:val="76E8DADC"/>
    <w:rsid w:val="76E9BEC6"/>
    <w:rsid w:val="76E9DEFF"/>
    <w:rsid w:val="76EC99FA"/>
    <w:rsid w:val="76ED8B48"/>
    <w:rsid w:val="76EF191C"/>
    <w:rsid w:val="76F2B835"/>
    <w:rsid w:val="76F34B75"/>
    <w:rsid w:val="76F46709"/>
    <w:rsid w:val="76F57D32"/>
    <w:rsid w:val="76F6BDE3"/>
    <w:rsid w:val="76FCFC44"/>
    <w:rsid w:val="76FE24B8"/>
    <w:rsid w:val="76FEB5FF"/>
    <w:rsid w:val="76FFB119"/>
    <w:rsid w:val="77016302"/>
    <w:rsid w:val="77018852"/>
    <w:rsid w:val="77045A6D"/>
    <w:rsid w:val="7704D0E5"/>
    <w:rsid w:val="77059688"/>
    <w:rsid w:val="7709A897"/>
    <w:rsid w:val="770AF19A"/>
    <w:rsid w:val="770B89C5"/>
    <w:rsid w:val="770D85BF"/>
    <w:rsid w:val="770F0680"/>
    <w:rsid w:val="771070CD"/>
    <w:rsid w:val="7710A1BE"/>
    <w:rsid w:val="7713A13A"/>
    <w:rsid w:val="7713BF73"/>
    <w:rsid w:val="7713CAF0"/>
    <w:rsid w:val="7714CA2F"/>
    <w:rsid w:val="771689FE"/>
    <w:rsid w:val="7716D0AC"/>
    <w:rsid w:val="771AD105"/>
    <w:rsid w:val="771D01E3"/>
    <w:rsid w:val="7722AF53"/>
    <w:rsid w:val="77236FCA"/>
    <w:rsid w:val="772435F9"/>
    <w:rsid w:val="77260FDF"/>
    <w:rsid w:val="772674E0"/>
    <w:rsid w:val="7729684E"/>
    <w:rsid w:val="7729AA7E"/>
    <w:rsid w:val="772AF2B7"/>
    <w:rsid w:val="772CB539"/>
    <w:rsid w:val="772EDE51"/>
    <w:rsid w:val="7730A68C"/>
    <w:rsid w:val="7732E7FC"/>
    <w:rsid w:val="77341D2B"/>
    <w:rsid w:val="77349006"/>
    <w:rsid w:val="77358090"/>
    <w:rsid w:val="77372E1E"/>
    <w:rsid w:val="77390CAD"/>
    <w:rsid w:val="7739E2F7"/>
    <w:rsid w:val="773A93E6"/>
    <w:rsid w:val="773C1AE5"/>
    <w:rsid w:val="773D13C6"/>
    <w:rsid w:val="773DC758"/>
    <w:rsid w:val="773EB4B0"/>
    <w:rsid w:val="773F19A7"/>
    <w:rsid w:val="773F5B08"/>
    <w:rsid w:val="77408686"/>
    <w:rsid w:val="7740B0D2"/>
    <w:rsid w:val="7740B192"/>
    <w:rsid w:val="77420E11"/>
    <w:rsid w:val="774699A1"/>
    <w:rsid w:val="77478D70"/>
    <w:rsid w:val="7747B994"/>
    <w:rsid w:val="77495801"/>
    <w:rsid w:val="77497341"/>
    <w:rsid w:val="774B1E62"/>
    <w:rsid w:val="774C8D01"/>
    <w:rsid w:val="774CD6CF"/>
    <w:rsid w:val="774E231D"/>
    <w:rsid w:val="77533DE7"/>
    <w:rsid w:val="7753ACA7"/>
    <w:rsid w:val="7756728F"/>
    <w:rsid w:val="77572198"/>
    <w:rsid w:val="7757310E"/>
    <w:rsid w:val="7759CB29"/>
    <w:rsid w:val="775B5F17"/>
    <w:rsid w:val="775C962D"/>
    <w:rsid w:val="775D2D61"/>
    <w:rsid w:val="77616F2B"/>
    <w:rsid w:val="77620BAB"/>
    <w:rsid w:val="77620E34"/>
    <w:rsid w:val="77627C51"/>
    <w:rsid w:val="77638427"/>
    <w:rsid w:val="77639607"/>
    <w:rsid w:val="7764A1B1"/>
    <w:rsid w:val="77670EFC"/>
    <w:rsid w:val="7769CDA8"/>
    <w:rsid w:val="776A5C39"/>
    <w:rsid w:val="776C0F83"/>
    <w:rsid w:val="776D469B"/>
    <w:rsid w:val="776E3D5A"/>
    <w:rsid w:val="776E4EC4"/>
    <w:rsid w:val="776E51C1"/>
    <w:rsid w:val="776ED29C"/>
    <w:rsid w:val="7771A72E"/>
    <w:rsid w:val="7772CB6F"/>
    <w:rsid w:val="77759328"/>
    <w:rsid w:val="7775E94E"/>
    <w:rsid w:val="77779F98"/>
    <w:rsid w:val="7777C014"/>
    <w:rsid w:val="7779157E"/>
    <w:rsid w:val="777A3078"/>
    <w:rsid w:val="777A7977"/>
    <w:rsid w:val="777F0F52"/>
    <w:rsid w:val="777F8AE2"/>
    <w:rsid w:val="777FEEC7"/>
    <w:rsid w:val="7780CE81"/>
    <w:rsid w:val="7781AAF8"/>
    <w:rsid w:val="778300C2"/>
    <w:rsid w:val="77834BF2"/>
    <w:rsid w:val="77857B6B"/>
    <w:rsid w:val="7789CA5B"/>
    <w:rsid w:val="778A5CF4"/>
    <w:rsid w:val="778AD8B5"/>
    <w:rsid w:val="778E2D41"/>
    <w:rsid w:val="778E9A92"/>
    <w:rsid w:val="77911BDF"/>
    <w:rsid w:val="77928C70"/>
    <w:rsid w:val="7792AD32"/>
    <w:rsid w:val="779324BB"/>
    <w:rsid w:val="77939AA3"/>
    <w:rsid w:val="77943ABD"/>
    <w:rsid w:val="7794B4C3"/>
    <w:rsid w:val="77968E27"/>
    <w:rsid w:val="779A993F"/>
    <w:rsid w:val="779C3EBD"/>
    <w:rsid w:val="779FA71A"/>
    <w:rsid w:val="77A269C3"/>
    <w:rsid w:val="77A2B429"/>
    <w:rsid w:val="77A2F7DF"/>
    <w:rsid w:val="77A342FC"/>
    <w:rsid w:val="77A58085"/>
    <w:rsid w:val="77A73DCD"/>
    <w:rsid w:val="77A85129"/>
    <w:rsid w:val="77A944DD"/>
    <w:rsid w:val="77A96726"/>
    <w:rsid w:val="77AAB6F7"/>
    <w:rsid w:val="77AAF73B"/>
    <w:rsid w:val="77ADB210"/>
    <w:rsid w:val="77B0EAAF"/>
    <w:rsid w:val="77B4A2B6"/>
    <w:rsid w:val="77B97AF4"/>
    <w:rsid w:val="77BB17D5"/>
    <w:rsid w:val="77BB8EC9"/>
    <w:rsid w:val="77BE8CCD"/>
    <w:rsid w:val="77BFB83D"/>
    <w:rsid w:val="77C17A2D"/>
    <w:rsid w:val="77C18119"/>
    <w:rsid w:val="77C62B47"/>
    <w:rsid w:val="77C6FC4A"/>
    <w:rsid w:val="77C7E96E"/>
    <w:rsid w:val="77C8128C"/>
    <w:rsid w:val="77C828C2"/>
    <w:rsid w:val="77C9070D"/>
    <w:rsid w:val="77CCA410"/>
    <w:rsid w:val="77CF9051"/>
    <w:rsid w:val="77DBA49D"/>
    <w:rsid w:val="77DBBC0E"/>
    <w:rsid w:val="77DC9439"/>
    <w:rsid w:val="77E0BD47"/>
    <w:rsid w:val="77E0D09D"/>
    <w:rsid w:val="77E15770"/>
    <w:rsid w:val="77E15E9B"/>
    <w:rsid w:val="77E3913E"/>
    <w:rsid w:val="77E51963"/>
    <w:rsid w:val="77E526DA"/>
    <w:rsid w:val="77E6075F"/>
    <w:rsid w:val="77E741E3"/>
    <w:rsid w:val="77E74BDE"/>
    <w:rsid w:val="77E83EDB"/>
    <w:rsid w:val="77E97D3D"/>
    <w:rsid w:val="77EA02B3"/>
    <w:rsid w:val="77EA9A2C"/>
    <w:rsid w:val="77EB9E9E"/>
    <w:rsid w:val="77F224DB"/>
    <w:rsid w:val="77F35853"/>
    <w:rsid w:val="77F46C38"/>
    <w:rsid w:val="77F62747"/>
    <w:rsid w:val="77F8B3D6"/>
    <w:rsid w:val="77F9CDFC"/>
    <w:rsid w:val="77FA0CED"/>
    <w:rsid w:val="77FD1CE6"/>
    <w:rsid w:val="77FF0FD0"/>
    <w:rsid w:val="78061BC2"/>
    <w:rsid w:val="78068F17"/>
    <w:rsid w:val="7806F0CD"/>
    <w:rsid w:val="780800CF"/>
    <w:rsid w:val="780843D9"/>
    <w:rsid w:val="78091982"/>
    <w:rsid w:val="780A4248"/>
    <w:rsid w:val="780B62EA"/>
    <w:rsid w:val="780C8CB4"/>
    <w:rsid w:val="780D8E2C"/>
    <w:rsid w:val="780EDFAB"/>
    <w:rsid w:val="780FFB2A"/>
    <w:rsid w:val="7812FB15"/>
    <w:rsid w:val="7813411F"/>
    <w:rsid w:val="78149AEE"/>
    <w:rsid w:val="78163211"/>
    <w:rsid w:val="7816377C"/>
    <w:rsid w:val="7816C45C"/>
    <w:rsid w:val="7817479F"/>
    <w:rsid w:val="781CF292"/>
    <w:rsid w:val="78220FC8"/>
    <w:rsid w:val="7822A09F"/>
    <w:rsid w:val="782390CE"/>
    <w:rsid w:val="78296BFF"/>
    <w:rsid w:val="782A727C"/>
    <w:rsid w:val="782AC74E"/>
    <w:rsid w:val="782C1C74"/>
    <w:rsid w:val="782D045C"/>
    <w:rsid w:val="782D4E98"/>
    <w:rsid w:val="782DFA70"/>
    <w:rsid w:val="782E3314"/>
    <w:rsid w:val="782E8439"/>
    <w:rsid w:val="782F04CD"/>
    <w:rsid w:val="782FEDE5"/>
    <w:rsid w:val="78309C1E"/>
    <w:rsid w:val="78324632"/>
    <w:rsid w:val="783295BB"/>
    <w:rsid w:val="78329A37"/>
    <w:rsid w:val="78330E9D"/>
    <w:rsid w:val="78338FA8"/>
    <w:rsid w:val="7834D60D"/>
    <w:rsid w:val="783717B8"/>
    <w:rsid w:val="7838CE30"/>
    <w:rsid w:val="7838D89A"/>
    <w:rsid w:val="783AFE93"/>
    <w:rsid w:val="783C0EA6"/>
    <w:rsid w:val="783CDEF9"/>
    <w:rsid w:val="783D4279"/>
    <w:rsid w:val="783E3550"/>
    <w:rsid w:val="784004D5"/>
    <w:rsid w:val="7840E2B8"/>
    <w:rsid w:val="7841BE1D"/>
    <w:rsid w:val="78453F57"/>
    <w:rsid w:val="78455F47"/>
    <w:rsid w:val="784751FF"/>
    <w:rsid w:val="784A6257"/>
    <w:rsid w:val="784BCCBD"/>
    <w:rsid w:val="784D4FD5"/>
    <w:rsid w:val="784EF92F"/>
    <w:rsid w:val="784F930C"/>
    <w:rsid w:val="785043F8"/>
    <w:rsid w:val="78514EA4"/>
    <w:rsid w:val="7852D82F"/>
    <w:rsid w:val="78534B4D"/>
    <w:rsid w:val="7858C7B4"/>
    <w:rsid w:val="7858DA94"/>
    <w:rsid w:val="785A7B82"/>
    <w:rsid w:val="785A86D2"/>
    <w:rsid w:val="785AB32C"/>
    <w:rsid w:val="785B8664"/>
    <w:rsid w:val="785C5F07"/>
    <w:rsid w:val="785E4666"/>
    <w:rsid w:val="785FE7EE"/>
    <w:rsid w:val="78629480"/>
    <w:rsid w:val="7862A512"/>
    <w:rsid w:val="7862E798"/>
    <w:rsid w:val="78659333"/>
    <w:rsid w:val="7867951A"/>
    <w:rsid w:val="7867E029"/>
    <w:rsid w:val="78686701"/>
    <w:rsid w:val="786B6071"/>
    <w:rsid w:val="786C8380"/>
    <w:rsid w:val="786D48B1"/>
    <w:rsid w:val="786D81A4"/>
    <w:rsid w:val="786DB64E"/>
    <w:rsid w:val="786F9E80"/>
    <w:rsid w:val="78701CF4"/>
    <w:rsid w:val="7870C7A7"/>
    <w:rsid w:val="7872B511"/>
    <w:rsid w:val="7873850F"/>
    <w:rsid w:val="7874940D"/>
    <w:rsid w:val="78749DFD"/>
    <w:rsid w:val="787629CA"/>
    <w:rsid w:val="7876651F"/>
    <w:rsid w:val="78792E0E"/>
    <w:rsid w:val="7879D2AF"/>
    <w:rsid w:val="787A5CDC"/>
    <w:rsid w:val="787C158D"/>
    <w:rsid w:val="787C3E02"/>
    <w:rsid w:val="787D1DEA"/>
    <w:rsid w:val="787D3146"/>
    <w:rsid w:val="787DA82F"/>
    <w:rsid w:val="787FC4BB"/>
    <w:rsid w:val="78810076"/>
    <w:rsid w:val="7881DAEE"/>
    <w:rsid w:val="7886CE0A"/>
    <w:rsid w:val="7888D625"/>
    <w:rsid w:val="788A7BF5"/>
    <w:rsid w:val="788C4CC8"/>
    <w:rsid w:val="788CAFF7"/>
    <w:rsid w:val="788D1D1F"/>
    <w:rsid w:val="788FCBFE"/>
    <w:rsid w:val="78904DF3"/>
    <w:rsid w:val="7890856F"/>
    <w:rsid w:val="7891D905"/>
    <w:rsid w:val="7891ECB7"/>
    <w:rsid w:val="78926D9D"/>
    <w:rsid w:val="7892D00F"/>
    <w:rsid w:val="7894D878"/>
    <w:rsid w:val="7894DDAE"/>
    <w:rsid w:val="78968BFC"/>
    <w:rsid w:val="7896E6D1"/>
    <w:rsid w:val="7897BBAB"/>
    <w:rsid w:val="7897C8D8"/>
    <w:rsid w:val="78988787"/>
    <w:rsid w:val="789B8353"/>
    <w:rsid w:val="789DF9A2"/>
    <w:rsid w:val="789E12B2"/>
    <w:rsid w:val="789EDA2B"/>
    <w:rsid w:val="78A0680D"/>
    <w:rsid w:val="78A0ED97"/>
    <w:rsid w:val="78A2B6C8"/>
    <w:rsid w:val="78A3269C"/>
    <w:rsid w:val="78A450AF"/>
    <w:rsid w:val="78A5AC78"/>
    <w:rsid w:val="78A65989"/>
    <w:rsid w:val="78A782A3"/>
    <w:rsid w:val="78A78EF3"/>
    <w:rsid w:val="78A79957"/>
    <w:rsid w:val="78A857C5"/>
    <w:rsid w:val="78A956B9"/>
    <w:rsid w:val="78A9E3CD"/>
    <w:rsid w:val="78AAD1A0"/>
    <w:rsid w:val="78ABA70B"/>
    <w:rsid w:val="78AE153F"/>
    <w:rsid w:val="78AE289A"/>
    <w:rsid w:val="78AE5404"/>
    <w:rsid w:val="78AEC367"/>
    <w:rsid w:val="78AEDD60"/>
    <w:rsid w:val="78B138D8"/>
    <w:rsid w:val="78B195D9"/>
    <w:rsid w:val="78B1CEA4"/>
    <w:rsid w:val="78B1F6C3"/>
    <w:rsid w:val="78B2220D"/>
    <w:rsid w:val="78B2AE4B"/>
    <w:rsid w:val="78B35701"/>
    <w:rsid w:val="78B67309"/>
    <w:rsid w:val="78B7714A"/>
    <w:rsid w:val="78B79368"/>
    <w:rsid w:val="78B856CE"/>
    <w:rsid w:val="78B9959D"/>
    <w:rsid w:val="78B9CE4A"/>
    <w:rsid w:val="78BA07F7"/>
    <w:rsid w:val="78BAA354"/>
    <w:rsid w:val="78BBB192"/>
    <w:rsid w:val="78BC1803"/>
    <w:rsid w:val="78BC75D1"/>
    <w:rsid w:val="78BEEBC5"/>
    <w:rsid w:val="78C124AC"/>
    <w:rsid w:val="78C1ACA4"/>
    <w:rsid w:val="78C4725A"/>
    <w:rsid w:val="78C626F4"/>
    <w:rsid w:val="78C6E40D"/>
    <w:rsid w:val="78CC3D00"/>
    <w:rsid w:val="78CD0568"/>
    <w:rsid w:val="78CD322A"/>
    <w:rsid w:val="78CE6ADD"/>
    <w:rsid w:val="78CF1FE1"/>
    <w:rsid w:val="78D23587"/>
    <w:rsid w:val="78D247AE"/>
    <w:rsid w:val="78D3ACA8"/>
    <w:rsid w:val="78D5D47F"/>
    <w:rsid w:val="78D5E7A7"/>
    <w:rsid w:val="78D7C34F"/>
    <w:rsid w:val="78D7DD2A"/>
    <w:rsid w:val="78D80F5F"/>
    <w:rsid w:val="78D81932"/>
    <w:rsid w:val="78DA651A"/>
    <w:rsid w:val="78DB6968"/>
    <w:rsid w:val="78DB86DD"/>
    <w:rsid w:val="78DD2B30"/>
    <w:rsid w:val="78E130BE"/>
    <w:rsid w:val="78E1A477"/>
    <w:rsid w:val="78E4C1A9"/>
    <w:rsid w:val="78E518BB"/>
    <w:rsid w:val="78E74BE1"/>
    <w:rsid w:val="78E7DCA3"/>
    <w:rsid w:val="78EBA8AF"/>
    <w:rsid w:val="78ED4D74"/>
    <w:rsid w:val="78EE7D70"/>
    <w:rsid w:val="78EF4249"/>
    <w:rsid w:val="78EFCDFC"/>
    <w:rsid w:val="78F29DA8"/>
    <w:rsid w:val="78F4D1E4"/>
    <w:rsid w:val="78F4DE00"/>
    <w:rsid w:val="78F6ACF1"/>
    <w:rsid w:val="78F85319"/>
    <w:rsid w:val="78F882A1"/>
    <w:rsid w:val="78FA74AF"/>
    <w:rsid w:val="78FC2D90"/>
    <w:rsid w:val="78FC68C7"/>
    <w:rsid w:val="78FFD402"/>
    <w:rsid w:val="7900E81E"/>
    <w:rsid w:val="79012C6C"/>
    <w:rsid w:val="7902235C"/>
    <w:rsid w:val="7902A591"/>
    <w:rsid w:val="7902C7C5"/>
    <w:rsid w:val="7903D691"/>
    <w:rsid w:val="7903E240"/>
    <w:rsid w:val="79041758"/>
    <w:rsid w:val="79048AD2"/>
    <w:rsid w:val="790B3D38"/>
    <w:rsid w:val="790C9A10"/>
    <w:rsid w:val="790E0A78"/>
    <w:rsid w:val="790FCD76"/>
    <w:rsid w:val="7910881E"/>
    <w:rsid w:val="7912EC97"/>
    <w:rsid w:val="7917659E"/>
    <w:rsid w:val="791BA3CE"/>
    <w:rsid w:val="791CA249"/>
    <w:rsid w:val="791D7E1F"/>
    <w:rsid w:val="791E1748"/>
    <w:rsid w:val="791E1B21"/>
    <w:rsid w:val="7922C801"/>
    <w:rsid w:val="79239DF8"/>
    <w:rsid w:val="79243CB9"/>
    <w:rsid w:val="79284289"/>
    <w:rsid w:val="79292591"/>
    <w:rsid w:val="792A1235"/>
    <w:rsid w:val="792A2F7A"/>
    <w:rsid w:val="792A7658"/>
    <w:rsid w:val="792B0B32"/>
    <w:rsid w:val="792B1D1E"/>
    <w:rsid w:val="792C2201"/>
    <w:rsid w:val="792DDE30"/>
    <w:rsid w:val="792E45B8"/>
    <w:rsid w:val="792FAB92"/>
    <w:rsid w:val="793219E4"/>
    <w:rsid w:val="79324080"/>
    <w:rsid w:val="79332C30"/>
    <w:rsid w:val="79351CDF"/>
    <w:rsid w:val="79365010"/>
    <w:rsid w:val="7937A79C"/>
    <w:rsid w:val="79394A01"/>
    <w:rsid w:val="793C7233"/>
    <w:rsid w:val="793C9B0D"/>
    <w:rsid w:val="794160BD"/>
    <w:rsid w:val="79421730"/>
    <w:rsid w:val="7942B3E9"/>
    <w:rsid w:val="7942FFFE"/>
    <w:rsid w:val="79447F9B"/>
    <w:rsid w:val="7944CD3A"/>
    <w:rsid w:val="7944DD20"/>
    <w:rsid w:val="7945727C"/>
    <w:rsid w:val="79460548"/>
    <w:rsid w:val="79468957"/>
    <w:rsid w:val="7946D485"/>
    <w:rsid w:val="79485E83"/>
    <w:rsid w:val="7949B8FA"/>
    <w:rsid w:val="794A5B0D"/>
    <w:rsid w:val="794A8EAF"/>
    <w:rsid w:val="794B680F"/>
    <w:rsid w:val="794C1403"/>
    <w:rsid w:val="794D48C3"/>
    <w:rsid w:val="794F6F5D"/>
    <w:rsid w:val="7953466C"/>
    <w:rsid w:val="7956E7B4"/>
    <w:rsid w:val="7957EC49"/>
    <w:rsid w:val="79595638"/>
    <w:rsid w:val="79597A31"/>
    <w:rsid w:val="795E49AA"/>
    <w:rsid w:val="7967C2BD"/>
    <w:rsid w:val="796A8DD9"/>
    <w:rsid w:val="796B58DF"/>
    <w:rsid w:val="796BC4CA"/>
    <w:rsid w:val="796C25F0"/>
    <w:rsid w:val="796CCA46"/>
    <w:rsid w:val="796DE686"/>
    <w:rsid w:val="796E5877"/>
    <w:rsid w:val="796FD0DE"/>
    <w:rsid w:val="79790CE7"/>
    <w:rsid w:val="797B70A8"/>
    <w:rsid w:val="797CDF8F"/>
    <w:rsid w:val="798163D8"/>
    <w:rsid w:val="7982E2AF"/>
    <w:rsid w:val="7984DA3D"/>
    <w:rsid w:val="7985322E"/>
    <w:rsid w:val="798628F6"/>
    <w:rsid w:val="79894B60"/>
    <w:rsid w:val="798B77EB"/>
    <w:rsid w:val="798BAF61"/>
    <w:rsid w:val="798D2672"/>
    <w:rsid w:val="798D7C90"/>
    <w:rsid w:val="79912635"/>
    <w:rsid w:val="799151D1"/>
    <w:rsid w:val="79918ECF"/>
    <w:rsid w:val="799409A7"/>
    <w:rsid w:val="7994797D"/>
    <w:rsid w:val="7997B25B"/>
    <w:rsid w:val="799BE8EA"/>
    <w:rsid w:val="799DCB57"/>
    <w:rsid w:val="799DCC47"/>
    <w:rsid w:val="79A30647"/>
    <w:rsid w:val="79A43A95"/>
    <w:rsid w:val="79A5B87A"/>
    <w:rsid w:val="79A5BC01"/>
    <w:rsid w:val="79A5CDCD"/>
    <w:rsid w:val="79A75316"/>
    <w:rsid w:val="79A856FC"/>
    <w:rsid w:val="79AAFBFE"/>
    <w:rsid w:val="79B15F7F"/>
    <w:rsid w:val="79B2224C"/>
    <w:rsid w:val="79B523E1"/>
    <w:rsid w:val="79B58E69"/>
    <w:rsid w:val="79B71685"/>
    <w:rsid w:val="79B850ED"/>
    <w:rsid w:val="79B992B3"/>
    <w:rsid w:val="79B9C2F3"/>
    <w:rsid w:val="79BB227B"/>
    <w:rsid w:val="79BB2621"/>
    <w:rsid w:val="79BD3DD6"/>
    <w:rsid w:val="79BE173C"/>
    <w:rsid w:val="79C209BD"/>
    <w:rsid w:val="79C353AA"/>
    <w:rsid w:val="79C40FD8"/>
    <w:rsid w:val="79C4E347"/>
    <w:rsid w:val="79C62D6B"/>
    <w:rsid w:val="79C836D6"/>
    <w:rsid w:val="79CA0377"/>
    <w:rsid w:val="79CB984F"/>
    <w:rsid w:val="79CBC20D"/>
    <w:rsid w:val="79CC1F70"/>
    <w:rsid w:val="79CCC8B6"/>
    <w:rsid w:val="79CCEBF5"/>
    <w:rsid w:val="79CE2F46"/>
    <w:rsid w:val="79CE7435"/>
    <w:rsid w:val="79CEC38A"/>
    <w:rsid w:val="79D2FB83"/>
    <w:rsid w:val="79D37B30"/>
    <w:rsid w:val="79D47606"/>
    <w:rsid w:val="79D69673"/>
    <w:rsid w:val="79D69AC2"/>
    <w:rsid w:val="79D6E34D"/>
    <w:rsid w:val="79D7E100"/>
    <w:rsid w:val="79DA155C"/>
    <w:rsid w:val="79DBC526"/>
    <w:rsid w:val="79DBD69B"/>
    <w:rsid w:val="79DD255D"/>
    <w:rsid w:val="79DDEC5F"/>
    <w:rsid w:val="79DF36BA"/>
    <w:rsid w:val="79DF9ADF"/>
    <w:rsid w:val="79E2A5D5"/>
    <w:rsid w:val="79E3AE53"/>
    <w:rsid w:val="79E9EC89"/>
    <w:rsid w:val="79EA4F57"/>
    <w:rsid w:val="79EB8C23"/>
    <w:rsid w:val="79EC4824"/>
    <w:rsid w:val="79EF9DEE"/>
    <w:rsid w:val="79F1D704"/>
    <w:rsid w:val="79F1E907"/>
    <w:rsid w:val="79F2FB33"/>
    <w:rsid w:val="79F48B71"/>
    <w:rsid w:val="79F6311B"/>
    <w:rsid w:val="79F66391"/>
    <w:rsid w:val="79FA985A"/>
    <w:rsid w:val="79FBD45C"/>
    <w:rsid w:val="79FC111A"/>
    <w:rsid w:val="79FDBD02"/>
    <w:rsid w:val="79FED60C"/>
    <w:rsid w:val="79FFEE9B"/>
    <w:rsid w:val="7A061C5B"/>
    <w:rsid w:val="7A082938"/>
    <w:rsid w:val="7A09F668"/>
    <w:rsid w:val="7A0A190F"/>
    <w:rsid w:val="7A0B5D7F"/>
    <w:rsid w:val="7A0C4E14"/>
    <w:rsid w:val="7A0C7C19"/>
    <w:rsid w:val="7A0CCA0C"/>
    <w:rsid w:val="7A0D94AE"/>
    <w:rsid w:val="7A0E0A26"/>
    <w:rsid w:val="7A0E9F50"/>
    <w:rsid w:val="7A0EAF22"/>
    <w:rsid w:val="7A0EFB84"/>
    <w:rsid w:val="7A0F0161"/>
    <w:rsid w:val="7A10DB85"/>
    <w:rsid w:val="7A122B3E"/>
    <w:rsid w:val="7A14C5F0"/>
    <w:rsid w:val="7A16A921"/>
    <w:rsid w:val="7A16AE25"/>
    <w:rsid w:val="7A191A7D"/>
    <w:rsid w:val="7A1A08CC"/>
    <w:rsid w:val="7A1ADACA"/>
    <w:rsid w:val="7A1D407E"/>
    <w:rsid w:val="7A1DF3B3"/>
    <w:rsid w:val="7A1F8E65"/>
    <w:rsid w:val="7A208416"/>
    <w:rsid w:val="7A222C70"/>
    <w:rsid w:val="7A24D81B"/>
    <w:rsid w:val="7A261B03"/>
    <w:rsid w:val="7A268364"/>
    <w:rsid w:val="7A26D8C7"/>
    <w:rsid w:val="7A285D12"/>
    <w:rsid w:val="7A2884F8"/>
    <w:rsid w:val="7A296AB8"/>
    <w:rsid w:val="7A29A2C8"/>
    <w:rsid w:val="7A29A787"/>
    <w:rsid w:val="7A2B9CEF"/>
    <w:rsid w:val="7A2C53BF"/>
    <w:rsid w:val="7A2D8D4B"/>
    <w:rsid w:val="7A336930"/>
    <w:rsid w:val="7A348870"/>
    <w:rsid w:val="7A350A7F"/>
    <w:rsid w:val="7A357AB9"/>
    <w:rsid w:val="7A35D6E5"/>
    <w:rsid w:val="7A387FC8"/>
    <w:rsid w:val="7A38D39A"/>
    <w:rsid w:val="7A393D35"/>
    <w:rsid w:val="7A399426"/>
    <w:rsid w:val="7A3A9A9C"/>
    <w:rsid w:val="7A403594"/>
    <w:rsid w:val="7A4489AC"/>
    <w:rsid w:val="7A44FC2F"/>
    <w:rsid w:val="7A45D462"/>
    <w:rsid w:val="7A49889B"/>
    <w:rsid w:val="7A4BF7D6"/>
    <w:rsid w:val="7A4E8133"/>
    <w:rsid w:val="7A4ED9AC"/>
    <w:rsid w:val="7A4EE9EB"/>
    <w:rsid w:val="7A519E4F"/>
    <w:rsid w:val="7A51C0A2"/>
    <w:rsid w:val="7A51EFD5"/>
    <w:rsid w:val="7A565042"/>
    <w:rsid w:val="7A56B8C3"/>
    <w:rsid w:val="7A572553"/>
    <w:rsid w:val="7A58D172"/>
    <w:rsid w:val="7A5A6779"/>
    <w:rsid w:val="7A5CBAF0"/>
    <w:rsid w:val="7A5CFA6B"/>
    <w:rsid w:val="7A5F81FE"/>
    <w:rsid w:val="7A60BD80"/>
    <w:rsid w:val="7A62C7B5"/>
    <w:rsid w:val="7A668914"/>
    <w:rsid w:val="7A68A9A1"/>
    <w:rsid w:val="7A68CA44"/>
    <w:rsid w:val="7A69BDC9"/>
    <w:rsid w:val="7A6AB33F"/>
    <w:rsid w:val="7A6F5625"/>
    <w:rsid w:val="7A70C3E2"/>
    <w:rsid w:val="7A747FD4"/>
    <w:rsid w:val="7A74F794"/>
    <w:rsid w:val="7A75D73B"/>
    <w:rsid w:val="7A76EBD9"/>
    <w:rsid w:val="7A77123A"/>
    <w:rsid w:val="7A789100"/>
    <w:rsid w:val="7A791C3D"/>
    <w:rsid w:val="7A7A46C6"/>
    <w:rsid w:val="7A7B82DE"/>
    <w:rsid w:val="7A7DFDF9"/>
    <w:rsid w:val="7A7E7AAC"/>
    <w:rsid w:val="7A7F2D7C"/>
    <w:rsid w:val="7A81F37E"/>
    <w:rsid w:val="7A8264BB"/>
    <w:rsid w:val="7A83F7B7"/>
    <w:rsid w:val="7A882C8B"/>
    <w:rsid w:val="7A89A073"/>
    <w:rsid w:val="7A8AC305"/>
    <w:rsid w:val="7A8B896F"/>
    <w:rsid w:val="7A8C2C95"/>
    <w:rsid w:val="7A8C9066"/>
    <w:rsid w:val="7A8C971E"/>
    <w:rsid w:val="7A903AF7"/>
    <w:rsid w:val="7A90938F"/>
    <w:rsid w:val="7A91436E"/>
    <w:rsid w:val="7A96EC14"/>
    <w:rsid w:val="7A994047"/>
    <w:rsid w:val="7A99BF00"/>
    <w:rsid w:val="7A9DFE61"/>
    <w:rsid w:val="7A9E7BD4"/>
    <w:rsid w:val="7A9F11B4"/>
    <w:rsid w:val="7A9FB972"/>
    <w:rsid w:val="7AA0FDBB"/>
    <w:rsid w:val="7AA57135"/>
    <w:rsid w:val="7AA681FF"/>
    <w:rsid w:val="7AA704C1"/>
    <w:rsid w:val="7AAB1036"/>
    <w:rsid w:val="7AAD2C8E"/>
    <w:rsid w:val="7AAD616D"/>
    <w:rsid w:val="7AAFA539"/>
    <w:rsid w:val="7AB013AC"/>
    <w:rsid w:val="7AB069BF"/>
    <w:rsid w:val="7AB09D04"/>
    <w:rsid w:val="7AB1FF02"/>
    <w:rsid w:val="7AB2BE34"/>
    <w:rsid w:val="7AB36E78"/>
    <w:rsid w:val="7AB5DE81"/>
    <w:rsid w:val="7AB5FDE1"/>
    <w:rsid w:val="7AB706BB"/>
    <w:rsid w:val="7AB7CC9B"/>
    <w:rsid w:val="7AB8F2F4"/>
    <w:rsid w:val="7AB8F9E9"/>
    <w:rsid w:val="7AB97AEF"/>
    <w:rsid w:val="7ABCE92C"/>
    <w:rsid w:val="7ABDC35F"/>
    <w:rsid w:val="7AC2CFA3"/>
    <w:rsid w:val="7AC3B1D3"/>
    <w:rsid w:val="7AC77F14"/>
    <w:rsid w:val="7ACA8D06"/>
    <w:rsid w:val="7ACAA698"/>
    <w:rsid w:val="7ACE6CAD"/>
    <w:rsid w:val="7AD16D7D"/>
    <w:rsid w:val="7AD2A9A1"/>
    <w:rsid w:val="7AD2E251"/>
    <w:rsid w:val="7AD4BAC2"/>
    <w:rsid w:val="7AD51A34"/>
    <w:rsid w:val="7AD954D8"/>
    <w:rsid w:val="7ADCFA88"/>
    <w:rsid w:val="7ADDFBE2"/>
    <w:rsid w:val="7AE11297"/>
    <w:rsid w:val="7AE398B3"/>
    <w:rsid w:val="7AE75E1B"/>
    <w:rsid w:val="7AE8C034"/>
    <w:rsid w:val="7AE96B41"/>
    <w:rsid w:val="7AE99424"/>
    <w:rsid w:val="7AEB4332"/>
    <w:rsid w:val="7AEC7A47"/>
    <w:rsid w:val="7AECF9DC"/>
    <w:rsid w:val="7AF64E04"/>
    <w:rsid w:val="7AF8E2FA"/>
    <w:rsid w:val="7AF96487"/>
    <w:rsid w:val="7AFBB457"/>
    <w:rsid w:val="7AFD61C3"/>
    <w:rsid w:val="7AFDB650"/>
    <w:rsid w:val="7AFF2E47"/>
    <w:rsid w:val="7AFFC029"/>
    <w:rsid w:val="7AFFCBCD"/>
    <w:rsid w:val="7B006892"/>
    <w:rsid w:val="7B0136BF"/>
    <w:rsid w:val="7B02BD7A"/>
    <w:rsid w:val="7B039FBE"/>
    <w:rsid w:val="7B04FBE3"/>
    <w:rsid w:val="7B076A81"/>
    <w:rsid w:val="7B0886BC"/>
    <w:rsid w:val="7B09D40E"/>
    <w:rsid w:val="7B0B1EE4"/>
    <w:rsid w:val="7B0BB50F"/>
    <w:rsid w:val="7B0CFB51"/>
    <w:rsid w:val="7B0CFC81"/>
    <w:rsid w:val="7B0E13DC"/>
    <w:rsid w:val="7B0E1FAB"/>
    <w:rsid w:val="7B0FFEF3"/>
    <w:rsid w:val="7B100AEF"/>
    <w:rsid w:val="7B110EB0"/>
    <w:rsid w:val="7B11F3B1"/>
    <w:rsid w:val="7B127CCD"/>
    <w:rsid w:val="7B14088D"/>
    <w:rsid w:val="7B148750"/>
    <w:rsid w:val="7B151944"/>
    <w:rsid w:val="7B17A9C0"/>
    <w:rsid w:val="7B1808AD"/>
    <w:rsid w:val="7B1816AC"/>
    <w:rsid w:val="7B194620"/>
    <w:rsid w:val="7B1BBA2B"/>
    <w:rsid w:val="7B1C2C22"/>
    <w:rsid w:val="7B1D0922"/>
    <w:rsid w:val="7B1DCA2E"/>
    <w:rsid w:val="7B1DE9D4"/>
    <w:rsid w:val="7B2083F5"/>
    <w:rsid w:val="7B21D018"/>
    <w:rsid w:val="7B245F90"/>
    <w:rsid w:val="7B24B33C"/>
    <w:rsid w:val="7B2D0D6B"/>
    <w:rsid w:val="7B2E76D5"/>
    <w:rsid w:val="7B2EE337"/>
    <w:rsid w:val="7B2F04B1"/>
    <w:rsid w:val="7B2FF179"/>
    <w:rsid w:val="7B31354B"/>
    <w:rsid w:val="7B3171EA"/>
    <w:rsid w:val="7B327AE5"/>
    <w:rsid w:val="7B32C00C"/>
    <w:rsid w:val="7B34CAB3"/>
    <w:rsid w:val="7B351CF6"/>
    <w:rsid w:val="7B37BB3F"/>
    <w:rsid w:val="7B3D2A61"/>
    <w:rsid w:val="7B4327B9"/>
    <w:rsid w:val="7B44255F"/>
    <w:rsid w:val="7B445551"/>
    <w:rsid w:val="7B44DF8D"/>
    <w:rsid w:val="7B47A4B1"/>
    <w:rsid w:val="7B48C2C1"/>
    <w:rsid w:val="7B4A40DF"/>
    <w:rsid w:val="7B4A4316"/>
    <w:rsid w:val="7B4ADA46"/>
    <w:rsid w:val="7B4B4E0A"/>
    <w:rsid w:val="7B4D02D5"/>
    <w:rsid w:val="7B4D8631"/>
    <w:rsid w:val="7B509429"/>
    <w:rsid w:val="7B509555"/>
    <w:rsid w:val="7B5248A7"/>
    <w:rsid w:val="7B549384"/>
    <w:rsid w:val="7B54CF35"/>
    <w:rsid w:val="7B54DE30"/>
    <w:rsid w:val="7B55C995"/>
    <w:rsid w:val="7B55EEB9"/>
    <w:rsid w:val="7B57142F"/>
    <w:rsid w:val="7B57931F"/>
    <w:rsid w:val="7B57E1C2"/>
    <w:rsid w:val="7B585AD8"/>
    <w:rsid w:val="7B5A7A19"/>
    <w:rsid w:val="7B5B01A6"/>
    <w:rsid w:val="7B5B11D1"/>
    <w:rsid w:val="7B5D3A28"/>
    <w:rsid w:val="7B5DA91F"/>
    <w:rsid w:val="7B5F526F"/>
    <w:rsid w:val="7B5F95A6"/>
    <w:rsid w:val="7B6455D0"/>
    <w:rsid w:val="7B68A88A"/>
    <w:rsid w:val="7B68B38A"/>
    <w:rsid w:val="7B6A01EF"/>
    <w:rsid w:val="7B6A3A02"/>
    <w:rsid w:val="7B6B78CF"/>
    <w:rsid w:val="7B6C9525"/>
    <w:rsid w:val="7B6F1BF7"/>
    <w:rsid w:val="7B715937"/>
    <w:rsid w:val="7B717EDF"/>
    <w:rsid w:val="7B71E45F"/>
    <w:rsid w:val="7B724FEB"/>
    <w:rsid w:val="7B758C34"/>
    <w:rsid w:val="7B7954D7"/>
    <w:rsid w:val="7B7ACB58"/>
    <w:rsid w:val="7B7CBDBE"/>
    <w:rsid w:val="7B7D53BE"/>
    <w:rsid w:val="7B814872"/>
    <w:rsid w:val="7B8570F0"/>
    <w:rsid w:val="7B88CCD4"/>
    <w:rsid w:val="7B8ABB35"/>
    <w:rsid w:val="7B8AD2D3"/>
    <w:rsid w:val="7B8D7DB4"/>
    <w:rsid w:val="7B916FFC"/>
    <w:rsid w:val="7B92553E"/>
    <w:rsid w:val="7B92A0FF"/>
    <w:rsid w:val="7B93170B"/>
    <w:rsid w:val="7B9396D2"/>
    <w:rsid w:val="7B93A5E5"/>
    <w:rsid w:val="7B9463B9"/>
    <w:rsid w:val="7B97E3BA"/>
    <w:rsid w:val="7B986A81"/>
    <w:rsid w:val="7B9AB06E"/>
    <w:rsid w:val="7B9C3D05"/>
    <w:rsid w:val="7B9D9CA8"/>
    <w:rsid w:val="7B9F696F"/>
    <w:rsid w:val="7B9F6B20"/>
    <w:rsid w:val="7BA07EEF"/>
    <w:rsid w:val="7BA0D97F"/>
    <w:rsid w:val="7BA10CDA"/>
    <w:rsid w:val="7BA25504"/>
    <w:rsid w:val="7BA32727"/>
    <w:rsid w:val="7BA3E568"/>
    <w:rsid w:val="7BA568C5"/>
    <w:rsid w:val="7BA80900"/>
    <w:rsid w:val="7BA88A51"/>
    <w:rsid w:val="7BA97FF8"/>
    <w:rsid w:val="7BAA13BF"/>
    <w:rsid w:val="7BAE1C8C"/>
    <w:rsid w:val="7BAEA880"/>
    <w:rsid w:val="7BB2164C"/>
    <w:rsid w:val="7BB29D92"/>
    <w:rsid w:val="7BB29F06"/>
    <w:rsid w:val="7BB4AA6A"/>
    <w:rsid w:val="7BB70785"/>
    <w:rsid w:val="7BB75724"/>
    <w:rsid w:val="7BB7D0D7"/>
    <w:rsid w:val="7BB8627C"/>
    <w:rsid w:val="7BBA4D85"/>
    <w:rsid w:val="7BBA96E1"/>
    <w:rsid w:val="7BBB049F"/>
    <w:rsid w:val="7BBBAF7A"/>
    <w:rsid w:val="7BBC60F5"/>
    <w:rsid w:val="7BBD9685"/>
    <w:rsid w:val="7BBFC94C"/>
    <w:rsid w:val="7BC0A3C1"/>
    <w:rsid w:val="7BC1D240"/>
    <w:rsid w:val="7BC35823"/>
    <w:rsid w:val="7BC46E8D"/>
    <w:rsid w:val="7BC73AA9"/>
    <w:rsid w:val="7BC82112"/>
    <w:rsid w:val="7BC8F753"/>
    <w:rsid w:val="7BCA2256"/>
    <w:rsid w:val="7BCA57AF"/>
    <w:rsid w:val="7BCD02A1"/>
    <w:rsid w:val="7BCD59E9"/>
    <w:rsid w:val="7BCF1D09"/>
    <w:rsid w:val="7BD25C17"/>
    <w:rsid w:val="7BD269FF"/>
    <w:rsid w:val="7BD26EED"/>
    <w:rsid w:val="7BD34A89"/>
    <w:rsid w:val="7BD3F536"/>
    <w:rsid w:val="7BD44641"/>
    <w:rsid w:val="7BD4CD0E"/>
    <w:rsid w:val="7BD9F7F9"/>
    <w:rsid w:val="7BDC028F"/>
    <w:rsid w:val="7BDE9F4D"/>
    <w:rsid w:val="7BE0E790"/>
    <w:rsid w:val="7BE72723"/>
    <w:rsid w:val="7BEE30B6"/>
    <w:rsid w:val="7BEF579F"/>
    <w:rsid w:val="7BEFDC21"/>
    <w:rsid w:val="7BF23AAB"/>
    <w:rsid w:val="7BF275A4"/>
    <w:rsid w:val="7BF3CA94"/>
    <w:rsid w:val="7BF7DD96"/>
    <w:rsid w:val="7BF88230"/>
    <w:rsid w:val="7BFA5977"/>
    <w:rsid w:val="7BFCB42A"/>
    <w:rsid w:val="7BFCB4FB"/>
    <w:rsid w:val="7BFE92FF"/>
    <w:rsid w:val="7C004426"/>
    <w:rsid w:val="7C021EF4"/>
    <w:rsid w:val="7C029100"/>
    <w:rsid w:val="7C03FA26"/>
    <w:rsid w:val="7C06FD5C"/>
    <w:rsid w:val="7C07162B"/>
    <w:rsid w:val="7C0790F9"/>
    <w:rsid w:val="7C07A011"/>
    <w:rsid w:val="7C080442"/>
    <w:rsid w:val="7C084584"/>
    <w:rsid w:val="7C0C339E"/>
    <w:rsid w:val="7C0E90AB"/>
    <w:rsid w:val="7C0FADD1"/>
    <w:rsid w:val="7C10E5F2"/>
    <w:rsid w:val="7C11BF03"/>
    <w:rsid w:val="7C12B83E"/>
    <w:rsid w:val="7C140B1E"/>
    <w:rsid w:val="7C1426D9"/>
    <w:rsid w:val="7C15A7BE"/>
    <w:rsid w:val="7C16D6FF"/>
    <w:rsid w:val="7C176C17"/>
    <w:rsid w:val="7C177718"/>
    <w:rsid w:val="7C198F8F"/>
    <w:rsid w:val="7C1B2E3F"/>
    <w:rsid w:val="7C1D32BF"/>
    <w:rsid w:val="7C1EE1A9"/>
    <w:rsid w:val="7C1F6BB2"/>
    <w:rsid w:val="7C20E975"/>
    <w:rsid w:val="7C20F69E"/>
    <w:rsid w:val="7C213980"/>
    <w:rsid w:val="7C21D9B8"/>
    <w:rsid w:val="7C2225DB"/>
    <w:rsid w:val="7C23DB32"/>
    <w:rsid w:val="7C25710F"/>
    <w:rsid w:val="7C25AF8C"/>
    <w:rsid w:val="7C2610F1"/>
    <w:rsid w:val="7C265A9C"/>
    <w:rsid w:val="7C27CE61"/>
    <w:rsid w:val="7C2B4624"/>
    <w:rsid w:val="7C2D6E4B"/>
    <w:rsid w:val="7C2E2466"/>
    <w:rsid w:val="7C2F97AE"/>
    <w:rsid w:val="7C3127B7"/>
    <w:rsid w:val="7C314565"/>
    <w:rsid w:val="7C318B6C"/>
    <w:rsid w:val="7C3303BA"/>
    <w:rsid w:val="7C330C9B"/>
    <w:rsid w:val="7C34998D"/>
    <w:rsid w:val="7C34B8CE"/>
    <w:rsid w:val="7C34CF60"/>
    <w:rsid w:val="7C356FEB"/>
    <w:rsid w:val="7C35E4DF"/>
    <w:rsid w:val="7C375895"/>
    <w:rsid w:val="7C3A9254"/>
    <w:rsid w:val="7C408A2B"/>
    <w:rsid w:val="7C415DE3"/>
    <w:rsid w:val="7C4349C1"/>
    <w:rsid w:val="7C47CEE6"/>
    <w:rsid w:val="7C48A2AC"/>
    <w:rsid w:val="7C4A936E"/>
    <w:rsid w:val="7C4D278E"/>
    <w:rsid w:val="7C4D8C3B"/>
    <w:rsid w:val="7C4E31F4"/>
    <w:rsid w:val="7C4F24FE"/>
    <w:rsid w:val="7C4F9CBC"/>
    <w:rsid w:val="7C51E7D9"/>
    <w:rsid w:val="7C5217B9"/>
    <w:rsid w:val="7C5236B9"/>
    <w:rsid w:val="7C54C010"/>
    <w:rsid w:val="7C55E498"/>
    <w:rsid w:val="7C57EBF8"/>
    <w:rsid w:val="7C582AE1"/>
    <w:rsid w:val="7C5B51D6"/>
    <w:rsid w:val="7C5E500D"/>
    <w:rsid w:val="7C61BF44"/>
    <w:rsid w:val="7C6339F7"/>
    <w:rsid w:val="7C64576E"/>
    <w:rsid w:val="7C64CC46"/>
    <w:rsid w:val="7C64CF76"/>
    <w:rsid w:val="7C66334F"/>
    <w:rsid w:val="7C687767"/>
    <w:rsid w:val="7C68AAD5"/>
    <w:rsid w:val="7C69C783"/>
    <w:rsid w:val="7C6A8957"/>
    <w:rsid w:val="7C6C52BD"/>
    <w:rsid w:val="7C6D2F17"/>
    <w:rsid w:val="7C6FEED7"/>
    <w:rsid w:val="7C70970C"/>
    <w:rsid w:val="7C712187"/>
    <w:rsid w:val="7C7152FE"/>
    <w:rsid w:val="7C715F7B"/>
    <w:rsid w:val="7C71771F"/>
    <w:rsid w:val="7C71EC2D"/>
    <w:rsid w:val="7C730BFE"/>
    <w:rsid w:val="7C73BC03"/>
    <w:rsid w:val="7C7580DE"/>
    <w:rsid w:val="7C773501"/>
    <w:rsid w:val="7C776816"/>
    <w:rsid w:val="7C795094"/>
    <w:rsid w:val="7C7B1BEC"/>
    <w:rsid w:val="7C7B6BF5"/>
    <w:rsid w:val="7C7D45E3"/>
    <w:rsid w:val="7C7DD0B0"/>
    <w:rsid w:val="7C8127BF"/>
    <w:rsid w:val="7C837836"/>
    <w:rsid w:val="7C84D96D"/>
    <w:rsid w:val="7C85ACAB"/>
    <w:rsid w:val="7C865406"/>
    <w:rsid w:val="7C8833CE"/>
    <w:rsid w:val="7C886859"/>
    <w:rsid w:val="7C8972E2"/>
    <w:rsid w:val="7C8B72B9"/>
    <w:rsid w:val="7C8B89E1"/>
    <w:rsid w:val="7C8F4BE2"/>
    <w:rsid w:val="7C90D507"/>
    <w:rsid w:val="7C932633"/>
    <w:rsid w:val="7C935B9F"/>
    <w:rsid w:val="7C95FC13"/>
    <w:rsid w:val="7C96A19D"/>
    <w:rsid w:val="7C97BB82"/>
    <w:rsid w:val="7C9804AD"/>
    <w:rsid w:val="7C9B4A05"/>
    <w:rsid w:val="7C9B9ECB"/>
    <w:rsid w:val="7C9D87D9"/>
    <w:rsid w:val="7C9E0CF0"/>
    <w:rsid w:val="7C9EC9A6"/>
    <w:rsid w:val="7CA246C2"/>
    <w:rsid w:val="7CA3D3EC"/>
    <w:rsid w:val="7CA59569"/>
    <w:rsid w:val="7CA775F0"/>
    <w:rsid w:val="7CA7C62E"/>
    <w:rsid w:val="7CAA34DD"/>
    <w:rsid w:val="7CAA3E85"/>
    <w:rsid w:val="7CAA4956"/>
    <w:rsid w:val="7CAAA08B"/>
    <w:rsid w:val="7CAC3A77"/>
    <w:rsid w:val="7CAD462A"/>
    <w:rsid w:val="7CAD7061"/>
    <w:rsid w:val="7CB03AE6"/>
    <w:rsid w:val="7CB1BBD8"/>
    <w:rsid w:val="7CB317EA"/>
    <w:rsid w:val="7CB38435"/>
    <w:rsid w:val="7CB419D5"/>
    <w:rsid w:val="7CB6B519"/>
    <w:rsid w:val="7CB85287"/>
    <w:rsid w:val="7CB8CEEA"/>
    <w:rsid w:val="7CB99EF9"/>
    <w:rsid w:val="7CBAC934"/>
    <w:rsid w:val="7CBBF30A"/>
    <w:rsid w:val="7CBCA2AF"/>
    <w:rsid w:val="7CBD7CFB"/>
    <w:rsid w:val="7CBD8728"/>
    <w:rsid w:val="7CBDCCE2"/>
    <w:rsid w:val="7CBE8E7F"/>
    <w:rsid w:val="7CC0423D"/>
    <w:rsid w:val="7CC0A9FA"/>
    <w:rsid w:val="7CC0D1C9"/>
    <w:rsid w:val="7CC2AC26"/>
    <w:rsid w:val="7CC30D52"/>
    <w:rsid w:val="7CC44DBD"/>
    <w:rsid w:val="7CC5CCB2"/>
    <w:rsid w:val="7CC6102B"/>
    <w:rsid w:val="7CC67320"/>
    <w:rsid w:val="7CC8A3F4"/>
    <w:rsid w:val="7CC95ECF"/>
    <w:rsid w:val="7CCA228B"/>
    <w:rsid w:val="7CCA8CB5"/>
    <w:rsid w:val="7CCB91C7"/>
    <w:rsid w:val="7CCBA941"/>
    <w:rsid w:val="7CCC0B55"/>
    <w:rsid w:val="7CCFC181"/>
    <w:rsid w:val="7CD091CF"/>
    <w:rsid w:val="7CD0D8A4"/>
    <w:rsid w:val="7CD17809"/>
    <w:rsid w:val="7CD1F162"/>
    <w:rsid w:val="7CD509A8"/>
    <w:rsid w:val="7CD585F5"/>
    <w:rsid w:val="7CDAAA5E"/>
    <w:rsid w:val="7CDC45F5"/>
    <w:rsid w:val="7CDC9020"/>
    <w:rsid w:val="7CDD1A84"/>
    <w:rsid w:val="7CDEC38E"/>
    <w:rsid w:val="7CE14393"/>
    <w:rsid w:val="7CE48C47"/>
    <w:rsid w:val="7CE65363"/>
    <w:rsid w:val="7CE970EF"/>
    <w:rsid w:val="7CEC5056"/>
    <w:rsid w:val="7CED3D2C"/>
    <w:rsid w:val="7CF111CB"/>
    <w:rsid w:val="7CF273C1"/>
    <w:rsid w:val="7CF445F1"/>
    <w:rsid w:val="7CF4593B"/>
    <w:rsid w:val="7CF5E648"/>
    <w:rsid w:val="7CF74709"/>
    <w:rsid w:val="7CFA4CC0"/>
    <w:rsid w:val="7CFE0455"/>
    <w:rsid w:val="7D01CFC8"/>
    <w:rsid w:val="7D02F7D4"/>
    <w:rsid w:val="7D055185"/>
    <w:rsid w:val="7D06EB97"/>
    <w:rsid w:val="7D070E20"/>
    <w:rsid w:val="7D0A93C7"/>
    <w:rsid w:val="7D0BAB23"/>
    <w:rsid w:val="7D0CBE20"/>
    <w:rsid w:val="7D0CCE41"/>
    <w:rsid w:val="7D0D5D9A"/>
    <w:rsid w:val="7D0EFF18"/>
    <w:rsid w:val="7D1216ED"/>
    <w:rsid w:val="7D14E642"/>
    <w:rsid w:val="7D17B477"/>
    <w:rsid w:val="7D17CC3E"/>
    <w:rsid w:val="7D1C5182"/>
    <w:rsid w:val="7D1CBE09"/>
    <w:rsid w:val="7D1D0207"/>
    <w:rsid w:val="7D1F86CC"/>
    <w:rsid w:val="7D234DB5"/>
    <w:rsid w:val="7D238C38"/>
    <w:rsid w:val="7D23AB36"/>
    <w:rsid w:val="7D26B218"/>
    <w:rsid w:val="7D284F9D"/>
    <w:rsid w:val="7D291954"/>
    <w:rsid w:val="7D29BA22"/>
    <w:rsid w:val="7D2A4980"/>
    <w:rsid w:val="7D2AEC58"/>
    <w:rsid w:val="7D2C4F6E"/>
    <w:rsid w:val="7D2DC97B"/>
    <w:rsid w:val="7D2EF4D7"/>
    <w:rsid w:val="7D300F14"/>
    <w:rsid w:val="7D319216"/>
    <w:rsid w:val="7D33726F"/>
    <w:rsid w:val="7D33BB53"/>
    <w:rsid w:val="7D36CD5E"/>
    <w:rsid w:val="7D378E31"/>
    <w:rsid w:val="7D37BFED"/>
    <w:rsid w:val="7D3BDE09"/>
    <w:rsid w:val="7D3D4B88"/>
    <w:rsid w:val="7D40D611"/>
    <w:rsid w:val="7D424598"/>
    <w:rsid w:val="7D426F68"/>
    <w:rsid w:val="7D44294F"/>
    <w:rsid w:val="7D4505DD"/>
    <w:rsid w:val="7D45243E"/>
    <w:rsid w:val="7D46F0F5"/>
    <w:rsid w:val="7D47A904"/>
    <w:rsid w:val="7D4A4B28"/>
    <w:rsid w:val="7D4D9103"/>
    <w:rsid w:val="7D4DDCDF"/>
    <w:rsid w:val="7D4E7C56"/>
    <w:rsid w:val="7D4FA7CB"/>
    <w:rsid w:val="7D503FD2"/>
    <w:rsid w:val="7D504BBB"/>
    <w:rsid w:val="7D52ED75"/>
    <w:rsid w:val="7D538B7F"/>
    <w:rsid w:val="7D5515E5"/>
    <w:rsid w:val="7D5535E8"/>
    <w:rsid w:val="7D573988"/>
    <w:rsid w:val="7D5747E8"/>
    <w:rsid w:val="7D57C260"/>
    <w:rsid w:val="7D58BA85"/>
    <w:rsid w:val="7D59AF0B"/>
    <w:rsid w:val="7D5B55BA"/>
    <w:rsid w:val="7D5BC084"/>
    <w:rsid w:val="7D5BE093"/>
    <w:rsid w:val="7D5C0720"/>
    <w:rsid w:val="7D5E4C3A"/>
    <w:rsid w:val="7D5EBFF6"/>
    <w:rsid w:val="7D5F2179"/>
    <w:rsid w:val="7D6102F3"/>
    <w:rsid w:val="7D615F9C"/>
    <w:rsid w:val="7D61B3C4"/>
    <w:rsid w:val="7D629411"/>
    <w:rsid w:val="7D6525F9"/>
    <w:rsid w:val="7D66513B"/>
    <w:rsid w:val="7D6689A3"/>
    <w:rsid w:val="7D67239D"/>
    <w:rsid w:val="7D6819BC"/>
    <w:rsid w:val="7D6BA543"/>
    <w:rsid w:val="7D6EF93D"/>
    <w:rsid w:val="7D6FF060"/>
    <w:rsid w:val="7D734EF5"/>
    <w:rsid w:val="7D73B98B"/>
    <w:rsid w:val="7D75B0A9"/>
    <w:rsid w:val="7D776548"/>
    <w:rsid w:val="7D7860D5"/>
    <w:rsid w:val="7D78E896"/>
    <w:rsid w:val="7D793E89"/>
    <w:rsid w:val="7D79DFA6"/>
    <w:rsid w:val="7D7A7D22"/>
    <w:rsid w:val="7D7CA291"/>
    <w:rsid w:val="7D7CB821"/>
    <w:rsid w:val="7D7CC9A4"/>
    <w:rsid w:val="7D7E4B5F"/>
    <w:rsid w:val="7D7F837D"/>
    <w:rsid w:val="7D7FABBC"/>
    <w:rsid w:val="7D7FD8C7"/>
    <w:rsid w:val="7D812EC8"/>
    <w:rsid w:val="7D846934"/>
    <w:rsid w:val="7D848E3C"/>
    <w:rsid w:val="7D84AB14"/>
    <w:rsid w:val="7D854C14"/>
    <w:rsid w:val="7D871E40"/>
    <w:rsid w:val="7D8978CB"/>
    <w:rsid w:val="7D8A2EDD"/>
    <w:rsid w:val="7D8B7500"/>
    <w:rsid w:val="7D8D2662"/>
    <w:rsid w:val="7D8DA465"/>
    <w:rsid w:val="7D8EC2E4"/>
    <w:rsid w:val="7D8FC7FD"/>
    <w:rsid w:val="7D9014C6"/>
    <w:rsid w:val="7D903369"/>
    <w:rsid w:val="7D9281E1"/>
    <w:rsid w:val="7D940897"/>
    <w:rsid w:val="7D9591D4"/>
    <w:rsid w:val="7D97A4E5"/>
    <w:rsid w:val="7D984EFA"/>
    <w:rsid w:val="7D99736D"/>
    <w:rsid w:val="7D9A82D2"/>
    <w:rsid w:val="7DA00032"/>
    <w:rsid w:val="7DA02B81"/>
    <w:rsid w:val="7DA06FC1"/>
    <w:rsid w:val="7DA11CCD"/>
    <w:rsid w:val="7DA2842C"/>
    <w:rsid w:val="7DA5B3BF"/>
    <w:rsid w:val="7DA900B2"/>
    <w:rsid w:val="7DA935FA"/>
    <w:rsid w:val="7DA96534"/>
    <w:rsid w:val="7DA9D0D3"/>
    <w:rsid w:val="7DA9DC6C"/>
    <w:rsid w:val="7DAD0B9E"/>
    <w:rsid w:val="7DAD2DFB"/>
    <w:rsid w:val="7DAF21AB"/>
    <w:rsid w:val="7DAFDC56"/>
    <w:rsid w:val="7DAFEE6F"/>
    <w:rsid w:val="7DB00AC6"/>
    <w:rsid w:val="7DB48F7E"/>
    <w:rsid w:val="7DB672F1"/>
    <w:rsid w:val="7DB7236C"/>
    <w:rsid w:val="7DBAE1E6"/>
    <w:rsid w:val="7DBAE9CF"/>
    <w:rsid w:val="7DBB9484"/>
    <w:rsid w:val="7DBBB21C"/>
    <w:rsid w:val="7DBEA9D0"/>
    <w:rsid w:val="7DBEC309"/>
    <w:rsid w:val="7DC1D0D0"/>
    <w:rsid w:val="7DC2526A"/>
    <w:rsid w:val="7DC2EB3B"/>
    <w:rsid w:val="7DC4990E"/>
    <w:rsid w:val="7DC5F82E"/>
    <w:rsid w:val="7DCB095D"/>
    <w:rsid w:val="7DCBBD11"/>
    <w:rsid w:val="7DD24364"/>
    <w:rsid w:val="7DD2677C"/>
    <w:rsid w:val="7DD2E6A8"/>
    <w:rsid w:val="7DD34E93"/>
    <w:rsid w:val="7DD36CCC"/>
    <w:rsid w:val="7DD66386"/>
    <w:rsid w:val="7DD67BEC"/>
    <w:rsid w:val="7DD81D3D"/>
    <w:rsid w:val="7DD9E4CC"/>
    <w:rsid w:val="7DDAF3A9"/>
    <w:rsid w:val="7DDBE64A"/>
    <w:rsid w:val="7DDC383E"/>
    <w:rsid w:val="7DDDFFD0"/>
    <w:rsid w:val="7DE10C44"/>
    <w:rsid w:val="7DE14A2A"/>
    <w:rsid w:val="7DE2B3D2"/>
    <w:rsid w:val="7DE2C6FF"/>
    <w:rsid w:val="7DE66A66"/>
    <w:rsid w:val="7DE90DF4"/>
    <w:rsid w:val="7DEAC97C"/>
    <w:rsid w:val="7DEFF5C3"/>
    <w:rsid w:val="7DF4CE3C"/>
    <w:rsid w:val="7DF68727"/>
    <w:rsid w:val="7DF89ED9"/>
    <w:rsid w:val="7DF8B57A"/>
    <w:rsid w:val="7DF917C9"/>
    <w:rsid w:val="7DF981FB"/>
    <w:rsid w:val="7DFB90C1"/>
    <w:rsid w:val="7DFBB607"/>
    <w:rsid w:val="7DFC531B"/>
    <w:rsid w:val="7DFD2A2F"/>
    <w:rsid w:val="7DFD59C6"/>
    <w:rsid w:val="7DFDC681"/>
    <w:rsid w:val="7DFE5DFB"/>
    <w:rsid w:val="7DFEEE0F"/>
    <w:rsid w:val="7E013286"/>
    <w:rsid w:val="7E021EDF"/>
    <w:rsid w:val="7E027E90"/>
    <w:rsid w:val="7E029B62"/>
    <w:rsid w:val="7E03686B"/>
    <w:rsid w:val="7E03D448"/>
    <w:rsid w:val="7E067728"/>
    <w:rsid w:val="7E0680CB"/>
    <w:rsid w:val="7E06A596"/>
    <w:rsid w:val="7E086C28"/>
    <w:rsid w:val="7E08924E"/>
    <w:rsid w:val="7E089927"/>
    <w:rsid w:val="7E095241"/>
    <w:rsid w:val="7E0A2391"/>
    <w:rsid w:val="7E0AB8EC"/>
    <w:rsid w:val="7E0BBF4B"/>
    <w:rsid w:val="7E0C0DC6"/>
    <w:rsid w:val="7E0D3FD4"/>
    <w:rsid w:val="7E0DB2F4"/>
    <w:rsid w:val="7E107D7E"/>
    <w:rsid w:val="7E11262A"/>
    <w:rsid w:val="7E11BD20"/>
    <w:rsid w:val="7E1330A6"/>
    <w:rsid w:val="7E1353A7"/>
    <w:rsid w:val="7E13890C"/>
    <w:rsid w:val="7E13D2D6"/>
    <w:rsid w:val="7E140C71"/>
    <w:rsid w:val="7E155D68"/>
    <w:rsid w:val="7E1650D0"/>
    <w:rsid w:val="7E17830B"/>
    <w:rsid w:val="7E181DD5"/>
    <w:rsid w:val="7E195BA9"/>
    <w:rsid w:val="7E1AF508"/>
    <w:rsid w:val="7E1B4F25"/>
    <w:rsid w:val="7E1C224C"/>
    <w:rsid w:val="7E1DA62F"/>
    <w:rsid w:val="7E20562D"/>
    <w:rsid w:val="7E214310"/>
    <w:rsid w:val="7E267EB4"/>
    <w:rsid w:val="7E27AFD5"/>
    <w:rsid w:val="7E2A09BC"/>
    <w:rsid w:val="7E2AAC2B"/>
    <w:rsid w:val="7E2F77E4"/>
    <w:rsid w:val="7E2FBBC5"/>
    <w:rsid w:val="7E31E015"/>
    <w:rsid w:val="7E35A105"/>
    <w:rsid w:val="7E3604FF"/>
    <w:rsid w:val="7E36F719"/>
    <w:rsid w:val="7E38727C"/>
    <w:rsid w:val="7E3A2678"/>
    <w:rsid w:val="7E3B7939"/>
    <w:rsid w:val="7E4039BA"/>
    <w:rsid w:val="7E419248"/>
    <w:rsid w:val="7E41C55A"/>
    <w:rsid w:val="7E421924"/>
    <w:rsid w:val="7E452674"/>
    <w:rsid w:val="7E474712"/>
    <w:rsid w:val="7E4758F7"/>
    <w:rsid w:val="7E481CFC"/>
    <w:rsid w:val="7E48248D"/>
    <w:rsid w:val="7E4965E4"/>
    <w:rsid w:val="7E4A9A69"/>
    <w:rsid w:val="7E4B09AB"/>
    <w:rsid w:val="7E4D2CB4"/>
    <w:rsid w:val="7E4FAB11"/>
    <w:rsid w:val="7E5026FC"/>
    <w:rsid w:val="7E503713"/>
    <w:rsid w:val="7E52298D"/>
    <w:rsid w:val="7E57AB3F"/>
    <w:rsid w:val="7E5DB520"/>
    <w:rsid w:val="7E5F5BAF"/>
    <w:rsid w:val="7E60BECC"/>
    <w:rsid w:val="7E64EF5B"/>
    <w:rsid w:val="7E658F40"/>
    <w:rsid w:val="7E66AEC2"/>
    <w:rsid w:val="7E67C592"/>
    <w:rsid w:val="7E68F05F"/>
    <w:rsid w:val="7E6C9698"/>
    <w:rsid w:val="7E6CB6EA"/>
    <w:rsid w:val="7E6D3E66"/>
    <w:rsid w:val="7E6D4107"/>
    <w:rsid w:val="7E6EA676"/>
    <w:rsid w:val="7E730AC7"/>
    <w:rsid w:val="7E746CB5"/>
    <w:rsid w:val="7E747670"/>
    <w:rsid w:val="7E762719"/>
    <w:rsid w:val="7E763EC8"/>
    <w:rsid w:val="7E76D3F9"/>
    <w:rsid w:val="7E76F7CD"/>
    <w:rsid w:val="7E7A24CE"/>
    <w:rsid w:val="7E7A736F"/>
    <w:rsid w:val="7E7BACD5"/>
    <w:rsid w:val="7E7CDDD2"/>
    <w:rsid w:val="7E7CFD1C"/>
    <w:rsid w:val="7E7D7145"/>
    <w:rsid w:val="7E7F65BF"/>
    <w:rsid w:val="7E7FD087"/>
    <w:rsid w:val="7E7FDF10"/>
    <w:rsid w:val="7E825FA9"/>
    <w:rsid w:val="7E828306"/>
    <w:rsid w:val="7E86325E"/>
    <w:rsid w:val="7E881D7B"/>
    <w:rsid w:val="7E887922"/>
    <w:rsid w:val="7E89A670"/>
    <w:rsid w:val="7E8AD634"/>
    <w:rsid w:val="7E8BDBDF"/>
    <w:rsid w:val="7E8E1C6E"/>
    <w:rsid w:val="7E9079A7"/>
    <w:rsid w:val="7E91DE33"/>
    <w:rsid w:val="7E922D2F"/>
    <w:rsid w:val="7E92AEDF"/>
    <w:rsid w:val="7E932F11"/>
    <w:rsid w:val="7E93407A"/>
    <w:rsid w:val="7E949584"/>
    <w:rsid w:val="7E95E3DA"/>
    <w:rsid w:val="7E971323"/>
    <w:rsid w:val="7E98642D"/>
    <w:rsid w:val="7E994A72"/>
    <w:rsid w:val="7E99B5B4"/>
    <w:rsid w:val="7E9B276B"/>
    <w:rsid w:val="7E9C0CF0"/>
    <w:rsid w:val="7E9C56F4"/>
    <w:rsid w:val="7E9F9745"/>
    <w:rsid w:val="7EA15096"/>
    <w:rsid w:val="7EA20520"/>
    <w:rsid w:val="7EA31878"/>
    <w:rsid w:val="7EA3A5D8"/>
    <w:rsid w:val="7EA6689C"/>
    <w:rsid w:val="7EA67B29"/>
    <w:rsid w:val="7EA77586"/>
    <w:rsid w:val="7EA988CC"/>
    <w:rsid w:val="7EA9960B"/>
    <w:rsid w:val="7EAA2AEF"/>
    <w:rsid w:val="7EAAF323"/>
    <w:rsid w:val="7EAB1C8C"/>
    <w:rsid w:val="7EAB696F"/>
    <w:rsid w:val="7EAC9D90"/>
    <w:rsid w:val="7EACFE5C"/>
    <w:rsid w:val="7EB0FC48"/>
    <w:rsid w:val="7EB2097E"/>
    <w:rsid w:val="7EB278C5"/>
    <w:rsid w:val="7EB469B0"/>
    <w:rsid w:val="7EB4ADFA"/>
    <w:rsid w:val="7EB51C91"/>
    <w:rsid w:val="7EB58726"/>
    <w:rsid w:val="7EB681FA"/>
    <w:rsid w:val="7EBD553E"/>
    <w:rsid w:val="7EBE4883"/>
    <w:rsid w:val="7EBECD09"/>
    <w:rsid w:val="7EC01C01"/>
    <w:rsid w:val="7EC1E00B"/>
    <w:rsid w:val="7EC2F8A1"/>
    <w:rsid w:val="7EC3DAFC"/>
    <w:rsid w:val="7EC55C3E"/>
    <w:rsid w:val="7EC56280"/>
    <w:rsid w:val="7EC59BEF"/>
    <w:rsid w:val="7EC63772"/>
    <w:rsid w:val="7EC74B3E"/>
    <w:rsid w:val="7EC74B5B"/>
    <w:rsid w:val="7EC87D9E"/>
    <w:rsid w:val="7EC98C20"/>
    <w:rsid w:val="7ECA6EB6"/>
    <w:rsid w:val="7ECB28AF"/>
    <w:rsid w:val="7ECBB262"/>
    <w:rsid w:val="7ECD12E2"/>
    <w:rsid w:val="7ECD504C"/>
    <w:rsid w:val="7ECDC0AE"/>
    <w:rsid w:val="7ED1FD7C"/>
    <w:rsid w:val="7ED282BB"/>
    <w:rsid w:val="7ED4A704"/>
    <w:rsid w:val="7ED5D040"/>
    <w:rsid w:val="7ED72AF6"/>
    <w:rsid w:val="7ED7BCD8"/>
    <w:rsid w:val="7ED859D8"/>
    <w:rsid w:val="7EDA257A"/>
    <w:rsid w:val="7EDDC925"/>
    <w:rsid w:val="7EDDD6F7"/>
    <w:rsid w:val="7EDE2BF1"/>
    <w:rsid w:val="7EE07037"/>
    <w:rsid w:val="7EE33DB5"/>
    <w:rsid w:val="7EE3535C"/>
    <w:rsid w:val="7EE4341F"/>
    <w:rsid w:val="7EE4B510"/>
    <w:rsid w:val="7EE6ED82"/>
    <w:rsid w:val="7EE7EF54"/>
    <w:rsid w:val="7EE862E9"/>
    <w:rsid w:val="7EE96F79"/>
    <w:rsid w:val="7EEC0F6F"/>
    <w:rsid w:val="7EEC1A18"/>
    <w:rsid w:val="7EECF08D"/>
    <w:rsid w:val="7EEDA557"/>
    <w:rsid w:val="7EEF3C9C"/>
    <w:rsid w:val="7EEFC1C6"/>
    <w:rsid w:val="7EF01458"/>
    <w:rsid w:val="7EF17534"/>
    <w:rsid w:val="7EF20041"/>
    <w:rsid w:val="7EF2EBBF"/>
    <w:rsid w:val="7EF4B9AD"/>
    <w:rsid w:val="7EF57646"/>
    <w:rsid w:val="7EF6E6DD"/>
    <w:rsid w:val="7EF73977"/>
    <w:rsid w:val="7EF7BDF4"/>
    <w:rsid w:val="7EF8091D"/>
    <w:rsid w:val="7EFD25F5"/>
    <w:rsid w:val="7EFDC80A"/>
    <w:rsid w:val="7F00A9A4"/>
    <w:rsid w:val="7F00EE0E"/>
    <w:rsid w:val="7F04EF32"/>
    <w:rsid w:val="7F05571C"/>
    <w:rsid w:val="7F0704AA"/>
    <w:rsid w:val="7F08BF42"/>
    <w:rsid w:val="7F0929E6"/>
    <w:rsid w:val="7F09E034"/>
    <w:rsid w:val="7F09E26C"/>
    <w:rsid w:val="7F0BBBC9"/>
    <w:rsid w:val="7F0D5BE5"/>
    <w:rsid w:val="7F0EC4EA"/>
    <w:rsid w:val="7F0F8233"/>
    <w:rsid w:val="7F10FD6F"/>
    <w:rsid w:val="7F11025C"/>
    <w:rsid w:val="7F133533"/>
    <w:rsid w:val="7F13F1A9"/>
    <w:rsid w:val="7F15DE6F"/>
    <w:rsid w:val="7F170FB3"/>
    <w:rsid w:val="7F17813A"/>
    <w:rsid w:val="7F18E92D"/>
    <w:rsid w:val="7F1A21D7"/>
    <w:rsid w:val="7F1C21DA"/>
    <w:rsid w:val="7F1F4BE5"/>
    <w:rsid w:val="7F22C6C9"/>
    <w:rsid w:val="7F25B8E8"/>
    <w:rsid w:val="7F25DDDA"/>
    <w:rsid w:val="7F29A7CA"/>
    <w:rsid w:val="7F29B12E"/>
    <w:rsid w:val="7F2A0F5B"/>
    <w:rsid w:val="7F2F1228"/>
    <w:rsid w:val="7F301F4C"/>
    <w:rsid w:val="7F326DCA"/>
    <w:rsid w:val="7F33C520"/>
    <w:rsid w:val="7F371E32"/>
    <w:rsid w:val="7F3736ED"/>
    <w:rsid w:val="7F3A289A"/>
    <w:rsid w:val="7F3B0B1F"/>
    <w:rsid w:val="7F3CF0D1"/>
    <w:rsid w:val="7F3D8FB2"/>
    <w:rsid w:val="7F3E1D72"/>
    <w:rsid w:val="7F3F85F2"/>
    <w:rsid w:val="7F431C66"/>
    <w:rsid w:val="7F443C3C"/>
    <w:rsid w:val="7F454EF2"/>
    <w:rsid w:val="7F48A710"/>
    <w:rsid w:val="7F48B19B"/>
    <w:rsid w:val="7F4A349B"/>
    <w:rsid w:val="7F4DC7C9"/>
    <w:rsid w:val="7F4DFF91"/>
    <w:rsid w:val="7F4EFA38"/>
    <w:rsid w:val="7F51D1A2"/>
    <w:rsid w:val="7F52AFE8"/>
    <w:rsid w:val="7F53941C"/>
    <w:rsid w:val="7F54A87C"/>
    <w:rsid w:val="7F55DAB0"/>
    <w:rsid w:val="7F560E76"/>
    <w:rsid w:val="7F56651A"/>
    <w:rsid w:val="7F56F39B"/>
    <w:rsid w:val="7F576A12"/>
    <w:rsid w:val="7F587DCD"/>
    <w:rsid w:val="7F5B03A2"/>
    <w:rsid w:val="7F5B55BD"/>
    <w:rsid w:val="7F5CDA20"/>
    <w:rsid w:val="7F5D5E4B"/>
    <w:rsid w:val="7F5D715F"/>
    <w:rsid w:val="7F5DB838"/>
    <w:rsid w:val="7F5F2B98"/>
    <w:rsid w:val="7F60CBF8"/>
    <w:rsid w:val="7F60FD52"/>
    <w:rsid w:val="7F61E809"/>
    <w:rsid w:val="7F62E4B2"/>
    <w:rsid w:val="7F63C47C"/>
    <w:rsid w:val="7F64EC8F"/>
    <w:rsid w:val="7F666CF5"/>
    <w:rsid w:val="7F68EDF4"/>
    <w:rsid w:val="7F69F8B8"/>
    <w:rsid w:val="7F6AAAA8"/>
    <w:rsid w:val="7F6AC596"/>
    <w:rsid w:val="7F6B1175"/>
    <w:rsid w:val="7F6C390F"/>
    <w:rsid w:val="7F6C59EA"/>
    <w:rsid w:val="7F6CC817"/>
    <w:rsid w:val="7F6CE144"/>
    <w:rsid w:val="7F6E4BA0"/>
    <w:rsid w:val="7F6FA8A5"/>
    <w:rsid w:val="7F7066A2"/>
    <w:rsid w:val="7F715E33"/>
    <w:rsid w:val="7F719B7A"/>
    <w:rsid w:val="7F72D996"/>
    <w:rsid w:val="7F73583C"/>
    <w:rsid w:val="7F763880"/>
    <w:rsid w:val="7F77B18F"/>
    <w:rsid w:val="7F790B89"/>
    <w:rsid w:val="7F797C15"/>
    <w:rsid w:val="7F7A3471"/>
    <w:rsid w:val="7F7C6945"/>
    <w:rsid w:val="7F7C9571"/>
    <w:rsid w:val="7F7E26C2"/>
    <w:rsid w:val="7F7E53EE"/>
    <w:rsid w:val="7F7FAAE9"/>
    <w:rsid w:val="7F8040E0"/>
    <w:rsid w:val="7F80E618"/>
    <w:rsid w:val="7F81AAA8"/>
    <w:rsid w:val="7F841755"/>
    <w:rsid w:val="7F84D1A7"/>
    <w:rsid w:val="7F876C0F"/>
    <w:rsid w:val="7F886FA1"/>
    <w:rsid w:val="7F89BBD8"/>
    <w:rsid w:val="7F8BC253"/>
    <w:rsid w:val="7F8DB074"/>
    <w:rsid w:val="7F8DFF66"/>
    <w:rsid w:val="7F8FC181"/>
    <w:rsid w:val="7F8FC193"/>
    <w:rsid w:val="7F902687"/>
    <w:rsid w:val="7F904608"/>
    <w:rsid w:val="7F908E08"/>
    <w:rsid w:val="7F95322D"/>
    <w:rsid w:val="7F98BA89"/>
    <w:rsid w:val="7F98C747"/>
    <w:rsid w:val="7F9931D0"/>
    <w:rsid w:val="7F998AB1"/>
    <w:rsid w:val="7F9A24F1"/>
    <w:rsid w:val="7F9AD7E3"/>
    <w:rsid w:val="7F9C26E2"/>
    <w:rsid w:val="7F9EA87F"/>
    <w:rsid w:val="7FA17361"/>
    <w:rsid w:val="7FA27CD0"/>
    <w:rsid w:val="7FA3270B"/>
    <w:rsid w:val="7FA329F2"/>
    <w:rsid w:val="7FA54E08"/>
    <w:rsid w:val="7FACE7A9"/>
    <w:rsid w:val="7FAD2598"/>
    <w:rsid w:val="7FADF3F1"/>
    <w:rsid w:val="7FAE6190"/>
    <w:rsid w:val="7FAED835"/>
    <w:rsid w:val="7FAF9075"/>
    <w:rsid w:val="7FB402CE"/>
    <w:rsid w:val="7FB4DF78"/>
    <w:rsid w:val="7FB6D8E7"/>
    <w:rsid w:val="7FB80F3A"/>
    <w:rsid w:val="7FB852C0"/>
    <w:rsid w:val="7FBA146C"/>
    <w:rsid w:val="7FBAECC9"/>
    <w:rsid w:val="7FBB4D47"/>
    <w:rsid w:val="7FBD1293"/>
    <w:rsid w:val="7FBE2C39"/>
    <w:rsid w:val="7FBF0482"/>
    <w:rsid w:val="7FBF933C"/>
    <w:rsid w:val="7FC4B4EC"/>
    <w:rsid w:val="7FC7C1B0"/>
    <w:rsid w:val="7FC8D507"/>
    <w:rsid w:val="7FC924B3"/>
    <w:rsid w:val="7FCA4374"/>
    <w:rsid w:val="7FCAE5CB"/>
    <w:rsid w:val="7FCB608D"/>
    <w:rsid w:val="7FCCC413"/>
    <w:rsid w:val="7FCD767E"/>
    <w:rsid w:val="7FCDB12E"/>
    <w:rsid w:val="7FD37F2D"/>
    <w:rsid w:val="7FD3C8B1"/>
    <w:rsid w:val="7FD4EC50"/>
    <w:rsid w:val="7FD71259"/>
    <w:rsid w:val="7FDA2A79"/>
    <w:rsid w:val="7FDB42B2"/>
    <w:rsid w:val="7FDD0BB8"/>
    <w:rsid w:val="7FDF7555"/>
    <w:rsid w:val="7FE0288E"/>
    <w:rsid w:val="7FE365C1"/>
    <w:rsid w:val="7FE44F82"/>
    <w:rsid w:val="7FE49EC8"/>
    <w:rsid w:val="7FE89150"/>
    <w:rsid w:val="7FEB4E95"/>
    <w:rsid w:val="7FF246C5"/>
    <w:rsid w:val="7FF3C1BB"/>
    <w:rsid w:val="7FF7F1CB"/>
    <w:rsid w:val="7FF8FC66"/>
    <w:rsid w:val="7FFA5911"/>
    <w:rsid w:val="7FFCEB0F"/>
    <w:rsid w:val="7FFE0864"/>
    <w:rsid w:val="7FFE93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1397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893"/>
    <w:pPr>
      <w:widowControl/>
      <w:autoSpaceDE/>
      <w:autoSpaceDN/>
    </w:pPr>
    <w:rPr>
      <w:rFonts w:ascii="Times New Roman" w:eastAsia="Times New Roman" w:hAnsi="Times New Roman" w:cs="Times New Roman"/>
      <w:sz w:val="24"/>
      <w:szCs w:val="24"/>
      <w:lang w:val="en-IE" w:eastAsia="en-IE"/>
    </w:rPr>
  </w:style>
  <w:style w:type="paragraph" w:styleId="Heading1">
    <w:name w:val="heading 1"/>
    <w:basedOn w:val="Normal"/>
    <w:link w:val="Heading1Char"/>
    <w:uiPriority w:val="9"/>
    <w:qFormat/>
    <w:pPr>
      <w:widowControl w:val="0"/>
      <w:autoSpaceDE w:val="0"/>
      <w:autoSpaceDN w:val="0"/>
      <w:spacing w:before="59"/>
      <w:outlineLvl w:val="0"/>
    </w:pPr>
    <w:rPr>
      <w:b/>
      <w:bCs/>
      <w:sz w:val="28"/>
      <w:szCs w:val="28"/>
      <w:lang w:val="en-GB" w:eastAsia="en-US"/>
    </w:rPr>
  </w:style>
  <w:style w:type="paragraph" w:styleId="Heading2">
    <w:name w:val="heading 2"/>
    <w:basedOn w:val="Normal"/>
    <w:link w:val="Heading2Char"/>
    <w:uiPriority w:val="9"/>
    <w:unhideWhenUsed/>
    <w:qFormat/>
    <w:pPr>
      <w:widowControl w:val="0"/>
      <w:autoSpaceDE w:val="0"/>
      <w:autoSpaceDN w:val="0"/>
      <w:spacing w:before="245"/>
      <w:ind w:left="1129"/>
      <w:jc w:val="both"/>
      <w:outlineLvl w:val="1"/>
    </w:pPr>
    <w:rPr>
      <w:b/>
      <w:bCs/>
      <w:lang w:val="en-GB" w:eastAsia="en-US"/>
    </w:rPr>
  </w:style>
  <w:style w:type="paragraph" w:styleId="Heading3">
    <w:name w:val="heading 3"/>
    <w:basedOn w:val="Normal"/>
    <w:link w:val="Heading3Char"/>
    <w:uiPriority w:val="9"/>
    <w:unhideWhenUsed/>
    <w:qFormat/>
    <w:pPr>
      <w:widowControl w:val="0"/>
      <w:autoSpaceDE w:val="0"/>
      <w:autoSpaceDN w:val="0"/>
      <w:spacing w:before="125"/>
      <w:ind w:left="1129"/>
      <w:jc w:val="both"/>
      <w:outlineLvl w:val="2"/>
    </w:pPr>
    <w:rPr>
      <w:b/>
      <w:bCs/>
      <w:i/>
      <w:iCs/>
      <w:lang w:val="en-GB" w:eastAsia="en-US"/>
    </w:rPr>
  </w:style>
  <w:style w:type="paragraph" w:styleId="Heading4">
    <w:name w:val="heading 4"/>
    <w:basedOn w:val="Normal"/>
    <w:next w:val="Normal"/>
    <w:link w:val="Heading4Char"/>
    <w:uiPriority w:val="9"/>
    <w:semiHidden/>
    <w:unhideWhenUsed/>
    <w:qFormat/>
    <w:rsid w:val="002529C1"/>
    <w:pPr>
      <w:keepNext/>
      <w:keepLines/>
      <w:widowControl w:val="0"/>
      <w:autoSpaceDE w:val="0"/>
      <w:autoSpaceDN w:val="0"/>
      <w:spacing w:before="40"/>
      <w:outlineLvl w:val="3"/>
    </w:pPr>
    <w:rPr>
      <w:rFonts w:asciiTheme="majorHAnsi" w:eastAsiaTheme="majorEastAsia" w:hAnsiTheme="majorHAnsi" w:cstheme="majorBidi"/>
      <w:i/>
      <w:iCs/>
      <w:color w:val="365F91" w:themeColor="accent1" w:themeShade="BF"/>
      <w:sz w:val="22"/>
      <w:szCs w:val="22"/>
      <w:lang w:val="en-GB" w:eastAsia="en-US"/>
    </w:rPr>
  </w:style>
  <w:style w:type="paragraph" w:styleId="Heading5">
    <w:name w:val="heading 5"/>
    <w:basedOn w:val="Normal"/>
    <w:next w:val="Normal"/>
    <w:link w:val="Heading5Char"/>
    <w:uiPriority w:val="9"/>
    <w:semiHidden/>
    <w:unhideWhenUsed/>
    <w:qFormat/>
    <w:rsid w:val="00C57139"/>
    <w:pPr>
      <w:keepNext/>
      <w:keepLines/>
      <w:widowControl w:val="0"/>
      <w:autoSpaceDE w:val="0"/>
      <w:autoSpaceDN w:val="0"/>
      <w:spacing w:before="40"/>
      <w:outlineLvl w:val="4"/>
    </w:pPr>
    <w:rPr>
      <w:rFonts w:asciiTheme="majorHAnsi" w:eastAsiaTheme="majorEastAsia" w:hAnsiTheme="majorHAnsi" w:cstheme="majorBidi"/>
      <w:color w:val="365F91" w:themeColor="accent1" w:themeShade="BF"/>
      <w:sz w:val="22"/>
      <w:szCs w:val="22"/>
      <w:lang w:val="en-GB" w:eastAsia="en-US"/>
    </w:rPr>
  </w:style>
  <w:style w:type="paragraph" w:styleId="Heading6">
    <w:name w:val="heading 6"/>
    <w:basedOn w:val="Normal"/>
    <w:next w:val="Normal"/>
    <w:link w:val="Heading6Char"/>
    <w:uiPriority w:val="9"/>
    <w:semiHidden/>
    <w:unhideWhenUsed/>
    <w:qFormat/>
    <w:rsid w:val="00C57139"/>
    <w:pPr>
      <w:keepNext/>
      <w:keepLines/>
      <w:widowControl w:val="0"/>
      <w:autoSpaceDE w:val="0"/>
      <w:autoSpaceDN w:val="0"/>
      <w:spacing w:before="40"/>
      <w:outlineLvl w:val="5"/>
    </w:pPr>
    <w:rPr>
      <w:rFonts w:asciiTheme="majorHAnsi" w:eastAsiaTheme="majorEastAsia" w:hAnsiTheme="majorHAnsi" w:cstheme="majorBidi"/>
      <w:color w:val="243F60" w:themeColor="accent1" w:themeShade="7F"/>
      <w:sz w:val="22"/>
      <w:szCs w:val="2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widowControl w:val="0"/>
      <w:autoSpaceDE w:val="0"/>
      <w:autoSpaceDN w:val="0"/>
      <w:spacing w:before="120"/>
      <w:ind w:right="269"/>
      <w:jc w:val="center"/>
    </w:pPr>
    <w:rPr>
      <w:lang w:val="en-GB" w:eastAsia="en-US"/>
    </w:rPr>
  </w:style>
  <w:style w:type="paragraph" w:styleId="TOC2">
    <w:name w:val="toc 2"/>
    <w:basedOn w:val="Normal"/>
    <w:uiPriority w:val="39"/>
    <w:qFormat/>
    <w:pPr>
      <w:widowControl w:val="0"/>
      <w:autoSpaceDE w:val="0"/>
      <w:autoSpaceDN w:val="0"/>
      <w:spacing w:before="120"/>
      <w:ind w:left="1693" w:hanging="567"/>
    </w:pPr>
    <w:rPr>
      <w:lang w:val="en-GB" w:eastAsia="en-US"/>
    </w:rPr>
  </w:style>
  <w:style w:type="paragraph" w:styleId="TOC3">
    <w:name w:val="toc 3"/>
    <w:basedOn w:val="Normal"/>
    <w:uiPriority w:val="39"/>
    <w:qFormat/>
    <w:pPr>
      <w:widowControl w:val="0"/>
      <w:autoSpaceDE w:val="0"/>
      <w:autoSpaceDN w:val="0"/>
      <w:spacing w:before="378" w:after="240"/>
      <w:ind w:left="2426" w:right="2715"/>
      <w:jc w:val="center"/>
    </w:pPr>
    <w:rPr>
      <w:lang w:val="en-GB" w:eastAsia="en-US"/>
    </w:rPr>
  </w:style>
  <w:style w:type="paragraph" w:styleId="BodyText">
    <w:name w:val="Body Text"/>
    <w:basedOn w:val="Normal"/>
    <w:link w:val="BodyTextChar"/>
    <w:uiPriority w:val="1"/>
    <w:qFormat/>
    <w:pPr>
      <w:widowControl w:val="0"/>
      <w:autoSpaceDE w:val="0"/>
      <w:autoSpaceDN w:val="0"/>
      <w:ind w:left="1129"/>
      <w:jc w:val="both"/>
    </w:pPr>
    <w:rPr>
      <w:lang w:val="en-GB" w:eastAsia="en-US"/>
    </w:rPr>
  </w:style>
  <w:style w:type="paragraph" w:styleId="Title">
    <w:name w:val="Title"/>
    <w:basedOn w:val="Normal"/>
    <w:uiPriority w:val="10"/>
    <w:qFormat/>
    <w:pPr>
      <w:widowControl w:val="0"/>
      <w:autoSpaceDE w:val="0"/>
      <w:autoSpaceDN w:val="0"/>
      <w:spacing w:before="1"/>
      <w:ind w:left="106"/>
    </w:pPr>
    <w:rPr>
      <w:rFonts w:ascii="Arial" w:eastAsia="Arial" w:hAnsi="Arial" w:cs="Arial"/>
      <w:b/>
      <w:bCs/>
      <w:sz w:val="48"/>
      <w:szCs w:val="48"/>
      <w:lang w:val="en-GB" w:eastAsia="en-US"/>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pPr>
      <w:widowControl w:val="0"/>
      <w:autoSpaceDE w:val="0"/>
      <w:autoSpaceDN w:val="0"/>
      <w:spacing w:before="240"/>
      <w:ind w:left="1412" w:hanging="567"/>
    </w:pPr>
    <w:rPr>
      <w:sz w:val="22"/>
      <w:szCs w:val="22"/>
      <w:lang w:val="en-GB" w:eastAsia="en-US"/>
    </w:rPr>
  </w:style>
  <w:style w:type="paragraph" w:customStyle="1" w:styleId="TableParagraph">
    <w:name w:val="Table Paragraph"/>
    <w:basedOn w:val="Normal"/>
    <w:uiPriority w:val="1"/>
    <w:qFormat/>
    <w:pPr>
      <w:widowControl w:val="0"/>
      <w:autoSpaceDE w:val="0"/>
      <w:autoSpaceDN w:val="0"/>
    </w:pPr>
    <w:rPr>
      <w:sz w:val="22"/>
      <w:szCs w:val="22"/>
      <w:lang w:val="en-GB" w:eastAsia="en-US"/>
    </w:rPr>
  </w:style>
  <w:style w:type="paragraph" w:styleId="Revision">
    <w:name w:val="Revision"/>
    <w:hidden/>
    <w:uiPriority w:val="99"/>
    <w:semiHidden/>
    <w:rsid w:val="00F91ACF"/>
    <w:pPr>
      <w:widowControl/>
      <w:autoSpaceDE/>
      <w:autoSpaceDN/>
    </w:pPr>
    <w:rPr>
      <w:rFonts w:ascii="Times New Roman" w:eastAsia="Times New Roman" w:hAnsi="Times New Roman" w:cs="Times New Roman"/>
    </w:rPr>
  </w:style>
  <w:style w:type="paragraph" w:styleId="FootnoteText">
    <w:name w:val="footnote text"/>
    <w:aliases w:val="Schriftart: 9 pt,Schriftart: 10 pt,Schriftart: 8 pt,WB-Fußnotentext,fn,Footnotes,Footnote ak,Fußnotentextf,Fußnotentextr,stile 1,Footnote1,Footnote2,Footnote3,Footnote4,Footnote5,Footnote6,Footnote7,Footnote8,Footnote9,Footnote10,Char,ft,f"/>
    <w:basedOn w:val="Normal"/>
    <w:link w:val="FootnoteTextChar"/>
    <w:uiPriority w:val="99"/>
    <w:unhideWhenUsed/>
    <w:qFormat/>
    <w:rsid w:val="00706A7D"/>
    <w:pPr>
      <w:widowControl w:val="0"/>
      <w:autoSpaceDE w:val="0"/>
      <w:autoSpaceDN w:val="0"/>
    </w:pPr>
    <w:rPr>
      <w:sz w:val="20"/>
      <w:szCs w:val="20"/>
      <w:lang w:val="en-GB" w:eastAsia="en-US"/>
    </w:rPr>
  </w:style>
  <w:style w:type="character" w:customStyle="1" w:styleId="FootnoteTextChar">
    <w:name w:val="Footnote Text Char"/>
    <w:aliases w:val="Schriftart: 9 pt Char,Schriftart: 10 pt Char,Schriftart: 8 pt Char,WB-Fußnotentext Char,fn Char,Footnotes Char,Footnote ak Char,Fußnotentextf Char,Fußnotentextr Char,stile 1 Char,Footnote1 Char,Footnote2 Char,Footnote3 Char,Char Char"/>
    <w:basedOn w:val="DefaultParagraphFont"/>
    <w:link w:val="FootnoteText"/>
    <w:uiPriority w:val="99"/>
    <w:qFormat/>
    <w:rsid w:val="00706A7D"/>
    <w:rPr>
      <w:rFonts w:ascii="Times New Roman" w:eastAsia="Times New Roman" w:hAnsi="Times New Roman" w:cs="Times New Roman"/>
      <w:sz w:val="20"/>
      <w:szCs w:val="20"/>
      <w:lang w:val="en-GB"/>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706A7D"/>
    <w:rPr>
      <w:vertAlign w:val="superscript"/>
      <w:lang w:val="en-GB"/>
    </w:rPr>
  </w:style>
  <w:style w:type="character" w:styleId="Hyperlink">
    <w:name w:val="Hyperlink"/>
    <w:basedOn w:val="DefaultParagraphFont"/>
    <w:uiPriority w:val="99"/>
    <w:unhideWhenUsed/>
    <w:rsid w:val="005D5871"/>
    <w:rPr>
      <w:color w:val="0000FF"/>
      <w:u w:val="single"/>
    </w:rPr>
  </w:style>
  <w:style w:type="character" w:customStyle="1" w:styleId="BodyTextChar">
    <w:name w:val="Body Text Char"/>
    <w:basedOn w:val="DefaultParagraphFont"/>
    <w:link w:val="BodyText"/>
    <w:uiPriority w:val="1"/>
    <w:rsid w:val="00CB0F4A"/>
    <w:rPr>
      <w:rFonts w:ascii="Times New Roman" w:eastAsia="Times New Roman" w:hAnsi="Times New Roman" w:cs="Times New Roman"/>
      <w:sz w:val="24"/>
      <w:szCs w:val="24"/>
      <w:lang w:val="en-GB"/>
    </w:rPr>
  </w:style>
  <w:style w:type="paragraph" w:styleId="Caption">
    <w:name w:val="caption"/>
    <w:aliases w:val="Tasks,Beschriftung Char2,Beschriftung Char1 Char1,Beschriftung Char Char Char1,Beschriftung Char1 Char Char,Beschriftung Char Char Char Char,Beschriftung Char Char1 Char,Beschriftung Char Char2,Beschriftung Char1 Cha...,Caption Char,Table legend"/>
    <w:basedOn w:val="Normal"/>
    <w:next w:val="Normal"/>
    <w:link w:val="CaptionChar1"/>
    <w:uiPriority w:val="35"/>
    <w:unhideWhenUsed/>
    <w:qFormat/>
    <w:rsid w:val="00153946"/>
    <w:pPr>
      <w:widowControl w:val="0"/>
      <w:autoSpaceDE w:val="0"/>
      <w:autoSpaceDN w:val="0"/>
      <w:spacing w:after="200"/>
    </w:pPr>
    <w:rPr>
      <w:i/>
      <w:iCs/>
      <w:color w:val="1F497D" w:themeColor="text2"/>
      <w:sz w:val="18"/>
      <w:szCs w:val="18"/>
      <w:lang w:val="en-GB" w:eastAsia="en-US"/>
    </w:rPr>
  </w:style>
  <w:style w:type="character" w:styleId="FollowedHyperlink">
    <w:name w:val="FollowedHyperlink"/>
    <w:basedOn w:val="DefaultParagraphFont"/>
    <w:uiPriority w:val="99"/>
    <w:semiHidden/>
    <w:unhideWhenUsed/>
    <w:rsid w:val="001B5331"/>
    <w:rPr>
      <w:color w:val="800080" w:themeColor="followedHyperlink"/>
      <w:u w:val="single"/>
    </w:rPr>
  </w:style>
  <w:style w:type="character" w:customStyle="1" w:styleId="UnresolvedMention">
    <w:name w:val="Unresolved Mention"/>
    <w:basedOn w:val="DefaultParagraphFont"/>
    <w:uiPriority w:val="99"/>
    <w:semiHidden/>
    <w:unhideWhenUsed/>
    <w:rsid w:val="00CF4382"/>
    <w:rPr>
      <w:color w:val="605E5C"/>
      <w:shd w:val="clear" w:color="auto" w:fill="E1DFDD"/>
    </w:rPr>
  </w:style>
  <w:style w:type="paragraph" w:customStyle="1" w:styleId="Text1">
    <w:name w:val="Text 1"/>
    <w:basedOn w:val="Normal"/>
    <w:rsid w:val="00C32FE8"/>
    <w:pPr>
      <w:spacing w:after="240"/>
      <w:ind w:left="482"/>
      <w:jc w:val="both"/>
    </w:pPr>
    <w:rPr>
      <w:szCs w:val="20"/>
      <w:lang w:val="en-GB" w:eastAsia="en-US"/>
    </w:rPr>
  </w:style>
  <w:style w:type="paragraph" w:customStyle="1" w:styleId="title-bold">
    <w:name w:val="title-bold"/>
    <w:basedOn w:val="Normal"/>
    <w:rsid w:val="00D5326A"/>
    <w:pPr>
      <w:spacing w:before="100" w:beforeAutospacing="1" w:after="100" w:afterAutospacing="1"/>
    </w:pPr>
  </w:style>
  <w:style w:type="paragraph" w:styleId="NormalWeb">
    <w:name w:val="Normal (Web)"/>
    <w:basedOn w:val="Normal"/>
    <w:uiPriority w:val="99"/>
    <w:unhideWhenUsed/>
    <w:rsid w:val="00D5326A"/>
    <w:pPr>
      <w:spacing w:before="100" w:beforeAutospacing="1" w:after="100" w:afterAutospacing="1"/>
    </w:pPr>
  </w:style>
  <w:style w:type="character" w:styleId="Emphasis">
    <w:name w:val="Emphasis"/>
    <w:basedOn w:val="DefaultParagraphFont"/>
    <w:uiPriority w:val="20"/>
    <w:qFormat/>
    <w:rsid w:val="00D5326A"/>
    <w:rPr>
      <w:i/>
      <w:iCs/>
    </w:rPr>
  </w:style>
  <w:style w:type="character" w:styleId="CommentReference">
    <w:name w:val="annotation reference"/>
    <w:basedOn w:val="DefaultParagraphFont"/>
    <w:uiPriority w:val="99"/>
    <w:unhideWhenUsed/>
    <w:rsid w:val="00C110B4"/>
    <w:rPr>
      <w:sz w:val="16"/>
      <w:szCs w:val="16"/>
    </w:rPr>
  </w:style>
  <w:style w:type="paragraph" w:styleId="CommentText">
    <w:name w:val="annotation text"/>
    <w:aliases w:val="Text poznámky"/>
    <w:basedOn w:val="Normal"/>
    <w:link w:val="CommentTextChar"/>
    <w:uiPriority w:val="99"/>
    <w:unhideWhenUsed/>
    <w:rsid w:val="00C110B4"/>
    <w:pPr>
      <w:widowControl w:val="0"/>
      <w:autoSpaceDE w:val="0"/>
      <w:autoSpaceDN w:val="0"/>
    </w:pPr>
    <w:rPr>
      <w:sz w:val="20"/>
      <w:szCs w:val="20"/>
      <w:lang w:val="en-GB" w:eastAsia="en-US"/>
    </w:rPr>
  </w:style>
  <w:style w:type="character" w:customStyle="1" w:styleId="CommentTextChar">
    <w:name w:val="Comment Text Char"/>
    <w:aliases w:val="Text poznámky Char"/>
    <w:basedOn w:val="DefaultParagraphFont"/>
    <w:link w:val="CommentText"/>
    <w:uiPriority w:val="99"/>
    <w:rsid w:val="00C110B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110B4"/>
    <w:rPr>
      <w:b/>
      <w:bCs/>
    </w:rPr>
  </w:style>
  <w:style w:type="character" w:customStyle="1" w:styleId="CommentSubjectChar">
    <w:name w:val="Comment Subject Char"/>
    <w:basedOn w:val="CommentTextChar"/>
    <w:link w:val="CommentSubject"/>
    <w:uiPriority w:val="99"/>
    <w:semiHidden/>
    <w:rsid w:val="00C110B4"/>
    <w:rPr>
      <w:rFonts w:ascii="Times New Roman" w:eastAsia="Times New Roman" w:hAnsi="Times New Roman" w:cs="Times New Roman"/>
      <w:b/>
      <w:bCs/>
      <w:sz w:val="20"/>
      <w:szCs w:val="20"/>
      <w:lang w:val="en-GB"/>
    </w:rPr>
  </w:style>
  <w:style w:type="table" w:styleId="TableGrid">
    <w:name w:val="Table Grid"/>
    <w:aliases w:val="Document Table,CV1,Gena,Tabellengitternetz,Table Format 1,Table_FPB,Table Grid IDEA,Standard table format,Deloitte,CV table,EY Table,none,TabelEcorys,IT Park_Citation,san defined,chiffres,Tableau D,Table Finalité,Table EY,Volet,HTG,Simple tab"/>
    <w:basedOn w:val="TableNormal"/>
    <w:uiPriority w:val="39"/>
    <w:rsid w:val="00EB3F8E"/>
    <w:pPr>
      <w:widowControl/>
      <w:suppressAutoHyphens/>
      <w:autoSpaceDE/>
      <w:autoSpaceDN/>
    </w:pPr>
    <w:rPr>
      <w:rFonts w:ascii="Times New Roman" w:eastAsia="Times New Roman" w:hAnsi="Times New Roman" w:cs="Times New Roman"/>
      <w:sz w:val="24"/>
      <w:szCs w:val="20"/>
      <w:lang w:val="en-GB" w:eastAsia="en-GB"/>
    </w:rPr>
    <w:tblPr/>
  </w:style>
  <w:style w:type="paragraph" w:styleId="Header">
    <w:name w:val="header"/>
    <w:basedOn w:val="Normal"/>
    <w:link w:val="HeaderChar"/>
    <w:uiPriority w:val="99"/>
    <w:unhideWhenUsed/>
    <w:rsid w:val="00C2126E"/>
    <w:pPr>
      <w:widowControl w:val="0"/>
      <w:tabs>
        <w:tab w:val="center" w:pos="4513"/>
        <w:tab w:val="right" w:pos="9026"/>
      </w:tabs>
      <w:autoSpaceDE w:val="0"/>
      <w:autoSpaceDN w:val="0"/>
    </w:pPr>
    <w:rPr>
      <w:sz w:val="22"/>
      <w:szCs w:val="22"/>
      <w:lang w:val="en-GB" w:eastAsia="en-US"/>
    </w:rPr>
  </w:style>
  <w:style w:type="character" w:customStyle="1" w:styleId="HeaderChar">
    <w:name w:val="Header Char"/>
    <w:basedOn w:val="DefaultParagraphFont"/>
    <w:link w:val="Header"/>
    <w:uiPriority w:val="99"/>
    <w:rsid w:val="00C2126E"/>
    <w:rPr>
      <w:rFonts w:ascii="Times New Roman" w:eastAsia="Times New Roman" w:hAnsi="Times New Roman" w:cs="Times New Roman"/>
      <w:lang w:val="en-GB"/>
    </w:rPr>
  </w:style>
  <w:style w:type="paragraph" w:styleId="Footer">
    <w:name w:val="footer"/>
    <w:basedOn w:val="Normal"/>
    <w:link w:val="FooterChar"/>
    <w:uiPriority w:val="99"/>
    <w:unhideWhenUsed/>
    <w:rsid w:val="00C2126E"/>
    <w:pPr>
      <w:widowControl w:val="0"/>
      <w:tabs>
        <w:tab w:val="center" w:pos="4513"/>
        <w:tab w:val="right" w:pos="9026"/>
      </w:tabs>
      <w:autoSpaceDE w:val="0"/>
      <w:autoSpaceDN w:val="0"/>
    </w:pPr>
    <w:rPr>
      <w:sz w:val="22"/>
      <w:szCs w:val="22"/>
      <w:lang w:val="en-GB" w:eastAsia="en-US"/>
    </w:rPr>
  </w:style>
  <w:style w:type="character" w:customStyle="1" w:styleId="FooterChar">
    <w:name w:val="Footer Char"/>
    <w:basedOn w:val="DefaultParagraphFont"/>
    <w:link w:val="Footer"/>
    <w:uiPriority w:val="99"/>
    <w:rsid w:val="00C2126E"/>
    <w:rPr>
      <w:rFonts w:ascii="Times New Roman" w:eastAsia="Times New Roman" w:hAnsi="Times New Roman" w:cs="Times New Roman"/>
      <w:lang w:val="en-GB"/>
    </w:rPr>
  </w:style>
  <w:style w:type="character" w:customStyle="1" w:styleId="Heading3Char">
    <w:name w:val="Heading 3 Char"/>
    <w:basedOn w:val="DefaultParagraphFont"/>
    <w:link w:val="Heading3"/>
    <w:uiPriority w:val="9"/>
    <w:rsid w:val="00FE6A01"/>
    <w:rPr>
      <w:rFonts w:ascii="Times New Roman" w:eastAsia="Times New Roman" w:hAnsi="Times New Roman" w:cs="Times New Roman"/>
      <w:b/>
      <w:bCs/>
      <w:i/>
      <w:iCs/>
      <w:sz w:val="24"/>
      <w:szCs w:val="24"/>
      <w:lang w:val="en-GB"/>
    </w:rPr>
  </w:style>
  <w:style w:type="character" w:customStyle="1" w:styleId="Mention">
    <w:name w:val="Mention"/>
    <w:basedOn w:val="DefaultParagraphFont"/>
    <w:uiPriority w:val="99"/>
    <w:unhideWhenUsed/>
    <w:rsid w:val="009F3E73"/>
    <w:rPr>
      <w:color w:val="2B579A"/>
      <w:shd w:val="clear" w:color="auto" w:fill="E1DFDD"/>
    </w:rPr>
  </w:style>
  <w:style w:type="paragraph" w:styleId="EndnoteText">
    <w:name w:val="endnote text"/>
    <w:basedOn w:val="Normal"/>
    <w:link w:val="EndnoteTextChar"/>
    <w:uiPriority w:val="99"/>
    <w:semiHidden/>
    <w:unhideWhenUsed/>
    <w:rsid w:val="001864C5"/>
    <w:pPr>
      <w:widowControl w:val="0"/>
      <w:autoSpaceDE w:val="0"/>
      <w:autoSpaceDN w:val="0"/>
    </w:pPr>
    <w:rPr>
      <w:sz w:val="20"/>
      <w:szCs w:val="20"/>
      <w:lang w:val="en-GB" w:eastAsia="en-US"/>
    </w:rPr>
  </w:style>
  <w:style w:type="character" w:customStyle="1" w:styleId="EndnoteTextChar">
    <w:name w:val="Endnote Text Char"/>
    <w:basedOn w:val="DefaultParagraphFont"/>
    <w:link w:val="EndnoteText"/>
    <w:uiPriority w:val="99"/>
    <w:semiHidden/>
    <w:rsid w:val="001864C5"/>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1864C5"/>
    <w:rPr>
      <w:vertAlign w:val="superscript"/>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basedOn w:val="DefaultParagraphFont"/>
    <w:link w:val="ListParagraph"/>
    <w:uiPriority w:val="34"/>
    <w:qFormat/>
    <w:rsid w:val="00D0774B"/>
    <w:rPr>
      <w:rFonts w:ascii="Times New Roman" w:eastAsia="Times New Roman" w:hAnsi="Times New Roman" w:cs="Times New Roman"/>
      <w:lang w:val="en-GB"/>
    </w:rPr>
  </w:style>
  <w:style w:type="character" w:customStyle="1" w:styleId="Heading4Char">
    <w:name w:val="Heading 4 Char"/>
    <w:basedOn w:val="DefaultParagraphFont"/>
    <w:link w:val="Heading4"/>
    <w:uiPriority w:val="9"/>
    <w:semiHidden/>
    <w:rsid w:val="002529C1"/>
    <w:rPr>
      <w:rFonts w:asciiTheme="majorHAnsi" w:eastAsiaTheme="majorEastAsia" w:hAnsiTheme="majorHAnsi" w:cstheme="majorBidi"/>
      <w:i/>
      <w:iCs/>
      <w:color w:val="365F91" w:themeColor="accent1" w:themeShade="BF"/>
      <w:lang w:val="en-GB"/>
    </w:rPr>
  </w:style>
  <w:style w:type="paragraph" w:customStyle="1" w:styleId="CharCharChar1">
    <w:name w:val="Char Char Char1"/>
    <w:basedOn w:val="Normal"/>
    <w:link w:val="FootnoteReference"/>
    <w:uiPriority w:val="99"/>
    <w:rsid w:val="006560C0"/>
    <w:pPr>
      <w:spacing w:after="160" w:line="240" w:lineRule="exact"/>
      <w:jc w:val="both"/>
    </w:pPr>
    <w:rPr>
      <w:rFonts w:asciiTheme="minorHAnsi" w:eastAsiaTheme="minorHAnsi" w:hAnsiTheme="minorHAnsi" w:cstheme="minorBidi"/>
      <w:sz w:val="22"/>
      <w:szCs w:val="22"/>
      <w:vertAlign w:val="superscript"/>
      <w:lang w:val="en-GB" w:eastAsia="en-US"/>
    </w:rPr>
  </w:style>
  <w:style w:type="character" w:customStyle="1" w:styleId="Heading1Char">
    <w:name w:val="Heading 1 Char"/>
    <w:basedOn w:val="DefaultParagraphFont"/>
    <w:link w:val="Heading1"/>
    <w:uiPriority w:val="9"/>
    <w:rsid w:val="009D5916"/>
    <w:rPr>
      <w:rFonts w:ascii="Times New Roman" w:eastAsia="Times New Roman" w:hAnsi="Times New Roman" w:cs="Times New Roman"/>
      <w:b/>
      <w:bCs/>
      <w:sz w:val="28"/>
      <w:szCs w:val="28"/>
      <w:lang w:val="en-GB"/>
    </w:rPr>
  </w:style>
  <w:style w:type="paragraph" w:customStyle="1" w:styleId="TableText">
    <w:name w:val="Table Text"/>
    <w:basedOn w:val="Normal"/>
    <w:link w:val="TableTextChar"/>
    <w:uiPriority w:val="1"/>
    <w:unhideWhenUsed/>
    <w:rsid w:val="008C6F25"/>
    <w:pPr>
      <w:spacing w:before="60" w:after="60" w:line="259" w:lineRule="auto"/>
      <w:jc w:val="both"/>
    </w:pPr>
    <w:rPr>
      <w:rFonts w:ascii="Arial" w:eastAsiaTheme="minorHAnsi" w:hAnsi="Arial" w:cs="Arial"/>
      <w:color w:val="000000" w:themeColor="text1"/>
      <w:sz w:val="20"/>
      <w:szCs w:val="20"/>
      <w:lang w:val="en-GB" w:eastAsia="en-US"/>
    </w:rPr>
  </w:style>
  <w:style w:type="character" w:customStyle="1" w:styleId="TableTextChar">
    <w:name w:val="Table Text Char"/>
    <w:basedOn w:val="DefaultParagraphFont"/>
    <w:link w:val="TableText"/>
    <w:uiPriority w:val="1"/>
    <w:rsid w:val="008C6F25"/>
    <w:rPr>
      <w:rFonts w:ascii="Arial" w:hAnsi="Arial" w:cs="Arial"/>
      <w:color w:val="000000" w:themeColor="text1"/>
      <w:sz w:val="20"/>
      <w:szCs w:val="20"/>
      <w:lang w:val="en-GB"/>
    </w:rPr>
  </w:style>
  <w:style w:type="paragraph" w:customStyle="1" w:styleId="LegalNumPar">
    <w:name w:val="LegalNumPar"/>
    <w:basedOn w:val="Normal"/>
    <w:rsid w:val="00B44419"/>
    <w:pPr>
      <w:widowControl w:val="0"/>
      <w:numPr>
        <w:numId w:val="6"/>
      </w:numPr>
      <w:spacing w:line="360" w:lineRule="auto"/>
    </w:pPr>
    <w:rPr>
      <w:szCs w:val="22"/>
      <w:lang w:val="en-GB" w:eastAsia="en-US"/>
    </w:rPr>
  </w:style>
  <w:style w:type="paragraph" w:customStyle="1" w:styleId="LegalNumPar2">
    <w:name w:val="LegalNumPar2"/>
    <w:basedOn w:val="Normal"/>
    <w:rsid w:val="00B44419"/>
    <w:pPr>
      <w:widowControl w:val="0"/>
      <w:numPr>
        <w:ilvl w:val="1"/>
        <w:numId w:val="6"/>
      </w:numPr>
      <w:spacing w:line="360" w:lineRule="auto"/>
    </w:pPr>
    <w:rPr>
      <w:szCs w:val="22"/>
      <w:lang w:val="en-GB" w:eastAsia="en-US"/>
    </w:rPr>
  </w:style>
  <w:style w:type="paragraph" w:customStyle="1" w:styleId="LegalNumPar3">
    <w:name w:val="LegalNumPar3"/>
    <w:basedOn w:val="Normal"/>
    <w:rsid w:val="00B44419"/>
    <w:pPr>
      <w:widowControl w:val="0"/>
      <w:numPr>
        <w:ilvl w:val="2"/>
        <w:numId w:val="6"/>
      </w:numPr>
      <w:spacing w:line="360" w:lineRule="auto"/>
    </w:pPr>
    <w:rPr>
      <w:szCs w:val="22"/>
      <w:lang w:val="en-GB" w:eastAsia="en-US"/>
    </w:rPr>
  </w:style>
  <w:style w:type="character" w:customStyle="1" w:styleId="cf01">
    <w:name w:val="cf01"/>
    <w:basedOn w:val="DefaultParagraphFont"/>
    <w:rsid w:val="00535DEE"/>
    <w:rPr>
      <w:rFonts w:ascii="Segoe UI" w:hAnsi="Segoe UI" w:cs="Segoe UI" w:hint="default"/>
      <w:sz w:val="18"/>
      <w:szCs w:val="18"/>
    </w:rPr>
  </w:style>
  <w:style w:type="paragraph" w:styleId="TOCHeading">
    <w:name w:val="TOC Heading"/>
    <w:basedOn w:val="Heading1"/>
    <w:next w:val="Normal"/>
    <w:uiPriority w:val="39"/>
    <w:unhideWhenUsed/>
    <w:qFormat/>
    <w:rsid w:val="00E95C0F"/>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A01EDD"/>
    <w:pPr>
      <w:pBdr>
        <w:top w:val="nil"/>
        <w:left w:val="nil"/>
        <w:bottom w:val="nil"/>
        <w:right w:val="nil"/>
        <w:between w:val="nil"/>
        <w:bar w:val="nil"/>
      </w:pBdr>
      <w:spacing w:after="160" w:line="240" w:lineRule="exact"/>
      <w:jc w:val="both"/>
    </w:pPr>
    <w:rPr>
      <w:rFonts w:eastAsiaTheme="minorHAnsi" w:cstheme="minorBidi"/>
      <w:szCs w:val="22"/>
      <w:vertAlign w:val="superscript"/>
      <w:lang w:val="en-GB" w:eastAsia="en-US"/>
    </w:rPr>
  </w:style>
  <w:style w:type="paragraph" w:customStyle="1" w:styleId="Normaldense">
    <w:name w:val="Normal dense"/>
    <w:basedOn w:val="Normal"/>
    <w:link w:val="NormaldenseChar"/>
    <w:qFormat/>
    <w:rsid w:val="00A01EDD"/>
    <w:pPr>
      <w:spacing w:after="120"/>
      <w:jc w:val="both"/>
    </w:pPr>
    <w:rPr>
      <w:rFonts w:ascii="Arial" w:eastAsiaTheme="minorHAnsi" w:hAnsi="Arial" w:cstheme="minorBidi"/>
      <w:sz w:val="20"/>
      <w:szCs w:val="20"/>
      <w:lang w:val="en-GB" w:eastAsia="ja-JP"/>
    </w:rPr>
  </w:style>
  <w:style w:type="character" w:customStyle="1" w:styleId="NormaldenseChar">
    <w:name w:val="Normal dense Char"/>
    <w:basedOn w:val="DefaultParagraphFont"/>
    <w:link w:val="Normaldense"/>
    <w:rsid w:val="00A01EDD"/>
    <w:rPr>
      <w:rFonts w:ascii="Arial" w:hAnsi="Arial"/>
      <w:sz w:val="20"/>
      <w:szCs w:val="20"/>
      <w:lang w:val="en-GB" w:eastAsia="ja-JP"/>
    </w:rPr>
  </w:style>
  <w:style w:type="paragraph" w:customStyle="1" w:styleId="Body">
    <w:name w:val="Body"/>
    <w:link w:val="BodyChar"/>
    <w:qFormat/>
    <w:rsid w:val="00851D41"/>
    <w:pPr>
      <w:widowControl/>
      <w:pBdr>
        <w:top w:val="nil"/>
        <w:left w:val="nil"/>
        <w:bottom w:val="nil"/>
        <w:right w:val="nil"/>
        <w:between w:val="nil"/>
        <w:bar w:val="nil"/>
      </w:pBdr>
      <w:autoSpaceDE/>
      <w:autoSpaceDN/>
      <w:spacing w:after="200" w:line="276" w:lineRule="auto"/>
    </w:pPr>
    <w:rPr>
      <w:rFonts w:ascii="Calibri" w:eastAsia="Calibri" w:hAnsi="Calibri" w:cs="Calibri"/>
      <w:color w:val="000000"/>
      <w:u w:color="000000"/>
      <w:bdr w:val="nil"/>
      <w:lang w:val="en-GB" w:eastAsia="en-GB" w:bidi="hi-IN"/>
      <w14:textOutline w14:w="0" w14:cap="flat" w14:cmpd="sng" w14:algn="ctr">
        <w14:noFill/>
        <w14:prstDash w14:val="solid"/>
        <w14:bevel/>
      </w14:textOutline>
    </w:rPr>
  </w:style>
  <w:style w:type="character" w:customStyle="1" w:styleId="BodyChar">
    <w:name w:val="Body Char"/>
    <w:link w:val="Body"/>
    <w:rsid w:val="00851D41"/>
    <w:rPr>
      <w:rFonts w:ascii="Calibri" w:eastAsia="Calibri" w:hAnsi="Calibri" w:cs="Calibri"/>
      <w:color w:val="000000"/>
      <w:u w:color="000000"/>
      <w:bdr w:val="nil"/>
      <w:lang w:val="en-GB" w:eastAsia="en-GB" w:bidi="hi-IN"/>
      <w14:textOutline w14:w="0" w14:cap="flat" w14:cmpd="sng" w14:algn="ctr">
        <w14:noFill/>
        <w14:prstDash w14:val="solid"/>
        <w14:bevel/>
      </w14:textOutline>
    </w:rPr>
  </w:style>
  <w:style w:type="paragraph" w:customStyle="1" w:styleId="CT-SOURCE">
    <w:name w:val="CT- SOURCE"/>
    <w:basedOn w:val="Normal"/>
    <w:link w:val="CT-SOURCEChar"/>
    <w:uiPriority w:val="1"/>
    <w:qFormat/>
    <w:rsid w:val="005B595D"/>
    <w:pPr>
      <w:keepNext/>
      <w:tabs>
        <w:tab w:val="num" w:pos="1899"/>
      </w:tabs>
      <w:spacing w:after="240"/>
      <w:jc w:val="right"/>
    </w:pPr>
    <w:rPr>
      <w:rFonts w:ascii="EC Square Sans Cond Pro" w:eastAsiaTheme="minorHAnsi" w:hAnsi="EC Square Sans Cond Pro" w:cs="Avenir Next LT Pro"/>
      <w:i/>
      <w:iCs/>
      <w:sz w:val="22"/>
      <w:szCs w:val="22"/>
      <w:lang w:eastAsia="en-US"/>
    </w:rPr>
  </w:style>
  <w:style w:type="character" w:customStyle="1" w:styleId="CT-SOURCEChar">
    <w:name w:val="CT- SOURCE Char"/>
    <w:basedOn w:val="DefaultParagraphFont"/>
    <w:link w:val="CT-SOURCE"/>
    <w:uiPriority w:val="1"/>
    <w:rsid w:val="005B595D"/>
    <w:rPr>
      <w:rFonts w:ascii="EC Square Sans Cond Pro" w:hAnsi="EC Square Sans Cond Pro" w:cs="Avenir Next LT Pro"/>
      <w:i/>
      <w:iCs/>
      <w:lang w:val="en-IE"/>
    </w:rPr>
  </w:style>
  <w:style w:type="character" w:customStyle="1" w:styleId="eop">
    <w:name w:val="eop"/>
    <w:basedOn w:val="DefaultParagraphFont"/>
    <w:rsid w:val="00426510"/>
  </w:style>
  <w:style w:type="paragraph" w:customStyle="1" w:styleId="Nornal">
    <w:name w:val="Nornal"/>
    <w:basedOn w:val="Body"/>
    <w:qFormat/>
    <w:rsid w:val="00C33F0C"/>
    <w:pPr>
      <w:jc w:val="both"/>
    </w:pPr>
    <w:rPr>
      <w:rFonts w:ascii="Times New Roman" w:eastAsia="Arial Unicode MS" w:hAnsi="Times New Roman" w:cs="Times New Roman"/>
      <w:color w:val="auto"/>
      <w14:textOutline w14:w="0" w14:cap="rnd" w14:cmpd="sng" w14:algn="ctr">
        <w14:noFill/>
        <w14:prstDash w14:val="solid"/>
        <w14:bevel/>
      </w14:textOutline>
    </w:rPr>
  </w:style>
  <w:style w:type="paragraph" w:customStyle="1" w:styleId="Text4">
    <w:name w:val="Text 4"/>
    <w:basedOn w:val="Normal"/>
    <w:uiPriority w:val="99"/>
    <w:rsid w:val="00B6625E"/>
    <w:pPr>
      <w:tabs>
        <w:tab w:val="left" w:pos="2302"/>
      </w:tabs>
      <w:spacing w:before="120" w:after="120"/>
      <w:ind w:left="1202"/>
      <w:jc w:val="both"/>
    </w:pPr>
    <w:rPr>
      <w:rFonts w:ascii="Verdana" w:hAnsi="Verdana"/>
      <w:sz w:val="20"/>
      <w:szCs w:val="20"/>
      <w:lang w:val="en-GB" w:eastAsia="en-US"/>
    </w:rPr>
  </w:style>
  <w:style w:type="table" w:customStyle="1" w:styleId="RicardoTable">
    <w:name w:val="Ricardo Table"/>
    <w:basedOn w:val="TableNormal"/>
    <w:uiPriority w:val="99"/>
    <w:unhideWhenUsed/>
    <w:rsid w:val="00B04846"/>
    <w:pPr>
      <w:widowControl/>
      <w:autoSpaceDE/>
      <w:autoSpaceDN/>
      <w:spacing w:before="60" w:after="60" w:line="259" w:lineRule="auto"/>
      <w:jc w:val="both"/>
    </w:pPr>
    <w:rPr>
      <w:rFonts w:ascii="Arial" w:eastAsiaTheme="minorEastAsia" w:hAnsi="Arial"/>
      <w:color w:val="000000" w:themeColor="text1"/>
      <w:sz w:val="20"/>
      <w:szCs w:val="20"/>
      <w:lang w:val="en-GB" w:eastAsia="en-GB"/>
    </w:rPr>
    <w:tblPr>
      <w:tblBorders>
        <w:bottom w:val="single" w:sz="4" w:space="0" w:color="1A4596"/>
        <w:insideH w:val="single" w:sz="4" w:space="0" w:color="1A4596"/>
        <w:insideV w:val="single" w:sz="4" w:space="0" w:color="1A4596"/>
      </w:tblBorders>
    </w:tblPr>
    <w:tcPr>
      <w:vAlign w:val="center"/>
    </w:tcPr>
    <w:tblStylePr w:type="firstRow">
      <w:pPr>
        <w:keepNext/>
        <w:wordWrap/>
        <w:jc w:val="left"/>
      </w:pPr>
      <w:rPr>
        <w:rFonts w:ascii="Arial" w:hAnsi="Arial"/>
        <w:b/>
        <w:color w:val="FFFFFF" w:themeColor="background1"/>
        <w:sz w:val="20"/>
      </w:rPr>
      <w:tblPr/>
      <w:trPr>
        <w:tblHeader/>
      </w:trPr>
      <w:tcPr>
        <w:tcBorders>
          <w:insideH w:val="outset" w:sz="6" w:space="0" w:color="FFFFFF" w:themeColor="background1"/>
          <w:insideV w:val="outset" w:sz="6" w:space="0" w:color="FFFFFF" w:themeColor="background1"/>
        </w:tcBorders>
        <w:shd w:val="clear" w:color="auto" w:fill="1A4596"/>
      </w:tcPr>
    </w:tblStylePr>
  </w:style>
  <w:style w:type="table" w:styleId="PlainTable2">
    <w:name w:val="Plain Table 2"/>
    <w:basedOn w:val="TableNormal"/>
    <w:uiPriority w:val="42"/>
    <w:rsid w:val="00945C8D"/>
    <w:pPr>
      <w:widowControl/>
      <w:autoSpaceDE/>
      <w:autoSpaceDN/>
    </w:pPr>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ormalCentered">
    <w:name w:val="Normal Centered"/>
    <w:basedOn w:val="Normal"/>
    <w:rsid w:val="00456309"/>
    <w:pPr>
      <w:spacing w:before="120" w:after="120"/>
      <w:jc w:val="center"/>
    </w:pPr>
    <w:rPr>
      <w:rFonts w:eastAsiaTheme="minorHAnsi"/>
      <w:szCs w:val="22"/>
      <w:lang w:val="en-GB" w:eastAsia="en-US"/>
    </w:rPr>
  </w:style>
  <w:style w:type="character" w:customStyle="1" w:styleId="CaptionChar1">
    <w:name w:val="Caption Char1"/>
    <w:aliases w:val="Tasks Char,Beschriftung Char2 Char,Beschriftung Char1 Char1 Char,Beschriftung Char Char Char1 Char,Beschriftung Char1 Char Char Char,Beschriftung Char Char Char Char Char,Beschriftung Char Char1 Char Char,Beschriftung Char Char2 Char"/>
    <w:link w:val="Caption"/>
    <w:uiPriority w:val="35"/>
    <w:qFormat/>
    <w:locked/>
    <w:rsid w:val="000C0EF7"/>
    <w:rPr>
      <w:rFonts w:ascii="Times New Roman" w:eastAsia="Times New Roman" w:hAnsi="Times New Roman" w:cs="Times New Roman"/>
      <w:i/>
      <w:iCs/>
      <w:color w:val="1F497D" w:themeColor="text2"/>
      <w:sz w:val="18"/>
      <w:szCs w:val="18"/>
      <w:lang w:val="en-GB"/>
    </w:rPr>
  </w:style>
  <w:style w:type="character" w:customStyle="1" w:styleId="Heading2Char">
    <w:name w:val="Heading 2 Char"/>
    <w:basedOn w:val="DefaultParagraphFont"/>
    <w:link w:val="Heading2"/>
    <w:uiPriority w:val="9"/>
    <w:rsid w:val="00D54647"/>
    <w:rPr>
      <w:rFonts w:ascii="Times New Roman" w:eastAsia="Times New Roman" w:hAnsi="Times New Roman" w:cs="Times New Roman"/>
      <w:b/>
      <w:bCs/>
      <w:sz w:val="24"/>
      <w:szCs w:val="24"/>
      <w:lang w:val="en-GB"/>
    </w:rPr>
  </w:style>
  <w:style w:type="character" w:customStyle="1" w:styleId="Heading5Char">
    <w:name w:val="Heading 5 Char"/>
    <w:basedOn w:val="DefaultParagraphFont"/>
    <w:link w:val="Heading5"/>
    <w:uiPriority w:val="9"/>
    <w:semiHidden/>
    <w:rsid w:val="00C57139"/>
    <w:rPr>
      <w:rFonts w:asciiTheme="majorHAnsi" w:eastAsiaTheme="majorEastAsia" w:hAnsiTheme="majorHAnsi" w:cstheme="majorBidi"/>
      <w:color w:val="365F91" w:themeColor="accent1" w:themeShade="BF"/>
      <w:lang w:val="en-GB"/>
    </w:rPr>
  </w:style>
  <w:style w:type="character" w:customStyle="1" w:styleId="Heading6Char">
    <w:name w:val="Heading 6 Char"/>
    <w:basedOn w:val="DefaultParagraphFont"/>
    <w:link w:val="Heading6"/>
    <w:uiPriority w:val="9"/>
    <w:semiHidden/>
    <w:rsid w:val="00C57139"/>
    <w:rPr>
      <w:rFonts w:asciiTheme="majorHAnsi" w:eastAsiaTheme="majorEastAsia" w:hAnsiTheme="majorHAnsi" w:cstheme="majorBidi"/>
      <w:color w:val="243F60" w:themeColor="accent1" w:themeShade="7F"/>
      <w:lang w:val="en-GB"/>
    </w:rPr>
  </w:style>
  <w:style w:type="paragraph" w:customStyle="1" w:styleId="TableListNumber">
    <w:name w:val="Table List Number"/>
    <w:basedOn w:val="TableText"/>
    <w:uiPriority w:val="55"/>
    <w:rsid w:val="008F07C5"/>
    <w:pPr>
      <w:numPr>
        <w:numId w:val="21"/>
      </w:numPr>
      <w:tabs>
        <w:tab w:val="num" w:pos="360"/>
      </w:tabs>
      <w:spacing w:line="240" w:lineRule="auto"/>
      <w:jc w:val="left"/>
    </w:pPr>
    <w:rPr>
      <w:rFonts w:ascii="Times New Roman" w:eastAsia="Times New Roman" w:hAnsi="Times New Roman" w:cs="Times New Roman"/>
      <w:color w:val="auto"/>
      <w:sz w:val="24"/>
      <w:lang w:eastAsia="en-IE"/>
    </w:rPr>
  </w:style>
  <w:style w:type="paragraph" w:customStyle="1" w:styleId="TableListNumberLevel2">
    <w:name w:val="Table List Number (Level 2)"/>
    <w:basedOn w:val="TableText"/>
    <w:uiPriority w:val="55"/>
    <w:semiHidden/>
    <w:unhideWhenUsed/>
    <w:rsid w:val="008F07C5"/>
    <w:pPr>
      <w:numPr>
        <w:ilvl w:val="1"/>
        <w:numId w:val="21"/>
      </w:numPr>
      <w:tabs>
        <w:tab w:val="clear" w:pos="907"/>
        <w:tab w:val="num" w:pos="360"/>
      </w:tabs>
      <w:spacing w:line="240" w:lineRule="auto"/>
      <w:jc w:val="left"/>
    </w:pPr>
    <w:rPr>
      <w:rFonts w:ascii="Times New Roman" w:eastAsia="Times New Roman" w:hAnsi="Times New Roman" w:cs="Times New Roman"/>
      <w:color w:val="auto"/>
      <w:sz w:val="24"/>
      <w:lang w:eastAsia="en-IE"/>
    </w:rPr>
  </w:style>
  <w:style w:type="paragraph" w:customStyle="1" w:styleId="TableListNumberLevel3">
    <w:name w:val="Table List Number (Level 3)"/>
    <w:basedOn w:val="TableText"/>
    <w:uiPriority w:val="55"/>
    <w:semiHidden/>
    <w:unhideWhenUsed/>
    <w:rsid w:val="008F07C5"/>
    <w:pPr>
      <w:numPr>
        <w:ilvl w:val="2"/>
        <w:numId w:val="21"/>
      </w:numPr>
      <w:tabs>
        <w:tab w:val="clear" w:pos="1361"/>
        <w:tab w:val="num" w:pos="360"/>
      </w:tabs>
      <w:spacing w:line="240" w:lineRule="auto"/>
      <w:jc w:val="left"/>
    </w:pPr>
    <w:rPr>
      <w:rFonts w:ascii="Times New Roman" w:eastAsia="Times New Roman" w:hAnsi="Times New Roman" w:cs="Times New Roman"/>
      <w:color w:val="auto"/>
      <w:sz w:val="24"/>
      <w:lang w:eastAsia="en-IE"/>
    </w:rPr>
  </w:style>
  <w:style w:type="paragraph" w:customStyle="1" w:styleId="TableListNumberLevel4">
    <w:name w:val="Table List Number (Level 4)"/>
    <w:basedOn w:val="TableText"/>
    <w:uiPriority w:val="55"/>
    <w:semiHidden/>
    <w:unhideWhenUsed/>
    <w:rsid w:val="008F07C5"/>
    <w:pPr>
      <w:numPr>
        <w:ilvl w:val="3"/>
        <w:numId w:val="21"/>
      </w:numPr>
      <w:tabs>
        <w:tab w:val="clear" w:pos="1814"/>
        <w:tab w:val="num" w:pos="360"/>
      </w:tabs>
      <w:spacing w:line="240" w:lineRule="auto"/>
      <w:jc w:val="left"/>
    </w:pPr>
    <w:rPr>
      <w:rFonts w:ascii="Times New Roman" w:eastAsia="Times New Roman" w:hAnsi="Times New Roman" w:cs="Times New Roman"/>
      <w:color w:val="auto"/>
      <w:sz w:val="24"/>
      <w:lang w:eastAsia="en-IE"/>
    </w:rPr>
  </w:style>
  <w:style w:type="table" w:customStyle="1" w:styleId="Volet1">
    <w:name w:val="Volet1"/>
    <w:basedOn w:val="TableNormal"/>
    <w:next w:val="TableGrid"/>
    <w:uiPriority w:val="39"/>
    <w:rsid w:val="00D55B81"/>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A271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RicardoTable1">
    <w:name w:val="Ricardo Table1"/>
    <w:basedOn w:val="TableNormal"/>
    <w:uiPriority w:val="99"/>
    <w:unhideWhenUsed/>
    <w:rsid w:val="00265214"/>
    <w:pPr>
      <w:widowControl/>
      <w:autoSpaceDE/>
      <w:autoSpaceDN/>
      <w:spacing w:before="60" w:after="60" w:line="259" w:lineRule="auto"/>
      <w:jc w:val="both"/>
    </w:pPr>
    <w:rPr>
      <w:rFonts w:ascii="Arial" w:eastAsia="SimHei" w:hAnsi="Arial" w:cs="Times New Roman"/>
      <w:color w:val="242828"/>
      <w:sz w:val="20"/>
      <w:szCs w:val="20"/>
      <w:lang w:val="en-GB" w:eastAsia="en-GB"/>
    </w:rPr>
    <w:tblPr>
      <w:tblBorders>
        <w:bottom w:val="single" w:sz="4" w:space="0" w:color="1A4596"/>
        <w:insideH w:val="single" w:sz="4" w:space="0" w:color="1A4596"/>
        <w:insideV w:val="single" w:sz="4" w:space="0" w:color="1A4596"/>
      </w:tblBorders>
    </w:tblPr>
    <w:tcPr>
      <w:vAlign w:val="center"/>
    </w:tcPr>
    <w:tblStylePr w:type="firstRow">
      <w:pPr>
        <w:keepNext/>
        <w:wordWrap/>
        <w:jc w:val="left"/>
      </w:pPr>
      <w:rPr>
        <w:rFonts w:ascii="Arial" w:hAnsi="Arial"/>
        <w:b/>
        <w:color w:val="FFFFFF"/>
        <w:sz w:val="20"/>
      </w:rPr>
      <w:tblPr/>
      <w:trPr>
        <w:tblHeader/>
      </w:trPr>
      <w:tcPr>
        <w:tcBorders>
          <w:insideH w:val="outset" w:sz="6" w:space="0" w:color="FFFFFF"/>
          <w:insideV w:val="outset" w:sz="6" w:space="0" w:color="FFFFFF"/>
        </w:tcBorders>
        <w:shd w:val="clear" w:color="auto" w:fill="1A4596"/>
      </w:tcPr>
    </w:tblStylePr>
  </w:style>
  <w:style w:type="paragraph" w:customStyle="1" w:styleId="Text2">
    <w:name w:val="Text 2"/>
    <w:basedOn w:val="Normal"/>
    <w:link w:val="Text2Char"/>
    <w:qFormat/>
    <w:rsid w:val="00430286"/>
    <w:pPr>
      <w:keepNext/>
      <w:tabs>
        <w:tab w:val="left" w:pos="2302"/>
      </w:tabs>
      <w:spacing w:after="120"/>
      <w:ind w:left="1202"/>
      <w:jc w:val="both"/>
    </w:pPr>
    <w:rPr>
      <w:rFonts w:cstheme="minorBidi"/>
      <w:szCs w:val="20"/>
      <w:lang w:val="en-GB" w:eastAsia="en-US"/>
    </w:rPr>
  </w:style>
  <w:style w:type="character" w:customStyle="1" w:styleId="Text2Char">
    <w:name w:val="Text 2 Char"/>
    <w:basedOn w:val="DefaultParagraphFont"/>
    <w:link w:val="Text2"/>
    <w:rsid w:val="00430286"/>
    <w:rPr>
      <w:rFonts w:ascii="Times New Roman" w:eastAsia="Times New Roman" w:hAnsi="Times New Roman"/>
      <w:sz w:val="24"/>
      <w:szCs w:val="20"/>
      <w:lang w:val="en-GB"/>
    </w:rPr>
  </w:style>
  <w:style w:type="paragraph" w:customStyle="1" w:styleId="DefaultText">
    <w:name w:val="Default Text"/>
    <w:basedOn w:val="Normal"/>
    <w:link w:val="DefaultTextChar"/>
    <w:qFormat/>
    <w:rsid w:val="00430286"/>
    <w:pPr>
      <w:spacing w:line="280" w:lineRule="atLeast"/>
    </w:pPr>
    <w:rPr>
      <w:rFonts w:ascii="Arial" w:hAnsi="Arial"/>
      <w:sz w:val="18"/>
      <w:szCs w:val="18"/>
      <w:lang w:val="en-GB" w:eastAsia="nl-NL"/>
    </w:rPr>
  </w:style>
  <w:style w:type="character" w:customStyle="1" w:styleId="DefaultTextChar">
    <w:name w:val="Default Text Char"/>
    <w:basedOn w:val="DefaultParagraphFont"/>
    <w:link w:val="DefaultText"/>
    <w:qFormat/>
    <w:rsid w:val="00430286"/>
    <w:rPr>
      <w:rFonts w:ascii="Arial" w:eastAsia="Times New Roman" w:hAnsi="Arial" w:cs="Times New Roman"/>
      <w:sz w:val="18"/>
      <w:szCs w:val="18"/>
      <w:lang w:val="en-GB" w:eastAsia="nl-NL"/>
    </w:rPr>
  </w:style>
  <w:style w:type="paragraph" w:customStyle="1" w:styleId="list-bullet-color-table">
    <w:name w:val="list-bullet-color-table"/>
    <w:basedOn w:val="DefaultText"/>
    <w:link w:val="list-bullet-color-tableChar"/>
    <w:rsid w:val="008F07C5"/>
    <w:pPr>
      <w:numPr>
        <w:numId w:val="36"/>
      </w:numPr>
      <w:tabs>
        <w:tab w:val="num" w:pos="360"/>
      </w:tabs>
    </w:pPr>
    <w:rPr>
      <w:sz w:val="16"/>
      <w:szCs w:val="24"/>
    </w:rPr>
  </w:style>
  <w:style w:type="character" w:customStyle="1" w:styleId="list-bullet-color-tableChar">
    <w:name w:val="list-bullet-color-table Char"/>
    <w:basedOn w:val="DefaultTextChar"/>
    <w:link w:val="list-bullet-color-table"/>
    <w:rsid w:val="00430286"/>
    <w:rPr>
      <w:rFonts w:ascii="Arial" w:eastAsia="Times New Roman" w:hAnsi="Arial" w:cs="Times New Roman"/>
      <w:sz w:val="16"/>
      <w:szCs w:val="24"/>
      <w:lang w:val="en-GB" w:eastAsia="nl-NL"/>
    </w:rPr>
  </w:style>
  <w:style w:type="paragraph" w:customStyle="1" w:styleId="FootnoteTextEP-LC1">
    <w:name w:val="Footnote Text_EP-LC1"/>
    <w:basedOn w:val="Normal"/>
    <w:next w:val="FootnoteText"/>
    <w:unhideWhenUsed/>
    <w:qFormat/>
    <w:rsid w:val="00430286"/>
    <w:pPr>
      <w:jc w:val="both"/>
    </w:pPr>
    <w:rPr>
      <w:rFonts w:eastAsia="Yu Mincho"/>
      <w:sz w:val="20"/>
      <w:szCs w:val="20"/>
      <w:lang w:val="en-GB" w:eastAsia="en-US"/>
    </w:rPr>
  </w:style>
  <w:style w:type="paragraph" w:styleId="TOC4">
    <w:name w:val="toc 4"/>
    <w:basedOn w:val="Normal"/>
    <w:next w:val="Normal"/>
    <w:autoRedefine/>
    <w:uiPriority w:val="39"/>
    <w:unhideWhenUsed/>
    <w:rsid w:val="00CE198A"/>
    <w:pPr>
      <w:spacing w:after="100" w:line="278" w:lineRule="auto"/>
      <w:ind w:left="720"/>
    </w:pPr>
    <w:rPr>
      <w:rFonts w:asciiTheme="minorHAnsi" w:eastAsiaTheme="minorEastAsia" w:hAnsiTheme="minorHAnsi" w:cstheme="minorBidi"/>
      <w:kern w:val="2"/>
      <w14:ligatures w14:val="standardContextual"/>
    </w:rPr>
  </w:style>
  <w:style w:type="paragraph" w:styleId="TOC5">
    <w:name w:val="toc 5"/>
    <w:basedOn w:val="Normal"/>
    <w:next w:val="Normal"/>
    <w:autoRedefine/>
    <w:uiPriority w:val="39"/>
    <w:unhideWhenUsed/>
    <w:rsid w:val="00CE198A"/>
    <w:pPr>
      <w:spacing w:after="100" w:line="278" w:lineRule="auto"/>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CE198A"/>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CE198A"/>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CE198A"/>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CE198A"/>
    <w:pPr>
      <w:spacing w:after="100" w:line="278" w:lineRule="auto"/>
      <w:ind w:left="1920"/>
    </w:pPr>
    <w:rPr>
      <w:rFonts w:asciiTheme="minorHAnsi" w:eastAsiaTheme="minorEastAsia" w:hAnsiTheme="minorHAnsi" w:cstheme="minorBidi"/>
      <w:kern w:val="2"/>
      <w14:ligatures w14:val="standardContextual"/>
    </w:rPr>
  </w:style>
  <w:style w:type="paragraph" w:styleId="Subtitle">
    <w:name w:val="Subtitle"/>
    <w:basedOn w:val="Normal"/>
    <w:next w:val="Normal"/>
    <w:link w:val="SubtitleChar"/>
    <w:uiPriority w:val="11"/>
    <w:qFormat/>
    <w:rsid w:val="00032E51"/>
    <w:pPr>
      <w:numPr>
        <w:ilvl w:val="1"/>
      </w:numPr>
      <w:spacing w:after="160" w:line="276"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032E51"/>
    <w:rPr>
      <w:rFonts w:eastAsiaTheme="majorEastAsia" w:cstheme="majorBidi"/>
      <w:color w:val="595959" w:themeColor="text1" w:themeTint="A6"/>
      <w:spacing w:val="15"/>
      <w:kern w:val="2"/>
      <w:sz w:val="28"/>
      <w:szCs w:val="28"/>
      <w:lang w:val="en-GB"/>
      <w14:ligatures w14:val="standardContextual"/>
    </w:rPr>
  </w:style>
  <w:style w:type="character" w:styleId="Strong">
    <w:name w:val="Strong"/>
    <w:basedOn w:val="DefaultParagraphFont"/>
    <w:uiPriority w:val="22"/>
    <w:qFormat/>
    <w:rsid w:val="00CF4732"/>
    <w:rPr>
      <w:b/>
      <w:bCs/>
    </w:rPr>
  </w:style>
  <w:style w:type="table" w:customStyle="1" w:styleId="Volet2">
    <w:name w:val="Volet2"/>
    <w:basedOn w:val="TableNormal"/>
    <w:next w:val="TableGrid"/>
    <w:uiPriority w:val="39"/>
    <w:rsid w:val="00901F9B"/>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olet3">
    <w:name w:val="Volet3"/>
    <w:basedOn w:val="TableNormal"/>
    <w:next w:val="TableGrid"/>
    <w:uiPriority w:val="39"/>
    <w:rsid w:val="00D04638"/>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rsid w:val="00E87AFA"/>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1">
    <w:name w:val="CV11"/>
    <w:basedOn w:val="TableNormal"/>
    <w:next w:val="TableGrid"/>
    <w:uiPriority w:val="59"/>
    <w:rsid w:val="00EF697A"/>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4629A1"/>
    <w:pPr>
      <w:spacing w:after="160" w:line="240" w:lineRule="exact"/>
    </w:pPr>
    <w:rPr>
      <w:kern w:val="2"/>
      <w:vertAlign w:val="superscript"/>
      <w:lang w:val="en-GB" w:eastAsia="en-GB"/>
      <w14:ligatures w14:val="standardContextual"/>
    </w:rPr>
  </w:style>
  <w:style w:type="paragraph" w:styleId="ListBullet">
    <w:name w:val="List Bullet"/>
    <w:basedOn w:val="Normal"/>
    <w:rsid w:val="005268EF"/>
    <w:pPr>
      <w:numPr>
        <w:numId w:val="44"/>
      </w:numPr>
      <w:spacing w:after="240"/>
      <w:jc w:val="both"/>
    </w:pPr>
    <w:rPr>
      <w:szCs w:val="20"/>
      <w:lang w:val="en-GB" w:eastAsia="en-US"/>
    </w:rPr>
  </w:style>
  <w:style w:type="paragraph" w:customStyle="1" w:styleId="Default">
    <w:name w:val="Default"/>
    <w:rsid w:val="001979E4"/>
    <w:pPr>
      <w:widowControl/>
      <w:adjustRightInd w:val="0"/>
    </w:pPr>
    <w:rPr>
      <w:rFonts w:ascii="Times New Roman" w:hAnsi="Times New Roman" w:cs="Times New Roman"/>
      <w:color w:val="000000"/>
      <w:sz w:val="24"/>
      <w:szCs w:val="24"/>
      <w:lang w:val="en-GB"/>
      <w14:ligatures w14:val="standardContextual"/>
    </w:rPr>
  </w:style>
  <w:style w:type="character" w:customStyle="1" w:styleId="Marker">
    <w:name w:val="Marker"/>
    <w:basedOn w:val="DefaultParagraphFont"/>
    <w:rsid w:val="00724722"/>
    <w:rPr>
      <w:color w:val="0000FF"/>
      <w:shd w:val="clear" w:color="auto" w:fill="auto"/>
    </w:rPr>
  </w:style>
  <w:style w:type="paragraph" w:customStyle="1" w:styleId="Pagedecouverture">
    <w:name w:val="Page de couverture"/>
    <w:basedOn w:val="Normal"/>
    <w:next w:val="Normal"/>
    <w:link w:val="PagedecouvertureChar"/>
    <w:rsid w:val="00724722"/>
    <w:pPr>
      <w:jc w:val="both"/>
    </w:pPr>
    <w:rPr>
      <w:rFonts w:eastAsiaTheme="minorHAnsi"/>
      <w:szCs w:val="22"/>
      <w:lang w:eastAsia="en-US"/>
    </w:rPr>
  </w:style>
  <w:style w:type="paragraph" w:customStyle="1" w:styleId="FooterCoverPage">
    <w:name w:val="Footer Cover Page"/>
    <w:basedOn w:val="Normal"/>
    <w:link w:val="FooterCoverPageChar"/>
    <w:rsid w:val="00724722"/>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sid w:val="00724722"/>
    <w:rPr>
      <w:rFonts w:ascii="Times New Roman" w:hAnsi="Times New Roman" w:cs="Times New Roman"/>
      <w:sz w:val="24"/>
      <w:lang w:val="en-IE"/>
    </w:rPr>
  </w:style>
  <w:style w:type="character" w:customStyle="1" w:styleId="FooterCoverPageChar">
    <w:name w:val="Footer Cover Page Char"/>
    <w:basedOn w:val="PagedecouvertureChar"/>
    <w:link w:val="FooterCoverPage"/>
    <w:rsid w:val="00724722"/>
    <w:rPr>
      <w:rFonts w:ascii="Times New Roman" w:eastAsia="Times New Roman" w:hAnsi="Times New Roman" w:cs="Times New Roman"/>
      <w:sz w:val="24"/>
      <w:szCs w:val="24"/>
      <w:lang w:val="en-IE" w:eastAsia="en-IE"/>
    </w:rPr>
  </w:style>
  <w:style w:type="paragraph" w:customStyle="1" w:styleId="FooterSensitivity">
    <w:name w:val="Footer Sensitivity"/>
    <w:basedOn w:val="Normal"/>
    <w:link w:val="FooterSensitivityChar"/>
    <w:rsid w:val="00724722"/>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724722"/>
    <w:rPr>
      <w:rFonts w:ascii="Times New Roman" w:eastAsia="Times New Roman" w:hAnsi="Times New Roman" w:cs="Times New Roman"/>
      <w:b/>
      <w:sz w:val="32"/>
      <w:szCs w:val="24"/>
      <w:lang w:val="en-IE" w:eastAsia="en-IE"/>
    </w:rPr>
  </w:style>
  <w:style w:type="paragraph" w:customStyle="1" w:styleId="HeaderCoverPage">
    <w:name w:val="Header Cover Page"/>
    <w:basedOn w:val="Normal"/>
    <w:link w:val="HeaderCoverPageChar"/>
    <w:rsid w:val="00724722"/>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724722"/>
    <w:rPr>
      <w:rFonts w:ascii="Times New Roman" w:eastAsia="Times New Roman" w:hAnsi="Times New Roman" w:cs="Times New Roman"/>
      <w:sz w:val="24"/>
      <w:szCs w:val="24"/>
      <w:lang w:val="en-IE" w:eastAsia="en-IE"/>
    </w:rPr>
  </w:style>
  <w:style w:type="paragraph" w:customStyle="1" w:styleId="HeaderSensitivity">
    <w:name w:val="Header Sensitivity"/>
    <w:basedOn w:val="Normal"/>
    <w:link w:val="HeaderSensitivityChar"/>
    <w:rsid w:val="00724722"/>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724722"/>
    <w:rPr>
      <w:rFonts w:ascii="Times New Roman" w:eastAsia="Times New Roman" w:hAnsi="Times New Roman" w:cs="Times New Roman"/>
      <w:b/>
      <w:sz w:val="32"/>
      <w:szCs w:val="24"/>
      <w:lang w:val="en-IE" w:eastAsia="en-IE"/>
    </w:rPr>
  </w:style>
  <w:style w:type="paragraph" w:customStyle="1" w:styleId="HeaderSensitivityRight">
    <w:name w:val="Header Sensitivity Right"/>
    <w:basedOn w:val="Normal"/>
    <w:link w:val="HeaderSensitivityRightChar"/>
    <w:rsid w:val="00724722"/>
    <w:pPr>
      <w:spacing w:after="120"/>
      <w:jc w:val="right"/>
    </w:pPr>
    <w:rPr>
      <w:sz w:val="28"/>
    </w:rPr>
  </w:style>
  <w:style w:type="character" w:customStyle="1" w:styleId="HeaderSensitivityRightChar">
    <w:name w:val="Header Sensitivity Right Char"/>
    <w:basedOn w:val="PagedecouvertureChar"/>
    <w:link w:val="HeaderSensitivityRight"/>
    <w:rsid w:val="00724722"/>
    <w:rPr>
      <w:rFonts w:ascii="Times New Roman" w:eastAsia="Times New Roman" w:hAnsi="Times New Roman" w:cs="Times New Roman"/>
      <w:sz w:val="28"/>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4443">
      <w:bodyDiv w:val="1"/>
      <w:marLeft w:val="0"/>
      <w:marRight w:val="0"/>
      <w:marTop w:val="0"/>
      <w:marBottom w:val="0"/>
      <w:divBdr>
        <w:top w:val="none" w:sz="0" w:space="0" w:color="auto"/>
        <w:left w:val="none" w:sz="0" w:space="0" w:color="auto"/>
        <w:bottom w:val="none" w:sz="0" w:space="0" w:color="auto"/>
        <w:right w:val="none" w:sz="0" w:space="0" w:color="auto"/>
      </w:divBdr>
    </w:div>
    <w:div w:id="14767468">
      <w:bodyDiv w:val="1"/>
      <w:marLeft w:val="0"/>
      <w:marRight w:val="0"/>
      <w:marTop w:val="0"/>
      <w:marBottom w:val="0"/>
      <w:divBdr>
        <w:top w:val="none" w:sz="0" w:space="0" w:color="auto"/>
        <w:left w:val="none" w:sz="0" w:space="0" w:color="auto"/>
        <w:bottom w:val="none" w:sz="0" w:space="0" w:color="auto"/>
        <w:right w:val="none" w:sz="0" w:space="0" w:color="auto"/>
      </w:divBdr>
    </w:div>
    <w:div w:id="23866035">
      <w:bodyDiv w:val="1"/>
      <w:marLeft w:val="0"/>
      <w:marRight w:val="0"/>
      <w:marTop w:val="0"/>
      <w:marBottom w:val="0"/>
      <w:divBdr>
        <w:top w:val="none" w:sz="0" w:space="0" w:color="auto"/>
        <w:left w:val="none" w:sz="0" w:space="0" w:color="auto"/>
        <w:bottom w:val="none" w:sz="0" w:space="0" w:color="auto"/>
        <w:right w:val="none" w:sz="0" w:space="0" w:color="auto"/>
      </w:divBdr>
    </w:div>
    <w:div w:id="41373436">
      <w:bodyDiv w:val="1"/>
      <w:marLeft w:val="0"/>
      <w:marRight w:val="0"/>
      <w:marTop w:val="0"/>
      <w:marBottom w:val="0"/>
      <w:divBdr>
        <w:top w:val="none" w:sz="0" w:space="0" w:color="auto"/>
        <w:left w:val="none" w:sz="0" w:space="0" w:color="auto"/>
        <w:bottom w:val="none" w:sz="0" w:space="0" w:color="auto"/>
        <w:right w:val="none" w:sz="0" w:space="0" w:color="auto"/>
      </w:divBdr>
    </w:div>
    <w:div w:id="43600321">
      <w:bodyDiv w:val="1"/>
      <w:marLeft w:val="0"/>
      <w:marRight w:val="0"/>
      <w:marTop w:val="0"/>
      <w:marBottom w:val="0"/>
      <w:divBdr>
        <w:top w:val="none" w:sz="0" w:space="0" w:color="auto"/>
        <w:left w:val="none" w:sz="0" w:space="0" w:color="auto"/>
        <w:bottom w:val="none" w:sz="0" w:space="0" w:color="auto"/>
        <w:right w:val="none" w:sz="0" w:space="0" w:color="auto"/>
      </w:divBdr>
    </w:div>
    <w:div w:id="58525617">
      <w:bodyDiv w:val="1"/>
      <w:marLeft w:val="0"/>
      <w:marRight w:val="0"/>
      <w:marTop w:val="0"/>
      <w:marBottom w:val="0"/>
      <w:divBdr>
        <w:top w:val="none" w:sz="0" w:space="0" w:color="auto"/>
        <w:left w:val="none" w:sz="0" w:space="0" w:color="auto"/>
        <w:bottom w:val="none" w:sz="0" w:space="0" w:color="auto"/>
        <w:right w:val="none" w:sz="0" w:space="0" w:color="auto"/>
      </w:divBdr>
    </w:div>
    <w:div w:id="66658811">
      <w:bodyDiv w:val="1"/>
      <w:marLeft w:val="0"/>
      <w:marRight w:val="0"/>
      <w:marTop w:val="0"/>
      <w:marBottom w:val="0"/>
      <w:divBdr>
        <w:top w:val="none" w:sz="0" w:space="0" w:color="auto"/>
        <w:left w:val="none" w:sz="0" w:space="0" w:color="auto"/>
        <w:bottom w:val="none" w:sz="0" w:space="0" w:color="auto"/>
        <w:right w:val="none" w:sz="0" w:space="0" w:color="auto"/>
      </w:divBdr>
    </w:div>
    <w:div w:id="72092448">
      <w:bodyDiv w:val="1"/>
      <w:marLeft w:val="0"/>
      <w:marRight w:val="0"/>
      <w:marTop w:val="0"/>
      <w:marBottom w:val="0"/>
      <w:divBdr>
        <w:top w:val="none" w:sz="0" w:space="0" w:color="auto"/>
        <w:left w:val="none" w:sz="0" w:space="0" w:color="auto"/>
        <w:bottom w:val="none" w:sz="0" w:space="0" w:color="auto"/>
        <w:right w:val="none" w:sz="0" w:space="0" w:color="auto"/>
      </w:divBdr>
    </w:div>
    <w:div w:id="79179063">
      <w:bodyDiv w:val="1"/>
      <w:marLeft w:val="0"/>
      <w:marRight w:val="0"/>
      <w:marTop w:val="0"/>
      <w:marBottom w:val="0"/>
      <w:divBdr>
        <w:top w:val="none" w:sz="0" w:space="0" w:color="auto"/>
        <w:left w:val="none" w:sz="0" w:space="0" w:color="auto"/>
        <w:bottom w:val="none" w:sz="0" w:space="0" w:color="auto"/>
        <w:right w:val="none" w:sz="0" w:space="0" w:color="auto"/>
      </w:divBdr>
    </w:div>
    <w:div w:id="79909984">
      <w:bodyDiv w:val="1"/>
      <w:marLeft w:val="0"/>
      <w:marRight w:val="0"/>
      <w:marTop w:val="0"/>
      <w:marBottom w:val="0"/>
      <w:divBdr>
        <w:top w:val="none" w:sz="0" w:space="0" w:color="auto"/>
        <w:left w:val="none" w:sz="0" w:space="0" w:color="auto"/>
        <w:bottom w:val="none" w:sz="0" w:space="0" w:color="auto"/>
        <w:right w:val="none" w:sz="0" w:space="0" w:color="auto"/>
      </w:divBdr>
    </w:div>
    <w:div w:id="88963055">
      <w:bodyDiv w:val="1"/>
      <w:marLeft w:val="0"/>
      <w:marRight w:val="0"/>
      <w:marTop w:val="0"/>
      <w:marBottom w:val="0"/>
      <w:divBdr>
        <w:top w:val="none" w:sz="0" w:space="0" w:color="auto"/>
        <w:left w:val="none" w:sz="0" w:space="0" w:color="auto"/>
        <w:bottom w:val="none" w:sz="0" w:space="0" w:color="auto"/>
        <w:right w:val="none" w:sz="0" w:space="0" w:color="auto"/>
      </w:divBdr>
      <w:divsChild>
        <w:div w:id="813721681">
          <w:marLeft w:val="0"/>
          <w:marRight w:val="0"/>
          <w:marTop w:val="0"/>
          <w:marBottom w:val="0"/>
          <w:divBdr>
            <w:top w:val="none" w:sz="0" w:space="0" w:color="auto"/>
            <w:left w:val="none" w:sz="0" w:space="0" w:color="auto"/>
            <w:bottom w:val="none" w:sz="0" w:space="0" w:color="auto"/>
            <w:right w:val="none" w:sz="0" w:space="0" w:color="auto"/>
          </w:divBdr>
        </w:div>
        <w:div w:id="896740526">
          <w:marLeft w:val="0"/>
          <w:marRight w:val="0"/>
          <w:marTop w:val="0"/>
          <w:marBottom w:val="0"/>
          <w:divBdr>
            <w:top w:val="none" w:sz="0" w:space="0" w:color="auto"/>
            <w:left w:val="none" w:sz="0" w:space="0" w:color="auto"/>
            <w:bottom w:val="none" w:sz="0" w:space="0" w:color="auto"/>
            <w:right w:val="none" w:sz="0" w:space="0" w:color="auto"/>
          </w:divBdr>
        </w:div>
        <w:div w:id="921646455">
          <w:marLeft w:val="0"/>
          <w:marRight w:val="0"/>
          <w:marTop w:val="0"/>
          <w:marBottom w:val="0"/>
          <w:divBdr>
            <w:top w:val="none" w:sz="0" w:space="0" w:color="auto"/>
            <w:left w:val="none" w:sz="0" w:space="0" w:color="auto"/>
            <w:bottom w:val="none" w:sz="0" w:space="0" w:color="auto"/>
            <w:right w:val="none" w:sz="0" w:space="0" w:color="auto"/>
          </w:divBdr>
        </w:div>
        <w:div w:id="1163624038">
          <w:marLeft w:val="0"/>
          <w:marRight w:val="0"/>
          <w:marTop w:val="0"/>
          <w:marBottom w:val="0"/>
          <w:divBdr>
            <w:top w:val="none" w:sz="0" w:space="0" w:color="auto"/>
            <w:left w:val="none" w:sz="0" w:space="0" w:color="auto"/>
            <w:bottom w:val="none" w:sz="0" w:space="0" w:color="auto"/>
            <w:right w:val="none" w:sz="0" w:space="0" w:color="auto"/>
          </w:divBdr>
        </w:div>
      </w:divsChild>
    </w:div>
    <w:div w:id="89594797">
      <w:bodyDiv w:val="1"/>
      <w:marLeft w:val="0"/>
      <w:marRight w:val="0"/>
      <w:marTop w:val="0"/>
      <w:marBottom w:val="0"/>
      <w:divBdr>
        <w:top w:val="none" w:sz="0" w:space="0" w:color="auto"/>
        <w:left w:val="none" w:sz="0" w:space="0" w:color="auto"/>
        <w:bottom w:val="none" w:sz="0" w:space="0" w:color="auto"/>
        <w:right w:val="none" w:sz="0" w:space="0" w:color="auto"/>
      </w:divBdr>
    </w:div>
    <w:div w:id="90786768">
      <w:bodyDiv w:val="1"/>
      <w:marLeft w:val="0"/>
      <w:marRight w:val="0"/>
      <w:marTop w:val="0"/>
      <w:marBottom w:val="0"/>
      <w:divBdr>
        <w:top w:val="none" w:sz="0" w:space="0" w:color="auto"/>
        <w:left w:val="none" w:sz="0" w:space="0" w:color="auto"/>
        <w:bottom w:val="none" w:sz="0" w:space="0" w:color="auto"/>
        <w:right w:val="none" w:sz="0" w:space="0" w:color="auto"/>
      </w:divBdr>
      <w:divsChild>
        <w:div w:id="337194338">
          <w:marLeft w:val="0"/>
          <w:marRight w:val="0"/>
          <w:marTop w:val="0"/>
          <w:marBottom w:val="0"/>
          <w:divBdr>
            <w:top w:val="none" w:sz="0" w:space="0" w:color="auto"/>
            <w:left w:val="none" w:sz="0" w:space="0" w:color="auto"/>
            <w:bottom w:val="none" w:sz="0" w:space="0" w:color="auto"/>
            <w:right w:val="none" w:sz="0" w:space="0" w:color="auto"/>
          </w:divBdr>
        </w:div>
        <w:div w:id="662703524">
          <w:marLeft w:val="0"/>
          <w:marRight w:val="0"/>
          <w:marTop w:val="0"/>
          <w:marBottom w:val="0"/>
          <w:divBdr>
            <w:top w:val="none" w:sz="0" w:space="0" w:color="auto"/>
            <w:left w:val="none" w:sz="0" w:space="0" w:color="auto"/>
            <w:bottom w:val="none" w:sz="0" w:space="0" w:color="auto"/>
            <w:right w:val="none" w:sz="0" w:space="0" w:color="auto"/>
          </w:divBdr>
        </w:div>
        <w:div w:id="1419139302">
          <w:marLeft w:val="0"/>
          <w:marRight w:val="0"/>
          <w:marTop w:val="0"/>
          <w:marBottom w:val="0"/>
          <w:divBdr>
            <w:top w:val="none" w:sz="0" w:space="0" w:color="auto"/>
            <w:left w:val="none" w:sz="0" w:space="0" w:color="auto"/>
            <w:bottom w:val="none" w:sz="0" w:space="0" w:color="auto"/>
            <w:right w:val="none" w:sz="0" w:space="0" w:color="auto"/>
          </w:divBdr>
        </w:div>
      </w:divsChild>
    </w:div>
    <w:div w:id="97533710">
      <w:bodyDiv w:val="1"/>
      <w:marLeft w:val="0"/>
      <w:marRight w:val="0"/>
      <w:marTop w:val="0"/>
      <w:marBottom w:val="0"/>
      <w:divBdr>
        <w:top w:val="none" w:sz="0" w:space="0" w:color="auto"/>
        <w:left w:val="none" w:sz="0" w:space="0" w:color="auto"/>
        <w:bottom w:val="none" w:sz="0" w:space="0" w:color="auto"/>
        <w:right w:val="none" w:sz="0" w:space="0" w:color="auto"/>
      </w:divBdr>
    </w:div>
    <w:div w:id="102650375">
      <w:bodyDiv w:val="1"/>
      <w:marLeft w:val="0"/>
      <w:marRight w:val="0"/>
      <w:marTop w:val="0"/>
      <w:marBottom w:val="0"/>
      <w:divBdr>
        <w:top w:val="none" w:sz="0" w:space="0" w:color="auto"/>
        <w:left w:val="none" w:sz="0" w:space="0" w:color="auto"/>
        <w:bottom w:val="none" w:sz="0" w:space="0" w:color="auto"/>
        <w:right w:val="none" w:sz="0" w:space="0" w:color="auto"/>
      </w:divBdr>
    </w:div>
    <w:div w:id="144514579">
      <w:bodyDiv w:val="1"/>
      <w:marLeft w:val="0"/>
      <w:marRight w:val="0"/>
      <w:marTop w:val="0"/>
      <w:marBottom w:val="0"/>
      <w:divBdr>
        <w:top w:val="none" w:sz="0" w:space="0" w:color="auto"/>
        <w:left w:val="none" w:sz="0" w:space="0" w:color="auto"/>
        <w:bottom w:val="none" w:sz="0" w:space="0" w:color="auto"/>
        <w:right w:val="none" w:sz="0" w:space="0" w:color="auto"/>
      </w:divBdr>
    </w:div>
    <w:div w:id="153879167">
      <w:bodyDiv w:val="1"/>
      <w:marLeft w:val="0"/>
      <w:marRight w:val="0"/>
      <w:marTop w:val="0"/>
      <w:marBottom w:val="0"/>
      <w:divBdr>
        <w:top w:val="none" w:sz="0" w:space="0" w:color="auto"/>
        <w:left w:val="none" w:sz="0" w:space="0" w:color="auto"/>
        <w:bottom w:val="none" w:sz="0" w:space="0" w:color="auto"/>
        <w:right w:val="none" w:sz="0" w:space="0" w:color="auto"/>
      </w:divBdr>
    </w:div>
    <w:div w:id="157892091">
      <w:bodyDiv w:val="1"/>
      <w:marLeft w:val="0"/>
      <w:marRight w:val="0"/>
      <w:marTop w:val="0"/>
      <w:marBottom w:val="0"/>
      <w:divBdr>
        <w:top w:val="none" w:sz="0" w:space="0" w:color="auto"/>
        <w:left w:val="none" w:sz="0" w:space="0" w:color="auto"/>
        <w:bottom w:val="none" w:sz="0" w:space="0" w:color="auto"/>
        <w:right w:val="none" w:sz="0" w:space="0" w:color="auto"/>
      </w:divBdr>
    </w:div>
    <w:div w:id="161898815">
      <w:bodyDiv w:val="1"/>
      <w:marLeft w:val="0"/>
      <w:marRight w:val="0"/>
      <w:marTop w:val="0"/>
      <w:marBottom w:val="0"/>
      <w:divBdr>
        <w:top w:val="none" w:sz="0" w:space="0" w:color="auto"/>
        <w:left w:val="none" w:sz="0" w:space="0" w:color="auto"/>
        <w:bottom w:val="none" w:sz="0" w:space="0" w:color="auto"/>
        <w:right w:val="none" w:sz="0" w:space="0" w:color="auto"/>
      </w:divBdr>
    </w:div>
    <w:div w:id="162861452">
      <w:bodyDiv w:val="1"/>
      <w:marLeft w:val="0"/>
      <w:marRight w:val="0"/>
      <w:marTop w:val="0"/>
      <w:marBottom w:val="0"/>
      <w:divBdr>
        <w:top w:val="none" w:sz="0" w:space="0" w:color="auto"/>
        <w:left w:val="none" w:sz="0" w:space="0" w:color="auto"/>
        <w:bottom w:val="none" w:sz="0" w:space="0" w:color="auto"/>
        <w:right w:val="none" w:sz="0" w:space="0" w:color="auto"/>
      </w:divBdr>
    </w:div>
    <w:div w:id="163134625">
      <w:bodyDiv w:val="1"/>
      <w:marLeft w:val="0"/>
      <w:marRight w:val="0"/>
      <w:marTop w:val="0"/>
      <w:marBottom w:val="0"/>
      <w:divBdr>
        <w:top w:val="none" w:sz="0" w:space="0" w:color="auto"/>
        <w:left w:val="none" w:sz="0" w:space="0" w:color="auto"/>
        <w:bottom w:val="none" w:sz="0" w:space="0" w:color="auto"/>
        <w:right w:val="none" w:sz="0" w:space="0" w:color="auto"/>
      </w:divBdr>
    </w:div>
    <w:div w:id="167331472">
      <w:bodyDiv w:val="1"/>
      <w:marLeft w:val="0"/>
      <w:marRight w:val="0"/>
      <w:marTop w:val="0"/>
      <w:marBottom w:val="0"/>
      <w:divBdr>
        <w:top w:val="none" w:sz="0" w:space="0" w:color="auto"/>
        <w:left w:val="none" w:sz="0" w:space="0" w:color="auto"/>
        <w:bottom w:val="none" w:sz="0" w:space="0" w:color="auto"/>
        <w:right w:val="none" w:sz="0" w:space="0" w:color="auto"/>
      </w:divBdr>
    </w:div>
    <w:div w:id="177083144">
      <w:bodyDiv w:val="1"/>
      <w:marLeft w:val="0"/>
      <w:marRight w:val="0"/>
      <w:marTop w:val="0"/>
      <w:marBottom w:val="0"/>
      <w:divBdr>
        <w:top w:val="none" w:sz="0" w:space="0" w:color="auto"/>
        <w:left w:val="none" w:sz="0" w:space="0" w:color="auto"/>
        <w:bottom w:val="none" w:sz="0" w:space="0" w:color="auto"/>
        <w:right w:val="none" w:sz="0" w:space="0" w:color="auto"/>
      </w:divBdr>
    </w:div>
    <w:div w:id="189147480">
      <w:bodyDiv w:val="1"/>
      <w:marLeft w:val="0"/>
      <w:marRight w:val="0"/>
      <w:marTop w:val="0"/>
      <w:marBottom w:val="0"/>
      <w:divBdr>
        <w:top w:val="none" w:sz="0" w:space="0" w:color="auto"/>
        <w:left w:val="none" w:sz="0" w:space="0" w:color="auto"/>
        <w:bottom w:val="none" w:sz="0" w:space="0" w:color="auto"/>
        <w:right w:val="none" w:sz="0" w:space="0" w:color="auto"/>
      </w:divBdr>
    </w:div>
    <w:div w:id="191962725">
      <w:bodyDiv w:val="1"/>
      <w:marLeft w:val="0"/>
      <w:marRight w:val="0"/>
      <w:marTop w:val="0"/>
      <w:marBottom w:val="0"/>
      <w:divBdr>
        <w:top w:val="none" w:sz="0" w:space="0" w:color="auto"/>
        <w:left w:val="none" w:sz="0" w:space="0" w:color="auto"/>
        <w:bottom w:val="none" w:sz="0" w:space="0" w:color="auto"/>
        <w:right w:val="none" w:sz="0" w:space="0" w:color="auto"/>
      </w:divBdr>
    </w:div>
    <w:div w:id="192116515">
      <w:bodyDiv w:val="1"/>
      <w:marLeft w:val="0"/>
      <w:marRight w:val="0"/>
      <w:marTop w:val="0"/>
      <w:marBottom w:val="0"/>
      <w:divBdr>
        <w:top w:val="none" w:sz="0" w:space="0" w:color="auto"/>
        <w:left w:val="none" w:sz="0" w:space="0" w:color="auto"/>
        <w:bottom w:val="none" w:sz="0" w:space="0" w:color="auto"/>
        <w:right w:val="none" w:sz="0" w:space="0" w:color="auto"/>
      </w:divBdr>
    </w:div>
    <w:div w:id="208536943">
      <w:bodyDiv w:val="1"/>
      <w:marLeft w:val="0"/>
      <w:marRight w:val="0"/>
      <w:marTop w:val="0"/>
      <w:marBottom w:val="0"/>
      <w:divBdr>
        <w:top w:val="none" w:sz="0" w:space="0" w:color="auto"/>
        <w:left w:val="none" w:sz="0" w:space="0" w:color="auto"/>
        <w:bottom w:val="none" w:sz="0" w:space="0" w:color="auto"/>
        <w:right w:val="none" w:sz="0" w:space="0" w:color="auto"/>
      </w:divBdr>
    </w:div>
    <w:div w:id="208806660">
      <w:bodyDiv w:val="1"/>
      <w:marLeft w:val="0"/>
      <w:marRight w:val="0"/>
      <w:marTop w:val="0"/>
      <w:marBottom w:val="0"/>
      <w:divBdr>
        <w:top w:val="none" w:sz="0" w:space="0" w:color="auto"/>
        <w:left w:val="none" w:sz="0" w:space="0" w:color="auto"/>
        <w:bottom w:val="none" w:sz="0" w:space="0" w:color="auto"/>
        <w:right w:val="none" w:sz="0" w:space="0" w:color="auto"/>
      </w:divBdr>
    </w:div>
    <w:div w:id="210728973">
      <w:bodyDiv w:val="1"/>
      <w:marLeft w:val="0"/>
      <w:marRight w:val="0"/>
      <w:marTop w:val="0"/>
      <w:marBottom w:val="0"/>
      <w:divBdr>
        <w:top w:val="none" w:sz="0" w:space="0" w:color="auto"/>
        <w:left w:val="none" w:sz="0" w:space="0" w:color="auto"/>
        <w:bottom w:val="none" w:sz="0" w:space="0" w:color="auto"/>
        <w:right w:val="none" w:sz="0" w:space="0" w:color="auto"/>
      </w:divBdr>
      <w:divsChild>
        <w:div w:id="191460141">
          <w:marLeft w:val="0"/>
          <w:marRight w:val="0"/>
          <w:marTop w:val="0"/>
          <w:marBottom w:val="0"/>
          <w:divBdr>
            <w:top w:val="none" w:sz="0" w:space="0" w:color="auto"/>
            <w:left w:val="none" w:sz="0" w:space="0" w:color="auto"/>
            <w:bottom w:val="none" w:sz="0" w:space="0" w:color="auto"/>
            <w:right w:val="none" w:sz="0" w:space="0" w:color="auto"/>
          </w:divBdr>
        </w:div>
        <w:div w:id="232355099">
          <w:marLeft w:val="0"/>
          <w:marRight w:val="0"/>
          <w:marTop w:val="0"/>
          <w:marBottom w:val="0"/>
          <w:divBdr>
            <w:top w:val="none" w:sz="0" w:space="0" w:color="auto"/>
            <w:left w:val="none" w:sz="0" w:space="0" w:color="auto"/>
            <w:bottom w:val="none" w:sz="0" w:space="0" w:color="auto"/>
            <w:right w:val="none" w:sz="0" w:space="0" w:color="auto"/>
          </w:divBdr>
        </w:div>
        <w:div w:id="974717045">
          <w:marLeft w:val="0"/>
          <w:marRight w:val="0"/>
          <w:marTop w:val="0"/>
          <w:marBottom w:val="0"/>
          <w:divBdr>
            <w:top w:val="none" w:sz="0" w:space="0" w:color="auto"/>
            <w:left w:val="none" w:sz="0" w:space="0" w:color="auto"/>
            <w:bottom w:val="none" w:sz="0" w:space="0" w:color="auto"/>
            <w:right w:val="none" w:sz="0" w:space="0" w:color="auto"/>
          </w:divBdr>
        </w:div>
        <w:div w:id="1116680129">
          <w:marLeft w:val="0"/>
          <w:marRight w:val="0"/>
          <w:marTop w:val="0"/>
          <w:marBottom w:val="0"/>
          <w:divBdr>
            <w:top w:val="none" w:sz="0" w:space="0" w:color="auto"/>
            <w:left w:val="none" w:sz="0" w:space="0" w:color="auto"/>
            <w:bottom w:val="none" w:sz="0" w:space="0" w:color="auto"/>
            <w:right w:val="none" w:sz="0" w:space="0" w:color="auto"/>
          </w:divBdr>
        </w:div>
        <w:div w:id="1199007781">
          <w:marLeft w:val="0"/>
          <w:marRight w:val="0"/>
          <w:marTop w:val="0"/>
          <w:marBottom w:val="0"/>
          <w:divBdr>
            <w:top w:val="none" w:sz="0" w:space="0" w:color="auto"/>
            <w:left w:val="none" w:sz="0" w:space="0" w:color="auto"/>
            <w:bottom w:val="none" w:sz="0" w:space="0" w:color="auto"/>
            <w:right w:val="none" w:sz="0" w:space="0" w:color="auto"/>
          </w:divBdr>
        </w:div>
        <w:div w:id="1956476691">
          <w:marLeft w:val="0"/>
          <w:marRight w:val="0"/>
          <w:marTop w:val="0"/>
          <w:marBottom w:val="0"/>
          <w:divBdr>
            <w:top w:val="none" w:sz="0" w:space="0" w:color="auto"/>
            <w:left w:val="none" w:sz="0" w:space="0" w:color="auto"/>
            <w:bottom w:val="none" w:sz="0" w:space="0" w:color="auto"/>
            <w:right w:val="none" w:sz="0" w:space="0" w:color="auto"/>
          </w:divBdr>
        </w:div>
      </w:divsChild>
    </w:div>
    <w:div w:id="212890964">
      <w:bodyDiv w:val="1"/>
      <w:marLeft w:val="0"/>
      <w:marRight w:val="0"/>
      <w:marTop w:val="0"/>
      <w:marBottom w:val="0"/>
      <w:divBdr>
        <w:top w:val="none" w:sz="0" w:space="0" w:color="auto"/>
        <w:left w:val="none" w:sz="0" w:space="0" w:color="auto"/>
        <w:bottom w:val="none" w:sz="0" w:space="0" w:color="auto"/>
        <w:right w:val="none" w:sz="0" w:space="0" w:color="auto"/>
      </w:divBdr>
    </w:div>
    <w:div w:id="214776902">
      <w:bodyDiv w:val="1"/>
      <w:marLeft w:val="0"/>
      <w:marRight w:val="0"/>
      <w:marTop w:val="0"/>
      <w:marBottom w:val="0"/>
      <w:divBdr>
        <w:top w:val="none" w:sz="0" w:space="0" w:color="auto"/>
        <w:left w:val="none" w:sz="0" w:space="0" w:color="auto"/>
        <w:bottom w:val="none" w:sz="0" w:space="0" w:color="auto"/>
        <w:right w:val="none" w:sz="0" w:space="0" w:color="auto"/>
      </w:divBdr>
    </w:div>
    <w:div w:id="215703653">
      <w:bodyDiv w:val="1"/>
      <w:marLeft w:val="0"/>
      <w:marRight w:val="0"/>
      <w:marTop w:val="0"/>
      <w:marBottom w:val="0"/>
      <w:divBdr>
        <w:top w:val="none" w:sz="0" w:space="0" w:color="auto"/>
        <w:left w:val="none" w:sz="0" w:space="0" w:color="auto"/>
        <w:bottom w:val="none" w:sz="0" w:space="0" w:color="auto"/>
        <w:right w:val="none" w:sz="0" w:space="0" w:color="auto"/>
      </w:divBdr>
    </w:div>
    <w:div w:id="220412589">
      <w:bodyDiv w:val="1"/>
      <w:marLeft w:val="0"/>
      <w:marRight w:val="0"/>
      <w:marTop w:val="0"/>
      <w:marBottom w:val="0"/>
      <w:divBdr>
        <w:top w:val="none" w:sz="0" w:space="0" w:color="auto"/>
        <w:left w:val="none" w:sz="0" w:space="0" w:color="auto"/>
        <w:bottom w:val="none" w:sz="0" w:space="0" w:color="auto"/>
        <w:right w:val="none" w:sz="0" w:space="0" w:color="auto"/>
      </w:divBdr>
    </w:div>
    <w:div w:id="229775028">
      <w:bodyDiv w:val="1"/>
      <w:marLeft w:val="0"/>
      <w:marRight w:val="0"/>
      <w:marTop w:val="0"/>
      <w:marBottom w:val="0"/>
      <w:divBdr>
        <w:top w:val="none" w:sz="0" w:space="0" w:color="auto"/>
        <w:left w:val="none" w:sz="0" w:space="0" w:color="auto"/>
        <w:bottom w:val="none" w:sz="0" w:space="0" w:color="auto"/>
        <w:right w:val="none" w:sz="0" w:space="0" w:color="auto"/>
      </w:divBdr>
    </w:div>
    <w:div w:id="232740054">
      <w:bodyDiv w:val="1"/>
      <w:marLeft w:val="0"/>
      <w:marRight w:val="0"/>
      <w:marTop w:val="0"/>
      <w:marBottom w:val="0"/>
      <w:divBdr>
        <w:top w:val="none" w:sz="0" w:space="0" w:color="auto"/>
        <w:left w:val="none" w:sz="0" w:space="0" w:color="auto"/>
        <w:bottom w:val="none" w:sz="0" w:space="0" w:color="auto"/>
        <w:right w:val="none" w:sz="0" w:space="0" w:color="auto"/>
      </w:divBdr>
    </w:div>
    <w:div w:id="247809894">
      <w:bodyDiv w:val="1"/>
      <w:marLeft w:val="0"/>
      <w:marRight w:val="0"/>
      <w:marTop w:val="0"/>
      <w:marBottom w:val="0"/>
      <w:divBdr>
        <w:top w:val="none" w:sz="0" w:space="0" w:color="auto"/>
        <w:left w:val="none" w:sz="0" w:space="0" w:color="auto"/>
        <w:bottom w:val="none" w:sz="0" w:space="0" w:color="auto"/>
        <w:right w:val="none" w:sz="0" w:space="0" w:color="auto"/>
      </w:divBdr>
    </w:div>
    <w:div w:id="250243302">
      <w:bodyDiv w:val="1"/>
      <w:marLeft w:val="0"/>
      <w:marRight w:val="0"/>
      <w:marTop w:val="0"/>
      <w:marBottom w:val="0"/>
      <w:divBdr>
        <w:top w:val="none" w:sz="0" w:space="0" w:color="auto"/>
        <w:left w:val="none" w:sz="0" w:space="0" w:color="auto"/>
        <w:bottom w:val="none" w:sz="0" w:space="0" w:color="auto"/>
        <w:right w:val="none" w:sz="0" w:space="0" w:color="auto"/>
      </w:divBdr>
      <w:divsChild>
        <w:div w:id="47995292">
          <w:marLeft w:val="0"/>
          <w:marRight w:val="0"/>
          <w:marTop w:val="0"/>
          <w:marBottom w:val="0"/>
          <w:divBdr>
            <w:top w:val="none" w:sz="0" w:space="0" w:color="auto"/>
            <w:left w:val="none" w:sz="0" w:space="0" w:color="auto"/>
            <w:bottom w:val="none" w:sz="0" w:space="0" w:color="auto"/>
            <w:right w:val="none" w:sz="0" w:space="0" w:color="auto"/>
          </w:divBdr>
        </w:div>
        <w:div w:id="122891427">
          <w:marLeft w:val="0"/>
          <w:marRight w:val="0"/>
          <w:marTop w:val="0"/>
          <w:marBottom w:val="0"/>
          <w:divBdr>
            <w:top w:val="none" w:sz="0" w:space="0" w:color="auto"/>
            <w:left w:val="none" w:sz="0" w:space="0" w:color="auto"/>
            <w:bottom w:val="none" w:sz="0" w:space="0" w:color="auto"/>
            <w:right w:val="none" w:sz="0" w:space="0" w:color="auto"/>
          </w:divBdr>
        </w:div>
        <w:div w:id="881291005">
          <w:marLeft w:val="0"/>
          <w:marRight w:val="0"/>
          <w:marTop w:val="0"/>
          <w:marBottom w:val="0"/>
          <w:divBdr>
            <w:top w:val="none" w:sz="0" w:space="0" w:color="auto"/>
            <w:left w:val="none" w:sz="0" w:space="0" w:color="auto"/>
            <w:bottom w:val="none" w:sz="0" w:space="0" w:color="auto"/>
            <w:right w:val="none" w:sz="0" w:space="0" w:color="auto"/>
          </w:divBdr>
        </w:div>
        <w:div w:id="1444687191">
          <w:marLeft w:val="0"/>
          <w:marRight w:val="0"/>
          <w:marTop w:val="0"/>
          <w:marBottom w:val="0"/>
          <w:divBdr>
            <w:top w:val="none" w:sz="0" w:space="0" w:color="auto"/>
            <w:left w:val="none" w:sz="0" w:space="0" w:color="auto"/>
            <w:bottom w:val="none" w:sz="0" w:space="0" w:color="auto"/>
            <w:right w:val="none" w:sz="0" w:space="0" w:color="auto"/>
          </w:divBdr>
        </w:div>
        <w:div w:id="1453093512">
          <w:marLeft w:val="0"/>
          <w:marRight w:val="0"/>
          <w:marTop w:val="0"/>
          <w:marBottom w:val="0"/>
          <w:divBdr>
            <w:top w:val="none" w:sz="0" w:space="0" w:color="auto"/>
            <w:left w:val="none" w:sz="0" w:space="0" w:color="auto"/>
            <w:bottom w:val="none" w:sz="0" w:space="0" w:color="auto"/>
            <w:right w:val="none" w:sz="0" w:space="0" w:color="auto"/>
          </w:divBdr>
        </w:div>
        <w:div w:id="1520663387">
          <w:marLeft w:val="0"/>
          <w:marRight w:val="0"/>
          <w:marTop w:val="0"/>
          <w:marBottom w:val="0"/>
          <w:divBdr>
            <w:top w:val="none" w:sz="0" w:space="0" w:color="auto"/>
            <w:left w:val="none" w:sz="0" w:space="0" w:color="auto"/>
            <w:bottom w:val="none" w:sz="0" w:space="0" w:color="auto"/>
            <w:right w:val="none" w:sz="0" w:space="0" w:color="auto"/>
          </w:divBdr>
        </w:div>
        <w:div w:id="1529486247">
          <w:marLeft w:val="0"/>
          <w:marRight w:val="0"/>
          <w:marTop w:val="0"/>
          <w:marBottom w:val="0"/>
          <w:divBdr>
            <w:top w:val="none" w:sz="0" w:space="0" w:color="auto"/>
            <w:left w:val="none" w:sz="0" w:space="0" w:color="auto"/>
            <w:bottom w:val="none" w:sz="0" w:space="0" w:color="auto"/>
            <w:right w:val="none" w:sz="0" w:space="0" w:color="auto"/>
          </w:divBdr>
        </w:div>
        <w:div w:id="1702242816">
          <w:marLeft w:val="0"/>
          <w:marRight w:val="0"/>
          <w:marTop w:val="0"/>
          <w:marBottom w:val="0"/>
          <w:divBdr>
            <w:top w:val="none" w:sz="0" w:space="0" w:color="auto"/>
            <w:left w:val="none" w:sz="0" w:space="0" w:color="auto"/>
            <w:bottom w:val="none" w:sz="0" w:space="0" w:color="auto"/>
            <w:right w:val="none" w:sz="0" w:space="0" w:color="auto"/>
          </w:divBdr>
        </w:div>
        <w:div w:id="1816295872">
          <w:marLeft w:val="0"/>
          <w:marRight w:val="0"/>
          <w:marTop w:val="0"/>
          <w:marBottom w:val="0"/>
          <w:divBdr>
            <w:top w:val="none" w:sz="0" w:space="0" w:color="auto"/>
            <w:left w:val="none" w:sz="0" w:space="0" w:color="auto"/>
            <w:bottom w:val="none" w:sz="0" w:space="0" w:color="auto"/>
            <w:right w:val="none" w:sz="0" w:space="0" w:color="auto"/>
          </w:divBdr>
        </w:div>
        <w:div w:id="1820269125">
          <w:marLeft w:val="0"/>
          <w:marRight w:val="0"/>
          <w:marTop w:val="0"/>
          <w:marBottom w:val="0"/>
          <w:divBdr>
            <w:top w:val="none" w:sz="0" w:space="0" w:color="auto"/>
            <w:left w:val="none" w:sz="0" w:space="0" w:color="auto"/>
            <w:bottom w:val="none" w:sz="0" w:space="0" w:color="auto"/>
            <w:right w:val="none" w:sz="0" w:space="0" w:color="auto"/>
          </w:divBdr>
        </w:div>
        <w:div w:id="1905141421">
          <w:marLeft w:val="0"/>
          <w:marRight w:val="0"/>
          <w:marTop w:val="0"/>
          <w:marBottom w:val="0"/>
          <w:divBdr>
            <w:top w:val="none" w:sz="0" w:space="0" w:color="auto"/>
            <w:left w:val="none" w:sz="0" w:space="0" w:color="auto"/>
            <w:bottom w:val="none" w:sz="0" w:space="0" w:color="auto"/>
            <w:right w:val="none" w:sz="0" w:space="0" w:color="auto"/>
          </w:divBdr>
        </w:div>
        <w:div w:id="1987397695">
          <w:marLeft w:val="0"/>
          <w:marRight w:val="0"/>
          <w:marTop w:val="0"/>
          <w:marBottom w:val="0"/>
          <w:divBdr>
            <w:top w:val="none" w:sz="0" w:space="0" w:color="auto"/>
            <w:left w:val="none" w:sz="0" w:space="0" w:color="auto"/>
            <w:bottom w:val="none" w:sz="0" w:space="0" w:color="auto"/>
            <w:right w:val="none" w:sz="0" w:space="0" w:color="auto"/>
          </w:divBdr>
        </w:div>
        <w:div w:id="1996762453">
          <w:marLeft w:val="0"/>
          <w:marRight w:val="0"/>
          <w:marTop w:val="0"/>
          <w:marBottom w:val="0"/>
          <w:divBdr>
            <w:top w:val="none" w:sz="0" w:space="0" w:color="auto"/>
            <w:left w:val="none" w:sz="0" w:space="0" w:color="auto"/>
            <w:bottom w:val="none" w:sz="0" w:space="0" w:color="auto"/>
            <w:right w:val="none" w:sz="0" w:space="0" w:color="auto"/>
          </w:divBdr>
        </w:div>
        <w:div w:id="2054183666">
          <w:marLeft w:val="0"/>
          <w:marRight w:val="0"/>
          <w:marTop w:val="0"/>
          <w:marBottom w:val="0"/>
          <w:divBdr>
            <w:top w:val="none" w:sz="0" w:space="0" w:color="auto"/>
            <w:left w:val="none" w:sz="0" w:space="0" w:color="auto"/>
            <w:bottom w:val="none" w:sz="0" w:space="0" w:color="auto"/>
            <w:right w:val="none" w:sz="0" w:space="0" w:color="auto"/>
          </w:divBdr>
        </w:div>
        <w:div w:id="2118938130">
          <w:marLeft w:val="0"/>
          <w:marRight w:val="0"/>
          <w:marTop w:val="0"/>
          <w:marBottom w:val="0"/>
          <w:divBdr>
            <w:top w:val="none" w:sz="0" w:space="0" w:color="auto"/>
            <w:left w:val="none" w:sz="0" w:space="0" w:color="auto"/>
            <w:bottom w:val="none" w:sz="0" w:space="0" w:color="auto"/>
            <w:right w:val="none" w:sz="0" w:space="0" w:color="auto"/>
          </w:divBdr>
        </w:div>
      </w:divsChild>
    </w:div>
    <w:div w:id="255024484">
      <w:bodyDiv w:val="1"/>
      <w:marLeft w:val="0"/>
      <w:marRight w:val="0"/>
      <w:marTop w:val="0"/>
      <w:marBottom w:val="0"/>
      <w:divBdr>
        <w:top w:val="none" w:sz="0" w:space="0" w:color="auto"/>
        <w:left w:val="none" w:sz="0" w:space="0" w:color="auto"/>
        <w:bottom w:val="none" w:sz="0" w:space="0" w:color="auto"/>
        <w:right w:val="none" w:sz="0" w:space="0" w:color="auto"/>
      </w:divBdr>
    </w:div>
    <w:div w:id="267011694">
      <w:bodyDiv w:val="1"/>
      <w:marLeft w:val="0"/>
      <w:marRight w:val="0"/>
      <w:marTop w:val="0"/>
      <w:marBottom w:val="0"/>
      <w:divBdr>
        <w:top w:val="none" w:sz="0" w:space="0" w:color="auto"/>
        <w:left w:val="none" w:sz="0" w:space="0" w:color="auto"/>
        <w:bottom w:val="none" w:sz="0" w:space="0" w:color="auto"/>
        <w:right w:val="none" w:sz="0" w:space="0" w:color="auto"/>
      </w:divBdr>
    </w:div>
    <w:div w:id="272902228">
      <w:bodyDiv w:val="1"/>
      <w:marLeft w:val="0"/>
      <w:marRight w:val="0"/>
      <w:marTop w:val="0"/>
      <w:marBottom w:val="0"/>
      <w:divBdr>
        <w:top w:val="none" w:sz="0" w:space="0" w:color="auto"/>
        <w:left w:val="none" w:sz="0" w:space="0" w:color="auto"/>
        <w:bottom w:val="none" w:sz="0" w:space="0" w:color="auto"/>
        <w:right w:val="none" w:sz="0" w:space="0" w:color="auto"/>
      </w:divBdr>
    </w:div>
    <w:div w:id="273942323">
      <w:bodyDiv w:val="1"/>
      <w:marLeft w:val="0"/>
      <w:marRight w:val="0"/>
      <w:marTop w:val="0"/>
      <w:marBottom w:val="0"/>
      <w:divBdr>
        <w:top w:val="none" w:sz="0" w:space="0" w:color="auto"/>
        <w:left w:val="none" w:sz="0" w:space="0" w:color="auto"/>
        <w:bottom w:val="none" w:sz="0" w:space="0" w:color="auto"/>
        <w:right w:val="none" w:sz="0" w:space="0" w:color="auto"/>
      </w:divBdr>
    </w:div>
    <w:div w:id="295138076">
      <w:bodyDiv w:val="1"/>
      <w:marLeft w:val="0"/>
      <w:marRight w:val="0"/>
      <w:marTop w:val="0"/>
      <w:marBottom w:val="0"/>
      <w:divBdr>
        <w:top w:val="none" w:sz="0" w:space="0" w:color="auto"/>
        <w:left w:val="none" w:sz="0" w:space="0" w:color="auto"/>
        <w:bottom w:val="none" w:sz="0" w:space="0" w:color="auto"/>
        <w:right w:val="none" w:sz="0" w:space="0" w:color="auto"/>
      </w:divBdr>
    </w:div>
    <w:div w:id="295256038">
      <w:bodyDiv w:val="1"/>
      <w:marLeft w:val="0"/>
      <w:marRight w:val="0"/>
      <w:marTop w:val="0"/>
      <w:marBottom w:val="0"/>
      <w:divBdr>
        <w:top w:val="none" w:sz="0" w:space="0" w:color="auto"/>
        <w:left w:val="none" w:sz="0" w:space="0" w:color="auto"/>
        <w:bottom w:val="none" w:sz="0" w:space="0" w:color="auto"/>
        <w:right w:val="none" w:sz="0" w:space="0" w:color="auto"/>
      </w:divBdr>
    </w:div>
    <w:div w:id="306477945">
      <w:bodyDiv w:val="1"/>
      <w:marLeft w:val="0"/>
      <w:marRight w:val="0"/>
      <w:marTop w:val="0"/>
      <w:marBottom w:val="0"/>
      <w:divBdr>
        <w:top w:val="none" w:sz="0" w:space="0" w:color="auto"/>
        <w:left w:val="none" w:sz="0" w:space="0" w:color="auto"/>
        <w:bottom w:val="none" w:sz="0" w:space="0" w:color="auto"/>
        <w:right w:val="none" w:sz="0" w:space="0" w:color="auto"/>
      </w:divBdr>
    </w:div>
    <w:div w:id="310915413">
      <w:bodyDiv w:val="1"/>
      <w:marLeft w:val="0"/>
      <w:marRight w:val="0"/>
      <w:marTop w:val="0"/>
      <w:marBottom w:val="0"/>
      <w:divBdr>
        <w:top w:val="none" w:sz="0" w:space="0" w:color="auto"/>
        <w:left w:val="none" w:sz="0" w:space="0" w:color="auto"/>
        <w:bottom w:val="none" w:sz="0" w:space="0" w:color="auto"/>
        <w:right w:val="none" w:sz="0" w:space="0" w:color="auto"/>
      </w:divBdr>
    </w:div>
    <w:div w:id="320624338">
      <w:bodyDiv w:val="1"/>
      <w:marLeft w:val="0"/>
      <w:marRight w:val="0"/>
      <w:marTop w:val="0"/>
      <w:marBottom w:val="0"/>
      <w:divBdr>
        <w:top w:val="none" w:sz="0" w:space="0" w:color="auto"/>
        <w:left w:val="none" w:sz="0" w:space="0" w:color="auto"/>
        <w:bottom w:val="none" w:sz="0" w:space="0" w:color="auto"/>
        <w:right w:val="none" w:sz="0" w:space="0" w:color="auto"/>
      </w:divBdr>
    </w:div>
    <w:div w:id="321616914">
      <w:bodyDiv w:val="1"/>
      <w:marLeft w:val="0"/>
      <w:marRight w:val="0"/>
      <w:marTop w:val="0"/>
      <w:marBottom w:val="0"/>
      <w:divBdr>
        <w:top w:val="none" w:sz="0" w:space="0" w:color="auto"/>
        <w:left w:val="none" w:sz="0" w:space="0" w:color="auto"/>
        <w:bottom w:val="none" w:sz="0" w:space="0" w:color="auto"/>
        <w:right w:val="none" w:sz="0" w:space="0" w:color="auto"/>
      </w:divBdr>
    </w:div>
    <w:div w:id="322664058">
      <w:bodyDiv w:val="1"/>
      <w:marLeft w:val="0"/>
      <w:marRight w:val="0"/>
      <w:marTop w:val="0"/>
      <w:marBottom w:val="0"/>
      <w:divBdr>
        <w:top w:val="none" w:sz="0" w:space="0" w:color="auto"/>
        <w:left w:val="none" w:sz="0" w:space="0" w:color="auto"/>
        <w:bottom w:val="none" w:sz="0" w:space="0" w:color="auto"/>
        <w:right w:val="none" w:sz="0" w:space="0" w:color="auto"/>
      </w:divBdr>
    </w:div>
    <w:div w:id="333920670">
      <w:bodyDiv w:val="1"/>
      <w:marLeft w:val="0"/>
      <w:marRight w:val="0"/>
      <w:marTop w:val="0"/>
      <w:marBottom w:val="0"/>
      <w:divBdr>
        <w:top w:val="none" w:sz="0" w:space="0" w:color="auto"/>
        <w:left w:val="none" w:sz="0" w:space="0" w:color="auto"/>
        <w:bottom w:val="none" w:sz="0" w:space="0" w:color="auto"/>
        <w:right w:val="none" w:sz="0" w:space="0" w:color="auto"/>
      </w:divBdr>
    </w:div>
    <w:div w:id="337463943">
      <w:bodyDiv w:val="1"/>
      <w:marLeft w:val="0"/>
      <w:marRight w:val="0"/>
      <w:marTop w:val="0"/>
      <w:marBottom w:val="0"/>
      <w:divBdr>
        <w:top w:val="none" w:sz="0" w:space="0" w:color="auto"/>
        <w:left w:val="none" w:sz="0" w:space="0" w:color="auto"/>
        <w:bottom w:val="none" w:sz="0" w:space="0" w:color="auto"/>
        <w:right w:val="none" w:sz="0" w:space="0" w:color="auto"/>
      </w:divBdr>
    </w:div>
    <w:div w:id="349646866">
      <w:bodyDiv w:val="1"/>
      <w:marLeft w:val="0"/>
      <w:marRight w:val="0"/>
      <w:marTop w:val="0"/>
      <w:marBottom w:val="0"/>
      <w:divBdr>
        <w:top w:val="none" w:sz="0" w:space="0" w:color="auto"/>
        <w:left w:val="none" w:sz="0" w:space="0" w:color="auto"/>
        <w:bottom w:val="none" w:sz="0" w:space="0" w:color="auto"/>
        <w:right w:val="none" w:sz="0" w:space="0" w:color="auto"/>
      </w:divBdr>
    </w:div>
    <w:div w:id="353264788">
      <w:bodyDiv w:val="1"/>
      <w:marLeft w:val="0"/>
      <w:marRight w:val="0"/>
      <w:marTop w:val="0"/>
      <w:marBottom w:val="0"/>
      <w:divBdr>
        <w:top w:val="none" w:sz="0" w:space="0" w:color="auto"/>
        <w:left w:val="none" w:sz="0" w:space="0" w:color="auto"/>
        <w:bottom w:val="none" w:sz="0" w:space="0" w:color="auto"/>
        <w:right w:val="none" w:sz="0" w:space="0" w:color="auto"/>
      </w:divBdr>
    </w:div>
    <w:div w:id="353962105">
      <w:bodyDiv w:val="1"/>
      <w:marLeft w:val="0"/>
      <w:marRight w:val="0"/>
      <w:marTop w:val="0"/>
      <w:marBottom w:val="0"/>
      <w:divBdr>
        <w:top w:val="none" w:sz="0" w:space="0" w:color="auto"/>
        <w:left w:val="none" w:sz="0" w:space="0" w:color="auto"/>
        <w:bottom w:val="none" w:sz="0" w:space="0" w:color="auto"/>
        <w:right w:val="none" w:sz="0" w:space="0" w:color="auto"/>
      </w:divBdr>
    </w:div>
    <w:div w:id="358435234">
      <w:bodyDiv w:val="1"/>
      <w:marLeft w:val="0"/>
      <w:marRight w:val="0"/>
      <w:marTop w:val="0"/>
      <w:marBottom w:val="0"/>
      <w:divBdr>
        <w:top w:val="none" w:sz="0" w:space="0" w:color="auto"/>
        <w:left w:val="none" w:sz="0" w:space="0" w:color="auto"/>
        <w:bottom w:val="none" w:sz="0" w:space="0" w:color="auto"/>
        <w:right w:val="none" w:sz="0" w:space="0" w:color="auto"/>
      </w:divBdr>
    </w:div>
    <w:div w:id="361712063">
      <w:bodyDiv w:val="1"/>
      <w:marLeft w:val="0"/>
      <w:marRight w:val="0"/>
      <w:marTop w:val="0"/>
      <w:marBottom w:val="0"/>
      <w:divBdr>
        <w:top w:val="none" w:sz="0" w:space="0" w:color="auto"/>
        <w:left w:val="none" w:sz="0" w:space="0" w:color="auto"/>
        <w:bottom w:val="none" w:sz="0" w:space="0" w:color="auto"/>
        <w:right w:val="none" w:sz="0" w:space="0" w:color="auto"/>
      </w:divBdr>
    </w:div>
    <w:div w:id="365176069">
      <w:bodyDiv w:val="1"/>
      <w:marLeft w:val="0"/>
      <w:marRight w:val="0"/>
      <w:marTop w:val="0"/>
      <w:marBottom w:val="0"/>
      <w:divBdr>
        <w:top w:val="none" w:sz="0" w:space="0" w:color="auto"/>
        <w:left w:val="none" w:sz="0" w:space="0" w:color="auto"/>
        <w:bottom w:val="none" w:sz="0" w:space="0" w:color="auto"/>
        <w:right w:val="none" w:sz="0" w:space="0" w:color="auto"/>
      </w:divBdr>
    </w:div>
    <w:div w:id="376508245">
      <w:bodyDiv w:val="1"/>
      <w:marLeft w:val="0"/>
      <w:marRight w:val="0"/>
      <w:marTop w:val="0"/>
      <w:marBottom w:val="0"/>
      <w:divBdr>
        <w:top w:val="none" w:sz="0" w:space="0" w:color="auto"/>
        <w:left w:val="none" w:sz="0" w:space="0" w:color="auto"/>
        <w:bottom w:val="none" w:sz="0" w:space="0" w:color="auto"/>
        <w:right w:val="none" w:sz="0" w:space="0" w:color="auto"/>
      </w:divBdr>
    </w:div>
    <w:div w:id="377752915">
      <w:bodyDiv w:val="1"/>
      <w:marLeft w:val="0"/>
      <w:marRight w:val="0"/>
      <w:marTop w:val="0"/>
      <w:marBottom w:val="0"/>
      <w:divBdr>
        <w:top w:val="none" w:sz="0" w:space="0" w:color="auto"/>
        <w:left w:val="none" w:sz="0" w:space="0" w:color="auto"/>
        <w:bottom w:val="none" w:sz="0" w:space="0" w:color="auto"/>
        <w:right w:val="none" w:sz="0" w:space="0" w:color="auto"/>
      </w:divBdr>
    </w:div>
    <w:div w:id="386613474">
      <w:bodyDiv w:val="1"/>
      <w:marLeft w:val="0"/>
      <w:marRight w:val="0"/>
      <w:marTop w:val="0"/>
      <w:marBottom w:val="0"/>
      <w:divBdr>
        <w:top w:val="none" w:sz="0" w:space="0" w:color="auto"/>
        <w:left w:val="none" w:sz="0" w:space="0" w:color="auto"/>
        <w:bottom w:val="none" w:sz="0" w:space="0" w:color="auto"/>
        <w:right w:val="none" w:sz="0" w:space="0" w:color="auto"/>
      </w:divBdr>
    </w:div>
    <w:div w:id="414136268">
      <w:bodyDiv w:val="1"/>
      <w:marLeft w:val="0"/>
      <w:marRight w:val="0"/>
      <w:marTop w:val="0"/>
      <w:marBottom w:val="0"/>
      <w:divBdr>
        <w:top w:val="none" w:sz="0" w:space="0" w:color="auto"/>
        <w:left w:val="none" w:sz="0" w:space="0" w:color="auto"/>
        <w:bottom w:val="none" w:sz="0" w:space="0" w:color="auto"/>
        <w:right w:val="none" w:sz="0" w:space="0" w:color="auto"/>
      </w:divBdr>
    </w:div>
    <w:div w:id="431508365">
      <w:bodyDiv w:val="1"/>
      <w:marLeft w:val="0"/>
      <w:marRight w:val="0"/>
      <w:marTop w:val="0"/>
      <w:marBottom w:val="0"/>
      <w:divBdr>
        <w:top w:val="none" w:sz="0" w:space="0" w:color="auto"/>
        <w:left w:val="none" w:sz="0" w:space="0" w:color="auto"/>
        <w:bottom w:val="none" w:sz="0" w:space="0" w:color="auto"/>
        <w:right w:val="none" w:sz="0" w:space="0" w:color="auto"/>
      </w:divBdr>
    </w:div>
    <w:div w:id="432281625">
      <w:bodyDiv w:val="1"/>
      <w:marLeft w:val="0"/>
      <w:marRight w:val="0"/>
      <w:marTop w:val="0"/>
      <w:marBottom w:val="0"/>
      <w:divBdr>
        <w:top w:val="none" w:sz="0" w:space="0" w:color="auto"/>
        <w:left w:val="none" w:sz="0" w:space="0" w:color="auto"/>
        <w:bottom w:val="none" w:sz="0" w:space="0" w:color="auto"/>
        <w:right w:val="none" w:sz="0" w:space="0" w:color="auto"/>
      </w:divBdr>
    </w:div>
    <w:div w:id="448401186">
      <w:bodyDiv w:val="1"/>
      <w:marLeft w:val="0"/>
      <w:marRight w:val="0"/>
      <w:marTop w:val="0"/>
      <w:marBottom w:val="0"/>
      <w:divBdr>
        <w:top w:val="none" w:sz="0" w:space="0" w:color="auto"/>
        <w:left w:val="none" w:sz="0" w:space="0" w:color="auto"/>
        <w:bottom w:val="none" w:sz="0" w:space="0" w:color="auto"/>
        <w:right w:val="none" w:sz="0" w:space="0" w:color="auto"/>
      </w:divBdr>
    </w:div>
    <w:div w:id="453791431">
      <w:bodyDiv w:val="1"/>
      <w:marLeft w:val="0"/>
      <w:marRight w:val="0"/>
      <w:marTop w:val="0"/>
      <w:marBottom w:val="0"/>
      <w:divBdr>
        <w:top w:val="none" w:sz="0" w:space="0" w:color="auto"/>
        <w:left w:val="none" w:sz="0" w:space="0" w:color="auto"/>
        <w:bottom w:val="none" w:sz="0" w:space="0" w:color="auto"/>
        <w:right w:val="none" w:sz="0" w:space="0" w:color="auto"/>
      </w:divBdr>
    </w:div>
    <w:div w:id="453864549">
      <w:bodyDiv w:val="1"/>
      <w:marLeft w:val="0"/>
      <w:marRight w:val="0"/>
      <w:marTop w:val="0"/>
      <w:marBottom w:val="0"/>
      <w:divBdr>
        <w:top w:val="none" w:sz="0" w:space="0" w:color="auto"/>
        <w:left w:val="none" w:sz="0" w:space="0" w:color="auto"/>
        <w:bottom w:val="none" w:sz="0" w:space="0" w:color="auto"/>
        <w:right w:val="none" w:sz="0" w:space="0" w:color="auto"/>
      </w:divBdr>
    </w:div>
    <w:div w:id="459417929">
      <w:bodyDiv w:val="1"/>
      <w:marLeft w:val="0"/>
      <w:marRight w:val="0"/>
      <w:marTop w:val="0"/>
      <w:marBottom w:val="0"/>
      <w:divBdr>
        <w:top w:val="none" w:sz="0" w:space="0" w:color="auto"/>
        <w:left w:val="none" w:sz="0" w:space="0" w:color="auto"/>
        <w:bottom w:val="none" w:sz="0" w:space="0" w:color="auto"/>
        <w:right w:val="none" w:sz="0" w:space="0" w:color="auto"/>
      </w:divBdr>
    </w:div>
    <w:div w:id="464659154">
      <w:bodyDiv w:val="1"/>
      <w:marLeft w:val="0"/>
      <w:marRight w:val="0"/>
      <w:marTop w:val="0"/>
      <w:marBottom w:val="0"/>
      <w:divBdr>
        <w:top w:val="none" w:sz="0" w:space="0" w:color="auto"/>
        <w:left w:val="none" w:sz="0" w:space="0" w:color="auto"/>
        <w:bottom w:val="none" w:sz="0" w:space="0" w:color="auto"/>
        <w:right w:val="none" w:sz="0" w:space="0" w:color="auto"/>
      </w:divBdr>
    </w:div>
    <w:div w:id="470707440">
      <w:bodyDiv w:val="1"/>
      <w:marLeft w:val="0"/>
      <w:marRight w:val="0"/>
      <w:marTop w:val="0"/>
      <w:marBottom w:val="0"/>
      <w:divBdr>
        <w:top w:val="none" w:sz="0" w:space="0" w:color="auto"/>
        <w:left w:val="none" w:sz="0" w:space="0" w:color="auto"/>
        <w:bottom w:val="none" w:sz="0" w:space="0" w:color="auto"/>
        <w:right w:val="none" w:sz="0" w:space="0" w:color="auto"/>
      </w:divBdr>
    </w:div>
    <w:div w:id="472985489">
      <w:bodyDiv w:val="1"/>
      <w:marLeft w:val="0"/>
      <w:marRight w:val="0"/>
      <w:marTop w:val="0"/>
      <w:marBottom w:val="0"/>
      <w:divBdr>
        <w:top w:val="none" w:sz="0" w:space="0" w:color="auto"/>
        <w:left w:val="none" w:sz="0" w:space="0" w:color="auto"/>
        <w:bottom w:val="none" w:sz="0" w:space="0" w:color="auto"/>
        <w:right w:val="none" w:sz="0" w:space="0" w:color="auto"/>
      </w:divBdr>
      <w:divsChild>
        <w:div w:id="960497456">
          <w:marLeft w:val="0"/>
          <w:marRight w:val="0"/>
          <w:marTop w:val="0"/>
          <w:marBottom w:val="0"/>
          <w:divBdr>
            <w:top w:val="none" w:sz="0" w:space="0" w:color="auto"/>
            <w:left w:val="none" w:sz="0" w:space="0" w:color="auto"/>
            <w:bottom w:val="none" w:sz="0" w:space="0" w:color="auto"/>
            <w:right w:val="none" w:sz="0" w:space="0" w:color="auto"/>
          </w:divBdr>
          <w:divsChild>
            <w:div w:id="2044867923">
              <w:marLeft w:val="0"/>
              <w:marRight w:val="0"/>
              <w:marTop w:val="0"/>
              <w:marBottom w:val="0"/>
              <w:divBdr>
                <w:top w:val="none" w:sz="0" w:space="0" w:color="auto"/>
                <w:left w:val="none" w:sz="0" w:space="0" w:color="auto"/>
                <w:bottom w:val="none" w:sz="0" w:space="0" w:color="auto"/>
                <w:right w:val="none" w:sz="0" w:space="0" w:color="auto"/>
              </w:divBdr>
              <w:divsChild>
                <w:div w:id="1838181447">
                  <w:marLeft w:val="0"/>
                  <w:marRight w:val="0"/>
                  <w:marTop w:val="0"/>
                  <w:marBottom w:val="0"/>
                  <w:divBdr>
                    <w:top w:val="none" w:sz="0" w:space="0" w:color="auto"/>
                    <w:left w:val="none" w:sz="0" w:space="0" w:color="auto"/>
                    <w:bottom w:val="none" w:sz="0" w:space="0" w:color="auto"/>
                    <w:right w:val="none" w:sz="0" w:space="0" w:color="auto"/>
                  </w:divBdr>
                  <w:divsChild>
                    <w:div w:id="307785859">
                      <w:marLeft w:val="0"/>
                      <w:marRight w:val="0"/>
                      <w:marTop w:val="0"/>
                      <w:marBottom w:val="0"/>
                      <w:divBdr>
                        <w:top w:val="none" w:sz="0" w:space="0" w:color="auto"/>
                        <w:left w:val="none" w:sz="0" w:space="0" w:color="auto"/>
                        <w:bottom w:val="none" w:sz="0" w:space="0" w:color="auto"/>
                        <w:right w:val="none" w:sz="0" w:space="0" w:color="auto"/>
                      </w:divBdr>
                      <w:divsChild>
                        <w:div w:id="120907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427342">
          <w:marLeft w:val="0"/>
          <w:marRight w:val="0"/>
          <w:marTop w:val="0"/>
          <w:marBottom w:val="0"/>
          <w:divBdr>
            <w:top w:val="none" w:sz="0" w:space="0" w:color="auto"/>
            <w:left w:val="none" w:sz="0" w:space="0" w:color="auto"/>
            <w:bottom w:val="none" w:sz="0" w:space="0" w:color="auto"/>
            <w:right w:val="none" w:sz="0" w:space="0" w:color="auto"/>
          </w:divBdr>
          <w:divsChild>
            <w:div w:id="62606401">
              <w:marLeft w:val="0"/>
              <w:marRight w:val="0"/>
              <w:marTop w:val="0"/>
              <w:marBottom w:val="0"/>
              <w:divBdr>
                <w:top w:val="none" w:sz="0" w:space="0" w:color="auto"/>
                <w:left w:val="none" w:sz="0" w:space="0" w:color="auto"/>
                <w:bottom w:val="none" w:sz="0" w:space="0" w:color="auto"/>
                <w:right w:val="none" w:sz="0" w:space="0" w:color="auto"/>
              </w:divBdr>
              <w:divsChild>
                <w:div w:id="1265844285">
                  <w:marLeft w:val="0"/>
                  <w:marRight w:val="0"/>
                  <w:marTop w:val="0"/>
                  <w:marBottom w:val="0"/>
                  <w:divBdr>
                    <w:top w:val="none" w:sz="0" w:space="0" w:color="auto"/>
                    <w:left w:val="none" w:sz="0" w:space="0" w:color="auto"/>
                    <w:bottom w:val="none" w:sz="0" w:space="0" w:color="auto"/>
                    <w:right w:val="none" w:sz="0" w:space="0" w:color="auto"/>
                  </w:divBdr>
                </w:div>
                <w:div w:id="1535997532">
                  <w:marLeft w:val="0"/>
                  <w:marRight w:val="0"/>
                  <w:marTop w:val="0"/>
                  <w:marBottom w:val="0"/>
                  <w:divBdr>
                    <w:top w:val="none" w:sz="0" w:space="0" w:color="auto"/>
                    <w:left w:val="none" w:sz="0" w:space="0" w:color="auto"/>
                    <w:bottom w:val="none" w:sz="0" w:space="0" w:color="auto"/>
                    <w:right w:val="none" w:sz="0" w:space="0" w:color="auto"/>
                  </w:divBdr>
                  <w:divsChild>
                    <w:div w:id="95783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184932">
      <w:bodyDiv w:val="1"/>
      <w:marLeft w:val="0"/>
      <w:marRight w:val="0"/>
      <w:marTop w:val="0"/>
      <w:marBottom w:val="0"/>
      <w:divBdr>
        <w:top w:val="none" w:sz="0" w:space="0" w:color="auto"/>
        <w:left w:val="none" w:sz="0" w:space="0" w:color="auto"/>
        <w:bottom w:val="none" w:sz="0" w:space="0" w:color="auto"/>
        <w:right w:val="none" w:sz="0" w:space="0" w:color="auto"/>
      </w:divBdr>
    </w:div>
    <w:div w:id="489835933">
      <w:bodyDiv w:val="1"/>
      <w:marLeft w:val="0"/>
      <w:marRight w:val="0"/>
      <w:marTop w:val="0"/>
      <w:marBottom w:val="0"/>
      <w:divBdr>
        <w:top w:val="none" w:sz="0" w:space="0" w:color="auto"/>
        <w:left w:val="none" w:sz="0" w:space="0" w:color="auto"/>
        <w:bottom w:val="none" w:sz="0" w:space="0" w:color="auto"/>
        <w:right w:val="none" w:sz="0" w:space="0" w:color="auto"/>
      </w:divBdr>
    </w:div>
    <w:div w:id="494535501">
      <w:bodyDiv w:val="1"/>
      <w:marLeft w:val="0"/>
      <w:marRight w:val="0"/>
      <w:marTop w:val="0"/>
      <w:marBottom w:val="0"/>
      <w:divBdr>
        <w:top w:val="none" w:sz="0" w:space="0" w:color="auto"/>
        <w:left w:val="none" w:sz="0" w:space="0" w:color="auto"/>
        <w:bottom w:val="none" w:sz="0" w:space="0" w:color="auto"/>
        <w:right w:val="none" w:sz="0" w:space="0" w:color="auto"/>
      </w:divBdr>
      <w:divsChild>
        <w:div w:id="260575604">
          <w:marLeft w:val="0"/>
          <w:marRight w:val="0"/>
          <w:marTop w:val="0"/>
          <w:marBottom w:val="0"/>
          <w:divBdr>
            <w:top w:val="none" w:sz="0" w:space="0" w:color="auto"/>
            <w:left w:val="none" w:sz="0" w:space="0" w:color="auto"/>
            <w:bottom w:val="none" w:sz="0" w:space="0" w:color="auto"/>
            <w:right w:val="none" w:sz="0" w:space="0" w:color="auto"/>
          </w:divBdr>
        </w:div>
        <w:div w:id="1244146821">
          <w:marLeft w:val="0"/>
          <w:marRight w:val="0"/>
          <w:marTop w:val="0"/>
          <w:marBottom w:val="0"/>
          <w:divBdr>
            <w:top w:val="none" w:sz="0" w:space="0" w:color="auto"/>
            <w:left w:val="none" w:sz="0" w:space="0" w:color="auto"/>
            <w:bottom w:val="none" w:sz="0" w:space="0" w:color="auto"/>
            <w:right w:val="none" w:sz="0" w:space="0" w:color="auto"/>
          </w:divBdr>
        </w:div>
      </w:divsChild>
    </w:div>
    <w:div w:id="495193052">
      <w:bodyDiv w:val="1"/>
      <w:marLeft w:val="0"/>
      <w:marRight w:val="0"/>
      <w:marTop w:val="0"/>
      <w:marBottom w:val="0"/>
      <w:divBdr>
        <w:top w:val="none" w:sz="0" w:space="0" w:color="auto"/>
        <w:left w:val="none" w:sz="0" w:space="0" w:color="auto"/>
        <w:bottom w:val="none" w:sz="0" w:space="0" w:color="auto"/>
        <w:right w:val="none" w:sz="0" w:space="0" w:color="auto"/>
      </w:divBdr>
    </w:div>
    <w:div w:id="502741063">
      <w:bodyDiv w:val="1"/>
      <w:marLeft w:val="0"/>
      <w:marRight w:val="0"/>
      <w:marTop w:val="0"/>
      <w:marBottom w:val="0"/>
      <w:divBdr>
        <w:top w:val="none" w:sz="0" w:space="0" w:color="auto"/>
        <w:left w:val="none" w:sz="0" w:space="0" w:color="auto"/>
        <w:bottom w:val="none" w:sz="0" w:space="0" w:color="auto"/>
        <w:right w:val="none" w:sz="0" w:space="0" w:color="auto"/>
      </w:divBdr>
      <w:divsChild>
        <w:div w:id="1243684577">
          <w:marLeft w:val="0"/>
          <w:marRight w:val="0"/>
          <w:marTop w:val="0"/>
          <w:marBottom w:val="0"/>
          <w:divBdr>
            <w:top w:val="none" w:sz="0" w:space="0" w:color="auto"/>
            <w:left w:val="none" w:sz="0" w:space="0" w:color="auto"/>
            <w:bottom w:val="none" w:sz="0" w:space="0" w:color="auto"/>
            <w:right w:val="none" w:sz="0" w:space="0" w:color="auto"/>
          </w:divBdr>
        </w:div>
        <w:div w:id="1554730173">
          <w:marLeft w:val="0"/>
          <w:marRight w:val="0"/>
          <w:marTop w:val="0"/>
          <w:marBottom w:val="0"/>
          <w:divBdr>
            <w:top w:val="none" w:sz="0" w:space="0" w:color="auto"/>
            <w:left w:val="none" w:sz="0" w:space="0" w:color="auto"/>
            <w:bottom w:val="none" w:sz="0" w:space="0" w:color="auto"/>
            <w:right w:val="none" w:sz="0" w:space="0" w:color="auto"/>
          </w:divBdr>
        </w:div>
        <w:div w:id="1790009890">
          <w:marLeft w:val="0"/>
          <w:marRight w:val="0"/>
          <w:marTop w:val="0"/>
          <w:marBottom w:val="0"/>
          <w:divBdr>
            <w:top w:val="none" w:sz="0" w:space="0" w:color="auto"/>
            <w:left w:val="none" w:sz="0" w:space="0" w:color="auto"/>
            <w:bottom w:val="none" w:sz="0" w:space="0" w:color="auto"/>
            <w:right w:val="none" w:sz="0" w:space="0" w:color="auto"/>
          </w:divBdr>
        </w:div>
        <w:div w:id="2058119411">
          <w:marLeft w:val="0"/>
          <w:marRight w:val="0"/>
          <w:marTop w:val="0"/>
          <w:marBottom w:val="0"/>
          <w:divBdr>
            <w:top w:val="none" w:sz="0" w:space="0" w:color="auto"/>
            <w:left w:val="none" w:sz="0" w:space="0" w:color="auto"/>
            <w:bottom w:val="none" w:sz="0" w:space="0" w:color="auto"/>
            <w:right w:val="none" w:sz="0" w:space="0" w:color="auto"/>
          </w:divBdr>
        </w:div>
      </w:divsChild>
    </w:div>
    <w:div w:id="502866790">
      <w:bodyDiv w:val="1"/>
      <w:marLeft w:val="0"/>
      <w:marRight w:val="0"/>
      <w:marTop w:val="0"/>
      <w:marBottom w:val="0"/>
      <w:divBdr>
        <w:top w:val="none" w:sz="0" w:space="0" w:color="auto"/>
        <w:left w:val="none" w:sz="0" w:space="0" w:color="auto"/>
        <w:bottom w:val="none" w:sz="0" w:space="0" w:color="auto"/>
        <w:right w:val="none" w:sz="0" w:space="0" w:color="auto"/>
      </w:divBdr>
    </w:div>
    <w:div w:id="506214853">
      <w:bodyDiv w:val="1"/>
      <w:marLeft w:val="0"/>
      <w:marRight w:val="0"/>
      <w:marTop w:val="0"/>
      <w:marBottom w:val="0"/>
      <w:divBdr>
        <w:top w:val="none" w:sz="0" w:space="0" w:color="auto"/>
        <w:left w:val="none" w:sz="0" w:space="0" w:color="auto"/>
        <w:bottom w:val="none" w:sz="0" w:space="0" w:color="auto"/>
        <w:right w:val="none" w:sz="0" w:space="0" w:color="auto"/>
      </w:divBdr>
    </w:div>
    <w:div w:id="513230161">
      <w:bodyDiv w:val="1"/>
      <w:marLeft w:val="0"/>
      <w:marRight w:val="0"/>
      <w:marTop w:val="0"/>
      <w:marBottom w:val="0"/>
      <w:divBdr>
        <w:top w:val="none" w:sz="0" w:space="0" w:color="auto"/>
        <w:left w:val="none" w:sz="0" w:space="0" w:color="auto"/>
        <w:bottom w:val="none" w:sz="0" w:space="0" w:color="auto"/>
        <w:right w:val="none" w:sz="0" w:space="0" w:color="auto"/>
      </w:divBdr>
    </w:div>
    <w:div w:id="523399388">
      <w:bodyDiv w:val="1"/>
      <w:marLeft w:val="0"/>
      <w:marRight w:val="0"/>
      <w:marTop w:val="0"/>
      <w:marBottom w:val="0"/>
      <w:divBdr>
        <w:top w:val="none" w:sz="0" w:space="0" w:color="auto"/>
        <w:left w:val="none" w:sz="0" w:space="0" w:color="auto"/>
        <w:bottom w:val="none" w:sz="0" w:space="0" w:color="auto"/>
        <w:right w:val="none" w:sz="0" w:space="0" w:color="auto"/>
      </w:divBdr>
    </w:div>
    <w:div w:id="565183728">
      <w:bodyDiv w:val="1"/>
      <w:marLeft w:val="0"/>
      <w:marRight w:val="0"/>
      <w:marTop w:val="0"/>
      <w:marBottom w:val="0"/>
      <w:divBdr>
        <w:top w:val="none" w:sz="0" w:space="0" w:color="auto"/>
        <w:left w:val="none" w:sz="0" w:space="0" w:color="auto"/>
        <w:bottom w:val="none" w:sz="0" w:space="0" w:color="auto"/>
        <w:right w:val="none" w:sz="0" w:space="0" w:color="auto"/>
      </w:divBdr>
    </w:div>
    <w:div w:id="577863365">
      <w:bodyDiv w:val="1"/>
      <w:marLeft w:val="0"/>
      <w:marRight w:val="0"/>
      <w:marTop w:val="0"/>
      <w:marBottom w:val="0"/>
      <w:divBdr>
        <w:top w:val="none" w:sz="0" w:space="0" w:color="auto"/>
        <w:left w:val="none" w:sz="0" w:space="0" w:color="auto"/>
        <w:bottom w:val="none" w:sz="0" w:space="0" w:color="auto"/>
        <w:right w:val="none" w:sz="0" w:space="0" w:color="auto"/>
      </w:divBdr>
    </w:div>
    <w:div w:id="579872543">
      <w:bodyDiv w:val="1"/>
      <w:marLeft w:val="0"/>
      <w:marRight w:val="0"/>
      <w:marTop w:val="0"/>
      <w:marBottom w:val="0"/>
      <w:divBdr>
        <w:top w:val="none" w:sz="0" w:space="0" w:color="auto"/>
        <w:left w:val="none" w:sz="0" w:space="0" w:color="auto"/>
        <w:bottom w:val="none" w:sz="0" w:space="0" w:color="auto"/>
        <w:right w:val="none" w:sz="0" w:space="0" w:color="auto"/>
      </w:divBdr>
    </w:div>
    <w:div w:id="581989749">
      <w:bodyDiv w:val="1"/>
      <w:marLeft w:val="0"/>
      <w:marRight w:val="0"/>
      <w:marTop w:val="0"/>
      <w:marBottom w:val="0"/>
      <w:divBdr>
        <w:top w:val="none" w:sz="0" w:space="0" w:color="auto"/>
        <w:left w:val="none" w:sz="0" w:space="0" w:color="auto"/>
        <w:bottom w:val="none" w:sz="0" w:space="0" w:color="auto"/>
        <w:right w:val="none" w:sz="0" w:space="0" w:color="auto"/>
      </w:divBdr>
    </w:div>
    <w:div w:id="590773406">
      <w:bodyDiv w:val="1"/>
      <w:marLeft w:val="0"/>
      <w:marRight w:val="0"/>
      <w:marTop w:val="0"/>
      <w:marBottom w:val="0"/>
      <w:divBdr>
        <w:top w:val="none" w:sz="0" w:space="0" w:color="auto"/>
        <w:left w:val="none" w:sz="0" w:space="0" w:color="auto"/>
        <w:bottom w:val="none" w:sz="0" w:space="0" w:color="auto"/>
        <w:right w:val="none" w:sz="0" w:space="0" w:color="auto"/>
      </w:divBdr>
    </w:div>
    <w:div w:id="593712605">
      <w:bodyDiv w:val="1"/>
      <w:marLeft w:val="0"/>
      <w:marRight w:val="0"/>
      <w:marTop w:val="0"/>
      <w:marBottom w:val="0"/>
      <w:divBdr>
        <w:top w:val="none" w:sz="0" w:space="0" w:color="auto"/>
        <w:left w:val="none" w:sz="0" w:space="0" w:color="auto"/>
        <w:bottom w:val="none" w:sz="0" w:space="0" w:color="auto"/>
        <w:right w:val="none" w:sz="0" w:space="0" w:color="auto"/>
      </w:divBdr>
    </w:div>
    <w:div w:id="594169611">
      <w:bodyDiv w:val="1"/>
      <w:marLeft w:val="0"/>
      <w:marRight w:val="0"/>
      <w:marTop w:val="0"/>
      <w:marBottom w:val="0"/>
      <w:divBdr>
        <w:top w:val="none" w:sz="0" w:space="0" w:color="auto"/>
        <w:left w:val="none" w:sz="0" w:space="0" w:color="auto"/>
        <w:bottom w:val="none" w:sz="0" w:space="0" w:color="auto"/>
        <w:right w:val="none" w:sz="0" w:space="0" w:color="auto"/>
      </w:divBdr>
    </w:div>
    <w:div w:id="595092797">
      <w:bodyDiv w:val="1"/>
      <w:marLeft w:val="0"/>
      <w:marRight w:val="0"/>
      <w:marTop w:val="0"/>
      <w:marBottom w:val="0"/>
      <w:divBdr>
        <w:top w:val="none" w:sz="0" w:space="0" w:color="auto"/>
        <w:left w:val="none" w:sz="0" w:space="0" w:color="auto"/>
        <w:bottom w:val="none" w:sz="0" w:space="0" w:color="auto"/>
        <w:right w:val="none" w:sz="0" w:space="0" w:color="auto"/>
      </w:divBdr>
    </w:div>
    <w:div w:id="595555149">
      <w:bodyDiv w:val="1"/>
      <w:marLeft w:val="0"/>
      <w:marRight w:val="0"/>
      <w:marTop w:val="0"/>
      <w:marBottom w:val="0"/>
      <w:divBdr>
        <w:top w:val="none" w:sz="0" w:space="0" w:color="auto"/>
        <w:left w:val="none" w:sz="0" w:space="0" w:color="auto"/>
        <w:bottom w:val="none" w:sz="0" w:space="0" w:color="auto"/>
        <w:right w:val="none" w:sz="0" w:space="0" w:color="auto"/>
      </w:divBdr>
    </w:div>
    <w:div w:id="620915617">
      <w:bodyDiv w:val="1"/>
      <w:marLeft w:val="0"/>
      <w:marRight w:val="0"/>
      <w:marTop w:val="0"/>
      <w:marBottom w:val="0"/>
      <w:divBdr>
        <w:top w:val="none" w:sz="0" w:space="0" w:color="auto"/>
        <w:left w:val="none" w:sz="0" w:space="0" w:color="auto"/>
        <w:bottom w:val="none" w:sz="0" w:space="0" w:color="auto"/>
        <w:right w:val="none" w:sz="0" w:space="0" w:color="auto"/>
      </w:divBdr>
    </w:div>
    <w:div w:id="628247399">
      <w:bodyDiv w:val="1"/>
      <w:marLeft w:val="0"/>
      <w:marRight w:val="0"/>
      <w:marTop w:val="0"/>
      <w:marBottom w:val="0"/>
      <w:divBdr>
        <w:top w:val="none" w:sz="0" w:space="0" w:color="auto"/>
        <w:left w:val="none" w:sz="0" w:space="0" w:color="auto"/>
        <w:bottom w:val="none" w:sz="0" w:space="0" w:color="auto"/>
        <w:right w:val="none" w:sz="0" w:space="0" w:color="auto"/>
      </w:divBdr>
    </w:div>
    <w:div w:id="629167967">
      <w:bodyDiv w:val="1"/>
      <w:marLeft w:val="0"/>
      <w:marRight w:val="0"/>
      <w:marTop w:val="0"/>
      <w:marBottom w:val="0"/>
      <w:divBdr>
        <w:top w:val="none" w:sz="0" w:space="0" w:color="auto"/>
        <w:left w:val="none" w:sz="0" w:space="0" w:color="auto"/>
        <w:bottom w:val="none" w:sz="0" w:space="0" w:color="auto"/>
        <w:right w:val="none" w:sz="0" w:space="0" w:color="auto"/>
      </w:divBdr>
    </w:div>
    <w:div w:id="649141689">
      <w:bodyDiv w:val="1"/>
      <w:marLeft w:val="0"/>
      <w:marRight w:val="0"/>
      <w:marTop w:val="0"/>
      <w:marBottom w:val="0"/>
      <w:divBdr>
        <w:top w:val="none" w:sz="0" w:space="0" w:color="auto"/>
        <w:left w:val="none" w:sz="0" w:space="0" w:color="auto"/>
        <w:bottom w:val="none" w:sz="0" w:space="0" w:color="auto"/>
        <w:right w:val="none" w:sz="0" w:space="0" w:color="auto"/>
      </w:divBdr>
    </w:div>
    <w:div w:id="649402177">
      <w:bodyDiv w:val="1"/>
      <w:marLeft w:val="0"/>
      <w:marRight w:val="0"/>
      <w:marTop w:val="0"/>
      <w:marBottom w:val="0"/>
      <w:divBdr>
        <w:top w:val="none" w:sz="0" w:space="0" w:color="auto"/>
        <w:left w:val="none" w:sz="0" w:space="0" w:color="auto"/>
        <w:bottom w:val="none" w:sz="0" w:space="0" w:color="auto"/>
        <w:right w:val="none" w:sz="0" w:space="0" w:color="auto"/>
      </w:divBdr>
    </w:div>
    <w:div w:id="655230907">
      <w:bodyDiv w:val="1"/>
      <w:marLeft w:val="0"/>
      <w:marRight w:val="0"/>
      <w:marTop w:val="0"/>
      <w:marBottom w:val="0"/>
      <w:divBdr>
        <w:top w:val="none" w:sz="0" w:space="0" w:color="auto"/>
        <w:left w:val="none" w:sz="0" w:space="0" w:color="auto"/>
        <w:bottom w:val="none" w:sz="0" w:space="0" w:color="auto"/>
        <w:right w:val="none" w:sz="0" w:space="0" w:color="auto"/>
      </w:divBdr>
    </w:div>
    <w:div w:id="662315119">
      <w:bodyDiv w:val="1"/>
      <w:marLeft w:val="0"/>
      <w:marRight w:val="0"/>
      <w:marTop w:val="0"/>
      <w:marBottom w:val="0"/>
      <w:divBdr>
        <w:top w:val="none" w:sz="0" w:space="0" w:color="auto"/>
        <w:left w:val="none" w:sz="0" w:space="0" w:color="auto"/>
        <w:bottom w:val="none" w:sz="0" w:space="0" w:color="auto"/>
        <w:right w:val="none" w:sz="0" w:space="0" w:color="auto"/>
      </w:divBdr>
    </w:div>
    <w:div w:id="665521982">
      <w:bodyDiv w:val="1"/>
      <w:marLeft w:val="0"/>
      <w:marRight w:val="0"/>
      <w:marTop w:val="0"/>
      <w:marBottom w:val="0"/>
      <w:divBdr>
        <w:top w:val="none" w:sz="0" w:space="0" w:color="auto"/>
        <w:left w:val="none" w:sz="0" w:space="0" w:color="auto"/>
        <w:bottom w:val="none" w:sz="0" w:space="0" w:color="auto"/>
        <w:right w:val="none" w:sz="0" w:space="0" w:color="auto"/>
      </w:divBdr>
    </w:div>
    <w:div w:id="675809855">
      <w:bodyDiv w:val="1"/>
      <w:marLeft w:val="0"/>
      <w:marRight w:val="0"/>
      <w:marTop w:val="0"/>
      <w:marBottom w:val="0"/>
      <w:divBdr>
        <w:top w:val="none" w:sz="0" w:space="0" w:color="auto"/>
        <w:left w:val="none" w:sz="0" w:space="0" w:color="auto"/>
        <w:bottom w:val="none" w:sz="0" w:space="0" w:color="auto"/>
        <w:right w:val="none" w:sz="0" w:space="0" w:color="auto"/>
      </w:divBdr>
    </w:div>
    <w:div w:id="686949799">
      <w:bodyDiv w:val="1"/>
      <w:marLeft w:val="0"/>
      <w:marRight w:val="0"/>
      <w:marTop w:val="0"/>
      <w:marBottom w:val="0"/>
      <w:divBdr>
        <w:top w:val="none" w:sz="0" w:space="0" w:color="auto"/>
        <w:left w:val="none" w:sz="0" w:space="0" w:color="auto"/>
        <w:bottom w:val="none" w:sz="0" w:space="0" w:color="auto"/>
        <w:right w:val="none" w:sz="0" w:space="0" w:color="auto"/>
      </w:divBdr>
    </w:div>
    <w:div w:id="689766812">
      <w:bodyDiv w:val="1"/>
      <w:marLeft w:val="0"/>
      <w:marRight w:val="0"/>
      <w:marTop w:val="0"/>
      <w:marBottom w:val="0"/>
      <w:divBdr>
        <w:top w:val="none" w:sz="0" w:space="0" w:color="auto"/>
        <w:left w:val="none" w:sz="0" w:space="0" w:color="auto"/>
        <w:bottom w:val="none" w:sz="0" w:space="0" w:color="auto"/>
        <w:right w:val="none" w:sz="0" w:space="0" w:color="auto"/>
      </w:divBdr>
    </w:div>
    <w:div w:id="711661200">
      <w:bodyDiv w:val="1"/>
      <w:marLeft w:val="0"/>
      <w:marRight w:val="0"/>
      <w:marTop w:val="0"/>
      <w:marBottom w:val="0"/>
      <w:divBdr>
        <w:top w:val="none" w:sz="0" w:space="0" w:color="auto"/>
        <w:left w:val="none" w:sz="0" w:space="0" w:color="auto"/>
        <w:bottom w:val="none" w:sz="0" w:space="0" w:color="auto"/>
        <w:right w:val="none" w:sz="0" w:space="0" w:color="auto"/>
      </w:divBdr>
    </w:div>
    <w:div w:id="720783973">
      <w:bodyDiv w:val="1"/>
      <w:marLeft w:val="0"/>
      <w:marRight w:val="0"/>
      <w:marTop w:val="0"/>
      <w:marBottom w:val="0"/>
      <w:divBdr>
        <w:top w:val="none" w:sz="0" w:space="0" w:color="auto"/>
        <w:left w:val="none" w:sz="0" w:space="0" w:color="auto"/>
        <w:bottom w:val="none" w:sz="0" w:space="0" w:color="auto"/>
        <w:right w:val="none" w:sz="0" w:space="0" w:color="auto"/>
      </w:divBdr>
    </w:div>
    <w:div w:id="725688267">
      <w:bodyDiv w:val="1"/>
      <w:marLeft w:val="0"/>
      <w:marRight w:val="0"/>
      <w:marTop w:val="0"/>
      <w:marBottom w:val="0"/>
      <w:divBdr>
        <w:top w:val="none" w:sz="0" w:space="0" w:color="auto"/>
        <w:left w:val="none" w:sz="0" w:space="0" w:color="auto"/>
        <w:bottom w:val="none" w:sz="0" w:space="0" w:color="auto"/>
        <w:right w:val="none" w:sz="0" w:space="0" w:color="auto"/>
      </w:divBdr>
    </w:div>
    <w:div w:id="733545787">
      <w:bodyDiv w:val="1"/>
      <w:marLeft w:val="0"/>
      <w:marRight w:val="0"/>
      <w:marTop w:val="0"/>
      <w:marBottom w:val="0"/>
      <w:divBdr>
        <w:top w:val="none" w:sz="0" w:space="0" w:color="auto"/>
        <w:left w:val="none" w:sz="0" w:space="0" w:color="auto"/>
        <w:bottom w:val="none" w:sz="0" w:space="0" w:color="auto"/>
        <w:right w:val="none" w:sz="0" w:space="0" w:color="auto"/>
      </w:divBdr>
    </w:div>
    <w:div w:id="735787155">
      <w:bodyDiv w:val="1"/>
      <w:marLeft w:val="0"/>
      <w:marRight w:val="0"/>
      <w:marTop w:val="0"/>
      <w:marBottom w:val="0"/>
      <w:divBdr>
        <w:top w:val="none" w:sz="0" w:space="0" w:color="auto"/>
        <w:left w:val="none" w:sz="0" w:space="0" w:color="auto"/>
        <w:bottom w:val="none" w:sz="0" w:space="0" w:color="auto"/>
        <w:right w:val="none" w:sz="0" w:space="0" w:color="auto"/>
      </w:divBdr>
    </w:div>
    <w:div w:id="760755827">
      <w:bodyDiv w:val="1"/>
      <w:marLeft w:val="0"/>
      <w:marRight w:val="0"/>
      <w:marTop w:val="0"/>
      <w:marBottom w:val="0"/>
      <w:divBdr>
        <w:top w:val="none" w:sz="0" w:space="0" w:color="auto"/>
        <w:left w:val="none" w:sz="0" w:space="0" w:color="auto"/>
        <w:bottom w:val="none" w:sz="0" w:space="0" w:color="auto"/>
        <w:right w:val="none" w:sz="0" w:space="0" w:color="auto"/>
      </w:divBdr>
      <w:divsChild>
        <w:div w:id="295986174">
          <w:marLeft w:val="0"/>
          <w:marRight w:val="0"/>
          <w:marTop w:val="0"/>
          <w:marBottom w:val="0"/>
          <w:divBdr>
            <w:top w:val="none" w:sz="0" w:space="0" w:color="auto"/>
            <w:left w:val="none" w:sz="0" w:space="0" w:color="auto"/>
            <w:bottom w:val="none" w:sz="0" w:space="0" w:color="auto"/>
            <w:right w:val="none" w:sz="0" w:space="0" w:color="auto"/>
          </w:divBdr>
        </w:div>
        <w:div w:id="983193010">
          <w:marLeft w:val="0"/>
          <w:marRight w:val="0"/>
          <w:marTop w:val="0"/>
          <w:marBottom w:val="0"/>
          <w:divBdr>
            <w:top w:val="none" w:sz="0" w:space="0" w:color="auto"/>
            <w:left w:val="none" w:sz="0" w:space="0" w:color="auto"/>
            <w:bottom w:val="none" w:sz="0" w:space="0" w:color="auto"/>
            <w:right w:val="none" w:sz="0" w:space="0" w:color="auto"/>
          </w:divBdr>
        </w:div>
        <w:div w:id="1714503445">
          <w:marLeft w:val="0"/>
          <w:marRight w:val="0"/>
          <w:marTop w:val="0"/>
          <w:marBottom w:val="0"/>
          <w:divBdr>
            <w:top w:val="none" w:sz="0" w:space="0" w:color="auto"/>
            <w:left w:val="none" w:sz="0" w:space="0" w:color="auto"/>
            <w:bottom w:val="none" w:sz="0" w:space="0" w:color="auto"/>
            <w:right w:val="none" w:sz="0" w:space="0" w:color="auto"/>
          </w:divBdr>
        </w:div>
        <w:div w:id="1896231779">
          <w:marLeft w:val="0"/>
          <w:marRight w:val="0"/>
          <w:marTop w:val="0"/>
          <w:marBottom w:val="0"/>
          <w:divBdr>
            <w:top w:val="none" w:sz="0" w:space="0" w:color="auto"/>
            <w:left w:val="none" w:sz="0" w:space="0" w:color="auto"/>
            <w:bottom w:val="none" w:sz="0" w:space="0" w:color="auto"/>
            <w:right w:val="none" w:sz="0" w:space="0" w:color="auto"/>
          </w:divBdr>
        </w:div>
      </w:divsChild>
    </w:div>
    <w:div w:id="767194402">
      <w:bodyDiv w:val="1"/>
      <w:marLeft w:val="0"/>
      <w:marRight w:val="0"/>
      <w:marTop w:val="0"/>
      <w:marBottom w:val="0"/>
      <w:divBdr>
        <w:top w:val="none" w:sz="0" w:space="0" w:color="auto"/>
        <w:left w:val="none" w:sz="0" w:space="0" w:color="auto"/>
        <w:bottom w:val="none" w:sz="0" w:space="0" w:color="auto"/>
        <w:right w:val="none" w:sz="0" w:space="0" w:color="auto"/>
      </w:divBdr>
    </w:div>
    <w:div w:id="774322041">
      <w:bodyDiv w:val="1"/>
      <w:marLeft w:val="0"/>
      <w:marRight w:val="0"/>
      <w:marTop w:val="0"/>
      <w:marBottom w:val="0"/>
      <w:divBdr>
        <w:top w:val="none" w:sz="0" w:space="0" w:color="auto"/>
        <w:left w:val="none" w:sz="0" w:space="0" w:color="auto"/>
        <w:bottom w:val="none" w:sz="0" w:space="0" w:color="auto"/>
        <w:right w:val="none" w:sz="0" w:space="0" w:color="auto"/>
      </w:divBdr>
    </w:div>
    <w:div w:id="778765507">
      <w:bodyDiv w:val="1"/>
      <w:marLeft w:val="0"/>
      <w:marRight w:val="0"/>
      <w:marTop w:val="0"/>
      <w:marBottom w:val="0"/>
      <w:divBdr>
        <w:top w:val="none" w:sz="0" w:space="0" w:color="auto"/>
        <w:left w:val="none" w:sz="0" w:space="0" w:color="auto"/>
        <w:bottom w:val="none" w:sz="0" w:space="0" w:color="auto"/>
        <w:right w:val="none" w:sz="0" w:space="0" w:color="auto"/>
      </w:divBdr>
    </w:div>
    <w:div w:id="794257287">
      <w:bodyDiv w:val="1"/>
      <w:marLeft w:val="0"/>
      <w:marRight w:val="0"/>
      <w:marTop w:val="0"/>
      <w:marBottom w:val="0"/>
      <w:divBdr>
        <w:top w:val="none" w:sz="0" w:space="0" w:color="auto"/>
        <w:left w:val="none" w:sz="0" w:space="0" w:color="auto"/>
        <w:bottom w:val="none" w:sz="0" w:space="0" w:color="auto"/>
        <w:right w:val="none" w:sz="0" w:space="0" w:color="auto"/>
      </w:divBdr>
    </w:div>
    <w:div w:id="803428148">
      <w:bodyDiv w:val="1"/>
      <w:marLeft w:val="0"/>
      <w:marRight w:val="0"/>
      <w:marTop w:val="0"/>
      <w:marBottom w:val="0"/>
      <w:divBdr>
        <w:top w:val="none" w:sz="0" w:space="0" w:color="auto"/>
        <w:left w:val="none" w:sz="0" w:space="0" w:color="auto"/>
        <w:bottom w:val="none" w:sz="0" w:space="0" w:color="auto"/>
        <w:right w:val="none" w:sz="0" w:space="0" w:color="auto"/>
      </w:divBdr>
    </w:div>
    <w:div w:id="825364033">
      <w:bodyDiv w:val="1"/>
      <w:marLeft w:val="0"/>
      <w:marRight w:val="0"/>
      <w:marTop w:val="0"/>
      <w:marBottom w:val="0"/>
      <w:divBdr>
        <w:top w:val="none" w:sz="0" w:space="0" w:color="auto"/>
        <w:left w:val="none" w:sz="0" w:space="0" w:color="auto"/>
        <w:bottom w:val="none" w:sz="0" w:space="0" w:color="auto"/>
        <w:right w:val="none" w:sz="0" w:space="0" w:color="auto"/>
      </w:divBdr>
    </w:div>
    <w:div w:id="828713974">
      <w:bodyDiv w:val="1"/>
      <w:marLeft w:val="0"/>
      <w:marRight w:val="0"/>
      <w:marTop w:val="0"/>
      <w:marBottom w:val="0"/>
      <w:divBdr>
        <w:top w:val="none" w:sz="0" w:space="0" w:color="auto"/>
        <w:left w:val="none" w:sz="0" w:space="0" w:color="auto"/>
        <w:bottom w:val="none" w:sz="0" w:space="0" w:color="auto"/>
        <w:right w:val="none" w:sz="0" w:space="0" w:color="auto"/>
      </w:divBdr>
    </w:div>
    <w:div w:id="833031629">
      <w:bodyDiv w:val="1"/>
      <w:marLeft w:val="0"/>
      <w:marRight w:val="0"/>
      <w:marTop w:val="0"/>
      <w:marBottom w:val="0"/>
      <w:divBdr>
        <w:top w:val="none" w:sz="0" w:space="0" w:color="auto"/>
        <w:left w:val="none" w:sz="0" w:space="0" w:color="auto"/>
        <w:bottom w:val="none" w:sz="0" w:space="0" w:color="auto"/>
        <w:right w:val="none" w:sz="0" w:space="0" w:color="auto"/>
      </w:divBdr>
    </w:div>
    <w:div w:id="836264167">
      <w:bodyDiv w:val="1"/>
      <w:marLeft w:val="0"/>
      <w:marRight w:val="0"/>
      <w:marTop w:val="0"/>
      <w:marBottom w:val="0"/>
      <w:divBdr>
        <w:top w:val="none" w:sz="0" w:space="0" w:color="auto"/>
        <w:left w:val="none" w:sz="0" w:space="0" w:color="auto"/>
        <w:bottom w:val="none" w:sz="0" w:space="0" w:color="auto"/>
        <w:right w:val="none" w:sz="0" w:space="0" w:color="auto"/>
      </w:divBdr>
    </w:div>
    <w:div w:id="837506226">
      <w:bodyDiv w:val="1"/>
      <w:marLeft w:val="0"/>
      <w:marRight w:val="0"/>
      <w:marTop w:val="0"/>
      <w:marBottom w:val="0"/>
      <w:divBdr>
        <w:top w:val="none" w:sz="0" w:space="0" w:color="auto"/>
        <w:left w:val="none" w:sz="0" w:space="0" w:color="auto"/>
        <w:bottom w:val="none" w:sz="0" w:space="0" w:color="auto"/>
        <w:right w:val="none" w:sz="0" w:space="0" w:color="auto"/>
      </w:divBdr>
    </w:div>
    <w:div w:id="838888318">
      <w:bodyDiv w:val="1"/>
      <w:marLeft w:val="0"/>
      <w:marRight w:val="0"/>
      <w:marTop w:val="0"/>
      <w:marBottom w:val="0"/>
      <w:divBdr>
        <w:top w:val="none" w:sz="0" w:space="0" w:color="auto"/>
        <w:left w:val="none" w:sz="0" w:space="0" w:color="auto"/>
        <w:bottom w:val="none" w:sz="0" w:space="0" w:color="auto"/>
        <w:right w:val="none" w:sz="0" w:space="0" w:color="auto"/>
      </w:divBdr>
    </w:div>
    <w:div w:id="841747263">
      <w:bodyDiv w:val="1"/>
      <w:marLeft w:val="0"/>
      <w:marRight w:val="0"/>
      <w:marTop w:val="0"/>
      <w:marBottom w:val="0"/>
      <w:divBdr>
        <w:top w:val="none" w:sz="0" w:space="0" w:color="auto"/>
        <w:left w:val="none" w:sz="0" w:space="0" w:color="auto"/>
        <w:bottom w:val="none" w:sz="0" w:space="0" w:color="auto"/>
        <w:right w:val="none" w:sz="0" w:space="0" w:color="auto"/>
      </w:divBdr>
    </w:div>
    <w:div w:id="861475280">
      <w:bodyDiv w:val="1"/>
      <w:marLeft w:val="0"/>
      <w:marRight w:val="0"/>
      <w:marTop w:val="0"/>
      <w:marBottom w:val="0"/>
      <w:divBdr>
        <w:top w:val="none" w:sz="0" w:space="0" w:color="auto"/>
        <w:left w:val="none" w:sz="0" w:space="0" w:color="auto"/>
        <w:bottom w:val="none" w:sz="0" w:space="0" w:color="auto"/>
        <w:right w:val="none" w:sz="0" w:space="0" w:color="auto"/>
      </w:divBdr>
    </w:div>
    <w:div w:id="880753637">
      <w:bodyDiv w:val="1"/>
      <w:marLeft w:val="0"/>
      <w:marRight w:val="0"/>
      <w:marTop w:val="0"/>
      <w:marBottom w:val="0"/>
      <w:divBdr>
        <w:top w:val="none" w:sz="0" w:space="0" w:color="auto"/>
        <w:left w:val="none" w:sz="0" w:space="0" w:color="auto"/>
        <w:bottom w:val="none" w:sz="0" w:space="0" w:color="auto"/>
        <w:right w:val="none" w:sz="0" w:space="0" w:color="auto"/>
      </w:divBdr>
    </w:div>
    <w:div w:id="893781768">
      <w:bodyDiv w:val="1"/>
      <w:marLeft w:val="0"/>
      <w:marRight w:val="0"/>
      <w:marTop w:val="0"/>
      <w:marBottom w:val="0"/>
      <w:divBdr>
        <w:top w:val="none" w:sz="0" w:space="0" w:color="auto"/>
        <w:left w:val="none" w:sz="0" w:space="0" w:color="auto"/>
        <w:bottom w:val="none" w:sz="0" w:space="0" w:color="auto"/>
        <w:right w:val="none" w:sz="0" w:space="0" w:color="auto"/>
      </w:divBdr>
    </w:div>
    <w:div w:id="897010250">
      <w:bodyDiv w:val="1"/>
      <w:marLeft w:val="0"/>
      <w:marRight w:val="0"/>
      <w:marTop w:val="0"/>
      <w:marBottom w:val="0"/>
      <w:divBdr>
        <w:top w:val="none" w:sz="0" w:space="0" w:color="auto"/>
        <w:left w:val="none" w:sz="0" w:space="0" w:color="auto"/>
        <w:bottom w:val="none" w:sz="0" w:space="0" w:color="auto"/>
        <w:right w:val="none" w:sz="0" w:space="0" w:color="auto"/>
      </w:divBdr>
    </w:div>
    <w:div w:id="901065181">
      <w:bodyDiv w:val="1"/>
      <w:marLeft w:val="0"/>
      <w:marRight w:val="0"/>
      <w:marTop w:val="0"/>
      <w:marBottom w:val="0"/>
      <w:divBdr>
        <w:top w:val="none" w:sz="0" w:space="0" w:color="auto"/>
        <w:left w:val="none" w:sz="0" w:space="0" w:color="auto"/>
        <w:bottom w:val="none" w:sz="0" w:space="0" w:color="auto"/>
        <w:right w:val="none" w:sz="0" w:space="0" w:color="auto"/>
      </w:divBdr>
    </w:div>
    <w:div w:id="907499752">
      <w:bodyDiv w:val="1"/>
      <w:marLeft w:val="0"/>
      <w:marRight w:val="0"/>
      <w:marTop w:val="0"/>
      <w:marBottom w:val="0"/>
      <w:divBdr>
        <w:top w:val="none" w:sz="0" w:space="0" w:color="auto"/>
        <w:left w:val="none" w:sz="0" w:space="0" w:color="auto"/>
        <w:bottom w:val="none" w:sz="0" w:space="0" w:color="auto"/>
        <w:right w:val="none" w:sz="0" w:space="0" w:color="auto"/>
      </w:divBdr>
    </w:div>
    <w:div w:id="909578933">
      <w:bodyDiv w:val="1"/>
      <w:marLeft w:val="0"/>
      <w:marRight w:val="0"/>
      <w:marTop w:val="0"/>
      <w:marBottom w:val="0"/>
      <w:divBdr>
        <w:top w:val="none" w:sz="0" w:space="0" w:color="auto"/>
        <w:left w:val="none" w:sz="0" w:space="0" w:color="auto"/>
        <w:bottom w:val="none" w:sz="0" w:space="0" w:color="auto"/>
        <w:right w:val="none" w:sz="0" w:space="0" w:color="auto"/>
      </w:divBdr>
    </w:div>
    <w:div w:id="931817952">
      <w:bodyDiv w:val="1"/>
      <w:marLeft w:val="0"/>
      <w:marRight w:val="0"/>
      <w:marTop w:val="0"/>
      <w:marBottom w:val="0"/>
      <w:divBdr>
        <w:top w:val="none" w:sz="0" w:space="0" w:color="auto"/>
        <w:left w:val="none" w:sz="0" w:space="0" w:color="auto"/>
        <w:bottom w:val="none" w:sz="0" w:space="0" w:color="auto"/>
        <w:right w:val="none" w:sz="0" w:space="0" w:color="auto"/>
      </w:divBdr>
    </w:div>
    <w:div w:id="935939444">
      <w:bodyDiv w:val="1"/>
      <w:marLeft w:val="0"/>
      <w:marRight w:val="0"/>
      <w:marTop w:val="0"/>
      <w:marBottom w:val="0"/>
      <w:divBdr>
        <w:top w:val="none" w:sz="0" w:space="0" w:color="auto"/>
        <w:left w:val="none" w:sz="0" w:space="0" w:color="auto"/>
        <w:bottom w:val="none" w:sz="0" w:space="0" w:color="auto"/>
        <w:right w:val="none" w:sz="0" w:space="0" w:color="auto"/>
      </w:divBdr>
    </w:div>
    <w:div w:id="938220625">
      <w:bodyDiv w:val="1"/>
      <w:marLeft w:val="0"/>
      <w:marRight w:val="0"/>
      <w:marTop w:val="0"/>
      <w:marBottom w:val="0"/>
      <w:divBdr>
        <w:top w:val="none" w:sz="0" w:space="0" w:color="auto"/>
        <w:left w:val="none" w:sz="0" w:space="0" w:color="auto"/>
        <w:bottom w:val="none" w:sz="0" w:space="0" w:color="auto"/>
        <w:right w:val="none" w:sz="0" w:space="0" w:color="auto"/>
      </w:divBdr>
    </w:div>
    <w:div w:id="947657119">
      <w:bodyDiv w:val="1"/>
      <w:marLeft w:val="0"/>
      <w:marRight w:val="0"/>
      <w:marTop w:val="0"/>
      <w:marBottom w:val="0"/>
      <w:divBdr>
        <w:top w:val="none" w:sz="0" w:space="0" w:color="auto"/>
        <w:left w:val="none" w:sz="0" w:space="0" w:color="auto"/>
        <w:bottom w:val="none" w:sz="0" w:space="0" w:color="auto"/>
        <w:right w:val="none" w:sz="0" w:space="0" w:color="auto"/>
      </w:divBdr>
    </w:div>
    <w:div w:id="949123262">
      <w:bodyDiv w:val="1"/>
      <w:marLeft w:val="0"/>
      <w:marRight w:val="0"/>
      <w:marTop w:val="0"/>
      <w:marBottom w:val="0"/>
      <w:divBdr>
        <w:top w:val="none" w:sz="0" w:space="0" w:color="auto"/>
        <w:left w:val="none" w:sz="0" w:space="0" w:color="auto"/>
        <w:bottom w:val="none" w:sz="0" w:space="0" w:color="auto"/>
        <w:right w:val="none" w:sz="0" w:space="0" w:color="auto"/>
      </w:divBdr>
    </w:div>
    <w:div w:id="957955951">
      <w:bodyDiv w:val="1"/>
      <w:marLeft w:val="0"/>
      <w:marRight w:val="0"/>
      <w:marTop w:val="0"/>
      <w:marBottom w:val="0"/>
      <w:divBdr>
        <w:top w:val="none" w:sz="0" w:space="0" w:color="auto"/>
        <w:left w:val="none" w:sz="0" w:space="0" w:color="auto"/>
        <w:bottom w:val="none" w:sz="0" w:space="0" w:color="auto"/>
        <w:right w:val="none" w:sz="0" w:space="0" w:color="auto"/>
      </w:divBdr>
    </w:div>
    <w:div w:id="960957079">
      <w:bodyDiv w:val="1"/>
      <w:marLeft w:val="0"/>
      <w:marRight w:val="0"/>
      <w:marTop w:val="0"/>
      <w:marBottom w:val="0"/>
      <w:divBdr>
        <w:top w:val="none" w:sz="0" w:space="0" w:color="auto"/>
        <w:left w:val="none" w:sz="0" w:space="0" w:color="auto"/>
        <w:bottom w:val="none" w:sz="0" w:space="0" w:color="auto"/>
        <w:right w:val="none" w:sz="0" w:space="0" w:color="auto"/>
      </w:divBdr>
    </w:div>
    <w:div w:id="969170596">
      <w:bodyDiv w:val="1"/>
      <w:marLeft w:val="0"/>
      <w:marRight w:val="0"/>
      <w:marTop w:val="0"/>
      <w:marBottom w:val="0"/>
      <w:divBdr>
        <w:top w:val="none" w:sz="0" w:space="0" w:color="auto"/>
        <w:left w:val="none" w:sz="0" w:space="0" w:color="auto"/>
        <w:bottom w:val="none" w:sz="0" w:space="0" w:color="auto"/>
        <w:right w:val="none" w:sz="0" w:space="0" w:color="auto"/>
      </w:divBdr>
    </w:div>
    <w:div w:id="971406966">
      <w:bodyDiv w:val="1"/>
      <w:marLeft w:val="0"/>
      <w:marRight w:val="0"/>
      <w:marTop w:val="0"/>
      <w:marBottom w:val="0"/>
      <w:divBdr>
        <w:top w:val="none" w:sz="0" w:space="0" w:color="auto"/>
        <w:left w:val="none" w:sz="0" w:space="0" w:color="auto"/>
        <w:bottom w:val="none" w:sz="0" w:space="0" w:color="auto"/>
        <w:right w:val="none" w:sz="0" w:space="0" w:color="auto"/>
      </w:divBdr>
    </w:div>
    <w:div w:id="982084210">
      <w:bodyDiv w:val="1"/>
      <w:marLeft w:val="0"/>
      <w:marRight w:val="0"/>
      <w:marTop w:val="0"/>
      <w:marBottom w:val="0"/>
      <w:divBdr>
        <w:top w:val="none" w:sz="0" w:space="0" w:color="auto"/>
        <w:left w:val="none" w:sz="0" w:space="0" w:color="auto"/>
        <w:bottom w:val="none" w:sz="0" w:space="0" w:color="auto"/>
        <w:right w:val="none" w:sz="0" w:space="0" w:color="auto"/>
      </w:divBdr>
    </w:div>
    <w:div w:id="998390652">
      <w:bodyDiv w:val="1"/>
      <w:marLeft w:val="0"/>
      <w:marRight w:val="0"/>
      <w:marTop w:val="0"/>
      <w:marBottom w:val="0"/>
      <w:divBdr>
        <w:top w:val="none" w:sz="0" w:space="0" w:color="auto"/>
        <w:left w:val="none" w:sz="0" w:space="0" w:color="auto"/>
        <w:bottom w:val="none" w:sz="0" w:space="0" w:color="auto"/>
        <w:right w:val="none" w:sz="0" w:space="0" w:color="auto"/>
      </w:divBdr>
    </w:div>
    <w:div w:id="1011686194">
      <w:bodyDiv w:val="1"/>
      <w:marLeft w:val="0"/>
      <w:marRight w:val="0"/>
      <w:marTop w:val="0"/>
      <w:marBottom w:val="0"/>
      <w:divBdr>
        <w:top w:val="none" w:sz="0" w:space="0" w:color="auto"/>
        <w:left w:val="none" w:sz="0" w:space="0" w:color="auto"/>
        <w:bottom w:val="none" w:sz="0" w:space="0" w:color="auto"/>
        <w:right w:val="none" w:sz="0" w:space="0" w:color="auto"/>
      </w:divBdr>
    </w:div>
    <w:div w:id="1012537545">
      <w:bodyDiv w:val="1"/>
      <w:marLeft w:val="0"/>
      <w:marRight w:val="0"/>
      <w:marTop w:val="0"/>
      <w:marBottom w:val="0"/>
      <w:divBdr>
        <w:top w:val="none" w:sz="0" w:space="0" w:color="auto"/>
        <w:left w:val="none" w:sz="0" w:space="0" w:color="auto"/>
        <w:bottom w:val="none" w:sz="0" w:space="0" w:color="auto"/>
        <w:right w:val="none" w:sz="0" w:space="0" w:color="auto"/>
      </w:divBdr>
    </w:div>
    <w:div w:id="1023634398">
      <w:bodyDiv w:val="1"/>
      <w:marLeft w:val="0"/>
      <w:marRight w:val="0"/>
      <w:marTop w:val="0"/>
      <w:marBottom w:val="0"/>
      <w:divBdr>
        <w:top w:val="none" w:sz="0" w:space="0" w:color="auto"/>
        <w:left w:val="none" w:sz="0" w:space="0" w:color="auto"/>
        <w:bottom w:val="none" w:sz="0" w:space="0" w:color="auto"/>
        <w:right w:val="none" w:sz="0" w:space="0" w:color="auto"/>
      </w:divBdr>
    </w:div>
    <w:div w:id="1028028532">
      <w:bodyDiv w:val="1"/>
      <w:marLeft w:val="0"/>
      <w:marRight w:val="0"/>
      <w:marTop w:val="0"/>
      <w:marBottom w:val="0"/>
      <w:divBdr>
        <w:top w:val="none" w:sz="0" w:space="0" w:color="auto"/>
        <w:left w:val="none" w:sz="0" w:space="0" w:color="auto"/>
        <w:bottom w:val="none" w:sz="0" w:space="0" w:color="auto"/>
        <w:right w:val="none" w:sz="0" w:space="0" w:color="auto"/>
      </w:divBdr>
    </w:div>
    <w:div w:id="1034426456">
      <w:bodyDiv w:val="1"/>
      <w:marLeft w:val="0"/>
      <w:marRight w:val="0"/>
      <w:marTop w:val="0"/>
      <w:marBottom w:val="0"/>
      <w:divBdr>
        <w:top w:val="none" w:sz="0" w:space="0" w:color="auto"/>
        <w:left w:val="none" w:sz="0" w:space="0" w:color="auto"/>
        <w:bottom w:val="none" w:sz="0" w:space="0" w:color="auto"/>
        <w:right w:val="none" w:sz="0" w:space="0" w:color="auto"/>
      </w:divBdr>
    </w:div>
    <w:div w:id="1040594932">
      <w:bodyDiv w:val="1"/>
      <w:marLeft w:val="0"/>
      <w:marRight w:val="0"/>
      <w:marTop w:val="0"/>
      <w:marBottom w:val="0"/>
      <w:divBdr>
        <w:top w:val="none" w:sz="0" w:space="0" w:color="auto"/>
        <w:left w:val="none" w:sz="0" w:space="0" w:color="auto"/>
        <w:bottom w:val="none" w:sz="0" w:space="0" w:color="auto"/>
        <w:right w:val="none" w:sz="0" w:space="0" w:color="auto"/>
      </w:divBdr>
    </w:div>
    <w:div w:id="1044478337">
      <w:bodyDiv w:val="1"/>
      <w:marLeft w:val="0"/>
      <w:marRight w:val="0"/>
      <w:marTop w:val="0"/>
      <w:marBottom w:val="0"/>
      <w:divBdr>
        <w:top w:val="none" w:sz="0" w:space="0" w:color="auto"/>
        <w:left w:val="none" w:sz="0" w:space="0" w:color="auto"/>
        <w:bottom w:val="none" w:sz="0" w:space="0" w:color="auto"/>
        <w:right w:val="none" w:sz="0" w:space="0" w:color="auto"/>
      </w:divBdr>
    </w:div>
    <w:div w:id="1055082412">
      <w:bodyDiv w:val="1"/>
      <w:marLeft w:val="0"/>
      <w:marRight w:val="0"/>
      <w:marTop w:val="0"/>
      <w:marBottom w:val="0"/>
      <w:divBdr>
        <w:top w:val="none" w:sz="0" w:space="0" w:color="auto"/>
        <w:left w:val="none" w:sz="0" w:space="0" w:color="auto"/>
        <w:bottom w:val="none" w:sz="0" w:space="0" w:color="auto"/>
        <w:right w:val="none" w:sz="0" w:space="0" w:color="auto"/>
      </w:divBdr>
    </w:div>
    <w:div w:id="1061513652">
      <w:bodyDiv w:val="1"/>
      <w:marLeft w:val="0"/>
      <w:marRight w:val="0"/>
      <w:marTop w:val="0"/>
      <w:marBottom w:val="0"/>
      <w:divBdr>
        <w:top w:val="none" w:sz="0" w:space="0" w:color="auto"/>
        <w:left w:val="none" w:sz="0" w:space="0" w:color="auto"/>
        <w:bottom w:val="none" w:sz="0" w:space="0" w:color="auto"/>
        <w:right w:val="none" w:sz="0" w:space="0" w:color="auto"/>
      </w:divBdr>
    </w:div>
    <w:div w:id="1075200375">
      <w:bodyDiv w:val="1"/>
      <w:marLeft w:val="0"/>
      <w:marRight w:val="0"/>
      <w:marTop w:val="0"/>
      <w:marBottom w:val="0"/>
      <w:divBdr>
        <w:top w:val="none" w:sz="0" w:space="0" w:color="auto"/>
        <w:left w:val="none" w:sz="0" w:space="0" w:color="auto"/>
        <w:bottom w:val="none" w:sz="0" w:space="0" w:color="auto"/>
        <w:right w:val="none" w:sz="0" w:space="0" w:color="auto"/>
      </w:divBdr>
    </w:div>
    <w:div w:id="1084915020">
      <w:bodyDiv w:val="1"/>
      <w:marLeft w:val="0"/>
      <w:marRight w:val="0"/>
      <w:marTop w:val="0"/>
      <w:marBottom w:val="0"/>
      <w:divBdr>
        <w:top w:val="none" w:sz="0" w:space="0" w:color="auto"/>
        <w:left w:val="none" w:sz="0" w:space="0" w:color="auto"/>
        <w:bottom w:val="none" w:sz="0" w:space="0" w:color="auto"/>
        <w:right w:val="none" w:sz="0" w:space="0" w:color="auto"/>
      </w:divBdr>
    </w:div>
    <w:div w:id="1085955709">
      <w:bodyDiv w:val="1"/>
      <w:marLeft w:val="0"/>
      <w:marRight w:val="0"/>
      <w:marTop w:val="0"/>
      <w:marBottom w:val="0"/>
      <w:divBdr>
        <w:top w:val="none" w:sz="0" w:space="0" w:color="auto"/>
        <w:left w:val="none" w:sz="0" w:space="0" w:color="auto"/>
        <w:bottom w:val="none" w:sz="0" w:space="0" w:color="auto"/>
        <w:right w:val="none" w:sz="0" w:space="0" w:color="auto"/>
      </w:divBdr>
    </w:div>
    <w:div w:id="1091319455">
      <w:bodyDiv w:val="1"/>
      <w:marLeft w:val="0"/>
      <w:marRight w:val="0"/>
      <w:marTop w:val="0"/>
      <w:marBottom w:val="0"/>
      <w:divBdr>
        <w:top w:val="none" w:sz="0" w:space="0" w:color="auto"/>
        <w:left w:val="none" w:sz="0" w:space="0" w:color="auto"/>
        <w:bottom w:val="none" w:sz="0" w:space="0" w:color="auto"/>
        <w:right w:val="none" w:sz="0" w:space="0" w:color="auto"/>
      </w:divBdr>
      <w:divsChild>
        <w:div w:id="1299609413">
          <w:marLeft w:val="0"/>
          <w:marRight w:val="0"/>
          <w:marTop w:val="0"/>
          <w:marBottom w:val="0"/>
          <w:divBdr>
            <w:top w:val="single" w:sz="2" w:space="0" w:color="auto"/>
            <w:left w:val="single" w:sz="2" w:space="0" w:color="auto"/>
            <w:bottom w:val="single" w:sz="2" w:space="0" w:color="auto"/>
            <w:right w:val="single" w:sz="6" w:space="0" w:color="auto"/>
          </w:divBdr>
          <w:divsChild>
            <w:div w:id="805005922">
              <w:marLeft w:val="0"/>
              <w:marRight w:val="0"/>
              <w:marTop w:val="0"/>
              <w:marBottom w:val="0"/>
              <w:divBdr>
                <w:top w:val="none" w:sz="0" w:space="0" w:color="auto"/>
                <w:left w:val="none" w:sz="0" w:space="0" w:color="auto"/>
                <w:bottom w:val="none" w:sz="0" w:space="0" w:color="auto"/>
                <w:right w:val="none" w:sz="0" w:space="0" w:color="auto"/>
              </w:divBdr>
              <w:divsChild>
                <w:div w:id="2088919502">
                  <w:marLeft w:val="0"/>
                  <w:marRight w:val="0"/>
                  <w:marTop w:val="0"/>
                  <w:marBottom w:val="0"/>
                  <w:divBdr>
                    <w:top w:val="none" w:sz="0" w:space="0" w:color="auto"/>
                    <w:left w:val="none" w:sz="0" w:space="0" w:color="auto"/>
                    <w:bottom w:val="none" w:sz="0" w:space="0" w:color="auto"/>
                    <w:right w:val="none" w:sz="0" w:space="0" w:color="auto"/>
                  </w:divBdr>
                  <w:divsChild>
                    <w:div w:id="1330447035">
                      <w:marLeft w:val="0"/>
                      <w:marRight w:val="0"/>
                      <w:marTop w:val="0"/>
                      <w:marBottom w:val="0"/>
                      <w:divBdr>
                        <w:top w:val="none" w:sz="0" w:space="0" w:color="auto"/>
                        <w:left w:val="none" w:sz="0" w:space="0" w:color="auto"/>
                        <w:bottom w:val="none" w:sz="0" w:space="0" w:color="auto"/>
                        <w:right w:val="none" w:sz="0" w:space="0" w:color="auto"/>
                      </w:divBdr>
                    </w:div>
                    <w:div w:id="1725710477">
                      <w:marLeft w:val="0"/>
                      <w:marRight w:val="0"/>
                      <w:marTop w:val="0"/>
                      <w:marBottom w:val="0"/>
                      <w:divBdr>
                        <w:top w:val="none" w:sz="0" w:space="0" w:color="auto"/>
                        <w:left w:val="none" w:sz="0" w:space="0" w:color="auto"/>
                        <w:bottom w:val="none" w:sz="0" w:space="0" w:color="auto"/>
                        <w:right w:val="none" w:sz="0" w:space="0" w:color="auto"/>
                      </w:divBdr>
                      <w:divsChild>
                        <w:div w:id="2060745259">
                          <w:marLeft w:val="0"/>
                          <w:marRight w:val="0"/>
                          <w:marTop w:val="0"/>
                          <w:marBottom w:val="0"/>
                          <w:divBdr>
                            <w:top w:val="none" w:sz="0" w:space="0" w:color="auto"/>
                            <w:left w:val="none" w:sz="0" w:space="0" w:color="auto"/>
                            <w:bottom w:val="none" w:sz="0" w:space="0" w:color="auto"/>
                            <w:right w:val="none" w:sz="0" w:space="0" w:color="auto"/>
                          </w:divBdr>
                          <w:divsChild>
                            <w:div w:id="994802520">
                              <w:marLeft w:val="240"/>
                              <w:marRight w:val="240"/>
                              <w:marTop w:val="12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94258664">
          <w:marLeft w:val="0"/>
          <w:marRight w:val="0"/>
          <w:marTop w:val="0"/>
          <w:marBottom w:val="0"/>
          <w:divBdr>
            <w:top w:val="none" w:sz="0" w:space="0" w:color="auto"/>
            <w:left w:val="none" w:sz="0" w:space="0" w:color="auto"/>
            <w:bottom w:val="none" w:sz="0" w:space="0" w:color="auto"/>
            <w:right w:val="none" w:sz="0" w:space="0" w:color="auto"/>
          </w:divBdr>
          <w:divsChild>
            <w:div w:id="1437018805">
              <w:marLeft w:val="0"/>
              <w:marRight w:val="0"/>
              <w:marTop w:val="0"/>
              <w:marBottom w:val="0"/>
              <w:divBdr>
                <w:top w:val="none" w:sz="0" w:space="0" w:color="auto"/>
                <w:left w:val="none" w:sz="0" w:space="0" w:color="auto"/>
                <w:bottom w:val="none" w:sz="0" w:space="0" w:color="auto"/>
                <w:right w:val="none" w:sz="0" w:space="0" w:color="auto"/>
              </w:divBdr>
              <w:divsChild>
                <w:div w:id="358166140">
                  <w:marLeft w:val="0"/>
                  <w:marRight w:val="0"/>
                  <w:marTop w:val="0"/>
                  <w:marBottom w:val="0"/>
                  <w:divBdr>
                    <w:top w:val="none" w:sz="0" w:space="0" w:color="auto"/>
                    <w:left w:val="none" w:sz="0" w:space="0" w:color="auto"/>
                    <w:bottom w:val="none" w:sz="0" w:space="0" w:color="auto"/>
                    <w:right w:val="none" w:sz="0" w:space="0" w:color="auto"/>
                  </w:divBdr>
                  <w:divsChild>
                    <w:div w:id="1981378411">
                      <w:marLeft w:val="0"/>
                      <w:marRight w:val="0"/>
                      <w:marTop w:val="0"/>
                      <w:marBottom w:val="0"/>
                      <w:divBdr>
                        <w:top w:val="none" w:sz="0" w:space="0" w:color="auto"/>
                        <w:left w:val="none" w:sz="0" w:space="0" w:color="auto"/>
                        <w:bottom w:val="none" w:sz="0" w:space="0" w:color="auto"/>
                        <w:right w:val="none" w:sz="0" w:space="0" w:color="auto"/>
                      </w:divBdr>
                      <w:divsChild>
                        <w:div w:id="761493028">
                          <w:marLeft w:val="0"/>
                          <w:marRight w:val="0"/>
                          <w:marTop w:val="0"/>
                          <w:marBottom w:val="0"/>
                          <w:divBdr>
                            <w:top w:val="none" w:sz="0" w:space="0" w:color="auto"/>
                            <w:left w:val="none" w:sz="0" w:space="0" w:color="auto"/>
                            <w:bottom w:val="none" w:sz="0" w:space="0" w:color="auto"/>
                            <w:right w:val="none" w:sz="0" w:space="0" w:color="auto"/>
                          </w:divBdr>
                          <w:divsChild>
                            <w:div w:id="1340504924">
                              <w:marLeft w:val="0"/>
                              <w:marRight w:val="0"/>
                              <w:marTop w:val="0"/>
                              <w:marBottom w:val="0"/>
                              <w:divBdr>
                                <w:top w:val="none" w:sz="0" w:space="0" w:color="auto"/>
                                <w:left w:val="none" w:sz="0" w:space="0" w:color="auto"/>
                                <w:bottom w:val="none" w:sz="0" w:space="0" w:color="auto"/>
                                <w:right w:val="none" w:sz="0" w:space="0" w:color="auto"/>
                              </w:divBdr>
                              <w:divsChild>
                                <w:div w:id="576937837">
                                  <w:marLeft w:val="0"/>
                                  <w:marRight w:val="0"/>
                                  <w:marTop w:val="100"/>
                                  <w:marBottom w:val="100"/>
                                  <w:divBdr>
                                    <w:top w:val="none" w:sz="0" w:space="0" w:color="auto"/>
                                    <w:left w:val="none" w:sz="0" w:space="0" w:color="auto"/>
                                    <w:bottom w:val="none" w:sz="0" w:space="0" w:color="auto"/>
                                    <w:right w:val="none" w:sz="0" w:space="0" w:color="auto"/>
                                  </w:divBdr>
                                  <w:divsChild>
                                    <w:div w:id="47841938">
                                      <w:marLeft w:val="0"/>
                                      <w:marRight w:val="0"/>
                                      <w:marTop w:val="0"/>
                                      <w:marBottom w:val="0"/>
                                      <w:divBdr>
                                        <w:top w:val="none" w:sz="0" w:space="0" w:color="auto"/>
                                        <w:left w:val="none" w:sz="0" w:space="0" w:color="auto"/>
                                        <w:bottom w:val="none" w:sz="0" w:space="0" w:color="auto"/>
                                        <w:right w:val="none" w:sz="0" w:space="0" w:color="auto"/>
                                      </w:divBdr>
                                      <w:divsChild>
                                        <w:div w:id="1812822928">
                                          <w:marLeft w:val="0"/>
                                          <w:marRight w:val="0"/>
                                          <w:marTop w:val="0"/>
                                          <w:marBottom w:val="0"/>
                                          <w:divBdr>
                                            <w:top w:val="none" w:sz="0" w:space="0" w:color="auto"/>
                                            <w:left w:val="none" w:sz="0" w:space="0" w:color="auto"/>
                                            <w:bottom w:val="none" w:sz="0" w:space="0" w:color="auto"/>
                                            <w:right w:val="none" w:sz="0" w:space="0" w:color="auto"/>
                                          </w:divBdr>
                                          <w:divsChild>
                                            <w:div w:id="92944661">
                                              <w:marLeft w:val="0"/>
                                              <w:marRight w:val="0"/>
                                              <w:marTop w:val="0"/>
                                              <w:marBottom w:val="0"/>
                                              <w:divBdr>
                                                <w:top w:val="none" w:sz="0" w:space="0" w:color="auto"/>
                                                <w:left w:val="none" w:sz="0" w:space="0" w:color="auto"/>
                                                <w:bottom w:val="none" w:sz="0" w:space="0" w:color="auto"/>
                                                <w:right w:val="none" w:sz="0" w:space="0" w:color="auto"/>
                                              </w:divBdr>
                                              <w:divsChild>
                                                <w:div w:id="1858229844">
                                                  <w:marLeft w:val="0"/>
                                                  <w:marRight w:val="0"/>
                                                  <w:marTop w:val="0"/>
                                                  <w:marBottom w:val="0"/>
                                                  <w:divBdr>
                                                    <w:top w:val="none" w:sz="0" w:space="0" w:color="auto"/>
                                                    <w:left w:val="none" w:sz="0" w:space="0" w:color="auto"/>
                                                    <w:bottom w:val="none" w:sz="0" w:space="0" w:color="auto"/>
                                                    <w:right w:val="none" w:sz="0" w:space="0" w:color="auto"/>
                                                  </w:divBdr>
                                                  <w:divsChild>
                                                    <w:div w:id="26484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2359431">
                                  <w:marLeft w:val="0"/>
                                  <w:marRight w:val="0"/>
                                  <w:marTop w:val="100"/>
                                  <w:marBottom w:val="100"/>
                                  <w:divBdr>
                                    <w:top w:val="none" w:sz="0" w:space="0" w:color="auto"/>
                                    <w:left w:val="none" w:sz="0" w:space="0" w:color="auto"/>
                                    <w:bottom w:val="none" w:sz="0" w:space="0" w:color="auto"/>
                                    <w:right w:val="none" w:sz="0" w:space="0" w:color="auto"/>
                                  </w:divBdr>
                                  <w:divsChild>
                                    <w:div w:id="1162623662">
                                      <w:marLeft w:val="0"/>
                                      <w:marRight w:val="0"/>
                                      <w:marTop w:val="0"/>
                                      <w:marBottom w:val="0"/>
                                      <w:divBdr>
                                        <w:top w:val="none" w:sz="0" w:space="0" w:color="auto"/>
                                        <w:left w:val="none" w:sz="0" w:space="0" w:color="auto"/>
                                        <w:bottom w:val="none" w:sz="0" w:space="0" w:color="auto"/>
                                        <w:right w:val="none" w:sz="0" w:space="0" w:color="auto"/>
                                      </w:divBdr>
                                      <w:divsChild>
                                        <w:div w:id="546382792">
                                          <w:marLeft w:val="0"/>
                                          <w:marRight w:val="0"/>
                                          <w:marTop w:val="0"/>
                                          <w:marBottom w:val="0"/>
                                          <w:divBdr>
                                            <w:top w:val="none" w:sz="0" w:space="0" w:color="auto"/>
                                            <w:left w:val="none" w:sz="0" w:space="0" w:color="auto"/>
                                            <w:bottom w:val="none" w:sz="0" w:space="0" w:color="auto"/>
                                            <w:right w:val="none" w:sz="0" w:space="0" w:color="auto"/>
                                          </w:divBdr>
                                          <w:divsChild>
                                            <w:div w:id="584075170">
                                              <w:marLeft w:val="0"/>
                                              <w:marRight w:val="0"/>
                                              <w:marTop w:val="0"/>
                                              <w:marBottom w:val="0"/>
                                              <w:divBdr>
                                                <w:top w:val="none" w:sz="0" w:space="0" w:color="auto"/>
                                                <w:left w:val="none" w:sz="0" w:space="0" w:color="auto"/>
                                                <w:bottom w:val="none" w:sz="0" w:space="0" w:color="auto"/>
                                                <w:right w:val="none" w:sz="0" w:space="0" w:color="auto"/>
                                              </w:divBdr>
                                              <w:divsChild>
                                                <w:div w:id="2108189698">
                                                  <w:marLeft w:val="0"/>
                                                  <w:marRight w:val="0"/>
                                                  <w:marTop w:val="0"/>
                                                  <w:marBottom w:val="0"/>
                                                  <w:divBdr>
                                                    <w:top w:val="none" w:sz="0" w:space="0" w:color="auto"/>
                                                    <w:left w:val="none" w:sz="0" w:space="0" w:color="auto"/>
                                                    <w:bottom w:val="none" w:sz="0" w:space="0" w:color="auto"/>
                                                    <w:right w:val="none" w:sz="0" w:space="0" w:color="auto"/>
                                                  </w:divBdr>
                                                  <w:divsChild>
                                                    <w:div w:id="1203445375">
                                                      <w:marLeft w:val="0"/>
                                                      <w:marRight w:val="0"/>
                                                      <w:marTop w:val="0"/>
                                                      <w:marBottom w:val="0"/>
                                                      <w:divBdr>
                                                        <w:top w:val="none" w:sz="0" w:space="0" w:color="auto"/>
                                                        <w:left w:val="none" w:sz="0" w:space="0" w:color="auto"/>
                                                        <w:bottom w:val="none" w:sz="0" w:space="0" w:color="auto"/>
                                                        <w:right w:val="none" w:sz="0" w:space="0" w:color="auto"/>
                                                      </w:divBdr>
                                                      <w:divsChild>
                                                        <w:div w:id="83881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8687832">
                                  <w:marLeft w:val="0"/>
                                  <w:marRight w:val="0"/>
                                  <w:marTop w:val="100"/>
                                  <w:marBottom w:val="100"/>
                                  <w:divBdr>
                                    <w:top w:val="none" w:sz="0" w:space="0" w:color="auto"/>
                                    <w:left w:val="none" w:sz="0" w:space="0" w:color="auto"/>
                                    <w:bottom w:val="none" w:sz="0" w:space="0" w:color="auto"/>
                                    <w:right w:val="none" w:sz="0" w:space="0" w:color="auto"/>
                                  </w:divBdr>
                                  <w:divsChild>
                                    <w:div w:id="215163100">
                                      <w:marLeft w:val="0"/>
                                      <w:marRight w:val="0"/>
                                      <w:marTop w:val="0"/>
                                      <w:marBottom w:val="0"/>
                                      <w:divBdr>
                                        <w:top w:val="none" w:sz="0" w:space="0" w:color="auto"/>
                                        <w:left w:val="none" w:sz="0" w:space="0" w:color="auto"/>
                                        <w:bottom w:val="none" w:sz="0" w:space="0" w:color="auto"/>
                                        <w:right w:val="none" w:sz="0" w:space="0" w:color="auto"/>
                                      </w:divBdr>
                                      <w:divsChild>
                                        <w:div w:id="653098557">
                                          <w:marLeft w:val="0"/>
                                          <w:marRight w:val="0"/>
                                          <w:marTop w:val="0"/>
                                          <w:marBottom w:val="0"/>
                                          <w:divBdr>
                                            <w:top w:val="none" w:sz="0" w:space="0" w:color="auto"/>
                                            <w:left w:val="none" w:sz="0" w:space="0" w:color="auto"/>
                                            <w:bottom w:val="none" w:sz="0" w:space="0" w:color="auto"/>
                                            <w:right w:val="none" w:sz="0" w:space="0" w:color="auto"/>
                                          </w:divBdr>
                                          <w:divsChild>
                                            <w:div w:id="271937722">
                                              <w:marLeft w:val="0"/>
                                              <w:marRight w:val="0"/>
                                              <w:marTop w:val="0"/>
                                              <w:marBottom w:val="0"/>
                                              <w:divBdr>
                                                <w:top w:val="none" w:sz="0" w:space="0" w:color="auto"/>
                                                <w:left w:val="none" w:sz="0" w:space="0" w:color="auto"/>
                                                <w:bottom w:val="none" w:sz="0" w:space="0" w:color="auto"/>
                                                <w:right w:val="none" w:sz="0" w:space="0" w:color="auto"/>
                                              </w:divBdr>
                                              <w:divsChild>
                                                <w:div w:id="1797062806">
                                                  <w:marLeft w:val="0"/>
                                                  <w:marRight w:val="0"/>
                                                  <w:marTop w:val="0"/>
                                                  <w:marBottom w:val="0"/>
                                                  <w:divBdr>
                                                    <w:top w:val="none" w:sz="0" w:space="0" w:color="auto"/>
                                                    <w:left w:val="none" w:sz="0" w:space="0" w:color="auto"/>
                                                    <w:bottom w:val="none" w:sz="0" w:space="0" w:color="auto"/>
                                                    <w:right w:val="none" w:sz="0" w:space="0" w:color="auto"/>
                                                  </w:divBdr>
                                                  <w:divsChild>
                                                    <w:div w:id="41170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384051">
                                  <w:marLeft w:val="0"/>
                                  <w:marRight w:val="0"/>
                                  <w:marTop w:val="100"/>
                                  <w:marBottom w:val="100"/>
                                  <w:divBdr>
                                    <w:top w:val="none" w:sz="0" w:space="0" w:color="auto"/>
                                    <w:left w:val="none" w:sz="0" w:space="0" w:color="auto"/>
                                    <w:bottom w:val="none" w:sz="0" w:space="0" w:color="auto"/>
                                    <w:right w:val="none" w:sz="0" w:space="0" w:color="auto"/>
                                  </w:divBdr>
                                  <w:divsChild>
                                    <w:div w:id="1968583909">
                                      <w:marLeft w:val="0"/>
                                      <w:marRight w:val="0"/>
                                      <w:marTop w:val="0"/>
                                      <w:marBottom w:val="0"/>
                                      <w:divBdr>
                                        <w:top w:val="none" w:sz="0" w:space="0" w:color="auto"/>
                                        <w:left w:val="none" w:sz="0" w:space="0" w:color="auto"/>
                                        <w:bottom w:val="none" w:sz="0" w:space="0" w:color="auto"/>
                                        <w:right w:val="none" w:sz="0" w:space="0" w:color="auto"/>
                                      </w:divBdr>
                                      <w:divsChild>
                                        <w:div w:id="371420708">
                                          <w:marLeft w:val="0"/>
                                          <w:marRight w:val="0"/>
                                          <w:marTop w:val="0"/>
                                          <w:marBottom w:val="0"/>
                                          <w:divBdr>
                                            <w:top w:val="none" w:sz="0" w:space="0" w:color="auto"/>
                                            <w:left w:val="none" w:sz="0" w:space="0" w:color="auto"/>
                                            <w:bottom w:val="none" w:sz="0" w:space="0" w:color="auto"/>
                                            <w:right w:val="none" w:sz="0" w:space="0" w:color="auto"/>
                                          </w:divBdr>
                                          <w:divsChild>
                                            <w:div w:id="261037575">
                                              <w:marLeft w:val="0"/>
                                              <w:marRight w:val="0"/>
                                              <w:marTop w:val="0"/>
                                              <w:marBottom w:val="0"/>
                                              <w:divBdr>
                                                <w:top w:val="none" w:sz="0" w:space="0" w:color="auto"/>
                                                <w:left w:val="none" w:sz="0" w:space="0" w:color="auto"/>
                                                <w:bottom w:val="none" w:sz="0" w:space="0" w:color="auto"/>
                                                <w:right w:val="none" w:sz="0" w:space="0" w:color="auto"/>
                                              </w:divBdr>
                                              <w:divsChild>
                                                <w:div w:id="382414948">
                                                  <w:marLeft w:val="0"/>
                                                  <w:marRight w:val="0"/>
                                                  <w:marTop w:val="0"/>
                                                  <w:marBottom w:val="0"/>
                                                  <w:divBdr>
                                                    <w:top w:val="none" w:sz="0" w:space="0" w:color="auto"/>
                                                    <w:left w:val="none" w:sz="0" w:space="0" w:color="auto"/>
                                                    <w:bottom w:val="none" w:sz="0" w:space="0" w:color="auto"/>
                                                    <w:right w:val="none" w:sz="0" w:space="0" w:color="auto"/>
                                                  </w:divBdr>
                                                  <w:divsChild>
                                                    <w:div w:id="549343892">
                                                      <w:marLeft w:val="0"/>
                                                      <w:marRight w:val="0"/>
                                                      <w:marTop w:val="0"/>
                                                      <w:marBottom w:val="0"/>
                                                      <w:divBdr>
                                                        <w:top w:val="none" w:sz="0" w:space="0" w:color="auto"/>
                                                        <w:left w:val="none" w:sz="0" w:space="0" w:color="auto"/>
                                                        <w:bottom w:val="none" w:sz="0" w:space="0" w:color="auto"/>
                                                        <w:right w:val="none" w:sz="0" w:space="0" w:color="auto"/>
                                                      </w:divBdr>
                                                      <w:divsChild>
                                                        <w:div w:id="74182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824594">
                                  <w:marLeft w:val="0"/>
                                  <w:marRight w:val="0"/>
                                  <w:marTop w:val="100"/>
                                  <w:marBottom w:val="100"/>
                                  <w:divBdr>
                                    <w:top w:val="none" w:sz="0" w:space="0" w:color="auto"/>
                                    <w:left w:val="none" w:sz="0" w:space="0" w:color="auto"/>
                                    <w:bottom w:val="none" w:sz="0" w:space="0" w:color="auto"/>
                                    <w:right w:val="none" w:sz="0" w:space="0" w:color="auto"/>
                                  </w:divBdr>
                                  <w:divsChild>
                                    <w:div w:id="1082215358">
                                      <w:marLeft w:val="0"/>
                                      <w:marRight w:val="0"/>
                                      <w:marTop w:val="0"/>
                                      <w:marBottom w:val="0"/>
                                      <w:divBdr>
                                        <w:top w:val="none" w:sz="0" w:space="0" w:color="auto"/>
                                        <w:left w:val="none" w:sz="0" w:space="0" w:color="auto"/>
                                        <w:bottom w:val="none" w:sz="0" w:space="0" w:color="auto"/>
                                        <w:right w:val="none" w:sz="0" w:space="0" w:color="auto"/>
                                      </w:divBdr>
                                      <w:divsChild>
                                        <w:div w:id="1872450537">
                                          <w:marLeft w:val="0"/>
                                          <w:marRight w:val="0"/>
                                          <w:marTop w:val="0"/>
                                          <w:marBottom w:val="0"/>
                                          <w:divBdr>
                                            <w:top w:val="none" w:sz="0" w:space="0" w:color="auto"/>
                                            <w:left w:val="none" w:sz="0" w:space="0" w:color="auto"/>
                                            <w:bottom w:val="none" w:sz="0" w:space="0" w:color="auto"/>
                                            <w:right w:val="none" w:sz="0" w:space="0" w:color="auto"/>
                                          </w:divBdr>
                                          <w:divsChild>
                                            <w:div w:id="247616781">
                                              <w:marLeft w:val="0"/>
                                              <w:marRight w:val="0"/>
                                              <w:marTop w:val="0"/>
                                              <w:marBottom w:val="0"/>
                                              <w:divBdr>
                                                <w:top w:val="none" w:sz="0" w:space="0" w:color="auto"/>
                                                <w:left w:val="none" w:sz="0" w:space="0" w:color="auto"/>
                                                <w:bottom w:val="none" w:sz="0" w:space="0" w:color="auto"/>
                                                <w:right w:val="none" w:sz="0" w:space="0" w:color="auto"/>
                                              </w:divBdr>
                                              <w:divsChild>
                                                <w:div w:id="238633916">
                                                  <w:marLeft w:val="0"/>
                                                  <w:marRight w:val="0"/>
                                                  <w:marTop w:val="0"/>
                                                  <w:marBottom w:val="0"/>
                                                  <w:divBdr>
                                                    <w:top w:val="none" w:sz="0" w:space="0" w:color="auto"/>
                                                    <w:left w:val="none" w:sz="0" w:space="0" w:color="auto"/>
                                                    <w:bottom w:val="none" w:sz="0" w:space="0" w:color="auto"/>
                                                    <w:right w:val="none" w:sz="0" w:space="0" w:color="auto"/>
                                                  </w:divBdr>
                                                  <w:divsChild>
                                                    <w:div w:id="108542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830359">
                                  <w:marLeft w:val="0"/>
                                  <w:marRight w:val="0"/>
                                  <w:marTop w:val="100"/>
                                  <w:marBottom w:val="100"/>
                                  <w:divBdr>
                                    <w:top w:val="none" w:sz="0" w:space="0" w:color="auto"/>
                                    <w:left w:val="none" w:sz="0" w:space="0" w:color="auto"/>
                                    <w:bottom w:val="none" w:sz="0" w:space="0" w:color="auto"/>
                                    <w:right w:val="none" w:sz="0" w:space="0" w:color="auto"/>
                                  </w:divBdr>
                                  <w:divsChild>
                                    <w:div w:id="2135559191">
                                      <w:marLeft w:val="0"/>
                                      <w:marRight w:val="0"/>
                                      <w:marTop w:val="0"/>
                                      <w:marBottom w:val="0"/>
                                      <w:divBdr>
                                        <w:top w:val="none" w:sz="0" w:space="0" w:color="auto"/>
                                        <w:left w:val="none" w:sz="0" w:space="0" w:color="auto"/>
                                        <w:bottom w:val="none" w:sz="0" w:space="0" w:color="auto"/>
                                        <w:right w:val="none" w:sz="0" w:space="0" w:color="auto"/>
                                      </w:divBdr>
                                      <w:divsChild>
                                        <w:div w:id="519316085">
                                          <w:marLeft w:val="0"/>
                                          <w:marRight w:val="0"/>
                                          <w:marTop w:val="0"/>
                                          <w:marBottom w:val="0"/>
                                          <w:divBdr>
                                            <w:top w:val="none" w:sz="0" w:space="0" w:color="auto"/>
                                            <w:left w:val="none" w:sz="0" w:space="0" w:color="auto"/>
                                            <w:bottom w:val="none" w:sz="0" w:space="0" w:color="auto"/>
                                            <w:right w:val="none" w:sz="0" w:space="0" w:color="auto"/>
                                          </w:divBdr>
                                          <w:divsChild>
                                            <w:div w:id="827477802">
                                              <w:marLeft w:val="0"/>
                                              <w:marRight w:val="0"/>
                                              <w:marTop w:val="0"/>
                                              <w:marBottom w:val="0"/>
                                              <w:divBdr>
                                                <w:top w:val="none" w:sz="0" w:space="0" w:color="auto"/>
                                                <w:left w:val="none" w:sz="0" w:space="0" w:color="auto"/>
                                                <w:bottom w:val="none" w:sz="0" w:space="0" w:color="auto"/>
                                                <w:right w:val="none" w:sz="0" w:space="0" w:color="auto"/>
                                              </w:divBdr>
                                              <w:divsChild>
                                                <w:div w:id="1824545299">
                                                  <w:marLeft w:val="0"/>
                                                  <w:marRight w:val="0"/>
                                                  <w:marTop w:val="0"/>
                                                  <w:marBottom w:val="0"/>
                                                  <w:divBdr>
                                                    <w:top w:val="none" w:sz="0" w:space="0" w:color="auto"/>
                                                    <w:left w:val="none" w:sz="0" w:space="0" w:color="auto"/>
                                                    <w:bottom w:val="none" w:sz="0" w:space="0" w:color="auto"/>
                                                    <w:right w:val="none" w:sz="0" w:space="0" w:color="auto"/>
                                                  </w:divBdr>
                                                  <w:divsChild>
                                                    <w:div w:id="1287468916">
                                                      <w:marLeft w:val="0"/>
                                                      <w:marRight w:val="0"/>
                                                      <w:marTop w:val="0"/>
                                                      <w:marBottom w:val="0"/>
                                                      <w:divBdr>
                                                        <w:top w:val="none" w:sz="0" w:space="0" w:color="auto"/>
                                                        <w:left w:val="none" w:sz="0" w:space="0" w:color="auto"/>
                                                        <w:bottom w:val="none" w:sz="0" w:space="0" w:color="auto"/>
                                                        <w:right w:val="none" w:sz="0" w:space="0" w:color="auto"/>
                                                      </w:divBdr>
                                                      <w:divsChild>
                                                        <w:div w:id="93502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1362334">
                                  <w:marLeft w:val="0"/>
                                  <w:marRight w:val="0"/>
                                  <w:marTop w:val="100"/>
                                  <w:marBottom w:val="100"/>
                                  <w:divBdr>
                                    <w:top w:val="none" w:sz="0" w:space="0" w:color="auto"/>
                                    <w:left w:val="none" w:sz="0" w:space="0" w:color="auto"/>
                                    <w:bottom w:val="none" w:sz="0" w:space="0" w:color="auto"/>
                                    <w:right w:val="none" w:sz="0" w:space="0" w:color="auto"/>
                                  </w:divBdr>
                                  <w:divsChild>
                                    <w:div w:id="18941121">
                                      <w:marLeft w:val="0"/>
                                      <w:marRight w:val="0"/>
                                      <w:marTop w:val="0"/>
                                      <w:marBottom w:val="0"/>
                                      <w:divBdr>
                                        <w:top w:val="none" w:sz="0" w:space="0" w:color="auto"/>
                                        <w:left w:val="none" w:sz="0" w:space="0" w:color="auto"/>
                                        <w:bottom w:val="none" w:sz="0" w:space="0" w:color="auto"/>
                                        <w:right w:val="none" w:sz="0" w:space="0" w:color="auto"/>
                                      </w:divBdr>
                                      <w:divsChild>
                                        <w:div w:id="1413577420">
                                          <w:marLeft w:val="0"/>
                                          <w:marRight w:val="0"/>
                                          <w:marTop w:val="0"/>
                                          <w:marBottom w:val="0"/>
                                          <w:divBdr>
                                            <w:top w:val="none" w:sz="0" w:space="0" w:color="auto"/>
                                            <w:left w:val="none" w:sz="0" w:space="0" w:color="auto"/>
                                            <w:bottom w:val="none" w:sz="0" w:space="0" w:color="auto"/>
                                            <w:right w:val="none" w:sz="0" w:space="0" w:color="auto"/>
                                          </w:divBdr>
                                          <w:divsChild>
                                            <w:div w:id="1713337144">
                                              <w:marLeft w:val="0"/>
                                              <w:marRight w:val="0"/>
                                              <w:marTop w:val="0"/>
                                              <w:marBottom w:val="0"/>
                                              <w:divBdr>
                                                <w:top w:val="none" w:sz="0" w:space="0" w:color="auto"/>
                                                <w:left w:val="none" w:sz="0" w:space="0" w:color="auto"/>
                                                <w:bottom w:val="none" w:sz="0" w:space="0" w:color="auto"/>
                                                <w:right w:val="none" w:sz="0" w:space="0" w:color="auto"/>
                                              </w:divBdr>
                                              <w:divsChild>
                                                <w:div w:id="527065581">
                                                  <w:marLeft w:val="0"/>
                                                  <w:marRight w:val="0"/>
                                                  <w:marTop w:val="0"/>
                                                  <w:marBottom w:val="0"/>
                                                  <w:divBdr>
                                                    <w:top w:val="none" w:sz="0" w:space="0" w:color="auto"/>
                                                    <w:left w:val="none" w:sz="0" w:space="0" w:color="auto"/>
                                                    <w:bottom w:val="none" w:sz="0" w:space="0" w:color="auto"/>
                                                    <w:right w:val="none" w:sz="0" w:space="0" w:color="auto"/>
                                                  </w:divBdr>
                                                  <w:divsChild>
                                                    <w:div w:id="105704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7320827">
                                  <w:marLeft w:val="0"/>
                                  <w:marRight w:val="0"/>
                                  <w:marTop w:val="100"/>
                                  <w:marBottom w:val="100"/>
                                  <w:divBdr>
                                    <w:top w:val="none" w:sz="0" w:space="0" w:color="auto"/>
                                    <w:left w:val="none" w:sz="0" w:space="0" w:color="auto"/>
                                    <w:bottom w:val="none" w:sz="0" w:space="0" w:color="auto"/>
                                    <w:right w:val="none" w:sz="0" w:space="0" w:color="auto"/>
                                  </w:divBdr>
                                  <w:divsChild>
                                    <w:div w:id="1383402673">
                                      <w:marLeft w:val="0"/>
                                      <w:marRight w:val="0"/>
                                      <w:marTop w:val="0"/>
                                      <w:marBottom w:val="0"/>
                                      <w:divBdr>
                                        <w:top w:val="none" w:sz="0" w:space="0" w:color="auto"/>
                                        <w:left w:val="none" w:sz="0" w:space="0" w:color="auto"/>
                                        <w:bottom w:val="none" w:sz="0" w:space="0" w:color="auto"/>
                                        <w:right w:val="none" w:sz="0" w:space="0" w:color="auto"/>
                                      </w:divBdr>
                                      <w:divsChild>
                                        <w:div w:id="956639647">
                                          <w:marLeft w:val="0"/>
                                          <w:marRight w:val="0"/>
                                          <w:marTop w:val="0"/>
                                          <w:marBottom w:val="0"/>
                                          <w:divBdr>
                                            <w:top w:val="none" w:sz="0" w:space="0" w:color="auto"/>
                                            <w:left w:val="none" w:sz="0" w:space="0" w:color="auto"/>
                                            <w:bottom w:val="none" w:sz="0" w:space="0" w:color="auto"/>
                                            <w:right w:val="none" w:sz="0" w:space="0" w:color="auto"/>
                                          </w:divBdr>
                                          <w:divsChild>
                                            <w:div w:id="1626083657">
                                              <w:marLeft w:val="0"/>
                                              <w:marRight w:val="0"/>
                                              <w:marTop w:val="0"/>
                                              <w:marBottom w:val="0"/>
                                              <w:divBdr>
                                                <w:top w:val="none" w:sz="0" w:space="0" w:color="auto"/>
                                                <w:left w:val="none" w:sz="0" w:space="0" w:color="auto"/>
                                                <w:bottom w:val="none" w:sz="0" w:space="0" w:color="auto"/>
                                                <w:right w:val="none" w:sz="0" w:space="0" w:color="auto"/>
                                              </w:divBdr>
                                              <w:divsChild>
                                                <w:div w:id="795829531">
                                                  <w:marLeft w:val="0"/>
                                                  <w:marRight w:val="0"/>
                                                  <w:marTop w:val="0"/>
                                                  <w:marBottom w:val="0"/>
                                                  <w:divBdr>
                                                    <w:top w:val="none" w:sz="0" w:space="0" w:color="auto"/>
                                                    <w:left w:val="none" w:sz="0" w:space="0" w:color="auto"/>
                                                    <w:bottom w:val="none" w:sz="0" w:space="0" w:color="auto"/>
                                                    <w:right w:val="none" w:sz="0" w:space="0" w:color="auto"/>
                                                  </w:divBdr>
                                                  <w:divsChild>
                                                    <w:div w:id="2126922648">
                                                      <w:marLeft w:val="0"/>
                                                      <w:marRight w:val="0"/>
                                                      <w:marTop w:val="0"/>
                                                      <w:marBottom w:val="0"/>
                                                      <w:divBdr>
                                                        <w:top w:val="none" w:sz="0" w:space="0" w:color="auto"/>
                                                        <w:left w:val="none" w:sz="0" w:space="0" w:color="auto"/>
                                                        <w:bottom w:val="none" w:sz="0" w:space="0" w:color="auto"/>
                                                        <w:right w:val="none" w:sz="0" w:space="0" w:color="auto"/>
                                                      </w:divBdr>
                                                      <w:divsChild>
                                                        <w:div w:id="498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93937419">
      <w:bodyDiv w:val="1"/>
      <w:marLeft w:val="0"/>
      <w:marRight w:val="0"/>
      <w:marTop w:val="0"/>
      <w:marBottom w:val="0"/>
      <w:divBdr>
        <w:top w:val="none" w:sz="0" w:space="0" w:color="auto"/>
        <w:left w:val="none" w:sz="0" w:space="0" w:color="auto"/>
        <w:bottom w:val="none" w:sz="0" w:space="0" w:color="auto"/>
        <w:right w:val="none" w:sz="0" w:space="0" w:color="auto"/>
      </w:divBdr>
    </w:div>
    <w:div w:id="1105997457">
      <w:bodyDiv w:val="1"/>
      <w:marLeft w:val="0"/>
      <w:marRight w:val="0"/>
      <w:marTop w:val="0"/>
      <w:marBottom w:val="0"/>
      <w:divBdr>
        <w:top w:val="none" w:sz="0" w:space="0" w:color="auto"/>
        <w:left w:val="none" w:sz="0" w:space="0" w:color="auto"/>
        <w:bottom w:val="none" w:sz="0" w:space="0" w:color="auto"/>
        <w:right w:val="none" w:sz="0" w:space="0" w:color="auto"/>
      </w:divBdr>
    </w:div>
    <w:div w:id="1119031178">
      <w:bodyDiv w:val="1"/>
      <w:marLeft w:val="0"/>
      <w:marRight w:val="0"/>
      <w:marTop w:val="0"/>
      <w:marBottom w:val="0"/>
      <w:divBdr>
        <w:top w:val="none" w:sz="0" w:space="0" w:color="auto"/>
        <w:left w:val="none" w:sz="0" w:space="0" w:color="auto"/>
        <w:bottom w:val="none" w:sz="0" w:space="0" w:color="auto"/>
        <w:right w:val="none" w:sz="0" w:space="0" w:color="auto"/>
      </w:divBdr>
    </w:div>
    <w:div w:id="1130515688">
      <w:bodyDiv w:val="1"/>
      <w:marLeft w:val="0"/>
      <w:marRight w:val="0"/>
      <w:marTop w:val="0"/>
      <w:marBottom w:val="0"/>
      <w:divBdr>
        <w:top w:val="none" w:sz="0" w:space="0" w:color="auto"/>
        <w:left w:val="none" w:sz="0" w:space="0" w:color="auto"/>
        <w:bottom w:val="none" w:sz="0" w:space="0" w:color="auto"/>
        <w:right w:val="none" w:sz="0" w:space="0" w:color="auto"/>
      </w:divBdr>
    </w:div>
    <w:div w:id="1130978369">
      <w:bodyDiv w:val="1"/>
      <w:marLeft w:val="0"/>
      <w:marRight w:val="0"/>
      <w:marTop w:val="0"/>
      <w:marBottom w:val="0"/>
      <w:divBdr>
        <w:top w:val="none" w:sz="0" w:space="0" w:color="auto"/>
        <w:left w:val="none" w:sz="0" w:space="0" w:color="auto"/>
        <w:bottom w:val="none" w:sz="0" w:space="0" w:color="auto"/>
        <w:right w:val="none" w:sz="0" w:space="0" w:color="auto"/>
      </w:divBdr>
    </w:div>
    <w:div w:id="1141002802">
      <w:bodyDiv w:val="1"/>
      <w:marLeft w:val="0"/>
      <w:marRight w:val="0"/>
      <w:marTop w:val="0"/>
      <w:marBottom w:val="0"/>
      <w:divBdr>
        <w:top w:val="none" w:sz="0" w:space="0" w:color="auto"/>
        <w:left w:val="none" w:sz="0" w:space="0" w:color="auto"/>
        <w:bottom w:val="none" w:sz="0" w:space="0" w:color="auto"/>
        <w:right w:val="none" w:sz="0" w:space="0" w:color="auto"/>
      </w:divBdr>
    </w:div>
    <w:div w:id="1144196661">
      <w:bodyDiv w:val="1"/>
      <w:marLeft w:val="0"/>
      <w:marRight w:val="0"/>
      <w:marTop w:val="0"/>
      <w:marBottom w:val="0"/>
      <w:divBdr>
        <w:top w:val="none" w:sz="0" w:space="0" w:color="auto"/>
        <w:left w:val="none" w:sz="0" w:space="0" w:color="auto"/>
        <w:bottom w:val="none" w:sz="0" w:space="0" w:color="auto"/>
        <w:right w:val="none" w:sz="0" w:space="0" w:color="auto"/>
      </w:divBdr>
    </w:div>
    <w:div w:id="1145507891">
      <w:bodyDiv w:val="1"/>
      <w:marLeft w:val="0"/>
      <w:marRight w:val="0"/>
      <w:marTop w:val="0"/>
      <w:marBottom w:val="0"/>
      <w:divBdr>
        <w:top w:val="none" w:sz="0" w:space="0" w:color="auto"/>
        <w:left w:val="none" w:sz="0" w:space="0" w:color="auto"/>
        <w:bottom w:val="none" w:sz="0" w:space="0" w:color="auto"/>
        <w:right w:val="none" w:sz="0" w:space="0" w:color="auto"/>
      </w:divBdr>
      <w:divsChild>
        <w:div w:id="27339092">
          <w:marLeft w:val="0"/>
          <w:marRight w:val="0"/>
          <w:marTop w:val="0"/>
          <w:marBottom w:val="0"/>
          <w:divBdr>
            <w:top w:val="none" w:sz="0" w:space="0" w:color="auto"/>
            <w:left w:val="none" w:sz="0" w:space="0" w:color="auto"/>
            <w:bottom w:val="none" w:sz="0" w:space="0" w:color="auto"/>
            <w:right w:val="none" w:sz="0" w:space="0" w:color="auto"/>
          </w:divBdr>
        </w:div>
        <w:div w:id="50152493">
          <w:marLeft w:val="0"/>
          <w:marRight w:val="0"/>
          <w:marTop w:val="0"/>
          <w:marBottom w:val="0"/>
          <w:divBdr>
            <w:top w:val="none" w:sz="0" w:space="0" w:color="auto"/>
            <w:left w:val="none" w:sz="0" w:space="0" w:color="auto"/>
            <w:bottom w:val="none" w:sz="0" w:space="0" w:color="auto"/>
            <w:right w:val="none" w:sz="0" w:space="0" w:color="auto"/>
          </w:divBdr>
        </w:div>
        <w:div w:id="56902890">
          <w:marLeft w:val="0"/>
          <w:marRight w:val="0"/>
          <w:marTop w:val="0"/>
          <w:marBottom w:val="0"/>
          <w:divBdr>
            <w:top w:val="none" w:sz="0" w:space="0" w:color="auto"/>
            <w:left w:val="none" w:sz="0" w:space="0" w:color="auto"/>
            <w:bottom w:val="none" w:sz="0" w:space="0" w:color="auto"/>
            <w:right w:val="none" w:sz="0" w:space="0" w:color="auto"/>
          </w:divBdr>
        </w:div>
        <w:div w:id="133186884">
          <w:marLeft w:val="0"/>
          <w:marRight w:val="0"/>
          <w:marTop w:val="0"/>
          <w:marBottom w:val="0"/>
          <w:divBdr>
            <w:top w:val="none" w:sz="0" w:space="0" w:color="auto"/>
            <w:left w:val="none" w:sz="0" w:space="0" w:color="auto"/>
            <w:bottom w:val="none" w:sz="0" w:space="0" w:color="auto"/>
            <w:right w:val="none" w:sz="0" w:space="0" w:color="auto"/>
          </w:divBdr>
        </w:div>
        <w:div w:id="359166209">
          <w:marLeft w:val="0"/>
          <w:marRight w:val="0"/>
          <w:marTop w:val="0"/>
          <w:marBottom w:val="0"/>
          <w:divBdr>
            <w:top w:val="none" w:sz="0" w:space="0" w:color="auto"/>
            <w:left w:val="none" w:sz="0" w:space="0" w:color="auto"/>
            <w:bottom w:val="none" w:sz="0" w:space="0" w:color="auto"/>
            <w:right w:val="none" w:sz="0" w:space="0" w:color="auto"/>
          </w:divBdr>
        </w:div>
        <w:div w:id="655839733">
          <w:marLeft w:val="0"/>
          <w:marRight w:val="0"/>
          <w:marTop w:val="0"/>
          <w:marBottom w:val="0"/>
          <w:divBdr>
            <w:top w:val="none" w:sz="0" w:space="0" w:color="auto"/>
            <w:left w:val="none" w:sz="0" w:space="0" w:color="auto"/>
            <w:bottom w:val="none" w:sz="0" w:space="0" w:color="auto"/>
            <w:right w:val="none" w:sz="0" w:space="0" w:color="auto"/>
          </w:divBdr>
        </w:div>
        <w:div w:id="708802676">
          <w:marLeft w:val="0"/>
          <w:marRight w:val="0"/>
          <w:marTop w:val="0"/>
          <w:marBottom w:val="0"/>
          <w:divBdr>
            <w:top w:val="none" w:sz="0" w:space="0" w:color="auto"/>
            <w:left w:val="none" w:sz="0" w:space="0" w:color="auto"/>
            <w:bottom w:val="none" w:sz="0" w:space="0" w:color="auto"/>
            <w:right w:val="none" w:sz="0" w:space="0" w:color="auto"/>
          </w:divBdr>
        </w:div>
        <w:div w:id="821123078">
          <w:marLeft w:val="0"/>
          <w:marRight w:val="0"/>
          <w:marTop w:val="0"/>
          <w:marBottom w:val="0"/>
          <w:divBdr>
            <w:top w:val="none" w:sz="0" w:space="0" w:color="auto"/>
            <w:left w:val="none" w:sz="0" w:space="0" w:color="auto"/>
            <w:bottom w:val="none" w:sz="0" w:space="0" w:color="auto"/>
            <w:right w:val="none" w:sz="0" w:space="0" w:color="auto"/>
          </w:divBdr>
        </w:div>
        <w:div w:id="896892175">
          <w:marLeft w:val="0"/>
          <w:marRight w:val="0"/>
          <w:marTop w:val="0"/>
          <w:marBottom w:val="0"/>
          <w:divBdr>
            <w:top w:val="none" w:sz="0" w:space="0" w:color="auto"/>
            <w:left w:val="none" w:sz="0" w:space="0" w:color="auto"/>
            <w:bottom w:val="none" w:sz="0" w:space="0" w:color="auto"/>
            <w:right w:val="none" w:sz="0" w:space="0" w:color="auto"/>
          </w:divBdr>
        </w:div>
        <w:div w:id="1352992855">
          <w:marLeft w:val="0"/>
          <w:marRight w:val="0"/>
          <w:marTop w:val="0"/>
          <w:marBottom w:val="0"/>
          <w:divBdr>
            <w:top w:val="none" w:sz="0" w:space="0" w:color="auto"/>
            <w:left w:val="none" w:sz="0" w:space="0" w:color="auto"/>
            <w:bottom w:val="none" w:sz="0" w:space="0" w:color="auto"/>
            <w:right w:val="none" w:sz="0" w:space="0" w:color="auto"/>
          </w:divBdr>
        </w:div>
        <w:div w:id="1381006189">
          <w:marLeft w:val="0"/>
          <w:marRight w:val="0"/>
          <w:marTop w:val="0"/>
          <w:marBottom w:val="0"/>
          <w:divBdr>
            <w:top w:val="none" w:sz="0" w:space="0" w:color="auto"/>
            <w:left w:val="none" w:sz="0" w:space="0" w:color="auto"/>
            <w:bottom w:val="none" w:sz="0" w:space="0" w:color="auto"/>
            <w:right w:val="none" w:sz="0" w:space="0" w:color="auto"/>
          </w:divBdr>
        </w:div>
        <w:div w:id="1388264497">
          <w:marLeft w:val="0"/>
          <w:marRight w:val="0"/>
          <w:marTop w:val="0"/>
          <w:marBottom w:val="0"/>
          <w:divBdr>
            <w:top w:val="none" w:sz="0" w:space="0" w:color="auto"/>
            <w:left w:val="none" w:sz="0" w:space="0" w:color="auto"/>
            <w:bottom w:val="none" w:sz="0" w:space="0" w:color="auto"/>
            <w:right w:val="none" w:sz="0" w:space="0" w:color="auto"/>
          </w:divBdr>
        </w:div>
        <w:div w:id="1612934088">
          <w:marLeft w:val="0"/>
          <w:marRight w:val="0"/>
          <w:marTop w:val="0"/>
          <w:marBottom w:val="0"/>
          <w:divBdr>
            <w:top w:val="none" w:sz="0" w:space="0" w:color="auto"/>
            <w:left w:val="none" w:sz="0" w:space="0" w:color="auto"/>
            <w:bottom w:val="none" w:sz="0" w:space="0" w:color="auto"/>
            <w:right w:val="none" w:sz="0" w:space="0" w:color="auto"/>
          </w:divBdr>
        </w:div>
        <w:div w:id="1677925415">
          <w:marLeft w:val="0"/>
          <w:marRight w:val="0"/>
          <w:marTop w:val="0"/>
          <w:marBottom w:val="0"/>
          <w:divBdr>
            <w:top w:val="none" w:sz="0" w:space="0" w:color="auto"/>
            <w:left w:val="none" w:sz="0" w:space="0" w:color="auto"/>
            <w:bottom w:val="none" w:sz="0" w:space="0" w:color="auto"/>
            <w:right w:val="none" w:sz="0" w:space="0" w:color="auto"/>
          </w:divBdr>
        </w:div>
        <w:div w:id="1892500467">
          <w:marLeft w:val="0"/>
          <w:marRight w:val="0"/>
          <w:marTop w:val="0"/>
          <w:marBottom w:val="0"/>
          <w:divBdr>
            <w:top w:val="none" w:sz="0" w:space="0" w:color="auto"/>
            <w:left w:val="none" w:sz="0" w:space="0" w:color="auto"/>
            <w:bottom w:val="none" w:sz="0" w:space="0" w:color="auto"/>
            <w:right w:val="none" w:sz="0" w:space="0" w:color="auto"/>
          </w:divBdr>
        </w:div>
      </w:divsChild>
    </w:div>
    <w:div w:id="1155953944">
      <w:bodyDiv w:val="1"/>
      <w:marLeft w:val="0"/>
      <w:marRight w:val="0"/>
      <w:marTop w:val="0"/>
      <w:marBottom w:val="0"/>
      <w:divBdr>
        <w:top w:val="none" w:sz="0" w:space="0" w:color="auto"/>
        <w:left w:val="none" w:sz="0" w:space="0" w:color="auto"/>
        <w:bottom w:val="none" w:sz="0" w:space="0" w:color="auto"/>
        <w:right w:val="none" w:sz="0" w:space="0" w:color="auto"/>
      </w:divBdr>
    </w:div>
    <w:div w:id="1156607937">
      <w:bodyDiv w:val="1"/>
      <w:marLeft w:val="0"/>
      <w:marRight w:val="0"/>
      <w:marTop w:val="0"/>
      <w:marBottom w:val="0"/>
      <w:divBdr>
        <w:top w:val="none" w:sz="0" w:space="0" w:color="auto"/>
        <w:left w:val="none" w:sz="0" w:space="0" w:color="auto"/>
        <w:bottom w:val="none" w:sz="0" w:space="0" w:color="auto"/>
        <w:right w:val="none" w:sz="0" w:space="0" w:color="auto"/>
      </w:divBdr>
    </w:div>
    <w:div w:id="1163593242">
      <w:bodyDiv w:val="1"/>
      <w:marLeft w:val="0"/>
      <w:marRight w:val="0"/>
      <w:marTop w:val="0"/>
      <w:marBottom w:val="0"/>
      <w:divBdr>
        <w:top w:val="none" w:sz="0" w:space="0" w:color="auto"/>
        <w:left w:val="none" w:sz="0" w:space="0" w:color="auto"/>
        <w:bottom w:val="none" w:sz="0" w:space="0" w:color="auto"/>
        <w:right w:val="none" w:sz="0" w:space="0" w:color="auto"/>
      </w:divBdr>
    </w:div>
    <w:div w:id="1166674824">
      <w:bodyDiv w:val="1"/>
      <w:marLeft w:val="0"/>
      <w:marRight w:val="0"/>
      <w:marTop w:val="0"/>
      <w:marBottom w:val="0"/>
      <w:divBdr>
        <w:top w:val="none" w:sz="0" w:space="0" w:color="auto"/>
        <w:left w:val="none" w:sz="0" w:space="0" w:color="auto"/>
        <w:bottom w:val="none" w:sz="0" w:space="0" w:color="auto"/>
        <w:right w:val="none" w:sz="0" w:space="0" w:color="auto"/>
      </w:divBdr>
    </w:div>
    <w:div w:id="1192570231">
      <w:bodyDiv w:val="1"/>
      <w:marLeft w:val="0"/>
      <w:marRight w:val="0"/>
      <w:marTop w:val="0"/>
      <w:marBottom w:val="0"/>
      <w:divBdr>
        <w:top w:val="none" w:sz="0" w:space="0" w:color="auto"/>
        <w:left w:val="none" w:sz="0" w:space="0" w:color="auto"/>
        <w:bottom w:val="none" w:sz="0" w:space="0" w:color="auto"/>
        <w:right w:val="none" w:sz="0" w:space="0" w:color="auto"/>
      </w:divBdr>
    </w:div>
    <w:div w:id="1193808122">
      <w:bodyDiv w:val="1"/>
      <w:marLeft w:val="0"/>
      <w:marRight w:val="0"/>
      <w:marTop w:val="0"/>
      <w:marBottom w:val="0"/>
      <w:divBdr>
        <w:top w:val="none" w:sz="0" w:space="0" w:color="auto"/>
        <w:left w:val="none" w:sz="0" w:space="0" w:color="auto"/>
        <w:bottom w:val="none" w:sz="0" w:space="0" w:color="auto"/>
        <w:right w:val="none" w:sz="0" w:space="0" w:color="auto"/>
      </w:divBdr>
    </w:div>
    <w:div w:id="1195070687">
      <w:bodyDiv w:val="1"/>
      <w:marLeft w:val="0"/>
      <w:marRight w:val="0"/>
      <w:marTop w:val="0"/>
      <w:marBottom w:val="0"/>
      <w:divBdr>
        <w:top w:val="none" w:sz="0" w:space="0" w:color="auto"/>
        <w:left w:val="none" w:sz="0" w:space="0" w:color="auto"/>
        <w:bottom w:val="none" w:sz="0" w:space="0" w:color="auto"/>
        <w:right w:val="none" w:sz="0" w:space="0" w:color="auto"/>
      </w:divBdr>
    </w:div>
    <w:div w:id="1196622729">
      <w:bodyDiv w:val="1"/>
      <w:marLeft w:val="0"/>
      <w:marRight w:val="0"/>
      <w:marTop w:val="0"/>
      <w:marBottom w:val="0"/>
      <w:divBdr>
        <w:top w:val="none" w:sz="0" w:space="0" w:color="auto"/>
        <w:left w:val="none" w:sz="0" w:space="0" w:color="auto"/>
        <w:bottom w:val="none" w:sz="0" w:space="0" w:color="auto"/>
        <w:right w:val="none" w:sz="0" w:space="0" w:color="auto"/>
      </w:divBdr>
    </w:div>
    <w:div w:id="1199467969">
      <w:bodyDiv w:val="1"/>
      <w:marLeft w:val="0"/>
      <w:marRight w:val="0"/>
      <w:marTop w:val="0"/>
      <w:marBottom w:val="0"/>
      <w:divBdr>
        <w:top w:val="none" w:sz="0" w:space="0" w:color="auto"/>
        <w:left w:val="none" w:sz="0" w:space="0" w:color="auto"/>
        <w:bottom w:val="none" w:sz="0" w:space="0" w:color="auto"/>
        <w:right w:val="none" w:sz="0" w:space="0" w:color="auto"/>
      </w:divBdr>
    </w:div>
    <w:div w:id="1208909014">
      <w:bodyDiv w:val="1"/>
      <w:marLeft w:val="0"/>
      <w:marRight w:val="0"/>
      <w:marTop w:val="0"/>
      <w:marBottom w:val="0"/>
      <w:divBdr>
        <w:top w:val="none" w:sz="0" w:space="0" w:color="auto"/>
        <w:left w:val="none" w:sz="0" w:space="0" w:color="auto"/>
        <w:bottom w:val="none" w:sz="0" w:space="0" w:color="auto"/>
        <w:right w:val="none" w:sz="0" w:space="0" w:color="auto"/>
      </w:divBdr>
    </w:div>
    <w:div w:id="1215122745">
      <w:bodyDiv w:val="1"/>
      <w:marLeft w:val="0"/>
      <w:marRight w:val="0"/>
      <w:marTop w:val="0"/>
      <w:marBottom w:val="0"/>
      <w:divBdr>
        <w:top w:val="none" w:sz="0" w:space="0" w:color="auto"/>
        <w:left w:val="none" w:sz="0" w:space="0" w:color="auto"/>
        <w:bottom w:val="none" w:sz="0" w:space="0" w:color="auto"/>
        <w:right w:val="none" w:sz="0" w:space="0" w:color="auto"/>
      </w:divBdr>
    </w:div>
    <w:div w:id="1216509143">
      <w:bodyDiv w:val="1"/>
      <w:marLeft w:val="0"/>
      <w:marRight w:val="0"/>
      <w:marTop w:val="0"/>
      <w:marBottom w:val="0"/>
      <w:divBdr>
        <w:top w:val="none" w:sz="0" w:space="0" w:color="auto"/>
        <w:left w:val="none" w:sz="0" w:space="0" w:color="auto"/>
        <w:bottom w:val="none" w:sz="0" w:space="0" w:color="auto"/>
        <w:right w:val="none" w:sz="0" w:space="0" w:color="auto"/>
      </w:divBdr>
    </w:div>
    <w:div w:id="1222012243">
      <w:bodyDiv w:val="1"/>
      <w:marLeft w:val="0"/>
      <w:marRight w:val="0"/>
      <w:marTop w:val="0"/>
      <w:marBottom w:val="0"/>
      <w:divBdr>
        <w:top w:val="none" w:sz="0" w:space="0" w:color="auto"/>
        <w:left w:val="none" w:sz="0" w:space="0" w:color="auto"/>
        <w:bottom w:val="none" w:sz="0" w:space="0" w:color="auto"/>
        <w:right w:val="none" w:sz="0" w:space="0" w:color="auto"/>
      </w:divBdr>
    </w:div>
    <w:div w:id="1224951660">
      <w:bodyDiv w:val="1"/>
      <w:marLeft w:val="0"/>
      <w:marRight w:val="0"/>
      <w:marTop w:val="0"/>
      <w:marBottom w:val="0"/>
      <w:divBdr>
        <w:top w:val="none" w:sz="0" w:space="0" w:color="auto"/>
        <w:left w:val="none" w:sz="0" w:space="0" w:color="auto"/>
        <w:bottom w:val="none" w:sz="0" w:space="0" w:color="auto"/>
        <w:right w:val="none" w:sz="0" w:space="0" w:color="auto"/>
      </w:divBdr>
    </w:div>
    <w:div w:id="1225682844">
      <w:bodyDiv w:val="1"/>
      <w:marLeft w:val="0"/>
      <w:marRight w:val="0"/>
      <w:marTop w:val="0"/>
      <w:marBottom w:val="0"/>
      <w:divBdr>
        <w:top w:val="none" w:sz="0" w:space="0" w:color="auto"/>
        <w:left w:val="none" w:sz="0" w:space="0" w:color="auto"/>
        <w:bottom w:val="none" w:sz="0" w:space="0" w:color="auto"/>
        <w:right w:val="none" w:sz="0" w:space="0" w:color="auto"/>
      </w:divBdr>
    </w:div>
    <w:div w:id="1235431377">
      <w:bodyDiv w:val="1"/>
      <w:marLeft w:val="0"/>
      <w:marRight w:val="0"/>
      <w:marTop w:val="0"/>
      <w:marBottom w:val="0"/>
      <w:divBdr>
        <w:top w:val="none" w:sz="0" w:space="0" w:color="auto"/>
        <w:left w:val="none" w:sz="0" w:space="0" w:color="auto"/>
        <w:bottom w:val="none" w:sz="0" w:space="0" w:color="auto"/>
        <w:right w:val="none" w:sz="0" w:space="0" w:color="auto"/>
      </w:divBdr>
    </w:div>
    <w:div w:id="1239250661">
      <w:bodyDiv w:val="1"/>
      <w:marLeft w:val="0"/>
      <w:marRight w:val="0"/>
      <w:marTop w:val="0"/>
      <w:marBottom w:val="0"/>
      <w:divBdr>
        <w:top w:val="none" w:sz="0" w:space="0" w:color="auto"/>
        <w:left w:val="none" w:sz="0" w:space="0" w:color="auto"/>
        <w:bottom w:val="none" w:sz="0" w:space="0" w:color="auto"/>
        <w:right w:val="none" w:sz="0" w:space="0" w:color="auto"/>
      </w:divBdr>
    </w:div>
    <w:div w:id="1240019147">
      <w:bodyDiv w:val="1"/>
      <w:marLeft w:val="0"/>
      <w:marRight w:val="0"/>
      <w:marTop w:val="0"/>
      <w:marBottom w:val="0"/>
      <w:divBdr>
        <w:top w:val="none" w:sz="0" w:space="0" w:color="auto"/>
        <w:left w:val="none" w:sz="0" w:space="0" w:color="auto"/>
        <w:bottom w:val="none" w:sz="0" w:space="0" w:color="auto"/>
        <w:right w:val="none" w:sz="0" w:space="0" w:color="auto"/>
      </w:divBdr>
    </w:div>
    <w:div w:id="1240407545">
      <w:bodyDiv w:val="1"/>
      <w:marLeft w:val="0"/>
      <w:marRight w:val="0"/>
      <w:marTop w:val="0"/>
      <w:marBottom w:val="0"/>
      <w:divBdr>
        <w:top w:val="none" w:sz="0" w:space="0" w:color="auto"/>
        <w:left w:val="none" w:sz="0" w:space="0" w:color="auto"/>
        <w:bottom w:val="none" w:sz="0" w:space="0" w:color="auto"/>
        <w:right w:val="none" w:sz="0" w:space="0" w:color="auto"/>
      </w:divBdr>
    </w:div>
    <w:div w:id="1245989642">
      <w:bodyDiv w:val="1"/>
      <w:marLeft w:val="0"/>
      <w:marRight w:val="0"/>
      <w:marTop w:val="0"/>
      <w:marBottom w:val="0"/>
      <w:divBdr>
        <w:top w:val="none" w:sz="0" w:space="0" w:color="auto"/>
        <w:left w:val="none" w:sz="0" w:space="0" w:color="auto"/>
        <w:bottom w:val="none" w:sz="0" w:space="0" w:color="auto"/>
        <w:right w:val="none" w:sz="0" w:space="0" w:color="auto"/>
      </w:divBdr>
      <w:divsChild>
        <w:div w:id="33390217">
          <w:marLeft w:val="0"/>
          <w:marRight w:val="0"/>
          <w:marTop w:val="0"/>
          <w:marBottom w:val="0"/>
          <w:divBdr>
            <w:top w:val="none" w:sz="0" w:space="0" w:color="auto"/>
            <w:left w:val="none" w:sz="0" w:space="0" w:color="auto"/>
            <w:bottom w:val="none" w:sz="0" w:space="0" w:color="auto"/>
            <w:right w:val="none" w:sz="0" w:space="0" w:color="auto"/>
          </w:divBdr>
        </w:div>
        <w:div w:id="47001742">
          <w:marLeft w:val="0"/>
          <w:marRight w:val="0"/>
          <w:marTop w:val="0"/>
          <w:marBottom w:val="0"/>
          <w:divBdr>
            <w:top w:val="none" w:sz="0" w:space="0" w:color="auto"/>
            <w:left w:val="none" w:sz="0" w:space="0" w:color="auto"/>
            <w:bottom w:val="none" w:sz="0" w:space="0" w:color="auto"/>
            <w:right w:val="none" w:sz="0" w:space="0" w:color="auto"/>
          </w:divBdr>
        </w:div>
        <w:div w:id="1035429215">
          <w:marLeft w:val="0"/>
          <w:marRight w:val="0"/>
          <w:marTop w:val="0"/>
          <w:marBottom w:val="0"/>
          <w:divBdr>
            <w:top w:val="none" w:sz="0" w:space="0" w:color="auto"/>
            <w:left w:val="none" w:sz="0" w:space="0" w:color="auto"/>
            <w:bottom w:val="none" w:sz="0" w:space="0" w:color="auto"/>
            <w:right w:val="none" w:sz="0" w:space="0" w:color="auto"/>
          </w:divBdr>
        </w:div>
        <w:div w:id="1928073642">
          <w:marLeft w:val="0"/>
          <w:marRight w:val="0"/>
          <w:marTop w:val="0"/>
          <w:marBottom w:val="0"/>
          <w:divBdr>
            <w:top w:val="none" w:sz="0" w:space="0" w:color="auto"/>
            <w:left w:val="none" w:sz="0" w:space="0" w:color="auto"/>
            <w:bottom w:val="none" w:sz="0" w:space="0" w:color="auto"/>
            <w:right w:val="none" w:sz="0" w:space="0" w:color="auto"/>
          </w:divBdr>
        </w:div>
      </w:divsChild>
    </w:div>
    <w:div w:id="1248734849">
      <w:bodyDiv w:val="1"/>
      <w:marLeft w:val="0"/>
      <w:marRight w:val="0"/>
      <w:marTop w:val="0"/>
      <w:marBottom w:val="0"/>
      <w:divBdr>
        <w:top w:val="none" w:sz="0" w:space="0" w:color="auto"/>
        <w:left w:val="none" w:sz="0" w:space="0" w:color="auto"/>
        <w:bottom w:val="none" w:sz="0" w:space="0" w:color="auto"/>
        <w:right w:val="none" w:sz="0" w:space="0" w:color="auto"/>
      </w:divBdr>
    </w:div>
    <w:div w:id="1251114421">
      <w:bodyDiv w:val="1"/>
      <w:marLeft w:val="0"/>
      <w:marRight w:val="0"/>
      <w:marTop w:val="0"/>
      <w:marBottom w:val="0"/>
      <w:divBdr>
        <w:top w:val="none" w:sz="0" w:space="0" w:color="auto"/>
        <w:left w:val="none" w:sz="0" w:space="0" w:color="auto"/>
        <w:bottom w:val="none" w:sz="0" w:space="0" w:color="auto"/>
        <w:right w:val="none" w:sz="0" w:space="0" w:color="auto"/>
      </w:divBdr>
    </w:div>
    <w:div w:id="1259175387">
      <w:bodyDiv w:val="1"/>
      <w:marLeft w:val="0"/>
      <w:marRight w:val="0"/>
      <w:marTop w:val="0"/>
      <w:marBottom w:val="0"/>
      <w:divBdr>
        <w:top w:val="none" w:sz="0" w:space="0" w:color="auto"/>
        <w:left w:val="none" w:sz="0" w:space="0" w:color="auto"/>
        <w:bottom w:val="none" w:sz="0" w:space="0" w:color="auto"/>
        <w:right w:val="none" w:sz="0" w:space="0" w:color="auto"/>
      </w:divBdr>
      <w:divsChild>
        <w:div w:id="8530609">
          <w:marLeft w:val="0"/>
          <w:marRight w:val="0"/>
          <w:marTop w:val="0"/>
          <w:marBottom w:val="0"/>
          <w:divBdr>
            <w:top w:val="none" w:sz="0" w:space="0" w:color="auto"/>
            <w:left w:val="none" w:sz="0" w:space="0" w:color="auto"/>
            <w:bottom w:val="none" w:sz="0" w:space="0" w:color="auto"/>
            <w:right w:val="none" w:sz="0" w:space="0" w:color="auto"/>
          </w:divBdr>
        </w:div>
        <w:div w:id="109932035">
          <w:marLeft w:val="0"/>
          <w:marRight w:val="0"/>
          <w:marTop w:val="0"/>
          <w:marBottom w:val="0"/>
          <w:divBdr>
            <w:top w:val="none" w:sz="0" w:space="0" w:color="auto"/>
            <w:left w:val="none" w:sz="0" w:space="0" w:color="auto"/>
            <w:bottom w:val="none" w:sz="0" w:space="0" w:color="auto"/>
            <w:right w:val="none" w:sz="0" w:space="0" w:color="auto"/>
          </w:divBdr>
        </w:div>
        <w:div w:id="458886207">
          <w:marLeft w:val="0"/>
          <w:marRight w:val="0"/>
          <w:marTop w:val="0"/>
          <w:marBottom w:val="0"/>
          <w:divBdr>
            <w:top w:val="none" w:sz="0" w:space="0" w:color="auto"/>
            <w:left w:val="none" w:sz="0" w:space="0" w:color="auto"/>
            <w:bottom w:val="none" w:sz="0" w:space="0" w:color="auto"/>
            <w:right w:val="none" w:sz="0" w:space="0" w:color="auto"/>
          </w:divBdr>
        </w:div>
        <w:div w:id="549145911">
          <w:marLeft w:val="0"/>
          <w:marRight w:val="0"/>
          <w:marTop w:val="0"/>
          <w:marBottom w:val="0"/>
          <w:divBdr>
            <w:top w:val="none" w:sz="0" w:space="0" w:color="auto"/>
            <w:left w:val="none" w:sz="0" w:space="0" w:color="auto"/>
            <w:bottom w:val="none" w:sz="0" w:space="0" w:color="auto"/>
            <w:right w:val="none" w:sz="0" w:space="0" w:color="auto"/>
          </w:divBdr>
        </w:div>
        <w:div w:id="653073612">
          <w:marLeft w:val="0"/>
          <w:marRight w:val="0"/>
          <w:marTop w:val="0"/>
          <w:marBottom w:val="0"/>
          <w:divBdr>
            <w:top w:val="none" w:sz="0" w:space="0" w:color="auto"/>
            <w:left w:val="none" w:sz="0" w:space="0" w:color="auto"/>
            <w:bottom w:val="none" w:sz="0" w:space="0" w:color="auto"/>
            <w:right w:val="none" w:sz="0" w:space="0" w:color="auto"/>
          </w:divBdr>
        </w:div>
        <w:div w:id="653528425">
          <w:marLeft w:val="0"/>
          <w:marRight w:val="0"/>
          <w:marTop w:val="0"/>
          <w:marBottom w:val="0"/>
          <w:divBdr>
            <w:top w:val="none" w:sz="0" w:space="0" w:color="auto"/>
            <w:left w:val="none" w:sz="0" w:space="0" w:color="auto"/>
            <w:bottom w:val="none" w:sz="0" w:space="0" w:color="auto"/>
            <w:right w:val="none" w:sz="0" w:space="0" w:color="auto"/>
          </w:divBdr>
        </w:div>
        <w:div w:id="733041118">
          <w:marLeft w:val="0"/>
          <w:marRight w:val="0"/>
          <w:marTop w:val="0"/>
          <w:marBottom w:val="0"/>
          <w:divBdr>
            <w:top w:val="none" w:sz="0" w:space="0" w:color="auto"/>
            <w:left w:val="none" w:sz="0" w:space="0" w:color="auto"/>
            <w:bottom w:val="none" w:sz="0" w:space="0" w:color="auto"/>
            <w:right w:val="none" w:sz="0" w:space="0" w:color="auto"/>
          </w:divBdr>
        </w:div>
        <w:div w:id="772627456">
          <w:marLeft w:val="0"/>
          <w:marRight w:val="0"/>
          <w:marTop w:val="0"/>
          <w:marBottom w:val="0"/>
          <w:divBdr>
            <w:top w:val="none" w:sz="0" w:space="0" w:color="auto"/>
            <w:left w:val="none" w:sz="0" w:space="0" w:color="auto"/>
            <w:bottom w:val="none" w:sz="0" w:space="0" w:color="auto"/>
            <w:right w:val="none" w:sz="0" w:space="0" w:color="auto"/>
          </w:divBdr>
        </w:div>
        <w:div w:id="785584141">
          <w:marLeft w:val="0"/>
          <w:marRight w:val="0"/>
          <w:marTop w:val="0"/>
          <w:marBottom w:val="0"/>
          <w:divBdr>
            <w:top w:val="none" w:sz="0" w:space="0" w:color="auto"/>
            <w:left w:val="none" w:sz="0" w:space="0" w:color="auto"/>
            <w:bottom w:val="none" w:sz="0" w:space="0" w:color="auto"/>
            <w:right w:val="none" w:sz="0" w:space="0" w:color="auto"/>
          </w:divBdr>
        </w:div>
        <w:div w:id="1197766938">
          <w:marLeft w:val="0"/>
          <w:marRight w:val="0"/>
          <w:marTop w:val="0"/>
          <w:marBottom w:val="0"/>
          <w:divBdr>
            <w:top w:val="none" w:sz="0" w:space="0" w:color="auto"/>
            <w:left w:val="none" w:sz="0" w:space="0" w:color="auto"/>
            <w:bottom w:val="none" w:sz="0" w:space="0" w:color="auto"/>
            <w:right w:val="none" w:sz="0" w:space="0" w:color="auto"/>
          </w:divBdr>
        </w:div>
        <w:div w:id="1543060400">
          <w:marLeft w:val="0"/>
          <w:marRight w:val="0"/>
          <w:marTop w:val="0"/>
          <w:marBottom w:val="0"/>
          <w:divBdr>
            <w:top w:val="none" w:sz="0" w:space="0" w:color="auto"/>
            <w:left w:val="none" w:sz="0" w:space="0" w:color="auto"/>
            <w:bottom w:val="none" w:sz="0" w:space="0" w:color="auto"/>
            <w:right w:val="none" w:sz="0" w:space="0" w:color="auto"/>
          </w:divBdr>
        </w:div>
        <w:div w:id="1631593956">
          <w:marLeft w:val="0"/>
          <w:marRight w:val="0"/>
          <w:marTop w:val="0"/>
          <w:marBottom w:val="0"/>
          <w:divBdr>
            <w:top w:val="none" w:sz="0" w:space="0" w:color="auto"/>
            <w:left w:val="none" w:sz="0" w:space="0" w:color="auto"/>
            <w:bottom w:val="none" w:sz="0" w:space="0" w:color="auto"/>
            <w:right w:val="none" w:sz="0" w:space="0" w:color="auto"/>
          </w:divBdr>
        </w:div>
        <w:div w:id="1851067409">
          <w:marLeft w:val="0"/>
          <w:marRight w:val="0"/>
          <w:marTop w:val="0"/>
          <w:marBottom w:val="0"/>
          <w:divBdr>
            <w:top w:val="none" w:sz="0" w:space="0" w:color="auto"/>
            <w:left w:val="none" w:sz="0" w:space="0" w:color="auto"/>
            <w:bottom w:val="none" w:sz="0" w:space="0" w:color="auto"/>
            <w:right w:val="none" w:sz="0" w:space="0" w:color="auto"/>
          </w:divBdr>
        </w:div>
        <w:div w:id="1852597366">
          <w:marLeft w:val="0"/>
          <w:marRight w:val="0"/>
          <w:marTop w:val="0"/>
          <w:marBottom w:val="0"/>
          <w:divBdr>
            <w:top w:val="none" w:sz="0" w:space="0" w:color="auto"/>
            <w:left w:val="none" w:sz="0" w:space="0" w:color="auto"/>
            <w:bottom w:val="none" w:sz="0" w:space="0" w:color="auto"/>
            <w:right w:val="none" w:sz="0" w:space="0" w:color="auto"/>
          </w:divBdr>
        </w:div>
        <w:div w:id="2144500165">
          <w:marLeft w:val="0"/>
          <w:marRight w:val="0"/>
          <w:marTop w:val="0"/>
          <w:marBottom w:val="0"/>
          <w:divBdr>
            <w:top w:val="none" w:sz="0" w:space="0" w:color="auto"/>
            <w:left w:val="none" w:sz="0" w:space="0" w:color="auto"/>
            <w:bottom w:val="none" w:sz="0" w:space="0" w:color="auto"/>
            <w:right w:val="none" w:sz="0" w:space="0" w:color="auto"/>
          </w:divBdr>
        </w:div>
      </w:divsChild>
    </w:div>
    <w:div w:id="1261570789">
      <w:bodyDiv w:val="1"/>
      <w:marLeft w:val="0"/>
      <w:marRight w:val="0"/>
      <w:marTop w:val="0"/>
      <w:marBottom w:val="0"/>
      <w:divBdr>
        <w:top w:val="none" w:sz="0" w:space="0" w:color="auto"/>
        <w:left w:val="none" w:sz="0" w:space="0" w:color="auto"/>
        <w:bottom w:val="none" w:sz="0" w:space="0" w:color="auto"/>
        <w:right w:val="none" w:sz="0" w:space="0" w:color="auto"/>
      </w:divBdr>
    </w:div>
    <w:div w:id="1262228205">
      <w:bodyDiv w:val="1"/>
      <w:marLeft w:val="0"/>
      <w:marRight w:val="0"/>
      <w:marTop w:val="0"/>
      <w:marBottom w:val="0"/>
      <w:divBdr>
        <w:top w:val="none" w:sz="0" w:space="0" w:color="auto"/>
        <w:left w:val="none" w:sz="0" w:space="0" w:color="auto"/>
        <w:bottom w:val="none" w:sz="0" w:space="0" w:color="auto"/>
        <w:right w:val="none" w:sz="0" w:space="0" w:color="auto"/>
      </w:divBdr>
    </w:div>
    <w:div w:id="1266619428">
      <w:bodyDiv w:val="1"/>
      <w:marLeft w:val="0"/>
      <w:marRight w:val="0"/>
      <w:marTop w:val="0"/>
      <w:marBottom w:val="0"/>
      <w:divBdr>
        <w:top w:val="none" w:sz="0" w:space="0" w:color="auto"/>
        <w:left w:val="none" w:sz="0" w:space="0" w:color="auto"/>
        <w:bottom w:val="none" w:sz="0" w:space="0" w:color="auto"/>
        <w:right w:val="none" w:sz="0" w:space="0" w:color="auto"/>
      </w:divBdr>
    </w:div>
    <w:div w:id="1270161216">
      <w:bodyDiv w:val="1"/>
      <w:marLeft w:val="0"/>
      <w:marRight w:val="0"/>
      <w:marTop w:val="0"/>
      <w:marBottom w:val="0"/>
      <w:divBdr>
        <w:top w:val="none" w:sz="0" w:space="0" w:color="auto"/>
        <w:left w:val="none" w:sz="0" w:space="0" w:color="auto"/>
        <w:bottom w:val="none" w:sz="0" w:space="0" w:color="auto"/>
        <w:right w:val="none" w:sz="0" w:space="0" w:color="auto"/>
      </w:divBdr>
    </w:div>
    <w:div w:id="1283801926">
      <w:bodyDiv w:val="1"/>
      <w:marLeft w:val="0"/>
      <w:marRight w:val="0"/>
      <w:marTop w:val="0"/>
      <w:marBottom w:val="0"/>
      <w:divBdr>
        <w:top w:val="none" w:sz="0" w:space="0" w:color="auto"/>
        <w:left w:val="none" w:sz="0" w:space="0" w:color="auto"/>
        <w:bottom w:val="none" w:sz="0" w:space="0" w:color="auto"/>
        <w:right w:val="none" w:sz="0" w:space="0" w:color="auto"/>
      </w:divBdr>
    </w:div>
    <w:div w:id="1284001648">
      <w:bodyDiv w:val="1"/>
      <w:marLeft w:val="0"/>
      <w:marRight w:val="0"/>
      <w:marTop w:val="0"/>
      <w:marBottom w:val="0"/>
      <w:divBdr>
        <w:top w:val="none" w:sz="0" w:space="0" w:color="auto"/>
        <w:left w:val="none" w:sz="0" w:space="0" w:color="auto"/>
        <w:bottom w:val="none" w:sz="0" w:space="0" w:color="auto"/>
        <w:right w:val="none" w:sz="0" w:space="0" w:color="auto"/>
      </w:divBdr>
    </w:div>
    <w:div w:id="1295796311">
      <w:bodyDiv w:val="1"/>
      <w:marLeft w:val="0"/>
      <w:marRight w:val="0"/>
      <w:marTop w:val="0"/>
      <w:marBottom w:val="0"/>
      <w:divBdr>
        <w:top w:val="none" w:sz="0" w:space="0" w:color="auto"/>
        <w:left w:val="none" w:sz="0" w:space="0" w:color="auto"/>
        <w:bottom w:val="none" w:sz="0" w:space="0" w:color="auto"/>
        <w:right w:val="none" w:sz="0" w:space="0" w:color="auto"/>
      </w:divBdr>
    </w:div>
    <w:div w:id="1306157987">
      <w:bodyDiv w:val="1"/>
      <w:marLeft w:val="0"/>
      <w:marRight w:val="0"/>
      <w:marTop w:val="0"/>
      <w:marBottom w:val="0"/>
      <w:divBdr>
        <w:top w:val="none" w:sz="0" w:space="0" w:color="auto"/>
        <w:left w:val="none" w:sz="0" w:space="0" w:color="auto"/>
        <w:bottom w:val="none" w:sz="0" w:space="0" w:color="auto"/>
        <w:right w:val="none" w:sz="0" w:space="0" w:color="auto"/>
      </w:divBdr>
    </w:div>
    <w:div w:id="1312249153">
      <w:bodyDiv w:val="1"/>
      <w:marLeft w:val="0"/>
      <w:marRight w:val="0"/>
      <w:marTop w:val="0"/>
      <w:marBottom w:val="0"/>
      <w:divBdr>
        <w:top w:val="none" w:sz="0" w:space="0" w:color="auto"/>
        <w:left w:val="none" w:sz="0" w:space="0" w:color="auto"/>
        <w:bottom w:val="none" w:sz="0" w:space="0" w:color="auto"/>
        <w:right w:val="none" w:sz="0" w:space="0" w:color="auto"/>
      </w:divBdr>
    </w:div>
    <w:div w:id="1330215331">
      <w:bodyDiv w:val="1"/>
      <w:marLeft w:val="0"/>
      <w:marRight w:val="0"/>
      <w:marTop w:val="0"/>
      <w:marBottom w:val="0"/>
      <w:divBdr>
        <w:top w:val="none" w:sz="0" w:space="0" w:color="auto"/>
        <w:left w:val="none" w:sz="0" w:space="0" w:color="auto"/>
        <w:bottom w:val="none" w:sz="0" w:space="0" w:color="auto"/>
        <w:right w:val="none" w:sz="0" w:space="0" w:color="auto"/>
      </w:divBdr>
    </w:div>
    <w:div w:id="1340548840">
      <w:bodyDiv w:val="1"/>
      <w:marLeft w:val="0"/>
      <w:marRight w:val="0"/>
      <w:marTop w:val="0"/>
      <w:marBottom w:val="0"/>
      <w:divBdr>
        <w:top w:val="none" w:sz="0" w:space="0" w:color="auto"/>
        <w:left w:val="none" w:sz="0" w:space="0" w:color="auto"/>
        <w:bottom w:val="none" w:sz="0" w:space="0" w:color="auto"/>
        <w:right w:val="none" w:sz="0" w:space="0" w:color="auto"/>
      </w:divBdr>
    </w:div>
    <w:div w:id="1365786814">
      <w:bodyDiv w:val="1"/>
      <w:marLeft w:val="0"/>
      <w:marRight w:val="0"/>
      <w:marTop w:val="0"/>
      <w:marBottom w:val="0"/>
      <w:divBdr>
        <w:top w:val="none" w:sz="0" w:space="0" w:color="auto"/>
        <w:left w:val="none" w:sz="0" w:space="0" w:color="auto"/>
        <w:bottom w:val="none" w:sz="0" w:space="0" w:color="auto"/>
        <w:right w:val="none" w:sz="0" w:space="0" w:color="auto"/>
      </w:divBdr>
    </w:div>
    <w:div w:id="1368604602">
      <w:bodyDiv w:val="1"/>
      <w:marLeft w:val="0"/>
      <w:marRight w:val="0"/>
      <w:marTop w:val="0"/>
      <w:marBottom w:val="0"/>
      <w:divBdr>
        <w:top w:val="none" w:sz="0" w:space="0" w:color="auto"/>
        <w:left w:val="none" w:sz="0" w:space="0" w:color="auto"/>
        <w:bottom w:val="none" w:sz="0" w:space="0" w:color="auto"/>
        <w:right w:val="none" w:sz="0" w:space="0" w:color="auto"/>
      </w:divBdr>
    </w:div>
    <w:div w:id="1378159325">
      <w:bodyDiv w:val="1"/>
      <w:marLeft w:val="0"/>
      <w:marRight w:val="0"/>
      <w:marTop w:val="0"/>
      <w:marBottom w:val="0"/>
      <w:divBdr>
        <w:top w:val="none" w:sz="0" w:space="0" w:color="auto"/>
        <w:left w:val="none" w:sz="0" w:space="0" w:color="auto"/>
        <w:bottom w:val="none" w:sz="0" w:space="0" w:color="auto"/>
        <w:right w:val="none" w:sz="0" w:space="0" w:color="auto"/>
      </w:divBdr>
    </w:div>
    <w:div w:id="1382366701">
      <w:bodyDiv w:val="1"/>
      <w:marLeft w:val="0"/>
      <w:marRight w:val="0"/>
      <w:marTop w:val="0"/>
      <w:marBottom w:val="0"/>
      <w:divBdr>
        <w:top w:val="none" w:sz="0" w:space="0" w:color="auto"/>
        <w:left w:val="none" w:sz="0" w:space="0" w:color="auto"/>
        <w:bottom w:val="none" w:sz="0" w:space="0" w:color="auto"/>
        <w:right w:val="none" w:sz="0" w:space="0" w:color="auto"/>
      </w:divBdr>
    </w:div>
    <w:div w:id="1393508047">
      <w:bodyDiv w:val="1"/>
      <w:marLeft w:val="0"/>
      <w:marRight w:val="0"/>
      <w:marTop w:val="0"/>
      <w:marBottom w:val="0"/>
      <w:divBdr>
        <w:top w:val="none" w:sz="0" w:space="0" w:color="auto"/>
        <w:left w:val="none" w:sz="0" w:space="0" w:color="auto"/>
        <w:bottom w:val="none" w:sz="0" w:space="0" w:color="auto"/>
        <w:right w:val="none" w:sz="0" w:space="0" w:color="auto"/>
      </w:divBdr>
    </w:div>
    <w:div w:id="1396124461">
      <w:bodyDiv w:val="1"/>
      <w:marLeft w:val="0"/>
      <w:marRight w:val="0"/>
      <w:marTop w:val="0"/>
      <w:marBottom w:val="0"/>
      <w:divBdr>
        <w:top w:val="none" w:sz="0" w:space="0" w:color="auto"/>
        <w:left w:val="none" w:sz="0" w:space="0" w:color="auto"/>
        <w:bottom w:val="none" w:sz="0" w:space="0" w:color="auto"/>
        <w:right w:val="none" w:sz="0" w:space="0" w:color="auto"/>
      </w:divBdr>
    </w:div>
    <w:div w:id="1399671222">
      <w:bodyDiv w:val="1"/>
      <w:marLeft w:val="0"/>
      <w:marRight w:val="0"/>
      <w:marTop w:val="0"/>
      <w:marBottom w:val="0"/>
      <w:divBdr>
        <w:top w:val="none" w:sz="0" w:space="0" w:color="auto"/>
        <w:left w:val="none" w:sz="0" w:space="0" w:color="auto"/>
        <w:bottom w:val="none" w:sz="0" w:space="0" w:color="auto"/>
        <w:right w:val="none" w:sz="0" w:space="0" w:color="auto"/>
      </w:divBdr>
    </w:div>
    <w:div w:id="1403599221">
      <w:bodyDiv w:val="1"/>
      <w:marLeft w:val="0"/>
      <w:marRight w:val="0"/>
      <w:marTop w:val="0"/>
      <w:marBottom w:val="0"/>
      <w:divBdr>
        <w:top w:val="none" w:sz="0" w:space="0" w:color="auto"/>
        <w:left w:val="none" w:sz="0" w:space="0" w:color="auto"/>
        <w:bottom w:val="none" w:sz="0" w:space="0" w:color="auto"/>
        <w:right w:val="none" w:sz="0" w:space="0" w:color="auto"/>
      </w:divBdr>
    </w:div>
    <w:div w:id="1403718839">
      <w:bodyDiv w:val="1"/>
      <w:marLeft w:val="0"/>
      <w:marRight w:val="0"/>
      <w:marTop w:val="0"/>
      <w:marBottom w:val="0"/>
      <w:divBdr>
        <w:top w:val="none" w:sz="0" w:space="0" w:color="auto"/>
        <w:left w:val="none" w:sz="0" w:space="0" w:color="auto"/>
        <w:bottom w:val="none" w:sz="0" w:space="0" w:color="auto"/>
        <w:right w:val="none" w:sz="0" w:space="0" w:color="auto"/>
      </w:divBdr>
    </w:div>
    <w:div w:id="1404571251">
      <w:bodyDiv w:val="1"/>
      <w:marLeft w:val="0"/>
      <w:marRight w:val="0"/>
      <w:marTop w:val="0"/>
      <w:marBottom w:val="0"/>
      <w:divBdr>
        <w:top w:val="none" w:sz="0" w:space="0" w:color="auto"/>
        <w:left w:val="none" w:sz="0" w:space="0" w:color="auto"/>
        <w:bottom w:val="none" w:sz="0" w:space="0" w:color="auto"/>
        <w:right w:val="none" w:sz="0" w:space="0" w:color="auto"/>
      </w:divBdr>
      <w:divsChild>
        <w:div w:id="698354025">
          <w:marLeft w:val="0"/>
          <w:marRight w:val="0"/>
          <w:marTop w:val="0"/>
          <w:marBottom w:val="0"/>
          <w:divBdr>
            <w:top w:val="none" w:sz="0" w:space="0" w:color="auto"/>
            <w:left w:val="none" w:sz="0" w:space="0" w:color="auto"/>
            <w:bottom w:val="none" w:sz="0" w:space="0" w:color="auto"/>
            <w:right w:val="none" w:sz="0" w:space="0" w:color="auto"/>
          </w:divBdr>
        </w:div>
        <w:div w:id="2086760705">
          <w:marLeft w:val="0"/>
          <w:marRight w:val="0"/>
          <w:marTop w:val="0"/>
          <w:marBottom w:val="0"/>
          <w:divBdr>
            <w:top w:val="none" w:sz="0" w:space="0" w:color="auto"/>
            <w:left w:val="none" w:sz="0" w:space="0" w:color="auto"/>
            <w:bottom w:val="none" w:sz="0" w:space="0" w:color="auto"/>
            <w:right w:val="none" w:sz="0" w:space="0" w:color="auto"/>
          </w:divBdr>
        </w:div>
        <w:div w:id="2146507269">
          <w:marLeft w:val="0"/>
          <w:marRight w:val="0"/>
          <w:marTop w:val="0"/>
          <w:marBottom w:val="0"/>
          <w:divBdr>
            <w:top w:val="none" w:sz="0" w:space="0" w:color="auto"/>
            <w:left w:val="none" w:sz="0" w:space="0" w:color="auto"/>
            <w:bottom w:val="none" w:sz="0" w:space="0" w:color="auto"/>
            <w:right w:val="none" w:sz="0" w:space="0" w:color="auto"/>
          </w:divBdr>
        </w:div>
      </w:divsChild>
    </w:div>
    <w:div w:id="1432817534">
      <w:bodyDiv w:val="1"/>
      <w:marLeft w:val="0"/>
      <w:marRight w:val="0"/>
      <w:marTop w:val="0"/>
      <w:marBottom w:val="0"/>
      <w:divBdr>
        <w:top w:val="none" w:sz="0" w:space="0" w:color="auto"/>
        <w:left w:val="none" w:sz="0" w:space="0" w:color="auto"/>
        <w:bottom w:val="none" w:sz="0" w:space="0" w:color="auto"/>
        <w:right w:val="none" w:sz="0" w:space="0" w:color="auto"/>
      </w:divBdr>
    </w:div>
    <w:div w:id="1459102783">
      <w:bodyDiv w:val="1"/>
      <w:marLeft w:val="0"/>
      <w:marRight w:val="0"/>
      <w:marTop w:val="0"/>
      <w:marBottom w:val="0"/>
      <w:divBdr>
        <w:top w:val="none" w:sz="0" w:space="0" w:color="auto"/>
        <w:left w:val="none" w:sz="0" w:space="0" w:color="auto"/>
        <w:bottom w:val="none" w:sz="0" w:space="0" w:color="auto"/>
        <w:right w:val="none" w:sz="0" w:space="0" w:color="auto"/>
      </w:divBdr>
    </w:div>
    <w:div w:id="1460994103">
      <w:bodyDiv w:val="1"/>
      <w:marLeft w:val="0"/>
      <w:marRight w:val="0"/>
      <w:marTop w:val="0"/>
      <w:marBottom w:val="0"/>
      <w:divBdr>
        <w:top w:val="none" w:sz="0" w:space="0" w:color="auto"/>
        <w:left w:val="none" w:sz="0" w:space="0" w:color="auto"/>
        <w:bottom w:val="none" w:sz="0" w:space="0" w:color="auto"/>
        <w:right w:val="none" w:sz="0" w:space="0" w:color="auto"/>
      </w:divBdr>
    </w:div>
    <w:div w:id="1462115879">
      <w:bodyDiv w:val="1"/>
      <w:marLeft w:val="0"/>
      <w:marRight w:val="0"/>
      <w:marTop w:val="0"/>
      <w:marBottom w:val="0"/>
      <w:divBdr>
        <w:top w:val="none" w:sz="0" w:space="0" w:color="auto"/>
        <w:left w:val="none" w:sz="0" w:space="0" w:color="auto"/>
        <w:bottom w:val="none" w:sz="0" w:space="0" w:color="auto"/>
        <w:right w:val="none" w:sz="0" w:space="0" w:color="auto"/>
      </w:divBdr>
    </w:div>
    <w:div w:id="1472870823">
      <w:bodyDiv w:val="1"/>
      <w:marLeft w:val="0"/>
      <w:marRight w:val="0"/>
      <w:marTop w:val="0"/>
      <w:marBottom w:val="0"/>
      <w:divBdr>
        <w:top w:val="none" w:sz="0" w:space="0" w:color="auto"/>
        <w:left w:val="none" w:sz="0" w:space="0" w:color="auto"/>
        <w:bottom w:val="none" w:sz="0" w:space="0" w:color="auto"/>
        <w:right w:val="none" w:sz="0" w:space="0" w:color="auto"/>
      </w:divBdr>
    </w:div>
    <w:div w:id="1473911830">
      <w:bodyDiv w:val="1"/>
      <w:marLeft w:val="0"/>
      <w:marRight w:val="0"/>
      <w:marTop w:val="0"/>
      <w:marBottom w:val="0"/>
      <w:divBdr>
        <w:top w:val="none" w:sz="0" w:space="0" w:color="auto"/>
        <w:left w:val="none" w:sz="0" w:space="0" w:color="auto"/>
        <w:bottom w:val="none" w:sz="0" w:space="0" w:color="auto"/>
        <w:right w:val="none" w:sz="0" w:space="0" w:color="auto"/>
      </w:divBdr>
    </w:div>
    <w:div w:id="1486819894">
      <w:bodyDiv w:val="1"/>
      <w:marLeft w:val="0"/>
      <w:marRight w:val="0"/>
      <w:marTop w:val="0"/>
      <w:marBottom w:val="0"/>
      <w:divBdr>
        <w:top w:val="none" w:sz="0" w:space="0" w:color="auto"/>
        <w:left w:val="none" w:sz="0" w:space="0" w:color="auto"/>
        <w:bottom w:val="none" w:sz="0" w:space="0" w:color="auto"/>
        <w:right w:val="none" w:sz="0" w:space="0" w:color="auto"/>
      </w:divBdr>
    </w:div>
    <w:div w:id="1487673669">
      <w:bodyDiv w:val="1"/>
      <w:marLeft w:val="0"/>
      <w:marRight w:val="0"/>
      <w:marTop w:val="0"/>
      <w:marBottom w:val="0"/>
      <w:divBdr>
        <w:top w:val="none" w:sz="0" w:space="0" w:color="auto"/>
        <w:left w:val="none" w:sz="0" w:space="0" w:color="auto"/>
        <w:bottom w:val="none" w:sz="0" w:space="0" w:color="auto"/>
        <w:right w:val="none" w:sz="0" w:space="0" w:color="auto"/>
      </w:divBdr>
    </w:div>
    <w:div w:id="1496142017">
      <w:bodyDiv w:val="1"/>
      <w:marLeft w:val="0"/>
      <w:marRight w:val="0"/>
      <w:marTop w:val="0"/>
      <w:marBottom w:val="0"/>
      <w:divBdr>
        <w:top w:val="none" w:sz="0" w:space="0" w:color="auto"/>
        <w:left w:val="none" w:sz="0" w:space="0" w:color="auto"/>
        <w:bottom w:val="none" w:sz="0" w:space="0" w:color="auto"/>
        <w:right w:val="none" w:sz="0" w:space="0" w:color="auto"/>
      </w:divBdr>
    </w:div>
    <w:div w:id="1528986375">
      <w:bodyDiv w:val="1"/>
      <w:marLeft w:val="0"/>
      <w:marRight w:val="0"/>
      <w:marTop w:val="0"/>
      <w:marBottom w:val="0"/>
      <w:divBdr>
        <w:top w:val="none" w:sz="0" w:space="0" w:color="auto"/>
        <w:left w:val="none" w:sz="0" w:space="0" w:color="auto"/>
        <w:bottom w:val="none" w:sz="0" w:space="0" w:color="auto"/>
        <w:right w:val="none" w:sz="0" w:space="0" w:color="auto"/>
      </w:divBdr>
      <w:divsChild>
        <w:div w:id="1017149214">
          <w:marLeft w:val="0"/>
          <w:marRight w:val="0"/>
          <w:marTop w:val="0"/>
          <w:marBottom w:val="0"/>
          <w:divBdr>
            <w:top w:val="none" w:sz="0" w:space="0" w:color="auto"/>
            <w:left w:val="none" w:sz="0" w:space="0" w:color="auto"/>
            <w:bottom w:val="none" w:sz="0" w:space="0" w:color="auto"/>
            <w:right w:val="none" w:sz="0" w:space="0" w:color="auto"/>
          </w:divBdr>
        </w:div>
        <w:div w:id="1073165125">
          <w:marLeft w:val="0"/>
          <w:marRight w:val="0"/>
          <w:marTop w:val="0"/>
          <w:marBottom w:val="0"/>
          <w:divBdr>
            <w:top w:val="none" w:sz="0" w:space="0" w:color="auto"/>
            <w:left w:val="none" w:sz="0" w:space="0" w:color="auto"/>
            <w:bottom w:val="none" w:sz="0" w:space="0" w:color="auto"/>
            <w:right w:val="none" w:sz="0" w:space="0" w:color="auto"/>
          </w:divBdr>
        </w:div>
        <w:div w:id="1156727177">
          <w:marLeft w:val="0"/>
          <w:marRight w:val="0"/>
          <w:marTop w:val="0"/>
          <w:marBottom w:val="0"/>
          <w:divBdr>
            <w:top w:val="none" w:sz="0" w:space="0" w:color="auto"/>
            <w:left w:val="none" w:sz="0" w:space="0" w:color="auto"/>
            <w:bottom w:val="none" w:sz="0" w:space="0" w:color="auto"/>
            <w:right w:val="none" w:sz="0" w:space="0" w:color="auto"/>
          </w:divBdr>
        </w:div>
        <w:div w:id="1699700631">
          <w:marLeft w:val="0"/>
          <w:marRight w:val="0"/>
          <w:marTop w:val="0"/>
          <w:marBottom w:val="0"/>
          <w:divBdr>
            <w:top w:val="none" w:sz="0" w:space="0" w:color="auto"/>
            <w:left w:val="none" w:sz="0" w:space="0" w:color="auto"/>
            <w:bottom w:val="none" w:sz="0" w:space="0" w:color="auto"/>
            <w:right w:val="none" w:sz="0" w:space="0" w:color="auto"/>
          </w:divBdr>
        </w:div>
        <w:div w:id="1876650400">
          <w:marLeft w:val="0"/>
          <w:marRight w:val="0"/>
          <w:marTop w:val="0"/>
          <w:marBottom w:val="0"/>
          <w:divBdr>
            <w:top w:val="none" w:sz="0" w:space="0" w:color="auto"/>
            <w:left w:val="none" w:sz="0" w:space="0" w:color="auto"/>
            <w:bottom w:val="none" w:sz="0" w:space="0" w:color="auto"/>
            <w:right w:val="none" w:sz="0" w:space="0" w:color="auto"/>
          </w:divBdr>
        </w:div>
        <w:div w:id="2128158281">
          <w:marLeft w:val="0"/>
          <w:marRight w:val="0"/>
          <w:marTop w:val="0"/>
          <w:marBottom w:val="0"/>
          <w:divBdr>
            <w:top w:val="none" w:sz="0" w:space="0" w:color="auto"/>
            <w:left w:val="none" w:sz="0" w:space="0" w:color="auto"/>
            <w:bottom w:val="none" w:sz="0" w:space="0" w:color="auto"/>
            <w:right w:val="none" w:sz="0" w:space="0" w:color="auto"/>
          </w:divBdr>
        </w:div>
      </w:divsChild>
    </w:div>
    <w:div w:id="1529873449">
      <w:bodyDiv w:val="1"/>
      <w:marLeft w:val="0"/>
      <w:marRight w:val="0"/>
      <w:marTop w:val="0"/>
      <w:marBottom w:val="0"/>
      <w:divBdr>
        <w:top w:val="none" w:sz="0" w:space="0" w:color="auto"/>
        <w:left w:val="none" w:sz="0" w:space="0" w:color="auto"/>
        <w:bottom w:val="none" w:sz="0" w:space="0" w:color="auto"/>
        <w:right w:val="none" w:sz="0" w:space="0" w:color="auto"/>
      </w:divBdr>
    </w:div>
    <w:div w:id="1535923774">
      <w:bodyDiv w:val="1"/>
      <w:marLeft w:val="0"/>
      <w:marRight w:val="0"/>
      <w:marTop w:val="0"/>
      <w:marBottom w:val="0"/>
      <w:divBdr>
        <w:top w:val="none" w:sz="0" w:space="0" w:color="auto"/>
        <w:left w:val="none" w:sz="0" w:space="0" w:color="auto"/>
        <w:bottom w:val="none" w:sz="0" w:space="0" w:color="auto"/>
        <w:right w:val="none" w:sz="0" w:space="0" w:color="auto"/>
      </w:divBdr>
    </w:div>
    <w:div w:id="1546284688">
      <w:bodyDiv w:val="1"/>
      <w:marLeft w:val="0"/>
      <w:marRight w:val="0"/>
      <w:marTop w:val="0"/>
      <w:marBottom w:val="0"/>
      <w:divBdr>
        <w:top w:val="none" w:sz="0" w:space="0" w:color="auto"/>
        <w:left w:val="none" w:sz="0" w:space="0" w:color="auto"/>
        <w:bottom w:val="none" w:sz="0" w:space="0" w:color="auto"/>
        <w:right w:val="none" w:sz="0" w:space="0" w:color="auto"/>
      </w:divBdr>
    </w:div>
    <w:div w:id="1570653566">
      <w:bodyDiv w:val="1"/>
      <w:marLeft w:val="0"/>
      <w:marRight w:val="0"/>
      <w:marTop w:val="0"/>
      <w:marBottom w:val="0"/>
      <w:divBdr>
        <w:top w:val="none" w:sz="0" w:space="0" w:color="auto"/>
        <w:left w:val="none" w:sz="0" w:space="0" w:color="auto"/>
        <w:bottom w:val="none" w:sz="0" w:space="0" w:color="auto"/>
        <w:right w:val="none" w:sz="0" w:space="0" w:color="auto"/>
      </w:divBdr>
    </w:div>
    <w:div w:id="1590236943">
      <w:bodyDiv w:val="1"/>
      <w:marLeft w:val="0"/>
      <w:marRight w:val="0"/>
      <w:marTop w:val="0"/>
      <w:marBottom w:val="0"/>
      <w:divBdr>
        <w:top w:val="none" w:sz="0" w:space="0" w:color="auto"/>
        <w:left w:val="none" w:sz="0" w:space="0" w:color="auto"/>
        <w:bottom w:val="none" w:sz="0" w:space="0" w:color="auto"/>
        <w:right w:val="none" w:sz="0" w:space="0" w:color="auto"/>
      </w:divBdr>
    </w:div>
    <w:div w:id="1591696255">
      <w:bodyDiv w:val="1"/>
      <w:marLeft w:val="0"/>
      <w:marRight w:val="0"/>
      <w:marTop w:val="0"/>
      <w:marBottom w:val="0"/>
      <w:divBdr>
        <w:top w:val="none" w:sz="0" w:space="0" w:color="auto"/>
        <w:left w:val="none" w:sz="0" w:space="0" w:color="auto"/>
        <w:bottom w:val="none" w:sz="0" w:space="0" w:color="auto"/>
        <w:right w:val="none" w:sz="0" w:space="0" w:color="auto"/>
      </w:divBdr>
    </w:div>
    <w:div w:id="1595895055">
      <w:bodyDiv w:val="1"/>
      <w:marLeft w:val="0"/>
      <w:marRight w:val="0"/>
      <w:marTop w:val="0"/>
      <w:marBottom w:val="0"/>
      <w:divBdr>
        <w:top w:val="none" w:sz="0" w:space="0" w:color="auto"/>
        <w:left w:val="none" w:sz="0" w:space="0" w:color="auto"/>
        <w:bottom w:val="none" w:sz="0" w:space="0" w:color="auto"/>
        <w:right w:val="none" w:sz="0" w:space="0" w:color="auto"/>
      </w:divBdr>
    </w:div>
    <w:div w:id="1601795067">
      <w:bodyDiv w:val="1"/>
      <w:marLeft w:val="0"/>
      <w:marRight w:val="0"/>
      <w:marTop w:val="0"/>
      <w:marBottom w:val="0"/>
      <w:divBdr>
        <w:top w:val="none" w:sz="0" w:space="0" w:color="auto"/>
        <w:left w:val="none" w:sz="0" w:space="0" w:color="auto"/>
        <w:bottom w:val="none" w:sz="0" w:space="0" w:color="auto"/>
        <w:right w:val="none" w:sz="0" w:space="0" w:color="auto"/>
      </w:divBdr>
    </w:div>
    <w:div w:id="1604074704">
      <w:bodyDiv w:val="1"/>
      <w:marLeft w:val="0"/>
      <w:marRight w:val="0"/>
      <w:marTop w:val="0"/>
      <w:marBottom w:val="0"/>
      <w:divBdr>
        <w:top w:val="none" w:sz="0" w:space="0" w:color="auto"/>
        <w:left w:val="none" w:sz="0" w:space="0" w:color="auto"/>
        <w:bottom w:val="none" w:sz="0" w:space="0" w:color="auto"/>
        <w:right w:val="none" w:sz="0" w:space="0" w:color="auto"/>
      </w:divBdr>
    </w:div>
    <w:div w:id="1604339335">
      <w:bodyDiv w:val="1"/>
      <w:marLeft w:val="0"/>
      <w:marRight w:val="0"/>
      <w:marTop w:val="0"/>
      <w:marBottom w:val="0"/>
      <w:divBdr>
        <w:top w:val="none" w:sz="0" w:space="0" w:color="auto"/>
        <w:left w:val="none" w:sz="0" w:space="0" w:color="auto"/>
        <w:bottom w:val="none" w:sz="0" w:space="0" w:color="auto"/>
        <w:right w:val="none" w:sz="0" w:space="0" w:color="auto"/>
      </w:divBdr>
    </w:div>
    <w:div w:id="1612513731">
      <w:bodyDiv w:val="1"/>
      <w:marLeft w:val="0"/>
      <w:marRight w:val="0"/>
      <w:marTop w:val="0"/>
      <w:marBottom w:val="0"/>
      <w:divBdr>
        <w:top w:val="none" w:sz="0" w:space="0" w:color="auto"/>
        <w:left w:val="none" w:sz="0" w:space="0" w:color="auto"/>
        <w:bottom w:val="none" w:sz="0" w:space="0" w:color="auto"/>
        <w:right w:val="none" w:sz="0" w:space="0" w:color="auto"/>
      </w:divBdr>
    </w:div>
    <w:div w:id="1638991863">
      <w:bodyDiv w:val="1"/>
      <w:marLeft w:val="0"/>
      <w:marRight w:val="0"/>
      <w:marTop w:val="0"/>
      <w:marBottom w:val="0"/>
      <w:divBdr>
        <w:top w:val="none" w:sz="0" w:space="0" w:color="auto"/>
        <w:left w:val="none" w:sz="0" w:space="0" w:color="auto"/>
        <w:bottom w:val="none" w:sz="0" w:space="0" w:color="auto"/>
        <w:right w:val="none" w:sz="0" w:space="0" w:color="auto"/>
      </w:divBdr>
    </w:div>
    <w:div w:id="1644431983">
      <w:bodyDiv w:val="1"/>
      <w:marLeft w:val="0"/>
      <w:marRight w:val="0"/>
      <w:marTop w:val="0"/>
      <w:marBottom w:val="0"/>
      <w:divBdr>
        <w:top w:val="none" w:sz="0" w:space="0" w:color="auto"/>
        <w:left w:val="none" w:sz="0" w:space="0" w:color="auto"/>
        <w:bottom w:val="none" w:sz="0" w:space="0" w:color="auto"/>
        <w:right w:val="none" w:sz="0" w:space="0" w:color="auto"/>
      </w:divBdr>
    </w:div>
    <w:div w:id="1660579086">
      <w:bodyDiv w:val="1"/>
      <w:marLeft w:val="0"/>
      <w:marRight w:val="0"/>
      <w:marTop w:val="0"/>
      <w:marBottom w:val="0"/>
      <w:divBdr>
        <w:top w:val="none" w:sz="0" w:space="0" w:color="auto"/>
        <w:left w:val="none" w:sz="0" w:space="0" w:color="auto"/>
        <w:bottom w:val="none" w:sz="0" w:space="0" w:color="auto"/>
        <w:right w:val="none" w:sz="0" w:space="0" w:color="auto"/>
      </w:divBdr>
    </w:div>
    <w:div w:id="1663923571">
      <w:bodyDiv w:val="1"/>
      <w:marLeft w:val="0"/>
      <w:marRight w:val="0"/>
      <w:marTop w:val="0"/>
      <w:marBottom w:val="0"/>
      <w:divBdr>
        <w:top w:val="none" w:sz="0" w:space="0" w:color="auto"/>
        <w:left w:val="none" w:sz="0" w:space="0" w:color="auto"/>
        <w:bottom w:val="none" w:sz="0" w:space="0" w:color="auto"/>
        <w:right w:val="none" w:sz="0" w:space="0" w:color="auto"/>
      </w:divBdr>
    </w:div>
    <w:div w:id="1674214791">
      <w:bodyDiv w:val="1"/>
      <w:marLeft w:val="0"/>
      <w:marRight w:val="0"/>
      <w:marTop w:val="0"/>
      <w:marBottom w:val="0"/>
      <w:divBdr>
        <w:top w:val="none" w:sz="0" w:space="0" w:color="auto"/>
        <w:left w:val="none" w:sz="0" w:space="0" w:color="auto"/>
        <w:bottom w:val="none" w:sz="0" w:space="0" w:color="auto"/>
        <w:right w:val="none" w:sz="0" w:space="0" w:color="auto"/>
      </w:divBdr>
    </w:div>
    <w:div w:id="1675110067">
      <w:bodyDiv w:val="1"/>
      <w:marLeft w:val="0"/>
      <w:marRight w:val="0"/>
      <w:marTop w:val="0"/>
      <w:marBottom w:val="0"/>
      <w:divBdr>
        <w:top w:val="none" w:sz="0" w:space="0" w:color="auto"/>
        <w:left w:val="none" w:sz="0" w:space="0" w:color="auto"/>
        <w:bottom w:val="none" w:sz="0" w:space="0" w:color="auto"/>
        <w:right w:val="none" w:sz="0" w:space="0" w:color="auto"/>
      </w:divBdr>
    </w:div>
    <w:div w:id="1681159211">
      <w:bodyDiv w:val="1"/>
      <w:marLeft w:val="0"/>
      <w:marRight w:val="0"/>
      <w:marTop w:val="0"/>
      <w:marBottom w:val="0"/>
      <w:divBdr>
        <w:top w:val="none" w:sz="0" w:space="0" w:color="auto"/>
        <w:left w:val="none" w:sz="0" w:space="0" w:color="auto"/>
        <w:bottom w:val="none" w:sz="0" w:space="0" w:color="auto"/>
        <w:right w:val="none" w:sz="0" w:space="0" w:color="auto"/>
      </w:divBdr>
    </w:div>
    <w:div w:id="1682052276">
      <w:bodyDiv w:val="1"/>
      <w:marLeft w:val="0"/>
      <w:marRight w:val="0"/>
      <w:marTop w:val="0"/>
      <w:marBottom w:val="0"/>
      <w:divBdr>
        <w:top w:val="none" w:sz="0" w:space="0" w:color="auto"/>
        <w:left w:val="none" w:sz="0" w:space="0" w:color="auto"/>
        <w:bottom w:val="none" w:sz="0" w:space="0" w:color="auto"/>
        <w:right w:val="none" w:sz="0" w:space="0" w:color="auto"/>
      </w:divBdr>
    </w:div>
    <w:div w:id="1702703240">
      <w:bodyDiv w:val="1"/>
      <w:marLeft w:val="0"/>
      <w:marRight w:val="0"/>
      <w:marTop w:val="0"/>
      <w:marBottom w:val="0"/>
      <w:divBdr>
        <w:top w:val="none" w:sz="0" w:space="0" w:color="auto"/>
        <w:left w:val="none" w:sz="0" w:space="0" w:color="auto"/>
        <w:bottom w:val="none" w:sz="0" w:space="0" w:color="auto"/>
        <w:right w:val="none" w:sz="0" w:space="0" w:color="auto"/>
      </w:divBdr>
    </w:div>
    <w:div w:id="1704986116">
      <w:bodyDiv w:val="1"/>
      <w:marLeft w:val="0"/>
      <w:marRight w:val="0"/>
      <w:marTop w:val="0"/>
      <w:marBottom w:val="0"/>
      <w:divBdr>
        <w:top w:val="none" w:sz="0" w:space="0" w:color="auto"/>
        <w:left w:val="none" w:sz="0" w:space="0" w:color="auto"/>
        <w:bottom w:val="none" w:sz="0" w:space="0" w:color="auto"/>
        <w:right w:val="none" w:sz="0" w:space="0" w:color="auto"/>
      </w:divBdr>
    </w:div>
    <w:div w:id="1722515424">
      <w:bodyDiv w:val="1"/>
      <w:marLeft w:val="0"/>
      <w:marRight w:val="0"/>
      <w:marTop w:val="0"/>
      <w:marBottom w:val="0"/>
      <w:divBdr>
        <w:top w:val="none" w:sz="0" w:space="0" w:color="auto"/>
        <w:left w:val="none" w:sz="0" w:space="0" w:color="auto"/>
        <w:bottom w:val="none" w:sz="0" w:space="0" w:color="auto"/>
        <w:right w:val="none" w:sz="0" w:space="0" w:color="auto"/>
      </w:divBdr>
    </w:div>
    <w:div w:id="1728383082">
      <w:bodyDiv w:val="1"/>
      <w:marLeft w:val="0"/>
      <w:marRight w:val="0"/>
      <w:marTop w:val="0"/>
      <w:marBottom w:val="0"/>
      <w:divBdr>
        <w:top w:val="none" w:sz="0" w:space="0" w:color="auto"/>
        <w:left w:val="none" w:sz="0" w:space="0" w:color="auto"/>
        <w:bottom w:val="none" w:sz="0" w:space="0" w:color="auto"/>
        <w:right w:val="none" w:sz="0" w:space="0" w:color="auto"/>
      </w:divBdr>
    </w:div>
    <w:div w:id="1732578074">
      <w:bodyDiv w:val="1"/>
      <w:marLeft w:val="0"/>
      <w:marRight w:val="0"/>
      <w:marTop w:val="0"/>
      <w:marBottom w:val="0"/>
      <w:divBdr>
        <w:top w:val="none" w:sz="0" w:space="0" w:color="auto"/>
        <w:left w:val="none" w:sz="0" w:space="0" w:color="auto"/>
        <w:bottom w:val="none" w:sz="0" w:space="0" w:color="auto"/>
        <w:right w:val="none" w:sz="0" w:space="0" w:color="auto"/>
      </w:divBdr>
    </w:div>
    <w:div w:id="1738360135">
      <w:bodyDiv w:val="1"/>
      <w:marLeft w:val="0"/>
      <w:marRight w:val="0"/>
      <w:marTop w:val="0"/>
      <w:marBottom w:val="0"/>
      <w:divBdr>
        <w:top w:val="none" w:sz="0" w:space="0" w:color="auto"/>
        <w:left w:val="none" w:sz="0" w:space="0" w:color="auto"/>
        <w:bottom w:val="none" w:sz="0" w:space="0" w:color="auto"/>
        <w:right w:val="none" w:sz="0" w:space="0" w:color="auto"/>
      </w:divBdr>
    </w:div>
    <w:div w:id="1749955502">
      <w:bodyDiv w:val="1"/>
      <w:marLeft w:val="0"/>
      <w:marRight w:val="0"/>
      <w:marTop w:val="0"/>
      <w:marBottom w:val="0"/>
      <w:divBdr>
        <w:top w:val="none" w:sz="0" w:space="0" w:color="auto"/>
        <w:left w:val="none" w:sz="0" w:space="0" w:color="auto"/>
        <w:bottom w:val="none" w:sz="0" w:space="0" w:color="auto"/>
        <w:right w:val="none" w:sz="0" w:space="0" w:color="auto"/>
      </w:divBdr>
    </w:div>
    <w:div w:id="1756441160">
      <w:bodyDiv w:val="1"/>
      <w:marLeft w:val="0"/>
      <w:marRight w:val="0"/>
      <w:marTop w:val="0"/>
      <w:marBottom w:val="0"/>
      <w:divBdr>
        <w:top w:val="none" w:sz="0" w:space="0" w:color="auto"/>
        <w:left w:val="none" w:sz="0" w:space="0" w:color="auto"/>
        <w:bottom w:val="none" w:sz="0" w:space="0" w:color="auto"/>
        <w:right w:val="none" w:sz="0" w:space="0" w:color="auto"/>
      </w:divBdr>
    </w:div>
    <w:div w:id="1756974798">
      <w:bodyDiv w:val="1"/>
      <w:marLeft w:val="0"/>
      <w:marRight w:val="0"/>
      <w:marTop w:val="0"/>
      <w:marBottom w:val="0"/>
      <w:divBdr>
        <w:top w:val="none" w:sz="0" w:space="0" w:color="auto"/>
        <w:left w:val="none" w:sz="0" w:space="0" w:color="auto"/>
        <w:bottom w:val="none" w:sz="0" w:space="0" w:color="auto"/>
        <w:right w:val="none" w:sz="0" w:space="0" w:color="auto"/>
      </w:divBdr>
    </w:div>
    <w:div w:id="1764835418">
      <w:bodyDiv w:val="1"/>
      <w:marLeft w:val="0"/>
      <w:marRight w:val="0"/>
      <w:marTop w:val="0"/>
      <w:marBottom w:val="0"/>
      <w:divBdr>
        <w:top w:val="none" w:sz="0" w:space="0" w:color="auto"/>
        <w:left w:val="none" w:sz="0" w:space="0" w:color="auto"/>
        <w:bottom w:val="none" w:sz="0" w:space="0" w:color="auto"/>
        <w:right w:val="none" w:sz="0" w:space="0" w:color="auto"/>
      </w:divBdr>
    </w:div>
    <w:div w:id="1774663793">
      <w:bodyDiv w:val="1"/>
      <w:marLeft w:val="0"/>
      <w:marRight w:val="0"/>
      <w:marTop w:val="0"/>
      <w:marBottom w:val="0"/>
      <w:divBdr>
        <w:top w:val="none" w:sz="0" w:space="0" w:color="auto"/>
        <w:left w:val="none" w:sz="0" w:space="0" w:color="auto"/>
        <w:bottom w:val="none" w:sz="0" w:space="0" w:color="auto"/>
        <w:right w:val="none" w:sz="0" w:space="0" w:color="auto"/>
      </w:divBdr>
    </w:div>
    <w:div w:id="1779132659">
      <w:bodyDiv w:val="1"/>
      <w:marLeft w:val="0"/>
      <w:marRight w:val="0"/>
      <w:marTop w:val="0"/>
      <w:marBottom w:val="0"/>
      <w:divBdr>
        <w:top w:val="none" w:sz="0" w:space="0" w:color="auto"/>
        <w:left w:val="none" w:sz="0" w:space="0" w:color="auto"/>
        <w:bottom w:val="none" w:sz="0" w:space="0" w:color="auto"/>
        <w:right w:val="none" w:sz="0" w:space="0" w:color="auto"/>
      </w:divBdr>
    </w:div>
    <w:div w:id="1816683198">
      <w:bodyDiv w:val="1"/>
      <w:marLeft w:val="0"/>
      <w:marRight w:val="0"/>
      <w:marTop w:val="0"/>
      <w:marBottom w:val="0"/>
      <w:divBdr>
        <w:top w:val="none" w:sz="0" w:space="0" w:color="auto"/>
        <w:left w:val="none" w:sz="0" w:space="0" w:color="auto"/>
        <w:bottom w:val="none" w:sz="0" w:space="0" w:color="auto"/>
        <w:right w:val="none" w:sz="0" w:space="0" w:color="auto"/>
      </w:divBdr>
    </w:div>
    <w:div w:id="1828865036">
      <w:bodyDiv w:val="1"/>
      <w:marLeft w:val="0"/>
      <w:marRight w:val="0"/>
      <w:marTop w:val="0"/>
      <w:marBottom w:val="0"/>
      <w:divBdr>
        <w:top w:val="none" w:sz="0" w:space="0" w:color="auto"/>
        <w:left w:val="none" w:sz="0" w:space="0" w:color="auto"/>
        <w:bottom w:val="none" w:sz="0" w:space="0" w:color="auto"/>
        <w:right w:val="none" w:sz="0" w:space="0" w:color="auto"/>
      </w:divBdr>
      <w:divsChild>
        <w:div w:id="1410151140">
          <w:marLeft w:val="0"/>
          <w:marRight w:val="0"/>
          <w:marTop w:val="0"/>
          <w:marBottom w:val="0"/>
          <w:divBdr>
            <w:top w:val="none" w:sz="0" w:space="0" w:color="auto"/>
            <w:left w:val="none" w:sz="0" w:space="0" w:color="auto"/>
            <w:bottom w:val="none" w:sz="0" w:space="0" w:color="auto"/>
            <w:right w:val="none" w:sz="0" w:space="0" w:color="auto"/>
          </w:divBdr>
        </w:div>
        <w:div w:id="1928228727">
          <w:marLeft w:val="0"/>
          <w:marRight w:val="0"/>
          <w:marTop w:val="0"/>
          <w:marBottom w:val="0"/>
          <w:divBdr>
            <w:top w:val="none" w:sz="0" w:space="0" w:color="auto"/>
            <w:left w:val="none" w:sz="0" w:space="0" w:color="auto"/>
            <w:bottom w:val="none" w:sz="0" w:space="0" w:color="auto"/>
            <w:right w:val="none" w:sz="0" w:space="0" w:color="auto"/>
          </w:divBdr>
        </w:div>
      </w:divsChild>
    </w:div>
    <w:div w:id="1847209027">
      <w:bodyDiv w:val="1"/>
      <w:marLeft w:val="0"/>
      <w:marRight w:val="0"/>
      <w:marTop w:val="0"/>
      <w:marBottom w:val="0"/>
      <w:divBdr>
        <w:top w:val="none" w:sz="0" w:space="0" w:color="auto"/>
        <w:left w:val="none" w:sz="0" w:space="0" w:color="auto"/>
        <w:bottom w:val="none" w:sz="0" w:space="0" w:color="auto"/>
        <w:right w:val="none" w:sz="0" w:space="0" w:color="auto"/>
      </w:divBdr>
    </w:div>
    <w:div w:id="1853837414">
      <w:bodyDiv w:val="1"/>
      <w:marLeft w:val="0"/>
      <w:marRight w:val="0"/>
      <w:marTop w:val="0"/>
      <w:marBottom w:val="0"/>
      <w:divBdr>
        <w:top w:val="none" w:sz="0" w:space="0" w:color="auto"/>
        <w:left w:val="none" w:sz="0" w:space="0" w:color="auto"/>
        <w:bottom w:val="none" w:sz="0" w:space="0" w:color="auto"/>
        <w:right w:val="none" w:sz="0" w:space="0" w:color="auto"/>
      </w:divBdr>
    </w:div>
    <w:div w:id="1866018333">
      <w:bodyDiv w:val="1"/>
      <w:marLeft w:val="0"/>
      <w:marRight w:val="0"/>
      <w:marTop w:val="0"/>
      <w:marBottom w:val="0"/>
      <w:divBdr>
        <w:top w:val="none" w:sz="0" w:space="0" w:color="auto"/>
        <w:left w:val="none" w:sz="0" w:space="0" w:color="auto"/>
        <w:bottom w:val="none" w:sz="0" w:space="0" w:color="auto"/>
        <w:right w:val="none" w:sz="0" w:space="0" w:color="auto"/>
      </w:divBdr>
    </w:div>
    <w:div w:id="1877041969">
      <w:bodyDiv w:val="1"/>
      <w:marLeft w:val="0"/>
      <w:marRight w:val="0"/>
      <w:marTop w:val="0"/>
      <w:marBottom w:val="0"/>
      <w:divBdr>
        <w:top w:val="none" w:sz="0" w:space="0" w:color="auto"/>
        <w:left w:val="none" w:sz="0" w:space="0" w:color="auto"/>
        <w:bottom w:val="none" w:sz="0" w:space="0" w:color="auto"/>
        <w:right w:val="none" w:sz="0" w:space="0" w:color="auto"/>
      </w:divBdr>
    </w:div>
    <w:div w:id="1890995985">
      <w:bodyDiv w:val="1"/>
      <w:marLeft w:val="0"/>
      <w:marRight w:val="0"/>
      <w:marTop w:val="0"/>
      <w:marBottom w:val="0"/>
      <w:divBdr>
        <w:top w:val="none" w:sz="0" w:space="0" w:color="auto"/>
        <w:left w:val="none" w:sz="0" w:space="0" w:color="auto"/>
        <w:bottom w:val="none" w:sz="0" w:space="0" w:color="auto"/>
        <w:right w:val="none" w:sz="0" w:space="0" w:color="auto"/>
      </w:divBdr>
    </w:div>
    <w:div w:id="1893812620">
      <w:bodyDiv w:val="1"/>
      <w:marLeft w:val="0"/>
      <w:marRight w:val="0"/>
      <w:marTop w:val="0"/>
      <w:marBottom w:val="0"/>
      <w:divBdr>
        <w:top w:val="none" w:sz="0" w:space="0" w:color="auto"/>
        <w:left w:val="none" w:sz="0" w:space="0" w:color="auto"/>
        <w:bottom w:val="none" w:sz="0" w:space="0" w:color="auto"/>
        <w:right w:val="none" w:sz="0" w:space="0" w:color="auto"/>
      </w:divBdr>
    </w:div>
    <w:div w:id="1895433989">
      <w:bodyDiv w:val="1"/>
      <w:marLeft w:val="0"/>
      <w:marRight w:val="0"/>
      <w:marTop w:val="0"/>
      <w:marBottom w:val="0"/>
      <w:divBdr>
        <w:top w:val="none" w:sz="0" w:space="0" w:color="auto"/>
        <w:left w:val="none" w:sz="0" w:space="0" w:color="auto"/>
        <w:bottom w:val="none" w:sz="0" w:space="0" w:color="auto"/>
        <w:right w:val="none" w:sz="0" w:space="0" w:color="auto"/>
      </w:divBdr>
    </w:div>
    <w:div w:id="1898737985">
      <w:bodyDiv w:val="1"/>
      <w:marLeft w:val="0"/>
      <w:marRight w:val="0"/>
      <w:marTop w:val="0"/>
      <w:marBottom w:val="0"/>
      <w:divBdr>
        <w:top w:val="none" w:sz="0" w:space="0" w:color="auto"/>
        <w:left w:val="none" w:sz="0" w:space="0" w:color="auto"/>
        <w:bottom w:val="none" w:sz="0" w:space="0" w:color="auto"/>
        <w:right w:val="none" w:sz="0" w:space="0" w:color="auto"/>
      </w:divBdr>
    </w:div>
    <w:div w:id="1907765181">
      <w:bodyDiv w:val="1"/>
      <w:marLeft w:val="0"/>
      <w:marRight w:val="0"/>
      <w:marTop w:val="0"/>
      <w:marBottom w:val="0"/>
      <w:divBdr>
        <w:top w:val="none" w:sz="0" w:space="0" w:color="auto"/>
        <w:left w:val="none" w:sz="0" w:space="0" w:color="auto"/>
        <w:bottom w:val="none" w:sz="0" w:space="0" w:color="auto"/>
        <w:right w:val="none" w:sz="0" w:space="0" w:color="auto"/>
      </w:divBdr>
    </w:div>
    <w:div w:id="1909223583">
      <w:bodyDiv w:val="1"/>
      <w:marLeft w:val="0"/>
      <w:marRight w:val="0"/>
      <w:marTop w:val="0"/>
      <w:marBottom w:val="0"/>
      <w:divBdr>
        <w:top w:val="none" w:sz="0" w:space="0" w:color="auto"/>
        <w:left w:val="none" w:sz="0" w:space="0" w:color="auto"/>
        <w:bottom w:val="none" w:sz="0" w:space="0" w:color="auto"/>
        <w:right w:val="none" w:sz="0" w:space="0" w:color="auto"/>
      </w:divBdr>
    </w:div>
    <w:div w:id="1910578786">
      <w:bodyDiv w:val="1"/>
      <w:marLeft w:val="0"/>
      <w:marRight w:val="0"/>
      <w:marTop w:val="0"/>
      <w:marBottom w:val="0"/>
      <w:divBdr>
        <w:top w:val="none" w:sz="0" w:space="0" w:color="auto"/>
        <w:left w:val="none" w:sz="0" w:space="0" w:color="auto"/>
        <w:bottom w:val="none" w:sz="0" w:space="0" w:color="auto"/>
        <w:right w:val="none" w:sz="0" w:space="0" w:color="auto"/>
      </w:divBdr>
    </w:div>
    <w:div w:id="1913393845">
      <w:bodyDiv w:val="1"/>
      <w:marLeft w:val="0"/>
      <w:marRight w:val="0"/>
      <w:marTop w:val="0"/>
      <w:marBottom w:val="0"/>
      <w:divBdr>
        <w:top w:val="none" w:sz="0" w:space="0" w:color="auto"/>
        <w:left w:val="none" w:sz="0" w:space="0" w:color="auto"/>
        <w:bottom w:val="none" w:sz="0" w:space="0" w:color="auto"/>
        <w:right w:val="none" w:sz="0" w:space="0" w:color="auto"/>
      </w:divBdr>
    </w:div>
    <w:div w:id="1919048362">
      <w:bodyDiv w:val="1"/>
      <w:marLeft w:val="0"/>
      <w:marRight w:val="0"/>
      <w:marTop w:val="0"/>
      <w:marBottom w:val="0"/>
      <w:divBdr>
        <w:top w:val="none" w:sz="0" w:space="0" w:color="auto"/>
        <w:left w:val="none" w:sz="0" w:space="0" w:color="auto"/>
        <w:bottom w:val="none" w:sz="0" w:space="0" w:color="auto"/>
        <w:right w:val="none" w:sz="0" w:space="0" w:color="auto"/>
      </w:divBdr>
      <w:divsChild>
        <w:div w:id="1351100508">
          <w:marLeft w:val="0"/>
          <w:marRight w:val="0"/>
          <w:marTop w:val="0"/>
          <w:marBottom w:val="0"/>
          <w:divBdr>
            <w:top w:val="none" w:sz="0" w:space="0" w:color="auto"/>
            <w:left w:val="none" w:sz="0" w:space="0" w:color="auto"/>
            <w:bottom w:val="none" w:sz="0" w:space="0" w:color="auto"/>
            <w:right w:val="none" w:sz="0" w:space="0" w:color="auto"/>
          </w:divBdr>
        </w:div>
        <w:div w:id="1400329171">
          <w:marLeft w:val="0"/>
          <w:marRight w:val="0"/>
          <w:marTop w:val="0"/>
          <w:marBottom w:val="0"/>
          <w:divBdr>
            <w:top w:val="none" w:sz="0" w:space="0" w:color="auto"/>
            <w:left w:val="none" w:sz="0" w:space="0" w:color="auto"/>
            <w:bottom w:val="none" w:sz="0" w:space="0" w:color="auto"/>
            <w:right w:val="none" w:sz="0" w:space="0" w:color="auto"/>
          </w:divBdr>
        </w:div>
      </w:divsChild>
    </w:div>
    <w:div w:id="1932859832">
      <w:bodyDiv w:val="1"/>
      <w:marLeft w:val="0"/>
      <w:marRight w:val="0"/>
      <w:marTop w:val="0"/>
      <w:marBottom w:val="0"/>
      <w:divBdr>
        <w:top w:val="none" w:sz="0" w:space="0" w:color="auto"/>
        <w:left w:val="none" w:sz="0" w:space="0" w:color="auto"/>
        <w:bottom w:val="none" w:sz="0" w:space="0" w:color="auto"/>
        <w:right w:val="none" w:sz="0" w:space="0" w:color="auto"/>
      </w:divBdr>
    </w:div>
    <w:div w:id="1943102586">
      <w:bodyDiv w:val="1"/>
      <w:marLeft w:val="0"/>
      <w:marRight w:val="0"/>
      <w:marTop w:val="0"/>
      <w:marBottom w:val="0"/>
      <w:divBdr>
        <w:top w:val="none" w:sz="0" w:space="0" w:color="auto"/>
        <w:left w:val="none" w:sz="0" w:space="0" w:color="auto"/>
        <w:bottom w:val="none" w:sz="0" w:space="0" w:color="auto"/>
        <w:right w:val="none" w:sz="0" w:space="0" w:color="auto"/>
      </w:divBdr>
    </w:div>
    <w:div w:id="1952591965">
      <w:bodyDiv w:val="1"/>
      <w:marLeft w:val="0"/>
      <w:marRight w:val="0"/>
      <w:marTop w:val="0"/>
      <w:marBottom w:val="0"/>
      <w:divBdr>
        <w:top w:val="none" w:sz="0" w:space="0" w:color="auto"/>
        <w:left w:val="none" w:sz="0" w:space="0" w:color="auto"/>
        <w:bottom w:val="none" w:sz="0" w:space="0" w:color="auto"/>
        <w:right w:val="none" w:sz="0" w:space="0" w:color="auto"/>
      </w:divBdr>
    </w:div>
    <w:div w:id="1964771245">
      <w:bodyDiv w:val="1"/>
      <w:marLeft w:val="0"/>
      <w:marRight w:val="0"/>
      <w:marTop w:val="0"/>
      <w:marBottom w:val="0"/>
      <w:divBdr>
        <w:top w:val="none" w:sz="0" w:space="0" w:color="auto"/>
        <w:left w:val="none" w:sz="0" w:space="0" w:color="auto"/>
        <w:bottom w:val="none" w:sz="0" w:space="0" w:color="auto"/>
        <w:right w:val="none" w:sz="0" w:space="0" w:color="auto"/>
      </w:divBdr>
    </w:div>
    <w:div w:id="1966764607">
      <w:bodyDiv w:val="1"/>
      <w:marLeft w:val="0"/>
      <w:marRight w:val="0"/>
      <w:marTop w:val="0"/>
      <w:marBottom w:val="0"/>
      <w:divBdr>
        <w:top w:val="none" w:sz="0" w:space="0" w:color="auto"/>
        <w:left w:val="none" w:sz="0" w:space="0" w:color="auto"/>
        <w:bottom w:val="none" w:sz="0" w:space="0" w:color="auto"/>
        <w:right w:val="none" w:sz="0" w:space="0" w:color="auto"/>
      </w:divBdr>
    </w:div>
    <w:div w:id="1973291893">
      <w:bodyDiv w:val="1"/>
      <w:marLeft w:val="0"/>
      <w:marRight w:val="0"/>
      <w:marTop w:val="0"/>
      <w:marBottom w:val="0"/>
      <w:divBdr>
        <w:top w:val="none" w:sz="0" w:space="0" w:color="auto"/>
        <w:left w:val="none" w:sz="0" w:space="0" w:color="auto"/>
        <w:bottom w:val="none" w:sz="0" w:space="0" w:color="auto"/>
        <w:right w:val="none" w:sz="0" w:space="0" w:color="auto"/>
      </w:divBdr>
    </w:div>
    <w:div w:id="1973317098">
      <w:bodyDiv w:val="1"/>
      <w:marLeft w:val="0"/>
      <w:marRight w:val="0"/>
      <w:marTop w:val="0"/>
      <w:marBottom w:val="0"/>
      <w:divBdr>
        <w:top w:val="none" w:sz="0" w:space="0" w:color="auto"/>
        <w:left w:val="none" w:sz="0" w:space="0" w:color="auto"/>
        <w:bottom w:val="none" w:sz="0" w:space="0" w:color="auto"/>
        <w:right w:val="none" w:sz="0" w:space="0" w:color="auto"/>
      </w:divBdr>
    </w:div>
    <w:div w:id="1982035873">
      <w:bodyDiv w:val="1"/>
      <w:marLeft w:val="0"/>
      <w:marRight w:val="0"/>
      <w:marTop w:val="0"/>
      <w:marBottom w:val="0"/>
      <w:divBdr>
        <w:top w:val="none" w:sz="0" w:space="0" w:color="auto"/>
        <w:left w:val="none" w:sz="0" w:space="0" w:color="auto"/>
        <w:bottom w:val="none" w:sz="0" w:space="0" w:color="auto"/>
        <w:right w:val="none" w:sz="0" w:space="0" w:color="auto"/>
      </w:divBdr>
    </w:div>
    <w:div w:id="1988048359">
      <w:bodyDiv w:val="1"/>
      <w:marLeft w:val="0"/>
      <w:marRight w:val="0"/>
      <w:marTop w:val="0"/>
      <w:marBottom w:val="0"/>
      <w:divBdr>
        <w:top w:val="none" w:sz="0" w:space="0" w:color="auto"/>
        <w:left w:val="none" w:sz="0" w:space="0" w:color="auto"/>
        <w:bottom w:val="none" w:sz="0" w:space="0" w:color="auto"/>
        <w:right w:val="none" w:sz="0" w:space="0" w:color="auto"/>
      </w:divBdr>
      <w:divsChild>
        <w:div w:id="550074843">
          <w:marLeft w:val="0"/>
          <w:marRight w:val="0"/>
          <w:marTop w:val="0"/>
          <w:marBottom w:val="0"/>
          <w:divBdr>
            <w:top w:val="none" w:sz="0" w:space="0" w:color="auto"/>
            <w:left w:val="none" w:sz="0" w:space="0" w:color="auto"/>
            <w:bottom w:val="none" w:sz="0" w:space="0" w:color="auto"/>
            <w:right w:val="none" w:sz="0" w:space="0" w:color="auto"/>
          </w:divBdr>
          <w:divsChild>
            <w:div w:id="410200895">
              <w:marLeft w:val="0"/>
              <w:marRight w:val="0"/>
              <w:marTop w:val="0"/>
              <w:marBottom w:val="0"/>
              <w:divBdr>
                <w:top w:val="none" w:sz="0" w:space="0" w:color="auto"/>
                <w:left w:val="none" w:sz="0" w:space="0" w:color="auto"/>
                <w:bottom w:val="none" w:sz="0" w:space="0" w:color="auto"/>
                <w:right w:val="none" w:sz="0" w:space="0" w:color="auto"/>
              </w:divBdr>
              <w:divsChild>
                <w:div w:id="915357457">
                  <w:marLeft w:val="0"/>
                  <w:marRight w:val="0"/>
                  <w:marTop w:val="0"/>
                  <w:marBottom w:val="0"/>
                  <w:divBdr>
                    <w:top w:val="none" w:sz="0" w:space="0" w:color="auto"/>
                    <w:left w:val="none" w:sz="0" w:space="0" w:color="auto"/>
                    <w:bottom w:val="none" w:sz="0" w:space="0" w:color="auto"/>
                    <w:right w:val="none" w:sz="0" w:space="0" w:color="auto"/>
                  </w:divBdr>
                </w:div>
                <w:div w:id="921526123">
                  <w:marLeft w:val="0"/>
                  <w:marRight w:val="0"/>
                  <w:marTop w:val="0"/>
                  <w:marBottom w:val="0"/>
                  <w:divBdr>
                    <w:top w:val="none" w:sz="0" w:space="0" w:color="auto"/>
                    <w:left w:val="none" w:sz="0" w:space="0" w:color="auto"/>
                    <w:bottom w:val="none" w:sz="0" w:space="0" w:color="auto"/>
                    <w:right w:val="none" w:sz="0" w:space="0" w:color="auto"/>
                  </w:divBdr>
                  <w:divsChild>
                    <w:div w:id="133348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499212">
          <w:marLeft w:val="0"/>
          <w:marRight w:val="0"/>
          <w:marTop w:val="0"/>
          <w:marBottom w:val="0"/>
          <w:divBdr>
            <w:top w:val="none" w:sz="0" w:space="0" w:color="auto"/>
            <w:left w:val="none" w:sz="0" w:space="0" w:color="auto"/>
            <w:bottom w:val="none" w:sz="0" w:space="0" w:color="auto"/>
            <w:right w:val="none" w:sz="0" w:space="0" w:color="auto"/>
          </w:divBdr>
          <w:divsChild>
            <w:div w:id="830095982">
              <w:marLeft w:val="0"/>
              <w:marRight w:val="0"/>
              <w:marTop w:val="0"/>
              <w:marBottom w:val="0"/>
              <w:divBdr>
                <w:top w:val="none" w:sz="0" w:space="0" w:color="auto"/>
                <w:left w:val="none" w:sz="0" w:space="0" w:color="auto"/>
                <w:bottom w:val="none" w:sz="0" w:space="0" w:color="auto"/>
                <w:right w:val="none" w:sz="0" w:space="0" w:color="auto"/>
              </w:divBdr>
              <w:divsChild>
                <w:div w:id="1880042617">
                  <w:marLeft w:val="0"/>
                  <w:marRight w:val="0"/>
                  <w:marTop w:val="0"/>
                  <w:marBottom w:val="0"/>
                  <w:divBdr>
                    <w:top w:val="none" w:sz="0" w:space="0" w:color="auto"/>
                    <w:left w:val="none" w:sz="0" w:space="0" w:color="auto"/>
                    <w:bottom w:val="none" w:sz="0" w:space="0" w:color="auto"/>
                    <w:right w:val="none" w:sz="0" w:space="0" w:color="auto"/>
                  </w:divBdr>
                  <w:divsChild>
                    <w:div w:id="752774531">
                      <w:marLeft w:val="0"/>
                      <w:marRight w:val="0"/>
                      <w:marTop w:val="0"/>
                      <w:marBottom w:val="0"/>
                      <w:divBdr>
                        <w:top w:val="none" w:sz="0" w:space="0" w:color="auto"/>
                        <w:left w:val="none" w:sz="0" w:space="0" w:color="auto"/>
                        <w:bottom w:val="none" w:sz="0" w:space="0" w:color="auto"/>
                        <w:right w:val="none" w:sz="0" w:space="0" w:color="auto"/>
                      </w:divBdr>
                      <w:divsChild>
                        <w:div w:id="172421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631785">
      <w:bodyDiv w:val="1"/>
      <w:marLeft w:val="0"/>
      <w:marRight w:val="0"/>
      <w:marTop w:val="0"/>
      <w:marBottom w:val="0"/>
      <w:divBdr>
        <w:top w:val="none" w:sz="0" w:space="0" w:color="auto"/>
        <w:left w:val="none" w:sz="0" w:space="0" w:color="auto"/>
        <w:bottom w:val="none" w:sz="0" w:space="0" w:color="auto"/>
        <w:right w:val="none" w:sz="0" w:space="0" w:color="auto"/>
      </w:divBdr>
    </w:div>
    <w:div w:id="1991129046">
      <w:bodyDiv w:val="1"/>
      <w:marLeft w:val="0"/>
      <w:marRight w:val="0"/>
      <w:marTop w:val="0"/>
      <w:marBottom w:val="0"/>
      <w:divBdr>
        <w:top w:val="none" w:sz="0" w:space="0" w:color="auto"/>
        <w:left w:val="none" w:sz="0" w:space="0" w:color="auto"/>
        <w:bottom w:val="none" w:sz="0" w:space="0" w:color="auto"/>
        <w:right w:val="none" w:sz="0" w:space="0" w:color="auto"/>
      </w:divBdr>
      <w:divsChild>
        <w:div w:id="696926622">
          <w:marLeft w:val="0"/>
          <w:marRight w:val="0"/>
          <w:marTop w:val="0"/>
          <w:marBottom w:val="0"/>
          <w:divBdr>
            <w:top w:val="none" w:sz="0" w:space="0" w:color="auto"/>
            <w:left w:val="none" w:sz="0" w:space="0" w:color="auto"/>
            <w:bottom w:val="none" w:sz="0" w:space="0" w:color="auto"/>
            <w:right w:val="none" w:sz="0" w:space="0" w:color="auto"/>
          </w:divBdr>
          <w:divsChild>
            <w:div w:id="172459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664423">
      <w:bodyDiv w:val="1"/>
      <w:marLeft w:val="0"/>
      <w:marRight w:val="0"/>
      <w:marTop w:val="0"/>
      <w:marBottom w:val="0"/>
      <w:divBdr>
        <w:top w:val="none" w:sz="0" w:space="0" w:color="auto"/>
        <w:left w:val="none" w:sz="0" w:space="0" w:color="auto"/>
        <w:bottom w:val="none" w:sz="0" w:space="0" w:color="auto"/>
        <w:right w:val="none" w:sz="0" w:space="0" w:color="auto"/>
      </w:divBdr>
    </w:div>
    <w:div w:id="2008744517">
      <w:bodyDiv w:val="1"/>
      <w:marLeft w:val="0"/>
      <w:marRight w:val="0"/>
      <w:marTop w:val="0"/>
      <w:marBottom w:val="0"/>
      <w:divBdr>
        <w:top w:val="none" w:sz="0" w:space="0" w:color="auto"/>
        <w:left w:val="none" w:sz="0" w:space="0" w:color="auto"/>
        <w:bottom w:val="none" w:sz="0" w:space="0" w:color="auto"/>
        <w:right w:val="none" w:sz="0" w:space="0" w:color="auto"/>
      </w:divBdr>
    </w:div>
    <w:div w:id="2015451678">
      <w:bodyDiv w:val="1"/>
      <w:marLeft w:val="0"/>
      <w:marRight w:val="0"/>
      <w:marTop w:val="0"/>
      <w:marBottom w:val="0"/>
      <w:divBdr>
        <w:top w:val="none" w:sz="0" w:space="0" w:color="auto"/>
        <w:left w:val="none" w:sz="0" w:space="0" w:color="auto"/>
        <w:bottom w:val="none" w:sz="0" w:space="0" w:color="auto"/>
        <w:right w:val="none" w:sz="0" w:space="0" w:color="auto"/>
      </w:divBdr>
    </w:div>
    <w:div w:id="2026322971">
      <w:bodyDiv w:val="1"/>
      <w:marLeft w:val="0"/>
      <w:marRight w:val="0"/>
      <w:marTop w:val="0"/>
      <w:marBottom w:val="0"/>
      <w:divBdr>
        <w:top w:val="none" w:sz="0" w:space="0" w:color="auto"/>
        <w:left w:val="none" w:sz="0" w:space="0" w:color="auto"/>
        <w:bottom w:val="none" w:sz="0" w:space="0" w:color="auto"/>
        <w:right w:val="none" w:sz="0" w:space="0" w:color="auto"/>
      </w:divBdr>
    </w:div>
    <w:div w:id="2028482103">
      <w:bodyDiv w:val="1"/>
      <w:marLeft w:val="0"/>
      <w:marRight w:val="0"/>
      <w:marTop w:val="0"/>
      <w:marBottom w:val="0"/>
      <w:divBdr>
        <w:top w:val="none" w:sz="0" w:space="0" w:color="auto"/>
        <w:left w:val="none" w:sz="0" w:space="0" w:color="auto"/>
        <w:bottom w:val="none" w:sz="0" w:space="0" w:color="auto"/>
        <w:right w:val="none" w:sz="0" w:space="0" w:color="auto"/>
      </w:divBdr>
    </w:div>
    <w:div w:id="2030790876">
      <w:bodyDiv w:val="1"/>
      <w:marLeft w:val="0"/>
      <w:marRight w:val="0"/>
      <w:marTop w:val="0"/>
      <w:marBottom w:val="0"/>
      <w:divBdr>
        <w:top w:val="none" w:sz="0" w:space="0" w:color="auto"/>
        <w:left w:val="none" w:sz="0" w:space="0" w:color="auto"/>
        <w:bottom w:val="none" w:sz="0" w:space="0" w:color="auto"/>
        <w:right w:val="none" w:sz="0" w:space="0" w:color="auto"/>
      </w:divBdr>
    </w:div>
    <w:div w:id="2034527877">
      <w:bodyDiv w:val="1"/>
      <w:marLeft w:val="0"/>
      <w:marRight w:val="0"/>
      <w:marTop w:val="0"/>
      <w:marBottom w:val="0"/>
      <w:divBdr>
        <w:top w:val="none" w:sz="0" w:space="0" w:color="auto"/>
        <w:left w:val="none" w:sz="0" w:space="0" w:color="auto"/>
        <w:bottom w:val="none" w:sz="0" w:space="0" w:color="auto"/>
        <w:right w:val="none" w:sz="0" w:space="0" w:color="auto"/>
      </w:divBdr>
    </w:div>
    <w:div w:id="2040159935">
      <w:bodyDiv w:val="1"/>
      <w:marLeft w:val="0"/>
      <w:marRight w:val="0"/>
      <w:marTop w:val="0"/>
      <w:marBottom w:val="0"/>
      <w:divBdr>
        <w:top w:val="none" w:sz="0" w:space="0" w:color="auto"/>
        <w:left w:val="none" w:sz="0" w:space="0" w:color="auto"/>
        <w:bottom w:val="none" w:sz="0" w:space="0" w:color="auto"/>
        <w:right w:val="none" w:sz="0" w:space="0" w:color="auto"/>
      </w:divBdr>
    </w:div>
    <w:div w:id="2041396716">
      <w:bodyDiv w:val="1"/>
      <w:marLeft w:val="0"/>
      <w:marRight w:val="0"/>
      <w:marTop w:val="0"/>
      <w:marBottom w:val="0"/>
      <w:divBdr>
        <w:top w:val="none" w:sz="0" w:space="0" w:color="auto"/>
        <w:left w:val="none" w:sz="0" w:space="0" w:color="auto"/>
        <w:bottom w:val="none" w:sz="0" w:space="0" w:color="auto"/>
        <w:right w:val="none" w:sz="0" w:space="0" w:color="auto"/>
      </w:divBdr>
    </w:div>
    <w:div w:id="2049186485">
      <w:bodyDiv w:val="1"/>
      <w:marLeft w:val="0"/>
      <w:marRight w:val="0"/>
      <w:marTop w:val="0"/>
      <w:marBottom w:val="0"/>
      <w:divBdr>
        <w:top w:val="none" w:sz="0" w:space="0" w:color="auto"/>
        <w:left w:val="none" w:sz="0" w:space="0" w:color="auto"/>
        <w:bottom w:val="none" w:sz="0" w:space="0" w:color="auto"/>
        <w:right w:val="none" w:sz="0" w:space="0" w:color="auto"/>
      </w:divBdr>
    </w:div>
    <w:div w:id="2051101233">
      <w:bodyDiv w:val="1"/>
      <w:marLeft w:val="0"/>
      <w:marRight w:val="0"/>
      <w:marTop w:val="0"/>
      <w:marBottom w:val="0"/>
      <w:divBdr>
        <w:top w:val="none" w:sz="0" w:space="0" w:color="auto"/>
        <w:left w:val="none" w:sz="0" w:space="0" w:color="auto"/>
        <w:bottom w:val="none" w:sz="0" w:space="0" w:color="auto"/>
        <w:right w:val="none" w:sz="0" w:space="0" w:color="auto"/>
      </w:divBdr>
    </w:div>
    <w:div w:id="2058311209">
      <w:bodyDiv w:val="1"/>
      <w:marLeft w:val="0"/>
      <w:marRight w:val="0"/>
      <w:marTop w:val="0"/>
      <w:marBottom w:val="0"/>
      <w:divBdr>
        <w:top w:val="none" w:sz="0" w:space="0" w:color="auto"/>
        <w:left w:val="none" w:sz="0" w:space="0" w:color="auto"/>
        <w:bottom w:val="none" w:sz="0" w:space="0" w:color="auto"/>
        <w:right w:val="none" w:sz="0" w:space="0" w:color="auto"/>
      </w:divBdr>
    </w:div>
    <w:div w:id="2059357403">
      <w:bodyDiv w:val="1"/>
      <w:marLeft w:val="0"/>
      <w:marRight w:val="0"/>
      <w:marTop w:val="0"/>
      <w:marBottom w:val="0"/>
      <w:divBdr>
        <w:top w:val="none" w:sz="0" w:space="0" w:color="auto"/>
        <w:left w:val="none" w:sz="0" w:space="0" w:color="auto"/>
        <w:bottom w:val="none" w:sz="0" w:space="0" w:color="auto"/>
        <w:right w:val="none" w:sz="0" w:space="0" w:color="auto"/>
      </w:divBdr>
    </w:div>
    <w:div w:id="2059745617">
      <w:bodyDiv w:val="1"/>
      <w:marLeft w:val="0"/>
      <w:marRight w:val="0"/>
      <w:marTop w:val="0"/>
      <w:marBottom w:val="0"/>
      <w:divBdr>
        <w:top w:val="none" w:sz="0" w:space="0" w:color="auto"/>
        <w:left w:val="none" w:sz="0" w:space="0" w:color="auto"/>
        <w:bottom w:val="none" w:sz="0" w:space="0" w:color="auto"/>
        <w:right w:val="none" w:sz="0" w:space="0" w:color="auto"/>
      </w:divBdr>
    </w:div>
    <w:div w:id="2069180597">
      <w:bodyDiv w:val="1"/>
      <w:marLeft w:val="0"/>
      <w:marRight w:val="0"/>
      <w:marTop w:val="0"/>
      <w:marBottom w:val="0"/>
      <w:divBdr>
        <w:top w:val="none" w:sz="0" w:space="0" w:color="auto"/>
        <w:left w:val="none" w:sz="0" w:space="0" w:color="auto"/>
        <w:bottom w:val="none" w:sz="0" w:space="0" w:color="auto"/>
        <w:right w:val="none" w:sz="0" w:space="0" w:color="auto"/>
      </w:divBdr>
    </w:div>
    <w:div w:id="2069760412">
      <w:bodyDiv w:val="1"/>
      <w:marLeft w:val="0"/>
      <w:marRight w:val="0"/>
      <w:marTop w:val="0"/>
      <w:marBottom w:val="0"/>
      <w:divBdr>
        <w:top w:val="none" w:sz="0" w:space="0" w:color="auto"/>
        <w:left w:val="none" w:sz="0" w:space="0" w:color="auto"/>
        <w:bottom w:val="none" w:sz="0" w:space="0" w:color="auto"/>
        <w:right w:val="none" w:sz="0" w:space="0" w:color="auto"/>
      </w:divBdr>
    </w:div>
    <w:div w:id="2072263260">
      <w:bodyDiv w:val="1"/>
      <w:marLeft w:val="0"/>
      <w:marRight w:val="0"/>
      <w:marTop w:val="0"/>
      <w:marBottom w:val="0"/>
      <w:divBdr>
        <w:top w:val="none" w:sz="0" w:space="0" w:color="auto"/>
        <w:left w:val="none" w:sz="0" w:space="0" w:color="auto"/>
        <w:bottom w:val="none" w:sz="0" w:space="0" w:color="auto"/>
        <w:right w:val="none" w:sz="0" w:space="0" w:color="auto"/>
      </w:divBdr>
    </w:div>
    <w:div w:id="2084907913">
      <w:bodyDiv w:val="1"/>
      <w:marLeft w:val="0"/>
      <w:marRight w:val="0"/>
      <w:marTop w:val="0"/>
      <w:marBottom w:val="0"/>
      <w:divBdr>
        <w:top w:val="none" w:sz="0" w:space="0" w:color="auto"/>
        <w:left w:val="none" w:sz="0" w:space="0" w:color="auto"/>
        <w:bottom w:val="none" w:sz="0" w:space="0" w:color="auto"/>
        <w:right w:val="none" w:sz="0" w:space="0" w:color="auto"/>
      </w:divBdr>
    </w:div>
    <w:div w:id="2088307456">
      <w:bodyDiv w:val="1"/>
      <w:marLeft w:val="0"/>
      <w:marRight w:val="0"/>
      <w:marTop w:val="0"/>
      <w:marBottom w:val="0"/>
      <w:divBdr>
        <w:top w:val="none" w:sz="0" w:space="0" w:color="auto"/>
        <w:left w:val="none" w:sz="0" w:space="0" w:color="auto"/>
        <w:bottom w:val="none" w:sz="0" w:space="0" w:color="auto"/>
        <w:right w:val="none" w:sz="0" w:space="0" w:color="auto"/>
      </w:divBdr>
    </w:div>
    <w:div w:id="2094932302">
      <w:bodyDiv w:val="1"/>
      <w:marLeft w:val="0"/>
      <w:marRight w:val="0"/>
      <w:marTop w:val="0"/>
      <w:marBottom w:val="0"/>
      <w:divBdr>
        <w:top w:val="none" w:sz="0" w:space="0" w:color="auto"/>
        <w:left w:val="none" w:sz="0" w:space="0" w:color="auto"/>
        <w:bottom w:val="none" w:sz="0" w:space="0" w:color="auto"/>
        <w:right w:val="none" w:sz="0" w:space="0" w:color="auto"/>
      </w:divBdr>
    </w:div>
    <w:div w:id="2095321923">
      <w:bodyDiv w:val="1"/>
      <w:marLeft w:val="0"/>
      <w:marRight w:val="0"/>
      <w:marTop w:val="0"/>
      <w:marBottom w:val="0"/>
      <w:divBdr>
        <w:top w:val="none" w:sz="0" w:space="0" w:color="auto"/>
        <w:left w:val="none" w:sz="0" w:space="0" w:color="auto"/>
        <w:bottom w:val="none" w:sz="0" w:space="0" w:color="auto"/>
        <w:right w:val="none" w:sz="0" w:space="0" w:color="auto"/>
      </w:divBdr>
    </w:div>
    <w:div w:id="2104571236">
      <w:bodyDiv w:val="1"/>
      <w:marLeft w:val="0"/>
      <w:marRight w:val="0"/>
      <w:marTop w:val="0"/>
      <w:marBottom w:val="0"/>
      <w:divBdr>
        <w:top w:val="none" w:sz="0" w:space="0" w:color="auto"/>
        <w:left w:val="none" w:sz="0" w:space="0" w:color="auto"/>
        <w:bottom w:val="none" w:sz="0" w:space="0" w:color="auto"/>
        <w:right w:val="none" w:sz="0" w:space="0" w:color="auto"/>
      </w:divBdr>
    </w:div>
    <w:div w:id="2108652882">
      <w:bodyDiv w:val="1"/>
      <w:marLeft w:val="0"/>
      <w:marRight w:val="0"/>
      <w:marTop w:val="0"/>
      <w:marBottom w:val="0"/>
      <w:divBdr>
        <w:top w:val="none" w:sz="0" w:space="0" w:color="auto"/>
        <w:left w:val="none" w:sz="0" w:space="0" w:color="auto"/>
        <w:bottom w:val="none" w:sz="0" w:space="0" w:color="auto"/>
        <w:right w:val="none" w:sz="0" w:space="0" w:color="auto"/>
      </w:divBdr>
    </w:div>
    <w:div w:id="2110738444">
      <w:bodyDiv w:val="1"/>
      <w:marLeft w:val="0"/>
      <w:marRight w:val="0"/>
      <w:marTop w:val="0"/>
      <w:marBottom w:val="0"/>
      <w:divBdr>
        <w:top w:val="none" w:sz="0" w:space="0" w:color="auto"/>
        <w:left w:val="none" w:sz="0" w:space="0" w:color="auto"/>
        <w:bottom w:val="none" w:sz="0" w:space="0" w:color="auto"/>
        <w:right w:val="none" w:sz="0" w:space="0" w:color="auto"/>
      </w:divBdr>
    </w:div>
    <w:div w:id="2118477114">
      <w:bodyDiv w:val="1"/>
      <w:marLeft w:val="0"/>
      <w:marRight w:val="0"/>
      <w:marTop w:val="0"/>
      <w:marBottom w:val="0"/>
      <w:divBdr>
        <w:top w:val="none" w:sz="0" w:space="0" w:color="auto"/>
        <w:left w:val="none" w:sz="0" w:space="0" w:color="auto"/>
        <w:bottom w:val="none" w:sz="0" w:space="0" w:color="auto"/>
        <w:right w:val="none" w:sz="0" w:space="0" w:color="auto"/>
      </w:divBdr>
    </w:div>
    <w:div w:id="2121415988">
      <w:bodyDiv w:val="1"/>
      <w:marLeft w:val="0"/>
      <w:marRight w:val="0"/>
      <w:marTop w:val="0"/>
      <w:marBottom w:val="0"/>
      <w:divBdr>
        <w:top w:val="none" w:sz="0" w:space="0" w:color="auto"/>
        <w:left w:val="none" w:sz="0" w:space="0" w:color="auto"/>
        <w:bottom w:val="none" w:sz="0" w:space="0" w:color="auto"/>
        <w:right w:val="none" w:sz="0" w:space="0" w:color="auto"/>
      </w:divBdr>
    </w:div>
    <w:div w:id="2132552646">
      <w:bodyDiv w:val="1"/>
      <w:marLeft w:val="0"/>
      <w:marRight w:val="0"/>
      <w:marTop w:val="0"/>
      <w:marBottom w:val="0"/>
      <w:divBdr>
        <w:top w:val="none" w:sz="0" w:space="0" w:color="auto"/>
        <w:left w:val="none" w:sz="0" w:space="0" w:color="auto"/>
        <w:bottom w:val="none" w:sz="0" w:space="0" w:color="auto"/>
        <w:right w:val="none" w:sz="0" w:space="0" w:color="auto"/>
      </w:divBdr>
    </w:div>
    <w:div w:id="2135518496">
      <w:bodyDiv w:val="1"/>
      <w:marLeft w:val="0"/>
      <w:marRight w:val="0"/>
      <w:marTop w:val="0"/>
      <w:marBottom w:val="0"/>
      <w:divBdr>
        <w:top w:val="none" w:sz="0" w:space="0" w:color="auto"/>
        <w:left w:val="none" w:sz="0" w:space="0" w:color="auto"/>
        <w:bottom w:val="none" w:sz="0" w:space="0" w:color="auto"/>
        <w:right w:val="none" w:sz="0" w:space="0" w:color="auto"/>
      </w:divBdr>
    </w:div>
    <w:div w:id="21423383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png"/><Relationship Id="rId39" Type="http://schemas.openxmlformats.org/officeDocument/2006/relationships/footer" Target="footer11.xml"/><Relationship Id="rId21" Type="http://schemas.openxmlformats.org/officeDocument/2006/relationships/header" Target="header7.xml"/><Relationship Id="rId34" Type="http://schemas.openxmlformats.org/officeDocument/2006/relationships/hyperlink" Target="https://europa.eu/eurobarometer/surveys/detail/3178" TargetMode="External"/><Relationship Id="rId42" Type="http://schemas.openxmlformats.org/officeDocument/2006/relationships/footer" Target="footer12.xml"/><Relationship Id="rId47" Type="http://schemas.openxmlformats.org/officeDocument/2006/relationships/header" Target="header15.xml"/><Relationship Id="rId50" Type="http://schemas.openxmlformats.org/officeDocument/2006/relationships/image" Target="media/image11.emf"/><Relationship Id="rId55" Type="http://schemas.openxmlformats.org/officeDocument/2006/relationships/header" Target="header16.xml"/><Relationship Id="rId63" Type="http://schemas.openxmlformats.org/officeDocument/2006/relationships/footer" Target="footer19.xml"/><Relationship Id="rId68" Type="http://schemas.openxmlformats.org/officeDocument/2006/relationships/header" Target="header22.xml"/><Relationship Id="rId76" Type="http://schemas.openxmlformats.org/officeDocument/2006/relationships/header" Target="header25.xml"/><Relationship Id="rId7" Type="http://schemas.openxmlformats.org/officeDocument/2006/relationships/endnotes" Target="endnotes.xml"/><Relationship Id="rId71" Type="http://schemas.openxmlformats.org/officeDocument/2006/relationships/header" Target="header23.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8.png"/><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9.xml"/><Relationship Id="rId37" Type="http://schemas.openxmlformats.org/officeDocument/2006/relationships/footer" Target="footer10.xml"/><Relationship Id="rId40" Type="http://schemas.openxmlformats.org/officeDocument/2006/relationships/image" Target="media/image9.emf"/><Relationship Id="rId45" Type="http://schemas.openxmlformats.org/officeDocument/2006/relationships/header" Target="header14.xml"/><Relationship Id="rId53" Type="http://schemas.openxmlformats.org/officeDocument/2006/relationships/image" Target="media/image14.emf"/><Relationship Id="rId58" Type="http://schemas.openxmlformats.org/officeDocument/2006/relationships/footer" Target="footer17.xml"/><Relationship Id="rId66" Type="http://schemas.openxmlformats.org/officeDocument/2006/relationships/header" Target="header21.xml"/><Relationship Id="rId74" Type="http://schemas.openxmlformats.org/officeDocument/2006/relationships/footer" Target="footer24.xml"/><Relationship Id="rId79" Type="http://schemas.openxmlformats.org/officeDocument/2006/relationships/footer" Target="footer26.xml"/><Relationship Id="rId5" Type="http://schemas.openxmlformats.org/officeDocument/2006/relationships/webSettings" Target="webSettings.xml"/><Relationship Id="rId61" Type="http://schemas.openxmlformats.org/officeDocument/2006/relationships/footer" Target="foot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4" Type="http://schemas.openxmlformats.org/officeDocument/2006/relationships/footer" Target="footer13.xml"/><Relationship Id="rId52" Type="http://schemas.openxmlformats.org/officeDocument/2006/relationships/image" Target="media/image13.emf"/><Relationship Id="rId60" Type="http://schemas.openxmlformats.org/officeDocument/2006/relationships/header" Target="header18.xml"/><Relationship Id="rId65" Type="http://schemas.openxmlformats.org/officeDocument/2006/relationships/footer" Target="footer20.xml"/><Relationship Id="rId73" Type="http://schemas.openxmlformats.org/officeDocument/2006/relationships/header" Target="header24.xml"/><Relationship Id="rId78" Type="http://schemas.openxmlformats.org/officeDocument/2006/relationships/header" Target="header26.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6.png"/><Relationship Id="rId30" Type="http://schemas.openxmlformats.org/officeDocument/2006/relationships/header" Target="header8.xml"/><Relationship Id="rId35" Type="http://schemas.openxmlformats.org/officeDocument/2006/relationships/hyperlink" Target="https://europa.eu/eurobarometer/surveys/detail/3178" TargetMode="External"/><Relationship Id="rId43" Type="http://schemas.openxmlformats.org/officeDocument/2006/relationships/header" Target="header13.xml"/><Relationship Id="rId48" Type="http://schemas.openxmlformats.org/officeDocument/2006/relationships/footer" Target="footer15.xml"/><Relationship Id="rId56" Type="http://schemas.openxmlformats.org/officeDocument/2006/relationships/footer" Target="footer16.xml"/><Relationship Id="rId64" Type="http://schemas.openxmlformats.org/officeDocument/2006/relationships/header" Target="header20.xml"/><Relationship Id="rId69" Type="http://schemas.openxmlformats.org/officeDocument/2006/relationships/footer" Target="footer22.xml"/><Relationship Id="rId77" Type="http://schemas.openxmlformats.org/officeDocument/2006/relationships/footer" Target="footer25.xml"/><Relationship Id="rId8" Type="http://schemas.openxmlformats.org/officeDocument/2006/relationships/image" Target="media/image1.emf"/><Relationship Id="rId51" Type="http://schemas.openxmlformats.org/officeDocument/2006/relationships/image" Target="media/image12.emf"/><Relationship Id="rId72" Type="http://schemas.openxmlformats.org/officeDocument/2006/relationships/footer" Target="footer23.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png"/><Relationship Id="rId33" Type="http://schemas.openxmlformats.org/officeDocument/2006/relationships/footer" Target="footer9.xml"/><Relationship Id="rId38" Type="http://schemas.openxmlformats.org/officeDocument/2006/relationships/header" Target="header11.xml"/><Relationship Id="rId46" Type="http://schemas.openxmlformats.org/officeDocument/2006/relationships/footer" Target="footer14.xml"/><Relationship Id="rId59" Type="http://schemas.openxmlformats.org/officeDocument/2006/relationships/image" Target="media/image16.emf"/><Relationship Id="rId67" Type="http://schemas.openxmlformats.org/officeDocument/2006/relationships/footer" Target="footer21.xml"/><Relationship Id="rId20" Type="http://schemas.openxmlformats.org/officeDocument/2006/relationships/footer" Target="footer6.xml"/><Relationship Id="rId41" Type="http://schemas.openxmlformats.org/officeDocument/2006/relationships/header" Target="header12.xml"/><Relationship Id="rId54" Type="http://schemas.openxmlformats.org/officeDocument/2006/relationships/image" Target="media/image15.emf"/><Relationship Id="rId62" Type="http://schemas.openxmlformats.org/officeDocument/2006/relationships/header" Target="header19.xml"/><Relationship Id="rId70" Type="http://schemas.openxmlformats.org/officeDocument/2006/relationships/image" Target="media/image17.png"/><Relationship Id="rId75" Type="http://schemas.openxmlformats.org/officeDocument/2006/relationships/hyperlink" Target="https://resrobot.s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header" Target="header10.xml"/><Relationship Id="rId49" Type="http://schemas.openxmlformats.org/officeDocument/2006/relationships/image" Target="media/image10.emf"/><Relationship Id="rId57" Type="http://schemas.openxmlformats.org/officeDocument/2006/relationships/header" Target="header17.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commission/presscorner/detail/en/ip_25_1083" TargetMode="External"/><Relationship Id="rId18" Type="http://schemas.openxmlformats.org/officeDocument/2006/relationships/hyperlink" Target="https://ec.europa.eu/transparency/documents-register/detail?ref=SWD(2023)443&amp;lang=en" TargetMode="External"/><Relationship Id="rId26" Type="http://schemas.openxmlformats.org/officeDocument/2006/relationships/hyperlink" Target="https://op.europa.eu/en/publication-detail/-/publication/9781f65f-8448-11ea-bf12-01aa75ed71a1" TargetMode="External"/><Relationship Id="rId39" Type="http://schemas.openxmlformats.org/officeDocument/2006/relationships/hyperlink" Target="https://ec.europa.eu/info/strategy/priorities-2019-2024/european-green-deal/delivering-european-green-deal_en" TargetMode="External"/><Relationship Id="rId21" Type="http://schemas.openxmlformats.org/officeDocument/2006/relationships/hyperlink" Target="https://op.europa.eu/en/publication-detail/-/publication/9781f65f-8448-11ea-bf12-01aa75ed71a1" TargetMode="External"/><Relationship Id="rId34" Type="http://schemas.openxmlformats.org/officeDocument/2006/relationships/hyperlink" Target="https://europa.eu/eurobarometer/surveys/detail/3178" TargetMode="External"/><Relationship Id="rId42" Type="http://schemas.openxmlformats.org/officeDocument/2006/relationships/hyperlink" Target="https://ec.europa.eu/transparency/documents-register/detail?ref=SWD(2021)472&amp;lang=en" TargetMode="External"/><Relationship Id="rId47" Type="http://schemas.openxmlformats.org/officeDocument/2006/relationships/hyperlink" Target="https://copert.emisia.com/" TargetMode="External"/><Relationship Id="rId50" Type="http://schemas.openxmlformats.org/officeDocument/2006/relationships/hyperlink" Target="https://www.astra-model.eu/" TargetMode="External"/><Relationship Id="rId55" Type="http://schemas.openxmlformats.org/officeDocument/2006/relationships/hyperlink" Target="https://ec.europa.eu/eurostat/web/products-datasets/-/road_pa_mov" TargetMode="External"/><Relationship Id="rId63" Type="http://schemas.openxmlformats.org/officeDocument/2006/relationships/hyperlink" Target="https://www.transport.gov.scot/publication/strategic-business-case-transport-appraisal-report-draft-appendix-c-preliminary-appraisal-summary-tables-a96-corridor-review/preliminary-appraisal-summary-table-investment-in-demand-responsive-transport-and-mobility-as-a-service/" TargetMode="External"/><Relationship Id="rId68" Type="http://schemas.openxmlformats.org/officeDocument/2006/relationships/hyperlink" Target="https://ec.europa.eu/commission/presscorner/detail/en/ip_22_6782" TargetMode="External"/><Relationship Id="rId76" Type="http://schemas.openxmlformats.org/officeDocument/2006/relationships/hyperlink" Target="https://ec.europa.eu/commission/presscorner/detail/en/ip_25_1083" TargetMode="External"/><Relationship Id="rId84" Type="http://schemas.openxmlformats.org/officeDocument/2006/relationships/hyperlink" Target="https://eur-lex.europa.eu/resource.html?uri=cellar:57a5679e-3f85-11eb-b27b-01aa75ed71a1.0001.02/DOC_2&amp;format=PDF" TargetMode="External"/><Relationship Id="rId89" Type="http://schemas.openxmlformats.org/officeDocument/2006/relationships/hyperlink" Target="https://www.bundeskartellamt.de/SharedDocs/Meldung/EN/Pressemitteilungen/2023/28_06_2023_DB_Mobilitaet.html" TargetMode="External"/><Relationship Id="rId7" Type="http://schemas.openxmlformats.org/officeDocument/2006/relationships/hyperlink" Target="https://a4e.eu/wp-content/uploads/A4E-intermediaries-study_FINAL-02.pdf" TargetMode="External"/><Relationship Id="rId71" Type="http://schemas.openxmlformats.org/officeDocument/2006/relationships/hyperlink" Target="https://commission.europa.eu/strategy-and-policy/priorities-2019-2024/european-green-deal/delivering-european-green-deal_en" TargetMode="External"/><Relationship Id="rId2" Type="http://schemas.openxmlformats.org/officeDocument/2006/relationships/hyperlink" Target="https://data.europa.eu/doi/10.2832/403804" TargetMode="External"/><Relationship Id="rId16" Type="http://schemas.openxmlformats.org/officeDocument/2006/relationships/hyperlink" Target="https://europa.eu/eurobarometer/surveys/detail/3178" TargetMode="External"/><Relationship Id="rId29" Type="http://schemas.openxmlformats.org/officeDocument/2006/relationships/hyperlink" Target="https://eur-lex.europa.eu/eli/reg/2021/1119/oj/eng" TargetMode="External"/><Relationship Id="rId11" Type="http://schemas.openxmlformats.org/officeDocument/2006/relationships/hyperlink" Target="https://eur-lex.europa.eu/eli/reg/2024/1679/oj/eng" TargetMode="External"/><Relationship Id="rId24" Type="http://schemas.openxmlformats.org/officeDocument/2006/relationships/hyperlink" Target="https://op.europa.eu/en/publication-detail/-/publication/9781f65f-8448-11ea-bf12-01aa75ed71a1" TargetMode="External"/><Relationship Id="rId32" Type="http://schemas.openxmlformats.org/officeDocument/2006/relationships/hyperlink" Target="https://ec.europa.eu/info/law/better-regulation/have-your-say/initiatives/13133-Multimodal-digital-mobility-" TargetMode="External"/><Relationship Id="rId37" Type="http://schemas.openxmlformats.org/officeDocument/2006/relationships/hyperlink" Target="https://ec.europa.eu/info/law/better-regulation/have-your-say/initiatives/13133-Multimodal-Digital-Mobility-Services/public-consultation_en" TargetMode="External"/><Relationship Id="rId40" Type="http://schemas.openxmlformats.org/officeDocument/2006/relationships/hyperlink" Target="https://ec.europa.eu/transparency/documents-register/detail?ref=SWD(2023)351&amp;lang=en" TargetMode="External"/><Relationship Id="rId45" Type="http://schemas.openxmlformats.org/officeDocument/2006/relationships/hyperlink" Target="https://www.ricardo.com/media/rcopaene/the-primes-model-2018.pdf" TargetMode="External"/><Relationship Id="rId53" Type="http://schemas.openxmlformats.org/officeDocument/2006/relationships/hyperlink" Target="https://europa.eu/eurobarometer/surveys/detail/3178" TargetMode="External"/><Relationship Id="rId58" Type="http://schemas.openxmlformats.org/officeDocument/2006/relationships/hyperlink" Target="https://www.sciencedirect.com/science/article/abs/pii/S0967070X12001692?via%3Dihub" TargetMode="External"/><Relationship Id="rId66" Type="http://schemas.openxmlformats.org/officeDocument/2006/relationships/hyperlink" Target="https://www.trt.it/en/tools/trust/" TargetMode="External"/><Relationship Id="rId74" Type="http://schemas.openxmlformats.org/officeDocument/2006/relationships/hyperlink" Target="https://eur-lex.europa.eu/eli/reg/2024/1679/oj/eng" TargetMode="External"/><Relationship Id="rId79" Type="http://schemas.openxmlformats.org/officeDocument/2006/relationships/hyperlink" Target="https://data.europa.eu/doi/10.2832/72925" TargetMode="External"/><Relationship Id="rId87" Type="http://schemas.openxmlformats.org/officeDocument/2006/relationships/hyperlink" Target="https://www.bundeskartellamt.de/SharedDocs/Meldung/DE/Pressemitteilungen/2023/28_06_2023_DB_Mobilitaet.html?nn=55030" TargetMode="External"/><Relationship Id="rId5" Type="http://schemas.openxmlformats.org/officeDocument/2006/relationships/hyperlink" Target="https://europa.eu/eurobarometer/surveys/detail/3178" TargetMode="External"/><Relationship Id="rId61" Type="http://schemas.openxmlformats.org/officeDocument/2006/relationships/hyperlink" Target="https://www.kimnet.nl/documenten/2018/06/21/substitutiemogelijkheden-van-luchtvaart-naar-spoor" TargetMode="External"/><Relationship Id="rId82" Type="http://schemas.openxmlformats.org/officeDocument/2006/relationships/hyperlink" Target="https://ec.europa.eu/eurostat/statistics-explained/index.php?title=Actual_and_usual_hours_of_work" TargetMode="External"/><Relationship Id="rId90" Type="http://schemas.openxmlformats.org/officeDocument/2006/relationships/hyperlink" Target="https://ec.europa.eu/commission/presscorner/detail/en/ip_24_201" TargetMode="External"/><Relationship Id="rId19" Type="http://schemas.openxmlformats.org/officeDocument/2006/relationships/hyperlink" Target="https://ec.europa.eu/transparency/documents-register/detail?ref=SWD(2021)472&amp;lang=en" TargetMode="External"/><Relationship Id="rId14" Type="http://schemas.openxmlformats.org/officeDocument/2006/relationships/hyperlink" Target="https://knowledge4policy.ec.europa.eu/foresight/tool/megatrends-hub_en" TargetMode="External"/><Relationship Id="rId22" Type="http://schemas.openxmlformats.org/officeDocument/2006/relationships/hyperlink" Target="https://op.europa.eu/en/publication-detail/-/publication/9781f65f-8448-11ea-bf12-01aa75ed71a1" TargetMode="External"/><Relationship Id="rId27" Type="http://schemas.openxmlformats.org/officeDocument/2006/relationships/hyperlink" Target="https://op.europa.eu/en/publication-detail/-/publication/9781f65f-8448-11ea-bf12-01aa75ed71a1" TargetMode="External"/><Relationship Id="rId30" Type="http://schemas.openxmlformats.org/officeDocument/2006/relationships/hyperlink" Target="https://ec.europa.eu/info/law/better-regulation/have-your-say/initiatives/12507-Air-travel-computerised-reservation-systems-updated-rules-_en" TargetMode="External"/><Relationship Id="rId35" Type="http://schemas.openxmlformats.org/officeDocument/2006/relationships/hyperlink" Target="https://transport.ec.europa.eu/news-events/news/multimodal-passenger-mobility-forum-final-report-2023-02-02_en" TargetMode="External"/><Relationship Id="rId43" Type="http://schemas.openxmlformats.org/officeDocument/2006/relationships/hyperlink" Target="https://ec.europa.eu/transparency/documents-register/detail?ref=SWD(2021)474&amp;lang=en" TargetMode="External"/><Relationship Id="rId48" Type="http://schemas.openxmlformats.org/officeDocument/2006/relationships/hyperlink" Target="https://transport.ec.europa.eu/facts-funding/studies-data/eu-transport-figures-statistical-pocketbook/statistical-pocketbook-2025_en" TargetMode="External"/><Relationship Id="rId56" Type="http://schemas.openxmlformats.org/officeDocument/2006/relationships/hyperlink" Target="https://ec.europa.eu/eurostat/databrowser/view/tran_hv_psmod/default/table?lang=en" TargetMode="External"/><Relationship Id="rId64" Type="http://schemas.openxmlformats.org/officeDocument/2006/relationships/hyperlink" Target="https://www.itf-oecd.org/sites/default/files/docs/integrating-public-transport-maas.pdf" TargetMode="External"/><Relationship Id="rId69" Type="http://schemas.openxmlformats.org/officeDocument/2006/relationships/hyperlink" Target="https://economy-finance.ec.europa.eu/publications/2021-ageing-report-underlying-assumptions-and-projection-methodologies_en" TargetMode="External"/><Relationship Id="rId77" Type="http://schemas.openxmlformats.org/officeDocument/2006/relationships/hyperlink" Target="https://knowledge4policy.ec.europa.eu/foresight/tool/megatrends-hub_en" TargetMode="External"/><Relationship Id="rId8" Type="http://schemas.openxmlformats.org/officeDocument/2006/relationships/hyperlink" Target="https://commission.europa.eu/strategy-and-policy/priorities-2019-2024/european-green-deal/delivering-european-green-deal_en" TargetMode="External"/><Relationship Id="rId51" Type="http://schemas.openxmlformats.org/officeDocument/2006/relationships/hyperlink" Target="https://op.europa.eu/en/publication-detail/-/publication/9781f65f-8448-11ea-bf12-01aa75ed71a1" TargetMode="External"/><Relationship Id="rId72" Type="http://schemas.openxmlformats.org/officeDocument/2006/relationships/hyperlink" Target="https://eur-lex.europa.eu/eli/reg/2024/1610/oj" TargetMode="External"/><Relationship Id="rId80" Type="http://schemas.openxmlformats.org/officeDocument/2006/relationships/hyperlink" Target="https://www.businesstravelnewseurope.com/Europes-leading-TMCs/2025/Europe-rankings" TargetMode="External"/><Relationship Id="rId85" Type="http://schemas.openxmlformats.org/officeDocument/2006/relationships/hyperlink" Target="https://transport.ec.europa.eu/transport-modes/rail/market/rail-market-monitoring-rmms_en" TargetMode="External"/><Relationship Id="rId3" Type="http://schemas.openxmlformats.org/officeDocument/2006/relationships/hyperlink" Target="https://dutchmobilityinnovations.com/attachment?file=7qczeMbWTcRrUzL2ExA8ug%3D%3D" TargetMode="External"/><Relationship Id="rId12" Type="http://schemas.openxmlformats.org/officeDocument/2006/relationships/hyperlink" Target="https://transport.ec.europa.eu/news-events/news/green-deal-greening-freight-more-economic-gain-less-environmental-impact-2023-07-11_en" TargetMode="External"/><Relationship Id="rId17" Type="http://schemas.openxmlformats.org/officeDocument/2006/relationships/hyperlink" Target="https://ec.europa.eu/transparency/documents-register/detail?ref=SWD(2023)351&amp;lang=en" TargetMode="External"/><Relationship Id="rId25" Type="http://schemas.openxmlformats.org/officeDocument/2006/relationships/hyperlink" Target="https://europa.eu/eurobarometer/surveys/detail/3178" TargetMode="External"/><Relationship Id="rId33" Type="http://schemas.openxmlformats.org/officeDocument/2006/relationships/hyperlink" Target="https://ec.europa.eu/info/law/better-regulation/have-your-say/initiatives/13133-Multimodal-digital-mobility-services_en" TargetMode="External"/><Relationship Id="rId38" Type="http://schemas.openxmlformats.org/officeDocument/2006/relationships/hyperlink" Target="https://eur-lex.europa.eu/legal-content/EN/TXT/?uri=COM%3A2024%3A63%3AFIN" TargetMode="External"/><Relationship Id="rId46" Type="http://schemas.openxmlformats.org/officeDocument/2006/relationships/hyperlink" Target="https://www.tmleuven.be/en/navigation/TREMOVE" TargetMode="External"/><Relationship Id="rId59" Type="http://schemas.openxmlformats.org/officeDocument/2006/relationships/hyperlink" Target="https://cedelft.eu/wp-content/uploads/sites/2/2021/03/CE_Delft_4S52_Modal_choice_criteria_in_rail-transport_Def.pdf" TargetMode="External"/><Relationship Id="rId67" Type="http://schemas.openxmlformats.org/officeDocument/2006/relationships/hyperlink" Target="https://op.europa.eu/en/publication-detail/-/publication/9781f65f-8448-11ea-bf12-01aa75ed71a1" TargetMode="External"/><Relationship Id="rId20" Type="http://schemas.openxmlformats.org/officeDocument/2006/relationships/hyperlink" Target="https://ec.europa.eu/transparency/documents-register/detail?ref=SWD(2021)474&amp;lang=en" TargetMode="External"/><Relationship Id="rId41" Type="http://schemas.openxmlformats.org/officeDocument/2006/relationships/hyperlink" Target="https://ec.europa.eu/transparency/documents-register/detail?ref=SWD(2023)443&amp;lang=en" TargetMode="External"/><Relationship Id="rId54" Type="http://schemas.openxmlformats.org/officeDocument/2006/relationships/hyperlink" Target="https://ourairports.com/data/" TargetMode="External"/><Relationship Id="rId62" Type="http://schemas.openxmlformats.org/officeDocument/2006/relationships/hyperlink" Target="https://transweb.sjsu.edu/sites/default/files/1223-modal-shift-high-speed-rail-literature-review.pdf" TargetMode="External"/><Relationship Id="rId70" Type="http://schemas.openxmlformats.org/officeDocument/2006/relationships/hyperlink" Target="https://economy-finance.ec.europa.eu/document/download/971dd209-41c2-425d-94f8-e3c3c3459af9_en?filename=ip279_en.pdf" TargetMode="External"/><Relationship Id="rId75" Type="http://schemas.openxmlformats.org/officeDocument/2006/relationships/hyperlink" Target="https://transport.ec.europa.eu/news-events/news/green-deal-greening-freight-more-economic-gain-less-environmental-impact-2023-07-11_en" TargetMode="External"/><Relationship Id="rId83" Type="http://schemas.openxmlformats.org/officeDocument/2006/relationships/hyperlink" Target="https://transport.ec.europa.eu/transport-modes/rail/market/rail-market-monitoring-rmms_en" TargetMode="External"/><Relationship Id="rId88" Type="http://schemas.openxmlformats.org/officeDocument/2006/relationships/hyperlink" Target="https://www.bundeskartellamt.de/SharedDocs/Meldung/EN/Pressemitteilungen/2024/15_08_2024_Deutsche_Bahn.html" TargetMode="External"/><Relationship Id="rId91" Type="http://schemas.openxmlformats.org/officeDocument/2006/relationships/hyperlink" Target="https://transport.ec.europa.eu/news-events/news/rail-market-opening-competition-leads-lower-ticket-prices-eu-study-finds-2024-09-23_en" TargetMode="External"/><Relationship Id="rId1" Type="http://schemas.openxmlformats.org/officeDocument/2006/relationships/hyperlink" Target="https://europa.eu/eurobarometer/surveys/detail/3178" TargetMode="External"/><Relationship Id="rId6" Type="http://schemas.openxmlformats.org/officeDocument/2006/relationships/hyperlink" Target="https://www.transportenvironment.org/articles/heres-what-europeans-from-7-countries-think-of-rail-booking-processes" TargetMode="External"/><Relationship Id="rId15" Type="http://schemas.openxmlformats.org/officeDocument/2006/relationships/hyperlink" Target="https://economy-finance.ec.europa.eu/publications/2024-ageing-report-economic-and-budgetary-projections-eu-member-states-2022-2070_en" TargetMode="External"/><Relationship Id="rId23" Type="http://schemas.openxmlformats.org/officeDocument/2006/relationships/hyperlink" Target="https://op.europa.eu/en/publication-detail/-/publication/9781f65f-8448-11ea-bf12-01aa75ed71a1" TargetMode="External"/><Relationship Id="rId28" Type="http://schemas.openxmlformats.org/officeDocument/2006/relationships/hyperlink" Target="https://op.europa.eu/en/publication-detail/-/publication/9781f65f-8448-11ea-bf12-01aa75ed71a1" TargetMode="External"/><Relationship Id="rId36" Type="http://schemas.openxmlformats.org/officeDocument/2006/relationships/hyperlink" Target="https://ec.europa.eu/info/law/better-regulation/have-your-say/initiatives/13133-Multimodal-Digital-Mobility-Services/public-consultation_en" TargetMode="External"/><Relationship Id="rId49" Type="http://schemas.openxmlformats.org/officeDocument/2006/relationships/hyperlink" Target="https://alternative-fuels-observatory.ec.europa.eu/" TargetMode="External"/><Relationship Id="rId57" Type="http://schemas.openxmlformats.org/officeDocument/2006/relationships/hyperlink" Target="https://europa.eu/eurobarometer/surveys/detail/3178" TargetMode="External"/><Relationship Id="rId10" Type="http://schemas.openxmlformats.org/officeDocument/2006/relationships/hyperlink" Target="https://eur-lex.europa.eu/eli/reg/2024/1257/oj/eng" TargetMode="External"/><Relationship Id="rId31" Type="http://schemas.openxmlformats.org/officeDocument/2006/relationships/hyperlink" Target="https://ec.europa.eu/info/law/better-regulation/have-your-say/initiatives/12507-Air-travel-computerised-reservation-systems-updated-rules-_en" TargetMode="External"/><Relationship Id="rId44" Type="http://schemas.openxmlformats.org/officeDocument/2006/relationships/hyperlink" Target="https://europa.eu/eurobarometer/surveys/detail/3178" TargetMode="External"/><Relationship Id="rId52" Type="http://schemas.openxmlformats.org/officeDocument/2006/relationships/hyperlink" Target="https://transport.ec.europa.eu/facts-funding/studies-data/eu-transport-figures-statistical-pocketbook/statistical-pocketbook-2025_en" TargetMode="External"/><Relationship Id="rId60" Type="http://schemas.openxmlformats.org/officeDocument/2006/relationships/hyperlink" Target="https://cedelft.eu/wp-content/uploads/sites/2/2021/03/CE_Delft_4S52_Modal_choice_criteria_in_rail-transport_Def.pdf" TargetMode="External"/><Relationship Id="rId65" Type="http://schemas.openxmlformats.org/officeDocument/2006/relationships/hyperlink" Target="https://trn-13455-s3.s3.eu-west-2.amazonaws.com/media/4917/6165/4502/Conclusions_CRA_Incrementality_through_mobility_platforms_in_Spain_1.pdf?usp=sharing" TargetMode="External"/><Relationship Id="rId73" Type="http://schemas.openxmlformats.org/officeDocument/2006/relationships/hyperlink" Target="https://eur-lex.europa.eu/eli/reg/2024/1257/oj/eng" TargetMode="External"/><Relationship Id="rId78" Type="http://schemas.openxmlformats.org/officeDocument/2006/relationships/hyperlink" Target="https://economy-finance.ec.europa.eu/publications/2024-ageing-report-economic-and-budgetary-projections-eu-member-states-2022-2070_en" TargetMode="External"/><Relationship Id="rId81" Type="http://schemas.openxmlformats.org/officeDocument/2006/relationships/hyperlink" Target="https://a4e.eu/wp-content/uploads/A4E-intermediaries-study_FINAL-02.pdf" TargetMode="External"/><Relationship Id="rId86" Type="http://schemas.openxmlformats.org/officeDocument/2006/relationships/hyperlink" Target="https://transport.ec.europa.eu/document/download/a1f0573a-13a3-4157-b569-bdc40a0f7f72_en?filename=crs_impact_assessment.pdf" TargetMode="External"/><Relationship Id="rId4" Type="http://schemas.openxmlformats.org/officeDocument/2006/relationships/hyperlink" Target="https://samtrafiken.se/services/" TargetMode="External"/><Relationship Id="rId9" Type="http://schemas.openxmlformats.org/officeDocument/2006/relationships/hyperlink" Target="https://eur-lex.europa.eu/eli/reg/2024/16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Eur23</b:Tag>
    <b:SourceType>Report</b:SourceType>
    <b:Guid>{C57D0628-C819-42EC-B060-0EFF9C59BAA3}</b:Guid>
    <b:Author>
      <b:Author>
        <b:Corporate>European Commission</b:Corporate>
      </b:Author>
    </b:Author>
    <b:Title>Multimodal Passenger Mobility Forum: Report from the Expert Group</b:Title>
    <b:Year>2023</b:Year>
    <b:RefOrder>3</b:RefOrder>
  </b:Source>
  <b:Source>
    <b:Tag>New23</b:Tag>
    <b:SourceType>InternetSite</b:SourceType>
    <b:Guid>{2E85460E-B89E-4FDA-80D4-5CA01E2D5D2B}</b:Guid>
    <b:Author>
      <b:Author>
        <b:NameList>
          <b:Person>
            <b:Last>Newton</b:Last>
            <b:First>Matthew</b:First>
          </b:Person>
        </b:NameList>
      </b:Author>
    </b:Author>
    <b:Title>Op Ed: Matthew Newton On Removing Algorithmic Bias In Pursuit Of Equitable Travel</b:Title>
    <b:Year>2023</b:Year>
    <b:Month>April</b:Month>
    <b:Day>3</b:Day>
    <b:URL>https://www.thecompanydime.com/op-ed-matthew-newton-artificial-intelligence-alghorithmic-bias/</b:URL>
    <b:RefOrder>4</b:RefOrder>
  </b:Source>
  <b:Source>
    <b:Tag>Luc24</b:Tag>
    <b:SourceType>Report</b:SourceType>
    <b:Guid>{4BDF599D-5B1D-44BE-949D-F88CE3378CFE}</b:Guid>
    <b:Author>
      <b:Author>
        <b:NameList>
          <b:Person>
            <b:Last>Deruyck</b:Last>
            <b:First>Luca</b:First>
            <b:Middle>Anna</b:Middle>
          </b:Person>
        </b:NameList>
      </b:Author>
    </b:Author>
    <b:Title>The MDMS Regulation: is the EU missing the train to a multimodal Europe?</b:Title>
    <b:Year>2024</b:Year>
    <b:RefOrder>5</b:RefOrder>
  </b:Source>
  <b:Source>
    <b:Tag>que24</b:Tag>
    <b:SourceType>Book</b:SourceType>
    <b:Guid>{0A7D408B-87FE-4F45-911B-FA9AAC0C2B46}</b:Guid>
    <b:Author>
      <b:Author>
        <b:Corporate>quechoisir.org</b:Corporate>
      </b:Author>
    </b:Author>
    <b:Title>TRANSPORT FERROVIAIRE L’information tarifaire et les droits des consommateurs déraillent</b:Title>
    <b:Year>2024</b:Year>
    <b:RefOrder>6</b:RefOrder>
  </b:Source>
  <b:Source>
    <b:Tag>Syn24</b:Tag>
    <b:SourceType>Report</b:SourceType>
    <b:Guid>{AD297034-E113-42C2-8AE3-25C61AA3C326}</b:Guid>
    <b:Author>
      <b:Author>
        <b:Corporate>Syntesia Policy &amp; Economics</b:Corporate>
      </b:Author>
    </b:Author>
    <b:Title>Study on the impact of online intermediaries on consumers and carriers</b:Title>
    <b:Year>2024</b:Year>
    <b:RefOrder>7</b:RefOrder>
  </b:Source>
  <b:Source>
    <b:Tag>Jon24</b:Tag>
    <b:SourceType>Report</b:SourceType>
    <b:Guid>{6F8CC755-A4D6-4E4B-9A1F-E12BB30FA2B0}</b:Guid>
    <b:Author>
      <b:Author>
        <b:NameList>
          <b:Person>
            <b:Last>Worth</b:Last>
            <b:First>Jon</b:First>
          </b:Person>
        </b:NameList>
      </b:Author>
    </b:Author>
    <b:Title>Simplifying European Ticketing: A Chance for a Green Transformation of Public and Multimodal Transport in the European Union</b:Title>
    <b:Year>2024</b:Year>
    <b:RefOrder>8</b:RefOrder>
  </b:Source>
  <b:Source>
    <b:Tag>Mon23</b:Tag>
    <b:SourceType>Report</b:SourceType>
    <b:Guid>{40C1810A-5A07-4E96-A918-045D96E3D221}</b:Guid>
    <b:Title>European Transport Regulation Oberver: Aviation and Multimodal Services in the EU</b:Title>
    <b:Year>2023</b:Year>
    <b:Author>
      <b:Author>
        <b:NameList>
          <b:Person>
            <b:Last>Montero</b:Last>
            <b:First>Juan</b:First>
          </b:Person>
          <b:Person>
            <b:Last>Finger</b:Last>
            <b:First>Matthias</b:First>
          </b:Person>
          <b:Person>
            <b:Last>de Abreu Duarte</b:Last>
            <b:Middle>Miguel</b:Middle>
            <b:First>Francisco</b:First>
          </b:Person>
        </b:NameList>
      </b:Author>
    </b:Author>
    <b:RefOrder>9</b:RefOrder>
  </b:Source>
  <b:Source>
    <b:Tag>BEU24</b:Tag>
    <b:SourceType>Book</b:SourceType>
    <b:Guid>{462B2347-1DA5-4F27-BC42-9C80C453DD28}</b:Guid>
    <b:Author>
      <b:Author>
        <b:Corporate>BEUC</b:Corporate>
      </b:Author>
    </b:Author>
    <b:Title>TICKET TO RIDE  BEUC's recommendations for a successful “Single Digital Booking and Ticketing Regulation” and the better protection of rail passenger rights</b:Title>
    <b:Year>2024</b:Year>
    <b:RefOrder>10</b:RefOrder>
  </b:Source>
  <b:Source>
    <b:Tag>Swe22</b:Tag>
    <b:SourceType>Report</b:SourceType>
    <b:Guid>{EBD419EB-DF42-47A1-833C-E6BDD4E3C3B1}</b:Guid>
    <b:Title>The regulation of platform business practices under general competition law and in related legal systems  – a Swedish perspective</b:Title>
    <b:Year>2022</b:Year>
    <b:Author>
      <b:Author>
        <b:Corporate>Swedish Competition Authority</b:Corporate>
      </b:Author>
    </b:Author>
    <b:RefOrder>11</b:RefOrder>
  </b:Source>
  <b:Source>
    <b:Tag>Sas24</b:Tag>
    <b:SourceType>ArticleInAPeriodical</b:SourceType>
    <b:Guid>{B7F1AED5-7027-4323-A133-3A0419279EF3}</b:Guid>
    <b:Title>What do train operator Flix’s expansion plans mean for Germany's railway system?</b:Title>
    <b:Year>2024</b:Year>
    <b:Author>
      <b:Author>
        <b:NameList>
          <b:Person>
            <b:Last>O'Donoghue</b:Last>
            <b:First>Saskia</b:First>
          </b:Person>
        </b:NameList>
      </b:Author>
    </b:Author>
    <b:PeriodicalTitle>Euro News</b:PeriodicalTitle>
    <b:Month>October</b:Month>
    <b:Day>8</b:Day>
    <b:RefOrder>12</b:RefOrder>
  </b:Source>
  <b:Source>
    <b:Tag>A4E24</b:Tag>
    <b:SourceType>Report</b:SourceType>
    <b:Guid>{BF1E2ACF-DC5B-48AE-AE53-78685965D868}</b:Guid>
    <b:Title>Study on the impact of online intermediaries on consumers and carriers </b:Title>
    <b:Year>2024</b:Year>
    <b:Publisher>Syntesia</b:Publisher>
    <b:Author>
      <b:Author>
        <b:Corporate>A4E</b:Corporate>
      </b:Author>
    </b:Author>
    <b:RefOrder>13</b:RefOrder>
  </b:Source>
  <b:Source>
    <b:Tag>Euro24</b:Tag>
    <b:SourceType>InternetSite</b:SourceType>
    <b:Guid>{B15A26DF-A41C-48E7-9A06-34E55C8D7DAA}</b:Guid>
    <b:Author>
      <b:Author>
        <b:Corporate>Eurostat</b:Corporate>
      </b:Author>
    </b:Author>
    <b:Title>Actual and usual hours of work</b:Title>
    <b:InternetSiteTitle>Statistics Explained</b:InternetSiteTitle>
    <b:Year>2024</b:Year>
    <b:URL> https://ec.europa.eu/eurostat/statistics-explained/index.php?oldid=473885</b:URL>
    <b:RefOrder>14</b:RefOrder>
  </b:Source>
  <b:Source>
    <b:Tag>Fum15</b:Tag>
    <b:SourceType>JournalArticle</b:SourceType>
    <b:Guid>{7F3F0BE9-6F73-4B72-9C67-ACA8FEB6DEDA}</b:Guid>
    <b:Title>Comparing the Costs of Vertical Separation, Integration, and Intermediate Organisational Structures in European and East Asian Railways</b:Title>
    <b:Year>2015</b:Year>
    <b:Author>
      <b:Author>
        <b:NameList>
          <b:Person>
            <b:Last>Mizutani</b:Last>
            <b:First>F,</b:First>
            <b:Middle>Smith, ASJ, Nash, CA et al.</b:Middle>
          </b:Person>
        </b:NameList>
      </b:Author>
    </b:Author>
    <b:JournalName>Journal of Transport Economics and Policy,</b:JournalName>
    <b:Volume>49</b:Volume>
    <b:Issue>3</b:Issue>
    <b:RefOrder>2</b:RefOrder>
  </b:Source>
  <b:Source>
    <b:Tag>Eur14</b:Tag>
    <b:SourceType>InternetSite</b:SourceType>
    <b:Guid>{9A943E3E-F910-4F49-BA97-668365F73C0A}</b:Guid>
    <b:Author>
      <b:Author>
        <b:Corporate>ERADIS</b:Corporate>
      </b:Author>
    </b:Author>
    <b:Title>Report from ERADIS Databse</b:Title>
    <b:Year>2014</b:Year>
    <b:YearAccessed>2025</b:YearAccessed>
    <b:MonthAccessed>June</b:MonthAccessed>
    <b:DayAccessed>30</b:DayAccessed>
    <b:URL>https://eradis.era.europa.eu/safety_docs/licences/statistics_rp.aspx</b:URL>
    <b:RefOrder>1</b:RefOrder>
  </b:Source>
</b:Sources>
</file>

<file path=customXml/itemProps1.xml><?xml version="1.0" encoding="utf-8"?>
<ds:datastoreItem xmlns:ds="http://schemas.openxmlformats.org/officeDocument/2006/customXml" ds:itemID="{703FC586-45A1-4BA4-A571-A258C9F91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118055</Words>
  <Characters>672916</Characters>
  <Application>Microsoft Office Word</Application>
  <DocSecurity>0</DocSecurity>
  <Lines>5607</Lines>
  <Paragraphs>1578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789393</CharactersWithSpaces>
  <SharedDoc>false</SharedDoc>
  <HLinks>
    <vt:vector size="870" baseType="variant">
      <vt:variant>
        <vt:i4>4980746</vt:i4>
      </vt:variant>
      <vt:variant>
        <vt:i4>882</vt:i4>
      </vt:variant>
      <vt:variant>
        <vt:i4>0</vt:i4>
      </vt:variant>
      <vt:variant>
        <vt:i4>5</vt:i4>
      </vt:variant>
      <vt:variant>
        <vt:lpwstr>https://resrobot.se/</vt:lpwstr>
      </vt:variant>
      <vt:variant>
        <vt:lpwstr/>
      </vt:variant>
      <vt:variant>
        <vt:i4>2228320</vt:i4>
      </vt:variant>
      <vt:variant>
        <vt:i4>537</vt:i4>
      </vt:variant>
      <vt:variant>
        <vt:i4>0</vt:i4>
      </vt:variant>
      <vt:variant>
        <vt:i4>5</vt:i4>
      </vt:variant>
      <vt:variant>
        <vt:lpwstr>https://europa.eu/eurobarometer/surveys/detail/3178</vt:lpwstr>
      </vt:variant>
      <vt:variant>
        <vt:lpwstr/>
      </vt:variant>
      <vt:variant>
        <vt:i4>2228320</vt:i4>
      </vt:variant>
      <vt:variant>
        <vt:i4>519</vt:i4>
      </vt:variant>
      <vt:variant>
        <vt:i4>0</vt:i4>
      </vt:variant>
      <vt:variant>
        <vt:i4>5</vt:i4>
      </vt:variant>
      <vt:variant>
        <vt:lpwstr>https://europa.eu/eurobarometer/surveys/detail/3178</vt:lpwstr>
      </vt:variant>
      <vt:variant>
        <vt:lpwstr/>
      </vt:variant>
      <vt:variant>
        <vt:i4>2293841</vt:i4>
      </vt:variant>
      <vt:variant>
        <vt:i4>336</vt:i4>
      </vt:variant>
      <vt:variant>
        <vt:i4>0</vt:i4>
      </vt:variant>
      <vt:variant>
        <vt:i4>5</vt:i4>
      </vt:variant>
      <vt:variant>
        <vt:lpwstr/>
      </vt:variant>
      <vt:variant>
        <vt:lpwstr>_bookmark18</vt:lpwstr>
      </vt:variant>
      <vt:variant>
        <vt:i4>1310783</vt:i4>
      </vt:variant>
      <vt:variant>
        <vt:i4>296</vt:i4>
      </vt:variant>
      <vt:variant>
        <vt:i4>0</vt:i4>
      </vt:variant>
      <vt:variant>
        <vt:i4>5</vt:i4>
      </vt:variant>
      <vt:variant>
        <vt:lpwstr/>
      </vt:variant>
      <vt:variant>
        <vt:lpwstr>_Toc223981695</vt:lpwstr>
      </vt:variant>
      <vt:variant>
        <vt:i4>1310783</vt:i4>
      </vt:variant>
      <vt:variant>
        <vt:i4>290</vt:i4>
      </vt:variant>
      <vt:variant>
        <vt:i4>0</vt:i4>
      </vt:variant>
      <vt:variant>
        <vt:i4>5</vt:i4>
      </vt:variant>
      <vt:variant>
        <vt:lpwstr/>
      </vt:variant>
      <vt:variant>
        <vt:lpwstr>_Toc223981694</vt:lpwstr>
      </vt:variant>
      <vt:variant>
        <vt:i4>1310783</vt:i4>
      </vt:variant>
      <vt:variant>
        <vt:i4>284</vt:i4>
      </vt:variant>
      <vt:variant>
        <vt:i4>0</vt:i4>
      </vt:variant>
      <vt:variant>
        <vt:i4>5</vt:i4>
      </vt:variant>
      <vt:variant>
        <vt:lpwstr/>
      </vt:variant>
      <vt:variant>
        <vt:lpwstr>_Toc223981693</vt:lpwstr>
      </vt:variant>
      <vt:variant>
        <vt:i4>1310783</vt:i4>
      </vt:variant>
      <vt:variant>
        <vt:i4>278</vt:i4>
      </vt:variant>
      <vt:variant>
        <vt:i4>0</vt:i4>
      </vt:variant>
      <vt:variant>
        <vt:i4>5</vt:i4>
      </vt:variant>
      <vt:variant>
        <vt:lpwstr/>
      </vt:variant>
      <vt:variant>
        <vt:lpwstr>_Toc223981692</vt:lpwstr>
      </vt:variant>
      <vt:variant>
        <vt:i4>1310783</vt:i4>
      </vt:variant>
      <vt:variant>
        <vt:i4>272</vt:i4>
      </vt:variant>
      <vt:variant>
        <vt:i4>0</vt:i4>
      </vt:variant>
      <vt:variant>
        <vt:i4>5</vt:i4>
      </vt:variant>
      <vt:variant>
        <vt:lpwstr/>
      </vt:variant>
      <vt:variant>
        <vt:lpwstr>_Toc223981691</vt:lpwstr>
      </vt:variant>
      <vt:variant>
        <vt:i4>1310783</vt:i4>
      </vt:variant>
      <vt:variant>
        <vt:i4>266</vt:i4>
      </vt:variant>
      <vt:variant>
        <vt:i4>0</vt:i4>
      </vt:variant>
      <vt:variant>
        <vt:i4>5</vt:i4>
      </vt:variant>
      <vt:variant>
        <vt:lpwstr/>
      </vt:variant>
      <vt:variant>
        <vt:lpwstr>_Toc223981690</vt:lpwstr>
      </vt:variant>
      <vt:variant>
        <vt:i4>1376319</vt:i4>
      </vt:variant>
      <vt:variant>
        <vt:i4>260</vt:i4>
      </vt:variant>
      <vt:variant>
        <vt:i4>0</vt:i4>
      </vt:variant>
      <vt:variant>
        <vt:i4>5</vt:i4>
      </vt:variant>
      <vt:variant>
        <vt:lpwstr/>
      </vt:variant>
      <vt:variant>
        <vt:lpwstr>_Toc223981689</vt:lpwstr>
      </vt:variant>
      <vt:variant>
        <vt:i4>1376319</vt:i4>
      </vt:variant>
      <vt:variant>
        <vt:i4>254</vt:i4>
      </vt:variant>
      <vt:variant>
        <vt:i4>0</vt:i4>
      </vt:variant>
      <vt:variant>
        <vt:i4>5</vt:i4>
      </vt:variant>
      <vt:variant>
        <vt:lpwstr/>
      </vt:variant>
      <vt:variant>
        <vt:lpwstr>_Toc223981688</vt:lpwstr>
      </vt:variant>
      <vt:variant>
        <vt:i4>1376319</vt:i4>
      </vt:variant>
      <vt:variant>
        <vt:i4>248</vt:i4>
      </vt:variant>
      <vt:variant>
        <vt:i4>0</vt:i4>
      </vt:variant>
      <vt:variant>
        <vt:i4>5</vt:i4>
      </vt:variant>
      <vt:variant>
        <vt:lpwstr/>
      </vt:variant>
      <vt:variant>
        <vt:lpwstr>_Toc223981687</vt:lpwstr>
      </vt:variant>
      <vt:variant>
        <vt:i4>1900601</vt:i4>
      </vt:variant>
      <vt:variant>
        <vt:i4>242</vt:i4>
      </vt:variant>
      <vt:variant>
        <vt:i4>0</vt:i4>
      </vt:variant>
      <vt:variant>
        <vt:i4>5</vt:i4>
      </vt:variant>
      <vt:variant>
        <vt:lpwstr/>
      </vt:variant>
      <vt:variant>
        <vt:lpwstr>_Toc223980010</vt:lpwstr>
      </vt:variant>
      <vt:variant>
        <vt:i4>1835065</vt:i4>
      </vt:variant>
      <vt:variant>
        <vt:i4>236</vt:i4>
      </vt:variant>
      <vt:variant>
        <vt:i4>0</vt:i4>
      </vt:variant>
      <vt:variant>
        <vt:i4>5</vt:i4>
      </vt:variant>
      <vt:variant>
        <vt:lpwstr/>
      </vt:variant>
      <vt:variant>
        <vt:lpwstr>_Toc223980006</vt:lpwstr>
      </vt:variant>
      <vt:variant>
        <vt:i4>1835065</vt:i4>
      </vt:variant>
      <vt:variant>
        <vt:i4>230</vt:i4>
      </vt:variant>
      <vt:variant>
        <vt:i4>0</vt:i4>
      </vt:variant>
      <vt:variant>
        <vt:i4>5</vt:i4>
      </vt:variant>
      <vt:variant>
        <vt:lpwstr/>
      </vt:variant>
      <vt:variant>
        <vt:lpwstr>_Toc223980002</vt:lpwstr>
      </vt:variant>
      <vt:variant>
        <vt:i4>1835071</vt:i4>
      </vt:variant>
      <vt:variant>
        <vt:i4>224</vt:i4>
      </vt:variant>
      <vt:variant>
        <vt:i4>0</vt:i4>
      </vt:variant>
      <vt:variant>
        <vt:i4>5</vt:i4>
      </vt:variant>
      <vt:variant>
        <vt:lpwstr/>
      </vt:variant>
      <vt:variant>
        <vt:lpwstr>_Toc223979997</vt:lpwstr>
      </vt:variant>
      <vt:variant>
        <vt:i4>1835071</vt:i4>
      </vt:variant>
      <vt:variant>
        <vt:i4>218</vt:i4>
      </vt:variant>
      <vt:variant>
        <vt:i4>0</vt:i4>
      </vt:variant>
      <vt:variant>
        <vt:i4>5</vt:i4>
      </vt:variant>
      <vt:variant>
        <vt:lpwstr/>
      </vt:variant>
      <vt:variant>
        <vt:lpwstr>_Toc223979996</vt:lpwstr>
      </vt:variant>
      <vt:variant>
        <vt:i4>1835071</vt:i4>
      </vt:variant>
      <vt:variant>
        <vt:i4>212</vt:i4>
      </vt:variant>
      <vt:variant>
        <vt:i4>0</vt:i4>
      </vt:variant>
      <vt:variant>
        <vt:i4>5</vt:i4>
      </vt:variant>
      <vt:variant>
        <vt:lpwstr/>
      </vt:variant>
      <vt:variant>
        <vt:lpwstr>_Toc223979995</vt:lpwstr>
      </vt:variant>
      <vt:variant>
        <vt:i4>1835071</vt:i4>
      </vt:variant>
      <vt:variant>
        <vt:i4>206</vt:i4>
      </vt:variant>
      <vt:variant>
        <vt:i4>0</vt:i4>
      </vt:variant>
      <vt:variant>
        <vt:i4>5</vt:i4>
      </vt:variant>
      <vt:variant>
        <vt:lpwstr/>
      </vt:variant>
      <vt:variant>
        <vt:lpwstr>_Toc223979994</vt:lpwstr>
      </vt:variant>
      <vt:variant>
        <vt:i4>1835071</vt:i4>
      </vt:variant>
      <vt:variant>
        <vt:i4>200</vt:i4>
      </vt:variant>
      <vt:variant>
        <vt:i4>0</vt:i4>
      </vt:variant>
      <vt:variant>
        <vt:i4>5</vt:i4>
      </vt:variant>
      <vt:variant>
        <vt:lpwstr/>
      </vt:variant>
      <vt:variant>
        <vt:lpwstr>_Toc223979993</vt:lpwstr>
      </vt:variant>
      <vt:variant>
        <vt:i4>1835071</vt:i4>
      </vt:variant>
      <vt:variant>
        <vt:i4>194</vt:i4>
      </vt:variant>
      <vt:variant>
        <vt:i4>0</vt:i4>
      </vt:variant>
      <vt:variant>
        <vt:i4>5</vt:i4>
      </vt:variant>
      <vt:variant>
        <vt:lpwstr/>
      </vt:variant>
      <vt:variant>
        <vt:lpwstr>_Toc223979992</vt:lpwstr>
      </vt:variant>
      <vt:variant>
        <vt:i4>1835071</vt:i4>
      </vt:variant>
      <vt:variant>
        <vt:i4>188</vt:i4>
      </vt:variant>
      <vt:variant>
        <vt:i4>0</vt:i4>
      </vt:variant>
      <vt:variant>
        <vt:i4>5</vt:i4>
      </vt:variant>
      <vt:variant>
        <vt:lpwstr/>
      </vt:variant>
      <vt:variant>
        <vt:lpwstr>_Toc223979991</vt:lpwstr>
      </vt:variant>
      <vt:variant>
        <vt:i4>1835071</vt:i4>
      </vt:variant>
      <vt:variant>
        <vt:i4>182</vt:i4>
      </vt:variant>
      <vt:variant>
        <vt:i4>0</vt:i4>
      </vt:variant>
      <vt:variant>
        <vt:i4>5</vt:i4>
      </vt:variant>
      <vt:variant>
        <vt:lpwstr/>
      </vt:variant>
      <vt:variant>
        <vt:lpwstr>_Toc223979990</vt:lpwstr>
      </vt:variant>
      <vt:variant>
        <vt:i4>1900607</vt:i4>
      </vt:variant>
      <vt:variant>
        <vt:i4>176</vt:i4>
      </vt:variant>
      <vt:variant>
        <vt:i4>0</vt:i4>
      </vt:variant>
      <vt:variant>
        <vt:i4>5</vt:i4>
      </vt:variant>
      <vt:variant>
        <vt:lpwstr/>
      </vt:variant>
      <vt:variant>
        <vt:lpwstr>_Toc223979989</vt:lpwstr>
      </vt:variant>
      <vt:variant>
        <vt:i4>1900607</vt:i4>
      </vt:variant>
      <vt:variant>
        <vt:i4>170</vt:i4>
      </vt:variant>
      <vt:variant>
        <vt:i4>0</vt:i4>
      </vt:variant>
      <vt:variant>
        <vt:i4>5</vt:i4>
      </vt:variant>
      <vt:variant>
        <vt:lpwstr/>
      </vt:variant>
      <vt:variant>
        <vt:lpwstr>_Toc223979988</vt:lpwstr>
      </vt:variant>
      <vt:variant>
        <vt:i4>1900607</vt:i4>
      </vt:variant>
      <vt:variant>
        <vt:i4>164</vt:i4>
      </vt:variant>
      <vt:variant>
        <vt:i4>0</vt:i4>
      </vt:variant>
      <vt:variant>
        <vt:i4>5</vt:i4>
      </vt:variant>
      <vt:variant>
        <vt:lpwstr/>
      </vt:variant>
      <vt:variant>
        <vt:lpwstr>_Toc223979987</vt:lpwstr>
      </vt:variant>
      <vt:variant>
        <vt:i4>1900607</vt:i4>
      </vt:variant>
      <vt:variant>
        <vt:i4>158</vt:i4>
      </vt:variant>
      <vt:variant>
        <vt:i4>0</vt:i4>
      </vt:variant>
      <vt:variant>
        <vt:i4>5</vt:i4>
      </vt:variant>
      <vt:variant>
        <vt:lpwstr/>
      </vt:variant>
      <vt:variant>
        <vt:lpwstr>_Toc223979986</vt:lpwstr>
      </vt:variant>
      <vt:variant>
        <vt:i4>1900607</vt:i4>
      </vt:variant>
      <vt:variant>
        <vt:i4>152</vt:i4>
      </vt:variant>
      <vt:variant>
        <vt:i4>0</vt:i4>
      </vt:variant>
      <vt:variant>
        <vt:i4>5</vt:i4>
      </vt:variant>
      <vt:variant>
        <vt:lpwstr/>
      </vt:variant>
      <vt:variant>
        <vt:lpwstr>_Toc223979985</vt:lpwstr>
      </vt:variant>
      <vt:variant>
        <vt:i4>1900607</vt:i4>
      </vt:variant>
      <vt:variant>
        <vt:i4>146</vt:i4>
      </vt:variant>
      <vt:variant>
        <vt:i4>0</vt:i4>
      </vt:variant>
      <vt:variant>
        <vt:i4>5</vt:i4>
      </vt:variant>
      <vt:variant>
        <vt:lpwstr/>
      </vt:variant>
      <vt:variant>
        <vt:lpwstr>_Toc223979984</vt:lpwstr>
      </vt:variant>
      <vt:variant>
        <vt:i4>1900607</vt:i4>
      </vt:variant>
      <vt:variant>
        <vt:i4>140</vt:i4>
      </vt:variant>
      <vt:variant>
        <vt:i4>0</vt:i4>
      </vt:variant>
      <vt:variant>
        <vt:i4>5</vt:i4>
      </vt:variant>
      <vt:variant>
        <vt:lpwstr/>
      </vt:variant>
      <vt:variant>
        <vt:lpwstr>_Toc223979983</vt:lpwstr>
      </vt:variant>
      <vt:variant>
        <vt:i4>1179711</vt:i4>
      </vt:variant>
      <vt:variant>
        <vt:i4>134</vt:i4>
      </vt:variant>
      <vt:variant>
        <vt:i4>0</vt:i4>
      </vt:variant>
      <vt:variant>
        <vt:i4>5</vt:i4>
      </vt:variant>
      <vt:variant>
        <vt:lpwstr/>
      </vt:variant>
      <vt:variant>
        <vt:lpwstr>_Toc223979977</vt:lpwstr>
      </vt:variant>
      <vt:variant>
        <vt:i4>1245247</vt:i4>
      </vt:variant>
      <vt:variant>
        <vt:i4>128</vt:i4>
      </vt:variant>
      <vt:variant>
        <vt:i4>0</vt:i4>
      </vt:variant>
      <vt:variant>
        <vt:i4>5</vt:i4>
      </vt:variant>
      <vt:variant>
        <vt:lpwstr/>
      </vt:variant>
      <vt:variant>
        <vt:lpwstr>_Toc223979964</vt:lpwstr>
      </vt:variant>
      <vt:variant>
        <vt:i4>1245247</vt:i4>
      </vt:variant>
      <vt:variant>
        <vt:i4>122</vt:i4>
      </vt:variant>
      <vt:variant>
        <vt:i4>0</vt:i4>
      </vt:variant>
      <vt:variant>
        <vt:i4>5</vt:i4>
      </vt:variant>
      <vt:variant>
        <vt:lpwstr/>
      </vt:variant>
      <vt:variant>
        <vt:lpwstr>_Toc223979963</vt:lpwstr>
      </vt:variant>
      <vt:variant>
        <vt:i4>1048639</vt:i4>
      </vt:variant>
      <vt:variant>
        <vt:i4>116</vt:i4>
      </vt:variant>
      <vt:variant>
        <vt:i4>0</vt:i4>
      </vt:variant>
      <vt:variant>
        <vt:i4>5</vt:i4>
      </vt:variant>
      <vt:variant>
        <vt:lpwstr/>
      </vt:variant>
      <vt:variant>
        <vt:lpwstr>_Toc223979959</vt:lpwstr>
      </vt:variant>
      <vt:variant>
        <vt:i4>1048639</vt:i4>
      </vt:variant>
      <vt:variant>
        <vt:i4>110</vt:i4>
      </vt:variant>
      <vt:variant>
        <vt:i4>0</vt:i4>
      </vt:variant>
      <vt:variant>
        <vt:i4>5</vt:i4>
      </vt:variant>
      <vt:variant>
        <vt:lpwstr/>
      </vt:variant>
      <vt:variant>
        <vt:lpwstr>_Toc223979958</vt:lpwstr>
      </vt:variant>
      <vt:variant>
        <vt:i4>1048639</vt:i4>
      </vt:variant>
      <vt:variant>
        <vt:i4>104</vt:i4>
      </vt:variant>
      <vt:variant>
        <vt:i4>0</vt:i4>
      </vt:variant>
      <vt:variant>
        <vt:i4>5</vt:i4>
      </vt:variant>
      <vt:variant>
        <vt:lpwstr/>
      </vt:variant>
      <vt:variant>
        <vt:lpwstr>_Toc223979957</vt:lpwstr>
      </vt:variant>
      <vt:variant>
        <vt:i4>1048639</vt:i4>
      </vt:variant>
      <vt:variant>
        <vt:i4>98</vt:i4>
      </vt:variant>
      <vt:variant>
        <vt:i4>0</vt:i4>
      </vt:variant>
      <vt:variant>
        <vt:i4>5</vt:i4>
      </vt:variant>
      <vt:variant>
        <vt:lpwstr/>
      </vt:variant>
      <vt:variant>
        <vt:lpwstr>_Toc223979956</vt:lpwstr>
      </vt:variant>
      <vt:variant>
        <vt:i4>1048639</vt:i4>
      </vt:variant>
      <vt:variant>
        <vt:i4>92</vt:i4>
      </vt:variant>
      <vt:variant>
        <vt:i4>0</vt:i4>
      </vt:variant>
      <vt:variant>
        <vt:i4>5</vt:i4>
      </vt:variant>
      <vt:variant>
        <vt:lpwstr/>
      </vt:variant>
      <vt:variant>
        <vt:lpwstr>_Toc223979955</vt:lpwstr>
      </vt:variant>
      <vt:variant>
        <vt:i4>1048639</vt:i4>
      </vt:variant>
      <vt:variant>
        <vt:i4>86</vt:i4>
      </vt:variant>
      <vt:variant>
        <vt:i4>0</vt:i4>
      </vt:variant>
      <vt:variant>
        <vt:i4>5</vt:i4>
      </vt:variant>
      <vt:variant>
        <vt:lpwstr/>
      </vt:variant>
      <vt:variant>
        <vt:lpwstr>_Toc223979954</vt:lpwstr>
      </vt:variant>
      <vt:variant>
        <vt:i4>1048639</vt:i4>
      </vt:variant>
      <vt:variant>
        <vt:i4>80</vt:i4>
      </vt:variant>
      <vt:variant>
        <vt:i4>0</vt:i4>
      </vt:variant>
      <vt:variant>
        <vt:i4>5</vt:i4>
      </vt:variant>
      <vt:variant>
        <vt:lpwstr/>
      </vt:variant>
      <vt:variant>
        <vt:lpwstr>_Toc223979953</vt:lpwstr>
      </vt:variant>
      <vt:variant>
        <vt:i4>1048639</vt:i4>
      </vt:variant>
      <vt:variant>
        <vt:i4>74</vt:i4>
      </vt:variant>
      <vt:variant>
        <vt:i4>0</vt:i4>
      </vt:variant>
      <vt:variant>
        <vt:i4>5</vt:i4>
      </vt:variant>
      <vt:variant>
        <vt:lpwstr/>
      </vt:variant>
      <vt:variant>
        <vt:lpwstr>_Toc223979952</vt:lpwstr>
      </vt:variant>
      <vt:variant>
        <vt:i4>1048639</vt:i4>
      </vt:variant>
      <vt:variant>
        <vt:i4>68</vt:i4>
      </vt:variant>
      <vt:variant>
        <vt:i4>0</vt:i4>
      </vt:variant>
      <vt:variant>
        <vt:i4>5</vt:i4>
      </vt:variant>
      <vt:variant>
        <vt:lpwstr/>
      </vt:variant>
      <vt:variant>
        <vt:lpwstr>_Toc223979951</vt:lpwstr>
      </vt:variant>
      <vt:variant>
        <vt:i4>1048639</vt:i4>
      </vt:variant>
      <vt:variant>
        <vt:i4>62</vt:i4>
      </vt:variant>
      <vt:variant>
        <vt:i4>0</vt:i4>
      </vt:variant>
      <vt:variant>
        <vt:i4>5</vt:i4>
      </vt:variant>
      <vt:variant>
        <vt:lpwstr/>
      </vt:variant>
      <vt:variant>
        <vt:lpwstr>_Toc223979950</vt:lpwstr>
      </vt:variant>
      <vt:variant>
        <vt:i4>1114175</vt:i4>
      </vt:variant>
      <vt:variant>
        <vt:i4>56</vt:i4>
      </vt:variant>
      <vt:variant>
        <vt:i4>0</vt:i4>
      </vt:variant>
      <vt:variant>
        <vt:i4>5</vt:i4>
      </vt:variant>
      <vt:variant>
        <vt:lpwstr/>
      </vt:variant>
      <vt:variant>
        <vt:lpwstr>_Toc223979948</vt:lpwstr>
      </vt:variant>
      <vt:variant>
        <vt:i4>1114175</vt:i4>
      </vt:variant>
      <vt:variant>
        <vt:i4>50</vt:i4>
      </vt:variant>
      <vt:variant>
        <vt:i4>0</vt:i4>
      </vt:variant>
      <vt:variant>
        <vt:i4>5</vt:i4>
      </vt:variant>
      <vt:variant>
        <vt:lpwstr/>
      </vt:variant>
      <vt:variant>
        <vt:lpwstr>_Toc223979943</vt:lpwstr>
      </vt:variant>
      <vt:variant>
        <vt:i4>1114175</vt:i4>
      </vt:variant>
      <vt:variant>
        <vt:i4>44</vt:i4>
      </vt:variant>
      <vt:variant>
        <vt:i4>0</vt:i4>
      </vt:variant>
      <vt:variant>
        <vt:i4>5</vt:i4>
      </vt:variant>
      <vt:variant>
        <vt:lpwstr/>
      </vt:variant>
      <vt:variant>
        <vt:lpwstr>_Toc223979940</vt:lpwstr>
      </vt:variant>
      <vt:variant>
        <vt:i4>1441855</vt:i4>
      </vt:variant>
      <vt:variant>
        <vt:i4>38</vt:i4>
      </vt:variant>
      <vt:variant>
        <vt:i4>0</vt:i4>
      </vt:variant>
      <vt:variant>
        <vt:i4>5</vt:i4>
      </vt:variant>
      <vt:variant>
        <vt:lpwstr/>
      </vt:variant>
      <vt:variant>
        <vt:lpwstr>_Toc223979939</vt:lpwstr>
      </vt:variant>
      <vt:variant>
        <vt:i4>1441855</vt:i4>
      </vt:variant>
      <vt:variant>
        <vt:i4>32</vt:i4>
      </vt:variant>
      <vt:variant>
        <vt:i4>0</vt:i4>
      </vt:variant>
      <vt:variant>
        <vt:i4>5</vt:i4>
      </vt:variant>
      <vt:variant>
        <vt:lpwstr/>
      </vt:variant>
      <vt:variant>
        <vt:lpwstr>_Toc223979938</vt:lpwstr>
      </vt:variant>
      <vt:variant>
        <vt:i4>1441855</vt:i4>
      </vt:variant>
      <vt:variant>
        <vt:i4>26</vt:i4>
      </vt:variant>
      <vt:variant>
        <vt:i4>0</vt:i4>
      </vt:variant>
      <vt:variant>
        <vt:i4>5</vt:i4>
      </vt:variant>
      <vt:variant>
        <vt:lpwstr/>
      </vt:variant>
      <vt:variant>
        <vt:lpwstr>_Toc223979937</vt:lpwstr>
      </vt:variant>
      <vt:variant>
        <vt:i4>1441855</vt:i4>
      </vt:variant>
      <vt:variant>
        <vt:i4>20</vt:i4>
      </vt:variant>
      <vt:variant>
        <vt:i4>0</vt:i4>
      </vt:variant>
      <vt:variant>
        <vt:i4>5</vt:i4>
      </vt:variant>
      <vt:variant>
        <vt:lpwstr/>
      </vt:variant>
      <vt:variant>
        <vt:lpwstr>_Toc223979936</vt:lpwstr>
      </vt:variant>
      <vt:variant>
        <vt:i4>1441855</vt:i4>
      </vt:variant>
      <vt:variant>
        <vt:i4>14</vt:i4>
      </vt:variant>
      <vt:variant>
        <vt:i4>0</vt:i4>
      </vt:variant>
      <vt:variant>
        <vt:i4>5</vt:i4>
      </vt:variant>
      <vt:variant>
        <vt:lpwstr/>
      </vt:variant>
      <vt:variant>
        <vt:lpwstr>_Toc223979935</vt:lpwstr>
      </vt:variant>
      <vt:variant>
        <vt:i4>1441855</vt:i4>
      </vt:variant>
      <vt:variant>
        <vt:i4>8</vt:i4>
      </vt:variant>
      <vt:variant>
        <vt:i4>0</vt:i4>
      </vt:variant>
      <vt:variant>
        <vt:i4>5</vt:i4>
      </vt:variant>
      <vt:variant>
        <vt:lpwstr/>
      </vt:variant>
      <vt:variant>
        <vt:lpwstr>_Toc223979934</vt:lpwstr>
      </vt:variant>
      <vt:variant>
        <vt:i4>1441855</vt:i4>
      </vt:variant>
      <vt:variant>
        <vt:i4>2</vt:i4>
      </vt:variant>
      <vt:variant>
        <vt:i4>0</vt:i4>
      </vt:variant>
      <vt:variant>
        <vt:i4>5</vt:i4>
      </vt:variant>
      <vt:variant>
        <vt:lpwstr/>
      </vt:variant>
      <vt:variant>
        <vt:lpwstr>_Toc223979933</vt:lpwstr>
      </vt:variant>
      <vt:variant>
        <vt:i4>458853</vt:i4>
      </vt:variant>
      <vt:variant>
        <vt:i4>273</vt:i4>
      </vt:variant>
      <vt:variant>
        <vt:i4>0</vt:i4>
      </vt:variant>
      <vt:variant>
        <vt:i4>5</vt:i4>
      </vt:variant>
      <vt:variant>
        <vt:lpwstr>https://transport.ec.europa.eu/news-events/news/rail-market-opening-competition-leads-lower-ticket-prices-eu-study-finds-2024-09-23_en</vt:lpwstr>
      </vt:variant>
      <vt:variant>
        <vt:lpwstr/>
      </vt:variant>
      <vt:variant>
        <vt:i4>5177425</vt:i4>
      </vt:variant>
      <vt:variant>
        <vt:i4>270</vt:i4>
      </vt:variant>
      <vt:variant>
        <vt:i4>0</vt:i4>
      </vt:variant>
      <vt:variant>
        <vt:i4>5</vt:i4>
      </vt:variant>
      <vt:variant>
        <vt:lpwstr>https://ec.europa.eu/commission/presscorner/detail/en/ip_24_201</vt:lpwstr>
      </vt:variant>
      <vt:variant>
        <vt:lpwstr/>
      </vt:variant>
      <vt:variant>
        <vt:i4>6619249</vt:i4>
      </vt:variant>
      <vt:variant>
        <vt:i4>267</vt:i4>
      </vt:variant>
      <vt:variant>
        <vt:i4>0</vt:i4>
      </vt:variant>
      <vt:variant>
        <vt:i4>5</vt:i4>
      </vt:variant>
      <vt:variant>
        <vt:lpwstr>https://www.bundeskartellamt.de/SharedDocs/Meldung/EN/Pressemitteilungen/2023/28_06_2023_DB_Mobilitaet.html</vt:lpwstr>
      </vt:variant>
      <vt:variant>
        <vt:lpwstr/>
      </vt:variant>
      <vt:variant>
        <vt:i4>7602294</vt:i4>
      </vt:variant>
      <vt:variant>
        <vt:i4>264</vt:i4>
      </vt:variant>
      <vt:variant>
        <vt:i4>0</vt:i4>
      </vt:variant>
      <vt:variant>
        <vt:i4>5</vt:i4>
      </vt:variant>
      <vt:variant>
        <vt:lpwstr>https://www.bundeskartellamt.de/SharedDocs/Meldung/EN/Pressemitteilungen/2024/15_08_2024_Deutsche_Bahn.html</vt:lpwstr>
      </vt:variant>
      <vt:variant>
        <vt:lpwstr/>
      </vt:variant>
      <vt:variant>
        <vt:i4>67</vt:i4>
      </vt:variant>
      <vt:variant>
        <vt:i4>261</vt:i4>
      </vt:variant>
      <vt:variant>
        <vt:i4>0</vt:i4>
      </vt:variant>
      <vt:variant>
        <vt:i4>5</vt:i4>
      </vt:variant>
      <vt:variant>
        <vt:lpwstr>https://www.bundeskartellamt.de/SharedDocs/Meldung/DE/Pressemitteilungen/2023/28_06_2023_DB_Mobilitaet.html?nn=55030</vt:lpwstr>
      </vt:variant>
      <vt:variant>
        <vt:lpwstr/>
      </vt:variant>
      <vt:variant>
        <vt:i4>2752584</vt:i4>
      </vt:variant>
      <vt:variant>
        <vt:i4>258</vt:i4>
      </vt:variant>
      <vt:variant>
        <vt:i4>0</vt:i4>
      </vt:variant>
      <vt:variant>
        <vt:i4>5</vt:i4>
      </vt:variant>
      <vt:variant>
        <vt:lpwstr>https://transport.ec.europa.eu/document/download/a1f0573a-13a3-4157-b569-bdc40a0f7f72_en?filename=crs_impact_assessment.pdf</vt:lpwstr>
      </vt:variant>
      <vt:variant>
        <vt:lpwstr/>
      </vt:variant>
      <vt:variant>
        <vt:i4>4587636</vt:i4>
      </vt:variant>
      <vt:variant>
        <vt:i4>255</vt:i4>
      </vt:variant>
      <vt:variant>
        <vt:i4>0</vt:i4>
      </vt:variant>
      <vt:variant>
        <vt:i4>5</vt:i4>
      </vt:variant>
      <vt:variant>
        <vt:lpwstr>https://transport.ec.europa.eu/transport-modes/rail/market/rail-market-monitoring-rmms_en</vt:lpwstr>
      </vt:variant>
      <vt:variant>
        <vt:lpwstr/>
      </vt:variant>
      <vt:variant>
        <vt:i4>4128847</vt:i4>
      </vt:variant>
      <vt:variant>
        <vt:i4>252</vt:i4>
      </vt:variant>
      <vt:variant>
        <vt:i4>0</vt:i4>
      </vt:variant>
      <vt:variant>
        <vt:i4>5</vt:i4>
      </vt:variant>
      <vt:variant>
        <vt:lpwstr>https://eur-lex.europa.eu/resource.html?uri=cellar:57a5679e-3f85-11eb-b27b-01aa75ed71a1.0001.02/DOC_2&amp;format=PDF</vt:lpwstr>
      </vt:variant>
      <vt:variant>
        <vt:lpwstr/>
      </vt:variant>
      <vt:variant>
        <vt:i4>4587636</vt:i4>
      </vt:variant>
      <vt:variant>
        <vt:i4>249</vt:i4>
      </vt:variant>
      <vt:variant>
        <vt:i4>0</vt:i4>
      </vt:variant>
      <vt:variant>
        <vt:i4>5</vt:i4>
      </vt:variant>
      <vt:variant>
        <vt:lpwstr>https://transport.ec.europa.eu/transport-modes/rail/market/rail-market-monitoring-rmms_en</vt:lpwstr>
      </vt:variant>
      <vt:variant>
        <vt:lpwstr/>
      </vt:variant>
      <vt:variant>
        <vt:i4>1376318</vt:i4>
      </vt:variant>
      <vt:variant>
        <vt:i4>246</vt:i4>
      </vt:variant>
      <vt:variant>
        <vt:i4>0</vt:i4>
      </vt:variant>
      <vt:variant>
        <vt:i4>5</vt:i4>
      </vt:variant>
      <vt:variant>
        <vt:lpwstr>https://ec.europa.eu/eurostat/statistics-explained/index.php?title=Actual_and_usual_hours_of_work</vt:lpwstr>
      </vt:variant>
      <vt:variant>
        <vt:lpwstr/>
      </vt:variant>
      <vt:variant>
        <vt:i4>2818076</vt:i4>
      </vt:variant>
      <vt:variant>
        <vt:i4>243</vt:i4>
      </vt:variant>
      <vt:variant>
        <vt:i4>0</vt:i4>
      </vt:variant>
      <vt:variant>
        <vt:i4>5</vt:i4>
      </vt:variant>
      <vt:variant>
        <vt:lpwstr>https://a4e.eu/wp-content/uploads/A4E-intermediaries-study_FINAL-02.pdf</vt:lpwstr>
      </vt:variant>
      <vt:variant>
        <vt:lpwstr/>
      </vt:variant>
      <vt:variant>
        <vt:i4>3801184</vt:i4>
      </vt:variant>
      <vt:variant>
        <vt:i4>240</vt:i4>
      </vt:variant>
      <vt:variant>
        <vt:i4>0</vt:i4>
      </vt:variant>
      <vt:variant>
        <vt:i4>5</vt:i4>
      </vt:variant>
      <vt:variant>
        <vt:lpwstr>https://www.businesstravelnewseurope.com/Europes-leading-TMCs/2025/Europe-rankings</vt:lpwstr>
      </vt:variant>
      <vt:variant>
        <vt:lpwstr/>
      </vt:variant>
      <vt:variant>
        <vt:i4>917521</vt:i4>
      </vt:variant>
      <vt:variant>
        <vt:i4>237</vt:i4>
      </vt:variant>
      <vt:variant>
        <vt:i4>0</vt:i4>
      </vt:variant>
      <vt:variant>
        <vt:i4>5</vt:i4>
      </vt:variant>
      <vt:variant>
        <vt:lpwstr>https://data.europa.eu/doi/10.2832/72925</vt:lpwstr>
      </vt:variant>
      <vt:variant>
        <vt:lpwstr/>
      </vt:variant>
      <vt:variant>
        <vt:i4>4522110</vt:i4>
      </vt:variant>
      <vt:variant>
        <vt:i4>234</vt:i4>
      </vt:variant>
      <vt:variant>
        <vt:i4>0</vt:i4>
      </vt:variant>
      <vt:variant>
        <vt:i4>5</vt:i4>
      </vt:variant>
      <vt:variant>
        <vt:lpwstr>https://economy-finance.ec.europa.eu/publications/2024-ageing-report-economic-and-budgetary-projections-eu-member-states-2022-2070_en</vt:lpwstr>
      </vt:variant>
      <vt:variant>
        <vt:lpwstr/>
      </vt:variant>
      <vt:variant>
        <vt:i4>7077913</vt:i4>
      </vt:variant>
      <vt:variant>
        <vt:i4>231</vt:i4>
      </vt:variant>
      <vt:variant>
        <vt:i4>0</vt:i4>
      </vt:variant>
      <vt:variant>
        <vt:i4>5</vt:i4>
      </vt:variant>
      <vt:variant>
        <vt:lpwstr>https://knowledge4policy.ec.europa.eu/foresight/tool/megatrends-hub_en</vt:lpwstr>
      </vt:variant>
      <vt:variant>
        <vt:lpwstr>explore</vt:lpwstr>
      </vt:variant>
      <vt:variant>
        <vt:i4>8126571</vt:i4>
      </vt:variant>
      <vt:variant>
        <vt:i4>228</vt:i4>
      </vt:variant>
      <vt:variant>
        <vt:i4>0</vt:i4>
      </vt:variant>
      <vt:variant>
        <vt:i4>5</vt:i4>
      </vt:variant>
      <vt:variant>
        <vt:lpwstr>https://ec.europa.eu/commission/presscorner/detail/en/ip_25_1083</vt:lpwstr>
      </vt:variant>
      <vt:variant>
        <vt:lpwstr/>
      </vt:variant>
      <vt:variant>
        <vt:i4>393274</vt:i4>
      </vt:variant>
      <vt:variant>
        <vt:i4>225</vt:i4>
      </vt:variant>
      <vt:variant>
        <vt:i4>0</vt:i4>
      </vt:variant>
      <vt:variant>
        <vt:i4>5</vt:i4>
      </vt:variant>
      <vt:variant>
        <vt:lpwstr>https://transport.ec.europa.eu/news-events/news/green-deal-greening-freight-more-economic-gain-less-environmental-impact-2023-07-11_en</vt:lpwstr>
      </vt:variant>
      <vt:variant>
        <vt:lpwstr/>
      </vt:variant>
      <vt:variant>
        <vt:i4>8323176</vt:i4>
      </vt:variant>
      <vt:variant>
        <vt:i4>222</vt:i4>
      </vt:variant>
      <vt:variant>
        <vt:i4>0</vt:i4>
      </vt:variant>
      <vt:variant>
        <vt:i4>5</vt:i4>
      </vt:variant>
      <vt:variant>
        <vt:lpwstr>https://eur-lex.europa.eu/eli/reg/2024/1679/oj/eng</vt:lpwstr>
      </vt:variant>
      <vt:variant>
        <vt:lpwstr/>
      </vt:variant>
      <vt:variant>
        <vt:i4>8192098</vt:i4>
      </vt:variant>
      <vt:variant>
        <vt:i4>219</vt:i4>
      </vt:variant>
      <vt:variant>
        <vt:i4>0</vt:i4>
      </vt:variant>
      <vt:variant>
        <vt:i4>5</vt:i4>
      </vt:variant>
      <vt:variant>
        <vt:lpwstr>https://eur-lex.europa.eu/eli/reg/2024/1257/oj/eng</vt:lpwstr>
      </vt:variant>
      <vt:variant>
        <vt:lpwstr/>
      </vt:variant>
      <vt:variant>
        <vt:i4>8060960</vt:i4>
      </vt:variant>
      <vt:variant>
        <vt:i4>216</vt:i4>
      </vt:variant>
      <vt:variant>
        <vt:i4>0</vt:i4>
      </vt:variant>
      <vt:variant>
        <vt:i4>5</vt:i4>
      </vt:variant>
      <vt:variant>
        <vt:lpwstr>https://eur-lex.europa.eu/eli/reg/2024/1610/oj</vt:lpwstr>
      </vt:variant>
      <vt:variant>
        <vt:lpwstr/>
      </vt:variant>
      <vt:variant>
        <vt:i4>6553676</vt:i4>
      </vt:variant>
      <vt:variant>
        <vt:i4>213</vt:i4>
      </vt:variant>
      <vt:variant>
        <vt:i4>0</vt:i4>
      </vt:variant>
      <vt:variant>
        <vt:i4>5</vt:i4>
      </vt:variant>
      <vt:variant>
        <vt:lpwstr>https://commission.europa.eu/strategy-and-policy/priorities-2019-2024/european-green-deal/delivering-european-green-deal_en</vt:lpwstr>
      </vt:variant>
      <vt:variant>
        <vt:lpwstr/>
      </vt:variant>
      <vt:variant>
        <vt:i4>6160472</vt:i4>
      </vt:variant>
      <vt:variant>
        <vt:i4>209</vt:i4>
      </vt:variant>
      <vt:variant>
        <vt:i4>0</vt:i4>
      </vt:variant>
      <vt:variant>
        <vt:i4>5</vt:i4>
      </vt:variant>
      <vt:variant>
        <vt:lpwstr>https://economy-finance.ec.europa.eu/document/download/971dd209-41c2-425d-94f8-e3c3c3459af9_en?filename=ip279_en.pdf</vt:lpwstr>
      </vt:variant>
      <vt:variant>
        <vt:lpwstr/>
      </vt:variant>
      <vt:variant>
        <vt:i4>8323137</vt:i4>
      </vt:variant>
      <vt:variant>
        <vt:i4>207</vt:i4>
      </vt:variant>
      <vt:variant>
        <vt:i4>0</vt:i4>
      </vt:variant>
      <vt:variant>
        <vt:i4>5</vt:i4>
      </vt:variant>
      <vt:variant>
        <vt:lpwstr>https://economy-finance.ec.europa.eu/publications/2021-ageing-report-underlying-assumptions-and-projection-methodologies_en</vt:lpwstr>
      </vt:variant>
      <vt:variant>
        <vt:lpwstr/>
      </vt:variant>
      <vt:variant>
        <vt:i4>7995499</vt:i4>
      </vt:variant>
      <vt:variant>
        <vt:i4>204</vt:i4>
      </vt:variant>
      <vt:variant>
        <vt:i4>0</vt:i4>
      </vt:variant>
      <vt:variant>
        <vt:i4>5</vt:i4>
      </vt:variant>
      <vt:variant>
        <vt:lpwstr>https://ec.europa.eu/commission/presscorner/detail/en/ip_22_6782</vt:lpwstr>
      </vt:variant>
      <vt:variant>
        <vt:lpwstr/>
      </vt:variant>
      <vt:variant>
        <vt:i4>524317</vt:i4>
      </vt:variant>
      <vt:variant>
        <vt:i4>201</vt:i4>
      </vt:variant>
      <vt:variant>
        <vt:i4>0</vt:i4>
      </vt:variant>
      <vt:variant>
        <vt:i4>5</vt:i4>
      </vt:variant>
      <vt:variant>
        <vt:lpwstr>https://op.europa.eu/en/publication-detail/-/publication/9781f65f-8448-11ea-bf12-01aa75ed71a1</vt:lpwstr>
      </vt:variant>
      <vt:variant>
        <vt:lpwstr/>
      </vt:variant>
      <vt:variant>
        <vt:i4>2621557</vt:i4>
      </vt:variant>
      <vt:variant>
        <vt:i4>198</vt:i4>
      </vt:variant>
      <vt:variant>
        <vt:i4>0</vt:i4>
      </vt:variant>
      <vt:variant>
        <vt:i4>5</vt:i4>
      </vt:variant>
      <vt:variant>
        <vt:lpwstr>https://www.trt.it/en/tools/trust/</vt:lpwstr>
      </vt:variant>
      <vt:variant>
        <vt:lpwstr/>
      </vt:variant>
      <vt:variant>
        <vt:i4>4784206</vt:i4>
      </vt:variant>
      <vt:variant>
        <vt:i4>195</vt:i4>
      </vt:variant>
      <vt:variant>
        <vt:i4>0</vt:i4>
      </vt:variant>
      <vt:variant>
        <vt:i4>5</vt:i4>
      </vt:variant>
      <vt:variant>
        <vt:lpwstr>https://trn-13455-s3.s3.eu-west-2.amazonaws.com/media/4917/6165/4502/Conclusions_CRA_Incrementality_through_mobility_platforms_in_Spain_1.pdf?usp=sharing</vt:lpwstr>
      </vt:variant>
      <vt:variant>
        <vt:lpwstr/>
      </vt:variant>
      <vt:variant>
        <vt:i4>3211385</vt:i4>
      </vt:variant>
      <vt:variant>
        <vt:i4>192</vt:i4>
      </vt:variant>
      <vt:variant>
        <vt:i4>0</vt:i4>
      </vt:variant>
      <vt:variant>
        <vt:i4>5</vt:i4>
      </vt:variant>
      <vt:variant>
        <vt:lpwstr>https://www.itf-oecd.org/sites/default/files/docs/integrating-public-transport-maas.pdf</vt:lpwstr>
      </vt:variant>
      <vt:variant>
        <vt:lpwstr/>
      </vt:variant>
      <vt:variant>
        <vt:i4>6815844</vt:i4>
      </vt:variant>
      <vt:variant>
        <vt:i4>189</vt:i4>
      </vt:variant>
      <vt:variant>
        <vt:i4>0</vt:i4>
      </vt:variant>
      <vt:variant>
        <vt:i4>5</vt:i4>
      </vt:variant>
      <vt:variant>
        <vt:lpwstr>https://www.transport.gov.scot/publication/strategic-business-case-transport-appraisal-report-draft-appendix-c-preliminary-appraisal-summary-tables-a96-corridor-review/preliminary-appraisal-summary-table-investment-in-demand-responsive-transport-and-mobility-as-a-service/</vt:lpwstr>
      </vt:variant>
      <vt:variant>
        <vt:lpwstr/>
      </vt:variant>
      <vt:variant>
        <vt:i4>720977</vt:i4>
      </vt:variant>
      <vt:variant>
        <vt:i4>186</vt:i4>
      </vt:variant>
      <vt:variant>
        <vt:i4>0</vt:i4>
      </vt:variant>
      <vt:variant>
        <vt:i4>5</vt:i4>
      </vt:variant>
      <vt:variant>
        <vt:lpwstr>https://transweb.sjsu.edu/sites/default/files/1223-modal-shift-high-speed-rail-literature-review.pdf</vt:lpwstr>
      </vt:variant>
      <vt:variant>
        <vt:lpwstr/>
      </vt:variant>
      <vt:variant>
        <vt:i4>2424867</vt:i4>
      </vt:variant>
      <vt:variant>
        <vt:i4>183</vt:i4>
      </vt:variant>
      <vt:variant>
        <vt:i4>0</vt:i4>
      </vt:variant>
      <vt:variant>
        <vt:i4>5</vt:i4>
      </vt:variant>
      <vt:variant>
        <vt:lpwstr>https://www.kimnet.nl/documenten/2018/06/21/substitutiemogelijkheden-van-luchtvaart-naar-spoor</vt:lpwstr>
      </vt:variant>
      <vt:variant>
        <vt:lpwstr/>
      </vt:variant>
      <vt:variant>
        <vt:i4>7798909</vt:i4>
      </vt:variant>
      <vt:variant>
        <vt:i4>180</vt:i4>
      </vt:variant>
      <vt:variant>
        <vt:i4>0</vt:i4>
      </vt:variant>
      <vt:variant>
        <vt:i4>5</vt:i4>
      </vt:variant>
      <vt:variant>
        <vt:lpwstr>https://cedelft.eu/wp-content/uploads/sites/2/2021/03/CE_Delft_4S52_Modal_choice_criteria_in_rail-transport_Def.pdf</vt:lpwstr>
      </vt:variant>
      <vt:variant>
        <vt:lpwstr/>
      </vt:variant>
      <vt:variant>
        <vt:i4>7798909</vt:i4>
      </vt:variant>
      <vt:variant>
        <vt:i4>177</vt:i4>
      </vt:variant>
      <vt:variant>
        <vt:i4>0</vt:i4>
      </vt:variant>
      <vt:variant>
        <vt:i4>5</vt:i4>
      </vt:variant>
      <vt:variant>
        <vt:lpwstr>https://cedelft.eu/wp-content/uploads/sites/2/2021/03/CE_Delft_4S52_Modal_choice_criteria_in_rail-transport_Def.pdf</vt:lpwstr>
      </vt:variant>
      <vt:variant>
        <vt:lpwstr/>
      </vt:variant>
      <vt:variant>
        <vt:i4>3997730</vt:i4>
      </vt:variant>
      <vt:variant>
        <vt:i4>174</vt:i4>
      </vt:variant>
      <vt:variant>
        <vt:i4>0</vt:i4>
      </vt:variant>
      <vt:variant>
        <vt:i4>5</vt:i4>
      </vt:variant>
      <vt:variant>
        <vt:lpwstr>https://www.sciencedirect.com/science/article/abs/pii/S0967070X12001692?via%3Dihub</vt:lpwstr>
      </vt:variant>
      <vt:variant>
        <vt:lpwstr/>
      </vt:variant>
      <vt:variant>
        <vt:i4>2228320</vt:i4>
      </vt:variant>
      <vt:variant>
        <vt:i4>171</vt:i4>
      </vt:variant>
      <vt:variant>
        <vt:i4>0</vt:i4>
      </vt:variant>
      <vt:variant>
        <vt:i4>5</vt:i4>
      </vt:variant>
      <vt:variant>
        <vt:lpwstr>https://europa.eu/eurobarometer/surveys/detail/3178</vt:lpwstr>
      </vt:variant>
      <vt:variant>
        <vt:lpwstr/>
      </vt:variant>
      <vt:variant>
        <vt:i4>5308430</vt:i4>
      </vt:variant>
      <vt:variant>
        <vt:i4>168</vt:i4>
      </vt:variant>
      <vt:variant>
        <vt:i4>0</vt:i4>
      </vt:variant>
      <vt:variant>
        <vt:i4>5</vt:i4>
      </vt:variant>
      <vt:variant>
        <vt:lpwstr>https://ec.europa.eu/eurostat/databrowser/view/tran_hv_psmod/default/table?lang=en</vt:lpwstr>
      </vt:variant>
      <vt:variant>
        <vt:lpwstr/>
      </vt:variant>
      <vt:variant>
        <vt:i4>7602301</vt:i4>
      </vt:variant>
      <vt:variant>
        <vt:i4>165</vt:i4>
      </vt:variant>
      <vt:variant>
        <vt:i4>0</vt:i4>
      </vt:variant>
      <vt:variant>
        <vt:i4>5</vt:i4>
      </vt:variant>
      <vt:variant>
        <vt:lpwstr>https://ec.europa.eu/eurostat/web/products-datasets/-/road_pa_mov</vt:lpwstr>
      </vt:variant>
      <vt:variant>
        <vt:lpwstr/>
      </vt:variant>
      <vt:variant>
        <vt:i4>131163</vt:i4>
      </vt:variant>
      <vt:variant>
        <vt:i4>162</vt:i4>
      </vt:variant>
      <vt:variant>
        <vt:i4>0</vt:i4>
      </vt:variant>
      <vt:variant>
        <vt:i4>5</vt:i4>
      </vt:variant>
      <vt:variant>
        <vt:lpwstr>https://ourairports.com/data/</vt:lpwstr>
      </vt:variant>
      <vt:variant>
        <vt:lpwstr/>
      </vt:variant>
      <vt:variant>
        <vt:i4>2228320</vt:i4>
      </vt:variant>
      <vt:variant>
        <vt:i4>159</vt:i4>
      </vt:variant>
      <vt:variant>
        <vt:i4>0</vt:i4>
      </vt:variant>
      <vt:variant>
        <vt:i4>5</vt:i4>
      </vt:variant>
      <vt:variant>
        <vt:lpwstr>https://europa.eu/eurobarometer/surveys/detail/3178</vt:lpwstr>
      </vt:variant>
      <vt:variant>
        <vt:lpwstr/>
      </vt:variant>
      <vt:variant>
        <vt:i4>6422604</vt:i4>
      </vt:variant>
      <vt:variant>
        <vt:i4>156</vt:i4>
      </vt:variant>
      <vt:variant>
        <vt:i4>0</vt:i4>
      </vt:variant>
      <vt:variant>
        <vt:i4>5</vt:i4>
      </vt:variant>
      <vt:variant>
        <vt:lpwstr>https://transport.ec.europa.eu/facts-funding/studies-data/eu-transport-figures-statistical-pocketbook/statistical-pocketbook-2025_en</vt:lpwstr>
      </vt:variant>
      <vt:variant>
        <vt:lpwstr/>
      </vt:variant>
      <vt:variant>
        <vt:i4>524317</vt:i4>
      </vt:variant>
      <vt:variant>
        <vt:i4>153</vt:i4>
      </vt:variant>
      <vt:variant>
        <vt:i4>0</vt:i4>
      </vt:variant>
      <vt:variant>
        <vt:i4>5</vt:i4>
      </vt:variant>
      <vt:variant>
        <vt:lpwstr>https://op.europa.eu/en/publication-detail/-/publication/9781f65f-8448-11ea-bf12-01aa75ed71a1</vt:lpwstr>
      </vt:variant>
      <vt:variant>
        <vt:lpwstr/>
      </vt:variant>
      <vt:variant>
        <vt:i4>3473460</vt:i4>
      </vt:variant>
      <vt:variant>
        <vt:i4>150</vt:i4>
      </vt:variant>
      <vt:variant>
        <vt:i4>0</vt:i4>
      </vt:variant>
      <vt:variant>
        <vt:i4>5</vt:i4>
      </vt:variant>
      <vt:variant>
        <vt:lpwstr>https://www.astra-model.eu/</vt:lpwstr>
      </vt:variant>
      <vt:variant>
        <vt:lpwstr/>
      </vt:variant>
      <vt:variant>
        <vt:i4>7012470</vt:i4>
      </vt:variant>
      <vt:variant>
        <vt:i4>147</vt:i4>
      </vt:variant>
      <vt:variant>
        <vt:i4>0</vt:i4>
      </vt:variant>
      <vt:variant>
        <vt:i4>5</vt:i4>
      </vt:variant>
      <vt:variant>
        <vt:lpwstr>https://alternative-fuels-observatory.ec.europa.eu/</vt:lpwstr>
      </vt:variant>
      <vt:variant>
        <vt:lpwstr/>
      </vt:variant>
      <vt:variant>
        <vt:i4>6422604</vt:i4>
      </vt:variant>
      <vt:variant>
        <vt:i4>144</vt:i4>
      </vt:variant>
      <vt:variant>
        <vt:i4>0</vt:i4>
      </vt:variant>
      <vt:variant>
        <vt:i4>5</vt:i4>
      </vt:variant>
      <vt:variant>
        <vt:lpwstr>https://transport.ec.europa.eu/facts-funding/studies-data/eu-transport-figures-statistical-pocketbook/statistical-pocketbook-2025_en</vt:lpwstr>
      </vt:variant>
      <vt:variant>
        <vt:lpwstr/>
      </vt:variant>
      <vt:variant>
        <vt:i4>6553726</vt:i4>
      </vt:variant>
      <vt:variant>
        <vt:i4>141</vt:i4>
      </vt:variant>
      <vt:variant>
        <vt:i4>0</vt:i4>
      </vt:variant>
      <vt:variant>
        <vt:i4>5</vt:i4>
      </vt:variant>
      <vt:variant>
        <vt:lpwstr>https://copert.emisia.com/</vt:lpwstr>
      </vt:variant>
      <vt:variant>
        <vt:lpwstr/>
      </vt:variant>
      <vt:variant>
        <vt:i4>5832793</vt:i4>
      </vt:variant>
      <vt:variant>
        <vt:i4>138</vt:i4>
      </vt:variant>
      <vt:variant>
        <vt:i4>0</vt:i4>
      </vt:variant>
      <vt:variant>
        <vt:i4>5</vt:i4>
      </vt:variant>
      <vt:variant>
        <vt:lpwstr>https://www.tmleuven.be/en/navigation/TREMOVE</vt:lpwstr>
      </vt:variant>
      <vt:variant>
        <vt:lpwstr/>
      </vt:variant>
      <vt:variant>
        <vt:i4>196626</vt:i4>
      </vt:variant>
      <vt:variant>
        <vt:i4>135</vt:i4>
      </vt:variant>
      <vt:variant>
        <vt:i4>0</vt:i4>
      </vt:variant>
      <vt:variant>
        <vt:i4>5</vt:i4>
      </vt:variant>
      <vt:variant>
        <vt:lpwstr>https://www.ricardo.com/media/rcopaene/the-primes-model-2018.pdf</vt:lpwstr>
      </vt:variant>
      <vt:variant>
        <vt:lpwstr/>
      </vt:variant>
      <vt:variant>
        <vt:i4>2228320</vt:i4>
      </vt:variant>
      <vt:variant>
        <vt:i4>132</vt:i4>
      </vt:variant>
      <vt:variant>
        <vt:i4>0</vt:i4>
      </vt:variant>
      <vt:variant>
        <vt:i4>5</vt:i4>
      </vt:variant>
      <vt:variant>
        <vt:lpwstr>https://europa.eu/eurobarometer/surveys/detail/3178</vt:lpwstr>
      </vt:variant>
      <vt:variant>
        <vt:lpwstr/>
      </vt:variant>
      <vt:variant>
        <vt:i4>6094936</vt:i4>
      </vt:variant>
      <vt:variant>
        <vt:i4>129</vt:i4>
      </vt:variant>
      <vt:variant>
        <vt:i4>0</vt:i4>
      </vt:variant>
      <vt:variant>
        <vt:i4>5</vt:i4>
      </vt:variant>
      <vt:variant>
        <vt:lpwstr>https://ec.europa.eu/transparency/documents-register/detail?ref=SWD(2021)474&amp;lang=en</vt:lpwstr>
      </vt:variant>
      <vt:variant>
        <vt:lpwstr/>
      </vt:variant>
      <vt:variant>
        <vt:i4>5963864</vt:i4>
      </vt:variant>
      <vt:variant>
        <vt:i4>126</vt:i4>
      </vt:variant>
      <vt:variant>
        <vt:i4>0</vt:i4>
      </vt:variant>
      <vt:variant>
        <vt:i4>5</vt:i4>
      </vt:variant>
      <vt:variant>
        <vt:lpwstr>https://ec.europa.eu/transparency/documents-register/detail?ref=SWD(2021)472&amp;lang=en</vt:lpwstr>
      </vt:variant>
      <vt:variant>
        <vt:lpwstr/>
      </vt:variant>
      <vt:variant>
        <vt:i4>5767259</vt:i4>
      </vt:variant>
      <vt:variant>
        <vt:i4>123</vt:i4>
      </vt:variant>
      <vt:variant>
        <vt:i4>0</vt:i4>
      </vt:variant>
      <vt:variant>
        <vt:i4>5</vt:i4>
      </vt:variant>
      <vt:variant>
        <vt:lpwstr>https://ec.europa.eu/transparency/documents-register/detail?ref=SWD(2023)443&amp;lang=en</vt:lpwstr>
      </vt:variant>
      <vt:variant>
        <vt:lpwstr/>
      </vt:variant>
      <vt:variant>
        <vt:i4>6094938</vt:i4>
      </vt:variant>
      <vt:variant>
        <vt:i4>120</vt:i4>
      </vt:variant>
      <vt:variant>
        <vt:i4>0</vt:i4>
      </vt:variant>
      <vt:variant>
        <vt:i4>5</vt:i4>
      </vt:variant>
      <vt:variant>
        <vt:lpwstr>https://ec.europa.eu/transparency/documents-register/detail?ref=SWD(2023)351&amp;lang=en</vt:lpwstr>
      </vt:variant>
      <vt:variant>
        <vt:lpwstr/>
      </vt:variant>
      <vt:variant>
        <vt:i4>5963826</vt:i4>
      </vt:variant>
      <vt:variant>
        <vt:i4>117</vt:i4>
      </vt:variant>
      <vt:variant>
        <vt:i4>0</vt:i4>
      </vt:variant>
      <vt:variant>
        <vt:i4>5</vt:i4>
      </vt:variant>
      <vt:variant>
        <vt:lpwstr>https://ec.europa.eu/info/strategy/priorities-2019-2024/european-green-deal/delivering-european-green-deal_en</vt:lpwstr>
      </vt:variant>
      <vt:variant>
        <vt:lpwstr/>
      </vt:variant>
      <vt:variant>
        <vt:i4>5832730</vt:i4>
      </vt:variant>
      <vt:variant>
        <vt:i4>114</vt:i4>
      </vt:variant>
      <vt:variant>
        <vt:i4>0</vt:i4>
      </vt:variant>
      <vt:variant>
        <vt:i4>5</vt:i4>
      </vt:variant>
      <vt:variant>
        <vt:lpwstr>https://eur-lex.europa.eu/legal-content/EN/TXT/?uri=COM%3A2024%3A63%3AFIN</vt:lpwstr>
      </vt:variant>
      <vt:variant>
        <vt:lpwstr/>
      </vt:variant>
      <vt:variant>
        <vt:i4>7536646</vt:i4>
      </vt:variant>
      <vt:variant>
        <vt:i4>111</vt:i4>
      </vt:variant>
      <vt:variant>
        <vt:i4>0</vt:i4>
      </vt:variant>
      <vt:variant>
        <vt:i4>5</vt:i4>
      </vt:variant>
      <vt:variant>
        <vt:lpwstr>https://ec.europa.eu/info/law/better-regulation/have-your-say/initiatives/13133-Multimodal-Digital-Mobility-Services/public-consultation_en</vt:lpwstr>
      </vt:variant>
      <vt:variant>
        <vt:lpwstr/>
      </vt:variant>
      <vt:variant>
        <vt:i4>7536646</vt:i4>
      </vt:variant>
      <vt:variant>
        <vt:i4>108</vt:i4>
      </vt:variant>
      <vt:variant>
        <vt:i4>0</vt:i4>
      </vt:variant>
      <vt:variant>
        <vt:i4>5</vt:i4>
      </vt:variant>
      <vt:variant>
        <vt:lpwstr>https://ec.europa.eu/info/law/better-regulation/have-your-say/initiatives/13133-Multimodal-Digital-Mobility-Services/public-consultation_en</vt:lpwstr>
      </vt:variant>
      <vt:variant>
        <vt:lpwstr/>
      </vt:variant>
      <vt:variant>
        <vt:i4>4718716</vt:i4>
      </vt:variant>
      <vt:variant>
        <vt:i4>105</vt:i4>
      </vt:variant>
      <vt:variant>
        <vt:i4>0</vt:i4>
      </vt:variant>
      <vt:variant>
        <vt:i4>5</vt:i4>
      </vt:variant>
      <vt:variant>
        <vt:lpwstr>https://transport.ec.europa.eu/news-events/news/multimodal-passenger-mobility-forum-final-report-2023-02-02_en</vt:lpwstr>
      </vt:variant>
      <vt:variant>
        <vt:lpwstr/>
      </vt:variant>
      <vt:variant>
        <vt:i4>2228320</vt:i4>
      </vt:variant>
      <vt:variant>
        <vt:i4>102</vt:i4>
      </vt:variant>
      <vt:variant>
        <vt:i4>0</vt:i4>
      </vt:variant>
      <vt:variant>
        <vt:i4>5</vt:i4>
      </vt:variant>
      <vt:variant>
        <vt:lpwstr>https://europa.eu/eurobarometer/surveys/detail/3178</vt:lpwstr>
      </vt:variant>
      <vt:variant>
        <vt:lpwstr/>
      </vt:variant>
      <vt:variant>
        <vt:i4>3342404</vt:i4>
      </vt:variant>
      <vt:variant>
        <vt:i4>99</vt:i4>
      </vt:variant>
      <vt:variant>
        <vt:i4>0</vt:i4>
      </vt:variant>
      <vt:variant>
        <vt:i4>5</vt:i4>
      </vt:variant>
      <vt:variant>
        <vt:lpwstr>https://ec.europa.eu/info/law/better-regulation/have-your-say/initiatives/13133-Multimodal-digital-mobility-services_en</vt:lpwstr>
      </vt:variant>
      <vt:variant>
        <vt:lpwstr/>
      </vt:variant>
      <vt:variant>
        <vt:i4>5570582</vt:i4>
      </vt:variant>
      <vt:variant>
        <vt:i4>96</vt:i4>
      </vt:variant>
      <vt:variant>
        <vt:i4>0</vt:i4>
      </vt:variant>
      <vt:variant>
        <vt:i4>5</vt:i4>
      </vt:variant>
      <vt:variant>
        <vt:lpwstr>https://ec.europa.eu/info/law/better-regulation/have-your-say/initiatives/13133-Multimodal-digital-mobility-</vt:lpwstr>
      </vt:variant>
      <vt:variant>
        <vt:lpwstr/>
      </vt:variant>
      <vt:variant>
        <vt:i4>852087</vt:i4>
      </vt:variant>
      <vt:variant>
        <vt:i4>93</vt:i4>
      </vt:variant>
      <vt:variant>
        <vt:i4>0</vt:i4>
      </vt:variant>
      <vt:variant>
        <vt:i4>5</vt:i4>
      </vt:variant>
      <vt:variant>
        <vt:lpwstr>https://ec.europa.eu/info/law/better-regulation/have-your-say/initiatives/12507-Air-travel-computerised-reservation-systems-updated-rules-_en</vt:lpwstr>
      </vt:variant>
      <vt:variant>
        <vt:lpwstr/>
      </vt:variant>
      <vt:variant>
        <vt:i4>852087</vt:i4>
      </vt:variant>
      <vt:variant>
        <vt:i4>90</vt:i4>
      </vt:variant>
      <vt:variant>
        <vt:i4>0</vt:i4>
      </vt:variant>
      <vt:variant>
        <vt:i4>5</vt:i4>
      </vt:variant>
      <vt:variant>
        <vt:lpwstr>https://ec.europa.eu/info/law/better-regulation/have-your-say/initiatives/12507-Air-travel-computerised-reservation-systems-updated-rules-_en</vt:lpwstr>
      </vt:variant>
      <vt:variant>
        <vt:lpwstr/>
      </vt:variant>
      <vt:variant>
        <vt:i4>8126575</vt:i4>
      </vt:variant>
      <vt:variant>
        <vt:i4>87</vt:i4>
      </vt:variant>
      <vt:variant>
        <vt:i4>0</vt:i4>
      </vt:variant>
      <vt:variant>
        <vt:i4>5</vt:i4>
      </vt:variant>
      <vt:variant>
        <vt:lpwstr>https://eur-lex.europa.eu/eli/reg/2021/1119/oj/eng</vt:lpwstr>
      </vt:variant>
      <vt:variant>
        <vt:lpwstr/>
      </vt:variant>
      <vt:variant>
        <vt:i4>524317</vt:i4>
      </vt:variant>
      <vt:variant>
        <vt:i4>84</vt:i4>
      </vt:variant>
      <vt:variant>
        <vt:i4>0</vt:i4>
      </vt:variant>
      <vt:variant>
        <vt:i4>5</vt:i4>
      </vt:variant>
      <vt:variant>
        <vt:lpwstr>https://op.europa.eu/en/publication-detail/-/publication/9781f65f-8448-11ea-bf12-01aa75ed71a1</vt:lpwstr>
      </vt:variant>
      <vt:variant>
        <vt:lpwstr/>
      </vt:variant>
      <vt:variant>
        <vt:i4>524317</vt:i4>
      </vt:variant>
      <vt:variant>
        <vt:i4>81</vt:i4>
      </vt:variant>
      <vt:variant>
        <vt:i4>0</vt:i4>
      </vt:variant>
      <vt:variant>
        <vt:i4>5</vt:i4>
      </vt:variant>
      <vt:variant>
        <vt:lpwstr>https://op.europa.eu/en/publication-detail/-/publication/9781f65f-8448-11ea-bf12-01aa75ed71a1</vt:lpwstr>
      </vt:variant>
      <vt:variant>
        <vt:lpwstr/>
      </vt:variant>
      <vt:variant>
        <vt:i4>524317</vt:i4>
      </vt:variant>
      <vt:variant>
        <vt:i4>78</vt:i4>
      </vt:variant>
      <vt:variant>
        <vt:i4>0</vt:i4>
      </vt:variant>
      <vt:variant>
        <vt:i4>5</vt:i4>
      </vt:variant>
      <vt:variant>
        <vt:lpwstr>https://op.europa.eu/en/publication-detail/-/publication/9781f65f-8448-11ea-bf12-01aa75ed71a1</vt:lpwstr>
      </vt:variant>
      <vt:variant>
        <vt:lpwstr/>
      </vt:variant>
      <vt:variant>
        <vt:i4>2228320</vt:i4>
      </vt:variant>
      <vt:variant>
        <vt:i4>75</vt:i4>
      </vt:variant>
      <vt:variant>
        <vt:i4>0</vt:i4>
      </vt:variant>
      <vt:variant>
        <vt:i4>5</vt:i4>
      </vt:variant>
      <vt:variant>
        <vt:lpwstr>https://europa.eu/eurobarometer/surveys/detail/3178</vt:lpwstr>
      </vt:variant>
      <vt:variant>
        <vt:lpwstr/>
      </vt:variant>
      <vt:variant>
        <vt:i4>524317</vt:i4>
      </vt:variant>
      <vt:variant>
        <vt:i4>72</vt:i4>
      </vt:variant>
      <vt:variant>
        <vt:i4>0</vt:i4>
      </vt:variant>
      <vt:variant>
        <vt:i4>5</vt:i4>
      </vt:variant>
      <vt:variant>
        <vt:lpwstr>https://op.europa.eu/en/publication-detail/-/publication/9781f65f-8448-11ea-bf12-01aa75ed71a1</vt:lpwstr>
      </vt:variant>
      <vt:variant>
        <vt:lpwstr/>
      </vt:variant>
      <vt:variant>
        <vt:i4>524317</vt:i4>
      </vt:variant>
      <vt:variant>
        <vt:i4>69</vt:i4>
      </vt:variant>
      <vt:variant>
        <vt:i4>0</vt:i4>
      </vt:variant>
      <vt:variant>
        <vt:i4>5</vt:i4>
      </vt:variant>
      <vt:variant>
        <vt:lpwstr>https://op.europa.eu/en/publication-detail/-/publication/9781f65f-8448-11ea-bf12-01aa75ed71a1</vt:lpwstr>
      </vt:variant>
      <vt:variant>
        <vt:lpwstr/>
      </vt:variant>
      <vt:variant>
        <vt:i4>524317</vt:i4>
      </vt:variant>
      <vt:variant>
        <vt:i4>66</vt:i4>
      </vt:variant>
      <vt:variant>
        <vt:i4>0</vt:i4>
      </vt:variant>
      <vt:variant>
        <vt:i4>5</vt:i4>
      </vt:variant>
      <vt:variant>
        <vt:lpwstr>https://op.europa.eu/en/publication-detail/-/publication/9781f65f-8448-11ea-bf12-01aa75ed71a1</vt:lpwstr>
      </vt:variant>
      <vt:variant>
        <vt:lpwstr/>
      </vt:variant>
      <vt:variant>
        <vt:i4>524317</vt:i4>
      </vt:variant>
      <vt:variant>
        <vt:i4>63</vt:i4>
      </vt:variant>
      <vt:variant>
        <vt:i4>0</vt:i4>
      </vt:variant>
      <vt:variant>
        <vt:i4>5</vt:i4>
      </vt:variant>
      <vt:variant>
        <vt:lpwstr>https://op.europa.eu/en/publication-detail/-/publication/9781f65f-8448-11ea-bf12-01aa75ed71a1</vt:lpwstr>
      </vt:variant>
      <vt:variant>
        <vt:lpwstr/>
      </vt:variant>
      <vt:variant>
        <vt:i4>6094936</vt:i4>
      </vt:variant>
      <vt:variant>
        <vt:i4>60</vt:i4>
      </vt:variant>
      <vt:variant>
        <vt:i4>0</vt:i4>
      </vt:variant>
      <vt:variant>
        <vt:i4>5</vt:i4>
      </vt:variant>
      <vt:variant>
        <vt:lpwstr>https://ec.europa.eu/transparency/documents-register/detail?ref=SWD(2021)474&amp;lang=en</vt:lpwstr>
      </vt:variant>
      <vt:variant>
        <vt:lpwstr/>
      </vt:variant>
      <vt:variant>
        <vt:i4>5963864</vt:i4>
      </vt:variant>
      <vt:variant>
        <vt:i4>57</vt:i4>
      </vt:variant>
      <vt:variant>
        <vt:i4>0</vt:i4>
      </vt:variant>
      <vt:variant>
        <vt:i4>5</vt:i4>
      </vt:variant>
      <vt:variant>
        <vt:lpwstr>https://ec.europa.eu/transparency/documents-register/detail?ref=SWD(2021)472&amp;lang=en</vt:lpwstr>
      </vt:variant>
      <vt:variant>
        <vt:lpwstr/>
      </vt:variant>
      <vt:variant>
        <vt:i4>5767259</vt:i4>
      </vt:variant>
      <vt:variant>
        <vt:i4>54</vt:i4>
      </vt:variant>
      <vt:variant>
        <vt:i4>0</vt:i4>
      </vt:variant>
      <vt:variant>
        <vt:i4>5</vt:i4>
      </vt:variant>
      <vt:variant>
        <vt:lpwstr>https://ec.europa.eu/transparency/documents-register/detail?ref=SWD(2023)443&amp;lang=en</vt:lpwstr>
      </vt:variant>
      <vt:variant>
        <vt:lpwstr/>
      </vt:variant>
      <vt:variant>
        <vt:i4>6094938</vt:i4>
      </vt:variant>
      <vt:variant>
        <vt:i4>51</vt:i4>
      </vt:variant>
      <vt:variant>
        <vt:i4>0</vt:i4>
      </vt:variant>
      <vt:variant>
        <vt:i4>5</vt:i4>
      </vt:variant>
      <vt:variant>
        <vt:lpwstr>https://ec.europa.eu/transparency/documents-register/detail?ref=SWD(2023)351&amp;lang=en</vt:lpwstr>
      </vt:variant>
      <vt:variant>
        <vt:lpwstr/>
      </vt:variant>
      <vt:variant>
        <vt:i4>2228320</vt:i4>
      </vt:variant>
      <vt:variant>
        <vt:i4>48</vt:i4>
      </vt:variant>
      <vt:variant>
        <vt:i4>0</vt:i4>
      </vt:variant>
      <vt:variant>
        <vt:i4>5</vt:i4>
      </vt:variant>
      <vt:variant>
        <vt:lpwstr>https://europa.eu/eurobarometer/surveys/detail/3178</vt:lpwstr>
      </vt:variant>
      <vt:variant>
        <vt:lpwstr/>
      </vt:variant>
      <vt:variant>
        <vt:i4>4522110</vt:i4>
      </vt:variant>
      <vt:variant>
        <vt:i4>45</vt:i4>
      </vt:variant>
      <vt:variant>
        <vt:i4>0</vt:i4>
      </vt:variant>
      <vt:variant>
        <vt:i4>5</vt:i4>
      </vt:variant>
      <vt:variant>
        <vt:lpwstr>https://economy-finance.ec.europa.eu/publications/2024-ageing-report-economic-and-budgetary-projections-eu-member-states-2022-2070_en</vt:lpwstr>
      </vt:variant>
      <vt:variant>
        <vt:lpwstr/>
      </vt:variant>
      <vt:variant>
        <vt:i4>7077913</vt:i4>
      </vt:variant>
      <vt:variant>
        <vt:i4>42</vt:i4>
      </vt:variant>
      <vt:variant>
        <vt:i4>0</vt:i4>
      </vt:variant>
      <vt:variant>
        <vt:i4>5</vt:i4>
      </vt:variant>
      <vt:variant>
        <vt:lpwstr>https://knowledge4policy.ec.europa.eu/foresight/tool/megatrends-hub_en</vt:lpwstr>
      </vt:variant>
      <vt:variant>
        <vt:lpwstr>explore</vt:lpwstr>
      </vt:variant>
      <vt:variant>
        <vt:i4>8126571</vt:i4>
      </vt:variant>
      <vt:variant>
        <vt:i4>39</vt:i4>
      </vt:variant>
      <vt:variant>
        <vt:i4>0</vt:i4>
      </vt:variant>
      <vt:variant>
        <vt:i4>5</vt:i4>
      </vt:variant>
      <vt:variant>
        <vt:lpwstr>https://ec.europa.eu/commission/presscorner/detail/en/ip_25_1083</vt:lpwstr>
      </vt:variant>
      <vt:variant>
        <vt:lpwstr/>
      </vt:variant>
      <vt:variant>
        <vt:i4>393274</vt:i4>
      </vt:variant>
      <vt:variant>
        <vt:i4>36</vt:i4>
      </vt:variant>
      <vt:variant>
        <vt:i4>0</vt:i4>
      </vt:variant>
      <vt:variant>
        <vt:i4>5</vt:i4>
      </vt:variant>
      <vt:variant>
        <vt:lpwstr>https://transport.ec.europa.eu/news-events/news/green-deal-greening-freight-more-economic-gain-less-environmental-impact-2023-07-11_en</vt:lpwstr>
      </vt:variant>
      <vt:variant>
        <vt:lpwstr/>
      </vt:variant>
      <vt:variant>
        <vt:i4>8323176</vt:i4>
      </vt:variant>
      <vt:variant>
        <vt:i4>33</vt:i4>
      </vt:variant>
      <vt:variant>
        <vt:i4>0</vt:i4>
      </vt:variant>
      <vt:variant>
        <vt:i4>5</vt:i4>
      </vt:variant>
      <vt:variant>
        <vt:lpwstr>https://eur-lex.europa.eu/eli/reg/2024/1679/oj/eng</vt:lpwstr>
      </vt:variant>
      <vt:variant>
        <vt:lpwstr/>
      </vt:variant>
      <vt:variant>
        <vt:i4>8192098</vt:i4>
      </vt:variant>
      <vt:variant>
        <vt:i4>30</vt:i4>
      </vt:variant>
      <vt:variant>
        <vt:i4>0</vt:i4>
      </vt:variant>
      <vt:variant>
        <vt:i4>5</vt:i4>
      </vt:variant>
      <vt:variant>
        <vt:lpwstr>https://eur-lex.europa.eu/eli/reg/2024/1257/oj/eng</vt:lpwstr>
      </vt:variant>
      <vt:variant>
        <vt:lpwstr/>
      </vt:variant>
      <vt:variant>
        <vt:i4>8060960</vt:i4>
      </vt:variant>
      <vt:variant>
        <vt:i4>27</vt:i4>
      </vt:variant>
      <vt:variant>
        <vt:i4>0</vt:i4>
      </vt:variant>
      <vt:variant>
        <vt:i4>5</vt:i4>
      </vt:variant>
      <vt:variant>
        <vt:lpwstr>https://eur-lex.europa.eu/eli/reg/2024/1610/oj</vt:lpwstr>
      </vt:variant>
      <vt:variant>
        <vt:lpwstr/>
      </vt:variant>
      <vt:variant>
        <vt:i4>6553676</vt:i4>
      </vt:variant>
      <vt:variant>
        <vt:i4>24</vt:i4>
      </vt:variant>
      <vt:variant>
        <vt:i4>0</vt:i4>
      </vt:variant>
      <vt:variant>
        <vt:i4>5</vt:i4>
      </vt:variant>
      <vt:variant>
        <vt:lpwstr>https://commission.europa.eu/strategy-and-policy/priorities-2019-2024/european-green-deal/delivering-european-green-deal_en</vt:lpwstr>
      </vt:variant>
      <vt:variant>
        <vt:lpwstr/>
      </vt:variant>
      <vt:variant>
        <vt:i4>2818076</vt:i4>
      </vt:variant>
      <vt:variant>
        <vt:i4>18</vt:i4>
      </vt:variant>
      <vt:variant>
        <vt:i4>0</vt:i4>
      </vt:variant>
      <vt:variant>
        <vt:i4>5</vt:i4>
      </vt:variant>
      <vt:variant>
        <vt:lpwstr>https://a4e.eu/wp-content/uploads/A4E-intermediaries-study_FINAL-02.pdf</vt:lpwstr>
      </vt:variant>
      <vt:variant>
        <vt:lpwstr/>
      </vt:variant>
      <vt:variant>
        <vt:i4>3211308</vt:i4>
      </vt:variant>
      <vt:variant>
        <vt:i4>15</vt:i4>
      </vt:variant>
      <vt:variant>
        <vt:i4>0</vt:i4>
      </vt:variant>
      <vt:variant>
        <vt:i4>5</vt:i4>
      </vt:variant>
      <vt:variant>
        <vt:lpwstr>https://www.transportenvironment.org/articles/heres-what-europeans-from-7-countries-think-of-rail-booking-processes</vt:lpwstr>
      </vt:variant>
      <vt:variant>
        <vt:lpwstr/>
      </vt:variant>
      <vt:variant>
        <vt:i4>2228320</vt:i4>
      </vt:variant>
      <vt:variant>
        <vt:i4>12</vt:i4>
      </vt:variant>
      <vt:variant>
        <vt:i4>0</vt:i4>
      </vt:variant>
      <vt:variant>
        <vt:i4>5</vt:i4>
      </vt:variant>
      <vt:variant>
        <vt:lpwstr>https://europa.eu/eurobarometer/surveys/detail/3178</vt:lpwstr>
      </vt:variant>
      <vt:variant>
        <vt:lpwstr/>
      </vt:variant>
      <vt:variant>
        <vt:i4>16</vt:i4>
      </vt:variant>
      <vt:variant>
        <vt:i4>9</vt:i4>
      </vt:variant>
      <vt:variant>
        <vt:i4>0</vt:i4>
      </vt:variant>
      <vt:variant>
        <vt:i4>5</vt:i4>
      </vt:variant>
      <vt:variant>
        <vt:lpwstr>https://samtrafiken.se/services/</vt:lpwstr>
      </vt:variant>
      <vt:variant>
        <vt:lpwstr/>
      </vt:variant>
      <vt:variant>
        <vt:i4>917509</vt:i4>
      </vt:variant>
      <vt:variant>
        <vt:i4>6</vt:i4>
      </vt:variant>
      <vt:variant>
        <vt:i4>0</vt:i4>
      </vt:variant>
      <vt:variant>
        <vt:i4>5</vt:i4>
      </vt:variant>
      <vt:variant>
        <vt:lpwstr>https://dutchmobilityinnovations.com/attachment?file=7qczeMbWTcRrUzL2ExA8ug%3D%3D</vt:lpwstr>
      </vt:variant>
      <vt:variant>
        <vt:lpwstr/>
      </vt:variant>
      <vt:variant>
        <vt:i4>131097</vt:i4>
      </vt:variant>
      <vt:variant>
        <vt:i4>3</vt:i4>
      </vt:variant>
      <vt:variant>
        <vt:i4>0</vt:i4>
      </vt:variant>
      <vt:variant>
        <vt:i4>5</vt:i4>
      </vt:variant>
      <vt:variant>
        <vt:lpwstr>https://data.europa.eu/doi/10.2832/403804</vt:lpwstr>
      </vt:variant>
      <vt:variant>
        <vt:lpwstr/>
      </vt:variant>
      <vt:variant>
        <vt:i4>2228320</vt:i4>
      </vt:variant>
      <vt:variant>
        <vt:i4>0</vt:i4>
      </vt:variant>
      <vt:variant>
        <vt:i4>0</vt:i4>
      </vt:variant>
      <vt:variant>
        <vt:i4>5</vt:i4>
      </vt:variant>
      <vt:variant>
        <vt:lpwstr>https://europa.eu/eurobarometer/surveys/detail/3178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2026-05-10T17:12:00Z</dcterms:created>
  <dcterms:modified xsi:type="dcterms:W3CDTF">2026-05-12T17:48:00Z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2026-05-10T17:12:51Z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057b4a59-3ae6-4875-8a4c-681368184cac</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ies>
</file>